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72"/>
        </w:rPr>
      </w:pPr>
      <w:r>
        <w:rPr>
          <w:rFonts w:ascii="Times New Roman"/>
          <w:sz w:val="72"/>
        </w:rPr>
        <mc:AlternateContent>
          <mc:Choice Requires="wps">
            <w:drawing>
              <wp:anchor distT="0" distB="0" distL="0" distR="0" allowOverlap="1" layoutInCell="1" locked="0" behindDoc="1" simplePos="0" relativeHeight="459693056">
                <wp:simplePos x="0" y="0"/>
                <wp:positionH relativeFrom="page">
                  <wp:posOffset>0</wp:posOffset>
                </wp:positionH>
                <wp:positionV relativeFrom="page">
                  <wp:posOffset>0</wp:posOffset>
                </wp:positionV>
                <wp:extent cx="7762240" cy="100584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762240" cy="10058400"/>
                          <a:chExt cx="7762240" cy="10058400"/>
                        </a:xfrm>
                      </wpg:grpSpPr>
                      <wps:wsp>
                        <wps:cNvPr id="2" name="Graphic 2"/>
                        <wps:cNvSpPr/>
                        <wps:spPr>
                          <a:xfrm>
                            <a:off x="4096639" y="0"/>
                            <a:ext cx="3665854" cy="10058400"/>
                          </a:xfrm>
                          <a:custGeom>
                            <a:avLst/>
                            <a:gdLst/>
                            <a:ahLst/>
                            <a:cxnLst/>
                            <a:rect l="l" t="t" r="r" b="b"/>
                            <a:pathLst>
                              <a:path w="3665854" h="10058400">
                                <a:moveTo>
                                  <a:pt x="0" y="10058400"/>
                                </a:moveTo>
                                <a:lnTo>
                                  <a:pt x="3665601" y="10058400"/>
                                </a:lnTo>
                                <a:lnTo>
                                  <a:pt x="3665601" y="0"/>
                                </a:lnTo>
                                <a:lnTo>
                                  <a:pt x="0" y="0"/>
                                </a:lnTo>
                                <a:lnTo>
                                  <a:pt x="0" y="10058400"/>
                                </a:lnTo>
                                <a:close/>
                              </a:path>
                            </a:pathLst>
                          </a:custGeom>
                          <a:solidFill>
                            <a:srgbClr val="375F92"/>
                          </a:solidFill>
                        </wps:spPr>
                        <wps:bodyPr wrap="square" lIns="0" tIns="0" rIns="0" bIns="0" rtlCol="0">
                          <a:prstTxWarp prst="textNoShape">
                            <a:avLst/>
                          </a:prstTxWarp>
                          <a:noAutofit/>
                        </wps:bodyPr>
                      </wps:wsp>
                      <wps:wsp>
                        <wps:cNvPr id="3" name="Graphic 3"/>
                        <wps:cNvSpPr/>
                        <wps:spPr>
                          <a:xfrm>
                            <a:off x="3937889" y="0"/>
                            <a:ext cx="158750" cy="10058400"/>
                          </a:xfrm>
                          <a:custGeom>
                            <a:avLst/>
                            <a:gdLst/>
                            <a:ahLst/>
                            <a:cxnLst/>
                            <a:rect l="l" t="t" r="r" b="b"/>
                            <a:pathLst>
                              <a:path w="158750" h="10058400">
                                <a:moveTo>
                                  <a:pt x="0" y="10058400"/>
                                </a:moveTo>
                                <a:lnTo>
                                  <a:pt x="158673" y="10058400"/>
                                </a:lnTo>
                                <a:lnTo>
                                  <a:pt x="158673" y="0"/>
                                </a:lnTo>
                                <a:lnTo>
                                  <a:pt x="0" y="0"/>
                                </a:lnTo>
                                <a:lnTo>
                                  <a:pt x="0" y="10058400"/>
                                </a:lnTo>
                                <a:close/>
                              </a:path>
                            </a:pathLst>
                          </a:custGeom>
                          <a:solidFill>
                            <a:srgbClr val="EBF0DE"/>
                          </a:solidFill>
                        </wps:spPr>
                        <wps:bodyPr wrap="square" lIns="0" tIns="0" rIns="0" bIns="0" rtlCol="0">
                          <a:prstTxWarp prst="textNoShape">
                            <a:avLst/>
                          </a:prstTxWarp>
                          <a:noAutofit/>
                        </wps:bodyPr>
                      </wps:wsp>
                      <wps:wsp>
                        <wps:cNvPr id="4" name="Graphic 4"/>
                        <wps:cNvSpPr/>
                        <wps:spPr>
                          <a:xfrm>
                            <a:off x="3937889" y="0"/>
                            <a:ext cx="158750" cy="10058400"/>
                          </a:xfrm>
                          <a:custGeom>
                            <a:avLst/>
                            <a:gdLst/>
                            <a:ahLst/>
                            <a:cxnLst/>
                            <a:rect l="l" t="t" r="r" b="b"/>
                            <a:pathLst>
                              <a:path w="158750" h="10058400">
                                <a:moveTo>
                                  <a:pt x="158673" y="10058400"/>
                                </a:moveTo>
                                <a:lnTo>
                                  <a:pt x="158673" y="0"/>
                                </a:lnTo>
                              </a:path>
                              <a:path w="158750" h="10058400">
                                <a:moveTo>
                                  <a:pt x="0" y="0"/>
                                </a:moveTo>
                                <a:lnTo>
                                  <a:pt x="0" y="10058400"/>
                                </a:lnTo>
                              </a:path>
                            </a:pathLst>
                          </a:custGeom>
                          <a:ln w="12700">
                            <a:solidFill>
                              <a:srgbClr val="FFFFFF"/>
                            </a:solidFill>
                            <a:prstDash val="solid"/>
                          </a:ln>
                        </wps:spPr>
                        <wps:bodyPr wrap="square" lIns="0" tIns="0" rIns="0" bIns="0" rtlCol="0">
                          <a:prstTxWarp prst="textNoShape">
                            <a:avLst/>
                          </a:prstTxWarp>
                          <a:noAutofit/>
                        </wps:bodyPr>
                      </wps:wsp>
                      <pic:pic>
                        <pic:nvPicPr>
                          <pic:cNvPr id="5" name="Image 5"/>
                          <pic:cNvPicPr/>
                        </pic:nvPicPr>
                        <pic:blipFill>
                          <a:blip r:embed="rId5" cstate="print"/>
                          <a:stretch>
                            <a:fillRect/>
                          </a:stretch>
                        </pic:blipFill>
                        <pic:spPr>
                          <a:xfrm>
                            <a:off x="0" y="3718547"/>
                            <a:ext cx="7270242" cy="945654"/>
                          </a:xfrm>
                          <a:prstGeom prst="rect">
                            <a:avLst/>
                          </a:prstGeom>
                        </pic:spPr>
                      </pic:pic>
                      <pic:pic>
                        <pic:nvPicPr>
                          <pic:cNvPr id="6" name="Image 6" descr="Logotipo, nombre de la empresa  Descripción generada automáticamente"/>
                          <pic:cNvPicPr/>
                        </pic:nvPicPr>
                        <pic:blipFill>
                          <a:blip r:embed="rId6" cstate="print"/>
                          <a:stretch>
                            <a:fillRect/>
                          </a:stretch>
                        </pic:blipFill>
                        <pic:spPr>
                          <a:xfrm>
                            <a:off x="341949" y="740799"/>
                            <a:ext cx="3235701" cy="534890"/>
                          </a:xfrm>
                          <a:prstGeom prst="rect">
                            <a:avLst/>
                          </a:prstGeom>
                        </pic:spPr>
                      </pic:pic>
                    </wpg:wgp>
                  </a:graphicData>
                </a:graphic>
              </wp:anchor>
            </w:drawing>
          </mc:Choice>
          <mc:Fallback>
            <w:pict>
              <v:group style="position:absolute;margin-left:0pt;margin-top:0pt;width:611.2pt;height:792pt;mso-position-horizontal-relative:page;mso-position-vertical-relative:page;z-index:-43623424" id="docshapegroup1" coordorigin="0,0" coordsize="12224,15840">
                <v:rect style="position:absolute;left:6451;top:0;width:5773;height:15840" id="docshape2" filled="true" fillcolor="#375f92" stroked="false">
                  <v:fill type="solid"/>
                </v:rect>
                <v:rect style="position:absolute;left:6201;top:0;width:250;height:15840" id="docshape3" filled="true" fillcolor="#ebf0de" stroked="false">
                  <v:fill type="solid"/>
                </v:rect>
                <v:shape style="position:absolute;left:6201;top:0;width:250;height:15840" id="docshape4" coordorigin="6201,0" coordsize="250,15840" path="m6451,15840l6451,0m6201,0l6201,15840e" filled="false" stroked="true" strokeweight="1pt" strokecolor="#ffffff">
                  <v:path arrowok="t"/>
                  <v:stroke dashstyle="solid"/>
                </v:shape>
                <v:shape style="position:absolute;left:0;top:5855;width:11450;height:1490" type="#_x0000_t75" id="docshape5" stroked="false">
                  <v:imagedata r:id="rId5" o:title=""/>
                </v:shape>
                <v:shape style="position:absolute;left:538;top:1166;width:5096;height:843" type="#_x0000_t75" id="docshape6" alt="Logotipo, nombre de la empresa  Descripción generada automáticamente" stroked="false">
                  <v:imagedata r:id="rId6" o:title=""/>
                </v:shape>
                <w10:wrap type="none"/>
              </v:group>
            </w:pict>
          </mc:Fallback>
        </mc:AlternateContent>
      </w:r>
    </w:p>
    <w:p>
      <w:pPr>
        <w:pStyle w:val="BodyText"/>
        <w:rPr>
          <w:rFonts w:ascii="Times New Roman"/>
          <w:sz w:val="72"/>
        </w:rPr>
      </w:pPr>
    </w:p>
    <w:p>
      <w:pPr>
        <w:pStyle w:val="BodyText"/>
        <w:rPr>
          <w:rFonts w:ascii="Times New Roman"/>
          <w:sz w:val="72"/>
        </w:rPr>
      </w:pPr>
    </w:p>
    <w:p>
      <w:pPr>
        <w:pStyle w:val="BodyText"/>
        <w:spacing w:before="810"/>
        <w:rPr>
          <w:rFonts w:ascii="Times New Roman"/>
          <w:sz w:val="72"/>
        </w:rPr>
      </w:pPr>
    </w:p>
    <w:p>
      <w:pPr>
        <w:pStyle w:val="Title"/>
      </w:pPr>
      <w:r>
        <w:rPr>
          <w:color w:val="FFFFFF"/>
        </w:rPr>
        <w:t>Plan</w:t>
      </w:r>
      <w:r>
        <w:rPr>
          <w:color w:val="FFFFFF"/>
          <w:spacing w:val="1"/>
        </w:rPr>
        <w:t> </w:t>
      </w:r>
      <w:r>
        <w:rPr>
          <w:color w:val="FFFFFF"/>
        </w:rPr>
        <w:t>Operativo</w:t>
      </w:r>
      <w:r>
        <w:rPr>
          <w:color w:val="FFFFFF"/>
          <w:spacing w:val="-6"/>
        </w:rPr>
        <w:t> </w:t>
      </w:r>
      <w:r>
        <w:rPr>
          <w:color w:val="FFFFFF"/>
        </w:rPr>
        <w:t>Gerencial </w:t>
      </w:r>
      <w:r>
        <w:rPr>
          <w:color w:val="FFFFFF"/>
          <w:spacing w:val="-4"/>
        </w:rPr>
        <w:t>2026</w:t>
      </w: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rPr>
          <w:rFonts w:ascii="Cambria"/>
          <w:sz w:val="40"/>
        </w:rPr>
      </w:pPr>
    </w:p>
    <w:p>
      <w:pPr>
        <w:pStyle w:val="BodyText"/>
        <w:spacing w:before="87"/>
        <w:rPr>
          <w:rFonts w:ascii="Cambria"/>
          <w:sz w:val="40"/>
        </w:rPr>
      </w:pPr>
    </w:p>
    <w:p>
      <w:pPr>
        <w:spacing w:before="0"/>
        <w:ind w:left="6041" w:right="0" w:firstLine="0"/>
        <w:jc w:val="left"/>
        <w:rPr>
          <w:b/>
          <w:sz w:val="40"/>
        </w:rPr>
      </w:pPr>
      <w:r>
        <w:rPr>
          <w:b/>
          <w:color w:val="FFFFFF"/>
          <w:spacing w:val="-2"/>
          <w:sz w:val="40"/>
        </w:rPr>
        <w:t>Planificación</w:t>
      </w:r>
      <w:r>
        <w:rPr>
          <w:b/>
          <w:color w:val="FFFFFF"/>
          <w:spacing w:val="-5"/>
          <w:sz w:val="40"/>
        </w:rPr>
        <w:t> </w:t>
      </w:r>
      <w:r>
        <w:rPr>
          <w:b/>
          <w:color w:val="FFFFFF"/>
          <w:spacing w:val="-2"/>
          <w:sz w:val="40"/>
        </w:rPr>
        <w:t>Institucional</w:t>
      </w:r>
    </w:p>
    <w:p>
      <w:pPr>
        <w:pStyle w:val="BodyText"/>
        <w:rPr>
          <w:b/>
        </w:rPr>
      </w:pPr>
    </w:p>
    <w:p>
      <w:pPr>
        <w:pStyle w:val="BodyText"/>
        <w:spacing w:before="177"/>
        <w:rPr>
          <w:b/>
        </w:rPr>
      </w:pPr>
    </w:p>
    <w:p>
      <w:pPr>
        <w:tabs>
          <w:tab w:pos="6041" w:val="left" w:leader="none"/>
        </w:tabs>
        <w:spacing w:before="0"/>
        <w:ind w:left="979" w:right="0" w:firstLine="0"/>
        <w:jc w:val="left"/>
        <w:rPr>
          <w:b/>
          <w:sz w:val="22"/>
        </w:rPr>
      </w:pPr>
      <w:r>
        <w:rPr>
          <w:spacing w:val="-10"/>
          <w:position w:val="15"/>
          <w:sz w:val="24"/>
        </w:rPr>
        <w:t>i</w:t>
      </w:r>
      <w:r>
        <w:rPr>
          <w:position w:val="15"/>
          <w:sz w:val="24"/>
        </w:rPr>
        <w:tab/>
      </w:r>
      <w:r>
        <w:rPr>
          <w:b/>
          <w:color w:val="FFFFFF"/>
          <w:spacing w:val="-2"/>
          <w:sz w:val="22"/>
        </w:rPr>
        <w:t>17/11/2025</w:t>
      </w:r>
    </w:p>
    <w:p>
      <w:pPr>
        <w:spacing w:after="0"/>
        <w:jc w:val="left"/>
        <w:rPr>
          <w:b/>
          <w:sz w:val="22"/>
        </w:rPr>
        <w:sectPr>
          <w:type w:val="continuous"/>
          <w:pgSz w:w="12240" w:h="15840"/>
          <w:pgMar w:top="1820" w:bottom="280" w:left="720" w:right="360"/>
        </w:sectPr>
      </w:pPr>
    </w:p>
    <w:p>
      <w:pPr>
        <w:spacing w:before="76"/>
        <w:ind w:left="850" w:right="0" w:firstLine="0"/>
        <w:jc w:val="left"/>
        <w:rPr>
          <w:b/>
          <w:sz w:val="22"/>
        </w:rPr>
      </w:pPr>
      <w:r>
        <w:rPr>
          <w:b/>
          <w:sz w:val="22"/>
        </w:rPr>
        <w:t>Tabla</w:t>
      </w:r>
      <w:r>
        <w:rPr>
          <w:b/>
          <w:spacing w:val="-4"/>
          <w:sz w:val="22"/>
        </w:rPr>
        <w:t> </w:t>
      </w:r>
      <w:r>
        <w:rPr>
          <w:b/>
          <w:sz w:val="22"/>
        </w:rPr>
        <w:t>de</w:t>
      </w:r>
      <w:r>
        <w:rPr>
          <w:b/>
          <w:spacing w:val="1"/>
          <w:sz w:val="22"/>
        </w:rPr>
        <w:t> </w:t>
      </w:r>
      <w:r>
        <w:rPr>
          <w:b/>
          <w:spacing w:val="-2"/>
          <w:sz w:val="22"/>
        </w:rPr>
        <w:t>Contenido</w:t>
      </w:r>
    </w:p>
    <w:sdt>
      <w:sdtPr>
        <w:docPartObj>
          <w:docPartGallery w:val="Table of Contents"/>
          <w:docPartUnique/>
        </w:docPartObj>
      </w:sdtPr>
      <w:sdtEndPr/>
      <w:sdtContent>
        <w:p>
          <w:pPr>
            <w:pStyle w:val="TOC1"/>
            <w:numPr>
              <w:ilvl w:val="0"/>
              <w:numId w:val="1"/>
            </w:numPr>
            <w:tabs>
              <w:tab w:pos="1036" w:val="left" w:leader="none"/>
              <w:tab w:pos="9700" w:val="left" w:leader="dot"/>
            </w:tabs>
            <w:spacing w:line="251" w:lineRule="exact" w:before="256" w:after="0"/>
            <w:ind w:left="1036" w:right="0" w:hanging="186"/>
            <w:jc w:val="left"/>
          </w:pPr>
          <w:hyperlink w:history="true" w:anchor="_bookmark0">
            <w:r>
              <w:rPr/>
              <w:t>Marco</w:t>
            </w:r>
            <w:r>
              <w:rPr>
                <w:spacing w:val="-5"/>
              </w:rPr>
              <w:t> </w:t>
            </w:r>
            <w:r>
              <w:rPr>
                <w:spacing w:val="-2"/>
              </w:rPr>
              <w:t>General</w:t>
            </w:r>
            <w:r>
              <w:rPr/>
              <w:tab/>
            </w:r>
            <w:r>
              <w:rPr>
                <w:spacing w:val="-10"/>
              </w:rPr>
              <w:t>8</w:t>
            </w:r>
          </w:hyperlink>
        </w:p>
        <w:p>
          <w:pPr>
            <w:pStyle w:val="TOC2"/>
            <w:numPr>
              <w:ilvl w:val="1"/>
              <w:numId w:val="1"/>
            </w:numPr>
            <w:tabs>
              <w:tab w:pos="2180" w:val="left" w:leader="none"/>
              <w:tab w:pos="9690" w:val="left" w:leader="dot"/>
            </w:tabs>
            <w:spacing w:line="251" w:lineRule="exact" w:before="0" w:after="0"/>
            <w:ind w:left="2180" w:right="0" w:hanging="720"/>
            <w:jc w:val="left"/>
          </w:pPr>
          <w:hyperlink w:history="true" w:anchor="_bookmark1">
            <w:r>
              <w:rPr/>
              <w:t>Marco</w:t>
            </w:r>
            <w:r>
              <w:rPr>
                <w:spacing w:val="-5"/>
              </w:rPr>
              <w:t> </w:t>
            </w:r>
            <w:r>
              <w:rPr/>
              <w:t>Jurídico</w:t>
            </w:r>
            <w:r>
              <w:rPr>
                <w:spacing w:val="-7"/>
              </w:rPr>
              <w:t> </w:t>
            </w:r>
            <w:r>
              <w:rPr>
                <w:spacing w:val="-2"/>
              </w:rPr>
              <w:t>Institucional</w:t>
            </w:r>
            <w:r>
              <w:rPr/>
              <w:tab/>
            </w:r>
            <w:r>
              <w:rPr>
                <w:spacing w:val="-10"/>
              </w:rPr>
              <w:t>8</w:t>
            </w:r>
          </w:hyperlink>
        </w:p>
        <w:p>
          <w:pPr>
            <w:pStyle w:val="TOC2"/>
            <w:numPr>
              <w:ilvl w:val="1"/>
              <w:numId w:val="1"/>
            </w:numPr>
            <w:tabs>
              <w:tab w:pos="2180" w:val="left" w:leader="none"/>
              <w:tab w:pos="9565" w:val="left" w:leader="dot"/>
            </w:tabs>
            <w:spacing w:line="240" w:lineRule="auto" w:before="2" w:after="0"/>
            <w:ind w:left="1460" w:right="1342" w:firstLine="0"/>
            <w:jc w:val="left"/>
          </w:pPr>
          <w:hyperlink w:history="true" w:anchor="_bookmark2">
            <w:r>
              <w:rPr/>
              <w:t>Nombres cargos de la jerarquía y de las personas responsables que</w:t>
            </w:r>
          </w:hyperlink>
          <w:r>
            <w:rPr/>
            <w:t> </w:t>
          </w:r>
          <w:hyperlink w:history="true" w:anchor="_bookmark2">
            <w:r>
              <w:rPr/>
              <w:t>intervienen en la ejecución de los recursos de los programas</w:t>
              <w:tab/>
            </w:r>
            <w:r>
              <w:rPr>
                <w:spacing w:val="-6"/>
              </w:rPr>
              <w:t>48</w:t>
            </w:r>
          </w:hyperlink>
        </w:p>
        <w:p>
          <w:pPr>
            <w:pStyle w:val="TOC2"/>
            <w:numPr>
              <w:ilvl w:val="1"/>
              <w:numId w:val="1"/>
            </w:numPr>
            <w:tabs>
              <w:tab w:pos="2180" w:val="left" w:leader="none"/>
              <w:tab w:pos="9565" w:val="left" w:leader="dot"/>
            </w:tabs>
            <w:spacing w:line="240" w:lineRule="auto" w:before="0" w:after="0"/>
            <w:ind w:left="1460" w:right="1342" w:firstLine="0"/>
            <w:jc w:val="left"/>
          </w:pPr>
          <w:hyperlink w:history="true" w:anchor="_bookmark4">
            <w:r>
              <w:rPr/>
              <w:t>Nombres y cargos de las personas responsables de otras dependencias que</w:t>
            </w:r>
          </w:hyperlink>
          <w:r>
            <w:rPr/>
            <w:t> </w:t>
          </w:r>
          <w:hyperlink w:history="true" w:anchor="_bookmark4">
            <w:r>
              <w:rPr/>
              <w:t>intervienen en la ejecución de los recursos</w:t>
              <w:tab/>
            </w:r>
            <w:r>
              <w:rPr>
                <w:spacing w:val="-6"/>
              </w:rPr>
              <w:t>48</w:t>
            </w:r>
          </w:hyperlink>
        </w:p>
        <w:p>
          <w:pPr>
            <w:pStyle w:val="TOC2"/>
            <w:tabs>
              <w:tab w:pos="9565" w:val="left" w:leader="dot"/>
            </w:tabs>
            <w:spacing w:line="240" w:lineRule="auto" w:before="1"/>
            <w:ind w:left="1460" w:right="1342" w:firstLine="0"/>
          </w:pPr>
          <w:hyperlink w:history="true" w:anchor="_bookmark6">
            <w:r>
              <w:rPr/>
              <w:t>Nombre y cargo de las personas funcionarias responsables de la ejecución del</w:t>
            </w:r>
          </w:hyperlink>
          <w:r>
            <w:rPr/>
            <w:t> </w:t>
          </w:r>
          <w:hyperlink w:history="true" w:anchor="_bookmark6">
            <w:r>
              <w:rPr/>
              <w:t>Programa de Protección y Promoción Social en cada Área Regional de Desarrollo</w:t>
            </w:r>
          </w:hyperlink>
          <w:r>
            <w:rPr/>
            <w:t> </w:t>
          </w:r>
          <w:hyperlink w:history="true" w:anchor="_bookmark6">
            <w:r>
              <w:rPr>
                <w:spacing w:val="-2"/>
              </w:rPr>
              <w:t>Social</w:t>
            </w:r>
            <w:r>
              <w:rPr/>
              <w:tab/>
            </w:r>
            <w:r>
              <w:rPr>
                <w:spacing w:val="-5"/>
              </w:rPr>
              <w:t>49</w:t>
            </w:r>
          </w:hyperlink>
        </w:p>
        <w:p>
          <w:pPr>
            <w:pStyle w:val="TOC1"/>
            <w:numPr>
              <w:ilvl w:val="0"/>
              <w:numId w:val="1"/>
            </w:numPr>
            <w:tabs>
              <w:tab w:pos="1098" w:val="left" w:leader="none"/>
              <w:tab w:pos="9575" w:val="left" w:leader="dot"/>
            </w:tabs>
            <w:spacing w:line="240" w:lineRule="auto" w:before="0" w:after="0"/>
            <w:ind w:left="1098" w:right="0" w:hanging="248"/>
            <w:jc w:val="left"/>
          </w:pPr>
          <w:hyperlink w:history="true" w:anchor="_bookmark8">
            <w:r>
              <w:rPr/>
              <w:t>Diagnóstico</w:t>
            </w:r>
            <w:r>
              <w:rPr>
                <w:spacing w:val="-12"/>
              </w:rPr>
              <w:t> </w:t>
            </w:r>
            <w:r>
              <w:rPr>
                <w:spacing w:val="-2"/>
              </w:rPr>
              <w:t>Institucional</w:t>
            </w:r>
            <w:r>
              <w:rPr/>
              <w:tab/>
            </w:r>
            <w:r>
              <w:rPr>
                <w:spacing w:val="-5"/>
              </w:rPr>
              <w:t>50</w:t>
            </w:r>
          </w:hyperlink>
        </w:p>
        <w:p>
          <w:pPr>
            <w:pStyle w:val="TOC2"/>
            <w:numPr>
              <w:ilvl w:val="1"/>
              <w:numId w:val="1"/>
            </w:numPr>
            <w:tabs>
              <w:tab w:pos="1827" w:val="left" w:leader="none"/>
              <w:tab w:pos="9565" w:val="left" w:leader="dot"/>
            </w:tabs>
            <w:spacing w:line="251" w:lineRule="exact" w:before="1" w:after="0"/>
            <w:ind w:left="1827" w:right="0" w:hanging="367"/>
            <w:jc w:val="left"/>
          </w:pPr>
          <w:hyperlink w:history="true" w:anchor="_bookmark9">
            <w:r>
              <w:rPr/>
              <w:t>Estructura</w:t>
            </w:r>
            <w:r>
              <w:rPr>
                <w:spacing w:val="-9"/>
              </w:rPr>
              <w:t> </w:t>
            </w:r>
            <w:r>
              <w:rPr>
                <w:spacing w:val="-2"/>
              </w:rPr>
              <w:t>Organizacional</w:t>
            </w:r>
            <w:r>
              <w:rPr/>
              <w:tab/>
            </w:r>
            <w:r>
              <w:rPr>
                <w:spacing w:val="-5"/>
              </w:rPr>
              <w:t>50</w:t>
            </w:r>
          </w:hyperlink>
        </w:p>
        <w:p>
          <w:pPr>
            <w:pStyle w:val="TOC2"/>
            <w:numPr>
              <w:ilvl w:val="1"/>
              <w:numId w:val="1"/>
            </w:numPr>
            <w:tabs>
              <w:tab w:pos="1827" w:val="left" w:leader="none"/>
              <w:tab w:pos="9565" w:val="left" w:leader="dot"/>
            </w:tabs>
            <w:spacing w:line="251" w:lineRule="exact" w:before="0" w:after="0"/>
            <w:ind w:left="1827" w:right="0" w:hanging="367"/>
            <w:jc w:val="left"/>
          </w:pPr>
          <w:hyperlink w:history="true" w:anchor="_bookmark11">
            <w:r>
              <w:rPr/>
              <w:t>Recursos</w:t>
            </w:r>
            <w:r>
              <w:rPr>
                <w:spacing w:val="-11"/>
              </w:rPr>
              <w:t> </w:t>
            </w:r>
            <w:r>
              <w:rPr>
                <w:spacing w:val="-2"/>
              </w:rPr>
              <w:t>Institucionales</w:t>
            </w:r>
            <w:r>
              <w:rPr/>
              <w:tab/>
            </w:r>
            <w:r>
              <w:rPr>
                <w:spacing w:val="-5"/>
              </w:rPr>
              <w:t>52</w:t>
            </w:r>
          </w:hyperlink>
        </w:p>
        <w:p>
          <w:pPr>
            <w:pStyle w:val="TOC2"/>
            <w:numPr>
              <w:ilvl w:val="1"/>
              <w:numId w:val="1"/>
            </w:numPr>
            <w:tabs>
              <w:tab w:pos="1827" w:val="left" w:leader="none"/>
              <w:tab w:pos="9565" w:val="left" w:leader="dot"/>
            </w:tabs>
            <w:spacing w:line="240" w:lineRule="auto" w:before="2" w:after="0"/>
            <w:ind w:left="1827" w:right="0" w:hanging="367"/>
            <w:jc w:val="left"/>
          </w:pPr>
          <w:hyperlink w:history="true" w:anchor="_bookmark18">
            <w:r>
              <w:rPr/>
              <w:t>Cumplimiento</w:t>
            </w:r>
            <w:r>
              <w:rPr>
                <w:spacing w:val="-7"/>
              </w:rPr>
              <w:t> </w:t>
            </w:r>
            <w:r>
              <w:rPr/>
              <w:t>del</w:t>
            </w:r>
            <w:r>
              <w:rPr>
                <w:spacing w:val="-6"/>
              </w:rPr>
              <w:t> </w:t>
            </w:r>
            <w:r>
              <w:rPr/>
              <w:t>Sistema</w:t>
            </w:r>
            <w:r>
              <w:rPr>
                <w:spacing w:val="-7"/>
              </w:rPr>
              <w:t> </w:t>
            </w:r>
            <w:r>
              <w:rPr/>
              <w:t>de</w:t>
            </w:r>
            <w:r>
              <w:rPr>
                <w:spacing w:val="-3"/>
              </w:rPr>
              <w:t> </w:t>
            </w:r>
            <w:r>
              <w:rPr/>
              <w:t>Control</w:t>
            </w:r>
            <w:r>
              <w:rPr>
                <w:spacing w:val="-9"/>
              </w:rPr>
              <w:t> </w:t>
            </w:r>
            <w:r>
              <w:rPr>
                <w:spacing w:val="-2"/>
              </w:rPr>
              <w:t>Interno</w:t>
            </w:r>
            <w:r>
              <w:rPr/>
              <w:tab/>
            </w:r>
            <w:r>
              <w:rPr>
                <w:spacing w:val="-5"/>
              </w:rPr>
              <w:t>58</w:t>
            </w:r>
          </w:hyperlink>
        </w:p>
        <w:p>
          <w:pPr>
            <w:pStyle w:val="TOC2"/>
            <w:numPr>
              <w:ilvl w:val="1"/>
              <w:numId w:val="1"/>
            </w:numPr>
            <w:tabs>
              <w:tab w:pos="1827" w:val="left" w:leader="none"/>
              <w:tab w:pos="9565" w:val="left" w:leader="dot"/>
            </w:tabs>
            <w:spacing w:line="251" w:lineRule="exact" w:before="1" w:after="0"/>
            <w:ind w:left="1827" w:right="0" w:hanging="367"/>
            <w:jc w:val="left"/>
          </w:pPr>
          <w:hyperlink w:history="true" w:anchor="_bookmark23">
            <w:r>
              <w:rPr/>
              <w:t>Generalidades</w:t>
            </w:r>
            <w:r>
              <w:rPr>
                <w:spacing w:val="-10"/>
              </w:rPr>
              <w:t> </w:t>
            </w:r>
            <w:r>
              <w:rPr/>
              <w:t>de</w:t>
            </w:r>
            <w:r>
              <w:rPr>
                <w:spacing w:val="-3"/>
              </w:rPr>
              <w:t> </w:t>
            </w:r>
            <w:r>
              <w:rPr/>
              <w:t>la</w:t>
            </w:r>
            <w:r>
              <w:rPr>
                <w:spacing w:val="-7"/>
              </w:rPr>
              <w:t> </w:t>
            </w:r>
            <w:r>
              <w:rPr>
                <w:spacing w:val="-2"/>
              </w:rPr>
              <w:t>pobreza</w:t>
            </w:r>
            <w:r>
              <w:rPr/>
              <w:tab/>
            </w:r>
            <w:r>
              <w:rPr>
                <w:spacing w:val="-5"/>
              </w:rPr>
              <w:t>64</w:t>
            </w:r>
          </w:hyperlink>
        </w:p>
        <w:p>
          <w:pPr>
            <w:pStyle w:val="TOC1"/>
            <w:numPr>
              <w:ilvl w:val="0"/>
              <w:numId w:val="1"/>
            </w:numPr>
            <w:tabs>
              <w:tab w:pos="1098" w:val="left" w:leader="none"/>
              <w:tab w:pos="9575" w:val="left" w:leader="dot"/>
            </w:tabs>
            <w:spacing w:line="251" w:lineRule="exact" w:before="0" w:after="0"/>
            <w:ind w:left="1098" w:right="0" w:hanging="248"/>
            <w:jc w:val="left"/>
          </w:pPr>
          <w:hyperlink w:history="true" w:anchor="_bookmark40">
            <w:r>
              <w:rPr/>
              <w:t>Estructura</w:t>
            </w:r>
            <w:r>
              <w:rPr>
                <w:spacing w:val="-12"/>
              </w:rPr>
              <w:t> </w:t>
            </w:r>
            <w:r>
              <w:rPr/>
              <w:t>Programática</w:t>
            </w:r>
            <w:r>
              <w:rPr>
                <w:spacing w:val="-8"/>
              </w:rPr>
              <w:t> </w:t>
            </w:r>
            <w:r>
              <w:rPr/>
              <w:t>del</w:t>
            </w:r>
            <w:r>
              <w:rPr>
                <w:spacing w:val="-12"/>
              </w:rPr>
              <w:t> </w:t>
            </w:r>
            <w:r>
              <w:rPr/>
              <w:t>Plan-</w:t>
            </w:r>
            <w:r>
              <w:rPr>
                <w:spacing w:val="-2"/>
              </w:rPr>
              <w:t>Presupuesto</w:t>
            </w:r>
            <w:r>
              <w:rPr/>
              <w:tab/>
            </w:r>
            <w:r>
              <w:rPr>
                <w:spacing w:val="-5"/>
              </w:rPr>
              <w:t>88</w:t>
            </w:r>
          </w:hyperlink>
        </w:p>
        <w:p>
          <w:pPr>
            <w:pStyle w:val="TOC2"/>
            <w:numPr>
              <w:ilvl w:val="1"/>
              <w:numId w:val="1"/>
            </w:numPr>
            <w:tabs>
              <w:tab w:pos="1827" w:val="left" w:leader="none"/>
              <w:tab w:pos="9565" w:val="left" w:leader="dot"/>
            </w:tabs>
            <w:spacing w:line="240" w:lineRule="auto" w:before="2" w:after="0"/>
            <w:ind w:left="1827" w:right="0" w:hanging="367"/>
            <w:jc w:val="left"/>
          </w:pPr>
          <w:hyperlink w:history="true" w:anchor="_bookmark41">
            <w:r>
              <w:rPr/>
              <w:t>Programa</w:t>
            </w:r>
            <w:r>
              <w:rPr>
                <w:spacing w:val="-8"/>
              </w:rPr>
              <w:t> </w:t>
            </w:r>
            <w:r>
              <w:rPr/>
              <w:t>de</w:t>
            </w:r>
            <w:r>
              <w:rPr>
                <w:spacing w:val="-5"/>
              </w:rPr>
              <w:t> </w:t>
            </w:r>
            <w:r>
              <w:rPr/>
              <w:t>Protección</w:t>
            </w:r>
            <w:r>
              <w:rPr>
                <w:spacing w:val="-7"/>
              </w:rPr>
              <w:t> </w:t>
            </w:r>
            <w:r>
              <w:rPr/>
              <w:t>y</w:t>
            </w:r>
            <w:r>
              <w:rPr>
                <w:spacing w:val="-6"/>
              </w:rPr>
              <w:t> </w:t>
            </w:r>
            <w:r>
              <w:rPr/>
              <w:t>Promoción</w:t>
            </w:r>
            <w:r>
              <w:rPr>
                <w:spacing w:val="-7"/>
              </w:rPr>
              <w:t> </w:t>
            </w:r>
            <w:r>
              <w:rPr>
                <w:spacing w:val="-2"/>
              </w:rPr>
              <w:t>Social</w:t>
            </w:r>
            <w:r>
              <w:rPr/>
              <w:tab/>
            </w:r>
            <w:r>
              <w:rPr>
                <w:spacing w:val="-5"/>
              </w:rPr>
              <w:t>88</w:t>
            </w:r>
          </w:hyperlink>
        </w:p>
        <w:p>
          <w:pPr>
            <w:pStyle w:val="TOC2"/>
            <w:numPr>
              <w:ilvl w:val="1"/>
              <w:numId w:val="1"/>
            </w:numPr>
            <w:tabs>
              <w:tab w:pos="1827" w:val="left" w:leader="none"/>
              <w:tab w:pos="9565" w:val="left" w:leader="dot"/>
            </w:tabs>
            <w:spacing w:line="251" w:lineRule="exact" w:before="1" w:after="0"/>
            <w:ind w:left="1827" w:right="0" w:hanging="367"/>
            <w:jc w:val="left"/>
          </w:pPr>
          <w:hyperlink w:history="true" w:anchor="_bookmark44">
            <w:r>
              <w:rPr/>
              <w:t>Programa</w:t>
            </w:r>
            <w:r>
              <w:rPr>
                <w:spacing w:val="-9"/>
              </w:rPr>
              <w:t> </w:t>
            </w:r>
            <w:r>
              <w:rPr/>
              <w:t>de</w:t>
            </w:r>
            <w:r>
              <w:rPr>
                <w:spacing w:val="-5"/>
              </w:rPr>
              <w:t> </w:t>
            </w:r>
            <w:r>
              <w:rPr/>
              <w:t>Actividades</w:t>
            </w:r>
            <w:r>
              <w:rPr>
                <w:spacing w:val="-6"/>
              </w:rPr>
              <w:t> </w:t>
            </w:r>
            <w:r>
              <w:rPr>
                <w:spacing w:val="-2"/>
              </w:rPr>
              <w:t>Centrales</w:t>
            </w:r>
            <w:r>
              <w:rPr/>
              <w:tab/>
            </w:r>
            <w:r>
              <w:rPr>
                <w:spacing w:val="-5"/>
              </w:rPr>
              <w:t>98</w:t>
            </w:r>
          </w:hyperlink>
        </w:p>
        <w:p>
          <w:pPr>
            <w:pStyle w:val="TOC2"/>
            <w:numPr>
              <w:ilvl w:val="1"/>
              <w:numId w:val="1"/>
            </w:numPr>
            <w:tabs>
              <w:tab w:pos="1827" w:val="left" w:leader="none"/>
              <w:tab w:pos="9565" w:val="left" w:leader="dot"/>
            </w:tabs>
            <w:spacing w:line="251" w:lineRule="exact" w:before="0" w:after="0"/>
            <w:ind w:left="1827" w:right="0" w:hanging="367"/>
            <w:jc w:val="left"/>
          </w:pPr>
          <w:hyperlink w:history="true" w:anchor="_bookmark45">
            <w:r>
              <w:rPr/>
              <w:t>Programa</w:t>
            </w:r>
            <w:r>
              <w:rPr>
                <w:spacing w:val="-8"/>
              </w:rPr>
              <w:t> </w:t>
            </w:r>
            <w:r>
              <w:rPr/>
              <w:t>de</w:t>
            </w:r>
            <w:r>
              <w:rPr>
                <w:spacing w:val="-4"/>
              </w:rPr>
              <w:t> </w:t>
            </w:r>
            <w:r>
              <w:rPr/>
              <w:t>Empresas</w:t>
            </w:r>
            <w:r>
              <w:rPr>
                <w:spacing w:val="-5"/>
              </w:rPr>
              <w:t> </w:t>
            </w:r>
            <w:r>
              <w:rPr>
                <w:spacing w:val="-2"/>
              </w:rPr>
              <w:t>Comerciales</w:t>
            </w:r>
            <w:r>
              <w:rPr/>
              <w:tab/>
            </w:r>
            <w:r>
              <w:rPr>
                <w:spacing w:val="-5"/>
              </w:rPr>
              <w:t>99</w:t>
            </w:r>
          </w:hyperlink>
        </w:p>
        <w:p>
          <w:pPr>
            <w:pStyle w:val="TOC1"/>
            <w:numPr>
              <w:ilvl w:val="0"/>
              <w:numId w:val="1"/>
            </w:numPr>
            <w:tabs>
              <w:tab w:pos="1098" w:val="left" w:leader="none"/>
              <w:tab w:pos="9455" w:val="left" w:leader="dot"/>
            </w:tabs>
            <w:spacing w:line="240" w:lineRule="auto" w:before="2" w:after="0"/>
            <w:ind w:left="1098" w:right="0" w:hanging="248"/>
            <w:jc w:val="left"/>
          </w:pPr>
          <w:hyperlink w:history="true" w:anchor="_bookmark46">
            <w:r>
              <w:rPr/>
              <w:t>Comparación</w:t>
            </w:r>
            <w:r>
              <w:rPr>
                <w:spacing w:val="-15"/>
              </w:rPr>
              <w:t> </w:t>
            </w:r>
            <w:r>
              <w:rPr>
                <w:spacing w:val="-2"/>
              </w:rPr>
              <w:t>Presupuestaria</w:t>
            </w:r>
            <w:r>
              <w:rPr/>
              <w:tab/>
            </w:r>
            <w:r>
              <w:rPr>
                <w:spacing w:val="-5"/>
              </w:rPr>
              <w:t>101</w:t>
            </w:r>
          </w:hyperlink>
        </w:p>
        <w:p>
          <w:pPr>
            <w:pStyle w:val="TOC1"/>
            <w:numPr>
              <w:ilvl w:val="0"/>
              <w:numId w:val="1"/>
            </w:numPr>
            <w:tabs>
              <w:tab w:pos="1098" w:val="left" w:leader="none"/>
              <w:tab w:pos="9455" w:val="left" w:leader="dot"/>
            </w:tabs>
            <w:spacing w:line="240" w:lineRule="auto" w:before="1" w:after="0"/>
            <w:ind w:left="1098" w:right="0" w:hanging="248"/>
            <w:jc w:val="left"/>
          </w:pPr>
          <w:hyperlink w:history="true" w:anchor="_bookmark51">
            <w:r>
              <w:rPr/>
              <w:t>Marco</w:t>
            </w:r>
            <w:r>
              <w:rPr>
                <w:spacing w:val="-11"/>
              </w:rPr>
              <w:t> </w:t>
            </w:r>
            <w:r>
              <w:rPr/>
              <w:t>Estratégico</w:t>
            </w:r>
            <w:r>
              <w:rPr>
                <w:spacing w:val="-6"/>
              </w:rPr>
              <w:t> </w:t>
            </w:r>
            <w:r>
              <w:rPr>
                <w:spacing w:val="-2"/>
              </w:rPr>
              <w:t>Institucional</w:t>
            </w:r>
            <w:r>
              <w:rPr/>
              <w:tab/>
            </w:r>
            <w:r>
              <w:rPr>
                <w:spacing w:val="-5"/>
              </w:rPr>
              <w:t>102</w:t>
            </w:r>
          </w:hyperlink>
        </w:p>
        <w:p>
          <w:pPr>
            <w:pStyle w:val="TOC2"/>
            <w:numPr>
              <w:ilvl w:val="1"/>
              <w:numId w:val="1"/>
            </w:numPr>
            <w:tabs>
              <w:tab w:pos="1827" w:val="left" w:leader="none"/>
              <w:tab w:pos="9445" w:val="left" w:leader="dot"/>
            </w:tabs>
            <w:spacing w:line="251" w:lineRule="exact" w:before="2" w:after="0"/>
            <w:ind w:left="1827" w:right="0" w:hanging="367"/>
            <w:jc w:val="left"/>
          </w:pPr>
          <w:hyperlink w:history="true" w:anchor="_bookmark52">
            <w:r>
              <w:rPr/>
              <w:t>Visión</w:t>
            </w:r>
            <w:r>
              <w:rPr>
                <w:spacing w:val="-5"/>
              </w:rPr>
              <w:t> </w:t>
            </w:r>
            <w:r>
              <w:rPr>
                <w:spacing w:val="-2"/>
              </w:rPr>
              <w:t>Institucional</w:t>
            </w:r>
            <w:r>
              <w:rPr/>
              <w:tab/>
            </w:r>
            <w:r>
              <w:rPr>
                <w:spacing w:val="-5"/>
              </w:rPr>
              <w:t>102</w:t>
            </w:r>
          </w:hyperlink>
        </w:p>
        <w:p>
          <w:pPr>
            <w:pStyle w:val="TOC2"/>
            <w:numPr>
              <w:ilvl w:val="1"/>
              <w:numId w:val="1"/>
            </w:numPr>
            <w:tabs>
              <w:tab w:pos="1827" w:val="left" w:leader="none"/>
              <w:tab w:pos="9445" w:val="left" w:leader="dot"/>
            </w:tabs>
            <w:spacing w:line="251" w:lineRule="exact" w:before="0" w:after="0"/>
            <w:ind w:left="1827" w:right="0" w:hanging="367"/>
            <w:jc w:val="left"/>
          </w:pPr>
          <w:hyperlink w:history="true" w:anchor="_bookmark53">
            <w:r>
              <w:rPr/>
              <w:t>Misión</w:t>
            </w:r>
            <w:r>
              <w:rPr>
                <w:spacing w:val="-8"/>
              </w:rPr>
              <w:t> </w:t>
            </w:r>
            <w:r>
              <w:rPr>
                <w:spacing w:val="-2"/>
              </w:rPr>
              <w:t>Institucional</w:t>
            </w:r>
            <w:r>
              <w:rPr/>
              <w:tab/>
            </w:r>
            <w:r>
              <w:rPr>
                <w:spacing w:val="-5"/>
              </w:rPr>
              <w:t>103</w:t>
            </w:r>
          </w:hyperlink>
        </w:p>
        <w:p>
          <w:pPr>
            <w:pStyle w:val="TOC2"/>
            <w:numPr>
              <w:ilvl w:val="1"/>
              <w:numId w:val="1"/>
            </w:numPr>
            <w:tabs>
              <w:tab w:pos="1827" w:val="left" w:leader="none"/>
              <w:tab w:pos="9445" w:val="left" w:leader="dot"/>
            </w:tabs>
            <w:spacing w:line="240" w:lineRule="auto" w:before="2" w:after="0"/>
            <w:ind w:left="1827" w:right="0" w:hanging="367"/>
            <w:jc w:val="left"/>
          </w:pPr>
          <w:hyperlink w:history="true" w:anchor="_bookmark54">
            <w:r>
              <w:rPr/>
              <w:t>Políticas</w:t>
            </w:r>
            <w:r>
              <w:rPr>
                <w:spacing w:val="-11"/>
              </w:rPr>
              <w:t> </w:t>
            </w:r>
            <w:r>
              <w:rPr>
                <w:spacing w:val="-2"/>
              </w:rPr>
              <w:t>Institucionales</w:t>
            </w:r>
            <w:r>
              <w:rPr/>
              <w:tab/>
            </w:r>
            <w:r>
              <w:rPr>
                <w:spacing w:val="-5"/>
              </w:rPr>
              <w:t>103</w:t>
            </w:r>
          </w:hyperlink>
        </w:p>
        <w:p>
          <w:pPr>
            <w:pStyle w:val="TOC2"/>
            <w:numPr>
              <w:ilvl w:val="1"/>
              <w:numId w:val="2"/>
            </w:numPr>
            <w:tabs>
              <w:tab w:pos="1889" w:val="left" w:leader="none"/>
              <w:tab w:pos="9445" w:val="left" w:leader="dot"/>
            </w:tabs>
            <w:spacing w:line="251" w:lineRule="exact" w:before="1" w:after="0"/>
            <w:ind w:left="1889" w:right="0" w:hanging="429"/>
            <w:jc w:val="left"/>
          </w:pPr>
          <w:hyperlink w:history="true" w:anchor="_bookmark55">
            <w:r>
              <w:rPr/>
              <w:t>Objetivos</w:t>
            </w:r>
            <w:r>
              <w:rPr>
                <w:spacing w:val="-13"/>
              </w:rPr>
              <w:t> </w:t>
            </w:r>
            <w:r>
              <w:rPr/>
              <w:t>Estratégicos</w:t>
            </w:r>
            <w:r>
              <w:rPr>
                <w:spacing w:val="-8"/>
              </w:rPr>
              <w:t> </w:t>
            </w:r>
            <w:r>
              <w:rPr>
                <w:spacing w:val="-2"/>
              </w:rPr>
              <w:t>Institucionales</w:t>
            </w:r>
            <w:r>
              <w:rPr/>
              <w:tab/>
            </w:r>
            <w:r>
              <w:rPr>
                <w:spacing w:val="-5"/>
              </w:rPr>
              <w:t>103</w:t>
            </w:r>
          </w:hyperlink>
        </w:p>
        <w:p>
          <w:pPr>
            <w:pStyle w:val="TOC2"/>
            <w:numPr>
              <w:ilvl w:val="1"/>
              <w:numId w:val="3"/>
            </w:numPr>
            <w:tabs>
              <w:tab w:pos="1827" w:val="left" w:leader="none"/>
              <w:tab w:pos="9445" w:val="left" w:leader="dot"/>
            </w:tabs>
            <w:spacing w:line="251" w:lineRule="exact" w:before="0" w:after="0"/>
            <w:ind w:left="1827" w:right="0" w:hanging="367"/>
            <w:jc w:val="left"/>
          </w:pPr>
          <w:hyperlink w:history="true" w:anchor="_bookmark56">
            <w:r>
              <w:rPr/>
              <w:t>Indicadores</w:t>
            </w:r>
            <w:r>
              <w:rPr>
                <w:spacing w:val="-4"/>
              </w:rPr>
              <w:t> </w:t>
            </w:r>
            <w:r>
              <w:rPr/>
              <w:t>de</w:t>
            </w:r>
            <w:r>
              <w:rPr>
                <w:spacing w:val="-7"/>
              </w:rPr>
              <w:t> </w:t>
            </w:r>
            <w:r>
              <w:rPr/>
              <w:t>Gestión</w:t>
            </w:r>
            <w:r>
              <w:rPr>
                <w:spacing w:val="-7"/>
              </w:rPr>
              <w:t> </w:t>
            </w:r>
            <w:r>
              <w:rPr/>
              <w:t>y/o</w:t>
            </w:r>
            <w:r>
              <w:rPr>
                <w:spacing w:val="-6"/>
              </w:rPr>
              <w:t> </w:t>
            </w:r>
            <w:r>
              <w:rPr>
                <w:spacing w:val="-2"/>
              </w:rPr>
              <w:t>Resultados</w:t>
            </w:r>
            <w:r>
              <w:rPr/>
              <w:tab/>
            </w:r>
            <w:r>
              <w:rPr>
                <w:spacing w:val="-5"/>
              </w:rPr>
              <w:t>104</w:t>
            </w:r>
          </w:hyperlink>
        </w:p>
        <w:p>
          <w:pPr>
            <w:pStyle w:val="TOC2"/>
            <w:numPr>
              <w:ilvl w:val="1"/>
              <w:numId w:val="3"/>
            </w:numPr>
            <w:tabs>
              <w:tab w:pos="1827" w:val="left" w:leader="none"/>
              <w:tab w:pos="9445" w:val="left" w:leader="dot"/>
            </w:tabs>
            <w:spacing w:line="240" w:lineRule="auto" w:before="1" w:after="0"/>
            <w:ind w:left="1827" w:right="0" w:hanging="367"/>
            <w:jc w:val="left"/>
          </w:pPr>
          <w:hyperlink w:history="true" w:anchor="_bookmark57">
            <w:r>
              <w:rPr>
                <w:spacing w:val="-2"/>
              </w:rPr>
              <w:t>Valores</w:t>
            </w:r>
            <w:r>
              <w:rPr/>
              <w:tab/>
            </w:r>
            <w:r>
              <w:rPr>
                <w:spacing w:val="-5"/>
              </w:rPr>
              <w:t>104</w:t>
            </w:r>
          </w:hyperlink>
        </w:p>
        <w:p>
          <w:pPr>
            <w:pStyle w:val="TOC2"/>
            <w:numPr>
              <w:ilvl w:val="1"/>
              <w:numId w:val="3"/>
            </w:numPr>
            <w:tabs>
              <w:tab w:pos="1827" w:val="left" w:leader="none"/>
              <w:tab w:pos="9445" w:val="left" w:leader="dot"/>
            </w:tabs>
            <w:spacing w:line="240" w:lineRule="auto" w:before="2" w:after="0"/>
            <w:ind w:left="1827" w:right="0" w:hanging="367"/>
            <w:jc w:val="left"/>
          </w:pPr>
          <w:hyperlink w:history="true" w:anchor="_bookmark58">
            <w:r>
              <w:rPr/>
              <w:t>Factores</w:t>
            </w:r>
            <w:r>
              <w:rPr>
                <w:spacing w:val="-10"/>
              </w:rPr>
              <w:t> </w:t>
            </w:r>
            <w:r>
              <w:rPr/>
              <w:t>Claves</w:t>
            </w:r>
            <w:r>
              <w:rPr>
                <w:spacing w:val="-7"/>
              </w:rPr>
              <w:t> </w:t>
            </w:r>
            <w:r>
              <w:rPr/>
              <w:t>de</w:t>
            </w:r>
            <w:r>
              <w:rPr>
                <w:spacing w:val="-1"/>
              </w:rPr>
              <w:t> </w:t>
            </w:r>
            <w:r>
              <w:rPr>
                <w:spacing w:val="-4"/>
              </w:rPr>
              <w:t>Éxito</w:t>
            </w:r>
            <w:r>
              <w:rPr/>
              <w:tab/>
            </w:r>
            <w:r>
              <w:rPr>
                <w:spacing w:val="-5"/>
              </w:rPr>
              <w:t>105</w:t>
            </w:r>
          </w:hyperlink>
        </w:p>
        <w:p>
          <w:pPr>
            <w:pStyle w:val="TOC2"/>
            <w:numPr>
              <w:ilvl w:val="1"/>
              <w:numId w:val="3"/>
            </w:numPr>
            <w:tabs>
              <w:tab w:pos="1827" w:val="left" w:leader="none"/>
              <w:tab w:pos="9445" w:val="left" w:leader="dot"/>
            </w:tabs>
            <w:spacing w:line="251" w:lineRule="exact" w:before="1" w:after="0"/>
            <w:ind w:left="1827" w:right="0" w:hanging="367"/>
            <w:jc w:val="left"/>
          </w:pPr>
          <w:hyperlink w:history="true" w:anchor="_bookmark59">
            <w:r>
              <w:rPr/>
              <w:t>Población</w:t>
            </w:r>
            <w:r>
              <w:rPr>
                <w:spacing w:val="-11"/>
              </w:rPr>
              <w:t> </w:t>
            </w:r>
            <w:r>
              <w:rPr>
                <w:spacing w:val="-2"/>
              </w:rPr>
              <w:t>Objetivo</w:t>
            </w:r>
            <w:r>
              <w:rPr/>
              <w:tab/>
            </w:r>
            <w:r>
              <w:rPr>
                <w:spacing w:val="-5"/>
              </w:rPr>
              <w:t>105</w:t>
            </w:r>
          </w:hyperlink>
        </w:p>
        <w:p>
          <w:pPr>
            <w:pStyle w:val="TOC1"/>
            <w:numPr>
              <w:ilvl w:val="0"/>
              <w:numId w:val="1"/>
            </w:numPr>
            <w:tabs>
              <w:tab w:pos="1098" w:val="left" w:leader="none"/>
              <w:tab w:pos="9455" w:val="left" w:leader="dot"/>
            </w:tabs>
            <w:spacing w:line="251" w:lineRule="exact" w:before="0" w:after="0"/>
            <w:ind w:left="1098" w:right="0" w:hanging="248"/>
            <w:jc w:val="left"/>
          </w:pPr>
          <w:hyperlink w:history="true" w:anchor="_bookmark60">
            <w:r>
              <w:rPr/>
              <w:t>Vinculación</w:t>
            </w:r>
            <w:r>
              <w:rPr>
                <w:spacing w:val="-10"/>
              </w:rPr>
              <w:t> </w:t>
            </w:r>
            <w:r>
              <w:rPr/>
              <w:t>Plan</w:t>
            </w:r>
            <w:r>
              <w:rPr>
                <w:spacing w:val="-10"/>
              </w:rPr>
              <w:t> </w:t>
            </w:r>
            <w:r>
              <w:rPr>
                <w:spacing w:val="-2"/>
              </w:rPr>
              <w:t>Presupuesto</w:t>
            </w:r>
            <w:r>
              <w:rPr/>
              <w:tab/>
            </w:r>
            <w:r>
              <w:rPr>
                <w:spacing w:val="-5"/>
              </w:rPr>
              <w:t>106</w:t>
            </w:r>
          </w:hyperlink>
        </w:p>
        <w:p>
          <w:pPr>
            <w:pStyle w:val="TOC2"/>
            <w:numPr>
              <w:ilvl w:val="1"/>
              <w:numId w:val="1"/>
            </w:numPr>
            <w:tabs>
              <w:tab w:pos="1827" w:val="left" w:leader="none"/>
              <w:tab w:pos="9445" w:val="left" w:leader="dot"/>
            </w:tabs>
            <w:spacing w:line="240" w:lineRule="auto" w:before="2" w:after="0"/>
            <w:ind w:left="1460" w:right="1344" w:firstLine="0"/>
            <w:jc w:val="left"/>
          </w:pPr>
          <w:hyperlink w:history="true" w:anchor="_bookmark61">
            <w:r>
              <w:rPr/>
              <w:t>Matriz de Gestión para Resultados de Desarrollo (GpRD) del Programa</w:t>
            </w:r>
          </w:hyperlink>
          <w:r>
            <w:rPr/>
            <w:t> </w:t>
          </w:r>
          <w:hyperlink w:history="true" w:anchor="_bookmark61">
            <w:r>
              <w:rPr/>
              <w:t>protección y Promoción Social</w:t>
              <w:tab/>
            </w:r>
            <w:r>
              <w:rPr>
                <w:spacing w:val="-4"/>
              </w:rPr>
              <w:t>106</w:t>
            </w:r>
          </w:hyperlink>
        </w:p>
        <w:p>
          <w:pPr>
            <w:pStyle w:val="TOC2"/>
            <w:numPr>
              <w:ilvl w:val="1"/>
              <w:numId w:val="1"/>
            </w:numPr>
            <w:tabs>
              <w:tab w:pos="1827" w:val="left" w:leader="none"/>
              <w:tab w:pos="9445" w:val="left" w:leader="dot"/>
            </w:tabs>
            <w:spacing w:line="251" w:lineRule="exact" w:before="0" w:after="0"/>
            <w:ind w:left="1827" w:right="0" w:hanging="367"/>
            <w:jc w:val="left"/>
          </w:pPr>
          <w:hyperlink w:history="true" w:anchor="_bookmark62">
            <w:r>
              <w:rPr/>
              <w:t>Matriz</w:t>
            </w:r>
            <w:r>
              <w:rPr>
                <w:spacing w:val="-10"/>
              </w:rPr>
              <w:t> </w:t>
            </w:r>
            <w:r>
              <w:rPr/>
              <w:t>de</w:t>
            </w:r>
            <w:r>
              <w:rPr>
                <w:spacing w:val="-3"/>
              </w:rPr>
              <w:t> </w:t>
            </w:r>
            <w:r>
              <w:rPr/>
              <w:t>Trimestralización</w:t>
            </w:r>
            <w:r>
              <w:rPr>
                <w:spacing w:val="-8"/>
              </w:rPr>
              <w:t> </w:t>
            </w:r>
            <w:r>
              <w:rPr/>
              <w:t>del</w:t>
            </w:r>
            <w:r>
              <w:rPr>
                <w:spacing w:val="-10"/>
              </w:rPr>
              <w:t> </w:t>
            </w:r>
            <w:r>
              <w:rPr/>
              <w:t>Programa</w:t>
            </w:r>
            <w:r>
              <w:rPr>
                <w:spacing w:val="-7"/>
              </w:rPr>
              <w:t> </w:t>
            </w:r>
            <w:r>
              <w:rPr/>
              <w:t>Protección</w:t>
            </w:r>
            <w:r>
              <w:rPr>
                <w:spacing w:val="-4"/>
              </w:rPr>
              <w:t> </w:t>
            </w:r>
            <w:r>
              <w:rPr/>
              <w:t>y</w:t>
            </w:r>
            <w:r>
              <w:rPr>
                <w:spacing w:val="-9"/>
              </w:rPr>
              <w:t> </w:t>
            </w:r>
            <w:r>
              <w:rPr/>
              <w:t>Promoción</w:t>
            </w:r>
            <w:r>
              <w:rPr>
                <w:spacing w:val="-7"/>
              </w:rPr>
              <w:t> </w:t>
            </w:r>
            <w:r>
              <w:rPr>
                <w:spacing w:val="-2"/>
              </w:rPr>
              <w:t>Social</w:t>
            </w:r>
            <w:r>
              <w:rPr/>
              <w:tab/>
            </w:r>
            <w:r>
              <w:rPr>
                <w:spacing w:val="-5"/>
              </w:rPr>
              <w:t>142</w:t>
            </w:r>
          </w:hyperlink>
        </w:p>
        <w:p>
          <w:pPr>
            <w:pStyle w:val="TOC2"/>
            <w:numPr>
              <w:ilvl w:val="1"/>
              <w:numId w:val="1"/>
            </w:numPr>
            <w:tabs>
              <w:tab w:pos="1827" w:val="left" w:leader="none"/>
              <w:tab w:pos="9445" w:val="left" w:leader="dot"/>
            </w:tabs>
            <w:spacing w:line="240" w:lineRule="auto" w:before="1" w:after="0"/>
            <w:ind w:left="1460" w:right="1344" w:firstLine="0"/>
            <w:jc w:val="left"/>
          </w:pPr>
          <w:hyperlink w:history="true" w:anchor="_bookmark63">
            <w:r>
              <w:rPr/>
              <w:t>Matriz de Gestión para Resultados de Desarrollo (GpRD) del Programa</w:t>
            </w:r>
          </w:hyperlink>
          <w:r>
            <w:rPr/>
            <w:t> </w:t>
          </w:r>
          <w:hyperlink w:history="true" w:anchor="_bookmark63">
            <w:r>
              <w:rPr/>
              <w:t>Actividades</w:t>
            </w:r>
            <w:r>
              <w:rPr>
                <w:spacing w:val="-7"/>
              </w:rPr>
              <w:t> </w:t>
            </w:r>
            <w:r>
              <w:rPr>
                <w:spacing w:val="-2"/>
              </w:rPr>
              <w:t>Centrales</w:t>
            </w:r>
            <w:r>
              <w:rPr/>
              <w:tab/>
            </w:r>
            <w:r>
              <w:rPr>
                <w:spacing w:val="-5"/>
              </w:rPr>
              <w:t>188</w:t>
            </w:r>
          </w:hyperlink>
        </w:p>
        <w:p>
          <w:pPr>
            <w:pStyle w:val="TOC2"/>
            <w:numPr>
              <w:ilvl w:val="1"/>
              <w:numId w:val="1"/>
            </w:numPr>
            <w:tabs>
              <w:tab w:pos="1827" w:val="left" w:leader="none"/>
              <w:tab w:pos="9445" w:val="left" w:leader="dot"/>
            </w:tabs>
            <w:spacing w:line="251" w:lineRule="exact" w:before="0" w:after="0"/>
            <w:ind w:left="1827" w:right="0" w:hanging="367"/>
            <w:jc w:val="left"/>
          </w:pPr>
          <w:hyperlink w:history="true" w:anchor="_bookmark64">
            <w:r>
              <w:rPr/>
              <w:t>Matriz</w:t>
            </w:r>
            <w:r>
              <w:rPr>
                <w:spacing w:val="-12"/>
              </w:rPr>
              <w:t> </w:t>
            </w:r>
            <w:r>
              <w:rPr/>
              <w:t>de</w:t>
            </w:r>
            <w:r>
              <w:rPr>
                <w:spacing w:val="-4"/>
              </w:rPr>
              <w:t> </w:t>
            </w:r>
            <w:r>
              <w:rPr/>
              <w:t>Trimestralización</w:t>
            </w:r>
            <w:r>
              <w:rPr>
                <w:spacing w:val="-8"/>
              </w:rPr>
              <w:t> </w:t>
            </w:r>
            <w:r>
              <w:rPr/>
              <w:t>del</w:t>
            </w:r>
            <w:r>
              <w:rPr>
                <w:spacing w:val="-11"/>
              </w:rPr>
              <w:t> </w:t>
            </w:r>
            <w:r>
              <w:rPr/>
              <w:t>Programa</w:t>
            </w:r>
            <w:r>
              <w:rPr>
                <w:spacing w:val="-7"/>
              </w:rPr>
              <w:t> </w:t>
            </w:r>
            <w:r>
              <w:rPr/>
              <w:t>Actividades</w:t>
            </w:r>
            <w:r>
              <w:rPr>
                <w:spacing w:val="-5"/>
              </w:rPr>
              <w:t> </w:t>
            </w:r>
            <w:r>
              <w:rPr>
                <w:spacing w:val="-2"/>
              </w:rPr>
              <w:t>Centrales</w:t>
            </w:r>
            <w:r>
              <w:rPr/>
              <w:tab/>
            </w:r>
            <w:r>
              <w:rPr>
                <w:spacing w:val="-5"/>
              </w:rPr>
              <w:t>267</w:t>
            </w:r>
          </w:hyperlink>
        </w:p>
        <w:p>
          <w:pPr>
            <w:pStyle w:val="TOC2"/>
            <w:numPr>
              <w:ilvl w:val="1"/>
              <w:numId w:val="1"/>
            </w:numPr>
            <w:tabs>
              <w:tab w:pos="1827" w:val="left" w:leader="none"/>
              <w:tab w:pos="9445" w:val="left" w:leader="dot"/>
            </w:tabs>
            <w:spacing w:line="240" w:lineRule="auto" w:before="2" w:after="0"/>
            <w:ind w:left="1460" w:right="1344" w:firstLine="0"/>
            <w:jc w:val="left"/>
          </w:pPr>
          <w:hyperlink w:history="true" w:anchor="_bookmark65">
            <w:r>
              <w:rPr/>
              <w:t>Matriz de Gestión para Resultados de Desarrollo (GpRD) del Programa</w:t>
            </w:r>
          </w:hyperlink>
          <w:r>
            <w:rPr>
              <w:spacing w:val="40"/>
            </w:rPr>
            <w:t> </w:t>
          </w:r>
          <w:hyperlink w:history="true" w:anchor="_bookmark65">
            <w:r>
              <w:rPr/>
              <w:t>Empresas Comerciales</w:t>
              <w:tab/>
            </w:r>
            <w:r>
              <w:rPr>
                <w:spacing w:val="-4"/>
              </w:rPr>
              <w:t>343</w:t>
            </w:r>
          </w:hyperlink>
        </w:p>
        <w:p>
          <w:pPr>
            <w:pStyle w:val="TOC2"/>
            <w:numPr>
              <w:ilvl w:val="1"/>
              <w:numId w:val="1"/>
            </w:numPr>
            <w:tabs>
              <w:tab w:pos="1827" w:val="left" w:leader="none"/>
              <w:tab w:pos="9445" w:val="left" w:leader="dot"/>
            </w:tabs>
            <w:spacing w:line="240" w:lineRule="auto" w:before="3" w:after="0"/>
            <w:ind w:left="1827" w:right="0" w:hanging="367"/>
            <w:jc w:val="left"/>
          </w:pPr>
          <w:hyperlink w:history="true" w:anchor="_bookmark66">
            <w:r>
              <w:rPr/>
              <w:t>Matriz</w:t>
            </w:r>
            <w:r>
              <w:rPr>
                <w:spacing w:val="-12"/>
              </w:rPr>
              <w:t> </w:t>
            </w:r>
            <w:r>
              <w:rPr/>
              <w:t>de</w:t>
            </w:r>
            <w:r>
              <w:rPr>
                <w:spacing w:val="-3"/>
              </w:rPr>
              <w:t> </w:t>
            </w:r>
            <w:r>
              <w:rPr/>
              <w:t>Trimestralización</w:t>
            </w:r>
            <w:r>
              <w:rPr>
                <w:spacing w:val="-8"/>
              </w:rPr>
              <w:t> </w:t>
            </w:r>
            <w:r>
              <w:rPr/>
              <w:t>del</w:t>
            </w:r>
            <w:r>
              <w:rPr>
                <w:spacing w:val="-10"/>
              </w:rPr>
              <w:t> </w:t>
            </w:r>
            <w:r>
              <w:rPr/>
              <w:t>Programa</w:t>
            </w:r>
            <w:r>
              <w:rPr>
                <w:spacing w:val="-7"/>
              </w:rPr>
              <w:t> </w:t>
            </w:r>
            <w:r>
              <w:rPr/>
              <w:t>Empresas</w:t>
            </w:r>
            <w:r>
              <w:rPr>
                <w:spacing w:val="-4"/>
              </w:rPr>
              <w:t> </w:t>
            </w:r>
            <w:r>
              <w:rPr>
                <w:spacing w:val="-2"/>
              </w:rPr>
              <w:t>Comerciales</w:t>
            </w:r>
            <w:r>
              <w:rPr/>
              <w:tab/>
            </w:r>
            <w:r>
              <w:rPr>
                <w:spacing w:val="-5"/>
              </w:rPr>
              <w:t>350</w:t>
            </w:r>
          </w:hyperlink>
        </w:p>
      </w:sdtContent>
    </w:sdt>
    <w:p>
      <w:pPr>
        <w:pStyle w:val="TOC2"/>
        <w:spacing w:after="0" w:line="240" w:lineRule="auto"/>
        <w:jc w:val="left"/>
        <w:sectPr>
          <w:footerReference w:type="default" r:id="rId7"/>
          <w:pgSz w:w="12240" w:h="15840"/>
          <w:pgMar w:header="0" w:footer="1300" w:top="1340" w:bottom="1480" w:left="720" w:right="360"/>
          <w:pgNumType w:start="2"/>
        </w:sectPr>
      </w:pPr>
    </w:p>
    <w:p>
      <w:pPr>
        <w:spacing w:before="76"/>
        <w:ind w:left="979" w:right="0" w:firstLine="0"/>
        <w:jc w:val="left"/>
        <w:rPr>
          <w:b/>
          <w:sz w:val="22"/>
        </w:rPr>
      </w:pPr>
      <w:r>
        <w:rPr>
          <w:b/>
          <w:sz w:val="22"/>
        </w:rPr>
        <w:t>Índice</w:t>
      </w:r>
      <w:r>
        <w:rPr>
          <w:b/>
          <w:spacing w:val="-2"/>
          <w:sz w:val="22"/>
        </w:rPr>
        <w:t> </w:t>
      </w:r>
      <w:r>
        <w:rPr>
          <w:b/>
          <w:sz w:val="22"/>
        </w:rPr>
        <w:t>de</w:t>
      </w:r>
      <w:r>
        <w:rPr>
          <w:b/>
          <w:spacing w:val="-9"/>
          <w:sz w:val="22"/>
        </w:rPr>
        <w:t> </w:t>
      </w:r>
      <w:r>
        <w:rPr>
          <w:b/>
          <w:spacing w:val="-2"/>
          <w:sz w:val="22"/>
        </w:rPr>
        <w:t>Tablas</w:t>
      </w:r>
    </w:p>
    <w:p>
      <w:pPr>
        <w:pStyle w:val="BodyText"/>
        <w:spacing w:before="128"/>
        <w:rPr>
          <w:b/>
        </w:rPr>
      </w:pPr>
    </w:p>
    <w:p>
      <w:pPr>
        <w:pStyle w:val="BodyText"/>
        <w:tabs>
          <w:tab w:pos="9565" w:val="left" w:leader="dot"/>
        </w:tabs>
        <w:ind w:left="979"/>
      </w:pPr>
      <w:hyperlink w:history="true" w:anchor="_bookmark3">
        <w:r>
          <w:rPr/>
          <w:t>Tabla</w:t>
        </w:r>
        <w:r>
          <w:rPr>
            <w:spacing w:val="-6"/>
          </w:rPr>
          <w:t> </w:t>
        </w:r>
        <w:r>
          <w:rPr/>
          <w:t>1:</w:t>
        </w:r>
        <w:r>
          <w:rPr>
            <w:spacing w:val="-7"/>
          </w:rPr>
          <w:t> </w:t>
        </w:r>
        <w:r>
          <w:rPr/>
          <w:t>Nombres</w:t>
        </w:r>
        <w:r>
          <w:rPr>
            <w:spacing w:val="-4"/>
          </w:rPr>
          <w:t> </w:t>
        </w:r>
        <w:r>
          <w:rPr/>
          <w:t>y</w:t>
        </w:r>
        <w:r>
          <w:rPr>
            <w:spacing w:val="-3"/>
          </w:rPr>
          <w:t> </w:t>
        </w:r>
        <w:r>
          <w:rPr/>
          <w:t>cargos</w:t>
        </w:r>
        <w:r>
          <w:rPr>
            <w:spacing w:val="-8"/>
          </w:rPr>
          <w:t> </w:t>
        </w:r>
        <w:r>
          <w:rPr/>
          <w:t>de</w:t>
        </w:r>
        <w:r>
          <w:rPr>
            <w:spacing w:val="-2"/>
          </w:rPr>
          <w:t> </w:t>
        </w:r>
        <w:r>
          <w:rPr/>
          <w:t>la</w:t>
        </w:r>
        <w:r>
          <w:rPr>
            <w:spacing w:val="-2"/>
          </w:rPr>
          <w:t> </w:t>
        </w:r>
        <w:r>
          <w:rPr/>
          <w:t>Dirección</w:t>
        </w:r>
        <w:r>
          <w:rPr>
            <w:spacing w:val="-6"/>
          </w:rPr>
          <w:t> </w:t>
        </w:r>
        <w:r>
          <w:rPr/>
          <w:t>Superior</w:t>
        </w:r>
        <w:r>
          <w:rPr>
            <w:spacing w:val="-5"/>
          </w:rPr>
          <w:t> </w:t>
        </w:r>
        <w:r>
          <w:rPr/>
          <w:t>del</w:t>
        </w:r>
        <w:r>
          <w:rPr>
            <w:spacing w:val="-4"/>
          </w:rPr>
          <w:t> IMAS</w:t>
        </w:r>
        <w:r>
          <w:rPr/>
          <w:tab/>
        </w:r>
        <w:r>
          <w:rPr>
            <w:spacing w:val="-5"/>
          </w:rPr>
          <w:t>48</w:t>
        </w:r>
      </w:hyperlink>
    </w:p>
    <w:p>
      <w:pPr>
        <w:pStyle w:val="BodyText"/>
        <w:tabs>
          <w:tab w:pos="9565" w:val="left" w:leader="dot"/>
        </w:tabs>
        <w:spacing w:before="127"/>
        <w:ind w:left="979"/>
      </w:pPr>
      <w:hyperlink w:history="true" w:anchor="_bookmark5">
        <w:r>
          <w:rPr/>
          <w:t>Tabla</w:t>
        </w:r>
        <w:r>
          <w:rPr>
            <w:spacing w:val="-7"/>
          </w:rPr>
          <w:t> </w:t>
        </w:r>
        <w:r>
          <w:rPr/>
          <w:t>2:</w:t>
        </w:r>
        <w:r>
          <w:rPr>
            <w:spacing w:val="-7"/>
          </w:rPr>
          <w:t> </w:t>
        </w:r>
        <w:r>
          <w:rPr/>
          <w:t>Nombre</w:t>
        </w:r>
        <w:r>
          <w:rPr>
            <w:spacing w:val="-2"/>
          </w:rPr>
          <w:t> </w:t>
        </w:r>
        <w:r>
          <w:rPr/>
          <w:t>y</w:t>
        </w:r>
        <w:r>
          <w:rPr>
            <w:spacing w:val="-3"/>
          </w:rPr>
          <w:t> </w:t>
        </w:r>
        <w:r>
          <w:rPr/>
          <w:t>cargos</w:t>
        </w:r>
        <w:r>
          <w:rPr>
            <w:spacing w:val="-8"/>
          </w:rPr>
          <w:t> </w:t>
        </w:r>
        <w:r>
          <w:rPr/>
          <w:t>de</w:t>
        </w:r>
        <w:r>
          <w:rPr>
            <w:spacing w:val="-3"/>
          </w:rPr>
          <w:t> </w:t>
        </w:r>
        <w:r>
          <w:rPr/>
          <w:t>las</w:t>
        </w:r>
        <w:r>
          <w:rPr>
            <w:spacing w:val="-8"/>
          </w:rPr>
          <w:t> </w:t>
        </w:r>
        <w:r>
          <w:rPr/>
          <w:t>personas</w:t>
        </w:r>
        <w:r>
          <w:rPr>
            <w:spacing w:val="-3"/>
          </w:rPr>
          <w:t> </w:t>
        </w:r>
        <w:r>
          <w:rPr/>
          <w:t>responsables</w:t>
        </w:r>
        <w:r>
          <w:rPr>
            <w:spacing w:val="-3"/>
          </w:rPr>
          <w:t> </w:t>
        </w:r>
        <w:r>
          <w:rPr/>
          <w:t>de</w:t>
        </w:r>
        <w:r>
          <w:rPr>
            <w:spacing w:val="-3"/>
          </w:rPr>
          <w:t> </w:t>
        </w:r>
        <w:r>
          <w:rPr/>
          <w:t>instancias</w:t>
        </w:r>
        <w:r>
          <w:rPr>
            <w:spacing w:val="-8"/>
          </w:rPr>
          <w:t> </w:t>
        </w:r>
        <w:r>
          <w:rPr/>
          <w:t>staff</w:t>
        </w:r>
        <w:r>
          <w:rPr>
            <w:spacing w:val="-7"/>
          </w:rPr>
          <w:t> </w:t>
        </w:r>
        <w:r>
          <w:rPr/>
          <w:t>del</w:t>
        </w:r>
        <w:r>
          <w:rPr>
            <w:spacing w:val="-8"/>
          </w:rPr>
          <w:t> </w:t>
        </w:r>
        <w:r>
          <w:rPr>
            <w:spacing w:val="-4"/>
          </w:rPr>
          <w:t>IMAS</w:t>
        </w:r>
        <w:r>
          <w:rPr/>
          <w:tab/>
        </w:r>
        <w:r>
          <w:rPr>
            <w:spacing w:val="-5"/>
          </w:rPr>
          <w:t>48</w:t>
        </w:r>
      </w:hyperlink>
    </w:p>
    <w:p>
      <w:pPr>
        <w:pStyle w:val="BodyText"/>
        <w:tabs>
          <w:tab w:pos="9565" w:val="left" w:leader="dot"/>
        </w:tabs>
        <w:spacing w:line="360" w:lineRule="auto" w:before="126"/>
        <w:ind w:left="979" w:right="1342"/>
      </w:pPr>
      <w:hyperlink w:history="true" w:anchor="_bookmark7">
        <w:r>
          <w:rPr/>
          <w:t>Tabla 3: Nombres y cargos de personas responsables en la ejecución del Programa de</w:t>
        </w:r>
      </w:hyperlink>
      <w:r>
        <w:rPr/>
        <w:t> </w:t>
      </w:r>
      <w:hyperlink w:history="true" w:anchor="_bookmark7">
        <w:r>
          <w:rPr/>
          <w:t>Protección</w:t>
        </w:r>
        <w:r>
          <w:rPr>
            <w:spacing w:val="-6"/>
          </w:rPr>
          <w:t> </w:t>
        </w:r>
        <w:r>
          <w:rPr/>
          <w:t>y</w:t>
        </w:r>
        <w:r>
          <w:rPr>
            <w:spacing w:val="-8"/>
          </w:rPr>
          <w:t> </w:t>
        </w:r>
        <w:r>
          <w:rPr/>
          <w:t>Promoción</w:t>
        </w:r>
        <w:r>
          <w:rPr>
            <w:spacing w:val="-6"/>
          </w:rPr>
          <w:t> </w:t>
        </w:r>
        <w:r>
          <w:rPr/>
          <w:t>Social,</w:t>
        </w:r>
        <w:r>
          <w:rPr>
            <w:spacing w:val="-7"/>
          </w:rPr>
          <w:t> </w:t>
        </w:r>
        <w:r>
          <w:rPr/>
          <w:t>a</w:t>
        </w:r>
        <w:r>
          <w:rPr>
            <w:spacing w:val="-2"/>
          </w:rPr>
          <w:t> </w:t>
        </w:r>
        <w:r>
          <w:rPr/>
          <w:t>nivel</w:t>
        </w:r>
        <w:r>
          <w:rPr>
            <w:spacing w:val="-3"/>
          </w:rPr>
          <w:t> </w:t>
        </w:r>
        <w:r>
          <w:rPr>
            <w:spacing w:val="-2"/>
          </w:rPr>
          <w:t>regional</w:t>
        </w:r>
        <w:r>
          <w:rPr/>
          <w:tab/>
        </w:r>
        <w:r>
          <w:rPr>
            <w:spacing w:val="-5"/>
          </w:rPr>
          <w:t>49</w:t>
        </w:r>
      </w:hyperlink>
    </w:p>
    <w:p>
      <w:pPr>
        <w:pStyle w:val="BodyText"/>
        <w:tabs>
          <w:tab w:pos="9565" w:val="left" w:leader="dot"/>
        </w:tabs>
        <w:spacing w:line="252" w:lineRule="exact"/>
        <w:ind w:left="979"/>
      </w:pPr>
      <w:hyperlink w:history="true" w:anchor="_bookmark12">
        <w:r>
          <w:rPr/>
          <w:t>Tabla</w:t>
        </w:r>
        <w:r>
          <w:rPr>
            <w:spacing w:val="-7"/>
          </w:rPr>
          <w:t> </w:t>
        </w:r>
        <w:r>
          <w:rPr/>
          <w:t>4:Valor</w:t>
        </w:r>
        <w:r>
          <w:rPr>
            <w:spacing w:val="-5"/>
          </w:rPr>
          <w:t> </w:t>
        </w:r>
        <w:r>
          <w:rPr/>
          <w:t>en</w:t>
        </w:r>
        <w:r>
          <w:rPr>
            <w:spacing w:val="-2"/>
          </w:rPr>
          <w:t> </w:t>
        </w:r>
        <w:r>
          <w:rPr/>
          <w:t>libros</w:t>
        </w:r>
        <w:r>
          <w:rPr>
            <w:spacing w:val="-8"/>
          </w:rPr>
          <w:t> </w:t>
        </w:r>
        <w:r>
          <w:rPr/>
          <w:t>total</w:t>
        </w:r>
        <w:r>
          <w:rPr>
            <w:spacing w:val="-9"/>
          </w:rPr>
          <w:t> </w:t>
        </w:r>
        <w:r>
          <w:rPr/>
          <w:t>de</w:t>
        </w:r>
        <w:r>
          <w:rPr>
            <w:spacing w:val="-6"/>
          </w:rPr>
          <w:t> </w:t>
        </w:r>
        <w:r>
          <w:rPr/>
          <w:t>activos</w:t>
        </w:r>
        <w:r>
          <w:rPr>
            <w:spacing w:val="-3"/>
          </w:rPr>
          <w:t> </w:t>
        </w:r>
        <w:r>
          <w:rPr/>
          <w:t>institucionales</w:t>
        </w:r>
        <w:r>
          <w:rPr>
            <w:spacing w:val="-3"/>
          </w:rPr>
          <w:t> </w:t>
        </w:r>
        <w:r>
          <w:rPr/>
          <w:t>al</w:t>
        </w:r>
        <w:r>
          <w:rPr>
            <w:spacing w:val="-9"/>
          </w:rPr>
          <w:t> </w:t>
        </w:r>
        <w:r>
          <w:rPr/>
          <w:t>31</w:t>
        </w:r>
        <w:r>
          <w:rPr>
            <w:spacing w:val="-6"/>
          </w:rPr>
          <w:t> </w:t>
        </w:r>
        <w:r>
          <w:rPr/>
          <w:t>de</w:t>
        </w:r>
        <w:r>
          <w:rPr>
            <w:spacing w:val="-2"/>
          </w:rPr>
          <w:t> </w:t>
        </w:r>
        <w:r>
          <w:rPr/>
          <w:t>diciembre</w:t>
        </w:r>
        <w:r>
          <w:rPr>
            <w:spacing w:val="-6"/>
          </w:rPr>
          <w:t> </w:t>
        </w:r>
        <w:r>
          <w:rPr/>
          <w:t>del</w:t>
        </w:r>
        <w:r>
          <w:rPr>
            <w:spacing w:val="-4"/>
          </w:rPr>
          <w:t> 2024</w:t>
        </w:r>
        <w:r>
          <w:rPr/>
          <w:tab/>
        </w:r>
        <w:r>
          <w:rPr>
            <w:spacing w:val="-5"/>
          </w:rPr>
          <w:t>53</w:t>
        </w:r>
      </w:hyperlink>
    </w:p>
    <w:p>
      <w:pPr>
        <w:pStyle w:val="BodyText"/>
        <w:tabs>
          <w:tab w:pos="9565" w:val="left" w:leader="dot"/>
        </w:tabs>
        <w:spacing w:line="364" w:lineRule="auto" w:before="126"/>
        <w:ind w:left="979" w:right="1342"/>
      </w:pPr>
      <w:hyperlink w:history="true" w:anchor="_bookmark14">
        <w:r>
          <w:rPr/>
          <w:t>Tabla 5: Ingresos nominales reales según fuente de financiamiento en el año 2024 (en</w:t>
        </w:r>
      </w:hyperlink>
      <w:r>
        <w:rPr/>
        <w:t> </w:t>
      </w:r>
      <w:hyperlink w:history="true" w:anchor="_bookmark14">
        <w:r>
          <w:rPr/>
          <w:t>miles de colones)</w:t>
          <w:tab/>
        </w:r>
        <w:r>
          <w:rPr>
            <w:spacing w:val="-6"/>
          </w:rPr>
          <w:t>55</w:t>
        </w:r>
      </w:hyperlink>
    </w:p>
    <w:p>
      <w:pPr>
        <w:pStyle w:val="BodyText"/>
        <w:tabs>
          <w:tab w:pos="9565" w:val="left" w:leader="dot"/>
        </w:tabs>
        <w:spacing w:line="360" w:lineRule="auto"/>
        <w:ind w:left="979" w:right="1342"/>
      </w:pPr>
      <w:hyperlink w:history="true" w:anchor="_bookmark15">
        <w:r>
          <w:rPr/>
          <w:t>Tabla 6:Distribución del presupuesto institucional egresos reales y disponible</w:t>
        </w:r>
      </w:hyperlink>
      <w:r>
        <w:rPr/>
        <w:t> </w:t>
      </w:r>
      <w:hyperlink w:history="true" w:anchor="_bookmark15">
        <w:r>
          <w:rPr/>
          <w:t>presupuestario</w:t>
        </w:r>
        <w:r>
          <w:rPr>
            <w:spacing w:val="-2"/>
          </w:rPr>
          <w:t> </w:t>
        </w:r>
        <w:r>
          <w:rPr/>
          <w:t>según</w:t>
        </w:r>
        <w:r>
          <w:rPr>
            <w:spacing w:val="-5"/>
          </w:rPr>
          <w:t> </w:t>
        </w:r>
        <w:r>
          <w:rPr/>
          <w:t>programa</w:t>
        </w:r>
        <w:r>
          <w:rPr>
            <w:spacing w:val="-5"/>
          </w:rPr>
          <w:t> </w:t>
        </w:r>
        <w:r>
          <w:rPr/>
          <w:t>en</w:t>
        </w:r>
        <w:r>
          <w:rPr>
            <w:spacing w:val="-2"/>
          </w:rPr>
          <w:t> </w:t>
        </w:r>
        <w:r>
          <w:rPr/>
          <w:t>el</w:t>
        </w:r>
        <w:r>
          <w:rPr>
            <w:spacing w:val="-8"/>
          </w:rPr>
          <w:t> </w:t>
        </w:r>
        <w:r>
          <w:rPr/>
          <w:t>año</w:t>
        </w:r>
        <w:r>
          <w:rPr>
            <w:spacing w:val="-5"/>
          </w:rPr>
          <w:t> </w:t>
        </w:r>
        <w:r>
          <w:rPr/>
          <w:t>2024</w:t>
        </w:r>
        <w:r>
          <w:rPr>
            <w:spacing w:val="-5"/>
          </w:rPr>
          <w:t> </w:t>
        </w:r>
        <w:r>
          <w:rPr/>
          <w:t>(en</w:t>
        </w:r>
        <w:r>
          <w:rPr>
            <w:spacing w:val="-5"/>
          </w:rPr>
          <w:t> </w:t>
        </w:r>
        <w:r>
          <w:rPr/>
          <w:t>miles</w:t>
        </w:r>
        <w:r>
          <w:rPr>
            <w:spacing w:val="-7"/>
          </w:rPr>
          <w:t> </w:t>
        </w:r>
        <w:r>
          <w:rPr/>
          <w:t>de</w:t>
        </w:r>
        <w:r>
          <w:rPr>
            <w:spacing w:val="-1"/>
          </w:rPr>
          <w:t> </w:t>
        </w:r>
        <w:r>
          <w:rPr>
            <w:spacing w:val="-2"/>
          </w:rPr>
          <w:t>colones)</w:t>
        </w:r>
        <w:r>
          <w:rPr/>
          <w:tab/>
        </w:r>
        <w:r>
          <w:rPr>
            <w:spacing w:val="-5"/>
          </w:rPr>
          <w:t>56</w:t>
        </w:r>
      </w:hyperlink>
    </w:p>
    <w:p>
      <w:pPr>
        <w:pStyle w:val="BodyText"/>
        <w:tabs>
          <w:tab w:pos="9565" w:val="left" w:leader="dot"/>
        </w:tabs>
        <w:spacing w:line="252" w:lineRule="exact"/>
        <w:ind w:left="979"/>
      </w:pPr>
      <w:hyperlink w:history="true" w:anchor="_bookmark16">
        <w:r>
          <w:rPr/>
          <w:t>Tabla</w:t>
        </w:r>
        <w:r>
          <w:rPr>
            <w:spacing w:val="-9"/>
          </w:rPr>
          <w:t> </w:t>
        </w:r>
        <w:r>
          <w:rPr/>
          <w:t>7:</w:t>
        </w:r>
        <w:r>
          <w:rPr>
            <w:spacing w:val="-7"/>
          </w:rPr>
          <w:t> </w:t>
        </w:r>
        <w:r>
          <w:rPr/>
          <w:t>Ingresos</w:t>
        </w:r>
        <w:r>
          <w:rPr>
            <w:spacing w:val="-3"/>
          </w:rPr>
          <w:t> </w:t>
        </w:r>
        <w:r>
          <w:rPr/>
          <w:t>reales</w:t>
        </w:r>
        <w:r>
          <w:rPr>
            <w:spacing w:val="-8"/>
          </w:rPr>
          <w:t> </w:t>
        </w:r>
        <w:r>
          <w:rPr/>
          <w:t>del</w:t>
        </w:r>
        <w:r>
          <w:rPr>
            <w:spacing w:val="-5"/>
          </w:rPr>
          <w:t> </w:t>
        </w:r>
        <w:r>
          <w:rPr/>
          <w:t>Departamento</w:t>
        </w:r>
        <w:r>
          <w:rPr>
            <w:spacing w:val="-6"/>
          </w:rPr>
          <w:t> </w:t>
        </w:r>
        <w:r>
          <w:rPr/>
          <w:t>de</w:t>
        </w:r>
        <w:r>
          <w:rPr>
            <w:spacing w:val="-2"/>
          </w:rPr>
          <w:t> </w:t>
        </w:r>
        <w:r>
          <w:rPr/>
          <w:t>Empresas</w:t>
        </w:r>
        <w:r>
          <w:rPr>
            <w:spacing w:val="-8"/>
          </w:rPr>
          <w:t> </w:t>
        </w:r>
        <w:r>
          <w:rPr>
            <w:spacing w:val="-2"/>
          </w:rPr>
          <w:t>Comerciales</w:t>
        </w:r>
        <w:r>
          <w:rPr/>
          <w:tab/>
        </w:r>
        <w:r>
          <w:rPr>
            <w:spacing w:val="-5"/>
          </w:rPr>
          <w:t>56</w:t>
        </w:r>
      </w:hyperlink>
    </w:p>
    <w:p>
      <w:pPr>
        <w:pStyle w:val="BodyText"/>
        <w:tabs>
          <w:tab w:pos="9565" w:val="left" w:leader="dot"/>
        </w:tabs>
        <w:spacing w:before="121"/>
        <w:ind w:left="979"/>
      </w:pPr>
      <w:hyperlink w:history="true" w:anchor="_bookmark17">
        <w:r>
          <w:rPr/>
          <w:t>Tabla</w:t>
        </w:r>
        <w:r>
          <w:rPr>
            <w:spacing w:val="-5"/>
          </w:rPr>
          <w:t> </w:t>
        </w:r>
        <w:r>
          <w:rPr/>
          <w:t>8:</w:t>
        </w:r>
        <w:r>
          <w:rPr>
            <w:spacing w:val="-5"/>
          </w:rPr>
          <w:t> </w:t>
        </w:r>
        <w:r>
          <w:rPr/>
          <w:t>Cantidad</w:t>
        </w:r>
        <w:r>
          <w:rPr>
            <w:spacing w:val="-5"/>
          </w:rPr>
          <w:t> </w:t>
        </w:r>
        <w:r>
          <w:rPr/>
          <w:t>de Plazas</w:t>
        </w:r>
        <w:r>
          <w:rPr>
            <w:spacing w:val="-7"/>
          </w:rPr>
          <w:t> </w:t>
        </w:r>
        <w:r>
          <w:rPr/>
          <w:t>en el</w:t>
        </w:r>
        <w:r>
          <w:rPr>
            <w:spacing w:val="-7"/>
          </w:rPr>
          <w:t> </w:t>
        </w:r>
        <w:r>
          <w:rPr>
            <w:spacing w:val="-4"/>
          </w:rPr>
          <w:t>IMAS</w:t>
        </w:r>
        <w:r>
          <w:rPr/>
          <w:tab/>
        </w:r>
        <w:r>
          <w:rPr>
            <w:spacing w:val="-5"/>
          </w:rPr>
          <w:t>57</w:t>
        </w:r>
      </w:hyperlink>
    </w:p>
    <w:p>
      <w:pPr>
        <w:pStyle w:val="BodyText"/>
        <w:spacing w:before="127"/>
        <w:ind w:left="979"/>
      </w:pPr>
      <w:hyperlink w:history="true" w:anchor="_bookmark29">
        <w:r>
          <w:rPr/>
          <w:t>Tabla</w:t>
        </w:r>
        <w:r>
          <w:rPr>
            <w:spacing w:val="-8"/>
          </w:rPr>
          <w:t> </w:t>
        </w:r>
        <w:r>
          <w:rPr/>
          <w:t>9:</w:t>
        </w:r>
        <w:r>
          <w:rPr>
            <w:spacing w:val="-9"/>
          </w:rPr>
          <w:t> </w:t>
        </w:r>
        <w:r>
          <w:rPr/>
          <w:t>Costa</w:t>
        </w:r>
        <w:r>
          <w:rPr>
            <w:spacing w:val="-4"/>
          </w:rPr>
          <w:t> </w:t>
        </w:r>
        <w:r>
          <w:rPr/>
          <w:t>Rica:</w:t>
        </w:r>
        <w:r>
          <w:rPr>
            <w:spacing w:val="-4"/>
          </w:rPr>
          <w:t> </w:t>
        </w:r>
        <w:r>
          <w:rPr/>
          <w:t>Indicadores</w:t>
        </w:r>
        <w:r>
          <w:rPr>
            <w:spacing w:val="-10"/>
          </w:rPr>
          <w:t> </w:t>
        </w:r>
        <w:r>
          <w:rPr/>
          <w:t>macroeconómicos</w:t>
        </w:r>
        <w:r>
          <w:rPr>
            <w:spacing w:val="-5"/>
          </w:rPr>
          <w:t> </w:t>
        </w:r>
        <w:r>
          <w:rPr/>
          <w:t>y</w:t>
        </w:r>
        <w:r>
          <w:rPr>
            <w:spacing w:val="-5"/>
          </w:rPr>
          <w:t> </w:t>
        </w:r>
        <w:r>
          <w:rPr/>
          <w:t>sociales</w:t>
        </w:r>
        <w:r>
          <w:rPr>
            <w:spacing w:val="-5"/>
          </w:rPr>
          <w:t> </w:t>
        </w:r>
        <w:r>
          <w:rPr/>
          <w:t>seleccionados,</w:t>
        </w:r>
        <w:r>
          <w:rPr>
            <w:spacing w:val="-8"/>
          </w:rPr>
          <w:t> </w:t>
        </w:r>
        <w:r>
          <w:rPr/>
          <w:t>2010-</w:t>
        </w:r>
        <w:r>
          <w:rPr>
            <w:spacing w:val="-4"/>
          </w:rPr>
          <w:t>2024</w:t>
        </w:r>
      </w:hyperlink>
    </w:p>
    <w:p>
      <w:pPr>
        <w:pStyle w:val="BodyText"/>
        <w:tabs>
          <w:tab w:pos="9565" w:val="left" w:leader="dot"/>
        </w:tabs>
        <w:spacing w:before="126"/>
        <w:ind w:left="1027"/>
      </w:pPr>
      <w:hyperlink w:history="true" w:anchor="_bookmark29">
        <w:r>
          <w:rPr>
            <w:spacing w:val="-10"/>
          </w:rPr>
          <w:t>.</w:t>
        </w:r>
        <w:r>
          <w:rPr/>
          <w:tab/>
        </w:r>
        <w:r>
          <w:rPr>
            <w:spacing w:val="-5"/>
          </w:rPr>
          <w:t>72</w:t>
        </w:r>
      </w:hyperlink>
    </w:p>
    <w:p>
      <w:pPr>
        <w:pStyle w:val="BodyText"/>
        <w:tabs>
          <w:tab w:pos="9445" w:val="left" w:leader="dot"/>
        </w:tabs>
        <w:spacing w:line="360" w:lineRule="auto" w:before="126"/>
        <w:ind w:left="979" w:right="1344"/>
      </w:pPr>
      <w:hyperlink w:history="true" w:anchor="_bookmark47">
        <w:r>
          <w:rPr/>
          <w:t>Tabla 10: Comparación del Presupuesto ordinario de gasto periodo 2025 y 2026, según</w:t>
        </w:r>
      </w:hyperlink>
      <w:r>
        <w:rPr/>
        <w:t> </w:t>
      </w:r>
      <w:hyperlink w:history="true" w:anchor="_bookmark47">
        <w:r>
          <w:rPr/>
          <w:t>partidas en miles de colones</w:t>
          <w:tab/>
        </w:r>
        <w:r>
          <w:rPr>
            <w:spacing w:val="-4"/>
          </w:rPr>
          <w:t>101</w:t>
        </w:r>
      </w:hyperlink>
    </w:p>
    <w:p>
      <w:pPr>
        <w:pStyle w:val="BodyText"/>
        <w:tabs>
          <w:tab w:pos="9445" w:val="left" w:leader="dot"/>
        </w:tabs>
        <w:spacing w:line="360" w:lineRule="auto"/>
        <w:ind w:left="979" w:right="1344"/>
      </w:pPr>
      <w:hyperlink w:history="true" w:anchor="_bookmark48">
        <w:r>
          <w:rPr/>
          <w:t>Tabla 11: Comparación del Presupuesto ordinario de gasto periodo 2025 y 2026, según</w:t>
        </w:r>
      </w:hyperlink>
      <w:r>
        <w:rPr/>
        <w:t> </w:t>
      </w:r>
      <w:hyperlink w:history="true" w:anchor="_bookmark48">
        <w:r>
          <w:rPr/>
          <w:t>partidas Programa Protección y Promoción Social (Miles de colones)</w:t>
          <w:tab/>
        </w:r>
        <w:r>
          <w:rPr>
            <w:spacing w:val="-4"/>
          </w:rPr>
          <w:t>101</w:t>
        </w:r>
      </w:hyperlink>
    </w:p>
    <w:p>
      <w:pPr>
        <w:pStyle w:val="BodyText"/>
        <w:tabs>
          <w:tab w:pos="9445" w:val="left" w:leader="dot"/>
        </w:tabs>
        <w:spacing w:line="360" w:lineRule="auto"/>
        <w:ind w:left="979" w:right="1344"/>
      </w:pPr>
      <w:hyperlink w:history="true" w:anchor="_bookmark49">
        <w:r>
          <w:rPr/>
          <w:t>Tabla 12: Comparación del Presupuesto ordinario de gasto periodo 2025 y 2026, según</w:t>
        </w:r>
      </w:hyperlink>
      <w:r>
        <w:rPr/>
        <w:t> </w:t>
      </w:r>
      <w:hyperlink w:history="true" w:anchor="_bookmark49">
        <w:r>
          <w:rPr/>
          <w:t>partidas Programa Actividades Centrales, Auditoria y Avancemos (Miles de colones)</w:t>
          <w:tab/>
        </w:r>
        <w:r>
          <w:rPr>
            <w:spacing w:val="-4"/>
          </w:rPr>
          <w:t>102</w:t>
        </w:r>
      </w:hyperlink>
    </w:p>
    <w:p>
      <w:pPr>
        <w:pStyle w:val="BodyText"/>
        <w:tabs>
          <w:tab w:pos="9445" w:val="left" w:leader="dot"/>
        </w:tabs>
        <w:ind w:left="979" w:right="1344"/>
      </w:pPr>
      <w:hyperlink w:history="true" w:anchor="_bookmark50">
        <w:r>
          <w:rPr/>
          <w:t>Tabla 13: Comparación del Presupuesto ordinario de gasto periodo 2025 y 2026, según</w:t>
        </w:r>
      </w:hyperlink>
      <w:r>
        <w:rPr/>
        <w:t> </w:t>
      </w:r>
      <w:hyperlink w:history="true" w:anchor="_bookmark50">
        <w:r>
          <w:rPr/>
          <w:t>partidas Programa Empresas Comerciales (Miles de colones)</w:t>
          <w:tab/>
        </w:r>
        <w:r>
          <w:rPr>
            <w:spacing w:val="-4"/>
          </w:rPr>
          <w:t>102</w:t>
        </w:r>
      </w:hyperlink>
    </w:p>
    <w:p>
      <w:pPr>
        <w:pStyle w:val="BodyText"/>
      </w:pPr>
    </w:p>
    <w:p>
      <w:pPr>
        <w:pStyle w:val="BodyText"/>
      </w:pPr>
    </w:p>
    <w:p>
      <w:pPr>
        <w:pStyle w:val="BodyText"/>
        <w:spacing w:before="170"/>
      </w:pPr>
    </w:p>
    <w:p>
      <w:pPr>
        <w:pStyle w:val="Heading2"/>
      </w:pPr>
      <w:r>
        <w:rPr/>
        <w:t>Índice</w:t>
      </w:r>
      <w:r>
        <w:rPr>
          <w:spacing w:val="-2"/>
        </w:rPr>
        <w:t> </w:t>
      </w:r>
      <w:r>
        <w:rPr/>
        <w:t>de</w:t>
      </w:r>
      <w:r>
        <w:rPr>
          <w:spacing w:val="-5"/>
        </w:rPr>
        <w:t> </w:t>
      </w:r>
      <w:r>
        <w:rPr>
          <w:spacing w:val="-2"/>
        </w:rPr>
        <w:t>Gráficos:</w:t>
      </w:r>
    </w:p>
    <w:p>
      <w:pPr>
        <w:pStyle w:val="BodyText"/>
        <w:spacing w:before="3"/>
        <w:rPr>
          <w:b/>
        </w:rPr>
      </w:pPr>
    </w:p>
    <w:p>
      <w:pPr>
        <w:pStyle w:val="BodyText"/>
        <w:tabs>
          <w:tab w:pos="9565" w:val="left" w:leader="dot"/>
        </w:tabs>
        <w:ind w:left="979"/>
      </w:pPr>
      <w:hyperlink w:history="true" w:anchor="_bookmark13">
        <w:r>
          <w:rPr/>
          <w:t>Gráfico</w:t>
        </w:r>
        <w:r>
          <w:rPr>
            <w:spacing w:val="-5"/>
          </w:rPr>
          <w:t> </w:t>
        </w:r>
        <w:r>
          <w:rPr/>
          <w:t>1:</w:t>
        </w:r>
        <w:r>
          <w:rPr>
            <w:spacing w:val="-7"/>
          </w:rPr>
          <w:t> </w:t>
        </w:r>
        <w:r>
          <w:rPr/>
          <w:t>Distribución</w:t>
        </w:r>
        <w:r>
          <w:rPr>
            <w:spacing w:val="-6"/>
          </w:rPr>
          <w:t> </w:t>
        </w:r>
        <w:r>
          <w:rPr/>
          <w:t>%</w:t>
        </w:r>
        <w:r>
          <w:rPr>
            <w:spacing w:val="-8"/>
          </w:rPr>
          <w:t> </w:t>
        </w:r>
        <w:r>
          <w:rPr/>
          <w:t>de</w:t>
        </w:r>
        <w:r>
          <w:rPr>
            <w:spacing w:val="-2"/>
          </w:rPr>
          <w:t> </w:t>
        </w:r>
        <w:r>
          <w:rPr/>
          <w:t>los</w:t>
        </w:r>
        <w:r>
          <w:rPr>
            <w:spacing w:val="-3"/>
          </w:rPr>
          <w:t> </w:t>
        </w:r>
        <w:r>
          <w:rPr/>
          <w:t>ingresos</w:t>
        </w:r>
        <w:r>
          <w:rPr>
            <w:spacing w:val="-3"/>
          </w:rPr>
          <w:t> </w:t>
        </w:r>
        <w:r>
          <w:rPr>
            <w:spacing w:val="-2"/>
          </w:rPr>
          <w:t>reales</w:t>
        </w:r>
        <w:r>
          <w:rPr/>
          <w:tab/>
        </w:r>
        <w:r>
          <w:rPr>
            <w:spacing w:val="-5"/>
          </w:rPr>
          <w:t>54</w:t>
        </w:r>
      </w:hyperlink>
    </w:p>
    <w:p>
      <w:pPr>
        <w:pStyle w:val="BodyText"/>
        <w:tabs>
          <w:tab w:pos="9565" w:val="left" w:leader="dot"/>
        </w:tabs>
        <w:spacing w:before="126"/>
        <w:ind w:left="979"/>
      </w:pPr>
      <w:hyperlink w:history="true" w:anchor="_bookmark20">
        <w:r>
          <w:rPr/>
          <w:t>Gráfico</w:t>
        </w:r>
        <w:r>
          <w:rPr>
            <w:spacing w:val="-8"/>
          </w:rPr>
          <w:t> </w:t>
        </w:r>
        <w:r>
          <w:rPr/>
          <w:t>2:</w:t>
        </w:r>
        <w:r>
          <w:rPr>
            <w:spacing w:val="-6"/>
          </w:rPr>
          <w:t> </w:t>
        </w:r>
        <w:r>
          <w:rPr/>
          <w:t>Resultados</w:t>
        </w:r>
        <w:r>
          <w:rPr>
            <w:spacing w:val="-8"/>
          </w:rPr>
          <w:t> </w:t>
        </w:r>
        <w:r>
          <w:rPr/>
          <w:t>globales</w:t>
        </w:r>
        <w:r>
          <w:rPr>
            <w:spacing w:val="-7"/>
          </w:rPr>
          <w:t> </w:t>
        </w:r>
        <w:r>
          <w:rPr/>
          <w:t>por</w:t>
        </w:r>
        <w:r>
          <w:rPr>
            <w:spacing w:val="-9"/>
          </w:rPr>
          <w:t> </w:t>
        </w:r>
        <w:r>
          <w:rPr/>
          <w:t>Estado</w:t>
        </w:r>
        <w:r>
          <w:rPr>
            <w:spacing w:val="-2"/>
          </w:rPr>
          <w:t> </w:t>
        </w:r>
        <w:r>
          <w:rPr/>
          <w:t>de</w:t>
        </w:r>
        <w:r>
          <w:rPr>
            <w:spacing w:val="-1"/>
          </w:rPr>
          <w:t> </w:t>
        </w:r>
        <w:r>
          <w:rPr>
            <w:spacing w:val="-2"/>
          </w:rPr>
          <w:t>Cumplimiento</w:t>
        </w:r>
        <w:r>
          <w:rPr/>
          <w:tab/>
        </w:r>
        <w:r>
          <w:rPr>
            <w:spacing w:val="-5"/>
          </w:rPr>
          <w:t>59</w:t>
        </w:r>
      </w:hyperlink>
    </w:p>
    <w:p>
      <w:pPr>
        <w:pStyle w:val="BodyText"/>
        <w:tabs>
          <w:tab w:pos="9565" w:val="left" w:leader="dot"/>
        </w:tabs>
        <w:spacing w:before="126"/>
        <w:ind w:left="979"/>
      </w:pPr>
      <w:hyperlink w:history="true" w:anchor="_bookmark21">
        <w:r>
          <w:rPr/>
          <w:t>Gráfico</w:t>
        </w:r>
        <w:r>
          <w:rPr>
            <w:spacing w:val="-7"/>
          </w:rPr>
          <w:t> </w:t>
        </w:r>
        <w:r>
          <w:rPr/>
          <w:t>3:</w:t>
        </w:r>
        <w:r>
          <w:rPr>
            <w:spacing w:val="-8"/>
          </w:rPr>
          <w:t> </w:t>
        </w:r>
        <w:r>
          <w:rPr/>
          <w:t>Estado</w:t>
        </w:r>
        <w:r>
          <w:rPr>
            <w:spacing w:val="-7"/>
          </w:rPr>
          <w:t> </w:t>
        </w:r>
        <w:r>
          <w:rPr/>
          <w:t>de</w:t>
        </w:r>
        <w:r>
          <w:rPr>
            <w:spacing w:val="-7"/>
          </w:rPr>
          <w:t> </w:t>
        </w:r>
        <w:r>
          <w:rPr/>
          <w:t>cumplimiento</w:t>
        </w:r>
        <w:r>
          <w:rPr>
            <w:spacing w:val="-4"/>
          </w:rPr>
          <w:t> </w:t>
        </w:r>
        <w:r>
          <w:rPr/>
          <w:t>por</w:t>
        </w:r>
        <w:r>
          <w:rPr>
            <w:spacing w:val="-6"/>
          </w:rPr>
          <w:t> </w:t>
        </w:r>
        <w:r>
          <w:rPr/>
          <w:t>componente</w:t>
        </w:r>
        <w:r>
          <w:rPr>
            <w:spacing w:val="-3"/>
          </w:rPr>
          <w:t> </w:t>
        </w:r>
        <w:r>
          <w:rPr/>
          <w:t>del</w:t>
        </w:r>
        <w:r>
          <w:rPr>
            <w:spacing w:val="-5"/>
          </w:rPr>
          <w:t> </w:t>
        </w:r>
        <w:r>
          <w:rPr/>
          <w:t>SCI</w:t>
        </w:r>
        <w:r>
          <w:rPr>
            <w:spacing w:val="5"/>
          </w:rPr>
          <w:t> </w:t>
        </w:r>
        <w:r>
          <w:rPr/>
          <w:t>–</w:t>
        </w:r>
        <w:r>
          <w:rPr>
            <w:spacing w:val="-7"/>
          </w:rPr>
          <w:t> </w:t>
        </w:r>
        <w:r>
          <w:rPr/>
          <w:t>Autoevaluación</w:t>
        </w:r>
        <w:r>
          <w:rPr>
            <w:spacing w:val="-7"/>
          </w:rPr>
          <w:t> </w:t>
        </w:r>
        <w:r>
          <w:rPr>
            <w:spacing w:val="-4"/>
          </w:rPr>
          <w:t>2024</w:t>
        </w:r>
        <w:r>
          <w:rPr/>
          <w:tab/>
        </w:r>
        <w:r>
          <w:rPr>
            <w:spacing w:val="-5"/>
          </w:rPr>
          <w:t>60</w:t>
        </w:r>
      </w:hyperlink>
    </w:p>
    <w:p>
      <w:pPr>
        <w:pStyle w:val="BodyText"/>
        <w:tabs>
          <w:tab w:pos="9565" w:val="left" w:leader="dot"/>
        </w:tabs>
        <w:spacing w:before="127"/>
        <w:ind w:left="979"/>
      </w:pPr>
      <w:hyperlink w:history="true" w:anchor="_bookmark22">
        <w:r>
          <w:rPr/>
          <w:t>Gráfico</w:t>
        </w:r>
        <w:r>
          <w:rPr>
            <w:spacing w:val="-5"/>
          </w:rPr>
          <w:t> </w:t>
        </w:r>
        <w:r>
          <w:rPr/>
          <w:t>4:</w:t>
        </w:r>
        <w:r>
          <w:rPr>
            <w:spacing w:val="27"/>
          </w:rPr>
          <w:t>  </w:t>
        </w:r>
        <w:r>
          <w:rPr/>
          <w:t>Nivel</w:t>
        </w:r>
        <w:r>
          <w:rPr>
            <w:spacing w:val="-7"/>
          </w:rPr>
          <w:t> </w:t>
        </w:r>
        <w:r>
          <w:rPr/>
          <w:t>de riesgo</w:t>
        </w:r>
        <w:r>
          <w:rPr>
            <w:spacing w:val="-1"/>
          </w:rPr>
          <w:t> </w:t>
        </w:r>
        <w:r>
          <w:rPr>
            <w:spacing w:val="-2"/>
          </w:rPr>
          <w:t>controlado</w:t>
        </w:r>
        <w:r>
          <w:rPr/>
          <w:tab/>
        </w:r>
        <w:r>
          <w:rPr>
            <w:spacing w:val="-5"/>
          </w:rPr>
          <w:t>63</w:t>
        </w:r>
      </w:hyperlink>
    </w:p>
    <w:p>
      <w:pPr>
        <w:pStyle w:val="BodyText"/>
        <w:spacing w:line="360" w:lineRule="auto" w:before="126"/>
        <w:ind w:left="979" w:right="1344"/>
      </w:pPr>
      <w:hyperlink w:history="true" w:anchor="_bookmark24">
        <w:r>
          <w:rPr/>
          <w:t>Gráfico</w:t>
        </w:r>
        <w:r>
          <w:rPr>
            <w:spacing w:val="-4"/>
          </w:rPr>
          <w:t> </w:t>
        </w:r>
        <w:r>
          <w:rPr/>
          <w:t>5 Costa Rica:</w:t>
        </w:r>
        <w:r>
          <w:rPr>
            <w:spacing w:val="-5"/>
          </w:rPr>
          <w:t> </w:t>
        </w:r>
        <w:r>
          <w:rPr/>
          <w:t>Porcentaje de</w:t>
        </w:r>
        <w:r>
          <w:rPr>
            <w:spacing w:val="-4"/>
          </w:rPr>
          <w:t> </w:t>
        </w:r>
        <w:r>
          <w:rPr/>
          <w:t>hogares</w:t>
        </w:r>
        <w:r>
          <w:rPr>
            <w:spacing w:val="-1"/>
          </w:rPr>
          <w:t> </w:t>
        </w:r>
        <w:r>
          <w:rPr/>
          <w:t>en</w:t>
        </w:r>
        <w:r>
          <w:rPr>
            <w:spacing w:val="-4"/>
          </w:rPr>
          <w:t> </w:t>
        </w:r>
        <w:r>
          <w:rPr/>
          <w:t>pobreza y</w:t>
        </w:r>
        <w:r>
          <w:rPr>
            <w:spacing w:val="-6"/>
          </w:rPr>
          <w:t> </w:t>
        </w:r>
        <w:r>
          <w:rPr/>
          <w:t>pobreza</w:t>
        </w:r>
        <w:r>
          <w:rPr>
            <w:spacing w:val="-4"/>
          </w:rPr>
          <w:t> </w:t>
        </w:r>
        <w:r>
          <w:rPr/>
          <w:t>extrema,</w:t>
        </w:r>
        <w:r>
          <w:rPr>
            <w:spacing w:val="-5"/>
          </w:rPr>
          <w:t> </w:t>
        </w:r>
        <w:r>
          <w:rPr/>
          <w:t>1990-202464</w:t>
        </w:r>
      </w:hyperlink>
      <w:r>
        <w:rPr/>
        <w:t> </w:t>
      </w:r>
      <w:hyperlink w:history="true" w:anchor="_bookmark25">
        <w:r>
          <w:rPr/>
          <w:t>Gráfico 6: Costa Rica: Incidencia de la pobreza total y crecimiento económico, 2010-2024</w:t>
        </w:r>
      </w:hyperlink>
    </w:p>
    <w:p>
      <w:pPr>
        <w:pStyle w:val="BodyText"/>
        <w:tabs>
          <w:tab w:pos="9565" w:val="left" w:leader="dot"/>
        </w:tabs>
        <w:spacing w:line="252" w:lineRule="exact"/>
        <w:ind w:left="1027"/>
      </w:pPr>
      <w:hyperlink w:history="true" w:anchor="_bookmark25">
        <w:r>
          <w:rPr>
            <w:spacing w:val="-10"/>
          </w:rPr>
          <w:t>.</w:t>
        </w:r>
        <w:r>
          <w:rPr/>
          <w:tab/>
        </w:r>
        <w:r>
          <w:rPr>
            <w:spacing w:val="-5"/>
          </w:rPr>
          <w:t>66</w:t>
        </w:r>
      </w:hyperlink>
    </w:p>
    <w:p>
      <w:pPr>
        <w:pStyle w:val="BodyText"/>
        <w:spacing w:after="0" w:line="252" w:lineRule="exact"/>
        <w:sectPr>
          <w:pgSz w:w="12240" w:h="15840"/>
          <w:pgMar w:header="0" w:footer="1300" w:top="1340" w:bottom="1480" w:left="720" w:right="360"/>
        </w:sectPr>
      </w:pPr>
    </w:p>
    <w:p>
      <w:pPr>
        <w:pStyle w:val="BodyText"/>
        <w:spacing w:before="76"/>
        <w:ind w:left="979"/>
      </w:pPr>
      <w:hyperlink w:history="true" w:anchor="_bookmark26">
        <w:r>
          <w:rPr/>
          <w:t>Gráfico</w:t>
        </w:r>
        <w:r>
          <w:rPr>
            <w:spacing w:val="-7"/>
          </w:rPr>
          <w:t> </w:t>
        </w:r>
        <w:r>
          <w:rPr/>
          <w:t>7:</w:t>
        </w:r>
        <w:r>
          <w:rPr>
            <w:spacing w:val="-7"/>
          </w:rPr>
          <w:t> </w:t>
        </w:r>
        <w:r>
          <w:rPr/>
          <w:t>Costa</w:t>
        </w:r>
        <w:r>
          <w:rPr>
            <w:spacing w:val="-2"/>
          </w:rPr>
          <w:t> </w:t>
        </w:r>
        <w:r>
          <w:rPr/>
          <w:t>Rica:</w:t>
        </w:r>
        <w:r>
          <w:rPr>
            <w:spacing w:val="-2"/>
          </w:rPr>
          <w:t> </w:t>
        </w:r>
        <w:r>
          <w:rPr/>
          <w:t>Desigualdad</w:t>
        </w:r>
        <w:r>
          <w:rPr>
            <w:spacing w:val="-7"/>
          </w:rPr>
          <w:t> </w:t>
        </w:r>
        <w:r>
          <w:rPr/>
          <w:t>por</w:t>
        </w:r>
        <w:r>
          <w:rPr>
            <w:spacing w:val="-5"/>
          </w:rPr>
          <w:t> </w:t>
        </w:r>
        <w:r>
          <w:rPr/>
          <w:t>ingresos</w:t>
        </w:r>
        <w:r>
          <w:rPr>
            <w:spacing w:val="-8"/>
          </w:rPr>
          <w:t> </w:t>
        </w:r>
        <w:r>
          <w:rPr/>
          <w:t>según</w:t>
        </w:r>
        <w:r>
          <w:rPr>
            <w:spacing w:val="-6"/>
          </w:rPr>
          <w:t> </w:t>
        </w:r>
        <w:r>
          <w:rPr/>
          <w:t>el</w:t>
        </w:r>
        <w:r>
          <w:rPr>
            <w:spacing w:val="-4"/>
          </w:rPr>
          <w:t> </w:t>
        </w:r>
        <w:r>
          <w:rPr/>
          <w:t>coeficiente</w:t>
        </w:r>
        <w:r>
          <w:rPr>
            <w:spacing w:val="-6"/>
          </w:rPr>
          <w:t> </w:t>
        </w:r>
        <w:r>
          <w:rPr/>
          <w:t>de</w:t>
        </w:r>
        <w:r>
          <w:rPr>
            <w:spacing w:val="-6"/>
          </w:rPr>
          <w:t> </w:t>
        </w:r>
        <w:r>
          <w:rPr/>
          <w:t>Gini,</w:t>
        </w:r>
        <w:r>
          <w:rPr>
            <w:spacing w:val="-7"/>
          </w:rPr>
          <w:t> </w:t>
        </w:r>
        <w:r>
          <w:rPr/>
          <w:t>2010-</w:t>
        </w:r>
        <w:r>
          <w:rPr>
            <w:spacing w:val="-4"/>
          </w:rPr>
          <w:t>2024</w:t>
        </w:r>
      </w:hyperlink>
    </w:p>
    <w:p>
      <w:pPr>
        <w:pStyle w:val="BodyText"/>
        <w:tabs>
          <w:tab w:pos="9565" w:val="left" w:leader="dot"/>
        </w:tabs>
        <w:spacing w:before="126"/>
        <w:ind w:left="1027"/>
      </w:pPr>
      <w:hyperlink w:history="true" w:anchor="_bookmark26">
        <w:r>
          <w:rPr>
            <w:spacing w:val="-10"/>
          </w:rPr>
          <w:t>.</w:t>
        </w:r>
        <w:r>
          <w:rPr/>
          <w:tab/>
        </w:r>
        <w:r>
          <w:rPr>
            <w:spacing w:val="-5"/>
          </w:rPr>
          <w:t>68</w:t>
        </w:r>
      </w:hyperlink>
    </w:p>
    <w:p>
      <w:pPr>
        <w:pStyle w:val="BodyText"/>
        <w:tabs>
          <w:tab w:pos="9565" w:val="left" w:leader="dot"/>
        </w:tabs>
        <w:spacing w:before="131"/>
        <w:ind w:left="979"/>
      </w:pPr>
      <w:hyperlink w:history="true" w:anchor="_bookmark27">
        <w:r>
          <w:rPr/>
          <w:t>Gráfico</w:t>
        </w:r>
        <w:r>
          <w:rPr>
            <w:spacing w:val="-8"/>
          </w:rPr>
          <w:t> </w:t>
        </w:r>
        <w:r>
          <w:rPr>
            <w:spacing w:val="-10"/>
          </w:rPr>
          <w:t>8</w:t>
        </w:r>
        <w:r>
          <w:rPr/>
          <w:tab/>
        </w:r>
        <w:r>
          <w:rPr>
            <w:spacing w:val="-5"/>
          </w:rPr>
          <w:t>69</w:t>
        </w:r>
      </w:hyperlink>
    </w:p>
    <w:p>
      <w:pPr>
        <w:pStyle w:val="BodyText"/>
        <w:tabs>
          <w:tab w:pos="9565" w:val="left" w:leader="dot"/>
        </w:tabs>
        <w:spacing w:line="360" w:lineRule="auto" w:before="127"/>
        <w:ind w:left="979" w:right="1342"/>
      </w:pPr>
      <w:hyperlink w:history="true" w:anchor="_bookmark28">
        <w:r>
          <w:rPr/>
          <w:t>Gráfico 9: Costa Rica: Comparación de incidencia de pobreza de hogares Línea de</w:t>
        </w:r>
      </w:hyperlink>
      <w:r>
        <w:rPr/>
        <w:t> </w:t>
      </w:r>
      <w:hyperlink w:history="true" w:anchor="_bookmark28">
        <w:r>
          <w:rPr/>
          <w:t>Pobreza (LP), IPM y ambos métodos, 2010- 2024</w:t>
          <w:tab/>
        </w:r>
        <w:r>
          <w:rPr>
            <w:spacing w:val="-6"/>
          </w:rPr>
          <w:t>71</w:t>
        </w:r>
      </w:hyperlink>
    </w:p>
    <w:p>
      <w:pPr>
        <w:pStyle w:val="BodyText"/>
        <w:tabs>
          <w:tab w:pos="9565" w:val="left" w:leader="dot"/>
        </w:tabs>
        <w:spacing w:line="360" w:lineRule="auto"/>
        <w:ind w:left="979" w:right="1342"/>
      </w:pPr>
      <w:hyperlink w:history="true" w:anchor="_bookmark30">
        <w:r>
          <w:rPr/>
          <w:t>Gráfico 10:</w:t>
        </w:r>
        <w:r>
          <w:rPr>
            <w:spacing w:val="80"/>
          </w:rPr>
          <w:t> </w:t>
        </w:r>
        <w:r>
          <w:rPr/>
          <w:t>Costa Rica Tasa neta de participación laboral entre personas de 15 años o</w:t>
        </w:r>
      </w:hyperlink>
      <w:r>
        <w:rPr/>
        <w:t> </w:t>
      </w:r>
      <w:hyperlink w:history="true" w:anchor="_bookmark30">
        <w:r>
          <w:rPr/>
          <w:t>más según sexo, 1990-2024</w:t>
          <w:tab/>
        </w:r>
        <w:r>
          <w:rPr>
            <w:spacing w:val="-6"/>
          </w:rPr>
          <w:t>73</w:t>
        </w:r>
      </w:hyperlink>
    </w:p>
    <w:p>
      <w:pPr>
        <w:pStyle w:val="BodyText"/>
        <w:tabs>
          <w:tab w:pos="9565" w:val="left" w:leader="dot"/>
        </w:tabs>
        <w:spacing w:line="360" w:lineRule="auto"/>
        <w:ind w:left="979" w:right="1342"/>
      </w:pPr>
      <w:hyperlink w:history="true" w:anchor="_bookmark31">
        <w:r>
          <w:rPr/>
          <w:t>Gráfico 11: Costa Rica: Porcentaje de niñez y adolescencia en situación de pobreza</w:t>
        </w:r>
      </w:hyperlink>
      <w:r>
        <w:rPr>
          <w:spacing w:val="40"/>
        </w:rPr>
        <w:t> </w:t>
      </w:r>
      <w:hyperlink w:history="true" w:anchor="_bookmark31">
        <w:r>
          <w:rPr/>
          <w:t>según rango de edad. 2024</w:t>
          <w:tab/>
        </w:r>
        <w:r>
          <w:rPr>
            <w:spacing w:val="-6"/>
          </w:rPr>
          <w:t>74</w:t>
        </w:r>
      </w:hyperlink>
    </w:p>
    <w:p>
      <w:pPr>
        <w:pStyle w:val="BodyText"/>
        <w:tabs>
          <w:tab w:pos="9565" w:val="left" w:leader="dot"/>
        </w:tabs>
        <w:spacing w:line="360" w:lineRule="auto"/>
        <w:ind w:left="979" w:right="1342"/>
      </w:pPr>
      <w:hyperlink w:history="true" w:anchor="_bookmark32">
        <w:r>
          <w:rPr/>
          <w:t>Gráfico 12: Costa Rica Número promedio de personas por hogar según condición de</w:t>
        </w:r>
      </w:hyperlink>
      <w:r>
        <w:rPr/>
        <w:t> </w:t>
      </w:r>
      <w:hyperlink w:history="true" w:anchor="_bookmark32">
        <w:r>
          <w:rPr/>
          <w:t>pobreza. Costa Rica 2010-2024</w:t>
          <w:tab/>
        </w:r>
        <w:r>
          <w:rPr>
            <w:spacing w:val="-6"/>
          </w:rPr>
          <w:t>76</w:t>
        </w:r>
      </w:hyperlink>
    </w:p>
    <w:p>
      <w:pPr>
        <w:pStyle w:val="BodyText"/>
        <w:tabs>
          <w:tab w:pos="9565" w:val="left" w:leader="dot"/>
        </w:tabs>
        <w:spacing w:line="360" w:lineRule="auto"/>
        <w:ind w:left="979" w:right="1342"/>
      </w:pPr>
      <w:hyperlink w:history="true" w:anchor="_bookmark33">
        <w:r>
          <w:rPr/>
          <w:t>Gráfico 13: Número promedio de personas ocupadas por hogar según condición de</w:t>
        </w:r>
      </w:hyperlink>
      <w:r>
        <w:rPr/>
        <w:t> </w:t>
      </w:r>
      <w:hyperlink w:history="true" w:anchor="_bookmark33">
        <w:r>
          <w:rPr/>
          <w:t>pobreza. Costa Rica 2010-2024</w:t>
          <w:tab/>
        </w:r>
        <w:r>
          <w:rPr>
            <w:spacing w:val="-6"/>
          </w:rPr>
          <w:t>77</w:t>
        </w:r>
      </w:hyperlink>
    </w:p>
    <w:p>
      <w:pPr>
        <w:pStyle w:val="BodyText"/>
        <w:tabs>
          <w:tab w:pos="9565" w:val="left" w:leader="dot"/>
        </w:tabs>
        <w:spacing w:line="360" w:lineRule="auto"/>
        <w:ind w:left="979" w:right="1342"/>
      </w:pPr>
      <w:hyperlink w:history="true" w:anchor="_bookmark34">
        <w:r>
          <w:rPr/>
          <w:t>Gráfico 14: Porcentaje de hogares con jefatura femenina según condición de pobreza.</w:t>
        </w:r>
      </w:hyperlink>
      <w:r>
        <w:rPr/>
        <w:t> </w:t>
      </w:r>
      <w:hyperlink w:history="true" w:anchor="_bookmark34">
        <w:r>
          <w:rPr/>
          <w:t>Costa Rica 2010-2024</w:t>
          <w:tab/>
        </w:r>
        <w:r>
          <w:rPr>
            <w:spacing w:val="-6"/>
          </w:rPr>
          <w:t>78</w:t>
        </w:r>
      </w:hyperlink>
    </w:p>
    <w:p>
      <w:pPr>
        <w:pStyle w:val="BodyText"/>
        <w:tabs>
          <w:tab w:pos="9565" w:val="left" w:leader="dot"/>
        </w:tabs>
        <w:spacing w:line="360" w:lineRule="auto"/>
        <w:ind w:left="979" w:right="1342"/>
      </w:pPr>
      <w:hyperlink w:history="true" w:anchor="_bookmark35">
        <w:r>
          <w:rPr/>
          <w:t>Gráfico 15: Porcentaje de personas ocupadas según principales ocupaciones y</w:t>
        </w:r>
      </w:hyperlink>
      <w:r>
        <w:rPr/>
        <w:t> </w:t>
      </w:r>
      <w:hyperlink w:history="true" w:anchor="_bookmark35">
        <w:r>
          <w:rPr/>
          <w:t>clasificación de pobreza por método combinado. Costa Rica 2024</w:t>
          <w:tab/>
        </w:r>
        <w:r>
          <w:rPr>
            <w:spacing w:val="-6"/>
          </w:rPr>
          <w:t>80</w:t>
        </w:r>
      </w:hyperlink>
    </w:p>
    <w:p>
      <w:pPr>
        <w:pStyle w:val="BodyText"/>
        <w:tabs>
          <w:tab w:pos="9565" w:val="left" w:leader="dot"/>
        </w:tabs>
        <w:spacing w:line="360" w:lineRule="auto"/>
        <w:ind w:left="979" w:right="1342"/>
      </w:pPr>
      <w:hyperlink w:history="true" w:anchor="_bookmark36">
        <w:r>
          <w:rPr/>
          <w:t>Gráfico 16: Porcentaje de jefaturas femenina con desempleo abierto según clasificación</w:t>
        </w:r>
      </w:hyperlink>
      <w:r>
        <w:rPr>
          <w:spacing w:val="40"/>
        </w:rPr>
        <w:t> </w:t>
      </w:r>
      <w:hyperlink w:history="true" w:anchor="_bookmark36">
        <w:r>
          <w:rPr/>
          <w:t>de pobreza por método combinado. Costa Rica 2023-2024</w:t>
          <w:tab/>
        </w:r>
        <w:r>
          <w:rPr>
            <w:spacing w:val="-6"/>
          </w:rPr>
          <w:t>81</w:t>
        </w:r>
      </w:hyperlink>
    </w:p>
    <w:p>
      <w:pPr>
        <w:pStyle w:val="BodyText"/>
        <w:tabs>
          <w:tab w:pos="9565" w:val="left" w:leader="dot"/>
        </w:tabs>
        <w:spacing w:line="362" w:lineRule="auto"/>
        <w:ind w:left="979" w:right="1342"/>
      </w:pPr>
      <w:hyperlink w:history="true" w:anchor="_bookmark37">
        <w:r>
          <w:rPr/>
          <w:t>Gráfico 17: Porcentaje de hogares con jefatura de 24 años o más sin educación</w:t>
        </w:r>
      </w:hyperlink>
      <w:r>
        <w:rPr/>
        <w:t> </w:t>
      </w:r>
      <w:hyperlink w:history="true" w:anchor="_bookmark37">
        <w:r>
          <w:rPr/>
          <w:t>secundaria completa según clasificación de pobreza por método combinado. Costa Rica</w:t>
        </w:r>
      </w:hyperlink>
      <w:r>
        <w:rPr/>
        <w:t> </w:t>
      </w:r>
      <w:hyperlink w:history="true" w:anchor="_bookmark37">
        <w:r>
          <w:rPr>
            <w:spacing w:val="-2"/>
          </w:rPr>
          <w:t>2023-2024</w:t>
        </w:r>
        <w:r>
          <w:rPr/>
          <w:tab/>
        </w:r>
        <w:r>
          <w:rPr>
            <w:spacing w:val="-6"/>
          </w:rPr>
          <w:t>83</w:t>
        </w:r>
      </w:hyperlink>
    </w:p>
    <w:p>
      <w:pPr>
        <w:pStyle w:val="BodyText"/>
        <w:tabs>
          <w:tab w:pos="9565" w:val="left" w:leader="dot"/>
        </w:tabs>
        <w:spacing w:line="360" w:lineRule="auto"/>
        <w:ind w:left="979" w:right="1342"/>
      </w:pPr>
      <w:hyperlink w:history="true" w:anchor="_bookmark38">
        <w:r>
          <w:rPr/>
          <w:t>Gráfico 18: Porcentaje de hogares con acceso a Internet según condición de pobreza.</w:t>
        </w:r>
      </w:hyperlink>
      <w:r>
        <w:rPr/>
        <w:t> </w:t>
      </w:r>
      <w:hyperlink w:history="true" w:anchor="_bookmark38">
        <w:r>
          <w:rPr/>
          <w:t>Costa Rica 2024</w:t>
          <w:tab/>
        </w:r>
        <w:r>
          <w:rPr>
            <w:spacing w:val="-6"/>
          </w:rPr>
          <w:t>84</w:t>
        </w:r>
      </w:hyperlink>
    </w:p>
    <w:p>
      <w:pPr>
        <w:pStyle w:val="Heading1"/>
        <w:spacing w:before="647"/>
        <w:ind w:left="979"/>
      </w:pPr>
      <w:r>
        <w:rPr/>
        <w:t>Índice de</w:t>
      </w:r>
      <w:r>
        <w:rPr>
          <w:spacing w:val="-4"/>
        </w:rPr>
        <w:t> </w:t>
      </w:r>
      <w:r>
        <w:rPr>
          <w:spacing w:val="-2"/>
        </w:rPr>
        <w:t>Figuras:</w:t>
      </w:r>
    </w:p>
    <w:p>
      <w:pPr>
        <w:pStyle w:val="BodyText"/>
        <w:tabs>
          <w:tab w:pos="9565" w:val="left" w:leader="dot"/>
        </w:tabs>
        <w:spacing w:before="382"/>
        <w:ind w:left="979"/>
      </w:pPr>
      <w:hyperlink w:history="true" w:anchor="_bookmark10">
        <w:r>
          <w:rPr/>
          <w:t>Figura</w:t>
        </w:r>
        <w:r>
          <w:rPr>
            <w:spacing w:val="-6"/>
          </w:rPr>
          <w:t> </w:t>
        </w:r>
        <w:r>
          <w:rPr/>
          <w:t>1:</w:t>
        </w:r>
        <w:r>
          <w:rPr>
            <w:spacing w:val="-7"/>
          </w:rPr>
          <w:t> </w:t>
        </w:r>
        <w:r>
          <w:rPr/>
          <w:t>Organigrama</w:t>
        </w:r>
        <w:r>
          <w:rPr>
            <w:spacing w:val="-3"/>
          </w:rPr>
          <w:t> </w:t>
        </w:r>
        <w:r>
          <w:rPr/>
          <w:t>institucional</w:t>
        </w:r>
        <w:r>
          <w:rPr>
            <w:spacing w:val="-9"/>
          </w:rPr>
          <w:t> </w:t>
        </w:r>
        <w:r>
          <w:rPr/>
          <w:t>del</w:t>
        </w:r>
        <w:r>
          <w:rPr>
            <w:spacing w:val="-5"/>
          </w:rPr>
          <w:t> </w:t>
        </w:r>
        <w:r>
          <w:rPr/>
          <w:t>IMAS</w:t>
        </w:r>
        <w:r>
          <w:rPr>
            <w:spacing w:val="-7"/>
          </w:rPr>
          <w:t> </w:t>
        </w:r>
        <w:r>
          <w:rPr/>
          <w:t>al</w:t>
        </w:r>
        <w:r>
          <w:rPr>
            <w:spacing w:val="-9"/>
          </w:rPr>
          <w:t> </w:t>
        </w:r>
        <w:r>
          <w:rPr>
            <w:spacing w:val="-4"/>
          </w:rPr>
          <w:t>2025</w:t>
        </w:r>
        <w:r>
          <w:rPr/>
          <w:tab/>
        </w:r>
        <w:r>
          <w:rPr>
            <w:spacing w:val="-5"/>
          </w:rPr>
          <w:t>51</w:t>
        </w:r>
      </w:hyperlink>
    </w:p>
    <w:p>
      <w:pPr>
        <w:pStyle w:val="BodyText"/>
        <w:tabs>
          <w:tab w:pos="9565" w:val="left" w:leader="dot"/>
        </w:tabs>
        <w:spacing w:before="126"/>
        <w:ind w:left="979"/>
      </w:pPr>
      <w:hyperlink w:history="true" w:anchor="_bookmark19">
        <w:r>
          <w:rPr/>
          <w:t>Figura</w:t>
        </w:r>
        <w:r>
          <w:rPr>
            <w:spacing w:val="-7"/>
          </w:rPr>
          <w:t> </w:t>
        </w:r>
        <w:r>
          <w:rPr/>
          <w:t>2:</w:t>
        </w:r>
        <w:r>
          <w:rPr>
            <w:spacing w:val="49"/>
          </w:rPr>
          <w:t> </w:t>
        </w:r>
        <w:r>
          <w:rPr/>
          <w:t>ARDS-ULDS</w:t>
        </w:r>
        <w:r>
          <w:rPr>
            <w:spacing w:val="-8"/>
          </w:rPr>
          <w:t> </w:t>
        </w:r>
        <w:r>
          <w:rPr/>
          <w:t>participantes</w:t>
        </w:r>
        <w:r>
          <w:rPr>
            <w:spacing w:val="-8"/>
          </w:rPr>
          <w:t> </w:t>
        </w:r>
        <w:r>
          <w:rPr/>
          <w:t>del</w:t>
        </w:r>
        <w:r>
          <w:rPr>
            <w:spacing w:val="-5"/>
          </w:rPr>
          <w:t> </w:t>
        </w:r>
        <w:r>
          <w:rPr/>
          <w:t>proceso</w:t>
        </w:r>
        <w:r>
          <w:rPr>
            <w:spacing w:val="-7"/>
          </w:rPr>
          <w:t> </w:t>
        </w:r>
        <w:r>
          <w:rPr/>
          <w:t>de</w:t>
        </w:r>
        <w:r>
          <w:rPr>
            <w:spacing w:val="-7"/>
          </w:rPr>
          <w:t> </w:t>
        </w:r>
        <w:r>
          <w:rPr/>
          <w:t>Autoevaluación</w:t>
        </w:r>
        <w:r>
          <w:rPr>
            <w:spacing w:val="-6"/>
          </w:rPr>
          <w:t> </w:t>
        </w:r>
        <w:r>
          <w:rPr>
            <w:spacing w:val="-4"/>
          </w:rPr>
          <w:t>2024</w:t>
        </w:r>
        <w:r>
          <w:rPr/>
          <w:tab/>
        </w:r>
        <w:r>
          <w:rPr>
            <w:spacing w:val="-5"/>
          </w:rPr>
          <w:t>58</w:t>
        </w:r>
      </w:hyperlink>
    </w:p>
    <w:p>
      <w:pPr>
        <w:pStyle w:val="BodyText"/>
        <w:tabs>
          <w:tab w:pos="9565" w:val="left" w:leader="dot"/>
        </w:tabs>
        <w:spacing w:before="126"/>
        <w:ind w:left="979"/>
      </w:pPr>
      <w:hyperlink w:history="true" w:anchor="_bookmark39">
        <w:r>
          <w:rPr/>
          <w:t>Figura</w:t>
        </w:r>
        <w:r>
          <w:rPr>
            <w:spacing w:val="-10"/>
          </w:rPr>
          <w:t> </w:t>
        </w:r>
        <w:r>
          <w:rPr/>
          <w:t>3:Representación</w:t>
        </w:r>
        <w:r>
          <w:rPr>
            <w:spacing w:val="-8"/>
          </w:rPr>
          <w:t> </w:t>
        </w:r>
        <w:r>
          <w:rPr/>
          <w:t>diagramática</w:t>
        </w:r>
        <w:r>
          <w:rPr>
            <w:spacing w:val="-7"/>
          </w:rPr>
          <w:t> </w:t>
        </w:r>
        <w:r>
          <w:rPr/>
          <w:t>del</w:t>
        </w:r>
        <w:r>
          <w:rPr>
            <w:spacing w:val="-11"/>
          </w:rPr>
          <w:t> </w:t>
        </w:r>
        <w:r>
          <w:rPr/>
          <w:t>árbol</w:t>
        </w:r>
        <w:r>
          <w:rPr>
            <w:spacing w:val="-5"/>
          </w:rPr>
          <w:t> </w:t>
        </w:r>
        <w:r>
          <w:rPr/>
          <w:t>de</w:t>
        </w:r>
        <w:r>
          <w:rPr>
            <w:spacing w:val="-4"/>
          </w:rPr>
          <w:t> </w:t>
        </w:r>
        <w:r>
          <w:rPr>
            <w:spacing w:val="-2"/>
          </w:rPr>
          <w:t>problemas</w:t>
        </w:r>
        <w:r>
          <w:rPr/>
          <w:tab/>
        </w:r>
        <w:r>
          <w:rPr>
            <w:spacing w:val="-5"/>
          </w:rPr>
          <w:t>87</w:t>
        </w:r>
      </w:hyperlink>
    </w:p>
    <w:p>
      <w:pPr>
        <w:pStyle w:val="BodyText"/>
        <w:tabs>
          <w:tab w:pos="9565" w:val="left" w:leader="dot"/>
        </w:tabs>
        <w:spacing w:before="127"/>
        <w:ind w:left="979"/>
      </w:pPr>
      <w:hyperlink w:history="true" w:anchor="_bookmark42">
        <w:r>
          <w:rPr/>
          <w:t>Figura</w:t>
        </w:r>
        <w:r>
          <w:rPr>
            <w:spacing w:val="-5"/>
          </w:rPr>
          <w:t> </w:t>
        </w:r>
        <w:r>
          <w:rPr/>
          <w:t>4:</w:t>
        </w:r>
        <w:r>
          <w:rPr>
            <w:spacing w:val="-6"/>
          </w:rPr>
          <w:t> </w:t>
        </w:r>
        <w:r>
          <w:rPr/>
          <w:t>Estrategias,</w:t>
        </w:r>
        <w:r>
          <w:rPr>
            <w:spacing w:val="-6"/>
          </w:rPr>
          <w:t> </w:t>
        </w:r>
        <w:r>
          <w:rPr/>
          <w:t>acciones</w:t>
        </w:r>
        <w:r>
          <w:rPr>
            <w:spacing w:val="-3"/>
          </w:rPr>
          <w:t> </w:t>
        </w:r>
        <w:r>
          <w:rPr/>
          <w:t>y</w:t>
        </w:r>
        <w:r>
          <w:rPr>
            <w:spacing w:val="-7"/>
          </w:rPr>
          <w:t> </w:t>
        </w:r>
        <w:r>
          <w:rPr/>
          <w:t>metas</w:t>
        </w:r>
        <w:r>
          <w:rPr>
            <w:spacing w:val="-2"/>
          </w:rPr>
          <w:t> </w:t>
        </w:r>
        <w:r>
          <w:rPr/>
          <w:t>del</w:t>
        </w:r>
        <w:r>
          <w:rPr>
            <w:spacing w:val="-8"/>
          </w:rPr>
          <w:t> </w:t>
        </w:r>
        <w:r>
          <w:rPr>
            <w:spacing w:val="-4"/>
          </w:rPr>
          <w:t>PPPS</w:t>
        </w:r>
        <w:r>
          <w:rPr/>
          <w:tab/>
        </w:r>
        <w:r>
          <w:rPr>
            <w:spacing w:val="-5"/>
          </w:rPr>
          <w:t>91</w:t>
        </w:r>
      </w:hyperlink>
    </w:p>
    <w:p>
      <w:pPr>
        <w:pStyle w:val="BodyText"/>
        <w:tabs>
          <w:tab w:pos="9565" w:val="left" w:leader="dot"/>
        </w:tabs>
        <w:spacing w:line="360" w:lineRule="auto" w:before="126"/>
        <w:ind w:left="979" w:right="1342"/>
      </w:pPr>
      <w:hyperlink w:history="true" w:anchor="_bookmark43">
        <w:r>
          <w:rPr/>
          <w:t>Figura 5: Oferta programática institucional según dimensiones del Programa de</w:t>
        </w:r>
      </w:hyperlink>
      <w:r>
        <w:rPr>
          <w:spacing w:val="40"/>
        </w:rPr>
        <w:t> </w:t>
      </w:r>
      <w:hyperlink w:history="true" w:anchor="_bookmark43">
        <w:r>
          <w:rPr/>
          <w:t>Protección y Promoción Social</w:t>
          <w:tab/>
        </w:r>
        <w:r>
          <w:rPr>
            <w:spacing w:val="-6"/>
          </w:rPr>
          <w:t>92</w:t>
        </w:r>
      </w:hyperlink>
    </w:p>
    <w:p>
      <w:pPr>
        <w:pStyle w:val="BodyText"/>
        <w:spacing w:after="0" w:line="360" w:lineRule="auto"/>
        <w:sectPr>
          <w:pgSz w:w="12240" w:h="15840"/>
          <w:pgMar w:header="0" w:footer="1300" w:top="1340" w:bottom="1480" w:left="720" w:right="360"/>
        </w:sectPr>
      </w:pPr>
    </w:p>
    <w:p>
      <w:pPr>
        <w:pStyle w:val="Heading2"/>
        <w:spacing w:before="196"/>
      </w:pPr>
      <w:r>
        <w:rPr/>
        <w:t>Lista</w:t>
      </w:r>
      <w:r>
        <w:rPr>
          <w:spacing w:val="-2"/>
        </w:rPr>
        <w:t> </w:t>
      </w:r>
      <w:r>
        <w:rPr/>
        <w:t>de</w:t>
      </w:r>
      <w:r>
        <w:rPr>
          <w:spacing w:val="-2"/>
        </w:rPr>
        <w:t> Acrónimos</w:t>
      </w:r>
    </w:p>
    <w:p>
      <w:pPr>
        <w:pStyle w:val="BodyText"/>
        <w:spacing w:before="200"/>
        <w:rPr>
          <w:b/>
        </w:rPr>
      </w:pPr>
    </w:p>
    <w:p>
      <w:pPr>
        <w:pStyle w:val="BodyText"/>
        <w:spacing w:line="427" w:lineRule="auto"/>
        <w:ind w:left="979" w:right="2624"/>
      </w:pPr>
      <w:r>
        <w:rPr/>
        <w:t>DASAI:</w:t>
      </w:r>
      <w:r>
        <w:rPr>
          <w:spacing w:val="-4"/>
        </w:rPr>
        <w:t> </w:t>
      </w:r>
      <w:r>
        <w:rPr/>
        <w:t>Departamento</w:t>
      </w:r>
      <w:r>
        <w:rPr>
          <w:spacing w:val="-4"/>
        </w:rPr>
        <w:t> </w:t>
      </w:r>
      <w:r>
        <w:rPr/>
        <w:t>de</w:t>
      </w:r>
      <w:r>
        <w:rPr>
          <w:spacing w:val="-5"/>
        </w:rPr>
        <w:t> </w:t>
      </w:r>
      <w:r>
        <w:rPr/>
        <w:t>Acción</w:t>
      </w:r>
      <w:r>
        <w:rPr>
          <w:spacing w:val="-4"/>
        </w:rPr>
        <w:t> </w:t>
      </w:r>
      <w:r>
        <w:rPr/>
        <w:t>Social</w:t>
      </w:r>
      <w:r>
        <w:rPr>
          <w:spacing w:val="-5"/>
        </w:rPr>
        <w:t> </w:t>
      </w:r>
      <w:r>
        <w:rPr/>
        <w:t>y</w:t>
      </w:r>
      <w:r>
        <w:rPr>
          <w:spacing w:val="-9"/>
        </w:rPr>
        <w:t> </w:t>
      </w:r>
      <w:r>
        <w:rPr/>
        <w:t>Administración</w:t>
      </w:r>
      <w:r>
        <w:rPr>
          <w:spacing w:val="-7"/>
        </w:rPr>
        <w:t> </w:t>
      </w:r>
      <w:r>
        <w:rPr/>
        <w:t>de</w:t>
      </w:r>
      <w:r>
        <w:rPr>
          <w:spacing w:val="-4"/>
        </w:rPr>
        <w:t> </w:t>
      </w:r>
      <w:r>
        <w:rPr/>
        <w:t>Instituciones DAII: Departamento de Atención Integral e Interinstitucional</w:t>
      </w:r>
    </w:p>
    <w:p>
      <w:pPr>
        <w:pStyle w:val="BodyText"/>
        <w:spacing w:before="7"/>
        <w:ind w:left="979"/>
      </w:pPr>
      <w:r>
        <w:rPr/>
        <w:t>DBF:</w:t>
      </w:r>
      <w:r>
        <w:rPr>
          <w:spacing w:val="-4"/>
        </w:rPr>
        <w:t> </w:t>
      </w:r>
      <w:r>
        <w:rPr/>
        <w:t>Departamento</w:t>
      </w:r>
      <w:r>
        <w:rPr>
          <w:spacing w:val="-8"/>
        </w:rPr>
        <w:t> </w:t>
      </w:r>
      <w:r>
        <w:rPr/>
        <w:t>de</w:t>
      </w:r>
      <w:r>
        <w:rPr>
          <w:spacing w:val="-1"/>
        </w:rPr>
        <w:t> </w:t>
      </w:r>
      <w:r>
        <w:rPr/>
        <w:t>Bienestar</w:t>
      </w:r>
      <w:r>
        <w:rPr>
          <w:spacing w:val="-6"/>
        </w:rPr>
        <w:t> </w:t>
      </w:r>
      <w:r>
        <w:rPr>
          <w:spacing w:val="-2"/>
        </w:rPr>
        <w:t>Familiar</w:t>
      </w:r>
    </w:p>
    <w:p>
      <w:pPr>
        <w:pStyle w:val="BodyText"/>
        <w:spacing w:before="199"/>
        <w:ind w:left="979"/>
      </w:pPr>
      <w:r>
        <w:rPr/>
        <w:t>DDSE:</w:t>
      </w:r>
      <w:r>
        <w:rPr>
          <w:spacing w:val="-6"/>
        </w:rPr>
        <w:t> </w:t>
      </w:r>
      <w:r>
        <w:rPr/>
        <w:t>Departamento</w:t>
      </w:r>
      <w:r>
        <w:rPr>
          <w:spacing w:val="-10"/>
        </w:rPr>
        <w:t> </w:t>
      </w:r>
      <w:r>
        <w:rPr/>
        <w:t>de</w:t>
      </w:r>
      <w:r>
        <w:rPr>
          <w:spacing w:val="-2"/>
        </w:rPr>
        <w:t> </w:t>
      </w:r>
      <w:r>
        <w:rPr/>
        <w:t>Desarrollo</w:t>
      </w:r>
      <w:r>
        <w:rPr>
          <w:spacing w:val="-6"/>
        </w:rPr>
        <w:t> </w:t>
      </w:r>
      <w:r>
        <w:rPr>
          <w:spacing w:val="-2"/>
        </w:rPr>
        <w:t>Socioeducativo</w:t>
      </w:r>
    </w:p>
    <w:p>
      <w:pPr>
        <w:pStyle w:val="BodyText"/>
        <w:spacing w:line="427" w:lineRule="auto" w:before="203"/>
        <w:ind w:left="979" w:right="3680"/>
      </w:pPr>
      <w:r>
        <w:rPr/>
        <w:t>DDSPC:</w:t>
      </w:r>
      <w:r>
        <w:rPr>
          <w:spacing w:val="-6"/>
        </w:rPr>
        <w:t> </w:t>
      </w:r>
      <w:r>
        <w:rPr/>
        <w:t>Departamento</w:t>
      </w:r>
      <w:r>
        <w:rPr>
          <w:spacing w:val="-4"/>
        </w:rPr>
        <w:t> </w:t>
      </w:r>
      <w:r>
        <w:rPr/>
        <w:t>Desarrollo</w:t>
      </w:r>
      <w:r>
        <w:rPr>
          <w:spacing w:val="-10"/>
        </w:rPr>
        <w:t> </w:t>
      </w:r>
      <w:r>
        <w:rPr/>
        <w:t>Socio</w:t>
      </w:r>
      <w:r>
        <w:rPr>
          <w:spacing w:val="-6"/>
        </w:rPr>
        <w:t> </w:t>
      </w:r>
      <w:r>
        <w:rPr/>
        <w:t>Productivo</w:t>
      </w:r>
      <w:r>
        <w:rPr>
          <w:spacing w:val="-6"/>
        </w:rPr>
        <w:t> </w:t>
      </w:r>
      <w:r>
        <w:rPr/>
        <w:t>y</w:t>
      </w:r>
      <w:r>
        <w:rPr>
          <w:spacing w:val="-7"/>
        </w:rPr>
        <w:t> </w:t>
      </w:r>
      <w:r>
        <w:rPr/>
        <w:t>Comunal AIDO: Aeropuerto Internacional Daniel Oduber</w:t>
      </w:r>
    </w:p>
    <w:p>
      <w:pPr>
        <w:pStyle w:val="BodyText"/>
        <w:spacing w:line="432" w:lineRule="auto" w:before="1"/>
        <w:ind w:left="979" w:right="5120"/>
      </w:pPr>
      <w:r>
        <w:rPr/>
        <w:t>AIJS:</w:t>
      </w:r>
      <w:r>
        <w:rPr>
          <w:spacing w:val="-12"/>
        </w:rPr>
        <w:t> </w:t>
      </w:r>
      <w:r>
        <w:rPr/>
        <w:t>Aeropuerto</w:t>
      </w:r>
      <w:r>
        <w:rPr>
          <w:spacing w:val="-12"/>
        </w:rPr>
        <w:t> </w:t>
      </w:r>
      <w:r>
        <w:rPr/>
        <w:t>Internacional</w:t>
      </w:r>
      <w:r>
        <w:rPr>
          <w:spacing w:val="-10"/>
        </w:rPr>
        <w:t> </w:t>
      </w:r>
      <w:r>
        <w:rPr/>
        <w:t>Juan</w:t>
      </w:r>
      <w:r>
        <w:rPr>
          <w:spacing w:val="-8"/>
        </w:rPr>
        <w:t> </w:t>
      </w:r>
      <w:r>
        <w:rPr/>
        <w:t>Santamaría ARDS: Área Regional de Desarrollo Social</w:t>
      </w:r>
    </w:p>
    <w:p>
      <w:pPr>
        <w:pStyle w:val="BodyText"/>
        <w:spacing w:line="427" w:lineRule="auto"/>
        <w:ind w:left="979" w:right="4493"/>
      </w:pPr>
      <w:r>
        <w:rPr/>
        <w:t>DSIS:</w:t>
      </w:r>
      <w:r>
        <w:rPr>
          <w:spacing w:val="-7"/>
        </w:rPr>
        <w:t> </w:t>
      </w:r>
      <w:r>
        <w:rPr/>
        <w:t>Departamento</w:t>
      </w:r>
      <w:r>
        <w:rPr>
          <w:spacing w:val="-7"/>
        </w:rPr>
        <w:t> </w:t>
      </w:r>
      <w:r>
        <w:rPr/>
        <w:t>de</w:t>
      </w:r>
      <w:r>
        <w:rPr>
          <w:spacing w:val="-5"/>
        </w:rPr>
        <w:t> </w:t>
      </w:r>
      <w:r>
        <w:rPr/>
        <w:t>Sistema</w:t>
      </w:r>
      <w:r>
        <w:rPr>
          <w:spacing w:val="-7"/>
        </w:rPr>
        <w:t> </w:t>
      </w:r>
      <w:r>
        <w:rPr/>
        <w:t>de</w:t>
      </w:r>
      <w:r>
        <w:rPr>
          <w:spacing w:val="-3"/>
        </w:rPr>
        <w:t> </w:t>
      </w:r>
      <w:r>
        <w:rPr/>
        <w:t>Información</w:t>
      </w:r>
      <w:r>
        <w:rPr>
          <w:spacing w:val="-11"/>
        </w:rPr>
        <w:t> </w:t>
      </w:r>
      <w:r>
        <w:rPr/>
        <w:t>Social CD: Consejo Directivo</w:t>
      </w:r>
    </w:p>
    <w:p>
      <w:pPr>
        <w:pStyle w:val="BodyText"/>
        <w:spacing w:line="429" w:lineRule="auto" w:before="4"/>
        <w:ind w:left="979" w:right="5860"/>
      </w:pPr>
      <w:r>
        <w:rPr/>
        <w:t>CETAC:</w:t>
      </w:r>
      <w:r>
        <w:rPr>
          <w:spacing w:val="-7"/>
        </w:rPr>
        <w:t> </w:t>
      </w:r>
      <w:r>
        <w:rPr/>
        <w:t>Consejo</w:t>
      </w:r>
      <w:r>
        <w:rPr>
          <w:spacing w:val="-7"/>
        </w:rPr>
        <w:t> </w:t>
      </w:r>
      <w:r>
        <w:rPr/>
        <w:t>Técnico</w:t>
      </w:r>
      <w:r>
        <w:rPr>
          <w:spacing w:val="-10"/>
        </w:rPr>
        <w:t> </w:t>
      </w:r>
      <w:r>
        <w:rPr/>
        <w:t>de</w:t>
      </w:r>
      <w:r>
        <w:rPr>
          <w:spacing w:val="-10"/>
        </w:rPr>
        <w:t> </w:t>
      </w:r>
      <w:r>
        <w:rPr/>
        <w:t>Aviación</w:t>
      </w:r>
      <w:r>
        <w:rPr>
          <w:spacing w:val="-10"/>
        </w:rPr>
        <w:t> </w:t>
      </w:r>
      <w:r>
        <w:rPr/>
        <w:t>Civil CGR: Contraloría General</w:t>
      </w:r>
      <w:r>
        <w:rPr>
          <w:spacing w:val="-2"/>
        </w:rPr>
        <w:t> </w:t>
      </w:r>
      <w:r>
        <w:rPr/>
        <w:t>de la República ENAHO: Encuesta Nacional de Hogares FIS: Ficha de Información Social</w:t>
      </w:r>
    </w:p>
    <w:p>
      <w:pPr>
        <w:pStyle w:val="BodyText"/>
        <w:spacing w:line="432" w:lineRule="auto"/>
        <w:ind w:left="979" w:right="3680"/>
      </w:pPr>
      <w:r>
        <w:rPr/>
        <w:t>FODESAF:</w:t>
      </w:r>
      <w:r>
        <w:rPr>
          <w:spacing w:val="-5"/>
        </w:rPr>
        <w:t> </w:t>
      </w:r>
      <w:r>
        <w:rPr/>
        <w:t>Fondo</w:t>
      </w:r>
      <w:r>
        <w:rPr>
          <w:spacing w:val="-8"/>
        </w:rPr>
        <w:t> </w:t>
      </w:r>
      <w:r>
        <w:rPr/>
        <w:t>de</w:t>
      </w:r>
      <w:r>
        <w:rPr>
          <w:spacing w:val="-8"/>
        </w:rPr>
        <w:t> </w:t>
      </w:r>
      <w:r>
        <w:rPr/>
        <w:t>Desarrollo</w:t>
      </w:r>
      <w:r>
        <w:rPr>
          <w:spacing w:val="-8"/>
        </w:rPr>
        <w:t> </w:t>
      </w:r>
      <w:r>
        <w:rPr/>
        <w:t>Social</w:t>
      </w:r>
      <w:r>
        <w:rPr>
          <w:spacing w:val="-6"/>
        </w:rPr>
        <w:t> </w:t>
      </w:r>
      <w:r>
        <w:rPr/>
        <w:t>y</w:t>
      </w:r>
      <w:r>
        <w:rPr>
          <w:spacing w:val="-5"/>
        </w:rPr>
        <w:t> </w:t>
      </w:r>
      <w:r>
        <w:rPr/>
        <w:t>Asignaciones</w:t>
      </w:r>
      <w:r>
        <w:rPr>
          <w:spacing w:val="-5"/>
        </w:rPr>
        <w:t> </w:t>
      </w:r>
      <w:r>
        <w:rPr/>
        <w:t>Familiares GpRD: Gestión para Resultados de Desarrollo</w:t>
      </w:r>
    </w:p>
    <w:p>
      <w:pPr>
        <w:pStyle w:val="BodyText"/>
        <w:spacing w:line="249" w:lineRule="exact"/>
        <w:ind w:left="979"/>
      </w:pPr>
      <w:r>
        <w:rPr/>
        <w:t>IMAS:</w:t>
      </w:r>
      <w:r>
        <w:rPr>
          <w:spacing w:val="-7"/>
        </w:rPr>
        <w:t> </w:t>
      </w:r>
      <w:r>
        <w:rPr/>
        <w:t>Instituto</w:t>
      </w:r>
      <w:r>
        <w:rPr>
          <w:spacing w:val="-1"/>
        </w:rPr>
        <w:t> </w:t>
      </w:r>
      <w:r>
        <w:rPr/>
        <w:t>Mixto</w:t>
      </w:r>
      <w:r>
        <w:rPr>
          <w:spacing w:val="-6"/>
        </w:rPr>
        <w:t> </w:t>
      </w:r>
      <w:r>
        <w:rPr/>
        <w:t>de</w:t>
      </w:r>
      <w:r>
        <w:rPr>
          <w:spacing w:val="-5"/>
        </w:rPr>
        <w:t> </w:t>
      </w:r>
      <w:r>
        <w:rPr/>
        <w:t>Ayuda</w:t>
      </w:r>
      <w:r>
        <w:rPr>
          <w:spacing w:val="-5"/>
        </w:rPr>
        <w:t> </w:t>
      </w:r>
      <w:r>
        <w:rPr>
          <w:spacing w:val="-2"/>
        </w:rPr>
        <w:t>Social</w:t>
      </w:r>
    </w:p>
    <w:p>
      <w:pPr>
        <w:pStyle w:val="BodyText"/>
        <w:spacing w:line="432" w:lineRule="auto" w:before="197"/>
        <w:ind w:left="979" w:right="5120"/>
      </w:pPr>
      <w:r>
        <w:rPr/>
        <w:t>INEC:</w:t>
      </w:r>
      <w:r>
        <w:rPr>
          <w:spacing w:val="-5"/>
        </w:rPr>
        <w:t> </w:t>
      </w:r>
      <w:r>
        <w:rPr/>
        <w:t>Instituto</w:t>
      </w:r>
      <w:r>
        <w:rPr>
          <w:spacing w:val="-5"/>
        </w:rPr>
        <w:t> </w:t>
      </w:r>
      <w:r>
        <w:rPr/>
        <w:t>Nacional</w:t>
      </w:r>
      <w:r>
        <w:rPr>
          <w:spacing w:val="-7"/>
        </w:rPr>
        <w:t> </w:t>
      </w:r>
      <w:r>
        <w:rPr/>
        <w:t>de</w:t>
      </w:r>
      <w:r>
        <w:rPr>
          <w:spacing w:val="-8"/>
        </w:rPr>
        <w:t> </w:t>
      </w:r>
      <w:r>
        <w:rPr/>
        <w:t>Estadísticas</w:t>
      </w:r>
      <w:r>
        <w:rPr>
          <w:spacing w:val="-6"/>
        </w:rPr>
        <w:t> </w:t>
      </w:r>
      <w:r>
        <w:rPr/>
        <w:t>y</w:t>
      </w:r>
      <w:r>
        <w:rPr>
          <w:spacing w:val="-10"/>
        </w:rPr>
        <w:t> </w:t>
      </w:r>
      <w:r>
        <w:rPr/>
        <w:t>Censos IPM: Índice de Pobreza Multidimensional</w:t>
      </w:r>
    </w:p>
    <w:p>
      <w:pPr>
        <w:pStyle w:val="BodyText"/>
        <w:spacing w:line="427" w:lineRule="auto"/>
        <w:ind w:left="979" w:right="3680"/>
      </w:pPr>
      <w:r>
        <w:rPr/>
        <w:t>MIDEPLAN:</w:t>
      </w:r>
      <w:r>
        <w:rPr>
          <w:spacing w:val="-4"/>
        </w:rPr>
        <w:t> </w:t>
      </w:r>
      <w:r>
        <w:rPr/>
        <w:t>Ministerio</w:t>
      </w:r>
      <w:r>
        <w:rPr>
          <w:spacing w:val="-8"/>
        </w:rPr>
        <w:t> </w:t>
      </w:r>
      <w:r>
        <w:rPr/>
        <w:t>de</w:t>
      </w:r>
      <w:r>
        <w:rPr>
          <w:spacing w:val="-8"/>
        </w:rPr>
        <w:t> </w:t>
      </w:r>
      <w:r>
        <w:rPr/>
        <w:t>Planificación</w:t>
      </w:r>
      <w:r>
        <w:rPr>
          <w:spacing w:val="-8"/>
        </w:rPr>
        <w:t> </w:t>
      </w:r>
      <w:r>
        <w:rPr/>
        <w:t>y</w:t>
      </w:r>
      <w:r>
        <w:rPr>
          <w:spacing w:val="-9"/>
        </w:rPr>
        <w:t> </w:t>
      </w:r>
      <w:r>
        <w:rPr/>
        <w:t>Política</w:t>
      </w:r>
      <w:r>
        <w:rPr>
          <w:spacing w:val="-8"/>
        </w:rPr>
        <w:t> </w:t>
      </w:r>
      <w:r>
        <w:rPr/>
        <w:t>Económica MTSS: Ministerio de Trabajo y Seguridad Social</w:t>
      </w:r>
    </w:p>
    <w:p>
      <w:pPr>
        <w:pStyle w:val="BodyText"/>
        <w:spacing w:line="429" w:lineRule="auto" w:before="4"/>
        <w:ind w:left="979" w:right="2624"/>
      </w:pPr>
      <w:r>
        <w:rPr/>
        <w:t>PNDIP:</w:t>
      </w:r>
      <w:r>
        <w:rPr>
          <w:spacing w:val="-7"/>
        </w:rPr>
        <w:t> </w:t>
      </w:r>
      <w:r>
        <w:rPr/>
        <w:t>Plan</w:t>
      </w:r>
      <w:r>
        <w:rPr>
          <w:spacing w:val="-2"/>
        </w:rPr>
        <w:t> </w:t>
      </w:r>
      <w:r>
        <w:rPr/>
        <w:t>Nacional</w:t>
      </w:r>
      <w:r>
        <w:rPr>
          <w:spacing w:val="-4"/>
        </w:rPr>
        <w:t> </w:t>
      </w:r>
      <w:r>
        <w:rPr/>
        <w:t>de</w:t>
      </w:r>
      <w:r>
        <w:rPr>
          <w:spacing w:val="-2"/>
        </w:rPr>
        <w:t> </w:t>
      </w:r>
      <w:r>
        <w:rPr/>
        <w:t>Desarrollo</w:t>
      </w:r>
      <w:r>
        <w:rPr>
          <w:spacing w:val="-6"/>
        </w:rPr>
        <w:t> </w:t>
      </w:r>
      <w:r>
        <w:rPr/>
        <w:t>e</w:t>
      </w:r>
      <w:r>
        <w:rPr>
          <w:spacing w:val="-6"/>
        </w:rPr>
        <w:t> </w:t>
      </w:r>
      <w:r>
        <w:rPr/>
        <w:t>Inversiones</w:t>
      </w:r>
      <w:r>
        <w:rPr>
          <w:spacing w:val="-7"/>
        </w:rPr>
        <w:t> </w:t>
      </w:r>
      <w:r>
        <w:rPr/>
        <w:t>Públicas</w:t>
      </w:r>
      <w:r>
        <w:rPr>
          <w:spacing w:val="-7"/>
        </w:rPr>
        <w:t> </w:t>
      </w:r>
      <w:r>
        <w:rPr/>
        <w:t>del</w:t>
      </w:r>
      <w:r>
        <w:rPr>
          <w:spacing w:val="-8"/>
        </w:rPr>
        <w:t> </w:t>
      </w:r>
      <w:r>
        <w:rPr/>
        <w:t>Bicentenario. PEI: Plan Estratégico Institucional.</w:t>
      </w:r>
    </w:p>
    <w:p>
      <w:pPr>
        <w:pStyle w:val="BodyText"/>
        <w:spacing w:line="427" w:lineRule="auto" w:before="2"/>
        <w:ind w:left="979" w:right="5120"/>
      </w:pPr>
      <w:r>
        <w:rPr/>
        <w:t>POGE:</w:t>
      </w:r>
      <w:r>
        <w:rPr>
          <w:spacing w:val="-11"/>
        </w:rPr>
        <w:t> </w:t>
      </w:r>
      <w:r>
        <w:rPr/>
        <w:t>Planes</w:t>
      </w:r>
      <w:r>
        <w:rPr>
          <w:spacing w:val="-12"/>
        </w:rPr>
        <w:t> </w:t>
      </w:r>
      <w:r>
        <w:rPr/>
        <w:t>Operativos</w:t>
      </w:r>
      <w:r>
        <w:rPr>
          <w:spacing w:val="-8"/>
        </w:rPr>
        <w:t> </w:t>
      </w:r>
      <w:r>
        <w:rPr/>
        <w:t>Gerenciales</w:t>
      </w:r>
      <w:r>
        <w:rPr>
          <w:spacing w:val="-12"/>
        </w:rPr>
        <w:t> </w:t>
      </w:r>
      <w:r>
        <w:rPr/>
        <w:t>Estratégicos POI-2026: Plan Operativo Institucional 2026</w:t>
      </w:r>
    </w:p>
    <w:p>
      <w:pPr>
        <w:pStyle w:val="BodyText"/>
        <w:spacing w:after="0" w:line="427" w:lineRule="auto"/>
        <w:sectPr>
          <w:pgSz w:w="12240" w:h="15840"/>
          <w:pgMar w:header="0" w:footer="1300" w:top="1820" w:bottom="1480" w:left="720" w:right="360"/>
        </w:sectPr>
      </w:pPr>
    </w:p>
    <w:p>
      <w:pPr>
        <w:pStyle w:val="BodyText"/>
        <w:spacing w:line="432" w:lineRule="auto" w:before="76"/>
        <w:ind w:left="979" w:right="5120"/>
      </w:pPr>
      <w:r>
        <w:rPr/>
        <w:t>PPPS:</w:t>
      </w:r>
      <w:r>
        <w:rPr>
          <w:spacing w:val="-9"/>
        </w:rPr>
        <w:t> </w:t>
      </w:r>
      <w:r>
        <w:rPr/>
        <w:t>Programa</w:t>
      </w:r>
      <w:r>
        <w:rPr>
          <w:spacing w:val="-8"/>
        </w:rPr>
        <w:t> </w:t>
      </w:r>
      <w:r>
        <w:rPr/>
        <w:t>Protección</w:t>
      </w:r>
      <w:r>
        <w:rPr>
          <w:spacing w:val="-4"/>
        </w:rPr>
        <w:t> </w:t>
      </w:r>
      <w:r>
        <w:rPr/>
        <w:t>y</w:t>
      </w:r>
      <w:r>
        <w:rPr>
          <w:spacing w:val="-10"/>
        </w:rPr>
        <w:t> </w:t>
      </w:r>
      <w:r>
        <w:rPr/>
        <w:t>Promoción</w:t>
      </w:r>
      <w:r>
        <w:rPr>
          <w:spacing w:val="-8"/>
        </w:rPr>
        <w:t> </w:t>
      </w:r>
      <w:r>
        <w:rPr/>
        <w:t>Social SABEN: Sistema de Atención de Beneficiarios</w:t>
      </w:r>
    </w:p>
    <w:p>
      <w:pPr>
        <w:pStyle w:val="BodyText"/>
        <w:spacing w:line="432" w:lineRule="auto"/>
        <w:ind w:left="979" w:right="4493"/>
      </w:pPr>
      <w:r>
        <w:rPr/>
        <w:t>SAPEF:</w:t>
      </w:r>
      <w:r>
        <w:rPr>
          <w:spacing w:val="-9"/>
        </w:rPr>
        <w:t> </w:t>
      </w:r>
      <w:r>
        <w:rPr/>
        <w:t>Sistema</w:t>
      </w:r>
      <w:r>
        <w:rPr>
          <w:spacing w:val="-7"/>
        </w:rPr>
        <w:t> </w:t>
      </w:r>
      <w:r>
        <w:rPr/>
        <w:t>de</w:t>
      </w:r>
      <w:r>
        <w:rPr>
          <w:spacing w:val="-7"/>
        </w:rPr>
        <w:t> </w:t>
      </w:r>
      <w:r>
        <w:rPr/>
        <w:t>Atención</w:t>
      </w:r>
      <w:r>
        <w:rPr>
          <w:spacing w:val="-7"/>
        </w:rPr>
        <w:t> </w:t>
      </w:r>
      <w:r>
        <w:rPr/>
        <w:t>Personalizada</w:t>
      </w:r>
      <w:r>
        <w:rPr>
          <w:spacing w:val="-7"/>
        </w:rPr>
        <w:t> </w:t>
      </w:r>
      <w:r>
        <w:rPr/>
        <w:t>a</w:t>
      </w:r>
      <w:r>
        <w:rPr>
          <w:spacing w:val="-4"/>
        </w:rPr>
        <w:t> </w:t>
      </w:r>
      <w:r>
        <w:rPr/>
        <w:t>Familias SACI: Sistema de Atención a la Ciudadanía</w:t>
      </w:r>
    </w:p>
    <w:p>
      <w:pPr>
        <w:pStyle w:val="BodyText"/>
        <w:spacing w:line="427" w:lineRule="auto"/>
        <w:ind w:left="979" w:right="6569"/>
      </w:pPr>
      <w:r>
        <w:rPr/>
        <w:t>SCI: Sistema de Control Interno DDS:</w:t>
      </w:r>
      <w:r>
        <w:rPr>
          <w:spacing w:val="-8"/>
        </w:rPr>
        <w:t> </w:t>
      </w:r>
      <w:r>
        <w:rPr/>
        <w:t>Dirección</w:t>
      </w:r>
      <w:r>
        <w:rPr>
          <w:spacing w:val="-12"/>
        </w:rPr>
        <w:t> </w:t>
      </w:r>
      <w:r>
        <w:rPr/>
        <w:t>de</w:t>
      </w:r>
      <w:r>
        <w:rPr>
          <w:spacing w:val="-8"/>
        </w:rPr>
        <w:t> </w:t>
      </w:r>
      <w:r>
        <w:rPr/>
        <w:t>Desarrollo</w:t>
      </w:r>
      <w:r>
        <w:rPr>
          <w:spacing w:val="-8"/>
        </w:rPr>
        <w:t> </w:t>
      </w:r>
      <w:r>
        <w:rPr/>
        <w:t>Social</w:t>
      </w:r>
    </w:p>
    <w:p>
      <w:pPr>
        <w:pStyle w:val="BodyText"/>
        <w:spacing w:line="427" w:lineRule="auto" w:before="1"/>
        <w:ind w:left="979" w:right="5860"/>
      </w:pPr>
      <w:r>
        <w:rPr/>
        <w:t>DGR: Dirección de Gestión de Recursos DSA:</w:t>
      </w:r>
      <w:r>
        <w:rPr>
          <w:spacing w:val="-8"/>
        </w:rPr>
        <w:t> </w:t>
      </w:r>
      <w:r>
        <w:rPr/>
        <w:t>Dirección</w:t>
      </w:r>
      <w:r>
        <w:rPr>
          <w:spacing w:val="-11"/>
        </w:rPr>
        <w:t> </w:t>
      </w:r>
      <w:r>
        <w:rPr/>
        <w:t>de</w:t>
      </w:r>
      <w:r>
        <w:rPr>
          <w:spacing w:val="-8"/>
        </w:rPr>
        <w:t> </w:t>
      </w:r>
      <w:r>
        <w:rPr/>
        <w:t>Soporte</w:t>
      </w:r>
      <w:r>
        <w:rPr>
          <w:spacing w:val="-12"/>
        </w:rPr>
        <w:t> </w:t>
      </w:r>
      <w:r>
        <w:rPr/>
        <w:t>Administrativo</w:t>
      </w:r>
    </w:p>
    <w:p>
      <w:pPr>
        <w:pStyle w:val="BodyText"/>
        <w:spacing w:line="432" w:lineRule="auto" w:before="1"/>
        <w:ind w:left="979" w:right="4493"/>
      </w:pPr>
      <w:r>
        <w:rPr/>
        <w:t>SIAT:</w:t>
      </w:r>
      <w:r>
        <w:rPr>
          <w:spacing w:val="-11"/>
        </w:rPr>
        <w:t> </w:t>
      </w:r>
      <w:r>
        <w:rPr/>
        <w:t>Sistema</w:t>
      </w:r>
      <w:r>
        <w:rPr>
          <w:spacing w:val="-9"/>
        </w:rPr>
        <w:t> </w:t>
      </w:r>
      <w:r>
        <w:rPr/>
        <w:t>Informático</w:t>
      </w:r>
      <w:r>
        <w:rPr>
          <w:spacing w:val="-9"/>
        </w:rPr>
        <w:t> </w:t>
      </w:r>
      <w:r>
        <w:rPr/>
        <w:t>de</w:t>
      </w:r>
      <w:r>
        <w:rPr>
          <w:spacing w:val="-9"/>
        </w:rPr>
        <w:t> </w:t>
      </w:r>
      <w:r>
        <w:rPr/>
        <w:t>Administración</w:t>
      </w:r>
      <w:r>
        <w:rPr>
          <w:spacing w:val="-5"/>
        </w:rPr>
        <w:t> </w:t>
      </w:r>
      <w:r>
        <w:rPr/>
        <w:t>Tributaria SIED: Sistema Informático de Expediente Digital</w:t>
      </w:r>
    </w:p>
    <w:p>
      <w:pPr>
        <w:pStyle w:val="BodyText"/>
        <w:spacing w:line="250" w:lineRule="exact"/>
        <w:ind w:left="979"/>
      </w:pPr>
      <w:r>
        <w:rPr/>
        <w:t>SIG</w:t>
      </w:r>
      <w:r>
        <w:rPr>
          <w:spacing w:val="-8"/>
        </w:rPr>
        <w:t> </w:t>
      </w:r>
      <w:r>
        <w:rPr/>
        <w:t>IMAS:</w:t>
      </w:r>
      <w:r>
        <w:rPr>
          <w:spacing w:val="-3"/>
        </w:rPr>
        <w:t> </w:t>
      </w:r>
      <w:r>
        <w:rPr/>
        <w:t>Sistema</w:t>
      </w:r>
      <w:r>
        <w:rPr>
          <w:spacing w:val="-6"/>
        </w:rPr>
        <w:t> </w:t>
      </w:r>
      <w:r>
        <w:rPr/>
        <w:t>de</w:t>
      </w:r>
      <w:r>
        <w:rPr>
          <w:spacing w:val="-3"/>
        </w:rPr>
        <w:t> </w:t>
      </w:r>
      <w:r>
        <w:rPr/>
        <w:t>Información</w:t>
      </w:r>
      <w:r>
        <w:rPr>
          <w:spacing w:val="-6"/>
        </w:rPr>
        <w:t> </w:t>
      </w:r>
      <w:r>
        <w:rPr>
          <w:spacing w:val="-2"/>
        </w:rPr>
        <w:t>Geoespacial</w:t>
      </w:r>
    </w:p>
    <w:p>
      <w:pPr>
        <w:pStyle w:val="BodyText"/>
        <w:spacing w:before="27"/>
      </w:pPr>
    </w:p>
    <w:p>
      <w:pPr>
        <w:pStyle w:val="BodyText"/>
        <w:spacing w:line="427" w:lineRule="auto"/>
        <w:ind w:left="979" w:right="1970"/>
      </w:pPr>
      <w:r>
        <w:rPr/>
        <w:t>SINIRUBE:</w:t>
      </w:r>
      <w:r>
        <w:rPr>
          <w:spacing w:val="-8"/>
        </w:rPr>
        <w:t> </w:t>
      </w:r>
      <w:r>
        <w:rPr/>
        <w:t>Sistema</w:t>
      </w:r>
      <w:r>
        <w:rPr>
          <w:spacing w:val="-4"/>
        </w:rPr>
        <w:t> </w:t>
      </w:r>
      <w:r>
        <w:rPr/>
        <w:t>Nacional</w:t>
      </w:r>
      <w:r>
        <w:rPr>
          <w:spacing w:val="-5"/>
        </w:rPr>
        <w:t> </w:t>
      </w:r>
      <w:r>
        <w:rPr/>
        <w:t>de</w:t>
      </w:r>
      <w:r>
        <w:rPr>
          <w:spacing w:val="-4"/>
        </w:rPr>
        <w:t> </w:t>
      </w:r>
      <w:r>
        <w:rPr/>
        <w:t>Información</w:t>
      </w:r>
      <w:r>
        <w:rPr>
          <w:spacing w:val="-4"/>
        </w:rPr>
        <w:t> </w:t>
      </w:r>
      <w:r>
        <w:rPr/>
        <w:t>y</w:t>
      </w:r>
      <w:r>
        <w:rPr>
          <w:spacing w:val="-4"/>
        </w:rPr>
        <w:t> </w:t>
      </w:r>
      <w:r>
        <w:rPr/>
        <w:t>Registro</w:t>
      </w:r>
      <w:r>
        <w:rPr>
          <w:spacing w:val="-4"/>
        </w:rPr>
        <w:t> </w:t>
      </w:r>
      <w:r>
        <w:rPr/>
        <w:t>Único</w:t>
      </w:r>
      <w:r>
        <w:rPr>
          <w:spacing w:val="-7"/>
        </w:rPr>
        <w:t> </w:t>
      </w:r>
      <w:r>
        <w:rPr/>
        <w:t>de</w:t>
      </w:r>
      <w:r>
        <w:rPr>
          <w:spacing w:val="-7"/>
        </w:rPr>
        <w:t> </w:t>
      </w:r>
      <w:r>
        <w:rPr/>
        <w:t>Beneficiarios SIPO: Sistema de Información de la Población Objetivo</w:t>
      </w:r>
    </w:p>
    <w:p>
      <w:pPr>
        <w:pStyle w:val="BodyText"/>
        <w:spacing w:line="429" w:lineRule="auto" w:before="3"/>
        <w:ind w:left="979" w:right="5444"/>
      </w:pPr>
      <w:r>
        <w:rPr/>
        <w:t>SITRA: Sistema Integrado de Transportes SNPE:</w:t>
      </w:r>
      <w:r>
        <w:rPr>
          <w:spacing w:val="-8"/>
        </w:rPr>
        <w:t> </w:t>
      </w:r>
      <w:r>
        <w:rPr/>
        <w:t>Sistema</w:t>
      </w:r>
      <w:r>
        <w:rPr>
          <w:spacing w:val="-4"/>
        </w:rPr>
        <w:t> </w:t>
      </w:r>
      <w:r>
        <w:rPr/>
        <w:t>Nacional</w:t>
      </w:r>
      <w:r>
        <w:rPr>
          <w:spacing w:val="-10"/>
        </w:rPr>
        <w:t> </w:t>
      </w:r>
      <w:r>
        <w:rPr/>
        <w:t>de</w:t>
      </w:r>
      <w:r>
        <w:rPr>
          <w:spacing w:val="-8"/>
        </w:rPr>
        <w:t> </w:t>
      </w:r>
      <w:r>
        <w:rPr/>
        <w:t>Protección</w:t>
      </w:r>
      <w:r>
        <w:rPr>
          <w:spacing w:val="-8"/>
        </w:rPr>
        <w:t> </w:t>
      </w:r>
      <w:r>
        <w:rPr/>
        <w:t>Especial ULDS: Unidades Locales de Desarrollo Social</w:t>
      </w:r>
    </w:p>
    <w:p>
      <w:pPr>
        <w:pStyle w:val="BodyText"/>
        <w:spacing w:after="0" w:line="429" w:lineRule="auto"/>
        <w:sectPr>
          <w:pgSz w:w="12240" w:h="15840"/>
          <w:pgMar w:header="0" w:footer="1300" w:top="1340" w:bottom="1480" w:left="720" w:right="360"/>
        </w:sectPr>
      </w:pPr>
    </w:p>
    <w:p>
      <w:pPr>
        <w:pStyle w:val="Heading1"/>
        <w:spacing w:before="75"/>
        <w:ind w:left="979"/>
      </w:pPr>
      <w:r>
        <w:rPr>
          <w:spacing w:val="-2"/>
        </w:rPr>
        <w:t>PRESENTACIÓN</w:t>
      </w:r>
    </w:p>
    <w:p>
      <w:pPr>
        <w:pStyle w:val="BodyText"/>
        <w:spacing w:line="242" w:lineRule="auto" w:before="271"/>
        <w:ind w:left="979" w:right="1344"/>
        <w:jc w:val="both"/>
      </w:pPr>
      <w:r>
        <w:rPr/>
        <w:t>El</w:t>
      </w:r>
      <w:r>
        <w:rPr>
          <w:spacing w:val="-2"/>
        </w:rPr>
        <w:t> </w:t>
      </w:r>
      <w:r>
        <w:rPr/>
        <w:t>IMAS</w:t>
      </w:r>
      <w:r>
        <w:rPr>
          <w:spacing w:val="-5"/>
        </w:rPr>
        <w:t> </w:t>
      </w:r>
      <w:r>
        <w:rPr/>
        <w:t>desde</w:t>
      </w:r>
      <w:r>
        <w:rPr>
          <w:spacing w:val="-4"/>
        </w:rPr>
        <w:t> </w:t>
      </w:r>
      <w:r>
        <w:rPr/>
        <w:t>hace varios</w:t>
      </w:r>
      <w:r>
        <w:rPr>
          <w:spacing w:val="-6"/>
        </w:rPr>
        <w:t> </w:t>
      </w:r>
      <w:r>
        <w:rPr/>
        <w:t>años</w:t>
      </w:r>
      <w:r>
        <w:rPr>
          <w:spacing w:val="-1"/>
        </w:rPr>
        <w:t> </w:t>
      </w:r>
      <w:r>
        <w:rPr/>
        <w:t>cuenta con</w:t>
      </w:r>
      <w:r>
        <w:rPr>
          <w:spacing w:val="-4"/>
        </w:rPr>
        <w:t> </w:t>
      </w:r>
      <w:r>
        <w:rPr/>
        <w:t>un instrumento</w:t>
      </w:r>
      <w:r>
        <w:rPr>
          <w:spacing w:val="-4"/>
        </w:rPr>
        <w:t> </w:t>
      </w:r>
      <w:r>
        <w:rPr/>
        <w:t>de</w:t>
      </w:r>
      <w:r>
        <w:rPr>
          <w:spacing w:val="-4"/>
        </w:rPr>
        <w:t> </w:t>
      </w:r>
      <w:r>
        <w:rPr/>
        <w:t>programación denominado Plan Operativo Gerencial (POGE), el cual es un instrumento complementario al Plan Operativo Institucional (POI), que se debe remitir a entes contralores y fiscalizadores.</w:t>
      </w:r>
    </w:p>
    <w:p>
      <w:pPr>
        <w:pStyle w:val="BodyText"/>
        <w:spacing w:before="247"/>
        <w:ind w:left="979" w:right="1335"/>
        <w:jc w:val="both"/>
      </w:pPr>
      <w:r>
        <w:rPr/>
        <w:t>Este</w:t>
      </w:r>
      <w:r>
        <w:rPr>
          <w:spacing w:val="-16"/>
        </w:rPr>
        <w:t> </w:t>
      </w:r>
      <w:r>
        <w:rPr/>
        <w:t>plan</w:t>
      </w:r>
      <w:r>
        <w:rPr>
          <w:spacing w:val="-15"/>
        </w:rPr>
        <w:t> </w:t>
      </w:r>
      <w:r>
        <w:rPr/>
        <w:t>se</w:t>
      </w:r>
      <w:r>
        <w:rPr>
          <w:spacing w:val="-15"/>
        </w:rPr>
        <w:t> </w:t>
      </w:r>
      <w:r>
        <w:rPr/>
        <w:t>elabora</w:t>
      </w:r>
      <w:r>
        <w:rPr>
          <w:spacing w:val="-16"/>
        </w:rPr>
        <w:t> </w:t>
      </w:r>
      <w:r>
        <w:rPr/>
        <w:t>con</w:t>
      </w:r>
      <w:r>
        <w:rPr>
          <w:spacing w:val="-15"/>
        </w:rPr>
        <w:t> </w:t>
      </w:r>
      <w:r>
        <w:rPr/>
        <w:t>el</w:t>
      </w:r>
      <w:r>
        <w:rPr>
          <w:spacing w:val="-15"/>
        </w:rPr>
        <w:t> </w:t>
      </w:r>
      <w:r>
        <w:rPr/>
        <w:t>fin</w:t>
      </w:r>
      <w:r>
        <w:rPr>
          <w:spacing w:val="-15"/>
        </w:rPr>
        <w:t> </w:t>
      </w:r>
      <w:r>
        <w:rPr/>
        <w:t>de</w:t>
      </w:r>
      <w:r>
        <w:rPr>
          <w:spacing w:val="-16"/>
        </w:rPr>
        <w:t> </w:t>
      </w:r>
      <w:r>
        <w:rPr/>
        <w:t>que</w:t>
      </w:r>
      <w:r>
        <w:rPr>
          <w:spacing w:val="-15"/>
        </w:rPr>
        <w:t> </w:t>
      </w:r>
      <w:r>
        <w:rPr/>
        <w:t>todas</w:t>
      </w:r>
      <w:r>
        <w:rPr>
          <w:spacing w:val="-15"/>
        </w:rPr>
        <w:t> </w:t>
      </w:r>
      <w:r>
        <w:rPr/>
        <w:t>las</w:t>
      </w:r>
      <w:r>
        <w:rPr>
          <w:spacing w:val="-16"/>
        </w:rPr>
        <w:t> </w:t>
      </w:r>
      <w:r>
        <w:rPr/>
        <w:t>unidades</w:t>
      </w:r>
      <w:r>
        <w:rPr>
          <w:spacing w:val="-15"/>
        </w:rPr>
        <w:t> </w:t>
      </w:r>
      <w:r>
        <w:rPr/>
        <w:t>institucionales</w:t>
      </w:r>
      <w:r>
        <w:rPr>
          <w:spacing w:val="-15"/>
        </w:rPr>
        <w:t> </w:t>
      </w:r>
      <w:r>
        <w:rPr/>
        <w:t>que</w:t>
      </w:r>
      <w:r>
        <w:rPr>
          <w:spacing w:val="-15"/>
        </w:rPr>
        <w:t> </w:t>
      </w:r>
      <w:r>
        <w:rPr/>
        <w:t>no</w:t>
      </w:r>
      <w:r>
        <w:rPr>
          <w:spacing w:val="-16"/>
        </w:rPr>
        <w:t> </w:t>
      </w:r>
      <w:r>
        <w:rPr/>
        <w:t>se</w:t>
      </w:r>
      <w:r>
        <w:rPr>
          <w:spacing w:val="-15"/>
        </w:rPr>
        <w:t> </w:t>
      </w:r>
      <w:r>
        <w:rPr/>
        <w:t>visualizan en el POI, cuenten con sus metas programadas en un instrumento formal, que será aprobado por la Gerencia General, y se le brinda seguimiento de manera trimestral. El contar con este instrumento permite programar y llevar el control de todas aquellas actividades que realizan las unidades</w:t>
      </w:r>
      <w:r>
        <w:rPr>
          <w:spacing w:val="-2"/>
        </w:rPr>
        <w:t> </w:t>
      </w:r>
      <w:r>
        <w:rPr/>
        <w:t>que son de importancia para el cumplimiento de los objetivos</w:t>
      </w:r>
      <w:r>
        <w:rPr>
          <w:spacing w:val="-7"/>
        </w:rPr>
        <w:t> </w:t>
      </w:r>
      <w:r>
        <w:rPr/>
        <w:t>institucionales,</w:t>
      </w:r>
      <w:r>
        <w:rPr>
          <w:spacing w:val="-6"/>
        </w:rPr>
        <w:t> </w:t>
      </w:r>
      <w:r>
        <w:rPr/>
        <w:t>cumplimiento</w:t>
      </w:r>
      <w:r>
        <w:rPr>
          <w:spacing w:val="-5"/>
        </w:rPr>
        <w:t> </w:t>
      </w:r>
      <w:r>
        <w:rPr/>
        <w:t>de</w:t>
      </w:r>
      <w:r>
        <w:rPr>
          <w:spacing w:val="-5"/>
        </w:rPr>
        <w:t> </w:t>
      </w:r>
      <w:r>
        <w:rPr/>
        <w:t>otros</w:t>
      </w:r>
      <w:r>
        <w:rPr>
          <w:spacing w:val="-7"/>
        </w:rPr>
        <w:t> </w:t>
      </w:r>
      <w:r>
        <w:rPr/>
        <w:t>planes</w:t>
      </w:r>
      <w:r>
        <w:rPr>
          <w:spacing w:val="-2"/>
        </w:rPr>
        <w:t> </w:t>
      </w:r>
      <w:r>
        <w:rPr/>
        <w:t>y</w:t>
      </w:r>
      <w:r>
        <w:rPr>
          <w:spacing w:val="-7"/>
        </w:rPr>
        <w:t> </w:t>
      </w:r>
      <w:r>
        <w:rPr/>
        <w:t>políticas, así</w:t>
      </w:r>
      <w:r>
        <w:rPr>
          <w:spacing w:val="-6"/>
        </w:rPr>
        <w:t> </w:t>
      </w:r>
      <w:r>
        <w:rPr/>
        <w:t>como insumo</w:t>
      </w:r>
      <w:r>
        <w:rPr>
          <w:spacing w:val="-5"/>
        </w:rPr>
        <w:t> </w:t>
      </w:r>
      <w:r>
        <w:rPr/>
        <w:t>para</w:t>
      </w:r>
      <w:r>
        <w:rPr>
          <w:spacing w:val="-5"/>
        </w:rPr>
        <w:t> </w:t>
      </w:r>
      <w:r>
        <w:rPr/>
        <w:t>la evaluación del desempeño del personal.</w:t>
      </w:r>
    </w:p>
    <w:p>
      <w:pPr>
        <w:pStyle w:val="BodyText"/>
        <w:spacing w:before="2"/>
      </w:pPr>
    </w:p>
    <w:p>
      <w:pPr>
        <w:pStyle w:val="BodyText"/>
        <w:ind w:left="979" w:right="1348"/>
        <w:jc w:val="both"/>
      </w:pPr>
      <w:r>
        <w:rPr/>
        <w:t>La estructura desde la cual se implementa este proceso se define por tres programas a saber: Programa de Protección y Promoción Social (PPPS); Programa de Actividades Centrales</w:t>
      </w:r>
      <w:r>
        <w:rPr>
          <w:spacing w:val="-16"/>
        </w:rPr>
        <w:t> </w:t>
      </w:r>
      <w:r>
        <w:rPr/>
        <w:t>(PAC)</w:t>
      </w:r>
      <w:r>
        <w:rPr>
          <w:spacing w:val="-14"/>
        </w:rPr>
        <w:t> </w:t>
      </w:r>
      <w:r>
        <w:rPr/>
        <w:t>y</w:t>
      </w:r>
      <w:r>
        <w:rPr>
          <w:spacing w:val="-13"/>
        </w:rPr>
        <w:t> </w:t>
      </w:r>
      <w:r>
        <w:rPr/>
        <w:t>Programa</w:t>
      </w:r>
      <w:r>
        <w:rPr>
          <w:spacing w:val="-12"/>
        </w:rPr>
        <w:t> </w:t>
      </w:r>
      <w:r>
        <w:rPr/>
        <w:t>de</w:t>
      </w:r>
      <w:r>
        <w:rPr>
          <w:spacing w:val="-16"/>
        </w:rPr>
        <w:t> </w:t>
      </w:r>
      <w:r>
        <w:rPr/>
        <w:t>Empresas</w:t>
      </w:r>
      <w:r>
        <w:rPr>
          <w:spacing w:val="-13"/>
        </w:rPr>
        <w:t> </w:t>
      </w:r>
      <w:r>
        <w:rPr/>
        <w:t>Comerciales</w:t>
      </w:r>
      <w:r>
        <w:rPr>
          <w:spacing w:val="-13"/>
        </w:rPr>
        <w:t> </w:t>
      </w:r>
      <w:r>
        <w:rPr/>
        <w:t>(PEC),</w:t>
      </w:r>
      <w:r>
        <w:rPr>
          <w:spacing w:val="-13"/>
        </w:rPr>
        <w:t> </w:t>
      </w:r>
      <w:r>
        <w:rPr/>
        <w:t>los</w:t>
      </w:r>
      <w:r>
        <w:rPr>
          <w:spacing w:val="-16"/>
        </w:rPr>
        <w:t> </w:t>
      </w:r>
      <w:r>
        <w:rPr/>
        <w:t>cuales</w:t>
      </w:r>
      <w:r>
        <w:rPr>
          <w:spacing w:val="-13"/>
        </w:rPr>
        <w:t> </w:t>
      </w:r>
      <w:r>
        <w:rPr/>
        <w:t>coinciden</w:t>
      </w:r>
      <w:r>
        <w:rPr>
          <w:spacing w:val="-12"/>
        </w:rPr>
        <w:t> </w:t>
      </w:r>
      <w:r>
        <w:rPr/>
        <w:t>con</w:t>
      </w:r>
      <w:r>
        <w:rPr>
          <w:spacing w:val="-12"/>
        </w:rPr>
        <w:t> </w:t>
      </w:r>
      <w:r>
        <w:rPr/>
        <w:t>los programas</w:t>
      </w:r>
      <w:r>
        <w:rPr>
          <w:spacing w:val="-3"/>
        </w:rPr>
        <w:t> </w:t>
      </w:r>
      <w:r>
        <w:rPr/>
        <w:t>presupuestarios</w:t>
      </w:r>
      <w:r>
        <w:rPr>
          <w:spacing w:val="-3"/>
        </w:rPr>
        <w:t> </w:t>
      </w:r>
      <w:r>
        <w:rPr/>
        <w:t>manteniendo</w:t>
      </w:r>
      <w:r>
        <w:rPr>
          <w:spacing w:val="-2"/>
        </w:rPr>
        <w:t> </w:t>
      </w:r>
      <w:r>
        <w:rPr/>
        <w:t>una vinculación</w:t>
      </w:r>
      <w:r>
        <w:rPr>
          <w:spacing w:val="-2"/>
        </w:rPr>
        <w:t> </w:t>
      </w:r>
      <w:r>
        <w:rPr/>
        <w:t>entre la</w:t>
      </w:r>
      <w:r>
        <w:rPr>
          <w:spacing w:val="-2"/>
        </w:rPr>
        <w:t> </w:t>
      </w:r>
      <w:r>
        <w:rPr/>
        <w:t>planificación</w:t>
      </w:r>
      <w:r>
        <w:rPr>
          <w:spacing w:val="-2"/>
        </w:rPr>
        <w:t> </w:t>
      </w:r>
      <w:r>
        <w:rPr/>
        <w:t>operativa y el proceso presupuestario institucional.</w:t>
      </w:r>
    </w:p>
    <w:p>
      <w:pPr>
        <w:pStyle w:val="BodyText"/>
        <w:spacing w:before="252"/>
        <w:ind w:left="979" w:right="1336"/>
        <w:jc w:val="both"/>
      </w:pPr>
      <w:r>
        <w:rPr/>
        <w:t>El documento del POGE contiene dos grandes apartados: Marco General y Vinculación Plan Presupuesto. En el primer apartado se presentan los siguientes productos: Marco Jurídico, las personas funcionarias responsables de la Ejecución, el Diagnóstico Institucional, la Estructura Programática, y el Marco Estratégico. El segundo apartado incluye los tres programas presupuestarios institucionales y su programación para el año </w:t>
      </w:r>
      <w:r>
        <w:rPr>
          <w:spacing w:val="-2"/>
        </w:rPr>
        <w:t>2026.</w:t>
      </w:r>
    </w:p>
    <w:p>
      <w:pPr>
        <w:pStyle w:val="BodyText"/>
        <w:spacing w:after="0"/>
        <w:jc w:val="both"/>
        <w:sectPr>
          <w:footerReference w:type="default" r:id="rId8"/>
          <w:pgSz w:w="12240" w:h="15840"/>
          <w:pgMar w:header="0" w:footer="1021" w:top="1620" w:bottom="1220" w:left="720" w:right="360"/>
          <w:pgNumType w:start="7"/>
        </w:sectPr>
      </w:pPr>
    </w:p>
    <w:p>
      <w:pPr>
        <w:pStyle w:val="Heading1"/>
        <w:spacing w:before="77"/>
        <w:ind w:left="979"/>
        <w:jc w:val="both"/>
      </w:pPr>
      <w:bookmarkStart w:name="_bookmark0" w:id="1"/>
      <w:bookmarkEnd w:id="1"/>
      <w:r>
        <w:rPr>
          <w:b w:val="0"/>
        </w:rPr>
      </w:r>
      <w:r>
        <w:rPr/>
        <w:t>Marco</w:t>
      </w:r>
      <w:r>
        <w:rPr>
          <w:spacing w:val="-5"/>
        </w:rPr>
        <w:t> </w:t>
      </w:r>
      <w:r>
        <w:rPr>
          <w:spacing w:val="-2"/>
        </w:rPr>
        <w:t>General</w:t>
      </w:r>
    </w:p>
    <w:p>
      <w:pPr>
        <w:pStyle w:val="Heading1"/>
        <w:numPr>
          <w:ilvl w:val="1"/>
          <w:numId w:val="4"/>
        </w:numPr>
        <w:tabs>
          <w:tab w:pos="2396" w:val="left" w:leader="none"/>
        </w:tabs>
        <w:spacing w:line="240" w:lineRule="auto" w:before="252" w:after="0"/>
        <w:ind w:left="2396" w:right="0" w:hanging="552"/>
        <w:jc w:val="left"/>
      </w:pPr>
      <w:bookmarkStart w:name="_bookmark1" w:id="2"/>
      <w:bookmarkEnd w:id="2"/>
      <w:r>
        <w:rPr>
          <w:b w:val="0"/>
        </w:rPr>
      </w:r>
      <w:r>
        <w:rPr/>
        <w:t>Marco</w:t>
      </w:r>
      <w:r>
        <w:rPr>
          <w:spacing w:val="-2"/>
        </w:rPr>
        <w:t> </w:t>
      </w:r>
      <w:r>
        <w:rPr/>
        <w:t>Jurídico</w:t>
      </w:r>
      <w:r>
        <w:rPr>
          <w:spacing w:val="-5"/>
        </w:rPr>
        <w:t> </w:t>
      </w:r>
      <w:r>
        <w:rPr>
          <w:spacing w:val="-2"/>
        </w:rPr>
        <w:t>Institucional</w:t>
      </w:r>
    </w:p>
    <w:p>
      <w:pPr>
        <w:pStyle w:val="BodyText"/>
        <w:spacing w:before="252"/>
        <w:ind w:left="979" w:right="1348"/>
        <w:jc w:val="both"/>
      </w:pPr>
      <w:r>
        <w:rPr/>
        <w:t>Los principales instrumentos jurídicos propios y vinculantes al quehacer institucional del IMAS, se mencionan a continuación:</w:t>
      </w:r>
    </w:p>
    <w:p>
      <w:pPr>
        <w:spacing w:before="252"/>
        <w:ind w:left="979" w:right="1342" w:firstLine="0"/>
        <w:jc w:val="both"/>
        <w:rPr>
          <w:sz w:val="22"/>
        </w:rPr>
      </w:pPr>
      <w:r>
        <w:rPr>
          <w:b/>
          <w:sz w:val="22"/>
        </w:rPr>
        <w:t>Constitución</w:t>
      </w:r>
      <w:r>
        <w:rPr>
          <w:b/>
          <w:spacing w:val="-13"/>
          <w:sz w:val="22"/>
        </w:rPr>
        <w:t> </w:t>
      </w:r>
      <w:r>
        <w:rPr>
          <w:b/>
          <w:sz w:val="22"/>
        </w:rPr>
        <w:t>Política</w:t>
      </w:r>
      <w:r>
        <w:rPr>
          <w:b/>
          <w:spacing w:val="-5"/>
          <w:sz w:val="22"/>
        </w:rPr>
        <w:t> </w:t>
      </w:r>
      <w:r>
        <w:rPr>
          <w:b/>
          <w:sz w:val="22"/>
        </w:rPr>
        <w:t>de</w:t>
      </w:r>
      <w:r>
        <w:rPr>
          <w:b/>
          <w:spacing w:val="-5"/>
          <w:sz w:val="22"/>
        </w:rPr>
        <w:t> </w:t>
      </w:r>
      <w:r>
        <w:rPr>
          <w:b/>
          <w:sz w:val="22"/>
        </w:rPr>
        <w:t>Costa</w:t>
      </w:r>
      <w:r>
        <w:rPr>
          <w:b/>
          <w:spacing w:val="-10"/>
          <w:sz w:val="22"/>
        </w:rPr>
        <w:t> </w:t>
      </w:r>
      <w:r>
        <w:rPr>
          <w:b/>
          <w:sz w:val="22"/>
        </w:rPr>
        <w:t>Rica</w:t>
      </w:r>
      <w:r>
        <w:rPr>
          <w:sz w:val="22"/>
        </w:rPr>
        <w:t>.</w:t>
      </w:r>
      <w:r>
        <w:rPr>
          <w:spacing w:val="-11"/>
          <w:sz w:val="22"/>
        </w:rPr>
        <w:t> </w:t>
      </w:r>
      <w:r>
        <w:rPr>
          <w:sz w:val="22"/>
        </w:rPr>
        <w:t>Regula</w:t>
      </w:r>
      <w:r>
        <w:rPr>
          <w:spacing w:val="-10"/>
          <w:sz w:val="22"/>
        </w:rPr>
        <w:t> </w:t>
      </w:r>
      <w:r>
        <w:rPr>
          <w:sz w:val="22"/>
        </w:rPr>
        <w:t>la</w:t>
      </w:r>
      <w:r>
        <w:rPr>
          <w:spacing w:val="-10"/>
          <w:sz w:val="22"/>
        </w:rPr>
        <w:t> </w:t>
      </w:r>
      <w:r>
        <w:rPr>
          <w:sz w:val="22"/>
        </w:rPr>
        <w:t>relación</w:t>
      </w:r>
      <w:r>
        <w:rPr>
          <w:spacing w:val="-10"/>
          <w:sz w:val="22"/>
        </w:rPr>
        <w:t> </w:t>
      </w:r>
      <w:r>
        <w:rPr>
          <w:sz w:val="22"/>
        </w:rPr>
        <w:t>entre</w:t>
      </w:r>
      <w:r>
        <w:rPr>
          <w:spacing w:val="-5"/>
          <w:sz w:val="22"/>
        </w:rPr>
        <w:t> </w:t>
      </w:r>
      <w:r>
        <w:rPr>
          <w:sz w:val="22"/>
        </w:rPr>
        <w:t>los</w:t>
      </w:r>
      <w:r>
        <w:rPr>
          <w:spacing w:val="-12"/>
          <w:sz w:val="22"/>
        </w:rPr>
        <w:t> </w:t>
      </w:r>
      <w:r>
        <w:rPr>
          <w:sz w:val="22"/>
        </w:rPr>
        <w:t>poderes</w:t>
      </w:r>
      <w:r>
        <w:rPr>
          <w:spacing w:val="-12"/>
          <w:sz w:val="22"/>
        </w:rPr>
        <w:t> </w:t>
      </w:r>
      <w:r>
        <w:rPr>
          <w:sz w:val="22"/>
        </w:rPr>
        <w:t>del</w:t>
      </w:r>
      <w:r>
        <w:rPr>
          <w:spacing w:val="-13"/>
          <w:sz w:val="22"/>
        </w:rPr>
        <w:t> </w:t>
      </w:r>
      <w:r>
        <w:rPr>
          <w:sz w:val="22"/>
        </w:rPr>
        <w:t>Estado</w:t>
      </w:r>
      <w:r>
        <w:rPr>
          <w:spacing w:val="-10"/>
          <w:sz w:val="22"/>
        </w:rPr>
        <w:t> </w:t>
      </w:r>
      <w:r>
        <w:rPr>
          <w:sz w:val="22"/>
        </w:rPr>
        <w:t>y</w:t>
      </w:r>
      <w:r>
        <w:rPr>
          <w:spacing w:val="-12"/>
          <w:sz w:val="22"/>
        </w:rPr>
        <w:t> </w:t>
      </w:r>
      <w:r>
        <w:rPr>
          <w:sz w:val="22"/>
        </w:rPr>
        <w:t>de estos con los ciudadanos. Fecha de vigencia: 08/11/1949.</w:t>
      </w:r>
    </w:p>
    <w:p>
      <w:pPr>
        <w:pStyle w:val="BodyText"/>
        <w:spacing w:before="5"/>
      </w:pPr>
    </w:p>
    <w:p>
      <w:pPr>
        <w:pStyle w:val="Heading2"/>
      </w:pPr>
      <w:r>
        <w:rPr>
          <w:spacing w:val="-2"/>
        </w:rPr>
        <w:t>LEYES</w:t>
      </w:r>
    </w:p>
    <w:p>
      <w:pPr>
        <w:spacing w:line="240" w:lineRule="auto" w:before="251"/>
        <w:ind w:left="979" w:right="1336" w:firstLine="0"/>
        <w:jc w:val="both"/>
        <w:rPr>
          <w:sz w:val="22"/>
        </w:rPr>
      </w:pPr>
      <w:r>
        <w:rPr>
          <w:b/>
          <w:sz w:val="22"/>
        </w:rPr>
        <w:t>Ley</w:t>
      </w:r>
      <w:r>
        <w:rPr>
          <w:b/>
          <w:spacing w:val="-14"/>
          <w:sz w:val="22"/>
        </w:rPr>
        <w:t> </w:t>
      </w:r>
      <w:r>
        <w:rPr>
          <w:b/>
          <w:sz w:val="22"/>
        </w:rPr>
        <w:t>de</w:t>
      </w:r>
      <w:r>
        <w:rPr>
          <w:b/>
          <w:spacing w:val="-10"/>
          <w:sz w:val="22"/>
        </w:rPr>
        <w:t> </w:t>
      </w:r>
      <w:r>
        <w:rPr>
          <w:b/>
          <w:sz w:val="22"/>
        </w:rPr>
        <w:t>Creación</w:t>
      </w:r>
      <w:r>
        <w:rPr>
          <w:b/>
          <w:spacing w:val="-12"/>
          <w:sz w:val="22"/>
        </w:rPr>
        <w:t> </w:t>
      </w:r>
      <w:r>
        <w:rPr>
          <w:b/>
          <w:sz w:val="22"/>
        </w:rPr>
        <w:t>del</w:t>
      </w:r>
      <w:r>
        <w:rPr>
          <w:b/>
          <w:spacing w:val="-10"/>
          <w:sz w:val="22"/>
        </w:rPr>
        <w:t> </w:t>
      </w:r>
      <w:r>
        <w:rPr>
          <w:b/>
          <w:sz w:val="22"/>
        </w:rPr>
        <w:t>IMAS,</w:t>
      </w:r>
      <w:r>
        <w:rPr>
          <w:b/>
          <w:spacing w:val="-7"/>
          <w:sz w:val="22"/>
        </w:rPr>
        <w:t> </w:t>
      </w:r>
      <w:r>
        <w:rPr>
          <w:b/>
          <w:sz w:val="22"/>
        </w:rPr>
        <w:t>N°4760</w:t>
      </w:r>
      <w:r>
        <w:rPr>
          <w:b/>
          <w:spacing w:val="-9"/>
          <w:sz w:val="22"/>
        </w:rPr>
        <w:t> </w:t>
      </w:r>
      <w:r>
        <w:rPr>
          <w:b/>
          <w:sz w:val="22"/>
        </w:rPr>
        <w:t>y</w:t>
      </w:r>
      <w:r>
        <w:rPr>
          <w:b/>
          <w:spacing w:val="-14"/>
          <w:sz w:val="22"/>
        </w:rPr>
        <w:t> </w:t>
      </w:r>
      <w:r>
        <w:rPr>
          <w:b/>
          <w:sz w:val="22"/>
        </w:rPr>
        <w:t>sus</w:t>
      </w:r>
      <w:r>
        <w:rPr>
          <w:b/>
          <w:spacing w:val="-10"/>
          <w:sz w:val="22"/>
        </w:rPr>
        <w:t> </w:t>
      </w:r>
      <w:r>
        <w:rPr>
          <w:b/>
          <w:sz w:val="22"/>
        </w:rPr>
        <w:t>reformas.</w:t>
      </w:r>
      <w:r>
        <w:rPr>
          <w:b/>
          <w:spacing w:val="-8"/>
          <w:sz w:val="22"/>
        </w:rPr>
        <w:t> </w:t>
      </w:r>
      <w:r>
        <w:rPr>
          <w:sz w:val="22"/>
        </w:rPr>
        <w:t>Creación</w:t>
      </w:r>
      <w:r>
        <w:rPr>
          <w:spacing w:val="-9"/>
          <w:sz w:val="22"/>
        </w:rPr>
        <w:t> </w:t>
      </w:r>
      <w:r>
        <w:rPr>
          <w:sz w:val="22"/>
        </w:rPr>
        <w:t>del</w:t>
      </w:r>
      <w:r>
        <w:rPr>
          <w:spacing w:val="-10"/>
          <w:sz w:val="22"/>
        </w:rPr>
        <w:t> </w:t>
      </w:r>
      <w:r>
        <w:rPr>
          <w:sz w:val="22"/>
        </w:rPr>
        <w:t>Instituto</w:t>
      </w:r>
      <w:r>
        <w:rPr>
          <w:spacing w:val="-8"/>
          <w:sz w:val="22"/>
        </w:rPr>
        <w:t> </w:t>
      </w:r>
      <w:r>
        <w:rPr>
          <w:sz w:val="22"/>
        </w:rPr>
        <w:t>Mixto</w:t>
      </w:r>
      <w:r>
        <w:rPr>
          <w:spacing w:val="-9"/>
          <w:sz w:val="22"/>
        </w:rPr>
        <w:t> </w:t>
      </w:r>
      <w:r>
        <w:rPr>
          <w:sz w:val="22"/>
        </w:rPr>
        <w:t>de</w:t>
      </w:r>
      <w:r>
        <w:rPr>
          <w:spacing w:val="-9"/>
          <w:sz w:val="22"/>
        </w:rPr>
        <w:t> </w:t>
      </w:r>
      <w:r>
        <w:rPr>
          <w:sz w:val="22"/>
        </w:rPr>
        <w:t>Ayuda Social (IMAS), con el fin de resolver la pobreza y pobreza extrema del país. Fecha de vigencia 04/05/1971.</w:t>
      </w:r>
    </w:p>
    <w:p>
      <w:pPr>
        <w:pStyle w:val="BodyText"/>
        <w:spacing w:before="1"/>
      </w:pPr>
    </w:p>
    <w:p>
      <w:pPr>
        <w:pStyle w:val="BodyText"/>
        <w:ind w:left="979" w:right="1339"/>
        <w:jc w:val="both"/>
      </w:pPr>
      <w:r>
        <w:rPr>
          <w:b/>
        </w:rPr>
        <w:t>Ley de Planificación Nacional</w:t>
      </w:r>
      <w:r>
        <w:rPr/>
        <w:t>, </w:t>
      </w:r>
      <w:r>
        <w:rPr>
          <w:b/>
        </w:rPr>
        <w:t>N°5525 y</w:t>
      </w:r>
      <w:r>
        <w:rPr>
          <w:b/>
          <w:spacing w:val="-1"/>
        </w:rPr>
        <w:t> </w:t>
      </w:r>
      <w:r>
        <w:rPr>
          <w:b/>
        </w:rPr>
        <w:t>sus reformas. </w:t>
      </w:r>
      <w:r>
        <w:rPr/>
        <w:t>Establece un Sistema Nacional de Planificación que tendrá los siguientes objetivos: a) Intensificar el crecimiento de la producción y de la productividad del país. b) Promover la mejor distribución del ingreso y de</w:t>
      </w:r>
      <w:r>
        <w:rPr>
          <w:spacing w:val="-16"/>
        </w:rPr>
        <w:t> </w:t>
      </w:r>
      <w:r>
        <w:rPr/>
        <w:t>los</w:t>
      </w:r>
      <w:r>
        <w:rPr>
          <w:spacing w:val="-15"/>
        </w:rPr>
        <w:t> </w:t>
      </w:r>
      <w:r>
        <w:rPr/>
        <w:t>servicios</w:t>
      </w:r>
      <w:r>
        <w:rPr>
          <w:spacing w:val="-15"/>
        </w:rPr>
        <w:t> </w:t>
      </w:r>
      <w:r>
        <w:rPr/>
        <w:t>sociales</w:t>
      </w:r>
      <w:r>
        <w:rPr>
          <w:spacing w:val="-16"/>
        </w:rPr>
        <w:t> </w:t>
      </w:r>
      <w:r>
        <w:rPr/>
        <w:t>que</w:t>
      </w:r>
      <w:r>
        <w:rPr>
          <w:spacing w:val="-15"/>
        </w:rPr>
        <w:t> </w:t>
      </w:r>
      <w:r>
        <w:rPr/>
        <w:t>presta</w:t>
      </w:r>
      <w:r>
        <w:rPr>
          <w:spacing w:val="-15"/>
        </w:rPr>
        <w:t> </w:t>
      </w:r>
      <w:r>
        <w:rPr/>
        <w:t>el</w:t>
      </w:r>
      <w:r>
        <w:rPr>
          <w:spacing w:val="-15"/>
        </w:rPr>
        <w:t> </w:t>
      </w:r>
      <w:r>
        <w:rPr/>
        <w:t>Estado.</w:t>
      </w:r>
      <w:r>
        <w:rPr>
          <w:spacing w:val="-16"/>
        </w:rPr>
        <w:t> </w:t>
      </w:r>
      <w:r>
        <w:rPr/>
        <w:t>c)</w:t>
      </w:r>
      <w:r>
        <w:rPr>
          <w:spacing w:val="-15"/>
        </w:rPr>
        <w:t> </w:t>
      </w:r>
      <w:r>
        <w:rPr/>
        <w:t>Propiciar</w:t>
      </w:r>
      <w:r>
        <w:rPr>
          <w:spacing w:val="-15"/>
        </w:rPr>
        <w:t> </w:t>
      </w:r>
      <w:r>
        <w:rPr/>
        <w:t>una</w:t>
      </w:r>
      <w:r>
        <w:rPr>
          <w:spacing w:val="-16"/>
        </w:rPr>
        <w:t> </w:t>
      </w:r>
      <w:r>
        <w:rPr/>
        <w:t>participación</w:t>
      </w:r>
      <w:r>
        <w:rPr>
          <w:spacing w:val="-14"/>
        </w:rPr>
        <w:t> </w:t>
      </w:r>
      <w:r>
        <w:rPr/>
        <w:t>cada</w:t>
      </w:r>
      <w:r>
        <w:rPr>
          <w:spacing w:val="-13"/>
        </w:rPr>
        <w:t> </w:t>
      </w:r>
      <w:r>
        <w:rPr/>
        <w:t>vez</w:t>
      </w:r>
      <w:r>
        <w:rPr>
          <w:spacing w:val="-15"/>
        </w:rPr>
        <w:t> </w:t>
      </w:r>
      <w:r>
        <w:rPr/>
        <w:t>mayor de</w:t>
      </w:r>
      <w:r>
        <w:rPr>
          <w:spacing w:val="-1"/>
        </w:rPr>
        <w:t> </w:t>
      </w:r>
      <w:r>
        <w:rPr/>
        <w:t>los</w:t>
      </w:r>
      <w:r>
        <w:rPr>
          <w:spacing w:val="-3"/>
        </w:rPr>
        <w:t> </w:t>
      </w:r>
      <w:r>
        <w:rPr/>
        <w:t>ciudadanos</w:t>
      </w:r>
      <w:r>
        <w:rPr>
          <w:spacing w:val="-3"/>
        </w:rPr>
        <w:t> </w:t>
      </w:r>
      <w:r>
        <w:rPr/>
        <w:t>en la solución</w:t>
      </w:r>
      <w:r>
        <w:rPr>
          <w:spacing w:val="-1"/>
        </w:rPr>
        <w:t> </w:t>
      </w:r>
      <w:r>
        <w:rPr/>
        <w:t>de los</w:t>
      </w:r>
      <w:r>
        <w:rPr>
          <w:spacing w:val="-2"/>
        </w:rPr>
        <w:t> </w:t>
      </w:r>
      <w:r>
        <w:rPr/>
        <w:t>problemas económicos</w:t>
      </w:r>
      <w:r>
        <w:rPr>
          <w:spacing w:val="-3"/>
        </w:rPr>
        <w:t> </w:t>
      </w:r>
      <w:r>
        <w:rPr/>
        <w:t>y sociales.</w:t>
      </w:r>
      <w:r>
        <w:rPr>
          <w:spacing w:val="-1"/>
        </w:rPr>
        <w:t> </w:t>
      </w:r>
      <w:r>
        <w:rPr/>
        <w:t>d)Reconocer</w:t>
      </w:r>
      <w:r>
        <w:rPr>
          <w:spacing w:val="-4"/>
        </w:rPr>
        <w:t> </w:t>
      </w:r>
      <w:r>
        <w:rPr/>
        <w:t>el carácter</w:t>
      </w:r>
      <w:r>
        <w:rPr>
          <w:spacing w:val="-14"/>
        </w:rPr>
        <w:t> </w:t>
      </w:r>
      <w:r>
        <w:rPr/>
        <w:t>multiétnico</w:t>
      </w:r>
      <w:r>
        <w:rPr>
          <w:spacing w:val="-10"/>
        </w:rPr>
        <w:t> </w:t>
      </w:r>
      <w:r>
        <w:rPr/>
        <w:t>y</w:t>
      </w:r>
      <w:r>
        <w:rPr>
          <w:spacing w:val="-12"/>
        </w:rPr>
        <w:t> </w:t>
      </w:r>
      <w:r>
        <w:rPr/>
        <w:t>pluricultural</w:t>
      </w:r>
      <w:r>
        <w:rPr>
          <w:spacing w:val="-13"/>
        </w:rPr>
        <w:t> </w:t>
      </w:r>
      <w:r>
        <w:rPr/>
        <w:t>de</w:t>
      </w:r>
      <w:r>
        <w:rPr>
          <w:spacing w:val="-10"/>
        </w:rPr>
        <w:t> </w:t>
      </w:r>
      <w:r>
        <w:rPr/>
        <w:t>Costa</w:t>
      </w:r>
      <w:r>
        <w:rPr>
          <w:spacing w:val="-10"/>
        </w:rPr>
        <w:t> </w:t>
      </w:r>
      <w:r>
        <w:rPr/>
        <w:t>Rica,</w:t>
      </w:r>
      <w:r>
        <w:rPr>
          <w:spacing w:val="-11"/>
        </w:rPr>
        <w:t> </w:t>
      </w:r>
      <w:r>
        <w:rPr/>
        <w:t>con</w:t>
      </w:r>
      <w:r>
        <w:rPr>
          <w:spacing w:val="-10"/>
        </w:rPr>
        <w:t> </w:t>
      </w:r>
      <w:r>
        <w:rPr/>
        <w:t>sus</w:t>
      </w:r>
      <w:r>
        <w:rPr>
          <w:spacing w:val="-12"/>
        </w:rPr>
        <w:t> </w:t>
      </w:r>
      <w:r>
        <w:rPr/>
        <w:t>necesidades</w:t>
      </w:r>
      <w:r>
        <w:rPr>
          <w:spacing w:val="-12"/>
        </w:rPr>
        <w:t> </w:t>
      </w:r>
      <w:r>
        <w:rPr/>
        <w:t>propias</w:t>
      </w:r>
      <w:r>
        <w:rPr>
          <w:spacing w:val="-12"/>
        </w:rPr>
        <w:t> </w:t>
      </w:r>
      <w:r>
        <w:rPr/>
        <w:t>y</w:t>
      </w:r>
      <w:r>
        <w:rPr>
          <w:spacing w:val="-16"/>
        </w:rPr>
        <w:t> </w:t>
      </w:r>
      <w:r>
        <w:rPr/>
        <w:t>en</w:t>
      </w:r>
      <w:r>
        <w:rPr>
          <w:spacing w:val="-10"/>
        </w:rPr>
        <w:t> </w:t>
      </w:r>
      <w:r>
        <w:rPr/>
        <w:t>procura de la no discriminación. Fecha de vigencia 02/05/1974.</w:t>
      </w:r>
    </w:p>
    <w:p>
      <w:pPr>
        <w:spacing w:before="251"/>
        <w:ind w:left="979" w:right="1336" w:firstLine="0"/>
        <w:jc w:val="both"/>
        <w:rPr>
          <w:sz w:val="22"/>
        </w:rPr>
      </w:pPr>
      <w:r>
        <w:rPr>
          <w:b/>
          <w:sz w:val="22"/>
        </w:rPr>
        <w:t>Ley</w:t>
      </w:r>
      <w:r>
        <w:rPr>
          <w:b/>
          <w:spacing w:val="-9"/>
          <w:sz w:val="22"/>
        </w:rPr>
        <w:t> </w:t>
      </w:r>
      <w:r>
        <w:rPr>
          <w:b/>
          <w:sz w:val="22"/>
        </w:rPr>
        <w:t>de</w:t>
      </w:r>
      <w:r>
        <w:rPr>
          <w:b/>
          <w:spacing w:val="-5"/>
          <w:sz w:val="22"/>
        </w:rPr>
        <w:t> </w:t>
      </w:r>
      <w:r>
        <w:rPr>
          <w:b/>
          <w:sz w:val="22"/>
        </w:rPr>
        <w:t>Desarrollo</w:t>
      </w:r>
      <w:r>
        <w:rPr>
          <w:b/>
          <w:spacing w:val="-6"/>
          <w:sz w:val="22"/>
        </w:rPr>
        <w:t> </w:t>
      </w:r>
      <w:r>
        <w:rPr>
          <w:b/>
          <w:sz w:val="22"/>
        </w:rPr>
        <w:t>Social</w:t>
      </w:r>
      <w:r>
        <w:rPr>
          <w:b/>
          <w:spacing w:val="-5"/>
          <w:sz w:val="22"/>
        </w:rPr>
        <w:t> </w:t>
      </w:r>
      <w:r>
        <w:rPr>
          <w:b/>
          <w:sz w:val="22"/>
        </w:rPr>
        <w:t>y</w:t>
      </w:r>
      <w:r>
        <w:rPr>
          <w:b/>
          <w:spacing w:val="-9"/>
          <w:sz w:val="22"/>
        </w:rPr>
        <w:t> </w:t>
      </w:r>
      <w:r>
        <w:rPr>
          <w:b/>
          <w:sz w:val="22"/>
        </w:rPr>
        <w:t>Asignaciones</w:t>
      </w:r>
      <w:r>
        <w:rPr>
          <w:b/>
          <w:spacing w:val="-4"/>
          <w:sz w:val="22"/>
        </w:rPr>
        <w:t> </w:t>
      </w:r>
      <w:r>
        <w:rPr>
          <w:b/>
          <w:sz w:val="22"/>
        </w:rPr>
        <w:t>Familiares</w:t>
      </w:r>
      <w:r>
        <w:rPr>
          <w:sz w:val="22"/>
        </w:rPr>
        <w:t>,</w:t>
      </w:r>
      <w:r>
        <w:rPr>
          <w:spacing w:val="-5"/>
          <w:sz w:val="22"/>
        </w:rPr>
        <w:t> </w:t>
      </w:r>
      <w:r>
        <w:rPr>
          <w:b/>
          <w:sz w:val="22"/>
        </w:rPr>
        <w:t>N°5662</w:t>
      </w:r>
      <w:r>
        <w:rPr>
          <w:b/>
          <w:spacing w:val="-4"/>
          <w:sz w:val="22"/>
        </w:rPr>
        <w:t> </w:t>
      </w:r>
      <w:r>
        <w:rPr>
          <w:b/>
          <w:sz w:val="22"/>
        </w:rPr>
        <w:t>y</w:t>
      </w:r>
      <w:r>
        <w:rPr>
          <w:b/>
          <w:spacing w:val="-9"/>
          <w:sz w:val="22"/>
        </w:rPr>
        <w:t> </w:t>
      </w:r>
      <w:r>
        <w:rPr>
          <w:b/>
          <w:sz w:val="22"/>
        </w:rPr>
        <w:t>sus</w:t>
      </w:r>
      <w:r>
        <w:rPr>
          <w:b/>
          <w:spacing w:val="-4"/>
          <w:sz w:val="22"/>
        </w:rPr>
        <w:t> </w:t>
      </w:r>
      <w:r>
        <w:rPr>
          <w:b/>
          <w:sz w:val="22"/>
        </w:rPr>
        <w:t>reformas</w:t>
      </w:r>
      <w:r>
        <w:rPr>
          <w:sz w:val="22"/>
        </w:rPr>
        <w:t>.</w:t>
      </w:r>
      <w:r>
        <w:rPr>
          <w:spacing w:val="-5"/>
          <w:sz w:val="22"/>
        </w:rPr>
        <w:t> </w:t>
      </w:r>
      <w:r>
        <w:rPr>
          <w:sz w:val="22"/>
        </w:rPr>
        <w:t>Creación del Fondo de Desarrollo Social y Asignaciones Familiares. El IMAS percibe como mínimo un 4% de los recursos de FODESAF. Fecha de vigencia 23/12/1974.</w:t>
      </w:r>
    </w:p>
    <w:p>
      <w:pPr>
        <w:pStyle w:val="BodyText"/>
      </w:pPr>
    </w:p>
    <w:p>
      <w:pPr>
        <w:spacing w:line="240" w:lineRule="auto" w:before="1"/>
        <w:ind w:left="979" w:right="1345" w:firstLine="0"/>
        <w:jc w:val="both"/>
        <w:rPr>
          <w:sz w:val="22"/>
        </w:rPr>
      </w:pPr>
      <w:r>
        <w:rPr>
          <w:b/>
          <w:sz w:val="22"/>
        </w:rPr>
        <w:t>Ley de Distribución de Bienes Confiscados o Caídos en Comiso, N°6106 y sus reformas.</w:t>
      </w:r>
      <w:r>
        <w:rPr>
          <w:b/>
          <w:spacing w:val="-6"/>
          <w:sz w:val="22"/>
        </w:rPr>
        <w:t> </w:t>
      </w:r>
      <w:r>
        <w:rPr>
          <w:sz w:val="22"/>
        </w:rPr>
        <w:t>Faculta</w:t>
      </w:r>
      <w:r>
        <w:rPr>
          <w:spacing w:val="-6"/>
          <w:sz w:val="22"/>
        </w:rPr>
        <w:t> </w:t>
      </w:r>
      <w:r>
        <w:rPr>
          <w:sz w:val="22"/>
        </w:rPr>
        <w:t>la</w:t>
      </w:r>
      <w:r>
        <w:rPr>
          <w:spacing w:val="-11"/>
          <w:sz w:val="22"/>
        </w:rPr>
        <w:t> </w:t>
      </w:r>
      <w:r>
        <w:rPr>
          <w:sz w:val="22"/>
        </w:rPr>
        <w:t>donación</w:t>
      </w:r>
      <w:r>
        <w:rPr>
          <w:spacing w:val="-11"/>
          <w:sz w:val="22"/>
        </w:rPr>
        <w:t> </w:t>
      </w:r>
      <w:r>
        <w:rPr>
          <w:sz w:val="22"/>
        </w:rPr>
        <w:t>de</w:t>
      </w:r>
      <w:r>
        <w:rPr>
          <w:spacing w:val="-11"/>
          <w:sz w:val="22"/>
        </w:rPr>
        <w:t> </w:t>
      </w:r>
      <w:r>
        <w:rPr>
          <w:sz w:val="22"/>
        </w:rPr>
        <w:t>objetos</w:t>
      </w:r>
      <w:r>
        <w:rPr>
          <w:spacing w:val="-8"/>
          <w:sz w:val="22"/>
        </w:rPr>
        <w:t> </w:t>
      </w:r>
      <w:r>
        <w:rPr>
          <w:sz w:val="22"/>
        </w:rPr>
        <w:t>decomisados</w:t>
      </w:r>
      <w:r>
        <w:rPr>
          <w:spacing w:val="-8"/>
          <w:sz w:val="22"/>
        </w:rPr>
        <w:t> </w:t>
      </w:r>
      <w:r>
        <w:rPr>
          <w:sz w:val="22"/>
        </w:rPr>
        <w:t>por</w:t>
      </w:r>
      <w:r>
        <w:rPr>
          <w:spacing w:val="-10"/>
          <w:sz w:val="22"/>
        </w:rPr>
        <w:t> </w:t>
      </w:r>
      <w:r>
        <w:rPr>
          <w:sz w:val="22"/>
        </w:rPr>
        <w:t>la</w:t>
      </w:r>
      <w:r>
        <w:rPr>
          <w:spacing w:val="-6"/>
          <w:sz w:val="22"/>
        </w:rPr>
        <w:t> </w:t>
      </w:r>
      <w:r>
        <w:rPr>
          <w:sz w:val="22"/>
        </w:rPr>
        <w:t>Dirección</w:t>
      </w:r>
      <w:r>
        <w:rPr>
          <w:spacing w:val="-6"/>
          <w:sz w:val="22"/>
        </w:rPr>
        <w:t> </w:t>
      </w:r>
      <w:r>
        <w:rPr>
          <w:sz w:val="22"/>
        </w:rPr>
        <w:t>de</w:t>
      </w:r>
      <w:r>
        <w:rPr>
          <w:spacing w:val="-6"/>
          <w:sz w:val="22"/>
        </w:rPr>
        <w:t> </w:t>
      </w:r>
      <w:r>
        <w:rPr>
          <w:sz w:val="22"/>
        </w:rPr>
        <w:t>Investigaciones Criminales a favor de centros o instituciones de educación, de beneficencia, o a otras dependencias del Estado, que los necesiten para la realización de sus fines. Fecha de vigencia 07/11/1977.</w:t>
      </w:r>
    </w:p>
    <w:p>
      <w:pPr>
        <w:spacing w:before="252"/>
        <w:ind w:left="979" w:right="1337" w:firstLine="0"/>
        <w:jc w:val="both"/>
        <w:rPr>
          <w:sz w:val="22"/>
        </w:rPr>
      </w:pPr>
      <w:r>
        <w:rPr>
          <w:b/>
          <w:sz w:val="22"/>
        </w:rPr>
        <w:t>Ley General de la Administración Pública, N°6227 y sus reformas</w:t>
      </w:r>
      <w:r>
        <w:rPr>
          <w:sz w:val="22"/>
        </w:rPr>
        <w:t>. Regula la organización</w:t>
      </w:r>
      <w:r>
        <w:rPr>
          <w:spacing w:val="-17"/>
          <w:sz w:val="22"/>
        </w:rPr>
        <w:t> </w:t>
      </w:r>
      <w:r>
        <w:rPr>
          <w:sz w:val="22"/>
        </w:rPr>
        <w:t>y</w:t>
      </w:r>
      <w:r>
        <w:rPr>
          <w:spacing w:val="-16"/>
          <w:sz w:val="22"/>
        </w:rPr>
        <w:t> </w:t>
      </w:r>
      <w:r>
        <w:rPr>
          <w:sz w:val="22"/>
        </w:rPr>
        <w:t>actividad</w:t>
      </w:r>
      <w:r>
        <w:rPr>
          <w:spacing w:val="-17"/>
          <w:sz w:val="22"/>
        </w:rPr>
        <w:t> </w:t>
      </w:r>
      <w:r>
        <w:rPr>
          <w:sz w:val="22"/>
        </w:rPr>
        <w:t>del</w:t>
      </w:r>
      <w:r>
        <w:rPr>
          <w:spacing w:val="-19"/>
          <w:sz w:val="22"/>
        </w:rPr>
        <w:t> </w:t>
      </w:r>
      <w:r>
        <w:rPr>
          <w:sz w:val="22"/>
        </w:rPr>
        <w:t>Estado,</w:t>
      </w:r>
      <w:r>
        <w:rPr>
          <w:spacing w:val="-15"/>
          <w:sz w:val="22"/>
        </w:rPr>
        <w:t> </w:t>
      </w:r>
      <w:r>
        <w:rPr>
          <w:sz w:val="22"/>
        </w:rPr>
        <w:t>y</w:t>
      </w:r>
      <w:r>
        <w:rPr>
          <w:spacing w:val="-19"/>
          <w:sz w:val="22"/>
        </w:rPr>
        <w:t> </w:t>
      </w:r>
      <w:r>
        <w:rPr>
          <w:sz w:val="22"/>
        </w:rPr>
        <w:t>sus</w:t>
      </w:r>
      <w:r>
        <w:rPr>
          <w:spacing w:val="-19"/>
          <w:sz w:val="22"/>
        </w:rPr>
        <w:t> </w:t>
      </w:r>
      <w:r>
        <w:rPr>
          <w:sz w:val="22"/>
        </w:rPr>
        <w:t>órganos</w:t>
      </w:r>
      <w:r>
        <w:rPr>
          <w:spacing w:val="-18"/>
          <w:sz w:val="22"/>
        </w:rPr>
        <w:t> </w:t>
      </w:r>
      <w:r>
        <w:rPr>
          <w:sz w:val="22"/>
        </w:rPr>
        <w:t>adscritos.</w:t>
      </w:r>
      <w:r>
        <w:rPr>
          <w:spacing w:val="-15"/>
          <w:sz w:val="22"/>
        </w:rPr>
        <w:t> </w:t>
      </w:r>
      <w:r>
        <w:rPr>
          <w:sz w:val="22"/>
        </w:rPr>
        <w:t>Fecha</w:t>
      </w:r>
      <w:r>
        <w:rPr>
          <w:spacing w:val="-17"/>
          <w:sz w:val="22"/>
        </w:rPr>
        <w:t> </w:t>
      </w:r>
      <w:r>
        <w:rPr>
          <w:sz w:val="22"/>
        </w:rPr>
        <w:t>de</w:t>
      </w:r>
      <w:r>
        <w:rPr>
          <w:spacing w:val="-17"/>
          <w:sz w:val="22"/>
        </w:rPr>
        <w:t> </w:t>
      </w:r>
      <w:r>
        <w:rPr>
          <w:sz w:val="22"/>
        </w:rPr>
        <w:t>vigencia</w:t>
      </w:r>
      <w:r>
        <w:rPr>
          <w:spacing w:val="-17"/>
          <w:sz w:val="22"/>
        </w:rPr>
        <w:t> </w:t>
      </w:r>
      <w:r>
        <w:rPr>
          <w:sz w:val="22"/>
        </w:rPr>
        <w:t>02/05/1978.</w:t>
      </w:r>
    </w:p>
    <w:p>
      <w:pPr>
        <w:pStyle w:val="BodyText"/>
        <w:spacing w:before="5"/>
      </w:pPr>
    </w:p>
    <w:p>
      <w:pPr>
        <w:pStyle w:val="BodyText"/>
        <w:ind w:left="979" w:right="1336"/>
        <w:jc w:val="both"/>
      </w:pPr>
      <w:r>
        <w:rPr>
          <w:b/>
        </w:rPr>
        <w:t>Ley</w:t>
      </w:r>
      <w:r>
        <w:rPr>
          <w:b/>
          <w:spacing w:val="-10"/>
        </w:rPr>
        <w:t> </w:t>
      </w:r>
      <w:r>
        <w:rPr>
          <w:b/>
        </w:rPr>
        <w:t>de</w:t>
      </w:r>
      <w:r>
        <w:rPr>
          <w:b/>
          <w:spacing w:val="-10"/>
        </w:rPr>
        <w:t> </w:t>
      </w:r>
      <w:r>
        <w:rPr>
          <w:b/>
        </w:rPr>
        <w:t>Estímulo</w:t>
      </w:r>
      <w:r>
        <w:rPr>
          <w:b/>
          <w:spacing w:val="-12"/>
        </w:rPr>
        <w:t> </w:t>
      </w:r>
      <w:r>
        <w:rPr>
          <w:b/>
        </w:rPr>
        <w:t>a</w:t>
      </w:r>
      <w:r>
        <w:rPr>
          <w:b/>
          <w:spacing w:val="-10"/>
        </w:rPr>
        <w:t> </w:t>
      </w:r>
      <w:r>
        <w:rPr>
          <w:b/>
        </w:rPr>
        <w:t>las</w:t>
      </w:r>
      <w:r>
        <w:rPr>
          <w:b/>
          <w:spacing w:val="-10"/>
        </w:rPr>
        <w:t> </w:t>
      </w:r>
      <w:r>
        <w:rPr>
          <w:b/>
        </w:rPr>
        <w:t>Bellas</w:t>
      </w:r>
      <w:r>
        <w:rPr>
          <w:b/>
          <w:spacing w:val="-10"/>
        </w:rPr>
        <w:t> </w:t>
      </w:r>
      <w:r>
        <w:rPr>
          <w:b/>
        </w:rPr>
        <w:t>Artes</w:t>
      </w:r>
      <w:r>
        <w:rPr>
          <w:b/>
          <w:spacing w:val="-5"/>
        </w:rPr>
        <w:t> </w:t>
      </w:r>
      <w:r>
        <w:rPr>
          <w:b/>
        </w:rPr>
        <w:t>Costarricenses,</w:t>
      </w:r>
      <w:r>
        <w:rPr>
          <w:b/>
          <w:spacing w:val="-6"/>
        </w:rPr>
        <w:t> </w:t>
      </w:r>
      <w:r>
        <w:rPr>
          <w:b/>
        </w:rPr>
        <w:t>N°6750.</w:t>
      </w:r>
      <w:r>
        <w:rPr>
          <w:b/>
          <w:spacing w:val="40"/>
        </w:rPr>
        <w:t> </w:t>
      </w:r>
      <w:r>
        <w:rPr>
          <w:b/>
        </w:rPr>
        <w:t>y</w:t>
      </w:r>
      <w:r>
        <w:rPr>
          <w:b/>
          <w:spacing w:val="-15"/>
        </w:rPr>
        <w:t> </w:t>
      </w:r>
      <w:r>
        <w:rPr>
          <w:b/>
        </w:rPr>
        <w:t>sus</w:t>
      </w:r>
      <w:r>
        <w:rPr>
          <w:b/>
          <w:spacing w:val="-10"/>
        </w:rPr>
        <w:t> </w:t>
      </w:r>
      <w:r>
        <w:rPr>
          <w:b/>
        </w:rPr>
        <w:t>reformas.</w:t>
      </w:r>
      <w:r>
        <w:rPr>
          <w:b/>
          <w:spacing w:val="-2"/>
        </w:rPr>
        <w:t> </w:t>
      </w:r>
      <w:r>
        <w:rPr/>
        <w:t>Establece que, cuando el Estado o sus instituciones</w:t>
      </w:r>
      <w:r>
        <w:rPr>
          <w:spacing w:val="-2"/>
        </w:rPr>
        <w:t> </w:t>
      </w:r>
      <w:r>
        <w:rPr/>
        <w:t>proyecten la construcción de un edificio público, para la prestación de servicios directos a la población, cuyo costo sobrepase los diez millones de colones, el Ministerio de Cultura, en coordinación con la institución correspondiente, deberá señalar, antes de la aprobación definitiva de los planos y presupuestos,</w:t>
      </w:r>
      <w:r>
        <w:rPr>
          <w:spacing w:val="-15"/>
        </w:rPr>
        <w:t> </w:t>
      </w:r>
      <w:r>
        <w:rPr/>
        <w:t>el</w:t>
      </w:r>
      <w:r>
        <w:rPr>
          <w:spacing w:val="-16"/>
        </w:rPr>
        <w:t> </w:t>
      </w:r>
      <w:r>
        <w:rPr/>
        <w:t>porcentaje</w:t>
      </w:r>
      <w:r>
        <w:rPr>
          <w:spacing w:val="-13"/>
        </w:rPr>
        <w:t> </w:t>
      </w:r>
      <w:r>
        <w:rPr/>
        <w:t>mínimo</w:t>
      </w:r>
      <w:r>
        <w:rPr>
          <w:spacing w:val="-13"/>
        </w:rPr>
        <w:t> </w:t>
      </w:r>
      <w:r>
        <w:rPr/>
        <w:t>de</w:t>
      </w:r>
      <w:r>
        <w:rPr>
          <w:spacing w:val="-13"/>
        </w:rPr>
        <w:t> </w:t>
      </w:r>
      <w:r>
        <w:rPr/>
        <w:t>éstos</w:t>
      </w:r>
      <w:r>
        <w:rPr>
          <w:spacing w:val="-15"/>
        </w:rPr>
        <w:t> </w:t>
      </w:r>
      <w:r>
        <w:rPr/>
        <w:t>que</w:t>
      </w:r>
      <w:r>
        <w:rPr>
          <w:spacing w:val="-9"/>
        </w:rPr>
        <w:t> </w:t>
      </w:r>
      <w:r>
        <w:rPr/>
        <w:t>se</w:t>
      </w:r>
      <w:r>
        <w:rPr>
          <w:spacing w:val="-9"/>
        </w:rPr>
        <w:t> </w:t>
      </w:r>
      <w:r>
        <w:rPr/>
        <w:t>dedicará</w:t>
      </w:r>
      <w:r>
        <w:rPr>
          <w:spacing w:val="-13"/>
        </w:rPr>
        <w:t> </w:t>
      </w:r>
      <w:r>
        <w:rPr/>
        <w:t>a</w:t>
      </w:r>
      <w:r>
        <w:rPr>
          <w:spacing w:val="-9"/>
        </w:rPr>
        <w:t> </w:t>
      </w:r>
      <w:r>
        <w:rPr/>
        <w:t>la</w:t>
      </w:r>
      <w:r>
        <w:rPr>
          <w:spacing w:val="-13"/>
        </w:rPr>
        <w:t> </w:t>
      </w:r>
      <w:r>
        <w:rPr/>
        <w:t>adquisición</w:t>
      </w:r>
      <w:r>
        <w:rPr>
          <w:spacing w:val="-13"/>
        </w:rPr>
        <w:t> </w:t>
      </w:r>
      <w:r>
        <w:rPr/>
        <w:t>o</w:t>
      </w:r>
      <w:r>
        <w:rPr>
          <w:spacing w:val="-13"/>
        </w:rPr>
        <w:t> </w:t>
      </w:r>
      <w:r>
        <w:rPr/>
        <w:t>elaboración de obras de arte. Fecha de vigencia 29/04/1982.</w:t>
      </w:r>
    </w:p>
    <w:p>
      <w:pPr>
        <w:spacing w:line="240" w:lineRule="auto" w:before="250"/>
        <w:ind w:left="979" w:right="1336" w:firstLine="0"/>
        <w:jc w:val="both"/>
        <w:rPr>
          <w:sz w:val="22"/>
        </w:rPr>
      </w:pPr>
      <w:r>
        <w:rPr>
          <w:b/>
          <w:sz w:val="22"/>
        </w:rPr>
        <w:t>Ley</w:t>
      </w:r>
      <w:r>
        <w:rPr>
          <w:b/>
          <w:spacing w:val="-10"/>
          <w:sz w:val="22"/>
        </w:rPr>
        <w:t> </w:t>
      </w:r>
      <w:r>
        <w:rPr>
          <w:b/>
          <w:sz w:val="22"/>
        </w:rPr>
        <w:t>del</w:t>
      </w:r>
      <w:r>
        <w:rPr>
          <w:b/>
          <w:spacing w:val="-6"/>
          <w:sz w:val="22"/>
        </w:rPr>
        <w:t> </w:t>
      </w:r>
      <w:r>
        <w:rPr>
          <w:b/>
          <w:sz w:val="22"/>
        </w:rPr>
        <w:t>Sistema</w:t>
      </w:r>
      <w:r>
        <w:rPr>
          <w:b/>
          <w:spacing w:val="-5"/>
          <w:sz w:val="22"/>
        </w:rPr>
        <w:t> </w:t>
      </w:r>
      <w:r>
        <w:rPr>
          <w:b/>
          <w:sz w:val="22"/>
        </w:rPr>
        <w:t>Financiero</w:t>
      </w:r>
      <w:r>
        <w:rPr>
          <w:b/>
          <w:spacing w:val="-7"/>
          <w:sz w:val="22"/>
        </w:rPr>
        <w:t> </w:t>
      </w:r>
      <w:r>
        <w:rPr>
          <w:b/>
          <w:sz w:val="22"/>
        </w:rPr>
        <w:t>Nacional</w:t>
      </w:r>
      <w:r>
        <w:rPr>
          <w:b/>
          <w:spacing w:val="-6"/>
          <w:sz w:val="22"/>
        </w:rPr>
        <w:t> </w:t>
      </w:r>
      <w:r>
        <w:rPr>
          <w:b/>
          <w:sz w:val="22"/>
        </w:rPr>
        <w:t>para</w:t>
      </w:r>
      <w:r>
        <w:rPr>
          <w:b/>
          <w:spacing w:val="-9"/>
          <w:sz w:val="22"/>
        </w:rPr>
        <w:t> </w:t>
      </w:r>
      <w:r>
        <w:rPr>
          <w:b/>
          <w:sz w:val="22"/>
        </w:rPr>
        <w:t>la</w:t>
      </w:r>
      <w:r>
        <w:rPr>
          <w:b/>
          <w:spacing w:val="-10"/>
          <w:sz w:val="22"/>
        </w:rPr>
        <w:t> </w:t>
      </w:r>
      <w:r>
        <w:rPr>
          <w:b/>
          <w:sz w:val="22"/>
        </w:rPr>
        <w:t>Vivienda</w:t>
      </w:r>
      <w:r>
        <w:rPr>
          <w:b/>
          <w:spacing w:val="-5"/>
          <w:sz w:val="22"/>
        </w:rPr>
        <w:t> </w:t>
      </w:r>
      <w:r>
        <w:rPr>
          <w:b/>
          <w:sz w:val="22"/>
        </w:rPr>
        <w:t>y</w:t>
      </w:r>
      <w:r>
        <w:rPr>
          <w:b/>
          <w:spacing w:val="-10"/>
          <w:sz w:val="22"/>
        </w:rPr>
        <w:t> </w:t>
      </w:r>
      <w:r>
        <w:rPr>
          <w:b/>
          <w:sz w:val="22"/>
        </w:rPr>
        <w:t>Creación</w:t>
      </w:r>
      <w:r>
        <w:rPr>
          <w:b/>
          <w:spacing w:val="-8"/>
          <w:sz w:val="22"/>
        </w:rPr>
        <w:t> </w:t>
      </w:r>
      <w:r>
        <w:rPr>
          <w:b/>
          <w:sz w:val="22"/>
        </w:rPr>
        <w:t>del</w:t>
      </w:r>
      <w:r>
        <w:rPr>
          <w:b/>
          <w:spacing w:val="-6"/>
          <w:sz w:val="22"/>
        </w:rPr>
        <w:t> </w:t>
      </w:r>
      <w:r>
        <w:rPr>
          <w:b/>
          <w:sz w:val="22"/>
        </w:rPr>
        <w:t>BANHVI, N°7052 y sus reformas</w:t>
      </w:r>
      <w:r>
        <w:rPr>
          <w:sz w:val="22"/>
        </w:rPr>
        <w:t>. Fomenta el ahorro y la inversión nacional y extranjera, con el fin de recaudar</w:t>
      </w:r>
      <w:r>
        <w:rPr>
          <w:spacing w:val="-9"/>
          <w:sz w:val="22"/>
        </w:rPr>
        <w:t> </w:t>
      </w:r>
      <w:r>
        <w:rPr>
          <w:sz w:val="22"/>
        </w:rPr>
        <w:t>recursos</w:t>
      </w:r>
      <w:r>
        <w:rPr>
          <w:spacing w:val="-7"/>
          <w:sz w:val="22"/>
        </w:rPr>
        <w:t> </w:t>
      </w:r>
      <w:r>
        <w:rPr>
          <w:sz w:val="22"/>
        </w:rPr>
        <w:t>financieros</w:t>
      </w:r>
      <w:r>
        <w:rPr>
          <w:spacing w:val="-7"/>
          <w:sz w:val="22"/>
        </w:rPr>
        <w:t> </w:t>
      </w:r>
      <w:r>
        <w:rPr>
          <w:sz w:val="22"/>
        </w:rPr>
        <w:t>para</w:t>
      </w:r>
      <w:r>
        <w:rPr>
          <w:spacing w:val="-10"/>
          <w:sz w:val="22"/>
        </w:rPr>
        <w:t> </w:t>
      </w:r>
      <w:r>
        <w:rPr>
          <w:sz w:val="22"/>
        </w:rPr>
        <w:t>procurar</w:t>
      </w:r>
      <w:r>
        <w:rPr>
          <w:spacing w:val="-9"/>
          <w:sz w:val="22"/>
        </w:rPr>
        <w:t> </w:t>
      </w:r>
      <w:r>
        <w:rPr>
          <w:sz w:val="22"/>
        </w:rPr>
        <w:t>la</w:t>
      </w:r>
      <w:r>
        <w:rPr>
          <w:spacing w:val="-5"/>
          <w:sz w:val="22"/>
        </w:rPr>
        <w:t> </w:t>
      </w:r>
      <w:r>
        <w:rPr>
          <w:sz w:val="22"/>
        </w:rPr>
        <w:t>solución</w:t>
      </w:r>
      <w:r>
        <w:rPr>
          <w:spacing w:val="-10"/>
          <w:sz w:val="22"/>
        </w:rPr>
        <w:t> </w:t>
      </w:r>
      <w:r>
        <w:rPr>
          <w:sz w:val="22"/>
        </w:rPr>
        <w:t>del</w:t>
      </w:r>
      <w:r>
        <w:rPr>
          <w:spacing w:val="-13"/>
          <w:sz w:val="22"/>
        </w:rPr>
        <w:t> </w:t>
      </w:r>
      <w:r>
        <w:rPr>
          <w:sz w:val="22"/>
        </w:rPr>
        <w:t>problema</w:t>
      </w:r>
      <w:r>
        <w:rPr>
          <w:spacing w:val="-10"/>
          <w:sz w:val="22"/>
        </w:rPr>
        <w:t> </w:t>
      </w:r>
      <w:r>
        <w:rPr>
          <w:sz w:val="22"/>
        </w:rPr>
        <w:t>habitacional</w:t>
      </w:r>
      <w:r>
        <w:rPr>
          <w:spacing w:val="-13"/>
          <w:sz w:val="22"/>
        </w:rPr>
        <w:t> </w:t>
      </w:r>
      <w:r>
        <w:rPr>
          <w:sz w:val="22"/>
        </w:rPr>
        <w:t>existente en el país.</w:t>
      </w:r>
    </w:p>
    <w:p>
      <w:pPr>
        <w:pStyle w:val="BodyText"/>
        <w:spacing w:before="1"/>
        <w:ind w:left="979" w:right="1349"/>
        <w:jc w:val="both"/>
      </w:pPr>
      <w:r>
        <w:rPr/>
        <w:t>El IMAS emite recomendaciones</w:t>
      </w:r>
      <w:r>
        <w:rPr>
          <w:spacing w:val="-1"/>
        </w:rPr>
        <w:t> </w:t>
      </w:r>
      <w:r>
        <w:rPr/>
        <w:t>sobre la condición social</w:t>
      </w:r>
      <w:r>
        <w:rPr>
          <w:spacing w:val="-2"/>
        </w:rPr>
        <w:t> </w:t>
      </w:r>
      <w:r>
        <w:rPr/>
        <w:t>de adultos</w:t>
      </w:r>
      <w:r>
        <w:rPr>
          <w:spacing w:val="-1"/>
        </w:rPr>
        <w:t> </w:t>
      </w:r>
      <w:r>
        <w:rPr/>
        <w:t>mayores</w:t>
      </w:r>
      <w:r>
        <w:rPr>
          <w:spacing w:val="-2"/>
        </w:rPr>
        <w:t> </w:t>
      </w:r>
      <w:r>
        <w:rPr/>
        <w:t>o personas con discapacidad. Fecha de vigencia 27/11/1986.</w:t>
      </w:r>
    </w:p>
    <w:p>
      <w:pPr>
        <w:pStyle w:val="BodyText"/>
        <w:spacing w:after="0"/>
        <w:jc w:val="both"/>
        <w:sectPr>
          <w:pgSz w:w="12240" w:h="15840"/>
          <w:pgMar w:header="0" w:footer="1021" w:top="1340" w:bottom="1220" w:left="720" w:right="360"/>
        </w:sectPr>
      </w:pPr>
    </w:p>
    <w:p>
      <w:pPr>
        <w:spacing w:line="240" w:lineRule="auto" w:before="71"/>
        <w:ind w:left="979" w:right="1338" w:firstLine="0"/>
        <w:jc w:val="both"/>
        <w:rPr>
          <w:sz w:val="22"/>
        </w:rPr>
      </w:pPr>
      <w:r>
        <w:rPr>
          <w:b/>
          <w:sz w:val="22"/>
        </w:rPr>
        <w:t>Ley que Autoriza el Traspaso de Terrenos del IMAS, N° 7151</w:t>
      </w:r>
      <w:r>
        <w:rPr>
          <w:sz w:val="22"/>
        </w:rPr>
        <w:t>. Autoriza que el IMAS segregue y</w:t>
      </w:r>
      <w:r>
        <w:rPr>
          <w:spacing w:val="-1"/>
          <w:sz w:val="22"/>
        </w:rPr>
        <w:t> </w:t>
      </w:r>
      <w:r>
        <w:rPr>
          <w:sz w:val="22"/>
        </w:rPr>
        <w:t>traspase sus</w:t>
      </w:r>
      <w:r>
        <w:rPr>
          <w:spacing w:val="-1"/>
          <w:sz w:val="22"/>
        </w:rPr>
        <w:t> </w:t>
      </w:r>
      <w:r>
        <w:rPr>
          <w:sz w:val="22"/>
        </w:rPr>
        <w:t>terrenos</w:t>
      </w:r>
      <w:r>
        <w:rPr>
          <w:spacing w:val="-1"/>
          <w:sz w:val="22"/>
        </w:rPr>
        <w:t> </w:t>
      </w:r>
      <w:r>
        <w:rPr>
          <w:sz w:val="22"/>
        </w:rPr>
        <w:t>a las</w:t>
      </w:r>
      <w:r>
        <w:rPr>
          <w:spacing w:val="-1"/>
          <w:sz w:val="22"/>
        </w:rPr>
        <w:t> </w:t>
      </w:r>
      <w:r>
        <w:rPr>
          <w:sz w:val="22"/>
        </w:rPr>
        <w:t>personas</w:t>
      </w:r>
      <w:r>
        <w:rPr>
          <w:spacing w:val="-5"/>
          <w:sz w:val="22"/>
        </w:rPr>
        <w:t> </w:t>
      </w:r>
      <w:r>
        <w:rPr>
          <w:sz w:val="22"/>
        </w:rPr>
        <w:t>que los</w:t>
      </w:r>
      <w:r>
        <w:rPr>
          <w:spacing w:val="-1"/>
          <w:sz w:val="22"/>
        </w:rPr>
        <w:t> </w:t>
      </w:r>
      <w:r>
        <w:rPr>
          <w:sz w:val="22"/>
        </w:rPr>
        <w:t>ocupen por ser adjudicatarios de viviendas promovidas por esta institución, IMAS segrega y traspasa terrenos a terceros. Fecha de vigencia 10/08/1990.</w:t>
      </w:r>
    </w:p>
    <w:p>
      <w:pPr>
        <w:pStyle w:val="BodyText"/>
        <w:spacing w:before="251"/>
        <w:ind w:left="979" w:right="1334"/>
        <w:jc w:val="both"/>
      </w:pPr>
      <w:r>
        <w:rPr>
          <w:b/>
        </w:rPr>
        <w:t>Ley del Sistema Nacional de Archivos</w:t>
      </w:r>
      <w:r>
        <w:rPr/>
        <w:t>, </w:t>
      </w:r>
      <w:r>
        <w:rPr>
          <w:b/>
        </w:rPr>
        <w:t>N° 7202 y sus reformas</w:t>
      </w:r>
      <w:r>
        <w:rPr/>
        <w:t>. Regula el funcionamiento de los órganos del Sistema Nacional de Archivos y de los archivos de los Poderes Legislativo, Judicial y Ejecutivo, y de los demás entes públicos, cada uno con personalidad jurídica y capacidad de derecho público y privado, así como de los archivos privados y particulares que deseen someterse a estas regulaciones. Fecha de vigencia </w:t>
      </w:r>
      <w:r>
        <w:rPr>
          <w:spacing w:val="-2"/>
        </w:rPr>
        <w:t>27/11/1990.</w:t>
      </w:r>
    </w:p>
    <w:p>
      <w:pPr>
        <w:pStyle w:val="BodyText"/>
      </w:pPr>
    </w:p>
    <w:p>
      <w:pPr>
        <w:spacing w:line="240" w:lineRule="auto" w:before="0"/>
        <w:ind w:left="979" w:right="1337" w:firstLine="0"/>
        <w:jc w:val="both"/>
        <w:rPr>
          <w:sz w:val="22"/>
        </w:rPr>
      </w:pPr>
      <w:r>
        <w:rPr>
          <w:b/>
          <w:sz w:val="22"/>
        </w:rPr>
        <w:t>Ley contra el Hostigamiento Sexual en el Empleo y la Docencia</w:t>
      </w:r>
      <w:r>
        <w:rPr>
          <w:sz w:val="22"/>
        </w:rPr>
        <w:t>, </w:t>
      </w:r>
      <w:r>
        <w:rPr>
          <w:b/>
          <w:sz w:val="22"/>
        </w:rPr>
        <w:t>N° 7476 y sus reformas</w:t>
      </w:r>
      <w:r>
        <w:rPr>
          <w:sz w:val="22"/>
        </w:rPr>
        <w:t>. Previene, prohíbe y sanciona el hostigamiento sexual como práctica discriminatoria</w:t>
      </w:r>
      <w:r>
        <w:rPr>
          <w:spacing w:val="-4"/>
          <w:sz w:val="22"/>
        </w:rPr>
        <w:t> </w:t>
      </w:r>
      <w:r>
        <w:rPr>
          <w:sz w:val="22"/>
        </w:rPr>
        <w:t>por</w:t>
      </w:r>
      <w:r>
        <w:rPr>
          <w:spacing w:val="-8"/>
          <w:sz w:val="22"/>
        </w:rPr>
        <w:t> </w:t>
      </w:r>
      <w:r>
        <w:rPr>
          <w:sz w:val="22"/>
        </w:rPr>
        <w:t>razón</w:t>
      </w:r>
      <w:r>
        <w:rPr>
          <w:spacing w:val="-4"/>
          <w:sz w:val="22"/>
        </w:rPr>
        <w:t> </w:t>
      </w:r>
      <w:r>
        <w:rPr>
          <w:sz w:val="22"/>
        </w:rPr>
        <w:t>de</w:t>
      </w:r>
      <w:r>
        <w:rPr>
          <w:spacing w:val="-1"/>
          <w:sz w:val="22"/>
        </w:rPr>
        <w:t> </w:t>
      </w:r>
      <w:r>
        <w:rPr>
          <w:sz w:val="22"/>
        </w:rPr>
        <w:t>sexo,</w:t>
      </w:r>
      <w:r>
        <w:rPr>
          <w:spacing w:val="-1"/>
          <w:sz w:val="22"/>
        </w:rPr>
        <w:t> </w:t>
      </w:r>
      <w:r>
        <w:rPr>
          <w:sz w:val="22"/>
        </w:rPr>
        <w:t>contra</w:t>
      </w:r>
      <w:r>
        <w:rPr>
          <w:spacing w:val="-4"/>
          <w:sz w:val="22"/>
        </w:rPr>
        <w:t> </w:t>
      </w:r>
      <w:r>
        <w:rPr>
          <w:sz w:val="22"/>
        </w:rPr>
        <w:t>la</w:t>
      </w:r>
      <w:r>
        <w:rPr>
          <w:spacing w:val="-4"/>
          <w:sz w:val="22"/>
        </w:rPr>
        <w:t> </w:t>
      </w:r>
      <w:r>
        <w:rPr>
          <w:sz w:val="22"/>
        </w:rPr>
        <w:t>dignidad</w:t>
      </w:r>
      <w:r>
        <w:rPr>
          <w:spacing w:val="-4"/>
          <w:sz w:val="22"/>
        </w:rPr>
        <w:t> </w:t>
      </w:r>
      <w:r>
        <w:rPr>
          <w:sz w:val="22"/>
        </w:rPr>
        <w:t>de</w:t>
      </w:r>
      <w:r>
        <w:rPr>
          <w:spacing w:val="-1"/>
          <w:sz w:val="22"/>
        </w:rPr>
        <w:t> </w:t>
      </w:r>
      <w:r>
        <w:rPr>
          <w:sz w:val="22"/>
        </w:rPr>
        <w:t>las</w:t>
      </w:r>
      <w:r>
        <w:rPr>
          <w:spacing w:val="-6"/>
          <w:sz w:val="22"/>
        </w:rPr>
        <w:t> </w:t>
      </w:r>
      <w:r>
        <w:rPr>
          <w:sz w:val="22"/>
        </w:rPr>
        <w:t>mujeres</w:t>
      </w:r>
      <w:r>
        <w:rPr>
          <w:spacing w:val="-6"/>
          <w:sz w:val="22"/>
        </w:rPr>
        <w:t> </w:t>
      </w:r>
      <w:r>
        <w:rPr>
          <w:sz w:val="22"/>
        </w:rPr>
        <w:t>y</w:t>
      </w:r>
      <w:r>
        <w:rPr>
          <w:spacing w:val="-6"/>
          <w:sz w:val="22"/>
        </w:rPr>
        <w:t> </w:t>
      </w:r>
      <w:r>
        <w:rPr>
          <w:sz w:val="22"/>
        </w:rPr>
        <w:t>de</w:t>
      </w:r>
      <w:r>
        <w:rPr>
          <w:spacing w:val="-1"/>
          <w:sz w:val="22"/>
        </w:rPr>
        <w:t> </w:t>
      </w:r>
      <w:r>
        <w:rPr>
          <w:sz w:val="22"/>
        </w:rPr>
        <w:t>los</w:t>
      </w:r>
      <w:r>
        <w:rPr>
          <w:spacing w:val="-6"/>
          <w:sz w:val="22"/>
        </w:rPr>
        <w:t> </w:t>
      </w:r>
      <w:r>
        <w:rPr>
          <w:sz w:val="22"/>
        </w:rPr>
        <w:t>hombres</w:t>
      </w:r>
      <w:r>
        <w:rPr>
          <w:spacing w:val="-6"/>
          <w:sz w:val="22"/>
        </w:rPr>
        <w:t> </w:t>
      </w:r>
      <w:r>
        <w:rPr>
          <w:sz w:val="22"/>
        </w:rPr>
        <w:t>en</w:t>
      </w:r>
      <w:r>
        <w:rPr>
          <w:spacing w:val="-4"/>
          <w:sz w:val="22"/>
        </w:rPr>
        <w:t> </w:t>
      </w:r>
      <w:r>
        <w:rPr>
          <w:sz w:val="22"/>
        </w:rPr>
        <w:t>el ámbito de trabajo y educativo, en el sector público y el sector privado. Fecha de vigencia </w:t>
      </w:r>
      <w:r>
        <w:rPr>
          <w:spacing w:val="-2"/>
          <w:sz w:val="22"/>
        </w:rPr>
        <w:t>03/03/1995.</w:t>
      </w:r>
    </w:p>
    <w:p>
      <w:pPr>
        <w:pStyle w:val="BodyText"/>
      </w:pPr>
    </w:p>
    <w:p>
      <w:pPr>
        <w:spacing w:line="240" w:lineRule="auto" w:before="0"/>
        <w:ind w:left="979" w:right="1336" w:firstLine="0"/>
        <w:jc w:val="both"/>
        <w:rPr>
          <w:sz w:val="22"/>
        </w:rPr>
      </w:pPr>
      <w:r>
        <w:rPr>
          <w:b/>
          <w:sz w:val="22"/>
        </w:rPr>
        <w:t>Ley de Igualdad de Oportunidades para las Personas con Discapacidad</w:t>
      </w:r>
      <w:r>
        <w:rPr>
          <w:sz w:val="22"/>
        </w:rPr>
        <w:t>, </w:t>
      </w:r>
      <w:r>
        <w:rPr>
          <w:b/>
          <w:sz w:val="22"/>
        </w:rPr>
        <w:t>N° 7600 y sus reformas</w:t>
      </w:r>
      <w:r>
        <w:rPr>
          <w:sz w:val="22"/>
        </w:rPr>
        <w:t>. Declara de interés público el desarrollo integral de la población con discapacidad, en iguales condiciones de calidad, oportunidad, derechos y deberes que el resto de los habitantes. Fecha de vigencia 29/05/1996.</w:t>
      </w:r>
    </w:p>
    <w:p>
      <w:pPr>
        <w:pStyle w:val="BodyText"/>
        <w:spacing w:before="2"/>
      </w:pPr>
    </w:p>
    <w:p>
      <w:pPr>
        <w:pStyle w:val="BodyText"/>
        <w:spacing w:before="1"/>
        <w:ind w:left="979" w:right="1336"/>
        <w:jc w:val="both"/>
      </w:pPr>
      <w:r>
        <w:rPr>
          <w:b/>
        </w:rPr>
        <w:t>Ley</w:t>
      </w:r>
      <w:r>
        <w:rPr>
          <w:b/>
          <w:spacing w:val="-4"/>
        </w:rPr>
        <w:t> </w:t>
      </w:r>
      <w:r>
        <w:rPr>
          <w:b/>
        </w:rPr>
        <w:t>General</w:t>
      </w:r>
      <w:r>
        <w:rPr>
          <w:b/>
          <w:spacing w:val="-5"/>
        </w:rPr>
        <w:t> </w:t>
      </w:r>
      <w:r>
        <w:rPr>
          <w:b/>
        </w:rPr>
        <w:t>de</w:t>
      </w:r>
      <w:r>
        <w:rPr>
          <w:b/>
          <w:spacing w:val="-5"/>
        </w:rPr>
        <w:t> </w:t>
      </w:r>
      <w:r>
        <w:rPr>
          <w:b/>
        </w:rPr>
        <w:t>Aduanas, N</w:t>
      </w:r>
      <w:r>
        <w:rPr>
          <w:b/>
          <w:i/>
        </w:rPr>
        <w:t>°</w:t>
      </w:r>
      <w:r>
        <w:rPr>
          <w:b/>
          <w:i/>
          <w:spacing w:val="-8"/>
        </w:rPr>
        <w:t> </w:t>
      </w:r>
      <w:r>
        <w:rPr>
          <w:b/>
        </w:rPr>
        <w:t>7557 y</w:t>
      </w:r>
      <w:r>
        <w:rPr>
          <w:b/>
          <w:spacing w:val="-9"/>
        </w:rPr>
        <w:t> </w:t>
      </w:r>
      <w:r>
        <w:rPr>
          <w:b/>
        </w:rPr>
        <w:t>sus reformas</w:t>
      </w:r>
      <w:r>
        <w:rPr/>
        <w:t>.</w:t>
      </w:r>
      <w:r>
        <w:rPr>
          <w:spacing w:val="-5"/>
        </w:rPr>
        <w:t> </w:t>
      </w:r>
      <w:r>
        <w:rPr/>
        <w:t>Regula las</w:t>
      </w:r>
      <w:r>
        <w:rPr>
          <w:spacing w:val="-6"/>
        </w:rPr>
        <w:t> </w:t>
      </w:r>
      <w:r>
        <w:rPr/>
        <w:t>entradas</w:t>
      </w:r>
      <w:r>
        <w:rPr>
          <w:spacing w:val="-6"/>
        </w:rPr>
        <w:t> </w:t>
      </w:r>
      <w:r>
        <w:rPr/>
        <w:t>y</w:t>
      </w:r>
      <w:r>
        <w:rPr>
          <w:spacing w:val="-6"/>
        </w:rPr>
        <w:t> </w:t>
      </w:r>
      <w:r>
        <w:rPr/>
        <w:t>las</w:t>
      </w:r>
      <w:r>
        <w:rPr>
          <w:spacing w:val="-6"/>
        </w:rPr>
        <w:t> </w:t>
      </w:r>
      <w:r>
        <w:rPr/>
        <w:t>salidas,</w:t>
      </w:r>
      <w:r>
        <w:rPr>
          <w:spacing w:val="-10"/>
        </w:rPr>
        <w:t> </w:t>
      </w:r>
      <w:r>
        <w:rPr/>
        <w:t>del territorio nacional, de mercancías, vehículos y unidades de transporte; del despacho aduanero y los hechos y actos que</w:t>
      </w:r>
      <w:r>
        <w:rPr>
          <w:spacing w:val="-3"/>
        </w:rPr>
        <w:t> </w:t>
      </w:r>
      <w:r>
        <w:rPr/>
        <w:t>deriven de él</w:t>
      </w:r>
      <w:r>
        <w:rPr>
          <w:spacing w:val="-6"/>
        </w:rPr>
        <w:t> </w:t>
      </w:r>
      <w:r>
        <w:rPr/>
        <w:t>o de las entradas y salidas. Autoriza</w:t>
      </w:r>
      <w:r>
        <w:rPr>
          <w:spacing w:val="-3"/>
        </w:rPr>
        <w:t> </w:t>
      </w:r>
      <w:r>
        <w:rPr/>
        <w:t>que, mientras las tiendas libres sean administradas por el IMAS, actúen sin intervención de agente aduanero, así mismo, modifica el inciso d) del artículo 1</w:t>
      </w:r>
      <w:r>
        <w:rPr>
          <w:vertAlign w:val="superscript"/>
        </w:rPr>
        <w:t>o</w:t>
      </w:r>
      <w:r>
        <w:rPr>
          <w:vertAlign w:val="baseline"/>
        </w:rPr>
        <w:t> de la Ley N° 6106, para que las donaciones de bienes adjudicados sean a través del IMAS</w:t>
      </w:r>
      <w:r>
        <w:rPr>
          <w:i/>
          <w:vertAlign w:val="baseline"/>
        </w:rPr>
        <w:t>. </w:t>
      </w:r>
      <w:r>
        <w:rPr>
          <w:vertAlign w:val="baseline"/>
        </w:rPr>
        <w:t>Fecha de vigencia </w:t>
      </w:r>
      <w:r>
        <w:rPr>
          <w:spacing w:val="-2"/>
          <w:vertAlign w:val="baseline"/>
        </w:rPr>
        <w:t>01/07/1996.</w:t>
      </w:r>
    </w:p>
    <w:p>
      <w:pPr>
        <w:spacing w:line="240" w:lineRule="auto" w:before="250"/>
        <w:ind w:left="979" w:right="1344" w:firstLine="0"/>
        <w:jc w:val="both"/>
        <w:rPr>
          <w:sz w:val="22"/>
        </w:rPr>
      </w:pPr>
      <w:r>
        <w:rPr>
          <w:b/>
          <w:sz w:val="22"/>
        </w:rPr>
        <w:t>Ley</w:t>
      </w:r>
      <w:r>
        <w:rPr>
          <w:b/>
          <w:spacing w:val="-5"/>
          <w:sz w:val="22"/>
        </w:rPr>
        <w:t> </w:t>
      </w:r>
      <w:r>
        <w:rPr>
          <w:b/>
          <w:sz w:val="22"/>
        </w:rPr>
        <w:t>de</w:t>
      </w:r>
      <w:r>
        <w:rPr>
          <w:b/>
          <w:spacing w:val="-2"/>
          <w:sz w:val="22"/>
        </w:rPr>
        <w:t> </w:t>
      </w:r>
      <w:r>
        <w:rPr>
          <w:b/>
          <w:sz w:val="22"/>
        </w:rPr>
        <w:t>Creación</w:t>
      </w:r>
      <w:r>
        <w:rPr>
          <w:b/>
          <w:spacing w:val="-3"/>
          <w:sz w:val="22"/>
        </w:rPr>
        <w:t> </w:t>
      </w:r>
      <w:r>
        <w:rPr>
          <w:b/>
          <w:sz w:val="22"/>
        </w:rPr>
        <w:t>del</w:t>
      </w:r>
      <w:r>
        <w:rPr>
          <w:b/>
          <w:spacing w:val="-2"/>
          <w:sz w:val="22"/>
        </w:rPr>
        <w:t> </w:t>
      </w:r>
      <w:r>
        <w:rPr>
          <w:b/>
          <w:sz w:val="22"/>
        </w:rPr>
        <w:t>Programa</w:t>
      </w:r>
      <w:r>
        <w:rPr>
          <w:b/>
          <w:spacing w:val="-1"/>
          <w:sz w:val="22"/>
        </w:rPr>
        <w:t> </w:t>
      </w:r>
      <w:r>
        <w:rPr>
          <w:b/>
          <w:sz w:val="22"/>
        </w:rPr>
        <w:t>de</w:t>
      </w:r>
      <w:r>
        <w:rPr>
          <w:b/>
          <w:spacing w:val="-2"/>
          <w:sz w:val="22"/>
        </w:rPr>
        <w:t> </w:t>
      </w:r>
      <w:r>
        <w:rPr>
          <w:b/>
          <w:sz w:val="22"/>
        </w:rPr>
        <w:t>Reconversión</w:t>
      </w:r>
      <w:r>
        <w:rPr>
          <w:b/>
          <w:spacing w:val="-3"/>
          <w:sz w:val="22"/>
        </w:rPr>
        <w:t> </w:t>
      </w:r>
      <w:r>
        <w:rPr>
          <w:b/>
          <w:sz w:val="22"/>
        </w:rPr>
        <w:t>Productiva</w:t>
      </w:r>
      <w:r>
        <w:rPr>
          <w:b/>
          <w:spacing w:val="-2"/>
          <w:sz w:val="22"/>
        </w:rPr>
        <w:t> </w:t>
      </w:r>
      <w:r>
        <w:rPr>
          <w:b/>
          <w:sz w:val="22"/>
        </w:rPr>
        <w:t>del</w:t>
      </w:r>
      <w:r>
        <w:rPr>
          <w:b/>
          <w:spacing w:val="-2"/>
          <w:sz w:val="22"/>
        </w:rPr>
        <w:t> </w:t>
      </w:r>
      <w:r>
        <w:rPr>
          <w:b/>
          <w:sz w:val="22"/>
        </w:rPr>
        <w:t>Sector</w:t>
      </w:r>
      <w:r>
        <w:rPr>
          <w:b/>
          <w:spacing w:val="-2"/>
          <w:sz w:val="22"/>
        </w:rPr>
        <w:t> </w:t>
      </w:r>
      <w:r>
        <w:rPr>
          <w:b/>
          <w:sz w:val="22"/>
        </w:rPr>
        <w:t>Agropecuario CNP</w:t>
      </w:r>
      <w:r>
        <w:rPr>
          <w:sz w:val="22"/>
        </w:rPr>
        <w:t>,</w:t>
      </w:r>
      <w:r>
        <w:rPr>
          <w:spacing w:val="-16"/>
          <w:sz w:val="22"/>
        </w:rPr>
        <w:t> </w:t>
      </w:r>
      <w:r>
        <w:rPr>
          <w:b/>
          <w:sz w:val="22"/>
        </w:rPr>
        <w:t>N°</w:t>
      </w:r>
      <w:r>
        <w:rPr>
          <w:b/>
          <w:spacing w:val="-15"/>
          <w:sz w:val="22"/>
        </w:rPr>
        <w:t> </w:t>
      </w:r>
      <w:r>
        <w:rPr>
          <w:b/>
          <w:sz w:val="22"/>
        </w:rPr>
        <w:t>7742</w:t>
      </w:r>
      <w:r>
        <w:rPr>
          <w:b/>
          <w:spacing w:val="-15"/>
          <w:sz w:val="22"/>
        </w:rPr>
        <w:t> </w:t>
      </w:r>
      <w:r>
        <w:rPr>
          <w:b/>
          <w:sz w:val="22"/>
        </w:rPr>
        <w:t>y</w:t>
      </w:r>
      <w:r>
        <w:rPr>
          <w:b/>
          <w:spacing w:val="-15"/>
          <w:sz w:val="22"/>
        </w:rPr>
        <w:t> </w:t>
      </w:r>
      <w:r>
        <w:rPr>
          <w:b/>
          <w:sz w:val="22"/>
        </w:rPr>
        <w:t>sus</w:t>
      </w:r>
      <w:r>
        <w:rPr>
          <w:b/>
          <w:spacing w:val="-15"/>
          <w:sz w:val="22"/>
        </w:rPr>
        <w:t> </w:t>
      </w:r>
      <w:r>
        <w:rPr>
          <w:b/>
          <w:sz w:val="22"/>
        </w:rPr>
        <w:t>reformas</w:t>
      </w:r>
      <w:r>
        <w:rPr>
          <w:sz w:val="22"/>
        </w:rPr>
        <w:t>.</w:t>
      </w:r>
      <w:r>
        <w:rPr>
          <w:spacing w:val="-16"/>
          <w:sz w:val="22"/>
        </w:rPr>
        <w:t> </w:t>
      </w:r>
      <w:r>
        <w:rPr>
          <w:sz w:val="22"/>
        </w:rPr>
        <w:t>Permite</w:t>
      </w:r>
      <w:r>
        <w:rPr>
          <w:spacing w:val="-10"/>
          <w:sz w:val="22"/>
        </w:rPr>
        <w:t> </w:t>
      </w:r>
      <w:r>
        <w:rPr>
          <w:sz w:val="22"/>
        </w:rPr>
        <w:t>transformar</w:t>
      </w:r>
      <w:r>
        <w:rPr>
          <w:spacing w:val="-14"/>
          <w:sz w:val="22"/>
        </w:rPr>
        <w:t> </w:t>
      </w:r>
      <w:r>
        <w:rPr>
          <w:sz w:val="22"/>
        </w:rPr>
        <w:t>integralmente</w:t>
      </w:r>
      <w:r>
        <w:rPr>
          <w:spacing w:val="-11"/>
          <w:sz w:val="22"/>
        </w:rPr>
        <w:t> </w:t>
      </w:r>
      <w:r>
        <w:rPr>
          <w:sz w:val="22"/>
        </w:rPr>
        <w:t>los</w:t>
      </w:r>
      <w:r>
        <w:rPr>
          <w:spacing w:val="-16"/>
          <w:sz w:val="22"/>
        </w:rPr>
        <w:t> </w:t>
      </w:r>
      <w:r>
        <w:rPr>
          <w:sz w:val="22"/>
        </w:rPr>
        <w:t>procesos</w:t>
      </w:r>
      <w:r>
        <w:rPr>
          <w:spacing w:val="-15"/>
          <w:sz w:val="22"/>
        </w:rPr>
        <w:t> </w:t>
      </w:r>
      <w:r>
        <w:rPr>
          <w:sz w:val="22"/>
        </w:rPr>
        <w:t>productivos del</w:t>
      </w:r>
      <w:r>
        <w:rPr>
          <w:spacing w:val="-7"/>
          <w:sz w:val="22"/>
        </w:rPr>
        <w:t> </w:t>
      </w:r>
      <w:r>
        <w:rPr>
          <w:sz w:val="22"/>
        </w:rPr>
        <w:t>sector</w:t>
      </w:r>
      <w:r>
        <w:rPr>
          <w:spacing w:val="-8"/>
          <w:sz w:val="22"/>
        </w:rPr>
        <w:t> </w:t>
      </w:r>
      <w:r>
        <w:rPr>
          <w:sz w:val="22"/>
        </w:rPr>
        <w:t>agropecuario,</w:t>
      </w:r>
      <w:r>
        <w:rPr>
          <w:spacing w:val="-10"/>
          <w:sz w:val="22"/>
        </w:rPr>
        <w:t> </w:t>
      </w:r>
      <w:r>
        <w:rPr>
          <w:sz w:val="22"/>
        </w:rPr>
        <w:t>para</w:t>
      </w:r>
      <w:r>
        <w:rPr>
          <w:spacing w:val="-4"/>
          <w:sz w:val="22"/>
        </w:rPr>
        <w:t> </w:t>
      </w:r>
      <w:r>
        <w:rPr>
          <w:sz w:val="22"/>
        </w:rPr>
        <w:t>insertarlos</w:t>
      </w:r>
      <w:r>
        <w:rPr>
          <w:spacing w:val="-6"/>
          <w:sz w:val="22"/>
        </w:rPr>
        <w:t> </w:t>
      </w:r>
      <w:r>
        <w:rPr>
          <w:sz w:val="22"/>
        </w:rPr>
        <w:t>en</w:t>
      </w:r>
      <w:r>
        <w:rPr>
          <w:spacing w:val="-9"/>
          <w:sz w:val="22"/>
        </w:rPr>
        <w:t> </w:t>
      </w:r>
      <w:r>
        <w:rPr>
          <w:sz w:val="22"/>
        </w:rPr>
        <w:t>el</w:t>
      </w:r>
      <w:r>
        <w:rPr>
          <w:spacing w:val="-7"/>
          <w:sz w:val="22"/>
        </w:rPr>
        <w:t> </w:t>
      </w:r>
      <w:r>
        <w:rPr>
          <w:sz w:val="22"/>
        </w:rPr>
        <w:t>mercado internacional.</w:t>
      </w:r>
      <w:r>
        <w:rPr>
          <w:spacing w:val="-5"/>
          <w:sz w:val="22"/>
        </w:rPr>
        <w:t> </w:t>
      </w:r>
      <w:r>
        <w:rPr>
          <w:sz w:val="22"/>
        </w:rPr>
        <w:t>El</w:t>
      </w:r>
      <w:r>
        <w:rPr>
          <w:spacing w:val="-7"/>
          <w:sz w:val="22"/>
        </w:rPr>
        <w:t> </w:t>
      </w:r>
      <w:r>
        <w:rPr>
          <w:sz w:val="22"/>
        </w:rPr>
        <w:t>IMAS</w:t>
      </w:r>
      <w:r>
        <w:rPr>
          <w:spacing w:val="-5"/>
          <w:sz w:val="22"/>
        </w:rPr>
        <w:t> </w:t>
      </w:r>
      <w:r>
        <w:rPr>
          <w:sz w:val="22"/>
        </w:rPr>
        <w:t>debe</w:t>
      </w:r>
      <w:r>
        <w:rPr>
          <w:spacing w:val="-4"/>
          <w:sz w:val="22"/>
        </w:rPr>
        <w:t> </w:t>
      </w:r>
      <w:r>
        <w:rPr>
          <w:sz w:val="22"/>
        </w:rPr>
        <w:t>incluir, al</w:t>
      </w:r>
      <w:r>
        <w:rPr>
          <w:spacing w:val="-13"/>
          <w:sz w:val="22"/>
        </w:rPr>
        <w:t> </w:t>
      </w:r>
      <w:r>
        <w:rPr>
          <w:sz w:val="22"/>
        </w:rPr>
        <w:t>menos,</w:t>
      </w:r>
      <w:r>
        <w:rPr>
          <w:spacing w:val="-11"/>
          <w:sz w:val="22"/>
        </w:rPr>
        <w:t> </w:t>
      </w:r>
      <w:r>
        <w:rPr>
          <w:sz w:val="22"/>
        </w:rPr>
        <w:t>un</w:t>
      </w:r>
      <w:r>
        <w:rPr>
          <w:spacing w:val="-10"/>
          <w:sz w:val="22"/>
        </w:rPr>
        <w:t> </w:t>
      </w:r>
      <w:r>
        <w:rPr>
          <w:sz w:val="22"/>
        </w:rPr>
        <w:t>10%</w:t>
      </w:r>
      <w:r>
        <w:rPr>
          <w:spacing w:val="-11"/>
          <w:sz w:val="22"/>
        </w:rPr>
        <w:t> </w:t>
      </w:r>
      <w:r>
        <w:rPr>
          <w:sz w:val="22"/>
        </w:rPr>
        <w:t>del</w:t>
      </w:r>
      <w:r>
        <w:rPr>
          <w:spacing w:val="-13"/>
          <w:sz w:val="22"/>
        </w:rPr>
        <w:t> </w:t>
      </w:r>
      <w:r>
        <w:rPr>
          <w:sz w:val="22"/>
        </w:rPr>
        <w:t>presupuesto</w:t>
      </w:r>
      <w:r>
        <w:rPr>
          <w:spacing w:val="-15"/>
          <w:sz w:val="22"/>
        </w:rPr>
        <w:t> </w:t>
      </w:r>
      <w:r>
        <w:rPr>
          <w:sz w:val="22"/>
        </w:rPr>
        <w:t>para</w:t>
      </w:r>
      <w:r>
        <w:rPr>
          <w:spacing w:val="-10"/>
          <w:sz w:val="22"/>
        </w:rPr>
        <w:t> </w:t>
      </w:r>
      <w:r>
        <w:rPr>
          <w:sz w:val="22"/>
        </w:rPr>
        <w:t>programas</w:t>
      </w:r>
      <w:r>
        <w:rPr>
          <w:spacing w:val="-12"/>
          <w:sz w:val="22"/>
        </w:rPr>
        <w:t> </w:t>
      </w:r>
      <w:r>
        <w:rPr>
          <w:sz w:val="22"/>
        </w:rPr>
        <w:t>de</w:t>
      </w:r>
      <w:r>
        <w:rPr>
          <w:spacing w:val="-10"/>
          <w:sz w:val="22"/>
        </w:rPr>
        <w:t> </w:t>
      </w:r>
      <w:r>
        <w:rPr>
          <w:sz w:val="22"/>
        </w:rPr>
        <w:t>apoyo</w:t>
      </w:r>
      <w:r>
        <w:rPr>
          <w:spacing w:val="-10"/>
          <w:sz w:val="22"/>
        </w:rPr>
        <w:t> </w:t>
      </w:r>
      <w:r>
        <w:rPr>
          <w:sz w:val="22"/>
        </w:rPr>
        <w:t>al</w:t>
      </w:r>
      <w:r>
        <w:rPr>
          <w:spacing w:val="-13"/>
          <w:sz w:val="22"/>
        </w:rPr>
        <w:t> </w:t>
      </w:r>
      <w:r>
        <w:rPr>
          <w:sz w:val="22"/>
        </w:rPr>
        <w:t>sector</w:t>
      </w:r>
      <w:r>
        <w:rPr>
          <w:spacing w:val="-13"/>
          <w:sz w:val="22"/>
        </w:rPr>
        <w:t> </w:t>
      </w:r>
      <w:r>
        <w:rPr>
          <w:sz w:val="22"/>
        </w:rPr>
        <w:t>agropecuario.</w:t>
      </w:r>
      <w:r>
        <w:rPr>
          <w:spacing w:val="-11"/>
          <w:sz w:val="22"/>
        </w:rPr>
        <w:t> </w:t>
      </w:r>
      <w:r>
        <w:rPr>
          <w:sz w:val="22"/>
        </w:rPr>
        <w:t>Fecha de vigencia15/01/1998.</w:t>
      </w:r>
    </w:p>
    <w:p>
      <w:pPr>
        <w:pStyle w:val="BodyText"/>
        <w:spacing w:before="4"/>
      </w:pPr>
    </w:p>
    <w:p>
      <w:pPr>
        <w:pStyle w:val="BodyText"/>
        <w:ind w:left="979" w:right="1336"/>
        <w:jc w:val="both"/>
      </w:pPr>
      <w:r>
        <w:rPr>
          <w:b/>
        </w:rPr>
        <w:t>Ley General de Protección a la Madre Adolescente, N° 7735 y sus reformas. </w:t>
      </w:r>
      <w:r>
        <w:rPr/>
        <w:t>Regula todas las políticas, las acciones y los programas preventivos y de apoyo, que ejecuten las instituciones gubernamentales, dirigidos a madres adolescentes. Crea el Consejo Interinstitucional de atención a la madre adolescente. El IMAS es integrante y da apoyo económico. Fecha de vigencia 19/01/1998.</w:t>
      </w:r>
    </w:p>
    <w:p>
      <w:pPr>
        <w:pStyle w:val="BodyText"/>
        <w:spacing w:before="253"/>
        <w:ind w:left="979" w:right="1336"/>
        <w:jc w:val="both"/>
      </w:pPr>
      <w:r>
        <w:rPr>
          <w:b/>
        </w:rPr>
        <w:t>Ley</w:t>
      </w:r>
      <w:r>
        <w:rPr>
          <w:b/>
          <w:spacing w:val="-16"/>
        </w:rPr>
        <w:t> </w:t>
      </w:r>
      <w:r>
        <w:rPr>
          <w:b/>
        </w:rPr>
        <w:t>de</w:t>
      </w:r>
      <w:r>
        <w:rPr>
          <w:b/>
          <w:spacing w:val="-15"/>
        </w:rPr>
        <w:t> </w:t>
      </w:r>
      <w:r>
        <w:rPr>
          <w:b/>
        </w:rPr>
        <w:t>Creació</w:t>
      </w:r>
      <w:r>
        <w:rPr/>
        <w:t>n</w:t>
      </w:r>
      <w:r>
        <w:rPr>
          <w:spacing w:val="-15"/>
        </w:rPr>
        <w:t> </w:t>
      </w:r>
      <w:r>
        <w:rPr>
          <w:b/>
        </w:rPr>
        <w:t>del</w:t>
      </w:r>
      <w:r>
        <w:rPr>
          <w:b/>
          <w:spacing w:val="-16"/>
        </w:rPr>
        <w:t> </w:t>
      </w:r>
      <w:r>
        <w:rPr>
          <w:b/>
        </w:rPr>
        <w:t>Instituto</w:t>
      </w:r>
      <w:r>
        <w:rPr>
          <w:b/>
          <w:spacing w:val="-15"/>
        </w:rPr>
        <w:t> </w:t>
      </w:r>
      <w:r>
        <w:rPr>
          <w:b/>
        </w:rPr>
        <w:t>Nacional</w:t>
      </w:r>
      <w:r>
        <w:rPr>
          <w:b/>
          <w:spacing w:val="-15"/>
        </w:rPr>
        <w:t> </w:t>
      </w:r>
      <w:r>
        <w:rPr>
          <w:b/>
        </w:rPr>
        <w:t>de</w:t>
      </w:r>
      <w:r>
        <w:rPr>
          <w:b/>
          <w:spacing w:val="-15"/>
        </w:rPr>
        <w:t> </w:t>
      </w:r>
      <w:r>
        <w:rPr>
          <w:b/>
        </w:rPr>
        <w:t>las</w:t>
      </w:r>
      <w:r>
        <w:rPr>
          <w:b/>
          <w:spacing w:val="-16"/>
        </w:rPr>
        <w:t> </w:t>
      </w:r>
      <w:r>
        <w:rPr>
          <w:b/>
        </w:rPr>
        <w:t>Mujeres,</w:t>
      </w:r>
      <w:r>
        <w:rPr>
          <w:b/>
          <w:spacing w:val="-15"/>
        </w:rPr>
        <w:t> </w:t>
      </w:r>
      <w:r>
        <w:rPr>
          <w:b/>
        </w:rPr>
        <w:t>N°</w:t>
      </w:r>
      <w:r>
        <w:rPr>
          <w:b/>
          <w:spacing w:val="-15"/>
        </w:rPr>
        <w:t> </w:t>
      </w:r>
      <w:r>
        <w:rPr>
          <w:b/>
        </w:rPr>
        <w:t>7801</w:t>
      </w:r>
      <w:r>
        <w:rPr>
          <w:b/>
          <w:spacing w:val="-16"/>
        </w:rPr>
        <w:t> </w:t>
      </w:r>
      <w:r>
        <w:rPr>
          <w:b/>
        </w:rPr>
        <w:t>y</w:t>
      </w:r>
      <w:r>
        <w:rPr>
          <w:b/>
          <w:spacing w:val="-15"/>
        </w:rPr>
        <w:t> </w:t>
      </w:r>
      <w:r>
        <w:rPr>
          <w:b/>
        </w:rPr>
        <w:t>sus</w:t>
      </w:r>
      <w:r>
        <w:rPr>
          <w:b/>
          <w:spacing w:val="-15"/>
        </w:rPr>
        <w:t> </w:t>
      </w:r>
      <w:r>
        <w:rPr>
          <w:b/>
        </w:rPr>
        <w:t>reformas</w:t>
      </w:r>
      <w:r>
        <w:rPr/>
        <w:t>.</w:t>
      </w:r>
      <w:r>
        <w:rPr>
          <w:spacing w:val="-15"/>
        </w:rPr>
        <w:t> </w:t>
      </w:r>
      <w:r>
        <w:rPr/>
        <w:t>Formula e</w:t>
      </w:r>
      <w:r>
        <w:rPr>
          <w:spacing w:val="-5"/>
        </w:rPr>
        <w:t> </w:t>
      </w:r>
      <w:r>
        <w:rPr/>
        <w:t>impulsa</w:t>
      </w:r>
      <w:r>
        <w:rPr>
          <w:spacing w:val="-10"/>
        </w:rPr>
        <w:t> </w:t>
      </w:r>
      <w:r>
        <w:rPr/>
        <w:t>la</w:t>
      </w:r>
      <w:r>
        <w:rPr>
          <w:spacing w:val="-15"/>
        </w:rPr>
        <w:t> </w:t>
      </w:r>
      <w:r>
        <w:rPr/>
        <w:t>política</w:t>
      </w:r>
      <w:r>
        <w:rPr>
          <w:spacing w:val="-10"/>
        </w:rPr>
        <w:t> </w:t>
      </w:r>
      <w:r>
        <w:rPr/>
        <w:t>nacional</w:t>
      </w:r>
      <w:r>
        <w:rPr>
          <w:spacing w:val="-13"/>
        </w:rPr>
        <w:t> </w:t>
      </w:r>
      <w:r>
        <w:rPr/>
        <w:t>para</w:t>
      </w:r>
      <w:r>
        <w:rPr>
          <w:spacing w:val="-5"/>
        </w:rPr>
        <w:t> </w:t>
      </w:r>
      <w:r>
        <w:rPr/>
        <w:t>la</w:t>
      </w:r>
      <w:r>
        <w:rPr>
          <w:spacing w:val="-5"/>
        </w:rPr>
        <w:t> </w:t>
      </w:r>
      <w:r>
        <w:rPr/>
        <w:t>igualdad</w:t>
      </w:r>
      <w:r>
        <w:rPr>
          <w:spacing w:val="-10"/>
        </w:rPr>
        <w:t> </w:t>
      </w:r>
      <w:r>
        <w:rPr/>
        <w:t>y</w:t>
      </w:r>
      <w:r>
        <w:rPr>
          <w:spacing w:val="-12"/>
        </w:rPr>
        <w:t> </w:t>
      </w:r>
      <w:r>
        <w:rPr/>
        <w:t>equidad</w:t>
      </w:r>
      <w:r>
        <w:rPr>
          <w:spacing w:val="-10"/>
        </w:rPr>
        <w:t> </w:t>
      </w:r>
      <w:r>
        <w:rPr/>
        <w:t>de</w:t>
      </w:r>
      <w:r>
        <w:rPr>
          <w:spacing w:val="-10"/>
        </w:rPr>
        <w:t> </w:t>
      </w:r>
      <w:r>
        <w:rPr/>
        <w:t>género,</w:t>
      </w:r>
      <w:r>
        <w:rPr>
          <w:spacing w:val="-11"/>
        </w:rPr>
        <w:t> </w:t>
      </w:r>
      <w:r>
        <w:rPr/>
        <w:t>en</w:t>
      </w:r>
      <w:r>
        <w:rPr>
          <w:spacing w:val="-5"/>
        </w:rPr>
        <w:t> </w:t>
      </w:r>
      <w:r>
        <w:rPr/>
        <w:t>coordinación</w:t>
      </w:r>
      <w:r>
        <w:rPr>
          <w:spacing w:val="-10"/>
        </w:rPr>
        <w:t> </w:t>
      </w:r>
      <w:r>
        <w:rPr/>
        <w:t>con</w:t>
      </w:r>
      <w:r>
        <w:rPr>
          <w:spacing w:val="-10"/>
        </w:rPr>
        <w:t> </w:t>
      </w:r>
      <w:r>
        <w:rPr/>
        <w:t>las instituciones</w:t>
      </w:r>
      <w:r>
        <w:rPr>
          <w:spacing w:val="-7"/>
        </w:rPr>
        <w:t> </w:t>
      </w:r>
      <w:r>
        <w:rPr/>
        <w:t>públicas,</w:t>
      </w:r>
      <w:r>
        <w:rPr>
          <w:spacing w:val="-6"/>
        </w:rPr>
        <w:t> </w:t>
      </w:r>
      <w:r>
        <w:rPr/>
        <w:t>las</w:t>
      </w:r>
      <w:r>
        <w:rPr>
          <w:spacing w:val="-2"/>
        </w:rPr>
        <w:t> </w:t>
      </w:r>
      <w:r>
        <w:rPr/>
        <w:t>instancias</w:t>
      </w:r>
      <w:r>
        <w:rPr>
          <w:spacing w:val="-2"/>
        </w:rPr>
        <w:t> </w:t>
      </w:r>
      <w:r>
        <w:rPr/>
        <w:t>estatales</w:t>
      </w:r>
      <w:r>
        <w:rPr>
          <w:spacing w:val="-2"/>
        </w:rPr>
        <w:t> </w:t>
      </w:r>
      <w:r>
        <w:rPr/>
        <w:t>que</w:t>
      </w:r>
      <w:r>
        <w:rPr>
          <w:spacing w:val="-5"/>
        </w:rPr>
        <w:t> </w:t>
      </w:r>
      <w:r>
        <w:rPr/>
        <w:t>desarrollan</w:t>
      </w:r>
      <w:r>
        <w:rPr>
          <w:spacing w:val="-1"/>
        </w:rPr>
        <w:t> </w:t>
      </w:r>
      <w:r>
        <w:rPr/>
        <w:t>programas</w:t>
      </w:r>
      <w:r>
        <w:rPr>
          <w:spacing w:val="-7"/>
        </w:rPr>
        <w:t> </w:t>
      </w:r>
      <w:r>
        <w:rPr/>
        <w:t>para</w:t>
      </w:r>
      <w:r>
        <w:rPr>
          <w:spacing w:val="-1"/>
        </w:rPr>
        <w:t> </w:t>
      </w:r>
      <w:r>
        <w:rPr/>
        <w:t>las</w:t>
      </w:r>
      <w:r>
        <w:rPr>
          <w:spacing w:val="-7"/>
        </w:rPr>
        <w:t> </w:t>
      </w:r>
      <w:r>
        <w:rPr/>
        <w:t>mujeres y las organizaciones sociales. El IMAS integra su Junta Directiva del INAMU. Fecha de vigencia 18/05/1998.</w:t>
      </w:r>
    </w:p>
    <w:p>
      <w:pPr>
        <w:pStyle w:val="BodyText"/>
        <w:spacing w:after="0"/>
        <w:jc w:val="both"/>
        <w:sectPr>
          <w:pgSz w:w="12240" w:h="15840"/>
          <w:pgMar w:header="0" w:footer="1021" w:top="1600" w:bottom="1220" w:left="720" w:right="360"/>
        </w:sectPr>
      </w:pPr>
    </w:p>
    <w:p>
      <w:pPr>
        <w:spacing w:line="240" w:lineRule="auto" w:before="76"/>
        <w:ind w:left="979" w:right="1335" w:firstLine="0"/>
        <w:jc w:val="both"/>
        <w:rPr>
          <w:sz w:val="22"/>
        </w:rPr>
      </w:pPr>
      <w:r>
        <w:rPr>
          <w:b/>
          <w:sz w:val="22"/>
        </w:rPr>
        <w:t>Ley</w:t>
      </w:r>
      <w:r>
        <w:rPr>
          <w:b/>
          <w:spacing w:val="-16"/>
          <w:sz w:val="22"/>
        </w:rPr>
        <w:t> </w:t>
      </w:r>
      <w:r>
        <w:rPr>
          <w:b/>
          <w:sz w:val="22"/>
        </w:rPr>
        <w:t>de</w:t>
      </w:r>
      <w:r>
        <w:rPr>
          <w:b/>
          <w:spacing w:val="-11"/>
          <w:sz w:val="22"/>
        </w:rPr>
        <w:t> </w:t>
      </w:r>
      <w:r>
        <w:rPr>
          <w:b/>
          <w:sz w:val="22"/>
        </w:rPr>
        <w:t>Atención</w:t>
      </w:r>
      <w:r>
        <w:rPr>
          <w:b/>
          <w:spacing w:val="-16"/>
          <w:sz w:val="22"/>
        </w:rPr>
        <w:t> </w:t>
      </w:r>
      <w:r>
        <w:rPr>
          <w:b/>
          <w:sz w:val="22"/>
        </w:rPr>
        <w:t>a</w:t>
      </w:r>
      <w:r>
        <w:rPr>
          <w:b/>
          <w:spacing w:val="-9"/>
          <w:sz w:val="22"/>
        </w:rPr>
        <w:t> </w:t>
      </w:r>
      <w:r>
        <w:rPr>
          <w:b/>
          <w:sz w:val="22"/>
        </w:rPr>
        <w:t>las</w:t>
      </w:r>
      <w:r>
        <w:rPr>
          <w:b/>
          <w:spacing w:val="-10"/>
          <w:sz w:val="22"/>
        </w:rPr>
        <w:t> </w:t>
      </w:r>
      <w:r>
        <w:rPr>
          <w:b/>
          <w:sz w:val="22"/>
        </w:rPr>
        <w:t>Mujeres</w:t>
      </w:r>
      <w:r>
        <w:rPr>
          <w:b/>
          <w:spacing w:val="-15"/>
          <w:sz w:val="22"/>
        </w:rPr>
        <w:t> </w:t>
      </w:r>
      <w:r>
        <w:rPr>
          <w:b/>
          <w:sz w:val="22"/>
        </w:rPr>
        <w:t>en</w:t>
      </w:r>
      <w:r>
        <w:rPr>
          <w:b/>
          <w:spacing w:val="-12"/>
          <w:sz w:val="22"/>
        </w:rPr>
        <w:t> </w:t>
      </w:r>
      <w:r>
        <w:rPr>
          <w:b/>
          <w:sz w:val="22"/>
        </w:rPr>
        <w:t>Condición</w:t>
      </w:r>
      <w:r>
        <w:rPr>
          <w:b/>
          <w:spacing w:val="-13"/>
          <w:sz w:val="22"/>
        </w:rPr>
        <w:t> </w:t>
      </w:r>
      <w:r>
        <w:rPr>
          <w:b/>
          <w:sz w:val="22"/>
        </w:rPr>
        <w:t>de</w:t>
      </w:r>
      <w:r>
        <w:rPr>
          <w:b/>
          <w:spacing w:val="-15"/>
          <w:sz w:val="22"/>
        </w:rPr>
        <w:t> </w:t>
      </w:r>
      <w:r>
        <w:rPr>
          <w:b/>
          <w:sz w:val="22"/>
        </w:rPr>
        <w:t>Pobreza,</w:t>
      </w:r>
      <w:r>
        <w:rPr>
          <w:b/>
          <w:spacing w:val="-11"/>
          <w:sz w:val="22"/>
        </w:rPr>
        <w:t> </w:t>
      </w:r>
      <w:r>
        <w:rPr>
          <w:b/>
          <w:sz w:val="22"/>
        </w:rPr>
        <w:t>N°</w:t>
      </w:r>
      <w:r>
        <w:rPr>
          <w:b/>
          <w:spacing w:val="-14"/>
          <w:sz w:val="22"/>
        </w:rPr>
        <w:t> </w:t>
      </w:r>
      <w:r>
        <w:rPr>
          <w:b/>
          <w:sz w:val="22"/>
        </w:rPr>
        <w:t>7769</w:t>
      </w:r>
      <w:r>
        <w:rPr>
          <w:b/>
          <w:spacing w:val="-10"/>
          <w:sz w:val="22"/>
        </w:rPr>
        <w:t> </w:t>
      </w:r>
      <w:r>
        <w:rPr>
          <w:b/>
          <w:sz w:val="22"/>
        </w:rPr>
        <w:t>y</w:t>
      </w:r>
      <w:r>
        <w:rPr>
          <w:b/>
          <w:spacing w:val="-15"/>
          <w:sz w:val="22"/>
        </w:rPr>
        <w:t> </w:t>
      </w:r>
      <w:r>
        <w:rPr>
          <w:b/>
          <w:sz w:val="22"/>
        </w:rPr>
        <w:t>sus</w:t>
      </w:r>
      <w:r>
        <w:rPr>
          <w:b/>
          <w:spacing w:val="-10"/>
          <w:sz w:val="22"/>
        </w:rPr>
        <w:t> </w:t>
      </w:r>
      <w:r>
        <w:rPr>
          <w:b/>
          <w:sz w:val="22"/>
        </w:rPr>
        <w:t>reformas. </w:t>
      </w:r>
      <w:r>
        <w:rPr>
          <w:sz w:val="22"/>
        </w:rPr>
        <w:t>Crea la Comisión interinstitucional para atender a las mujeres en condiciones de pobreza, mediante un proceso de formación integral. El IMAS tiene la Secretaría Técnica y financia programas. Fecha de vigencia 20/05/1998.</w:t>
      </w:r>
    </w:p>
    <w:p>
      <w:pPr>
        <w:spacing w:before="251"/>
        <w:ind w:left="979" w:right="1336" w:firstLine="0"/>
        <w:jc w:val="both"/>
        <w:rPr>
          <w:sz w:val="22"/>
        </w:rPr>
      </w:pPr>
      <w:r>
        <w:rPr>
          <w:b/>
          <w:sz w:val="22"/>
        </w:rPr>
        <w:t>Ley Integral para la Persona Adulta Mayor, N°7935 y sus reformas</w:t>
      </w:r>
      <w:r>
        <w:rPr>
          <w:sz w:val="22"/>
        </w:rPr>
        <w:t>. Promoción de igualdad de</w:t>
      </w:r>
      <w:r>
        <w:rPr>
          <w:spacing w:val="-4"/>
          <w:sz w:val="22"/>
        </w:rPr>
        <w:t> </w:t>
      </w:r>
      <w:r>
        <w:rPr>
          <w:sz w:val="22"/>
        </w:rPr>
        <w:t>oportunidades</w:t>
      </w:r>
      <w:r>
        <w:rPr>
          <w:spacing w:val="-2"/>
          <w:sz w:val="22"/>
        </w:rPr>
        <w:t> </w:t>
      </w:r>
      <w:r>
        <w:rPr>
          <w:sz w:val="22"/>
        </w:rPr>
        <w:t>para la persona adulta</w:t>
      </w:r>
      <w:r>
        <w:rPr>
          <w:spacing w:val="-4"/>
          <w:sz w:val="22"/>
        </w:rPr>
        <w:t> </w:t>
      </w:r>
      <w:r>
        <w:rPr>
          <w:sz w:val="22"/>
        </w:rPr>
        <w:t>mayor, el</w:t>
      </w:r>
      <w:r>
        <w:rPr>
          <w:spacing w:val="-2"/>
          <w:sz w:val="22"/>
        </w:rPr>
        <w:t> </w:t>
      </w:r>
      <w:r>
        <w:rPr>
          <w:sz w:val="22"/>
        </w:rPr>
        <w:t>IMAS integra la Junta Rectora del CONAPAM. Fecha de vigencia 15/11/1999.</w:t>
      </w:r>
    </w:p>
    <w:p>
      <w:pPr>
        <w:pStyle w:val="BodyText"/>
        <w:spacing w:before="1"/>
      </w:pPr>
    </w:p>
    <w:p>
      <w:pPr>
        <w:spacing w:line="240" w:lineRule="auto" w:before="0"/>
        <w:ind w:left="979" w:right="1347" w:firstLine="0"/>
        <w:jc w:val="both"/>
        <w:rPr>
          <w:sz w:val="22"/>
        </w:rPr>
      </w:pPr>
      <w:r>
        <w:rPr>
          <w:b/>
          <w:sz w:val="22"/>
        </w:rPr>
        <w:t>Ley de Impuestos sobre Cigarrillos y Licores para Plan de Protección Social y sus reformas,</w:t>
      </w:r>
      <w:r>
        <w:rPr>
          <w:b/>
          <w:spacing w:val="-16"/>
          <w:sz w:val="22"/>
        </w:rPr>
        <w:t> </w:t>
      </w:r>
      <w:r>
        <w:rPr>
          <w:b/>
          <w:sz w:val="22"/>
        </w:rPr>
        <w:t>N°7972.</w:t>
      </w:r>
      <w:r>
        <w:rPr>
          <w:b/>
          <w:spacing w:val="-15"/>
          <w:sz w:val="22"/>
        </w:rPr>
        <w:t> </w:t>
      </w:r>
      <w:r>
        <w:rPr>
          <w:sz w:val="22"/>
        </w:rPr>
        <w:t>Crea</w:t>
      </w:r>
      <w:r>
        <w:rPr>
          <w:spacing w:val="-15"/>
          <w:sz w:val="22"/>
        </w:rPr>
        <w:t> </w:t>
      </w:r>
      <w:r>
        <w:rPr>
          <w:sz w:val="22"/>
        </w:rPr>
        <w:t>tributo</w:t>
      </w:r>
      <w:r>
        <w:rPr>
          <w:spacing w:val="-16"/>
          <w:sz w:val="22"/>
        </w:rPr>
        <w:t> </w:t>
      </w:r>
      <w:r>
        <w:rPr>
          <w:sz w:val="22"/>
        </w:rPr>
        <w:t>a</w:t>
      </w:r>
      <w:r>
        <w:rPr>
          <w:spacing w:val="-15"/>
          <w:sz w:val="22"/>
        </w:rPr>
        <w:t> </w:t>
      </w:r>
      <w:r>
        <w:rPr>
          <w:sz w:val="22"/>
        </w:rPr>
        <w:t>productos</w:t>
      </w:r>
      <w:r>
        <w:rPr>
          <w:spacing w:val="-15"/>
          <w:sz w:val="22"/>
        </w:rPr>
        <w:t> </w:t>
      </w:r>
      <w:r>
        <w:rPr>
          <w:sz w:val="22"/>
        </w:rPr>
        <w:t>alcohólicos</w:t>
      </w:r>
      <w:r>
        <w:rPr>
          <w:spacing w:val="-15"/>
          <w:sz w:val="22"/>
        </w:rPr>
        <w:t> </w:t>
      </w:r>
      <w:r>
        <w:rPr>
          <w:sz w:val="22"/>
        </w:rPr>
        <w:t>y</w:t>
      </w:r>
      <w:r>
        <w:rPr>
          <w:spacing w:val="-16"/>
          <w:sz w:val="22"/>
        </w:rPr>
        <w:t> </w:t>
      </w:r>
      <w:r>
        <w:rPr>
          <w:sz w:val="22"/>
        </w:rPr>
        <w:t>cigarrillos,</w:t>
      </w:r>
      <w:r>
        <w:rPr>
          <w:spacing w:val="-15"/>
          <w:sz w:val="22"/>
        </w:rPr>
        <w:t> </w:t>
      </w:r>
      <w:r>
        <w:rPr>
          <w:sz w:val="22"/>
        </w:rPr>
        <w:t>de</w:t>
      </w:r>
      <w:r>
        <w:rPr>
          <w:spacing w:val="-15"/>
          <w:sz w:val="22"/>
        </w:rPr>
        <w:t> </w:t>
      </w:r>
      <w:r>
        <w:rPr>
          <w:sz w:val="22"/>
        </w:rPr>
        <w:t>producción</w:t>
      </w:r>
      <w:r>
        <w:rPr>
          <w:spacing w:val="-16"/>
          <w:sz w:val="22"/>
        </w:rPr>
        <w:t> </w:t>
      </w:r>
      <w:r>
        <w:rPr>
          <w:sz w:val="22"/>
        </w:rPr>
        <w:t>nacional o importados, IMAS emite declaratorias de bien social a entidades privadas. Fecha de vigencia 01/02/2000.</w:t>
      </w:r>
    </w:p>
    <w:p>
      <w:pPr>
        <w:pStyle w:val="BodyText"/>
        <w:spacing w:before="3"/>
      </w:pPr>
    </w:p>
    <w:p>
      <w:pPr>
        <w:pStyle w:val="BodyText"/>
        <w:ind w:left="979" w:right="1335"/>
        <w:jc w:val="both"/>
      </w:pPr>
      <w:r>
        <w:rPr>
          <w:b/>
        </w:rPr>
        <w:t>Ley General de Centros de Atención Integral</w:t>
      </w:r>
      <w:r>
        <w:rPr/>
        <w:t>, </w:t>
      </w:r>
      <w:r>
        <w:rPr>
          <w:b/>
        </w:rPr>
        <w:t>N°8017 y sus reformas</w:t>
      </w:r>
      <w:r>
        <w:rPr/>
        <w:t>. Promueve la creación, el desarrollo y el funcionamiento adecuado de los centros de atención integral públicos, privados y mixtos para personas hasta de 12 años, en acatamiento de la Convención de los Derechos del Niño y los alcances del Código de la Niñez y la Adolescencia. El IMAS forma parte del Consejo de Atención Integral</w:t>
      </w:r>
      <w:r>
        <w:rPr>
          <w:b/>
        </w:rPr>
        <w:t>. </w:t>
      </w:r>
      <w:r>
        <w:rPr/>
        <w:t>Fecha de vigencia </w:t>
      </w:r>
      <w:r>
        <w:rPr>
          <w:spacing w:val="-2"/>
        </w:rPr>
        <w:t>21/09/2000.</w:t>
      </w:r>
    </w:p>
    <w:p>
      <w:pPr>
        <w:pStyle w:val="BodyText"/>
        <w:spacing w:before="1"/>
      </w:pPr>
    </w:p>
    <w:p>
      <w:pPr>
        <w:spacing w:line="240" w:lineRule="auto" w:before="0"/>
        <w:ind w:left="979" w:right="1335" w:firstLine="0"/>
        <w:jc w:val="both"/>
        <w:rPr>
          <w:sz w:val="22"/>
        </w:rPr>
      </w:pPr>
      <w:r>
        <w:rPr>
          <w:b/>
          <w:sz w:val="22"/>
        </w:rPr>
        <w:t>Ley</w:t>
      </w:r>
      <w:r>
        <w:rPr>
          <w:b/>
          <w:spacing w:val="-16"/>
          <w:sz w:val="22"/>
        </w:rPr>
        <w:t> </w:t>
      </w:r>
      <w:r>
        <w:rPr>
          <w:b/>
          <w:sz w:val="22"/>
        </w:rPr>
        <w:t>de</w:t>
      </w:r>
      <w:r>
        <w:rPr>
          <w:b/>
          <w:spacing w:val="-15"/>
          <w:sz w:val="22"/>
        </w:rPr>
        <w:t> </w:t>
      </w:r>
      <w:r>
        <w:rPr>
          <w:b/>
          <w:sz w:val="22"/>
        </w:rPr>
        <w:t>Simplificación</w:t>
      </w:r>
      <w:r>
        <w:rPr>
          <w:b/>
          <w:spacing w:val="-15"/>
          <w:sz w:val="22"/>
        </w:rPr>
        <w:t> </w:t>
      </w:r>
      <w:r>
        <w:rPr>
          <w:b/>
          <w:sz w:val="22"/>
        </w:rPr>
        <w:t>y</w:t>
      </w:r>
      <w:r>
        <w:rPr>
          <w:b/>
          <w:spacing w:val="-16"/>
          <w:sz w:val="22"/>
        </w:rPr>
        <w:t> </w:t>
      </w:r>
      <w:r>
        <w:rPr>
          <w:b/>
          <w:sz w:val="22"/>
        </w:rPr>
        <w:t>Eficiencia</w:t>
      </w:r>
      <w:r>
        <w:rPr>
          <w:b/>
          <w:spacing w:val="-15"/>
          <w:sz w:val="22"/>
        </w:rPr>
        <w:t> </w:t>
      </w:r>
      <w:r>
        <w:rPr>
          <w:b/>
          <w:sz w:val="22"/>
        </w:rPr>
        <w:t>Tributaria,</w:t>
      </w:r>
      <w:r>
        <w:rPr>
          <w:b/>
          <w:spacing w:val="-5"/>
          <w:sz w:val="22"/>
        </w:rPr>
        <w:t> </w:t>
      </w:r>
      <w:r>
        <w:rPr>
          <w:b/>
          <w:sz w:val="22"/>
        </w:rPr>
        <w:t>N°8114</w:t>
      </w:r>
      <w:r>
        <w:rPr>
          <w:b/>
          <w:spacing w:val="-9"/>
          <w:sz w:val="22"/>
        </w:rPr>
        <w:t> </w:t>
      </w:r>
      <w:r>
        <w:rPr>
          <w:b/>
          <w:sz w:val="22"/>
        </w:rPr>
        <w:t>y</w:t>
      </w:r>
      <w:r>
        <w:rPr>
          <w:b/>
          <w:spacing w:val="-16"/>
          <w:sz w:val="22"/>
        </w:rPr>
        <w:t> </w:t>
      </w:r>
      <w:r>
        <w:rPr>
          <w:b/>
          <w:sz w:val="22"/>
        </w:rPr>
        <w:t>sus</w:t>
      </w:r>
      <w:r>
        <w:rPr>
          <w:b/>
          <w:spacing w:val="-13"/>
          <w:sz w:val="22"/>
        </w:rPr>
        <w:t> </w:t>
      </w:r>
      <w:r>
        <w:rPr>
          <w:b/>
          <w:sz w:val="22"/>
        </w:rPr>
        <w:t>reformas</w:t>
      </w:r>
      <w:r>
        <w:rPr>
          <w:sz w:val="22"/>
        </w:rPr>
        <w:t>.</w:t>
      </w:r>
      <w:r>
        <w:rPr>
          <w:spacing w:val="-15"/>
          <w:sz w:val="22"/>
        </w:rPr>
        <w:t> </w:t>
      </w:r>
      <w:r>
        <w:rPr>
          <w:sz w:val="22"/>
        </w:rPr>
        <w:t>Establece</w:t>
      </w:r>
      <w:r>
        <w:rPr>
          <w:spacing w:val="-14"/>
          <w:sz w:val="22"/>
        </w:rPr>
        <w:t> </w:t>
      </w:r>
      <w:r>
        <w:rPr>
          <w:sz w:val="22"/>
        </w:rPr>
        <w:t>tributos a productos varios. Exención de impuestos a favor del IMAS para la importación de mercaderías. Fecha de vigencia 09/07/2001.</w:t>
      </w:r>
    </w:p>
    <w:p>
      <w:pPr>
        <w:pStyle w:val="BodyText"/>
        <w:spacing w:before="1"/>
      </w:pPr>
    </w:p>
    <w:p>
      <w:pPr>
        <w:spacing w:line="240" w:lineRule="auto" w:before="0"/>
        <w:ind w:left="979" w:right="1339" w:firstLine="0"/>
        <w:jc w:val="both"/>
        <w:rPr>
          <w:sz w:val="22"/>
        </w:rPr>
      </w:pPr>
      <w:r>
        <w:rPr>
          <w:b/>
          <w:sz w:val="22"/>
        </w:rPr>
        <w:t>Ley</w:t>
      </w:r>
      <w:r>
        <w:rPr>
          <w:b/>
          <w:spacing w:val="-16"/>
          <w:sz w:val="22"/>
        </w:rPr>
        <w:t> </w:t>
      </w:r>
      <w:r>
        <w:rPr>
          <w:b/>
          <w:sz w:val="22"/>
        </w:rPr>
        <w:t>de</w:t>
      </w:r>
      <w:r>
        <w:rPr>
          <w:b/>
          <w:spacing w:val="-15"/>
          <w:sz w:val="22"/>
        </w:rPr>
        <w:t> </w:t>
      </w:r>
      <w:r>
        <w:rPr>
          <w:b/>
          <w:sz w:val="22"/>
        </w:rPr>
        <w:t>la</w:t>
      </w:r>
      <w:r>
        <w:rPr>
          <w:b/>
          <w:spacing w:val="-15"/>
          <w:sz w:val="22"/>
        </w:rPr>
        <w:t> </w:t>
      </w:r>
      <w:r>
        <w:rPr>
          <w:b/>
          <w:sz w:val="22"/>
        </w:rPr>
        <w:t>Administración</w:t>
      </w:r>
      <w:r>
        <w:rPr>
          <w:b/>
          <w:spacing w:val="-16"/>
          <w:sz w:val="22"/>
        </w:rPr>
        <w:t> </w:t>
      </w:r>
      <w:r>
        <w:rPr>
          <w:b/>
          <w:sz w:val="22"/>
        </w:rPr>
        <w:t>Financiera</w:t>
      </w:r>
      <w:r>
        <w:rPr>
          <w:b/>
          <w:spacing w:val="-15"/>
          <w:sz w:val="22"/>
        </w:rPr>
        <w:t> </w:t>
      </w:r>
      <w:r>
        <w:rPr>
          <w:b/>
          <w:sz w:val="22"/>
        </w:rPr>
        <w:t>de</w:t>
      </w:r>
      <w:r>
        <w:rPr>
          <w:b/>
          <w:spacing w:val="-15"/>
          <w:sz w:val="22"/>
        </w:rPr>
        <w:t> </w:t>
      </w:r>
      <w:r>
        <w:rPr>
          <w:b/>
          <w:sz w:val="22"/>
        </w:rPr>
        <w:t>la</w:t>
      </w:r>
      <w:r>
        <w:rPr>
          <w:b/>
          <w:spacing w:val="-15"/>
          <w:sz w:val="22"/>
        </w:rPr>
        <w:t> </w:t>
      </w:r>
      <w:r>
        <w:rPr>
          <w:b/>
          <w:sz w:val="22"/>
        </w:rPr>
        <w:t>República</w:t>
      </w:r>
      <w:r>
        <w:rPr>
          <w:b/>
          <w:spacing w:val="-16"/>
          <w:sz w:val="22"/>
        </w:rPr>
        <w:t> </w:t>
      </w:r>
      <w:r>
        <w:rPr>
          <w:b/>
          <w:sz w:val="22"/>
        </w:rPr>
        <w:t>y</w:t>
      </w:r>
      <w:r>
        <w:rPr>
          <w:b/>
          <w:spacing w:val="-15"/>
          <w:sz w:val="22"/>
        </w:rPr>
        <w:t> </w:t>
      </w:r>
      <w:r>
        <w:rPr>
          <w:b/>
          <w:sz w:val="22"/>
        </w:rPr>
        <w:t>Presupuestos</w:t>
      </w:r>
      <w:r>
        <w:rPr>
          <w:b/>
          <w:spacing w:val="-15"/>
          <w:sz w:val="22"/>
        </w:rPr>
        <w:t> </w:t>
      </w:r>
      <w:r>
        <w:rPr>
          <w:b/>
          <w:sz w:val="22"/>
        </w:rPr>
        <w:t>Públicos</w:t>
      </w:r>
      <w:r>
        <w:rPr>
          <w:sz w:val="22"/>
        </w:rPr>
        <w:t>,</w:t>
      </w:r>
      <w:r>
        <w:rPr>
          <w:spacing w:val="-16"/>
          <w:sz w:val="22"/>
        </w:rPr>
        <w:t> </w:t>
      </w:r>
      <w:r>
        <w:rPr>
          <w:b/>
          <w:sz w:val="22"/>
        </w:rPr>
        <w:t>N</w:t>
      </w:r>
      <w:r>
        <w:rPr>
          <w:b/>
          <w:i/>
          <w:sz w:val="22"/>
        </w:rPr>
        <w:t>°</w:t>
      </w:r>
      <w:r>
        <w:rPr>
          <w:b/>
          <w:sz w:val="22"/>
        </w:rPr>
        <w:t>8131 y sus reformas. </w:t>
      </w:r>
      <w:r>
        <w:rPr>
          <w:sz w:val="22"/>
        </w:rPr>
        <w:t>Regula el régimen económico-financiero de los órganos y entes administradores o custodios de los fondos públicos. Fecha de vigencia16/10/2001.</w:t>
      </w:r>
    </w:p>
    <w:p>
      <w:pPr>
        <w:spacing w:line="240" w:lineRule="auto" w:before="249"/>
        <w:ind w:left="979" w:right="1345" w:firstLine="0"/>
        <w:jc w:val="both"/>
        <w:rPr>
          <w:sz w:val="22"/>
        </w:rPr>
      </w:pPr>
      <w:r>
        <w:rPr>
          <w:b/>
          <w:sz w:val="22"/>
        </w:rPr>
        <w:t>Ley de protección al ciudadano del exceso de requisitos y trámites administrativos, N°8220 y sus reformas</w:t>
      </w:r>
      <w:r>
        <w:rPr>
          <w:sz w:val="22"/>
        </w:rPr>
        <w:t>. Procura evitar que el administrado deba presentar documentos duplicados, con los que ya cuente la institución solicitante, Atañe a toda la Administración Pública. Fecha de vigencia 11/03/2002.</w:t>
      </w:r>
    </w:p>
    <w:p>
      <w:pPr>
        <w:pStyle w:val="BodyText"/>
        <w:spacing w:before="3"/>
      </w:pPr>
    </w:p>
    <w:p>
      <w:pPr>
        <w:pStyle w:val="BodyText"/>
        <w:ind w:left="979" w:right="1342"/>
        <w:jc w:val="both"/>
      </w:pPr>
      <w:r>
        <w:rPr>
          <w:b/>
        </w:rPr>
        <w:t>Ley General de Control Interno</w:t>
      </w:r>
      <w:r>
        <w:rPr/>
        <w:t>, </w:t>
      </w:r>
      <w:r>
        <w:rPr>
          <w:b/>
        </w:rPr>
        <w:t>N°8292</w:t>
      </w:r>
      <w:r>
        <w:rPr/>
        <w:t>. Establece los criterios mínimos que deben observar la Contraloría General de la República y los entes u órganos sujetos a su fiscalización, en el establecimiento, funcionamiento, mantenimiento, perfeccionamiento y evaluación de sus sistemas de control interno. Fecha de vigencia 04/09/2002.</w:t>
      </w:r>
    </w:p>
    <w:p>
      <w:pPr>
        <w:pStyle w:val="BodyText"/>
        <w:spacing w:before="251"/>
        <w:ind w:left="979" w:right="1341"/>
        <w:jc w:val="both"/>
      </w:pPr>
      <w:r>
        <w:rPr>
          <w:b/>
        </w:rPr>
        <w:t>Ley</w:t>
      </w:r>
      <w:r>
        <w:rPr>
          <w:b/>
          <w:spacing w:val="-10"/>
        </w:rPr>
        <w:t> </w:t>
      </w:r>
      <w:r>
        <w:rPr>
          <w:b/>
        </w:rPr>
        <w:t>Contingencia</w:t>
      </w:r>
      <w:r>
        <w:rPr>
          <w:b/>
          <w:spacing w:val="-5"/>
        </w:rPr>
        <w:t> </w:t>
      </w:r>
      <w:r>
        <w:rPr>
          <w:b/>
        </w:rPr>
        <w:t>Fiscal,</w:t>
      </w:r>
      <w:r>
        <w:rPr>
          <w:b/>
          <w:spacing w:val="-6"/>
        </w:rPr>
        <w:t> </w:t>
      </w:r>
      <w:r>
        <w:rPr>
          <w:b/>
        </w:rPr>
        <w:t>N°8343y</w:t>
      </w:r>
      <w:r>
        <w:rPr>
          <w:b/>
          <w:spacing w:val="-10"/>
        </w:rPr>
        <w:t> </w:t>
      </w:r>
      <w:r>
        <w:rPr>
          <w:b/>
        </w:rPr>
        <w:t>sus</w:t>
      </w:r>
      <w:r>
        <w:rPr>
          <w:b/>
          <w:spacing w:val="-10"/>
        </w:rPr>
        <w:t> </w:t>
      </w:r>
      <w:r>
        <w:rPr>
          <w:b/>
        </w:rPr>
        <w:t>reformas.</w:t>
      </w:r>
      <w:r>
        <w:rPr>
          <w:b/>
          <w:spacing w:val="-4"/>
        </w:rPr>
        <w:t> </w:t>
      </w:r>
      <w:r>
        <w:rPr/>
        <w:t>Racionaliza</w:t>
      </w:r>
      <w:r>
        <w:rPr>
          <w:spacing w:val="-10"/>
        </w:rPr>
        <w:t> </w:t>
      </w:r>
      <w:r>
        <w:rPr/>
        <w:t>el</w:t>
      </w:r>
      <w:r>
        <w:rPr>
          <w:spacing w:val="-13"/>
        </w:rPr>
        <w:t> </w:t>
      </w:r>
      <w:r>
        <w:rPr/>
        <w:t>gasto</w:t>
      </w:r>
      <w:r>
        <w:rPr>
          <w:spacing w:val="-10"/>
        </w:rPr>
        <w:t> </w:t>
      </w:r>
      <w:r>
        <w:rPr/>
        <w:t>público,</w:t>
      </w:r>
      <w:r>
        <w:rPr>
          <w:spacing w:val="-11"/>
        </w:rPr>
        <w:t> </w:t>
      </w:r>
      <w:r>
        <w:rPr/>
        <w:t>mejorar</w:t>
      </w:r>
      <w:r>
        <w:rPr>
          <w:spacing w:val="-9"/>
        </w:rPr>
        <w:t> </w:t>
      </w:r>
      <w:r>
        <w:rPr/>
        <w:t>la eficiencia en la recaudación tributaria, así como generar nuevos ingresos en el marco de un</w:t>
      </w:r>
      <w:r>
        <w:rPr>
          <w:spacing w:val="-4"/>
        </w:rPr>
        <w:t> </w:t>
      </w:r>
      <w:r>
        <w:rPr/>
        <w:t>pacto</w:t>
      </w:r>
      <w:r>
        <w:rPr>
          <w:spacing w:val="-4"/>
        </w:rPr>
        <w:t> </w:t>
      </w:r>
      <w:r>
        <w:rPr/>
        <w:t>social. Impuesto</w:t>
      </w:r>
      <w:r>
        <w:rPr>
          <w:spacing w:val="-4"/>
        </w:rPr>
        <w:t> </w:t>
      </w:r>
      <w:r>
        <w:rPr/>
        <w:t>a los</w:t>
      </w:r>
      <w:r>
        <w:rPr>
          <w:spacing w:val="-6"/>
        </w:rPr>
        <w:t> </w:t>
      </w:r>
      <w:r>
        <w:rPr/>
        <w:t>moteles</w:t>
      </w:r>
      <w:r>
        <w:rPr>
          <w:spacing w:val="-1"/>
        </w:rPr>
        <w:t> </w:t>
      </w:r>
      <w:r>
        <w:rPr/>
        <w:t>destinado</w:t>
      </w:r>
      <w:r>
        <w:rPr>
          <w:spacing w:val="-4"/>
        </w:rPr>
        <w:t> </w:t>
      </w:r>
      <w:r>
        <w:rPr/>
        <w:t>al</w:t>
      </w:r>
      <w:r>
        <w:rPr>
          <w:spacing w:val="-2"/>
        </w:rPr>
        <w:t> </w:t>
      </w:r>
      <w:r>
        <w:rPr/>
        <w:t>IMAS. Fecha</w:t>
      </w:r>
      <w:r>
        <w:rPr>
          <w:spacing w:val="-4"/>
        </w:rPr>
        <w:t> </w:t>
      </w:r>
      <w:r>
        <w:rPr/>
        <w:t>de</w:t>
      </w:r>
      <w:r>
        <w:rPr>
          <w:spacing w:val="-4"/>
        </w:rPr>
        <w:t> </w:t>
      </w:r>
      <w:r>
        <w:rPr/>
        <w:t>vigencia</w:t>
      </w:r>
      <w:r>
        <w:rPr>
          <w:spacing w:val="-4"/>
        </w:rPr>
        <w:t> </w:t>
      </w:r>
      <w:r>
        <w:rPr/>
        <w:t>18/12/2002.</w:t>
      </w:r>
    </w:p>
    <w:p>
      <w:pPr>
        <w:pStyle w:val="BodyText"/>
        <w:spacing w:before="1"/>
      </w:pPr>
    </w:p>
    <w:p>
      <w:pPr>
        <w:spacing w:before="0"/>
        <w:ind w:left="979" w:right="1344" w:firstLine="0"/>
        <w:jc w:val="both"/>
        <w:rPr>
          <w:sz w:val="22"/>
        </w:rPr>
      </w:pPr>
      <w:r>
        <w:rPr>
          <w:b/>
          <w:sz w:val="22"/>
        </w:rPr>
        <w:t>Ley Contra la Corrupción y el Enriquecimiento Ilícito en la Función Pública y sus reformas</w:t>
      </w:r>
      <w:r>
        <w:rPr>
          <w:sz w:val="22"/>
        </w:rPr>
        <w:t>, </w:t>
      </w:r>
      <w:r>
        <w:rPr>
          <w:b/>
          <w:sz w:val="22"/>
        </w:rPr>
        <w:t>N°8422. </w:t>
      </w:r>
      <w:r>
        <w:rPr>
          <w:sz w:val="22"/>
        </w:rPr>
        <w:t>Regula la prevención, detección y sanción de la corrupción en el ejercicio de la función pública. Fecha de vigencia 06/10/2004.</w:t>
      </w:r>
    </w:p>
    <w:p>
      <w:pPr>
        <w:pStyle w:val="BodyText"/>
        <w:spacing w:before="1"/>
      </w:pPr>
    </w:p>
    <w:p>
      <w:pPr>
        <w:pStyle w:val="BodyText"/>
        <w:ind w:left="979" w:right="1340"/>
        <w:jc w:val="both"/>
      </w:pPr>
      <w:r>
        <w:rPr>
          <w:b/>
        </w:rPr>
        <w:t>Ley de Pesca y Acuicultura, N°8436 y sus reformas</w:t>
      </w:r>
      <w:r>
        <w:rPr/>
        <w:t>. Fomenta y regula la actividad pesquera y acuícola en las diferentes etapas, correspondientes a la captura, extracción, procesamiento,</w:t>
      </w:r>
      <w:r>
        <w:rPr>
          <w:spacing w:val="-8"/>
        </w:rPr>
        <w:t> </w:t>
      </w:r>
      <w:r>
        <w:rPr/>
        <w:t>transporte,</w:t>
      </w:r>
      <w:r>
        <w:rPr>
          <w:spacing w:val="-8"/>
        </w:rPr>
        <w:t> </w:t>
      </w:r>
      <w:r>
        <w:rPr/>
        <w:t>comercialización</w:t>
      </w:r>
      <w:r>
        <w:rPr>
          <w:spacing w:val="-7"/>
        </w:rPr>
        <w:t> </w:t>
      </w:r>
      <w:r>
        <w:rPr/>
        <w:t>y</w:t>
      </w:r>
      <w:r>
        <w:rPr>
          <w:spacing w:val="-9"/>
        </w:rPr>
        <w:t> </w:t>
      </w:r>
      <w:r>
        <w:rPr/>
        <w:t>aprovechamiento</w:t>
      </w:r>
      <w:r>
        <w:rPr>
          <w:spacing w:val="-4"/>
        </w:rPr>
        <w:t> </w:t>
      </w:r>
      <w:r>
        <w:rPr/>
        <w:t>sostenible</w:t>
      </w:r>
      <w:r>
        <w:rPr>
          <w:spacing w:val="-7"/>
        </w:rPr>
        <w:t> </w:t>
      </w:r>
      <w:r>
        <w:rPr/>
        <w:t>de</w:t>
      </w:r>
      <w:r>
        <w:rPr>
          <w:spacing w:val="-4"/>
        </w:rPr>
        <w:t> </w:t>
      </w:r>
      <w:r>
        <w:rPr/>
        <w:t>las</w:t>
      </w:r>
      <w:r>
        <w:rPr>
          <w:spacing w:val="-9"/>
        </w:rPr>
        <w:t> </w:t>
      </w:r>
      <w:r>
        <w:rPr/>
        <w:t>especies acuáticas.</w:t>
      </w:r>
      <w:r>
        <w:rPr>
          <w:spacing w:val="-16"/>
        </w:rPr>
        <w:t> </w:t>
      </w:r>
      <w:r>
        <w:rPr/>
        <w:t>El</w:t>
      </w:r>
      <w:r>
        <w:rPr>
          <w:spacing w:val="-14"/>
        </w:rPr>
        <w:t> </w:t>
      </w:r>
      <w:r>
        <w:rPr/>
        <w:t>Poder</w:t>
      </w:r>
      <w:r>
        <w:rPr>
          <w:spacing w:val="-12"/>
        </w:rPr>
        <w:t> </w:t>
      </w:r>
      <w:r>
        <w:rPr/>
        <w:t>Ejecutivo</w:t>
      </w:r>
      <w:r>
        <w:rPr>
          <w:spacing w:val="-14"/>
        </w:rPr>
        <w:t> </w:t>
      </w:r>
      <w:r>
        <w:rPr/>
        <w:t>podrá</w:t>
      </w:r>
      <w:r>
        <w:rPr>
          <w:spacing w:val="-14"/>
        </w:rPr>
        <w:t> </w:t>
      </w:r>
      <w:r>
        <w:rPr/>
        <w:t>autorizar</w:t>
      </w:r>
      <w:r>
        <w:rPr>
          <w:spacing w:val="-12"/>
        </w:rPr>
        <w:t> </w:t>
      </w:r>
      <w:r>
        <w:rPr/>
        <w:t>el</w:t>
      </w:r>
      <w:r>
        <w:rPr>
          <w:spacing w:val="-16"/>
        </w:rPr>
        <w:t> </w:t>
      </w:r>
      <w:r>
        <w:rPr/>
        <w:t>destino</w:t>
      </w:r>
      <w:r>
        <w:rPr>
          <w:spacing w:val="-14"/>
        </w:rPr>
        <w:t> </w:t>
      </w:r>
      <w:r>
        <w:rPr/>
        <w:t>de</w:t>
      </w:r>
      <w:r>
        <w:rPr>
          <w:spacing w:val="-9"/>
        </w:rPr>
        <w:t> </w:t>
      </w:r>
      <w:r>
        <w:rPr/>
        <w:t>fondos</w:t>
      </w:r>
      <w:r>
        <w:rPr>
          <w:spacing w:val="-16"/>
        </w:rPr>
        <w:t> </w:t>
      </w:r>
      <w:r>
        <w:rPr/>
        <w:t>del</w:t>
      </w:r>
      <w:r>
        <w:rPr>
          <w:spacing w:val="-15"/>
        </w:rPr>
        <w:t> </w:t>
      </w:r>
      <w:r>
        <w:rPr/>
        <w:t>presupuesto</w:t>
      </w:r>
      <w:r>
        <w:rPr>
          <w:spacing w:val="-14"/>
        </w:rPr>
        <w:t> </w:t>
      </w:r>
      <w:r>
        <w:rPr/>
        <w:t>Nacional</w:t>
      </w:r>
    </w:p>
    <w:p>
      <w:pPr>
        <w:pStyle w:val="BodyText"/>
        <w:spacing w:after="0"/>
        <w:jc w:val="both"/>
        <w:sectPr>
          <w:pgSz w:w="12240" w:h="15840"/>
          <w:pgMar w:header="0" w:footer="1021" w:top="1340" w:bottom="1220" w:left="720" w:right="360"/>
        </w:sectPr>
      </w:pPr>
    </w:p>
    <w:p>
      <w:pPr>
        <w:pStyle w:val="BodyText"/>
        <w:spacing w:before="76"/>
        <w:ind w:left="979" w:right="1350"/>
        <w:jc w:val="both"/>
      </w:pPr>
      <w:r>
        <w:rPr/>
        <w:t>a favor del IMAS, para desarrollar programas de asistencia socioeconómica a favor de pescadores afectados por veda, así mismo, IMAS integra mesa de trabajo. Fecha de vigencia 25/04/2005.</w:t>
      </w:r>
    </w:p>
    <w:p>
      <w:pPr>
        <w:pStyle w:val="BodyText"/>
        <w:spacing w:before="1"/>
      </w:pPr>
    </w:p>
    <w:p>
      <w:pPr>
        <w:spacing w:line="240" w:lineRule="auto" w:before="1"/>
        <w:ind w:left="979" w:right="1335" w:firstLine="0"/>
        <w:jc w:val="both"/>
        <w:rPr>
          <w:sz w:val="22"/>
        </w:rPr>
      </w:pPr>
      <w:r>
        <w:rPr>
          <w:b/>
          <w:sz w:val="22"/>
        </w:rPr>
        <w:t>Ley de Certificados, Firmas Digitales y Documentos Electrónicos, N°8454</w:t>
      </w:r>
      <w:r>
        <w:rPr>
          <w:sz w:val="22"/>
        </w:rPr>
        <w:t>. </w:t>
      </w:r>
      <w:r>
        <w:rPr>
          <w:b/>
          <w:sz w:val="22"/>
        </w:rPr>
        <w:t>y sus reformas.</w:t>
      </w:r>
      <w:r>
        <w:rPr>
          <w:b/>
          <w:spacing w:val="-4"/>
          <w:sz w:val="22"/>
        </w:rPr>
        <w:t> </w:t>
      </w:r>
      <w:r>
        <w:rPr>
          <w:sz w:val="22"/>
        </w:rPr>
        <w:t>Faculta</w:t>
      </w:r>
      <w:r>
        <w:rPr>
          <w:spacing w:val="-4"/>
          <w:sz w:val="22"/>
        </w:rPr>
        <w:t> </w:t>
      </w:r>
      <w:r>
        <w:rPr>
          <w:sz w:val="22"/>
        </w:rPr>
        <w:t>al</w:t>
      </w:r>
      <w:r>
        <w:rPr>
          <w:spacing w:val="-7"/>
          <w:sz w:val="22"/>
        </w:rPr>
        <w:t> </w:t>
      </w:r>
      <w:r>
        <w:rPr>
          <w:sz w:val="22"/>
        </w:rPr>
        <w:t>Estado</w:t>
      </w:r>
      <w:r>
        <w:rPr>
          <w:spacing w:val="-4"/>
          <w:sz w:val="22"/>
        </w:rPr>
        <w:t> </w:t>
      </w:r>
      <w:r>
        <w:rPr>
          <w:sz w:val="22"/>
        </w:rPr>
        <w:t>y</w:t>
      </w:r>
      <w:r>
        <w:rPr>
          <w:spacing w:val="-6"/>
          <w:sz w:val="22"/>
        </w:rPr>
        <w:t> </w:t>
      </w:r>
      <w:r>
        <w:rPr>
          <w:sz w:val="22"/>
        </w:rPr>
        <w:t>todas</w:t>
      </w:r>
      <w:r>
        <w:rPr>
          <w:spacing w:val="-6"/>
          <w:sz w:val="22"/>
        </w:rPr>
        <w:t> </w:t>
      </w:r>
      <w:r>
        <w:rPr>
          <w:sz w:val="22"/>
        </w:rPr>
        <w:t>las</w:t>
      </w:r>
      <w:r>
        <w:rPr>
          <w:spacing w:val="-11"/>
          <w:sz w:val="22"/>
        </w:rPr>
        <w:t> </w:t>
      </w:r>
      <w:r>
        <w:rPr>
          <w:sz w:val="22"/>
        </w:rPr>
        <w:t>entidades</w:t>
      </w:r>
      <w:r>
        <w:rPr>
          <w:spacing w:val="-11"/>
          <w:sz w:val="22"/>
        </w:rPr>
        <w:t> </w:t>
      </w:r>
      <w:r>
        <w:rPr>
          <w:sz w:val="22"/>
        </w:rPr>
        <w:t>públicas</w:t>
      </w:r>
      <w:r>
        <w:rPr>
          <w:spacing w:val="-6"/>
          <w:sz w:val="22"/>
        </w:rPr>
        <w:t> </w:t>
      </w:r>
      <w:r>
        <w:rPr>
          <w:sz w:val="22"/>
        </w:rPr>
        <w:t>para</w:t>
      </w:r>
      <w:r>
        <w:rPr>
          <w:spacing w:val="-4"/>
          <w:sz w:val="22"/>
        </w:rPr>
        <w:t> </w:t>
      </w:r>
      <w:r>
        <w:rPr>
          <w:sz w:val="22"/>
        </w:rPr>
        <w:t>utilizar</w:t>
      </w:r>
      <w:r>
        <w:rPr>
          <w:spacing w:val="-8"/>
          <w:sz w:val="22"/>
        </w:rPr>
        <w:t> </w:t>
      </w:r>
      <w:r>
        <w:rPr>
          <w:sz w:val="22"/>
        </w:rPr>
        <w:t>los</w:t>
      </w:r>
      <w:r>
        <w:rPr>
          <w:spacing w:val="-6"/>
          <w:sz w:val="22"/>
        </w:rPr>
        <w:t> </w:t>
      </w:r>
      <w:r>
        <w:rPr>
          <w:sz w:val="22"/>
        </w:rPr>
        <w:t>certificados,</w:t>
      </w:r>
      <w:r>
        <w:rPr>
          <w:spacing w:val="-5"/>
          <w:sz w:val="22"/>
        </w:rPr>
        <w:t> </w:t>
      </w:r>
      <w:r>
        <w:rPr>
          <w:sz w:val="22"/>
        </w:rPr>
        <w:t>las firmas digitales y los documentos electrónicos, dentro de sus respectivos ámbitos de competencia. Fecha de vigencia 13/10/2005.</w:t>
      </w:r>
    </w:p>
    <w:p>
      <w:pPr>
        <w:pStyle w:val="BodyText"/>
        <w:spacing w:before="250"/>
        <w:ind w:left="979" w:right="1336"/>
        <w:jc w:val="both"/>
      </w:pPr>
      <w:r>
        <w:rPr>
          <w:b/>
        </w:rPr>
        <w:t>Ley</w:t>
      </w:r>
      <w:r>
        <w:rPr>
          <w:b/>
          <w:spacing w:val="-16"/>
        </w:rPr>
        <w:t> </w:t>
      </w:r>
      <w:r>
        <w:rPr>
          <w:b/>
        </w:rPr>
        <w:t>Nacional</w:t>
      </w:r>
      <w:r>
        <w:rPr>
          <w:b/>
          <w:spacing w:val="-15"/>
        </w:rPr>
        <w:t> </w:t>
      </w:r>
      <w:r>
        <w:rPr>
          <w:b/>
        </w:rPr>
        <w:t>de</w:t>
      </w:r>
      <w:r>
        <w:rPr>
          <w:b/>
          <w:spacing w:val="-15"/>
        </w:rPr>
        <w:t> </w:t>
      </w:r>
      <w:r>
        <w:rPr>
          <w:b/>
        </w:rPr>
        <w:t>Emergencias</w:t>
      </w:r>
      <w:r>
        <w:rPr>
          <w:b/>
          <w:spacing w:val="-10"/>
        </w:rPr>
        <w:t> </w:t>
      </w:r>
      <w:r>
        <w:rPr>
          <w:b/>
        </w:rPr>
        <w:t>y</w:t>
      </w:r>
      <w:r>
        <w:rPr>
          <w:b/>
          <w:spacing w:val="-15"/>
        </w:rPr>
        <w:t> </w:t>
      </w:r>
      <w:r>
        <w:rPr>
          <w:b/>
        </w:rPr>
        <w:t>Prevención</w:t>
      </w:r>
      <w:r>
        <w:rPr>
          <w:b/>
          <w:spacing w:val="-13"/>
        </w:rPr>
        <w:t> </w:t>
      </w:r>
      <w:r>
        <w:rPr>
          <w:b/>
        </w:rPr>
        <w:t>del</w:t>
      </w:r>
      <w:r>
        <w:rPr>
          <w:b/>
          <w:spacing w:val="-16"/>
        </w:rPr>
        <w:t> </w:t>
      </w:r>
      <w:r>
        <w:rPr>
          <w:b/>
        </w:rPr>
        <w:t>Riesgo</w:t>
      </w:r>
      <w:r>
        <w:rPr/>
        <w:t>,</w:t>
      </w:r>
      <w:r>
        <w:rPr>
          <w:spacing w:val="-15"/>
        </w:rPr>
        <w:t> </w:t>
      </w:r>
      <w:r>
        <w:rPr>
          <w:b/>
        </w:rPr>
        <w:t>N°8488y</w:t>
      </w:r>
      <w:r>
        <w:rPr>
          <w:b/>
          <w:spacing w:val="-14"/>
        </w:rPr>
        <w:t> </w:t>
      </w:r>
      <w:r>
        <w:rPr>
          <w:b/>
        </w:rPr>
        <w:t>sus</w:t>
      </w:r>
      <w:r>
        <w:rPr>
          <w:b/>
          <w:spacing w:val="-10"/>
        </w:rPr>
        <w:t> </w:t>
      </w:r>
      <w:r>
        <w:rPr>
          <w:b/>
        </w:rPr>
        <w:t>reformas.</w:t>
      </w:r>
      <w:r>
        <w:rPr>
          <w:b/>
          <w:spacing w:val="-14"/>
        </w:rPr>
        <w:t> </w:t>
      </w:r>
      <w:r>
        <w:rPr/>
        <w:t>Regula las</w:t>
      </w:r>
      <w:r>
        <w:rPr>
          <w:spacing w:val="-16"/>
        </w:rPr>
        <w:t> </w:t>
      </w:r>
      <w:r>
        <w:rPr/>
        <w:t>acciones</w:t>
      </w:r>
      <w:r>
        <w:rPr>
          <w:spacing w:val="-15"/>
        </w:rPr>
        <w:t> </w:t>
      </w:r>
      <w:r>
        <w:rPr/>
        <w:t>ordinarias</w:t>
      </w:r>
      <w:r>
        <w:rPr>
          <w:spacing w:val="-15"/>
        </w:rPr>
        <w:t> </w:t>
      </w:r>
      <w:r>
        <w:rPr/>
        <w:t>para</w:t>
      </w:r>
      <w:r>
        <w:rPr>
          <w:spacing w:val="-16"/>
        </w:rPr>
        <w:t> </w:t>
      </w:r>
      <w:r>
        <w:rPr/>
        <w:t>reducir</w:t>
      </w:r>
      <w:r>
        <w:rPr>
          <w:spacing w:val="-15"/>
        </w:rPr>
        <w:t> </w:t>
      </w:r>
      <w:r>
        <w:rPr/>
        <w:t>las</w:t>
      </w:r>
      <w:r>
        <w:rPr>
          <w:spacing w:val="-15"/>
        </w:rPr>
        <w:t> </w:t>
      </w:r>
      <w:r>
        <w:rPr/>
        <w:t>causas</w:t>
      </w:r>
      <w:r>
        <w:rPr>
          <w:spacing w:val="-15"/>
        </w:rPr>
        <w:t> </w:t>
      </w:r>
      <w:r>
        <w:rPr/>
        <w:t>de</w:t>
      </w:r>
      <w:r>
        <w:rPr>
          <w:spacing w:val="-16"/>
        </w:rPr>
        <w:t> </w:t>
      </w:r>
      <w:r>
        <w:rPr/>
        <w:t>las</w:t>
      </w:r>
      <w:r>
        <w:rPr>
          <w:spacing w:val="-15"/>
        </w:rPr>
        <w:t> </w:t>
      </w:r>
      <w:r>
        <w:rPr/>
        <w:t>pérdidas</w:t>
      </w:r>
      <w:r>
        <w:rPr>
          <w:spacing w:val="-15"/>
        </w:rPr>
        <w:t> </w:t>
      </w:r>
      <w:r>
        <w:rPr/>
        <w:t>de</w:t>
      </w:r>
      <w:r>
        <w:rPr>
          <w:spacing w:val="-16"/>
        </w:rPr>
        <w:t> </w:t>
      </w:r>
      <w:r>
        <w:rPr/>
        <w:t>vidas</w:t>
      </w:r>
      <w:r>
        <w:rPr>
          <w:spacing w:val="-15"/>
        </w:rPr>
        <w:t> </w:t>
      </w:r>
      <w:r>
        <w:rPr/>
        <w:t>y</w:t>
      </w:r>
      <w:r>
        <w:rPr>
          <w:spacing w:val="-15"/>
        </w:rPr>
        <w:t> </w:t>
      </w:r>
      <w:r>
        <w:rPr/>
        <w:t>las</w:t>
      </w:r>
      <w:r>
        <w:rPr>
          <w:spacing w:val="-15"/>
        </w:rPr>
        <w:t> </w:t>
      </w:r>
      <w:r>
        <w:rPr/>
        <w:t>consecuencias sociales, económicas</w:t>
      </w:r>
      <w:r>
        <w:rPr>
          <w:spacing w:val="-2"/>
        </w:rPr>
        <w:t> </w:t>
      </w:r>
      <w:r>
        <w:rPr/>
        <w:t>y</w:t>
      </w:r>
      <w:r>
        <w:rPr>
          <w:spacing w:val="-1"/>
        </w:rPr>
        <w:t> </w:t>
      </w:r>
      <w:r>
        <w:rPr/>
        <w:t>ambientales, inducidas</w:t>
      </w:r>
      <w:r>
        <w:rPr>
          <w:spacing w:val="-1"/>
        </w:rPr>
        <w:t> </w:t>
      </w:r>
      <w:r>
        <w:rPr/>
        <w:t>por los</w:t>
      </w:r>
      <w:r>
        <w:rPr>
          <w:spacing w:val="-2"/>
        </w:rPr>
        <w:t> </w:t>
      </w:r>
      <w:r>
        <w:rPr/>
        <w:t>factores</w:t>
      </w:r>
      <w:r>
        <w:rPr>
          <w:spacing w:val="-1"/>
        </w:rPr>
        <w:t> </w:t>
      </w:r>
      <w:r>
        <w:rPr/>
        <w:t>de riesgo de origen natural y</w:t>
      </w:r>
      <w:r>
        <w:rPr>
          <w:spacing w:val="-1"/>
        </w:rPr>
        <w:t> </w:t>
      </w:r>
      <w:r>
        <w:rPr/>
        <w:t>antrópico, así como la actividad extraordinaria que el</w:t>
      </w:r>
      <w:r>
        <w:rPr>
          <w:spacing w:val="-2"/>
        </w:rPr>
        <w:t> </w:t>
      </w:r>
      <w:r>
        <w:rPr/>
        <w:t>Estado deberá</w:t>
      </w:r>
      <w:r>
        <w:rPr>
          <w:spacing w:val="-4"/>
        </w:rPr>
        <w:t> </w:t>
      </w:r>
      <w:r>
        <w:rPr/>
        <w:t>efectuar</w:t>
      </w:r>
      <w:r>
        <w:rPr>
          <w:spacing w:val="-3"/>
        </w:rPr>
        <w:t> </w:t>
      </w:r>
      <w:r>
        <w:rPr/>
        <w:t>en caso</w:t>
      </w:r>
      <w:r>
        <w:rPr>
          <w:spacing w:val="-4"/>
        </w:rPr>
        <w:t> </w:t>
      </w:r>
      <w:r>
        <w:rPr/>
        <w:t>de estado de emergencia</w:t>
      </w:r>
      <w:r>
        <w:rPr>
          <w:b/>
        </w:rPr>
        <w:t>. </w:t>
      </w:r>
      <w:r>
        <w:rPr/>
        <w:t>IMAS integra la Junta Directiva de la Comisión Nacional de Prevención de Riesgos y Atención de Emergencias. Fecha de vigencia 11/01/2006.</w:t>
      </w:r>
    </w:p>
    <w:p>
      <w:pPr>
        <w:pStyle w:val="BodyText"/>
        <w:spacing w:before="1"/>
      </w:pPr>
    </w:p>
    <w:p>
      <w:pPr>
        <w:spacing w:line="242" w:lineRule="auto" w:before="0"/>
        <w:ind w:left="979" w:right="1339" w:firstLine="0"/>
        <w:jc w:val="both"/>
        <w:rPr>
          <w:sz w:val="22"/>
        </w:rPr>
      </w:pPr>
      <w:r>
        <w:rPr>
          <w:b/>
          <w:sz w:val="22"/>
        </w:rPr>
        <w:t>Ley de Fortalecimiento Financiero del IMAS</w:t>
      </w:r>
      <w:r>
        <w:rPr>
          <w:sz w:val="22"/>
        </w:rPr>
        <w:t>, </w:t>
      </w:r>
      <w:r>
        <w:rPr>
          <w:b/>
          <w:sz w:val="22"/>
        </w:rPr>
        <w:t>N°8563</w:t>
      </w:r>
      <w:r>
        <w:rPr>
          <w:sz w:val="22"/>
        </w:rPr>
        <w:t>. Reforma las leyes N°4760, N°3418, N°5662, N°7742, N°7769, N°7972, N°8114 y N 6256, referentes al accionar del IMAS. Fecha de vigencia 06/02/2007.</w:t>
      </w:r>
    </w:p>
    <w:p>
      <w:pPr>
        <w:pStyle w:val="BodyText"/>
        <w:spacing w:before="247"/>
        <w:ind w:left="979" w:right="1332"/>
        <w:jc w:val="both"/>
      </w:pPr>
      <w:r>
        <w:rPr>
          <w:b/>
        </w:rPr>
        <w:t>Ley</w:t>
      </w:r>
      <w:r>
        <w:rPr>
          <w:b/>
          <w:spacing w:val="-15"/>
        </w:rPr>
        <w:t> </w:t>
      </w:r>
      <w:r>
        <w:rPr>
          <w:b/>
        </w:rPr>
        <w:t>de</w:t>
      </w:r>
      <w:r>
        <w:rPr>
          <w:b/>
          <w:spacing w:val="-11"/>
        </w:rPr>
        <w:t> </w:t>
      </w:r>
      <w:r>
        <w:rPr>
          <w:b/>
        </w:rPr>
        <w:t>Creación</w:t>
      </w:r>
      <w:r>
        <w:rPr>
          <w:b/>
          <w:spacing w:val="-13"/>
        </w:rPr>
        <w:t> </w:t>
      </w:r>
      <w:r>
        <w:rPr>
          <w:b/>
        </w:rPr>
        <w:t>de</w:t>
      </w:r>
      <w:r>
        <w:rPr>
          <w:b/>
          <w:spacing w:val="-15"/>
        </w:rPr>
        <w:t> </w:t>
      </w:r>
      <w:r>
        <w:rPr>
          <w:b/>
        </w:rPr>
        <w:t>Sistema</w:t>
      </w:r>
      <w:r>
        <w:rPr>
          <w:b/>
          <w:spacing w:val="-10"/>
        </w:rPr>
        <w:t> </w:t>
      </w:r>
      <w:r>
        <w:rPr>
          <w:b/>
        </w:rPr>
        <w:t>de</w:t>
      </w:r>
      <w:r>
        <w:rPr>
          <w:b/>
          <w:spacing w:val="-10"/>
        </w:rPr>
        <w:t> </w:t>
      </w:r>
      <w:r>
        <w:rPr>
          <w:b/>
        </w:rPr>
        <w:t>Banca</w:t>
      </w:r>
      <w:r>
        <w:rPr>
          <w:b/>
          <w:spacing w:val="-10"/>
        </w:rPr>
        <w:t> </w:t>
      </w:r>
      <w:r>
        <w:rPr>
          <w:b/>
        </w:rPr>
        <w:t>para</w:t>
      </w:r>
      <w:r>
        <w:rPr>
          <w:b/>
          <w:spacing w:val="-10"/>
        </w:rPr>
        <w:t> </w:t>
      </w:r>
      <w:r>
        <w:rPr>
          <w:b/>
        </w:rPr>
        <w:t>el</w:t>
      </w:r>
      <w:r>
        <w:rPr>
          <w:b/>
          <w:spacing w:val="-16"/>
        </w:rPr>
        <w:t> </w:t>
      </w:r>
      <w:r>
        <w:rPr>
          <w:b/>
        </w:rPr>
        <w:t>Desarrollo,</w:t>
      </w:r>
      <w:r>
        <w:rPr>
          <w:b/>
          <w:spacing w:val="-10"/>
        </w:rPr>
        <w:t> </w:t>
      </w:r>
      <w:r>
        <w:rPr>
          <w:b/>
        </w:rPr>
        <w:t>N°8634</w:t>
      </w:r>
      <w:r>
        <w:rPr>
          <w:b/>
          <w:spacing w:val="-15"/>
        </w:rPr>
        <w:t> </w:t>
      </w:r>
      <w:r>
        <w:rPr>
          <w:b/>
        </w:rPr>
        <w:t>y</w:t>
      </w:r>
      <w:r>
        <w:rPr>
          <w:b/>
          <w:spacing w:val="-15"/>
        </w:rPr>
        <w:t> </w:t>
      </w:r>
      <w:r>
        <w:rPr>
          <w:b/>
        </w:rPr>
        <w:t>sus</w:t>
      </w:r>
      <w:r>
        <w:rPr>
          <w:b/>
          <w:spacing w:val="-15"/>
        </w:rPr>
        <w:t> </w:t>
      </w:r>
      <w:r>
        <w:rPr>
          <w:b/>
        </w:rPr>
        <w:t>reformas. </w:t>
      </w:r>
      <w:r>
        <w:rPr/>
        <w:t>Crea el Sistema de Banca para el Desarrollo, como mecanismo para financiar e impulsar proyectos, viables, acordes con el modelo de desarrollo del país. El IMAS debe incluir, dentro de sus proyectos, apoyo financiero para personas en condiciones de pobreza, que presenten proyectos viables y sostenibles, que permitan la movilidad social y no posean hasta un veinticinco por ciento de garantía o contragarantía, para poder tener acceso al fondo</w:t>
      </w:r>
      <w:r>
        <w:rPr>
          <w:spacing w:val="-3"/>
        </w:rPr>
        <w:t> </w:t>
      </w:r>
      <w:r>
        <w:rPr/>
        <w:t>de avales</w:t>
      </w:r>
      <w:r>
        <w:rPr>
          <w:spacing w:val="-5"/>
        </w:rPr>
        <w:t> </w:t>
      </w:r>
      <w:r>
        <w:rPr/>
        <w:t>del</w:t>
      </w:r>
      <w:r>
        <w:rPr>
          <w:spacing w:val="-6"/>
        </w:rPr>
        <w:t> </w:t>
      </w:r>
      <w:r>
        <w:rPr/>
        <w:t>SBD,</w:t>
      </w:r>
      <w:r>
        <w:rPr>
          <w:spacing w:val="-4"/>
        </w:rPr>
        <w:t> </w:t>
      </w:r>
      <w:r>
        <w:rPr/>
        <w:t>con el</w:t>
      </w:r>
      <w:r>
        <w:rPr>
          <w:spacing w:val="-6"/>
        </w:rPr>
        <w:t> </w:t>
      </w:r>
      <w:r>
        <w:rPr/>
        <w:t>fin</w:t>
      </w:r>
      <w:r>
        <w:rPr>
          <w:spacing w:val="-3"/>
        </w:rPr>
        <w:t> </w:t>
      </w:r>
      <w:r>
        <w:rPr/>
        <w:t>de completar</w:t>
      </w:r>
      <w:r>
        <w:rPr>
          <w:spacing w:val="-2"/>
        </w:rPr>
        <w:t> </w:t>
      </w:r>
      <w:r>
        <w:rPr/>
        <w:t>la garantía del</w:t>
      </w:r>
      <w:r>
        <w:rPr>
          <w:spacing w:val="-1"/>
        </w:rPr>
        <w:t> </w:t>
      </w:r>
      <w:r>
        <w:rPr/>
        <w:t>crédito</w:t>
      </w:r>
      <w:r>
        <w:rPr>
          <w:spacing w:val="-3"/>
        </w:rPr>
        <w:t> </w:t>
      </w:r>
      <w:r>
        <w:rPr/>
        <w:t>que solicita. Fecha de vigencia 23/04/2008.</w:t>
      </w:r>
    </w:p>
    <w:p>
      <w:pPr>
        <w:spacing w:before="252"/>
        <w:ind w:left="979" w:right="1338" w:firstLine="0"/>
        <w:jc w:val="both"/>
        <w:rPr>
          <w:sz w:val="22"/>
        </w:rPr>
      </w:pPr>
      <w:r>
        <w:rPr>
          <w:b/>
          <w:sz w:val="22"/>
        </w:rPr>
        <w:t>Ley de Notificaciones Judiciales</w:t>
      </w:r>
      <w:r>
        <w:rPr>
          <w:sz w:val="22"/>
        </w:rPr>
        <w:t>, </w:t>
      </w:r>
      <w:r>
        <w:rPr>
          <w:b/>
          <w:sz w:val="22"/>
        </w:rPr>
        <w:t>N°8687y sus reformas. </w:t>
      </w:r>
      <w:r>
        <w:rPr>
          <w:sz w:val="22"/>
        </w:rPr>
        <w:t>Regula a las notificaciones judiciales, para que,</w:t>
      </w:r>
      <w:r>
        <w:rPr>
          <w:spacing w:val="-1"/>
          <w:sz w:val="22"/>
        </w:rPr>
        <w:t> </w:t>
      </w:r>
      <w:r>
        <w:rPr>
          <w:sz w:val="22"/>
        </w:rPr>
        <w:t>por medio de la centralización, se logre la especialización funcional y la adecuada división del trabajo administrativo. Fecha de vigencia 01/03/2009.</w:t>
      </w:r>
    </w:p>
    <w:p>
      <w:pPr>
        <w:pStyle w:val="BodyText"/>
        <w:spacing w:before="1"/>
      </w:pPr>
    </w:p>
    <w:p>
      <w:pPr>
        <w:pStyle w:val="BodyText"/>
        <w:ind w:left="979" w:right="1338"/>
        <w:jc w:val="both"/>
      </w:pPr>
      <w:r>
        <w:rPr>
          <w:b/>
        </w:rPr>
        <w:t>Ley General de Migración y Extranjería, N°8764 y sus reformas</w:t>
      </w:r>
      <w:r>
        <w:rPr/>
        <w:t>. Regula el ingreso, la permanencia y el egreso de las personas extranjeras al territorio de la República y los requisitos de egreso para costarricenses. El IMAS remite informes socioeconómicos para planificación de la política migratoria. Fecha de vigencia 01/03/2010.</w:t>
      </w:r>
    </w:p>
    <w:p>
      <w:pPr>
        <w:pStyle w:val="BodyText"/>
        <w:spacing w:before="3"/>
      </w:pPr>
    </w:p>
    <w:p>
      <w:pPr>
        <w:spacing w:line="240" w:lineRule="auto" w:before="0"/>
        <w:ind w:left="979" w:right="1338" w:firstLine="0"/>
        <w:jc w:val="both"/>
        <w:rPr>
          <w:sz w:val="22"/>
        </w:rPr>
      </w:pPr>
      <w:r>
        <w:rPr>
          <w:b/>
          <w:sz w:val="22"/>
        </w:rPr>
        <w:t>Ley para la Gestión Integral de Residuos, N°8839 y sus reformas</w:t>
      </w:r>
      <w:r>
        <w:rPr>
          <w:sz w:val="22"/>
        </w:rPr>
        <w:t>. Regula la gestión integral de residuos y el uso eficiente de los recursos. Autoriza al IMAS a capacitar a gestores de recolección de residuos. Fecha de vigencia 13/07/2010.</w:t>
      </w:r>
    </w:p>
    <w:p>
      <w:pPr>
        <w:pStyle w:val="BodyText"/>
        <w:spacing w:before="249"/>
        <w:ind w:left="979" w:right="1343"/>
        <w:jc w:val="both"/>
      </w:pPr>
      <w:r>
        <w:rPr>
          <w:b/>
        </w:rPr>
        <w:t>Ley</w:t>
      </w:r>
      <w:r>
        <w:rPr>
          <w:b/>
          <w:spacing w:val="-13"/>
        </w:rPr>
        <w:t> </w:t>
      </w:r>
      <w:r>
        <w:rPr>
          <w:b/>
        </w:rPr>
        <w:t>de</w:t>
      </w:r>
      <w:r>
        <w:rPr>
          <w:b/>
          <w:spacing w:val="-9"/>
        </w:rPr>
        <w:t> </w:t>
      </w:r>
      <w:r>
        <w:rPr>
          <w:b/>
        </w:rPr>
        <w:t>Inclusión</w:t>
      </w:r>
      <w:r>
        <w:rPr>
          <w:b/>
          <w:spacing w:val="-11"/>
        </w:rPr>
        <w:t> </w:t>
      </w:r>
      <w:r>
        <w:rPr>
          <w:b/>
        </w:rPr>
        <w:t>y</w:t>
      </w:r>
      <w:r>
        <w:rPr>
          <w:b/>
          <w:spacing w:val="-13"/>
        </w:rPr>
        <w:t> </w:t>
      </w:r>
      <w:r>
        <w:rPr>
          <w:b/>
        </w:rPr>
        <w:t>Protección</w:t>
      </w:r>
      <w:r>
        <w:rPr>
          <w:b/>
          <w:spacing w:val="-11"/>
        </w:rPr>
        <w:t> </w:t>
      </w:r>
      <w:r>
        <w:rPr>
          <w:b/>
        </w:rPr>
        <w:t>Laboral</w:t>
      </w:r>
      <w:r>
        <w:rPr>
          <w:b/>
          <w:spacing w:val="-9"/>
        </w:rPr>
        <w:t> </w:t>
      </w:r>
      <w:r>
        <w:rPr>
          <w:b/>
        </w:rPr>
        <w:t>de</w:t>
      </w:r>
      <w:r>
        <w:rPr>
          <w:b/>
          <w:spacing w:val="-9"/>
        </w:rPr>
        <w:t> </w:t>
      </w:r>
      <w:r>
        <w:rPr>
          <w:b/>
        </w:rPr>
        <w:t>las</w:t>
      </w:r>
      <w:r>
        <w:rPr>
          <w:b/>
          <w:spacing w:val="-13"/>
        </w:rPr>
        <w:t> </w:t>
      </w:r>
      <w:r>
        <w:rPr>
          <w:b/>
        </w:rPr>
        <w:t>Personas</w:t>
      </w:r>
      <w:r>
        <w:rPr>
          <w:b/>
          <w:spacing w:val="-13"/>
        </w:rPr>
        <w:t> </w:t>
      </w:r>
      <w:r>
        <w:rPr>
          <w:b/>
        </w:rPr>
        <w:t>con</w:t>
      </w:r>
      <w:r>
        <w:rPr>
          <w:b/>
          <w:spacing w:val="-11"/>
        </w:rPr>
        <w:t> </w:t>
      </w:r>
      <w:r>
        <w:rPr>
          <w:b/>
        </w:rPr>
        <w:t>Discapacidad</w:t>
      </w:r>
      <w:r>
        <w:rPr>
          <w:b/>
          <w:spacing w:val="-10"/>
        </w:rPr>
        <w:t> </w:t>
      </w:r>
      <w:r>
        <w:rPr>
          <w:b/>
        </w:rPr>
        <w:t>en</w:t>
      </w:r>
      <w:r>
        <w:rPr>
          <w:b/>
          <w:spacing w:val="-15"/>
        </w:rPr>
        <w:t> </w:t>
      </w:r>
      <w:r>
        <w:rPr>
          <w:b/>
        </w:rPr>
        <w:t>el</w:t>
      </w:r>
      <w:r>
        <w:rPr>
          <w:b/>
          <w:spacing w:val="-9"/>
        </w:rPr>
        <w:t> </w:t>
      </w:r>
      <w:r>
        <w:rPr>
          <w:b/>
        </w:rPr>
        <w:t>Sector Público, N° 8862. </w:t>
      </w:r>
      <w:r>
        <w:rPr/>
        <w:t>Establece que, en las ofertas de empleo público de los Poderes del Estado, se reservará cuando menos un porcentaje de un cinco por ciento (5%) de las vacantes, en cada uno de los Poderes, para que sean cubiertas por personas con discapacidad</w:t>
      </w:r>
      <w:r>
        <w:rPr>
          <w:spacing w:val="-10"/>
        </w:rPr>
        <w:t> </w:t>
      </w:r>
      <w:r>
        <w:rPr/>
        <w:t>siempre</w:t>
      </w:r>
      <w:r>
        <w:rPr>
          <w:spacing w:val="-10"/>
        </w:rPr>
        <w:t> </w:t>
      </w:r>
      <w:r>
        <w:rPr/>
        <w:t>que</w:t>
      </w:r>
      <w:r>
        <w:rPr>
          <w:spacing w:val="-10"/>
        </w:rPr>
        <w:t> </w:t>
      </w:r>
      <w:r>
        <w:rPr/>
        <w:t>exista</w:t>
      </w:r>
      <w:r>
        <w:rPr>
          <w:spacing w:val="-10"/>
        </w:rPr>
        <w:t> </w:t>
      </w:r>
      <w:r>
        <w:rPr/>
        <w:t>oferta</w:t>
      </w:r>
      <w:r>
        <w:rPr>
          <w:spacing w:val="-10"/>
        </w:rPr>
        <w:t> </w:t>
      </w:r>
      <w:r>
        <w:rPr/>
        <w:t>de</w:t>
      </w:r>
      <w:r>
        <w:rPr>
          <w:spacing w:val="-10"/>
        </w:rPr>
        <w:t> </w:t>
      </w:r>
      <w:r>
        <w:rPr/>
        <w:t>empleo</w:t>
      </w:r>
      <w:r>
        <w:rPr>
          <w:spacing w:val="-10"/>
        </w:rPr>
        <w:t> </w:t>
      </w:r>
      <w:r>
        <w:rPr/>
        <w:t>y</w:t>
      </w:r>
      <w:r>
        <w:rPr>
          <w:spacing w:val="-7"/>
        </w:rPr>
        <w:t> </w:t>
      </w:r>
      <w:r>
        <w:rPr/>
        <w:t>se</w:t>
      </w:r>
      <w:r>
        <w:rPr>
          <w:spacing w:val="-10"/>
        </w:rPr>
        <w:t> </w:t>
      </w:r>
      <w:r>
        <w:rPr/>
        <w:t>superen</w:t>
      </w:r>
      <w:r>
        <w:rPr>
          <w:spacing w:val="-5"/>
        </w:rPr>
        <w:t> </w:t>
      </w:r>
      <w:r>
        <w:rPr/>
        <w:t>las</w:t>
      </w:r>
      <w:r>
        <w:rPr>
          <w:spacing w:val="-12"/>
        </w:rPr>
        <w:t> </w:t>
      </w:r>
      <w:r>
        <w:rPr/>
        <w:t>pruebas</w:t>
      </w:r>
      <w:r>
        <w:rPr>
          <w:spacing w:val="-12"/>
        </w:rPr>
        <w:t> </w:t>
      </w:r>
      <w:r>
        <w:rPr/>
        <w:t>selectivas</w:t>
      </w:r>
      <w:r>
        <w:rPr>
          <w:spacing w:val="-12"/>
        </w:rPr>
        <w:t> </w:t>
      </w:r>
      <w:r>
        <w:rPr/>
        <w:t>y</w:t>
      </w:r>
      <w:r>
        <w:rPr>
          <w:spacing w:val="-12"/>
        </w:rPr>
        <w:t> </w:t>
      </w:r>
      <w:r>
        <w:rPr/>
        <w:t>de idoneidad,</w:t>
      </w:r>
      <w:r>
        <w:rPr>
          <w:spacing w:val="-15"/>
        </w:rPr>
        <w:t> </w:t>
      </w:r>
      <w:r>
        <w:rPr/>
        <w:t>según</w:t>
      </w:r>
      <w:r>
        <w:rPr>
          <w:spacing w:val="-10"/>
        </w:rPr>
        <w:t> </w:t>
      </w:r>
      <w:r>
        <w:rPr/>
        <w:t>lo</w:t>
      </w:r>
      <w:r>
        <w:rPr>
          <w:spacing w:val="-15"/>
        </w:rPr>
        <w:t> </w:t>
      </w:r>
      <w:r>
        <w:rPr/>
        <w:t>determine</w:t>
      </w:r>
      <w:r>
        <w:rPr>
          <w:spacing w:val="-10"/>
        </w:rPr>
        <w:t> </w:t>
      </w:r>
      <w:r>
        <w:rPr/>
        <w:t>el</w:t>
      </w:r>
      <w:r>
        <w:rPr>
          <w:spacing w:val="-13"/>
        </w:rPr>
        <w:t> </w:t>
      </w:r>
      <w:r>
        <w:rPr/>
        <w:t>régimen</w:t>
      </w:r>
      <w:r>
        <w:rPr>
          <w:spacing w:val="-10"/>
        </w:rPr>
        <w:t> </w:t>
      </w:r>
      <w:r>
        <w:rPr/>
        <w:t>de</w:t>
      </w:r>
      <w:r>
        <w:rPr>
          <w:spacing w:val="-15"/>
        </w:rPr>
        <w:t> </w:t>
      </w:r>
      <w:r>
        <w:rPr/>
        <w:t>personal</w:t>
      </w:r>
      <w:r>
        <w:rPr>
          <w:spacing w:val="-16"/>
        </w:rPr>
        <w:t> </w:t>
      </w:r>
      <w:r>
        <w:rPr/>
        <w:t>de</w:t>
      </w:r>
      <w:r>
        <w:rPr>
          <w:spacing w:val="-10"/>
        </w:rPr>
        <w:t> </w:t>
      </w:r>
      <w:r>
        <w:rPr/>
        <w:t>cada</w:t>
      </w:r>
      <w:r>
        <w:rPr>
          <w:spacing w:val="-10"/>
        </w:rPr>
        <w:t> </w:t>
      </w:r>
      <w:r>
        <w:rPr/>
        <w:t>uno</w:t>
      </w:r>
      <w:r>
        <w:rPr>
          <w:spacing w:val="-10"/>
        </w:rPr>
        <w:t> </w:t>
      </w:r>
      <w:r>
        <w:rPr/>
        <w:t>de</w:t>
      </w:r>
      <w:r>
        <w:rPr>
          <w:spacing w:val="-10"/>
        </w:rPr>
        <w:t> </w:t>
      </w:r>
      <w:r>
        <w:rPr/>
        <w:t>esos</w:t>
      </w:r>
      <w:r>
        <w:rPr>
          <w:spacing w:val="-16"/>
        </w:rPr>
        <w:t> </w:t>
      </w:r>
      <w:r>
        <w:rPr/>
        <w:t>Poderes.</w:t>
      </w:r>
      <w:r>
        <w:rPr>
          <w:spacing w:val="-11"/>
        </w:rPr>
        <w:t> </w:t>
      </w:r>
      <w:r>
        <w:rPr/>
        <w:t>Fecha de vigencia 11/11/2010.</w:t>
      </w:r>
    </w:p>
    <w:p>
      <w:pPr>
        <w:pStyle w:val="BodyText"/>
        <w:spacing w:after="0"/>
        <w:jc w:val="both"/>
        <w:sectPr>
          <w:pgSz w:w="12240" w:h="15840"/>
          <w:pgMar w:header="0" w:footer="1021" w:top="1340" w:bottom="1220" w:left="720" w:right="360"/>
        </w:sectPr>
      </w:pPr>
    </w:p>
    <w:p>
      <w:pPr>
        <w:pStyle w:val="BodyText"/>
        <w:spacing w:before="76"/>
        <w:ind w:left="979" w:right="1332"/>
        <w:jc w:val="both"/>
      </w:pPr>
      <w:r>
        <w:rPr>
          <w:b/>
        </w:rPr>
        <w:t>Ley</w:t>
      </w:r>
      <w:r>
        <w:rPr>
          <w:b/>
          <w:spacing w:val="-16"/>
        </w:rPr>
        <w:t> </w:t>
      </w:r>
      <w:r>
        <w:rPr>
          <w:b/>
        </w:rPr>
        <w:t>de</w:t>
      </w:r>
      <w:r>
        <w:rPr>
          <w:b/>
          <w:spacing w:val="-15"/>
        </w:rPr>
        <w:t> </w:t>
      </w:r>
      <w:r>
        <w:rPr>
          <w:b/>
        </w:rPr>
        <w:t>Protección</w:t>
      </w:r>
      <w:r>
        <w:rPr>
          <w:b/>
          <w:spacing w:val="-15"/>
        </w:rPr>
        <w:t> </w:t>
      </w:r>
      <w:r>
        <w:rPr>
          <w:b/>
        </w:rPr>
        <w:t>a</w:t>
      </w:r>
      <w:r>
        <w:rPr>
          <w:b/>
          <w:spacing w:val="-16"/>
        </w:rPr>
        <w:t> </w:t>
      </w:r>
      <w:r>
        <w:rPr>
          <w:b/>
        </w:rPr>
        <w:t>la</w:t>
      </w:r>
      <w:r>
        <w:rPr>
          <w:b/>
          <w:spacing w:val="-15"/>
        </w:rPr>
        <w:t> </w:t>
      </w:r>
      <w:r>
        <w:rPr>
          <w:b/>
        </w:rPr>
        <w:t>Persona</w:t>
      </w:r>
      <w:r>
        <w:rPr>
          <w:b/>
          <w:spacing w:val="-15"/>
        </w:rPr>
        <w:t> </w:t>
      </w:r>
      <w:r>
        <w:rPr>
          <w:b/>
        </w:rPr>
        <w:t>frente</w:t>
      </w:r>
      <w:r>
        <w:rPr>
          <w:b/>
          <w:spacing w:val="-15"/>
        </w:rPr>
        <w:t> </w:t>
      </w:r>
      <w:r>
        <w:rPr>
          <w:b/>
        </w:rPr>
        <w:t>al</w:t>
      </w:r>
      <w:r>
        <w:rPr>
          <w:b/>
          <w:spacing w:val="-16"/>
        </w:rPr>
        <w:t> </w:t>
      </w:r>
      <w:r>
        <w:rPr>
          <w:b/>
        </w:rPr>
        <w:t>tratamiento</w:t>
      </w:r>
      <w:r>
        <w:rPr>
          <w:b/>
          <w:spacing w:val="-15"/>
        </w:rPr>
        <w:t> </w:t>
      </w:r>
      <w:r>
        <w:rPr>
          <w:b/>
        </w:rPr>
        <w:t>de</w:t>
      </w:r>
      <w:r>
        <w:rPr>
          <w:b/>
          <w:spacing w:val="-15"/>
        </w:rPr>
        <w:t> </w:t>
      </w:r>
      <w:r>
        <w:rPr>
          <w:b/>
        </w:rPr>
        <w:t>sus</w:t>
      </w:r>
      <w:r>
        <w:rPr>
          <w:b/>
          <w:spacing w:val="-16"/>
        </w:rPr>
        <w:t> </w:t>
      </w:r>
      <w:r>
        <w:rPr>
          <w:b/>
        </w:rPr>
        <w:t>datos</w:t>
      </w:r>
      <w:r>
        <w:rPr>
          <w:b/>
          <w:spacing w:val="-15"/>
        </w:rPr>
        <w:t> </w:t>
      </w:r>
      <w:r>
        <w:rPr>
          <w:b/>
        </w:rPr>
        <w:t>personales,</w:t>
      </w:r>
      <w:r>
        <w:rPr>
          <w:b/>
          <w:spacing w:val="-15"/>
        </w:rPr>
        <w:t> </w:t>
      </w:r>
      <w:r>
        <w:rPr>
          <w:b/>
        </w:rPr>
        <w:t>N°</w:t>
      </w:r>
      <w:r>
        <w:rPr>
          <w:b/>
          <w:spacing w:val="-15"/>
        </w:rPr>
        <w:t> </w:t>
      </w:r>
      <w:r>
        <w:rPr>
          <w:b/>
        </w:rPr>
        <w:t>8968. </w:t>
      </w:r>
      <w:r>
        <w:rPr/>
        <w:t>Garantiza a cualquier persona el respeto a sus derechos fundamentales, concretamente, su</w:t>
      </w:r>
      <w:r>
        <w:rPr>
          <w:spacing w:val="-4"/>
        </w:rPr>
        <w:t> </w:t>
      </w:r>
      <w:r>
        <w:rPr/>
        <w:t>derecho</w:t>
      </w:r>
      <w:r>
        <w:rPr>
          <w:spacing w:val="-9"/>
        </w:rPr>
        <w:t> </w:t>
      </w:r>
      <w:r>
        <w:rPr/>
        <w:t>a</w:t>
      </w:r>
      <w:r>
        <w:rPr>
          <w:spacing w:val="-4"/>
        </w:rPr>
        <w:t> </w:t>
      </w:r>
      <w:r>
        <w:rPr/>
        <w:t>la</w:t>
      </w:r>
      <w:r>
        <w:rPr>
          <w:spacing w:val="-9"/>
        </w:rPr>
        <w:t> </w:t>
      </w:r>
      <w:r>
        <w:rPr/>
        <w:t>autodeterminación</w:t>
      </w:r>
      <w:r>
        <w:rPr>
          <w:spacing w:val="-4"/>
        </w:rPr>
        <w:t> </w:t>
      </w:r>
      <w:r>
        <w:rPr/>
        <w:t>informativa</w:t>
      </w:r>
      <w:r>
        <w:rPr>
          <w:spacing w:val="-9"/>
        </w:rPr>
        <w:t> </w:t>
      </w:r>
      <w:r>
        <w:rPr/>
        <w:t>en</w:t>
      </w:r>
      <w:r>
        <w:rPr>
          <w:spacing w:val="-9"/>
        </w:rPr>
        <w:t> </w:t>
      </w:r>
      <w:r>
        <w:rPr/>
        <w:t>relación</w:t>
      </w:r>
      <w:r>
        <w:rPr>
          <w:spacing w:val="-4"/>
        </w:rPr>
        <w:t> </w:t>
      </w:r>
      <w:r>
        <w:rPr/>
        <w:t>con</w:t>
      </w:r>
      <w:r>
        <w:rPr>
          <w:spacing w:val="-4"/>
        </w:rPr>
        <w:t> </w:t>
      </w:r>
      <w:r>
        <w:rPr/>
        <w:t>su</w:t>
      </w:r>
      <w:r>
        <w:rPr>
          <w:spacing w:val="-4"/>
        </w:rPr>
        <w:t> </w:t>
      </w:r>
      <w:r>
        <w:rPr/>
        <w:t>vida</w:t>
      </w:r>
      <w:r>
        <w:rPr>
          <w:spacing w:val="-9"/>
        </w:rPr>
        <w:t> </w:t>
      </w:r>
      <w:r>
        <w:rPr/>
        <w:t>o</w:t>
      </w:r>
      <w:r>
        <w:rPr>
          <w:spacing w:val="-4"/>
        </w:rPr>
        <w:t> </w:t>
      </w:r>
      <w:r>
        <w:rPr/>
        <w:t>actividad</w:t>
      </w:r>
      <w:r>
        <w:rPr>
          <w:spacing w:val="-9"/>
        </w:rPr>
        <w:t> </w:t>
      </w:r>
      <w:r>
        <w:rPr/>
        <w:t>privada</w:t>
      </w:r>
      <w:r>
        <w:rPr>
          <w:spacing w:val="-4"/>
        </w:rPr>
        <w:t> </w:t>
      </w:r>
      <w:r>
        <w:rPr/>
        <w:t>y demás derechos de la personalidad, así como la defensa de su libertad e igualdad con respecto</w:t>
      </w:r>
      <w:r>
        <w:rPr>
          <w:spacing w:val="-8"/>
        </w:rPr>
        <w:t> </w:t>
      </w:r>
      <w:r>
        <w:rPr/>
        <w:t>al</w:t>
      </w:r>
      <w:r>
        <w:rPr>
          <w:spacing w:val="-11"/>
        </w:rPr>
        <w:t> </w:t>
      </w:r>
      <w:r>
        <w:rPr/>
        <w:t>tratamiento</w:t>
      </w:r>
      <w:r>
        <w:rPr>
          <w:spacing w:val="-8"/>
        </w:rPr>
        <w:t> </w:t>
      </w:r>
      <w:r>
        <w:rPr/>
        <w:t>automatizado</w:t>
      </w:r>
      <w:r>
        <w:rPr>
          <w:spacing w:val="-8"/>
        </w:rPr>
        <w:t> </w:t>
      </w:r>
      <w:r>
        <w:rPr/>
        <w:t>o</w:t>
      </w:r>
      <w:r>
        <w:rPr>
          <w:spacing w:val="-13"/>
        </w:rPr>
        <w:t> </w:t>
      </w:r>
      <w:r>
        <w:rPr/>
        <w:t>manual</w:t>
      </w:r>
      <w:r>
        <w:rPr>
          <w:spacing w:val="-11"/>
        </w:rPr>
        <w:t> </w:t>
      </w:r>
      <w:r>
        <w:rPr/>
        <w:t>de</w:t>
      </w:r>
      <w:r>
        <w:rPr>
          <w:spacing w:val="-13"/>
        </w:rPr>
        <w:t> </w:t>
      </w:r>
      <w:r>
        <w:rPr/>
        <w:t>los</w:t>
      </w:r>
      <w:r>
        <w:rPr>
          <w:spacing w:val="-10"/>
        </w:rPr>
        <w:t> </w:t>
      </w:r>
      <w:r>
        <w:rPr/>
        <w:t>datos</w:t>
      </w:r>
      <w:r>
        <w:rPr>
          <w:spacing w:val="-10"/>
        </w:rPr>
        <w:t> </w:t>
      </w:r>
      <w:r>
        <w:rPr/>
        <w:t>correspondientes</w:t>
      </w:r>
      <w:r>
        <w:rPr>
          <w:spacing w:val="-10"/>
        </w:rPr>
        <w:t> </w:t>
      </w:r>
      <w:r>
        <w:rPr/>
        <w:t>a</w:t>
      </w:r>
      <w:r>
        <w:rPr>
          <w:spacing w:val="-8"/>
        </w:rPr>
        <w:t> </w:t>
      </w:r>
      <w:r>
        <w:rPr/>
        <w:t>su</w:t>
      </w:r>
      <w:r>
        <w:rPr>
          <w:spacing w:val="-8"/>
        </w:rPr>
        <w:t> </w:t>
      </w:r>
      <w:r>
        <w:rPr/>
        <w:t>persona o bienes. Atañe a todo el sector público, en cuanto a la necesidad de implementar procedimientos para el adecuado manejo de los datos personales. Fecha de vigencia </w:t>
      </w:r>
      <w:r>
        <w:rPr>
          <w:spacing w:val="-2"/>
        </w:rPr>
        <w:t>05/09/2011.</w:t>
      </w:r>
    </w:p>
    <w:p>
      <w:pPr>
        <w:spacing w:line="240" w:lineRule="auto" w:before="252"/>
        <w:ind w:left="979" w:right="1338" w:firstLine="0"/>
        <w:jc w:val="both"/>
        <w:rPr>
          <w:sz w:val="22"/>
        </w:rPr>
      </w:pPr>
      <w:r>
        <w:rPr>
          <w:b/>
          <w:sz w:val="22"/>
        </w:rPr>
        <w:t>Ley de Regulación del Derecho de Petición</w:t>
      </w:r>
      <w:r>
        <w:rPr>
          <w:sz w:val="22"/>
        </w:rPr>
        <w:t>, </w:t>
      </w:r>
      <w:r>
        <w:rPr>
          <w:b/>
          <w:sz w:val="22"/>
        </w:rPr>
        <w:t>N°9097</w:t>
      </w:r>
      <w:r>
        <w:rPr>
          <w:sz w:val="22"/>
        </w:rPr>
        <w:t>. Ejercer el</w:t>
      </w:r>
      <w:r>
        <w:rPr>
          <w:spacing w:val="-2"/>
          <w:sz w:val="22"/>
        </w:rPr>
        <w:t> </w:t>
      </w:r>
      <w:r>
        <w:rPr>
          <w:sz w:val="22"/>
        </w:rPr>
        <w:t>derecho de petición por parte de todo ciudadano, sin que pueda derivarse ningún perjuicio o sanción para el peticionario. </w:t>
      </w:r>
      <w:r>
        <w:rPr>
          <w:b/>
          <w:sz w:val="22"/>
        </w:rPr>
        <w:t>IMAS como receptor de peticiones del administrado</w:t>
      </w:r>
      <w:r>
        <w:rPr>
          <w:sz w:val="22"/>
        </w:rPr>
        <w:t>. Fecha de vigencia </w:t>
      </w:r>
      <w:r>
        <w:rPr>
          <w:spacing w:val="-2"/>
          <w:sz w:val="22"/>
        </w:rPr>
        <w:t>24/03/2012.</w:t>
      </w:r>
    </w:p>
    <w:p>
      <w:pPr>
        <w:pStyle w:val="BodyText"/>
        <w:spacing w:before="3"/>
      </w:pPr>
    </w:p>
    <w:p>
      <w:pPr>
        <w:spacing w:line="240" w:lineRule="auto" w:before="0"/>
        <w:ind w:left="979" w:right="1333" w:firstLine="0"/>
        <w:jc w:val="both"/>
        <w:rPr>
          <w:sz w:val="22"/>
        </w:rPr>
      </w:pPr>
      <w:r>
        <w:rPr>
          <w:b/>
          <w:sz w:val="22"/>
        </w:rPr>
        <w:t>Ley</w:t>
      </w:r>
      <w:r>
        <w:rPr>
          <w:b/>
          <w:spacing w:val="-3"/>
          <w:sz w:val="22"/>
        </w:rPr>
        <w:t> </w:t>
      </w:r>
      <w:r>
        <w:rPr>
          <w:b/>
          <w:sz w:val="22"/>
        </w:rPr>
        <w:t>de</w:t>
      </w:r>
      <w:r>
        <w:rPr>
          <w:b/>
          <w:spacing w:val="-8"/>
          <w:sz w:val="22"/>
        </w:rPr>
        <w:t> </w:t>
      </w:r>
      <w:r>
        <w:rPr>
          <w:b/>
          <w:sz w:val="22"/>
        </w:rPr>
        <w:t>Tránsito</w:t>
      </w:r>
      <w:r>
        <w:rPr>
          <w:b/>
          <w:spacing w:val="-1"/>
          <w:sz w:val="22"/>
        </w:rPr>
        <w:t> </w:t>
      </w:r>
      <w:r>
        <w:rPr>
          <w:b/>
          <w:sz w:val="22"/>
        </w:rPr>
        <w:t>por</w:t>
      </w:r>
      <w:r>
        <w:rPr>
          <w:b/>
          <w:spacing w:val="-5"/>
          <w:sz w:val="22"/>
        </w:rPr>
        <w:t> </w:t>
      </w:r>
      <w:r>
        <w:rPr>
          <w:b/>
          <w:sz w:val="22"/>
        </w:rPr>
        <w:t>Vías</w:t>
      </w:r>
      <w:r>
        <w:rPr>
          <w:b/>
          <w:spacing w:val="-3"/>
          <w:sz w:val="22"/>
        </w:rPr>
        <w:t> </w:t>
      </w:r>
      <w:r>
        <w:rPr>
          <w:b/>
          <w:sz w:val="22"/>
        </w:rPr>
        <w:t>Pública</w:t>
      </w:r>
      <w:r>
        <w:rPr>
          <w:b/>
          <w:spacing w:val="-8"/>
          <w:sz w:val="22"/>
        </w:rPr>
        <w:t> </w:t>
      </w:r>
      <w:r>
        <w:rPr>
          <w:b/>
          <w:sz w:val="22"/>
        </w:rPr>
        <w:t>Terrestres y</w:t>
      </w:r>
      <w:r>
        <w:rPr>
          <w:b/>
          <w:spacing w:val="-8"/>
          <w:sz w:val="22"/>
        </w:rPr>
        <w:t> </w:t>
      </w:r>
      <w:r>
        <w:rPr>
          <w:b/>
          <w:sz w:val="22"/>
        </w:rPr>
        <w:t>Seguridad</w:t>
      </w:r>
      <w:r>
        <w:rPr>
          <w:b/>
          <w:spacing w:val="-5"/>
          <w:sz w:val="22"/>
        </w:rPr>
        <w:t> </w:t>
      </w:r>
      <w:r>
        <w:rPr>
          <w:b/>
          <w:sz w:val="22"/>
        </w:rPr>
        <w:t>Vial</w:t>
      </w:r>
      <w:r>
        <w:rPr>
          <w:sz w:val="22"/>
        </w:rPr>
        <w:t>,</w:t>
      </w:r>
      <w:r>
        <w:rPr>
          <w:spacing w:val="-4"/>
          <w:sz w:val="22"/>
        </w:rPr>
        <w:t> </w:t>
      </w:r>
      <w:r>
        <w:rPr>
          <w:b/>
          <w:sz w:val="22"/>
        </w:rPr>
        <w:t>N°9078</w:t>
      </w:r>
      <w:r>
        <w:rPr>
          <w:b/>
          <w:spacing w:val="-3"/>
          <w:sz w:val="22"/>
        </w:rPr>
        <w:t> </w:t>
      </w:r>
      <w:r>
        <w:rPr>
          <w:b/>
          <w:sz w:val="22"/>
        </w:rPr>
        <w:t>y</w:t>
      </w:r>
      <w:r>
        <w:rPr>
          <w:b/>
          <w:spacing w:val="-3"/>
          <w:sz w:val="22"/>
        </w:rPr>
        <w:t> </w:t>
      </w:r>
      <w:r>
        <w:rPr>
          <w:b/>
          <w:sz w:val="22"/>
        </w:rPr>
        <w:t>sus</w:t>
      </w:r>
      <w:r>
        <w:rPr>
          <w:b/>
          <w:spacing w:val="-4"/>
          <w:sz w:val="22"/>
        </w:rPr>
        <w:t> </w:t>
      </w:r>
      <w:r>
        <w:rPr>
          <w:b/>
          <w:sz w:val="22"/>
        </w:rPr>
        <w:t>reformas</w:t>
      </w:r>
      <w:r>
        <w:rPr>
          <w:sz w:val="22"/>
        </w:rPr>
        <w:t>. Regula la circulación, por las vías públicas terrestres, de los vehículos y de las personas que intervengan en el sistema de tránsito, así como, lo regulado por el artículo 207 de la presente ley. Norma aplicable a choferes del IMAS. Fecha de vigencia 26/10/2012.</w:t>
      </w:r>
    </w:p>
    <w:p>
      <w:pPr>
        <w:pStyle w:val="BodyText"/>
        <w:spacing w:before="251"/>
        <w:ind w:left="979" w:right="1340"/>
        <w:jc w:val="both"/>
      </w:pPr>
      <w:r>
        <w:rPr>
          <w:b/>
        </w:rPr>
        <w:t>Ley de Creación del SINIRUBE</w:t>
      </w:r>
      <w:r>
        <w:rPr/>
        <w:t>, </w:t>
      </w:r>
      <w:r>
        <w:rPr>
          <w:b/>
        </w:rPr>
        <w:t>N°9137</w:t>
      </w:r>
      <w:r>
        <w:rPr/>
        <w:t>. Crea el Sistema Nacional de Información y Registro Único de Beneficiaros del Estado, Órgano adscrito al IMAS. Conforma una base de datos actualizada con la información de todas las personas usuarias que requieran subsidios económicos</w:t>
      </w:r>
      <w:r>
        <w:rPr>
          <w:spacing w:val="-1"/>
        </w:rPr>
        <w:t> </w:t>
      </w:r>
      <w:r>
        <w:rPr/>
        <w:t>por encontrarse en situación de pobreza o pobreza extrema, con el fin</w:t>
      </w:r>
      <w:r>
        <w:rPr>
          <w:spacing w:val="-4"/>
        </w:rPr>
        <w:t> </w:t>
      </w:r>
      <w:r>
        <w:rPr/>
        <w:t>de</w:t>
      </w:r>
      <w:r>
        <w:rPr>
          <w:spacing w:val="-4"/>
        </w:rPr>
        <w:t> </w:t>
      </w:r>
      <w:r>
        <w:rPr/>
        <w:t>que</w:t>
      </w:r>
      <w:r>
        <w:rPr>
          <w:spacing w:val="-4"/>
        </w:rPr>
        <w:t> </w:t>
      </w:r>
      <w:r>
        <w:rPr/>
        <w:t>se</w:t>
      </w:r>
      <w:r>
        <w:rPr>
          <w:spacing w:val="-4"/>
        </w:rPr>
        <w:t> </w:t>
      </w:r>
      <w:r>
        <w:rPr/>
        <w:t>dé</w:t>
      </w:r>
      <w:r>
        <w:rPr>
          <w:spacing w:val="-4"/>
        </w:rPr>
        <w:t> </w:t>
      </w:r>
      <w:r>
        <w:rPr/>
        <w:t>una</w:t>
      </w:r>
      <w:r>
        <w:rPr>
          <w:spacing w:val="-4"/>
        </w:rPr>
        <w:t> </w:t>
      </w:r>
      <w:r>
        <w:rPr/>
        <w:t>distribución</w:t>
      </w:r>
      <w:r>
        <w:rPr>
          <w:spacing w:val="-4"/>
        </w:rPr>
        <w:t> </w:t>
      </w:r>
      <w:r>
        <w:rPr/>
        <w:t>equitativa</w:t>
      </w:r>
      <w:r>
        <w:rPr>
          <w:spacing w:val="-4"/>
        </w:rPr>
        <w:t> </w:t>
      </w:r>
      <w:r>
        <w:rPr/>
        <w:t>de</w:t>
      </w:r>
      <w:r>
        <w:rPr>
          <w:spacing w:val="-1"/>
        </w:rPr>
        <w:t> </w:t>
      </w:r>
      <w:r>
        <w:rPr/>
        <w:t>los</w:t>
      </w:r>
      <w:r>
        <w:rPr>
          <w:spacing w:val="-11"/>
        </w:rPr>
        <w:t> </w:t>
      </w:r>
      <w:r>
        <w:rPr/>
        <w:t>recursos.</w:t>
      </w:r>
      <w:r>
        <w:rPr>
          <w:spacing w:val="-1"/>
        </w:rPr>
        <w:t> </w:t>
      </w:r>
      <w:r>
        <w:rPr/>
        <w:t>Fecha</w:t>
      </w:r>
      <w:r>
        <w:rPr>
          <w:spacing w:val="-4"/>
        </w:rPr>
        <w:t> </w:t>
      </w:r>
      <w:r>
        <w:rPr/>
        <w:t>de</w:t>
      </w:r>
      <w:r>
        <w:rPr>
          <w:spacing w:val="-4"/>
        </w:rPr>
        <w:t> </w:t>
      </w:r>
      <w:r>
        <w:rPr/>
        <w:t>vigencia</w:t>
      </w:r>
      <w:r>
        <w:rPr>
          <w:spacing w:val="-4"/>
        </w:rPr>
        <w:t> </w:t>
      </w:r>
      <w:r>
        <w:rPr/>
        <w:t>05/09/2013.</w:t>
      </w:r>
    </w:p>
    <w:p>
      <w:pPr>
        <w:pStyle w:val="BodyText"/>
        <w:spacing w:before="4"/>
      </w:pPr>
    </w:p>
    <w:p>
      <w:pPr>
        <w:pStyle w:val="BodyText"/>
        <w:ind w:left="979" w:right="1336"/>
        <w:jc w:val="both"/>
      </w:pPr>
      <w:r>
        <w:rPr>
          <w:b/>
        </w:rPr>
        <w:t>Ley de Creación de la Red Nacional de Cuido</w:t>
      </w:r>
      <w:r>
        <w:rPr/>
        <w:t>, </w:t>
      </w:r>
      <w:r>
        <w:rPr>
          <w:b/>
        </w:rPr>
        <w:t>N</w:t>
      </w:r>
      <w:r>
        <w:rPr>
          <w:b/>
          <w:i/>
        </w:rPr>
        <w:t>°</w:t>
      </w:r>
      <w:r>
        <w:rPr>
          <w:b/>
        </w:rPr>
        <w:t>9220 y sus reformas</w:t>
      </w:r>
      <w:r>
        <w:rPr/>
        <w:t>. Establece un sistema de cuido y desarrollo infantil de acceso público, universal y de financiamiento solidario</w:t>
      </w:r>
      <w:r>
        <w:rPr>
          <w:spacing w:val="-16"/>
        </w:rPr>
        <w:t> </w:t>
      </w:r>
      <w:r>
        <w:rPr/>
        <w:t>que</w:t>
      </w:r>
      <w:r>
        <w:rPr>
          <w:spacing w:val="-15"/>
        </w:rPr>
        <w:t> </w:t>
      </w:r>
      <w:r>
        <w:rPr/>
        <w:t>articule</w:t>
      </w:r>
      <w:r>
        <w:rPr>
          <w:spacing w:val="-15"/>
        </w:rPr>
        <w:t> </w:t>
      </w:r>
      <w:r>
        <w:rPr/>
        <w:t>las</w:t>
      </w:r>
      <w:r>
        <w:rPr>
          <w:spacing w:val="-16"/>
        </w:rPr>
        <w:t> </w:t>
      </w:r>
      <w:r>
        <w:rPr/>
        <w:t>diferentes</w:t>
      </w:r>
      <w:r>
        <w:rPr>
          <w:spacing w:val="-15"/>
        </w:rPr>
        <w:t> </w:t>
      </w:r>
      <w:r>
        <w:rPr/>
        <w:t>modalidades</w:t>
      </w:r>
      <w:r>
        <w:rPr>
          <w:spacing w:val="-15"/>
        </w:rPr>
        <w:t> </w:t>
      </w:r>
      <w:r>
        <w:rPr/>
        <w:t>de</w:t>
      </w:r>
      <w:r>
        <w:rPr>
          <w:spacing w:val="-15"/>
        </w:rPr>
        <w:t> </w:t>
      </w:r>
      <w:r>
        <w:rPr/>
        <w:t>prestación</w:t>
      </w:r>
      <w:r>
        <w:rPr>
          <w:spacing w:val="-16"/>
        </w:rPr>
        <w:t> </w:t>
      </w:r>
      <w:r>
        <w:rPr/>
        <w:t>pública</w:t>
      </w:r>
      <w:r>
        <w:rPr>
          <w:spacing w:val="-15"/>
        </w:rPr>
        <w:t> </w:t>
      </w:r>
      <w:r>
        <w:rPr/>
        <w:t>y</w:t>
      </w:r>
      <w:r>
        <w:rPr>
          <w:spacing w:val="-15"/>
        </w:rPr>
        <w:t> </w:t>
      </w:r>
      <w:r>
        <w:rPr/>
        <w:t>privada</w:t>
      </w:r>
      <w:r>
        <w:rPr>
          <w:spacing w:val="-16"/>
        </w:rPr>
        <w:t> </w:t>
      </w:r>
      <w:r>
        <w:rPr/>
        <w:t>de</w:t>
      </w:r>
      <w:r>
        <w:rPr>
          <w:spacing w:val="-15"/>
        </w:rPr>
        <w:t> </w:t>
      </w:r>
      <w:r>
        <w:rPr/>
        <w:t>servicios </w:t>
      </w:r>
      <w:r>
        <w:rPr>
          <w:spacing w:val="-2"/>
        </w:rPr>
        <w:t>en</w:t>
      </w:r>
      <w:r>
        <w:rPr>
          <w:spacing w:val="-8"/>
        </w:rPr>
        <w:t> </w:t>
      </w:r>
      <w:r>
        <w:rPr>
          <w:spacing w:val="-2"/>
        </w:rPr>
        <w:t>materia</w:t>
      </w:r>
      <w:r>
        <w:rPr>
          <w:spacing w:val="-8"/>
        </w:rPr>
        <w:t> </w:t>
      </w:r>
      <w:r>
        <w:rPr>
          <w:spacing w:val="-2"/>
        </w:rPr>
        <w:t>de</w:t>
      </w:r>
      <w:r>
        <w:rPr>
          <w:spacing w:val="-8"/>
        </w:rPr>
        <w:t> </w:t>
      </w:r>
      <w:r>
        <w:rPr>
          <w:spacing w:val="-2"/>
        </w:rPr>
        <w:t>cuido y</w:t>
      </w:r>
      <w:r>
        <w:rPr>
          <w:spacing w:val="-10"/>
        </w:rPr>
        <w:t> </w:t>
      </w:r>
      <w:r>
        <w:rPr>
          <w:spacing w:val="-2"/>
        </w:rPr>
        <w:t>desarrollo infantil,</w:t>
      </w:r>
      <w:r>
        <w:rPr>
          <w:spacing w:val="-8"/>
        </w:rPr>
        <w:t> </w:t>
      </w:r>
      <w:r>
        <w:rPr>
          <w:spacing w:val="-2"/>
        </w:rPr>
        <w:t>para fortalecer y</w:t>
      </w:r>
      <w:r>
        <w:rPr>
          <w:spacing w:val="-10"/>
        </w:rPr>
        <w:t> </w:t>
      </w:r>
      <w:r>
        <w:rPr>
          <w:spacing w:val="-2"/>
        </w:rPr>
        <w:t>ampliar</w:t>
      </w:r>
      <w:r>
        <w:rPr>
          <w:spacing w:val="-5"/>
        </w:rPr>
        <w:t> </w:t>
      </w:r>
      <w:r>
        <w:rPr>
          <w:spacing w:val="-2"/>
        </w:rPr>
        <w:t>las</w:t>
      </w:r>
      <w:r>
        <w:rPr>
          <w:spacing w:val="-10"/>
        </w:rPr>
        <w:t> </w:t>
      </w:r>
      <w:r>
        <w:rPr>
          <w:spacing w:val="-2"/>
        </w:rPr>
        <w:t>alternativas</w:t>
      </w:r>
      <w:r>
        <w:rPr>
          <w:spacing w:val="-10"/>
        </w:rPr>
        <w:t> </w:t>
      </w:r>
      <w:r>
        <w:rPr>
          <w:spacing w:val="-2"/>
        </w:rPr>
        <w:t>de</w:t>
      </w:r>
      <w:r>
        <w:rPr>
          <w:spacing w:val="-8"/>
        </w:rPr>
        <w:t> </w:t>
      </w:r>
      <w:r>
        <w:rPr>
          <w:spacing w:val="-2"/>
        </w:rPr>
        <w:t>atención </w:t>
      </w:r>
      <w:r>
        <w:rPr/>
        <w:t>infantil integral. El IMAS forma parte de la Comisión Consultiva de la REDCUDI, y otorga subsidios a los menores usuarios de los Centros</w:t>
      </w:r>
      <w:r>
        <w:rPr>
          <w:spacing w:val="-1"/>
        </w:rPr>
        <w:t> </w:t>
      </w:r>
      <w:r>
        <w:rPr/>
        <w:t>de Cuido y Desarrollo Infantil (CECUDI). Fecha de vigencia 24/04/2014.</w:t>
      </w:r>
    </w:p>
    <w:p>
      <w:pPr>
        <w:spacing w:before="250"/>
        <w:ind w:left="979" w:right="1334" w:firstLine="0"/>
        <w:jc w:val="both"/>
        <w:rPr>
          <w:sz w:val="22"/>
        </w:rPr>
      </w:pPr>
      <w:r>
        <w:rPr>
          <w:b/>
          <w:sz w:val="22"/>
        </w:rPr>
        <w:t>Ley de Creación del Consejo Nacional de Personas con Discapacidad</w:t>
      </w:r>
      <w:r>
        <w:rPr>
          <w:sz w:val="22"/>
        </w:rPr>
        <w:t>, </w:t>
      </w:r>
      <w:r>
        <w:rPr>
          <w:b/>
          <w:sz w:val="22"/>
        </w:rPr>
        <w:t>N°9303 </w:t>
      </w:r>
      <w:r>
        <w:rPr>
          <w:sz w:val="22"/>
        </w:rPr>
        <w:t>y </w:t>
      </w:r>
      <w:r>
        <w:rPr>
          <w:b/>
          <w:sz w:val="22"/>
        </w:rPr>
        <w:t>sus reformas. </w:t>
      </w:r>
      <w:r>
        <w:rPr>
          <w:sz w:val="22"/>
        </w:rPr>
        <w:t>Crea el CONAPDIS como rector en discapacidad. El IMAS es integrante de la Junta Directiva del CONAPDIS. Fecha de vigencia 26/05/2015.</w:t>
      </w:r>
    </w:p>
    <w:p>
      <w:pPr>
        <w:pStyle w:val="BodyText"/>
        <w:spacing w:before="2"/>
      </w:pPr>
    </w:p>
    <w:p>
      <w:pPr>
        <w:pStyle w:val="BodyText"/>
        <w:ind w:left="979" w:right="1336"/>
        <w:jc w:val="both"/>
      </w:pPr>
      <w:r>
        <w:rPr>
          <w:b/>
        </w:rPr>
        <w:t>Ley de Impuesto a los moteles y lugares afines, N°9326 y sus reformas. Crea un impuesto a favor del Instituto Mixto de Ayuda</w:t>
      </w:r>
      <w:r>
        <w:rPr>
          <w:b/>
          <w:spacing w:val="-1"/>
        </w:rPr>
        <w:t> </w:t>
      </w:r>
      <w:r>
        <w:rPr>
          <w:b/>
        </w:rPr>
        <w:t>Social (IMAS</w:t>
      </w:r>
      <w:r>
        <w:rPr/>
        <w:t>). Los negocios calificados y autorizados por dicho Instituto, que tengan la propiedad o ejerzan el derecho de explotación comercial, uso o disfrute de un bien o bienes</w:t>
      </w:r>
      <w:r>
        <w:rPr>
          <w:spacing w:val="-1"/>
        </w:rPr>
        <w:t> </w:t>
      </w:r>
      <w:r>
        <w:rPr/>
        <w:t>utilizados como moteles, hoteles sin registro, hoteles de paso, casas de alojamiento ocasional, salas de masaje, "Night Clubs"</w:t>
      </w:r>
      <w:r>
        <w:rPr>
          <w:spacing w:val="-13"/>
        </w:rPr>
        <w:t> </w:t>
      </w:r>
      <w:r>
        <w:rPr/>
        <w:t>con</w:t>
      </w:r>
      <w:r>
        <w:rPr>
          <w:spacing w:val="-10"/>
        </w:rPr>
        <w:t> </w:t>
      </w:r>
      <w:r>
        <w:rPr/>
        <w:t>servicio</w:t>
      </w:r>
      <w:r>
        <w:rPr>
          <w:spacing w:val="-15"/>
        </w:rPr>
        <w:t> </w:t>
      </w:r>
      <w:r>
        <w:rPr/>
        <w:t>de</w:t>
      </w:r>
      <w:r>
        <w:rPr>
          <w:spacing w:val="-15"/>
        </w:rPr>
        <w:t> </w:t>
      </w:r>
      <w:r>
        <w:rPr/>
        <w:t>habitación</w:t>
      </w:r>
      <w:r>
        <w:rPr>
          <w:spacing w:val="-10"/>
        </w:rPr>
        <w:t> </w:t>
      </w:r>
      <w:r>
        <w:rPr/>
        <w:t>y</w:t>
      </w:r>
      <w:r>
        <w:rPr>
          <w:spacing w:val="-12"/>
        </w:rPr>
        <w:t> </w:t>
      </w:r>
      <w:r>
        <w:rPr/>
        <w:t>similares,</w:t>
      </w:r>
      <w:r>
        <w:rPr>
          <w:spacing w:val="-11"/>
        </w:rPr>
        <w:t> </w:t>
      </w:r>
      <w:r>
        <w:rPr/>
        <w:t>en</w:t>
      </w:r>
      <w:r>
        <w:rPr>
          <w:spacing w:val="-10"/>
        </w:rPr>
        <w:t> </w:t>
      </w:r>
      <w:r>
        <w:rPr/>
        <w:t>los</w:t>
      </w:r>
      <w:r>
        <w:rPr>
          <w:spacing w:val="-12"/>
        </w:rPr>
        <w:t> </w:t>
      </w:r>
      <w:r>
        <w:rPr/>
        <w:t>que</w:t>
      </w:r>
      <w:r>
        <w:rPr>
          <w:spacing w:val="-10"/>
        </w:rPr>
        <w:t> </w:t>
      </w:r>
      <w:r>
        <w:rPr/>
        <w:t>se</w:t>
      </w:r>
      <w:r>
        <w:rPr>
          <w:spacing w:val="-15"/>
        </w:rPr>
        <w:t> </w:t>
      </w:r>
      <w:r>
        <w:rPr/>
        <w:t>descanse</w:t>
      </w:r>
      <w:r>
        <w:rPr>
          <w:spacing w:val="-10"/>
        </w:rPr>
        <w:t> </w:t>
      </w:r>
      <w:r>
        <w:rPr/>
        <w:t>y</w:t>
      </w:r>
      <w:r>
        <w:rPr>
          <w:spacing w:val="-12"/>
        </w:rPr>
        <w:t> </w:t>
      </w:r>
      <w:r>
        <w:rPr/>
        <w:t>se</w:t>
      </w:r>
      <w:r>
        <w:rPr>
          <w:spacing w:val="-10"/>
        </w:rPr>
        <w:t> </w:t>
      </w:r>
      <w:r>
        <w:rPr/>
        <w:t>realice</w:t>
      </w:r>
      <w:r>
        <w:rPr>
          <w:spacing w:val="-10"/>
        </w:rPr>
        <w:t> </w:t>
      </w:r>
      <w:r>
        <w:rPr/>
        <w:t>la reunión íntima por un plazo determinado, mediante el pago de un precio establecido. Además, se faculta</w:t>
      </w:r>
      <w:r>
        <w:rPr>
          <w:spacing w:val="-8"/>
        </w:rPr>
        <w:t> </w:t>
      </w:r>
      <w:r>
        <w:rPr/>
        <w:t>al</w:t>
      </w:r>
      <w:r>
        <w:rPr>
          <w:spacing w:val="-7"/>
        </w:rPr>
        <w:t> </w:t>
      </w:r>
      <w:r>
        <w:rPr/>
        <w:t>IMAS</w:t>
      </w:r>
      <w:r>
        <w:rPr>
          <w:spacing w:val="-9"/>
        </w:rPr>
        <w:t> </w:t>
      </w:r>
      <w:r>
        <w:rPr/>
        <w:t>para</w:t>
      </w:r>
      <w:r>
        <w:rPr>
          <w:spacing w:val="-8"/>
        </w:rPr>
        <w:t> </w:t>
      </w:r>
      <w:r>
        <w:rPr/>
        <w:t>que</w:t>
      </w:r>
      <w:r>
        <w:rPr>
          <w:spacing w:val="-8"/>
        </w:rPr>
        <w:t> </w:t>
      </w:r>
      <w:r>
        <w:rPr/>
        <w:t>califique</w:t>
      </w:r>
      <w:r>
        <w:rPr>
          <w:spacing w:val="-8"/>
        </w:rPr>
        <w:t> </w:t>
      </w:r>
      <w:r>
        <w:rPr/>
        <w:t>los</w:t>
      </w:r>
      <w:r>
        <w:rPr>
          <w:spacing w:val="-10"/>
        </w:rPr>
        <w:t> </w:t>
      </w:r>
      <w:r>
        <w:rPr/>
        <w:t>establecimientos</w:t>
      </w:r>
      <w:r>
        <w:rPr>
          <w:spacing w:val="-10"/>
        </w:rPr>
        <w:t> </w:t>
      </w:r>
      <w:r>
        <w:rPr/>
        <w:t>en</w:t>
      </w:r>
      <w:r>
        <w:rPr>
          <w:spacing w:val="-4"/>
        </w:rPr>
        <w:t> </w:t>
      </w:r>
      <w:r>
        <w:rPr/>
        <w:t>tres</w:t>
      </w:r>
      <w:r>
        <w:rPr>
          <w:spacing w:val="-6"/>
        </w:rPr>
        <w:t> </w:t>
      </w:r>
      <w:r>
        <w:rPr/>
        <w:t>categorías,</w:t>
      </w:r>
      <w:r>
        <w:rPr>
          <w:spacing w:val="-9"/>
        </w:rPr>
        <w:t> </w:t>
      </w:r>
      <w:r>
        <w:rPr/>
        <w:t>según</w:t>
      </w:r>
      <w:r>
        <w:rPr>
          <w:spacing w:val="-4"/>
        </w:rPr>
        <w:t> </w:t>
      </w:r>
      <w:r>
        <w:rPr/>
        <w:t>el</w:t>
      </w:r>
      <w:r>
        <w:rPr>
          <w:spacing w:val="-11"/>
        </w:rPr>
        <w:t> </w:t>
      </w:r>
      <w:r>
        <w:rPr/>
        <w:t>número de habitaciones y la calidad de los servicios complementarios que ofrezcan; asimismo, podrá incluir en esas categorías los establecimientos que, aun cuando tengan registro de hospedaje, lleven a cabo actividades que a juicio del IMAS puedan incluirse en la calificación</w:t>
      </w:r>
      <w:r>
        <w:rPr>
          <w:spacing w:val="-5"/>
        </w:rPr>
        <w:t> </w:t>
      </w:r>
      <w:r>
        <w:rPr/>
        <w:t>antes</w:t>
      </w:r>
      <w:r>
        <w:rPr>
          <w:spacing w:val="-7"/>
        </w:rPr>
        <w:t> </w:t>
      </w:r>
      <w:r>
        <w:rPr/>
        <w:t>mencionada.</w:t>
      </w:r>
      <w:r>
        <w:rPr>
          <w:spacing w:val="-6"/>
        </w:rPr>
        <w:t> </w:t>
      </w:r>
      <w:r>
        <w:rPr/>
        <w:t>Para</w:t>
      </w:r>
      <w:r>
        <w:rPr>
          <w:spacing w:val="-5"/>
        </w:rPr>
        <w:t> </w:t>
      </w:r>
      <w:r>
        <w:rPr/>
        <w:t>operar</w:t>
      </w:r>
      <w:r>
        <w:rPr>
          <w:spacing w:val="-9"/>
        </w:rPr>
        <w:t> </w:t>
      </w:r>
      <w:r>
        <w:rPr/>
        <w:t>esos</w:t>
      </w:r>
      <w:r>
        <w:rPr>
          <w:spacing w:val="-12"/>
        </w:rPr>
        <w:t> </w:t>
      </w:r>
      <w:r>
        <w:rPr/>
        <w:t>negocios,</w:t>
      </w:r>
      <w:r>
        <w:rPr>
          <w:spacing w:val="-11"/>
        </w:rPr>
        <w:t> </w:t>
      </w:r>
      <w:r>
        <w:rPr/>
        <w:t>de</w:t>
      </w:r>
      <w:r>
        <w:rPr>
          <w:spacing w:val="-5"/>
        </w:rPr>
        <w:t> </w:t>
      </w:r>
      <w:r>
        <w:rPr/>
        <w:t>previo, deberán</w:t>
      </w:r>
      <w:r>
        <w:rPr>
          <w:spacing w:val="-5"/>
        </w:rPr>
        <w:t> </w:t>
      </w:r>
      <w:r>
        <w:rPr/>
        <w:t>inscribirse</w:t>
      </w:r>
      <w:r>
        <w:rPr>
          <w:spacing w:val="-5"/>
        </w:rPr>
        <w:t> </w:t>
      </w:r>
      <w:r>
        <w:rPr/>
        <w:t>y ser calificados por el IMAS. Fecha de vigencia 27/02/2016.</w:t>
      </w:r>
    </w:p>
    <w:p>
      <w:pPr>
        <w:pStyle w:val="BodyText"/>
        <w:spacing w:after="0"/>
        <w:jc w:val="both"/>
        <w:sectPr>
          <w:pgSz w:w="12240" w:h="15840"/>
          <w:pgMar w:header="0" w:footer="1021" w:top="1340" w:bottom="1220" w:left="720" w:right="360"/>
        </w:sectPr>
      </w:pPr>
    </w:p>
    <w:p>
      <w:pPr>
        <w:spacing w:line="240" w:lineRule="auto" w:before="76"/>
        <w:ind w:left="979" w:right="1333" w:firstLine="0"/>
        <w:jc w:val="both"/>
        <w:rPr>
          <w:sz w:val="22"/>
        </w:rPr>
      </w:pPr>
      <w:r>
        <w:rPr>
          <w:b/>
          <w:sz w:val="22"/>
        </w:rPr>
        <w:t>Ley</w:t>
      </w:r>
      <w:r>
        <w:rPr>
          <w:b/>
          <w:spacing w:val="-5"/>
          <w:sz w:val="22"/>
        </w:rPr>
        <w:t> </w:t>
      </w:r>
      <w:r>
        <w:rPr>
          <w:b/>
          <w:sz w:val="22"/>
        </w:rPr>
        <w:t>para</w:t>
      </w:r>
      <w:r>
        <w:rPr>
          <w:b/>
          <w:spacing w:val="-5"/>
          <w:sz w:val="22"/>
        </w:rPr>
        <w:t> </w:t>
      </w:r>
      <w:r>
        <w:rPr>
          <w:b/>
          <w:sz w:val="22"/>
        </w:rPr>
        <w:t>la</w:t>
      </w:r>
      <w:r>
        <w:rPr>
          <w:b/>
          <w:spacing w:val="-5"/>
          <w:sz w:val="22"/>
        </w:rPr>
        <w:t> </w:t>
      </w:r>
      <w:r>
        <w:rPr>
          <w:b/>
          <w:sz w:val="22"/>
        </w:rPr>
        <w:t>Promoción</w:t>
      </w:r>
      <w:r>
        <w:rPr>
          <w:b/>
          <w:spacing w:val="-8"/>
          <w:sz w:val="22"/>
        </w:rPr>
        <w:t> </w:t>
      </w:r>
      <w:r>
        <w:rPr>
          <w:b/>
          <w:sz w:val="22"/>
        </w:rPr>
        <w:t>de</w:t>
      </w:r>
      <w:r>
        <w:rPr>
          <w:b/>
          <w:spacing w:val="-6"/>
          <w:sz w:val="22"/>
        </w:rPr>
        <w:t> </w:t>
      </w:r>
      <w:r>
        <w:rPr>
          <w:b/>
          <w:sz w:val="22"/>
        </w:rPr>
        <w:t>la</w:t>
      </w:r>
      <w:r>
        <w:rPr>
          <w:b/>
          <w:spacing w:val="-1"/>
          <w:sz w:val="22"/>
        </w:rPr>
        <w:t> </w:t>
      </w:r>
      <w:r>
        <w:rPr>
          <w:b/>
          <w:sz w:val="22"/>
        </w:rPr>
        <w:t>Autonomía</w:t>
      </w:r>
      <w:r>
        <w:rPr>
          <w:b/>
          <w:spacing w:val="-5"/>
          <w:sz w:val="22"/>
        </w:rPr>
        <w:t> </w:t>
      </w:r>
      <w:r>
        <w:rPr>
          <w:b/>
          <w:sz w:val="22"/>
        </w:rPr>
        <w:t>Personal</w:t>
      </w:r>
      <w:r>
        <w:rPr>
          <w:b/>
          <w:spacing w:val="-1"/>
          <w:sz w:val="22"/>
        </w:rPr>
        <w:t> </w:t>
      </w:r>
      <w:r>
        <w:rPr>
          <w:b/>
          <w:sz w:val="22"/>
        </w:rPr>
        <w:t>de</w:t>
      </w:r>
      <w:r>
        <w:rPr>
          <w:b/>
          <w:spacing w:val="-5"/>
          <w:sz w:val="22"/>
        </w:rPr>
        <w:t> </w:t>
      </w:r>
      <w:r>
        <w:rPr>
          <w:b/>
          <w:sz w:val="22"/>
        </w:rPr>
        <w:t>las</w:t>
      </w:r>
      <w:r>
        <w:rPr>
          <w:b/>
          <w:spacing w:val="-5"/>
          <w:sz w:val="22"/>
        </w:rPr>
        <w:t> </w:t>
      </w:r>
      <w:r>
        <w:rPr>
          <w:b/>
          <w:sz w:val="22"/>
        </w:rPr>
        <w:t>Personas</w:t>
      </w:r>
      <w:r>
        <w:rPr>
          <w:b/>
          <w:spacing w:val="-5"/>
          <w:sz w:val="22"/>
        </w:rPr>
        <w:t> </w:t>
      </w:r>
      <w:r>
        <w:rPr>
          <w:b/>
          <w:sz w:val="22"/>
        </w:rPr>
        <w:t>con</w:t>
      </w:r>
      <w:r>
        <w:rPr>
          <w:b/>
          <w:spacing w:val="-3"/>
          <w:sz w:val="22"/>
        </w:rPr>
        <w:t> </w:t>
      </w:r>
      <w:r>
        <w:rPr>
          <w:b/>
          <w:sz w:val="22"/>
        </w:rPr>
        <w:t>Discapacidad</w:t>
      </w:r>
      <w:r>
        <w:rPr>
          <w:sz w:val="22"/>
        </w:rPr>
        <w:t>, </w:t>
      </w:r>
      <w:r>
        <w:rPr>
          <w:b/>
          <w:sz w:val="22"/>
        </w:rPr>
        <w:t>N°9379</w:t>
      </w:r>
      <w:r>
        <w:rPr>
          <w:sz w:val="22"/>
        </w:rPr>
        <w:t>.Promueve y asegura a las personas con discapacidad, el ejercicio pleno y en igualdad de condiciones con los demás del derecho a su autonomía personal. El IMAS a solicitud de CONAPDIS debe certificar condición de pobreza de la persona con discapacidad. Fecha de vigencia 30/08/2016.</w:t>
      </w:r>
    </w:p>
    <w:p>
      <w:pPr>
        <w:pStyle w:val="BodyText"/>
        <w:spacing w:before="253"/>
        <w:ind w:left="979" w:right="1340"/>
        <w:jc w:val="both"/>
      </w:pPr>
      <w:r>
        <w:rPr>
          <w:b/>
        </w:rPr>
        <w:t>Ley para Perfeccionar la Rendición de Cuentas</w:t>
      </w:r>
      <w:r>
        <w:rPr/>
        <w:t>, </w:t>
      </w:r>
      <w:r>
        <w:rPr>
          <w:b/>
        </w:rPr>
        <w:t>N°9398 </w:t>
      </w:r>
      <w:r>
        <w:rPr/>
        <w:t>y sus reformas. Obligación de los rectores sectoriales, jerarcas ministeriales, de entes descentralizados institucionales y de</w:t>
      </w:r>
      <w:r>
        <w:rPr>
          <w:spacing w:val="-15"/>
        </w:rPr>
        <w:t> </w:t>
      </w:r>
      <w:r>
        <w:rPr/>
        <w:t>órganos</w:t>
      </w:r>
      <w:r>
        <w:rPr>
          <w:spacing w:val="-16"/>
        </w:rPr>
        <w:t> </w:t>
      </w:r>
      <w:r>
        <w:rPr/>
        <w:t>de</w:t>
      </w:r>
      <w:r>
        <w:rPr>
          <w:spacing w:val="-13"/>
        </w:rPr>
        <w:t> </w:t>
      </w:r>
      <w:r>
        <w:rPr/>
        <w:t>desconcentración</w:t>
      </w:r>
      <w:r>
        <w:rPr>
          <w:spacing w:val="-14"/>
        </w:rPr>
        <w:t> </w:t>
      </w:r>
      <w:r>
        <w:rPr/>
        <w:t>máxima</w:t>
      </w:r>
      <w:r>
        <w:rPr>
          <w:spacing w:val="-14"/>
        </w:rPr>
        <w:t> </w:t>
      </w:r>
      <w:r>
        <w:rPr/>
        <w:t>de</w:t>
      </w:r>
      <w:r>
        <w:rPr>
          <w:spacing w:val="-14"/>
        </w:rPr>
        <w:t> </w:t>
      </w:r>
      <w:r>
        <w:rPr/>
        <w:t>elaborar,</w:t>
      </w:r>
      <w:r>
        <w:rPr>
          <w:spacing w:val="-10"/>
        </w:rPr>
        <w:t> </w:t>
      </w:r>
      <w:r>
        <w:rPr/>
        <w:t>publicar</w:t>
      </w:r>
      <w:r>
        <w:rPr>
          <w:spacing w:val="-16"/>
        </w:rPr>
        <w:t> </w:t>
      </w:r>
      <w:r>
        <w:rPr/>
        <w:t>y</w:t>
      </w:r>
      <w:r>
        <w:rPr>
          <w:spacing w:val="-15"/>
        </w:rPr>
        <w:t> </w:t>
      </w:r>
      <w:r>
        <w:rPr/>
        <w:t>divulgar,</w:t>
      </w:r>
      <w:r>
        <w:rPr>
          <w:spacing w:val="-14"/>
        </w:rPr>
        <w:t> </w:t>
      </w:r>
      <w:r>
        <w:rPr/>
        <w:t>de</w:t>
      </w:r>
      <w:r>
        <w:rPr>
          <w:spacing w:val="-14"/>
        </w:rPr>
        <w:t> </w:t>
      </w:r>
      <w:r>
        <w:rPr/>
        <w:t>manera</w:t>
      </w:r>
      <w:r>
        <w:rPr>
          <w:spacing w:val="-14"/>
        </w:rPr>
        <w:t> </w:t>
      </w:r>
      <w:r>
        <w:rPr/>
        <w:t>digital, un informe anual, escrito, de la labor</w:t>
      </w:r>
      <w:r>
        <w:rPr>
          <w:spacing w:val="-3"/>
        </w:rPr>
        <w:t> </w:t>
      </w:r>
      <w:r>
        <w:rPr/>
        <w:t>desarrollada por la institución o las instituciones a su cargo. Fecha de vigencia 06/10/2016.</w:t>
      </w:r>
    </w:p>
    <w:p>
      <w:pPr>
        <w:spacing w:line="240" w:lineRule="auto" w:before="252"/>
        <w:ind w:left="979" w:right="1337" w:firstLine="0"/>
        <w:jc w:val="both"/>
        <w:rPr>
          <w:sz w:val="22"/>
        </w:rPr>
      </w:pPr>
      <w:r>
        <w:rPr>
          <w:b/>
          <w:sz w:val="22"/>
        </w:rPr>
        <w:t>Ley de Incentivos y Promoción para el Transporte Eléctrico, N° 9518</w:t>
      </w:r>
      <w:r>
        <w:rPr>
          <w:sz w:val="22"/>
        </w:rPr>
        <w:t>. Crea el marco normativo para regular la promoción del transporte eléctrico en el país y fortalecer las políticas públicas para incentivar su uso dentro del sector público y en la ciudadanía en general. Fecha de vigencia 06/02/2018.</w:t>
      </w:r>
    </w:p>
    <w:p>
      <w:pPr>
        <w:pStyle w:val="BodyText"/>
        <w:spacing w:before="3"/>
      </w:pPr>
    </w:p>
    <w:p>
      <w:pPr>
        <w:spacing w:line="240" w:lineRule="auto" w:before="0"/>
        <w:ind w:left="979" w:right="1335" w:firstLine="0"/>
        <w:jc w:val="both"/>
        <w:rPr>
          <w:sz w:val="22"/>
        </w:rPr>
      </w:pPr>
      <w:r>
        <w:rPr>
          <w:b/>
          <w:sz w:val="22"/>
        </w:rPr>
        <w:t>Ley</w:t>
      </w:r>
      <w:r>
        <w:rPr>
          <w:b/>
          <w:spacing w:val="-9"/>
          <w:sz w:val="22"/>
        </w:rPr>
        <w:t> </w:t>
      </w:r>
      <w:r>
        <w:rPr>
          <w:b/>
          <w:sz w:val="22"/>
        </w:rPr>
        <w:t>de</w:t>
      </w:r>
      <w:r>
        <w:rPr>
          <w:b/>
          <w:spacing w:val="-9"/>
          <w:sz w:val="22"/>
        </w:rPr>
        <w:t> </w:t>
      </w:r>
      <w:r>
        <w:rPr>
          <w:b/>
          <w:sz w:val="22"/>
        </w:rPr>
        <w:t>Fortalecimiento</w:t>
      </w:r>
      <w:r>
        <w:rPr>
          <w:b/>
          <w:spacing w:val="-7"/>
          <w:sz w:val="22"/>
        </w:rPr>
        <w:t> </w:t>
      </w:r>
      <w:r>
        <w:rPr>
          <w:b/>
          <w:sz w:val="22"/>
        </w:rPr>
        <w:t>de</w:t>
      </w:r>
      <w:r>
        <w:rPr>
          <w:b/>
          <w:spacing w:val="-9"/>
          <w:sz w:val="22"/>
        </w:rPr>
        <w:t> </w:t>
      </w:r>
      <w:r>
        <w:rPr>
          <w:b/>
          <w:sz w:val="22"/>
        </w:rPr>
        <w:t>las</w:t>
      </w:r>
      <w:r>
        <w:rPr>
          <w:b/>
          <w:spacing w:val="-9"/>
          <w:sz w:val="22"/>
        </w:rPr>
        <w:t> </w:t>
      </w:r>
      <w:r>
        <w:rPr>
          <w:b/>
          <w:sz w:val="22"/>
        </w:rPr>
        <w:t>Finanzas</w:t>
      </w:r>
      <w:r>
        <w:rPr>
          <w:b/>
          <w:spacing w:val="-9"/>
          <w:sz w:val="22"/>
        </w:rPr>
        <w:t> </w:t>
      </w:r>
      <w:r>
        <w:rPr>
          <w:b/>
          <w:sz w:val="22"/>
        </w:rPr>
        <w:t>Públicas,</w:t>
      </w:r>
      <w:r>
        <w:rPr>
          <w:b/>
          <w:spacing w:val="-6"/>
          <w:sz w:val="22"/>
        </w:rPr>
        <w:t> </w:t>
      </w:r>
      <w:r>
        <w:rPr>
          <w:b/>
          <w:sz w:val="22"/>
        </w:rPr>
        <w:t>N°</w:t>
      </w:r>
      <w:r>
        <w:rPr>
          <w:b/>
          <w:spacing w:val="-13"/>
          <w:sz w:val="22"/>
        </w:rPr>
        <w:t> </w:t>
      </w:r>
      <w:r>
        <w:rPr>
          <w:b/>
          <w:sz w:val="22"/>
        </w:rPr>
        <w:t>9635</w:t>
      </w:r>
      <w:r>
        <w:rPr>
          <w:b/>
          <w:spacing w:val="-9"/>
          <w:sz w:val="22"/>
        </w:rPr>
        <w:t> </w:t>
      </w:r>
      <w:r>
        <w:rPr>
          <w:b/>
          <w:sz w:val="22"/>
        </w:rPr>
        <w:t>y</w:t>
      </w:r>
      <w:r>
        <w:rPr>
          <w:b/>
          <w:spacing w:val="-14"/>
          <w:sz w:val="22"/>
        </w:rPr>
        <w:t> </w:t>
      </w:r>
      <w:r>
        <w:rPr>
          <w:b/>
          <w:sz w:val="22"/>
        </w:rPr>
        <w:t>sus</w:t>
      </w:r>
      <w:r>
        <w:rPr>
          <w:b/>
          <w:spacing w:val="-9"/>
          <w:sz w:val="22"/>
        </w:rPr>
        <w:t> </w:t>
      </w:r>
      <w:r>
        <w:rPr>
          <w:b/>
          <w:sz w:val="22"/>
        </w:rPr>
        <w:t>reformas.</w:t>
      </w:r>
      <w:r>
        <w:rPr>
          <w:b/>
          <w:spacing w:val="-2"/>
          <w:sz w:val="22"/>
        </w:rPr>
        <w:t> </w:t>
      </w:r>
      <w:r>
        <w:rPr>
          <w:sz w:val="22"/>
        </w:rPr>
        <w:t>Establece</w:t>
      </w:r>
      <w:r>
        <w:rPr>
          <w:spacing w:val="-9"/>
          <w:sz w:val="22"/>
        </w:rPr>
        <w:t> </w:t>
      </w:r>
      <w:r>
        <w:rPr>
          <w:sz w:val="22"/>
        </w:rPr>
        <w:t>el al valor agregado, ajusta salarios y beneficios a funcionarios públicos, crea regla de responsabilidad fiscal. Modifica el inciso 1) del artículo 4 de la Ley N° 4646, con lo que se modifica integración de la junta directiva del IMAS. Fecha de vigencia 03/12/2018.</w:t>
      </w:r>
    </w:p>
    <w:p>
      <w:pPr>
        <w:spacing w:line="240" w:lineRule="auto" w:before="250"/>
        <w:ind w:left="979" w:right="1343" w:firstLine="0"/>
        <w:jc w:val="both"/>
        <w:rPr>
          <w:sz w:val="22"/>
        </w:rPr>
      </w:pPr>
      <w:r>
        <w:rPr>
          <w:b/>
          <w:sz w:val="22"/>
        </w:rPr>
        <w:t>Ley de Rendición de cuentas de las instituciones públicas sobre las acciones realizadas a favor de las personas jóvenes, en el marco de la celebración del Día Internacional</w:t>
      </w:r>
      <w:r>
        <w:rPr>
          <w:b/>
          <w:spacing w:val="-6"/>
          <w:sz w:val="22"/>
        </w:rPr>
        <w:t> </w:t>
      </w:r>
      <w:r>
        <w:rPr>
          <w:b/>
          <w:sz w:val="22"/>
        </w:rPr>
        <w:t>de</w:t>
      </w:r>
      <w:r>
        <w:rPr>
          <w:b/>
          <w:spacing w:val="-6"/>
          <w:sz w:val="22"/>
        </w:rPr>
        <w:t> </w:t>
      </w:r>
      <w:r>
        <w:rPr>
          <w:b/>
          <w:sz w:val="22"/>
        </w:rPr>
        <w:t>la</w:t>
      </w:r>
      <w:r>
        <w:rPr>
          <w:b/>
          <w:spacing w:val="-5"/>
          <w:sz w:val="22"/>
        </w:rPr>
        <w:t> </w:t>
      </w:r>
      <w:r>
        <w:rPr>
          <w:b/>
          <w:sz w:val="22"/>
        </w:rPr>
        <w:t>Juventud,</w:t>
      </w:r>
      <w:r>
        <w:rPr>
          <w:b/>
          <w:spacing w:val="-6"/>
          <w:sz w:val="22"/>
        </w:rPr>
        <w:t> </w:t>
      </w:r>
      <w:r>
        <w:rPr>
          <w:b/>
          <w:sz w:val="22"/>
        </w:rPr>
        <w:t>N°</w:t>
      </w:r>
      <w:r>
        <w:rPr>
          <w:b/>
          <w:spacing w:val="-4"/>
          <w:sz w:val="22"/>
        </w:rPr>
        <w:t> </w:t>
      </w:r>
      <w:r>
        <w:rPr>
          <w:b/>
          <w:sz w:val="22"/>
        </w:rPr>
        <w:t>9615.</w:t>
      </w:r>
      <w:r>
        <w:rPr>
          <w:b/>
          <w:spacing w:val="-1"/>
          <w:sz w:val="22"/>
        </w:rPr>
        <w:t> </w:t>
      </w:r>
      <w:r>
        <w:rPr>
          <w:sz w:val="22"/>
        </w:rPr>
        <w:t>Deber</w:t>
      </w:r>
      <w:r>
        <w:rPr>
          <w:spacing w:val="-9"/>
          <w:sz w:val="22"/>
        </w:rPr>
        <w:t> </w:t>
      </w:r>
      <w:r>
        <w:rPr>
          <w:sz w:val="22"/>
        </w:rPr>
        <w:t>de</w:t>
      </w:r>
      <w:r>
        <w:rPr>
          <w:spacing w:val="-5"/>
          <w:sz w:val="22"/>
        </w:rPr>
        <w:t> </w:t>
      </w:r>
      <w:r>
        <w:rPr>
          <w:sz w:val="22"/>
        </w:rPr>
        <w:t>presentar</w:t>
      </w:r>
      <w:r>
        <w:rPr>
          <w:spacing w:val="-9"/>
          <w:sz w:val="22"/>
        </w:rPr>
        <w:t> </w:t>
      </w:r>
      <w:r>
        <w:rPr>
          <w:sz w:val="22"/>
        </w:rPr>
        <w:t>un</w:t>
      </w:r>
      <w:r>
        <w:rPr>
          <w:spacing w:val="-5"/>
          <w:sz w:val="22"/>
        </w:rPr>
        <w:t> </w:t>
      </w:r>
      <w:r>
        <w:rPr>
          <w:sz w:val="22"/>
        </w:rPr>
        <w:t>informe</w:t>
      </w:r>
      <w:r>
        <w:rPr>
          <w:spacing w:val="-5"/>
          <w:sz w:val="22"/>
        </w:rPr>
        <w:t> </w:t>
      </w:r>
      <w:r>
        <w:rPr>
          <w:sz w:val="22"/>
        </w:rPr>
        <w:t>anual</w:t>
      </w:r>
      <w:r>
        <w:rPr>
          <w:spacing w:val="-8"/>
          <w:sz w:val="22"/>
        </w:rPr>
        <w:t> </w:t>
      </w:r>
      <w:r>
        <w:rPr>
          <w:sz w:val="22"/>
        </w:rPr>
        <w:t>de</w:t>
      </w:r>
      <w:r>
        <w:rPr>
          <w:spacing w:val="-5"/>
          <w:sz w:val="22"/>
        </w:rPr>
        <w:t> </w:t>
      </w:r>
      <w:r>
        <w:rPr>
          <w:sz w:val="22"/>
        </w:rPr>
        <w:t>rendición de</w:t>
      </w:r>
      <w:r>
        <w:rPr>
          <w:spacing w:val="-5"/>
          <w:sz w:val="22"/>
        </w:rPr>
        <w:t> </w:t>
      </w:r>
      <w:r>
        <w:rPr>
          <w:sz w:val="22"/>
        </w:rPr>
        <w:t>cuentas</w:t>
      </w:r>
      <w:r>
        <w:rPr>
          <w:spacing w:val="-11"/>
          <w:sz w:val="22"/>
        </w:rPr>
        <w:t> </w:t>
      </w:r>
      <w:r>
        <w:rPr>
          <w:sz w:val="22"/>
        </w:rPr>
        <w:t>sobre</w:t>
      </w:r>
      <w:r>
        <w:rPr>
          <w:spacing w:val="-5"/>
          <w:sz w:val="22"/>
        </w:rPr>
        <w:t> </w:t>
      </w:r>
      <w:r>
        <w:rPr>
          <w:sz w:val="22"/>
        </w:rPr>
        <w:t>la</w:t>
      </w:r>
      <w:r>
        <w:rPr>
          <w:spacing w:val="-10"/>
          <w:sz w:val="22"/>
        </w:rPr>
        <w:t> </w:t>
      </w:r>
      <w:r>
        <w:rPr>
          <w:sz w:val="22"/>
        </w:rPr>
        <w:t>ejecución</w:t>
      </w:r>
      <w:r>
        <w:rPr>
          <w:spacing w:val="-10"/>
          <w:sz w:val="22"/>
        </w:rPr>
        <w:t> </w:t>
      </w:r>
      <w:r>
        <w:rPr>
          <w:sz w:val="22"/>
        </w:rPr>
        <w:t>de</w:t>
      </w:r>
      <w:r>
        <w:rPr>
          <w:spacing w:val="-5"/>
          <w:sz w:val="22"/>
        </w:rPr>
        <w:t> </w:t>
      </w:r>
      <w:r>
        <w:rPr>
          <w:sz w:val="22"/>
        </w:rPr>
        <w:t>la</w:t>
      </w:r>
      <w:r>
        <w:rPr>
          <w:spacing w:val="-5"/>
          <w:sz w:val="22"/>
        </w:rPr>
        <w:t> </w:t>
      </w:r>
      <w:r>
        <w:rPr>
          <w:sz w:val="22"/>
        </w:rPr>
        <w:t>política</w:t>
      </w:r>
      <w:r>
        <w:rPr>
          <w:spacing w:val="-10"/>
          <w:sz w:val="22"/>
        </w:rPr>
        <w:t> </w:t>
      </w:r>
      <w:r>
        <w:rPr>
          <w:sz w:val="22"/>
        </w:rPr>
        <w:t>pública</w:t>
      </w:r>
      <w:r>
        <w:rPr>
          <w:spacing w:val="-5"/>
          <w:sz w:val="22"/>
        </w:rPr>
        <w:t> </w:t>
      </w:r>
      <w:r>
        <w:rPr>
          <w:sz w:val="22"/>
        </w:rPr>
        <w:t>de</w:t>
      </w:r>
      <w:r>
        <w:rPr>
          <w:spacing w:val="-5"/>
          <w:sz w:val="22"/>
        </w:rPr>
        <w:t> </w:t>
      </w:r>
      <w:r>
        <w:rPr>
          <w:sz w:val="22"/>
        </w:rPr>
        <w:t>la</w:t>
      </w:r>
      <w:r>
        <w:rPr>
          <w:spacing w:val="-5"/>
          <w:sz w:val="22"/>
        </w:rPr>
        <w:t> </w:t>
      </w:r>
      <w:r>
        <w:rPr>
          <w:sz w:val="22"/>
        </w:rPr>
        <w:t>persona</w:t>
      </w:r>
      <w:r>
        <w:rPr>
          <w:spacing w:val="-5"/>
          <w:sz w:val="22"/>
        </w:rPr>
        <w:t> </w:t>
      </w:r>
      <w:r>
        <w:rPr>
          <w:sz w:val="22"/>
        </w:rPr>
        <w:t>joven</w:t>
      </w:r>
      <w:r>
        <w:rPr>
          <w:spacing w:val="-5"/>
          <w:sz w:val="22"/>
        </w:rPr>
        <w:t> </w:t>
      </w:r>
      <w:r>
        <w:rPr>
          <w:sz w:val="22"/>
        </w:rPr>
        <w:t>y</w:t>
      </w:r>
      <w:r>
        <w:rPr>
          <w:spacing w:val="-7"/>
          <w:sz w:val="22"/>
        </w:rPr>
        <w:t> </w:t>
      </w:r>
      <w:r>
        <w:rPr>
          <w:sz w:val="22"/>
        </w:rPr>
        <w:t>del</w:t>
      </w:r>
      <w:r>
        <w:rPr>
          <w:spacing w:val="-8"/>
          <w:sz w:val="22"/>
        </w:rPr>
        <w:t> </w:t>
      </w:r>
      <w:r>
        <w:rPr>
          <w:sz w:val="22"/>
        </w:rPr>
        <w:t>Plan</w:t>
      </w:r>
      <w:r>
        <w:rPr>
          <w:spacing w:val="-5"/>
          <w:sz w:val="22"/>
        </w:rPr>
        <w:t> </w:t>
      </w:r>
      <w:r>
        <w:rPr>
          <w:sz w:val="22"/>
        </w:rPr>
        <w:t>Nacional de Desarrollo vigente, así como de las gestiones realizadas el último año para su operacionalización,</w:t>
      </w:r>
      <w:r>
        <w:rPr>
          <w:spacing w:val="-2"/>
          <w:sz w:val="22"/>
        </w:rPr>
        <w:t> </w:t>
      </w:r>
      <w:r>
        <w:rPr>
          <w:sz w:val="22"/>
        </w:rPr>
        <w:t>tomando</w:t>
      </w:r>
      <w:r>
        <w:rPr>
          <w:spacing w:val="-6"/>
          <w:sz w:val="22"/>
        </w:rPr>
        <w:t> </w:t>
      </w:r>
      <w:r>
        <w:rPr>
          <w:sz w:val="22"/>
        </w:rPr>
        <w:t>en cuenta</w:t>
      </w:r>
      <w:r>
        <w:rPr>
          <w:spacing w:val="-6"/>
          <w:sz w:val="22"/>
        </w:rPr>
        <w:t> </w:t>
      </w:r>
      <w:r>
        <w:rPr>
          <w:sz w:val="22"/>
        </w:rPr>
        <w:t>el</w:t>
      </w:r>
      <w:r>
        <w:rPr>
          <w:spacing w:val="-4"/>
          <w:sz w:val="22"/>
        </w:rPr>
        <w:t> </w:t>
      </w:r>
      <w:r>
        <w:rPr>
          <w:sz w:val="22"/>
        </w:rPr>
        <w:t>enfoque</w:t>
      </w:r>
      <w:r>
        <w:rPr>
          <w:spacing w:val="-2"/>
          <w:sz w:val="22"/>
        </w:rPr>
        <w:t> </w:t>
      </w:r>
      <w:r>
        <w:rPr>
          <w:sz w:val="22"/>
        </w:rPr>
        <w:t>de</w:t>
      </w:r>
      <w:r>
        <w:rPr>
          <w:spacing w:val="-2"/>
          <w:sz w:val="22"/>
        </w:rPr>
        <w:t> </w:t>
      </w:r>
      <w:r>
        <w:rPr>
          <w:sz w:val="22"/>
        </w:rPr>
        <w:t>igualdad</w:t>
      </w:r>
      <w:r>
        <w:rPr>
          <w:spacing w:val="-2"/>
          <w:sz w:val="22"/>
        </w:rPr>
        <w:t> </w:t>
      </w:r>
      <w:r>
        <w:rPr>
          <w:sz w:val="22"/>
        </w:rPr>
        <w:t>de</w:t>
      </w:r>
      <w:r>
        <w:rPr>
          <w:spacing w:val="-2"/>
          <w:sz w:val="22"/>
        </w:rPr>
        <w:t> </w:t>
      </w:r>
      <w:r>
        <w:rPr>
          <w:sz w:val="22"/>
        </w:rPr>
        <w:t>género</w:t>
      </w:r>
      <w:r>
        <w:rPr>
          <w:spacing w:val="-2"/>
          <w:sz w:val="22"/>
        </w:rPr>
        <w:t> </w:t>
      </w:r>
      <w:r>
        <w:rPr>
          <w:sz w:val="22"/>
        </w:rPr>
        <w:t>y</w:t>
      </w:r>
      <w:r>
        <w:rPr>
          <w:spacing w:val="-8"/>
          <w:sz w:val="22"/>
        </w:rPr>
        <w:t> </w:t>
      </w:r>
      <w:r>
        <w:rPr>
          <w:sz w:val="22"/>
        </w:rPr>
        <w:t>de</w:t>
      </w:r>
      <w:r>
        <w:rPr>
          <w:spacing w:val="-2"/>
          <w:sz w:val="22"/>
        </w:rPr>
        <w:t> </w:t>
      </w:r>
      <w:r>
        <w:rPr>
          <w:sz w:val="22"/>
        </w:rPr>
        <w:t>juventudes. Fecha de vigencia 08/01/2019.</w:t>
      </w:r>
    </w:p>
    <w:p>
      <w:pPr>
        <w:pStyle w:val="BodyText"/>
        <w:spacing w:before="3"/>
      </w:pPr>
    </w:p>
    <w:p>
      <w:pPr>
        <w:spacing w:line="240" w:lineRule="auto" w:before="0"/>
        <w:ind w:left="979" w:right="1339" w:firstLine="0"/>
        <w:jc w:val="both"/>
        <w:rPr>
          <w:sz w:val="22"/>
        </w:rPr>
      </w:pPr>
      <w:r>
        <w:rPr>
          <w:b/>
          <w:sz w:val="22"/>
        </w:rPr>
        <w:t>Ley de Fortalecimiento de las Transferencias Monetarias Condicionadas del Programa Avancemos y sus reformas, N° 9617. </w:t>
      </w:r>
      <w:r>
        <w:rPr>
          <w:sz w:val="22"/>
        </w:rPr>
        <w:t>Crea el Programa de Transferencias Monetarias Condicionadas, denominado Avancemos, adscrito al Instituto Mixto de Ayuda Social (IMAS), para coadyuvar a la inclusión, la permanencia, la asistencia y la reincorporación al</w:t>
      </w:r>
      <w:r>
        <w:rPr>
          <w:spacing w:val="-2"/>
          <w:sz w:val="22"/>
        </w:rPr>
        <w:t> </w:t>
      </w:r>
      <w:r>
        <w:rPr>
          <w:sz w:val="22"/>
        </w:rPr>
        <w:t>sistema educativo de las</w:t>
      </w:r>
      <w:r>
        <w:rPr>
          <w:spacing w:val="-1"/>
          <w:sz w:val="22"/>
        </w:rPr>
        <w:t> </w:t>
      </w:r>
      <w:r>
        <w:rPr>
          <w:sz w:val="22"/>
        </w:rPr>
        <w:t>personas</w:t>
      </w:r>
      <w:r>
        <w:rPr>
          <w:spacing w:val="-2"/>
          <w:sz w:val="22"/>
        </w:rPr>
        <w:t> </w:t>
      </w:r>
      <w:r>
        <w:rPr>
          <w:sz w:val="22"/>
        </w:rPr>
        <w:t>estudiantes</w:t>
      </w:r>
      <w:r>
        <w:rPr>
          <w:spacing w:val="-2"/>
          <w:sz w:val="22"/>
        </w:rPr>
        <w:t> </w:t>
      </w:r>
      <w:r>
        <w:rPr>
          <w:sz w:val="22"/>
        </w:rPr>
        <w:t>provenientes</w:t>
      </w:r>
      <w:r>
        <w:rPr>
          <w:spacing w:val="-6"/>
          <w:sz w:val="22"/>
        </w:rPr>
        <w:t> </w:t>
      </w:r>
      <w:r>
        <w:rPr>
          <w:sz w:val="22"/>
        </w:rPr>
        <w:t>de familias en situación de pobreza o vulnerabilidad, que requieren apoyo para mantenerse en el sistema educativo secundario. Fecha de vigencia 08/01/2019.</w:t>
      </w:r>
    </w:p>
    <w:p>
      <w:pPr>
        <w:pStyle w:val="BodyText"/>
        <w:spacing w:before="2"/>
      </w:pPr>
    </w:p>
    <w:p>
      <w:pPr>
        <w:spacing w:line="240" w:lineRule="auto" w:before="0"/>
        <w:ind w:left="979" w:right="1336" w:firstLine="0"/>
        <w:jc w:val="both"/>
        <w:rPr>
          <w:sz w:val="22"/>
        </w:rPr>
      </w:pPr>
      <w:r>
        <w:rPr>
          <w:b/>
          <w:sz w:val="22"/>
        </w:rPr>
        <w:t>Ley de Desafectación de Uso y Dominio Públicos de un Inmueble y Autorización al IMAS para que Segregue y Done Parte de la Finca del Partido de Limón, Matrícula 6003-000,</w:t>
      </w:r>
      <w:r>
        <w:rPr>
          <w:b/>
          <w:spacing w:val="-16"/>
          <w:sz w:val="22"/>
        </w:rPr>
        <w:t> </w:t>
      </w:r>
      <w:r>
        <w:rPr>
          <w:b/>
          <w:sz w:val="22"/>
        </w:rPr>
        <w:t>al</w:t>
      </w:r>
      <w:r>
        <w:rPr>
          <w:b/>
          <w:spacing w:val="-15"/>
          <w:sz w:val="22"/>
        </w:rPr>
        <w:t> </w:t>
      </w:r>
      <w:r>
        <w:rPr>
          <w:b/>
          <w:sz w:val="22"/>
        </w:rPr>
        <w:t>Benemérito</w:t>
      </w:r>
      <w:r>
        <w:rPr>
          <w:b/>
          <w:spacing w:val="-15"/>
          <w:sz w:val="22"/>
        </w:rPr>
        <w:t> </w:t>
      </w:r>
      <w:r>
        <w:rPr>
          <w:b/>
          <w:sz w:val="22"/>
        </w:rPr>
        <w:t>Cuerpo</w:t>
      </w:r>
      <w:r>
        <w:rPr>
          <w:b/>
          <w:spacing w:val="-16"/>
          <w:sz w:val="22"/>
        </w:rPr>
        <w:t> </w:t>
      </w:r>
      <w:r>
        <w:rPr>
          <w:b/>
          <w:sz w:val="22"/>
        </w:rPr>
        <w:t>de</w:t>
      </w:r>
      <w:r>
        <w:rPr>
          <w:b/>
          <w:spacing w:val="-15"/>
          <w:sz w:val="22"/>
        </w:rPr>
        <w:t> </w:t>
      </w:r>
      <w:r>
        <w:rPr>
          <w:b/>
          <w:sz w:val="22"/>
        </w:rPr>
        <w:t>Bomberos</w:t>
      </w:r>
      <w:r>
        <w:rPr>
          <w:b/>
          <w:spacing w:val="-15"/>
          <w:sz w:val="22"/>
        </w:rPr>
        <w:t> </w:t>
      </w:r>
      <w:r>
        <w:rPr>
          <w:b/>
          <w:sz w:val="22"/>
        </w:rPr>
        <w:t>de</w:t>
      </w:r>
      <w:r>
        <w:rPr>
          <w:b/>
          <w:spacing w:val="-15"/>
          <w:sz w:val="22"/>
        </w:rPr>
        <w:t> </w:t>
      </w:r>
      <w:r>
        <w:rPr>
          <w:b/>
          <w:sz w:val="22"/>
        </w:rPr>
        <w:t>Costa</w:t>
      </w:r>
      <w:r>
        <w:rPr>
          <w:b/>
          <w:spacing w:val="-16"/>
          <w:sz w:val="22"/>
        </w:rPr>
        <w:t> </w:t>
      </w:r>
      <w:r>
        <w:rPr>
          <w:b/>
          <w:sz w:val="22"/>
        </w:rPr>
        <w:t>Rica,</w:t>
      </w:r>
      <w:r>
        <w:rPr>
          <w:b/>
          <w:spacing w:val="-15"/>
          <w:sz w:val="22"/>
        </w:rPr>
        <w:t> </w:t>
      </w:r>
      <w:r>
        <w:rPr>
          <w:b/>
          <w:sz w:val="22"/>
        </w:rPr>
        <w:t>N°9588.</w:t>
      </w:r>
      <w:r>
        <w:rPr>
          <w:b/>
          <w:spacing w:val="-15"/>
          <w:sz w:val="22"/>
        </w:rPr>
        <w:t> </w:t>
      </w:r>
      <w:r>
        <w:rPr>
          <w:sz w:val="22"/>
        </w:rPr>
        <w:t>Autoriza</w:t>
      </w:r>
      <w:r>
        <w:rPr>
          <w:spacing w:val="-16"/>
          <w:sz w:val="22"/>
        </w:rPr>
        <w:t> </w:t>
      </w:r>
      <w:r>
        <w:rPr>
          <w:sz w:val="22"/>
        </w:rPr>
        <w:t>al</w:t>
      </w:r>
      <w:r>
        <w:rPr>
          <w:spacing w:val="-15"/>
          <w:sz w:val="22"/>
        </w:rPr>
        <w:t> </w:t>
      </w:r>
      <w:r>
        <w:rPr>
          <w:sz w:val="22"/>
        </w:rPr>
        <w:t>IMAS, para que segregue y done al Benemérito Cuerpo de Bomberos de Costa Rica, la finca inscrita en el Partido de Limón. Fecha de vigencia 11/02/2019.</w:t>
      </w:r>
    </w:p>
    <w:p>
      <w:pPr>
        <w:spacing w:line="240" w:lineRule="auto" w:before="253"/>
        <w:ind w:left="979" w:right="1343" w:firstLine="0"/>
        <w:jc w:val="both"/>
        <w:rPr>
          <w:sz w:val="22"/>
        </w:rPr>
      </w:pPr>
      <w:r>
        <w:rPr>
          <w:b/>
          <w:sz w:val="22"/>
        </w:rPr>
        <w:t>Reforma a la Ley para Mejorar la Atención de Daños Causados por Desastres Naturales</w:t>
      </w:r>
      <w:r>
        <w:rPr>
          <w:b/>
          <w:spacing w:val="-4"/>
          <w:sz w:val="22"/>
        </w:rPr>
        <w:t> </w:t>
      </w:r>
      <w:r>
        <w:rPr>
          <w:b/>
          <w:sz w:val="22"/>
        </w:rPr>
        <w:t>9641</w:t>
      </w:r>
      <w:r>
        <w:rPr>
          <w:sz w:val="22"/>
        </w:rPr>
        <w:t>,</w:t>
      </w:r>
      <w:r>
        <w:rPr>
          <w:spacing w:val="-5"/>
          <w:sz w:val="22"/>
        </w:rPr>
        <w:t> </w:t>
      </w:r>
      <w:r>
        <w:rPr>
          <w:sz w:val="22"/>
        </w:rPr>
        <w:t>Reforma</w:t>
      </w:r>
      <w:r>
        <w:rPr>
          <w:spacing w:val="-4"/>
          <w:sz w:val="22"/>
        </w:rPr>
        <w:t> </w:t>
      </w:r>
      <w:r>
        <w:rPr>
          <w:sz w:val="22"/>
        </w:rPr>
        <w:t>el</w:t>
      </w:r>
      <w:r>
        <w:rPr>
          <w:spacing w:val="-7"/>
          <w:sz w:val="22"/>
        </w:rPr>
        <w:t> </w:t>
      </w:r>
      <w:r>
        <w:rPr>
          <w:sz w:val="22"/>
        </w:rPr>
        <w:t>último</w:t>
      </w:r>
      <w:r>
        <w:rPr>
          <w:spacing w:val="-4"/>
          <w:sz w:val="22"/>
        </w:rPr>
        <w:t> </w:t>
      </w:r>
      <w:r>
        <w:rPr>
          <w:sz w:val="22"/>
        </w:rPr>
        <w:t>párrafo</w:t>
      </w:r>
      <w:r>
        <w:rPr>
          <w:spacing w:val="-4"/>
          <w:sz w:val="22"/>
        </w:rPr>
        <w:t> </w:t>
      </w:r>
      <w:r>
        <w:rPr>
          <w:sz w:val="22"/>
        </w:rPr>
        <w:t>del</w:t>
      </w:r>
      <w:r>
        <w:rPr>
          <w:spacing w:val="-7"/>
          <w:sz w:val="22"/>
        </w:rPr>
        <w:t> </w:t>
      </w:r>
      <w:r>
        <w:rPr>
          <w:sz w:val="22"/>
        </w:rPr>
        <w:t>artículo</w:t>
      </w:r>
      <w:r>
        <w:rPr>
          <w:spacing w:val="-4"/>
          <w:sz w:val="22"/>
        </w:rPr>
        <w:t> </w:t>
      </w:r>
      <w:r>
        <w:rPr>
          <w:sz w:val="22"/>
        </w:rPr>
        <w:t>15</w:t>
      </w:r>
      <w:r>
        <w:rPr>
          <w:spacing w:val="-4"/>
          <w:sz w:val="22"/>
        </w:rPr>
        <w:t> </w:t>
      </w:r>
      <w:r>
        <w:rPr>
          <w:sz w:val="22"/>
        </w:rPr>
        <w:t>de</w:t>
      </w:r>
      <w:r>
        <w:rPr>
          <w:spacing w:val="-4"/>
          <w:sz w:val="22"/>
        </w:rPr>
        <w:t> </w:t>
      </w:r>
      <w:r>
        <w:rPr>
          <w:sz w:val="22"/>
        </w:rPr>
        <w:t>la</w:t>
      </w:r>
      <w:r>
        <w:rPr>
          <w:spacing w:val="-4"/>
          <w:sz w:val="22"/>
        </w:rPr>
        <w:t> </w:t>
      </w:r>
      <w:r>
        <w:rPr>
          <w:sz w:val="22"/>
        </w:rPr>
        <w:t>Ley</w:t>
      </w:r>
      <w:r>
        <w:rPr>
          <w:spacing w:val="-1"/>
          <w:sz w:val="22"/>
        </w:rPr>
        <w:t> </w:t>
      </w:r>
      <w:r>
        <w:rPr>
          <w:sz w:val="22"/>
        </w:rPr>
        <w:t>N.º</w:t>
      </w:r>
      <w:r>
        <w:rPr>
          <w:spacing w:val="-5"/>
          <w:sz w:val="22"/>
        </w:rPr>
        <w:t> </w:t>
      </w:r>
      <w:r>
        <w:rPr>
          <w:sz w:val="22"/>
        </w:rPr>
        <w:t>8488,</w:t>
      </w:r>
      <w:r>
        <w:rPr>
          <w:spacing w:val="-5"/>
          <w:sz w:val="22"/>
        </w:rPr>
        <w:t> </w:t>
      </w:r>
      <w:r>
        <w:rPr>
          <w:sz w:val="22"/>
        </w:rPr>
        <w:t>Ley</w:t>
      </w:r>
      <w:r>
        <w:rPr>
          <w:spacing w:val="-6"/>
          <w:sz w:val="22"/>
        </w:rPr>
        <w:t> </w:t>
      </w:r>
      <w:r>
        <w:rPr>
          <w:sz w:val="22"/>
        </w:rPr>
        <w:t>Nacional de Emergencias y Prevención del Riesgo. Fecha de vigencia 18/03/2019</w:t>
      </w:r>
    </w:p>
    <w:p>
      <w:pPr>
        <w:pStyle w:val="BodyText"/>
      </w:pPr>
    </w:p>
    <w:p>
      <w:pPr>
        <w:pStyle w:val="Heading2"/>
        <w:spacing w:line="251" w:lineRule="exact"/>
        <w:jc w:val="both"/>
      </w:pPr>
      <w:r>
        <w:rPr>
          <w:spacing w:val="-2"/>
        </w:rPr>
        <w:t>Reforma</w:t>
      </w:r>
      <w:r>
        <w:rPr>
          <w:spacing w:val="-14"/>
        </w:rPr>
        <w:t> </w:t>
      </w:r>
      <w:r>
        <w:rPr>
          <w:spacing w:val="-2"/>
        </w:rPr>
        <w:t>a</w:t>
      </w:r>
      <w:r>
        <w:rPr>
          <w:spacing w:val="-8"/>
        </w:rPr>
        <w:t> </w:t>
      </w:r>
      <w:r>
        <w:rPr>
          <w:spacing w:val="-2"/>
        </w:rPr>
        <w:t>la</w:t>
      </w:r>
      <w:r>
        <w:rPr>
          <w:spacing w:val="-13"/>
        </w:rPr>
        <w:t> </w:t>
      </w:r>
      <w:r>
        <w:rPr>
          <w:spacing w:val="-2"/>
        </w:rPr>
        <w:t>Ley</w:t>
      </w:r>
      <w:r>
        <w:rPr>
          <w:spacing w:val="-12"/>
        </w:rPr>
        <w:t> </w:t>
      </w:r>
      <w:r>
        <w:rPr>
          <w:spacing w:val="-2"/>
        </w:rPr>
        <w:t>para</w:t>
      </w:r>
      <w:r>
        <w:rPr>
          <w:spacing w:val="-8"/>
        </w:rPr>
        <w:t> </w:t>
      </w:r>
      <w:r>
        <w:rPr>
          <w:spacing w:val="-2"/>
        </w:rPr>
        <w:t>mejorar</w:t>
      </w:r>
      <w:r>
        <w:rPr>
          <w:spacing w:val="-8"/>
        </w:rPr>
        <w:t> </w:t>
      </w:r>
      <w:r>
        <w:rPr>
          <w:spacing w:val="-2"/>
        </w:rPr>
        <w:t>la</w:t>
      </w:r>
      <w:r>
        <w:rPr>
          <w:spacing w:val="-8"/>
        </w:rPr>
        <w:t> </w:t>
      </w:r>
      <w:r>
        <w:rPr>
          <w:spacing w:val="-2"/>
        </w:rPr>
        <w:t>atención</w:t>
      </w:r>
      <w:r>
        <w:rPr>
          <w:spacing w:val="-10"/>
        </w:rPr>
        <w:t> </w:t>
      </w:r>
      <w:r>
        <w:rPr>
          <w:spacing w:val="-2"/>
        </w:rPr>
        <w:t>de</w:t>
      </w:r>
      <w:r>
        <w:rPr>
          <w:spacing w:val="-8"/>
        </w:rPr>
        <w:t> </w:t>
      </w:r>
      <w:r>
        <w:rPr>
          <w:spacing w:val="-2"/>
        </w:rPr>
        <w:t>daños</w:t>
      </w:r>
      <w:r>
        <w:rPr>
          <w:spacing w:val="-7"/>
        </w:rPr>
        <w:t> </w:t>
      </w:r>
      <w:r>
        <w:rPr>
          <w:spacing w:val="-2"/>
        </w:rPr>
        <w:t>causados</w:t>
      </w:r>
      <w:r>
        <w:rPr>
          <w:spacing w:val="-8"/>
        </w:rPr>
        <w:t> </w:t>
      </w:r>
      <w:r>
        <w:rPr>
          <w:spacing w:val="-2"/>
        </w:rPr>
        <w:t>por</w:t>
      </w:r>
      <w:r>
        <w:rPr>
          <w:spacing w:val="-8"/>
        </w:rPr>
        <w:t> </w:t>
      </w:r>
      <w:r>
        <w:rPr>
          <w:spacing w:val="-2"/>
        </w:rPr>
        <w:t>desastres</w:t>
      </w:r>
      <w:r>
        <w:rPr>
          <w:spacing w:val="-7"/>
        </w:rPr>
        <w:t> </w:t>
      </w:r>
      <w:r>
        <w:rPr>
          <w:spacing w:val="-2"/>
        </w:rPr>
        <w:t>naturales</w:t>
      </w:r>
    </w:p>
    <w:p>
      <w:pPr>
        <w:pStyle w:val="BodyText"/>
        <w:spacing w:line="251" w:lineRule="exact"/>
        <w:ind w:left="979"/>
        <w:jc w:val="both"/>
      </w:pPr>
      <w:r>
        <w:rPr/>
        <w:t>9641</w:t>
      </w:r>
      <w:r>
        <w:rPr>
          <w:spacing w:val="-7"/>
        </w:rPr>
        <w:t> </w:t>
      </w:r>
      <w:r>
        <w:rPr/>
        <w:t>fecha</w:t>
      </w:r>
      <w:r>
        <w:rPr>
          <w:spacing w:val="-6"/>
        </w:rPr>
        <w:t> </w:t>
      </w:r>
      <w:r>
        <w:rPr/>
        <w:t>de</w:t>
      </w:r>
      <w:r>
        <w:rPr>
          <w:spacing w:val="-3"/>
        </w:rPr>
        <w:t> </w:t>
      </w:r>
      <w:r>
        <w:rPr/>
        <w:t>vigencia</w:t>
      </w:r>
      <w:r>
        <w:rPr>
          <w:spacing w:val="3"/>
        </w:rPr>
        <w:t> </w:t>
      </w:r>
      <w:r>
        <w:rPr>
          <w:spacing w:val="-2"/>
        </w:rPr>
        <w:t>18/03/2019.</w:t>
      </w:r>
    </w:p>
    <w:p>
      <w:pPr>
        <w:pStyle w:val="BodyText"/>
        <w:spacing w:after="0" w:line="251" w:lineRule="exact"/>
        <w:jc w:val="both"/>
        <w:sectPr>
          <w:pgSz w:w="12240" w:h="15840"/>
          <w:pgMar w:header="0" w:footer="1021" w:top="1340" w:bottom="1220" w:left="720" w:right="360"/>
        </w:sectPr>
      </w:pPr>
    </w:p>
    <w:p>
      <w:pPr>
        <w:pStyle w:val="BodyText"/>
        <w:spacing w:before="76"/>
        <w:ind w:left="979" w:right="1338"/>
        <w:jc w:val="both"/>
      </w:pPr>
      <w:r>
        <w:rPr>
          <w:b/>
        </w:rPr>
        <w:t>Reforma</w:t>
      </w:r>
      <w:r>
        <w:rPr>
          <w:b/>
          <w:spacing w:val="-4"/>
        </w:rPr>
        <w:t> </w:t>
      </w:r>
      <w:r>
        <w:rPr>
          <w:b/>
        </w:rPr>
        <w:t>de</w:t>
      </w:r>
      <w:r>
        <w:rPr>
          <w:b/>
          <w:spacing w:val="-5"/>
        </w:rPr>
        <w:t> </w:t>
      </w:r>
      <w:r>
        <w:rPr>
          <w:b/>
        </w:rPr>
        <w:t>la</w:t>
      </w:r>
      <w:r>
        <w:rPr>
          <w:b/>
          <w:spacing w:val="-4"/>
        </w:rPr>
        <w:t> </w:t>
      </w:r>
      <w:r>
        <w:rPr>
          <w:b/>
        </w:rPr>
        <w:t>Ley</w:t>
      </w:r>
      <w:r>
        <w:rPr>
          <w:b/>
          <w:spacing w:val="-4"/>
        </w:rPr>
        <w:t> </w:t>
      </w:r>
      <w:r>
        <w:rPr>
          <w:b/>
        </w:rPr>
        <w:t>Nº</w:t>
      </w:r>
      <w:r>
        <w:rPr>
          <w:b/>
          <w:spacing w:val="-5"/>
        </w:rPr>
        <w:t> </w:t>
      </w:r>
      <w:r>
        <w:rPr>
          <w:b/>
        </w:rPr>
        <w:t>8634,</w:t>
      </w:r>
      <w:r>
        <w:rPr>
          <w:b/>
          <w:spacing w:val="-5"/>
        </w:rPr>
        <w:t> </w:t>
      </w:r>
      <w:r>
        <w:rPr>
          <w:b/>
        </w:rPr>
        <w:t>Sistema de Banca</w:t>
      </w:r>
      <w:r>
        <w:rPr>
          <w:b/>
          <w:spacing w:val="-4"/>
        </w:rPr>
        <w:t> </w:t>
      </w:r>
      <w:r>
        <w:rPr>
          <w:b/>
        </w:rPr>
        <w:t>para</w:t>
      </w:r>
      <w:r>
        <w:rPr>
          <w:b/>
          <w:spacing w:val="-4"/>
        </w:rPr>
        <w:t> </w:t>
      </w:r>
      <w:r>
        <w:rPr>
          <w:b/>
        </w:rPr>
        <w:t>el</w:t>
      </w:r>
      <w:r>
        <w:rPr>
          <w:b/>
          <w:spacing w:val="-5"/>
        </w:rPr>
        <w:t> </w:t>
      </w:r>
      <w:r>
        <w:rPr>
          <w:b/>
        </w:rPr>
        <w:t>Desarrollo </w:t>
      </w:r>
      <w:r>
        <w:rPr/>
        <w:t>Ley</w:t>
      </w:r>
      <w:r>
        <w:rPr>
          <w:spacing w:val="-1"/>
        </w:rPr>
        <w:t> </w:t>
      </w:r>
      <w:r>
        <w:rPr/>
        <w:t>N°</w:t>
      </w:r>
      <w:r>
        <w:rPr>
          <w:spacing w:val="-8"/>
        </w:rPr>
        <w:t> </w:t>
      </w:r>
      <w:r>
        <w:rPr/>
        <w:t>9654</w:t>
      </w:r>
      <w:r>
        <w:rPr>
          <w:spacing w:val="-4"/>
        </w:rPr>
        <w:t> </w:t>
      </w:r>
      <w:r>
        <w:rPr/>
        <w:t>fecha de vigencia18/03/2019, Reforma el primer párrafo del artículo 2, el penúltimo párrafo del artículo</w:t>
      </w:r>
      <w:r>
        <w:rPr>
          <w:spacing w:val="-3"/>
        </w:rPr>
        <w:t> </w:t>
      </w:r>
      <w:r>
        <w:rPr/>
        <w:t>6,</w:t>
      </w:r>
      <w:r>
        <w:rPr>
          <w:spacing w:val="-9"/>
        </w:rPr>
        <w:t> </w:t>
      </w:r>
      <w:r>
        <w:rPr/>
        <w:t>el</w:t>
      </w:r>
      <w:r>
        <w:rPr>
          <w:spacing w:val="-6"/>
        </w:rPr>
        <w:t> </w:t>
      </w:r>
      <w:r>
        <w:rPr/>
        <w:t>primero</w:t>
      </w:r>
      <w:r>
        <w:rPr>
          <w:spacing w:val="-3"/>
        </w:rPr>
        <w:t> </w:t>
      </w:r>
      <w:r>
        <w:rPr/>
        <w:t>y</w:t>
      </w:r>
      <w:r>
        <w:rPr>
          <w:spacing w:val="-5"/>
        </w:rPr>
        <w:t> </w:t>
      </w:r>
      <w:r>
        <w:rPr/>
        <w:t>segundo</w:t>
      </w:r>
      <w:r>
        <w:rPr>
          <w:spacing w:val="-3"/>
        </w:rPr>
        <w:t> </w:t>
      </w:r>
      <w:r>
        <w:rPr/>
        <w:t>párrafos</w:t>
      </w:r>
      <w:r>
        <w:rPr>
          <w:spacing w:val="-10"/>
        </w:rPr>
        <w:t> </w:t>
      </w:r>
      <w:r>
        <w:rPr/>
        <w:t>del</w:t>
      </w:r>
      <w:r>
        <w:rPr>
          <w:spacing w:val="-11"/>
        </w:rPr>
        <w:t> </w:t>
      </w:r>
      <w:r>
        <w:rPr/>
        <w:t>artículo</w:t>
      </w:r>
      <w:r>
        <w:rPr>
          <w:spacing w:val="-3"/>
        </w:rPr>
        <w:t> </w:t>
      </w:r>
      <w:r>
        <w:rPr/>
        <w:t>7,</w:t>
      </w:r>
      <w:r>
        <w:rPr>
          <w:spacing w:val="-9"/>
        </w:rPr>
        <w:t> </w:t>
      </w:r>
      <w:r>
        <w:rPr/>
        <w:t>el</w:t>
      </w:r>
      <w:r>
        <w:rPr>
          <w:spacing w:val="-6"/>
        </w:rPr>
        <w:t> </w:t>
      </w:r>
      <w:r>
        <w:rPr/>
        <w:t>artículo</w:t>
      </w:r>
      <w:r>
        <w:rPr>
          <w:spacing w:val="-8"/>
        </w:rPr>
        <w:t> </w:t>
      </w:r>
      <w:r>
        <w:rPr/>
        <w:t>9,</w:t>
      </w:r>
      <w:r>
        <w:rPr>
          <w:spacing w:val="-4"/>
        </w:rPr>
        <w:t> </w:t>
      </w:r>
      <w:r>
        <w:rPr/>
        <w:t>los</w:t>
      </w:r>
      <w:r>
        <w:rPr>
          <w:spacing w:val="-5"/>
        </w:rPr>
        <w:t> </w:t>
      </w:r>
      <w:r>
        <w:rPr/>
        <w:t>incisos</w:t>
      </w:r>
      <w:r>
        <w:rPr>
          <w:spacing w:val="-10"/>
        </w:rPr>
        <w:t> </w:t>
      </w:r>
      <w:r>
        <w:rPr/>
        <w:t>h),</w:t>
      </w:r>
      <w:r>
        <w:rPr>
          <w:spacing w:val="-4"/>
        </w:rPr>
        <w:t> </w:t>
      </w:r>
      <w:r>
        <w:rPr/>
        <w:t>i),</w:t>
      </w:r>
      <w:r>
        <w:rPr>
          <w:spacing w:val="-4"/>
        </w:rPr>
        <w:t> </w:t>
      </w:r>
      <w:r>
        <w:rPr/>
        <w:t>j)</w:t>
      </w:r>
      <w:r>
        <w:rPr>
          <w:spacing w:val="-7"/>
        </w:rPr>
        <w:t> </w:t>
      </w:r>
      <w:r>
        <w:rPr/>
        <w:t>y</w:t>
      </w:r>
      <w:r>
        <w:rPr>
          <w:spacing w:val="-5"/>
        </w:rPr>
        <w:t> </w:t>
      </w:r>
      <w:r>
        <w:rPr/>
        <w:t>m) del artículo 14, el epígrafe del capítulo 111, los artículos 15, 16, 18, 19, 22, 30 y 38, y el inciso a)</w:t>
      </w:r>
      <w:r>
        <w:rPr>
          <w:spacing w:val="-7"/>
        </w:rPr>
        <w:t> </w:t>
      </w:r>
      <w:r>
        <w:rPr/>
        <w:t>del</w:t>
      </w:r>
      <w:r>
        <w:rPr>
          <w:spacing w:val="-1"/>
        </w:rPr>
        <w:t> </w:t>
      </w:r>
      <w:r>
        <w:rPr/>
        <w:t>artículo 41 de la Ley N.º</w:t>
      </w:r>
      <w:r>
        <w:rPr>
          <w:spacing w:val="-4"/>
        </w:rPr>
        <w:t> </w:t>
      </w:r>
      <w:r>
        <w:rPr/>
        <w:t>8634, Sistema</w:t>
      </w:r>
      <w:r>
        <w:rPr>
          <w:spacing w:val="-3"/>
        </w:rPr>
        <w:t> </w:t>
      </w:r>
      <w:r>
        <w:rPr/>
        <w:t>de</w:t>
      </w:r>
      <w:r>
        <w:rPr>
          <w:spacing w:val="-3"/>
        </w:rPr>
        <w:t> </w:t>
      </w:r>
      <w:r>
        <w:rPr/>
        <w:t>Banca</w:t>
      </w:r>
      <w:r>
        <w:rPr>
          <w:spacing w:val="-3"/>
        </w:rPr>
        <w:t> </w:t>
      </w:r>
      <w:r>
        <w:rPr/>
        <w:t>para el</w:t>
      </w:r>
      <w:r>
        <w:rPr>
          <w:spacing w:val="-1"/>
        </w:rPr>
        <w:t> </w:t>
      </w:r>
      <w:r>
        <w:rPr/>
        <w:t>Desarrollo,</w:t>
      </w:r>
      <w:r>
        <w:rPr>
          <w:spacing w:val="-4"/>
        </w:rPr>
        <w:t> </w:t>
      </w:r>
      <w:r>
        <w:rPr/>
        <w:t>de</w:t>
      </w:r>
      <w:r>
        <w:rPr>
          <w:spacing w:val="-3"/>
        </w:rPr>
        <w:t> </w:t>
      </w:r>
      <w:r>
        <w:rPr/>
        <w:t>23</w:t>
      </w:r>
      <w:r>
        <w:rPr>
          <w:spacing w:val="-3"/>
        </w:rPr>
        <w:t> </w:t>
      </w:r>
      <w:r>
        <w:rPr/>
        <w:t>de abril de 2008. fecha de vigencia 18/03/2019.</w:t>
      </w:r>
    </w:p>
    <w:p>
      <w:pPr>
        <w:pStyle w:val="BodyText"/>
        <w:spacing w:before="1"/>
      </w:pPr>
    </w:p>
    <w:p>
      <w:pPr>
        <w:spacing w:line="240" w:lineRule="auto" w:before="0"/>
        <w:ind w:left="979" w:right="1332" w:firstLine="0"/>
        <w:jc w:val="both"/>
        <w:rPr>
          <w:sz w:val="22"/>
        </w:rPr>
      </w:pPr>
      <w:r>
        <w:rPr>
          <w:b/>
          <w:sz w:val="22"/>
        </w:rPr>
        <w:t>Ley N°9665. Sobre el refrendo</w:t>
      </w:r>
      <w:r>
        <w:rPr>
          <w:b/>
          <w:spacing w:val="-1"/>
          <w:sz w:val="22"/>
        </w:rPr>
        <w:t> </w:t>
      </w:r>
      <w:r>
        <w:rPr>
          <w:b/>
          <w:sz w:val="22"/>
        </w:rPr>
        <w:t>de las contrataciones de la administración pública.</w:t>
      </w:r>
      <w:r>
        <w:rPr>
          <w:b/>
          <w:spacing w:val="40"/>
          <w:sz w:val="22"/>
        </w:rPr>
        <w:t> </w:t>
      </w:r>
      <w:r>
        <w:rPr>
          <w:b/>
          <w:sz w:val="22"/>
        </w:rPr>
        <w:t>Y sus</w:t>
      </w:r>
      <w:r>
        <w:rPr>
          <w:b/>
          <w:spacing w:val="-5"/>
          <w:sz w:val="22"/>
        </w:rPr>
        <w:t> </w:t>
      </w:r>
      <w:r>
        <w:rPr>
          <w:b/>
          <w:sz w:val="22"/>
        </w:rPr>
        <w:t>reformas.</w:t>
      </w:r>
      <w:r>
        <w:rPr>
          <w:b/>
          <w:spacing w:val="-8"/>
          <w:sz w:val="22"/>
        </w:rPr>
        <w:t> </w:t>
      </w:r>
      <w:r>
        <w:rPr>
          <w:sz w:val="22"/>
        </w:rPr>
        <w:t>Regula</w:t>
      </w:r>
      <w:r>
        <w:rPr>
          <w:spacing w:val="-9"/>
          <w:sz w:val="22"/>
        </w:rPr>
        <w:t> </w:t>
      </w:r>
      <w:r>
        <w:rPr>
          <w:sz w:val="22"/>
        </w:rPr>
        <w:t>el</w:t>
      </w:r>
      <w:r>
        <w:rPr>
          <w:spacing w:val="-7"/>
          <w:sz w:val="22"/>
        </w:rPr>
        <w:t> </w:t>
      </w:r>
      <w:r>
        <w:rPr>
          <w:sz w:val="22"/>
        </w:rPr>
        <w:t>refrendo</w:t>
      </w:r>
      <w:r>
        <w:rPr>
          <w:spacing w:val="-9"/>
          <w:sz w:val="22"/>
        </w:rPr>
        <w:t> </w:t>
      </w:r>
      <w:r>
        <w:rPr>
          <w:sz w:val="22"/>
        </w:rPr>
        <w:t>de</w:t>
      </w:r>
      <w:r>
        <w:rPr>
          <w:spacing w:val="-4"/>
          <w:sz w:val="22"/>
        </w:rPr>
        <w:t> </w:t>
      </w:r>
      <w:r>
        <w:rPr>
          <w:sz w:val="22"/>
        </w:rPr>
        <w:t>las</w:t>
      </w:r>
      <w:r>
        <w:rPr>
          <w:spacing w:val="-6"/>
          <w:sz w:val="22"/>
        </w:rPr>
        <w:t> </w:t>
      </w:r>
      <w:r>
        <w:rPr>
          <w:sz w:val="22"/>
        </w:rPr>
        <w:t>contrataciones</w:t>
      </w:r>
      <w:r>
        <w:rPr>
          <w:spacing w:val="-11"/>
          <w:sz w:val="22"/>
        </w:rPr>
        <w:t> </w:t>
      </w:r>
      <w:r>
        <w:rPr>
          <w:sz w:val="22"/>
        </w:rPr>
        <w:t>de</w:t>
      </w:r>
      <w:r>
        <w:rPr>
          <w:spacing w:val="-4"/>
          <w:sz w:val="22"/>
        </w:rPr>
        <w:t> </w:t>
      </w:r>
      <w:r>
        <w:rPr>
          <w:sz w:val="22"/>
        </w:rPr>
        <w:t>la</w:t>
      </w:r>
      <w:r>
        <w:rPr>
          <w:spacing w:val="-9"/>
          <w:sz w:val="22"/>
        </w:rPr>
        <w:t> </w:t>
      </w:r>
      <w:r>
        <w:rPr>
          <w:sz w:val="22"/>
        </w:rPr>
        <w:t>administración</w:t>
      </w:r>
      <w:r>
        <w:rPr>
          <w:spacing w:val="-9"/>
          <w:sz w:val="22"/>
        </w:rPr>
        <w:t> </w:t>
      </w:r>
      <w:r>
        <w:rPr>
          <w:sz w:val="22"/>
        </w:rPr>
        <w:t>pública,</w:t>
      </w:r>
      <w:r>
        <w:rPr>
          <w:spacing w:val="-5"/>
          <w:sz w:val="22"/>
        </w:rPr>
        <w:t> </w:t>
      </w:r>
      <w:r>
        <w:rPr>
          <w:sz w:val="22"/>
        </w:rPr>
        <w:t>como requisito de eficacia de los contratos administrativos, mediante el cual se verifica que el clausulado del contrato se ajusta sustancialmente al ordenamiento jurídico, las reglas del cartel y los términos de la oferta del contratista. Fecha de vigencia 15/05/2019.</w:t>
      </w:r>
    </w:p>
    <w:p>
      <w:pPr>
        <w:spacing w:line="240" w:lineRule="auto" w:before="252"/>
        <w:ind w:left="979" w:right="1336" w:firstLine="0"/>
        <w:jc w:val="both"/>
        <w:rPr>
          <w:sz w:val="22"/>
        </w:rPr>
      </w:pPr>
      <w:r>
        <w:rPr>
          <w:b/>
          <w:sz w:val="22"/>
        </w:rPr>
        <w:t>Reforma de la Ley</w:t>
      </w:r>
      <w:r>
        <w:rPr>
          <w:b/>
          <w:spacing w:val="-3"/>
          <w:sz w:val="22"/>
        </w:rPr>
        <w:t> </w:t>
      </w:r>
      <w:r>
        <w:rPr>
          <w:b/>
          <w:sz w:val="22"/>
        </w:rPr>
        <w:t>N.º 7142, Ley</w:t>
      </w:r>
      <w:r>
        <w:rPr>
          <w:b/>
          <w:spacing w:val="-3"/>
          <w:sz w:val="22"/>
        </w:rPr>
        <w:t> </w:t>
      </w:r>
      <w:r>
        <w:rPr>
          <w:b/>
          <w:sz w:val="22"/>
        </w:rPr>
        <w:t>de promoción</w:t>
      </w:r>
      <w:r>
        <w:rPr>
          <w:b/>
          <w:spacing w:val="-6"/>
          <w:sz w:val="22"/>
        </w:rPr>
        <w:t> </w:t>
      </w:r>
      <w:r>
        <w:rPr>
          <w:b/>
          <w:sz w:val="22"/>
        </w:rPr>
        <w:t>de la igualdad</w:t>
      </w:r>
      <w:r>
        <w:rPr>
          <w:b/>
          <w:spacing w:val="-1"/>
          <w:sz w:val="22"/>
        </w:rPr>
        <w:t> </w:t>
      </w:r>
      <w:r>
        <w:rPr>
          <w:b/>
          <w:sz w:val="22"/>
        </w:rPr>
        <w:t>social de la mujer</w:t>
      </w:r>
      <w:r>
        <w:rPr>
          <w:sz w:val="22"/>
        </w:rPr>
        <w:t>,</w:t>
      </w:r>
      <w:r>
        <w:rPr>
          <w:spacing w:val="-4"/>
          <w:sz w:val="22"/>
        </w:rPr>
        <w:t> </w:t>
      </w:r>
      <w:r>
        <w:rPr>
          <w:sz w:val="22"/>
        </w:rPr>
        <w:t>de</w:t>
      </w:r>
      <w:r>
        <w:rPr>
          <w:spacing w:val="-3"/>
          <w:sz w:val="22"/>
        </w:rPr>
        <w:t> </w:t>
      </w:r>
      <w:r>
        <w:rPr>
          <w:sz w:val="22"/>
        </w:rPr>
        <w:t>8 de</w:t>
      </w:r>
      <w:r>
        <w:rPr>
          <w:spacing w:val="-8"/>
          <w:sz w:val="22"/>
        </w:rPr>
        <w:t> </w:t>
      </w:r>
      <w:r>
        <w:rPr>
          <w:sz w:val="22"/>
        </w:rPr>
        <w:t>marzo</w:t>
      </w:r>
      <w:r>
        <w:rPr>
          <w:spacing w:val="-3"/>
          <w:sz w:val="22"/>
        </w:rPr>
        <w:t> </w:t>
      </w:r>
      <w:r>
        <w:rPr>
          <w:sz w:val="22"/>
        </w:rPr>
        <w:t>de</w:t>
      </w:r>
      <w:r>
        <w:rPr>
          <w:spacing w:val="-8"/>
          <w:sz w:val="22"/>
        </w:rPr>
        <w:t> </w:t>
      </w:r>
      <w:r>
        <w:rPr>
          <w:sz w:val="22"/>
        </w:rPr>
        <w:t>1990,</w:t>
      </w:r>
      <w:r>
        <w:rPr>
          <w:spacing w:val="-4"/>
          <w:sz w:val="22"/>
        </w:rPr>
        <w:t> </w:t>
      </w:r>
      <w:r>
        <w:rPr>
          <w:sz w:val="22"/>
        </w:rPr>
        <w:t>para</w:t>
      </w:r>
      <w:r>
        <w:rPr>
          <w:spacing w:val="-3"/>
          <w:sz w:val="22"/>
        </w:rPr>
        <w:t> </w:t>
      </w:r>
      <w:r>
        <w:rPr>
          <w:sz w:val="22"/>
        </w:rPr>
        <w:t>la</w:t>
      </w:r>
      <w:r>
        <w:rPr>
          <w:spacing w:val="-3"/>
          <w:sz w:val="22"/>
        </w:rPr>
        <w:t> </w:t>
      </w:r>
      <w:r>
        <w:rPr>
          <w:sz w:val="22"/>
        </w:rPr>
        <w:t>protección</w:t>
      </w:r>
      <w:r>
        <w:rPr>
          <w:spacing w:val="-8"/>
          <w:sz w:val="22"/>
        </w:rPr>
        <w:t> </w:t>
      </w:r>
      <w:r>
        <w:rPr>
          <w:sz w:val="22"/>
        </w:rPr>
        <w:t>de</w:t>
      </w:r>
      <w:r>
        <w:rPr>
          <w:spacing w:val="-3"/>
          <w:sz w:val="22"/>
        </w:rPr>
        <w:t> </w:t>
      </w:r>
      <w:r>
        <w:rPr>
          <w:sz w:val="22"/>
        </w:rPr>
        <w:t>la</w:t>
      </w:r>
      <w:r>
        <w:rPr>
          <w:spacing w:val="-3"/>
          <w:sz w:val="22"/>
        </w:rPr>
        <w:t> </w:t>
      </w:r>
      <w:r>
        <w:rPr>
          <w:sz w:val="22"/>
        </w:rPr>
        <w:t>igualdad</w:t>
      </w:r>
      <w:r>
        <w:rPr>
          <w:spacing w:val="-3"/>
          <w:sz w:val="22"/>
        </w:rPr>
        <w:t> </w:t>
      </w:r>
      <w:r>
        <w:rPr>
          <w:sz w:val="22"/>
        </w:rPr>
        <w:t>salarial</w:t>
      </w:r>
      <w:r>
        <w:rPr>
          <w:spacing w:val="-6"/>
          <w:sz w:val="22"/>
        </w:rPr>
        <w:t> </w:t>
      </w:r>
      <w:r>
        <w:rPr>
          <w:sz w:val="22"/>
        </w:rPr>
        <w:t>entre</w:t>
      </w:r>
      <w:r>
        <w:rPr>
          <w:spacing w:val="-8"/>
          <w:sz w:val="22"/>
        </w:rPr>
        <w:t> </w:t>
      </w:r>
      <w:r>
        <w:rPr>
          <w:sz w:val="22"/>
        </w:rPr>
        <w:t>mujeres</w:t>
      </w:r>
      <w:r>
        <w:rPr>
          <w:spacing w:val="-5"/>
          <w:sz w:val="22"/>
        </w:rPr>
        <w:t> </w:t>
      </w:r>
      <w:r>
        <w:rPr>
          <w:sz w:val="22"/>
        </w:rPr>
        <w:t>y</w:t>
      </w:r>
      <w:r>
        <w:rPr>
          <w:spacing w:val="-5"/>
          <w:sz w:val="22"/>
        </w:rPr>
        <w:t> </w:t>
      </w:r>
      <w:r>
        <w:rPr>
          <w:sz w:val="22"/>
        </w:rPr>
        <w:t>hombres</w:t>
      </w:r>
      <w:r>
        <w:rPr>
          <w:spacing w:val="-10"/>
          <w:sz w:val="22"/>
        </w:rPr>
        <w:t> </w:t>
      </w:r>
      <w:r>
        <w:rPr>
          <w:sz w:val="22"/>
        </w:rPr>
        <w:t>9677 fecha</w:t>
      </w:r>
      <w:r>
        <w:rPr>
          <w:spacing w:val="-4"/>
          <w:sz w:val="22"/>
        </w:rPr>
        <w:t> </w:t>
      </w:r>
      <w:r>
        <w:rPr>
          <w:sz w:val="22"/>
        </w:rPr>
        <w:t>de</w:t>
      </w:r>
      <w:r>
        <w:rPr>
          <w:spacing w:val="-4"/>
          <w:sz w:val="22"/>
        </w:rPr>
        <w:t> </w:t>
      </w:r>
      <w:r>
        <w:rPr>
          <w:sz w:val="22"/>
        </w:rPr>
        <w:t>vigencia</w:t>
      </w:r>
      <w:r>
        <w:rPr>
          <w:spacing w:val="-4"/>
          <w:sz w:val="22"/>
        </w:rPr>
        <w:t> </w:t>
      </w:r>
      <w:r>
        <w:rPr>
          <w:sz w:val="22"/>
        </w:rPr>
        <w:t>21/05/2019,</w:t>
      </w:r>
      <w:r>
        <w:rPr>
          <w:spacing w:val="-5"/>
          <w:sz w:val="22"/>
        </w:rPr>
        <w:t> </w:t>
      </w:r>
      <w:r>
        <w:rPr>
          <w:sz w:val="22"/>
        </w:rPr>
        <w:t>Adiciona los</w:t>
      </w:r>
      <w:r>
        <w:rPr>
          <w:spacing w:val="-6"/>
          <w:sz w:val="22"/>
        </w:rPr>
        <w:t> </w:t>
      </w:r>
      <w:r>
        <w:rPr>
          <w:sz w:val="22"/>
        </w:rPr>
        <w:t>artículos</w:t>
      </w:r>
      <w:r>
        <w:rPr>
          <w:spacing w:val="-6"/>
          <w:sz w:val="22"/>
        </w:rPr>
        <w:t> </w:t>
      </w:r>
      <w:r>
        <w:rPr>
          <w:sz w:val="22"/>
        </w:rPr>
        <w:t>14,</w:t>
      </w:r>
      <w:r>
        <w:rPr>
          <w:spacing w:val="-5"/>
          <w:sz w:val="22"/>
        </w:rPr>
        <w:t> </w:t>
      </w:r>
      <w:r>
        <w:rPr>
          <w:sz w:val="22"/>
        </w:rPr>
        <w:t>15 y</w:t>
      </w:r>
      <w:r>
        <w:rPr>
          <w:spacing w:val="-6"/>
          <w:sz w:val="22"/>
        </w:rPr>
        <w:t> </w:t>
      </w:r>
      <w:r>
        <w:rPr>
          <w:sz w:val="22"/>
        </w:rPr>
        <w:t>16</w:t>
      </w:r>
      <w:r>
        <w:rPr>
          <w:spacing w:val="-4"/>
          <w:sz w:val="22"/>
        </w:rPr>
        <w:t> </w:t>
      </w:r>
      <w:r>
        <w:rPr>
          <w:sz w:val="22"/>
        </w:rPr>
        <w:t>al</w:t>
      </w:r>
      <w:r>
        <w:rPr>
          <w:spacing w:val="-2"/>
          <w:sz w:val="22"/>
        </w:rPr>
        <w:t> </w:t>
      </w:r>
      <w:r>
        <w:rPr>
          <w:sz w:val="22"/>
        </w:rPr>
        <w:t>capítulo</w:t>
      </w:r>
      <w:r>
        <w:rPr>
          <w:spacing w:val="-4"/>
          <w:sz w:val="22"/>
        </w:rPr>
        <w:t> </w:t>
      </w:r>
      <w:r>
        <w:rPr>
          <w:sz w:val="22"/>
        </w:rPr>
        <w:t>III de la</w:t>
      </w:r>
      <w:r>
        <w:rPr>
          <w:spacing w:val="-4"/>
          <w:sz w:val="22"/>
        </w:rPr>
        <w:t> </w:t>
      </w:r>
      <w:r>
        <w:rPr>
          <w:sz w:val="22"/>
        </w:rPr>
        <w:t>Ley</w:t>
      </w:r>
      <w:r>
        <w:rPr>
          <w:spacing w:val="-6"/>
          <w:sz w:val="22"/>
        </w:rPr>
        <w:t> </w:t>
      </w:r>
      <w:r>
        <w:rPr>
          <w:sz w:val="22"/>
        </w:rPr>
        <w:t>N.º 7142, Ley de Promoción de la Igualdad Social de la Mujer, de 8 de marzo de 1990.</w:t>
      </w:r>
    </w:p>
    <w:p>
      <w:pPr>
        <w:pStyle w:val="BodyText"/>
        <w:spacing w:before="3"/>
      </w:pPr>
    </w:p>
    <w:p>
      <w:pPr>
        <w:pStyle w:val="BodyText"/>
        <w:ind w:left="979" w:right="1334"/>
        <w:jc w:val="both"/>
      </w:pPr>
      <w:r>
        <w:rPr>
          <w:b/>
        </w:rPr>
        <w:t>Ley</w:t>
      </w:r>
      <w:r>
        <w:rPr>
          <w:b/>
          <w:spacing w:val="-16"/>
        </w:rPr>
        <w:t> </w:t>
      </w:r>
      <w:r>
        <w:rPr>
          <w:b/>
        </w:rPr>
        <w:t>N°</w:t>
      </w:r>
      <w:r>
        <w:rPr>
          <w:b/>
          <w:spacing w:val="-15"/>
        </w:rPr>
        <w:t> </w:t>
      </w:r>
      <w:r>
        <w:rPr>
          <w:b/>
        </w:rPr>
        <w:t>9699</w:t>
      </w:r>
      <w:r>
        <w:rPr>
          <w:b/>
          <w:spacing w:val="-15"/>
        </w:rPr>
        <w:t> </w:t>
      </w:r>
      <w:r>
        <w:rPr>
          <w:b/>
        </w:rPr>
        <w:t>Responsabilidad</w:t>
      </w:r>
      <w:r>
        <w:rPr>
          <w:b/>
          <w:spacing w:val="-16"/>
        </w:rPr>
        <w:t> </w:t>
      </w:r>
      <w:r>
        <w:rPr>
          <w:b/>
        </w:rPr>
        <w:t>de</w:t>
      </w:r>
      <w:r>
        <w:rPr>
          <w:b/>
          <w:spacing w:val="-15"/>
        </w:rPr>
        <w:t> </w:t>
      </w:r>
      <w:r>
        <w:rPr>
          <w:b/>
        </w:rPr>
        <w:t>las</w:t>
      </w:r>
      <w:r>
        <w:rPr>
          <w:b/>
          <w:spacing w:val="-15"/>
        </w:rPr>
        <w:t> </w:t>
      </w:r>
      <w:r>
        <w:rPr>
          <w:b/>
        </w:rPr>
        <w:t>Personas</w:t>
      </w:r>
      <w:r>
        <w:rPr>
          <w:b/>
          <w:spacing w:val="-15"/>
        </w:rPr>
        <w:t> </w:t>
      </w:r>
      <w:r>
        <w:rPr>
          <w:b/>
        </w:rPr>
        <w:t>Jurídicas</w:t>
      </w:r>
      <w:r>
        <w:rPr>
          <w:b/>
          <w:spacing w:val="-16"/>
        </w:rPr>
        <w:t> </w:t>
      </w:r>
      <w:r>
        <w:rPr>
          <w:b/>
        </w:rPr>
        <w:t>sobre</w:t>
      </w:r>
      <w:r>
        <w:rPr>
          <w:b/>
          <w:spacing w:val="-15"/>
        </w:rPr>
        <w:t> </w:t>
      </w:r>
      <w:r>
        <w:rPr>
          <w:b/>
        </w:rPr>
        <w:t>Cohechos</w:t>
      </w:r>
      <w:r>
        <w:rPr>
          <w:b/>
          <w:spacing w:val="-15"/>
        </w:rPr>
        <w:t> </w:t>
      </w:r>
      <w:r>
        <w:rPr>
          <w:b/>
        </w:rPr>
        <w:t>Domésticos, Soborno</w:t>
      </w:r>
      <w:r>
        <w:rPr>
          <w:b/>
          <w:spacing w:val="-13"/>
        </w:rPr>
        <w:t> </w:t>
      </w:r>
      <w:r>
        <w:rPr>
          <w:b/>
        </w:rPr>
        <w:t>Transnacional</w:t>
      </w:r>
      <w:r>
        <w:rPr>
          <w:b/>
          <w:spacing w:val="-6"/>
        </w:rPr>
        <w:t> </w:t>
      </w:r>
      <w:r>
        <w:rPr>
          <w:b/>
        </w:rPr>
        <w:t>y</w:t>
      </w:r>
      <w:r>
        <w:rPr>
          <w:b/>
          <w:spacing w:val="-15"/>
        </w:rPr>
        <w:t> </w:t>
      </w:r>
      <w:r>
        <w:rPr>
          <w:b/>
        </w:rPr>
        <w:t>Otros</w:t>
      </w:r>
      <w:r>
        <w:rPr>
          <w:b/>
          <w:spacing w:val="-5"/>
        </w:rPr>
        <w:t> </w:t>
      </w:r>
      <w:r>
        <w:rPr>
          <w:b/>
        </w:rPr>
        <w:t>Delitos</w:t>
      </w:r>
      <w:r>
        <w:rPr>
          <w:b/>
          <w:spacing w:val="-5"/>
        </w:rPr>
        <w:t> </w:t>
      </w:r>
      <w:r>
        <w:rPr/>
        <w:t>Regula</w:t>
      </w:r>
      <w:r>
        <w:rPr>
          <w:spacing w:val="-15"/>
        </w:rPr>
        <w:t> </w:t>
      </w:r>
      <w:r>
        <w:rPr/>
        <w:t>la</w:t>
      </w:r>
      <w:r>
        <w:rPr>
          <w:spacing w:val="-5"/>
        </w:rPr>
        <w:t> </w:t>
      </w:r>
      <w:r>
        <w:rPr/>
        <w:t>responsabilidad</w:t>
      </w:r>
      <w:r>
        <w:rPr>
          <w:spacing w:val="-5"/>
        </w:rPr>
        <w:t> </w:t>
      </w:r>
      <w:r>
        <w:rPr/>
        <w:t>penal</w:t>
      </w:r>
      <w:r>
        <w:rPr>
          <w:spacing w:val="-8"/>
        </w:rPr>
        <w:t> </w:t>
      </w:r>
      <w:r>
        <w:rPr/>
        <w:t>de</w:t>
      </w:r>
      <w:r>
        <w:rPr>
          <w:spacing w:val="-5"/>
        </w:rPr>
        <w:t> </w:t>
      </w:r>
      <w:r>
        <w:rPr/>
        <w:t>las</w:t>
      </w:r>
      <w:r>
        <w:rPr>
          <w:spacing w:val="-7"/>
        </w:rPr>
        <w:t> </w:t>
      </w:r>
      <w:r>
        <w:rPr/>
        <w:t>personas jurídicas respecto de los delitos de cohechos domésticos, soborno transnacional y otros delitos,</w:t>
      </w:r>
      <w:r>
        <w:rPr>
          <w:spacing w:val="-13"/>
        </w:rPr>
        <w:t> </w:t>
      </w:r>
      <w:r>
        <w:rPr/>
        <w:t>el</w:t>
      </w:r>
      <w:r>
        <w:rPr>
          <w:spacing w:val="-16"/>
        </w:rPr>
        <w:t> </w:t>
      </w:r>
      <w:r>
        <w:rPr/>
        <w:t>procedimiento</w:t>
      </w:r>
      <w:r>
        <w:rPr>
          <w:spacing w:val="-13"/>
        </w:rPr>
        <w:t> </w:t>
      </w:r>
      <w:r>
        <w:rPr/>
        <w:t>para</w:t>
      </w:r>
      <w:r>
        <w:rPr>
          <w:spacing w:val="-9"/>
        </w:rPr>
        <w:t> </w:t>
      </w:r>
      <w:r>
        <w:rPr/>
        <w:t>la</w:t>
      </w:r>
      <w:r>
        <w:rPr>
          <w:spacing w:val="-9"/>
        </w:rPr>
        <w:t> </w:t>
      </w:r>
      <w:r>
        <w:rPr/>
        <w:t>investigación</w:t>
      </w:r>
      <w:r>
        <w:rPr>
          <w:spacing w:val="-9"/>
        </w:rPr>
        <w:t> </w:t>
      </w:r>
      <w:r>
        <w:rPr/>
        <w:t>y</w:t>
      </w:r>
      <w:r>
        <w:rPr>
          <w:spacing w:val="-11"/>
        </w:rPr>
        <w:t> </w:t>
      </w:r>
      <w:r>
        <w:rPr/>
        <w:t>el</w:t>
      </w:r>
      <w:r>
        <w:rPr>
          <w:spacing w:val="-16"/>
        </w:rPr>
        <w:t> </w:t>
      </w:r>
      <w:r>
        <w:rPr/>
        <w:t>establecimiento</w:t>
      </w:r>
      <w:r>
        <w:rPr>
          <w:spacing w:val="-9"/>
        </w:rPr>
        <w:t> </w:t>
      </w:r>
      <w:r>
        <w:rPr/>
        <w:t>de</w:t>
      </w:r>
      <w:r>
        <w:rPr>
          <w:spacing w:val="-9"/>
        </w:rPr>
        <w:t> </w:t>
      </w:r>
      <w:r>
        <w:rPr/>
        <w:t>dicha</w:t>
      </w:r>
      <w:r>
        <w:rPr>
          <w:spacing w:val="-9"/>
        </w:rPr>
        <w:t> </w:t>
      </w:r>
      <w:r>
        <w:rPr/>
        <w:t>responsabilidad penal,</w:t>
      </w:r>
      <w:r>
        <w:rPr>
          <w:spacing w:val="-10"/>
        </w:rPr>
        <w:t> </w:t>
      </w:r>
      <w:r>
        <w:rPr/>
        <w:t>la</w:t>
      </w:r>
      <w:r>
        <w:rPr>
          <w:spacing w:val="-9"/>
        </w:rPr>
        <w:t> </w:t>
      </w:r>
      <w:r>
        <w:rPr/>
        <w:t>determinación</w:t>
      </w:r>
      <w:r>
        <w:rPr>
          <w:spacing w:val="-9"/>
        </w:rPr>
        <w:t> </w:t>
      </w:r>
      <w:r>
        <w:rPr/>
        <w:t>de las</w:t>
      </w:r>
      <w:r>
        <w:rPr>
          <w:spacing w:val="-6"/>
        </w:rPr>
        <w:t> </w:t>
      </w:r>
      <w:r>
        <w:rPr/>
        <w:t>sanciones</w:t>
      </w:r>
      <w:r>
        <w:rPr>
          <w:spacing w:val="-11"/>
        </w:rPr>
        <w:t> </w:t>
      </w:r>
      <w:r>
        <w:rPr/>
        <w:t>penales</w:t>
      </w:r>
      <w:r>
        <w:rPr>
          <w:spacing w:val="-11"/>
        </w:rPr>
        <w:t> </w:t>
      </w:r>
      <w:r>
        <w:rPr/>
        <w:t>correspondientes</w:t>
      </w:r>
      <w:r>
        <w:rPr>
          <w:spacing w:val="-11"/>
        </w:rPr>
        <w:t> </w:t>
      </w:r>
      <w:r>
        <w:rPr/>
        <w:t>y</w:t>
      </w:r>
      <w:r>
        <w:rPr>
          <w:spacing w:val="-6"/>
        </w:rPr>
        <w:t> </w:t>
      </w:r>
      <w:r>
        <w:rPr/>
        <w:t>la</w:t>
      </w:r>
      <w:r>
        <w:rPr>
          <w:spacing w:val="-9"/>
        </w:rPr>
        <w:t> </w:t>
      </w:r>
      <w:r>
        <w:rPr/>
        <w:t>ejecución</w:t>
      </w:r>
      <w:r>
        <w:rPr>
          <w:spacing w:val="-9"/>
        </w:rPr>
        <w:t> </w:t>
      </w:r>
      <w:r>
        <w:rPr/>
        <w:t>de</w:t>
      </w:r>
      <w:r>
        <w:rPr>
          <w:spacing w:val="-9"/>
        </w:rPr>
        <w:t> </w:t>
      </w:r>
      <w:r>
        <w:rPr/>
        <w:t>estas, así como los supuestos en los cuales la presente ley resulta procedente. Disposiciones atinentes a empresas públicas estatales y no estatales y las instituciones autónomas, que estén</w:t>
      </w:r>
      <w:r>
        <w:rPr>
          <w:spacing w:val="-16"/>
        </w:rPr>
        <w:t> </w:t>
      </w:r>
      <w:r>
        <w:rPr/>
        <w:t>vinculadas</w:t>
      </w:r>
      <w:r>
        <w:rPr>
          <w:spacing w:val="-15"/>
        </w:rPr>
        <w:t> </w:t>
      </w:r>
      <w:r>
        <w:rPr/>
        <w:t>con</w:t>
      </w:r>
      <w:r>
        <w:rPr>
          <w:spacing w:val="-15"/>
        </w:rPr>
        <w:t> </w:t>
      </w:r>
      <w:r>
        <w:rPr/>
        <w:t>relaciones</w:t>
      </w:r>
      <w:r>
        <w:rPr>
          <w:spacing w:val="-16"/>
        </w:rPr>
        <w:t> </w:t>
      </w:r>
      <w:r>
        <w:rPr/>
        <w:t>comerciales</w:t>
      </w:r>
      <w:r>
        <w:rPr>
          <w:spacing w:val="-15"/>
        </w:rPr>
        <w:t> </w:t>
      </w:r>
      <w:r>
        <w:rPr/>
        <w:t>internacionales.</w:t>
      </w:r>
      <w:r>
        <w:rPr>
          <w:spacing w:val="-15"/>
        </w:rPr>
        <w:t> </w:t>
      </w:r>
      <w:r>
        <w:rPr/>
        <w:t>fecha</w:t>
      </w:r>
      <w:r>
        <w:rPr>
          <w:spacing w:val="-17"/>
        </w:rPr>
        <w:t> </w:t>
      </w:r>
      <w:r>
        <w:rPr/>
        <w:t>de</w:t>
      </w:r>
      <w:r>
        <w:rPr>
          <w:spacing w:val="-15"/>
        </w:rPr>
        <w:t> </w:t>
      </w:r>
      <w:r>
        <w:rPr/>
        <w:t>vigencia</w:t>
      </w:r>
      <w:r>
        <w:rPr>
          <w:spacing w:val="-17"/>
        </w:rPr>
        <w:t> </w:t>
      </w:r>
      <w:r>
        <w:rPr/>
        <w:t>11/06/2019.</w:t>
      </w:r>
    </w:p>
    <w:p>
      <w:pPr>
        <w:pStyle w:val="BodyText"/>
      </w:pPr>
    </w:p>
    <w:p>
      <w:pPr>
        <w:pStyle w:val="BodyText"/>
      </w:pPr>
    </w:p>
    <w:p>
      <w:pPr>
        <w:spacing w:line="240" w:lineRule="auto" w:before="1"/>
        <w:ind w:left="979" w:right="1340" w:firstLine="0"/>
        <w:jc w:val="both"/>
        <w:rPr>
          <w:sz w:val="22"/>
        </w:rPr>
      </w:pPr>
      <w:r>
        <w:rPr>
          <w:b/>
          <w:sz w:val="22"/>
        </w:rPr>
        <w:t>Adición de un párrafo primero y reforma del tercer párrafo del artículo 176 de la Constitución Política de la República de Costa Rica </w:t>
      </w:r>
      <w:r>
        <w:rPr>
          <w:sz w:val="22"/>
        </w:rPr>
        <w:t>Ley N° 9696 fecha de vigencia 07/08/2019,</w:t>
      </w:r>
      <w:r>
        <w:rPr>
          <w:spacing w:val="-10"/>
          <w:sz w:val="22"/>
        </w:rPr>
        <w:t> </w:t>
      </w:r>
      <w:r>
        <w:rPr>
          <w:sz w:val="22"/>
        </w:rPr>
        <w:t>Reforma</w:t>
      </w:r>
      <w:r>
        <w:rPr>
          <w:spacing w:val="-9"/>
          <w:sz w:val="22"/>
        </w:rPr>
        <w:t> </w:t>
      </w:r>
      <w:r>
        <w:rPr>
          <w:sz w:val="22"/>
        </w:rPr>
        <w:t>el</w:t>
      </w:r>
      <w:r>
        <w:rPr>
          <w:spacing w:val="-12"/>
          <w:sz w:val="22"/>
        </w:rPr>
        <w:t> </w:t>
      </w:r>
      <w:r>
        <w:rPr>
          <w:sz w:val="22"/>
        </w:rPr>
        <w:t>artículo</w:t>
      </w:r>
      <w:r>
        <w:rPr>
          <w:spacing w:val="-14"/>
          <w:sz w:val="22"/>
        </w:rPr>
        <w:t> </w:t>
      </w:r>
      <w:r>
        <w:rPr>
          <w:sz w:val="22"/>
        </w:rPr>
        <w:t>176</w:t>
      </w:r>
      <w:r>
        <w:rPr>
          <w:spacing w:val="-9"/>
          <w:sz w:val="22"/>
        </w:rPr>
        <w:t> </w:t>
      </w:r>
      <w:r>
        <w:rPr>
          <w:sz w:val="22"/>
        </w:rPr>
        <w:t>de</w:t>
      </w:r>
      <w:r>
        <w:rPr>
          <w:spacing w:val="-9"/>
          <w:sz w:val="22"/>
        </w:rPr>
        <w:t> </w:t>
      </w:r>
      <w:r>
        <w:rPr>
          <w:sz w:val="22"/>
        </w:rPr>
        <w:t>la</w:t>
      </w:r>
      <w:r>
        <w:rPr>
          <w:spacing w:val="-9"/>
          <w:sz w:val="22"/>
        </w:rPr>
        <w:t> </w:t>
      </w:r>
      <w:r>
        <w:rPr>
          <w:sz w:val="22"/>
        </w:rPr>
        <w:t>Constitución</w:t>
      </w:r>
      <w:r>
        <w:rPr>
          <w:spacing w:val="-9"/>
          <w:sz w:val="22"/>
        </w:rPr>
        <w:t> </w:t>
      </w:r>
      <w:r>
        <w:rPr>
          <w:sz w:val="22"/>
        </w:rPr>
        <w:t>Política,</w:t>
      </w:r>
      <w:r>
        <w:rPr>
          <w:spacing w:val="-5"/>
          <w:sz w:val="22"/>
        </w:rPr>
        <w:t> </w:t>
      </w:r>
      <w:r>
        <w:rPr>
          <w:sz w:val="22"/>
        </w:rPr>
        <w:t>referente</w:t>
      </w:r>
      <w:r>
        <w:rPr>
          <w:spacing w:val="-9"/>
          <w:sz w:val="22"/>
        </w:rPr>
        <w:t> </w:t>
      </w:r>
      <w:r>
        <w:rPr>
          <w:sz w:val="22"/>
        </w:rPr>
        <w:t>a</w:t>
      </w:r>
      <w:r>
        <w:rPr>
          <w:spacing w:val="-9"/>
          <w:sz w:val="22"/>
        </w:rPr>
        <w:t> </w:t>
      </w:r>
      <w:r>
        <w:rPr>
          <w:sz w:val="22"/>
        </w:rPr>
        <w:t>los</w:t>
      </w:r>
      <w:r>
        <w:rPr>
          <w:spacing w:val="-11"/>
          <w:sz w:val="22"/>
        </w:rPr>
        <w:t> </w:t>
      </w:r>
      <w:r>
        <w:rPr>
          <w:sz w:val="22"/>
        </w:rPr>
        <w:t>principios</w:t>
      </w:r>
      <w:r>
        <w:rPr>
          <w:spacing w:val="-16"/>
          <w:sz w:val="22"/>
        </w:rPr>
        <w:t> </w:t>
      </w:r>
      <w:r>
        <w:rPr>
          <w:sz w:val="22"/>
        </w:rPr>
        <w:t>de sostenibilidad fiscal y plurianualidad</w:t>
      </w:r>
    </w:p>
    <w:p>
      <w:pPr>
        <w:pStyle w:val="BodyText"/>
        <w:spacing w:before="252"/>
      </w:pPr>
    </w:p>
    <w:p>
      <w:pPr>
        <w:pStyle w:val="BodyText"/>
        <w:ind w:left="979" w:right="1338"/>
        <w:jc w:val="both"/>
      </w:pPr>
      <w:r>
        <w:rPr>
          <w:b/>
        </w:rPr>
        <w:t>Ley</w:t>
      </w:r>
      <w:r>
        <w:rPr>
          <w:b/>
          <w:spacing w:val="-10"/>
        </w:rPr>
        <w:t> </w:t>
      </w:r>
      <w:r>
        <w:rPr>
          <w:b/>
        </w:rPr>
        <w:t>del</w:t>
      </w:r>
      <w:r>
        <w:rPr>
          <w:b/>
          <w:spacing w:val="-6"/>
        </w:rPr>
        <w:t> </w:t>
      </w:r>
      <w:r>
        <w:rPr>
          <w:b/>
        </w:rPr>
        <w:t>Sistema</w:t>
      </w:r>
      <w:r>
        <w:rPr>
          <w:b/>
          <w:spacing w:val="-5"/>
        </w:rPr>
        <w:t> </w:t>
      </w:r>
      <w:r>
        <w:rPr>
          <w:b/>
        </w:rPr>
        <w:t>de</w:t>
      </w:r>
      <w:r>
        <w:rPr>
          <w:b/>
          <w:spacing w:val="-11"/>
        </w:rPr>
        <w:t> </w:t>
      </w:r>
      <w:r>
        <w:rPr>
          <w:b/>
        </w:rPr>
        <w:t>Estadística</w:t>
      </w:r>
      <w:r>
        <w:rPr>
          <w:b/>
          <w:spacing w:val="-5"/>
        </w:rPr>
        <w:t> </w:t>
      </w:r>
      <w:r>
        <w:rPr>
          <w:b/>
        </w:rPr>
        <w:t>Nacional,</w:t>
      </w:r>
      <w:r>
        <w:rPr>
          <w:b/>
          <w:spacing w:val="-6"/>
        </w:rPr>
        <w:t> </w:t>
      </w:r>
      <w:r>
        <w:rPr>
          <w:b/>
        </w:rPr>
        <w:t>N°9694</w:t>
      </w:r>
      <w:r>
        <w:rPr>
          <w:b/>
          <w:spacing w:val="-5"/>
        </w:rPr>
        <w:t> </w:t>
      </w:r>
      <w:r>
        <w:rPr>
          <w:b/>
        </w:rPr>
        <w:t>y</w:t>
      </w:r>
      <w:r>
        <w:rPr>
          <w:b/>
          <w:spacing w:val="-10"/>
        </w:rPr>
        <w:t> </w:t>
      </w:r>
      <w:r>
        <w:rPr>
          <w:b/>
        </w:rPr>
        <w:t>sus</w:t>
      </w:r>
      <w:r>
        <w:rPr>
          <w:b/>
          <w:spacing w:val="-6"/>
        </w:rPr>
        <w:t> </w:t>
      </w:r>
      <w:r>
        <w:rPr>
          <w:b/>
        </w:rPr>
        <w:t>reformas. </w:t>
      </w:r>
      <w:r>
        <w:rPr/>
        <w:t>Regula</w:t>
      </w:r>
      <w:r>
        <w:rPr>
          <w:spacing w:val="-5"/>
        </w:rPr>
        <w:t> </w:t>
      </w:r>
      <w:r>
        <w:rPr/>
        <w:t>el</w:t>
      </w:r>
      <w:r>
        <w:rPr>
          <w:spacing w:val="-8"/>
        </w:rPr>
        <w:t> </w:t>
      </w:r>
      <w:r>
        <w:rPr/>
        <w:t>Sistema</w:t>
      </w:r>
      <w:r>
        <w:rPr>
          <w:spacing w:val="-10"/>
        </w:rPr>
        <w:t> </w:t>
      </w:r>
      <w:r>
        <w:rPr/>
        <w:t>de Estadística Nacional, las instituciones que lo componen, fija las normas básicas para su adecuada coordinación</w:t>
      </w:r>
      <w:r>
        <w:rPr>
          <w:spacing w:val="-1"/>
        </w:rPr>
        <w:t> </w:t>
      </w:r>
      <w:r>
        <w:rPr/>
        <w:t>y la obtención</w:t>
      </w:r>
      <w:r>
        <w:rPr>
          <w:spacing w:val="-1"/>
        </w:rPr>
        <w:t> </w:t>
      </w:r>
      <w:r>
        <w:rPr/>
        <w:t>de información</w:t>
      </w:r>
      <w:r>
        <w:rPr>
          <w:spacing w:val="-1"/>
        </w:rPr>
        <w:t> </w:t>
      </w:r>
      <w:r>
        <w:rPr/>
        <w:t>que</w:t>
      </w:r>
      <w:r>
        <w:rPr>
          <w:spacing w:val="-1"/>
        </w:rPr>
        <w:t> </w:t>
      </w:r>
      <w:r>
        <w:rPr/>
        <w:t>permita el</w:t>
      </w:r>
      <w:r>
        <w:rPr>
          <w:spacing w:val="-3"/>
        </w:rPr>
        <w:t> </w:t>
      </w:r>
      <w:r>
        <w:rPr/>
        <w:t>desarrollo</w:t>
      </w:r>
      <w:r>
        <w:rPr>
          <w:spacing w:val="-1"/>
        </w:rPr>
        <w:t> </w:t>
      </w:r>
      <w:r>
        <w:rPr/>
        <w:t>estadístico de manera veraz y oportuna. Fecha de vigencia 13/06/2019.</w:t>
      </w:r>
    </w:p>
    <w:p>
      <w:pPr>
        <w:spacing w:line="240" w:lineRule="auto" w:before="251"/>
        <w:ind w:left="979" w:right="1338" w:firstLine="0"/>
        <w:jc w:val="both"/>
        <w:rPr>
          <w:sz w:val="22"/>
        </w:rPr>
      </w:pPr>
      <w:r>
        <w:rPr>
          <w:b/>
          <w:sz w:val="22"/>
        </w:rPr>
        <w:t>Ley N° 9796 y sus reformas constitucionales del artículo 51 para garantizar la protección especial del estado a las personas con discapacidad</w:t>
      </w:r>
      <w:r>
        <w:rPr>
          <w:sz w:val="22"/>
        </w:rPr>
        <w:t>, Reforma el artículo 51</w:t>
      </w:r>
      <w:r>
        <w:rPr>
          <w:spacing w:val="-1"/>
          <w:sz w:val="22"/>
        </w:rPr>
        <w:t> </w:t>
      </w:r>
      <w:r>
        <w:rPr>
          <w:sz w:val="22"/>
        </w:rPr>
        <w:t>de la Constitución</w:t>
      </w:r>
      <w:r>
        <w:rPr>
          <w:spacing w:val="-1"/>
          <w:sz w:val="22"/>
        </w:rPr>
        <w:t> </w:t>
      </w:r>
      <w:r>
        <w:rPr>
          <w:sz w:val="22"/>
        </w:rPr>
        <w:t>Política, referente</w:t>
      </w:r>
      <w:r>
        <w:rPr>
          <w:spacing w:val="-1"/>
          <w:sz w:val="22"/>
        </w:rPr>
        <w:t> </w:t>
      </w:r>
      <w:r>
        <w:rPr>
          <w:sz w:val="22"/>
        </w:rPr>
        <w:t>a la</w:t>
      </w:r>
      <w:r>
        <w:rPr>
          <w:spacing w:val="-1"/>
          <w:sz w:val="22"/>
        </w:rPr>
        <w:t> </w:t>
      </w:r>
      <w:r>
        <w:rPr>
          <w:sz w:val="22"/>
        </w:rPr>
        <w:t>protección</w:t>
      </w:r>
      <w:r>
        <w:rPr>
          <w:spacing w:val="-1"/>
          <w:sz w:val="22"/>
        </w:rPr>
        <w:t> </w:t>
      </w:r>
      <w:r>
        <w:rPr>
          <w:sz w:val="22"/>
        </w:rPr>
        <w:t>especial</w:t>
      </w:r>
      <w:r>
        <w:rPr>
          <w:spacing w:val="-3"/>
          <w:sz w:val="22"/>
        </w:rPr>
        <w:t> </w:t>
      </w:r>
      <w:r>
        <w:rPr>
          <w:sz w:val="22"/>
        </w:rPr>
        <w:t>del</w:t>
      </w:r>
      <w:r>
        <w:rPr>
          <w:spacing w:val="-3"/>
          <w:sz w:val="22"/>
        </w:rPr>
        <w:t> </w:t>
      </w:r>
      <w:r>
        <w:rPr>
          <w:sz w:val="22"/>
        </w:rPr>
        <w:t>Estado</w:t>
      </w:r>
      <w:r>
        <w:rPr>
          <w:spacing w:val="-1"/>
          <w:sz w:val="22"/>
        </w:rPr>
        <w:t> </w:t>
      </w:r>
      <w:r>
        <w:rPr>
          <w:sz w:val="22"/>
        </w:rPr>
        <w:t>a</w:t>
      </w:r>
      <w:r>
        <w:rPr>
          <w:spacing w:val="-1"/>
          <w:sz w:val="22"/>
        </w:rPr>
        <w:t> </w:t>
      </w:r>
      <w:r>
        <w:rPr>
          <w:sz w:val="22"/>
        </w:rPr>
        <w:t>las</w:t>
      </w:r>
      <w:r>
        <w:rPr>
          <w:spacing w:val="-3"/>
          <w:sz w:val="22"/>
        </w:rPr>
        <w:t> </w:t>
      </w:r>
      <w:r>
        <w:rPr>
          <w:sz w:val="22"/>
        </w:rPr>
        <w:t>personas con discapacidad. Fecha de vigencia 07/08/2019</w:t>
      </w:r>
    </w:p>
    <w:p>
      <w:pPr>
        <w:pStyle w:val="BodyText"/>
        <w:spacing w:before="2"/>
      </w:pPr>
    </w:p>
    <w:p>
      <w:pPr>
        <w:pStyle w:val="BodyText"/>
        <w:spacing w:before="1"/>
        <w:ind w:left="979" w:right="1344"/>
        <w:jc w:val="both"/>
      </w:pPr>
      <w:r>
        <w:rPr>
          <w:b/>
        </w:rPr>
        <w:t>Ley</w:t>
      </w:r>
      <w:r>
        <w:rPr>
          <w:b/>
          <w:spacing w:val="-14"/>
        </w:rPr>
        <w:t> </w:t>
      </w:r>
      <w:r>
        <w:rPr>
          <w:b/>
        </w:rPr>
        <w:t>N°9738</w:t>
      </w:r>
      <w:r>
        <w:rPr>
          <w:b/>
          <w:spacing w:val="-9"/>
        </w:rPr>
        <w:t> </w:t>
      </w:r>
      <w:r>
        <w:rPr>
          <w:b/>
        </w:rPr>
        <w:t>para</w:t>
      </w:r>
      <w:r>
        <w:rPr>
          <w:b/>
          <w:spacing w:val="-9"/>
        </w:rPr>
        <w:t> </w:t>
      </w:r>
      <w:r>
        <w:rPr>
          <w:b/>
        </w:rPr>
        <w:t>Regular</w:t>
      </w:r>
      <w:r>
        <w:rPr>
          <w:b/>
          <w:spacing w:val="-10"/>
        </w:rPr>
        <w:t> </w:t>
      </w:r>
      <w:r>
        <w:rPr>
          <w:b/>
        </w:rPr>
        <w:t>el</w:t>
      </w:r>
      <w:r>
        <w:rPr>
          <w:b/>
          <w:spacing w:val="-15"/>
        </w:rPr>
        <w:t> </w:t>
      </w:r>
      <w:r>
        <w:rPr>
          <w:b/>
        </w:rPr>
        <w:t>Teletrabajo</w:t>
      </w:r>
      <w:r>
        <w:rPr>
          <w:b/>
          <w:spacing w:val="-11"/>
        </w:rPr>
        <w:t> </w:t>
      </w:r>
      <w:r>
        <w:rPr>
          <w:b/>
        </w:rPr>
        <w:t>y</w:t>
      </w:r>
      <w:r>
        <w:rPr>
          <w:b/>
          <w:spacing w:val="-14"/>
        </w:rPr>
        <w:t> </w:t>
      </w:r>
      <w:r>
        <w:rPr>
          <w:b/>
        </w:rPr>
        <w:t>sus</w:t>
      </w:r>
      <w:r>
        <w:rPr>
          <w:b/>
          <w:spacing w:val="-10"/>
        </w:rPr>
        <w:t> </w:t>
      </w:r>
      <w:r>
        <w:rPr>
          <w:b/>
        </w:rPr>
        <w:t>reformas</w:t>
      </w:r>
      <w:r>
        <w:rPr>
          <w:b/>
          <w:i/>
        </w:rPr>
        <w:t>.</w:t>
      </w:r>
      <w:r>
        <w:rPr>
          <w:b/>
          <w:i/>
          <w:spacing w:val="-15"/>
        </w:rPr>
        <w:t> </w:t>
      </w:r>
      <w:r>
        <w:rPr/>
        <w:t>Promueve,</w:t>
      </w:r>
      <w:r>
        <w:rPr>
          <w:spacing w:val="-10"/>
        </w:rPr>
        <w:t> </w:t>
      </w:r>
      <w:r>
        <w:rPr/>
        <w:t>regula</w:t>
      </w:r>
      <w:r>
        <w:rPr>
          <w:spacing w:val="-14"/>
        </w:rPr>
        <w:t> </w:t>
      </w:r>
      <w:r>
        <w:rPr/>
        <w:t>e</w:t>
      </w:r>
      <w:r>
        <w:rPr>
          <w:spacing w:val="-9"/>
        </w:rPr>
        <w:t> </w:t>
      </w:r>
      <w:r>
        <w:rPr/>
        <w:t>implementa el teletrabajo como un instrumento para la generación de empleo y modernización de las organizaciones públicas y privadas, a través de la utilización de tecnologías de la información y comunicación. Fecha de vigencia 10/10/2019.</w:t>
      </w:r>
    </w:p>
    <w:p>
      <w:pPr>
        <w:pStyle w:val="BodyText"/>
        <w:spacing w:after="0"/>
        <w:jc w:val="both"/>
        <w:sectPr>
          <w:pgSz w:w="12240" w:h="15840"/>
          <w:pgMar w:header="0" w:footer="1021" w:top="1340" w:bottom="1220" w:left="720" w:right="360"/>
        </w:sectPr>
      </w:pPr>
    </w:p>
    <w:p>
      <w:pPr>
        <w:spacing w:line="240" w:lineRule="auto" w:before="76"/>
        <w:ind w:left="979" w:right="1336" w:firstLine="0"/>
        <w:jc w:val="both"/>
        <w:rPr>
          <w:sz w:val="22"/>
        </w:rPr>
      </w:pPr>
      <w:r>
        <w:rPr>
          <w:b/>
          <w:sz w:val="22"/>
        </w:rPr>
        <w:t>Reforma</w:t>
      </w:r>
      <w:r>
        <w:rPr>
          <w:b/>
          <w:spacing w:val="-16"/>
          <w:sz w:val="22"/>
        </w:rPr>
        <w:t> </w:t>
      </w:r>
      <w:r>
        <w:rPr>
          <w:b/>
          <w:sz w:val="22"/>
        </w:rPr>
        <w:t>al</w:t>
      </w:r>
      <w:r>
        <w:rPr>
          <w:b/>
          <w:spacing w:val="-15"/>
          <w:sz w:val="22"/>
        </w:rPr>
        <w:t> </w:t>
      </w:r>
      <w:r>
        <w:rPr>
          <w:b/>
          <w:sz w:val="22"/>
        </w:rPr>
        <w:t>artículo</w:t>
      </w:r>
      <w:r>
        <w:rPr>
          <w:b/>
          <w:spacing w:val="-15"/>
          <w:sz w:val="22"/>
        </w:rPr>
        <w:t> </w:t>
      </w:r>
      <w:r>
        <w:rPr>
          <w:b/>
          <w:sz w:val="22"/>
        </w:rPr>
        <w:t>111</w:t>
      </w:r>
      <w:r>
        <w:rPr>
          <w:b/>
          <w:spacing w:val="-16"/>
          <w:sz w:val="22"/>
        </w:rPr>
        <w:t> </w:t>
      </w:r>
      <w:r>
        <w:rPr>
          <w:b/>
          <w:sz w:val="22"/>
        </w:rPr>
        <w:t>del</w:t>
      </w:r>
      <w:r>
        <w:rPr>
          <w:b/>
          <w:spacing w:val="-15"/>
          <w:sz w:val="22"/>
        </w:rPr>
        <w:t> </w:t>
      </w:r>
      <w:r>
        <w:rPr>
          <w:b/>
          <w:sz w:val="22"/>
        </w:rPr>
        <w:t>Código</w:t>
      </w:r>
      <w:r>
        <w:rPr>
          <w:b/>
          <w:spacing w:val="-15"/>
          <w:sz w:val="22"/>
        </w:rPr>
        <w:t> </w:t>
      </w:r>
      <w:r>
        <w:rPr>
          <w:b/>
          <w:sz w:val="22"/>
        </w:rPr>
        <w:t>Procesal</w:t>
      </w:r>
      <w:r>
        <w:rPr>
          <w:b/>
          <w:spacing w:val="-15"/>
          <w:sz w:val="22"/>
        </w:rPr>
        <w:t> </w:t>
      </w:r>
      <w:r>
        <w:rPr>
          <w:b/>
          <w:sz w:val="22"/>
        </w:rPr>
        <w:t>Contencioso</w:t>
      </w:r>
      <w:r>
        <w:rPr>
          <w:b/>
          <w:spacing w:val="-16"/>
          <w:sz w:val="22"/>
        </w:rPr>
        <w:t> </w:t>
      </w:r>
      <w:r>
        <w:rPr>
          <w:b/>
          <w:sz w:val="22"/>
        </w:rPr>
        <w:t>Administrativo</w:t>
      </w:r>
      <w:r>
        <w:rPr>
          <w:sz w:val="22"/>
        </w:rPr>
        <w:t>,</w:t>
      </w:r>
      <w:r>
        <w:rPr>
          <w:spacing w:val="-15"/>
          <w:sz w:val="22"/>
        </w:rPr>
        <w:t> </w:t>
      </w:r>
      <w:r>
        <w:rPr>
          <w:sz w:val="22"/>
        </w:rPr>
        <w:t>Ley</w:t>
      </w:r>
      <w:r>
        <w:rPr>
          <w:spacing w:val="-15"/>
          <w:sz w:val="22"/>
        </w:rPr>
        <w:t> </w:t>
      </w:r>
      <w:r>
        <w:rPr>
          <w:sz w:val="22"/>
        </w:rPr>
        <w:t>N°</w:t>
      </w:r>
      <w:r>
        <w:rPr>
          <w:spacing w:val="-16"/>
          <w:sz w:val="22"/>
        </w:rPr>
        <w:t> </w:t>
      </w:r>
      <w:r>
        <w:rPr>
          <w:sz w:val="22"/>
        </w:rPr>
        <w:t>9784. Reforma</w:t>
      </w:r>
      <w:r>
        <w:rPr>
          <w:spacing w:val="-14"/>
          <w:sz w:val="22"/>
        </w:rPr>
        <w:t> </w:t>
      </w:r>
      <w:r>
        <w:rPr>
          <w:sz w:val="22"/>
        </w:rPr>
        <w:t>el</w:t>
      </w:r>
      <w:r>
        <w:rPr>
          <w:spacing w:val="-12"/>
          <w:sz w:val="22"/>
        </w:rPr>
        <w:t> </w:t>
      </w:r>
      <w:r>
        <w:rPr>
          <w:sz w:val="22"/>
        </w:rPr>
        <w:t>artículo</w:t>
      </w:r>
      <w:r>
        <w:rPr>
          <w:spacing w:val="-14"/>
          <w:sz w:val="22"/>
        </w:rPr>
        <w:t> </w:t>
      </w:r>
      <w:r>
        <w:rPr>
          <w:sz w:val="22"/>
        </w:rPr>
        <w:t>111</w:t>
      </w:r>
      <w:r>
        <w:rPr>
          <w:spacing w:val="-14"/>
          <w:sz w:val="22"/>
        </w:rPr>
        <w:t> </w:t>
      </w:r>
      <w:r>
        <w:rPr>
          <w:sz w:val="22"/>
        </w:rPr>
        <w:t>de</w:t>
      </w:r>
      <w:r>
        <w:rPr>
          <w:spacing w:val="-9"/>
          <w:sz w:val="22"/>
        </w:rPr>
        <w:t> </w:t>
      </w:r>
      <w:r>
        <w:rPr>
          <w:sz w:val="22"/>
        </w:rPr>
        <w:t>la</w:t>
      </w:r>
      <w:r>
        <w:rPr>
          <w:spacing w:val="-9"/>
          <w:sz w:val="22"/>
        </w:rPr>
        <w:t> </w:t>
      </w:r>
      <w:r>
        <w:rPr>
          <w:sz w:val="22"/>
        </w:rPr>
        <w:t>Ley</w:t>
      </w:r>
      <w:r>
        <w:rPr>
          <w:spacing w:val="-11"/>
          <w:sz w:val="22"/>
        </w:rPr>
        <w:t> </w:t>
      </w:r>
      <w:r>
        <w:rPr>
          <w:sz w:val="22"/>
        </w:rPr>
        <w:t>N°</w:t>
      </w:r>
      <w:r>
        <w:rPr>
          <w:spacing w:val="-13"/>
          <w:sz w:val="22"/>
        </w:rPr>
        <w:t> </w:t>
      </w:r>
      <w:r>
        <w:rPr>
          <w:sz w:val="22"/>
        </w:rPr>
        <w:t>8508,</w:t>
      </w:r>
      <w:r>
        <w:rPr>
          <w:spacing w:val="-10"/>
          <w:sz w:val="22"/>
        </w:rPr>
        <w:t> </w:t>
      </w:r>
      <w:r>
        <w:rPr>
          <w:sz w:val="22"/>
        </w:rPr>
        <w:t>Código</w:t>
      </w:r>
      <w:r>
        <w:rPr>
          <w:spacing w:val="-14"/>
          <w:sz w:val="22"/>
        </w:rPr>
        <w:t> </w:t>
      </w:r>
      <w:r>
        <w:rPr>
          <w:sz w:val="22"/>
        </w:rPr>
        <w:t>Procesal</w:t>
      </w:r>
      <w:r>
        <w:rPr>
          <w:spacing w:val="-12"/>
          <w:sz w:val="22"/>
        </w:rPr>
        <w:t> </w:t>
      </w:r>
      <w:r>
        <w:rPr>
          <w:sz w:val="22"/>
        </w:rPr>
        <w:t>Contencioso-Administrativo,</w:t>
      </w:r>
      <w:r>
        <w:rPr>
          <w:spacing w:val="-15"/>
          <w:sz w:val="22"/>
        </w:rPr>
        <w:t> </w:t>
      </w:r>
      <w:r>
        <w:rPr>
          <w:sz w:val="22"/>
        </w:rPr>
        <w:t>de 28 de abril de 2006. Fecha de vigencia 13/12/2019</w:t>
      </w:r>
    </w:p>
    <w:p>
      <w:pPr>
        <w:pStyle w:val="BodyText"/>
        <w:spacing w:before="1"/>
      </w:pPr>
    </w:p>
    <w:p>
      <w:pPr>
        <w:spacing w:line="240" w:lineRule="auto" w:before="1"/>
        <w:ind w:left="979" w:right="1338" w:firstLine="0"/>
        <w:jc w:val="both"/>
        <w:rPr>
          <w:sz w:val="22"/>
        </w:rPr>
      </w:pPr>
      <w:r>
        <w:rPr>
          <w:b/>
          <w:sz w:val="22"/>
        </w:rPr>
        <w:t>Ley de Adición de artículos 112 bis y 112 ter al Código Procesal Contencioso Administrativo</w:t>
      </w:r>
      <w:r>
        <w:rPr>
          <w:b/>
          <w:spacing w:val="-7"/>
          <w:sz w:val="22"/>
        </w:rPr>
        <w:t> </w:t>
      </w:r>
      <w:r>
        <w:rPr>
          <w:b/>
          <w:sz w:val="22"/>
        </w:rPr>
        <w:t>para</w:t>
      </w:r>
      <w:r>
        <w:rPr>
          <w:b/>
          <w:spacing w:val="-5"/>
          <w:sz w:val="22"/>
        </w:rPr>
        <w:t> </w:t>
      </w:r>
      <w:r>
        <w:rPr>
          <w:b/>
          <w:sz w:val="22"/>
        </w:rPr>
        <w:t>regular</w:t>
      </w:r>
      <w:r>
        <w:rPr>
          <w:b/>
          <w:spacing w:val="-11"/>
          <w:sz w:val="22"/>
        </w:rPr>
        <w:t> </w:t>
      </w:r>
      <w:r>
        <w:rPr>
          <w:b/>
          <w:sz w:val="22"/>
        </w:rPr>
        <w:t>la</w:t>
      </w:r>
      <w:r>
        <w:rPr>
          <w:b/>
          <w:spacing w:val="-10"/>
          <w:sz w:val="22"/>
        </w:rPr>
        <w:t> </w:t>
      </w:r>
      <w:r>
        <w:rPr>
          <w:b/>
          <w:sz w:val="22"/>
        </w:rPr>
        <w:t>caducidad</w:t>
      </w:r>
      <w:r>
        <w:rPr>
          <w:b/>
          <w:spacing w:val="-7"/>
          <w:sz w:val="22"/>
        </w:rPr>
        <w:t> </w:t>
      </w:r>
      <w:r>
        <w:rPr>
          <w:b/>
          <w:sz w:val="22"/>
        </w:rPr>
        <w:t>del</w:t>
      </w:r>
      <w:r>
        <w:rPr>
          <w:b/>
          <w:spacing w:val="-6"/>
          <w:sz w:val="22"/>
        </w:rPr>
        <w:t> </w:t>
      </w:r>
      <w:r>
        <w:rPr>
          <w:b/>
          <w:sz w:val="22"/>
        </w:rPr>
        <w:t>proceso,</w:t>
      </w:r>
      <w:r>
        <w:rPr>
          <w:b/>
          <w:spacing w:val="-7"/>
          <w:sz w:val="22"/>
        </w:rPr>
        <w:t> </w:t>
      </w:r>
      <w:r>
        <w:rPr>
          <w:b/>
          <w:sz w:val="22"/>
        </w:rPr>
        <w:t>N°</w:t>
      </w:r>
      <w:r>
        <w:rPr>
          <w:b/>
          <w:spacing w:val="-9"/>
          <w:sz w:val="22"/>
        </w:rPr>
        <w:t> </w:t>
      </w:r>
      <w:r>
        <w:rPr>
          <w:b/>
          <w:sz w:val="22"/>
        </w:rPr>
        <w:t>9762.</w:t>
      </w:r>
      <w:r>
        <w:rPr>
          <w:b/>
          <w:spacing w:val="-3"/>
          <w:sz w:val="22"/>
        </w:rPr>
        <w:t> </w:t>
      </w:r>
      <w:r>
        <w:rPr>
          <w:sz w:val="22"/>
        </w:rPr>
        <w:t>Adiciona</w:t>
      </w:r>
      <w:r>
        <w:rPr>
          <w:spacing w:val="-5"/>
          <w:sz w:val="22"/>
        </w:rPr>
        <w:t> </w:t>
      </w:r>
      <w:r>
        <w:rPr>
          <w:sz w:val="22"/>
        </w:rPr>
        <w:t>el</w:t>
      </w:r>
      <w:r>
        <w:rPr>
          <w:spacing w:val="-13"/>
          <w:sz w:val="22"/>
        </w:rPr>
        <w:t> </w:t>
      </w:r>
      <w:r>
        <w:rPr>
          <w:sz w:val="22"/>
        </w:rPr>
        <w:t>artículo</w:t>
      </w:r>
      <w:r>
        <w:rPr>
          <w:spacing w:val="-10"/>
          <w:sz w:val="22"/>
        </w:rPr>
        <w:t> </w:t>
      </w:r>
      <w:r>
        <w:rPr>
          <w:sz w:val="22"/>
        </w:rPr>
        <w:t>112 bis a la Ley N° 8508, Código Procesal Contencioso-Administrativo, de 28 de abril de 2006 y el artículo 112 ter a la Ley N°8508, Código Procesal Contencioso-Administrativo, de 28 de abril de 2006. Fecha de vigencia 16/12/2019.</w:t>
      </w:r>
    </w:p>
    <w:p>
      <w:pPr>
        <w:pStyle w:val="BodyText"/>
        <w:spacing w:before="252"/>
        <w:ind w:left="979" w:right="1338"/>
        <w:jc w:val="both"/>
      </w:pPr>
      <w:r>
        <w:rPr>
          <w:b/>
        </w:rPr>
        <w:t>Ley 9762, </w:t>
      </w:r>
      <w:r>
        <w:rPr/>
        <w:t>Adición de artículos 112 bis y 112 ter al Código Procesal Contencioso Administrativo</w:t>
      </w:r>
      <w:r>
        <w:rPr>
          <w:spacing w:val="-4"/>
        </w:rPr>
        <w:t> </w:t>
      </w:r>
      <w:r>
        <w:rPr/>
        <w:t>para regular</w:t>
      </w:r>
      <w:r>
        <w:rPr>
          <w:spacing w:val="-3"/>
        </w:rPr>
        <w:t> </w:t>
      </w:r>
      <w:r>
        <w:rPr/>
        <w:t>la</w:t>
      </w:r>
      <w:r>
        <w:rPr>
          <w:spacing w:val="-4"/>
        </w:rPr>
        <w:t> </w:t>
      </w:r>
      <w:r>
        <w:rPr/>
        <w:t>caducidad</w:t>
      </w:r>
      <w:r>
        <w:rPr>
          <w:spacing w:val="-4"/>
        </w:rPr>
        <w:t> </w:t>
      </w:r>
      <w:r>
        <w:rPr/>
        <w:t>del</w:t>
      </w:r>
      <w:r>
        <w:rPr>
          <w:spacing w:val="-7"/>
        </w:rPr>
        <w:t> </w:t>
      </w:r>
      <w:r>
        <w:rPr/>
        <w:t>proceso,</w:t>
      </w:r>
      <w:r>
        <w:rPr>
          <w:spacing w:val="-5"/>
        </w:rPr>
        <w:t> </w:t>
      </w:r>
      <w:r>
        <w:rPr/>
        <w:t>Ley</w:t>
      </w:r>
      <w:r>
        <w:rPr>
          <w:spacing w:val="-6"/>
        </w:rPr>
        <w:t> </w:t>
      </w:r>
      <w:r>
        <w:rPr/>
        <w:t>N°</w:t>
      </w:r>
      <w:r>
        <w:rPr>
          <w:spacing w:val="-3"/>
        </w:rPr>
        <w:t> </w:t>
      </w:r>
      <w:r>
        <w:rPr/>
        <w:t>9762,</w:t>
      </w:r>
      <w:r>
        <w:rPr>
          <w:spacing w:val="-5"/>
        </w:rPr>
        <w:t> </w:t>
      </w:r>
      <w:r>
        <w:rPr/>
        <w:t>adiciona</w:t>
      </w:r>
      <w:r>
        <w:rPr>
          <w:spacing w:val="-4"/>
        </w:rPr>
        <w:t> </w:t>
      </w:r>
      <w:r>
        <w:rPr/>
        <w:t>el</w:t>
      </w:r>
      <w:r>
        <w:rPr>
          <w:spacing w:val="-2"/>
        </w:rPr>
        <w:t> </w:t>
      </w:r>
      <w:r>
        <w:rPr/>
        <w:t>artículo</w:t>
      </w:r>
      <w:r>
        <w:rPr>
          <w:spacing w:val="-4"/>
        </w:rPr>
        <w:t> </w:t>
      </w:r>
      <w:r>
        <w:rPr/>
        <w:t>112 bis a la Ley N° 8508, Código Procesal Contencioso-Administrativo, de 28 de abril de 2006 y el artículo 112 ter a la Ley N° 8508, Código Procesal Contencioso-Administrativo, de 28 de abril de 2006. fecha de vigencia 16/12/2019</w:t>
      </w:r>
    </w:p>
    <w:p>
      <w:pPr>
        <w:pStyle w:val="BodyText"/>
      </w:pPr>
    </w:p>
    <w:p>
      <w:pPr>
        <w:pStyle w:val="BodyText"/>
        <w:spacing w:before="1"/>
      </w:pPr>
    </w:p>
    <w:p>
      <w:pPr>
        <w:spacing w:line="240" w:lineRule="auto" w:before="0"/>
        <w:ind w:left="979" w:right="1340" w:firstLine="0"/>
        <w:jc w:val="both"/>
        <w:rPr>
          <w:sz w:val="22"/>
        </w:rPr>
      </w:pPr>
      <w:r>
        <w:rPr>
          <w:b/>
          <w:sz w:val="22"/>
        </w:rPr>
        <w:t>Ley para Fortalecer el Combate a la Pobreza, N° 9820. </w:t>
      </w:r>
      <w:r>
        <w:rPr>
          <w:sz w:val="22"/>
        </w:rPr>
        <w:t>Reforma los artículos 4, 9 y 13 de la Ley 9326, Impuesto a los Moteles y Lugares Afines a favor del IMAS. Fecha de vigencia 24/03/2020.</w:t>
      </w:r>
    </w:p>
    <w:p>
      <w:pPr>
        <w:pStyle w:val="BodyText"/>
        <w:spacing w:before="1"/>
      </w:pPr>
    </w:p>
    <w:p>
      <w:pPr>
        <w:spacing w:line="240" w:lineRule="auto" w:before="0"/>
        <w:ind w:left="979" w:right="1343" w:firstLine="0"/>
        <w:jc w:val="both"/>
        <w:rPr>
          <w:sz w:val="22"/>
        </w:rPr>
      </w:pPr>
      <w:r>
        <w:rPr>
          <w:b/>
          <w:sz w:val="22"/>
        </w:rPr>
        <w:t>Ley de Reactivación y Reforzamiento de la Red Nacional de Cuido y Desarrollo Infantil, N°9941 y sus reformas. </w:t>
      </w:r>
      <w:r>
        <w:rPr>
          <w:sz w:val="22"/>
        </w:rPr>
        <w:t>Reforma los artículos</w:t>
      </w:r>
      <w:r>
        <w:rPr>
          <w:spacing w:val="-2"/>
          <w:sz w:val="22"/>
        </w:rPr>
        <w:t> </w:t>
      </w:r>
      <w:r>
        <w:rPr>
          <w:sz w:val="22"/>
        </w:rPr>
        <w:t>1, 3, 4, 7, 8, 9, 11 y</w:t>
      </w:r>
      <w:r>
        <w:rPr>
          <w:spacing w:val="-1"/>
          <w:sz w:val="22"/>
        </w:rPr>
        <w:t> </w:t>
      </w:r>
      <w:r>
        <w:rPr>
          <w:sz w:val="22"/>
        </w:rPr>
        <w:t>el inciso j) del 12</w:t>
      </w:r>
      <w:r>
        <w:rPr>
          <w:spacing w:val="-16"/>
          <w:sz w:val="22"/>
        </w:rPr>
        <w:t> </w:t>
      </w:r>
      <w:r>
        <w:rPr>
          <w:sz w:val="22"/>
        </w:rPr>
        <w:t>y</w:t>
      </w:r>
      <w:r>
        <w:rPr>
          <w:spacing w:val="-15"/>
          <w:sz w:val="22"/>
        </w:rPr>
        <w:t> </w:t>
      </w:r>
      <w:r>
        <w:rPr>
          <w:sz w:val="22"/>
        </w:rPr>
        <w:t>se</w:t>
      </w:r>
      <w:r>
        <w:rPr>
          <w:spacing w:val="-15"/>
          <w:sz w:val="22"/>
        </w:rPr>
        <w:t> </w:t>
      </w:r>
      <w:r>
        <w:rPr>
          <w:sz w:val="22"/>
        </w:rPr>
        <w:t>corre</w:t>
      </w:r>
      <w:r>
        <w:rPr>
          <w:spacing w:val="-16"/>
          <w:sz w:val="22"/>
        </w:rPr>
        <w:t> </w:t>
      </w:r>
      <w:r>
        <w:rPr>
          <w:sz w:val="22"/>
        </w:rPr>
        <w:t>su</w:t>
      </w:r>
      <w:r>
        <w:rPr>
          <w:spacing w:val="-15"/>
          <w:sz w:val="22"/>
        </w:rPr>
        <w:t> </w:t>
      </w:r>
      <w:r>
        <w:rPr>
          <w:sz w:val="22"/>
        </w:rPr>
        <w:t>numeración,</w:t>
      </w:r>
      <w:r>
        <w:rPr>
          <w:spacing w:val="-15"/>
          <w:sz w:val="22"/>
        </w:rPr>
        <w:t> </w:t>
      </w:r>
      <w:r>
        <w:rPr>
          <w:sz w:val="22"/>
        </w:rPr>
        <w:t>15,</w:t>
      </w:r>
      <w:r>
        <w:rPr>
          <w:spacing w:val="-15"/>
          <w:sz w:val="22"/>
        </w:rPr>
        <w:t> </w:t>
      </w:r>
      <w:r>
        <w:rPr>
          <w:sz w:val="22"/>
        </w:rPr>
        <w:t>18</w:t>
      </w:r>
      <w:r>
        <w:rPr>
          <w:spacing w:val="-16"/>
          <w:sz w:val="22"/>
        </w:rPr>
        <w:t> </w:t>
      </w:r>
      <w:r>
        <w:rPr>
          <w:sz w:val="22"/>
        </w:rPr>
        <w:t>y</w:t>
      </w:r>
      <w:r>
        <w:rPr>
          <w:spacing w:val="-15"/>
          <w:sz w:val="22"/>
        </w:rPr>
        <w:t> </w:t>
      </w:r>
      <w:r>
        <w:rPr>
          <w:sz w:val="22"/>
        </w:rPr>
        <w:t>20</w:t>
      </w:r>
      <w:r>
        <w:rPr>
          <w:spacing w:val="-15"/>
          <w:sz w:val="22"/>
        </w:rPr>
        <w:t> </w:t>
      </w:r>
      <w:r>
        <w:rPr>
          <w:sz w:val="22"/>
        </w:rPr>
        <w:t>de</w:t>
      </w:r>
      <w:r>
        <w:rPr>
          <w:spacing w:val="-16"/>
          <w:sz w:val="22"/>
        </w:rPr>
        <w:t> </w:t>
      </w:r>
      <w:r>
        <w:rPr>
          <w:sz w:val="22"/>
        </w:rPr>
        <w:t>la</w:t>
      </w:r>
      <w:r>
        <w:rPr>
          <w:spacing w:val="-15"/>
          <w:sz w:val="22"/>
        </w:rPr>
        <w:t> </w:t>
      </w:r>
      <w:r>
        <w:rPr>
          <w:sz w:val="22"/>
        </w:rPr>
        <w:t>Ley</w:t>
      </w:r>
      <w:r>
        <w:rPr>
          <w:spacing w:val="-15"/>
          <w:sz w:val="22"/>
        </w:rPr>
        <w:t> </w:t>
      </w:r>
      <w:r>
        <w:rPr>
          <w:sz w:val="22"/>
        </w:rPr>
        <w:t>9220,</w:t>
      </w:r>
      <w:r>
        <w:rPr>
          <w:spacing w:val="-15"/>
          <w:sz w:val="22"/>
        </w:rPr>
        <w:t> </w:t>
      </w:r>
      <w:r>
        <w:rPr>
          <w:sz w:val="22"/>
        </w:rPr>
        <w:t>Red</w:t>
      </w:r>
      <w:r>
        <w:rPr>
          <w:spacing w:val="-16"/>
          <w:sz w:val="22"/>
        </w:rPr>
        <w:t> </w:t>
      </w:r>
      <w:r>
        <w:rPr>
          <w:sz w:val="22"/>
        </w:rPr>
        <w:t>Nacional</w:t>
      </w:r>
      <w:r>
        <w:rPr>
          <w:spacing w:val="-15"/>
          <w:sz w:val="22"/>
        </w:rPr>
        <w:t> </w:t>
      </w:r>
      <w:r>
        <w:rPr>
          <w:sz w:val="22"/>
        </w:rPr>
        <w:t>de</w:t>
      </w:r>
      <w:r>
        <w:rPr>
          <w:spacing w:val="-15"/>
          <w:sz w:val="22"/>
        </w:rPr>
        <w:t> </w:t>
      </w:r>
      <w:r>
        <w:rPr>
          <w:sz w:val="22"/>
        </w:rPr>
        <w:t>Cuido</w:t>
      </w:r>
      <w:r>
        <w:rPr>
          <w:spacing w:val="-16"/>
          <w:sz w:val="22"/>
        </w:rPr>
        <w:t> </w:t>
      </w:r>
      <w:r>
        <w:rPr>
          <w:sz w:val="22"/>
        </w:rPr>
        <w:t>y</w:t>
      </w:r>
      <w:r>
        <w:rPr>
          <w:spacing w:val="-15"/>
          <w:sz w:val="22"/>
        </w:rPr>
        <w:t> </w:t>
      </w:r>
      <w:r>
        <w:rPr>
          <w:sz w:val="22"/>
        </w:rPr>
        <w:t>Desarrollo Infantil, de 24 de marzo de 2014. Fecha de vigencia 02/03/2021.</w:t>
      </w:r>
    </w:p>
    <w:p>
      <w:pPr>
        <w:spacing w:before="251"/>
        <w:ind w:left="979" w:right="1346" w:firstLine="0"/>
        <w:jc w:val="both"/>
        <w:rPr>
          <w:sz w:val="22"/>
        </w:rPr>
      </w:pPr>
      <w:r>
        <w:rPr>
          <w:b/>
          <w:sz w:val="22"/>
        </w:rPr>
        <w:t>Ley</w:t>
      </w:r>
      <w:r>
        <w:rPr>
          <w:b/>
          <w:spacing w:val="-16"/>
          <w:sz w:val="22"/>
        </w:rPr>
        <w:t> </w:t>
      </w:r>
      <w:r>
        <w:rPr>
          <w:b/>
          <w:sz w:val="22"/>
        </w:rPr>
        <w:t>para</w:t>
      </w:r>
      <w:r>
        <w:rPr>
          <w:b/>
          <w:spacing w:val="-13"/>
          <w:sz w:val="22"/>
        </w:rPr>
        <w:t> </w:t>
      </w:r>
      <w:r>
        <w:rPr>
          <w:b/>
          <w:sz w:val="22"/>
        </w:rPr>
        <w:t>confirmar</w:t>
      </w:r>
      <w:r>
        <w:rPr>
          <w:b/>
          <w:spacing w:val="-16"/>
          <w:sz w:val="22"/>
        </w:rPr>
        <w:t> </w:t>
      </w:r>
      <w:r>
        <w:rPr>
          <w:b/>
          <w:sz w:val="22"/>
        </w:rPr>
        <w:t>el</w:t>
      </w:r>
      <w:r>
        <w:rPr>
          <w:b/>
          <w:spacing w:val="-10"/>
          <w:sz w:val="22"/>
        </w:rPr>
        <w:t> </w:t>
      </w:r>
      <w:r>
        <w:rPr>
          <w:b/>
          <w:sz w:val="22"/>
        </w:rPr>
        <w:t>carácter</w:t>
      </w:r>
      <w:r>
        <w:rPr>
          <w:b/>
          <w:spacing w:val="-11"/>
          <w:sz w:val="22"/>
        </w:rPr>
        <w:t> </w:t>
      </w:r>
      <w:r>
        <w:rPr>
          <w:b/>
          <w:sz w:val="22"/>
        </w:rPr>
        <w:t>de</w:t>
      </w:r>
      <w:r>
        <w:rPr>
          <w:b/>
          <w:spacing w:val="-11"/>
          <w:sz w:val="22"/>
        </w:rPr>
        <w:t> </w:t>
      </w:r>
      <w:r>
        <w:rPr>
          <w:b/>
          <w:sz w:val="22"/>
        </w:rPr>
        <w:t>título</w:t>
      </w:r>
      <w:r>
        <w:rPr>
          <w:b/>
          <w:spacing w:val="-16"/>
          <w:sz w:val="22"/>
        </w:rPr>
        <w:t> </w:t>
      </w:r>
      <w:r>
        <w:rPr>
          <w:b/>
          <w:sz w:val="22"/>
        </w:rPr>
        <w:t>ejecutivo</w:t>
      </w:r>
      <w:r>
        <w:rPr>
          <w:b/>
          <w:spacing w:val="-11"/>
          <w:sz w:val="22"/>
        </w:rPr>
        <w:t> </w:t>
      </w:r>
      <w:r>
        <w:rPr>
          <w:b/>
          <w:sz w:val="22"/>
        </w:rPr>
        <w:t>a</w:t>
      </w:r>
      <w:r>
        <w:rPr>
          <w:b/>
          <w:spacing w:val="-10"/>
          <w:sz w:val="22"/>
        </w:rPr>
        <w:t> </w:t>
      </w:r>
      <w:r>
        <w:rPr>
          <w:b/>
          <w:sz w:val="22"/>
        </w:rPr>
        <w:t>la</w:t>
      </w:r>
      <w:r>
        <w:rPr>
          <w:b/>
          <w:spacing w:val="-10"/>
          <w:sz w:val="22"/>
        </w:rPr>
        <w:t> </w:t>
      </w:r>
      <w:r>
        <w:rPr>
          <w:b/>
          <w:sz w:val="22"/>
        </w:rPr>
        <w:t>factura</w:t>
      </w:r>
      <w:r>
        <w:rPr>
          <w:b/>
          <w:spacing w:val="-10"/>
          <w:sz w:val="22"/>
        </w:rPr>
        <w:t> </w:t>
      </w:r>
      <w:r>
        <w:rPr>
          <w:b/>
          <w:sz w:val="22"/>
        </w:rPr>
        <w:t>electrónica</w:t>
      </w:r>
      <w:r>
        <w:rPr>
          <w:b/>
          <w:spacing w:val="-10"/>
          <w:sz w:val="22"/>
        </w:rPr>
        <w:t> </w:t>
      </w:r>
      <w:r>
        <w:rPr>
          <w:b/>
          <w:sz w:val="22"/>
        </w:rPr>
        <w:t>y</w:t>
      </w:r>
      <w:r>
        <w:rPr>
          <w:b/>
          <w:spacing w:val="-15"/>
          <w:sz w:val="22"/>
        </w:rPr>
        <w:t> </w:t>
      </w:r>
      <w:r>
        <w:rPr>
          <w:b/>
          <w:sz w:val="22"/>
        </w:rPr>
        <w:t>constituirla en valor negociable, N°10039</w:t>
      </w:r>
      <w:r>
        <w:rPr>
          <w:sz w:val="22"/>
        </w:rPr>
        <w:t>. Reforma el artículo 460 bis de la Ley 3284, Código de Comercio. Fecha de vigencia 19/10/2021.</w:t>
      </w:r>
    </w:p>
    <w:p>
      <w:pPr>
        <w:pStyle w:val="BodyText"/>
        <w:spacing w:before="1"/>
      </w:pPr>
    </w:p>
    <w:p>
      <w:pPr>
        <w:spacing w:line="240" w:lineRule="auto" w:before="0"/>
        <w:ind w:left="979" w:right="1334" w:firstLine="0"/>
        <w:jc w:val="both"/>
        <w:rPr>
          <w:sz w:val="22"/>
        </w:rPr>
      </w:pPr>
      <w:r>
        <w:rPr>
          <w:b/>
          <w:sz w:val="22"/>
        </w:rPr>
        <w:t>Ley</w:t>
      </w:r>
      <w:r>
        <w:rPr>
          <w:b/>
          <w:spacing w:val="-1"/>
          <w:sz w:val="22"/>
        </w:rPr>
        <w:t> </w:t>
      </w:r>
      <w:r>
        <w:rPr>
          <w:b/>
          <w:sz w:val="22"/>
        </w:rPr>
        <w:t>Exoneración a las Asociaciones Administradoras de Sistemas de Acueductos y Alcantarillados Comunales (ASADAS), N°8776 y sus reformas. </w:t>
      </w:r>
      <w:r>
        <w:rPr>
          <w:sz w:val="22"/>
        </w:rPr>
        <w:t>Fortalece el financiamiento de las asociaciones administradoras de sistemas de acueductos y alcantarillados</w:t>
      </w:r>
      <w:r>
        <w:rPr>
          <w:spacing w:val="-13"/>
          <w:sz w:val="22"/>
        </w:rPr>
        <w:t> </w:t>
      </w:r>
      <w:r>
        <w:rPr>
          <w:sz w:val="22"/>
        </w:rPr>
        <w:t>comunales</w:t>
      </w:r>
      <w:r>
        <w:rPr>
          <w:spacing w:val="-8"/>
          <w:sz w:val="22"/>
        </w:rPr>
        <w:t> </w:t>
      </w:r>
      <w:r>
        <w:rPr>
          <w:sz w:val="22"/>
        </w:rPr>
        <w:t>(Asadas),</w:t>
      </w:r>
      <w:r>
        <w:rPr>
          <w:spacing w:val="-12"/>
          <w:sz w:val="22"/>
        </w:rPr>
        <w:t> </w:t>
      </w:r>
      <w:r>
        <w:rPr>
          <w:sz w:val="22"/>
        </w:rPr>
        <w:t>creando</w:t>
      </w:r>
      <w:r>
        <w:rPr>
          <w:spacing w:val="-6"/>
          <w:sz w:val="22"/>
        </w:rPr>
        <w:t> </w:t>
      </w:r>
      <w:r>
        <w:rPr>
          <w:sz w:val="22"/>
        </w:rPr>
        <w:t>las</w:t>
      </w:r>
      <w:r>
        <w:rPr>
          <w:spacing w:val="-8"/>
          <w:sz w:val="22"/>
        </w:rPr>
        <w:t> </w:t>
      </w:r>
      <w:r>
        <w:rPr>
          <w:sz w:val="22"/>
        </w:rPr>
        <w:t>condiciones</w:t>
      </w:r>
      <w:r>
        <w:rPr>
          <w:spacing w:val="-13"/>
          <w:sz w:val="22"/>
        </w:rPr>
        <w:t> </w:t>
      </w:r>
      <w:r>
        <w:rPr>
          <w:sz w:val="22"/>
        </w:rPr>
        <w:t>que</w:t>
      </w:r>
      <w:r>
        <w:rPr>
          <w:spacing w:val="-6"/>
          <w:sz w:val="22"/>
        </w:rPr>
        <w:t> </w:t>
      </w:r>
      <w:r>
        <w:rPr>
          <w:sz w:val="22"/>
        </w:rPr>
        <w:t>faciliten</w:t>
      </w:r>
      <w:r>
        <w:rPr>
          <w:spacing w:val="-6"/>
          <w:sz w:val="22"/>
        </w:rPr>
        <w:t> </w:t>
      </w:r>
      <w:r>
        <w:rPr>
          <w:sz w:val="22"/>
        </w:rPr>
        <w:t>la</w:t>
      </w:r>
      <w:r>
        <w:rPr>
          <w:spacing w:val="-11"/>
          <w:sz w:val="22"/>
        </w:rPr>
        <w:t> </w:t>
      </w:r>
      <w:r>
        <w:rPr>
          <w:sz w:val="22"/>
        </w:rPr>
        <w:t>adquisición</w:t>
      </w:r>
      <w:r>
        <w:rPr>
          <w:spacing w:val="-6"/>
          <w:sz w:val="22"/>
        </w:rPr>
        <w:t> </w:t>
      </w:r>
      <w:r>
        <w:rPr>
          <w:sz w:val="22"/>
        </w:rPr>
        <w:t>de bienes y servicios para que viabilicen la efectiva gestión operacional de los sistemas de acueductos y alcantarillados comunales. Fecha de vigencia 09/12/2021.</w:t>
      </w:r>
    </w:p>
    <w:p>
      <w:pPr>
        <w:pStyle w:val="BodyText"/>
        <w:spacing w:before="1"/>
      </w:pPr>
    </w:p>
    <w:p>
      <w:pPr>
        <w:spacing w:line="240" w:lineRule="auto" w:before="0"/>
        <w:ind w:left="979" w:right="1339" w:firstLine="0"/>
        <w:jc w:val="both"/>
        <w:rPr>
          <w:sz w:val="22"/>
        </w:rPr>
      </w:pPr>
      <w:r>
        <w:rPr>
          <w:b/>
          <w:sz w:val="22"/>
        </w:rPr>
        <w:t>Ley</w:t>
      </w:r>
      <w:r>
        <w:rPr>
          <w:b/>
          <w:spacing w:val="-16"/>
          <w:sz w:val="22"/>
        </w:rPr>
        <w:t> </w:t>
      </w:r>
      <w:r>
        <w:rPr>
          <w:b/>
          <w:sz w:val="22"/>
        </w:rPr>
        <w:t>sobre</w:t>
      </w:r>
      <w:r>
        <w:rPr>
          <w:b/>
          <w:spacing w:val="-15"/>
          <w:sz w:val="22"/>
        </w:rPr>
        <w:t> </w:t>
      </w:r>
      <w:r>
        <w:rPr>
          <w:b/>
          <w:sz w:val="22"/>
        </w:rPr>
        <w:t>letra</w:t>
      </w:r>
      <w:r>
        <w:rPr>
          <w:b/>
          <w:spacing w:val="-12"/>
          <w:sz w:val="22"/>
        </w:rPr>
        <w:t> </w:t>
      </w:r>
      <w:r>
        <w:rPr>
          <w:b/>
          <w:sz w:val="22"/>
        </w:rPr>
        <w:t>de</w:t>
      </w:r>
      <w:r>
        <w:rPr>
          <w:b/>
          <w:spacing w:val="-16"/>
          <w:sz w:val="22"/>
        </w:rPr>
        <w:t> </w:t>
      </w:r>
      <w:r>
        <w:rPr>
          <w:b/>
          <w:sz w:val="22"/>
        </w:rPr>
        <w:t>cambio</w:t>
      </w:r>
      <w:r>
        <w:rPr>
          <w:b/>
          <w:spacing w:val="-14"/>
          <w:sz w:val="22"/>
        </w:rPr>
        <w:t> </w:t>
      </w:r>
      <w:r>
        <w:rPr>
          <w:b/>
          <w:sz w:val="22"/>
        </w:rPr>
        <w:t>y</w:t>
      </w:r>
      <w:r>
        <w:rPr>
          <w:b/>
          <w:spacing w:val="-16"/>
          <w:sz w:val="22"/>
        </w:rPr>
        <w:t> </w:t>
      </w:r>
      <w:r>
        <w:rPr>
          <w:b/>
          <w:sz w:val="22"/>
        </w:rPr>
        <w:t>pagaré</w:t>
      </w:r>
      <w:r>
        <w:rPr>
          <w:b/>
          <w:spacing w:val="-12"/>
          <w:sz w:val="22"/>
        </w:rPr>
        <w:t> </w:t>
      </w:r>
      <w:r>
        <w:rPr>
          <w:b/>
          <w:sz w:val="22"/>
        </w:rPr>
        <w:t>electrónicos,</w:t>
      </w:r>
      <w:r>
        <w:rPr>
          <w:b/>
          <w:spacing w:val="-13"/>
          <w:sz w:val="22"/>
        </w:rPr>
        <w:t> </w:t>
      </w:r>
      <w:r>
        <w:rPr>
          <w:b/>
          <w:sz w:val="22"/>
        </w:rPr>
        <w:t>Nº10069.</w:t>
      </w:r>
      <w:r>
        <w:rPr>
          <w:b/>
          <w:spacing w:val="-5"/>
          <w:sz w:val="22"/>
        </w:rPr>
        <w:t> </w:t>
      </w:r>
      <w:r>
        <w:rPr>
          <w:sz w:val="22"/>
        </w:rPr>
        <w:t>Regula</w:t>
      </w:r>
      <w:r>
        <w:rPr>
          <w:spacing w:val="-12"/>
          <w:sz w:val="22"/>
        </w:rPr>
        <w:t> </w:t>
      </w:r>
      <w:r>
        <w:rPr>
          <w:sz w:val="22"/>
        </w:rPr>
        <w:t>la</w:t>
      </w:r>
      <w:r>
        <w:rPr>
          <w:spacing w:val="-16"/>
          <w:sz w:val="22"/>
        </w:rPr>
        <w:t> </w:t>
      </w:r>
      <w:r>
        <w:rPr>
          <w:sz w:val="22"/>
        </w:rPr>
        <w:t>desmaterialización y electronificación de la letra de cambio y</w:t>
      </w:r>
      <w:r>
        <w:rPr>
          <w:spacing w:val="-1"/>
          <w:sz w:val="22"/>
        </w:rPr>
        <w:t> </w:t>
      </w:r>
      <w:r>
        <w:rPr>
          <w:sz w:val="22"/>
        </w:rPr>
        <w:t>pagaré, así como su anotación en cuenta en los Registros Centralizados definidos en esta ley. Fecha de vigencia 09/12/2021.</w:t>
      </w:r>
    </w:p>
    <w:p>
      <w:pPr>
        <w:pStyle w:val="BodyText"/>
        <w:spacing w:before="1"/>
      </w:pPr>
    </w:p>
    <w:p>
      <w:pPr>
        <w:pStyle w:val="BodyText"/>
        <w:ind w:left="979" w:right="1341"/>
        <w:jc w:val="both"/>
      </w:pPr>
      <w:r>
        <w:rPr>
          <w:b/>
        </w:rPr>
        <w:t>Ley de Reducción de la Deuda Pública por medio de la venta de activos ociosos o subutilizados del Sector Público, N°10092. </w:t>
      </w:r>
      <w:r>
        <w:rPr/>
        <w:t>Autoriza a todos los entes y órganos de la Administración Pública para que enajenen o liquiden, de manera directa, los bienes muebles e inmuebles inscritos a su nombre y que no estén afectados al uso o dominio público sobre los</w:t>
      </w:r>
      <w:r>
        <w:rPr>
          <w:spacing w:val="-1"/>
        </w:rPr>
        <w:t> </w:t>
      </w:r>
      <w:r>
        <w:rPr/>
        <w:t>que proceda la compra directa,</w:t>
      </w:r>
      <w:r>
        <w:rPr>
          <w:spacing w:val="-5"/>
        </w:rPr>
        <w:t> </w:t>
      </w:r>
      <w:r>
        <w:rPr/>
        <w:t>de acuerdo con los</w:t>
      </w:r>
      <w:r>
        <w:rPr>
          <w:spacing w:val="-2"/>
        </w:rPr>
        <w:t> </w:t>
      </w:r>
      <w:r>
        <w:rPr/>
        <w:t>parámetros</w:t>
      </w:r>
      <w:r>
        <w:rPr>
          <w:spacing w:val="-1"/>
        </w:rPr>
        <w:t> </w:t>
      </w:r>
      <w:r>
        <w:rPr/>
        <w:t>de la</w:t>
      </w:r>
      <w:r>
        <w:rPr>
          <w:spacing w:val="-4"/>
        </w:rPr>
        <w:t> </w:t>
      </w:r>
      <w:r>
        <w:rPr/>
        <w:t>Ley 7494,</w:t>
      </w:r>
      <w:r>
        <w:rPr>
          <w:spacing w:val="-10"/>
        </w:rPr>
        <w:t> </w:t>
      </w:r>
      <w:r>
        <w:rPr/>
        <w:t>Ley</w:t>
      </w:r>
      <w:r>
        <w:rPr>
          <w:spacing w:val="-6"/>
        </w:rPr>
        <w:t> </w:t>
      </w:r>
      <w:r>
        <w:rPr/>
        <w:t>de</w:t>
      </w:r>
      <w:r>
        <w:rPr>
          <w:spacing w:val="-4"/>
        </w:rPr>
        <w:t> </w:t>
      </w:r>
      <w:r>
        <w:rPr/>
        <w:t>Contratación</w:t>
      </w:r>
      <w:r>
        <w:rPr>
          <w:spacing w:val="-4"/>
        </w:rPr>
        <w:t> </w:t>
      </w:r>
      <w:r>
        <w:rPr/>
        <w:t>Administrativa,</w:t>
      </w:r>
      <w:r>
        <w:rPr>
          <w:spacing w:val="-5"/>
        </w:rPr>
        <w:t> </w:t>
      </w:r>
      <w:r>
        <w:rPr/>
        <w:t>de</w:t>
      </w:r>
      <w:r>
        <w:rPr>
          <w:spacing w:val="-4"/>
        </w:rPr>
        <w:t> </w:t>
      </w:r>
      <w:r>
        <w:rPr/>
        <w:t>2</w:t>
      </w:r>
      <w:r>
        <w:rPr>
          <w:spacing w:val="-4"/>
        </w:rPr>
        <w:t> </w:t>
      </w:r>
      <w:r>
        <w:rPr/>
        <w:t>de</w:t>
      </w:r>
      <w:r>
        <w:rPr>
          <w:spacing w:val="-9"/>
        </w:rPr>
        <w:t> </w:t>
      </w:r>
      <w:r>
        <w:rPr/>
        <w:t>mayo</w:t>
      </w:r>
      <w:r>
        <w:rPr>
          <w:spacing w:val="-4"/>
        </w:rPr>
        <w:t> </w:t>
      </w:r>
      <w:r>
        <w:rPr/>
        <w:t>de</w:t>
      </w:r>
      <w:r>
        <w:rPr>
          <w:spacing w:val="-9"/>
        </w:rPr>
        <w:t> </w:t>
      </w:r>
      <w:r>
        <w:rPr/>
        <w:t>1995</w:t>
      </w:r>
      <w:r>
        <w:rPr>
          <w:spacing w:val="-4"/>
        </w:rPr>
        <w:t> </w:t>
      </w:r>
      <w:r>
        <w:rPr/>
        <w:t>y</w:t>
      </w:r>
      <w:r>
        <w:rPr>
          <w:spacing w:val="-6"/>
        </w:rPr>
        <w:t> </w:t>
      </w:r>
      <w:r>
        <w:rPr/>
        <w:t>su</w:t>
      </w:r>
      <w:r>
        <w:rPr>
          <w:spacing w:val="-4"/>
        </w:rPr>
        <w:t> </w:t>
      </w:r>
      <w:r>
        <w:rPr/>
        <w:t>reglamento;</w:t>
      </w:r>
      <w:r>
        <w:rPr>
          <w:spacing w:val="-5"/>
        </w:rPr>
        <w:t> </w:t>
      </w:r>
      <w:r>
        <w:rPr/>
        <w:t>siempre y cuando dichos bienes no estén siendo utilizados en modo alguno y a criterio de la institución resulten ociosos, de acuerdo con el efectivo cumplimiento del fin público por el que fueron adquiridos. Fecha de vigencia 23/02/2022.</w:t>
      </w:r>
    </w:p>
    <w:p>
      <w:pPr>
        <w:pStyle w:val="BodyText"/>
        <w:spacing w:after="0"/>
        <w:jc w:val="both"/>
        <w:sectPr>
          <w:pgSz w:w="12240" w:h="15840"/>
          <w:pgMar w:header="0" w:footer="1021" w:top="1340" w:bottom="1220" w:left="720" w:right="360"/>
        </w:sectPr>
      </w:pPr>
    </w:p>
    <w:p>
      <w:pPr>
        <w:spacing w:line="240" w:lineRule="auto" w:before="76"/>
        <w:ind w:left="979" w:right="1333" w:firstLine="0"/>
        <w:jc w:val="both"/>
        <w:rPr>
          <w:sz w:val="22"/>
        </w:rPr>
      </w:pPr>
      <w:r>
        <w:rPr>
          <w:b/>
          <w:sz w:val="22"/>
        </w:rPr>
        <w:t>Ley</w:t>
      </w:r>
      <w:r>
        <w:rPr>
          <w:b/>
          <w:spacing w:val="-10"/>
          <w:sz w:val="22"/>
        </w:rPr>
        <w:t> </w:t>
      </w:r>
      <w:r>
        <w:rPr>
          <w:b/>
          <w:sz w:val="22"/>
        </w:rPr>
        <w:t>de</w:t>
      </w:r>
      <w:r>
        <w:rPr>
          <w:b/>
          <w:spacing w:val="-10"/>
          <w:sz w:val="22"/>
        </w:rPr>
        <w:t> </w:t>
      </w:r>
      <w:r>
        <w:rPr>
          <w:b/>
          <w:sz w:val="22"/>
        </w:rPr>
        <w:t>Declaratoria</w:t>
      </w:r>
      <w:r>
        <w:rPr>
          <w:b/>
          <w:spacing w:val="-5"/>
          <w:sz w:val="22"/>
        </w:rPr>
        <w:t> </w:t>
      </w:r>
      <w:r>
        <w:rPr>
          <w:b/>
          <w:sz w:val="22"/>
        </w:rPr>
        <w:t>de</w:t>
      </w:r>
      <w:r>
        <w:rPr>
          <w:b/>
          <w:spacing w:val="-10"/>
          <w:sz w:val="22"/>
        </w:rPr>
        <w:t> </w:t>
      </w:r>
      <w:r>
        <w:rPr>
          <w:b/>
          <w:sz w:val="22"/>
        </w:rPr>
        <w:t>Interés</w:t>
      </w:r>
      <w:r>
        <w:rPr>
          <w:b/>
          <w:spacing w:val="-10"/>
          <w:sz w:val="22"/>
        </w:rPr>
        <w:t> </w:t>
      </w:r>
      <w:r>
        <w:rPr>
          <w:b/>
          <w:sz w:val="22"/>
        </w:rPr>
        <w:t>Público</w:t>
      </w:r>
      <w:r>
        <w:rPr>
          <w:b/>
          <w:spacing w:val="-12"/>
          <w:sz w:val="22"/>
        </w:rPr>
        <w:t> </w:t>
      </w:r>
      <w:r>
        <w:rPr>
          <w:b/>
          <w:sz w:val="22"/>
        </w:rPr>
        <w:t>el</w:t>
      </w:r>
      <w:r>
        <w:rPr>
          <w:b/>
          <w:spacing w:val="-6"/>
          <w:sz w:val="22"/>
        </w:rPr>
        <w:t> </w:t>
      </w:r>
      <w:r>
        <w:rPr>
          <w:b/>
          <w:sz w:val="22"/>
        </w:rPr>
        <w:t>Desarrollo</w:t>
      </w:r>
      <w:r>
        <w:rPr>
          <w:b/>
          <w:spacing w:val="-12"/>
          <w:sz w:val="22"/>
        </w:rPr>
        <w:t> </w:t>
      </w:r>
      <w:r>
        <w:rPr>
          <w:b/>
          <w:sz w:val="22"/>
        </w:rPr>
        <w:t>Turístico</w:t>
      </w:r>
      <w:r>
        <w:rPr>
          <w:b/>
          <w:spacing w:val="-7"/>
          <w:sz w:val="22"/>
        </w:rPr>
        <w:t> </w:t>
      </w:r>
      <w:r>
        <w:rPr>
          <w:b/>
          <w:sz w:val="22"/>
        </w:rPr>
        <w:t>del</w:t>
      </w:r>
      <w:r>
        <w:rPr>
          <w:b/>
          <w:spacing w:val="-11"/>
          <w:sz w:val="22"/>
        </w:rPr>
        <w:t> </w:t>
      </w:r>
      <w:r>
        <w:rPr>
          <w:b/>
          <w:sz w:val="22"/>
        </w:rPr>
        <w:t>Cantón</w:t>
      </w:r>
      <w:r>
        <w:rPr>
          <w:b/>
          <w:spacing w:val="-8"/>
          <w:sz w:val="22"/>
        </w:rPr>
        <w:t> </w:t>
      </w:r>
      <w:r>
        <w:rPr>
          <w:b/>
          <w:sz w:val="22"/>
        </w:rPr>
        <w:t>de</w:t>
      </w:r>
      <w:r>
        <w:rPr>
          <w:b/>
          <w:spacing w:val="-10"/>
          <w:sz w:val="22"/>
        </w:rPr>
        <w:t> </w:t>
      </w:r>
      <w:r>
        <w:rPr>
          <w:b/>
          <w:sz w:val="22"/>
        </w:rPr>
        <w:t>Garabito, N°10089</w:t>
      </w:r>
      <w:r>
        <w:rPr>
          <w:sz w:val="22"/>
        </w:rPr>
        <w:t>. Promueve, a través</w:t>
      </w:r>
      <w:r>
        <w:rPr>
          <w:spacing w:val="-1"/>
          <w:sz w:val="22"/>
        </w:rPr>
        <w:t> </w:t>
      </w:r>
      <w:r>
        <w:rPr>
          <w:sz w:val="22"/>
        </w:rPr>
        <w:t>de las instituciones</w:t>
      </w:r>
      <w:r>
        <w:rPr>
          <w:spacing w:val="-5"/>
          <w:sz w:val="22"/>
        </w:rPr>
        <w:t> </w:t>
      </w:r>
      <w:r>
        <w:rPr>
          <w:sz w:val="22"/>
        </w:rPr>
        <w:t>públicas, el</w:t>
      </w:r>
      <w:r>
        <w:rPr>
          <w:spacing w:val="-1"/>
          <w:sz w:val="22"/>
        </w:rPr>
        <w:t> </w:t>
      </w:r>
      <w:r>
        <w:rPr>
          <w:sz w:val="22"/>
        </w:rPr>
        <w:t>desarrollo y</w:t>
      </w:r>
      <w:r>
        <w:rPr>
          <w:spacing w:val="-1"/>
          <w:sz w:val="22"/>
        </w:rPr>
        <w:t> </w:t>
      </w:r>
      <w:r>
        <w:rPr>
          <w:sz w:val="22"/>
        </w:rPr>
        <w:t>la promoción de la infraestructura y las inversiones en turismo en la zona, bajo un esquema de desarrollo sostenible y un manejo adecuado del medio ambiente, que fortalezcan la condición social y económica del distrito. Fecha de vigencia 25/02/2022.</w:t>
      </w:r>
    </w:p>
    <w:p>
      <w:pPr>
        <w:pStyle w:val="BodyText"/>
        <w:spacing w:before="253"/>
        <w:ind w:left="979" w:right="1334"/>
        <w:jc w:val="both"/>
      </w:pPr>
      <w:r>
        <w:rPr>
          <w:b/>
        </w:rPr>
        <w:t>Ley de acciones afirmativas a favor de las personas afrodescendientes, N°10120.</w:t>
      </w:r>
      <w:r>
        <w:rPr/>
        <w:t>Se declara de interés nacional la elaboración, la implementación y la divulgación de acciones afirmativas</w:t>
      </w:r>
      <w:r>
        <w:rPr>
          <w:spacing w:val="-1"/>
        </w:rPr>
        <w:t> </w:t>
      </w:r>
      <w:r>
        <w:rPr/>
        <w:t>en beneficio de las</w:t>
      </w:r>
      <w:r>
        <w:rPr>
          <w:spacing w:val="-1"/>
        </w:rPr>
        <w:t> </w:t>
      </w:r>
      <w:r>
        <w:rPr/>
        <w:t>personas que integran el colectivo étnico afrodescendiente en</w:t>
      </w:r>
      <w:r>
        <w:rPr>
          <w:spacing w:val="-5"/>
        </w:rPr>
        <w:t> </w:t>
      </w:r>
      <w:r>
        <w:rPr/>
        <w:t>Costa</w:t>
      </w:r>
      <w:r>
        <w:rPr>
          <w:spacing w:val="-5"/>
        </w:rPr>
        <w:t> </w:t>
      </w:r>
      <w:r>
        <w:rPr/>
        <w:t>Rica,</w:t>
      </w:r>
      <w:r>
        <w:rPr>
          <w:spacing w:val="-11"/>
        </w:rPr>
        <w:t> </w:t>
      </w:r>
      <w:r>
        <w:rPr/>
        <w:t>en</w:t>
      </w:r>
      <w:r>
        <w:rPr>
          <w:spacing w:val="-10"/>
        </w:rPr>
        <w:t> </w:t>
      </w:r>
      <w:r>
        <w:rPr/>
        <w:t>el</w:t>
      </w:r>
      <w:r>
        <w:rPr>
          <w:spacing w:val="-13"/>
        </w:rPr>
        <w:t> </w:t>
      </w:r>
      <w:r>
        <w:rPr/>
        <w:t>entendido</w:t>
      </w:r>
      <w:r>
        <w:rPr>
          <w:spacing w:val="-10"/>
        </w:rPr>
        <w:t> </w:t>
      </w:r>
      <w:r>
        <w:rPr/>
        <w:t>de</w:t>
      </w:r>
      <w:r>
        <w:rPr>
          <w:spacing w:val="-10"/>
        </w:rPr>
        <w:t> </w:t>
      </w:r>
      <w:r>
        <w:rPr/>
        <w:t>que</w:t>
      </w:r>
      <w:r>
        <w:rPr>
          <w:spacing w:val="-5"/>
        </w:rPr>
        <w:t> </w:t>
      </w:r>
      <w:r>
        <w:rPr/>
        <w:t>la</w:t>
      </w:r>
      <w:r>
        <w:rPr>
          <w:spacing w:val="-10"/>
        </w:rPr>
        <w:t> </w:t>
      </w:r>
      <w:r>
        <w:rPr/>
        <w:t>población</w:t>
      </w:r>
      <w:r>
        <w:rPr>
          <w:spacing w:val="-5"/>
        </w:rPr>
        <w:t> </w:t>
      </w:r>
      <w:r>
        <w:rPr/>
        <w:t>afrodescendiente</w:t>
      </w:r>
      <w:r>
        <w:rPr>
          <w:spacing w:val="-10"/>
        </w:rPr>
        <w:t> </w:t>
      </w:r>
      <w:r>
        <w:rPr/>
        <w:t>que habita</w:t>
      </w:r>
      <w:r>
        <w:rPr>
          <w:spacing w:val="-10"/>
        </w:rPr>
        <w:t> </w:t>
      </w:r>
      <w:r>
        <w:rPr/>
        <w:t>en</w:t>
      </w:r>
      <w:r>
        <w:rPr>
          <w:spacing w:val="-10"/>
        </w:rPr>
        <w:t> </w:t>
      </w:r>
      <w:r>
        <w:rPr/>
        <w:t>nuestro país ha sido históricamente víctima de racismo, discriminación y etnofobia, y así se reconoce en esta ley. Fecha de vigencia 09/03/2022.</w:t>
      </w:r>
    </w:p>
    <w:p>
      <w:pPr>
        <w:pStyle w:val="BodyText"/>
      </w:pPr>
    </w:p>
    <w:p>
      <w:pPr>
        <w:spacing w:line="240" w:lineRule="auto" w:before="0"/>
        <w:ind w:left="979" w:right="1340" w:firstLine="0"/>
        <w:jc w:val="both"/>
        <w:rPr>
          <w:sz w:val="22"/>
        </w:rPr>
      </w:pPr>
      <w:r>
        <w:rPr>
          <w:b/>
          <w:sz w:val="22"/>
        </w:rPr>
        <w:t>Ley de Autorización de condonación para la formalización y recaudación de las Cargas Sociales de la CCSS, N°10232</w:t>
      </w:r>
      <w:r>
        <w:rPr>
          <w:sz w:val="22"/>
        </w:rPr>
        <w:t>.Formalización y recaudación de las cargas sociales, mediante la autorización a la Caja Costarricense de Seguro Social (CCSS) para que realice una condonación por adeudos</w:t>
      </w:r>
      <w:r>
        <w:rPr>
          <w:spacing w:val="-2"/>
          <w:sz w:val="22"/>
        </w:rPr>
        <w:t> </w:t>
      </w:r>
      <w:r>
        <w:rPr>
          <w:sz w:val="22"/>
        </w:rPr>
        <w:t>de patronos y trabajadores independientes a la Caja Costarricense de Seguro Social por el Seguro de Enfermedad y Maternidad y al Régimen de invalidez, Vejez y Muerte. Fecha de vigencia 29/04/2022.</w:t>
      </w:r>
    </w:p>
    <w:p>
      <w:pPr>
        <w:pStyle w:val="BodyText"/>
        <w:spacing w:before="1"/>
      </w:pPr>
    </w:p>
    <w:p>
      <w:pPr>
        <w:spacing w:line="240" w:lineRule="auto" w:before="0"/>
        <w:ind w:left="979" w:right="1337" w:firstLine="0"/>
        <w:jc w:val="both"/>
        <w:rPr>
          <w:sz w:val="22"/>
        </w:rPr>
      </w:pPr>
      <w:r>
        <w:rPr>
          <w:b/>
          <w:sz w:val="22"/>
        </w:rPr>
        <w:t>Ley para Prevenir, atender, sancionar</w:t>
      </w:r>
      <w:r>
        <w:rPr>
          <w:b/>
          <w:spacing w:val="-1"/>
          <w:sz w:val="22"/>
        </w:rPr>
        <w:t> </w:t>
      </w:r>
      <w:r>
        <w:rPr>
          <w:b/>
          <w:sz w:val="22"/>
        </w:rPr>
        <w:t>y erradicar La Violencia contra las mujeres en la</w:t>
      </w:r>
      <w:r>
        <w:rPr>
          <w:b/>
          <w:spacing w:val="-15"/>
          <w:sz w:val="22"/>
        </w:rPr>
        <w:t> </w:t>
      </w:r>
      <w:r>
        <w:rPr>
          <w:b/>
          <w:sz w:val="22"/>
        </w:rPr>
        <w:t>Política,</w:t>
      </w:r>
      <w:r>
        <w:rPr>
          <w:b/>
          <w:spacing w:val="-15"/>
          <w:sz w:val="22"/>
        </w:rPr>
        <w:t> </w:t>
      </w:r>
      <w:r>
        <w:rPr>
          <w:b/>
          <w:sz w:val="22"/>
        </w:rPr>
        <w:t>N°10235</w:t>
      </w:r>
      <w:r>
        <w:rPr>
          <w:sz w:val="22"/>
        </w:rPr>
        <w:t>.Prevenir,</w:t>
      </w:r>
      <w:r>
        <w:rPr>
          <w:spacing w:val="-11"/>
          <w:sz w:val="22"/>
        </w:rPr>
        <w:t> </w:t>
      </w:r>
      <w:r>
        <w:rPr>
          <w:sz w:val="22"/>
        </w:rPr>
        <w:t>atender,</w:t>
      </w:r>
      <w:r>
        <w:rPr>
          <w:spacing w:val="-12"/>
          <w:sz w:val="22"/>
        </w:rPr>
        <w:t> </w:t>
      </w:r>
      <w:r>
        <w:rPr>
          <w:sz w:val="22"/>
        </w:rPr>
        <w:t>sancionar</w:t>
      </w:r>
      <w:r>
        <w:rPr>
          <w:spacing w:val="-16"/>
          <w:sz w:val="22"/>
        </w:rPr>
        <w:t> </w:t>
      </w:r>
      <w:r>
        <w:rPr>
          <w:sz w:val="22"/>
        </w:rPr>
        <w:t>y</w:t>
      </w:r>
      <w:r>
        <w:rPr>
          <w:spacing w:val="-12"/>
          <w:sz w:val="22"/>
        </w:rPr>
        <w:t> </w:t>
      </w:r>
      <w:r>
        <w:rPr>
          <w:sz w:val="22"/>
        </w:rPr>
        <w:t>erradicar</w:t>
      </w:r>
      <w:r>
        <w:rPr>
          <w:spacing w:val="-13"/>
          <w:sz w:val="22"/>
        </w:rPr>
        <w:t> </w:t>
      </w:r>
      <w:r>
        <w:rPr>
          <w:sz w:val="22"/>
        </w:rPr>
        <w:t>la</w:t>
      </w:r>
      <w:r>
        <w:rPr>
          <w:spacing w:val="-11"/>
          <w:sz w:val="22"/>
        </w:rPr>
        <w:t> </w:t>
      </w:r>
      <w:r>
        <w:rPr>
          <w:sz w:val="22"/>
        </w:rPr>
        <w:t>violencia</w:t>
      </w:r>
      <w:r>
        <w:rPr>
          <w:spacing w:val="-11"/>
          <w:sz w:val="22"/>
        </w:rPr>
        <w:t> </w:t>
      </w:r>
      <w:r>
        <w:rPr>
          <w:sz w:val="22"/>
        </w:rPr>
        <w:t>contra</w:t>
      </w:r>
      <w:r>
        <w:rPr>
          <w:spacing w:val="-11"/>
          <w:sz w:val="22"/>
        </w:rPr>
        <w:t> </w:t>
      </w:r>
      <w:r>
        <w:rPr>
          <w:sz w:val="22"/>
        </w:rPr>
        <w:t>las</w:t>
      </w:r>
      <w:r>
        <w:rPr>
          <w:spacing w:val="-16"/>
          <w:sz w:val="22"/>
        </w:rPr>
        <w:t> </w:t>
      </w:r>
      <w:r>
        <w:rPr>
          <w:sz w:val="22"/>
        </w:rPr>
        <w:t>mujeres en</w:t>
      </w:r>
      <w:r>
        <w:rPr>
          <w:spacing w:val="-15"/>
          <w:sz w:val="22"/>
        </w:rPr>
        <w:t> </w:t>
      </w:r>
      <w:r>
        <w:rPr>
          <w:sz w:val="22"/>
        </w:rPr>
        <w:t>la</w:t>
      </w:r>
      <w:r>
        <w:rPr>
          <w:spacing w:val="-14"/>
          <w:sz w:val="22"/>
        </w:rPr>
        <w:t> </w:t>
      </w:r>
      <w:r>
        <w:rPr>
          <w:sz w:val="22"/>
        </w:rPr>
        <w:t>política</w:t>
      </w:r>
      <w:r>
        <w:rPr>
          <w:spacing w:val="-14"/>
          <w:sz w:val="22"/>
        </w:rPr>
        <w:t> </w:t>
      </w:r>
      <w:r>
        <w:rPr>
          <w:sz w:val="22"/>
        </w:rPr>
        <w:t>como</w:t>
      </w:r>
      <w:r>
        <w:rPr>
          <w:spacing w:val="-14"/>
          <w:sz w:val="22"/>
        </w:rPr>
        <w:t> </w:t>
      </w:r>
      <w:r>
        <w:rPr>
          <w:sz w:val="22"/>
        </w:rPr>
        <w:t>práctica</w:t>
      </w:r>
      <w:r>
        <w:rPr>
          <w:spacing w:val="-14"/>
          <w:sz w:val="22"/>
        </w:rPr>
        <w:t> </w:t>
      </w:r>
      <w:r>
        <w:rPr>
          <w:sz w:val="22"/>
        </w:rPr>
        <w:t>discriminatoria</w:t>
      </w:r>
      <w:r>
        <w:rPr>
          <w:spacing w:val="-14"/>
          <w:sz w:val="22"/>
        </w:rPr>
        <w:t> </w:t>
      </w:r>
      <w:r>
        <w:rPr>
          <w:sz w:val="22"/>
        </w:rPr>
        <w:t>por</w:t>
      </w:r>
      <w:r>
        <w:rPr>
          <w:spacing w:val="-12"/>
          <w:sz w:val="22"/>
        </w:rPr>
        <w:t> </w:t>
      </w:r>
      <w:r>
        <w:rPr>
          <w:sz w:val="22"/>
        </w:rPr>
        <w:t>razón</w:t>
      </w:r>
      <w:r>
        <w:rPr>
          <w:spacing w:val="-14"/>
          <w:sz w:val="22"/>
        </w:rPr>
        <w:t> </w:t>
      </w:r>
      <w:r>
        <w:rPr>
          <w:sz w:val="22"/>
        </w:rPr>
        <w:t>de</w:t>
      </w:r>
      <w:r>
        <w:rPr>
          <w:spacing w:val="-14"/>
          <w:sz w:val="22"/>
        </w:rPr>
        <w:t> </w:t>
      </w:r>
      <w:r>
        <w:rPr>
          <w:sz w:val="22"/>
        </w:rPr>
        <w:t>género,</w:t>
      </w:r>
      <w:r>
        <w:rPr>
          <w:spacing w:val="-15"/>
          <w:sz w:val="22"/>
        </w:rPr>
        <w:t> </w:t>
      </w:r>
      <w:r>
        <w:rPr>
          <w:sz w:val="22"/>
        </w:rPr>
        <w:t>que</w:t>
      </w:r>
      <w:r>
        <w:rPr>
          <w:spacing w:val="-14"/>
          <w:sz w:val="22"/>
        </w:rPr>
        <w:t> </w:t>
      </w:r>
      <w:r>
        <w:rPr>
          <w:sz w:val="22"/>
        </w:rPr>
        <w:t>es</w:t>
      </w:r>
      <w:r>
        <w:rPr>
          <w:spacing w:val="-11"/>
          <w:sz w:val="22"/>
        </w:rPr>
        <w:t> </w:t>
      </w:r>
      <w:r>
        <w:rPr>
          <w:sz w:val="22"/>
        </w:rPr>
        <w:t>contraria</w:t>
      </w:r>
      <w:r>
        <w:rPr>
          <w:spacing w:val="-14"/>
          <w:sz w:val="22"/>
        </w:rPr>
        <w:t> </w:t>
      </w:r>
      <w:r>
        <w:rPr>
          <w:sz w:val="22"/>
        </w:rPr>
        <w:t>al</w:t>
      </w:r>
      <w:r>
        <w:rPr>
          <w:spacing w:val="-16"/>
          <w:sz w:val="22"/>
        </w:rPr>
        <w:t> </w:t>
      </w:r>
      <w:r>
        <w:rPr>
          <w:sz w:val="22"/>
        </w:rPr>
        <w:t>ejercicio efectivo de los</w:t>
      </w:r>
      <w:r>
        <w:rPr>
          <w:spacing w:val="-1"/>
          <w:sz w:val="22"/>
        </w:rPr>
        <w:t> </w:t>
      </w:r>
      <w:r>
        <w:rPr>
          <w:sz w:val="22"/>
        </w:rPr>
        <w:t>derechos</w:t>
      </w:r>
      <w:r>
        <w:rPr>
          <w:spacing w:val="-1"/>
          <w:sz w:val="22"/>
        </w:rPr>
        <w:t> </w:t>
      </w:r>
      <w:r>
        <w:rPr>
          <w:sz w:val="22"/>
        </w:rPr>
        <w:t>políticos</w:t>
      </w:r>
      <w:r>
        <w:rPr>
          <w:spacing w:val="-2"/>
          <w:sz w:val="22"/>
        </w:rPr>
        <w:t> </w:t>
      </w:r>
      <w:r>
        <w:rPr>
          <w:sz w:val="22"/>
        </w:rPr>
        <w:t>de las</w:t>
      </w:r>
      <w:r>
        <w:rPr>
          <w:spacing w:val="-2"/>
          <w:sz w:val="22"/>
        </w:rPr>
        <w:t> </w:t>
      </w:r>
      <w:r>
        <w:rPr>
          <w:sz w:val="22"/>
        </w:rPr>
        <w:t>mujeres, todo en concordancia con el</w:t>
      </w:r>
      <w:r>
        <w:rPr>
          <w:spacing w:val="-2"/>
          <w:sz w:val="22"/>
        </w:rPr>
        <w:t> </w:t>
      </w:r>
      <w:r>
        <w:rPr>
          <w:sz w:val="22"/>
        </w:rPr>
        <w:t>principio de igualdad ante la ley</w:t>
      </w:r>
      <w:r>
        <w:rPr>
          <w:spacing w:val="-1"/>
          <w:sz w:val="22"/>
        </w:rPr>
        <w:t> </w:t>
      </w:r>
      <w:r>
        <w:rPr>
          <w:sz w:val="22"/>
        </w:rPr>
        <w:t>de todas las</w:t>
      </w:r>
      <w:r>
        <w:rPr>
          <w:spacing w:val="-1"/>
          <w:sz w:val="22"/>
        </w:rPr>
        <w:t> </w:t>
      </w:r>
      <w:r>
        <w:rPr>
          <w:sz w:val="22"/>
        </w:rPr>
        <w:t>personas, establecido en el</w:t>
      </w:r>
      <w:r>
        <w:rPr>
          <w:spacing w:val="-2"/>
          <w:sz w:val="22"/>
        </w:rPr>
        <w:t> </w:t>
      </w:r>
      <w:r>
        <w:rPr>
          <w:sz w:val="22"/>
        </w:rPr>
        <w:t>artículo 33 de la Constitución Política del país. Fecha de vigencia 17/05/2022.</w:t>
      </w:r>
    </w:p>
    <w:p>
      <w:pPr>
        <w:pStyle w:val="BodyText"/>
        <w:spacing w:before="1"/>
      </w:pPr>
    </w:p>
    <w:p>
      <w:pPr>
        <w:spacing w:line="240" w:lineRule="auto" w:before="0"/>
        <w:ind w:left="979" w:right="1338" w:firstLine="0"/>
        <w:jc w:val="both"/>
        <w:rPr>
          <w:sz w:val="22"/>
        </w:rPr>
      </w:pPr>
      <w:r>
        <w:rPr>
          <w:b/>
          <w:sz w:val="22"/>
        </w:rPr>
        <w:t>Ley</w:t>
      </w:r>
      <w:r>
        <w:rPr>
          <w:b/>
          <w:spacing w:val="-2"/>
          <w:sz w:val="22"/>
        </w:rPr>
        <w:t> </w:t>
      </w:r>
      <w:r>
        <w:rPr>
          <w:b/>
          <w:sz w:val="22"/>
        </w:rPr>
        <w:t>de</w:t>
      </w:r>
      <w:r>
        <w:rPr>
          <w:b/>
          <w:spacing w:val="-2"/>
          <w:sz w:val="22"/>
        </w:rPr>
        <w:t> </w:t>
      </w:r>
      <w:r>
        <w:rPr>
          <w:b/>
          <w:sz w:val="22"/>
        </w:rPr>
        <w:t>Fortalecimiento de</w:t>
      </w:r>
      <w:r>
        <w:rPr>
          <w:b/>
          <w:spacing w:val="-2"/>
          <w:sz w:val="22"/>
        </w:rPr>
        <w:t> </w:t>
      </w:r>
      <w:r>
        <w:rPr>
          <w:b/>
          <w:sz w:val="22"/>
        </w:rPr>
        <w:t>la</w:t>
      </w:r>
      <w:r>
        <w:rPr>
          <w:b/>
          <w:spacing w:val="-2"/>
          <w:sz w:val="22"/>
        </w:rPr>
        <w:t> </w:t>
      </w:r>
      <w:r>
        <w:rPr>
          <w:b/>
          <w:sz w:val="22"/>
        </w:rPr>
        <w:t>competitividad</w:t>
      </w:r>
      <w:r>
        <w:rPr>
          <w:b/>
          <w:spacing w:val="-3"/>
          <w:sz w:val="22"/>
        </w:rPr>
        <w:t> </w:t>
      </w:r>
      <w:r>
        <w:rPr>
          <w:b/>
          <w:sz w:val="22"/>
        </w:rPr>
        <w:t>territorial para</w:t>
      </w:r>
      <w:r>
        <w:rPr>
          <w:b/>
          <w:spacing w:val="-1"/>
          <w:sz w:val="22"/>
        </w:rPr>
        <w:t> </w:t>
      </w:r>
      <w:r>
        <w:rPr>
          <w:b/>
          <w:sz w:val="22"/>
        </w:rPr>
        <w:t>promover la</w:t>
      </w:r>
      <w:r>
        <w:rPr>
          <w:b/>
          <w:spacing w:val="-2"/>
          <w:sz w:val="22"/>
        </w:rPr>
        <w:t> </w:t>
      </w:r>
      <w:r>
        <w:rPr>
          <w:b/>
          <w:sz w:val="22"/>
        </w:rPr>
        <w:t>atracción de inversiones fuera de la Gran Área Metropolitana (GAM), N°10234. </w:t>
      </w:r>
      <w:r>
        <w:rPr>
          <w:sz w:val="22"/>
        </w:rPr>
        <w:t>Adiciona un párrafo al inciso a)</w:t>
      </w:r>
      <w:r>
        <w:rPr>
          <w:spacing w:val="-2"/>
          <w:sz w:val="22"/>
        </w:rPr>
        <w:t> </w:t>
      </w:r>
      <w:r>
        <w:rPr>
          <w:sz w:val="22"/>
        </w:rPr>
        <w:t>del</w:t>
      </w:r>
      <w:r>
        <w:rPr>
          <w:spacing w:val="-1"/>
          <w:sz w:val="22"/>
        </w:rPr>
        <w:t> </w:t>
      </w:r>
      <w:r>
        <w:rPr>
          <w:sz w:val="22"/>
        </w:rPr>
        <w:t>artículo 14</w:t>
      </w:r>
      <w:r>
        <w:rPr>
          <w:spacing w:val="-3"/>
          <w:sz w:val="22"/>
        </w:rPr>
        <w:t> </w:t>
      </w:r>
      <w:r>
        <w:rPr>
          <w:sz w:val="22"/>
        </w:rPr>
        <w:t>de la ley</w:t>
      </w:r>
      <w:r>
        <w:rPr>
          <w:spacing w:val="-1"/>
          <w:sz w:val="22"/>
        </w:rPr>
        <w:t> </w:t>
      </w:r>
      <w:r>
        <w:rPr>
          <w:sz w:val="22"/>
        </w:rPr>
        <w:t>de Creación del IMAS estableciendo que las</w:t>
      </w:r>
      <w:r>
        <w:rPr>
          <w:spacing w:val="-1"/>
          <w:sz w:val="22"/>
        </w:rPr>
        <w:t> </w:t>
      </w:r>
      <w:r>
        <w:rPr>
          <w:sz w:val="22"/>
        </w:rPr>
        <w:t>empresas que realicen inversiones nuevas en el país fuera de la Gran Área Metropolitana (GAM) podrán obtener los beneficios que establece la Ley del Régimen de Zona Franca, Ley N° 7210, y sus reformas, siempre y cuando los proyectos sean nuevos y las empresas interesadas</w:t>
      </w:r>
      <w:r>
        <w:rPr>
          <w:spacing w:val="-16"/>
          <w:sz w:val="22"/>
        </w:rPr>
        <w:t> </w:t>
      </w:r>
      <w:r>
        <w:rPr>
          <w:sz w:val="22"/>
        </w:rPr>
        <w:t>en</w:t>
      </w:r>
      <w:r>
        <w:rPr>
          <w:spacing w:val="-11"/>
          <w:sz w:val="22"/>
        </w:rPr>
        <w:t> </w:t>
      </w:r>
      <w:r>
        <w:rPr>
          <w:sz w:val="22"/>
        </w:rPr>
        <w:t>su</w:t>
      </w:r>
      <w:r>
        <w:rPr>
          <w:spacing w:val="-14"/>
          <w:sz w:val="22"/>
        </w:rPr>
        <w:t> </w:t>
      </w:r>
      <w:r>
        <w:rPr>
          <w:sz w:val="22"/>
        </w:rPr>
        <w:t>desarrollo</w:t>
      </w:r>
      <w:r>
        <w:rPr>
          <w:spacing w:val="-9"/>
          <w:sz w:val="22"/>
        </w:rPr>
        <w:t> </w:t>
      </w:r>
      <w:r>
        <w:rPr>
          <w:sz w:val="22"/>
        </w:rPr>
        <w:t>estén</w:t>
      </w:r>
      <w:r>
        <w:rPr>
          <w:spacing w:val="-9"/>
          <w:sz w:val="22"/>
        </w:rPr>
        <w:t> </w:t>
      </w:r>
      <w:r>
        <w:rPr>
          <w:sz w:val="22"/>
        </w:rPr>
        <w:t>total</w:t>
      </w:r>
      <w:r>
        <w:rPr>
          <w:spacing w:val="-16"/>
          <w:sz w:val="22"/>
        </w:rPr>
        <w:t> </w:t>
      </w:r>
      <w:r>
        <w:rPr>
          <w:sz w:val="22"/>
        </w:rPr>
        <w:t>o</w:t>
      </w:r>
      <w:r>
        <w:rPr>
          <w:spacing w:val="-9"/>
          <w:sz w:val="22"/>
        </w:rPr>
        <w:t> </w:t>
      </w:r>
      <w:r>
        <w:rPr>
          <w:sz w:val="22"/>
        </w:rPr>
        <w:t>parcialmente</w:t>
      </w:r>
      <w:r>
        <w:rPr>
          <w:spacing w:val="-9"/>
          <w:sz w:val="22"/>
        </w:rPr>
        <w:t> </w:t>
      </w:r>
      <w:r>
        <w:rPr>
          <w:sz w:val="22"/>
        </w:rPr>
        <w:t>exentas</w:t>
      </w:r>
      <w:r>
        <w:rPr>
          <w:spacing w:val="-16"/>
          <w:sz w:val="22"/>
        </w:rPr>
        <w:t> </w:t>
      </w:r>
      <w:r>
        <w:rPr>
          <w:sz w:val="22"/>
        </w:rPr>
        <w:t>del</w:t>
      </w:r>
      <w:r>
        <w:rPr>
          <w:spacing w:val="-12"/>
          <w:sz w:val="22"/>
        </w:rPr>
        <w:t> </w:t>
      </w:r>
      <w:r>
        <w:rPr>
          <w:sz w:val="22"/>
        </w:rPr>
        <w:t>impuesto</w:t>
      </w:r>
      <w:r>
        <w:rPr>
          <w:spacing w:val="-14"/>
          <w:sz w:val="22"/>
        </w:rPr>
        <w:t> </w:t>
      </w:r>
      <w:r>
        <w:rPr>
          <w:sz w:val="22"/>
        </w:rPr>
        <w:t>sobre</w:t>
      </w:r>
      <w:r>
        <w:rPr>
          <w:spacing w:val="-9"/>
          <w:sz w:val="22"/>
        </w:rPr>
        <w:t> </w:t>
      </w:r>
      <w:r>
        <w:rPr>
          <w:sz w:val="22"/>
        </w:rPr>
        <w:t>la</w:t>
      </w:r>
      <w:r>
        <w:rPr>
          <w:spacing w:val="-9"/>
          <w:sz w:val="22"/>
        </w:rPr>
        <w:t> </w:t>
      </w:r>
      <w:r>
        <w:rPr>
          <w:sz w:val="22"/>
        </w:rPr>
        <w:t>renta, en</w:t>
      </w:r>
      <w:r>
        <w:rPr>
          <w:spacing w:val="-16"/>
          <w:sz w:val="22"/>
        </w:rPr>
        <w:t> </w:t>
      </w:r>
      <w:r>
        <w:rPr>
          <w:sz w:val="22"/>
        </w:rPr>
        <w:t>los</w:t>
      </w:r>
      <w:r>
        <w:rPr>
          <w:spacing w:val="-15"/>
          <w:sz w:val="22"/>
        </w:rPr>
        <w:t> </w:t>
      </w:r>
      <w:r>
        <w:rPr>
          <w:sz w:val="22"/>
        </w:rPr>
        <w:t>términos</w:t>
      </w:r>
      <w:r>
        <w:rPr>
          <w:spacing w:val="-15"/>
          <w:sz w:val="22"/>
        </w:rPr>
        <w:t> </w:t>
      </w:r>
      <w:r>
        <w:rPr>
          <w:sz w:val="22"/>
        </w:rPr>
        <w:t>regulados</w:t>
      </w:r>
      <w:r>
        <w:rPr>
          <w:spacing w:val="-16"/>
          <w:sz w:val="22"/>
        </w:rPr>
        <w:t> </w:t>
      </w:r>
      <w:r>
        <w:rPr>
          <w:sz w:val="22"/>
        </w:rPr>
        <w:t>por</w:t>
      </w:r>
      <w:r>
        <w:rPr>
          <w:spacing w:val="-15"/>
          <w:sz w:val="22"/>
        </w:rPr>
        <w:t> </w:t>
      </w:r>
      <w:r>
        <w:rPr>
          <w:sz w:val="22"/>
        </w:rPr>
        <w:t>la</w:t>
      </w:r>
      <w:r>
        <w:rPr>
          <w:spacing w:val="-15"/>
          <w:sz w:val="22"/>
        </w:rPr>
        <w:t> </w:t>
      </w:r>
      <w:r>
        <w:rPr>
          <w:sz w:val="22"/>
        </w:rPr>
        <w:t>indicada</w:t>
      </w:r>
      <w:r>
        <w:rPr>
          <w:spacing w:val="-15"/>
          <w:sz w:val="22"/>
        </w:rPr>
        <w:t> </w:t>
      </w:r>
      <w:r>
        <w:rPr>
          <w:sz w:val="22"/>
        </w:rPr>
        <w:t>ley</w:t>
      </w:r>
      <w:r>
        <w:rPr>
          <w:spacing w:val="-16"/>
          <w:sz w:val="22"/>
        </w:rPr>
        <w:t> </w:t>
      </w:r>
      <w:r>
        <w:rPr>
          <w:sz w:val="22"/>
        </w:rPr>
        <w:t>de</w:t>
      </w:r>
      <w:r>
        <w:rPr>
          <w:spacing w:val="-14"/>
          <w:sz w:val="22"/>
        </w:rPr>
        <w:t> </w:t>
      </w:r>
      <w:r>
        <w:rPr>
          <w:sz w:val="22"/>
        </w:rPr>
        <w:t>zona</w:t>
      </w:r>
      <w:r>
        <w:rPr>
          <w:spacing w:val="-15"/>
          <w:sz w:val="22"/>
        </w:rPr>
        <w:t> </w:t>
      </w:r>
      <w:r>
        <w:rPr>
          <w:sz w:val="22"/>
        </w:rPr>
        <w:t>franca.</w:t>
      </w:r>
      <w:r>
        <w:rPr>
          <w:spacing w:val="-11"/>
          <w:sz w:val="22"/>
        </w:rPr>
        <w:t> </w:t>
      </w:r>
      <w:r>
        <w:rPr>
          <w:sz w:val="22"/>
        </w:rPr>
        <w:t>Fecha</w:t>
      </w:r>
      <w:r>
        <w:rPr>
          <w:spacing w:val="-15"/>
          <w:sz w:val="22"/>
        </w:rPr>
        <w:t> </w:t>
      </w:r>
      <w:r>
        <w:rPr>
          <w:sz w:val="22"/>
        </w:rPr>
        <w:t>de</w:t>
      </w:r>
      <w:r>
        <w:rPr>
          <w:spacing w:val="-10"/>
          <w:sz w:val="22"/>
        </w:rPr>
        <w:t> </w:t>
      </w:r>
      <w:r>
        <w:rPr>
          <w:sz w:val="22"/>
        </w:rPr>
        <w:t>vigencia</w:t>
      </w:r>
      <w:r>
        <w:rPr>
          <w:spacing w:val="-15"/>
          <w:sz w:val="22"/>
        </w:rPr>
        <w:t> </w:t>
      </w:r>
      <w:r>
        <w:rPr>
          <w:sz w:val="22"/>
        </w:rPr>
        <w:t>23/05/2022.</w:t>
      </w:r>
    </w:p>
    <w:p>
      <w:pPr>
        <w:pStyle w:val="BodyText"/>
        <w:spacing w:before="252"/>
        <w:ind w:left="979" w:right="1335"/>
        <w:jc w:val="both"/>
      </w:pPr>
      <w:r>
        <w:rPr>
          <w:b/>
        </w:rPr>
        <w:t>Ley</w:t>
      </w:r>
      <w:r>
        <w:rPr>
          <w:b/>
          <w:spacing w:val="-16"/>
        </w:rPr>
        <w:t> </w:t>
      </w:r>
      <w:r>
        <w:rPr>
          <w:b/>
        </w:rPr>
        <w:t>de</w:t>
      </w:r>
      <w:r>
        <w:rPr>
          <w:b/>
          <w:spacing w:val="-15"/>
        </w:rPr>
        <w:t> </w:t>
      </w:r>
      <w:r>
        <w:rPr>
          <w:b/>
        </w:rPr>
        <w:t>Reparación</w:t>
      </w:r>
      <w:r>
        <w:rPr>
          <w:b/>
          <w:spacing w:val="-15"/>
        </w:rPr>
        <w:t> </w:t>
      </w:r>
      <w:r>
        <w:rPr>
          <w:b/>
        </w:rPr>
        <w:t>Integral</w:t>
      </w:r>
      <w:r>
        <w:rPr>
          <w:b/>
          <w:spacing w:val="-16"/>
        </w:rPr>
        <w:t> </w:t>
      </w:r>
      <w:r>
        <w:rPr>
          <w:b/>
        </w:rPr>
        <w:t>para</w:t>
      </w:r>
      <w:r>
        <w:rPr>
          <w:b/>
          <w:spacing w:val="-15"/>
        </w:rPr>
        <w:t> </w:t>
      </w:r>
      <w:r>
        <w:rPr>
          <w:b/>
        </w:rPr>
        <w:t>personas</w:t>
      </w:r>
      <w:r>
        <w:rPr>
          <w:b/>
          <w:spacing w:val="-15"/>
        </w:rPr>
        <w:t> </w:t>
      </w:r>
      <w:r>
        <w:rPr>
          <w:b/>
        </w:rPr>
        <w:t>sobrevivientes</w:t>
      </w:r>
      <w:r>
        <w:rPr>
          <w:b/>
          <w:spacing w:val="-15"/>
        </w:rPr>
        <w:t> </w:t>
      </w:r>
      <w:r>
        <w:rPr>
          <w:b/>
        </w:rPr>
        <w:t>de</w:t>
      </w:r>
      <w:r>
        <w:rPr>
          <w:b/>
          <w:spacing w:val="-16"/>
        </w:rPr>
        <w:t> </w:t>
      </w:r>
      <w:r>
        <w:rPr>
          <w:b/>
        </w:rPr>
        <w:t>Femicidio,</w:t>
      </w:r>
      <w:r>
        <w:rPr>
          <w:b/>
          <w:spacing w:val="-15"/>
        </w:rPr>
        <w:t> </w:t>
      </w:r>
      <w:r>
        <w:rPr>
          <w:b/>
        </w:rPr>
        <w:t>N°10263.</w:t>
      </w:r>
      <w:r>
        <w:rPr>
          <w:b/>
          <w:spacing w:val="-15"/>
        </w:rPr>
        <w:t> </w:t>
      </w:r>
      <w:r>
        <w:rPr/>
        <w:t>Crea el Régimen de Reparación Integral para las Personas Sobrevivientes de Femicidio y un Fondo Económico de Reparación Integral para Sobrevivientes de Femicidio. El IMAS deberá</w:t>
      </w:r>
      <w:r>
        <w:rPr>
          <w:spacing w:val="-8"/>
        </w:rPr>
        <w:t> </w:t>
      </w:r>
      <w:r>
        <w:rPr/>
        <w:t>otorgar,</w:t>
      </w:r>
      <w:r>
        <w:rPr>
          <w:spacing w:val="-9"/>
        </w:rPr>
        <w:t> </w:t>
      </w:r>
      <w:r>
        <w:rPr/>
        <w:t>en</w:t>
      </w:r>
      <w:r>
        <w:rPr>
          <w:spacing w:val="-8"/>
        </w:rPr>
        <w:t> </w:t>
      </w:r>
      <w:r>
        <w:rPr/>
        <w:t>un</w:t>
      </w:r>
      <w:r>
        <w:rPr>
          <w:spacing w:val="-8"/>
        </w:rPr>
        <w:t> </w:t>
      </w:r>
      <w:r>
        <w:rPr/>
        <w:t>plazo</w:t>
      </w:r>
      <w:r>
        <w:rPr>
          <w:spacing w:val="-8"/>
        </w:rPr>
        <w:t> </w:t>
      </w:r>
      <w:r>
        <w:rPr/>
        <w:t>perentorio</w:t>
      </w:r>
      <w:r>
        <w:rPr>
          <w:spacing w:val="-8"/>
        </w:rPr>
        <w:t> </w:t>
      </w:r>
      <w:r>
        <w:rPr/>
        <w:t>no</w:t>
      </w:r>
      <w:r>
        <w:rPr>
          <w:spacing w:val="-8"/>
        </w:rPr>
        <w:t> </w:t>
      </w:r>
      <w:r>
        <w:rPr/>
        <w:t>mayor</w:t>
      </w:r>
      <w:r>
        <w:rPr>
          <w:spacing w:val="-11"/>
        </w:rPr>
        <w:t> </w:t>
      </w:r>
      <w:r>
        <w:rPr/>
        <w:t>de</w:t>
      </w:r>
      <w:r>
        <w:rPr>
          <w:spacing w:val="-3"/>
        </w:rPr>
        <w:t> </w:t>
      </w:r>
      <w:r>
        <w:rPr/>
        <w:t>quince</w:t>
      </w:r>
      <w:r>
        <w:rPr>
          <w:spacing w:val="-8"/>
        </w:rPr>
        <w:t> </w:t>
      </w:r>
      <w:r>
        <w:rPr/>
        <w:t>días</w:t>
      </w:r>
      <w:r>
        <w:rPr>
          <w:spacing w:val="-10"/>
        </w:rPr>
        <w:t> </w:t>
      </w:r>
      <w:r>
        <w:rPr/>
        <w:t>hábiles</w:t>
      </w:r>
      <w:r>
        <w:rPr>
          <w:spacing w:val="-10"/>
        </w:rPr>
        <w:t> </w:t>
      </w:r>
      <w:r>
        <w:rPr/>
        <w:t>desde</w:t>
      </w:r>
      <w:r>
        <w:rPr>
          <w:spacing w:val="-8"/>
        </w:rPr>
        <w:t> </w:t>
      </w:r>
      <w:r>
        <w:rPr/>
        <w:t>la</w:t>
      </w:r>
      <w:r>
        <w:rPr>
          <w:spacing w:val="-8"/>
        </w:rPr>
        <w:t> </w:t>
      </w:r>
      <w:r>
        <w:rPr/>
        <w:t>activación de este régimen, becas estudiantiles a las personas beneficiarias de esta ley, para que puedan continuar sus estudios. Fecha de vigencia 30/05/2022.</w:t>
      </w:r>
    </w:p>
    <w:p>
      <w:pPr>
        <w:pStyle w:val="BodyText"/>
        <w:spacing w:before="1"/>
      </w:pPr>
    </w:p>
    <w:p>
      <w:pPr>
        <w:spacing w:line="240" w:lineRule="auto" w:before="0"/>
        <w:ind w:left="979" w:right="1343" w:firstLine="0"/>
        <w:jc w:val="both"/>
        <w:rPr>
          <w:sz w:val="22"/>
        </w:rPr>
      </w:pPr>
      <w:r>
        <w:rPr>
          <w:b/>
          <w:sz w:val="22"/>
        </w:rPr>
        <w:t>Ley para Incentivar y promover la construcción de infraestructura de telecomunicaciones en Costa Rica, N°10216</w:t>
      </w:r>
      <w:r>
        <w:rPr>
          <w:sz w:val="22"/>
        </w:rPr>
        <w:t>.Propicia que las entidades públicas, que intervienen en los trámites y requisitos para la construcción de infraestructura del sector, trabajen de manera coordinada y con la mayor celeridad, con el propósito de incentivar la ampliación</w:t>
      </w:r>
      <w:r>
        <w:rPr>
          <w:spacing w:val="-9"/>
          <w:sz w:val="22"/>
        </w:rPr>
        <w:t> </w:t>
      </w:r>
      <w:r>
        <w:rPr>
          <w:sz w:val="22"/>
        </w:rPr>
        <w:t>y</w:t>
      </w:r>
      <w:r>
        <w:rPr>
          <w:spacing w:val="-6"/>
          <w:sz w:val="22"/>
        </w:rPr>
        <w:t> </w:t>
      </w:r>
      <w:r>
        <w:rPr>
          <w:sz w:val="22"/>
        </w:rPr>
        <w:t>la</w:t>
      </w:r>
      <w:r>
        <w:rPr>
          <w:spacing w:val="-4"/>
          <w:sz w:val="22"/>
        </w:rPr>
        <w:t> </w:t>
      </w:r>
      <w:r>
        <w:rPr>
          <w:sz w:val="22"/>
        </w:rPr>
        <w:t>cobertura</w:t>
      </w:r>
      <w:r>
        <w:rPr>
          <w:spacing w:val="-9"/>
          <w:sz w:val="22"/>
        </w:rPr>
        <w:t> </w:t>
      </w:r>
      <w:r>
        <w:rPr>
          <w:sz w:val="22"/>
        </w:rPr>
        <w:t>de</w:t>
      </w:r>
      <w:r>
        <w:rPr>
          <w:spacing w:val="-9"/>
          <w:sz w:val="22"/>
        </w:rPr>
        <w:t> </w:t>
      </w:r>
      <w:r>
        <w:rPr>
          <w:sz w:val="22"/>
        </w:rPr>
        <w:t>las</w:t>
      </w:r>
      <w:r>
        <w:rPr>
          <w:spacing w:val="-11"/>
          <w:sz w:val="22"/>
        </w:rPr>
        <w:t> </w:t>
      </w:r>
      <w:r>
        <w:rPr>
          <w:sz w:val="22"/>
        </w:rPr>
        <w:t>telecomunicaciones</w:t>
      </w:r>
      <w:r>
        <w:rPr>
          <w:spacing w:val="-11"/>
          <w:sz w:val="22"/>
        </w:rPr>
        <w:t> </w:t>
      </w:r>
      <w:r>
        <w:rPr>
          <w:sz w:val="22"/>
        </w:rPr>
        <w:t>de</w:t>
      </w:r>
      <w:r>
        <w:rPr>
          <w:spacing w:val="-9"/>
          <w:sz w:val="22"/>
        </w:rPr>
        <w:t> </w:t>
      </w:r>
      <w:r>
        <w:rPr>
          <w:sz w:val="22"/>
        </w:rPr>
        <w:t>todo</w:t>
      </w:r>
      <w:r>
        <w:rPr>
          <w:spacing w:val="-9"/>
          <w:sz w:val="22"/>
        </w:rPr>
        <w:t> </w:t>
      </w:r>
      <w:r>
        <w:rPr>
          <w:sz w:val="22"/>
        </w:rPr>
        <w:t>el</w:t>
      </w:r>
      <w:r>
        <w:rPr>
          <w:spacing w:val="-12"/>
          <w:sz w:val="22"/>
        </w:rPr>
        <w:t> </w:t>
      </w:r>
      <w:r>
        <w:rPr>
          <w:sz w:val="22"/>
        </w:rPr>
        <w:t>país</w:t>
      </w:r>
      <w:r>
        <w:rPr>
          <w:spacing w:val="-11"/>
          <w:sz w:val="22"/>
        </w:rPr>
        <w:t> </w:t>
      </w:r>
      <w:r>
        <w:rPr>
          <w:sz w:val="22"/>
        </w:rPr>
        <w:t>bajo</w:t>
      </w:r>
      <w:r>
        <w:rPr>
          <w:spacing w:val="-9"/>
          <w:sz w:val="22"/>
        </w:rPr>
        <w:t> </w:t>
      </w:r>
      <w:r>
        <w:rPr>
          <w:sz w:val="22"/>
        </w:rPr>
        <w:t>un</w:t>
      </w:r>
      <w:r>
        <w:rPr>
          <w:spacing w:val="-14"/>
          <w:sz w:val="22"/>
        </w:rPr>
        <w:t> </w:t>
      </w:r>
      <w:r>
        <w:rPr>
          <w:sz w:val="22"/>
        </w:rPr>
        <w:t>marco</w:t>
      </w:r>
      <w:r>
        <w:rPr>
          <w:spacing w:val="-14"/>
          <w:sz w:val="22"/>
        </w:rPr>
        <w:t> </w:t>
      </w:r>
      <w:r>
        <w:rPr>
          <w:sz w:val="22"/>
        </w:rPr>
        <w:t>eficiente y ordenado. Fecha de vigencia 08/06/2022.</w:t>
      </w:r>
    </w:p>
    <w:p>
      <w:pPr>
        <w:spacing w:after="0" w:line="240" w:lineRule="auto"/>
        <w:jc w:val="both"/>
        <w:rPr>
          <w:sz w:val="22"/>
        </w:rPr>
        <w:sectPr>
          <w:pgSz w:w="12240" w:h="15840"/>
          <w:pgMar w:header="0" w:footer="1021" w:top="1340" w:bottom="1220" w:left="720" w:right="360"/>
        </w:sectPr>
      </w:pPr>
    </w:p>
    <w:p>
      <w:pPr>
        <w:pStyle w:val="BodyText"/>
        <w:spacing w:before="76"/>
        <w:ind w:left="979" w:right="1339"/>
        <w:jc w:val="both"/>
      </w:pPr>
      <w:r>
        <w:rPr>
          <w:b/>
        </w:rPr>
        <w:t>Ley</w:t>
      </w:r>
      <w:r>
        <w:rPr>
          <w:b/>
          <w:spacing w:val="-11"/>
        </w:rPr>
        <w:t> </w:t>
      </w:r>
      <w:r>
        <w:rPr>
          <w:b/>
        </w:rPr>
        <w:t>para</w:t>
      </w:r>
      <w:r>
        <w:rPr>
          <w:b/>
          <w:spacing w:val="-6"/>
        </w:rPr>
        <w:t> </w:t>
      </w:r>
      <w:r>
        <w:rPr>
          <w:b/>
        </w:rPr>
        <w:t>la</w:t>
      </w:r>
      <w:r>
        <w:rPr>
          <w:b/>
          <w:spacing w:val="-6"/>
        </w:rPr>
        <w:t> </w:t>
      </w:r>
      <w:r>
        <w:rPr>
          <w:b/>
        </w:rPr>
        <w:t>desafectación</w:t>
      </w:r>
      <w:r>
        <w:rPr>
          <w:b/>
          <w:spacing w:val="-9"/>
        </w:rPr>
        <w:t> </w:t>
      </w:r>
      <w:r>
        <w:rPr>
          <w:b/>
        </w:rPr>
        <w:t>de</w:t>
      </w:r>
      <w:r>
        <w:rPr>
          <w:b/>
          <w:spacing w:val="-7"/>
        </w:rPr>
        <w:t> </w:t>
      </w:r>
      <w:r>
        <w:rPr>
          <w:b/>
        </w:rPr>
        <w:t>terrenos</w:t>
      </w:r>
      <w:r>
        <w:rPr>
          <w:b/>
          <w:spacing w:val="-6"/>
        </w:rPr>
        <w:t> </w:t>
      </w:r>
      <w:r>
        <w:rPr>
          <w:b/>
        </w:rPr>
        <w:t>públicos,</w:t>
      </w:r>
      <w:r>
        <w:rPr>
          <w:b/>
          <w:spacing w:val="-7"/>
        </w:rPr>
        <w:t> </w:t>
      </w:r>
      <w:r>
        <w:rPr>
          <w:b/>
        </w:rPr>
        <w:t>N°10262. </w:t>
      </w:r>
      <w:r>
        <w:rPr/>
        <w:t>Autorización</w:t>
      </w:r>
      <w:r>
        <w:rPr>
          <w:spacing w:val="-6"/>
        </w:rPr>
        <w:t> </w:t>
      </w:r>
      <w:r>
        <w:rPr/>
        <w:t>al</w:t>
      </w:r>
      <w:r>
        <w:rPr>
          <w:spacing w:val="-9"/>
        </w:rPr>
        <w:t> </w:t>
      </w:r>
      <w:r>
        <w:rPr/>
        <w:t>Instituto</w:t>
      </w:r>
      <w:r>
        <w:rPr>
          <w:spacing w:val="-6"/>
        </w:rPr>
        <w:t> </w:t>
      </w:r>
      <w:r>
        <w:rPr/>
        <w:t>Mixto de</w:t>
      </w:r>
      <w:r>
        <w:rPr>
          <w:spacing w:val="-9"/>
        </w:rPr>
        <w:t> </w:t>
      </w:r>
      <w:r>
        <w:rPr/>
        <w:t>Ayuda</w:t>
      </w:r>
      <w:r>
        <w:rPr>
          <w:spacing w:val="-9"/>
        </w:rPr>
        <w:t> </w:t>
      </w:r>
      <w:r>
        <w:rPr/>
        <w:t>Social</w:t>
      </w:r>
      <w:r>
        <w:rPr>
          <w:spacing w:val="-7"/>
        </w:rPr>
        <w:t> </w:t>
      </w:r>
      <w:r>
        <w:rPr/>
        <w:t>para</w:t>
      </w:r>
      <w:r>
        <w:rPr>
          <w:spacing w:val="-5"/>
        </w:rPr>
        <w:t> </w:t>
      </w:r>
      <w:r>
        <w:rPr/>
        <w:t>que</w:t>
      </w:r>
      <w:r>
        <w:rPr>
          <w:spacing w:val="-9"/>
        </w:rPr>
        <w:t> </w:t>
      </w:r>
      <w:r>
        <w:rPr/>
        <w:t>segregue</w:t>
      </w:r>
      <w:r>
        <w:rPr>
          <w:spacing w:val="-9"/>
        </w:rPr>
        <w:t> </w:t>
      </w:r>
      <w:r>
        <w:rPr/>
        <w:t>y</w:t>
      </w:r>
      <w:r>
        <w:rPr>
          <w:spacing w:val="-7"/>
        </w:rPr>
        <w:t> </w:t>
      </w:r>
      <w:r>
        <w:rPr/>
        <w:t>done</w:t>
      </w:r>
      <w:r>
        <w:rPr>
          <w:spacing w:val="-5"/>
        </w:rPr>
        <w:t> </w:t>
      </w:r>
      <w:r>
        <w:rPr/>
        <w:t>un</w:t>
      </w:r>
      <w:r>
        <w:rPr>
          <w:spacing w:val="-5"/>
        </w:rPr>
        <w:t> </w:t>
      </w:r>
      <w:r>
        <w:rPr/>
        <w:t>inmueble</w:t>
      </w:r>
      <w:r>
        <w:rPr>
          <w:spacing w:val="-5"/>
        </w:rPr>
        <w:t> </w:t>
      </w:r>
      <w:r>
        <w:rPr/>
        <w:t>de</w:t>
      </w:r>
      <w:r>
        <w:rPr>
          <w:spacing w:val="-5"/>
        </w:rPr>
        <w:t> </w:t>
      </w:r>
      <w:r>
        <w:rPr/>
        <w:t>su</w:t>
      </w:r>
      <w:r>
        <w:rPr>
          <w:spacing w:val="-5"/>
        </w:rPr>
        <w:t> </w:t>
      </w:r>
      <w:r>
        <w:rPr/>
        <w:t>propiedad</w:t>
      </w:r>
      <w:r>
        <w:rPr>
          <w:spacing w:val="-5"/>
        </w:rPr>
        <w:t> </w:t>
      </w:r>
      <w:r>
        <w:rPr/>
        <w:t>a</w:t>
      </w:r>
      <w:r>
        <w:rPr>
          <w:spacing w:val="-9"/>
        </w:rPr>
        <w:t> </w:t>
      </w:r>
      <w:r>
        <w:rPr/>
        <w:t>favor</w:t>
      </w:r>
      <w:r>
        <w:rPr>
          <w:spacing w:val="-8"/>
        </w:rPr>
        <w:t> </w:t>
      </w:r>
      <w:r>
        <w:rPr/>
        <w:t>de</w:t>
      </w:r>
      <w:r>
        <w:rPr>
          <w:spacing w:val="-5"/>
        </w:rPr>
        <w:t> </w:t>
      </w:r>
      <w:r>
        <w:rPr/>
        <w:t>la</w:t>
      </w:r>
      <w:r>
        <w:rPr>
          <w:spacing w:val="-5"/>
        </w:rPr>
        <w:t> </w:t>
      </w:r>
      <w:r>
        <w:rPr/>
        <w:t>Caja Costarricense De Seguro Social, el Ministerio de Seguridad Pública y la Federación de Uniones Cantonales de Asociaciones de Desarrollo del Caribe. Autoriza al IMAS a la segregación de 3 lotes. Fecha de vigencia 09/06/2022.</w:t>
      </w:r>
    </w:p>
    <w:p>
      <w:pPr>
        <w:spacing w:line="240" w:lineRule="auto" w:before="253"/>
        <w:ind w:left="979" w:right="1336" w:firstLine="0"/>
        <w:jc w:val="both"/>
        <w:rPr>
          <w:sz w:val="22"/>
        </w:rPr>
      </w:pPr>
      <w:r>
        <w:rPr>
          <w:b/>
          <w:sz w:val="22"/>
        </w:rPr>
        <w:t>Ley de Creación del Sistema Nacional de Cuidados y apoyos para personas adultas y personas adultas mayores en situación de dependencia (SINCA), N°10192. </w:t>
      </w:r>
      <w:r>
        <w:rPr>
          <w:sz w:val="22"/>
        </w:rPr>
        <w:t>Crea la Secretaría Técnica del SINCA, la cual funcionará como una dependencia técnica y administrativa del Instituto Mixto de Ayuda Social</w:t>
      </w:r>
      <w:r>
        <w:rPr>
          <w:spacing w:val="-1"/>
          <w:sz w:val="22"/>
        </w:rPr>
        <w:t> </w:t>
      </w:r>
      <w:r>
        <w:rPr>
          <w:sz w:val="22"/>
        </w:rPr>
        <w:t>(IMAS), incorporada a su estructura. Así mismo,</w:t>
      </w:r>
      <w:r>
        <w:rPr>
          <w:spacing w:val="-11"/>
          <w:sz w:val="22"/>
        </w:rPr>
        <w:t> </w:t>
      </w:r>
      <w:r>
        <w:rPr>
          <w:sz w:val="22"/>
        </w:rPr>
        <w:t>formulará</w:t>
      </w:r>
      <w:r>
        <w:rPr>
          <w:spacing w:val="-5"/>
          <w:sz w:val="22"/>
        </w:rPr>
        <w:t> </w:t>
      </w:r>
      <w:r>
        <w:rPr>
          <w:sz w:val="22"/>
        </w:rPr>
        <w:t>y</w:t>
      </w:r>
      <w:r>
        <w:rPr>
          <w:spacing w:val="-12"/>
          <w:sz w:val="22"/>
        </w:rPr>
        <w:t> </w:t>
      </w:r>
      <w:r>
        <w:rPr>
          <w:sz w:val="22"/>
        </w:rPr>
        <w:t>mantendrá</w:t>
      </w:r>
      <w:r>
        <w:rPr>
          <w:spacing w:val="-10"/>
          <w:sz w:val="22"/>
        </w:rPr>
        <w:t> </w:t>
      </w:r>
      <w:r>
        <w:rPr>
          <w:sz w:val="22"/>
        </w:rPr>
        <w:t>actualizada</w:t>
      </w:r>
      <w:r>
        <w:rPr>
          <w:spacing w:val="-5"/>
          <w:sz w:val="22"/>
        </w:rPr>
        <w:t> </w:t>
      </w:r>
      <w:r>
        <w:rPr>
          <w:sz w:val="22"/>
        </w:rPr>
        <w:t>la</w:t>
      </w:r>
      <w:r>
        <w:rPr>
          <w:spacing w:val="-5"/>
          <w:sz w:val="22"/>
        </w:rPr>
        <w:t> </w:t>
      </w:r>
      <w:r>
        <w:rPr>
          <w:sz w:val="22"/>
        </w:rPr>
        <w:t>Política</w:t>
      </w:r>
      <w:r>
        <w:rPr>
          <w:spacing w:val="-5"/>
          <w:sz w:val="22"/>
        </w:rPr>
        <w:t> </w:t>
      </w:r>
      <w:r>
        <w:rPr>
          <w:sz w:val="22"/>
        </w:rPr>
        <w:t>Nacional</w:t>
      </w:r>
      <w:r>
        <w:rPr>
          <w:spacing w:val="-13"/>
          <w:sz w:val="22"/>
        </w:rPr>
        <w:t> </w:t>
      </w:r>
      <w:r>
        <w:rPr>
          <w:sz w:val="22"/>
        </w:rPr>
        <w:t>de</w:t>
      </w:r>
      <w:r>
        <w:rPr>
          <w:spacing w:val="-5"/>
          <w:sz w:val="22"/>
        </w:rPr>
        <w:t> </w:t>
      </w:r>
      <w:r>
        <w:rPr>
          <w:sz w:val="22"/>
        </w:rPr>
        <w:t>Cuidados</w:t>
      </w:r>
      <w:r>
        <w:rPr>
          <w:spacing w:val="-7"/>
          <w:sz w:val="22"/>
        </w:rPr>
        <w:t> </w:t>
      </w:r>
      <w:r>
        <w:rPr>
          <w:sz w:val="22"/>
        </w:rPr>
        <w:t>y Atención</w:t>
      </w:r>
      <w:r>
        <w:rPr>
          <w:spacing w:val="-5"/>
          <w:sz w:val="22"/>
        </w:rPr>
        <w:t> </w:t>
      </w:r>
      <w:r>
        <w:rPr>
          <w:sz w:val="22"/>
        </w:rPr>
        <w:t>a</w:t>
      </w:r>
      <w:r>
        <w:rPr>
          <w:spacing w:val="-5"/>
          <w:sz w:val="22"/>
        </w:rPr>
        <w:t> </w:t>
      </w:r>
      <w:r>
        <w:rPr>
          <w:sz w:val="22"/>
        </w:rPr>
        <w:t>la Dependencia. De igual forma, destinará recursos para subsidiar a mujeres cuidadoras en situación</w:t>
      </w:r>
      <w:r>
        <w:rPr>
          <w:spacing w:val="-4"/>
          <w:sz w:val="22"/>
        </w:rPr>
        <w:t> </w:t>
      </w:r>
      <w:r>
        <w:rPr>
          <w:sz w:val="22"/>
        </w:rPr>
        <w:t>de</w:t>
      </w:r>
      <w:r>
        <w:rPr>
          <w:spacing w:val="-4"/>
          <w:sz w:val="22"/>
        </w:rPr>
        <w:t> </w:t>
      </w:r>
      <w:r>
        <w:rPr>
          <w:sz w:val="22"/>
        </w:rPr>
        <w:t>pobreza</w:t>
      </w:r>
      <w:r>
        <w:rPr>
          <w:spacing w:val="-4"/>
          <w:sz w:val="22"/>
        </w:rPr>
        <w:t> </w:t>
      </w:r>
      <w:r>
        <w:rPr>
          <w:sz w:val="22"/>
        </w:rPr>
        <w:t>extrema,</w:t>
      </w:r>
      <w:r>
        <w:rPr>
          <w:spacing w:val="-5"/>
          <w:sz w:val="22"/>
        </w:rPr>
        <w:t> </w:t>
      </w:r>
      <w:r>
        <w:rPr>
          <w:sz w:val="22"/>
        </w:rPr>
        <w:t>que</w:t>
      </w:r>
      <w:r>
        <w:rPr>
          <w:spacing w:val="-4"/>
          <w:sz w:val="22"/>
        </w:rPr>
        <w:t> </w:t>
      </w:r>
      <w:r>
        <w:rPr>
          <w:sz w:val="22"/>
        </w:rPr>
        <w:t>no tengan</w:t>
      </w:r>
      <w:r>
        <w:rPr>
          <w:spacing w:val="-4"/>
          <w:sz w:val="22"/>
        </w:rPr>
        <w:t> </w:t>
      </w:r>
      <w:r>
        <w:rPr>
          <w:sz w:val="22"/>
        </w:rPr>
        <w:t>posibilidades</w:t>
      </w:r>
      <w:r>
        <w:rPr>
          <w:spacing w:val="-5"/>
          <w:sz w:val="22"/>
        </w:rPr>
        <w:t> </w:t>
      </w:r>
      <w:r>
        <w:rPr>
          <w:sz w:val="22"/>
        </w:rPr>
        <w:t>de</w:t>
      </w:r>
      <w:r>
        <w:rPr>
          <w:spacing w:val="-4"/>
          <w:sz w:val="22"/>
        </w:rPr>
        <w:t> </w:t>
      </w:r>
      <w:r>
        <w:rPr>
          <w:sz w:val="22"/>
        </w:rPr>
        <w:t>insertarse en</w:t>
      </w:r>
      <w:r>
        <w:rPr>
          <w:spacing w:val="-4"/>
          <w:sz w:val="22"/>
        </w:rPr>
        <w:t> </w:t>
      </w:r>
      <w:r>
        <w:rPr>
          <w:sz w:val="22"/>
        </w:rPr>
        <w:t>el</w:t>
      </w:r>
      <w:r>
        <w:rPr>
          <w:spacing w:val="-6"/>
          <w:sz w:val="22"/>
        </w:rPr>
        <w:t> </w:t>
      </w:r>
      <w:r>
        <w:rPr>
          <w:sz w:val="22"/>
        </w:rPr>
        <w:t>mercado</w:t>
      </w:r>
      <w:r>
        <w:rPr>
          <w:spacing w:val="-4"/>
          <w:sz w:val="22"/>
        </w:rPr>
        <w:t> </w:t>
      </w:r>
      <w:r>
        <w:rPr>
          <w:sz w:val="22"/>
        </w:rPr>
        <w:t>de trabajo. Fecha de vigencia 14/06/2022.</w:t>
      </w:r>
    </w:p>
    <w:p>
      <w:pPr>
        <w:spacing w:line="242" w:lineRule="auto" w:before="251"/>
        <w:ind w:left="979" w:right="1345" w:firstLine="0"/>
        <w:jc w:val="both"/>
        <w:rPr>
          <w:sz w:val="22"/>
        </w:rPr>
      </w:pPr>
      <w:r>
        <w:rPr>
          <w:b/>
          <w:sz w:val="22"/>
        </w:rPr>
        <w:t>Ley de Cooperación interinstitucional en el financiamiento de proyectos para las juventudes</w:t>
      </w:r>
      <w:r>
        <w:rPr>
          <w:b/>
          <w:spacing w:val="-16"/>
          <w:sz w:val="22"/>
        </w:rPr>
        <w:t> </w:t>
      </w:r>
      <w:r>
        <w:rPr>
          <w:b/>
          <w:sz w:val="22"/>
        </w:rPr>
        <w:t>costarricenses,</w:t>
      </w:r>
      <w:r>
        <w:rPr>
          <w:b/>
          <w:spacing w:val="-15"/>
          <w:sz w:val="22"/>
        </w:rPr>
        <w:t> </w:t>
      </w:r>
      <w:r>
        <w:rPr>
          <w:b/>
          <w:sz w:val="22"/>
        </w:rPr>
        <w:t>N°10221.</w:t>
      </w:r>
      <w:r>
        <w:rPr>
          <w:b/>
          <w:spacing w:val="-15"/>
          <w:sz w:val="22"/>
        </w:rPr>
        <w:t> </w:t>
      </w:r>
      <w:r>
        <w:rPr>
          <w:sz w:val="22"/>
        </w:rPr>
        <w:t>Reforma</w:t>
      </w:r>
      <w:r>
        <w:rPr>
          <w:spacing w:val="-16"/>
          <w:sz w:val="22"/>
        </w:rPr>
        <w:t> </w:t>
      </w:r>
      <w:r>
        <w:rPr>
          <w:sz w:val="22"/>
        </w:rPr>
        <w:t>del</w:t>
      </w:r>
      <w:r>
        <w:rPr>
          <w:spacing w:val="-15"/>
          <w:sz w:val="22"/>
        </w:rPr>
        <w:t> </w:t>
      </w:r>
      <w:r>
        <w:rPr>
          <w:sz w:val="22"/>
        </w:rPr>
        <w:t>artículo</w:t>
      </w:r>
      <w:r>
        <w:rPr>
          <w:spacing w:val="-15"/>
          <w:sz w:val="22"/>
        </w:rPr>
        <w:t> </w:t>
      </w:r>
      <w:r>
        <w:rPr>
          <w:sz w:val="22"/>
        </w:rPr>
        <w:t>18</w:t>
      </w:r>
      <w:r>
        <w:rPr>
          <w:spacing w:val="-15"/>
          <w:sz w:val="22"/>
        </w:rPr>
        <w:t> </w:t>
      </w:r>
      <w:r>
        <w:rPr>
          <w:sz w:val="22"/>
        </w:rPr>
        <w:t>de</w:t>
      </w:r>
      <w:r>
        <w:rPr>
          <w:spacing w:val="-16"/>
          <w:sz w:val="22"/>
        </w:rPr>
        <w:t> </w:t>
      </w:r>
      <w:r>
        <w:rPr>
          <w:sz w:val="22"/>
        </w:rPr>
        <w:t>la</w:t>
      </w:r>
      <w:r>
        <w:rPr>
          <w:spacing w:val="-15"/>
          <w:sz w:val="22"/>
        </w:rPr>
        <w:t> </w:t>
      </w:r>
      <w:r>
        <w:rPr>
          <w:sz w:val="22"/>
        </w:rPr>
        <w:t>Ley</w:t>
      </w:r>
      <w:r>
        <w:rPr>
          <w:spacing w:val="-15"/>
          <w:sz w:val="22"/>
        </w:rPr>
        <w:t> </w:t>
      </w:r>
      <w:r>
        <w:rPr>
          <w:sz w:val="22"/>
        </w:rPr>
        <w:t>8261,</w:t>
      </w:r>
      <w:r>
        <w:rPr>
          <w:spacing w:val="-16"/>
          <w:sz w:val="22"/>
        </w:rPr>
        <w:t> </w:t>
      </w:r>
      <w:r>
        <w:rPr>
          <w:sz w:val="22"/>
        </w:rPr>
        <w:t>Ley</w:t>
      </w:r>
      <w:r>
        <w:rPr>
          <w:spacing w:val="-15"/>
          <w:sz w:val="22"/>
        </w:rPr>
        <w:t> </w:t>
      </w:r>
      <w:r>
        <w:rPr>
          <w:sz w:val="22"/>
        </w:rPr>
        <w:t>General de la Persona Joven. Fecha de vigencia 15/06/2022.</w:t>
      </w:r>
    </w:p>
    <w:p>
      <w:pPr>
        <w:spacing w:line="240" w:lineRule="auto" w:before="247"/>
        <w:ind w:left="979" w:right="1343" w:firstLine="0"/>
        <w:jc w:val="both"/>
        <w:rPr>
          <w:sz w:val="22"/>
        </w:rPr>
      </w:pPr>
      <w:r>
        <w:rPr>
          <w:b/>
          <w:sz w:val="22"/>
        </w:rPr>
        <w:t>Ley de Creación del Régimen especial de viviendas comunitarias para garantizar el acceso al derecho de la Vivienda a la Personas Adulta Mayor en Condición de vulnerabilidad, N°10214. </w:t>
      </w:r>
      <w:r>
        <w:rPr>
          <w:sz w:val="22"/>
        </w:rPr>
        <w:t>Régimen especial de viviendas comunitarias, subsidiadas mediante un bono de viviendas comunitarias, para el uso y habitación de las personas adultas mayores costarricenses y extranjeros con residencia legal en Costa Rica, autovalentes</w:t>
      </w:r>
      <w:r>
        <w:rPr>
          <w:spacing w:val="-7"/>
          <w:sz w:val="22"/>
        </w:rPr>
        <w:t> </w:t>
      </w:r>
      <w:r>
        <w:rPr>
          <w:sz w:val="22"/>
        </w:rPr>
        <w:t>y</w:t>
      </w:r>
      <w:r>
        <w:rPr>
          <w:spacing w:val="-12"/>
          <w:sz w:val="22"/>
        </w:rPr>
        <w:t> </w:t>
      </w:r>
      <w:r>
        <w:rPr>
          <w:sz w:val="22"/>
        </w:rPr>
        <w:t>en</w:t>
      </w:r>
      <w:r>
        <w:rPr>
          <w:spacing w:val="-5"/>
          <w:sz w:val="22"/>
        </w:rPr>
        <w:t> </w:t>
      </w:r>
      <w:r>
        <w:rPr>
          <w:sz w:val="22"/>
        </w:rPr>
        <w:t>condición</w:t>
      </w:r>
      <w:r>
        <w:rPr>
          <w:spacing w:val="-5"/>
          <w:sz w:val="22"/>
        </w:rPr>
        <w:t> </w:t>
      </w:r>
      <w:r>
        <w:rPr>
          <w:sz w:val="22"/>
        </w:rPr>
        <w:t>de</w:t>
      </w:r>
      <w:r>
        <w:rPr>
          <w:spacing w:val="-5"/>
          <w:sz w:val="22"/>
        </w:rPr>
        <w:t> </w:t>
      </w:r>
      <w:r>
        <w:rPr>
          <w:sz w:val="22"/>
        </w:rPr>
        <w:t>vulnerabilidad.</w:t>
      </w:r>
      <w:r>
        <w:rPr>
          <w:spacing w:val="-11"/>
          <w:sz w:val="22"/>
        </w:rPr>
        <w:t> </w:t>
      </w:r>
      <w:r>
        <w:rPr>
          <w:sz w:val="22"/>
        </w:rPr>
        <w:t>Las</w:t>
      </w:r>
      <w:r>
        <w:rPr>
          <w:spacing w:val="-12"/>
          <w:sz w:val="22"/>
        </w:rPr>
        <w:t> </w:t>
      </w:r>
      <w:r>
        <w:rPr>
          <w:sz w:val="22"/>
        </w:rPr>
        <w:t>entidades</w:t>
      </w:r>
      <w:r>
        <w:rPr>
          <w:spacing w:val="-12"/>
          <w:sz w:val="22"/>
        </w:rPr>
        <w:t> </w:t>
      </w:r>
      <w:r>
        <w:rPr>
          <w:sz w:val="22"/>
        </w:rPr>
        <w:t>que</w:t>
      </w:r>
      <w:r>
        <w:rPr>
          <w:spacing w:val="-5"/>
          <w:sz w:val="22"/>
        </w:rPr>
        <w:t> </w:t>
      </w:r>
      <w:r>
        <w:rPr>
          <w:sz w:val="22"/>
        </w:rPr>
        <w:t>administren</w:t>
      </w:r>
      <w:r>
        <w:rPr>
          <w:spacing w:val="-5"/>
          <w:sz w:val="22"/>
        </w:rPr>
        <w:t> </w:t>
      </w:r>
      <w:r>
        <w:rPr>
          <w:sz w:val="22"/>
        </w:rPr>
        <w:t>las</w:t>
      </w:r>
      <w:r>
        <w:rPr>
          <w:spacing w:val="-7"/>
          <w:sz w:val="22"/>
        </w:rPr>
        <w:t> </w:t>
      </w:r>
      <w:r>
        <w:rPr>
          <w:sz w:val="22"/>
        </w:rPr>
        <w:t>viviendas comunitarias deben ser declaradas por el IMAS de bienestar social. Fecha de vigencia </w:t>
      </w:r>
      <w:r>
        <w:rPr>
          <w:spacing w:val="-2"/>
          <w:sz w:val="22"/>
        </w:rPr>
        <w:t>15/06/2022.</w:t>
      </w:r>
    </w:p>
    <w:p>
      <w:pPr>
        <w:pStyle w:val="BodyText"/>
        <w:spacing w:before="4"/>
      </w:pPr>
    </w:p>
    <w:p>
      <w:pPr>
        <w:spacing w:line="240" w:lineRule="auto" w:before="0"/>
        <w:ind w:left="979" w:right="1345" w:firstLine="0"/>
        <w:jc w:val="both"/>
        <w:rPr>
          <w:sz w:val="22"/>
        </w:rPr>
      </w:pPr>
      <w:r>
        <w:rPr>
          <w:b/>
          <w:sz w:val="22"/>
        </w:rPr>
        <w:t>Ley de Prohibición de la difusión de propaganda que degrade a la Persona Adulta Mayor,</w:t>
      </w:r>
      <w:r>
        <w:rPr>
          <w:b/>
          <w:spacing w:val="-3"/>
          <w:sz w:val="22"/>
        </w:rPr>
        <w:t> </w:t>
      </w:r>
      <w:r>
        <w:rPr>
          <w:b/>
          <w:sz w:val="22"/>
        </w:rPr>
        <w:t>N°10267.</w:t>
      </w:r>
      <w:r>
        <w:rPr>
          <w:b/>
          <w:spacing w:val="-4"/>
          <w:sz w:val="22"/>
        </w:rPr>
        <w:t> </w:t>
      </w:r>
      <w:r>
        <w:rPr>
          <w:sz w:val="22"/>
        </w:rPr>
        <w:t>Prohíbe</w:t>
      </w:r>
      <w:r>
        <w:rPr>
          <w:spacing w:val="-6"/>
          <w:sz w:val="22"/>
        </w:rPr>
        <w:t> </w:t>
      </w:r>
      <w:r>
        <w:rPr>
          <w:sz w:val="22"/>
        </w:rPr>
        <w:t>la</w:t>
      </w:r>
      <w:r>
        <w:rPr>
          <w:spacing w:val="-11"/>
          <w:sz w:val="22"/>
        </w:rPr>
        <w:t> </w:t>
      </w:r>
      <w:r>
        <w:rPr>
          <w:sz w:val="22"/>
        </w:rPr>
        <w:t>difusión</w:t>
      </w:r>
      <w:r>
        <w:rPr>
          <w:spacing w:val="-6"/>
          <w:sz w:val="22"/>
        </w:rPr>
        <w:t> </w:t>
      </w:r>
      <w:r>
        <w:rPr>
          <w:sz w:val="22"/>
        </w:rPr>
        <w:t>de</w:t>
      </w:r>
      <w:r>
        <w:rPr>
          <w:spacing w:val="-6"/>
          <w:sz w:val="22"/>
        </w:rPr>
        <w:t> </w:t>
      </w:r>
      <w:r>
        <w:rPr>
          <w:sz w:val="22"/>
        </w:rPr>
        <w:t>propaganda</w:t>
      </w:r>
      <w:r>
        <w:rPr>
          <w:spacing w:val="-6"/>
          <w:sz w:val="22"/>
        </w:rPr>
        <w:t> </w:t>
      </w:r>
      <w:r>
        <w:rPr>
          <w:sz w:val="22"/>
        </w:rPr>
        <w:t>en</w:t>
      </w:r>
      <w:r>
        <w:rPr>
          <w:spacing w:val="-6"/>
          <w:sz w:val="22"/>
        </w:rPr>
        <w:t> </w:t>
      </w:r>
      <w:r>
        <w:rPr>
          <w:sz w:val="22"/>
        </w:rPr>
        <w:t>textos,</w:t>
      </w:r>
      <w:r>
        <w:rPr>
          <w:spacing w:val="-7"/>
          <w:sz w:val="22"/>
        </w:rPr>
        <w:t> </w:t>
      </w:r>
      <w:r>
        <w:rPr>
          <w:sz w:val="22"/>
        </w:rPr>
        <w:t>imágenes,</w:t>
      </w:r>
      <w:r>
        <w:rPr>
          <w:spacing w:val="-3"/>
          <w:sz w:val="22"/>
        </w:rPr>
        <w:t> </w:t>
      </w:r>
      <w:r>
        <w:rPr>
          <w:sz w:val="22"/>
        </w:rPr>
        <w:t>lenguaje,</w:t>
      </w:r>
      <w:r>
        <w:rPr>
          <w:spacing w:val="-7"/>
          <w:sz w:val="22"/>
        </w:rPr>
        <w:t> </w:t>
      </w:r>
      <w:r>
        <w:rPr>
          <w:sz w:val="22"/>
        </w:rPr>
        <w:t>videos e información que degrade la dignidad, el honor y la imagen de la persona adulta mayor. Fecha de vigencia 09/09/2022.</w:t>
      </w:r>
    </w:p>
    <w:p>
      <w:pPr>
        <w:spacing w:before="251"/>
        <w:ind w:left="979" w:right="1338" w:firstLine="0"/>
        <w:jc w:val="both"/>
        <w:rPr>
          <w:sz w:val="22"/>
        </w:rPr>
      </w:pPr>
      <w:r>
        <w:rPr>
          <w:b/>
          <w:sz w:val="22"/>
        </w:rPr>
        <w:t>Ley</w:t>
      </w:r>
      <w:r>
        <w:rPr>
          <w:b/>
          <w:spacing w:val="-5"/>
          <w:sz w:val="22"/>
        </w:rPr>
        <w:t> </w:t>
      </w:r>
      <w:r>
        <w:rPr>
          <w:b/>
          <w:sz w:val="22"/>
        </w:rPr>
        <w:t>General</w:t>
      </w:r>
      <w:r>
        <w:rPr>
          <w:b/>
          <w:spacing w:val="-2"/>
          <w:sz w:val="22"/>
        </w:rPr>
        <w:t> </w:t>
      </w:r>
      <w:r>
        <w:rPr>
          <w:b/>
          <w:sz w:val="22"/>
        </w:rPr>
        <w:t>de</w:t>
      </w:r>
      <w:r>
        <w:rPr>
          <w:b/>
          <w:spacing w:val="-5"/>
          <w:sz w:val="22"/>
        </w:rPr>
        <w:t> </w:t>
      </w:r>
      <w:r>
        <w:rPr>
          <w:b/>
          <w:sz w:val="22"/>
        </w:rPr>
        <w:t>Contratación</w:t>
      </w:r>
      <w:r>
        <w:rPr>
          <w:b/>
          <w:spacing w:val="-8"/>
          <w:sz w:val="22"/>
        </w:rPr>
        <w:t> </w:t>
      </w:r>
      <w:r>
        <w:rPr>
          <w:b/>
          <w:sz w:val="22"/>
        </w:rPr>
        <w:t>Pública</w:t>
      </w:r>
      <w:r>
        <w:rPr>
          <w:sz w:val="22"/>
        </w:rPr>
        <w:t>,</w:t>
      </w:r>
      <w:r>
        <w:rPr>
          <w:spacing w:val="-2"/>
          <w:sz w:val="22"/>
        </w:rPr>
        <w:t> </w:t>
      </w:r>
      <w:r>
        <w:rPr>
          <w:b/>
          <w:sz w:val="22"/>
        </w:rPr>
        <w:t>N°9986</w:t>
      </w:r>
      <w:r>
        <w:rPr>
          <w:b/>
          <w:spacing w:val="-1"/>
          <w:sz w:val="22"/>
        </w:rPr>
        <w:t> </w:t>
      </w:r>
      <w:r>
        <w:rPr>
          <w:b/>
          <w:sz w:val="22"/>
        </w:rPr>
        <w:t>y</w:t>
      </w:r>
      <w:r>
        <w:rPr>
          <w:b/>
          <w:spacing w:val="-10"/>
          <w:sz w:val="22"/>
        </w:rPr>
        <w:t> </w:t>
      </w:r>
      <w:r>
        <w:rPr>
          <w:b/>
          <w:sz w:val="22"/>
        </w:rPr>
        <w:t>sus</w:t>
      </w:r>
      <w:r>
        <w:rPr>
          <w:b/>
          <w:spacing w:val="-2"/>
          <w:sz w:val="22"/>
        </w:rPr>
        <w:t> </w:t>
      </w:r>
      <w:r>
        <w:rPr>
          <w:b/>
          <w:sz w:val="22"/>
        </w:rPr>
        <w:t>reformas</w:t>
      </w:r>
      <w:r>
        <w:rPr>
          <w:sz w:val="22"/>
        </w:rPr>
        <w:t>.</w:t>
      </w:r>
      <w:r>
        <w:rPr>
          <w:spacing w:val="40"/>
          <w:sz w:val="22"/>
        </w:rPr>
        <w:t> </w:t>
      </w:r>
      <w:r>
        <w:rPr>
          <w:sz w:val="22"/>
        </w:rPr>
        <w:t>Regula</w:t>
      </w:r>
      <w:r>
        <w:rPr>
          <w:spacing w:val="-5"/>
          <w:sz w:val="22"/>
        </w:rPr>
        <w:t> </w:t>
      </w:r>
      <w:r>
        <w:rPr>
          <w:sz w:val="22"/>
        </w:rPr>
        <w:t>toda</w:t>
      </w:r>
      <w:r>
        <w:rPr>
          <w:spacing w:val="-5"/>
          <w:sz w:val="22"/>
        </w:rPr>
        <w:t> </w:t>
      </w:r>
      <w:r>
        <w:rPr>
          <w:sz w:val="22"/>
        </w:rPr>
        <w:t>la</w:t>
      </w:r>
      <w:r>
        <w:rPr>
          <w:spacing w:val="-5"/>
          <w:sz w:val="22"/>
        </w:rPr>
        <w:t> </w:t>
      </w:r>
      <w:r>
        <w:rPr>
          <w:sz w:val="22"/>
        </w:rPr>
        <w:t>actividad contractual</w:t>
      </w:r>
      <w:r>
        <w:rPr>
          <w:spacing w:val="-16"/>
          <w:sz w:val="22"/>
        </w:rPr>
        <w:t> </w:t>
      </w:r>
      <w:r>
        <w:rPr>
          <w:sz w:val="22"/>
        </w:rPr>
        <w:t>que</w:t>
      </w:r>
      <w:r>
        <w:rPr>
          <w:spacing w:val="-15"/>
          <w:sz w:val="22"/>
        </w:rPr>
        <w:t> </w:t>
      </w:r>
      <w:r>
        <w:rPr>
          <w:sz w:val="22"/>
        </w:rPr>
        <w:t>emplee</w:t>
      </w:r>
      <w:r>
        <w:rPr>
          <w:spacing w:val="-17"/>
          <w:sz w:val="22"/>
        </w:rPr>
        <w:t> </w:t>
      </w:r>
      <w:r>
        <w:rPr>
          <w:sz w:val="22"/>
        </w:rPr>
        <w:t>total</w:t>
      </w:r>
      <w:r>
        <w:rPr>
          <w:spacing w:val="-15"/>
          <w:sz w:val="22"/>
        </w:rPr>
        <w:t> </w:t>
      </w:r>
      <w:r>
        <w:rPr>
          <w:sz w:val="22"/>
        </w:rPr>
        <w:t>o</w:t>
      </w:r>
      <w:r>
        <w:rPr>
          <w:spacing w:val="-17"/>
          <w:sz w:val="22"/>
        </w:rPr>
        <w:t> </w:t>
      </w:r>
      <w:r>
        <w:rPr>
          <w:sz w:val="22"/>
        </w:rPr>
        <w:t>parcialmente</w:t>
      </w:r>
      <w:r>
        <w:rPr>
          <w:spacing w:val="-17"/>
          <w:sz w:val="22"/>
        </w:rPr>
        <w:t> </w:t>
      </w:r>
      <w:r>
        <w:rPr>
          <w:sz w:val="22"/>
        </w:rPr>
        <w:t>fondos</w:t>
      </w:r>
      <w:r>
        <w:rPr>
          <w:spacing w:val="-19"/>
          <w:sz w:val="22"/>
        </w:rPr>
        <w:t> </w:t>
      </w:r>
      <w:r>
        <w:rPr>
          <w:sz w:val="22"/>
        </w:rPr>
        <w:t>públicos.</w:t>
      </w:r>
      <w:r>
        <w:rPr>
          <w:spacing w:val="-16"/>
          <w:sz w:val="22"/>
        </w:rPr>
        <w:t> </w:t>
      </w:r>
      <w:r>
        <w:rPr>
          <w:sz w:val="22"/>
        </w:rPr>
        <w:t>Fecha</w:t>
      </w:r>
      <w:r>
        <w:rPr>
          <w:spacing w:val="-17"/>
          <w:sz w:val="22"/>
        </w:rPr>
        <w:t> </w:t>
      </w:r>
      <w:r>
        <w:rPr>
          <w:sz w:val="22"/>
        </w:rPr>
        <w:t>de</w:t>
      </w:r>
      <w:r>
        <w:rPr>
          <w:spacing w:val="-15"/>
          <w:sz w:val="22"/>
        </w:rPr>
        <w:t> </w:t>
      </w:r>
      <w:r>
        <w:rPr>
          <w:sz w:val="22"/>
        </w:rPr>
        <w:t>vigencia</w:t>
      </w:r>
      <w:r>
        <w:rPr>
          <w:spacing w:val="-17"/>
          <w:sz w:val="22"/>
        </w:rPr>
        <w:t> </w:t>
      </w:r>
      <w:r>
        <w:rPr>
          <w:sz w:val="22"/>
        </w:rPr>
        <w:t>01/12/2022.</w:t>
      </w:r>
    </w:p>
    <w:p>
      <w:pPr>
        <w:spacing w:line="242" w:lineRule="auto" w:before="252"/>
        <w:ind w:left="979" w:right="1336" w:firstLine="0"/>
        <w:jc w:val="both"/>
        <w:rPr>
          <w:sz w:val="22"/>
        </w:rPr>
      </w:pPr>
      <w:r>
        <w:rPr>
          <w:b/>
          <w:sz w:val="22"/>
        </w:rPr>
        <w:t>Ley Marco de Empleo Público, N° 10159 y sus reformas. </w:t>
      </w:r>
      <w:r>
        <w:rPr>
          <w:sz w:val="22"/>
        </w:rPr>
        <w:t>Regula las relaciones estatutarias, de empleo público y de empleo mixto, entre la Administración Pública y las personas servidoras públicas. Fecha de vigencia 10/03/2023.</w:t>
      </w:r>
    </w:p>
    <w:p>
      <w:pPr>
        <w:spacing w:line="240" w:lineRule="auto" w:before="247"/>
        <w:ind w:left="979" w:right="1336" w:firstLine="0"/>
        <w:jc w:val="both"/>
        <w:rPr>
          <w:sz w:val="22"/>
        </w:rPr>
      </w:pPr>
      <w:r>
        <w:rPr>
          <w:b/>
          <w:sz w:val="22"/>
        </w:rPr>
        <w:t>Ley N°10358. Reforma parcial Ley Planificación Nacional N°5525. </w:t>
      </w:r>
      <w:r>
        <w:rPr>
          <w:sz w:val="22"/>
        </w:rPr>
        <w:t>Reforma a la Ley orgánica del Poder Judicial y reforma creación de la jurisdicción especializada en delincuencia organizada en CR. Fecha de vigencia 30/05/2023.</w:t>
      </w:r>
    </w:p>
    <w:p>
      <w:pPr>
        <w:pStyle w:val="BodyText"/>
        <w:spacing w:before="1"/>
      </w:pPr>
    </w:p>
    <w:p>
      <w:pPr>
        <w:spacing w:line="240" w:lineRule="auto" w:before="0"/>
        <w:ind w:left="979" w:right="1345" w:firstLine="0"/>
        <w:jc w:val="both"/>
        <w:rPr>
          <w:sz w:val="22"/>
        </w:rPr>
      </w:pPr>
      <w:r>
        <w:rPr>
          <w:b/>
          <w:sz w:val="22"/>
        </w:rPr>
        <w:t>Ley</w:t>
      </w:r>
      <w:r>
        <w:rPr>
          <w:b/>
          <w:spacing w:val="-15"/>
          <w:sz w:val="22"/>
        </w:rPr>
        <w:t> </w:t>
      </w:r>
      <w:r>
        <w:rPr>
          <w:b/>
          <w:sz w:val="22"/>
        </w:rPr>
        <w:t>N°10369.</w:t>
      </w:r>
      <w:r>
        <w:rPr>
          <w:b/>
          <w:spacing w:val="-11"/>
          <w:sz w:val="22"/>
        </w:rPr>
        <w:t> </w:t>
      </w:r>
      <w:r>
        <w:rPr>
          <w:b/>
          <w:sz w:val="22"/>
        </w:rPr>
        <w:t>Reforma</w:t>
      </w:r>
      <w:r>
        <w:rPr>
          <w:b/>
          <w:spacing w:val="-9"/>
          <w:sz w:val="22"/>
        </w:rPr>
        <w:t> </w:t>
      </w:r>
      <w:r>
        <w:rPr>
          <w:b/>
          <w:sz w:val="22"/>
        </w:rPr>
        <w:t>de</w:t>
      </w:r>
      <w:r>
        <w:rPr>
          <w:b/>
          <w:spacing w:val="-10"/>
          <w:sz w:val="22"/>
        </w:rPr>
        <w:t> </w:t>
      </w:r>
      <w:r>
        <w:rPr>
          <w:b/>
          <w:sz w:val="22"/>
        </w:rPr>
        <w:t>la</w:t>
      </w:r>
      <w:r>
        <w:rPr>
          <w:b/>
          <w:spacing w:val="-10"/>
          <w:sz w:val="22"/>
        </w:rPr>
        <w:t> </w:t>
      </w:r>
      <w:r>
        <w:rPr>
          <w:b/>
          <w:sz w:val="22"/>
        </w:rPr>
        <w:t>Ley</w:t>
      </w:r>
      <w:r>
        <w:rPr>
          <w:b/>
          <w:spacing w:val="-15"/>
          <w:sz w:val="22"/>
        </w:rPr>
        <w:t> </w:t>
      </w:r>
      <w:r>
        <w:rPr>
          <w:b/>
          <w:sz w:val="22"/>
        </w:rPr>
        <w:t>N°7333,</w:t>
      </w:r>
      <w:r>
        <w:rPr>
          <w:b/>
          <w:spacing w:val="-16"/>
          <w:sz w:val="22"/>
        </w:rPr>
        <w:t> </w:t>
      </w:r>
      <w:r>
        <w:rPr>
          <w:b/>
          <w:sz w:val="22"/>
        </w:rPr>
        <w:t>ley</w:t>
      </w:r>
      <w:r>
        <w:rPr>
          <w:b/>
          <w:spacing w:val="-14"/>
          <w:sz w:val="22"/>
        </w:rPr>
        <w:t> </w:t>
      </w:r>
      <w:r>
        <w:rPr>
          <w:b/>
          <w:sz w:val="22"/>
        </w:rPr>
        <w:t>orgánica</w:t>
      </w:r>
      <w:r>
        <w:rPr>
          <w:b/>
          <w:spacing w:val="-10"/>
          <w:sz w:val="22"/>
        </w:rPr>
        <w:t> </w:t>
      </w:r>
      <w:r>
        <w:rPr>
          <w:b/>
          <w:sz w:val="22"/>
        </w:rPr>
        <w:t>del</w:t>
      </w:r>
      <w:r>
        <w:rPr>
          <w:b/>
          <w:spacing w:val="-16"/>
          <w:sz w:val="22"/>
        </w:rPr>
        <w:t> </w:t>
      </w:r>
      <w:r>
        <w:rPr>
          <w:b/>
          <w:sz w:val="22"/>
        </w:rPr>
        <w:t>Poder</w:t>
      </w:r>
      <w:r>
        <w:rPr>
          <w:b/>
          <w:spacing w:val="-15"/>
          <w:sz w:val="22"/>
        </w:rPr>
        <w:t> </w:t>
      </w:r>
      <w:r>
        <w:rPr>
          <w:b/>
          <w:sz w:val="22"/>
        </w:rPr>
        <w:t>Judicial</w:t>
      </w:r>
      <w:r>
        <w:rPr>
          <w:b/>
          <w:spacing w:val="-10"/>
          <w:sz w:val="22"/>
        </w:rPr>
        <w:t> </w:t>
      </w:r>
      <w:r>
        <w:rPr>
          <w:b/>
          <w:sz w:val="22"/>
        </w:rPr>
        <w:t>del</w:t>
      </w:r>
      <w:r>
        <w:rPr>
          <w:b/>
          <w:spacing w:val="-16"/>
          <w:sz w:val="22"/>
        </w:rPr>
        <w:t> </w:t>
      </w:r>
      <w:r>
        <w:rPr>
          <w:b/>
          <w:sz w:val="22"/>
        </w:rPr>
        <w:t>5</w:t>
      </w:r>
      <w:r>
        <w:rPr>
          <w:b/>
          <w:spacing w:val="-9"/>
          <w:sz w:val="22"/>
        </w:rPr>
        <w:t> </w:t>
      </w:r>
      <w:r>
        <w:rPr>
          <w:b/>
          <w:sz w:val="22"/>
        </w:rPr>
        <w:t>de</w:t>
      </w:r>
      <w:r>
        <w:rPr>
          <w:b/>
          <w:spacing w:val="-15"/>
          <w:sz w:val="22"/>
        </w:rPr>
        <w:t> </w:t>
      </w:r>
      <w:r>
        <w:rPr>
          <w:b/>
          <w:sz w:val="22"/>
        </w:rPr>
        <w:t>mayo de 1993 y a la ley 9481.</w:t>
      </w:r>
      <w:r>
        <w:rPr>
          <w:sz w:val="22"/>
        </w:rPr>
        <w:t>Creación de la jurisdicción especializada en delincuencia organizada en Costa Rica</w:t>
      </w:r>
      <w:r>
        <w:rPr>
          <w:b/>
          <w:sz w:val="22"/>
        </w:rPr>
        <w:t>. </w:t>
      </w:r>
      <w:r>
        <w:rPr>
          <w:sz w:val="22"/>
        </w:rPr>
        <w:t>Integración de jueces y competencias de tribunales. Fecha de vigencia 30/05/2023.</w:t>
      </w:r>
    </w:p>
    <w:p>
      <w:pPr>
        <w:spacing w:before="251"/>
        <w:ind w:left="979" w:right="1338" w:firstLine="0"/>
        <w:jc w:val="both"/>
        <w:rPr>
          <w:sz w:val="22"/>
        </w:rPr>
      </w:pPr>
      <w:r>
        <w:rPr>
          <w:b/>
          <w:sz w:val="22"/>
        </w:rPr>
        <w:t>Ley Apoyo Municipal para adultos mayores en pobreza, N°10359</w:t>
      </w:r>
      <w:r>
        <w:rPr>
          <w:sz w:val="22"/>
        </w:rPr>
        <w:t>. Tiene como objeto otorgar</w:t>
      </w:r>
      <w:r>
        <w:rPr>
          <w:spacing w:val="80"/>
          <w:w w:val="150"/>
          <w:sz w:val="22"/>
        </w:rPr>
        <w:t> </w:t>
      </w:r>
      <w:r>
        <w:rPr>
          <w:sz w:val="22"/>
        </w:rPr>
        <w:t>a</w:t>
      </w:r>
      <w:r>
        <w:rPr>
          <w:spacing w:val="80"/>
          <w:w w:val="150"/>
          <w:sz w:val="22"/>
        </w:rPr>
        <w:t> </w:t>
      </w:r>
      <w:r>
        <w:rPr>
          <w:sz w:val="22"/>
        </w:rPr>
        <w:t>las</w:t>
      </w:r>
      <w:r>
        <w:rPr>
          <w:spacing w:val="80"/>
          <w:w w:val="150"/>
          <w:sz w:val="22"/>
        </w:rPr>
        <w:t> </w:t>
      </w:r>
      <w:r>
        <w:rPr>
          <w:sz w:val="22"/>
        </w:rPr>
        <w:t>municipalidades</w:t>
      </w:r>
      <w:r>
        <w:rPr>
          <w:spacing w:val="80"/>
          <w:w w:val="150"/>
          <w:sz w:val="22"/>
        </w:rPr>
        <w:t> </w:t>
      </w:r>
      <w:r>
        <w:rPr>
          <w:sz w:val="22"/>
        </w:rPr>
        <w:t>autorización</w:t>
      </w:r>
      <w:r>
        <w:rPr>
          <w:spacing w:val="80"/>
          <w:w w:val="150"/>
          <w:sz w:val="22"/>
        </w:rPr>
        <w:t> </w:t>
      </w:r>
      <w:r>
        <w:rPr>
          <w:sz w:val="22"/>
        </w:rPr>
        <w:t>para</w:t>
      </w:r>
      <w:r>
        <w:rPr>
          <w:spacing w:val="80"/>
          <w:w w:val="150"/>
          <w:sz w:val="22"/>
        </w:rPr>
        <w:t> </w:t>
      </w:r>
      <w:r>
        <w:rPr>
          <w:sz w:val="22"/>
        </w:rPr>
        <w:t>que</w:t>
      </w:r>
      <w:r>
        <w:rPr>
          <w:spacing w:val="80"/>
          <w:w w:val="150"/>
          <w:sz w:val="22"/>
        </w:rPr>
        <w:t> </w:t>
      </w:r>
      <w:r>
        <w:rPr>
          <w:sz w:val="22"/>
        </w:rPr>
        <w:t>concedan</w:t>
      </w:r>
      <w:r>
        <w:rPr>
          <w:spacing w:val="80"/>
          <w:w w:val="150"/>
          <w:sz w:val="22"/>
        </w:rPr>
        <w:t> </w:t>
      </w:r>
      <w:r>
        <w:rPr>
          <w:sz w:val="22"/>
        </w:rPr>
        <w:t>a</w:t>
      </w:r>
      <w:r>
        <w:rPr>
          <w:spacing w:val="80"/>
          <w:w w:val="150"/>
          <w:sz w:val="22"/>
        </w:rPr>
        <w:t> </w:t>
      </w:r>
      <w:r>
        <w:rPr>
          <w:sz w:val="22"/>
        </w:rPr>
        <w:t>las</w:t>
      </w:r>
      <w:r>
        <w:rPr>
          <w:spacing w:val="80"/>
          <w:w w:val="150"/>
          <w:sz w:val="22"/>
        </w:rPr>
        <w:t> </w:t>
      </w:r>
      <w:r>
        <w:rPr>
          <w:sz w:val="22"/>
        </w:rPr>
        <w:t>personas</w:t>
      </w:r>
    </w:p>
    <w:p>
      <w:pPr>
        <w:spacing w:after="0"/>
        <w:jc w:val="both"/>
        <w:rPr>
          <w:sz w:val="22"/>
        </w:rPr>
        <w:sectPr>
          <w:pgSz w:w="12240" w:h="15840"/>
          <w:pgMar w:header="0" w:footer="1021" w:top="1340" w:bottom="1220" w:left="720" w:right="360"/>
        </w:sectPr>
      </w:pPr>
    </w:p>
    <w:p>
      <w:pPr>
        <w:pStyle w:val="BodyText"/>
        <w:spacing w:before="76"/>
        <w:ind w:left="979" w:right="1349"/>
        <w:jc w:val="both"/>
      </w:pPr>
      <w:r>
        <w:rPr/>
        <w:t>contribuyentes adultas mayores, en pobreza extrema o pobreza, los beneficios tributarios municipales que se determinan en esta ley. Fecha de vigencia 13 /07/2023</w:t>
      </w:r>
    </w:p>
    <w:p>
      <w:pPr>
        <w:spacing w:line="240" w:lineRule="auto" w:before="253"/>
        <w:ind w:left="979" w:right="1341" w:firstLine="0"/>
        <w:jc w:val="both"/>
        <w:rPr>
          <w:sz w:val="22"/>
        </w:rPr>
      </w:pPr>
      <w:r>
        <w:rPr>
          <w:b/>
          <w:sz w:val="22"/>
        </w:rPr>
        <w:t>Ley</w:t>
      </w:r>
      <w:r>
        <w:rPr>
          <w:b/>
          <w:spacing w:val="-5"/>
          <w:sz w:val="22"/>
        </w:rPr>
        <w:t> </w:t>
      </w:r>
      <w:r>
        <w:rPr>
          <w:b/>
          <w:sz w:val="22"/>
        </w:rPr>
        <w:t>N°10.379</w:t>
      </w:r>
      <w:r>
        <w:rPr>
          <w:b/>
          <w:spacing w:val="-1"/>
          <w:sz w:val="22"/>
        </w:rPr>
        <w:t> </w:t>
      </w:r>
      <w:r>
        <w:rPr>
          <w:b/>
          <w:sz w:val="22"/>
        </w:rPr>
        <w:t>Modificación</w:t>
      </w:r>
      <w:r>
        <w:rPr>
          <w:b/>
          <w:spacing w:val="-3"/>
          <w:sz w:val="22"/>
        </w:rPr>
        <w:t> </w:t>
      </w:r>
      <w:r>
        <w:rPr>
          <w:b/>
          <w:sz w:val="22"/>
        </w:rPr>
        <w:t>de</w:t>
      </w:r>
      <w:r>
        <w:rPr>
          <w:b/>
          <w:spacing w:val="-6"/>
          <w:sz w:val="22"/>
        </w:rPr>
        <w:t> </w:t>
      </w:r>
      <w:r>
        <w:rPr>
          <w:b/>
          <w:sz w:val="22"/>
        </w:rPr>
        <w:t>la</w:t>
      </w:r>
      <w:r>
        <w:rPr>
          <w:b/>
          <w:spacing w:val="-1"/>
          <w:sz w:val="22"/>
        </w:rPr>
        <w:t> </w:t>
      </w:r>
      <w:r>
        <w:rPr>
          <w:b/>
          <w:sz w:val="22"/>
        </w:rPr>
        <w:t>Ley</w:t>
      </w:r>
      <w:r>
        <w:rPr>
          <w:b/>
          <w:spacing w:val="-5"/>
          <w:sz w:val="22"/>
        </w:rPr>
        <w:t> </w:t>
      </w:r>
      <w:r>
        <w:rPr>
          <w:b/>
          <w:sz w:val="22"/>
        </w:rPr>
        <w:t>6227,</w:t>
      </w:r>
      <w:r>
        <w:rPr>
          <w:b/>
          <w:spacing w:val="-1"/>
          <w:sz w:val="22"/>
        </w:rPr>
        <w:t> </w:t>
      </w:r>
      <w:r>
        <w:rPr>
          <w:b/>
          <w:sz w:val="22"/>
        </w:rPr>
        <w:t>Ley</w:t>
      </w:r>
      <w:r>
        <w:rPr>
          <w:b/>
          <w:spacing w:val="-5"/>
          <w:sz w:val="22"/>
        </w:rPr>
        <w:t> </w:t>
      </w:r>
      <w:r>
        <w:rPr>
          <w:b/>
          <w:sz w:val="22"/>
        </w:rPr>
        <w:t>General</w:t>
      </w:r>
      <w:r>
        <w:rPr>
          <w:b/>
          <w:spacing w:val="-1"/>
          <w:sz w:val="22"/>
        </w:rPr>
        <w:t> </w:t>
      </w:r>
      <w:r>
        <w:rPr>
          <w:b/>
          <w:sz w:val="22"/>
        </w:rPr>
        <w:t>de</w:t>
      </w:r>
      <w:r>
        <w:rPr>
          <w:b/>
          <w:spacing w:val="-1"/>
          <w:sz w:val="22"/>
        </w:rPr>
        <w:t> </w:t>
      </w:r>
      <w:r>
        <w:rPr>
          <w:b/>
          <w:sz w:val="22"/>
        </w:rPr>
        <w:t>la</w:t>
      </w:r>
      <w:r>
        <w:rPr>
          <w:b/>
          <w:spacing w:val="-1"/>
          <w:sz w:val="22"/>
        </w:rPr>
        <w:t> </w:t>
      </w:r>
      <w:r>
        <w:rPr>
          <w:b/>
          <w:sz w:val="22"/>
        </w:rPr>
        <w:t>Administración</w:t>
      </w:r>
      <w:r>
        <w:rPr>
          <w:b/>
          <w:spacing w:val="-8"/>
          <w:sz w:val="22"/>
        </w:rPr>
        <w:t> </w:t>
      </w:r>
      <w:r>
        <w:rPr>
          <w:b/>
          <w:sz w:val="22"/>
        </w:rPr>
        <w:t>Pública, de 2 de mayo de 1978, para autorizar la celebración de sesiones virtuales a los órganos colegiados de la Administración Pública</w:t>
      </w:r>
      <w:r>
        <w:rPr>
          <w:sz w:val="22"/>
        </w:rPr>
        <w:t>. Reforma de Inciso a) artículo 50, inciso</w:t>
      </w:r>
      <w:r>
        <w:rPr>
          <w:spacing w:val="-16"/>
          <w:sz w:val="22"/>
        </w:rPr>
        <w:t> </w:t>
      </w:r>
      <w:r>
        <w:rPr>
          <w:sz w:val="22"/>
        </w:rPr>
        <w:t>5</w:t>
      </w:r>
      <w:r>
        <w:rPr>
          <w:spacing w:val="-14"/>
          <w:sz w:val="22"/>
        </w:rPr>
        <w:t> </w:t>
      </w:r>
      <w:r>
        <w:rPr>
          <w:sz w:val="22"/>
        </w:rPr>
        <w:t>articulo</w:t>
      </w:r>
      <w:r>
        <w:rPr>
          <w:spacing w:val="-14"/>
          <w:sz w:val="22"/>
        </w:rPr>
        <w:t> </w:t>
      </w:r>
      <w:r>
        <w:rPr>
          <w:sz w:val="22"/>
        </w:rPr>
        <w:t>52,</w:t>
      </w:r>
      <w:r>
        <w:rPr>
          <w:spacing w:val="-15"/>
          <w:sz w:val="22"/>
        </w:rPr>
        <w:t> </w:t>
      </w:r>
      <w:r>
        <w:rPr>
          <w:sz w:val="22"/>
        </w:rPr>
        <w:t>inciso</w:t>
      </w:r>
      <w:r>
        <w:rPr>
          <w:spacing w:val="-14"/>
          <w:sz w:val="22"/>
        </w:rPr>
        <w:t> </w:t>
      </w:r>
      <w:r>
        <w:rPr>
          <w:sz w:val="22"/>
        </w:rPr>
        <w:t>3)</w:t>
      </w:r>
      <w:r>
        <w:rPr>
          <w:spacing w:val="-16"/>
          <w:sz w:val="22"/>
        </w:rPr>
        <w:t> </w:t>
      </w:r>
      <w:r>
        <w:rPr>
          <w:sz w:val="22"/>
        </w:rPr>
        <w:t>artículo</w:t>
      </w:r>
      <w:r>
        <w:rPr>
          <w:spacing w:val="-13"/>
          <w:sz w:val="22"/>
        </w:rPr>
        <w:t> </w:t>
      </w:r>
      <w:r>
        <w:rPr>
          <w:sz w:val="22"/>
        </w:rPr>
        <w:t>53,</w:t>
      </w:r>
      <w:r>
        <w:rPr>
          <w:spacing w:val="-15"/>
          <w:sz w:val="22"/>
        </w:rPr>
        <w:t> </w:t>
      </w:r>
      <w:r>
        <w:rPr>
          <w:sz w:val="22"/>
        </w:rPr>
        <w:t>inciso</w:t>
      </w:r>
      <w:r>
        <w:rPr>
          <w:spacing w:val="-17"/>
          <w:sz w:val="22"/>
        </w:rPr>
        <w:t> </w:t>
      </w:r>
      <w:r>
        <w:rPr>
          <w:sz w:val="22"/>
        </w:rPr>
        <w:t>2)</w:t>
      </w:r>
      <w:r>
        <w:rPr>
          <w:spacing w:val="-16"/>
          <w:sz w:val="22"/>
        </w:rPr>
        <w:t> </w:t>
      </w:r>
      <w:r>
        <w:rPr>
          <w:sz w:val="22"/>
        </w:rPr>
        <w:t>artículo</w:t>
      </w:r>
      <w:r>
        <w:rPr>
          <w:spacing w:val="-13"/>
          <w:sz w:val="22"/>
        </w:rPr>
        <w:t> </w:t>
      </w:r>
      <w:r>
        <w:rPr>
          <w:sz w:val="22"/>
        </w:rPr>
        <w:t>56.</w:t>
      </w:r>
      <w:r>
        <w:rPr>
          <w:spacing w:val="-15"/>
          <w:sz w:val="22"/>
        </w:rPr>
        <w:t> </w:t>
      </w:r>
      <w:r>
        <w:rPr>
          <w:sz w:val="22"/>
        </w:rPr>
        <w:t>Fecha</w:t>
      </w:r>
      <w:r>
        <w:rPr>
          <w:spacing w:val="-14"/>
          <w:sz w:val="22"/>
        </w:rPr>
        <w:t> </w:t>
      </w:r>
      <w:r>
        <w:rPr>
          <w:sz w:val="22"/>
        </w:rPr>
        <w:t>de</w:t>
      </w:r>
      <w:r>
        <w:rPr>
          <w:spacing w:val="-14"/>
          <w:sz w:val="22"/>
        </w:rPr>
        <w:t> </w:t>
      </w:r>
      <w:r>
        <w:rPr>
          <w:sz w:val="22"/>
        </w:rPr>
        <w:t>vigencia</w:t>
      </w:r>
      <w:r>
        <w:rPr>
          <w:spacing w:val="-14"/>
          <w:sz w:val="22"/>
        </w:rPr>
        <w:t> </w:t>
      </w:r>
      <w:r>
        <w:rPr>
          <w:sz w:val="22"/>
        </w:rPr>
        <w:t>31/10/2023.</w:t>
      </w:r>
    </w:p>
    <w:p>
      <w:pPr>
        <w:pStyle w:val="BodyText"/>
        <w:spacing w:before="2"/>
      </w:pPr>
    </w:p>
    <w:p>
      <w:pPr>
        <w:pStyle w:val="BodyText"/>
        <w:ind w:left="979" w:right="1342"/>
        <w:jc w:val="both"/>
      </w:pPr>
      <w:r>
        <w:rPr>
          <w:b/>
        </w:rPr>
        <w:t>Ley</w:t>
      </w:r>
      <w:r>
        <w:rPr>
          <w:b/>
          <w:spacing w:val="-14"/>
        </w:rPr>
        <w:t> </w:t>
      </w:r>
      <w:r>
        <w:rPr>
          <w:b/>
        </w:rPr>
        <w:t>N°</w:t>
      </w:r>
      <w:r>
        <w:rPr>
          <w:b/>
          <w:spacing w:val="-13"/>
        </w:rPr>
        <w:t> </w:t>
      </w:r>
      <w:r>
        <w:rPr>
          <w:b/>
        </w:rPr>
        <w:t>10403</w:t>
      </w:r>
      <w:r>
        <w:rPr>
          <w:b/>
          <w:spacing w:val="-14"/>
        </w:rPr>
        <w:t> </w:t>
      </w:r>
      <w:r>
        <w:rPr>
          <w:b/>
        </w:rPr>
        <w:t>Ley</w:t>
      </w:r>
      <w:r>
        <w:rPr>
          <w:b/>
          <w:spacing w:val="-14"/>
        </w:rPr>
        <w:t> </w:t>
      </w:r>
      <w:r>
        <w:rPr>
          <w:b/>
        </w:rPr>
        <w:t>Hijos</w:t>
      </w:r>
      <w:r>
        <w:rPr>
          <w:b/>
          <w:spacing w:val="-10"/>
        </w:rPr>
        <w:t> </w:t>
      </w:r>
      <w:r>
        <w:rPr>
          <w:b/>
        </w:rPr>
        <w:t>e</w:t>
      </w:r>
      <w:r>
        <w:rPr>
          <w:b/>
          <w:spacing w:val="-10"/>
        </w:rPr>
        <w:t> </w:t>
      </w:r>
      <w:r>
        <w:rPr>
          <w:b/>
        </w:rPr>
        <w:t>Hijas</w:t>
      </w:r>
      <w:r>
        <w:rPr>
          <w:b/>
          <w:spacing w:val="-10"/>
        </w:rPr>
        <w:t> </w:t>
      </w:r>
      <w:r>
        <w:rPr>
          <w:b/>
        </w:rPr>
        <w:t>de</w:t>
      </w:r>
      <w:r>
        <w:rPr>
          <w:b/>
          <w:spacing w:val="-14"/>
        </w:rPr>
        <w:t> </w:t>
      </w:r>
      <w:r>
        <w:rPr>
          <w:b/>
        </w:rPr>
        <w:t>la</w:t>
      </w:r>
      <w:r>
        <w:rPr>
          <w:b/>
          <w:spacing w:val="-14"/>
        </w:rPr>
        <w:t> </w:t>
      </w:r>
      <w:r>
        <w:rPr>
          <w:b/>
        </w:rPr>
        <w:t>Patria</w:t>
      </w:r>
      <w:r>
        <w:rPr/>
        <w:t>.</w:t>
      </w:r>
      <w:r>
        <w:rPr>
          <w:spacing w:val="-11"/>
        </w:rPr>
        <w:t> </w:t>
      </w:r>
      <w:r>
        <w:rPr/>
        <w:t>Relacionado</w:t>
      </w:r>
      <w:r>
        <w:rPr>
          <w:spacing w:val="-14"/>
        </w:rPr>
        <w:t> </w:t>
      </w:r>
      <w:r>
        <w:rPr/>
        <w:t>a</w:t>
      </w:r>
      <w:r>
        <w:rPr>
          <w:spacing w:val="-10"/>
        </w:rPr>
        <w:t> </w:t>
      </w:r>
      <w:r>
        <w:rPr/>
        <w:t>la</w:t>
      </w:r>
      <w:r>
        <w:rPr>
          <w:spacing w:val="-10"/>
        </w:rPr>
        <w:t> </w:t>
      </w:r>
      <w:r>
        <w:rPr/>
        <w:t>asignación</w:t>
      </w:r>
      <w:r>
        <w:rPr>
          <w:spacing w:val="-10"/>
        </w:rPr>
        <w:t> </w:t>
      </w:r>
      <w:r>
        <w:rPr/>
        <w:t>de</w:t>
      </w:r>
      <w:r>
        <w:rPr>
          <w:spacing w:val="-10"/>
        </w:rPr>
        <w:t> </w:t>
      </w:r>
      <w:r>
        <w:rPr/>
        <w:t>un</w:t>
      </w:r>
      <w:r>
        <w:rPr>
          <w:spacing w:val="-10"/>
        </w:rPr>
        <w:t> </w:t>
      </w:r>
      <w:r>
        <w:rPr/>
        <w:t>porcentaje de recursos de FODESAF al programa Hijos e Hijas de la Patria, cuya ejecución estará a cargo</w:t>
      </w:r>
      <w:r>
        <w:rPr>
          <w:spacing w:val="-3"/>
        </w:rPr>
        <w:t> </w:t>
      </w:r>
      <w:r>
        <w:rPr/>
        <w:t>del</w:t>
      </w:r>
      <w:r>
        <w:rPr>
          <w:spacing w:val="-1"/>
        </w:rPr>
        <w:t> </w:t>
      </w:r>
      <w:r>
        <w:rPr/>
        <w:t>IMAS.</w:t>
      </w:r>
      <w:r>
        <w:rPr>
          <w:spacing w:val="80"/>
        </w:rPr>
        <w:t>  </w:t>
      </w:r>
      <w:r>
        <w:rPr/>
        <w:t>Ley de Desarrollo Social y Asignaciones Familiares y sus reformas, reforma inciso k, artículo 3</w:t>
      </w:r>
      <w:r>
        <w:rPr>
          <w:spacing w:val="80"/>
        </w:rPr>
        <w:t> </w:t>
      </w:r>
      <w:r>
        <w:rPr/>
        <w:t>Fecha de vigencia 14/05/2024.</w:t>
      </w:r>
    </w:p>
    <w:p>
      <w:pPr>
        <w:spacing w:line="240" w:lineRule="auto" w:before="251"/>
        <w:ind w:left="979" w:right="1344" w:firstLine="0"/>
        <w:jc w:val="both"/>
        <w:rPr>
          <w:sz w:val="22"/>
        </w:rPr>
      </w:pPr>
      <w:r>
        <w:rPr>
          <w:b/>
          <w:sz w:val="22"/>
        </w:rPr>
        <w:t>Ley</w:t>
      </w:r>
      <w:r>
        <w:rPr>
          <w:b/>
          <w:spacing w:val="-4"/>
          <w:sz w:val="22"/>
        </w:rPr>
        <w:t> </w:t>
      </w:r>
      <w:r>
        <w:rPr>
          <w:b/>
          <w:sz w:val="22"/>
        </w:rPr>
        <w:t>N°</w:t>
      </w:r>
      <w:r>
        <w:rPr>
          <w:b/>
          <w:spacing w:val="-3"/>
          <w:sz w:val="22"/>
        </w:rPr>
        <w:t> </w:t>
      </w:r>
      <w:r>
        <w:rPr>
          <w:b/>
          <w:sz w:val="22"/>
        </w:rPr>
        <w:t>10476 Ley de prevención, detección temprana y respuesta de la violencia contra</w:t>
      </w:r>
      <w:r>
        <w:rPr>
          <w:b/>
          <w:spacing w:val="-5"/>
          <w:sz w:val="22"/>
        </w:rPr>
        <w:t> </w:t>
      </w:r>
      <w:r>
        <w:rPr>
          <w:b/>
          <w:sz w:val="22"/>
        </w:rPr>
        <w:t>la</w:t>
      </w:r>
      <w:r>
        <w:rPr>
          <w:b/>
          <w:spacing w:val="-5"/>
          <w:sz w:val="22"/>
        </w:rPr>
        <w:t> </w:t>
      </w:r>
      <w:r>
        <w:rPr>
          <w:b/>
          <w:sz w:val="22"/>
        </w:rPr>
        <w:t>niñez</w:t>
      </w:r>
      <w:r>
        <w:rPr>
          <w:b/>
          <w:spacing w:val="-2"/>
          <w:sz w:val="22"/>
        </w:rPr>
        <w:t> </w:t>
      </w:r>
      <w:r>
        <w:rPr>
          <w:b/>
          <w:sz w:val="22"/>
        </w:rPr>
        <w:t>y</w:t>
      </w:r>
      <w:r>
        <w:rPr>
          <w:b/>
          <w:spacing w:val="-9"/>
          <w:sz w:val="22"/>
        </w:rPr>
        <w:t> </w:t>
      </w:r>
      <w:r>
        <w:rPr>
          <w:b/>
          <w:sz w:val="22"/>
        </w:rPr>
        <w:t>adolescencia:</w:t>
      </w:r>
      <w:r>
        <w:rPr>
          <w:b/>
          <w:spacing w:val="-4"/>
          <w:sz w:val="22"/>
        </w:rPr>
        <w:t> </w:t>
      </w:r>
      <w:r>
        <w:rPr>
          <w:sz w:val="22"/>
        </w:rPr>
        <w:t>Esta</w:t>
      </w:r>
      <w:r>
        <w:rPr>
          <w:spacing w:val="-1"/>
          <w:sz w:val="22"/>
        </w:rPr>
        <w:t> </w:t>
      </w:r>
      <w:r>
        <w:rPr>
          <w:sz w:val="22"/>
        </w:rPr>
        <w:t>ley</w:t>
      </w:r>
      <w:r>
        <w:rPr>
          <w:spacing w:val="-6"/>
          <w:sz w:val="22"/>
        </w:rPr>
        <w:t> </w:t>
      </w:r>
      <w:r>
        <w:rPr>
          <w:sz w:val="22"/>
        </w:rPr>
        <w:t>tiene</w:t>
      </w:r>
      <w:r>
        <w:rPr>
          <w:spacing w:val="-5"/>
          <w:sz w:val="22"/>
        </w:rPr>
        <w:t> </w:t>
      </w:r>
      <w:r>
        <w:rPr>
          <w:sz w:val="22"/>
        </w:rPr>
        <w:t>por</w:t>
      </w:r>
      <w:r>
        <w:rPr>
          <w:spacing w:val="-4"/>
          <w:sz w:val="22"/>
        </w:rPr>
        <w:t> </w:t>
      </w:r>
      <w:r>
        <w:rPr>
          <w:sz w:val="22"/>
        </w:rPr>
        <w:t>objeto</w:t>
      </w:r>
      <w:r>
        <w:rPr>
          <w:spacing w:val="-5"/>
          <w:sz w:val="22"/>
        </w:rPr>
        <w:t> </w:t>
      </w:r>
      <w:r>
        <w:rPr>
          <w:sz w:val="22"/>
        </w:rPr>
        <w:t>generar</w:t>
      </w:r>
      <w:r>
        <w:rPr>
          <w:spacing w:val="-8"/>
          <w:sz w:val="22"/>
        </w:rPr>
        <w:t> </w:t>
      </w:r>
      <w:r>
        <w:rPr>
          <w:sz w:val="22"/>
        </w:rPr>
        <w:t>acciones</w:t>
      </w:r>
      <w:r>
        <w:rPr>
          <w:spacing w:val="-6"/>
          <w:sz w:val="22"/>
        </w:rPr>
        <w:t> </w:t>
      </w:r>
      <w:r>
        <w:rPr>
          <w:sz w:val="22"/>
        </w:rPr>
        <w:t>de</w:t>
      </w:r>
      <w:r>
        <w:rPr>
          <w:spacing w:val="-5"/>
          <w:sz w:val="22"/>
        </w:rPr>
        <w:t> </w:t>
      </w:r>
      <w:r>
        <w:rPr>
          <w:sz w:val="22"/>
        </w:rPr>
        <w:t>prevención y detección temprana de todas las formas de violencia en contra de la niñez y la adolescencia.</w:t>
      </w:r>
      <w:r>
        <w:rPr>
          <w:spacing w:val="40"/>
          <w:sz w:val="22"/>
        </w:rPr>
        <w:t> </w:t>
      </w:r>
      <w:r>
        <w:rPr>
          <w:sz w:val="22"/>
        </w:rPr>
        <w:t>Fecha de vigencia11/06/2024.</w:t>
      </w:r>
    </w:p>
    <w:p>
      <w:pPr>
        <w:pStyle w:val="BodyText"/>
        <w:spacing w:before="3"/>
      </w:pPr>
    </w:p>
    <w:p>
      <w:pPr>
        <w:spacing w:line="240" w:lineRule="auto" w:before="0"/>
        <w:ind w:left="979" w:right="1343" w:firstLine="0"/>
        <w:jc w:val="both"/>
        <w:rPr>
          <w:sz w:val="22"/>
        </w:rPr>
      </w:pPr>
      <w:r>
        <w:rPr>
          <w:b/>
          <w:sz w:val="22"/>
        </w:rPr>
        <w:t>Ley</w:t>
      </w:r>
      <w:r>
        <w:rPr>
          <w:b/>
          <w:spacing w:val="-5"/>
          <w:sz w:val="22"/>
        </w:rPr>
        <w:t> </w:t>
      </w:r>
      <w:r>
        <w:rPr>
          <w:b/>
          <w:sz w:val="22"/>
        </w:rPr>
        <w:t>N°</w:t>
      </w:r>
      <w:r>
        <w:rPr>
          <w:b/>
          <w:spacing w:val="-4"/>
          <w:sz w:val="22"/>
        </w:rPr>
        <w:t> </w:t>
      </w:r>
      <w:r>
        <w:rPr>
          <w:b/>
          <w:sz w:val="22"/>
        </w:rPr>
        <w:t>10240</w:t>
      </w:r>
      <w:r>
        <w:rPr>
          <w:b/>
          <w:spacing w:val="-5"/>
          <w:sz w:val="22"/>
        </w:rPr>
        <w:t> </w:t>
      </w:r>
      <w:r>
        <w:rPr>
          <w:b/>
          <w:sz w:val="22"/>
        </w:rPr>
        <w:t>Ley</w:t>
      </w:r>
      <w:r>
        <w:rPr>
          <w:b/>
          <w:spacing w:val="-5"/>
          <w:sz w:val="22"/>
        </w:rPr>
        <w:t> </w:t>
      </w:r>
      <w:r>
        <w:rPr>
          <w:b/>
          <w:sz w:val="22"/>
        </w:rPr>
        <w:t>para</w:t>
      </w:r>
      <w:r>
        <w:rPr>
          <w:b/>
          <w:spacing w:val="-1"/>
          <w:sz w:val="22"/>
        </w:rPr>
        <w:t> </w:t>
      </w:r>
      <w:r>
        <w:rPr>
          <w:b/>
          <w:sz w:val="22"/>
        </w:rPr>
        <w:t>promover</w:t>
      </w:r>
      <w:r>
        <w:rPr>
          <w:b/>
          <w:spacing w:val="-7"/>
          <w:sz w:val="22"/>
        </w:rPr>
        <w:t> </w:t>
      </w:r>
      <w:r>
        <w:rPr>
          <w:b/>
          <w:sz w:val="22"/>
        </w:rPr>
        <w:t>la</w:t>
      </w:r>
      <w:r>
        <w:rPr>
          <w:b/>
          <w:spacing w:val="-5"/>
          <w:sz w:val="22"/>
        </w:rPr>
        <w:t> </w:t>
      </w:r>
      <w:r>
        <w:rPr>
          <w:b/>
          <w:sz w:val="22"/>
        </w:rPr>
        <w:t>transparencia</w:t>
      </w:r>
      <w:r>
        <w:rPr>
          <w:b/>
          <w:spacing w:val="-5"/>
          <w:sz w:val="22"/>
        </w:rPr>
        <w:t> </w:t>
      </w:r>
      <w:r>
        <w:rPr>
          <w:b/>
          <w:sz w:val="22"/>
        </w:rPr>
        <w:t>en</w:t>
      </w:r>
      <w:r>
        <w:rPr>
          <w:b/>
          <w:spacing w:val="-8"/>
          <w:sz w:val="22"/>
        </w:rPr>
        <w:t> </w:t>
      </w:r>
      <w:r>
        <w:rPr>
          <w:b/>
          <w:sz w:val="22"/>
        </w:rPr>
        <w:t>el</w:t>
      </w:r>
      <w:r>
        <w:rPr>
          <w:b/>
          <w:spacing w:val="-6"/>
          <w:sz w:val="22"/>
        </w:rPr>
        <w:t> </w:t>
      </w:r>
      <w:r>
        <w:rPr>
          <w:b/>
          <w:sz w:val="22"/>
        </w:rPr>
        <w:t>suministro</w:t>
      </w:r>
      <w:r>
        <w:rPr>
          <w:b/>
          <w:spacing w:val="-2"/>
          <w:sz w:val="22"/>
        </w:rPr>
        <w:t> </w:t>
      </w:r>
      <w:r>
        <w:rPr>
          <w:b/>
          <w:sz w:val="22"/>
        </w:rPr>
        <w:t>de</w:t>
      </w:r>
      <w:r>
        <w:rPr>
          <w:b/>
          <w:spacing w:val="-5"/>
          <w:sz w:val="22"/>
        </w:rPr>
        <w:t> </w:t>
      </w:r>
      <w:r>
        <w:rPr>
          <w:b/>
          <w:sz w:val="22"/>
        </w:rPr>
        <w:t>información</w:t>
      </w:r>
      <w:r>
        <w:rPr>
          <w:b/>
          <w:spacing w:val="-8"/>
          <w:sz w:val="22"/>
        </w:rPr>
        <w:t> </w:t>
      </w:r>
      <w:r>
        <w:rPr>
          <w:b/>
          <w:sz w:val="22"/>
        </w:rPr>
        <w:t>en el sector público: </w:t>
      </w:r>
      <w:r>
        <w:rPr>
          <w:sz w:val="22"/>
        </w:rPr>
        <w:t>La presente ley</w:t>
      </w:r>
      <w:r>
        <w:rPr>
          <w:spacing w:val="-2"/>
          <w:sz w:val="22"/>
        </w:rPr>
        <w:t> </w:t>
      </w:r>
      <w:r>
        <w:rPr>
          <w:sz w:val="22"/>
        </w:rPr>
        <w:t>tiene como objeto promover el</w:t>
      </w:r>
      <w:r>
        <w:rPr>
          <w:spacing w:val="-2"/>
          <w:sz w:val="22"/>
        </w:rPr>
        <w:t> </w:t>
      </w:r>
      <w:r>
        <w:rPr>
          <w:sz w:val="22"/>
        </w:rPr>
        <w:t>ejercicio del</w:t>
      </w:r>
      <w:r>
        <w:rPr>
          <w:spacing w:val="-2"/>
          <w:sz w:val="22"/>
        </w:rPr>
        <w:t> </w:t>
      </w:r>
      <w:r>
        <w:rPr>
          <w:sz w:val="22"/>
        </w:rPr>
        <w:t>derecho de acceso a la información pública, regular e impulsar la transparencia de la Administración Pública</w:t>
      </w:r>
      <w:r>
        <w:rPr>
          <w:spacing w:val="-5"/>
          <w:sz w:val="22"/>
        </w:rPr>
        <w:t> </w:t>
      </w:r>
      <w:r>
        <w:rPr>
          <w:sz w:val="22"/>
        </w:rPr>
        <w:t>en</w:t>
      </w:r>
      <w:r>
        <w:rPr>
          <w:spacing w:val="-5"/>
          <w:sz w:val="22"/>
        </w:rPr>
        <w:t> </w:t>
      </w:r>
      <w:r>
        <w:rPr>
          <w:sz w:val="22"/>
        </w:rPr>
        <w:t>el</w:t>
      </w:r>
      <w:r>
        <w:rPr>
          <w:spacing w:val="-8"/>
          <w:sz w:val="22"/>
        </w:rPr>
        <w:t> </w:t>
      </w:r>
      <w:r>
        <w:rPr>
          <w:sz w:val="22"/>
        </w:rPr>
        <w:t>suministro</w:t>
      </w:r>
      <w:r>
        <w:rPr>
          <w:spacing w:val="-10"/>
          <w:sz w:val="22"/>
        </w:rPr>
        <w:t> </w:t>
      </w:r>
      <w:r>
        <w:rPr>
          <w:sz w:val="22"/>
        </w:rPr>
        <w:t>de</w:t>
      </w:r>
      <w:r>
        <w:rPr>
          <w:spacing w:val="-5"/>
          <w:sz w:val="22"/>
        </w:rPr>
        <w:t> </w:t>
      </w:r>
      <w:r>
        <w:rPr>
          <w:sz w:val="22"/>
        </w:rPr>
        <w:t>información</w:t>
      </w:r>
      <w:r>
        <w:rPr>
          <w:spacing w:val="-10"/>
          <w:sz w:val="22"/>
        </w:rPr>
        <w:t> </w:t>
      </w:r>
      <w:r>
        <w:rPr>
          <w:sz w:val="22"/>
        </w:rPr>
        <w:t>de</w:t>
      </w:r>
      <w:r>
        <w:rPr>
          <w:spacing w:val="-5"/>
          <w:sz w:val="22"/>
        </w:rPr>
        <w:t> </w:t>
      </w:r>
      <w:r>
        <w:rPr>
          <w:sz w:val="22"/>
        </w:rPr>
        <w:t>carácter</w:t>
      </w:r>
      <w:r>
        <w:rPr>
          <w:spacing w:val="-9"/>
          <w:sz w:val="22"/>
        </w:rPr>
        <w:t> </w:t>
      </w:r>
      <w:r>
        <w:rPr>
          <w:sz w:val="22"/>
        </w:rPr>
        <w:t>público.</w:t>
      </w:r>
      <w:r>
        <w:rPr>
          <w:spacing w:val="-6"/>
          <w:sz w:val="22"/>
        </w:rPr>
        <w:t> </w:t>
      </w:r>
      <w:r>
        <w:rPr>
          <w:sz w:val="22"/>
        </w:rPr>
        <w:t>Fecha</w:t>
      </w:r>
      <w:r>
        <w:rPr>
          <w:spacing w:val="-10"/>
          <w:sz w:val="22"/>
        </w:rPr>
        <w:t> </w:t>
      </w:r>
      <w:r>
        <w:rPr>
          <w:sz w:val="22"/>
        </w:rPr>
        <w:t>de</w:t>
      </w:r>
      <w:r>
        <w:rPr>
          <w:spacing w:val="-5"/>
          <w:sz w:val="22"/>
        </w:rPr>
        <w:t> </w:t>
      </w:r>
      <w:r>
        <w:rPr>
          <w:sz w:val="22"/>
        </w:rPr>
        <w:t>vigencia</w:t>
      </w:r>
      <w:r>
        <w:rPr>
          <w:spacing w:val="-10"/>
          <w:sz w:val="22"/>
        </w:rPr>
        <w:t> </w:t>
      </w:r>
      <w:r>
        <w:rPr>
          <w:sz w:val="22"/>
        </w:rPr>
        <w:t>11/07/2024.</w:t>
      </w:r>
    </w:p>
    <w:p>
      <w:pPr>
        <w:spacing w:line="240" w:lineRule="auto" w:before="251"/>
        <w:ind w:left="979" w:right="1346" w:firstLine="0"/>
        <w:jc w:val="both"/>
        <w:rPr>
          <w:sz w:val="22"/>
        </w:rPr>
      </w:pPr>
      <w:r>
        <w:rPr>
          <w:b/>
          <w:sz w:val="22"/>
        </w:rPr>
        <w:t>Ley</w:t>
      </w:r>
      <w:r>
        <w:rPr>
          <w:b/>
          <w:spacing w:val="-16"/>
          <w:sz w:val="22"/>
        </w:rPr>
        <w:t> </w:t>
      </w:r>
      <w:r>
        <w:rPr>
          <w:b/>
          <w:sz w:val="22"/>
        </w:rPr>
        <w:t>n°10627</w:t>
      </w:r>
      <w:r>
        <w:rPr>
          <w:b/>
          <w:spacing w:val="-15"/>
          <w:sz w:val="22"/>
        </w:rPr>
        <w:t> </w:t>
      </w:r>
      <w:r>
        <w:rPr>
          <w:b/>
          <w:sz w:val="22"/>
        </w:rPr>
        <w:t>ley</w:t>
      </w:r>
      <w:r>
        <w:rPr>
          <w:b/>
          <w:spacing w:val="-15"/>
          <w:sz w:val="22"/>
        </w:rPr>
        <w:t> </w:t>
      </w:r>
      <w:r>
        <w:rPr>
          <w:b/>
          <w:sz w:val="22"/>
        </w:rPr>
        <w:t>marco</w:t>
      </w:r>
      <w:r>
        <w:rPr>
          <w:b/>
          <w:spacing w:val="-16"/>
          <w:sz w:val="22"/>
        </w:rPr>
        <w:t> </w:t>
      </w:r>
      <w:r>
        <w:rPr>
          <w:b/>
          <w:sz w:val="22"/>
        </w:rPr>
        <w:t>para</w:t>
      </w:r>
      <w:r>
        <w:rPr>
          <w:b/>
          <w:spacing w:val="-15"/>
          <w:sz w:val="22"/>
        </w:rPr>
        <w:t> </w:t>
      </w:r>
      <w:r>
        <w:rPr>
          <w:b/>
          <w:sz w:val="22"/>
        </w:rPr>
        <w:t>la</w:t>
      </w:r>
      <w:r>
        <w:rPr>
          <w:b/>
          <w:spacing w:val="-15"/>
          <w:sz w:val="22"/>
        </w:rPr>
        <w:t> </w:t>
      </w:r>
      <w:r>
        <w:rPr>
          <w:b/>
          <w:sz w:val="22"/>
        </w:rPr>
        <w:t>promoción</w:t>
      </w:r>
      <w:r>
        <w:rPr>
          <w:b/>
          <w:spacing w:val="-15"/>
          <w:sz w:val="22"/>
        </w:rPr>
        <w:t> </w:t>
      </w:r>
      <w:r>
        <w:rPr>
          <w:b/>
          <w:sz w:val="22"/>
        </w:rPr>
        <w:t>de</w:t>
      </w:r>
      <w:r>
        <w:rPr>
          <w:b/>
          <w:spacing w:val="-16"/>
          <w:sz w:val="22"/>
        </w:rPr>
        <w:t> </w:t>
      </w:r>
      <w:r>
        <w:rPr>
          <w:b/>
          <w:sz w:val="22"/>
        </w:rPr>
        <w:t>la</w:t>
      </w:r>
      <w:r>
        <w:rPr>
          <w:b/>
          <w:spacing w:val="-15"/>
          <w:sz w:val="22"/>
        </w:rPr>
        <w:t> </w:t>
      </w:r>
      <w:r>
        <w:rPr>
          <w:b/>
          <w:sz w:val="22"/>
        </w:rPr>
        <w:t>educación</w:t>
      </w:r>
      <w:r>
        <w:rPr>
          <w:b/>
          <w:spacing w:val="-15"/>
          <w:sz w:val="22"/>
        </w:rPr>
        <w:t> </w:t>
      </w:r>
      <w:r>
        <w:rPr>
          <w:b/>
          <w:sz w:val="22"/>
        </w:rPr>
        <w:t>financiera</w:t>
      </w:r>
      <w:r>
        <w:rPr>
          <w:b/>
          <w:spacing w:val="-16"/>
          <w:sz w:val="22"/>
        </w:rPr>
        <w:t> </w:t>
      </w:r>
      <w:r>
        <w:rPr>
          <w:b/>
          <w:sz w:val="22"/>
        </w:rPr>
        <w:t>de</w:t>
      </w:r>
      <w:r>
        <w:rPr>
          <w:b/>
          <w:spacing w:val="-15"/>
          <w:sz w:val="22"/>
        </w:rPr>
        <w:t> </w:t>
      </w:r>
      <w:r>
        <w:rPr>
          <w:b/>
          <w:sz w:val="22"/>
        </w:rPr>
        <w:t>los</w:t>
      </w:r>
      <w:r>
        <w:rPr>
          <w:b/>
          <w:spacing w:val="-15"/>
          <w:sz w:val="22"/>
        </w:rPr>
        <w:t> </w:t>
      </w:r>
      <w:r>
        <w:rPr>
          <w:b/>
          <w:sz w:val="22"/>
        </w:rPr>
        <w:t>habitantes de la república: </w:t>
      </w:r>
      <w:r>
        <w:rPr>
          <w:sz w:val="22"/>
        </w:rPr>
        <w:t>Establecer un marco normativo que impulse la educación financiera integral</w:t>
      </w:r>
      <w:r>
        <w:rPr>
          <w:spacing w:val="-2"/>
          <w:sz w:val="22"/>
        </w:rPr>
        <w:t> </w:t>
      </w:r>
      <w:r>
        <w:rPr>
          <w:sz w:val="22"/>
        </w:rPr>
        <w:t>de los</w:t>
      </w:r>
      <w:r>
        <w:rPr>
          <w:spacing w:val="-1"/>
          <w:sz w:val="22"/>
        </w:rPr>
        <w:t> </w:t>
      </w:r>
      <w:r>
        <w:rPr>
          <w:sz w:val="22"/>
        </w:rPr>
        <w:t>habitantes</w:t>
      </w:r>
      <w:r>
        <w:rPr>
          <w:spacing w:val="-1"/>
          <w:sz w:val="22"/>
        </w:rPr>
        <w:t> </w:t>
      </w:r>
      <w:r>
        <w:rPr>
          <w:sz w:val="22"/>
        </w:rPr>
        <w:t>de la República a lo largo de su ciclo de vida. Fecha de vigencia </w:t>
      </w:r>
      <w:r>
        <w:rPr>
          <w:spacing w:val="-2"/>
          <w:sz w:val="22"/>
        </w:rPr>
        <w:t>18/02/2025.</w:t>
      </w:r>
    </w:p>
    <w:p>
      <w:pPr>
        <w:pStyle w:val="BodyText"/>
        <w:spacing w:before="2"/>
      </w:pPr>
    </w:p>
    <w:p>
      <w:pPr>
        <w:spacing w:line="240" w:lineRule="auto" w:before="0"/>
        <w:ind w:left="979" w:right="1346" w:firstLine="0"/>
        <w:jc w:val="both"/>
        <w:rPr>
          <w:sz w:val="22"/>
        </w:rPr>
      </w:pPr>
      <w:r>
        <w:rPr>
          <w:b/>
          <w:sz w:val="22"/>
        </w:rPr>
        <w:t>Ley n°10705 ley para la dinamización de la atención de la población vulnerable en costa rica: </w:t>
      </w:r>
      <w:r>
        <w:rPr>
          <w:sz w:val="22"/>
        </w:rPr>
        <w:t>ARTÍCULO 1- Refórmense los artículos 2, 3, inciso f), y</w:t>
      </w:r>
      <w:r>
        <w:rPr>
          <w:spacing w:val="-1"/>
          <w:sz w:val="22"/>
        </w:rPr>
        <w:t> </w:t>
      </w:r>
      <w:r>
        <w:rPr>
          <w:sz w:val="22"/>
        </w:rPr>
        <w:t>5 de la Ley 5662, Ley de Desarrollo Social y Asignaciones Familiares, de 23 de diciembre de 1974. Fecha de vigencia 06/05/2025.</w:t>
      </w:r>
    </w:p>
    <w:p>
      <w:pPr>
        <w:pStyle w:val="BodyText"/>
        <w:spacing w:before="251"/>
        <w:ind w:left="979" w:right="1340"/>
        <w:jc w:val="both"/>
      </w:pPr>
      <w:r>
        <w:rPr>
          <w:b/>
        </w:rPr>
        <w:t>Ley</w:t>
      </w:r>
      <w:r>
        <w:rPr>
          <w:b/>
          <w:spacing w:val="-15"/>
        </w:rPr>
        <w:t> </w:t>
      </w:r>
      <w:r>
        <w:rPr>
          <w:b/>
        </w:rPr>
        <w:t>n°10698</w:t>
      </w:r>
      <w:r>
        <w:rPr>
          <w:b/>
          <w:spacing w:val="-12"/>
        </w:rPr>
        <w:t> </w:t>
      </w:r>
      <w:r>
        <w:rPr>
          <w:b/>
        </w:rPr>
        <w:t>adición</w:t>
      </w:r>
      <w:r>
        <w:rPr>
          <w:b/>
          <w:spacing w:val="-12"/>
        </w:rPr>
        <w:t> </w:t>
      </w:r>
      <w:r>
        <w:rPr>
          <w:b/>
        </w:rPr>
        <w:t>del</w:t>
      </w:r>
      <w:r>
        <w:rPr>
          <w:b/>
          <w:spacing w:val="-15"/>
        </w:rPr>
        <w:t> </w:t>
      </w:r>
      <w:r>
        <w:rPr>
          <w:b/>
        </w:rPr>
        <w:t>artículo</w:t>
      </w:r>
      <w:r>
        <w:rPr>
          <w:b/>
          <w:spacing w:val="-16"/>
        </w:rPr>
        <w:t> </w:t>
      </w:r>
      <w:r>
        <w:rPr>
          <w:b/>
        </w:rPr>
        <w:t>26</w:t>
      </w:r>
      <w:r>
        <w:rPr>
          <w:b/>
          <w:spacing w:val="-13"/>
        </w:rPr>
        <w:t> </w:t>
      </w:r>
      <w:r>
        <w:rPr>
          <w:b/>
        </w:rPr>
        <w:t>bis</w:t>
      </w:r>
      <w:r>
        <w:rPr>
          <w:b/>
          <w:spacing w:val="-14"/>
        </w:rPr>
        <w:t> </w:t>
      </w:r>
      <w:r>
        <w:rPr>
          <w:b/>
        </w:rPr>
        <w:t>a</w:t>
      </w:r>
      <w:r>
        <w:rPr>
          <w:b/>
          <w:spacing w:val="-9"/>
        </w:rPr>
        <w:t> </w:t>
      </w:r>
      <w:r>
        <w:rPr>
          <w:b/>
        </w:rPr>
        <w:t>la</w:t>
      </w:r>
      <w:r>
        <w:rPr>
          <w:b/>
          <w:spacing w:val="-9"/>
        </w:rPr>
        <w:t> </w:t>
      </w:r>
      <w:r>
        <w:rPr>
          <w:b/>
        </w:rPr>
        <w:t>ley</w:t>
      </w:r>
      <w:r>
        <w:rPr>
          <w:b/>
          <w:spacing w:val="-14"/>
        </w:rPr>
        <w:t> </w:t>
      </w:r>
      <w:r>
        <w:rPr>
          <w:b/>
        </w:rPr>
        <w:t>218,</w:t>
      </w:r>
      <w:r>
        <w:rPr>
          <w:b/>
          <w:spacing w:val="-9"/>
        </w:rPr>
        <w:t> </w:t>
      </w:r>
      <w:r>
        <w:rPr/>
        <w:t>Ley</w:t>
      </w:r>
      <w:r>
        <w:rPr>
          <w:spacing w:val="-16"/>
        </w:rPr>
        <w:t> </w:t>
      </w:r>
      <w:r>
        <w:rPr/>
        <w:t>de</w:t>
      </w:r>
      <w:r>
        <w:rPr>
          <w:spacing w:val="-13"/>
        </w:rPr>
        <w:t> </w:t>
      </w:r>
      <w:r>
        <w:rPr/>
        <w:t>Asociaciones,</w:t>
      </w:r>
      <w:r>
        <w:rPr>
          <w:spacing w:val="-15"/>
        </w:rPr>
        <w:t> </w:t>
      </w:r>
      <w:r>
        <w:rPr/>
        <w:t>del</w:t>
      </w:r>
      <w:r>
        <w:rPr>
          <w:spacing w:val="-16"/>
        </w:rPr>
        <w:t> </w:t>
      </w:r>
      <w:r>
        <w:rPr/>
        <w:t>8</w:t>
      </w:r>
      <w:r>
        <w:rPr>
          <w:spacing w:val="-13"/>
        </w:rPr>
        <w:t> </w:t>
      </w:r>
      <w:r>
        <w:rPr/>
        <w:t>de</w:t>
      </w:r>
      <w:r>
        <w:rPr>
          <w:spacing w:val="-14"/>
        </w:rPr>
        <w:t> </w:t>
      </w:r>
      <w:r>
        <w:rPr/>
        <w:t>agosto de 1939, para autorizar a la administración pública las donaciones para las asociaciones administradoras</w:t>
      </w:r>
      <w:r>
        <w:rPr>
          <w:spacing w:val="-16"/>
        </w:rPr>
        <w:t> </w:t>
      </w:r>
      <w:r>
        <w:rPr/>
        <w:t>de</w:t>
      </w:r>
      <w:r>
        <w:rPr>
          <w:spacing w:val="-15"/>
        </w:rPr>
        <w:t> </w:t>
      </w:r>
      <w:r>
        <w:rPr/>
        <w:t>sistemas</w:t>
      </w:r>
      <w:r>
        <w:rPr>
          <w:spacing w:val="-15"/>
        </w:rPr>
        <w:t> </w:t>
      </w:r>
      <w:r>
        <w:rPr/>
        <w:t>de</w:t>
      </w:r>
      <w:r>
        <w:rPr>
          <w:spacing w:val="-16"/>
        </w:rPr>
        <w:t> </w:t>
      </w:r>
      <w:r>
        <w:rPr/>
        <w:t>acueductos</w:t>
      </w:r>
      <w:r>
        <w:rPr>
          <w:spacing w:val="-15"/>
        </w:rPr>
        <w:t> </w:t>
      </w:r>
      <w:r>
        <w:rPr/>
        <w:t>y</w:t>
      </w:r>
      <w:r>
        <w:rPr>
          <w:spacing w:val="-15"/>
        </w:rPr>
        <w:t> </w:t>
      </w:r>
      <w:r>
        <w:rPr/>
        <w:t>alcantarillados</w:t>
      </w:r>
      <w:r>
        <w:rPr>
          <w:spacing w:val="-15"/>
        </w:rPr>
        <w:t> </w:t>
      </w:r>
      <w:r>
        <w:rPr/>
        <w:t>comunales.</w:t>
      </w:r>
      <w:r>
        <w:rPr>
          <w:spacing w:val="-16"/>
        </w:rPr>
        <w:t> </w:t>
      </w:r>
      <w:r>
        <w:rPr/>
        <w:t>Fecha</w:t>
      </w:r>
      <w:r>
        <w:rPr>
          <w:spacing w:val="-15"/>
        </w:rPr>
        <w:t> </w:t>
      </w:r>
      <w:r>
        <w:rPr/>
        <w:t>de</w:t>
      </w:r>
      <w:r>
        <w:rPr>
          <w:spacing w:val="-15"/>
        </w:rPr>
        <w:t> </w:t>
      </w:r>
      <w:r>
        <w:rPr/>
        <w:t>vigencia </w:t>
      </w:r>
      <w:r>
        <w:rPr>
          <w:spacing w:val="-2"/>
        </w:rPr>
        <w:t>06/05/2025.</w:t>
      </w:r>
    </w:p>
    <w:p>
      <w:pPr>
        <w:pStyle w:val="BodyText"/>
        <w:spacing w:before="5"/>
      </w:pPr>
    </w:p>
    <w:p>
      <w:pPr>
        <w:spacing w:line="237" w:lineRule="auto" w:before="0"/>
        <w:ind w:left="979" w:right="1347" w:firstLine="0"/>
        <w:jc w:val="both"/>
        <w:rPr>
          <w:sz w:val="22"/>
        </w:rPr>
      </w:pPr>
      <w:r>
        <w:rPr>
          <w:b/>
          <w:sz w:val="22"/>
        </w:rPr>
        <w:t>Ley n°10719 reforma de</w:t>
      </w:r>
      <w:r>
        <w:rPr>
          <w:b/>
          <w:spacing w:val="-2"/>
          <w:sz w:val="22"/>
        </w:rPr>
        <w:t> </w:t>
      </w:r>
      <w:r>
        <w:rPr>
          <w:b/>
          <w:sz w:val="22"/>
        </w:rPr>
        <w:t>varias leyes para fortalecer las organizaciones de bienestar social, en beneficio de la persona adulta mayor. </w:t>
      </w:r>
      <w:r>
        <w:rPr>
          <w:sz w:val="22"/>
        </w:rPr>
        <w:t>fecha de vigencia 13/05/2025.</w:t>
      </w:r>
    </w:p>
    <w:p>
      <w:pPr>
        <w:pStyle w:val="BodyText"/>
        <w:spacing w:before="252"/>
      </w:pPr>
    </w:p>
    <w:p>
      <w:pPr>
        <w:pStyle w:val="Heading2"/>
      </w:pPr>
      <w:r>
        <w:rPr>
          <w:spacing w:val="-2"/>
        </w:rPr>
        <w:t>DECRETOS</w:t>
      </w:r>
    </w:p>
    <w:p>
      <w:pPr>
        <w:pStyle w:val="BodyText"/>
        <w:spacing w:before="3"/>
        <w:rPr>
          <w:b/>
        </w:rPr>
      </w:pPr>
    </w:p>
    <w:p>
      <w:pPr>
        <w:spacing w:line="240" w:lineRule="auto" w:before="1"/>
        <w:ind w:left="979" w:right="1339" w:firstLine="0"/>
        <w:jc w:val="both"/>
        <w:rPr>
          <w:sz w:val="22"/>
        </w:rPr>
      </w:pPr>
      <w:r>
        <w:rPr>
          <w:b/>
          <w:sz w:val="22"/>
        </w:rPr>
        <w:t>Decreto N° 21391-TSS-MEP-S Creación del Programa Microempresas Atención Infantil Hogares Comunitarios</w:t>
      </w:r>
      <w:r>
        <w:rPr>
          <w:sz w:val="22"/>
        </w:rPr>
        <w:t>. Crea el Programa de Microempresas para la Atención Infantil: Hogares Comunitarios, cuya ejecución estará a cargo del Instituto Mixto de Ayuda Social con la participación de los sectores público y privado y con sujeción a las políticas de Bienestar Social del Gobierno de la República, IMAS como encargado de la ejecución del programa. Fecha de vigencia 05/08/1992.</w:t>
      </w:r>
    </w:p>
    <w:p>
      <w:pPr>
        <w:spacing w:after="0" w:line="240" w:lineRule="auto"/>
        <w:jc w:val="both"/>
        <w:rPr>
          <w:sz w:val="22"/>
        </w:rPr>
        <w:sectPr>
          <w:pgSz w:w="12240" w:h="15840"/>
          <w:pgMar w:header="0" w:footer="1021" w:top="1340" w:bottom="1220" w:left="720" w:right="360"/>
        </w:sectPr>
      </w:pPr>
    </w:p>
    <w:p>
      <w:pPr>
        <w:spacing w:line="240" w:lineRule="auto" w:before="76"/>
        <w:ind w:left="979" w:right="1346" w:firstLine="0"/>
        <w:jc w:val="both"/>
        <w:rPr>
          <w:sz w:val="22"/>
        </w:rPr>
      </w:pPr>
      <w:r>
        <w:rPr>
          <w:b/>
          <w:sz w:val="22"/>
        </w:rPr>
        <w:t>Decreto N°23669-H Normas para la Aplicación de la Dedicación Exclusiva para Instituciones y Empresas Públicas Cubiertas por el Ámbito de la Autoridad Presupuestaria. </w:t>
      </w:r>
      <w:r>
        <w:rPr>
          <w:sz w:val="22"/>
        </w:rPr>
        <w:t>Establece requisitos para devengar rubros por concepto de dedicación exclusiva, Atañe a toda la Administración Pública. Fecha de vigencia 31/01/1994.</w:t>
      </w:r>
    </w:p>
    <w:p>
      <w:pPr>
        <w:spacing w:line="240" w:lineRule="auto" w:before="251"/>
        <w:ind w:left="979" w:right="1343" w:firstLine="0"/>
        <w:jc w:val="both"/>
        <w:rPr>
          <w:sz w:val="22"/>
        </w:rPr>
      </w:pPr>
      <w:r>
        <w:rPr>
          <w:b/>
          <w:sz w:val="22"/>
        </w:rPr>
        <w:t>Decreto N° 26831-MP-MEP. Reglamento Ley de Igualdad de Oportunidades para Personas con Discapacidad. </w:t>
      </w:r>
      <w:r>
        <w:rPr>
          <w:sz w:val="22"/>
        </w:rPr>
        <w:t>Establece normas y procedimientos de obligatoria observancia para todas las instituciones públicas, privadas y gobiernos locales, quienes serán responsables de garantizar a las personas con discapacidad el ejercicio de sus derechos y deberes en igualdad de oportunidades. Fecha de vigencia 20/04/1998.</w:t>
      </w:r>
    </w:p>
    <w:p>
      <w:pPr>
        <w:pStyle w:val="BodyText"/>
        <w:spacing w:before="4"/>
      </w:pPr>
    </w:p>
    <w:p>
      <w:pPr>
        <w:spacing w:line="251" w:lineRule="exact" w:before="0"/>
        <w:ind w:left="979" w:right="0" w:firstLine="0"/>
        <w:jc w:val="both"/>
        <w:rPr>
          <w:b/>
          <w:sz w:val="22"/>
        </w:rPr>
      </w:pPr>
      <w:r>
        <w:rPr>
          <w:b/>
          <w:sz w:val="22"/>
        </w:rPr>
        <w:t>Decreto</w:t>
      </w:r>
      <w:r>
        <w:rPr>
          <w:b/>
          <w:spacing w:val="46"/>
          <w:sz w:val="22"/>
        </w:rPr>
        <w:t> </w:t>
      </w:r>
      <w:r>
        <w:rPr>
          <w:b/>
          <w:sz w:val="22"/>
        </w:rPr>
        <w:t>N°28593-MTSS.</w:t>
      </w:r>
      <w:r>
        <w:rPr>
          <w:b/>
          <w:spacing w:val="49"/>
          <w:sz w:val="22"/>
        </w:rPr>
        <w:t> </w:t>
      </w:r>
      <w:r>
        <w:rPr>
          <w:b/>
          <w:sz w:val="22"/>
        </w:rPr>
        <w:t>Modifica</w:t>
      </w:r>
      <w:r>
        <w:rPr>
          <w:b/>
          <w:spacing w:val="45"/>
          <w:sz w:val="22"/>
        </w:rPr>
        <w:t> </w:t>
      </w:r>
      <w:r>
        <w:rPr>
          <w:b/>
          <w:sz w:val="22"/>
        </w:rPr>
        <w:t>el</w:t>
      </w:r>
      <w:r>
        <w:rPr>
          <w:b/>
          <w:spacing w:val="50"/>
          <w:sz w:val="22"/>
        </w:rPr>
        <w:t> </w:t>
      </w:r>
      <w:r>
        <w:rPr>
          <w:b/>
          <w:sz w:val="22"/>
        </w:rPr>
        <w:t>Reglamento</w:t>
      </w:r>
      <w:r>
        <w:rPr>
          <w:b/>
          <w:spacing w:val="48"/>
          <w:sz w:val="22"/>
        </w:rPr>
        <w:t> </w:t>
      </w:r>
      <w:r>
        <w:rPr>
          <w:b/>
          <w:sz w:val="22"/>
        </w:rPr>
        <w:t>a</w:t>
      </w:r>
      <w:r>
        <w:rPr>
          <w:b/>
          <w:spacing w:val="50"/>
          <w:sz w:val="22"/>
        </w:rPr>
        <w:t> </w:t>
      </w:r>
      <w:r>
        <w:rPr>
          <w:b/>
          <w:sz w:val="22"/>
        </w:rPr>
        <w:t>la</w:t>
      </w:r>
      <w:r>
        <w:rPr>
          <w:b/>
          <w:spacing w:val="50"/>
          <w:sz w:val="22"/>
        </w:rPr>
        <w:t> </w:t>
      </w:r>
      <w:r>
        <w:rPr>
          <w:b/>
          <w:sz w:val="22"/>
        </w:rPr>
        <w:t>Ley</w:t>
      </w:r>
      <w:r>
        <w:rPr>
          <w:b/>
          <w:spacing w:val="46"/>
          <w:sz w:val="22"/>
        </w:rPr>
        <w:t> </w:t>
      </w:r>
      <w:r>
        <w:rPr>
          <w:b/>
          <w:sz w:val="22"/>
        </w:rPr>
        <w:t>de</w:t>
      </w:r>
      <w:r>
        <w:rPr>
          <w:b/>
          <w:spacing w:val="50"/>
          <w:sz w:val="22"/>
        </w:rPr>
        <w:t> </w:t>
      </w:r>
      <w:r>
        <w:rPr>
          <w:b/>
          <w:sz w:val="22"/>
        </w:rPr>
        <w:t>Creación</w:t>
      </w:r>
      <w:r>
        <w:rPr>
          <w:b/>
          <w:spacing w:val="47"/>
          <w:sz w:val="22"/>
        </w:rPr>
        <w:t> </w:t>
      </w:r>
      <w:r>
        <w:rPr>
          <w:b/>
          <w:sz w:val="22"/>
        </w:rPr>
        <w:t>del</w:t>
      </w:r>
      <w:r>
        <w:rPr>
          <w:b/>
          <w:spacing w:val="45"/>
          <w:sz w:val="22"/>
        </w:rPr>
        <w:t> </w:t>
      </w:r>
      <w:r>
        <w:rPr>
          <w:b/>
          <w:spacing w:val="-2"/>
          <w:sz w:val="22"/>
        </w:rPr>
        <w:t>IMAS.</w:t>
      </w:r>
    </w:p>
    <w:p>
      <w:pPr>
        <w:pStyle w:val="BodyText"/>
        <w:spacing w:line="251" w:lineRule="exact"/>
        <w:ind w:left="979"/>
        <w:jc w:val="both"/>
      </w:pPr>
      <w:r>
        <w:rPr/>
        <w:t>Incorpora</w:t>
      </w:r>
      <w:r>
        <w:rPr>
          <w:spacing w:val="-10"/>
        </w:rPr>
        <w:t> </w:t>
      </w:r>
      <w:r>
        <w:rPr/>
        <w:t>cargo</w:t>
      </w:r>
      <w:r>
        <w:rPr>
          <w:spacing w:val="-8"/>
        </w:rPr>
        <w:t> </w:t>
      </w:r>
      <w:r>
        <w:rPr/>
        <w:t>de</w:t>
      </w:r>
      <w:r>
        <w:rPr>
          <w:spacing w:val="-7"/>
        </w:rPr>
        <w:t> </w:t>
      </w:r>
      <w:r>
        <w:rPr/>
        <w:t>Gerente</w:t>
      </w:r>
      <w:r>
        <w:rPr>
          <w:spacing w:val="-8"/>
        </w:rPr>
        <w:t> </w:t>
      </w:r>
      <w:r>
        <w:rPr/>
        <w:t>General.</w:t>
      </w:r>
      <w:r>
        <w:rPr>
          <w:spacing w:val="-4"/>
        </w:rPr>
        <w:t> </w:t>
      </w:r>
      <w:r>
        <w:rPr/>
        <w:t>Fecha</w:t>
      </w:r>
      <w:r>
        <w:rPr>
          <w:spacing w:val="-7"/>
        </w:rPr>
        <w:t> </w:t>
      </w:r>
      <w:r>
        <w:rPr/>
        <w:t>de</w:t>
      </w:r>
      <w:r>
        <w:rPr>
          <w:spacing w:val="-4"/>
        </w:rPr>
        <w:t> </w:t>
      </w:r>
      <w:r>
        <w:rPr/>
        <w:t>vigencia</w:t>
      </w:r>
      <w:r>
        <w:rPr>
          <w:spacing w:val="-7"/>
        </w:rPr>
        <w:t> </w:t>
      </w:r>
      <w:r>
        <w:rPr>
          <w:spacing w:val="-2"/>
        </w:rPr>
        <w:t>02/05/2000.</w:t>
      </w:r>
    </w:p>
    <w:p>
      <w:pPr>
        <w:pStyle w:val="BodyText"/>
        <w:spacing w:before="3"/>
      </w:pPr>
    </w:p>
    <w:p>
      <w:pPr>
        <w:spacing w:line="240" w:lineRule="auto" w:before="0"/>
        <w:ind w:left="979" w:right="1343" w:firstLine="0"/>
        <w:jc w:val="both"/>
        <w:rPr>
          <w:sz w:val="22"/>
        </w:rPr>
      </w:pPr>
      <w:r>
        <w:rPr>
          <w:b/>
          <w:sz w:val="22"/>
        </w:rPr>
        <w:t>Decreto N°28807-MTSS. Modifica el Reglamento a la Ley de Creación del IMAS. </w:t>
      </w:r>
      <w:r>
        <w:rPr>
          <w:sz w:val="22"/>
        </w:rPr>
        <w:t>Establece que la persona que ocupe el cargo de Gerente General es competente para designar los Órganos</w:t>
      </w:r>
      <w:r>
        <w:rPr>
          <w:spacing w:val="-2"/>
          <w:sz w:val="22"/>
        </w:rPr>
        <w:t> </w:t>
      </w:r>
      <w:r>
        <w:rPr>
          <w:sz w:val="22"/>
        </w:rPr>
        <w:t>directores de procedimiento</w:t>
      </w:r>
      <w:r>
        <w:rPr>
          <w:spacing w:val="-1"/>
          <w:sz w:val="22"/>
        </w:rPr>
        <w:t> </w:t>
      </w:r>
      <w:r>
        <w:rPr>
          <w:sz w:val="22"/>
        </w:rPr>
        <w:t>y agotar la vía administrativa. Fecha de vigencia 30/08/2000.</w:t>
      </w:r>
    </w:p>
    <w:p>
      <w:pPr>
        <w:spacing w:line="240" w:lineRule="auto" w:before="251"/>
        <w:ind w:left="979" w:right="1339" w:firstLine="0"/>
        <w:jc w:val="both"/>
        <w:rPr>
          <w:sz w:val="22"/>
        </w:rPr>
      </w:pPr>
      <w:r>
        <w:rPr>
          <w:b/>
          <w:sz w:val="22"/>
        </w:rPr>
        <w:t>Decreto N°29531 MTSS. Reglamento a la ley N°4760 y sus reformas y a las leyes N°7083, 7151 y 7154 para el Otorgamiento de escrituras de propiedad a los Adjudicados de proyectos de vivienda del IMAS. </w:t>
      </w:r>
      <w:r>
        <w:rPr>
          <w:sz w:val="22"/>
        </w:rPr>
        <w:t>Regula la titulación de los lotes y viviendas adjudicadas por el Instituto Mixto de Ayuda Social, a los beneficiarios de sus proyectos de vivienda, Establece parámetros y requisitos necesarios para titular lotes y viviendas del IMAS y sus reformas. Fecha de vigencia 12/07/2001.</w:t>
      </w:r>
    </w:p>
    <w:p>
      <w:pPr>
        <w:pStyle w:val="BodyText"/>
        <w:spacing w:before="1"/>
      </w:pPr>
    </w:p>
    <w:p>
      <w:pPr>
        <w:spacing w:line="240" w:lineRule="auto" w:before="0"/>
        <w:ind w:left="979" w:right="1336" w:firstLine="0"/>
        <w:jc w:val="both"/>
        <w:rPr>
          <w:sz w:val="22"/>
        </w:rPr>
      </w:pPr>
      <w:r>
        <w:rPr>
          <w:b/>
          <w:sz w:val="22"/>
        </w:rPr>
        <w:t>Decreto</w:t>
      </w:r>
      <w:r>
        <w:rPr>
          <w:b/>
          <w:spacing w:val="-16"/>
          <w:sz w:val="22"/>
        </w:rPr>
        <w:t> </w:t>
      </w:r>
      <w:r>
        <w:rPr>
          <w:b/>
          <w:sz w:val="22"/>
        </w:rPr>
        <w:t>N°30695-H</w:t>
      </w:r>
      <w:r>
        <w:rPr>
          <w:b/>
          <w:spacing w:val="-15"/>
          <w:sz w:val="22"/>
        </w:rPr>
        <w:t> </w:t>
      </w:r>
      <w:r>
        <w:rPr>
          <w:b/>
          <w:sz w:val="22"/>
        </w:rPr>
        <w:t>Normas</w:t>
      </w:r>
      <w:r>
        <w:rPr>
          <w:b/>
          <w:spacing w:val="-15"/>
          <w:sz w:val="22"/>
        </w:rPr>
        <w:t> </w:t>
      </w:r>
      <w:r>
        <w:rPr>
          <w:b/>
          <w:sz w:val="22"/>
        </w:rPr>
        <w:t>para</w:t>
      </w:r>
      <w:r>
        <w:rPr>
          <w:b/>
          <w:spacing w:val="-16"/>
          <w:sz w:val="22"/>
        </w:rPr>
        <w:t> </w:t>
      </w:r>
      <w:r>
        <w:rPr>
          <w:b/>
          <w:sz w:val="22"/>
        </w:rPr>
        <w:t>la</w:t>
      </w:r>
      <w:r>
        <w:rPr>
          <w:b/>
          <w:spacing w:val="-10"/>
          <w:sz w:val="22"/>
        </w:rPr>
        <w:t> </w:t>
      </w:r>
      <w:r>
        <w:rPr>
          <w:b/>
          <w:sz w:val="22"/>
        </w:rPr>
        <w:t>Habilitación</w:t>
      </w:r>
      <w:r>
        <w:rPr>
          <w:b/>
          <w:spacing w:val="-16"/>
          <w:sz w:val="22"/>
        </w:rPr>
        <w:t> </w:t>
      </w:r>
      <w:r>
        <w:rPr>
          <w:b/>
          <w:sz w:val="22"/>
        </w:rPr>
        <w:t>de</w:t>
      </w:r>
      <w:r>
        <w:rPr>
          <w:b/>
          <w:spacing w:val="-11"/>
          <w:sz w:val="22"/>
        </w:rPr>
        <w:t> </w:t>
      </w:r>
      <w:r>
        <w:rPr>
          <w:b/>
          <w:sz w:val="22"/>
        </w:rPr>
        <w:t>Hogares</w:t>
      </w:r>
      <w:r>
        <w:rPr>
          <w:b/>
          <w:spacing w:val="-11"/>
          <w:sz w:val="22"/>
        </w:rPr>
        <w:t> </w:t>
      </w:r>
      <w:r>
        <w:rPr>
          <w:b/>
          <w:sz w:val="22"/>
        </w:rPr>
        <w:t>Comunitarios</w:t>
      </w:r>
      <w:r>
        <w:rPr>
          <w:sz w:val="22"/>
        </w:rPr>
        <w:t>.</w:t>
      </w:r>
      <w:r>
        <w:rPr>
          <w:spacing w:val="-16"/>
          <w:sz w:val="22"/>
        </w:rPr>
        <w:t> </w:t>
      </w:r>
      <w:r>
        <w:rPr>
          <w:sz w:val="22"/>
        </w:rPr>
        <w:t>Tiene</w:t>
      </w:r>
      <w:r>
        <w:rPr>
          <w:spacing w:val="-10"/>
          <w:sz w:val="22"/>
        </w:rPr>
        <w:t> </w:t>
      </w:r>
      <w:r>
        <w:rPr>
          <w:sz w:val="22"/>
        </w:rPr>
        <w:t>como objeto</w:t>
      </w:r>
      <w:r>
        <w:rPr>
          <w:spacing w:val="-14"/>
          <w:sz w:val="22"/>
        </w:rPr>
        <w:t> </w:t>
      </w:r>
      <w:r>
        <w:rPr>
          <w:sz w:val="22"/>
        </w:rPr>
        <w:t>especificar</w:t>
      </w:r>
      <w:r>
        <w:rPr>
          <w:spacing w:val="-12"/>
          <w:sz w:val="22"/>
        </w:rPr>
        <w:t> </w:t>
      </w:r>
      <w:r>
        <w:rPr>
          <w:sz w:val="22"/>
        </w:rPr>
        <w:t>las</w:t>
      </w:r>
      <w:r>
        <w:rPr>
          <w:spacing w:val="-11"/>
          <w:sz w:val="22"/>
        </w:rPr>
        <w:t> </w:t>
      </w:r>
      <w:r>
        <w:rPr>
          <w:sz w:val="22"/>
        </w:rPr>
        <w:t>condiciones</w:t>
      </w:r>
      <w:r>
        <w:rPr>
          <w:spacing w:val="-11"/>
          <w:sz w:val="22"/>
        </w:rPr>
        <w:t> </w:t>
      </w:r>
      <w:r>
        <w:rPr>
          <w:sz w:val="22"/>
        </w:rPr>
        <w:t>y</w:t>
      </w:r>
      <w:r>
        <w:rPr>
          <w:spacing w:val="-11"/>
          <w:sz w:val="22"/>
        </w:rPr>
        <w:t> </w:t>
      </w:r>
      <w:r>
        <w:rPr>
          <w:sz w:val="22"/>
        </w:rPr>
        <w:t>requisitos</w:t>
      </w:r>
      <w:r>
        <w:rPr>
          <w:spacing w:val="-16"/>
          <w:sz w:val="22"/>
        </w:rPr>
        <w:t> </w:t>
      </w:r>
      <w:r>
        <w:rPr>
          <w:sz w:val="22"/>
        </w:rPr>
        <w:t>que</w:t>
      </w:r>
      <w:r>
        <w:rPr>
          <w:spacing w:val="-13"/>
          <w:sz w:val="22"/>
        </w:rPr>
        <w:t> </w:t>
      </w:r>
      <w:r>
        <w:rPr>
          <w:sz w:val="22"/>
        </w:rPr>
        <w:t>deben</w:t>
      </w:r>
      <w:r>
        <w:rPr>
          <w:spacing w:val="-9"/>
          <w:sz w:val="22"/>
        </w:rPr>
        <w:t> </w:t>
      </w:r>
      <w:r>
        <w:rPr>
          <w:sz w:val="22"/>
        </w:rPr>
        <w:t>cumplir</w:t>
      </w:r>
      <w:r>
        <w:rPr>
          <w:spacing w:val="-12"/>
          <w:sz w:val="22"/>
        </w:rPr>
        <w:t> </w:t>
      </w:r>
      <w:r>
        <w:rPr>
          <w:sz w:val="22"/>
        </w:rPr>
        <w:t>los</w:t>
      </w:r>
      <w:r>
        <w:rPr>
          <w:spacing w:val="-11"/>
          <w:sz w:val="22"/>
        </w:rPr>
        <w:t> </w:t>
      </w:r>
      <w:r>
        <w:rPr>
          <w:sz w:val="22"/>
        </w:rPr>
        <w:t>Hogares</w:t>
      </w:r>
      <w:r>
        <w:rPr>
          <w:spacing w:val="-11"/>
          <w:sz w:val="22"/>
        </w:rPr>
        <w:t> </w:t>
      </w:r>
      <w:r>
        <w:rPr>
          <w:sz w:val="22"/>
        </w:rPr>
        <w:t>comunitarios, que brindan atención integral</w:t>
      </w:r>
      <w:r>
        <w:rPr>
          <w:spacing w:val="-1"/>
          <w:sz w:val="22"/>
        </w:rPr>
        <w:t> </w:t>
      </w:r>
      <w:r>
        <w:rPr>
          <w:sz w:val="22"/>
        </w:rPr>
        <w:t>a los niños y niñas, el IMAS determina la población objetivo, según los parámetros de medición de la pobreza. Fecha de vigencia 23/09/2002.</w:t>
      </w:r>
    </w:p>
    <w:p>
      <w:pPr>
        <w:pStyle w:val="BodyText"/>
        <w:spacing w:before="3"/>
      </w:pPr>
    </w:p>
    <w:p>
      <w:pPr>
        <w:spacing w:line="240" w:lineRule="auto" w:before="0"/>
        <w:ind w:left="979" w:right="1342" w:firstLine="0"/>
        <w:jc w:val="both"/>
        <w:rPr>
          <w:sz w:val="22"/>
        </w:rPr>
      </w:pPr>
      <w:r>
        <w:rPr>
          <w:b/>
          <w:sz w:val="22"/>
        </w:rPr>
        <w:t>Decreto</w:t>
      </w:r>
      <w:r>
        <w:rPr>
          <w:b/>
          <w:spacing w:val="-15"/>
          <w:sz w:val="22"/>
        </w:rPr>
        <w:t> </w:t>
      </w:r>
      <w:r>
        <w:rPr>
          <w:b/>
          <w:sz w:val="22"/>
        </w:rPr>
        <w:t>N°43980-MEIC-MAG-TUR.</w:t>
      </w:r>
      <w:r>
        <w:rPr>
          <w:b/>
          <w:spacing w:val="-16"/>
          <w:sz w:val="22"/>
        </w:rPr>
        <w:t> </w:t>
      </w:r>
      <w:r>
        <w:rPr>
          <w:b/>
          <w:sz w:val="22"/>
        </w:rPr>
        <w:t>Reglamento</w:t>
      </w:r>
      <w:r>
        <w:rPr>
          <w:b/>
          <w:spacing w:val="-12"/>
          <w:sz w:val="22"/>
        </w:rPr>
        <w:t> </w:t>
      </w:r>
      <w:r>
        <w:rPr>
          <w:b/>
          <w:sz w:val="22"/>
        </w:rPr>
        <w:t>de</w:t>
      </w:r>
      <w:r>
        <w:rPr>
          <w:b/>
          <w:spacing w:val="-12"/>
          <w:sz w:val="22"/>
        </w:rPr>
        <w:t> </w:t>
      </w:r>
      <w:r>
        <w:rPr>
          <w:b/>
          <w:sz w:val="22"/>
        </w:rPr>
        <w:t>la</w:t>
      </w:r>
      <w:r>
        <w:rPr>
          <w:b/>
          <w:spacing w:val="-16"/>
          <w:sz w:val="22"/>
        </w:rPr>
        <w:t> </w:t>
      </w:r>
      <w:r>
        <w:rPr>
          <w:b/>
          <w:sz w:val="22"/>
        </w:rPr>
        <w:t>Ley</w:t>
      </w:r>
      <w:r>
        <w:rPr>
          <w:b/>
          <w:spacing w:val="-15"/>
          <w:sz w:val="22"/>
        </w:rPr>
        <w:t> </w:t>
      </w:r>
      <w:r>
        <w:rPr>
          <w:b/>
          <w:sz w:val="22"/>
        </w:rPr>
        <w:t>N°8634,</w:t>
      </w:r>
      <w:r>
        <w:rPr>
          <w:b/>
          <w:spacing w:val="-12"/>
          <w:sz w:val="22"/>
        </w:rPr>
        <w:t> </w:t>
      </w:r>
      <w:r>
        <w:rPr>
          <w:b/>
          <w:sz w:val="22"/>
        </w:rPr>
        <w:t>Sistema</w:t>
      </w:r>
      <w:r>
        <w:rPr>
          <w:b/>
          <w:spacing w:val="-11"/>
          <w:sz w:val="22"/>
        </w:rPr>
        <w:t> </w:t>
      </w:r>
      <w:r>
        <w:rPr>
          <w:b/>
          <w:sz w:val="22"/>
        </w:rPr>
        <w:t>Nacional</w:t>
      </w:r>
      <w:r>
        <w:rPr>
          <w:b/>
          <w:spacing w:val="-12"/>
          <w:sz w:val="22"/>
        </w:rPr>
        <w:t> </w:t>
      </w:r>
      <w:r>
        <w:rPr>
          <w:b/>
          <w:sz w:val="22"/>
        </w:rPr>
        <w:t>de Banca para el Desarrollo</w:t>
      </w:r>
      <w:r>
        <w:rPr>
          <w:sz w:val="22"/>
        </w:rPr>
        <w:t>. Tiene como objeto desarrollar los principios y normas que se desprenden de la Ley N° 8634, Ley Sistema de Banca para el Desarrollo y sus reformas, con el propósito de contar con mecanismos</w:t>
      </w:r>
      <w:r>
        <w:rPr>
          <w:spacing w:val="-1"/>
          <w:sz w:val="22"/>
        </w:rPr>
        <w:t> </w:t>
      </w:r>
      <w:r>
        <w:rPr>
          <w:sz w:val="22"/>
        </w:rPr>
        <w:t>para impulsar</w:t>
      </w:r>
      <w:r>
        <w:rPr>
          <w:spacing w:val="-3"/>
          <w:sz w:val="22"/>
        </w:rPr>
        <w:t> </w:t>
      </w:r>
      <w:r>
        <w:rPr>
          <w:sz w:val="22"/>
        </w:rPr>
        <w:t>proyectos productivos</w:t>
      </w:r>
      <w:r>
        <w:rPr>
          <w:spacing w:val="-2"/>
          <w:sz w:val="22"/>
        </w:rPr>
        <w:t> </w:t>
      </w:r>
      <w:r>
        <w:rPr>
          <w:sz w:val="22"/>
        </w:rPr>
        <w:t>y cumplir con el fin público de movilidad social de las personas beneficiarias establecidos en la Ley Fecha de vigencia 27/03/2003.</w:t>
      </w:r>
    </w:p>
    <w:p>
      <w:pPr>
        <w:pStyle w:val="BodyText"/>
        <w:spacing w:before="1"/>
      </w:pPr>
    </w:p>
    <w:p>
      <w:pPr>
        <w:spacing w:line="240" w:lineRule="auto" w:before="0"/>
        <w:ind w:left="979" w:right="1338" w:firstLine="0"/>
        <w:jc w:val="both"/>
        <w:rPr>
          <w:sz w:val="22"/>
        </w:rPr>
      </w:pPr>
      <w:r>
        <w:rPr>
          <w:b/>
          <w:sz w:val="22"/>
        </w:rPr>
        <w:t>Decreto N°32511-H Declara en situación de pobreza coyuntural la condición de los pescadores y sus ayudantes acreditados por el Instituto Costarricense de Pesca y Acuicultura afectados por la veda</w:t>
      </w:r>
      <w:r>
        <w:rPr>
          <w:sz w:val="22"/>
        </w:rPr>
        <w:t>. Declara en situación de pobreza coyuntural a los pescadores y sus ayudantes debidamente acreditados por el Instituto Costarricense de Pesca y Acuicultura (INCOPESCA) con licencia de pesca vigente, afectados por la veda establecida</w:t>
      </w:r>
      <w:r>
        <w:rPr>
          <w:spacing w:val="-16"/>
          <w:sz w:val="22"/>
        </w:rPr>
        <w:t> </w:t>
      </w:r>
      <w:r>
        <w:rPr>
          <w:sz w:val="22"/>
        </w:rPr>
        <w:t>para</w:t>
      </w:r>
      <w:r>
        <w:rPr>
          <w:spacing w:val="-15"/>
          <w:sz w:val="22"/>
        </w:rPr>
        <w:t> </w:t>
      </w:r>
      <w:r>
        <w:rPr>
          <w:sz w:val="22"/>
        </w:rPr>
        <w:t>el</w:t>
      </w:r>
      <w:r>
        <w:rPr>
          <w:spacing w:val="-15"/>
          <w:sz w:val="22"/>
        </w:rPr>
        <w:t> </w:t>
      </w:r>
      <w:r>
        <w:rPr>
          <w:sz w:val="22"/>
        </w:rPr>
        <w:t>presente</w:t>
      </w:r>
      <w:r>
        <w:rPr>
          <w:spacing w:val="-16"/>
          <w:sz w:val="22"/>
        </w:rPr>
        <w:t> </w:t>
      </w:r>
      <w:r>
        <w:rPr>
          <w:sz w:val="22"/>
        </w:rPr>
        <w:t>año,</w:t>
      </w:r>
      <w:r>
        <w:rPr>
          <w:spacing w:val="-15"/>
          <w:sz w:val="22"/>
        </w:rPr>
        <w:t> </w:t>
      </w:r>
      <w:r>
        <w:rPr>
          <w:sz w:val="22"/>
        </w:rPr>
        <w:t>mediante</w:t>
      </w:r>
      <w:r>
        <w:rPr>
          <w:spacing w:val="-15"/>
          <w:sz w:val="22"/>
        </w:rPr>
        <w:t> </w:t>
      </w:r>
      <w:r>
        <w:rPr>
          <w:sz w:val="22"/>
        </w:rPr>
        <w:t>acuerdo</w:t>
      </w:r>
      <w:r>
        <w:rPr>
          <w:spacing w:val="-15"/>
          <w:sz w:val="22"/>
        </w:rPr>
        <w:t> </w:t>
      </w:r>
      <w:r>
        <w:rPr>
          <w:sz w:val="22"/>
        </w:rPr>
        <w:t>N°</w:t>
      </w:r>
      <w:r>
        <w:rPr>
          <w:spacing w:val="-16"/>
          <w:sz w:val="22"/>
        </w:rPr>
        <w:t> </w:t>
      </w:r>
      <w:r>
        <w:rPr>
          <w:sz w:val="22"/>
        </w:rPr>
        <w:t>JDIP-274-2005</w:t>
      </w:r>
      <w:r>
        <w:rPr>
          <w:spacing w:val="-15"/>
          <w:sz w:val="22"/>
        </w:rPr>
        <w:t> </w:t>
      </w:r>
      <w:r>
        <w:rPr>
          <w:sz w:val="22"/>
        </w:rPr>
        <w:t>de</w:t>
      </w:r>
      <w:r>
        <w:rPr>
          <w:spacing w:val="-15"/>
          <w:sz w:val="22"/>
        </w:rPr>
        <w:t> </w:t>
      </w:r>
      <w:r>
        <w:rPr>
          <w:sz w:val="22"/>
        </w:rPr>
        <w:t>la</w:t>
      </w:r>
      <w:r>
        <w:rPr>
          <w:spacing w:val="-15"/>
          <w:sz w:val="22"/>
        </w:rPr>
        <w:t> </w:t>
      </w:r>
      <w:r>
        <w:rPr>
          <w:sz w:val="22"/>
        </w:rPr>
        <w:t>Junta</w:t>
      </w:r>
      <w:r>
        <w:rPr>
          <w:spacing w:val="-9"/>
          <w:sz w:val="22"/>
        </w:rPr>
        <w:t> </w:t>
      </w:r>
      <w:r>
        <w:rPr>
          <w:sz w:val="22"/>
        </w:rPr>
        <w:t>Directiva de INCOPESCA; y</w:t>
      </w:r>
      <w:r>
        <w:rPr>
          <w:spacing w:val="-6"/>
          <w:sz w:val="22"/>
        </w:rPr>
        <w:t> </w:t>
      </w:r>
      <w:r>
        <w:rPr>
          <w:sz w:val="22"/>
        </w:rPr>
        <w:t>que carezcan de</w:t>
      </w:r>
      <w:r>
        <w:rPr>
          <w:spacing w:val="-4"/>
          <w:sz w:val="22"/>
        </w:rPr>
        <w:t> </w:t>
      </w:r>
      <w:r>
        <w:rPr>
          <w:sz w:val="22"/>
        </w:rPr>
        <w:t>otros</w:t>
      </w:r>
      <w:r>
        <w:rPr>
          <w:spacing w:val="-1"/>
          <w:sz w:val="22"/>
        </w:rPr>
        <w:t> </w:t>
      </w:r>
      <w:r>
        <w:rPr>
          <w:sz w:val="22"/>
        </w:rPr>
        <w:t>ingresos</w:t>
      </w:r>
      <w:r>
        <w:rPr>
          <w:spacing w:val="-1"/>
          <w:sz w:val="22"/>
        </w:rPr>
        <w:t> </w:t>
      </w:r>
      <w:r>
        <w:rPr>
          <w:sz w:val="22"/>
        </w:rPr>
        <w:t>complementarios.</w:t>
      </w:r>
      <w:r>
        <w:rPr>
          <w:spacing w:val="-5"/>
          <w:sz w:val="22"/>
        </w:rPr>
        <w:t> </w:t>
      </w:r>
      <w:r>
        <w:rPr>
          <w:sz w:val="22"/>
        </w:rPr>
        <w:t>Por</w:t>
      </w:r>
      <w:r>
        <w:rPr>
          <w:spacing w:val="-3"/>
          <w:sz w:val="22"/>
        </w:rPr>
        <w:t> </w:t>
      </w:r>
      <w:r>
        <w:rPr>
          <w:sz w:val="22"/>
        </w:rPr>
        <w:t>consiguiente, se autoriza al Instituto Mixto de Ayuda Social a otorgar beneficios económicos en calidad de subsidios a estas personas, en apego a las condiciones que se establecen en el presente decreto. Fecha de vigencia 01/08/2005.</w:t>
      </w:r>
    </w:p>
    <w:p>
      <w:pPr>
        <w:spacing w:before="250"/>
        <w:ind w:left="979" w:right="1339" w:firstLine="0"/>
        <w:jc w:val="both"/>
        <w:rPr>
          <w:sz w:val="22"/>
        </w:rPr>
      </w:pPr>
      <w:r>
        <w:rPr>
          <w:b/>
          <w:sz w:val="22"/>
        </w:rPr>
        <w:t>Decreto N°33018-MICITT. Reglamento a la Ley de Certificados, Firmas Digitales y Documentos</w:t>
      </w:r>
      <w:r>
        <w:rPr>
          <w:b/>
          <w:spacing w:val="-15"/>
          <w:sz w:val="22"/>
        </w:rPr>
        <w:t> </w:t>
      </w:r>
      <w:r>
        <w:rPr>
          <w:b/>
          <w:sz w:val="22"/>
        </w:rPr>
        <w:t>Electrónicos,</w:t>
      </w:r>
      <w:r>
        <w:rPr>
          <w:b/>
          <w:spacing w:val="-11"/>
          <w:sz w:val="22"/>
        </w:rPr>
        <w:t> </w:t>
      </w:r>
      <w:r>
        <w:rPr>
          <w:b/>
          <w:sz w:val="22"/>
        </w:rPr>
        <w:t>y</w:t>
      </w:r>
      <w:r>
        <w:rPr>
          <w:b/>
          <w:spacing w:val="-15"/>
          <w:sz w:val="22"/>
        </w:rPr>
        <w:t> </w:t>
      </w:r>
      <w:r>
        <w:rPr>
          <w:b/>
          <w:sz w:val="22"/>
        </w:rPr>
        <w:t>sus</w:t>
      </w:r>
      <w:r>
        <w:rPr>
          <w:b/>
          <w:spacing w:val="-10"/>
          <w:sz w:val="22"/>
        </w:rPr>
        <w:t> </w:t>
      </w:r>
      <w:r>
        <w:rPr>
          <w:b/>
          <w:sz w:val="22"/>
        </w:rPr>
        <w:t>reformas</w:t>
      </w:r>
      <w:r>
        <w:rPr>
          <w:sz w:val="22"/>
        </w:rPr>
        <w:t>.</w:t>
      </w:r>
      <w:r>
        <w:rPr>
          <w:spacing w:val="-16"/>
          <w:sz w:val="22"/>
        </w:rPr>
        <w:t> </w:t>
      </w:r>
      <w:r>
        <w:rPr>
          <w:sz w:val="22"/>
        </w:rPr>
        <w:t>Reglamenta</w:t>
      </w:r>
      <w:r>
        <w:rPr>
          <w:spacing w:val="-9"/>
          <w:sz w:val="22"/>
        </w:rPr>
        <w:t> </w:t>
      </w:r>
      <w:r>
        <w:rPr>
          <w:sz w:val="22"/>
        </w:rPr>
        <w:t>y</w:t>
      </w:r>
      <w:r>
        <w:rPr>
          <w:spacing w:val="-16"/>
          <w:sz w:val="22"/>
        </w:rPr>
        <w:t> </w:t>
      </w:r>
      <w:r>
        <w:rPr>
          <w:sz w:val="22"/>
        </w:rPr>
        <w:t>da</w:t>
      </w:r>
      <w:r>
        <w:rPr>
          <w:spacing w:val="-9"/>
          <w:sz w:val="22"/>
        </w:rPr>
        <w:t> </w:t>
      </w:r>
      <w:r>
        <w:rPr>
          <w:sz w:val="22"/>
        </w:rPr>
        <w:t>cumplida</w:t>
      </w:r>
      <w:r>
        <w:rPr>
          <w:spacing w:val="-15"/>
          <w:sz w:val="22"/>
        </w:rPr>
        <w:t> </w:t>
      </w:r>
      <w:r>
        <w:rPr>
          <w:sz w:val="22"/>
        </w:rPr>
        <w:t>ejecución</w:t>
      </w:r>
      <w:r>
        <w:rPr>
          <w:spacing w:val="-15"/>
          <w:sz w:val="22"/>
        </w:rPr>
        <w:t> </w:t>
      </w:r>
      <w:r>
        <w:rPr>
          <w:sz w:val="22"/>
        </w:rPr>
        <w:t>a</w:t>
      </w:r>
      <w:r>
        <w:rPr>
          <w:spacing w:val="-10"/>
          <w:sz w:val="22"/>
        </w:rPr>
        <w:t> </w:t>
      </w:r>
      <w:r>
        <w:rPr>
          <w:sz w:val="22"/>
        </w:rPr>
        <w:t>la</w:t>
      </w:r>
      <w:r>
        <w:rPr>
          <w:spacing w:val="-15"/>
          <w:sz w:val="22"/>
        </w:rPr>
        <w:t> </w:t>
      </w:r>
      <w:r>
        <w:rPr>
          <w:sz w:val="22"/>
        </w:rPr>
        <w:t>Ley</w:t>
      </w:r>
    </w:p>
    <w:p>
      <w:pPr>
        <w:spacing w:after="0"/>
        <w:jc w:val="both"/>
        <w:rPr>
          <w:sz w:val="22"/>
        </w:rPr>
        <w:sectPr>
          <w:pgSz w:w="12240" w:h="15840"/>
          <w:pgMar w:header="0" w:footer="1021" w:top="1340" w:bottom="1220" w:left="720" w:right="360"/>
        </w:sectPr>
      </w:pPr>
    </w:p>
    <w:p>
      <w:pPr>
        <w:pStyle w:val="BodyText"/>
        <w:spacing w:before="76"/>
        <w:ind w:left="979" w:right="1349"/>
        <w:jc w:val="both"/>
      </w:pPr>
      <w:r>
        <w:rPr/>
        <w:t>de Certificados, Firmas Digitales y Documentos Electrónicos. Fecha de vigencia </w:t>
      </w:r>
      <w:r>
        <w:rPr>
          <w:spacing w:val="-2"/>
        </w:rPr>
        <w:t>21/04/2006.</w:t>
      </w:r>
    </w:p>
    <w:p>
      <w:pPr>
        <w:spacing w:line="240" w:lineRule="auto" w:before="253"/>
        <w:ind w:left="979" w:right="1343" w:firstLine="0"/>
        <w:jc w:val="both"/>
        <w:rPr>
          <w:sz w:val="22"/>
        </w:rPr>
      </w:pPr>
      <w:r>
        <w:rPr>
          <w:b/>
          <w:sz w:val="22"/>
        </w:rPr>
        <w:t>Decreto N°33318-H Faculta al Instituto Mixto de Ayuda Social para que Incorpore Oficiosamente en el SIPO a Familias de Adolescentes pertenecientes a poblaciones indígenas que deseen Participar como Beneficiarios del Programa de Transferencia Monetaria</w:t>
      </w:r>
      <w:r>
        <w:rPr>
          <w:b/>
          <w:spacing w:val="-2"/>
          <w:sz w:val="22"/>
        </w:rPr>
        <w:t> </w:t>
      </w:r>
      <w:r>
        <w:rPr>
          <w:b/>
          <w:sz w:val="22"/>
        </w:rPr>
        <w:t>Condicionada</w:t>
      </w:r>
      <w:r>
        <w:rPr>
          <w:sz w:val="22"/>
        </w:rPr>
        <w:t>.</w:t>
      </w:r>
      <w:r>
        <w:rPr>
          <w:spacing w:val="-2"/>
          <w:sz w:val="22"/>
        </w:rPr>
        <w:t> </w:t>
      </w:r>
      <w:r>
        <w:rPr>
          <w:sz w:val="22"/>
        </w:rPr>
        <w:t>Faculta</w:t>
      </w:r>
      <w:r>
        <w:rPr>
          <w:spacing w:val="-2"/>
          <w:sz w:val="22"/>
        </w:rPr>
        <w:t> </w:t>
      </w:r>
      <w:r>
        <w:rPr>
          <w:sz w:val="22"/>
        </w:rPr>
        <w:t>al</w:t>
      </w:r>
      <w:r>
        <w:rPr>
          <w:spacing w:val="-4"/>
          <w:sz w:val="22"/>
        </w:rPr>
        <w:t> </w:t>
      </w:r>
      <w:r>
        <w:rPr>
          <w:sz w:val="22"/>
        </w:rPr>
        <w:t>IMAS</w:t>
      </w:r>
      <w:r>
        <w:rPr>
          <w:spacing w:val="-6"/>
          <w:sz w:val="22"/>
        </w:rPr>
        <w:t> </w:t>
      </w:r>
      <w:r>
        <w:rPr>
          <w:sz w:val="22"/>
        </w:rPr>
        <w:t>para</w:t>
      </w:r>
      <w:r>
        <w:rPr>
          <w:spacing w:val="-2"/>
          <w:sz w:val="22"/>
        </w:rPr>
        <w:t> </w:t>
      </w:r>
      <w:r>
        <w:rPr>
          <w:sz w:val="22"/>
        </w:rPr>
        <w:t>incorporar</w:t>
      </w:r>
      <w:r>
        <w:rPr>
          <w:spacing w:val="-5"/>
          <w:sz w:val="22"/>
        </w:rPr>
        <w:t> </w:t>
      </w:r>
      <w:r>
        <w:rPr>
          <w:sz w:val="22"/>
        </w:rPr>
        <w:t>a</w:t>
      </w:r>
      <w:r>
        <w:rPr>
          <w:spacing w:val="-6"/>
          <w:sz w:val="22"/>
        </w:rPr>
        <w:t> </w:t>
      </w:r>
      <w:r>
        <w:rPr>
          <w:sz w:val="22"/>
        </w:rPr>
        <w:t>adolescentes</w:t>
      </w:r>
      <w:r>
        <w:rPr>
          <w:spacing w:val="-7"/>
          <w:sz w:val="22"/>
        </w:rPr>
        <w:t> </w:t>
      </w:r>
      <w:r>
        <w:rPr>
          <w:sz w:val="22"/>
        </w:rPr>
        <w:t>pertenecientes a poblaciones indígenas, al programa del Decreto N°3315y establece los mecanismos de control</w:t>
      </w:r>
      <w:r>
        <w:rPr>
          <w:spacing w:val="-3"/>
          <w:sz w:val="22"/>
        </w:rPr>
        <w:t> </w:t>
      </w:r>
      <w:r>
        <w:rPr>
          <w:sz w:val="22"/>
        </w:rPr>
        <w:t>correspondientes</w:t>
      </w:r>
      <w:r>
        <w:rPr>
          <w:spacing w:val="-2"/>
          <w:sz w:val="22"/>
        </w:rPr>
        <w:t> </w:t>
      </w:r>
      <w:r>
        <w:rPr>
          <w:sz w:val="22"/>
        </w:rPr>
        <w:t>a</w:t>
      </w:r>
      <w:r>
        <w:rPr>
          <w:spacing w:val="-1"/>
          <w:sz w:val="22"/>
        </w:rPr>
        <w:t> </w:t>
      </w:r>
      <w:r>
        <w:rPr>
          <w:sz w:val="22"/>
        </w:rPr>
        <w:t>fin</w:t>
      </w:r>
      <w:r>
        <w:rPr>
          <w:spacing w:val="-1"/>
          <w:sz w:val="22"/>
        </w:rPr>
        <w:t> </w:t>
      </w:r>
      <w:r>
        <w:rPr>
          <w:sz w:val="22"/>
        </w:rPr>
        <w:t>de</w:t>
      </w:r>
      <w:r>
        <w:rPr>
          <w:spacing w:val="-1"/>
          <w:sz w:val="22"/>
        </w:rPr>
        <w:t> </w:t>
      </w:r>
      <w:r>
        <w:rPr>
          <w:sz w:val="22"/>
        </w:rPr>
        <w:t>asegurar</w:t>
      </w:r>
      <w:r>
        <w:rPr>
          <w:spacing w:val="-4"/>
          <w:sz w:val="22"/>
        </w:rPr>
        <w:t> </w:t>
      </w:r>
      <w:r>
        <w:rPr>
          <w:sz w:val="22"/>
        </w:rPr>
        <w:t>el</w:t>
      </w:r>
      <w:r>
        <w:rPr>
          <w:spacing w:val="-3"/>
          <w:sz w:val="22"/>
        </w:rPr>
        <w:t> </w:t>
      </w:r>
      <w:r>
        <w:rPr>
          <w:sz w:val="22"/>
        </w:rPr>
        <w:t>cumplimiento</w:t>
      </w:r>
      <w:r>
        <w:rPr>
          <w:spacing w:val="-1"/>
          <w:sz w:val="22"/>
        </w:rPr>
        <w:t> </w:t>
      </w:r>
      <w:r>
        <w:rPr>
          <w:sz w:val="22"/>
        </w:rPr>
        <w:t>de</w:t>
      </w:r>
      <w:r>
        <w:rPr>
          <w:spacing w:val="-1"/>
          <w:sz w:val="22"/>
        </w:rPr>
        <w:t> </w:t>
      </w:r>
      <w:r>
        <w:rPr>
          <w:sz w:val="22"/>
        </w:rPr>
        <w:t>los</w:t>
      </w:r>
      <w:r>
        <w:rPr>
          <w:spacing w:val="-2"/>
          <w:sz w:val="22"/>
        </w:rPr>
        <w:t> </w:t>
      </w:r>
      <w:r>
        <w:rPr>
          <w:sz w:val="22"/>
        </w:rPr>
        <w:t>objetivos</w:t>
      </w:r>
      <w:r>
        <w:rPr>
          <w:spacing w:val="-2"/>
          <w:sz w:val="22"/>
        </w:rPr>
        <w:t> </w:t>
      </w:r>
      <w:r>
        <w:rPr>
          <w:sz w:val="22"/>
        </w:rPr>
        <w:t>del</w:t>
      </w:r>
      <w:r>
        <w:rPr>
          <w:spacing w:val="-3"/>
          <w:sz w:val="22"/>
        </w:rPr>
        <w:t> </w:t>
      </w:r>
      <w:r>
        <w:rPr>
          <w:sz w:val="22"/>
        </w:rPr>
        <w:t>programa</w:t>
      </w:r>
      <w:r>
        <w:rPr>
          <w:spacing w:val="-1"/>
          <w:sz w:val="22"/>
        </w:rPr>
        <w:t> </w:t>
      </w:r>
      <w:r>
        <w:rPr>
          <w:sz w:val="22"/>
        </w:rPr>
        <w:t>y establecer las medidas necesarias para facilitar el acceso de la población beneficiaria al Programa. Fecha de vigencia 01/09/2006.</w:t>
      </w:r>
    </w:p>
    <w:p>
      <w:pPr>
        <w:spacing w:line="240" w:lineRule="auto" w:before="252"/>
        <w:ind w:left="979" w:right="1342" w:firstLine="0"/>
        <w:jc w:val="both"/>
        <w:rPr>
          <w:sz w:val="22"/>
        </w:rPr>
      </w:pPr>
      <w:r>
        <w:rPr>
          <w:b/>
          <w:sz w:val="22"/>
        </w:rPr>
        <w:t>Decreto N°34460-H. Principios de Contabilidad Aplicables al Sector Público Costarricense. </w:t>
      </w:r>
      <w:r>
        <w:rPr>
          <w:sz w:val="22"/>
        </w:rPr>
        <w:t>Establece los conceptos básicos y reglas para el registro contable y presentación de información, cuya aplicación es de carácter obligatorio para todas las dependencias del sector público. Fecha de vigencia 29/04/2008.</w:t>
      </w:r>
    </w:p>
    <w:p>
      <w:pPr>
        <w:pStyle w:val="BodyText"/>
        <w:spacing w:before="3"/>
      </w:pPr>
    </w:p>
    <w:p>
      <w:pPr>
        <w:spacing w:line="240" w:lineRule="auto" w:before="0"/>
        <w:ind w:left="979" w:right="1335" w:firstLine="0"/>
        <w:jc w:val="both"/>
        <w:rPr>
          <w:sz w:val="22"/>
        </w:rPr>
      </w:pPr>
      <w:r>
        <w:rPr>
          <w:b/>
          <w:sz w:val="22"/>
        </w:rPr>
        <w:t>Decreto N°34729-PLAN-S-MEP-MTSS Coordinación y Ejecución de la Política de Igualdad y Equidad de Género (PIEG) en las instituciones Públicas</w:t>
      </w:r>
      <w:r>
        <w:rPr>
          <w:sz w:val="22"/>
        </w:rPr>
        <w:t>. Instruye al Poder Ejecutivo y sus instituciones en materia de igualdad y equidad entre mujeres y hombres, para orientar sus</w:t>
      </w:r>
      <w:r>
        <w:rPr>
          <w:spacing w:val="-2"/>
          <w:sz w:val="22"/>
        </w:rPr>
        <w:t> </w:t>
      </w:r>
      <w:r>
        <w:rPr>
          <w:sz w:val="22"/>
        </w:rPr>
        <w:t>actuaciones</w:t>
      </w:r>
      <w:r>
        <w:rPr>
          <w:spacing w:val="-2"/>
          <w:sz w:val="22"/>
        </w:rPr>
        <w:t> </w:t>
      </w:r>
      <w:r>
        <w:rPr>
          <w:sz w:val="22"/>
        </w:rPr>
        <w:t>en función de una política de igualdad y</w:t>
      </w:r>
      <w:r>
        <w:rPr>
          <w:spacing w:val="-2"/>
          <w:sz w:val="22"/>
        </w:rPr>
        <w:t> </w:t>
      </w:r>
      <w:r>
        <w:rPr>
          <w:sz w:val="22"/>
        </w:rPr>
        <w:t>equidad de género, que en lo sustantivo establecerá objetivos, metas y lineamientos estratégicos de acción. Fecha de vigencia 17/09/2008.</w:t>
      </w:r>
    </w:p>
    <w:p>
      <w:pPr>
        <w:pStyle w:val="BodyText"/>
      </w:pPr>
    </w:p>
    <w:p>
      <w:pPr>
        <w:spacing w:line="240" w:lineRule="auto" w:before="1"/>
        <w:ind w:left="979" w:right="1339" w:firstLine="0"/>
        <w:jc w:val="both"/>
        <w:rPr>
          <w:sz w:val="22"/>
        </w:rPr>
      </w:pPr>
      <w:r>
        <w:rPr>
          <w:b/>
          <w:sz w:val="22"/>
        </w:rPr>
        <w:t>Decreto N°34531-MP-G-MIVAH-MEP-MTSS-H Establece programa "Cuadernos e implementos escolares"</w:t>
      </w:r>
      <w:r>
        <w:rPr>
          <w:sz w:val="22"/>
        </w:rPr>
        <w:t>. Programa orientado a la dotación de cuadernos y otros implementos escolares necesarios destinados a estudiantes pertenecientes a centros educativos de primaria y secundaria, IMAS como encargado, en conjunto con el MEP, de la distribución de los artículos escolares de forma objetiva, técnica y equitativa. Fecha de vigencia 05/06/2008.</w:t>
      </w:r>
    </w:p>
    <w:p>
      <w:pPr>
        <w:pStyle w:val="BodyText"/>
      </w:pPr>
    </w:p>
    <w:p>
      <w:pPr>
        <w:pStyle w:val="BodyText"/>
        <w:ind w:left="979" w:right="1336"/>
        <w:jc w:val="both"/>
      </w:pPr>
      <w:r>
        <w:rPr>
          <w:b/>
        </w:rPr>
        <w:t>Decreto N°34918-H. Adopción e Implementación de las Normas Internacionales de Contabilidad del Sector Público (NICSP), en el Ámbito Costarricense. </w:t>
      </w:r>
      <w:r>
        <w:rPr/>
        <w:t>Adopta e implementa las Normas Internacionales de Contabilidad del Sector Público (de ahora en adelante NICSP), publicadas y emitidas en español, por el Consejo de Normas Internacionales de Contabilidad para el Sector Público (IPSASB por sus siglas en ingles) de</w:t>
      </w:r>
      <w:r>
        <w:rPr>
          <w:spacing w:val="-10"/>
        </w:rPr>
        <w:t> </w:t>
      </w:r>
      <w:r>
        <w:rPr/>
        <w:t>ahora</w:t>
      </w:r>
      <w:r>
        <w:rPr>
          <w:spacing w:val="-10"/>
        </w:rPr>
        <w:t> </w:t>
      </w:r>
      <w:r>
        <w:rPr/>
        <w:t>en</w:t>
      </w:r>
      <w:r>
        <w:rPr>
          <w:spacing w:val="-10"/>
        </w:rPr>
        <w:t> </w:t>
      </w:r>
      <w:r>
        <w:rPr/>
        <w:t>adelante</w:t>
      </w:r>
      <w:r>
        <w:rPr>
          <w:spacing w:val="-10"/>
        </w:rPr>
        <w:t> </w:t>
      </w:r>
      <w:r>
        <w:rPr/>
        <w:t>IPSASB,</w:t>
      </w:r>
      <w:r>
        <w:rPr>
          <w:spacing w:val="-15"/>
        </w:rPr>
        <w:t> </w:t>
      </w:r>
      <w:r>
        <w:rPr/>
        <w:t>de</w:t>
      </w:r>
      <w:r>
        <w:rPr>
          <w:spacing w:val="-10"/>
        </w:rPr>
        <w:t> </w:t>
      </w:r>
      <w:r>
        <w:rPr/>
        <w:t>la</w:t>
      </w:r>
      <w:r>
        <w:rPr>
          <w:spacing w:val="-10"/>
        </w:rPr>
        <w:t> </w:t>
      </w:r>
      <w:r>
        <w:rPr/>
        <w:t>Federación</w:t>
      </w:r>
      <w:r>
        <w:rPr>
          <w:spacing w:val="-10"/>
        </w:rPr>
        <w:t> </w:t>
      </w:r>
      <w:r>
        <w:rPr/>
        <w:t>Internacional</w:t>
      </w:r>
      <w:r>
        <w:rPr>
          <w:spacing w:val="-13"/>
        </w:rPr>
        <w:t> </w:t>
      </w:r>
      <w:r>
        <w:rPr/>
        <w:t>de</w:t>
      </w:r>
      <w:r>
        <w:rPr>
          <w:spacing w:val="-10"/>
        </w:rPr>
        <w:t> </w:t>
      </w:r>
      <w:r>
        <w:rPr/>
        <w:t>Contadores</w:t>
      </w:r>
      <w:r>
        <w:rPr>
          <w:spacing w:val="-12"/>
        </w:rPr>
        <w:t> </w:t>
      </w:r>
      <w:r>
        <w:rPr/>
        <w:t>(IFAC</w:t>
      </w:r>
      <w:r>
        <w:rPr>
          <w:spacing w:val="-13"/>
        </w:rPr>
        <w:t> </w:t>
      </w:r>
      <w:r>
        <w:rPr/>
        <w:t>por</w:t>
      </w:r>
      <w:r>
        <w:rPr>
          <w:spacing w:val="-13"/>
        </w:rPr>
        <w:t> </w:t>
      </w:r>
      <w:r>
        <w:rPr/>
        <w:t>sus siglas en ingles), de ahora en adelante IFAC, en el ámbito de las Instituciones del Sector Público Costarricense, con salvedad de las denominadas Empresas Públicas y las instituciones</w:t>
      </w:r>
      <w:r>
        <w:rPr>
          <w:spacing w:val="-5"/>
        </w:rPr>
        <w:t> </w:t>
      </w:r>
      <w:r>
        <w:rPr/>
        <w:t>bancarias,</w:t>
      </w:r>
      <w:r>
        <w:rPr>
          <w:spacing w:val="-4"/>
        </w:rPr>
        <w:t> </w:t>
      </w:r>
      <w:r>
        <w:rPr/>
        <w:t>a las</w:t>
      </w:r>
      <w:r>
        <w:rPr>
          <w:spacing w:val="-5"/>
        </w:rPr>
        <w:t> </w:t>
      </w:r>
      <w:r>
        <w:rPr/>
        <w:t>que</w:t>
      </w:r>
      <w:r>
        <w:rPr>
          <w:spacing w:val="-3"/>
        </w:rPr>
        <w:t> </w:t>
      </w:r>
      <w:r>
        <w:rPr/>
        <w:t>por</w:t>
      </w:r>
      <w:r>
        <w:rPr>
          <w:spacing w:val="-7"/>
        </w:rPr>
        <w:t> </w:t>
      </w:r>
      <w:r>
        <w:rPr/>
        <w:t>su</w:t>
      </w:r>
      <w:r>
        <w:rPr>
          <w:spacing w:val="-3"/>
        </w:rPr>
        <w:t> </w:t>
      </w:r>
      <w:r>
        <w:rPr/>
        <w:t>naturaleza y</w:t>
      </w:r>
      <w:r>
        <w:rPr>
          <w:spacing w:val="-5"/>
        </w:rPr>
        <w:t> </w:t>
      </w:r>
      <w:r>
        <w:rPr/>
        <w:t>por</w:t>
      </w:r>
      <w:r>
        <w:rPr>
          <w:spacing w:val="-2"/>
        </w:rPr>
        <w:t> </w:t>
      </w:r>
      <w:r>
        <w:rPr/>
        <w:t>recomendación</w:t>
      </w:r>
      <w:r>
        <w:rPr>
          <w:spacing w:val="-3"/>
        </w:rPr>
        <w:t> </w:t>
      </w:r>
      <w:r>
        <w:rPr/>
        <w:t>de</w:t>
      </w:r>
      <w:r>
        <w:rPr>
          <w:spacing w:val="-3"/>
        </w:rPr>
        <w:t> </w:t>
      </w:r>
      <w:r>
        <w:rPr/>
        <w:t>las NICSP</w:t>
      </w:r>
      <w:r>
        <w:rPr>
          <w:spacing w:val="-4"/>
        </w:rPr>
        <w:t> </w:t>
      </w:r>
      <w:r>
        <w:rPr/>
        <w:t>les son aplicables las Normas Internacionales de Información Financiera (NIIF). Fecha de vigencia 09/12/2008.</w:t>
      </w:r>
    </w:p>
    <w:p>
      <w:pPr>
        <w:spacing w:line="240" w:lineRule="auto" w:before="252"/>
        <w:ind w:left="979" w:right="1341" w:firstLine="0"/>
        <w:jc w:val="both"/>
        <w:rPr>
          <w:sz w:val="22"/>
        </w:rPr>
      </w:pPr>
      <w:r>
        <w:rPr>
          <w:b/>
          <w:sz w:val="22"/>
        </w:rPr>
        <w:t>Decreto</w:t>
      </w:r>
      <w:r>
        <w:rPr>
          <w:b/>
          <w:spacing w:val="-16"/>
          <w:sz w:val="22"/>
        </w:rPr>
        <w:t> </w:t>
      </w:r>
      <w:r>
        <w:rPr>
          <w:b/>
          <w:sz w:val="22"/>
        </w:rPr>
        <w:t>N°36043-MAG-SP-MS.</w:t>
      </w:r>
      <w:r>
        <w:rPr>
          <w:b/>
          <w:spacing w:val="-15"/>
          <w:sz w:val="22"/>
        </w:rPr>
        <w:t> </w:t>
      </w:r>
      <w:r>
        <w:rPr>
          <w:b/>
          <w:sz w:val="22"/>
        </w:rPr>
        <w:t>Regulaciones</w:t>
      </w:r>
      <w:r>
        <w:rPr>
          <w:b/>
          <w:spacing w:val="-15"/>
          <w:sz w:val="22"/>
        </w:rPr>
        <w:t> </w:t>
      </w:r>
      <w:r>
        <w:rPr>
          <w:b/>
          <w:sz w:val="22"/>
        </w:rPr>
        <w:t>permanentes</w:t>
      </w:r>
      <w:r>
        <w:rPr>
          <w:b/>
          <w:spacing w:val="-12"/>
          <w:sz w:val="22"/>
        </w:rPr>
        <w:t> </w:t>
      </w:r>
      <w:r>
        <w:rPr>
          <w:b/>
          <w:sz w:val="22"/>
        </w:rPr>
        <w:t>para</w:t>
      </w:r>
      <w:r>
        <w:rPr>
          <w:b/>
          <w:spacing w:val="-15"/>
          <w:sz w:val="22"/>
        </w:rPr>
        <w:t> </w:t>
      </w:r>
      <w:r>
        <w:rPr>
          <w:b/>
          <w:sz w:val="22"/>
        </w:rPr>
        <w:t>la</w:t>
      </w:r>
      <w:r>
        <w:rPr>
          <w:b/>
          <w:spacing w:val="-16"/>
          <w:sz w:val="22"/>
        </w:rPr>
        <w:t> </w:t>
      </w:r>
      <w:r>
        <w:rPr>
          <w:b/>
          <w:sz w:val="22"/>
        </w:rPr>
        <w:t>implementación</w:t>
      </w:r>
      <w:r>
        <w:rPr>
          <w:b/>
          <w:spacing w:val="-15"/>
          <w:sz w:val="22"/>
        </w:rPr>
        <w:t> </w:t>
      </w:r>
      <w:r>
        <w:rPr>
          <w:b/>
          <w:sz w:val="22"/>
        </w:rPr>
        <w:t>de una</w:t>
      </w:r>
      <w:r>
        <w:rPr>
          <w:b/>
          <w:spacing w:val="-1"/>
          <w:sz w:val="22"/>
        </w:rPr>
        <w:t> </w:t>
      </w:r>
      <w:r>
        <w:rPr>
          <w:b/>
          <w:sz w:val="22"/>
        </w:rPr>
        <w:t>ayuda</w:t>
      </w:r>
      <w:r>
        <w:rPr>
          <w:b/>
          <w:spacing w:val="-1"/>
          <w:sz w:val="22"/>
        </w:rPr>
        <w:t> </w:t>
      </w:r>
      <w:r>
        <w:rPr>
          <w:b/>
          <w:sz w:val="22"/>
        </w:rPr>
        <w:t>temporal</w:t>
      </w:r>
      <w:r>
        <w:rPr>
          <w:b/>
          <w:spacing w:val="-1"/>
          <w:sz w:val="22"/>
        </w:rPr>
        <w:t> </w:t>
      </w:r>
      <w:r>
        <w:rPr>
          <w:b/>
          <w:sz w:val="22"/>
        </w:rPr>
        <w:t>por</w:t>
      </w:r>
      <w:r>
        <w:rPr>
          <w:b/>
          <w:spacing w:val="-2"/>
          <w:sz w:val="22"/>
        </w:rPr>
        <w:t> </w:t>
      </w:r>
      <w:r>
        <w:rPr>
          <w:b/>
          <w:sz w:val="22"/>
        </w:rPr>
        <w:t>pobreza</w:t>
      </w:r>
      <w:r>
        <w:rPr>
          <w:b/>
          <w:spacing w:val="-5"/>
          <w:sz w:val="22"/>
        </w:rPr>
        <w:t> </w:t>
      </w:r>
      <w:r>
        <w:rPr>
          <w:b/>
          <w:sz w:val="22"/>
        </w:rPr>
        <w:t>coyuntural</w:t>
      </w:r>
      <w:r>
        <w:rPr>
          <w:b/>
          <w:spacing w:val="-6"/>
          <w:sz w:val="22"/>
        </w:rPr>
        <w:t> </w:t>
      </w:r>
      <w:r>
        <w:rPr>
          <w:b/>
          <w:sz w:val="22"/>
        </w:rPr>
        <w:t>en</w:t>
      </w:r>
      <w:r>
        <w:rPr>
          <w:b/>
          <w:spacing w:val="-8"/>
          <w:sz w:val="22"/>
        </w:rPr>
        <w:t> </w:t>
      </w:r>
      <w:r>
        <w:rPr>
          <w:b/>
          <w:sz w:val="22"/>
        </w:rPr>
        <w:t>el</w:t>
      </w:r>
      <w:r>
        <w:rPr>
          <w:b/>
          <w:spacing w:val="-1"/>
          <w:sz w:val="22"/>
        </w:rPr>
        <w:t> </w:t>
      </w:r>
      <w:r>
        <w:rPr>
          <w:b/>
          <w:sz w:val="22"/>
        </w:rPr>
        <w:t>sector</w:t>
      </w:r>
      <w:r>
        <w:rPr>
          <w:b/>
          <w:spacing w:val="-2"/>
          <w:sz w:val="22"/>
        </w:rPr>
        <w:t> </w:t>
      </w:r>
      <w:r>
        <w:rPr>
          <w:b/>
          <w:sz w:val="22"/>
        </w:rPr>
        <w:t>pesquero</w:t>
      </w:r>
      <w:r>
        <w:rPr>
          <w:b/>
          <w:spacing w:val="-7"/>
          <w:sz w:val="22"/>
        </w:rPr>
        <w:t> </w:t>
      </w:r>
      <w:r>
        <w:rPr>
          <w:b/>
          <w:sz w:val="22"/>
        </w:rPr>
        <w:t>costarricense</w:t>
      </w:r>
      <w:r>
        <w:rPr>
          <w:b/>
          <w:spacing w:val="-1"/>
          <w:sz w:val="22"/>
        </w:rPr>
        <w:t> </w:t>
      </w:r>
      <w:r>
        <w:rPr>
          <w:b/>
          <w:sz w:val="22"/>
        </w:rPr>
        <w:t>por declaratorias de vedas. </w:t>
      </w:r>
      <w:r>
        <w:rPr>
          <w:sz w:val="22"/>
        </w:rPr>
        <w:t>Establece criterios técnicos, científicos,</w:t>
      </w:r>
      <w:r>
        <w:rPr>
          <w:spacing w:val="-1"/>
          <w:sz w:val="22"/>
        </w:rPr>
        <w:t> </w:t>
      </w:r>
      <w:r>
        <w:rPr>
          <w:sz w:val="22"/>
        </w:rPr>
        <w:t>económicos y sociales a aplicar</w:t>
      </w:r>
      <w:r>
        <w:rPr>
          <w:spacing w:val="-7"/>
          <w:sz w:val="22"/>
        </w:rPr>
        <w:t> </w:t>
      </w:r>
      <w:r>
        <w:rPr>
          <w:sz w:val="22"/>
        </w:rPr>
        <w:t>en</w:t>
      </w:r>
      <w:r>
        <w:rPr>
          <w:spacing w:val="-3"/>
          <w:sz w:val="22"/>
        </w:rPr>
        <w:t> </w:t>
      </w:r>
      <w:r>
        <w:rPr>
          <w:sz w:val="22"/>
        </w:rPr>
        <w:t>épocas</w:t>
      </w:r>
      <w:r>
        <w:rPr>
          <w:spacing w:val="-5"/>
          <w:sz w:val="22"/>
        </w:rPr>
        <w:t> </w:t>
      </w:r>
      <w:r>
        <w:rPr>
          <w:sz w:val="22"/>
        </w:rPr>
        <w:t>de</w:t>
      </w:r>
      <w:r>
        <w:rPr>
          <w:spacing w:val="-3"/>
          <w:sz w:val="22"/>
        </w:rPr>
        <w:t> </w:t>
      </w:r>
      <w:r>
        <w:rPr>
          <w:sz w:val="22"/>
        </w:rPr>
        <w:t>veda,</w:t>
      </w:r>
      <w:r>
        <w:rPr>
          <w:spacing w:val="-4"/>
          <w:sz w:val="22"/>
        </w:rPr>
        <w:t> </w:t>
      </w:r>
      <w:r>
        <w:rPr>
          <w:sz w:val="22"/>
        </w:rPr>
        <w:t>sea</w:t>
      </w:r>
      <w:r>
        <w:rPr>
          <w:spacing w:val="-3"/>
          <w:sz w:val="22"/>
        </w:rPr>
        <w:t> </w:t>
      </w:r>
      <w:r>
        <w:rPr>
          <w:sz w:val="22"/>
        </w:rPr>
        <w:t>por</w:t>
      </w:r>
      <w:r>
        <w:rPr>
          <w:spacing w:val="-7"/>
          <w:sz w:val="22"/>
        </w:rPr>
        <w:t> </w:t>
      </w:r>
      <w:r>
        <w:rPr>
          <w:sz w:val="22"/>
        </w:rPr>
        <w:t>zonas,</w:t>
      </w:r>
      <w:r>
        <w:rPr>
          <w:spacing w:val="-4"/>
          <w:sz w:val="22"/>
        </w:rPr>
        <w:t> </w:t>
      </w:r>
      <w:r>
        <w:rPr>
          <w:sz w:val="22"/>
        </w:rPr>
        <w:t>áreas,</w:t>
      </w:r>
      <w:r>
        <w:rPr>
          <w:spacing w:val="-9"/>
          <w:sz w:val="22"/>
        </w:rPr>
        <w:t> </w:t>
      </w:r>
      <w:r>
        <w:rPr>
          <w:sz w:val="22"/>
        </w:rPr>
        <w:t>por</w:t>
      </w:r>
      <w:r>
        <w:rPr>
          <w:spacing w:val="-7"/>
          <w:sz w:val="22"/>
        </w:rPr>
        <w:t> </w:t>
      </w:r>
      <w:r>
        <w:rPr>
          <w:sz w:val="22"/>
        </w:rPr>
        <w:t>especies</w:t>
      </w:r>
      <w:r>
        <w:rPr>
          <w:spacing w:val="-5"/>
          <w:sz w:val="22"/>
        </w:rPr>
        <w:t> </w:t>
      </w:r>
      <w:r>
        <w:rPr>
          <w:sz w:val="22"/>
        </w:rPr>
        <w:t>o</w:t>
      </w:r>
      <w:r>
        <w:rPr>
          <w:spacing w:val="-3"/>
          <w:sz w:val="22"/>
        </w:rPr>
        <w:t> </w:t>
      </w:r>
      <w:r>
        <w:rPr>
          <w:sz w:val="22"/>
        </w:rPr>
        <w:t>por</w:t>
      </w:r>
      <w:r>
        <w:rPr>
          <w:spacing w:val="-7"/>
          <w:sz w:val="22"/>
        </w:rPr>
        <w:t> </w:t>
      </w:r>
      <w:r>
        <w:rPr>
          <w:sz w:val="22"/>
        </w:rPr>
        <w:t>artes</w:t>
      </w:r>
      <w:r>
        <w:rPr>
          <w:spacing w:val="-5"/>
          <w:sz w:val="22"/>
        </w:rPr>
        <w:t> </w:t>
      </w:r>
      <w:r>
        <w:rPr>
          <w:sz w:val="22"/>
        </w:rPr>
        <w:t>determinadas,</w:t>
      </w:r>
      <w:r>
        <w:rPr>
          <w:spacing w:val="-4"/>
          <w:sz w:val="22"/>
        </w:rPr>
        <w:t> </w:t>
      </w:r>
      <w:r>
        <w:rPr>
          <w:sz w:val="22"/>
        </w:rPr>
        <w:t>a fin de proteger y aprovechar los recursos hidrobiológicos de manera sostenible. Fecha de vigencia 15/06/2010.</w:t>
      </w:r>
    </w:p>
    <w:p>
      <w:pPr>
        <w:spacing w:after="0" w:line="240" w:lineRule="auto"/>
        <w:jc w:val="both"/>
        <w:rPr>
          <w:sz w:val="22"/>
        </w:rPr>
        <w:sectPr>
          <w:pgSz w:w="12240" w:h="15840"/>
          <w:pgMar w:header="0" w:footer="1021" w:top="1340" w:bottom="1220" w:left="720" w:right="360"/>
        </w:sectPr>
      </w:pPr>
    </w:p>
    <w:p>
      <w:pPr>
        <w:spacing w:line="240" w:lineRule="auto" w:before="76"/>
        <w:ind w:left="979" w:right="1333" w:firstLine="0"/>
        <w:jc w:val="both"/>
        <w:rPr>
          <w:sz w:val="22"/>
        </w:rPr>
      </w:pPr>
      <w:r>
        <w:rPr>
          <w:b/>
          <w:sz w:val="22"/>
        </w:rPr>
        <w:t>Decreto N°36042-S Normas de Acreditación de la Discapacidad</w:t>
      </w:r>
      <w:r>
        <w:rPr>
          <w:b/>
          <w:spacing w:val="-2"/>
          <w:sz w:val="22"/>
        </w:rPr>
        <w:t> </w:t>
      </w:r>
      <w:r>
        <w:rPr>
          <w:b/>
          <w:sz w:val="22"/>
        </w:rPr>
        <w:t>para el Acceso a los Programas Sociales y Selectivos de Salud. </w:t>
      </w:r>
      <w:r>
        <w:rPr>
          <w:sz w:val="22"/>
        </w:rPr>
        <w:t>Propone las bases políticas, técnicas, metodológicas y presupuestarias para la puesta en operación de un servicio público que permita unificar y universalizar la acreditación de la discapacidad como medio el</w:t>
      </w:r>
      <w:r>
        <w:rPr>
          <w:spacing w:val="-1"/>
          <w:sz w:val="22"/>
        </w:rPr>
        <w:t> </w:t>
      </w:r>
      <w:r>
        <w:rPr>
          <w:sz w:val="22"/>
        </w:rPr>
        <w:t>acceso a servicios,</w:t>
      </w:r>
      <w:r>
        <w:rPr>
          <w:spacing w:val="-5"/>
          <w:sz w:val="22"/>
        </w:rPr>
        <w:t> </w:t>
      </w:r>
      <w:r>
        <w:rPr>
          <w:sz w:val="22"/>
        </w:rPr>
        <w:t>prestaciones</w:t>
      </w:r>
      <w:r>
        <w:rPr>
          <w:spacing w:val="-1"/>
          <w:sz w:val="22"/>
        </w:rPr>
        <w:t> </w:t>
      </w:r>
      <w:r>
        <w:rPr>
          <w:sz w:val="22"/>
        </w:rPr>
        <w:t>y</w:t>
      </w:r>
      <w:r>
        <w:rPr>
          <w:spacing w:val="-6"/>
          <w:sz w:val="22"/>
        </w:rPr>
        <w:t> </w:t>
      </w:r>
      <w:r>
        <w:rPr>
          <w:sz w:val="22"/>
        </w:rPr>
        <w:t>beneficios</w:t>
      </w:r>
      <w:r>
        <w:rPr>
          <w:spacing w:val="-6"/>
          <w:sz w:val="22"/>
        </w:rPr>
        <w:t> </w:t>
      </w:r>
      <w:r>
        <w:rPr>
          <w:sz w:val="22"/>
        </w:rPr>
        <w:t>de las</w:t>
      </w:r>
      <w:r>
        <w:rPr>
          <w:spacing w:val="-1"/>
          <w:sz w:val="22"/>
        </w:rPr>
        <w:t> </w:t>
      </w:r>
      <w:r>
        <w:rPr>
          <w:sz w:val="22"/>
        </w:rPr>
        <w:t>políticas</w:t>
      </w:r>
      <w:r>
        <w:rPr>
          <w:spacing w:val="-1"/>
          <w:sz w:val="22"/>
        </w:rPr>
        <w:t> </w:t>
      </w:r>
      <w:r>
        <w:rPr>
          <w:sz w:val="22"/>
        </w:rPr>
        <w:t>y</w:t>
      </w:r>
      <w:r>
        <w:rPr>
          <w:spacing w:val="-1"/>
          <w:sz w:val="22"/>
        </w:rPr>
        <w:t> </w:t>
      </w:r>
      <w:r>
        <w:rPr>
          <w:sz w:val="22"/>
        </w:rPr>
        <w:t>programas</w:t>
      </w:r>
      <w:r>
        <w:rPr>
          <w:spacing w:val="-6"/>
          <w:sz w:val="22"/>
        </w:rPr>
        <w:t> </w:t>
      </w:r>
      <w:r>
        <w:rPr>
          <w:sz w:val="22"/>
        </w:rPr>
        <w:t>estatales,</w:t>
      </w:r>
      <w:r>
        <w:rPr>
          <w:spacing w:val="-5"/>
          <w:sz w:val="22"/>
        </w:rPr>
        <w:t> </w:t>
      </w:r>
      <w:r>
        <w:rPr>
          <w:sz w:val="22"/>
        </w:rPr>
        <w:t>Acreditación</w:t>
      </w:r>
      <w:r>
        <w:rPr>
          <w:spacing w:val="-4"/>
          <w:sz w:val="22"/>
        </w:rPr>
        <w:t> </w:t>
      </w:r>
      <w:r>
        <w:rPr>
          <w:sz w:val="22"/>
        </w:rPr>
        <w:t>de la</w:t>
      </w:r>
      <w:r>
        <w:rPr>
          <w:spacing w:val="-4"/>
          <w:sz w:val="22"/>
        </w:rPr>
        <w:t> </w:t>
      </w:r>
      <w:r>
        <w:rPr>
          <w:sz w:val="22"/>
        </w:rPr>
        <w:t>condición</w:t>
      </w:r>
      <w:r>
        <w:rPr>
          <w:spacing w:val="-9"/>
          <w:sz w:val="22"/>
        </w:rPr>
        <w:t> </w:t>
      </w:r>
      <w:r>
        <w:rPr>
          <w:sz w:val="22"/>
        </w:rPr>
        <w:t>de</w:t>
      </w:r>
      <w:r>
        <w:rPr>
          <w:spacing w:val="-9"/>
          <w:sz w:val="22"/>
        </w:rPr>
        <w:t> </w:t>
      </w:r>
      <w:r>
        <w:rPr>
          <w:sz w:val="22"/>
        </w:rPr>
        <w:t>discapacidad</w:t>
      </w:r>
      <w:r>
        <w:rPr>
          <w:spacing w:val="-9"/>
          <w:sz w:val="22"/>
        </w:rPr>
        <w:t> </w:t>
      </w:r>
      <w:r>
        <w:rPr>
          <w:sz w:val="22"/>
        </w:rPr>
        <w:t>como</w:t>
      </w:r>
      <w:r>
        <w:rPr>
          <w:spacing w:val="-9"/>
          <w:sz w:val="22"/>
        </w:rPr>
        <w:t> </w:t>
      </w:r>
      <w:r>
        <w:rPr>
          <w:sz w:val="22"/>
        </w:rPr>
        <w:t>elemento</w:t>
      </w:r>
      <w:r>
        <w:rPr>
          <w:spacing w:val="-9"/>
          <w:sz w:val="22"/>
        </w:rPr>
        <w:t> </w:t>
      </w:r>
      <w:r>
        <w:rPr>
          <w:sz w:val="22"/>
        </w:rPr>
        <w:t>aplicable</w:t>
      </w:r>
      <w:r>
        <w:rPr>
          <w:spacing w:val="-9"/>
          <w:sz w:val="22"/>
        </w:rPr>
        <w:t> </w:t>
      </w:r>
      <w:r>
        <w:rPr>
          <w:sz w:val="22"/>
        </w:rPr>
        <w:t>en</w:t>
      </w:r>
      <w:r>
        <w:rPr>
          <w:spacing w:val="-4"/>
          <w:sz w:val="22"/>
        </w:rPr>
        <w:t> </w:t>
      </w:r>
      <w:r>
        <w:rPr>
          <w:sz w:val="22"/>
        </w:rPr>
        <w:t>la</w:t>
      </w:r>
      <w:r>
        <w:rPr>
          <w:spacing w:val="-9"/>
          <w:sz w:val="22"/>
        </w:rPr>
        <w:t> </w:t>
      </w:r>
      <w:r>
        <w:rPr>
          <w:sz w:val="22"/>
        </w:rPr>
        <w:t>valoración</w:t>
      </w:r>
      <w:r>
        <w:rPr>
          <w:spacing w:val="-4"/>
          <w:sz w:val="22"/>
        </w:rPr>
        <w:t> </w:t>
      </w:r>
      <w:r>
        <w:rPr>
          <w:sz w:val="22"/>
        </w:rPr>
        <w:t>social</w:t>
      </w:r>
      <w:r>
        <w:rPr>
          <w:spacing w:val="-12"/>
          <w:sz w:val="22"/>
        </w:rPr>
        <w:t> </w:t>
      </w:r>
      <w:r>
        <w:rPr>
          <w:sz w:val="22"/>
        </w:rPr>
        <w:t>que</w:t>
      </w:r>
      <w:r>
        <w:rPr>
          <w:spacing w:val="-4"/>
          <w:sz w:val="22"/>
        </w:rPr>
        <w:t> </w:t>
      </w:r>
      <w:r>
        <w:rPr>
          <w:sz w:val="22"/>
        </w:rPr>
        <w:t>realiza</w:t>
      </w:r>
      <w:r>
        <w:rPr>
          <w:spacing w:val="-9"/>
          <w:sz w:val="22"/>
        </w:rPr>
        <w:t> </w:t>
      </w:r>
      <w:r>
        <w:rPr>
          <w:sz w:val="22"/>
        </w:rPr>
        <w:t>el IMAS. Fecha de vigencia 18/06/2010.</w:t>
      </w:r>
    </w:p>
    <w:p>
      <w:pPr>
        <w:pStyle w:val="BodyText"/>
        <w:spacing w:before="2"/>
      </w:pPr>
    </w:p>
    <w:p>
      <w:pPr>
        <w:spacing w:line="240" w:lineRule="auto" w:before="1"/>
        <w:ind w:left="979" w:right="1338" w:firstLine="0"/>
        <w:jc w:val="both"/>
        <w:rPr>
          <w:sz w:val="22"/>
        </w:rPr>
      </w:pPr>
      <w:r>
        <w:rPr>
          <w:b/>
          <w:sz w:val="22"/>
        </w:rPr>
        <w:t>Decreto</w:t>
      </w:r>
      <w:r>
        <w:rPr>
          <w:b/>
          <w:spacing w:val="-2"/>
          <w:sz w:val="22"/>
        </w:rPr>
        <w:t> </w:t>
      </w:r>
      <w:r>
        <w:rPr>
          <w:b/>
          <w:sz w:val="22"/>
        </w:rPr>
        <w:t>N°36462-MP-MTSS. Reglamento</w:t>
      </w:r>
      <w:r>
        <w:rPr>
          <w:b/>
          <w:spacing w:val="-2"/>
          <w:sz w:val="22"/>
        </w:rPr>
        <w:t> </w:t>
      </w:r>
      <w:r>
        <w:rPr>
          <w:b/>
          <w:sz w:val="22"/>
        </w:rPr>
        <w:t>a la ley</w:t>
      </w:r>
      <w:r>
        <w:rPr>
          <w:b/>
          <w:spacing w:val="-4"/>
          <w:sz w:val="22"/>
        </w:rPr>
        <w:t> </w:t>
      </w:r>
      <w:r>
        <w:rPr>
          <w:b/>
          <w:sz w:val="22"/>
        </w:rPr>
        <w:t>de inclusión</w:t>
      </w:r>
      <w:r>
        <w:rPr>
          <w:b/>
          <w:spacing w:val="-2"/>
          <w:sz w:val="22"/>
        </w:rPr>
        <w:t> </w:t>
      </w:r>
      <w:r>
        <w:rPr>
          <w:b/>
          <w:sz w:val="22"/>
        </w:rPr>
        <w:t>y</w:t>
      </w:r>
      <w:r>
        <w:rPr>
          <w:b/>
          <w:spacing w:val="-4"/>
          <w:sz w:val="22"/>
        </w:rPr>
        <w:t> </w:t>
      </w:r>
      <w:r>
        <w:rPr>
          <w:b/>
          <w:sz w:val="22"/>
        </w:rPr>
        <w:t>protección</w:t>
      </w:r>
      <w:r>
        <w:rPr>
          <w:b/>
          <w:spacing w:val="-2"/>
          <w:sz w:val="22"/>
        </w:rPr>
        <w:t> </w:t>
      </w:r>
      <w:r>
        <w:rPr>
          <w:b/>
          <w:sz w:val="22"/>
        </w:rPr>
        <w:t>laboral de las personas con discapacidad en el sector público. </w:t>
      </w:r>
      <w:r>
        <w:rPr>
          <w:sz w:val="22"/>
        </w:rPr>
        <w:t>Creación de Comisión Especializada</w:t>
      </w:r>
      <w:r>
        <w:rPr>
          <w:spacing w:val="-16"/>
          <w:sz w:val="22"/>
        </w:rPr>
        <w:t> </w:t>
      </w:r>
      <w:r>
        <w:rPr>
          <w:sz w:val="22"/>
        </w:rPr>
        <w:t>en</w:t>
      </w:r>
      <w:r>
        <w:rPr>
          <w:spacing w:val="-11"/>
          <w:sz w:val="22"/>
        </w:rPr>
        <w:t> </w:t>
      </w:r>
      <w:r>
        <w:rPr>
          <w:sz w:val="22"/>
        </w:rPr>
        <w:t>todas</w:t>
      </w:r>
      <w:r>
        <w:rPr>
          <w:spacing w:val="-16"/>
          <w:sz w:val="22"/>
        </w:rPr>
        <w:t> </w:t>
      </w:r>
      <w:r>
        <w:rPr>
          <w:sz w:val="22"/>
        </w:rPr>
        <w:t>las</w:t>
      </w:r>
      <w:r>
        <w:rPr>
          <w:spacing w:val="-11"/>
          <w:sz w:val="22"/>
        </w:rPr>
        <w:t> </w:t>
      </w:r>
      <w:r>
        <w:rPr>
          <w:sz w:val="22"/>
        </w:rPr>
        <w:t>instituciones,</w:t>
      </w:r>
      <w:r>
        <w:rPr>
          <w:spacing w:val="-11"/>
          <w:sz w:val="22"/>
        </w:rPr>
        <w:t> </w:t>
      </w:r>
      <w:r>
        <w:rPr>
          <w:sz w:val="22"/>
        </w:rPr>
        <w:t>reglamentando</w:t>
      </w:r>
      <w:r>
        <w:rPr>
          <w:spacing w:val="-15"/>
          <w:sz w:val="22"/>
        </w:rPr>
        <w:t> </w:t>
      </w:r>
      <w:r>
        <w:rPr>
          <w:sz w:val="22"/>
        </w:rPr>
        <w:t>las</w:t>
      </w:r>
      <w:r>
        <w:rPr>
          <w:spacing w:val="-16"/>
          <w:sz w:val="22"/>
        </w:rPr>
        <w:t> </w:t>
      </w:r>
      <w:r>
        <w:rPr>
          <w:sz w:val="22"/>
        </w:rPr>
        <w:t>funciones</w:t>
      </w:r>
      <w:r>
        <w:rPr>
          <w:spacing w:val="-11"/>
          <w:sz w:val="22"/>
        </w:rPr>
        <w:t> </w:t>
      </w:r>
      <w:r>
        <w:rPr>
          <w:sz w:val="22"/>
        </w:rPr>
        <w:t>de</w:t>
      </w:r>
      <w:r>
        <w:rPr>
          <w:spacing w:val="-15"/>
          <w:sz w:val="22"/>
        </w:rPr>
        <w:t> </w:t>
      </w:r>
      <w:r>
        <w:rPr>
          <w:sz w:val="22"/>
        </w:rPr>
        <w:t>esta,</w:t>
      </w:r>
      <w:r>
        <w:rPr>
          <w:spacing w:val="-16"/>
          <w:sz w:val="22"/>
        </w:rPr>
        <w:t> </w:t>
      </w:r>
      <w:r>
        <w:rPr>
          <w:sz w:val="22"/>
        </w:rPr>
        <w:t>con</w:t>
      </w:r>
      <w:r>
        <w:rPr>
          <w:spacing w:val="-14"/>
          <w:sz w:val="22"/>
        </w:rPr>
        <w:t> </w:t>
      </w:r>
      <w:r>
        <w:rPr>
          <w:sz w:val="22"/>
        </w:rPr>
        <w:t>el</w:t>
      </w:r>
      <w:r>
        <w:rPr>
          <w:spacing w:val="-13"/>
          <w:sz w:val="22"/>
        </w:rPr>
        <w:t> </w:t>
      </w:r>
      <w:r>
        <w:rPr>
          <w:sz w:val="22"/>
        </w:rPr>
        <w:t>objeto regular los mecanismos para la efectiva aplicación y seguimiento de la Ley Nº8862, para alcanzar la más plena inclusión de las personas con discapacidad en el ámbito laboral</w:t>
      </w:r>
      <w:r>
        <w:rPr>
          <w:spacing w:val="-1"/>
          <w:sz w:val="22"/>
        </w:rPr>
        <w:t> </w:t>
      </w:r>
      <w:r>
        <w:rPr>
          <w:sz w:val="22"/>
        </w:rPr>
        <w:t>del sector público.</w:t>
      </w:r>
      <w:r>
        <w:rPr>
          <w:spacing w:val="40"/>
          <w:sz w:val="22"/>
        </w:rPr>
        <w:t> </w:t>
      </w:r>
      <w:r>
        <w:rPr>
          <w:sz w:val="22"/>
        </w:rPr>
        <w:t>Fecha de vigencia 02/02/2011.</w:t>
      </w:r>
    </w:p>
    <w:p>
      <w:pPr>
        <w:pStyle w:val="BodyText"/>
        <w:spacing w:before="248"/>
        <w:ind w:left="979" w:right="1334"/>
        <w:jc w:val="both"/>
      </w:pPr>
      <w:r>
        <w:rPr>
          <w:b/>
        </w:rPr>
        <w:t>Decreto Nº36916</w:t>
      </w:r>
      <w:r>
        <w:rPr/>
        <w:t>-</w:t>
      </w:r>
      <w:r>
        <w:rPr>
          <w:b/>
        </w:rPr>
        <w:t>MP-MBSFOrganización general y bases operativas de la Red Nacional de Cuido y Desarrollo Infantil. </w:t>
      </w:r>
      <w:r>
        <w:rPr/>
        <w:t>Articula las diferentes actividades que se desarrollan</w:t>
      </w:r>
      <w:r>
        <w:rPr>
          <w:spacing w:val="-16"/>
        </w:rPr>
        <w:t> </w:t>
      </w:r>
      <w:r>
        <w:rPr/>
        <w:t>en</w:t>
      </w:r>
      <w:r>
        <w:rPr>
          <w:spacing w:val="-15"/>
        </w:rPr>
        <w:t> </w:t>
      </w:r>
      <w:r>
        <w:rPr/>
        <w:t>el</w:t>
      </w:r>
      <w:r>
        <w:rPr>
          <w:spacing w:val="-15"/>
        </w:rPr>
        <w:t> </w:t>
      </w:r>
      <w:r>
        <w:rPr/>
        <w:t>país</w:t>
      </w:r>
      <w:r>
        <w:rPr>
          <w:spacing w:val="-16"/>
        </w:rPr>
        <w:t> </w:t>
      </w:r>
      <w:r>
        <w:rPr/>
        <w:t>en</w:t>
      </w:r>
      <w:r>
        <w:rPr>
          <w:spacing w:val="-15"/>
        </w:rPr>
        <w:t> </w:t>
      </w:r>
      <w:r>
        <w:rPr/>
        <w:t>materia</w:t>
      </w:r>
      <w:r>
        <w:rPr>
          <w:spacing w:val="-15"/>
        </w:rPr>
        <w:t> </w:t>
      </w:r>
      <w:r>
        <w:rPr/>
        <w:t>de</w:t>
      </w:r>
      <w:r>
        <w:rPr>
          <w:spacing w:val="-15"/>
        </w:rPr>
        <w:t> </w:t>
      </w:r>
      <w:r>
        <w:rPr/>
        <w:t>cuido</w:t>
      </w:r>
      <w:r>
        <w:rPr>
          <w:spacing w:val="-16"/>
        </w:rPr>
        <w:t> </w:t>
      </w:r>
      <w:r>
        <w:rPr/>
        <w:t>y</w:t>
      </w:r>
      <w:r>
        <w:rPr>
          <w:spacing w:val="-15"/>
        </w:rPr>
        <w:t> </w:t>
      </w:r>
      <w:r>
        <w:rPr/>
        <w:t>desarrollo</w:t>
      </w:r>
      <w:r>
        <w:rPr>
          <w:spacing w:val="-15"/>
        </w:rPr>
        <w:t> </w:t>
      </w:r>
      <w:r>
        <w:rPr/>
        <w:t>infantil,</w:t>
      </w:r>
      <w:r>
        <w:rPr>
          <w:spacing w:val="-16"/>
        </w:rPr>
        <w:t> </w:t>
      </w:r>
      <w:r>
        <w:rPr/>
        <w:t>tanto</w:t>
      </w:r>
      <w:r>
        <w:rPr>
          <w:spacing w:val="-15"/>
        </w:rPr>
        <w:t> </w:t>
      </w:r>
      <w:r>
        <w:rPr/>
        <w:t>públicas</w:t>
      </w:r>
      <w:r>
        <w:rPr>
          <w:spacing w:val="-15"/>
        </w:rPr>
        <w:t> </w:t>
      </w:r>
      <w:r>
        <w:rPr/>
        <w:t>como</w:t>
      </w:r>
      <w:r>
        <w:rPr>
          <w:spacing w:val="-15"/>
        </w:rPr>
        <w:t> </w:t>
      </w:r>
      <w:r>
        <w:rPr/>
        <w:t>privadas, para fortalecer las modalidades existentes y ampliar las alternativas de atención infantil integral, IMAS destina recursos para construcción, remodelación, ampliación, compra de edificaciones</w:t>
      </w:r>
      <w:r>
        <w:rPr>
          <w:spacing w:val="-8"/>
        </w:rPr>
        <w:t> </w:t>
      </w:r>
      <w:r>
        <w:rPr/>
        <w:t>y</w:t>
      </w:r>
      <w:r>
        <w:rPr>
          <w:spacing w:val="-8"/>
        </w:rPr>
        <w:t> </w:t>
      </w:r>
      <w:r>
        <w:rPr/>
        <w:t>terrenos,</w:t>
      </w:r>
      <w:r>
        <w:rPr>
          <w:spacing w:val="-11"/>
        </w:rPr>
        <w:t> </w:t>
      </w:r>
      <w:r>
        <w:rPr/>
        <w:t>alquiler,</w:t>
      </w:r>
      <w:r>
        <w:rPr>
          <w:spacing w:val="-7"/>
        </w:rPr>
        <w:t> </w:t>
      </w:r>
      <w:r>
        <w:rPr/>
        <w:t>equipamiento,</w:t>
      </w:r>
      <w:r>
        <w:rPr>
          <w:spacing w:val="-7"/>
        </w:rPr>
        <w:t> </w:t>
      </w:r>
      <w:r>
        <w:rPr/>
        <w:t>apertura</w:t>
      </w:r>
      <w:r>
        <w:rPr>
          <w:spacing w:val="-6"/>
        </w:rPr>
        <w:t> </w:t>
      </w:r>
      <w:r>
        <w:rPr/>
        <w:t>y</w:t>
      </w:r>
      <w:r>
        <w:rPr>
          <w:spacing w:val="-8"/>
        </w:rPr>
        <w:t> </w:t>
      </w:r>
      <w:r>
        <w:rPr/>
        <w:t>operación</w:t>
      </w:r>
      <w:r>
        <w:rPr>
          <w:spacing w:val="-6"/>
        </w:rPr>
        <w:t> </w:t>
      </w:r>
      <w:r>
        <w:rPr/>
        <w:t>de</w:t>
      </w:r>
      <w:r>
        <w:rPr>
          <w:spacing w:val="-6"/>
        </w:rPr>
        <w:t> </w:t>
      </w:r>
      <w:r>
        <w:rPr/>
        <w:t>centros de</w:t>
      </w:r>
      <w:r>
        <w:rPr>
          <w:spacing w:val="-6"/>
        </w:rPr>
        <w:t> </w:t>
      </w:r>
      <w:r>
        <w:rPr/>
        <w:t>cuido</w:t>
      </w:r>
      <w:r>
        <w:rPr>
          <w:spacing w:val="-6"/>
        </w:rPr>
        <w:t> </w:t>
      </w:r>
      <w:r>
        <w:rPr/>
        <w:t>y desarrollo infantil. Fecha de vigencia 20/01/2012</w:t>
      </w:r>
    </w:p>
    <w:p>
      <w:pPr>
        <w:pStyle w:val="BodyText"/>
        <w:spacing w:before="3"/>
      </w:pPr>
    </w:p>
    <w:p>
      <w:pPr>
        <w:spacing w:line="240" w:lineRule="auto" w:before="0"/>
        <w:ind w:left="979" w:right="1337" w:firstLine="0"/>
        <w:jc w:val="both"/>
        <w:rPr>
          <w:sz w:val="22"/>
        </w:rPr>
      </w:pPr>
      <w:r>
        <w:rPr>
          <w:b/>
          <w:sz w:val="22"/>
        </w:rPr>
        <w:t>Decreto N°34918-H. </w:t>
      </w:r>
      <w:r>
        <w:rPr>
          <w:sz w:val="22"/>
        </w:rPr>
        <w:t>REFORMA </w:t>
      </w:r>
      <w:r>
        <w:rPr>
          <w:b/>
          <w:sz w:val="22"/>
        </w:rPr>
        <w:t>"Adopción e Implementación de las Normas Internacionales de Contabilidad del Sector Público (NICSP)</w:t>
      </w:r>
      <w:r>
        <w:rPr>
          <w:sz w:val="22"/>
        </w:rPr>
        <w:t>, en el Ámbito Costarricense" y el decreto 34460 "Principios de Contabilidad Aplicables al Sector Público Costarricense</w:t>
      </w:r>
      <w:r>
        <w:rPr>
          <w:spacing w:val="-10"/>
          <w:sz w:val="22"/>
        </w:rPr>
        <w:t> </w:t>
      </w:r>
      <w:r>
        <w:rPr>
          <w:sz w:val="22"/>
        </w:rPr>
        <w:t>"36961-H,</w:t>
      </w:r>
      <w:r>
        <w:rPr>
          <w:spacing w:val="-6"/>
          <w:sz w:val="22"/>
        </w:rPr>
        <w:t> </w:t>
      </w:r>
      <w:r>
        <w:rPr>
          <w:sz w:val="22"/>
        </w:rPr>
        <w:t>Reforma</w:t>
      </w:r>
      <w:r>
        <w:rPr>
          <w:spacing w:val="-10"/>
          <w:sz w:val="22"/>
        </w:rPr>
        <w:t> </w:t>
      </w:r>
      <w:r>
        <w:rPr>
          <w:sz w:val="22"/>
        </w:rPr>
        <w:t>el</w:t>
      </w:r>
      <w:r>
        <w:rPr>
          <w:spacing w:val="-12"/>
          <w:sz w:val="22"/>
        </w:rPr>
        <w:t> </w:t>
      </w:r>
      <w:r>
        <w:rPr>
          <w:sz w:val="22"/>
        </w:rPr>
        <w:t>artículo</w:t>
      </w:r>
      <w:r>
        <w:rPr>
          <w:spacing w:val="-10"/>
          <w:sz w:val="22"/>
        </w:rPr>
        <w:t> </w:t>
      </w:r>
      <w:r>
        <w:rPr>
          <w:sz w:val="22"/>
        </w:rPr>
        <w:t>7°</w:t>
      </w:r>
      <w:r>
        <w:rPr>
          <w:spacing w:val="-13"/>
          <w:sz w:val="22"/>
        </w:rPr>
        <w:t> </w:t>
      </w:r>
      <w:r>
        <w:rPr>
          <w:sz w:val="22"/>
        </w:rPr>
        <w:t>del</w:t>
      </w:r>
      <w:r>
        <w:rPr>
          <w:spacing w:val="-8"/>
          <w:sz w:val="22"/>
        </w:rPr>
        <w:t> </w:t>
      </w:r>
      <w:r>
        <w:rPr>
          <w:sz w:val="22"/>
        </w:rPr>
        <w:t>Decreto</w:t>
      </w:r>
      <w:r>
        <w:rPr>
          <w:spacing w:val="-5"/>
          <w:sz w:val="22"/>
        </w:rPr>
        <w:t> </w:t>
      </w:r>
      <w:r>
        <w:rPr>
          <w:sz w:val="22"/>
        </w:rPr>
        <w:t>N°</w:t>
      </w:r>
      <w:r>
        <w:rPr>
          <w:spacing w:val="-9"/>
          <w:sz w:val="22"/>
        </w:rPr>
        <w:t> </w:t>
      </w:r>
      <w:r>
        <w:rPr>
          <w:sz w:val="22"/>
        </w:rPr>
        <w:t>34918-H.</w:t>
      </w:r>
      <w:r>
        <w:rPr>
          <w:spacing w:val="-6"/>
          <w:sz w:val="22"/>
        </w:rPr>
        <w:t> </w:t>
      </w:r>
      <w:r>
        <w:rPr>
          <w:sz w:val="22"/>
        </w:rPr>
        <w:t>Fecha</w:t>
      </w:r>
      <w:r>
        <w:rPr>
          <w:spacing w:val="-10"/>
          <w:sz w:val="22"/>
        </w:rPr>
        <w:t> </w:t>
      </w:r>
      <w:r>
        <w:rPr>
          <w:sz w:val="22"/>
        </w:rPr>
        <w:t>de</w:t>
      </w:r>
      <w:r>
        <w:rPr>
          <w:spacing w:val="-5"/>
          <w:sz w:val="22"/>
        </w:rPr>
        <w:t> </w:t>
      </w:r>
      <w:r>
        <w:rPr>
          <w:sz w:val="22"/>
        </w:rPr>
        <w:t>vigencia </w:t>
      </w:r>
      <w:r>
        <w:rPr>
          <w:spacing w:val="-2"/>
          <w:sz w:val="22"/>
        </w:rPr>
        <w:t>03/02/2012.</w:t>
      </w:r>
    </w:p>
    <w:p>
      <w:pPr>
        <w:spacing w:line="240" w:lineRule="auto" w:before="252"/>
        <w:ind w:left="979" w:right="1341" w:firstLine="0"/>
        <w:jc w:val="both"/>
        <w:rPr>
          <w:sz w:val="22"/>
        </w:rPr>
      </w:pPr>
      <w:r>
        <w:rPr>
          <w:b/>
          <w:sz w:val="22"/>
        </w:rPr>
        <w:t>Decreto N</w:t>
      </w:r>
      <w:r>
        <w:rPr>
          <w:b/>
          <w:i/>
          <w:sz w:val="22"/>
        </w:rPr>
        <w:t>°</w:t>
      </w:r>
      <w:r>
        <w:rPr>
          <w:b/>
          <w:sz w:val="22"/>
        </w:rPr>
        <w:t>37045-MP-MEIC. Reglamento a la Ley de Protección al Ciudadano del Exceso de Requisitos y Trámites Administrativos. </w:t>
      </w:r>
      <w:r>
        <w:rPr>
          <w:sz w:val="22"/>
        </w:rPr>
        <w:t>Procura evitar que el administrado deba presentar documentos duplicados, con los que ya cuente la institución solicitante, Atañe a toda la Administración Pública. Fecha de vigencia 23/03/2012.</w:t>
      </w:r>
    </w:p>
    <w:p>
      <w:pPr>
        <w:pStyle w:val="BodyText"/>
        <w:spacing w:before="3"/>
      </w:pPr>
    </w:p>
    <w:p>
      <w:pPr>
        <w:spacing w:line="240" w:lineRule="auto" w:before="0"/>
        <w:ind w:left="979" w:right="1340" w:firstLine="0"/>
        <w:jc w:val="both"/>
        <w:rPr>
          <w:sz w:val="22"/>
        </w:rPr>
      </w:pPr>
      <w:r>
        <w:rPr>
          <w:b/>
          <w:sz w:val="22"/>
        </w:rPr>
        <w:t>Decreto N°36855-MP-MTSS-MBSF Reglamento Orgánico del IMAS y sus reformas. </w:t>
      </w:r>
      <w:r>
        <w:rPr>
          <w:sz w:val="22"/>
        </w:rPr>
        <w:t>Reglamenta el funcionar del IMAS. Norma de organización y operativización del IMAS. Fecha de vigencia 10/04/2012.</w:t>
      </w:r>
    </w:p>
    <w:p>
      <w:pPr>
        <w:pStyle w:val="BodyText"/>
        <w:spacing w:before="1"/>
      </w:pPr>
    </w:p>
    <w:p>
      <w:pPr>
        <w:spacing w:line="240" w:lineRule="auto" w:before="0"/>
        <w:ind w:left="979" w:right="1342" w:firstLine="0"/>
        <w:jc w:val="both"/>
        <w:rPr>
          <w:sz w:val="22"/>
        </w:rPr>
      </w:pPr>
      <w:r>
        <w:rPr>
          <w:b/>
          <w:sz w:val="22"/>
        </w:rPr>
        <w:t>Decreto N°38906-MEIC-MAG-MH-MIDEPLAN. Reglamento a la Ley 9274, "Reforma integral</w:t>
      </w:r>
      <w:r>
        <w:rPr>
          <w:b/>
          <w:spacing w:val="-5"/>
          <w:sz w:val="22"/>
        </w:rPr>
        <w:t> </w:t>
      </w:r>
      <w:r>
        <w:rPr>
          <w:b/>
          <w:sz w:val="22"/>
        </w:rPr>
        <w:t>de</w:t>
      </w:r>
      <w:r>
        <w:rPr>
          <w:b/>
          <w:spacing w:val="-5"/>
          <w:sz w:val="22"/>
        </w:rPr>
        <w:t> </w:t>
      </w:r>
      <w:r>
        <w:rPr>
          <w:b/>
          <w:sz w:val="22"/>
        </w:rPr>
        <w:t>la Ley</w:t>
      </w:r>
      <w:r>
        <w:rPr>
          <w:b/>
          <w:spacing w:val="-4"/>
          <w:sz w:val="22"/>
        </w:rPr>
        <w:t> </w:t>
      </w:r>
      <w:r>
        <w:rPr>
          <w:b/>
          <w:sz w:val="22"/>
        </w:rPr>
        <w:t>N°</w:t>
      </w:r>
      <w:r>
        <w:rPr>
          <w:b/>
          <w:spacing w:val="-3"/>
          <w:sz w:val="22"/>
        </w:rPr>
        <w:t> </w:t>
      </w:r>
      <w:r>
        <w:rPr>
          <w:b/>
          <w:sz w:val="22"/>
        </w:rPr>
        <w:t>8634,</w:t>
      </w:r>
      <w:r>
        <w:rPr>
          <w:b/>
          <w:spacing w:val="-5"/>
          <w:sz w:val="22"/>
        </w:rPr>
        <w:t> </w:t>
      </w:r>
      <w:r>
        <w:rPr>
          <w:b/>
          <w:sz w:val="22"/>
        </w:rPr>
        <w:t>Ley</w:t>
      </w:r>
      <w:r>
        <w:rPr>
          <w:b/>
          <w:spacing w:val="-4"/>
          <w:sz w:val="22"/>
        </w:rPr>
        <w:t> </w:t>
      </w:r>
      <w:r>
        <w:rPr>
          <w:b/>
          <w:sz w:val="22"/>
        </w:rPr>
        <w:t>del</w:t>
      </w:r>
      <w:r>
        <w:rPr>
          <w:b/>
          <w:spacing w:val="-5"/>
          <w:sz w:val="22"/>
        </w:rPr>
        <w:t> </w:t>
      </w:r>
      <w:r>
        <w:rPr>
          <w:b/>
          <w:sz w:val="22"/>
        </w:rPr>
        <w:t>Sistema de</w:t>
      </w:r>
      <w:r>
        <w:rPr>
          <w:b/>
          <w:spacing w:val="-4"/>
          <w:sz w:val="22"/>
        </w:rPr>
        <w:t> </w:t>
      </w:r>
      <w:r>
        <w:rPr>
          <w:b/>
          <w:sz w:val="22"/>
        </w:rPr>
        <w:t>Banca</w:t>
      </w:r>
      <w:r>
        <w:rPr>
          <w:b/>
          <w:spacing w:val="-4"/>
          <w:sz w:val="22"/>
        </w:rPr>
        <w:t> </w:t>
      </w:r>
      <w:r>
        <w:rPr>
          <w:b/>
          <w:sz w:val="22"/>
        </w:rPr>
        <w:t>para</w:t>
      </w:r>
      <w:r>
        <w:rPr>
          <w:b/>
          <w:spacing w:val="-4"/>
          <w:sz w:val="22"/>
        </w:rPr>
        <w:t> </w:t>
      </w:r>
      <w:r>
        <w:rPr>
          <w:b/>
          <w:sz w:val="22"/>
        </w:rPr>
        <w:t>el</w:t>
      </w:r>
      <w:r>
        <w:rPr>
          <w:b/>
          <w:spacing w:val="-5"/>
          <w:sz w:val="22"/>
        </w:rPr>
        <w:t> </w:t>
      </w:r>
      <w:r>
        <w:rPr>
          <w:b/>
          <w:sz w:val="22"/>
        </w:rPr>
        <w:t>Desarrollo</w:t>
      </w:r>
      <w:r>
        <w:rPr>
          <w:b/>
          <w:spacing w:val="-7"/>
          <w:sz w:val="22"/>
        </w:rPr>
        <w:t> </w:t>
      </w:r>
      <w:r>
        <w:rPr>
          <w:b/>
          <w:sz w:val="22"/>
        </w:rPr>
        <w:t>y</w:t>
      </w:r>
      <w:r>
        <w:rPr>
          <w:b/>
          <w:spacing w:val="-4"/>
          <w:sz w:val="22"/>
        </w:rPr>
        <w:t> </w:t>
      </w:r>
      <w:r>
        <w:rPr>
          <w:b/>
          <w:sz w:val="22"/>
        </w:rPr>
        <w:t>Reforma de Otras Leyes</w:t>
      </w:r>
      <w:r>
        <w:rPr>
          <w:sz w:val="22"/>
        </w:rPr>
        <w:t>. Regula de manera integral la Ley 9274. Fecha de vigencia 09/03/2015.</w:t>
      </w:r>
    </w:p>
    <w:p>
      <w:pPr>
        <w:spacing w:before="249"/>
        <w:ind w:left="979" w:right="1336" w:firstLine="0"/>
        <w:jc w:val="both"/>
        <w:rPr>
          <w:b/>
          <w:sz w:val="22"/>
        </w:rPr>
      </w:pPr>
      <w:r>
        <w:rPr>
          <w:b/>
          <w:sz w:val="22"/>
        </w:rPr>
        <w:t>Decreto N°38999-MP-RE-JP-SP-MG-H-MAG-MEIC-MINAE-MOPT-MEP-S- MTSS-COMEX-MIDEPLAN-MICITT-MIVAH-MC-TUR-MDHIS-MCM-MIDEPOR</w:t>
      </w:r>
      <w:r>
        <w:rPr>
          <w:b/>
          <w:spacing w:val="80"/>
          <w:sz w:val="22"/>
        </w:rPr>
        <w:t>  </w:t>
      </w:r>
      <w:r>
        <w:rPr>
          <w:b/>
          <w:sz w:val="22"/>
        </w:rPr>
        <w:t>Política</w:t>
      </w:r>
      <w:r>
        <w:rPr>
          <w:b/>
          <w:spacing w:val="80"/>
          <w:sz w:val="22"/>
        </w:rPr>
        <w:t>  </w:t>
      </w:r>
      <w:r>
        <w:rPr>
          <w:b/>
          <w:sz w:val="22"/>
        </w:rPr>
        <w:t>del</w:t>
      </w:r>
    </w:p>
    <w:p>
      <w:pPr>
        <w:spacing w:line="240" w:lineRule="auto" w:before="4"/>
        <w:ind w:left="979" w:right="1335" w:firstLine="0"/>
        <w:jc w:val="both"/>
        <w:rPr>
          <w:sz w:val="22"/>
        </w:rPr>
      </w:pPr>
      <w:r>
        <w:rPr>
          <w:b/>
          <w:sz w:val="22"/>
        </w:rPr>
        <w:t>Poder Ejecutivo para erradicar de sus instituciones la discriminación hacia la población LGBTI</w:t>
      </w:r>
      <w:r>
        <w:rPr>
          <w:sz w:val="22"/>
        </w:rPr>
        <w:t>. Instruye a cada órgano del Poder Ejecutivo a desarrollar un "Plan Institucional en contra de la Discriminación hacia la Población LGBTI”, Atañe a toda la Administración Pública. Fecha de vigencia 15/05/2015.</w:t>
      </w:r>
    </w:p>
    <w:p>
      <w:pPr>
        <w:spacing w:before="250"/>
        <w:ind w:left="979" w:right="1342" w:firstLine="0"/>
        <w:jc w:val="both"/>
        <w:rPr>
          <w:sz w:val="22"/>
        </w:rPr>
      </w:pPr>
      <w:r>
        <w:rPr>
          <w:b/>
          <w:sz w:val="22"/>
        </w:rPr>
        <w:t>Decreto N°38954-MTSS-MDHIS-MIDEPLAN. Implementación y articulación de la estrategia</w:t>
      </w:r>
      <w:r>
        <w:rPr>
          <w:b/>
          <w:spacing w:val="18"/>
          <w:sz w:val="22"/>
        </w:rPr>
        <w:t> </w:t>
      </w:r>
      <w:r>
        <w:rPr>
          <w:b/>
          <w:sz w:val="22"/>
        </w:rPr>
        <w:t>puente</w:t>
      </w:r>
      <w:r>
        <w:rPr>
          <w:b/>
          <w:spacing w:val="18"/>
          <w:sz w:val="22"/>
        </w:rPr>
        <w:t> </w:t>
      </w:r>
      <w:r>
        <w:rPr>
          <w:b/>
          <w:sz w:val="22"/>
        </w:rPr>
        <w:t>al</w:t>
      </w:r>
      <w:r>
        <w:rPr>
          <w:b/>
          <w:spacing w:val="21"/>
          <w:sz w:val="22"/>
        </w:rPr>
        <w:t> </w:t>
      </w:r>
      <w:r>
        <w:rPr>
          <w:b/>
          <w:sz w:val="22"/>
        </w:rPr>
        <w:t>desarrollo</w:t>
      </w:r>
      <w:r>
        <w:rPr>
          <w:sz w:val="22"/>
        </w:rPr>
        <w:t>.</w:t>
      </w:r>
      <w:r>
        <w:rPr>
          <w:spacing w:val="21"/>
          <w:sz w:val="22"/>
        </w:rPr>
        <w:t> </w:t>
      </w:r>
      <w:r>
        <w:rPr>
          <w:sz w:val="22"/>
        </w:rPr>
        <w:t>Crea</w:t>
      </w:r>
      <w:r>
        <w:rPr>
          <w:spacing w:val="18"/>
          <w:sz w:val="22"/>
        </w:rPr>
        <w:t> </w:t>
      </w:r>
      <w:r>
        <w:rPr>
          <w:sz w:val="22"/>
        </w:rPr>
        <w:t>la</w:t>
      </w:r>
      <w:r>
        <w:rPr>
          <w:spacing w:val="18"/>
          <w:sz w:val="22"/>
        </w:rPr>
        <w:t> </w:t>
      </w:r>
      <w:r>
        <w:rPr>
          <w:sz w:val="22"/>
        </w:rPr>
        <w:t>Estrategia</w:t>
      </w:r>
      <w:r>
        <w:rPr>
          <w:spacing w:val="18"/>
          <w:sz w:val="22"/>
        </w:rPr>
        <w:t> </w:t>
      </w:r>
      <w:r>
        <w:rPr>
          <w:sz w:val="22"/>
        </w:rPr>
        <w:t>de</w:t>
      </w:r>
      <w:r>
        <w:rPr>
          <w:spacing w:val="18"/>
          <w:sz w:val="22"/>
        </w:rPr>
        <w:t> </w:t>
      </w:r>
      <w:r>
        <w:rPr>
          <w:sz w:val="22"/>
        </w:rPr>
        <w:t>Atención</w:t>
      </w:r>
      <w:r>
        <w:rPr>
          <w:spacing w:val="18"/>
          <w:sz w:val="22"/>
        </w:rPr>
        <w:t> </w:t>
      </w:r>
      <w:r>
        <w:rPr>
          <w:sz w:val="22"/>
        </w:rPr>
        <w:t>a</w:t>
      </w:r>
      <w:r>
        <w:rPr>
          <w:spacing w:val="22"/>
          <w:sz w:val="22"/>
        </w:rPr>
        <w:t> </w:t>
      </w:r>
      <w:r>
        <w:rPr>
          <w:sz w:val="22"/>
        </w:rPr>
        <w:t>la</w:t>
      </w:r>
      <w:r>
        <w:rPr>
          <w:spacing w:val="22"/>
          <w:sz w:val="22"/>
        </w:rPr>
        <w:t> </w:t>
      </w:r>
      <w:r>
        <w:rPr>
          <w:sz w:val="22"/>
        </w:rPr>
        <w:t>Pobreza</w:t>
      </w:r>
      <w:r>
        <w:rPr>
          <w:spacing w:val="18"/>
          <w:sz w:val="22"/>
        </w:rPr>
        <w:t> </w:t>
      </w:r>
      <w:r>
        <w:rPr>
          <w:sz w:val="22"/>
        </w:rPr>
        <w:t>en</w:t>
      </w:r>
      <w:r>
        <w:rPr>
          <w:spacing w:val="22"/>
          <w:sz w:val="22"/>
        </w:rPr>
        <w:t> </w:t>
      </w:r>
      <w:r>
        <w:rPr>
          <w:sz w:val="22"/>
        </w:rPr>
        <w:t>Costa</w:t>
      </w:r>
    </w:p>
    <w:p>
      <w:pPr>
        <w:spacing w:after="0"/>
        <w:jc w:val="both"/>
        <w:rPr>
          <w:sz w:val="22"/>
        </w:rPr>
        <w:sectPr>
          <w:pgSz w:w="12240" w:h="15840"/>
          <w:pgMar w:header="0" w:footer="1021" w:top="1340" w:bottom="1220" w:left="720" w:right="360"/>
        </w:sectPr>
      </w:pPr>
    </w:p>
    <w:p>
      <w:pPr>
        <w:pStyle w:val="BodyText"/>
        <w:spacing w:before="76"/>
        <w:ind w:left="979" w:right="1332"/>
        <w:jc w:val="both"/>
      </w:pPr>
      <w:r>
        <w:rPr/>
        <w:t>Rica, denominada "Puente al Desarrollo", como mecanismo de articulación de los programas, proyectos y acciones que buscan garantizar el efectivo derecho de acceso a los bienes, servicios y productos, que</w:t>
      </w:r>
      <w:r>
        <w:rPr>
          <w:spacing w:val="-1"/>
        </w:rPr>
        <w:t> </w:t>
      </w:r>
      <w:r>
        <w:rPr/>
        <w:t>ofertan las instituciones y</w:t>
      </w:r>
      <w:r>
        <w:rPr>
          <w:spacing w:val="-2"/>
        </w:rPr>
        <w:t> </w:t>
      </w:r>
      <w:r>
        <w:rPr/>
        <w:t>organizaciones</w:t>
      </w:r>
      <w:r>
        <w:rPr>
          <w:spacing w:val="-2"/>
        </w:rPr>
        <w:t> </w:t>
      </w:r>
      <w:r>
        <w:rPr/>
        <w:t>públicas y privadas a nivel nacional dirigidos a personas en condición de pobreza. IMAS integra la oferta programática de la Estrategia Puente al Desarrollo. Fecha de vigencia 03/06/2015.</w:t>
      </w:r>
    </w:p>
    <w:p>
      <w:pPr>
        <w:spacing w:line="240" w:lineRule="auto" w:before="253"/>
        <w:ind w:left="979" w:right="1342" w:firstLine="0"/>
        <w:jc w:val="both"/>
        <w:rPr>
          <w:sz w:val="22"/>
        </w:rPr>
      </w:pPr>
      <w:r>
        <w:rPr>
          <w:b/>
          <w:sz w:val="22"/>
        </w:rPr>
        <w:t>Decreto N°39648-MDHIS-MIDEPLAN. Define el uso de los Mapas Sociales para georeferenciación de información del INEC</w:t>
      </w:r>
      <w:r>
        <w:rPr>
          <w:sz w:val="22"/>
        </w:rPr>
        <w:t>. Incorporación sistemática de criterios de carácter geográfico y</w:t>
      </w:r>
      <w:r>
        <w:rPr>
          <w:spacing w:val="-2"/>
          <w:sz w:val="22"/>
        </w:rPr>
        <w:t> </w:t>
      </w:r>
      <w:r>
        <w:rPr>
          <w:sz w:val="22"/>
        </w:rPr>
        <w:t>territorial</w:t>
      </w:r>
      <w:r>
        <w:rPr>
          <w:spacing w:val="-3"/>
          <w:sz w:val="22"/>
        </w:rPr>
        <w:t> </w:t>
      </w:r>
      <w:r>
        <w:rPr>
          <w:sz w:val="22"/>
        </w:rPr>
        <w:t>de</w:t>
      </w:r>
      <w:r>
        <w:rPr>
          <w:spacing w:val="-1"/>
          <w:sz w:val="22"/>
        </w:rPr>
        <w:t> </w:t>
      </w:r>
      <w:r>
        <w:rPr>
          <w:sz w:val="22"/>
        </w:rPr>
        <w:t>cara</w:t>
      </w:r>
      <w:r>
        <w:rPr>
          <w:spacing w:val="-1"/>
          <w:sz w:val="22"/>
        </w:rPr>
        <w:t> </w:t>
      </w:r>
      <w:r>
        <w:rPr>
          <w:sz w:val="22"/>
        </w:rPr>
        <w:t>a la identificación, priorización y caracterización</w:t>
      </w:r>
      <w:r>
        <w:rPr>
          <w:spacing w:val="-1"/>
          <w:sz w:val="22"/>
        </w:rPr>
        <w:t> </w:t>
      </w:r>
      <w:r>
        <w:rPr>
          <w:sz w:val="22"/>
        </w:rPr>
        <w:t>de la población, El IMAS a través del SINIRUBE indicará la periodicidad en que se envíe la información,</w:t>
      </w:r>
      <w:r>
        <w:rPr>
          <w:spacing w:val="-6"/>
          <w:sz w:val="22"/>
        </w:rPr>
        <w:t> </w:t>
      </w:r>
      <w:r>
        <w:rPr>
          <w:sz w:val="22"/>
        </w:rPr>
        <w:t>además</w:t>
      </w:r>
      <w:r>
        <w:rPr>
          <w:spacing w:val="-3"/>
          <w:sz w:val="22"/>
        </w:rPr>
        <w:t> </w:t>
      </w:r>
      <w:r>
        <w:rPr>
          <w:sz w:val="22"/>
        </w:rPr>
        <w:t>de</w:t>
      </w:r>
      <w:r>
        <w:rPr>
          <w:spacing w:val="-1"/>
          <w:sz w:val="22"/>
        </w:rPr>
        <w:t> </w:t>
      </w:r>
      <w:r>
        <w:rPr>
          <w:sz w:val="22"/>
        </w:rPr>
        <w:t>cuál debe</w:t>
      </w:r>
      <w:r>
        <w:rPr>
          <w:spacing w:val="-1"/>
          <w:sz w:val="22"/>
        </w:rPr>
        <w:t> </w:t>
      </w:r>
      <w:r>
        <w:rPr>
          <w:sz w:val="22"/>
        </w:rPr>
        <w:t>ser</w:t>
      </w:r>
      <w:r>
        <w:rPr>
          <w:spacing w:val="-4"/>
          <w:sz w:val="22"/>
        </w:rPr>
        <w:t> </w:t>
      </w:r>
      <w:r>
        <w:rPr>
          <w:sz w:val="22"/>
        </w:rPr>
        <w:t>la</w:t>
      </w:r>
      <w:r>
        <w:rPr>
          <w:spacing w:val="-1"/>
          <w:sz w:val="22"/>
        </w:rPr>
        <w:t> </w:t>
      </w:r>
      <w:r>
        <w:rPr>
          <w:sz w:val="22"/>
        </w:rPr>
        <w:t>información</w:t>
      </w:r>
      <w:r>
        <w:rPr>
          <w:spacing w:val="-1"/>
          <w:sz w:val="22"/>
        </w:rPr>
        <w:t> </w:t>
      </w:r>
      <w:r>
        <w:rPr>
          <w:sz w:val="22"/>
        </w:rPr>
        <w:t>que</w:t>
      </w:r>
      <w:r>
        <w:rPr>
          <w:spacing w:val="-1"/>
          <w:sz w:val="22"/>
        </w:rPr>
        <w:t> </w:t>
      </w:r>
      <w:r>
        <w:rPr>
          <w:sz w:val="22"/>
        </w:rPr>
        <w:t>generen las instituciones. Fecha de vigencia 20/06/2016.</w:t>
      </w:r>
    </w:p>
    <w:p>
      <w:pPr>
        <w:pStyle w:val="BodyText"/>
      </w:pPr>
    </w:p>
    <w:p>
      <w:pPr>
        <w:spacing w:line="240" w:lineRule="auto" w:before="0"/>
        <w:ind w:left="979" w:right="1340" w:firstLine="0"/>
        <w:jc w:val="both"/>
        <w:rPr>
          <w:sz w:val="22"/>
        </w:rPr>
      </w:pPr>
      <w:r>
        <w:rPr>
          <w:b/>
          <w:sz w:val="22"/>
        </w:rPr>
        <w:t>Decreto N°39705-S. Exonerar del registro sanitario a los alimentos procesados y cosméticos</w:t>
      </w:r>
      <w:r>
        <w:rPr>
          <w:b/>
          <w:spacing w:val="-6"/>
          <w:sz w:val="22"/>
        </w:rPr>
        <w:t> </w:t>
      </w:r>
      <w:r>
        <w:rPr>
          <w:b/>
          <w:sz w:val="22"/>
        </w:rPr>
        <w:t>importados</w:t>
      </w:r>
      <w:r>
        <w:rPr>
          <w:b/>
          <w:spacing w:val="-6"/>
          <w:sz w:val="22"/>
        </w:rPr>
        <w:t> </w:t>
      </w:r>
      <w:r>
        <w:rPr>
          <w:b/>
          <w:sz w:val="22"/>
        </w:rPr>
        <w:t>y</w:t>
      </w:r>
      <w:r>
        <w:rPr>
          <w:b/>
          <w:spacing w:val="-11"/>
          <w:sz w:val="22"/>
        </w:rPr>
        <w:t> </w:t>
      </w:r>
      <w:r>
        <w:rPr>
          <w:b/>
          <w:sz w:val="22"/>
        </w:rPr>
        <w:t>destinados</w:t>
      </w:r>
      <w:r>
        <w:rPr>
          <w:b/>
          <w:spacing w:val="-6"/>
          <w:sz w:val="22"/>
        </w:rPr>
        <w:t> </w:t>
      </w:r>
      <w:r>
        <w:rPr>
          <w:b/>
          <w:sz w:val="22"/>
        </w:rPr>
        <w:t>para</w:t>
      </w:r>
      <w:r>
        <w:rPr>
          <w:b/>
          <w:spacing w:val="-6"/>
          <w:sz w:val="22"/>
        </w:rPr>
        <w:t> </w:t>
      </w:r>
      <w:r>
        <w:rPr>
          <w:b/>
          <w:sz w:val="22"/>
        </w:rPr>
        <w:t>la</w:t>
      </w:r>
      <w:r>
        <w:rPr>
          <w:b/>
          <w:spacing w:val="-6"/>
          <w:sz w:val="22"/>
        </w:rPr>
        <w:t> </w:t>
      </w:r>
      <w:r>
        <w:rPr>
          <w:b/>
          <w:sz w:val="22"/>
        </w:rPr>
        <w:t>venta</w:t>
      </w:r>
      <w:r>
        <w:rPr>
          <w:b/>
          <w:spacing w:val="-6"/>
          <w:sz w:val="22"/>
        </w:rPr>
        <w:t> </w:t>
      </w:r>
      <w:r>
        <w:rPr>
          <w:b/>
          <w:sz w:val="22"/>
        </w:rPr>
        <w:t>exclusiva</w:t>
      </w:r>
      <w:r>
        <w:rPr>
          <w:b/>
          <w:spacing w:val="-6"/>
          <w:sz w:val="22"/>
        </w:rPr>
        <w:t> </w:t>
      </w:r>
      <w:r>
        <w:rPr>
          <w:b/>
          <w:sz w:val="22"/>
        </w:rPr>
        <w:t>de</w:t>
      </w:r>
      <w:r>
        <w:rPr>
          <w:b/>
          <w:spacing w:val="-6"/>
          <w:sz w:val="22"/>
        </w:rPr>
        <w:t> </w:t>
      </w:r>
      <w:r>
        <w:rPr>
          <w:b/>
          <w:sz w:val="22"/>
        </w:rPr>
        <w:t>las</w:t>
      </w:r>
      <w:r>
        <w:rPr>
          <w:b/>
          <w:spacing w:val="-6"/>
          <w:sz w:val="22"/>
        </w:rPr>
        <w:t> </w:t>
      </w:r>
      <w:r>
        <w:rPr>
          <w:b/>
          <w:sz w:val="22"/>
        </w:rPr>
        <w:t>tiendas</w:t>
      </w:r>
      <w:r>
        <w:rPr>
          <w:b/>
          <w:spacing w:val="-6"/>
          <w:sz w:val="22"/>
        </w:rPr>
        <w:t> </w:t>
      </w:r>
      <w:r>
        <w:rPr>
          <w:b/>
          <w:sz w:val="22"/>
        </w:rPr>
        <w:t>libres</w:t>
      </w:r>
      <w:r>
        <w:rPr>
          <w:b/>
          <w:spacing w:val="-6"/>
          <w:sz w:val="22"/>
        </w:rPr>
        <w:t> </w:t>
      </w:r>
      <w:r>
        <w:rPr>
          <w:b/>
          <w:sz w:val="22"/>
        </w:rPr>
        <w:t>del Instituto Mixto de Ayuda Social (IMAS) en aeropuertos. </w:t>
      </w:r>
      <w:r>
        <w:rPr>
          <w:sz w:val="22"/>
        </w:rPr>
        <w:t>Exonera al Instituto Mixto de Ayuda Social (IMAS), del registro sanitario de los productos cosméticos y alimentos procesados</w:t>
      </w:r>
      <w:r>
        <w:rPr>
          <w:spacing w:val="-6"/>
          <w:sz w:val="22"/>
        </w:rPr>
        <w:t> </w:t>
      </w:r>
      <w:r>
        <w:rPr>
          <w:sz w:val="22"/>
        </w:rPr>
        <w:t>importados,</w:t>
      </w:r>
      <w:r>
        <w:rPr>
          <w:spacing w:val="-5"/>
          <w:sz w:val="22"/>
        </w:rPr>
        <w:t> </w:t>
      </w:r>
      <w:r>
        <w:rPr>
          <w:sz w:val="22"/>
        </w:rPr>
        <w:t>ante</w:t>
      </w:r>
      <w:r>
        <w:rPr>
          <w:spacing w:val="-4"/>
          <w:sz w:val="22"/>
        </w:rPr>
        <w:t> </w:t>
      </w:r>
      <w:r>
        <w:rPr>
          <w:sz w:val="22"/>
        </w:rPr>
        <w:t>el</w:t>
      </w:r>
      <w:r>
        <w:rPr>
          <w:spacing w:val="-2"/>
          <w:sz w:val="22"/>
        </w:rPr>
        <w:t> </w:t>
      </w:r>
      <w:r>
        <w:rPr>
          <w:sz w:val="22"/>
        </w:rPr>
        <w:t>Ministerio</w:t>
      </w:r>
      <w:r>
        <w:rPr>
          <w:spacing w:val="-4"/>
          <w:sz w:val="22"/>
        </w:rPr>
        <w:t> </w:t>
      </w:r>
      <w:r>
        <w:rPr>
          <w:sz w:val="22"/>
        </w:rPr>
        <w:t>de</w:t>
      </w:r>
      <w:r>
        <w:rPr>
          <w:spacing w:val="-4"/>
          <w:sz w:val="22"/>
        </w:rPr>
        <w:t> </w:t>
      </w:r>
      <w:r>
        <w:rPr>
          <w:sz w:val="22"/>
        </w:rPr>
        <w:t>Salud</w:t>
      </w:r>
      <w:r>
        <w:rPr>
          <w:spacing w:val="-4"/>
          <w:sz w:val="22"/>
        </w:rPr>
        <w:t> </w:t>
      </w:r>
      <w:r>
        <w:rPr>
          <w:sz w:val="22"/>
        </w:rPr>
        <w:t>para</w:t>
      </w:r>
      <w:r>
        <w:rPr>
          <w:spacing w:val="-4"/>
          <w:sz w:val="22"/>
        </w:rPr>
        <w:t> </w:t>
      </w:r>
      <w:r>
        <w:rPr>
          <w:sz w:val="22"/>
        </w:rPr>
        <w:t>la</w:t>
      </w:r>
      <w:r>
        <w:rPr>
          <w:spacing w:val="-4"/>
          <w:sz w:val="22"/>
        </w:rPr>
        <w:t> </w:t>
      </w:r>
      <w:r>
        <w:rPr>
          <w:sz w:val="22"/>
        </w:rPr>
        <w:t>venta</w:t>
      </w:r>
      <w:r>
        <w:rPr>
          <w:spacing w:val="-4"/>
          <w:sz w:val="22"/>
        </w:rPr>
        <w:t> </w:t>
      </w:r>
      <w:r>
        <w:rPr>
          <w:sz w:val="22"/>
        </w:rPr>
        <w:t>exclusiva</w:t>
      </w:r>
      <w:r>
        <w:rPr>
          <w:spacing w:val="-4"/>
          <w:sz w:val="22"/>
        </w:rPr>
        <w:t> </w:t>
      </w:r>
      <w:r>
        <w:rPr>
          <w:sz w:val="22"/>
        </w:rPr>
        <w:t>en</w:t>
      </w:r>
      <w:r>
        <w:rPr>
          <w:spacing w:val="-4"/>
          <w:sz w:val="22"/>
        </w:rPr>
        <w:t> </w:t>
      </w:r>
      <w:r>
        <w:rPr>
          <w:sz w:val="22"/>
        </w:rPr>
        <w:t>sus</w:t>
      </w:r>
      <w:r>
        <w:rPr>
          <w:spacing w:val="-6"/>
          <w:sz w:val="22"/>
        </w:rPr>
        <w:t> </w:t>
      </w:r>
      <w:r>
        <w:rPr>
          <w:sz w:val="22"/>
        </w:rPr>
        <w:t>Tiendas Libres ubicadas en aeropuertos. Fecha de vigencia 30/06/2016.</w:t>
      </w:r>
    </w:p>
    <w:p>
      <w:pPr>
        <w:pStyle w:val="BodyText"/>
        <w:spacing w:before="1"/>
      </w:pPr>
    </w:p>
    <w:p>
      <w:pPr>
        <w:spacing w:line="240" w:lineRule="auto" w:before="0"/>
        <w:ind w:left="979" w:right="1336" w:firstLine="0"/>
        <w:jc w:val="both"/>
        <w:rPr>
          <w:sz w:val="22"/>
        </w:rPr>
      </w:pPr>
      <w:r>
        <w:rPr>
          <w:b/>
          <w:sz w:val="22"/>
        </w:rPr>
        <w:t>Decreto N°39965-H-MP Reglamento para los Contratos de Colaboración Público-Privada. </w:t>
      </w:r>
      <w:r>
        <w:rPr>
          <w:sz w:val="22"/>
        </w:rPr>
        <w:t>Regula los contratos de colaboración público-privada en que la Administración encarga a un tercero, el cual será una persona jurídica privada, la realización de alguna prestación. Atañe a toda la Administración Pública. Fecha de vigencia 22/12/2016.</w:t>
      </w:r>
    </w:p>
    <w:p>
      <w:pPr>
        <w:pStyle w:val="BodyText"/>
        <w:spacing w:before="3"/>
      </w:pPr>
    </w:p>
    <w:p>
      <w:pPr>
        <w:spacing w:line="240" w:lineRule="auto" w:before="0"/>
        <w:ind w:left="979" w:right="1336" w:firstLine="0"/>
        <w:jc w:val="both"/>
        <w:rPr>
          <w:sz w:val="22"/>
        </w:rPr>
      </w:pPr>
      <w:r>
        <w:rPr>
          <w:b/>
          <w:sz w:val="22"/>
        </w:rPr>
        <w:t>Decreto</w:t>
      </w:r>
      <w:r>
        <w:rPr>
          <w:b/>
          <w:spacing w:val="-10"/>
          <w:sz w:val="22"/>
        </w:rPr>
        <w:t> </w:t>
      </w:r>
      <w:r>
        <w:rPr>
          <w:b/>
          <w:sz w:val="22"/>
        </w:rPr>
        <w:t>N°40212-MEIC-MCM-MAG-MTSS-MICITT-MDHIS</w:t>
      </w:r>
      <w:r>
        <w:rPr>
          <w:b/>
          <w:spacing w:val="-13"/>
          <w:sz w:val="22"/>
        </w:rPr>
        <w:t> </w:t>
      </w:r>
      <w:r>
        <w:rPr>
          <w:b/>
          <w:sz w:val="22"/>
        </w:rPr>
        <w:t>Estímulo</w:t>
      </w:r>
      <w:r>
        <w:rPr>
          <w:b/>
          <w:spacing w:val="-14"/>
          <w:sz w:val="22"/>
        </w:rPr>
        <w:t> </w:t>
      </w:r>
      <w:r>
        <w:rPr>
          <w:b/>
          <w:sz w:val="22"/>
        </w:rPr>
        <w:t>a</w:t>
      </w:r>
      <w:r>
        <w:rPr>
          <w:b/>
          <w:spacing w:val="-13"/>
          <w:sz w:val="22"/>
        </w:rPr>
        <w:t> </w:t>
      </w:r>
      <w:r>
        <w:rPr>
          <w:b/>
          <w:sz w:val="22"/>
        </w:rPr>
        <w:t>la</w:t>
      </w:r>
      <w:r>
        <w:rPr>
          <w:b/>
          <w:spacing w:val="-13"/>
          <w:sz w:val="22"/>
        </w:rPr>
        <w:t> </w:t>
      </w:r>
      <w:r>
        <w:rPr>
          <w:b/>
          <w:sz w:val="22"/>
        </w:rPr>
        <w:t>empresariedad para</w:t>
      </w:r>
      <w:r>
        <w:rPr>
          <w:b/>
          <w:spacing w:val="-9"/>
          <w:sz w:val="22"/>
        </w:rPr>
        <w:t> </w:t>
      </w:r>
      <w:r>
        <w:rPr>
          <w:b/>
          <w:sz w:val="22"/>
        </w:rPr>
        <w:t>el</w:t>
      </w:r>
      <w:r>
        <w:rPr>
          <w:b/>
          <w:spacing w:val="-6"/>
          <w:sz w:val="22"/>
        </w:rPr>
        <w:t> </w:t>
      </w:r>
      <w:r>
        <w:rPr>
          <w:b/>
          <w:sz w:val="22"/>
        </w:rPr>
        <w:t>fortalecimiento</w:t>
      </w:r>
      <w:r>
        <w:rPr>
          <w:b/>
          <w:spacing w:val="-12"/>
          <w:sz w:val="22"/>
        </w:rPr>
        <w:t> </w:t>
      </w:r>
      <w:r>
        <w:rPr>
          <w:b/>
          <w:sz w:val="22"/>
        </w:rPr>
        <w:t>social</w:t>
      </w:r>
      <w:r>
        <w:rPr>
          <w:b/>
          <w:spacing w:val="-6"/>
          <w:sz w:val="22"/>
        </w:rPr>
        <w:t> </w:t>
      </w:r>
      <w:r>
        <w:rPr>
          <w:b/>
          <w:sz w:val="22"/>
        </w:rPr>
        <w:t>y</w:t>
      </w:r>
      <w:r>
        <w:rPr>
          <w:b/>
          <w:spacing w:val="-15"/>
          <w:sz w:val="22"/>
        </w:rPr>
        <w:t> </w:t>
      </w:r>
      <w:r>
        <w:rPr>
          <w:b/>
          <w:sz w:val="22"/>
        </w:rPr>
        <w:t>económico</w:t>
      </w:r>
      <w:r>
        <w:rPr>
          <w:b/>
          <w:spacing w:val="-7"/>
          <w:sz w:val="22"/>
        </w:rPr>
        <w:t> </w:t>
      </w:r>
      <w:r>
        <w:rPr>
          <w:b/>
          <w:sz w:val="22"/>
        </w:rPr>
        <w:t>de</w:t>
      </w:r>
      <w:r>
        <w:rPr>
          <w:b/>
          <w:spacing w:val="-10"/>
          <w:sz w:val="22"/>
        </w:rPr>
        <w:t> </w:t>
      </w:r>
      <w:r>
        <w:rPr>
          <w:b/>
          <w:sz w:val="22"/>
        </w:rPr>
        <w:t>las</w:t>
      </w:r>
      <w:r>
        <w:rPr>
          <w:b/>
          <w:spacing w:val="-10"/>
          <w:sz w:val="22"/>
        </w:rPr>
        <w:t> </w:t>
      </w:r>
      <w:r>
        <w:rPr>
          <w:b/>
          <w:sz w:val="22"/>
        </w:rPr>
        <w:t>mujeres.</w:t>
      </w:r>
      <w:r>
        <w:rPr>
          <w:b/>
          <w:spacing w:val="-4"/>
          <w:sz w:val="22"/>
        </w:rPr>
        <w:t> </w:t>
      </w:r>
      <w:r>
        <w:rPr>
          <w:sz w:val="22"/>
        </w:rPr>
        <w:t>Tiene</w:t>
      </w:r>
      <w:r>
        <w:rPr>
          <w:spacing w:val="-10"/>
          <w:sz w:val="22"/>
        </w:rPr>
        <w:t> </w:t>
      </w:r>
      <w:r>
        <w:rPr>
          <w:sz w:val="22"/>
        </w:rPr>
        <w:t>por</w:t>
      </w:r>
      <w:r>
        <w:rPr>
          <w:spacing w:val="-13"/>
          <w:sz w:val="22"/>
        </w:rPr>
        <w:t> </w:t>
      </w:r>
      <w:r>
        <w:rPr>
          <w:sz w:val="22"/>
        </w:rPr>
        <w:t>objeto</w:t>
      </w:r>
      <w:r>
        <w:rPr>
          <w:spacing w:val="-10"/>
          <w:sz w:val="22"/>
        </w:rPr>
        <w:t> </w:t>
      </w:r>
      <w:r>
        <w:rPr>
          <w:sz w:val="22"/>
        </w:rPr>
        <w:t>articular</w:t>
      </w:r>
      <w:r>
        <w:rPr>
          <w:spacing w:val="-13"/>
          <w:sz w:val="22"/>
        </w:rPr>
        <w:t> </w:t>
      </w:r>
      <w:r>
        <w:rPr>
          <w:sz w:val="22"/>
        </w:rPr>
        <w:t>los instrumentos técnicos, empresariales</w:t>
      </w:r>
      <w:r>
        <w:rPr>
          <w:spacing w:val="-2"/>
          <w:sz w:val="22"/>
        </w:rPr>
        <w:t> </w:t>
      </w:r>
      <w:r>
        <w:rPr>
          <w:sz w:val="22"/>
        </w:rPr>
        <w:t>y financieros que las</w:t>
      </w:r>
      <w:r>
        <w:rPr>
          <w:spacing w:val="-2"/>
          <w:sz w:val="22"/>
        </w:rPr>
        <w:t> </w:t>
      </w:r>
      <w:r>
        <w:rPr>
          <w:sz w:val="22"/>
        </w:rPr>
        <w:t>diferentes</w:t>
      </w:r>
      <w:r>
        <w:rPr>
          <w:spacing w:val="-2"/>
          <w:sz w:val="22"/>
        </w:rPr>
        <w:t> </w:t>
      </w:r>
      <w:r>
        <w:rPr>
          <w:sz w:val="22"/>
        </w:rPr>
        <w:t>instituciones</w:t>
      </w:r>
      <w:r>
        <w:rPr>
          <w:spacing w:val="-2"/>
          <w:sz w:val="22"/>
        </w:rPr>
        <w:t> </w:t>
      </w:r>
      <w:r>
        <w:rPr>
          <w:sz w:val="22"/>
        </w:rPr>
        <w:t>brindan a emprendimientos y empresas liderados por mujeres, con el fin de apoyarlos hacia su consolidación,</w:t>
      </w:r>
      <w:r>
        <w:rPr>
          <w:spacing w:val="-1"/>
          <w:sz w:val="22"/>
        </w:rPr>
        <w:t> </w:t>
      </w:r>
      <w:r>
        <w:rPr>
          <w:sz w:val="22"/>
        </w:rPr>
        <w:t>incorporando</w:t>
      </w:r>
      <w:r>
        <w:rPr>
          <w:spacing w:val="-5"/>
          <w:sz w:val="22"/>
        </w:rPr>
        <w:t> </w:t>
      </w:r>
      <w:r>
        <w:rPr>
          <w:sz w:val="22"/>
        </w:rPr>
        <w:t>el</w:t>
      </w:r>
      <w:r>
        <w:rPr>
          <w:spacing w:val="-7"/>
          <w:sz w:val="22"/>
        </w:rPr>
        <w:t> </w:t>
      </w:r>
      <w:r>
        <w:rPr>
          <w:sz w:val="22"/>
        </w:rPr>
        <w:t>enfoque</w:t>
      </w:r>
      <w:r>
        <w:rPr>
          <w:spacing w:val="-5"/>
          <w:sz w:val="22"/>
        </w:rPr>
        <w:t> </w:t>
      </w:r>
      <w:r>
        <w:rPr>
          <w:sz w:val="22"/>
        </w:rPr>
        <w:t>de</w:t>
      </w:r>
      <w:r>
        <w:rPr>
          <w:spacing w:val="-5"/>
          <w:sz w:val="22"/>
        </w:rPr>
        <w:t> </w:t>
      </w:r>
      <w:r>
        <w:rPr>
          <w:sz w:val="22"/>
        </w:rPr>
        <w:t>género e</w:t>
      </w:r>
      <w:r>
        <w:rPr>
          <w:spacing w:val="-1"/>
          <w:sz w:val="22"/>
        </w:rPr>
        <w:t> </w:t>
      </w:r>
      <w:r>
        <w:rPr>
          <w:sz w:val="22"/>
        </w:rPr>
        <w:t>inclusión</w:t>
      </w:r>
      <w:r>
        <w:rPr>
          <w:spacing w:val="-1"/>
          <w:sz w:val="22"/>
        </w:rPr>
        <w:t> </w:t>
      </w:r>
      <w:r>
        <w:rPr>
          <w:sz w:val="22"/>
        </w:rPr>
        <w:t>social,</w:t>
      </w:r>
      <w:r>
        <w:rPr>
          <w:spacing w:val="-6"/>
          <w:sz w:val="22"/>
        </w:rPr>
        <w:t> </w:t>
      </w:r>
      <w:r>
        <w:rPr>
          <w:sz w:val="22"/>
        </w:rPr>
        <w:t>Atender</w:t>
      </w:r>
      <w:r>
        <w:rPr>
          <w:spacing w:val="-8"/>
          <w:sz w:val="22"/>
        </w:rPr>
        <w:t> </w:t>
      </w:r>
      <w:r>
        <w:rPr>
          <w:sz w:val="22"/>
        </w:rPr>
        <w:t>y</w:t>
      </w:r>
      <w:r>
        <w:rPr>
          <w:spacing w:val="-2"/>
          <w:sz w:val="22"/>
        </w:rPr>
        <w:t> </w:t>
      </w:r>
      <w:r>
        <w:rPr>
          <w:sz w:val="22"/>
        </w:rPr>
        <w:t>registrar</w:t>
      </w:r>
      <w:r>
        <w:rPr>
          <w:spacing w:val="-8"/>
          <w:sz w:val="22"/>
        </w:rPr>
        <w:t> </w:t>
      </w:r>
      <w:r>
        <w:rPr>
          <w:sz w:val="22"/>
        </w:rPr>
        <w:t>en el SIEC a emprendedoras y PYME de mujeres y brindar financiamiento para servicios de desarrollo empresarial a las mujeres, incluidas a las mujeres con discapacidad que califiquen. Fecha de vigencia 07/03/2017.</w:t>
      </w:r>
    </w:p>
    <w:p>
      <w:pPr>
        <w:pStyle w:val="BodyText"/>
        <w:spacing w:before="252"/>
        <w:ind w:left="979" w:right="1335"/>
        <w:jc w:val="both"/>
      </w:pPr>
      <w:r>
        <w:rPr>
          <w:b/>
        </w:rPr>
        <w:t>Decreto N.º 40200-MP-MEIC-MC. Transparencia y Acceso a la Información Pública, </w:t>
      </w:r>
      <w:r>
        <w:rPr/>
        <w:t>Tiene por objeto que el Estado garantice el cumplimiento efectivo del derecho humano de acceso a la información pública, de forma proactiva, oportuna, oficiosa, completa y accesible Jerarca institucional deberá designar en su dependencia a un Oficial de Acceso a la Información, en adelante OAI. Dicha designación recaerá sobre la Contraloría de Servicios de la institución, o en su defecto, sobre otro funcionario de la institución. Fecha de vigencia 02/06/2017.</w:t>
      </w:r>
    </w:p>
    <w:p>
      <w:pPr>
        <w:pStyle w:val="Heading2"/>
        <w:tabs>
          <w:tab w:pos="2591" w:val="left" w:leader="none"/>
        </w:tabs>
        <w:spacing w:before="250"/>
        <w:ind w:right="1331"/>
        <w:jc w:val="both"/>
      </w:pPr>
      <w:r>
        <w:rPr>
          <w:spacing w:val="-2"/>
        </w:rPr>
        <w:t>Decreto</w:t>
      </w:r>
      <w:r>
        <w:rPr/>
        <w:tab/>
      </w:r>
      <w:r>
        <w:rPr>
          <w:spacing w:val="-2"/>
        </w:rPr>
        <w:t>Nº40422-MP-RE-JP-SP-MG-H-MAG-MEIC-MINAE-MOPT-MEP-S-MTSS-</w:t>
      </w:r>
      <w:r>
        <w:rPr/>
        <w:t>COMEX-MIDEPLAN-MICITT-MIVAH-MC-MCJ-TUR-MDHIS-MCM-MIDEPOR.</w:t>
      </w:r>
      <w:r>
        <w:rPr>
          <w:spacing w:val="61"/>
        </w:rPr>
        <w:t>  </w:t>
      </w:r>
      <w:r>
        <w:rPr>
          <w:spacing w:val="-2"/>
        </w:rPr>
        <w:t>Reforma</w:t>
      </w:r>
    </w:p>
    <w:p>
      <w:pPr>
        <w:spacing w:line="240" w:lineRule="auto" w:before="4"/>
        <w:ind w:left="979" w:right="1344" w:firstLine="0"/>
        <w:jc w:val="both"/>
        <w:rPr>
          <w:sz w:val="22"/>
        </w:rPr>
      </w:pPr>
      <w:r>
        <w:rPr>
          <w:b/>
          <w:sz w:val="22"/>
        </w:rPr>
        <w:t>Política del Poder Ejecutivo para erradicar de sus instituciones la discriminación hacia la población LGBTI</w:t>
      </w:r>
      <w:r>
        <w:rPr>
          <w:sz w:val="22"/>
        </w:rPr>
        <w:t>. Reformula el título del Decreto Ejecutivo N.º 38999 para que sea denominado como "Política del Poder Ejecutivo para Erradicar de sus Instituciones la Discriminación Hacia la Población</w:t>
      </w:r>
      <w:r>
        <w:rPr>
          <w:spacing w:val="-4"/>
          <w:sz w:val="22"/>
        </w:rPr>
        <w:t> </w:t>
      </w:r>
      <w:r>
        <w:rPr>
          <w:sz w:val="22"/>
        </w:rPr>
        <w:t>LGBTI".</w:t>
      </w:r>
      <w:r>
        <w:rPr>
          <w:spacing w:val="-5"/>
          <w:sz w:val="22"/>
        </w:rPr>
        <w:t> </w:t>
      </w:r>
      <w:r>
        <w:rPr>
          <w:sz w:val="22"/>
        </w:rPr>
        <w:t>En los</w:t>
      </w:r>
      <w:r>
        <w:rPr>
          <w:spacing w:val="-6"/>
          <w:sz w:val="22"/>
        </w:rPr>
        <w:t> </w:t>
      </w:r>
      <w:r>
        <w:rPr>
          <w:sz w:val="22"/>
        </w:rPr>
        <w:t>artículos</w:t>
      </w:r>
      <w:r>
        <w:rPr>
          <w:spacing w:val="-1"/>
          <w:sz w:val="22"/>
        </w:rPr>
        <w:t> </w:t>
      </w:r>
      <w:r>
        <w:rPr>
          <w:sz w:val="22"/>
        </w:rPr>
        <w:t>1º,</w:t>
      </w:r>
      <w:r>
        <w:rPr>
          <w:spacing w:val="-5"/>
          <w:sz w:val="22"/>
        </w:rPr>
        <w:t> </w:t>
      </w:r>
      <w:r>
        <w:rPr>
          <w:sz w:val="22"/>
        </w:rPr>
        <w:t>3º,</w:t>
      </w:r>
      <w:r>
        <w:rPr>
          <w:spacing w:val="-5"/>
          <w:sz w:val="22"/>
        </w:rPr>
        <w:t> </w:t>
      </w:r>
      <w:r>
        <w:rPr>
          <w:sz w:val="22"/>
        </w:rPr>
        <w:t>4º,</w:t>
      </w:r>
      <w:r>
        <w:rPr>
          <w:spacing w:val="-5"/>
          <w:sz w:val="22"/>
        </w:rPr>
        <w:t> </w:t>
      </w:r>
      <w:r>
        <w:rPr>
          <w:sz w:val="22"/>
        </w:rPr>
        <w:t>del</w:t>
      </w:r>
      <w:r>
        <w:rPr>
          <w:spacing w:val="-2"/>
          <w:sz w:val="22"/>
        </w:rPr>
        <w:t> </w:t>
      </w:r>
      <w:r>
        <w:rPr>
          <w:sz w:val="22"/>
        </w:rPr>
        <w:t>Decreto</w:t>
      </w:r>
      <w:r>
        <w:rPr>
          <w:spacing w:val="-4"/>
          <w:sz w:val="22"/>
        </w:rPr>
        <w:t> </w:t>
      </w:r>
      <w:r>
        <w:rPr>
          <w:sz w:val="22"/>
        </w:rPr>
        <w:t>Ejecutivo N.º</w:t>
      </w:r>
      <w:r>
        <w:rPr>
          <w:spacing w:val="-16"/>
          <w:sz w:val="22"/>
        </w:rPr>
        <w:t> </w:t>
      </w:r>
      <w:r>
        <w:rPr>
          <w:sz w:val="22"/>
        </w:rPr>
        <w:t>38999</w:t>
      </w:r>
      <w:r>
        <w:rPr>
          <w:spacing w:val="-15"/>
          <w:sz w:val="22"/>
        </w:rPr>
        <w:t> </w:t>
      </w:r>
      <w:r>
        <w:rPr>
          <w:sz w:val="22"/>
        </w:rPr>
        <w:t>donde</w:t>
      </w:r>
      <w:r>
        <w:rPr>
          <w:spacing w:val="-15"/>
          <w:sz w:val="22"/>
        </w:rPr>
        <w:t> </w:t>
      </w:r>
      <w:r>
        <w:rPr>
          <w:sz w:val="22"/>
        </w:rPr>
        <w:t>se</w:t>
      </w:r>
      <w:r>
        <w:rPr>
          <w:spacing w:val="-16"/>
          <w:sz w:val="22"/>
        </w:rPr>
        <w:t> </w:t>
      </w:r>
      <w:r>
        <w:rPr>
          <w:sz w:val="22"/>
        </w:rPr>
        <w:t>haga</w:t>
      </w:r>
      <w:r>
        <w:rPr>
          <w:spacing w:val="-15"/>
          <w:sz w:val="22"/>
        </w:rPr>
        <w:t> </w:t>
      </w:r>
      <w:r>
        <w:rPr>
          <w:sz w:val="22"/>
        </w:rPr>
        <w:t>referencia</w:t>
      </w:r>
      <w:r>
        <w:rPr>
          <w:spacing w:val="-15"/>
          <w:sz w:val="22"/>
        </w:rPr>
        <w:t> </w:t>
      </w:r>
      <w:r>
        <w:rPr>
          <w:sz w:val="22"/>
        </w:rPr>
        <w:t>a</w:t>
      </w:r>
      <w:r>
        <w:rPr>
          <w:spacing w:val="-15"/>
          <w:sz w:val="22"/>
        </w:rPr>
        <w:t> </w:t>
      </w:r>
      <w:r>
        <w:rPr>
          <w:sz w:val="22"/>
        </w:rPr>
        <w:t>"población</w:t>
      </w:r>
      <w:r>
        <w:rPr>
          <w:spacing w:val="-16"/>
          <w:sz w:val="22"/>
        </w:rPr>
        <w:t> </w:t>
      </w:r>
      <w:r>
        <w:rPr>
          <w:sz w:val="22"/>
        </w:rPr>
        <w:t>sexualmente</w:t>
      </w:r>
      <w:r>
        <w:rPr>
          <w:spacing w:val="-15"/>
          <w:sz w:val="22"/>
        </w:rPr>
        <w:t> </w:t>
      </w:r>
      <w:r>
        <w:rPr>
          <w:sz w:val="22"/>
        </w:rPr>
        <w:t>diversa"</w:t>
      </w:r>
      <w:r>
        <w:rPr>
          <w:spacing w:val="-15"/>
          <w:sz w:val="22"/>
        </w:rPr>
        <w:t> </w:t>
      </w:r>
      <w:r>
        <w:rPr>
          <w:sz w:val="22"/>
        </w:rPr>
        <w:t>léase</w:t>
      </w:r>
      <w:r>
        <w:rPr>
          <w:spacing w:val="-16"/>
          <w:sz w:val="22"/>
        </w:rPr>
        <w:t> </w:t>
      </w:r>
      <w:r>
        <w:rPr>
          <w:sz w:val="22"/>
        </w:rPr>
        <w:t>por</w:t>
      </w:r>
      <w:r>
        <w:rPr>
          <w:spacing w:val="-15"/>
          <w:sz w:val="22"/>
        </w:rPr>
        <w:t> </w:t>
      </w:r>
      <w:r>
        <w:rPr>
          <w:sz w:val="22"/>
        </w:rPr>
        <w:t>"población LGBTI". Fecha de vigencia 27/06/2017.</w:t>
      </w:r>
    </w:p>
    <w:p>
      <w:pPr>
        <w:spacing w:after="0" w:line="240" w:lineRule="auto"/>
        <w:jc w:val="both"/>
        <w:rPr>
          <w:sz w:val="22"/>
        </w:rPr>
        <w:sectPr>
          <w:pgSz w:w="12240" w:h="15840"/>
          <w:pgMar w:header="0" w:footer="1021" w:top="1340" w:bottom="1220" w:left="720" w:right="360"/>
        </w:sectPr>
      </w:pPr>
    </w:p>
    <w:p>
      <w:pPr>
        <w:spacing w:line="240" w:lineRule="auto" w:before="76"/>
        <w:ind w:left="979" w:right="1336" w:firstLine="0"/>
        <w:jc w:val="both"/>
        <w:rPr>
          <w:sz w:val="22"/>
        </w:rPr>
      </w:pPr>
      <w:r>
        <w:rPr>
          <w:b/>
          <w:sz w:val="22"/>
        </w:rPr>
        <w:t>Decreto N°40508-MINAE. Plan intersectorial para la aplicación de mecanismos de apoyo a grupos sociales vulnerables desde el sector eléctrico </w:t>
      </w:r>
      <w:r>
        <w:rPr>
          <w:sz w:val="22"/>
        </w:rPr>
        <w:t>Declara de interés público</w:t>
      </w:r>
      <w:r>
        <w:rPr>
          <w:spacing w:val="-12"/>
          <w:sz w:val="22"/>
        </w:rPr>
        <w:t> </w:t>
      </w:r>
      <w:r>
        <w:rPr>
          <w:sz w:val="22"/>
        </w:rPr>
        <w:t>la</w:t>
      </w:r>
      <w:r>
        <w:rPr>
          <w:spacing w:val="-14"/>
          <w:sz w:val="22"/>
        </w:rPr>
        <w:t> </w:t>
      </w:r>
      <w:r>
        <w:rPr>
          <w:sz w:val="22"/>
        </w:rPr>
        <w:t>ejecución</w:t>
      </w:r>
      <w:r>
        <w:rPr>
          <w:spacing w:val="-14"/>
          <w:sz w:val="22"/>
        </w:rPr>
        <w:t> </w:t>
      </w:r>
      <w:r>
        <w:rPr>
          <w:sz w:val="22"/>
        </w:rPr>
        <w:t>de</w:t>
      </w:r>
      <w:r>
        <w:rPr>
          <w:spacing w:val="-9"/>
          <w:sz w:val="22"/>
        </w:rPr>
        <w:t> </w:t>
      </w:r>
      <w:r>
        <w:rPr>
          <w:sz w:val="22"/>
        </w:rPr>
        <w:t>las</w:t>
      </w:r>
      <w:r>
        <w:rPr>
          <w:spacing w:val="-16"/>
          <w:sz w:val="22"/>
        </w:rPr>
        <w:t> </w:t>
      </w:r>
      <w:r>
        <w:rPr>
          <w:sz w:val="22"/>
        </w:rPr>
        <w:t>acciones</w:t>
      </w:r>
      <w:r>
        <w:rPr>
          <w:spacing w:val="-15"/>
          <w:sz w:val="22"/>
        </w:rPr>
        <w:t> </w:t>
      </w:r>
      <w:r>
        <w:rPr>
          <w:sz w:val="22"/>
        </w:rPr>
        <w:t>establecidas</w:t>
      </w:r>
      <w:r>
        <w:rPr>
          <w:spacing w:val="-15"/>
          <w:sz w:val="22"/>
        </w:rPr>
        <w:t> </w:t>
      </w:r>
      <w:r>
        <w:rPr>
          <w:sz w:val="22"/>
        </w:rPr>
        <w:t>en</w:t>
      </w:r>
      <w:r>
        <w:rPr>
          <w:spacing w:val="-14"/>
          <w:sz w:val="22"/>
        </w:rPr>
        <w:t> </w:t>
      </w:r>
      <w:r>
        <w:rPr>
          <w:sz w:val="22"/>
        </w:rPr>
        <w:t>el</w:t>
      </w:r>
      <w:r>
        <w:rPr>
          <w:spacing w:val="-12"/>
          <w:sz w:val="22"/>
        </w:rPr>
        <w:t> </w:t>
      </w:r>
      <w:r>
        <w:rPr>
          <w:sz w:val="22"/>
        </w:rPr>
        <w:t>“Plan</w:t>
      </w:r>
      <w:r>
        <w:rPr>
          <w:spacing w:val="-9"/>
          <w:sz w:val="22"/>
        </w:rPr>
        <w:t> </w:t>
      </w:r>
      <w:r>
        <w:rPr>
          <w:sz w:val="22"/>
        </w:rPr>
        <w:t>intersectorial</w:t>
      </w:r>
      <w:r>
        <w:rPr>
          <w:spacing w:val="-16"/>
          <w:sz w:val="22"/>
        </w:rPr>
        <w:t> </w:t>
      </w:r>
      <w:r>
        <w:rPr>
          <w:sz w:val="22"/>
        </w:rPr>
        <w:t>para</w:t>
      </w:r>
      <w:r>
        <w:rPr>
          <w:spacing w:val="-14"/>
          <w:sz w:val="22"/>
        </w:rPr>
        <w:t> </w:t>
      </w:r>
      <w:r>
        <w:rPr>
          <w:sz w:val="22"/>
        </w:rPr>
        <w:t>la</w:t>
      </w:r>
      <w:r>
        <w:rPr>
          <w:spacing w:val="-14"/>
          <w:sz w:val="22"/>
        </w:rPr>
        <w:t> </w:t>
      </w:r>
      <w:r>
        <w:rPr>
          <w:sz w:val="22"/>
        </w:rPr>
        <w:t>aplicación de mecanismos de apoyo a grupos sociales vulnerables desde el sector eléctrico”. Este plan</w:t>
      </w:r>
      <w:r>
        <w:rPr>
          <w:spacing w:val="-16"/>
          <w:sz w:val="22"/>
        </w:rPr>
        <w:t> </w:t>
      </w:r>
      <w:r>
        <w:rPr>
          <w:sz w:val="22"/>
        </w:rPr>
        <w:t>es</w:t>
      </w:r>
      <w:r>
        <w:rPr>
          <w:spacing w:val="-15"/>
          <w:sz w:val="22"/>
        </w:rPr>
        <w:t> </w:t>
      </w:r>
      <w:r>
        <w:rPr>
          <w:sz w:val="22"/>
        </w:rPr>
        <w:t>un</w:t>
      </w:r>
      <w:r>
        <w:rPr>
          <w:spacing w:val="-15"/>
          <w:sz w:val="22"/>
        </w:rPr>
        <w:t> </w:t>
      </w:r>
      <w:r>
        <w:rPr>
          <w:sz w:val="22"/>
        </w:rPr>
        <w:t>instrumento</w:t>
      </w:r>
      <w:r>
        <w:rPr>
          <w:spacing w:val="-16"/>
          <w:sz w:val="22"/>
        </w:rPr>
        <w:t> </w:t>
      </w:r>
      <w:r>
        <w:rPr>
          <w:sz w:val="22"/>
        </w:rPr>
        <w:t>de</w:t>
      </w:r>
      <w:r>
        <w:rPr>
          <w:spacing w:val="-15"/>
          <w:sz w:val="22"/>
        </w:rPr>
        <w:t> </w:t>
      </w:r>
      <w:r>
        <w:rPr>
          <w:sz w:val="22"/>
        </w:rPr>
        <w:t>dirección,</w:t>
      </w:r>
      <w:r>
        <w:rPr>
          <w:spacing w:val="-15"/>
          <w:sz w:val="22"/>
        </w:rPr>
        <w:t> </w:t>
      </w:r>
      <w:r>
        <w:rPr>
          <w:sz w:val="22"/>
        </w:rPr>
        <w:t>coordinación</w:t>
      </w:r>
      <w:r>
        <w:rPr>
          <w:spacing w:val="-15"/>
          <w:sz w:val="22"/>
        </w:rPr>
        <w:t> </w:t>
      </w:r>
      <w:r>
        <w:rPr>
          <w:sz w:val="22"/>
        </w:rPr>
        <w:t>y</w:t>
      </w:r>
      <w:r>
        <w:rPr>
          <w:spacing w:val="-16"/>
          <w:sz w:val="22"/>
        </w:rPr>
        <w:t> </w:t>
      </w:r>
      <w:r>
        <w:rPr>
          <w:sz w:val="22"/>
        </w:rPr>
        <w:t>articulación</w:t>
      </w:r>
      <w:r>
        <w:rPr>
          <w:spacing w:val="-15"/>
          <w:sz w:val="22"/>
        </w:rPr>
        <w:t> </w:t>
      </w:r>
      <w:r>
        <w:rPr>
          <w:sz w:val="22"/>
        </w:rPr>
        <w:t>que</w:t>
      </w:r>
      <w:r>
        <w:rPr>
          <w:spacing w:val="-15"/>
          <w:sz w:val="22"/>
        </w:rPr>
        <w:t> </w:t>
      </w:r>
      <w:r>
        <w:rPr>
          <w:sz w:val="22"/>
        </w:rPr>
        <w:t>orientará</w:t>
      </w:r>
      <w:r>
        <w:rPr>
          <w:spacing w:val="-16"/>
          <w:sz w:val="22"/>
        </w:rPr>
        <w:t> </w:t>
      </w:r>
      <w:r>
        <w:rPr>
          <w:sz w:val="22"/>
        </w:rPr>
        <w:t>las</w:t>
      </w:r>
      <w:r>
        <w:rPr>
          <w:spacing w:val="-15"/>
          <w:sz w:val="22"/>
        </w:rPr>
        <w:t> </w:t>
      </w:r>
      <w:r>
        <w:rPr>
          <w:sz w:val="22"/>
        </w:rPr>
        <w:t>decisiones y acciones para ajustar los modelos de tarifas eléctricas con el</w:t>
      </w:r>
      <w:r>
        <w:rPr>
          <w:spacing w:val="-1"/>
          <w:sz w:val="22"/>
        </w:rPr>
        <w:t> </w:t>
      </w:r>
      <w:r>
        <w:rPr>
          <w:sz w:val="22"/>
        </w:rPr>
        <w:t>fin de generar beneficios a los hogares en pobreza. Fecha de vigencia10/08/2017.</w:t>
      </w:r>
    </w:p>
    <w:p>
      <w:pPr>
        <w:pStyle w:val="BodyText"/>
        <w:spacing w:before="2"/>
      </w:pPr>
    </w:p>
    <w:p>
      <w:pPr>
        <w:spacing w:line="240" w:lineRule="auto" w:before="1"/>
        <w:ind w:left="979" w:right="1333" w:firstLine="0"/>
        <w:jc w:val="both"/>
        <w:rPr>
          <w:sz w:val="22"/>
        </w:rPr>
      </w:pPr>
      <w:r>
        <w:rPr>
          <w:b/>
          <w:sz w:val="22"/>
        </w:rPr>
        <w:t>Decreto N.º 40538-H</w:t>
      </w:r>
      <w:r>
        <w:rPr>
          <w:sz w:val="22"/>
        </w:rPr>
        <w:t>, </w:t>
      </w:r>
      <w:r>
        <w:rPr>
          <w:b/>
          <w:sz w:val="22"/>
        </w:rPr>
        <w:t>Reforma Reglamento a la Ley de Contratación Administrativa</w:t>
      </w:r>
      <w:r>
        <w:rPr>
          <w:sz w:val="22"/>
        </w:rPr>
        <w:t>, fecha de vigencia 10/08/2017, Reforma artículos varios al Reglamento a la Ley de Contratación Administrativa. fecha de vigencia 10/08/2017.</w:t>
      </w:r>
    </w:p>
    <w:p>
      <w:pPr>
        <w:spacing w:before="249"/>
        <w:ind w:left="979" w:right="1338" w:firstLine="0"/>
        <w:jc w:val="both"/>
        <w:rPr>
          <w:sz w:val="22"/>
        </w:rPr>
      </w:pPr>
      <w:r>
        <w:rPr>
          <w:b/>
          <w:sz w:val="22"/>
        </w:rPr>
        <w:t>Decreto</w:t>
      </w:r>
      <w:r>
        <w:rPr>
          <w:b/>
          <w:spacing w:val="-16"/>
          <w:sz w:val="22"/>
        </w:rPr>
        <w:t> </w:t>
      </w:r>
      <w:r>
        <w:rPr>
          <w:b/>
          <w:sz w:val="22"/>
        </w:rPr>
        <w:t>9463</w:t>
      </w:r>
      <w:r>
        <w:rPr>
          <w:b/>
          <w:spacing w:val="-15"/>
          <w:sz w:val="22"/>
        </w:rPr>
        <w:t> </w:t>
      </w:r>
      <w:r>
        <w:rPr>
          <w:b/>
          <w:sz w:val="22"/>
        </w:rPr>
        <w:t>Creación</w:t>
      </w:r>
      <w:r>
        <w:rPr>
          <w:b/>
          <w:spacing w:val="-15"/>
          <w:sz w:val="22"/>
        </w:rPr>
        <w:t> </w:t>
      </w:r>
      <w:r>
        <w:rPr>
          <w:b/>
          <w:sz w:val="22"/>
        </w:rPr>
        <w:t>del</w:t>
      </w:r>
      <w:r>
        <w:rPr>
          <w:b/>
          <w:spacing w:val="-16"/>
          <w:sz w:val="22"/>
        </w:rPr>
        <w:t> </w:t>
      </w:r>
      <w:r>
        <w:rPr>
          <w:b/>
          <w:sz w:val="22"/>
        </w:rPr>
        <w:t>Distrito</w:t>
      </w:r>
      <w:r>
        <w:rPr>
          <w:b/>
          <w:spacing w:val="-15"/>
          <w:sz w:val="22"/>
        </w:rPr>
        <w:t> </w:t>
      </w:r>
      <w:r>
        <w:rPr>
          <w:b/>
          <w:sz w:val="22"/>
        </w:rPr>
        <w:t>5°</w:t>
      </w:r>
      <w:r>
        <w:rPr>
          <w:b/>
          <w:spacing w:val="-15"/>
          <w:sz w:val="22"/>
        </w:rPr>
        <w:t> </w:t>
      </w:r>
      <w:r>
        <w:rPr>
          <w:b/>
          <w:sz w:val="22"/>
        </w:rPr>
        <w:t>del</w:t>
      </w:r>
      <w:r>
        <w:rPr>
          <w:b/>
          <w:spacing w:val="-15"/>
          <w:sz w:val="22"/>
        </w:rPr>
        <w:t> </w:t>
      </w:r>
      <w:r>
        <w:rPr>
          <w:b/>
          <w:sz w:val="22"/>
        </w:rPr>
        <w:t>Cantón</w:t>
      </w:r>
      <w:r>
        <w:rPr>
          <w:b/>
          <w:spacing w:val="-16"/>
          <w:sz w:val="22"/>
        </w:rPr>
        <w:t> </w:t>
      </w:r>
      <w:r>
        <w:rPr>
          <w:b/>
          <w:sz w:val="22"/>
        </w:rPr>
        <w:t>de</w:t>
      </w:r>
      <w:r>
        <w:rPr>
          <w:b/>
          <w:spacing w:val="-15"/>
          <w:sz w:val="22"/>
        </w:rPr>
        <w:t> </w:t>
      </w:r>
      <w:r>
        <w:rPr>
          <w:b/>
          <w:sz w:val="22"/>
        </w:rPr>
        <w:t>Hojancha</w:t>
      </w:r>
      <w:r>
        <w:rPr>
          <w:sz w:val="22"/>
        </w:rPr>
        <w:t>,</w:t>
      </w:r>
      <w:r>
        <w:rPr>
          <w:spacing w:val="-15"/>
          <w:sz w:val="22"/>
        </w:rPr>
        <w:t> </w:t>
      </w:r>
      <w:r>
        <w:rPr>
          <w:sz w:val="22"/>
        </w:rPr>
        <w:t>Matambú,</w:t>
      </w:r>
      <w:r>
        <w:rPr>
          <w:spacing w:val="-16"/>
          <w:sz w:val="22"/>
        </w:rPr>
        <w:t> </w:t>
      </w:r>
      <w:r>
        <w:rPr>
          <w:sz w:val="22"/>
        </w:rPr>
        <w:t>Crea</w:t>
      </w:r>
      <w:r>
        <w:rPr>
          <w:spacing w:val="-14"/>
          <w:sz w:val="22"/>
        </w:rPr>
        <w:t> </w:t>
      </w:r>
      <w:r>
        <w:rPr>
          <w:sz w:val="22"/>
        </w:rPr>
        <w:t>el</w:t>
      </w:r>
      <w:r>
        <w:rPr>
          <w:spacing w:val="-15"/>
          <w:sz w:val="22"/>
        </w:rPr>
        <w:t> </w:t>
      </w:r>
      <w:r>
        <w:rPr>
          <w:sz w:val="22"/>
        </w:rPr>
        <w:t>distrito 5º del cantón de Hojancha, Matambú, cuya cabecera será Matambú centro, fecha de vigencia 25/08/2017.</w:t>
      </w:r>
    </w:p>
    <w:p>
      <w:pPr>
        <w:pStyle w:val="BodyText"/>
        <w:spacing w:before="1"/>
      </w:pPr>
    </w:p>
    <w:p>
      <w:pPr>
        <w:spacing w:line="240" w:lineRule="auto" w:before="0"/>
        <w:ind w:left="979" w:right="1342" w:firstLine="0"/>
        <w:jc w:val="both"/>
        <w:rPr>
          <w:sz w:val="22"/>
        </w:rPr>
      </w:pPr>
      <w:r>
        <w:rPr>
          <w:b/>
          <w:sz w:val="22"/>
        </w:rPr>
        <w:t>Decreto N.º 40736-MP-H-MIDEPLAN Creación de la base de datos de empleo para el sector público, </w:t>
      </w:r>
      <w:r>
        <w:rPr>
          <w:sz w:val="22"/>
        </w:rPr>
        <w:t>Crea la Base de Datos</w:t>
      </w:r>
      <w:r>
        <w:rPr>
          <w:spacing w:val="-1"/>
          <w:sz w:val="22"/>
        </w:rPr>
        <w:t> </w:t>
      </w:r>
      <w:r>
        <w:rPr>
          <w:sz w:val="22"/>
        </w:rPr>
        <w:t>de Empleo para el</w:t>
      </w:r>
      <w:r>
        <w:rPr>
          <w:spacing w:val="-2"/>
          <w:sz w:val="22"/>
        </w:rPr>
        <w:t> </w:t>
      </w:r>
      <w:r>
        <w:rPr>
          <w:sz w:val="22"/>
        </w:rPr>
        <w:t>Sector</w:t>
      </w:r>
      <w:r>
        <w:rPr>
          <w:spacing w:val="-3"/>
          <w:sz w:val="22"/>
        </w:rPr>
        <w:t> </w:t>
      </w:r>
      <w:r>
        <w:rPr>
          <w:sz w:val="22"/>
        </w:rPr>
        <w:t>Público, la cual</w:t>
      </w:r>
      <w:r>
        <w:rPr>
          <w:spacing w:val="-2"/>
          <w:sz w:val="22"/>
        </w:rPr>
        <w:t> </w:t>
      </w:r>
      <w:r>
        <w:rPr>
          <w:sz w:val="22"/>
        </w:rPr>
        <w:t>estará a cargo de la Secretaría Técnica de la Autoridad Presupuestaria (STAP) y de la Dirección General de Servicio Civil (DGSC), para optimizar la toma de decisiones en materia de recursos humanos y gestión del talento humano en el Sector Público. Fecha de vigencia </w:t>
      </w:r>
      <w:r>
        <w:rPr>
          <w:spacing w:val="-2"/>
          <w:sz w:val="22"/>
        </w:rPr>
        <w:t>20/11/2017.</w:t>
      </w:r>
    </w:p>
    <w:p>
      <w:pPr>
        <w:pStyle w:val="BodyText"/>
        <w:spacing w:before="1"/>
      </w:pPr>
    </w:p>
    <w:p>
      <w:pPr>
        <w:spacing w:line="240" w:lineRule="auto" w:before="0"/>
        <w:ind w:left="979" w:right="1342" w:firstLine="0"/>
        <w:jc w:val="both"/>
        <w:rPr>
          <w:sz w:val="22"/>
        </w:rPr>
      </w:pPr>
      <w:r>
        <w:rPr>
          <w:b/>
          <w:sz w:val="22"/>
        </w:rPr>
        <w:t>Decreto N.º</w:t>
      </w:r>
      <w:r>
        <w:rPr>
          <w:b/>
          <w:spacing w:val="-1"/>
          <w:sz w:val="22"/>
        </w:rPr>
        <w:t> </w:t>
      </w:r>
      <w:r>
        <w:rPr>
          <w:b/>
          <w:sz w:val="22"/>
        </w:rPr>
        <w:t>40694-MP-MDHIS, Estrategia en</w:t>
      </w:r>
      <w:r>
        <w:rPr>
          <w:b/>
          <w:spacing w:val="-2"/>
          <w:sz w:val="22"/>
        </w:rPr>
        <w:t> </w:t>
      </w:r>
      <w:r>
        <w:rPr>
          <w:b/>
          <w:sz w:val="22"/>
        </w:rPr>
        <w:t>materia de inserción de los padres y las madres</w:t>
      </w:r>
      <w:r>
        <w:rPr>
          <w:b/>
          <w:spacing w:val="-16"/>
          <w:sz w:val="22"/>
        </w:rPr>
        <w:t> </w:t>
      </w:r>
      <w:r>
        <w:rPr>
          <w:b/>
          <w:sz w:val="22"/>
        </w:rPr>
        <w:t>al</w:t>
      </w:r>
      <w:r>
        <w:rPr>
          <w:b/>
          <w:spacing w:val="-15"/>
          <w:sz w:val="22"/>
        </w:rPr>
        <w:t> </w:t>
      </w:r>
      <w:r>
        <w:rPr>
          <w:b/>
          <w:sz w:val="22"/>
        </w:rPr>
        <w:t>mercado</w:t>
      </w:r>
      <w:r>
        <w:rPr>
          <w:b/>
          <w:spacing w:val="-15"/>
          <w:sz w:val="22"/>
        </w:rPr>
        <w:t> </w:t>
      </w:r>
      <w:r>
        <w:rPr>
          <w:b/>
          <w:sz w:val="22"/>
        </w:rPr>
        <w:t>laboral</w:t>
      </w:r>
      <w:r>
        <w:rPr>
          <w:b/>
          <w:spacing w:val="-16"/>
          <w:sz w:val="22"/>
        </w:rPr>
        <w:t> </w:t>
      </w:r>
      <w:r>
        <w:rPr>
          <w:b/>
          <w:sz w:val="22"/>
        </w:rPr>
        <w:t>o</w:t>
      </w:r>
      <w:r>
        <w:rPr>
          <w:b/>
          <w:spacing w:val="-15"/>
          <w:sz w:val="22"/>
        </w:rPr>
        <w:t> </w:t>
      </w:r>
      <w:r>
        <w:rPr>
          <w:b/>
          <w:sz w:val="22"/>
        </w:rPr>
        <w:t>educativo</w:t>
      </w:r>
      <w:r>
        <w:rPr>
          <w:sz w:val="22"/>
        </w:rPr>
        <w:t>,</w:t>
      </w:r>
      <w:r>
        <w:rPr>
          <w:spacing w:val="-15"/>
          <w:sz w:val="22"/>
        </w:rPr>
        <w:t> </w:t>
      </w:r>
      <w:r>
        <w:rPr>
          <w:sz w:val="22"/>
        </w:rPr>
        <w:t>de</w:t>
      </w:r>
      <w:r>
        <w:rPr>
          <w:spacing w:val="-15"/>
          <w:sz w:val="22"/>
        </w:rPr>
        <w:t> </w:t>
      </w:r>
      <w:r>
        <w:rPr>
          <w:sz w:val="22"/>
        </w:rPr>
        <w:t>acuerdo</w:t>
      </w:r>
      <w:r>
        <w:rPr>
          <w:spacing w:val="-16"/>
          <w:sz w:val="22"/>
        </w:rPr>
        <w:t> </w:t>
      </w:r>
      <w:r>
        <w:rPr>
          <w:sz w:val="22"/>
        </w:rPr>
        <w:t>con</w:t>
      </w:r>
      <w:r>
        <w:rPr>
          <w:spacing w:val="-15"/>
          <w:sz w:val="22"/>
        </w:rPr>
        <w:t> </w:t>
      </w:r>
      <w:r>
        <w:rPr>
          <w:sz w:val="22"/>
        </w:rPr>
        <w:t>lo</w:t>
      </w:r>
      <w:r>
        <w:rPr>
          <w:spacing w:val="-15"/>
          <w:sz w:val="22"/>
        </w:rPr>
        <w:t> </w:t>
      </w:r>
      <w:r>
        <w:rPr>
          <w:sz w:val="22"/>
        </w:rPr>
        <w:t>establecido</w:t>
      </w:r>
      <w:r>
        <w:rPr>
          <w:spacing w:val="-16"/>
          <w:sz w:val="22"/>
        </w:rPr>
        <w:t> </w:t>
      </w:r>
      <w:r>
        <w:rPr>
          <w:sz w:val="22"/>
        </w:rPr>
        <w:t>en</w:t>
      </w:r>
      <w:r>
        <w:rPr>
          <w:spacing w:val="-15"/>
          <w:sz w:val="22"/>
        </w:rPr>
        <w:t> </w:t>
      </w:r>
      <w:r>
        <w:rPr>
          <w:sz w:val="22"/>
        </w:rPr>
        <w:t>la</w:t>
      </w:r>
      <w:r>
        <w:rPr>
          <w:spacing w:val="-15"/>
          <w:sz w:val="22"/>
        </w:rPr>
        <w:t> </w:t>
      </w:r>
      <w:r>
        <w:rPr>
          <w:sz w:val="22"/>
        </w:rPr>
        <w:t>Ley</w:t>
      </w:r>
      <w:r>
        <w:rPr>
          <w:spacing w:val="-15"/>
          <w:sz w:val="22"/>
        </w:rPr>
        <w:t> </w:t>
      </w:r>
      <w:r>
        <w:rPr>
          <w:sz w:val="22"/>
        </w:rPr>
        <w:t>N.º</w:t>
      </w:r>
      <w:r>
        <w:rPr>
          <w:spacing w:val="-16"/>
          <w:sz w:val="22"/>
        </w:rPr>
        <w:t> </w:t>
      </w:r>
      <w:r>
        <w:rPr>
          <w:sz w:val="22"/>
        </w:rPr>
        <w:t>9220, Oficializa</w:t>
      </w:r>
      <w:r>
        <w:rPr>
          <w:spacing w:val="40"/>
          <w:sz w:val="22"/>
        </w:rPr>
        <w:t> </w:t>
      </w:r>
      <w:r>
        <w:rPr>
          <w:sz w:val="22"/>
        </w:rPr>
        <w:t>la "Estrategia</w:t>
      </w:r>
      <w:r>
        <w:rPr>
          <w:spacing w:val="40"/>
          <w:sz w:val="22"/>
        </w:rPr>
        <w:t> </w:t>
      </w:r>
      <w:r>
        <w:rPr>
          <w:sz w:val="22"/>
        </w:rPr>
        <w:t>en</w:t>
      </w:r>
      <w:r>
        <w:rPr>
          <w:spacing w:val="40"/>
          <w:sz w:val="22"/>
        </w:rPr>
        <w:t> </w:t>
      </w:r>
      <w:r>
        <w:rPr>
          <w:sz w:val="22"/>
        </w:rPr>
        <w:t>materia</w:t>
      </w:r>
      <w:r>
        <w:rPr>
          <w:spacing w:val="40"/>
          <w:sz w:val="22"/>
        </w:rPr>
        <w:t> </w:t>
      </w:r>
      <w:r>
        <w:rPr>
          <w:sz w:val="22"/>
        </w:rPr>
        <w:t>de</w:t>
      </w:r>
      <w:r>
        <w:rPr>
          <w:spacing w:val="40"/>
          <w:sz w:val="22"/>
        </w:rPr>
        <w:t> </w:t>
      </w:r>
      <w:r>
        <w:rPr>
          <w:sz w:val="22"/>
        </w:rPr>
        <w:t>inserción</w:t>
      </w:r>
      <w:r>
        <w:rPr>
          <w:spacing w:val="40"/>
          <w:sz w:val="22"/>
        </w:rPr>
        <w:t> </w:t>
      </w:r>
      <w:r>
        <w:rPr>
          <w:sz w:val="22"/>
        </w:rPr>
        <w:t>de</w:t>
      </w:r>
      <w:r>
        <w:rPr>
          <w:spacing w:val="40"/>
          <w:sz w:val="22"/>
        </w:rPr>
        <w:t> </w:t>
      </w:r>
      <w:r>
        <w:rPr>
          <w:sz w:val="22"/>
        </w:rPr>
        <w:t>los</w:t>
      </w:r>
      <w:r>
        <w:rPr>
          <w:spacing w:val="40"/>
          <w:sz w:val="22"/>
        </w:rPr>
        <w:t> </w:t>
      </w:r>
      <w:r>
        <w:rPr>
          <w:sz w:val="22"/>
        </w:rPr>
        <w:t>padres</w:t>
      </w:r>
      <w:r>
        <w:rPr>
          <w:spacing w:val="40"/>
          <w:sz w:val="22"/>
        </w:rPr>
        <w:t> </w:t>
      </w:r>
      <w:r>
        <w:rPr>
          <w:sz w:val="22"/>
        </w:rPr>
        <w:t>y</w:t>
      </w:r>
      <w:r>
        <w:rPr>
          <w:spacing w:val="40"/>
          <w:sz w:val="22"/>
        </w:rPr>
        <w:t> </w:t>
      </w:r>
      <w:r>
        <w:rPr>
          <w:sz w:val="22"/>
        </w:rPr>
        <w:t>las</w:t>
      </w:r>
      <w:r>
        <w:rPr>
          <w:spacing w:val="40"/>
          <w:sz w:val="22"/>
        </w:rPr>
        <w:t> </w:t>
      </w:r>
      <w:r>
        <w:rPr>
          <w:sz w:val="22"/>
        </w:rPr>
        <w:t>madres</w:t>
      </w:r>
      <w:r>
        <w:rPr>
          <w:spacing w:val="40"/>
          <w:sz w:val="22"/>
        </w:rPr>
        <w:t> </w:t>
      </w:r>
      <w:r>
        <w:rPr>
          <w:sz w:val="22"/>
        </w:rPr>
        <w:t>al mercado laboral o educativo, de acuerdo con lo establecido en la Ley N.º 9220" Fecha de vigencia 22/11/2017</w:t>
      </w:r>
    </w:p>
    <w:p>
      <w:pPr>
        <w:spacing w:before="252"/>
        <w:ind w:left="979" w:right="1334" w:firstLine="0"/>
        <w:jc w:val="both"/>
        <w:rPr>
          <w:sz w:val="22"/>
        </w:rPr>
      </w:pPr>
      <w:r>
        <w:rPr>
          <w:b/>
          <w:sz w:val="22"/>
        </w:rPr>
        <w:t>Decreto Nº40836-MTSS-MDHIS-MIDEPLAN-MEIC. Reforma Implementación y articulación de la estrategia puente al desarrollo</w:t>
      </w:r>
      <w:r>
        <w:rPr>
          <w:sz w:val="22"/>
        </w:rPr>
        <w:t>, Modifica artículos varios del Decreto Ejecutivo N.º 38954-MTSS-MDHIS-MIDEPLAN. Fecha de vigencia19/02/2018.</w:t>
      </w:r>
    </w:p>
    <w:p>
      <w:pPr>
        <w:pStyle w:val="BodyText"/>
        <w:spacing w:before="1"/>
      </w:pPr>
    </w:p>
    <w:p>
      <w:pPr>
        <w:spacing w:line="240" w:lineRule="auto" w:before="0"/>
        <w:ind w:left="979" w:right="1336" w:firstLine="0"/>
        <w:jc w:val="both"/>
        <w:rPr>
          <w:sz w:val="22"/>
        </w:rPr>
      </w:pPr>
      <w:r>
        <w:rPr>
          <w:b/>
          <w:sz w:val="22"/>
        </w:rPr>
        <w:t>Decreto N°40881-S. Oficializa la Normativa Nacional para la Articulación Interinstitucional en el Abordaje Integral del Comportamiento Suicida.</w:t>
      </w:r>
      <w:r>
        <w:rPr>
          <w:b/>
          <w:spacing w:val="40"/>
          <w:sz w:val="22"/>
        </w:rPr>
        <w:t> </w:t>
      </w:r>
      <w:r>
        <w:rPr>
          <w:sz w:val="22"/>
        </w:rPr>
        <w:t>Aplicación obligatoria la Normativa Nacional para la Articulación Interinstitucional en el Abordaje Integral del Comportamiento Suicida, adjunta como anexo a este decreto, la cual deberá ser acatada por todas las instituciones involucradas en</w:t>
      </w:r>
      <w:r>
        <w:rPr>
          <w:spacing w:val="-1"/>
          <w:sz w:val="22"/>
        </w:rPr>
        <w:t> </w:t>
      </w:r>
      <w:r>
        <w:rPr>
          <w:sz w:val="22"/>
        </w:rPr>
        <w:t>el</w:t>
      </w:r>
      <w:r>
        <w:rPr>
          <w:spacing w:val="-3"/>
          <w:sz w:val="22"/>
        </w:rPr>
        <w:t> </w:t>
      </w:r>
      <w:r>
        <w:rPr>
          <w:sz w:val="22"/>
        </w:rPr>
        <w:t>proceso</w:t>
      </w:r>
      <w:r>
        <w:rPr>
          <w:spacing w:val="-1"/>
          <w:sz w:val="22"/>
        </w:rPr>
        <w:t> </w:t>
      </w:r>
      <w:r>
        <w:rPr>
          <w:sz w:val="22"/>
        </w:rPr>
        <w:t>de abordaje</w:t>
      </w:r>
      <w:r>
        <w:rPr>
          <w:spacing w:val="-1"/>
          <w:sz w:val="22"/>
        </w:rPr>
        <w:t> </w:t>
      </w:r>
      <w:r>
        <w:rPr>
          <w:sz w:val="22"/>
        </w:rPr>
        <w:t>integral del comportamiento suicida. Fecha de vigencia 22/02/2018.</w:t>
      </w:r>
    </w:p>
    <w:p>
      <w:pPr>
        <w:pStyle w:val="BodyText"/>
        <w:spacing w:before="1"/>
      </w:pPr>
    </w:p>
    <w:p>
      <w:pPr>
        <w:pStyle w:val="BodyText"/>
        <w:ind w:left="979" w:right="1333"/>
        <w:jc w:val="both"/>
      </w:pPr>
      <w:r>
        <w:rPr>
          <w:b/>
        </w:rPr>
        <w:t>Decreto N°40932-MP-MJP. Mecanismo General de Consulta a Pueblos Indígenas. </w:t>
      </w:r>
      <w:r>
        <w:rPr/>
        <w:t>Reglamenta</w:t>
      </w:r>
      <w:r>
        <w:rPr>
          <w:spacing w:val="-16"/>
        </w:rPr>
        <w:t> </w:t>
      </w:r>
      <w:r>
        <w:rPr/>
        <w:t>la</w:t>
      </w:r>
      <w:r>
        <w:rPr>
          <w:spacing w:val="-15"/>
        </w:rPr>
        <w:t> </w:t>
      </w:r>
      <w:r>
        <w:rPr/>
        <w:t>obligación</w:t>
      </w:r>
      <w:r>
        <w:rPr>
          <w:spacing w:val="-14"/>
        </w:rPr>
        <w:t> </w:t>
      </w:r>
      <w:r>
        <w:rPr/>
        <w:t>del</w:t>
      </w:r>
      <w:r>
        <w:rPr>
          <w:spacing w:val="-16"/>
        </w:rPr>
        <w:t> </w:t>
      </w:r>
      <w:r>
        <w:rPr/>
        <w:t>Poder</w:t>
      </w:r>
      <w:r>
        <w:rPr>
          <w:spacing w:val="-15"/>
        </w:rPr>
        <w:t> </w:t>
      </w:r>
      <w:r>
        <w:rPr/>
        <w:t>Ejecutivo</w:t>
      </w:r>
      <w:r>
        <w:rPr>
          <w:spacing w:val="-13"/>
        </w:rPr>
        <w:t> </w:t>
      </w:r>
      <w:r>
        <w:rPr/>
        <w:t>de</w:t>
      </w:r>
      <w:r>
        <w:rPr>
          <w:spacing w:val="-8"/>
        </w:rPr>
        <w:t> </w:t>
      </w:r>
      <w:r>
        <w:rPr/>
        <w:t>consultar</w:t>
      </w:r>
      <w:r>
        <w:rPr>
          <w:spacing w:val="-16"/>
        </w:rPr>
        <w:t> </w:t>
      </w:r>
      <w:r>
        <w:rPr/>
        <w:t>a</w:t>
      </w:r>
      <w:r>
        <w:rPr>
          <w:spacing w:val="-13"/>
        </w:rPr>
        <w:t> </w:t>
      </w:r>
      <w:r>
        <w:rPr/>
        <w:t>los</w:t>
      </w:r>
      <w:r>
        <w:rPr>
          <w:spacing w:val="-15"/>
        </w:rPr>
        <w:t> </w:t>
      </w:r>
      <w:r>
        <w:rPr/>
        <w:t>pueblos</w:t>
      </w:r>
      <w:r>
        <w:rPr>
          <w:spacing w:val="-15"/>
        </w:rPr>
        <w:t> </w:t>
      </w:r>
      <w:r>
        <w:rPr/>
        <w:t>indígenas</w:t>
      </w:r>
      <w:r>
        <w:rPr>
          <w:spacing w:val="-16"/>
        </w:rPr>
        <w:t> </w:t>
      </w:r>
      <w:r>
        <w:rPr/>
        <w:t>de</w:t>
      </w:r>
      <w:r>
        <w:rPr>
          <w:spacing w:val="-13"/>
        </w:rPr>
        <w:t> </w:t>
      </w:r>
      <w:r>
        <w:rPr/>
        <w:t>forma libre, previa e informada, mediante procedimientos apropiados y a través de sus instituciones</w:t>
      </w:r>
      <w:r>
        <w:rPr>
          <w:spacing w:val="-2"/>
        </w:rPr>
        <w:t> </w:t>
      </w:r>
      <w:r>
        <w:rPr/>
        <w:t>representativas,</w:t>
      </w:r>
      <w:r>
        <w:rPr>
          <w:spacing w:val="-6"/>
        </w:rPr>
        <w:t> </w:t>
      </w:r>
      <w:r>
        <w:rPr/>
        <w:t>cada</w:t>
      </w:r>
      <w:r>
        <w:rPr>
          <w:spacing w:val="-1"/>
        </w:rPr>
        <w:t> </w:t>
      </w:r>
      <w:r>
        <w:rPr/>
        <w:t>vez</w:t>
      </w:r>
      <w:r>
        <w:rPr>
          <w:spacing w:val="-7"/>
        </w:rPr>
        <w:t> </w:t>
      </w:r>
      <w:r>
        <w:rPr/>
        <w:t>que</w:t>
      </w:r>
      <w:r>
        <w:rPr>
          <w:spacing w:val="-5"/>
        </w:rPr>
        <w:t> </w:t>
      </w:r>
      <w:r>
        <w:rPr/>
        <w:t>se</w:t>
      </w:r>
      <w:r>
        <w:rPr>
          <w:spacing w:val="-10"/>
        </w:rPr>
        <w:t> </w:t>
      </w:r>
      <w:r>
        <w:rPr/>
        <w:t>prevean</w:t>
      </w:r>
      <w:r>
        <w:rPr>
          <w:spacing w:val="-5"/>
        </w:rPr>
        <w:t> </w:t>
      </w:r>
      <w:r>
        <w:rPr/>
        <w:t>medidas</w:t>
      </w:r>
      <w:r>
        <w:rPr>
          <w:spacing w:val="-7"/>
        </w:rPr>
        <w:t> </w:t>
      </w:r>
      <w:r>
        <w:rPr/>
        <w:t>administrativas,</w:t>
      </w:r>
      <w:r>
        <w:rPr>
          <w:spacing w:val="-6"/>
        </w:rPr>
        <w:t> </w:t>
      </w:r>
      <w:r>
        <w:rPr/>
        <w:t>proyectos de ley</w:t>
      </w:r>
      <w:r>
        <w:rPr>
          <w:spacing w:val="-1"/>
        </w:rPr>
        <w:t> </w:t>
      </w:r>
      <w:r>
        <w:rPr/>
        <w:t>promovidos</w:t>
      </w:r>
      <w:r>
        <w:rPr>
          <w:spacing w:val="-1"/>
        </w:rPr>
        <w:t> </w:t>
      </w:r>
      <w:r>
        <w:rPr/>
        <w:t>por</w:t>
      </w:r>
      <w:r>
        <w:rPr>
          <w:spacing w:val="-2"/>
        </w:rPr>
        <w:t> </w:t>
      </w:r>
      <w:r>
        <w:rPr/>
        <w:t>el</w:t>
      </w:r>
      <w:r>
        <w:rPr>
          <w:spacing w:val="-1"/>
        </w:rPr>
        <w:t> </w:t>
      </w:r>
      <w:r>
        <w:rPr/>
        <w:t>Poder</w:t>
      </w:r>
      <w:r>
        <w:rPr>
          <w:spacing w:val="-2"/>
        </w:rPr>
        <w:t> </w:t>
      </w:r>
      <w:r>
        <w:rPr/>
        <w:t>Ejecutivo o proyectos</w:t>
      </w:r>
      <w:r>
        <w:rPr>
          <w:spacing w:val="-1"/>
        </w:rPr>
        <w:t> </w:t>
      </w:r>
      <w:r>
        <w:rPr/>
        <w:t>privados, susceptibles</w:t>
      </w:r>
      <w:r>
        <w:rPr>
          <w:spacing w:val="-1"/>
        </w:rPr>
        <w:t> </w:t>
      </w:r>
      <w:r>
        <w:rPr/>
        <w:t>de afectarles. Fecha de vigencia 05/04/2018.</w:t>
      </w:r>
    </w:p>
    <w:p>
      <w:pPr>
        <w:pStyle w:val="BodyText"/>
        <w:spacing w:before="1"/>
      </w:pPr>
    </w:p>
    <w:p>
      <w:pPr>
        <w:spacing w:line="240" w:lineRule="auto" w:before="0"/>
        <w:ind w:left="979" w:right="1339" w:firstLine="0"/>
        <w:jc w:val="both"/>
        <w:rPr>
          <w:sz w:val="22"/>
        </w:rPr>
      </w:pPr>
      <w:r>
        <w:rPr>
          <w:b/>
          <w:sz w:val="22"/>
        </w:rPr>
        <w:t>Decreto N.º 40933-MEIC-MIDEPLAN Implementación del Reglamento para el desarrollo Directriz N.º 103-P </w:t>
      </w:r>
      <w:r>
        <w:rPr>
          <w:sz w:val="22"/>
        </w:rPr>
        <w:t>Ordena a la Administración Central y se instruye a la Administración Descentralizada, a aplicar los</w:t>
      </w:r>
      <w:r>
        <w:rPr>
          <w:spacing w:val="22"/>
          <w:sz w:val="22"/>
        </w:rPr>
        <w:t> </w:t>
      </w:r>
      <w:r>
        <w:rPr>
          <w:sz w:val="22"/>
        </w:rPr>
        <w:t>lineamientos</w:t>
      </w:r>
      <w:r>
        <w:rPr>
          <w:spacing w:val="22"/>
          <w:sz w:val="22"/>
        </w:rPr>
        <w:t> </w:t>
      </w:r>
      <w:r>
        <w:rPr>
          <w:sz w:val="22"/>
        </w:rPr>
        <w:t>y objetivos establecidos en</w:t>
      </w:r>
      <w:r>
        <w:rPr>
          <w:spacing w:val="24"/>
          <w:sz w:val="22"/>
        </w:rPr>
        <w:t> </w:t>
      </w:r>
      <w:r>
        <w:rPr>
          <w:sz w:val="22"/>
        </w:rPr>
        <w:t>el</w:t>
      </w:r>
    </w:p>
    <w:p>
      <w:pPr>
        <w:spacing w:after="0" w:line="240" w:lineRule="auto"/>
        <w:jc w:val="both"/>
        <w:rPr>
          <w:sz w:val="22"/>
        </w:rPr>
        <w:sectPr>
          <w:pgSz w:w="12240" w:h="15840"/>
          <w:pgMar w:header="0" w:footer="1021" w:top="1340" w:bottom="1220" w:left="720" w:right="360"/>
        </w:sectPr>
      </w:pPr>
    </w:p>
    <w:p>
      <w:pPr>
        <w:pStyle w:val="BodyText"/>
        <w:spacing w:before="76"/>
        <w:ind w:left="979" w:right="1337"/>
        <w:jc w:val="both"/>
      </w:pPr>
      <w:r>
        <w:rPr/>
        <w:t>Reglamento para el Desarrollo, Fomento y Gestión de las Alianzas Público-Privadas para el Desarrollo en el Sector Público. Fecha de vigencia 30/04/2018</w:t>
      </w:r>
    </w:p>
    <w:p>
      <w:pPr>
        <w:spacing w:line="240" w:lineRule="auto" w:before="253"/>
        <w:ind w:left="979" w:right="1335" w:firstLine="0"/>
        <w:jc w:val="both"/>
        <w:rPr>
          <w:sz w:val="22"/>
        </w:rPr>
      </w:pPr>
      <w:r>
        <w:rPr>
          <w:b/>
          <w:sz w:val="22"/>
        </w:rPr>
        <w:t>Decreto</w:t>
      </w:r>
      <w:r>
        <w:rPr>
          <w:b/>
          <w:spacing w:val="-4"/>
          <w:sz w:val="22"/>
        </w:rPr>
        <w:t> </w:t>
      </w:r>
      <w:r>
        <w:rPr>
          <w:b/>
          <w:sz w:val="22"/>
        </w:rPr>
        <w:t>N°9440</w:t>
      </w:r>
      <w:r>
        <w:rPr>
          <w:b/>
          <w:spacing w:val="-6"/>
          <w:sz w:val="22"/>
        </w:rPr>
        <w:t> </w:t>
      </w:r>
      <w:r>
        <w:rPr>
          <w:b/>
          <w:sz w:val="22"/>
        </w:rPr>
        <w:t>Creación</w:t>
      </w:r>
      <w:r>
        <w:rPr>
          <w:b/>
          <w:spacing w:val="-4"/>
          <w:sz w:val="22"/>
        </w:rPr>
        <w:t> </w:t>
      </w:r>
      <w:r>
        <w:rPr>
          <w:b/>
          <w:sz w:val="22"/>
        </w:rPr>
        <w:t>del</w:t>
      </w:r>
      <w:r>
        <w:rPr>
          <w:b/>
          <w:spacing w:val="-2"/>
          <w:sz w:val="22"/>
        </w:rPr>
        <w:t> </w:t>
      </w:r>
      <w:r>
        <w:rPr>
          <w:b/>
          <w:sz w:val="22"/>
        </w:rPr>
        <w:t>Cantón</w:t>
      </w:r>
      <w:r>
        <w:rPr>
          <w:b/>
          <w:spacing w:val="-9"/>
          <w:sz w:val="22"/>
        </w:rPr>
        <w:t> </w:t>
      </w:r>
      <w:r>
        <w:rPr>
          <w:b/>
          <w:sz w:val="22"/>
        </w:rPr>
        <w:t>XVI</w:t>
      </w:r>
      <w:r>
        <w:rPr>
          <w:b/>
          <w:spacing w:val="-2"/>
          <w:sz w:val="22"/>
        </w:rPr>
        <w:t> </w:t>
      </w:r>
      <w:r>
        <w:rPr>
          <w:b/>
          <w:sz w:val="22"/>
        </w:rPr>
        <w:t>Río</w:t>
      </w:r>
      <w:r>
        <w:rPr>
          <w:b/>
          <w:spacing w:val="-4"/>
          <w:sz w:val="22"/>
        </w:rPr>
        <w:t> </w:t>
      </w:r>
      <w:r>
        <w:rPr>
          <w:b/>
          <w:sz w:val="22"/>
        </w:rPr>
        <w:t>Cuarto,</w:t>
      </w:r>
      <w:r>
        <w:rPr>
          <w:b/>
          <w:spacing w:val="-3"/>
          <w:sz w:val="22"/>
        </w:rPr>
        <w:t> </w:t>
      </w:r>
      <w:r>
        <w:rPr>
          <w:b/>
          <w:sz w:val="22"/>
        </w:rPr>
        <w:t>de</w:t>
      </w:r>
      <w:r>
        <w:rPr>
          <w:b/>
          <w:spacing w:val="-2"/>
          <w:sz w:val="22"/>
        </w:rPr>
        <w:t> </w:t>
      </w:r>
      <w:r>
        <w:rPr>
          <w:b/>
          <w:sz w:val="22"/>
        </w:rPr>
        <w:t>la</w:t>
      </w:r>
      <w:r>
        <w:rPr>
          <w:b/>
          <w:spacing w:val="-2"/>
          <w:sz w:val="22"/>
        </w:rPr>
        <w:t> </w:t>
      </w:r>
      <w:r>
        <w:rPr>
          <w:b/>
          <w:sz w:val="22"/>
        </w:rPr>
        <w:t>provincia</w:t>
      </w:r>
      <w:r>
        <w:rPr>
          <w:b/>
          <w:spacing w:val="-6"/>
          <w:sz w:val="22"/>
        </w:rPr>
        <w:t> </w:t>
      </w:r>
      <w:r>
        <w:rPr>
          <w:b/>
          <w:sz w:val="22"/>
        </w:rPr>
        <w:t>de</w:t>
      </w:r>
      <w:r>
        <w:rPr>
          <w:b/>
          <w:spacing w:val="-2"/>
          <w:sz w:val="22"/>
        </w:rPr>
        <w:t> </w:t>
      </w:r>
      <w:r>
        <w:rPr>
          <w:b/>
          <w:sz w:val="22"/>
        </w:rPr>
        <w:t>Alajuela </w:t>
      </w:r>
      <w:r>
        <w:rPr>
          <w:sz w:val="22"/>
        </w:rPr>
        <w:t>Crea el cantón XVI, de la provincia de Alajuela, con el nombre de Río Cuarto, resultante de la segregación del distrito de Río Cuarto, sexto del cantón de Grecia. Fecha de vigencia </w:t>
      </w:r>
      <w:r>
        <w:rPr>
          <w:spacing w:val="-2"/>
          <w:sz w:val="22"/>
        </w:rPr>
        <w:t>20/04/2018</w:t>
      </w:r>
    </w:p>
    <w:p>
      <w:pPr>
        <w:pStyle w:val="BodyText"/>
        <w:spacing w:before="2"/>
      </w:pPr>
    </w:p>
    <w:p>
      <w:pPr>
        <w:spacing w:line="240" w:lineRule="auto" w:before="0"/>
        <w:ind w:left="979" w:right="1342" w:firstLine="0"/>
        <w:jc w:val="both"/>
        <w:rPr>
          <w:sz w:val="22"/>
        </w:rPr>
      </w:pPr>
      <w:r>
        <w:rPr>
          <w:b/>
          <w:sz w:val="22"/>
        </w:rPr>
        <w:t>Decreto N°41080-MTSS-S. Reglamento de Condiciones para las Salas de Lactancia Materna en los Centros de Trabajo </w:t>
      </w:r>
      <w:r>
        <w:rPr>
          <w:sz w:val="22"/>
        </w:rPr>
        <w:t>Determina las condiciones mínimas que deben adoptar las personas empleadoras en sus centros de trabajo, a efecto de acondicionar la sala de lactancia para que las madres amamanten a sus hijos o hijas sin peligro y/o extraigan</w:t>
      </w:r>
      <w:r>
        <w:rPr>
          <w:spacing w:val="-5"/>
          <w:sz w:val="22"/>
        </w:rPr>
        <w:t> </w:t>
      </w:r>
      <w:r>
        <w:rPr>
          <w:sz w:val="22"/>
        </w:rPr>
        <w:t>la</w:t>
      </w:r>
      <w:r>
        <w:rPr>
          <w:spacing w:val="-2"/>
          <w:sz w:val="22"/>
        </w:rPr>
        <w:t> </w:t>
      </w:r>
      <w:r>
        <w:rPr>
          <w:sz w:val="22"/>
        </w:rPr>
        <w:t>leche</w:t>
      </w:r>
      <w:r>
        <w:rPr>
          <w:spacing w:val="-2"/>
          <w:sz w:val="22"/>
        </w:rPr>
        <w:t> </w:t>
      </w:r>
      <w:r>
        <w:rPr>
          <w:sz w:val="22"/>
        </w:rPr>
        <w:t>materna</w:t>
      </w:r>
      <w:r>
        <w:rPr>
          <w:spacing w:val="-2"/>
          <w:sz w:val="22"/>
        </w:rPr>
        <w:t> </w:t>
      </w:r>
      <w:r>
        <w:rPr>
          <w:sz w:val="22"/>
        </w:rPr>
        <w:t>y</w:t>
      </w:r>
      <w:r>
        <w:rPr>
          <w:spacing w:val="-3"/>
          <w:sz w:val="22"/>
        </w:rPr>
        <w:t> </w:t>
      </w:r>
      <w:r>
        <w:rPr>
          <w:sz w:val="22"/>
        </w:rPr>
        <w:t>la</w:t>
      </w:r>
      <w:r>
        <w:rPr>
          <w:spacing w:val="-5"/>
          <w:sz w:val="22"/>
        </w:rPr>
        <w:t> </w:t>
      </w:r>
      <w:r>
        <w:rPr>
          <w:sz w:val="22"/>
        </w:rPr>
        <w:t>almacenen</w:t>
      </w:r>
      <w:r>
        <w:rPr>
          <w:spacing w:val="-2"/>
          <w:sz w:val="22"/>
        </w:rPr>
        <w:t> </w:t>
      </w:r>
      <w:r>
        <w:rPr>
          <w:sz w:val="22"/>
        </w:rPr>
        <w:t>sin</w:t>
      </w:r>
      <w:r>
        <w:rPr>
          <w:spacing w:val="-2"/>
          <w:sz w:val="22"/>
        </w:rPr>
        <w:t> </w:t>
      </w:r>
      <w:r>
        <w:rPr>
          <w:sz w:val="22"/>
        </w:rPr>
        <w:t>riesgo</w:t>
      </w:r>
      <w:r>
        <w:rPr>
          <w:spacing w:val="-5"/>
          <w:sz w:val="22"/>
        </w:rPr>
        <w:t> </w:t>
      </w:r>
      <w:r>
        <w:rPr>
          <w:sz w:val="22"/>
        </w:rPr>
        <w:t>de</w:t>
      </w:r>
      <w:r>
        <w:rPr>
          <w:spacing w:val="-2"/>
          <w:sz w:val="22"/>
        </w:rPr>
        <w:t> </w:t>
      </w:r>
      <w:r>
        <w:rPr>
          <w:sz w:val="22"/>
        </w:rPr>
        <w:t>contaminación.</w:t>
      </w:r>
      <w:r>
        <w:rPr>
          <w:spacing w:val="-2"/>
          <w:sz w:val="22"/>
        </w:rPr>
        <w:t> </w:t>
      </w:r>
      <w:r>
        <w:rPr>
          <w:sz w:val="22"/>
        </w:rPr>
        <w:t>Fecha</w:t>
      </w:r>
      <w:r>
        <w:rPr>
          <w:spacing w:val="-5"/>
          <w:sz w:val="22"/>
        </w:rPr>
        <w:t> </w:t>
      </w:r>
      <w:r>
        <w:rPr>
          <w:sz w:val="22"/>
        </w:rPr>
        <w:t>de</w:t>
      </w:r>
      <w:r>
        <w:rPr>
          <w:spacing w:val="-2"/>
          <w:sz w:val="22"/>
        </w:rPr>
        <w:t> </w:t>
      </w:r>
      <w:r>
        <w:rPr>
          <w:sz w:val="22"/>
        </w:rPr>
        <w:t>vigencia </w:t>
      </w:r>
      <w:r>
        <w:rPr>
          <w:spacing w:val="-2"/>
          <w:sz w:val="22"/>
        </w:rPr>
        <w:t>04/05/2018.</w:t>
      </w:r>
    </w:p>
    <w:p>
      <w:pPr>
        <w:spacing w:line="240" w:lineRule="auto" w:before="249"/>
        <w:ind w:left="979" w:right="1332" w:firstLine="0"/>
        <w:jc w:val="both"/>
        <w:rPr>
          <w:sz w:val="22"/>
        </w:rPr>
      </w:pPr>
      <w:r>
        <w:rPr>
          <w:b/>
          <w:sz w:val="22"/>
        </w:rPr>
        <w:t>Decreto N°41039-MH</w:t>
      </w:r>
      <w:r>
        <w:rPr>
          <w:sz w:val="22"/>
        </w:rPr>
        <w:t>. </w:t>
      </w:r>
      <w:r>
        <w:rPr>
          <w:b/>
          <w:sz w:val="22"/>
        </w:rPr>
        <w:t>Cierre de brechas en la normativa contable internacional en el sector público costarricense y adopción y/o adaptación de la nueva normativa. </w:t>
      </w:r>
      <w:r>
        <w:rPr>
          <w:sz w:val="22"/>
        </w:rPr>
        <w:t>Faculta</w:t>
      </w:r>
      <w:r>
        <w:rPr>
          <w:spacing w:val="-4"/>
          <w:sz w:val="22"/>
        </w:rPr>
        <w:t> </w:t>
      </w:r>
      <w:r>
        <w:rPr>
          <w:sz w:val="22"/>
        </w:rPr>
        <w:t>a</w:t>
      </w:r>
      <w:r>
        <w:rPr>
          <w:spacing w:val="-9"/>
          <w:sz w:val="22"/>
        </w:rPr>
        <w:t> </w:t>
      </w:r>
      <w:r>
        <w:rPr>
          <w:sz w:val="22"/>
        </w:rPr>
        <w:t>la</w:t>
      </w:r>
      <w:r>
        <w:rPr>
          <w:spacing w:val="-4"/>
          <w:sz w:val="22"/>
        </w:rPr>
        <w:t> </w:t>
      </w:r>
      <w:r>
        <w:rPr>
          <w:sz w:val="22"/>
        </w:rPr>
        <w:t>Contabilidad</w:t>
      </w:r>
      <w:r>
        <w:rPr>
          <w:spacing w:val="-9"/>
          <w:sz w:val="22"/>
        </w:rPr>
        <w:t> </w:t>
      </w:r>
      <w:r>
        <w:rPr>
          <w:sz w:val="22"/>
        </w:rPr>
        <w:t>Nacional</w:t>
      </w:r>
      <w:r>
        <w:rPr>
          <w:spacing w:val="-12"/>
          <w:sz w:val="22"/>
        </w:rPr>
        <w:t> </w:t>
      </w:r>
      <w:r>
        <w:rPr>
          <w:sz w:val="22"/>
        </w:rPr>
        <w:t>para</w:t>
      </w:r>
      <w:r>
        <w:rPr>
          <w:spacing w:val="-4"/>
          <w:sz w:val="22"/>
        </w:rPr>
        <w:t> </w:t>
      </w:r>
      <w:r>
        <w:rPr>
          <w:sz w:val="22"/>
        </w:rPr>
        <w:t>realizar</w:t>
      </w:r>
      <w:r>
        <w:rPr>
          <w:spacing w:val="-8"/>
          <w:sz w:val="22"/>
        </w:rPr>
        <w:t> </w:t>
      </w:r>
      <w:r>
        <w:rPr>
          <w:sz w:val="22"/>
        </w:rPr>
        <w:t>los</w:t>
      </w:r>
      <w:r>
        <w:rPr>
          <w:spacing w:val="-6"/>
          <w:sz w:val="22"/>
        </w:rPr>
        <w:t> </w:t>
      </w:r>
      <w:r>
        <w:rPr>
          <w:sz w:val="22"/>
        </w:rPr>
        <w:t>ajustes</w:t>
      </w:r>
      <w:r>
        <w:rPr>
          <w:spacing w:val="-6"/>
          <w:sz w:val="22"/>
        </w:rPr>
        <w:t> </w:t>
      </w:r>
      <w:r>
        <w:rPr>
          <w:sz w:val="22"/>
        </w:rPr>
        <w:t>y/o</w:t>
      </w:r>
      <w:r>
        <w:rPr>
          <w:spacing w:val="-9"/>
          <w:sz w:val="22"/>
        </w:rPr>
        <w:t> </w:t>
      </w:r>
      <w:r>
        <w:rPr>
          <w:sz w:val="22"/>
        </w:rPr>
        <w:t>adaptaciones</w:t>
      </w:r>
      <w:r>
        <w:rPr>
          <w:spacing w:val="-6"/>
          <w:sz w:val="22"/>
        </w:rPr>
        <w:t> </w:t>
      </w:r>
      <w:r>
        <w:rPr>
          <w:sz w:val="22"/>
        </w:rPr>
        <w:t>que</w:t>
      </w:r>
      <w:r>
        <w:rPr>
          <w:spacing w:val="-9"/>
          <w:sz w:val="22"/>
        </w:rPr>
        <w:t> </w:t>
      </w:r>
      <w:r>
        <w:rPr>
          <w:sz w:val="22"/>
        </w:rPr>
        <w:t>considere pertinentes a ese marco normativo contable, acorde a la realidad costarricense y a legislación</w:t>
      </w:r>
      <w:r>
        <w:rPr>
          <w:spacing w:val="-1"/>
          <w:sz w:val="22"/>
        </w:rPr>
        <w:t> </w:t>
      </w:r>
      <w:r>
        <w:rPr>
          <w:sz w:val="22"/>
        </w:rPr>
        <w:t>nacional,</w:t>
      </w:r>
      <w:r>
        <w:rPr>
          <w:spacing w:val="-1"/>
          <w:sz w:val="22"/>
        </w:rPr>
        <w:t> </w:t>
      </w:r>
      <w:r>
        <w:rPr>
          <w:sz w:val="22"/>
        </w:rPr>
        <w:t>como</w:t>
      </w:r>
      <w:r>
        <w:rPr>
          <w:spacing w:val="-5"/>
          <w:sz w:val="22"/>
        </w:rPr>
        <w:t> </w:t>
      </w:r>
      <w:r>
        <w:rPr>
          <w:sz w:val="22"/>
        </w:rPr>
        <w:t>ente</w:t>
      </w:r>
      <w:r>
        <w:rPr>
          <w:spacing w:val="-1"/>
          <w:sz w:val="22"/>
        </w:rPr>
        <w:t> </w:t>
      </w:r>
      <w:r>
        <w:rPr>
          <w:sz w:val="22"/>
        </w:rPr>
        <w:t>rector</w:t>
      </w:r>
      <w:r>
        <w:rPr>
          <w:spacing w:val="-4"/>
          <w:sz w:val="22"/>
        </w:rPr>
        <w:t> </w:t>
      </w:r>
      <w:r>
        <w:rPr>
          <w:sz w:val="22"/>
        </w:rPr>
        <w:t>del</w:t>
      </w:r>
      <w:r>
        <w:rPr>
          <w:spacing w:val="-3"/>
          <w:sz w:val="22"/>
        </w:rPr>
        <w:t> </w:t>
      </w:r>
      <w:r>
        <w:rPr>
          <w:sz w:val="22"/>
        </w:rPr>
        <w:t>Subsistema</w:t>
      </w:r>
      <w:r>
        <w:rPr>
          <w:spacing w:val="-1"/>
          <w:sz w:val="22"/>
        </w:rPr>
        <w:t> </w:t>
      </w:r>
      <w:r>
        <w:rPr>
          <w:sz w:val="22"/>
        </w:rPr>
        <w:t>de</w:t>
      </w:r>
      <w:r>
        <w:rPr>
          <w:spacing w:val="-1"/>
          <w:sz w:val="22"/>
        </w:rPr>
        <w:t> </w:t>
      </w:r>
      <w:r>
        <w:rPr>
          <w:sz w:val="22"/>
        </w:rPr>
        <w:t>Contabilidad,</w:t>
      </w:r>
      <w:r>
        <w:rPr>
          <w:spacing w:val="-6"/>
          <w:sz w:val="22"/>
        </w:rPr>
        <w:t> </w:t>
      </w:r>
      <w:r>
        <w:rPr>
          <w:sz w:val="22"/>
        </w:rPr>
        <w:t>de</w:t>
      </w:r>
      <w:r>
        <w:rPr>
          <w:spacing w:val="-5"/>
          <w:sz w:val="22"/>
        </w:rPr>
        <w:t> </w:t>
      </w:r>
      <w:r>
        <w:rPr>
          <w:sz w:val="22"/>
        </w:rPr>
        <w:t>acuerdo con</w:t>
      </w:r>
      <w:r>
        <w:rPr>
          <w:spacing w:val="-1"/>
          <w:sz w:val="22"/>
        </w:rPr>
        <w:t> </w:t>
      </w:r>
      <w:r>
        <w:rPr>
          <w:sz w:val="22"/>
        </w:rPr>
        <w:t>los estudios y experiencias en el proceso de cierre de brechas, para la debida aplicación del devengo. Fecha de vigencia 07/05/2018.</w:t>
      </w:r>
    </w:p>
    <w:p>
      <w:pPr>
        <w:pStyle w:val="BodyText"/>
        <w:spacing w:before="3"/>
      </w:pPr>
    </w:p>
    <w:p>
      <w:pPr>
        <w:spacing w:line="240" w:lineRule="auto" w:before="0"/>
        <w:ind w:left="979" w:right="1336" w:firstLine="0"/>
        <w:jc w:val="both"/>
        <w:rPr>
          <w:sz w:val="22"/>
        </w:rPr>
      </w:pPr>
      <w:r>
        <w:rPr>
          <w:b/>
          <w:sz w:val="22"/>
        </w:rPr>
        <w:t>Decreto Nº 41042-H Procedimiento para la determinación de riesgos fiscales y de contingencias fiscales en proyectos de asociaciones público-privadas</w:t>
      </w:r>
      <w:r>
        <w:rPr>
          <w:sz w:val="22"/>
        </w:rPr>
        <w:t>. Tiene como objetivo</w:t>
      </w:r>
      <w:r>
        <w:rPr>
          <w:spacing w:val="-4"/>
          <w:sz w:val="22"/>
        </w:rPr>
        <w:t> </w:t>
      </w:r>
      <w:r>
        <w:rPr>
          <w:sz w:val="22"/>
        </w:rPr>
        <w:t>establecer</w:t>
      </w:r>
      <w:r>
        <w:rPr>
          <w:spacing w:val="-8"/>
          <w:sz w:val="22"/>
        </w:rPr>
        <w:t> </w:t>
      </w:r>
      <w:r>
        <w:rPr>
          <w:sz w:val="22"/>
        </w:rPr>
        <w:t>los</w:t>
      </w:r>
      <w:r>
        <w:rPr>
          <w:spacing w:val="-6"/>
          <w:sz w:val="22"/>
        </w:rPr>
        <w:t> </w:t>
      </w:r>
      <w:r>
        <w:rPr>
          <w:sz w:val="22"/>
        </w:rPr>
        <w:t>lineamientos</w:t>
      </w:r>
      <w:r>
        <w:rPr>
          <w:spacing w:val="-6"/>
          <w:sz w:val="22"/>
        </w:rPr>
        <w:t> </w:t>
      </w:r>
      <w:r>
        <w:rPr>
          <w:sz w:val="22"/>
        </w:rPr>
        <w:t>que</w:t>
      </w:r>
      <w:r>
        <w:rPr>
          <w:spacing w:val="-4"/>
          <w:sz w:val="22"/>
        </w:rPr>
        <w:t> </w:t>
      </w:r>
      <w:r>
        <w:rPr>
          <w:sz w:val="22"/>
        </w:rPr>
        <w:t>permitan</w:t>
      </w:r>
      <w:r>
        <w:rPr>
          <w:spacing w:val="-9"/>
          <w:sz w:val="22"/>
        </w:rPr>
        <w:t> </w:t>
      </w:r>
      <w:r>
        <w:rPr>
          <w:sz w:val="22"/>
        </w:rPr>
        <w:t>disponer</w:t>
      </w:r>
      <w:r>
        <w:rPr>
          <w:spacing w:val="-8"/>
          <w:sz w:val="22"/>
        </w:rPr>
        <w:t> </w:t>
      </w:r>
      <w:r>
        <w:rPr>
          <w:sz w:val="22"/>
        </w:rPr>
        <w:t>de información</w:t>
      </w:r>
      <w:r>
        <w:rPr>
          <w:spacing w:val="-4"/>
          <w:sz w:val="22"/>
        </w:rPr>
        <w:t> </w:t>
      </w:r>
      <w:r>
        <w:rPr>
          <w:sz w:val="22"/>
        </w:rPr>
        <w:t>necesaria</w:t>
      </w:r>
      <w:r>
        <w:rPr>
          <w:spacing w:val="-4"/>
          <w:sz w:val="22"/>
        </w:rPr>
        <w:t> </w:t>
      </w:r>
      <w:r>
        <w:rPr>
          <w:sz w:val="22"/>
        </w:rPr>
        <w:t>sobre los riesgos fiscales y su impacto en las finanzas públicas, con especial atención aquellos relacionados con Asociación Público Privadas a efectos de definir aquellas políticas tendientes a mitigar los riesgos. Fecha de vigencia 07/05/2018</w:t>
      </w:r>
    </w:p>
    <w:p>
      <w:pPr>
        <w:pStyle w:val="BodyText"/>
        <w:spacing w:before="1"/>
      </w:pPr>
    </w:p>
    <w:p>
      <w:pPr>
        <w:pStyle w:val="BodyText"/>
        <w:ind w:left="979" w:right="1342"/>
        <w:jc w:val="both"/>
      </w:pPr>
      <w:r>
        <w:rPr>
          <w:b/>
        </w:rPr>
        <w:t>Decreto N°41087-MTSS. Reglamento a la Ley para Promoción de la Autonomía Personal</w:t>
      </w:r>
      <w:r>
        <w:rPr>
          <w:b/>
          <w:spacing w:val="-16"/>
        </w:rPr>
        <w:t> </w:t>
      </w:r>
      <w:r>
        <w:rPr>
          <w:b/>
        </w:rPr>
        <w:t>de</w:t>
      </w:r>
      <w:r>
        <w:rPr>
          <w:b/>
          <w:spacing w:val="-15"/>
        </w:rPr>
        <w:t> </w:t>
      </w:r>
      <w:r>
        <w:rPr>
          <w:b/>
        </w:rPr>
        <w:t>las</w:t>
      </w:r>
      <w:r>
        <w:rPr>
          <w:b/>
          <w:spacing w:val="-15"/>
        </w:rPr>
        <w:t> </w:t>
      </w:r>
      <w:r>
        <w:rPr>
          <w:b/>
        </w:rPr>
        <w:t>Personas</w:t>
      </w:r>
      <w:r>
        <w:rPr>
          <w:b/>
          <w:spacing w:val="-16"/>
        </w:rPr>
        <w:t> </w:t>
      </w:r>
      <w:r>
        <w:rPr>
          <w:b/>
        </w:rPr>
        <w:t>con</w:t>
      </w:r>
      <w:r>
        <w:rPr>
          <w:b/>
          <w:spacing w:val="-15"/>
        </w:rPr>
        <w:t> </w:t>
      </w:r>
      <w:r>
        <w:rPr>
          <w:b/>
        </w:rPr>
        <w:t>Discapacidad</w:t>
      </w:r>
      <w:r>
        <w:rPr/>
        <w:t>.</w:t>
      </w:r>
      <w:r>
        <w:rPr>
          <w:spacing w:val="-15"/>
        </w:rPr>
        <w:t> </w:t>
      </w:r>
      <w:r>
        <w:rPr/>
        <w:t>Establece</w:t>
      </w:r>
      <w:r>
        <w:rPr>
          <w:spacing w:val="-15"/>
        </w:rPr>
        <w:t> </w:t>
      </w:r>
      <w:r>
        <w:rPr/>
        <w:t>las</w:t>
      </w:r>
      <w:r>
        <w:rPr>
          <w:spacing w:val="-16"/>
        </w:rPr>
        <w:t> </w:t>
      </w:r>
      <w:r>
        <w:rPr/>
        <w:t>disposiciones</w:t>
      </w:r>
      <w:r>
        <w:rPr>
          <w:spacing w:val="-15"/>
        </w:rPr>
        <w:t> </w:t>
      </w:r>
      <w:r>
        <w:rPr/>
        <w:t>de</w:t>
      </w:r>
      <w:r>
        <w:rPr>
          <w:spacing w:val="-15"/>
        </w:rPr>
        <w:t> </w:t>
      </w:r>
      <w:r>
        <w:rPr/>
        <w:t>observancia obligatoria para personas físicas, jurídicas e instituciones de los Poderes del Estado y privadas con el fin de promover y asegurar a todas las personas con discapacidad, el ejercicio pleno y en igualdad de condiciones con los demás del derecho a la autonomía personal, lo que incluye el igual reconocimiento de las personas con discapacidad como personas ante la ley, según lo regulado en la Ley para la Promoción de la Autonomía Personal de las Personas con Discapacidad, ley</w:t>
      </w:r>
      <w:r>
        <w:rPr>
          <w:spacing w:val="-1"/>
        </w:rPr>
        <w:t> </w:t>
      </w:r>
      <w:r>
        <w:rPr/>
        <w:t>N° 9379. Fecha de vigencia 23/05/2018.</w:t>
      </w:r>
    </w:p>
    <w:p>
      <w:pPr>
        <w:spacing w:line="240" w:lineRule="auto" w:before="252"/>
        <w:ind w:left="979" w:right="1345" w:firstLine="0"/>
        <w:jc w:val="both"/>
        <w:rPr>
          <w:sz w:val="22"/>
        </w:rPr>
      </w:pPr>
      <w:r>
        <w:rPr>
          <w:b/>
          <w:sz w:val="22"/>
        </w:rPr>
        <w:t>Decreto N.º</w:t>
      </w:r>
      <w:r>
        <w:rPr>
          <w:b/>
          <w:spacing w:val="-3"/>
          <w:sz w:val="22"/>
        </w:rPr>
        <w:t> </w:t>
      </w:r>
      <w:r>
        <w:rPr>
          <w:b/>
          <w:sz w:val="22"/>
        </w:rPr>
        <w:t>41161-H,</w:t>
      </w:r>
      <w:r>
        <w:rPr>
          <w:b/>
          <w:spacing w:val="-2"/>
          <w:sz w:val="22"/>
        </w:rPr>
        <w:t> </w:t>
      </w:r>
      <w:r>
        <w:rPr>
          <w:b/>
          <w:sz w:val="22"/>
        </w:rPr>
        <w:t>Reforma Normas para la</w:t>
      </w:r>
      <w:r>
        <w:rPr>
          <w:b/>
          <w:spacing w:val="-2"/>
          <w:sz w:val="22"/>
        </w:rPr>
        <w:t> </w:t>
      </w:r>
      <w:r>
        <w:rPr>
          <w:b/>
          <w:sz w:val="22"/>
        </w:rPr>
        <w:t>Aplicación</w:t>
      </w:r>
      <w:r>
        <w:rPr>
          <w:b/>
          <w:spacing w:val="-4"/>
          <w:sz w:val="22"/>
        </w:rPr>
        <w:t> </w:t>
      </w:r>
      <w:r>
        <w:rPr>
          <w:b/>
          <w:sz w:val="22"/>
        </w:rPr>
        <w:t>de</w:t>
      </w:r>
      <w:r>
        <w:rPr>
          <w:b/>
          <w:spacing w:val="-2"/>
          <w:sz w:val="22"/>
        </w:rPr>
        <w:t> </w:t>
      </w:r>
      <w:r>
        <w:rPr>
          <w:b/>
          <w:sz w:val="22"/>
        </w:rPr>
        <w:t>la Dedicación</w:t>
      </w:r>
      <w:r>
        <w:rPr>
          <w:b/>
          <w:spacing w:val="-4"/>
          <w:sz w:val="22"/>
        </w:rPr>
        <w:t> </w:t>
      </w:r>
      <w:r>
        <w:rPr>
          <w:b/>
          <w:sz w:val="22"/>
        </w:rPr>
        <w:t>Exclusiva para Instituciones y Empresas Públicas Cubiertas por el Ámbito de la Autoridad </w:t>
      </w:r>
      <w:r>
        <w:rPr>
          <w:b/>
          <w:spacing w:val="-2"/>
          <w:sz w:val="22"/>
        </w:rPr>
        <w:t>Presupuestaria, </w:t>
      </w:r>
      <w:r>
        <w:rPr>
          <w:spacing w:val="-2"/>
          <w:sz w:val="22"/>
        </w:rPr>
        <w:t>Reforma</w:t>
      </w:r>
      <w:r>
        <w:rPr>
          <w:spacing w:val="-7"/>
          <w:sz w:val="22"/>
        </w:rPr>
        <w:t> </w:t>
      </w:r>
      <w:r>
        <w:rPr>
          <w:spacing w:val="-2"/>
          <w:sz w:val="22"/>
        </w:rPr>
        <w:t>el</w:t>
      </w:r>
      <w:r>
        <w:rPr>
          <w:spacing w:val="-5"/>
          <w:sz w:val="22"/>
        </w:rPr>
        <w:t> </w:t>
      </w:r>
      <w:r>
        <w:rPr>
          <w:spacing w:val="-2"/>
          <w:sz w:val="22"/>
        </w:rPr>
        <w:t>régimen</w:t>
      </w:r>
      <w:r>
        <w:rPr>
          <w:spacing w:val="-7"/>
          <w:sz w:val="22"/>
        </w:rPr>
        <w:t> </w:t>
      </w:r>
      <w:r>
        <w:rPr>
          <w:spacing w:val="-2"/>
          <w:sz w:val="22"/>
        </w:rPr>
        <w:t>para la suscripción</w:t>
      </w:r>
      <w:r>
        <w:rPr>
          <w:spacing w:val="-7"/>
          <w:sz w:val="22"/>
        </w:rPr>
        <w:t> </w:t>
      </w:r>
      <w:r>
        <w:rPr>
          <w:spacing w:val="-2"/>
          <w:sz w:val="22"/>
        </w:rPr>
        <w:t>de nuevos</w:t>
      </w:r>
      <w:r>
        <w:rPr>
          <w:spacing w:val="-10"/>
          <w:sz w:val="22"/>
        </w:rPr>
        <w:t> </w:t>
      </w:r>
      <w:r>
        <w:rPr>
          <w:spacing w:val="-2"/>
          <w:sz w:val="22"/>
        </w:rPr>
        <w:t>contratos</w:t>
      </w:r>
      <w:r>
        <w:rPr>
          <w:spacing w:val="-9"/>
          <w:sz w:val="22"/>
        </w:rPr>
        <w:t> </w:t>
      </w:r>
      <w:r>
        <w:rPr>
          <w:spacing w:val="-2"/>
          <w:sz w:val="22"/>
        </w:rPr>
        <w:t>de</w:t>
      </w:r>
      <w:r>
        <w:rPr>
          <w:spacing w:val="-7"/>
          <w:sz w:val="22"/>
        </w:rPr>
        <w:t> </w:t>
      </w:r>
      <w:r>
        <w:rPr>
          <w:spacing w:val="-2"/>
          <w:sz w:val="22"/>
        </w:rPr>
        <w:t>dedicación </w:t>
      </w:r>
      <w:r>
        <w:rPr>
          <w:sz w:val="22"/>
        </w:rPr>
        <w:t>exclusiva,</w:t>
      </w:r>
      <w:r>
        <w:rPr>
          <w:spacing w:val="-1"/>
          <w:sz w:val="22"/>
        </w:rPr>
        <w:t> </w:t>
      </w:r>
      <w:r>
        <w:rPr>
          <w:sz w:val="22"/>
        </w:rPr>
        <w:t>sean</w:t>
      </w:r>
      <w:r>
        <w:rPr>
          <w:spacing w:val="-5"/>
          <w:sz w:val="22"/>
        </w:rPr>
        <w:t> </w:t>
      </w:r>
      <w:r>
        <w:rPr>
          <w:sz w:val="22"/>
        </w:rPr>
        <w:t>nuevos</w:t>
      </w:r>
      <w:r>
        <w:rPr>
          <w:spacing w:val="-7"/>
          <w:sz w:val="22"/>
        </w:rPr>
        <w:t> </w:t>
      </w:r>
      <w:r>
        <w:rPr>
          <w:sz w:val="22"/>
        </w:rPr>
        <w:t>servidores,</w:t>
      </w:r>
      <w:r>
        <w:rPr>
          <w:spacing w:val="-1"/>
          <w:sz w:val="22"/>
        </w:rPr>
        <w:t> </w:t>
      </w:r>
      <w:r>
        <w:rPr>
          <w:sz w:val="22"/>
        </w:rPr>
        <w:t>o</w:t>
      </w:r>
      <w:r>
        <w:rPr>
          <w:spacing w:val="-5"/>
          <w:sz w:val="22"/>
        </w:rPr>
        <w:t> </w:t>
      </w:r>
      <w:r>
        <w:rPr>
          <w:sz w:val="22"/>
        </w:rPr>
        <w:t>bien,</w:t>
      </w:r>
      <w:r>
        <w:rPr>
          <w:spacing w:val="-6"/>
          <w:sz w:val="22"/>
        </w:rPr>
        <w:t> </w:t>
      </w:r>
      <w:r>
        <w:rPr>
          <w:sz w:val="22"/>
        </w:rPr>
        <w:t>de</w:t>
      </w:r>
      <w:r>
        <w:rPr>
          <w:spacing w:val="-1"/>
          <w:sz w:val="22"/>
        </w:rPr>
        <w:t> </w:t>
      </w:r>
      <w:r>
        <w:rPr>
          <w:sz w:val="22"/>
        </w:rPr>
        <w:t>servidores</w:t>
      </w:r>
      <w:r>
        <w:rPr>
          <w:spacing w:val="-7"/>
          <w:sz w:val="22"/>
        </w:rPr>
        <w:t> </w:t>
      </w:r>
      <w:r>
        <w:rPr>
          <w:sz w:val="22"/>
        </w:rPr>
        <w:t>que</w:t>
      </w:r>
      <w:r>
        <w:rPr>
          <w:spacing w:val="-5"/>
          <w:sz w:val="22"/>
        </w:rPr>
        <w:t> </w:t>
      </w:r>
      <w:r>
        <w:rPr>
          <w:sz w:val="22"/>
        </w:rPr>
        <w:t>de</w:t>
      </w:r>
      <w:r>
        <w:rPr>
          <w:spacing w:val="-5"/>
          <w:sz w:val="22"/>
        </w:rPr>
        <w:t> </w:t>
      </w:r>
      <w:r>
        <w:rPr>
          <w:sz w:val="22"/>
        </w:rPr>
        <w:t>previo</w:t>
      </w:r>
      <w:r>
        <w:rPr>
          <w:spacing w:val="-5"/>
          <w:sz w:val="22"/>
        </w:rPr>
        <w:t> </w:t>
      </w:r>
      <w:r>
        <w:rPr>
          <w:sz w:val="22"/>
        </w:rPr>
        <w:t>a</w:t>
      </w:r>
      <w:r>
        <w:rPr>
          <w:spacing w:val="-1"/>
          <w:sz w:val="22"/>
        </w:rPr>
        <w:t> </w:t>
      </w:r>
      <w:r>
        <w:rPr>
          <w:sz w:val="22"/>
        </w:rPr>
        <w:t>la</w:t>
      </w:r>
      <w:r>
        <w:rPr>
          <w:spacing w:val="-1"/>
          <w:sz w:val="22"/>
        </w:rPr>
        <w:t> </w:t>
      </w:r>
      <w:r>
        <w:rPr>
          <w:sz w:val="22"/>
        </w:rPr>
        <w:t>publicación</w:t>
      </w:r>
      <w:r>
        <w:rPr>
          <w:spacing w:val="-1"/>
          <w:sz w:val="22"/>
        </w:rPr>
        <w:t> </w:t>
      </w:r>
      <w:r>
        <w:rPr>
          <w:sz w:val="22"/>
        </w:rPr>
        <w:t>del presente decreto no cuenten con un contrato de dedicación exclusiva. fecha de vigencia </w:t>
      </w:r>
      <w:r>
        <w:rPr>
          <w:spacing w:val="-2"/>
          <w:sz w:val="22"/>
        </w:rPr>
        <w:t>06/06/2018.</w:t>
      </w:r>
    </w:p>
    <w:p>
      <w:pPr>
        <w:pStyle w:val="BodyText"/>
      </w:pPr>
    </w:p>
    <w:p>
      <w:pPr>
        <w:pStyle w:val="BodyText"/>
        <w:spacing w:before="1"/>
        <w:ind w:left="979" w:right="1338"/>
        <w:jc w:val="both"/>
      </w:pPr>
      <w:r>
        <w:rPr>
          <w:b/>
        </w:rPr>
        <w:t>Decreto</w:t>
      </w:r>
      <w:r>
        <w:rPr>
          <w:b/>
          <w:spacing w:val="-16"/>
        </w:rPr>
        <w:t> </w:t>
      </w:r>
      <w:r>
        <w:rPr>
          <w:b/>
        </w:rPr>
        <w:t>N°41162-H.</w:t>
      </w:r>
      <w:r>
        <w:rPr>
          <w:b/>
          <w:spacing w:val="-15"/>
        </w:rPr>
        <w:t> </w:t>
      </w:r>
      <w:r>
        <w:rPr>
          <w:b/>
        </w:rPr>
        <w:t>Limitación</w:t>
      </w:r>
      <w:r>
        <w:rPr>
          <w:b/>
          <w:spacing w:val="-15"/>
        </w:rPr>
        <w:t> </w:t>
      </w:r>
      <w:r>
        <w:rPr>
          <w:b/>
        </w:rPr>
        <w:t>a</w:t>
      </w:r>
      <w:r>
        <w:rPr>
          <w:b/>
          <w:spacing w:val="-16"/>
        </w:rPr>
        <w:t> </w:t>
      </w:r>
      <w:r>
        <w:rPr>
          <w:b/>
        </w:rPr>
        <w:t>las</w:t>
      </w:r>
      <w:r>
        <w:rPr>
          <w:b/>
          <w:spacing w:val="-15"/>
        </w:rPr>
        <w:t> </w:t>
      </w:r>
      <w:r>
        <w:rPr>
          <w:b/>
        </w:rPr>
        <w:t>reestructuraciones.</w:t>
      </w:r>
      <w:r>
        <w:rPr>
          <w:b/>
          <w:spacing w:val="-15"/>
        </w:rPr>
        <w:t> </w:t>
      </w:r>
      <w:r>
        <w:rPr/>
        <w:t>Aprueba</w:t>
      </w:r>
      <w:r>
        <w:rPr>
          <w:spacing w:val="-15"/>
        </w:rPr>
        <w:t> </w:t>
      </w:r>
      <w:r>
        <w:rPr/>
        <w:t>las</w:t>
      </w:r>
      <w:r>
        <w:rPr>
          <w:spacing w:val="-16"/>
        </w:rPr>
        <w:t> </w:t>
      </w:r>
      <w:r>
        <w:rPr/>
        <w:t>reestructuraciones dentro de ministerios, órganos desconcentrados y entidades cubiertas por el ámbito de la Autoridad Presupuestaria, cuyo propósito sea hacer más eficiente la gestión del Estado, siempre que no impliquen la creación de plazas adicionales, reasignaciones de puestos, así como nuevos gastos. Fecha de vigencia 06/06/2018.</w:t>
      </w:r>
    </w:p>
    <w:p>
      <w:pPr>
        <w:pStyle w:val="BodyText"/>
        <w:spacing w:after="0"/>
        <w:jc w:val="both"/>
        <w:sectPr>
          <w:pgSz w:w="12240" w:h="15840"/>
          <w:pgMar w:header="0" w:footer="1021" w:top="1340" w:bottom="1220" w:left="720" w:right="360"/>
        </w:sectPr>
      </w:pPr>
    </w:p>
    <w:p>
      <w:pPr>
        <w:spacing w:line="240" w:lineRule="auto" w:before="71"/>
        <w:ind w:left="979" w:right="1338" w:firstLine="0"/>
        <w:jc w:val="both"/>
        <w:rPr>
          <w:sz w:val="22"/>
        </w:rPr>
      </w:pPr>
      <w:r>
        <w:rPr>
          <w:b/>
          <w:sz w:val="22"/>
        </w:rPr>
        <w:t>Decreto N°41173-MP. Adecuación de trámites, documentos y registros al reconocimiento del derecho a la identidad sexual y de género</w:t>
      </w:r>
      <w:r>
        <w:rPr>
          <w:sz w:val="22"/>
        </w:rPr>
        <w:t>. Regula la adecuación del nombre, la imagen, y la referencia al sexo o género de la persona en todo tipo de documentos, registros y trámites que genere la Administración Pública, según su propia identidad sexual y de género. Fecha de vigencia 05/07/2018.</w:t>
      </w:r>
    </w:p>
    <w:p>
      <w:pPr>
        <w:pStyle w:val="BodyText"/>
        <w:spacing w:before="252"/>
        <w:ind w:left="979" w:right="1336"/>
        <w:jc w:val="both"/>
      </w:pPr>
      <w:r>
        <w:rPr>
          <w:b/>
        </w:rPr>
        <w:t>Decreto</w:t>
      </w:r>
      <w:r>
        <w:rPr>
          <w:b/>
          <w:spacing w:val="-7"/>
        </w:rPr>
        <w:t> </w:t>
      </w:r>
      <w:r>
        <w:rPr>
          <w:b/>
        </w:rPr>
        <w:t>N°</w:t>
      </w:r>
      <w:r>
        <w:rPr>
          <w:b/>
          <w:spacing w:val="-9"/>
        </w:rPr>
        <w:t> </w:t>
      </w:r>
      <w:r>
        <w:rPr>
          <w:b/>
        </w:rPr>
        <w:t>41456-MP-MDHIS.</w:t>
      </w:r>
      <w:r>
        <w:rPr>
          <w:b/>
          <w:spacing w:val="-6"/>
        </w:rPr>
        <w:t> </w:t>
      </w:r>
      <w:r>
        <w:rPr>
          <w:b/>
        </w:rPr>
        <w:t>Creación</w:t>
      </w:r>
      <w:r>
        <w:rPr>
          <w:b/>
          <w:spacing w:val="-8"/>
        </w:rPr>
        <w:t> </w:t>
      </w:r>
      <w:r>
        <w:rPr>
          <w:b/>
        </w:rPr>
        <w:t>del</w:t>
      </w:r>
      <w:r>
        <w:rPr>
          <w:b/>
          <w:spacing w:val="-6"/>
        </w:rPr>
        <w:t> </w:t>
      </w:r>
      <w:r>
        <w:rPr>
          <w:b/>
        </w:rPr>
        <w:t>Día</w:t>
      </w:r>
      <w:r>
        <w:rPr>
          <w:b/>
          <w:spacing w:val="-10"/>
        </w:rPr>
        <w:t> </w:t>
      </w:r>
      <w:r>
        <w:rPr>
          <w:b/>
        </w:rPr>
        <w:t>Nacional</w:t>
      </w:r>
      <w:r>
        <w:rPr>
          <w:b/>
          <w:spacing w:val="-6"/>
        </w:rPr>
        <w:t> </w:t>
      </w:r>
      <w:r>
        <w:rPr>
          <w:b/>
        </w:rPr>
        <w:t>de</w:t>
      </w:r>
      <w:r>
        <w:rPr>
          <w:b/>
          <w:spacing w:val="-5"/>
        </w:rPr>
        <w:t> </w:t>
      </w:r>
      <w:r>
        <w:rPr>
          <w:b/>
        </w:rPr>
        <w:t>la</w:t>
      </w:r>
      <w:r>
        <w:rPr>
          <w:b/>
          <w:spacing w:val="-5"/>
        </w:rPr>
        <w:t> </w:t>
      </w:r>
      <w:r>
        <w:rPr>
          <w:b/>
        </w:rPr>
        <w:t>Inclusión</w:t>
      </w:r>
      <w:r>
        <w:rPr>
          <w:b/>
          <w:spacing w:val="-8"/>
        </w:rPr>
        <w:t> </w:t>
      </w:r>
      <w:r>
        <w:rPr>
          <w:b/>
        </w:rPr>
        <w:t>de</w:t>
      </w:r>
      <w:r>
        <w:rPr>
          <w:b/>
          <w:spacing w:val="-10"/>
        </w:rPr>
        <w:t> </w:t>
      </w:r>
      <w:r>
        <w:rPr>
          <w:b/>
        </w:rPr>
        <w:t>la</w:t>
      </w:r>
      <w:r>
        <w:rPr>
          <w:b/>
          <w:spacing w:val="-10"/>
        </w:rPr>
        <w:t> </w:t>
      </w:r>
      <w:r>
        <w:rPr>
          <w:b/>
        </w:rPr>
        <w:t>Persona en Situación de Calle. </w:t>
      </w:r>
      <w:r>
        <w:rPr/>
        <w:t>Instruye a las instituciones de la Administración Central y Descentralizada que forman parte de la Política Nacional para la Atención a las Personas en Situación de Abandono y Situación de Calle 2016 – 2026, según lo establecido en la Directriz</w:t>
      </w:r>
      <w:r>
        <w:rPr>
          <w:spacing w:val="-10"/>
        </w:rPr>
        <w:t> </w:t>
      </w:r>
      <w:r>
        <w:rPr/>
        <w:t>N°</w:t>
      </w:r>
      <w:r>
        <w:rPr>
          <w:spacing w:val="-12"/>
        </w:rPr>
        <w:t> </w:t>
      </w:r>
      <w:r>
        <w:rPr/>
        <w:t>048-P</w:t>
      </w:r>
      <w:r>
        <w:rPr>
          <w:spacing w:val="-13"/>
        </w:rPr>
        <w:t> </w:t>
      </w:r>
      <w:r>
        <w:rPr/>
        <w:t>del</w:t>
      </w:r>
      <w:r>
        <w:rPr>
          <w:spacing w:val="-16"/>
        </w:rPr>
        <w:t> </w:t>
      </w:r>
      <w:r>
        <w:rPr/>
        <w:t>04</w:t>
      </w:r>
      <w:r>
        <w:rPr>
          <w:spacing w:val="-12"/>
        </w:rPr>
        <w:t> </w:t>
      </w:r>
      <w:r>
        <w:rPr/>
        <w:t>de</w:t>
      </w:r>
      <w:r>
        <w:rPr>
          <w:spacing w:val="-8"/>
        </w:rPr>
        <w:t> </w:t>
      </w:r>
      <w:r>
        <w:rPr/>
        <w:t>julio</w:t>
      </w:r>
      <w:r>
        <w:rPr>
          <w:spacing w:val="-13"/>
        </w:rPr>
        <w:t> </w:t>
      </w:r>
      <w:r>
        <w:rPr/>
        <w:t>de</w:t>
      </w:r>
      <w:r>
        <w:rPr>
          <w:spacing w:val="-13"/>
        </w:rPr>
        <w:t> </w:t>
      </w:r>
      <w:r>
        <w:rPr/>
        <w:t>2016,</w:t>
      </w:r>
      <w:r>
        <w:rPr>
          <w:spacing w:val="-14"/>
        </w:rPr>
        <w:t> </w:t>
      </w:r>
      <w:r>
        <w:rPr/>
        <w:t>para</w:t>
      </w:r>
      <w:r>
        <w:rPr>
          <w:spacing w:val="-13"/>
        </w:rPr>
        <w:t> </w:t>
      </w:r>
      <w:r>
        <w:rPr/>
        <w:t>que,</w:t>
      </w:r>
      <w:r>
        <w:rPr>
          <w:spacing w:val="-14"/>
        </w:rPr>
        <w:t> </w:t>
      </w:r>
      <w:r>
        <w:rPr/>
        <w:t>en</w:t>
      </w:r>
      <w:r>
        <w:rPr>
          <w:spacing w:val="-13"/>
        </w:rPr>
        <w:t> </w:t>
      </w:r>
      <w:r>
        <w:rPr/>
        <w:t>el</w:t>
      </w:r>
      <w:r>
        <w:rPr>
          <w:spacing w:val="-16"/>
        </w:rPr>
        <w:t> </w:t>
      </w:r>
      <w:r>
        <w:rPr/>
        <w:t>marco</w:t>
      </w:r>
      <w:r>
        <w:rPr>
          <w:spacing w:val="-12"/>
        </w:rPr>
        <w:t> </w:t>
      </w:r>
      <w:r>
        <w:rPr/>
        <w:t>de</w:t>
      </w:r>
      <w:r>
        <w:rPr>
          <w:spacing w:val="-13"/>
        </w:rPr>
        <w:t> </w:t>
      </w:r>
      <w:r>
        <w:rPr/>
        <w:t>esta</w:t>
      </w:r>
      <w:r>
        <w:rPr>
          <w:spacing w:val="-8"/>
        </w:rPr>
        <w:t> </w:t>
      </w:r>
      <w:r>
        <w:rPr/>
        <w:t>celebración,</w:t>
      </w:r>
      <w:r>
        <w:rPr>
          <w:spacing w:val="-9"/>
        </w:rPr>
        <w:t> </w:t>
      </w:r>
      <w:r>
        <w:rPr/>
        <w:t>rindan informes</w:t>
      </w:r>
      <w:r>
        <w:rPr>
          <w:spacing w:val="-5"/>
        </w:rPr>
        <w:t> </w:t>
      </w:r>
      <w:r>
        <w:rPr/>
        <w:t>sobre</w:t>
      </w:r>
      <w:r>
        <w:rPr>
          <w:spacing w:val="-3"/>
        </w:rPr>
        <w:t> </w:t>
      </w:r>
      <w:r>
        <w:rPr/>
        <w:t>el</w:t>
      </w:r>
      <w:r>
        <w:rPr>
          <w:spacing w:val="-1"/>
        </w:rPr>
        <w:t> </w:t>
      </w:r>
      <w:r>
        <w:rPr/>
        <w:t>avance</w:t>
      </w:r>
      <w:r>
        <w:rPr>
          <w:spacing w:val="-3"/>
        </w:rPr>
        <w:t> </w:t>
      </w:r>
      <w:r>
        <w:rPr/>
        <w:t>de cumplimiento</w:t>
      </w:r>
      <w:r>
        <w:rPr>
          <w:spacing w:val="-3"/>
        </w:rPr>
        <w:t> </w:t>
      </w:r>
      <w:r>
        <w:rPr/>
        <w:t>de</w:t>
      </w:r>
      <w:r>
        <w:rPr>
          <w:spacing w:val="-3"/>
        </w:rPr>
        <w:t> </w:t>
      </w:r>
      <w:r>
        <w:rPr/>
        <w:t>los</w:t>
      </w:r>
      <w:r>
        <w:rPr>
          <w:spacing w:val="-5"/>
        </w:rPr>
        <w:t> </w:t>
      </w:r>
      <w:r>
        <w:rPr/>
        <w:t>planes</w:t>
      </w:r>
      <w:r>
        <w:rPr>
          <w:spacing w:val="-5"/>
        </w:rPr>
        <w:t> </w:t>
      </w:r>
      <w:r>
        <w:rPr/>
        <w:t>de</w:t>
      </w:r>
      <w:r>
        <w:rPr>
          <w:spacing w:val="-3"/>
        </w:rPr>
        <w:t> </w:t>
      </w:r>
      <w:r>
        <w:rPr/>
        <w:t>acción</w:t>
      </w:r>
      <w:r>
        <w:rPr>
          <w:spacing w:val="-3"/>
        </w:rPr>
        <w:t> </w:t>
      </w:r>
      <w:r>
        <w:rPr/>
        <w:t>de la</w:t>
      </w:r>
      <w:r>
        <w:rPr>
          <w:spacing w:val="-3"/>
        </w:rPr>
        <w:t> </w:t>
      </w:r>
      <w:r>
        <w:rPr/>
        <w:t>Política.</w:t>
      </w:r>
      <w:r>
        <w:rPr>
          <w:spacing w:val="-4"/>
        </w:rPr>
        <w:t> </w:t>
      </w:r>
      <w:r>
        <w:rPr/>
        <w:t>Fecha</w:t>
      </w:r>
      <w:r>
        <w:rPr>
          <w:spacing w:val="-3"/>
        </w:rPr>
        <w:t> </w:t>
      </w:r>
      <w:r>
        <w:rPr/>
        <w:t>de vigencia 13/12/2018.</w:t>
      </w:r>
    </w:p>
    <w:p>
      <w:pPr>
        <w:spacing w:line="240" w:lineRule="auto" w:before="250"/>
        <w:ind w:left="979" w:right="1342" w:firstLine="0"/>
        <w:jc w:val="both"/>
        <w:rPr>
          <w:sz w:val="22"/>
        </w:rPr>
      </w:pPr>
      <w:r>
        <w:rPr>
          <w:b/>
          <w:sz w:val="22"/>
        </w:rPr>
        <w:t>Decreto N° 41347-MP-MTSS-MDHIS. Coordinación de la Comisión Consultiva de la REDCUDI</w:t>
      </w:r>
      <w:r>
        <w:rPr>
          <w:sz w:val="22"/>
        </w:rPr>
        <w:t>.</w:t>
      </w:r>
      <w:r>
        <w:rPr>
          <w:spacing w:val="-16"/>
          <w:sz w:val="22"/>
        </w:rPr>
        <w:t> </w:t>
      </w:r>
      <w:r>
        <w:rPr>
          <w:sz w:val="22"/>
        </w:rPr>
        <w:t>Faculta</w:t>
      </w:r>
      <w:r>
        <w:rPr>
          <w:spacing w:val="-15"/>
          <w:sz w:val="22"/>
        </w:rPr>
        <w:t> </w:t>
      </w:r>
      <w:r>
        <w:rPr>
          <w:sz w:val="22"/>
        </w:rPr>
        <w:t>a</w:t>
      </w:r>
      <w:r>
        <w:rPr>
          <w:spacing w:val="-15"/>
          <w:sz w:val="22"/>
        </w:rPr>
        <w:t> </w:t>
      </w:r>
      <w:r>
        <w:rPr>
          <w:sz w:val="22"/>
        </w:rPr>
        <w:t>la</w:t>
      </w:r>
      <w:r>
        <w:rPr>
          <w:spacing w:val="-16"/>
          <w:sz w:val="22"/>
        </w:rPr>
        <w:t> </w:t>
      </w:r>
      <w:r>
        <w:rPr>
          <w:sz w:val="22"/>
        </w:rPr>
        <w:t>Presidencia</w:t>
      </w:r>
      <w:r>
        <w:rPr>
          <w:spacing w:val="-15"/>
          <w:sz w:val="22"/>
        </w:rPr>
        <w:t> </w:t>
      </w:r>
      <w:r>
        <w:rPr>
          <w:sz w:val="22"/>
        </w:rPr>
        <w:t>de</w:t>
      </w:r>
      <w:r>
        <w:rPr>
          <w:spacing w:val="-15"/>
          <w:sz w:val="22"/>
        </w:rPr>
        <w:t> </w:t>
      </w:r>
      <w:r>
        <w:rPr>
          <w:sz w:val="22"/>
        </w:rPr>
        <w:t>la</w:t>
      </w:r>
      <w:r>
        <w:rPr>
          <w:spacing w:val="-15"/>
          <w:sz w:val="22"/>
        </w:rPr>
        <w:t> </w:t>
      </w:r>
      <w:r>
        <w:rPr>
          <w:sz w:val="22"/>
        </w:rPr>
        <w:t>República</w:t>
      </w:r>
      <w:r>
        <w:rPr>
          <w:spacing w:val="-16"/>
          <w:sz w:val="22"/>
        </w:rPr>
        <w:t> </w:t>
      </w:r>
      <w:r>
        <w:rPr>
          <w:sz w:val="22"/>
        </w:rPr>
        <w:t>y</w:t>
      </w:r>
      <w:r>
        <w:rPr>
          <w:spacing w:val="-15"/>
          <w:sz w:val="22"/>
        </w:rPr>
        <w:t> </w:t>
      </w:r>
      <w:r>
        <w:rPr>
          <w:sz w:val="22"/>
        </w:rPr>
        <w:t>a</w:t>
      </w:r>
      <w:r>
        <w:rPr>
          <w:spacing w:val="-15"/>
          <w:sz w:val="22"/>
        </w:rPr>
        <w:t> </w:t>
      </w:r>
      <w:r>
        <w:rPr>
          <w:sz w:val="22"/>
        </w:rPr>
        <w:t>los</w:t>
      </w:r>
      <w:r>
        <w:rPr>
          <w:spacing w:val="-16"/>
          <w:sz w:val="22"/>
        </w:rPr>
        <w:t> </w:t>
      </w:r>
      <w:r>
        <w:rPr>
          <w:sz w:val="22"/>
        </w:rPr>
        <w:t>ministros</w:t>
      </w:r>
      <w:r>
        <w:rPr>
          <w:spacing w:val="-15"/>
          <w:sz w:val="22"/>
        </w:rPr>
        <w:t> </w:t>
      </w:r>
      <w:r>
        <w:rPr>
          <w:sz w:val="22"/>
        </w:rPr>
        <w:t>de</w:t>
      </w:r>
      <w:r>
        <w:rPr>
          <w:spacing w:val="-15"/>
          <w:sz w:val="22"/>
        </w:rPr>
        <w:t> </w:t>
      </w:r>
      <w:r>
        <w:rPr>
          <w:sz w:val="22"/>
        </w:rPr>
        <w:t>Trabajo</w:t>
      </w:r>
      <w:r>
        <w:rPr>
          <w:spacing w:val="-15"/>
          <w:sz w:val="22"/>
        </w:rPr>
        <w:t> </w:t>
      </w:r>
      <w:r>
        <w:rPr>
          <w:sz w:val="22"/>
        </w:rPr>
        <w:t>y</w:t>
      </w:r>
      <w:r>
        <w:rPr>
          <w:spacing w:val="-16"/>
          <w:sz w:val="22"/>
        </w:rPr>
        <w:t> </w:t>
      </w:r>
      <w:r>
        <w:rPr>
          <w:sz w:val="22"/>
        </w:rPr>
        <w:t>Seguridad Social, y de Desarrollo Humano e Inclusión Social, a emitir el respectivo acuerdo de delegación respecto a la coordinación de la Comisión Consultiva de la Red Nacional de Cuido y Desarrollo Infantil. Fecha de vigencia 17/12/2018.</w:t>
      </w:r>
    </w:p>
    <w:p>
      <w:pPr>
        <w:pStyle w:val="BodyText"/>
        <w:spacing w:before="5"/>
      </w:pPr>
    </w:p>
    <w:p>
      <w:pPr>
        <w:spacing w:line="240" w:lineRule="auto" w:before="0"/>
        <w:ind w:left="979" w:right="1337" w:firstLine="0"/>
        <w:jc w:val="both"/>
        <w:rPr>
          <w:sz w:val="22"/>
        </w:rPr>
      </w:pPr>
      <w:r>
        <w:rPr>
          <w:b/>
          <w:sz w:val="22"/>
        </w:rPr>
        <w:t>Decreto N° 41351-MTSS-MIDEPLAN-MDHIS. Modificación al Decreto Ejecutivo número</w:t>
      </w:r>
      <w:r>
        <w:rPr>
          <w:b/>
          <w:spacing w:val="-16"/>
          <w:sz w:val="22"/>
        </w:rPr>
        <w:t> </w:t>
      </w:r>
      <w:r>
        <w:rPr>
          <w:b/>
          <w:sz w:val="22"/>
        </w:rPr>
        <w:t>38954-MTSS-MDHIS-MIDEPLAN</w:t>
      </w:r>
      <w:r>
        <w:rPr>
          <w:b/>
          <w:spacing w:val="-15"/>
          <w:sz w:val="22"/>
        </w:rPr>
        <w:t> </w:t>
      </w:r>
      <w:r>
        <w:rPr>
          <w:b/>
          <w:sz w:val="22"/>
        </w:rPr>
        <w:t>Estrategia</w:t>
      </w:r>
      <w:r>
        <w:rPr>
          <w:b/>
          <w:spacing w:val="-15"/>
          <w:sz w:val="22"/>
        </w:rPr>
        <w:t> </w:t>
      </w:r>
      <w:r>
        <w:rPr>
          <w:b/>
          <w:sz w:val="22"/>
        </w:rPr>
        <w:t>de</w:t>
      </w:r>
      <w:r>
        <w:rPr>
          <w:b/>
          <w:spacing w:val="-16"/>
          <w:sz w:val="22"/>
        </w:rPr>
        <w:t> </w:t>
      </w:r>
      <w:r>
        <w:rPr>
          <w:b/>
          <w:sz w:val="22"/>
        </w:rPr>
        <w:t>Atención</w:t>
      </w:r>
      <w:r>
        <w:rPr>
          <w:b/>
          <w:spacing w:val="-15"/>
          <w:sz w:val="22"/>
        </w:rPr>
        <w:t> </w:t>
      </w:r>
      <w:r>
        <w:rPr>
          <w:b/>
          <w:sz w:val="22"/>
        </w:rPr>
        <w:t>a</w:t>
      </w:r>
      <w:r>
        <w:rPr>
          <w:b/>
          <w:spacing w:val="-15"/>
          <w:sz w:val="22"/>
        </w:rPr>
        <w:t> </w:t>
      </w:r>
      <w:r>
        <w:rPr>
          <w:b/>
          <w:sz w:val="22"/>
        </w:rPr>
        <w:t>la</w:t>
      </w:r>
      <w:r>
        <w:rPr>
          <w:b/>
          <w:spacing w:val="-15"/>
          <w:sz w:val="22"/>
        </w:rPr>
        <w:t> </w:t>
      </w:r>
      <w:r>
        <w:rPr>
          <w:b/>
          <w:sz w:val="22"/>
        </w:rPr>
        <w:t>Pobreza</w:t>
      </w:r>
      <w:r>
        <w:rPr>
          <w:b/>
          <w:spacing w:val="-16"/>
          <w:sz w:val="22"/>
        </w:rPr>
        <w:t> </w:t>
      </w:r>
      <w:r>
        <w:rPr>
          <w:b/>
          <w:sz w:val="22"/>
        </w:rPr>
        <w:t>en</w:t>
      </w:r>
      <w:r>
        <w:rPr>
          <w:b/>
          <w:spacing w:val="-15"/>
          <w:sz w:val="22"/>
        </w:rPr>
        <w:t> </w:t>
      </w:r>
      <w:r>
        <w:rPr>
          <w:b/>
          <w:sz w:val="22"/>
        </w:rPr>
        <w:t>Costa Rica Puente al Desarrollo. </w:t>
      </w:r>
      <w:r>
        <w:rPr>
          <w:sz w:val="22"/>
        </w:rPr>
        <w:t>Tiene el objetivo de atender a las familias en condición de pobreza extrema de manera preferente, oportuna, sostenible e integral. Modifica los artículos</w:t>
      </w:r>
      <w:r>
        <w:rPr>
          <w:spacing w:val="-5"/>
          <w:sz w:val="22"/>
        </w:rPr>
        <w:t> </w:t>
      </w:r>
      <w:r>
        <w:rPr>
          <w:sz w:val="22"/>
        </w:rPr>
        <w:t>4</w:t>
      </w:r>
      <w:r>
        <w:rPr>
          <w:spacing w:val="-8"/>
          <w:sz w:val="22"/>
        </w:rPr>
        <w:t> </w:t>
      </w:r>
      <w:r>
        <w:rPr>
          <w:sz w:val="22"/>
        </w:rPr>
        <w:t>acápite</w:t>
      </w:r>
      <w:r>
        <w:rPr>
          <w:spacing w:val="-8"/>
          <w:sz w:val="22"/>
        </w:rPr>
        <w:t> </w:t>
      </w:r>
      <w:r>
        <w:rPr>
          <w:sz w:val="22"/>
        </w:rPr>
        <w:t>2</w:t>
      </w:r>
      <w:r>
        <w:rPr>
          <w:spacing w:val="-3"/>
          <w:sz w:val="22"/>
        </w:rPr>
        <w:t> </w:t>
      </w:r>
      <w:r>
        <w:rPr>
          <w:sz w:val="22"/>
        </w:rPr>
        <w:t>inciso</w:t>
      </w:r>
      <w:r>
        <w:rPr>
          <w:spacing w:val="-3"/>
          <w:sz w:val="22"/>
        </w:rPr>
        <w:t> </w:t>
      </w:r>
      <w:r>
        <w:rPr>
          <w:sz w:val="22"/>
        </w:rPr>
        <w:t>a),</w:t>
      </w:r>
      <w:r>
        <w:rPr>
          <w:spacing w:val="-4"/>
          <w:sz w:val="22"/>
        </w:rPr>
        <w:t> </w:t>
      </w:r>
      <w:r>
        <w:rPr>
          <w:sz w:val="22"/>
        </w:rPr>
        <w:t>5,</w:t>
      </w:r>
      <w:r>
        <w:rPr>
          <w:spacing w:val="-4"/>
          <w:sz w:val="22"/>
        </w:rPr>
        <w:t> </w:t>
      </w:r>
      <w:r>
        <w:rPr>
          <w:sz w:val="22"/>
        </w:rPr>
        <w:t>6,</w:t>
      </w:r>
      <w:r>
        <w:rPr>
          <w:spacing w:val="-9"/>
          <w:sz w:val="22"/>
        </w:rPr>
        <w:t> </w:t>
      </w:r>
      <w:r>
        <w:rPr>
          <w:sz w:val="22"/>
        </w:rPr>
        <w:t>7,</w:t>
      </w:r>
      <w:r>
        <w:rPr>
          <w:spacing w:val="-9"/>
          <w:sz w:val="22"/>
        </w:rPr>
        <w:t> </w:t>
      </w:r>
      <w:r>
        <w:rPr>
          <w:sz w:val="22"/>
        </w:rPr>
        <w:t>8,</w:t>
      </w:r>
      <w:r>
        <w:rPr>
          <w:spacing w:val="-4"/>
          <w:sz w:val="22"/>
        </w:rPr>
        <w:t> </w:t>
      </w:r>
      <w:r>
        <w:rPr>
          <w:sz w:val="22"/>
        </w:rPr>
        <w:t>10,</w:t>
      </w:r>
      <w:r>
        <w:rPr>
          <w:spacing w:val="-4"/>
          <w:sz w:val="22"/>
        </w:rPr>
        <w:t> </w:t>
      </w:r>
      <w:r>
        <w:rPr>
          <w:sz w:val="22"/>
        </w:rPr>
        <w:t>11,</w:t>
      </w:r>
      <w:r>
        <w:rPr>
          <w:spacing w:val="-9"/>
          <w:sz w:val="22"/>
        </w:rPr>
        <w:t> </w:t>
      </w:r>
      <w:r>
        <w:rPr>
          <w:sz w:val="22"/>
        </w:rPr>
        <w:t>12,</w:t>
      </w:r>
      <w:r>
        <w:rPr>
          <w:spacing w:val="-4"/>
          <w:sz w:val="22"/>
        </w:rPr>
        <w:t> </w:t>
      </w:r>
      <w:r>
        <w:rPr>
          <w:sz w:val="22"/>
        </w:rPr>
        <w:t>13</w:t>
      </w:r>
      <w:r>
        <w:rPr>
          <w:spacing w:val="-8"/>
          <w:sz w:val="22"/>
        </w:rPr>
        <w:t> </w:t>
      </w:r>
      <w:r>
        <w:rPr>
          <w:sz w:val="22"/>
        </w:rPr>
        <w:t>párrafo</w:t>
      </w:r>
      <w:r>
        <w:rPr>
          <w:spacing w:val="-3"/>
          <w:sz w:val="22"/>
        </w:rPr>
        <w:t> </w:t>
      </w:r>
      <w:r>
        <w:rPr>
          <w:sz w:val="22"/>
        </w:rPr>
        <w:t>último,</w:t>
      </w:r>
      <w:r>
        <w:rPr>
          <w:spacing w:val="-4"/>
          <w:sz w:val="22"/>
        </w:rPr>
        <w:t> </w:t>
      </w:r>
      <w:r>
        <w:rPr>
          <w:sz w:val="22"/>
        </w:rPr>
        <w:t>14,</w:t>
      </w:r>
      <w:r>
        <w:rPr>
          <w:spacing w:val="-9"/>
          <w:sz w:val="22"/>
        </w:rPr>
        <w:t> </w:t>
      </w:r>
      <w:r>
        <w:rPr>
          <w:sz w:val="22"/>
        </w:rPr>
        <w:t>15,</w:t>
      </w:r>
      <w:r>
        <w:rPr>
          <w:spacing w:val="-9"/>
          <w:sz w:val="22"/>
        </w:rPr>
        <w:t> </w:t>
      </w:r>
      <w:r>
        <w:rPr>
          <w:sz w:val="22"/>
        </w:rPr>
        <w:t>18,</w:t>
      </w:r>
      <w:r>
        <w:rPr>
          <w:spacing w:val="-4"/>
          <w:sz w:val="22"/>
        </w:rPr>
        <w:t> </w:t>
      </w:r>
      <w:r>
        <w:rPr>
          <w:sz w:val="22"/>
        </w:rPr>
        <w:t>19,</w:t>
      </w:r>
      <w:r>
        <w:rPr>
          <w:spacing w:val="-4"/>
          <w:sz w:val="22"/>
        </w:rPr>
        <w:t> </w:t>
      </w:r>
      <w:r>
        <w:rPr>
          <w:sz w:val="22"/>
        </w:rPr>
        <w:t>23,</w:t>
      </w:r>
      <w:r>
        <w:rPr>
          <w:spacing w:val="-4"/>
          <w:sz w:val="22"/>
        </w:rPr>
        <w:t> </w:t>
      </w:r>
      <w:r>
        <w:rPr>
          <w:sz w:val="22"/>
        </w:rPr>
        <w:t>24 y 25 del Decreto Ejecutivo N°38954 MTSS-MDHIS-MIDEPLAN. Fecha de vigencia </w:t>
      </w:r>
      <w:r>
        <w:rPr>
          <w:spacing w:val="-2"/>
          <w:sz w:val="22"/>
        </w:rPr>
        <w:t>17/12/2018.</w:t>
      </w:r>
    </w:p>
    <w:p>
      <w:pPr>
        <w:spacing w:before="250"/>
        <w:ind w:left="979" w:right="1331" w:firstLine="0"/>
        <w:jc w:val="both"/>
        <w:rPr>
          <w:sz w:val="22"/>
        </w:rPr>
      </w:pPr>
      <w:r>
        <w:rPr>
          <w:b/>
          <w:sz w:val="22"/>
        </w:rPr>
        <w:t>Decreto N°38954-MTSS-MDHIS-MIDEPLAN </w:t>
      </w:r>
      <w:r>
        <w:rPr>
          <w:sz w:val="22"/>
        </w:rPr>
        <w:t>Modificación al Decreto 41351-MTSS-MIDEPLAN-MDHIS,</w:t>
      </w:r>
      <w:r>
        <w:rPr>
          <w:spacing w:val="15"/>
          <w:sz w:val="22"/>
        </w:rPr>
        <w:t> </w:t>
      </w:r>
      <w:r>
        <w:rPr>
          <w:sz w:val="22"/>
        </w:rPr>
        <w:t>Modifica</w:t>
      </w:r>
      <w:r>
        <w:rPr>
          <w:spacing w:val="21"/>
          <w:sz w:val="22"/>
        </w:rPr>
        <w:t> </w:t>
      </w:r>
      <w:r>
        <w:rPr>
          <w:sz w:val="22"/>
        </w:rPr>
        <w:t>los</w:t>
      </w:r>
      <w:r>
        <w:rPr>
          <w:spacing w:val="14"/>
          <w:sz w:val="22"/>
        </w:rPr>
        <w:t> </w:t>
      </w:r>
      <w:r>
        <w:rPr>
          <w:sz w:val="22"/>
        </w:rPr>
        <w:t>artículos</w:t>
      </w:r>
      <w:r>
        <w:rPr>
          <w:spacing w:val="14"/>
          <w:sz w:val="22"/>
        </w:rPr>
        <w:t> </w:t>
      </w:r>
      <w:r>
        <w:rPr>
          <w:sz w:val="22"/>
        </w:rPr>
        <w:t>4</w:t>
      </w:r>
      <w:r>
        <w:rPr>
          <w:spacing w:val="16"/>
          <w:sz w:val="22"/>
        </w:rPr>
        <w:t> </w:t>
      </w:r>
      <w:r>
        <w:rPr>
          <w:sz w:val="22"/>
        </w:rPr>
        <w:t>acápite</w:t>
      </w:r>
      <w:r>
        <w:rPr>
          <w:spacing w:val="16"/>
          <w:sz w:val="22"/>
        </w:rPr>
        <w:t> </w:t>
      </w:r>
      <w:r>
        <w:rPr>
          <w:sz w:val="22"/>
        </w:rPr>
        <w:t>2</w:t>
      </w:r>
      <w:r>
        <w:rPr>
          <w:spacing w:val="21"/>
          <w:sz w:val="22"/>
        </w:rPr>
        <w:t> </w:t>
      </w:r>
      <w:r>
        <w:rPr>
          <w:sz w:val="22"/>
        </w:rPr>
        <w:t>inciso</w:t>
      </w:r>
      <w:r>
        <w:rPr>
          <w:spacing w:val="16"/>
          <w:sz w:val="22"/>
        </w:rPr>
        <w:t> </w:t>
      </w:r>
      <w:r>
        <w:rPr>
          <w:sz w:val="22"/>
        </w:rPr>
        <w:t>a),</w:t>
      </w:r>
      <w:r>
        <w:rPr>
          <w:spacing w:val="15"/>
          <w:sz w:val="22"/>
        </w:rPr>
        <w:t> </w:t>
      </w:r>
      <w:r>
        <w:rPr>
          <w:sz w:val="22"/>
        </w:rPr>
        <w:t>5,</w:t>
      </w:r>
      <w:r>
        <w:rPr>
          <w:spacing w:val="15"/>
          <w:sz w:val="22"/>
        </w:rPr>
        <w:t> </w:t>
      </w:r>
      <w:r>
        <w:rPr>
          <w:sz w:val="22"/>
        </w:rPr>
        <w:t>6,</w:t>
      </w:r>
      <w:r>
        <w:rPr>
          <w:spacing w:val="15"/>
          <w:sz w:val="22"/>
        </w:rPr>
        <w:t> </w:t>
      </w:r>
      <w:r>
        <w:rPr>
          <w:sz w:val="22"/>
        </w:rPr>
        <w:t>7,</w:t>
      </w:r>
      <w:r>
        <w:rPr>
          <w:spacing w:val="15"/>
          <w:sz w:val="22"/>
        </w:rPr>
        <w:t> </w:t>
      </w:r>
      <w:r>
        <w:rPr>
          <w:sz w:val="22"/>
        </w:rPr>
        <w:t>8,</w:t>
      </w:r>
      <w:r>
        <w:rPr>
          <w:spacing w:val="15"/>
          <w:sz w:val="22"/>
        </w:rPr>
        <w:t> </w:t>
      </w:r>
      <w:r>
        <w:rPr>
          <w:sz w:val="22"/>
        </w:rPr>
        <w:t>10,</w:t>
      </w:r>
      <w:r>
        <w:rPr>
          <w:spacing w:val="15"/>
          <w:sz w:val="22"/>
        </w:rPr>
        <w:t> </w:t>
      </w:r>
      <w:r>
        <w:rPr>
          <w:sz w:val="22"/>
        </w:rPr>
        <w:t>11,</w:t>
      </w:r>
      <w:r>
        <w:rPr>
          <w:spacing w:val="15"/>
          <w:sz w:val="22"/>
        </w:rPr>
        <w:t> </w:t>
      </w:r>
      <w:r>
        <w:rPr>
          <w:sz w:val="22"/>
        </w:rPr>
        <w:t>12,</w:t>
      </w:r>
      <w:r>
        <w:rPr>
          <w:spacing w:val="15"/>
          <w:sz w:val="22"/>
        </w:rPr>
        <w:t> </w:t>
      </w:r>
      <w:r>
        <w:rPr>
          <w:sz w:val="22"/>
        </w:rPr>
        <w:t>13</w:t>
      </w:r>
    </w:p>
    <w:p>
      <w:pPr>
        <w:pStyle w:val="BodyText"/>
        <w:spacing w:line="237" w:lineRule="auto" w:before="5"/>
        <w:ind w:left="979" w:right="1336"/>
        <w:jc w:val="both"/>
      </w:pPr>
      <w:r>
        <w:rPr/>
        <w:t>párrafo último, 14, 15, 18, 19, 23, 24 y 25 del Decreto Ejecutivo N°38954 MTSS-MDHIS-MIDEPLAN. Fecha de vigencia 17/12/2018</w:t>
      </w:r>
    </w:p>
    <w:p>
      <w:pPr>
        <w:pStyle w:val="BodyText"/>
        <w:spacing w:before="3"/>
      </w:pPr>
    </w:p>
    <w:p>
      <w:pPr>
        <w:spacing w:line="240" w:lineRule="auto" w:before="0"/>
        <w:ind w:left="979" w:right="1336" w:firstLine="0"/>
        <w:jc w:val="both"/>
        <w:rPr>
          <w:sz w:val="22"/>
        </w:rPr>
      </w:pPr>
      <w:r>
        <w:rPr>
          <w:b/>
          <w:sz w:val="22"/>
        </w:rPr>
        <w:t>Decreto N° 41336-MGP-MEIC. Declara de interés público la creación, consolidación, desarrollo</w:t>
      </w:r>
      <w:r>
        <w:rPr>
          <w:b/>
          <w:spacing w:val="-16"/>
          <w:sz w:val="22"/>
        </w:rPr>
        <w:t> </w:t>
      </w:r>
      <w:r>
        <w:rPr>
          <w:b/>
          <w:sz w:val="22"/>
        </w:rPr>
        <w:t>y</w:t>
      </w:r>
      <w:r>
        <w:rPr>
          <w:b/>
          <w:spacing w:val="-15"/>
          <w:sz w:val="22"/>
        </w:rPr>
        <w:t> </w:t>
      </w:r>
      <w:r>
        <w:rPr>
          <w:b/>
          <w:sz w:val="22"/>
        </w:rPr>
        <w:t>formalización</w:t>
      </w:r>
      <w:r>
        <w:rPr>
          <w:b/>
          <w:spacing w:val="-15"/>
          <w:sz w:val="22"/>
        </w:rPr>
        <w:t> </w:t>
      </w:r>
      <w:r>
        <w:rPr>
          <w:b/>
          <w:sz w:val="22"/>
        </w:rPr>
        <w:t>de</w:t>
      </w:r>
      <w:r>
        <w:rPr>
          <w:b/>
          <w:spacing w:val="-16"/>
          <w:sz w:val="22"/>
        </w:rPr>
        <w:t> </w:t>
      </w:r>
      <w:r>
        <w:rPr>
          <w:b/>
          <w:sz w:val="22"/>
        </w:rPr>
        <w:t>las</w:t>
      </w:r>
      <w:r>
        <w:rPr>
          <w:b/>
          <w:spacing w:val="-15"/>
          <w:sz w:val="22"/>
        </w:rPr>
        <w:t> </w:t>
      </w:r>
      <w:r>
        <w:rPr>
          <w:b/>
          <w:sz w:val="22"/>
        </w:rPr>
        <w:t>empresas</w:t>
      </w:r>
      <w:r>
        <w:rPr>
          <w:b/>
          <w:spacing w:val="-15"/>
          <w:sz w:val="22"/>
        </w:rPr>
        <w:t> </w:t>
      </w:r>
      <w:r>
        <w:rPr>
          <w:b/>
          <w:sz w:val="22"/>
        </w:rPr>
        <w:t>de</w:t>
      </w:r>
      <w:r>
        <w:rPr>
          <w:b/>
          <w:spacing w:val="-15"/>
          <w:sz w:val="22"/>
        </w:rPr>
        <w:t> </w:t>
      </w:r>
      <w:r>
        <w:rPr>
          <w:b/>
          <w:sz w:val="22"/>
        </w:rPr>
        <w:t>base</w:t>
      </w:r>
      <w:r>
        <w:rPr>
          <w:b/>
          <w:spacing w:val="-16"/>
          <w:sz w:val="22"/>
        </w:rPr>
        <w:t> </w:t>
      </w:r>
      <w:r>
        <w:rPr>
          <w:b/>
          <w:sz w:val="22"/>
        </w:rPr>
        <w:t>comunal</w:t>
      </w:r>
      <w:r>
        <w:rPr>
          <w:sz w:val="22"/>
        </w:rPr>
        <w:t>.</w:t>
      </w:r>
      <w:r>
        <w:rPr>
          <w:spacing w:val="-15"/>
          <w:sz w:val="22"/>
        </w:rPr>
        <w:t> </w:t>
      </w:r>
      <w:r>
        <w:rPr>
          <w:sz w:val="22"/>
        </w:rPr>
        <w:t>Declara</w:t>
      </w:r>
      <w:r>
        <w:rPr>
          <w:spacing w:val="-15"/>
          <w:sz w:val="22"/>
        </w:rPr>
        <w:t> </w:t>
      </w:r>
      <w:r>
        <w:rPr>
          <w:sz w:val="22"/>
        </w:rPr>
        <w:t>de</w:t>
      </w:r>
      <w:r>
        <w:rPr>
          <w:spacing w:val="-16"/>
          <w:sz w:val="22"/>
        </w:rPr>
        <w:t> </w:t>
      </w:r>
      <w:r>
        <w:rPr>
          <w:sz w:val="22"/>
        </w:rPr>
        <w:t>interés</w:t>
      </w:r>
      <w:r>
        <w:rPr>
          <w:spacing w:val="-15"/>
          <w:sz w:val="22"/>
        </w:rPr>
        <w:t> </w:t>
      </w:r>
      <w:r>
        <w:rPr>
          <w:sz w:val="22"/>
        </w:rPr>
        <w:t>público la creación, consolidación, desarrollo y formalización de las empresas de base comunal y faculta a la Administración Pública Central y se invita a las instituciones autónomas y empresas del Estado para que dentro de sus competencias brinden la cooperación y las facilidades</w:t>
      </w:r>
      <w:r>
        <w:rPr>
          <w:spacing w:val="-16"/>
          <w:sz w:val="22"/>
        </w:rPr>
        <w:t> </w:t>
      </w:r>
      <w:r>
        <w:rPr>
          <w:sz w:val="22"/>
        </w:rPr>
        <w:t>necesarias</w:t>
      </w:r>
      <w:r>
        <w:rPr>
          <w:spacing w:val="-15"/>
          <w:sz w:val="22"/>
        </w:rPr>
        <w:t> </w:t>
      </w:r>
      <w:r>
        <w:rPr>
          <w:sz w:val="22"/>
        </w:rPr>
        <w:t>requeridas</w:t>
      </w:r>
      <w:r>
        <w:rPr>
          <w:spacing w:val="-15"/>
          <w:sz w:val="22"/>
        </w:rPr>
        <w:t> </w:t>
      </w:r>
      <w:r>
        <w:rPr>
          <w:sz w:val="22"/>
        </w:rPr>
        <w:t>para</w:t>
      </w:r>
      <w:r>
        <w:rPr>
          <w:spacing w:val="-16"/>
          <w:sz w:val="22"/>
        </w:rPr>
        <w:t> </w:t>
      </w:r>
      <w:r>
        <w:rPr>
          <w:sz w:val="22"/>
        </w:rPr>
        <w:t>el</w:t>
      </w:r>
      <w:r>
        <w:rPr>
          <w:spacing w:val="-15"/>
          <w:sz w:val="22"/>
        </w:rPr>
        <w:t> </w:t>
      </w:r>
      <w:r>
        <w:rPr>
          <w:sz w:val="22"/>
        </w:rPr>
        <w:t>logro</w:t>
      </w:r>
      <w:r>
        <w:rPr>
          <w:spacing w:val="-15"/>
          <w:sz w:val="22"/>
        </w:rPr>
        <w:t> </w:t>
      </w:r>
      <w:r>
        <w:rPr>
          <w:sz w:val="22"/>
        </w:rPr>
        <w:t>de</w:t>
      </w:r>
      <w:r>
        <w:rPr>
          <w:spacing w:val="-15"/>
          <w:sz w:val="22"/>
        </w:rPr>
        <w:t> </w:t>
      </w:r>
      <w:r>
        <w:rPr>
          <w:sz w:val="22"/>
        </w:rPr>
        <w:t>los</w:t>
      </w:r>
      <w:r>
        <w:rPr>
          <w:spacing w:val="-16"/>
          <w:sz w:val="22"/>
        </w:rPr>
        <w:t> </w:t>
      </w:r>
      <w:r>
        <w:rPr>
          <w:sz w:val="22"/>
        </w:rPr>
        <w:t>objetivos</w:t>
      </w:r>
      <w:r>
        <w:rPr>
          <w:spacing w:val="-15"/>
          <w:sz w:val="22"/>
        </w:rPr>
        <w:t> </w:t>
      </w:r>
      <w:r>
        <w:rPr>
          <w:sz w:val="22"/>
        </w:rPr>
        <w:t>descritos.</w:t>
      </w:r>
      <w:r>
        <w:rPr>
          <w:spacing w:val="-15"/>
          <w:sz w:val="22"/>
        </w:rPr>
        <w:t> </w:t>
      </w:r>
      <w:r>
        <w:rPr>
          <w:sz w:val="22"/>
        </w:rPr>
        <w:t>Fecha</w:t>
      </w:r>
      <w:r>
        <w:rPr>
          <w:spacing w:val="-5"/>
          <w:sz w:val="22"/>
        </w:rPr>
        <w:t> </w:t>
      </w:r>
      <w:r>
        <w:rPr>
          <w:sz w:val="22"/>
        </w:rPr>
        <w:t>de</w:t>
      </w:r>
      <w:r>
        <w:rPr>
          <w:spacing w:val="-14"/>
          <w:sz w:val="22"/>
        </w:rPr>
        <w:t> </w:t>
      </w:r>
      <w:r>
        <w:rPr>
          <w:sz w:val="22"/>
        </w:rPr>
        <w:t>vigencia </w:t>
      </w:r>
      <w:r>
        <w:rPr>
          <w:spacing w:val="-2"/>
          <w:sz w:val="22"/>
        </w:rPr>
        <w:t>21/12/2018.</w:t>
      </w:r>
    </w:p>
    <w:p>
      <w:pPr>
        <w:spacing w:before="250"/>
        <w:ind w:left="979" w:right="1342" w:firstLine="0"/>
        <w:jc w:val="both"/>
        <w:rPr>
          <w:sz w:val="22"/>
        </w:rPr>
      </w:pPr>
      <w:r>
        <w:rPr>
          <w:b/>
          <w:sz w:val="22"/>
        </w:rPr>
        <w:t>Decreto</w:t>
      </w:r>
      <w:r>
        <w:rPr>
          <w:b/>
          <w:spacing w:val="-16"/>
          <w:sz w:val="22"/>
        </w:rPr>
        <w:t> </w:t>
      </w:r>
      <w:r>
        <w:rPr>
          <w:b/>
          <w:sz w:val="22"/>
        </w:rPr>
        <w:t>N°41438-H.</w:t>
      </w:r>
      <w:r>
        <w:rPr>
          <w:b/>
          <w:spacing w:val="-13"/>
          <w:sz w:val="22"/>
        </w:rPr>
        <w:t> </w:t>
      </w:r>
      <w:r>
        <w:rPr>
          <w:b/>
          <w:sz w:val="22"/>
        </w:rPr>
        <w:t>Reglamento</w:t>
      </w:r>
      <w:r>
        <w:rPr>
          <w:b/>
          <w:spacing w:val="-14"/>
          <w:sz w:val="22"/>
        </w:rPr>
        <w:t> </w:t>
      </w:r>
      <w:r>
        <w:rPr>
          <w:b/>
          <w:sz w:val="22"/>
        </w:rPr>
        <w:t>para</w:t>
      </w:r>
      <w:r>
        <w:rPr>
          <w:b/>
          <w:spacing w:val="-16"/>
          <w:sz w:val="22"/>
        </w:rPr>
        <w:t> </w:t>
      </w:r>
      <w:r>
        <w:rPr>
          <w:b/>
          <w:sz w:val="22"/>
        </w:rPr>
        <w:t>la</w:t>
      </w:r>
      <w:r>
        <w:rPr>
          <w:b/>
          <w:spacing w:val="-12"/>
          <w:sz w:val="22"/>
        </w:rPr>
        <w:t> </w:t>
      </w:r>
      <w:r>
        <w:rPr>
          <w:b/>
          <w:sz w:val="22"/>
        </w:rPr>
        <w:t>utilización</w:t>
      </w:r>
      <w:r>
        <w:rPr>
          <w:b/>
          <w:spacing w:val="-15"/>
          <w:sz w:val="22"/>
        </w:rPr>
        <w:t> </w:t>
      </w:r>
      <w:r>
        <w:rPr>
          <w:b/>
          <w:sz w:val="22"/>
        </w:rPr>
        <w:t>del</w:t>
      </w:r>
      <w:r>
        <w:rPr>
          <w:b/>
          <w:spacing w:val="-16"/>
          <w:sz w:val="22"/>
        </w:rPr>
        <w:t> </w:t>
      </w:r>
      <w:r>
        <w:rPr>
          <w:b/>
          <w:sz w:val="22"/>
        </w:rPr>
        <w:t>Sistema</w:t>
      </w:r>
      <w:r>
        <w:rPr>
          <w:b/>
          <w:spacing w:val="-15"/>
          <w:sz w:val="22"/>
        </w:rPr>
        <w:t> </w:t>
      </w:r>
      <w:r>
        <w:rPr>
          <w:b/>
          <w:sz w:val="22"/>
        </w:rPr>
        <w:t>Integrado</w:t>
      </w:r>
      <w:r>
        <w:rPr>
          <w:b/>
          <w:spacing w:val="-15"/>
          <w:sz w:val="22"/>
        </w:rPr>
        <w:t> </w:t>
      </w:r>
      <w:r>
        <w:rPr>
          <w:b/>
          <w:sz w:val="22"/>
        </w:rPr>
        <w:t>de</w:t>
      </w:r>
      <w:r>
        <w:rPr>
          <w:b/>
          <w:spacing w:val="-12"/>
          <w:sz w:val="22"/>
        </w:rPr>
        <w:t> </w:t>
      </w:r>
      <w:r>
        <w:rPr>
          <w:b/>
          <w:sz w:val="22"/>
        </w:rPr>
        <w:t>Compras públicas "SICOP y sus reformas. </w:t>
      </w:r>
      <w:r>
        <w:rPr>
          <w:sz w:val="22"/>
        </w:rPr>
        <w:t>Regulariza el uso del Sistema Integrado de Compras Públicas, así como lo relacionado con el uso del Registro Único de Proveedores y del Catálogo de Bienes y Servicios. Fecha de vigencia 18/01/2019.</w:t>
      </w:r>
    </w:p>
    <w:p>
      <w:pPr>
        <w:pStyle w:val="BodyText"/>
        <w:spacing w:before="3"/>
      </w:pPr>
    </w:p>
    <w:p>
      <w:pPr>
        <w:spacing w:line="240" w:lineRule="auto" w:before="0"/>
        <w:ind w:left="979" w:right="1338" w:firstLine="0"/>
        <w:jc w:val="both"/>
        <w:rPr>
          <w:sz w:val="22"/>
        </w:rPr>
      </w:pPr>
      <w:r>
        <w:rPr>
          <w:b/>
          <w:sz w:val="22"/>
        </w:rPr>
        <w:t>Decreto</w:t>
      </w:r>
      <w:r>
        <w:rPr>
          <w:b/>
          <w:spacing w:val="-8"/>
          <w:sz w:val="22"/>
        </w:rPr>
        <w:t> </w:t>
      </w:r>
      <w:r>
        <w:rPr>
          <w:b/>
          <w:sz w:val="22"/>
        </w:rPr>
        <w:t>N°41564-MIDEPLAN-H.</w:t>
      </w:r>
      <w:r>
        <w:rPr>
          <w:b/>
          <w:spacing w:val="-7"/>
          <w:sz w:val="22"/>
        </w:rPr>
        <w:t> </w:t>
      </w:r>
      <w:r>
        <w:rPr>
          <w:b/>
          <w:sz w:val="22"/>
        </w:rPr>
        <w:t>Reglamento</w:t>
      </w:r>
      <w:r>
        <w:rPr>
          <w:b/>
          <w:spacing w:val="-8"/>
          <w:sz w:val="22"/>
        </w:rPr>
        <w:t> </w:t>
      </w:r>
      <w:r>
        <w:rPr>
          <w:b/>
          <w:sz w:val="22"/>
        </w:rPr>
        <w:t>del</w:t>
      </w:r>
      <w:r>
        <w:rPr>
          <w:b/>
          <w:spacing w:val="-7"/>
          <w:sz w:val="22"/>
        </w:rPr>
        <w:t> </w:t>
      </w:r>
      <w:r>
        <w:rPr>
          <w:b/>
          <w:sz w:val="22"/>
        </w:rPr>
        <w:t>Título</w:t>
      </w:r>
      <w:r>
        <w:rPr>
          <w:b/>
          <w:spacing w:val="-8"/>
          <w:sz w:val="22"/>
        </w:rPr>
        <w:t> </w:t>
      </w:r>
      <w:r>
        <w:rPr>
          <w:b/>
          <w:sz w:val="22"/>
        </w:rPr>
        <w:t>III</w:t>
      </w:r>
      <w:r>
        <w:rPr>
          <w:b/>
          <w:spacing w:val="-7"/>
          <w:sz w:val="22"/>
        </w:rPr>
        <w:t> </w:t>
      </w:r>
      <w:r>
        <w:rPr>
          <w:b/>
          <w:sz w:val="22"/>
        </w:rPr>
        <w:t>de</w:t>
      </w:r>
      <w:r>
        <w:rPr>
          <w:b/>
          <w:spacing w:val="-12"/>
          <w:sz w:val="22"/>
        </w:rPr>
        <w:t> </w:t>
      </w:r>
      <w:r>
        <w:rPr>
          <w:b/>
          <w:sz w:val="22"/>
        </w:rPr>
        <w:t>la</w:t>
      </w:r>
      <w:r>
        <w:rPr>
          <w:b/>
          <w:spacing w:val="-6"/>
          <w:sz w:val="22"/>
        </w:rPr>
        <w:t> </w:t>
      </w:r>
      <w:r>
        <w:rPr>
          <w:b/>
          <w:sz w:val="22"/>
        </w:rPr>
        <w:t>Ley</w:t>
      </w:r>
      <w:r>
        <w:rPr>
          <w:b/>
          <w:spacing w:val="-11"/>
          <w:sz w:val="22"/>
        </w:rPr>
        <w:t> </w:t>
      </w:r>
      <w:r>
        <w:rPr>
          <w:b/>
          <w:sz w:val="22"/>
        </w:rPr>
        <w:t>de</w:t>
      </w:r>
      <w:r>
        <w:rPr>
          <w:b/>
          <w:spacing w:val="-7"/>
          <w:sz w:val="22"/>
        </w:rPr>
        <w:t> </w:t>
      </w:r>
      <w:r>
        <w:rPr>
          <w:b/>
          <w:sz w:val="22"/>
        </w:rPr>
        <w:t>Fortalecimiento de</w:t>
      </w:r>
      <w:r>
        <w:rPr>
          <w:b/>
          <w:spacing w:val="-1"/>
          <w:sz w:val="22"/>
        </w:rPr>
        <w:t> </w:t>
      </w:r>
      <w:r>
        <w:rPr>
          <w:b/>
          <w:sz w:val="22"/>
        </w:rPr>
        <w:t>las</w:t>
      </w:r>
      <w:r>
        <w:rPr>
          <w:b/>
          <w:spacing w:val="-1"/>
          <w:sz w:val="22"/>
        </w:rPr>
        <w:t> </w:t>
      </w:r>
      <w:r>
        <w:rPr>
          <w:b/>
          <w:sz w:val="22"/>
        </w:rPr>
        <w:t>Finanzas</w:t>
      </w:r>
      <w:r>
        <w:rPr>
          <w:b/>
          <w:spacing w:val="-1"/>
          <w:sz w:val="22"/>
        </w:rPr>
        <w:t> </w:t>
      </w:r>
      <w:r>
        <w:rPr>
          <w:b/>
          <w:sz w:val="22"/>
        </w:rPr>
        <w:t>Públicas. </w:t>
      </w:r>
      <w:r>
        <w:rPr>
          <w:sz w:val="22"/>
        </w:rPr>
        <w:t>Define</w:t>
      </w:r>
      <w:r>
        <w:rPr>
          <w:spacing w:val="-1"/>
          <w:sz w:val="22"/>
        </w:rPr>
        <w:t> </w:t>
      </w:r>
      <w:r>
        <w:rPr>
          <w:sz w:val="22"/>
        </w:rPr>
        <w:t>las</w:t>
      </w:r>
      <w:r>
        <w:rPr>
          <w:spacing w:val="-2"/>
          <w:sz w:val="22"/>
        </w:rPr>
        <w:t> </w:t>
      </w:r>
      <w:r>
        <w:rPr>
          <w:sz w:val="22"/>
        </w:rPr>
        <w:t>reglas</w:t>
      </w:r>
      <w:r>
        <w:rPr>
          <w:spacing w:val="-2"/>
          <w:sz w:val="22"/>
        </w:rPr>
        <w:t> </w:t>
      </w:r>
      <w:r>
        <w:rPr>
          <w:sz w:val="22"/>
        </w:rPr>
        <w:t>necesarias</w:t>
      </w:r>
      <w:r>
        <w:rPr>
          <w:spacing w:val="-2"/>
          <w:sz w:val="22"/>
        </w:rPr>
        <w:t> </w:t>
      </w:r>
      <w:r>
        <w:rPr>
          <w:sz w:val="22"/>
        </w:rPr>
        <w:t>para</w:t>
      </w:r>
      <w:r>
        <w:rPr>
          <w:spacing w:val="-1"/>
          <w:sz w:val="22"/>
        </w:rPr>
        <w:t> </w:t>
      </w:r>
      <w:r>
        <w:rPr>
          <w:sz w:val="22"/>
        </w:rPr>
        <w:t>la</w:t>
      </w:r>
      <w:r>
        <w:rPr>
          <w:spacing w:val="-1"/>
          <w:sz w:val="22"/>
        </w:rPr>
        <w:t> </w:t>
      </w:r>
      <w:r>
        <w:rPr>
          <w:sz w:val="22"/>
        </w:rPr>
        <w:t>interpretación</w:t>
      </w:r>
      <w:r>
        <w:rPr>
          <w:spacing w:val="-1"/>
          <w:sz w:val="22"/>
        </w:rPr>
        <w:t> </w:t>
      </w:r>
      <w:r>
        <w:rPr>
          <w:sz w:val="22"/>
        </w:rPr>
        <w:t>y</w:t>
      </w:r>
      <w:r>
        <w:rPr>
          <w:spacing w:val="-7"/>
          <w:sz w:val="22"/>
        </w:rPr>
        <w:t> </w:t>
      </w:r>
      <w:r>
        <w:rPr>
          <w:sz w:val="22"/>
        </w:rPr>
        <w:t>aplicación en</w:t>
      </w:r>
      <w:r>
        <w:rPr>
          <w:spacing w:val="35"/>
          <w:sz w:val="22"/>
        </w:rPr>
        <w:t> </w:t>
      </w:r>
      <w:r>
        <w:rPr>
          <w:sz w:val="22"/>
        </w:rPr>
        <w:t>estricto</w:t>
      </w:r>
      <w:r>
        <w:rPr>
          <w:spacing w:val="35"/>
          <w:sz w:val="22"/>
        </w:rPr>
        <w:t> </w:t>
      </w:r>
      <w:r>
        <w:rPr>
          <w:sz w:val="22"/>
        </w:rPr>
        <w:t>cumplimiento</w:t>
      </w:r>
      <w:r>
        <w:rPr>
          <w:spacing w:val="35"/>
          <w:sz w:val="22"/>
        </w:rPr>
        <w:t> </w:t>
      </w:r>
      <w:r>
        <w:rPr>
          <w:sz w:val="22"/>
        </w:rPr>
        <w:t>de</w:t>
      </w:r>
      <w:r>
        <w:rPr>
          <w:spacing w:val="35"/>
          <w:sz w:val="22"/>
        </w:rPr>
        <w:t> </w:t>
      </w:r>
      <w:r>
        <w:rPr>
          <w:sz w:val="22"/>
        </w:rPr>
        <w:t>las</w:t>
      </w:r>
      <w:r>
        <w:rPr>
          <w:spacing w:val="28"/>
          <w:sz w:val="22"/>
        </w:rPr>
        <w:t> </w:t>
      </w:r>
      <w:r>
        <w:rPr>
          <w:sz w:val="22"/>
        </w:rPr>
        <w:t>disposiciones</w:t>
      </w:r>
      <w:r>
        <w:rPr>
          <w:spacing w:val="33"/>
          <w:sz w:val="22"/>
        </w:rPr>
        <w:t> </w:t>
      </w:r>
      <w:r>
        <w:rPr>
          <w:sz w:val="22"/>
        </w:rPr>
        <w:t>del</w:t>
      </w:r>
      <w:r>
        <w:rPr>
          <w:spacing w:val="32"/>
          <w:sz w:val="22"/>
        </w:rPr>
        <w:t> </w:t>
      </w:r>
      <w:r>
        <w:rPr>
          <w:sz w:val="22"/>
        </w:rPr>
        <w:t>Título</w:t>
      </w:r>
      <w:r>
        <w:rPr>
          <w:spacing w:val="35"/>
          <w:sz w:val="22"/>
        </w:rPr>
        <w:t> </w:t>
      </w:r>
      <w:r>
        <w:rPr>
          <w:sz w:val="22"/>
        </w:rPr>
        <w:t>III</w:t>
      </w:r>
      <w:r>
        <w:rPr>
          <w:spacing w:val="29"/>
          <w:sz w:val="22"/>
        </w:rPr>
        <w:t> </w:t>
      </w:r>
      <w:r>
        <w:rPr>
          <w:sz w:val="22"/>
        </w:rPr>
        <w:t>de</w:t>
      </w:r>
      <w:r>
        <w:rPr>
          <w:spacing w:val="35"/>
          <w:sz w:val="22"/>
        </w:rPr>
        <w:t> </w:t>
      </w:r>
      <w:r>
        <w:rPr>
          <w:sz w:val="22"/>
        </w:rPr>
        <w:t>la</w:t>
      </w:r>
      <w:r>
        <w:rPr>
          <w:spacing w:val="30"/>
          <w:sz w:val="22"/>
        </w:rPr>
        <w:t> </w:t>
      </w:r>
      <w:r>
        <w:rPr>
          <w:sz w:val="22"/>
        </w:rPr>
        <w:t>Ley</w:t>
      </w:r>
      <w:r>
        <w:rPr>
          <w:spacing w:val="33"/>
          <w:sz w:val="22"/>
        </w:rPr>
        <w:t> </w:t>
      </w:r>
      <w:r>
        <w:rPr>
          <w:sz w:val="22"/>
        </w:rPr>
        <w:t>N°</w:t>
      </w:r>
      <w:r>
        <w:rPr>
          <w:spacing w:val="31"/>
          <w:sz w:val="22"/>
        </w:rPr>
        <w:t> </w:t>
      </w:r>
      <w:r>
        <w:rPr>
          <w:sz w:val="22"/>
        </w:rPr>
        <w:t>9635</w:t>
      </w:r>
      <w:r>
        <w:rPr>
          <w:spacing w:val="35"/>
          <w:sz w:val="22"/>
        </w:rPr>
        <w:t> </w:t>
      </w:r>
      <w:r>
        <w:rPr>
          <w:sz w:val="22"/>
        </w:rPr>
        <w:t>del</w:t>
      </w:r>
      <w:r>
        <w:rPr>
          <w:spacing w:val="32"/>
          <w:sz w:val="22"/>
        </w:rPr>
        <w:t> </w:t>
      </w:r>
      <w:r>
        <w:rPr>
          <w:sz w:val="22"/>
        </w:rPr>
        <w:t>3</w:t>
      </w:r>
      <w:r>
        <w:rPr>
          <w:spacing w:val="35"/>
          <w:sz w:val="22"/>
        </w:rPr>
        <w:t> </w:t>
      </w:r>
      <w:r>
        <w:rPr>
          <w:sz w:val="22"/>
        </w:rPr>
        <w:t>de</w:t>
      </w:r>
    </w:p>
    <w:p>
      <w:pPr>
        <w:spacing w:after="0" w:line="240" w:lineRule="auto"/>
        <w:jc w:val="both"/>
        <w:rPr>
          <w:sz w:val="22"/>
        </w:rPr>
        <w:sectPr>
          <w:pgSz w:w="12240" w:h="15840"/>
          <w:pgMar w:header="0" w:footer="1021" w:top="1600" w:bottom="1220" w:left="720" w:right="360"/>
        </w:sectPr>
      </w:pPr>
    </w:p>
    <w:p>
      <w:pPr>
        <w:pStyle w:val="BodyText"/>
        <w:spacing w:before="76"/>
        <w:ind w:left="979" w:right="1351"/>
        <w:jc w:val="both"/>
      </w:pPr>
      <w:r>
        <w:rPr/>
        <w:t>diciembre de 2018, relativo a las remuneraciones de los servidores del Estado. Fecha de vigencia: 11/02/2019.</w:t>
      </w:r>
    </w:p>
    <w:p>
      <w:pPr>
        <w:spacing w:line="240" w:lineRule="auto" w:before="253"/>
        <w:ind w:left="979" w:right="1334" w:firstLine="0"/>
        <w:jc w:val="both"/>
        <w:rPr>
          <w:sz w:val="22"/>
        </w:rPr>
      </w:pPr>
      <w:r>
        <w:rPr>
          <w:b/>
          <w:sz w:val="22"/>
        </w:rPr>
        <w:t>Decreto N°36462-MP-MTSS. Reglamento a la Ley de Inclusión y Protección Laboral de</w:t>
      </w:r>
      <w:r>
        <w:rPr>
          <w:b/>
          <w:spacing w:val="-5"/>
          <w:sz w:val="22"/>
        </w:rPr>
        <w:t> </w:t>
      </w:r>
      <w:r>
        <w:rPr>
          <w:b/>
          <w:sz w:val="22"/>
        </w:rPr>
        <w:t>las</w:t>
      </w:r>
      <w:r>
        <w:rPr>
          <w:b/>
          <w:spacing w:val="-4"/>
          <w:sz w:val="22"/>
        </w:rPr>
        <w:t> </w:t>
      </w:r>
      <w:r>
        <w:rPr>
          <w:b/>
          <w:sz w:val="22"/>
        </w:rPr>
        <w:t>Personas</w:t>
      </w:r>
      <w:r>
        <w:rPr>
          <w:b/>
          <w:spacing w:val="-8"/>
          <w:sz w:val="22"/>
        </w:rPr>
        <w:t> </w:t>
      </w:r>
      <w:r>
        <w:rPr>
          <w:b/>
          <w:sz w:val="22"/>
        </w:rPr>
        <w:t>con</w:t>
      </w:r>
      <w:r>
        <w:rPr>
          <w:b/>
          <w:spacing w:val="-6"/>
          <w:sz w:val="22"/>
        </w:rPr>
        <w:t> </w:t>
      </w:r>
      <w:r>
        <w:rPr>
          <w:b/>
          <w:sz w:val="22"/>
        </w:rPr>
        <w:t>Discapacidad</w:t>
      </w:r>
      <w:r>
        <w:rPr>
          <w:b/>
          <w:spacing w:val="-10"/>
          <w:sz w:val="22"/>
        </w:rPr>
        <w:t> </w:t>
      </w:r>
      <w:r>
        <w:rPr>
          <w:b/>
          <w:sz w:val="22"/>
        </w:rPr>
        <w:t>en</w:t>
      </w:r>
      <w:r>
        <w:rPr>
          <w:b/>
          <w:spacing w:val="-6"/>
          <w:sz w:val="22"/>
        </w:rPr>
        <w:t> </w:t>
      </w:r>
      <w:r>
        <w:rPr>
          <w:b/>
          <w:sz w:val="22"/>
        </w:rPr>
        <w:t>el</w:t>
      </w:r>
      <w:r>
        <w:rPr>
          <w:b/>
          <w:spacing w:val="-5"/>
          <w:sz w:val="22"/>
        </w:rPr>
        <w:t> </w:t>
      </w:r>
      <w:r>
        <w:rPr>
          <w:b/>
          <w:sz w:val="22"/>
        </w:rPr>
        <w:t>Sector</w:t>
      </w:r>
      <w:r>
        <w:rPr>
          <w:b/>
          <w:spacing w:val="-10"/>
          <w:sz w:val="22"/>
        </w:rPr>
        <w:t> </w:t>
      </w:r>
      <w:r>
        <w:rPr>
          <w:b/>
          <w:sz w:val="22"/>
        </w:rPr>
        <w:t>Público</w:t>
      </w:r>
      <w:r>
        <w:rPr>
          <w:b/>
          <w:spacing w:val="-6"/>
          <w:sz w:val="22"/>
        </w:rPr>
        <w:t> </w:t>
      </w:r>
      <w:r>
        <w:rPr>
          <w:b/>
          <w:sz w:val="22"/>
        </w:rPr>
        <w:t>y</w:t>
      </w:r>
      <w:r>
        <w:rPr>
          <w:b/>
          <w:spacing w:val="-8"/>
          <w:sz w:val="22"/>
        </w:rPr>
        <w:t> </w:t>
      </w:r>
      <w:r>
        <w:rPr>
          <w:b/>
          <w:sz w:val="22"/>
        </w:rPr>
        <w:t>sus</w:t>
      </w:r>
      <w:r>
        <w:rPr>
          <w:b/>
          <w:spacing w:val="-4"/>
          <w:sz w:val="22"/>
        </w:rPr>
        <w:t> </w:t>
      </w:r>
      <w:r>
        <w:rPr>
          <w:b/>
          <w:sz w:val="22"/>
        </w:rPr>
        <w:t>reformas</w:t>
      </w:r>
      <w:r>
        <w:rPr>
          <w:sz w:val="22"/>
        </w:rPr>
        <w:t>.</w:t>
      </w:r>
      <w:r>
        <w:rPr>
          <w:spacing w:val="-5"/>
          <w:sz w:val="22"/>
        </w:rPr>
        <w:t> </w:t>
      </w:r>
      <w:r>
        <w:rPr>
          <w:sz w:val="22"/>
        </w:rPr>
        <w:t>Disposiciones de aplicación obligatoria para todo el sector público, que regulan los mecanismos para la efectiva aplicación de la Ley N° 8862, a fin de alcanzar la más plena inclusión de las personas con discapacidad en el ámbito laboral del sector público. Fecha de vigencia 21/03/2011, Fecha de vigencia 18/02/2019.</w:t>
      </w:r>
    </w:p>
    <w:p>
      <w:pPr>
        <w:pStyle w:val="BodyText"/>
        <w:spacing w:before="1"/>
      </w:pPr>
    </w:p>
    <w:p>
      <w:pPr>
        <w:spacing w:line="240" w:lineRule="auto" w:before="0"/>
        <w:ind w:left="979" w:right="1335" w:firstLine="0"/>
        <w:jc w:val="both"/>
        <w:rPr>
          <w:sz w:val="22"/>
        </w:rPr>
      </w:pPr>
      <w:r>
        <w:rPr>
          <w:b/>
          <w:sz w:val="22"/>
        </w:rPr>
        <w:t>Decreto N°41568-MTSS-MIDEPLAN-MAG-MDHIS Creación de la Mesa Caribe: Por el diálogo,</w:t>
      </w:r>
      <w:r>
        <w:rPr>
          <w:b/>
          <w:spacing w:val="-1"/>
          <w:sz w:val="22"/>
        </w:rPr>
        <w:t> </w:t>
      </w:r>
      <w:r>
        <w:rPr>
          <w:b/>
          <w:sz w:val="22"/>
        </w:rPr>
        <w:t>el desarrollo</w:t>
      </w:r>
      <w:r>
        <w:rPr>
          <w:b/>
          <w:spacing w:val="-2"/>
          <w:sz w:val="22"/>
        </w:rPr>
        <w:t> </w:t>
      </w:r>
      <w:r>
        <w:rPr>
          <w:b/>
          <w:sz w:val="22"/>
        </w:rPr>
        <w:t>económico y la inclusión social de la provincia de Limón </w:t>
      </w:r>
      <w:r>
        <w:rPr>
          <w:sz w:val="22"/>
        </w:rPr>
        <w:t>Crea la “Mesa Caribe: por</w:t>
      </w:r>
      <w:r>
        <w:rPr>
          <w:spacing w:val="-2"/>
          <w:sz w:val="22"/>
        </w:rPr>
        <w:t> </w:t>
      </w:r>
      <w:r>
        <w:rPr>
          <w:sz w:val="22"/>
        </w:rPr>
        <w:t>el diálogo, el</w:t>
      </w:r>
      <w:r>
        <w:rPr>
          <w:spacing w:val="-1"/>
          <w:sz w:val="22"/>
        </w:rPr>
        <w:t> </w:t>
      </w:r>
      <w:r>
        <w:rPr>
          <w:sz w:val="22"/>
        </w:rPr>
        <w:t>progreso económico y la inclusión social</w:t>
      </w:r>
      <w:r>
        <w:rPr>
          <w:spacing w:val="-1"/>
          <w:sz w:val="22"/>
        </w:rPr>
        <w:t> </w:t>
      </w:r>
      <w:r>
        <w:rPr>
          <w:sz w:val="22"/>
        </w:rPr>
        <w:t>de la provincia de Limón”. La Mesa Caribe tendrá como objetivo fungir como instancia multisectorial de diálogo</w:t>
      </w:r>
      <w:r>
        <w:rPr>
          <w:spacing w:val="-9"/>
          <w:sz w:val="22"/>
        </w:rPr>
        <w:t> </w:t>
      </w:r>
      <w:r>
        <w:rPr>
          <w:sz w:val="22"/>
        </w:rPr>
        <w:t>entre</w:t>
      </w:r>
      <w:r>
        <w:rPr>
          <w:spacing w:val="-4"/>
          <w:sz w:val="22"/>
        </w:rPr>
        <w:t> </w:t>
      </w:r>
      <w:r>
        <w:rPr>
          <w:sz w:val="22"/>
        </w:rPr>
        <w:t>el</w:t>
      </w:r>
      <w:r>
        <w:rPr>
          <w:spacing w:val="-7"/>
          <w:sz w:val="22"/>
        </w:rPr>
        <w:t> </w:t>
      </w:r>
      <w:r>
        <w:rPr>
          <w:sz w:val="22"/>
        </w:rPr>
        <w:t>Gobierno</w:t>
      </w:r>
      <w:r>
        <w:rPr>
          <w:spacing w:val="-9"/>
          <w:sz w:val="22"/>
        </w:rPr>
        <w:t> </w:t>
      </w:r>
      <w:r>
        <w:rPr>
          <w:sz w:val="22"/>
        </w:rPr>
        <w:t>de</w:t>
      </w:r>
      <w:r>
        <w:rPr>
          <w:spacing w:val="-4"/>
          <w:sz w:val="22"/>
        </w:rPr>
        <w:t> </w:t>
      </w:r>
      <w:r>
        <w:rPr>
          <w:sz w:val="22"/>
        </w:rPr>
        <w:t>la</w:t>
      </w:r>
      <w:r>
        <w:rPr>
          <w:spacing w:val="-4"/>
          <w:sz w:val="22"/>
        </w:rPr>
        <w:t> </w:t>
      </w:r>
      <w:r>
        <w:rPr>
          <w:sz w:val="22"/>
        </w:rPr>
        <w:t>República,</w:t>
      </w:r>
      <w:r>
        <w:rPr>
          <w:spacing w:val="-5"/>
          <w:sz w:val="22"/>
        </w:rPr>
        <w:t> </w:t>
      </w:r>
      <w:r>
        <w:rPr>
          <w:sz w:val="22"/>
        </w:rPr>
        <w:t>organizaciones</w:t>
      </w:r>
      <w:r>
        <w:rPr>
          <w:spacing w:val="-6"/>
          <w:sz w:val="22"/>
        </w:rPr>
        <w:t> </w:t>
      </w:r>
      <w:r>
        <w:rPr>
          <w:sz w:val="22"/>
        </w:rPr>
        <w:t>de</w:t>
      </w:r>
      <w:r>
        <w:rPr>
          <w:spacing w:val="-4"/>
          <w:sz w:val="22"/>
        </w:rPr>
        <w:t> </w:t>
      </w:r>
      <w:r>
        <w:rPr>
          <w:sz w:val="22"/>
        </w:rPr>
        <w:t>la</w:t>
      </w:r>
      <w:r>
        <w:rPr>
          <w:spacing w:val="-4"/>
          <w:sz w:val="22"/>
        </w:rPr>
        <w:t> </w:t>
      </w:r>
      <w:r>
        <w:rPr>
          <w:sz w:val="22"/>
        </w:rPr>
        <w:t>sociedad</w:t>
      </w:r>
      <w:r>
        <w:rPr>
          <w:spacing w:val="-4"/>
          <w:sz w:val="22"/>
        </w:rPr>
        <w:t> </w:t>
      </w:r>
      <w:r>
        <w:rPr>
          <w:sz w:val="22"/>
        </w:rPr>
        <w:t>civil</w:t>
      </w:r>
      <w:r>
        <w:rPr>
          <w:spacing w:val="-7"/>
          <w:sz w:val="22"/>
        </w:rPr>
        <w:t> </w:t>
      </w:r>
      <w:r>
        <w:rPr>
          <w:sz w:val="22"/>
        </w:rPr>
        <w:t>y</w:t>
      </w:r>
      <w:r>
        <w:rPr>
          <w:spacing w:val="-6"/>
          <w:sz w:val="22"/>
        </w:rPr>
        <w:t> </w:t>
      </w:r>
      <w:r>
        <w:rPr>
          <w:sz w:val="22"/>
        </w:rPr>
        <w:t>la</w:t>
      </w:r>
      <w:r>
        <w:rPr>
          <w:spacing w:val="-4"/>
          <w:sz w:val="22"/>
        </w:rPr>
        <w:t> </w:t>
      </w:r>
      <w:r>
        <w:rPr>
          <w:sz w:val="22"/>
        </w:rPr>
        <w:t>empresa privada, en aras de propiciar el desarrollo económico y la inclusión social mediante proyectos</w:t>
      </w:r>
      <w:r>
        <w:rPr>
          <w:spacing w:val="-5"/>
          <w:sz w:val="22"/>
        </w:rPr>
        <w:t> </w:t>
      </w:r>
      <w:r>
        <w:rPr>
          <w:sz w:val="22"/>
        </w:rPr>
        <w:t>e iniciativas</w:t>
      </w:r>
      <w:r>
        <w:rPr>
          <w:spacing w:val="-5"/>
          <w:sz w:val="22"/>
        </w:rPr>
        <w:t> </w:t>
      </w:r>
      <w:r>
        <w:rPr>
          <w:sz w:val="22"/>
        </w:rPr>
        <w:t>que se</w:t>
      </w:r>
      <w:r>
        <w:rPr>
          <w:spacing w:val="-3"/>
          <w:sz w:val="22"/>
        </w:rPr>
        <w:t> </w:t>
      </w:r>
      <w:r>
        <w:rPr>
          <w:sz w:val="22"/>
        </w:rPr>
        <w:t>encuentran en</w:t>
      </w:r>
      <w:r>
        <w:rPr>
          <w:spacing w:val="-3"/>
          <w:sz w:val="22"/>
        </w:rPr>
        <w:t> </w:t>
      </w:r>
      <w:r>
        <w:rPr>
          <w:sz w:val="22"/>
        </w:rPr>
        <w:t>marcha</w:t>
      </w:r>
      <w:r>
        <w:rPr>
          <w:spacing w:val="-3"/>
          <w:sz w:val="22"/>
        </w:rPr>
        <w:t> </w:t>
      </w:r>
      <w:r>
        <w:rPr>
          <w:sz w:val="22"/>
        </w:rPr>
        <w:t>en la región Huetar</w:t>
      </w:r>
      <w:r>
        <w:rPr>
          <w:spacing w:val="-2"/>
          <w:sz w:val="22"/>
        </w:rPr>
        <w:t> </w:t>
      </w:r>
      <w:r>
        <w:rPr>
          <w:sz w:val="22"/>
        </w:rPr>
        <w:t>Caribe. Fecha</w:t>
      </w:r>
      <w:r>
        <w:rPr>
          <w:spacing w:val="-3"/>
          <w:sz w:val="22"/>
        </w:rPr>
        <w:t> </w:t>
      </w:r>
      <w:r>
        <w:rPr>
          <w:sz w:val="22"/>
        </w:rPr>
        <w:t>de vigencia 25/02/2019.</w:t>
      </w:r>
    </w:p>
    <w:p>
      <w:pPr>
        <w:pStyle w:val="BodyText"/>
        <w:spacing w:before="252"/>
        <w:ind w:left="979" w:right="1334"/>
        <w:jc w:val="both"/>
      </w:pPr>
      <w:r>
        <w:rPr>
          <w:b/>
        </w:rPr>
        <w:t>Decreto Ejecutivo No. 37554-JP Reforma a los artículos 56, 57, 63, 71 y 72 </w:t>
      </w:r>
      <w:r>
        <w:rPr/>
        <w:t>del, del</w:t>
      </w:r>
      <w:r>
        <w:rPr>
          <w:spacing w:val="-1"/>
        </w:rPr>
        <w:t> </w:t>
      </w:r>
      <w:r>
        <w:rPr/>
        <w:t>30 de</w:t>
      </w:r>
      <w:r>
        <w:rPr>
          <w:spacing w:val="-14"/>
        </w:rPr>
        <w:t> </w:t>
      </w:r>
      <w:r>
        <w:rPr/>
        <w:t>octubre</w:t>
      </w:r>
      <w:r>
        <w:rPr>
          <w:spacing w:val="-14"/>
        </w:rPr>
        <w:t> </w:t>
      </w:r>
      <w:r>
        <w:rPr/>
        <w:t>de</w:t>
      </w:r>
      <w:r>
        <w:rPr>
          <w:spacing w:val="-9"/>
        </w:rPr>
        <w:t> </w:t>
      </w:r>
      <w:r>
        <w:rPr/>
        <w:t>2012,</w:t>
      </w:r>
      <w:r>
        <w:rPr>
          <w:spacing w:val="-15"/>
        </w:rPr>
        <w:t> </w:t>
      </w:r>
      <w:r>
        <w:rPr/>
        <w:t>denominado:</w:t>
      </w:r>
      <w:r>
        <w:rPr>
          <w:spacing w:val="-15"/>
        </w:rPr>
        <w:t> </w:t>
      </w:r>
      <w:r>
        <w:rPr/>
        <w:t>"Reglamento</w:t>
      </w:r>
      <w:r>
        <w:rPr>
          <w:spacing w:val="-14"/>
        </w:rPr>
        <w:t> </w:t>
      </w:r>
      <w:r>
        <w:rPr/>
        <w:t>a</w:t>
      </w:r>
      <w:r>
        <w:rPr>
          <w:spacing w:val="-9"/>
        </w:rPr>
        <w:t> </w:t>
      </w:r>
      <w:r>
        <w:rPr/>
        <w:t>la</w:t>
      </w:r>
      <w:r>
        <w:rPr>
          <w:spacing w:val="-9"/>
        </w:rPr>
        <w:t> </w:t>
      </w:r>
      <w:r>
        <w:rPr/>
        <w:t>Ley</w:t>
      </w:r>
      <w:r>
        <w:rPr>
          <w:spacing w:val="-16"/>
        </w:rPr>
        <w:t> </w:t>
      </w:r>
      <w:r>
        <w:rPr/>
        <w:t>de</w:t>
      </w:r>
      <w:r>
        <w:rPr>
          <w:spacing w:val="-13"/>
        </w:rPr>
        <w:t> </w:t>
      </w:r>
      <w:r>
        <w:rPr/>
        <w:t>Protección</w:t>
      </w:r>
      <w:r>
        <w:rPr>
          <w:spacing w:val="-14"/>
        </w:rPr>
        <w:t> </w:t>
      </w:r>
      <w:r>
        <w:rPr/>
        <w:t>de</w:t>
      </w:r>
      <w:r>
        <w:rPr>
          <w:spacing w:val="-9"/>
        </w:rPr>
        <w:t> </w:t>
      </w:r>
      <w:r>
        <w:rPr/>
        <w:t>la</w:t>
      </w:r>
      <w:r>
        <w:rPr>
          <w:spacing w:val="-9"/>
        </w:rPr>
        <w:t> </w:t>
      </w:r>
      <w:r>
        <w:rPr/>
        <w:t>Persona</w:t>
      </w:r>
      <w:r>
        <w:rPr>
          <w:spacing w:val="-9"/>
        </w:rPr>
        <w:t> </w:t>
      </w:r>
      <w:r>
        <w:rPr/>
        <w:t>Frente al Tratamiento de sus Datos Personales" Decreto N°41582-JP. Reforma artículos del Reglamento a la Ley de Protección de la Persona Frente al Tratamiento de sus Datos Personales, el cual es de aplicación institucional. Fecha de vigencia 04/03/2019.</w:t>
      </w:r>
    </w:p>
    <w:p>
      <w:pPr>
        <w:pStyle w:val="BodyText"/>
        <w:spacing w:before="4"/>
      </w:pPr>
    </w:p>
    <w:p>
      <w:pPr>
        <w:spacing w:line="240" w:lineRule="auto" w:before="0"/>
        <w:ind w:left="979" w:right="1337" w:firstLine="0"/>
        <w:jc w:val="both"/>
        <w:rPr>
          <w:sz w:val="22"/>
        </w:rPr>
      </w:pPr>
      <w:r>
        <w:rPr>
          <w:b/>
          <w:sz w:val="22"/>
        </w:rPr>
        <w:t>Decreto</w:t>
      </w:r>
      <w:r>
        <w:rPr>
          <w:b/>
          <w:spacing w:val="-8"/>
          <w:sz w:val="22"/>
        </w:rPr>
        <w:t> </w:t>
      </w:r>
      <w:r>
        <w:rPr>
          <w:b/>
          <w:sz w:val="22"/>
        </w:rPr>
        <w:t>Ejecutivo</w:t>
      </w:r>
      <w:r>
        <w:rPr>
          <w:b/>
          <w:spacing w:val="-12"/>
          <w:sz w:val="22"/>
        </w:rPr>
        <w:t> </w:t>
      </w:r>
      <w:r>
        <w:rPr>
          <w:b/>
          <w:sz w:val="22"/>
        </w:rPr>
        <w:t>Nº</w:t>
      </w:r>
      <w:r>
        <w:rPr>
          <w:b/>
          <w:spacing w:val="-11"/>
          <w:sz w:val="22"/>
        </w:rPr>
        <w:t> </w:t>
      </w:r>
      <w:r>
        <w:rPr>
          <w:b/>
          <w:sz w:val="22"/>
        </w:rPr>
        <w:t>38916-H</w:t>
      </w:r>
      <w:r>
        <w:rPr>
          <w:b/>
          <w:spacing w:val="-13"/>
          <w:sz w:val="22"/>
        </w:rPr>
        <w:t> </w:t>
      </w:r>
      <w:r>
        <w:rPr>
          <w:b/>
          <w:sz w:val="22"/>
        </w:rPr>
        <w:t>y</w:t>
      </w:r>
      <w:r>
        <w:rPr>
          <w:b/>
          <w:spacing w:val="-15"/>
          <w:sz w:val="22"/>
        </w:rPr>
        <w:t> </w:t>
      </w:r>
      <w:r>
        <w:rPr>
          <w:b/>
          <w:sz w:val="22"/>
        </w:rPr>
        <w:t>su</w:t>
      </w:r>
      <w:r>
        <w:rPr>
          <w:b/>
          <w:spacing w:val="-8"/>
          <w:sz w:val="22"/>
        </w:rPr>
        <w:t> </w:t>
      </w:r>
      <w:r>
        <w:rPr>
          <w:b/>
          <w:sz w:val="22"/>
        </w:rPr>
        <w:t>reforma</w:t>
      </w:r>
      <w:r>
        <w:rPr>
          <w:b/>
          <w:spacing w:val="-6"/>
          <w:sz w:val="22"/>
        </w:rPr>
        <w:t> </w:t>
      </w:r>
      <w:r>
        <w:rPr>
          <w:b/>
          <w:sz w:val="22"/>
        </w:rPr>
        <w:t>Decreto</w:t>
      </w:r>
      <w:r>
        <w:rPr>
          <w:b/>
          <w:spacing w:val="-12"/>
          <w:sz w:val="22"/>
        </w:rPr>
        <w:t> </w:t>
      </w:r>
      <w:r>
        <w:rPr>
          <w:b/>
          <w:sz w:val="22"/>
        </w:rPr>
        <w:t>41618-H,</w:t>
      </w:r>
      <w:r>
        <w:rPr>
          <w:b/>
          <w:spacing w:val="-6"/>
          <w:sz w:val="22"/>
        </w:rPr>
        <w:t> </w:t>
      </w:r>
      <w:r>
        <w:rPr>
          <w:b/>
          <w:sz w:val="22"/>
        </w:rPr>
        <w:t>Reforma</w:t>
      </w:r>
      <w:r>
        <w:rPr>
          <w:b/>
          <w:spacing w:val="-10"/>
          <w:sz w:val="22"/>
        </w:rPr>
        <w:t> </w:t>
      </w:r>
      <w:r>
        <w:rPr>
          <w:b/>
          <w:sz w:val="22"/>
        </w:rPr>
        <w:t>de</w:t>
      </w:r>
      <w:r>
        <w:rPr>
          <w:b/>
          <w:spacing w:val="-11"/>
          <w:sz w:val="22"/>
        </w:rPr>
        <w:t> </w:t>
      </w:r>
      <w:r>
        <w:rPr>
          <w:b/>
          <w:sz w:val="22"/>
        </w:rPr>
        <w:t>los</w:t>
      </w:r>
      <w:r>
        <w:rPr>
          <w:b/>
          <w:spacing w:val="-11"/>
          <w:sz w:val="22"/>
        </w:rPr>
        <w:t> </w:t>
      </w:r>
      <w:r>
        <w:rPr>
          <w:b/>
          <w:sz w:val="22"/>
        </w:rPr>
        <w:t>artículos 1, 3, 7 y 9 de los procedimientos de las directrices generales de política presupuestaria, </w:t>
      </w:r>
      <w:r>
        <w:rPr>
          <w:sz w:val="22"/>
        </w:rPr>
        <w:t>salarial, empleo, inversión y endeudamiento para entidades públicas, ministerios y órganos desconcentrados, según corresponda, cubiertos por el ámbito de la Autoridad Presupuestaria, Modifica los artículos 1, 3, 7 y 9 de los Procedimientos de las Directrices Generales de Política Presupuestaria, Salarial, Empleo, Inversión y Endeudamiento para Entidades Públicas, Ministerios y Órganos Desconcentrados, según corresponda, cubiertos</w:t>
      </w:r>
      <w:r>
        <w:rPr>
          <w:spacing w:val="-3"/>
          <w:sz w:val="22"/>
        </w:rPr>
        <w:t> </w:t>
      </w:r>
      <w:r>
        <w:rPr>
          <w:sz w:val="22"/>
        </w:rPr>
        <w:t>por el</w:t>
      </w:r>
      <w:r>
        <w:rPr>
          <w:spacing w:val="-3"/>
          <w:sz w:val="22"/>
        </w:rPr>
        <w:t> </w:t>
      </w:r>
      <w:r>
        <w:rPr>
          <w:sz w:val="22"/>
        </w:rPr>
        <w:t>ámbito</w:t>
      </w:r>
      <w:r>
        <w:rPr>
          <w:spacing w:val="-1"/>
          <w:sz w:val="22"/>
        </w:rPr>
        <w:t> </w:t>
      </w:r>
      <w:r>
        <w:rPr>
          <w:sz w:val="22"/>
        </w:rPr>
        <w:t>de la</w:t>
      </w:r>
      <w:r>
        <w:rPr>
          <w:spacing w:val="-1"/>
          <w:sz w:val="22"/>
        </w:rPr>
        <w:t> </w:t>
      </w:r>
      <w:r>
        <w:rPr>
          <w:sz w:val="22"/>
        </w:rPr>
        <w:t>Autoridad</w:t>
      </w:r>
      <w:r>
        <w:rPr>
          <w:spacing w:val="-1"/>
          <w:sz w:val="22"/>
        </w:rPr>
        <w:t> </w:t>
      </w:r>
      <w:r>
        <w:rPr>
          <w:sz w:val="22"/>
        </w:rPr>
        <w:t>Presupuestaria, Decreto</w:t>
      </w:r>
      <w:r>
        <w:rPr>
          <w:spacing w:val="-1"/>
          <w:sz w:val="22"/>
        </w:rPr>
        <w:t> </w:t>
      </w:r>
      <w:r>
        <w:rPr>
          <w:sz w:val="22"/>
        </w:rPr>
        <w:t>Ejecutivo</w:t>
      </w:r>
      <w:r>
        <w:rPr>
          <w:spacing w:val="-1"/>
          <w:sz w:val="22"/>
        </w:rPr>
        <w:t> </w:t>
      </w:r>
      <w:r>
        <w:rPr>
          <w:sz w:val="22"/>
        </w:rPr>
        <w:t>Nº 38916-H. Fecha de vigencia 28/03/2019.</w:t>
      </w:r>
    </w:p>
    <w:p>
      <w:pPr>
        <w:pStyle w:val="BodyText"/>
      </w:pPr>
    </w:p>
    <w:p>
      <w:pPr>
        <w:spacing w:line="240" w:lineRule="auto" w:before="0"/>
        <w:ind w:left="979" w:right="1338" w:firstLine="0"/>
        <w:jc w:val="both"/>
        <w:rPr>
          <w:sz w:val="22"/>
        </w:rPr>
      </w:pPr>
      <w:r>
        <w:rPr>
          <w:b/>
          <w:sz w:val="22"/>
        </w:rPr>
        <w:t>Reforma</w:t>
      </w:r>
      <w:r>
        <w:rPr>
          <w:b/>
          <w:spacing w:val="-8"/>
          <w:sz w:val="22"/>
        </w:rPr>
        <w:t> </w:t>
      </w:r>
      <w:r>
        <w:rPr>
          <w:b/>
          <w:sz w:val="22"/>
        </w:rPr>
        <w:t>a</w:t>
      </w:r>
      <w:r>
        <w:rPr>
          <w:b/>
          <w:spacing w:val="-9"/>
          <w:sz w:val="22"/>
        </w:rPr>
        <w:t> </w:t>
      </w:r>
      <w:r>
        <w:rPr>
          <w:b/>
          <w:sz w:val="22"/>
        </w:rPr>
        <w:t>la</w:t>
      </w:r>
      <w:r>
        <w:rPr>
          <w:b/>
          <w:spacing w:val="-9"/>
          <w:sz w:val="22"/>
        </w:rPr>
        <w:t> </w:t>
      </w:r>
      <w:r>
        <w:rPr>
          <w:b/>
          <w:sz w:val="22"/>
        </w:rPr>
        <w:t>adopción</w:t>
      </w:r>
      <w:r>
        <w:rPr>
          <w:b/>
          <w:spacing w:val="-11"/>
          <w:sz w:val="22"/>
        </w:rPr>
        <w:t> </w:t>
      </w:r>
      <w:r>
        <w:rPr>
          <w:b/>
          <w:sz w:val="22"/>
        </w:rPr>
        <w:t>e</w:t>
      </w:r>
      <w:r>
        <w:rPr>
          <w:b/>
          <w:spacing w:val="-9"/>
          <w:sz w:val="22"/>
        </w:rPr>
        <w:t> </w:t>
      </w:r>
      <w:r>
        <w:rPr>
          <w:b/>
          <w:sz w:val="22"/>
        </w:rPr>
        <w:t>implementación</w:t>
      </w:r>
      <w:r>
        <w:rPr>
          <w:b/>
          <w:spacing w:val="-11"/>
          <w:sz w:val="22"/>
        </w:rPr>
        <w:t> </w:t>
      </w:r>
      <w:r>
        <w:rPr>
          <w:b/>
          <w:sz w:val="22"/>
        </w:rPr>
        <w:t>de</w:t>
      </w:r>
      <w:r>
        <w:rPr>
          <w:b/>
          <w:spacing w:val="-9"/>
          <w:sz w:val="22"/>
        </w:rPr>
        <w:t> </w:t>
      </w:r>
      <w:r>
        <w:rPr>
          <w:b/>
          <w:sz w:val="22"/>
        </w:rPr>
        <w:t>la</w:t>
      </w:r>
      <w:r>
        <w:rPr>
          <w:b/>
          <w:spacing w:val="-9"/>
          <w:sz w:val="22"/>
        </w:rPr>
        <w:t> </w:t>
      </w:r>
      <w:r>
        <w:rPr>
          <w:b/>
          <w:sz w:val="22"/>
        </w:rPr>
        <w:t>normativa</w:t>
      </w:r>
      <w:r>
        <w:rPr>
          <w:b/>
          <w:spacing w:val="-9"/>
          <w:sz w:val="22"/>
        </w:rPr>
        <w:t> </w:t>
      </w:r>
      <w:r>
        <w:rPr>
          <w:b/>
          <w:sz w:val="22"/>
        </w:rPr>
        <w:t>contable</w:t>
      </w:r>
      <w:r>
        <w:rPr>
          <w:b/>
          <w:spacing w:val="-9"/>
          <w:sz w:val="22"/>
        </w:rPr>
        <w:t> </w:t>
      </w:r>
      <w:r>
        <w:rPr>
          <w:b/>
          <w:sz w:val="22"/>
        </w:rPr>
        <w:t>internacional</w:t>
      </w:r>
      <w:r>
        <w:rPr>
          <w:b/>
          <w:spacing w:val="-14"/>
          <w:sz w:val="22"/>
        </w:rPr>
        <w:t> </w:t>
      </w:r>
      <w:r>
        <w:rPr>
          <w:b/>
          <w:sz w:val="22"/>
        </w:rPr>
        <w:t>en</w:t>
      </w:r>
      <w:r>
        <w:rPr>
          <w:b/>
          <w:spacing w:val="-11"/>
          <w:sz w:val="22"/>
        </w:rPr>
        <w:t> </w:t>
      </w:r>
      <w:r>
        <w:rPr>
          <w:b/>
          <w:sz w:val="22"/>
        </w:rPr>
        <w:t>el sector público costarricense </w:t>
      </w:r>
      <w:r>
        <w:rPr>
          <w:sz w:val="22"/>
        </w:rPr>
        <w:t>39665-MH fecha de vigencia 23/06/2016, Reforma los artículos 3° y 7° del Decreto N° 34918-H, el artículo fecha de vigencia 25/04/20195° del Decreto N° 35616- H y el artículo 6° del Decreto N° 34460- H. Además, establece lineamientos varios para las instituciones públicas. Fecha de vigencia 25/04/2019</w:t>
      </w:r>
    </w:p>
    <w:p>
      <w:pPr>
        <w:pStyle w:val="BodyText"/>
      </w:pPr>
    </w:p>
    <w:p>
      <w:pPr>
        <w:spacing w:line="240" w:lineRule="auto" w:before="0"/>
        <w:ind w:left="979" w:right="1341" w:firstLine="0"/>
        <w:jc w:val="both"/>
        <w:rPr>
          <w:sz w:val="22"/>
        </w:rPr>
      </w:pPr>
      <w:r>
        <w:rPr>
          <w:b/>
          <w:sz w:val="22"/>
        </w:rPr>
        <w:t>Decreto N°41580-MJ-MINAE-MOPT Reglamento de Distintivos para Vehículos Eléctricos.</w:t>
      </w:r>
      <w:r>
        <w:rPr>
          <w:b/>
          <w:spacing w:val="-4"/>
          <w:sz w:val="22"/>
        </w:rPr>
        <w:t> </w:t>
      </w:r>
      <w:r>
        <w:rPr>
          <w:sz w:val="22"/>
        </w:rPr>
        <w:t>Regula</w:t>
      </w:r>
      <w:r>
        <w:rPr>
          <w:spacing w:val="-5"/>
          <w:sz w:val="22"/>
        </w:rPr>
        <w:t> </w:t>
      </w:r>
      <w:r>
        <w:rPr>
          <w:sz w:val="22"/>
        </w:rPr>
        <w:t>la</w:t>
      </w:r>
      <w:r>
        <w:rPr>
          <w:spacing w:val="-5"/>
          <w:sz w:val="22"/>
        </w:rPr>
        <w:t> </w:t>
      </w:r>
      <w:r>
        <w:rPr>
          <w:sz w:val="22"/>
        </w:rPr>
        <w:t>emisión</w:t>
      </w:r>
      <w:r>
        <w:rPr>
          <w:spacing w:val="-10"/>
          <w:sz w:val="22"/>
        </w:rPr>
        <w:t> </w:t>
      </w:r>
      <w:r>
        <w:rPr>
          <w:sz w:val="22"/>
        </w:rPr>
        <w:t>del</w:t>
      </w:r>
      <w:r>
        <w:rPr>
          <w:spacing w:val="-13"/>
          <w:sz w:val="22"/>
        </w:rPr>
        <w:t> </w:t>
      </w:r>
      <w:r>
        <w:rPr>
          <w:sz w:val="22"/>
        </w:rPr>
        <w:t>distintivo</w:t>
      </w:r>
      <w:r>
        <w:rPr>
          <w:spacing w:val="-10"/>
          <w:sz w:val="22"/>
        </w:rPr>
        <w:t> </w:t>
      </w:r>
      <w:r>
        <w:rPr>
          <w:sz w:val="22"/>
        </w:rPr>
        <w:t>para</w:t>
      </w:r>
      <w:r>
        <w:rPr>
          <w:spacing w:val="-5"/>
          <w:sz w:val="22"/>
        </w:rPr>
        <w:t> </w:t>
      </w:r>
      <w:r>
        <w:rPr>
          <w:sz w:val="22"/>
        </w:rPr>
        <w:t>la</w:t>
      </w:r>
      <w:r>
        <w:rPr>
          <w:spacing w:val="-10"/>
          <w:sz w:val="22"/>
        </w:rPr>
        <w:t> </w:t>
      </w:r>
      <w:r>
        <w:rPr>
          <w:sz w:val="22"/>
        </w:rPr>
        <w:t>identificación</w:t>
      </w:r>
      <w:r>
        <w:rPr>
          <w:spacing w:val="-10"/>
          <w:sz w:val="22"/>
        </w:rPr>
        <w:t> </w:t>
      </w:r>
      <w:r>
        <w:rPr>
          <w:sz w:val="22"/>
        </w:rPr>
        <w:t>de</w:t>
      </w:r>
      <w:r>
        <w:rPr>
          <w:spacing w:val="-10"/>
          <w:sz w:val="22"/>
        </w:rPr>
        <w:t> </w:t>
      </w:r>
      <w:r>
        <w:rPr>
          <w:sz w:val="22"/>
        </w:rPr>
        <w:t>los</w:t>
      </w:r>
      <w:r>
        <w:rPr>
          <w:spacing w:val="-7"/>
          <w:sz w:val="22"/>
        </w:rPr>
        <w:t> </w:t>
      </w:r>
      <w:r>
        <w:rPr>
          <w:sz w:val="22"/>
        </w:rPr>
        <w:t>vehículos</w:t>
      </w:r>
      <w:r>
        <w:rPr>
          <w:spacing w:val="-7"/>
          <w:sz w:val="22"/>
        </w:rPr>
        <w:t> </w:t>
      </w:r>
      <w:r>
        <w:rPr>
          <w:sz w:val="22"/>
        </w:rPr>
        <w:t>eléctricos o con tecnologías cero emisiones a los que hace referencia la Ley de Incentivos y Promoción</w:t>
      </w:r>
      <w:r>
        <w:rPr>
          <w:spacing w:val="-10"/>
          <w:sz w:val="22"/>
        </w:rPr>
        <w:t> </w:t>
      </w:r>
      <w:r>
        <w:rPr>
          <w:sz w:val="22"/>
        </w:rPr>
        <w:t>para</w:t>
      </w:r>
      <w:r>
        <w:rPr>
          <w:spacing w:val="-10"/>
          <w:sz w:val="22"/>
        </w:rPr>
        <w:t> </w:t>
      </w:r>
      <w:r>
        <w:rPr>
          <w:sz w:val="22"/>
        </w:rPr>
        <w:t>el</w:t>
      </w:r>
      <w:r>
        <w:rPr>
          <w:spacing w:val="-8"/>
          <w:sz w:val="22"/>
        </w:rPr>
        <w:t> </w:t>
      </w:r>
      <w:r>
        <w:rPr>
          <w:sz w:val="22"/>
        </w:rPr>
        <w:t>Transporte</w:t>
      </w:r>
      <w:r>
        <w:rPr>
          <w:spacing w:val="-10"/>
          <w:sz w:val="22"/>
        </w:rPr>
        <w:t> </w:t>
      </w:r>
      <w:r>
        <w:rPr>
          <w:sz w:val="22"/>
        </w:rPr>
        <w:t>Eléctrico,</w:t>
      </w:r>
      <w:r>
        <w:rPr>
          <w:spacing w:val="-6"/>
          <w:sz w:val="22"/>
        </w:rPr>
        <w:t> </w:t>
      </w:r>
      <w:r>
        <w:rPr>
          <w:sz w:val="22"/>
        </w:rPr>
        <w:t>Ley</w:t>
      </w:r>
      <w:r>
        <w:rPr>
          <w:spacing w:val="-7"/>
          <w:sz w:val="22"/>
        </w:rPr>
        <w:t> </w:t>
      </w:r>
      <w:r>
        <w:rPr>
          <w:sz w:val="22"/>
        </w:rPr>
        <w:t>número</w:t>
      </w:r>
      <w:r>
        <w:rPr>
          <w:spacing w:val="-5"/>
          <w:sz w:val="22"/>
        </w:rPr>
        <w:t> </w:t>
      </w:r>
      <w:r>
        <w:rPr>
          <w:sz w:val="22"/>
        </w:rPr>
        <w:t>9518,</w:t>
      </w:r>
      <w:r>
        <w:rPr>
          <w:spacing w:val="-6"/>
          <w:sz w:val="22"/>
        </w:rPr>
        <w:t> </w:t>
      </w:r>
      <w:r>
        <w:rPr>
          <w:sz w:val="22"/>
        </w:rPr>
        <w:t>del</w:t>
      </w:r>
      <w:r>
        <w:rPr>
          <w:spacing w:val="-8"/>
          <w:sz w:val="22"/>
        </w:rPr>
        <w:t> </w:t>
      </w:r>
      <w:r>
        <w:rPr>
          <w:sz w:val="22"/>
        </w:rPr>
        <w:t>25</w:t>
      </w:r>
      <w:r>
        <w:rPr>
          <w:spacing w:val="-5"/>
          <w:sz w:val="22"/>
        </w:rPr>
        <w:t> </w:t>
      </w:r>
      <w:r>
        <w:rPr>
          <w:sz w:val="22"/>
        </w:rPr>
        <w:t>de</w:t>
      </w:r>
      <w:r>
        <w:rPr>
          <w:spacing w:val="-5"/>
          <w:sz w:val="22"/>
        </w:rPr>
        <w:t> </w:t>
      </w:r>
      <w:r>
        <w:rPr>
          <w:sz w:val="22"/>
        </w:rPr>
        <w:t>enero</w:t>
      </w:r>
      <w:r>
        <w:rPr>
          <w:spacing w:val="-5"/>
          <w:sz w:val="22"/>
        </w:rPr>
        <w:t> </w:t>
      </w:r>
      <w:r>
        <w:rPr>
          <w:sz w:val="22"/>
        </w:rPr>
        <w:t>de</w:t>
      </w:r>
      <w:r>
        <w:rPr>
          <w:spacing w:val="-5"/>
          <w:sz w:val="22"/>
        </w:rPr>
        <w:t> </w:t>
      </w:r>
      <w:r>
        <w:rPr>
          <w:sz w:val="22"/>
        </w:rPr>
        <w:t>2018.</w:t>
      </w:r>
      <w:r>
        <w:rPr>
          <w:spacing w:val="-6"/>
          <w:sz w:val="22"/>
        </w:rPr>
        <w:t> </w:t>
      </w:r>
      <w:r>
        <w:rPr>
          <w:sz w:val="22"/>
        </w:rPr>
        <w:t>Fecha de vigencia 21/05/2019.</w:t>
      </w:r>
    </w:p>
    <w:p>
      <w:pPr>
        <w:spacing w:line="240" w:lineRule="auto" w:before="252"/>
        <w:ind w:left="979" w:right="1334" w:firstLine="0"/>
        <w:jc w:val="both"/>
        <w:rPr>
          <w:sz w:val="22"/>
        </w:rPr>
      </w:pPr>
      <w:r>
        <w:rPr>
          <w:b/>
          <w:sz w:val="22"/>
        </w:rPr>
        <w:t>Reforma a los artículos 14, 17 y 22 del Decreto Ejecutivo Nº 41564-MIDEPLAN-H, </w:t>
      </w:r>
      <w:r>
        <w:rPr>
          <w:sz w:val="22"/>
        </w:rPr>
        <w:t>Reglamento del Título III de la Ley de Fortalecimiento de las Finanzas Públicas, Ley N° 9635</w:t>
      </w:r>
      <w:r>
        <w:rPr>
          <w:spacing w:val="-3"/>
          <w:sz w:val="22"/>
        </w:rPr>
        <w:t> </w:t>
      </w:r>
      <w:r>
        <w:rPr>
          <w:sz w:val="22"/>
        </w:rPr>
        <w:t>del</w:t>
      </w:r>
      <w:r>
        <w:rPr>
          <w:spacing w:val="-6"/>
          <w:sz w:val="22"/>
        </w:rPr>
        <w:t> </w:t>
      </w:r>
      <w:r>
        <w:rPr>
          <w:sz w:val="22"/>
        </w:rPr>
        <w:t>3</w:t>
      </w:r>
      <w:r>
        <w:rPr>
          <w:spacing w:val="-8"/>
          <w:sz w:val="22"/>
        </w:rPr>
        <w:t> </w:t>
      </w:r>
      <w:r>
        <w:rPr>
          <w:sz w:val="22"/>
        </w:rPr>
        <w:t>de</w:t>
      </w:r>
      <w:r>
        <w:rPr>
          <w:spacing w:val="-8"/>
          <w:sz w:val="22"/>
        </w:rPr>
        <w:t> </w:t>
      </w:r>
      <w:r>
        <w:rPr>
          <w:sz w:val="22"/>
        </w:rPr>
        <w:t>diciembre</w:t>
      </w:r>
      <w:r>
        <w:rPr>
          <w:spacing w:val="-8"/>
          <w:sz w:val="22"/>
        </w:rPr>
        <w:t> </w:t>
      </w:r>
      <w:r>
        <w:rPr>
          <w:sz w:val="22"/>
        </w:rPr>
        <w:t>de</w:t>
      </w:r>
      <w:r>
        <w:rPr>
          <w:spacing w:val="-8"/>
          <w:sz w:val="22"/>
        </w:rPr>
        <w:t> </w:t>
      </w:r>
      <w:r>
        <w:rPr>
          <w:sz w:val="22"/>
        </w:rPr>
        <w:t>2018,</w:t>
      </w:r>
      <w:r>
        <w:rPr>
          <w:spacing w:val="-4"/>
          <w:sz w:val="22"/>
        </w:rPr>
        <w:t> </w:t>
      </w:r>
      <w:r>
        <w:rPr>
          <w:sz w:val="22"/>
        </w:rPr>
        <w:t>referente</w:t>
      </w:r>
      <w:r>
        <w:rPr>
          <w:spacing w:val="-8"/>
          <w:sz w:val="22"/>
        </w:rPr>
        <w:t> </w:t>
      </w:r>
      <w:r>
        <w:rPr>
          <w:sz w:val="22"/>
        </w:rPr>
        <w:t>al</w:t>
      </w:r>
      <w:r>
        <w:rPr>
          <w:spacing w:val="-6"/>
          <w:sz w:val="22"/>
        </w:rPr>
        <w:t> </w:t>
      </w:r>
      <w:r>
        <w:rPr>
          <w:sz w:val="22"/>
        </w:rPr>
        <w:t>empleo</w:t>
      </w:r>
      <w:r>
        <w:rPr>
          <w:spacing w:val="-3"/>
          <w:sz w:val="22"/>
        </w:rPr>
        <w:t> </w:t>
      </w:r>
      <w:r>
        <w:rPr>
          <w:sz w:val="22"/>
        </w:rPr>
        <w:t>público</w:t>
      </w:r>
      <w:r>
        <w:rPr>
          <w:spacing w:val="-3"/>
          <w:sz w:val="22"/>
        </w:rPr>
        <w:t> </w:t>
      </w:r>
      <w:r>
        <w:rPr>
          <w:sz w:val="22"/>
        </w:rPr>
        <w:t>41729-MIDEPLAN-H.</w:t>
      </w:r>
      <w:r>
        <w:rPr>
          <w:spacing w:val="40"/>
          <w:sz w:val="22"/>
        </w:rPr>
        <w:t> </w:t>
      </w:r>
      <w:r>
        <w:rPr>
          <w:sz w:val="22"/>
        </w:rPr>
        <w:t>Fecha de vigencia 22/05/2019.</w:t>
      </w:r>
    </w:p>
    <w:p>
      <w:pPr>
        <w:spacing w:after="0" w:line="240" w:lineRule="auto"/>
        <w:jc w:val="both"/>
        <w:rPr>
          <w:sz w:val="22"/>
        </w:rPr>
        <w:sectPr>
          <w:pgSz w:w="12240" w:h="15840"/>
          <w:pgMar w:header="0" w:footer="1021" w:top="1340" w:bottom="1220" w:left="720" w:right="360"/>
        </w:sectPr>
      </w:pPr>
    </w:p>
    <w:p>
      <w:pPr>
        <w:spacing w:line="240" w:lineRule="auto" w:before="71"/>
        <w:ind w:left="979" w:right="1338" w:firstLine="0"/>
        <w:jc w:val="both"/>
        <w:rPr>
          <w:sz w:val="22"/>
        </w:rPr>
      </w:pPr>
      <w:r>
        <w:rPr>
          <w:b/>
          <w:sz w:val="22"/>
        </w:rPr>
        <w:t>Decreto N°41776 MTSS-MEP-MIDEPLAN-MDHIS-MCM- MCSP Creación del Sistema Nacional</w:t>
      </w:r>
      <w:r>
        <w:rPr>
          <w:b/>
          <w:spacing w:val="-5"/>
          <w:sz w:val="22"/>
        </w:rPr>
        <w:t> </w:t>
      </w:r>
      <w:r>
        <w:rPr>
          <w:b/>
          <w:sz w:val="22"/>
        </w:rPr>
        <w:t>de</w:t>
      </w:r>
      <w:r>
        <w:rPr>
          <w:b/>
          <w:spacing w:val="-10"/>
          <w:sz w:val="22"/>
        </w:rPr>
        <w:t> </w:t>
      </w:r>
      <w:r>
        <w:rPr>
          <w:b/>
          <w:sz w:val="22"/>
        </w:rPr>
        <w:t>Empleo.</w:t>
      </w:r>
      <w:r>
        <w:rPr>
          <w:b/>
          <w:spacing w:val="-3"/>
          <w:sz w:val="22"/>
        </w:rPr>
        <w:t> </w:t>
      </w:r>
      <w:r>
        <w:rPr>
          <w:sz w:val="22"/>
        </w:rPr>
        <w:t>Tiene</w:t>
      </w:r>
      <w:r>
        <w:rPr>
          <w:spacing w:val="-4"/>
          <w:sz w:val="22"/>
        </w:rPr>
        <w:t> </w:t>
      </w:r>
      <w:r>
        <w:rPr>
          <w:sz w:val="22"/>
        </w:rPr>
        <w:t>como</w:t>
      </w:r>
      <w:r>
        <w:rPr>
          <w:spacing w:val="-9"/>
          <w:sz w:val="22"/>
        </w:rPr>
        <w:t> </w:t>
      </w:r>
      <w:r>
        <w:rPr>
          <w:sz w:val="22"/>
        </w:rPr>
        <w:t>objetivo</w:t>
      </w:r>
      <w:r>
        <w:rPr>
          <w:spacing w:val="-9"/>
          <w:sz w:val="22"/>
        </w:rPr>
        <w:t> </w:t>
      </w:r>
      <w:r>
        <w:rPr>
          <w:sz w:val="22"/>
        </w:rPr>
        <w:t>de</w:t>
      </w:r>
      <w:r>
        <w:rPr>
          <w:spacing w:val="-9"/>
          <w:sz w:val="22"/>
        </w:rPr>
        <w:t> </w:t>
      </w:r>
      <w:r>
        <w:rPr>
          <w:sz w:val="22"/>
        </w:rPr>
        <w:t>definir</w:t>
      </w:r>
      <w:r>
        <w:rPr>
          <w:spacing w:val="-8"/>
          <w:sz w:val="22"/>
        </w:rPr>
        <w:t> </w:t>
      </w:r>
      <w:r>
        <w:rPr>
          <w:sz w:val="22"/>
        </w:rPr>
        <w:t>el</w:t>
      </w:r>
      <w:r>
        <w:rPr>
          <w:spacing w:val="-7"/>
          <w:sz w:val="22"/>
        </w:rPr>
        <w:t> </w:t>
      </w:r>
      <w:r>
        <w:rPr>
          <w:sz w:val="22"/>
        </w:rPr>
        <w:t>ordenamiento,</w:t>
      </w:r>
      <w:r>
        <w:rPr>
          <w:spacing w:val="-5"/>
          <w:sz w:val="22"/>
        </w:rPr>
        <w:t> </w:t>
      </w:r>
      <w:r>
        <w:rPr>
          <w:sz w:val="22"/>
        </w:rPr>
        <w:t>lógica</w:t>
      </w:r>
      <w:r>
        <w:rPr>
          <w:spacing w:val="-4"/>
          <w:sz w:val="22"/>
        </w:rPr>
        <w:t> </w:t>
      </w:r>
      <w:r>
        <w:rPr>
          <w:sz w:val="22"/>
        </w:rPr>
        <w:t>y</w:t>
      </w:r>
      <w:r>
        <w:rPr>
          <w:spacing w:val="-6"/>
          <w:sz w:val="22"/>
        </w:rPr>
        <w:t> </w:t>
      </w:r>
      <w:r>
        <w:rPr>
          <w:sz w:val="22"/>
        </w:rPr>
        <w:t>gobernanza que deben tener los servicios de empleo. La persona que funja como presidenta ejecutiva del IMAS, formará parte del Consejo de Empleo. Fecha de vigencia 19/06/2019.</w:t>
      </w:r>
    </w:p>
    <w:p>
      <w:pPr>
        <w:spacing w:line="240" w:lineRule="auto" w:before="251"/>
        <w:ind w:left="979" w:right="1339" w:firstLine="0"/>
        <w:jc w:val="both"/>
        <w:rPr>
          <w:sz w:val="22"/>
        </w:rPr>
      </w:pPr>
      <w:r>
        <w:rPr>
          <w:b/>
          <w:sz w:val="22"/>
        </w:rPr>
        <w:t>Decreto N°41795-MP-MEIC. Agilización de los trámites en las entidades públicas, mediante</w:t>
      </w:r>
      <w:r>
        <w:rPr>
          <w:b/>
          <w:spacing w:val="-11"/>
          <w:sz w:val="22"/>
        </w:rPr>
        <w:t> </w:t>
      </w:r>
      <w:r>
        <w:rPr>
          <w:b/>
          <w:sz w:val="22"/>
        </w:rPr>
        <w:t>el</w:t>
      </w:r>
      <w:r>
        <w:rPr>
          <w:b/>
          <w:spacing w:val="-10"/>
          <w:sz w:val="22"/>
        </w:rPr>
        <w:t> </w:t>
      </w:r>
      <w:r>
        <w:rPr>
          <w:b/>
          <w:sz w:val="22"/>
        </w:rPr>
        <w:t>uso</w:t>
      </w:r>
      <w:r>
        <w:rPr>
          <w:b/>
          <w:spacing w:val="-11"/>
          <w:sz w:val="22"/>
        </w:rPr>
        <w:t> </w:t>
      </w:r>
      <w:r>
        <w:rPr>
          <w:b/>
          <w:sz w:val="22"/>
        </w:rPr>
        <w:t>de</w:t>
      </w:r>
      <w:r>
        <w:rPr>
          <w:b/>
          <w:spacing w:val="-14"/>
          <w:sz w:val="22"/>
        </w:rPr>
        <w:t> </w:t>
      </w:r>
      <w:r>
        <w:rPr>
          <w:b/>
          <w:sz w:val="22"/>
        </w:rPr>
        <w:t>la</w:t>
      </w:r>
      <w:r>
        <w:rPr>
          <w:b/>
          <w:spacing w:val="-9"/>
          <w:sz w:val="22"/>
        </w:rPr>
        <w:t> </w:t>
      </w:r>
      <w:r>
        <w:rPr>
          <w:b/>
          <w:sz w:val="22"/>
        </w:rPr>
        <w:t>declaración</w:t>
      </w:r>
      <w:r>
        <w:rPr>
          <w:b/>
          <w:spacing w:val="-16"/>
          <w:sz w:val="22"/>
        </w:rPr>
        <w:t> </w:t>
      </w:r>
      <w:r>
        <w:rPr>
          <w:b/>
          <w:sz w:val="22"/>
        </w:rPr>
        <w:t>jurada.</w:t>
      </w:r>
      <w:r>
        <w:rPr>
          <w:b/>
          <w:spacing w:val="-4"/>
          <w:sz w:val="22"/>
        </w:rPr>
        <w:t> </w:t>
      </w:r>
      <w:r>
        <w:rPr>
          <w:sz w:val="22"/>
        </w:rPr>
        <w:t>Impulsa</w:t>
      </w:r>
      <w:r>
        <w:rPr>
          <w:spacing w:val="-9"/>
          <w:sz w:val="22"/>
        </w:rPr>
        <w:t> </w:t>
      </w:r>
      <w:r>
        <w:rPr>
          <w:sz w:val="22"/>
        </w:rPr>
        <w:t>en</w:t>
      </w:r>
      <w:r>
        <w:rPr>
          <w:spacing w:val="-9"/>
          <w:sz w:val="22"/>
        </w:rPr>
        <w:t> </w:t>
      </w:r>
      <w:r>
        <w:rPr>
          <w:sz w:val="22"/>
        </w:rPr>
        <w:t>la</w:t>
      </w:r>
      <w:r>
        <w:rPr>
          <w:spacing w:val="-9"/>
          <w:sz w:val="22"/>
        </w:rPr>
        <w:t> </w:t>
      </w:r>
      <w:r>
        <w:rPr>
          <w:sz w:val="22"/>
        </w:rPr>
        <w:t>Administración</w:t>
      </w:r>
      <w:r>
        <w:rPr>
          <w:spacing w:val="-14"/>
          <w:sz w:val="22"/>
        </w:rPr>
        <w:t> </w:t>
      </w:r>
      <w:r>
        <w:rPr>
          <w:sz w:val="22"/>
        </w:rPr>
        <w:t>Pública</w:t>
      </w:r>
      <w:r>
        <w:rPr>
          <w:spacing w:val="-9"/>
          <w:sz w:val="22"/>
        </w:rPr>
        <w:t> </w:t>
      </w:r>
      <w:r>
        <w:rPr>
          <w:sz w:val="22"/>
        </w:rPr>
        <w:t>el</w:t>
      </w:r>
      <w:r>
        <w:rPr>
          <w:spacing w:val="-16"/>
          <w:sz w:val="22"/>
        </w:rPr>
        <w:t> </w:t>
      </w:r>
      <w:r>
        <w:rPr>
          <w:sz w:val="22"/>
        </w:rPr>
        <w:t>uso</w:t>
      </w:r>
      <w:r>
        <w:rPr>
          <w:spacing w:val="-13"/>
          <w:sz w:val="22"/>
        </w:rPr>
        <w:t> </w:t>
      </w:r>
      <w:r>
        <w:rPr>
          <w:sz w:val="22"/>
        </w:rPr>
        <w:t>del instrumento</w:t>
      </w:r>
      <w:r>
        <w:rPr>
          <w:spacing w:val="-6"/>
          <w:sz w:val="22"/>
        </w:rPr>
        <w:t> </w:t>
      </w:r>
      <w:r>
        <w:rPr>
          <w:sz w:val="22"/>
        </w:rPr>
        <w:t>jurídico</w:t>
      </w:r>
      <w:r>
        <w:rPr>
          <w:spacing w:val="-11"/>
          <w:sz w:val="22"/>
        </w:rPr>
        <w:t> </w:t>
      </w:r>
      <w:r>
        <w:rPr>
          <w:sz w:val="22"/>
        </w:rPr>
        <w:t>denominado</w:t>
      </w:r>
      <w:r>
        <w:rPr>
          <w:spacing w:val="-11"/>
          <w:sz w:val="22"/>
        </w:rPr>
        <w:t> </w:t>
      </w:r>
      <w:r>
        <w:rPr>
          <w:sz w:val="22"/>
        </w:rPr>
        <w:t>“declaración</w:t>
      </w:r>
      <w:r>
        <w:rPr>
          <w:spacing w:val="-6"/>
          <w:sz w:val="22"/>
        </w:rPr>
        <w:t> </w:t>
      </w:r>
      <w:r>
        <w:rPr>
          <w:sz w:val="22"/>
        </w:rPr>
        <w:t>jurada”,</w:t>
      </w:r>
      <w:r>
        <w:rPr>
          <w:spacing w:val="-7"/>
          <w:sz w:val="22"/>
        </w:rPr>
        <w:t> </w:t>
      </w:r>
      <w:r>
        <w:rPr>
          <w:sz w:val="22"/>
        </w:rPr>
        <w:t>con</w:t>
      </w:r>
      <w:r>
        <w:rPr>
          <w:spacing w:val="-6"/>
          <w:sz w:val="22"/>
        </w:rPr>
        <w:t> </w:t>
      </w:r>
      <w:r>
        <w:rPr>
          <w:sz w:val="22"/>
        </w:rPr>
        <w:t>la</w:t>
      </w:r>
      <w:r>
        <w:rPr>
          <w:spacing w:val="-11"/>
          <w:sz w:val="22"/>
        </w:rPr>
        <w:t> </w:t>
      </w:r>
      <w:r>
        <w:rPr>
          <w:sz w:val="22"/>
        </w:rPr>
        <w:t>finalidad</w:t>
      </w:r>
      <w:r>
        <w:rPr>
          <w:spacing w:val="-11"/>
          <w:sz w:val="22"/>
        </w:rPr>
        <w:t> </w:t>
      </w:r>
      <w:r>
        <w:rPr>
          <w:sz w:val="22"/>
        </w:rPr>
        <w:t>de</w:t>
      </w:r>
      <w:r>
        <w:rPr>
          <w:spacing w:val="-11"/>
          <w:sz w:val="22"/>
        </w:rPr>
        <w:t> </w:t>
      </w:r>
      <w:r>
        <w:rPr>
          <w:sz w:val="22"/>
        </w:rPr>
        <w:t>generar</w:t>
      </w:r>
      <w:r>
        <w:rPr>
          <w:spacing w:val="-14"/>
          <w:sz w:val="22"/>
        </w:rPr>
        <w:t> </w:t>
      </w:r>
      <w:r>
        <w:rPr>
          <w:sz w:val="22"/>
        </w:rPr>
        <w:t>eficiencia en los</w:t>
      </w:r>
      <w:r>
        <w:rPr>
          <w:spacing w:val="-1"/>
          <w:sz w:val="22"/>
        </w:rPr>
        <w:t> </w:t>
      </w:r>
      <w:r>
        <w:rPr>
          <w:sz w:val="22"/>
        </w:rPr>
        <w:t>requisitos,</w:t>
      </w:r>
      <w:r>
        <w:rPr>
          <w:spacing w:val="-5"/>
          <w:sz w:val="22"/>
        </w:rPr>
        <w:t> </w:t>
      </w:r>
      <w:r>
        <w:rPr>
          <w:sz w:val="22"/>
        </w:rPr>
        <w:t>trámites</w:t>
      </w:r>
      <w:r>
        <w:rPr>
          <w:spacing w:val="-1"/>
          <w:sz w:val="22"/>
        </w:rPr>
        <w:t> </w:t>
      </w:r>
      <w:r>
        <w:rPr>
          <w:sz w:val="22"/>
        </w:rPr>
        <w:t>y</w:t>
      </w:r>
      <w:r>
        <w:rPr>
          <w:spacing w:val="-5"/>
          <w:sz w:val="22"/>
        </w:rPr>
        <w:t> </w:t>
      </w:r>
      <w:r>
        <w:rPr>
          <w:sz w:val="22"/>
        </w:rPr>
        <w:t>procedimientos</w:t>
      </w:r>
      <w:r>
        <w:rPr>
          <w:spacing w:val="-5"/>
          <w:sz w:val="22"/>
        </w:rPr>
        <w:t> </w:t>
      </w:r>
      <w:r>
        <w:rPr>
          <w:sz w:val="22"/>
        </w:rPr>
        <w:t>que los</w:t>
      </w:r>
      <w:r>
        <w:rPr>
          <w:spacing w:val="-1"/>
          <w:sz w:val="22"/>
        </w:rPr>
        <w:t> </w:t>
      </w:r>
      <w:r>
        <w:rPr>
          <w:sz w:val="22"/>
        </w:rPr>
        <w:t>usuarios</w:t>
      </w:r>
      <w:r>
        <w:rPr>
          <w:spacing w:val="-1"/>
          <w:sz w:val="22"/>
        </w:rPr>
        <w:t> </w:t>
      </w:r>
      <w:r>
        <w:rPr>
          <w:sz w:val="22"/>
        </w:rPr>
        <w:t>realizan</w:t>
      </w:r>
      <w:r>
        <w:rPr>
          <w:spacing w:val="-4"/>
          <w:sz w:val="22"/>
        </w:rPr>
        <w:t> </w:t>
      </w:r>
      <w:r>
        <w:rPr>
          <w:sz w:val="22"/>
        </w:rPr>
        <w:t>ante las</w:t>
      </w:r>
      <w:r>
        <w:rPr>
          <w:spacing w:val="-1"/>
          <w:sz w:val="22"/>
        </w:rPr>
        <w:t> </w:t>
      </w:r>
      <w:r>
        <w:rPr>
          <w:sz w:val="22"/>
        </w:rPr>
        <w:t>instituciones públicas, al tiempo que se agilice la resolución a sus gestiones y el cumplimiento efectivo de los tiempos de respuesta institucional. Fecha de vigencia 25/06/2019.</w:t>
      </w:r>
    </w:p>
    <w:p>
      <w:pPr>
        <w:pStyle w:val="BodyText"/>
      </w:pPr>
    </w:p>
    <w:p>
      <w:pPr>
        <w:spacing w:line="240" w:lineRule="auto" w:before="0"/>
        <w:ind w:left="979" w:right="1341" w:firstLine="0"/>
        <w:jc w:val="both"/>
        <w:rPr>
          <w:sz w:val="22"/>
        </w:rPr>
      </w:pPr>
      <w:r>
        <w:rPr>
          <w:b/>
          <w:sz w:val="22"/>
        </w:rPr>
        <w:t>Decreto</w:t>
      </w:r>
      <w:r>
        <w:rPr>
          <w:b/>
          <w:spacing w:val="-16"/>
          <w:sz w:val="22"/>
        </w:rPr>
        <w:t> </w:t>
      </w:r>
      <w:r>
        <w:rPr>
          <w:b/>
          <w:sz w:val="22"/>
        </w:rPr>
        <w:t>N°</w:t>
      </w:r>
      <w:r>
        <w:rPr>
          <w:b/>
          <w:spacing w:val="-15"/>
          <w:sz w:val="22"/>
        </w:rPr>
        <w:t> </w:t>
      </w:r>
      <w:r>
        <w:rPr>
          <w:b/>
          <w:sz w:val="22"/>
        </w:rPr>
        <w:t>41818-H.</w:t>
      </w:r>
      <w:r>
        <w:rPr>
          <w:b/>
          <w:spacing w:val="-15"/>
          <w:sz w:val="22"/>
        </w:rPr>
        <w:t> </w:t>
      </w:r>
      <w:r>
        <w:rPr>
          <w:b/>
          <w:sz w:val="22"/>
        </w:rPr>
        <w:t>Modificaciones</w:t>
      </w:r>
      <w:r>
        <w:rPr>
          <w:b/>
          <w:spacing w:val="-16"/>
          <w:sz w:val="22"/>
        </w:rPr>
        <w:t> </w:t>
      </w:r>
      <w:r>
        <w:rPr>
          <w:b/>
          <w:sz w:val="22"/>
        </w:rPr>
        <w:t>y</w:t>
      </w:r>
      <w:r>
        <w:rPr>
          <w:b/>
          <w:spacing w:val="-15"/>
          <w:sz w:val="22"/>
        </w:rPr>
        <w:t> </w:t>
      </w:r>
      <w:r>
        <w:rPr>
          <w:b/>
          <w:sz w:val="22"/>
        </w:rPr>
        <w:t>adiciones</w:t>
      </w:r>
      <w:r>
        <w:rPr>
          <w:b/>
          <w:spacing w:val="-15"/>
          <w:sz w:val="22"/>
        </w:rPr>
        <w:t> </w:t>
      </w:r>
      <w:r>
        <w:rPr>
          <w:b/>
          <w:sz w:val="22"/>
        </w:rPr>
        <w:t>al</w:t>
      </w:r>
      <w:r>
        <w:rPr>
          <w:b/>
          <w:spacing w:val="-15"/>
          <w:sz w:val="22"/>
        </w:rPr>
        <w:t> </w:t>
      </w:r>
      <w:r>
        <w:rPr>
          <w:b/>
          <w:sz w:val="22"/>
        </w:rPr>
        <w:t>Reglamento</w:t>
      </w:r>
      <w:r>
        <w:rPr>
          <w:b/>
          <w:spacing w:val="-16"/>
          <w:sz w:val="22"/>
        </w:rPr>
        <w:t> </w:t>
      </w:r>
      <w:r>
        <w:rPr>
          <w:b/>
          <w:sz w:val="22"/>
        </w:rPr>
        <w:t>de</w:t>
      </w:r>
      <w:r>
        <w:rPr>
          <w:b/>
          <w:spacing w:val="-15"/>
          <w:sz w:val="22"/>
        </w:rPr>
        <w:t> </w:t>
      </w:r>
      <w:r>
        <w:rPr>
          <w:b/>
          <w:sz w:val="22"/>
        </w:rPr>
        <w:t>la</w:t>
      </w:r>
      <w:r>
        <w:rPr>
          <w:b/>
          <w:spacing w:val="-15"/>
          <w:sz w:val="22"/>
        </w:rPr>
        <w:t> </w:t>
      </w:r>
      <w:r>
        <w:rPr>
          <w:b/>
          <w:sz w:val="22"/>
        </w:rPr>
        <w:t>Ley</w:t>
      </w:r>
      <w:r>
        <w:rPr>
          <w:b/>
          <w:spacing w:val="-16"/>
          <w:sz w:val="22"/>
        </w:rPr>
        <w:t> </w:t>
      </w:r>
      <w:r>
        <w:rPr>
          <w:b/>
          <w:sz w:val="22"/>
        </w:rPr>
        <w:t>del</w:t>
      </w:r>
      <w:r>
        <w:rPr>
          <w:b/>
          <w:spacing w:val="-15"/>
          <w:sz w:val="22"/>
        </w:rPr>
        <w:t> </w:t>
      </w:r>
      <w:r>
        <w:rPr>
          <w:b/>
          <w:sz w:val="22"/>
        </w:rPr>
        <w:t>Impuesto sobre la Renta. </w:t>
      </w:r>
      <w:r>
        <w:rPr>
          <w:sz w:val="22"/>
        </w:rPr>
        <w:t>Modifica artículos 1, 2, 3, 4, 5, 6, 7, 8, 9, 10, 11, 12, 16 y 17, todos del Decreto Ejecutivo N° 18445-H del 9 de setiembre de 1988 y sus reformas; también se reforman</w:t>
      </w:r>
      <w:r>
        <w:rPr>
          <w:spacing w:val="40"/>
          <w:sz w:val="22"/>
        </w:rPr>
        <w:t> </w:t>
      </w:r>
      <w:r>
        <w:rPr>
          <w:sz w:val="22"/>
        </w:rPr>
        <w:t>los</w:t>
      </w:r>
      <w:r>
        <w:rPr>
          <w:spacing w:val="40"/>
          <w:sz w:val="22"/>
        </w:rPr>
        <w:t> </w:t>
      </w:r>
      <w:r>
        <w:rPr>
          <w:sz w:val="22"/>
        </w:rPr>
        <w:t>artículos</w:t>
      </w:r>
      <w:r>
        <w:rPr>
          <w:spacing w:val="40"/>
          <w:sz w:val="22"/>
        </w:rPr>
        <w:t> </w:t>
      </w:r>
      <w:r>
        <w:rPr>
          <w:sz w:val="22"/>
        </w:rPr>
        <w:t>20,</w:t>
      </w:r>
      <w:r>
        <w:rPr>
          <w:spacing w:val="40"/>
          <w:sz w:val="22"/>
        </w:rPr>
        <w:t> </w:t>
      </w:r>
      <w:r>
        <w:rPr>
          <w:sz w:val="22"/>
        </w:rPr>
        <w:t>21,</w:t>
      </w:r>
      <w:r>
        <w:rPr>
          <w:spacing w:val="40"/>
          <w:sz w:val="22"/>
        </w:rPr>
        <w:t> </w:t>
      </w:r>
      <w:r>
        <w:rPr>
          <w:sz w:val="22"/>
        </w:rPr>
        <w:t>24,</w:t>
      </w:r>
      <w:r>
        <w:rPr>
          <w:spacing w:val="40"/>
          <w:sz w:val="22"/>
        </w:rPr>
        <w:t> </w:t>
      </w:r>
      <w:r>
        <w:rPr>
          <w:sz w:val="22"/>
        </w:rPr>
        <w:t>29,</w:t>
      </w:r>
      <w:r>
        <w:rPr>
          <w:spacing w:val="40"/>
          <w:sz w:val="22"/>
        </w:rPr>
        <w:t> </w:t>
      </w:r>
      <w:r>
        <w:rPr>
          <w:sz w:val="22"/>
        </w:rPr>
        <w:t>30,</w:t>
      </w:r>
      <w:r>
        <w:rPr>
          <w:spacing w:val="40"/>
          <w:sz w:val="22"/>
        </w:rPr>
        <w:t> </w:t>
      </w:r>
      <w:r>
        <w:rPr>
          <w:sz w:val="22"/>
        </w:rPr>
        <w:t>31,</w:t>
      </w:r>
      <w:r>
        <w:rPr>
          <w:spacing w:val="40"/>
          <w:sz w:val="22"/>
        </w:rPr>
        <w:t> </w:t>
      </w:r>
      <w:r>
        <w:rPr>
          <w:sz w:val="22"/>
        </w:rPr>
        <w:t>33</w:t>
      </w:r>
      <w:r>
        <w:rPr>
          <w:spacing w:val="40"/>
          <w:sz w:val="22"/>
        </w:rPr>
        <w:t> </w:t>
      </w:r>
      <w:r>
        <w:rPr>
          <w:sz w:val="22"/>
        </w:rPr>
        <w:t>y</w:t>
      </w:r>
      <w:r>
        <w:rPr>
          <w:spacing w:val="40"/>
          <w:sz w:val="22"/>
        </w:rPr>
        <w:t> </w:t>
      </w:r>
      <w:r>
        <w:rPr>
          <w:sz w:val="22"/>
        </w:rPr>
        <w:t>60</w:t>
      </w:r>
      <w:r>
        <w:rPr>
          <w:spacing w:val="40"/>
          <w:sz w:val="22"/>
        </w:rPr>
        <w:t> </w:t>
      </w:r>
      <w:r>
        <w:rPr>
          <w:sz w:val="22"/>
        </w:rPr>
        <w:t>del</w:t>
      </w:r>
      <w:r>
        <w:rPr>
          <w:spacing w:val="40"/>
          <w:sz w:val="22"/>
        </w:rPr>
        <w:t> </w:t>
      </w:r>
      <w:r>
        <w:rPr>
          <w:sz w:val="22"/>
        </w:rPr>
        <w:t>decreto</w:t>
      </w:r>
      <w:r>
        <w:rPr>
          <w:spacing w:val="40"/>
          <w:sz w:val="22"/>
        </w:rPr>
        <w:t> </w:t>
      </w:r>
      <w:r>
        <w:rPr>
          <w:sz w:val="22"/>
        </w:rPr>
        <w:t>mencionado,</w:t>
      </w:r>
      <w:r>
        <w:rPr>
          <w:spacing w:val="40"/>
          <w:sz w:val="22"/>
        </w:rPr>
        <w:t> </w:t>
      </w:r>
      <w:r>
        <w:rPr>
          <w:sz w:val="22"/>
        </w:rPr>
        <w:t>cuya</w:t>
      </w:r>
    </w:p>
    <w:p>
      <w:pPr>
        <w:pStyle w:val="BodyText"/>
        <w:spacing w:before="2"/>
        <w:ind w:left="979" w:right="1346"/>
        <w:jc w:val="both"/>
      </w:pPr>
      <w:r>
        <w:rPr/>
        <w:t>numeración varía y pasan a ser los artículos 18, 19, 21, 47, 48, 49, 51 y 57, respectivamente. Fecha de vigencia 26/06/2019.</w:t>
      </w:r>
    </w:p>
    <w:p>
      <w:pPr>
        <w:spacing w:line="240" w:lineRule="auto" w:before="252"/>
        <w:ind w:left="979" w:right="1344" w:firstLine="0"/>
        <w:jc w:val="both"/>
        <w:rPr>
          <w:sz w:val="22"/>
        </w:rPr>
      </w:pPr>
      <w:r>
        <w:rPr>
          <w:b/>
          <w:sz w:val="22"/>
        </w:rPr>
        <w:t>Decreto N°41779. Reglamento a la Ley del Impuesto sobre el Valor Agregado. </w:t>
      </w:r>
      <w:r>
        <w:rPr>
          <w:sz w:val="22"/>
        </w:rPr>
        <w:t>Establece</w:t>
      </w:r>
      <w:r>
        <w:rPr>
          <w:spacing w:val="-1"/>
          <w:sz w:val="22"/>
        </w:rPr>
        <w:t> </w:t>
      </w:r>
      <w:r>
        <w:rPr>
          <w:sz w:val="22"/>
        </w:rPr>
        <w:t>la</w:t>
      </w:r>
      <w:r>
        <w:rPr>
          <w:spacing w:val="-5"/>
          <w:sz w:val="22"/>
        </w:rPr>
        <w:t> </w:t>
      </w:r>
      <w:r>
        <w:rPr>
          <w:sz w:val="22"/>
        </w:rPr>
        <w:t>forma</w:t>
      </w:r>
      <w:r>
        <w:rPr>
          <w:spacing w:val="-5"/>
          <w:sz w:val="22"/>
        </w:rPr>
        <w:t> </w:t>
      </w:r>
      <w:r>
        <w:rPr>
          <w:sz w:val="22"/>
        </w:rPr>
        <w:t>de</w:t>
      </w:r>
      <w:r>
        <w:rPr>
          <w:spacing w:val="-5"/>
          <w:sz w:val="22"/>
        </w:rPr>
        <w:t> </w:t>
      </w:r>
      <w:r>
        <w:rPr>
          <w:sz w:val="22"/>
        </w:rPr>
        <w:t>aplicación</w:t>
      </w:r>
      <w:r>
        <w:rPr>
          <w:spacing w:val="-1"/>
          <w:sz w:val="22"/>
        </w:rPr>
        <w:t> </w:t>
      </w:r>
      <w:r>
        <w:rPr>
          <w:sz w:val="22"/>
        </w:rPr>
        <w:t>del</w:t>
      </w:r>
      <w:r>
        <w:rPr>
          <w:spacing w:val="-3"/>
          <w:sz w:val="22"/>
        </w:rPr>
        <w:t> </w:t>
      </w:r>
      <w:r>
        <w:rPr>
          <w:sz w:val="22"/>
        </w:rPr>
        <w:t>Impuesto</w:t>
      </w:r>
      <w:r>
        <w:rPr>
          <w:spacing w:val="-5"/>
          <w:sz w:val="22"/>
        </w:rPr>
        <w:t> </w:t>
      </w:r>
      <w:r>
        <w:rPr>
          <w:sz w:val="22"/>
        </w:rPr>
        <w:t>sobre</w:t>
      </w:r>
      <w:r>
        <w:rPr>
          <w:spacing w:val="-1"/>
          <w:sz w:val="22"/>
        </w:rPr>
        <w:t> </w:t>
      </w:r>
      <w:r>
        <w:rPr>
          <w:sz w:val="22"/>
        </w:rPr>
        <w:t>el</w:t>
      </w:r>
      <w:r>
        <w:rPr>
          <w:spacing w:val="-3"/>
          <w:sz w:val="22"/>
        </w:rPr>
        <w:t> </w:t>
      </w:r>
      <w:r>
        <w:rPr>
          <w:sz w:val="22"/>
        </w:rPr>
        <w:t>Valor</w:t>
      </w:r>
      <w:r>
        <w:rPr>
          <w:spacing w:val="-4"/>
          <w:sz w:val="22"/>
        </w:rPr>
        <w:t> </w:t>
      </w:r>
      <w:r>
        <w:rPr>
          <w:sz w:val="22"/>
        </w:rPr>
        <w:t>Agregado.</w:t>
      </w:r>
      <w:r>
        <w:rPr>
          <w:spacing w:val="-1"/>
          <w:sz w:val="22"/>
        </w:rPr>
        <w:t> </w:t>
      </w:r>
      <w:r>
        <w:rPr>
          <w:sz w:val="22"/>
        </w:rPr>
        <w:t>Fecha</w:t>
      </w:r>
      <w:r>
        <w:rPr>
          <w:spacing w:val="-5"/>
          <w:sz w:val="22"/>
        </w:rPr>
        <w:t> </w:t>
      </w:r>
      <w:r>
        <w:rPr>
          <w:sz w:val="22"/>
        </w:rPr>
        <w:t>de</w:t>
      </w:r>
      <w:r>
        <w:rPr>
          <w:spacing w:val="-5"/>
          <w:sz w:val="22"/>
        </w:rPr>
        <w:t> </w:t>
      </w:r>
      <w:r>
        <w:rPr>
          <w:sz w:val="22"/>
        </w:rPr>
        <w:t>vigencia </w:t>
      </w:r>
      <w:r>
        <w:rPr>
          <w:spacing w:val="-2"/>
          <w:sz w:val="22"/>
        </w:rPr>
        <w:t>01/07/2019.</w:t>
      </w:r>
    </w:p>
    <w:p>
      <w:pPr>
        <w:pStyle w:val="BodyText"/>
        <w:spacing w:before="1"/>
      </w:pPr>
    </w:p>
    <w:p>
      <w:pPr>
        <w:pStyle w:val="BodyText"/>
        <w:spacing w:before="1"/>
        <w:ind w:left="979" w:right="1337"/>
        <w:jc w:val="both"/>
      </w:pPr>
      <w:r>
        <w:rPr>
          <w:b/>
        </w:rPr>
        <w:t>Decreto N° 41347-MP-MTSS</w:t>
      </w:r>
      <w:r>
        <w:rPr/>
        <w:t>-</w:t>
      </w:r>
      <w:r>
        <w:rPr>
          <w:b/>
        </w:rPr>
        <w:t>Reforma a los artículos 1, 2 y 3 del </w:t>
      </w:r>
      <w:r>
        <w:rPr/>
        <w:t>MDHIS del 16 de octubre</w:t>
      </w:r>
      <w:r>
        <w:rPr>
          <w:spacing w:val="-9"/>
        </w:rPr>
        <w:t> </w:t>
      </w:r>
      <w:r>
        <w:rPr/>
        <w:t>de</w:t>
      </w:r>
      <w:r>
        <w:rPr>
          <w:spacing w:val="-9"/>
        </w:rPr>
        <w:t> </w:t>
      </w:r>
      <w:r>
        <w:rPr/>
        <w:t>2018</w:t>
      </w:r>
      <w:r>
        <w:rPr>
          <w:spacing w:val="-9"/>
        </w:rPr>
        <w:t> </w:t>
      </w:r>
      <w:r>
        <w:rPr/>
        <w:t>Decreto</w:t>
      </w:r>
      <w:r>
        <w:rPr>
          <w:spacing w:val="-4"/>
        </w:rPr>
        <w:t> </w:t>
      </w:r>
      <w:r>
        <w:rPr/>
        <w:t>N°41732-MTSS-MDHIS.</w:t>
      </w:r>
      <w:r>
        <w:rPr>
          <w:spacing w:val="-15"/>
        </w:rPr>
        <w:t> </w:t>
      </w:r>
      <w:r>
        <w:rPr/>
        <w:t>Reforma</w:t>
      </w:r>
      <w:r>
        <w:rPr>
          <w:spacing w:val="-9"/>
        </w:rPr>
        <w:t> </w:t>
      </w:r>
      <w:r>
        <w:rPr/>
        <w:t>los</w:t>
      </w:r>
      <w:r>
        <w:rPr>
          <w:spacing w:val="-11"/>
        </w:rPr>
        <w:t> </w:t>
      </w:r>
      <w:r>
        <w:rPr/>
        <w:t>artículos</w:t>
      </w:r>
      <w:r>
        <w:rPr>
          <w:spacing w:val="-11"/>
        </w:rPr>
        <w:t> </w:t>
      </w:r>
      <w:r>
        <w:rPr/>
        <w:t>1,2</w:t>
      </w:r>
      <w:r>
        <w:rPr>
          <w:spacing w:val="-4"/>
        </w:rPr>
        <w:t> </w:t>
      </w:r>
      <w:r>
        <w:rPr/>
        <w:t>y</w:t>
      </w:r>
      <w:r>
        <w:rPr>
          <w:spacing w:val="-16"/>
        </w:rPr>
        <w:t> </w:t>
      </w:r>
      <w:r>
        <w:rPr/>
        <w:t>3</w:t>
      </w:r>
      <w:r>
        <w:rPr>
          <w:spacing w:val="-8"/>
        </w:rPr>
        <w:t> </w:t>
      </w:r>
      <w:r>
        <w:rPr/>
        <w:t>del</w:t>
      </w:r>
      <w:r>
        <w:rPr>
          <w:spacing w:val="-12"/>
        </w:rPr>
        <w:t> </w:t>
      </w:r>
      <w:r>
        <w:rPr/>
        <w:t>Decreto Ejecutivo N° 41347-MP-MTSS-MDHIS Coordinación de la Comisión Consultiva de la Red Nacional de Cuido y Desarrollo Infantil. Fecha de vigencia 09/07/2019.</w:t>
      </w:r>
    </w:p>
    <w:p>
      <w:pPr>
        <w:pStyle w:val="BodyText"/>
        <w:spacing w:before="250"/>
        <w:ind w:left="979" w:right="1340"/>
        <w:jc w:val="both"/>
      </w:pPr>
      <w:r>
        <w:rPr>
          <w:b/>
        </w:rPr>
        <w:t>Decreto</w:t>
      </w:r>
      <w:r>
        <w:rPr>
          <w:b/>
          <w:spacing w:val="-6"/>
        </w:rPr>
        <w:t> </w:t>
      </w:r>
      <w:r>
        <w:rPr>
          <w:b/>
        </w:rPr>
        <w:t>N°</w:t>
      </w:r>
      <w:r>
        <w:rPr>
          <w:b/>
          <w:spacing w:val="-8"/>
        </w:rPr>
        <w:t> </w:t>
      </w:r>
      <w:r>
        <w:rPr>
          <w:b/>
        </w:rPr>
        <w:t>41761-MTSS.</w:t>
      </w:r>
      <w:r>
        <w:rPr>
          <w:b/>
          <w:spacing w:val="-5"/>
        </w:rPr>
        <w:t> </w:t>
      </w:r>
      <w:r>
        <w:rPr>
          <w:b/>
        </w:rPr>
        <w:t>Creación</w:t>
      </w:r>
      <w:r>
        <w:rPr>
          <w:b/>
          <w:spacing w:val="-12"/>
        </w:rPr>
        <w:t> </w:t>
      </w:r>
      <w:r>
        <w:rPr>
          <w:b/>
        </w:rPr>
        <w:t>de</w:t>
      </w:r>
      <w:r>
        <w:rPr>
          <w:b/>
          <w:spacing w:val="-9"/>
        </w:rPr>
        <w:t> </w:t>
      </w:r>
      <w:r>
        <w:rPr>
          <w:b/>
        </w:rPr>
        <w:t>la</w:t>
      </w:r>
      <w:r>
        <w:rPr>
          <w:b/>
          <w:spacing w:val="-9"/>
        </w:rPr>
        <w:t> </w:t>
      </w:r>
      <w:r>
        <w:rPr>
          <w:b/>
        </w:rPr>
        <w:t>Comisión</w:t>
      </w:r>
      <w:r>
        <w:rPr>
          <w:b/>
          <w:spacing w:val="-7"/>
        </w:rPr>
        <w:t> </w:t>
      </w:r>
      <w:r>
        <w:rPr>
          <w:b/>
        </w:rPr>
        <w:t>Nacional</w:t>
      </w:r>
      <w:r>
        <w:rPr>
          <w:b/>
          <w:spacing w:val="-10"/>
        </w:rPr>
        <w:t> </w:t>
      </w:r>
      <w:r>
        <w:rPr>
          <w:b/>
        </w:rPr>
        <w:t>para</w:t>
      </w:r>
      <w:r>
        <w:rPr>
          <w:b/>
          <w:spacing w:val="-9"/>
        </w:rPr>
        <w:t> </w:t>
      </w:r>
      <w:r>
        <w:rPr>
          <w:b/>
        </w:rPr>
        <w:t>la</w:t>
      </w:r>
      <w:r>
        <w:rPr>
          <w:b/>
          <w:spacing w:val="-9"/>
        </w:rPr>
        <w:t> </w:t>
      </w:r>
      <w:r>
        <w:rPr>
          <w:b/>
        </w:rPr>
        <w:t>Empleabilidad</w:t>
      </w:r>
      <w:r>
        <w:rPr>
          <w:b/>
          <w:spacing w:val="-6"/>
        </w:rPr>
        <w:t> </w:t>
      </w:r>
      <w:r>
        <w:rPr>
          <w:b/>
        </w:rPr>
        <w:t>y</w:t>
      </w:r>
      <w:r>
        <w:rPr>
          <w:b/>
          <w:spacing w:val="-14"/>
        </w:rPr>
        <w:t> </w:t>
      </w:r>
      <w:r>
        <w:rPr>
          <w:b/>
        </w:rPr>
        <w:t>el Trabajo de las Personas con Discapacidad. </w:t>
      </w:r>
      <w:r>
        <w:rPr/>
        <w:t>Crea la Comisión Nacional para la Empleabilidad y</w:t>
      </w:r>
      <w:r>
        <w:rPr>
          <w:spacing w:val="-1"/>
        </w:rPr>
        <w:t> </w:t>
      </w:r>
      <w:r>
        <w:rPr/>
        <w:t>el Trabajo de las</w:t>
      </w:r>
      <w:r>
        <w:rPr>
          <w:spacing w:val="-1"/>
        </w:rPr>
        <w:t> </w:t>
      </w:r>
      <w:r>
        <w:rPr/>
        <w:t>Personas con Discapacidad coordinada por</w:t>
      </w:r>
      <w:r>
        <w:rPr>
          <w:spacing w:val="-3"/>
        </w:rPr>
        <w:t> </w:t>
      </w:r>
      <w:r>
        <w:rPr/>
        <w:t>el Ministerio de Trabajo y Seguridad Social, que será la instancia designada para que incida en los procesos nacionales de empleabilidad y empresariedad, mediante el ejercicio de estrategias técnicas y políticas, en planes, programas, proyectos y acciones tendientes a una efectiva inclusión y permanencia laboral de personas con discapacidad en el sector público y privado. Fecha de vigencia 10/07/2019.</w:t>
      </w:r>
    </w:p>
    <w:p>
      <w:pPr>
        <w:pStyle w:val="BodyText"/>
        <w:spacing w:before="4"/>
      </w:pPr>
    </w:p>
    <w:p>
      <w:pPr>
        <w:pStyle w:val="BodyText"/>
        <w:ind w:left="979" w:right="1332"/>
        <w:jc w:val="both"/>
      </w:pPr>
      <w:r>
        <w:rPr>
          <w:b/>
        </w:rPr>
        <w:t>Decreto Ejecutivo N° 41564-MIDEPLAN-H Reforma al inciso D) del artículo</w:t>
      </w:r>
      <w:r>
        <w:rPr>
          <w:b/>
          <w:spacing w:val="-1"/>
        </w:rPr>
        <w:t> </w:t>
      </w:r>
      <w:r>
        <w:rPr>
          <w:b/>
        </w:rPr>
        <w:t>14 del </w:t>
      </w:r>
      <w:r>
        <w:rPr/>
        <w:t>del 11 de febrero</w:t>
      </w:r>
      <w:r>
        <w:rPr>
          <w:spacing w:val="-3"/>
        </w:rPr>
        <w:t> </w:t>
      </w:r>
      <w:r>
        <w:rPr/>
        <w:t>de</w:t>
      </w:r>
      <w:r>
        <w:rPr>
          <w:spacing w:val="-3"/>
        </w:rPr>
        <w:t> </w:t>
      </w:r>
      <w:r>
        <w:rPr/>
        <w:t>2019, Reglamento del</w:t>
      </w:r>
      <w:r>
        <w:rPr>
          <w:spacing w:val="-1"/>
        </w:rPr>
        <w:t> </w:t>
      </w:r>
      <w:r>
        <w:rPr/>
        <w:t>Título III de la Ley Fortalecimiento de las Finanzas Públicas, Ley N° 9635 del 3 de diciembre de 2018, referente a Empleo Público y sus Reformas</w:t>
      </w:r>
      <w:r>
        <w:rPr>
          <w:spacing w:val="-12"/>
        </w:rPr>
        <w:t> </w:t>
      </w:r>
      <w:r>
        <w:rPr/>
        <w:t>Decreto</w:t>
      </w:r>
      <w:r>
        <w:rPr>
          <w:spacing w:val="-9"/>
        </w:rPr>
        <w:t> </w:t>
      </w:r>
      <w:r>
        <w:rPr/>
        <w:t>N°</w:t>
      </w:r>
      <w:r>
        <w:rPr>
          <w:spacing w:val="-13"/>
        </w:rPr>
        <w:t> </w:t>
      </w:r>
      <w:r>
        <w:rPr/>
        <w:t>41807-MIDEPLAN-H,</w:t>
      </w:r>
      <w:r>
        <w:rPr>
          <w:spacing w:val="-10"/>
        </w:rPr>
        <w:t> </w:t>
      </w:r>
      <w:r>
        <w:rPr/>
        <w:t>Reforma</w:t>
      </w:r>
      <w:r>
        <w:rPr>
          <w:spacing w:val="-14"/>
        </w:rPr>
        <w:t> </w:t>
      </w:r>
      <w:r>
        <w:rPr/>
        <w:t>el</w:t>
      </w:r>
      <w:r>
        <w:rPr>
          <w:spacing w:val="-12"/>
        </w:rPr>
        <w:t> </w:t>
      </w:r>
      <w:r>
        <w:rPr/>
        <w:t>inciso</w:t>
      </w:r>
      <w:r>
        <w:rPr>
          <w:spacing w:val="-9"/>
        </w:rPr>
        <w:t> </w:t>
      </w:r>
      <w:r>
        <w:rPr/>
        <w:t>D)</w:t>
      </w:r>
      <w:r>
        <w:rPr>
          <w:spacing w:val="-12"/>
        </w:rPr>
        <w:t> </w:t>
      </w:r>
      <w:r>
        <w:rPr/>
        <w:t>del</w:t>
      </w:r>
      <w:r>
        <w:rPr>
          <w:spacing w:val="-16"/>
        </w:rPr>
        <w:t> </w:t>
      </w:r>
      <w:r>
        <w:rPr/>
        <w:t>artículo</w:t>
      </w:r>
      <w:r>
        <w:rPr>
          <w:spacing w:val="-13"/>
        </w:rPr>
        <w:t> </w:t>
      </w:r>
      <w:r>
        <w:rPr/>
        <w:t>14</w:t>
      </w:r>
      <w:r>
        <w:rPr>
          <w:spacing w:val="-14"/>
        </w:rPr>
        <w:t> </w:t>
      </w:r>
      <w:r>
        <w:rPr/>
        <w:t>del</w:t>
      </w:r>
      <w:r>
        <w:rPr>
          <w:spacing w:val="-4"/>
        </w:rPr>
        <w:t> </w:t>
      </w:r>
      <w:r>
        <w:rPr/>
        <w:t>Decreto Ejecutivo N° 41564-MIDEPLAN-H. Fecha de vigencia 31/07/2019.</w:t>
      </w:r>
    </w:p>
    <w:p>
      <w:pPr>
        <w:spacing w:line="240" w:lineRule="auto" w:before="253"/>
        <w:ind w:left="979" w:right="1341" w:firstLine="0"/>
        <w:jc w:val="both"/>
        <w:rPr>
          <w:sz w:val="22"/>
        </w:rPr>
      </w:pPr>
      <w:r>
        <w:rPr>
          <w:b/>
          <w:sz w:val="22"/>
        </w:rPr>
        <w:t>Decreto N° 41935-H. Aprobación de la política de endeudamiento para el sector público. </w:t>
      </w:r>
      <w:r>
        <w:rPr>
          <w:sz w:val="22"/>
        </w:rPr>
        <w:t>Aprueba la Política de Endeudamiento para el Sector Público Costarricense propuesta por la Dirección de Crédito Público del Ministerio de Hacienda a la Autoridad Presupuestaria, la cual, a su vez. Deberá ser respetada en la formulación de los presupuestos del Sector Público. Fecha de vigencia 28/08/2019.</w:t>
      </w:r>
    </w:p>
    <w:p>
      <w:pPr>
        <w:spacing w:after="0" w:line="240" w:lineRule="auto"/>
        <w:jc w:val="both"/>
        <w:rPr>
          <w:sz w:val="22"/>
        </w:rPr>
        <w:sectPr>
          <w:pgSz w:w="12240" w:h="15840"/>
          <w:pgMar w:header="0" w:footer="1021" w:top="1600" w:bottom="1220" w:left="720" w:right="360"/>
        </w:sectPr>
      </w:pPr>
    </w:p>
    <w:p>
      <w:pPr>
        <w:spacing w:line="240" w:lineRule="auto" w:before="76"/>
        <w:ind w:left="979" w:right="1343" w:firstLine="0"/>
        <w:jc w:val="both"/>
        <w:rPr>
          <w:sz w:val="22"/>
        </w:rPr>
      </w:pPr>
      <w:r>
        <w:rPr>
          <w:b/>
          <w:sz w:val="22"/>
        </w:rPr>
        <w:t>Decreto N° 42087-MP-PLAN. Lineamientos Generales de Gestión del Desempeño de las Personas Servidoras Públicas. </w:t>
      </w:r>
      <w:r>
        <w:rPr>
          <w:sz w:val="22"/>
        </w:rPr>
        <w:t>Define los lineamientos generales que orientan la gestión del desempeño de las personas servidoras públicas para promover su desarrollo, con el propósito de mejorar la gestión pública y aumentar la generación de valor público y sus reformas. Fecha de vigencia 10/12/2019.</w:t>
      </w:r>
    </w:p>
    <w:p>
      <w:pPr>
        <w:pStyle w:val="BodyText"/>
        <w:spacing w:before="253"/>
        <w:ind w:left="979" w:right="1338"/>
        <w:jc w:val="both"/>
      </w:pPr>
      <w:r>
        <w:rPr>
          <w:b/>
        </w:rPr>
        <w:t>Decreto N°42083-MP-MTSS-MIDEPLAN-MICITT Reglamento para regular el teletrabajo. </w:t>
      </w:r>
      <w:r>
        <w:rPr/>
        <w:t>Establece las condiciones mínimas que deben regir las relaciones laborales que se desarrollen, mediante la modalidad de teletrabajo, así como los</w:t>
      </w:r>
      <w:r>
        <w:rPr>
          <w:spacing w:val="-2"/>
        </w:rPr>
        <w:t> </w:t>
      </w:r>
      <w:r>
        <w:rPr/>
        <w:t>mecanismos</w:t>
      </w:r>
      <w:r>
        <w:rPr>
          <w:spacing w:val="-2"/>
        </w:rPr>
        <w:t> </w:t>
      </w:r>
      <w:r>
        <w:rPr/>
        <w:t>de su promoción</w:t>
      </w:r>
      <w:r>
        <w:rPr>
          <w:spacing w:val="-9"/>
        </w:rPr>
        <w:t> </w:t>
      </w:r>
      <w:r>
        <w:rPr/>
        <w:t>e</w:t>
      </w:r>
      <w:r>
        <w:rPr>
          <w:spacing w:val="-4"/>
        </w:rPr>
        <w:t> </w:t>
      </w:r>
      <w:r>
        <w:rPr/>
        <w:t>implementación,</w:t>
      </w:r>
      <w:r>
        <w:rPr>
          <w:spacing w:val="-10"/>
        </w:rPr>
        <w:t> </w:t>
      </w:r>
      <w:r>
        <w:rPr/>
        <w:t>de</w:t>
      </w:r>
      <w:r>
        <w:rPr>
          <w:spacing w:val="-9"/>
        </w:rPr>
        <w:t> </w:t>
      </w:r>
      <w:r>
        <w:rPr/>
        <w:t>conformidad</w:t>
      </w:r>
      <w:r>
        <w:rPr>
          <w:spacing w:val="-4"/>
        </w:rPr>
        <w:t> </w:t>
      </w:r>
      <w:r>
        <w:rPr/>
        <w:t>con</w:t>
      </w:r>
      <w:r>
        <w:rPr>
          <w:spacing w:val="-14"/>
        </w:rPr>
        <w:t> </w:t>
      </w:r>
      <w:r>
        <w:rPr/>
        <w:t>lo</w:t>
      </w:r>
      <w:r>
        <w:rPr>
          <w:spacing w:val="-4"/>
        </w:rPr>
        <w:t> </w:t>
      </w:r>
      <w:r>
        <w:rPr/>
        <w:t>establecido</w:t>
      </w:r>
      <w:r>
        <w:rPr>
          <w:spacing w:val="-9"/>
        </w:rPr>
        <w:t> </w:t>
      </w:r>
      <w:r>
        <w:rPr/>
        <w:t>en</w:t>
      </w:r>
      <w:r>
        <w:rPr>
          <w:spacing w:val="-9"/>
        </w:rPr>
        <w:t> </w:t>
      </w:r>
      <w:r>
        <w:rPr/>
        <w:t>la</w:t>
      </w:r>
      <w:r>
        <w:rPr>
          <w:spacing w:val="-9"/>
        </w:rPr>
        <w:t> </w:t>
      </w:r>
      <w:r>
        <w:rPr/>
        <w:t>ley</w:t>
      </w:r>
      <w:r>
        <w:rPr>
          <w:spacing w:val="-11"/>
        </w:rPr>
        <w:t> </w:t>
      </w:r>
      <w:r>
        <w:rPr/>
        <w:t>N°9738</w:t>
      </w:r>
      <w:r>
        <w:rPr>
          <w:spacing w:val="-9"/>
        </w:rPr>
        <w:t> </w:t>
      </w:r>
      <w:r>
        <w:rPr/>
        <w:t>del</w:t>
      </w:r>
      <w:r>
        <w:rPr>
          <w:spacing w:val="-7"/>
        </w:rPr>
        <w:t> </w:t>
      </w:r>
      <w:r>
        <w:rPr/>
        <w:t>18</w:t>
      </w:r>
      <w:r>
        <w:rPr>
          <w:spacing w:val="-9"/>
        </w:rPr>
        <w:t> </w:t>
      </w:r>
      <w:r>
        <w:rPr/>
        <w:t>de setiembre de 2019 "Ley para regular el teletrabajo." Fecha de vigencia 20/12/2019.</w:t>
      </w:r>
    </w:p>
    <w:p>
      <w:pPr>
        <w:spacing w:before="252"/>
        <w:ind w:left="979" w:right="1337" w:firstLine="0"/>
        <w:jc w:val="both"/>
        <w:rPr>
          <w:sz w:val="22"/>
        </w:rPr>
      </w:pPr>
      <w:r>
        <w:rPr>
          <w:b/>
          <w:sz w:val="22"/>
        </w:rPr>
        <w:t>Decreto N° 42127-PLAN-RE-MINAE-MDHIS</w:t>
      </w:r>
      <w:r>
        <w:rPr>
          <w:sz w:val="22"/>
        </w:rPr>
        <w:t>. </w:t>
      </w:r>
      <w:r>
        <w:rPr>
          <w:b/>
          <w:sz w:val="22"/>
        </w:rPr>
        <w:t>Gobernanza e Implementación de los Objetivos de Desarrollo Sostenible en Costa Rica </w:t>
      </w:r>
      <w:r>
        <w:rPr>
          <w:sz w:val="22"/>
        </w:rPr>
        <w:t>Reforma al Decreto Ejecutivo N° 40203-PLAN-RE-MINAE Adiciona el inciso e)</w:t>
      </w:r>
      <w:r>
        <w:rPr>
          <w:spacing w:val="-1"/>
          <w:sz w:val="22"/>
        </w:rPr>
        <w:t> </w:t>
      </w:r>
      <w:r>
        <w:rPr>
          <w:sz w:val="22"/>
        </w:rPr>
        <w:t>al artículo 4, Fecha de vigencia 21/01/2020.</w:t>
      </w:r>
    </w:p>
    <w:p>
      <w:pPr>
        <w:pStyle w:val="BodyText"/>
        <w:spacing w:before="1"/>
      </w:pPr>
    </w:p>
    <w:p>
      <w:pPr>
        <w:spacing w:line="240" w:lineRule="auto" w:before="0"/>
        <w:ind w:left="979" w:right="1334" w:firstLine="0"/>
        <w:jc w:val="both"/>
        <w:rPr>
          <w:sz w:val="22"/>
        </w:rPr>
      </w:pPr>
      <w:r>
        <w:rPr>
          <w:b/>
          <w:sz w:val="22"/>
        </w:rPr>
        <w:t>Decreto N° 41820-H. Modificación al Decreto Ejecutivo denominado Reglamento de Comprobantes</w:t>
      </w:r>
      <w:r>
        <w:rPr>
          <w:b/>
          <w:spacing w:val="-5"/>
          <w:sz w:val="22"/>
        </w:rPr>
        <w:t> </w:t>
      </w:r>
      <w:r>
        <w:rPr>
          <w:b/>
          <w:sz w:val="22"/>
        </w:rPr>
        <w:t>Electrónicos</w:t>
      </w:r>
      <w:r>
        <w:rPr>
          <w:b/>
          <w:spacing w:val="-6"/>
          <w:sz w:val="22"/>
        </w:rPr>
        <w:t> </w:t>
      </w:r>
      <w:r>
        <w:rPr>
          <w:b/>
          <w:sz w:val="22"/>
        </w:rPr>
        <w:t>para</w:t>
      </w:r>
      <w:r>
        <w:rPr>
          <w:b/>
          <w:spacing w:val="-5"/>
          <w:sz w:val="22"/>
        </w:rPr>
        <w:t> </w:t>
      </w:r>
      <w:r>
        <w:rPr>
          <w:b/>
          <w:sz w:val="22"/>
        </w:rPr>
        <w:t>Efectos</w:t>
      </w:r>
      <w:r>
        <w:rPr>
          <w:b/>
          <w:spacing w:val="-10"/>
          <w:sz w:val="22"/>
        </w:rPr>
        <w:t> </w:t>
      </w:r>
      <w:r>
        <w:rPr>
          <w:b/>
          <w:sz w:val="22"/>
        </w:rPr>
        <w:t>Tributarios,</w:t>
      </w:r>
      <w:r>
        <w:rPr>
          <w:b/>
          <w:spacing w:val="-6"/>
          <w:sz w:val="22"/>
        </w:rPr>
        <w:t> </w:t>
      </w:r>
      <w:r>
        <w:rPr>
          <w:b/>
          <w:sz w:val="22"/>
        </w:rPr>
        <w:t>N°</w:t>
      </w:r>
      <w:r>
        <w:rPr>
          <w:b/>
          <w:spacing w:val="-9"/>
          <w:sz w:val="22"/>
        </w:rPr>
        <w:t> </w:t>
      </w:r>
      <w:r>
        <w:rPr>
          <w:b/>
          <w:sz w:val="22"/>
        </w:rPr>
        <w:t>42195-H.</w:t>
      </w:r>
      <w:r>
        <w:rPr>
          <w:b/>
          <w:spacing w:val="-1"/>
          <w:sz w:val="22"/>
        </w:rPr>
        <w:t> </w:t>
      </w:r>
      <w:r>
        <w:rPr>
          <w:sz w:val="22"/>
        </w:rPr>
        <w:t>Modifica</w:t>
      </w:r>
      <w:r>
        <w:rPr>
          <w:spacing w:val="-5"/>
          <w:sz w:val="22"/>
        </w:rPr>
        <w:t> </w:t>
      </w:r>
      <w:r>
        <w:rPr>
          <w:sz w:val="22"/>
        </w:rPr>
        <w:t>el</w:t>
      </w:r>
      <w:r>
        <w:rPr>
          <w:spacing w:val="-3"/>
          <w:sz w:val="22"/>
        </w:rPr>
        <w:t> </w:t>
      </w:r>
      <w:r>
        <w:rPr>
          <w:sz w:val="22"/>
        </w:rPr>
        <w:t>inciso</w:t>
      </w:r>
      <w:r>
        <w:rPr>
          <w:spacing w:val="-5"/>
          <w:sz w:val="22"/>
        </w:rPr>
        <w:t> </w:t>
      </w:r>
      <w:r>
        <w:rPr>
          <w:sz w:val="22"/>
        </w:rPr>
        <w:t>h) del inciso 2)</w:t>
      </w:r>
      <w:r>
        <w:rPr>
          <w:spacing w:val="-2"/>
          <w:sz w:val="22"/>
        </w:rPr>
        <w:t> </w:t>
      </w:r>
      <w:r>
        <w:rPr>
          <w:sz w:val="22"/>
        </w:rPr>
        <w:t>del</w:t>
      </w:r>
      <w:r>
        <w:rPr>
          <w:spacing w:val="-1"/>
          <w:sz w:val="22"/>
        </w:rPr>
        <w:t> </w:t>
      </w:r>
      <w:r>
        <w:rPr>
          <w:sz w:val="22"/>
        </w:rPr>
        <w:t>artículo 4 y el</w:t>
      </w:r>
      <w:r>
        <w:rPr>
          <w:spacing w:val="-1"/>
          <w:sz w:val="22"/>
        </w:rPr>
        <w:t> </w:t>
      </w:r>
      <w:r>
        <w:rPr>
          <w:sz w:val="22"/>
        </w:rPr>
        <w:t>artículo 20, ambos del Decreto Ejecutivo N°</w:t>
      </w:r>
      <w:r>
        <w:rPr>
          <w:spacing w:val="-2"/>
          <w:sz w:val="22"/>
        </w:rPr>
        <w:t> </w:t>
      </w:r>
      <w:r>
        <w:rPr>
          <w:sz w:val="22"/>
        </w:rPr>
        <w:t>41820-H</w:t>
      </w:r>
      <w:r>
        <w:rPr>
          <w:spacing w:val="-1"/>
          <w:sz w:val="22"/>
        </w:rPr>
        <w:t> </w:t>
      </w:r>
      <w:r>
        <w:rPr>
          <w:sz w:val="22"/>
        </w:rPr>
        <w:t>del</w:t>
      </w:r>
      <w:r>
        <w:rPr>
          <w:spacing w:val="-1"/>
          <w:sz w:val="22"/>
        </w:rPr>
        <w:t> </w:t>
      </w:r>
      <w:r>
        <w:rPr>
          <w:sz w:val="22"/>
        </w:rPr>
        <w:t>19 de junio de 2019, denominado “Reglamento de Comprobantes Electrónicos para efectos tributarios”. Fecha de vigencia 10/02/2020.</w:t>
      </w:r>
    </w:p>
    <w:p>
      <w:pPr>
        <w:spacing w:line="240" w:lineRule="auto" w:before="252"/>
        <w:ind w:left="979" w:right="1342" w:firstLine="0"/>
        <w:jc w:val="both"/>
        <w:rPr>
          <w:sz w:val="22"/>
        </w:rPr>
      </w:pPr>
      <w:r>
        <w:rPr>
          <w:b/>
          <w:sz w:val="22"/>
        </w:rPr>
        <w:t>Decreto N° 42265-H. Directrices generales de política presupuestaria, salarial, empleo, inversión y endeudamiento para entidades públicas, ministerios y órganos desconcentrados, según corresponda, cubiertos por el ámbito de la Autoridad Presupuestaria, para el año 2021. </w:t>
      </w:r>
      <w:r>
        <w:rPr>
          <w:sz w:val="22"/>
        </w:rPr>
        <w:t>Aplicables a las entidades públicas, ministerios y órganos</w:t>
      </w:r>
      <w:r>
        <w:rPr>
          <w:spacing w:val="-11"/>
          <w:sz w:val="22"/>
        </w:rPr>
        <w:t> </w:t>
      </w:r>
      <w:r>
        <w:rPr>
          <w:sz w:val="22"/>
        </w:rPr>
        <w:t>desconcentrados,</w:t>
      </w:r>
      <w:r>
        <w:rPr>
          <w:spacing w:val="-10"/>
          <w:sz w:val="22"/>
        </w:rPr>
        <w:t> </w:t>
      </w:r>
      <w:r>
        <w:rPr>
          <w:sz w:val="22"/>
        </w:rPr>
        <w:t>cubiertos</w:t>
      </w:r>
      <w:r>
        <w:rPr>
          <w:spacing w:val="-7"/>
          <w:sz w:val="22"/>
        </w:rPr>
        <w:t> </w:t>
      </w:r>
      <w:r>
        <w:rPr>
          <w:sz w:val="22"/>
        </w:rPr>
        <w:t>por</w:t>
      </w:r>
      <w:r>
        <w:rPr>
          <w:spacing w:val="-12"/>
          <w:sz w:val="22"/>
        </w:rPr>
        <w:t> </w:t>
      </w:r>
      <w:r>
        <w:rPr>
          <w:sz w:val="22"/>
        </w:rPr>
        <w:t>el</w:t>
      </w:r>
      <w:r>
        <w:rPr>
          <w:spacing w:val="-8"/>
          <w:sz w:val="22"/>
        </w:rPr>
        <w:t> </w:t>
      </w:r>
      <w:r>
        <w:rPr>
          <w:sz w:val="22"/>
        </w:rPr>
        <w:t>ámbito</w:t>
      </w:r>
      <w:r>
        <w:rPr>
          <w:spacing w:val="-14"/>
          <w:sz w:val="22"/>
        </w:rPr>
        <w:t> </w:t>
      </w:r>
      <w:r>
        <w:rPr>
          <w:sz w:val="22"/>
        </w:rPr>
        <w:t>de</w:t>
      </w:r>
      <w:r>
        <w:rPr>
          <w:spacing w:val="-5"/>
          <w:sz w:val="22"/>
        </w:rPr>
        <w:t> </w:t>
      </w:r>
      <w:r>
        <w:rPr>
          <w:sz w:val="22"/>
        </w:rPr>
        <w:t>la</w:t>
      </w:r>
      <w:r>
        <w:rPr>
          <w:spacing w:val="-9"/>
          <w:sz w:val="22"/>
        </w:rPr>
        <w:t> </w:t>
      </w:r>
      <w:r>
        <w:rPr>
          <w:sz w:val="22"/>
        </w:rPr>
        <w:t>AP.</w:t>
      </w:r>
      <w:r>
        <w:rPr>
          <w:spacing w:val="-10"/>
          <w:sz w:val="22"/>
        </w:rPr>
        <w:t> </w:t>
      </w:r>
      <w:r>
        <w:rPr>
          <w:sz w:val="22"/>
        </w:rPr>
        <w:t>Fecha</w:t>
      </w:r>
      <w:r>
        <w:rPr>
          <w:spacing w:val="-9"/>
          <w:sz w:val="22"/>
        </w:rPr>
        <w:t> </w:t>
      </w:r>
      <w:r>
        <w:rPr>
          <w:sz w:val="22"/>
        </w:rPr>
        <w:t>de</w:t>
      </w:r>
      <w:r>
        <w:rPr>
          <w:spacing w:val="-5"/>
          <w:sz w:val="22"/>
        </w:rPr>
        <w:t> </w:t>
      </w:r>
      <w:r>
        <w:rPr>
          <w:sz w:val="22"/>
        </w:rPr>
        <w:t>vigencia</w:t>
      </w:r>
      <w:r>
        <w:rPr>
          <w:spacing w:val="-9"/>
          <w:sz w:val="22"/>
        </w:rPr>
        <w:t> </w:t>
      </w:r>
      <w:r>
        <w:rPr>
          <w:sz w:val="22"/>
        </w:rPr>
        <w:t>30/03/2020.</w:t>
      </w:r>
    </w:p>
    <w:p>
      <w:pPr>
        <w:pStyle w:val="BodyText"/>
        <w:spacing w:before="4"/>
      </w:pPr>
    </w:p>
    <w:p>
      <w:pPr>
        <w:pStyle w:val="BodyText"/>
        <w:ind w:left="979" w:right="1334"/>
        <w:jc w:val="both"/>
      </w:pPr>
      <w:r>
        <w:rPr>
          <w:b/>
        </w:rPr>
        <w:t>Reforma</w:t>
      </w:r>
      <w:r>
        <w:rPr>
          <w:b/>
          <w:spacing w:val="-7"/>
        </w:rPr>
        <w:t> </w:t>
      </w:r>
      <w:r>
        <w:rPr>
          <w:b/>
        </w:rPr>
        <w:t>de</w:t>
      </w:r>
      <w:r>
        <w:rPr>
          <w:b/>
          <w:spacing w:val="-13"/>
        </w:rPr>
        <w:t> </w:t>
      </w:r>
      <w:r>
        <w:rPr>
          <w:b/>
        </w:rPr>
        <w:t>los</w:t>
      </w:r>
      <w:r>
        <w:rPr>
          <w:b/>
          <w:spacing w:val="-9"/>
        </w:rPr>
        <w:t> </w:t>
      </w:r>
      <w:r>
        <w:rPr>
          <w:b/>
        </w:rPr>
        <w:t>artículos</w:t>
      </w:r>
      <w:r>
        <w:rPr>
          <w:b/>
          <w:spacing w:val="-8"/>
        </w:rPr>
        <w:t> </w:t>
      </w:r>
      <w:r>
        <w:rPr>
          <w:b/>
        </w:rPr>
        <w:t>26,</w:t>
      </w:r>
      <w:r>
        <w:rPr>
          <w:b/>
          <w:spacing w:val="-9"/>
        </w:rPr>
        <w:t> </w:t>
      </w:r>
      <w:r>
        <w:rPr>
          <w:b/>
        </w:rPr>
        <w:t>27,</w:t>
      </w:r>
      <w:r>
        <w:rPr>
          <w:b/>
          <w:spacing w:val="-9"/>
        </w:rPr>
        <w:t> </w:t>
      </w:r>
      <w:r>
        <w:rPr>
          <w:b/>
        </w:rPr>
        <w:t>28,</w:t>
      </w:r>
      <w:r>
        <w:rPr>
          <w:b/>
          <w:spacing w:val="-14"/>
        </w:rPr>
        <w:t> </w:t>
      </w:r>
      <w:r>
        <w:rPr>
          <w:b/>
        </w:rPr>
        <w:t>29</w:t>
      </w:r>
      <w:r>
        <w:rPr>
          <w:b/>
          <w:spacing w:val="-8"/>
        </w:rPr>
        <w:t> </w:t>
      </w:r>
      <w:r>
        <w:rPr>
          <w:b/>
        </w:rPr>
        <w:t>y</w:t>
      </w:r>
      <w:r>
        <w:rPr>
          <w:b/>
          <w:spacing w:val="-13"/>
        </w:rPr>
        <w:t> </w:t>
      </w:r>
      <w:r>
        <w:rPr>
          <w:b/>
        </w:rPr>
        <w:t>30</w:t>
      </w:r>
      <w:r>
        <w:rPr>
          <w:b/>
          <w:spacing w:val="-8"/>
        </w:rPr>
        <w:t> </w:t>
      </w:r>
      <w:r>
        <w:rPr>
          <w:b/>
        </w:rPr>
        <w:t>del</w:t>
      </w:r>
      <w:r>
        <w:rPr>
          <w:b/>
          <w:spacing w:val="-14"/>
        </w:rPr>
        <w:t> </w:t>
      </w:r>
      <w:r>
        <w:rPr>
          <w:b/>
        </w:rPr>
        <w:t>Capítulo</w:t>
      </w:r>
      <w:r>
        <w:rPr>
          <w:b/>
          <w:spacing w:val="-15"/>
        </w:rPr>
        <w:t> </w:t>
      </w:r>
      <w:r>
        <w:rPr>
          <w:b/>
        </w:rPr>
        <w:t>Tercero</w:t>
      </w:r>
      <w:r>
        <w:rPr>
          <w:b/>
          <w:spacing w:val="-10"/>
        </w:rPr>
        <w:t> </w:t>
      </w:r>
      <w:r>
        <w:rPr>
          <w:b/>
        </w:rPr>
        <w:t>del</w:t>
      </w:r>
      <w:r>
        <w:rPr>
          <w:b/>
          <w:spacing w:val="-9"/>
        </w:rPr>
        <w:t> </w:t>
      </w:r>
      <w:r>
        <w:rPr>
          <w:b/>
        </w:rPr>
        <w:t>Decreto</w:t>
      </w:r>
      <w:r>
        <w:rPr>
          <w:b/>
          <w:spacing w:val="-10"/>
        </w:rPr>
        <w:t> </w:t>
      </w:r>
      <w:r>
        <w:rPr>
          <w:b/>
        </w:rPr>
        <w:t>Ejecutivo Nº 41617-H</w:t>
      </w:r>
      <w:r>
        <w:rPr/>
        <w:t>, Directrices</w:t>
      </w:r>
      <w:r>
        <w:rPr>
          <w:spacing w:val="-2"/>
        </w:rPr>
        <w:t> </w:t>
      </w:r>
      <w:r>
        <w:rPr/>
        <w:t>Generales</w:t>
      </w:r>
      <w:r>
        <w:rPr>
          <w:spacing w:val="-2"/>
        </w:rPr>
        <w:t> </w:t>
      </w:r>
      <w:r>
        <w:rPr/>
        <w:t>de política presupuestaria, salarial, empleo, inversión y endeudamiento para entidades públicas, ministerios y órganos desconcentrados, según corresponda, cubiertos por el ámbito de la Autoridad Presupuestaria, para el año 2020, Decreto N° 42267-H, fecha de vigencia 31/03/2020. Modifica los artículos 26, 27, 28, 29 y 30</w:t>
      </w:r>
      <w:r>
        <w:rPr>
          <w:spacing w:val="-10"/>
        </w:rPr>
        <w:t> </w:t>
      </w:r>
      <w:r>
        <w:rPr/>
        <w:t>del</w:t>
      </w:r>
      <w:r>
        <w:rPr>
          <w:spacing w:val="-8"/>
        </w:rPr>
        <w:t> </w:t>
      </w:r>
      <w:r>
        <w:rPr/>
        <w:t>Capítulo</w:t>
      </w:r>
      <w:r>
        <w:rPr>
          <w:spacing w:val="-6"/>
        </w:rPr>
        <w:t> </w:t>
      </w:r>
      <w:r>
        <w:rPr/>
        <w:t>Tercero</w:t>
      </w:r>
      <w:r>
        <w:rPr>
          <w:spacing w:val="-6"/>
        </w:rPr>
        <w:t> </w:t>
      </w:r>
      <w:r>
        <w:rPr/>
        <w:t>“Sobre</w:t>
      </w:r>
      <w:r>
        <w:rPr>
          <w:spacing w:val="-10"/>
        </w:rPr>
        <w:t> </w:t>
      </w:r>
      <w:r>
        <w:rPr/>
        <w:t>Inversiones</w:t>
      </w:r>
      <w:r>
        <w:rPr>
          <w:spacing w:val="-7"/>
        </w:rPr>
        <w:t> </w:t>
      </w:r>
      <w:r>
        <w:rPr/>
        <w:t>Financieras”</w:t>
      </w:r>
      <w:r>
        <w:rPr>
          <w:spacing w:val="-9"/>
        </w:rPr>
        <w:t> </w:t>
      </w:r>
      <w:r>
        <w:rPr/>
        <w:t>del</w:t>
      </w:r>
      <w:r>
        <w:rPr>
          <w:spacing w:val="-8"/>
        </w:rPr>
        <w:t> </w:t>
      </w:r>
      <w:r>
        <w:rPr/>
        <w:t>Decreto</w:t>
      </w:r>
      <w:r>
        <w:rPr>
          <w:spacing w:val="-10"/>
        </w:rPr>
        <w:t> </w:t>
      </w:r>
      <w:r>
        <w:rPr/>
        <w:t>Ejecutivo</w:t>
      </w:r>
      <w:r>
        <w:rPr>
          <w:spacing w:val="-6"/>
        </w:rPr>
        <w:t> </w:t>
      </w:r>
      <w:r>
        <w:rPr/>
        <w:t>N°</w:t>
      </w:r>
      <w:r>
        <w:rPr>
          <w:spacing w:val="-9"/>
        </w:rPr>
        <w:t> </w:t>
      </w:r>
      <w:r>
        <w:rPr/>
        <w:t>41617-H.</w:t>
      </w:r>
    </w:p>
    <w:p>
      <w:pPr>
        <w:pStyle w:val="BodyText"/>
        <w:spacing w:before="1"/>
      </w:pPr>
    </w:p>
    <w:p>
      <w:pPr>
        <w:spacing w:line="240" w:lineRule="auto" w:before="0"/>
        <w:ind w:left="979" w:right="1337" w:firstLine="0"/>
        <w:jc w:val="both"/>
        <w:rPr>
          <w:sz w:val="22"/>
        </w:rPr>
      </w:pPr>
      <w:r>
        <w:rPr>
          <w:b/>
          <w:sz w:val="22"/>
        </w:rPr>
        <w:t>Reforma de los artículos 1°, 2°, 4°, 5° y 9° de los procedimientos de las directrices generales de política presupuestaria</w:t>
      </w:r>
      <w:r>
        <w:rPr>
          <w:sz w:val="22"/>
        </w:rPr>
        <w:t>, salarial, empleo, inversión y endeudamiento para entidades</w:t>
      </w:r>
      <w:r>
        <w:rPr>
          <w:spacing w:val="-1"/>
          <w:sz w:val="22"/>
        </w:rPr>
        <w:t> </w:t>
      </w:r>
      <w:r>
        <w:rPr>
          <w:sz w:val="22"/>
        </w:rPr>
        <w:t>públicas, ministerios y órganos desconcentrados, según corresponda, cubiertos por el ámbito de la Autoridad Presupuestaria, Decreto N° 42259-H, Fecha de vigencia </w:t>
      </w:r>
      <w:r>
        <w:rPr>
          <w:spacing w:val="-2"/>
          <w:sz w:val="22"/>
        </w:rPr>
        <w:t>31/03/2020.</w:t>
      </w:r>
    </w:p>
    <w:p>
      <w:pPr>
        <w:pStyle w:val="BodyText"/>
      </w:pPr>
    </w:p>
    <w:p>
      <w:pPr>
        <w:spacing w:line="240" w:lineRule="auto" w:before="0"/>
        <w:ind w:left="979" w:right="1340" w:firstLine="0"/>
        <w:jc w:val="both"/>
        <w:rPr>
          <w:sz w:val="22"/>
        </w:rPr>
      </w:pPr>
      <w:r>
        <w:rPr>
          <w:b/>
          <w:sz w:val="22"/>
        </w:rPr>
        <w:t>Reforma al Decreto Ejecutivo N° 42305-MTSS-MDHIS </w:t>
      </w:r>
      <w:r>
        <w:rPr>
          <w:sz w:val="22"/>
        </w:rPr>
        <w:t>denominado Creación del Bono Proteger, Decreto N°</w:t>
      </w:r>
      <w:r>
        <w:rPr>
          <w:spacing w:val="-3"/>
          <w:sz w:val="22"/>
        </w:rPr>
        <w:t> </w:t>
      </w:r>
      <w:r>
        <w:rPr>
          <w:sz w:val="22"/>
        </w:rPr>
        <w:t>42329-MTSS-MDHIS. Reforma los</w:t>
      </w:r>
      <w:r>
        <w:rPr>
          <w:spacing w:val="-1"/>
          <w:sz w:val="22"/>
        </w:rPr>
        <w:t> </w:t>
      </w:r>
      <w:r>
        <w:rPr>
          <w:sz w:val="22"/>
        </w:rPr>
        <w:t>artículos</w:t>
      </w:r>
      <w:r>
        <w:rPr>
          <w:spacing w:val="-1"/>
          <w:sz w:val="22"/>
        </w:rPr>
        <w:t> </w:t>
      </w:r>
      <w:r>
        <w:rPr>
          <w:sz w:val="22"/>
        </w:rPr>
        <w:t>1,</w:t>
      </w:r>
      <w:r>
        <w:rPr>
          <w:spacing w:val="-5"/>
          <w:sz w:val="22"/>
        </w:rPr>
        <w:t> </w:t>
      </w:r>
      <w:r>
        <w:rPr>
          <w:sz w:val="22"/>
        </w:rPr>
        <w:t>4,</w:t>
      </w:r>
      <w:r>
        <w:rPr>
          <w:spacing w:val="-5"/>
          <w:sz w:val="22"/>
        </w:rPr>
        <w:t> </w:t>
      </w:r>
      <w:r>
        <w:rPr>
          <w:sz w:val="22"/>
        </w:rPr>
        <w:t>5, 6, 7,</w:t>
      </w:r>
      <w:r>
        <w:rPr>
          <w:spacing w:val="-5"/>
          <w:sz w:val="22"/>
        </w:rPr>
        <w:t> </w:t>
      </w:r>
      <w:r>
        <w:rPr>
          <w:sz w:val="22"/>
        </w:rPr>
        <w:t>10, 11,</w:t>
      </w:r>
      <w:r>
        <w:rPr>
          <w:spacing w:val="-5"/>
          <w:sz w:val="22"/>
        </w:rPr>
        <w:t> </w:t>
      </w:r>
      <w:r>
        <w:rPr>
          <w:sz w:val="22"/>
        </w:rPr>
        <w:t>22 y 36 del Decreto Ejecutivo N° 42305-MTSS-MDHIS. Fecha de vigencia 24/04/2020</w:t>
      </w:r>
    </w:p>
    <w:p>
      <w:pPr>
        <w:pStyle w:val="BodyText"/>
        <w:spacing w:before="1"/>
      </w:pPr>
    </w:p>
    <w:p>
      <w:pPr>
        <w:spacing w:line="240" w:lineRule="auto" w:before="0"/>
        <w:ind w:left="979" w:right="1339" w:firstLine="0"/>
        <w:jc w:val="both"/>
        <w:rPr>
          <w:sz w:val="22"/>
        </w:rPr>
      </w:pPr>
      <w:r>
        <w:rPr>
          <w:b/>
          <w:sz w:val="22"/>
        </w:rPr>
        <w:t>Decreto</w:t>
      </w:r>
      <w:r>
        <w:rPr>
          <w:b/>
          <w:spacing w:val="-3"/>
          <w:sz w:val="22"/>
        </w:rPr>
        <w:t> </w:t>
      </w:r>
      <w:r>
        <w:rPr>
          <w:b/>
          <w:sz w:val="22"/>
        </w:rPr>
        <w:t>N°42206-MP-MDHIS.</w:t>
      </w:r>
      <w:r>
        <w:rPr>
          <w:b/>
          <w:spacing w:val="-1"/>
          <w:sz w:val="22"/>
        </w:rPr>
        <w:t> </w:t>
      </w:r>
      <w:r>
        <w:rPr>
          <w:b/>
          <w:sz w:val="22"/>
        </w:rPr>
        <w:t>Reglamento</w:t>
      </w:r>
      <w:r>
        <w:rPr>
          <w:b/>
          <w:spacing w:val="-3"/>
          <w:sz w:val="22"/>
        </w:rPr>
        <w:t> </w:t>
      </w:r>
      <w:r>
        <w:rPr>
          <w:b/>
          <w:sz w:val="22"/>
        </w:rPr>
        <w:t>a</w:t>
      </w:r>
      <w:r>
        <w:rPr>
          <w:b/>
          <w:spacing w:val="-5"/>
          <w:sz w:val="22"/>
        </w:rPr>
        <w:t> </w:t>
      </w:r>
      <w:r>
        <w:rPr>
          <w:b/>
          <w:sz w:val="22"/>
        </w:rPr>
        <w:t>la</w:t>
      </w:r>
      <w:r>
        <w:rPr>
          <w:b/>
          <w:spacing w:val="-5"/>
          <w:sz w:val="22"/>
        </w:rPr>
        <w:t> </w:t>
      </w:r>
      <w:r>
        <w:rPr>
          <w:b/>
          <w:sz w:val="22"/>
        </w:rPr>
        <w:t>Ley</w:t>
      </w:r>
      <w:r>
        <w:rPr>
          <w:b/>
          <w:spacing w:val="-5"/>
          <w:sz w:val="22"/>
        </w:rPr>
        <w:t> </w:t>
      </w:r>
      <w:r>
        <w:rPr>
          <w:b/>
          <w:sz w:val="22"/>
        </w:rPr>
        <w:t>de</w:t>
      </w:r>
      <w:r>
        <w:rPr>
          <w:b/>
          <w:spacing w:val="-1"/>
          <w:sz w:val="22"/>
        </w:rPr>
        <w:t> </w:t>
      </w:r>
      <w:r>
        <w:rPr>
          <w:b/>
          <w:sz w:val="22"/>
        </w:rPr>
        <w:t>Creación</w:t>
      </w:r>
      <w:r>
        <w:rPr>
          <w:b/>
          <w:spacing w:val="-3"/>
          <w:sz w:val="22"/>
        </w:rPr>
        <w:t> </w:t>
      </w:r>
      <w:r>
        <w:rPr>
          <w:b/>
          <w:sz w:val="22"/>
        </w:rPr>
        <w:t>de</w:t>
      </w:r>
      <w:r>
        <w:rPr>
          <w:b/>
          <w:spacing w:val="-6"/>
          <w:sz w:val="22"/>
        </w:rPr>
        <w:t> </w:t>
      </w:r>
      <w:r>
        <w:rPr>
          <w:b/>
          <w:sz w:val="22"/>
        </w:rPr>
        <w:t>la</w:t>
      </w:r>
      <w:r>
        <w:rPr>
          <w:b/>
          <w:spacing w:val="-1"/>
          <w:sz w:val="22"/>
        </w:rPr>
        <w:t> </w:t>
      </w:r>
      <w:r>
        <w:rPr>
          <w:b/>
          <w:sz w:val="22"/>
        </w:rPr>
        <w:t>Red</w:t>
      </w:r>
      <w:r>
        <w:rPr>
          <w:b/>
          <w:spacing w:val="-3"/>
          <w:sz w:val="22"/>
        </w:rPr>
        <w:t> </w:t>
      </w:r>
      <w:r>
        <w:rPr>
          <w:b/>
          <w:sz w:val="22"/>
        </w:rPr>
        <w:t>Nacional</w:t>
      </w:r>
      <w:r>
        <w:rPr>
          <w:b/>
          <w:spacing w:val="-1"/>
          <w:sz w:val="22"/>
        </w:rPr>
        <w:t> </w:t>
      </w:r>
      <w:r>
        <w:rPr>
          <w:b/>
          <w:sz w:val="22"/>
        </w:rPr>
        <w:t>de Cuido y</w:t>
      </w:r>
      <w:r>
        <w:rPr>
          <w:b/>
          <w:spacing w:val="-1"/>
          <w:sz w:val="22"/>
        </w:rPr>
        <w:t> </w:t>
      </w:r>
      <w:r>
        <w:rPr>
          <w:b/>
          <w:sz w:val="22"/>
        </w:rPr>
        <w:t>Desarrollo</w:t>
      </w:r>
      <w:r>
        <w:rPr>
          <w:b/>
          <w:spacing w:val="-3"/>
          <w:sz w:val="22"/>
        </w:rPr>
        <w:t> </w:t>
      </w:r>
      <w:r>
        <w:rPr>
          <w:b/>
          <w:sz w:val="22"/>
        </w:rPr>
        <w:t>Infantil</w:t>
      </w:r>
      <w:r>
        <w:rPr>
          <w:sz w:val="22"/>
        </w:rPr>
        <w:t>.</w:t>
      </w:r>
      <w:r>
        <w:rPr>
          <w:spacing w:val="-1"/>
          <w:sz w:val="22"/>
        </w:rPr>
        <w:t> </w:t>
      </w:r>
      <w:r>
        <w:rPr>
          <w:sz w:val="22"/>
        </w:rPr>
        <w:t>Fecha</w:t>
      </w:r>
      <w:r>
        <w:rPr>
          <w:spacing w:val="-1"/>
          <w:sz w:val="22"/>
        </w:rPr>
        <w:t> </w:t>
      </w:r>
      <w:r>
        <w:rPr>
          <w:sz w:val="22"/>
        </w:rPr>
        <w:t>de</w:t>
      </w:r>
      <w:r>
        <w:rPr>
          <w:spacing w:val="-1"/>
          <w:sz w:val="22"/>
        </w:rPr>
        <w:t> </w:t>
      </w:r>
      <w:r>
        <w:rPr>
          <w:sz w:val="22"/>
        </w:rPr>
        <w:t>vigencia</w:t>
      </w:r>
      <w:r>
        <w:rPr>
          <w:spacing w:val="-1"/>
          <w:sz w:val="22"/>
        </w:rPr>
        <w:t> </w:t>
      </w:r>
      <w:r>
        <w:rPr>
          <w:sz w:val="22"/>
        </w:rPr>
        <w:t>02/04/2020.</w:t>
      </w:r>
      <w:r>
        <w:rPr>
          <w:spacing w:val="-1"/>
          <w:sz w:val="22"/>
        </w:rPr>
        <w:t> </w:t>
      </w:r>
      <w:r>
        <w:rPr>
          <w:sz w:val="22"/>
        </w:rPr>
        <w:t>Facilita</w:t>
      </w:r>
      <w:r>
        <w:rPr>
          <w:spacing w:val="-1"/>
          <w:sz w:val="22"/>
        </w:rPr>
        <w:t> </w:t>
      </w:r>
      <w:r>
        <w:rPr>
          <w:sz w:val="22"/>
        </w:rPr>
        <w:t>la</w:t>
      </w:r>
      <w:r>
        <w:rPr>
          <w:spacing w:val="-1"/>
          <w:sz w:val="22"/>
        </w:rPr>
        <w:t> </w:t>
      </w:r>
      <w:r>
        <w:rPr>
          <w:sz w:val="22"/>
        </w:rPr>
        <w:t>ejecución</w:t>
      </w:r>
      <w:r>
        <w:rPr>
          <w:spacing w:val="-1"/>
          <w:sz w:val="22"/>
        </w:rPr>
        <w:t> </w:t>
      </w:r>
      <w:r>
        <w:rPr>
          <w:sz w:val="22"/>
        </w:rPr>
        <w:t>de</w:t>
      </w:r>
      <w:r>
        <w:rPr>
          <w:spacing w:val="-1"/>
          <w:sz w:val="22"/>
        </w:rPr>
        <w:t> </w:t>
      </w:r>
      <w:r>
        <w:rPr>
          <w:sz w:val="22"/>
        </w:rPr>
        <w:t>la</w:t>
      </w:r>
      <w:r>
        <w:rPr>
          <w:spacing w:val="-1"/>
          <w:sz w:val="22"/>
        </w:rPr>
        <w:t> </w:t>
      </w:r>
      <w:r>
        <w:rPr>
          <w:sz w:val="22"/>
        </w:rPr>
        <w:t>Ley de la Red Nacional de Cuido y Desarrollo Infantil, N° 9220 de 24 de marzo de 2014 -en adelante, Ley N°9220. </w:t>
      </w:r>
      <w:r>
        <w:rPr>
          <w:b/>
          <w:sz w:val="22"/>
        </w:rPr>
        <w:t>Reforma: </w:t>
      </w:r>
      <w:r>
        <w:rPr>
          <w:sz w:val="22"/>
        </w:rPr>
        <w:t>16/06/2020.</w:t>
      </w:r>
    </w:p>
    <w:p>
      <w:pPr>
        <w:spacing w:after="0" w:line="240" w:lineRule="auto"/>
        <w:jc w:val="both"/>
        <w:rPr>
          <w:sz w:val="22"/>
        </w:rPr>
        <w:sectPr>
          <w:pgSz w:w="12240" w:h="15840"/>
          <w:pgMar w:header="0" w:footer="1021" w:top="1340" w:bottom="1220" w:left="720" w:right="360"/>
        </w:sectPr>
      </w:pPr>
    </w:p>
    <w:p>
      <w:pPr>
        <w:spacing w:line="240" w:lineRule="auto" w:before="76"/>
        <w:ind w:left="979" w:right="1344" w:firstLine="0"/>
        <w:jc w:val="both"/>
        <w:rPr>
          <w:sz w:val="22"/>
        </w:rPr>
      </w:pPr>
      <w:r>
        <w:rPr>
          <w:b/>
          <w:sz w:val="22"/>
        </w:rPr>
        <w:t>Decreto</w:t>
      </w:r>
      <w:r>
        <w:rPr>
          <w:b/>
          <w:spacing w:val="-2"/>
          <w:sz w:val="22"/>
        </w:rPr>
        <w:t> </w:t>
      </w:r>
      <w:r>
        <w:rPr>
          <w:b/>
          <w:sz w:val="22"/>
        </w:rPr>
        <w:t>Nº</w:t>
      </w:r>
      <w:r>
        <w:rPr>
          <w:b/>
          <w:spacing w:val="-6"/>
          <w:sz w:val="22"/>
        </w:rPr>
        <w:t> </w:t>
      </w:r>
      <w:r>
        <w:rPr>
          <w:b/>
          <w:sz w:val="22"/>
        </w:rPr>
        <w:t>42266-H Normas para la aplicación de la dedicación exclusiva para las instituciones y empresas públicas cubiertas por el ámbito de la Autoridad Presupuestaria</w:t>
      </w:r>
      <w:r>
        <w:rPr>
          <w:sz w:val="22"/>
        </w:rPr>
        <w:t>.</w:t>
      </w:r>
      <w:r>
        <w:rPr>
          <w:spacing w:val="-16"/>
          <w:sz w:val="22"/>
        </w:rPr>
        <w:t> </w:t>
      </w:r>
      <w:r>
        <w:rPr>
          <w:sz w:val="22"/>
        </w:rPr>
        <w:t>Regula</w:t>
      </w:r>
      <w:r>
        <w:rPr>
          <w:spacing w:val="-15"/>
          <w:sz w:val="22"/>
        </w:rPr>
        <w:t> </w:t>
      </w:r>
      <w:r>
        <w:rPr>
          <w:sz w:val="22"/>
        </w:rPr>
        <w:t>la</w:t>
      </w:r>
      <w:r>
        <w:rPr>
          <w:spacing w:val="-15"/>
          <w:sz w:val="22"/>
        </w:rPr>
        <w:t> </w:t>
      </w:r>
      <w:r>
        <w:rPr>
          <w:sz w:val="22"/>
        </w:rPr>
        <w:t>aplicación</w:t>
      </w:r>
      <w:r>
        <w:rPr>
          <w:spacing w:val="-16"/>
          <w:sz w:val="22"/>
        </w:rPr>
        <w:t> </w:t>
      </w:r>
      <w:r>
        <w:rPr>
          <w:sz w:val="22"/>
        </w:rPr>
        <w:t>de</w:t>
      </w:r>
      <w:r>
        <w:rPr>
          <w:spacing w:val="-15"/>
          <w:sz w:val="22"/>
        </w:rPr>
        <w:t> </w:t>
      </w:r>
      <w:r>
        <w:rPr>
          <w:sz w:val="22"/>
        </w:rPr>
        <w:t>la</w:t>
      </w:r>
      <w:r>
        <w:rPr>
          <w:spacing w:val="-15"/>
          <w:sz w:val="22"/>
        </w:rPr>
        <w:t> </w:t>
      </w:r>
      <w:r>
        <w:rPr>
          <w:sz w:val="22"/>
        </w:rPr>
        <w:t>dedicación</w:t>
      </w:r>
      <w:r>
        <w:rPr>
          <w:spacing w:val="-15"/>
          <w:sz w:val="22"/>
        </w:rPr>
        <w:t> </w:t>
      </w:r>
      <w:r>
        <w:rPr>
          <w:sz w:val="22"/>
        </w:rPr>
        <w:t>exclusiva</w:t>
      </w:r>
      <w:r>
        <w:rPr>
          <w:spacing w:val="-16"/>
          <w:sz w:val="22"/>
        </w:rPr>
        <w:t> </w:t>
      </w:r>
      <w:r>
        <w:rPr>
          <w:sz w:val="22"/>
        </w:rPr>
        <w:t>en</w:t>
      </w:r>
      <w:r>
        <w:rPr>
          <w:spacing w:val="-15"/>
          <w:sz w:val="22"/>
        </w:rPr>
        <w:t> </w:t>
      </w:r>
      <w:r>
        <w:rPr>
          <w:sz w:val="22"/>
        </w:rPr>
        <w:t>el</w:t>
      </w:r>
      <w:r>
        <w:rPr>
          <w:spacing w:val="-15"/>
          <w:sz w:val="22"/>
        </w:rPr>
        <w:t> </w:t>
      </w:r>
      <w:r>
        <w:rPr>
          <w:sz w:val="22"/>
        </w:rPr>
        <w:t>sector</w:t>
      </w:r>
      <w:r>
        <w:rPr>
          <w:spacing w:val="-16"/>
          <w:sz w:val="22"/>
        </w:rPr>
        <w:t> </w:t>
      </w:r>
      <w:r>
        <w:rPr>
          <w:sz w:val="22"/>
        </w:rPr>
        <w:t>público</w:t>
      </w:r>
      <w:r>
        <w:rPr>
          <w:spacing w:val="38"/>
          <w:sz w:val="22"/>
        </w:rPr>
        <w:t> </w:t>
      </w:r>
      <w:r>
        <w:rPr>
          <w:sz w:val="22"/>
        </w:rPr>
        <w:t>Fecha de vigencia 30/09/2020.</w:t>
      </w:r>
    </w:p>
    <w:p>
      <w:pPr>
        <w:spacing w:line="240" w:lineRule="auto" w:before="251"/>
        <w:ind w:left="979" w:right="1338" w:firstLine="0"/>
        <w:jc w:val="both"/>
        <w:rPr>
          <w:sz w:val="22"/>
        </w:rPr>
      </w:pPr>
      <w:r>
        <w:rPr>
          <w:b/>
          <w:sz w:val="22"/>
        </w:rPr>
        <w:t>Decreto Ejecutivo N° 42791-S-MDHIS-MCM-MNA</w:t>
      </w:r>
      <w:r>
        <w:rPr>
          <w:sz w:val="22"/>
        </w:rPr>
        <w:t>, </w:t>
      </w:r>
      <w:r>
        <w:rPr>
          <w:b/>
          <w:sz w:val="22"/>
        </w:rPr>
        <w:t>Creación de la modalidad de atención</w:t>
      </w:r>
      <w:r>
        <w:rPr>
          <w:b/>
          <w:spacing w:val="-14"/>
          <w:sz w:val="22"/>
        </w:rPr>
        <w:t> </w:t>
      </w:r>
      <w:r>
        <w:rPr>
          <w:b/>
          <w:sz w:val="22"/>
        </w:rPr>
        <w:t>integral</w:t>
      </w:r>
      <w:r>
        <w:rPr>
          <w:b/>
          <w:spacing w:val="-16"/>
          <w:sz w:val="22"/>
        </w:rPr>
        <w:t> </w:t>
      </w:r>
      <w:r>
        <w:rPr>
          <w:b/>
          <w:sz w:val="22"/>
        </w:rPr>
        <w:t>e</w:t>
      </w:r>
      <w:r>
        <w:rPr>
          <w:b/>
          <w:spacing w:val="-9"/>
          <w:sz w:val="22"/>
        </w:rPr>
        <w:t> </w:t>
      </w:r>
      <w:r>
        <w:rPr>
          <w:b/>
          <w:sz w:val="22"/>
        </w:rPr>
        <w:t>interinstitucional</w:t>
      </w:r>
      <w:r>
        <w:rPr>
          <w:b/>
          <w:spacing w:val="-11"/>
          <w:sz w:val="22"/>
        </w:rPr>
        <w:t> </w:t>
      </w:r>
      <w:r>
        <w:rPr>
          <w:b/>
          <w:sz w:val="22"/>
        </w:rPr>
        <w:t>de</w:t>
      </w:r>
      <w:r>
        <w:rPr>
          <w:b/>
          <w:spacing w:val="-15"/>
          <w:sz w:val="22"/>
        </w:rPr>
        <w:t> </w:t>
      </w:r>
      <w:r>
        <w:rPr>
          <w:b/>
          <w:sz w:val="22"/>
        </w:rPr>
        <w:t>hogares</w:t>
      </w:r>
      <w:r>
        <w:rPr>
          <w:b/>
          <w:spacing w:val="-10"/>
          <w:sz w:val="22"/>
        </w:rPr>
        <w:t> </w:t>
      </w:r>
      <w:r>
        <w:rPr>
          <w:b/>
          <w:sz w:val="22"/>
        </w:rPr>
        <w:t>en</w:t>
      </w:r>
      <w:r>
        <w:rPr>
          <w:b/>
          <w:spacing w:val="-16"/>
          <w:sz w:val="22"/>
        </w:rPr>
        <w:t> </w:t>
      </w:r>
      <w:r>
        <w:rPr>
          <w:b/>
          <w:sz w:val="22"/>
        </w:rPr>
        <w:t>situación</w:t>
      </w:r>
      <w:r>
        <w:rPr>
          <w:b/>
          <w:spacing w:val="-12"/>
          <w:sz w:val="22"/>
        </w:rPr>
        <w:t> </w:t>
      </w:r>
      <w:r>
        <w:rPr>
          <w:b/>
          <w:sz w:val="22"/>
        </w:rPr>
        <w:t>de</w:t>
      </w:r>
      <w:r>
        <w:rPr>
          <w:b/>
          <w:spacing w:val="-10"/>
          <w:sz w:val="22"/>
        </w:rPr>
        <w:t> </w:t>
      </w:r>
      <w:r>
        <w:rPr>
          <w:b/>
          <w:sz w:val="22"/>
        </w:rPr>
        <w:t>pobreza</w:t>
      </w:r>
      <w:r>
        <w:rPr>
          <w:b/>
          <w:spacing w:val="-15"/>
          <w:sz w:val="22"/>
        </w:rPr>
        <w:t> </w:t>
      </w:r>
      <w:r>
        <w:rPr>
          <w:b/>
          <w:sz w:val="22"/>
        </w:rPr>
        <w:t>extrema</w:t>
      </w:r>
      <w:r>
        <w:rPr>
          <w:b/>
          <w:spacing w:val="-10"/>
          <w:sz w:val="22"/>
        </w:rPr>
        <w:t> </w:t>
      </w:r>
      <w:r>
        <w:rPr>
          <w:b/>
          <w:sz w:val="22"/>
        </w:rPr>
        <w:t>con mujeres en estado de gestación o lactancia, denominada NIDO</w:t>
      </w:r>
      <w:r>
        <w:rPr>
          <w:sz w:val="22"/>
        </w:rPr>
        <w:t>. Tiene por objeto articular</w:t>
      </w:r>
      <w:r>
        <w:rPr>
          <w:spacing w:val="-16"/>
          <w:sz w:val="22"/>
        </w:rPr>
        <w:t> </w:t>
      </w:r>
      <w:r>
        <w:rPr>
          <w:sz w:val="22"/>
        </w:rPr>
        <w:t>programas,</w:t>
      </w:r>
      <w:r>
        <w:rPr>
          <w:spacing w:val="-15"/>
          <w:sz w:val="22"/>
        </w:rPr>
        <w:t> </w:t>
      </w:r>
      <w:r>
        <w:rPr>
          <w:sz w:val="22"/>
        </w:rPr>
        <w:t>servicios</w:t>
      </w:r>
      <w:r>
        <w:rPr>
          <w:spacing w:val="-15"/>
          <w:sz w:val="22"/>
        </w:rPr>
        <w:t> </w:t>
      </w:r>
      <w:r>
        <w:rPr>
          <w:sz w:val="22"/>
        </w:rPr>
        <w:t>y</w:t>
      </w:r>
      <w:r>
        <w:rPr>
          <w:spacing w:val="-16"/>
          <w:sz w:val="22"/>
        </w:rPr>
        <w:t> </w:t>
      </w:r>
      <w:r>
        <w:rPr>
          <w:sz w:val="22"/>
        </w:rPr>
        <w:t>proyectos</w:t>
      </w:r>
      <w:r>
        <w:rPr>
          <w:spacing w:val="-15"/>
          <w:sz w:val="22"/>
        </w:rPr>
        <w:t> </w:t>
      </w:r>
      <w:r>
        <w:rPr>
          <w:sz w:val="22"/>
        </w:rPr>
        <w:t>que</w:t>
      </w:r>
      <w:r>
        <w:rPr>
          <w:spacing w:val="-15"/>
          <w:sz w:val="22"/>
        </w:rPr>
        <w:t> </w:t>
      </w:r>
      <w:r>
        <w:rPr>
          <w:sz w:val="22"/>
        </w:rPr>
        <w:t>permitan</w:t>
      </w:r>
      <w:r>
        <w:rPr>
          <w:spacing w:val="-15"/>
          <w:sz w:val="22"/>
        </w:rPr>
        <w:t> </w:t>
      </w:r>
      <w:r>
        <w:rPr>
          <w:sz w:val="22"/>
        </w:rPr>
        <w:t>la</w:t>
      </w:r>
      <w:r>
        <w:rPr>
          <w:spacing w:val="-15"/>
          <w:sz w:val="22"/>
        </w:rPr>
        <w:t> </w:t>
      </w:r>
      <w:r>
        <w:rPr>
          <w:sz w:val="22"/>
        </w:rPr>
        <w:t>atención</w:t>
      </w:r>
      <w:r>
        <w:rPr>
          <w:spacing w:val="-14"/>
          <w:sz w:val="22"/>
        </w:rPr>
        <w:t> </w:t>
      </w:r>
      <w:r>
        <w:rPr>
          <w:sz w:val="22"/>
        </w:rPr>
        <w:t>integral</w:t>
      </w:r>
      <w:r>
        <w:rPr>
          <w:spacing w:val="-13"/>
          <w:sz w:val="22"/>
        </w:rPr>
        <w:t> </w:t>
      </w:r>
      <w:r>
        <w:rPr>
          <w:sz w:val="22"/>
        </w:rPr>
        <w:t>interinstitucional de los hogares en situación de pobreza extrema con mujeres en estado de gestación o lactancia, durante 36 meses. Fecha de vigencia 27/01/2021.</w:t>
      </w:r>
    </w:p>
    <w:p>
      <w:pPr>
        <w:pStyle w:val="BodyText"/>
        <w:spacing w:before="1"/>
      </w:pPr>
    </w:p>
    <w:p>
      <w:pPr>
        <w:pStyle w:val="BodyText"/>
        <w:ind w:left="979" w:right="1337"/>
        <w:jc w:val="both"/>
      </w:pPr>
      <w:r>
        <w:rPr>
          <w:b/>
        </w:rPr>
        <w:t>Decreto N°42940-H-MDHIS</w:t>
      </w:r>
      <w:r>
        <w:rPr/>
        <w:t>. </w:t>
      </w:r>
      <w:r>
        <w:rPr>
          <w:b/>
        </w:rPr>
        <w:t>Reglamento a la Ley del Impuesto a Moteles y Lugares afines</w:t>
      </w:r>
      <w:r>
        <w:rPr/>
        <w:t>. Regula la gestión, fiscalización, recaudación, inscripción, autorización, calificación y</w:t>
      </w:r>
      <w:r>
        <w:rPr>
          <w:spacing w:val="-16"/>
        </w:rPr>
        <w:t> </w:t>
      </w:r>
      <w:r>
        <w:rPr/>
        <w:t>la</w:t>
      </w:r>
      <w:r>
        <w:rPr>
          <w:spacing w:val="-15"/>
        </w:rPr>
        <w:t> </w:t>
      </w:r>
      <w:r>
        <w:rPr/>
        <w:t>aplicación</w:t>
      </w:r>
      <w:r>
        <w:rPr>
          <w:spacing w:val="-15"/>
        </w:rPr>
        <w:t> </w:t>
      </w:r>
      <w:r>
        <w:rPr/>
        <w:t>de</w:t>
      </w:r>
      <w:r>
        <w:rPr>
          <w:spacing w:val="-16"/>
        </w:rPr>
        <w:t> </w:t>
      </w:r>
      <w:r>
        <w:rPr/>
        <w:t>sanciones</w:t>
      </w:r>
      <w:r>
        <w:rPr>
          <w:spacing w:val="-15"/>
        </w:rPr>
        <w:t> </w:t>
      </w:r>
      <w:r>
        <w:rPr/>
        <w:t>administrativas</w:t>
      </w:r>
      <w:r>
        <w:rPr>
          <w:spacing w:val="-15"/>
        </w:rPr>
        <w:t> </w:t>
      </w:r>
      <w:r>
        <w:rPr/>
        <w:t>proveniente</w:t>
      </w:r>
      <w:r>
        <w:rPr>
          <w:spacing w:val="-15"/>
        </w:rPr>
        <w:t> </w:t>
      </w:r>
      <w:r>
        <w:rPr/>
        <w:t>de</w:t>
      </w:r>
      <w:r>
        <w:rPr>
          <w:spacing w:val="-16"/>
        </w:rPr>
        <w:t> </w:t>
      </w:r>
      <w:r>
        <w:rPr/>
        <w:t>la</w:t>
      </w:r>
      <w:r>
        <w:rPr>
          <w:spacing w:val="-15"/>
        </w:rPr>
        <w:t> </w:t>
      </w:r>
      <w:r>
        <w:rPr/>
        <w:t>Ley</w:t>
      </w:r>
      <w:r>
        <w:rPr>
          <w:spacing w:val="-15"/>
        </w:rPr>
        <w:t> </w:t>
      </w:r>
      <w:r>
        <w:rPr/>
        <w:t>N°</w:t>
      </w:r>
      <w:r>
        <w:rPr>
          <w:spacing w:val="-16"/>
        </w:rPr>
        <w:t> </w:t>
      </w:r>
      <w:r>
        <w:rPr/>
        <w:t>9326</w:t>
      </w:r>
      <w:r>
        <w:rPr>
          <w:spacing w:val="-15"/>
        </w:rPr>
        <w:t> </w:t>
      </w:r>
      <w:r>
        <w:rPr/>
        <w:t>del</w:t>
      </w:r>
      <w:r>
        <w:rPr>
          <w:spacing w:val="-15"/>
        </w:rPr>
        <w:t> </w:t>
      </w:r>
      <w:r>
        <w:rPr/>
        <w:t>19</w:t>
      </w:r>
      <w:r>
        <w:rPr>
          <w:spacing w:val="-15"/>
        </w:rPr>
        <w:t> </w:t>
      </w:r>
      <w:r>
        <w:rPr/>
        <w:t>de</w:t>
      </w:r>
      <w:r>
        <w:rPr>
          <w:spacing w:val="-16"/>
        </w:rPr>
        <w:t> </w:t>
      </w:r>
      <w:r>
        <w:rPr/>
        <w:t>octubre de 2015 y sus reformas, de las personas físicas o jurídicas que ejerzan el derecho de explotación comercial, uso o disfrute de un bien o bienes</w:t>
      </w:r>
      <w:r>
        <w:rPr>
          <w:spacing w:val="-1"/>
        </w:rPr>
        <w:t> </w:t>
      </w:r>
      <w:r>
        <w:rPr/>
        <w:t>utilizados como moteles, hoteles sin registro, hoteles de paso, casas de alojamiento ocasional, salas de masaje, "Night Clubs"</w:t>
      </w:r>
      <w:r>
        <w:rPr>
          <w:spacing w:val="-12"/>
        </w:rPr>
        <w:t> </w:t>
      </w:r>
      <w:r>
        <w:rPr/>
        <w:t>con</w:t>
      </w:r>
      <w:r>
        <w:rPr>
          <w:spacing w:val="-9"/>
        </w:rPr>
        <w:t> </w:t>
      </w:r>
      <w:r>
        <w:rPr/>
        <w:t>servicio</w:t>
      </w:r>
      <w:r>
        <w:rPr>
          <w:spacing w:val="-14"/>
        </w:rPr>
        <w:t> </w:t>
      </w:r>
      <w:r>
        <w:rPr/>
        <w:t>de</w:t>
      </w:r>
      <w:r>
        <w:rPr>
          <w:spacing w:val="-14"/>
        </w:rPr>
        <w:t> </w:t>
      </w:r>
      <w:r>
        <w:rPr/>
        <w:t>habitación</w:t>
      </w:r>
      <w:r>
        <w:rPr>
          <w:spacing w:val="-9"/>
        </w:rPr>
        <w:t> </w:t>
      </w:r>
      <w:r>
        <w:rPr/>
        <w:t>y</w:t>
      </w:r>
      <w:r>
        <w:rPr>
          <w:spacing w:val="-11"/>
        </w:rPr>
        <w:t> </w:t>
      </w:r>
      <w:r>
        <w:rPr/>
        <w:t>similares,</w:t>
      </w:r>
      <w:r>
        <w:rPr>
          <w:spacing w:val="-10"/>
        </w:rPr>
        <w:t> </w:t>
      </w:r>
      <w:r>
        <w:rPr/>
        <w:t>en</w:t>
      </w:r>
      <w:r>
        <w:rPr>
          <w:spacing w:val="-9"/>
        </w:rPr>
        <w:t> </w:t>
      </w:r>
      <w:r>
        <w:rPr/>
        <w:t>los</w:t>
      </w:r>
      <w:r>
        <w:rPr>
          <w:spacing w:val="-11"/>
        </w:rPr>
        <w:t> </w:t>
      </w:r>
      <w:r>
        <w:rPr/>
        <w:t>que</w:t>
      </w:r>
      <w:r>
        <w:rPr>
          <w:spacing w:val="-9"/>
        </w:rPr>
        <w:t> </w:t>
      </w:r>
      <w:r>
        <w:rPr/>
        <w:t>se</w:t>
      </w:r>
      <w:r>
        <w:rPr>
          <w:spacing w:val="-14"/>
        </w:rPr>
        <w:t> </w:t>
      </w:r>
      <w:r>
        <w:rPr/>
        <w:t>descanse</w:t>
      </w:r>
      <w:r>
        <w:rPr>
          <w:spacing w:val="-9"/>
        </w:rPr>
        <w:t> </w:t>
      </w:r>
      <w:r>
        <w:rPr/>
        <w:t>y</w:t>
      </w:r>
      <w:r>
        <w:rPr>
          <w:spacing w:val="-11"/>
        </w:rPr>
        <w:t> </w:t>
      </w:r>
      <w:r>
        <w:rPr/>
        <w:t>se</w:t>
      </w:r>
      <w:r>
        <w:rPr>
          <w:spacing w:val="-9"/>
        </w:rPr>
        <w:t> </w:t>
      </w:r>
      <w:r>
        <w:rPr/>
        <w:t>realice</w:t>
      </w:r>
      <w:r>
        <w:rPr>
          <w:spacing w:val="-9"/>
        </w:rPr>
        <w:t> </w:t>
      </w:r>
      <w:r>
        <w:rPr/>
        <w:t>la</w:t>
      </w:r>
      <w:r>
        <w:rPr>
          <w:spacing w:val="-9"/>
        </w:rPr>
        <w:t> </w:t>
      </w:r>
      <w:r>
        <w:rPr/>
        <w:t>reunión íntima por un plazo determinado, mediante el pago de un precio establecido. Fecha de vigencia 29/10/2021.</w:t>
      </w:r>
    </w:p>
    <w:p>
      <w:pPr>
        <w:pStyle w:val="BodyText"/>
      </w:pPr>
    </w:p>
    <w:p>
      <w:pPr>
        <w:spacing w:before="0"/>
        <w:ind w:left="979" w:right="1343" w:firstLine="0"/>
        <w:jc w:val="both"/>
        <w:rPr>
          <w:sz w:val="22"/>
        </w:rPr>
      </w:pPr>
      <w:r>
        <w:rPr>
          <w:b/>
          <w:sz w:val="22"/>
        </w:rPr>
        <w:t>Decreto N°35873-MTSS</w:t>
      </w:r>
      <w:r>
        <w:rPr>
          <w:sz w:val="22"/>
        </w:rPr>
        <w:t>.</w:t>
      </w:r>
      <w:r>
        <w:rPr>
          <w:b/>
          <w:sz w:val="22"/>
        </w:rPr>
        <w:t>Reglamento a la Ley de Desarrollo Social y Asignaciones Familiares. </w:t>
      </w:r>
      <w:r>
        <w:rPr>
          <w:sz w:val="22"/>
        </w:rPr>
        <w:t>Creación del Fondo de Desarrollo Social y Asignaciones Familiares, IMAS percibe,</w:t>
      </w:r>
      <w:r>
        <w:rPr>
          <w:spacing w:val="-16"/>
          <w:sz w:val="22"/>
        </w:rPr>
        <w:t> </w:t>
      </w:r>
      <w:r>
        <w:rPr>
          <w:sz w:val="22"/>
        </w:rPr>
        <w:t>como</w:t>
      </w:r>
      <w:r>
        <w:rPr>
          <w:spacing w:val="-15"/>
          <w:sz w:val="22"/>
        </w:rPr>
        <w:t> </w:t>
      </w:r>
      <w:r>
        <w:rPr>
          <w:sz w:val="22"/>
        </w:rPr>
        <w:t>mínimo,</w:t>
      </w:r>
      <w:r>
        <w:rPr>
          <w:spacing w:val="-15"/>
          <w:sz w:val="22"/>
        </w:rPr>
        <w:t> </w:t>
      </w:r>
      <w:r>
        <w:rPr>
          <w:sz w:val="22"/>
        </w:rPr>
        <w:t>un</w:t>
      </w:r>
      <w:r>
        <w:rPr>
          <w:spacing w:val="-16"/>
          <w:sz w:val="22"/>
        </w:rPr>
        <w:t> </w:t>
      </w:r>
      <w:r>
        <w:rPr>
          <w:sz w:val="22"/>
        </w:rPr>
        <w:t>4%</w:t>
      </w:r>
      <w:r>
        <w:rPr>
          <w:spacing w:val="-18"/>
          <w:sz w:val="22"/>
        </w:rPr>
        <w:t> </w:t>
      </w:r>
      <w:r>
        <w:rPr>
          <w:sz w:val="22"/>
        </w:rPr>
        <w:t>de</w:t>
      </w:r>
      <w:r>
        <w:rPr>
          <w:spacing w:val="-15"/>
          <w:sz w:val="22"/>
        </w:rPr>
        <w:t> </w:t>
      </w:r>
      <w:r>
        <w:rPr>
          <w:sz w:val="22"/>
        </w:rPr>
        <w:t>los</w:t>
      </w:r>
      <w:r>
        <w:rPr>
          <w:spacing w:val="-15"/>
          <w:sz w:val="22"/>
        </w:rPr>
        <w:t> </w:t>
      </w:r>
      <w:r>
        <w:rPr>
          <w:sz w:val="22"/>
        </w:rPr>
        <w:t>recursos</w:t>
      </w:r>
      <w:r>
        <w:rPr>
          <w:spacing w:val="-15"/>
          <w:sz w:val="22"/>
        </w:rPr>
        <w:t> </w:t>
      </w:r>
      <w:r>
        <w:rPr>
          <w:sz w:val="22"/>
        </w:rPr>
        <w:t>de</w:t>
      </w:r>
      <w:r>
        <w:rPr>
          <w:spacing w:val="-16"/>
          <w:sz w:val="22"/>
        </w:rPr>
        <w:t> </w:t>
      </w:r>
      <w:r>
        <w:rPr>
          <w:sz w:val="22"/>
        </w:rPr>
        <w:t>FODESAF.</w:t>
      </w:r>
      <w:r>
        <w:rPr>
          <w:spacing w:val="-15"/>
          <w:sz w:val="22"/>
        </w:rPr>
        <w:t> </w:t>
      </w:r>
      <w:r>
        <w:rPr>
          <w:sz w:val="22"/>
        </w:rPr>
        <w:t>Fecha</w:t>
      </w:r>
      <w:r>
        <w:rPr>
          <w:spacing w:val="-17"/>
          <w:sz w:val="22"/>
        </w:rPr>
        <w:t> </w:t>
      </w:r>
      <w:r>
        <w:rPr>
          <w:sz w:val="22"/>
        </w:rPr>
        <w:t>de</w:t>
      </w:r>
      <w:r>
        <w:rPr>
          <w:spacing w:val="-15"/>
          <w:sz w:val="22"/>
        </w:rPr>
        <w:t> </w:t>
      </w:r>
      <w:r>
        <w:rPr>
          <w:sz w:val="22"/>
        </w:rPr>
        <w:t>vigencia</w:t>
      </w:r>
      <w:r>
        <w:rPr>
          <w:spacing w:val="-15"/>
          <w:sz w:val="22"/>
        </w:rPr>
        <w:t> </w:t>
      </w:r>
      <w:r>
        <w:rPr>
          <w:sz w:val="22"/>
        </w:rPr>
        <w:t>04/11/2021.</w:t>
      </w:r>
    </w:p>
    <w:p>
      <w:pPr>
        <w:pStyle w:val="BodyText"/>
        <w:spacing w:before="1"/>
      </w:pPr>
    </w:p>
    <w:p>
      <w:pPr>
        <w:spacing w:line="240" w:lineRule="auto" w:before="1"/>
        <w:ind w:left="979" w:right="1334" w:firstLine="0"/>
        <w:jc w:val="both"/>
        <w:rPr>
          <w:sz w:val="22"/>
        </w:rPr>
      </w:pPr>
      <w:r>
        <w:rPr>
          <w:b/>
          <w:sz w:val="22"/>
        </w:rPr>
        <w:t>Decreto N°43219-MEP-MTSS-MDHIS.</w:t>
      </w:r>
      <w:r>
        <w:rPr>
          <w:b/>
          <w:spacing w:val="-1"/>
          <w:sz w:val="22"/>
        </w:rPr>
        <w:t> </w:t>
      </w:r>
      <w:r>
        <w:rPr>
          <w:b/>
          <w:sz w:val="22"/>
        </w:rPr>
        <w:t>Reglamento a</w:t>
      </w:r>
      <w:r>
        <w:rPr>
          <w:b/>
          <w:spacing w:val="-2"/>
          <w:sz w:val="22"/>
        </w:rPr>
        <w:t> </w:t>
      </w:r>
      <w:r>
        <w:rPr>
          <w:b/>
          <w:sz w:val="22"/>
        </w:rPr>
        <w:t>la</w:t>
      </w:r>
      <w:r>
        <w:rPr>
          <w:b/>
          <w:spacing w:val="-2"/>
          <w:sz w:val="22"/>
        </w:rPr>
        <w:t> </w:t>
      </w:r>
      <w:r>
        <w:rPr>
          <w:b/>
          <w:sz w:val="22"/>
        </w:rPr>
        <w:t>ley</w:t>
      </w:r>
      <w:r>
        <w:rPr>
          <w:b/>
          <w:spacing w:val="-2"/>
          <w:sz w:val="22"/>
        </w:rPr>
        <w:t> </w:t>
      </w:r>
      <w:r>
        <w:rPr>
          <w:b/>
          <w:sz w:val="22"/>
        </w:rPr>
        <w:t>N°</w:t>
      </w:r>
      <w:r>
        <w:rPr>
          <w:b/>
          <w:spacing w:val="-1"/>
          <w:sz w:val="22"/>
        </w:rPr>
        <w:t> </w:t>
      </w:r>
      <w:r>
        <w:rPr>
          <w:b/>
          <w:sz w:val="22"/>
        </w:rPr>
        <w:t>9617 Fortalecimiento</w:t>
      </w:r>
      <w:r>
        <w:rPr>
          <w:b/>
          <w:spacing w:val="-4"/>
          <w:sz w:val="22"/>
        </w:rPr>
        <w:t> </w:t>
      </w:r>
      <w:r>
        <w:rPr>
          <w:b/>
          <w:sz w:val="22"/>
        </w:rPr>
        <w:t>de las</w:t>
      </w:r>
      <w:r>
        <w:rPr>
          <w:b/>
          <w:spacing w:val="-16"/>
          <w:sz w:val="22"/>
        </w:rPr>
        <w:t> </w:t>
      </w:r>
      <w:r>
        <w:rPr>
          <w:b/>
          <w:sz w:val="22"/>
        </w:rPr>
        <w:t>Transferencias</w:t>
      </w:r>
      <w:r>
        <w:rPr>
          <w:b/>
          <w:spacing w:val="-15"/>
          <w:sz w:val="22"/>
        </w:rPr>
        <w:t> </w:t>
      </w:r>
      <w:r>
        <w:rPr>
          <w:b/>
          <w:sz w:val="22"/>
        </w:rPr>
        <w:t>Monetarias</w:t>
      </w:r>
      <w:r>
        <w:rPr>
          <w:b/>
          <w:spacing w:val="-15"/>
          <w:sz w:val="22"/>
        </w:rPr>
        <w:t> </w:t>
      </w:r>
      <w:r>
        <w:rPr>
          <w:b/>
          <w:sz w:val="22"/>
        </w:rPr>
        <w:t>Condicionadas</w:t>
      </w:r>
      <w:r>
        <w:rPr>
          <w:b/>
          <w:spacing w:val="-16"/>
          <w:sz w:val="22"/>
        </w:rPr>
        <w:t> </w:t>
      </w:r>
      <w:r>
        <w:rPr>
          <w:b/>
          <w:sz w:val="22"/>
        </w:rPr>
        <w:t>del</w:t>
      </w:r>
      <w:r>
        <w:rPr>
          <w:b/>
          <w:spacing w:val="-15"/>
          <w:sz w:val="22"/>
        </w:rPr>
        <w:t> </w:t>
      </w:r>
      <w:r>
        <w:rPr>
          <w:b/>
          <w:sz w:val="22"/>
        </w:rPr>
        <w:t>Programa</w:t>
      </w:r>
      <w:r>
        <w:rPr>
          <w:b/>
          <w:spacing w:val="-14"/>
          <w:sz w:val="22"/>
        </w:rPr>
        <w:t> </w:t>
      </w:r>
      <w:r>
        <w:rPr>
          <w:b/>
          <w:sz w:val="22"/>
        </w:rPr>
        <w:t>Avancemos</w:t>
      </w:r>
      <w:r>
        <w:rPr>
          <w:b/>
          <w:spacing w:val="-10"/>
          <w:sz w:val="22"/>
        </w:rPr>
        <w:t> </w:t>
      </w:r>
      <w:r>
        <w:rPr>
          <w:b/>
          <w:sz w:val="22"/>
        </w:rPr>
        <w:t>y</w:t>
      </w:r>
      <w:r>
        <w:rPr>
          <w:b/>
          <w:spacing w:val="-16"/>
          <w:sz w:val="22"/>
        </w:rPr>
        <w:t> </w:t>
      </w:r>
      <w:r>
        <w:rPr>
          <w:b/>
          <w:sz w:val="22"/>
        </w:rPr>
        <w:t>su</w:t>
      </w:r>
      <w:r>
        <w:rPr>
          <w:b/>
          <w:spacing w:val="-15"/>
          <w:sz w:val="22"/>
        </w:rPr>
        <w:t> </w:t>
      </w:r>
      <w:r>
        <w:rPr>
          <w:b/>
          <w:sz w:val="22"/>
        </w:rPr>
        <w:t>reforma Ley N° 9903. </w:t>
      </w:r>
      <w:r>
        <w:rPr>
          <w:sz w:val="22"/>
        </w:rPr>
        <w:t>Tiene el objeto regular la ejecución de la Ley N° 9617 del 02 de octubre del 2018, "Fortalecimiento de las Transferencias Monetarias Condicionadas del Programa Avancemos"</w:t>
      </w:r>
      <w:r>
        <w:rPr>
          <w:spacing w:val="-16"/>
          <w:sz w:val="22"/>
        </w:rPr>
        <w:t> </w:t>
      </w:r>
      <w:r>
        <w:rPr>
          <w:sz w:val="22"/>
        </w:rPr>
        <w:t>y</w:t>
      </w:r>
      <w:r>
        <w:rPr>
          <w:spacing w:val="-15"/>
          <w:sz w:val="22"/>
        </w:rPr>
        <w:t> </w:t>
      </w:r>
      <w:r>
        <w:rPr>
          <w:sz w:val="22"/>
        </w:rPr>
        <w:t>su</w:t>
      </w:r>
      <w:r>
        <w:rPr>
          <w:spacing w:val="-15"/>
          <w:sz w:val="22"/>
        </w:rPr>
        <w:t> </w:t>
      </w:r>
      <w:r>
        <w:rPr>
          <w:sz w:val="22"/>
        </w:rPr>
        <w:t>reforma</w:t>
      </w:r>
      <w:r>
        <w:rPr>
          <w:spacing w:val="-16"/>
          <w:sz w:val="22"/>
        </w:rPr>
        <w:t> </w:t>
      </w:r>
      <w:r>
        <w:rPr>
          <w:sz w:val="22"/>
        </w:rPr>
        <w:t>Ley</w:t>
      </w:r>
      <w:r>
        <w:rPr>
          <w:spacing w:val="-15"/>
          <w:sz w:val="22"/>
        </w:rPr>
        <w:t> </w:t>
      </w:r>
      <w:r>
        <w:rPr>
          <w:sz w:val="22"/>
        </w:rPr>
        <w:t>N°</w:t>
      </w:r>
      <w:r>
        <w:rPr>
          <w:spacing w:val="-15"/>
          <w:sz w:val="22"/>
        </w:rPr>
        <w:t> </w:t>
      </w:r>
      <w:r>
        <w:rPr>
          <w:sz w:val="22"/>
        </w:rPr>
        <w:t>9903.</w:t>
      </w:r>
      <w:r>
        <w:rPr>
          <w:spacing w:val="23"/>
          <w:sz w:val="22"/>
        </w:rPr>
        <w:t> </w:t>
      </w:r>
      <w:r>
        <w:rPr>
          <w:sz w:val="22"/>
        </w:rPr>
        <w:t>Deroga</w:t>
      </w:r>
      <w:r>
        <w:rPr>
          <w:spacing w:val="-14"/>
          <w:sz w:val="22"/>
        </w:rPr>
        <w:t> </w:t>
      </w:r>
      <w:r>
        <w:rPr>
          <w:sz w:val="22"/>
        </w:rPr>
        <w:t>los</w:t>
      </w:r>
      <w:r>
        <w:rPr>
          <w:spacing w:val="-16"/>
          <w:sz w:val="22"/>
        </w:rPr>
        <w:t> </w:t>
      </w:r>
      <w:r>
        <w:rPr>
          <w:sz w:val="22"/>
        </w:rPr>
        <w:t>decretos</w:t>
      </w:r>
      <w:r>
        <w:rPr>
          <w:spacing w:val="-15"/>
          <w:sz w:val="22"/>
        </w:rPr>
        <w:t> </w:t>
      </w:r>
      <w:r>
        <w:rPr>
          <w:sz w:val="22"/>
        </w:rPr>
        <w:t>N°</w:t>
      </w:r>
      <w:r>
        <w:rPr>
          <w:spacing w:val="-15"/>
          <w:sz w:val="22"/>
        </w:rPr>
        <w:t> </w:t>
      </w:r>
      <w:r>
        <w:rPr>
          <w:sz w:val="22"/>
        </w:rPr>
        <w:t>41569-MEP-MTSS-MDHIS, N°41839-MEP-MTSS-MDHIS, N°42444-MEP-MTSS-MDHIS. Fecha de vigencia </w:t>
      </w:r>
      <w:r>
        <w:rPr>
          <w:spacing w:val="-2"/>
          <w:sz w:val="22"/>
        </w:rPr>
        <w:t>22/11/2021.</w:t>
      </w:r>
    </w:p>
    <w:p>
      <w:pPr>
        <w:pStyle w:val="BodyText"/>
        <w:spacing w:before="2"/>
      </w:pPr>
    </w:p>
    <w:p>
      <w:pPr>
        <w:spacing w:line="240" w:lineRule="auto" w:before="0"/>
        <w:ind w:left="979" w:right="1334" w:firstLine="0"/>
        <w:jc w:val="both"/>
        <w:rPr>
          <w:sz w:val="22"/>
        </w:rPr>
      </w:pPr>
      <w:r>
        <w:rPr>
          <w:b/>
          <w:sz w:val="22"/>
        </w:rPr>
        <w:t>Decreto N°43407-MP-MIDEPLAN-MIVAH-MEP-MTSS-MDHIS Derogatoria de decreto ejecutivos vinculados al Programa Avancemos</w:t>
      </w:r>
      <w:r>
        <w:rPr>
          <w:sz w:val="22"/>
        </w:rPr>
        <w:t>. Deroga decretos N° 33154-MP-MIDEPLAN-MEPMTSS- MIVAH, N° 33677-MP-MEP-MIVAH, N° 34210-MP-MEP-MIVAH, N°</w:t>
      </w:r>
      <w:r>
        <w:rPr>
          <w:spacing w:val="11"/>
          <w:sz w:val="22"/>
        </w:rPr>
        <w:t> </w:t>
      </w:r>
      <w:r>
        <w:rPr>
          <w:sz w:val="22"/>
        </w:rPr>
        <w:t>34786-MP-S-MEP,</w:t>
      </w:r>
      <w:r>
        <w:rPr>
          <w:spacing w:val="14"/>
          <w:sz w:val="22"/>
        </w:rPr>
        <w:t> </w:t>
      </w:r>
      <w:r>
        <w:rPr>
          <w:sz w:val="22"/>
        </w:rPr>
        <w:t>N°</w:t>
      </w:r>
      <w:r>
        <w:rPr>
          <w:spacing w:val="7"/>
          <w:sz w:val="22"/>
        </w:rPr>
        <w:t> </w:t>
      </w:r>
      <w:r>
        <w:rPr>
          <w:sz w:val="22"/>
        </w:rPr>
        <w:t>37765-MP-MEP-MBSF</w:t>
      </w:r>
      <w:r>
        <w:rPr>
          <w:spacing w:val="4"/>
          <w:sz w:val="22"/>
        </w:rPr>
        <w:t> </w:t>
      </w:r>
      <w:r>
        <w:rPr>
          <w:sz w:val="22"/>
        </w:rPr>
        <w:t>y</w:t>
      </w:r>
      <w:r>
        <w:rPr>
          <w:spacing w:val="13"/>
          <w:sz w:val="22"/>
        </w:rPr>
        <w:t> </w:t>
      </w:r>
      <w:r>
        <w:rPr>
          <w:sz w:val="22"/>
        </w:rPr>
        <w:t>N°</w:t>
      </w:r>
      <w:r>
        <w:rPr>
          <w:spacing w:val="7"/>
          <w:sz w:val="22"/>
        </w:rPr>
        <w:t> </w:t>
      </w:r>
      <w:r>
        <w:rPr>
          <w:sz w:val="22"/>
        </w:rPr>
        <w:t>40314-MP-MEP-MDHIS.</w:t>
      </w:r>
      <w:r>
        <w:rPr>
          <w:spacing w:val="10"/>
          <w:sz w:val="22"/>
        </w:rPr>
        <w:t> </w:t>
      </w:r>
      <w:r>
        <w:rPr>
          <w:sz w:val="22"/>
        </w:rPr>
        <w:t>Fecha</w:t>
      </w:r>
      <w:r>
        <w:rPr>
          <w:spacing w:val="11"/>
          <w:sz w:val="22"/>
        </w:rPr>
        <w:t> </w:t>
      </w:r>
      <w:r>
        <w:rPr>
          <w:spacing w:val="-5"/>
          <w:sz w:val="22"/>
        </w:rPr>
        <w:t>de</w:t>
      </w:r>
    </w:p>
    <w:p>
      <w:pPr>
        <w:pStyle w:val="BodyText"/>
        <w:spacing w:before="1"/>
        <w:ind w:left="979"/>
      </w:pPr>
      <w:r>
        <w:rPr>
          <w:spacing w:val="-2"/>
        </w:rPr>
        <w:t>vigencia16/03/2022.</w:t>
      </w:r>
    </w:p>
    <w:p>
      <w:pPr>
        <w:spacing w:line="240" w:lineRule="auto" w:before="251"/>
        <w:ind w:left="979" w:right="1336" w:firstLine="0"/>
        <w:jc w:val="both"/>
        <w:rPr>
          <w:sz w:val="22"/>
        </w:rPr>
      </w:pPr>
      <w:r>
        <w:rPr>
          <w:b/>
          <w:sz w:val="22"/>
        </w:rPr>
        <w:t>Decreto N°43580-MP-PLAN. Reglamento Orgánico del Poder Ejecutivo. </w:t>
      </w:r>
      <w:r>
        <w:rPr>
          <w:sz w:val="22"/>
        </w:rPr>
        <w:t>Determina la organización</w:t>
      </w:r>
      <w:r>
        <w:rPr>
          <w:spacing w:val="-4"/>
          <w:sz w:val="22"/>
        </w:rPr>
        <w:t> </w:t>
      </w:r>
      <w:r>
        <w:rPr>
          <w:sz w:val="22"/>
        </w:rPr>
        <w:t>del</w:t>
      </w:r>
      <w:r>
        <w:rPr>
          <w:spacing w:val="-7"/>
          <w:sz w:val="22"/>
        </w:rPr>
        <w:t> </w:t>
      </w:r>
      <w:r>
        <w:rPr>
          <w:sz w:val="22"/>
        </w:rPr>
        <w:t>Poder</w:t>
      </w:r>
      <w:r>
        <w:rPr>
          <w:spacing w:val="-8"/>
          <w:sz w:val="22"/>
        </w:rPr>
        <w:t> </w:t>
      </w:r>
      <w:r>
        <w:rPr>
          <w:sz w:val="22"/>
        </w:rPr>
        <w:t>Ejecutivo,</w:t>
      </w:r>
      <w:r>
        <w:rPr>
          <w:spacing w:val="-5"/>
          <w:sz w:val="22"/>
        </w:rPr>
        <w:t> </w:t>
      </w:r>
      <w:r>
        <w:rPr>
          <w:sz w:val="22"/>
        </w:rPr>
        <w:t>IMAS</w:t>
      </w:r>
      <w:r>
        <w:rPr>
          <w:spacing w:val="-5"/>
          <w:sz w:val="22"/>
        </w:rPr>
        <w:t> </w:t>
      </w:r>
      <w:r>
        <w:rPr>
          <w:sz w:val="22"/>
        </w:rPr>
        <w:t>integra</w:t>
      </w:r>
      <w:r>
        <w:rPr>
          <w:spacing w:val="-4"/>
          <w:sz w:val="22"/>
        </w:rPr>
        <w:t> </w:t>
      </w:r>
      <w:r>
        <w:rPr>
          <w:sz w:val="22"/>
        </w:rPr>
        <w:t>el</w:t>
      </w:r>
      <w:r>
        <w:rPr>
          <w:spacing w:val="-7"/>
          <w:sz w:val="22"/>
        </w:rPr>
        <w:t> </w:t>
      </w:r>
      <w:r>
        <w:rPr>
          <w:sz w:val="22"/>
        </w:rPr>
        <w:t>sector</w:t>
      </w:r>
      <w:r>
        <w:rPr>
          <w:spacing w:val="-8"/>
          <w:sz w:val="22"/>
        </w:rPr>
        <w:t> </w:t>
      </w:r>
      <w:r>
        <w:rPr>
          <w:sz w:val="22"/>
        </w:rPr>
        <w:t>de</w:t>
      </w:r>
      <w:r>
        <w:rPr>
          <w:spacing w:val="-4"/>
          <w:sz w:val="22"/>
        </w:rPr>
        <w:t> </w:t>
      </w:r>
      <w:r>
        <w:rPr>
          <w:sz w:val="22"/>
        </w:rPr>
        <w:t>Desarrollo</w:t>
      </w:r>
      <w:r>
        <w:rPr>
          <w:spacing w:val="-4"/>
          <w:sz w:val="22"/>
        </w:rPr>
        <w:t> </w:t>
      </w:r>
      <w:r>
        <w:rPr>
          <w:sz w:val="22"/>
        </w:rPr>
        <w:t>Humano</w:t>
      </w:r>
      <w:r>
        <w:rPr>
          <w:spacing w:val="-9"/>
          <w:sz w:val="22"/>
        </w:rPr>
        <w:t> </w:t>
      </w:r>
      <w:r>
        <w:rPr>
          <w:sz w:val="22"/>
        </w:rPr>
        <w:t>e</w:t>
      </w:r>
      <w:r>
        <w:rPr>
          <w:spacing w:val="-4"/>
          <w:sz w:val="22"/>
        </w:rPr>
        <w:t> </w:t>
      </w:r>
      <w:r>
        <w:rPr>
          <w:sz w:val="22"/>
        </w:rPr>
        <w:t>Inclusión Social. Fecha de vigencia10/06/2022.</w:t>
      </w:r>
    </w:p>
    <w:p>
      <w:pPr>
        <w:pStyle w:val="BodyText"/>
        <w:spacing w:before="1"/>
      </w:pPr>
    </w:p>
    <w:p>
      <w:pPr>
        <w:spacing w:line="240" w:lineRule="auto" w:before="1"/>
        <w:ind w:left="979" w:right="1333" w:firstLine="0"/>
        <w:jc w:val="both"/>
        <w:rPr>
          <w:sz w:val="22"/>
        </w:rPr>
      </w:pPr>
      <w:r>
        <w:rPr>
          <w:b/>
          <w:sz w:val="22"/>
        </w:rPr>
        <w:t>Decreto Nº39225. Aplicación del Teletrabajo en las Instituciones Públicas</w:t>
      </w:r>
      <w:r>
        <w:rPr>
          <w:sz w:val="22"/>
        </w:rPr>
        <w:t>, Tiene por objeto promover y regular el Teletrabajo en las Instituciones del Estado, Atañe a toda la Administración Pública. Derogada por Directriz Nº 002-MTSS-MIDEPLAN, Fecha de </w:t>
      </w:r>
      <w:r>
        <w:rPr>
          <w:spacing w:val="-2"/>
          <w:sz w:val="22"/>
        </w:rPr>
        <w:t>06/07/2022.</w:t>
      </w:r>
    </w:p>
    <w:p>
      <w:pPr>
        <w:spacing w:before="250"/>
        <w:ind w:left="979" w:right="0" w:firstLine="0"/>
        <w:jc w:val="left"/>
        <w:rPr>
          <w:b/>
          <w:sz w:val="22"/>
        </w:rPr>
      </w:pPr>
      <w:r>
        <w:rPr>
          <w:b/>
          <w:sz w:val="22"/>
        </w:rPr>
        <w:t>Decreto</w:t>
      </w:r>
      <w:r>
        <w:rPr>
          <w:b/>
          <w:spacing w:val="8"/>
          <w:sz w:val="22"/>
        </w:rPr>
        <w:t> </w:t>
      </w:r>
      <w:r>
        <w:rPr>
          <w:b/>
          <w:sz w:val="22"/>
        </w:rPr>
        <w:t>N°43665-MP-MEIC.</w:t>
      </w:r>
      <w:r>
        <w:rPr>
          <w:b/>
          <w:spacing w:val="5"/>
          <w:sz w:val="22"/>
        </w:rPr>
        <w:t> </w:t>
      </w:r>
      <w:r>
        <w:rPr>
          <w:b/>
          <w:sz w:val="22"/>
        </w:rPr>
        <w:t>“Celeridad</w:t>
      </w:r>
      <w:r>
        <w:rPr>
          <w:b/>
          <w:spacing w:val="9"/>
          <w:sz w:val="22"/>
        </w:rPr>
        <w:t> </w:t>
      </w:r>
      <w:r>
        <w:rPr>
          <w:b/>
          <w:sz w:val="22"/>
        </w:rPr>
        <w:t>de</w:t>
      </w:r>
      <w:r>
        <w:rPr>
          <w:b/>
          <w:spacing w:val="6"/>
          <w:sz w:val="22"/>
        </w:rPr>
        <w:t> </w:t>
      </w:r>
      <w:r>
        <w:rPr>
          <w:b/>
          <w:sz w:val="22"/>
        </w:rPr>
        <w:t>los</w:t>
      </w:r>
      <w:r>
        <w:rPr>
          <w:b/>
          <w:spacing w:val="1"/>
          <w:sz w:val="22"/>
        </w:rPr>
        <w:t> </w:t>
      </w:r>
      <w:r>
        <w:rPr>
          <w:b/>
          <w:sz w:val="22"/>
        </w:rPr>
        <w:t>Trámites</w:t>
      </w:r>
      <w:r>
        <w:rPr>
          <w:b/>
          <w:spacing w:val="10"/>
          <w:sz w:val="22"/>
        </w:rPr>
        <w:t> </w:t>
      </w:r>
      <w:r>
        <w:rPr>
          <w:b/>
          <w:sz w:val="22"/>
        </w:rPr>
        <w:t>Administrativos</w:t>
      </w:r>
      <w:r>
        <w:rPr>
          <w:b/>
          <w:spacing w:val="6"/>
          <w:sz w:val="22"/>
        </w:rPr>
        <w:t> </w:t>
      </w:r>
      <w:r>
        <w:rPr>
          <w:b/>
          <w:sz w:val="22"/>
        </w:rPr>
        <w:t>en</w:t>
      </w:r>
      <w:r>
        <w:rPr>
          <w:b/>
          <w:spacing w:val="9"/>
          <w:sz w:val="22"/>
        </w:rPr>
        <w:t> </w:t>
      </w:r>
      <w:r>
        <w:rPr>
          <w:b/>
          <w:sz w:val="22"/>
        </w:rPr>
        <w:t>el</w:t>
      </w:r>
      <w:r>
        <w:rPr>
          <w:b/>
          <w:spacing w:val="10"/>
          <w:sz w:val="22"/>
        </w:rPr>
        <w:t> </w:t>
      </w:r>
      <w:r>
        <w:rPr>
          <w:b/>
          <w:spacing w:val="-2"/>
          <w:sz w:val="22"/>
        </w:rPr>
        <w:t>Sector</w:t>
      </w:r>
    </w:p>
    <w:p>
      <w:pPr>
        <w:spacing w:before="2"/>
        <w:ind w:left="979" w:right="0" w:firstLine="0"/>
        <w:jc w:val="left"/>
        <w:rPr>
          <w:sz w:val="22"/>
        </w:rPr>
      </w:pPr>
      <w:r>
        <w:rPr>
          <w:b/>
          <w:sz w:val="22"/>
        </w:rPr>
        <w:t>Público</w:t>
      </w:r>
      <w:r>
        <w:rPr>
          <w:b/>
          <w:spacing w:val="12"/>
          <w:sz w:val="22"/>
        </w:rPr>
        <w:t> </w:t>
      </w:r>
      <w:r>
        <w:rPr>
          <w:b/>
          <w:sz w:val="22"/>
        </w:rPr>
        <w:t>Costarricense"</w:t>
      </w:r>
      <w:r>
        <w:rPr>
          <w:sz w:val="22"/>
        </w:rPr>
        <w:t>.</w:t>
      </w:r>
      <w:r>
        <w:rPr>
          <w:spacing w:val="9"/>
          <w:sz w:val="22"/>
        </w:rPr>
        <w:t> </w:t>
      </w:r>
      <w:r>
        <w:rPr>
          <w:sz w:val="22"/>
        </w:rPr>
        <w:t>Acelerar</w:t>
      </w:r>
      <w:r>
        <w:rPr>
          <w:spacing w:val="12"/>
          <w:sz w:val="22"/>
        </w:rPr>
        <w:t> </w:t>
      </w:r>
      <w:r>
        <w:rPr>
          <w:sz w:val="22"/>
        </w:rPr>
        <w:t>los</w:t>
      </w:r>
      <w:r>
        <w:rPr>
          <w:spacing w:val="13"/>
          <w:sz w:val="22"/>
        </w:rPr>
        <w:t> </w:t>
      </w:r>
      <w:r>
        <w:rPr>
          <w:sz w:val="22"/>
        </w:rPr>
        <w:t>trámites</w:t>
      </w:r>
      <w:r>
        <w:rPr>
          <w:spacing w:val="9"/>
          <w:sz w:val="22"/>
        </w:rPr>
        <w:t> </w:t>
      </w:r>
      <w:r>
        <w:rPr>
          <w:sz w:val="22"/>
        </w:rPr>
        <w:t>administrativos</w:t>
      </w:r>
      <w:r>
        <w:rPr>
          <w:spacing w:val="9"/>
          <w:sz w:val="22"/>
        </w:rPr>
        <w:t> </w:t>
      </w:r>
      <w:r>
        <w:rPr>
          <w:sz w:val="22"/>
        </w:rPr>
        <w:t>en</w:t>
      </w:r>
      <w:r>
        <w:rPr>
          <w:spacing w:val="10"/>
          <w:sz w:val="22"/>
        </w:rPr>
        <w:t> </w:t>
      </w:r>
      <w:r>
        <w:rPr>
          <w:sz w:val="22"/>
        </w:rPr>
        <w:t>las</w:t>
      </w:r>
      <w:r>
        <w:rPr>
          <w:spacing w:val="9"/>
          <w:sz w:val="22"/>
        </w:rPr>
        <w:t> </w:t>
      </w:r>
      <w:r>
        <w:rPr>
          <w:sz w:val="22"/>
        </w:rPr>
        <w:t>entidades</w:t>
      </w:r>
      <w:r>
        <w:rPr>
          <w:spacing w:val="9"/>
          <w:sz w:val="22"/>
        </w:rPr>
        <w:t> </w:t>
      </w:r>
      <w:r>
        <w:rPr>
          <w:spacing w:val="-2"/>
          <w:sz w:val="22"/>
        </w:rPr>
        <w:t>públicas,</w:t>
      </w:r>
    </w:p>
    <w:p>
      <w:pPr>
        <w:spacing w:after="0"/>
        <w:jc w:val="left"/>
        <w:rPr>
          <w:sz w:val="22"/>
        </w:rPr>
        <w:sectPr>
          <w:pgSz w:w="12240" w:h="15840"/>
          <w:pgMar w:header="0" w:footer="1021" w:top="1340" w:bottom="1220" w:left="720" w:right="360"/>
        </w:sectPr>
      </w:pPr>
    </w:p>
    <w:p>
      <w:pPr>
        <w:pStyle w:val="BodyText"/>
        <w:spacing w:before="76"/>
        <w:ind w:left="979" w:right="1352"/>
        <w:jc w:val="both"/>
      </w:pPr>
      <w:r>
        <w:rPr/>
        <w:t>por</w:t>
      </w:r>
      <w:r>
        <w:rPr>
          <w:spacing w:val="-6"/>
        </w:rPr>
        <w:t> </w:t>
      </w:r>
      <w:r>
        <w:rPr/>
        <w:t>medio</w:t>
      </w:r>
      <w:r>
        <w:rPr>
          <w:spacing w:val="-3"/>
        </w:rPr>
        <w:t> </w:t>
      </w:r>
      <w:r>
        <w:rPr/>
        <w:t>de la coordinación</w:t>
      </w:r>
      <w:r>
        <w:rPr>
          <w:spacing w:val="-3"/>
        </w:rPr>
        <w:t> </w:t>
      </w:r>
      <w:r>
        <w:rPr/>
        <w:t>interinstitucional, intercambiando</w:t>
      </w:r>
      <w:r>
        <w:rPr>
          <w:spacing w:val="-3"/>
        </w:rPr>
        <w:t> </w:t>
      </w:r>
      <w:r>
        <w:rPr/>
        <w:t>información</w:t>
      </w:r>
      <w:r>
        <w:rPr>
          <w:spacing w:val="-3"/>
        </w:rPr>
        <w:t> </w:t>
      </w:r>
      <w:r>
        <w:rPr/>
        <w:t>necesaria</w:t>
      </w:r>
      <w:r>
        <w:rPr>
          <w:spacing w:val="-3"/>
        </w:rPr>
        <w:t> </w:t>
      </w:r>
      <w:r>
        <w:rPr/>
        <w:t>para la resolución de trámites que se realicen en cada entidad. Fecha de vigencia 01/09/2022.</w:t>
      </w:r>
    </w:p>
    <w:p>
      <w:pPr>
        <w:pStyle w:val="BodyText"/>
        <w:spacing w:before="253"/>
        <w:ind w:left="979" w:right="1333"/>
        <w:jc w:val="both"/>
      </w:pPr>
      <w:r>
        <w:rPr>
          <w:b/>
        </w:rPr>
        <w:t>Decreto Nº43807-H. Reglamento del Modelo</w:t>
      </w:r>
      <w:r>
        <w:rPr>
          <w:b/>
          <w:spacing w:val="-2"/>
        </w:rPr>
        <w:t> </w:t>
      </w:r>
      <w:r>
        <w:rPr>
          <w:b/>
        </w:rPr>
        <w:t>Tarifario para el Uso del Sistema Digital Único</w:t>
      </w:r>
      <w:r>
        <w:rPr/>
        <w:t>. Regular</w:t>
      </w:r>
      <w:r>
        <w:rPr>
          <w:spacing w:val="-2"/>
        </w:rPr>
        <w:t> </w:t>
      </w:r>
      <w:r>
        <w:rPr/>
        <w:t>el</w:t>
      </w:r>
      <w:r>
        <w:rPr>
          <w:spacing w:val="-6"/>
        </w:rPr>
        <w:t> </w:t>
      </w:r>
      <w:r>
        <w:rPr/>
        <w:t>modelo tarifario</w:t>
      </w:r>
      <w:r>
        <w:rPr>
          <w:spacing w:val="-3"/>
        </w:rPr>
        <w:t> </w:t>
      </w:r>
      <w:r>
        <w:rPr/>
        <w:t>del</w:t>
      </w:r>
      <w:r>
        <w:rPr>
          <w:spacing w:val="-6"/>
        </w:rPr>
        <w:t> </w:t>
      </w:r>
      <w:r>
        <w:rPr/>
        <w:t>uso</w:t>
      </w:r>
      <w:r>
        <w:rPr>
          <w:spacing w:val="-3"/>
        </w:rPr>
        <w:t> </w:t>
      </w:r>
      <w:r>
        <w:rPr/>
        <w:t>del</w:t>
      </w:r>
      <w:r>
        <w:rPr>
          <w:spacing w:val="-1"/>
        </w:rPr>
        <w:t> </w:t>
      </w:r>
      <w:r>
        <w:rPr/>
        <w:t>sistema digital</w:t>
      </w:r>
      <w:r>
        <w:rPr>
          <w:spacing w:val="-6"/>
        </w:rPr>
        <w:t> </w:t>
      </w:r>
      <w:r>
        <w:rPr/>
        <w:t>unificado,</w:t>
      </w:r>
      <w:r>
        <w:rPr>
          <w:spacing w:val="-4"/>
        </w:rPr>
        <w:t> </w:t>
      </w:r>
      <w:r>
        <w:rPr/>
        <w:t>administrado</w:t>
      </w:r>
      <w:r>
        <w:rPr>
          <w:spacing w:val="-3"/>
        </w:rPr>
        <w:t> </w:t>
      </w:r>
      <w:r>
        <w:rPr/>
        <w:t>por</w:t>
      </w:r>
      <w:r>
        <w:rPr>
          <w:spacing w:val="-2"/>
        </w:rPr>
        <w:t> </w:t>
      </w:r>
      <w:r>
        <w:rPr/>
        <w:t>la Dirección de Contratación Pública del Ministerio de Hacienda y definir el mecanismo de pago de las tarifas respectivas por parte de cada una de las instituciones usuarias del servicio, para promover</w:t>
      </w:r>
      <w:r>
        <w:rPr>
          <w:spacing w:val="-3"/>
        </w:rPr>
        <w:t> </w:t>
      </w:r>
      <w:r>
        <w:rPr/>
        <w:t>los</w:t>
      </w:r>
      <w:r>
        <w:rPr>
          <w:spacing w:val="-2"/>
        </w:rPr>
        <w:t> </w:t>
      </w:r>
      <w:r>
        <w:rPr/>
        <w:t>procedimientos</w:t>
      </w:r>
      <w:r>
        <w:rPr>
          <w:spacing w:val="-2"/>
        </w:rPr>
        <w:t> </w:t>
      </w:r>
      <w:r>
        <w:rPr/>
        <w:t>de contratación pública,</w:t>
      </w:r>
      <w:r>
        <w:rPr>
          <w:spacing w:val="-5"/>
        </w:rPr>
        <w:t> </w:t>
      </w:r>
      <w:r>
        <w:rPr/>
        <w:t>de conformidad con lo dispuesto</w:t>
      </w:r>
      <w:r>
        <w:rPr>
          <w:spacing w:val="-4"/>
        </w:rPr>
        <w:t> </w:t>
      </w:r>
      <w:r>
        <w:rPr/>
        <w:t>en</w:t>
      </w:r>
      <w:r>
        <w:rPr>
          <w:spacing w:val="-1"/>
        </w:rPr>
        <w:t> </w:t>
      </w:r>
      <w:r>
        <w:rPr/>
        <w:t>la</w:t>
      </w:r>
      <w:r>
        <w:rPr>
          <w:spacing w:val="-4"/>
        </w:rPr>
        <w:t> </w:t>
      </w:r>
      <w:r>
        <w:rPr/>
        <w:t>Ley</w:t>
      </w:r>
      <w:r>
        <w:rPr>
          <w:spacing w:val="-6"/>
        </w:rPr>
        <w:t> </w:t>
      </w:r>
      <w:r>
        <w:rPr/>
        <w:t>General</w:t>
      </w:r>
      <w:r>
        <w:rPr>
          <w:spacing w:val="-7"/>
        </w:rPr>
        <w:t> </w:t>
      </w:r>
      <w:r>
        <w:rPr/>
        <w:t>de</w:t>
      </w:r>
      <w:r>
        <w:rPr>
          <w:spacing w:val="-4"/>
        </w:rPr>
        <w:t> </w:t>
      </w:r>
      <w:r>
        <w:rPr/>
        <w:t>Contratación.</w:t>
      </w:r>
      <w:r>
        <w:rPr>
          <w:spacing w:val="-10"/>
        </w:rPr>
        <w:t> </w:t>
      </w:r>
      <w:r>
        <w:rPr/>
        <w:t>Pública</w:t>
      </w:r>
      <w:r>
        <w:rPr>
          <w:spacing w:val="-4"/>
        </w:rPr>
        <w:t> </w:t>
      </w:r>
      <w:r>
        <w:rPr/>
        <w:t>Publicado</w:t>
      </w:r>
      <w:r>
        <w:rPr>
          <w:spacing w:val="-4"/>
        </w:rPr>
        <w:t> </w:t>
      </w:r>
      <w:r>
        <w:rPr/>
        <w:t>en</w:t>
      </w:r>
      <w:r>
        <w:rPr>
          <w:spacing w:val="-4"/>
        </w:rPr>
        <w:t> </w:t>
      </w:r>
      <w:r>
        <w:rPr/>
        <w:t>el</w:t>
      </w:r>
      <w:r>
        <w:rPr>
          <w:spacing w:val="-7"/>
        </w:rPr>
        <w:t> </w:t>
      </w:r>
      <w:r>
        <w:rPr/>
        <w:t>Alcance</w:t>
      </w:r>
      <w:r>
        <w:rPr>
          <w:spacing w:val="-1"/>
        </w:rPr>
        <w:t> </w:t>
      </w:r>
      <w:r>
        <w:rPr/>
        <w:t>Nº</w:t>
      </w:r>
      <w:r>
        <w:rPr>
          <w:spacing w:val="-10"/>
        </w:rPr>
        <w:t> </w:t>
      </w:r>
      <w:r>
        <w:rPr/>
        <w:t>258</w:t>
      </w:r>
      <w:r>
        <w:rPr>
          <w:spacing w:val="-4"/>
        </w:rPr>
        <w:t> </w:t>
      </w:r>
      <w:r>
        <w:rPr/>
        <w:t>de</w:t>
      </w:r>
      <w:r>
        <w:rPr>
          <w:spacing w:val="-1"/>
        </w:rPr>
        <w:t> </w:t>
      </w:r>
      <w:r>
        <w:rPr/>
        <w:t>la Gaceta Nº 229 30/11/2022.</w:t>
      </w:r>
    </w:p>
    <w:p>
      <w:pPr>
        <w:pStyle w:val="BodyText"/>
        <w:spacing w:before="2"/>
      </w:pPr>
    </w:p>
    <w:p>
      <w:pPr>
        <w:pStyle w:val="BodyText"/>
        <w:ind w:left="979" w:right="1345"/>
        <w:jc w:val="both"/>
      </w:pPr>
      <w:r>
        <w:rPr>
          <w:b/>
        </w:rPr>
        <w:t>Decreto Nº43749-MTSS-H-MDHIS </w:t>
      </w:r>
      <w:r>
        <w:rPr/>
        <w:t>Reforma los artículos 1, 2, 3, 5 y 6 del al Decreto Ejecutivo 43670-MTSS-H-MDHIS del 31 de agosto del 2022 Creación del Beneficio Temporal por Inflación. Regula el beneficio temporal por inflación.</w:t>
      </w:r>
      <w:r>
        <w:rPr>
          <w:spacing w:val="40"/>
        </w:rPr>
        <w:t> </w:t>
      </w:r>
      <w:r>
        <w:rPr/>
        <w:t>Fecha de vigencia </w:t>
      </w:r>
      <w:r>
        <w:rPr>
          <w:spacing w:val="-2"/>
        </w:rPr>
        <w:t>19/10/2022.</w:t>
      </w:r>
    </w:p>
    <w:p>
      <w:pPr>
        <w:pStyle w:val="BodyText"/>
        <w:spacing w:before="251"/>
        <w:ind w:left="979" w:right="1333"/>
        <w:jc w:val="both"/>
      </w:pPr>
      <w:r>
        <w:rPr>
          <w:b/>
        </w:rPr>
        <w:t>Decreto</w:t>
      </w:r>
      <w:r>
        <w:rPr>
          <w:b/>
          <w:spacing w:val="-16"/>
        </w:rPr>
        <w:t> </w:t>
      </w:r>
      <w:r>
        <w:rPr>
          <w:b/>
        </w:rPr>
        <w:t>N°43848.</w:t>
      </w:r>
      <w:r>
        <w:rPr>
          <w:b/>
          <w:spacing w:val="-15"/>
        </w:rPr>
        <w:t> </w:t>
      </w:r>
      <w:r>
        <w:rPr>
          <w:b/>
        </w:rPr>
        <w:t>Reglamento</w:t>
      </w:r>
      <w:r>
        <w:rPr>
          <w:b/>
          <w:spacing w:val="-15"/>
        </w:rPr>
        <w:t> </w:t>
      </w:r>
      <w:r>
        <w:rPr>
          <w:b/>
        </w:rPr>
        <w:t>a</w:t>
      </w:r>
      <w:r>
        <w:rPr>
          <w:b/>
          <w:spacing w:val="-16"/>
        </w:rPr>
        <w:t> </w:t>
      </w:r>
      <w:r>
        <w:rPr>
          <w:b/>
        </w:rPr>
        <w:t>la</w:t>
      </w:r>
      <w:r>
        <w:rPr>
          <w:b/>
          <w:spacing w:val="-15"/>
        </w:rPr>
        <w:t> </w:t>
      </w:r>
      <w:r>
        <w:rPr>
          <w:b/>
        </w:rPr>
        <w:t>Ley</w:t>
      </w:r>
      <w:r>
        <w:rPr>
          <w:b/>
          <w:spacing w:val="-15"/>
        </w:rPr>
        <w:t> </w:t>
      </w:r>
      <w:r>
        <w:rPr>
          <w:b/>
        </w:rPr>
        <w:t>del</w:t>
      </w:r>
      <w:r>
        <w:rPr>
          <w:b/>
          <w:spacing w:val="-15"/>
        </w:rPr>
        <w:t> </w:t>
      </w:r>
      <w:r>
        <w:rPr>
          <w:b/>
        </w:rPr>
        <w:t>Sistema</w:t>
      </w:r>
      <w:r>
        <w:rPr>
          <w:b/>
          <w:spacing w:val="-16"/>
        </w:rPr>
        <w:t> </w:t>
      </w:r>
      <w:r>
        <w:rPr>
          <w:b/>
        </w:rPr>
        <w:t>de</w:t>
      </w:r>
      <w:r>
        <w:rPr>
          <w:b/>
          <w:spacing w:val="-15"/>
        </w:rPr>
        <w:t> </w:t>
      </w:r>
      <w:r>
        <w:rPr>
          <w:b/>
        </w:rPr>
        <w:t>Estadística</w:t>
      </w:r>
      <w:r>
        <w:rPr>
          <w:b/>
          <w:spacing w:val="-15"/>
        </w:rPr>
        <w:t> </w:t>
      </w:r>
      <w:r>
        <w:rPr>
          <w:b/>
        </w:rPr>
        <w:t>Nacional.</w:t>
      </w:r>
      <w:r>
        <w:rPr>
          <w:b/>
          <w:spacing w:val="-16"/>
        </w:rPr>
        <w:t> </w:t>
      </w:r>
      <w:r>
        <w:rPr/>
        <w:t>Especificar y</w:t>
      </w:r>
      <w:r>
        <w:rPr>
          <w:spacing w:val="-1"/>
        </w:rPr>
        <w:t> </w:t>
      </w:r>
      <w:r>
        <w:rPr/>
        <w:t>aclarar</w:t>
      </w:r>
      <w:r>
        <w:rPr>
          <w:spacing w:val="-3"/>
        </w:rPr>
        <w:t> </w:t>
      </w:r>
      <w:r>
        <w:rPr/>
        <w:t>las</w:t>
      </w:r>
      <w:r>
        <w:rPr>
          <w:spacing w:val="-6"/>
        </w:rPr>
        <w:t> </w:t>
      </w:r>
      <w:r>
        <w:rPr/>
        <w:t>obligaciones,</w:t>
      </w:r>
      <w:r>
        <w:rPr>
          <w:spacing w:val="-5"/>
        </w:rPr>
        <w:t> </w:t>
      </w:r>
      <w:r>
        <w:rPr/>
        <w:t>atribuciones</w:t>
      </w:r>
      <w:r>
        <w:rPr>
          <w:spacing w:val="-1"/>
        </w:rPr>
        <w:t> </w:t>
      </w:r>
      <w:r>
        <w:rPr/>
        <w:t>y</w:t>
      </w:r>
      <w:r>
        <w:rPr>
          <w:spacing w:val="-6"/>
        </w:rPr>
        <w:t> </w:t>
      </w:r>
      <w:r>
        <w:rPr/>
        <w:t>funciones</w:t>
      </w:r>
      <w:r>
        <w:rPr>
          <w:spacing w:val="-1"/>
        </w:rPr>
        <w:t> </w:t>
      </w:r>
      <w:r>
        <w:rPr/>
        <w:t>que</w:t>
      </w:r>
      <w:r>
        <w:rPr>
          <w:spacing w:val="-4"/>
        </w:rPr>
        <w:t> </w:t>
      </w:r>
      <w:r>
        <w:rPr/>
        <w:t>la</w:t>
      </w:r>
      <w:r>
        <w:rPr>
          <w:spacing w:val="-4"/>
        </w:rPr>
        <w:t> </w:t>
      </w:r>
      <w:r>
        <w:rPr/>
        <w:t>citada</w:t>
      </w:r>
      <w:r>
        <w:rPr>
          <w:spacing w:val="-4"/>
        </w:rPr>
        <w:t> </w:t>
      </w:r>
      <w:r>
        <w:rPr/>
        <w:t>ley</w:t>
      </w:r>
      <w:r>
        <w:rPr>
          <w:spacing w:val="-6"/>
        </w:rPr>
        <w:t> </w:t>
      </w:r>
      <w:r>
        <w:rPr/>
        <w:t>asigna</w:t>
      </w:r>
      <w:r>
        <w:rPr>
          <w:spacing w:val="-4"/>
        </w:rPr>
        <w:t> </w:t>
      </w:r>
      <w:r>
        <w:rPr/>
        <w:t>a las</w:t>
      </w:r>
      <w:r>
        <w:rPr>
          <w:spacing w:val="-6"/>
        </w:rPr>
        <w:t> </w:t>
      </w:r>
      <w:r>
        <w:rPr/>
        <w:t>entidades que producen información estadística. Así como la óptima organización y operación del Instituto Nacional de Estadística y Censos como ente rector de Sistema de Estadística Nacional. Fecha de vigencia 19/01/2023.</w:t>
      </w:r>
    </w:p>
    <w:p>
      <w:pPr>
        <w:spacing w:line="240" w:lineRule="auto" w:before="252"/>
        <w:ind w:left="979" w:right="1342" w:firstLine="0"/>
        <w:jc w:val="both"/>
        <w:rPr>
          <w:sz w:val="22"/>
        </w:rPr>
      </w:pPr>
      <w:r>
        <w:rPr>
          <w:b/>
          <w:sz w:val="22"/>
        </w:rPr>
        <w:t>Decreto N°43980-MEIC- MAG- TUR. Reglamento a la Ley N° 8634, Creación del Sistema de Banca para el Desarrollo</w:t>
      </w:r>
      <w:r>
        <w:rPr>
          <w:sz w:val="22"/>
        </w:rPr>
        <w:t>. Desarrollar los principios y normas que se desprenden</w:t>
      </w:r>
      <w:r>
        <w:rPr>
          <w:spacing w:val="-9"/>
          <w:sz w:val="22"/>
        </w:rPr>
        <w:t> </w:t>
      </w:r>
      <w:r>
        <w:rPr>
          <w:sz w:val="22"/>
        </w:rPr>
        <w:t>de</w:t>
      </w:r>
      <w:r>
        <w:rPr>
          <w:spacing w:val="-9"/>
          <w:sz w:val="22"/>
        </w:rPr>
        <w:t> </w:t>
      </w:r>
      <w:r>
        <w:rPr>
          <w:sz w:val="22"/>
        </w:rPr>
        <w:t>la</w:t>
      </w:r>
      <w:r>
        <w:rPr>
          <w:spacing w:val="-9"/>
          <w:sz w:val="22"/>
        </w:rPr>
        <w:t> </w:t>
      </w:r>
      <w:r>
        <w:rPr>
          <w:sz w:val="22"/>
        </w:rPr>
        <w:t>ley</w:t>
      </w:r>
      <w:r>
        <w:rPr>
          <w:spacing w:val="-10"/>
          <w:sz w:val="22"/>
        </w:rPr>
        <w:t> </w:t>
      </w:r>
      <w:r>
        <w:rPr>
          <w:sz w:val="22"/>
        </w:rPr>
        <w:t>N°</w:t>
      </w:r>
      <w:r>
        <w:rPr>
          <w:spacing w:val="-8"/>
          <w:sz w:val="22"/>
        </w:rPr>
        <w:t> </w:t>
      </w:r>
      <w:r>
        <w:rPr>
          <w:sz w:val="22"/>
        </w:rPr>
        <w:t>8634,</w:t>
      </w:r>
      <w:r>
        <w:rPr>
          <w:spacing w:val="-5"/>
          <w:sz w:val="22"/>
        </w:rPr>
        <w:t> </w:t>
      </w:r>
      <w:r>
        <w:rPr>
          <w:sz w:val="22"/>
        </w:rPr>
        <w:t>ley</w:t>
      </w:r>
      <w:r>
        <w:rPr>
          <w:spacing w:val="-10"/>
          <w:sz w:val="22"/>
        </w:rPr>
        <w:t> </w:t>
      </w:r>
      <w:r>
        <w:rPr>
          <w:sz w:val="22"/>
        </w:rPr>
        <w:t>Sistema</w:t>
      </w:r>
      <w:r>
        <w:rPr>
          <w:spacing w:val="-9"/>
          <w:sz w:val="22"/>
        </w:rPr>
        <w:t> </w:t>
      </w:r>
      <w:r>
        <w:rPr>
          <w:sz w:val="22"/>
        </w:rPr>
        <w:t>de</w:t>
      </w:r>
      <w:r>
        <w:rPr>
          <w:spacing w:val="-9"/>
          <w:sz w:val="22"/>
        </w:rPr>
        <w:t> </w:t>
      </w:r>
      <w:r>
        <w:rPr>
          <w:sz w:val="22"/>
        </w:rPr>
        <w:t>Banca</w:t>
      </w:r>
      <w:r>
        <w:rPr>
          <w:spacing w:val="-9"/>
          <w:sz w:val="22"/>
        </w:rPr>
        <w:t> </w:t>
      </w:r>
      <w:r>
        <w:rPr>
          <w:sz w:val="22"/>
        </w:rPr>
        <w:t>para</w:t>
      </w:r>
      <w:r>
        <w:rPr>
          <w:spacing w:val="-9"/>
          <w:sz w:val="22"/>
        </w:rPr>
        <w:t> </w:t>
      </w:r>
      <w:r>
        <w:rPr>
          <w:sz w:val="22"/>
        </w:rPr>
        <w:t>el</w:t>
      </w:r>
      <w:r>
        <w:rPr>
          <w:spacing w:val="-11"/>
          <w:sz w:val="22"/>
        </w:rPr>
        <w:t> </w:t>
      </w:r>
      <w:r>
        <w:rPr>
          <w:sz w:val="22"/>
        </w:rPr>
        <w:t>Desarrollo</w:t>
      </w:r>
      <w:r>
        <w:rPr>
          <w:spacing w:val="-4"/>
          <w:sz w:val="22"/>
        </w:rPr>
        <w:t> </w:t>
      </w:r>
      <w:r>
        <w:rPr>
          <w:sz w:val="22"/>
        </w:rPr>
        <w:t>y</w:t>
      </w:r>
      <w:r>
        <w:rPr>
          <w:spacing w:val="-10"/>
          <w:sz w:val="22"/>
        </w:rPr>
        <w:t> </w:t>
      </w:r>
      <w:r>
        <w:rPr>
          <w:sz w:val="22"/>
        </w:rPr>
        <w:t>sus</w:t>
      </w:r>
      <w:r>
        <w:rPr>
          <w:spacing w:val="-10"/>
          <w:sz w:val="22"/>
        </w:rPr>
        <w:t> </w:t>
      </w:r>
      <w:r>
        <w:rPr>
          <w:sz w:val="22"/>
        </w:rPr>
        <w:t>reformas,</w:t>
      </w:r>
      <w:r>
        <w:rPr>
          <w:spacing w:val="-10"/>
          <w:sz w:val="22"/>
        </w:rPr>
        <w:t> </w:t>
      </w:r>
      <w:r>
        <w:rPr>
          <w:sz w:val="22"/>
        </w:rPr>
        <w:t>con el propósito</w:t>
      </w:r>
      <w:r>
        <w:rPr>
          <w:spacing w:val="-1"/>
          <w:sz w:val="22"/>
        </w:rPr>
        <w:t> </w:t>
      </w:r>
      <w:r>
        <w:rPr>
          <w:sz w:val="22"/>
        </w:rPr>
        <w:t>de</w:t>
      </w:r>
      <w:r>
        <w:rPr>
          <w:spacing w:val="-1"/>
          <w:sz w:val="22"/>
        </w:rPr>
        <w:t> </w:t>
      </w:r>
      <w:r>
        <w:rPr>
          <w:sz w:val="22"/>
        </w:rPr>
        <w:t>contar con</w:t>
      </w:r>
      <w:r>
        <w:rPr>
          <w:spacing w:val="-1"/>
          <w:sz w:val="22"/>
        </w:rPr>
        <w:t> </w:t>
      </w:r>
      <w:r>
        <w:rPr>
          <w:sz w:val="22"/>
        </w:rPr>
        <w:t>mecanismos para impulsar proyectos</w:t>
      </w:r>
      <w:r>
        <w:rPr>
          <w:spacing w:val="-2"/>
          <w:sz w:val="22"/>
        </w:rPr>
        <w:t> </w:t>
      </w:r>
      <w:r>
        <w:rPr>
          <w:sz w:val="22"/>
        </w:rPr>
        <w:t>productivos y cumplir con el</w:t>
      </w:r>
      <w:r>
        <w:rPr>
          <w:spacing w:val="-16"/>
          <w:sz w:val="22"/>
        </w:rPr>
        <w:t> </w:t>
      </w:r>
      <w:r>
        <w:rPr>
          <w:sz w:val="22"/>
        </w:rPr>
        <w:t>fin</w:t>
      </w:r>
      <w:r>
        <w:rPr>
          <w:spacing w:val="-15"/>
          <w:sz w:val="22"/>
        </w:rPr>
        <w:t> </w:t>
      </w:r>
      <w:r>
        <w:rPr>
          <w:sz w:val="22"/>
        </w:rPr>
        <w:t>público</w:t>
      </w:r>
      <w:r>
        <w:rPr>
          <w:spacing w:val="-15"/>
          <w:sz w:val="22"/>
        </w:rPr>
        <w:t> </w:t>
      </w:r>
      <w:r>
        <w:rPr>
          <w:sz w:val="22"/>
        </w:rPr>
        <w:t>de</w:t>
      </w:r>
      <w:r>
        <w:rPr>
          <w:spacing w:val="-16"/>
          <w:sz w:val="22"/>
        </w:rPr>
        <w:t> </w:t>
      </w:r>
      <w:r>
        <w:rPr>
          <w:sz w:val="22"/>
        </w:rPr>
        <w:t>movilidad</w:t>
      </w:r>
      <w:r>
        <w:rPr>
          <w:spacing w:val="-15"/>
          <w:sz w:val="22"/>
        </w:rPr>
        <w:t> </w:t>
      </w:r>
      <w:r>
        <w:rPr>
          <w:sz w:val="22"/>
        </w:rPr>
        <w:t>social</w:t>
      </w:r>
      <w:r>
        <w:rPr>
          <w:spacing w:val="-15"/>
          <w:sz w:val="22"/>
        </w:rPr>
        <w:t> </w:t>
      </w:r>
      <w:r>
        <w:rPr>
          <w:sz w:val="22"/>
        </w:rPr>
        <w:t>de</w:t>
      </w:r>
      <w:r>
        <w:rPr>
          <w:spacing w:val="-15"/>
          <w:sz w:val="22"/>
        </w:rPr>
        <w:t> </w:t>
      </w:r>
      <w:r>
        <w:rPr>
          <w:sz w:val="22"/>
        </w:rPr>
        <w:t>las</w:t>
      </w:r>
      <w:r>
        <w:rPr>
          <w:spacing w:val="-16"/>
          <w:sz w:val="22"/>
        </w:rPr>
        <w:t> </w:t>
      </w:r>
      <w:r>
        <w:rPr>
          <w:sz w:val="22"/>
        </w:rPr>
        <w:t>personas</w:t>
      </w:r>
      <w:r>
        <w:rPr>
          <w:spacing w:val="-15"/>
          <w:sz w:val="22"/>
        </w:rPr>
        <w:t> </w:t>
      </w:r>
      <w:r>
        <w:rPr>
          <w:sz w:val="22"/>
        </w:rPr>
        <w:t>beneficiarias</w:t>
      </w:r>
      <w:r>
        <w:rPr>
          <w:spacing w:val="-15"/>
          <w:sz w:val="22"/>
        </w:rPr>
        <w:t> </w:t>
      </w:r>
      <w:r>
        <w:rPr>
          <w:sz w:val="22"/>
        </w:rPr>
        <w:t>establecidos</w:t>
      </w:r>
      <w:r>
        <w:rPr>
          <w:spacing w:val="-16"/>
          <w:sz w:val="22"/>
        </w:rPr>
        <w:t> </w:t>
      </w:r>
      <w:r>
        <w:rPr>
          <w:sz w:val="22"/>
        </w:rPr>
        <w:t>en</w:t>
      </w:r>
      <w:r>
        <w:rPr>
          <w:spacing w:val="-15"/>
          <w:sz w:val="22"/>
        </w:rPr>
        <w:t> </w:t>
      </w:r>
      <w:r>
        <w:rPr>
          <w:sz w:val="22"/>
        </w:rPr>
        <w:t>la</w:t>
      </w:r>
      <w:r>
        <w:rPr>
          <w:spacing w:val="-15"/>
          <w:sz w:val="22"/>
        </w:rPr>
        <w:t> </w:t>
      </w:r>
      <w:r>
        <w:rPr>
          <w:sz w:val="22"/>
        </w:rPr>
        <w:t>Ley.</w:t>
      </w:r>
      <w:r>
        <w:rPr>
          <w:spacing w:val="-15"/>
          <w:sz w:val="22"/>
        </w:rPr>
        <w:t> </w:t>
      </w:r>
      <w:r>
        <w:rPr>
          <w:sz w:val="22"/>
        </w:rPr>
        <w:t>Fecha de vigencia 25/04/2023.</w:t>
      </w:r>
    </w:p>
    <w:p>
      <w:pPr>
        <w:pStyle w:val="BodyText"/>
        <w:spacing w:before="1"/>
      </w:pPr>
    </w:p>
    <w:p>
      <w:pPr>
        <w:spacing w:before="0"/>
        <w:ind w:left="979" w:right="1344" w:firstLine="0"/>
        <w:jc w:val="both"/>
        <w:rPr>
          <w:sz w:val="22"/>
        </w:rPr>
      </w:pPr>
      <w:r>
        <w:rPr>
          <w:b/>
          <w:sz w:val="22"/>
        </w:rPr>
        <w:t>Decreto Nº 44027-H Reglamento funcionamiento proveedurías institucionales de los Ministerios de Gobierno</w:t>
      </w:r>
      <w:r>
        <w:rPr>
          <w:sz w:val="22"/>
        </w:rPr>
        <w:t>. Regula el funcionamiento de las proveedurías institucionales Fecha de vigencia 29/05/2023.</w:t>
      </w:r>
    </w:p>
    <w:p>
      <w:pPr>
        <w:pStyle w:val="BodyText"/>
        <w:spacing w:before="1"/>
      </w:pPr>
    </w:p>
    <w:p>
      <w:pPr>
        <w:spacing w:line="240" w:lineRule="auto" w:before="0"/>
        <w:ind w:left="979" w:right="1336" w:firstLine="0"/>
        <w:jc w:val="both"/>
        <w:rPr>
          <w:sz w:val="22"/>
        </w:rPr>
      </w:pPr>
      <w:r>
        <w:rPr>
          <w:b/>
          <w:sz w:val="22"/>
        </w:rPr>
        <w:t>Decreto</w:t>
      </w:r>
      <w:r>
        <w:rPr>
          <w:b/>
          <w:spacing w:val="-7"/>
          <w:sz w:val="22"/>
        </w:rPr>
        <w:t> </w:t>
      </w:r>
      <w:r>
        <w:rPr>
          <w:b/>
          <w:sz w:val="22"/>
        </w:rPr>
        <w:t>Nº43824-MP</w:t>
      </w:r>
      <w:r>
        <w:rPr>
          <w:b/>
          <w:spacing w:val="-5"/>
          <w:sz w:val="22"/>
        </w:rPr>
        <w:t> </w:t>
      </w:r>
      <w:r>
        <w:rPr>
          <w:b/>
          <w:sz w:val="22"/>
        </w:rPr>
        <w:t>Creación</w:t>
      </w:r>
      <w:r>
        <w:rPr>
          <w:b/>
          <w:spacing w:val="-8"/>
          <w:sz w:val="22"/>
        </w:rPr>
        <w:t> </w:t>
      </w:r>
      <w:r>
        <w:rPr>
          <w:b/>
          <w:sz w:val="22"/>
        </w:rPr>
        <w:t>de</w:t>
      </w:r>
      <w:r>
        <w:rPr>
          <w:b/>
          <w:spacing w:val="-6"/>
          <w:sz w:val="22"/>
        </w:rPr>
        <w:t> </w:t>
      </w:r>
      <w:r>
        <w:rPr>
          <w:b/>
          <w:sz w:val="22"/>
        </w:rPr>
        <w:t>la</w:t>
      </w:r>
      <w:r>
        <w:rPr>
          <w:b/>
          <w:spacing w:val="-5"/>
          <w:sz w:val="22"/>
        </w:rPr>
        <w:t> </w:t>
      </w:r>
      <w:r>
        <w:rPr>
          <w:b/>
          <w:sz w:val="22"/>
        </w:rPr>
        <w:t>Unidad</w:t>
      </w:r>
      <w:r>
        <w:rPr>
          <w:b/>
          <w:spacing w:val="-7"/>
          <w:sz w:val="22"/>
        </w:rPr>
        <w:t> </w:t>
      </w:r>
      <w:r>
        <w:rPr>
          <w:b/>
          <w:sz w:val="22"/>
        </w:rPr>
        <w:t>Asesora</w:t>
      </w:r>
      <w:r>
        <w:rPr>
          <w:b/>
          <w:spacing w:val="-5"/>
          <w:sz w:val="22"/>
        </w:rPr>
        <w:t> </w:t>
      </w:r>
      <w:r>
        <w:rPr>
          <w:b/>
          <w:sz w:val="22"/>
        </w:rPr>
        <w:t>para</w:t>
      </w:r>
      <w:r>
        <w:rPr>
          <w:b/>
          <w:spacing w:val="-5"/>
          <w:sz w:val="22"/>
        </w:rPr>
        <w:t> </w:t>
      </w:r>
      <w:r>
        <w:rPr>
          <w:b/>
          <w:sz w:val="22"/>
        </w:rPr>
        <w:t>la</w:t>
      </w:r>
      <w:r>
        <w:rPr>
          <w:b/>
          <w:spacing w:val="-5"/>
          <w:sz w:val="22"/>
        </w:rPr>
        <w:t> </w:t>
      </w:r>
      <w:r>
        <w:rPr>
          <w:b/>
          <w:sz w:val="22"/>
        </w:rPr>
        <w:t>dirección</w:t>
      </w:r>
      <w:r>
        <w:rPr>
          <w:b/>
          <w:spacing w:val="-8"/>
          <w:sz w:val="22"/>
        </w:rPr>
        <w:t> </w:t>
      </w:r>
      <w:r>
        <w:rPr>
          <w:b/>
          <w:sz w:val="22"/>
        </w:rPr>
        <w:t>y</w:t>
      </w:r>
      <w:r>
        <w:rPr>
          <w:b/>
          <w:spacing w:val="-10"/>
          <w:sz w:val="22"/>
        </w:rPr>
        <w:t> </w:t>
      </w:r>
      <w:r>
        <w:rPr>
          <w:b/>
          <w:sz w:val="22"/>
        </w:rPr>
        <w:t>coordinación de la propiedad accionaria del Estado y la gestión de las instituciones autónomas </w:t>
      </w:r>
      <w:r>
        <w:rPr>
          <w:sz w:val="22"/>
        </w:rPr>
        <w:t>Modifíquense los artículos 4, 6, 7, 9 y 11 del Decreto Ejecutivo N° 40696-MP Fecha de vigencia 02/06/2023.</w:t>
      </w:r>
    </w:p>
    <w:p>
      <w:pPr>
        <w:pStyle w:val="BodyText"/>
        <w:spacing w:before="3"/>
      </w:pPr>
    </w:p>
    <w:p>
      <w:pPr>
        <w:spacing w:line="240" w:lineRule="auto" w:before="0"/>
        <w:ind w:left="979" w:right="1336" w:firstLine="0"/>
        <w:jc w:val="both"/>
        <w:rPr>
          <w:sz w:val="22"/>
        </w:rPr>
      </w:pPr>
      <w:r>
        <w:rPr>
          <w:b/>
          <w:sz w:val="22"/>
        </w:rPr>
        <w:t>Decreto Nº 44055-PLAN Reforma al Transitorio I del Reglamento a la Ley Marco de Empleo Público, Decreto Ejecutivo Nº43952-PLAN</w:t>
      </w:r>
      <w:r>
        <w:rPr>
          <w:sz w:val="22"/>
        </w:rPr>
        <w:t>. Refórmese el Transitorio l del Decreto Ejecutivo N º 43952-PLAN Fecha de vigencia 06/06/2023.</w:t>
      </w:r>
    </w:p>
    <w:p>
      <w:pPr>
        <w:spacing w:before="249"/>
        <w:ind w:left="979" w:right="1341" w:firstLine="0"/>
        <w:jc w:val="both"/>
        <w:rPr>
          <w:sz w:val="22"/>
        </w:rPr>
      </w:pPr>
      <w:r>
        <w:rPr>
          <w:b/>
          <w:sz w:val="22"/>
        </w:rPr>
        <w:t>Decreto</w:t>
      </w:r>
      <w:r>
        <w:rPr>
          <w:b/>
          <w:spacing w:val="-3"/>
          <w:sz w:val="22"/>
        </w:rPr>
        <w:t> </w:t>
      </w:r>
      <w:r>
        <w:rPr>
          <w:b/>
          <w:sz w:val="22"/>
        </w:rPr>
        <w:t>Nº</w:t>
      </w:r>
      <w:r>
        <w:rPr>
          <w:b/>
          <w:spacing w:val="-7"/>
          <w:sz w:val="22"/>
        </w:rPr>
        <w:t> </w:t>
      </w:r>
      <w:r>
        <w:rPr>
          <w:b/>
          <w:sz w:val="22"/>
        </w:rPr>
        <w:t>44054-PLAN</w:t>
      </w:r>
      <w:r>
        <w:rPr>
          <w:b/>
          <w:spacing w:val="-7"/>
          <w:sz w:val="22"/>
        </w:rPr>
        <w:t> </w:t>
      </w:r>
      <w:r>
        <w:rPr>
          <w:b/>
          <w:sz w:val="22"/>
        </w:rPr>
        <w:t>Elaboración,</w:t>
      </w:r>
      <w:r>
        <w:rPr>
          <w:b/>
          <w:spacing w:val="-6"/>
          <w:sz w:val="22"/>
        </w:rPr>
        <w:t> </w:t>
      </w:r>
      <w:r>
        <w:rPr>
          <w:b/>
          <w:sz w:val="22"/>
        </w:rPr>
        <w:t>Aprobación</w:t>
      </w:r>
      <w:r>
        <w:rPr>
          <w:b/>
          <w:spacing w:val="-3"/>
          <w:sz w:val="22"/>
        </w:rPr>
        <w:t> </w:t>
      </w:r>
      <w:r>
        <w:rPr>
          <w:b/>
          <w:sz w:val="22"/>
        </w:rPr>
        <w:t>y</w:t>
      </w:r>
      <w:r>
        <w:rPr>
          <w:b/>
          <w:spacing w:val="-5"/>
          <w:sz w:val="22"/>
        </w:rPr>
        <w:t> </w:t>
      </w:r>
      <w:r>
        <w:rPr>
          <w:b/>
          <w:sz w:val="22"/>
        </w:rPr>
        <w:t>Modificaciones</w:t>
      </w:r>
      <w:r>
        <w:rPr>
          <w:b/>
          <w:spacing w:val="-5"/>
          <w:sz w:val="22"/>
        </w:rPr>
        <w:t> </w:t>
      </w:r>
      <w:r>
        <w:rPr>
          <w:b/>
          <w:sz w:val="22"/>
        </w:rPr>
        <w:t>del</w:t>
      </w:r>
      <w:r>
        <w:rPr>
          <w:b/>
          <w:spacing w:val="-6"/>
          <w:sz w:val="22"/>
        </w:rPr>
        <w:t> </w:t>
      </w:r>
      <w:r>
        <w:rPr>
          <w:b/>
          <w:sz w:val="22"/>
        </w:rPr>
        <w:t>Plan</w:t>
      </w:r>
      <w:r>
        <w:rPr>
          <w:b/>
          <w:spacing w:val="-8"/>
          <w:sz w:val="22"/>
        </w:rPr>
        <w:t> </w:t>
      </w:r>
      <w:r>
        <w:rPr>
          <w:b/>
          <w:sz w:val="22"/>
        </w:rPr>
        <w:t>Nacional de</w:t>
      </w:r>
      <w:r>
        <w:rPr>
          <w:b/>
          <w:spacing w:val="-16"/>
          <w:sz w:val="22"/>
        </w:rPr>
        <w:t> </w:t>
      </w:r>
      <w:r>
        <w:rPr>
          <w:b/>
          <w:sz w:val="22"/>
        </w:rPr>
        <w:t>Desarrollo.</w:t>
      </w:r>
      <w:r>
        <w:rPr>
          <w:b/>
          <w:spacing w:val="-17"/>
          <w:sz w:val="22"/>
        </w:rPr>
        <w:t> </w:t>
      </w:r>
      <w:r>
        <w:rPr>
          <w:sz w:val="22"/>
        </w:rPr>
        <w:t>Regulación</w:t>
      </w:r>
      <w:r>
        <w:rPr>
          <w:spacing w:val="-17"/>
          <w:sz w:val="22"/>
        </w:rPr>
        <w:t> </w:t>
      </w:r>
      <w:r>
        <w:rPr>
          <w:sz w:val="22"/>
        </w:rPr>
        <w:t>del</w:t>
      </w:r>
      <w:r>
        <w:rPr>
          <w:spacing w:val="-15"/>
          <w:sz w:val="22"/>
        </w:rPr>
        <w:t> </w:t>
      </w:r>
      <w:r>
        <w:rPr>
          <w:sz w:val="22"/>
        </w:rPr>
        <w:t>Plan</w:t>
      </w:r>
      <w:r>
        <w:rPr>
          <w:spacing w:val="-15"/>
          <w:sz w:val="22"/>
        </w:rPr>
        <w:t> </w:t>
      </w:r>
      <w:r>
        <w:rPr>
          <w:sz w:val="22"/>
        </w:rPr>
        <w:t>Nacional</w:t>
      </w:r>
      <w:r>
        <w:rPr>
          <w:spacing w:val="-19"/>
          <w:sz w:val="22"/>
        </w:rPr>
        <w:t> </w:t>
      </w:r>
      <w:r>
        <w:rPr>
          <w:sz w:val="22"/>
        </w:rPr>
        <w:t>de</w:t>
      </w:r>
      <w:r>
        <w:rPr>
          <w:spacing w:val="-17"/>
          <w:sz w:val="22"/>
        </w:rPr>
        <w:t> </w:t>
      </w:r>
      <w:r>
        <w:rPr>
          <w:sz w:val="22"/>
        </w:rPr>
        <w:t>Desarrollo.</w:t>
      </w:r>
      <w:r>
        <w:rPr>
          <w:spacing w:val="-16"/>
          <w:sz w:val="22"/>
        </w:rPr>
        <w:t> </w:t>
      </w:r>
      <w:r>
        <w:rPr>
          <w:sz w:val="22"/>
        </w:rPr>
        <w:t>Fecha</w:t>
      </w:r>
      <w:r>
        <w:rPr>
          <w:spacing w:val="-17"/>
          <w:sz w:val="22"/>
        </w:rPr>
        <w:t> </w:t>
      </w:r>
      <w:r>
        <w:rPr>
          <w:sz w:val="22"/>
        </w:rPr>
        <w:t>de</w:t>
      </w:r>
      <w:r>
        <w:rPr>
          <w:spacing w:val="-15"/>
          <w:sz w:val="22"/>
        </w:rPr>
        <w:t> </w:t>
      </w:r>
      <w:r>
        <w:rPr>
          <w:sz w:val="22"/>
        </w:rPr>
        <w:t>vigencia</w:t>
      </w:r>
      <w:r>
        <w:rPr>
          <w:spacing w:val="60"/>
          <w:sz w:val="22"/>
        </w:rPr>
        <w:t> </w:t>
      </w:r>
      <w:r>
        <w:rPr>
          <w:sz w:val="22"/>
        </w:rPr>
        <w:t>30/06/2023.</w:t>
      </w:r>
    </w:p>
    <w:p>
      <w:pPr>
        <w:pStyle w:val="BodyText"/>
        <w:spacing w:before="5"/>
      </w:pPr>
    </w:p>
    <w:p>
      <w:pPr>
        <w:spacing w:line="240" w:lineRule="auto" w:before="0"/>
        <w:ind w:left="979" w:right="1339" w:firstLine="0"/>
        <w:jc w:val="both"/>
        <w:rPr>
          <w:sz w:val="22"/>
        </w:rPr>
      </w:pPr>
      <w:r>
        <w:rPr>
          <w:b/>
          <w:sz w:val="22"/>
        </w:rPr>
        <w:t>Decreto Nº 44113-MTSS-PLAN Declaratoria de interés público de la Estrategia Nacional de Empleabilidad y Talento Humano de Costa Rica</w:t>
      </w:r>
      <w:r>
        <w:rPr>
          <w:sz w:val="22"/>
        </w:rPr>
        <w:t>. Con el fin de mejorar la empleabilidad de las personas en condiciones de exclusión del mercado de trabajo, propiciando su acceso a las oportunidades laborales y el impulso de la productividad y competitividad del país, basada en el talento humano. Fecha de vigencia 21/08/2023.</w:t>
      </w:r>
    </w:p>
    <w:p>
      <w:pPr>
        <w:spacing w:after="0" w:line="240" w:lineRule="auto"/>
        <w:jc w:val="both"/>
        <w:rPr>
          <w:sz w:val="22"/>
        </w:rPr>
        <w:sectPr>
          <w:pgSz w:w="12240" w:h="15840"/>
          <w:pgMar w:header="0" w:footer="1021" w:top="1340" w:bottom="1220" w:left="720" w:right="360"/>
        </w:sectPr>
      </w:pPr>
    </w:p>
    <w:p>
      <w:pPr>
        <w:pStyle w:val="BodyText"/>
        <w:spacing w:before="76"/>
        <w:ind w:left="979" w:right="1341"/>
        <w:jc w:val="both"/>
      </w:pPr>
      <w:r>
        <w:rPr>
          <w:b/>
        </w:rPr>
        <w:t>Decreto N°44199-MIDEPLAN </w:t>
      </w:r>
      <w:r>
        <w:rPr/>
        <w:t>Reforma del artículo 36 y adición de un transitorio VII al Reglamento</w:t>
      </w:r>
      <w:r>
        <w:rPr>
          <w:spacing w:val="-10"/>
        </w:rPr>
        <w:t> </w:t>
      </w:r>
      <w:r>
        <w:rPr/>
        <w:t>a</w:t>
      </w:r>
      <w:r>
        <w:rPr>
          <w:spacing w:val="-10"/>
        </w:rPr>
        <w:t> </w:t>
      </w:r>
      <w:r>
        <w:rPr/>
        <w:t>la</w:t>
      </w:r>
      <w:r>
        <w:rPr>
          <w:spacing w:val="-10"/>
        </w:rPr>
        <w:t> </w:t>
      </w:r>
      <w:r>
        <w:rPr/>
        <w:t>Ley</w:t>
      </w:r>
      <w:r>
        <w:rPr>
          <w:spacing w:val="-12"/>
        </w:rPr>
        <w:t> </w:t>
      </w:r>
      <w:r>
        <w:rPr/>
        <w:t>Marco</w:t>
      </w:r>
      <w:r>
        <w:rPr>
          <w:spacing w:val="-15"/>
        </w:rPr>
        <w:t> </w:t>
      </w:r>
      <w:r>
        <w:rPr/>
        <w:t>de</w:t>
      </w:r>
      <w:r>
        <w:rPr>
          <w:spacing w:val="-15"/>
        </w:rPr>
        <w:t> </w:t>
      </w:r>
      <w:r>
        <w:rPr/>
        <w:t>Empleo</w:t>
      </w:r>
      <w:r>
        <w:rPr>
          <w:spacing w:val="-10"/>
        </w:rPr>
        <w:t> </w:t>
      </w:r>
      <w:r>
        <w:rPr/>
        <w:t>Público,</w:t>
      </w:r>
      <w:r>
        <w:rPr>
          <w:spacing w:val="-11"/>
        </w:rPr>
        <w:t> </w:t>
      </w:r>
      <w:r>
        <w:rPr/>
        <w:t>Decreto</w:t>
      </w:r>
      <w:r>
        <w:rPr>
          <w:spacing w:val="-10"/>
        </w:rPr>
        <w:t> </w:t>
      </w:r>
      <w:r>
        <w:rPr/>
        <w:t>ejecutivo</w:t>
      </w:r>
      <w:r>
        <w:rPr>
          <w:spacing w:val="-10"/>
        </w:rPr>
        <w:t> </w:t>
      </w:r>
      <w:r>
        <w:rPr/>
        <w:t>N°43952-PLAN</w:t>
      </w:r>
      <w:r>
        <w:rPr>
          <w:spacing w:val="-13"/>
        </w:rPr>
        <w:t> </w:t>
      </w:r>
      <w:r>
        <w:rPr/>
        <w:t>del</w:t>
      </w:r>
      <w:r>
        <w:rPr>
          <w:spacing w:val="-13"/>
        </w:rPr>
        <w:t> </w:t>
      </w:r>
      <w:r>
        <w:rPr/>
        <w:t>28</w:t>
      </w:r>
      <w:r>
        <w:rPr>
          <w:spacing w:val="-10"/>
        </w:rPr>
        <w:t> </w:t>
      </w:r>
      <w:r>
        <w:rPr/>
        <w:t>de febrero de 2023, Fecha de vigencia 08/09/2023.</w:t>
      </w:r>
    </w:p>
    <w:p>
      <w:pPr>
        <w:pStyle w:val="BodyText"/>
        <w:spacing w:before="1"/>
      </w:pPr>
    </w:p>
    <w:p>
      <w:pPr>
        <w:pStyle w:val="BodyText"/>
        <w:spacing w:before="1"/>
        <w:ind w:left="979" w:right="1335"/>
        <w:jc w:val="both"/>
      </w:pPr>
      <w:r>
        <w:rPr>
          <w:b/>
        </w:rPr>
        <w:t>Decreto</w:t>
      </w:r>
      <w:r>
        <w:rPr>
          <w:b/>
          <w:spacing w:val="-3"/>
        </w:rPr>
        <w:t> </w:t>
      </w:r>
      <w:r>
        <w:rPr>
          <w:b/>
        </w:rPr>
        <w:t>N°44242-MDHIS-MTSS-MP</w:t>
      </w:r>
      <w:r>
        <w:rPr>
          <w:b/>
          <w:spacing w:val="-2"/>
        </w:rPr>
        <w:t> </w:t>
      </w:r>
      <w:r>
        <w:rPr>
          <w:b/>
        </w:rPr>
        <w:t>Reglamento</w:t>
      </w:r>
      <w:r>
        <w:rPr>
          <w:b/>
          <w:spacing w:val="-5"/>
        </w:rPr>
        <w:t> </w:t>
      </w:r>
      <w:r>
        <w:rPr>
          <w:b/>
        </w:rPr>
        <w:t>a</w:t>
      </w:r>
      <w:r>
        <w:rPr>
          <w:b/>
          <w:spacing w:val="-6"/>
        </w:rPr>
        <w:t> </w:t>
      </w:r>
      <w:r>
        <w:rPr>
          <w:b/>
        </w:rPr>
        <w:t>la</w:t>
      </w:r>
      <w:r>
        <w:rPr>
          <w:b/>
          <w:spacing w:val="-6"/>
        </w:rPr>
        <w:t> </w:t>
      </w:r>
      <w:r>
        <w:rPr>
          <w:b/>
        </w:rPr>
        <w:t>Ley</w:t>
      </w:r>
      <w:r>
        <w:rPr>
          <w:b/>
          <w:spacing w:val="-6"/>
        </w:rPr>
        <w:t> </w:t>
      </w:r>
      <w:r>
        <w:rPr>
          <w:b/>
        </w:rPr>
        <w:t>de</w:t>
      </w:r>
      <w:r>
        <w:rPr>
          <w:b/>
          <w:spacing w:val="-7"/>
        </w:rPr>
        <w:t> </w:t>
      </w:r>
      <w:r>
        <w:rPr>
          <w:b/>
        </w:rPr>
        <w:t>Creación</w:t>
      </w:r>
      <w:r>
        <w:rPr>
          <w:b/>
          <w:spacing w:val="-5"/>
        </w:rPr>
        <w:t> </w:t>
      </w:r>
      <w:r>
        <w:rPr>
          <w:b/>
        </w:rPr>
        <w:t>del</w:t>
      </w:r>
      <w:r>
        <w:rPr>
          <w:b/>
          <w:spacing w:val="-7"/>
        </w:rPr>
        <w:t> </w:t>
      </w:r>
      <w:r>
        <w:rPr>
          <w:b/>
        </w:rPr>
        <w:t>SINCA</w:t>
      </w:r>
      <w:r>
        <w:rPr>
          <w:b/>
          <w:spacing w:val="-5"/>
        </w:rPr>
        <w:t> </w:t>
      </w:r>
      <w:r>
        <w:rPr/>
        <w:t>Tiene objeto</w:t>
      </w:r>
      <w:r>
        <w:rPr>
          <w:spacing w:val="-8"/>
        </w:rPr>
        <w:t> </w:t>
      </w:r>
      <w:r>
        <w:rPr/>
        <w:t>facilitar</w:t>
      </w:r>
      <w:r>
        <w:rPr>
          <w:spacing w:val="-7"/>
        </w:rPr>
        <w:t> </w:t>
      </w:r>
      <w:r>
        <w:rPr/>
        <w:t>el</w:t>
      </w:r>
      <w:r>
        <w:rPr>
          <w:spacing w:val="-11"/>
        </w:rPr>
        <w:t> </w:t>
      </w:r>
      <w:r>
        <w:rPr/>
        <w:t>acceso</w:t>
      </w:r>
      <w:r>
        <w:rPr>
          <w:spacing w:val="-8"/>
        </w:rPr>
        <w:t> </w:t>
      </w:r>
      <w:r>
        <w:rPr/>
        <w:t>a</w:t>
      </w:r>
      <w:r>
        <w:rPr>
          <w:spacing w:val="-8"/>
        </w:rPr>
        <w:t> </w:t>
      </w:r>
      <w:r>
        <w:rPr/>
        <w:t>los</w:t>
      </w:r>
      <w:r>
        <w:rPr>
          <w:spacing w:val="-10"/>
        </w:rPr>
        <w:t> </w:t>
      </w:r>
      <w:r>
        <w:rPr/>
        <w:t>servicios</w:t>
      </w:r>
      <w:r>
        <w:rPr>
          <w:spacing w:val="-10"/>
        </w:rPr>
        <w:t> </w:t>
      </w:r>
      <w:r>
        <w:rPr/>
        <w:t>y</w:t>
      </w:r>
      <w:r>
        <w:rPr>
          <w:spacing w:val="-10"/>
        </w:rPr>
        <w:t> </w:t>
      </w:r>
      <w:r>
        <w:rPr/>
        <w:t>apoyos</w:t>
      </w:r>
      <w:r>
        <w:rPr>
          <w:spacing w:val="-5"/>
        </w:rPr>
        <w:t> </w:t>
      </w:r>
      <w:r>
        <w:rPr/>
        <w:t>para</w:t>
      </w:r>
      <w:r>
        <w:rPr>
          <w:spacing w:val="-3"/>
        </w:rPr>
        <w:t> </w:t>
      </w:r>
      <w:r>
        <w:rPr/>
        <w:t>los</w:t>
      </w:r>
      <w:r>
        <w:rPr>
          <w:spacing w:val="-5"/>
        </w:rPr>
        <w:t> </w:t>
      </w:r>
      <w:r>
        <w:rPr/>
        <w:t>cuidados</w:t>
      </w:r>
      <w:r>
        <w:rPr>
          <w:spacing w:val="-10"/>
        </w:rPr>
        <w:t> </w:t>
      </w:r>
      <w:r>
        <w:rPr/>
        <w:t>básicos</w:t>
      </w:r>
      <w:r>
        <w:rPr>
          <w:spacing w:val="-10"/>
        </w:rPr>
        <w:t> </w:t>
      </w:r>
      <w:r>
        <w:rPr/>
        <w:t>de</w:t>
      </w:r>
      <w:r>
        <w:rPr>
          <w:spacing w:val="-8"/>
        </w:rPr>
        <w:t> </w:t>
      </w:r>
      <w:r>
        <w:rPr/>
        <w:t>la</w:t>
      </w:r>
      <w:r>
        <w:rPr>
          <w:spacing w:val="-3"/>
        </w:rPr>
        <w:t> </w:t>
      </w:r>
      <w:r>
        <w:rPr/>
        <w:t>vida</w:t>
      </w:r>
      <w:r>
        <w:rPr>
          <w:spacing w:val="-8"/>
        </w:rPr>
        <w:t> </w:t>
      </w:r>
      <w:r>
        <w:rPr/>
        <w:t>diaria de</w:t>
      </w:r>
      <w:r>
        <w:rPr>
          <w:spacing w:val="-3"/>
        </w:rPr>
        <w:t> </w:t>
      </w:r>
      <w:r>
        <w:rPr/>
        <w:t>las</w:t>
      </w:r>
      <w:r>
        <w:rPr>
          <w:spacing w:val="-5"/>
        </w:rPr>
        <w:t> </w:t>
      </w:r>
      <w:r>
        <w:rPr/>
        <w:t>personas</w:t>
      </w:r>
      <w:r>
        <w:rPr>
          <w:spacing w:val="-10"/>
        </w:rPr>
        <w:t> </w:t>
      </w:r>
      <w:r>
        <w:rPr/>
        <w:t>adultas</w:t>
      </w:r>
      <w:r>
        <w:rPr>
          <w:spacing w:val="-5"/>
        </w:rPr>
        <w:t> </w:t>
      </w:r>
      <w:r>
        <w:rPr/>
        <w:t>y</w:t>
      </w:r>
      <w:r>
        <w:rPr>
          <w:spacing w:val="-10"/>
        </w:rPr>
        <w:t> </w:t>
      </w:r>
      <w:r>
        <w:rPr/>
        <w:t>adultas</w:t>
      </w:r>
      <w:r>
        <w:rPr>
          <w:spacing w:val="-10"/>
        </w:rPr>
        <w:t> </w:t>
      </w:r>
      <w:r>
        <w:rPr/>
        <w:t>mayores</w:t>
      </w:r>
      <w:r>
        <w:rPr>
          <w:spacing w:val="-10"/>
        </w:rPr>
        <w:t> </w:t>
      </w:r>
      <w:r>
        <w:rPr/>
        <w:t>en</w:t>
      </w:r>
      <w:r>
        <w:rPr>
          <w:spacing w:val="-3"/>
        </w:rPr>
        <w:t> </w:t>
      </w:r>
      <w:r>
        <w:rPr/>
        <w:t>situación</w:t>
      </w:r>
      <w:r>
        <w:rPr>
          <w:spacing w:val="-8"/>
        </w:rPr>
        <w:t> </w:t>
      </w:r>
      <w:r>
        <w:rPr/>
        <w:t>de</w:t>
      </w:r>
      <w:r>
        <w:rPr>
          <w:spacing w:val="-3"/>
        </w:rPr>
        <w:t> </w:t>
      </w:r>
      <w:r>
        <w:rPr/>
        <w:t>dependencia,</w:t>
      </w:r>
      <w:r>
        <w:rPr>
          <w:spacing w:val="-9"/>
        </w:rPr>
        <w:t> </w:t>
      </w:r>
      <w:r>
        <w:rPr/>
        <w:t>así</w:t>
      </w:r>
      <w:r>
        <w:rPr>
          <w:spacing w:val="-4"/>
        </w:rPr>
        <w:t> </w:t>
      </w:r>
      <w:r>
        <w:rPr/>
        <w:t>como</w:t>
      </w:r>
      <w:r>
        <w:rPr>
          <w:spacing w:val="-8"/>
        </w:rPr>
        <w:t> </w:t>
      </w:r>
      <w:r>
        <w:rPr/>
        <w:t>para</w:t>
      </w:r>
      <w:r>
        <w:rPr>
          <w:spacing w:val="-3"/>
        </w:rPr>
        <w:t> </w:t>
      </w:r>
      <w:r>
        <w:rPr/>
        <w:t>las personas</w:t>
      </w:r>
      <w:r>
        <w:rPr>
          <w:spacing w:val="-6"/>
        </w:rPr>
        <w:t> </w:t>
      </w:r>
      <w:r>
        <w:rPr/>
        <w:t>cuidadoras</w:t>
      </w:r>
      <w:r>
        <w:rPr>
          <w:spacing w:val="-6"/>
        </w:rPr>
        <w:t> </w:t>
      </w:r>
      <w:r>
        <w:rPr/>
        <w:t>mediante</w:t>
      </w:r>
      <w:r>
        <w:rPr>
          <w:spacing w:val="-1"/>
        </w:rPr>
        <w:t> </w:t>
      </w:r>
      <w:r>
        <w:rPr/>
        <w:t>la</w:t>
      </w:r>
      <w:r>
        <w:rPr>
          <w:spacing w:val="-4"/>
        </w:rPr>
        <w:t> </w:t>
      </w:r>
      <w:r>
        <w:rPr/>
        <w:t>organización,</w:t>
      </w:r>
      <w:r>
        <w:rPr>
          <w:spacing w:val="-1"/>
        </w:rPr>
        <w:t> </w:t>
      </w:r>
      <w:r>
        <w:rPr/>
        <w:t>funcionamiento,</w:t>
      </w:r>
      <w:r>
        <w:rPr>
          <w:spacing w:val="-1"/>
        </w:rPr>
        <w:t> </w:t>
      </w:r>
      <w:r>
        <w:rPr/>
        <w:t>y</w:t>
      </w:r>
      <w:r>
        <w:rPr>
          <w:spacing w:val="-2"/>
        </w:rPr>
        <w:t> </w:t>
      </w:r>
      <w:r>
        <w:rPr/>
        <w:t>las</w:t>
      </w:r>
      <w:r>
        <w:rPr>
          <w:spacing w:val="-6"/>
        </w:rPr>
        <w:t> </w:t>
      </w:r>
      <w:r>
        <w:rPr/>
        <w:t>diferentes</w:t>
      </w:r>
      <w:r>
        <w:rPr>
          <w:spacing w:val="-2"/>
        </w:rPr>
        <w:t> </w:t>
      </w:r>
      <w:r>
        <w:rPr/>
        <w:t>relaciones que se desarrollan en el SINCA. Fecha de vigencia 08/11/2023.</w:t>
      </w:r>
    </w:p>
    <w:p>
      <w:pPr>
        <w:pStyle w:val="BodyText"/>
        <w:spacing w:before="252"/>
        <w:ind w:left="979" w:right="1343"/>
        <w:jc w:val="both"/>
      </w:pPr>
      <w:r>
        <w:rPr>
          <w:b/>
        </w:rPr>
        <w:t>Decreto N°44243-MIDHIS-MTSS-MP Oficializar y regular la aplicación del Baremo de Valoración </w:t>
      </w:r>
      <w:r>
        <w:rPr/>
        <w:t>Tiene el objeto de oficializar y regular la aplicación del Baremo de Valoración de la Dependencia y la Intensidad de los Apoyos</w:t>
      </w:r>
      <w:r>
        <w:rPr>
          <w:spacing w:val="-6"/>
        </w:rPr>
        <w:t> </w:t>
      </w:r>
      <w:r>
        <w:rPr/>
        <w:t>de Personas</w:t>
      </w:r>
      <w:r>
        <w:rPr>
          <w:spacing w:val="-1"/>
        </w:rPr>
        <w:t> </w:t>
      </w:r>
      <w:r>
        <w:rPr/>
        <w:t>Adultas</w:t>
      </w:r>
      <w:r>
        <w:rPr>
          <w:spacing w:val="-2"/>
        </w:rPr>
        <w:t> </w:t>
      </w:r>
      <w:r>
        <w:rPr/>
        <w:t>y</w:t>
      </w:r>
      <w:r>
        <w:rPr>
          <w:spacing w:val="-1"/>
        </w:rPr>
        <w:t> </w:t>
      </w:r>
      <w:r>
        <w:rPr/>
        <w:t>Adultas</w:t>
      </w:r>
      <w:r>
        <w:rPr>
          <w:spacing w:val="-2"/>
        </w:rPr>
        <w:t> </w:t>
      </w:r>
      <w:r>
        <w:rPr/>
        <w:t>Mayores, en adelante denominado el Baremo que es el instrumento por medio de cual, las instituciones</w:t>
      </w:r>
      <w:r>
        <w:rPr>
          <w:spacing w:val="-16"/>
        </w:rPr>
        <w:t> </w:t>
      </w:r>
      <w:r>
        <w:rPr/>
        <w:t>públicas</w:t>
      </w:r>
      <w:r>
        <w:rPr>
          <w:spacing w:val="-15"/>
        </w:rPr>
        <w:t> </w:t>
      </w:r>
      <w:r>
        <w:rPr/>
        <w:t>y</w:t>
      </w:r>
      <w:r>
        <w:rPr>
          <w:spacing w:val="-15"/>
        </w:rPr>
        <w:t> </w:t>
      </w:r>
      <w:r>
        <w:rPr/>
        <w:t>organizaciones</w:t>
      </w:r>
      <w:r>
        <w:rPr>
          <w:spacing w:val="-15"/>
        </w:rPr>
        <w:t> </w:t>
      </w:r>
      <w:r>
        <w:rPr/>
        <w:t>privadas</w:t>
      </w:r>
      <w:r>
        <w:rPr>
          <w:spacing w:val="-16"/>
        </w:rPr>
        <w:t> </w:t>
      </w:r>
      <w:r>
        <w:rPr/>
        <w:t>que</w:t>
      </w:r>
      <w:r>
        <w:rPr>
          <w:spacing w:val="-9"/>
        </w:rPr>
        <w:t> </w:t>
      </w:r>
      <w:r>
        <w:rPr/>
        <w:t>reciben</w:t>
      </w:r>
      <w:r>
        <w:rPr>
          <w:spacing w:val="-10"/>
        </w:rPr>
        <w:t> </w:t>
      </w:r>
      <w:r>
        <w:rPr/>
        <w:t>fondos</w:t>
      </w:r>
      <w:r>
        <w:rPr>
          <w:spacing w:val="-12"/>
        </w:rPr>
        <w:t> </w:t>
      </w:r>
      <w:r>
        <w:rPr/>
        <w:t>públicos</w:t>
      </w:r>
      <w:r>
        <w:rPr>
          <w:spacing w:val="-12"/>
        </w:rPr>
        <w:t> </w:t>
      </w:r>
      <w:r>
        <w:rPr/>
        <w:t>y</w:t>
      </w:r>
      <w:r>
        <w:rPr>
          <w:spacing w:val="-16"/>
        </w:rPr>
        <w:t> </w:t>
      </w:r>
      <w:r>
        <w:rPr/>
        <w:t>que</w:t>
      </w:r>
      <w:r>
        <w:rPr>
          <w:spacing w:val="-9"/>
        </w:rPr>
        <w:t> </w:t>
      </w:r>
      <w:r>
        <w:rPr/>
        <w:t>integran el Sistema Nacional de Cuidados y Apoyos de las Personas Adultas Mayores y Personas Adultas Mayores en Situación de Dependencia, en adelante SINCA. Fecha de vigencia </w:t>
      </w:r>
      <w:r>
        <w:rPr>
          <w:spacing w:val="-2"/>
        </w:rPr>
        <w:t>08/11/2023.</w:t>
      </w:r>
    </w:p>
    <w:p>
      <w:pPr>
        <w:pStyle w:val="BodyText"/>
        <w:spacing w:before="252"/>
        <w:ind w:left="979" w:right="1344"/>
        <w:jc w:val="both"/>
      </w:pPr>
      <w:r>
        <w:rPr>
          <w:b/>
        </w:rPr>
        <w:t>Decreto N°44330 MTSS-MP-MDHIS-MEP </w:t>
      </w:r>
      <w:r>
        <w:rPr/>
        <w:t>Reforma los artículos 1, 3, 4 5 y 6 del Decreto Ejecutivo</w:t>
      </w:r>
      <w:r>
        <w:rPr>
          <w:spacing w:val="-10"/>
        </w:rPr>
        <w:t> </w:t>
      </w:r>
      <w:r>
        <w:rPr/>
        <w:t>N°.</w:t>
      </w:r>
      <w:r>
        <w:rPr>
          <w:spacing w:val="-15"/>
        </w:rPr>
        <w:t> </w:t>
      </w:r>
      <w:r>
        <w:rPr/>
        <w:t>34531</w:t>
      </w:r>
      <w:r>
        <w:rPr>
          <w:spacing w:val="-10"/>
        </w:rPr>
        <w:t> </w:t>
      </w:r>
      <w:r>
        <w:rPr/>
        <w:t>del</w:t>
      </w:r>
      <w:r>
        <w:rPr>
          <w:spacing w:val="-13"/>
        </w:rPr>
        <w:t> </w:t>
      </w:r>
      <w:r>
        <w:rPr/>
        <w:t>25</w:t>
      </w:r>
      <w:r>
        <w:rPr>
          <w:spacing w:val="-14"/>
        </w:rPr>
        <w:t> </w:t>
      </w:r>
      <w:r>
        <w:rPr/>
        <w:t>de</w:t>
      </w:r>
      <w:r>
        <w:rPr>
          <w:spacing w:val="-14"/>
        </w:rPr>
        <w:t> </w:t>
      </w:r>
      <w:r>
        <w:rPr/>
        <w:t>abril</w:t>
      </w:r>
      <w:r>
        <w:rPr>
          <w:spacing w:val="-13"/>
        </w:rPr>
        <w:t> </w:t>
      </w:r>
      <w:r>
        <w:rPr/>
        <w:t>de</w:t>
      </w:r>
      <w:r>
        <w:rPr>
          <w:spacing w:val="-10"/>
        </w:rPr>
        <w:t> </w:t>
      </w:r>
      <w:r>
        <w:rPr/>
        <w:t>2008,</w:t>
      </w:r>
      <w:r>
        <w:rPr>
          <w:spacing w:val="-15"/>
        </w:rPr>
        <w:t> </w:t>
      </w:r>
      <w:r>
        <w:rPr/>
        <w:t>Establece</w:t>
      </w:r>
      <w:r>
        <w:rPr>
          <w:spacing w:val="-14"/>
        </w:rPr>
        <w:t> </w:t>
      </w:r>
      <w:r>
        <w:rPr/>
        <w:t>programa</w:t>
      </w:r>
      <w:r>
        <w:rPr>
          <w:spacing w:val="-10"/>
        </w:rPr>
        <w:t> </w:t>
      </w:r>
      <w:r>
        <w:rPr/>
        <w:t>Cuadernos</w:t>
      </w:r>
      <w:r>
        <w:rPr>
          <w:spacing w:val="-16"/>
        </w:rPr>
        <w:t> </w:t>
      </w:r>
      <w:r>
        <w:rPr/>
        <w:t>e</w:t>
      </w:r>
      <w:r>
        <w:rPr>
          <w:spacing w:val="-9"/>
        </w:rPr>
        <w:t> </w:t>
      </w:r>
      <w:r>
        <w:rPr/>
        <w:t>implementos escolares se establece la dotación de un monto adicional a la transferencia monetaria condicionada Avancemos, para la adquisición de cuadernos e implementos escolares a estudiantes en condición de pobreza, con el fin de facilitar el acceso a la educación y prevenir la exclusión del sistema educativo. Fecha de vigencia 26/01/2024.</w:t>
      </w:r>
    </w:p>
    <w:p>
      <w:pPr>
        <w:pStyle w:val="BodyText"/>
      </w:pPr>
    </w:p>
    <w:p>
      <w:pPr>
        <w:pStyle w:val="BodyText"/>
        <w:spacing w:before="1"/>
        <w:ind w:left="979" w:right="1337"/>
        <w:jc w:val="both"/>
      </w:pPr>
      <w:r>
        <w:rPr>
          <w:b/>
        </w:rPr>
        <w:t>Decreto N°44610-PLAN: </w:t>
      </w:r>
      <w:r>
        <w:rPr/>
        <w:t>Creación</w:t>
      </w:r>
      <w:r>
        <w:rPr>
          <w:spacing w:val="-2"/>
        </w:rPr>
        <w:t> </w:t>
      </w:r>
      <w:r>
        <w:rPr/>
        <w:t>de la Comisión Consultiva Interinstitucional</w:t>
      </w:r>
      <w:r>
        <w:rPr>
          <w:spacing w:val="-4"/>
        </w:rPr>
        <w:t> </w:t>
      </w:r>
      <w:r>
        <w:rPr/>
        <w:t>de</w:t>
      </w:r>
      <w:r>
        <w:rPr>
          <w:spacing w:val="-2"/>
        </w:rPr>
        <w:t> </w:t>
      </w:r>
      <w:r>
        <w:rPr/>
        <w:t>Empleo Público. Créase la Comisión Consultiva Interinstitucional de Empleo Público, en adelante denominada la Comisión, cuyo objeto es coordinar y articular acciones entre las instituciones</w:t>
      </w:r>
      <w:r>
        <w:rPr>
          <w:spacing w:val="-11"/>
        </w:rPr>
        <w:t> </w:t>
      </w:r>
      <w:r>
        <w:rPr/>
        <w:t>cubiertas</w:t>
      </w:r>
      <w:r>
        <w:rPr>
          <w:spacing w:val="-12"/>
        </w:rPr>
        <w:t> </w:t>
      </w:r>
      <w:r>
        <w:rPr/>
        <w:t>por</w:t>
      </w:r>
      <w:r>
        <w:rPr>
          <w:spacing w:val="-12"/>
        </w:rPr>
        <w:t> </w:t>
      </w:r>
      <w:r>
        <w:rPr/>
        <w:t>la</w:t>
      </w:r>
      <w:r>
        <w:rPr>
          <w:spacing w:val="-9"/>
        </w:rPr>
        <w:t> </w:t>
      </w:r>
      <w:r>
        <w:rPr/>
        <w:t>Ley</w:t>
      </w:r>
      <w:r>
        <w:rPr>
          <w:spacing w:val="-11"/>
        </w:rPr>
        <w:t> </w:t>
      </w:r>
      <w:r>
        <w:rPr/>
        <w:t>Marco</w:t>
      </w:r>
      <w:r>
        <w:rPr>
          <w:spacing w:val="-14"/>
        </w:rPr>
        <w:t> </w:t>
      </w:r>
      <w:r>
        <w:rPr/>
        <w:t>de</w:t>
      </w:r>
      <w:r>
        <w:rPr>
          <w:spacing w:val="-14"/>
        </w:rPr>
        <w:t> </w:t>
      </w:r>
      <w:r>
        <w:rPr/>
        <w:t>Empleo</w:t>
      </w:r>
      <w:r>
        <w:rPr>
          <w:spacing w:val="-14"/>
        </w:rPr>
        <w:t> </w:t>
      </w:r>
      <w:r>
        <w:rPr/>
        <w:t>Público,</w:t>
      </w:r>
      <w:r>
        <w:rPr>
          <w:spacing w:val="-15"/>
        </w:rPr>
        <w:t> </w:t>
      </w:r>
      <w:r>
        <w:rPr/>
        <w:t>así</w:t>
      </w:r>
      <w:r>
        <w:rPr>
          <w:spacing w:val="-15"/>
        </w:rPr>
        <w:t> </w:t>
      </w:r>
      <w:r>
        <w:rPr/>
        <w:t>como</w:t>
      </w:r>
      <w:r>
        <w:rPr>
          <w:spacing w:val="-14"/>
        </w:rPr>
        <w:t> </w:t>
      </w:r>
      <w:r>
        <w:rPr/>
        <w:t>compartir</w:t>
      </w:r>
      <w:r>
        <w:rPr>
          <w:spacing w:val="-12"/>
        </w:rPr>
        <w:t> </w:t>
      </w:r>
      <w:r>
        <w:rPr/>
        <w:t>información y</w:t>
      </w:r>
      <w:r>
        <w:rPr>
          <w:spacing w:val="-1"/>
        </w:rPr>
        <w:t> </w:t>
      </w:r>
      <w:r>
        <w:rPr/>
        <w:t>estrategias,</w:t>
      </w:r>
      <w:r>
        <w:rPr>
          <w:spacing w:val="-5"/>
        </w:rPr>
        <w:t> </w:t>
      </w:r>
      <w:r>
        <w:rPr/>
        <w:t>para cumplir</w:t>
      </w:r>
      <w:r>
        <w:rPr>
          <w:spacing w:val="-3"/>
        </w:rPr>
        <w:t> </w:t>
      </w:r>
      <w:r>
        <w:rPr/>
        <w:t>con</w:t>
      </w:r>
      <w:r>
        <w:rPr>
          <w:spacing w:val="-4"/>
        </w:rPr>
        <w:t> </w:t>
      </w:r>
      <w:r>
        <w:rPr/>
        <w:t>el</w:t>
      </w:r>
      <w:r>
        <w:rPr>
          <w:spacing w:val="-7"/>
        </w:rPr>
        <w:t> </w:t>
      </w:r>
      <w:r>
        <w:rPr/>
        <w:t>objetivo y</w:t>
      </w:r>
      <w:r>
        <w:rPr>
          <w:spacing w:val="-6"/>
        </w:rPr>
        <w:t> </w:t>
      </w:r>
      <w:r>
        <w:rPr/>
        <w:t>los</w:t>
      </w:r>
      <w:r>
        <w:rPr>
          <w:spacing w:val="-6"/>
        </w:rPr>
        <w:t> </w:t>
      </w:r>
      <w:r>
        <w:rPr/>
        <w:t>propósitos</w:t>
      </w:r>
      <w:r>
        <w:rPr>
          <w:spacing w:val="-6"/>
        </w:rPr>
        <w:t> </w:t>
      </w:r>
      <w:r>
        <w:rPr/>
        <w:t>establecidos</w:t>
      </w:r>
      <w:r>
        <w:rPr>
          <w:spacing w:val="-6"/>
        </w:rPr>
        <w:t> </w:t>
      </w:r>
      <w:r>
        <w:rPr/>
        <w:t>en la</w:t>
      </w:r>
      <w:r>
        <w:rPr>
          <w:spacing w:val="-4"/>
        </w:rPr>
        <w:t> </w:t>
      </w:r>
      <w:r>
        <w:rPr/>
        <w:t>Ley</w:t>
      </w:r>
      <w:r>
        <w:rPr>
          <w:spacing w:val="-6"/>
        </w:rPr>
        <w:t> </w:t>
      </w:r>
      <w:r>
        <w:rPr/>
        <w:t>N°10159. Lo anterior, por medio de acuerdos producto de la discusión, participación y concertación, que se genere en el seno de la Comisión, entre las diversas representaciones de la Administración Pública costarricense. Fecha de vigencia 23/07/2024.</w:t>
      </w:r>
    </w:p>
    <w:p>
      <w:pPr>
        <w:pStyle w:val="BodyText"/>
        <w:spacing w:before="3"/>
      </w:pPr>
    </w:p>
    <w:p>
      <w:pPr>
        <w:pStyle w:val="BodyText"/>
        <w:ind w:left="979" w:right="1337"/>
        <w:jc w:val="both"/>
      </w:pPr>
      <w:r>
        <w:rPr>
          <w:b/>
        </w:rPr>
        <w:t>Decreto N°44629-PLAN: </w:t>
      </w:r>
      <w:r>
        <w:rPr/>
        <w:t>“Oficialización, Ratificación y Declaratoria de Interés Público de la Política Nacional de Desarrollo Regional de Costa Rica 2024-2034 (PNDR 2024-2034)” Fecha de vigencia: 30/08/2024.</w:t>
      </w:r>
    </w:p>
    <w:p>
      <w:pPr>
        <w:pStyle w:val="BodyText"/>
        <w:spacing w:before="250"/>
        <w:ind w:left="979" w:right="1344"/>
        <w:jc w:val="both"/>
      </w:pPr>
      <w:r>
        <w:rPr>
          <w:b/>
        </w:rPr>
        <w:t>Decreto N°44636-MICIT: </w:t>
      </w:r>
      <w:r>
        <w:rPr/>
        <w:t>El presente reglamento tiene por objeto complementar, desarrollar y precisar los preceptos, principios y disposiciones contenidos en la Ley n. º 9943 "Creación de la Agencia Nacional de Gobierno Digital", para su debida aplicación, ejecución y observancia. Fecha de vigencia 30/08/2024.</w:t>
      </w:r>
    </w:p>
    <w:p>
      <w:pPr>
        <w:pStyle w:val="BodyText"/>
        <w:spacing w:before="2"/>
      </w:pPr>
    </w:p>
    <w:p>
      <w:pPr>
        <w:pStyle w:val="BodyText"/>
        <w:spacing w:before="1"/>
        <w:ind w:left="979" w:right="1346"/>
        <w:jc w:val="both"/>
      </w:pPr>
      <w:r>
        <w:rPr>
          <w:b/>
        </w:rPr>
        <w:t>Decreto N°44946-H </w:t>
      </w:r>
      <w:r>
        <w:rPr/>
        <w:t>Directrices generales de política presupuestaria, salarial, empleo, inversión y endeudamiento para ministerios, entidades públicas y sus órganos desconcentrados, según corresponda, cubiertos por el ámbito de la autoridad presupuestaria, para el año 2026. Fecha de vigencia 28 de marzo 2025.</w:t>
      </w:r>
    </w:p>
    <w:p>
      <w:pPr>
        <w:spacing w:before="250"/>
        <w:ind w:left="979" w:right="1340" w:firstLine="0"/>
        <w:jc w:val="both"/>
        <w:rPr>
          <w:sz w:val="22"/>
        </w:rPr>
      </w:pPr>
      <w:r>
        <w:rPr>
          <w:b/>
          <w:sz w:val="22"/>
        </w:rPr>
        <w:t>Decreto N°44937-H-MICITT- MIDEPLAN: </w:t>
      </w:r>
      <w:r>
        <w:rPr>
          <w:sz w:val="22"/>
        </w:rPr>
        <w:t>Reglamento para el Reajuste Precios en los Contratos</w:t>
      </w:r>
      <w:r>
        <w:rPr>
          <w:spacing w:val="-11"/>
          <w:sz w:val="22"/>
        </w:rPr>
        <w:t> </w:t>
      </w:r>
      <w:r>
        <w:rPr>
          <w:sz w:val="22"/>
        </w:rPr>
        <w:t>de</w:t>
      </w:r>
      <w:r>
        <w:rPr>
          <w:spacing w:val="-9"/>
          <w:sz w:val="22"/>
        </w:rPr>
        <w:t> </w:t>
      </w:r>
      <w:r>
        <w:rPr>
          <w:sz w:val="22"/>
        </w:rPr>
        <w:t>Obra</w:t>
      </w:r>
      <w:r>
        <w:rPr>
          <w:spacing w:val="-9"/>
          <w:sz w:val="22"/>
        </w:rPr>
        <w:t> </w:t>
      </w:r>
      <w:r>
        <w:rPr>
          <w:sz w:val="22"/>
        </w:rPr>
        <w:t>Pública</w:t>
      </w:r>
      <w:r>
        <w:rPr>
          <w:spacing w:val="-5"/>
          <w:sz w:val="22"/>
        </w:rPr>
        <w:t> </w:t>
      </w:r>
      <w:r>
        <w:rPr>
          <w:sz w:val="22"/>
        </w:rPr>
        <w:t>y</w:t>
      </w:r>
      <w:r>
        <w:rPr>
          <w:spacing w:val="-6"/>
          <w:sz w:val="22"/>
        </w:rPr>
        <w:t> </w:t>
      </w:r>
      <w:r>
        <w:rPr>
          <w:sz w:val="22"/>
        </w:rPr>
        <w:t>la</w:t>
      </w:r>
      <w:r>
        <w:rPr>
          <w:spacing w:val="-5"/>
          <w:sz w:val="22"/>
        </w:rPr>
        <w:t> </w:t>
      </w:r>
      <w:r>
        <w:rPr>
          <w:sz w:val="22"/>
        </w:rPr>
        <w:t>Revisión</w:t>
      </w:r>
      <w:r>
        <w:rPr>
          <w:spacing w:val="-5"/>
          <w:sz w:val="22"/>
        </w:rPr>
        <w:t> </w:t>
      </w:r>
      <w:r>
        <w:rPr>
          <w:sz w:val="22"/>
        </w:rPr>
        <w:t>de</w:t>
      </w:r>
      <w:r>
        <w:rPr>
          <w:spacing w:val="-5"/>
          <w:sz w:val="22"/>
        </w:rPr>
        <w:t> </w:t>
      </w:r>
      <w:r>
        <w:rPr>
          <w:sz w:val="22"/>
        </w:rPr>
        <w:t>Precios</w:t>
      </w:r>
      <w:r>
        <w:rPr>
          <w:spacing w:val="-6"/>
          <w:sz w:val="22"/>
        </w:rPr>
        <w:t> </w:t>
      </w:r>
      <w:r>
        <w:rPr>
          <w:sz w:val="22"/>
        </w:rPr>
        <w:t>en</w:t>
      </w:r>
      <w:r>
        <w:rPr>
          <w:spacing w:val="-5"/>
          <w:sz w:val="22"/>
        </w:rPr>
        <w:t> </w:t>
      </w:r>
      <w:r>
        <w:rPr>
          <w:sz w:val="22"/>
        </w:rPr>
        <w:t>los</w:t>
      </w:r>
      <w:r>
        <w:rPr>
          <w:spacing w:val="-6"/>
          <w:sz w:val="22"/>
        </w:rPr>
        <w:t> </w:t>
      </w:r>
      <w:r>
        <w:rPr>
          <w:sz w:val="22"/>
        </w:rPr>
        <w:t>Contratos</w:t>
      </w:r>
      <w:r>
        <w:rPr>
          <w:spacing w:val="-7"/>
          <w:sz w:val="22"/>
        </w:rPr>
        <w:t> </w:t>
      </w:r>
      <w:r>
        <w:rPr>
          <w:sz w:val="22"/>
        </w:rPr>
        <w:t>de</w:t>
      </w:r>
      <w:r>
        <w:rPr>
          <w:spacing w:val="-5"/>
          <w:sz w:val="22"/>
        </w:rPr>
        <w:t> </w:t>
      </w:r>
      <w:r>
        <w:rPr>
          <w:sz w:val="22"/>
        </w:rPr>
        <w:t>Bienes</w:t>
      </w:r>
      <w:r>
        <w:rPr>
          <w:spacing w:val="-6"/>
          <w:sz w:val="22"/>
        </w:rPr>
        <w:t> </w:t>
      </w:r>
      <w:r>
        <w:rPr>
          <w:sz w:val="22"/>
        </w:rPr>
        <w:t>y</w:t>
      </w:r>
      <w:r>
        <w:rPr>
          <w:spacing w:val="-7"/>
          <w:sz w:val="22"/>
        </w:rPr>
        <w:t> </w:t>
      </w:r>
      <w:r>
        <w:rPr>
          <w:sz w:val="22"/>
        </w:rPr>
        <w:t>Servicios:</w:t>
      </w:r>
    </w:p>
    <w:p>
      <w:pPr>
        <w:spacing w:after="0"/>
        <w:jc w:val="both"/>
        <w:rPr>
          <w:sz w:val="22"/>
        </w:rPr>
        <w:sectPr>
          <w:pgSz w:w="12240" w:h="15840"/>
          <w:pgMar w:header="0" w:footer="1021" w:top="1340" w:bottom="1220" w:left="720" w:right="360"/>
        </w:sectPr>
      </w:pPr>
    </w:p>
    <w:p>
      <w:pPr>
        <w:pStyle w:val="BodyText"/>
        <w:spacing w:before="76"/>
        <w:ind w:left="979" w:right="1337"/>
        <w:jc w:val="both"/>
      </w:pPr>
      <w:r>
        <w:rPr/>
        <w:t>Este reglamento regula los criterios técnicos relacionados con las fórmula matemáticas y componentes de cálculo, procedimientos, requisitos de información y demás parámetros indispensables para cuantificar el aumento o disminución de los precios, según se demuestre la variación de los costos directos e indirectos, lo anterior con el propósito de mantener el equilibrio económico de los contratos de conformidad el artículo 43 de la Ley General</w:t>
      </w:r>
      <w:r>
        <w:rPr>
          <w:spacing w:val="-16"/>
        </w:rPr>
        <w:t> </w:t>
      </w:r>
      <w:r>
        <w:rPr/>
        <w:t>de</w:t>
      </w:r>
      <w:r>
        <w:rPr>
          <w:spacing w:val="-12"/>
        </w:rPr>
        <w:t> </w:t>
      </w:r>
      <w:r>
        <w:rPr/>
        <w:t>Contratación</w:t>
      </w:r>
      <w:r>
        <w:rPr>
          <w:spacing w:val="-9"/>
        </w:rPr>
        <w:t> </w:t>
      </w:r>
      <w:r>
        <w:rPr/>
        <w:t>Pública,</w:t>
      </w:r>
      <w:r>
        <w:rPr>
          <w:spacing w:val="-15"/>
        </w:rPr>
        <w:t> </w:t>
      </w:r>
      <w:r>
        <w:rPr/>
        <w:t>Ley</w:t>
      </w:r>
      <w:r>
        <w:rPr>
          <w:spacing w:val="-16"/>
        </w:rPr>
        <w:t> </w:t>
      </w:r>
      <w:r>
        <w:rPr/>
        <w:t>Nº9986</w:t>
      </w:r>
      <w:r>
        <w:rPr>
          <w:spacing w:val="-9"/>
        </w:rPr>
        <w:t> </w:t>
      </w:r>
      <w:r>
        <w:rPr/>
        <w:t>y</w:t>
      </w:r>
      <w:r>
        <w:rPr>
          <w:spacing w:val="-11"/>
        </w:rPr>
        <w:t> </w:t>
      </w:r>
      <w:r>
        <w:rPr/>
        <w:t>los</w:t>
      </w:r>
      <w:r>
        <w:rPr>
          <w:spacing w:val="-16"/>
        </w:rPr>
        <w:t> </w:t>
      </w:r>
      <w:r>
        <w:rPr/>
        <w:t>artículos</w:t>
      </w:r>
      <w:r>
        <w:rPr>
          <w:spacing w:val="-15"/>
        </w:rPr>
        <w:t> </w:t>
      </w:r>
      <w:r>
        <w:rPr/>
        <w:t>107,</w:t>
      </w:r>
      <w:r>
        <w:rPr>
          <w:spacing w:val="-15"/>
        </w:rPr>
        <w:t> </w:t>
      </w:r>
      <w:r>
        <w:rPr/>
        <w:t>108</w:t>
      </w:r>
      <w:r>
        <w:rPr>
          <w:spacing w:val="-9"/>
        </w:rPr>
        <w:t> </w:t>
      </w:r>
      <w:r>
        <w:rPr/>
        <w:t>y</w:t>
      </w:r>
      <w:r>
        <w:rPr>
          <w:spacing w:val="-16"/>
        </w:rPr>
        <w:t> </w:t>
      </w:r>
      <w:r>
        <w:rPr/>
        <w:t>109 del</w:t>
      </w:r>
      <w:r>
        <w:rPr>
          <w:spacing w:val="-12"/>
        </w:rPr>
        <w:t> </w:t>
      </w:r>
      <w:r>
        <w:rPr/>
        <w:t>Reglamento a</w:t>
      </w:r>
      <w:r>
        <w:rPr>
          <w:spacing w:val="-1"/>
        </w:rPr>
        <w:t> </w:t>
      </w:r>
      <w:r>
        <w:rPr/>
        <w:t>la</w:t>
      </w:r>
      <w:r>
        <w:rPr>
          <w:spacing w:val="-10"/>
        </w:rPr>
        <w:t> </w:t>
      </w:r>
      <w:r>
        <w:rPr/>
        <w:t>Ley</w:t>
      </w:r>
      <w:r>
        <w:rPr>
          <w:spacing w:val="-7"/>
        </w:rPr>
        <w:t> </w:t>
      </w:r>
      <w:r>
        <w:rPr/>
        <w:t>General</w:t>
      </w:r>
      <w:r>
        <w:rPr>
          <w:spacing w:val="-8"/>
        </w:rPr>
        <w:t> </w:t>
      </w:r>
      <w:r>
        <w:rPr/>
        <w:t>de</w:t>
      </w:r>
      <w:r>
        <w:rPr>
          <w:spacing w:val="-1"/>
        </w:rPr>
        <w:t> </w:t>
      </w:r>
      <w:r>
        <w:rPr/>
        <w:t>Contratación</w:t>
      </w:r>
      <w:r>
        <w:rPr>
          <w:spacing w:val="-5"/>
        </w:rPr>
        <w:t> </w:t>
      </w:r>
      <w:r>
        <w:rPr/>
        <w:t>Pública,</w:t>
      </w:r>
      <w:r>
        <w:rPr>
          <w:spacing w:val="-6"/>
        </w:rPr>
        <w:t> </w:t>
      </w:r>
      <w:r>
        <w:rPr/>
        <w:t>Decreto</w:t>
      </w:r>
      <w:r>
        <w:rPr>
          <w:spacing w:val="-5"/>
        </w:rPr>
        <w:t> </w:t>
      </w:r>
      <w:r>
        <w:rPr/>
        <w:t>Ejecutivo</w:t>
      </w:r>
      <w:r>
        <w:rPr>
          <w:spacing w:val="-1"/>
        </w:rPr>
        <w:t> </w:t>
      </w:r>
      <w:r>
        <w:rPr/>
        <w:t>Nº43808.</w:t>
      </w:r>
      <w:r>
        <w:rPr>
          <w:spacing w:val="-6"/>
        </w:rPr>
        <w:t> </w:t>
      </w:r>
      <w:r>
        <w:rPr/>
        <w:t>Fecha</w:t>
      </w:r>
      <w:r>
        <w:rPr>
          <w:spacing w:val="-5"/>
        </w:rPr>
        <w:t> </w:t>
      </w:r>
      <w:r>
        <w:rPr/>
        <w:t>de</w:t>
      </w:r>
      <w:r>
        <w:rPr>
          <w:spacing w:val="-5"/>
        </w:rPr>
        <w:t> </w:t>
      </w:r>
      <w:r>
        <w:rPr/>
        <w:t>vigencia</w:t>
      </w:r>
      <w:r>
        <w:rPr>
          <w:spacing w:val="-5"/>
        </w:rPr>
        <w:t> </w:t>
      </w:r>
      <w:r>
        <w:rPr/>
        <w:t>3 de abril 2025.</w:t>
      </w:r>
    </w:p>
    <w:p>
      <w:pPr>
        <w:pStyle w:val="BodyText"/>
      </w:pPr>
    </w:p>
    <w:p>
      <w:pPr>
        <w:pStyle w:val="BodyText"/>
        <w:spacing w:before="1"/>
      </w:pPr>
    </w:p>
    <w:p>
      <w:pPr>
        <w:pStyle w:val="Heading2"/>
      </w:pPr>
      <w:r>
        <w:rPr>
          <w:spacing w:val="-2"/>
        </w:rPr>
        <w:t>REGLAMENTOS</w:t>
      </w:r>
    </w:p>
    <w:p>
      <w:pPr>
        <w:spacing w:line="240" w:lineRule="auto" w:before="251"/>
        <w:ind w:left="979" w:right="1338" w:firstLine="0"/>
        <w:jc w:val="both"/>
        <w:rPr>
          <w:sz w:val="22"/>
        </w:rPr>
      </w:pPr>
      <w:r>
        <w:rPr>
          <w:b/>
          <w:sz w:val="22"/>
        </w:rPr>
        <w:t>Reglamento</w:t>
      </w:r>
      <w:r>
        <w:rPr>
          <w:b/>
          <w:spacing w:val="-7"/>
          <w:sz w:val="22"/>
        </w:rPr>
        <w:t> </w:t>
      </w:r>
      <w:r>
        <w:rPr>
          <w:b/>
          <w:sz w:val="22"/>
        </w:rPr>
        <w:t>de</w:t>
      </w:r>
      <w:r>
        <w:rPr>
          <w:b/>
          <w:spacing w:val="-6"/>
          <w:sz w:val="22"/>
        </w:rPr>
        <w:t> </w:t>
      </w:r>
      <w:r>
        <w:rPr>
          <w:b/>
          <w:sz w:val="22"/>
        </w:rPr>
        <w:t>Organización</w:t>
      </w:r>
      <w:r>
        <w:rPr>
          <w:b/>
          <w:spacing w:val="-8"/>
          <w:sz w:val="22"/>
        </w:rPr>
        <w:t> </w:t>
      </w:r>
      <w:r>
        <w:rPr>
          <w:b/>
          <w:sz w:val="22"/>
        </w:rPr>
        <w:t>y</w:t>
      </w:r>
      <w:r>
        <w:rPr>
          <w:b/>
          <w:spacing w:val="-10"/>
          <w:sz w:val="22"/>
        </w:rPr>
        <w:t> </w:t>
      </w:r>
      <w:r>
        <w:rPr>
          <w:b/>
          <w:sz w:val="22"/>
        </w:rPr>
        <w:t>Funcionamiento</w:t>
      </w:r>
      <w:r>
        <w:rPr>
          <w:b/>
          <w:spacing w:val="-7"/>
          <w:sz w:val="22"/>
        </w:rPr>
        <w:t> </w:t>
      </w:r>
      <w:r>
        <w:rPr>
          <w:b/>
          <w:sz w:val="22"/>
        </w:rPr>
        <w:t>del</w:t>
      </w:r>
      <w:r>
        <w:rPr>
          <w:b/>
          <w:spacing w:val="-11"/>
          <w:sz w:val="22"/>
        </w:rPr>
        <w:t> </w:t>
      </w:r>
      <w:r>
        <w:rPr>
          <w:b/>
          <w:sz w:val="22"/>
        </w:rPr>
        <w:t>Consejo</w:t>
      </w:r>
      <w:r>
        <w:rPr>
          <w:b/>
          <w:spacing w:val="-7"/>
          <w:sz w:val="22"/>
        </w:rPr>
        <w:t> </w:t>
      </w:r>
      <w:r>
        <w:rPr>
          <w:b/>
          <w:sz w:val="22"/>
        </w:rPr>
        <w:t>Directivo</w:t>
      </w:r>
      <w:r>
        <w:rPr>
          <w:b/>
          <w:spacing w:val="-12"/>
          <w:sz w:val="22"/>
        </w:rPr>
        <w:t> </w:t>
      </w:r>
      <w:r>
        <w:rPr>
          <w:b/>
          <w:sz w:val="22"/>
        </w:rPr>
        <w:t>del</w:t>
      </w:r>
      <w:r>
        <w:rPr>
          <w:b/>
          <w:spacing w:val="-11"/>
          <w:sz w:val="22"/>
        </w:rPr>
        <w:t> </w:t>
      </w:r>
      <w:r>
        <w:rPr>
          <w:b/>
          <w:sz w:val="22"/>
        </w:rPr>
        <w:t>IMAS</w:t>
      </w:r>
      <w:r>
        <w:rPr>
          <w:b/>
          <w:spacing w:val="-10"/>
          <w:sz w:val="22"/>
        </w:rPr>
        <w:t> </w:t>
      </w:r>
      <w:r>
        <w:rPr>
          <w:b/>
          <w:sz w:val="22"/>
        </w:rPr>
        <w:t>y</w:t>
      </w:r>
      <w:r>
        <w:rPr>
          <w:b/>
          <w:spacing w:val="-10"/>
          <w:sz w:val="22"/>
        </w:rPr>
        <w:t> </w:t>
      </w:r>
      <w:r>
        <w:rPr>
          <w:b/>
          <w:sz w:val="22"/>
        </w:rPr>
        <w:t>sus reformas. Acuerdo CD N°200-04-2013 y sus reformas</w:t>
      </w:r>
      <w:r>
        <w:rPr>
          <w:sz w:val="22"/>
        </w:rPr>
        <w:t>. Regular la organización y funcionamiento del Consejo Directivo como Órgano Superior Jerárquico Colegiado en materia de Gobierno del Instituto Mixto de Ayuda Social. Fecha de vigencia 11/06/2013.</w:t>
      </w:r>
    </w:p>
    <w:p>
      <w:pPr>
        <w:pStyle w:val="BodyText"/>
        <w:spacing w:before="3"/>
      </w:pPr>
    </w:p>
    <w:p>
      <w:pPr>
        <w:spacing w:line="240" w:lineRule="auto" w:before="0"/>
        <w:ind w:left="979" w:right="1343" w:firstLine="0"/>
        <w:jc w:val="both"/>
        <w:rPr>
          <w:sz w:val="22"/>
        </w:rPr>
      </w:pPr>
      <w:r>
        <w:rPr>
          <w:b/>
          <w:sz w:val="22"/>
        </w:rPr>
        <w:t>Reglamento</w:t>
      </w:r>
      <w:r>
        <w:rPr>
          <w:b/>
          <w:spacing w:val="-3"/>
          <w:sz w:val="22"/>
        </w:rPr>
        <w:t> </w:t>
      </w:r>
      <w:r>
        <w:rPr>
          <w:b/>
          <w:sz w:val="22"/>
        </w:rPr>
        <w:t>para</w:t>
      </w:r>
      <w:r>
        <w:rPr>
          <w:b/>
          <w:spacing w:val="-1"/>
          <w:sz w:val="22"/>
        </w:rPr>
        <w:t> </w:t>
      </w:r>
      <w:r>
        <w:rPr>
          <w:b/>
          <w:sz w:val="22"/>
        </w:rPr>
        <w:t>Ajustes</w:t>
      </w:r>
      <w:r>
        <w:rPr>
          <w:b/>
          <w:spacing w:val="-5"/>
          <w:sz w:val="22"/>
        </w:rPr>
        <w:t> </w:t>
      </w:r>
      <w:r>
        <w:rPr>
          <w:b/>
          <w:sz w:val="22"/>
        </w:rPr>
        <w:t>o</w:t>
      </w:r>
      <w:r>
        <w:rPr>
          <w:b/>
          <w:spacing w:val="-3"/>
          <w:sz w:val="22"/>
        </w:rPr>
        <w:t> </w:t>
      </w:r>
      <w:r>
        <w:rPr>
          <w:b/>
          <w:sz w:val="22"/>
        </w:rPr>
        <w:t>Variaciones</w:t>
      </w:r>
      <w:r>
        <w:rPr>
          <w:b/>
          <w:spacing w:val="-5"/>
          <w:sz w:val="22"/>
        </w:rPr>
        <w:t> </w:t>
      </w:r>
      <w:r>
        <w:rPr>
          <w:b/>
          <w:sz w:val="22"/>
        </w:rPr>
        <w:t>al</w:t>
      </w:r>
      <w:r>
        <w:rPr>
          <w:b/>
          <w:spacing w:val="-6"/>
          <w:sz w:val="22"/>
        </w:rPr>
        <w:t> </w:t>
      </w:r>
      <w:r>
        <w:rPr>
          <w:b/>
          <w:sz w:val="22"/>
        </w:rPr>
        <w:t>Presupuesto</w:t>
      </w:r>
      <w:r>
        <w:rPr>
          <w:b/>
          <w:spacing w:val="-3"/>
          <w:sz w:val="22"/>
        </w:rPr>
        <w:t> </w:t>
      </w:r>
      <w:r>
        <w:rPr>
          <w:b/>
          <w:sz w:val="22"/>
        </w:rPr>
        <w:t>Ordinario</w:t>
      </w:r>
      <w:r>
        <w:rPr>
          <w:b/>
          <w:spacing w:val="-3"/>
          <w:sz w:val="22"/>
        </w:rPr>
        <w:t> </w:t>
      </w:r>
      <w:r>
        <w:rPr>
          <w:b/>
          <w:sz w:val="22"/>
        </w:rPr>
        <w:t>del</w:t>
      </w:r>
      <w:r>
        <w:rPr>
          <w:b/>
          <w:spacing w:val="-1"/>
          <w:sz w:val="22"/>
        </w:rPr>
        <w:t> </w:t>
      </w:r>
      <w:r>
        <w:rPr>
          <w:b/>
          <w:sz w:val="22"/>
        </w:rPr>
        <w:t>IMAS,</w:t>
      </w:r>
      <w:r>
        <w:rPr>
          <w:b/>
          <w:spacing w:val="-1"/>
          <w:sz w:val="22"/>
        </w:rPr>
        <w:t> </w:t>
      </w:r>
      <w:r>
        <w:rPr>
          <w:b/>
          <w:sz w:val="22"/>
        </w:rPr>
        <w:t>Acuerdo CD N°089-03-2015</w:t>
      </w:r>
      <w:r>
        <w:rPr>
          <w:sz w:val="22"/>
        </w:rPr>
        <w:t>. Regula el proceso de Ajustes o Variaciones que se realicen al Presupuesto Ordinario del período en curso, mediante Modificaciones o Presupuestos Extraordinarios. Fecha de vigencia 09/03/2015.</w:t>
      </w:r>
    </w:p>
    <w:p>
      <w:pPr>
        <w:spacing w:before="250"/>
        <w:ind w:left="979" w:right="1344" w:firstLine="0"/>
        <w:jc w:val="both"/>
        <w:rPr>
          <w:sz w:val="22"/>
        </w:rPr>
      </w:pPr>
      <w:r>
        <w:rPr>
          <w:b/>
          <w:sz w:val="22"/>
        </w:rPr>
        <w:t>Reglamento Interno de Contratación Administrativa del IMAS y sus reformas. Acuerdo CD N°063-02-2016. </w:t>
      </w:r>
      <w:r>
        <w:rPr>
          <w:sz w:val="22"/>
        </w:rPr>
        <w:t>Regula los procedimientos de Contratación Administrativa que</w:t>
      </w:r>
      <w:r>
        <w:rPr>
          <w:spacing w:val="-16"/>
          <w:sz w:val="22"/>
        </w:rPr>
        <w:t> </w:t>
      </w:r>
      <w:r>
        <w:rPr>
          <w:sz w:val="22"/>
        </w:rPr>
        <w:t>promueve</w:t>
      </w:r>
      <w:r>
        <w:rPr>
          <w:spacing w:val="-15"/>
          <w:sz w:val="22"/>
        </w:rPr>
        <w:t> </w:t>
      </w:r>
      <w:r>
        <w:rPr>
          <w:sz w:val="22"/>
        </w:rPr>
        <w:t>el</w:t>
      </w:r>
      <w:r>
        <w:rPr>
          <w:spacing w:val="-15"/>
          <w:sz w:val="22"/>
        </w:rPr>
        <w:t> </w:t>
      </w:r>
      <w:r>
        <w:rPr>
          <w:sz w:val="22"/>
        </w:rPr>
        <w:t>Instituto</w:t>
      </w:r>
      <w:r>
        <w:rPr>
          <w:spacing w:val="-16"/>
          <w:sz w:val="22"/>
        </w:rPr>
        <w:t> </w:t>
      </w:r>
      <w:r>
        <w:rPr>
          <w:sz w:val="22"/>
        </w:rPr>
        <w:t>Mixto</w:t>
      </w:r>
      <w:r>
        <w:rPr>
          <w:spacing w:val="-15"/>
          <w:sz w:val="22"/>
        </w:rPr>
        <w:t> </w:t>
      </w:r>
      <w:r>
        <w:rPr>
          <w:sz w:val="22"/>
        </w:rPr>
        <w:t>de</w:t>
      </w:r>
      <w:r>
        <w:rPr>
          <w:spacing w:val="-15"/>
          <w:sz w:val="22"/>
        </w:rPr>
        <w:t> </w:t>
      </w:r>
      <w:r>
        <w:rPr>
          <w:sz w:val="22"/>
        </w:rPr>
        <w:t>Ayuda</w:t>
      </w:r>
      <w:r>
        <w:rPr>
          <w:spacing w:val="-15"/>
          <w:sz w:val="22"/>
        </w:rPr>
        <w:t> </w:t>
      </w:r>
      <w:r>
        <w:rPr>
          <w:sz w:val="22"/>
        </w:rPr>
        <w:t>Social</w:t>
      </w:r>
      <w:r>
        <w:rPr>
          <w:spacing w:val="-16"/>
          <w:sz w:val="22"/>
        </w:rPr>
        <w:t> </w:t>
      </w:r>
      <w:r>
        <w:rPr>
          <w:sz w:val="22"/>
        </w:rPr>
        <w:t>y</w:t>
      </w:r>
      <w:r>
        <w:rPr>
          <w:spacing w:val="-15"/>
          <w:sz w:val="22"/>
        </w:rPr>
        <w:t> </w:t>
      </w:r>
      <w:r>
        <w:rPr>
          <w:sz w:val="22"/>
        </w:rPr>
        <w:t>sus</w:t>
      </w:r>
      <w:r>
        <w:rPr>
          <w:spacing w:val="-15"/>
          <w:sz w:val="22"/>
        </w:rPr>
        <w:t> </w:t>
      </w:r>
      <w:r>
        <w:rPr>
          <w:sz w:val="22"/>
        </w:rPr>
        <w:t>órganos</w:t>
      </w:r>
      <w:r>
        <w:rPr>
          <w:spacing w:val="-16"/>
          <w:sz w:val="22"/>
        </w:rPr>
        <w:t> </w:t>
      </w:r>
      <w:r>
        <w:rPr>
          <w:sz w:val="22"/>
        </w:rPr>
        <w:t>adscritos,</w:t>
      </w:r>
      <w:r>
        <w:rPr>
          <w:spacing w:val="-15"/>
          <w:sz w:val="22"/>
        </w:rPr>
        <w:t> </w:t>
      </w:r>
      <w:r>
        <w:rPr>
          <w:sz w:val="22"/>
        </w:rPr>
        <w:t>creados</w:t>
      </w:r>
      <w:r>
        <w:rPr>
          <w:spacing w:val="-15"/>
          <w:sz w:val="22"/>
        </w:rPr>
        <w:t> </w:t>
      </w:r>
      <w:r>
        <w:rPr>
          <w:sz w:val="22"/>
        </w:rPr>
        <w:t>por</w:t>
      </w:r>
      <w:r>
        <w:rPr>
          <w:spacing w:val="-15"/>
          <w:sz w:val="22"/>
        </w:rPr>
        <w:t> </w:t>
      </w:r>
      <w:r>
        <w:rPr>
          <w:sz w:val="22"/>
        </w:rPr>
        <w:t>medio de Ley. Fecha de vigencia 10/03/2016.</w:t>
      </w:r>
    </w:p>
    <w:p>
      <w:pPr>
        <w:pStyle w:val="BodyText"/>
        <w:spacing w:before="3"/>
      </w:pPr>
    </w:p>
    <w:p>
      <w:pPr>
        <w:spacing w:line="240" w:lineRule="auto" w:before="0"/>
        <w:ind w:left="979" w:right="1340" w:firstLine="0"/>
        <w:jc w:val="both"/>
        <w:rPr>
          <w:sz w:val="22"/>
        </w:rPr>
      </w:pPr>
      <w:r>
        <w:rPr>
          <w:b/>
          <w:sz w:val="22"/>
        </w:rPr>
        <w:t>Reglamento Autónomo de Servicios del Instituto Mixto de Ayuda Social y sus reformas. Acuerdo CD N°21-05-2016. </w:t>
      </w:r>
      <w:r>
        <w:rPr>
          <w:sz w:val="22"/>
        </w:rPr>
        <w:t>Norma la relación de servicio existente entre el IMAS y sus servidores. Fecha de vigencia 16/05/2016.</w:t>
      </w:r>
    </w:p>
    <w:p>
      <w:pPr>
        <w:pStyle w:val="BodyText"/>
        <w:spacing w:before="1"/>
      </w:pPr>
    </w:p>
    <w:p>
      <w:pPr>
        <w:spacing w:line="240" w:lineRule="auto" w:before="0"/>
        <w:ind w:left="979" w:right="1337" w:firstLine="0"/>
        <w:jc w:val="both"/>
        <w:rPr>
          <w:sz w:val="22"/>
        </w:rPr>
      </w:pPr>
      <w:r>
        <w:rPr>
          <w:b/>
          <w:sz w:val="22"/>
        </w:rPr>
        <w:t>Reglamento</w:t>
      </w:r>
      <w:r>
        <w:rPr>
          <w:b/>
          <w:spacing w:val="-14"/>
          <w:sz w:val="22"/>
        </w:rPr>
        <w:t> </w:t>
      </w:r>
      <w:r>
        <w:rPr>
          <w:b/>
          <w:sz w:val="22"/>
        </w:rPr>
        <w:t>Interno</w:t>
      </w:r>
      <w:r>
        <w:rPr>
          <w:b/>
          <w:spacing w:val="-16"/>
          <w:sz w:val="22"/>
        </w:rPr>
        <w:t> </w:t>
      </w:r>
      <w:r>
        <w:rPr>
          <w:b/>
          <w:sz w:val="22"/>
        </w:rPr>
        <w:t>del</w:t>
      </w:r>
      <w:r>
        <w:rPr>
          <w:b/>
          <w:spacing w:val="-10"/>
          <w:sz w:val="22"/>
        </w:rPr>
        <w:t> </w:t>
      </w:r>
      <w:r>
        <w:rPr>
          <w:b/>
          <w:sz w:val="22"/>
        </w:rPr>
        <w:t>Comité</w:t>
      </w:r>
      <w:r>
        <w:rPr>
          <w:b/>
          <w:spacing w:val="-10"/>
          <w:sz w:val="22"/>
        </w:rPr>
        <w:t> </w:t>
      </w:r>
      <w:r>
        <w:rPr>
          <w:b/>
          <w:sz w:val="22"/>
        </w:rPr>
        <w:t>Gerencial</w:t>
      </w:r>
      <w:r>
        <w:rPr>
          <w:b/>
          <w:spacing w:val="-11"/>
          <w:sz w:val="22"/>
        </w:rPr>
        <w:t> </w:t>
      </w:r>
      <w:r>
        <w:rPr>
          <w:b/>
          <w:sz w:val="22"/>
        </w:rPr>
        <w:t>de</w:t>
      </w:r>
      <w:r>
        <w:rPr>
          <w:b/>
          <w:spacing w:val="-14"/>
          <w:sz w:val="22"/>
        </w:rPr>
        <w:t> </w:t>
      </w:r>
      <w:r>
        <w:rPr>
          <w:b/>
          <w:sz w:val="22"/>
        </w:rPr>
        <w:t>Tecnologías</w:t>
      </w:r>
      <w:r>
        <w:rPr>
          <w:b/>
          <w:spacing w:val="-10"/>
          <w:sz w:val="22"/>
        </w:rPr>
        <w:t> </w:t>
      </w:r>
      <w:r>
        <w:rPr>
          <w:b/>
          <w:sz w:val="22"/>
        </w:rPr>
        <w:t>de</w:t>
      </w:r>
      <w:r>
        <w:rPr>
          <w:b/>
          <w:spacing w:val="-10"/>
          <w:sz w:val="22"/>
        </w:rPr>
        <w:t> </w:t>
      </w:r>
      <w:r>
        <w:rPr>
          <w:b/>
          <w:sz w:val="22"/>
        </w:rPr>
        <w:t>Información</w:t>
      </w:r>
      <w:r>
        <w:rPr>
          <w:b/>
          <w:spacing w:val="-16"/>
          <w:sz w:val="22"/>
        </w:rPr>
        <w:t> </w:t>
      </w:r>
      <w:r>
        <w:rPr>
          <w:b/>
          <w:sz w:val="22"/>
        </w:rPr>
        <w:t>del</w:t>
      </w:r>
      <w:r>
        <w:rPr>
          <w:b/>
          <w:spacing w:val="-15"/>
          <w:sz w:val="22"/>
        </w:rPr>
        <w:t> </w:t>
      </w:r>
      <w:r>
        <w:rPr>
          <w:b/>
          <w:sz w:val="22"/>
        </w:rPr>
        <w:t>Instituto Mixto de Ayuda Social. Acuerdo CD IMAS N° 037-01-2017. </w:t>
      </w:r>
      <w:r>
        <w:rPr>
          <w:sz w:val="22"/>
        </w:rPr>
        <w:t>Regula la organización y funcionamiento del Comité Gerencial de Tecnologías de Información del Instituto Mixto de Ayuda Social, como personas</w:t>
      </w:r>
      <w:r>
        <w:rPr>
          <w:spacing w:val="-2"/>
          <w:sz w:val="22"/>
        </w:rPr>
        <w:t> </w:t>
      </w:r>
      <w:r>
        <w:rPr>
          <w:sz w:val="22"/>
        </w:rPr>
        <w:t>asesoras</w:t>
      </w:r>
      <w:r>
        <w:rPr>
          <w:spacing w:val="-1"/>
          <w:sz w:val="22"/>
        </w:rPr>
        <w:t> </w:t>
      </w:r>
      <w:r>
        <w:rPr>
          <w:sz w:val="22"/>
        </w:rPr>
        <w:t>coadyuvante</w:t>
      </w:r>
      <w:r>
        <w:rPr>
          <w:spacing w:val="-4"/>
          <w:sz w:val="22"/>
        </w:rPr>
        <w:t> </w:t>
      </w:r>
      <w:r>
        <w:rPr>
          <w:sz w:val="22"/>
        </w:rPr>
        <w:t>para la toma de decisiones</w:t>
      </w:r>
      <w:r>
        <w:rPr>
          <w:spacing w:val="-2"/>
          <w:sz w:val="22"/>
        </w:rPr>
        <w:t> </w:t>
      </w:r>
      <w:r>
        <w:rPr>
          <w:sz w:val="22"/>
        </w:rPr>
        <w:t>por</w:t>
      </w:r>
      <w:r>
        <w:rPr>
          <w:spacing w:val="-3"/>
          <w:sz w:val="22"/>
        </w:rPr>
        <w:t> </w:t>
      </w:r>
      <w:r>
        <w:rPr>
          <w:sz w:val="22"/>
        </w:rPr>
        <w:t>parte de la máxima autoridad dirigente de la Institución. Fecha de vigencia 21/02/2017.</w:t>
      </w:r>
    </w:p>
    <w:p>
      <w:pPr>
        <w:pStyle w:val="BodyText"/>
      </w:pPr>
    </w:p>
    <w:p>
      <w:pPr>
        <w:spacing w:line="240" w:lineRule="auto" w:before="0"/>
        <w:ind w:left="979" w:right="1331" w:firstLine="0"/>
        <w:jc w:val="both"/>
        <w:rPr>
          <w:sz w:val="22"/>
        </w:rPr>
      </w:pPr>
      <w:r>
        <w:rPr>
          <w:b/>
          <w:sz w:val="22"/>
        </w:rPr>
        <w:t>Reglamento Interno de Trabajo de Empresas Comerciales del Instituto Mixto De Ayuda Social. Acuerdo CD N° 255-07-2018</w:t>
      </w:r>
      <w:r>
        <w:rPr>
          <w:sz w:val="22"/>
        </w:rPr>
        <w:t>. Norma las relaciones internas entre IMAS - Programa Empresas Comerciales. Fecha de vigencia 02/07/2018.</w:t>
      </w:r>
    </w:p>
    <w:p>
      <w:pPr>
        <w:pStyle w:val="BodyText"/>
        <w:spacing w:before="1"/>
      </w:pPr>
    </w:p>
    <w:p>
      <w:pPr>
        <w:spacing w:line="240" w:lineRule="auto" w:before="0"/>
        <w:ind w:left="979" w:right="1345" w:firstLine="0"/>
        <w:jc w:val="both"/>
        <w:rPr>
          <w:sz w:val="22"/>
        </w:rPr>
      </w:pPr>
      <w:r>
        <w:rPr>
          <w:b/>
          <w:sz w:val="22"/>
        </w:rPr>
        <w:t>Reglamento para la Prevención del Acoso Laboral en el Instituto Mixto de Ayuda Socia. Acuerdo CD N°396-09-2019. </w:t>
      </w:r>
      <w:r>
        <w:rPr>
          <w:sz w:val="22"/>
        </w:rPr>
        <w:t>Prevención de acoso laboral en el Instituto Mixto de Ayuda Social. Fecha de vigencia 06/09/2018.</w:t>
      </w:r>
    </w:p>
    <w:p>
      <w:pPr>
        <w:pStyle w:val="BodyText"/>
        <w:spacing w:before="1"/>
      </w:pPr>
    </w:p>
    <w:p>
      <w:pPr>
        <w:spacing w:line="240" w:lineRule="auto" w:before="0"/>
        <w:ind w:left="979" w:right="1344" w:firstLine="0"/>
        <w:jc w:val="both"/>
        <w:rPr>
          <w:sz w:val="22"/>
        </w:rPr>
      </w:pPr>
      <w:r>
        <w:rPr>
          <w:b/>
          <w:sz w:val="22"/>
        </w:rPr>
        <w:t>Reglamento: Modificación al reglamento de gastos de viaje y de transporte para funcionarios públicos </w:t>
      </w:r>
      <w:r>
        <w:rPr>
          <w:sz w:val="22"/>
        </w:rPr>
        <w:t>R-DC-63-2019, Establece las disposiciones generales a que deberán someterse las erogaciones que, por concepto de gastos</w:t>
      </w:r>
      <w:r>
        <w:rPr>
          <w:spacing w:val="-2"/>
          <w:sz w:val="22"/>
        </w:rPr>
        <w:t> </w:t>
      </w:r>
      <w:r>
        <w:rPr>
          <w:sz w:val="22"/>
        </w:rPr>
        <w:t>de viaje y de transporte, deban realizar los funcionarios o empleados del Estado y de las instituciones y empresas públicas o estatales, fecha de vigencia 12/08/2019.</w:t>
      </w:r>
    </w:p>
    <w:p>
      <w:pPr>
        <w:spacing w:after="0" w:line="240" w:lineRule="auto"/>
        <w:jc w:val="both"/>
        <w:rPr>
          <w:sz w:val="22"/>
        </w:rPr>
        <w:sectPr>
          <w:pgSz w:w="12240" w:h="15840"/>
          <w:pgMar w:header="0" w:footer="1021" w:top="1340" w:bottom="1220" w:left="720" w:right="360"/>
        </w:sectPr>
      </w:pPr>
    </w:p>
    <w:p>
      <w:pPr>
        <w:spacing w:line="240" w:lineRule="auto" w:before="76"/>
        <w:ind w:left="979" w:right="1344" w:firstLine="0"/>
        <w:jc w:val="both"/>
        <w:rPr>
          <w:sz w:val="22"/>
        </w:rPr>
      </w:pPr>
      <w:r>
        <w:rPr>
          <w:b/>
          <w:sz w:val="22"/>
        </w:rPr>
        <w:t>Reglamento de reconocimiento de jornada extraordinaria de trabajo del IMAS. Acuerdo</w:t>
      </w:r>
      <w:r>
        <w:rPr>
          <w:b/>
          <w:spacing w:val="-8"/>
          <w:sz w:val="22"/>
        </w:rPr>
        <w:t> </w:t>
      </w:r>
      <w:r>
        <w:rPr>
          <w:b/>
          <w:sz w:val="22"/>
        </w:rPr>
        <w:t>N°</w:t>
      </w:r>
      <w:r>
        <w:rPr>
          <w:b/>
          <w:spacing w:val="-4"/>
          <w:sz w:val="22"/>
        </w:rPr>
        <w:t> </w:t>
      </w:r>
      <w:r>
        <w:rPr>
          <w:b/>
          <w:sz w:val="22"/>
        </w:rPr>
        <w:t>CD</w:t>
      </w:r>
      <w:r>
        <w:rPr>
          <w:b/>
          <w:spacing w:val="-8"/>
          <w:sz w:val="22"/>
        </w:rPr>
        <w:t> </w:t>
      </w:r>
      <w:r>
        <w:rPr>
          <w:b/>
          <w:sz w:val="22"/>
        </w:rPr>
        <w:t>156-04-2019.</w:t>
      </w:r>
      <w:r>
        <w:rPr>
          <w:b/>
          <w:spacing w:val="-1"/>
          <w:sz w:val="22"/>
        </w:rPr>
        <w:t> </w:t>
      </w:r>
      <w:r>
        <w:rPr>
          <w:sz w:val="22"/>
        </w:rPr>
        <w:t>Norma</w:t>
      </w:r>
      <w:r>
        <w:rPr>
          <w:spacing w:val="-5"/>
          <w:sz w:val="22"/>
        </w:rPr>
        <w:t> </w:t>
      </w:r>
      <w:r>
        <w:rPr>
          <w:sz w:val="22"/>
        </w:rPr>
        <w:t>el</w:t>
      </w:r>
      <w:r>
        <w:rPr>
          <w:spacing w:val="-8"/>
          <w:sz w:val="22"/>
        </w:rPr>
        <w:t> </w:t>
      </w:r>
      <w:r>
        <w:rPr>
          <w:sz w:val="22"/>
        </w:rPr>
        <w:t>reconocimiento</w:t>
      </w:r>
      <w:r>
        <w:rPr>
          <w:spacing w:val="-10"/>
          <w:sz w:val="22"/>
        </w:rPr>
        <w:t> </w:t>
      </w:r>
      <w:r>
        <w:rPr>
          <w:sz w:val="22"/>
        </w:rPr>
        <w:t>del</w:t>
      </w:r>
      <w:r>
        <w:rPr>
          <w:spacing w:val="-8"/>
          <w:sz w:val="22"/>
        </w:rPr>
        <w:t> </w:t>
      </w:r>
      <w:r>
        <w:rPr>
          <w:sz w:val="22"/>
        </w:rPr>
        <w:t>tiempo</w:t>
      </w:r>
      <w:r>
        <w:rPr>
          <w:spacing w:val="-5"/>
          <w:sz w:val="22"/>
        </w:rPr>
        <w:t> </w:t>
      </w:r>
      <w:r>
        <w:rPr>
          <w:sz w:val="22"/>
        </w:rPr>
        <w:t>extraordinario</w:t>
      </w:r>
      <w:r>
        <w:rPr>
          <w:spacing w:val="-5"/>
          <w:sz w:val="22"/>
        </w:rPr>
        <w:t> </w:t>
      </w:r>
      <w:r>
        <w:rPr>
          <w:sz w:val="22"/>
        </w:rPr>
        <w:t>laborado por los trabajadores del IMAS. Fecha de vigencia 14/08/2019.</w:t>
      </w:r>
    </w:p>
    <w:p>
      <w:pPr>
        <w:pStyle w:val="BodyText"/>
        <w:spacing w:before="1"/>
      </w:pPr>
    </w:p>
    <w:p>
      <w:pPr>
        <w:spacing w:line="240" w:lineRule="auto" w:before="1"/>
        <w:ind w:left="979" w:right="1338" w:firstLine="0"/>
        <w:jc w:val="both"/>
        <w:rPr>
          <w:sz w:val="22"/>
        </w:rPr>
      </w:pPr>
      <w:r>
        <w:rPr>
          <w:b/>
          <w:sz w:val="22"/>
        </w:rPr>
        <w:t>Reglamento para el Desarrollo de Competencias del Capital Humano del Instituto Mixto</w:t>
      </w:r>
      <w:r>
        <w:rPr>
          <w:b/>
          <w:spacing w:val="-6"/>
          <w:sz w:val="22"/>
        </w:rPr>
        <w:t> </w:t>
      </w:r>
      <w:r>
        <w:rPr>
          <w:b/>
          <w:sz w:val="22"/>
        </w:rPr>
        <w:t>de</w:t>
      </w:r>
      <w:r>
        <w:rPr>
          <w:b/>
          <w:spacing w:val="-5"/>
          <w:sz w:val="22"/>
        </w:rPr>
        <w:t> </w:t>
      </w:r>
      <w:r>
        <w:rPr>
          <w:b/>
          <w:sz w:val="22"/>
        </w:rPr>
        <w:t>Ayuda</w:t>
      </w:r>
      <w:r>
        <w:rPr>
          <w:b/>
          <w:spacing w:val="-4"/>
          <w:sz w:val="22"/>
        </w:rPr>
        <w:t> </w:t>
      </w:r>
      <w:r>
        <w:rPr>
          <w:b/>
          <w:sz w:val="22"/>
        </w:rPr>
        <w:t>Social</w:t>
      </w:r>
      <w:r>
        <w:rPr>
          <w:b/>
          <w:spacing w:val="-5"/>
          <w:sz w:val="22"/>
        </w:rPr>
        <w:t> </w:t>
      </w:r>
      <w:r>
        <w:rPr>
          <w:b/>
          <w:sz w:val="22"/>
        </w:rPr>
        <w:t>y</w:t>
      </w:r>
      <w:r>
        <w:rPr>
          <w:b/>
          <w:spacing w:val="-9"/>
          <w:sz w:val="22"/>
        </w:rPr>
        <w:t> </w:t>
      </w:r>
      <w:r>
        <w:rPr>
          <w:b/>
          <w:sz w:val="22"/>
        </w:rPr>
        <w:t>su</w:t>
      </w:r>
      <w:r>
        <w:rPr>
          <w:b/>
          <w:spacing w:val="-6"/>
          <w:sz w:val="22"/>
        </w:rPr>
        <w:t> </w:t>
      </w:r>
      <w:r>
        <w:rPr>
          <w:b/>
          <w:sz w:val="22"/>
        </w:rPr>
        <w:t>reforma.</w:t>
      </w:r>
      <w:r>
        <w:rPr>
          <w:b/>
          <w:spacing w:val="-5"/>
          <w:sz w:val="22"/>
        </w:rPr>
        <w:t> </w:t>
      </w:r>
      <w:r>
        <w:rPr>
          <w:sz w:val="22"/>
        </w:rPr>
        <w:t>Establece</w:t>
      </w:r>
      <w:r>
        <w:rPr>
          <w:spacing w:val="-9"/>
          <w:sz w:val="22"/>
        </w:rPr>
        <w:t> </w:t>
      </w:r>
      <w:r>
        <w:rPr>
          <w:sz w:val="22"/>
        </w:rPr>
        <w:t>el</w:t>
      </w:r>
      <w:r>
        <w:rPr>
          <w:spacing w:val="-7"/>
          <w:sz w:val="22"/>
        </w:rPr>
        <w:t> </w:t>
      </w:r>
      <w:r>
        <w:rPr>
          <w:sz w:val="22"/>
        </w:rPr>
        <w:t>marco</w:t>
      </w:r>
      <w:r>
        <w:rPr>
          <w:spacing w:val="-4"/>
          <w:sz w:val="22"/>
        </w:rPr>
        <w:t> </w:t>
      </w:r>
      <w:r>
        <w:rPr>
          <w:sz w:val="22"/>
        </w:rPr>
        <w:t>normativo</w:t>
      </w:r>
      <w:r>
        <w:rPr>
          <w:spacing w:val="-9"/>
          <w:sz w:val="22"/>
        </w:rPr>
        <w:t> </w:t>
      </w:r>
      <w:r>
        <w:rPr>
          <w:sz w:val="22"/>
        </w:rPr>
        <w:t>para</w:t>
      </w:r>
      <w:r>
        <w:rPr>
          <w:spacing w:val="-4"/>
          <w:sz w:val="22"/>
        </w:rPr>
        <w:t> </w:t>
      </w:r>
      <w:r>
        <w:rPr>
          <w:sz w:val="22"/>
        </w:rPr>
        <w:t>orientar</w:t>
      </w:r>
      <w:r>
        <w:rPr>
          <w:spacing w:val="-8"/>
          <w:sz w:val="22"/>
        </w:rPr>
        <w:t> </w:t>
      </w:r>
      <w:r>
        <w:rPr>
          <w:sz w:val="22"/>
        </w:rPr>
        <w:t>y</w:t>
      </w:r>
      <w:r>
        <w:rPr>
          <w:spacing w:val="-6"/>
          <w:sz w:val="22"/>
        </w:rPr>
        <w:t> </w:t>
      </w:r>
      <w:r>
        <w:rPr>
          <w:sz w:val="22"/>
        </w:rPr>
        <w:t>definir el</w:t>
      </w:r>
      <w:r>
        <w:rPr>
          <w:spacing w:val="-16"/>
          <w:sz w:val="22"/>
        </w:rPr>
        <w:t> </w:t>
      </w:r>
      <w:r>
        <w:rPr>
          <w:sz w:val="22"/>
        </w:rPr>
        <w:t>otorgamiento</w:t>
      </w:r>
      <w:r>
        <w:rPr>
          <w:spacing w:val="-15"/>
          <w:sz w:val="22"/>
        </w:rPr>
        <w:t> </w:t>
      </w:r>
      <w:r>
        <w:rPr>
          <w:sz w:val="22"/>
        </w:rPr>
        <w:t>de</w:t>
      </w:r>
      <w:r>
        <w:rPr>
          <w:spacing w:val="-15"/>
          <w:sz w:val="22"/>
        </w:rPr>
        <w:t> </w:t>
      </w:r>
      <w:r>
        <w:rPr>
          <w:sz w:val="22"/>
        </w:rPr>
        <w:t>beneficios</w:t>
      </w:r>
      <w:r>
        <w:rPr>
          <w:spacing w:val="-16"/>
          <w:sz w:val="22"/>
        </w:rPr>
        <w:t> </w:t>
      </w:r>
      <w:r>
        <w:rPr>
          <w:sz w:val="22"/>
        </w:rPr>
        <w:t>para</w:t>
      </w:r>
      <w:r>
        <w:rPr>
          <w:spacing w:val="-15"/>
          <w:sz w:val="22"/>
        </w:rPr>
        <w:t> </w:t>
      </w:r>
      <w:r>
        <w:rPr>
          <w:sz w:val="22"/>
        </w:rPr>
        <w:t>la</w:t>
      </w:r>
      <w:r>
        <w:rPr>
          <w:spacing w:val="-15"/>
          <w:sz w:val="22"/>
        </w:rPr>
        <w:t> </w:t>
      </w:r>
      <w:r>
        <w:rPr>
          <w:sz w:val="22"/>
        </w:rPr>
        <w:t>capacitación</w:t>
      </w:r>
      <w:r>
        <w:rPr>
          <w:spacing w:val="-15"/>
          <w:sz w:val="22"/>
        </w:rPr>
        <w:t> </w:t>
      </w:r>
      <w:r>
        <w:rPr>
          <w:sz w:val="22"/>
        </w:rPr>
        <w:t>y</w:t>
      </w:r>
      <w:r>
        <w:rPr>
          <w:spacing w:val="-16"/>
          <w:sz w:val="22"/>
        </w:rPr>
        <w:t> </w:t>
      </w:r>
      <w:r>
        <w:rPr>
          <w:sz w:val="22"/>
        </w:rPr>
        <w:t>formación</w:t>
      </w:r>
      <w:r>
        <w:rPr>
          <w:spacing w:val="-15"/>
          <w:sz w:val="22"/>
        </w:rPr>
        <w:t> </w:t>
      </w:r>
      <w:r>
        <w:rPr>
          <w:sz w:val="22"/>
        </w:rPr>
        <w:t>de</w:t>
      </w:r>
      <w:r>
        <w:rPr>
          <w:spacing w:val="-15"/>
          <w:sz w:val="22"/>
        </w:rPr>
        <w:t> </w:t>
      </w:r>
      <w:r>
        <w:rPr>
          <w:sz w:val="22"/>
        </w:rPr>
        <w:t>las</w:t>
      </w:r>
      <w:r>
        <w:rPr>
          <w:spacing w:val="-16"/>
          <w:sz w:val="22"/>
        </w:rPr>
        <w:t> </w:t>
      </w:r>
      <w:r>
        <w:rPr>
          <w:sz w:val="22"/>
        </w:rPr>
        <w:t>personas</w:t>
      </w:r>
      <w:r>
        <w:rPr>
          <w:spacing w:val="-15"/>
          <w:sz w:val="22"/>
        </w:rPr>
        <w:t> </w:t>
      </w:r>
      <w:r>
        <w:rPr>
          <w:sz w:val="22"/>
        </w:rPr>
        <w:t>trabajadoras del I.M.A.S. y órganos adscritos a este, tendientes a generar una visión de desarrollo, a proveer los conocimientos, habilidades, destrezas y a fomentar las actitudes requeridas para cumplir a cabalidad sus funciones y lograr los objetivos de la Institución. Fecha de vigencia 26/11/2019</w:t>
      </w:r>
    </w:p>
    <w:p>
      <w:pPr>
        <w:spacing w:line="240" w:lineRule="auto" w:before="250"/>
        <w:ind w:left="979" w:right="1339" w:firstLine="0"/>
        <w:jc w:val="both"/>
        <w:rPr>
          <w:sz w:val="22"/>
        </w:rPr>
      </w:pPr>
      <w:r>
        <w:rPr>
          <w:b/>
          <w:sz w:val="22"/>
        </w:rPr>
        <w:t>Reglamento de Organización y Funcionamiento de la Auditoría Interna del Instituto Mixto de Ayuda Social. Acuerdo CD N°553-12-2019. </w:t>
      </w:r>
      <w:r>
        <w:rPr>
          <w:sz w:val="22"/>
        </w:rPr>
        <w:t>Regula el cumplimiento de las funciones y actividades de la Auditoría Interna del Instituto Mixto de Ayuda Social, considerando las funciones administrativas esenciales de planificación, organización, dirección, coordinación, control</w:t>
      </w:r>
      <w:r>
        <w:rPr>
          <w:spacing w:val="-3"/>
          <w:sz w:val="22"/>
        </w:rPr>
        <w:t> </w:t>
      </w:r>
      <w:r>
        <w:rPr>
          <w:sz w:val="22"/>
        </w:rPr>
        <w:t>y seguimiento</w:t>
      </w:r>
      <w:r>
        <w:rPr>
          <w:spacing w:val="-1"/>
          <w:sz w:val="22"/>
        </w:rPr>
        <w:t> </w:t>
      </w:r>
      <w:r>
        <w:rPr>
          <w:sz w:val="22"/>
        </w:rPr>
        <w:t>de los servicios de</w:t>
      </w:r>
      <w:r>
        <w:rPr>
          <w:spacing w:val="-1"/>
          <w:sz w:val="22"/>
        </w:rPr>
        <w:t> </w:t>
      </w:r>
      <w:r>
        <w:rPr>
          <w:sz w:val="22"/>
        </w:rPr>
        <w:t>auditoría</w:t>
      </w:r>
      <w:r>
        <w:rPr>
          <w:spacing w:val="-1"/>
          <w:sz w:val="22"/>
        </w:rPr>
        <w:t> </w:t>
      </w:r>
      <w:r>
        <w:rPr>
          <w:sz w:val="22"/>
        </w:rPr>
        <w:t>para</w:t>
      </w:r>
      <w:r>
        <w:rPr>
          <w:spacing w:val="-1"/>
          <w:sz w:val="22"/>
        </w:rPr>
        <w:t> </w:t>
      </w:r>
      <w:r>
        <w:rPr>
          <w:sz w:val="22"/>
        </w:rPr>
        <w:t>los cuales se encuentra facultada. Fecha de vigencia 02/12/2019.</w:t>
      </w:r>
    </w:p>
    <w:p>
      <w:pPr>
        <w:pStyle w:val="BodyText"/>
        <w:spacing w:before="1"/>
      </w:pPr>
    </w:p>
    <w:p>
      <w:pPr>
        <w:spacing w:before="0"/>
        <w:ind w:left="979" w:right="1333" w:firstLine="0"/>
        <w:jc w:val="both"/>
        <w:rPr>
          <w:sz w:val="22"/>
        </w:rPr>
      </w:pPr>
      <w:r>
        <w:rPr>
          <w:b/>
          <w:sz w:val="22"/>
        </w:rPr>
        <w:t>Reforma al Artículo 145 del Reglamento a la Ley de Contratación Administrativa</w:t>
      </w:r>
      <w:r>
        <w:rPr>
          <w:sz w:val="22"/>
        </w:rPr>
        <w:t>, Decreto Nº 42202-H-MEP-MOPT, Reforma el artículo 145 del Reglamento a la Ley de Contratación Administrativa. fecha de vigencia 20/02/2020.</w:t>
      </w:r>
    </w:p>
    <w:p>
      <w:pPr>
        <w:pStyle w:val="BodyText"/>
        <w:spacing w:before="1"/>
      </w:pPr>
    </w:p>
    <w:p>
      <w:pPr>
        <w:pStyle w:val="BodyText"/>
        <w:ind w:left="979" w:right="1336"/>
        <w:jc w:val="both"/>
      </w:pPr>
      <w:r>
        <w:rPr>
          <w:b/>
        </w:rPr>
        <w:t>Reglamento</w:t>
      </w:r>
      <w:r>
        <w:rPr>
          <w:b/>
          <w:spacing w:val="-16"/>
        </w:rPr>
        <w:t> </w:t>
      </w:r>
      <w:r>
        <w:rPr>
          <w:b/>
        </w:rPr>
        <w:t>de</w:t>
      </w:r>
      <w:r>
        <w:rPr>
          <w:b/>
          <w:spacing w:val="-15"/>
        </w:rPr>
        <w:t> </w:t>
      </w:r>
      <w:r>
        <w:rPr>
          <w:b/>
        </w:rPr>
        <w:t>Modalidades</w:t>
      </w:r>
      <w:r>
        <w:rPr>
          <w:b/>
          <w:spacing w:val="-15"/>
        </w:rPr>
        <w:t> </w:t>
      </w:r>
      <w:r>
        <w:rPr>
          <w:b/>
        </w:rPr>
        <w:t>Académicas</w:t>
      </w:r>
      <w:r>
        <w:rPr>
          <w:b/>
          <w:spacing w:val="-16"/>
        </w:rPr>
        <w:t> </w:t>
      </w:r>
      <w:r>
        <w:rPr>
          <w:b/>
        </w:rPr>
        <w:t>y</w:t>
      </w:r>
      <w:r>
        <w:rPr>
          <w:b/>
          <w:spacing w:val="-15"/>
        </w:rPr>
        <w:t> </w:t>
      </w:r>
      <w:r>
        <w:rPr>
          <w:b/>
        </w:rPr>
        <w:t>Formativas</w:t>
      </w:r>
      <w:r>
        <w:rPr>
          <w:b/>
          <w:spacing w:val="-15"/>
        </w:rPr>
        <w:t> </w:t>
      </w:r>
      <w:r>
        <w:rPr>
          <w:b/>
        </w:rPr>
        <w:t>Laborales</w:t>
      </w:r>
      <w:r>
        <w:rPr>
          <w:b/>
          <w:spacing w:val="-15"/>
        </w:rPr>
        <w:t> </w:t>
      </w:r>
      <w:r>
        <w:rPr>
          <w:b/>
        </w:rPr>
        <w:t>en</w:t>
      </w:r>
      <w:r>
        <w:rPr>
          <w:b/>
          <w:spacing w:val="-16"/>
        </w:rPr>
        <w:t> </w:t>
      </w:r>
      <w:r>
        <w:rPr>
          <w:b/>
        </w:rPr>
        <w:t>el</w:t>
      </w:r>
      <w:r>
        <w:rPr>
          <w:b/>
          <w:spacing w:val="-15"/>
        </w:rPr>
        <w:t> </w:t>
      </w:r>
      <w:r>
        <w:rPr>
          <w:b/>
        </w:rPr>
        <w:t>Instituto</w:t>
      </w:r>
      <w:r>
        <w:rPr>
          <w:b/>
          <w:spacing w:val="-15"/>
        </w:rPr>
        <w:t> </w:t>
      </w:r>
      <w:r>
        <w:rPr>
          <w:b/>
        </w:rPr>
        <w:t>Mixto de Ayuda Social y órganos adscritos a este</w:t>
      </w:r>
      <w:r>
        <w:rPr/>
        <w:t>. Establece las condiciones generales bajo las</w:t>
      </w:r>
      <w:r>
        <w:rPr>
          <w:spacing w:val="-1"/>
        </w:rPr>
        <w:t> </w:t>
      </w:r>
      <w:r>
        <w:rPr/>
        <w:t>cuales</w:t>
      </w:r>
      <w:r>
        <w:rPr>
          <w:spacing w:val="-1"/>
        </w:rPr>
        <w:t> </w:t>
      </w:r>
      <w:r>
        <w:rPr/>
        <w:t>se</w:t>
      </w:r>
      <w:r>
        <w:rPr>
          <w:spacing w:val="-4"/>
        </w:rPr>
        <w:t> </w:t>
      </w:r>
      <w:r>
        <w:rPr/>
        <w:t>ejecutarán</w:t>
      </w:r>
      <w:r>
        <w:rPr>
          <w:spacing w:val="-8"/>
        </w:rPr>
        <w:t> </w:t>
      </w:r>
      <w:r>
        <w:rPr/>
        <w:t>en</w:t>
      </w:r>
      <w:r>
        <w:rPr>
          <w:spacing w:val="-4"/>
        </w:rPr>
        <w:t> </w:t>
      </w:r>
      <w:r>
        <w:rPr/>
        <w:t>el</w:t>
      </w:r>
      <w:r>
        <w:rPr>
          <w:spacing w:val="-7"/>
        </w:rPr>
        <w:t> </w:t>
      </w:r>
      <w:r>
        <w:rPr/>
        <w:t>Instituto</w:t>
      </w:r>
      <w:r>
        <w:rPr>
          <w:spacing w:val="-4"/>
        </w:rPr>
        <w:t> </w:t>
      </w:r>
      <w:r>
        <w:rPr/>
        <w:t>Mixto</w:t>
      </w:r>
      <w:r>
        <w:rPr>
          <w:spacing w:val="-8"/>
        </w:rPr>
        <w:t> </w:t>
      </w:r>
      <w:r>
        <w:rPr/>
        <w:t>de</w:t>
      </w:r>
      <w:r>
        <w:rPr>
          <w:spacing w:val="-4"/>
        </w:rPr>
        <w:t> </w:t>
      </w:r>
      <w:r>
        <w:rPr/>
        <w:t>Ayuda</w:t>
      </w:r>
      <w:r>
        <w:rPr>
          <w:spacing w:val="-4"/>
        </w:rPr>
        <w:t> </w:t>
      </w:r>
      <w:r>
        <w:rPr/>
        <w:t>Social</w:t>
      </w:r>
      <w:r>
        <w:rPr>
          <w:spacing w:val="-2"/>
        </w:rPr>
        <w:t> </w:t>
      </w:r>
      <w:r>
        <w:rPr/>
        <w:t>(IMAS)</w:t>
      </w:r>
      <w:r>
        <w:rPr>
          <w:spacing w:val="-3"/>
        </w:rPr>
        <w:t> </w:t>
      </w:r>
      <w:r>
        <w:rPr/>
        <w:t>y</w:t>
      </w:r>
      <w:r>
        <w:rPr>
          <w:spacing w:val="-6"/>
        </w:rPr>
        <w:t> </w:t>
      </w:r>
      <w:r>
        <w:rPr/>
        <w:t>órganos</w:t>
      </w:r>
      <w:r>
        <w:rPr>
          <w:spacing w:val="-10"/>
        </w:rPr>
        <w:t> </w:t>
      </w:r>
      <w:r>
        <w:rPr/>
        <w:t>adscritos</w:t>
      </w:r>
      <w:r>
        <w:rPr>
          <w:spacing w:val="-6"/>
        </w:rPr>
        <w:t> </w:t>
      </w:r>
      <w:r>
        <w:rPr/>
        <w:t>a éste, las modalidades de prácticas supervisadas, trabajo comunal universitario, prácticas profesionales,</w:t>
      </w:r>
      <w:r>
        <w:rPr>
          <w:spacing w:val="-16"/>
        </w:rPr>
        <w:t> </w:t>
      </w:r>
      <w:r>
        <w:rPr/>
        <w:t>y</w:t>
      </w:r>
      <w:r>
        <w:rPr>
          <w:spacing w:val="-15"/>
        </w:rPr>
        <w:t> </w:t>
      </w:r>
      <w:r>
        <w:rPr/>
        <w:t>trabajos</w:t>
      </w:r>
      <w:r>
        <w:rPr>
          <w:spacing w:val="-15"/>
        </w:rPr>
        <w:t> </w:t>
      </w:r>
      <w:r>
        <w:rPr/>
        <w:t>finales</w:t>
      </w:r>
      <w:r>
        <w:rPr>
          <w:spacing w:val="-16"/>
        </w:rPr>
        <w:t> </w:t>
      </w:r>
      <w:r>
        <w:rPr/>
        <w:t>de</w:t>
      </w:r>
      <w:r>
        <w:rPr>
          <w:spacing w:val="-15"/>
        </w:rPr>
        <w:t> </w:t>
      </w:r>
      <w:r>
        <w:rPr/>
        <w:t>graduación,</w:t>
      </w:r>
      <w:r>
        <w:rPr>
          <w:spacing w:val="-15"/>
        </w:rPr>
        <w:t> </w:t>
      </w:r>
      <w:r>
        <w:rPr/>
        <w:t>meritorios</w:t>
      </w:r>
      <w:r>
        <w:rPr>
          <w:spacing w:val="-15"/>
        </w:rPr>
        <w:t> </w:t>
      </w:r>
      <w:r>
        <w:rPr/>
        <w:t>y</w:t>
      </w:r>
      <w:r>
        <w:rPr>
          <w:spacing w:val="-16"/>
        </w:rPr>
        <w:t> </w:t>
      </w:r>
      <w:r>
        <w:rPr/>
        <w:t>otras,</w:t>
      </w:r>
      <w:r>
        <w:rPr>
          <w:spacing w:val="-15"/>
        </w:rPr>
        <w:t> </w:t>
      </w:r>
      <w:r>
        <w:rPr/>
        <w:t>en</w:t>
      </w:r>
      <w:r>
        <w:rPr>
          <w:spacing w:val="-15"/>
        </w:rPr>
        <w:t> </w:t>
      </w:r>
      <w:r>
        <w:rPr/>
        <w:t>adelante</w:t>
      </w:r>
      <w:r>
        <w:rPr>
          <w:spacing w:val="-16"/>
        </w:rPr>
        <w:t> </w:t>
      </w:r>
      <w:r>
        <w:rPr/>
        <w:t>denominadas modalidades</w:t>
      </w:r>
      <w:r>
        <w:rPr>
          <w:spacing w:val="-7"/>
        </w:rPr>
        <w:t> </w:t>
      </w:r>
      <w:r>
        <w:rPr/>
        <w:t>académicas</w:t>
      </w:r>
      <w:r>
        <w:rPr>
          <w:spacing w:val="-7"/>
        </w:rPr>
        <w:t> </w:t>
      </w:r>
      <w:r>
        <w:rPr/>
        <w:t>y</w:t>
      </w:r>
      <w:r>
        <w:rPr>
          <w:spacing w:val="-7"/>
        </w:rPr>
        <w:t> </w:t>
      </w:r>
      <w:r>
        <w:rPr/>
        <w:t>formativas</w:t>
      </w:r>
      <w:r>
        <w:rPr>
          <w:spacing w:val="-7"/>
        </w:rPr>
        <w:t> </w:t>
      </w:r>
      <w:r>
        <w:rPr/>
        <w:t>laborales,</w:t>
      </w:r>
      <w:r>
        <w:rPr>
          <w:spacing w:val="-6"/>
        </w:rPr>
        <w:t> </w:t>
      </w:r>
      <w:r>
        <w:rPr/>
        <w:t>cuyo fin</w:t>
      </w:r>
      <w:r>
        <w:rPr>
          <w:spacing w:val="-5"/>
        </w:rPr>
        <w:t> </w:t>
      </w:r>
      <w:r>
        <w:rPr/>
        <w:t>para</w:t>
      </w:r>
      <w:r>
        <w:rPr>
          <w:spacing w:val="-1"/>
        </w:rPr>
        <w:t> </w:t>
      </w:r>
      <w:r>
        <w:rPr/>
        <w:t>las</w:t>
      </w:r>
      <w:r>
        <w:rPr>
          <w:spacing w:val="-7"/>
        </w:rPr>
        <w:t> </w:t>
      </w:r>
      <w:r>
        <w:rPr/>
        <w:t>personas</w:t>
      </w:r>
      <w:r>
        <w:rPr>
          <w:spacing w:val="-7"/>
        </w:rPr>
        <w:t> </w:t>
      </w:r>
      <w:r>
        <w:rPr/>
        <w:t>estudiantes</w:t>
      </w:r>
      <w:r>
        <w:rPr>
          <w:spacing w:val="-7"/>
        </w:rPr>
        <w:t> </w:t>
      </w:r>
      <w:r>
        <w:rPr/>
        <w:t>es la aprobación de un requisito académico como parte de un plan de estudios impartido por una institución educativa y</w:t>
      </w:r>
      <w:r>
        <w:rPr>
          <w:spacing w:val="-2"/>
        </w:rPr>
        <w:t> </w:t>
      </w:r>
      <w:r>
        <w:rPr/>
        <w:t>cuya actividad se constituye en interés</w:t>
      </w:r>
      <w:r>
        <w:rPr>
          <w:spacing w:val="-2"/>
        </w:rPr>
        <w:t> </w:t>
      </w:r>
      <w:r>
        <w:rPr/>
        <w:t>para el IMAS y</w:t>
      </w:r>
      <w:r>
        <w:rPr>
          <w:spacing w:val="-1"/>
        </w:rPr>
        <w:t> </w:t>
      </w:r>
      <w:r>
        <w:rPr/>
        <w:t>órganos adscritos a éste. Fecha de vigencia 03/03/2020.</w:t>
      </w:r>
    </w:p>
    <w:p>
      <w:pPr>
        <w:pStyle w:val="BodyText"/>
      </w:pPr>
    </w:p>
    <w:p>
      <w:pPr>
        <w:spacing w:line="240" w:lineRule="auto" w:before="0"/>
        <w:ind w:left="979" w:right="1343" w:firstLine="0"/>
        <w:jc w:val="both"/>
        <w:rPr>
          <w:sz w:val="22"/>
        </w:rPr>
      </w:pPr>
      <w:r>
        <w:rPr>
          <w:b/>
          <w:sz w:val="22"/>
        </w:rPr>
        <w:t>Reforma</w:t>
      </w:r>
      <w:r>
        <w:rPr>
          <w:b/>
          <w:spacing w:val="-5"/>
          <w:sz w:val="22"/>
        </w:rPr>
        <w:t> </w:t>
      </w:r>
      <w:r>
        <w:rPr>
          <w:b/>
          <w:sz w:val="22"/>
        </w:rPr>
        <w:t>al</w:t>
      </w:r>
      <w:r>
        <w:rPr>
          <w:b/>
          <w:spacing w:val="-6"/>
          <w:sz w:val="22"/>
        </w:rPr>
        <w:t> </w:t>
      </w:r>
      <w:r>
        <w:rPr>
          <w:b/>
          <w:sz w:val="22"/>
        </w:rPr>
        <w:t>Reglamento</w:t>
      </w:r>
      <w:r>
        <w:rPr>
          <w:b/>
          <w:spacing w:val="-7"/>
          <w:sz w:val="22"/>
        </w:rPr>
        <w:t> </w:t>
      </w:r>
      <w:r>
        <w:rPr>
          <w:b/>
          <w:sz w:val="22"/>
        </w:rPr>
        <w:t>de</w:t>
      </w:r>
      <w:r>
        <w:rPr>
          <w:b/>
          <w:spacing w:val="-10"/>
          <w:sz w:val="22"/>
        </w:rPr>
        <w:t> </w:t>
      </w:r>
      <w:r>
        <w:rPr>
          <w:b/>
          <w:sz w:val="22"/>
        </w:rPr>
        <w:t>Organización</w:t>
      </w:r>
      <w:r>
        <w:rPr>
          <w:b/>
          <w:spacing w:val="-8"/>
          <w:sz w:val="22"/>
        </w:rPr>
        <w:t> </w:t>
      </w:r>
      <w:r>
        <w:rPr>
          <w:b/>
          <w:sz w:val="22"/>
        </w:rPr>
        <w:t>y</w:t>
      </w:r>
      <w:r>
        <w:rPr>
          <w:b/>
          <w:spacing w:val="-9"/>
          <w:sz w:val="22"/>
        </w:rPr>
        <w:t> </w:t>
      </w:r>
      <w:r>
        <w:rPr>
          <w:b/>
          <w:sz w:val="22"/>
        </w:rPr>
        <w:t>Funcionamiento</w:t>
      </w:r>
      <w:r>
        <w:rPr>
          <w:b/>
          <w:spacing w:val="-7"/>
          <w:sz w:val="22"/>
        </w:rPr>
        <w:t> </w:t>
      </w:r>
      <w:r>
        <w:rPr>
          <w:b/>
          <w:sz w:val="22"/>
        </w:rPr>
        <w:t>del</w:t>
      </w:r>
      <w:r>
        <w:rPr>
          <w:b/>
          <w:spacing w:val="-6"/>
          <w:sz w:val="22"/>
        </w:rPr>
        <w:t> </w:t>
      </w:r>
      <w:r>
        <w:rPr>
          <w:b/>
          <w:sz w:val="22"/>
        </w:rPr>
        <w:t>Consejo</w:t>
      </w:r>
      <w:r>
        <w:rPr>
          <w:b/>
          <w:spacing w:val="-7"/>
          <w:sz w:val="22"/>
        </w:rPr>
        <w:t> </w:t>
      </w:r>
      <w:r>
        <w:rPr>
          <w:b/>
          <w:sz w:val="22"/>
        </w:rPr>
        <w:t>Directivo</w:t>
      </w:r>
      <w:r>
        <w:rPr>
          <w:b/>
          <w:spacing w:val="-7"/>
          <w:sz w:val="22"/>
        </w:rPr>
        <w:t> </w:t>
      </w:r>
      <w:r>
        <w:rPr>
          <w:b/>
          <w:sz w:val="22"/>
        </w:rPr>
        <w:t>del IMAS</w:t>
      </w:r>
      <w:r>
        <w:rPr>
          <w:sz w:val="22"/>
        </w:rPr>
        <w:t>.</w:t>
      </w:r>
      <w:r>
        <w:rPr>
          <w:spacing w:val="-5"/>
          <w:sz w:val="22"/>
        </w:rPr>
        <w:t> </w:t>
      </w:r>
      <w:r>
        <w:rPr>
          <w:sz w:val="22"/>
        </w:rPr>
        <w:t>Adiciona</w:t>
      </w:r>
      <w:r>
        <w:rPr>
          <w:spacing w:val="-4"/>
          <w:sz w:val="22"/>
        </w:rPr>
        <w:t> </w:t>
      </w:r>
      <w:r>
        <w:rPr>
          <w:sz w:val="22"/>
        </w:rPr>
        <w:t>una</w:t>
      </w:r>
      <w:r>
        <w:rPr>
          <w:spacing w:val="-4"/>
          <w:sz w:val="22"/>
        </w:rPr>
        <w:t> </w:t>
      </w:r>
      <w:r>
        <w:rPr>
          <w:sz w:val="22"/>
        </w:rPr>
        <w:t>SECCIÓN</w:t>
      </w:r>
      <w:r>
        <w:rPr>
          <w:spacing w:val="-7"/>
          <w:sz w:val="22"/>
        </w:rPr>
        <w:t> </w:t>
      </w:r>
      <w:r>
        <w:rPr>
          <w:sz w:val="22"/>
        </w:rPr>
        <w:t>VIII.</w:t>
      </w:r>
      <w:r>
        <w:rPr>
          <w:spacing w:val="-5"/>
          <w:sz w:val="22"/>
        </w:rPr>
        <w:t> </w:t>
      </w:r>
      <w:r>
        <w:rPr>
          <w:sz w:val="22"/>
        </w:rPr>
        <w:t>De</w:t>
      </w:r>
      <w:r>
        <w:rPr>
          <w:spacing w:val="-4"/>
          <w:sz w:val="22"/>
        </w:rPr>
        <w:t> </w:t>
      </w:r>
      <w:r>
        <w:rPr>
          <w:sz w:val="22"/>
        </w:rPr>
        <w:t>las</w:t>
      </w:r>
      <w:r>
        <w:rPr>
          <w:spacing w:val="-6"/>
          <w:sz w:val="22"/>
        </w:rPr>
        <w:t> </w:t>
      </w:r>
      <w:r>
        <w:rPr>
          <w:sz w:val="22"/>
        </w:rPr>
        <w:t>sesiones</w:t>
      </w:r>
      <w:r>
        <w:rPr>
          <w:spacing w:val="-1"/>
          <w:sz w:val="22"/>
        </w:rPr>
        <w:t> </w:t>
      </w:r>
      <w:r>
        <w:rPr>
          <w:sz w:val="22"/>
        </w:rPr>
        <w:t>virtuales</w:t>
      </w:r>
      <w:r>
        <w:rPr>
          <w:spacing w:val="-6"/>
          <w:sz w:val="22"/>
        </w:rPr>
        <w:t> </w:t>
      </w:r>
      <w:r>
        <w:rPr>
          <w:sz w:val="22"/>
        </w:rPr>
        <w:t>al</w:t>
      </w:r>
      <w:r>
        <w:rPr>
          <w:spacing w:val="-7"/>
          <w:sz w:val="22"/>
        </w:rPr>
        <w:t> </w:t>
      </w:r>
      <w:r>
        <w:rPr>
          <w:sz w:val="22"/>
        </w:rPr>
        <w:t>Capítulo</w:t>
      </w:r>
      <w:r>
        <w:rPr>
          <w:spacing w:val="-4"/>
          <w:sz w:val="22"/>
        </w:rPr>
        <w:t> </w:t>
      </w:r>
      <w:r>
        <w:rPr>
          <w:sz w:val="22"/>
        </w:rPr>
        <w:t>II</w:t>
      </w:r>
      <w:r>
        <w:rPr>
          <w:spacing w:val="-5"/>
          <w:sz w:val="22"/>
        </w:rPr>
        <w:t> </w:t>
      </w:r>
      <w:r>
        <w:rPr>
          <w:sz w:val="22"/>
        </w:rPr>
        <w:t>del</w:t>
      </w:r>
      <w:r>
        <w:rPr>
          <w:spacing w:val="-2"/>
          <w:sz w:val="22"/>
        </w:rPr>
        <w:t> </w:t>
      </w:r>
      <w:r>
        <w:rPr>
          <w:sz w:val="22"/>
        </w:rPr>
        <w:t>Reglamento de Organización y Funcionamiento del Consejo Directivo del IMAS. Fecha de vigencia </w:t>
      </w:r>
      <w:r>
        <w:rPr>
          <w:spacing w:val="-2"/>
          <w:sz w:val="22"/>
        </w:rPr>
        <w:t>20/03/2020.</w:t>
      </w:r>
    </w:p>
    <w:p>
      <w:pPr>
        <w:pStyle w:val="BodyText"/>
        <w:spacing w:before="3"/>
      </w:pPr>
    </w:p>
    <w:p>
      <w:pPr>
        <w:spacing w:line="240" w:lineRule="auto" w:before="0"/>
        <w:ind w:left="979" w:right="1347" w:firstLine="0"/>
        <w:jc w:val="both"/>
        <w:rPr>
          <w:sz w:val="22"/>
        </w:rPr>
      </w:pPr>
      <w:r>
        <w:rPr>
          <w:b/>
          <w:sz w:val="22"/>
        </w:rPr>
        <w:t>Reglamento para regular el servicio de transporte en el IMAS v.2. Acuerdo de CDN°149-02-2024. </w:t>
      </w:r>
      <w:r>
        <w:rPr>
          <w:sz w:val="22"/>
        </w:rPr>
        <w:t>Establecer las disposiciones para la administración y prestación del servicio de transportes</w:t>
      </w:r>
      <w:r>
        <w:rPr>
          <w:spacing w:val="-1"/>
          <w:sz w:val="22"/>
        </w:rPr>
        <w:t> </w:t>
      </w:r>
      <w:r>
        <w:rPr>
          <w:sz w:val="22"/>
        </w:rPr>
        <w:t>en el</w:t>
      </w:r>
      <w:r>
        <w:rPr>
          <w:spacing w:val="-2"/>
          <w:sz w:val="22"/>
        </w:rPr>
        <w:t> </w:t>
      </w:r>
      <w:r>
        <w:rPr>
          <w:sz w:val="22"/>
        </w:rPr>
        <w:t>Instituto Mixto de Ayuda Social, acordes con el</w:t>
      </w:r>
      <w:r>
        <w:rPr>
          <w:spacing w:val="-2"/>
          <w:sz w:val="22"/>
        </w:rPr>
        <w:t> </w:t>
      </w:r>
      <w:r>
        <w:rPr>
          <w:sz w:val="22"/>
        </w:rPr>
        <w:t>ordenamiento jurídico y el fin público que persigue la Institución sobre el uso racional y</w:t>
      </w:r>
      <w:r>
        <w:rPr>
          <w:spacing w:val="-2"/>
          <w:sz w:val="22"/>
        </w:rPr>
        <w:t> </w:t>
      </w:r>
      <w:r>
        <w:rPr>
          <w:sz w:val="22"/>
        </w:rPr>
        <w:t>adecuado de los bienes y fondos públicos asociados. Fecha de vigencia 22/08/2024.</w:t>
      </w:r>
    </w:p>
    <w:p>
      <w:pPr>
        <w:spacing w:line="240" w:lineRule="auto" w:before="253"/>
        <w:ind w:left="979" w:right="1344" w:firstLine="0"/>
        <w:jc w:val="both"/>
        <w:rPr>
          <w:sz w:val="22"/>
        </w:rPr>
      </w:pPr>
      <w:r>
        <w:rPr>
          <w:b/>
          <w:sz w:val="22"/>
        </w:rPr>
        <w:t>Reglamento de Donaciones del Instituto Mixto de Ayuda Social y sus reformas. Acuerdo CD N°477-12-2020. </w:t>
      </w:r>
      <w:r>
        <w:rPr>
          <w:sz w:val="22"/>
        </w:rPr>
        <w:t>Establecer las regulaciones y condiciones aplicables a las donaciones en las cuales interviene el IMAS, sea como receptor o ejecutor; las cuales, tienen como fin coadyuvar a los entes y organizaciones solicitantes. Fecha de vigencia </w:t>
      </w:r>
      <w:r>
        <w:rPr>
          <w:spacing w:val="-2"/>
          <w:sz w:val="22"/>
        </w:rPr>
        <w:t>01/02/2021.</w:t>
      </w:r>
    </w:p>
    <w:p>
      <w:pPr>
        <w:spacing w:after="0" w:line="240" w:lineRule="auto"/>
        <w:jc w:val="both"/>
        <w:rPr>
          <w:sz w:val="22"/>
        </w:rPr>
        <w:sectPr>
          <w:pgSz w:w="12240" w:h="15840"/>
          <w:pgMar w:header="0" w:footer="1021" w:top="1340" w:bottom="1220" w:left="720" w:right="360"/>
        </w:sectPr>
      </w:pPr>
    </w:p>
    <w:p>
      <w:pPr>
        <w:spacing w:line="240" w:lineRule="auto" w:before="76"/>
        <w:ind w:left="979" w:right="1333" w:firstLine="0"/>
        <w:jc w:val="both"/>
        <w:rPr>
          <w:sz w:val="22"/>
        </w:rPr>
      </w:pPr>
      <w:r>
        <w:rPr>
          <w:b/>
          <w:sz w:val="22"/>
        </w:rPr>
        <w:t>Reglamento</w:t>
      </w:r>
      <w:r>
        <w:rPr>
          <w:b/>
          <w:spacing w:val="-6"/>
          <w:sz w:val="22"/>
        </w:rPr>
        <w:t> </w:t>
      </w:r>
      <w:r>
        <w:rPr>
          <w:b/>
          <w:sz w:val="22"/>
        </w:rPr>
        <w:t>de</w:t>
      </w:r>
      <w:r>
        <w:rPr>
          <w:b/>
          <w:spacing w:val="-4"/>
          <w:sz w:val="22"/>
        </w:rPr>
        <w:t> </w:t>
      </w:r>
      <w:r>
        <w:rPr>
          <w:b/>
          <w:sz w:val="22"/>
        </w:rPr>
        <w:t>Reclutamiento,</w:t>
      </w:r>
      <w:r>
        <w:rPr>
          <w:b/>
          <w:spacing w:val="-10"/>
          <w:sz w:val="22"/>
        </w:rPr>
        <w:t> </w:t>
      </w:r>
      <w:r>
        <w:rPr>
          <w:b/>
          <w:sz w:val="22"/>
        </w:rPr>
        <w:t>Selección</w:t>
      </w:r>
      <w:r>
        <w:rPr>
          <w:b/>
          <w:spacing w:val="-12"/>
          <w:sz w:val="22"/>
        </w:rPr>
        <w:t> </w:t>
      </w:r>
      <w:r>
        <w:rPr>
          <w:b/>
          <w:sz w:val="22"/>
        </w:rPr>
        <w:t>y</w:t>
      </w:r>
      <w:r>
        <w:rPr>
          <w:b/>
          <w:spacing w:val="-14"/>
          <w:sz w:val="22"/>
        </w:rPr>
        <w:t> </w:t>
      </w:r>
      <w:r>
        <w:rPr>
          <w:b/>
          <w:sz w:val="22"/>
        </w:rPr>
        <w:t>Promoción</w:t>
      </w:r>
      <w:r>
        <w:rPr>
          <w:b/>
          <w:spacing w:val="-12"/>
          <w:sz w:val="22"/>
        </w:rPr>
        <w:t> </w:t>
      </w:r>
      <w:r>
        <w:rPr>
          <w:b/>
          <w:sz w:val="22"/>
        </w:rPr>
        <w:t>de</w:t>
      </w:r>
      <w:r>
        <w:rPr>
          <w:b/>
          <w:spacing w:val="-9"/>
          <w:sz w:val="22"/>
        </w:rPr>
        <w:t> </w:t>
      </w:r>
      <w:r>
        <w:rPr>
          <w:b/>
          <w:sz w:val="22"/>
        </w:rPr>
        <w:t>los</w:t>
      </w:r>
      <w:r>
        <w:rPr>
          <w:b/>
          <w:spacing w:val="-9"/>
          <w:sz w:val="22"/>
        </w:rPr>
        <w:t> </w:t>
      </w:r>
      <w:r>
        <w:rPr>
          <w:b/>
          <w:sz w:val="22"/>
        </w:rPr>
        <w:t>Recursos</w:t>
      </w:r>
      <w:r>
        <w:rPr>
          <w:b/>
          <w:spacing w:val="-9"/>
          <w:sz w:val="22"/>
        </w:rPr>
        <w:t> </w:t>
      </w:r>
      <w:r>
        <w:rPr>
          <w:b/>
          <w:sz w:val="22"/>
        </w:rPr>
        <w:t>Humanos</w:t>
      </w:r>
      <w:r>
        <w:rPr>
          <w:b/>
          <w:spacing w:val="-9"/>
          <w:sz w:val="22"/>
        </w:rPr>
        <w:t> </w:t>
      </w:r>
      <w:r>
        <w:rPr>
          <w:b/>
          <w:sz w:val="22"/>
        </w:rPr>
        <w:t>del Instituto Mixto de</w:t>
      </w:r>
      <w:r>
        <w:rPr>
          <w:b/>
          <w:spacing w:val="-2"/>
          <w:sz w:val="22"/>
        </w:rPr>
        <w:t> </w:t>
      </w:r>
      <w:r>
        <w:rPr>
          <w:b/>
          <w:sz w:val="22"/>
        </w:rPr>
        <w:t>Ayuda</w:t>
      </w:r>
      <w:r>
        <w:rPr>
          <w:b/>
          <w:spacing w:val="-2"/>
          <w:sz w:val="22"/>
        </w:rPr>
        <w:t> </w:t>
      </w:r>
      <w:r>
        <w:rPr>
          <w:b/>
          <w:sz w:val="22"/>
        </w:rPr>
        <w:t>Social y</w:t>
      </w:r>
      <w:r>
        <w:rPr>
          <w:b/>
          <w:spacing w:val="-6"/>
          <w:sz w:val="22"/>
        </w:rPr>
        <w:t> </w:t>
      </w:r>
      <w:r>
        <w:rPr>
          <w:b/>
          <w:sz w:val="22"/>
        </w:rPr>
        <w:t>sus reformas. (Acuerdo CD</w:t>
      </w:r>
      <w:r>
        <w:rPr>
          <w:b/>
          <w:spacing w:val="-4"/>
          <w:sz w:val="22"/>
        </w:rPr>
        <w:t> </w:t>
      </w:r>
      <w:r>
        <w:rPr>
          <w:b/>
          <w:sz w:val="22"/>
        </w:rPr>
        <w:t>N°373-11-2021). </w:t>
      </w:r>
      <w:r>
        <w:rPr>
          <w:sz w:val="22"/>
        </w:rPr>
        <w:t>Regula el procedimiento para la selección y nombramiento en forma interina y en propiedad, del Auditor General y Sub auditor del Instituto Mixto de Ayuda Social, en adelante IMAS, de conformidad con lo estipulado en los artículos 29 y 31 de la "Ley General de Control Interno". N°8292, Ley de Creación del Instituto Mixto de Ayuda Social y su Reglamento y los</w:t>
      </w:r>
      <w:r>
        <w:rPr>
          <w:spacing w:val="-7"/>
          <w:sz w:val="22"/>
        </w:rPr>
        <w:t> </w:t>
      </w:r>
      <w:r>
        <w:rPr>
          <w:sz w:val="22"/>
        </w:rPr>
        <w:t>"Lineamientos</w:t>
      </w:r>
      <w:r>
        <w:rPr>
          <w:spacing w:val="-7"/>
          <w:sz w:val="22"/>
        </w:rPr>
        <w:t> </w:t>
      </w:r>
      <w:r>
        <w:rPr>
          <w:sz w:val="22"/>
        </w:rPr>
        <w:t>para</w:t>
      </w:r>
      <w:r>
        <w:rPr>
          <w:spacing w:val="-5"/>
          <w:sz w:val="22"/>
        </w:rPr>
        <w:t> </w:t>
      </w:r>
      <w:r>
        <w:rPr>
          <w:sz w:val="22"/>
        </w:rPr>
        <w:t>la</w:t>
      </w:r>
      <w:r>
        <w:rPr>
          <w:spacing w:val="-5"/>
          <w:sz w:val="22"/>
        </w:rPr>
        <w:t> </w:t>
      </w:r>
      <w:r>
        <w:rPr>
          <w:sz w:val="22"/>
        </w:rPr>
        <w:t>descripción</w:t>
      </w:r>
      <w:r>
        <w:rPr>
          <w:spacing w:val="-9"/>
          <w:sz w:val="22"/>
        </w:rPr>
        <w:t> </w:t>
      </w:r>
      <w:r>
        <w:rPr>
          <w:sz w:val="22"/>
        </w:rPr>
        <w:t>de</w:t>
      </w:r>
      <w:r>
        <w:rPr>
          <w:spacing w:val="-5"/>
          <w:sz w:val="22"/>
        </w:rPr>
        <w:t> </w:t>
      </w:r>
      <w:r>
        <w:rPr>
          <w:sz w:val="22"/>
        </w:rPr>
        <w:t>las</w:t>
      </w:r>
      <w:r>
        <w:rPr>
          <w:spacing w:val="-7"/>
          <w:sz w:val="22"/>
        </w:rPr>
        <w:t> </w:t>
      </w:r>
      <w:r>
        <w:rPr>
          <w:sz w:val="22"/>
        </w:rPr>
        <w:t>funciones</w:t>
      </w:r>
      <w:r>
        <w:rPr>
          <w:spacing w:val="-7"/>
          <w:sz w:val="22"/>
        </w:rPr>
        <w:t> </w:t>
      </w:r>
      <w:r>
        <w:rPr>
          <w:sz w:val="22"/>
        </w:rPr>
        <w:t>y</w:t>
      </w:r>
      <w:r>
        <w:rPr>
          <w:spacing w:val="-7"/>
          <w:sz w:val="22"/>
        </w:rPr>
        <w:t> </w:t>
      </w:r>
      <w:r>
        <w:rPr>
          <w:sz w:val="22"/>
        </w:rPr>
        <w:t>requisitos</w:t>
      </w:r>
      <w:r>
        <w:rPr>
          <w:spacing w:val="-11"/>
          <w:sz w:val="22"/>
        </w:rPr>
        <w:t> </w:t>
      </w:r>
      <w:r>
        <w:rPr>
          <w:sz w:val="22"/>
        </w:rPr>
        <w:t>de</w:t>
      </w:r>
      <w:r>
        <w:rPr>
          <w:spacing w:val="-9"/>
          <w:sz w:val="22"/>
        </w:rPr>
        <w:t> </w:t>
      </w:r>
      <w:r>
        <w:rPr>
          <w:sz w:val="22"/>
        </w:rPr>
        <w:t>los</w:t>
      </w:r>
      <w:r>
        <w:rPr>
          <w:spacing w:val="-7"/>
          <w:sz w:val="22"/>
        </w:rPr>
        <w:t> </w:t>
      </w:r>
      <w:r>
        <w:rPr>
          <w:sz w:val="22"/>
        </w:rPr>
        <w:t>cargos</w:t>
      </w:r>
      <w:r>
        <w:rPr>
          <w:spacing w:val="-7"/>
          <w:sz w:val="22"/>
        </w:rPr>
        <w:t> </w:t>
      </w:r>
      <w:r>
        <w:rPr>
          <w:sz w:val="22"/>
        </w:rPr>
        <w:t>de</w:t>
      </w:r>
      <w:r>
        <w:rPr>
          <w:spacing w:val="-5"/>
          <w:sz w:val="22"/>
        </w:rPr>
        <w:t> </w:t>
      </w:r>
      <w:r>
        <w:rPr>
          <w:sz w:val="22"/>
        </w:rPr>
        <w:t>Auditor y Sub auditor Internos". Fecha de vigencia 22/11/2021.</w:t>
      </w:r>
    </w:p>
    <w:p>
      <w:pPr>
        <w:spacing w:line="240" w:lineRule="auto" w:before="252"/>
        <w:ind w:left="979" w:right="1343" w:firstLine="0"/>
        <w:jc w:val="both"/>
        <w:rPr>
          <w:sz w:val="22"/>
        </w:rPr>
      </w:pPr>
      <w:r>
        <w:rPr>
          <w:b/>
          <w:sz w:val="22"/>
        </w:rPr>
        <w:t>Reglamento a las Leyes N°4760 y sus reformas y Leyes N°7083, 7151 y 7154 para el Otorgamiento</w:t>
      </w:r>
      <w:r>
        <w:rPr>
          <w:b/>
          <w:spacing w:val="-16"/>
          <w:sz w:val="22"/>
        </w:rPr>
        <w:t> </w:t>
      </w:r>
      <w:r>
        <w:rPr>
          <w:b/>
          <w:sz w:val="22"/>
        </w:rPr>
        <w:t>de</w:t>
      </w:r>
      <w:r>
        <w:rPr>
          <w:b/>
          <w:spacing w:val="-15"/>
          <w:sz w:val="22"/>
        </w:rPr>
        <w:t> </w:t>
      </w:r>
      <w:r>
        <w:rPr>
          <w:b/>
          <w:sz w:val="22"/>
        </w:rPr>
        <w:t>escrituras</w:t>
      </w:r>
      <w:r>
        <w:rPr>
          <w:b/>
          <w:spacing w:val="-12"/>
          <w:sz w:val="22"/>
        </w:rPr>
        <w:t> </w:t>
      </w:r>
      <w:r>
        <w:rPr>
          <w:b/>
          <w:sz w:val="22"/>
        </w:rPr>
        <w:t>de</w:t>
      </w:r>
      <w:r>
        <w:rPr>
          <w:b/>
          <w:spacing w:val="-12"/>
          <w:sz w:val="22"/>
        </w:rPr>
        <w:t> </w:t>
      </w:r>
      <w:r>
        <w:rPr>
          <w:b/>
          <w:sz w:val="22"/>
        </w:rPr>
        <w:t>propiedad</w:t>
      </w:r>
      <w:r>
        <w:rPr>
          <w:b/>
          <w:spacing w:val="-14"/>
          <w:sz w:val="22"/>
        </w:rPr>
        <w:t> </w:t>
      </w:r>
      <w:r>
        <w:rPr>
          <w:b/>
          <w:sz w:val="22"/>
        </w:rPr>
        <w:t>a</w:t>
      </w:r>
      <w:r>
        <w:rPr>
          <w:b/>
          <w:spacing w:val="-16"/>
          <w:sz w:val="22"/>
        </w:rPr>
        <w:t> </w:t>
      </w:r>
      <w:r>
        <w:rPr>
          <w:b/>
          <w:sz w:val="22"/>
        </w:rPr>
        <w:t>los</w:t>
      </w:r>
      <w:r>
        <w:rPr>
          <w:b/>
          <w:spacing w:val="-15"/>
          <w:sz w:val="22"/>
        </w:rPr>
        <w:t> </w:t>
      </w:r>
      <w:r>
        <w:rPr>
          <w:b/>
          <w:sz w:val="22"/>
        </w:rPr>
        <w:t>Adjudicados</w:t>
      </w:r>
      <w:r>
        <w:rPr>
          <w:b/>
          <w:spacing w:val="-12"/>
          <w:sz w:val="22"/>
        </w:rPr>
        <w:t> </w:t>
      </w:r>
      <w:r>
        <w:rPr>
          <w:b/>
          <w:sz w:val="22"/>
        </w:rPr>
        <w:t>de</w:t>
      </w:r>
      <w:r>
        <w:rPr>
          <w:b/>
          <w:spacing w:val="-12"/>
          <w:sz w:val="22"/>
        </w:rPr>
        <w:t> </w:t>
      </w:r>
      <w:r>
        <w:rPr>
          <w:b/>
          <w:sz w:val="22"/>
        </w:rPr>
        <w:t>proyectos</w:t>
      </w:r>
      <w:r>
        <w:rPr>
          <w:b/>
          <w:spacing w:val="-16"/>
          <w:sz w:val="22"/>
        </w:rPr>
        <w:t> </w:t>
      </w:r>
      <w:r>
        <w:rPr>
          <w:b/>
          <w:sz w:val="22"/>
        </w:rPr>
        <w:t>de</w:t>
      </w:r>
      <w:r>
        <w:rPr>
          <w:b/>
          <w:spacing w:val="-15"/>
          <w:sz w:val="22"/>
        </w:rPr>
        <w:t> </w:t>
      </w:r>
      <w:r>
        <w:rPr>
          <w:b/>
          <w:sz w:val="22"/>
        </w:rPr>
        <w:t>vivienda del IMAS, Decreto N º 29531</w:t>
      </w:r>
      <w:r>
        <w:rPr>
          <w:sz w:val="22"/>
        </w:rPr>
        <w:t>, fecha de vigencia 10/08/2001, Regula la titulación de los lotes y viviendas adjudicadas por el Instituto Mixto de Ayuda Social, a los beneficiarios de sus</w:t>
      </w:r>
      <w:r>
        <w:rPr>
          <w:spacing w:val="-7"/>
          <w:sz w:val="22"/>
        </w:rPr>
        <w:t> </w:t>
      </w:r>
      <w:r>
        <w:rPr>
          <w:sz w:val="22"/>
        </w:rPr>
        <w:t>proyectos</w:t>
      </w:r>
      <w:r>
        <w:rPr>
          <w:spacing w:val="-11"/>
          <w:sz w:val="22"/>
        </w:rPr>
        <w:t> </w:t>
      </w:r>
      <w:r>
        <w:rPr>
          <w:sz w:val="22"/>
        </w:rPr>
        <w:t>de</w:t>
      </w:r>
      <w:r>
        <w:rPr>
          <w:spacing w:val="-9"/>
          <w:sz w:val="22"/>
        </w:rPr>
        <w:t> </w:t>
      </w:r>
      <w:r>
        <w:rPr>
          <w:sz w:val="22"/>
        </w:rPr>
        <w:t>vivienda,</w:t>
      </w:r>
      <w:r>
        <w:rPr>
          <w:spacing w:val="-6"/>
          <w:sz w:val="22"/>
        </w:rPr>
        <w:t> </w:t>
      </w:r>
      <w:r>
        <w:rPr>
          <w:sz w:val="22"/>
        </w:rPr>
        <w:t>Establece</w:t>
      </w:r>
      <w:r>
        <w:rPr>
          <w:spacing w:val="-5"/>
          <w:sz w:val="22"/>
        </w:rPr>
        <w:t> </w:t>
      </w:r>
      <w:r>
        <w:rPr>
          <w:sz w:val="22"/>
        </w:rPr>
        <w:t>parámetros</w:t>
      </w:r>
      <w:r>
        <w:rPr>
          <w:spacing w:val="-11"/>
          <w:sz w:val="22"/>
        </w:rPr>
        <w:t> </w:t>
      </w:r>
      <w:r>
        <w:rPr>
          <w:sz w:val="22"/>
        </w:rPr>
        <w:t>y</w:t>
      </w:r>
      <w:r>
        <w:rPr>
          <w:spacing w:val="-7"/>
          <w:sz w:val="22"/>
        </w:rPr>
        <w:t> </w:t>
      </w:r>
      <w:r>
        <w:rPr>
          <w:sz w:val="22"/>
        </w:rPr>
        <w:t>requisitos</w:t>
      </w:r>
      <w:r>
        <w:rPr>
          <w:spacing w:val="-11"/>
          <w:sz w:val="22"/>
        </w:rPr>
        <w:t> </w:t>
      </w:r>
      <w:r>
        <w:rPr>
          <w:sz w:val="22"/>
        </w:rPr>
        <w:t>necesarios</w:t>
      </w:r>
      <w:r>
        <w:rPr>
          <w:spacing w:val="-7"/>
          <w:sz w:val="22"/>
        </w:rPr>
        <w:t> </w:t>
      </w:r>
      <w:r>
        <w:rPr>
          <w:sz w:val="22"/>
        </w:rPr>
        <w:t>para</w:t>
      </w:r>
      <w:r>
        <w:rPr>
          <w:spacing w:val="-9"/>
          <w:sz w:val="22"/>
        </w:rPr>
        <w:t> </w:t>
      </w:r>
      <w:r>
        <w:rPr>
          <w:sz w:val="22"/>
        </w:rPr>
        <w:t>titular</w:t>
      </w:r>
      <w:r>
        <w:rPr>
          <w:spacing w:val="-8"/>
          <w:sz w:val="22"/>
        </w:rPr>
        <w:t> </w:t>
      </w:r>
      <w:r>
        <w:rPr>
          <w:sz w:val="22"/>
        </w:rPr>
        <w:t>lotes</w:t>
      </w:r>
      <w:r>
        <w:rPr>
          <w:spacing w:val="-7"/>
          <w:sz w:val="22"/>
        </w:rPr>
        <w:t> </w:t>
      </w:r>
      <w:r>
        <w:rPr>
          <w:sz w:val="22"/>
        </w:rPr>
        <w:t>y viviendas del IMAS y sus reformas. Fecha de vigencia 17/02/2022</w:t>
      </w:r>
    </w:p>
    <w:p>
      <w:pPr>
        <w:pStyle w:val="BodyText"/>
        <w:spacing w:before="1"/>
      </w:pPr>
    </w:p>
    <w:p>
      <w:pPr>
        <w:spacing w:line="240" w:lineRule="auto" w:before="0"/>
        <w:ind w:left="979" w:right="1337" w:firstLine="0"/>
        <w:jc w:val="both"/>
        <w:rPr>
          <w:sz w:val="22"/>
        </w:rPr>
      </w:pPr>
      <w:r>
        <w:rPr>
          <w:b/>
          <w:sz w:val="22"/>
        </w:rPr>
        <w:t>Reglamento para la Prevención, Atención y sanción del hostigamiento sexual en el Instituto Mixto de Ayuda. Acuerdo CD N°05-01-2022</w:t>
      </w:r>
      <w:r>
        <w:rPr>
          <w:sz w:val="22"/>
        </w:rPr>
        <w:t>. Establecer los procedimientos especiales</w:t>
      </w:r>
      <w:r>
        <w:rPr>
          <w:spacing w:val="-7"/>
          <w:sz w:val="22"/>
        </w:rPr>
        <w:t> </w:t>
      </w:r>
      <w:r>
        <w:rPr>
          <w:sz w:val="22"/>
        </w:rPr>
        <w:t>que</w:t>
      </w:r>
      <w:r>
        <w:rPr>
          <w:spacing w:val="-5"/>
          <w:sz w:val="22"/>
        </w:rPr>
        <w:t> </w:t>
      </w:r>
      <w:r>
        <w:rPr>
          <w:sz w:val="22"/>
        </w:rPr>
        <w:t>utilizará</w:t>
      </w:r>
      <w:r>
        <w:rPr>
          <w:spacing w:val="-5"/>
          <w:sz w:val="22"/>
        </w:rPr>
        <w:t> </w:t>
      </w:r>
      <w:r>
        <w:rPr>
          <w:sz w:val="22"/>
        </w:rPr>
        <w:t>el</w:t>
      </w:r>
      <w:r>
        <w:rPr>
          <w:spacing w:val="-3"/>
          <w:sz w:val="22"/>
        </w:rPr>
        <w:t> </w:t>
      </w:r>
      <w:r>
        <w:rPr>
          <w:sz w:val="22"/>
        </w:rPr>
        <w:t>Instituto</w:t>
      </w:r>
      <w:r>
        <w:rPr>
          <w:spacing w:val="-5"/>
          <w:sz w:val="22"/>
        </w:rPr>
        <w:t> </w:t>
      </w:r>
      <w:r>
        <w:rPr>
          <w:sz w:val="22"/>
        </w:rPr>
        <w:t>Mixto</w:t>
      </w:r>
      <w:r>
        <w:rPr>
          <w:spacing w:val="-5"/>
          <w:sz w:val="22"/>
        </w:rPr>
        <w:t> </w:t>
      </w:r>
      <w:r>
        <w:rPr>
          <w:sz w:val="22"/>
        </w:rPr>
        <w:t>de</w:t>
      </w:r>
      <w:r>
        <w:rPr>
          <w:spacing w:val="-5"/>
          <w:sz w:val="22"/>
        </w:rPr>
        <w:t> </w:t>
      </w:r>
      <w:r>
        <w:rPr>
          <w:sz w:val="22"/>
        </w:rPr>
        <w:t>Ayuda</w:t>
      </w:r>
      <w:r>
        <w:rPr>
          <w:spacing w:val="-1"/>
          <w:sz w:val="22"/>
        </w:rPr>
        <w:t> </w:t>
      </w:r>
      <w:r>
        <w:rPr>
          <w:sz w:val="22"/>
        </w:rPr>
        <w:t>Social</w:t>
      </w:r>
      <w:r>
        <w:rPr>
          <w:spacing w:val="-8"/>
          <w:sz w:val="22"/>
        </w:rPr>
        <w:t> </w:t>
      </w:r>
      <w:r>
        <w:rPr>
          <w:sz w:val="22"/>
        </w:rPr>
        <w:t>para</w:t>
      </w:r>
      <w:r>
        <w:rPr>
          <w:spacing w:val="-1"/>
          <w:sz w:val="22"/>
        </w:rPr>
        <w:t> </w:t>
      </w:r>
      <w:r>
        <w:rPr>
          <w:sz w:val="22"/>
        </w:rPr>
        <w:t>prevenir,</w:t>
      </w:r>
      <w:r>
        <w:rPr>
          <w:spacing w:val="-1"/>
          <w:sz w:val="22"/>
        </w:rPr>
        <w:t> </w:t>
      </w:r>
      <w:r>
        <w:rPr>
          <w:sz w:val="22"/>
        </w:rPr>
        <w:t>investigar,</w:t>
      </w:r>
      <w:r>
        <w:rPr>
          <w:spacing w:val="-1"/>
          <w:sz w:val="22"/>
        </w:rPr>
        <w:t> </w:t>
      </w:r>
      <w:r>
        <w:rPr>
          <w:sz w:val="22"/>
        </w:rPr>
        <w:t>reparar y sancionar las conductas que supongan hostigamiento sexual respecto a todas las actividades que abarque el quehacer institucional con el fin de proteger la dignidad de las mujeres y de los hombres en sus relaciones interpersonales y profesionales. Fecha de vigencia 01/03/2022.</w:t>
      </w:r>
    </w:p>
    <w:p>
      <w:pPr>
        <w:pStyle w:val="BodyText"/>
        <w:spacing w:before="2"/>
      </w:pPr>
    </w:p>
    <w:p>
      <w:pPr>
        <w:spacing w:line="240" w:lineRule="auto" w:before="1"/>
        <w:ind w:left="979" w:right="1343" w:firstLine="0"/>
        <w:jc w:val="both"/>
        <w:rPr>
          <w:sz w:val="22"/>
        </w:rPr>
      </w:pPr>
      <w:r>
        <w:rPr>
          <w:b/>
          <w:sz w:val="22"/>
        </w:rPr>
        <w:t>Reglamento para las Inversiones transitorias realizadas por el Instituto Mixto de Ayuda</w:t>
      </w:r>
      <w:r>
        <w:rPr>
          <w:b/>
          <w:spacing w:val="-6"/>
          <w:sz w:val="22"/>
        </w:rPr>
        <w:t> </w:t>
      </w:r>
      <w:r>
        <w:rPr>
          <w:b/>
          <w:sz w:val="22"/>
        </w:rPr>
        <w:t>Social.</w:t>
      </w:r>
      <w:r>
        <w:rPr>
          <w:b/>
          <w:spacing w:val="-7"/>
          <w:sz w:val="22"/>
        </w:rPr>
        <w:t> </w:t>
      </w:r>
      <w:r>
        <w:rPr>
          <w:b/>
          <w:sz w:val="22"/>
        </w:rPr>
        <w:t>Acuerdo</w:t>
      </w:r>
      <w:r>
        <w:rPr>
          <w:b/>
          <w:spacing w:val="-8"/>
          <w:sz w:val="22"/>
        </w:rPr>
        <w:t> </w:t>
      </w:r>
      <w:r>
        <w:rPr>
          <w:b/>
          <w:sz w:val="22"/>
        </w:rPr>
        <w:t>CD</w:t>
      </w:r>
      <w:r>
        <w:rPr>
          <w:b/>
          <w:spacing w:val="-9"/>
          <w:sz w:val="22"/>
        </w:rPr>
        <w:t> </w:t>
      </w:r>
      <w:r>
        <w:rPr>
          <w:b/>
          <w:sz w:val="22"/>
        </w:rPr>
        <w:t>N°109-04-2022.</w:t>
      </w:r>
      <w:r>
        <w:rPr>
          <w:b/>
          <w:spacing w:val="-11"/>
          <w:sz w:val="22"/>
        </w:rPr>
        <w:t> </w:t>
      </w:r>
      <w:r>
        <w:rPr>
          <w:sz w:val="22"/>
        </w:rPr>
        <w:t>Regula</w:t>
      </w:r>
      <w:r>
        <w:rPr>
          <w:spacing w:val="-11"/>
          <w:sz w:val="22"/>
        </w:rPr>
        <w:t> </w:t>
      </w:r>
      <w:r>
        <w:rPr>
          <w:sz w:val="22"/>
        </w:rPr>
        <w:t>el</w:t>
      </w:r>
      <w:r>
        <w:rPr>
          <w:spacing w:val="-9"/>
          <w:sz w:val="22"/>
        </w:rPr>
        <w:t> </w:t>
      </w:r>
      <w:r>
        <w:rPr>
          <w:sz w:val="22"/>
        </w:rPr>
        <w:t>procedimiento</w:t>
      </w:r>
      <w:r>
        <w:rPr>
          <w:spacing w:val="-11"/>
          <w:sz w:val="22"/>
        </w:rPr>
        <w:t> </w:t>
      </w:r>
      <w:r>
        <w:rPr>
          <w:sz w:val="22"/>
        </w:rPr>
        <w:t>en</w:t>
      </w:r>
      <w:r>
        <w:rPr>
          <w:spacing w:val="-11"/>
          <w:sz w:val="22"/>
        </w:rPr>
        <w:t> </w:t>
      </w:r>
      <w:r>
        <w:rPr>
          <w:sz w:val="22"/>
        </w:rPr>
        <w:t>busca</w:t>
      </w:r>
      <w:r>
        <w:rPr>
          <w:spacing w:val="-11"/>
          <w:sz w:val="22"/>
        </w:rPr>
        <w:t> </w:t>
      </w:r>
      <w:r>
        <w:rPr>
          <w:sz w:val="22"/>
        </w:rPr>
        <w:t>de</w:t>
      </w:r>
      <w:r>
        <w:rPr>
          <w:spacing w:val="-6"/>
          <w:sz w:val="22"/>
        </w:rPr>
        <w:t> </w:t>
      </w:r>
      <w:r>
        <w:rPr>
          <w:sz w:val="22"/>
        </w:rPr>
        <w:t>obtener rentabilidad de los recursos financieros disponibles, en función del interés Institucional sin comprometer la liquidez requerida para atender en forma normal las obligaciones del Instituto Mixto de Ayuda Social (IMAS), bajo los principios de seguridad, rentabilidad, confiabilidad, fiscalización y control. Fecha de vigencia 05/05/2022.</w:t>
      </w:r>
    </w:p>
    <w:p>
      <w:pPr>
        <w:pStyle w:val="BodyText"/>
      </w:pPr>
    </w:p>
    <w:p>
      <w:pPr>
        <w:spacing w:line="240" w:lineRule="auto" w:before="0"/>
        <w:ind w:left="979" w:right="1336" w:firstLine="0"/>
        <w:jc w:val="both"/>
        <w:rPr>
          <w:sz w:val="22"/>
        </w:rPr>
      </w:pPr>
      <w:r>
        <w:rPr>
          <w:b/>
          <w:sz w:val="22"/>
        </w:rPr>
        <w:t>Reglamento para la organización y funcionamiento de los Comités Regionales, Municipales,</w:t>
      </w:r>
      <w:r>
        <w:rPr>
          <w:b/>
          <w:spacing w:val="31"/>
          <w:sz w:val="22"/>
        </w:rPr>
        <w:t> </w:t>
      </w:r>
      <w:r>
        <w:rPr>
          <w:b/>
          <w:sz w:val="22"/>
        </w:rPr>
        <w:t>Distritales</w:t>
      </w:r>
      <w:r>
        <w:rPr>
          <w:b/>
          <w:spacing w:val="32"/>
          <w:sz w:val="22"/>
        </w:rPr>
        <w:t> </w:t>
      </w:r>
      <w:r>
        <w:rPr>
          <w:b/>
          <w:sz w:val="22"/>
        </w:rPr>
        <w:t>y</w:t>
      </w:r>
      <w:r>
        <w:rPr>
          <w:b/>
          <w:spacing w:val="32"/>
          <w:sz w:val="22"/>
        </w:rPr>
        <w:t> </w:t>
      </w:r>
      <w:r>
        <w:rPr>
          <w:b/>
          <w:sz w:val="22"/>
        </w:rPr>
        <w:t>Comunales</w:t>
      </w:r>
      <w:r>
        <w:rPr>
          <w:b/>
          <w:spacing w:val="32"/>
          <w:sz w:val="22"/>
        </w:rPr>
        <w:t> </w:t>
      </w:r>
      <w:r>
        <w:rPr>
          <w:b/>
          <w:sz w:val="22"/>
        </w:rPr>
        <w:t>de</w:t>
      </w:r>
      <w:r>
        <w:rPr>
          <w:b/>
          <w:spacing w:val="27"/>
          <w:sz w:val="22"/>
        </w:rPr>
        <w:t> </w:t>
      </w:r>
      <w:r>
        <w:rPr>
          <w:b/>
          <w:sz w:val="22"/>
        </w:rPr>
        <w:t>Emergencias.</w:t>
      </w:r>
      <w:r>
        <w:rPr>
          <w:b/>
          <w:spacing w:val="38"/>
          <w:sz w:val="22"/>
        </w:rPr>
        <w:t> </w:t>
      </w:r>
      <w:r>
        <w:rPr>
          <w:sz w:val="22"/>
        </w:rPr>
        <w:t>Acuerdo N°</w:t>
      </w:r>
      <w:r>
        <w:rPr>
          <w:spacing w:val="28"/>
          <w:sz w:val="22"/>
        </w:rPr>
        <w:t> </w:t>
      </w:r>
      <w:r>
        <w:rPr>
          <w:sz w:val="22"/>
        </w:rPr>
        <w:t>070-04-2022,</w:t>
      </w:r>
      <w:r>
        <w:rPr>
          <w:spacing w:val="31"/>
          <w:sz w:val="22"/>
        </w:rPr>
        <w:t> </w:t>
      </w:r>
      <w:r>
        <w:rPr>
          <w:sz w:val="22"/>
        </w:rPr>
        <w:t>de la Sesión</w:t>
      </w:r>
      <w:r>
        <w:rPr>
          <w:spacing w:val="-4"/>
          <w:sz w:val="22"/>
        </w:rPr>
        <w:t> </w:t>
      </w:r>
      <w:r>
        <w:rPr>
          <w:sz w:val="22"/>
        </w:rPr>
        <w:t>Ordinaria</w:t>
      </w:r>
      <w:r>
        <w:rPr>
          <w:spacing w:val="-4"/>
          <w:sz w:val="22"/>
        </w:rPr>
        <w:t> </w:t>
      </w:r>
      <w:r>
        <w:rPr>
          <w:sz w:val="22"/>
        </w:rPr>
        <w:t>Nº 06-04-2022 del 06 de abril</w:t>
      </w:r>
      <w:r>
        <w:rPr>
          <w:spacing w:val="-2"/>
          <w:sz w:val="22"/>
        </w:rPr>
        <w:t> </w:t>
      </w:r>
      <w:r>
        <w:rPr>
          <w:sz w:val="22"/>
        </w:rPr>
        <w:t>de 2022 </w:t>
      </w:r>
      <w:r>
        <w:rPr>
          <w:b/>
          <w:sz w:val="22"/>
        </w:rPr>
        <w:t>Presidencia de la República. </w:t>
      </w:r>
      <w:r>
        <w:rPr>
          <w:sz w:val="22"/>
        </w:rPr>
        <w:t>Regula el funcionamiento de los comités de emergencia en los niveles regional, cantonal, distrital y comunal en todo el territorio nacional, según lo establecido en el inciso c) del artículo 10 de la Ley Nacional de Emergencias y Prevención de Riesgo y su Reglamento. Fecha de vigencia 10/05/2022.</w:t>
      </w:r>
    </w:p>
    <w:p>
      <w:pPr>
        <w:spacing w:line="240" w:lineRule="auto" w:before="251"/>
        <w:ind w:left="979" w:right="1338" w:firstLine="0"/>
        <w:jc w:val="both"/>
        <w:rPr>
          <w:sz w:val="22"/>
        </w:rPr>
      </w:pPr>
      <w:r>
        <w:rPr>
          <w:b/>
          <w:sz w:val="22"/>
        </w:rPr>
        <w:t>Reglamento para la Adquisición y Administración de Dispositivos y Servicios Individuales de Comunicación de voz e internet, para la atención y gestión del Instituto Mixto de Ayuda Social. Acuerdo N°113-04-2022</w:t>
      </w:r>
      <w:r>
        <w:rPr>
          <w:sz w:val="22"/>
        </w:rPr>
        <w:t>. Establecer las disposiciones para la adquisición, uso y</w:t>
      </w:r>
      <w:r>
        <w:rPr>
          <w:spacing w:val="-2"/>
          <w:sz w:val="22"/>
        </w:rPr>
        <w:t> </w:t>
      </w:r>
      <w:r>
        <w:rPr>
          <w:sz w:val="22"/>
        </w:rPr>
        <w:t>administración de medios</w:t>
      </w:r>
      <w:r>
        <w:rPr>
          <w:spacing w:val="-1"/>
          <w:sz w:val="22"/>
        </w:rPr>
        <w:t> </w:t>
      </w:r>
      <w:r>
        <w:rPr>
          <w:sz w:val="22"/>
        </w:rPr>
        <w:t>de comunicación de voz, de internet y dispositivos</w:t>
      </w:r>
      <w:r>
        <w:rPr>
          <w:spacing w:val="-11"/>
          <w:sz w:val="22"/>
        </w:rPr>
        <w:t> </w:t>
      </w:r>
      <w:r>
        <w:rPr>
          <w:sz w:val="22"/>
        </w:rPr>
        <w:t>asociados,</w:t>
      </w:r>
      <w:r>
        <w:rPr>
          <w:spacing w:val="-10"/>
          <w:sz w:val="22"/>
        </w:rPr>
        <w:t> </w:t>
      </w:r>
      <w:r>
        <w:rPr>
          <w:sz w:val="22"/>
        </w:rPr>
        <w:t>del</w:t>
      </w:r>
      <w:r>
        <w:rPr>
          <w:spacing w:val="-7"/>
          <w:sz w:val="22"/>
        </w:rPr>
        <w:t> </w:t>
      </w:r>
      <w:r>
        <w:rPr>
          <w:sz w:val="22"/>
        </w:rPr>
        <w:t>Instituto</w:t>
      </w:r>
      <w:r>
        <w:rPr>
          <w:spacing w:val="-4"/>
          <w:sz w:val="22"/>
        </w:rPr>
        <w:t> </w:t>
      </w:r>
      <w:r>
        <w:rPr>
          <w:sz w:val="22"/>
        </w:rPr>
        <w:t>Mixto</w:t>
      </w:r>
      <w:r>
        <w:rPr>
          <w:spacing w:val="-9"/>
          <w:sz w:val="22"/>
        </w:rPr>
        <w:t> </w:t>
      </w:r>
      <w:r>
        <w:rPr>
          <w:sz w:val="22"/>
        </w:rPr>
        <w:t>de</w:t>
      </w:r>
      <w:r>
        <w:rPr>
          <w:spacing w:val="-9"/>
          <w:sz w:val="22"/>
        </w:rPr>
        <w:t> </w:t>
      </w:r>
      <w:r>
        <w:rPr>
          <w:sz w:val="22"/>
        </w:rPr>
        <w:t>Ayuda</w:t>
      </w:r>
      <w:r>
        <w:rPr>
          <w:spacing w:val="-4"/>
          <w:sz w:val="22"/>
        </w:rPr>
        <w:t> </w:t>
      </w:r>
      <w:r>
        <w:rPr>
          <w:sz w:val="22"/>
        </w:rPr>
        <w:t>Social</w:t>
      </w:r>
      <w:r>
        <w:rPr>
          <w:spacing w:val="-7"/>
          <w:sz w:val="22"/>
        </w:rPr>
        <w:t> </w:t>
      </w:r>
      <w:r>
        <w:rPr>
          <w:sz w:val="22"/>
        </w:rPr>
        <w:t>y</w:t>
      </w:r>
      <w:r>
        <w:rPr>
          <w:spacing w:val="-11"/>
          <w:sz w:val="22"/>
        </w:rPr>
        <w:t> </w:t>
      </w:r>
      <w:r>
        <w:rPr>
          <w:sz w:val="22"/>
        </w:rPr>
        <w:t>el</w:t>
      </w:r>
      <w:r>
        <w:rPr>
          <w:spacing w:val="-7"/>
          <w:sz w:val="22"/>
        </w:rPr>
        <w:t> </w:t>
      </w:r>
      <w:r>
        <w:rPr>
          <w:sz w:val="22"/>
        </w:rPr>
        <w:t>reconocimiento</w:t>
      </w:r>
      <w:r>
        <w:rPr>
          <w:spacing w:val="-4"/>
          <w:sz w:val="22"/>
        </w:rPr>
        <w:t> </w:t>
      </w:r>
      <w:r>
        <w:rPr>
          <w:sz w:val="22"/>
        </w:rPr>
        <w:t>del</w:t>
      </w:r>
      <w:r>
        <w:rPr>
          <w:spacing w:val="-7"/>
          <w:sz w:val="22"/>
        </w:rPr>
        <w:t> </w:t>
      </w:r>
      <w:r>
        <w:rPr>
          <w:sz w:val="22"/>
        </w:rPr>
        <w:t>gasto</w:t>
      </w:r>
      <w:r>
        <w:rPr>
          <w:spacing w:val="-4"/>
          <w:sz w:val="22"/>
        </w:rPr>
        <w:t> </w:t>
      </w:r>
      <w:r>
        <w:rPr>
          <w:sz w:val="22"/>
        </w:rPr>
        <w:t>en medios de comunicación de voz propiedad de las personas funcionarias autorizadas, acordes con el ordenamiento jurídico y el fin público que persigue la Institución, sobre el uso racional y adecuado de los bienes y fondos públicos asociados. Fecha de vigencia </w:t>
      </w:r>
      <w:r>
        <w:rPr>
          <w:spacing w:val="-2"/>
          <w:sz w:val="22"/>
        </w:rPr>
        <w:t>16/05/2022.</w:t>
      </w:r>
    </w:p>
    <w:p>
      <w:pPr>
        <w:spacing w:after="0" w:line="240" w:lineRule="auto"/>
        <w:jc w:val="both"/>
        <w:rPr>
          <w:sz w:val="22"/>
        </w:rPr>
        <w:sectPr>
          <w:pgSz w:w="12240" w:h="15840"/>
          <w:pgMar w:header="0" w:footer="1021" w:top="1340" w:bottom="1220" w:left="720" w:right="360"/>
        </w:sectPr>
      </w:pPr>
    </w:p>
    <w:p>
      <w:pPr>
        <w:spacing w:line="240" w:lineRule="auto" w:before="76"/>
        <w:ind w:left="979" w:right="1347" w:firstLine="0"/>
        <w:jc w:val="both"/>
        <w:rPr>
          <w:sz w:val="22"/>
        </w:rPr>
      </w:pPr>
      <w:r>
        <w:rPr>
          <w:b/>
          <w:sz w:val="22"/>
        </w:rPr>
        <w:t>Reglamento para la Gestión Administrativa y</w:t>
      </w:r>
      <w:r>
        <w:rPr>
          <w:b/>
          <w:spacing w:val="-1"/>
          <w:sz w:val="22"/>
        </w:rPr>
        <w:t> </w:t>
      </w:r>
      <w:r>
        <w:rPr>
          <w:b/>
          <w:sz w:val="22"/>
        </w:rPr>
        <w:t>Judicial de las Cuentas por Cobrar del IMAS.</w:t>
      </w:r>
      <w:r>
        <w:rPr>
          <w:b/>
          <w:spacing w:val="-7"/>
          <w:sz w:val="22"/>
        </w:rPr>
        <w:t> </w:t>
      </w:r>
      <w:r>
        <w:rPr>
          <w:b/>
          <w:sz w:val="22"/>
        </w:rPr>
        <w:t>Acuerdo</w:t>
      </w:r>
      <w:r>
        <w:rPr>
          <w:b/>
          <w:spacing w:val="-8"/>
          <w:sz w:val="22"/>
        </w:rPr>
        <w:t> </w:t>
      </w:r>
      <w:r>
        <w:rPr>
          <w:b/>
          <w:sz w:val="22"/>
        </w:rPr>
        <w:t>CD</w:t>
      </w:r>
      <w:r>
        <w:rPr>
          <w:b/>
          <w:spacing w:val="-14"/>
          <w:sz w:val="22"/>
        </w:rPr>
        <w:t> </w:t>
      </w:r>
      <w:r>
        <w:rPr>
          <w:b/>
          <w:sz w:val="22"/>
        </w:rPr>
        <w:t>N°196-07-2022</w:t>
      </w:r>
      <w:r>
        <w:rPr>
          <w:sz w:val="22"/>
        </w:rPr>
        <w:t>.</w:t>
      </w:r>
      <w:r>
        <w:rPr>
          <w:spacing w:val="-12"/>
          <w:sz w:val="22"/>
        </w:rPr>
        <w:t> </w:t>
      </w:r>
      <w:r>
        <w:rPr>
          <w:sz w:val="22"/>
        </w:rPr>
        <w:t>Regula</w:t>
      </w:r>
      <w:r>
        <w:rPr>
          <w:spacing w:val="-6"/>
          <w:sz w:val="22"/>
        </w:rPr>
        <w:t> </w:t>
      </w:r>
      <w:r>
        <w:rPr>
          <w:sz w:val="22"/>
        </w:rPr>
        <w:t>la</w:t>
      </w:r>
      <w:r>
        <w:rPr>
          <w:spacing w:val="-11"/>
          <w:sz w:val="22"/>
        </w:rPr>
        <w:t> </w:t>
      </w:r>
      <w:r>
        <w:rPr>
          <w:sz w:val="22"/>
        </w:rPr>
        <w:t>gestión</w:t>
      </w:r>
      <w:r>
        <w:rPr>
          <w:spacing w:val="-11"/>
          <w:sz w:val="22"/>
        </w:rPr>
        <w:t> </w:t>
      </w:r>
      <w:r>
        <w:rPr>
          <w:sz w:val="22"/>
        </w:rPr>
        <w:t>de</w:t>
      </w:r>
      <w:r>
        <w:rPr>
          <w:spacing w:val="-6"/>
          <w:sz w:val="22"/>
        </w:rPr>
        <w:t> </w:t>
      </w:r>
      <w:r>
        <w:rPr>
          <w:sz w:val="22"/>
        </w:rPr>
        <w:t>cobro</w:t>
      </w:r>
      <w:r>
        <w:rPr>
          <w:spacing w:val="-11"/>
          <w:sz w:val="22"/>
        </w:rPr>
        <w:t> </w:t>
      </w:r>
      <w:r>
        <w:rPr>
          <w:sz w:val="22"/>
        </w:rPr>
        <w:t>en</w:t>
      </w:r>
      <w:r>
        <w:rPr>
          <w:spacing w:val="-6"/>
          <w:sz w:val="22"/>
        </w:rPr>
        <w:t> </w:t>
      </w:r>
      <w:r>
        <w:rPr>
          <w:sz w:val="22"/>
        </w:rPr>
        <w:t>instancia</w:t>
      </w:r>
      <w:r>
        <w:rPr>
          <w:spacing w:val="-11"/>
          <w:sz w:val="22"/>
        </w:rPr>
        <w:t> </w:t>
      </w:r>
      <w:r>
        <w:rPr>
          <w:sz w:val="22"/>
        </w:rPr>
        <w:t>administrativa y judicial, así como la declaratoria de incobrabilidad de las cuentas</w:t>
      </w:r>
      <w:r>
        <w:rPr>
          <w:spacing w:val="-1"/>
          <w:sz w:val="22"/>
        </w:rPr>
        <w:t> </w:t>
      </w:r>
      <w:r>
        <w:rPr>
          <w:sz w:val="22"/>
        </w:rPr>
        <w:t>por cobrar</w:t>
      </w:r>
      <w:r>
        <w:rPr>
          <w:spacing w:val="-3"/>
          <w:sz w:val="22"/>
        </w:rPr>
        <w:t> </w:t>
      </w:r>
      <w:r>
        <w:rPr>
          <w:sz w:val="22"/>
        </w:rPr>
        <w:t>del Instituto Mixto de Ayuda Social. Fecha de vigencia 28/07/2022.</w:t>
      </w:r>
    </w:p>
    <w:p>
      <w:pPr>
        <w:pStyle w:val="BodyText"/>
        <w:spacing w:before="251"/>
        <w:ind w:left="979" w:right="1333"/>
        <w:jc w:val="both"/>
      </w:pPr>
      <w:r>
        <w:rPr>
          <w:b/>
        </w:rPr>
        <w:t>Reglamento para la</w:t>
      </w:r>
      <w:r>
        <w:rPr>
          <w:b/>
          <w:spacing w:val="-2"/>
        </w:rPr>
        <w:t> </w:t>
      </w:r>
      <w:r>
        <w:rPr>
          <w:b/>
        </w:rPr>
        <w:t>administración</w:t>
      </w:r>
      <w:r>
        <w:rPr>
          <w:b/>
          <w:spacing w:val="-1"/>
        </w:rPr>
        <w:t> </w:t>
      </w:r>
      <w:r>
        <w:rPr>
          <w:b/>
        </w:rPr>
        <w:t>y</w:t>
      </w:r>
      <w:r>
        <w:rPr>
          <w:b/>
          <w:spacing w:val="-2"/>
        </w:rPr>
        <w:t> </w:t>
      </w:r>
      <w:r>
        <w:rPr>
          <w:b/>
        </w:rPr>
        <w:t>uso</w:t>
      </w:r>
      <w:r>
        <w:rPr>
          <w:b/>
          <w:spacing w:val="-4"/>
        </w:rPr>
        <w:t> </w:t>
      </w:r>
      <w:r>
        <w:rPr>
          <w:b/>
        </w:rPr>
        <w:t>de</w:t>
      </w:r>
      <w:r>
        <w:rPr>
          <w:b/>
          <w:spacing w:val="-2"/>
        </w:rPr>
        <w:t> </w:t>
      </w:r>
      <w:r>
        <w:rPr>
          <w:b/>
        </w:rPr>
        <w:t>los fondos</w:t>
      </w:r>
      <w:r>
        <w:rPr>
          <w:b/>
          <w:spacing w:val="-2"/>
        </w:rPr>
        <w:t> </w:t>
      </w:r>
      <w:r>
        <w:rPr>
          <w:b/>
        </w:rPr>
        <w:t>fijos</w:t>
      </w:r>
      <w:r>
        <w:rPr>
          <w:b/>
          <w:spacing w:val="-2"/>
        </w:rPr>
        <w:t> </w:t>
      </w:r>
      <w:r>
        <w:rPr>
          <w:b/>
        </w:rPr>
        <w:t>Institucionales v.2 ACD </w:t>
      </w:r>
      <w:r>
        <w:rPr/>
        <w:t>Nº 15-08-20234. Establecer las disposiciones para la administración y uso de los fondos fijos en el Instituto Mixto de Ayuda Social, órganos adscritos y Empresas Comerciales, acordes</w:t>
      </w:r>
      <w:r>
        <w:rPr>
          <w:spacing w:val="-11"/>
        </w:rPr>
        <w:t> </w:t>
      </w:r>
      <w:r>
        <w:rPr/>
        <w:t>con</w:t>
      </w:r>
      <w:r>
        <w:rPr>
          <w:spacing w:val="-9"/>
        </w:rPr>
        <w:t> </w:t>
      </w:r>
      <w:r>
        <w:rPr/>
        <w:t>el</w:t>
      </w:r>
      <w:r>
        <w:rPr>
          <w:spacing w:val="-12"/>
        </w:rPr>
        <w:t> </w:t>
      </w:r>
      <w:r>
        <w:rPr/>
        <w:t>ordenamiento</w:t>
      </w:r>
      <w:r>
        <w:rPr>
          <w:spacing w:val="-9"/>
        </w:rPr>
        <w:t> </w:t>
      </w:r>
      <w:r>
        <w:rPr/>
        <w:t>jurídico</w:t>
      </w:r>
      <w:r>
        <w:rPr>
          <w:spacing w:val="-9"/>
        </w:rPr>
        <w:t> </w:t>
      </w:r>
      <w:r>
        <w:rPr/>
        <w:t>y</w:t>
      </w:r>
      <w:r>
        <w:rPr>
          <w:spacing w:val="-11"/>
        </w:rPr>
        <w:t> </w:t>
      </w:r>
      <w:r>
        <w:rPr/>
        <w:t>el</w:t>
      </w:r>
      <w:r>
        <w:rPr>
          <w:spacing w:val="-12"/>
        </w:rPr>
        <w:t> </w:t>
      </w:r>
      <w:r>
        <w:rPr/>
        <w:t>fin</w:t>
      </w:r>
      <w:r>
        <w:rPr>
          <w:spacing w:val="-9"/>
        </w:rPr>
        <w:t> </w:t>
      </w:r>
      <w:r>
        <w:rPr/>
        <w:t>público</w:t>
      </w:r>
      <w:r>
        <w:rPr>
          <w:spacing w:val="-9"/>
        </w:rPr>
        <w:t> </w:t>
      </w:r>
      <w:r>
        <w:rPr/>
        <w:t>que</w:t>
      </w:r>
      <w:r>
        <w:rPr>
          <w:spacing w:val="-9"/>
        </w:rPr>
        <w:t> </w:t>
      </w:r>
      <w:r>
        <w:rPr/>
        <w:t>persigue</w:t>
      </w:r>
      <w:r>
        <w:rPr>
          <w:spacing w:val="-4"/>
        </w:rPr>
        <w:t> </w:t>
      </w:r>
      <w:r>
        <w:rPr/>
        <w:t>la</w:t>
      </w:r>
      <w:r>
        <w:rPr>
          <w:spacing w:val="-9"/>
        </w:rPr>
        <w:t> </w:t>
      </w:r>
      <w:r>
        <w:rPr/>
        <w:t>Institución</w:t>
      </w:r>
      <w:r>
        <w:rPr>
          <w:spacing w:val="-9"/>
        </w:rPr>
        <w:t> </w:t>
      </w:r>
      <w:r>
        <w:rPr/>
        <w:t>sobre</w:t>
      </w:r>
      <w:r>
        <w:rPr>
          <w:spacing w:val="-9"/>
        </w:rPr>
        <w:t> </w:t>
      </w:r>
      <w:r>
        <w:rPr/>
        <w:t>el</w:t>
      </w:r>
      <w:r>
        <w:rPr>
          <w:spacing w:val="-12"/>
        </w:rPr>
        <w:t> </w:t>
      </w:r>
      <w:r>
        <w:rPr/>
        <w:t>uso racional y adecuado de los fondos públicos, se hace el cambio de nomenclatura de las dependencias (conforme a la Directriz de la Gerencia General MAS-GG-1274-2023) así mismo se da cumplimiento al Informe AUD-005-2024 denominado “Informe de los resultados obtenidos en el Estudio sobre la Evaluación del funcionamiento del Fondo Fijo del Departamento de Empresas Comerciales. Fecha de vigencia 29/08/2024.</w:t>
      </w:r>
    </w:p>
    <w:p>
      <w:pPr>
        <w:pStyle w:val="BodyText"/>
      </w:pPr>
    </w:p>
    <w:p>
      <w:pPr>
        <w:spacing w:line="242" w:lineRule="auto" w:before="0"/>
        <w:ind w:left="979" w:right="1343" w:firstLine="0"/>
        <w:jc w:val="both"/>
        <w:rPr>
          <w:sz w:val="22"/>
        </w:rPr>
      </w:pPr>
      <w:r>
        <w:rPr>
          <w:b/>
          <w:sz w:val="22"/>
        </w:rPr>
        <w:t>Reglamento para la compra de mercancías para la venta en Empresas Comerciales del IMAS. Acuerdo CD 372-12-2022. </w:t>
      </w:r>
      <w:r>
        <w:rPr>
          <w:sz w:val="22"/>
        </w:rPr>
        <w:t>Regula la compra de mercancías para la venta en las Tiendas Libres de impuestos del Instituto Mixto de Ayuda Social. Fecha de vigencia </w:t>
      </w:r>
      <w:r>
        <w:rPr>
          <w:spacing w:val="-2"/>
          <w:sz w:val="22"/>
        </w:rPr>
        <w:t>17/03/2023.</w:t>
      </w:r>
    </w:p>
    <w:p>
      <w:pPr>
        <w:spacing w:line="240" w:lineRule="auto" w:before="246"/>
        <w:ind w:left="979" w:right="1333" w:firstLine="0"/>
        <w:jc w:val="left"/>
        <w:rPr>
          <w:sz w:val="22"/>
        </w:rPr>
      </w:pPr>
      <w:r>
        <w:rPr>
          <w:b/>
          <w:sz w:val="22"/>
        </w:rPr>
        <w:t>Reglamento</w:t>
      </w:r>
      <w:r>
        <w:rPr>
          <w:b/>
          <w:spacing w:val="-16"/>
          <w:sz w:val="22"/>
        </w:rPr>
        <w:t> </w:t>
      </w:r>
      <w:r>
        <w:rPr>
          <w:b/>
          <w:sz w:val="22"/>
        </w:rPr>
        <w:t>a</w:t>
      </w:r>
      <w:r>
        <w:rPr>
          <w:b/>
          <w:spacing w:val="-15"/>
          <w:sz w:val="22"/>
        </w:rPr>
        <w:t> </w:t>
      </w:r>
      <w:r>
        <w:rPr>
          <w:b/>
          <w:sz w:val="22"/>
        </w:rPr>
        <w:t>la</w:t>
      </w:r>
      <w:r>
        <w:rPr>
          <w:b/>
          <w:spacing w:val="-15"/>
          <w:sz w:val="22"/>
        </w:rPr>
        <w:t> </w:t>
      </w:r>
      <w:r>
        <w:rPr>
          <w:b/>
          <w:sz w:val="22"/>
        </w:rPr>
        <w:t>Ley</w:t>
      </w:r>
      <w:r>
        <w:rPr>
          <w:b/>
          <w:spacing w:val="-16"/>
          <w:sz w:val="22"/>
        </w:rPr>
        <w:t> </w:t>
      </w:r>
      <w:r>
        <w:rPr>
          <w:b/>
          <w:sz w:val="22"/>
        </w:rPr>
        <w:t>N°</w:t>
      </w:r>
      <w:r>
        <w:rPr>
          <w:b/>
          <w:spacing w:val="-16"/>
          <w:sz w:val="22"/>
        </w:rPr>
        <w:t> </w:t>
      </w:r>
      <w:r>
        <w:rPr>
          <w:b/>
          <w:sz w:val="22"/>
        </w:rPr>
        <w:t>8634,</w:t>
      </w:r>
      <w:r>
        <w:rPr>
          <w:b/>
          <w:spacing w:val="-15"/>
          <w:sz w:val="22"/>
        </w:rPr>
        <w:t> </w:t>
      </w:r>
      <w:r>
        <w:rPr>
          <w:b/>
          <w:sz w:val="22"/>
        </w:rPr>
        <w:t>Ley</w:t>
      </w:r>
      <w:r>
        <w:rPr>
          <w:b/>
          <w:spacing w:val="-17"/>
          <w:sz w:val="22"/>
        </w:rPr>
        <w:t> </w:t>
      </w:r>
      <w:r>
        <w:rPr>
          <w:b/>
          <w:sz w:val="22"/>
        </w:rPr>
        <w:t>Sistema</w:t>
      </w:r>
      <w:r>
        <w:rPr>
          <w:b/>
          <w:spacing w:val="-15"/>
          <w:sz w:val="22"/>
        </w:rPr>
        <w:t> </w:t>
      </w:r>
      <w:r>
        <w:rPr>
          <w:b/>
          <w:sz w:val="22"/>
        </w:rPr>
        <w:t>de</w:t>
      </w:r>
      <w:r>
        <w:rPr>
          <w:b/>
          <w:spacing w:val="-15"/>
          <w:sz w:val="22"/>
        </w:rPr>
        <w:t> </w:t>
      </w:r>
      <w:r>
        <w:rPr>
          <w:b/>
          <w:sz w:val="22"/>
        </w:rPr>
        <w:t>Banca</w:t>
      </w:r>
      <w:r>
        <w:rPr>
          <w:b/>
          <w:spacing w:val="-15"/>
          <w:sz w:val="22"/>
        </w:rPr>
        <w:t> </w:t>
      </w:r>
      <w:r>
        <w:rPr>
          <w:b/>
          <w:sz w:val="22"/>
        </w:rPr>
        <w:t>para</w:t>
      </w:r>
      <w:r>
        <w:rPr>
          <w:b/>
          <w:spacing w:val="-14"/>
          <w:sz w:val="22"/>
        </w:rPr>
        <w:t> </w:t>
      </w:r>
      <w:r>
        <w:rPr>
          <w:b/>
          <w:sz w:val="22"/>
        </w:rPr>
        <w:t>el</w:t>
      </w:r>
      <w:r>
        <w:rPr>
          <w:b/>
          <w:spacing w:val="-14"/>
          <w:sz w:val="22"/>
        </w:rPr>
        <w:t> </w:t>
      </w:r>
      <w:r>
        <w:rPr>
          <w:b/>
          <w:sz w:val="22"/>
        </w:rPr>
        <w:t>Desarrollo</w:t>
      </w:r>
      <w:r>
        <w:rPr>
          <w:b/>
          <w:spacing w:val="-16"/>
          <w:sz w:val="22"/>
        </w:rPr>
        <w:t> </w:t>
      </w:r>
      <w:r>
        <w:rPr>
          <w:b/>
          <w:sz w:val="22"/>
        </w:rPr>
        <w:t>Nº</w:t>
      </w:r>
      <w:r>
        <w:rPr>
          <w:b/>
          <w:spacing w:val="-15"/>
          <w:sz w:val="22"/>
        </w:rPr>
        <w:t> </w:t>
      </w:r>
      <w:r>
        <w:rPr>
          <w:b/>
          <w:sz w:val="22"/>
        </w:rPr>
        <w:t>43980-MEIC-MAG-</w:t>
      </w:r>
      <w:r>
        <w:rPr>
          <w:b/>
          <w:spacing w:val="-2"/>
          <w:sz w:val="22"/>
        </w:rPr>
        <w:t> </w:t>
      </w:r>
      <w:r>
        <w:rPr>
          <w:b/>
          <w:sz w:val="22"/>
        </w:rPr>
        <w:t>TUR</w:t>
      </w:r>
      <w:r>
        <w:rPr>
          <w:sz w:val="22"/>
        </w:rPr>
        <w:t>. Desarrollar</w:t>
      </w:r>
      <w:r>
        <w:rPr>
          <w:spacing w:val="-2"/>
          <w:sz w:val="22"/>
        </w:rPr>
        <w:t> </w:t>
      </w:r>
      <w:r>
        <w:rPr>
          <w:sz w:val="22"/>
        </w:rPr>
        <w:t>los principios</w:t>
      </w:r>
      <w:r>
        <w:rPr>
          <w:spacing w:val="-5"/>
          <w:sz w:val="22"/>
        </w:rPr>
        <w:t> </w:t>
      </w:r>
      <w:r>
        <w:rPr>
          <w:sz w:val="22"/>
        </w:rPr>
        <w:t>y normas</w:t>
      </w:r>
      <w:r>
        <w:rPr>
          <w:spacing w:val="-5"/>
          <w:sz w:val="22"/>
        </w:rPr>
        <w:t> </w:t>
      </w:r>
      <w:r>
        <w:rPr>
          <w:sz w:val="22"/>
        </w:rPr>
        <w:t>que se</w:t>
      </w:r>
      <w:r>
        <w:rPr>
          <w:spacing w:val="-3"/>
          <w:sz w:val="22"/>
        </w:rPr>
        <w:t> </w:t>
      </w:r>
      <w:r>
        <w:rPr>
          <w:sz w:val="22"/>
        </w:rPr>
        <w:t>desprenden</w:t>
      </w:r>
      <w:r>
        <w:rPr>
          <w:spacing w:val="-3"/>
          <w:sz w:val="22"/>
        </w:rPr>
        <w:t> </w:t>
      </w:r>
      <w:r>
        <w:rPr>
          <w:sz w:val="22"/>
        </w:rPr>
        <w:t>de la</w:t>
      </w:r>
      <w:r>
        <w:rPr>
          <w:spacing w:val="-3"/>
          <w:sz w:val="22"/>
        </w:rPr>
        <w:t> </w:t>
      </w:r>
      <w:r>
        <w:rPr>
          <w:sz w:val="22"/>
        </w:rPr>
        <w:t>Ley</w:t>
      </w:r>
      <w:r>
        <w:rPr>
          <w:spacing w:val="-5"/>
          <w:sz w:val="22"/>
        </w:rPr>
        <w:t> </w:t>
      </w:r>
      <w:r>
        <w:rPr>
          <w:sz w:val="22"/>
        </w:rPr>
        <w:t>N°</w:t>
      </w:r>
      <w:r>
        <w:rPr>
          <w:spacing w:val="-2"/>
          <w:sz w:val="22"/>
        </w:rPr>
        <w:t> </w:t>
      </w:r>
      <w:r>
        <w:rPr>
          <w:sz w:val="22"/>
        </w:rPr>
        <w:t>8634, Ley Sistema</w:t>
      </w:r>
      <w:r>
        <w:rPr>
          <w:spacing w:val="40"/>
          <w:sz w:val="22"/>
        </w:rPr>
        <w:t> </w:t>
      </w:r>
      <w:r>
        <w:rPr>
          <w:sz w:val="22"/>
        </w:rPr>
        <w:t>de</w:t>
      </w:r>
      <w:r>
        <w:rPr>
          <w:spacing w:val="40"/>
          <w:sz w:val="22"/>
        </w:rPr>
        <w:t> </w:t>
      </w:r>
      <w:r>
        <w:rPr>
          <w:sz w:val="22"/>
        </w:rPr>
        <w:t>Banca</w:t>
      </w:r>
      <w:r>
        <w:rPr>
          <w:spacing w:val="40"/>
          <w:sz w:val="22"/>
        </w:rPr>
        <w:t> </w:t>
      </w:r>
      <w:r>
        <w:rPr>
          <w:sz w:val="22"/>
        </w:rPr>
        <w:t>para</w:t>
      </w:r>
      <w:r>
        <w:rPr>
          <w:spacing w:val="40"/>
          <w:sz w:val="22"/>
        </w:rPr>
        <w:t> </w:t>
      </w:r>
      <w:r>
        <w:rPr>
          <w:sz w:val="22"/>
        </w:rPr>
        <w:t>el</w:t>
      </w:r>
      <w:r>
        <w:rPr>
          <w:spacing w:val="40"/>
          <w:sz w:val="22"/>
        </w:rPr>
        <w:t> </w:t>
      </w:r>
      <w:r>
        <w:rPr>
          <w:sz w:val="22"/>
        </w:rPr>
        <w:t>Desarrollo</w:t>
      </w:r>
      <w:r>
        <w:rPr>
          <w:spacing w:val="40"/>
          <w:sz w:val="22"/>
        </w:rPr>
        <w:t> </w:t>
      </w:r>
      <w:r>
        <w:rPr>
          <w:sz w:val="22"/>
        </w:rPr>
        <w:t>y</w:t>
      </w:r>
      <w:r>
        <w:rPr>
          <w:spacing w:val="40"/>
          <w:sz w:val="22"/>
        </w:rPr>
        <w:t> </w:t>
      </w:r>
      <w:r>
        <w:rPr>
          <w:sz w:val="22"/>
        </w:rPr>
        <w:t>sus</w:t>
      </w:r>
      <w:r>
        <w:rPr>
          <w:spacing w:val="40"/>
          <w:sz w:val="22"/>
        </w:rPr>
        <w:t> </w:t>
      </w:r>
      <w:r>
        <w:rPr>
          <w:sz w:val="22"/>
        </w:rPr>
        <w:t>reformas,</w:t>
      </w:r>
      <w:r>
        <w:rPr>
          <w:spacing w:val="40"/>
          <w:sz w:val="22"/>
        </w:rPr>
        <w:t> </w:t>
      </w:r>
      <w:r>
        <w:rPr>
          <w:sz w:val="22"/>
        </w:rPr>
        <w:t>con</w:t>
      </w:r>
      <w:r>
        <w:rPr>
          <w:spacing w:val="40"/>
          <w:sz w:val="22"/>
        </w:rPr>
        <w:t> </w:t>
      </w:r>
      <w:r>
        <w:rPr>
          <w:sz w:val="22"/>
        </w:rPr>
        <w:t>el</w:t>
      </w:r>
      <w:r>
        <w:rPr>
          <w:spacing w:val="40"/>
          <w:sz w:val="22"/>
        </w:rPr>
        <w:t> </w:t>
      </w:r>
      <w:r>
        <w:rPr>
          <w:sz w:val="22"/>
        </w:rPr>
        <w:t>propósito</w:t>
      </w:r>
      <w:r>
        <w:rPr>
          <w:spacing w:val="40"/>
          <w:sz w:val="22"/>
        </w:rPr>
        <w:t> </w:t>
      </w:r>
      <w:r>
        <w:rPr>
          <w:sz w:val="22"/>
        </w:rPr>
        <w:t>de</w:t>
      </w:r>
      <w:r>
        <w:rPr>
          <w:spacing w:val="40"/>
          <w:sz w:val="22"/>
        </w:rPr>
        <w:t> </w:t>
      </w:r>
      <w:r>
        <w:rPr>
          <w:sz w:val="22"/>
        </w:rPr>
        <w:t>contar</w:t>
      </w:r>
      <w:r>
        <w:rPr>
          <w:spacing w:val="40"/>
          <w:sz w:val="22"/>
        </w:rPr>
        <w:t> </w:t>
      </w:r>
      <w:r>
        <w:rPr>
          <w:sz w:val="22"/>
        </w:rPr>
        <w:t>con mecanismos para impulsar</w:t>
      </w:r>
      <w:r>
        <w:rPr>
          <w:spacing w:val="-2"/>
          <w:sz w:val="22"/>
        </w:rPr>
        <w:t> </w:t>
      </w:r>
      <w:r>
        <w:rPr>
          <w:sz w:val="22"/>
        </w:rPr>
        <w:t>proyectos productivos</w:t>
      </w:r>
      <w:r>
        <w:rPr>
          <w:spacing w:val="-1"/>
          <w:sz w:val="22"/>
        </w:rPr>
        <w:t> </w:t>
      </w:r>
      <w:r>
        <w:rPr>
          <w:sz w:val="22"/>
        </w:rPr>
        <w:t>y cumplir con el fin público de movilidad social</w:t>
      </w:r>
      <w:r>
        <w:rPr>
          <w:spacing w:val="-3"/>
          <w:sz w:val="22"/>
        </w:rPr>
        <w:t> </w:t>
      </w:r>
      <w:r>
        <w:rPr>
          <w:sz w:val="22"/>
        </w:rPr>
        <w:t>de las</w:t>
      </w:r>
      <w:r>
        <w:rPr>
          <w:spacing w:val="-2"/>
          <w:sz w:val="22"/>
        </w:rPr>
        <w:t> </w:t>
      </w:r>
      <w:r>
        <w:rPr>
          <w:sz w:val="22"/>
        </w:rPr>
        <w:t>personas beneficiarias establecidos</w:t>
      </w:r>
      <w:r>
        <w:rPr>
          <w:spacing w:val="-2"/>
          <w:sz w:val="22"/>
        </w:rPr>
        <w:t> </w:t>
      </w:r>
      <w:r>
        <w:rPr>
          <w:sz w:val="22"/>
        </w:rPr>
        <w:t>en la Ley.</w:t>
      </w:r>
      <w:r>
        <w:rPr>
          <w:spacing w:val="-1"/>
          <w:sz w:val="22"/>
        </w:rPr>
        <w:t> </w:t>
      </w:r>
      <w:r>
        <w:rPr>
          <w:sz w:val="22"/>
        </w:rPr>
        <w:t>Fecha de vigencia 25/04/2023 </w:t>
      </w:r>
      <w:r>
        <w:rPr>
          <w:b/>
          <w:sz w:val="22"/>
        </w:rPr>
        <w:t>Reglamento a la Ley de Creación del Régimen Especial de Viviendas Comunitarias para</w:t>
      </w:r>
      <w:r>
        <w:rPr>
          <w:b/>
          <w:spacing w:val="29"/>
          <w:sz w:val="22"/>
        </w:rPr>
        <w:t> </w:t>
      </w:r>
      <w:r>
        <w:rPr>
          <w:b/>
          <w:sz w:val="22"/>
        </w:rPr>
        <w:t>garantizar</w:t>
      </w:r>
      <w:r>
        <w:rPr>
          <w:b/>
          <w:spacing w:val="31"/>
          <w:sz w:val="22"/>
        </w:rPr>
        <w:t> </w:t>
      </w:r>
      <w:r>
        <w:rPr>
          <w:b/>
          <w:sz w:val="22"/>
        </w:rPr>
        <w:t>el</w:t>
      </w:r>
      <w:r>
        <w:rPr>
          <w:b/>
          <w:spacing w:val="27"/>
          <w:sz w:val="22"/>
        </w:rPr>
        <w:t> </w:t>
      </w:r>
      <w:r>
        <w:rPr>
          <w:b/>
          <w:sz w:val="22"/>
        </w:rPr>
        <w:t>acceso</w:t>
      </w:r>
      <w:r>
        <w:rPr>
          <w:b/>
          <w:spacing w:val="26"/>
          <w:sz w:val="22"/>
        </w:rPr>
        <w:t> </w:t>
      </w:r>
      <w:r>
        <w:rPr>
          <w:b/>
          <w:sz w:val="22"/>
        </w:rPr>
        <w:t>al</w:t>
      </w:r>
      <w:r>
        <w:rPr>
          <w:b/>
          <w:spacing w:val="32"/>
          <w:sz w:val="22"/>
        </w:rPr>
        <w:t> </w:t>
      </w:r>
      <w:r>
        <w:rPr>
          <w:b/>
          <w:sz w:val="22"/>
        </w:rPr>
        <w:t>derecho</w:t>
      </w:r>
      <w:r>
        <w:rPr>
          <w:b/>
          <w:spacing w:val="25"/>
          <w:sz w:val="22"/>
        </w:rPr>
        <w:t> </w:t>
      </w:r>
      <w:r>
        <w:rPr>
          <w:b/>
          <w:sz w:val="22"/>
        </w:rPr>
        <w:t>a</w:t>
      </w:r>
      <w:r>
        <w:rPr>
          <w:b/>
          <w:spacing w:val="28"/>
          <w:sz w:val="22"/>
        </w:rPr>
        <w:t> </w:t>
      </w:r>
      <w:r>
        <w:rPr>
          <w:b/>
          <w:sz w:val="22"/>
        </w:rPr>
        <w:t>la</w:t>
      </w:r>
      <w:r>
        <w:rPr>
          <w:b/>
          <w:spacing w:val="28"/>
          <w:sz w:val="22"/>
        </w:rPr>
        <w:t> </w:t>
      </w:r>
      <w:r>
        <w:rPr>
          <w:b/>
          <w:sz w:val="22"/>
        </w:rPr>
        <w:t>vivienda</w:t>
      </w:r>
      <w:r>
        <w:rPr>
          <w:b/>
          <w:spacing w:val="33"/>
          <w:sz w:val="22"/>
        </w:rPr>
        <w:t> </w:t>
      </w:r>
      <w:r>
        <w:rPr>
          <w:b/>
          <w:sz w:val="22"/>
        </w:rPr>
        <w:t>de</w:t>
      </w:r>
      <w:r>
        <w:rPr>
          <w:b/>
          <w:spacing w:val="28"/>
          <w:sz w:val="22"/>
        </w:rPr>
        <w:t> </w:t>
      </w:r>
      <w:r>
        <w:rPr>
          <w:b/>
          <w:sz w:val="22"/>
        </w:rPr>
        <w:t>la</w:t>
      </w:r>
      <w:r>
        <w:rPr>
          <w:b/>
          <w:spacing w:val="28"/>
          <w:sz w:val="22"/>
        </w:rPr>
        <w:t> </w:t>
      </w:r>
      <w:r>
        <w:rPr>
          <w:b/>
          <w:sz w:val="22"/>
        </w:rPr>
        <w:t>persona</w:t>
      </w:r>
      <w:r>
        <w:rPr>
          <w:b/>
          <w:spacing w:val="28"/>
          <w:sz w:val="22"/>
        </w:rPr>
        <w:t> </w:t>
      </w:r>
      <w:r>
        <w:rPr>
          <w:b/>
          <w:sz w:val="22"/>
        </w:rPr>
        <w:t>adulta</w:t>
      </w:r>
      <w:r>
        <w:rPr>
          <w:b/>
          <w:spacing w:val="33"/>
          <w:sz w:val="22"/>
        </w:rPr>
        <w:t> </w:t>
      </w:r>
      <w:r>
        <w:rPr>
          <w:b/>
          <w:sz w:val="22"/>
        </w:rPr>
        <w:t>mayor</w:t>
      </w:r>
      <w:r>
        <w:rPr>
          <w:b/>
          <w:spacing w:val="40"/>
          <w:sz w:val="22"/>
        </w:rPr>
        <w:t> </w:t>
      </w:r>
      <w:r>
        <w:rPr>
          <w:sz w:val="22"/>
        </w:rPr>
        <w:t>en condición</w:t>
      </w:r>
      <w:r>
        <w:rPr>
          <w:spacing w:val="-11"/>
          <w:sz w:val="22"/>
        </w:rPr>
        <w:t> </w:t>
      </w:r>
      <w:r>
        <w:rPr>
          <w:sz w:val="22"/>
        </w:rPr>
        <w:t>de</w:t>
      </w:r>
      <w:r>
        <w:rPr>
          <w:spacing w:val="-1"/>
          <w:sz w:val="22"/>
        </w:rPr>
        <w:t> </w:t>
      </w:r>
      <w:r>
        <w:rPr>
          <w:sz w:val="22"/>
        </w:rPr>
        <w:t>vulnerabilidad</w:t>
      </w:r>
      <w:r>
        <w:rPr>
          <w:spacing w:val="80"/>
          <w:w w:val="150"/>
          <w:sz w:val="22"/>
        </w:rPr>
        <w:t> </w:t>
      </w:r>
      <w:r>
        <w:rPr>
          <w:sz w:val="22"/>
        </w:rPr>
        <w:t>Regular</w:t>
      </w:r>
      <w:r>
        <w:rPr>
          <w:spacing w:val="-16"/>
          <w:sz w:val="22"/>
        </w:rPr>
        <w:t> </w:t>
      </w:r>
      <w:r>
        <w:rPr>
          <w:sz w:val="22"/>
        </w:rPr>
        <w:t>y</w:t>
      </w:r>
      <w:r>
        <w:rPr>
          <w:spacing w:val="-15"/>
          <w:sz w:val="22"/>
        </w:rPr>
        <w:t> </w:t>
      </w:r>
      <w:r>
        <w:rPr>
          <w:sz w:val="22"/>
        </w:rPr>
        <w:t>establecer</w:t>
      </w:r>
      <w:r>
        <w:rPr>
          <w:spacing w:val="-15"/>
          <w:sz w:val="22"/>
        </w:rPr>
        <w:t> </w:t>
      </w:r>
      <w:r>
        <w:rPr>
          <w:sz w:val="22"/>
        </w:rPr>
        <w:t>las</w:t>
      </w:r>
      <w:r>
        <w:rPr>
          <w:spacing w:val="-16"/>
          <w:sz w:val="22"/>
        </w:rPr>
        <w:t> </w:t>
      </w:r>
      <w:r>
        <w:rPr>
          <w:sz w:val="22"/>
        </w:rPr>
        <w:t>normas</w:t>
      </w:r>
      <w:r>
        <w:rPr>
          <w:spacing w:val="-18"/>
          <w:sz w:val="22"/>
        </w:rPr>
        <w:t> </w:t>
      </w:r>
      <w:r>
        <w:rPr>
          <w:sz w:val="22"/>
        </w:rPr>
        <w:t>para</w:t>
      </w:r>
      <w:r>
        <w:rPr>
          <w:spacing w:val="-17"/>
          <w:sz w:val="22"/>
        </w:rPr>
        <w:t> </w:t>
      </w:r>
      <w:r>
        <w:rPr>
          <w:sz w:val="22"/>
        </w:rPr>
        <w:t>la</w:t>
      </w:r>
      <w:r>
        <w:rPr>
          <w:spacing w:val="-13"/>
          <w:sz w:val="22"/>
        </w:rPr>
        <w:t> </w:t>
      </w:r>
      <w:r>
        <w:rPr>
          <w:sz w:val="22"/>
        </w:rPr>
        <w:t>tramitación,</w:t>
      </w:r>
      <w:r>
        <w:rPr>
          <w:spacing w:val="-15"/>
          <w:sz w:val="22"/>
        </w:rPr>
        <w:t> </w:t>
      </w:r>
      <w:r>
        <w:rPr>
          <w:sz w:val="22"/>
        </w:rPr>
        <w:t>operación y el financiamiento de los</w:t>
      </w:r>
      <w:r>
        <w:rPr>
          <w:spacing w:val="-1"/>
          <w:sz w:val="22"/>
        </w:rPr>
        <w:t> </w:t>
      </w:r>
      <w:r>
        <w:rPr>
          <w:sz w:val="22"/>
        </w:rPr>
        <w:t>proyectos</w:t>
      </w:r>
      <w:r>
        <w:rPr>
          <w:spacing w:val="-1"/>
          <w:sz w:val="22"/>
        </w:rPr>
        <w:t> </w:t>
      </w:r>
      <w:r>
        <w:rPr>
          <w:sz w:val="22"/>
        </w:rPr>
        <w:t>de vivienda bajo el programa de vivienda comunitaria y el</w:t>
      </w:r>
      <w:r>
        <w:rPr>
          <w:spacing w:val="-1"/>
          <w:sz w:val="22"/>
        </w:rPr>
        <w:t> </w:t>
      </w:r>
      <w:r>
        <w:rPr>
          <w:sz w:val="22"/>
        </w:rPr>
        <w:t>trámite</w:t>
      </w:r>
      <w:r>
        <w:rPr>
          <w:spacing w:val="-3"/>
          <w:sz w:val="22"/>
        </w:rPr>
        <w:t> </w:t>
      </w:r>
      <w:r>
        <w:rPr>
          <w:sz w:val="22"/>
        </w:rPr>
        <w:t>para el</w:t>
      </w:r>
      <w:r>
        <w:rPr>
          <w:spacing w:val="-6"/>
          <w:sz w:val="22"/>
        </w:rPr>
        <w:t> </w:t>
      </w:r>
      <w:r>
        <w:rPr>
          <w:sz w:val="22"/>
        </w:rPr>
        <w:t>otorgamiento</w:t>
      </w:r>
      <w:r>
        <w:rPr>
          <w:spacing w:val="-3"/>
          <w:sz w:val="22"/>
        </w:rPr>
        <w:t> </w:t>
      </w:r>
      <w:r>
        <w:rPr>
          <w:sz w:val="22"/>
        </w:rPr>
        <w:t>del</w:t>
      </w:r>
      <w:r>
        <w:rPr>
          <w:spacing w:val="-6"/>
          <w:sz w:val="22"/>
        </w:rPr>
        <w:t> </w:t>
      </w:r>
      <w:r>
        <w:rPr>
          <w:sz w:val="22"/>
        </w:rPr>
        <w:t>subsidio</w:t>
      </w:r>
      <w:r>
        <w:rPr>
          <w:spacing w:val="-3"/>
          <w:sz w:val="22"/>
        </w:rPr>
        <w:t> </w:t>
      </w:r>
      <w:r>
        <w:rPr>
          <w:sz w:val="22"/>
        </w:rPr>
        <w:t>para</w:t>
      </w:r>
      <w:r>
        <w:rPr>
          <w:spacing w:val="-3"/>
          <w:sz w:val="22"/>
        </w:rPr>
        <w:t> </w:t>
      </w:r>
      <w:r>
        <w:rPr>
          <w:sz w:val="22"/>
        </w:rPr>
        <w:t>este</w:t>
      </w:r>
      <w:r>
        <w:rPr>
          <w:spacing w:val="-3"/>
          <w:sz w:val="22"/>
        </w:rPr>
        <w:t> </w:t>
      </w:r>
      <w:r>
        <w:rPr>
          <w:sz w:val="22"/>
        </w:rPr>
        <w:t>programa</w:t>
      </w:r>
      <w:r>
        <w:rPr>
          <w:spacing w:val="-3"/>
          <w:sz w:val="22"/>
        </w:rPr>
        <w:t> </w:t>
      </w:r>
      <w:r>
        <w:rPr>
          <w:sz w:val="22"/>
        </w:rPr>
        <w:t>en</w:t>
      </w:r>
      <w:r>
        <w:rPr>
          <w:spacing w:val="-3"/>
          <w:sz w:val="22"/>
        </w:rPr>
        <w:t> </w:t>
      </w:r>
      <w:r>
        <w:rPr>
          <w:sz w:val="22"/>
        </w:rPr>
        <w:t>el</w:t>
      </w:r>
      <w:r>
        <w:rPr>
          <w:spacing w:val="-6"/>
          <w:sz w:val="22"/>
        </w:rPr>
        <w:t> </w:t>
      </w:r>
      <w:r>
        <w:rPr>
          <w:sz w:val="22"/>
        </w:rPr>
        <w:t>Sistema Financiero Nacional para la Vivienda (SFNV), destinado a personas adultas mayores autovalentes y en condición de vulnerabilidad. Fecha de vigencia 18/10/2023</w:t>
      </w:r>
    </w:p>
    <w:p>
      <w:pPr>
        <w:pStyle w:val="BodyText"/>
      </w:pPr>
    </w:p>
    <w:p>
      <w:pPr>
        <w:spacing w:line="240" w:lineRule="auto" w:before="0"/>
        <w:ind w:left="979" w:right="1332" w:firstLine="0"/>
        <w:jc w:val="both"/>
        <w:rPr>
          <w:sz w:val="22"/>
        </w:rPr>
      </w:pPr>
      <w:r>
        <w:rPr>
          <w:b/>
          <w:sz w:val="22"/>
        </w:rPr>
        <w:t>Reglamento para la prestación de servicios y el otorgamiento de beneficios, subsidios y transferencias monetarias del Instituto Mixto de Ayuda Social (IMAS) Acuerdo N°CD-201-08-2023. </w:t>
      </w:r>
      <w:r>
        <w:rPr>
          <w:sz w:val="22"/>
        </w:rPr>
        <w:t>Regular la prestación de servicios y el otorgamiento de los beneficios, subsidios y transferencias monetarias que brinda el Instituto Mixto de Ayuda Social</w:t>
      </w:r>
      <w:r>
        <w:rPr>
          <w:spacing w:val="-11"/>
          <w:sz w:val="22"/>
        </w:rPr>
        <w:t> </w:t>
      </w:r>
      <w:r>
        <w:rPr>
          <w:sz w:val="22"/>
        </w:rPr>
        <w:t>(IMAS)</w:t>
      </w:r>
      <w:r>
        <w:rPr>
          <w:spacing w:val="-11"/>
          <w:sz w:val="22"/>
        </w:rPr>
        <w:t> </w:t>
      </w:r>
      <w:r>
        <w:rPr>
          <w:sz w:val="22"/>
        </w:rPr>
        <w:t>dentro</w:t>
      </w:r>
      <w:r>
        <w:rPr>
          <w:spacing w:val="-8"/>
          <w:sz w:val="22"/>
        </w:rPr>
        <w:t> </w:t>
      </w:r>
      <w:r>
        <w:rPr>
          <w:sz w:val="22"/>
        </w:rPr>
        <w:t>del</w:t>
      </w:r>
      <w:r>
        <w:rPr>
          <w:spacing w:val="-11"/>
          <w:sz w:val="22"/>
        </w:rPr>
        <w:t> </w:t>
      </w:r>
      <w:r>
        <w:rPr>
          <w:sz w:val="22"/>
        </w:rPr>
        <w:t>Programa</w:t>
      </w:r>
      <w:r>
        <w:rPr>
          <w:spacing w:val="-8"/>
          <w:sz w:val="22"/>
        </w:rPr>
        <w:t> </w:t>
      </w:r>
      <w:r>
        <w:rPr>
          <w:sz w:val="22"/>
        </w:rPr>
        <w:t>de</w:t>
      </w:r>
      <w:r>
        <w:rPr>
          <w:spacing w:val="-8"/>
          <w:sz w:val="22"/>
        </w:rPr>
        <w:t> </w:t>
      </w:r>
      <w:r>
        <w:rPr>
          <w:sz w:val="22"/>
        </w:rPr>
        <w:t>Protección</w:t>
      </w:r>
      <w:r>
        <w:rPr>
          <w:spacing w:val="-13"/>
          <w:sz w:val="22"/>
        </w:rPr>
        <w:t> </w:t>
      </w:r>
      <w:r>
        <w:rPr>
          <w:sz w:val="22"/>
        </w:rPr>
        <w:t>y</w:t>
      </w:r>
      <w:r>
        <w:rPr>
          <w:spacing w:val="-5"/>
          <w:sz w:val="22"/>
        </w:rPr>
        <w:t> </w:t>
      </w:r>
      <w:r>
        <w:rPr>
          <w:sz w:val="22"/>
        </w:rPr>
        <w:t>Promoción</w:t>
      </w:r>
      <w:r>
        <w:rPr>
          <w:spacing w:val="-8"/>
          <w:sz w:val="22"/>
        </w:rPr>
        <w:t> </w:t>
      </w:r>
      <w:r>
        <w:rPr>
          <w:sz w:val="22"/>
        </w:rPr>
        <w:t>Social,</w:t>
      </w:r>
      <w:r>
        <w:rPr>
          <w:spacing w:val="-9"/>
          <w:sz w:val="22"/>
        </w:rPr>
        <w:t> </w:t>
      </w:r>
      <w:r>
        <w:rPr>
          <w:sz w:val="22"/>
        </w:rPr>
        <w:t>para</w:t>
      </w:r>
      <w:r>
        <w:rPr>
          <w:spacing w:val="-8"/>
          <w:sz w:val="22"/>
        </w:rPr>
        <w:t> </w:t>
      </w:r>
      <w:r>
        <w:rPr>
          <w:sz w:val="22"/>
        </w:rPr>
        <w:t>el</w:t>
      </w:r>
      <w:r>
        <w:rPr>
          <w:spacing w:val="-6"/>
          <w:sz w:val="22"/>
        </w:rPr>
        <w:t> </w:t>
      </w:r>
      <w:r>
        <w:rPr>
          <w:sz w:val="22"/>
        </w:rPr>
        <w:t>cumplimiento de los fines establecidos en la Ley N° 4760 Fecha de vigencia 07/12/2023.</w:t>
      </w:r>
    </w:p>
    <w:p>
      <w:pPr>
        <w:pStyle w:val="BodyText"/>
        <w:spacing w:before="1"/>
      </w:pPr>
    </w:p>
    <w:p>
      <w:pPr>
        <w:pStyle w:val="Heading2"/>
        <w:ind w:right="1338"/>
        <w:jc w:val="both"/>
        <w:rPr>
          <w:b w:val="0"/>
        </w:rPr>
      </w:pPr>
      <w:r>
        <w:rPr/>
        <w:t>Reforma del Reglamento para la Prestación de Servicios y Otorgamiento de Beneficios,</w:t>
      </w:r>
      <w:r>
        <w:rPr>
          <w:spacing w:val="-11"/>
        </w:rPr>
        <w:t> </w:t>
      </w:r>
      <w:r>
        <w:rPr/>
        <w:t>Subsidios</w:t>
      </w:r>
      <w:r>
        <w:rPr>
          <w:spacing w:val="-9"/>
        </w:rPr>
        <w:t> </w:t>
      </w:r>
      <w:r>
        <w:rPr/>
        <w:t>y</w:t>
      </w:r>
      <w:r>
        <w:rPr>
          <w:spacing w:val="-17"/>
        </w:rPr>
        <w:t> </w:t>
      </w:r>
      <w:r>
        <w:rPr/>
        <w:t>Transferencias</w:t>
      </w:r>
      <w:r>
        <w:rPr>
          <w:spacing w:val="-9"/>
        </w:rPr>
        <w:t> </w:t>
      </w:r>
      <w:r>
        <w:rPr/>
        <w:t>Monetarias</w:t>
      </w:r>
      <w:r>
        <w:rPr>
          <w:spacing w:val="-14"/>
        </w:rPr>
        <w:t> </w:t>
      </w:r>
      <w:r>
        <w:rPr/>
        <w:t>del</w:t>
      </w:r>
      <w:r>
        <w:rPr>
          <w:spacing w:val="-15"/>
        </w:rPr>
        <w:t> </w:t>
      </w:r>
      <w:r>
        <w:rPr/>
        <w:t>IMAS,</w:t>
      </w:r>
      <w:r>
        <w:rPr>
          <w:spacing w:val="-6"/>
        </w:rPr>
        <w:t> </w:t>
      </w:r>
      <w:r>
        <w:rPr>
          <w:b w:val="0"/>
        </w:rPr>
        <w:t>los</w:t>
      </w:r>
      <w:r>
        <w:rPr>
          <w:b w:val="0"/>
          <w:spacing w:val="-16"/>
        </w:rPr>
        <w:t> </w:t>
      </w:r>
      <w:r>
        <w:rPr>
          <w:b w:val="0"/>
        </w:rPr>
        <w:t>artículos</w:t>
      </w:r>
      <w:r>
        <w:rPr>
          <w:b w:val="0"/>
          <w:spacing w:val="-15"/>
        </w:rPr>
        <w:t> </w:t>
      </w:r>
      <w:r>
        <w:rPr>
          <w:b w:val="0"/>
        </w:rPr>
        <w:t>3,</w:t>
      </w:r>
      <w:r>
        <w:rPr>
          <w:b w:val="0"/>
          <w:spacing w:val="-14"/>
        </w:rPr>
        <w:t> </w:t>
      </w:r>
      <w:r>
        <w:rPr>
          <w:b w:val="0"/>
        </w:rPr>
        <w:t>17,</w:t>
      </w:r>
      <w:r>
        <w:rPr>
          <w:b w:val="0"/>
          <w:spacing w:val="-10"/>
        </w:rPr>
        <w:t> </w:t>
      </w:r>
      <w:r>
        <w:rPr>
          <w:b w:val="0"/>
        </w:rPr>
        <w:t>20,</w:t>
      </w:r>
      <w:r>
        <w:rPr>
          <w:b w:val="0"/>
          <w:spacing w:val="-15"/>
        </w:rPr>
        <w:t> </w:t>
      </w:r>
      <w:r>
        <w:rPr>
          <w:b w:val="0"/>
        </w:rPr>
        <w:t>21,</w:t>
      </w:r>
    </w:p>
    <w:p>
      <w:pPr>
        <w:pStyle w:val="BodyText"/>
        <w:ind w:left="979" w:right="1337"/>
        <w:jc w:val="both"/>
      </w:pPr>
      <w:r>
        <w:rPr/>
        <w:t>38, 39, 46, 56, 79, 80, 82, 87, 89 y 90 </w:t>
      </w:r>
      <w:r>
        <w:rPr>
          <w:b/>
        </w:rPr>
        <w:t>y </w:t>
      </w:r>
      <w:r>
        <w:rPr/>
        <w:t>se derogan los artículos 88 y 89, por lo variará la numeración</w:t>
      </w:r>
      <w:r>
        <w:rPr>
          <w:spacing w:val="-10"/>
        </w:rPr>
        <w:t> </w:t>
      </w:r>
      <w:r>
        <w:rPr/>
        <w:t>de</w:t>
      </w:r>
      <w:r>
        <w:rPr>
          <w:spacing w:val="-9"/>
        </w:rPr>
        <w:t> </w:t>
      </w:r>
      <w:r>
        <w:rPr/>
        <w:t>los</w:t>
      </w:r>
      <w:r>
        <w:rPr>
          <w:spacing w:val="-16"/>
        </w:rPr>
        <w:t> </w:t>
      </w:r>
      <w:r>
        <w:rPr/>
        <w:t>ordinales.</w:t>
      </w:r>
      <w:r>
        <w:rPr>
          <w:spacing w:val="40"/>
        </w:rPr>
        <w:t> </w:t>
      </w:r>
      <w:r>
        <w:rPr/>
        <w:t>Esta</w:t>
      </w:r>
      <w:r>
        <w:rPr>
          <w:spacing w:val="-9"/>
        </w:rPr>
        <w:t> </w:t>
      </w:r>
      <w:r>
        <w:rPr/>
        <w:t>reforma</w:t>
      </w:r>
      <w:r>
        <w:rPr>
          <w:spacing w:val="-14"/>
        </w:rPr>
        <w:t> </w:t>
      </w:r>
      <w:r>
        <w:rPr/>
        <w:t>no</w:t>
      </w:r>
      <w:r>
        <w:rPr>
          <w:spacing w:val="-14"/>
        </w:rPr>
        <w:t> </w:t>
      </w:r>
      <w:r>
        <w:rPr/>
        <w:t>conlleva</w:t>
      </w:r>
      <w:r>
        <w:rPr>
          <w:spacing w:val="-9"/>
        </w:rPr>
        <w:t> </w:t>
      </w:r>
      <w:r>
        <w:rPr/>
        <w:t>requisitos</w:t>
      </w:r>
      <w:r>
        <w:rPr>
          <w:spacing w:val="-11"/>
        </w:rPr>
        <w:t> </w:t>
      </w:r>
      <w:r>
        <w:rPr/>
        <w:t>nuevos</w:t>
      </w:r>
      <w:r>
        <w:rPr>
          <w:spacing w:val="-16"/>
        </w:rPr>
        <w:t> </w:t>
      </w:r>
      <w:r>
        <w:rPr/>
        <w:t>para</w:t>
      </w:r>
      <w:r>
        <w:rPr>
          <w:spacing w:val="-9"/>
        </w:rPr>
        <w:t> </w:t>
      </w:r>
      <w:r>
        <w:rPr/>
        <w:t>las</w:t>
      </w:r>
      <w:r>
        <w:rPr>
          <w:spacing w:val="-16"/>
        </w:rPr>
        <w:t> </w:t>
      </w:r>
      <w:r>
        <w:rPr/>
        <w:t>personas receptoras,</w:t>
      </w:r>
      <w:r>
        <w:rPr>
          <w:spacing w:val="-6"/>
        </w:rPr>
        <w:t> </w:t>
      </w:r>
      <w:r>
        <w:rPr/>
        <w:t>solamente</w:t>
      </w:r>
      <w:r>
        <w:rPr>
          <w:spacing w:val="-10"/>
        </w:rPr>
        <w:t> </w:t>
      </w:r>
      <w:r>
        <w:rPr/>
        <w:t>para</w:t>
      </w:r>
      <w:r>
        <w:rPr>
          <w:spacing w:val="-10"/>
        </w:rPr>
        <w:t> </w:t>
      </w:r>
      <w:r>
        <w:rPr/>
        <w:t>efectos</w:t>
      </w:r>
      <w:r>
        <w:rPr>
          <w:spacing w:val="-12"/>
        </w:rPr>
        <w:t> </w:t>
      </w:r>
      <w:r>
        <w:rPr/>
        <w:t>de</w:t>
      </w:r>
      <w:r>
        <w:rPr>
          <w:spacing w:val="-5"/>
        </w:rPr>
        <w:t> </w:t>
      </w:r>
      <w:r>
        <w:rPr/>
        <w:t>trámite.</w:t>
      </w:r>
      <w:r>
        <w:rPr>
          <w:spacing w:val="-11"/>
        </w:rPr>
        <w:t> </w:t>
      </w:r>
      <w:r>
        <w:rPr/>
        <w:t>Aprobado</w:t>
      </w:r>
      <w:r>
        <w:rPr>
          <w:spacing w:val="-10"/>
        </w:rPr>
        <w:t> </w:t>
      </w:r>
      <w:r>
        <w:rPr/>
        <w:t>ACD</w:t>
      </w:r>
      <w:r>
        <w:rPr>
          <w:spacing w:val="-8"/>
        </w:rPr>
        <w:t> </w:t>
      </w:r>
      <w:r>
        <w:rPr/>
        <w:t>N°</w:t>
      </w:r>
      <w:r>
        <w:rPr>
          <w:spacing w:val="-14"/>
        </w:rPr>
        <w:t> </w:t>
      </w:r>
      <w:r>
        <w:rPr/>
        <w:t>32-02-2025</w:t>
      </w:r>
      <w:r>
        <w:rPr>
          <w:spacing w:val="-10"/>
        </w:rPr>
        <w:t> </w:t>
      </w:r>
      <w:r>
        <w:rPr/>
        <w:t>con</w:t>
      </w:r>
      <w:r>
        <w:rPr>
          <w:spacing w:val="-5"/>
        </w:rPr>
        <w:t> </w:t>
      </w:r>
      <w:r>
        <w:rPr/>
        <w:t>fecha</w:t>
      </w:r>
      <w:r>
        <w:rPr>
          <w:spacing w:val="-10"/>
        </w:rPr>
        <w:t> </w:t>
      </w:r>
      <w:r>
        <w:rPr/>
        <w:t>10 de febrero 2025, y publicado en el </w:t>
      </w:r>
      <w:r>
        <w:rPr>
          <w:b/>
        </w:rPr>
        <w:t>Alcance N° 39 a La Gaceta N°53. </w:t>
      </w:r>
      <w:r>
        <w:rPr/>
        <w:t>Fecha de vigencia </w:t>
      </w:r>
      <w:r>
        <w:rPr>
          <w:spacing w:val="-2"/>
        </w:rPr>
        <w:t>19/03/2025.</w:t>
      </w:r>
    </w:p>
    <w:p>
      <w:pPr>
        <w:pStyle w:val="BodyText"/>
        <w:spacing w:before="2"/>
      </w:pPr>
    </w:p>
    <w:p>
      <w:pPr>
        <w:spacing w:line="240" w:lineRule="auto" w:before="0"/>
        <w:ind w:left="979" w:right="1342" w:firstLine="0"/>
        <w:jc w:val="both"/>
        <w:rPr>
          <w:sz w:val="22"/>
        </w:rPr>
      </w:pPr>
      <w:r>
        <w:rPr>
          <w:b/>
          <w:sz w:val="22"/>
        </w:rPr>
        <w:t>Reglamento para la</w:t>
      </w:r>
      <w:r>
        <w:rPr>
          <w:b/>
          <w:spacing w:val="-1"/>
          <w:sz w:val="22"/>
        </w:rPr>
        <w:t> </w:t>
      </w:r>
      <w:r>
        <w:rPr>
          <w:b/>
          <w:sz w:val="22"/>
        </w:rPr>
        <w:t>Prestación y</w:t>
      </w:r>
      <w:r>
        <w:rPr>
          <w:b/>
          <w:spacing w:val="-1"/>
          <w:sz w:val="22"/>
        </w:rPr>
        <w:t> </w:t>
      </w:r>
      <w:r>
        <w:rPr>
          <w:b/>
          <w:sz w:val="22"/>
        </w:rPr>
        <w:t>otorgamiento de beneficios</w:t>
      </w:r>
      <w:r>
        <w:rPr>
          <w:b/>
          <w:spacing w:val="-1"/>
          <w:sz w:val="22"/>
        </w:rPr>
        <w:t> </w:t>
      </w:r>
      <w:r>
        <w:rPr>
          <w:b/>
          <w:sz w:val="22"/>
        </w:rPr>
        <w:t>del</w:t>
      </w:r>
      <w:r>
        <w:rPr>
          <w:b/>
          <w:spacing w:val="-1"/>
          <w:sz w:val="22"/>
        </w:rPr>
        <w:t> </w:t>
      </w:r>
      <w:r>
        <w:rPr>
          <w:b/>
          <w:sz w:val="22"/>
        </w:rPr>
        <w:t>Fideicomiso</w:t>
      </w:r>
      <w:r>
        <w:rPr>
          <w:b/>
          <w:spacing w:val="-3"/>
          <w:sz w:val="22"/>
        </w:rPr>
        <w:t> </w:t>
      </w:r>
      <w:r>
        <w:rPr>
          <w:b/>
          <w:sz w:val="22"/>
        </w:rPr>
        <w:t>Banco de</w:t>
      </w:r>
      <w:r>
        <w:rPr>
          <w:b/>
          <w:spacing w:val="-1"/>
          <w:sz w:val="22"/>
        </w:rPr>
        <w:t> </w:t>
      </w:r>
      <w:r>
        <w:rPr>
          <w:b/>
          <w:sz w:val="22"/>
        </w:rPr>
        <w:t>Costa</w:t>
      </w:r>
      <w:r>
        <w:rPr>
          <w:b/>
          <w:spacing w:val="-1"/>
          <w:sz w:val="22"/>
        </w:rPr>
        <w:t> </w:t>
      </w:r>
      <w:r>
        <w:rPr>
          <w:b/>
          <w:sz w:val="22"/>
        </w:rPr>
        <w:t>Rica -</w:t>
      </w:r>
      <w:r>
        <w:rPr>
          <w:b/>
          <w:spacing w:val="-9"/>
          <w:sz w:val="22"/>
        </w:rPr>
        <w:t> </w:t>
      </w:r>
      <w:r>
        <w:rPr>
          <w:b/>
          <w:sz w:val="22"/>
        </w:rPr>
        <w:t>IMAS-BANACIO/73-2002</w:t>
      </w:r>
      <w:r>
        <w:rPr>
          <w:sz w:val="22"/>
        </w:rPr>
        <w:t>.</w:t>
      </w:r>
      <w:r>
        <w:rPr>
          <w:spacing w:val="-6"/>
          <w:sz w:val="22"/>
        </w:rPr>
        <w:t> </w:t>
      </w:r>
      <w:r>
        <w:rPr>
          <w:sz w:val="22"/>
        </w:rPr>
        <w:t>El</w:t>
      </w:r>
      <w:r>
        <w:rPr>
          <w:spacing w:val="-3"/>
          <w:sz w:val="22"/>
        </w:rPr>
        <w:t> </w:t>
      </w:r>
      <w:r>
        <w:rPr>
          <w:sz w:val="22"/>
        </w:rPr>
        <w:t>propósito</w:t>
      </w:r>
      <w:r>
        <w:rPr>
          <w:spacing w:val="-5"/>
          <w:sz w:val="22"/>
        </w:rPr>
        <w:t> </w:t>
      </w:r>
      <w:r>
        <w:rPr>
          <w:sz w:val="22"/>
        </w:rPr>
        <w:t>de</w:t>
      </w:r>
      <w:r>
        <w:rPr>
          <w:spacing w:val="-5"/>
          <w:sz w:val="22"/>
        </w:rPr>
        <w:t> </w:t>
      </w:r>
      <w:r>
        <w:rPr>
          <w:sz w:val="22"/>
        </w:rPr>
        <w:t>este</w:t>
      </w:r>
      <w:r>
        <w:rPr>
          <w:spacing w:val="-1"/>
          <w:sz w:val="22"/>
        </w:rPr>
        <w:t> </w:t>
      </w:r>
      <w:r>
        <w:rPr>
          <w:sz w:val="22"/>
        </w:rPr>
        <w:t>Reglamento</w:t>
      </w:r>
      <w:r>
        <w:rPr>
          <w:spacing w:val="-5"/>
          <w:sz w:val="22"/>
        </w:rPr>
        <w:t> </w:t>
      </w:r>
      <w:r>
        <w:rPr>
          <w:sz w:val="22"/>
        </w:rPr>
        <w:t>es</w:t>
      </w:r>
      <w:r>
        <w:rPr>
          <w:spacing w:val="-7"/>
          <w:sz w:val="22"/>
        </w:rPr>
        <w:t> </w:t>
      </w:r>
      <w:r>
        <w:rPr>
          <w:sz w:val="22"/>
        </w:rPr>
        <w:t>normar</w:t>
      </w:r>
      <w:r>
        <w:rPr>
          <w:spacing w:val="-9"/>
          <w:sz w:val="22"/>
        </w:rPr>
        <w:t> </w:t>
      </w:r>
      <w:r>
        <w:rPr>
          <w:sz w:val="22"/>
        </w:rPr>
        <w:t>de manera específica las reglas que obligatoriamente deberán observarse en la prestación y</w:t>
      </w:r>
    </w:p>
    <w:p>
      <w:pPr>
        <w:spacing w:after="0" w:line="240" w:lineRule="auto"/>
        <w:jc w:val="both"/>
        <w:rPr>
          <w:sz w:val="22"/>
        </w:rPr>
        <w:sectPr>
          <w:pgSz w:w="12240" w:h="15840"/>
          <w:pgMar w:header="0" w:footer="1021" w:top="1340" w:bottom="1220" w:left="720" w:right="360"/>
        </w:sectPr>
      </w:pPr>
    </w:p>
    <w:p>
      <w:pPr>
        <w:pStyle w:val="BodyText"/>
        <w:spacing w:before="76"/>
        <w:ind w:left="979" w:right="1350"/>
        <w:jc w:val="both"/>
      </w:pPr>
      <w:r>
        <w:rPr/>
        <w:t>otorgamiento</w:t>
      </w:r>
      <w:r>
        <w:rPr>
          <w:spacing w:val="-16"/>
        </w:rPr>
        <w:t> </w:t>
      </w:r>
      <w:r>
        <w:rPr/>
        <w:t>de</w:t>
      </w:r>
      <w:r>
        <w:rPr>
          <w:spacing w:val="-15"/>
        </w:rPr>
        <w:t> </w:t>
      </w:r>
      <w:r>
        <w:rPr/>
        <w:t>los</w:t>
      </w:r>
      <w:r>
        <w:rPr>
          <w:spacing w:val="-15"/>
        </w:rPr>
        <w:t> </w:t>
      </w:r>
      <w:r>
        <w:rPr/>
        <w:t>beneficios</w:t>
      </w:r>
      <w:r>
        <w:rPr>
          <w:spacing w:val="-16"/>
        </w:rPr>
        <w:t> </w:t>
      </w:r>
      <w:r>
        <w:rPr/>
        <w:t>de</w:t>
      </w:r>
      <w:r>
        <w:rPr>
          <w:spacing w:val="-15"/>
        </w:rPr>
        <w:t> </w:t>
      </w:r>
      <w:r>
        <w:rPr/>
        <w:t>FIDEIMAS,</w:t>
      </w:r>
      <w:r>
        <w:rPr>
          <w:spacing w:val="-15"/>
        </w:rPr>
        <w:t> </w:t>
      </w:r>
      <w:r>
        <w:rPr/>
        <w:t>entiéndase</w:t>
      </w:r>
      <w:r>
        <w:rPr>
          <w:spacing w:val="-15"/>
        </w:rPr>
        <w:t> </w:t>
      </w:r>
      <w:r>
        <w:rPr/>
        <w:t>por</w:t>
      </w:r>
      <w:r>
        <w:rPr>
          <w:spacing w:val="-16"/>
        </w:rPr>
        <w:t> </w:t>
      </w:r>
      <w:r>
        <w:rPr/>
        <w:t>estos:</w:t>
      </w:r>
      <w:r>
        <w:rPr>
          <w:spacing w:val="-15"/>
        </w:rPr>
        <w:t> </w:t>
      </w:r>
      <w:r>
        <w:rPr/>
        <w:t>otorgamiento</w:t>
      </w:r>
      <w:r>
        <w:rPr>
          <w:spacing w:val="-15"/>
        </w:rPr>
        <w:t> </w:t>
      </w:r>
      <w:r>
        <w:rPr/>
        <w:t>de</w:t>
      </w:r>
      <w:r>
        <w:rPr>
          <w:spacing w:val="-16"/>
        </w:rPr>
        <w:t> </w:t>
      </w:r>
      <w:r>
        <w:rPr/>
        <w:t>avales (garantía), prestación de servicios de apoyo, otorgamiento de crédito y transferencias de capital semilla. Fecha de vigencia 06/06/2024.</w:t>
      </w:r>
    </w:p>
    <w:p>
      <w:pPr>
        <w:pStyle w:val="BodyText"/>
        <w:spacing w:before="1"/>
      </w:pPr>
    </w:p>
    <w:p>
      <w:pPr>
        <w:pStyle w:val="BodyText"/>
        <w:spacing w:before="1"/>
        <w:ind w:left="979" w:right="1333"/>
        <w:jc w:val="both"/>
      </w:pPr>
      <w:r>
        <w:rPr>
          <w:b/>
        </w:rPr>
        <w:t>Reglamento para</w:t>
      </w:r>
      <w:r>
        <w:rPr>
          <w:b/>
          <w:spacing w:val="-2"/>
        </w:rPr>
        <w:t> </w:t>
      </w:r>
      <w:r>
        <w:rPr>
          <w:b/>
        </w:rPr>
        <w:t>la</w:t>
      </w:r>
      <w:r>
        <w:rPr>
          <w:b/>
          <w:spacing w:val="-3"/>
        </w:rPr>
        <w:t> </w:t>
      </w:r>
      <w:r>
        <w:rPr>
          <w:b/>
        </w:rPr>
        <w:t>administración</w:t>
      </w:r>
      <w:r>
        <w:rPr>
          <w:b/>
          <w:spacing w:val="-1"/>
        </w:rPr>
        <w:t> </w:t>
      </w:r>
      <w:r>
        <w:rPr>
          <w:b/>
        </w:rPr>
        <w:t>de los fondos fijos institucionales</w:t>
      </w:r>
      <w:r>
        <w:rPr>
          <w:b/>
          <w:spacing w:val="40"/>
        </w:rPr>
        <w:t> </w:t>
      </w:r>
      <w:r>
        <w:rPr>
          <w:b/>
        </w:rPr>
        <w:t>v.2 </w:t>
      </w:r>
      <w:r>
        <w:rPr/>
        <w:t>Establecer las disposiciones para la administración y uso de los fondos fijos en el Instituto Mixto de Ayuda</w:t>
      </w:r>
      <w:r>
        <w:rPr>
          <w:spacing w:val="-14"/>
        </w:rPr>
        <w:t> </w:t>
      </w:r>
      <w:r>
        <w:rPr/>
        <w:t>Social</w:t>
      </w:r>
      <w:r>
        <w:rPr>
          <w:spacing w:val="-12"/>
        </w:rPr>
        <w:t> </w:t>
      </w:r>
      <w:r>
        <w:rPr/>
        <w:t>y</w:t>
      </w:r>
      <w:r>
        <w:rPr>
          <w:spacing w:val="-15"/>
        </w:rPr>
        <w:t> </w:t>
      </w:r>
      <w:r>
        <w:rPr/>
        <w:t>Empresas</w:t>
      </w:r>
      <w:r>
        <w:rPr>
          <w:spacing w:val="-15"/>
        </w:rPr>
        <w:t> </w:t>
      </w:r>
      <w:r>
        <w:rPr/>
        <w:t>Comerciales,</w:t>
      </w:r>
      <w:r>
        <w:rPr>
          <w:spacing w:val="-14"/>
        </w:rPr>
        <w:t> </w:t>
      </w:r>
      <w:r>
        <w:rPr/>
        <w:t>acordes</w:t>
      </w:r>
      <w:r>
        <w:rPr>
          <w:spacing w:val="-15"/>
        </w:rPr>
        <w:t> </w:t>
      </w:r>
      <w:r>
        <w:rPr/>
        <w:t>con</w:t>
      </w:r>
      <w:r>
        <w:rPr>
          <w:spacing w:val="-13"/>
        </w:rPr>
        <w:t> </w:t>
      </w:r>
      <w:r>
        <w:rPr/>
        <w:t>el</w:t>
      </w:r>
      <w:r>
        <w:rPr>
          <w:spacing w:val="-8"/>
        </w:rPr>
        <w:t> </w:t>
      </w:r>
      <w:r>
        <w:rPr/>
        <w:t>ordenamiento</w:t>
      </w:r>
      <w:r>
        <w:rPr>
          <w:spacing w:val="-13"/>
        </w:rPr>
        <w:t> </w:t>
      </w:r>
      <w:r>
        <w:rPr/>
        <w:t>jurídico</w:t>
      </w:r>
      <w:r>
        <w:rPr>
          <w:spacing w:val="-9"/>
        </w:rPr>
        <w:t> </w:t>
      </w:r>
      <w:r>
        <w:rPr/>
        <w:t>y</w:t>
      </w:r>
      <w:r>
        <w:rPr>
          <w:spacing w:val="-15"/>
        </w:rPr>
        <w:t> </w:t>
      </w:r>
      <w:r>
        <w:rPr/>
        <w:t>el</w:t>
      </w:r>
      <w:r>
        <w:rPr>
          <w:spacing w:val="-16"/>
        </w:rPr>
        <w:t> </w:t>
      </w:r>
      <w:r>
        <w:rPr/>
        <w:t>fin</w:t>
      </w:r>
      <w:r>
        <w:rPr>
          <w:spacing w:val="-13"/>
        </w:rPr>
        <w:t> </w:t>
      </w:r>
      <w:r>
        <w:rPr/>
        <w:t>público que persigue la Institución sobre el uso racional y adecuado de los fondos públicos, así como</w:t>
      </w:r>
      <w:r>
        <w:rPr>
          <w:spacing w:val="-10"/>
        </w:rPr>
        <w:t> </w:t>
      </w:r>
      <w:r>
        <w:rPr/>
        <w:t>cambio</w:t>
      </w:r>
      <w:r>
        <w:rPr>
          <w:spacing w:val="-10"/>
        </w:rPr>
        <w:t> </w:t>
      </w:r>
      <w:r>
        <w:rPr/>
        <w:t>de</w:t>
      </w:r>
      <w:r>
        <w:rPr>
          <w:spacing w:val="-10"/>
        </w:rPr>
        <w:t> </w:t>
      </w:r>
      <w:r>
        <w:rPr/>
        <w:t>nomenclatura</w:t>
      </w:r>
      <w:r>
        <w:rPr>
          <w:spacing w:val="-10"/>
        </w:rPr>
        <w:t> </w:t>
      </w:r>
      <w:r>
        <w:rPr/>
        <w:t>de</w:t>
      </w:r>
      <w:r>
        <w:rPr>
          <w:spacing w:val="-5"/>
        </w:rPr>
        <w:t> </w:t>
      </w:r>
      <w:r>
        <w:rPr/>
        <w:t>las</w:t>
      </w:r>
      <w:r>
        <w:rPr>
          <w:spacing w:val="-12"/>
        </w:rPr>
        <w:t> </w:t>
      </w:r>
      <w:r>
        <w:rPr/>
        <w:t>dependencias</w:t>
      </w:r>
      <w:r>
        <w:rPr>
          <w:spacing w:val="-7"/>
        </w:rPr>
        <w:t> </w:t>
      </w:r>
      <w:r>
        <w:rPr/>
        <w:t>(conforme</w:t>
      </w:r>
      <w:r>
        <w:rPr>
          <w:spacing w:val="-10"/>
        </w:rPr>
        <w:t> </w:t>
      </w:r>
      <w:r>
        <w:rPr/>
        <w:t>a</w:t>
      </w:r>
      <w:r>
        <w:rPr>
          <w:spacing w:val="-5"/>
        </w:rPr>
        <w:t> </w:t>
      </w:r>
      <w:r>
        <w:rPr/>
        <w:t>la</w:t>
      </w:r>
      <w:r>
        <w:rPr>
          <w:spacing w:val="-5"/>
        </w:rPr>
        <w:t> </w:t>
      </w:r>
      <w:r>
        <w:rPr/>
        <w:t>Directriz</w:t>
      </w:r>
      <w:r>
        <w:rPr>
          <w:spacing w:val="-12"/>
        </w:rPr>
        <w:t> </w:t>
      </w:r>
      <w:r>
        <w:rPr/>
        <w:t>de</w:t>
      </w:r>
      <w:r>
        <w:rPr>
          <w:spacing w:val="-5"/>
        </w:rPr>
        <w:t> </w:t>
      </w:r>
      <w:r>
        <w:rPr/>
        <w:t>la</w:t>
      </w:r>
      <w:r>
        <w:rPr>
          <w:spacing w:val="-10"/>
        </w:rPr>
        <w:t> </w:t>
      </w:r>
      <w:r>
        <w:rPr/>
        <w:t>Gerencia General MAS-GG-1274-2023) así mismo se da cumplimiento al Informe AUD-005-2024 denominado “Informe de los resultados obtenidos en el Estudio sobre la Evaluación del funcionamiento del Fondo Fijo del Departamento de Empresas Comerciales. Fecha de vigencia 14/09/2024.</w:t>
      </w:r>
    </w:p>
    <w:p>
      <w:pPr>
        <w:pStyle w:val="BodyText"/>
      </w:pPr>
    </w:p>
    <w:p>
      <w:pPr>
        <w:pStyle w:val="BodyText"/>
        <w:ind w:left="979" w:right="1344"/>
        <w:jc w:val="both"/>
      </w:pPr>
      <w:r>
        <w:rPr>
          <w:b/>
        </w:rPr>
        <w:t>Reglamento Ley N° 9943 </w:t>
      </w:r>
      <w:r>
        <w:rPr/>
        <w:t>El presente reglamento tiene por objeto complementar, desarrollar y precisar los preceptos, principios y disposiciones contenidos en la Ley n. º 9943 "Creación de la Agencia Nacional de Gobierno Digital", para su debida aplicación, ejecución y observancia. Fecha de vigencia 30/08/2024.</w:t>
      </w:r>
    </w:p>
    <w:p>
      <w:pPr>
        <w:spacing w:before="251"/>
        <w:ind w:left="979" w:right="1335" w:firstLine="0"/>
        <w:jc w:val="both"/>
        <w:rPr>
          <w:sz w:val="22"/>
        </w:rPr>
      </w:pPr>
      <w:r>
        <w:rPr>
          <w:b/>
          <w:sz w:val="22"/>
        </w:rPr>
        <w:t>Reglamento para regular el servicio de transporte en el IMAS v.2: </w:t>
      </w:r>
      <w:r>
        <w:rPr>
          <w:sz w:val="22"/>
        </w:rPr>
        <w:t>Establecer las regulaciones</w:t>
      </w:r>
      <w:r>
        <w:rPr>
          <w:spacing w:val="-5"/>
          <w:sz w:val="22"/>
        </w:rPr>
        <w:t> </w:t>
      </w:r>
      <w:r>
        <w:rPr>
          <w:sz w:val="22"/>
        </w:rPr>
        <w:t>que</w:t>
      </w:r>
      <w:r>
        <w:rPr>
          <w:spacing w:val="-3"/>
          <w:sz w:val="22"/>
        </w:rPr>
        <w:t> </w:t>
      </w:r>
      <w:r>
        <w:rPr>
          <w:sz w:val="22"/>
        </w:rPr>
        <w:t>faciliten</w:t>
      </w:r>
      <w:r>
        <w:rPr>
          <w:spacing w:val="-3"/>
          <w:sz w:val="22"/>
        </w:rPr>
        <w:t> </w:t>
      </w:r>
      <w:r>
        <w:rPr>
          <w:sz w:val="22"/>
        </w:rPr>
        <w:t>al</w:t>
      </w:r>
      <w:r>
        <w:rPr>
          <w:spacing w:val="-6"/>
          <w:sz w:val="22"/>
        </w:rPr>
        <w:t> </w:t>
      </w:r>
      <w:r>
        <w:rPr>
          <w:sz w:val="22"/>
        </w:rPr>
        <w:t>personal</w:t>
      </w:r>
      <w:r>
        <w:rPr>
          <w:spacing w:val="-6"/>
          <w:sz w:val="22"/>
        </w:rPr>
        <w:t> </w:t>
      </w:r>
      <w:r>
        <w:rPr>
          <w:sz w:val="22"/>
        </w:rPr>
        <w:t>del</w:t>
      </w:r>
      <w:r>
        <w:rPr>
          <w:spacing w:val="-6"/>
          <w:sz w:val="22"/>
        </w:rPr>
        <w:t> </w:t>
      </w:r>
      <w:r>
        <w:rPr>
          <w:sz w:val="22"/>
        </w:rPr>
        <w:t>IMAS,</w:t>
      </w:r>
      <w:r>
        <w:rPr>
          <w:spacing w:val="-4"/>
          <w:sz w:val="22"/>
        </w:rPr>
        <w:t> </w:t>
      </w:r>
      <w:r>
        <w:rPr>
          <w:sz w:val="22"/>
        </w:rPr>
        <w:t>incluye</w:t>
      </w:r>
      <w:r>
        <w:rPr>
          <w:spacing w:val="-3"/>
          <w:sz w:val="22"/>
        </w:rPr>
        <w:t> </w:t>
      </w:r>
      <w:r>
        <w:rPr>
          <w:sz w:val="22"/>
        </w:rPr>
        <w:t>una</w:t>
      </w:r>
      <w:r>
        <w:rPr>
          <w:spacing w:val="-3"/>
          <w:sz w:val="22"/>
        </w:rPr>
        <w:t> </w:t>
      </w:r>
      <w:r>
        <w:rPr>
          <w:sz w:val="22"/>
        </w:rPr>
        <w:t>mejora</w:t>
      </w:r>
      <w:r>
        <w:rPr>
          <w:spacing w:val="-3"/>
          <w:sz w:val="22"/>
        </w:rPr>
        <w:t> </w:t>
      </w:r>
      <w:r>
        <w:rPr>
          <w:sz w:val="22"/>
        </w:rPr>
        <w:t>operativa</w:t>
      </w:r>
      <w:r>
        <w:rPr>
          <w:spacing w:val="-3"/>
          <w:sz w:val="22"/>
        </w:rPr>
        <w:t> </w:t>
      </w:r>
      <w:r>
        <w:rPr>
          <w:sz w:val="22"/>
        </w:rPr>
        <w:t>en</w:t>
      </w:r>
      <w:r>
        <w:rPr>
          <w:spacing w:val="-3"/>
          <w:sz w:val="22"/>
        </w:rPr>
        <w:t> </w:t>
      </w:r>
      <w:r>
        <w:rPr>
          <w:sz w:val="22"/>
        </w:rPr>
        <w:t>el</w:t>
      </w:r>
      <w:r>
        <w:rPr>
          <w:spacing w:val="-6"/>
          <w:sz w:val="22"/>
        </w:rPr>
        <w:t> </w:t>
      </w:r>
      <w:r>
        <w:rPr>
          <w:sz w:val="22"/>
        </w:rPr>
        <w:t>Artículo</w:t>
      </w:r>
    </w:p>
    <w:p>
      <w:pPr>
        <w:pStyle w:val="BodyText"/>
        <w:spacing w:before="3"/>
        <w:ind w:left="979" w:right="1339"/>
        <w:jc w:val="both"/>
      </w:pPr>
      <w:r>
        <w:rPr/>
        <w:t>23 y se incluyen nuevas prohibiciones y obligaciones para las diferentes estancias institucionales para la realización de las tareas que materialicen el combate a la pobreza por</w:t>
      </w:r>
      <w:r>
        <w:rPr>
          <w:spacing w:val="-3"/>
        </w:rPr>
        <w:t> </w:t>
      </w:r>
      <w:r>
        <w:rPr/>
        <w:t>medio de la prestación de servicios</w:t>
      </w:r>
      <w:r>
        <w:rPr>
          <w:spacing w:val="-2"/>
        </w:rPr>
        <w:t> </w:t>
      </w:r>
      <w:r>
        <w:rPr/>
        <w:t>de transporte interno eficientes. Fecha</w:t>
      </w:r>
      <w:r>
        <w:rPr>
          <w:spacing w:val="-4"/>
        </w:rPr>
        <w:t> </w:t>
      </w:r>
      <w:r>
        <w:rPr/>
        <w:t>de vigencia </w:t>
      </w:r>
      <w:r>
        <w:rPr>
          <w:spacing w:val="-2"/>
        </w:rPr>
        <w:t>07/09/2024.</w:t>
      </w:r>
    </w:p>
    <w:p>
      <w:pPr>
        <w:pStyle w:val="BodyText"/>
        <w:spacing w:before="251"/>
        <w:ind w:left="979" w:right="1334"/>
        <w:jc w:val="both"/>
      </w:pPr>
      <w:r>
        <w:rPr>
          <w:b/>
        </w:rPr>
        <w:t>Reglamento para la Operacionalización del Sistema de Planificación del IMAS: Acuerdo:</w:t>
      </w:r>
      <w:r>
        <w:rPr>
          <w:b/>
          <w:spacing w:val="-16"/>
        </w:rPr>
        <w:t> </w:t>
      </w:r>
      <w:r>
        <w:rPr>
          <w:b/>
        </w:rPr>
        <w:t>88-04-2025.</w:t>
      </w:r>
      <w:r>
        <w:rPr>
          <w:b/>
          <w:spacing w:val="-15"/>
        </w:rPr>
        <w:t> </w:t>
      </w:r>
      <w:r>
        <w:rPr/>
        <w:t>El</w:t>
      </w:r>
      <w:r>
        <w:rPr>
          <w:spacing w:val="-15"/>
        </w:rPr>
        <w:t> </w:t>
      </w:r>
      <w:r>
        <w:rPr/>
        <w:t>presente</w:t>
      </w:r>
      <w:r>
        <w:rPr>
          <w:spacing w:val="-16"/>
        </w:rPr>
        <w:t> </w:t>
      </w:r>
      <w:r>
        <w:rPr/>
        <w:t>reglamento</w:t>
      </w:r>
      <w:r>
        <w:rPr>
          <w:spacing w:val="-15"/>
        </w:rPr>
        <w:t> </w:t>
      </w:r>
      <w:r>
        <w:rPr/>
        <w:t>tiene</w:t>
      </w:r>
      <w:r>
        <w:rPr>
          <w:spacing w:val="-15"/>
        </w:rPr>
        <w:t> </w:t>
      </w:r>
      <w:r>
        <w:rPr/>
        <w:t>como</w:t>
      </w:r>
      <w:r>
        <w:rPr>
          <w:spacing w:val="-15"/>
        </w:rPr>
        <w:t> </w:t>
      </w:r>
      <w:r>
        <w:rPr/>
        <w:t>objeto</w:t>
      </w:r>
      <w:r>
        <w:rPr>
          <w:spacing w:val="-16"/>
        </w:rPr>
        <w:t> </w:t>
      </w:r>
      <w:r>
        <w:rPr/>
        <w:t>regular</w:t>
      </w:r>
      <w:r>
        <w:rPr>
          <w:spacing w:val="-15"/>
        </w:rPr>
        <w:t> </w:t>
      </w:r>
      <w:r>
        <w:rPr/>
        <w:t>lo</w:t>
      </w:r>
      <w:r>
        <w:rPr>
          <w:spacing w:val="-15"/>
        </w:rPr>
        <w:t> </w:t>
      </w:r>
      <w:r>
        <w:rPr/>
        <w:t>correspondiente al</w:t>
      </w:r>
      <w:r>
        <w:rPr>
          <w:spacing w:val="-11"/>
        </w:rPr>
        <w:t> </w:t>
      </w:r>
      <w:r>
        <w:rPr/>
        <w:t>Sistema</w:t>
      </w:r>
      <w:r>
        <w:rPr>
          <w:spacing w:val="-8"/>
        </w:rPr>
        <w:t> </w:t>
      </w:r>
      <w:r>
        <w:rPr/>
        <w:t>de</w:t>
      </w:r>
      <w:r>
        <w:rPr>
          <w:spacing w:val="-13"/>
        </w:rPr>
        <w:t> </w:t>
      </w:r>
      <w:r>
        <w:rPr/>
        <w:t>Planificación</w:t>
      </w:r>
      <w:r>
        <w:rPr>
          <w:spacing w:val="-8"/>
        </w:rPr>
        <w:t> </w:t>
      </w:r>
      <w:r>
        <w:rPr/>
        <w:t>del</w:t>
      </w:r>
      <w:r>
        <w:rPr>
          <w:spacing w:val="-11"/>
        </w:rPr>
        <w:t> </w:t>
      </w:r>
      <w:r>
        <w:rPr/>
        <w:t>Instituto</w:t>
      </w:r>
      <w:r>
        <w:rPr>
          <w:spacing w:val="-8"/>
        </w:rPr>
        <w:t> </w:t>
      </w:r>
      <w:r>
        <w:rPr/>
        <w:t>Mixto</w:t>
      </w:r>
      <w:r>
        <w:rPr>
          <w:spacing w:val="-13"/>
        </w:rPr>
        <w:t> </w:t>
      </w:r>
      <w:r>
        <w:rPr/>
        <w:t>de</w:t>
      </w:r>
      <w:r>
        <w:rPr>
          <w:spacing w:val="-13"/>
        </w:rPr>
        <w:t> </w:t>
      </w:r>
      <w:r>
        <w:rPr/>
        <w:t>Ayuda</w:t>
      </w:r>
      <w:r>
        <w:rPr>
          <w:spacing w:val="-8"/>
        </w:rPr>
        <w:t> </w:t>
      </w:r>
      <w:r>
        <w:rPr/>
        <w:t>Social</w:t>
      </w:r>
      <w:r>
        <w:rPr>
          <w:spacing w:val="-11"/>
        </w:rPr>
        <w:t> </w:t>
      </w:r>
      <w:r>
        <w:rPr/>
        <w:t>(IMAS),</w:t>
      </w:r>
      <w:r>
        <w:rPr>
          <w:spacing w:val="-9"/>
        </w:rPr>
        <w:t> </w:t>
      </w:r>
      <w:r>
        <w:rPr/>
        <w:t>con</w:t>
      </w:r>
      <w:r>
        <w:rPr>
          <w:spacing w:val="-8"/>
        </w:rPr>
        <w:t> </w:t>
      </w:r>
      <w:r>
        <w:rPr/>
        <w:t>el</w:t>
      </w:r>
      <w:r>
        <w:rPr>
          <w:spacing w:val="-11"/>
        </w:rPr>
        <w:t> </w:t>
      </w:r>
      <w:r>
        <w:rPr/>
        <w:t>fin</w:t>
      </w:r>
      <w:r>
        <w:rPr>
          <w:spacing w:val="-8"/>
        </w:rPr>
        <w:t> </w:t>
      </w:r>
      <w:r>
        <w:rPr/>
        <w:t>de</w:t>
      </w:r>
      <w:r>
        <w:rPr>
          <w:spacing w:val="-8"/>
        </w:rPr>
        <w:t> </w:t>
      </w:r>
      <w:r>
        <w:rPr/>
        <w:t>articular todas sus acciones en el largo, mediano y corto plazo, contenidas en sus Procesos de Formulación, Seguimiento y Evaluación, de los instrumentos de planificación institucional: Políticas,</w:t>
      </w:r>
      <w:r>
        <w:rPr>
          <w:spacing w:val="-4"/>
        </w:rPr>
        <w:t> </w:t>
      </w:r>
      <w:r>
        <w:rPr/>
        <w:t>Planes,</w:t>
      </w:r>
      <w:r>
        <w:rPr>
          <w:spacing w:val="-4"/>
        </w:rPr>
        <w:t> </w:t>
      </w:r>
      <w:r>
        <w:rPr/>
        <w:t>Programas</w:t>
      </w:r>
      <w:r>
        <w:rPr>
          <w:spacing w:val="-5"/>
        </w:rPr>
        <w:t> </w:t>
      </w:r>
      <w:r>
        <w:rPr/>
        <w:t>y</w:t>
      </w:r>
      <w:r>
        <w:rPr>
          <w:spacing w:val="-5"/>
        </w:rPr>
        <w:t> </w:t>
      </w:r>
      <w:r>
        <w:rPr/>
        <w:t>Proyectos; con</w:t>
      </w:r>
      <w:r>
        <w:rPr>
          <w:spacing w:val="-3"/>
        </w:rPr>
        <w:t> </w:t>
      </w:r>
      <w:r>
        <w:rPr/>
        <w:t>la</w:t>
      </w:r>
      <w:r>
        <w:rPr>
          <w:spacing w:val="-8"/>
        </w:rPr>
        <w:t> </w:t>
      </w:r>
      <w:r>
        <w:rPr/>
        <w:t>participación</w:t>
      </w:r>
      <w:r>
        <w:rPr>
          <w:spacing w:val="-3"/>
        </w:rPr>
        <w:t> </w:t>
      </w:r>
      <w:r>
        <w:rPr/>
        <w:t>de</w:t>
      </w:r>
      <w:r>
        <w:rPr>
          <w:spacing w:val="-3"/>
        </w:rPr>
        <w:t> </w:t>
      </w:r>
      <w:r>
        <w:rPr/>
        <w:t>los</w:t>
      </w:r>
      <w:r>
        <w:rPr>
          <w:spacing w:val="-5"/>
        </w:rPr>
        <w:t> </w:t>
      </w:r>
      <w:r>
        <w:rPr/>
        <w:t>diferentes</w:t>
      </w:r>
      <w:r>
        <w:rPr>
          <w:spacing w:val="-5"/>
        </w:rPr>
        <w:t> </w:t>
      </w:r>
      <w:r>
        <w:rPr/>
        <w:t>actores</w:t>
      </w:r>
      <w:r>
        <w:rPr>
          <w:spacing w:val="-5"/>
        </w:rPr>
        <w:t> </w:t>
      </w:r>
      <w:r>
        <w:rPr/>
        <w:t>del ámbito central, regional y local, para el logro de sus objetivos y la consecución de sus resultados, dirigidos a la reducción</w:t>
      </w:r>
      <w:r>
        <w:rPr>
          <w:spacing w:val="-3"/>
        </w:rPr>
        <w:t> </w:t>
      </w:r>
      <w:r>
        <w:rPr/>
        <w:t>de la</w:t>
      </w:r>
      <w:r>
        <w:rPr>
          <w:spacing w:val="-3"/>
        </w:rPr>
        <w:t> </w:t>
      </w:r>
      <w:r>
        <w:rPr/>
        <w:t>pobreza extrema y la</w:t>
      </w:r>
      <w:r>
        <w:rPr>
          <w:spacing w:val="-3"/>
        </w:rPr>
        <w:t> </w:t>
      </w:r>
      <w:r>
        <w:rPr/>
        <w:t>pobreza. Fecha</w:t>
      </w:r>
      <w:r>
        <w:rPr>
          <w:spacing w:val="-3"/>
        </w:rPr>
        <w:t> </w:t>
      </w:r>
      <w:r>
        <w:rPr/>
        <w:t>de vigencia 14 de mayo 2025.</w:t>
      </w:r>
    </w:p>
    <w:p>
      <w:pPr>
        <w:pStyle w:val="BodyText"/>
      </w:pPr>
    </w:p>
    <w:p>
      <w:pPr>
        <w:pStyle w:val="BodyText"/>
        <w:ind w:left="979" w:right="1335"/>
        <w:jc w:val="both"/>
      </w:pPr>
      <w:r>
        <w:rPr>
          <w:b/>
        </w:rPr>
        <w:t>Reglamento para la administración de</w:t>
      </w:r>
      <w:r>
        <w:rPr>
          <w:b/>
          <w:spacing w:val="-1"/>
        </w:rPr>
        <w:t> </w:t>
      </w:r>
      <w:r>
        <w:rPr>
          <w:b/>
        </w:rPr>
        <w:t>los fondos fijos</w:t>
      </w:r>
      <w:r>
        <w:rPr>
          <w:b/>
          <w:spacing w:val="-1"/>
        </w:rPr>
        <w:t> </w:t>
      </w:r>
      <w:r>
        <w:rPr>
          <w:b/>
        </w:rPr>
        <w:t>institucionales: </w:t>
      </w:r>
      <w:r>
        <w:rPr/>
        <w:t>Establecer las disposiciones</w:t>
      </w:r>
      <w:r>
        <w:rPr>
          <w:spacing w:val="-6"/>
        </w:rPr>
        <w:t> </w:t>
      </w:r>
      <w:r>
        <w:rPr/>
        <w:t>para</w:t>
      </w:r>
      <w:r>
        <w:rPr>
          <w:spacing w:val="-4"/>
        </w:rPr>
        <w:t> </w:t>
      </w:r>
      <w:r>
        <w:rPr/>
        <w:t>la</w:t>
      </w:r>
      <w:r>
        <w:rPr>
          <w:spacing w:val="-9"/>
        </w:rPr>
        <w:t> </w:t>
      </w:r>
      <w:r>
        <w:rPr/>
        <w:t>administración</w:t>
      </w:r>
      <w:r>
        <w:rPr>
          <w:spacing w:val="-4"/>
        </w:rPr>
        <w:t> </w:t>
      </w:r>
      <w:r>
        <w:rPr/>
        <w:t>y</w:t>
      </w:r>
      <w:r>
        <w:rPr>
          <w:spacing w:val="-11"/>
        </w:rPr>
        <w:t> </w:t>
      </w:r>
      <w:r>
        <w:rPr/>
        <w:t>uso</w:t>
      </w:r>
      <w:r>
        <w:rPr>
          <w:spacing w:val="-9"/>
        </w:rPr>
        <w:t> </w:t>
      </w:r>
      <w:r>
        <w:rPr/>
        <w:t>de</w:t>
      </w:r>
      <w:r>
        <w:rPr>
          <w:spacing w:val="-4"/>
        </w:rPr>
        <w:t> </w:t>
      </w:r>
      <w:r>
        <w:rPr/>
        <w:t>los</w:t>
      </w:r>
      <w:r>
        <w:rPr>
          <w:spacing w:val="-6"/>
        </w:rPr>
        <w:t> </w:t>
      </w:r>
      <w:r>
        <w:rPr/>
        <w:t>fondos</w:t>
      </w:r>
      <w:r>
        <w:rPr>
          <w:spacing w:val="-6"/>
        </w:rPr>
        <w:t> </w:t>
      </w:r>
      <w:r>
        <w:rPr/>
        <w:t>fijos</w:t>
      </w:r>
      <w:r>
        <w:rPr>
          <w:spacing w:val="-6"/>
        </w:rPr>
        <w:t> </w:t>
      </w:r>
      <w:r>
        <w:rPr/>
        <w:t>en</w:t>
      </w:r>
      <w:r>
        <w:rPr>
          <w:spacing w:val="-4"/>
        </w:rPr>
        <w:t> </w:t>
      </w:r>
      <w:r>
        <w:rPr/>
        <w:t>el</w:t>
      </w:r>
      <w:r>
        <w:rPr>
          <w:spacing w:val="-7"/>
        </w:rPr>
        <w:t> </w:t>
      </w:r>
      <w:r>
        <w:rPr/>
        <w:t>Instituto</w:t>
      </w:r>
      <w:r>
        <w:rPr>
          <w:spacing w:val="-4"/>
        </w:rPr>
        <w:t> </w:t>
      </w:r>
      <w:r>
        <w:rPr/>
        <w:t>Mixto</w:t>
      </w:r>
      <w:r>
        <w:rPr>
          <w:spacing w:val="-9"/>
        </w:rPr>
        <w:t> </w:t>
      </w:r>
      <w:r>
        <w:rPr/>
        <w:t>de</w:t>
      </w:r>
      <w:r>
        <w:rPr>
          <w:spacing w:val="-4"/>
        </w:rPr>
        <w:t> </w:t>
      </w:r>
      <w:r>
        <w:rPr/>
        <w:t>Ayuda Social y Empresas Comerciales, acordes con el ordenamiento jurídico y el fin público que persigue la Institución sobre el uso racional y adecuado de los fondos públicos. Fecha de vigencia 02 de abril 2025.</w:t>
      </w:r>
    </w:p>
    <w:p>
      <w:pPr>
        <w:pStyle w:val="BodyText"/>
      </w:pPr>
    </w:p>
    <w:p>
      <w:pPr>
        <w:pStyle w:val="BodyText"/>
        <w:spacing w:before="1"/>
      </w:pPr>
    </w:p>
    <w:p>
      <w:pPr>
        <w:pStyle w:val="Heading2"/>
      </w:pPr>
      <w:r>
        <w:rPr>
          <w:spacing w:val="-2"/>
        </w:rPr>
        <w:t>DIRECTRIZ</w:t>
      </w:r>
    </w:p>
    <w:p>
      <w:pPr>
        <w:pStyle w:val="BodyText"/>
        <w:spacing w:before="3"/>
        <w:rPr>
          <w:b/>
        </w:rPr>
      </w:pPr>
    </w:p>
    <w:p>
      <w:pPr>
        <w:spacing w:line="240" w:lineRule="auto" w:before="0"/>
        <w:ind w:left="979" w:right="1341" w:firstLine="0"/>
        <w:jc w:val="both"/>
        <w:rPr>
          <w:sz w:val="22"/>
        </w:rPr>
      </w:pPr>
      <w:r>
        <w:rPr>
          <w:b/>
          <w:sz w:val="22"/>
        </w:rPr>
        <w:t>Directriz</w:t>
      </w:r>
      <w:r>
        <w:rPr>
          <w:b/>
          <w:spacing w:val="-7"/>
          <w:sz w:val="22"/>
        </w:rPr>
        <w:t> </w:t>
      </w:r>
      <w:r>
        <w:rPr>
          <w:b/>
          <w:sz w:val="22"/>
        </w:rPr>
        <w:t>N°075-P,</w:t>
      </w:r>
      <w:r>
        <w:rPr>
          <w:b/>
          <w:spacing w:val="-7"/>
          <w:sz w:val="22"/>
        </w:rPr>
        <w:t> </w:t>
      </w:r>
      <w:r>
        <w:rPr>
          <w:b/>
          <w:sz w:val="22"/>
        </w:rPr>
        <w:t>Reforma</w:t>
      </w:r>
      <w:r>
        <w:rPr>
          <w:b/>
          <w:spacing w:val="-9"/>
          <w:sz w:val="22"/>
        </w:rPr>
        <w:t> </w:t>
      </w:r>
      <w:r>
        <w:rPr>
          <w:b/>
          <w:sz w:val="22"/>
        </w:rPr>
        <w:t>a</w:t>
      </w:r>
      <w:r>
        <w:rPr>
          <w:b/>
          <w:spacing w:val="-6"/>
          <w:sz w:val="22"/>
        </w:rPr>
        <w:t> </w:t>
      </w:r>
      <w:r>
        <w:rPr>
          <w:b/>
          <w:sz w:val="22"/>
        </w:rPr>
        <w:t>la</w:t>
      </w:r>
      <w:r>
        <w:rPr>
          <w:b/>
          <w:spacing w:val="-6"/>
          <w:sz w:val="22"/>
        </w:rPr>
        <w:t> </w:t>
      </w:r>
      <w:r>
        <w:rPr>
          <w:b/>
          <w:sz w:val="22"/>
        </w:rPr>
        <w:t>política</w:t>
      </w:r>
      <w:r>
        <w:rPr>
          <w:b/>
          <w:spacing w:val="-6"/>
          <w:sz w:val="22"/>
        </w:rPr>
        <w:t> </w:t>
      </w:r>
      <w:r>
        <w:rPr>
          <w:b/>
          <w:sz w:val="22"/>
        </w:rPr>
        <w:t>para</w:t>
      </w:r>
      <w:r>
        <w:rPr>
          <w:b/>
          <w:spacing w:val="-9"/>
          <w:sz w:val="22"/>
        </w:rPr>
        <w:t> </w:t>
      </w:r>
      <w:r>
        <w:rPr>
          <w:b/>
          <w:sz w:val="22"/>
        </w:rPr>
        <w:t>erradicar</w:t>
      </w:r>
      <w:r>
        <w:rPr>
          <w:b/>
          <w:spacing w:val="-7"/>
          <w:sz w:val="22"/>
        </w:rPr>
        <w:t> </w:t>
      </w:r>
      <w:r>
        <w:rPr>
          <w:b/>
          <w:sz w:val="22"/>
        </w:rPr>
        <w:t>de</w:t>
      </w:r>
      <w:r>
        <w:rPr>
          <w:b/>
          <w:spacing w:val="-11"/>
          <w:sz w:val="22"/>
        </w:rPr>
        <w:t> </w:t>
      </w:r>
      <w:r>
        <w:rPr>
          <w:b/>
          <w:sz w:val="22"/>
        </w:rPr>
        <w:t>las</w:t>
      </w:r>
      <w:r>
        <w:rPr>
          <w:b/>
          <w:spacing w:val="-6"/>
          <w:sz w:val="22"/>
        </w:rPr>
        <w:t> </w:t>
      </w:r>
      <w:r>
        <w:rPr>
          <w:b/>
          <w:sz w:val="22"/>
        </w:rPr>
        <w:t>instituciones</w:t>
      </w:r>
      <w:r>
        <w:rPr>
          <w:b/>
          <w:spacing w:val="-6"/>
          <w:sz w:val="22"/>
        </w:rPr>
        <w:t> </w:t>
      </w:r>
      <w:r>
        <w:rPr>
          <w:b/>
          <w:sz w:val="22"/>
        </w:rPr>
        <w:t>públicas</w:t>
      </w:r>
      <w:r>
        <w:rPr>
          <w:b/>
          <w:spacing w:val="-6"/>
          <w:sz w:val="22"/>
        </w:rPr>
        <w:t> </w:t>
      </w:r>
      <w:r>
        <w:rPr>
          <w:b/>
          <w:sz w:val="22"/>
        </w:rPr>
        <w:t>la discriminación hacia la población LGBTI. </w:t>
      </w:r>
      <w:r>
        <w:rPr>
          <w:sz w:val="22"/>
        </w:rPr>
        <w:t>Los entes descentralizados deberán implementar las reformas contempladas en Decreto N.º 40422 a lo interno de sus propias disposiciones reglamentarias, referente a Política Poder Ejecutivo para erradicar de sus instituciones discriminación población LGBTI. Fecha de vigencia 26/06/2017.</w:t>
      </w:r>
    </w:p>
    <w:p>
      <w:pPr>
        <w:spacing w:after="0" w:line="240" w:lineRule="auto"/>
        <w:jc w:val="both"/>
        <w:rPr>
          <w:sz w:val="22"/>
        </w:rPr>
        <w:sectPr>
          <w:pgSz w:w="12240" w:h="15840"/>
          <w:pgMar w:header="0" w:footer="1021" w:top="1340" w:bottom="1220" w:left="720" w:right="360"/>
        </w:sectPr>
      </w:pPr>
    </w:p>
    <w:p>
      <w:pPr>
        <w:pStyle w:val="BodyText"/>
        <w:spacing w:before="76"/>
        <w:ind w:left="979" w:right="1337"/>
        <w:jc w:val="both"/>
      </w:pPr>
      <w:r>
        <w:rPr>
          <w:b/>
        </w:rPr>
        <w:t>Directriz</w:t>
      </w:r>
      <w:r>
        <w:rPr>
          <w:b/>
          <w:spacing w:val="-3"/>
        </w:rPr>
        <w:t> </w:t>
      </w:r>
      <w:r>
        <w:rPr>
          <w:b/>
        </w:rPr>
        <w:t>N°084-MIDEPLAN.</w:t>
      </w:r>
      <w:r>
        <w:rPr>
          <w:b/>
          <w:spacing w:val="-2"/>
        </w:rPr>
        <w:t> </w:t>
      </w:r>
      <w:r>
        <w:rPr>
          <w:b/>
        </w:rPr>
        <w:t>Seguimiento</w:t>
      </w:r>
      <w:r>
        <w:rPr>
          <w:b/>
          <w:spacing w:val="-4"/>
        </w:rPr>
        <w:t> </w:t>
      </w:r>
      <w:r>
        <w:rPr>
          <w:b/>
        </w:rPr>
        <w:t>de</w:t>
      </w:r>
      <w:r>
        <w:rPr>
          <w:b/>
          <w:spacing w:val="-2"/>
        </w:rPr>
        <w:t> </w:t>
      </w:r>
      <w:r>
        <w:rPr>
          <w:b/>
        </w:rPr>
        <w:t>las</w:t>
      </w:r>
      <w:r>
        <w:rPr>
          <w:b/>
          <w:spacing w:val="-2"/>
        </w:rPr>
        <w:t> </w:t>
      </w:r>
      <w:r>
        <w:rPr>
          <w:b/>
        </w:rPr>
        <w:t>iniciativas</w:t>
      </w:r>
      <w:r>
        <w:rPr>
          <w:b/>
          <w:spacing w:val="-2"/>
        </w:rPr>
        <w:t> </w:t>
      </w:r>
      <w:r>
        <w:rPr>
          <w:b/>
        </w:rPr>
        <w:t>de</w:t>
      </w:r>
      <w:r>
        <w:rPr>
          <w:b/>
          <w:spacing w:val="-2"/>
        </w:rPr>
        <w:t> </w:t>
      </w:r>
      <w:r>
        <w:rPr>
          <w:b/>
        </w:rPr>
        <w:t>inversión</w:t>
      </w:r>
      <w:r>
        <w:rPr>
          <w:b/>
          <w:spacing w:val="-4"/>
        </w:rPr>
        <w:t> </w:t>
      </w:r>
      <w:r>
        <w:rPr>
          <w:b/>
        </w:rPr>
        <w:t>pública. </w:t>
      </w:r>
      <w:r>
        <w:rPr/>
        <w:t>Insta a las instituciones sujetas al</w:t>
      </w:r>
      <w:r>
        <w:rPr>
          <w:spacing w:val="-1"/>
        </w:rPr>
        <w:t> </w:t>
      </w:r>
      <w:r>
        <w:rPr/>
        <w:t>Sistema Nacional de Inversión Pública a actualizar, mediante su respectiva Unidad de Planificación Institucional, la información de los proyectos de inversión al</w:t>
      </w:r>
      <w:r>
        <w:rPr>
          <w:spacing w:val="-1"/>
        </w:rPr>
        <w:t> </w:t>
      </w:r>
      <w:r>
        <w:rPr/>
        <w:t>menos cada tres meses durante el</w:t>
      </w:r>
      <w:r>
        <w:rPr>
          <w:spacing w:val="-1"/>
        </w:rPr>
        <w:t> </w:t>
      </w:r>
      <w:r>
        <w:rPr/>
        <w:t>año. El órgano rector se asegurará de que las</w:t>
      </w:r>
      <w:r>
        <w:rPr>
          <w:spacing w:val="-12"/>
        </w:rPr>
        <w:t> </w:t>
      </w:r>
      <w:r>
        <w:rPr/>
        <w:t>instituciones</w:t>
      </w:r>
      <w:r>
        <w:rPr>
          <w:spacing w:val="-16"/>
        </w:rPr>
        <w:t> </w:t>
      </w:r>
      <w:r>
        <w:rPr/>
        <w:t>que</w:t>
      </w:r>
      <w:r>
        <w:rPr>
          <w:spacing w:val="-13"/>
        </w:rPr>
        <w:t> </w:t>
      </w:r>
      <w:r>
        <w:rPr/>
        <w:t>conforman</w:t>
      </w:r>
      <w:r>
        <w:rPr>
          <w:spacing w:val="-14"/>
        </w:rPr>
        <w:t> </w:t>
      </w:r>
      <w:r>
        <w:rPr/>
        <w:t>el</w:t>
      </w:r>
      <w:r>
        <w:rPr>
          <w:spacing w:val="-12"/>
        </w:rPr>
        <w:t> </w:t>
      </w:r>
      <w:r>
        <w:rPr/>
        <w:t>sector</w:t>
      </w:r>
      <w:r>
        <w:rPr>
          <w:spacing w:val="-16"/>
        </w:rPr>
        <w:t> </w:t>
      </w:r>
      <w:r>
        <w:rPr/>
        <w:t>bajo</w:t>
      </w:r>
      <w:r>
        <w:rPr>
          <w:spacing w:val="-8"/>
        </w:rPr>
        <w:t> </w:t>
      </w:r>
      <w:r>
        <w:rPr/>
        <w:t>su</w:t>
      </w:r>
      <w:r>
        <w:rPr>
          <w:spacing w:val="-14"/>
        </w:rPr>
        <w:t> </w:t>
      </w:r>
      <w:r>
        <w:rPr/>
        <w:t>responsabilidad</w:t>
      </w:r>
      <w:r>
        <w:rPr>
          <w:spacing w:val="-14"/>
        </w:rPr>
        <w:t> </w:t>
      </w:r>
      <w:r>
        <w:rPr/>
        <w:t>cumplan</w:t>
      </w:r>
      <w:r>
        <w:rPr>
          <w:spacing w:val="-14"/>
        </w:rPr>
        <w:t> </w:t>
      </w:r>
      <w:r>
        <w:rPr/>
        <w:t>con</w:t>
      </w:r>
      <w:r>
        <w:rPr>
          <w:spacing w:val="-9"/>
        </w:rPr>
        <w:t> </w:t>
      </w:r>
      <w:r>
        <w:rPr/>
        <w:t>la</w:t>
      </w:r>
      <w:r>
        <w:rPr>
          <w:spacing w:val="-9"/>
        </w:rPr>
        <w:t> </w:t>
      </w:r>
      <w:r>
        <w:rPr/>
        <w:t>respectiva actualización. Fecha de vigencia 06/09/2017</w:t>
      </w:r>
    </w:p>
    <w:p>
      <w:pPr>
        <w:pStyle w:val="BodyText"/>
        <w:spacing w:before="1"/>
      </w:pPr>
    </w:p>
    <w:p>
      <w:pPr>
        <w:spacing w:line="240" w:lineRule="auto" w:before="0"/>
        <w:ind w:left="979" w:right="1342" w:firstLine="0"/>
        <w:jc w:val="both"/>
        <w:rPr>
          <w:sz w:val="22"/>
        </w:rPr>
      </w:pPr>
      <w:r>
        <w:rPr>
          <w:b/>
          <w:sz w:val="22"/>
        </w:rPr>
        <w:t>Directriz N°102-MP</w:t>
      </w:r>
      <w:r>
        <w:rPr>
          <w:sz w:val="22"/>
        </w:rPr>
        <w:t>. </w:t>
      </w:r>
      <w:r>
        <w:rPr>
          <w:b/>
          <w:sz w:val="22"/>
        </w:rPr>
        <w:t>Política general sobre transparencia y divulgación de información financiera y no financiera para empresas propiedad del Estado sus subsidiarias e instituciones. </w:t>
      </w:r>
      <w:r>
        <w:rPr>
          <w:sz w:val="22"/>
        </w:rPr>
        <w:t>Amplía y refuerza la transparencia de las empresas propiedad del Estado, sus subsidiarias, y de las instituciones autónomas, así como establecer las</w:t>
      </w:r>
      <w:r>
        <w:rPr>
          <w:spacing w:val="-2"/>
          <w:sz w:val="22"/>
        </w:rPr>
        <w:t> </w:t>
      </w:r>
      <w:r>
        <w:rPr>
          <w:sz w:val="22"/>
        </w:rPr>
        <w:t>condiciones</w:t>
      </w:r>
      <w:r>
        <w:rPr>
          <w:spacing w:val="-1"/>
          <w:sz w:val="22"/>
        </w:rPr>
        <w:t> </w:t>
      </w:r>
      <w:r>
        <w:rPr>
          <w:sz w:val="22"/>
        </w:rPr>
        <w:t>para la más</w:t>
      </w:r>
      <w:r>
        <w:rPr>
          <w:spacing w:val="-2"/>
          <w:sz w:val="22"/>
        </w:rPr>
        <w:t> </w:t>
      </w:r>
      <w:r>
        <w:rPr>
          <w:sz w:val="22"/>
        </w:rPr>
        <w:t>adecuada</w:t>
      </w:r>
      <w:r>
        <w:rPr>
          <w:spacing w:val="-4"/>
          <w:sz w:val="22"/>
        </w:rPr>
        <w:t> </w:t>
      </w:r>
      <w:r>
        <w:rPr>
          <w:sz w:val="22"/>
        </w:rPr>
        <w:t>divulgación de su información financiera y no financiera. Fecha de vigencia 30/04/2018.</w:t>
      </w:r>
    </w:p>
    <w:p>
      <w:pPr>
        <w:pStyle w:val="BodyText"/>
        <w:spacing w:before="1"/>
      </w:pPr>
    </w:p>
    <w:p>
      <w:pPr>
        <w:pStyle w:val="BodyText"/>
        <w:ind w:left="979" w:right="1336"/>
        <w:jc w:val="both"/>
      </w:pPr>
      <w:r>
        <w:rPr>
          <w:b/>
        </w:rPr>
        <w:t>Directriz N°103-P. Implementación del Reglamento para el desarrollo, fomento y </w:t>
      </w:r>
      <w:r>
        <w:rPr/>
        <w:t>gestión</w:t>
      </w:r>
      <w:r>
        <w:rPr>
          <w:spacing w:val="-3"/>
        </w:rPr>
        <w:t> </w:t>
      </w:r>
      <w:r>
        <w:rPr/>
        <w:t>de las Alianzas</w:t>
      </w:r>
      <w:r>
        <w:rPr>
          <w:spacing w:val="-5"/>
        </w:rPr>
        <w:t> </w:t>
      </w:r>
      <w:r>
        <w:rPr/>
        <w:t>Público-Privadas</w:t>
      </w:r>
      <w:r>
        <w:rPr>
          <w:spacing w:val="-5"/>
        </w:rPr>
        <w:t> </w:t>
      </w:r>
      <w:r>
        <w:rPr/>
        <w:t>para el</w:t>
      </w:r>
      <w:r>
        <w:rPr>
          <w:spacing w:val="-6"/>
        </w:rPr>
        <w:t> </w:t>
      </w:r>
      <w:r>
        <w:rPr/>
        <w:t>Desarrollo</w:t>
      </w:r>
      <w:r>
        <w:rPr>
          <w:spacing w:val="-3"/>
        </w:rPr>
        <w:t> </w:t>
      </w:r>
      <w:r>
        <w:rPr/>
        <w:t>en</w:t>
      </w:r>
      <w:r>
        <w:rPr>
          <w:spacing w:val="-3"/>
        </w:rPr>
        <w:t> </w:t>
      </w:r>
      <w:r>
        <w:rPr/>
        <w:t>el</w:t>
      </w:r>
      <w:r>
        <w:rPr>
          <w:spacing w:val="-1"/>
        </w:rPr>
        <w:t> </w:t>
      </w:r>
      <w:r>
        <w:rPr/>
        <w:t>Sector</w:t>
      </w:r>
      <w:r>
        <w:rPr>
          <w:spacing w:val="-2"/>
        </w:rPr>
        <w:t> </w:t>
      </w:r>
      <w:r>
        <w:rPr/>
        <w:t>Público</w:t>
      </w:r>
      <w:r>
        <w:rPr>
          <w:b/>
        </w:rPr>
        <w:t>. </w:t>
      </w:r>
      <w:r>
        <w:rPr/>
        <w:t>Ordena a la Administración Central y se instruye a la Administración Descentralizada, aplicar los lineamientos y objetivos establecidos en el Reglamento para el Desarrollo, Fomento y Gestión</w:t>
      </w:r>
      <w:r>
        <w:rPr>
          <w:spacing w:val="-3"/>
        </w:rPr>
        <w:t> </w:t>
      </w:r>
      <w:r>
        <w:rPr/>
        <w:t>de</w:t>
      </w:r>
      <w:r>
        <w:rPr>
          <w:spacing w:val="-3"/>
        </w:rPr>
        <w:t> </w:t>
      </w:r>
      <w:r>
        <w:rPr/>
        <w:t>las</w:t>
      </w:r>
      <w:r>
        <w:rPr>
          <w:spacing w:val="-5"/>
        </w:rPr>
        <w:t> </w:t>
      </w:r>
      <w:r>
        <w:rPr/>
        <w:t>Alianzas</w:t>
      </w:r>
      <w:r>
        <w:rPr>
          <w:spacing w:val="-10"/>
        </w:rPr>
        <w:t> </w:t>
      </w:r>
      <w:r>
        <w:rPr/>
        <w:t>Público-Privadas</w:t>
      </w:r>
      <w:r>
        <w:rPr>
          <w:spacing w:val="-10"/>
        </w:rPr>
        <w:t> </w:t>
      </w:r>
      <w:r>
        <w:rPr/>
        <w:t>para</w:t>
      </w:r>
      <w:r>
        <w:rPr>
          <w:spacing w:val="-8"/>
        </w:rPr>
        <w:t> </w:t>
      </w:r>
      <w:r>
        <w:rPr/>
        <w:t>el</w:t>
      </w:r>
      <w:r>
        <w:rPr>
          <w:spacing w:val="-6"/>
        </w:rPr>
        <w:t> </w:t>
      </w:r>
      <w:r>
        <w:rPr/>
        <w:t>Desarrollo</w:t>
      </w:r>
      <w:r>
        <w:rPr>
          <w:spacing w:val="-3"/>
        </w:rPr>
        <w:t> </w:t>
      </w:r>
      <w:r>
        <w:rPr/>
        <w:t>en</w:t>
      </w:r>
      <w:r>
        <w:rPr>
          <w:spacing w:val="-3"/>
        </w:rPr>
        <w:t> </w:t>
      </w:r>
      <w:r>
        <w:rPr/>
        <w:t>el</w:t>
      </w:r>
      <w:r>
        <w:rPr>
          <w:spacing w:val="-6"/>
        </w:rPr>
        <w:t> </w:t>
      </w:r>
      <w:r>
        <w:rPr/>
        <w:t>Sector Público.</w:t>
      </w:r>
      <w:r>
        <w:rPr>
          <w:spacing w:val="-4"/>
        </w:rPr>
        <w:t> </w:t>
      </w:r>
      <w:r>
        <w:rPr/>
        <w:t>Fecha</w:t>
      </w:r>
      <w:r>
        <w:rPr>
          <w:spacing w:val="-3"/>
        </w:rPr>
        <w:t> </w:t>
      </w:r>
      <w:r>
        <w:rPr/>
        <w:t>de vigencia 30/04/2018.</w:t>
      </w:r>
    </w:p>
    <w:p>
      <w:pPr>
        <w:pStyle w:val="BodyText"/>
        <w:spacing w:before="1"/>
      </w:pPr>
    </w:p>
    <w:p>
      <w:pPr>
        <w:spacing w:line="240" w:lineRule="auto" w:before="0"/>
        <w:ind w:left="979" w:right="1338" w:firstLine="0"/>
        <w:jc w:val="both"/>
        <w:rPr>
          <w:sz w:val="22"/>
        </w:rPr>
      </w:pPr>
      <w:r>
        <w:rPr>
          <w:b/>
          <w:sz w:val="22"/>
        </w:rPr>
        <w:t>Directriz N°108-MP. Atención integral de la zona fronteriza norte en los distritos de Pocosol, Cutris y Pital, del Cantón de San Carlos. </w:t>
      </w:r>
      <w:r>
        <w:rPr>
          <w:sz w:val="22"/>
        </w:rPr>
        <w:t>Instruye a los órganos de la Administración Central y</w:t>
      </w:r>
      <w:r>
        <w:rPr>
          <w:spacing w:val="-2"/>
          <w:sz w:val="22"/>
        </w:rPr>
        <w:t> </w:t>
      </w:r>
      <w:r>
        <w:rPr>
          <w:sz w:val="22"/>
        </w:rPr>
        <w:t>Descentralizada, a colaborar en la medida de sus posibilidades y sin perjuicio del cumplimiento de sus propios objetivos, en la implementación y ejecución de las medidas a corto, mediano y largo plazo del Plan de Desarrollo Integral para el Desarrollo Fronterizo Norte, en específico, de los distritos de Pocosol, Cutris y Pital, del Cantón de San Carlos. Fecha de vigencia 11/05/2018.</w:t>
      </w:r>
    </w:p>
    <w:p>
      <w:pPr>
        <w:spacing w:line="240" w:lineRule="auto" w:before="250"/>
        <w:ind w:left="979" w:right="1343" w:firstLine="0"/>
        <w:jc w:val="both"/>
        <w:rPr>
          <w:sz w:val="22"/>
        </w:rPr>
      </w:pPr>
      <w:r>
        <w:rPr>
          <w:b/>
          <w:sz w:val="22"/>
        </w:rPr>
        <w:t>Directriz N° CSO-004-2018. Lineamiento para minimizar y controlar la violencia externa en la ejecución del trabajo. </w:t>
      </w:r>
      <w:r>
        <w:rPr>
          <w:sz w:val="22"/>
        </w:rPr>
        <w:t>Establece pautas generales de acción para la atención de la violencia externa en la ejecución del trabajo, dirigidas a las personas trabajadoras y empleadoras con el fin de prevenir y minimizar el riesgo a la salud física, mental y social. Fecha de vigencia 11/05/2018.</w:t>
      </w:r>
    </w:p>
    <w:p>
      <w:pPr>
        <w:pStyle w:val="BodyText"/>
        <w:spacing w:before="4"/>
      </w:pPr>
    </w:p>
    <w:p>
      <w:pPr>
        <w:pStyle w:val="BodyText"/>
        <w:ind w:left="979" w:right="1339"/>
        <w:jc w:val="both"/>
      </w:pPr>
      <w:r>
        <w:rPr>
          <w:b/>
        </w:rPr>
        <w:t>Directriz N° 003-H. Modificación a la Directriz N°098-H. </w:t>
      </w:r>
      <w:r>
        <w:rPr/>
        <w:t>Instruye a los órganos que conforman el Presupuesto Nacional no podrán destinar los remanentes que se produzcan en</w:t>
      </w:r>
      <w:r>
        <w:rPr>
          <w:spacing w:val="-5"/>
        </w:rPr>
        <w:t> </w:t>
      </w:r>
      <w:r>
        <w:rPr/>
        <w:t>diferentes</w:t>
      </w:r>
      <w:r>
        <w:rPr>
          <w:spacing w:val="-2"/>
        </w:rPr>
        <w:t> </w:t>
      </w:r>
      <w:r>
        <w:rPr/>
        <w:t>subpartidas</w:t>
      </w:r>
      <w:r>
        <w:rPr>
          <w:spacing w:val="-7"/>
        </w:rPr>
        <w:t> </w:t>
      </w:r>
      <w:r>
        <w:rPr/>
        <w:t>de</w:t>
      </w:r>
      <w:r>
        <w:rPr>
          <w:spacing w:val="-1"/>
        </w:rPr>
        <w:t> </w:t>
      </w:r>
      <w:r>
        <w:rPr/>
        <w:t>la</w:t>
      </w:r>
      <w:r>
        <w:rPr>
          <w:spacing w:val="-1"/>
        </w:rPr>
        <w:t> </w:t>
      </w:r>
      <w:r>
        <w:rPr/>
        <w:t>partida</w:t>
      </w:r>
      <w:r>
        <w:rPr>
          <w:spacing w:val="-1"/>
        </w:rPr>
        <w:t> </w:t>
      </w:r>
      <w:r>
        <w:rPr/>
        <w:t>0</w:t>
      </w:r>
      <w:r>
        <w:rPr>
          <w:spacing w:val="-1"/>
        </w:rPr>
        <w:t> </w:t>
      </w:r>
      <w:r>
        <w:rPr/>
        <w:t>Remuneraciones,</w:t>
      </w:r>
      <w:r>
        <w:rPr>
          <w:spacing w:val="-6"/>
        </w:rPr>
        <w:t> </w:t>
      </w:r>
      <w:r>
        <w:rPr/>
        <w:t>para</w:t>
      </w:r>
      <w:r>
        <w:rPr>
          <w:spacing w:val="-1"/>
        </w:rPr>
        <w:t> </w:t>
      </w:r>
      <w:r>
        <w:rPr/>
        <w:t>incrementar</w:t>
      </w:r>
      <w:r>
        <w:rPr>
          <w:spacing w:val="-4"/>
        </w:rPr>
        <w:t> </w:t>
      </w:r>
      <w:r>
        <w:rPr/>
        <w:t>otras</w:t>
      </w:r>
      <w:r>
        <w:rPr>
          <w:spacing w:val="-7"/>
        </w:rPr>
        <w:t> </w:t>
      </w:r>
      <w:r>
        <w:rPr/>
        <w:t>partidas presupuestarias. Fecha de vigencia 06/06/2018.</w:t>
      </w:r>
    </w:p>
    <w:p>
      <w:pPr>
        <w:pStyle w:val="BodyText"/>
        <w:spacing w:before="251"/>
        <w:ind w:left="979" w:right="1343"/>
        <w:jc w:val="both"/>
      </w:pPr>
      <w:r>
        <w:rPr>
          <w:b/>
        </w:rPr>
        <w:t>Directriz N.º 008-H Orientación para el alquiler de bienes inmuebles en el sector público </w:t>
      </w:r>
      <w:r>
        <w:rPr/>
        <w:t>Insta a las instituciones del Poder Ejecutivo que se encuentren ejecutando o que estén por contratar el arrendamiento de edificios, locales o terrenos deberán apegarse al artículo 67 de la Ley General de Arrendamientos Urbanos y Suburbanos al negociar el reajuste anual de precio del alquiler y asegurar ahorro y uso razonable de los recursos públicos en la adaptación del costo del arrendamiento. Fecha de vigencia 06/06/2018.</w:t>
      </w:r>
    </w:p>
    <w:p>
      <w:pPr>
        <w:pStyle w:val="BodyText"/>
        <w:spacing w:before="1"/>
      </w:pPr>
    </w:p>
    <w:p>
      <w:pPr>
        <w:spacing w:line="240" w:lineRule="auto" w:before="0"/>
        <w:ind w:left="979" w:right="1343" w:firstLine="0"/>
        <w:jc w:val="both"/>
        <w:rPr>
          <w:sz w:val="22"/>
        </w:rPr>
      </w:pPr>
      <w:r>
        <w:rPr>
          <w:b/>
          <w:sz w:val="22"/>
        </w:rPr>
        <w:t>Directriz N.º 009-H Sobre la renegociación de convenciones colectivas de </w:t>
      </w:r>
      <w:r>
        <w:rPr>
          <w:b/>
          <w:spacing w:val="-2"/>
          <w:sz w:val="22"/>
        </w:rPr>
        <w:t>instituciones</w:t>
      </w:r>
      <w:r>
        <w:rPr>
          <w:b/>
          <w:spacing w:val="-7"/>
          <w:sz w:val="22"/>
        </w:rPr>
        <w:t> </w:t>
      </w:r>
      <w:r>
        <w:rPr>
          <w:b/>
          <w:spacing w:val="-2"/>
          <w:sz w:val="22"/>
        </w:rPr>
        <w:t>públicas</w:t>
      </w:r>
      <w:r>
        <w:rPr>
          <w:spacing w:val="-2"/>
          <w:sz w:val="22"/>
        </w:rPr>
        <w:t>,</w:t>
      </w:r>
      <w:r>
        <w:rPr>
          <w:spacing w:val="-7"/>
          <w:sz w:val="22"/>
        </w:rPr>
        <w:t> </w:t>
      </w:r>
      <w:r>
        <w:rPr>
          <w:spacing w:val="-2"/>
          <w:sz w:val="22"/>
        </w:rPr>
        <w:t>Insta</w:t>
      </w:r>
      <w:r>
        <w:rPr>
          <w:spacing w:val="-7"/>
          <w:sz w:val="22"/>
        </w:rPr>
        <w:t> </w:t>
      </w:r>
      <w:r>
        <w:rPr>
          <w:spacing w:val="-2"/>
          <w:sz w:val="22"/>
        </w:rPr>
        <w:t>a</w:t>
      </w:r>
      <w:r>
        <w:rPr>
          <w:spacing w:val="-7"/>
          <w:sz w:val="22"/>
        </w:rPr>
        <w:t> </w:t>
      </w:r>
      <w:r>
        <w:rPr>
          <w:spacing w:val="-2"/>
          <w:sz w:val="22"/>
        </w:rPr>
        <w:t>que todas</w:t>
      </w:r>
      <w:r>
        <w:rPr>
          <w:spacing w:val="-3"/>
          <w:sz w:val="22"/>
        </w:rPr>
        <w:t> </w:t>
      </w:r>
      <w:r>
        <w:rPr>
          <w:spacing w:val="-2"/>
          <w:sz w:val="22"/>
        </w:rPr>
        <w:t>las</w:t>
      </w:r>
      <w:r>
        <w:rPr>
          <w:spacing w:val="-3"/>
          <w:sz w:val="22"/>
        </w:rPr>
        <w:t> </w:t>
      </w:r>
      <w:r>
        <w:rPr>
          <w:spacing w:val="-2"/>
          <w:sz w:val="22"/>
        </w:rPr>
        <w:t>instituciones</w:t>
      </w:r>
      <w:r>
        <w:rPr>
          <w:spacing w:val="-8"/>
          <w:sz w:val="22"/>
        </w:rPr>
        <w:t> </w:t>
      </w:r>
      <w:r>
        <w:rPr>
          <w:spacing w:val="-2"/>
          <w:sz w:val="22"/>
        </w:rPr>
        <w:t>que conforman la</w:t>
      </w:r>
      <w:r>
        <w:rPr>
          <w:spacing w:val="-7"/>
          <w:sz w:val="22"/>
        </w:rPr>
        <w:t> </w:t>
      </w:r>
      <w:r>
        <w:rPr>
          <w:spacing w:val="-2"/>
          <w:sz w:val="22"/>
        </w:rPr>
        <w:t>Administración </w:t>
      </w:r>
      <w:r>
        <w:rPr>
          <w:sz w:val="22"/>
        </w:rPr>
        <w:t>Pública Central que cuenten con convenciones colectivas, deberán renegociarlas una vez se llegue a su vencimiento. Fecha de vigencia 06/06/2018.</w:t>
      </w:r>
    </w:p>
    <w:p>
      <w:pPr>
        <w:spacing w:after="0" w:line="240" w:lineRule="auto"/>
        <w:jc w:val="both"/>
        <w:rPr>
          <w:sz w:val="22"/>
        </w:rPr>
        <w:sectPr>
          <w:pgSz w:w="12240" w:h="15840"/>
          <w:pgMar w:header="0" w:footer="1021" w:top="1340" w:bottom="1220" w:left="720" w:right="360"/>
        </w:sectPr>
      </w:pPr>
    </w:p>
    <w:p>
      <w:pPr>
        <w:pStyle w:val="BodyText"/>
        <w:spacing w:before="71"/>
        <w:ind w:left="979" w:right="1336"/>
        <w:jc w:val="both"/>
      </w:pPr>
      <w:r>
        <w:rPr>
          <w:b/>
        </w:rPr>
        <w:t>Directriz</w:t>
      </w:r>
      <w:r>
        <w:rPr>
          <w:b/>
          <w:spacing w:val="-2"/>
        </w:rPr>
        <w:t> </w:t>
      </w:r>
      <w:r>
        <w:rPr>
          <w:b/>
        </w:rPr>
        <w:t>N.º</w:t>
      </w:r>
      <w:r>
        <w:rPr>
          <w:b/>
          <w:spacing w:val="-6"/>
        </w:rPr>
        <w:t> </w:t>
      </w:r>
      <w:r>
        <w:rPr>
          <w:b/>
        </w:rPr>
        <w:t>013-H</w:t>
      </w:r>
      <w:r>
        <w:rPr>
          <w:b/>
          <w:spacing w:val="-3"/>
        </w:rPr>
        <w:t> </w:t>
      </w:r>
      <w:r>
        <w:rPr>
          <w:b/>
        </w:rPr>
        <w:t>Racionalización</w:t>
      </w:r>
      <w:r>
        <w:rPr>
          <w:b/>
          <w:spacing w:val="-8"/>
        </w:rPr>
        <w:t> </w:t>
      </w:r>
      <w:r>
        <w:rPr>
          <w:b/>
        </w:rPr>
        <w:t>del</w:t>
      </w:r>
      <w:r>
        <w:rPr>
          <w:b/>
          <w:spacing w:val="-6"/>
        </w:rPr>
        <w:t> </w:t>
      </w:r>
      <w:r>
        <w:rPr>
          <w:b/>
        </w:rPr>
        <w:t>gasto</w:t>
      </w:r>
      <w:r>
        <w:rPr>
          <w:b/>
          <w:spacing w:val="-3"/>
        </w:rPr>
        <w:t> </w:t>
      </w:r>
      <w:r>
        <w:rPr>
          <w:b/>
        </w:rPr>
        <w:t>por</w:t>
      </w:r>
      <w:r>
        <w:rPr>
          <w:b/>
          <w:spacing w:val="-2"/>
        </w:rPr>
        <w:t> </w:t>
      </w:r>
      <w:r>
        <w:rPr>
          <w:b/>
        </w:rPr>
        <w:t>concepto</w:t>
      </w:r>
      <w:r>
        <w:rPr>
          <w:b/>
          <w:spacing w:val="-3"/>
        </w:rPr>
        <w:t> </w:t>
      </w:r>
      <w:r>
        <w:rPr>
          <w:b/>
        </w:rPr>
        <w:t>de</w:t>
      </w:r>
      <w:r>
        <w:rPr>
          <w:b/>
          <w:spacing w:val="-5"/>
        </w:rPr>
        <w:t> </w:t>
      </w:r>
      <w:r>
        <w:rPr>
          <w:b/>
        </w:rPr>
        <w:t>anualidades </w:t>
      </w:r>
      <w:r>
        <w:rPr/>
        <w:t>Determina que</w:t>
      </w:r>
      <w:r>
        <w:rPr>
          <w:spacing w:val="-5"/>
        </w:rPr>
        <w:t> </w:t>
      </w:r>
      <w:r>
        <w:rPr/>
        <w:t>la</w:t>
      </w:r>
      <w:r>
        <w:rPr>
          <w:spacing w:val="-5"/>
        </w:rPr>
        <w:t> </w:t>
      </w:r>
      <w:r>
        <w:rPr/>
        <w:t>Dirección</w:t>
      </w:r>
      <w:r>
        <w:rPr>
          <w:spacing w:val="-10"/>
        </w:rPr>
        <w:t> </w:t>
      </w:r>
      <w:r>
        <w:rPr/>
        <w:t>General</w:t>
      </w:r>
      <w:r>
        <w:rPr>
          <w:spacing w:val="-12"/>
        </w:rPr>
        <w:t> </w:t>
      </w:r>
      <w:r>
        <w:rPr/>
        <w:t>de</w:t>
      </w:r>
      <w:r>
        <w:rPr>
          <w:spacing w:val="-10"/>
        </w:rPr>
        <w:t> </w:t>
      </w:r>
      <w:r>
        <w:rPr/>
        <w:t>Servicio</w:t>
      </w:r>
      <w:r>
        <w:rPr>
          <w:spacing w:val="-10"/>
        </w:rPr>
        <w:t> </w:t>
      </w:r>
      <w:r>
        <w:rPr/>
        <w:t>Civil</w:t>
      </w:r>
      <w:r>
        <w:rPr>
          <w:spacing w:val="-12"/>
        </w:rPr>
        <w:t> </w:t>
      </w:r>
      <w:r>
        <w:rPr/>
        <w:t>deberá</w:t>
      </w:r>
      <w:r>
        <w:rPr>
          <w:spacing w:val="-10"/>
        </w:rPr>
        <w:t> </w:t>
      </w:r>
      <w:r>
        <w:rPr/>
        <w:t>calcular</w:t>
      </w:r>
      <w:r>
        <w:rPr>
          <w:spacing w:val="-12"/>
        </w:rPr>
        <w:t> </w:t>
      </w:r>
      <w:r>
        <w:rPr/>
        <w:t>las</w:t>
      </w:r>
      <w:r>
        <w:rPr>
          <w:spacing w:val="-11"/>
        </w:rPr>
        <w:t> </w:t>
      </w:r>
      <w:r>
        <w:rPr/>
        <w:t>anualidades</w:t>
      </w:r>
      <w:r>
        <w:rPr>
          <w:spacing w:val="-11"/>
        </w:rPr>
        <w:t> </w:t>
      </w:r>
      <w:r>
        <w:rPr/>
        <w:t>de</w:t>
      </w:r>
      <w:r>
        <w:rPr>
          <w:spacing w:val="-10"/>
        </w:rPr>
        <w:t> </w:t>
      </w:r>
      <w:r>
        <w:rPr/>
        <w:t>las</w:t>
      </w:r>
      <w:r>
        <w:rPr>
          <w:spacing w:val="-11"/>
        </w:rPr>
        <w:t> </w:t>
      </w:r>
      <w:r>
        <w:rPr/>
        <w:t>servidoras y los servidores bajo su régimen, no como un porcentaje del salario base, sino como un monto nominal fijo, con independencia de la base. Para ello se tomará como referencia la última anualidad reconocida. Fecha de vigencia 06/06/2018.</w:t>
      </w:r>
    </w:p>
    <w:p>
      <w:pPr>
        <w:pStyle w:val="BodyText"/>
        <w:spacing w:before="252"/>
        <w:ind w:left="979" w:right="1334"/>
        <w:jc w:val="both"/>
      </w:pPr>
      <w:r>
        <w:rPr>
          <w:b/>
        </w:rPr>
        <w:t>Directriz GG-1565-06-2018 Actualización de Expedientes y creación del Expediente Digital</w:t>
      </w:r>
      <w:r>
        <w:rPr>
          <w:b/>
          <w:spacing w:val="-4"/>
        </w:rPr>
        <w:t> </w:t>
      </w:r>
      <w:r>
        <w:rPr/>
        <w:t>Busca</w:t>
      </w:r>
      <w:r>
        <w:rPr>
          <w:spacing w:val="-4"/>
        </w:rPr>
        <w:t> </w:t>
      </w:r>
      <w:r>
        <w:rPr/>
        <w:t>la</w:t>
      </w:r>
      <w:r>
        <w:rPr>
          <w:spacing w:val="-9"/>
        </w:rPr>
        <w:t> </w:t>
      </w:r>
      <w:r>
        <w:rPr/>
        <w:t>agilización</w:t>
      </w:r>
      <w:r>
        <w:rPr>
          <w:spacing w:val="-4"/>
        </w:rPr>
        <w:t> </w:t>
      </w:r>
      <w:r>
        <w:rPr/>
        <w:t>de los</w:t>
      </w:r>
      <w:r>
        <w:rPr>
          <w:spacing w:val="-6"/>
        </w:rPr>
        <w:t> </w:t>
      </w:r>
      <w:r>
        <w:rPr/>
        <w:t>procesos</w:t>
      </w:r>
      <w:r>
        <w:rPr>
          <w:spacing w:val="-6"/>
        </w:rPr>
        <w:t> </w:t>
      </w:r>
      <w:r>
        <w:rPr/>
        <w:t>de</w:t>
      </w:r>
      <w:r>
        <w:rPr>
          <w:spacing w:val="-9"/>
        </w:rPr>
        <w:t> </w:t>
      </w:r>
      <w:r>
        <w:rPr/>
        <w:t>atención</w:t>
      </w:r>
      <w:r>
        <w:rPr>
          <w:spacing w:val="-4"/>
        </w:rPr>
        <w:t> </w:t>
      </w:r>
      <w:r>
        <w:rPr/>
        <w:t>de la</w:t>
      </w:r>
      <w:r>
        <w:rPr>
          <w:spacing w:val="-4"/>
        </w:rPr>
        <w:t> </w:t>
      </w:r>
      <w:r>
        <w:rPr/>
        <w:t>población</w:t>
      </w:r>
      <w:r>
        <w:rPr>
          <w:spacing w:val="-4"/>
        </w:rPr>
        <w:t> </w:t>
      </w:r>
      <w:r>
        <w:rPr/>
        <w:t>objetivo</w:t>
      </w:r>
      <w:r>
        <w:rPr>
          <w:spacing w:val="-4"/>
        </w:rPr>
        <w:t> </w:t>
      </w:r>
      <w:r>
        <w:rPr/>
        <w:t>por</w:t>
      </w:r>
      <w:r>
        <w:rPr>
          <w:spacing w:val="-8"/>
        </w:rPr>
        <w:t> </w:t>
      </w:r>
      <w:r>
        <w:rPr/>
        <w:t>medio de un efectivo manejo y modernización de la administración de la gestión documental de los expedientes familiares de las personas beneficiarias institucionales; por lo que las personas Titulares Subordinados relacionadas deben coadyuvar para lograrlo. Fecha de vigilancia 29/06/2018.</w:t>
      </w:r>
    </w:p>
    <w:p>
      <w:pPr>
        <w:pStyle w:val="BodyText"/>
        <w:spacing w:before="1"/>
      </w:pPr>
    </w:p>
    <w:p>
      <w:pPr>
        <w:spacing w:line="240" w:lineRule="auto" w:before="0"/>
        <w:ind w:left="979" w:right="1341" w:firstLine="0"/>
        <w:jc w:val="both"/>
        <w:rPr>
          <w:sz w:val="22"/>
        </w:rPr>
      </w:pPr>
      <w:r>
        <w:rPr>
          <w:b/>
          <w:sz w:val="22"/>
        </w:rPr>
        <w:t>Directriz N°015-P Adecuación de trámites y documentos al reconocimiento del derecho</w:t>
      </w:r>
      <w:r>
        <w:rPr>
          <w:b/>
          <w:spacing w:val="-7"/>
          <w:sz w:val="22"/>
        </w:rPr>
        <w:t> </w:t>
      </w:r>
      <w:r>
        <w:rPr>
          <w:b/>
          <w:sz w:val="22"/>
        </w:rPr>
        <w:t>a</w:t>
      </w:r>
      <w:r>
        <w:rPr>
          <w:b/>
          <w:spacing w:val="-9"/>
          <w:sz w:val="22"/>
        </w:rPr>
        <w:t> </w:t>
      </w:r>
      <w:r>
        <w:rPr>
          <w:b/>
          <w:sz w:val="22"/>
        </w:rPr>
        <w:t>la</w:t>
      </w:r>
      <w:r>
        <w:rPr>
          <w:b/>
          <w:spacing w:val="-9"/>
          <w:sz w:val="22"/>
        </w:rPr>
        <w:t> </w:t>
      </w:r>
      <w:r>
        <w:rPr>
          <w:b/>
          <w:sz w:val="22"/>
        </w:rPr>
        <w:t>identidad</w:t>
      </w:r>
      <w:r>
        <w:rPr>
          <w:b/>
          <w:spacing w:val="-11"/>
          <w:sz w:val="22"/>
        </w:rPr>
        <w:t> </w:t>
      </w:r>
      <w:r>
        <w:rPr>
          <w:b/>
          <w:sz w:val="22"/>
        </w:rPr>
        <w:t>sexual</w:t>
      </w:r>
      <w:r>
        <w:rPr>
          <w:b/>
          <w:spacing w:val="-5"/>
          <w:sz w:val="22"/>
        </w:rPr>
        <w:t> </w:t>
      </w:r>
      <w:r>
        <w:rPr>
          <w:b/>
          <w:sz w:val="22"/>
        </w:rPr>
        <w:t>y</w:t>
      </w:r>
      <w:r>
        <w:rPr>
          <w:b/>
          <w:spacing w:val="-9"/>
          <w:sz w:val="22"/>
        </w:rPr>
        <w:t> </w:t>
      </w:r>
      <w:r>
        <w:rPr>
          <w:b/>
          <w:sz w:val="22"/>
        </w:rPr>
        <w:t>de</w:t>
      </w:r>
      <w:r>
        <w:rPr>
          <w:b/>
          <w:spacing w:val="-5"/>
          <w:sz w:val="22"/>
        </w:rPr>
        <w:t> </w:t>
      </w:r>
      <w:r>
        <w:rPr>
          <w:b/>
          <w:sz w:val="22"/>
        </w:rPr>
        <w:t>género</w:t>
      </w:r>
      <w:r>
        <w:rPr>
          <w:sz w:val="22"/>
        </w:rPr>
        <w:t>.</w:t>
      </w:r>
      <w:r>
        <w:rPr>
          <w:spacing w:val="-5"/>
          <w:sz w:val="22"/>
        </w:rPr>
        <w:t> </w:t>
      </w:r>
      <w:r>
        <w:rPr>
          <w:sz w:val="22"/>
        </w:rPr>
        <w:t>Regula</w:t>
      </w:r>
      <w:r>
        <w:rPr>
          <w:spacing w:val="-4"/>
          <w:sz w:val="22"/>
        </w:rPr>
        <w:t> </w:t>
      </w:r>
      <w:r>
        <w:rPr>
          <w:sz w:val="22"/>
        </w:rPr>
        <w:t>la</w:t>
      </w:r>
      <w:r>
        <w:rPr>
          <w:spacing w:val="-9"/>
          <w:sz w:val="22"/>
        </w:rPr>
        <w:t> </w:t>
      </w:r>
      <w:r>
        <w:rPr>
          <w:sz w:val="22"/>
        </w:rPr>
        <w:t>adecuación</w:t>
      </w:r>
      <w:r>
        <w:rPr>
          <w:spacing w:val="-9"/>
          <w:sz w:val="22"/>
        </w:rPr>
        <w:t> </w:t>
      </w:r>
      <w:r>
        <w:rPr>
          <w:sz w:val="22"/>
        </w:rPr>
        <w:t>del</w:t>
      </w:r>
      <w:r>
        <w:rPr>
          <w:spacing w:val="-12"/>
          <w:sz w:val="22"/>
        </w:rPr>
        <w:t> </w:t>
      </w:r>
      <w:r>
        <w:rPr>
          <w:sz w:val="22"/>
        </w:rPr>
        <w:t>nombre,</w:t>
      </w:r>
      <w:r>
        <w:rPr>
          <w:spacing w:val="-10"/>
          <w:sz w:val="22"/>
        </w:rPr>
        <w:t> </w:t>
      </w:r>
      <w:r>
        <w:rPr>
          <w:sz w:val="22"/>
        </w:rPr>
        <w:t>la</w:t>
      </w:r>
      <w:r>
        <w:rPr>
          <w:spacing w:val="-4"/>
          <w:sz w:val="22"/>
        </w:rPr>
        <w:t> </w:t>
      </w:r>
      <w:r>
        <w:rPr>
          <w:sz w:val="22"/>
        </w:rPr>
        <w:t>imagen, y la referencia al sexo o género de la persona en todo tipo de documentos, registros y trámites que genere la Administración Pública Descentralizada, según su propia identidad sexual y de género. Fecha de vigencia 05/07/2018.</w:t>
      </w:r>
    </w:p>
    <w:p>
      <w:pPr>
        <w:pStyle w:val="BodyText"/>
        <w:spacing w:before="252"/>
        <w:ind w:left="979" w:right="1333"/>
        <w:jc w:val="both"/>
      </w:pPr>
      <w:r>
        <w:rPr>
          <w:b/>
        </w:rPr>
        <w:t>Directriz Nº016 Inclusión Financiera en Programas de Transferencias del Estado</w:t>
      </w:r>
      <w:r>
        <w:rPr/>
        <w:t>, Garantiza la inclusión financiera de todas las personas que reciben transferencias del Estado</w:t>
      </w:r>
      <w:r>
        <w:rPr>
          <w:spacing w:val="40"/>
        </w:rPr>
        <w:t> </w:t>
      </w:r>
      <w:r>
        <w:rPr/>
        <w:t>por medio de programas tales como el Fondo Nacional de Becas (FONABE), Programa Avancemos y</w:t>
      </w:r>
      <w:r>
        <w:rPr>
          <w:spacing w:val="-1"/>
        </w:rPr>
        <w:t> </w:t>
      </w:r>
      <w:r>
        <w:rPr/>
        <w:t>del Régimen no Contributivo de la Caja Costarricense del</w:t>
      </w:r>
      <w:r>
        <w:rPr>
          <w:spacing w:val="-2"/>
        </w:rPr>
        <w:t> </w:t>
      </w:r>
      <w:r>
        <w:rPr/>
        <w:t>Seguro Social</w:t>
      </w:r>
      <w:r>
        <w:rPr>
          <w:spacing w:val="-2"/>
        </w:rPr>
        <w:t> </w:t>
      </w:r>
      <w:r>
        <w:rPr/>
        <w:t>(CCSS), entre</w:t>
      </w:r>
      <w:r>
        <w:rPr>
          <w:spacing w:val="-4"/>
        </w:rPr>
        <w:t> </w:t>
      </w:r>
      <w:r>
        <w:rPr/>
        <w:t>otros</w:t>
      </w:r>
      <w:r>
        <w:rPr>
          <w:spacing w:val="-1"/>
        </w:rPr>
        <w:t> </w:t>
      </w:r>
      <w:r>
        <w:rPr/>
        <w:t>tales</w:t>
      </w:r>
      <w:r>
        <w:rPr>
          <w:spacing w:val="-1"/>
        </w:rPr>
        <w:t> </w:t>
      </w:r>
      <w:r>
        <w:rPr/>
        <w:t>como</w:t>
      </w:r>
      <w:r>
        <w:rPr>
          <w:spacing w:val="-4"/>
        </w:rPr>
        <w:t> </w:t>
      </w:r>
      <w:r>
        <w:rPr/>
        <w:t>programas</w:t>
      </w:r>
      <w:r>
        <w:rPr>
          <w:spacing w:val="-6"/>
        </w:rPr>
        <w:t> </w:t>
      </w:r>
      <w:r>
        <w:rPr/>
        <w:t>de financiamiento a las</w:t>
      </w:r>
      <w:r>
        <w:rPr>
          <w:spacing w:val="-6"/>
        </w:rPr>
        <w:t> </w:t>
      </w:r>
      <w:r>
        <w:rPr/>
        <w:t>micro,</w:t>
      </w:r>
      <w:r>
        <w:rPr>
          <w:spacing w:val="-5"/>
        </w:rPr>
        <w:t> </w:t>
      </w:r>
      <w:r>
        <w:rPr/>
        <w:t>pequeñas y medianas empresas, así como los programas que transfieran recursos para vivienda de interés social, a fin de migrar de métodos de transferencia no bancarizados (tarjetas prepago, cheques, retiros en ventanilla u otros) a transferencias a cuentas bancarias electrónicas en entidades del sistema financiero nacional. fecha de vigencia 30/07/2018.</w:t>
      </w:r>
    </w:p>
    <w:p>
      <w:pPr>
        <w:pStyle w:val="BodyText"/>
        <w:spacing w:before="1"/>
      </w:pPr>
    </w:p>
    <w:p>
      <w:pPr>
        <w:spacing w:line="240" w:lineRule="auto" w:before="0"/>
        <w:ind w:left="979" w:right="1337" w:firstLine="0"/>
        <w:jc w:val="both"/>
        <w:rPr>
          <w:sz w:val="22"/>
        </w:rPr>
      </w:pPr>
      <w:r>
        <w:rPr>
          <w:b/>
          <w:sz w:val="22"/>
        </w:rPr>
        <w:t>Directriz N°26-H Reforma a los artículos 1, 8, 9, 18, 20, 21 y 23 </w:t>
      </w:r>
      <w:r>
        <w:rPr>
          <w:sz w:val="22"/>
        </w:rPr>
        <w:t>de la Directriz 98-H del 11</w:t>
      </w:r>
      <w:r>
        <w:rPr>
          <w:spacing w:val="-10"/>
          <w:sz w:val="22"/>
        </w:rPr>
        <w:t> </w:t>
      </w:r>
      <w:r>
        <w:rPr>
          <w:sz w:val="22"/>
        </w:rPr>
        <w:t>de</w:t>
      </w:r>
      <w:r>
        <w:rPr>
          <w:spacing w:val="-10"/>
          <w:sz w:val="22"/>
        </w:rPr>
        <w:t> </w:t>
      </w:r>
      <w:r>
        <w:rPr>
          <w:sz w:val="22"/>
        </w:rPr>
        <w:t>enero</w:t>
      </w:r>
      <w:r>
        <w:rPr>
          <w:spacing w:val="-10"/>
          <w:sz w:val="22"/>
        </w:rPr>
        <w:t> </w:t>
      </w:r>
      <w:r>
        <w:rPr>
          <w:sz w:val="22"/>
        </w:rPr>
        <w:t>de</w:t>
      </w:r>
      <w:r>
        <w:rPr>
          <w:spacing w:val="-10"/>
          <w:sz w:val="22"/>
        </w:rPr>
        <w:t> </w:t>
      </w:r>
      <w:r>
        <w:rPr>
          <w:sz w:val="22"/>
        </w:rPr>
        <w:t>2018</w:t>
      </w:r>
      <w:r>
        <w:rPr>
          <w:spacing w:val="-5"/>
          <w:sz w:val="22"/>
        </w:rPr>
        <w:t> </w:t>
      </w:r>
      <w:r>
        <w:rPr>
          <w:sz w:val="22"/>
        </w:rPr>
        <w:t>y</w:t>
      </w:r>
      <w:r>
        <w:rPr>
          <w:spacing w:val="-7"/>
          <w:sz w:val="22"/>
        </w:rPr>
        <w:t> </w:t>
      </w:r>
      <w:r>
        <w:rPr>
          <w:sz w:val="22"/>
        </w:rPr>
        <w:t>su</w:t>
      </w:r>
      <w:r>
        <w:rPr>
          <w:spacing w:val="-5"/>
          <w:sz w:val="22"/>
        </w:rPr>
        <w:t> </w:t>
      </w:r>
      <w:r>
        <w:rPr>
          <w:sz w:val="22"/>
        </w:rPr>
        <w:t>reforma.</w:t>
      </w:r>
      <w:r>
        <w:rPr>
          <w:spacing w:val="-6"/>
          <w:sz w:val="22"/>
        </w:rPr>
        <w:t> </w:t>
      </w:r>
      <w:r>
        <w:rPr>
          <w:sz w:val="22"/>
        </w:rPr>
        <w:t>Reforma</w:t>
      </w:r>
      <w:r>
        <w:rPr>
          <w:spacing w:val="-5"/>
          <w:sz w:val="22"/>
        </w:rPr>
        <w:t> </w:t>
      </w:r>
      <w:r>
        <w:rPr>
          <w:sz w:val="22"/>
        </w:rPr>
        <w:t>referente</w:t>
      </w:r>
      <w:r>
        <w:rPr>
          <w:spacing w:val="-10"/>
          <w:sz w:val="22"/>
        </w:rPr>
        <w:t> </w:t>
      </w:r>
      <w:r>
        <w:rPr>
          <w:sz w:val="22"/>
        </w:rPr>
        <w:t>a</w:t>
      </w:r>
      <w:r>
        <w:rPr>
          <w:spacing w:val="-5"/>
          <w:sz w:val="22"/>
        </w:rPr>
        <w:t> </w:t>
      </w:r>
      <w:r>
        <w:rPr>
          <w:sz w:val="22"/>
        </w:rPr>
        <w:t>contención</w:t>
      </w:r>
      <w:r>
        <w:rPr>
          <w:spacing w:val="-5"/>
          <w:sz w:val="22"/>
        </w:rPr>
        <w:t> </w:t>
      </w:r>
      <w:r>
        <w:rPr>
          <w:sz w:val="22"/>
        </w:rPr>
        <w:t>del</w:t>
      </w:r>
      <w:r>
        <w:rPr>
          <w:spacing w:val="-8"/>
          <w:sz w:val="22"/>
        </w:rPr>
        <w:t> </w:t>
      </w:r>
      <w:r>
        <w:rPr>
          <w:sz w:val="22"/>
        </w:rPr>
        <w:t>gasto</w:t>
      </w:r>
      <w:r>
        <w:rPr>
          <w:spacing w:val="-5"/>
          <w:sz w:val="22"/>
        </w:rPr>
        <w:t> </w:t>
      </w:r>
      <w:r>
        <w:rPr>
          <w:sz w:val="22"/>
        </w:rPr>
        <w:t>público.</w:t>
      </w:r>
      <w:r>
        <w:rPr>
          <w:spacing w:val="-6"/>
          <w:sz w:val="22"/>
        </w:rPr>
        <w:t> </w:t>
      </w:r>
      <w:r>
        <w:rPr>
          <w:sz w:val="22"/>
        </w:rPr>
        <w:t>fecha de vigencia 17/10/2018.</w:t>
      </w:r>
    </w:p>
    <w:p>
      <w:pPr>
        <w:pStyle w:val="BodyText"/>
        <w:spacing w:before="1"/>
      </w:pPr>
    </w:p>
    <w:p>
      <w:pPr>
        <w:pStyle w:val="BodyText"/>
        <w:ind w:left="979" w:right="1344"/>
        <w:jc w:val="both"/>
      </w:pPr>
      <w:r>
        <w:rPr>
          <w:b/>
        </w:rPr>
        <w:t>Directriz N°028-P Diseño de la Política Nacional para la formación, educación y empleabilidad</w:t>
      </w:r>
      <w:r>
        <w:rPr>
          <w:b/>
          <w:spacing w:val="-2"/>
        </w:rPr>
        <w:t> </w:t>
      </w:r>
      <w:r>
        <w:rPr>
          <w:b/>
        </w:rPr>
        <w:t>de personas trans</w:t>
      </w:r>
      <w:r>
        <w:rPr/>
        <w:t>., Instruye al Ministerio de Educación Pública (MEP), al Ministerio de Trabajo y Seguridad Social (MTSS), al Ministerio de Economía, Industria y Comercio (MEIC), al Instituto Nacional de Aprendizaje (INA), al Instituto Mixto de Ayuda Social (IMAS), al Instituto Nacional de Fomento Cooperativo (INFOCOOP), al Instituto de Fomento y Asesoría Municipal (IFAM), al Patronato Nacional de la Infancia (PANI) y al Ministerio</w:t>
      </w:r>
      <w:r>
        <w:rPr>
          <w:spacing w:val="-10"/>
        </w:rPr>
        <w:t> </w:t>
      </w:r>
      <w:r>
        <w:rPr/>
        <w:t>de</w:t>
      </w:r>
      <w:r>
        <w:rPr>
          <w:spacing w:val="-10"/>
        </w:rPr>
        <w:t> </w:t>
      </w:r>
      <w:r>
        <w:rPr/>
        <w:t>Planificación</w:t>
      </w:r>
      <w:r>
        <w:rPr>
          <w:spacing w:val="-5"/>
        </w:rPr>
        <w:t> </w:t>
      </w:r>
      <w:r>
        <w:rPr/>
        <w:t>y</w:t>
      </w:r>
      <w:r>
        <w:rPr>
          <w:spacing w:val="-12"/>
        </w:rPr>
        <w:t> </w:t>
      </w:r>
      <w:r>
        <w:rPr/>
        <w:t>Política</w:t>
      </w:r>
      <w:r>
        <w:rPr>
          <w:spacing w:val="-5"/>
        </w:rPr>
        <w:t> </w:t>
      </w:r>
      <w:r>
        <w:rPr/>
        <w:t>Económica</w:t>
      </w:r>
      <w:r>
        <w:rPr>
          <w:spacing w:val="-5"/>
        </w:rPr>
        <w:t> </w:t>
      </w:r>
      <w:r>
        <w:rPr/>
        <w:t>(MIDEPLAN)</w:t>
      </w:r>
      <w:r>
        <w:rPr>
          <w:spacing w:val="-9"/>
        </w:rPr>
        <w:t> </w:t>
      </w:r>
      <w:r>
        <w:rPr/>
        <w:t>para</w:t>
      </w:r>
      <w:r>
        <w:rPr>
          <w:spacing w:val="-5"/>
        </w:rPr>
        <w:t> </w:t>
      </w:r>
      <w:r>
        <w:rPr/>
        <w:t>que,</w:t>
      </w:r>
      <w:r>
        <w:rPr>
          <w:spacing w:val="-6"/>
        </w:rPr>
        <w:t> </w:t>
      </w:r>
      <w:r>
        <w:rPr/>
        <w:t>en</w:t>
      </w:r>
      <w:r>
        <w:rPr>
          <w:spacing w:val="-5"/>
        </w:rPr>
        <w:t> </w:t>
      </w:r>
      <w:r>
        <w:rPr/>
        <w:t>el</w:t>
      </w:r>
      <w:r>
        <w:rPr>
          <w:spacing w:val="-13"/>
        </w:rPr>
        <w:t> </w:t>
      </w:r>
      <w:r>
        <w:rPr/>
        <w:t>marco</w:t>
      </w:r>
      <w:r>
        <w:rPr>
          <w:spacing w:val="-10"/>
        </w:rPr>
        <w:t> </w:t>
      </w:r>
      <w:r>
        <w:rPr/>
        <w:t>de</w:t>
      </w:r>
      <w:r>
        <w:rPr>
          <w:spacing w:val="-5"/>
        </w:rPr>
        <w:t> </w:t>
      </w:r>
      <w:r>
        <w:rPr/>
        <w:t>sus competencias, colaboren y acompañen en el diseño, la ejecución y el seguimiento de la Política</w:t>
      </w:r>
      <w:r>
        <w:rPr>
          <w:spacing w:val="-7"/>
        </w:rPr>
        <w:t> </w:t>
      </w:r>
      <w:r>
        <w:rPr/>
        <w:t>Nacional</w:t>
      </w:r>
      <w:r>
        <w:rPr>
          <w:spacing w:val="-8"/>
        </w:rPr>
        <w:t> </w:t>
      </w:r>
      <w:r>
        <w:rPr/>
        <w:t>para</w:t>
      </w:r>
      <w:r>
        <w:rPr>
          <w:spacing w:val="-6"/>
        </w:rPr>
        <w:t> </w:t>
      </w:r>
      <w:r>
        <w:rPr/>
        <w:t>la</w:t>
      </w:r>
      <w:r>
        <w:rPr>
          <w:spacing w:val="-6"/>
        </w:rPr>
        <w:t> </w:t>
      </w:r>
      <w:r>
        <w:rPr/>
        <w:t>Formación,</w:t>
      </w:r>
      <w:r>
        <w:rPr>
          <w:spacing w:val="-11"/>
        </w:rPr>
        <w:t> </w:t>
      </w:r>
      <w:r>
        <w:rPr/>
        <w:t>Educación</w:t>
      </w:r>
      <w:r>
        <w:rPr>
          <w:spacing w:val="-6"/>
        </w:rPr>
        <w:t> </w:t>
      </w:r>
      <w:r>
        <w:rPr/>
        <w:t>y</w:t>
      </w:r>
      <w:r>
        <w:rPr>
          <w:spacing w:val="-16"/>
        </w:rPr>
        <w:t> </w:t>
      </w:r>
      <w:r>
        <w:rPr/>
        <w:t>Empleabilidad</w:t>
      </w:r>
      <w:r>
        <w:rPr>
          <w:spacing w:val="-10"/>
        </w:rPr>
        <w:t> </w:t>
      </w:r>
      <w:r>
        <w:rPr/>
        <w:t>de</w:t>
      </w:r>
      <w:r>
        <w:rPr>
          <w:spacing w:val="-10"/>
        </w:rPr>
        <w:t> </w:t>
      </w:r>
      <w:r>
        <w:rPr/>
        <w:t>Personas</w:t>
      </w:r>
      <w:r>
        <w:rPr>
          <w:spacing w:val="-8"/>
        </w:rPr>
        <w:t> </w:t>
      </w:r>
      <w:r>
        <w:rPr/>
        <w:t>Trans.</w:t>
      </w:r>
      <w:r>
        <w:rPr>
          <w:spacing w:val="-11"/>
        </w:rPr>
        <w:t> </w:t>
      </w:r>
      <w:r>
        <w:rPr/>
        <w:t>Fecha de vigencia 23/11/2018.</w:t>
      </w:r>
    </w:p>
    <w:p>
      <w:pPr>
        <w:pStyle w:val="BodyText"/>
        <w:spacing w:before="2"/>
      </w:pPr>
    </w:p>
    <w:p>
      <w:pPr>
        <w:spacing w:line="240" w:lineRule="auto" w:before="0"/>
        <w:ind w:left="979" w:right="1339" w:firstLine="0"/>
        <w:jc w:val="both"/>
        <w:rPr>
          <w:sz w:val="22"/>
        </w:rPr>
      </w:pPr>
      <w:r>
        <w:rPr>
          <w:b/>
          <w:sz w:val="22"/>
        </w:rPr>
        <w:t>Directriz N°039-MP Política general para el establecimiento de una evaluación del desempeño en las Juntas Directivas u órganos de dirección de las empresas propiedad del Estado y de Instituciones Autónomas</w:t>
      </w:r>
      <w:r>
        <w:rPr>
          <w:sz w:val="22"/>
        </w:rPr>
        <w:t>. Define los parámetros generales para la realización, entrega, análisis, seguimiento y definición de acciones de mejora en cuanto a la evaluación del desempeño sobre la gestión de la junta directiva u órgano de dirección,</w:t>
      </w:r>
      <w:r>
        <w:rPr>
          <w:spacing w:val="-5"/>
          <w:sz w:val="22"/>
        </w:rPr>
        <w:t> </w:t>
      </w:r>
      <w:r>
        <w:rPr>
          <w:sz w:val="22"/>
        </w:rPr>
        <w:t>como</w:t>
      </w:r>
      <w:r>
        <w:rPr>
          <w:spacing w:val="-9"/>
          <w:sz w:val="22"/>
        </w:rPr>
        <w:t> </w:t>
      </w:r>
      <w:r>
        <w:rPr>
          <w:sz w:val="22"/>
        </w:rPr>
        <w:t>órgano</w:t>
      </w:r>
      <w:r>
        <w:rPr>
          <w:spacing w:val="-9"/>
          <w:sz w:val="22"/>
        </w:rPr>
        <w:t> </w:t>
      </w:r>
      <w:r>
        <w:rPr>
          <w:sz w:val="22"/>
        </w:rPr>
        <w:t>colegiado,</w:t>
      </w:r>
      <w:r>
        <w:rPr>
          <w:spacing w:val="-5"/>
          <w:sz w:val="22"/>
        </w:rPr>
        <w:t> </w:t>
      </w:r>
      <w:r>
        <w:rPr>
          <w:sz w:val="22"/>
        </w:rPr>
        <w:t>así</w:t>
      </w:r>
      <w:r>
        <w:rPr>
          <w:spacing w:val="-9"/>
          <w:sz w:val="22"/>
        </w:rPr>
        <w:t> </w:t>
      </w:r>
      <w:r>
        <w:rPr>
          <w:sz w:val="22"/>
        </w:rPr>
        <w:t>como</w:t>
      </w:r>
      <w:r>
        <w:rPr>
          <w:spacing w:val="-4"/>
          <w:sz w:val="22"/>
        </w:rPr>
        <w:t> </w:t>
      </w:r>
      <w:r>
        <w:rPr>
          <w:sz w:val="22"/>
        </w:rPr>
        <w:t>de</w:t>
      </w:r>
      <w:r>
        <w:rPr>
          <w:spacing w:val="-4"/>
          <w:sz w:val="22"/>
        </w:rPr>
        <w:t> </w:t>
      </w:r>
      <w:r>
        <w:rPr>
          <w:sz w:val="22"/>
        </w:rPr>
        <w:t>la</w:t>
      </w:r>
      <w:r>
        <w:rPr>
          <w:spacing w:val="-9"/>
          <w:sz w:val="22"/>
        </w:rPr>
        <w:t> </w:t>
      </w:r>
      <w:r>
        <w:rPr>
          <w:sz w:val="22"/>
        </w:rPr>
        <w:t>gestión</w:t>
      </w:r>
      <w:r>
        <w:rPr>
          <w:spacing w:val="-4"/>
          <w:sz w:val="22"/>
        </w:rPr>
        <w:t> </w:t>
      </w:r>
      <w:r>
        <w:rPr>
          <w:sz w:val="22"/>
        </w:rPr>
        <w:t>individual</w:t>
      </w:r>
      <w:r>
        <w:rPr>
          <w:spacing w:val="-11"/>
          <w:sz w:val="22"/>
        </w:rPr>
        <w:t> </w:t>
      </w:r>
      <w:r>
        <w:rPr>
          <w:sz w:val="22"/>
        </w:rPr>
        <w:t>de</w:t>
      </w:r>
      <w:r>
        <w:rPr>
          <w:spacing w:val="-9"/>
          <w:sz w:val="22"/>
        </w:rPr>
        <w:t> </w:t>
      </w:r>
      <w:r>
        <w:rPr>
          <w:sz w:val="22"/>
        </w:rPr>
        <w:t>sus</w:t>
      </w:r>
      <w:r>
        <w:rPr>
          <w:spacing w:val="-10"/>
          <w:sz w:val="22"/>
        </w:rPr>
        <w:t> </w:t>
      </w:r>
      <w:r>
        <w:rPr>
          <w:sz w:val="22"/>
        </w:rPr>
        <w:t>miembros,</w:t>
      </w:r>
      <w:r>
        <w:rPr>
          <w:spacing w:val="-9"/>
          <w:sz w:val="22"/>
        </w:rPr>
        <w:t> </w:t>
      </w:r>
      <w:r>
        <w:rPr>
          <w:sz w:val="22"/>
        </w:rPr>
        <w:t>para</w:t>
      </w:r>
    </w:p>
    <w:p>
      <w:pPr>
        <w:spacing w:after="0" w:line="240" w:lineRule="auto"/>
        <w:jc w:val="both"/>
        <w:rPr>
          <w:sz w:val="22"/>
        </w:rPr>
        <w:sectPr>
          <w:pgSz w:w="12240" w:h="15840"/>
          <w:pgMar w:header="0" w:footer="1021" w:top="1600" w:bottom="1220" w:left="720" w:right="360"/>
        </w:sectPr>
      </w:pPr>
    </w:p>
    <w:p>
      <w:pPr>
        <w:pStyle w:val="BodyText"/>
        <w:spacing w:before="76"/>
        <w:ind w:left="979" w:right="1350"/>
        <w:jc w:val="both"/>
      </w:pPr>
      <w:r>
        <w:rPr/>
        <w:t>las empresas propiedad del Estado e instituciones autónomas, en cumplimiento de su mandato legal. Fecha de vigencia 02/04/2019.</w:t>
      </w:r>
    </w:p>
    <w:p>
      <w:pPr>
        <w:spacing w:line="240" w:lineRule="auto" w:before="253"/>
        <w:ind w:left="979" w:right="1339" w:firstLine="0"/>
        <w:jc w:val="both"/>
        <w:rPr>
          <w:sz w:val="22"/>
        </w:rPr>
      </w:pPr>
      <w:r>
        <w:rPr>
          <w:b/>
          <w:sz w:val="22"/>
        </w:rPr>
        <w:t>Directriz N°98-H Reforma al artículo 9 de la </w:t>
      </w:r>
      <w:r>
        <w:rPr>
          <w:sz w:val="22"/>
        </w:rPr>
        <w:t>del 11 de enero de 2018 y sus reformas Directriz 46-H Modifica el artículo 9 de la Directriz N° 98-H del 11 de enero de 2018 y sus reformas. Fecha de vigencia 24/05/2019.</w:t>
      </w:r>
    </w:p>
    <w:p>
      <w:pPr>
        <w:pStyle w:val="BodyText"/>
        <w:spacing w:before="1"/>
      </w:pPr>
    </w:p>
    <w:p>
      <w:pPr>
        <w:pStyle w:val="BodyText"/>
        <w:ind w:left="979" w:right="1342"/>
        <w:jc w:val="both"/>
      </w:pPr>
      <w:r>
        <w:rPr>
          <w:b/>
        </w:rPr>
        <w:t>Directriz N°051-MTSS-MICITT Implementación de sitios web accesibles en el sector público costarricense </w:t>
      </w:r>
      <w:r>
        <w:rPr/>
        <w:t>Requiere a los órganos, entes, instituciones y empresas que conforman el Sector Público a utilización de criterios de accesibilidad establecidos en la norma WCAG 2.1 “Pautas de Accesibilidad para el Contenido Web” y sus posteriores versiones,</w:t>
      </w:r>
      <w:r>
        <w:rPr>
          <w:spacing w:val="-5"/>
        </w:rPr>
        <w:t> </w:t>
      </w:r>
      <w:r>
        <w:rPr/>
        <w:t>en las</w:t>
      </w:r>
      <w:r>
        <w:rPr>
          <w:spacing w:val="-1"/>
        </w:rPr>
        <w:t> </w:t>
      </w:r>
      <w:r>
        <w:rPr/>
        <w:t>páginas</w:t>
      </w:r>
      <w:r>
        <w:rPr>
          <w:spacing w:val="-1"/>
        </w:rPr>
        <w:t> </w:t>
      </w:r>
      <w:r>
        <w:rPr/>
        <w:t>de sus</w:t>
      </w:r>
      <w:r>
        <w:rPr>
          <w:spacing w:val="-1"/>
        </w:rPr>
        <w:t> </w:t>
      </w:r>
      <w:r>
        <w:rPr/>
        <w:t>sitios</w:t>
      </w:r>
      <w:r>
        <w:rPr>
          <w:spacing w:val="-1"/>
        </w:rPr>
        <w:t> </w:t>
      </w:r>
      <w:r>
        <w:rPr/>
        <w:t>web,</w:t>
      </w:r>
      <w:r>
        <w:rPr>
          <w:spacing w:val="-5"/>
        </w:rPr>
        <w:t> </w:t>
      </w:r>
      <w:r>
        <w:rPr/>
        <w:t>facilitando</w:t>
      </w:r>
      <w:r>
        <w:rPr>
          <w:spacing w:val="-4"/>
        </w:rPr>
        <w:t> </w:t>
      </w:r>
      <w:r>
        <w:rPr/>
        <w:t>a las</w:t>
      </w:r>
      <w:r>
        <w:rPr>
          <w:spacing w:val="-1"/>
        </w:rPr>
        <w:t> </w:t>
      </w:r>
      <w:r>
        <w:rPr/>
        <w:t>personas</w:t>
      </w:r>
      <w:r>
        <w:rPr>
          <w:spacing w:val="-1"/>
        </w:rPr>
        <w:t> </w:t>
      </w:r>
      <w:r>
        <w:rPr/>
        <w:t>con</w:t>
      </w:r>
      <w:r>
        <w:rPr>
          <w:spacing w:val="-4"/>
        </w:rPr>
        <w:t> </w:t>
      </w:r>
      <w:r>
        <w:rPr/>
        <w:t>discapacidad el acceso a la información y a las Tecnologías de Información y Conocimiento. Fecha de vigencia 25/06/2019.</w:t>
      </w:r>
    </w:p>
    <w:p>
      <w:pPr>
        <w:spacing w:line="240" w:lineRule="auto" w:before="250"/>
        <w:ind w:left="979" w:right="1335" w:firstLine="0"/>
        <w:jc w:val="both"/>
        <w:rPr>
          <w:sz w:val="22"/>
        </w:rPr>
      </w:pPr>
      <w:r>
        <w:rPr>
          <w:b/>
          <w:sz w:val="22"/>
        </w:rPr>
        <w:t>Directriz N°03-H-MICTT Regulación y normalización de adquisiciones de tecnología y/o</w:t>
      </w:r>
      <w:r>
        <w:rPr>
          <w:b/>
          <w:spacing w:val="-3"/>
          <w:sz w:val="22"/>
        </w:rPr>
        <w:t> </w:t>
      </w:r>
      <w:r>
        <w:rPr>
          <w:b/>
          <w:sz w:val="22"/>
        </w:rPr>
        <w:t>desarrollo</w:t>
      </w:r>
      <w:r>
        <w:rPr>
          <w:b/>
          <w:spacing w:val="-3"/>
          <w:sz w:val="22"/>
        </w:rPr>
        <w:t> </w:t>
      </w:r>
      <w:r>
        <w:rPr>
          <w:b/>
          <w:sz w:val="22"/>
        </w:rPr>
        <w:t>de</w:t>
      </w:r>
      <w:r>
        <w:rPr>
          <w:b/>
          <w:spacing w:val="-5"/>
          <w:sz w:val="22"/>
        </w:rPr>
        <w:t> </w:t>
      </w:r>
      <w:r>
        <w:rPr>
          <w:b/>
          <w:sz w:val="22"/>
        </w:rPr>
        <w:t>sistemas</w:t>
      </w:r>
      <w:r>
        <w:rPr>
          <w:b/>
          <w:spacing w:val="-1"/>
          <w:sz w:val="22"/>
        </w:rPr>
        <w:t> </w:t>
      </w:r>
      <w:r>
        <w:rPr>
          <w:b/>
          <w:sz w:val="22"/>
        </w:rPr>
        <w:t>informáticos</w:t>
      </w:r>
      <w:r>
        <w:rPr>
          <w:b/>
          <w:spacing w:val="-1"/>
          <w:sz w:val="22"/>
        </w:rPr>
        <w:t> </w:t>
      </w:r>
      <w:r>
        <w:rPr>
          <w:b/>
          <w:sz w:val="22"/>
        </w:rPr>
        <w:t>de</w:t>
      </w:r>
      <w:r>
        <w:rPr>
          <w:b/>
          <w:spacing w:val="-1"/>
          <w:sz w:val="22"/>
        </w:rPr>
        <w:t> </w:t>
      </w:r>
      <w:r>
        <w:rPr>
          <w:b/>
          <w:sz w:val="22"/>
        </w:rPr>
        <w:t>apoyo</w:t>
      </w:r>
      <w:r>
        <w:rPr>
          <w:b/>
          <w:spacing w:val="-3"/>
          <w:sz w:val="22"/>
        </w:rPr>
        <w:t> </w:t>
      </w:r>
      <w:r>
        <w:rPr>
          <w:b/>
          <w:sz w:val="22"/>
        </w:rPr>
        <w:t>a la gestión</w:t>
      </w:r>
      <w:r>
        <w:rPr>
          <w:b/>
          <w:spacing w:val="-7"/>
          <w:sz w:val="22"/>
        </w:rPr>
        <w:t> </w:t>
      </w:r>
      <w:r>
        <w:rPr>
          <w:sz w:val="22"/>
        </w:rPr>
        <w:t>Instruye</w:t>
      </w:r>
      <w:r>
        <w:rPr>
          <w:spacing w:val="-4"/>
          <w:sz w:val="22"/>
        </w:rPr>
        <w:t> </w:t>
      </w:r>
      <w:r>
        <w:rPr>
          <w:sz w:val="22"/>
        </w:rPr>
        <w:t>a</w:t>
      </w:r>
      <w:r>
        <w:rPr>
          <w:spacing w:val="-1"/>
          <w:sz w:val="22"/>
        </w:rPr>
        <w:t> </w:t>
      </w:r>
      <w:r>
        <w:rPr>
          <w:sz w:val="22"/>
        </w:rPr>
        <w:t>las</w:t>
      </w:r>
      <w:r>
        <w:rPr>
          <w:spacing w:val="-7"/>
          <w:sz w:val="22"/>
        </w:rPr>
        <w:t> </w:t>
      </w:r>
      <w:r>
        <w:rPr>
          <w:sz w:val="22"/>
        </w:rPr>
        <w:t>entidades públicas</w:t>
      </w:r>
      <w:r>
        <w:rPr>
          <w:spacing w:val="-1"/>
          <w:sz w:val="22"/>
        </w:rPr>
        <w:t> </w:t>
      </w:r>
      <w:r>
        <w:rPr>
          <w:sz w:val="22"/>
        </w:rPr>
        <w:t>y</w:t>
      </w:r>
      <w:r>
        <w:rPr>
          <w:spacing w:val="-1"/>
          <w:sz w:val="22"/>
        </w:rPr>
        <w:t> </w:t>
      </w:r>
      <w:r>
        <w:rPr>
          <w:sz w:val="22"/>
        </w:rPr>
        <w:t>demás</w:t>
      </w:r>
      <w:r>
        <w:rPr>
          <w:spacing w:val="-6"/>
          <w:sz w:val="22"/>
        </w:rPr>
        <w:t> </w:t>
      </w:r>
      <w:r>
        <w:rPr>
          <w:sz w:val="22"/>
        </w:rPr>
        <w:t>órganos, de acuerdo con la naturaleza de sus</w:t>
      </w:r>
      <w:r>
        <w:rPr>
          <w:spacing w:val="-6"/>
          <w:sz w:val="22"/>
        </w:rPr>
        <w:t> </w:t>
      </w:r>
      <w:r>
        <w:rPr>
          <w:sz w:val="22"/>
        </w:rPr>
        <w:t>actividades,</w:t>
      </w:r>
      <w:r>
        <w:rPr>
          <w:spacing w:val="-5"/>
          <w:sz w:val="22"/>
        </w:rPr>
        <w:t> </w:t>
      </w:r>
      <w:r>
        <w:rPr>
          <w:sz w:val="22"/>
        </w:rPr>
        <w:t>a cumplir</w:t>
      </w:r>
      <w:r>
        <w:rPr>
          <w:spacing w:val="-3"/>
          <w:sz w:val="22"/>
        </w:rPr>
        <w:t> </w:t>
      </w:r>
      <w:r>
        <w:rPr>
          <w:sz w:val="22"/>
        </w:rPr>
        <w:t>con el deber de apegarse a las Normas Técnicas de la Contraloría General de la República y apegarse a los lineamientos que al efecto sean emitidos por el Ministerio de Ciencia, Tecnología y Telecomunicaciones. Fecha de vigencia 10/07/2019.</w:t>
      </w:r>
    </w:p>
    <w:p>
      <w:pPr>
        <w:pStyle w:val="BodyText"/>
        <w:spacing w:before="1"/>
      </w:pPr>
    </w:p>
    <w:p>
      <w:pPr>
        <w:spacing w:line="240" w:lineRule="auto" w:before="0"/>
        <w:ind w:left="979" w:right="1336" w:firstLine="0"/>
        <w:jc w:val="both"/>
        <w:rPr>
          <w:sz w:val="22"/>
        </w:rPr>
      </w:pPr>
      <w:r>
        <w:rPr>
          <w:b/>
          <w:sz w:val="22"/>
        </w:rPr>
        <w:t>Directriz N° 050-MINAE Para la construcción sostenible en el sector público. </w:t>
      </w:r>
      <w:r>
        <w:rPr>
          <w:sz w:val="22"/>
        </w:rPr>
        <w:t>Promueve la aplicación de prácticas de construcción sostenible en los edificios de toda la Administración Pública, tanto en aquellos que se vayan a construir como en los edificios existentes que se vayan a ampliar, adecuar, rehabilitar, renovar, mejorar, mantener o remodelar. Fecha de vigencia 31/07/2019.</w:t>
      </w:r>
    </w:p>
    <w:p>
      <w:pPr>
        <w:pStyle w:val="BodyText"/>
        <w:spacing w:before="4"/>
      </w:pPr>
    </w:p>
    <w:p>
      <w:pPr>
        <w:spacing w:line="240" w:lineRule="auto" w:before="1"/>
        <w:ind w:left="979" w:right="1336" w:firstLine="0"/>
        <w:jc w:val="both"/>
        <w:rPr>
          <w:sz w:val="22"/>
        </w:rPr>
      </w:pPr>
      <w:r>
        <w:rPr>
          <w:b/>
          <w:sz w:val="22"/>
        </w:rPr>
        <w:t>Directriz N°054-MP Modernización de los mecanismos de cobro y pago en las instituciones del sector público</w:t>
      </w:r>
      <w:r>
        <w:rPr>
          <w:sz w:val="22"/>
        </w:rPr>
        <w:t>, Establece los lineamientos generales para que las instituciones del</w:t>
      </w:r>
      <w:r>
        <w:rPr>
          <w:spacing w:val="-1"/>
          <w:sz w:val="22"/>
        </w:rPr>
        <w:t> </w:t>
      </w:r>
      <w:r>
        <w:rPr>
          <w:sz w:val="22"/>
        </w:rPr>
        <w:t>sector</w:t>
      </w:r>
      <w:r>
        <w:rPr>
          <w:spacing w:val="-2"/>
          <w:sz w:val="22"/>
        </w:rPr>
        <w:t> </w:t>
      </w:r>
      <w:r>
        <w:rPr>
          <w:sz w:val="22"/>
        </w:rPr>
        <w:t>público modernicen sus</w:t>
      </w:r>
      <w:r>
        <w:rPr>
          <w:spacing w:val="-5"/>
          <w:sz w:val="22"/>
        </w:rPr>
        <w:t> </w:t>
      </w:r>
      <w:r>
        <w:rPr>
          <w:sz w:val="22"/>
        </w:rPr>
        <w:t>mecanismos de cobro y pago, mediante la implementación y uso de procedimientos electrónicos que promuevan la eficiencia y seguridad de sus operaciones, así como el bienestar general de </w:t>
      </w:r>
      <w:r>
        <w:rPr>
          <w:b/>
          <w:sz w:val="22"/>
        </w:rPr>
        <w:t>la población, </w:t>
      </w:r>
      <w:r>
        <w:rPr>
          <w:sz w:val="22"/>
        </w:rPr>
        <w:t>fecha de vigencia 06/08/2019.</w:t>
      </w:r>
    </w:p>
    <w:p>
      <w:pPr>
        <w:pStyle w:val="BodyText"/>
      </w:pPr>
    </w:p>
    <w:p>
      <w:pPr>
        <w:pStyle w:val="BodyText"/>
        <w:ind w:left="979" w:right="1339"/>
        <w:jc w:val="both"/>
      </w:pPr>
      <w:r>
        <w:rPr>
          <w:b/>
        </w:rPr>
        <w:t>Directriz</w:t>
      </w:r>
      <w:r>
        <w:rPr>
          <w:b/>
          <w:spacing w:val="-1"/>
        </w:rPr>
        <w:t> </w:t>
      </w:r>
      <w:r>
        <w:rPr>
          <w:b/>
        </w:rPr>
        <w:t>N°055-H</w:t>
      </w:r>
      <w:r>
        <w:rPr>
          <w:b/>
          <w:spacing w:val="-2"/>
        </w:rPr>
        <w:t> </w:t>
      </w:r>
      <w:r>
        <w:rPr>
          <w:b/>
        </w:rPr>
        <w:t>Reforma al</w:t>
      </w:r>
      <w:r>
        <w:rPr>
          <w:b/>
          <w:spacing w:val="-5"/>
        </w:rPr>
        <w:t> </w:t>
      </w:r>
      <w:r>
        <w:rPr>
          <w:b/>
        </w:rPr>
        <w:t>artículo</w:t>
      </w:r>
      <w:r>
        <w:rPr>
          <w:b/>
          <w:spacing w:val="-6"/>
        </w:rPr>
        <w:t> </w:t>
      </w:r>
      <w:r>
        <w:rPr>
          <w:b/>
        </w:rPr>
        <w:t>9 de la Directriz</w:t>
      </w:r>
      <w:r>
        <w:rPr>
          <w:b/>
          <w:spacing w:val="-6"/>
        </w:rPr>
        <w:t> </w:t>
      </w:r>
      <w:r>
        <w:rPr>
          <w:b/>
        </w:rPr>
        <w:t>N°</w:t>
      </w:r>
      <w:r>
        <w:rPr>
          <w:b/>
          <w:spacing w:val="-3"/>
        </w:rPr>
        <w:t> </w:t>
      </w:r>
      <w:r>
        <w:rPr>
          <w:b/>
        </w:rPr>
        <w:t>98-H</w:t>
      </w:r>
      <w:r>
        <w:rPr>
          <w:b/>
          <w:spacing w:val="-2"/>
        </w:rPr>
        <w:t> </w:t>
      </w:r>
      <w:r>
        <w:rPr/>
        <w:t>del</w:t>
      </w:r>
      <w:r>
        <w:rPr>
          <w:spacing w:val="-2"/>
        </w:rPr>
        <w:t> </w:t>
      </w:r>
      <w:r>
        <w:rPr/>
        <w:t>11 de enero de 2018 y sus reformas, "Durante el ejercicio económico 2018, los órganos que conforman el Presupuesto</w:t>
      </w:r>
      <w:r>
        <w:rPr>
          <w:spacing w:val="-9"/>
        </w:rPr>
        <w:t> </w:t>
      </w:r>
      <w:r>
        <w:rPr/>
        <w:t>Nacional</w:t>
      </w:r>
      <w:r>
        <w:rPr>
          <w:spacing w:val="-12"/>
        </w:rPr>
        <w:t> </w:t>
      </w:r>
      <w:r>
        <w:rPr/>
        <w:t>no</w:t>
      </w:r>
      <w:r>
        <w:rPr>
          <w:spacing w:val="-14"/>
        </w:rPr>
        <w:t> </w:t>
      </w:r>
      <w:r>
        <w:rPr/>
        <w:t>podrán</w:t>
      </w:r>
      <w:r>
        <w:rPr>
          <w:spacing w:val="-9"/>
        </w:rPr>
        <w:t> </w:t>
      </w:r>
      <w:r>
        <w:rPr/>
        <w:t>destinar</w:t>
      </w:r>
      <w:r>
        <w:rPr>
          <w:spacing w:val="-12"/>
        </w:rPr>
        <w:t> </w:t>
      </w:r>
      <w:r>
        <w:rPr/>
        <w:t>los</w:t>
      </w:r>
      <w:r>
        <w:rPr>
          <w:spacing w:val="-11"/>
        </w:rPr>
        <w:t> </w:t>
      </w:r>
      <w:r>
        <w:rPr/>
        <w:t>remanentes</w:t>
      </w:r>
      <w:r>
        <w:rPr>
          <w:spacing w:val="-16"/>
        </w:rPr>
        <w:t> </w:t>
      </w:r>
      <w:r>
        <w:rPr/>
        <w:t>que</w:t>
      </w:r>
      <w:r>
        <w:rPr>
          <w:spacing w:val="-8"/>
        </w:rPr>
        <w:t> </w:t>
      </w:r>
      <w:r>
        <w:rPr/>
        <w:t>se</w:t>
      </w:r>
      <w:r>
        <w:rPr>
          <w:spacing w:val="-14"/>
        </w:rPr>
        <w:t> </w:t>
      </w:r>
      <w:r>
        <w:rPr/>
        <w:t>produzcan</w:t>
      </w:r>
      <w:r>
        <w:rPr>
          <w:spacing w:val="-14"/>
        </w:rPr>
        <w:t> </w:t>
      </w:r>
      <w:r>
        <w:rPr/>
        <w:t>en</w:t>
      </w:r>
      <w:r>
        <w:rPr>
          <w:spacing w:val="-14"/>
        </w:rPr>
        <w:t> </w:t>
      </w:r>
      <w:r>
        <w:rPr/>
        <w:t>subpartidas de la partida 0 Remuneraciones, para incrementar otras</w:t>
      </w:r>
      <w:r>
        <w:rPr>
          <w:spacing w:val="-6"/>
        </w:rPr>
        <w:t> </w:t>
      </w:r>
      <w:r>
        <w:rPr/>
        <w:t>partidas</w:t>
      </w:r>
      <w:r>
        <w:rPr>
          <w:spacing w:val="-2"/>
        </w:rPr>
        <w:t> </w:t>
      </w:r>
      <w:r>
        <w:rPr/>
        <w:t>presupuestarias</w:t>
      </w:r>
      <w:r>
        <w:rPr>
          <w:spacing w:val="-2"/>
        </w:rPr>
        <w:t> </w:t>
      </w:r>
      <w:r>
        <w:rPr/>
        <w:t>Modifica el artículo 9 de la Directriz N° 98-H del 11 de enero de 2018 y sus reformas. Fecha de vigencia 08/08/2019</w:t>
      </w:r>
    </w:p>
    <w:p>
      <w:pPr>
        <w:spacing w:line="240" w:lineRule="auto" w:before="249"/>
        <w:ind w:left="979" w:right="1343" w:firstLine="0"/>
        <w:jc w:val="both"/>
        <w:rPr>
          <w:sz w:val="22"/>
        </w:rPr>
      </w:pPr>
      <w:r>
        <w:rPr>
          <w:b/>
          <w:sz w:val="22"/>
        </w:rPr>
        <w:t>Directriz N°060-MTSS-MDHIS. Priorización de atención de la pobreza mediante la utilización</w:t>
      </w:r>
      <w:r>
        <w:rPr>
          <w:b/>
          <w:spacing w:val="-13"/>
          <w:sz w:val="22"/>
        </w:rPr>
        <w:t> </w:t>
      </w:r>
      <w:r>
        <w:rPr>
          <w:b/>
          <w:sz w:val="22"/>
        </w:rPr>
        <w:t>del</w:t>
      </w:r>
      <w:r>
        <w:rPr>
          <w:b/>
          <w:spacing w:val="-11"/>
          <w:sz w:val="22"/>
        </w:rPr>
        <w:t> </w:t>
      </w:r>
      <w:r>
        <w:rPr>
          <w:b/>
          <w:sz w:val="22"/>
        </w:rPr>
        <w:t>Sistema</w:t>
      </w:r>
      <w:r>
        <w:rPr>
          <w:b/>
          <w:spacing w:val="-10"/>
          <w:sz w:val="22"/>
        </w:rPr>
        <w:t> </w:t>
      </w:r>
      <w:r>
        <w:rPr>
          <w:b/>
          <w:sz w:val="22"/>
        </w:rPr>
        <w:t>Nacional</w:t>
      </w:r>
      <w:r>
        <w:rPr>
          <w:b/>
          <w:spacing w:val="-11"/>
          <w:sz w:val="22"/>
        </w:rPr>
        <w:t> </w:t>
      </w:r>
      <w:r>
        <w:rPr>
          <w:b/>
          <w:sz w:val="22"/>
        </w:rPr>
        <w:t>de</w:t>
      </w:r>
      <w:r>
        <w:rPr>
          <w:b/>
          <w:spacing w:val="-11"/>
          <w:sz w:val="22"/>
        </w:rPr>
        <w:t> </w:t>
      </w:r>
      <w:r>
        <w:rPr>
          <w:b/>
          <w:sz w:val="22"/>
        </w:rPr>
        <w:t>Información</w:t>
      </w:r>
      <w:r>
        <w:rPr>
          <w:b/>
          <w:spacing w:val="-12"/>
          <w:sz w:val="22"/>
        </w:rPr>
        <w:t> </w:t>
      </w:r>
      <w:r>
        <w:rPr>
          <w:b/>
          <w:sz w:val="22"/>
        </w:rPr>
        <w:t>y</w:t>
      </w:r>
      <w:r>
        <w:rPr>
          <w:b/>
          <w:spacing w:val="-15"/>
          <w:sz w:val="22"/>
        </w:rPr>
        <w:t> </w:t>
      </w:r>
      <w:r>
        <w:rPr>
          <w:b/>
          <w:sz w:val="22"/>
        </w:rPr>
        <w:t>Registro</w:t>
      </w:r>
      <w:r>
        <w:rPr>
          <w:b/>
          <w:spacing w:val="-12"/>
          <w:sz w:val="22"/>
        </w:rPr>
        <w:t> </w:t>
      </w:r>
      <w:r>
        <w:rPr>
          <w:b/>
          <w:sz w:val="22"/>
        </w:rPr>
        <w:t>Único</w:t>
      </w:r>
      <w:r>
        <w:rPr>
          <w:b/>
          <w:spacing w:val="-12"/>
          <w:sz w:val="22"/>
        </w:rPr>
        <w:t> </w:t>
      </w:r>
      <w:r>
        <w:rPr>
          <w:b/>
          <w:sz w:val="22"/>
        </w:rPr>
        <w:t>de</w:t>
      </w:r>
      <w:r>
        <w:rPr>
          <w:b/>
          <w:spacing w:val="-11"/>
          <w:sz w:val="22"/>
        </w:rPr>
        <w:t> </w:t>
      </w:r>
      <w:r>
        <w:rPr>
          <w:b/>
          <w:sz w:val="22"/>
        </w:rPr>
        <w:t>Beneficiarios</w:t>
      </w:r>
      <w:r>
        <w:rPr>
          <w:b/>
          <w:spacing w:val="-10"/>
          <w:sz w:val="22"/>
        </w:rPr>
        <w:t> </w:t>
      </w:r>
      <w:r>
        <w:rPr>
          <w:b/>
          <w:sz w:val="22"/>
        </w:rPr>
        <w:t>del Estado SINIRUBE dirigida a la Administración Central y Descentralizada del Sector Social. </w:t>
      </w:r>
      <w:r>
        <w:rPr>
          <w:sz w:val="22"/>
        </w:rPr>
        <w:t>Establece el SINIRUBE como la fuente de información socioeconómica de las personas</w:t>
      </w:r>
      <w:r>
        <w:rPr>
          <w:spacing w:val="-7"/>
          <w:sz w:val="22"/>
        </w:rPr>
        <w:t> </w:t>
      </w:r>
      <w:r>
        <w:rPr>
          <w:sz w:val="22"/>
        </w:rPr>
        <w:t>y</w:t>
      </w:r>
      <w:r>
        <w:rPr>
          <w:spacing w:val="-7"/>
          <w:sz w:val="22"/>
        </w:rPr>
        <w:t> </w:t>
      </w:r>
      <w:r>
        <w:rPr>
          <w:sz w:val="22"/>
        </w:rPr>
        <w:t>los</w:t>
      </w:r>
      <w:r>
        <w:rPr>
          <w:spacing w:val="-12"/>
          <w:sz w:val="22"/>
        </w:rPr>
        <w:t> </w:t>
      </w:r>
      <w:r>
        <w:rPr>
          <w:sz w:val="22"/>
        </w:rPr>
        <w:t>hogares</w:t>
      </w:r>
      <w:r>
        <w:rPr>
          <w:spacing w:val="-12"/>
          <w:sz w:val="22"/>
        </w:rPr>
        <w:t> </w:t>
      </w:r>
      <w:r>
        <w:rPr>
          <w:sz w:val="22"/>
        </w:rPr>
        <w:t>que</w:t>
      </w:r>
      <w:r>
        <w:rPr>
          <w:spacing w:val="-5"/>
          <w:sz w:val="22"/>
        </w:rPr>
        <w:t> </w:t>
      </w:r>
      <w:r>
        <w:rPr>
          <w:sz w:val="22"/>
        </w:rPr>
        <w:t>habitan</w:t>
      </w:r>
      <w:r>
        <w:rPr>
          <w:spacing w:val="-5"/>
          <w:sz w:val="22"/>
        </w:rPr>
        <w:t> </w:t>
      </w:r>
      <w:r>
        <w:rPr>
          <w:sz w:val="22"/>
        </w:rPr>
        <w:t>en</w:t>
      </w:r>
      <w:r>
        <w:rPr>
          <w:spacing w:val="-1"/>
          <w:sz w:val="22"/>
        </w:rPr>
        <w:t> </w:t>
      </w:r>
      <w:r>
        <w:rPr>
          <w:sz w:val="22"/>
        </w:rPr>
        <w:t>Costa</w:t>
      </w:r>
      <w:r>
        <w:rPr>
          <w:spacing w:val="-1"/>
          <w:sz w:val="22"/>
        </w:rPr>
        <w:t> </w:t>
      </w:r>
      <w:r>
        <w:rPr>
          <w:sz w:val="22"/>
        </w:rPr>
        <w:t>Rica</w:t>
      </w:r>
      <w:r>
        <w:rPr>
          <w:spacing w:val="-5"/>
          <w:sz w:val="22"/>
        </w:rPr>
        <w:t> </w:t>
      </w:r>
      <w:r>
        <w:rPr>
          <w:sz w:val="22"/>
        </w:rPr>
        <w:t>para</w:t>
      </w:r>
      <w:r>
        <w:rPr>
          <w:spacing w:val="-5"/>
          <w:sz w:val="22"/>
        </w:rPr>
        <w:t> </w:t>
      </w:r>
      <w:r>
        <w:rPr>
          <w:sz w:val="22"/>
        </w:rPr>
        <w:t>todas</w:t>
      </w:r>
      <w:r>
        <w:rPr>
          <w:spacing w:val="-2"/>
          <w:sz w:val="22"/>
        </w:rPr>
        <w:t> </w:t>
      </w:r>
      <w:r>
        <w:rPr>
          <w:sz w:val="22"/>
        </w:rPr>
        <w:t>las</w:t>
      </w:r>
      <w:r>
        <w:rPr>
          <w:spacing w:val="-2"/>
          <w:sz w:val="22"/>
        </w:rPr>
        <w:t> </w:t>
      </w:r>
      <w:r>
        <w:rPr>
          <w:sz w:val="22"/>
        </w:rPr>
        <w:t>instituciones</w:t>
      </w:r>
      <w:r>
        <w:rPr>
          <w:spacing w:val="-7"/>
          <w:sz w:val="22"/>
        </w:rPr>
        <w:t> </w:t>
      </w:r>
      <w:r>
        <w:rPr>
          <w:sz w:val="22"/>
        </w:rPr>
        <w:t>públicas</w:t>
      </w:r>
      <w:r>
        <w:rPr>
          <w:spacing w:val="-7"/>
          <w:sz w:val="22"/>
        </w:rPr>
        <w:t> </w:t>
      </w:r>
      <w:r>
        <w:rPr>
          <w:sz w:val="22"/>
        </w:rPr>
        <w:t>del sector social e instruye a las instituciones de la Administración Central y Descentralizada del sector social tomar como oficial la clasificación y priorización que hará el SINIRUBE sobre los hogares considerando los métodos de línea de pobreza y de pobreza multidimensional. Fecha de vigencia 24/10/2019.</w:t>
      </w:r>
    </w:p>
    <w:p>
      <w:pPr>
        <w:spacing w:after="0" w:line="240" w:lineRule="auto"/>
        <w:jc w:val="both"/>
        <w:rPr>
          <w:sz w:val="22"/>
        </w:rPr>
        <w:sectPr>
          <w:pgSz w:w="12240" w:h="15840"/>
          <w:pgMar w:header="0" w:footer="1021" w:top="1340" w:bottom="1220" w:left="720" w:right="360"/>
        </w:sectPr>
      </w:pPr>
    </w:p>
    <w:p>
      <w:pPr>
        <w:spacing w:line="240" w:lineRule="auto" w:before="71"/>
        <w:ind w:left="979" w:right="1335" w:firstLine="0"/>
        <w:jc w:val="both"/>
        <w:rPr>
          <w:sz w:val="22"/>
        </w:rPr>
      </w:pPr>
      <w:r>
        <w:rPr>
          <w:b/>
          <w:sz w:val="22"/>
        </w:rPr>
        <w:t>Directriz</w:t>
      </w:r>
      <w:r>
        <w:rPr>
          <w:b/>
          <w:spacing w:val="-16"/>
          <w:sz w:val="22"/>
        </w:rPr>
        <w:t> </w:t>
      </w:r>
      <w:r>
        <w:rPr>
          <w:b/>
          <w:sz w:val="22"/>
        </w:rPr>
        <w:t>N°062-MP-MTSS.Reforma</w:t>
      </w:r>
      <w:r>
        <w:rPr>
          <w:b/>
          <w:spacing w:val="-15"/>
          <w:sz w:val="22"/>
        </w:rPr>
        <w:t> </w:t>
      </w:r>
      <w:r>
        <w:rPr>
          <w:b/>
          <w:sz w:val="22"/>
        </w:rPr>
        <w:t>a</w:t>
      </w:r>
      <w:r>
        <w:rPr>
          <w:b/>
          <w:spacing w:val="-15"/>
          <w:sz w:val="22"/>
        </w:rPr>
        <w:t> </w:t>
      </w:r>
      <w:r>
        <w:rPr>
          <w:b/>
          <w:sz w:val="22"/>
        </w:rPr>
        <w:t>los</w:t>
      </w:r>
      <w:r>
        <w:rPr>
          <w:b/>
          <w:spacing w:val="-16"/>
          <w:sz w:val="22"/>
        </w:rPr>
        <w:t> </w:t>
      </w:r>
      <w:r>
        <w:rPr>
          <w:b/>
          <w:sz w:val="22"/>
        </w:rPr>
        <w:t>artículos</w:t>
      </w:r>
      <w:r>
        <w:rPr>
          <w:b/>
          <w:spacing w:val="-15"/>
          <w:sz w:val="22"/>
        </w:rPr>
        <w:t> </w:t>
      </w:r>
      <w:r>
        <w:rPr>
          <w:b/>
          <w:sz w:val="22"/>
        </w:rPr>
        <w:t>1</w:t>
      </w:r>
      <w:r>
        <w:rPr>
          <w:b/>
          <w:spacing w:val="-15"/>
          <w:sz w:val="22"/>
        </w:rPr>
        <w:t> </w:t>
      </w:r>
      <w:r>
        <w:rPr>
          <w:b/>
          <w:sz w:val="22"/>
        </w:rPr>
        <w:t>y</w:t>
      </w:r>
      <w:r>
        <w:rPr>
          <w:b/>
          <w:spacing w:val="-15"/>
          <w:sz w:val="22"/>
        </w:rPr>
        <w:t> </w:t>
      </w:r>
      <w:r>
        <w:rPr>
          <w:b/>
          <w:sz w:val="22"/>
        </w:rPr>
        <w:t>2</w:t>
      </w:r>
      <w:r>
        <w:rPr>
          <w:b/>
          <w:spacing w:val="-16"/>
          <w:sz w:val="22"/>
        </w:rPr>
        <w:t> </w:t>
      </w:r>
      <w:r>
        <w:rPr>
          <w:b/>
          <w:sz w:val="22"/>
        </w:rPr>
        <w:t>de</w:t>
      </w:r>
      <w:r>
        <w:rPr>
          <w:b/>
          <w:spacing w:val="-15"/>
          <w:sz w:val="22"/>
        </w:rPr>
        <w:t> </w:t>
      </w:r>
      <w:r>
        <w:rPr>
          <w:b/>
          <w:sz w:val="22"/>
        </w:rPr>
        <w:t>la</w:t>
      </w:r>
      <w:r>
        <w:rPr>
          <w:b/>
          <w:spacing w:val="-15"/>
          <w:sz w:val="22"/>
        </w:rPr>
        <w:t> </w:t>
      </w:r>
      <w:r>
        <w:rPr>
          <w:b/>
          <w:sz w:val="22"/>
        </w:rPr>
        <w:t>Directriz</w:t>
      </w:r>
      <w:r>
        <w:rPr>
          <w:b/>
          <w:spacing w:val="-16"/>
          <w:sz w:val="22"/>
        </w:rPr>
        <w:t> </w:t>
      </w:r>
      <w:r>
        <w:rPr>
          <w:b/>
          <w:sz w:val="22"/>
        </w:rPr>
        <w:t>N°</w:t>
      </w:r>
      <w:r>
        <w:rPr>
          <w:b/>
          <w:spacing w:val="-15"/>
          <w:sz w:val="22"/>
        </w:rPr>
        <w:t> </w:t>
      </w:r>
      <w:r>
        <w:rPr>
          <w:b/>
          <w:sz w:val="22"/>
        </w:rPr>
        <w:t>022-MP-MTSS del</w:t>
      </w:r>
      <w:r>
        <w:rPr>
          <w:b/>
          <w:spacing w:val="-5"/>
          <w:sz w:val="22"/>
        </w:rPr>
        <w:t> </w:t>
      </w:r>
      <w:r>
        <w:rPr>
          <w:b/>
          <w:sz w:val="22"/>
        </w:rPr>
        <w:t>31</w:t>
      </w:r>
      <w:r>
        <w:rPr>
          <w:b/>
          <w:spacing w:val="-4"/>
          <w:sz w:val="22"/>
        </w:rPr>
        <w:t> </w:t>
      </w:r>
      <w:r>
        <w:rPr>
          <w:b/>
          <w:sz w:val="22"/>
        </w:rPr>
        <w:t>de</w:t>
      </w:r>
      <w:r>
        <w:rPr>
          <w:b/>
          <w:spacing w:val="-4"/>
          <w:sz w:val="22"/>
        </w:rPr>
        <w:t> </w:t>
      </w:r>
      <w:r>
        <w:rPr>
          <w:b/>
          <w:sz w:val="22"/>
        </w:rPr>
        <w:t>agosto</w:t>
      </w:r>
      <w:r>
        <w:rPr>
          <w:b/>
          <w:spacing w:val="-7"/>
          <w:sz w:val="22"/>
        </w:rPr>
        <w:t> </w:t>
      </w:r>
      <w:r>
        <w:rPr>
          <w:b/>
          <w:sz w:val="22"/>
        </w:rPr>
        <w:t>de</w:t>
      </w:r>
      <w:r>
        <w:rPr>
          <w:b/>
          <w:spacing w:val="-9"/>
          <w:sz w:val="22"/>
        </w:rPr>
        <w:t> </w:t>
      </w:r>
      <w:r>
        <w:rPr>
          <w:b/>
          <w:sz w:val="22"/>
        </w:rPr>
        <w:t>2018.</w:t>
      </w:r>
      <w:r>
        <w:rPr>
          <w:b/>
          <w:spacing w:val="-1"/>
          <w:sz w:val="22"/>
        </w:rPr>
        <w:t> </w:t>
      </w:r>
      <w:r>
        <w:rPr>
          <w:sz w:val="22"/>
        </w:rPr>
        <w:t>Traslado</w:t>
      </w:r>
      <w:r>
        <w:rPr>
          <w:spacing w:val="-4"/>
          <w:sz w:val="22"/>
        </w:rPr>
        <w:t> </w:t>
      </w:r>
      <w:r>
        <w:rPr>
          <w:sz w:val="22"/>
        </w:rPr>
        <w:t>horizontal</w:t>
      </w:r>
      <w:r>
        <w:rPr>
          <w:spacing w:val="-7"/>
          <w:sz w:val="22"/>
        </w:rPr>
        <w:t> </w:t>
      </w:r>
      <w:r>
        <w:rPr>
          <w:sz w:val="22"/>
        </w:rPr>
        <w:t>y</w:t>
      </w:r>
      <w:r>
        <w:rPr>
          <w:spacing w:val="-6"/>
          <w:sz w:val="22"/>
        </w:rPr>
        <w:t> </w:t>
      </w:r>
      <w:r>
        <w:rPr>
          <w:sz w:val="22"/>
        </w:rPr>
        <w:t>uso</w:t>
      </w:r>
      <w:r>
        <w:rPr>
          <w:spacing w:val="-4"/>
          <w:sz w:val="22"/>
        </w:rPr>
        <w:t> </w:t>
      </w:r>
      <w:r>
        <w:rPr>
          <w:sz w:val="22"/>
        </w:rPr>
        <w:t>de</w:t>
      </w:r>
      <w:r>
        <w:rPr>
          <w:spacing w:val="-4"/>
          <w:sz w:val="22"/>
        </w:rPr>
        <w:t> </w:t>
      </w:r>
      <w:r>
        <w:rPr>
          <w:sz w:val="22"/>
        </w:rPr>
        <w:t>plazas</w:t>
      </w:r>
      <w:r>
        <w:rPr>
          <w:spacing w:val="-6"/>
          <w:sz w:val="22"/>
        </w:rPr>
        <w:t> </w:t>
      </w:r>
      <w:r>
        <w:rPr>
          <w:sz w:val="22"/>
        </w:rPr>
        <w:t>vacantes</w:t>
      </w:r>
      <w:r>
        <w:rPr>
          <w:spacing w:val="-6"/>
          <w:sz w:val="22"/>
        </w:rPr>
        <w:t> </w:t>
      </w:r>
      <w:r>
        <w:rPr>
          <w:sz w:val="22"/>
        </w:rPr>
        <w:t>para</w:t>
      </w:r>
      <w:r>
        <w:rPr>
          <w:spacing w:val="-4"/>
          <w:sz w:val="22"/>
        </w:rPr>
        <w:t> </w:t>
      </w:r>
      <w:r>
        <w:rPr>
          <w:sz w:val="22"/>
        </w:rPr>
        <w:t>funcionarios de</w:t>
      </w:r>
      <w:r>
        <w:rPr>
          <w:spacing w:val="-9"/>
          <w:sz w:val="22"/>
        </w:rPr>
        <w:t> </w:t>
      </w:r>
      <w:r>
        <w:rPr>
          <w:sz w:val="22"/>
        </w:rPr>
        <w:t>la</w:t>
      </w:r>
      <w:r>
        <w:rPr>
          <w:spacing w:val="-5"/>
          <w:sz w:val="22"/>
        </w:rPr>
        <w:t> </w:t>
      </w:r>
      <w:r>
        <w:rPr>
          <w:sz w:val="22"/>
        </w:rPr>
        <w:t>Junta</w:t>
      </w:r>
      <w:r>
        <w:rPr>
          <w:spacing w:val="-9"/>
          <w:sz w:val="22"/>
        </w:rPr>
        <w:t> </w:t>
      </w:r>
      <w:r>
        <w:rPr>
          <w:sz w:val="22"/>
        </w:rPr>
        <w:t>de</w:t>
      </w:r>
      <w:r>
        <w:rPr>
          <w:spacing w:val="-9"/>
          <w:sz w:val="22"/>
        </w:rPr>
        <w:t> </w:t>
      </w:r>
      <w:r>
        <w:rPr>
          <w:sz w:val="22"/>
        </w:rPr>
        <w:t>Administración</w:t>
      </w:r>
      <w:r>
        <w:rPr>
          <w:spacing w:val="-9"/>
          <w:sz w:val="22"/>
        </w:rPr>
        <w:t> </w:t>
      </w:r>
      <w:r>
        <w:rPr>
          <w:sz w:val="22"/>
        </w:rPr>
        <w:t>Portuaria</w:t>
      </w:r>
      <w:r>
        <w:rPr>
          <w:spacing w:val="-9"/>
          <w:sz w:val="22"/>
        </w:rPr>
        <w:t> </w:t>
      </w:r>
      <w:r>
        <w:rPr>
          <w:sz w:val="22"/>
        </w:rPr>
        <w:t>y</w:t>
      </w:r>
      <w:r>
        <w:rPr>
          <w:spacing w:val="-11"/>
          <w:sz w:val="22"/>
        </w:rPr>
        <w:t> </w:t>
      </w:r>
      <w:r>
        <w:rPr>
          <w:sz w:val="22"/>
        </w:rPr>
        <w:t>de</w:t>
      </w:r>
      <w:r>
        <w:rPr>
          <w:spacing w:val="-9"/>
          <w:sz w:val="22"/>
        </w:rPr>
        <w:t> </w:t>
      </w:r>
      <w:r>
        <w:rPr>
          <w:sz w:val="22"/>
        </w:rPr>
        <w:t>Desarrollo</w:t>
      </w:r>
      <w:r>
        <w:rPr>
          <w:spacing w:val="-5"/>
          <w:sz w:val="22"/>
        </w:rPr>
        <w:t> </w:t>
      </w:r>
      <w:r>
        <w:rPr>
          <w:sz w:val="22"/>
        </w:rPr>
        <w:t>Económico</w:t>
      </w:r>
      <w:r>
        <w:rPr>
          <w:spacing w:val="-9"/>
          <w:sz w:val="22"/>
        </w:rPr>
        <w:t> </w:t>
      </w:r>
      <w:r>
        <w:rPr>
          <w:sz w:val="22"/>
        </w:rPr>
        <w:t>de</w:t>
      </w:r>
      <w:r>
        <w:rPr>
          <w:spacing w:val="-9"/>
          <w:sz w:val="22"/>
        </w:rPr>
        <w:t> </w:t>
      </w:r>
      <w:r>
        <w:rPr>
          <w:sz w:val="22"/>
        </w:rPr>
        <w:t>la</w:t>
      </w:r>
      <w:r>
        <w:rPr>
          <w:spacing w:val="-9"/>
          <w:sz w:val="22"/>
        </w:rPr>
        <w:t> </w:t>
      </w:r>
      <w:r>
        <w:rPr>
          <w:sz w:val="22"/>
        </w:rPr>
        <w:t>Vertiente</w:t>
      </w:r>
      <w:r>
        <w:rPr>
          <w:spacing w:val="-9"/>
          <w:sz w:val="22"/>
        </w:rPr>
        <w:t> </w:t>
      </w:r>
      <w:r>
        <w:rPr>
          <w:sz w:val="22"/>
        </w:rPr>
        <w:t>Atlántica en la Región Huetar Caribe. Fecha de vigencia 13/11/2019.</w:t>
      </w:r>
    </w:p>
    <w:p>
      <w:pPr>
        <w:spacing w:line="240" w:lineRule="auto" w:before="251"/>
        <w:ind w:left="979" w:right="1333" w:firstLine="0"/>
        <w:jc w:val="both"/>
        <w:rPr>
          <w:sz w:val="22"/>
        </w:rPr>
      </w:pPr>
      <w:r>
        <w:rPr>
          <w:b/>
          <w:sz w:val="22"/>
        </w:rPr>
        <w:t>Directriz N°065-MP-MTSS. Implementación de las normas para la inclusión, protección</w:t>
      </w:r>
      <w:r>
        <w:rPr>
          <w:b/>
          <w:spacing w:val="-16"/>
          <w:sz w:val="22"/>
        </w:rPr>
        <w:t> </w:t>
      </w:r>
      <w:r>
        <w:rPr>
          <w:b/>
          <w:sz w:val="22"/>
        </w:rPr>
        <w:t>y</w:t>
      </w:r>
      <w:r>
        <w:rPr>
          <w:b/>
          <w:spacing w:val="-15"/>
          <w:sz w:val="22"/>
        </w:rPr>
        <w:t> </w:t>
      </w:r>
      <w:r>
        <w:rPr>
          <w:b/>
          <w:sz w:val="22"/>
        </w:rPr>
        <w:t>atención</w:t>
      </w:r>
      <w:r>
        <w:rPr>
          <w:b/>
          <w:spacing w:val="-15"/>
          <w:sz w:val="22"/>
        </w:rPr>
        <w:t> </w:t>
      </w:r>
      <w:r>
        <w:rPr>
          <w:b/>
          <w:sz w:val="22"/>
        </w:rPr>
        <w:t>de</w:t>
      </w:r>
      <w:r>
        <w:rPr>
          <w:b/>
          <w:spacing w:val="-14"/>
          <w:sz w:val="22"/>
        </w:rPr>
        <w:t> </w:t>
      </w:r>
      <w:r>
        <w:rPr>
          <w:b/>
          <w:sz w:val="22"/>
        </w:rPr>
        <w:t>personas</w:t>
      </w:r>
      <w:r>
        <w:rPr>
          <w:b/>
          <w:spacing w:val="-13"/>
          <w:sz w:val="22"/>
        </w:rPr>
        <w:t> </w:t>
      </w:r>
      <w:r>
        <w:rPr>
          <w:b/>
          <w:sz w:val="22"/>
        </w:rPr>
        <w:t>con</w:t>
      </w:r>
      <w:r>
        <w:rPr>
          <w:b/>
          <w:spacing w:val="-16"/>
          <w:sz w:val="22"/>
        </w:rPr>
        <w:t> </w:t>
      </w:r>
      <w:r>
        <w:rPr>
          <w:b/>
          <w:sz w:val="22"/>
        </w:rPr>
        <w:t>discapacidad</w:t>
      </w:r>
      <w:r>
        <w:rPr>
          <w:b/>
          <w:spacing w:val="-14"/>
          <w:sz w:val="22"/>
        </w:rPr>
        <w:t> </w:t>
      </w:r>
      <w:r>
        <w:rPr>
          <w:b/>
          <w:sz w:val="22"/>
        </w:rPr>
        <w:t>en</w:t>
      </w:r>
      <w:r>
        <w:rPr>
          <w:b/>
          <w:spacing w:val="-15"/>
          <w:sz w:val="22"/>
        </w:rPr>
        <w:t> </w:t>
      </w:r>
      <w:r>
        <w:rPr>
          <w:b/>
          <w:sz w:val="22"/>
        </w:rPr>
        <w:t>las</w:t>
      </w:r>
      <w:r>
        <w:rPr>
          <w:b/>
          <w:spacing w:val="-16"/>
          <w:sz w:val="22"/>
        </w:rPr>
        <w:t> </w:t>
      </w:r>
      <w:r>
        <w:rPr>
          <w:b/>
          <w:sz w:val="22"/>
        </w:rPr>
        <w:t>emergencias</w:t>
      </w:r>
      <w:r>
        <w:rPr>
          <w:b/>
          <w:spacing w:val="-7"/>
          <w:sz w:val="22"/>
        </w:rPr>
        <w:t> </w:t>
      </w:r>
      <w:r>
        <w:rPr>
          <w:b/>
          <w:sz w:val="22"/>
        </w:rPr>
        <w:t>y</w:t>
      </w:r>
      <w:r>
        <w:rPr>
          <w:b/>
          <w:spacing w:val="-16"/>
          <w:sz w:val="22"/>
        </w:rPr>
        <w:t> </w:t>
      </w:r>
      <w:r>
        <w:rPr>
          <w:b/>
          <w:sz w:val="22"/>
        </w:rPr>
        <w:t>desastres</w:t>
      </w:r>
      <w:r>
        <w:rPr>
          <w:sz w:val="22"/>
        </w:rPr>
        <w:t>. instruye a las instituciones de la Administración Central y Descentralizada, a ejecutar con prioridad todas las acciones necesarias para la implementación de las Normas para la Inclusión, Protección y Atención de Personas con Discapacidad en las Emergencias y Desastres. Fecha de vigencia 09/01/2020.</w:t>
      </w:r>
    </w:p>
    <w:p>
      <w:pPr>
        <w:pStyle w:val="BodyText"/>
      </w:pPr>
    </w:p>
    <w:p>
      <w:pPr>
        <w:spacing w:line="240" w:lineRule="auto" w:before="0"/>
        <w:ind w:left="979" w:right="1333" w:firstLine="0"/>
        <w:jc w:val="both"/>
        <w:rPr>
          <w:sz w:val="22"/>
        </w:rPr>
      </w:pPr>
      <w:r>
        <w:rPr>
          <w:b/>
          <w:sz w:val="22"/>
        </w:rPr>
        <w:t>Directriz</w:t>
      </w:r>
      <w:r>
        <w:rPr>
          <w:b/>
          <w:spacing w:val="-16"/>
          <w:sz w:val="22"/>
        </w:rPr>
        <w:t> </w:t>
      </w:r>
      <w:r>
        <w:rPr>
          <w:b/>
          <w:sz w:val="22"/>
        </w:rPr>
        <w:t>N°072-H</w:t>
      </w:r>
      <w:r>
        <w:rPr>
          <w:b/>
          <w:spacing w:val="-15"/>
          <w:sz w:val="22"/>
        </w:rPr>
        <w:t> </w:t>
      </w:r>
      <w:r>
        <w:rPr>
          <w:b/>
          <w:sz w:val="22"/>
        </w:rPr>
        <w:t>Programación</w:t>
      </w:r>
      <w:r>
        <w:rPr>
          <w:b/>
          <w:spacing w:val="-15"/>
          <w:sz w:val="22"/>
        </w:rPr>
        <w:t> </w:t>
      </w:r>
      <w:r>
        <w:rPr>
          <w:b/>
          <w:sz w:val="22"/>
        </w:rPr>
        <w:t>del</w:t>
      </w:r>
      <w:r>
        <w:rPr>
          <w:b/>
          <w:spacing w:val="-16"/>
          <w:sz w:val="22"/>
        </w:rPr>
        <w:t> </w:t>
      </w:r>
      <w:r>
        <w:rPr>
          <w:b/>
          <w:sz w:val="22"/>
        </w:rPr>
        <w:t>Disfrute</w:t>
      </w:r>
      <w:r>
        <w:rPr>
          <w:b/>
          <w:spacing w:val="-15"/>
          <w:sz w:val="22"/>
        </w:rPr>
        <w:t> </w:t>
      </w:r>
      <w:r>
        <w:rPr>
          <w:b/>
          <w:sz w:val="22"/>
        </w:rPr>
        <w:t>de</w:t>
      </w:r>
      <w:r>
        <w:rPr>
          <w:b/>
          <w:spacing w:val="-15"/>
          <w:sz w:val="22"/>
        </w:rPr>
        <w:t> </w:t>
      </w:r>
      <w:r>
        <w:rPr>
          <w:b/>
          <w:sz w:val="22"/>
        </w:rPr>
        <w:t>Períodos</w:t>
      </w:r>
      <w:r>
        <w:rPr>
          <w:b/>
          <w:spacing w:val="-15"/>
          <w:sz w:val="22"/>
        </w:rPr>
        <w:t> </w:t>
      </w:r>
      <w:r>
        <w:rPr>
          <w:b/>
          <w:sz w:val="22"/>
        </w:rPr>
        <w:t>Acumulados</w:t>
      </w:r>
      <w:r>
        <w:rPr>
          <w:b/>
          <w:spacing w:val="-16"/>
          <w:sz w:val="22"/>
        </w:rPr>
        <w:t> </w:t>
      </w:r>
      <w:r>
        <w:rPr>
          <w:b/>
          <w:sz w:val="22"/>
        </w:rPr>
        <w:t>de</w:t>
      </w:r>
      <w:r>
        <w:rPr>
          <w:b/>
          <w:spacing w:val="-15"/>
          <w:sz w:val="22"/>
        </w:rPr>
        <w:t> </w:t>
      </w:r>
      <w:r>
        <w:rPr>
          <w:b/>
          <w:sz w:val="22"/>
        </w:rPr>
        <w:t>Vacaciones</w:t>
      </w:r>
      <w:r>
        <w:rPr>
          <w:sz w:val="22"/>
        </w:rPr>
        <w:t>. Instruye a los jerarcas de la Administración Central y Descentralizada para que implementen las medidas internas necesarias a efectos de evitar la acumulación de períodos de vacaciones de las personas servidoras de su institución. Fecha de vigencia </w:t>
      </w:r>
      <w:r>
        <w:rPr>
          <w:spacing w:val="-2"/>
          <w:sz w:val="22"/>
        </w:rPr>
        <w:t>24/03/2020.</w:t>
      </w:r>
    </w:p>
    <w:p>
      <w:pPr>
        <w:pStyle w:val="BodyText"/>
      </w:pPr>
    </w:p>
    <w:p>
      <w:pPr>
        <w:pStyle w:val="BodyText"/>
        <w:ind w:left="979" w:right="1338"/>
        <w:jc w:val="both"/>
      </w:pPr>
      <w:r>
        <w:rPr>
          <w:b/>
        </w:rPr>
        <w:t>Directriz N°060-MTSS-MDHIS Reforma a la </w:t>
      </w:r>
      <w:r>
        <w:rPr/>
        <w:t>sobre la priorización de atención de la pobreza mediante la utilización del SINIRUBE dirigida a la Administración Central y Descentralizada del Sector Social, Directriz N° 081-MTSS-MDHIS. Reforma el artículo 3 y el Transitorio II de la Directriz N° 060-MTSS-MDHIS. Fecha de vigencia 24/04/2020.</w:t>
      </w:r>
    </w:p>
    <w:p>
      <w:pPr>
        <w:pStyle w:val="BodyText"/>
        <w:spacing w:before="2"/>
      </w:pPr>
    </w:p>
    <w:p>
      <w:pPr>
        <w:pStyle w:val="BodyText"/>
        <w:spacing w:before="1"/>
        <w:ind w:left="979" w:right="1341"/>
        <w:jc w:val="both"/>
      </w:pPr>
      <w:r>
        <w:rPr>
          <w:b/>
        </w:rPr>
        <w:t>Directriz N°133-MP-MICIT. Mejoras en Materia de Ciberseguridad para el Sector Público del Estado. </w:t>
      </w:r>
      <w:r>
        <w:rPr/>
        <w:t>Se instruye a la Administración Pública Central y se insta a la Administración</w:t>
      </w:r>
      <w:r>
        <w:rPr>
          <w:spacing w:val="-11"/>
        </w:rPr>
        <w:t> </w:t>
      </w:r>
      <w:r>
        <w:rPr/>
        <w:t>Pública</w:t>
      </w:r>
      <w:r>
        <w:rPr>
          <w:spacing w:val="-7"/>
        </w:rPr>
        <w:t> </w:t>
      </w:r>
      <w:r>
        <w:rPr/>
        <w:t>Descentralizada</w:t>
      </w:r>
      <w:r>
        <w:rPr>
          <w:spacing w:val="-7"/>
        </w:rPr>
        <w:t> </w:t>
      </w:r>
      <w:r>
        <w:rPr/>
        <w:t>a</w:t>
      </w:r>
      <w:r>
        <w:rPr>
          <w:spacing w:val="-11"/>
        </w:rPr>
        <w:t> </w:t>
      </w:r>
      <w:r>
        <w:rPr/>
        <w:t>cumplir</w:t>
      </w:r>
      <w:r>
        <w:rPr>
          <w:spacing w:val="-10"/>
        </w:rPr>
        <w:t> </w:t>
      </w:r>
      <w:r>
        <w:rPr/>
        <w:t>las</w:t>
      </w:r>
      <w:r>
        <w:rPr>
          <w:spacing w:val="-9"/>
        </w:rPr>
        <w:t> </w:t>
      </w:r>
      <w:r>
        <w:rPr/>
        <w:t>recomendaciones</w:t>
      </w:r>
      <w:r>
        <w:rPr>
          <w:spacing w:val="-13"/>
        </w:rPr>
        <w:t> </w:t>
      </w:r>
      <w:r>
        <w:rPr/>
        <w:t>y</w:t>
      </w:r>
      <w:r>
        <w:rPr>
          <w:spacing w:val="-13"/>
        </w:rPr>
        <w:t> </w:t>
      </w:r>
      <w:r>
        <w:rPr/>
        <w:t>medidas</w:t>
      </w:r>
      <w:r>
        <w:rPr>
          <w:spacing w:val="-13"/>
        </w:rPr>
        <w:t> </w:t>
      </w:r>
      <w:r>
        <w:rPr/>
        <w:t>técnicas que emanen</w:t>
      </w:r>
      <w:r>
        <w:rPr>
          <w:spacing w:val="-1"/>
        </w:rPr>
        <w:t> </w:t>
      </w:r>
      <w:r>
        <w:rPr/>
        <w:t>del Ministerio de Ciencia, Innovación, Tecnología y Telecomunicaciones, por medio de la Dirección de Gobernanza Digital y el Centro de Respuesta de Incidentes de Seguridad Informática (en adelante CSIRT-CR), como ente coordinador de la ciberseguridad nacional. Fecha de vigencia 29/04/2022.</w:t>
      </w:r>
    </w:p>
    <w:p>
      <w:pPr>
        <w:pStyle w:val="BodyText"/>
        <w:spacing w:before="250"/>
        <w:ind w:left="979" w:right="1335"/>
        <w:jc w:val="both"/>
      </w:pPr>
      <w:r>
        <w:rPr>
          <w:b/>
        </w:rPr>
        <w:t>Directriz N°002-MTSS-MIDEPLAN. Implementación del Teletrabajo como modalidad ordinaria</w:t>
      </w:r>
      <w:r>
        <w:rPr/>
        <w:t>. Instruye a toda la Administración Pública Central y se insta a la Administración Pública</w:t>
      </w:r>
      <w:r>
        <w:rPr>
          <w:spacing w:val="-14"/>
        </w:rPr>
        <w:t> </w:t>
      </w:r>
      <w:r>
        <w:rPr/>
        <w:t>Descentralizada,</w:t>
      </w:r>
      <w:r>
        <w:rPr>
          <w:spacing w:val="-15"/>
        </w:rPr>
        <w:t> </w:t>
      </w:r>
      <w:r>
        <w:rPr/>
        <w:t>se</w:t>
      </w:r>
      <w:r>
        <w:rPr>
          <w:spacing w:val="-15"/>
        </w:rPr>
        <w:t> </w:t>
      </w:r>
      <w:r>
        <w:rPr/>
        <w:t>aplique</w:t>
      </w:r>
      <w:r>
        <w:rPr>
          <w:spacing w:val="-15"/>
        </w:rPr>
        <w:t> </w:t>
      </w:r>
      <w:r>
        <w:rPr/>
        <w:t>el</w:t>
      </w:r>
      <w:r>
        <w:rPr>
          <w:spacing w:val="-16"/>
        </w:rPr>
        <w:t> </w:t>
      </w:r>
      <w:r>
        <w:rPr/>
        <w:t>teletrabajo</w:t>
      </w:r>
      <w:r>
        <w:rPr>
          <w:spacing w:val="-15"/>
        </w:rPr>
        <w:t> </w:t>
      </w:r>
      <w:r>
        <w:rPr/>
        <w:t>como</w:t>
      </w:r>
      <w:r>
        <w:rPr>
          <w:spacing w:val="-15"/>
        </w:rPr>
        <w:t> </w:t>
      </w:r>
      <w:r>
        <w:rPr/>
        <w:t>una</w:t>
      </w:r>
      <w:r>
        <w:rPr>
          <w:spacing w:val="-15"/>
        </w:rPr>
        <w:t> </w:t>
      </w:r>
      <w:r>
        <w:rPr/>
        <w:t>política</w:t>
      </w:r>
      <w:r>
        <w:rPr>
          <w:spacing w:val="-11"/>
        </w:rPr>
        <w:t> </w:t>
      </w:r>
      <w:r>
        <w:rPr/>
        <w:t>institucional,</w:t>
      </w:r>
      <w:r>
        <w:rPr>
          <w:spacing w:val="-16"/>
        </w:rPr>
        <w:t> </w:t>
      </w:r>
      <w:r>
        <w:rPr/>
        <w:t>para</w:t>
      </w:r>
      <w:r>
        <w:rPr>
          <w:spacing w:val="-15"/>
        </w:rPr>
        <w:t> </w:t>
      </w:r>
      <w:r>
        <w:rPr/>
        <w:t>todas las personas funcionarias que, de manera voluntaria, decidan acogerse a esta modalidad, en</w:t>
      </w:r>
      <w:r>
        <w:rPr>
          <w:spacing w:val="-16"/>
        </w:rPr>
        <w:t> </w:t>
      </w:r>
      <w:r>
        <w:rPr/>
        <w:t>aquellos</w:t>
      </w:r>
      <w:r>
        <w:rPr>
          <w:spacing w:val="-15"/>
        </w:rPr>
        <w:t> </w:t>
      </w:r>
      <w:r>
        <w:rPr/>
        <w:t>puestos</w:t>
      </w:r>
      <w:r>
        <w:rPr>
          <w:spacing w:val="-15"/>
        </w:rPr>
        <w:t> </w:t>
      </w:r>
      <w:r>
        <w:rPr/>
        <w:t>que</w:t>
      </w:r>
      <w:r>
        <w:rPr>
          <w:spacing w:val="-16"/>
        </w:rPr>
        <w:t> </w:t>
      </w:r>
      <w:r>
        <w:rPr/>
        <w:t>así</w:t>
      </w:r>
      <w:r>
        <w:rPr>
          <w:spacing w:val="-15"/>
        </w:rPr>
        <w:t> </w:t>
      </w:r>
      <w:r>
        <w:rPr/>
        <w:t>lo</w:t>
      </w:r>
      <w:r>
        <w:rPr>
          <w:spacing w:val="-15"/>
        </w:rPr>
        <w:t> </w:t>
      </w:r>
      <w:r>
        <w:rPr/>
        <w:t>permitan</w:t>
      </w:r>
      <w:r>
        <w:rPr>
          <w:spacing w:val="-15"/>
        </w:rPr>
        <w:t> </w:t>
      </w:r>
      <w:r>
        <w:rPr/>
        <w:t>y</w:t>
      </w:r>
      <w:r>
        <w:rPr>
          <w:spacing w:val="-16"/>
        </w:rPr>
        <w:t> </w:t>
      </w:r>
      <w:r>
        <w:rPr/>
        <w:t>sin</w:t>
      </w:r>
      <w:r>
        <w:rPr>
          <w:spacing w:val="-15"/>
        </w:rPr>
        <w:t> </w:t>
      </w:r>
      <w:r>
        <w:rPr/>
        <w:t>afectar</w:t>
      </w:r>
      <w:r>
        <w:rPr>
          <w:spacing w:val="-15"/>
        </w:rPr>
        <w:t> </w:t>
      </w:r>
      <w:r>
        <w:rPr/>
        <w:t>la</w:t>
      </w:r>
      <w:r>
        <w:rPr>
          <w:spacing w:val="-16"/>
        </w:rPr>
        <w:t> </w:t>
      </w:r>
      <w:r>
        <w:rPr/>
        <w:t>continuidad</w:t>
      </w:r>
      <w:r>
        <w:rPr>
          <w:spacing w:val="-15"/>
        </w:rPr>
        <w:t> </w:t>
      </w:r>
      <w:r>
        <w:rPr/>
        <w:t>de</w:t>
      </w:r>
      <w:r>
        <w:rPr>
          <w:spacing w:val="-15"/>
        </w:rPr>
        <w:t> </w:t>
      </w:r>
      <w:r>
        <w:rPr/>
        <w:t>los</w:t>
      </w:r>
      <w:r>
        <w:rPr>
          <w:spacing w:val="-15"/>
        </w:rPr>
        <w:t> </w:t>
      </w:r>
      <w:r>
        <w:rPr/>
        <w:t>servicios</w:t>
      </w:r>
      <w:r>
        <w:rPr>
          <w:spacing w:val="-16"/>
        </w:rPr>
        <w:t> </w:t>
      </w:r>
      <w:r>
        <w:rPr/>
        <w:t>públicos, ni la atención de las personas usuarias de los</w:t>
      </w:r>
      <w:r>
        <w:rPr>
          <w:spacing w:val="-1"/>
        </w:rPr>
        <w:t> </w:t>
      </w:r>
      <w:r>
        <w:rPr/>
        <w:t>servicios que presta la institución. Fecha de vigencia 06/07/2022.</w:t>
      </w:r>
    </w:p>
    <w:p>
      <w:pPr>
        <w:pStyle w:val="BodyText"/>
        <w:spacing w:before="2"/>
      </w:pPr>
    </w:p>
    <w:p>
      <w:pPr>
        <w:spacing w:before="0"/>
        <w:ind w:left="979" w:right="1341" w:firstLine="0"/>
        <w:jc w:val="both"/>
        <w:rPr>
          <w:sz w:val="22"/>
        </w:rPr>
      </w:pPr>
      <w:r>
        <w:rPr>
          <w:b/>
          <w:sz w:val="22"/>
        </w:rPr>
        <w:t>Directriz N°004-MP-MEIC. “Le Dejamos Trabajar” </w:t>
      </w:r>
      <w:r>
        <w:rPr>
          <w:sz w:val="22"/>
        </w:rPr>
        <w:t>Medidas de Mejora Regulatoria para Eliminar las Trabas Tramitologías. Fecha de vigencia 01/09/2022.</w:t>
      </w:r>
    </w:p>
    <w:p>
      <w:pPr>
        <w:pStyle w:val="BodyText"/>
      </w:pPr>
    </w:p>
    <w:p>
      <w:pPr>
        <w:pStyle w:val="BodyText"/>
        <w:ind w:left="979" w:right="1336"/>
        <w:jc w:val="both"/>
      </w:pPr>
      <w:r>
        <w:rPr>
          <w:b/>
        </w:rPr>
        <w:t>Directriz N°010-MIDEPLAN-MTSS. Dirigida a la Administración Pública Central y Descentralizada </w:t>
      </w:r>
      <w:r>
        <w:rPr/>
        <w:t>“Alcance y Fortalecimiento del Cumplimiento de la Ley de Inclusión y Protección</w:t>
      </w:r>
      <w:r>
        <w:rPr>
          <w:spacing w:val="-8"/>
        </w:rPr>
        <w:t> </w:t>
      </w:r>
      <w:r>
        <w:rPr/>
        <w:t>Laboral</w:t>
      </w:r>
      <w:r>
        <w:rPr>
          <w:spacing w:val="-6"/>
        </w:rPr>
        <w:t> </w:t>
      </w:r>
      <w:r>
        <w:rPr/>
        <w:t>de las</w:t>
      </w:r>
      <w:r>
        <w:rPr>
          <w:spacing w:val="-5"/>
        </w:rPr>
        <w:t> </w:t>
      </w:r>
      <w:r>
        <w:rPr/>
        <w:t>Personas con</w:t>
      </w:r>
      <w:r>
        <w:rPr>
          <w:spacing w:val="-3"/>
        </w:rPr>
        <w:t> </w:t>
      </w:r>
      <w:r>
        <w:rPr/>
        <w:t>Discapacidad</w:t>
      </w:r>
      <w:r>
        <w:rPr>
          <w:spacing w:val="-3"/>
        </w:rPr>
        <w:t> </w:t>
      </w:r>
      <w:r>
        <w:rPr/>
        <w:t>en</w:t>
      </w:r>
      <w:r>
        <w:rPr>
          <w:spacing w:val="-3"/>
        </w:rPr>
        <w:t> </w:t>
      </w:r>
      <w:r>
        <w:rPr/>
        <w:t>el</w:t>
      </w:r>
      <w:r>
        <w:rPr>
          <w:spacing w:val="-6"/>
        </w:rPr>
        <w:t> </w:t>
      </w:r>
      <w:r>
        <w:rPr/>
        <w:t>Sector</w:t>
      </w:r>
      <w:r>
        <w:rPr>
          <w:spacing w:val="-7"/>
        </w:rPr>
        <w:t> </w:t>
      </w:r>
      <w:r>
        <w:rPr/>
        <w:t>Público,</w:t>
      </w:r>
      <w:r>
        <w:rPr>
          <w:spacing w:val="-4"/>
        </w:rPr>
        <w:t> </w:t>
      </w:r>
      <w:r>
        <w:rPr/>
        <w:t>Ley</w:t>
      </w:r>
      <w:r>
        <w:rPr>
          <w:spacing w:val="-5"/>
        </w:rPr>
        <w:t> </w:t>
      </w:r>
      <w:r>
        <w:rPr/>
        <w:t>N°</w:t>
      </w:r>
      <w:r>
        <w:rPr>
          <w:spacing w:val="-2"/>
        </w:rPr>
        <w:t> </w:t>
      </w:r>
      <w:r>
        <w:rPr/>
        <w:t>8862,</w:t>
      </w:r>
      <w:r>
        <w:rPr>
          <w:spacing w:val="-4"/>
        </w:rPr>
        <w:t> </w:t>
      </w:r>
      <w:r>
        <w:rPr/>
        <w:t>y su Reglamento Decreto Ejecutivo N° 36462-MP-MTSS”. Tiene como objeto dar cumplimiento de la medida afirmativa de reservas</w:t>
      </w:r>
      <w:r>
        <w:rPr>
          <w:spacing w:val="-2"/>
        </w:rPr>
        <w:t> </w:t>
      </w:r>
      <w:r>
        <w:rPr/>
        <w:t>de plazas</w:t>
      </w:r>
      <w:r>
        <w:rPr>
          <w:spacing w:val="-2"/>
        </w:rPr>
        <w:t> </w:t>
      </w:r>
      <w:r>
        <w:rPr/>
        <w:t>para la Inclusión y</w:t>
      </w:r>
      <w:r>
        <w:rPr>
          <w:spacing w:val="-2"/>
        </w:rPr>
        <w:t> </w:t>
      </w:r>
      <w:r>
        <w:rPr/>
        <w:t>Protección Laboral de las Personas con Discapacidad en el Sector Público. Fecha de vigencia </w:t>
      </w:r>
      <w:r>
        <w:rPr>
          <w:spacing w:val="-2"/>
        </w:rPr>
        <w:t>24/01/2023.</w:t>
      </w:r>
    </w:p>
    <w:p>
      <w:pPr>
        <w:pStyle w:val="BodyText"/>
        <w:spacing w:after="0"/>
        <w:jc w:val="both"/>
        <w:sectPr>
          <w:pgSz w:w="12240" w:h="15840"/>
          <w:pgMar w:header="0" w:footer="1021" w:top="1600" w:bottom="1220" w:left="720" w:right="360"/>
        </w:sectPr>
      </w:pPr>
    </w:p>
    <w:p>
      <w:pPr>
        <w:spacing w:line="240" w:lineRule="auto" w:before="76"/>
        <w:ind w:left="979" w:right="1337" w:firstLine="0"/>
        <w:jc w:val="both"/>
        <w:rPr>
          <w:sz w:val="22"/>
        </w:rPr>
      </w:pPr>
      <w:r>
        <w:rPr>
          <w:b/>
          <w:sz w:val="22"/>
        </w:rPr>
        <w:t>Directriz N°011-P.</w:t>
      </w:r>
      <w:r>
        <w:rPr>
          <w:b/>
          <w:spacing w:val="-2"/>
          <w:sz w:val="22"/>
        </w:rPr>
        <w:t> </w:t>
      </w:r>
      <w:r>
        <w:rPr>
          <w:b/>
          <w:sz w:val="22"/>
        </w:rPr>
        <w:t>Normas Aplicables para</w:t>
      </w:r>
      <w:r>
        <w:rPr>
          <w:b/>
          <w:spacing w:val="-1"/>
          <w:sz w:val="22"/>
        </w:rPr>
        <w:t> </w:t>
      </w:r>
      <w:r>
        <w:rPr>
          <w:b/>
          <w:sz w:val="22"/>
        </w:rPr>
        <w:t>Generación y</w:t>
      </w:r>
      <w:r>
        <w:rPr>
          <w:b/>
          <w:spacing w:val="-2"/>
          <w:sz w:val="22"/>
        </w:rPr>
        <w:t> </w:t>
      </w:r>
      <w:r>
        <w:rPr>
          <w:b/>
          <w:sz w:val="22"/>
        </w:rPr>
        <w:t>Publicación de Información Territorial</w:t>
      </w:r>
      <w:r>
        <w:rPr>
          <w:b/>
          <w:spacing w:val="-7"/>
          <w:sz w:val="22"/>
        </w:rPr>
        <w:t> </w:t>
      </w:r>
      <w:r>
        <w:rPr>
          <w:b/>
          <w:sz w:val="22"/>
        </w:rPr>
        <w:t>georreferenciada</w:t>
      </w:r>
      <w:r>
        <w:rPr>
          <w:sz w:val="22"/>
        </w:rPr>
        <w:t>.</w:t>
      </w:r>
      <w:r>
        <w:rPr>
          <w:spacing w:val="-7"/>
          <w:sz w:val="22"/>
        </w:rPr>
        <w:t> </w:t>
      </w:r>
      <w:r>
        <w:rPr>
          <w:sz w:val="22"/>
        </w:rPr>
        <w:t>Instruye</w:t>
      </w:r>
      <w:r>
        <w:rPr>
          <w:spacing w:val="-11"/>
          <w:sz w:val="22"/>
        </w:rPr>
        <w:t> </w:t>
      </w:r>
      <w:r>
        <w:rPr>
          <w:sz w:val="22"/>
        </w:rPr>
        <w:t>e</w:t>
      </w:r>
      <w:r>
        <w:rPr>
          <w:spacing w:val="-6"/>
          <w:sz w:val="22"/>
        </w:rPr>
        <w:t> </w:t>
      </w:r>
      <w:r>
        <w:rPr>
          <w:sz w:val="22"/>
        </w:rPr>
        <w:t>insta</w:t>
      </w:r>
      <w:r>
        <w:rPr>
          <w:spacing w:val="-11"/>
          <w:sz w:val="22"/>
        </w:rPr>
        <w:t> </w:t>
      </w:r>
      <w:r>
        <w:rPr>
          <w:sz w:val="22"/>
        </w:rPr>
        <w:t>a</w:t>
      </w:r>
      <w:r>
        <w:rPr>
          <w:spacing w:val="-6"/>
          <w:sz w:val="22"/>
        </w:rPr>
        <w:t> </w:t>
      </w:r>
      <w:r>
        <w:rPr>
          <w:sz w:val="22"/>
        </w:rPr>
        <w:t>la</w:t>
      </w:r>
      <w:r>
        <w:rPr>
          <w:spacing w:val="-11"/>
          <w:sz w:val="22"/>
        </w:rPr>
        <w:t> </w:t>
      </w:r>
      <w:r>
        <w:rPr>
          <w:sz w:val="22"/>
        </w:rPr>
        <w:t>Administración</w:t>
      </w:r>
      <w:r>
        <w:rPr>
          <w:spacing w:val="-6"/>
          <w:sz w:val="22"/>
        </w:rPr>
        <w:t> </w:t>
      </w:r>
      <w:r>
        <w:rPr>
          <w:sz w:val="22"/>
        </w:rPr>
        <w:t>Central,</w:t>
      </w:r>
      <w:r>
        <w:rPr>
          <w:spacing w:val="-12"/>
          <w:sz w:val="22"/>
        </w:rPr>
        <w:t> </w:t>
      </w:r>
      <w:r>
        <w:rPr>
          <w:sz w:val="22"/>
        </w:rPr>
        <w:t>Descentralizada y sus dependencias a acatar la obligatoriedad de la aplicación de las normas técnicas, políticas, lineamientos, protocolos, manuales y guías, establecidos por el Instituto Geográfico</w:t>
      </w:r>
      <w:r>
        <w:rPr>
          <w:spacing w:val="-5"/>
          <w:sz w:val="22"/>
        </w:rPr>
        <w:t> </w:t>
      </w:r>
      <w:r>
        <w:rPr>
          <w:sz w:val="22"/>
        </w:rPr>
        <w:t>Nacional</w:t>
      </w:r>
      <w:r>
        <w:rPr>
          <w:spacing w:val="-5"/>
          <w:sz w:val="22"/>
        </w:rPr>
        <w:t> </w:t>
      </w:r>
      <w:r>
        <w:rPr>
          <w:sz w:val="22"/>
        </w:rPr>
        <w:t>sobre</w:t>
      </w:r>
      <w:r>
        <w:rPr>
          <w:spacing w:val="-5"/>
          <w:sz w:val="22"/>
        </w:rPr>
        <w:t> </w:t>
      </w:r>
      <w:r>
        <w:rPr>
          <w:sz w:val="22"/>
        </w:rPr>
        <w:t>gestión</w:t>
      </w:r>
      <w:r>
        <w:rPr>
          <w:spacing w:val="-9"/>
          <w:sz w:val="22"/>
        </w:rPr>
        <w:t> </w:t>
      </w:r>
      <w:r>
        <w:rPr>
          <w:sz w:val="22"/>
        </w:rPr>
        <w:t>de</w:t>
      </w:r>
      <w:r>
        <w:rPr>
          <w:spacing w:val="-9"/>
          <w:sz w:val="22"/>
        </w:rPr>
        <w:t> </w:t>
      </w:r>
      <w:r>
        <w:rPr>
          <w:sz w:val="22"/>
        </w:rPr>
        <w:t>datos</w:t>
      </w:r>
      <w:r>
        <w:rPr>
          <w:spacing w:val="-7"/>
          <w:sz w:val="22"/>
        </w:rPr>
        <w:t> </w:t>
      </w:r>
      <w:r>
        <w:rPr>
          <w:sz w:val="22"/>
        </w:rPr>
        <w:t>e</w:t>
      </w:r>
      <w:r>
        <w:rPr>
          <w:spacing w:val="-5"/>
          <w:sz w:val="22"/>
        </w:rPr>
        <w:t> </w:t>
      </w:r>
      <w:r>
        <w:rPr>
          <w:sz w:val="22"/>
        </w:rPr>
        <w:t>información</w:t>
      </w:r>
      <w:r>
        <w:rPr>
          <w:spacing w:val="-9"/>
          <w:sz w:val="22"/>
        </w:rPr>
        <w:t> </w:t>
      </w:r>
      <w:r>
        <w:rPr>
          <w:sz w:val="22"/>
        </w:rPr>
        <w:t>geoespacial,</w:t>
      </w:r>
      <w:r>
        <w:rPr>
          <w:spacing w:val="-6"/>
          <w:sz w:val="22"/>
        </w:rPr>
        <w:t> </w:t>
      </w:r>
      <w:r>
        <w:rPr>
          <w:sz w:val="22"/>
        </w:rPr>
        <w:t>con</w:t>
      </w:r>
      <w:r>
        <w:rPr>
          <w:spacing w:val="-5"/>
          <w:sz w:val="22"/>
        </w:rPr>
        <w:t> </w:t>
      </w:r>
      <w:r>
        <w:rPr>
          <w:sz w:val="22"/>
        </w:rPr>
        <w:t>el</w:t>
      </w:r>
      <w:r>
        <w:rPr>
          <w:spacing w:val="-12"/>
          <w:sz w:val="22"/>
        </w:rPr>
        <w:t> </w:t>
      </w:r>
      <w:r>
        <w:rPr>
          <w:sz w:val="22"/>
        </w:rPr>
        <w:t>propósito</w:t>
      </w:r>
      <w:r>
        <w:rPr>
          <w:spacing w:val="-5"/>
          <w:sz w:val="22"/>
        </w:rPr>
        <w:t> </w:t>
      </w:r>
      <w:r>
        <w:rPr>
          <w:sz w:val="22"/>
        </w:rPr>
        <w:t>de asegurar la calidad, actualización y disponibilidad para la toma de decisiones.</w:t>
      </w:r>
      <w:r>
        <w:rPr>
          <w:spacing w:val="40"/>
          <w:sz w:val="22"/>
        </w:rPr>
        <w:t> </w:t>
      </w:r>
      <w:r>
        <w:rPr>
          <w:sz w:val="22"/>
        </w:rPr>
        <w:t>Fecha de vigencia 26/01/2023.</w:t>
      </w:r>
    </w:p>
    <w:p>
      <w:pPr>
        <w:pStyle w:val="BodyText"/>
        <w:spacing w:before="2"/>
      </w:pPr>
    </w:p>
    <w:p>
      <w:pPr>
        <w:spacing w:line="240" w:lineRule="auto" w:before="1"/>
        <w:ind w:left="979" w:right="1333" w:firstLine="0"/>
        <w:jc w:val="both"/>
        <w:rPr>
          <w:sz w:val="22"/>
        </w:rPr>
      </w:pPr>
      <w:r>
        <w:rPr>
          <w:b/>
          <w:sz w:val="22"/>
        </w:rPr>
        <w:t>Directriz IMAS-GG-0786-2023 Uso de la Guía Práctica para la Comunicación Institucional No</w:t>
      </w:r>
      <w:r>
        <w:rPr>
          <w:b/>
          <w:spacing w:val="-7"/>
          <w:sz w:val="22"/>
        </w:rPr>
        <w:t> </w:t>
      </w:r>
      <w:r>
        <w:rPr>
          <w:b/>
          <w:sz w:val="22"/>
        </w:rPr>
        <w:t>Sexista</w:t>
      </w:r>
      <w:r>
        <w:rPr>
          <w:b/>
          <w:spacing w:val="-4"/>
          <w:sz w:val="22"/>
        </w:rPr>
        <w:t> </w:t>
      </w:r>
      <w:r>
        <w:rPr>
          <w:b/>
          <w:sz w:val="22"/>
        </w:rPr>
        <w:t>e Inclusiva</w:t>
      </w:r>
      <w:r>
        <w:rPr>
          <w:b/>
          <w:spacing w:val="-4"/>
          <w:sz w:val="22"/>
        </w:rPr>
        <w:t> </w:t>
      </w:r>
      <w:r>
        <w:rPr>
          <w:b/>
          <w:sz w:val="22"/>
        </w:rPr>
        <w:t>en</w:t>
      </w:r>
      <w:r>
        <w:rPr>
          <w:b/>
          <w:spacing w:val="-6"/>
          <w:sz w:val="22"/>
        </w:rPr>
        <w:t> </w:t>
      </w:r>
      <w:r>
        <w:rPr>
          <w:b/>
          <w:sz w:val="22"/>
        </w:rPr>
        <w:t>el Instituto</w:t>
      </w:r>
      <w:r>
        <w:rPr>
          <w:b/>
          <w:spacing w:val="-2"/>
          <w:sz w:val="22"/>
        </w:rPr>
        <w:t> </w:t>
      </w:r>
      <w:r>
        <w:rPr>
          <w:b/>
          <w:sz w:val="22"/>
        </w:rPr>
        <w:t>Mixto</w:t>
      </w:r>
      <w:r>
        <w:rPr>
          <w:b/>
          <w:spacing w:val="-2"/>
          <w:sz w:val="22"/>
        </w:rPr>
        <w:t> </w:t>
      </w:r>
      <w:r>
        <w:rPr>
          <w:b/>
          <w:sz w:val="22"/>
        </w:rPr>
        <w:t>de Ayuda</w:t>
      </w:r>
      <w:r>
        <w:rPr>
          <w:b/>
          <w:spacing w:val="-4"/>
          <w:sz w:val="22"/>
        </w:rPr>
        <w:t> </w:t>
      </w:r>
      <w:r>
        <w:rPr>
          <w:b/>
          <w:sz w:val="22"/>
        </w:rPr>
        <w:t>Social</w:t>
      </w:r>
      <w:r>
        <w:rPr>
          <w:sz w:val="22"/>
        </w:rPr>
        <w:t>.</w:t>
      </w:r>
      <w:r>
        <w:rPr>
          <w:spacing w:val="80"/>
          <w:sz w:val="22"/>
        </w:rPr>
        <w:t> </w:t>
      </w:r>
      <w:r>
        <w:rPr>
          <w:sz w:val="22"/>
        </w:rPr>
        <w:t>Instruye</w:t>
      </w:r>
      <w:r>
        <w:rPr>
          <w:spacing w:val="33"/>
          <w:sz w:val="22"/>
        </w:rPr>
        <w:t> </w:t>
      </w:r>
      <w:r>
        <w:rPr>
          <w:sz w:val="22"/>
        </w:rPr>
        <w:t>el uso obligatorio de la “Guía Práctica para la Comunicación Institucional No Sexista e Inclusiva” para ser utilizada y aplicada en comunicados, presentaciones, normativa y en todos los documentos que se generen a nivel institucional, tanto para el uso interno como el externo. 02/06/2023</w:t>
      </w:r>
    </w:p>
    <w:p>
      <w:pPr>
        <w:spacing w:line="240" w:lineRule="auto" w:before="248"/>
        <w:ind w:left="979" w:right="1335" w:firstLine="0"/>
        <w:jc w:val="both"/>
        <w:rPr>
          <w:sz w:val="22"/>
        </w:rPr>
      </w:pPr>
      <w:r>
        <w:rPr>
          <w:b/>
          <w:sz w:val="22"/>
        </w:rPr>
        <w:t>Directriz</w:t>
      </w:r>
      <w:r>
        <w:rPr>
          <w:b/>
          <w:spacing w:val="-9"/>
          <w:sz w:val="22"/>
        </w:rPr>
        <w:t> </w:t>
      </w:r>
      <w:r>
        <w:rPr>
          <w:b/>
          <w:sz w:val="22"/>
        </w:rPr>
        <w:t>N°018-MIDEPLAN-MTSS.</w:t>
      </w:r>
      <w:r>
        <w:rPr>
          <w:b/>
          <w:spacing w:val="-13"/>
          <w:sz w:val="22"/>
        </w:rPr>
        <w:t> </w:t>
      </w:r>
      <w:r>
        <w:rPr>
          <w:b/>
          <w:sz w:val="22"/>
        </w:rPr>
        <w:t>Oficialización</w:t>
      </w:r>
      <w:r>
        <w:rPr>
          <w:b/>
          <w:spacing w:val="-9"/>
          <w:sz w:val="22"/>
        </w:rPr>
        <w:t> </w:t>
      </w:r>
      <w:r>
        <w:rPr>
          <w:b/>
          <w:sz w:val="22"/>
        </w:rPr>
        <w:t>de</w:t>
      </w:r>
      <w:r>
        <w:rPr>
          <w:b/>
          <w:spacing w:val="-12"/>
          <w:sz w:val="22"/>
        </w:rPr>
        <w:t> </w:t>
      </w:r>
      <w:r>
        <w:rPr>
          <w:b/>
          <w:sz w:val="22"/>
        </w:rPr>
        <w:t>la</w:t>
      </w:r>
      <w:r>
        <w:rPr>
          <w:b/>
          <w:spacing w:val="-12"/>
          <w:sz w:val="22"/>
        </w:rPr>
        <w:t> </w:t>
      </w:r>
      <w:r>
        <w:rPr>
          <w:b/>
          <w:sz w:val="22"/>
        </w:rPr>
        <w:t>guía</w:t>
      </w:r>
      <w:r>
        <w:rPr>
          <w:b/>
          <w:spacing w:val="-12"/>
          <w:sz w:val="22"/>
        </w:rPr>
        <w:t> </w:t>
      </w:r>
      <w:r>
        <w:rPr>
          <w:b/>
          <w:sz w:val="22"/>
        </w:rPr>
        <w:t>técnica</w:t>
      </w:r>
      <w:r>
        <w:rPr>
          <w:b/>
          <w:spacing w:val="-12"/>
          <w:sz w:val="22"/>
        </w:rPr>
        <w:t> </w:t>
      </w:r>
      <w:r>
        <w:rPr>
          <w:b/>
          <w:sz w:val="22"/>
        </w:rPr>
        <w:t>para</w:t>
      </w:r>
      <w:r>
        <w:rPr>
          <w:b/>
          <w:spacing w:val="-11"/>
          <w:sz w:val="22"/>
        </w:rPr>
        <w:t> </w:t>
      </w:r>
      <w:r>
        <w:rPr>
          <w:b/>
          <w:sz w:val="22"/>
        </w:rPr>
        <w:t>la</w:t>
      </w:r>
      <w:r>
        <w:rPr>
          <w:b/>
          <w:spacing w:val="-12"/>
          <w:sz w:val="22"/>
        </w:rPr>
        <w:t> </w:t>
      </w:r>
      <w:r>
        <w:rPr>
          <w:b/>
          <w:sz w:val="22"/>
        </w:rPr>
        <w:t>prevención y atención del acosa laboral o mobbing en el lugar de trabajo e implementación de capacitación obligatoria para las entidades y órganos bajo la rectoría del Sistema General</w:t>
      </w:r>
      <w:r>
        <w:rPr>
          <w:b/>
          <w:spacing w:val="-9"/>
          <w:sz w:val="22"/>
        </w:rPr>
        <w:t> </w:t>
      </w:r>
      <w:r>
        <w:rPr>
          <w:b/>
          <w:sz w:val="22"/>
        </w:rPr>
        <w:t>de</w:t>
      </w:r>
      <w:r>
        <w:rPr>
          <w:b/>
          <w:spacing w:val="-10"/>
          <w:sz w:val="22"/>
        </w:rPr>
        <w:t> </w:t>
      </w:r>
      <w:r>
        <w:rPr>
          <w:b/>
          <w:sz w:val="22"/>
        </w:rPr>
        <w:t>Empleo</w:t>
      </w:r>
      <w:r>
        <w:rPr>
          <w:b/>
          <w:spacing w:val="-6"/>
          <w:sz w:val="22"/>
        </w:rPr>
        <w:t> </w:t>
      </w:r>
      <w:r>
        <w:rPr>
          <w:b/>
          <w:sz w:val="22"/>
        </w:rPr>
        <w:t>Público</w:t>
      </w:r>
      <w:r>
        <w:rPr>
          <w:sz w:val="22"/>
        </w:rPr>
        <w:t>.</w:t>
      </w:r>
      <w:r>
        <w:rPr>
          <w:spacing w:val="-5"/>
          <w:sz w:val="22"/>
        </w:rPr>
        <w:t> </w:t>
      </w:r>
      <w:r>
        <w:rPr>
          <w:sz w:val="22"/>
        </w:rPr>
        <w:t>Se</w:t>
      </w:r>
      <w:r>
        <w:rPr>
          <w:spacing w:val="-4"/>
          <w:sz w:val="22"/>
        </w:rPr>
        <w:t> </w:t>
      </w:r>
      <w:r>
        <w:rPr>
          <w:sz w:val="22"/>
        </w:rPr>
        <w:t>instruye</w:t>
      </w:r>
      <w:r>
        <w:rPr>
          <w:spacing w:val="-4"/>
          <w:sz w:val="22"/>
        </w:rPr>
        <w:t> </w:t>
      </w:r>
      <w:r>
        <w:rPr>
          <w:sz w:val="22"/>
        </w:rPr>
        <w:t>a</w:t>
      </w:r>
      <w:r>
        <w:rPr>
          <w:spacing w:val="-9"/>
          <w:sz w:val="22"/>
        </w:rPr>
        <w:t> </w:t>
      </w:r>
      <w:r>
        <w:rPr>
          <w:sz w:val="22"/>
        </w:rPr>
        <w:t>todas</w:t>
      </w:r>
      <w:r>
        <w:rPr>
          <w:spacing w:val="-11"/>
          <w:sz w:val="22"/>
        </w:rPr>
        <w:t> </w:t>
      </w:r>
      <w:r>
        <w:rPr>
          <w:sz w:val="22"/>
        </w:rPr>
        <w:t>las</w:t>
      </w:r>
      <w:r>
        <w:rPr>
          <w:spacing w:val="-6"/>
          <w:sz w:val="22"/>
        </w:rPr>
        <w:t> </w:t>
      </w:r>
      <w:r>
        <w:rPr>
          <w:sz w:val="22"/>
        </w:rPr>
        <w:t>entidades</w:t>
      </w:r>
      <w:r>
        <w:rPr>
          <w:spacing w:val="-6"/>
          <w:sz w:val="22"/>
        </w:rPr>
        <w:t> </w:t>
      </w:r>
      <w:r>
        <w:rPr>
          <w:sz w:val="22"/>
        </w:rPr>
        <w:t>y</w:t>
      </w:r>
      <w:r>
        <w:rPr>
          <w:spacing w:val="-11"/>
          <w:sz w:val="22"/>
        </w:rPr>
        <w:t> </w:t>
      </w:r>
      <w:r>
        <w:rPr>
          <w:sz w:val="22"/>
        </w:rPr>
        <w:t>órganos,</w:t>
      </w:r>
      <w:r>
        <w:rPr>
          <w:spacing w:val="-10"/>
          <w:sz w:val="22"/>
        </w:rPr>
        <w:t> </w:t>
      </w:r>
      <w:r>
        <w:rPr>
          <w:sz w:val="22"/>
        </w:rPr>
        <w:t>bajo</w:t>
      </w:r>
      <w:r>
        <w:rPr>
          <w:spacing w:val="-4"/>
          <w:sz w:val="22"/>
        </w:rPr>
        <w:t> </w:t>
      </w:r>
      <w:r>
        <w:rPr>
          <w:sz w:val="22"/>
        </w:rPr>
        <w:t>la</w:t>
      </w:r>
      <w:r>
        <w:rPr>
          <w:spacing w:val="-4"/>
          <w:sz w:val="22"/>
        </w:rPr>
        <w:t> </w:t>
      </w:r>
      <w:r>
        <w:rPr>
          <w:sz w:val="22"/>
        </w:rPr>
        <w:t>Rectoría del</w:t>
      </w:r>
      <w:r>
        <w:rPr>
          <w:spacing w:val="-2"/>
          <w:sz w:val="22"/>
        </w:rPr>
        <w:t> </w:t>
      </w:r>
      <w:r>
        <w:rPr>
          <w:sz w:val="22"/>
        </w:rPr>
        <w:t>Sistema General de Empleo Público, a cargo del Ministerio de Planificación Nacional y Política</w:t>
      </w:r>
      <w:r>
        <w:rPr>
          <w:spacing w:val="-16"/>
          <w:sz w:val="22"/>
        </w:rPr>
        <w:t> </w:t>
      </w:r>
      <w:r>
        <w:rPr>
          <w:sz w:val="22"/>
        </w:rPr>
        <w:t>Económica,</w:t>
      </w:r>
      <w:r>
        <w:rPr>
          <w:spacing w:val="-15"/>
          <w:sz w:val="22"/>
        </w:rPr>
        <w:t> </w:t>
      </w:r>
      <w:r>
        <w:rPr>
          <w:sz w:val="22"/>
        </w:rPr>
        <w:t>para</w:t>
      </w:r>
      <w:r>
        <w:rPr>
          <w:spacing w:val="-15"/>
          <w:sz w:val="22"/>
        </w:rPr>
        <w:t> </w:t>
      </w:r>
      <w:r>
        <w:rPr>
          <w:sz w:val="22"/>
        </w:rPr>
        <w:t>que</w:t>
      </w:r>
      <w:r>
        <w:rPr>
          <w:spacing w:val="-15"/>
          <w:sz w:val="22"/>
        </w:rPr>
        <w:t> </w:t>
      </w:r>
      <w:r>
        <w:rPr>
          <w:sz w:val="22"/>
        </w:rPr>
        <w:t>todo</w:t>
      </w:r>
      <w:r>
        <w:rPr>
          <w:spacing w:val="-10"/>
          <w:sz w:val="22"/>
        </w:rPr>
        <w:t> </w:t>
      </w:r>
      <w:r>
        <w:rPr>
          <w:sz w:val="22"/>
        </w:rPr>
        <w:t>su</w:t>
      </w:r>
      <w:r>
        <w:rPr>
          <w:spacing w:val="-15"/>
          <w:sz w:val="22"/>
        </w:rPr>
        <w:t> </w:t>
      </w:r>
      <w:r>
        <w:rPr>
          <w:sz w:val="22"/>
        </w:rPr>
        <w:t>personal</w:t>
      </w:r>
      <w:r>
        <w:rPr>
          <w:spacing w:val="-13"/>
          <w:sz w:val="22"/>
        </w:rPr>
        <w:t> </w:t>
      </w:r>
      <w:r>
        <w:rPr>
          <w:sz w:val="22"/>
        </w:rPr>
        <w:t>realice</w:t>
      </w:r>
      <w:r>
        <w:rPr>
          <w:spacing w:val="-15"/>
          <w:sz w:val="22"/>
        </w:rPr>
        <w:t> </w:t>
      </w:r>
      <w:r>
        <w:rPr>
          <w:sz w:val="22"/>
        </w:rPr>
        <w:t>de</w:t>
      </w:r>
      <w:r>
        <w:rPr>
          <w:spacing w:val="-15"/>
          <w:sz w:val="22"/>
        </w:rPr>
        <w:t> </w:t>
      </w:r>
      <w:r>
        <w:rPr>
          <w:sz w:val="22"/>
        </w:rPr>
        <w:t>forma</w:t>
      </w:r>
      <w:r>
        <w:rPr>
          <w:spacing w:val="-15"/>
          <w:sz w:val="22"/>
        </w:rPr>
        <w:t> </w:t>
      </w:r>
      <w:r>
        <w:rPr>
          <w:sz w:val="22"/>
        </w:rPr>
        <w:t>obligatoria</w:t>
      </w:r>
      <w:r>
        <w:rPr>
          <w:spacing w:val="-15"/>
          <w:sz w:val="22"/>
        </w:rPr>
        <w:t> </w:t>
      </w:r>
      <w:r>
        <w:rPr>
          <w:sz w:val="22"/>
        </w:rPr>
        <w:t>una</w:t>
      </w:r>
      <w:r>
        <w:rPr>
          <w:spacing w:val="-15"/>
          <w:sz w:val="22"/>
        </w:rPr>
        <w:t> </w:t>
      </w:r>
      <w:r>
        <w:rPr>
          <w:sz w:val="22"/>
        </w:rPr>
        <w:t>capacitación virtual en materia de acoso laboral o mobbing en el lugar de trabajo, que será preparada por el Centro de Capacitación y Desarrollo de la Dirección General de Servicio Civil (CECADES) y el Instituto Nacional de Aprendizaje (INA), y que estará disponible a través de la plataforma virtual de CECADES y del INA durante el período comprendido desde el mes</w:t>
      </w:r>
      <w:r>
        <w:rPr>
          <w:spacing w:val="-4"/>
          <w:sz w:val="22"/>
        </w:rPr>
        <w:t> </w:t>
      </w:r>
      <w:r>
        <w:rPr>
          <w:sz w:val="22"/>
        </w:rPr>
        <w:t>de septiembre</w:t>
      </w:r>
      <w:r>
        <w:rPr>
          <w:spacing w:val="-2"/>
          <w:sz w:val="22"/>
        </w:rPr>
        <w:t> </w:t>
      </w:r>
      <w:r>
        <w:rPr>
          <w:sz w:val="22"/>
        </w:rPr>
        <w:t>de 2023 y</w:t>
      </w:r>
      <w:r>
        <w:rPr>
          <w:spacing w:val="-4"/>
          <w:sz w:val="22"/>
        </w:rPr>
        <w:t> </w:t>
      </w:r>
      <w:r>
        <w:rPr>
          <w:sz w:val="22"/>
        </w:rPr>
        <w:t>hasta</w:t>
      </w:r>
      <w:r>
        <w:rPr>
          <w:spacing w:val="-2"/>
          <w:sz w:val="22"/>
        </w:rPr>
        <w:t> </w:t>
      </w:r>
      <w:r>
        <w:rPr>
          <w:sz w:val="22"/>
        </w:rPr>
        <w:t>el</w:t>
      </w:r>
      <w:r>
        <w:rPr>
          <w:spacing w:val="-5"/>
          <w:sz w:val="22"/>
        </w:rPr>
        <w:t> </w:t>
      </w:r>
      <w:r>
        <w:rPr>
          <w:sz w:val="22"/>
        </w:rPr>
        <w:t>30</w:t>
      </w:r>
      <w:r>
        <w:rPr>
          <w:spacing w:val="-2"/>
          <w:sz w:val="22"/>
        </w:rPr>
        <w:t> </w:t>
      </w:r>
      <w:r>
        <w:rPr>
          <w:sz w:val="22"/>
        </w:rPr>
        <w:t>de abril</w:t>
      </w:r>
      <w:r>
        <w:rPr>
          <w:spacing w:val="-5"/>
          <w:sz w:val="22"/>
        </w:rPr>
        <w:t> </w:t>
      </w:r>
      <w:r>
        <w:rPr>
          <w:sz w:val="22"/>
        </w:rPr>
        <w:t>de</w:t>
      </w:r>
      <w:r>
        <w:rPr>
          <w:spacing w:val="-2"/>
          <w:sz w:val="22"/>
        </w:rPr>
        <w:t> </w:t>
      </w:r>
      <w:r>
        <w:rPr>
          <w:sz w:val="22"/>
        </w:rPr>
        <w:t>2026. Fecha de vigencia</w:t>
      </w:r>
      <w:r>
        <w:rPr>
          <w:spacing w:val="-2"/>
          <w:sz w:val="22"/>
        </w:rPr>
        <w:t> </w:t>
      </w:r>
      <w:r>
        <w:rPr>
          <w:sz w:val="22"/>
        </w:rPr>
        <w:t>25/07/2023.</w:t>
      </w:r>
    </w:p>
    <w:p>
      <w:pPr>
        <w:pStyle w:val="BodyText"/>
        <w:spacing w:before="4"/>
      </w:pPr>
    </w:p>
    <w:p>
      <w:pPr>
        <w:spacing w:line="240" w:lineRule="auto" w:before="0"/>
        <w:ind w:left="979" w:right="1336" w:firstLine="0"/>
        <w:jc w:val="both"/>
        <w:rPr>
          <w:sz w:val="22"/>
        </w:rPr>
      </w:pPr>
      <w:r>
        <w:rPr>
          <w:b/>
          <w:sz w:val="22"/>
        </w:rPr>
        <w:t>Derogatoria directriz N°025-H Obligatoriedad del uso del sistema integrado de compras públicas en las contrataciones con recursos a cargo del presupuesto nacional:</w:t>
      </w:r>
      <w:r>
        <w:rPr>
          <w:b/>
          <w:spacing w:val="-12"/>
          <w:sz w:val="22"/>
        </w:rPr>
        <w:t> </w:t>
      </w:r>
      <w:r>
        <w:rPr>
          <w:sz w:val="22"/>
        </w:rPr>
        <w:t>Se</w:t>
      </w:r>
      <w:r>
        <w:rPr>
          <w:spacing w:val="-9"/>
          <w:sz w:val="22"/>
        </w:rPr>
        <w:t> </w:t>
      </w:r>
      <w:r>
        <w:rPr>
          <w:sz w:val="22"/>
        </w:rPr>
        <w:t>deroga</w:t>
      </w:r>
      <w:r>
        <w:rPr>
          <w:spacing w:val="-9"/>
          <w:sz w:val="22"/>
        </w:rPr>
        <w:t> </w:t>
      </w:r>
      <w:r>
        <w:rPr>
          <w:sz w:val="22"/>
        </w:rPr>
        <w:t>la</w:t>
      </w:r>
      <w:r>
        <w:rPr>
          <w:spacing w:val="-9"/>
          <w:sz w:val="22"/>
        </w:rPr>
        <w:t> </w:t>
      </w:r>
      <w:r>
        <w:rPr>
          <w:sz w:val="22"/>
        </w:rPr>
        <w:t>Directriz</w:t>
      </w:r>
      <w:r>
        <w:rPr>
          <w:spacing w:val="-11"/>
          <w:sz w:val="22"/>
        </w:rPr>
        <w:t> </w:t>
      </w:r>
      <w:r>
        <w:rPr>
          <w:sz w:val="22"/>
        </w:rPr>
        <w:t>N°</w:t>
      </w:r>
      <w:r>
        <w:rPr>
          <w:spacing w:val="-13"/>
          <w:sz w:val="22"/>
        </w:rPr>
        <w:t> </w:t>
      </w:r>
      <w:r>
        <w:rPr>
          <w:sz w:val="22"/>
        </w:rPr>
        <w:t>025-H</w:t>
      </w:r>
      <w:r>
        <w:rPr>
          <w:spacing w:val="-12"/>
          <w:sz w:val="22"/>
        </w:rPr>
        <w:t> </w:t>
      </w:r>
      <w:r>
        <w:rPr>
          <w:sz w:val="22"/>
        </w:rPr>
        <w:t>denominada</w:t>
      </w:r>
      <w:r>
        <w:rPr>
          <w:spacing w:val="-7"/>
          <w:sz w:val="22"/>
        </w:rPr>
        <w:t> </w:t>
      </w:r>
      <w:r>
        <w:rPr>
          <w:sz w:val="22"/>
        </w:rPr>
        <w:t>“Obligatoriedad</w:t>
      </w:r>
      <w:r>
        <w:rPr>
          <w:spacing w:val="-9"/>
          <w:sz w:val="22"/>
        </w:rPr>
        <w:t> </w:t>
      </w:r>
      <w:r>
        <w:rPr>
          <w:sz w:val="22"/>
        </w:rPr>
        <w:t>del</w:t>
      </w:r>
      <w:r>
        <w:rPr>
          <w:spacing w:val="-16"/>
          <w:sz w:val="22"/>
        </w:rPr>
        <w:t> </w:t>
      </w:r>
      <w:r>
        <w:rPr>
          <w:sz w:val="22"/>
        </w:rPr>
        <w:t>uso</w:t>
      </w:r>
      <w:r>
        <w:rPr>
          <w:spacing w:val="-13"/>
          <w:sz w:val="22"/>
        </w:rPr>
        <w:t> </w:t>
      </w:r>
      <w:r>
        <w:rPr>
          <w:sz w:val="22"/>
        </w:rPr>
        <w:t>del</w:t>
      </w:r>
      <w:r>
        <w:rPr>
          <w:spacing w:val="-12"/>
          <w:sz w:val="22"/>
        </w:rPr>
        <w:t> </w:t>
      </w:r>
      <w:r>
        <w:rPr>
          <w:sz w:val="22"/>
        </w:rPr>
        <w:t>Sistema Integrado</w:t>
      </w:r>
      <w:r>
        <w:rPr>
          <w:spacing w:val="-16"/>
          <w:sz w:val="22"/>
        </w:rPr>
        <w:t> </w:t>
      </w:r>
      <w:r>
        <w:rPr>
          <w:sz w:val="22"/>
        </w:rPr>
        <w:t>de</w:t>
      </w:r>
      <w:r>
        <w:rPr>
          <w:spacing w:val="-13"/>
          <w:sz w:val="22"/>
        </w:rPr>
        <w:t> </w:t>
      </w:r>
      <w:r>
        <w:rPr>
          <w:sz w:val="22"/>
        </w:rPr>
        <w:t>Compras</w:t>
      </w:r>
      <w:r>
        <w:rPr>
          <w:spacing w:val="-13"/>
          <w:sz w:val="22"/>
        </w:rPr>
        <w:t> </w:t>
      </w:r>
      <w:r>
        <w:rPr>
          <w:sz w:val="22"/>
        </w:rPr>
        <w:t>Públicas</w:t>
      </w:r>
      <w:r>
        <w:rPr>
          <w:spacing w:val="-16"/>
          <w:sz w:val="22"/>
        </w:rPr>
        <w:t> </w:t>
      </w:r>
      <w:r>
        <w:rPr>
          <w:sz w:val="22"/>
        </w:rPr>
        <w:t>en</w:t>
      </w:r>
      <w:r>
        <w:rPr>
          <w:spacing w:val="-14"/>
          <w:sz w:val="22"/>
        </w:rPr>
        <w:t> </w:t>
      </w:r>
      <w:r>
        <w:rPr>
          <w:sz w:val="22"/>
        </w:rPr>
        <w:t>las</w:t>
      </w:r>
      <w:r>
        <w:rPr>
          <w:spacing w:val="-16"/>
          <w:sz w:val="22"/>
        </w:rPr>
        <w:t> </w:t>
      </w:r>
      <w:r>
        <w:rPr>
          <w:sz w:val="22"/>
        </w:rPr>
        <w:t>contrataciones</w:t>
      </w:r>
      <w:r>
        <w:rPr>
          <w:spacing w:val="-15"/>
          <w:sz w:val="22"/>
        </w:rPr>
        <w:t> </w:t>
      </w:r>
      <w:r>
        <w:rPr>
          <w:sz w:val="22"/>
        </w:rPr>
        <w:t>con</w:t>
      </w:r>
      <w:r>
        <w:rPr>
          <w:spacing w:val="-10"/>
          <w:sz w:val="22"/>
        </w:rPr>
        <w:t> </w:t>
      </w:r>
      <w:r>
        <w:rPr>
          <w:sz w:val="22"/>
        </w:rPr>
        <w:t>recursos</w:t>
      </w:r>
      <w:r>
        <w:rPr>
          <w:spacing w:val="-16"/>
          <w:sz w:val="22"/>
        </w:rPr>
        <w:t> </w:t>
      </w:r>
      <w:r>
        <w:rPr>
          <w:sz w:val="22"/>
        </w:rPr>
        <w:t>a</w:t>
      </w:r>
      <w:r>
        <w:rPr>
          <w:spacing w:val="-14"/>
          <w:sz w:val="22"/>
        </w:rPr>
        <w:t> </w:t>
      </w:r>
      <w:r>
        <w:rPr>
          <w:sz w:val="22"/>
        </w:rPr>
        <w:t>cargo</w:t>
      </w:r>
      <w:r>
        <w:rPr>
          <w:spacing w:val="-15"/>
          <w:sz w:val="22"/>
        </w:rPr>
        <w:t> </w:t>
      </w:r>
      <w:r>
        <w:rPr>
          <w:sz w:val="22"/>
        </w:rPr>
        <w:t>del</w:t>
      </w:r>
      <w:r>
        <w:rPr>
          <w:spacing w:val="-4"/>
          <w:sz w:val="22"/>
        </w:rPr>
        <w:t> </w:t>
      </w:r>
      <w:r>
        <w:rPr>
          <w:sz w:val="22"/>
        </w:rPr>
        <w:t>presupuesto nacional”, de fecha 01 de agosto de 2018. Fecha de vigencia 06/09/2024.</w:t>
      </w:r>
    </w:p>
    <w:p>
      <w:pPr>
        <w:pStyle w:val="BodyText"/>
        <w:spacing w:before="252"/>
        <w:ind w:left="979" w:right="1344"/>
        <w:jc w:val="both"/>
      </w:pPr>
      <w:r>
        <w:rPr>
          <w:b/>
        </w:rPr>
        <w:t>Directriz IMAS-GG-1623-2024: </w:t>
      </w:r>
      <w:r>
        <w:rPr/>
        <w:t>Giro de recursos sociales con transferencias SINPE mediante el Banco Nacional de Costa Rica, cuando se rechace la gestión por medio del Sistema</w:t>
      </w:r>
      <w:r>
        <w:rPr>
          <w:spacing w:val="-5"/>
        </w:rPr>
        <w:t> </w:t>
      </w:r>
      <w:r>
        <w:rPr/>
        <w:t>Único</w:t>
      </w:r>
      <w:r>
        <w:rPr>
          <w:spacing w:val="-9"/>
        </w:rPr>
        <w:t> </w:t>
      </w:r>
      <w:r>
        <w:rPr/>
        <w:t>de</w:t>
      </w:r>
      <w:r>
        <w:rPr>
          <w:spacing w:val="-9"/>
        </w:rPr>
        <w:t> </w:t>
      </w:r>
      <w:r>
        <w:rPr/>
        <w:t>Pago</w:t>
      </w:r>
      <w:r>
        <w:rPr>
          <w:spacing w:val="-10"/>
        </w:rPr>
        <w:t> </w:t>
      </w:r>
      <w:r>
        <w:rPr/>
        <w:t>de</w:t>
      </w:r>
      <w:r>
        <w:rPr>
          <w:spacing w:val="-5"/>
        </w:rPr>
        <w:t> </w:t>
      </w:r>
      <w:r>
        <w:rPr/>
        <w:t>Recursos</w:t>
      </w:r>
      <w:r>
        <w:rPr>
          <w:spacing w:val="-11"/>
        </w:rPr>
        <w:t> </w:t>
      </w:r>
      <w:r>
        <w:rPr/>
        <w:t>Sociales</w:t>
      </w:r>
      <w:r>
        <w:rPr>
          <w:spacing w:val="-7"/>
        </w:rPr>
        <w:t> </w:t>
      </w:r>
      <w:r>
        <w:rPr/>
        <w:t>(SUPRES)</w:t>
      </w:r>
      <w:r>
        <w:rPr>
          <w:spacing w:val="-9"/>
        </w:rPr>
        <w:t> </w:t>
      </w:r>
      <w:r>
        <w:rPr/>
        <w:t>del</w:t>
      </w:r>
      <w:r>
        <w:rPr>
          <w:spacing w:val="-8"/>
        </w:rPr>
        <w:t> </w:t>
      </w:r>
      <w:r>
        <w:rPr/>
        <w:t>Ministerio</w:t>
      </w:r>
      <w:r>
        <w:rPr>
          <w:spacing w:val="-5"/>
        </w:rPr>
        <w:t> </w:t>
      </w:r>
      <w:r>
        <w:rPr/>
        <w:t>de</w:t>
      </w:r>
      <w:r>
        <w:rPr>
          <w:spacing w:val="-5"/>
        </w:rPr>
        <w:t> </w:t>
      </w:r>
      <w:r>
        <w:rPr/>
        <w:t>Hacienda</w:t>
      </w:r>
      <w:r>
        <w:rPr>
          <w:spacing w:val="-5"/>
        </w:rPr>
        <w:t> </w:t>
      </w:r>
      <w:r>
        <w:rPr/>
        <w:t>(MH)” Fecha de vigencia: 13/09/2024.</w:t>
      </w:r>
    </w:p>
    <w:p>
      <w:pPr>
        <w:pStyle w:val="BodyText"/>
        <w:spacing w:before="3"/>
      </w:pPr>
    </w:p>
    <w:p>
      <w:pPr>
        <w:pStyle w:val="BodyText"/>
        <w:ind w:left="979" w:right="1337"/>
        <w:jc w:val="both"/>
      </w:pPr>
      <w:r>
        <w:rPr>
          <w:b/>
        </w:rPr>
        <w:t>Directriz de uso de la moneda nacional en las contrataciones públicas, dirigida al sector</w:t>
      </w:r>
      <w:r>
        <w:rPr>
          <w:b/>
          <w:spacing w:val="-1"/>
        </w:rPr>
        <w:t> </w:t>
      </w:r>
      <w:r>
        <w:rPr>
          <w:b/>
        </w:rPr>
        <w:t>público"</w:t>
      </w:r>
      <w:r>
        <w:rPr>
          <w:b/>
          <w:spacing w:val="-3"/>
        </w:rPr>
        <w:t> </w:t>
      </w:r>
      <w:r>
        <w:rPr/>
        <w:t>Las</w:t>
      </w:r>
      <w:r>
        <w:rPr>
          <w:spacing w:val="-6"/>
        </w:rPr>
        <w:t> </w:t>
      </w:r>
      <w:r>
        <w:rPr/>
        <w:t>entidades</w:t>
      </w:r>
      <w:r>
        <w:rPr>
          <w:spacing w:val="-1"/>
        </w:rPr>
        <w:t> </w:t>
      </w:r>
      <w:r>
        <w:rPr/>
        <w:t>y</w:t>
      </w:r>
      <w:r>
        <w:rPr>
          <w:spacing w:val="-6"/>
        </w:rPr>
        <w:t> </w:t>
      </w:r>
      <w:r>
        <w:rPr/>
        <w:t>órganos</w:t>
      </w:r>
      <w:r>
        <w:rPr>
          <w:spacing w:val="-6"/>
        </w:rPr>
        <w:t> </w:t>
      </w:r>
      <w:r>
        <w:rPr/>
        <w:t>del</w:t>
      </w:r>
      <w:r>
        <w:rPr>
          <w:spacing w:val="-7"/>
        </w:rPr>
        <w:t> </w:t>
      </w:r>
      <w:r>
        <w:rPr/>
        <w:t>Poder</w:t>
      </w:r>
      <w:r>
        <w:rPr>
          <w:spacing w:val="-3"/>
        </w:rPr>
        <w:t> </w:t>
      </w:r>
      <w:r>
        <w:rPr/>
        <w:t>Ejecutivo,</w:t>
      </w:r>
      <w:r>
        <w:rPr>
          <w:spacing w:val="-5"/>
        </w:rPr>
        <w:t> </w:t>
      </w:r>
      <w:r>
        <w:rPr/>
        <w:t>a partir</w:t>
      </w:r>
      <w:r>
        <w:rPr>
          <w:spacing w:val="-3"/>
        </w:rPr>
        <w:t> </w:t>
      </w:r>
      <w:r>
        <w:rPr/>
        <w:t>de la publicación</w:t>
      </w:r>
      <w:r>
        <w:rPr>
          <w:spacing w:val="-4"/>
        </w:rPr>
        <w:t> </w:t>
      </w:r>
      <w:r>
        <w:rPr/>
        <w:t>de la presente Directriz, deberán efectuar todas sus contrataciones de bienes y servicios en moneda nacional, estableciendo el requisito desde el pliego de condiciones de las contrataciones</w:t>
      </w:r>
      <w:r>
        <w:rPr>
          <w:spacing w:val="-16"/>
        </w:rPr>
        <w:t> </w:t>
      </w:r>
      <w:r>
        <w:rPr/>
        <w:t>públicas,</w:t>
      </w:r>
      <w:r>
        <w:rPr>
          <w:spacing w:val="-15"/>
        </w:rPr>
        <w:t> </w:t>
      </w:r>
      <w:r>
        <w:rPr/>
        <w:t>siempre</w:t>
      </w:r>
      <w:r>
        <w:rPr>
          <w:spacing w:val="-9"/>
        </w:rPr>
        <w:t> </w:t>
      </w:r>
      <w:r>
        <w:rPr/>
        <w:t>y</w:t>
      </w:r>
      <w:r>
        <w:rPr>
          <w:spacing w:val="-11"/>
        </w:rPr>
        <w:t> </w:t>
      </w:r>
      <w:r>
        <w:rPr/>
        <w:t>cuando</w:t>
      </w:r>
      <w:r>
        <w:rPr>
          <w:spacing w:val="-9"/>
        </w:rPr>
        <w:t> </w:t>
      </w:r>
      <w:r>
        <w:rPr/>
        <w:t>las</w:t>
      </w:r>
      <w:r>
        <w:rPr>
          <w:spacing w:val="-8"/>
        </w:rPr>
        <w:t> </w:t>
      </w:r>
      <w:r>
        <w:rPr/>
        <w:t>circunstancias</w:t>
      </w:r>
      <w:r>
        <w:rPr>
          <w:spacing w:val="-16"/>
        </w:rPr>
        <w:t> </w:t>
      </w:r>
      <w:r>
        <w:rPr/>
        <w:t>del</w:t>
      </w:r>
      <w:r>
        <w:rPr>
          <w:spacing w:val="-15"/>
        </w:rPr>
        <w:t> </w:t>
      </w:r>
      <w:r>
        <w:rPr/>
        <w:t>mercado</w:t>
      </w:r>
      <w:r>
        <w:rPr>
          <w:spacing w:val="-9"/>
        </w:rPr>
        <w:t> </w:t>
      </w:r>
      <w:r>
        <w:rPr/>
        <w:t>lo</w:t>
      </w:r>
      <w:r>
        <w:rPr>
          <w:spacing w:val="-14"/>
        </w:rPr>
        <w:t> </w:t>
      </w:r>
      <w:r>
        <w:rPr/>
        <w:t>ameriten</w:t>
      </w:r>
      <w:r>
        <w:rPr>
          <w:spacing w:val="-14"/>
        </w:rPr>
        <w:t> </w:t>
      </w:r>
      <w:r>
        <w:rPr/>
        <w:t>y</w:t>
      </w:r>
      <w:r>
        <w:rPr>
          <w:spacing w:val="-16"/>
        </w:rPr>
        <w:t> </w:t>
      </w:r>
      <w:r>
        <w:rPr/>
        <w:t>ello no</w:t>
      </w:r>
      <w:r>
        <w:rPr>
          <w:spacing w:val="-5"/>
        </w:rPr>
        <w:t> </w:t>
      </w:r>
      <w:r>
        <w:rPr/>
        <w:t>cause</w:t>
      </w:r>
      <w:r>
        <w:rPr>
          <w:spacing w:val="-5"/>
        </w:rPr>
        <w:t> </w:t>
      </w:r>
      <w:r>
        <w:rPr/>
        <w:t>un</w:t>
      </w:r>
      <w:r>
        <w:rPr>
          <w:spacing w:val="-5"/>
        </w:rPr>
        <w:t> </w:t>
      </w:r>
      <w:r>
        <w:rPr/>
        <w:t>perjuicio</w:t>
      </w:r>
      <w:r>
        <w:rPr>
          <w:spacing w:val="-5"/>
        </w:rPr>
        <w:t> </w:t>
      </w:r>
      <w:r>
        <w:rPr/>
        <w:t>a</w:t>
      </w:r>
      <w:r>
        <w:rPr>
          <w:spacing w:val="-5"/>
        </w:rPr>
        <w:t> </w:t>
      </w:r>
      <w:r>
        <w:rPr/>
        <w:t>la satisfacción</w:t>
      </w:r>
      <w:r>
        <w:rPr>
          <w:spacing w:val="-5"/>
        </w:rPr>
        <w:t> </w:t>
      </w:r>
      <w:r>
        <w:rPr/>
        <w:t>del</w:t>
      </w:r>
      <w:r>
        <w:rPr>
          <w:spacing w:val="-8"/>
        </w:rPr>
        <w:t> </w:t>
      </w:r>
      <w:r>
        <w:rPr/>
        <w:t>interés</w:t>
      </w:r>
      <w:r>
        <w:rPr>
          <w:spacing w:val="-11"/>
        </w:rPr>
        <w:t> </w:t>
      </w:r>
      <w:r>
        <w:rPr/>
        <w:t>público,</w:t>
      </w:r>
      <w:r>
        <w:rPr>
          <w:spacing w:val="-6"/>
        </w:rPr>
        <w:t> </w:t>
      </w:r>
      <w:r>
        <w:rPr/>
        <w:t>lo</w:t>
      </w:r>
      <w:r>
        <w:rPr>
          <w:spacing w:val="-5"/>
        </w:rPr>
        <w:t> </w:t>
      </w:r>
      <w:r>
        <w:rPr/>
        <w:t>cual</w:t>
      </w:r>
      <w:r>
        <w:rPr>
          <w:spacing w:val="-8"/>
        </w:rPr>
        <w:t> </w:t>
      </w:r>
      <w:r>
        <w:rPr/>
        <w:t>deberá</w:t>
      </w:r>
      <w:r>
        <w:rPr>
          <w:spacing w:val="-9"/>
        </w:rPr>
        <w:t> </w:t>
      </w:r>
      <w:r>
        <w:rPr/>
        <w:t>quedar</w:t>
      </w:r>
      <w:r>
        <w:rPr>
          <w:spacing w:val="-8"/>
        </w:rPr>
        <w:t> </w:t>
      </w:r>
      <w:r>
        <w:rPr/>
        <w:t>acreditado dentro del expediente de la contratación. Fecha de vigencia: 04/07/2024.</w:t>
      </w:r>
    </w:p>
    <w:p>
      <w:pPr>
        <w:spacing w:line="240" w:lineRule="auto" w:before="251"/>
        <w:ind w:left="979" w:right="1341" w:firstLine="0"/>
        <w:jc w:val="both"/>
        <w:rPr>
          <w:sz w:val="22"/>
        </w:rPr>
      </w:pPr>
      <w:r>
        <w:rPr>
          <w:b/>
          <w:sz w:val="22"/>
        </w:rPr>
        <w:t>Directriz IMAS-GG-1456-2024 para la ejecución y seguimiento de la metodología de gestión para resultados en el IMAS” </w:t>
      </w:r>
      <w:r>
        <w:rPr>
          <w:sz w:val="22"/>
        </w:rPr>
        <w:t>La Gerencia General, de conformidad con las consideraciones citadas, en la Ley General de la Administración Pública, el Reglamento Autónomo de Servicios</w:t>
      </w:r>
      <w:r>
        <w:rPr>
          <w:spacing w:val="-1"/>
          <w:sz w:val="22"/>
        </w:rPr>
        <w:t> </w:t>
      </w:r>
      <w:r>
        <w:rPr>
          <w:sz w:val="22"/>
        </w:rPr>
        <w:t>del</w:t>
      </w:r>
      <w:r>
        <w:rPr>
          <w:spacing w:val="-2"/>
          <w:sz w:val="22"/>
        </w:rPr>
        <w:t> </w:t>
      </w:r>
      <w:r>
        <w:rPr>
          <w:sz w:val="22"/>
        </w:rPr>
        <w:t>IMAS, el Reglamento del</w:t>
      </w:r>
      <w:r>
        <w:rPr>
          <w:spacing w:val="-2"/>
          <w:sz w:val="22"/>
        </w:rPr>
        <w:t> </w:t>
      </w:r>
      <w:r>
        <w:rPr>
          <w:sz w:val="22"/>
        </w:rPr>
        <w:t>Sistema de Planificación Institucional y el acuerdo del Consejo Directivo No 83-05-2024, con el fin de dar</w:t>
      </w:r>
      <w:r>
        <w:rPr>
          <w:spacing w:val="-3"/>
          <w:sz w:val="22"/>
        </w:rPr>
        <w:t> </w:t>
      </w:r>
      <w:r>
        <w:rPr>
          <w:sz w:val="22"/>
        </w:rPr>
        <w:t>mejor cumplimiento al</w:t>
      </w:r>
    </w:p>
    <w:p>
      <w:pPr>
        <w:spacing w:after="0" w:line="240" w:lineRule="auto"/>
        <w:jc w:val="both"/>
        <w:rPr>
          <w:sz w:val="22"/>
        </w:rPr>
        <w:sectPr>
          <w:pgSz w:w="12240" w:h="15840"/>
          <w:pgMar w:header="0" w:footer="1021" w:top="1340" w:bottom="1220" w:left="720" w:right="360"/>
        </w:sectPr>
      </w:pPr>
    </w:p>
    <w:p>
      <w:pPr>
        <w:pStyle w:val="BodyText"/>
        <w:spacing w:before="76"/>
        <w:ind w:left="979" w:right="1336"/>
        <w:jc w:val="both"/>
      </w:pPr>
      <w:r>
        <w:rPr/>
        <w:t>interés Institucional y público, instruye lo siguiente: Para la ejecución y seguimiento de la “Estrategia</w:t>
      </w:r>
      <w:r>
        <w:rPr>
          <w:spacing w:val="-5"/>
        </w:rPr>
        <w:t> </w:t>
      </w:r>
      <w:r>
        <w:rPr/>
        <w:t>para</w:t>
      </w:r>
      <w:r>
        <w:rPr>
          <w:spacing w:val="-5"/>
        </w:rPr>
        <w:t> </w:t>
      </w:r>
      <w:r>
        <w:rPr/>
        <w:t>la</w:t>
      </w:r>
      <w:r>
        <w:rPr>
          <w:spacing w:val="-5"/>
        </w:rPr>
        <w:t> </w:t>
      </w:r>
      <w:r>
        <w:rPr/>
        <w:t>Implementación</w:t>
      </w:r>
      <w:r>
        <w:rPr>
          <w:spacing w:val="-5"/>
        </w:rPr>
        <w:t> </w:t>
      </w:r>
      <w:r>
        <w:rPr/>
        <w:t>de</w:t>
      </w:r>
      <w:r>
        <w:rPr>
          <w:spacing w:val="-1"/>
        </w:rPr>
        <w:t> </w:t>
      </w:r>
      <w:r>
        <w:rPr/>
        <w:t>la</w:t>
      </w:r>
      <w:r>
        <w:rPr>
          <w:spacing w:val="-1"/>
        </w:rPr>
        <w:t> </w:t>
      </w:r>
      <w:r>
        <w:rPr/>
        <w:t>Gestión</w:t>
      </w:r>
      <w:r>
        <w:rPr>
          <w:spacing w:val="-9"/>
        </w:rPr>
        <w:t> </w:t>
      </w:r>
      <w:r>
        <w:rPr/>
        <w:t>para</w:t>
      </w:r>
      <w:r>
        <w:rPr>
          <w:spacing w:val="-5"/>
        </w:rPr>
        <w:t> </w:t>
      </w:r>
      <w:r>
        <w:rPr/>
        <w:t>Resultados</w:t>
      </w:r>
      <w:r>
        <w:rPr>
          <w:spacing w:val="-7"/>
        </w:rPr>
        <w:t> </w:t>
      </w:r>
      <w:r>
        <w:rPr/>
        <w:t>en</w:t>
      </w:r>
      <w:r>
        <w:rPr>
          <w:spacing w:val="-5"/>
        </w:rPr>
        <w:t> </w:t>
      </w:r>
      <w:r>
        <w:rPr/>
        <w:t>el</w:t>
      </w:r>
      <w:r>
        <w:rPr>
          <w:spacing w:val="-8"/>
        </w:rPr>
        <w:t> </w:t>
      </w:r>
      <w:r>
        <w:rPr/>
        <w:t>Desarrollo</w:t>
      </w:r>
      <w:r>
        <w:rPr>
          <w:spacing w:val="-1"/>
        </w:rPr>
        <w:t> </w:t>
      </w:r>
      <w:r>
        <w:rPr/>
        <w:t>(GpRD) 2024-2028 en el IMAS” Fecha de vigencia: 09/08/2024. </w:t>
      </w:r>
      <w:r>
        <w:rPr>
          <w:b/>
        </w:rPr>
        <w:t>(DEROGADA POR DIRECTRIZ IMAS-GG-0231-2025) </w:t>
      </w:r>
      <w:r>
        <w:rPr/>
        <w:t>10/03/2025.</w:t>
      </w:r>
    </w:p>
    <w:p>
      <w:pPr>
        <w:pStyle w:val="BodyText"/>
        <w:spacing w:before="251"/>
        <w:ind w:left="979" w:right="1339"/>
        <w:jc w:val="both"/>
      </w:pPr>
      <w:r>
        <w:rPr>
          <w:b/>
        </w:rPr>
        <w:t>Directriz N°049-H-MDHIS </w:t>
      </w:r>
      <w:r>
        <w:rPr/>
        <w:t>Promover la Homologación Tecnológica instruye a la Administración Pública Central y se insta a la descentralizada, así como a todas las entidades</w:t>
      </w:r>
      <w:r>
        <w:rPr>
          <w:spacing w:val="-12"/>
        </w:rPr>
        <w:t> </w:t>
      </w:r>
      <w:r>
        <w:rPr/>
        <w:t>bajo</w:t>
      </w:r>
      <w:r>
        <w:rPr>
          <w:spacing w:val="-6"/>
        </w:rPr>
        <w:t> </w:t>
      </w:r>
      <w:r>
        <w:rPr/>
        <w:t>la</w:t>
      </w:r>
      <w:r>
        <w:rPr>
          <w:spacing w:val="-10"/>
        </w:rPr>
        <w:t> </w:t>
      </w:r>
      <w:r>
        <w:rPr/>
        <w:t>Ley</w:t>
      </w:r>
      <w:r>
        <w:rPr>
          <w:spacing w:val="-8"/>
        </w:rPr>
        <w:t> </w:t>
      </w:r>
      <w:r>
        <w:rPr/>
        <w:t>N°10495,</w:t>
      </w:r>
      <w:r>
        <w:rPr>
          <w:spacing w:val="-11"/>
        </w:rPr>
        <w:t> </w:t>
      </w:r>
      <w:r>
        <w:rPr/>
        <w:t>a promover</w:t>
      </w:r>
      <w:r>
        <w:rPr>
          <w:spacing w:val="-9"/>
        </w:rPr>
        <w:t> </w:t>
      </w:r>
      <w:r>
        <w:rPr/>
        <w:t>la</w:t>
      </w:r>
      <w:r>
        <w:rPr>
          <w:spacing w:val="-6"/>
        </w:rPr>
        <w:t> </w:t>
      </w:r>
      <w:r>
        <w:rPr/>
        <w:t>Homologación</w:t>
      </w:r>
      <w:r>
        <w:rPr>
          <w:spacing w:val="-6"/>
        </w:rPr>
        <w:t> </w:t>
      </w:r>
      <w:r>
        <w:rPr/>
        <w:t>Tecnológica antes</w:t>
      </w:r>
      <w:r>
        <w:rPr>
          <w:spacing w:val="-12"/>
        </w:rPr>
        <w:t> </w:t>
      </w:r>
      <w:r>
        <w:rPr/>
        <w:t>de</w:t>
      </w:r>
      <w:r>
        <w:rPr>
          <w:spacing w:val="-10"/>
        </w:rPr>
        <w:t> </w:t>
      </w:r>
      <w:r>
        <w:rPr/>
        <w:t>adquirir un</w:t>
      </w:r>
      <w:r>
        <w:rPr>
          <w:spacing w:val="-5"/>
        </w:rPr>
        <w:t> </w:t>
      </w:r>
      <w:r>
        <w:rPr/>
        <w:t>sistema</w:t>
      </w:r>
      <w:r>
        <w:rPr>
          <w:spacing w:val="-5"/>
        </w:rPr>
        <w:t> </w:t>
      </w:r>
      <w:r>
        <w:rPr/>
        <w:t>informático</w:t>
      </w:r>
      <w:r>
        <w:rPr>
          <w:spacing w:val="-10"/>
        </w:rPr>
        <w:t> </w:t>
      </w:r>
      <w:r>
        <w:rPr/>
        <w:t>para</w:t>
      </w:r>
      <w:r>
        <w:rPr>
          <w:spacing w:val="-10"/>
        </w:rPr>
        <w:t> </w:t>
      </w:r>
      <w:r>
        <w:rPr/>
        <w:t>programas</w:t>
      </w:r>
      <w:r>
        <w:rPr>
          <w:spacing w:val="-7"/>
        </w:rPr>
        <w:t> </w:t>
      </w:r>
      <w:r>
        <w:rPr/>
        <w:t>sociales,</w:t>
      </w:r>
      <w:r>
        <w:rPr>
          <w:spacing w:val="-11"/>
        </w:rPr>
        <w:t> </w:t>
      </w:r>
      <w:r>
        <w:rPr/>
        <w:t>deben</w:t>
      </w:r>
      <w:r>
        <w:rPr>
          <w:spacing w:val="-10"/>
        </w:rPr>
        <w:t> </w:t>
      </w:r>
      <w:r>
        <w:rPr/>
        <w:t>obtener</w:t>
      </w:r>
      <w:r>
        <w:rPr>
          <w:spacing w:val="-9"/>
        </w:rPr>
        <w:t> </w:t>
      </w:r>
      <w:r>
        <w:rPr/>
        <w:t>la</w:t>
      </w:r>
      <w:r>
        <w:rPr>
          <w:spacing w:val="-5"/>
        </w:rPr>
        <w:t> </w:t>
      </w:r>
      <w:r>
        <w:rPr/>
        <w:t>verificación</w:t>
      </w:r>
      <w:r>
        <w:rPr>
          <w:spacing w:val="-5"/>
        </w:rPr>
        <w:t> </w:t>
      </w:r>
      <w:r>
        <w:rPr/>
        <w:t>de</w:t>
      </w:r>
      <w:r>
        <w:rPr>
          <w:spacing w:val="-5"/>
        </w:rPr>
        <w:t> </w:t>
      </w:r>
      <w:r>
        <w:rPr/>
        <w:t>SUPRES y SINIRUBE La Gaceta N°67 con fecha 08 de abril del 2025.</w:t>
      </w:r>
    </w:p>
    <w:p>
      <w:pPr>
        <w:pStyle w:val="BodyText"/>
      </w:pPr>
    </w:p>
    <w:p>
      <w:pPr>
        <w:pStyle w:val="BodyText"/>
      </w:pPr>
    </w:p>
    <w:p>
      <w:pPr>
        <w:pStyle w:val="BodyText"/>
        <w:spacing w:before="2"/>
      </w:pPr>
    </w:p>
    <w:p>
      <w:pPr>
        <w:pStyle w:val="Heading2"/>
      </w:pPr>
      <w:r>
        <w:rPr>
          <w:spacing w:val="-2"/>
        </w:rPr>
        <w:t>POLÍTICAS</w:t>
      </w:r>
    </w:p>
    <w:p>
      <w:pPr>
        <w:spacing w:line="242" w:lineRule="auto" w:before="251"/>
        <w:ind w:left="979" w:right="1344" w:firstLine="0"/>
        <w:jc w:val="both"/>
        <w:rPr>
          <w:sz w:val="22"/>
        </w:rPr>
      </w:pPr>
      <w:r>
        <w:rPr>
          <w:b/>
          <w:sz w:val="22"/>
        </w:rPr>
        <w:t>Política del Poder Ejecutivo para erradicar de sus instituciones la discriminación hacia</w:t>
      </w:r>
      <w:r>
        <w:rPr>
          <w:b/>
          <w:spacing w:val="-5"/>
          <w:sz w:val="22"/>
        </w:rPr>
        <w:t> </w:t>
      </w:r>
      <w:r>
        <w:rPr>
          <w:b/>
          <w:sz w:val="22"/>
        </w:rPr>
        <w:t>la</w:t>
      </w:r>
      <w:r>
        <w:rPr>
          <w:b/>
          <w:spacing w:val="-5"/>
          <w:sz w:val="22"/>
        </w:rPr>
        <w:t> </w:t>
      </w:r>
      <w:r>
        <w:rPr>
          <w:b/>
          <w:sz w:val="22"/>
        </w:rPr>
        <w:t>población</w:t>
      </w:r>
      <w:r>
        <w:rPr>
          <w:b/>
          <w:spacing w:val="-8"/>
          <w:sz w:val="22"/>
        </w:rPr>
        <w:t> </w:t>
      </w:r>
      <w:r>
        <w:rPr>
          <w:b/>
          <w:sz w:val="22"/>
        </w:rPr>
        <w:t>LGBTI</w:t>
      </w:r>
      <w:r>
        <w:rPr>
          <w:sz w:val="22"/>
        </w:rPr>
        <w:t>,</w:t>
      </w:r>
      <w:r>
        <w:rPr>
          <w:spacing w:val="-6"/>
          <w:sz w:val="22"/>
        </w:rPr>
        <w:t> </w:t>
      </w:r>
      <w:r>
        <w:rPr>
          <w:sz w:val="22"/>
        </w:rPr>
        <w:t>Decreto</w:t>
      </w:r>
      <w:r>
        <w:rPr>
          <w:spacing w:val="-5"/>
          <w:sz w:val="22"/>
        </w:rPr>
        <w:t> </w:t>
      </w:r>
      <w:r>
        <w:rPr>
          <w:sz w:val="22"/>
        </w:rPr>
        <w:t>N.º</w:t>
      </w:r>
      <w:r>
        <w:rPr>
          <w:spacing w:val="-11"/>
          <w:sz w:val="22"/>
        </w:rPr>
        <w:t> </w:t>
      </w:r>
      <w:r>
        <w:rPr>
          <w:sz w:val="22"/>
        </w:rPr>
        <w:t>38999.</w:t>
      </w:r>
      <w:r>
        <w:rPr>
          <w:spacing w:val="-6"/>
          <w:sz w:val="22"/>
        </w:rPr>
        <w:t> </w:t>
      </w:r>
      <w:r>
        <w:rPr>
          <w:sz w:val="22"/>
        </w:rPr>
        <w:t>Instruye</w:t>
      </w:r>
      <w:r>
        <w:rPr>
          <w:spacing w:val="-10"/>
          <w:sz w:val="22"/>
        </w:rPr>
        <w:t> </w:t>
      </w:r>
      <w:r>
        <w:rPr>
          <w:sz w:val="22"/>
        </w:rPr>
        <w:t>a</w:t>
      </w:r>
      <w:r>
        <w:rPr>
          <w:spacing w:val="-5"/>
          <w:sz w:val="22"/>
        </w:rPr>
        <w:t> </w:t>
      </w:r>
      <w:r>
        <w:rPr>
          <w:sz w:val="22"/>
        </w:rPr>
        <w:t>cada</w:t>
      </w:r>
      <w:r>
        <w:rPr>
          <w:spacing w:val="-10"/>
          <w:sz w:val="22"/>
        </w:rPr>
        <w:t> </w:t>
      </w:r>
      <w:r>
        <w:rPr>
          <w:sz w:val="22"/>
        </w:rPr>
        <w:t>órgano</w:t>
      </w:r>
      <w:r>
        <w:rPr>
          <w:spacing w:val="-5"/>
          <w:sz w:val="22"/>
        </w:rPr>
        <w:t> </w:t>
      </w:r>
      <w:r>
        <w:rPr>
          <w:sz w:val="22"/>
        </w:rPr>
        <w:t>del</w:t>
      </w:r>
      <w:r>
        <w:rPr>
          <w:spacing w:val="-8"/>
          <w:sz w:val="22"/>
        </w:rPr>
        <w:t> </w:t>
      </w:r>
      <w:r>
        <w:rPr>
          <w:sz w:val="22"/>
        </w:rPr>
        <w:t>Poder</w:t>
      </w:r>
      <w:r>
        <w:rPr>
          <w:spacing w:val="-9"/>
          <w:sz w:val="22"/>
        </w:rPr>
        <w:t> </w:t>
      </w:r>
      <w:r>
        <w:rPr>
          <w:sz w:val="22"/>
        </w:rPr>
        <w:t>Ejecutivo a</w:t>
      </w:r>
      <w:r>
        <w:rPr>
          <w:spacing w:val="80"/>
          <w:sz w:val="22"/>
        </w:rPr>
        <w:t> </w:t>
      </w:r>
      <w:r>
        <w:rPr>
          <w:sz w:val="22"/>
        </w:rPr>
        <w:t>desarrollar</w:t>
      </w:r>
      <w:r>
        <w:rPr>
          <w:spacing w:val="80"/>
          <w:sz w:val="22"/>
        </w:rPr>
        <w:t> </w:t>
      </w:r>
      <w:r>
        <w:rPr>
          <w:sz w:val="22"/>
        </w:rPr>
        <w:t>un "Plan</w:t>
      </w:r>
      <w:r>
        <w:rPr>
          <w:spacing w:val="80"/>
          <w:sz w:val="22"/>
        </w:rPr>
        <w:t> </w:t>
      </w:r>
      <w:r>
        <w:rPr>
          <w:sz w:val="22"/>
        </w:rPr>
        <w:t>Institucional</w:t>
      </w:r>
      <w:r>
        <w:rPr>
          <w:spacing w:val="80"/>
          <w:sz w:val="22"/>
        </w:rPr>
        <w:t> </w:t>
      </w:r>
      <w:r>
        <w:rPr>
          <w:sz w:val="22"/>
        </w:rPr>
        <w:t>en</w:t>
      </w:r>
      <w:r>
        <w:rPr>
          <w:spacing w:val="80"/>
          <w:sz w:val="22"/>
        </w:rPr>
        <w:t> </w:t>
      </w:r>
      <w:r>
        <w:rPr>
          <w:sz w:val="22"/>
        </w:rPr>
        <w:t>contra</w:t>
      </w:r>
      <w:r>
        <w:rPr>
          <w:spacing w:val="80"/>
          <w:sz w:val="22"/>
        </w:rPr>
        <w:t> </w:t>
      </w:r>
      <w:r>
        <w:rPr>
          <w:sz w:val="22"/>
        </w:rPr>
        <w:t>de</w:t>
      </w:r>
      <w:r>
        <w:rPr>
          <w:spacing w:val="80"/>
          <w:sz w:val="22"/>
        </w:rPr>
        <w:t> </w:t>
      </w:r>
      <w:r>
        <w:rPr>
          <w:sz w:val="22"/>
        </w:rPr>
        <w:t>la</w:t>
      </w:r>
      <w:r>
        <w:rPr>
          <w:spacing w:val="80"/>
          <w:sz w:val="22"/>
        </w:rPr>
        <w:t> </w:t>
      </w:r>
      <w:r>
        <w:rPr>
          <w:sz w:val="22"/>
        </w:rPr>
        <w:t>Discriminación</w:t>
      </w:r>
      <w:r>
        <w:rPr>
          <w:spacing w:val="80"/>
          <w:sz w:val="22"/>
        </w:rPr>
        <w:t> </w:t>
      </w:r>
      <w:r>
        <w:rPr>
          <w:sz w:val="22"/>
        </w:rPr>
        <w:t>hacia</w:t>
      </w:r>
      <w:r>
        <w:rPr>
          <w:spacing w:val="80"/>
          <w:sz w:val="22"/>
        </w:rPr>
        <w:t> </w:t>
      </w:r>
      <w:r>
        <w:rPr>
          <w:sz w:val="22"/>
        </w:rPr>
        <w:t>la Población LGBTI”, Atañe a toda la Administración Pública. Fecha de vigencia 15/05/2015</w:t>
      </w:r>
    </w:p>
    <w:p>
      <w:pPr>
        <w:spacing w:line="240" w:lineRule="auto" w:before="246"/>
        <w:ind w:left="979" w:right="1333" w:firstLine="0"/>
        <w:jc w:val="both"/>
        <w:rPr>
          <w:sz w:val="22"/>
        </w:rPr>
      </w:pPr>
      <w:r>
        <w:rPr>
          <w:b/>
          <w:sz w:val="22"/>
        </w:rPr>
        <w:t>Política general sobre transparencia y divulgación de información financiera y no financiera para empresas propiedad del Estado sus subsidiarias e instituciones</w:t>
      </w:r>
      <w:r>
        <w:rPr>
          <w:sz w:val="22"/>
        </w:rPr>
        <w:t>. Directriz</w:t>
      </w:r>
      <w:r>
        <w:rPr>
          <w:spacing w:val="-10"/>
          <w:sz w:val="22"/>
        </w:rPr>
        <w:t> </w:t>
      </w:r>
      <w:r>
        <w:rPr>
          <w:sz w:val="22"/>
        </w:rPr>
        <w:t>N.º</w:t>
      </w:r>
      <w:r>
        <w:rPr>
          <w:spacing w:val="-9"/>
          <w:sz w:val="22"/>
        </w:rPr>
        <w:t> </w:t>
      </w:r>
      <w:r>
        <w:rPr>
          <w:sz w:val="22"/>
        </w:rPr>
        <w:t>102-MP</w:t>
      </w:r>
      <w:r>
        <w:rPr>
          <w:spacing w:val="-9"/>
          <w:sz w:val="22"/>
        </w:rPr>
        <w:t> </w:t>
      </w:r>
      <w:r>
        <w:rPr>
          <w:sz w:val="22"/>
        </w:rPr>
        <w:t>Tiene</w:t>
      </w:r>
      <w:r>
        <w:rPr>
          <w:spacing w:val="-8"/>
          <w:sz w:val="22"/>
        </w:rPr>
        <w:t> </w:t>
      </w:r>
      <w:r>
        <w:rPr>
          <w:sz w:val="22"/>
        </w:rPr>
        <w:t>como</w:t>
      </w:r>
      <w:r>
        <w:rPr>
          <w:spacing w:val="-13"/>
          <w:sz w:val="22"/>
        </w:rPr>
        <w:t> </w:t>
      </w:r>
      <w:r>
        <w:rPr>
          <w:sz w:val="22"/>
        </w:rPr>
        <w:t>objeto</w:t>
      </w:r>
      <w:r>
        <w:rPr>
          <w:spacing w:val="-13"/>
          <w:sz w:val="22"/>
        </w:rPr>
        <w:t> </w:t>
      </w:r>
      <w:r>
        <w:rPr>
          <w:sz w:val="22"/>
        </w:rPr>
        <w:t>ampliar</w:t>
      </w:r>
      <w:r>
        <w:rPr>
          <w:spacing w:val="-11"/>
          <w:sz w:val="22"/>
        </w:rPr>
        <w:t> </w:t>
      </w:r>
      <w:r>
        <w:rPr>
          <w:sz w:val="22"/>
        </w:rPr>
        <w:t>y</w:t>
      </w:r>
      <w:r>
        <w:rPr>
          <w:spacing w:val="-10"/>
          <w:sz w:val="22"/>
        </w:rPr>
        <w:t> </w:t>
      </w:r>
      <w:r>
        <w:rPr>
          <w:sz w:val="22"/>
        </w:rPr>
        <w:t>reforzar</w:t>
      </w:r>
      <w:r>
        <w:rPr>
          <w:spacing w:val="-11"/>
          <w:sz w:val="22"/>
        </w:rPr>
        <w:t> </w:t>
      </w:r>
      <w:r>
        <w:rPr>
          <w:sz w:val="22"/>
        </w:rPr>
        <w:t>la</w:t>
      </w:r>
      <w:r>
        <w:rPr>
          <w:spacing w:val="-8"/>
          <w:sz w:val="22"/>
        </w:rPr>
        <w:t> </w:t>
      </w:r>
      <w:r>
        <w:rPr>
          <w:sz w:val="22"/>
        </w:rPr>
        <w:t>transparencia</w:t>
      </w:r>
      <w:r>
        <w:rPr>
          <w:spacing w:val="-13"/>
          <w:sz w:val="22"/>
        </w:rPr>
        <w:t> </w:t>
      </w:r>
      <w:r>
        <w:rPr>
          <w:sz w:val="22"/>
        </w:rPr>
        <w:t>de</w:t>
      </w:r>
      <w:r>
        <w:rPr>
          <w:spacing w:val="-8"/>
          <w:sz w:val="22"/>
        </w:rPr>
        <w:t> </w:t>
      </w:r>
      <w:r>
        <w:rPr>
          <w:sz w:val="22"/>
        </w:rPr>
        <w:t>las</w:t>
      </w:r>
      <w:r>
        <w:rPr>
          <w:spacing w:val="-15"/>
          <w:sz w:val="22"/>
        </w:rPr>
        <w:t> </w:t>
      </w:r>
      <w:r>
        <w:rPr>
          <w:sz w:val="22"/>
        </w:rPr>
        <w:t>empresas propiedad del Estado, sus subsidiarias, y de las instituciones autónomas, así como establecer las</w:t>
      </w:r>
      <w:r>
        <w:rPr>
          <w:spacing w:val="-3"/>
          <w:sz w:val="22"/>
        </w:rPr>
        <w:t> </w:t>
      </w:r>
      <w:r>
        <w:rPr>
          <w:sz w:val="22"/>
        </w:rPr>
        <w:t>condiciones para</w:t>
      </w:r>
      <w:r>
        <w:rPr>
          <w:spacing w:val="-1"/>
          <w:sz w:val="22"/>
        </w:rPr>
        <w:t> </w:t>
      </w:r>
      <w:r>
        <w:rPr>
          <w:sz w:val="22"/>
        </w:rPr>
        <w:t>la</w:t>
      </w:r>
      <w:r>
        <w:rPr>
          <w:spacing w:val="-1"/>
          <w:sz w:val="22"/>
        </w:rPr>
        <w:t> </w:t>
      </w:r>
      <w:r>
        <w:rPr>
          <w:sz w:val="22"/>
        </w:rPr>
        <w:t>más</w:t>
      </w:r>
      <w:r>
        <w:rPr>
          <w:spacing w:val="-2"/>
          <w:sz w:val="22"/>
        </w:rPr>
        <w:t> </w:t>
      </w:r>
      <w:r>
        <w:rPr>
          <w:sz w:val="22"/>
        </w:rPr>
        <w:t>adecuada</w:t>
      </w:r>
      <w:r>
        <w:rPr>
          <w:spacing w:val="-1"/>
          <w:sz w:val="22"/>
        </w:rPr>
        <w:t> </w:t>
      </w:r>
      <w:r>
        <w:rPr>
          <w:sz w:val="22"/>
        </w:rPr>
        <w:t>divulgación</w:t>
      </w:r>
      <w:r>
        <w:rPr>
          <w:spacing w:val="-1"/>
          <w:sz w:val="22"/>
        </w:rPr>
        <w:t> </w:t>
      </w:r>
      <w:r>
        <w:rPr>
          <w:sz w:val="22"/>
        </w:rPr>
        <w:t>de su información financiera y no financiera. Fecha de vigencia 30/04/2018</w:t>
      </w:r>
    </w:p>
    <w:p>
      <w:pPr>
        <w:pStyle w:val="BodyText"/>
        <w:spacing w:before="1"/>
      </w:pPr>
    </w:p>
    <w:p>
      <w:pPr>
        <w:spacing w:line="240" w:lineRule="auto" w:before="0"/>
        <w:ind w:left="979" w:right="1343" w:firstLine="0"/>
        <w:jc w:val="both"/>
        <w:rPr>
          <w:sz w:val="22"/>
        </w:rPr>
      </w:pPr>
      <w:r>
        <w:rPr>
          <w:b/>
          <w:sz w:val="22"/>
        </w:rPr>
        <w:t>Política general para el establecimiento de una evaluación del desempeño en las Juntas</w:t>
      </w:r>
      <w:r>
        <w:rPr>
          <w:b/>
          <w:spacing w:val="-5"/>
          <w:sz w:val="22"/>
        </w:rPr>
        <w:t> </w:t>
      </w:r>
      <w:r>
        <w:rPr>
          <w:b/>
          <w:sz w:val="22"/>
        </w:rPr>
        <w:t>Directivas</w:t>
      </w:r>
      <w:r>
        <w:rPr>
          <w:b/>
          <w:spacing w:val="-5"/>
          <w:sz w:val="22"/>
        </w:rPr>
        <w:t> </w:t>
      </w:r>
      <w:r>
        <w:rPr>
          <w:b/>
          <w:sz w:val="22"/>
        </w:rPr>
        <w:t>u</w:t>
      </w:r>
      <w:r>
        <w:rPr>
          <w:b/>
          <w:spacing w:val="-7"/>
          <w:sz w:val="22"/>
        </w:rPr>
        <w:t> </w:t>
      </w:r>
      <w:r>
        <w:rPr>
          <w:b/>
          <w:sz w:val="22"/>
        </w:rPr>
        <w:t>órganos</w:t>
      </w:r>
      <w:r>
        <w:rPr>
          <w:b/>
          <w:spacing w:val="-5"/>
          <w:sz w:val="22"/>
        </w:rPr>
        <w:t> </w:t>
      </w:r>
      <w:r>
        <w:rPr>
          <w:b/>
          <w:sz w:val="22"/>
        </w:rPr>
        <w:t>de</w:t>
      </w:r>
      <w:r>
        <w:rPr>
          <w:b/>
          <w:spacing w:val="-6"/>
          <w:sz w:val="22"/>
        </w:rPr>
        <w:t> </w:t>
      </w:r>
      <w:r>
        <w:rPr>
          <w:b/>
          <w:sz w:val="22"/>
        </w:rPr>
        <w:t>dirección</w:t>
      </w:r>
      <w:r>
        <w:rPr>
          <w:b/>
          <w:spacing w:val="-8"/>
          <w:sz w:val="22"/>
        </w:rPr>
        <w:t> </w:t>
      </w:r>
      <w:r>
        <w:rPr>
          <w:b/>
          <w:sz w:val="22"/>
        </w:rPr>
        <w:t>de</w:t>
      </w:r>
      <w:r>
        <w:rPr>
          <w:b/>
          <w:spacing w:val="-6"/>
          <w:sz w:val="22"/>
        </w:rPr>
        <w:t> </w:t>
      </w:r>
      <w:r>
        <w:rPr>
          <w:b/>
          <w:sz w:val="22"/>
        </w:rPr>
        <w:t>las</w:t>
      </w:r>
      <w:r>
        <w:rPr>
          <w:b/>
          <w:spacing w:val="-5"/>
          <w:sz w:val="22"/>
        </w:rPr>
        <w:t> </w:t>
      </w:r>
      <w:r>
        <w:rPr>
          <w:b/>
          <w:sz w:val="22"/>
        </w:rPr>
        <w:t>empresas</w:t>
      </w:r>
      <w:r>
        <w:rPr>
          <w:b/>
          <w:spacing w:val="-5"/>
          <w:sz w:val="22"/>
        </w:rPr>
        <w:t> </w:t>
      </w:r>
      <w:r>
        <w:rPr>
          <w:b/>
          <w:sz w:val="22"/>
        </w:rPr>
        <w:t>propiedad</w:t>
      </w:r>
      <w:r>
        <w:rPr>
          <w:b/>
          <w:spacing w:val="-7"/>
          <w:sz w:val="22"/>
        </w:rPr>
        <w:t> </w:t>
      </w:r>
      <w:r>
        <w:rPr>
          <w:b/>
          <w:sz w:val="22"/>
        </w:rPr>
        <w:t>del</w:t>
      </w:r>
      <w:r>
        <w:rPr>
          <w:b/>
          <w:spacing w:val="-11"/>
          <w:sz w:val="22"/>
        </w:rPr>
        <w:t> </w:t>
      </w:r>
      <w:r>
        <w:rPr>
          <w:b/>
          <w:sz w:val="22"/>
        </w:rPr>
        <w:t>Estado</w:t>
      </w:r>
      <w:r>
        <w:rPr>
          <w:b/>
          <w:spacing w:val="-8"/>
          <w:sz w:val="22"/>
        </w:rPr>
        <w:t> </w:t>
      </w:r>
      <w:r>
        <w:rPr>
          <w:b/>
          <w:sz w:val="22"/>
        </w:rPr>
        <w:t>y</w:t>
      </w:r>
      <w:r>
        <w:rPr>
          <w:b/>
          <w:spacing w:val="-10"/>
          <w:sz w:val="22"/>
        </w:rPr>
        <w:t> </w:t>
      </w:r>
      <w:r>
        <w:rPr>
          <w:b/>
          <w:sz w:val="22"/>
        </w:rPr>
        <w:t>de Instituciones Autónomas</w:t>
      </w:r>
      <w:r>
        <w:rPr>
          <w:sz w:val="22"/>
        </w:rPr>
        <w:t>, Directriz N° 039-MP, Define los parámetros generales para la realización, entrega, análisis, seguimiento y definición de acciones de mejora en cuanto a la evaluación del desempeño sobre la gestión de la junta directiva u órgano de dirección, como órgano colegiado, así como de la gestión individual de sus miembros, para las empresas</w:t>
      </w:r>
      <w:r>
        <w:rPr>
          <w:spacing w:val="-16"/>
          <w:sz w:val="22"/>
        </w:rPr>
        <w:t> </w:t>
      </w:r>
      <w:r>
        <w:rPr>
          <w:sz w:val="22"/>
        </w:rPr>
        <w:t>propiedad</w:t>
      </w:r>
      <w:r>
        <w:rPr>
          <w:spacing w:val="-15"/>
          <w:sz w:val="22"/>
        </w:rPr>
        <w:t> </w:t>
      </w:r>
      <w:r>
        <w:rPr>
          <w:sz w:val="22"/>
        </w:rPr>
        <w:t>del</w:t>
      </w:r>
      <w:r>
        <w:rPr>
          <w:spacing w:val="-15"/>
          <w:sz w:val="22"/>
        </w:rPr>
        <w:t> </w:t>
      </w:r>
      <w:r>
        <w:rPr>
          <w:sz w:val="22"/>
        </w:rPr>
        <w:t>Estado</w:t>
      </w:r>
      <w:r>
        <w:rPr>
          <w:spacing w:val="-16"/>
          <w:sz w:val="22"/>
        </w:rPr>
        <w:t> </w:t>
      </w:r>
      <w:r>
        <w:rPr>
          <w:sz w:val="22"/>
        </w:rPr>
        <w:t>e</w:t>
      </w:r>
      <w:r>
        <w:rPr>
          <w:spacing w:val="-15"/>
          <w:sz w:val="22"/>
        </w:rPr>
        <w:t> </w:t>
      </w:r>
      <w:r>
        <w:rPr>
          <w:sz w:val="22"/>
        </w:rPr>
        <w:t>instituciones</w:t>
      </w:r>
      <w:r>
        <w:rPr>
          <w:spacing w:val="-15"/>
          <w:sz w:val="22"/>
        </w:rPr>
        <w:t> </w:t>
      </w:r>
      <w:r>
        <w:rPr>
          <w:sz w:val="22"/>
        </w:rPr>
        <w:t>autónomas,</w:t>
      </w:r>
      <w:r>
        <w:rPr>
          <w:spacing w:val="-15"/>
          <w:sz w:val="22"/>
        </w:rPr>
        <w:t> </w:t>
      </w:r>
      <w:r>
        <w:rPr>
          <w:sz w:val="22"/>
        </w:rPr>
        <w:t>en</w:t>
      </w:r>
      <w:r>
        <w:rPr>
          <w:spacing w:val="-10"/>
          <w:sz w:val="22"/>
        </w:rPr>
        <w:t> </w:t>
      </w:r>
      <w:r>
        <w:rPr>
          <w:sz w:val="22"/>
        </w:rPr>
        <w:t>cumplimiento</w:t>
      </w:r>
      <w:r>
        <w:rPr>
          <w:spacing w:val="-15"/>
          <w:sz w:val="22"/>
        </w:rPr>
        <w:t> </w:t>
      </w:r>
      <w:r>
        <w:rPr>
          <w:sz w:val="22"/>
        </w:rPr>
        <w:t>de</w:t>
      </w:r>
      <w:r>
        <w:rPr>
          <w:spacing w:val="-10"/>
          <w:sz w:val="22"/>
        </w:rPr>
        <w:t> </w:t>
      </w:r>
      <w:r>
        <w:rPr>
          <w:sz w:val="22"/>
        </w:rPr>
        <w:t>su</w:t>
      </w:r>
      <w:r>
        <w:rPr>
          <w:spacing w:val="-15"/>
          <w:sz w:val="22"/>
        </w:rPr>
        <w:t> </w:t>
      </w:r>
      <w:r>
        <w:rPr>
          <w:sz w:val="22"/>
        </w:rPr>
        <w:t>mandato legal. Fecha de vigencia 02/04/2019</w:t>
      </w:r>
    </w:p>
    <w:p>
      <w:pPr>
        <w:spacing w:line="240" w:lineRule="auto" w:before="252"/>
        <w:ind w:left="979" w:right="1341" w:firstLine="0"/>
        <w:jc w:val="both"/>
        <w:rPr>
          <w:sz w:val="22"/>
        </w:rPr>
      </w:pPr>
      <w:r>
        <w:rPr>
          <w:b/>
          <w:sz w:val="22"/>
        </w:rPr>
        <w:t>Política Institucional para la Inclusión y Protección laboral de las personas con discapacidad</w:t>
      </w:r>
      <w:r>
        <w:rPr>
          <w:b/>
          <w:spacing w:val="-16"/>
          <w:sz w:val="22"/>
        </w:rPr>
        <w:t> </w:t>
      </w:r>
      <w:r>
        <w:rPr>
          <w:b/>
          <w:sz w:val="22"/>
        </w:rPr>
        <w:t>en</w:t>
      </w:r>
      <w:r>
        <w:rPr>
          <w:b/>
          <w:spacing w:val="-15"/>
          <w:sz w:val="22"/>
        </w:rPr>
        <w:t> </w:t>
      </w:r>
      <w:r>
        <w:rPr>
          <w:b/>
          <w:sz w:val="22"/>
        </w:rPr>
        <w:t>el</w:t>
      </w:r>
      <w:r>
        <w:rPr>
          <w:b/>
          <w:spacing w:val="-15"/>
          <w:sz w:val="22"/>
        </w:rPr>
        <w:t> </w:t>
      </w:r>
      <w:r>
        <w:rPr>
          <w:b/>
          <w:sz w:val="22"/>
        </w:rPr>
        <w:t>IMAS</w:t>
      </w:r>
      <w:r>
        <w:rPr>
          <w:b/>
          <w:spacing w:val="-16"/>
          <w:sz w:val="22"/>
        </w:rPr>
        <w:t> </w:t>
      </w:r>
      <w:r>
        <w:rPr>
          <w:b/>
          <w:sz w:val="22"/>
        </w:rPr>
        <w:t>ACD-174-04-2019</w:t>
      </w:r>
      <w:r>
        <w:rPr>
          <w:sz w:val="22"/>
        </w:rPr>
        <w:t>,</w:t>
      </w:r>
      <w:r>
        <w:rPr>
          <w:spacing w:val="-15"/>
          <w:sz w:val="22"/>
        </w:rPr>
        <w:t> </w:t>
      </w:r>
      <w:r>
        <w:rPr>
          <w:sz w:val="22"/>
        </w:rPr>
        <w:t>Garantiza</w:t>
      </w:r>
      <w:r>
        <w:rPr>
          <w:spacing w:val="-15"/>
          <w:sz w:val="22"/>
        </w:rPr>
        <w:t> </w:t>
      </w:r>
      <w:r>
        <w:rPr>
          <w:sz w:val="22"/>
        </w:rPr>
        <w:t>la</w:t>
      </w:r>
      <w:r>
        <w:rPr>
          <w:spacing w:val="-15"/>
          <w:sz w:val="22"/>
        </w:rPr>
        <w:t> </w:t>
      </w:r>
      <w:r>
        <w:rPr>
          <w:sz w:val="22"/>
        </w:rPr>
        <w:t>inclusión</w:t>
      </w:r>
      <w:r>
        <w:rPr>
          <w:spacing w:val="-16"/>
          <w:sz w:val="22"/>
        </w:rPr>
        <w:t> </w:t>
      </w:r>
      <w:r>
        <w:rPr>
          <w:sz w:val="22"/>
        </w:rPr>
        <w:t>laboral</w:t>
      </w:r>
      <w:r>
        <w:rPr>
          <w:spacing w:val="-15"/>
          <w:sz w:val="22"/>
        </w:rPr>
        <w:t> </w:t>
      </w:r>
      <w:r>
        <w:rPr>
          <w:sz w:val="22"/>
        </w:rPr>
        <w:t>de</w:t>
      </w:r>
      <w:r>
        <w:rPr>
          <w:spacing w:val="-15"/>
          <w:sz w:val="22"/>
        </w:rPr>
        <w:t> </w:t>
      </w:r>
      <w:r>
        <w:rPr>
          <w:sz w:val="22"/>
        </w:rPr>
        <w:t>las</w:t>
      </w:r>
      <w:r>
        <w:rPr>
          <w:spacing w:val="-16"/>
          <w:sz w:val="22"/>
        </w:rPr>
        <w:t> </w:t>
      </w:r>
      <w:r>
        <w:rPr>
          <w:sz w:val="22"/>
        </w:rPr>
        <w:t>personas con</w:t>
      </w:r>
      <w:r>
        <w:rPr>
          <w:spacing w:val="-5"/>
          <w:sz w:val="22"/>
        </w:rPr>
        <w:t> </w:t>
      </w:r>
      <w:r>
        <w:rPr>
          <w:sz w:val="22"/>
        </w:rPr>
        <w:t>discapacidad,</w:t>
      </w:r>
      <w:r>
        <w:rPr>
          <w:spacing w:val="-1"/>
          <w:sz w:val="22"/>
        </w:rPr>
        <w:t> </w:t>
      </w:r>
      <w:r>
        <w:rPr>
          <w:sz w:val="22"/>
        </w:rPr>
        <w:t>cumpliendo</w:t>
      </w:r>
      <w:r>
        <w:rPr>
          <w:spacing w:val="-1"/>
          <w:sz w:val="22"/>
        </w:rPr>
        <w:t> </w:t>
      </w:r>
      <w:r>
        <w:rPr>
          <w:sz w:val="22"/>
        </w:rPr>
        <w:t>con</w:t>
      </w:r>
      <w:r>
        <w:rPr>
          <w:spacing w:val="-1"/>
          <w:sz w:val="22"/>
        </w:rPr>
        <w:t> </w:t>
      </w:r>
      <w:r>
        <w:rPr>
          <w:sz w:val="22"/>
        </w:rPr>
        <w:t>la</w:t>
      </w:r>
      <w:r>
        <w:rPr>
          <w:spacing w:val="-5"/>
          <w:sz w:val="22"/>
        </w:rPr>
        <w:t> </w:t>
      </w:r>
      <w:r>
        <w:rPr>
          <w:sz w:val="22"/>
        </w:rPr>
        <w:t>normativa</w:t>
      </w:r>
      <w:r>
        <w:rPr>
          <w:spacing w:val="-1"/>
          <w:sz w:val="22"/>
        </w:rPr>
        <w:t> </w:t>
      </w:r>
      <w:r>
        <w:rPr>
          <w:sz w:val="22"/>
        </w:rPr>
        <w:t>internacional</w:t>
      </w:r>
      <w:r>
        <w:rPr>
          <w:spacing w:val="-3"/>
          <w:sz w:val="22"/>
        </w:rPr>
        <w:t> </w:t>
      </w:r>
      <w:r>
        <w:rPr>
          <w:sz w:val="22"/>
        </w:rPr>
        <w:t>y</w:t>
      </w:r>
      <w:r>
        <w:rPr>
          <w:spacing w:val="-7"/>
          <w:sz w:val="22"/>
        </w:rPr>
        <w:t> </w:t>
      </w:r>
      <w:r>
        <w:rPr>
          <w:sz w:val="22"/>
        </w:rPr>
        <w:t>nacional,</w:t>
      </w:r>
      <w:r>
        <w:rPr>
          <w:spacing w:val="-1"/>
          <w:sz w:val="22"/>
        </w:rPr>
        <w:t> </w:t>
      </w:r>
      <w:r>
        <w:rPr>
          <w:sz w:val="22"/>
        </w:rPr>
        <w:t>para</w:t>
      </w:r>
      <w:r>
        <w:rPr>
          <w:spacing w:val="-5"/>
          <w:sz w:val="22"/>
        </w:rPr>
        <w:t> </w:t>
      </w:r>
      <w:r>
        <w:rPr>
          <w:sz w:val="22"/>
        </w:rPr>
        <w:t>así</w:t>
      </w:r>
      <w:r>
        <w:rPr>
          <w:spacing w:val="-1"/>
          <w:sz w:val="22"/>
        </w:rPr>
        <w:t> </w:t>
      </w:r>
      <w:r>
        <w:rPr>
          <w:sz w:val="22"/>
        </w:rPr>
        <w:t>facilitar</w:t>
      </w:r>
      <w:r>
        <w:rPr>
          <w:spacing w:val="-4"/>
          <w:sz w:val="22"/>
        </w:rPr>
        <w:t> </w:t>
      </w:r>
      <w:r>
        <w:rPr>
          <w:sz w:val="22"/>
        </w:rPr>
        <w:t>y promover</w:t>
      </w:r>
      <w:r>
        <w:rPr>
          <w:spacing w:val="-15"/>
          <w:sz w:val="22"/>
        </w:rPr>
        <w:t> </w:t>
      </w:r>
      <w:r>
        <w:rPr>
          <w:sz w:val="22"/>
        </w:rPr>
        <w:t>la</w:t>
      </w:r>
      <w:r>
        <w:rPr>
          <w:spacing w:val="-14"/>
          <w:sz w:val="22"/>
        </w:rPr>
        <w:t> </w:t>
      </w:r>
      <w:r>
        <w:rPr>
          <w:sz w:val="22"/>
        </w:rPr>
        <w:t>integración</w:t>
      </w:r>
      <w:r>
        <w:rPr>
          <w:spacing w:val="-15"/>
          <w:sz w:val="22"/>
        </w:rPr>
        <w:t> </w:t>
      </w:r>
      <w:r>
        <w:rPr>
          <w:sz w:val="22"/>
        </w:rPr>
        <w:t>de</w:t>
      </w:r>
      <w:r>
        <w:rPr>
          <w:spacing w:val="-15"/>
          <w:sz w:val="22"/>
        </w:rPr>
        <w:t> </w:t>
      </w:r>
      <w:r>
        <w:rPr>
          <w:sz w:val="22"/>
        </w:rPr>
        <w:t>las</w:t>
      </w:r>
      <w:r>
        <w:rPr>
          <w:spacing w:val="-16"/>
          <w:sz w:val="22"/>
        </w:rPr>
        <w:t> </w:t>
      </w:r>
      <w:r>
        <w:rPr>
          <w:sz w:val="22"/>
        </w:rPr>
        <w:t>personas</w:t>
      </w:r>
      <w:r>
        <w:rPr>
          <w:spacing w:val="-15"/>
          <w:sz w:val="22"/>
        </w:rPr>
        <w:t> </w:t>
      </w:r>
      <w:r>
        <w:rPr>
          <w:sz w:val="22"/>
        </w:rPr>
        <w:t>con</w:t>
      </w:r>
      <w:r>
        <w:rPr>
          <w:spacing w:val="-14"/>
          <w:sz w:val="22"/>
        </w:rPr>
        <w:t> </w:t>
      </w:r>
      <w:r>
        <w:rPr>
          <w:sz w:val="22"/>
        </w:rPr>
        <w:t>discapacidad</w:t>
      </w:r>
      <w:r>
        <w:rPr>
          <w:spacing w:val="-15"/>
          <w:sz w:val="22"/>
        </w:rPr>
        <w:t> </w:t>
      </w:r>
      <w:r>
        <w:rPr>
          <w:sz w:val="22"/>
        </w:rPr>
        <w:t>en</w:t>
      </w:r>
      <w:r>
        <w:rPr>
          <w:spacing w:val="-10"/>
          <w:sz w:val="22"/>
        </w:rPr>
        <w:t> </w:t>
      </w:r>
      <w:r>
        <w:rPr>
          <w:sz w:val="22"/>
        </w:rPr>
        <w:t>la</w:t>
      </w:r>
      <w:r>
        <w:rPr>
          <w:spacing w:val="-10"/>
          <w:sz w:val="22"/>
        </w:rPr>
        <w:t> </w:t>
      </w:r>
      <w:r>
        <w:rPr>
          <w:sz w:val="22"/>
        </w:rPr>
        <w:t>sociedad</w:t>
      </w:r>
      <w:r>
        <w:rPr>
          <w:spacing w:val="-15"/>
          <w:sz w:val="22"/>
        </w:rPr>
        <w:t> </w:t>
      </w:r>
      <w:r>
        <w:rPr>
          <w:sz w:val="22"/>
        </w:rPr>
        <w:t>desde</w:t>
      </w:r>
      <w:r>
        <w:rPr>
          <w:spacing w:val="-15"/>
          <w:sz w:val="22"/>
        </w:rPr>
        <w:t> </w:t>
      </w:r>
      <w:r>
        <w:rPr>
          <w:sz w:val="22"/>
        </w:rPr>
        <w:t>un</w:t>
      </w:r>
      <w:r>
        <w:rPr>
          <w:spacing w:val="-15"/>
          <w:sz w:val="22"/>
        </w:rPr>
        <w:t> </w:t>
      </w:r>
      <w:r>
        <w:rPr>
          <w:sz w:val="22"/>
        </w:rPr>
        <w:t>enfoque de Derechos Humanos. Fecha de vigencia 25/04/2019</w:t>
      </w:r>
    </w:p>
    <w:p>
      <w:pPr>
        <w:pStyle w:val="BodyText"/>
        <w:spacing w:before="252"/>
        <w:ind w:left="979" w:right="1335"/>
        <w:jc w:val="both"/>
      </w:pPr>
      <w:r>
        <w:rPr>
          <w:b/>
        </w:rPr>
        <w:t>Plan Estratégico Institucional PEI IMAS 2023-2028 </w:t>
      </w:r>
      <w:r>
        <w:rPr/>
        <w:t>Acuerdo CD N°231-09-2023. Orientar la acción estratégica del IMAS durante el quinquenio 2023-2028 en procura del desarrollo y mejoramiento de las condiciones de vida de la población en situación de pobreza</w:t>
      </w:r>
      <w:r>
        <w:rPr>
          <w:spacing w:val="-10"/>
        </w:rPr>
        <w:t> </w:t>
      </w:r>
      <w:r>
        <w:rPr/>
        <w:t>y</w:t>
      </w:r>
      <w:r>
        <w:rPr>
          <w:spacing w:val="-16"/>
        </w:rPr>
        <w:t> </w:t>
      </w:r>
      <w:r>
        <w:rPr/>
        <w:t>pobreza</w:t>
      </w:r>
      <w:r>
        <w:rPr>
          <w:spacing w:val="-9"/>
        </w:rPr>
        <w:t> </w:t>
      </w:r>
      <w:r>
        <w:rPr/>
        <w:t>extrema</w:t>
      </w:r>
      <w:r>
        <w:rPr>
          <w:spacing w:val="-10"/>
        </w:rPr>
        <w:t> </w:t>
      </w:r>
      <w:r>
        <w:rPr/>
        <w:t>del</w:t>
      </w:r>
      <w:r>
        <w:rPr>
          <w:spacing w:val="-12"/>
        </w:rPr>
        <w:t> </w:t>
      </w:r>
      <w:r>
        <w:rPr/>
        <w:t>país,</w:t>
      </w:r>
      <w:r>
        <w:rPr>
          <w:spacing w:val="-10"/>
        </w:rPr>
        <w:t> </w:t>
      </w:r>
      <w:r>
        <w:rPr/>
        <w:t>y</w:t>
      </w:r>
      <w:r>
        <w:rPr>
          <w:spacing w:val="-11"/>
        </w:rPr>
        <w:t> </w:t>
      </w:r>
      <w:r>
        <w:rPr/>
        <w:t>de</w:t>
      </w:r>
      <w:r>
        <w:rPr>
          <w:spacing w:val="-10"/>
        </w:rPr>
        <w:t> </w:t>
      </w:r>
      <w:r>
        <w:rPr/>
        <w:t>la</w:t>
      </w:r>
      <w:r>
        <w:rPr>
          <w:spacing w:val="-10"/>
        </w:rPr>
        <w:t> </w:t>
      </w:r>
      <w:r>
        <w:rPr/>
        <w:t>generación</w:t>
      </w:r>
      <w:r>
        <w:rPr>
          <w:spacing w:val="-5"/>
        </w:rPr>
        <w:t> </w:t>
      </w:r>
      <w:r>
        <w:rPr/>
        <w:t>de</w:t>
      </w:r>
      <w:r>
        <w:rPr>
          <w:spacing w:val="-10"/>
        </w:rPr>
        <w:t> </w:t>
      </w:r>
      <w:r>
        <w:rPr/>
        <w:t>valor</w:t>
      </w:r>
      <w:r>
        <w:rPr>
          <w:spacing w:val="-12"/>
        </w:rPr>
        <w:t> </w:t>
      </w:r>
      <w:r>
        <w:rPr/>
        <w:t>público</w:t>
      </w:r>
      <w:r>
        <w:rPr>
          <w:spacing w:val="-10"/>
        </w:rPr>
        <w:t> </w:t>
      </w:r>
      <w:r>
        <w:rPr/>
        <w:t>sobre</w:t>
      </w:r>
      <w:r>
        <w:rPr>
          <w:spacing w:val="-10"/>
        </w:rPr>
        <w:t> </w:t>
      </w:r>
      <w:r>
        <w:rPr/>
        <w:t>la</w:t>
      </w:r>
      <w:r>
        <w:rPr>
          <w:spacing w:val="-10"/>
        </w:rPr>
        <w:t> </w:t>
      </w:r>
      <w:r>
        <w:rPr/>
        <w:t>prestación del servicio brindado. Publicado 21/09/2023</w:t>
      </w:r>
    </w:p>
    <w:p>
      <w:pPr>
        <w:pStyle w:val="BodyText"/>
        <w:spacing w:before="4"/>
      </w:pPr>
    </w:p>
    <w:p>
      <w:pPr>
        <w:spacing w:line="240" w:lineRule="auto" w:before="0"/>
        <w:ind w:left="979" w:right="1336" w:firstLine="0"/>
        <w:jc w:val="both"/>
        <w:rPr>
          <w:sz w:val="22"/>
        </w:rPr>
      </w:pPr>
      <w:r>
        <w:rPr>
          <w:b/>
          <w:sz w:val="22"/>
        </w:rPr>
        <w:t>Normas de interés para el control de fondos y actividades públicos </w:t>
      </w:r>
      <w:r>
        <w:rPr>
          <w:sz w:val="22"/>
        </w:rPr>
        <w:t>que son custodiados o administrados por sujetos privados. Contraloría General de la República. Publicado en la Gaceta Nº 38 del miércoles 01 de marzo de 2023.</w:t>
      </w:r>
    </w:p>
    <w:p>
      <w:pPr>
        <w:spacing w:after="0" w:line="240" w:lineRule="auto"/>
        <w:jc w:val="both"/>
        <w:rPr>
          <w:sz w:val="22"/>
        </w:rPr>
        <w:sectPr>
          <w:pgSz w:w="12240" w:h="15840"/>
          <w:pgMar w:header="0" w:footer="1021" w:top="1340" w:bottom="1220" w:left="720" w:right="360"/>
        </w:sectPr>
      </w:pPr>
    </w:p>
    <w:p>
      <w:pPr>
        <w:spacing w:line="240" w:lineRule="auto" w:before="71"/>
        <w:ind w:left="979" w:right="1341" w:firstLine="0"/>
        <w:jc w:val="both"/>
        <w:rPr>
          <w:sz w:val="22"/>
        </w:rPr>
      </w:pPr>
      <w:r>
        <w:rPr>
          <w:b/>
          <w:sz w:val="22"/>
        </w:rPr>
        <w:t>Normas</w:t>
      </w:r>
      <w:r>
        <w:rPr>
          <w:b/>
          <w:spacing w:val="-1"/>
          <w:sz w:val="22"/>
        </w:rPr>
        <w:t> </w:t>
      </w:r>
      <w:r>
        <w:rPr>
          <w:b/>
          <w:sz w:val="22"/>
        </w:rPr>
        <w:t>de</w:t>
      </w:r>
      <w:r>
        <w:rPr>
          <w:b/>
          <w:spacing w:val="-1"/>
          <w:sz w:val="22"/>
        </w:rPr>
        <w:t> </w:t>
      </w:r>
      <w:r>
        <w:rPr>
          <w:b/>
          <w:sz w:val="22"/>
        </w:rPr>
        <w:t>Control</w:t>
      </w:r>
      <w:r>
        <w:rPr>
          <w:b/>
          <w:spacing w:val="-1"/>
          <w:sz w:val="22"/>
        </w:rPr>
        <w:t> </w:t>
      </w:r>
      <w:r>
        <w:rPr>
          <w:b/>
          <w:sz w:val="22"/>
        </w:rPr>
        <w:t>Interno</w:t>
      </w:r>
      <w:r>
        <w:rPr>
          <w:b/>
          <w:spacing w:val="-3"/>
          <w:sz w:val="22"/>
        </w:rPr>
        <w:t> </w:t>
      </w:r>
      <w:r>
        <w:rPr>
          <w:b/>
          <w:sz w:val="22"/>
        </w:rPr>
        <w:t>para</w:t>
      </w:r>
      <w:r>
        <w:rPr>
          <w:b/>
          <w:spacing w:val="-5"/>
          <w:sz w:val="22"/>
        </w:rPr>
        <w:t> </w:t>
      </w:r>
      <w:r>
        <w:rPr>
          <w:b/>
          <w:sz w:val="22"/>
        </w:rPr>
        <w:t>el</w:t>
      </w:r>
      <w:r>
        <w:rPr>
          <w:b/>
          <w:spacing w:val="-1"/>
          <w:sz w:val="22"/>
        </w:rPr>
        <w:t> </w:t>
      </w:r>
      <w:r>
        <w:rPr>
          <w:b/>
          <w:sz w:val="22"/>
        </w:rPr>
        <w:t>Sector</w:t>
      </w:r>
      <w:r>
        <w:rPr>
          <w:b/>
          <w:spacing w:val="-7"/>
          <w:sz w:val="22"/>
        </w:rPr>
        <w:t> </w:t>
      </w:r>
      <w:r>
        <w:rPr>
          <w:b/>
          <w:sz w:val="22"/>
        </w:rPr>
        <w:t>Público: </w:t>
      </w:r>
      <w:r>
        <w:rPr>
          <w:sz w:val="22"/>
        </w:rPr>
        <w:t>Aprobado</w:t>
      </w:r>
      <w:r>
        <w:rPr>
          <w:spacing w:val="-1"/>
          <w:sz w:val="22"/>
        </w:rPr>
        <w:t> </w:t>
      </w:r>
      <w:r>
        <w:rPr>
          <w:sz w:val="22"/>
        </w:rPr>
        <w:t>mediante</w:t>
      </w:r>
      <w:r>
        <w:rPr>
          <w:spacing w:val="-1"/>
          <w:sz w:val="22"/>
        </w:rPr>
        <w:t> </w:t>
      </w:r>
      <w:r>
        <w:rPr>
          <w:sz w:val="22"/>
        </w:rPr>
        <w:t>resolución</w:t>
      </w:r>
      <w:r>
        <w:rPr>
          <w:spacing w:val="-1"/>
          <w:sz w:val="22"/>
        </w:rPr>
        <w:t> </w:t>
      </w:r>
      <w:r>
        <w:rPr>
          <w:sz w:val="22"/>
        </w:rPr>
        <w:t>de</w:t>
      </w:r>
      <w:r>
        <w:rPr>
          <w:spacing w:val="-1"/>
          <w:sz w:val="22"/>
        </w:rPr>
        <w:t> </w:t>
      </w:r>
      <w:r>
        <w:rPr>
          <w:sz w:val="22"/>
        </w:rPr>
        <w:t>la Contraloría General de la República N° R-CO-9-2009 del 26 de enero, 2009. Publicado: </w:t>
      </w:r>
      <w:r>
        <w:rPr>
          <w:spacing w:val="-2"/>
          <w:sz w:val="22"/>
        </w:rPr>
        <w:t>6/02/2009.</w:t>
      </w:r>
    </w:p>
    <w:p>
      <w:pPr>
        <w:spacing w:line="240" w:lineRule="auto" w:before="249"/>
        <w:ind w:left="979" w:right="1343" w:firstLine="0"/>
        <w:jc w:val="both"/>
        <w:rPr>
          <w:sz w:val="22"/>
        </w:rPr>
      </w:pPr>
      <w:r>
        <w:rPr>
          <w:b/>
          <w:sz w:val="22"/>
        </w:rPr>
        <w:t>Manual de procedimientos para la administración de efectivo y utilización de herramientas de internet bancario: </w:t>
      </w:r>
      <w:r>
        <w:rPr>
          <w:sz w:val="22"/>
        </w:rPr>
        <w:t>Regular las acciones requeridas para la correcta administración</w:t>
      </w:r>
      <w:r>
        <w:rPr>
          <w:spacing w:val="-5"/>
          <w:sz w:val="22"/>
        </w:rPr>
        <w:t> </w:t>
      </w:r>
      <w:r>
        <w:rPr>
          <w:sz w:val="22"/>
        </w:rPr>
        <w:t>del</w:t>
      </w:r>
      <w:r>
        <w:rPr>
          <w:spacing w:val="-8"/>
          <w:sz w:val="22"/>
        </w:rPr>
        <w:t> </w:t>
      </w:r>
      <w:r>
        <w:rPr>
          <w:sz w:val="22"/>
        </w:rPr>
        <w:t>efectivo,</w:t>
      </w:r>
      <w:r>
        <w:rPr>
          <w:spacing w:val="-11"/>
          <w:sz w:val="22"/>
        </w:rPr>
        <w:t> </w:t>
      </w:r>
      <w:r>
        <w:rPr>
          <w:sz w:val="22"/>
        </w:rPr>
        <w:t>mediante</w:t>
      </w:r>
      <w:r>
        <w:rPr>
          <w:spacing w:val="-5"/>
          <w:sz w:val="22"/>
        </w:rPr>
        <w:t> </w:t>
      </w:r>
      <w:r>
        <w:rPr>
          <w:sz w:val="22"/>
        </w:rPr>
        <w:t>la</w:t>
      </w:r>
      <w:r>
        <w:rPr>
          <w:spacing w:val="-5"/>
          <w:sz w:val="22"/>
        </w:rPr>
        <w:t> </w:t>
      </w:r>
      <w:r>
        <w:rPr>
          <w:sz w:val="22"/>
        </w:rPr>
        <w:t>utilización</w:t>
      </w:r>
      <w:r>
        <w:rPr>
          <w:spacing w:val="-10"/>
          <w:sz w:val="22"/>
        </w:rPr>
        <w:t> </w:t>
      </w:r>
      <w:r>
        <w:rPr>
          <w:sz w:val="22"/>
        </w:rPr>
        <w:t>de</w:t>
      </w:r>
      <w:r>
        <w:rPr>
          <w:spacing w:val="-5"/>
          <w:sz w:val="22"/>
        </w:rPr>
        <w:t> </w:t>
      </w:r>
      <w:r>
        <w:rPr>
          <w:sz w:val="22"/>
        </w:rPr>
        <w:t>las</w:t>
      </w:r>
      <w:r>
        <w:rPr>
          <w:spacing w:val="-7"/>
          <w:sz w:val="22"/>
        </w:rPr>
        <w:t> </w:t>
      </w:r>
      <w:r>
        <w:rPr>
          <w:sz w:val="22"/>
        </w:rPr>
        <w:t>herramientas</w:t>
      </w:r>
      <w:r>
        <w:rPr>
          <w:spacing w:val="-7"/>
          <w:sz w:val="22"/>
        </w:rPr>
        <w:t> </w:t>
      </w:r>
      <w:r>
        <w:rPr>
          <w:sz w:val="22"/>
        </w:rPr>
        <w:t>tecnológicas,</w:t>
      </w:r>
      <w:r>
        <w:rPr>
          <w:spacing w:val="-6"/>
          <w:sz w:val="22"/>
        </w:rPr>
        <w:t> </w:t>
      </w:r>
      <w:r>
        <w:rPr>
          <w:sz w:val="22"/>
        </w:rPr>
        <w:t>con</w:t>
      </w:r>
      <w:r>
        <w:rPr>
          <w:spacing w:val="-5"/>
          <w:sz w:val="22"/>
        </w:rPr>
        <w:t> </w:t>
      </w:r>
      <w:r>
        <w:rPr>
          <w:sz w:val="22"/>
        </w:rPr>
        <w:t>el fin de disminuir los riesgos y hacer eficiente el tiempo de respuesta a los usuarios. Fecha de vigencia 24/09/2024</w:t>
      </w:r>
    </w:p>
    <w:p>
      <w:pPr>
        <w:pStyle w:val="BodyText"/>
        <w:spacing w:before="4"/>
      </w:pPr>
    </w:p>
    <w:p>
      <w:pPr>
        <w:spacing w:line="240" w:lineRule="auto" w:before="0"/>
        <w:ind w:left="979" w:right="1335" w:firstLine="0"/>
        <w:jc w:val="both"/>
        <w:rPr>
          <w:sz w:val="22"/>
        </w:rPr>
      </w:pPr>
      <w:r>
        <w:rPr>
          <w:b/>
          <w:sz w:val="22"/>
        </w:rPr>
        <w:t>Manual de Procedimientos es para la emisión, entrega de subsidios y pagos administrativos en las Áreas Regionales de Desarrollo Social del IMAS. V.4 Regular </w:t>
      </w:r>
      <w:r>
        <w:rPr>
          <w:sz w:val="22"/>
        </w:rPr>
        <w:t>las formas de pago, el proceso de emisión, entrega de subsidios y otros pagos administrativos, en las Áreas Regionales de Desarrollo Social, no detalla el proceso de aprobación de los subsidios. Fecha de vigencia 11/10/2024</w:t>
      </w:r>
    </w:p>
    <w:p>
      <w:pPr>
        <w:pStyle w:val="BodyText"/>
      </w:pPr>
    </w:p>
    <w:p>
      <w:pPr>
        <w:spacing w:line="240" w:lineRule="auto" w:before="0"/>
        <w:ind w:left="979" w:right="1331" w:firstLine="0"/>
        <w:jc w:val="both"/>
        <w:rPr>
          <w:sz w:val="22"/>
        </w:rPr>
      </w:pPr>
      <w:r>
        <w:rPr>
          <w:b/>
          <w:sz w:val="22"/>
        </w:rPr>
        <w:t>Manual de procedimientos para la prestación de servicios y el otorgamiento de beneficios, subsidios y transferencias monetarias individuales del IMAS, IMAS-GG-0252-2025. </w:t>
      </w:r>
      <w:r>
        <w:rPr>
          <w:sz w:val="22"/>
        </w:rPr>
        <w:t>Establecer los procesos y procedimientos que deben ser aplicados por las personas profesionales y órganos competentes para la prestación de servicios y otorgamiento de beneficios, subsidios y transferencias monetarias individuales institucionales, con la finalidad de contar con una acción institucional oportuna y unificada de la población objetivo. Fecha de vigencia 19/02/2025.</w:t>
      </w:r>
    </w:p>
    <w:p>
      <w:pPr>
        <w:pStyle w:val="BodyText"/>
        <w:spacing w:before="2"/>
      </w:pPr>
    </w:p>
    <w:p>
      <w:pPr>
        <w:spacing w:line="240" w:lineRule="auto" w:before="0"/>
        <w:ind w:left="979" w:right="1343" w:firstLine="0"/>
        <w:jc w:val="both"/>
        <w:rPr>
          <w:sz w:val="22"/>
        </w:rPr>
      </w:pPr>
      <w:r>
        <w:rPr>
          <w:b/>
          <w:sz w:val="22"/>
        </w:rPr>
        <w:t>Manual de Procedimientos Operativos de la Unidad de Administración Tributaria: </w:t>
      </w:r>
      <w:r>
        <w:rPr>
          <w:sz w:val="22"/>
        </w:rPr>
        <w:t>Establecer los lineamientos</w:t>
      </w:r>
      <w:r>
        <w:rPr>
          <w:spacing w:val="-1"/>
          <w:sz w:val="22"/>
        </w:rPr>
        <w:t> </w:t>
      </w:r>
      <w:r>
        <w:rPr>
          <w:sz w:val="22"/>
        </w:rPr>
        <w:t>para estandarizar y homogenizar las</w:t>
      </w:r>
      <w:r>
        <w:rPr>
          <w:spacing w:val="-1"/>
          <w:sz w:val="22"/>
        </w:rPr>
        <w:t> </w:t>
      </w:r>
      <w:r>
        <w:rPr>
          <w:sz w:val="22"/>
        </w:rPr>
        <w:t>actividades</w:t>
      </w:r>
      <w:r>
        <w:rPr>
          <w:spacing w:val="-1"/>
          <w:sz w:val="22"/>
        </w:rPr>
        <w:t> </w:t>
      </w:r>
      <w:r>
        <w:rPr>
          <w:sz w:val="22"/>
        </w:rPr>
        <w:t>propias</w:t>
      </w:r>
      <w:r>
        <w:rPr>
          <w:spacing w:val="-1"/>
          <w:sz w:val="22"/>
        </w:rPr>
        <w:t> </w:t>
      </w:r>
      <w:r>
        <w:rPr>
          <w:sz w:val="22"/>
        </w:rPr>
        <w:t>de la Unidad de Administración Tributaria, promoviendo el uso de los recursos institucional de manera eficiente y eficaz. IMAS-GG-0616-2025 Fecha de vigencia 18 de mayo 2025.</w:t>
      </w:r>
    </w:p>
    <w:p>
      <w:pPr>
        <w:pStyle w:val="BodyText"/>
        <w:spacing w:before="251"/>
        <w:ind w:left="979" w:right="1342"/>
        <w:jc w:val="both"/>
      </w:pPr>
      <w:r>
        <w:rPr>
          <w:b/>
        </w:rPr>
        <w:t>Manual de Procedimientos para la prestación de servicios y el otorgamiento de beneficios del IMAS v.8: </w:t>
      </w:r>
      <w:r>
        <w:rPr/>
        <w:t>Establecer los procesos y procedimientos que realizan los órganos</w:t>
      </w:r>
      <w:r>
        <w:rPr>
          <w:spacing w:val="-6"/>
        </w:rPr>
        <w:t> </w:t>
      </w:r>
      <w:r>
        <w:rPr/>
        <w:t>o</w:t>
      </w:r>
      <w:r>
        <w:rPr>
          <w:spacing w:val="-9"/>
        </w:rPr>
        <w:t> </w:t>
      </w:r>
      <w:r>
        <w:rPr/>
        <w:t>personas</w:t>
      </w:r>
      <w:r>
        <w:rPr>
          <w:spacing w:val="-6"/>
        </w:rPr>
        <w:t> </w:t>
      </w:r>
      <w:r>
        <w:rPr/>
        <w:t>competentes</w:t>
      </w:r>
      <w:r>
        <w:rPr>
          <w:spacing w:val="-6"/>
        </w:rPr>
        <w:t> </w:t>
      </w:r>
      <w:r>
        <w:rPr/>
        <w:t>que se</w:t>
      </w:r>
      <w:r>
        <w:rPr>
          <w:spacing w:val="-4"/>
        </w:rPr>
        <w:t> </w:t>
      </w:r>
      <w:r>
        <w:rPr/>
        <w:t>definen</w:t>
      </w:r>
      <w:r>
        <w:rPr>
          <w:spacing w:val="-9"/>
        </w:rPr>
        <w:t> </w:t>
      </w:r>
      <w:r>
        <w:rPr/>
        <w:t>en</w:t>
      </w:r>
      <w:r>
        <w:rPr>
          <w:spacing w:val="-4"/>
        </w:rPr>
        <w:t> </w:t>
      </w:r>
      <w:r>
        <w:rPr/>
        <w:t>el</w:t>
      </w:r>
      <w:r>
        <w:rPr>
          <w:spacing w:val="-7"/>
        </w:rPr>
        <w:t> </w:t>
      </w:r>
      <w:r>
        <w:rPr/>
        <w:t>artículo</w:t>
      </w:r>
      <w:r>
        <w:rPr>
          <w:spacing w:val="-4"/>
        </w:rPr>
        <w:t> </w:t>
      </w:r>
      <w:r>
        <w:rPr/>
        <w:t>N°6</w:t>
      </w:r>
      <w:r>
        <w:rPr>
          <w:spacing w:val="-4"/>
        </w:rPr>
        <w:t> </w:t>
      </w:r>
      <w:r>
        <w:rPr/>
        <w:t>del</w:t>
      </w:r>
      <w:r>
        <w:rPr>
          <w:spacing w:val="-7"/>
        </w:rPr>
        <w:t> </w:t>
      </w:r>
      <w:r>
        <w:rPr/>
        <w:t>Reglamento</w:t>
      </w:r>
      <w:r>
        <w:rPr>
          <w:spacing w:val="-4"/>
        </w:rPr>
        <w:t> </w:t>
      </w:r>
      <w:r>
        <w:rPr/>
        <w:t>para la Prestación</w:t>
      </w:r>
      <w:r>
        <w:rPr>
          <w:spacing w:val="-9"/>
        </w:rPr>
        <w:t> </w:t>
      </w:r>
      <w:r>
        <w:rPr/>
        <w:t>de</w:t>
      </w:r>
      <w:r>
        <w:rPr>
          <w:spacing w:val="-4"/>
        </w:rPr>
        <w:t> </w:t>
      </w:r>
      <w:r>
        <w:rPr/>
        <w:t>Servicios</w:t>
      </w:r>
      <w:r>
        <w:rPr>
          <w:spacing w:val="-6"/>
        </w:rPr>
        <w:t> </w:t>
      </w:r>
      <w:r>
        <w:rPr/>
        <w:t>y</w:t>
      </w:r>
      <w:r>
        <w:rPr>
          <w:spacing w:val="-6"/>
        </w:rPr>
        <w:t> </w:t>
      </w:r>
      <w:r>
        <w:rPr/>
        <w:t>Otorgamiento</w:t>
      </w:r>
      <w:r>
        <w:rPr>
          <w:spacing w:val="-4"/>
        </w:rPr>
        <w:t> </w:t>
      </w:r>
      <w:r>
        <w:rPr/>
        <w:t>de</w:t>
      </w:r>
      <w:r>
        <w:rPr>
          <w:spacing w:val="-4"/>
        </w:rPr>
        <w:t> </w:t>
      </w:r>
      <w:r>
        <w:rPr/>
        <w:t>Beneficios</w:t>
      </w:r>
      <w:r>
        <w:rPr>
          <w:spacing w:val="-6"/>
        </w:rPr>
        <w:t> </w:t>
      </w:r>
      <w:r>
        <w:rPr/>
        <w:t>del</w:t>
      </w:r>
      <w:r>
        <w:rPr>
          <w:spacing w:val="-7"/>
        </w:rPr>
        <w:t> </w:t>
      </w:r>
      <w:r>
        <w:rPr/>
        <w:t>IMAS,</w:t>
      </w:r>
      <w:r>
        <w:rPr>
          <w:spacing w:val="-5"/>
        </w:rPr>
        <w:t> </w:t>
      </w:r>
      <w:r>
        <w:rPr/>
        <w:t>con</w:t>
      </w:r>
      <w:r>
        <w:rPr>
          <w:spacing w:val="-4"/>
        </w:rPr>
        <w:t> </w:t>
      </w:r>
      <w:r>
        <w:rPr/>
        <w:t>el</w:t>
      </w:r>
      <w:r>
        <w:rPr>
          <w:spacing w:val="-7"/>
        </w:rPr>
        <w:t> </w:t>
      </w:r>
      <w:r>
        <w:rPr/>
        <w:t>fin</w:t>
      </w:r>
      <w:r>
        <w:rPr>
          <w:spacing w:val="-4"/>
        </w:rPr>
        <w:t> </w:t>
      </w:r>
      <w:r>
        <w:rPr/>
        <w:t>de</w:t>
      </w:r>
      <w:r>
        <w:rPr>
          <w:spacing w:val="-4"/>
        </w:rPr>
        <w:t> </w:t>
      </w:r>
      <w:r>
        <w:rPr/>
        <w:t>que la</w:t>
      </w:r>
      <w:r>
        <w:rPr>
          <w:spacing w:val="-4"/>
        </w:rPr>
        <w:t> </w:t>
      </w:r>
      <w:r>
        <w:rPr/>
        <w:t>acción institucional sea oportuna y unificada en todos los servicios y beneficios dirigidos a personas, familias, hogares, sujetos de derecho público o privado y comunidades en el territorio nacional. IMAS-GG-0771-2025, fecha de vigencia 28/05/2025.</w:t>
      </w:r>
    </w:p>
    <w:p>
      <w:pPr>
        <w:pStyle w:val="BodyText"/>
        <w:spacing w:before="2"/>
      </w:pPr>
    </w:p>
    <w:p>
      <w:pPr>
        <w:spacing w:line="240" w:lineRule="auto" w:before="0"/>
        <w:ind w:left="979" w:right="1335" w:firstLine="0"/>
        <w:jc w:val="both"/>
        <w:rPr>
          <w:sz w:val="22"/>
        </w:rPr>
      </w:pPr>
      <w:r>
        <w:rPr>
          <w:b/>
          <w:sz w:val="22"/>
        </w:rPr>
        <w:t>Manual de Procedimientos es para la emisión, entrega de subsidios y pagos administrativos en las Áreas Regionales de Desarrollo Social del IMAS. V.4 Regular </w:t>
      </w:r>
      <w:r>
        <w:rPr>
          <w:sz w:val="22"/>
        </w:rPr>
        <w:t>las formas de pago, el proceso de emisión, entrega de subsidios y otros pagos administrativos, en las Áreas Regionales de Desarrollo Social, no detalla el proceso de aprobación de los subsidios. Fecha de vigencia 11/10/2024</w:t>
      </w:r>
    </w:p>
    <w:p>
      <w:pPr>
        <w:spacing w:line="240" w:lineRule="auto" w:before="253"/>
        <w:ind w:left="979" w:right="1341" w:firstLine="0"/>
        <w:jc w:val="both"/>
        <w:rPr>
          <w:sz w:val="22"/>
        </w:rPr>
      </w:pPr>
      <w:r>
        <w:rPr>
          <w:b/>
          <w:sz w:val="22"/>
        </w:rPr>
        <w:t>Procedimiento atención de casos de personas funcionarias /trabajadoras bajo la influencia de alcohol u otras sustancias adictivas: </w:t>
      </w:r>
      <w:r>
        <w:rPr>
          <w:sz w:val="22"/>
        </w:rPr>
        <w:t>Establecer un procedimiento de atención</w:t>
      </w:r>
      <w:r>
        <w:rPr>
          <w:spacing w:val="-11"/>
          <w:sz w:val="22"/>
        </w:rPr>
        <w:t> </w:t>
      </w:r>
      <w:r>
        <w:rPr>
          <w:sz w:val="22"/>
        </w:rPr>
        <w:t>para</w:t>
      </w:r>
      <w:r>
        <w:rPr>
          <w:spacing w:val="-5"/>
          <w:sz w:val="22"/>
        </w:rPr>
        <w:t> </w:t>
      </w:r>
      <w:r>
        <w:rPr>
          <w:sz w:val="22"/>
        </w:rPr>
        <w:t>la</w:t>
      </w:r>
      <w:r>
        <w:rPr>
          <w:spacing w:val="-10"/>
          <w:sz w:val="22"/>
        </w:rPr>
        <w:t> </w:t>
      </w:r>
      <w:r>
        <w:rPr>
          <w:sz w:val="22"/>
        </w:rPr>
        <w:t>problemática</w:t>
      </w:r>
      <w:r>
        <w:rPr>
          <w:spacing w:val="-10"/>
          <w:sz w:val="22"/>
        </w:rPr>
        <w:t> </w:t>
      </w:r>
      <w:r>
        <w:rPr>
          <w:sz w:val="22"/>
        </w:rPr>
        <w:t>del</w:t>
      </w:r>
      <w:r>
        <w:rPr>
          <w:spacing w:val="-8"/>
          <w:sz w:val="22"/>
        </w:rPr>
        <w:t> </w:t>
      </w:r>
      <w:r>
        <w:rPr>
          <w:sz w:val="22"/>
        </w:rPr>
        <w:t>consumo</w:t>
      </w:r>
      <w:r>
        <w:rPr>
          <w:spacing w:val="-15"/>
          <w:sz w:val="22"/>
        </w:rPr>
        <w:t> </w:t>
      </w:r>
      <w:r>
        <w:rPr>
          <w:sz w:val="22"/>
        </w:rPr>
        <w:t>de</w:t>
      </w:r>
      <w:r>
        <w:rPr>
          <w:spacing w:val="-10"/>
          <w:sz w:val="22"/>
        </w:rPr>
        <w:t> </w:t>
      </w:r>
      <w:r>
        <w:rPr>
          <w:sz w:val="22"/>
        </w:rPr>
        <w:t>alcohol</w:t>
      </w:r>
      <w:r>
        <w:rPr>
          <w:spacing w:val="-8"/>
          <w:sz w:val="22"/>
        </w:rPr>
        <w:t> </w:t>
      </w:r>
      <w:r>
        <w:rPr>
          <w:sz w:val="22"/>
        </w:rPr>
        <w:t>y/o</w:t>
      </w:r>
      <w:r>
        <w:rPr>
          <w:spacing w:val="-10"/>
          <w:sz w:val="22"/>
        </w:rPr>
        <w:t> </w:t>
      </w:r>
      <w:r>
        <w:rPr>
          <w:sz w:val="22"/>
        </w:rPr>
        <w:t>drogas</w:t>
      </w:r>
      <w:r>
        <w:rPr>
          <w:spacing w:val="-12"/>
          <w:sz w:val="22"/>
        </w:rPr>
        <w:t> </w:t>
      </w:r>
      <w:r>
        <w:rPr>
          <w:sz w:val="22"/>
        </w:rPr>
        <w:t>o</w:t>
      </w:r>
      <w:r>
        <w:rPr>
          <w:spacing w:val="-10"/>
          <w:sz w:val="22"/>
        </w:rPr>
        <w:t> </w:t>
      </w:r>
      <w:r>
        <w:rPr>
          <w:sz w:val="22"/>
        </w:rPr>
        <w:t>sustancias</w:t>
      </w:r>
      <w:r>
        <w:rPr>
          <w:spacing w:val="-12"/>
          <w:sz w:val="22"/>
        </w:rPr>
        <w:t> </w:t>
      </w:r>
      <w:r>
        <w:rPr>
          <w:sz w:val="22"/>
        </w:rPr>
        <w:t>adictivas</w:t>
      </w:r>
      <w:r>
        <w:rPr>
          <w:spacing w:val="-16"/>
          <w:sz w:val="22"/>
        </w:rPr>
        <w:t> </w:t>
      </w:r>
      <w:r>
        <w:rPr>
          <w:sz w:val="22"/>
        </w:rPr>
        <w:t>por personas funcionarias/trabajadoras de la institución. Fecha de vigencia 05/09/2024.</w:t>
      </w:r>
    </w:p>
    <w:p>
      <w:pPr>
        <w:spacing w:after="0" w:line="240" w:lineRule="auto"/>
        <w:jc w:val="both"/>
        <w:rPr>
          <w:sz w:val="22"/>
        </w:rPr>
        <w:sectPr>
          <w:pgSz w:w="12240" w:h="15840"/>
          <w:pgMar w:header="0" w:footer="1021" w:top="1600" w:bottom="1220" w:left="720" w:right="360"/>
        </w:sectPr>
      </w:pPr>
    </w:p>
    <w:p>
      <w:pPr>
        <w:pStyle w:val="Heading2"/>
        <w:spacing w:before="76"/>
      </w:pPr>
      <w:r>
        <w:rPr>
          <w:spacing w:val="-2"/>
        </w:rPr>
        <w:t>DICTAMENES</w:t>
      </w:r>
    </w:p>
    <w:p>
      <w:pPr>
        <w:pStyle w:val="BodyText"/>
        <w:spacing w:line="242" w:lineRule="auto" w:before="251"/>
        <w:ind w:left="979" w:right="1343"/>
        <w:jc w:val="both"/>
      </w:pPr>
      <w:r>
        <w:rPr>
          <w:b/>
        </w:rPr>
        <w:t>Dictamen – PGR. C-062-2020 </w:t>
      </w:r>
      <w:r>
        <w:rPr/>
        <w:t>Fin legal del IMAS. Destino específico recursos del IMAS. Red nacional</w:t>
      </w:r>
      <w:r>
        <w:rPr>
          <w:spacing w:val="-2"/>
        </w:rPr>
        <w:t> </w:t>
      </w:r>
      <w:r>
        <w:rPr/>
        <w:t>de cuido y</w:t>
      </w:r>
      <w:r>
        <w:rPr>
          <w:spacing w:val="-2"/>
        </w:rPr>
        <w:t> </w:t>
      </w:r>
      <w:r>
        <w:rPr/>
        <w:t>desarrollo infantil. Línea</w:t>
      </w:r>
      <w:r>
        <w:rPr>
          <w:spacing w:val="-4"/>
        </w:rPr>
        <w:t> </w:t>
      </w:r>
      <w:r>
        <w:rPr/>
        <w:t>de pobreza.</w:t>
      </w:r>
      <w:r>
        <w:rPr>
          <w:spacing w:val="-5"/>
        </w:rPr>
        <w:t> </w:t>
      </w:r>
      <w:r>
        <w:rPr/>
        <w:t>Principio</w:t>
      </w:r>
      <w:r>
        <w:rPr>
          <w:spacing w:val="-4"/>
        </w:rPr>
        <w:t> </w:t>
      </w:r>
      <w:r>
        <w:rPr/>
        <w:t>de no regresividad. Interés superior del menor.</w:t>
      </w:r>
    </w:p>
    <w:p>
      <w:pPr>
        <w:pStyle w:val="BodyText"/>
        <w:spacing w:before="247"/>
        <w:ind w:left="979" w:right="1341"/>
        <w:jc w:val="both"/>
      </w:pPr>
      <w:r>
        <w:rPr>
          <w:b/>
        </w:rPr>
        <w:t>Dictamen – PGR. C-030-2021</w:t>
      </w:r>
      <w:r>
        <w:rPr/>
        <w:t>.Alcance del principio de confidencialidad regulado en el artículo 6 de la ley general de control interno</w:t>
      </w:r>
      <w:r>
        <w:rPr>
          <w:spacing w:val="15"/>
        </w:rPr>
        <w:t> </w:t>
      </w:r>
      <w:r>
        <w:rPr/>
        <w:t>–ley</w:t>
      </w:r>
      <w:r>
        <w:rPr>
          <w:spacing w:val="-2"/>
        </w:rPr>
        <w:t> </w:t>
      </w:r>
      <w:r>
        <w:rPr/>
        <w:t>N° 8292- y el</w:t>
      </w:r>
      <w:r>
        <w:rPr>
          <w:spacing w:val="-2"/>
        </w:rPr>
        <w:t> </w:t>
      </w:r>
      <w:r>
        <w:rPr/>
        <w:t>numeral</w:t>
      </w:r>
      <w:r>
        <w:rPr>
          <w:spacing w:val="-2"/>
        </w:rPr>
        <w:t> </w:t>
      </w:r>
      <w:r>
        <w:rPr/>
        <w:t>8 de la ley contra la corrupción y el enriquecimiento ilícito en la función pública –N° 8422.</w:t>
      </w:r>
    </w:p>
    <w:p>
      <w:pPr>
        <w:pStyle w:val="BodyText"/>
        <w:spacing w:before="1"/>
      </w:pPr>
    </w:p>
    <w:p>
      <w:pPr>
        <w:pStyle w:val="BodyText"/>
        <w:ind w:left="979" w:right="1346"/>
        <w:jc w:val="both"/>
      </w:pPr>
      <w:r>
        <w:rPr>
          <w:b/>
        </w:rPr>
        <w:t>Dictamen – PGR. C-073-2021</w:t>
      </w:r>
      <w:r>
        <w:rPr/>
        <w:t>.Suspensión de la relación de empleo y la acumulación de antigüedad. Aplicación supletoria del derecho laboral común.</w:t>
      </w:r>
    </w:p>
    <w:p>
      <w:pPr>
        <w:pStyle w:val="BodyText"/>
      </w:pPr>
    </w:p>
    <w:p>
      <w:pPr>
        <w:pStyle w:val="BodyText"/>
        <w:ind w:left="979" w:right="1331"/>
        <w:jc w:val="both"/>
      </w:pPr>
      <w:r>
        <w:rPr>
          <w:b/>
        </w:rPr>
        <w:t>Dictamen</w:t>
      </w:r>
      <w:r>
        <w:rPr>
          <w:b/>
          <w:spacing w:val="-16"/>
        </w:rPr>
        <w:t> </w:t>
      </w:r>
      <w:r>
        <w:rPr>
          <w:b/>
        </w:rPr>
        <w:t>–</w:t>
      </w:r>
      <w:r>
        <w:rPr>
          <w:b/>
          <w:spacing w:val="-15"/>
        </w:rPr>
        <w:t> </w:t>
      </w:r>
      <w:r>
        <w:rPr>
          <w:b/>
        </w:rPr>
        <w:t>PGR.</w:t>
      </w:r>
      <w:r>
        <w:rPr>
          <w:b/>
          <w:spacing w:val="-15"/>
        </w:rPr>
        <w:t> </w:t>
      </w:r>
      <w:r>
        <w:rPr>
          <w:b/>
        </w:rPr>
        <w:t>C-214-2021</w:t>
      </w:r>
      <w:r>
        <w:rPr/>
        <w:t>.Contradicción</w:t>
      </w:r>
      <w:r>
        <w:rPr>
          <w:spacing w:val="-16"/>
        </w:rPr>
        <w:t> </w:t>
      </w:r>
      <w:r>
        <w:rPr/>
        <w:t>aparente</w:t>
      </w:r>
      <w:r>
        <w:rPr>
          <w:spacing w:val="-15"/>
        </w:rPr>
        <w:t> </w:t>
      </w:r>
      <w:r>
        <w:rPr/>
        <w:t>de</w:t>
      </w:r>
      <w:r>
        <w:rPr>
          <w:spacing w:val="-15"/>
        </w:rPr>
        <w:t> </w:t>
      </w:r>
      <w:r>
        <w:rPr/>
        <w:t>dictámenes</w:t>
      </w:r>
      <w:r>
        <w:rPr>
          <w:spacing w:val="-15"/>
        </w:rPr>
        <w:t> </w:t>
      </w:r>
      <w:r>
        <w:rPr/>
        <w:t>C-090-2021</w:t>
      </w:r>
      <w:r>
        <w:rPr>
          <w:spacing w:val="-16"/>
        </w:rPr>
        <w:t> </w:t>
      </w:r>
      <w:r>
        <w:rPr/>
        <w:t>y</w:t>
      </w:r>
      <w:r>
        <w:rPr>
          <w:spacing w:val="-15"/>
        </w:rPr>
        <w:t> </w:t>
      </w:r>
      <w:r>
        <w:rPr/>
        <w:t>C-062-2020</w:t>
      </w:r>
      <w:r>
        <w:rPr>
          <w:spacing w:val="-4"/>
        </w:rPr>
        <w:t> </w:t>
      </w:r>
      <w:r>
        <w:rPr/>
        <w:t>por</w:t>
      </w:r>
      <w:r>
        <w:rPr>
          <w:spacing w:val="-3"/>
        </w:rPr>
        <w:t> </w:t>
      </w:r>
      <w:r>
        <w:rPr/>
        <w:t>interpretación aislada</w:t>
      </w:r>
      <w:r>
        <w:rPr>
          <w:spacing w:val="-4"/>
        </w:rPr>
        <w:t> </w:t>
      </w:r>
      <w:r>
        <w:rPr/>
        <w:t>e incompleta;</w:t>
      </w:r>
      <w:r>
        <w:rPr>
          <w:spacing w:val="-5"/>
        </w:rPr>
        <w:t> </w:t>
      </w:r>
      <w:r>
        <w:rPr/>
        <w:t>artículo</w:t>
      </w:r>
      <w:r>
        <w:rPr>
          <w:spacing w:val="-4"/>
        </w:rPr>
        <w:t> </w:t>
      </w:r>
      <w:r>
        <w:rPr/>
        <w:t>3 de la ley</w:t>
      </w:r>
      <w:r>
        <w:rPr>
          <w:spacing w:val="-1"/>
        </w:rPr>
        <w:t> </w:t>
      </w:r>
      <w:r>
        <w:rPr/>
        <w:t>N°</w:t>
      </w:r>
      <w:r>
        <w:rPr>
          <w:spacing w:val="-3"/>
        </w:rPr>
        <w:t> </w:t>
      </w:r>
      <w:r>
        <w:rPr/>
        <w:t>9220, reformado</w:t>
      </w:r>
      <w:r>
        <w:rPr>
          <w:spacing w:val="-4"/>
        </w:rPr>
        <w:t> </w:t>
      </w:r>
      <w:r>
        <w:rPr/>
        <w:t>por</w:t>
      </w:r>
      <w:r>
        <w:rPr>
          <w:spacing w:val="-3"/>
        </w:rPr>
        <w:t> </w:t>
      </w:r>
      <w:r>
        <w:rPr/>
        <w:t>el artículo 1° de la ley para la reactivación y reforzamiento de la red nacional de cuido y desarrollo infantil, ley N° 9941 del 15 de febrero del 2021.</w:t>
      </w:r>
    </w:p>
    <w:p>
      <w:pPr>
        <w:pStyle w:val="BodyText"/>
        <w:spacing w:before="3"/>
      </w:pPr>
    </w:p>
    <w:p>
      <w:pPr>
        <w:pStyle w:val="BodyText"/>
        <w:ind w:left="979" w:right="1335"/>
        <w:jc w:val="both"/>
      </w:pPr>
      <w:r>
        <w:rPr>
          <w:b/>
        </w:rPr>
        <w:t>Dictamen – PGR. C-330-2021</w:t>
      </w:r>
      <w:r>
        <w:rPr/>
        <w:t>. Patronato Nacional de la Infancia. Red Nacional de Cuido y Desarrollo Infantil (REDCUDI). Interés superior de la niñez. Protección de los derechos fundamentales de las personas menores de edad. Aplicación de la regla fiscal. Sostenibilidad</w:t>
      </w:r>
      <w:r>
        <w:rPr>
          <w:spacing w:val="-5"/>
        </w:rPr>
        <w:t> </w:t>
      </w:r>
      <w:r>
        <w:rPr/>
        <w:t>financiera</w:t>
      </w:r>
      <w:r>
        <w:rPr>
          <w:spacing w:val="-10"/>
        </w:rPr>
        <w:t> </w:t>
      </w:r>
      <w:r>
        <w:rPr/>
        <w:t>del</w:t>
      </w:r>
      <w:r>
        <w:rPr>
          <w:spacing w:val="-7"/>
        </w:rPr>
        <w:t> </w:t>
      </w:r>
      <w:r>
        <w:rPr/>
        <w:t>estado</w:t>
      </w:r>
      <w:r>
        <w:rPr>
          <w:spacing w:val="-5"/>
        </w:rPr>
        <w:t> </w:t>
      </w:r>
      <w:r>
        <w:rPr/>
        <w:t>de</w:t>
      </w:r>
      <w:r>
        <w:rPr>
          <w:spacing w:val="-5"/>
        </w:rPr>
        <w:t> </w:t>
      </w:r>
      <w:r>
        <w:rPr/>
        <w:t>bienestar.</w:t>
      </w:r>
      <w:r>
        <w:rPr>
          <w:spacing w:val="-11"/>
        </w:rPr>
        <w:t> </w:t>
      </w:r>
      <w:r>
        <w:rPr/>
        <w:t>Antinomia</w:t>
      </w:r>
      <w:r>
        <w:rPr>
          <w:spacing w:val="-10"/>
        </w:rPr>
        <w:t> </w:t>
      </w:r>
      <w:r>
        <w:rPr/>
        <w:t>normativa.</w:t>
      </w:r>
      <w:r>
        <w:rPr>
          <w:spacing w:val="-11"/>
        </w:rPr>
        <w:t> </w:t>
      </w:r>
      <w:r>
        <w:rPr/>
        <w:t>Ley</w:t>
      </w:r>
      <w:r>
        <w:rPr>
          <w:spacing w:val="-7"/>
        </w:rPr>
        <w:t> </w:t>
      </w:r>
      <w:r>
        <w:rPr/>
        <w:t>de</w:t>
      </w:r>
      <w:r>
        <w:rPr>
          <w:spacing w:val="-5"/>
        </w:rPr>
        <w:t> </w:t>
      </w:r>
      <w:r>
        <w:rPr/>
        <w:t>reactivación y reforzamiento de la Red Nacional de Cuido y Desarrollo Infantil (N°9941). Título IV de la ley de fortalecimiento de las finanzas públicas (N°9635). Fuentes de financiamiento. Superávit libre. Destino específico.</w:t>
      </w:r>
    </w:p>
    <w:p>
      <w:pPr>
        <w:pStyle w:val="BodyText"/>
        <w:spacing w:before="250"/>
        <w:ind w:left="979" w:right="1345"/>
        <w:jc w:val="both"/>
      </w:pPr>
      <w:r>
        <w:rPr>
          <w:b/>
        </w:rPr>
        <w:t>Dictamen – PGR. C-002-2022. </w:t>
      </w:r>
      <w:r>
        <w:rPr/>
        <w:t>Programa de pacientes en fase terminal. Traslado de información a SINIRUBE. Datos sensibles. Autodeterminación informativa. FODESAF Centralización de datos sobre programas sociales.</w:t>
      </w:r>
    </w:p>
    <w:p>
      <w:pPr>
        <w:pStyle w:val="BodyText"/>
        <w:spacing w:before="1"/>
      </w:pPr>
    </w:p>
    <w:p>
      <w:pPr>
        <w:spacing w:before="0"/>
        <w:ind w:left="979" w:right="1344" w:firstLine="0"/>
        <w:jc w:val="both"/>
        <w:rPr>
          <w:sz w:val="22"/>
        </w:rPr>
      </w:pPr>
      <w:r>
        <w:rPr>
          <w:b/>
          <w:sz w:val="22"/>
        </w:rPr>
        <w:t>Dictamen</w:t>
      </w:r>
      <w:r>
        <w:rPr>
          <w:b/>
          <w:spacing w:val="-6"/>
          <w:sz w:val="22"/>
        </w:rPr>
        <w:t> </w:t>
      </w:r>
      <w:r>
        <w:rPr>
          <w:b/>
          <w:sz w:val="22"/>
        </w:rPr>
        <w:t>–</w:t>
      </w:r>
      <w:r>
        <w:rPr>
          <w:b/>
          <w:spacing w:val="-5"/>
          <w:sz w:val="22"/>
        </w:rPr>
        <w:t> </w:t>
      </w:r>
      <w:r>
        <w:rPr>
          <w:b/>
          <w:sz w:val="22"/>
        </w:rPr>
        <w:t>PGR.</w:t>
      </w:r>
      <w:r>
        <w:rPr>
          <w:b/>
          <w:spacing w:val="-1"/>
          <w:sz w:val="22"/>
        </w:rPr>
        <w:t> </w:t>
      </w:r>
      <w:r>
        <w:rPr>
          <w:b/>
          <w:sz w:val="22"/>
        </w:rPr>
        <w:t>C-006-2022</w:t>
      </w:r>
      <w:r>
        <w:rPr>
          <w:sz w:val="22"/>
        </w:rPr>
        <w:t>.</w:t>
      </w:r>
      <w:r>
        <w:rPr>
          <w:spacing w:val="-6"/>
          <w:sz w:val="22"/>
        </w:rPr>
        <w:t> </w:t>
      </w:r>
      <w:r>
        <w:rPr>
          <w:sz w:val="22"/>
        </w:rPr>
        <w:t>Los</w:t>
      </w:r>
      <w:r>
        <w:rPr>
          <w:spacing w:val="-12"/>
          <w:sz w:val="22"/>
        </w:rPr>
        <w:t> </w:t>
      </w:r>
      <w:r>
        <w:rPr>
          <w:sz w:val="22"/>
        </w:rPr>
        <w:t>órganos</w:t>
      </w:r>
      <w:r>
        <w:rPr>
          <w:spacing w:val="-7"/>
          <w:sz w:val="22"/>
        </w:rPr>
        <w:t> </w:t>
      </w:r>
      <w:r>
        <w:rPr>
          <w:sz w:val="22"/>
        </w:rPr>
        <w:t>del</w:t>
      </w:r>
      <w:r>
        <w:rPr>
          <w:spacing w:val="-8"/>
          <w:sz w:val="22"/>
        </w:rPr>
        <w:t> </w:t>
      </w:r>
      <w:r>
        <w:rPr>
          <w:sz w:val="22"/>
        </w:rPr>
        <w:t>estado</w:t>
      </w:r>
      <w:r>
        <w:rPr>
          <w:spacing w:val="-5"/>
          <w:sz w:val="22"/>
        </w:rPr>
        <w:t> </w:t>
      </w:r>
      <w:r>
        <w:rPr>
          <w:sz w:val="22"/>
        </w:rPr>
        <w:t>no</w:t>
      </w:r>
      <w:r>
        <w:rPr>
          <w:spacing w:val="-5"/>
          <w:sz w:val="22"/>
        </w:rPr>
        <w:t> </w:t>
      </w:r>
      <w:r>
        <w:rPr>
          <w:sz w:val="22"/>
        </w:rPr>
        <w:t>están</w:t>
      </w:r>
      <w:r>
        <w:rPr>
          <w:spacing w:val="-5"/>
          <w:sz w:val="22"/>
        </w:rPr>
        <w:t> </w:t>
      </w:r>
      <w:r>
        <w:rPr>
          <w:sz w:val="22"/>
        </w:rPr>
        <w:t>sujetos</w:t>
      </w:r>
      <w:r>
        <w:rPr>
          <w:spacing w:val="-7"/>
          <w:sz w:val="22"/>
        </w:rPr>
        <w:t> </w:t>
      </w:r>
      <w:r>
        <w:rPr>
          <w:sz w:val="22"/>
        </w:rPr>
        <w:t>al</w:t>
      </w:r>
      <w:r>
        <w:rPr>
          <w:spacing w:val="-8"/>
          <w:sz w:val="22"/>
        </w:rPr>
        <w:t> </w:t>
      </w:r>
      <w:r>
        <w:rPr>
          <w:sz w:val="22"/>
        </w:rPr>
        <w:t>impuesto</w:t>
      </w:r>
      <w:r>
        <w:rPr>
          <w:spacing w:val="-1"/>
          <w:sz w:val="22"/>
        </w:rPr>
        <w:t> </w:t>
      </w:r>
      <w:r>
        <w:rPr>
          <w:sz w:val="22"/>
        </w:rPr>
        <w:t>sobre bienes inmuebles.</w:t>
      </w:r>
    </w:p>
    <w:p>
      <w:pPr>
        <w:pStyle w:val="BodyText"/>
      </w:pPr>
    </w:p>
    <w:p>
      <w:pPr>
        <w:spacing w:before="0"/>
        <w:ind w:left="979" w:right="0" w:firstLine="0"/>
        <w:jc w:val="both"/>
        <w:rPr>
          <w:sz w:val="22"/>
        </w:rPr>
      </w:pPr>
      <w:r>
        <w:rPr>
          <w:b/>
          <w:sz w:val="22"/>
        </w:rPr>
        <w:t>Dictamen</w:t>
      </w:r>
      <w:r>
        <w:rPr>
          <w:b/>
          <w:spacing w:val="-9"/>
          <w:sz w:val="22"/>
        </w:rPr>
        <w:t> </w:t>
      </w:r>
      <w:r>
        <w:rPr>
          <w:b/>
          <w:sz w:val="22"/>
        </w:rPr>
        <w:t>–</w:t>
      </w:r>
      <w:r>
        <w:rPr>
          <w:b/>
          <w:spacing w:val="-3"/>
          <w:sz w:val="22"/>
        </w:rPr>
        <w:t> </w:t>
      </w:r>
      <w:r>
        <w:rPr>
          <w:b/>
          <w:sz w:val="22"/>
        </w:rPr>
        <w:t>PGR.</w:t>
      </w:r>
      <w:r>
        <w:rPr>
          <w:b/>
          <w:spacing w:val="-4"/>
          <w:sz w:val="22"/>
        </w:rPr>
        <w:t> </w:t>
      </w:r>
      <w:r>
        <w:rPr>
          <w:b/>
          <w:sz w:val="22"/>
        </w:rPr>
        <w:t>C-028-2022.</w:t>
      </w:r>
      <w:r>
        <w:rPr>
          <w:b/>
          <w:spacing w:val="-8"/>
          <w:sz w:val="22"/>
        </w:rPr>
        <w:t> </w:t>
      </w:r>
      <w:r>
        <w:rPr>
          <w:sz w:val="22"/>
        </w:rPr>
        <w:t>Requisitos</w:t>
      </w:r>
      <w:r>
        <w:rPr>
          <w:spacing w:val="-9"/>
          <w:sz w:val="22"/>
        </w:rPr>
        <w:t> </w:t>
      </w:r>
      <w:r>
        <w:rPr>
          <w:sz w:val="22"/>
        </w:rPr>
        <w:t>de</w:t>
      </w:r>
      <w:r>
        <w:rPr>
          <w:spacing w:val="-8"/>
          <w:sz w:val="22"/>
        </w:rPr>
        <w:t> </w:t>
      </w:r>
      <w:r>
        <w:rPr>
          <w:sz w:val="22"/>
        </w:rPr>
        <w:t>admisibilidad</w:t>
      </w:r>
      <w:r>
        <w:rPr>
          <w:spacing w:val="-7"/>
          <w:sz w:val="22"/>
        </w:rPr>
        <w:t> </w:t>
      </w:r>
      <w:r>
        <w:rPr>
          <w:sz w:val="22"/>
        </w:rPr>
        <w:t>de</w:t>
      </w:r>
      <w:r>
        <w:rPr>
          <w:spacing w:val="-8"/>
          <w:sz w:val="22"/>
        </w:rPr>
        <w:t> </w:t>
      </w:r>
      <w:r>
        <w:rPr>
          <w:sz w:val="22"/>
        </w:rPr>
        <w:t>las</w:t>
      </w:r>
      <w:r>
        <w:rPr>
          <w:spacing w:val="-9"/>
          <w:sz w:val="22"/>
        </w:rPr>
        <w:t> </w:t>
      </w:r>
      <w:r>
        <w:rPr>
          <w:sz w:val="22"/>
        </w:rPr>
        <w:t>consultas.</w:t>
      </w:r>
      <w:r>
        <w:rPr>
          <w:spacing w:val="-4"/>
          <w:sz w:val="22"/>
        </w:rPr>
        <w:t> </w:t>
      </w:r>
      <w:r>
        <w:rPr>
          <w:sz w:val="22"/>
        </w:rPr>
        <w:t>Criterio</w:t>
      </w:r>
      <w:r>
        <w:rPr>
          <w:spacing w:val="-4"/>
          <w:sz w:val="22"/>
        </w:rPr>
        <w:t> </w:t>
      </w:r>
      <w:r>
        <w:rPr>
          <w:spacing w:val="-2"/>
          <w:sz w:val="22"/>
        </w:rPr>
        <w:t>legal.</w:t>
      </w:r>
    </w:p>
    <w:p>
      <w:pPr>
        <w:pStyle w:val="BodyText"/>
        <w:spacing w:before="2"/>
      </w:pPr>
    </w:p>
    <w:p>
      <w:pPr>
        <w:pStyle w:val="BodyText"/>
        <w:spacing w:before="1"/>
        <w:ind w:left="979" w:right="1348"/>
        <w:jc w:val="both"/>
      </w:pPr>
      <w:r>
        <w:rPr>
          <w:b/>
        </w:rPr>
        <w:t>Dictamen –</w:t>
      </w:r>
      <w:r>
        <w:rPr>
          <w:b/>
          <w:spacing w:val="-1"/>
        </w:rPr>
        <w:t> </w:t>
      </w:r>
      <w:r>
        <w:rPr>
          <w:b/>
        </w:rPr>
        <w:t>PGR. C-033-2022</w:t>
      </w:r>
      <w:r>
        <w:rPr/>
        <w:t>. Requisitos</w:t>
      </w:r>
      <w:r>
        <w:rPr>
          <w:spacing w:val="-3"/>
        </w:rPr>
        <w:t> </w:t>
      </w:r>
      <w:r>
        <w:rPr/>
        <w:t>de</w:t>
      </w:r>
      <w:r>
        <w:rPr>
          <w:spacing w:val="-2"/>
        </w:rPr>
        <w:t> </w:t>
      </w:r>
      <w:r>
        <w:rPr/>
        <w:t>admisibilidad</w:t>
      </w:r>
      <w:r>
        <w:rPr>
          <w:spacing w:val="-2"/>
        </w:rPr>
        <w:t> </w:t>
      </w:r>
      <w:r>
        <w:rPr/>
        <w:t>de las consultas. Criterio legal insuficiente.</w:t>
      </w:r>
      <w:r>
        <w:rPr>
          <w:spacing w:val="-7"/>
        </w:rPr>
        <w:t> </w:t>
      </w:r>
      <w:r>
        <w:rPr/>
        <w:t>Criterio</w:t>
      </w:r>
      <w:r>
        <w:rPr>
          <w:spacing w:val="-6"/>
        </w:rPr>
        <w:t> </w:t>
      </w:r>
      <w:r>
        <w:rPr/>
        <w:t>legal</w:t>
      </w:r>
      <w:r>
        <w:rPr>
          <w:spacing w:val="-9"/>
        </w:rPr>
        <w:t> </w:t>
      </w:r>
      <w:r>
        <w:rPr/>
        <w:t>debe</w:t>
      </w:r>
      <w:r>
        <w:rPr>
          <w:spacing w:val="-6"/>
        </w:rPr>
        <w:t> </w:t>
      </w:r>
      <w:r>
        <w:rPr/>
        <w:t>responder</w:t>
      </w:r>
      <w:r>
        <w:rPr>
          <w:spacing w:val="-10"/>
        </w:rPr>
        <w:t> </w:t>
      </w:r>
      <w:r>
        <w:rPr/>
        <w:t>todas</w:t>
      </w:r>
      <w:r>
        <w:rPr>
          <w:spacing w:val="-8"/>
        </w:rPr>
        <w:t> </w:t>
      </w:r>
      <w:r>
        <w:rPr/>
        <w:t>las</w:t>
      </w:r>
      <w:r>
        <w:rPr>
          <w:spacing w:val="-8"/>
        </w:rPr>
        <w:t> </w:t>
      </w:r>
      <w:r>
        <w:rPr/>
        <w:t>preguntas</w:t>
      </w:r>
      <w:r>
        <w:rPr>
          <w:spacing w:val="-8"/>
        </w:rPr>
        <w:t> </w:t>
      </w:r>
      <w:r>
        <w:rPr/>
        <w:t>planteadas.</w:t>
      </w:r>
      <w:r>
        <w:rPr>
          <w:spacing w:val="-7"/>
        </w:rPr>
        <w:t> </w:t>
      </w:r>
      <w:r>
        <w:rPr/>
        <w:t>Criterio</w:t>
      </w:r>
      <w:r>
        <w:rPr>
          <w:spacing w:val="-6"/>
        </w:rPr>
        <w:t> </w:t>
      </w:r>
      <w:r>
        <w:rPr/>
        <w:t>no</w:t>
      </w:r>
      <w:r>
        <w:rPr>
          <w:spacing w:val="-6"/>
        </w:rPr>
        <w:t> </w:t>
      </w:r>
      <w:r>
        <w:rPr/>
        <w:t>debe sugerir caso concreto</w:t>
      </w:r>
    </w:p>
    <w:p>
      <w:pPr>
        <w:pStyle w:val="BodyText"/>
        <w:spacing w:before="249"/>
        <w:ind w:left="979" w:right="1345"/>
        <w:jc w:val="both"/>
      </w:pPr>
      <w:r>
        <w:rPr>
          <w:b/>
        </w:rPr>
        <w:t>Dictamen</w:t>
      </w:r>
      <w:r>
        <w:rPr>
          <w:b/>
          <w:spacing w:val="-1"/>
        </w:rPr>
        <w:t> </w:t>
      </w:r>
      <w:r>
        <w:rPr>
          <w:b/>
        </w:rPr>
        <w:t>– PGR.</w:t>
      </w:r>
      <w:r>
        <w:rPr>
          <w:b/>
          <w:spacing w:val="-1"/>
        </w:rPr>
        <w:t> </w:t>
      </w:r>
      <w:r>
        <w:rPr>
          <w:b/>
        </w:rPr>
        <w:t>C-056-2022 </w:t>
      </w:r>
      <w:r>
        <w:rPr/>
        <w:t>de</w:t>
      </w:r>
      <w:r>
        <w:rPr>
          <w:spacing w:val="-1"/>
        </w:rPr>
        <w:t> </w:t>
      </w:r>
      <w:r>
        <w:rPr/>
        <w:t>fecha</w:t>
      </w:r>
      <w:r>
        <w:rPr>
          <w:spacing w:val="-1"/>
        </w:rPr>
        <w:t> </w:t>
      </w:r>
      <w:r>
        <w:rPr/>
        <w:t>15</w:t>
      </w:r>
      <w:r>
        <w:rPr>
          <w:spacing w:val="-1"/>
        </w:rPr>
        <w:t> </w:t>
      </w:r>
      <w:r>
        <w:rPr/>
        <w:t>de</w:t>
      </w:r>
      <w:r>
        <w:rPr>
          <w:spacing w:val="-1"/>
        </w:rPr>
        <w:t> </w:t>
      </w:r>
      <w:r>
        <w:rPr/>
        <w:t>marzo</w:t>
      </w:r>
      <w:r>
        <w:rPr>
          <w:spacing w:val="-1"/>
        </w:rPr>
        <w:t> </w:t>
      </w:r>
      <w:r>
        <w:rPr/>
        <w:t>de</w:t>
      </w:r>
      <w:r>
        <w:rPr>
          <w:spacing w:val="-1"/>
        </w:rPr>
        <w:t> </w:t>
      </w:r>
      <w:r>
        <w:rPr/>
        <w:t>2022.</w:t>
      </w:r>
      <w:r>
        <w:rPr>
          <w:spacing w:val="-1"/>
        </w:rPr>
        <w:t> </w:t>
      </w:r>
      <w:r>
        <w:rPr/>
        <w:t>Vigencia</w:t>
      </w:r>
      <w:r>
        <w:rPr>
          <w:spacing w:val="-5"/>
        </w:rPr>
        <w:t> </w:t>
      </w:r>
      <w:r>
        <w:rPr/>
        <w:t>de</w:t>
      </w:r>
      <w:r>
        <w:rPr>
          <w:spacing w:val="-1"/>
        </w:rPr>
        <w:t> </w:t>
      </w:r>
      <w:r>
        <w:rPr/>
        <w:t>la</w:t>
      </w:r>
      <w:r>
        <w:rPr>
          <w:spacing w:val="-1"/>
        </w:rPr>
        <w:t> </w:t>
      </w:r>
      <w:r>
        <w:rPr/>
        <w:t>exoneración establecida en el artículo 31 de la Ley N°4760, en relación con el impuesto sobre el valor </w:t>
      </w:r>
      <w:r>
        <w:rPr>
          <w:spacing w:val="-2"/>
        </w:rPr>
        <w:t>agregado.</w:t>
      </w:r>
    </w:p>
    <w:p>
      <w:pPr>
        <w:pStyle w:val="BodyText"/>
        <w:spacing w:before="1"/>
      </w:pPr>
    </w:p>
    <w:p>
      <w:pPr>
        <w:pStyle w:val="BodyText"/>
        <w:ind w:left="979" w:right="1345"/>
        <w:jc w:val="both"/>
      </w:pPr>
      <w:r>
        <w:rPr>
          <w:b/>
        </w:rPr>
        <w:t>Dictamen – PGR. C-068-2022 </w:t>
      </w:r>
      <w:r>
        <w:rPr/>
        <w:t>de fecha de marzo 2022. Instituto Mixto de Ayuda Social. Consulta</w:t>
      </w:r>
      <w:r>
        <w:rPr>
          <w:spacing w:val="-10"/>
        </w:rPr>
        <w:t> </w:t>
      </w:r>
      <w:r>
        <w:rPr/>
        <w:t>inadmisible.</w:t>
      </w:r>
      <w:r>
        <w:rPr>
          <w:spacing w:val="-11"/>
        </w:rPr>
        <w:t> </w:t>
      </w:r>
      <w:r>
        <w:rPr/>
        <w:t>Criterio</w:t>
      </w:r>
      <w:r>
        <w:rPr>
          <w:spacing w:val="-5"/>
        </w:rPr>
        <w:t> </w:t>
      </w:r>
      <w:r>
        <w:rPr/>
        <w:t>legal</w:t>
      </w:r>
      <w:r>
        <w:rPr>
          <w:spacing w:val="-13"/>
        </w:rPr>
        <w:t> </w:t>
      </w:r>
      <w:r>
        <w:rPr/>
        <w:t>no</w:t>
      </w:r>
      <w:r>
        <w:rPr>
          <w:spacing w:val="-10"/>
        </w:rPr>
        <w:t> </w:t>
      </w:r>
      <w:r>
        <w:rPr/>
        <w:t>cumple</w:t>
      </w:r>
      <w:r>
        <w:rPr>
          <w:spacing w:val="-10"/>
        </w:rPr>
        <w:t> </w:t>
      </w:r>
      <w:r>
        <w:rPr/>
        <w:t>con</w:t>
      </w:r>
      <w:r>
        <w:rPr>
          <w:spacing w:val="-14"/>
        </w:rPr>
        <w:t> </w:t>
      </w:r>
      <w:r>
        <w:rPr/>
        <w:t>el</w:t>
      </w:r>
      <w:r>
        <w:rPr>
          <w:spacing w:val="-8"/>
        </w:rPr>
        <w:t> </w:t>
      </w:r>
      <w:r>
        <w:rPr/>
        <w:t>requisito</w:t>
      </w:r>
      <w:r>
        <w:rPr>
          <w:spacing w:val="-10"/>
        </w:rPr>
        <w:t> </w:t>
      </w:r>
      <w:r>
        <w:rPr/>
        <w:t>dispuesto</w:t>
      </w:r>
      <w:r>
        <w:rPr>
          <w:spacing w:val="-10"/>
        </w:rPr>
        <w:t> </w:t>
      </w:r>
      <w:r>
        <w:rPr/>
        <w:t>en</w:t>
      </w:r>
      <w:r>
        <w:rPr>
          <w:spacing w:val="-10"/>
        </w:rPr>
        <w:t> </w:t>
      </w:r>
      <w:r>
        <w:rPr/>
        <w:t>el</w:t>
      </w:r>
      <w:r>
        <w:rPr>
          <w:spacing w:val="-13"/>
        </w:rPr>
        <w:t> </w:t>
      </w:r>
      <w:r>
        <w:rPr/>
        <w:t>art.</w:t>
      </w:r>
      <w:r>
        <w:rPr>
          <w:spacing w:val="-15"/>
        </w:rPr>
        <w:t> </w:t>
      </w:r>
      <w:r>
        <w:rPr/>
        <w:t>4</w:t>
      </w:r>
      <w:r>
        <w:rPr>
          <w:spacing w:val="-5"/>
        </w:rPr>
        <w:t> </w:t>
      </w:r>
      <w:r>
        <w:rPr/>
        <w:t>lo</w:t>
      </w:r>
      <w:r>
        <w:rPr>
          <w:spacing w:val="-10"/>
        </w:rPr>
        <w:t> </w:t>
      </w:r>
      <w:r>
        <w:rPr/>
        <w:t>PGR. Caso concreto resuelto en sede administrativa. Criterios legales emitidos hace 6 y 5 años </w:t>
      </w:r>
      <w:r>
        <w:rPr>
          <w:spacing w:val="-2"/>
        </w:rPr>
        <w:t>respectivamente.</w:t>
      </w:r>
    </w:p>
    <w:p>
      <w:pPr>
        <w:pStyle w:val="BodyText"/>
        <w:spacing w:before="3"/>
      </w:pPr>
    </w:p>
    <w:p>
      <w:pPr>
        <w:pStyle w:val="BodyText"/>
        <w:ind w:left="979" w:right="1344"/>
        <w:jc w:val="both"/>
      </w:pPr>
      <w:r>
        <w:rPr>
          <w:b/>
        </w:rPr>
        <w:t>Dictamen</w:t>
      </w:r>
      <w:r>
        <w:rPr>
          <w:b/>
          <w:spacing w:val="-8"/>
        </w:rPr>
        <w:t> </w:t>
      </w:r>
      <w:r>
        <w:rPr>
          <w:b/>
        </w:rPr>
        <w:t>N°</w:t>
      </w:r>
      <w:r>
        <w:rPr>
          <w:b/>
          <w:spacing w:val="-10"/>
        </w:rPr>
        <w:t> </w:t>
      </w:r>
      <w:r>
        <w:rPr>
          <w:b/>
        </w:rPr>
        <w:t>CAJ-019-2023</w:t>
      </w:r>
      <w:r>
        <w:rPr>
          <w:b/>
          <w:spacing w:val="-5"/>
        </w:rPr>
        <w:t> </w:t>
      </w:r>
      <w:r>
        <w:rPr/>
        <w:t>Regulación</w:t>
      </w:r>
      <w:r>
        <w:rPr>
          <w:spacing w:val="-11"/>
        </w:rPr>
        <w:t> </w:t>
      </w:r>
      <w:r>
        <w:rPr/>
        <w:t>del</w:t>
      </w:r>
      <w:r>
        <w:rPr>
          <w:spacing w:val="-9"/>
        </w:rPr>
        <w:t> </w:t>
      </w:r>
      <w:r>
        <w:rPr/>
        <w:t>proceso</w:t>
      </w:r>
      <w:r>
        <w:rPr>
          <w:spacing w:val="-11"/>
        </w:rPr>
        <w:t> </w:t>
      </w:r>
      <w:r>
        <w:rPr/>
        <w:t>de</w:t>
      </w:r>
      <w:r>
        <w:rPr>
          <w:spacing w:val="-11"/>
        </w:rPr>
        <w:t> </w:t>
      </w:r>
      <w:r>
        <w:rPr/>
        <w:t>demolición</w:t>
      </w:r>
      <w:r>
        <w:rPr>
          <w:spacing w:val="-11"/>
        </w:rPr>
        <w:t> </w:t>
      </w:r>
      <w:r>
        <w:rPr/>
        <w:t>de</w:t>
      </w:r>
      <w:r>
        <w:rPr>
          <w:spacing w:val="-11"/>
        </w:rPr>
        <w:t> </w:t>
      </w:r>
      <w:r>
        <w:rPr/>
        <w:t>obras</w:t>
      </w:r>
      <w:r>
        <w:rPr>
          <w:spacing w:val="-13"/>
        </w:rPr>
        <w:t> </w:t>
      </w:r>
      <w:r>
        <w:rPr/>
        <w:t>irregulares</w:t>
      </w:r>
      <w:r>
        <w:rPr>
          <w:spacing w:val="-13"/>
        </w:rPr>
        <w:t> </w:t>
      </w:r>
      <w:r>
        <w:rPr/>
        <w:t>en el cantón de San Pablo de Heredia, publicado en la Gaceta N°186 del 10 de octubre del 2023. IMAS como actor elemental.</w:t>
      </w:r>
    </w:p>
    <w:p>
      <w:pPr>
        <w:pStyle w:val="BodyText"/>
        <w:spacing w:after="0"/>
        <w:jc w:val="both"/>
        <w:sectPr>
          <w:pgSz w:w="12240" w:h="15840"/>
          <w:pgMar w:header="0" w:footer="1021" w:top="1340" w:bottom="1220" w:left="720" w:right="360"/>
        </w:sectPr>
      </w:pPr>
    </w:p>
    <w:p>
      <w:pPr>
        <w:pStyle w:val="Heading2"/>
        <w:spacing w:before="71"/>
        <w:jc w:val="both"/>
      </w:pPr>
      <w:r>
        <w:rPr/>
        <w:t>PRONUNCIAMIENTOS</w:t>
      </w:r>
      <w:r>
        <w:rPr>
          <w:spacing w:val="-8"/>
        </w:rPr>
        <w:t> </w:t>
      </w:r>
      <w:r>
        <w:rPr/>
        <w:t>Y</w:t>
      </w:r>
      <w:r>
        <w:rPr>
          <w:spacing w:val="-11"/>
        </w:rPr>
        <w:t> </w:t>
      </w:r>
      <w:r>
        <w:rPr>
          <w:spacing w:val="-2"/>
        </w:rPr>
        <w:t>OPINIONES</w:t>
      </w:r>
    </w:p>
    <w:p>
      <w:pPr>
        <w:pStyle w:val="BodyText"/>
        <w:spacing w:before="251"/>
        <w:ind w:left="979" w:right="1342"/>
        <w:jc w:val="both"/>
      </w:pPr>
      <w:r>
        <w:rPr>
          <w:b/>
        </w:rPr>
        <w:t>Pronunciamiento PGR-C-081-2022 </w:t>
      </w:r>
      <w:r>
        <w:rPr/>
        <w:t>de fecha 20 de abril 2022. ¿Respuesta a consulta sobre si tiene o no el IMAS la potestad legal para otorgar el carácter de bienestar social a organizaciones legalmente constituidas mediante figuras jurídicas distintas de las asociaciones (creadas mediante la Ley 218) como por ejemplo fundaciones, siempre y cuando</w:t>
      </w:r>
      <w:r>
        <w:rPr>
          <w:spacing w:val="-5"/>
        </w:rPr>
        <w:t> </w:t>
      </w:r>
      <w:r>
        <w:rPr/>
        <w:t>realicen</w:t>
      </w:r>
      <w:r>
        <w:rPr>
          <w:spacing w:val="-5"/>
        </w:rPr>
        <w:t> </w:t>
      </w:r>
      <w:r>
        <w:rPr/>
        <w:t>labores</w:t>
      </w:r>
      <w:r>
        <w:rPr>
          <w:spacing w:val="-7"/>
        </w:rPr>
        <w:t> </w:t>
      </w:r>
      <w:r>
        <w:rPr/>
        <w:t>de</w:t>
      </w:r>
      <w:r>
        <w:rPr>
          <w:spacing w:val="-5"/>
        </w:rPr>
        <w:t> </w:t>
      </w:r>
      <w:r>
        <w:rPr/>
        <w:t>bienestar</w:t>
      </w:r>
      <w:r>
        <w:rPr>
          <w:spacing w:val="-9"/>
        </w:rPr>
        <w:t> </w:t>
      </w:r>
      <w:r>
        <w:rPr/>
        <w:t>social</w:t>
      </w:r>
      <w:r>
        <w:rPr>
          <w:spacing w:val="-8"/>
        </w:rPr>
        <w:t> </w:t>
      </w:r>
      <w:r>
        <w:rPr/>
        <w:t>y</w:t>
      </w:r>
      <w:r>
        <w:rPr>
          <w:spacing w:val="-7"/>
        </w:rPr>
        <w:t> </w:t>
      </w:r>
      <w:r>
        <w:rPr/>
        <w:t>cumplan</w:t>
      </w:r>
      <w:r>
        <w:rPr>
          <w:spacing w:val="-5"/>
        </w:rPr>
        <w:t> </w:t>
      </w:r>
      <w:r>
        <w:rPr/>
        <w:t>con</w:t>
      </w:r>
      <w:r>
        <w:rPr>
          <w:spacing w:val="-5"/>
        </w:rPr>
        <w:t> </w:t>
      </w:r>
      <w:r>
        <w:rPr/>
        <w:t>los</w:t>
      </w:r>
      <w:r>
        <w:rPr>
          <w:spacing w:val="-7"/>
        </w:rPr>
        <w:t> </w:t>
      </w:r>
      <w:r>
        <w:rPr/>
        <w:t>requisitos</w:t>
      </w:r>
      <w:r>
        <w:rPr>
          <w:spacing w:val="-7"/>
        </w:rPr>
        <w:t> </w:t>
      </w:r>
      <w:r>
        <w:rPr/>
        <w:t>establecidos</w:t>
      </w:r>
      <w:r>
        <w:rPr>
          <w:spacing w:val="-7"/>
        </w:rPr>
        <w:t> </w:t>
      </w:r>
      <w:r>
        <w:rPr/>
        <w:t>en</w:t>
      </w:r>
      <w:r>
        <w:rPr>
          <w:spacing w:val="-5"/>
        </w:rPr>
        <w:t> </w:t>
      </w:r>
      <w:r>
        <w:rPr/>
        <w:t>la normativa dispuesta por la institución</w:t>
      </w:r>
    </w:p>
    <w:p>
      <w:pPr>
        <w:pStyle w:val="BodyText"/>
        <w:spacing w:before="1"/>
      </w:pPr>
    </w:p>
    <w:p>
      <w:pPr>
        <w:spacing w:line="240" w:lineRule="auto" w:before="0"/>
        <w:ind w:left="979" w:right="1339" w:firstLine="0"/>
        <w:jc w:val="both"/>
        <w:rPr>
          <w:sz w:val="22"/>
        </w:rPr>
      </w:pPr>
      <w:r>
        <w:rPr>
          <w:b/>
          <w:sz w:val="22"/>
        </w:rPr>
        <w:t>Opinión Jurídica-PGR. OJ-134-2021 Proyecto de ley</w:t>
      </w:r>
      <w:r>
        <w:rPr>
          <w:sz w:val="22"/>
        </w:rPr>
        <w:t>. FIDEIMAS. Fideicomiso para atención</w:t>
      </w:r>
      <w:r>
        <w:rPr>
          <w:spacing w:val="-16"/>
          <w:sz w:val="22"/>
        </w:rPr>
        <w:t> </w:t>
      </w:r>
      <w:r>
        <w:rPr>
          <w:sz w:val="22"/>
        </w:rPr>
        <w:t>de</w:t>
      </w:r>
      <w:r>
        <w:rPr>
          <w:spacing w:val="-15"/>
          <w:sz w:val="22"/>
        </w:rPr>
        <w:t> </w:t>
      </w:r>
      <w:r>
        <w:rPr>
          <w:sz w:val="22"/>
        </w:rPr>
        <w:t>mujeres</w:t>
      </w:r>
      <w:r>
        <w:rPr>
          <w:spacing w:val="-15"/>
          <w:sz w:val="22"/>
        </w:rPr>
        <w:t> </w:t>
      </w:r>
      <w:r>
        <w:rPr>
          <w:sz w:val="22"/>
        </w:rPr>
        <w:t>en</w:t>
      </w:r>
      <w:r>
        <w:rPr>
          <w:spacing w:val="-14"/>
          <w:sz w:val="22"/>
        </w:rPr>
        <w:t> </w:t>
      </w:r>
      <w:r>
        <w:rPr>
          <w:sz w:val="22"/>
        </w:rPr>
        <w:t>condición</w:t>
      </w:r>
      <w:r>
        <w:rPr>
          <w:spacing w:val="-13"/>
          <w:sz w:val="22"/>
        </w:rPr>
        <w:t> </w:t>
      </w:r>
      <w:r>
        <w:rPr>
          <w:sz w:val="22"/>
        </w:rPr>
        <w:t>de</w:t>
      </w:r>
      <w:r>
        <w:rPr>
          <w:spacing w:val="-13"/>
          <w:sz w:val="22"/>
        </w:rPr>
        <w:t> </w:t>
      </w:r>
      <w:r>
        <w:rPr>
          <w:sz w:val="22"/>
        </w:rPr>
        <w:t>pobreza.</w:t>
      </w:r>
      <w:r>
        <w:rPr>
          <w:spacing w:val="-10"/>
          <w:sz w:val="22"/>
        </w:rPr>
        <w:t> </w:t>
      </w:r>
      <w:r>
        <w:rPr>
          <w:sz w:val="22"/>
        </w:rPr>
        <w:t>Fideicomisos</w:t>
      </w:r>
      <w:r>
        <w:rPr>
          <w:spacing w:val="-15"/>
          <w:sz w:val="22"/>
        </w:rPr>
        <w:t> </w:t>
      </w:r>
      <w:r>
        <w:rPr>
          <w:sz w:val="22"/>
        </w:rPr>
        <w:t>en</w:t>
      </w:r>
      <w:r>
        <w:rPr>
          <w:spacing w:val="-13"/>
          <w:sz w:val="22"/>
        </w:rPr>
        <w:t> </w:t>
      </w:r>
      <w:r>
        <w:rPr>
          <w:sz w:val="22"/>
        </w:rPr>
        <w:t>el</w:t>
      </w:r>
      <w:r>
        <w:rPr>
          <w:spacing w:val="-11"/>
          <w:sz w:val="22"/>
        </w:rPr>
        <w:t> </w:t>
      </w:r>
      <w:r>
        <w:rPr>
          <w:sz w:val="22"/>
        </w:rPr>
        <w:t>sector</w:t>
      </w:r>
      <w:r>
        <w:rPr>
          <w:spacing w:val="-16"/>
          <w:sz w:val="22"/>
        </w:rPr>
        <w:t> </w:t>
      </w:r>
      <w:r>
        <w:rPr>
          <w:sz w:val="22"/>
        </w:rPr>
        <w:t>público.</w:t>
      </w:r>
      <w:r>
        <w:rPr>
          <w:spacing w:val="-14"/>
          <w:sz w:val="22"/>
        </w:rPr>
        <w:t> </w:t>
      </w:r>
      <w:r>
        <w:rPr>
          <w:sz w:val="22"/>
        </w:rPr>
        <w:t>Protección de datos personales Fecha 24/08/2021</w:t>
      </w:r>
    </w:p>
    <w:p>
      <w:pPr>
        <w:pStyle w:val="BodyText"/>
        <w:spacing w:before="1"/>
      </w:pPr>
    </w:p>
    <w:p>
      <w:pPr>
        <w:pStyle w:val="BodyText"/>
        <w:ind w:left="979" w:right="1342"/>
        <w:jc w:val="both"/>
      </w:pPr>
      <w:r>
        <w:rPr>
          <w:b/>
        </w:rPr>
        <w:t>Opinión Jurídica-PGR. OJ-176-2021 </w:t>
      </w:r>
      <w:r>
        <w:rPr/>
        <w:t>Sobre la admisibilidad de las consultas planteadas por las comisiones y demás órganos legislativos. En orden de la asistencia estatal para vivienda.</w:t>
      </w:r>
      <w:r>
        <w:rPr>
          <w:spacing w:val="-11"/>
        </w:rPr>
        <w:t> </w:t>
      </w:r>
      <w:r>
        <w:rPr/>
        <w:t>Aspectos</w:t>
      </w:r>
      <w:r>
        <w:rPr>
          <w:spacing w:val="-12"/>
        </w:rPr>
        <w:t> </w:t>
      </w:r>
      <w:r>
        <w:rPr/>
        <w:t>de</w:t>
      </w:r>
      <w:r>
        <w:rPr>
          <w:spacing w:val="-10"/>
        </w:rPr>
        <w:t> </w:t>
      </w:r>
      <w:r>
        <w:rPr/>
        <w:t>técnica</w:t>
      </w:r>
      <w:r>
        <w:rPr>
          <w:spacing w:val="-10"/>
        </w:rPr>
        <w:t> </w:t>
      </w:r>
      <w:r>
        <w:rPr/>
        <w:t>legislativa</w:t>
      </w:r>
      <w:r>
        <w:rPr>
          <w:spacing w:val="-10"/>
        </w:rPr>
        <w:t> </w:t>
      </w:r>
      <w:r>
        <w:rPr/>
        <w:t>del</w:t>
      </w:r>
      <w:r>
        <w:rPr>
          <w:spacing w:val="-13"/>
        </w:rPr>
        <w:t> </w:t>
      </w:r>
      <w:r>
        <w:rPr/>
        <w:t>proyecto</w:t>
      </w:r>
      <w:r>
        <w:rPr>
          <w:spacing w:val="-10"/>
        </w:rPr>
        <w:t> </w:t>
      </w:r>
      <w:r>
        <w:rPr/>
        <w:t>de</w:t>
      </w:r>
      <w:r>
        <w:rPr>
          <w:spacing w:val="-10"/>
        </w:rPr>
        <w:t> </w:t>
      </w:r>
      <w:r>
        <w:rPr/>
        <w:t>ley</w:t>
      </w:r>
      <w:r>
        <w:rPr>
          <w:spacing w:val="-12"/>
        </w:rPr>
        <w:t> </w:t>
      </w:r>
      <w:r>
        <w:rPr/>
        <w:t>N°</w:t>
      </w:r>
      <w:r>
        <w:rPr>
          <w:spacing w:val="-14"/>
        </w:rPr>
        <w:t> </w:t>
      </w:r>
      <w:r>
        <w:rPr/>
        <w:t>21.</w:t>
      </w:r>
      <w:r>
        <w:rPr>
          <w:spacing w:val="-11"/>
        </w:rPr>
        <w:t> </w:t>
      </w:r>
      <w:r>
        <w:rPr/>
        <w:t>667.</w:t>
      </w:r>
      <w:r>
        <w:rPr>
          <w:spacing w:val="-11"/>
        </w:rPr>
        <w:t> </w:t>
      </w:r>
      <w:r>
        <w:rPr/>
        <w:t>Protección</w:t>
      </w:r>
      <w:r>
        <w:rPr>
          <w:spacing w:val="-10"/>
        </w:rPr>
        <w:t> </w:t>
      </w:r>
      <w:r>
        <w:rPr/>
        <w:t>registral de</w:t>
      </w:r>
      <w:r>
        <w:rPr>
          <w:spacing w:val="-10"/>
        </w:rPr>
        <w:t> </w:t>
      </w:r>
      <w:r>
        <w:rPr/>
        <w:t>10</w:t>
      </w:r>
      <w:r>
        <w:rPr>
          <w:spacing w:val="-9"/>
        </w:rPr>
        <w:t> </w:t>
      </w:r>
      <w:r>
        <w:rPr/>
        <w:t>años</w:t>
      </w:r>
      <w:r>
        <w:rPr>
          <w:spacing w:val="-11"/>
        </w:rPr>
        <w:t> </w:t>
      </w:r>
      <w:r>
        <w:rPr/>
        <w:t>viviendas</w:t>
      </w:r>
      <w:r>
        <w:rPr>
          <w:spacing w:val="-7"/>
        </w:rPr>
        <w:t> </w:t>
      </w:r>
      <w:r>
        <w:rPr/>
        <w:t>IMAS.</w:t>
      </w:r>
      <w:r>
        <w:rPr>
          <w:spacing w:val="-10"/>
        </w:rPr>
        <w:t> </w:t>
      </w:r>
      <w:r>
        <w:rPr/>
        <w:t>Ley</w:t>
      </w:r>
      <w:r>
        <w:rPr>
          <w:spacing w:val="-11"/>
        </w:rPr>
        <w:t> </w:t>
      </w:r>
      <w:r>
        <w:rPr/>
        <w:t>N°</w:t>
      </w:r>
      <w:r>
        <w:rPr>
          <w:spacing w:val="-13"/>
        </w:rPr>
        <w:t> </w:t>
      </w:r>
      <w:r>
        <w:rPr/>
        <w:t>7083</w:t>
      </w:r>
      <w:r>
        <w:rPr>
          <w:spacing w:val="-9"/>
        </w:rPr>
        <w:t> </w:t>
      </w:r>
      <w:r>
        <w:rPr/>
        <w:t>y</w:t>
      </w:r>
      <w:r>
        <w:rPr>
          <w:spacing w:val="-11"/>
        </w:rPr>
        <w:t> </w:t>
      </w:r>
      <w:r>
        <w:rPr/>
        <w:t>ley</w:t>
      </w:r>
      <w:r>
        <w:rPr>
          <w:spacing w:val="-11"/>
        </w:rPr>
        <w:t> </w:t>
      </w:r>
      <w:r>
        <w:rPr/>
        <w:t>N°</w:t>
      </w:r>
      <w:r>
        <w:rPr>
          <w:spacing w:val="-16"/>
        </w:rPr>
        <w:t> </w:t>
      </w:r>
      <w:r>
        <w:rPr/>
        <w:t>7151</w:t>
      </w:r>
      <w:r>
        <w:rPr>
          <w:spacing w:val="-9"/>
        </w:rPr>
        <w:t> </w:t>
      </w:r>
      <w:r>
        <w:rPr/>
        <w:t>adjudicación</w:t>
      </w:r>
      <w:r>
        <w:rPr>
          <w:spacing w:val="-9"/>
        </w:rPr>
        <w:t> </w:t>
      </w:r>
      <w:r>
        <w:rPr/>
        <w:t>de</w:t>
      </w:r>
      <w:r>
        <w:rPr>
          <w:spacing w:val="-9"/>
        </w:rPr>
        <w:t> </w:t>
      </w:r>
      <w:r>
        <w:rPr/>
        <w:t>viviendas</w:t>
      </w:r>
      <w:r>
        <w:rPr>
          <w:spacing w:val="-11"/>
        </w:rPr>
        <w:t> </w:t>
      </w:r>
      <w:r>
        <w:rPr/>
        <w:t>del</w:t>
      </w:r>
      <w:r>
        <w:rPr>
          <w:spacing w:val="-12"/>
        </w:rPr>
        <w:t> </w:t>
      </w:r>
      <w:r>
        <w:rPr/>
        <w:t>IMAS.</w:t>
      </w:r>
    </w:p>
    <w:p>
      <w:pPr>
        <w:pStyle w:val="BodyText"/>
        <w:spacing w:before="251"/>
        <w:ind w:left="979" w:right="1342"/>
        <w:jc w:val="both"/>
      </w:pPr>
      <w:r>
        <w:rPr>
          <w:b/>
        </w:rPr>
        <w:t>Opinión Jurídica-PGR PGR-OJ-090-2022</w:t>
      </w:r>
      <w:r>
        <w:rPr/>
        <w:t>. Donación de bienes de dominio público. Desafectación. Mutación demanial. Fondos públicos.</w:t>
      </w:r>
      <w:r>
        <w:rPr>
          <w:spacing w:val="40"/>
        </w:rPr>
        <w:t> </w:t>
      </w:r>
      <w:r>
        <w:rPr/>
        <w:t>Interés público. Reserva legal. Proyecto</w:t>
      </w:r>
      <w:r>
        <w:rPr>
          <w:spacing w:val="-4"/>
        </w:rPr>
        <w:t> </w:t>
      </w:r>
      <w:r>
        <w:rPr/>
        <w:t>de ley</w:t>
      </w:r>
      <w:r>
        <w:rPr>
          <w:spacing w:val="-6"/>
        </w:rPr>
        <w:t> </w:t>
      </w:r>
      <w:r>
        <w:rPr/>
        <w:t>denominado</w:t>
      </w:r>
      <w:r>
        <w:rPr>
          <w:spacing w:val="-4"/>
        </w:rPr>
        <w:t> </w:t>
      </w:r>
      <w:r>
        <w:rPr/>
        <w:t>“Desafectación</w:t>
      </w:r>
      <w:r>
        <w:rPr>
          <w:spacing w:val="-4"/>
        </w:rPr>
        <w:t> </w:t>
      </w:r>
      <w:r>
        <w:rPr/>
        <w:t>de</w:t>
      </w:r>
      <w:r>
        <w:rPr>
          <w:spacing w:val="-4"/>
        </w:rPr>
        <w:t> </w:t>
      </w:r>
      <w:r>
        <w:rPr/>
        <w:t>terrenos</w:t>
      </w:r>
      <w:r>
        <w:rPr>
          <w:spacing w:val="-6"/>
        </w:rPr>
        <w:t> </w:t>
      </w:r>
      <w:r>
        <w:rPr/>
        <w:t>públicos</w:t>
      </w:r>
      <w:r>
        <w:rPr>
          <w:spacing w:val="-6"/>
        </w:rPr>
        <w:t> </w:t>
      </w:r>
      <w:r>
        <w:rPr/>
        <w:t>y</w:t>
      </w:r>
      <w:r>
        <w:rPr>
          <w:spacing w:val="-6"/>
        </w:rPr>
        <w:t> </w:t>
      </w:r>
      <w:r>
        <w:rPr/>
        <w:t>autorización</w:t>
      </w:r>
      <w:r>
        <w:rPr>
          <w:spacing w:val="-4"/>
        </w:rPr>
        <w:t> </w:t>
      </w:r>
      <w:r>
        <w:rPr/>
        <w:t>al</w:t>
      </w:r>
      <w:r>
        <w:rPr>
          <w:spacing w:val="-2"/>
        </w:rPr>
        <w:t> </w:t>
      </w:r>
      <w:r>
        <w:rPr/>
        <w:t>Instituto Mixto de Ayuda Social para segregar y donar un inmueble de su propiedad a favor de la CCSS, el Ministerio de Seguridad Pública y la Federación de Asociaciones de Desarrollo del Caribe".</w:t>
      </w:r>
    </w:p>
    <w:p>
      <w:pPr>
        <w:pStyle w:val="BodyText"/>
      </w:pPr>
    </w:p>
    <w:p>
      <w:pPr>
        <w:spacing w:line="240" w:lineRule="auto" w:before="1"/>
        <w:ind w:left="979" w:right="1337" w:firstLine="0"/>
        <w:jc w:val="both"/>
        <w:rPr>
          <w:sz w:val="22"/>
        </w:rPr>
      </w:pPr>
      <w:r>
        <w:rPr>
          <w:b/>
          <w:sz w:val="22"/>
        </w:rPr>
        <w:t>Protocolo Prevención y Atención del Acoso Laboral en el IMAS</w:t>
      </w:r>
      <w:r>
        <w:rPr>
          <w:sz w:val="22"/>
        </w:rPr>
        <w:t>. Guiar</w:t>
      </w:r>
      <w:r>
        <w:rPr>
          <w:spacing w:val="-2"/>
          <w:sz w:val="22"/>
        </w:rPr>
        <w:t> </w:t>
      </w:r>
      <w:r>
        <w:rPr>
          <w:sz w:val="22"/>
        </w:rPr>
        <w:t>a las personas funcionarias y trabajadoras del IMAS sobre cómo proceder ante posibles situaciones de acoso laboral ya sea de manera preventiva o en la atención de estas. Fecha de vigencia </w:t>
      </w:r>
      <w:r>
        <w:rPr>
          <w:spacing w:val="-2"/>
          <w:sz w:val="22"/>
        </w:rPr>
        <w:t>26/09/2023.</w:t>
      </w:r>
    </w:p>
    <w:p>
      <w:pPr>
        <w:pStyle w:val="BodyText"/>
        <w:spacing w:before="2"/>
      </w:pPr>
    </w:p>
    <w:p>
      <w:pPr>
        <w:pStyle w:val="BodyText"/>
        <w:ind w:left="979" w:right="1347"/>
        <w:jc w:val="both"/>
      </w:pPr>
      <w:r>
        <w:rPr>
          <w:b/>
        </w:rPr>
        <w:t>Resolución</w:t>
      </w:r>
      <w:r>
        <w:rPr>
          <w:b/>
          <w:spacing w:val="-16"/>
        </w:rPr>
        <w:t> </w:t>
      </w:r>
      <w:r>
        <w:rPr>
          <w:b/>
        </w:rPr>
        <w:t>general</w:t>
      </w:r>
      <w:r>
        <w:rPr>
          <w:b/>
          <w:spacing w:val="-14"/>
        </w:rPr>
        <w:t> </w:t>
      </w:r>
      <w:r>
        <w:rPr/>
        <w:t>sobre</w:t>
      </w:r>
      <w:r>
        <w:rPr>
          <w:spacing w:val="-15"/>
        </w:rPr>
        <w:t> </w:t>
      </w:r>
      <w:r>
        <w:rPr/>
        <w:t>los</w:t>
      </w:r>
      <w:r>
        <w:rPr>
          <w:spacing w:val="-16"/>
        </w:rPr>
        <w:t> </w:t>
      </w:r>
      <w:r>
        <w:rPr/>
        <w:t>elementos,</w:t>
      </w:r>
      <w:r>
        <w:rPr>
          <w:spacing w:val="-15"/>
        </w:rPr>
        <w:t> </w:t>
      </w:r>
      <w:r>
        <w:rPr/>
        <w:t>segregación</w:t>
      </w:r>
      <w:r>
        <w:rPr>
          <w:spacing w:val="-15"/>
        </w:rPr>
        <w:t> </w:t>
      </w:r>
      <w:r>
        <w:rPr/>
        <w:t>y</w:t>
      </w:r>
      <w:r>
        <w:rPr>
          <w:spacing w:val="-16"/>
        </w:rPr>
        <w:t> </w:t>
      </w:r>
      <w:r>
        <w:rPr/>
        <w:t>ponderación</w:t>
      </w:r>
      <w:r>
        <w:rPr>
          <w:spacing w:val="-14"/>
        </w:rPr>
        <w:t> </w:t>
      </w:r>
      <w:r>
        <w:rPr/>
        <w:t>de</w:t>
      </w:r>
      <w:r>
        <w:rPr>
          <w:spacing w:val="-11"/>
        </w:rPr>
        <w:t> </w:t>
      </w:r>
      <w:r>
        <w:rPr/>
        <w:t>variables</w:t>
      </w:r>
      <w:r>
        <w:rPr>
          <w:spacing w:val="-13"/>
        </w:rPr>
        <w:t> </w:t>
      </w:r>
      <w:r>
        <w:rPr/>
        <w:t>a</w:t>
      </w:r>
      <w:r>
        <w:rPr>
          <w:spacing w:val="-15"/>
        </w:rPr>
        <w:t> </w:t>
      </w:r>
      <w:r>
        <w:rPr/>
        <w:t>utilizar para la calificación, y método de calificación de los sujetos pasivos de la Ley Nº 9326. Gaceta Nº 209 del 29/10/2021.</w:t>
      </w:r>
    </w:p>
    <w:p>
      <w:pPr>
        <w:pStyle w:val="BodyText"/>
        <w:spacing w:before="1"/>
      </w:pPr>
    </w:p>
    <w:p>
      <w:pPr>
        <w:pStyle w:val="BodyText"/>
        <w:ind w:left="979" w:right="1343"/>
        <w:jc w:val="both"/>
      </w:pPr>
      <w:r>
        <w:rPr>
          <w:b/>
        </w:rPr>
        <w:t>Resolución R-DC-00020-2022.</w:t>
      </w:r>
      <w:r>
        <w:rPr>
          <w:b/>
          <w:spacing w:val="-1"/>
        </w:rPr>
        <w:t> </w:t>
      </w:r>
      <w:r>
        <w:rPr/>
        <w:t>Contraloría</w:t>
      </w:r>
      <w:r>
        <w:rPr>
          <w:spacing w:val="-2"/>
        </w:rPr>
        <w:t> </w:t>
      </w:r>
      <w:r>
        <w:rPr/>
        <w:t>General de la</w:t>
      </w:r>
      <w:r>
        <w:rPr>
          <w:spacing w:val="-2"/>
        </w:rPr>
        <w:t> </w:t>
      </w:r>
      <w:r>
        <w:rPr/>
        <w:t>República.</w:t>
      </w:r>
      <w:r>
        <w:rPr>
          <w:spacing w:val="-2"/>
        </w:rPr>
        <w:t> </w:t>
      </w:r>
      <w:r>
        <w:rPr/>
        <w:t>Actualizar los</w:t>
      </w:r>
      <w:r>
        <w:rPr>
          <w:spacing w:val="-4"/>
        </w:rPr>
        <w:t> </w:t>
      </w:r>
      <w:r>
        <w:rPr/>
        <w:t>límites económicos que establecen los incisos a) al j) de los artículos 27 y 84 de la Ley de Contratación</w:t>
      </w:r>
      <w:r>
        <w:rPr>
          <w:spacing w:val="-5"/>
        </w:rPr>
        <w:t> </w:t>
      </w:r>
      <w:r>
        <w:rPr/>
        <w:t>Administrativa</w:t>
      </w:r>
      <w:r>
        <w:rPr>
          <w:spacing w:val="-5"/>
        </w:rPr>
        <w:t> </w:t>
      </w:r>
      <w:r>
        <w:rPr/>
        <w:t>y</w:t>
      </w:r>
      <w:r>
        <w:rPr>
          <w:spacing w:val="-7"/>
        </w:rPr>
        <w:t> </w:t>
      </w:r>
      <w:r>
        <w:rPr/>
        <w:t>sus</w:t>
      </w:r>
      <w:r>
        <w:rPr>
          <w:spacing w:val="-7"/>
        </w:rPr>
        <w:t> </w:t>
      </w:r>
      <w:r>
        <w:rPr/>
        <w:t>reformas.</w:t>
      </w:r>
      <w:r>
        <w:rPr>
          <w:spacing w:val="-6"/>
        </w:rPr>
        <w:t> </w:t>
      </w:r>
      <w:r>
        <w:rPr/>
        <w:t>Publicado</w:t>
      </w:r>
      <w:r>
        <w:rPr>
          <w:spacing w:val="-5"/>
        </w:rPr>
        <w:t> </w:t>
      </w:r>
      <w:r>
        <w:rPr/>
        <w:t>Alcance</w:t>
      </w:r>
      <w:r>
        <w:rPr>
          <w:spacing w:val="-5"/>
        </w:rPr>
        <w:t> </w:t>
      </w:r>
      <w:r>
        <w:rPr/>
        <w:t>Nº</w:t>
      </w:r>
      <w:r>
        <w:rPr>
          <w:spacing w:val="-11"/>
        </w:rPr>
        <w:t> </w:t>
      </w:r>
      <w:r>
        <w:rPr/>
        <w:t>39</w:t>
      </w:r>
      <w:r>
        <w:rPr>
          <w:spacing w:val="-10"/>
        </w:rPr>
        <w:t> </w:t>
      </w:r>
      <w:r>
        <w:rPr/>
        <w:t>a</w:t>
      </w:r>
      <w:r>
        <w:rPr>
          <w:spacing w:val="-5"/>
        </w:rPr>
        <w:t> </w:t>
      </w:r>
      <w:r>
        <w:rPr/>
        <w:t>la</w:t>
      </w:r>
      <w:r>
        <w:rPr>
          <w:spacing w:val="-5"/>
        </w:rPr>
        <w:t> </w:t>
      </w:r>
      <w:r>
        <w:rPr/>
        <w:t>Gaceta</w:t>
      </w:r>
      <w:r>
        <w:rPr>
          <w:spacing w:val="-5"/>
        </w:rPr>
        <w:t> </w:t>
      </w:r>
      <w:r>
        <w:rPr/>
        <w:t>Nº</w:t>
      </w:r>
      <w:r>
        <w:rPr>
          <w:spacing w:val="-11"/>
        </w:rPr>
        <w:t> </w:t>
      </w:r>
      <w:r>
        <w:rPr/>
        <w:t>36</w:t>
      </w:r>
      <w:r>
        <w:rPr>
          <w:spacing w:val="-5"/>
        </w:rPr>
        <w:t> </w:t>
      </w:r>
      <w:r>
        <w:rPr/>
        <w:t>del </w:t>
      </w:r>
      <w:r>
        <w:rPr>
          <w:spacing w:val="-2"/>
        </w:rPr>
        <w:t>23/02/2022.</w:t>
      </w:r>
    </w:p>
    <w:p>
      <w:pPr>
        <w:spacing w:line="240" w:lineRule="auto" w:before="251"/>
        <w:ind w:left="979" w:right="1333" w:firstLine="0"/>
        <w:jc w:val="both"/>
        <w:rPr>
          <w:sz w:val="22"/>
        </w:rPr>
      </w:pPr>
      <w:r>
        <w:rPr>
          <w:b/>
          <w:sz w:val="22"/>
        </w:rPr>
        <w:t>Resolución</w:t>
      </w:r>
      <w:r>
        <w:rPr>
          <w:b/>
          <w:spacing w:val="-16"/>
          <w:sz w:val="22"/>
        </w:rPr>
        <w:t> </w:t>
      </w:r>
      <w:r>
        <w:rPr>
          <w:b/>
          <w:sz w:val="22"/>
        </w:rPr>
        <w:t>R-DC-00010-2023.</w:t>
      </w:r>
      <w:r>
        <w:rPr>
          <w:b/>
          <w:spacing w:val="-15"/>
          <w:sz w:val="22"/>
        </w:rPr>
        <w:t> </w:t>
      </w:r>
      <w:r>
        <w:rPr>
          <w:b/>
          <w:sz w:val="22"/>
        </w:rPr>
        <w:t>Contraloría</w:t>
      </w:r>
      <w:r>
        <w:rPr>
          <w:b/>
          <w:spacing w:val="-15"/>
          <w:sz w:val="22"/>
        </w:rPr>
        <w:t> </w:t>
      </w:r>
      <w:r>
        <w:rPr>
          <w:b/>
          <w:sz w:val="22"/>
        </w:rPr>
        <w:t>General</w:t>
      </w:r>
      <w:r>
        <w:rPr>
          <w:b/>
          <w:spacing w:val="-16"/>
          <w:sz w:val="22"/>
        </w:rPr>
        <w:t> </w:t>
      </w:r>
      <w:r>
        <w:rPr>
          <w:b/>
          <w:sz w:val="22"/>
        </w:rPr>
        <w:t>de</w:t>
      </w:r>
      <w:r>
        <w:rPr>
          <w:b/>
          <w:spacing w:val="-15"/>
          <w:sz w:val="22"/>
        </w:rPr>
        <w:t> </w:t>
      </w:r>
      <w:r>
        <w:rPr>
          <w:b/>
          <w:sz w:val="22"/>
        </w:rPr>
        <w:t>la</w:t>
      </w:r>
      <w:r>
        <w:rPr>
          <w:b/>
          <w:spacing w:val="-13"/>
          <w:sz w:val="22"/>
        </w:rPr>
        <w:t> </w:t>
      </w:r>
      <w:r>
        <w:rPr>
          <w:b/>
          <w:sz w:val="22"/>
        </w:rPr>
        <w:t>República.</w:t>
      </w:r>
      <w:r>
        <w:rPr>
          <w:b/>
          <w:spacing w:val="-13"/>
          <w:sz w:val="22"/>
        </w:rPr>
        <w:t> </w:t>
      </w:r>
      <w:r>
        <w:rPr>
          <w:b/>
          <w:sz w:val="22"/>
        </w:rPr>
        <w:t>Normas</w:t>
      </w:r>
      <w:r>
        <w:rPr>
          <w:b/>
          <w:spacing w:val="-12"/>
          <w:sz w:val="22"/>
        </w:rPr>
        <w:t> </w:t>
      </w:r>
      <w:r>
        <w:rPr>
          <w:b/>
          <w:sz w:val="22"/>
        </w:rPr>
        <w:t>de</w:t>
      </w:r>
      <w:r>
        <w:rPr>
          <w:b/>
          <w:spacing w:val="-16"/>
          <w:sz w:val="22"/>
        </w:rPr>
        <w:t> </w:t>
      </w:r>
      <w:r>
        <w:rPr>
          <w:b/>
          <w:sz w:val="22"/>
        </w:rPr>
        <w:t>interés para el control de fondos y actividades públicos que son custodiados o administrados por sujetos privados. </w:t>
      </w:r>
      <w:r>
        <w:rPr>
          <w:sz w:val="22"/>
        </w:rPr>
        <w:t>Establece normas para el control de fondos y actividades públicas que son custodiados o administrados por sujetos privados. Estas normas buscan garantizar la transparencia y eficiencia en el manejo de recursos públicos, incluso cuando están bajo la administración de entidades privadas.</w:t>
      </w:r>
      <w:r>
        <w:rPr>
          <w:spacing w:val="40"/>
          <w:sz w:val="22"/>
        </w:rPr>
        <w:t> </w:t>
      </w:r>
      <w:r>
        <w:rPr>
          <w:sz w:val="22"/>
        </w:rPr>
        <w:t>Fecha de Vigencia </w:t>
      </w:r>
      <w:r>
        <w:rPr>
          <w:spacing w:val="-2"/>
          <w:sz w:val="22"/>
        </w:rPr>
        <w:t>31/01/2023.</w:t>
      </w:r>
    </w:p>
    <w:p>
      <w:pPr>
        <w:pStyle w:val="BodyText"/>
        <w:spacing w:before="2"/>
      </w:pPr>
    </w:p>
    <w:p>
      <w:pPr>
        <w:pStyle w:val="BodyText"/>
        <w:ind w:left="979" w:right="1338"/>
        <w:jc w:val="both"/>
      </w:pPr>
      <w:r>
        <w:rPr>
          <w:b/>
        </w:rPr>
        <w:t>Creación</w:t>
      </w:r>
      <w:r>
        <w:rPr>
          <w:b/>
          <w:spacing w:val="-16"/>
        </w:rPr>
        <w:t> </w:t>
      </w:r>
      <w:r>
        <w:rPr>
          <w:b/>
        </w:rPr>
        <w:t>del</w:t>
      </w:r>
      <w:r>
        <w:rPr>
          <w:b/>
          <w:spacing w:val="-15"/>
        </w:rPr>
        <w:t> </w:t>
      </w:r>
      <w:r>
        <w:rPr>
          <w:b/>
        </w:rPr>
        <w:t>distrito</w:t>
      </w:r>
      <w:r>
        <w:rPr>
          <w:b/>
          <w:spacing w:val="-15"/>
        </w:rPr>
        <w:t> </w:t>
      </w:r>
      <w:r>
        <w:rPr>
          <w:b/>
        </w:rPr>
        <w:t>Reventazón,</w:t>
      </w:r>
      <w:r>
        <w:rPr>
          <w:b/>
          <w:spacing w:val="-10"/>
        </w:rPr>
        <w:t> </w:t>
      </w:r>
      <w:r>
        <w:rPr/>
        <w:t>Decreto</w:t>
      </w:r>
      <w:r>
        <w:rPr>
          <w:spacing w:val="-16"/>
        </w:rPr>
        <w:t> </w:t>
      </w:r>
      <w:r>
        <w:rPr/>
        <w:t>Ejecutivo</w:t>
      </w:r>
      <w:r>
        <w:rPr>
          <w:spacing w:val="-11"/>
        </w:rPr>
        <w:t> </w:t>
      </w:r>
      <w:r>
        <w:rPr/>
        <w:t>N°040-2018-MGP.</w:t>
      </w:r>
      <w:r>
        <w:rPr>
          <w:spacing w:val="-13"/>
        </w:rPr>
        <w:t> </w:t>
      </w:r>
      <w:r>
        <w:rPr/>
        <w:t>sétimo</w:t>
      </w:r>
      <w:r>
        <w:rPr>
          <w:spacing w:val="-16"/>
        </w:rPr>
        <w:t> </w:t>
      </w:r>
      <w:r>
        <w:rPr/>
        <w:t>del</w:t>
      </w:r>
      <w:r>
        <w:rPr>
          <w:spacing w:val="-15"/>
        </w:rPr>
        <w:t> </w:t>
      </w:r>
      <w:r>
        <w:rPr/>
        <w:t>cantón Siquirres Acuerdo N° 040-2018-MGP, Crea el distrito Reventazón, sétimo del cantón Siquirres,</w:t>
      </w:r>
      <w:r>
        <w:rPr>
          <w:spacing w:val="-5"/>
        </w:rPr>
        <w:t> </w:t>
      </w:r>
      <w:r>
        <w:rPr/>
        <w:t>provincia</w:t>
      </w:r>
      <w:r>
        <w:rPr>
          <w:spacing w:val="-4"/>
        </w:rPr>
        <w:t> </w:t>
      </w:r>
      <w:r>
        <w:rPr/>
        <w:t>de</w:t>
      </w:r>
      <w:r>
        <w:rPr>
          <w:spacing w:val="-4"/>
        </w:rPr>
        <w:t> </w:t>
      </w:r>
      <w:r>
        <w:rPr/>
        <w:t>Limón,</w:t>
      </w:r>
      <w:r>
        <w:rPr>
          <w:spacing w:val="-1"/>
        </w:rPr>
        <w:t> </w:t>
      </w:r>
      <w:r>
        <w:rPr/>
        <w:t>se</w:t>
      </w:r>
      <w:r>
        <w:rPr>
          <w:spacing w:val="-1"/>
        </w:rPr>
        <w:t> </w:t>
      </w:r>
      <w:r>
        <w:rPr/>
        <w:t>fundamentó</w:t>
      </w:r>
      <w:r>
        <w:rPr>
          <w:spacing w:val="-1"/>
        </w:rPr>
        <w:t> </w:t>
      </w:r>
      <w:r>
        <w:rPr/>
        <w:t>en</w:t>
      </w:r>
      <w:r>
        <w:rPr>
          <w:spacing w:val="-1"/>
        </w:rPr>
        <w:t> </w:t>
      </w:r>
      <w:r>
        <w:rPr/>
        <w:t>la</w:t>
      </w:r>
      <w:r>
        <w:rPr>
          <w:spacing w:val="-1"/>
        </w:rPr>
        <w:t> </w:t>
      </w:r>
      <w:r>
        <w:rPr/>
        <w:t>necesidad</w:t>
      </w:r>
      <w:r>
        <w:rPr>
          <w:spacing w:val="-1"/>
        </w:rPr>
        <w:t> </w:t>
      </w:r>
      <w:r>
        <w:rPr/>
        <w:t>de</w:t>
      </w:r>
      <w:r>
        <w:rPr>
          <w:spacing w:val="-4"/>
        </w:rPr>
        <w:t> </w:t>
      </w:r>
      <w:r>
        <w:rPr/>
        <w:t>atender</w:t>
      </w:r>
      <w:r>
        <w:rPr>
          <w:spacing w:val="-3"/>
        </w:rPr>
        <w:t> </w:t>
      </w:r>
      <w:r>
        <w:rPr/>
        <w:t>zonas</w:t>
      </w:r>
      <w:r>
        <w:rPr>
          <w:spacing w:val="-6"/>
        </w:rPr>
        <w:t> </w:t>
      </w:r>
      <w:r>
        <w:rPr/>
        <w:t>alejadas</w:t>
      </w:r>
      <w:r>
        <w:rPr>
          <w:spacing w:val="-2"/>
        </w:rPr>
        <w:t> </w:t>
      </w:r>
      <w:r>
        <w:rPr/>
        <w:t>y</w:t>
      </w:r>
    </w:p>
    <w:p>
      <w:pPr>
        <w:pStyle w:val="BodyText"/>
        <w:spacing w:after="0"/>
        <w:jc w:val="both"/>
        <w:sectPr>
          <w:pgSz w:w="12240" w:h="15840"/>
          <w:pgMar w:header="0" w:footer="1021" w:top="1600" w:bottom="1220" w:left="720" w:right="360"/>
        </w:sectPr>
      </w:pPr>
    </w:p>
    <w:p>
      <w:pPr>
        <w:pStyle w:val="BodyText"/>
        <w:spacing w:before="76"/>
        <w:ind w:left="979" w:right="1337"/>
        <w:jc w:val="both"/>
      </w:pPr>
      <w:r>
        <w:rPr/>
        <w:t>potenciar</w:t>
      </w:r>
      <w:r>
        <w:rPr>
          <w:spacing w:val="-8"/>
        </w:rPr>
        <w:t> </w:t>
      </w:r>
      <w:r>
        <w:rPr/>
        <w:t>el</w:t>
      </w:r>
      <w:r>
        <w:rPr>
          <w:spacing w:val="-7"/>
        </w:rPr>
        <w:t> </w:t>
      </w:r>
      <w:r>
        <w:rPr/>
        <w:t>desarrollo</w:t>
      </w:r>
      <w:r>
        <w:rPr>
          <w:spacing w:val="-4"/>
        </w:rPr>
        <w:t> </w:t>
      </w:r>
      <w:r>
        <w:rPr/>
        <w:t>de</w:t>
      </w:r>
      <w:r>
        <w:rPr>
          <w:spacing w:val="-4"/>
        </w:rPr>
        <w:t> </w:t>
      </w:r>
      <w:r>
        <w:rPr/>
        <w:t>comunidades</w:t>
      </w:r>
      <w:r>
        <w:rPr>
          <w:spacing w:val="-6"/>
        </w:rPr>
        <w:t> </w:t>
      </w:r>
      <w:r>
        <w:rPr/>
        <w:t>como las</w:t>
      </w:r>
      <w:r>
        <w:rPr>
          <w:spacing w:val="-6"/>
        </w:rPr>
        <w:t> </w:t>
      </w:r>
      <w:r>
        <w:rPr/>
        <w:t>ubicadas</w:t>
      </w:r>
      <w:r>
        <w:rPr>
          <w:spacing w:val="-6"/>
        </w:rPr>
        <w:t> </w:t>
      </w:r>
      <w:r>
        <w:rPr/>
        <w:t>en</w:t>
      </w:r>
      <w:r>
        <w:rPr>
          <w:spacing w:val="-4"/>
        </w:rPr>
        <w:t> </w:t>
      </w:r>
      <w:r>
        <w:rPr/>
        <w:t>las</w:t>
      </w:r>
      <w:r>
        <w:rPr>
          <w:spacing w:val="-11"/>
        </w:rPr>
        <w:t> </w:t>
      </w:r>
      <w:r>
        <w:rPr/>
        <w:t>Barras,</w:t>
      </w:r>
      <w:r>
        <w:rPr>
          <w:spacing w:val="-5"/>
        </w:rPr>
        <w:t> </w:t>
      </w:r>
      <w:r>
        <w:rPr/>
        <w:t>cerca</w:t>
      </w:r>
      <w:r>
        <w:rPr>
          <w:spacing w:val="-4"/>
        </w:rPr>
        <w:t> </w:t>
      </w:r>
      <w:r>
        <w:rPr/>
        <w:t>del</w:t>
      </w:r>
      <w:r>
        <w:rPr>
          <w:spacing w:val="-2"/>
        </w:rPr>
        <w:t> </w:t>
      </w:r>
      <w:r>
        <w:rPr/>
        <w:t>Caribe, y las que se dedican a la producción de banano y palma africana. Fecha de vigencia </w:t>
      </w:r>
      <w:r>
        <w:rPr>
          <w:spacing w:val="-2"/>
        </w:rPr>
        <w:t>26/10/2018.</w:t>
      </w:r>
    </w:p>
    <w:p>
      <w:pPr>
        <w:pStyle w:val="BodyText"/>
        <w:spacing w:before="4"/>
      </w:pPr>
    </w:p>
    <w:p>
      <w:pPr>
        <w:pStyle w:val="Heading2"/>
        <w:spacing w:line="237" w:lineRule="auto"/>
        <w:ind w:right="1336"/>
        <w:jc w:val="both"/>
        <w:rPr>
          <w:b w:val="0"/>
        </w:rPr>
      </w:pPr>
      <w:r>
        <w:rPr/>
        <w:t>Resolución CNSED-01-2024 DIRECCIÓN GENERAL DEL ARCHIVO NACIONAL COMISION</w:t>
      </w:r>
      <w:r>
        <w:rPr>
          <w:spacing w:val="-14"/>
        </w:rPr>
        <w:t> </w:t>
      </w:r>
      <w:r>
        <w:rPr/>
        <w:t>NACIONAL</w:t>
      </w:r>
      <w:r>
        <w:rPr>
          <w:spacing w:val="-8"/>
        </w:rPr>
        <w:t> </w:t>
      </w:r>
      <w:r>
        <w:rPr/>
        <w:t>DE</w:t>
      </w:r>
      <w:r>
        <w:rPr>
          <w:spacing w:val="-12"/>
        </w:rPr>
        <w:t> </w:t>
      </w:r>
      <w:r>
        <w:rPr/>
        <w:t>SELECCIÓN</w:t>
      </w:r>
      <w:r>
        <w:rPr>
          <w:spacing w:val="-14"/>
        </w:rPr>
        <w:t> </w:t>
      </w:r>
      <w:r>
        <w:rPr/>
        <w:t>Y</w:t>
      </w:r>
      <w:r>
        <w:rPr>
          <w:spacing w:val="-7"/>
        </w:rPr>
        <w:t> </w:t>
      </w:r>
      <w:r>
        <w:rPr/>
        <w:t>ELIMINACIÓN</w:t>
      </w:r>
      <w:r>
        <w:rPr>
          <w:spacing w:val="-9"/>
        </w:rPr>
        <w:t> </w:t>
      </w:r>
      <w:r>
        <w:rPr/>
        <w:t>DE</w:t>
      </w:r>
      <w:r>
        <w:rPr>
          <w:spacing w:val="-7"/>
        </w:rPr>
        <w:t> </w:t>
      </w:r>
      <w:r>
        <w:rPr/>
        <w:t>DOCUMENTOS.</w:t>
      </w:r>
      <w:r>
        <w:rPr>
          <w:spacing w:val="-3"/>
        </w:rPr>
        <w:t> </w:t>
      </w:r>
      <w:r>
        <w:rPr>
          <w:b w:val="0"/>
        </w:rPr>
        <w:t>Establece</w:t>
      </w:r>
    </w:p>
    <w:p>
      <w:pPr>
        <w:pStyle w:val="BodyText"/>
        <w:spacing w:before="1"/>
        <w:ind w:left="979" w:right="1335"/>
        <w:jc w:val="both"/>
      </w:pPr>
      <w:r>
        <w:rPr/>
        <w:t>una declaratoria de valor científico-cultural para series documentales específicas producidas y recibidas por instituciones estatales. Esta resolución aplica a unidades administrativas como órganos colegiados, áreas de planificación, auditorías internas, asesorías legales, recursos humanos, financiero-contables, proveedurías, tecnologías de la información, cooperación internacional y</w:t>
      </w:r>
      <w:r>
        <w:rPr>
          <w:spacing w:val="-2"/>
        </w:rPr>
        <w:t> </w:t>
      </w:r>
      <w:r>
        <w:rPr/>
        <w:t>oficinas de prensa, entre otras.</w:t>
      </w:r>
      <w:r>
        <w:rPr>
          <w:spacing w:val="40"/>
        </w:rPr>
        <w:t> </w:t>
      </w:r>
      <w:r>
        <w:rPr/>
        <w:t>Fecha Vigente 12/09/2024 veinticuatro.</w:t>
      </w:r>
    </w:p>
    <w:p>
      <w:pPr>
        <w:pStyle w:val="BodyText"/>
      </w:pPr>
    </w:p>
    <w:p>
      <w:pPr>
        <w:spacing w:line="240" w:lineRule="auto" w:before="0"/>
        <w:ind w:left="979" w:right="1336" w:firstLine="0"/>
        <w:jc w:val="both"/>
        <w:rPr>
          <w:sz w:val="22"/>
        </w:rPr>
      </w:pPr>
      <w:r>
        <w:rPr>
          <w:b/>
          <w:sz w:val="22"/>
        </w:rPr>
        <w:t>Resolución R-DC-00040-2025 </w:t>
      </w:r>
      <w:r>
        <w:rPr>
          <w:sz w:val="22"/>
        </w:rPr>
        <w:t>Por tanto, RESUELVE: Artículo 1.- Se reforman los siguientes apartados de la resolución R-DC-083-2018, denominada </w:t>
      </w:r>
      <w:r>
        <w:rPr>
          <w:i/>
          <w:sz w:val="22"/>
        </w:rPr>
        <w:t>"Lineamientos sobre</w:t>
      </w:r>
      <w:r>
        <w:rPr>
          <w:i/>
          <w:sz w:val="22"/>
        </w:rPr>
        <w:t> gestiones</w:t>
      </w:r>
      <w:r>
        <w:rPr>
          <w:i/>
          <w:spacing w:val="-2"/>
          <w:sz w:val="22"/>
        </w:rPr>
        <w:t> </w:t>
      </w:r>
      <w:r>
        <w:rPr>
          <w:i/>
          <w:sz w:val="22"/>
        </w:rPr>
        <w:t>que involucran</w:t>
      </w:r>
      <w:r>
        <w:rPr>
          <w:i/>
          <w:spacing w:val="-1"/>
          <w:sz w:val="22"/>
        </w:rPr>
        <w:t> </w:t>
      </w:r>
      <w:r>
        <w:rPr>
          <w:i/>
          <w:sz w:val="22"/>
        </w:rPr>
        <w:t>a</w:t>
      </w:r>
      <w:r>
        <w:rPr>
          <w:i/>
          <w:spacing w:val="-1"/>
          <w:sz w:val="22"/>
        </w:rPr>
        <w:t> </w:t>
      </w:r>
      <w:r>
        <w:rPr>
          <w:i/>
          <w:sz w:val="22"/>
        </w:rPr>
        <w:t>la</w:t>
      </w:r>
      <w:r>
        <w:rPr>
          <w:i/>
          <w:spacing w:val="-1"/>
          <w:sz w:val="22"/>
        </w:rPr>
        <w:t> </w:t>
      </w:r>
      <w:r>
        <w:rPr>
          <w:i/>
          <w:sz w:val="22"/>
        </w:rPr>
        <w:t>auditoría</w:t>
      </w:r>
      <w:r>
        <w:rPr>
          <w:i/>
          <w:spacing w:val="-1"/>
          <w:sz w:val="22"/>
        </w:rPr>
        <w:t> </w:t>
      </w:r>
      <w:r>
        <w:rPr>
          <w:i/>
          <w:sz w:val="22"/>
        </w:rPr>
        <w:t>interna</w:t>
      </w:r>
      <w:r>
        <w:rPr>
          <w:i/>
          <w:spacing w:val="-1"/>
          <w:sz w:val="22"/>
        </w:rPr>
        <w:t> </w:t>
      </w:r>
      <w:r>
        <w:rPr>
          <w:i/>
          <w:sz w:val="22"/>
        </w:rPr>
        <w:t>presentadas</w:t>
      </w:r>
      <w:r>
        <w:rPr>
          <w:i/>
          <w:spacing w:val="-3"/>
          <w:sz w:val="22"/>
        </w:rPr>
        <w:t> </w:t>
      </w:r>
      <w:r>
        <w:rPr>
          <w:i/>
          <w:sz w:val="22"/>
        </w:rPr>
        <w:t>ante</w:t>
      </w:r>
      <w:r>
        <w:rPr>
          <w:i/>
          <w:spacing w:val="-1"/>
          <w:sz w:val="22"/>
        </w:rPr>
        <w:t> </w:t>
      </w:r>
      <w:r>
        <w:rPr>
          <w:i/>
          <w:sz w:val="22"/>
        </w:rPr>
        <w:t>la</w:t>
      </w:r>
      <w:r>
        <w:rPr>
          <w:i/>
          <w:spacing w:val="-1"/>
          <w:sz w:val="22"/>
        </w:rPr>
        <w:t> </w:t>
      </w:r>
      <w:r>
        <w:rPr>
          <w:i/>
          <w:sz w:val="22"/>
        </w:rPr>
        <w:t>Contraloría General de la República"</w:t>
      </w:r>
      <w:r>
        <w:rPr>
          <w:sz w:val="22"/>
        </w:rPr>
        <w:t>, Regulaciones Internas,</w:t>
      </w:r>
      <w:r>
        <w:rPr>
          <w:spacing w:val="-1"/>
          <w:sz w:val="22"/>
        </w:rPr>
        <w:t> </w:t>
      </w:r>
      <w:r>
        <w:rPr>
          <w:sz w:val="22"/>
        </w:rPr>
        <w:t>manuales y perfiles; Asignación de recursos. Fecha 2 /05/2025.</w:t>
      </w:r>
    </w:p>
    <w:p>
      <w:pPr>
        <w:pStyle w:val="BodyText"/>
      </w:pPr>
    </w:p>
    <w:p>
      <w:pPr>
        <w:pStyle w:val="BodyText"/>
        <w:ind w:left="979" w:right="1334"/>
        <w:jc w:val="both"/>
      </w:pPr>
      <w:r>
        <w:rPr>
          <w:b/>
        </w:rPr>
        <w:t>Resolución R-DC-00042-2025 </w:t>
      </w:r>
      <w:r>
        <w:rPr/>
        <w:t>Por lo tanto, RESUELVE: Artículo 1.- Reformar los siguientes numerales de las "Normas Técnicas sobre el presupuesto de los beneficios patrimoniales</w:t>
      </w:r>
      <w:r>
        <w:rPr>
          <w:spacing w:val="-6"/>
        </w:rPr>
        <w:t> </w:t>
      </w:r>
      <w:r>
        <w:rPr/>
        <w:t>otorgados</w:t>
      </w:r>
      <w:r>
        <w:rPr>
          <w:spacing w:val="-1"/>
        </w:rPr>
        <w:t> </w:t>
      </w:r>
      <w:r>
        <w:rPr/>
        <w:t>mediante transferencia del</w:t>
      </w:r>
      <w:r>
        <w:rPr>
          <w:spacing w:val="-2"/>
        </w:rPr>
        <w:t> </w:t>
      </w:r>
      <w:r>
        <w:rPr/>
        <w:t>Sector</w:t>
      </w:r>
      <w:r>
        <w:rPr>
          <w:spacing w:val="-3"/>
        </w:rPr>
        <w:t> </w:t>
      </w:r>
      <w:r>
        <w:rPr/>
        <w:t>Público</w:t>
      </w:r>
      <w:r>
        <w:rPr>
          <w:spacing w:val="-4"/>
        </w:rPr>
        <w:t> </w:t>
      </w:r>
      <w:r>
        <w:rPr/>
        <w:t>a Sujetos</w:t>
      </w:r>
      <w:r>
        <w:rPr>
          <w:spacing w:val="-1"/>
        </w:rPr>
        <w:t> </w:t>
      </w:r>
      <w:r>
        <w:rPr/>
        <w:t>Privados"</w:t>
      </w:r>
      <w:r>
        <w:rPr>
          <w:spacing w:val="-3"/>
        </w:rPr>
        <w:t> </w:t>
      </w:r>
      <w:r>
        <w:rPr/>
        <w:t>(R-DC-00122-2019): a) Se reforma la norma técnica 4.1</w:t>
      </w:r>
      <w:r>
        <w:rPr>
          <w:spacing w:val="-1"/>
        </w:rPr>
        <w:t> </w:t>
      </w:r>
      <w:r>
        <w:rPr/>
        <w:t>denominada “Aprobación interna del documento presupuestario del concedente que incorpora la transferencia del presupuesto del beneficio patrimonial otorgado”, para que se lea de la siguiente manera: Fecha de vigencia 5 /05/2025.</w:t>
      </w:r>
    </w:p>
    <w:p>
      <w:pPr>
        <w:pStyle w:val="BodyText"/>
        <w:spacing w:before="2"/>
      </w:pPr>
    </w:p>
    <w:p>
      <w:pPr>
        <w:pStyle w:val="BodyText"/>
        <w:ind w:left="979" w:right="1344"/>
        <w:jc w:val="both"/>
      </w:pPr>
      <w:r>
        <w:rPr>
          <w:b/>
        </w:rPr>
        <w:t>Resolución</w:t>
      </w:r>
      <w:r>
        <w:rPr>
          <w:b/>
          <w:spacing w:val="-16"/>
        </w:rPr>
        <w:t> </w:t>
      </w:r>
      <w:r>
        <w:rPr>
          <w:b/>
        </w:rPr>
        <w:t>R-DC-00080-2024.</w:t>
      </w:r>
      <w:r>
        <w:rPr>
          <w:b/>
          <w:spacing w:val="-15"/>
        </w:rPr>
        <w:t> </w:t>
      </w:r>
      <w:r>
        <w:rPr/>
        <w:t>Contraloría</w:t>
      </w:r>
      <w:r>
        <w:rPr>
          <w:spacing w:val="-15"/>
        </w:rPr>
        <w:t> </w:t>
      </w:r>
      <w:r>
        <w:rPr/>
        <w:t>General</w:t>
      </w:r>
      <w:r>
        <w:rPr>
          <w:spacing w:val="-16"/>
        </w:rPr>
        <w:t> </w:t>
      </w:r>
      <w:r>
        <w:rPr/>
        <w:t>de</w:t>
      </w:r>
      <w:r>
        <w:rPr>
          <w:spacing w:val="-15"/>
        </w:rPr>
        <w:t> </w:t>
      </w:r>
      <w:r>
        <w:rPr/>
        <w:t>la</w:t>
      </w:r>
      <w:r>
        <w:rPr>
          <w:spacing w:val="-15"/>
        </w:rPr>
        <w:t> </w:t>
      </w:r>
      <w:r>
        <w:rPr/>
        <w:t>República.</w:t>
      </w:r>
      <w:r>
        <w:rPr>
          <w:spacing w:val="-15"/>
        </w:rPr>
        <w:t> </w:t>
      </w:r>
      <w:r>
        <w:rPr/>
        <w:t>Lineamientos</w:t>
      </w:r>
      <w:r>
        <w:rPr>
          <w:spacing w:val="-16"/>
        </w:rPr>
        <w:t> </w:t>
      </w:r>
      <w:r>
        <w:rPr/>
        <w:t>Para</w:t>
      </w:r>
      <w:r>
        <w:rPr>
          <w:spacing w:val="-15"/>
        </w:rPr>
        <w:t> </w:t>
      </w:r>
      <w:r>
        <w:rPr/>
        <w:t>La Declaración Jurada Sobre La Situación Patrimonial De Sujetos Privados Que Administren O Custodien Fondos Y Actividades Públicas. Fecha de vigencia 20/08/2024.</w:t>
      </w:r>
    </w:p>
    <w:p>
      <w:pPr>
        <w:pStyle w:val="BodyText"/>
        <w:spacing w:before="1"/>
      </w:pPr>
    </w:p>
    <w:p>
      <w:pPr>
        <w:pStyle w:val="BodyText"/>
        <w:ind w:left="979" w:right="1338"/>
        <w:jc w:val="both"/>
      </w:pPr>
      <w:r>
        <w:rPr>
          <w:b/>
        </w:rPr>
        <w:t>Resolución Administrativa DDS-RES-0010-2025. </w:t>
      </w:r>
      <w:r>
        <w:rPr/>
        <w:t>Con base en las consideraciones citadas, la Constitución Política, la Convención sobre los Derechos del Niño, la Ley de Creación del Instituto Mixto de Ayuda Social y normas conexas, la Ley General de la A ministración Pública, la</w:t>
      </w:r>
      <w:r>
        <w:rPr>
          <w:spacing w:val="-2"/>
        </w:rPr>
        <w:t> </w:t>
      </w:r>
      <w:r>
        <w:rPr/>
        <w:t>Ley N°</w:t>
      </w:r>
      <w:r>
        <w:rPr>
          <w:spacing w:val="-1"/>
        </w:rPr>
        <w:t> </w:t>
      </w:r>
      <w:r>
        <w:rPr/>
        <w:t>9220 “Crea la Red Nacional</w:t>
      </w:r>
      <w:r>
        <w:rPr>
          <w:spacing w:val="-4"/>
        </w:rPr>
        <w:t> </w:t>
      </w:r>
      <w:r>
        <w:rPr/>
        <w:t>de Cuido y Desarrollo Infantil”, y normas conexas, LA DIRECCIÓN DE DESARROLLO SOCIAL RESUELVE</w:t>
      </w:r>
      <w:r>
        <w:rPr>
          <w:spacing w:val="40"/>
        </w:rPr>
        <w:t> </w:t>
      </w:r>
      <w:r>
        <w:rPr/>
        <w:t>Definir dos montos para la TMC Cuidado y Desarrollo Infantil: ₡140,000 (ciento cuarenta</w:t>
      </w:r>
      <w:r>
        <w:rPr>
          <w:spacing w:val="-1"/>
        </w:rPr>
        <w:t> </w:t>
      </w:r>
      <w:r>
        <w:rPr/>
        <w:t>mil colones) mensuales para cada PME que asiste a las modalidades de Centro Privado, CECUDI municipal o Casas de la Alegría, y ₡109,000 (ciento nueve mil colones) para aquellas</w:t>
      </w:r>
      <w:r>
        <w:rPr>
          <w:spacing w:val="-2"/>
        </w:rPr>
        <w:t> </w:t>
      </w:r>
      <w:r>
        <w:rPr/>
        <w:t>que seleccionan un Hogar Comunitario. Fecha de vigencia 25/02/2025</w:t>
      </w:r>
    </w:p>
    <w:p>
      <w:pPr>
        <w:pStyle w:val="BodyText"/>
        <w:spacing w:before="3"/>
      </w:pPr>
    </w:p>
    <w:p>
      <w:pPr>
        <w:spacing w:line="237" w:lineRule="auto" w:before="0"/>
        <w:ind w:left="979" w:right="1338" w:firstLine="0"/>
        <w:jc w:val="both"/>
        <w:rPr>
          <w:sz w:val="22"/>
        </w:rPr>
      </w:pPr>
      <w:r>
        <w:rPr>
          <w:b/>
          <w:sz w:val="22"/>
        </w:rPr>
        <w:t>Resolución</w:t>
      </w:r>
      <w:r>
        <w:rPr>
          <w:b/>
          <w:spacing w:val="-16"/>
          <w:sz w:val="22"/>
        </w:rPr>
        <w:t> </w:t>
      </w:r>
      <w:r>
        <w:rPr>
          <w:b/>
          <w:sz w:val="22"/>
        </w:rPr>
        <w:t>Administrativa</w:t>
      </w:r>
      <w:r>
        <w:rPr>
          <w:b/>
          <w:spacing w:val="-15"/>
          <w:sz w:val="22"/>
        </w:rPr>
        <w:t> </w:t>
      </w:r>
      <w:r>
        <w:rPr>
          <w:b/>
          <w:sz w:val="22"/>
        </w:rPr>
        <w:t>DDS-RES-0027-2025</w:t>
      </w:r>
      <w:r>
        <w:rPr>
          <w:b/>
          <w:spacing w:val="68"/>
          <w:sz w:val="22"/>
        </w:rPr>
        <w:t> </w:t>
      </w:r>
      <w:r>
        <w:rPr>
          <w:sz w:val="22"/>
        </w:rPr>
        <w:t>31</w:t>
      </w:r>
      <w:r>
        <w:rPr>
          <w:spacing w:val="-16"/>
          <w:sz w:val="22"/>
        </w:rPr>
        <w:t> </w:t>
      </w:r>
      <w:r>
        <w:rPr>
          <w:sz w:val="22"/>
        </w:rPr>
        <w:t>de</w:t>
      </w:r>
      <w:r>
        <w:rPr>
          <w:spacing w:val="-15"/>
          <w:sz w:val="22"/>
        </w:rPr>
        <w:t> </w:t>
      </w:r>
      <w:r>
        <w:rPr>
          <w:sz w:val="22"/>
        </w:rPr>
        <w:t>marzo</w:t>
      </w:r>
      <w:r>
        <w:rPr>
          <w:spacing w:val="-14"/>
          <w:sz w:val="22"/>
        </w:rPr>
        <w:t> </w:t>
      </w:r>
      <w:r>
        <w:rPr>
          <w:sz w:val="22"/>
        </w:rPr>
        <w:t>del</w:t>
      </w:r>
      <w:r>
        <w:rPr>
          <w:spacing w:val="-16"/>
          <w:sz w:val="22"/>
        </w:rPr>
        <w:t> </w:t>
      </w:r>
      <w:r>
        <w:rPr>
          <w:sz w:val="22"/>
        </w:rPr>
        <w:t>2025</w:t>
      </w:r>
      <w:r>
        <w:rPr>
          <w:spacing w:val="-14"/>
          <w:sz w:val="22"/>
        </w:rPr>
        <w:t> </w:t>
      </w:r>
      <w:r>
        <w:rPr>
          <w:sz w:val="22"/>
        </w:rPr>
        <w:t>resuelve</w:t>
      </w:r>
      <w:r>
        <w:rPr>
          <w:spacing w:val="-14"/>
          <w:sz w:val="22"/>
        </w:rPr>
        <w:t> </w:t>
      </w:r>
      <w:r>
        <w:rPr>
          <w:sz w:val="22"/>
        </w:rPr>
        <w:t>derogar la resolución DDS-RES-010-2025</w:t>
      </w:r>
    </w:p>
    <w:p>
      <w:pPr>
        <w:pStyle w:val="BodyText"/>
        <w:spacing w:before="3"/>
      </w:pPr>
    </w:p>
    <w:p>
      <w:pPr>
        <w:spacing w:line="240" w:lineRule="auto" w:before="0"/>
        <w:ind w:left="979" w:right="1338" w:firstLine="0"/>
        <w:jc w:val="both"/>
        <w:rPr>
          <w:sz w:val="22"/>
        </w:rPr>
      </w:pPr>
      <w:r>
        <w:rPr>
          <w:b/>
          <w:sz w:val="22"/>
        </w:rPr>
        <w:t>Plan General de Contabilidad IMAS v.4: </w:t>
      </w:r>
      <w:r>
        <w:rPr>
          <w:sz w:val="22"/>
        </w:rPr>
        <w:t>Se incorporan</w:t>
      </w:r>
      <w:r>
        <w:rPr>
          <w:spacing w:val="-2"/>
          <w:sz w:val="22"/>
        </w:rPr>
        <w:t> </w:t>
      </w:r>
      <w:r>
        <w:rPr>
          <w:sz w:val="22"/>
        </w:rPr>
        <w:t>políticas contables específicas para la consolidación del fideicomiso y el registro de arrendamientos financieros.</w:t>
      </w:r>
      <w:r>
        <w:rPr>
          <w:spacing w:val="40"/>
          <w:sz w:val="22"/>
        </w:rPr>
        <w:t> </w:t>
      </w:r>
      <w:r>
        <w:rPr>
          <w:sz w:val="22"/>
        </w:rPr>
        <w:t>Fecha vigencia 07/05/2025.</w:t>
      </w:r>
    </w:p>
    <w:p>
      <w:pPr>
        <w:pStyle w:val="BodyText"/>
        <w:spacing w:before="1"/>
      </w:pPr>
    </w:p>
    <w:p>
      <w:pPr>
        <w:spacing w:line="240" w:lineRule="auto" w:before="0"/>
        <w:ind w:left="979" w:right="1335" w:firstLine="0"/>
        <w:jc w:val="both"/>
        <w:rPr>
          <w:sz w:val="22"/>
        </w:rPr>
      </w:pPr>
      <w:r>
        <w:rPr>
          <w:b/>
          <w:sz w:val="22"/>
        </w:rPr>
        <w:t>Plan</w:t>
      </w:r>
      <w:r>
        <w:rPr>
          <w:b/>
          <w:spacing w:val="-16"/>
          <w:sz w:val="22"/>
        </w:rPr>
        <w:t> </w:t>
      </w:r>
      <w:r>
        <w:rPr>
          <w:b/>
          <w:sz w:val="22"/>
        </w:rPr>
        <w:t>Estratégico</w:t>
      </w:r>
      <w:r>
        <w:rPr>
          <w:b/>
          <w:spacing w:val="-15"/>
          <w:sz w:val="22"/>
        </w:rPr>
        <w:t> </w:t>
      </w:r>
      <w:r>
        <w:rPr>
          <w:b/>
          <w:sz w:val="22"/>
        </w:rPr>
        <w:t>Institucional</w:t>
      </w:r>
      <w:r>
        <w:rPr>
          <w:b/>
          <w:spacing w:val="-15"/>
          <w:sz w:val="22"/>
        </w:rPr>
        <w:t> </w:t>
      </w:r>
      <w:r>
        <w:rPr>
          <w:b/>
          <w:sz w:val="22"/>
        </w:rPr>
        <w:t>2023-2028</w:t>
      </w:r>
      <w:r>
        <w:rPr>
          <w:b/>
          <w:spacing w:val="-11"/>
          <w:sz w:val="22"/>
        </w:rPr>
        <w:t> </w:t>
      </w:r>
      <w:r>
        <w:rPr>
          <w:b/>
          <w:sz w:val="22"/>
        </w:rPr>
        <w:t>modificación</w:t>
      </w:r>
      <w:r>
        <w:rPr>
          <w:b/>
          <w:spacing w:val="-15"/>
          <w:sz w:val="22"/>
        </w:rPr>
        <w:t> </w:t>
      </w:r>
      <w:r>
        <w:rPr>
          <w:b/>
          <w:sz w:val="22"/>
        </w:rPr>
        <w:t>2:</w:t>
      </w:r>
      <w:r>
        <w:rPr>
          <w:b/>
          <w:spacing w:val="-13"/>
          <w:sz w:val="22"/>
        </w:rPr>
        <w:t> </w:t>
      </w:r>
      <w:r>
        <w:rPr>
          <w:sz w:val="22"/>
        </w:rPr>
        <w:t>Mediante</w:t>
      </w:r>
      <w:r>
        <w:rPr>
          <w:spacing w:val="-15"/>
          <w:sz w:val="22"/>
        </w:rPr>
        <w:t> </w:t>
      </w:r>
      <w:r>
        <w:rPr>
          <w:sz w:val="22"/>
        </w:rPr>
        <w:t>ACD</w:t>
      </w:r>
      <w:r>
        <w:rPr>
          <w:spacing w:val="-13"/>
          <w:sz w:val="22"/>
        </w:rPr>
        <w:t> </w:t>
      </w:r>
      <w:r>
        <w:rPr>
          <w:sz w:val="22"/>
        </w:rPr>
        <w:t>N°104-05-2025 con fecha 26 de mayo del 2025 se aprueba la modificación N°2 al Plan Estratégico Institucional</w:t>
      </w:r>
      <w:r>
        <w:rPr>
          <w:spacing w:val="39"/>
          <w:sz w:val="22"/>
        </w:rPr>
        <w:t> </w:t>
      </w:r>
      <w:r>
        <w:rPr>
          <w:sz w:val="22"/>
        </w:rPr>
        <w:t>2023-2028</w:t>
      </w:r>
      <w:r>
        <w:rPr>
          <w:spacing w:val="40"/>
          <w:sz w:val="22"/>
        </w:rPr>
        <w:t> </w:t>
      </w:r>
      <w:r>
        <w:rPr>
          <w:sz w:val="22"/>
        </w:rPr>
        <w:t>donde</w:t>
      </w:r>
      <w:r>
        <w:rPr>
          <w:spacing w:val="40"/>
          <w:sz w:val="22"/>
        </w:rPr>
        <w:t> </w:t>
      </w:r>
      <w:r>
        <w:rPr>
          <w:sz w:val="22"/>
        </w:rPr>
        <w:t>se</w:t>
      </w:r>
      <w:r>
        <w:rPr>
          <w:spacing w:val="40"/>
          <w:sz w:val="22"/>
        </w:rPr>
        <w:t> </w:t>
      </w:r>
      <w:r>
        <w:rPr>
          <w:sz w:val="22"/>
        </w:rPr>
        <w:t>hacen</w:t>
      </w:r>
      <w:r>
        <w:rPr>
          <w:spacing w:val="40"/>
          <w:sz w:val="22"/>
        </w:rPr>
        <w:t> </w:t>
      </w:r>
      <w:r>
        <w:rPr>
          <w:sz w:val="22"/>
        </w:rPr>
        <w:t>ajustes</w:t>
      </w:r>
      <w:r>
        <w:rPr>
          <w:spacing w:val="36"/>
          <w:sz w:val="22"/>
        </w:rPr>
        <w:t> </w:t>
      </w:r>
      <w:r>
        <w:rPr>
          <w:sz w:val="22"/>
        </w:rPr>
        <w:t>en</w:t>
      </w:r>
      <w:r>
        <w:rPr>
          <w:spacing w:val="40"/>
          <w:sz w:val="22"/>
        </w:rPr>
        <w:t> </w:t>
      </w:r>
      <w:r>
        <w:rPr>
          <w:sz w:val="22"/>
        </w:rPr>
        <w:t>acciones</w:t>
      </w:r>
      <w:r>
        <w:rPr>
          <w:spacing w:val="40"/>
          <w:sz w:val="22"/>
        </w:rPr>
        <w:t> </w:t>
      </w:r>
      <w:r>
        <w:rPr>
          <w:sz w:val="22"/>
        </w:rPr>
        <w:t>estratégicas</w:t>
      </w:r>
      <w:r>
        <w:rPr>
          <w:spacing w:val="40"/>
          <w:sz w:val="22"/>
        </w:rPr>
        <w:t> </w:t>
      </w:r>
      <w:r>
        <w:rPr>
          <w:sz w:val="22"/>
        </w:rPr>
        <w:t>y</w:t>
      </w:r>
      <w:r>
        <w:rPr>
          <w:spacing w:val="40"/>
          <w:sz w:val="22"/>
        </w:rPr>
        <w:t> </w:t>
      </w:r>
      <w:r>
        <w:rPr>
          <w:sz w:val="22"/>
        </w:rPr>
        <w:t>resultados</w:t>
      </w:r>
    </w:p>
    <w:p>
      <w:pPr>
        <w:spacing w:after="0" w:line="240" w:lineRule="auto"/>
        <w:jc w:val="both"/>
        <w:rPr>
          <w:sz w:val="22"/>
        </w:rPr>
        <w:sectPr>
          <w:pgSz w:w="12240" w:h="15840"/>
          <w:pgMar w:header="0" w:footer="1021" w:top="1340" w:bottom="1220" w:left="720" w:right="360"/>
        </w:sectPr>
      </w:pPr>
    </w:p>
    <w:p>
      <w:pPr>
        <w:pStyle w:val="BodyText"/>
        <w:spacing w:before="76"/>
        <w:ind w:left="979" w:right="1350"/>
        <w:jc w:val="both"/>
      </w:pPr>
      <w:r>
        <w:rPr/>
        <w:t>orientados al nuevo Modelo de Intervención 3.0 IMAS IMPULSA. Fecha de vigencia </w:t>
      </w:r>
      <w:r>
        <w:rPr>
          <w:spacing w:val="-2"/>
        </w:rPr>
        <w:t>26/05/2025.</w:t>
      </w:r>
    </w:p>
    <w:p>
      <w:pPr>
        <w:pStyle w:val="BodyText"/>
        <w:spacing w:before="253"/>
        <w:ind w:left="979" w:right="1337"/>
        <w:jc w:val="both"/>
      </w:pPr>
      <w:r>
        <w:rPr>
          <w:b/>
        </w:rPr>
        <w:t>Modelo de</w:t>
      </w:r>
      <w:r>
        <w:rPr>
          <w:b/>
          <w:spacing w:val="-1"/>
        </w:rPr>
        <w:t> </w:t>
      </w:r>
      <w:r>
        <w:rPr>
          <w:b/>
        </w:rPr>
        <w:t>Intervención</w:t>
      </w:r>
      <w:r>
        <w:rPr>
          <w:b/>
          <w:spacing w:val="-3"/>
        </w:rPr>
        <w:t> </w:t>
      </w:r>
      <w:r>
        <w:rPr>
          <w:b/>
        </w:rPr>
        <w:t>3.1 IMAS IMPULSA: </w:t>
      </w:r>
      <w:r>
        <w:rPr/>
        <w:t>Modelo para</w:t>
      </w:r>
      <w:r>
        <w:rPr>
          <w:spacing w:val="-1"/>
        </w:rPr>
        <w:t> </w:t>
      </w:r>
      <w:r>
        <w:rPr/>
        <w:t>integrar esfuerzos</w:t>
      </w:r>
      <w:r>
        <w:rPr>
          <w:spacing w:val="-2"/>
        </w:rPr>
        <w:t> </w:t>
      </w:r>
      <w:r>
        <w:rPr/>
        <w:t>destinados a</w:t>
      </w:r>
      <w:r>
        <w:rPr>
          <w:spacing w:val="-5"/>
        </w:rPr>
        <w:t> </w:t>
      </w:r>
      <w:r>
        <w:rPr/>
        <w:t>propiciar</w:t>
      </w:r>
      <w:r>
        <w:rPr>
          <w:spacing w:val="-4"/>
        </w:rPr>
        <w:t> </w:t>
      </w:r>
      <w:r>
        <w:rPr/>
        <w:t>escenarios</w:t>
      </w:r>
      <w:r>
        <w:rPr>
          <w:spacing w:val="-7"/>
        </w:rPr>
        <w:t> </w:t>
      </w:r>
      <w:r>
        <w:rPr/>
        <w:t>de</w:t>
      </w:r>
      <w:r>
        <w:rPr>
          <w:spacing w:val="-5"/>
        </w:rPr>
        <w:t> </w:t>
      </w:r>
      <w:r>
        <w:rPr/>
        <w:t>movilidad</w:t>
      </w:r>
      <w:r>
        <w:rPr>
          <w:spacing w:val="-5"/>
        </w:rPr>
        <w:t> </w:t>
      </w:r>
      <w:r>
        <w:rPr/>
        <w:t>social,</w:t>
      </w:r>
      <w:r>
        <w:rPr>
          <w:spacing w:val="-6"/>
        </w:rPr>
        <w:t> </w:t>
      </w:r>
      <w:r>
        <w:rPr/>
        <w:t>mediante</w:t>
      </w:r>
      <w:r>
        <w:rPr>
          <w:spacing w:val="-5"/>
        </w:rPr>
        <w:t> </w:t>
      </w:r>
      <w:r>
        <w:rPr/>
        <w:t>procesos</w:t>
      </w:r>
      <w:r>
        <w:rPr>
          <w:spacing w:val="-7"/>
        </w:rPr>
        <w:t> </w:t>
      </w:r>
      <w:r>
        <w:rPr/>
        <w:t>de</w:t>
      </w:r>
      <w:r>
        <w:rPr>
          <w:spacing w:val="-5"/>
        </w:rPr>
        <w:t> </w:t>
      </w:r>
      <w:r>
        <w:rPr/>
        <w:t>Intervención</w:t>
      </w:r>
      <w:r>
        <w:rPr>
          <w:spacing w:val="-5"/>
        </w:rPr>
        <w:t> </w:t>
      </w:r>
      <w:r>
        <w:rPr/>
        <w:t>que</w:t>
      </w:r>
      <w:r>
        <w:rPr>
          <w:spacing w:val="-5"/>
        </w:rPr>
        <w:t> </w:t>
      </w:r>
      <w:r>
        <w:rPr/>
        <w:t>faciliten </w:t>
      </w:r>
      <w:r>
        <w:rPr>
          <w:spacing w:val="-2"/>
        </w:rPr>
        <w:t>oportunidades educativas,</w:t>
      </w:r>
      <w:r>
        <w:rPr>
          <w:spacing w:val="-6"/>
        </w:rPr>
        <w:t> </w:t>
      </w:r>
      <w:r>
        <w:rPr>
          <w:spacing w:val="-2"/>
        </w:rPr>
        <w:t>formativas,</w:t>
      </w:r>
      <w:r>
        <w:rPr>
          <w:spacing w:val="-6"/>
        </w:rPr>
        <w:t> </w:t>
      </w:r>
      <w:r>
        <w:rPr>
          <w:spacing w:val="-2"/>
        </w:rPr>
        <w:t>de capacitación y</w:t>
      </w:r>
      <w:r>
        <w:rPr>
          <w:spacing w:val="-9"/>
        </w:rPr>
        <w:t> </w:t>
      </w:r>
      <w:r>
        <w:rPr>
          <w:spacing w:val="-2"/>
        </w:rPr>
        <w:t>de vinculación con la</w:t>
      </w:r>
      <w:r>
        <w:rPr>
          <w:spacing w:val="-6"/>
        </w:rPr>
        <w:t> </w:t>
      </w:r>
      <w:r>
        <w:rPr>
          <w:spacing w:val="-2"/>
        </w:rPr>
        <w:t>empleabilidad </w:t>
      </w:r>
      <w:r>
        <w:rPr/>
        <w:t>y</w:t>
      </w:r>
      <w:r>
        <w:rPr>
          <w:spacing w:val="-6"/>
        </w:rPr>
        <w:t> </w:t>
      </w:r>
      <w:r>
        <w:rPr/>
        <w:t>el</w:t>
      </w:r>
      <w:r>
        <w:rPr>
          <w:spacing w:val="-11"/>
        </w:rPr>
        <w:t> </w:t>
      </w:r>
      <w:r>
        <w:rPr/>
        <w:t>emprendimiento,</w:t>
      </w:r>
      <w:r>
        <w:rPr>
          <w:spacing w:val="-9"/>
        </w:rPr>
        <w:t> </w:t>
      </w:r>
      <w:r>
        <w:rPr/>
        <w:t>con</w:t>
      </w:r>
      <w:r>
        <w:rPr>
          <w:spacing w:val="-8"/>
        </w:rPr>
        <w:t> </w:t>
      </w:r>
      <w:r>
        <w:rPr/>
        <w:t>el</w:t>
      </w:r>
      <w:r>
        <w:rPr>
          <w:spacing w:val="-11"/>
        </w:rPr>
        <w:t> </w:t>
      </w:r>
      <w:r>
        <w:rPr/>
        <w:t>fin</w:t>
      </w:r>
      <w:r>
        <w:rPr>
          <w:spacing w:val="-8"/>
        </w:rPr>
        <w:t> </w:t>
      </w:r>
      <w:r>
        <w:rPr/>
        <w:t>de</w:t>
      </w:r>
      <w:r>
        <w:rPr>
          <w:spacing w:val="-8"/>
        </w:rPr>
        <w:t> </w:t>
      </w:r>
      <w:r>
        <w:rPr/>
        <w:t>atender</w:t>
      </w:r>
      <w:r>
        <w:rPr>
          <w:spacing w:val="-11"/>
        </w:rPr>
        <w:t> </w:t>
      </w:r>
      <w:r>
        <w:rPr/>
        <w:t>a</w:t>
      </w:r>
      <w:r>
        <w:rPr>
          <w:spacing w:val="-8"/>
        </w:rPr>
        <w:t> </w:t>
      </w:r>
      <w:r>
        <w:rPr/>
        <w:t>la</w:t>
      </w:r>
      <w:r>
        <w:rPr>
          <w:spacing w:val="-8"/>
        </w:rPr>
        <w:t> </w:t>
      </w:r>
      <w:r>
        <w:rPr/>
        <w:t>población</w:t>
      </w:r>
      <w:r>
        <w:rPr>
          <w:spacing w:val="-8"/>
        </w:rPr>
        <w:t> </w:t>
      </w:r>
      <w:r>
        <w:rPr/>
        <w:t>en</w:t>
      </w:r>
      <w:r>
        <w:rPr>
          <w:spacing w:val="-8"/>
        </w:rPr>
        <w:t> </w:t>
      </w:r>
      <w:r>
        <w:rPr/>
        <w:t>situación</w:t>
      </w:r>
      <w:r>
        <w:rPr>
          <w:spacing w:val="-8"/>
        </w:rPr>
        <w:t> </w:t>
      </w:r>
      <w:r>
        <w:rPr/>
        <w:t>de</w:t>
      </w:r>
      <w:r>
        <w:rPr>
          <w:spacing w:val="-8"/>
        </w:rPr>
        <w:t> </w:t>
      </w:r>
      <w:r>
        <w:rPr/>
        <w:t>pobreza</w:t>
      </w:r>
      <w:r>
        <w:rPr>
          <w:spacing w:val="-8"/>
        </w:rPr>
        <w:t> </w:t>
      </w:r>
      <w:r>
        <w:rPr/>
        <w:t>y</w:t>
      </w:r>
      <w:r>
        <w:rPr>
          <w:spacing w:val="-10"/>
        </w:rPr>
        <w:t> </w:t>
      </w:r>
      <w:r>
        <w:rPr/>
        <w:t>pobreza extrema. Aprobado mediante Acuerdo de Consejo Directivo N° 108-05-2025. Fecha de vigencia 29 /05/2025.</w:t>
      </w:r>
    </w:p>
    <w:p>
      <w:pPr>
        <w:pStyle w:val="BodyText"/>
        <w:spacing w:before="1"/>
      </w:pPr>
    </w:p>
    <w:p>
      <w:pPr>
        <w:pStyle w:val="BodyText"/>
        <w:ind w:left="979" w:right="1336"/>
        <w:jc w:val="both"/>
      </w:pPr>
      <w:r>
        <w:rPr>
          <w:b/>
        </w:rPr>
        <w:t>Circular</w:t>
      </w:r>
      <w:r>
        <w:rPr>
          <w:b/>
          <w:spacing w:val="-13"/>
        </w:rPr>
        <w:t> </w:t>
      </w:r>
      <w:r>
        <w:rPr>
          <w:b/>
        </w:rPr>
        <w:t>IMAS-GG-CIRC-0002-2025.</w:t>
      </w:r>
      <w:r>
        <w:rPr>
          <w:b/>
          <w:spacing w:val="-7"/>
        </w:rPr>
        <w:t> </w:t>
      </w:r>
      <w:r>
        <w:rPr/>
        <w:t>Describe</w:t>
      </w:r>
      <w:r>
        <w:rPr>
          <w:spacing w:val="-7"/>
        </w:rPr>
        <w:t> </w:t>
      </w:r>
      <w:r>
        <w:rPr/>
        <w:t>las</w:t>
      </w:r>
      <w:r>
        <w:rPr>
          <w:spacing w:val="-14"/>
        </w:rPr>
        <w:t> </w:t>
      </w:r>
      <w:r>
        <w:rPr/>
        <w:t>condiciones</w:t>
      </w:r>
      <w:r>
        <w:rPr>
          <w:spacing w:val="-14"/>
        </w:rPr>
        <w:t> </w:t>
      </w:r>
      <w:r>
        <w:rPr/>
        <w:t>mínimas</w:t>
      </w:r>
      <w:r>
        <w:rPr>
          <w:spacing w:val="-14"/>
        </w:rPr>
        <w:t> </w:t>
      </w:r>
      <w:r>
        <w:rPr/>
        <w:t>y</w:t>
      </w:r>
      <w:r>
        <w:rPr>
          <w:spacing w:val="-9"/>
        </w:rPr>
        <w:t> </w:t>
      </w:r>
      <w:r>
        <w:rPr/>
        <w:t>la</w:t>
      </w:r>
      <w:r>
        <w:rPr>
          <w:spacing w:val="-12"/>
        </w:rPr>
        <w:t> </w:t>
      </w:r>
      <w:r>
        <w:rPr/>
        <w:t>obligatoriedad de cumplimiento para aplicar a la modalidad de teletrabajo en el IMAS por parte de las personas funcionarias. Fecha de Vigencia 23/01/2025.</w:t>
      </w:r>
    </w:p>
    <w:p>
      <w:pPr>
        <w:pStyle w:val="BodyText"/>
        <w:spacing w:before="1"/>
      </w:pPr>
    </w:p>
    <w:p>
      <w:pPr>
        <w:pStyle w:val="BodyText"/>
        <w:ind w:left="979" w:right="1345"/>
        <w:jc w:val="both"/>
      </w:pPr>
      <w:r>
        <w:rPr>
          <w:b/>
        </w:rPr>
        <w:t>Circular IMAS-GG-0003-2025. </w:t>
      </w:r>
      <w:r>
        <w:rPr/>
        <w:t>Ordenar a todas las dependencias institucionales que, en aquellos casos en los que las personas funcionarias se encuentren disfrutando de una licencia con o sin goce de salario, estén en la condición de incapacitados</w:t>
      </w:r>
      <w:r>
        <w:rPr>
          <w:spacing w:val="-2"/>
        </w:rPr>
        <w:t> </w:t>
      </w:r>
      <w:r>
        <w:rPr/>
        <w:t>para el</w:t>
      </w:r>
      <w:r>
        <w:rPr>
          <w:spacing w:val="-2"/>
        </w:rPr>
        <w:t> </w:t>
      </w:r>
      <w:r>
        <w:rPr/>
        <w:t>trabajo o de</w:t>
      </w:r>
      <w:r>
        <w:rPr>
          <w:spacing w:val="-3"/>
        </w:rPr>
        <w:t> </w:t>
      </w:r>
      <w:r>
        <w:rPr/>
        <w:t>vacaciones,</w:t>
      </w:r>
      <w:r>
        <w:rPr>
          <w:spacing w:val="-9"/>
        </w:rPr>
        <w:t> </w:t>
      </w:r>
      <w:r>
        <w:rPr/>
        <w:t>por</w:t>
      </w:r>
      <w:r>
        <w:rPr>
          <w:spacing w:val="-11"/>
        </w:rPr>
        <w:t> </w:t>
      </w:r>
      <w:r>
        <w:rPr/>
        <w:t>un</w:t>
      </w:r>
      <w:r>
        <w:rPr>
          <w:spacing w:val="-4"/>
        </w:rPr>
        <w:t> </w:t>
      </w:r>
      <w:r>
        <w:rPr/>
        <w:t>período</w:t>
      </w:r>
      <w:r>
        <w:rPr>
          <w:spacing w:val="-8"/>
        </w:rPr>
        <w:t> </w:t>
      </w:r>
      <w:r>
        <w:rPr/>
        <w:t>mayor</w:t>
      </w:r>
      <w:r>
        <w:rPr>
          <w:spacing w:val="-11"/>
        </w:rPr>
        <w:t> </w:t>
      </w:r>
      <w:r>
        <w:rPr/>
        <w:t>a</w:t>
      </w:r>
      <w:r>
        <w:rPr>
          <w:spacing w:val="-3"/>
        </w:rPr>
        <w:t> </w:t>
      </w:r>
      <w:r>
        <w:rPr/>
        <w:t>los</w:t>
      </w:r>
      <w:r>
        <w:rPr>
          <w:spacing w:val="-10"/>
        </w:rPr>
        <w:t> </w:t>
      </w:r>
      <w:r>
        <w:rPr/>
        <w:t>diez</w:t>
      </w:r>
      <w:r>
        <w:rPr>
          <w:spacing w:val="-10"/>
        </w:rPr>
        <w:t> </w:t>
      </w:r>
      <w:r>
        <w:rPr/>
        <w:t>días</w:t>
      </w:r>
      <w:r>
        <w:rPr>
          <w:spacing w:val="-5"/>
        </w:rPr>
        <w:t> </w:t>
      </w:r>
      <w:r>
        <w:rPr/>
        <w:t>hábiles,</w:t>
      </w:r>
      <w:r>
        <w:rPr>
          <w:spacing w:val="-9"/>
        </w:rPr>
        <w:t> </w:t>
      </w:r>
      <w:r>
        <w:rPr/>
        <w:t>deberán</w:t>
      </w:r>
      <w:r>
        <w:rPr>
          <w:spacing w:val="-8"/>
        </w:rPr>
        <w:t> </w:t>
      </w:r>
      <w:r>
        <w:rPr/>
        <w:t>poner</w:t>
      </w:r>
      <w:r>
        <w:rPr>
          <w:spacing w:val="-7"/>
        </w:rPr>
        <w:t> </w:t>
      </w:r>
      <w:r>
        <w:rPr/>
        <w:t>en</w:t>
      </w:r>
      <w:r>
        <w:rPr>
          <w:spacing w:val="-3"/>
        </w:rPr>
        <w:t> </w:t>
      </w:r>
      <w:r>
        <w:rPr/>
        <w:t>custodia</w:t>
      </w:r>
      <w:r>
        <w:rPr>
          <w:spacing w:val="-8"/>
        </w:rPr>
        <w:t> </w:t>
      </w:r>
      <w:r>
        <w:rPr/>
        <w:t>de su jefatura inmediata aquellos activos que tengan asignados. Fecha de Vigencia </w:t>
      </w:r>
      <w:r>
        <w:rPr>
          <w:spacing w:val="-2"/>
        </w:rPr>
        <w:t>06/01/2024.</w:t>
      </w:r>
    </w:p>
    <w:p>
      <w:pPr>
        <w:pStyle w:val="BodyText"/>
        <w:spacing w:before="1"/>
      </w:pPr>
    </w:p>
    <w:p>
      <w:pPr>
        <w:spacing w:line="240" w:lineRule="auto" w:before="0"/>
        <w:ind w:left="979" w:right="1334" w:firstLine="0"/>
        <w:jc w:val="both"/>
        <w:rPr>
          <w:sz w:val="22"/>
        </w:rPr>
      </w:pPr>
      <w:r>
        <w:rPr>
          <w:b/>
          <w:sz w:val="22"/>
        </w:rPr>
        <w:t>Circular IMAS-GG-1620-2024: Mejoras en procesos de pago masivo: </w:t>
      </w:r>
      <w:r>
        <w:rPr>
          <w:sz w:val="22"/>
        </w:rPr>
        <w:t>se comunica el </w:t>
      </w:r>
      <w:r>
        <w:rPr>
          <w:b/>
          <w:sz w:val="22"/>
        </w:rPr>
        <w:t>bloqueo</w:t>
      </w:r>
      <w:r>
        <w:rPr>
          <w:b/>
          <w:spacing w:val="-16"/>
          <w:sz w:val="22"/>
        </w:rPr>
        <w:t> </w:t>
      </w:r>
      <w:r>
        <w:rPr>
          <w:b/>
          <w:sz w:val="22"/>
        </w:rPr>
        <w:t>del</w:t>
      </w:r>
      <w:r>
        <w:rPr>
          <w:b/>
          <w:spacing w:val="-15"/>
          <w:sz w:val="22"/>
        </w:rPr>
        <w:t> </w:t>
      </w:r>
      <w:r>
        <w:rPr>
          <w:b/>
          <w:sz w:val="22"/>
        </w:rPr>
        <w:t>cambio</w:t>
      </w:r>
      <w:r>
        <w:rPr>
          <w:b/>
          <w:spacing w:val="-15"/>
          <w:sz w:val="22"/>
        </w:rPr>
        <w:t> </w:t>
      </w:r>
      <w:r>
        <w:rPr>
          <w:b/>
          <w:sz w:val="22"/>
        </w:rPr>
        <w:t>de</w:t>
      </w:r>
      <w:r>
        <w:rPr>
          <w:b/>
          <w:spacing w:val="-16"/>
          <w:sz w:val="22"/>
        </w:rPr>
        <w:t> </w:t>
      </w:r>
      <w:r>
        <w:rPr>
          <w:b/>
          <w:sz w:val="22"/>
        </w:rPr>
        <w:t>estado</w:t>
      </w:r>
      <w:r>
        <w:rPr>
          <w:b/>
          <w:spacing w:val="-15"/>
          <w:sz w:val="22"/>
        </w:rPr>
        <w:t> </w:t>
      </w:r>
      <w:r>
        <w:rPr>
          <w:b/>
          <w:sz w:val="22"/>
        </w:rPr>
        <w:t>de</w:t>
      </w:r>
      <w:r>
        <w:rPr>
          <w:b/>
          <w:spacing w:val="-15"/>
          <w:sz w:val="22"/>
        </w:rPr>
        <w:t> </w:t>
      </w:r>
      <w:r>
        <w:rPr>
          <w:b/>
          <w:sz w:val="22"/>
        </w:rPr>
        <w:t>resolución</w:t>
      </w:r>
      <w:r>
        <w:rPr>
          <w:b/>
          <w:spacing w:val="-15"/>
          <w:sz w:val="22"/>
        </w:rPr>
        <w:t> </w:t>
      </w:r>
      <w:r>
        <w:rPr>
          <w:b/>
          <w:sz w:val="22"/>
        </w:rPr>
        <w:t>EMI-TIDA:</w:t>
      </w:r>
      <w:r>
        <w:rPr>
          <w:b/>
          <w:spacing w:val="-16"/>
          <w:sz w:val="22"/>
        </w:rPr>
        <w:t> </w:t>
      </w:r>
      <w:r>
        <w:rPr>
          <w:sz w:val="22"/>
        </w:rPr>
        <w:t>El</w:t>
      </w:r>
      <w:r>
        <w:rPr>
          <w:spacing w:val="-15"/>
          <w:sz w:val="22"/>
        </w:rPr>
        <w:t> </w:t>
      </w:r>
      <w:r>
        <w:rPr>
          <w:sz w:val="22"/>
        </w:rPr>
        <w:t>SABEN</w:t>
      </w:r>
      <w:r>
        <w:rPr>
          <w:spacing w:val="-15"/>
          <w:sz w:val="22"/>
        </w:rPr>
        <w:t> </w:t>
      </w:r>
      <w:r>
        <w:rPr>
          <w:sz w:val="22"/>
        </w:rPr>
        <w:t>no</w:t>
      </w:r>
      <w:r>
        <w:rPr>
          <w:spacing w:val="-16"/>
          <w:sz w:val="22"/>
        </w:rPr>
        <w:t> </w:t>
      </w:r>
      <w:r>
        <w:rPr>
          <w:sz w:val="22"/>
        </w:rPr>
        <w:t>permitirá</w:t>
      </w:r>
      <w:r>
        <w:rPr>
          <w:spacing w:val="-15"/>
          <w:sz w:val="22"/>
        </w:rPr>
        <w:t> </w:t>
      </w:r>
      <w:r>
        <w:rPr>
          <w:sz w:val="22"/>
        </w:rPr>
        <w:t>modificar el estado de una resolución individual en estado activo, si ésta contiene algún evento que está en proceso de pago, evitando así que se altere la resolución creada a la familia. </w:t>
      </w:r>
      <w:r>
        <w:rPr>
          <w:spacing w:val="-2"/>
          <w:sz w:val="22"/>
        </w:rPr>
        <w:t>13/09/2024.</w:t>
      </w:r>
    </w:p>
    <w:p>
      <w:pPr>
        <w:spacing w:before="252"/>
        <w:ind w:left="979" w:right="1344" w:firstLine="0"/>
        <w:jc w:val="both"/>
        <w:rPr>
          <w:sz w:val="22"/>
        </w:rPr>
      </w:pPr>
      <w:r>
        <w:rPr>
          <w:b/>
          <w:sz w:val="22"/>
        </w:rPr>
        <w:t>Circular MH-DCoP-CIR-0066-2024 </w:t>
      </w:r>
      <w:r>
        <w:rPr>
          <w:sz w:val="22"/>
        </w:rPr>
        <w:t>Mejora en el Sistema Integrado de Compras Públicas (SICOP).</w:t>
      </w:r>
      <w:r>
        <w:rPr>
          <w:spacing w:val="40"/>
          <w:sz w:val="22"/>
        </w:rPr>
        <w:t> </w:t>
      </w:r>
      <w:r>
        <w:rPr>
          <w:sz w:val="22"/>
        </w:rPr>
        <w:t>Fecha de vigencia 13/09/2024.</w:t>
      </w:r>
    </w:p>
    <w:p>
      <w:pPr>
        <w:spacing w:after="0"/>
        <w:jc w:val="both"/>
        <w:rPr>
          <w:sz w:val="22"/>
        </w:rPr>
        <w:sectPr>
          <w:pgSz w:w="12240" w:h="15840"/>
          <w:pgMar w:header="0" w:footer="1021" w:top="1340" w:bottom="1220" w:left="720" w:right="360"/>
        </w:sectPr>
      </w:pPr>
    </w:p>
    <w:p>
      <w:pPr>
        <w:pStyle w:val="Heading1"/>
        <w:numPr>
          <w:ilvl w:val="1"/>
          <w:numId w:val="4"/>
        </w:numPr>
        <w:tabs>
          <w:tab w:pos="2275" w:val="left" w:leader="none"/>
        </w:tabs>
        <w:spacing w:line="242" w:lineRule="auto" w:before="77" w:after="0"/>
        <w:ind w:left="1844" w:right="1345" w:firstLine="0"/>
        <w:jc w:val="left"/>
      </w:pPr>
      <w:bookmarkStart w:name="_bookmark2" w:id="3"/>
      <w:bookmarkEnd w:id="3"/>
      <w:r>
        <w:rPr>
          <w:b w:val="0"/>
        </w:rPr>
      </w:r>
      <w:r>
        <w:rPr/>
        <w:t>Nombres cargos de la jerarquía y de las personas responsables que intervienen en la ejecución de los recursos de los programas</w:t>
      </w:r>
    </w:p>
    <w:p>
      <w:pPr>
        <w:pStyle w:val="Heading2"/>
        <w:spacing w:before="253"/>
        <w:ind w:left="798" w:right="1020"/>
        <w:jc w:val="center"/>
      </w:pPr>
      <w:bookmarkStart w:name="_bookmark3" w:id="4"/>
      <w:bookmarkEnd w:id="4"/>
      <w:r>
        <w:rPr>
          <w:b w:val="0"/>
        </w:rPr>
      </w:r>
      <w:r>
        <w:rPr/>
        <w:t>Tabla</w:t>
      </w:r>
      <w:r>
        <w:rPr>
          <w:spacing w:val="-5"/>
        </w:rPr>
        <w:t> </w:t>
      </w:r>
      <w:r>
        <w:rPr/>
        <w:t>1:</w:t>
      </w:r>
      <w:r>
        <w:rPr>
          <w:spacing w:val="-5"/>
        </w:rPr>
        <w:t> </w:t>
      </w:r>
      <w:r>
        <w:rPr/>
        <w:t>Nombres</w:t>
      </w:r>
      <w:r>
        <w:rPr>
          <w:spacing w:val="-6"/>
        </w:rPr>
        <w:t> </w:t>
      </w:r>
      <w:r>
        <w:rPr/>
        <w:t>y</w:t>
      </w:r>
      <w:r>
        <w:rPr>
          <w:spacing w:val="-5"/>
        </w:rPr>
        <w:t> </w:t>
      </w:r>
      <w:r>
        <w:rPr/>
        <w:t>cargos</w:t>
      </w:r>
      <w:r>
        <w:rPr>
          <w:spacing w:val="-7"/>
        </w:rPr>
        <w:t> </w:t>
      </w:r>
      <w:r>
        <w:rPr/>
        <w:t>de</w:t>
      </w:r>
      <w:r>
        <w:rPr>
          <w:spacing w:val="-6"/>
        </w:rPr>
        <w:t> </w:t>
      </w:r>
      <w:r>
        <w:rPr/>
        <w:t>la</w:t>
      </w:r>
      <w:r>
        <w:rPr>
          <w:spacing w:val="-2"/>
        </w:rPr>
        <w:t> </w:t>
      </w:r>
      <w:r>
        <w:rPr/>
        <w:t>Dirección</w:t>
      </w:r>
      <w:r>
        <w:rPr>
          <w:spacing w:val="-4"/>
        </w:rPr>
        <w:t> </w:t>
      </w:r>
      <w:r>
        <w:rPr/>
        <w:t>Superior</w:t>
      </w:r>
      <w:r>
        <w:rPr>
          <w:spacing w:val="-3"/>
        </w:rPr>
        <w:t> </w:t>
      </w:r>
      <w:r>
        <w:rPr/>
        <w:t>del</w:t>
      </w:r>
      <w:r>
        <w:rPr>
          <w:spacing w:val="-6"/>
        </w:rPr>
        <w:t> </w:t>
      </w:r>
      <w:r>
        <w:rPr>
          <w:spacing w:val="-4"/>
        </w:rPr>
        <w:t>IMAS</w:t>
      </w:r>
    </w:p>
    <w:p>
      <w:pPr>
        <w:pStyle w:val="BodyText"/>
        <w:spacing w:before="45"/>
        <w:rPr>
          <w:b/>
          <w:sz w:val="20"/>
        </w:rPr>
      </w:pPr>
    </w:p>
    <w:tbl>
      <w:tblPr>
        <w:tblW w:w="0" w:type="auto"/>
        <w:jc w:val="left"/>
        <w:tblInd w:w="9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50"/>
        <w:gridCol w:w="2266"/>
        <w:gridCol w:w="1844"/>
        <w:gridCol w:w="2271"/>
      </w:tblGrid>
      <w:tr>
        <w:trPr>
          <w:trHeight w:val="407" w:hRule="atLeast"/>
        </w:trPr>
        <w:tc>
          <w:tcPr>
            <w:tcW w:w="2550" w:type="dxa"/>
            <w:shd w:val="clear" w:color="auto" w:fill="234060"/>
          </w:tcPr>
          <w:p>
            <w:pPr>
              <w:pStyle w:val="TableParagraph"/>
              <w:spacing w:before="99"/>
              <w:ind w:left="14"/>
              <w:jc w:val="center"/>
              <w:rPr>
                <w:sz w:val="18"/>
              </w:rPr>
            </w:pPr>
            <w:r>
              <w:rPr>
                <w:color w:val="FFFFFF"/>
                <w:spacing w:val="-2"/>
                <w:sz w:val="18"/>
              </w:rPr>
              <w:t>Nombre</w:t>
            </w:r>
          </w:p>
        </w:tc>
        <w:tc>
          <w:tcPr>
            <w:tcW w:w="2266" w:type="dxa"/>
            <w:shd w:val="clear" w:color="auto" w:fill="234060"/>
          </w:tcPr>
          <w:p>
            <w:pPr>
              <w:pStyle w:val="TableParagraph"/>
              <w:spacing w:before="99"/>
              <w:ind w:left="15"/>
              <w:jc w:val="center"/>
              <w:rPr>
                <w:sz w:val="18"/>
              </w:rPr>
            </w:pPr>
            <w:r>
              <w:rPr>
                <w:color w:val="FFFFFF"/>
                <w:spacing w:val="-2"/>
                <w:sz w:val="18"/>
              </w:rPr>
              <w:t>Cargo</w:t>
            </w:r>
          </w:p>
        </w:tc>
        <w:tc>
          <w:tcPr>
            <w:tcW w:w="1844" w:type="dxa"/>
            <w:shd w:val="clear" w:color="auto" w:fill="234060"/>
          </w:tcPr>
          <w:p>
            <w:pPr>
              <w:pStyle w:val="TableParagraph"/>
              <w:spacing w:before="99"/>
              <w:ind w:left="547"/>
              <w:rPr>
                <w:sz w:val="18"/>
              </w:rPr>
            </w:pPr>
            <w:r>
              <w:rPr>
                <w:color w:val="FFFFFF"/>
                <w:spacing w:val="-2"/>
                <w:sz w:val="18"/>
              </w:rPr>
              <w:t>Dirección</w:t>
            </w:r>
          </w:p>
        </w:tc>
        <w:tc>
          <w:tcPr>
            <w:tcW w:w="2271" w:type="dxa"/>
            <w:shd w:val="clear" w:color="auto" w:fill="234060"/>
          </w:tcPr>
          <w:p>
            <w:pPr>
              <w:pStyle w:val="TableParagraph"/>
              <w:spacing w:before="99"/>
              <w:ind w:left="393"/>
              <w:rPr>
                <w:sz w:val="18"/>
              </w:rPr>
            </w:pPr>
            <w:r>
              <w:rPr>
                <w:color w:val="FFFFFF"/>
                <w:sz w:val="18"/>
              </w:rPr>
              <w:t>Correo</w:t>
            </w:r>
            <w:r>
              <w:rPr>
                <w:color w:val="FFFFFF"/>
                <w:spacing w:val="-1"/>
                <w:sz w:val="18"/>
              </w:rPr>
              <w:t> </w:t>
            </w:r>
            <w:r>
              <w:rPr>
                <w:color w:val="FFFFFF"/>
                <w:spacing w:val="-2"/>
                <w:sz w:val="18"/>
              </w:rPr>
              <w:t>Electrónico</w:t>
            </w:r>
          </w:p>
        </w:tc>
      </w:tr>
      <w:tr>
        <w:trPr>
          <w:trHeight w:val="623" w:hRule="atLeast"/>
        </w:trPr>
        <w:tc>
          <w:tcPr>
            <w:tcW w:w="2550" w:type="dxa"/>
          </w:tcPr>
          <w:p>
            <w:pPr>
              <w:pStyle w:val="TableParagraph"/>
              <w:spacing w:before="3"/>
              <w:rPr>
                <w:b/>
                <w:sz w:val="18"/>
              </w:rPr>
            </w:pPr>
          </w:p>
          <w:p>
            <w:pPr>
              <w:pStyle w:val="TableParagraph"/>
              <w:ind w:left="110"/>
              <w:rPr>
                <w:b/>
                <w:sz w:val="18"/>
              </w:rPr>
            </w:pPr>
            <w:r>
              <w:rPr>
                <w:b/>
                <w:sz w:val="18"/>
              </w:rPr>
              <w:t>Yorleni</w:t>
            </w:r>
            <w:r>
              <w:rPr>
                <w:b/>
                <w:spacing w:val="-4"/>
                <w:sz w:val="18"/>
              </w:rPr>
              <w:t> </w:t>
            </w:r>
            <w:r>
              <w:rPr>
                <w:b/>
                <w:sz w:val="18"/>
              </w:rPr>
              <w:t>León</w:t>
            </w:r>
            <w:r>
              <w:rPr>
                <w:b/>
                <w:spacing w:val="-6"/>
                <w:sz w:val="18"/>
              </w:rPr>
              <w:t> </w:t>
            </w:r>
            <w:r>
              <w:rPr>
                <w:b/>
                <w:spacing w:val="-2"/>
                <w:sz w:val="18"/>
              </w:rPr>
              <w:t>Marchena</w:t>
            </w:r>
          </w:p>
        </w:tc>
        <w:tc>
          <w:tcPr>
            <w:tcW w:w="2266" w:type="dxa"/>
          </w:tcPr>
          <w:p>
            <w:pPr>
              <w:pStyle w:val="TableParagraph"/>
              <w:spacing w:before="3"/>
              <w:rPr>
                <w:b/>
                <w:sz w:val="18"/>
              </w:rPr>
            </w:pPr>
          </w:p>
          <w:p>
            <w:pPr>
              <w:pStyle w:val="TableParagraph"/>
              <w:ind w:left="105"/>
              <w:rPr>
                <w:sz w:val="18"/>
              </w:rPr>
            </w:pPr>
            <w:r>
              <w:rPr>
                <w:sz w:val="18"/>
              </w:rPr>
              <w:t>Presidenta</w:t>
            </w:r>
            <w:r>
              <w:rPr>
                <w:spacing w:val="-2"/>
                <w:sz w:val="18"/>
              </w:rPr>
              <w:t> Ejecutiva</w:t>
            </w:r>
          </w:p>
        </w:tc>
        <w:tc>
          <w:tcPr>
            <w:tcW w:w="1844" w:type="dxa"/>
            <w:vMerge w:val="restart"/>
          </w:tcPr>
          <w:p>
            <w:pPr>
              <w:pStyle w:val="TableParagraph"/>
              <w:tabs>
                <w:tab w:pos="969" w:val="left" w:leader="none"/>
              </w:tabs>
              <w:spacing w:before="3"/>
              <w:ind w:left="110" w:right="89"/>
              <w:rPr>
                <w:sz w:val="18"/>
              </w:rPr>
            </w:pPr>
            <w:r>
              <w:rPr>
                <w:spacing w:val="-2"/>
                <w:sz w:val="18"/>
              </w:rPr>
              <w:t>Oficinas</w:t>
            </w:r>
            <w:r>
              <w:rPr>
                <w:sz w:val="18"/>
              </w:rPr>
              <w:tab/>
            </w:r>
            <w:r>
              <w:rPr>
                <w:spacing w:val="-2"/>
                <w:sz w:val="18"/>
              </w:rPr>
              <w:t>Centrales </w:t>
            </w:r>
            <w:r>
              <w:rPr>
                <w:sz w:val="18"/>
              </w:rPr>
              <w:t>del IMAS.</w:t>
            </w:r>
          </w:p>
          <w:p>
            <w:pPr>
              <w:pStyle w:val="TableParagraph"/>
              <w:tabs>
                <w:tab w:pos="739" w:val="left" w:leader="none"/>
                <w:tab w:pos="1473" w:val="left" w:leader="none"/>
              </w:tabs>
              <w:ind w:left="110" w:right="91"/>
              <w:rPr>
                <w:sz w:val="18"/>
              </w:rPr>
            </w:pPr>
            <w:r>
              <w:rPr>
                <w:spacing w:val="-4"/>
                <w:sz w:val="18"/>
              </w:rPr>
              <w:t>San</w:t>
            </w:r>
            <w:r>
              <w:rPr>
                <w:sz w:val="18"/>
              </w:rPr>
              <w:tab/>
            </w:r>
            <w:r>
              <w:rPr>
                <w:spacing w:val="-2"/>
                <w:sz w:val="18"/>
              </w:rPr>
              <w:t>José,</w:t>
            </w:r>
            <w:r>
              <w:rPr>
                <w:sz w:val="18"/>
              </w:rPr>
              <w:tab/>
            </w:r>
            <w:r>
              <w:rPr>
                <w:spacing w:val="-4"/>
                <w:sz w:val="18"/>
              </w:rPr>
              <w:t>Bo. </w:t>
            </w:r>
            <w:r>
              <w:rPr>
                <w:sz w:val="18"/>
              </w:rPr>
              <w:t>Francisco Peralta</w:t>
            </w:r>
          </w:p>
        </w:tc>
        <w:tc>
          <w:tcPr>
            <w:tcW w:w="2271" w:type="dxa"/>
          </w:tcPr>
          <w:p>
            <w:pPr>
              <w:pStyle w:val="TableParagraph"/>
              <w:spacing w:before="3"/>
              <w:ind w:left="110"/>
              <w:rPr>
                <w:sz w:val="18"/>
              </w:rPr>
            </w:pPr>
            <w:hyperlink r:id="rId9">
              <w:r>
                <w:rPr>
                  <w:spacing w:val="-2"/>
                  <w:sz w:val="18"/>
                </w:rPr>
                <w:t>yleon@imas.go.cr</w:t>
              </w:r>
            </w:hyperlink>
          </w:p>
        </w:tc>
      </w:tr>
      <w:tr>
        <w:trPr>
          <w:trHeight w:val="460" w:hRule="atLeast"/>
        </w:trPr>
        <w:tc>
          <w:tcPr>
            <w:tcW w:w="2550" w:type="dxa"/>
          </w:tcPr>
          <w:p>
            <w:pPr>
              <w:pStyle w:val="TableParagraph"/>
              <w:spacing w:before="205"/>
              <w:ind w:left="110"/>
              <w:rPr>
                <w:b/>
                <w:sz w:val="18"/>
              </w:rPr>
            </w:pPr>
            <w:r>
              <w:rPr>
                <w:b/>
                <w:sz w:val="18"/>
              </w:rPr>
              <w:t>Silvia</w:t>
            </w:r>
            <w:r>
              <w:rPr>
                <w:b/>
                <w:spacing w:val="-5"/>
                <w:sz w:val="18"/>
              </w:rPr>
              <w:t> </w:t>
            </w:r>
            <w:r>
              <w:rPr>
                <w:b/>
                <w:sz w:val="18"/>
              </w:rPr>
              <w:t>Castro</w:t>
            </w:r>
            <w:r>
              <w:rPr>
                <w:b/>
                <w:spacing w:val="-6"/>
                <w:sz w:val="18"/>
              </w:rPr>
              <w:t> </w:t>
            </w:r>
            <w:r>
              <w:rPr>
                <w:b/>
                <w:spacing w:val="-2"/>
                <w:sz w:val="18"/>
              </w:rPr>
              <w:t>Quesada</w:t>
            </w:r>
          </w:p>
        </w:tc>
        <w:tc>
          <w:tcPr>
            <w:tcW w:w="2266" w:type="dxa"/>
          </w:tcPr>
          <w:p>
            <w:pPr>
              <w:pStyle w:val="TableParagraph"/>
              <w:spacing w:before="205"/>
              <w:ind w:left="105"/>
              <w:rPr>
                <w:sz w:val="18"/>
              </w:rPr>
            </w:pPr>
            <w:r>
              <w:rPr>
                <w:sz w:val="18"/>
              </w:rPr>
              <w:t>Gerente</w:t>
            </w:r>
            <w:r>
              <w:rPr>
                <w:spacing w:val="-6"/>
                <w:sz w:val="18"/>
              </w:rPr>
              <w:t> </w:t>
            </w:r>
            <w:r>
              <w:rPr>
                <w:spacing w:val="-2"/>
                <w:sz w:val="18"/>
              </w:rPr>
              <w:t>General</w:t>
            </w:r>
          </w:p>
        </w:tc>
        <w:tc>
          <w:tcPr>
            <w:tcW w:w="1844" w:type="dxa"/>
            <w:vMerge/>
            <w:tcBorders>
              <w:top w:val="nil"/>
            </w:tcBorders>
          </w:tcPr>
          <w:p>
            <w:pPr>
              <w:rPr>
                <w:sz w:val="2"/>
                <w:szCs w:val="2"/>
              </w:rPr>
            </w:pPr>
          </w:p>
        </w:tc>
        <w:tc>
          <w:tcPr>
            <w:tcW w:w="2271" w:type="dxa"/>
          </w:tcPr>
          <w:p>
            <w:pPr>
              <w:pStyle w:val="TableParagraph"/>
              <w:spacing w:line="206" w:lineRule="exact"/>
              <w:ind w:left="110"/>
              <w:rPr>
                <w:sz w:val="18"/>
              </w:rPr>
            </w:pPr>
            <w:hyperlink r:id="rId10">
              <w:r>
                <w:rPr>
                  <w:spacing w:val="-2"/>
                  <w:sz w:val="18"/>
                </w:rPr>
                <w:t>scastroq@imas.go.cr</w:t>
              </w:r>
            </w:hyperlink>
          </w:p>
        </w:tc>
      </w:tr>
      <w:tr>
        <w:trPr>
          <w:trHeight w:val="830" w:hRule="atLeast"/>
        </w:trPr>
        <w:tc>
          <w:tcPr>
            <w:tcW w:w="2550" w:type="dxa"/>
          </w:tcPr>
          <w:p>
            <w:pPr>
              <w:pStyle w:val="TableParagraph"/>
              <w:spacing w:before="3"/>
              <w:rPr>
                <w:b/>
                <w:sz w:val="18"/>
              </w:rPr>
            </w:pPr>
          </w:p>
          <w:p>
            <w:pPr>
              <w:pStyle w:val="TableParagraph"/>
              <w:ind w:left="110"/>
              <w:rPr>
                <w:b/>
                <w:sz w:val="18"/>
              </w:rPr>
            </w:pPr>
            <w:r>
              <w:rPr>
                <w:b/>
                <w:sz w:val="18"/>
              </w:rPr>
              <w:t>Luis</w:t>
            </w:r>
            <w:r>
              <w:rPr>
                <w:b/>
                <w:spacing w:val="-6"/>
                <w:sz w:val="18"/>
              </w:rPr>
              <w:t> </w:t>
            </w:r>
            <w:r>
              <w:rPr>
                <w:b/>
                <w:sz w:val="18"/>
              </w:rPr>
              <w:t>Felipe</w:t>
            </w:r>
            <w:r>
              <w:rPr>
                <w:b/>
                <w:spacing w:val="-6"/>
                <w:sz w:val="18"/>
              </w:rPr>
              <w:t> </w:t>
            </w:r>
            <w:r>
              <w:rPr>
                <w:b/>
                <w:sz w:val="18"/>
              </w:rPr>
              <w:t>Barrantes</w:t>
            </w:r>
            <w:r>
              <w:rPr>
                <w:b/>
                <w:spacing w:val="-2"/>
                <w:sz w:val="18"/>
              </w:rPr>
              <w:t> </w:t>
            </w:r>
            <w:r>
              <w:rPr>
                <w:b/>
                <w:spacing w:val="-4"/>
                <w:sz w:val="18"/>
              </w:rPr>
              <w:t>Arias</w:t>
            </w:r>
          </w:p>
        </w:tc>
        <w:tc>
          <w:tcPr>
            <w:tcW w:w="2266" w:type="dxa"/>
          </w:tcPr>
          <w:p>
            <w:pPr>
              <w:pStyle w:val="TableParagraph"/>
              <w:spacing w:before="3"/>
              <w:rPr>
                <w:b/>
                <w:sz w:val="18"/>
              </w:rPr>
            </w:pPr>
          </w:p>
          <w:p>
            <w:pPr>
              <w:pStyle w:val="TableParagraph"/>
              <w:ind w:left="105"/>
              <w:rPr>
                <w:sz w:val="18"/>
              </w:rPr>
            </w:pPr>
            <w:r>
              <w:rPr>
                <w:sz w:val="18"/>
              </w:rPr>
              <w:t>Director</w:t>
            </w:r>
            <w:r>
              <w:rPr>
                <w:spacing w:val="-15"/>
                <w:sz w:val="18"/>
              </w:rPr>
              <w:t> </w:t>
            </w:r>
            <w:r>
              <w:rPr>
                <w:sz w:val="18"/>
              </w:rPr>
              <w:t>de</w:t>
            </w:r>
            <w:r>
              <w:rPr>
                <w:spacing w:val="-12"/>
                <w:sz w:val="18"/>
              </w:rPr>
              <w:t> </w:t>
            </w:r>
            <w:r>
              <w:rPr>
                <w:sz w:val="18"/>
              </w:rPr>
              <w:t>Desarrollo </w:t>
            </w:r>
            <w:r>
              <w:rPr>
                <w:spacing w:val="-2"/>
                <w:sz w:val="18"/>
              </w:rPr>
              <w:t>Social</w:t>
            </w:r>
          </w:p>
        </w:tc>
        <w:tc>
          <w:tcPr>
            <w:tcW w:w="1844" w:type="dxa"/>
            <w:vMerge/>
            <w:tcBorders>
              <w:top w:val="nil"/>
            </w:tcBorders>
          </w:tcPr>
          <w:p>
            <w:pPr>
              <w:rPr>
                <w:sz w:val="2"/>
                <w:szCs w:val="2"/>
              </w:rPr>
            </w:pPr>
          </w:p>
        </w:tc>
        <w:tc>
          <w:tcPr>
            <w:tcW w:w="2271" w:type="dxa"/>
          </w:tcPr>
          <w:p>
            <w:pPr>
              <w:pStyle w:val="TableParagraph"/>
              <w:spacing w:line="206" w:lineRule="exact"/>
              <w:ind w:left="110"/>
              <w:rPr>
                <w:sz w:val="18"/>
              </w:rPr>
            </w:pPr>
            <w:hyperlink r:id="rId11">
              <w:r>
                <w:rPr>
                  <w:spacing w:val="-2"/>
                  <w:sz w:val="18"/>
                </w:rPr>
                <w:t>lbarrantes@imas.go.cr</w:t>
              </w:r>
            </w:hyperlink>
          </w:p>
        </w:tc>
      </w:tr>
      <w:tr>
        <w:trPr>
          <w:trHeight w:val="830" w:hRule="atLeast"/>
        </w:trPr>
        <w:tc>
          <w:tcPr>
            <w:tcW w:w="2550" w:type="dxa"/>
          </w:tcPr>
          <w:p>
            <w:pPr>
              <w:pStyle w:val="TableParagraph"/>
              <w:spacing w:before="205"/>
              <w:ind w:left="110"/>
              <w:rPr>
                <w:b/>
                <w:sz w:val="18"/>
              </w:rPr>
            </w:pPr>
            <w:r>
              <w:rPr>
                <w:b/>
                <w:sz w:val="18"/>
              </w:rPr>
              <w:t>Cinthya</w:t>
            </w:r>
            <w:r>
              <w:rPr>
                <w:b/>
                <w:spacing w:val="-6"/>
                <w:sz w:val="18"/>
              </w:rPr>
              <w:t> </w:t>
            </w:r>
            <w:r>
              <w:rPr>
                <w:b/>
                <w:sz w:val="18"/>
              </w:rPr>
              <w:t>Carvajal</w:t>
            </w:r>
            <w:r>
              <w:rPr>
                <w:b/>
                <w:spacing w:val="-7"/>
                <w:sz w:val="18"/>
              </w:rPr>
              <w:t> </w:t>
            </w:r>
            <w:r>
              <w:rPr>
                <w:b/>
                <w:spacing w:val="-2"/>
                <w:sz w:val="18"/>
              </w:rPr>
              <w:t>Campos</w:t>
            </w:r>
          </w:p>
        </w:tc>
        <w:tc>
          <w:tcPr>
            <w:tcW w:w="2266" w:type="dxa"/>
          </w:tcPr>
          <w:p>
            <w:pPr>
              <w:pStyle w:val="TableParagraph"/>
              <w:spacing w:before="205"/>
              <w:ind w:left="105"/>
              <w:rPr>
                <w:sz w:val="18"/>
              </w:rPr>
            </w:pPr>
            <w:r>
              <w:rPr>
                <w:sz w:val="18"/>
              </w:rPr>
              <w:t>Directora</w:t>
            </w:r>
            <w:r>
              <w:rPr>
                <w:spacing w:val="-12"/>
                <w:sz w:val="18"/>
              </w:rPr>
              <w:t> </w:t>
            </w:r>
            <w:r>
              <w:rPr>
                <w:sz w:val="18"/>
              </w:rPr>
              <w:t>de</w:t>
            </w:r>
            <w:r>
              <w:rPr>
                <w:spacing w:val="-12"/>
                <w:sz w:val="18"/>
              </w:rPr>
              <w:t> </w:t>
            </w:r>
            <w:r>
              <w:rPr>
                <w:sz w:val="18"/>
              </w:rPr>
              <w:t>Gestión</w:t>
            </w:r>
            <w:r>
              <w:rPr>
                <w:spacing w:val="-12"/>
                <w:sz w:val="18"/>
              </w:rPr>
              <w:t> </w:t>
            </w:r>
            <w:r>
              <w:rPr>
                <w:sz w:val="18"/>
              </w:rPr>
              <w:t>de </w:t>
            </w:r>
            <w:r>
              <w:rPr>
                <w:spacing w:val="-2"/>
                <w:sz w:val="18"/>
              </w:rPr>
              <w:t>Recursos</w:t>
            </w:r>
          </w:p>
        </w:tc>
        <w:tc>
          <w:tcPr>
            <w:tcW w:w="1844" w:type="dxa"/>
            <w:vMerge/>
            <w:tcBorders>
              <w:top w:val="nil"/>
            </w:tcBorders>
          </w:tcPr>
          <w:p>
            <w:pPr>
              <w:rPr>
                <w:sz w:val="2"/>
                <w:szCs w:val="2"/>
              </w:rPr>
            </w:pPr>
          </w:p>
        </w:tc>
        <w:tc>
          <w:tcPr>
            <w:tcW w:w="2271" w:type="dxa"/>
          </w:tcPr>
          <w:p>
            <w:pPr>
              <w:pStyle w:val="TableParagraph"/>
              <w:spacing w:line="206" w:lineRule="exact"/>
              <w:ind w:left="110"/>
              <w:rPr>
                <w:sz w:val="18"/>
              </w:rPr>
            </w:pPr>
            <w:hyperlink r:id="rId12">
              <w:r>
                <w:rPr>
                  <w:spacing w:val="-2"/>
                  <w:sz w:val="18"/>
                </w:rPr>
                <w:t>ccarvajal@imas.go.cr</w:t>
              </w:r>
            </w:hyperlink>
          </w:p>
        </w:tc>
      </w:tr>
      <w:tr>
        <w:trPr>
          <w:trHeight w:val="825" w:hRule="atLeast"/>
        </w:trPr>
        <w:tc>
          <w:tcPr>
            <w:tcW w:w="2550" w:type="dxa"/>
          </w:tcPr>
          <w:p>
            <w:pPr>
              <w:pStyle w:val="TableParagraph"/>
              <w:spacing w:before="205"/>
              <w:ind w:left="110"/>
              <w:rPr>
                <w:b/>
                <w:sz w:val="18"/>
              </w:rPr>
            </w:pPr>
            <w:r>
              <w:rPr>
                <w:b/>
                <w:sz w:val="18"/>
              </w:rPr>
              <w:t>Jafeth</w:t>
            </w:r>
            <w:r>
              <w:rPr>
                <w:b/>
                <w:spacing w:val="-1"/>
                <w:sz w:val="18"/>
              </w:rPr>
              <w:t> </w:t>
            </w:r>
            <w:r>
              <w:rPr>
                <w:b/>
                <w:sz w:val="18"/>
              </w:rPr>
              <w:t>Soto</w:t>
            </w:r>
            <w:r>
              <w:rPr>
                <w:b/>
                <w:spacing w:val="-1"/>
                <w:sz w:val="18"/>
              </w:rPr>
              <w:t> </w:t>
            </w:r>
            <w:r>
              <w:rPr>
                <w:b/>
                <w:spacing w:val="-2"/>
                <w:sz w:val="18"/>
              </w:rPr>
              <w:t>Sánchez</w:t>
            </w:r>
          </w:p>
        </w:tc>
        <w:tc>
          <w:tcPr>
            <w:tcW w:w="2266" w:type="dxa"/>
          </w:tcPr>
          <w:p>
            <w:pPr>
              <w:pStyle w:val="TableParagraph"/>
              <w:spacing w:before="205"/>
              <w:ind w:left="105"/>
              <w:rPr>
                <w:sz w:val="18"/>
              </w:rPr>
            </w:pPr>
            <w:r>
              <w:rPr>
                <w:sz w:val="18"/>
              </w:rPr>
              <w:t>Director</w:t>
            </w:r>
            <w:r>
              <w:rPr>
                <w:spacing w:val="-15"/>
                <w:sz w:val="18"/>
              </w:rPr>
              <w:t> </w:t>
            </w:r>
            <w:r>
              <w:rPr>
                <w:sz w:val="18"/>
              </w:rPr>
              <w:t>de</w:t>
            </w:r>
            <w:r>
              <w:rPr>
                <w:spacing w:val="-12"/>
                <w:sz w:val="18"/>
              </w:rPr>
              <w:t> </w:t>
            </w:r>
            <w:r>
              <w:rPr>
                <w:sz w:val="18"/>
              </w:rPr>
              <w:t>Soporte </w:t>
            </w:r>
            <w:r>
              <w:rPr>
                <w:spacing w:val="-2"/>
                <w:sz w:val="18"/>
              </w:rPr>
              <w:t>Administrativo</w:t>
            </w:r>
          </w:p>
        </w:tc>
        <w:tc>
          <w:tcPr>
            <w:tcW w:w="1844" w:type="dxa"/>
            <w:vMerge/>
            <w:tcBorders>
              <w:top w:val="nil"/>
            </w:tcBorders>
          </w:tcPr>
          <w:p>
            <w:pPr>
              <w:rPr>
                <w:sz w:val="2"/>
                <w:szCs w:val="2"/>
              </w:rPr>
            </w:pPr>
          </w:p>
        </w:tc>
        <w:tc>
          <w:tcPr>
            <w:tcW w:w="2271" w:type="dxa"/>
          </w:tcPr>
          <w:p>
            <w:pPr>
              <w:pStyle w:val="TableParagraph"/>
              <w:spacing w:line="206" w:lineRule="exact"/>
              <w:ind w:left="110"/>
              <w:rPr>
                <w:sz w:val="18"/>
              </w:rPr>
            </w:pPr>
            <w:r>
              <w:rPr>
                <w:spacing w:val="-2"/>
                <w:sz w:val="18"/>
              </w:rPr>
              <w:t>jsoto</w:t>
            </w:r>
            <w:hyperlink r:id="rId13">
              <w:r>
                <w:rPr>
                  <w:spacing w:val="-2"/>
                  <w:sz w:val="18"/>
                </w:rPr>
                <w:t>s@imas.go.cr</w:t>
              </w:r>
            </w:hyperlink>
          </w:p>
        </w:tc>
      </w:tr>
    </w:tbl>
    <w:p>
      <w:pPr>
        <w:spacing w:before="208"/>
        <w:ind w:left="979" w:right="0" w:firstLine="0"/>
        <w:jc w:val="left"/>
        <w:rPr>
          <w:b/>
          <w:sz w:val="20"/>
        </w:rPr>
      </w:pPr>
      <w:r>
        <w:rPr>
          <w:b/>
          <w:sz w:val="20"/>
        </w:rPr>
        <w:t>Fuente:</w:t>
      </w:r>
      <w:r>
        <w:rPr>
          <w:b/>
          <w:spacing w:val="-9"/>
          <w:sz w:val="20"/>
        </w:rPr>
        <w:t> </w:t>
      </w:r>
      <w:r>
        <w:rPr>
          <w:b/>
          <w:sz w:val="20"/>
        </w:rPr>
        <w:t>Elaborado</w:t>
      </w:r>
      <w:r>
        <w:rPr>
          <w:b/>
          <w:spacing w:val="-11"/>
          <w:sz w:val="20"/>
        </w:rPr>
        <w:t> </w:t>
      </w:r>
      <w:r>
        <w:rPr>
          <w:b/>
          <w:sz w:val="20"/>
        </w:rPr>
        <w:t>por</w:t>
      </w:r>
      <w:r>
        <w:rPr>
          <w:b/>
          <w:spacing w:val="-9"/>
          <w:sz w:val="20"/>
        </w:rPr>
        <w:t> </w:t>
      </w:r>
      <w:r>
        <w:rPr>
          <w:b/>
          <w:sz w:val="20"/>
        </w:rPr>
        <w:t>Unidad</w:t>
      </w:r>
      <w:r>
        <w:rPr>
          <w:b/>
          <w:spacing w:val="-11"/>
          <w:sz w:val="20"/>
        </w:rPr>
        <w:t> </w:t>
      </w:r>
      <w:r>
        <w:rPr>
          <w:b/>
          <w:sz w:val="20"/>
        </w:rPr>
        <w:t>de</w:t>
      </w:r>
      <w:r>
        <w:rPr>
          <w:b/>
          <w:spacing w:val="-10"/>
          <w:sz w:val="20"/>
        </w:rPr>
        <w:t> </w:t>
      </w:r>
      <w:r>
        <w:rPr>
          <w:b/>
          <w:sz w:val="20"/>
        </w:rPr>
        <w:t>Planificación</w:t>
      </w:r>
      <w:r>
        <w:rPr>
          <w:b/>
          <w:spacing w:val="-11"/>
          <w:sz w:val="20"/>
        </w:rPr>
        <w:t> </w:t>
      </w:r>
      <w:r>
        <w:rPr>
          <w:b/>
          <w:sz w:val="20"/>
        </w:rPr>
        <w:t>Institucional,</w:t>
      </w:r>
      <w:r>
        <w:rPr>
          <w:b/>
          <w:spacing w:val="-6"/>
          <w:sz w:val="20"/>
        </w:rPr>
        <w:t> </w:t>
      </w:r>
      <w:r>
        <w:rPr>
          <w:b/>
          <w:spacing w:val="-4"/>
          <w:sz w:val="20"/>
        </w:rPr>
        <w:t>2025</w:t>
      </w:r>
    </w:p>
    <w:p>
      <w:pPr>
        <w:pStyle w:val="BodyText"/>
        <w:spacing w:before="52"/>
        <w:rPr>
          <w:b/>
          <w:sz w:val="20"/>
        </w:rPr>
      </w:pPr>
    </w:p>
    <w:p>
      <w:pPr>
        <w:pStyle w:val="Heading1"/>
        <w:numPr>
          <w:ilvl w:val="1"/>
          <w:numId w:val="4"/>
        </w:numPr>
        <w:tabs>
          <w:tab w:pos="2355" w:val="left" w:leader="none"/>
        </w:tabs>
        <w:spacing w:line="237" w:lineRule="auto" w:before="0" w:after="0"/>
        <w:ind w:left="1844" w:right="1345" w:firstLine="0"/>
        <w:jc w:val="left"/>
      </w:pPr>
      <w:bookmarkStart w:name="_bookmark4" w:id="5"/>
      <w:bookmarkEnd w:id="5"/>
      <w:r>
        <w:rPr>
          <w:b w:val="0"/>
        </w:rPr>
      </w:r>
      <w:r>
        <w:rPr/>
        <w:t>Nombres</w:t>
      </w:r>
      <w:r>
        <w:rPr>
          <w:spacing w:val="80"/>
        </w:rPr>
        <w:t> </w:t>
      </w:r>
      <w:r>
        <w:rPr/>
        <w:t>y</w:t>
      </w:r>
      <w:r>
        <w:rPr>
          <w:spacing w:val="80"/>
        </w:rPr>
        <w:t> </w:t>
      </w:r>
      <w:r>
        <w:rPr/>
        <w:t>cargos</w:t>
      </w:r>
      <w:r>
        <w:rPr>
          <w:spacing w:val="80"/>
        </w:rPr>
        <w:t> </w:t>
      </w:r>
      <w:r>
        <w:rPr/>
        <w:t>de</w:t>
      </w:r>
      <w:r>
        <w:rPr>
          <w:spacing w:val="80"/>
        </w:rPr>
        <w:t> </w:t>
      </w:r>
      <w:r>
        <w:rPr/>
        <w:t>las</w:t>
      </w:r>
      <w:r>
        <w:rPr>
          <w:spacing w:val="80"/>
        </w:rPr>
        <w:t> </w:t>
      </w:r>
      <w:r>
        <w:rPr/>
        <w:t>personas</w:t>
      </w:r>
      <w:r>
        <w:rPr>
          <w:spacing w:val="80"/>
        </w:rPr>
        <w:t> </w:t>
      </w:r>
      <w:r>
        <w:rPr/>
        <w:t>responsables</w:t>
      </w:r>
      <w:r>
        <w:rPr>
          <w:spacing w:val="80"/>
        </w:rPr>
        <w:t> </w:t>
      </w:r>
      <w:r>
        <w:rPr/>
        <w:t>de</w:t>
      </w:r>
      <w:r>
        <w:rPr>
          <w:spacing w:val="80"/>
        </w:rPr>
        <w:t> </w:t>
      </w:r>
      <w:r>
        <w:rPr/>
        <w:t>otras dependencias que intervienen en la ejecución de los recursos</w:t>
      </w:r>
    </w:p>
    <w:p>
      <w:pPr>
        <w:pStyle w:val="Heading2"/>
        <w:spacing w:before="253"/>
        <w:ind w:left="799" w:right="1020"/>
        <w:jc w:val="center"/>
      </w:pPr>
      <w:bookmarkStart w:name="_bookmark5" w:id="6"/>
      <w:bookmarkEnd w:id="6"/>
      <w:r>
        <w:rPr>
          <w:b w:val="0"/>
        </w:rPr>
      </w:r>
      <w:r>
        <w:rPr/>
        <w:t>Tabla</w:t>
      </w:r>
      <w:r>
        <w:rPr>
          <w:spacing w:val="-4"/>
        </w:rPr>
        <w:t> </w:t>
      </w:r>
      <w:r>
        <w:rPr/>
        <w:t>2:</w:t>
      </w:r>
      <w:r>
        <w:rPr>
          <w:spacing w:val="-4"/>
        </w:rPr>
        <w:t> </w:t>
      </w:r>
      <w:r>
        <w:rPr/>
        <w:t>Nombre</w:t>
      </w:r>
      <w:r>
        <w:rPr>
          <w:spacing w:val="-1"/>
        </w:rPr>
        <w:t> </w:t>
      </w:r>
      <w:r>
        <w:rPr/>
        <w:t>y</w:t>
      </w:r>
      <w:r>
        <w:rPr>
          <w:spacing w:val="-10"/>
        </w:rPr>
        <w:t> </w:t>
      </w:r>
      <w:r>
        <w:rPr/>
        <w:t>cargos</w:t>
      </w:r>
      <w:r>
        <w:rPr>
          <w:spacing w:val="-1"/>
        </w:rPr>
        <w:t> </w:t>
      </w:r>
      <w:r>
        <w:rPr/>
        <w:t>de</w:t>
      </w:r>
      <w:r>
        <w:rPr>
          <w:spacing w:val="-1"/>
        </w:rPr>
        <w:t> </w:t>
      </w:r>
      <w:r>
        <w:rPr/>
        <w:t>las</w:t>
      </w:r>
      <w:r>
        <w:rPr>
          <w:spacing w:val="-1"/>
        </w:rPr>
        <w:t> </w:t>
      </w:r>
      <w:r>
        <w:rPr/>
        <w:t>personas</w:t>
      </w:r>
      <w:r>
        <w:rPr>
          <w:spacing w:val="-1"/>
        </w:rPr>
        <w:t> </w:t>
      </w:r>
      <w:r>
        <w:rPr/>
        <w:t>responsables</w:t>
      </w:r>
      <w:r>
        <w:rPr>
          <w:spacing w:val="-5"/>
        </w:rPr>
        <w:t> </w:t>
      </w:r>
      <w:r>
        <w:rPr/>
        <w:t>de</w:t>
      </w:r>
      <w:r>
        <w:rPr>
          <w:spacing w:val="-6"/>
        </w:rPr>
        <w:t> </w:t>
      </w:r>
      <w:r>
        <w:rPr/>
        <w:t>instancias</w:t>
      </w:r>
      <w:r>
        <w:rPr>
          <w:spacing w:val="-5"/>
        </w:rPr>
        <w:t> </w:t>
      </w:r>
      <w:r>
        <w:rPr/>
        <w:t>staff y Departamentos del IMAS</w:t>
      </w:r>
    </w:p>
    <w:p>
      <w:pPr>
        <w:pStyle w:val="BodyText"/>
        <w:spacing w:before="46"/>
        <w:rPr>
          <w:b/>
          <w:sz w:val="20"/>
        </w:rPr>
      </w:pPr>
    </w:p>
    <w:tbl>
      <w:tblPr>
        <w:tblW w:w="0" w:type="auto"/>
        <w:jc w:val="left"/>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60"/>
        <w:gridCol w:w="2362"/>
        <w:gridCol w:w="1200"/>
        <w:gridCol w:w="2741"/>
      </w:tblGrid>
      <w:tr>
        <w:trPr>
          <w:trHeight w:val="302" w:hRule="atLeast"/>
        </w:trPr>
        <w:tc>
          <w:tcPr>
            <w:tcW w:w="2560" w:type="dxa"/>
            <w:vMerge w:val="restart"/>
            <w:shd w:val="clear" w:color="auto" w:fill="234060"/>
          </w:tcPr>
          <w:p>
            <w:pPr>
              <w:pStyle w:val="TableParagraph"/>
              <w:spacing w:before="201"/>
              <w:ind w:left="14"/>
              <w:jc w:val="center"/>
              <w:rPr>
                <w:sz w:val="18"/>
              </w:rPr>
            </w:pPr>
            <w:r>
              <w:rPr>
                <w:color w:val="FFFFFF"/>
                <w:spacing w:val="-2"/>
                <w:sz w:val="18"/>
              </w:rPr>
              <w:t>Nombre</w:t>
            </w:r>
          </w:p>
        </w:tc>
        <w:tc>
          <w:tcPr>
            <w:tcW w:w="2362" w:type="dxa"/>
            <w:vMerge w:val="restart"/>
            <w:shd w:val="clear" w:color="auto" w:fill="234060"/>
          </w:tcPr>
          <w:p>
            <w:pPr>
              <w:pStyle w:val="TableParagraph"/>
              <w:spacing w:before="201"/>
              <w:ind w:left="14"/>
              <w:jc w:val="center"/>
              <w:rPr>
                <w:sz w:val="18"/>
              </w:rPr>
            </w:pPr>
            <w:r>
              <w:rPr>
                <w:color w:val="FFFFFF"/>
                <w:spacing w:val="-2"/>
                <w:sz w:val="18"/>
              </w:rPr>
              <w:t>Cargo</w:t>
            </w:r>
          </w:p>
        </w:tc>
        <w:tc>
          <w:tcPr>
            <w:tcW w:w="1200" w:type="dxa"/>
            <w:vMerge w:val="restart"/>
            <w:shd w:val="clear" w:color="auto" w:fill="234060"/>
          </w:tcPr>
          <w:p>
            <w:pPr>
              <w:pStyle w:val="TableParagraph"/>
              <w:spacing w:before="201"/>
              <w:ind w:left="225"/>
              <w:rPr>
                <w:sz w:val="18"/>
              </w:rPr>
            </w:pPr>
            <w:r>
              <w:rPr>
                <w:color w:val="FFFFFF"/>
                <w:spacing w:val="-2"/>
                <w:sz w:val="18"/>
              </w:rPr>
              <w:t>Dirección</w:t>
            </w:r>
          </w:p>
        </w:tc>
        <w:tc>
          <w:tcPr>
            <w:tcW w:w="2741" w:type="dxa"/>
            <w:shd w:val="clear" w:color="auto" w:fill="234060"/>
          </w:tcPr>
          <w:p>
            <w:pPr>
              <w:pStyle w:val="TableParagraph"/>
              <w:spacing w:before="47"/>
              <w:ind w:left="16"/>
              <w:jc w:val="center"/>
              <w:rPr>
                <w:sz w:val="18"/>
              </w:rPr>
            </w:pPr>
            <w:r>
              <w:rPr>
                <w:color w:val="FFFFFF"/>
                <w:spacing w:val="-2"/>
                <w:sz w:val="18"/>
              </w:rPr>
              <w:t>Correo</w:t>
            </w:r>
          </w:p>
        </w:tc>
      </w:tr>
      <w:tr>
        <w:trPr>
          <w:trHeight w:val="297" w:hRule="atLeast"/>
        </w:trPr>
        <w:tc>
          <w:tcPr>
            <w:tcW w:w="2560" w:type="dxa"/>
            <w:vMerge/>
            <w:tcBorders>
              <w:top w:val="nil"/>
            </w:tcBorders>
            <w:shd w:val="clear" w:color="auto" w:fill="234060"/>
          </w:tcPr>
          <w:p>
            <w:pPr>
              <w:rPr>
                <w:sz w:val="2"/>
                <w:szCs w:val="2"/>
              </w:rPr>
            </w:pPr>
          </w:p>
        </w:tc>
        <w:tc>
          <w:tcPr>
            <w:tcW w:w="2362" w:type="dxa"/>
            <w:vMerge/>
            <w:tcBorders>
              <w:top w:val="nil"/>
            </w:tcBorders>
            <w:shd w:val="clear" w:color="auto" w:fill="234060"/>
          </w:tcPr>
          <w:p>
            <w:pPr>
              <w:rPr>
                <w:sz w:val="2"/>
                <w:szCs w:val="2"/>
              </w:rPr>
            </w:pPr>
          </w:p>
        </w:tc>
        <w:tc>
          <w:tcPr>
            <w:tcW w:w="1200" w:type="dxa"/>
            <w:vMerge/>
            <w:tcBorders>
              <w:top w:val="nil"/>
            </w:tcBorders>
            <w:shd w:val="clear" w:color="auto" w:fill="234060"/>
          </w:tcPr>
          <w:p>
            <w:pPr>
              <w:rPr>
                <w:sz w:val="2"/>
                <w:szCs w:val="2"/>
              </w:rPr>
            </w:pPr>
          </w:p>
        </w:tc>
        <w:tc>
          <w:tcPr>
            <w:tcW w:w="2741" w:type="dxa"/>
            <w:shd w:val="clear" w:color="auto" w:fill="234060"/>
          </w:tcPr>
          <w:p>
            <w:pPr>
              <w:pStyle w:val="TableParagraph"/>
              <w:spacing w:before="47"/>
              <w:ind w:left="16"/>
              <w:jc w:val="center"/>
              <w:rPr>
                <w:sz w:val="18"/>
              </w:rPr>
            </w:pPr>
            <w:r>
              <w:rPr>
                <w:color w:val="FFFFFF"/>
                <w:spacing w:val="-2"/>
                <w:sz w:val="18"/>
              </w:rPr>
              <w:t>Electrónico</w:t>
            </w:r>
          </w:p>
        </w:tc>
      </w:tr>
      <w:tr>
        <w:trPr>
          <w:trHeight w:val="738" w:hRule="atLeast"/>
        </w:trPr>
        <w:tc>
          <w:tcPr>
            <w:tcW w:w="2560" w:type="dxa"/>
          </w:tcPr>
          <w:p>
            <w:pPr>
              <w:pStyle w:val="TableParagraph"/>
              <w:spacing w:before="60"/>
              <w:rPr>
                <w:b/>
                <w:sz w:val="18"/>
              </w:rPr>
            </w:pPr>
          </w:p>
          <w:p>
            <w:pPr>
              <w:pStyle w:val="TableParagraph"/>
              <w:ind w:left="72"/>
              <w:rPr>
                <w:b/>
                <w:sz w:val="18"/>
              </w:rPr>
            </w:pPr>
            <w:r>
              <w:rPr>
                <w:b/>
                <w:sz w:val="18"/>
              </w:rPr>
              <w:t>Lic.</w:t>
            </w:r>
            <w:r>
              <w:rPr>
                <w:b/>
                <w:spacing w:val="-5"/>
                <w:sz w:val="18"/>
              </w:rPr>
              <w:t> </w:t>
            </w:r>
            <w:r>
              <w:rPr>
                <w:b/>
                <w:sz w:val="18"/>
              </w:rPr>
              <w:t>Berny</w:t>
            </w:r>
            <w:r>
              <w:rPr>
                <w:b/>
                <w:spacing w:val="-2"/>
                <w:sz w:val="18"/>
              </w:rPr>
              <w:t> </w:t>
            </w:r>
            <w:r>
              <w:rPr>
                <w:b/>
                <w:sz w:val="18"/>
              </w:rPr>
              <w:t>Vargas</w:t>
            </w:r>
            <w:r>
              <w:rPr>
                <w:b/>
                <w:spacing w:val="-10"/>
                <w:sz w:val="18"/>
              </w:rPr>
              <w:t> </w:t>
            </w:r>
            <w:r>
              <w:rPr>
                <w:b/>
                <w:spacing w:val="-4"/>
                <w:sz w:val="18"/>
              </w:rPr>
              <w:t>Mejía</w:t>
            </w:r>
          </w:p>
        </w:tc>
        <w:tc>
          <w:tcPr>
            <w:tcW w:w="2362" w:type="dxa"/>
          </w:tcPr>
          <w:p>
            <w:pPr>
              <w:pStyle w:val="TableParagraph"/>
              <w:tabs>
                <w:tab w:pos="1055" w:val="left" w:leader="none"/>
                <w:tab w:pos="1582" w:val="left" w:leader="none"/>
              </w:tabs>
              <w:spacing w:before="162"/>
              <w:ind w:left="71" w:right="56"/>
              <w:rPr>
                <w:sz w:val="18"/>
              </w:rPr>
            </w:pPr>
            <w:r>
              <w:rPr>
                <w:spacing w:val="-2"/>
                <w:sz w:val="18"/>
              </w:rPr>
              <w:t>Jefatura</w:t>
            </w:r>
            <w:r>
              <w:rPr>
                <w:sz w:val="18"/>
              </w:rPr>
              <w:tab/>
            </w:r>
            <w:r>
              <w:rPr>
                <w:spacing w:val="-6"/>
                <w:sz w:val="18"/>
              </w:rPr>
              <w:t>de</w:t>
            </w:r>
            <w:r>
              <w:rPr>
                <w:sz w:val="18"/>
              </w:rPr>
              <w:tab/>
            </w:r>
            <w:r>
              <w:rPr>
                <w:spacing w:val="-2"/>
                <w:sz w:val="18"/>
              </w:rPr>
              <w:t>Asesoría Jurídica</w:t>
            </w:r>
          </w:p>
        </w:tc>
        <w:tc>
          <w:tcPr>
            <w:tcW w:w="1200"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3"/>
              <w:rPr>
                <w:b/>
                <w:sz w:val="18"/>
              </w:rPr>
            </w:pPr>
          </w:p>
          <w:p>
            <w:pPr>
              <w:pStyle w:val="TableParagraph"/>
              <w:spacing w:before="1"/>
              <w:ind w:left="211" w:right="188" w:firstLine="62"/>
              <w:rPr>
                <w:sz w:val="18"/>
              </w:rPr>
            </w:pPr>
            <w:r>
              <w:rPr>
                <w:spacing w:val="-2"/>
                <w:sz w:val="18"/>
              </w:rPr>
              <w:t>Oficinas Centrales </w:t>
            </w:r>
            <w:r>
              <w:rPr>
                <w:sz w:val="18"/>
              </w:rPr>
              <w:t>del </w:t>
            </w:r>
            <w:r>
              <w:rPr>
                <w:spacing w:val="-2"/>
                <w:sz w:val="18"/>
              </w:rPr>
              <w:t>IMAS.</w:t>
            </w:r>
          </w:p>
        </w:tc>
        <w:tc>
          <w:tcPr>
            <w:tcW w:w="2741" w:type="dxa"/>
          </w:tcPr>
          <w:p>
            <w:pPr>
              <w:pStyle w:val="TableParagraph"/>
              <w:spacing w:before="240"/>
              <w:ind w:left="72"/>
              <w:rPr>
                <w:sz w:val="22"/>
              </w:rPr>
            </w:pPr>
            <w:hyperlink r:id="rId14">
              <w:r>
                <w:rPr>
                  <w:spacing w:val="-2"/>
                  <w:sz w:val="22"/>
                  <w:u w:val="single"/>
                </w:rPr>
                <w:t>bvargas@imas.go.cr</w:t>
              </w:r>
            </w:hyperlink>
          </w:p>
        </w:tc>
      </w:tr>
      <w:tr>
        <w:trPr>
          <w:trHeight w:val="480" w:hRule="atLeast"/>
        </w:trPr>
        <w:tc>
          <w:tcPr>
            <w:tcW w:w="2560" w:type="dxa"/>
          </w:tcPr>
          <w:p>
            <w:pPr>
              <w:pStyle w:val="TableParagraph"/>
              <w:spacing w:before="133"/>
              <w:ind w:left="72"/>
              <w:rPr>
                <w:b/>
                <w:sz w:val="18"/>
              </w:rPr>
            </w:pPr>
            <w:r>
              <w:rPr>
                <w:b/>
                <w:sz w:val="18"/>
              </w:rPr>
              <w:t>Lic.</w:t>
            </w:r>
            <w:r>
              <w:rPr>
                <w:b/>
                <w:spacing w:val="-5"/>
                <w:sz w:val="18"/>
              </w:rPr>
              <w:t> </w:t>
            </w:r>
            <w:r>
              <w:rPr>
                <w:b/>
                <w:sz w:val="18"/>
              </w:rPr>
              <w:t>Marvin</w:t>
            </w:r>
            <w:r>
              <w:rPr>
                <w:b/>
                <w:spacing w:val="-4"/>
                <w:sz w:val="18"/>
              </w:rPr>
              <w:t> </w:t>
            </w:r>
            <w:r>
              <w:rPr>
                <w:b/>
                <w:sz w:val="18"/>
              </w:rPr>
              <w:t>Chaves</w:t>
            </w:r>
            <w:r>
              <w:rPr>
                <w:b/>
                <w:spacing w:val="-8"/>
                <w:sz w:val="18"/>
              </w:rPr>
              <w:t> </w:t>
            </w:r>
            <w:r>
              <w:rPr>
                <w:b/>
                <w:spacing w:val="-2"/>
                <w:sz w:val="18"/>
              </w:rPr>
              <w:t>Thomas</w:t>
            </w:r>
          </w:p>
        </w:tc>
        <w:tc>
          <w:tcPr>
            <w:tcW w:w="2362" w:type="dxa"/>
          </w:tcPr>
          <w:p>
            <w:pPr>
              <w:pStyle w:val="TableParagraph"/>
              <w:spacing w:before="32"/>
              <w:ind w:left="71" w:right="56"/>
              <w:rPr>
                <w:sz w:val="18"/>
              </w:rPr>
            </w:pPr>
            <w:r>
              <w:rPr>
                <w:sz w:val="18"/>
              </w:rPr>
              <w:t>Jefatura</w:t>
            </w:r>
            <w:r>
              <w:rPr>
                <w:spacing w:val="80"/>
                <w:sz w:val="18"/>
              </w:rPr>
              <w:t> </w:t>
            </w:r>
            <w:r>
              <w:rPr>
                <w:sz w:val="18"/>
              </w:rPr>
              <w:t>de</w:t>
            </w:r>
            <w:r>
              <w:rPr>
                <w:spacing w:val="80"/>
                <w:sz w:val="18"/>
              </w:rPr>
              <w:t> </w:t>
            </w:r>
            <w:r>
              <w:rPr>
                <w:sz w:val="18"/>
              </w:rPr>
              <w:t>Planificación </w:t>
            </w:r>
            <w:r>
              <w:rPr>
                <w:spacing w:val="-2"/>
                <w:sz w:val="18"/>
              </w:rPr>
              <w:t>Institucional</w:t>
            </w:r>
          </w:p>
        </w:tc>
        <w:tc>
          <w:tcPr>
            <w:tcW w:w="1200" w:type="dxa"/>
            <w:vMerge/>
            <w:tcBorders>
              <w:top w:val="nil"/>
            </w:tcBorders>
          </w:tcPr>
          <w:p>
            <w:pPr>
              <w:rPr>
                <w:sz w:val="2"/>
                <w:szCs w:val="2"/>
              </w:rPr>
            </w:pPr>
          </w:p>
        </w:tc>
        <w:tc>
          <w:tcPr>
            <w:tcW w:w="2741" w:type="dxa"/>
          </w:tcPr>
          <w:p>
            <w:pPr>
              <w:pStyle w:val="TableParagraph"/>
              <w:spacing w:before="110"/>
              <w:ind w:left="72"/>
              <w:rPr>
                <w:sz w:val="22"/>
              </w:rPr>
            </w:pPr>
            <w:hyperlink r:id="rId15">
              <w:r>
                <w:rPr>
                  <w:spacing w:val="-2"/>
                  <w:sz w:val="22"/>
                  <w:u w:val="single"/>
                </w:rPr>
                <w:t>mchavest@imas.go.cr</w:t>
              </w:r>
            </w:hyperlink>
          </w:p>
        </w:tc>
      </w:tr>
      <w:tr>
        <w:trPr>
          <w:trHeight w:val="719" w:hRule="atLeast"/>
        </w:trPr>
        <w:tc>
          <w:tcPr>
            <w:tcW w:w="2560" w:type="dxa"/>
          </w:tcPr>
          <w:p>
            <w:pPr>
              <w:pStyle w:val="TableParagraph"/>
              <w:spacing w:before="152"/>
              <w:ind w:left="72"/>
              <w:rPr>
                <w:b/>
                <w:sz w:val="18"/>
              </w:rPr>
            </w:pPr>
            <w:r>
              <w:rPr>
                <w:b/>
                <w:sz w:val="18"/>
              </w:rPr>
              <w:t>Licda.</w:t>
            </w:r>
            <w:r>
              <w:rPr>
                <w:b/>
                <w:spacing w:val="25"/>
                <w:sz w:val="18"/>
              </w:rPr>
              <w:t> </w:t>
            </w:r>
            <w:r>
              <w:rPr>
                <w:b/>
                <w:sz w:val="18"/>
              </w:rPr>
              <w:t>Génesis</w:t>
            </w:r>
            <w:r>
              <w:rPr>
                <w:b/>
                <w:spacing w:val="27"/>
                <w:sz w:val="18"/>
              </w:rPr>
              <w:t> </w:t>
            </w:r>
            <w:r>
              <w:rPr>
                <w:b/>
                <w:sz w:val="18"/>
              </w:rPr>
              <w:t>Charpentier </w:t>
            </w:r>
            <w:r>
              <w:rPr>
                <w:b/>
                <w:spacing w:val="-2"/>
                <w:sz w:val="18"/>
              </w:rPr>
              <w:t>Alvarado</w:t>
            </w:r>
          </w:p>
        </w:tc>
        <w:tc>
          <w:tcPr>
            <w:tcW w:w="2362" w:type="dxa"/>
          </w:tcPr>
          <w:p>
            <w:pPr>
              <w:pStyle w:val="TableParagraph"/>
              <w:spacing w:before="47"/>
              <w:ind w:left="71" w:right="55"/>
              <w:jc w:val="both"/>
              <w:rPr>
                <w:sz w:val="18"/>
              </w:rPr>
            </w:pPr>
            <w:r>
              <w:rPr>
                <w:sz w:val="18"/>
              </w:rPr>
              <w:t>Jefatura de la Unidad de Equidad e Igualdad de </w:t>
            </w:r>
            <w:r>
              <w:rPr>
                <w:spacing w:val="-2"/>
                <w:sz w:val="18"/>
              </w:rPr>
              <w:t>Género</w:t>
            </w:r>
          </w:p>
        </w:tc>
        <w:tc>
          <w:tcPr>
            <w:tcW w:w="1200" w:type="dxa"/>
            <w:vMerge/>
            <w:tcBorders>
              <w:top w:val="nil"/>
            </w:tcBorders>
          </w:tcPr>
          <w:p>
            <w:pPr>
              <w:rPr>
                <w:sz w:val="2"/>
                <w:szCs w:val="2"/>
              </w:rPr>
            </w:pPr>
          </w:p>
        </w:tc>
        <w:tc>
          <w:tcPr>
            <w:tcW w:w="2741" w:type="dxa"/>
          </w:tcPr>
          <w:p>
            <w:pPr>
              <w:pStyle w:val="TableParagraph"/>
              <w:spacing w:before="230"/>
              <w:ind w:left="72"/>
              <w:rPr>
                <w:sz w:val="22"/>
              </w:rPr>
            </w:pPr>
            <w:hyperlink r:id="rId16">
              <w:r>
                <w:rPr>
                  <w:spacing w:val="-2"/>
                  <w:sz w:val="22"/>
                  <w:u w:val="single"/>
                </w:rPr>
                <w:t>gcharpentier@imas.go.cr</w:t>
              </w:r>
            </w:hyperlink>
          </w:p>
        </w:tc>
      </w:tr>
      <w:tr>
        <w:trPr>
          <w:trHeight w:val="916" w:hRule="atLeast"/>
        </w:trPr>
        <w:tc>
          <w:tcPr>
            <w:tcW w:w="2560" w:type="dxa"/>
          </w:tcPr>
          <w:p>
            <w:pPr>
              <w:pStyle w:val="TableParagraph"/>
              <w:spacing w:before="147"/>
              <w:rPr>
                <w:b/>
                <w:sz w:val="18"/>
              </w:rPr>
            </w:pPr>
          </w:p>
          <w:p>
            <w:pPr>
              <w:pStyle w:val="TableParagraph"/>
              <w:ind w:left="72"/>
              <w:rPr>
                <w:b/>
                <w:sz w:val="18"/>
              </w:rPr>
            </w:pPr>
            <w:r>
              <w:rPr>
                <w:b/>
                <w:sz w:val="18"/>
              </w:rPr>
              <w:t>Ing.</w:t>
            </w:r>
            <w:r>
              <w:rPr>
                <w:b/>
                <w:spacing w:val="-5"/>
                <w:sz w:val="18"/>
              </w:rPr>
              <w:t> </w:t>
            </w:r>
            <w:r>
              <w:rPr>
                <w:b/>
                <w:sz w:val="18"/>
              </w:rPr>
              <w:t>Loryi</w:t>
            </w:r>
            <w:r>
              <w:rPr>
                <w:b/>
                <w:spacing w:val="-5"/>
                <w:sz w:val="18"/>
              </w:rPr>
              <w:t> </w:t>
            </w:r>
            <w:r>
              <w:rPr>
                <w:b/>
                <w:sz w:val="18"/>
              </w:rPr>
              <w:t>Valverde</w:t>
            </w:r>
            <w:r>
              <w:rPr>
                <w:b/>
                <w:spacing w:val="-3"/>
                <w:sz w:val="18"/>
              </w:rPr>
              <w:t> </w:t>
            </w:r>
            <w:r>
              <w:rPr>
                <w:b/>
                <w:spacing w:val="-2"/>
                <w:sz w:val="18"/>
              </w:rPr>
              <w:t>Cordero</w:t>
            </w:r>
          </w:p>
        </w:tc>
        <w:tc>
          <w:tcPr>
            <w:tcW w:w="2362" w:type="dxa"/>
          </w:tcPr>
          <w:p>
            <w:pPr>
              <w:pStyle w:val="TableParagraph"/>
              <w:spacing w:before="41"/>
              <w:rPr>
                <w:b/>
                <w:sz w:val="18"/>
              </w:rPr>
            </w:pPr>
          </w:p>
          <w:p>
            <w:pPr>
              <w:pStyle w:val="TableParagraph"/>
              <w:ind w:left="71" w:right="56"/>
              <w:rPr>
                <w:sz w:val="18"/>
              </w:rPr>
            </w:pPr>
            <w:r>
              <w:rPr>
                <w:sz w:val="18"/>
              </w:rPr>
              <w:t>Jefatura</w:t>
            </w:r>
            <w:r>
              <w:rPr>
                <w:spacing w:val="40"/>
                <w:sz w:val="18"/>
              </w:rPr>
              <w:t> </w:t>
            </w:r>
            <w:r>
              <w:rPr>
                <w:sz w:val="18"/>
              </w:rPr>
              <w:t>de</w:t>
            </w:r>
            <w:r>
              <w:rPr>
                <w:spacing w:val="40"/>
                <w:sz w:val="18"/>
              </w:rPr>
              <w:t> </w:t>
            </w:r>
            <w:r>
              <w:rPr>
                <w:sz w:val="18"/>
              </w:rPr>
              <w:t>la</w:t>
            </w:r>
            <w:r>
              <w:rPr>
                <w:spacing w:val="40"/>
                <w:sz w:val="18"/>
              </w:rPr>
              <w:t> </w:t>
            </w:r>
            <w:r>
              <w:rPr>
                <w:sz w:val="18"/>
              </w:rPr>
              <w:t>Contraloría de Servicios</w:t>
            </w:r>
          </w:p>
        </w:tc>
        <w:tc>
          <w:tcPr>
            <w:tcW w:w="1200" w:type="dxa"/>
            <w:vMerge/>
            <w:tcBorders>
              <w:top w:val="nil"/>
            </w:tcBorders>
          </w:tcPr>
          <w:p>
            <w:pPr>
              <w:rPr>
                <w:sz w:val="2"/>
                <w:szCs w:val="2"/>
              </w:rPr>
            </w:pPr>
          </w:p>
        </w:tc>
        <w:tc>
          <w:tcPr>
            <w:tcW w:w="2741" w:type="dxa"/>
          </w:tcPr>
          <w:p>
            <w:pPr>
              <w:pStyle w:val="TableParagraph"/>
              <w:spacing w:before="78"/>
              <w:rPr>
                <w:b/>
                <w:sz w:val="22"/>
              </w:rPr>
            </w:pPr>
          </w:p>
          <w:p>
            <w:pPr>
              <w:pStyle w:val="TableParagraph"/>
              <w:ind w:left="72"/>
              <w:rPr>
                <w:sz w:val="22"/>
              </w:rPr>
            </w:pPr>
            <w:hyperlink r:id="rId17">
              <w:r>
                <w:rPr>
                  <w:spacing w:val="-2"/>
                  <w:sz w:val="22"/>
                  <w:u w:val="single"/>
                </w:rPr>
                <w:t>lvalverde@imas.go.cr</w:t>
              </w:r>
            </w:hyperlink>
          </w:p>
        </w:tc>
      </w:tr>
      <w:tr>
        <w:trPr>
          <w:trHeight w:val="479" w:hRule="atLeast"/>
        </w:trPr>
        <w:tc>
          <w:tcPr>
            <w:tcW w:w="2560" w:type="dxa"/>
          </w:tcPr>
          <w:p>
            <w:pPr>
              <w:pStyle w:val="TableParagraph"/>
              <w:spacing w:before="32"/>
              <w:ind w:left="72"/>
              <w:rPr>
                <w:b/>
                <w:sz w:val="18"/>
              </w:rPr>
            </w:pPr>
            <w:r>
              <w:rPr>
                <w:b/>
                <w:sz w:val="18"/>
              </w:rPr>
              <w:t>Lic.</w:t>
            </w:r>
            <w:r>
              <w:rPr>
                <w:b/>
                <w:spacing w:val="-11"/>
                <w:sz w:val="18"/>
              </w:rPr>
              <w:t> </w:t>
            </w:r>
            <w:r>
              <w:rPr>
                <w:b/>
                <w:sz w:val="18"/>
              </w:rPr>
              <w:t>Luis</w:t>
            </w:r>
            <w:r>
              <w:rPr>
                <w:b/>
                <w:spacing w:val="-13"/>
                <w:sz w:val="18"/>
              </w:rPr>
              <w:t> </w:t>
            </w:r>
            <w:r>
              <w:rPr>
                <w:b/>
                <w:sz w:val="18"/>
              </w:rPr>
              <w:t>Adolfo</w:t>
            </w:r>
            <w:r>
              <w:rPr>
                <w:b/>
                <w:spacing w:val="-12"/>
                <w:sz w:val="18"/>
              </w:rPr>
              <w:t> </w:t>
            </w:r>
            <w:r>
              <w:rPr>
                <w:b/>
                <w:sz w:val="18"/>
              </w:rPr>
              <w:t>González </w:t>
            </w:r>
            <w:r>
              <w:rPr>
                <w:b/>
                <w:spacing w:val="-2"/>
                <w:sz w:val="18"/>
              </w:rPr>
              <w:t>Alguera</w:t>
            </w:r>
          </w:p>
        </w:tc>
        <w:tc>
          <w:tcPr>
            <w:tcW w:w="2362" w:type="dxa"/>
          </w:tcPr>
          <w:p>
            <w:pPr>
              <w:pStyle w:val="TableParagraph"/>
              <w:spacing w:before="32"/>
              <w:ind w:left="71" w:right="56"/>
              <w:rPr>
                <w:sz w:val="18"/>
              </w:rPr>
            </w:pPr>
            <w:r>
              <w:rPr>
                <w:sz w:val="18"/>
              </w:rPr>
              <w:t>Jefatura de Tecnologías de </w:t>
            </w:r>
            <w:r>
              <w:rPr>
                <w:spacing w:val="-2"/>
                <w:sz w:val="18"/>
              </w:rPr>
              <w:t>Información</w:t>
            </w:r>
          </w:p>
        </w:tc>
        <w:tc>
          <w:tcPr>
            <w:tcW w:w="1200" w:type="dxa"/>
            <w:vMerge/>
            <w:tcBorders>
              <w:top w:val="nil"/>
            </w:tcBorders>
          </w:tcPr>
          <w:p>
            <w:pPr>
              <w:rPr>
                <w:sz w:val="2"/>
                <w:szCs w:val="2"/>
              </w:rPr>
            </w:pPr>
          </w:p>
        </w:tc>
        <w:tc>
          <w:tcPr>
            <w:tcW w:w="2741" w:type="dxa"/>
          </w:tcPr>
          <w:p>
            <w:pPr>
              <w:pStyle w:val="TableParagraph"/>
              <w:spacing w:before="110"/>
              <w:ind w:left="72"/>
              <w:rPr>
                <w:sz w:val="22"/>
              </w:rPr>
            </w:pPr>
            <w:hyperlink r:id="rId18">
              <w:r>
                <w:rPr>
                  <w:spacing w:val="-2"/>
                  <w:sz w:val="22"/>
                  <w:u w:val="single"/>
                </w:rPr>
                <w:t>lgonzalez@imas.go.cr</w:t>
              </w:r>
            </w:hyperlink>
          </w:p>
        </w:tc>
      </w:tr>
      <w:tr>
        <w:trPr>
          <w:trHeight w:val="479" w:hRule="atLeast"/>
        </w:trPr>
        <w:tc>
          <w:tcPr>
            <w:tcW w:w="2560" w:type="dxa"/>
          </w:tcPr>
          <w:p>
            <w:pPr>
              <w:pStyle w:val="TableParagraph"/>
              <w:spacing w:before="133"/>
              <w:ind w:left="72"/>
              <w:rPr>
                <w:b/>
                <w:sz w:val="18"/>
              </w:rPr>
            </w:pPr>
            <w:r>
              <w:rPr>
                <w:b/>
                <w:sz w:val="18"/>
              </w:rPr>
              <w:t>Lic.</w:t>
            </w:r>
            <w:r>
              <w:rPr>
                <w:b/>
                <w:spacing w:val="-4"/>
                <w:sz w:val="18"/>
              </w:rPr>
              <w:t> </w:t>
            </w:r>
            <w:r>
              <w:rPr>
                <w:b/>
                <w:sz w:val="18"/>
              </w:rPr>
              <w:t>Ciro</w:t>
            </w:r>
            <w:r>
              <w:rPr>
                <w:b/>
                <w:spacing w:val="-6"/>
                <w:sz w:val="18"/>
              </w:rPr>
              <w:t> </w:t>
            </w:r>
            <w:r>
              <w:rPr>
                <w:b/>
                <w:sz w:val="18"/>
              </w:rPr>
              <w:t>Barboza</w:t>
            </w:r>
            <w:r>
              <w:rPr>
                <w:b/>
                <w:spacing w:val="-6"/>
                <w:sz w:val="18"/>
              </w:rPr>
              <w:t> </w:t>
            </w:r>
            <w:r>
              <w:rPr>
                <w:b/>
                <w:spacing w:val="-2"/>
                <w:sz w:val="18"/>
              </w:rPr>
              <w:t>Toribio</w:t>
            </w:r>
          </w:p>
        </w:tc>
        <w:tc>
          <w:tcPr>
            <w:tcW w:w="2362" w:type="dxa"/>
          </w:tcPr>
          <w:p>
            <w:pPr>
              <w:pStyle w:val="TableParagraph"/>
              <w:tabs>
                <w:tab w:pos="1002" w:val="left" w:leader="none"/>
                <w:tab w:pos="1477" w:val="left" w:leader="none"/>
              </w:tabs>
              <w:spacing w:before="32"/>
              <w:ind w:left="71" w:right="55"/>
              <w:rPr>
                <w:sz w:val="18"/>
              </w:rPr>
            </w:pPr>
            <w:r>
              <w:rPr>
                <w:spacing w:val="-2"/>
                <w:sz w:val="18"/>
              </w:rPr>
              <w:t>Jefatura</w:t>
            </w:r>
            <w:r>
              <w:rPr>
                <w:sz w:val="18"/>
              </w:rPr>
              <w:tab/>
            </w:r>
            <w:r>
              <w:rPr>
                <w:spacing w:val="-6"/>
                <w:sz w:val="18"/>
              </w:rPr>
              <w:t>de</w:t>
            </w:r>
            <w:r>
              <w:rPr>
                <w:sz w:val="18"/>
              </w:rPr>
              <w:tab/>
            </w:r>
            <w:r>
              <w:rPr>
                <w:spacing w:val="-2"/>
                <w:sz w:val="18"/>
              </w:rPr>
              <w:t>Desarrollo Humano</w:t>
            </w:r>
          </w:p>
        </w:tc>
        <w:tc>
          <w:tcPr>
            <w:tcW w:w="1200" w:type="dxa"/>
            <w:vMerge/>
            <w:tcBorders>
              <w:top w:val="nil"/>
            </w:tcBorders>
          </w:tcPr>
          <w:p>
            <w:pPr>
              <w:rPr>
                <w:sz w:val="2"/>
                <w:szCs w:val="2"/>
              </w:rPr>
            </w:pPr>
          </w:p>
        </w:tc>
        <w:tc>
          <w:tcPr>
            <w:tcW w:w="2741" w:type="dxa"/>
          </w:tcPr>
          <w:p>
            <w:pPr>
              <w:pStyle w:val="TableParagraph"/>
              <w:spacing w:before="110"/>
              <w:ind w:left="72"/>
              <w:rPr>
                <w:sz w:val="22"/>
              </w:rPr>
            </w:pPr>
            <w:hyperlink r:id="rId19">
              <w:r>
                <w:rPr>
                  <w:spacing w:val="-2"/>
                  <w:sz w:val="22"/>
                  <w:u w:val="single"/>
                </w:rPr>
                <w:t>cbarboza@imas.go.cr</w:t>
              </w:r>
            </w:hyperlink>
          </w:p>
        </w:tc>
      </w:tr>
      <w:tr>
        <w:trPr>
          <w:trHeight w:val="720" w:hRule="atLeast"/>
        </w:trPr>
        <w:tc>
          <w:tcPr>
            <w:tcW w:w="2560" w:type="dxa"/>
          </w:tcPr>
          <w:p>
            <w:pPr>
              <w:pStyle w:val="TableParagraph"/>
              <w:spacing w:before="152"/>
              <w:ind w:left="72" w:right="57"/>
              <w:rPr>
                <w:b/>
                <w:sz w:val="18"/>
              </w:rPr>
            </w:pPr>
            <w:r>
              <w:rPr>
                <w:b/>
                <w:sz w:val="18"/>
              </w:rPr>
              <w:t>Licda.</w:t>
            </w:r>
            <w:r>
              <w:rPr>
                <w:b/>
                <w:spacing w:val="-15"/>
                <w:sz w:val="18"/>
              </w:rPr>
              <w:t> </w:t>
            </w:r>
            <w:r>
              <w:rPr>
                <w:b/>
                <w:sz w:val="18"/>
              </w:rPr>
              <w:t>Silvia</w:t>
            </w:r>
            <w:r>
              <w:rPr>
                <w:b/>
                <w:spacing w:val="-12"/>
                <w:sz w:val="18"/>
              </w:rPr>
              <w:t> </w:t>
            </w:r>
            <w:r>
              <w:rPr>
                <w:b/>
                <w:sz w:val="18"/>
              </w:rPr>
              <w:t>Morales </w:t>
            </w:r>
            <w:r>
              <w:rPr>
                <w:b/>
                <w:spacing w:val="-2"/>
                <w:sz w:val="18"/>
              </w:rPr>
              <w:t>Jiménez</w:t>
            </w:r>
          </w:p>
        </w:tc>
        <w:tc>
          <w:tcPr>
            <w:tcW w:w="2362" w:type="dxa"/>
          </w:tcPr>
          <w:p>
            <w:pPr>
              <w:pStyle w:val="TableParagraph"/>
              <w:spacing w:before="47"/>
              <w:ind w:left="71" w:right="56"/>
              <w:rPr>
                <w:sz w:val="18"/>
              </w:rPr>
            </w:pPr>
            <w:r>
              <w:rPr>
                <w:sz w:val="18"/>
              </w:rPr>
              <w:t>Jefatura</w:t>
            </w:r>
            <w:r>
              <w:rPr>
                <w:spacing w:val="-15"/>
                <w:sz w:val="18"/>
              </w:rPr>
              <w:t> </w:t>
            </w:r>
            <w:r>
              <w:rPr>
                <w:sz w:val="18"/>
              </w:rPr>
              <w:t>del</w:t>
            </w:r>
            <w:r>
              <w:rPr>
                <w:spacing w:val="-12"/>
                <w:sz w:val="18"/>
              </w:rPr>
              <w:t> </w:t>
            </w:r>
            <w:r>
              <w:rPr>
                <w:sz w:val="18"/>
              </w:rPr>
              <w:t>Departamento de Administración </w:t>
            </w:r>
            <w:r>
              <w:rPr>
                <w:spacing w:val="-2"/>
                <w:sz w:val="18"/>
              </w:rPr>
              <w:t>Financiera</w:t>
            </w:r>
          </w:p>
        </w:tc>
        <w:tc>
          <w:tcPr>
            <w:tcW w:w="1200" w:type="dxa"/>
            <w:vMerge/>
            <w:tcBorders>
              <w:top w:val="nil"/>
            </w:tcBorders>
          </w:tcPr>
          <w:p>
            <w:pPr>
              <w:rPr>
                <w:sz w:val="2"/>
                <w:szCs w:val="2"/>
              </w:rPr>
            </w:pPr>
          </w:p>
        </w:tc>
        <w:tc>
          <w:tcPr>
            <w:tcW w:w="2741" w:type="dxa"/>
          </w:tcPr>
          <w:p>
            <w:pPr>
              <w:pStyle w:val="TableParagraph"/>
              <w:spacing w:before="230"/>
              <w:ind w:left="72"/>
              <w:rPr>
                <w:sz w:val="22"/>
              </w:rPr>
            </w:pPr>
            <w:hyperlink r:id="rId20">
              <w:r>
                <w:rPr>
                  <w:spacing w:val="-2"/>
                  <w:sz w:val="22"/>
                  <w:u w:val="single"/>
                </w:rPr>
                <w:t>smorales@imas.go.cr</w:t>
              </w:r>
            </w:hyperlink>
          </w:p>
        </w:tc>
      </w:tr>
    </w:tbl>
    <w:p>
      <w:pPr>
        <w:pStyle w:val="TableParagraph"/>
        <w:spacing w:after="0"/>
        <w:rPr>
          <w:sz w:val="22"/>
        </w:rPr>
        <w:sectPr>
          <w:pgSz w:w="12240" w:h="15840"/>
          <w:pgMar w:header="0" w:footer="1021" w:top="1340" w:bottom="1355" w:left="720" w:right="360"/>
        </w:sectPr>
      </w:pPr>
    </w:p>
    <w:tbl>
      <w:tblPr>
        <w:tblW w:w="0" w:type="auto"/>
        <w:jc w:val="left"/>
        <w:tblInd w:w="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60"/>
        <w:gridCol w:w="2362"/>
        <w:gridCol w:w="1200"/>
        <w:gridCol w:w="2741"/>
      </w:tblGrid>
      <w:tr>
        <w:trPr>
          <w:trHeight w:val="302" w:hRule="atLeast"/>
        </w:trPr>
        <w:tc>
          <w:tcPr>
            <w:tcW w:w="2560" w:type="dxa"/>
            <w:vMerge w:val="restart"/>
            <w:shd w:val="clear" w:color="auto" w:fill="234060"/>
          </w:tcPr>
          <w:p>
            <w:pPr>
              <w:pStyle w:val="TableParagraph"/>
              <w:spacing w:before="200"/>
              <w:ind w:left="14"/>
              <w:jc w:val="center"/>
              <w:rPr>
                <w:sz w:val="18"/>
              </w:rPr>
            </w:pPr>
            <w:r>
              <w:rPr>
                <w:color w:val="FFFFFF"/>
                <w:spacing w:val="-2"/>
                <w:sz w:val="18"/>
              </w:rPr>
              <w:t>Nombre</w:t>
            </w:r>
          </w:p>
        </w:tc>
        <w:tc>
          <w:tcPr>
            <w:tcW w:w="2362" w:type="dxa"/>
            <w:vMerge w:val="restart"/>
            <w:shd w:val="clear" w:color="auto" w:fill="234060"/>
          </w:tcPr>
          <w:p>
            <w:pPr>
              <w:pStyle w:val="TableParagraph"/>
              <w:spacing w:before="200"/>
              <w:ind w:left="14"/>
              <w:jc w:val="center"/>
              <w:rPr>
                <w:sz w:val="18"/>
              </w:rPr>
            </w:pPr>
            <w:r>
              <w:rPr>
                <w:color w:val="FFFFFF"/>
                <w:spacing w:val="-2"/>
                <w:sz w:val="18"/>
              </w:rPr>
              <w:t>Cargo</w:t>
            </w:r>
          </w:p>
        </w:tc>
        <w:tc>
          <w:tcPr>
            <w:tcW w:w="1200" w:type="dxa"/>
            <w:vMerge w:val="restart"/>
            <w:tcBorders>
              <w:bottom w:val="nil"/>
            </w:tcBorders>
            <w:shd w:val="clear" w:color="auto" w:fill="234060"/>
          </w:tcPr>
          <w:p>
            <w:pPr>
              <w:pStyle w:val="TableParagraph"/>
              <w:spacing w:before="200"/>
              <w:ind w:left="225"/>
              <w:rPr>
                <w:sz w:val="18"/>
              </w:rPr>
            </w:pPr>
            <w:r>
              <w:rPr>
                <w:color w:val="FFFFFF"/>
                <w:spacing w:val="-2"/>
                <w:sz w:val="18"/>
              </w:rPr>
              <w:t>Dirección</w:t>
            </w:r>
          </w:p>
        </w:tc>
        <w:tc>
          <w:tcPr>
            <w:tcW w:w="2741" w:type="dxa"/>
            <w:shd w:val="clear" w:color="auto" w:fill="234060"/>
          </w:tcPr>
          <w:p>
            <w:pPr>
              <w:pStyle w:val="TableParagraph"/>
              <w:spacing w:before="47"/>
              <w:ind w:left="16"/>
              <w:jc w:val="center"/>
              <w:rPr>
                <w:sz w:val="18"/>
              </w:rPr>
            </w:pPr>
            <w:r>
              <w:rPr>
                <w:color w:val="FFFFFF"/>
                <w:spacing w:val="-2"/>
                <w:sz w:val="18"/>
              </w:rPr>
              <w:t>Correo</w:t>
            </w:r>
          </w:p>
        </w:tc>
      </w:tr>
      <w:tr>
        <w:trPr>
          <w:trHeight w:val="297" w:hRule="atLeast"/>
        </w:trPr>
        <w:tc>
          <w:tcPr>
            <w:tcW w:w="2560" w:type="dxa"/>
            <w:vMerge/>
            <w:tcBorders>
              <w:top w:val="nil"/>
            </w:tcBorders>
            <w:shd w:val="clear" w:color="auto" w:fill="234060"/>
          </w:tcPr>
          <w:p>
            <w:pPr>
              <w:rPr>
                <w:sz w:val="2"/>
                <w:szCs w:val="2"/>
              </w:rPr>
            </w:pPr>
          </w:p>
        </w:tc>
        <w:tc>
          <w:tcPr>
            <w:tcW w:w="2362" w:type="dxa"/>
            <w:vMerge/>
            <w:tcBorders>
              <w:top w:val="nil"/>
            </w:tcBorders>
            <w:shd w:val="clear" w:color="auto" w:fill="234060"/>
          </w:tcPr>
          <w:p>
            <w:pPr>
              <w:rPr>
                <w:sz w:val="2"/>
                <w:szCs w:val="2"/>
              </w:rPr>
            </w:pPr>
          </w:p>
        </w:tc>
        <w:tc>
          <w:tcPr>
            <w:tcW w:w="1200" w:type="dxa"/>
            <w:vMerge/>
            <w:tcBorders>
              <w:top w:val="nil"/>
              <w:bottom w:val="nil"/>
            </w:tcBorders>
            <w:shd w:val="clear" w:color="auto" w:fill="234060"/>
          </w:tcPr>
          <w:p>
            <w:pPr>
              <w:rPr>
                <w:sz w:val="2"/>
                <w:szCs w:val="2"/>
              </w:rPr>
            </w:pPr>
          </w:p>
        </w:tc>
        <w:tc>
          <w:tcPr>
            <w:tcW w:w="2741" w:type="dxa"/>
            <w:shd w:val="clear" w:color="auto" w:fill="234060"/>
          </w:tcPr>
          <w:p>
            <w:pPr>
              <w:pStyle w:val="TableParagraph"/>
              <w:spacing w:before="47"/>
              <w:ind w:left="16"/>
              <w:jc w:val="center"/>
              <w:rPr>
                <w:sz w:val="18"/>
              </w:rPr>
            </w:pPr>
            <w:r>
              <w:rPr>
                <w:color w:val="FFFFFF"/>
                <w:spacing w:val="-2"/>
                <w:sz w:val="18"/>
              </w:rPr>
              <w:t>Electrónico</w:t>
            </w:r>
          </w:p>
        </w:tc>
      </w:tr>
      <w:tr>
        <w:trPr>
          <w:trHeight w:val="480" w:hRule="atLeast"/>
        </w:trPr>
        <w:tc>
          <w:tcPr>
            <w:tcW w:w="2560" w:type="dxa"/>
          </w:tcPr>
          <w:p>
            <w:pPr>
              <w:pStyle w:val="TableParagraph"/>
              <w:spacing w:before="32"/>
              <w:ind w:left="72"/>
              <w:rPr>
                <w:b/>
                <w:sz w:val="18"/>
              </w:rPr>
            </w:pPr>
            <w:r>
              <w:rPr>
                <w:b/>
                <w:sz w:val="18"/>
              </w:rPr>
              <w:t>Lic.</w:t>
            </w:r>
            <w:r>
              <w:rPr>
                <w:b/>
                <w:spacing w:val="-15"/>
                <w:sz w:val="18"/>
              </w:rPr>
              <w:t> </w:t>
            </w:r>
            <w:r>
              <w:rPr>
                <w:b/>
                <w:sz w:val="18"/>
              </w:rPr>
              <w:t>Ramón</w:t>
            </w:r>
            <w:r>
              <w:rPr>
                <w:b/>
                <w:spacing w:val="-12"/>
                <w:sz w:val="18"/>
              </w:rPr>
              <w:t> </w:t>
            </w:r>
            <w:r>
              <w:rPr>
                <w:b/>
                <w:sz w:val="18"/>
              </w:rPr>
              <w:t>Alvarado </w:t>
            </w:r>
            <w:r>
              <w:rPr>
                <w:b/>
                <w:spacing w:val="-2"/>
                <w:sz w:val="18"/>
              </w:rPr>
              <w:t>Gutierrez</w:t>
            </w:r>
          </w:p>
        </w:tc>
        <w:tc>
          <w:tcPr>
            <w:tcW w:w="2362" w:type="dxa"/>
          </w:tcPr>
          <w:p>
            <w:pPr>
              <w:pStyle w:val="TableParagraph"/>
              <w:spacing w:before="32"/>
              <w:ind w:left="71" w:right="56"/>
              <w:rPr>
                <w:sz w:val="18"/>
              </w:rPr>
            </w:pPr>
            <w:r>
              <w:rPr>
                <w:sz w:val="18"/>
              </w:rPr>
              <w:t>Jefatura</w:t>
            </w:r>
            <w:r>
              <w:rPr>
                <w:spacing w:val="-15"/>
                <w:sz w:val="18"/>
              </w:rPr>
              <w:t> </w:t>
            </w:r>
            <w:r>
              <w:rPr>
                <w:sz w:val="18"/>
              </w:rPr>
              <w:t>Departamento</w:t>
            </w:r>
            <w:r>
              <w:rPr>
                <w:spacing w:val="-12"/>
                <w:sz w:val="18"/>
              </w:rPr>
              <w:t> </w:t>
            </w:r>
            <w:r>
              <w:rPr>
                <w:sz w:val="18"/>
              </w:rPr>
              <w:t>de </w:t>
            </w:r>
            <w:r>
              <w:rPr>
                <w:spacing w:val="-2"/>
                <w:sz w:val="18"/>
              </w:rPr>
              <w:t>Proveeduría</w:t>
            </w:r>
          </w:p>
        </w:tc>
        <w:tc>
          <w:tcPr>
            <w:tcW w:w="1200" w:type="dxa"/>
            <w:vMerge w:val="restart"/>
            <w:tcBorders>
              <w:top w:val="nil"/>
            </w:tcBorders>
          </w:tcPr>
          <w:p>
            <w:pPr>
              <w:pStyle w:val="TableParagraph"/>
              <w:rPr>
                <w:rFonts w:ascii="Times New Roman"/>
                <w:sz w:val="18"/>
              </w:rPr>
            </w:pPr>
          </w:p>
        </w:tc>
        <w:tc>
          <w:tcPr>
            <w:tcW w:w="2741" w:type="dxa"/>
          </w:tcPr>
          <w:p>
            <w:pPr>
              <w:pStyle w:val="TableParagraph"/>
              <w:spacing w:before="115"/>
              <w:ind w:left="72"/>
              <w:rPr>
                <w:sz w:val="22"/>
              </w:rPr>
            </w:pPr>
            <w:hyperlink r:id="rId21">
              <w:r>
                <w:rPr>
                  <w:spacing w:val="-2"/>
                  <w:sz w:val="22"/>
                  <w:u w:val="single"/>
                </w:rPr>
                <w:t>ralvarado@imas.go.cr</w:t>
              </w:r>
            </w:hyperlink>
          </w:p>
        </w:tc>
      </w:tr>
      <w:tr>
        <w:trPr>
          <w:trHeight w:val="484" w:hRule="atLeast"/>
        </w:trPr>
        <w:tc>
          <w:tcPr>
            <w:tcW w:w="2560" w:type="dxa"/>
          </w:tcPr>
          <w:p>
            <w:pPr>
              <w:pStyle w:val="TableParagraph"/>
              <w:spacing w:before="138"/>
              <w:ind w:left="14" w:right="182"/>
              <w:jc w:val="center"/>
              <w:rPr>
                <w:b/>
                <w:sz w:val="18"/>
              </w:rPr>
            </w:pPr>
            <w:r>
              <w:rPr>
                <w:b/>
                <w:sz w:val="18"/>
              </w:rPr>
              <w:t>Lic.</w:t>
            </w:r>
            <w:r>
              <w:rPr>
                <w:b/>
                <w:spacing w:val="-6"/>
                <w:sz w:val="18"/>
              </w:rPr>
              <w:t> </w:t>
            </w:r>
            <w:r>
              <w:rPr>
                <w:b/>
                <w:sz w:val="18"/>
              </w:rPr>
              <w:t>David</w:t>
            </w:r>
            <w:r>
              <w:rPr>
                <w:b/>
                <w:spacing w:val="-3"/>
                <w:sz w:val="18"/>
              </w:rPr>
              <w:t> </w:t>
            </w:r>
            <w:r>
              <w:rPr>
                <w:b/>
                <w:sz w:val="18"/>
              </w:rPr>
              <w:t>Cordero</w:t>
            </w:r>
            <w:r>
              <w:rPr>
                <w:b/>
                <w:spacing w:val="-8"/>
                <w:sz w:val="18"/>
              </w:rPr>
              <w:t> </w:t>
            </w:r>
            <w:r>
              <w:rPr>
                <w:b/>
                <w:spacing w:val="-2"/>
                <w:sz w:val="18"/>
              </w:rPr>
              <w:t>Quiros</w:t>
            </w:r>
          </w:p>
        </w:tc>
        <w:tc>
          <w:tcPr>
            <w:tcW w:w="2362" w:type="dxa"/>
          </w:tcPr>
          <w:p>
            <w:pPr>
              <w:pStyle w:val="TableParagraph"/>
              <w:spacing w:line="244" w:lineRule="auto" w:before="32"/>
              <w:ind w:left="71" w:right="56"/>
              <w:rPr>
                <w:sz w:val="18"/>
              </w:rPr>
            </w:pPr>
            <w:r>
              <w:rPr>
                <w:sz w:val="18"/>
              </w:rPr>
              <w:t>Jefatura</w:t>
            </w:r>
            <w:r>
              <w:rPr>
                <w:spacing w:val="-15"/>
                <w:sz w:val="18"/>
              </w:rPr>
              <w:t> </w:t>
            </w:r>
            <w:r>
              <w:rPr>
                <w:sz w:val="18"/>
              </w:rPr>
              <w:t>Departamento</w:t>
            </w:r>
            <w:r>
              <w:rPr>
                <w:spacing w:val="-12"/>
                <w:sz w:val="18"/>
              </w:rPr>
              <w:t> </w:t>
            </w:r>
            <w:r>
              <w:rPr>
                <w:sz w:val="18"/>
              </w:rPr>
              <w:t>de Servicios Generales</w:t>
            </w:r>
          </w:p>
        </w:tc>
        <w:tc>
          <w:tcPr>
            <w:tcW w:w="1200" w:type="dxa"/>
            <w:vMerge/>
            <w:tcBorders>
              <w:top w:val="nil"/>
            </w:tcBorders>
          </w:tcPr>
          <w:p>
            <w:pPr>
              <w:rPr>
                <w:sz w:val="2"/>
                <w:szCs w:val="2"/>
              </w:rPr>
            </w:pPr>
          </w:p>
        </w:tc>
        <w:tc>
          <w:tcPr>
            <w:tcW w:w="2741" w:type="dxa"/>
          </w:tcPr>
          <w:p>
            <w:pPr>
              <w:pStyle w:val="TableParagraph"/>
              <w:spacing w:before="115"/>
              <w:ind w:left="72"/>
              <w:rPr>
                <w:sz w:val="22"/>
              </w:rPr>
            </w:pPr>
            <w:hyperlink r:id="rId22">
              <w:r>
                <w:rPr>
                  <w:spacing w:val="-2"/>
                  <w:sz w:val="22"/>
                  <w:u w:val="single"/>
                </w:rPr>
                <w:t>dcorderoq@imas.go.cr</w:t>
              </w:r>
            </w:hyperlink>
          </w:p>
        </w:tc>
      </w:tr>
      <w:tr>
        <w:trPr>
          <w:trHeight w:val="479" w:hRule="atLeast"/>
        </w:trPr>
        <w:tc>
          <w:tcPr>
            <w:tcW w:w="2560" w:type="dxa"/>
          </w:tcPr>
          <w:p>
            <w:pPr>
              <w:pStyle w:val="TableParagraph"/>
              <w:spacing w:before="32"/>
              <w:ind w:left="72"/>
              <w:rPr>
                <w:b/>
                <w:sz w:val="18"/>
              </w:rPr>
            </w:pPr>
            <w:r>
              <w:rPr>
                <w:b/>
                <w:sz w:val="18"/>
              </w:rPr>
              <w:t>Licda.</w:t>
            </w:r>
            <w:r>
              <w:rPr>
                <w:b/>
                <w:spacing w:val="-15"/>
                <w:sz w:val="18"/>
              </w:rPr>
              <w:t> </w:t>
            </w:r>
            <w:r>
              <w:rPr>
                <w:b/>
                <w:sz w:val="18"/>
              </w:rPr>
              <w:t>Damaris</w:t>
            </w:r>
            <w:r>
              <w:rPr>
                <w:b/>
                <w:spacing w:val="-12"/>
                <w:sz w:val="18"/>
              </w:rPr>
              <w:t> </w:t>
            </w:r>
            <w:r>
              <w:rPr>
                <w:b/>
                <w:sz w:val="18"/>
              </w:rPr>
              <w:t>Fallas </w:t>
            </w:r>
            <w:r>
              <w:rPr>
                <w:b/>
                <w:spacing w:val="-2"/>
                <w:sz w:val="18"/>
              </w:rPr>
              <w:t>Ramirez</w:t>
            </w:r>
          </w:p>
        </w:tc>
        <w:tc>
          <w:tcPr>
            <w:tcW w:w="2362" w:type="dxa"/>
          </w:tcPr>
          <w:p>
            <w:pPr>
              <w:pStyle w:val="TableParagraph"/>
              <w:spacing w:before="32"/>
              <w:ind w:left="71" w:right="56"/>
              <w:rPr>
                <w:sz w:val="18"/>
              </w:rPr>
            </w:pPr>
            <w:r>
              <w:rPr>
                <w:sz w:val="18"/>
              </w:rPr>
              <w:t>Jefatura</w:t>
            </w:r>
            <w:r>
              <w:rPr>
                <w:spacing w:val="-15"/>
                <w:sz w:val="18"/>
              </w:rPr>
              <w:t> </w:t>
            </w:r>
            <w:r>
              <w:rPr>
                <w:sz w:val="18"/>
              </w:rPr>
              <w:t>Departamento</w:t>
            </w:r>
            <w:r>
              <w:rPr>
                <w:spacing w:val="-12"/>
                <w:sz w:val="18"/>
              </w:rPr>
              <w:t> </w:t>
            </w:r>
            <w:r>
              <w:rPr>
                <w:sz w:val="18"/>
              </w:rPr>
              <w:t>de Empresas Comerciales</w:t>
            </w:r>
          </w:p>
        </w:tc>
        <w:tc>
          <w:tcPr>
            <w:tcW w:w="1200" w:type="dxa"/>
            <w:vMerge/>
            <w:tcBorders>
              <w:top w:val="nil"/>
            </w:tcBorders>
          </w:tcPr>
          <w:p>
            <w:pPr>
              <w:rPr>
                <w:sz w:val="2"/>
                <w:szCs w:val="2"/>
              </w:rPr>
            </w:pPr>
          </w:p>
        </w:tc>
        <w:tc>
          <w:tcPr>
            <w:tcW w:w="2741" w:type="dxa"/>
          </w:tcPr>
          <w:p>
            <w:pPr>
              <w:pStyle w:val="TableParagraph"/>
              <w:spacing w:before="110"/>
              <w:ind w:left="72"/>
              <w:rPr>
                <w:sz w:val="22"/>
              </w:rPr>
            </w:pPr>
            <w:hyperlink r:id="rId23">
              <w:r>
                <w:rPr>
                  <w:spacing w:val="-2"/>
                  <w:sz w:val="22"/>
                  <w:u w:val="single"/>
                </w:rPr>
                <w:t>dfallas@imas.go.cr</w:t>
              </w:r>
            </w:hyperlink>
          </w:p>
        </w:tc>
      </w:tr>
      <w:tr>
        <w:trPr>
          <w:trHeight w:val="479" w:hRule="atLeast"/>
        </w:trPr>
        <w:tc>
          <w:tcPr>
            <w:tcW w:w="2560" w:type="dxa"/>
          </w:tcPr>
          <w:p>
            <w:pPr>
              <w:pStyle w:val="TableParagraph"/>
              <w:spacing w:before="32"/>
              <w:ind w:left="72"/>
              <w:rPr>
                <w:b/>
                <w:sz w:val="18"/>
              </w:rPr>
            </w:pPr>
            <w:r>
              <w:rPr>
                <w:b/>
                <w:sz w:val="18"/>
              </w:rPr>
              <w:t>Lic.</w:t>
            </w:r>
            <w:r>
              <w:rPr>
                <w:b/>
                <w:spacing w:val="-15"/>
                <w:sz w:val="18"/>
              </w:rPr>
              <w:t> </w:t>
            </w:r>
            <w:r>
              <w:rPr>
                <w:b/>
                <w:sz w:val="18"/>
              </w:rPr>
              <w:t>Geonvanni</w:t>
            </w:r>
            <w:r>
              <w:rPr>
                <w:b/>
                <w:spacing w:val="-12"/>
                <w:sz w:val="18"/>
              </w:rPr>
              <w:t> </w:t>
            </w:r>
            <w:r>
              <w:rPr>
                <w:b/>
                <w:sz w:val="18"/>
              </w:rPr>
              <w:t>Cambronero </w:t>
            </w:r>
            <w:r>
              <w:rPr>
                <w:b/>
                <w:spacing w:val="-2"/>
                <w:sz w:val="18"/>
              </w:rPr>
              <w:t>Herrera</w:t>
            </w:r>
          </w:p>
        </w:tc>
        <w:tc>
          <w:tcPr>
            <w:tcW w:w="2362" w:type="dxa"/>
          </w:tcPr>
          <w:p>
            <w:pPr>
              <w:pStyle w:val="TableParagraph"/>
              <w:spacing w:before="32"/>
              <w:ind w:left="71" w:right="56"/>
              <w:rPr>
                <w:sz w:val="18"/>
              </w:rPr>
            </w:pPr>
            <w:r>
              <w:rPr>
                <w:sz w:val="18"/>
              </w:rPr>
              <w:t>Jefatura</w:t>
            </w:r>
            <w:r>
              <w:rPr>
                <w:spacing w:val="-3"/>
                <w:sz w:val="18"/>
              </w:rPr>
              <w:t> </w:t>
            </w:r>
            <w:r>
              <w:rPr>
                <w:sz w:val="18"/>
              </w:rPr>
              <w:t>Departamento Captación</w:t>
            </w:r>
            <w:r>
              <w:rPr>
                <w:spacing w:val="-4"/>
                <w:sz w:val="18"/>
              </w:rPr>
              <w:t> </w:t>
            </w:r>
            <w:r>
              <w:rPr>
                <w:sz w:val="18"/>
              </w:rPr>
              <w:t>de</w:t>
            </w:r>
            <w:r>
              <w:rPr>
                <w:spacing w:val="-3"/>
                <w:sz w:val="18"/>
              </w:rPr>
              <w:t> </w:t>
            </w:r>
            <w:r>
              <w:rPr>
                <w:spacing w:val="-2"/>
                <w:sz w:val="18"/>
              </w:rPr>
              <w:t>Recursos</w:t>
            </w:r>
          </w:p>
        </w:tc>
        <w:tc>
          <w:tcPr>
            <w:tcW w:w="1200" w:type="dxa"/>
            <w:vMerge/>
            <w:tcBorders>
              <w:top w:val="nil"/>
            </w:tcBorders>
          </w:tcPr>
          <w:p>
            <w:pPr>
              <w:rPr>
                <w:sz w:val="2"/>
                <w:szCs w:val="2"/>
              </w:rPr>
            </w:pPr>
          </w:p>
        </w:tc>
        <w:tc>
          <w:tcPr>
            <w:tcW w:w="2741" w:type="dxa"/>
          </w:tcPr>
          <w:p>
            <w:pPr>
              <w:pStyle w:val="TableParagraph"/>
              <w:spacing w:before="110"/>
              <w:ind w:left="72"/>
              <w:rPr>
                <w:sz w:val="22"/>
              </w:rPr>
            </w:pPr>
            <w:hyperlink r:id="rId24">
              <w:r>
                <w:rPr>
                  <w:spacing w:val="-2"/>
                  <w:sz w:val="22"/>
                  <w:u w:val="single"/>
                </w:rPr>
                <w:t>gcambronero@imas.gocr</w:t>
              </w:r>
            </w:hyperlink>
          </w:p>
        </w:tc>
      </w:tr>
      <w:tr>
        <w:trPr>
          <w:trHeight w:val="748" w:hRule="atLeast"/>
        </w:trPr>
        <w:tc>
          <w:tcPr>
            <w:tcW w:w="2560" w:type="dxa"/>
          </w:tcPr>
          <w:p>
            <w:pPr>
              <w:pStyle w:val="TableParagraph"/>
              <w:spacing w:before="167"/>
              <w:ind w:left="72"/>
              <w:rPr>
                <w:b/>
                <w:sz w:val="18"/>
              </w:rPr>
            </w:pPr>
            <w:r>
              <w:rPr>
                <w:b/>
                <w:sz w:val="18"/>
              </w:rPr>
              <w:t>Licda.</w:t>
            </w:r>
            <w:r>
              <w:rPr>
                <w:b/>
                <w:spacing w:val="-15"/>
                <w:sz w:val="18"/>
              </w:rPr>
              <w:t> </w:t>
            </w:r>
            <w:r>
              <w:rPr>
                <w:b/>
                <w:sz w:val="18"/>
              </w:rPr>
              <w:t>Raquel</w:t>
            </w:r>
            <w:r>
              <w:rPr>
                <w:b/>
                <w:spacing w:val="-12"/>
                <w:sz w:val="18"/>
              </w:rPr>
              <w:t> </w:t>
            </w:r>
            <w:r>
              <w:rPr>
                <w:b/>
                <w:sz w:val="18"/>
              </w:rPr>
              <w:t>Quesada </w:t>
            </w:r>
            <w:r>
              <w:rPr>
                <w:b/>
                <w:spacing w:val="-2"/>
                <w:sz w:val="18"/>
              </w:rPr>
              <w:t>Jiménez</w:t>
            </w:r>
          </w:p>
        </w:tc>
        <w:tc>
          <w:tcPr>
            <w:tcW w:w="2362" w:type="dxa"/>
          </w:tcPr>
          <w:p>
            <w:pPr>
              <w:pStyle w:val="TableParagraph"/>
              <w:spacing w:before="167"/>
              <w:ind w:left="71" w:right="432"/>
              <w:rPr>
                <w:sz w:val="18"/>
              </w:rPr>
            </w:pPr>
            <w:r>
              <w:rPr>
                <w:sz w:val="18"/>
              </w:rPr>
              <w:t>Jefatura</w:t>
            </w:r>
            <w:r>
              <w:rPr>
                <w:spacing w:val="-13"/>
                <w:sz w:val="18"/>
              </w:rPr>
              <w:t> </w:t>
            </w:r>
            <w:r>
              <w:rPr>
                <w:sz w:val="18"/>
              </w:rPr>
              <w:t>Departamento Bienestar Familiar</w:t>
            </w:r>
          </w:p>
        </w:tc>
        <w:tc>
          <w:tcPr>
            <w:tcW w:w="1200" w:type="dxa"/>
            <w:vMerge/>
            <w:tcBorders>
              <w:top w:val="nil"/>
            </w:tcBorders>
          </w:tcPr>
          <w:p>
            <w:pPr>
              <w:rPr>
                <w:sz w:val="2"/>
                <w:szCs w:val="2"/>
              </w:rPr>
            </w:pPr>
          </w:p>
        </w:tc>
        <w:tc>
          <w:tcPr>
            <w:tcW w:w="2741" w:type="dxa"/>
          </w:tcPr>
          <w:p>
            <w:pPr>
              <w:pStyle w:val="TableParagraph"/>
              <w:spacing w:before="245"/>
              <w:ind w:left="72"/>
              <w:rPr>
                <w:sz w:val="22"/>
              </w:rPr>
            </w:pPr>
            <w:hyperlink r:id="rId25">
              <w:r>
                <w:rPr>
                  <w:spacing w:val="-2"/>
                  <w:sz w:val="22"/>
                  <w:u w:val="single"/>
                </w:rPr>
                <w:t>rquesadaj@imas.go.cr</w:t>
              </w:r>
            </w:hyperlink>
          </w:p>
        </w:tc>
      </w:tr>
      <w:tr>
        <w:trPr>
          <w:trHeight w:val="719" w:hRule="atLeast"/>
        </w:trPr>
        <w:tc>
          <w:tcPr>
            <w:tcW w:w="2560" w:type="dxa"/>
          </w:tcPr>
          <w:p>
            <w:pPr>
              <w:pStyle w:val="TableParagraph"/>
              <w:spacing w:before="51"/>
              <w:rPr>
                <w:b/>
                <w:sz w:val="18"/>
              </w:rPr>
            </w:pPr>
          </w:p>
          <w:p>
            <w:pPr>
              <w:pStyle w:val="TableParagraph"/>
              <w:ind w:left="14" w:right="81"/>
              <w:jc w:val="center"/>
              <w:rPr>
                <w:b/>
                <w:sz w:val="18"/>
              </w:rPr>
            </w:pPr>
            <w:r>
              <w:rPr>
                <w:b/>
                <w:sz w:val="18"/>
              </w:rPr>
              <w:t>Licda.</w:t>
            </w:r>
            <w:r>
              <w:rPr>
                <w:b/>
                <w:spacing w:val="-1"/>
                <w:sz w:val="18"/>
              </w:rPr>
              <w:t> </w:t>
            </w:r>
            <w:r>
              <w:rPr>
                <w:b/>
                <w:sz w:val="18"/>
              </w:rPr>
              <w:t>Karla</w:t>
            </w:r>
            <w:r>
              <w:rPr>
                <w:b/>
                <w:spacing w:val="-7"/>
                <w:sz w:val="18"/>
              </w:rPr>
              <w:t> </w:t>
            </w:r>
            <w:r>
              <w:rPr>
                <w:b/>
                <w:sz w:val="18"/>
              </w:rPr>
              <w:t>Perez</w:t>
            </w:r>
            <w:r>
              <w:rPr>
                <w:b/>
                <w:spacing w:val="-7"/>
                <w:sz w:val="18"/>
              </w:rPr>
              <w:t> </w:t>
            </w:r>
            <w:r>
              <w:rPr>
                <w:b/>
                <w:spacing w:val="-2"/>
                <w:sz w:val="18"/>
              </w:rPr>
              <w:t>Fonseca</w:t>
            </w:r>
          </w:p>
        </w:tc>
        <w:tc>
          <w:tcPr>
            <w:tcW w:w="2362" w:type="dxa"/>
          </w:tcPr>
          <w:p>
            <w:pPr>
              <w:pStyle w:val="TableParagraph"/>
              <w:spacing w:line="242" w:lineRule="auto" w:before="47"/>
              <w:ind w:left="71" w:right="432"/>
              <w:rPr>
                <w:sz w:val="18"/>
              </w:rPr>
            </w:pPr>
            <w:r>
              <w:rPr>
                <w:sz w:val="18"/>
              </w:rPr>
              <w:t>Jefatura</w:t>
            </w:r>
            <w:r>
              <w:rPr>
                <w:spacing w:val="-13"/>
                <w:sz w:val="18"/>
              </w:rPr>
              <w:t> </w:t>
            </w:r>
            <w:r>
              <w:rPr>
                <w:sz w:val="18"/>
              </w:rPr>
              <w:t>Departamento Socio Productivo y </w:t>
            </w:r>
            <w:r>
              <w:rPr>
                <w:spacing w:val="-2"/>
                <w:sz w:val="18"/>
              </w:rPr>
              <w:t>Comunal</w:t>
            </w:r>
          </w:p>
        </w:tc>
        <w:tc>
          <w:tcPr>
            <w:tcW w:w="1200" w:type="dxa"/>
            <w:vMerge/>
            <w:tcBorders>
              <w:top w:val="nil"/>
            </w:tcBorders>
          </w:tcPr>
          <w:p>
            <w:pPr>
              <w:rPr>
                <w:sz w:val="2"/>
                <w:szCs w:val="2"/>
              </w:rPr>
            </w:pPr>
          </w:p>
        </w:tc>
        <w:tc>
          <w:tcPr>
            <w:tcW w:w="2741" w:type="dxa"/>
          </w:tcPr>
          <w:p>
            <w:pPr>
              <w:pStyle w:val="TableParagraph"/>
              <w:spacing w:before="230"/>
              <w:ind w:left="72"/>
              <w:rPr>
                <w:sz w:val="22"/>
              </w:rPr>
            </w:pPr>
            <w:hyperlink r:id="rId26">
              <w:r>
                <w:rPr>
                  <w:spacing w:val="-2"/>
                  <w:sz w:val="22"/>
                  <w:u w:val="single"/>
                </w:rPr>
                <w:t>kperezf@imas.go.cr</w:t>
              </w:r>
            </w:hyperlink>
          </w:p>
        </w:tc>
      </w:tr>
      <w:tr>
        <w:trPr>
          <w:trHeight w:val="705" w:hRule="atLeast"/>
        </w:trPr>
        <w:tc>
          <w:tcPr>
            <w:tcW w:w="2560" w:type="dxa"/>
          </w:tcPr>
          <w:p>
            <w:pPr>
              <w:pStyle w:val="TableParagraph"/>
              <w:spacing w:before="147"/>
              <w:ind w:left="72"/>
              <w:rPr>
                <w:b/>
                <w:sz w:val="18"/>
              </w:rPr>
            </w:pPr>
            <w:r>
              <w:rPr>
                <w:b/>
                <w:sz w:val="18"/>
              </w:rPr>
              <w:t>Licda.</w:t>
            </w:r>
            <w:r>
              <w:rPr>
                <w:b/>
                <w:spacing w:val="-15"/>
                <w:sz w:val="18"/>
              </w:rPr>
              <w:t> </w:t>
            </w:r>
            <w:r>
              <w:rPr>
                <w:b/>
                <w:sz w:val="18"/>
              </w:rPr>
              <w:t>Grettel</w:t>
            </w:r>
            <w:r>
              <w:rPr>
                <w:b/>
                <w:spacing w:val="-12"/>
                <w:sz w:val="18"/>
              </w:rPr>
              <w:t> </w:t>
            </w:r>
            <w:r>
              <w:rPr>
                <w:b/>
                <w:sz w:val="18"/>
              </w:rPr>
              <w:t>Lopez </w:t>
            </w:r>
            <w:r>
              <w:rPr>
                <w:b/>
                <w:spacing w:val="-2"/>
                <w:sz w:val="18"/>
              </w:rPr>
              <w:t>Rodriguez</w:t>
            </w:r>
          </w:p>
        </w:tc>
        <w:tc>
          <w:tcPr>
            <w:tcW w:w="2362" w:type="dxa"/>
          </w:tcPr>
          <w:p>
            <w:pPr>
              <w:pStyle w:val="TableParagraph"/>
              <w:spacing w:before="147"/>
              <w:ind w:left="71" w:right="432"/>
              <w:rPr>
                <w:sz w:val="18"/>
              </w:rPr>
            </w:pPr>
            <w:r>
              <w:rPr>
                <w:sz w:val="18"/>
              </w:rPr>
              <w:t>Jefatura</w:t>
            </w:r>
            <w:r>
              <w:rPr>
                <w:spacing w:val="-13"/>
                <w:sz w:val="18"/>
              </w:rPr>
              <w:t> </w:t>
            </w:r>
            <w:r>
              <w:rPr>
                <w:sz w:val="18"/>
              </w:rPr>
              <w:t>Departamento Socio Educativo</w:t>
            </w:r>
          </w:p>
        </w:tc>
        <w:tc>
          <w:tcPr>
            <w:tcW w:w="1200" w:type="dxa"/>
            <w:vMerge/>
            <w:tcBorders>
              <w:top w:val="nil"/>
            </w:tcBorders>
          </w:tcPr>
          <w:p>
            <w:pPr>
              <w:rPr>
                <w:sz w:val="2"/>
                <w:szCs w:val="2"/>
              </w:rPr>
            </w:pPr>
          </w:p>
        </w:tc>
        <w:tc>
          <w:tcPr>
            <w:tcW w:w="2741" w:type="dxa"/>
          </w:tcPr>
          <w:p>
            <w:pPr>
              <w:pStyle w:val="TableParagraph"/>
              <w:spacing w:before="226"/>
              <w:ind w:left="72"/>
              <w:rPr>
                <w:sz w:val="22"/>
              </w:rPr>
            </w:pPr>
            <w:hyperlink r:id="rId27">
              <w:r>
                <w:rPr>
                  <w:spacing w:val="-2"/>
                  <w:sz w:val="22"/>
                  <w:u w:val="single"/>
                </w:rPr>
                <w:t>glopez@imas.go.cr</w:t>
              </w:r>
            </w:hyperlink>
          </w:p>
        </w:tc>
      </w:tr>
      <w:tr>
        <w:trPr>
          <w:trHeight w:val="959" w:hRule="atLeast"/>
        </w:trPr>
        <w:tc>
          <w:tcPr>
            <w:tcW w:w="2560" w:type="dxa"/>
          </w:tcPr>
          <w:p>
            <w:pPr>
              <w:pStyle w:val="TableParagraph"/>
              <w:spacing w:before="65"/>
              <w:rPr>
                <w:b/>
                <w:sz w:val="18"/>
              </w:rPr>
            </w:pPr>
          </w:p>
          <w:p>
            <w:pPr>
              <w:pStyle w:val="TableParagraph"/>
              <w:ind w:left="72"/>
              <w:rPr>
                <w:b/>
                <w:sz w:val="18"/>
              </w:rPr>
            </w:pPr>
            <w:r>
              <w:rPr>
                <w:b/>
                <w:sz w:val="18"/>
              </w:rPr>
              <w:t>Licda.</w:t>
            </w:r>
            <w:r>
              <w:rPr>
                <w:b/>
                <w:spacing w:val="-11"/>
                <w:sz w:val="18"/>
              </w:rPr>
              <w:t> </w:t>
            </w:r>
            <w:r>
              <w:rPr>
                <w:b/>
                <w:sz w:val="18"/>
              </w:rPr>
              <w:t>María</w:t>
            </w:r>
            <w:r>
              <w:rPr>
                <w:b/>
                <w:spacing w:val="-10"/>
                <w:sz w:val="18"/>
              </w:rPr>
              <w:t> </w:t>
            </w:r>
            <w:r>
              <w:rPr>
                <w:b/>
                <w:sz w:val="18"/>
              </w:rPr>
              <w:t>Emilia</w:t>
            </w:r>
            <w:r>
              <w:rPr>
                <w:b/>
                <w:spacing w:val="-13"/>
                <w:sz w:val="18"/>
              </w:rPr>
              <w:t> </w:t>
            </w:r>
            <w:r>
              <w:rPr>
                <w:b/>
                <w:sz w:val="18"/>
              </w:rPr>
              <w:t>Mora </w:t>
            </w:r>
            <w:r>
              <w:rPr>
                <w:b/>
                <w:spacing w:val="-2"/>
                <w:sz w:val="18"/>
              </w:rPr>
              <w:t>Campos</w:t>
            </w:r>
          </w:p>
        </w:tc>
        <w:tc>
          <w:tcPr>
            <w:tcW w:w="2362" w:type="dxa"/>
          </w:tcPr>
          <w:p>
            <w:pPr>
              <w:pStyle w:val="TableParagraph"/>
              <w:spacing w:before="66"/>
              <w:ind w:left="71" w:right="432"/>
              <w:rPr>
                <w:sz w:val="18"/>
              </w:rPr>
            </w:pPr>
            <w:r>
              <w:rPr>
                <w:sz w:val="18"/>
              </w:rPr>
              <w:t>Jefatura</w:t>
            </w:r>
            <w:r>
              <w:rPr>
                <w:spacing w:val="-13"/>
                <w:sz w:val="18"/>
              </w:rPr>
              <w:t> </w:t>
            </w:r>
            <w:r>
              <w:rPr>
                <w:sz w:val="18"/>
              </w:rPr>
              <w:t>Departamento Acción Social y Administración de </w:t>
            </w:r>
            <w:r>
              <w:rPr>
                <w:spacing w:val="-2"/>
                <w:sz w:val="18"/>
              </w:rPr>
              <w:t>Instituciones</w:t>
            </w:r>
          </w:p>
        </w:tc>
        <w:tc>
          <w:tcPr>
            <w:tcW w:w="1200" w:type="dxa"/>
            <w:vMerge/>
            <w:tcBorders>
              <w:top w:val="nil"/>
            </w:tcBorders>
          </w:tcPr>
          <w:p>
            <w:pPr>
              <w:rPr>
                <w:sz w:val="2"/>
                <w:szCs w:val="2"/>
              </w:rPr>
            </w:pPr>
          </w:p>
        </w:tc>
        <w:tc>
          <w:tcPr>
            <w:tcW w:w="2741" w:type="dxa"/>
          </w:tcPr>
          <w:p>
            <w:pPr>
              <w:pStyle w:val="TableParagraph"/>
              <w:spacing w:before="102"/>
              <w:rPr>
                <w:b/>
                <w:sz w:val="22"/>
              </w:rPr>
            </w:pPr>
          </w:p>
          <w:p>
            <w:pPr>
              <w:pStyle w:val="TableParagraph"/>
              <w:ind w:left="72"/>
              <w:rPr>
                <w:sz w:val="22"/>
              </w:rPr>
            </w:pPr>
            <w:hyperlink r:id="rId28">
              <w:r>
                <w:rPr>
                  <w:spacing w:val="-2"/>
                  <w:sz w:val="22"/>
                  <w:u w:val="single"/>
                </w:rPr>
                <w:t>mmorac@imas.go.cr</w:t>
              </w:r>
            </w:hyperlink>
          </w:p>
        </w:tc>
      </w:tr>
    </w:tbl>
    <w:p>
      <w:pPr>
        <w:pStyle w:val="BodyText"/>
        <w:spacing w:before="21"/>
        <w:rPr>
          <w:b/>
          <w:sz w:val="20"/>
        </w:rPr>
      </w:pPr>
    </w:p>
    <w:p>
      <w:pPr>
        <w:spacing w:before="0"/>
        <w:ind w:left="979" w:right="0" w:firstLine="0"/>
        <w:jc w:val="left"/>
        <w:rPr>
          <w:b/>
          <w:sz w:val="20"/>
        </w:rPr>
      </w:pPr>
      <w:r>
        <w:rPr>
          <w:b/>
          <w:sz w:val="20"/>
        </w:rPr>
        <w:t>Fuente:</w:t>
      </w:r>
      <w:r>
        <w:rPr>
          <w:b/>
          <w:spacing w:val="-9"/>
          <w:sz w:val="20"/>
        </w:rPr>
        <w:t> </w:t>
      </w:r>
      <w:r>
        <w:rPr>
          <w:b/>
          <w:sz w:val="20"/>
        </w:rPr>
        <w:t>Elaborado</w:t>
      </w:r>
      <w:r>
        <w:rPr>
          <w:b/>
          <w:spacing w:val="-11"/>
          <w:sz w:val="20"/>
        </w:rPr>
        <w:t> </w:t>
      </w:r>
      <w:r>
        <w:rPr>
          <w:b/>
          <w:sz w:val="20"/>
        </w:rPr>
        <w:t>por</w:t>
      </w:r>
      <w:r>
        <w:rPr>
          <w:b/>
          <w:spacing w:val="-9"/>
          <w:sz w:val="20"/>
        </w:rPr>
        <w:t> </w:t>
      </w:r>
      <w:r>
        <w:rPr>
          <w:b/>
          <w:sz w:val="20"/>
        </w:rPr>
        <w:t>Unidad</w:t>
      </w:r>
      <w:r>
        <w:rPr>
          <w:b/>
          <w:spacing w:val="-11"/>
          <w:sz w:val="20"/>
        </w:rPr>
        <w:t> </w:t>
      </w:r>
      <w:r>
        <w:rPr>
          <w:b/>
          <w:sz w:val="20"/>
        </w:rPr>
        <w:t>de</w:t>
      </w:r>
      <w:r>
        <w:rPr>
          <w:b/>
          <w:spacing w:val="-10"/>
          <w:sz w:val="20"/>
        </w:rPr>
        <w:t> </w:t>
      </w:r>
      <w:r>
        <w:rPr>
          <w:b/>
          <w:sz w:val="20"/>
        </w:rPr>
        <w:t>Planificación</w:t>
      </w:r>
      <w:r>
        <w:rPr>
          <w:b/>
          <w:spacing w:val="-11"/>
          <w:sz w:val="20"/>
        </w:rPr>
        <w:t> </w:t>
      </w:r>
      <w:r>
        <w:rPr>
          <w:b/>
          <w:sz w:val="20"/>
        </w:rPr>
        <w:t>Institucional,</w:t>
      </w:r>
      <w:r>
        <w:rPr>
          <w:b/>
          <w:spacing w:val="-6"/>
          <w:sz w:val="20"/>
        </w:rPr>
        <w:t> </w:t>
      </w:r>
      <w:r>
        <w:rPr>
          <w:b/>
          <w:spacing w:val="-4"/>
          <w:sz w:val="20"/>
        </w:rPr>
        <w:t>2025</w:t>
      </w:r>
    </w:p>
    <w:p>
      <w:pPr>
        <w:pStyle w:val="BodyText"/>
        <w:rPr>
          <w:b/>
          <w:sz w:val="20"/>
        </w:rPr>
      </w:pPr>
    </w:p>
    <w:p>
      <w:pPr>
        <w:pStyle w:val="BodyText"/>
        <w:spacing w:before="45"/>
        <w:rPr>
          <w:b/>
          <w:sz w:val="20"/>
        </w:rPr>
      </w:pPr>
    </w:p>
    <w:p>
      <w:pPr>
        <w:pStyle w:val="Heading1"/>
        <w:numPr>
          <w:ilvl w:val="1"/>
          <w:numId w:val="4"/>
        </w:numPr>
        <w:tabs>
          <w:tab w:pos="2260" w:val="left" w:leader="none"/>
        </w:tabs>
        <w:spacing w:line="240" w:lineRule="auto" w:before="0" w:after="0"/>
        <w:ind w:left="1844" w:right="1333" w:firstLine="0"/>
        <w:jc w:val="both"/>
      </w:pPr>
      <w:bookmarkStart w:name="_bookmark6" w:id="7"/>
      <w:bookmarkEnd w:id="7"/>
      <w:r>
        <w:rPr>
          <w:b w:val="0"/>
        </w:rPr>
      </w:r>
      <w:r>
        <w:rPr/>
        <w:t>Nombres y cargos de las personas funcionarias responsables de la ejecución del Programa de Protección y</w:t>
      </w:r>
      <w:r>
        <w:rPr>
          <w:spacing w:val="-3"/>
        </w:rPr>
        <w:t> </w:t>
      </w:r>
      <w:r>
        <w:rPr/>
        <w:t>Promoción Social en cada Área Regional de Desarrollo Social</w:t>
      </w:r>
    </w:p>
    <w:p>
      <w:pPr>
        <w:pStyle w:val="BodyText"/>
        <w:rPr>
          <w:b/>
          <w:sz w:val="24"/>
        </w:rPr>
      </w:pPr>
    </w:p>
    <w:p>
      <w:pPr>
        <w:pStyle w:val="Heading2"/>
        <w:ind w:left="2987" w:right="894" w:hanging="2056"/>
      </w:pPr>
      <w:bookmarkStart w:name="_bookmark7" w:id="8"/>
      <w:bookmarkEnd w:id="8"/>
      <w:r>
        <w:rPr>
          <w:b w:val="0"/>
        </w:rPr>
      </w:r>
      <w:r>
        <w:rPr/>
        <w:t>Tabla</w:t>
      </w:r>
      <w:r>
        <w:rPr>
          <w:spacing w:val="-3"/>
        </w:rPr>
        <w:t> </w:t>
      </w:r>
      <w:r>
        <w:rPr/>
        <w:t>3:</w:t>
      </w:r>
      <w:r>
        <w:rPr>
          <w:spacing w:val="-3"/>
        </w:rPr>
        <w:t> </w:t>
      </w:r>
      <w:r>
        <w:rPr/>
        <w:t>Nombres</w:t>
      </w:r>
      <w:r>
        <w:rPr>
          <w:spacing w:val="-4"/>
        </w:rPr>
        <w:t> </w:t>
      </w:r>
      <w:r>
        <w:rPr/>
        <w:t>y</w:t>
      </w:r>
      <w:r>
        <w:rPr>
          <w:spacing w:val="-4"/>
        </w:rPr>
        <w:t> </w:t>
      </w:r>
      <w:r>
        <w:rPr/>
        <w:t>cargos</w:t>
      </w:r>
      <w:r>
        <w:rPr>
          <w:spacing w:val="-5"/>
        </w:rPr>
        <w:t> </w:t>
      </w:r>
      <w:r>
        <w:rPr/>
        <w:t>de personas responsables</w:t>
      </w:r>
      <w:r>
        <w:rPr>
          <w:spacing w:val="-4"/>
        </w:rPr>
        <w:t> </w:t>
      </w:r>
      <w:r>
        <w:rPr/>
        <w:t>en</w:t>
      </w:r>
      <w:r>
        <w:rPr>
          <w:spacing w:val="-6"/>
        </w:rPr>
        <w:t> </w:t>
      </w:r>
      <w:r>
        <w:rPr/>
        <w:t>la</w:t>
      </w:r>
      <w:r>
        <w:rPr>
          <w:spacing w:val="-4"/>
        </w:rPr>
        <w:t> </w:t>
      </w:r>
      <w:r>
        <w:rPr/>
        <w:t>ejecución</w:t>
      </w:r>
      <w:r>
        <w:rPr>
          <w:spacing w:val="-2"/>
        </w:rPr>
        <w:t> </w:t>
      </w:r>
      <w:r>
        <w:rPr/>
        <w:t>del</w:t>
      </w:r>
      <w:r>
        <w:rPr>
          <w:spacing w:val="-5"/>
        </w:rPr>
        <w:t> </w:t>
      </w:r>
      <w:r>
        <w:rPr/>
        <w:t>Programa</w:t>
      </w:r>
      <w:r>
        <w:rPr>
          <w:spacing w:val="-4"/>
        </w:rPr>
        <w:t> </w:t>
      </w:r>
      <w:r>
        <w:rPr/>
        <w:t>de Protección y Promoción Social, a nivel regional</w:t>
      </w:r>
    </w:p>
    <w:p>
      <w:pPr>
        <w:pStyle w:val="BodyText"/>
        <w:spacing w:before="47"/>
        <w:rPr>
          <w:b/>
          <w:sz w:val="20"/>
        </w:rPr>
      </w:pPr>
    </w:p>
    <w:tbl>
      <w:tblPr>
        <w:tblW w:w="0" w:type="auto"/>
        <w:jc w:val="left"/>
        <w:tblInd w:w="1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22"/>
        <w:gridCol w:w="1810"/>
        <w:gridCol w:w="1416"/>
        <w:gridCol w:w="2276"/>
      </w:tblGrid>
      <w:tr>
        <w:trPr>
          <w:trHeight w:val="498" w:hRule="atLeast"/>
        </w:trPr>
        <w:tc>
          <w:tcPr>
            <w:tcW w:w="2022" w:type="dxa"/>
            <w:shd w:val="clear" w:color="auto" w:fill="234060"/>
          </w:tcPr>
          <w:p>
            <w:pPr>
              <w:pStyle w:val="TableParagraph"/>
              <w:spacing w:before="143"/>
              <w:ind w:left="479"/>
              <w:rPr>
                <w:sz w:val="18"/>
              </w:rPr>
            </w:pPr>
            <w:r>
              <w:rPr>
                <w:color w:val="FFFFFF"/>
                <w:spacing w:val="-2"/>
                <w:sz w:val="18"/>
              </w:rPr>
              <w:t>Responsable</w:t>
            </w:r>
          </w:p>
        </w:tc>
        <w:tc>
          <w:tcPr>
            <w:tcW w:w="1810" w:type="dxa"/>
            <w:shd w:val="clear" w:color="auto" w:fill="234060"/>
          </w:tcPr>
          <w:p>
            <w:pPr>
              <w:pStyle w:val="TableParagraph"/>
              <w:spacing w:before="143"/>
              <w:jc w:val="center"/>
              <w:rPr>
                <w:sz w:val="18"/>
              </w:rPr>
            </w:pPr>
            <w:r>
              <w:rPr>
                <w:color w:val="FFFFFF"/>
                <w:spacing w:val="-2"/>
                <w:sz w:val="18"/>
              </w:rPr>
              <w:t>Cargo</w:t>
            </w:r>
          </w:p>
        </w:tc>
        <w:tc>
          <w:tcPr>
            <w:tcW w:w="1416" w:type="dxa"/>
            <w:shd w:val="clear" w:color="auto" w:fill="234060"/>
          </w:tcPr>
          <w:p>
            <w:pPr>
              <w:pStyle w:val="TableParagraph"/>
              <w:spacing w:before="143"/>
              <w:ind w:left="417"/>
              <w:rPr>
                <w:sz w:val="18"/>
              </w:rPr>
            </w:pPr>
            <w:r>
              <w:rPr>
                <w:color w:val="FFFFFF"/>
                <w:spacing w:val="-2"/>
                <w:sz w:val="18"/>
              </w:rPr>
              <w:t>Región</w:t>
            </w:r>
          </w:p>
        </w:tc>
        <w:tc>
          <w:tcPr>
            <w:tcW w:w="2276" w:type="dxa"/>
            <w:shd w:val="clear" w:color="auto" w:fill="234060"/>
          </w:tcPr>
          <w:p>
            <w:pPr>
              <w:pStyle w:val="TableParagraph"/>
              <w:spacing w:before="143"/>
              <w:ind w:left="389"/>
              <w:rPr>
                <w:sz w:val="18"/>
              </w:rPr>
            </w:pPr>
            <w:r>
              <w:rPr>
                <w:color w:val="FFFFFF"/>
                <w:sz w:val="18"/>
              </w:rPr>
              <w:t>Correo</w:t>
            </w:r>
            <w:r>
              <w:rPr>
                <w:color w:val="FFFFFF"/>
                <w:spacing w:val="-1"/>
                <w:sz w:val="18"/>
              </w:rPr>
              <w:t> </w:t>
            </w:r>
            <w:r>
              <w:rPr>
                <w:color w:val="FFFFFF"/>
                <w:spacing w:val="-2"/>
                <w:sz w:val="18"/>
              </w:rPr>
              <w:t>Electrónico</w:t>
            </w:r>
          </w:p>
        </w:tc>
      </w:tr>
      <w:tr>
        <w:trPr>
          <w:trHeight w:val="585" w:hRule="atLeast"/>
        </w:trPr>
        <w:tc>
          <w:tcPr>
            <w:tcW w:w="2022" w:type="dxa"/>
          </w:tcPr>
          <w:p>
            <w:pPr>
              <w:pStyle w:val="TableParagraph"/>
              <w:spacing w:line="244" w:lineRule="auto" w:before="80"/>
              <w:ind w:left="67"/>
              <w:rPr>
                <w:b/>
                <w:sz w:val="18"/>
              </w:rPr>
            </w:pPr>
            <w:r>
              <w:rPr>
                <w:b/>
                <w:sz w:val="18"/>
              </w:rPr>
              <w:t>Lic.</w:t>
            </w:r>
            <w:r>
              <w:rPr>
                <w:b/>
                <w:spacing w:val="-15"/>
                <w:sz w:val="18"/>
              </w:rPr>
              <w:t> </w:t>
            </w:r>
            <w:r>
              <w:rPr>
                <w:b/>
                <w:sz w:val="18"/>
              </w:rPr>
              <w:t>Kenneth</w:t>
            </w:r>
            <w:r>
              <w:rPr>
                <w:b/>
                <w:spacing w:val="-12"/>
                <w:sz w:val="18"/>
              </w:rPr>
              <w:t> </w:t>
            </w:r>
            <w:r>
              <w:rPr>
                <w:b/>
                <w:sz w:val="18"/>
              </w:rPr>
              <w:t>Araya </w:t>
            </w:r>
            <w:r>
              <w:rPr>
                <w:b/>
                <w:spacing w:val="-2"/>
                <w:sz w:val="18"/>
              </w:rPr>
              <w:t>Andrade</w:t>
            </w:r>
          </w:p>
        </w:tc>
        <w:tc>
          <w:tcPr>
            <w:tcW w:w="1810" w:type="dxa"/>
          </w:tcPr>
          <w:p>
            <w:pPr>
              <w:pStyle w:val="TableParagraph"/>
              <w:spacing w:before="186"/>
              <w:ind w:left="66"/>
              <w:rPr>
                <w:sz w:val="18"/>
              </w:rPr>
            </w:pPr>
            <w:r>
              <w:rPr>
                <w:sz w:val="18"/>
              </w:rPr>
              <w:t>Jefatura</w:t>
            </w:r>
            <w:r>
              <w:rPr>
                <w:spacing w:val="-4"/>
                <w:sz w:val="18"/>
              </w:rPr>
              <w:t> </w:t>
            </w:r>
            <w:r>
              <w:rPr>
                <w:spacing w:val="-2"/>
                <w:sz w:val="18"/>
              </w:rPr>
              <w:t>Regional</w:t>
            </w:r>
          </w:p>
        </w:tc>
        <w:tc>
          <w:tcPr>
            <w:tcW w:w="1416" w:type="dxa"/>
          </w:tcPr>
          <w:p>
            <w:pPr>
              <w:pStyle w:val="TableParagraph"/>
              <w:spacing w:before="186"/>
              <w:ind w:left="66"/>
              <w:rPr>
                <w:sz w:val="18"/>
              </w:rPr>
            </w:pPr>
            <w:r>
              <w:rPr>
                <w:spacing w:val="-2"/>
                <w:sz w:val="18"/>
              </w:rPr>
              <w:t>Noreste</w:t>
            </w:r>
          </w:p>
        </w:tc>
        <w:tc>
          <w:tcPr>
            <w:tcW w:w="2276" w:type="dxa"/>
          </w:tcPr>
          <w:p>
            <w:pPr>
              <w:pStyle w:val="TableParagraph"/>
              <w:spacing w:before="186"/>
              <w:ind w:left="67"/>
              <w:rPr>
                <w:sz w:val="18"/>
              </w:rPr>
            </w:pPr>
            <w:hyperlink r:id="rId29">
              <w:r>
                <w:rPr>
                  <w:spacing w:val="-2"/>
                  <w:sz w:val="18"/>
                  <w:u w:val="single"/>
                </w:rPr>
                <w:t>karaya@imas.go.cr</w:t>
              </w:r>
            </w:hyperlink>
          </w:p>
        </w:tc>
      </w:tr>
      <w:tr>
        <w:trPr>
          <w:trHeight w:val="412" w:hRule="atLeast"/>
        </w:trPr>
        <w:tc>
          <w:tcPr>
            <w:tcW w:w="2022" w:type="dxa"/>
          </w:tcPr>
          <w:p>
            <w:pPr>
              <w:pStyle w:val="TableParagraph"/>
              <w:spacing w:line="206" w:lineRule="exact"/>
              <w:ind w:left="67"/>
              <w:rPr>
                <w:b/>
                <w:sz w:val="18"/>
              </w:rPr>
            </w:pPr>
            <w:r>
              <w:rPr>
                <w:b/>
                <w:sz w:val="18"/>
              </w:rPr>
              <w:t>Lic.</w:t>
            </w:r>
            <w:r>
              <w:rPr>
                <w:b/>
                <w:spacing w:val="-15"/>
                <w:sz w:val="18"/>
              </w:rPr>
              <w:t> </w:t>
            </w:r>
            <w:r>
              <w:rPr>
                <w:b/>
                <w:sz w:val="18"/>
              </w:rPr>
              <w:t>Elida</w:t>
            </w:r>
            <w:r>
              <w:rPr>
                <w:b/>
                <w:spacing w:val="-12"/>
                <w:sz w:val="18"/>
              </w:rPr>
              <w:t> </w:t>
            </w:r>
            <w:r>
              <w:rPr>
                <w:b/>
                <w:sz w:val="18"/>
              </w:rPr>
              <w:t>Hernández </w:t>
            </w:r>
            <w:r>
              <w:rPr>
                <w:b/>
                <w:spacing w:val="-2"/>
                <w:sz w:val="18"/>
              </w:rPr>
              <w:t>Arrieta</w:t>
            </w:r>
          </w:p>
        </w:tc>
        <w:tc>
          <w:tcPr>
            <w:tcW w:w="1810" w:type="dxa"/>
          </w:tcPr>
          <w:p>
            <w:pPr>
              <w:pStyle w:val="TableParagraph"/>
              <w:spacing w:before="99"/>
              <w:ind w:left="66"/>
              <w:rPr>
                <w:sz w:val="18"/>
              </w:rPr>
            </w:pPr>
            <w:r>
              <w:rPr>
                <w:sz w:val="18"/>
              </w:rPr>
              <w:t>Jefatura</w:t>
            </w:r>
            <w:r>
              <w:rPr>
                <w:spacing w:val="-4"/>
                <w:sz w:val="18"/>
              </w:rPr>
              <w:t> </w:t>
            </w:r>
            <w:r>
              <w:rPr>
                <w:spacing w:val="-2"/>
                <w:sz w:val="18"/>
              </w:rPr>
              <w:t>Regional</w:t>
            </w:r>
          </w:p>
        </w:tc>
        <w:tc>
          <w:tcPr>
            <w:tcW w:w="1416" w:type="dxa"/>
          </w:tcPr>
          <w:p>
            <w:pPr>
              <w:pStyle w:val="TableParagraph"/>
              <w:spacing w:before="99"/>
              <w:ind w:left="66"/>
              <w:rPr>
                <w:sz w:val="18"/>
              </w:rPr>
            </w:pPr>
            <w:r>
              <w:rPr>
                <w:spacing w:val="-2"/>
                <w:sz w:val="18"/>
              </w:rPr>
              <w:t>Suroeste</w:t>
            </w:r>
          </w:p>
        </w:tc>
        <w:tc>
          <w:tcPr>
            <w:tcW w:w="2276" w:type="dxa"/>
          </w:tcPr>
          <w:p>
            <w:pPr>
              <w:pStyle w:val="TableParagraph"/>
              <w:spacing w:before="99"/>
              <w:ind w:left="67"/>
              <w:rPr>
                <w:sz w:val="18"/>
              </w:rPr>
            </w:pPr>
            <w:hyperlink r:id="rId30">
              <w:r>
                <w:rPr>
                  <w:spacing w:val="-2"/>
                  <w:sz w:val="18"/>
                  <w:u w:val="single"/>
                </w:rPr>
                <w:t>ehernandez@imas.go.cr</w:t>
              </w:r>
            </w:hyperlink>
          </w:p>
        </w:tc>
      </w:tr>
      <w:tr>
        <w:trPr>
          <w:trHeight w:val="686" w:hRule="atLeast"/>
        </w:trPr>
        <w:tc>
          <w:tcPr>
            <w:tcW w:w="2022" w:type="dxa"/>
          </w:tcPr>
          <w:p>
            <w:pPr>
              <w:pStyle w:val="TableParagraph"/>
              <w:spacing w:before="133"/>
              <w:ind w:left="67"/>
              <w:rPr>
                <w:b/>
                <w:sz w:val="18"/>
              </w:rPr>
            </w:pPr>
            <w:r>
              <w:rPr>
                <w:b/>
                <w:sz w:val="18"/>
              </w:rPr>
              <w:t>Licda.</w:t>
            </w:r>
            <w:r>
              <w:rPr>
                <w:b/>
                <w:spacing w:val="-15"/>
                <w:sz w:val="18"/>
              </w:rPr>
              <w:t> </w:t>
            </w:r>
            <w:r>
              <w:rPr>
                <w:b/>
                <w:sz w:val="18"/>
              </w:rPr>
              <w:t>Ruth</w:t>
            </w:r>
            <w:r>
              <w:rPr>
                <w:b/>
                <w:spacing w:val="-12"/>
                <w:sz w:val="18"/>
              </w:rPr>
              <w:t> </w:t>
            </w:r>
            <w:r>
              <w:rPr>
                <w:b/>
                <w:sz w:val="18"/>
              </w:rPr>
              <w:t>Yesenia Arias</w:t>
            </w:r>
            <w:r>
              <w:rPr>
                <w:b/>
                <w:spacing w:val="-7"/>
                <w:sz w:val="18"/>
              </w:rPr>
              <w:t> </w:t>
            </w:r>
            <w:r>
              <w:rPr>
                <w:b/>
                <w:sz w:val="18"/>
              </w:rPr>
              <w:t>Quesada</w:t>
            </w:r>
          </w:p>
        </w:tc>
        <w:tc>
          <w:tcPr>
            <w:tcW w:w="1810" w:type="dxa"/>
          </w:tcPr>
          <w:p>
            <w:pPr>
              <w:pStyle w:val="TableParagraph"/>
              <w:spacing w:before="31"/>
              <w:rPr>
                <w:b/>
                <w:sz w:val="18"/>
              </w:rPr>
            </w:pPr>
          </w:p>
          <w:p>
            <w:pPr>
              <w:pStyle w:val="TableParagraph"/>
              <w:spacing w:before="1"/>
              <w:ind w:left="66"/>
              <w:rPr>
                <w:sz w:val="18"/>
              </w:rPr>
            </w:pPr>
            <w:r>
              <w:rPr>
                <w:sz w:val="18"/>
              </w:rPr>
              <w:t>Jefatura</w:t>
            </w:r>
            <w:r>
              <w:rPr>
                <w:spacing w:val="-4"/>
                <w:sz w:val="18"/>
              </w:rPr>
              <w:t> </w:t>
            </w:r>
            <w:r>
              <w:rPr>
                <w:spacing w:val="-2"/>
                <w:sz w:val="18"/>
              </w:rPr>
              <w:t>Regional</w:t>
            </w:r>
          </w:p>
        </w:tc>
        <w:tc>
          <w:tcPr>
            <w:tcW w:w="1416" w:type="dxa"/>
          </w:tcPr>
          <w:p>
            <w:pPr>
              <w:pStyle w:val="TableParagraph"/>
              <w:spacing w:before="31"/>
              <w:rPr>
                <w:b/>
                <w:sz w:val="18"/>
              </w:rPr>
            </w:pPr>
          </w:p>
          <w:p>
            <w:pPr>
              <w:pStyle w:val="TableParagraph"/>
              <w:spacing w:before="1"/>
              <w:ind w:left="66"/>
              <w:rPr>
                <w:sz w:val="18"/>
              </w:rPr>
            </w:pPr>
            <w:r>
              <w:rPr>
                <w:spacing w:val="-2"/>
                <w:sz w:val="18"/>
              </w:rPr>
              <w:t>Brunca</w:t>
            </w:r>
          </w:p>
        </w:tc>
        <w:tc>
          <w:tcPr>
            <w:tcW w:w="2276" w:type="dxa"/>
          </w:tcPr>
          <w:p>
            <w:pPr>
              <w:pStyle w:val="TableParagraph"/>
              <w:spacing w:before="31"/>
              <w:rPr>
                <w:b/>
                <w:sz w:val="18"/>
              </w:rPr>
            </w:pPr>
          </w:p>
          <w:p>
            <w:pPr>
              <w:pStyle w:val="TableParagraph"/>
              <w:spacing w:before="1"/>
              <w:ind w:left="67"/>
              <w:rPr>
                <w:sz w:val="18"/>
              </w:rPr>
            </w:pPr>
            <w:hyperlink r:id="rId31">
              <w:r>
                <w:rPr>
                  <w:spacing w:val="-2"/>
                  <w:sz w:val="18"/>
                  <w:u w:val="single"/>
                </w:rPr>
                <w:t>rarias@imas.go.cr</w:t>
              </w:r>
            </w:hyperlink>
          </w:p>
        </w:tc>
      </w:tr>
      <w:tr>
        <w:trPr>
          <w:trHeight w:val="734" w:hRule="atLeast"/>
        </w:trPr>
        <w:tc>
          <w:tcPr>
            <w:tcW w:w="2022" w:type="dxa"/>
          </w:tcPr>
          <w:p>
            <w:pPr>
              <w:pStyle w:val="TableParagraph"/>
              <w:spacing w:before="157"/>
              <w:ind w:left="67"/>
              <w:rPr>
                <w:b/>
                <w:sz w:val="18"/>
              </w:rPr>
            </w:pPr>
            <w:r>
              <w:rPr>
                <w:b/>
                <w:sz w:val="18"/>
              </w:rPr>
              <w:t>Msc.</w:t>
            </w:r>
            <w:r>
              <w:rPr>
                <w:b/>
                <w:spacing w:val="-15"/>
                <w:sz w:val="18"/>
              </w:rPr>
              <w:t> </w:t>
            </w:r>
            <w:r>
              <w:rPr>
                <w:b/>
                <w:sz w:val="18"/>
              </w:rPr>
              <w:t>Silvia</w:t>
            </w:r>
            <w:r>
              <w:rPr>
                <w:b/>
                <w:spacing w:val="-12"/>
                <w:sz w:val="18"/>
              </w:rPr>
              <w:t> </w:t>
            </w:r>
            <w:r>
              <w:rPr>
                <w:b/>
                <w:sz w:val="18"/>
              </w:rPr>
              <w:t>Conejo </w:t>
            </w:r>
            <w:r>
              <w:rPr>
                <w:b/>
                <w:spacing w:val="-2"/>
                <w:sz w:val="18"/>
              </w:rPr>
              <w:t>Araya</w:t>
            </w:r>
          </w:p>
        </w:tc>
        <w:tc>
          <w:tcPr>
            <w:tcW w:w="1810" w:type="dxa"/>
          </w:tcPr>
          <w:p>
            <w:pPr>
              <w:pStyle w:val="TableParagraph"/>
              <w:spacing w:before="56"/>
              <w:rPr>
                <w:b/>
                <w:sz w:val="18"/>
              </w:rPr>
            </w:pPr>
          </w:p>
          <w:p>
            <w:pPr>
              <w:pStyle w:val="TableParagraph"/>
              <w:ind w:left="66"/>
              <w:rPr>
                <w:sz w:val="18"/>
              </w:rPr>
            </w:pPr>
            <w:r>
              <w:rPr>
                <w:sz w:val="18"/>
              </w:rPr>
              <w:t>Jefatura</w:t>
            </w:r>
            <w:r>
              <w:rPr>
                <w:spacing w:val="-4"/>
                <w:sz w:val="18"/>
              </w:rPr>
              <w:t> </w:t>
            </w:r>
            <w:r>
              <w:rPr>
                <w:spacing w:val="-2"/>
                <w:sz w:val="18"/>
              </w:rPr>
              <w:t>Regional</w:t>
            </w:r>
          </w:p>
        </w:tc>
        <w:tc>
          <w:tcPr>
            <w:tcW w:w="1416" w:type="dxa"/>
          </w:tcPr>
          <w:p>
            <w:pPr>
              <w:pStyle w:val="TableParagraph"/>
              <w:spacing w:before="56"/>
              <w:rPr>
                <w:b/>
                <w:sz w:val="18"/>
              </w:rPr>
            </w:pPr>
          </w:p>
          <w:p>
            <w:pPr>
              <w:pStyle w:val="TableParagraph"/>
              <w:ind w:left="66"/>
              <w:rPr>
                <w:sz w:val="18"/>
              </w:rPr>
            </w:pPr>
            <w:r>
              <w:rPr>
                <w:spacing w:val="-2"/>
                <w:sz w:val="18"/>
              </w:rPr>
              <w:t>Cartago</w:t>
            </w:r>
          </w:p>
        </w:tc>
        <w:tc>
          <w:tcPr>
            <w:tcW w:w="2276" w:type="dxa"/>
          </w:tcPr>
          <w:p>
            <w:pPr>
              <w:pStyle w:val="TableParagraph"/>
              <w:spacing w:before="56"/>
              <w:rPr>
                <w:b/>
                <w:sz w:val="18"/>
              </w:rPr>
            </w:pPr>
          </w:p>
          <w:p>
            <w:pPr>
              <w:pStyle w:val="TableParagraph"/>
              <w:ind w:left="67"/>
              <w:rPr>
                <w:sz w:val="18"/>
              </w:rPr>
            </w:pPr>
            <w:hyperlink r:id="rId32">
              <w:r>
                <w:rPr>
                  <w:spacing w:val="-2"/>
                  <w:sz w:val="18"/>
                  <w:u w:val="single"/>
                </w:rPr>
                <w:t>sconejo@imas.go.cr</w:t>
              </w:r>
            </w:hyperlink>
          </w:p>
        </w:tc>
      </w:tr>
      <w:tr>
        <w:trPr>
          <w:trHeight w:val="911" w:hRule="atLeast"/>
        </w:trPr>
        <w:tc>
          <w:tcPr>
            <w:tcW w:w="2022" w:type="dxa"/>
          </w:tcPr>
          <w:p>
            <w:pPr>
              <w:pStyle w:val="TableParagraph"/>
              <w:spacing w:before="41"/>
              <w:rPr>
                <w:b/>
                <w:sz w:val="18"/>
              </w:rPr>
            </w:pPr>
          </w:p>
          <w:p>
            <w:pPr>
              <w:pStyle w:val="TableParagraph"/>
              <w:ind w:left="67"/>
              <w:rPr>
                <w:b/>
                <w:sz w:val="18"/>
              </w:rPr>
            </w:pPr>
            <w:r>
              <w:rPr>
                <w:b/>
                <w:sz w:val="18"/>
              </w:rPr>
              <w:t>Msc.</w:t>
            </w:r>
            <w:r>
              <w:rPr>
                <w:b/>
                <w:spacing w:val="-15"/>
                <w:sz w:val="18"/>
              </w:rPr>
              <w:t> </w:t>
            </w:r>
            <w:r>
              <w:rPr>
                <w:b/>
                <w:sz w:val="18"/>
              </w:rPr>
              <w:t>Dinia</w:t>
            </w:r>
            <w:r>
              <w:rPr>
                <w:b/>
                <w:spacing w:val="-12"/>
                <w:sz w:val="18"/>
              </w:rPr>
              <w:t> </w:t>
            </w:r>
            <w:r>
              <w:rPr>
                <w:b/>
                <w:sz w:val="18"/>
              </w:rPr>
              <w:t>Rojas </w:t>
            </w:r>
            <w:r>
              <w:rPr>
                <w:b/>
                <w:spacing w:val="-2"/>
                <w:sz w:val="18"/>
              </w:rPr>
              <w:t>Salazar</w:t>
            </w:r>
          </w:p>
        </w:tc>
        <w:tc>
          <w:tcPr>
            <w:tcW w:w="1810" w:type="dxa"/>
          </w:tcPr>
          <w:p>
            <w:pPr>
              <w:pStyle w:val="TableParagraph"/>
              <w:spacing w:before="142"/>
              <w:rPr>
                <w:b/>
                <w:sz w:val="18"/>
              </w:rPr>
            </w:pPr>
          </w:p>
          <w:p>
            <w:pPr>
              <w:pStyle w:val="TableParagraph"/>
              <w:ind w:left="66"/>
              <w:rPr>
                <w:sz w:val="18"/>
              </w:rPr>
            </w:pPr>
            <w:r>
              <w:rPr>
                <w:sz w:val="18"/>
              </w:rPr>
              <w:t>Jefatura</w:t>
            </w:r>
            <w:r>
              <w:rPr>
                <w:spacing w:val="-4"/>
                <w:sz w:val="18"/>
              </w:rPr>
              <w:t> </w:t>
            </w:r>
            <w:r>
              <w:rPr>
                <w:spacing w:val="-2"/>
                <w:sz w:val="18"/>
              </w:rPr>
              <w:t>Regional</w:t>
            </w:r>
          </w:p>
        </w:tc>
        <w:tc>
          <w:tcPr>
            <w:tcW w:w="1416" w:type="dxa"/>
          </w:tcPr>
          <w:p>
            <w:pPr>
              <w:pStyle w:val="TableParagraph"/>
              <w:spacing w:before="41"/>
              <w:rPr>
                <w:b/>
                <w:sz w:val="18"/>
              </w:rPr>
            </w:pPr>
          </w:p>
          <w:p>
            <w:pPr>
              <w:pStyle w:val="TableParagraph"/>
              <w:ind w:left="66" w:right="1"/>
              <w:rPr>
                <w:sz w:val="18"/>
              </w:rPr>
            </w:pPr>
            <w:r>
              <w:rPr>
                <w:spacing w:val="-2"/>
                <w:sz w:val="18"/>
              </w:rPr>
              <w:t>Central Occidente</w:t>
            </w:r>
          </w:p>
        </w:tc>
        <w:tc>
          <w:tcPr>
            <w:tcW w:w="2276" w:type="dxa"/>
          </w:tcPr>
          <w:p>
            <w:pPr>
              <w:pStyle w:val="TableParagraph"/>
              <w:spacing w:before="142"/>
              <w:rPr>
                <w:b/>
                <w:sz w:val="18"/>
              </w:rPr>
            </w:pPr>
          </w:p>
          <w:p>
            <w:pPr>
              <w:pStyle w:val="TableParagraph"/>
              <w:ind w:left="67"/>
              <w:rPr>
                <w:sz w:val="18"/>
              </w:rPr>
            </w:pPr>
            <w:hyperlink r:id="rId33">
              <w:r>
                <w:rPr>
                  <w:spacing w:val="-2"/>
                  <w:sz w:val="18"/>
                  <w:u w:val="single"/>
                </w:rPr>
                <w:t>drojas@imas.go.cr</w:t>
              </w:r>
            </w:hyperlink>
          </w:p>
        </w:tc>
      </w:tr>
    </w:tbl>
    <w:p>
      <w:pPr>
        <w:pStyle w:val="TableParagraph"/>
        <w:spacing w:after="0"/>
        <w:rPr>
          <w:sz w:val="18"/>
        </w:rPr>
        <w:sectPr>
          <w:type w:val="continuous"/>
          <w:pgSz w:w="12240" w:h="15840"/>
          <w:pgMar w:header="0" w:footer="1021" w:top="1400" w:bottom="1662" w:left="720" w:right="360"/>
        </w:sectPr>
      </w:pPr>
    </w:p>
    <w:tbl>
      <w:tblPr>
        <w:tblW w:w="0" w:type="auto"/>
        <w:jc w:val="left"/>
        <w:tblInd w:w="1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22"/>
        <w:gridCol w:w="1810"/>
        <w:gridCol w:w="1416"/>
        <w:gridCol w:w="2276"/>
      </w:tblGrid>
      <w:tr>
        <w:trPr>
          <w:trHeight w:val="494" w:hRule="atLeast"/>
        </w:trPr>
        <w:tc>
          <w:tcPr>
            <w:tcW w:w="2022" w:type="dxa"/>
            <w:shd w:val="clear" w:color="auto" w:fill="234060"/>
          </w:tcPr>
          <w:p>
            <w:pPr>
              <w:pStyle w:val="TableParagraph"/>
              <w:spacing w:before="143"/>
              <w:ind w:left="479"/>
              <w:rPr>
                <w:sz w:val="18"/>
              </w:rPr>
            </w:pPr>
            <w:r>
              <w:rPr>
                <w:color w:val="FFFFFF"/>
                <w:spacing w:val="-2"/>
                <w:sz w:val="18"/>
              </w:rPr>
              <w:t>Responsable</w:t>
            </w:r>
          </w:p>
        </w:tc>
        <w:tc>
          <w:tcPr>
            <w:tcW w:w="1810" w:type="dxa"/>
            <w:shd w:val="clear" w:color="auto" w:fill="234060"/>
          </w:tcPr>
          <w:p>
            <w:pPr>
              <w:pStyle w:val="TableParagraph"/>
              <w:spacing w:before="143"/>
              <w:jc w:val="center"/>
              <w:rPr>
                <w:sz w:val="18"/>
              </w:rPr>
            </w:pPr>
            <w:r>
              <w:rPr>
                <w:color w:val="FFFFFF"/>
                <w:spacing w:val="-2"/>
                <w:sz w:val="18"/>
              </w:rPr>
              <w:t>Cargo</w:t>
            </w:r>
          </w:p>
        </w:tc>
        <w:tc>
          <w:tcPr>
            <w:tcW w:w="1416" w:type="dxa"/>
            <w:shd w:val="clear" w:color="auto" w:fill="234060"/>
          </w:tcPr>
          <w:p>
            <w:pPr>
              <w:pStyle w:val="TableParagraph"/>
              <w:spacing w:before="143"/>
              <w:ind w:left="417"/>
              <w:rPr>
                <w:sz w:val="18"/>
              </w:rPr>
            </w:pPr>
            <w:r>
              <w:rPr>
                <w:color w:val="FFFFFF"/>
                <w:spacing w:val="-2"/>
                <w:sz w:val="18"/>
              </w:rPr>
              <w:t>Región</w:t>
            </w:r>
          </w:p>
        </w:tc>
        <w:tc>
          <w:tcPr>
            <w:tcW w:w="2276" w:type="dxa"/>
            <w:shd w:val="clear" w:color="auto" w:fill="234060"/>
          </w:tcPr>
          <w:p>
            <w:pPr>
              <w:pStyle w:val="TableParagraph"/>
              <w:spacing w:before="143"/>
              <w:ind w:left="389"/>
              <w:rPr>
                <w:sz w:val="18"/>
              </w:rPr>
            </w:pPr>
            <w:r>
              <w:rPr>
                <w:color w:val="FFFFFF"/>
                <w:sz w:val="18"/>
              </w:rPr>
              <w:t>Correo</w:t>
            </w:r>
            <w:r>
              <w:rPr>
                <w:color w:val="FFFFFF"/>
                <w:spacing w:val="-1"/>
                <w:sz w:val="18"/>
              </w:rPr>
              <w:t> </w:t>
            </w:r>
            <w:r>
              <w:rPr>
                <w:color w:val="FFFFFF"/>
                <w:spacing w:val="-2"/>
                <w:sz w:val="18"/>
              </w:rPr>
              <w:t>Electrónico</w:t>
            </w:r>
          </w:p>
        </w:tc>
      </w:tr>
      <w:tr>
        <w:trPr>
          <w:trHeight w:val="979" w:hRule="atLeast"/>
        </w:trPr>
        <w:tc>
          <w:tcPr>
            <w:tcW w:w="2022" w:type="dxa"/>
          </w:tcPr>
          <w:p>
            <w:pPr>
              <w:pStyle w:val="TableParagraph"/>
              <w:spacing w:before="75"/>
              <w:rPr>
                <w:b/>
                <w:sz w:val="18"/>
              </w:rPr>
            </w:pPr>
          </w:p>
          <w:p>
            <w:pPr>
              <w:pStyle w:val="TableParagraph"/>
              <w:ind w:left="67" w:right="457"/>
              <w:rPr>
                <w:b/>
                <w:sz w:val="18"/>
              </w:rPr>
            </w:pPr>
            <w:r>
              <w:rPr>
                <w:b/>
                <w:sz w:val="18"/>
              </w:rPr>
              <w:t>Lic. Juan Luis Gutiérrez</w:t>
            </w:r>
            <w:r>
              <w:rPr>
                <w:b/>
                <w:spacing w:val="-13"/>
                <w:sz w:val="18"/>
              </w:rPr>
              <w:t> </w:t>
            </w:r>
            <w:r>
              <w:rPr>
                <w:b/>
                <w:sz w:val="18"/>
              </w:rPr>
              <w:t>Chaves</w:t>
            </w:r>
          </w:p>
        </w:tc>
        <w:tc>
          <w:tcPr>
            <w:tcW w:w="1810" w:type="dxa"/>
          </w:tcPr>
          <w:p>
            <w:pPr>
              <w:pStyle w:val="TableParagraph"/>
              <w:spacing w:before="181"/>
              <w:rPr>
                <w:b/>
                <w:sz w:val="18"/>
              </w:rPr>
            </w:pPr>
          </w:p>
          <w:p>
            <w:pPr>
              <w:pStyle w:val="TableParagraph"/>
              <w:ind w:left="66"/>
              <w:rPr>
                <w:sz w:val="18"/>
              </w:rPr>
            </w:pPr>
            <w:r>
              <w:rPr>
                <w:sz w:val="18"/>
              </w:rPr>
              <w:t>Jefatura</w:t>
            </w:r>
            <w:r>
              <w:rPr>
                <w:spacing w:val="-4"/>
                <w:sz w:val="18"/>
              </w:rPr>
              <w:t> </w:t>
            </w:r>
            <w:r>
              <w:rPr>
                <w:spacing w:val="-2"/>
                <w:sz w:val="18"/>
              </w:rPr>
              <w:t>Regional</w:t>
            </w:r>
          </w:p>
        </w:tc>
        <w:tc>
          <w:tcPr>
            <w:tcW w:w="1416" w:type="dxa"/>
          </w:tcPr>
          <w:p>
            <w:pPr>
              <w:pStyle w:val="TableParagraph"/>
              <w:spacing w:before="181"/>
              <w:rPr>
                <w:b/>
                <w:sz w:val="18"/>
              </w:rPr>
            </w:pPr>
          </w:p>
          <w:p>
            <w:pPr>
              <w:pStyle w:val="TableParagraph"/>
              <w:ind w:left="66"/>
              <w:rPr>
                <w:sz w:val="18"/>
              </w:rPr>
            </w:pPr>
            <w:r>
              <w:rPr>
                <w:sz w:val="18"/>
              </w:rPr>
              <w:t>Huetar</w:t>
            </w:r>
            <w:r>
              <w:rPr>
                <w:spacing w:val="-1"/>
                <w:sz w:val="18"/>
              </w:rPr>
              <w:t> </w:t>
            </w:r>
            <w:r>
              <w:rPr>
                <w:spacing w:val="-2"/>
                <w:sz w:val="18"/>
              </w:rPr>
              <w:t>Norte</w:t>
            </w:r>
          </w:p>
        </w:tc>
        <w:tc>
          <w:tcPr>
            <w:tcW w:w="2276" w:type="dxa"/>
          </w:tcPr>
          <w:p>
            <w:pPr>
              <w:pStyle w:val="TableParagraph"/>
              <w:spacing w:before="181"/>
              <w:rPr>
                <w:b/>
                <w:sz w:val="18"/>
              </w:rPr>
            </w:pPr>
          </w:p>
          <w:p>
            <w:pPr>
              <w:pStyle w:val="TableParagraph"/>
              <w:ind w:left="67"/>
              <w:rPr>
                <w:sz w:val="18"/>
              </w:rPr>
            </w:pPr>
            <w:hyperlink r:id="rId34">
              <w:r>
                <w:rPr>
                  <w:spacing w:val="-2"/>
                  <w:sz w:val="18"/>
                  <w:u w:val="single"/>
                </w:rPr>
                <w:t>jgutierrez@imas.go.cr</w:t>
              </w:r>
            </w:hyperlink>
          </w:p>
        </w:tc>
      </w:tr>
      <w:tr>
        <w:trPr>
          <w:trHeight w:val="493" w:hRule="atLeast"/>
        </w:trPr>
        <w:tc>
          <w:tcPr>
            <w:tcW w:w="2022" w:type="dxa"/>
          </w:tcPr>
          <w:p>
            <w:pPr>
              <w:pStyle w:val="TableParagraph"/>
              <w:spacing w:before="37"/>
              <w:ind w:left="67"/>
              <w:rPr>
                <w:b/>
                <w:sz w:val="18"/>
              </w:rPr>
            </w:pPr>
            <w:r>
              <w:rPr>
                <w:b/>
                <w:sz w:val="18"/>
              </w:rPr>
              <w:t>Licda.</w:t>
            </w:r>
            <w:r>
              <w:rPr>
                <w:b/>
                <w:spacing w:val="-15"/>
                <w:sz w:val="18"/>
              </w:rPr>
              <w:t> </w:t>
            </w:r>
            <w:r>
              <w:rPr>
                <w:b/>
                <w:sz w:val="18"/>
              </w:rPr>
              <w:t>Denia</w:t>
            </w:r>
            <w:r>
              <w:rPr>
                <w:b/>
                <w:spacing w:val="-12"/>
                <w:sz w:val="18"/>
              </w:rPr>
              <w:t> </w:t>
            </w:r>
            <w:r>
              <w:rPr>
                <w:b/>
                <w:sz w:val="18"/>
              </w:rPr>
              <w:t>Murillo </w:t>
            </w:r>
            <w:r>
              <w:rPr>
                <w:b/>
                <w:spacing w:val="-2"/>
                <w:sz w:val="18"/>
              </w:rPr>
              <w:t>Arias</w:t>
            </w:r>
          </w:p>
        </w:tc>
        <w:tc>
          <w:tcPr>
            <w:tcW w:w="1810" w:type="dxa"/>
          </w:tcPr>
          <w:p>
            <w:pPr>
              <w:pStyle w:val="TableParagraph"/>
              <w:spacing w:before="143"/>
              <w:ind w:left="66"/>
              <w:rPr>
                <w:sz w:val="18"/>
              </w:rPr>
            </w:pPr>
            <w:r>
              <w:rPr>
                <w:sz w:val="18"/>
              </w:rPr>
              <w:t>Jefatura</w:t>
            </w:r>
            <w:r>
              <w:rPr>
                <w:spacing w:val="-4"/>
                <w:sz w:val="18"/>
              </w:rPr>
              <w:t> </w:t>
            </w:r>
            <w:r>
              <w:rPr>
                <w:spacing w:val="-2"/>
                <w:sz w:val="18"/>
              </w:rPr>
              <w:t>Regional</w:t>
            </w:r>
          </w:p>
        </w:tc>
        <w:tc>
          <w:tcPr>
            <w:tcW w:w="1416" w:type="dxa"/>
          </w:tcPr>
          <w:p>
            <w:pPr>
              <w:pStyle w:val="TableParagraph"/>
              <w:spacing w:before="143"/>
              <w:ind w:left="66"/>
              <w:rPr>
                <w:sz w:val="18"/>
              </w:rPr>
            </w:pPr>
            <w:r>
              <w:rPr>
                <w:spacing w:val="-2"/>
                <w:sz w:val="18"/>
              </w:rPr>
              <w:t>Puntarenas</w:t>
            </w:r>
          </w:p>
        </w:tc>
        <w:tc>
          <w:tcPr>
            <w:tcW w:w="2276" w:type="dxa"/>
          </w:tcPr>
          <w:p>
            <w:pPr>
              <w:pStyle w:val="TableParagraph"/>
              <w:spacing w:before="143"/>
              <w:ind w:left="67"/>
              <w:rPr>
                <w:sz w:val="18"/>
              </w:rPr>
            </w:pPr>
            <w:hyperlink r:id="rId35">
              <w:r>
                <w:rPr>
                  <w:spacing w:val="-2"/>
                  <w:sz w:val="18"/>
                  <w:u w:val="single"/>
                </w:rPr>
                <w:t>dmurillo@imas.go.cr</w:t>
              </w:r>
            </w:hyperlink>
          </w:p>
        </w:tc>
      </w:tr>
      <w:tr>
        <w:trPr>
          <w:trHeight w:val="734" w:hRule="atLeast"/>
        </w:trPr>
        <w:tc>
          <w:tcPr>
            <w:tcW w:w="2022" w:type="dxa"/>
          </w:tcPr>
          <w:p>
            <w:pPr>
              <w:pStyle w:val="TableParagraph"/>
              <w:spacing w:before="157"/>
              <w:ind w:left="67" w:right="44"/>
              <w:rPr>
                <w:b/>
                <w:sz w:val="18"/>
              </w:rPr>
            </w:pPr>
            <w:r>
              <w:rPr>
                <w:b/>
                <w:sz w:val="18"/>
              </w:rPr>
              <w:t>Licda. Kemly Camacho</w:t>
            </w:r>
            <w:r>
              <w:rPr>
                <w:b/>
                <w:spacing w:val="-13"/>
                <w:sz w:val="18"/>
              </w:rPr>
              <w:t> </w:t>
            </w:r>
            <w:r>
              <w:rPr>
                <w:b/>
                <w:sz w:val="18"/>
              </w:rPr>
              <w:t>Espinoza</w:t>
            </w:r>
          </w:p>
        </w:tc>
        <w:tc>
          <w:tcPr>
            <w:tcW w:w="1810" w:type="dxa"/>
          </w:tcPr>
          <w:p>
            <w:pPr>
              <w:pStyle w:val="TableParagraph"/>
              <w:spacing w:before="55"/>
              <w:rPr>
                <w:b/>
                <w:sz w:val="18"/>
              </w:rPr>
            </w:pPr>
          </w:p>
          <w:p>
            <w:pPr>
              <w:pStyle w:val="TableParagraph"/>
              <w:spacing w:before="1"/>
              <w:ind w:left="66"/>
              <w:rPr>
                <w:sz w:val="18"/>
              </w:rPr>
            </w:pPr>
            <w:r>
              <w:rPr>
                <w:sz w:val="18"/>
              </w:rPr>
              <w:t>Jefatura</w:t>
            </w:r>
            <w:r>
              <w:rPr>
                <w:spacing w:val="-4"/>
                <w:sz w:val="18"/>
              </w:rPr>
              <w:t> </w:t>
            </w:r>
            <w:r>
              <w:rPr>
                <w:spacing w:val="-2"/>
                <w:sz w:val="18"/>
              </w:rPr>
              <w:t>Regional</w:t>
            </w:r>
          </w:p>
        </w:tc>
        <w:tc>
          <w:tcPr>
            <w:tcW w:w="1416" w:type="dxa"/>
          </w:tcPr>
          <w:p>
            <w:pPr>
              <w:pStyle w:val="TableParagraph"/>
              <w:spacing w:before="55"/>
              <w:rPr>
                <w:b/>
                <w:sz w:val="18"/>
              </w:rPr>
            </w:pPr>
          </w:p>
          <w:p>
            <w:pPr>
              <w:pStyle w:val="TableParagraph"/>
              <w:spacing w:before="1"/>
              <w:ind w:left="66"/>
              <w:rPr>
                <w:sz w:val="18"/>
              </w:rPr>
            </w:pPr>
            <w:r>
              <w:rPr>
                <w:spacing w:val="-2"/>
                <w:sz w:val="18"/>
              </w:rPr>
              <w:t>Chorotega</w:t>
            </w:r>
          </w:p>
        </w:tc>
        <w:tc>
          <w:tcPr>
            <w:tcW w:w="2276" w:type="dxa"/>
          </w:tcPr>
          <w:p>
            <w:pPr>
              <w:pStyle w:val="TableParagraph"/>
              <w:spacing w:before="55"/>
              <w:rPr>
                <w:b/>
                <w:sz w:val="18"/>
              </w:rPr>
            </w:pPr>
          </w:p>
          <w:p>
            <w:pPr>
              <w:pStyle w:val="TableParagraph"/>
              <w:spacing w:before="1"/>
              <w:ind w:left="67"/>
              <w:rPr>
                <w:sz w:val="18"/>
              </w:rPr>
            </w:pPr>
            <w:hyperlink r:id="rId36">
              <w:r>
                <w:rPr>
                  <w:spacing w:val="-2"/>
                  <w:sz w:val="18"/>
                  <w:u w:val="single"/>
                </w:rPr>
                <w:t>kcamacho@imas.go.cr</w:t>
              </w:r>
            </w:hyperlink>
          </w:p>
        </w:tc>
      </w:tr>
      <w:tr>
        <w:trPr>
          <w:trHeight w:val="973" w:hRule="atLeast"/>
        </w:trPr>
        <w:tc>
          <w:tcPr>
            <w:tcW w:w="2022" w:type="dxa"/>
          </w:tcPr>
          <w:p>
            <w:pPr>
              <w:pStyle w:val="TableParagraph"/>
              <w:spacing w:before="75"/>
              <w:rPr>
                <w:b/>
                <w:sz w:val="18"/>
              </w:rPr>
            </w:pPr>
          </w:p>
          <w:p>
            <w:pPr>
              <w:pStyle w:val="TableParagraph"/>
              <w:ind w:left="67" w:right="287"/>
              <w:rPr>
                <w:b/>
                <w:sz w:val="18"/>
              </w:rPr>
            </w:pPr>
            <w:r>
              <w:rPr>
                <w:b/>
                <w:sz w:val="18"/>
              </w:rPr>
              <w:t>Licda. Guadalupe Sandoval</w:t>
            </w:r>
            <w:r>
              <w:rPr>
                <w:b/>
                <w:spacing w:val="-13"/>
                <w:sz w:val="18"/>
              </w:rPr>
              <w:t> </w:t>
            </w:r>
            <w:r>
              <w:rPr>
                <w:b/>
                <w:sz w:val="18"/>
              </w:rPr>
              <w:t>Sandoval</w:t>
            </w:r>
          </w:p>
        </w:tc>
        <w:tc>
          <w:tcPr>
            <w:tcW w:w="1810" w:type="dxa"/>
          </w:tcPr>
          <w:p>
            <w:pPr>
              <w:pStyle w:val="TableParagraph"/>
              <w:spacing w:before="175"/>
              <w:rPr>
                <w:b/>
                <w:sz w:val="18"/>
              </w:rPr>
            </w:pPr>
          </w:p>
          <w:p>
            <w:pPr>
              <w:pStyle w:val="TableParagraph"/>
              <w:spacing w:before="1"/>
              <w:ind w:left="66"/>
              <w:rPr>
                <w:sz w:val="18"/>
              </w:rPr>
            </w:pPr>
            <w:r>
              <w:rPr>
                <w:sz w:val="18"/>
              </w:rPr>
              <w:t>Jefatura</w:t>
            </w:r>
            <w:r>
              <w:rPr>
                <w:spacing w:val="-4"/>
                <w:sz w:val="18"/>
              </w:rPr>
              <w:t> </w:t>
            </w:r>
            <w:r>
              <w:rPr>
                <w:spacing w:val="-2"/>
                <w:sz w:val="18"/>
              </w:rPr>
              <w:t>Regional</w:t>
            </w:r>
          </w:p>
        </w:tc>
        <w:tc>
          <w:tcPr>
            <w:tcW w:w="1416" w:type="dxa"/>
          </w:tcPr>
          <w:p>
            <w:pPr>
              <w:pStyle w:val="TableParagraph"/>
              <w:spacing w:before="175"/>
              <w:rPr>
                <w:b/>
                <w:sz w:val="18"/>
              </w:rPr>
            </w:pPr>
          </w:p>
          <w:p>
            <w:pPr>
              <w:pStyle w:val="TableParagraph"/>
              <w:spacing w:before="1"/>
              <w:ind w:left="66"/>
              <w:rPr>
                <w:sz w:val="18"/>
              </w:rPr>
            </w:pPr>
            <w:r>
              <w:rPr>
                <w:sz w:val="18"/>
              </w:rPr>
              <w:t>Huetar</w:t>
            </w:r>
            <w:r>
              <w:rPr>
                <w:spacing w:val="-1"/>
                <w:sz w:val="18"/>
              </w:rPr>
              <w:t> </w:t>
            </w:r>
            <w:r>
              <w:rPr>
                <w:spacing w:val="-2"/>
                <w:sz w:val="18"/>
              </w:rPr>
              <w:t>Caribe</w:t>
            </w:r>
          </w:p>
        </w:tc>
        <w:tc>
          <w:tcPr>
            <w:tcW w:w="2276" w:type="dxa"/>
          </w:tcPr>
          <w:p>
            <w:pPr>
              <w:pStyle w:val="TableParagraph"/>
              <w:spacing w:before="175"/>
              <w:rPr>
                <w:b/>
                <w:sz w:val="18"/>
              </w:rPr>
            </w:pPr>
          </w:p>
          <w:p>
            <w:pPr>
              <w:pStyle w:val="TableParagraph"/>
              <w:spacing w:before="1"/>
              <w:ind w:left="67"/>
              <w:rPr>
                <w:sz w:val="18"/>
              </w:rPr>
            </w:pPr>
            <w:hyperlink r:id="rId37">
              <w:r>
                <w:rPr>
                  <w:spacing w:val="-2"/>
                  <w:sz w:val="18"/>
                  <w:u w:val="single"/>
                </w:rPr>
                <w:t>gsandoval@imas.go.cr</w:t>
              </w:r>
            </w:hyperlink>
          </w:p>
        </w:tc>
      </w:tr>
    </w:tbl>
    <w:p>
      <w:pPr>
        <w:pStyle w:val="BodyText"/>
        <w:spacing w:before="17"/>
        <w:rPr>
          <w:b/>
          <w:sz w:val="18"/>
        </w:rPr>
      </w:pPr>
    </w:p>
    <w:p>
      <w:pPr>
        <w:spacing w:before="0"/>
        <w:ind w:left="1340" w:right="0" w:firstLine="0"/>
        <w:jc w:val="left"/>
        <w:rPr>
          <w:b/>
          <w:sz w:val="18"/>
        </w:rPr>
      </w:pPr>
      <w:r>
        <w:rPr>
          <w:b/>
          <w:sz w:val="18"/>
        </w:rPr>
        <w:t>Fuente:</w:t>
      </w:r>
      <w:r>
        <w:rPr>
          <w:b/>
          <w:spacing w:val="-4"/>
          <w:sz w:val="18"/>
        </w:rPr>
        <w:t> </w:t>
      </w:r>
      <w:r>
        <w:rPr>
          <w:b/>
          <w:sz w:val="18"/>
        </w:rPr>
        <w:t>Elaborado</w:t>
      </w:r>
      <w:r>
        <w:rPr>
          <w:b/>
          <w:spacing w:val="-10"/>
          <w:sz w:val="18"/>
        </w:rPr>
        <w:t> </w:t>
      </w:r>
      <w:r>
        <w:rPr>
          <w:b/>
          <w:sz w:val="18"/>
        </w:rPr>
        <w:t>por</w:t>
      </w:r>
      <w:r>
        <w:rPr>
          <w:b/>
          <w:spacing w:val="-9"/>
          <w:sz w:val="18"/>
        </w:rPr>
        <w:t> </w:t>
      </w:r>
      <w:r>
        <w:rPr>
          <w:b/>
          <w:sz w:val="18"/>
        </w:rPr>
        <w:t>Unidad</w:t>
      </w:r>
      <w:r>
        <w:rPr>
          <w:b/>
          <w:spacing w:val="-5"/>
          <w:sz w:val="18"/>
        </w:rPr>
        <w:t> </w:t>
      </w:r>
      <w:r>
        <w:rPr>
          <w:b/>
          <w:sz w:val="18"/>
        </w:rPr>
        <w:t>de</w:t>
      </w:r>
      <w:r>
        <w:rPr>
          <w:b/>
          <w:spacing w:val="-9"/>
          <w:sz w:val="18"/>
        </w:rPr>
        <w:t> </w:t>
      </w:r>
      <w:r>
        <w:rPr>
          <w:b/>
          <w:sz w:val="18"/>
        </w:rPr>
        <w:t>Planificación</w:t>
      </w:r>
      <w:r>
        <w:rPr>
          <w:b/>
          <w:spacing w:val="-10"/>
          <w:sz w:val="18"/>
        </w:rPr>
        <w:t> </w:t>
      </w:r>
      <w:r>
        <w:rPr>
          <w:b/>
          <w:sz w:val="18"/>
        </w:rPr>
        <w:t>Institucional,</w:t>
      </w:r>
      <w:r>
        <w:rPr>
          <w:b/>
          <w:spacing w:val="-8"/>
          <w:sz w:val="18"/>
        </w:rPr>
        <w:t> </w:t>
      </w:r>
      <w:r>
        <w:rPr>
          <w:b/>
          <w:spacing w:val="-4"/>
          <w:sz w:val="18"/>
        </w:rPr>
        <w:t>2025</w:t>
      </w:r>
    </w:p>
    <w:p>
      <w:pPr>
        <w:pStyle w:val="BodyText"/>
        <w:rPr>
          <w:b/>
          <w:sz w:val="18"/>
        </w:rPr>
      </w:pPr>
    </w:p>
    <w:p>
      <w:pPr>
        <w:pStyle w:val="BodyText"/>
        <w:spacing w:before="144"/>
        <w:rPr>
          <w:b/>
          <w:sz w:val="18"/>
        </w:rPr>
      </w:pPr>
    </w:p>
    <w:p>
      <w:pPr>
        <w:pStyle w:val="Heading1"/>
        <w:numPr>
          <w:ilvl w:val="0"/>
          <w:numId w:val="5"/>
        </w:numPr>
        <w:tabs>
          <w:tab w:pos="1247" w:val="left" w:leader="none"/>
        </w:tabs>
        <w:spacing w:line="240" w:lineRule="auto" w:before="0" w:after="0"/>
        <w:ind w:left="1247" w:right="0" w:hanging="268"/>
        <w:jc w:val="left"/>
      </w:pPr>
      <w:bookmarkStart w:name="_bookmark8" w:id="9"/>
      <w:bookmarkEnd w:id="9"/>
      <w:r>
        <w:rPr>
          <w:b w:val="0"/>
        </w:rPr>
      </w:r>
      <w:r>
        <w:rPr/>
        <w:t>Diagnóstico</w:t>
      </w:r>
      <w:r>
        <w:rPr>
          <w:spacing w:val="-7"/>
        </w:rPr>
        <w:t> </w:t>
      </w:r>
      <w:r>
        <w:rPr>
          <w:spacing w:val="-2"/>
        </w:rPr>
        <w:t>Institucional</w:t>
      </w:r>
    </w:p>
    <w:p>
      <w:pPr>
        <w:pStyle w:val="BodyText"/>
        <w:spacing w:before="271"/>
        <w:ind w:left="979" w:right="1334"/>
        <w:jc w:val="both"/>
      </w:pPr>
      <w:r>
        <w:rPr/>
        <w:t>El</w:t>
      </w:r>
      <w:r>
        <w:rPr>
          <w:spacing w:val="-7"/>
        </w:rPr>
        <w:t> </w:t>
      </w:r>
      <w:r>
        <w:rPr/>
        <w:t>presente</w:t>
      </w:r>
      <w:r>
        <w:rPr>
          <w:spacing w:val="-2"/>
        </w:rPr>
        <w:t> </w:t>
      </w:r>
      <w:r>
        <w:rPr/>
        <w:t>diagnóstico</w:t>
      </w:r>
      <w:r>
        <w:rPr>
          <w:spacing w:val="-4"/>
        </w:rPr>
        <w:t> </w:t>
      </w:r>
      <w:r>
        <w:rPr/>
        <w:t>tiene</w:t>
      </w:r>
      <w:r>
        <w:rPr>
          <w:spacing w:val="-8"/>
        </w:rPr>
        <w:t> </w:t>
      </w:r>
      <w:r>
        <w:rPr/>
        <w:t>el</w:t>
      </w:r>
      <w:r>
        <w:rPr>
          <w:spacing w:val="-7"/>
        </w:rPr>
        <w:t> </w:t>
      </w:r>
      <w:r>
        <w:rPr/>
        <w:t>propósito</w:t>
      </w:r>
      <w:r>
        <w:rPr>
          <w:spacing w:val="-9"/>
        </w:rPr>
        <w:t> </w:t>
      </w:r>
      <w:r>
        <w:rPr/>
        <w:t>de</w:t>
      </w:r>
      <w:r>
        <w:rPr>
          <w:spacing w:val="-2"/>
        </w:rPr>
        <w:t> </w:t>
      </w:r>
      <w:r>
        <w:rPr/>
        <w:t>identificar</w:t>
      </w:r>
      <w:r>
        <w:rPr>
          <w:spacing w:val="-8"/>
        </w:rPr>
        <w:t> </w:t>
      </w:r>
      <w:r>
        <w:rPr/>
        <w:t>y</w:t>
      </w:r>
      <w:r>
        <w:rPr>
          <w:spacing w:val="-4"/>
        </w:rPr>
        <w:t> </w:t>
      </w:r>
      <w:r>
        <w:rPr/>
        <w:t>caracterizar</w:t>
      </w:r>
      <w:r>
        <w:rPr>
          <w:spacing w:val="-8"/>
        </w:rPr>
        <w:t> </w:t>
      </w:r>
      <w:r>
        <w:rPr/>
        <w:t>la</w:t>
      </w:r>
      <w:r>
        <w:rPr>
          <w:spacing w:val="-4"/>
        </w:rPr>
        <w:t> </w:t>
      </w:r>
      <w:r>
        <w:rPr/>
        <w:t>situación</w:t>
      </w:r>
      <w:r>
        <w:rPr>
          <w:spacing w:val="-9"/>
        </w:rPr>
        <w:t> </w:t>
      </w:r>
      <w:r>
        <w:rPr/>
        <w:t>actual</w:t>
      </w:r>
      <w:r>
        <w:rPr>
          <w:spacing w:val="-7"/>
        </w:rPr>
        <w:t> </w:t>
      </w:r>
      <w:r>
        <w:rPr/>
        <w:t>del IMAS, y brindar orientaciones generales</w:t>
      </w:r>
      <w:r>
        <w:rPr>
          <w:spacing w:val="-1"/>
        </w:rPr>
        <w:t> </w:t>
      </w:r>
      <w:r>
        <w:rPr/>
        <w:t>sobre la orientación de la Inversión Social</w:t>
      </w:r>
      <w:r>
        <w:rPr>
          <w:spacing w:val="-1"/>
        </w:rPr>
        <w:t> </w:t>
      </w:r>
      <w:r>
        <w:rPr/>
        <w:t>para el año</w:t>
      </w:r>
      <w:r>
        <w:rPr>
          <w:spacing w:val="-16"/>
        </w:rPr>
        <w:t> </w:t>
      </w:r>
      <w:r>
        <w:rPr/>
        <w:t>2026.</w:t>
      </w:r>
      <w:r>
        <w:rPr>
          <w:spacing w:val="-15"/>
        </w:rPr>
        <w:t> </w:t>
      </w:r>
      <w:r>
        <w:rPr/>
        <w:t>En</w:t>
      </w:r>
      <w:r>
        <w:rPr>
          <w:spacing w:val="-15"/>
        </w:rPr>
        <w:t> </w:t>
      </w:r>
      <w:r>
        <w:rPr/>
        <w:t>dicho</w:t>
      </w:r>
      <w:r>
        <w:rPr>
          <w:spacing w:val="-16"/>
        </w:rPr>
        <w:t> </w:t>
      </w:r>
      <w:r>
        <w:rPr/>
        <w:t>documento</w:t>
      </w:r>
      <w:r>
        <w:rPr>
          <w:spacing w:val="-15"/>
        </w:rPr>
        <w:t> </w:t>
      </w:r>
      <w:r>
        <w:rPr/>
        <w:t>se</w:t>
      </w:r>
      <w:r>
        <w:rPr>
          <w:spacing w:val="-15"/>
        </w:rPr>
        <w:t> </w:t>
      </w:r>
      <w:r>
        <w:rPr/>
        <w:t>muestra</w:t>
      </w:r>
      <w:r>
        <w:rPr>
          <w:spacing w:val="-15"/>
        </w:rPr>
        <w:t> </w:t>
      </w:r>
      <w:r>
        <w:rPr/>
        <w:t>la</w:t>
      </w:r>
      <w:r>
        <w:rPr>
          <w:spacing w:val="-16"/>
        </w:rPr>
        <w:t> </w:t>
      </w:r>
      <w:r>
        <w:rPr/>
        <w:t>estructura</w:t>
      </w:r>
      <w:r>
        <w:rPr>
          <w:spacing w:val="-15"/>
        </w:rPr>
        <w:t> </w:t>
      </w:r>
      <w:r>
        <w:rPr/>
        <w:t>organizacional</w:t>
      </w:r>
      <w:r>
        <w:rPr>
          <w:spacing w:val="-15"/>
        </w:rPr>
        <w:t> </w:t>
      </w:r>
      <w:r>
        <w:rPr/>
        <w:t>actual</w:t>
      </w:r>
      <w:r>
        <w:rPr>
          <w:spacing w:val="-16"/>
        </w:rPr>
        <w:t> </w:t>
      </w:r>
      <w:r>
        <w:rPr/>
        <w:t>y</w:t>
      </w:r>
      <w:r>
        <w:rPr>
          <w:spacing w:val="-15"/>
        </w:rPr>
        <w:t> </w:t>
      </w:r>
      <w:r>
        <w:rPr/>
        <w:t>los</w:t>
      </w:r>
      <w:r>
        <w:rPr>
          <w:spacing w:val="-15"/>
        </w:rPr>
        <w:t> </w:t>
      </w:r>
      <w:r>
        <w:rPr/>
        <w:t>recursos institucionales</w:t>
      </w:r>
      <w:r>
        <w:rPr>
          <w:spacing w:val="-7"/>
        </w:rPr>
        <w:t> </w:t>
      </w:r>
      <w:r>
        <w:rPr/>
        <w:t>que</w:t>
      </w:r>
      <w:r>
        <w:rPr>
          <w:spacing w:val="-5"/>
        </w:rPr>
        <w:t> </w:t>
      </w:r>
      <w:r>
        <w:rPr/>
        <w:t>apoyan</w:t>
      </w:r>
      <w:r>
        <w:rPr>
          <w:spacing w:val="-5"/>
        </w:rPr>
        <w:t> </w:t>
      </w:r>
      <w:r>
        <w:rPr/>
        <w:t>la</w:t>
      </w:r>
      <w:r>
        <w:rPr>
          <w:spacing w:val="-5"/>
        </w:rPr>
        <w:t> </w:t>
      </w:r>
      <w:r>
        <w:rPr/>
        <w:t>gestión operativa,</w:t>
      </w:r>
      <w:r>
        <w:rPr>
          <w:spacing w:val="-6"/>
        </w:rPr>
        <w:t> </w:t>
      </w:r>
      <w:r>
        <w:rPr/>
        <w:t>los procesos</w:t>
      </w:r>
      <w:r>
        <w:rPr>
          <w:spacing w:val="-7"/>
        </w:rPr>
        <w:t> </w:t>
      </w:r>
      <w:r>
        <w:rPr/>
        <w:t>de</w:t>
      </w:r>
      <w:r>
        <w:rPr>
          <w:spacing w:val="-5"/>
        </w:rPr>
        <w:t> </w:t>
      </w:r>
      <w:r>
        <w:rPr/>
        <w:t>trabajo</w:t>
      </w:r>
      <w:r>
        <w:rPr>
          <w:spacing w:val="-1"/>
        </w:rPr>
        <w:t> </w:t>
      </w:r>
      <w:r>
        <w:rPr/>
        <w:t>y</w:t>
      </w:r>
      <w:r>
        <w:rPr>
          <w:spacing w:val="-4"/>
        </w:rPr>
        <w:t> </w:t>
      </w:r>
      <w:r>
        <w:rPr/>
        <w:t>los</w:t>
      </w:r>
      <w:r>
        <w:rPr>
          <w:spacing w:val="-7"/>
        </w:rPr>
        <w:t> </w:t>
      </w:r>
      <w:r>
        <w:rPr/>
        <w:t>resultados</w:t>
      </w:r>
      <w:r>
        <w:rPr>
          <w:spacing w:val="-7"/>
        </w:rPr>
        <w:t> </w:t>
      </w:r>
      <w:r>
        <w:rPr/>
        <w:t>de diagnósticos territoriales.</w:t>
      </w:r>
    </w:p>
    <w:p>
      <w:pPr>
        <w:pStyle w:val="BodyText"/>
        <w:spacing w:before="252"/>
        <w:ind w:left="979" w:right="1335"/>
        <w:jc w:val="both"/>
      </w:pPr>
      <w:r>
        <w:rPr/>
        <w:t>Esta caracterización institucional se realiza enmarcada en el contexto de la pobreza en Costa Rica, con algunos</w:t>
      </w:r>
      <w:r>
        <w:rPr>
          <w:spacing w:val="-2"/>
        </w:rPr>
        <w:t> </w:t>
      </w:r>
      <w:r>
        <w:rPr/>
        <w:t>detalles generales sobre</w:t>
      </w:r>
      <w:r>
        <w:rPr>
          <w:spacing w:val="-1"/>
        </w:rPr>
        <w:t> </w:t>
      </w:r>
      <w:r>
        <w:rPr/>
        <w:t>la población</w:t>
      </w:r>
      <w:r>
        <w:rPr>
          <w:spacing w:val="-1"/>
        </w:rPr>
        <w:t> </w:t>
      </w:r>
      <w:r>
        <w:rPr/>
        <w:t>beneficiaria y el</w:t>
      </w:r>
      <w:r>
        <w:rPr>
          <w:spacing w:val="-3"/>
        </w:rPr>
        <w:t> </w:t>
      </w:r>
      <w:r>
        <w:rPr/>
        <w:t>análisis de la inversión social realizada por la institución.</w:t>
      </w:r>
    </w:p>
    <w:p>
      <w:pPr>
        <w:pStyle w:val="BodyText"/>
        <w:spacing w:before="1"/>
      </w:pPr>
    </w:p>
    <w:p>
      <w:pPr>
        <w:pStyle w:val="BodyText"/>
        <w:spacing w:before="1"/>
        <w:ind w:left="979" w:right="1333"/>
        <w:jc w:val="both"/>
      </w:pPr>
      <w:r>
        <w:rPr/>
        <w:t>La finalidad de este documento en su rol de diagnóstico</w:t>
      </w:r>
      <w:r>
        <w:rPr>
          <w:spacing w:val="-1"/>
        </w:rPr>
        <w:t> </w:t>
      </w:r>
      <w:r>
        <w:rPr/>
        <w:t>es poder contar con los datos e información</w:t>
      </w:r>
      <w:r>
        <w:rPr>
          <w:spacing w:val="-16"/>
        </w:rPr>
        <w:t> </w:t>
      </w:r>
      <w:r>
        <w:rPr/>
        <w:t>suficiente</w:t>
      </w:r>
      <w:r>
        <w:rPr>
          <w:spacing w:val="-15"/>
        </w:rPr>
        <w:t> </w:t>
      </w:r>
      <w:r>
        <w:rPr/>
        <w:t>para</w:t>
      </w:r>
      <w:r>
        <w:rPr>
          <w:spacing w:val="-15"/>
        </w:rPr>
        <w:t> </w:t>
      </w:r>
      <w:r>
        <w:rPr/>
        <w:t>determinar</w:t>
      </w:r>
      <w:r>
        <w:rPr>
          <w:spacing w:val="-1"/>
        </w:rPr>
        <w:t> </w:t>
      </w:r>
      <w:r>
        <w:rPr/>
        <w:t>prioridades</w:t>
      </w:r>
      <w:r>
        <w:rPr>
          <w:spacing w:val="-16"/>
        </w:rPr>
        <w:t> </w:t>
      </w:r>
      <w:r>
        <w:rPr/>
        <w:t>a</w:t>
      </w:r>
      <w:r>
        <w:rPr>
          <w:spacing w:val="-12"/>
        </w:rPr>
        <w:t> </w:t>
      </w:r>
      <w:r>
        <w:rPr/>
        <w:t>nivel</w:t>
      </w:r>
      <w:r>
        <w:rPr>
          <w:spacing w:val="-16"/>
        </w:rPr>
        <w:t> </w:t>
      </w:r>
      <w:r>
        <w:rPr/>
        <w:t>institucional,</w:t>
      </w:r>
      <w:r>
        <w:rPr>
          <w:spacing w:val="-15"/>
        </w:rPr>
        <w:t> </w:t>
      </w:r>
      <w:r>
        <w:rPr/>
        <w:t>que</w:t>
      </w:r>
      <w:r>
        <w:rPr>
          <w:spacing w:val="-12"/>
        </w:rPr>
        <w:t> </w:t>
      </w:r>
      <w:r>
        <w:rPr/>
        <w:t>a</w:t>
      </w:r>
      <w:r>
        <w:rPr>
          <w:spacing w:val="-13"/>
        </w:rPr>
        <w:t> </w:t>
      </w:r>
      <w:r>
        <w:rPr/>
        <w:t>su</w:t>
      </w:r>
      <w:r>
        <w:rPr>
          <w:spacing w:val="-13"/>
        </w:rPr>
        <w:t> </w:t>
      </w:r>
      <w:r>
        <w:rPr/>
        <w:t>vez</w:t>
      </w:r>
      <w:r>
        <w:rPr>
          <w:spacing w:val="-16"/>
        </w:rPr>
        <w:t> </w:t>
      </w:r>
      <w:r>
        <w:rPr/>
        <w:t>puedan ser tomadas en consideración por parte de la Dirección Superior del IMAS, para generar acciones dentro del Plan Operativo Institucional para el periodo 2026.</w:t>
      </w:r>
    </w:p>
    <w:p>
      <w:pPr>
        <w:pStyle w:val="BodyText"/>
        <w:spacing w:before="26"/>
      </w:pPr>
    </w:p>
    <w:p>
      <w:pPr>
        <w:pStyle w:val="Heading1"/>
        <w:numPr>
          <w:ilvl w:val="1"/>
          <w:numId w:val="5"/>
        </w:numPr>
        <w:tabs>
          <w:tab w:pos="2245" w:val="left" w:leader="none"/>
        </w:tabs>
        <w:spacing w:line="240" w:lineRule="auto" w:before="0" w:after="0"/>
        <w:ind w:left="2245" w:right="0" w:hanging="401"/>
        <w:jc w:val="left"/>
      </w:pPr>
      <w:bookmarkStart w:name="_bookmark9" w:id="10"/>
      <w:bookmarkEnd w:id="10"/>
      <w:r>
        <w:rPr>
          <w:b w:val="0"/>
        </w:rPr>
      </w:r>
      <w:r>
        <w:rPr/>
        <w:t>Estructura</w:t>
      </w:r>
      <w:r>
        <w:rPr>
          <w:spacing w:val="-6"/>
        </w:rPr>
        <w:t> </w:t>
      </w:r>
      <w:r>
        <w:rPr>
          <w:spacing w:val="-2"/>
        </w:rPr>
        <w:t>Organizacional</w:t>
      </w:r>
    </w:p>
    <w:p>
      <w:pPr>
        <w:pStyle w:val="BodyText"/>
        <w:spacing w:before="2"/>
        <w:rPr>
          <w:b/>
          <w:sz w:val="24"/>
        </w:rPr>
      </w:pPr>
    </w:p>
    <w:p>
      <w:pPr>
        <w:pStyle w:val="BodyText"/>
        <w:spacing w:line="237" w:lineRule="auto" w:before="1"/>
        <w:ind w:left="979" w:right="1340"/>
        <w:jc w:val="both"/>
      </w:pPr>
      <w:r>
        <w:rPr/>
        <w:t>A</w:t>
      </w:r>
      <w:r>
        <w:rPr>
          <w:spacing w:val="-1"/>
        </w:rPr>
        <w:t> </w:t>
      </w:r>
      <w:r>
        <w:rPr/>
        <w:t>continuación,</w:t>
      </w:r>
      <w:r>
        <w:rPr>
          <w:spacing w:val="-2"/>
        </w:rPr>
        <w:t> </w:t>
      </w:r>
      <w:r>
        <w:rPr/>
        <w:t>se</w:t>
      </w:r>
      <w:r>
        <w:rPr>
          <w:spacing w:val="-4"/>
        </w:rPr>
        <w:t> </w:t>
      </w:r>
      <w:r>
        <w:rPr/>
        <w:t>presenta</w:t>
      </w:r>
      <w:r>
        <w:rPr>
          <w:spacing w:val="-2"/>
        </w:rPr>
        <w:t> </w:t>
      </w:r>
      <w:r>
        <w:rPr/>
        <w:t>la</w:t>
      </w:r>
      <w:r>
        <w:rPr>
          <w:spacing w:val="-6"/>
        </w:rPr>
        <w:t> </w:t>
      </w:r>
      <w:r>
        <w:rPr/>
        <w:t>estructura</w:t>
      </w:r>
      <w:r>
        <w:rPr>
          <w:spacing w:val="-6"/>
        </w:rPr>
        <w:t> </w:t>
      </w:r>
      <w:r>
        <w:rPr/>
        <w:t>organizacional</w:t>
      </w:r>
      <w:r>
        <w:rPr>
          <w:spacing w:val="-3"/>
        </w:rPr>
        <w:t> </w:t>
      </w:r>
      <w:r>
        <w:rPr/>
        <w:t>que</w:t>
      </w:r>
      <w:r>
        <w:rPr>
          <w:spacing w:val="-6"/>
        </w:rPr>
        <w:t> </w:t>
      </w:r>
      <w:r>
        <w:rPr/>
        <w:t>posee</w:t>
      </w:r>
      <w:r>
        <w:rPr>
          <w:spacing w:val="-2"/>
        </w:rPr>
        <w:t> </w:t>
      </w:r>
      <w:r>
        <w:rPr/>
        <w:t>la</w:t>
      </w:r>
      <w:r>
        <w:rPr>
          <w:spacing w:val="-6"/>
        </w:rPr>
        <w:t> </w:t>
      </w:r>
      <w:r>
        <w:rPr/>
        <w:t>institución,</w:t>
      </w:r>
      <w:r>
        <w:rPr>
          <w:spacing w:val="-7"/>
        </w:rPr>
        <w:t> </w:t>
      </w:r>
      <w:r>
        <w:rPr/>
        <w:t>con</w:t>
      </w:r>
      <w:r>
        <w:rPr>
          <w:spacing w:val="-2"/>
        </w:rPr>
        <w:t> </w:t>
      </w:r>
      <w:r>
        <w:rPr/>
        <w:t>cada una de las instancias que la conforman.</w:t>
      </w:r>
    </w:p>
    <w:p>
      <w:pPr>
        <w:pStyle w:val="BodyText"/>
        <w:spacing w:after="0" w:line="237" w:lineRule="auto"/>
        <w:jc w:val="both"/>
        <w:sectPr>
          <w:type w:val="continuous"/>
          <w:pgSz w:w="12240" w:h="15840"/>
          <w:pgMar w:header="0" w:footer="1021" w:top="1400" w:bottom="1220" w:left="720" w:right="360"/>
        </w:sectPr>
      </w:pPr>
    </w:p>
    <w:p>
      <w:pPr>
        <w:pStyle w:val="Heading2"/>
        <w:spacing w:before="71"/>
        <w:ind w:left="804" w:right="1020"/>
        <w:jc w:val="center"/>
      </w:pPr>
      <w:bookmarkStart w:name="_bookmark10" w:id="11"/>
      <w:bookmarkEnd w:id="11"/>
      <w:r>
        <w:rPr>
          <w:b w:val="0"/>
        </w:rPr>
      </w:r>
      <w:r>
        <w:rPr/>
        <w:t>Figura</w:t>
      </w:r>
      <w:r>
        <w:rPr>
          <w:spacing w:val="-8"/>
        </w:rPr>
        <w:t> </w:t>
      </w:r>
      <w:r>
        <w:rPr/>
        <w:t>1:</w:t>
      </w:r>
      <w:r>
        <w:rPr>
          <w:spacing w:val="-7"/>
        </w:rPr>
        <w:t> </w:t>
      </w:r>
      <w:r>
        <w:rPr/>
        <w:t>Organigrama</w:t>
      </w:r>
      <w:r>
        <w:rPr>
          <w:spacing w:val="-5"/>
        </w:rPr>
        <w:t> </w:t>
      </w:r>
      <w:r>
        <w:rPr/>
        <w:t>institucional</w:t>
      </w:r>
      <w:r>
        <w:rPr>
          <w:spacing w:val="-4"/>
        </w:rPr>
        <w:t> </w:t>
      </w:r>
      <w:r>
        <w:rPr/>
        <w:t>del</w:t>
      </w:r>
      <w:r>
        <w:rPr>
          <w:spacing w:val="-9"/>
        </w:rPr>
        <w:t> </w:t>
      </w:r>
      <w:r>
        <w:rPr/>
        <w:t>IMAS</w:t>
      </w:r>
      <w:r>
        <w:rPr>
          <w:spacing w:val="-5"/>
        </w:rPr>
        <w:t> </w:t>
      </w:r>
      <w:r>
        <w:rPr/>
        <w:t>al</w:t>
      </w:r>
      <w:r>
        <w:rPr>
          <w:spacing w:val="-4"/>
        </w:rPr>
        <w:t> 2025</w:t>
      </w:r>
    </w:p>
    <w:p>
      <w:pPr>
        <w:pStyle w:val="BodyText"/>
        <w:spacing w:before="170"/>
        <w:rPr>
          <w:b/>
          <w:sz w:val="20"/>
        </w:rPr>
      </w:pPr>
      <w:r>
        <w:rPr>
          <w:b/>
          <w:sz w:val="20"/>
        </w:rPr>
        <w:drawing>
          <wp:anchor distT="0" distB="0" distL="0" distR="0" allowOverlap="1" layoutInCell="1" locked="0" behindDoc="1" simplePos="0" relativeHeight="487588352">
            <wp:simplePos x="0" y="0"/>
            <wp:positionH relativeFrom="page">
              <wp:posOffset>873760</wp:posOffset>
            </wp:positionH>
            <wp:positionV relativeFrom="paragraph">
              <wp:posOffset>269253</wp:posOffset>
            </wp:positionV>
            <wp:extent cx="6260861" cy="7113841"/>
            <wp:effectExtent l="0" t="0" r="0" b="0"/>
            <wp:wrapTopAndBottom/>
            <wp:docPr id="13" name="Image 13" descr="Diagrama, Esquemático  El contenido generado por IA puede ser incorrecto."/>
            <wp:cNvGraphicFramePr>
              <a:graphicFrameLocks/>
            </wp:cNvGraphicFramePr>
            <a:graphic>
              <a:graphicData uri="http://schemas.openxmlformats.org/drawingml/2006/picture">
                <pic:pic>
                  <pic:nvPicPr>
                    <pic:cNvPr id="13" name="Image 13" descr="Diagrama, Esquemático  El contenido generado por IA puede ser incorrecto."/>
                    <pic:cNvPicPr/>
                  </pic:nvPicPr>
                  <pic:blipFill>
                    <a:blip r:embed="rId38" cstate="print"/>
                    <a:stretch>
                      <a:fillRect/>
                    </a:stretch>
                  </pic:blipFill>
                  <pic:spPr>
                    <a:xfrm>
                      <a:off x="0" y="0"/>
                      <a:ext cx="6260861" cy="7113841"/>
                    </a:xfrm>
                    <a:prstGeom prst="rect">
                      <a:avLst/>
                    </a:prstGeom>
                  </pic:spPr>
                </pic:pic>
              </a:graphicData>
            </a:graphic>
          </wp:anchor>
        </w:drawing>
      </w:r>
    </w:p>
    <w:p>
      <w:pPr>
        <w:pStyle w:val="BodyText"/>
        <w:spacing w:after="0"/>
        <w:rPr>
          <w:b/>
          <w:sz w:val="20"/>
        </w:rPr>
        <w:sectPr>
          <w:pgSz w:w="12240" w:h="15840"/>
          <w:pgMar w:header="0" w:footer="1021" w:top="1600" w:bottom="1220" w:left="720" w:right="360"/>
        </w:sectPr>
      </w:pPr>
    </w:p>
    <w:p>
      <w:pPr>
        <w:pStyle w:val="BodyText"/>
        <w:spacing w:before="71"/>
        <w:ind w:left="979" w:right="1343"/>
        <w:jc w:val="both"/>
      </w:pPr>
      <w:bookmarkStart w:name="_bookmark11" w:id="12"/>
      <w:bookmarkEnd w:id="12"/>
      <w:r>
        <w:rPr/>
      </w:r>
      <w:r>
        <w:rPr/>
        <w:t>A</w:t>
      </w:r>
      <w:r>
        <w:rPr>
          <w:spacing w:val="-6"/>
        </w:rPr>
        <w:t> </w:t>
      </w:r>
      <w:r>
        <w:rPr/>
        <w:t>partir</w:t>
      </w:r>
      <w:r>
        <w:rPr>
          <w:spacing w:val="-9"/>
        </w:rPr>
        <w:t> </w:t>
      </w:r>
      <w:r>
        <w:rPr/>
        <w:t>del</w:t>
      </w:r>
      <w:r>
        <w:rPr>
          <w:spacing w:val="-12"/>
        </w:rPr>
        <w:t> </w:t>
      </w:r>
      <w:r>
        <w:rPr/>
        <w:t>año</w:t>
      </w:r>
      <w:r>
        <w:rPr>
          <w:spacing w:val="-5"/>
        </w:rPr>
        <w:t> </w:t>
      </w:r>
      <w:r>
        <w:rPr/>
        <w:t>2022,</w:t>
      </w:r>
      <w:r>
        <w:rPr>
          <w:spacing w:val="-10"/>
        </w:rPr>
        <w:t> </w:t>
      </w:r>
      <w:r>
        <w:rPr/>
        <w:t>en</w:t>
      </w:r>
      <w:r>
        <w:rPr>
          <w:spacing w:val="-5"/>
        </w:rPr>
        <w:t> </w:t>
      </w:r>
      <w:r>
        <w:rPr/>
        <w:t>la</w:t>
      </w:r>
      <w:r>
        <w:rPr>
          <w:spacing w:val="-5"/>
        </w:rPr>
        <w:t> </w:t>
      </w:r>
      <w:r>
        <w:rPr/>
        <w:t>institución</w:t>
      </w:r>
      <w:r>
        <w:rPr>
          <w:spacing w:val="-5"/>
        </w:rPr>
        <w:t> </w:t>
      </w:r>
      <w:r>
        <w:rPr/>
        <w:t>se</w:t>
      </w:r>
      <w:r>
        <w:rPr>
          <w:spacing w:val="-5"/>
        </w:rPr>
        <w:t> </w:t>
      </w:r>
      <w:r>
        <w:rPr/>
        <w:t>han</w:t>
      </w:r>
      <w:r>
        <w:rPr>
          <w:spacing w:val="-9"/>
        </w:rPr>
        <w:t> </w:t>
      </w:r>
      <w:r>
        <w:rPr/>
        <w:t>llevado</w:t>
      </w:r>
      <w:r>
        <w:rPr>
          <w:spacing w:val="-9"/>
        </w:rPr>
        <w:t> </w:t>
      </w:r>
      <w:r>
        <w:rPr/>
        <w:t>a</w:t>
      </w:r>
      <w:r>
        <w:rPr>
          <w:spacing w:val="-5"/>
        </w:rPr>
        <w:t> </w:t>
      </w:r>
      <w:r>
        <w:rPr/>
        <w:t>cabo</w:t>
      </w:r>
      <w:r>
        <w:rPr>
          <w:spacing w:val="-9"/>
        </w:rPr>
        <w:t> </w:t>
      </w:r>
      <w:r>
        <w:rPr/>
        <w:t>importantes</w:t>
      </w:r>
      <w:r>
        <w:rPr>
          <w:spacing w:val="-7"/>
        </w:rPr>
        <w:t> </w:t>
      </w:r>
      <w:r>
        <w:rPr/>
        <w:t>cambios</w:t>
      </w:r>
      <w:r>
        <w:rPr>
          <w:spacing w:val="-7"/>
        </w:rPr>
        <w:t> </w:t>
      </w:r>
      <w:r>
        <w:rPr/>
        <w:t>y</w:t>
      </w:r>
      <w:r>
        <w:rPr>
          <w:spacing w:val="-7"/>
        </w:rPr>
        <w:t> </w:t>
      </w:r>
      <w:r>
        <w:rPr/>
        <w:t>ajustes en la estructura administrativa, ocupacional,</w:t>
      </w:r>
      <w:r>
        <w:rPr>
          <w:spacing w:val="-5"/>
        </w:rPr>
        <w:t> </w:t>
      </w:r>
      <w:r>
        <w:rPr/>
        <w:t>organizacional</w:t>
      </w:r>
      <w:r>
        <w:rPr>
          <w:spacing w:val="-2"/>
        </w:rPr>
        <w:t> </w:t>
      </w:r>
      <w:r>
        <w:rPr/>
        <w:t>y</w:t>
      </w:r>
      <w:r>
        <w:rPr>
          <w:spacing w:val="-2"/>
        </w:rPr>
        <w:t> </w:t>
      </w:r>
      <w:r>
        <w:rPr/>
        <w:t>funcional</w:t>
      </w:r>
      <w:r>
        <w:rPr>
          <w:spacing w:val="-2"/>
        </w:rPr>
        <w:t> </w:t>
      </w:r>
      <w:r>
        <w:rPr/>
        <w:t>con el</w:t>
      </w:r>
      <w:r>
        <w:rPr>
          <w:spacing w:val="-2"/>
        </w:rPr>
        <w:t> </w:t>
      </w:r>
      <w:r>
        <w:rPr/>
        <w:t>propósito de modernizar la organización, a fin de aumentar la eficiencia y productividad de sus actividades y lograr el cumplimiento de los objetivos instituciones.</w:t>
      </w:r>
    </w:p>
    <w:p>
      <w:pPr>
        <w:pStyle w:val="BodyText"/>
        <w:spacing w:before="251"/>
        <w:ind w:left="979" w:right="1334"/>
        <w:jc w:val="both"/>
      </w:pPr>
      <w:r>
        <w:rPr/>
        <w:t>Estos</w:t>
      </w:r>
      <w:r>
        <w:rPr>
          <w:spacing w:val="-5"/>
        </w:rPr>
        <w:t> </w:t>
      </w:r>
      <w:r>
        <w:rPr/>
        <w:t>ajustes</w:t>
      </w:r>
      <w:r>
        <w:rPr>
          <w:spacing w:val="-5"/>
        </w:rPr>
        <w:t> </w:t>
      </w:r>
      <w:r>
        <w:rPr/>
        <w:t>han</w:t>
      </w:r>
      <w:r>
        <w:rPr>
          <w:spacing w:val="-3"/>
        </w:rPr>
        <w:t> </w:t>
      </w:r>
      <w:r>
        <w:rPr/>
        <w:t>propiciado transformaciones</w:t>
      </w:r>
      <w:r>
        <w:rPr>
          <w:spacing w:val="-5"/>
        </w:rPr>
        <w:t> </w:t>
      </w:r>
      <w:r>
        <w:rPr/>
        <w:t>en</w:t>
      </w:r>
      <w:r>
        <w:rPr>
          <w:spacing w:val="-3"/>
        </w:rPr>
        <w:t> </w:t>
      </w:r>
      <w:r>
        <w:rPr/>
        <w:t>la manera</w:t>
      </w:r>
      <w:r>
        <w:rPr>
          <w:spacing w:val="-3"/>
        </w:rPr>
        <w:t> </w:t>
      </w:r>
      <w:r>
        <w:rPr/>
        <w:t>en</w:t>
      </w:r>
      <w:r>
        <w:rPr>
          <w:spacing w:val="-3"/>
        </w:rPr>
        <w:t> </w:t>
      </w:r>
      <w:r>
        <w:rPr/>
        <w:t>que se prestan servicios</w:t>
      </w:r>
      <w:r>
        <w:rPr>
          <w:spacing w:val="-5"/>
        </w:rPr>
        <w:t> </w:t>
      </w:r>
      <w:r>
        <w:rPr/>
        <w:t>a la población objetivo, generando mejoras en la definición de planes y mayor cercanía con la población, con el fin de procurar de una forma más certera incidir positivamente en las condiciones</w:t>
      </w:r>
      <w:r>
        <w:rPr>
          <w:spacing w:val="-1"/>
        </w:rPr>
        <w:t> </w:t>
      </w:r>
      <w:r>
        <w:rPr/>
        <w:t>de vida de la población beneficiaria</w:t>
      </w:r>
      <w:r>
        <w:rPr>
          <w:spacing w:val="-3"/>
        </w:rPr>
        <w:t> </w:t>
      </w:r>
      <w:r>
        <w:rPr/>
        <w:t>a través de la</w:t>
      </w:r>
      <w:r>
        <w:rPr>
          <w:spacing w:val="-3"/>
        </w:rPr>
        <w:t> </w:t>
      </w:r>
      <w:r>
        <w:rPr/>
        <w:t>generación de valor</w:t>
      </w:r>
      <w:r>
        <w:rPr>
          <w:spacing w:val="-2"/>
        </w:rPr>
        <w:t> </w:t>
      </w:r>
      <w:r>
        <w:rPr/>
        <w:t>público de acuerdo con la calidad del servicio prestado y los resultados alcanzados desde la eficiencia y eficacia de los servicios brindados,</w:t>
      </w:r>
      <w:r>
        <w:rPr>
          <w:spacing w:val="40"/>
        </w:rPr>
        <w:t> </w:t>
      </w:r>
      <w:r>
        <w:rPr/>
        <w:t>en este sentido los procesos de reorganización administrativa parcial que se han realizado e impactado positivamente son los siguientes:</w:t>
      </w:r>
    </w:p>
    <w:p>
      <w:pPr>
        <w:pStyle w:val="BodyText"/>
        <w:spacing w:before="22"/>
      </w:pPr>
    </w:p>
    <w:p>
      <w:pPr>
        <w:pStyle w:val="ListParagraph"/>
        <w:numPr>
          <w:ilvl w:val="0"/>
          <w:numId w:val="6"/>
        </w:numPr>
        <w:tabs>
          <w:tab w:pos="1700" w:val="left" w:leader="none"/>
        </w:tabs>
        <w:spacing w:line="240" w:lineRule="auto" w:before="0" w:after="0"/>
        <w:ind w:left="1700" w:right="1336" w:hanging="360"/>
        <w:jc w:val="both"/>
        <w:rPr>
          <w:sz w:val="22"/>
        </w:rPr>
      </w:pPr>
      <w:r>
        <w:rPr>
          <w:sz w:val="22"/>
        </w:rPr>
        <w:t>Supresión de la secretaria técnica de la Red Nacional de Cuidado y Desarrollo Infantil (REDCUDI), de la estructura administrativa de la institución, dicho proceso se contó con la aprobación de MIDEPLAN a través del oficio MIDEPLAN -DM-OF-2082-2022 del 13 de octubre del 2022.</w:t>
      </w:r>
    </w:p>
    <w:p>
      <w:pPr>
        <w:pStyle w:val="BodyText"/>
        <w:spacing w:before="25"/>
      </w:pPr>
    </w:p>
    <w:p>
      <w:pPr>
        <w:pStyle w:val="ListParagraph"/>
        <w:numPr>
          <w:ilvl w:val="0"/>
          <w:numId w:val="6"/>
        </w:numPr>
        <w:tabs>
          <w:tab w:pos="1700" w:val="left" w:leader="none"/>
        </w:tabs>
        <w:spacing w:line="240" w:lineRule="auto" w:before="0" w:after="0"/>
        <w:ind w:left="1700" w:right="1331" w:hanging="360"/>
        <w:jc w:val="both"/>
        <w:rPr>
          <w:sz w:val="22"/>
        </w:rPr>
      </w:pPr>
      <w:r>
        <w:rPr>
          <w:sz w:val="22"/>
        </w:rPr>
        <w:t>Creación en la estructura administrativa, ocupacional y funcional del nivel regional de</w:t>
      </w:r>
      <w:r>
        <w:rPr>
          <w:spacing w:val="-9"/>
          <w:sz w:val="22"/>
        </w:rPr>
        <w:t> </w:t>
      </w:r>
      <w:r>
        <w:rPr>
          <w:sz w:val="22"/>
        </w:rPr>
        <w:t>la</w:t>
      </w:r>
      <w:r>
        <w:rPr>
          <w:spacing w:val="-4"/>
          <w:sz w:val="22"/>
        </w:rPr>
        <w:t> </w:t>
      </w:r>
      <w:r>
        <w:rPr>
          <w:sz w:val="22"/>
        </w:rPr>
        <w:t>Unidad</w:t>
      </w:r>
      <w:r>
        <w:rPr>
          <w:spacing w:val="-9"/>
          <w:sz w:val="22"/>
        </w:rPr>
        <w:t> </w:t>
      </w:r>
      <w:r>
        <w:rPr>
          <w:sz w:val="22"/>
        </w:rPr>
        <w:t>Local</w:t>
      </w:r>
      <w:r>
        <w:rPr>
          <w:spacing w:val="-12"/>
          <w:sz w:val="22"/>
        </w:rPr>
        <w:t> </w:t>
      </w:r>
      <w:r>
        <w:rPr>
          <w:sz w:val="22"/>
        </w:rPr>
        <w:t>de</w:t>
      </w:r>
      <w:r>
        <w:rPr>
          <w:spacing w:val="-4"/>
          <w:sz w:val="22"/>
        </w:rPr>
        <w:t> </w:t>
      </w:r>
      <w:r>
        <w:rPr>
          <w:sz w:val="22"/>
        </w:rPr>
        <w:t>Desarrollo</w:t>
      </w:r>
      <w:r>
        <w:rPr>
          <w:spacing w:val="-9"/>
          <w:sz w:val="22"/>
        </w:rPr>
        <w:t> </w:t>
      </w:r>
      <w:r>
        <w:rPr>
          <w:sz w:val="22"/>
        </w:rPr>
        <w:t>Social</w:t>
      </w:r>
      <w:r>
        <w:rPr>
          <w:spacing w:val="-7"/>
          <w:sz w:val="22"/>
        </w:rPr>
        <w:t> </w:t>
      </w:r>
      <w:r>
        <w:rPr>
          <w:sz w:val="22"/>
        </w:rPr>
        <w:t>(ULDS)</w:t>
      </w:r>
      <w:r>
        <w:rPr>
          <w:spacing w:val="-12"/>
          <w:sz w:val="22"/>
        </w:rPr>
        <w:t> </w:t>
      </w:r>
      <w:r>
        <w:rPr>
          <w:sz w:val="22"/>
        </w:rPr>
        <w:t>de</w:t>
      </w:r>
      <w:r>
        <w:rPr>
          <w:spacing w:val="-9"/>
          <w:sz w:val="22"/>
        </w:rPr>
        <w:t> </w:t>
      </w:r>
      <w:r>
        <w:rPr>
          <w:sz w:val="22"/>
        </w:rPr>
        <w:t>Pococí,</w:t>
      </w:r>
      <w:r>
        <w:rPr>
          <w:spacing w:val="-10"/>
          <w:sz w:val="22"/>
        </w:rPr>
        <w:t> </w:t>
      </w:r>
      <w:r>
        <w:rPr>
          <w:sz w:val="22"/>
        </w:rPr>
        <w:t>ubicada</w:t>
      </w:r>
      <w:r>
        <w:rPr>
          <w:spacing w:val="-9"/>
          <w:sz w:val="22"/>
        </w:rPr>
        <w:t> </w:t>
      </w:r>
      <w:r>
        <w:rPr>
          <w:sz w:val="22"/>
        </w:rPr>
        <w:t>en</w:t>
      </w:r>
      <w:r>
        <w:rPr>
          <w:spacing w:val="-9"/>
          <w:sz w:val="22"/>
        </w:rPr>
        <w:t> </w:t>
      </w:r>
      <w:r>
        <w:rPr>
          <w:sz w:val="22"/>
        </w:rPr>
        <w:t>dicho</w:t>
      </w:r>
      <w:r>
        <w:rPr>
          <w:spacing w:val="-9"/>
          <w:sz w:val="22"/>
        </w:rPr>
        <w:t> </w:t>
      </w:r>
      <w:r>
        <w:rPr>
          <w:sz w:val="22"/>
        </w:rPr>
        <w:t>cantón y que forma parte del Área Regional de Desarrollo Social Huetar Caribe, dicho proceso</w:t>
      </w:r>
      <w:r>
        <w:rPr>
          <w:spacing w:val="-10"/>
          <w:sz w:val="22"/>
        </w:rPr>
        <w:t> </w:t>
      </w:r>
      <w:r>
        <w:rPr>
          <w:sz w:val="22"/>
        </w:rPr>
        <w:t>conto</w:t>
      </w:r>
      <w:r>
        <w:rPr>
          <w:spacing w:val="-10"/>
          <w:sz w:val="22"/>
        </w:rPr>
        <w:t> </w:t>
      </w:r>
      <w:r>
        <w:rPr>
          <w:sz w:val="22"/>
        </w:rPr>
        <w:t>con</w:t>
      </w:r>
      <w:r>
        <w:rPr>
          <w:spacing w:val="-6"/>
          <w:sz w:val="22"/>
        </w:rPr>
        <w:t> </w:t>
      </w:r>
      <w:r>
        <w:rPr>
          <w:sz w:val="22"/>
        </w:rPr>
        <w:t>la</w:t>
      </w:r>
      <w:r>
        <w:rPr>
          <w:spacing w:val="-10"/>
          <w:sz w:val="22"/>
        </w:rPr>
        <w:t> </w:t>
      </w:r>
      <w:r>
        <w:rPr>
          <w:sz w:val="22"/>
        </w:rPr>
        <w:t>aprobación</w:t>
      </w:r>
      <w:r>
        <w:rPr>
          <w:spacing w:val="-10"/>
          <w:sz w:val="22"/>
        </w:rPr>
        <w:t> </w:t>
      </w:r>
      <w:r>
        <w:rPr>
          <w:sz w:val="22"/>
        </w:rPr>
        <w:t>de</w:t>
      </w:r>
      <w:r>
        <w:rPr>
          <w:spacing w:val="-6"/>
          <w:sz w:val="22"/>
        </w:rPr>
        <w:t> </w:t>
      </w:r>
      <w:r>
        <w:rPr>
          <w:sz w:val="22"/>
        </w:rPr>
        <w:t>MIDEPLAN</w:t>
      </w:r>
      <w:r>
        <w:rPr>
          <w:spacing w:val="-13"/>
          <w:sz w:val="22"/>
        </w:rPr>
        <w:t> </w:t>
      </w:r>
      <w:r>
        <w:rPr>
          <w:sz w:val="22"/>
        </w:rPr>
        <w:t>a</w:t>
      </w:r>
      <w:r>
        <w:rPr>
          <w:spacing w:val="-10"/>
          <w:sz w:val="22"/>
        </w:rPr>
        <w:t> </w:t>
      </w:r>
      <w:r>
        <w:rPr>
          <w:sz w:val="22"/>
        </w:rPr>
        <w:t>través</w:t>
      </w:r>
      <w:r>
        <w:rPr>
          <w:spacing w:val="-12"/>
          <w:sz w:val="22"/>
        </w:rPr>
        <w:t> </w:t>
      </w:r>
      <w:r>
        <w:rPr>
          <w:sz w:val="22"/>
        </w:rPr>
        <w:t>del</w:t>
      </w:r>
      <w:r>
        <w:rPr>
          <w:spacing w:val="-8"/>
          <w:sz w:val="22"/>
        </w:rPr>
        <w:t> </w:t>
      </w:r>
      <w:r>
        <w:rPr>
          <w:sz w:val="22"/>
        </w:rPr>
        <w:t>oficio MIDEPLAN</w:t>
      </w:r>
      <w:r>
        <w:rPr>
          <w:spacing w:val="-7"/>
          <w:sz w:val="22"/>
        </w:rPr>
        <w:t> </w:t>
      </w:r>
      <w:r>
        <w:rPr>
          <w:sz w:val="22"/>
        </w:rPr>
        <w:t>-DM-OF- 1908-2023 del 7 de noviembre del 2023.</w:t>
      </w:r>
    </w:p>
    <w:p>
      <w:pPr>
        <w:pStyle w:val="BodyText"/>
        <w:spacing w:before="21"/>
      </w:pPr>
    </w:p>
    <w:p>
      <w:pPr>
        <w:pStyle w:val="ListParagraph"/>
        <w:numPr>
          <w:ilvl w:val="0"/>
          <w:numId w:val="6"/>
        </w:numPr>
        <w:tabs>
          <w:tab w:pos="1700" w:val="left" w:leader="none"/>
        </w:tabs>
        <w:spacing w:line="240" w:lineRule="auto" w:before="0" w:after="0"/>
        <w:ind w:left="1700" w:right="1346" w:hanging="360"/>
        <w:jc w:val="both"/>
        <w:rPr>
          <w:sz w:val="22"/>
        </w:rPr>
      </w:pPr>
      <w:r>
        <w:rPr>
          <w:spacing w:val="-2"/>
          <w:sz w:val="22"/>
        </w:rPr>
        <w:t>A</w:t>
      </w:r>
      <w:r>
        <w:rPr>
          <w:spacing w:val="-6"/>
          <w:sz w:val="22"/>
        </w:rPr>
        <w:t> </w:t>
      </w:r>
      <w:r>
        <w:rPr>
          <w:spacing w:val="-2"/>
          <w:sz w:val="22"/>
        </w:rPr>
        <w:t>lo</w:t>
      </w:r>
      <w:r>
        <w:rPr>
          <w:spacing w:val="-6"/>
          <w:sz w:val="22"/>
        </w:rPr>
        <w:t> </w:t>
      </w:r>
      <w:r>
        <w:rPr>
          <w:spacing w:val="-2"/>
          <w:sz w:val="22"/>
        </w:rPr>
        <w:t>interno</w:t>
      </w:r>
      <w:r>
        <w:rPr>
          <w:spacing w:val="-12"/>
          <w:sz w:val="22"/>
        </w:rPr>
        <w:t> </w:t>
      </w:r>
      <w:r>
        <w:rPr>
          <w:spacing w:val="-2"/>
          <w:sz w:val="22"/>
        </w:rPr>
        <w:t>de</w:t>
      </w:r>
      <w:r>
        <w:rPr>
          <w:spacing w:val="-6"/>
          <w:sz w:val="22"/>
        </w:rPr>
        <w:t> </w:t>
      </w:r>
      <w:r>
        <w:rPr>
          <w:spacing w:val="-2"/>
          <w:sz w:val="22"/>
        </w:rPr>
        <w:t>la</w:t>
      </w:r>
      <w:r>
        <w:rPr>
          <w:spacing w:val="-12"/>
          <w:sz w:val="22"/>
        </w:rPr>
        <w:t> </w:t>
      </w:r>
      <w:r>
        <w:rPr>
          <w:spacing w:val="-2"/>
          <w:sz w:val="22"/>
        </w:rPr>
        <w:t>estructura</w:t>
      </w:r>
      <w:r>
        <w:rPr>
          <w:spacing w:val="-12"/>
          <w:sz w:val="22"/>
        </w:rPr>
        <w:t> </w:t>
      </w:r>
      <w:r>
        <w:rPr>
          <w:spacing w:val="-2"/>
          <w:sz w:val="22"/>
        </w:rPr>
        <w:t>administrativa</w:t>
      </w:r>
      <w:r>
        <w:rPr>
          <w:spacing w:val="-12"/>
          <w:sz w:val="22"/>
        </w:rPr>
        <w:t> </w:t>
      </w:r>
      <w:r>
        <w:rPr>
          <w:spacing w:val="-2"/>
          <w:sz w:val="22"/>
        </w:rPr>
        <w:t>de</w:t>
      </w:r>
      <w:r>
        <w:rPr>
          <w:spacing w:val="-6"/>
          <w:sz w:val="22"/>
        </w:rPr>
        <w:t> </w:t>
      </w:r>
      <w:r>
        <w:rPr>
          <w:spacing w:val="-2"/>
          <w:sz w:val="22"/>
        </w:rPr>
        <w:t>la</w:t>
      </w:r>
      <w:r>
        <w:rPr>
          <w:spacing w:val="-6"/>
          <w:sz w:val="22"/>
        </w:rPr>
        <w:t> </w:t>
      </w:r>
      <w:r>
        <w:rPr>
          <w:spacing w:val="-2"/>
          <w:sz w:val="22"/>
        </w:rPr>
        <w:t>institución</w:t>
      </w:r>
      <w:r>
        <w:rPr>
          <w:spacing w:val="-6"/>
          <w:sz w:val="22"/>
        </w:rPr>
        <w:t> </w:t>
      </w:r>
      <w:r>
        <w:rPr>
          <w:spacing w:val="-2"/>
          <w:sz w:val="22"/>
        </w:rPr>
        <w:t>se</w:t>
      </w:r>
      <w:r>
        <w:rPr>
          <w:spacing w:val="-6"/>
          <w:sz w:val="22"/>
        </w:rPr>
        <w:t> </w:t>
      </w:r>
      <w:r>
        <w:rPr>
          <w:spacing w:val="-2"/>
          <w:sz w:val="22"/>
        </w:rPr>
        <w:t>llevó</w:t>
      </w:r>
      <w:r>
        <w:rPr>
          <w:spacing w:val="-12"/>
          <w:sz w:val="22"/>
        </w:rPr>
        <w:t> </w:t>
      </w:r>
      <w:r>
        <w:rPr>
          <w:spacing w:val="-2"/>
          <w:sz w:val="22"/>
        </w:rPr>
        <w:t>a</w:t>
      </w:r>
      <w:r>
        <w:rPr>
          <w:spacing w:val="-6"/>
          <w:sz w:val="22"/>
        </w:rPr>
        <w:t> </w:t>
      </w:r>
      <w:r>
        <w:rPr>
          <w:spacing w:val="-2"/>
          <w:sz w:val="22"/>
        </w:rPr>
        <w:t>cabo</w:t>
      </w:r>
      <w:r>
        <w:rPr>
          <w:spacing w:val="-6"/>
          <w:sz w:val="22"/>
        </w:rPr>
        <w:t> </w:t>
      </w:r>
      <w:r>
        <w:rPr>
          <w:spacing w:val="-2"/>
          <w:sz w:val="22"/>
        </w:rPr>
        <w:t>la</w:t>
      </w:r>
      <w:r>
        <w:rPr>
          <w:spacing w:val="-12"/>
          <w:sz w:val="22"/>
        </w:rPr>
        <w:t> </w:t>
      </w:r>
      <w:r>
        <w:rPr>
          <w:spacing w:val="-2"/>
          <w:sz w:val="22"/>
        </w:rPr>
        <w:t>creación </w:t>
      </w:r>
      <w:r>
        <w:rPr>
          <w:sz w:val="22"/>
        </w:rPr>
        <w:t>de</w:t>
      </w:r>
      <w:r>
        <w:rPr>
          <w:spacing w:val="-16"/>
          <w:sz w:val="22"/>
        </w:rPr>
        <w:t> </w:t>
      </w:r>
      <w:r>
        <w:rPr>
          <w:sz w:val="22"/>
        </w:rPr>
        <w:t>la</w:t>
      </w:r>
      <w:r>
        <w:rPr>
          <w:spacing w:val="-15"/>
          <w:sz w:val="22"/>
        </w:rPr>
        <w:t> </w:t>
      </w:r>
      <w:r>
        <w:rPr>
          <w:sz w:val="22"/>
        </w:rPr>
        <w:t>Secretaría</w:t>
      </w:r>
      <w:r>
        <w:rPr>
          <w:spacing w:val="-15"/>
          <w:sz w:val="22"/>
        </w:rPr>
        <w:t> </w:t>
      </w:r>
      <w:r>
        <w:rPr>
          <w:sz w:val="22"/>
        </w:rPr>
        <w:t>Técnica</w:t>
      </w:r>
      <w:r>
        <w:rPr>
          <w:spacing w:val="-16"/>
          <w:sz w:val="22"/>
        </w:rPr>
        <w:t> </w:t>
      </w:r>
      <w:r>
        <w:rPr>
          <w:sz w:val="22"/>
        </w:rPr>
        <w:t>del</w:t>
      </w:r>
      <w:r>
        <w:rPr>
          <w:spacing w:val="-15"/>
          <w:sz w:val="22"/>
        </w:rPr>
        <w:t> </w:t>
      </w:r>
      <w:r>
        <w:rPr>
          <w:sz w:val="22"/>
        </w:rPr>
        <w:t>Sistema</w:t>
      </w:r>
      <w:r>
        <w:rPr>
          <w:spacing w:val="-15"/>
          <w:sz w:val="22"/>
        </w:rPr>
        <w:t> </w:t>
      </w:r>
      <w:r>
        <w:rPr>
          <w:sz w:val="22"/>
        </w:rPr>
        <w:t>Nacional</w:t>
      </w:r>
      <w:r>
        <w:rPr>
          <w:spacing w:val="-15"/>
          <w:sz w:val="22"/>
        </w:rPr>
        <w:t> </w:t>
      </w:r>
      <w:r>
        <w:rPr>
          <w:sz w:val="22"/>
        </w:rPr>
        <w:t>de</w:t>
      </w:r>
      <w:r>
        <w:rPr>
          <w:spacing w:val="-16"/>
          <w:sz w:val="22"/>
        </w:rPr>
        <w:t> </w:t>
      </w:r>
      <w:r>
        <w:rPr>
          <w:sz w:val="22"/>
        </w:rPr>
        <w:t>Cuidados</w:t>
      </w:r>
      <w:r>
        <w:rPr>
          <w:spacing w:val="-15"/>
          <w:sz w:val="22"/>
        </w:rPr>
        <w:t> </w:t>
      </w:r>
      <w:r>
        <w:rPr>
          <w:sz w:val="22"/>
        </w:rPr>
        <w:t>y</w:t>
      </w:r>
      <w:r>
        <w:rPr>
          <w:spacing w:val="-15"/>
          <w:sz w:val="22"/>
        </w:rPr>
        <w:t> </w:t>
      </w:r>
      <w:r>
        <w:rPr>
          <w:sz w:val="22"/>
        </w:rPr>
        <w:t>Apoyos</w:t>
      </w:r>
      <w:r>
        <w:rPr>
          <w:spacing w:val="-16"/>
          <w:sz w:val="22"/>
        </w:rPr>
        <w:t> </w:t>
      </w:r>
      <w:r>
        <w:rPr>
          <w:sz w:val="22"/>
        </w:rPr>
        <w:t>para</w:t>
      </w:r>
      <w:r>
        <w:rPr>
          <w:spacing w:val="-15"/>
          <w:sz w:val="22"/>
        </w:rPr>
        <w:t> </w:t>
      </w:r>
      <w:r>
        <w:rPr>
          <w:sz w:val="22"/>
        </w:rPr>
        <w:t>Personas Adultas</w:t>
      </w:r>
      <w:r>
        <w:rPr>
          <w:spacing w:val="-8"/>
          <w:sz w:val="22"/>
        </w:rPr>
        <w:t> </w:t>
      </w:r>
      <w:r>
        <w:rPr>
          <w:sz w:val="22"/>
        </w:rPr>
        <w:t>y</w:t>
      </w:r>
      <w:r>
        <w:rPr>
          <w:spacing w:val="-3"/>
          <w:sz w:val="22"/>
        </w:rPr>
        <w:t> </w:t>
      </w:r>
      <w:r>
        <w:rPr>
          <w:sz w:val="22"/>
        </w:rPr>
        <w:t>Personas</w:t>
      </w:r>
      <w:r>
        <w:rPr>
          <w:spacing w:val="-8"/>
          <w:sz w:val="22"/>
        </w:rPr>
        <w:t> </w:t>
      </w:r>
      <w:r>
        <w:rPr>
          <w:sz w:val="22"/>
        </w:rPr>
        <w:t>Adultas</w:t>
      </w:r>
      <w:r>
        <w:rPr>
          <w:spacing w:val="-3"/>
          <w:sz w:val="22"/>
        </w:rPr>
        <w:t> </w:t>
      </w:r>
      <w:r>
        <w:rPr>
          <w:sz w:val="22"/>
        </w:rPr>
        <w:t>Mayores</w:t>
      </w:r>
      <w:r>
        <w:rPr>
          <w:spacing w:val="-8"/>
          <w:sz w:val="22"/>
        </w:rPr>
        <w:t> </w:t>
      </w:r>
      <w:r>
        <w:rPr>
          <w:sz w:val="22"/>
        </w:rPr>
        <w:t>en</w:t>
      </w:r>
      <w:r>
        <w:rPr>
          <w:spacing w:val="-2"/>
          <w:sz w:val="22"/>
        </w:rPr>
        <w:t> </w:t>
      </w:r>
      <w:r>
        <w:rPr>
          <w:sz w:val="22"/>
        </w:rPr>
        <w:t>Situación</w:t>
      </w:r>
      <w:r>
        <w:rPr>
          <w:spacing w:val="-6"/>
          <w:sz w:val="22"/>
        </w:rPr>
        <w:t> </w:t>
      </w:r>
      <w:r>
        <w:rPr>
          <w:sz w:val="22"/>
        </w:rPr>
        <w:t>de</w:t>
      </w:r>
      <w:r>
        <w:rPr>
          <w:spacing w:val="-6"/>
          <w:sz w:val="22"/>
        </w:rPr>
        <w:t> </w:t>
      </w:r>
      <w:r>
        <w:rPr>
          <w:sz w:val="22"/>
        </w:rPr>
        <w:t>Dependencia</w:t>
      </w:r>
      <w:r>
        <w:rPr>
          <w:spacing w:val="-2"/>
          <w:sz w:val="22"/>
        </w:rPr>
        <w:t> </w:t>
      </w:r>
      <w:r>
        <w:rPr>
          <w:sz w:val="22"/>
        </w:rPr>
        <w:t>(SINCA)</w:t>
      </w:r>
      <w:r>
        <w:rPr>
          <w:spacing w:val="-5"/>
          <w:sz w:val="22"/>
        </w:rPr>
        <w:t> </w:t>
      </w:r>
      <w:r>
        <w:rPr>
          <w:sz w:val="22"/>
        </w:rPr>
        <w:t>misma que fue adscrita al Área Técnica del Departamento de Atención Integral e Interinstitucional (DAII), dicho proceso conto con la aprobación de MIDEPLAN a través del oficio MIDEPLAN -DM-OF-0299-2023 del 14 de febrero del 2023.</w:t>
      </w:r>
    </w:p>
    <w:p>
      <w:pPr>
        <w:pStyle w:val="BodyText"/>
        <w:spacing w:before="22"/>
      </w:pPr>
    </w:p>
    <w:p>
      <w:pPr>
        <w:pStyle w:val="ListParagraph"/>
        <w:numPr>
          <w:ilvl w:val="0"/>
          <w:numId w:val="6"/>
        </w:numPr>
        <w:tabs>
          <w:tab w:pos="1700" w:val="left" w:leader="none"/>
        </w:tabs>
        <w:spacing w:line="240" w:lineRule="auto" w:before="1" w:after="0"/>
        <w:ind w:left="1700" w:right="1336" w:hanging="360"/>
        <w:jc w:val="both"/>
        <w:rPr>
          <w:sz w:val="22"/>
        </w:rPr>
      </w:pPr>
      <w:r>
        <w:rPr>
          <w:sz w:val="22"/>
        </w:rPr>
        <w:t>Se</w:t>
      </w:r>
      <w:r>
        <w:rPr>
          <w:spacing w:val="-10"/>
          <w:sz w:val="22"/>
        </w:rPr>
        <w:t> </w:t>
      </w:r>
      <w:r>
        <w:rPr>
          <w:sz w:val="22"/>
        </w:rPr>
        <w:t>realizó</w:t>
      </w:r>
      <w:r>
        <w:rPr>
          <w:spacing w:val="-10"/>
          <w:sz w:val="22"/>
        </w:rPr>
        <w:t> </w:t>
      </w:r>
      <w:r>
        <w:rPr>
          <w:sz w:val="22"/>
        </w:rPr>
        <w:t>un</w:t>
      </w:r>
      <w:r>
        <w:rPr>
          <w:spacing w:val="-8"/>
          <w:sz w:val="22"/>
        </w:rPr>
        <w:t> </w:t>
      </w:r>
      <w:r>
        <w:rPr>
          <w:sz w:val="22"/>
        </w:rPr>
        <w:t>proceso</w:t>
      </w:r>
      <w:r>
        <w:rPr>
          <w:spacing w:val="-10"/>
          <w:sz w:val="22"/>
        </w:rPr>
        <w:t> </w:t>
      </w:r>
      <w:r>
        <w:rPr>
          <w:sz w:val="22"/>
        </w:rPr>
        <w:t>de</w:t>
      </w:r>
      <w:r>
        <w:rPr>
          <w:spacing w:val="-10"/>
          <w:sz w:val="22"/>
        </w:rPr>
        <w:t> </w:t>
      </w:r>
      <w:r>
        <w:rPr>
          <w:sz w:val="22"/>
        </w:rPr>
        <w:t>reorganización</w:t>
      </w:r>
      <w:r>
        <w:rPr>
          <w:spacing w:val="-10"/>
          <w:sz w:val="22"/>
        </w:rPr>
        <w:t> </w:t>
      </w:r>
      <w:r>
        <w:rPr>
          <w:sz w:val="22"/>
        </w:rPr>
        <w:t>administrativa</w:t>
      </w:r>
      <w:r>
        <w:rPr>
          <w:spacing w:val="-10"/>
          <w:sz w:val="22"/>
        </w:rPr>
        <w:t> </w:t>
      </w:r>
      <w:r>
        <w:rPr>
          <w:sz w:val="22"/>
        </w:rPr>
        <w:t>parcial</w:t>
      </w:r>
      <w:r>
        <w:rPr>
          <w:spacing w:val="-13"/>
          <w:sz w:val="22"/>
        </w:rPr>
        <w:t> </w:t>
      </w:r>
      <w:r>
        <w:rPr>
          <w:sz w:val="22"/>
        </w:rPr>
        <w:t>fundamentado</w:t>
      </w:r>
      <w:r>
        <w:rPr>
          <w:spacing w:val="-10"/>
          <w:sz w:val="22"/>
        </w:rPr>
        <w:t> </w:t>
      </w:r>
      <w:r>
        <w:rPr>
          <w:sz w:val="22"/>
        </w:rPr>
        <w:t>en</w:t>
      </w:r>
      <w:r>
        <w:rPr>
          <w:spacing w:val="-10"/>
          <w:sz w:val="22"/>
        </w:rPr>
        <w:t> </w:t>
      </w:r>
      <w:r>
        <w:rPr>
          <w:sz w:val="22"/>
        </w:rPr>
        <w:t>los cambios</w:t>
      </w:r>
      <w:r>
        <w:rPr>
          <w:spacing w:val="-10"/>
          <w:sz w:val="22"/>
        </w:rPr>
        <w:t> </w:t>
      </w:r>
      <w:r>
        <w:rPr>
          <w:sz w:val="22"/>
        </w:rPr>
        <w:t>propuestos</w:t>
      </w:r>
      <w:r>
        <w:rPr>
          <w:spacing w:val="-10"/>
          <w:sz w:val="22"/>
        </w:rPr>
        <w:t> </w:t>
      </w:r>
      <w:r>
        <w:rPr>
          <w:sz w:val="22"/>
        </w:rPr>
        <w:t>en</w:t>
      </w:r>
      <w:r>
        <w:rPr>
          <w:spacing w:val="-8"/>
          <w:sz w:val="22"/>
        </w:rPr>
        <w:t> </w:t>
      </w:r>
      <w:r>
        <w:rPr>
          <w:sz w:val="22"/>
        </w:rPr>
        <w:t>la</w:t>
      </w:r>
      <w:r>
        <w:rPr>
          <w:spacing w:val="-8"/>
          <w:sz w:val="22"/>
        </w:rPr>
        <w:t> </w:t>
      </w:r>
      <w:r>
        <w:rPr>
          <w:sz w:val="22"/>
        </w:rPr>
        <w:t>ley</w:t>
      </w:r>
      <w:r>
        <w:rPr>
          <w:spacing w:val="-10"/>
          <w:sz w:val="22"/>
        </w:rPr>
        <w:t> </w:t>
      </w:r>
      <w:r>
        <w:rPr>
          <w:sz w:val="22"/>
        </w:rPr>
        <w:t>10.159,</w:t>
      </w:r>
      <w:r>
        <w:rPr>
          <w:spacing w:val="-9"/>
          <w:sz w:val="22"/>
        </w:rPr>
        <w:t> </w:t>
      </w:r>
      <w:r>
        <w:rPr>
          <w:sz w:val="22"/>
        </w:rPr>
        <w:t>transitorio</w:t>
      </w:r>
      <w:r>
        <w:rPr>
          <w:spacing w:val="-3"/>
          <w:sz w:val="22"/>
        </w:rPr>
        <w:t> </w:t>
      </w:r>
      <w:r>
        <w:rPr>
          <w:sz w:val="22"/>
        </w:rPr>
        <w:t>X</w:t>
      </w:r>
      <w:r>
        <w:rPr>
          <w:spacing w:val="-13"/>
          <w:sz w:val="22"/>
        </w:rPr>
        <w:t> </w:t>
      </w:r>
      <w:r>
        <w:rPr>
          <w:sz w:val="22"/>
        </w:rPr>
        <w:t>en</w:t>
      </w:r>
      <w:r>
        <w:rPr>
          <w:spacing w:val="-8"/>
          <w:sz w:val="22"/>
        </w:rPr>
        <w:t> </w:t>
      </w:r>
      <w:r>
        <w:rPr>
          <w:sz w:val="22"/>
        </w:rPr>
        <w:t>donde</w:t>
      </w:r>
      <w:r>
        <w:rPr>
          <w:spacing w:val="-3"/>
          <w:sz w:val="22"/>
        </w:rPr>
        <w:t> </w:t>
      </w:r>
      <w:r>
        <w:rPr>
          <w:sz w:val="22"/>
        </w:rPr>
        <w:t>se</w:t>
      </w:r>
      <w:r>
        <w:rPr>
          <w:spacing w:val="-3"/>
          <w:sz w:val="22"/>
        </w:rPr>
        <w:t> </w:t>
      </w:r>
      <w:r>
        <w:rPr>
          <w:sz w:val="22"/>
        </w:rPr>
        <w:t>solicita</w:t>
      </w:r>
      <w:r>
        <w:rPr>
          <w:spacing w:val="-8"/>
          <w:sz w:val="22"/>
        </w:rPr>
        <w:t> </w:t>
      </w:r>
      <w:r>
        <w:rPr>
          <w:sz w:val="22"/>
        </w:rPr>
        <w:t>el</w:t>
      </w:r>
      <w:r>
        <w:rPr>
          <w:spacing w:val="-11"/>
          <w:sz w:val="22"/>
        </w:rPr>
        <w:t> </w:t>
      </w:r>
      <w:r>
        <w:rPr>
          <w:sz w:val="22"/>
        </w:rPr>
        <w:t>cambio</w:t>
      </w:r>
      <w:r>
        <w:rPr>
          <w:spacing w:val="-8"/>
          <w:sz w:val="22"/>
        </w:rPr>
        <w:t> </w:t>
      </w:r>
      <w:r>
        <w:rPr>
          <w:sz w:val="22"/>
        </w:rPr>
        <w:t>en la nomenclatura de las Subgerencias y las Áreas que conforman el IMAS, siendo que las Subgerencias pasaran a tener la denominación de Dirección y las</w:t>
      </w:r>
      <w:r>
        <w:rPr>
          <w:spacing w:val="-1"/>
          <w:sz w:val="22"/>
        </w:rPr>
        <w:t> </w:t>
      </w:r>
      <w:r>
        <w:rPr>
          <w:sz w:val="22"/>
        </w:rPr>
        <w:t>Áreas el nivel organizacional de Departamento, dicho proceso conto con la aprobación de MIDEPLAN a través del oficio MIDEPLAN -DM-OF-1211-2023</w:t>
      </w:r>
      <w:r>
        <w:rPr>
          <w:spacing w:val="-4"/>
          <w:sz w:val="22"/>
        </w:rPr>
        <w:t> </w:t>
      </w:r>
      <w:r>
        <w:rPr>
          <w:sz w:val="22"/>
        </w:rPr>
        <w:t>del 12 de julio del </w:t>
      </w:r>
      <w:r>
        <w:rPr>
          <w:spacing w:val="-2"/>
          <w:sz w:val="22"/>
        </w:rPr>
        <w:t>2023.</w:t>
      </w:r>
    </w:p>
    <w:p>
      <w:pPr>
        <w:pStyle w:val="BodyText"/>
        <w:spacing w:before="19"/>
      </w:pPr>
    </w:p>
    <w:p>
      <w:pPr>
        <w:pStyle w:val="ListParagraph"/>
        <w:numPr>
          <w:ilvl w:val="0"/>
          <w:numId w:val="6"/>
        </w:numPr>
        <w:tabs>
          <w:tab w:pos="1700" w:val="left" w:leader="none"/>
        </w:tabs>
        <w:spacing w:line="240" w:lineRule="auto" w:before="0" w:after="0"/>
        <w:ind w:left="1700" w:right="1343" w:hanging="360"/>
        <w:jc w:val="both"/>
        <w:rPr>
          <w:sz w:val="22"/>
        </w:rPr>
      </w:pPr>
      <w:r>
        <w:rPr>
          <w:sz w:val="22"/>
        </w:rPr>
        <w:t>Se llevó a cabo la supresión del Departamento de Atención Integral e Interinstitucional (DAII) de la estructura organizacional del IMAS, en este caso se reasignaron</w:t>
      </w:r>
      <w:r>
        <w:rPr>
          <w:spacing w:val="-1"/>
          <w:sz w:val="22"/>
        </w:rPr>
        <w:t> </w:t>
      </w:r>
      <w:r>
        <w:rPr>
          <w:sz w:val="22"/>
        </w:rPr>
        <w:t>y</w:t>
      </w:r>
      <w:r>
        <w:rPr>
          <w:spacing w:val="-2"/>
          <w:sz w:val="22"/>
        </w:rPr>
        <w:t> </w:t>
      </w:r>
      <w:r>
        <w:rPr>
          <w:sz w:val="22"/>
        </w:rPr>
        <w:t>trasladaron</w:t>
      </w:r>
      <w:r>
        <w:rPr>
          <w:spacing w:val="-1"/>
          <w:sz w:val="22"/>
        </w:rPr>
        <w:t> </w:t>
      </w:r>
      <w:r>
        <w:rPr>
          <w:sz w:val="22"/>
        </w:rPr>
        <w:t>las</w:t>
      </w:r>
      <w:r>
        <w:rPr>
          <w:spacing w:val="-7"/>
          <w:sz w:val="22"/>
        </w:rPr>
        <w:t> </w:t>
      </w:r>
      <w:r>
        <w:rPr>
          <w:sz w:val="22"/>
        </w:rPr>
        <w:t>funciones</w:t>
      </w:r>
      <w:r>
        <w:rPr>
          <w:spacing w:val="-7"/>
          <w:sz w:val="22"/>
        </w:rPr>
        <w:t> </w:t>
      </w:r>
      <w:r>
        <w:rPr>
          <w:sz w:val="22"/>
        </w:rPr>
        <w:t>a</w:t>
      </w:r>
      <w:r>
        <w:rPr>
          <w:spacing w:val="-1"/>
          <w:sz w:val="22"/>
        </w:rPr>
        <w:t> </w:t>
      </w:r>
      <w:r>
        <w:rPr>
          <w:sz w:val="22"/>
        </w:rPr>
        <w:t>la</w:t>
      </w:r>
      <w:r>
        <w:rPr>
          <w:spacing w:val="-1"/>
          <w:sz w:val="22"/>
        </w:rPr>
        <w:t> </w:t>
      </w:r>
      <w:r>
        <w:rPr>
          <w:sz w:val="22"/>
        </w:rPr>
        <w:t>Dirección</w:t>
      </w:r>
      <w:r>
        <w:rPr>
          <w:spacing w:val="-5"/>
          <w:sz w:val="22"/>
        </w:rPr>
        <w:t> </w:t>
      </w:r>
      <w:r>
        <w:rPr>
          <w:sz w:val="22"/>
        </w:rPr>
        <w:t>de</w:t>
      </w:r>
      <w:r>
        <w:rPr>
          <w:spacing w:val="-1"/>
          <w:sz w:val="22"/>
        </w:rPr>
        <w:t> </w:t>
      </w:r>
      <w:r>
        <w:rPr>
          <w:sz w:val="22"/>
        </w:rPr>
        <w:t>Desarrollo</w:t>
      </w:r>
      <w:r>
        <w:rPr>
          <w:spacing w:val="-5"/>
          <w:sz w:val="22"/>
        </w:rPr>
        <w:t> </w:t>
      </w:r>
      <w:r>
        <w:rPr>
          <w:sz w:val="22"/>
        </w:rPr>
        <w:t>Social</w:t>
      </w:r>
      <w:r>
        <w:rPr>
          <w:spacing w:val="-3"/>
          <w:sz w:val="22"/>
        </w:rPr>
        <w:t> </w:t>
      </w:r>
      <w:r>
        <w:rPr>
          <w:sz w:val="22"/>
        </w:rPr>
        <w:t>(DDS)</w:t>
      </w:r>
      <w:r>
        <w:rPr>
          <w:spacing w:val="-4"/>
          <w:sz w:val="22"/>
        </w:rPr>
        <w:t> </w:t>
      </w:r>
      <w:r>
        <w:rPr>
          <w:sz w:val="22"/>
        </w:rPr>
        <w:t>y otras</w:t>
      </w:r>
      <w:r>
        <w:rPr>
          <w:spacing w:val="-13"/>
          <w:sz w:val="22"/>
        </w:rPr>
        <w:t> </w:t>
      </w:r>
      <w:r>
        <w:rPr>
          <w:sz w:val="22"/>
        </w:rPr>
        <w:t>dependencias</w:t>
      </w:r>
      <w:r>
        <w:rPr>
          <w:spacing w:val="-13"/>
          <w:sz w:val="22"/>
        </w:rPr>
        <w:t> </w:t>
      </w:r>
      <w:r>
        <w:rPr>
          <w:sz w:val="22"/>
        </w:rPr>
        <w:t>institucionales,</w:t>
      </w:r>
      <w:r>
        <w:rPr>
          <w:spacing w:val="-7"/>
          <w:sz w:val="22"/>
        </w:rPr>
        <w:t> </w:t>
      </w:r>
      <w:r>
        <w:rPr>
          <w:sz w:val="22"/>
        </w:rPr>
        <w:t>y</w:t>
      </w:r>
      <w:r>
        <w:rPr>
          <w:spacing w:val="-13"/>
          <w:sz w:val="22"/>
        </w:rPr>
        <w:t> </w:t>
      </w:r>
      <w:r>
        <w:rPr>
          <w:sz w:val="22"/>
        </w:rPr>
        <w:t>se</w:t>
      </w:r>
      <w:r>
        <w:rPr>
          <w:spacing w:val="-6"/>
          <w:sz w:val="22"/>
        </w:rPr>
        <w:t> </w:t>
      </w:r>
      <w:r>
        <w:rPr>
          <w:sz w:val="22"/>
        </w:rPr>
        <w:t>reubicó</w:t>
      </w:r>
      <w:r>
        <w:rPr>
          <w:spacing w:val="-11"/>
          <w:sz w:val="22"/>
        </w:rPr>
        <w:t> </w:t>
      </w:r>
      <w:r>
        <w:rPr>
          <w:sz w:val="22"/>
        </w:rPr>
        <w:t>a</w:t>
      </w:r>
      <w:r>
        <w:rPr>
          <w:spacing w:val="-15"/>
          <w:sz w:val="22"/>
        </w:rPr>
        <w:t> </w:t>
      </w:r>
      <w:r>
        <w:rPr>
          <w:sz w:val="22"/>
        </w:rPr>
        <w:t>la</w:t>
      </w:r>
      <w:r>
        <w:rPr>
          <w:spacing w:val="-6"/>
          <w:sz w:val="22"/>
        </w:rPr>
        <w:t> </w:t>
      </w:r>
      <w:r>
        <w:rPr>
          <w:sz w:val="22"/>
        </w:rPr>
        <w:t>Secretaria</w:t>
      </w:r>
      <w:r>
        <w:rPr>
          <w:spacing w:val="-11"/>
          <w:sz w:val="22"/>
        </w:rPr>
        <w:t> </w:t>
      </w:r>
      <w:r>
        <w:rPr>
          <w:sz w:val="22"/>
        </w:rPr>
        <w:t>Técnica</w:t>
      </w:r>
      <w:r>
        <w:rPr>
          <w:spacing w:val="-15"/>
          <w:sz w:val="22"/>
        </w:rPr>
        <w:t> </w:t>
      </w:r>
      <w:r>
        <w:rPr>
          <w:sz w:val="22"/>
        </w:rPr>
        <w:t>del</w:t>
      </w:r>
      <w:r>
        <w:rPr>
          <w:spacing w:val="-13"/>
          <w:sz w:val="22"/>
        </w:rPr>
        <w:t> </w:t>
      </w:r>
      <w:r>
        <w:rPr>
          <w:sz w:val="22"/>
        </w:rPr>
        <w:t>Sistema Nacional</w:t>
      </w:r>
      <w:r>
        <w:rPr>
          <w:spacing w:val="-16"/>
          <w:sz w:val="22"/>
        </w:rPr>
        <w:t> </w:t>
      </w:r>
      <w:r>
        <w:rPr>
          <w:sz w:val="22"/>
        </w:rPr>
        <w:t>de</w:t>
      </w:r>
      <w:r>
        <w:rPr>
          <w:spacing w:val="-15"/>
          <w:sz w:val="22"/>
        </w:rPr>
        <w:t> </w:t>
      </w:r>
      <w:r>
        <w:rPr>
          <w:sz w:val="22"/>
        </w:rPr>
        <w:t>Cuidados</w:t>
      </w:r>
      <w:r>
        <w:rPr>
          <w:spacing w:val="-15"/>
          <w:sz w:val="22"/>
        </w:rPr>
        <w:t> </w:t>
      </w:r>
      <w:r>
        <w:rPr>
          <w:sz w:val="22"/>
        </w:rPr>
        <w:t>y</w:t>
      </w:r>
      <w:r>
        <w:rPr>
          <w:spacing w:val="-16"/>
          <w:sz w:val="22"/>
        </w:rPr>
        <w:t> </w:t>
      </w:r>
      <w:r>
        <w:rPr>
          <w:sz w:val="22"/>
        </w:rPr>
        <w:t>Apoyos</w:t>
      </w:r>
      <w:r>
        <w:rPr>
          <w:spacing w:val="-15"/>
          <w:sz w:val="22"/>
        </w:rPr>
        <w:t> </w:t>
      </w:r>
      <w:r>
        <w:rPr>
          <w:sz w:val="22"/>
        </w:rPr>
        <w:t>para</w:t>
      </w:r>
      <w:r>
        <w:rPr>
          <w:spacing w:val="-15"/>
          <w:sz w:val="22"/>
        </w:rPr>
        <w:t> </w:t>
      </w:r>
      <w:r>
        <w:rPr>
          <w:sz w:val="22"/>
        </w:rPr>
        <w:t>Personas</w:t>
      </w:r>
      <w:r>
        <w:rPr>
          <w:spacing w:val="-15"/>
          <w:sz w:val="22"/>
        </w:rPr>
        <w:t> </w:t>
      </w:r>
      <w:r>
        <w:rPr>
          <w:sz w:val="22"/>
        </w:rPr>
        <w:t>Adultas</w:t>
      </w:r>
      <w:r>
        <w:rPr>
          <w:spacing w:val="-16"/>
          <w:sz w:val="22"/>
        </w:rPr>
        <w:t> </w:t>
      </w:r>
      <w:r>
        <w:rPr>
          <w:sz w:val="22"/>
        </w:rPr>
        <w:t>y</w:t>
      </w:r>
      <w:r>
        <w:rPr>
          <w:spacing w:val="-15"/>
          <w:sz w:val="22"/>
        </w:rPr>
        <w:t> </w:t>
      </w:r>
      <w:r>
        <w:rPr>
          <w:sz w:val="22"/>
        </w:rPr>
        <w:t>Personas</w:t>
      </w:r>
      <w:r>
        <w:rPr>
          <w:spacing w:val="-15"/>
          <w:sz w:val="22"/>
        </w:rPr>
        <w:t> </w:t>
      </w:r>
      <w:r>
        <w:rPr>
          <w:sz w:val="22"/>
        </w:rPr>
        <w:t>Adultas</w:t>
      </w:r>
      <w:r>
        <w:rPr>
          <w:spacing w:val="-16"/>
          <w:sz w:val="22"/>
        </w:rPr>
        <w:t> </w:t>
      </w:r>
      <w:r>
        <w:rPr>
          <w:sz w:val="22"/>
        </w:rPr>
        <w:t>Mayores en Situación de Dependencia (SINCA) al Departamento de Acción Social y Administración</w:t>
      </w:r>
      <w:r>
        <w:rPr>
          <w:spacing w:val="-5"/>
          <w:sz w:val="22"/>
        </w:rPr>
        <w:t> </w:t>
      </w:r>
      <w:r>
        <w:rPr>
          <w:sz w:val="22"/>
        </w:rPr>
        <w:t>de</w:t>
      </w:r>
      <w:r>
        <w:rPr>
          <w:spacing w:val="-1"/>
          <w:sz w:val="22"/>
        </w:rPr>
        <w:t> </w:t>
      </w:r>
      <w:r>
        <w:rPr>
          <w:sz w:val="22"/>
        </w:rPr>
        <w:t>Instituciones</w:t>
      </w:r>
      <w:r>
        <w:rPr>
          <w:spacing w:val="-2"/>
          <w:sz w:val="22"/>
        </w:rPr>
        <w:t> </w:t>
      </w:r>
      <w:r>
        <w:rPr>
          <w:sz w:val="22"/>
        </w:rPr>
        <w:t>(DASAI), dicho</w:t>
      </w:r>
      <w:r>
        <w:rPr>
          <w:spacing w:val="-1"/>
          <w:sz w:val="22"/>
        </w:rPr>
        <w:t> </w:t>
      </w:r>
      <w:r>
        <w:rPr>
          <w:sz w:val="22"/>
        </w:rPr>
        <w:t>proceso</w:t>
      </w:r>
      <w:r>
        <w:rPr>
          <w:spacing w:val="-1"/>
          <w:sz w:val="22"/>
        </w:rPr>
        <w:t> </w:t>
      </w:r>
      <w:r>
        <w:rPr>
          <w:sz w:val="22"/>
        </w:rPr>
        <w:t>conto</w:t>
      </w:r>
      <w:r>
        <w:rPr>
          <w:spacing w:val="-1"/>
          <w:sz w:val="22"/>
        </w:rPr>
        <w:t> </w:t>
      </w:r>
      <w:r>
        <w:rPr>
          <w:sz w:val="22"/>
        </w:rPr>
        <w:t>con</w:t>
      </w:r>
      <w:r>
        <w:rPr>
          <w:spacing w:val="-1"/>
          <w:sz w:val="22"/>
        </w:rPr>
        <w:t> </w:t>
      </w:r>
      <w:r>
        <w:rPr>
          <w:sz w:val="22"/>
        </w:rPr>
        <w:t>la</w:t>
      </w:r>
      <w:r>
        <w:rPr>
          <w:spacing w:val="-5"/>
          <w:sz w:val="22"/>
        </w:rPr>
        <w:t> </w:t>
      </w:r>
      <w:r>
        <w:rPr>
          <w:sz w:val="22"/>
        </w:rPr>
        <w:t>aprobación</w:t>
      </w:r>
      <w:r>
        <w:rPr>
          <w:spacing w:val="-5"/>
          <w:sz w:val="22"/>
        </w:rPr>
        <w:t> </w:t>
      </w:r>
      <w:r>
        <w:rPr>
          <w:sz w:val="22"/>
        </w:rPr>
        <w:t>de</w:t>
      </w:r>
    </w:p>
    <w:p>
      <w:pPr>
        <w:pStyle w:val="ListParagraph"/>
        <w:spacing w:after="0" w:line="240" w:lineRule="auto"/>
        <w:jc w:val="both"/>
        <w:rPr>
          <w:sz w:val="22"/>
        </w:rPr>
        <w:sectPr>
          <w:pgSz w:w="12240" w:h="15840"/>
          <w:pgMar w:header="0" w:footer="1021" w:top="1600" w:bottom="1220" w:left="720" w:right="360"/>
        </w:sectPr>
      </w:pPr>
    </w:p>
    <w:p>
      <w:pPr>
        <w:pStyle w:val="BodyText"/>
        <w:spacing w:before="76"/>
        <w:ind w:left="1700" w:right="1344"/>
      </w:pPr>
      <w:r>
        <w:rPr/>
        <w:t>MIDEPLAN a través del oficio MIDEPLAN -DM-OF-0977-2024 del 12 de diciembre del 2024.</w:t>
      </w:r>
    </w:p>
    <w:p>
      <w:pPr>
        <w:pStyle w:val="BodyText"/>
        <w:spacing w:before="23"/>
      </w:pPr>
    </w:p>
    <w:p>
      <w:pPr>
        <w:pStyle w:val="ListParagraph"/>
        <w:numPr>
          <w:ilvl w:val="0"/>
          <w:numId w:val="6"/>
        </w:numPr>
        <w:tabs>
          <w:tab w:pos="1700" w:val="left" w:leader="none"/>
        </w:tabs>
        <w:spacing w:line="240" w:lineRule="auto" w:before="0" w:after="0"/>
        <w:ind w:left="1700" w:right="1337" w:hanging="360"/>
        <w:jc w:val="both"/>
        <w:rPr>
          <w:sz w:val="22"/>
        </w:rPr>
      </w:pPr>
      <w:r>
        <w:rPr>
          <w:sz w:val="22"/>
        </w:rPr>
        <w:t>A</w:t>
      </w:r>
      <w:r>
        <w:rPr>
          <w:spacing w:val="-7"/>
          <w:sz w:val="22"/>
        </w:rPr>
        <w:t> </w:t>
      </w:r>
      <w:r>
        <w:rPr>
          <w:sz w:val="22"/>
        </w:rPr>
        <w:t>nivel</w:t>
      </w:r>
      <w:r>
        <w:rPr>
          <w:spacing w:val="-13"/>
          <w:sz w:val="22"/>
        </w:rPr>
        <w:t> </w:t>
      </w:r>
      <w:r>
        <w:rPr>
          <w:sz w:val="22"/>
        </w:rPr>
        <w:t>de</w:t>
      </w:r>
      <w:r>
        <w:rPr>
          <w:spacing w:val="-11"/>
          <w:sz w:val="22"/>
        </w:rPr>
        <w:t> </w:t>
      </w:r>
      <w:r>
        <w:rPr>
          <w:sz w:val="22"/>
        </w:rPr>
        <w:t>las</w:t>
      </w:r>
      <w:r>
        <w:rPr>
          <w:spacing w:val="-12"/>
          <w:sz w:val="22"/>
        </w:rPr>
        <w:t> </w:t>
      </w:r>
      <w:r>
        <w:rPr>
          <w:sz w:val="22"/>
        </w:rPr>
        <w:t>Áreas</w:t>
      </w:r>
      <w:r>
        <w:rPr>
          <w:spacing w:val="-8"/>
          <w:sz w:val="22"/>
        </w:rPr>
        <w:t> </w:t>
      </w:r>
      <w:r>
        <w:rPr>
          <w:sz w:val="22"/>
        </w:rPr>
        <w:t>Regionales</w:t>
      </w:r>
      <w:r>
        <w:rPr>
          <w:spacing w:val="-12"/>
          <w:sz w:val="22"/>
        </w:rPr>
        <w:t> </w:t>
      </w:r>
      <w:r>
        <w:rPr>
          <w:sz w:val="22"/>
        </w:rPr>
        <w:t>de</w:t>
      </w:r>
      <w:r>
        <w:rPr>
          <w:spacing w:val="-6"/>
          <w:sz w:val="22"/>
        </w:rPr>
        <w:t> </w:t>
      </w:r>
      <w:r>
        <w:rPr>
          <w:sz w:val="22"/>
        </w:rPr>
        <w:t>Desarrollo</w:t>
      </w:r>
      <w:r>
        <w:rPr>
          <w:spacing w:val="-11"/>
          <w:sz w:val="22"/>
        </w:rPr>
        <w:t> </w:t>
      </w:r>
      <w:r>
        <w:rPr>
          <w:sz w:val="22"/>
        </w:rPr>
        <w:t>Social,</w:t>
      </w:r>
      <w:r>
        <w:rPr>
          <w:spacing w:val="-7"/>
          <w:sz w:val="22"/>
        </w:rPr>
        <w:t> </w:t>
      </w:r>
      <w:r>
        <w:rPr>
          <w:sz w:val="22"/>
        </w:rPr>
        <w:t>se</w:t>
      </w:r>
      <w:r>
        <w:rPr>
          <w:spacing w:val="-6"/>
          <w:sz w:val="22"/>
        </w:rPr>
        <w:t> </w:t>
      </w:r>
      <w:r>
        <w:rPr>
          <w:sz w:val="22"/>
        </w:rPr>
        <w:t>llevó</w:t>
      </w:r>
      <w:r>
        <w:rPr>
          <w:spacing w:val="-11"/>
          <w:sz w:val="22"/>
        </w:rPr>
        <w:t> </w:t>
      </w:r>
      <w:r>
        <w:rPr>
          <w:sz w:val="22"/>
        </w:rPr>
        <w:t>a</w:t>
      </w:r>
      <w:r>
        <w:rPr>
          <w:spacing w:val="-6"/>
          <w:sz w:val="22"/>
        </w:rPr>
        <w:t> </w:t>
      </w:r>
      <w:r>
        <w:rPr>
          <w:sz w:val="22"/>
        </w:rPr>
        <w:t>cabo</w:t>
      </w:r>
      <w:r>
        <w:rPr>
          <w:spacing w:val="-6"/>
          <w:sz w:val="22"/>
        </w:rPr>
        <w:t> </w:t>
      </w:r>
      <w:r>
        <w:rPr>
          <w:sz w:val="22"/>
        </w:rPr>
        <w:t>la</w:t>
      </w:r>
      <w:r>
        <w:rPr>
          <w:spacing w:val="-6"/>
          <w:sz w:val="22"/>
        </w:rPr>
        <w:t> </w:t>
      </w:r>
      <w:r>
        <w:rPr>
          <w:sz w:val="22"/>
        </w:rPr>
        <w:t>creación</w:t>
      </w:r>
      <w:r>
        <w:rPr>
          <w:spacing w:val="-11"/>
          <w:sz w:val="22"/>
        </w:rPr>
        <w:t> </w:t>
      </w:r>
      <w:r>
        <w:rPr>
          <w:sz w:val="22"/>
        </w:rPr>
        <w:t>del Área Regional Central Occidente, mediante la fusión de las ARDS de Heredia y Alajuela,</w:t>
      </w:r>
      <w:r>
        <w:rPr>
          <w:spacing w:val="-11"/>
          <w:sz w:val="22"/>
        </w:rPr>
        <w:t> </w:t>
      </w:r>
      <w:r>
        <w:rPr>
          <w:sz w:val="22"/>
        </w:rPr>
        <w:t>en</w:t>
      </w:r>
      <w:r>
        <w:rPr>
          <w:spacing w:val="-10"/>
          <w:sz w:val="22"/>
        </w:rPr>
        <w:t> </w:t>
      </w:r>
      <w:r>
        <w:rPr>
          <w:sz w:val="22"/>
        </w:rPr>
        <w:t>esta</w:t>
      </w:r>
      <w:r>
        <w:rPr>
          <w:spacing w:val="-10"/>
          <w:sz w:val="22"/>
        </w:rPr>
        <w:t> </w:t>
      </w:r>
      <w:r>
        <w:rPr>
          <w:sz w:val="22"/>
        </w:rPr>
        <w:t>misma</w:t>
      </w:r>
      <w:r>
        <w:rPr>
          <w:spacing w:val="-10"/>
          <w:sz w:val="22"/>
        </w:rPr>
        <w:t> </w:t>
      </w:r>
      <w:r>
        <w:rPr>
          <w:sz w:val="22"/>
        </w:rPr>
        <w:t>línea</w:t>
      </w:r>
      <w:r>
        <w:rPr>
          <w:spacing w:val="-5"/>
          <w:sz w:val="22"/>
        </w:rPr>
        <w:t> </w:t>
      </w:r>
      <w:r>
        <w:rPr>
          <w:sz w:val="22"/>
        </w:rPr>
        <w:t>se</w:t>
      </w:r>
      <w:r>
        <w:rPr>
          <w:spacing w:val="-5"/>
          <w:sz w:val="22"/>
        </w:rPr>
        <w:t> </w:t>
      </w:r>
      <w:r>
        <w:rPr>
          <w:sz w:val="22"/>
        </w:rPr>
        <w:t>realizó</w:t>
      </w:r>
      <w:r>
        <w:rPr>
          <w:spacing w:val="-10"/>
          <w:sz w:val="22"/>
        </w:rPr>
        <w:t> </w:t>
      </w:r>
      <w:r>
        <w:rPr>
          <w:sz w:val="22"/>
        </w:rPr>
        <w:t>el</w:t>
      </w:r>
      <w:r>
        <w:rPr>
          <w:spacing w:val="-13"/>
          <w:sz w:val="22"/>
        </w:rPr>
        <w:t> </w:t>
      </w:r>
      <w:r>
        <w:rPr>
          <w:sz w:val="22"/>
        </w:rPr>
        <w:t>traslado</w:t>
      </w:r>
      <w:r>
        <w:rPr>
          <w:spacing w:val="-10"/>
          <w:sz w:val="22"/>
        </w:rPr>
        <w:t> </w:t>
      </w:r>
      <w:r>
        <w:rPr>
          <w:sz w:val="22"/>
        </w:rPr>
        <w:t>de</w:t>
      </w:r>
      <w:r>
        <w:rPr>
          <w:spacing w:val="-5"/>
          <w:sz w:val="22"/>
        </w:rPr>
        <w:t> </w:t>
      </w:r>
      <w:r>
        <w:rPr>
          <w:sz w:val="22"/>
        </w:rPr>
        <w:t>la</w:t>
      </w:r>
      <w:r>
        <w:rPr>
          <w:spacing w:val="-5"/>
          <w:sz w:val="22"/>
        </w:rPr>
        <w:t> </w:t>
      </w:r>
      <w:r>
        <w:rPr>
          <w:sz w:val="22"/>
        </w:rPr>
        <w:t>Unidad</w:t>
      </w:r>
      <w:r>
        <w:rPr>
          <w:spacing w:val="-10"/>
          <w:sz w:val="22"/>
        </w:rPr>
        <w:t> </w:t>
      </w:r>
      <w:r>
        <w:rPr>
          <w:sz w:val="22"/>
        </w:rPr>
        <w:t>Local</w:t>
      </w:r>
      <w:r>
        <w:rPr>
          <w:spacing w:val="-13"/>
          <w:sz w:val="22"/>
        </w:rPr>
        <w:t> </w:t>
      </w:r>
      <w:r>
        <w:rPr>
          <w:sz w:val="22"/>
        </w:rPr>
        <w:t>de</w:t>
      </w:r>
      <w:r>
        <w:rPr>
          <w:spacing w:val="-10"/>
          <w:sz w:val="22"/>
        </w:rPr>
        <w:t> </w:t>
      </w:r>
      <w:r>
        <w:rPr>
          <w:sz w:val="22"/>
        </w:rPr>
        <w:t>Desarrollo Social de Sarapiquí al ARDS Huetar Norte, dicho proceso conto con la aprobación de MIDEPLAN a través del oficio MIDEPLAN -DM-OF-107-2025 del</w:t>
      </w:r>
      <w:r>
        <w:rPr>
          <w:spacing w:val="-6"/>
          <w:sz w:val="22"/>
        </w:rPr>
        <w:t> </w:t>
      </w:r>
      <w:r>
        <w:rPr>
          <w:sz w:val="22"/>
        </w:rPr>
        <w:t>24 de febrero del 2025</w:t>
      </w:r>
    </w:p>
    <w:p>
      <w:pPr>
        <w:pStyle w:val="BodyText"/>
      </w:pPr>
    </w:p>
    <w:p>
      <w:pPr>
        <w:pStyle w:val="BodyText"/>
        <w:spacing w:before="25"/>
      </w:pPr>
    </w:p>
    <w:p>
      <w:pPr>
        <w:pStyle w:val="Heading1"/>
        <w:numPr>
          <w:ilvl w:val="1"/>
          <w:numId w:val="5"/>
        </w:numPr>
        <w:tabs>
          <w:tab w:pos="2245" w:val="left" w:leader="none"/>
        </w:tabs>
        <w:spacing w:line="240" w:lineRule="auto" w:before="1" w:after="0"/>
        <w:ind w:left="2245" w:right="0" w:hanging="401"/>
        <w:jc w:val="left"/>
      </w:pPr>
      <w:r>
        <w:rPr/>
        <w:t>Recursos</w:t>
      </w:r>
      <w:r>
        <w:rPr>
          <w:spacing w:val="-4"/>
        </w:rPr>
        <w:t> </w:t>
      </w:r>
      <w:r>
        <w:rPr>
          <w:spacing w:val="-2"/>
        </w:rPr>
        <w:t>Institucionales</w:t>
      </w:r>
    </w:p>
    <w:p>
      <w:pPr>
        <w:pStyle w:val="BodyText"/>
        <w:rPr>
          <w:b/>
          <w:sz w:val="24"/>
        </w:rPr>
      </w:pPr>
    </w:p>
    <w:p>
      <w:pPr>
        <w:pStyle w:val="ListParagraph"/>
        <w:numPr>
          <w:ilvl w:val="2"/>
          <w:numId w:val="5"/>
        </w:numPr>
        <w:tabs>
          <w:tab w:pos="1581" w:val="left" w:leader="none"/>
        </w:tabs>
        <w:spacing w:line="240" w:lineRule="auto" w:before="0" w:after="0"/>
        <w:ind w:left="1581" w:right="0" w:hanging="602"/>
        <w:jc w:val="left"/>
        <w:rPr>
          <w:b/>
          <w:sz w:val="24"/>
        </w:rPr>
      </w:pPr>
      <w:r>
        <w:rPr>
          <w:b/>
          <w:sz w:val="24"/>
        </w:rPr>
        <w:t>Recursos</w:t>
      </w:r>
      <w:r>
        <w:rPr>
          <w:b/>
          <w:spacing w:val="-5"/>
          <w:sz w:val="24"/>
        </w:rPr>
        <w:t> </w:t>
      </w:r>
      <w:r>
        <w:rPr>
          <w:b/>
          <w:spacing w:val="-2"/>
          <w:sz w:val="24"/>
        </w:rPr>
        <w:t>Materiales</w:t>
      </w:r>
    </w:p>
    <w:p>
      <w:pPr>
        <w:pStyle w:val="BodyText"/>
        <w:spacing w:before="271"/>
        <w:ind w:left="979" w:right="1343"/>
        <w:jc w:val="both"/>
      </w:pPr>
      <w:r>
        <w:rPr/>
        <w:t>Según</w:t>
      </w:r>
      <w:r>
        <w:rPr>
          <w:spacing w:val="-15"/>
        </w:rPr>
        <w:t> </w:t>
      </w:r>
      <w:r>
        <w:rPr/>
        <w:t>el</w:t>
      </w:r>
      <w:r>
        <w:rPr>
          <w:spacing w:val="-13"/>
        </w:rPr>
        <w:t> </w:t>
      </w:r>
      <w:r>
        <w:rPr/>
        <w:t>Departamento</w:t>
      </w:r>
      <w:r>
        <w:rPr>
          <w:spacing w:val="-10"/>
        </w:rPr>
        <w:t> </w:t>
      </w:r>
      <w:r>
        <w:rPr/>
        <w:t>de</w:t>
      </w:r>
      <w:r>
        <w:rPr>
          <w:spacing w:val="-10"/>
        </w:rPr>
        <w:t> </w:t>
      </w:r>
      <w:r>
        <w:rPr/>
        <w:t>Administración</w:t>
      </w:r>
      <w:r>
        <w:rPr>
          <w:spacing w:val="-10"/>
        </w:rPr>
        <w:t> </w:t>
      </w:r>
      <w:r>
        <w:rPr/>
        <w:t>Financiera,</w:t>
      </w:r>
      <w:r>
        <w:rPr>
          <w:spacing w:val="-11"/>
        </w:rPr>
        <w:t> </w:t>
      </w:r>
      <w:r>
        <w:rPr/>
        <w:t>para</w:t>
      </w:r>
      <w:r>
        <w:rPr>
          <w:spacing w:val="-10"/>
        </w:rPr>
        <w:t> </w:t>
      </w:r>
      <w:r>
        <w:rPr/>
        <w:t>finales</w:t>
      </w:r>
      <w:r>
        <w:rPr>
          <w:spacing w:val="-16"/>
        </w:rPr>
        <w:t> </w:t>
      </w:r>
      <w:r>
        <w:rPr/>
        <w:t>del</w:t>
      </w:r>
      <w:r>
        <w:rPr>
          <w:spacing w:val="-12"/>
        </w:rPr>
        <w:t> </w:t>
      </w:r>
      <w:r>
        <w:rPr/>
        <w:t>año</w:t>
      </w:r>
      <w:r>
        <w:rPr>
          <w:spacing w:val="-10"/>
        </w:rPr>
        <w:t> </w:t>
      </w:r>
      <w:r>
        <w:rPr/>
        <w:t>2024</w:t>
      </w:r>
      <w:r>
        <w:rPr>
          <w:spacing w:val="-10"/>
        </w:rPr>
        <w:t> </w:t>
      </w:r>
      <w:r>
        <w:rPr/>
        <w:t>los</w:t>
      </w:r>
      <w:r>
        <w:rPr>
          <w:spacing w:val="-12"/>
        </w:rPr>
        <w:t> </w:t>
      </w:r>
      <w:r>
        <w:rPr/>
        <w:t>valores indicados en libros contablemente como propiedad, planta y equipo ascienden en su totalidad</w:t>
      </w:r>
      <w:r>
        <w:rPr>
          <w:spacing w:val="-1"/>
        </w:rPr>
        <w:t> </w:t>
      </w:r>
      <w:r>
        <w:rPr/>
        <w:t>a ¢140.002.496.667,27 (ciento</w:t>
      </w:r>
      <w:r>
        <w:rPr>
          <w:spacing w:val="-1"/>
        </w:rPr>
        <w:t> </w:t>
      </w:r>
      <w:r>
        <w:rPr/>
        <w:t>cuarenta</w:t>
      </w:r>
      <w:r>
        <w:rPr>
          <w:spacing w:val="-1"/>
        </w:rPr>
        <w:t> </w:t>
      </w:r>
      <w:r>
        <w:rPr/>
        <w:t>mil</w:t>
      </w:r>
      <w:r>
        <w:rPr>
          <w:spacing w:val="-3"/>
        </w:rPr>
        <w:t> </w:t>
      </w:r>
      <w:r>
        <w:rPr/>
        <w:t>dos</w:t>
      </w:r>
      <w:r>
        <w:rPr>
          <w:spacing w:val="-7"/>
        </w:rPr>
        <w:t> </w:t>
      </w:r>
      <w:r>
        <w:rPr/>
        <w:t>millones cuatrocientos</w:t>
      </w:r>
      <w:r>
        <w:rPr>
          <w:spacing w:val="-2"/>
        </w:rPr>
        <w:t> </w:t>
      </w:r>
      <w:r>
        <w:rPr/>
        <w:t>noventa</w:t>
      </w:r>
      <w:r>
        <w:rPr>
          <w:spacing w:val="-1"/>
        </w:rPr>
        <w:t> </w:t>
      </w:r>
      <w:r>
        <w:rPr/>
        <w:t>y seis mil seiscientos sesenta y siete con 27/100 y siete millones doscientos cincuenta y cuatro mil trescientos colones). Dichos recursos se detallan en la siguiente tabla:</w:t>
      </w:r>
    </w:p>
    <w:p>
      <w:pPr>
        <w:pStyle w:val="BodyText"/>
        <w:spacing w:before="23"/>
      </w:pPr>
    </w:p>
    <w:p>
      <w:pPr>
        <w:pStyle w:val="Heading2"/>
        <w:ind w:left="4187" w:right="1344" w:hanging="2982"/>
      </w:pPr>
      <w:bookmarkStart w:name="_bookmark12" w:id="13"/>
      <w:bookmarkEnd w:id="13"/>
      <w:r>
        <w:rPr>
          <w:b w:val="0"/>
        </w:rPr>
      </w:r>
      <w:r>
        <w:rPr/>
        <w:t>Tabla</w:t>
      </w:r>
      <w:r>
        <w:rPr>
          <w:spacing w:val="-2"/>
        </w:rPr>
        <w:t> </w:t>
      </w:r>
      <w:r>
        <w:rPr/>
        <w:t>4:Valor</w:t>
      </w:r>
      <w:r>
        <w:rPr>
          <w:spacing w:val="-5"/>
        </w:rPr>
        <w:t> </w:t>
      </w:r>
      <w:r>
        <w:rPr/>
        <w:t>en</w:t>
      </w:r>
      <w:r>
        <w:rPr>
          <w:spacing w:val="-5"/>
        </w:rPr>
        <w:t> </w:t>
      </w:r>
      <w:r>
        <w:rPr/>
        <w:t>libros total de</w:t>
      </w:r>
      <w:r>
        <w:rPr>
          <w:spacing w:val="-3"/>
        </w:rPr>
        <w:t> </w:t>
      </w:r>
      <w:r>
        <w:rPr/>
        <w:t>activos</w:t>
      </w:r>
      <w:r>
        <w:rPr>
          <w:spacing w:val="-4"/>
        </w:rPr>
        <w:t> </w:t>
      </w:r>
      <w:r>
        <w:rPr/>
        <w:t>institucionales al</w:t>
      </w:r>
      <w:r>
        <w:rPr>
          <w:spacing w:val="-4"/>
        </w:rPr>
        <w:t> </w:t>
      </w:r>
      <w:r>
        <w:rPr/>
        <w:t>31</w:t>
      </w:r>
      <w:r>
        <w:rPr>
          <w:spacing w:val="-3"/>
        </w:rPr>
        <w:t> </w:t>
      </w:r>
      <w:r>
        <w:rPr/>
        <w:t>de</w:t>
      </w:r>
      <w:r>
        <w:rPr>
          <w:spacing w:val="-4"/>
        </w:rPr>
        <w:t> </w:t>
      </w:r>
      <w:r>
        <w:rPr/>
        <w:t>diciembre del</w:t>
      </w:r>
      <w:r>
        <w:rPr>
          <w:spacing w:val="-4"/>
        </w:rPr>
        <w:t> </w:t>
      </w:r>
      <w:r>
        <w:rPr/>
        <w:t>2024 (en colones corrientes)</w:t>
      </w:r>
    </w:p>
    <w:p>
      <w:pPr>
        <w:pStyle w:val="BodyText"/>
        <w:spacing w:before="27" w:after="1"/>
        <w:rPr>
          <w:b/>
          <w:sz w:val="20"/>
        </w:rPr>
      </w:pPr>
    </w:p>
    <w:tbl>
      <w:tblPr>
        <w:tblW w:w="0" w:type="auto"/>
        <w:jc w:val="left"/>
        <w:tblInd w:w="1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02"/>
        <w:gridCol w:w="2622"/>
      </w:tblGrid>
      <w:tr>
        <w:trPr>
          <w:trHeight w:val="297" w:hRule="atLeast"/>
        </w:trPr>
        <w:tc>
          <w:tcPr>
            <w:tcW w:w="5402" w:type="dxa"/>
            <w:shd w:val="clear" w:color="auto" w:fill="1F3863"/>
          </w:tcPr>
          <w:p>
            <w:pPr>
              <w:pStyle w:val="TableParagraph"/>
              <w:spacing w:before="33"/>
              <w:ind w:left="1406"/>
              <w:rPr>
                <w:b/>
                <w:sz w:val="20"/>
              </w:rPr>
            </w:pPr>
            <w:r>
              <w:rPr>
                <w:b/>
                <w:color w:val="FFFFFF"/>
                <w:sz w:val="20"/>
              </w:rPr>
              <w:t>Tipo</w:t>
            </w:r>
            <w:r>
              <w:rPr>
                <w:b/>
                <w:color w:val="FFFFFF"/>
                <w:spacing w:val="-6"/>
                <w:sz w:val="20"/>
              </w:rPr>
              <w:t> </w:t>
            </w:r>
            <w:r>
              <w:rPr>
                <w:b/>
                <w:color w:val="FFFFFF"/>
                <w:sz w:val="20"/>
              </w:rPr>
              <w:t>de</w:t>
            </w:r>
            <w:r>
              <w:rPr>
                <w:b/>
                <w:color w:val="FFFFFF"/>
                <w:spacing w:val="-4"/>
                <w:sz w:val="20"/>
              </w:rPr>
              <w:t> </w:t>
            </w:r>
            <w:r>
              <w:rPr>
                <w:b/>
                <w:color w:val="FFFFFF"/>
                <w:sz w:val="20"/>
              </w:rPr>
              <w:t>activo</w:t>
            </w:r>
            <w:r>
              <w:rPr>
                <w:b/>
                <w:color w:val="FFFFFF"/>
                <w:spacing w:val="-5"/>
                <w:sz w:val="20"/>
              </w:rPr>
              <w:t> </w:t>
            </w:r>
            <w:r>
              <w:rPr>
                <w:b/>
                <w:color w:val="FFFFFF"/>
                <w:spacing w:val="-2"/>
                <w:sz w:val="20"/>
              </w:rPr>
              <w:t>Institucional</w:t>
            </w:r>
          </w:p>
        </w:tc>
        <w:tc>
          <w:tcPr>
            <w:tcW w:w="2622" w:type="dxa"/>
            <w:shd w:val="clear" w:color="auto" w:fill="1F3863"/>
          </w:tcPr>
          <w:p>
            <w:pPr>
              <w:pStyle w:val="TableParagraph"/>
              <w:spacing w:before="33"/>
              <w:ind w:left="614"/>
              <w:rPr>
                <w:b/>
                <w:sz w:val="20"/>
              </w:rPr>
            </w:pPr>
            <w:r>
              <w:rPr>
                <w:b/>
                <w:color w:val="FFFFFF"/>
                <w:sz w:val="20"/>
              </w:rPr>
              <w:t>Valor</w:t>
            </w:r>
            <w:r>
              <w:rPr>
                <w:b/>
                <w:color w:val="FFFFFF"/>
                <w:spacing w:val="-4"/>
                <w:sz w:val="20"/>
              </w:rPr>
              <w:t> </w:t>
            </w:r>
            <w:r>
              <w:rPr>
                <w:b/>
                <w:color w:val="FFFFFF"/>
                <w:sz w:val="20"/>
              </w:rPr>
              <w:t>en</w:t>
            </w:r>
            <w:r>
              <w:rPr>
                <w:b/>
                <w:color w:val="FFFFFF"/>
                <w:spacing w:val="-1"/>
                <w:sz w:val="20"/>
              </w:rPr>
              <w:t> </w:t>
            </w:r>
            <w:r>
              <w:rPr>
                <w:b/>
                <w:color w:val="FFFFFF"/>
                <w:spacing w:val="-2"/>
                <w:sz w:val="20"/>
              </w:rPr>
              <w:t>libros</w:t>
            </w:r>
          </w:p>
        </w:tc>
      </w:tr>
      <w:tr>
        <w:trPr>
          <w:trHeight w:val="345" w:hRule="atLeast"/>
        </w:trPr>
        <w:tc>
          <w:tcPr>
            <w:tcW w:w="5402" w:type="dxa"/>
          </w:tcPr>
          <w:p>
            <w:pPr>
              <w:pStyle w:val="TableParagraph"/>
              <w:spacing w:before="57"/>
              <w:ind w:left="67"/>
              <w:rPr>
                <w:sz w:val="20"/>
              </w:rPr>
            </w:pPr>
            <w:r>
              <w:rPr>
                <w:sz w:val="20"/>
              </w:rPr>
              <w:t>Tierras</w:t>
            </w:r>
            <w:r>
              <w:rPr>
                <w:spacing w:val="-3"/>
                <w:sz w:val="20"/>
              </w:rPr>
              <w:t> </w:t>
            </w:r>
            <w:r>
              <w:rPr>
                <w:sz w:val="20"/>
              </w:rPr>
              <w:t>y</w:t>
            </w:r>
            <w:r>
              <w:rPr>
                <w:spacing w:val="-6"/>
                <w:sz w:val="20"/>
              </w:rPr>
              <w:t> </w:t>
            </w:r>
            <w:r>
              <w:rPr>
                <w:spacing w:val="-2"/>
                <w:sz w:val="20"/>
              </w:rPr>
              <w:t>terrenos</w:t>
            </w:r>
          </w:p>
        </w:tc>
        <w:tc>
          <w:tcPr>
            <w:tcW w:w="2622" w:type="dxa"/>
          </w:tcPr>
          <w:p>
            <w:pPr>
              <w:pStyle w:val="TableParagraph"/>
              <w:spacing w:line="211" w:lineRule="exact" w:before="114"/>
              <w:ind w:right="63"/>
              <w:jc w:val="right"/>
              <w:rPr>
                <w:sz w:val="20"/>
              </w:rPr>
            </w:pPr>
            <w:r>
              <w:rPr>
                <w:spacing w:val="-2"/>
                <w:sz w:val="20"/>
              </w:rPr>
              <w:t>127.347.412.175</w:t>
            </w:r>
          </w:p>
        </w:tc>
      </w:tr>
      <w:tr>
        <w:trPr>
          <w:trHeight w:val="302" w:hRule="atLeast"/>
        </w:trPr>
        <w:tc>
          <w:tcPr>
            <w:tcW w:w="5402" w:type="dxa"/>
          </w:tcPr>
          <w:p>
            <w:pPr>
              <w:pStyle w:val="TableParagraph"/>
              <w:spacing w:before="38"/>
              <w:ind w:left="67"/>
              <w:rPr>
                <w:sz w:val="20"/>
              </w:rPr>
            </w:pPr>
            <w:r>
              <w:rPr>
                <w:spacing w:val="-2"/>
                <w:sz w:val="20"/>
              </w:rPr>
              <w:t>Edificios</w:t>
            </w:r>
          </w:p>
        </w:tc>
        <w:tc>
          <w:tcPr>
            <w:tcW w:w="2622" w:type="dxa"/>
          </w:tcPr>
          <w:p>
            <w:pPr>
              <w:pStyle w:val="TableParagraph"/>
              <w:spacing w:line="211" w:lineRule="exact" w:before="71"/>
              <w:ind w:right="59"/>
              <w:jc w:val="right"/>
              <w:rPr>
                <w:sz w:val="20"/>
              </w:rPr>
            </w:pPr>
            <w:r>
              <w:rPr>
                <w:spacing w:val="-2"/>
                <w:sz w:val="20"/>
              </w:rPr>
              <w:t>8.014.126.033,15</w:t>
            </w:r>
          </w:p>
        </w:tc>
      </w:tr>
      <w:tr>
        <w:trPr>
          <w:trHeight w:val="297" w:hRule="atLeast"/>
        </w:trPr>
        <w:tc>
          <w:tcPr>
            <w:tcW w:w="5402" w:type="dxa"/>
          </w:tcPr>
          <w:p>
            <w:pPr>
              <w:pStyle w:val="TableParagraph"/>
              <w:spacing w:before="33"/>
              <w:ind w:left="67"/>
              <w:rPr>
                <w:sz w:val="20"/>
              </w:rPr>
            </w:pPr>
            <w:r>
              <w:rPr>
                <w:sz w:val="20"/>
              </w:rPr>
              <w:t>Maquinaria</w:t>
            </w:r>
            <w:r>
              <w:rPr>
                <w:spacing w:val="-7"/>
                <w:sz w:val="20"/>
              </w:rPr>
              <w:t> </w:t>
            </w:r>
            <w:r>
              <w:rPr>
                <w:sz w:val="20"/>
              </w:rPr>
              <w:t>y</w:t>
            </w:r>
            <w:r>
              <w:rPr>
                <w:spacing w:val="-7"/>
                <w:sz w:val="20"/>
              </w:rPr>
              <w:t> </w:t>
            </w:r>
            <w:r>
              <w:rPr>
                <w:sz w:val="20"/>
              </w:rPr>
              <w:t>equipos</w:t>
            </w:r>
            <w:r>
              <w:rPr>
                <w:spacing w:val="-6"/>
                <w:sz w:val="20"/>
              </w:rPr>
              <w:t> </w:t>
            </w:r>
            <w:r>
              <w:rPr>
                <w:sz w:val="20"/>
              </w:rPr>
              <w:t>para</w:t>
            </w:r>
            <w:r>
              <w:rPr>
                <w:spacing w:val="-7"/>
                <w:sz w:val="20"/>
              </w:rPr>
              <w:t> </w:t>
            </w:r>
            <w:r>
              <w:rPr>
                <w:sz w:val="20"/>
              </w:rPr>
              <w:t>la</w:t>
            </w:r>
            <w:r>
              <w:rPr>
                <w:spacing w:val="-6"/>
                <w:sz w:val="20"/>
              </w:rPr>
              <w:t> </w:t>
            </w:r>
            <w:r>
              <w:rPr>
                <w:spacing w:val="-2"/>
                <w:sz w:val="20"/>
              </w:rPr>
              <w:t>producción</w:t>
            </w:r>
          </w:p>
        </w:tc>
        <w:tc>
          <w:tcPr>
            <w:tcW w:w="2622" w:type="dxa"/>
          </w:tcPr>
          <w:p>
            <w:pPr>
              <w:pStyle w:val="TableParagraph"/>
              <w:spacing w:line="211" w:lineRule="exact" w:before="66"/>
              <w:ind w:right="59"/>
              <w:jc w:val="right"/>
              <w:rPr>
                <w:sz w:val="20"/>
              </w:rPr>
            </w:pPr>
            <w:r>
              <w:rPr>
                <w:spacing w:val="-2"/>
                <w:sz w:val="20"/>
              </w:rPr>
              <w:t>54.753.240,71</w:t>
            </w:r>
          </w:p>
        </w:tc>
      </w:tr>
      <w:tr>
        <w:trPr>
          <w:trHeight w:val="302" w:hRule="atLeast"/>
        </w:trPr>
        <w:tc>
          <w:tcPr>
            <w:tcW w:w="5402" w:type="dxa"/>
          </w:tcPr>
          <w:p>
            <w:pPr>
              <w:pStyle w:val="TableParagraph"/>
              <w:spacing w:before="38"/>
              <w:ind w:left="67"/>
              <w:rPr>
                <w:sz w:val="20"/>
              </w:rPr>
            </w:pPr>
            <w:r>
              <w:rPr>
                <w:sz w:val="20"/>
              </w:rPr>
              <w:t>Equipos</w:t>
            </w:r>
            <w:r>
              <w:rPr>
                <w:spacing w:val="-6"/>
                <w:sz w:val="20"/>
              </w:rPr>
              <w:t> </w:t>
            </w:r>
            <w:r>
              <w:rPr>
                <w:sz w:val="20"/>
              </w:rPr>
              <w:t>de</w:t>
            </w:r>
            <w:r>
              <w:rPr>
                <w:spacing w:val="-6"/>
                <w:sz w:val="20"/>
              </w:rPr>
              <w:t> </w:t>
            </w:r>
            <w:r>
              <w:rPr>
                <w:sz w:val="20"/>
              </w:rPr>
              <w:t>transporte,</w:t>
            </w:r>
            <w:r>
              <w:rPr>
                <w:spacing w:val="-8"/>
                <w:sz w:val="20"/>
              </w:rPr>
              <w:t> </w:t>
            </w:r>
            <w:r>
              <w:rPr>
                <w:sz w:val="20"/>
              </w:rPr>
              <w:t>tracción</w:t>
            </w:r>
            <w:r>
              <w:rPr>
                <w:spacing w:val="-6"/>
                <w:sz w:val="20"/>
              </w:rPr>
              <w:t> </w:t>
            </w:r>
            <w:r>
              <w:rPr>
                <w:sz w:val="20"/>
              </w:rPr>
              <w:t>y</w:t>
            </w:r>
            <w:r>
              <w:rPr>
                <w:spacing w:val="-5"/>
                <w:sz w:val="20"/>
              </w:rPr>
              <w:t> </w:t>
            </w:r>
            <w:r>
              <w:rPr>
                <w:spacing w:val="-2"/>
                <w:sz w:val="20"/>
              </w:rPr>
              <w:t>elevación</w:t>
            </w:r>
          </w:p>
        </w:tc>
        <w:tc>
          <w:tcPr>
            <w:tcW w:w="2622" w:type="dxa"/>
          </w:tcPr>
          <w:p>
            <w:pPr>
              <w:pStyle w:val="TableParagraph"/>
              <w:spacing w:line="211" w:lineRule="exact" w:before="72"/>
              <w:ind w:right="63"/>
              <w:jc w:val="right"/>
              <w:rPr>
                <w:sz w:val="20"/>
              </w:rPr>
            </w:pPr>
            <w:r>
              <w:rPr>
                <w:spacing w:val="-2"/>
                <w:sz w:val="20"/>
              </w:rPr>
              <w:t>817.319.478,67</w:t>
            </w:r>
          </w:p>
        </w:tc>
      </w:tr>
      <w:tr>
        <w:trPr>
          <w:trHeight w:val="302" w:hRule="atLeast"/>
        </w:trPr>
        <w:tc>
          <w:tcPr>
            <w:tcW w:w="5402" w:type="dxa"/>
          </w:tcPr>
          <w:p>
            <w:pPr>
              <w:pStyle w:val="TableParagraph"/>
              <w:spacing w:before="33"/>
              <w:ind w:left="67"/>
              <w:rPr>
                <w:sz w:val="20"/>
              </w:rPr>
            </w:pPr>
            <w:r>
              <w:rPr>
                <w:sz w:val="20"/>
              </w:rPr>
              <w:t>Equipos</w:t>
            </w:r>
            <w:r>
              <w:rPr>
                <w:spacing w:val="-6"/>
                <w:sz w:val="20"/>
              </w:rPr>
              <w:t> </w:t>
            </w:r>
            <w:r>
              <w:rPr>
                <w:sz w:val="20"/>
              </w:rPr>
              <w:t>de</w:t>
            </w:r>
            <w:r>
              <w:rPr>
                <w:spacing w:val="-6"/>
                <w:sz w:val="20"/>
              </w:rPr>
              <w:t> </w:t>
            </w:r>
            <w:r>
              <w:rPr>
                <w:spacing w:val="-2"/>
                <w:sz w:val="20"/>
              </w:rPr>
              <w:t>comunicación</w:t>
            </w:r>
          </w:p>
        </w:tc>
        <w:tc>
          <w:tcPr>
            <w:tcW w:w="2622" w:type="dxa"/>
          </w:tcPr>
          <w:p>
            <w:pPr>
              <w:pStyle w:val="TableParagraph"/>
              <w:spacing w:line="211" w:lineRule="exact" w:before="71"/>
              <w:ind w:right="63"/>
              <w:jc w:val="right"/>
              <w:rPr>
                <w:sz w:val="20"/>
              </w:rPr>
            </w:pPr>
            <w:r>
              <w:rPr>
                <w:spacing w:val="-2"/>
                <w:sz w:val="20"/>
              </w:rPr>
              <w:t>115.723.256,84</w:t>
            </w:r>
          </w:p>
        </w:tc>
      </w:tr>
      <w:tr>
        <w:trPr>
          <w:trHeight w:val="297" w:hRule="atLeast"/>
        </w:trPr>
        <w:tc>
          <w:tcPr>
            <w:tcW w:w="5402" w:type="dxa"/>
          </w:tcPr>
          <w:p>
            <w:pPr>
              <w:pStyle w:val="TableParagraph"/>
              <w:spacing w:before="33"/>
              <w:ind w:left="67"/>
              <w:rPr>
                <w:sz w:val="20"/>
              </w:rPr>
            </w:pPr>
            <w:r>
              <w:rPr>
                <w:sz w:val="20"/>
              </w:rPr>
              <w:t>Equipos</w:t>
            </w:r>
            <w:r>
              <w:rPr>
                <w:spacing w:val="-7"/>
                <w:sz w:val="20"/>
              </w:rPr>
              <w:t> </w:t>
            </w:r>
            <w:r>
              <w:rPr>
                <w:sz w:val="20"/>
              </w:rPr>
              <w:t>y</w:t>
            </w:r>
            <w:r>
              <w:rPr>
                <w:spacing w:val="-6"/>
                <w:sz w:val="20"/>
              </w:rPr>
              <w:t> </w:t>
            </w:r>
            <w:r>
              <w:rPr>
                <w:sz w:val="20"/>
              </w:rPr>
              <w:t>mobiliario</w:t>
            </w:r>
            <w:r>
              <w:rPr>
                <w:spacing w:val="-7"/>
                <w:sz w:val="20"/>
              </w:rPr>
              <w:t> </w:t>
            </w:r>
            <w:r>
              <w:rPr>
                <w:sz w:val="20"/>
              </w:rPr>
              <w:t>de</w:t>
            </w:r>
            <w:r>
              <w:rPr>
                <w:spacing w:val="-7"/>
                <w:sz w:val="20"/>
              </w:rPr>
              <w:t> </w:t>
            </w:r>
            <w:r>
              <w:rPr>
                <w:spacing w:val="-2"/>
                <w:sz w:val="20"/>
              </w:rPr>
              <w:t>oficina</w:t>
            </w:r>
          </w:p>
        </w:tc>
        <w:tc>
          <w:tcPr>
            <w:tcW w:w="2622" w:type="dxa"/>
          </w:tcPr>
          <w:p>
            <w:pPr>
              <w:pStyle w:val="TableParagraph"/>
              <w:spacing w:line="211" w:lineRule="exact" w:before="66"/>
              <w:ind w:right="63"/>
              <w:jc w:val="right"/>
              <w:rPr>
                <w:sz w:val="20"/>
              </w:rPr>
            </w:pPr>
            <w:r>
              <w:rPr>
                <w:spacing w:val="-2"/>
                <w:sz w:val="20"/>
              </w:rPr>
              <w:t>488.105.293.08</w:t>
            </w:r>
          </w:p>
        </w:tc>
      </w:tr>
      <w:tr>
        <w:trPr>
          <w:trHeight w:val="301" w:hRule="atLeast"/>
        </w:trPr>
        <w:tc>
          <w:tcPr>
            <w:tcW w:w="5402" w:type="dxa"/>
          </w:tcPr>
          <w:p>
            <w:pPr>
              <w:pStyle w:val="TableParagraph"/>
              <w:spacing w:before="33"/>
              <w:ind w:left="67"/>
              <w:rPr>
                <w:sz w:val="20"/>
              </w:rPr>
            </w:pPr>
            <w:r>
              <w:rPr>
                <w:sz w:val="20"/>
              </w:rPr>
              <w:t>Equipos</w:t>
            </w:r>
            <w:r>
              <w:rPr>
                <w:spacing w:val="-8"/>
                <w:sz w:val="20"/>
              </w:rPr>
              <w:t> </w:t>
            </w:r>
            <w:r>
              <w:rPr>
                <w:sz w:val="20"/>
              </w:rPr>
              <w:t>para</w:t>
            </w:r>
            <w:r>
              <w:rPr>
                <w:spacing w:val="-7"/>
                <w:sz w:val="20"/>
              </w:rPr>
              <w:t> </w:t>
            </w:r>
            <w:r>
              <w:rPr>
                <w:spacing w:val="-2"/>
                <w:sz w:val="20"/>
              </w:rPr>
              <w:t>computación</w:t>
            </w:r>
          </w:p>
        </w:tc>
        <w:tc>
          <w:tcPr>
            <w:tcW w:w="2622" w:type="dxa"/>
          </w:tcPr>
          <w:p>
            <w:pPr>
              <w:pStyle w:val="TableParagraph"/>
              <w:spacing w:line="211" w:lineRule="exact" w:before="71"/>
              <w:ind w:right="59"/>
              <w:jc w:val="right"/>
              <w:rPr>
                <w:sz w:val="20"/>
              </w:rPr>
            </w:pPr>
            <w:r>
              <w:rPr>
                <w:spacing w:val="-2"/>
                <w:sz w:val="20"/>
              </w:rPr>
              <w:t>1.421.642.826,89</w:t>
            </w:r>
          </w:p>
        </w:tc>
      </w:tr>
      <w:tr>
        <w:trPr>
          <w:trHeight w:val="297" w:hRule="atLeast"/>
        </w:trPr>
        <w:tc>
          <w:tcPr>
            <w:tcW w:w="5402" w:type="dxa"/>
          </w:tcPr>
          <w:p>
            <w:pPr>
              <w:pStyle w:val="TableParagraph"/>
              <w:spacing w:before="33"/>
              <w:ind w:left="67"/>
              <w:rPr>
                <w:sz w:val="20"/>
              </w:rPr>
            </w:pPr>
            <w:r>
              <w:rPr>
                <w:sz w:val="20"/>
              </w:rPr>
              <w:t>Equipo</w:t>
            </w:r>
            <w:r>
              <w:rPr>
                <w:spacing w:val="-8"/>
                <w:sz w:val="20"/>
              </w:rPr>
              <w:t> </w:t>
            </w:r>
            <w:r>
              <w:rPr>
                <w:sz w:val="20"/>
              </w:rPr>
              <w:t>sanitario,</w:t>
            </w:r>
            <w:r>
              <w:rPr>
                <w:spacing w:val="-5"/>
                <w:sz w:val="20"/>
              </w:rPr>
              <w:t> </w:t>
            </w:r>
            <w:r>
              <w:rPr>
                <w:sz w:val="20"/>
              </w:rPr>
              <w:t>de</w:t>
            </w:r>
            <w:r>
              <w:rPr>
                <w:spacing w:val="-8"/>
                <w:sz w:val="20"/>
              </w:rPr>
              <w:t> </w:t>
            </w:r>
            <w:r>
              <w:rPr>
                <w:sz w:val="20"/>
              </w:rPr>
              <w:t>laboratorio</w:t>
            </w:r>
            <w:r>
              <w:rPr>
                <w:spacing w:val="-8"/>
                <w:sz w:val="20"/>
              </w:rPr>
              <w:t> </w:t>
            </w:r>
            <w:r>
              <w:rPr>
                <w:sz w:val="20"/>
              </w:rPr>
              <w:t>e</w:t>
            </w:r>
            <w:r>
              <w:rPr>
                <w:spacing w:val="-7"/>
                <w:sz w:val="20"/>
              </w:rPr>
              <w:t> </w:t>
            </w:r>
            <w:r>
              <w:rPr>
                <w:spacing w:val="-2"/>
                <w:sz w:val="20"/>
              </w:rPr>
              <w:t>investigación</w:t>
            </w:r>
          </w:p>
        </w:tc>
        <w:tc>
          <w:tcPr>
            <w:tcW w:w="2622" w:type="dxa"/>
          </w:tcPr>
          <w:p>
            <w:pPr>
              <w:pStyle w:val="TableParagraph"/>
              <w:spacing w:line="211" w:lineRule="exact" w:before="66"/>
              <w:ind w:right="59"/>
              <w:jc w:val="right"/>
              <w:rPr>
                <w:sz w:val="20"/>
              </w:rPr>
            </w:pPr>
            <w:r>
              <w:rPr>
                <w:spacing w:val="-2"/>
                <w:sz w:val="20"/>
              </w:rPr>
              <w:t>1.427.225,82</w:t>
            </w:r>
          </w:p>
        </w:tc>
      </w:tr>
      <w:tr>
        <w:trPr>
          <w:trHeight w:val="302" w:hRule="atLeast"/>
        </w:trPr>
        <w:tc>
          <w:tcPr>
            <w:tcW w:w="5402" w:type="dxa"/>
          </w:tcPr>
          <w:p>
            <w:pPr>
              <w:pStyle w:val="TableParagraph"/>
              <w:spacing w:before="38"/>
              <w:ind w:left="67"/>
              <w:rPr>
                <w:sz w:val="20"/>
              </w:rPr>
            </w:pPr>
            <w:r>
              <w:rPr>
                <w:sz w:val="20"/>
              </w:rPr>
              <w:t>Equipos</w:t>
            </w:r>
            <w:r>
              <w:rPr>
                <w:spacing w:val="-8"/>
                <w:sz w:val="20"/>
              </w:rPr>
              <w:t> </w:t>
            </w:r>
            <w:r>
              <w:rPr>
                <w:sz w:val="20"/>
              </w:rPr>
              <w:t>y</w:t>
            </w:r>
            <w:r>
              <w:rPr>
                <w:spacing w:val="-8"/>
                <w:sz w:val="20"/>
              </w:rPr>
              <w:t> </w:t>
            </w:r>
            <w:r>
              <w:rPr>
                <w:sz w:val="20"/>
              </w:rPr>
              <w:t>mobiliario</w:t>
            </w:r>
            <w:r>
              <w:rPr>
                <w:spacing w:val="-9"/>
                <w:sz w:val="20"/>
              </w:rPr>
              <w:t> </w:t>
            </w:r>
            <w:r>
              <w:rPr>
                <w:sz w:val="20"/>
              </w:rPr>
              <w:t>educacional,</w:t>
            </w:r>
            <w:r>
              <w:rPr>
                <w:spacing w:val="-6"/>
                <w:sz w:val="20"/>
              </w:rPr>
              <w:t> </w:t>
            </w:r>
            <w:r>
              <w:rPr>
                <w:sz w:val="20"/>
              </w:rPr>
              <w:t>deportivo</w:t>
            </w:r>
            <w:r>
              <w:rPr>
                <w:spacing w:val="-9"/>
                <w:sz w:val="20"/>
              </w:rPr>
              <w:t> </w:t>
            </w:r>
            <w:r>
              <w:rPr>
                <w:sz w:val="20"/>
              </w:rPr>
              <w:t>y</w:t>
            </w:r>
            <w:r>
              <w:rPr>
                <w:spacing w:val="-7"/>
                <w:sz w:val="20"/>
              </w:rPr>
              <w:t> </w:t>
            </w:r>
            <w:r>
              <w:rPr>
                <w:spacing w:val="-2"/>
                <w:sz w:val="20"/>
              </w:rPr>
              <w:t>recreativo</w:t>
            </w:r>
          </w:p>
        </w:tc>
        <w:tc>
          <w:tcPr>
            <w:tcW w:w="2622" w:type="dxa"/>
          </w:tcPr>
          <w:p>
            <w:pPr>
              <w:pStyle w:val="TableParagraph"/>
              <w:spacing w:line="211" w:lineRule="exact" w:before="71"/>
              <w:ind w:right="63"/>
              <w:jc w:val="right"/>
              <w:rPr>
                <w:sz w:val="20"/>
              </w:rPr>
            </w:pPr>
            <w:r>
              <w:rPr>
                <w:spacing w:val="-2"/>
                <w:sz w:val="20"/>
              </w:rPr>
              <w:t>102.235,66</w:t>
            </w:r>
          </w:p>
        </w:tc>
      </w:tr>
      <w:tr>
        <w:trPr>
          <w:trHeight w:val="403" w:hRule="atLeast"/>
        </w:trPr>
        <w:tc>
          <w:tcPr>
            <w:tcW w:w="5402" w:type="dxa"/>
          </w:tcPr>
          <w:p>
            <w:pPr>
              <w:pStyle w:val="TableParagraph"/>
              <w:spacing w:before="86"/>
              <w:ind w:left="67"/>
              <w:rPr>
                <w:sz w:val="20"/>
              </w:rPr>
            </w:pPr>
            <w:r>
              <w:rPr>
                <w:sz w:val="20"/>
              </w:rPr>
              <w:t>Equipos</w:t>
            </w:r>
            <w:r>
              <w:rPr>
                <w:spacing w:val="-8"/>
                <w:sz w:val="20"/>
              </w:rPr>
              <w:t> </w:t>
            </w:r>
            <w:r>
              <w:rPr>
                <w:sz w:val="20"/>
              </w:rPr>
              <w:t>de</w:t>
            </w:r>
            <w:r>
              <w:rPr>
                <w:spacing w:val="-9"/>
                <w:sz w:val="20"/>
              </w:rPr>
              <w:t> </w:t>
            </w:r>
            <w:r>
              <w:rPr>
                <w:sz w:val="20"/>
              </w:rPr>
              <w:t>seguridad,</w:t>
            </w:r>
            <w:r>
              <w:rPr>
                <w:spacing w:val="-6"/>
                <w:sz w:val="20"/>
              </w:rPr>
              <w:t> </w:t>
            </w:r>
            <w:r>
              <w:rPr>
                <w:sz w:val="20"/>
              </w:rPr>
              <w:t>orden,</w:t>
            </w:r>
            <w:r>
              <w:rPr>
                <w:spacing w:val="-6"/>
                <w:sz w:val="20"/>
              </w:rPr>
              <w:t> </w:t>
            </w:r>
            <w:r>
              <w:rPr>
                <w:sz w:val="20"/>
              </w:rPr>
              <w:t>vigilancia</w:t>
            </w:r>
            <w:r>
              <w:rPr>
                <w:spacing w:val="-8"/>
                <w:sz w:val="20"/>
              </w:rPr>
              <w:t> </w:t>
            </w:r>
            <w:r>
              <w:rPr>
                <w:sz w:val="20"/>
              </w:rPr>
              <w:t>y</w:t>
            </w:r>
            <w:r>
              <w:rPr>
                <w:spacing w:val="-8"/>
                <w:sz w:val="20"/>
              </w:rPr>
              <w:t> </w:t>
            </w:r>
            <w:r>
              <w:rPr>
                <w:sz w:val="20"/>
              </w:rPr>
              <w:t>control</w:t>
            </w:r>
            <w:r>
              <w:rPr>
                <w:spacing w:val="-8"/>
                <w:sz w:val="20"/>
              </w:rPr>
              <w:t> </w:t>
            </w:r>
            <w:r>
              <w:rPr>
                <w:spacing w:val="-2"/>
                <w:sz w:val="20"/>
              </w:rPr>
              <w:t>público</w:t>
            </w:r>
          </w:p>
        </w:tc>
        <w:tc>
          <w:tcPr>
            <w:tcW w:w="2622" w:type="dxa"/>
          </w:tcPr>
          <w:p>
            <w:pPr>
              <w:pStyle w:val="TableParagraph"/>
              <w:spacing w:line="211" w:lineRule="exact" w:before="173"/>
              <w:ind w:right="59"/>
              <w:jc w:val="right"/>
              <w:rPr>
                <w:sz w:val="20"/>
              </w:rPr>
            </w:pPr>
            <w:r>
              <w:rPr>
                <w:spacing w:val="-2"/>
                <w:sz w:val="20"/>
              </w:rPr>
              <w:t>63.285.396,41</w:t>
            </w:r>
          </w:p>
        </w:tc>
      </w:tr>
      <w:tr>
        <w:trPr>
          <w:trHeight w:val="301" w:hRule="atLeast"/>
        </w:trPr>
        <w:tc>
          <w:tcPr>
            <w:tcW w:w="5402" w:type="dxa"/>
          </w:tcPr>
          <w:p>
            <w:pPr>
              <w:pStyle w:val="TableParagraph"/>
              <w:spacing w:before="38"/>
              <w:ind w:left="67"/>
              <w:rPr>
                <w:sz w:val="20"/>
              </w:rPr>
            </w:pPr>
            <w:r>
              <w:rPr>
                <w:spacing w:val="-2"/>
                <w:sz w:val="20"/>
              </w:rPr>
              <w:t>Semovientes</w:t>
            </w:r>
          </w:p>
        </w:tc>
        <w:tc>
          <w:tcPr>
            <w:tcW w:w="2622" w:type="dxa"/>
          </w:tcPr>
          <w:p>
            <w:pPr>
              <w:pStyle w:val="TableParagraph"/>
              <w:spacing w:line="211" w:lineRule="exact" w:before="71"/>
              <w:ind w:right="60"/>
              <w:jc w:val="right"/>
              <w:rPr>
                <w:sz w:val="20"/>
              </w:rPr>
            </w:pPr>
            <w:r>
              <w:rPr>
                <w:spacing w:val="-10"/>
                <w:sz w:val="20"/>
              </w:rPr>
              <w:t>-</w:t>
            </w:r>
          </w:p>
        </w:tc>
      </w:tr>
      <w:tr>
        <w:trPr>
          <w:trHeight w:val="301" w:hRule="atLeast"/>
        </w:trPr>
        <w:tc>
          <w:tcPr>
            <w:tcW w:w="5402" w:type="dxa"/>
          </w:tcPr>
          <w:p>
            <w:pPr>
              <w:pStyle w:val="TableParagraph"/>
              <w:spacing w:before="33"/>
              <w:ind w:left="67"/>
              <w:rPr>
                <w:sz w:val="20"/>
              </w:rPr>
            </w:pPr>
            <w:r>
              <w:rPr>
                <w:sz w:val="20"/>
              </w:rPr>
              <w:t>Maquinarias,</w:t>
            </w:r>
            <w:r>
              <w:rPr>
                <w:spacing w:val="-10"/>
                <w:sz w:val="20"/>
              </w:rPr>
              <w:t> </w:t>
            </w:r>
            <w:r>
              <w:rPr>
                <w:sz w:val="20"/>
              </w:rPr>
              <w:t>equipos</w:t>
            </w:r>
            <w:r>
              <w:rPr>
                <w:spacing w:val="-11"/>
                <w:sz w:val="20"/>
              </w:rPr>
              <w:t> </w:t>
            </w:r>
            <w:r>
              <w:rPr>
                <w:sz w:val="20"/>
              </w:rPr>
              <w:t>y</w:t>
            </w:r>
            <w:r>
              <w:rPr>
                <w:spacing w:val="-11"/>
                <w:sz w:val="20"/>
              </w:rPr>
              <w:t> </w:t>
            </w:r>
            <w:r>
              <w:rPr>
                <w:sz w:val="20"/>
              </w:rPr>
              <w:t>mobiliarios</w:t>
            </w:r>
            <w:r>
              <w:rPr>
                <w:spacing w:val="-10"/>
                <w:sz w:val="20"/>
              </w:rPr>
              <w:t> </w:t>
            </w:r>
            <w:r>
              <w:rPr>
                <w:spacing w:val="-2"/>
                <w:sz w:val="20"/>
              </w:rPr>
              <w:t>diversos</w:t>
            </w:r>
          </w:p>
        </w:tc>
        <w:tc>
          <w:tcPr>
            <w:tcW w:w="2622" w:type="dxa"/>
          </w:tcPr>
          <w:p>
            <w:pPr>
              <w:pStyle w:val="TableParagraph"/>
              <w:spacing w:line="211" w:lineRule="exact" w:before="71"/>
              <w:ind w:right="63"/>
              <w:jc w:val="right"/>
              <w:rPr>
                <w:sz w:val="20"/>
              </w:rPr>
            </w:pPr>
            <w:r>
              <w:rPr>
                <w:spacing w:val="-2"/>
                <w:sz w:val="20"/>
              </w:rPr>
              <w:t>104.220.992,49</w:t>
            </w:r>
          </w:p>
        </w:tc>
      </w:tr>
      <w:tr>
        <w:trPr>
          <w:trHeight w:val="297" w:hRule="atLeast"/>
        </w:trPr>
        <w:tc>
          <w:tcPr>
            <w:tcW w:w="5402" w:type="dxa"/>
          </w:tcPr>
          <w:p>
            <w:pPr>
              <w:pStyle w:val="TableParagraph"/>
              <w:spacing w:before="33"/>
              <w:ind w:right="65"/>
              <w:jc w:val="right"/>
              <w:rPr>
                <w:b/>
                <w:i/>
                <w:sz w:val="20"/>
              </w:rPr>
            </w:pPr>
            <w:r>
              <w:rPr>
                <w:b/>
                <w:i/>
                <w:sz w:val="20"/>
              </w:rPr>
              <w:t>Total,</w:t>
            </w:r>
            <w:r>
              <w:rPr>
                <w:b/>
                <w:i/>
                <w:spacing w:val="-8"/>
                <w:sz w:val="20"/>
              </w:rPr>
              <w:t> </w:t>
            </w:r>
            <w:r>
              <w:rPr>
                <w:b/>
                <w:i/>
                <w:sz w:val="20"/>
              </w:rPr>
              <w:t>Propiedad,</w:t>
            </w:r>
            <w:r>
              <w:rPr>
                <w:b/>
                <w:i/>
                <w:spacing w:val="-7"/>
                <w:sz w:val="20"/>
              </w:rPr>
              <w:t> </w:t>
            </w:r>
            <w:r>
              <w:rPr>
                <w:b/>
                <w:i/>
                <w:sz w:val="20"/>
              </w:rPr>
              <w:t>planta</w:t>
            </w:r>
            <w:r>
              <w:rPr>
                <w:b/>
                <w:i/>
                <w:spacing w:val="-6"/>
                <w:sz w:val="20"/>
              </w:rPr>
              <w:t> </w:t>
            </w:r>
            <w:r>
              <w:rPr>
                <w:b/>
                <w:i/>
                <w:sz w:val="20"/>
              </w:rPr>
              <w:t>y</w:t>
            </w:r>
            <w:r>
              <w:rPr>
                <w:b/>
                <w:i/>
                <w:spacing w:val="-5"/>
                <w:sz w:val="20"/>
              </w:rPr>
              <w:t> </w:t>
            </w:r>
            <w:r>
              <w:rPr>
                <w:b/>
                <w:i/>
                <w:spacing w:val="-2"/>
                <w:sz w:val="20"/>
              </w:rPr>
              <w:t>equipo</w:t>
            </w:r>
          </w:p>
        </w:tc>
        <w:tc>
          <w:tcPr>
            <w:tcW w:w="2622" w:type="dxa"/>
          </w:tcPr>
          <w:p>
            <w:pPr>
              <w:pStyle w:val="TableParagraph"/>
              <w:spacing w:line="211" w:lineRule="exact" w:before="66"/>
              <w:ind w:right="63"/>
              <w:jc w:val="right"/>
              <w:rPr>
                <w:b/>
                <w:i/>
                <w:sz w:val="20"/>
              </w:rPr>
            </w:pPr>
            <w:r>
              <w:rPr>
                <w:b/>
                <w:i/>
                <w:spacing w:val="-2"/>
                <w:sz w:val="20"/>
              </w:rPr>
              <w:t>138.428.118.154,72</w:t>
            </w:r>
          </w:p>
        </w:tc>
      </w:tr>
      <w:tr>
        <w:trPr>
          <w:trHeight w:val="301" w:hRule="atLeast"/>
        </w:trPr>
        <w:tc>
          <w:tcPr>
            <w:tcW w:w="5402" w:type="dxa"/>
          </w:tcPr>
          <w:p>
            <w:pPr>
              <w:pStyle w:val="TableParagraph"/>
              <w:spacing w:before="33"/>
              <w:ind w:left="67"/>
              <w:rPr>
                <w:sz w:val="20"/>
              </w:rPr>
            </w:pPr>
            <w:r>
              <w:rPr>
                <w:sz w:val="20"/>
              </w:rPr>
              <w:t>Inmuebles</w:t>
            </w:r>
            <w:r>
              <w:rPr>
                <w:spacing w:val="-7"/>
                <w:sz w:val="20"/>
              </w:rPr>
              <w:t> </w:t>
            </w:r>
            <w:r>
              <w:rPr>
                <w:sz w:val="20"/>
              </w:rPr>
              <w:t>históricos</w:t>
            </w:r>
            <w:r>
              <w:rPr>
                <w:spacing w:val="-7"/>
                <w:sz w:val="20"/>
              </w:rPr>
              <w:t> </w:t>
            </w:r>
            <w:r>
              <w:rPr>
                <w:sz w:val="20"/>
              </w:rPr>
              <w:t>y</w:t>
            </w:r>
            <w:r>
              <w:rPr>
                <w:spacing w:val="-6"/>
                <w:sz w:val="20"/>
              </w:rPr>
              <w:t> </w:t>
            </w:r>
            <w:r>
              <w:rPr>
                <w:spacing w:val="-2"/>
                <w:sz w:val="20"/>
              </w:rPr>
              <w:t>culturales</w:t>
            </w:r>
          </w:p>
        </w:tc>
        <w:tc>
          <w:tcPr>
            <w:tcW w:w="2622" w:type="dxa"/>
          </w:tcPr>
          <w:p>
            <w:pPr>
              <w:pStyle w:val="TableParagraph"/>
              <w:spacing w:line="211" w:lineRule="exact" w:before="71"/>
              <w:ind w:right="60"/>
              <w:jc w:val="right"/>
              <w:rPr>
                <w:sz w:val="20"/>
              </w:rPr>
            </w:pPr>
            <w:r>
              <w:rPr>
                <w:spacing w:val="-10"/>
                <w:sz w:val="20"/>
              </w:rPr>
              <w:t>-</w:t>
            </w:r>
          </w:p>
        </w:tc>
      </w:tr>
      <w:tr>
        <w:trPr>
          <w:trHeight w:val="297" w:hRule="atLeast"/>
        </w:trPr>
        <w:tc>
          <w:tcPr>
            <w:tcW w:w="5402" w:type="dxa"/>
          </w:tcPr>
          <w:p>
            <w:pPr>
              <w:pStyle w:val="TableParagraph"/>
              <w:spacing w:before="33"/>
              <w:ind w:left="67"/>
              <w:rPr>
                <w:sz w:val="20"/>
              </w:rPr>
            </w:pPr>
            <w:r>
              <w:rPr>
                <w:sz w:val="20"/>
              </w:rPr>
              <w:t>Piezas</w:t>
            </w:r>
            <w:r>
              <w:rPr>
                <w:spacing w:val="-4"/>
                <w:sz w:val="20"/>
              </w:rPr>
              <w:t> </w:t>
            </w:r>
            <w:r>
              <w:rPr>
                <w:sz w:val="20"/>
              </w:rPr>
              <w:t>y</w:t>
            </w:r>
            <w:r>
              <w:rPr>
                <w:spacing w:val="-4"/>
                <w:sz w:val="20"/>
              </w:rPr>
              <w:t> </w:t>
            </w:r>
            <w:r>
              <w:rPr>
                <w:sz w:val="20"/>
              </w:rPr>
              <w:t>obras</w:t>
            </w:r>
            <w:r>
              <w:rPr>
                <w:spacing w:val="-4"/>
                <w:sz w:val="20"/>
              </w:rPr>
              <w:t> </w:t>
            </w:r>
            <w:r>
              <w:rPr>
                <w:sz w:val="20"/>
              </w:rPr>
              <w:t>históricas</w:t>
            </w:r>
            <w:r>
              <w:rPr>
                <w:spacing w:val="-7"/>
                <w:sz w:val="20"/>
              </w:rPr>
              <w:t> </w:t>
            </w:r>
            <w:r>
              <w:rPr>
                <w:sz w:val="20"/>
              </w:rPr>
              <w:t>y</w:t>
            </w:r>
            <w:r>
              <w:rPr>
                <w:spacing w:val="-4"/>
                <w:sz w:val="20"/>
              </w:rPr>
              <w:t> </w:t>
            </w:r>
            <w:r>
              <w:rPr>
                <w:sz w:val="20"/>
              </w:rPr>
              <w:t>de</w:t>
            </w:r>
            <w:r>
              <w:rPr>
                <w:spacing w:val="-9"/>
                <w:sz w:val="20"/>
              </w:rPr>
              <w:t> </w:t>
            </w:r>
            <w:r>
              <w:rPr>
                <w:spacing w:val="-2"/>
                <w:sz w:val="20"/>
              </w:rPr>
              <w:t>colección</w:t>
            </w:r>
          </w:p>
        </w:tc>
        <w:tc>
          <w:tcPr>
            <w:tcW w:w="2622" w:type="dxa"/>
          </w:tcPr>
          <w:p>
            <w:pPr>
              <w:pStyle w:val="TableParagraph"/>
              <w:spacing w:before="33"/>
              <w:ind w:right="59"/>
              <w:jc w:val="right"/>
              <w:rPr>
                <w:sz w:val="20"/>
              </w:rPr>
            </w:pPr>
            <w:r>
              <w:rPr>
                <w:spacing w:val="-2"/>
                <w:sz w:val="20"/>
              </w:rPr>
              <w:t>26.579.304,98</w:t>
            </w:r>
          </w:p>
        </w:tc>
      </w:tr>
      <w:tr>
        <w:trPr>
          <w:trHeight w:val="301" w:hRule="atLeast"/>
        </w:trPr>
        <w:tc>
          <w:tcPr>
            <w:tcW w:w="5402" w:type="dxa"/>
          </w:tcPr>
          <w:p>
            <w:pPr>
              <w:pStyle w:val="TableParagraph"/>
              <w:spacing w:before="38"/>
              <w:ind w:left="67"/>
              <w:rPr>
                <w:sz w:val="20"/>
              </w:rPr>
            </w:pPr>
            <w:r>
              <w:rPr>
                <w:sz w:val="20"/>
              </w:rPr>
              <w:t>Otros</w:t>
            </w:r>
            <w:r>
              <w:rPr>
                <w:spacing w:val="-9"/>
                <w:sz w:val="20"/>
              </w:rPr>
              <w:t> </w:t>
            </w:r>
            <w:r>
              <w:rPr>
                <w:sz w:val="20"/>
              </w:rPr>
              <w:t>bienes</w:t>
            </w:r>
            <w:r>
              <w:rPr>
                <w:spacing w:val="-4"/>
                <w:sz w:val="20"/>
              </w:rPr>
              <w:t> </w:t>
            </w:r>
            <w:r>
              <w:rPr>
                <w:sz w:val="20"/>
              </w:rPr>
              <w:t>históricos</w:t>
            </w:r>
            <w:r>
              <w:rPr>
                <w:spacing w:val="-5"/>
                <w:sz w:val="20"/>
              </w:rPr>
              <w:t> </w:t>
            </w:r>
            <w:r>
              <w:rPr>
                <w:sz w:val="20"/>
              </w:rPr>
              <w:t>y</w:t>
            </w:r>
            <w:r>
              <w:rPr>
                <w:spacing w:val="-4"/>
                <w:sz w:val="20"/>
              </w:rPr>
              <w:t> </w:t>
            </w:r>
            <w:r>
              <w:rPr>
                <w:spacing w:val="-2"/>
                <w:sz w:val="20"/>
              </w:rPr>
              <w:t>culturales</w:t>
            </w:r>
          </w:p>
        </w:tc>
        <w:tc>
          <w:tcPr>
            <w:tcW w:w="2622" w:type="dxa"/>
          </w:tcPr>
          <w:p>
            <w:pPr>
              <w:pStyle w:val="TableParagraph"/>
              <w:spacing w:before="38"/>
              <w:ind w:right="59"/>
              <w:jc w:val="right"/>
              <w:rPr>
                <w:sz w:val="20"/>
              </w:rPr>
            </w:pPr>
            <w:r>
              <w:rPr>
                <w:spacing w:val="-2"/>
                <w:sz w:val="20"/>
              </w:rPr>
              <w:t>1.117.163,64</w:t>
            </w:r>
          </w:p>
        </w:tc>
      </w:tr>
      <w:tr>
        <w:trPr>
          <w:trHeight w:val="297" w:hRule="atLeast"/>
        </w:trPr>
        <w:tc>
          <w:tcPr>
            <w:tcW w:w="5402" w:type="dxa"/>
          </w:tcPr>
          <w:p>
            <w:pPr>
              <w:pStyle w:val="TableParagraph"/>
              <w:spacing w:line="211" w:lineRule="exact" w:before="66"/>
              <w:ind w:right="56"/>
              <w:jc w:val="right"/>
              <w:rPr>
                <w:b/>
                <w:i/>
                <w:sz w:val="20"/>
              </w:rPr>
            </w:pPr>
            <w:r>
              <w:rPr>
                <w:b/>
                <w:i/>
                <w:sz w:val="20"/>
              </w:rPr>
              <w:t>Total,</w:t>
            </w:r>
            <w:r>
              <w:rPr>
                <w:b/>
                <w:i/>
                <w:spacing w:val="-6"/>
                <w:sz w:val="20"/>
              </w:rPr>
              <w:t> </w:t>
            </w:r>
            <w:r>
              <w:rPr>
                <w:b/>
                <w:i/>
                <w:sz w:val="20"/>
              </w:rPr>
              <w:t>históricos</w:t>
            </w:r>
            <w:r>
              <w:rPr>
                <w:b/>
                <w:i/>
                <w:spacing w:val="-9"/>
                <w:sz w:val="20"/>
              </w:rPr>
              <w:t> </w:t>
            </w:r>
            <w:r>
              <w:rPr>
                <w:b/>
                <w:i/>
                <w:sz w:val="20"/>
              </w:rPr>
              <w:t>y</w:t>
            </w:r>
            <w:r>
              <w:rPr>
                <w:b/>
                <w:i/>
                <w:spacing w:val="-3"/>
                <w:sz w:val="20"/>
              </w:rPr>
              <w:t> </w:t>
            </w:r>
            <w:r>
              <w:rPr>
                <w:b/>
                <w:i/>
                <w:spacing w:val="-2"/>
                <w:sz w:val="20"/>
              </w:rPr>
              <w:t>culturales</w:t>
            </w:r>
          </w:p>
        </w:tc>
        <w:tc>
          <w:tcPr>
            <w:tcW w:w="2622" w:type="dxa"/>
          </w:tcPr>
          <w:p>
            <w:pPr>
              <w:pStyle w:val="TableParagraph"/>
              <w:spacing w:line="211" w:lineRule="exact" w:before="66"/>
              <w:ind w:right="59"/>
              <w:jc w:val="right"/>
              <w:rPr>
                <w:b/>
                <w:i/>
                <w:sz w:val="20"/>
              </w:rPr>
            </w:pPr>
            <w:r>
              <w:rPr>
                <w:b/>
                <w:i/>
                <w:spacing w:val="-2"/>
                <w:sz w:val="20"/>
              </w:rPr>
              <w:t>27.696.468,62</w:t>
            </w:r>
          </w:p>
        </w:tc>
      </w:tr>
      <w:tr>
        <w:trPr>
          <w:trHeight w:val="302" w:hRule="atLeast"/>
        </w:trPr>
        <w:tc>
          <w:tcPr>
            <w:tcW w:w="5402" w:type="dxa"/>
          </w:tcPr>
          <w:p>
            <w:pPr>
              <w:pStyle w:val="TableParagraph"/>
              <w:spacing w:before="38"/>
              <w:ind w:left="67"/>
              <w:rPr>
                <w:sz w:val="20"/>
              </w:rPr>
            </w:pPr>
            <w:r>
              <w:rPr>
                <w:sz w:val="20"/>
              </w:rPr>
              <w:t>Patentes</w:t>
            </w:r>
            <w:r>
              <w:rPr>
                <w:spacing w:val="-4"/>
                <w:sz w:val="20"/>
              </w:rPr>
              <w:t> </w:t>
            </w:r>
            <w:r>
              <w:rPr>
                <w:sz w:val="20"/>
              </w:rPr>
              <w:t>y</w:t>
            </w:r>
            <w:r>
              <w:rPr>
                <w:spacing w:val="-8"/>
                <w:sz w:val="20"/>
              </w:rPr>
              <w:t> </w:t>
            </w:r>
            <w:r>
              <w:rPr>
                <w:sz w:val="20"/>
              </w:rPr>
              <w:t>marcas</w:t>
            </w:r>
            <w:r>
              <w:rPr>
                <w:spacing w:val="-7"/>
                <w:sz w:val="20"/>
              </w:rPr>
              <w:t> </w:t>
            </w:r>
            <w:r>
              <w:rPr>
                <w:spacing w:val="-2"/>
                <w:sz w:val="20"/>
              </w:rPr>
              <w:t>registradas</w:t>
            </w:r>
          </w:p>
        </w:tc>
        <w:tc>
          <w:tcPr>
            <w:tcW w:w="2622" w:type="dxa"/>
          </w:tcPr>
          <w:p>
            <w:pPr>
              <w:pStyle w:val="TableParagraph"/>
              <w:spacing w:line="229" w:lineRule="exact"/>
              <w:ind w:right="60"/>
              <w:jc w:val="right"/>
              <w:rPr>
                <w:sz w:val="20"/>
              </w:rPr>
            </w:pPr>
            <w:r>
              <w:rPr>
                <w:spacing w:val="-10"/>
                <w:sz w:val="20"/>
              </w:rPr>
              <w:t>-</w:t>
            </w:r>
          </w:p>
        </w:tc>
      </w:tr>
      <w:tr>
        <w:trPr>
          <w:trHeight w:val="302" w:hRule="atLeast"/>
        </w:trPr>
        <w:tc>
          <w:tcPr>
            <w:tcW w:w="5402" w:type="dxa"/>
          </w:tcPr>
          <w:p>
            <w:pPr>
              <w:pStyle w:val="TableParagraph"/>
              <w:spacing w:before="33"/>
              <w:ind w:left="67"/>
              <w:rPr>
                <w:sz w:val="20"/>
              </w:rPr>
            </w:pPr>
            <w:r>
              <w:rPr>
                <w:sz w:val="20"/>
              </w:rPr>
              <w:t>Derechos</w:t>
            </w:r>
            <w:r>
              <w:rPr>
                <w:spacing w:val="-9"/>
                <w:sz w:val="20"/>
              </w:rPr>
              <w:t> </w:t>
            </w:r>
            <w:r>
              <w:rPr>
                <w:sz w:val="20"/>
              </w:rPr>
              <w:t>de</w:t>
            </w:r>
            <w:r>
              <w:rPr>
                <w:spacing w:val="-6"/>
                <w:sz w:val="20"/>
              </w:rPr>
              <w:t> </w:t>
            </w:r>
            <w:r>
              <w:rPr>
                <w:spacing w:val="-4"/>
                <w:sz w:val="20"/>
              </w:rPr>
              <w:t>autor</w:t>
            </w:r>
          </w:p>
        </w:tc>
        <w:tc>
          <w:tcPr>
            <w:tcW w:w="2622" w:type="dxa"/>
          </w:tcPr>
          <w:p>
            <w:pPr>
              <w:pStyle w:val="TableParagraph"/>
              <w:spacing w:line="229" w:lineRule="exact"/>
              <w:ind w:right="60"/>
              <w:jc w:val="right"/>
              <w:rPr>
                <w:sz w:val="20"/>
              </w:rPr>
            </w:pPr>
            <w:r>
              <w:rPr>
                <w:spacing w:val="-10"/>
                <w:sz w:val="20"/>
              </w:rPr>
              <w:t>-</w:t>
            </w:r>
          </w:p>
        </w:tc>
      </w:tr>
      <w:tr>
        <w:trPr>
          <w:trHeight w:val="297" w:hRule="atLeast"/>
        </w:trPr>
        <w:tc>
          <w:tcPr>
            <w:tcW w:w="5402" w:type="dxa"/>
          </w:tcPr>
          <w:p>
            <w:pPr>
              <w:pStyle w:val="TableParagraph"/>
              <w:spacing w:before="33"/>
              <w:ind w:left="67"/>
              <w:rPr>
                <w:sz w:val="20"/>
              </w:rPr>
            </w:pPr>
            <w:r>
              <w:rPr>
                <w:sz w:val="20"/>
              </w:rPr>
              <w:t>Software</w:t>
            </w:r>
            <w:r>
              <w:rPr>
                <w:spacing w:val="-4"/>
                <w:sz w:val="20"/>
              </w:rPr>
              <w:t> </w:t>
            </w:r>
            <w:r>
              <w:rPr>
                <w:sz w:val="20"/>
              </w:rPr>
              <w:t>y</w:t>
            </w:r>
            <w:r>
              <w:rPr>
                <w:spacing w:val="-5"/>
                <w:sz w:val="20"/>
              </w:rPr>
              <w:t> </w:t>
            </w:r>
            <w:r>
              <w:rPr>
                <w:spacing w:val="-2"/>
                <w:sz w:val="20"/>
              </w:rPr>
              <w:t>programas</w:t>
            </w:r>
          </w:p>
        </w:tc>
        <w:tc>
          <w:tcPr>
            <w:tcW w:w="2622" w:type="dxa"/>
          </w:tcPr>
          <w:p>
            <w:pPr>
              <w:pStyle w:val="TableParagraph"/>
              <w:spacing w:before="33"/>
              <w:ind w:right="63"/>
              <w:jc w:val="right"/>
              <w:rPr>
                <w:sz w:val="20"/>
              </w:rPr>
            </w:pPr>
            <w:r>
              <w:rPr>
                <w:spacing w:val="-2"/>
                <w:sz w:val="20"/>
              </w:rPr>
              <w:t>439.928.410,07</w:t>
            </w:r>
          </w:p>
        </w:tc>
      </w:tr>
    </w:tbl>
    <w:p>
      <w:pPr>
        <w:pStyle w:val="TableParagraph"/>
        <w:spacing w:after="0"/>
        <w:jc w:val="right"/>
        <w:rPr>
          <w:sz w:val="20"/>
        </w:rPr>
        <w:sectPr>
          <w:pgSz w:w="12240" w:h="15840"/>
          <w:pgMar w:header="0" w:footer="1021" w:top="1340" w:bottom="1359" w:left="720" w:right="360"/>
        </w:sectPr>
      </w:pPr>
    </w:p>
    <w:tbl>
      <w:tblPr>
        <w:tblW w:w="0" w:type="auto"/>
        <w:jc w:val="left"/>
        <w:tblInd w:w="1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02"/>
        <w:gridCol w:w="2622"/>
      </w:tblGrid>
      <w:tr>
        <w:trPr>
          <w:trHeight w:val="302" w:hRule="atLeast"/>
        </w:trPr>
        <w:tc>
          <w:tcPr>
            <w:tcW w:w="5402" w:type="dxa"/>
            <w:shd w:val="clear" w:color="auto" w:fill="1F3863"/>
          </w:tcPr>
          <w:p>
            <w:pPr>
              <w:pStyle w:val="TableParagraph"/>
              <w:spacing w:before="33"/>
              <w:ind w:left="1406"/>
              <w:rPr>
                <w:b/>
                <w:sz w:val="20"/>
              </w:rPr>
            </w:pPr>
            <w:r>
              <w:rPr>
                <w:b/>
                <w:color w:val="FFFFFF"/>
                <w:sz w:val="20"/>
              </w:rPr>
              <w:t>Tipo</w:t>
            </w:r>
            <w:r>
              <w:rPr>
                <w:b/>
                <w:color w:val="FFFFFF"/>
                <w:spacing w:val="-6"/>
                <w:sz w:val="20"/>
              </w:rPr>
              <w:t> </w:t>
            </w:r>
            <w:r>
              <w:rPr>
                <w:b/>
                <w:color w:val="FFFFFF"/>
                <w:sz w:val="20"/>
              </w:rPr>
              <w:t>de</w:t>
            </w:r>
            <w:r>
              <w:rPr>
                <w:b/>
                <w:color w:val="FFFFFF"/>
                <w:spacing w:val="-4"/>
                <w:sz w:val="20"/>
              </w:rPr>
              <w:t> </w:t>
            </w:r>
            <w:r>
              <w:rPr>
                <w:b/>
                <w:color w:val="FFFFFF"/>
                <w:sz w:val="20"/>
              </w:rPr>
              <w:t>activo</w:t>
            </w:r>
            <w:r>
              <w:rPr>
                <w:b/>
                <w:color w:val="FFFFFF"/>
                <w:spacing w:val="-5"/>
                <w:sz w:val="20"/>
              </w:rPr>
              <w:t> </w:t>
            </w:r>
            <w:r>
              <w:rPr>
                <w:b/>
                <w:color w:val="FFFFFF"/>
                <w:spacing w:val="-2"/>
                <w:sz w:val="20"/>
              </w:rPr>
              <w:t>Institucional</w:t>
            </w:r>
          </w:p>
        </w:tc>
        <w:tc>
          <w:tcPr>
            <w:tcW w:w="2622" w:type="dxa"/>
            <w:shd w:val="clear" w:color="auto" w:fill="1F3863"/>
          </w:tcPr>
          <w:p>
            <w:pPr>
              <w:pStyle w:val="TableParagraph"/>
              <w:spacing w:before="33"/>
              <w:ind w:left="614"/>
              <w:rPr>
                <w:b/>
                <w:sz w:val="20"/>
              </w:rPr>
            </w:pPr>
            <w:r>
              <w:rPr>
                <w:b/>
                <w:color w:val="FFFFFF"/>
                <w:sz w:val="20"/>
              </w:rPr>
              <w:t>Valor</w:t>
            </w:r>
            <w:r>
              <w:rPr>
                <w:b/>
                <w:color w:val="FFFFFF"/>
                <w:spacing w:val="-4"/>
                <w:sz w:val="20"/>
              </w:rPr>
              <w:t> </w:t>
            </w:r>
            <w:r>
              <w:rPr>
                <w:b/>
                <w:color w:val="FFFFFF"/>
                <w:sz w:val="20"/>
              </w:rPr>
              <w:t>en</w:t>
            </w:r>
            <w:r>
              <w:rPr>
                <w:b/>
                <w:color w:val="FFFFFF"/>
                <w:spacing w:val="-1"/>
                <w:sz w:val="20"/>
              </w:rPr>
              <w:t> </w:t>
            </w:r>
            <w:r>
              <w:rPr>
                <w:b/>
                <w:color w:val="FFFFFF"/>
                <w:spacing w:val="-2"/>
                <w:sz w:val="20"/>
              </w:rPr>
              <w:t>libros</w:t>
            </w:r>
          </w:p>
        </w:tc>
      </w:tr>
      <w:tr>
        <w:trPr>
          <w:trHeight w:val="297" w:hRule="atLeast"/>
        </w:trPr>
        <w:tc>
          <w:tcPr>
            <w:tcW w:w="5402" w:type="dxa"/>
          </w:tcPr>
          <w:p>
            <w:pPr>
              <w:pStyle w:val="TableParagraph"/>
              <w:spacing w:before="33"/>
              <w:ind w:left="67"/>
              <w:rPr>
                <w:sz w:val="20"/>
              </w:rPr>
            </w:pPr>
            <w:r>
              <w:rPr>
                <w:sz w:val="20"/>
              </w:rPr>
              <w:t>Otros</w:t>
            </w:r>
            <w:r>
              <w:rPr>
                <w:spacing w:val="-9"/>
                <w:sz w:val="20"/>
              </w:rPr>
              <w:t> </w:t>
            </w:r>
            <w:r>
              <w:rPr>
                <w:sz w:val="20"/>
              </w:rPr>
              <w:t>bienes</w:t>
            </w:r>
            <w:r>
              <w:rPr>
                <w:spacing w:val="-4"/>
                <w:sz w:val="20"/>
              </w:rPr>
              <w:t> </w:t>
            </w:r>
            <w:r>
              <w:rPr>
                <w:spacing w:val="-2"/>
                <w:sz w:val="20"/>
              </w:rPr>
              <w:t>intangibles</w:t>
            </w:r>
          </w:p>
        </w:tc>
        <w:tc>
          <w:tcPr>
            <w:tcW w:w="2622" w:type="dxa"/>
          </w:tcPr>
          <w:p>
            <w:pPr>
              <w:pStyle w:val="TableParagraph"/>
              <w:spacing w:before="33"/>
              <w:ind w:right="58"/>
              <w:jc w:val="right"/>
              <w:rPr>
                <w:sz w:val="20"/>
              </w:rPr>
            </w:pPr>
            <w:r>
              <w:rPr>
                <w:spacing w:val="-2"/>
                <w:sz w:val="20"/>
              </w:rPr>
              <w:t>674.091,9</w:t>
            </w:r>
          </w:p>
        </w:tc>
      </w:tr>
      <w:tr>
        <w:trPr>
          <w:trHeight w:val="302" w:hRule="atLeast"/>
        </w:trPr>
        <w:tc>
          <w:tcPr>
            <w:tcW w:w="5402" w:type="dxa"/>
          </w:tcPr>
          <w:p>
            <w:pPr>
              <w:pStyle w:val="TableParagraph"/>
              <w:spacing w:line="211" w:lineRule="exact" w:before="71"/>
              <w:ind w:right="61"/>
              <w:jc w:val="right"/>
              <w:rPr>
                <w:b/>
                <w:i/>
                <w:sz w:val="20"/>
              </w:rPr>
            </w:pPr>
            <w:r>
              <w:rPr>
                <w:b/>
                <w:i/>
                <w:sz w:val="20"/>
              </w:rPr>
              <w:t>Total,</w:t>
            </w:r>
            <w:r>
              <w:rPr>
                <w:b/>
                <w:i/>
                <w:spacing w:val="-5"/>
                <w:sz w:val="20"/>
              </w:rPr>
              <w:t> </w:t>
            </w:r>
            <w:r>
              <w:rPr>
                <w:b/>
                <w:i/>
                <w:sz w:val="20"/>
              </w:rPr>
              <w:t>Bienes</w:t>
            </w:r>
            <w:r>
              <w:rPr>
                <w:b/>
                <w:i/>
                <w:spacing w:val="-11"/>
                <w:sz w:val="20"/>
              </w:rPr>
              <w:t> </w:t>
            </w:r>
            <w:r>
              <w:rPr>
                <w:b/>
                <w:i/>
                <w:spacing w:val="-2"/>
                <w:sz w:val="20"/>
              </w:rPr>
              <w:t>intangibles</w:t>
            </w:r>
          </w:p>
        </w:tc>
        <w:tc>
          <w:tcPr>
            <w:tcW w:w="2622" w:type="dxa"/>
          </w:tcPr>
          <w:p>
            <w:pPr>
              <w:pStyle w:val="TableParagraph"/>
              <w:spacing w:line="211" w:lineRule="exact" w:before="71"/>
              <w:ind w:right="63"/>
              <w:jc w:val="right"/>
              <w:rPr>
                <w:b/>
                <w:i/>
                <w:sz w:val="20"/>
              </w:rPr>
            </w:pPr>
            <w:r>
              <w:rPr>
                <w:b/>
                <w:i/>
                <w:spacing w:val="-2"/>
                <w:sz w:val="20"/>
              </w:rPr>
              <w:t>440.602.501,97</w:t>
            </w:r>
          </w:p>
        </w:tc>
      </w:tr>
      <w:tr>
        <w:trPr>
          <w:trHeight w:val="302" w:hRule="atLeast"/>
        </w:trPr>
        <w:tc>
          <w:tcPr>
            <w:tcW w:w="5402" w:type="dxa"/>
          </w:tcPr>
          <w:p>
            <w:pPr>
              <w:pStyle w:val="TableParagraph"/>
              <w:spacing w:before="33"/>
              <w:ind w:left="67"/>
              <w:rPr>
                <w:sz w:val="20"/>
              </w:rPr>
            </w:pPr>
            <w:r>
              <w:rPr>
                <w:sz w:val="20"/>
              </w:rPr>
              <w:t>Construcciones</w:t>
            </w:r>
            <w:r>
              <w:rPr>
                <w:spacing w:val="-10"/>
                <w:sz w:val="20"/>
              </w:rPr>
              <w:t> </w:t>
            </w:r>
            <w:r>
              <w:rPr>
                <w:sz w:val="20"/>
              </w:rPr>
              <w:t>en</w:t>
            </w:r>
            <w:r>
              <w:rPr>
                <w:spacing w:val="-9"/>
                <w:sz w:val="20"/>
              </w:rPr>
              <w:t> </w:t>
            </w:r>
            <w:r>
              <w:rPr>
                <w:spacing w:val="-2"/>
                <w:sz w:val="20"/>
              </w:rPr>
              <w:t>proceso</w:t>
            </w:r>
          </w:p>
        </w:tc>
        <w:tc>
          <w:tcPr>
            <w:tcW w:w="2622" w:type="dxa"/>
          </w:tcPr>
          <w:p>
            <w:pPr>
              <w:pStyle w:val="TableParagraph"/>
              <w:spacing w:line="211" w:lineRule="exact" w:before="72"/>
              <w:ind w:right="63"/>
              <w:jc w:val="right"/>
              <w:rPr>
                <w:sz w:val="20"/>
              </w:rPr>
            </w:pPr>
            <w:r>
              <w:rPr>
                <w:spacing w:val="-2"/>
                <w:sz w:val="20"/>
              </w:rPr>
              <w:t>241.182.955,40</w:t>
            </w:r>
          </w:p>
        </w:tc>
      </w:tr>
      <w:tr>
        <w:trPr>
          <w:trHeight w:val="297" w:hRule="atLeast"/>
        </w:trPr>
        <w:tc>
          <w:tcPr>
            <w:tcW w:w="5402" w:type="dxa"/>
          </w:tcPr>
          <w:p>
            <w:pPr>
              <w:pStyle w:val="TableParagraph"/>
              <w:spacing w:before="33"/>
              <w:ind w:left="67"/>
              <w:rPr>
                <w:sz w:val="20"/>
              </w:rPr>
            </w:pPr>
            <w:r>
              <w:rPr>
                <w:sz w:val="20"/>
              </w:rPr>
              <w:t>Intangibles</w:t>
            </w:r>
            <w:r>
              <w:rPr>
                <w:spacing w:val="-8"/>
                <w:sz w:val="20"/>
              </w:rPr>
              <w:t> </w:t>
            </w:r>
            <w:r>
              <w:rPr>
                <w:sz w:val="20"/>
              </w:rPr>
              <w:t>en</w:t>
            </w:r>
            <w:r>
              <w:rPr>
                <w:spacing w:val="-7"/>
                <w:sz w:val="20"/>
              </w:rPr>
              <w:t> </w:t>
            </w:r>
            <w:r>
              <w:rPr>
                <w:spacing w:val="-2"/>
                <w:sz w:val="20"/>
              </w:rPr>
              <w:t>proceso</w:t>
            </w:r>
          </w:p>
        </w:tc>
        <w:tc>
          <w:tcPr>
            <w:tcW w:w="2622" w:type="dxa"/>
          </w:tcPr>
          <w:p>
            <w:pPr>
              <w:pStyle w:val="TableParagraph"/>
              <w:spacing w:line="211" w:lineRule="exact" w:before="66"/>
              <w:ind w:right="63"/>
              <w:jc w:val="right"/>
              <w:rPr>
                <w:sz w:val="20"/>
              </w:rPr>
            </w:pPr>
            <w:r>
              <w:rPr>
                <w:spacing w:val="-2"/>
                <w:sz w:val="20"/>
              </w:rPr>
              <w:t>864.896.586,56</w:t>
            </w:r>
          </w:p>
        </w:tc>
      </w:tr>
      <w:tr>
        <w:trPr>
          <w:trHeight w:val="302" w:hRule="atLeast"/>
        </w:trPr>
        <w:tc>
          <w:tcPr>
            <w:tcW w:w="5402" w:type="dxa"/>
          </w:tcPr>
          <w:p>
            <w:pPr>
              <w:pStyle w:val="TableParagraph"/>
              <w:spacing w:before="33"/>
              <w:ind w:right="59"/>
              <w:jc w:val="right"/>
              <w:rPr>
                <w:b/>
                <w:i/>
                <w:sz w:val="20"/>
              </w:rPr>
            </w:pPr>
            <w:r>
              <w:rPr>
                <w:b/>
                <w:i/>
                <w:sz w:val="20"/>
              </w:rPr>
              <w:t>Total,</w:t>
            </w:r>
            <w:r>
              <w:rPr>
                <w:b/>
                <w:i/>
                <w:spacing w:val="-5"/>
                <w:sz w:val="20"/>
              </w:rPr>
              <w:t> </w:t>
            </w:r>
            <w:r>
              <w:rPr>
                <w:b/>
                <w:i/>
                <w:sz w:val="20"/>
              </w:rPr>
              <w:t>activos</w:t>
            </w:r>
            <w:r>
              <w:rPr>
                <w:b/>
                <w:i/>
                <w:spacing w:val="-7"/>
                <w:sz w:val="20"/>
              </w:rPr>
              <w:t> </w:t>
            </w:r>
            <w:r>
              <w:rPr>
                <w:b/>
                <w:i/>
                <w:sz w:val="20"/>
              </w:rPr>
              <w:t>en</w:t>
            </w:r>
            <w:r>
              <w:rPr>
                <w:b/>
                <w:i/>
                <w:spacing w:val="-8"/>
                <w:sz w:val="20"/>
              </w:rPr>
              <w:t> </w:t>
            </w:r>
            <w:r>
              <w:rPr>
                <w:b/>
                <w:i/>
                <w:spacing w:val="-2"/>
                <w:sz w:val="20"/>
              </w:rPr>
              <w:t>proceso</w:t>
            </w:r>
          </w:p>
        </w:tc>
        <w:tc>
          <w:tcPr>
            <w:tcW w:w="2622" w:type="dxa"/>
          </w:tcPr>
          <w:p>
            <w:pPr>
              <w:pStyle w:val="TableParagraph"/>
              <w:spacing w:line="211" w:lineRule="exact" w:before="71"/>
              <w:ind w:right="59"/>
              <w:jc w:val="right"/>
              <w:rPr>
                <w:b/>
                <w:i/>
                <w:sz w:val="20"/>
              </w:rPr>
            </w:pPr>
            <w:r>
              <w:rPr>
                <w:b/>
                <w:i/>
                <w:spacing w:val="-2"/>
                <w:sz w:val="20"/>
              </w:rPr>
              <w:t>1.106.079.541,96</w:t>
            </w:r>
          </w:p>
        </w:tc>
      </w:tr>
      <w:tr>
        <w:trPr>
          <w:trHeight w:val="297" w:hRule="atLeast"/>
        </w:trPr>
        <w:tc>
          <w:tcPr>
            <w:tcW w:w="5402" w:type="dxa"/>
            <w:shd w:val="clear" w:color="auto" w:fill="1F3863"/>
          </w:tcPr>
          <w:p>
            <w:pPr>
              <w:pStyle w:val="TableParagraph"/>
              <w:spacing w:before="33"/>
              <w:ind w:right="54"/>
              <w:jc w:val="right"/>
              <w:rPr>
                <w:sz w:val="20"/>
              </w:rPr>
            </w:pPr>
            <w:r>
              <w:rPr>
                <w:color w:val="FFFFFF"/>
                <w:spacing w:val="-4"/>
                <w:sz w:val="20"/>
              </w:rPr>
              <w:t>TOTAL</w:t>
            </w:r>
          </w:p>
        </w:tc>
        <w:tc>
          <w:tcPr>
            <w:tcW w:w="2622" w:type="dxa"/>
            <w:shd w:val="clear" w:color="auto" w:fill="1F3863"/>
          </w:tcPr>
          <w:p>
            <w:pPr>
              <w:pStyle w:val="TableParagraph"/>
              <w:spacing w:line="211" w:lineRule="exact" w:before="66"/>
              <w:ind w:right="63"/>
              <w:jc w:val="right"/>
              <w:rPr>
                <w:sz w:val="20"/>
              </w:rPr>
            </w:pPr>
            <w:r>
              <w:rPr>
                <w:color w:val="FFFFFF"/>
                <w:spacing w:val="-2"/>
                <w:sz w:val="20"/>
              </w:rPr>
              <w:t>140.002.496.667,27</w:t>
            </w:r>
          </w:p>
        </w:tc>
      </w:tr>
    </w:tbl>
    <w:p>
      <w:pPr>
        <w:pStyle w:val="BodyText"/>
        <w:spacing w:before="15"/>
        <w:rPr>
          <w:b/>
          <w:sz w:val="18"/>
        </w:rPr>
      </w:pPr>
    </w:p>
    <w:p>
      <w:pPr>
        <w:spacing w:before="0"/>
        <w:ind w:left="979" w:right="0" w:firstLine="0"/>
        <w:jc w:val="both"/>
        <w:rPr>
          <w:b/>
          <w:sz w:val="18"/>
        </w:rPr>
      </w:pPr>
      <w:r>
        <w:rPr>
          <w:b/>
          <w:sz w:val="18"/>
        </w:rPr>
        <w:t>Fuente:</w:t>
      </w:r>
      <w:r>
        <w:rPr>
          <w:b/>
          <w:spacing w:val="-6"/>
          <w:sz w:val="18"/>
        </w:rPr>
        <w:t> </w:t>
      </w:r>
      <w:r>
        <w:rPr>
          <w:b/>
          <w:sz w:val="18"/>
        </w:rPr>
        <w:t>Elaborado</w:t>
      </w:r>
      <w:r>
        <w:rPr>
          <w:b/>
          <w:spacing w:val="-10"/>
          <w:sz w:val="18"/>
        </w:rPr>
        <w:t> </w:t>
      </w:r>
      <w:r>
        <w:rPr>
          <w:b/>
          <w:sz w:val="18"/>
        </w:rPr>
        <w:t>por</w:t>
      </w:r>
      <w:r>
        <w:rPr>
          <w:b/>
          <w:spacing w:val="-8"/>
          <w:sz w:val="18"/>
        </w:rPr>
        <w:t> </w:t>
      </w:r>
      <w:r>
        <w:rPr>
          <w:b/>
          <w:sz w:val="18"/>
        </w:rPr>
        <w:t>Unidad</w:t>
      </w:r>
      <w:r>
        <w:rPr>
          <w:b/>
          <w:spacing w:val="-5"/>
          <w:sz w:val="18"/>
        </w:rPr>
        <w:t> </w:t>
      </w:r>
      <w:r>
        <w:rPr>
          <w:b/>
          <w:sz w:val="18"/>
        </w:rPr>
        <w:t>de</w:t>
      </w:r>
      <w:r>
        <w:rPr>
          <w:b/>
          <w:spacing w:val="-9"/>
          <w:sz w:val="18"/>
        </w:rPr>
        <w:t> </w:t>
      </w:r>
      <w:r>
        <w:rPr>
          <w:b/>
          <w:sz w:val="18"/>
        </w:rPr>
        <w:t>Contabilidad.</w:t>
      </w:r>
      <w:r>
        <w:rPr>
          <w:b/>
          <w:spacing w:val="1"/>
          <w:sz w:val="18"/>
        </w:rPr>
        <w:t> </w:t>
      </w:r>
      <w:r>
        <w:rPr>
          <w:b/>
          <w:sz w:val="18"/>
        </w:rPr>
        <w:t>DAF.</w:t>
      </w:r>
      <w:r>
        <w:rPr>
          <w:b/>
          <w:spacing w:val="-7"/>
          <w:sz w:val="18"/>
        </w:rPr>
        <w:t> </w:t>
      </w:r>
      <w:r>
        <w:rPr>
          <w:b/>
          <w:sz w:val="18"/>
        </w:rPr>
        <w:t>IMAS.</w:t>
      </w:r>
      <w:r>
        <w:rPr>
          <w:b/>
          <w:spacing w:val="-2"/>
          <w:sz w:val="18"/>
        </w:rPr>
        <w:t> </w:t>
      </w:r>
      <w:r>
        <w:rPr>
          <w:b/>
          <w:spacing w:val="-4"/>
          <w:sz w:val="18"/>
        </w:rPr>
        <w:t>2025</w:t>
      </w:r>
    </w:p>
    <w:p>
      <w:pPr>
        <w:pStyle w:val="BodyText"/>
        <w:spacing w:before="6"/>
        <w:rPr>
          <w:b/>
          <w:sz w:val="18"/>
        </w:rPr>
      </w:pPr>
    </w:p>
    <w:p>
      <w:pPr>
        <w:pStyle w:val="Heading1"/>
        <w:numPr>
          <w:ilvl w:val="2"/>
          <w:numId w:val="5"/>
        </w:numPr>
        <w:tabs>
          <w:tab w:pos="1581" w:val="left" w:leader="none"/>
        </w:tabs>
        <w:spacing w:line="240" w:lineRule="auto" w:before="0" w:after="0"/>
        <w:ind w:left="1581" w:right="0" w:hanging="602"/>
        <w:jc w:val="left"/>
      </w:pPr>
      <w:r>
        <w:rPr/>
        <w:t>Recursos</w:t>
      </w:r>
      <w:r>
        <w:rPr>
          <w:spacing w:val="-8"/>
        </w:rPr>
        <w:t> </w:t>
      </w:r>
      <w:r>
        <w:rPr>
          <w:spacing w:val="-2"/>
        </w:rPr>
        <w:t>Financieros</w:t>
      </w:r>
    </w:p>
    <w:p>
      <w:pPr>
        <w:pStyle w:val="BodyText"/>
        <w:spacing w:before="271"/>
        <w:ind w:left="979" w:right="1347"/>
        <w:jc w:val="both"/>
      </w:pPr>
      <w:r>
        <w:rPr/>
        <w:t>Como</w:t>
      </w:r>
      <w:r>
        <w:rPr>
          <w:spacing w:val="-5"/>
        </w:rPr>
        <w:t> </w:t>
      </w:r>
      <w:r>
        <w:rPr/>
        <w:t>es</w:t>
      </w:r>
      <w:r>
        <w:rPr>
          <w:spacing w:val="-6"/>
        </w:rPr>
        <w:t> </w:t>
      </w:r>
      <w:r>
        <w:rPr/>
        <w:t>de</w:t>
      </w:r>
      <w:r>
        <w:rPr>
          <w:spacing w:val="-5"/>
        </w:rPr>
        <w:t> </w:t>
      </w:r>
      <w:r>
        <w:rPr/>
        <w:t>conocimiento</w:t>
      </w:r>
      <w:r>
        <w:rPr>
          <w:spacing w:val="-5"/>
        </w:rPr>
        <w:t> </w:t>
      </w:r>
      <w:r>
        <w:rPr/>
        <w:t>institucional,</w:t>
      </w:r>
      <w:r>
        <w:rPr>
          <w:spacing w:val="-6"/>
        </w:rPr>
        <w:t> </w:t>
      </w:r>
      <w:r>
        <w:rPr/>
        <w:t>los</w:t>
      </w:r>
      <w:r>
        <w:rPr>
          <w:spacing w:val="-6"/>
        </w:rPr>
        <w:t> </w:t>
      </w:r>
      <w:r>
        <w:rPr/>
        <w:t>ingresos</w:t>
      </w:r>
      <w:r>
        <w:rPr>
          <w:spacing w:val="-6"/>
        </w:rPr>
        <w:t> </w:t>
      </w:r>
      <w:r>
        <w:rPr/>
        <w:t>que</w:t>
      </w:r>
      <w:r>
        <w:rPr>
          <w:spacing w:val="-5"/>
        </w:rPr>
        <w:t> </w:t>
      </w:r>
      <w:r>
        <w:rPr/>
        <w:t>obtiene</w:t>
      </w:r>
      <w:r>
        <w:rPr>
          <w:spacing w:val="-5"/>
        </w:rPr>
        <w:t> </w:t>
      </w:r>
      <w:r>
        <w:rPr/>
        <w:t>el</w:t>
      </w:r>
      <w:r>
        <w:rPr>
          <w:spacing w:val="-7"/>
        </w:rPr>
        <w:t> </w:t>
      </w:r>
      <w:r>
        <w:rPr/>
        <w:t>IMAS</w:t>
      </w:r>
      <w:r>
        <w:rPr>
          <w:spacing w:val="-6"/>
        </w:rPr>
        <w:t> </w:t>
      </w:r>
      <w:r>
        <w:rPr/>
        <w:t>se</w:t>
      </w:r>
      <w:r>
        <w:rPr>
          <w:spacing w:val="-5"/>
        </w:rPr>
        <w:t> </w:t>
      </w:r>
      <w:r>
        <w:rPr/>
        <w:t>dividen</w:t>
      </w:r>
      <w:r>
        <w:rPr>
          <w:spacing w:val="-5"/>
        </w:rPr>
        <w:t> </w:t>
      </w:r>
      <w:r>
        <w:rPr/>
        <w:t>en</w:t>
      </w:r>
      <w:r>
        <w:rPr>
          <w:spacing w:val="-9"/>
        </w:rPr>
        <w:t> </w:t>
      </w:r>
      <w:r>
        <w:rPr/>
        <w:t>dos grandes grupos:</w:t>
      </w:r>
    </w:p>
    <w:p>
      <w:pPr>
        <w:pStyle w:val="BodyText"/>
        <w:spacing w:before="6"/>
      </w:pPr>
    </w:p>
    <w:p>
      <w:pPr>
        <w:pStyle w:val="ListParagraph"/>
        <w:numPr>
          <w:ilvl w:val="3"/>
          <w:numId w:val="5"/>
        </w:numPr>
        <w:tabs>
          <w:tab w:pos="1700" w:val="left" w:leader="none"/>
        </w:tabs>
        <w:spacing w:line="237" w:lineRule="auto" w:before="0" w:after="0"/>
        <w:ind w:left="1700" w:right="1346" w:hanging="360"/>
        <w:jc w:val="both"/>
        <w:rPr>
          <w:sz w:val="22"/>
        </w:rPr>
      </w:pPr>
      <w:r>
        <w:rPr>
          <w:sz w:val="22"/>
        </w:rPr>
        <w:t>Recursos</w:t>
      </w:r>
      <w:r>
        <w:rPr>
          <w:spacing w:val="-16"/>
          <w:sz w:val="22"/>
        </w:rPr>
        <w:t> </w:t>
      </w:r>
      <w:r>
        <w:rPr>
          <w:sz w:val="22"/>
        </w:rPr>
        <w:t>Propios</w:t>
      </w:r>
      <w:r>
        <w:rPr>
          <w:spacing w:val="-15"/>
          <w:sz w:val="22"/>
        </w:rPr>
        <w:t> </w:t>
      </w:r>
      <w:r>
        <w:rPr>
          <w:sz w:val="22"/>
        </w:rPr>
        <w:t>o</w:t>
      </w:r>
      <w:r>
        <w:rPr>
          <w:spacing w:val="-11"/>
          <w:sz w:val="22"/>
        </w:rPr>
        <w:t> </w:t>
      </w:r>
      <w:r>
        <w:rPr>
          <w:sz w:val="22"/>
        </w:rPr>
        <w:t>Libres,</w:t>
      </w:r>
      <w:r>
        <w:rPr>
          <w:spacing w:val="-15"/>
          <w:sz w:val="22"/>
        </w:rPr>
        <w:t> </w:t>
      </w:r>
      <w:r>
        <w:rPr>
          <w:sz w:val="22"/>
        </w:rPr>
        <w:t>que</w:t>
      </w:r>
      <w:r>
        <w:rPr>
          <w:spacing w:val="-10"/>
          <w:sz w:val="22"/>
        </w:rPr>
        <w:t> </w:t>
      </w:r>
      <w:r>
        <w:rPr>
          <w:sz w:val="22"/>
        </w:rPr>
        <w:t>son</w:t>
      </w:r>
      <w:r>
        <w:rPr>
          <w:spacing w:val="-10"/>
          <w:sz w:val="22"/>
        </w:rPr>
        <w:t> </w:t>
      </w:r>
      <w:r>
        <w:rPr>
          <w:sz w:val="22"/>
        </w:rPr>
        <w:t>los</w:t>
      </w:r>
      <w:r>
        <w:rPr>
          <w:spacing w:val="-12"/>
          <w:sz w:val="22"/>
        </w:rPr>
        <w:t> </w:t>
      </w:r>
      <w:r>
        <w:rPr>
          <w:sz w:val="22"/>
        </w:rPr>
        <w:t>provenientes</w:t>
      </w:r>
      <w:r>
        <w:rPr>
          <w:spacing w:val="-12"/>
          <w:sz w:val="22"/>
        </w:rPr>
        <w:t> </w:t>
      </w:r>
      <w:r>
        <w:rPr>
          <w:sz w:val="22"/>
        </w:rPr>
        <w:t>de</w:t>
      </w:r>
      <w:r>
        <w:rPr>
          <w:spacing w:val="-10"/>
          <w:sz w:val="22"/>
        </w:rPr>
        <w:t> </w:t>
      </w:r>
      <w:r>
        <w:rPr>
          <w:sz w:val="22"/>
        </w:rPr>
        <w:t>la</w:t>
      </w:r>
      <w:r>
        <w:rPr>
          <w:spacing w:val="-14"/>
          <w:sz w:val="22"/>
        </w:rPr>
        <w:t> </w:t>
      </w:r>
      <w:r>
        <w:rPr>
          <w:sz w:val="22"/>
        </w:rPr>
        <w:t>Ley</w:t>
      </w:r>
      <w:r>
        <w:rPr>
          <w:spacing w:val="-16"/>
          <w:sz w:val="22"/>
        </w:rPr>
        <w:t> </w:t>
      </w:r>
      <w:r>
        <w:rPr>
          <w:sz w:val="22"/>
        </w:rPr>
        <w:t>de</w:t>
      </w:r>
      <w:r>
        <w:rPr>
          <w:spacing w:val="-9"/>
          <w:sz w:val="22"/>
        </w:rPr>
        <w:t> </w:t>
      </w:r>
      <w:r>
        <w:rPr>
          <w:sz w:val="22"/>
        </w:rPr>
        <w:t>Creación</w:t>
      </w:r>
      <w:r>
        <w:rPr>
          <w:spacing w:val="-14"/>
          <w:sz w:val="22"/>
        </w:rPr>
        <w:t> </w:t>
      </w:r>
      <w:r>
        <w:rPr>
          <w:sz w:val="22"/>
        </w:rPr>
        <w:t>y</w:t>
      </w:r>
      <w:r>
        <w:rPr>
          <w:spacing w:val="-12"/>
          <w:sz w:val="22"/>
        </w:rPr>
        <w:t> </w:t>
      </w:r>
      <w:r>
        <w:rPr>
          <w:sz w:val="22"/>
        </w:rPr>
        <w:t>demás leyes conexas.</w:t>
      </w:r>
    </w:p>
    <w:p>
      <w:pPr>
        <w:pStyle w:val="ListParagraph"/>
        <w:numPr>
          <w:ilvl w:val="3"/>
          <w:numId w:val="5"/>
        </w:numPr>
        <w:tabs>
          <w:tab w:pos="1700" w:val="left" w:leader="none"/>
        </w:tabs>
        <w:spacing w:line="240" w:lineRule="auto" w:before="2" w:after="0"/>
        <w:ind w:left="1700" w:right="1348" w:hanging="360"/>
        <w:jc w:val="both"/>
        <w:rPr>
          <w:sz w:val="22"/>
        </w:rPr>
      </w:pPr>
      <w:r>
        <w:rPr>
          <w:sz w:val="22"/>
        </w:rPr>
        <w:t>Los Recursos Específicos, que están conformados por las demás fuentes de financiamiento,</w:t>
      </w:r>
      <w:r>
        <w:rPr>
          <w:spacing w:val="-7"/>
          <w:sz w:val="22"/>
        </w:rPr>
        <w:t> </w:t>
      </w:r>
      <w:r>
        <w:rPr>
          <w:sz w:val="22"/>
        </w:rPr>
        <w:t>o</w:t>
      </w:r>
      <w:r>
        <w:rPr>
          <w:spacing w:val="-6"/>
          <w:sz w:val="22"/>
        </w:rPr>
        <w:t> </w:t>
      </w:r>
      <w:r>
        <w:rPr>
          <w:sz w:val="22"/>
        </w:rPr>
        <w:t>sea,</w:t>
      </w:r>
      <w:r>
        <w:rPr>
          <w:spacing w:val="-7"/>
          <w:sz w:val="22"/>
        </w:rPr>
        <w:t> </w:t>
      </w:r>
      <w:r>
        <w:rPr>
          <w:sz w:val="22"/>
        </w:rPr>
        <w:t>son</w:t>
      </w:r>
      <w:r>
        <w:rPr>
          <w:spacing w:val="-6"/>
          <w:sz w:val="22"/>
        </w:rPr>
        <w:t> </w:t>
      </w:r>
      <w:r>
        <w:rPr>
          <w:sz w:val="22"/>
        </w:rPr>
        <w:t>los</w:t>
      </w:r>
      <w:r>
        <w:rPr>
          <w:spacing w:val="-8"/>
          <w:sz w:val="22"/>
        </w:rPr>
        <w:t> </w:t>
      </w:r>
      <w:r>
        <w:rPr>
          <w:sz w:val="22"/>
        </w:rPr>
        <w:t>recursos</w:t>
      </w:r>
      <w:r>
        <w:rPr>
          <w:spacing w:val="-8"/>
          <w:sz w:val="22"/>
        </w:rPr>
        <w:t> </w:t>
      </w:r>
      <w:r>
        <w:rPr>
          <w:sz w:val="22"/>
        </w:rPr>
        <w:t>que</w:t>
      </w:r>
      <w:r>
        <w:rPr>
          <w:spacing w:val="-6"/>
          <w:sz w:val="22"/>
        </w:rPr>
        <w:t> </w:t>
      </w:r>
      <w:r>
        <w:rPr>
          <w:sz w:val="22"/>
        </w:rPr>
        <w:t>se</w:t>
      </w:r>
      <w:r>
        <w:rPr>
          <w:spacing w:val="-6"/>
          <w:sz w:val="22"/>
        </w:rPr>
        <w:t> </w:t>
      </w:r>
      <w:r>
        <w:rPr>
          <w:sz w:val="22"/>
        </w:rPr>
        <w:t>destinan</w:t>
      </w:r>
      <w:r>
        <w:rPr>
          <w:spacing w:val="-6"/>
          <w:sz w:val="22"/>
        </w:rPr>
        <w:t> </w:t>
      </w:r>
      <w:r>
        <w:rPr>
          <w:sz w:val="22"/>
        </w:rPr>
        <w:t>íntegramente</w:t>
      </w:r>
      <w:r>
        <w:rPr>
          <w:spacing w:val="-11"/>
          <w:sz w:val="22"/>
        </w:rPr>
        <w:t> </w:t>
      </w:r>
      <w:r>
        <w:rPr>
          <w:sz w:val="22"/>
        </w:rPr>
        <w:t>a</w:t>
      </w:r>
      <w:r>
        <w:rPr>
          <w:spacing w:val="-2"/>
          <w:sz w:val="22"/>
        </w:rPr>
        <w:t> </w:t>
      </w:r>
      <w:r>
        <w:rPr>
          <w:sz w:val="22"/>
        </w:rPr>
        <w:t>la</w:t>
      </w:r>
      <w:r>
        <w:rPr>
          <w:spacing w:val="-6"/>
          <w:sz w:val="22"/>
        </w:rPr>
        <w:t> </w:t>
      </w:r>
      <w:r>
        <w:rPr>
          <w:sz w:val="22"/>
        </w:rPr>
        <w:t>Inversión Social conforme se ha definido en su especificidad, y según estructura presupuestaria utilizada al interno de la institución.</w:t>
      </w:r>
    </w:p>
    <w:p>
      <w:pPr>
        <w:pStyle w:val="BodyText"/>
        <w:spacing w:before="250"/>
        <w:ind w:left="979"/>
        <w:jc w:val="both"/>
      </w:pPr>
      <w:r>
        <w:rPr/>
        <w:t>Los</w:t>
      </w:r>
      <w:r>
        <w:rPr>
          <w:spacing w:val="30"/>
        </w:rPr>
        <w:t> </w:t>
      </w:r>
      <w:r>
        <w:rPr/>
        <w:t>ingresos</w:t>
      </w:r>
      <w:r>
        <w:rPr>
          <w:spacing w:val="30"/>
        </w:rPr>
        <w:t> </w:t>
      </w:r>
      <w:r>
        <w:rPr/>
        <w:t>obtenidos</w:t>
      </w:r>
      <w:r>
        <w:rPr>
          <w:spacing w:val="30"/>
        </w:rPr>
        <w:t> </w:t>
      </w:r>
      <w:r>
        <w:rPr/>
        <w:t>por</w:t>
      </w:r>
      <w:r>
        <w:rPr>
          <w:spacing w:val="29"/>
        </w:rPr>
        <w:t> </w:t>
      </w:r>
      <w:r>
        <w:rPr/>
        <w:t>la</w:t>
      </w:r>
      <w:r>
        <w:rPr>
          <w:spacing w:val="32"/>
        </w:rPr>
        <w:t> </w:t>
      </w:r>
      <w:r>
        <w:rPr/>
        <w:t>Institución</w:t>
      </w:r>
      <w:r>
        <w:rPr>
          <w:spacing w:val="27"/>
        </w:rPr>
        <w:t> </w:t>
      </w:r>
      <w:r>
        <w:rPr/>
        <w:t>durante</w:t>
      </w:r>
      <w:r>
        <w:rPr>
          <w:spacing w:val="32"/>
        </w:rPr>
        <w:t> </w:t>
      </w:r>
      <w:r>
        <w:rPr/>
        <w:t>el</w:t>
      </w:r>
      <w:r>
        <w:rPr>
          <w:spacing w:val="29"/>
        </w:rPr>
        <w:t> </w:t>
      </w:r>
      <w:r>
        <w:rPr/>
        <w:t>año</w:t>
      </w:r>
      <w:r>
        <w:rPr>
          <w:spacing w:val="33"/>
        </w:rPr>
        <w:t> </w:t>
      </w:r>
      <w:r>
        <w:rPr/>
        <w:t>2024</w:t>
      </w:r>
      <w:r>
        <w:rPr>
          <w:spacing w:val="32"/>
        </w:rPr>
        <w:t> </w:t>
      </w:r>
      <w:r>
        <w:rPr/>
        <w:t>ascienden</w:t>
      </w:r>
      <w:r>
        <w:rPr>
          <w:spacing w:val="27"/>
        </w:rPr>
        <w:t> </w:t>
      </w:r>
      <w:r>
        <w:rPr/>
        <w:t>a</w:t>
      </w:r>
      <w:r>
        <w:rPr>
          <w:spacing w:val="37"/>
        </w:rPr>
        <w:t> </w:t>
      </w:r>
      <w:r>
        <w:rPr/>
        <w:t>la</w:t>
      </w:r>
      <w:r>
        <w:rPr>
          <w:spacing w:val="36"/>
        </w:rPr>
        <w:t> </w:t>
      </w:r>
      <w:r>
        <w:rPr/>
        <w:t>suma</w:t>
      </w:r>
      <w:r>
        <w:rPr>
          <w:spacing w:val="33"/>
        </w:rPr>
        <w:t> </w:t>
      </w:r>
      <w:r>
        <w:rPr>
          <w:spacing w:val="-5"/>
        </w:rPr>
        <w:t>de</w:t>
      </w:r>
    </w:p>
    <w:p>
      <w:pPr>
        <w:pStyle w:val="BodyText"/>
        <w:spacing w:before="2"/>
        <w:ind w:left="979" w:right="1349"/>
        <w:jc w:val="both"/>
      </w:pPr>
      <w:r>
        <w:rPr>
          <w:b/>
        </w:rPr>
        <w:t>¢302.019.226.500,00 </w:t>
      </w:r>
      <w:r>
        <w:rPr/>
        <w:t>(trescientos dos mil diecinueve millones doscientos veinte seis mil quinientos colones exactos), estos recursos se distribuyeron por fuente de financiamiento según se muestra en el siguiente gráfico:</w:t>
      </w:r>
    </w:p>
    <w:p>
      <w:pPr>
        <w:pStyle w:val="BodyText"/>
        <w:spacing w:before="1"/>
      </w:pPr>
    </w:p>
    <w:p>
      <w:pPr>
        <w:pStyle w:val="Heading2"/>
        <w:ind w:left="2180" w:right="2624" w:firstLine="787"/>
      </w:pPr>
      <w:bookmarkStart w:name="_bookmark13" w:id="14"/>
      <w:bookmarkEnd w:id="14"/>
      <w:r>
        <w:rPr>
          <w:b w:val="0"/>
        </w:rPr>
      </w:r>
      <w:r>
        <w:rPr/>
        <w:t>Gráfico 1: Distribución % de los ingresos reales Según</w:t>
      </w:r>
      <w:r>
        <w:rPr>
          <w:spacing w:val="-4"/>
        </w:rPr>
        <w:t> </w:t>
      </w:r>
      <w:r>
        <w:rPr/>
        <w:t>fuente</w:t>
      </w:r>
      <w:r>
        <w:rPr>
          <w:spacing w:val="-3"/>
        </w:rPr>
        <w:t> </w:t>
      </w:r>
      <w:r>
        <w:rPr/>
        <w:t>de</w:t>
      </w:r>
      <w:r>
        <w:rPr>
          <w:spacing w:val="-3"/>
        </w:rPr>
        <w:t> </w:t>
      </w:r>
      <w:r>
        <w:rPr/>
        <w:t>financiamiento</w:t>
      </w:r>
      <w:r>
        <w:rPr>
          <w:spacing w:val="-2"/>
        </w:rPr>
        <w:t> </w:t>
      </w:r>
      <w:r>
        <w:rPr/>
        <w:t>al</w:t>
      </w:r>
      <w:r>
        <w:rPr>
          <w:spacing w:val="-8"/>
        </w:rPr>
        <w:t> </w:t>
      </w:r>
      <w:r>
        <w:rPr/>
        <w:t>31</w:t>
      </w:r>
      <w:r>
        <w:rPr>
          <w:spacing w:val="-3"/>
        </w:rPr>
        <w:t> </w:t>
      </w:r>
      <w:r>
        <w:rPr/>
        <w:t>de</w:t>
      </w:r>
      <w:r>
        <w:rPr>
          <w:spacing w:val="-3"/>
        </w:rPr>
        <w:t> </w:t>
      </w:r>
      <w:r>
        <w:rPr/>
        <w:t>diciembre</w:t>
      </w:r>
      <w:r>
        <w:rPr>
          <w:spacing w:val="-7"/>
        </w:rPr>
        <w:t> </w:t>
      </w:r>
      <w:r>
        <w:rPr/>
        <w:t>2024</w:t>
      </w:r>
    </w:p>
    <w:p>
      <w:pPr>
        <w:pStyle w:val="BodyText"/>
        <w:spacing w:before="1"/>
        <w:rPr>
          <w:b/>
          <w:sz w:val="19"/>
        </w:rPr>
      </w:pPr>
      <w:r>
        <w:rPr>
          <w:b/>
          <w:sz w:val="19"/>
        </w:rPr>
        <mc:AlternateContent>
          <mc:Choice Requires="wps">
            <w:drawing>
              <wp:anchor distT="0" distB="0" distL="0" distR="0" allowOverlap="1" layoutInCell="1" locked="0" behindDoc="1" simplePos="0" relativeHeight="487588864">
                <wp:simplePos x="0" y="0"/>
                <wp:positionH relativeFrom="page">
                  <wp:posOffset>1075372</wp:posOffset>
                </wp:positionH>
                <wp:positionV relativeFrom="paragraph">
                  <wp:posOffset>155307</wp:posOffset>
                </wp:positionV>
                <wp:extent cx="5621655" cy="2536825"/>
                <wp:effectExtent l="0" t="0" r="0" b="0"/>
                <wp:wrapTopAndBottom/>
                <wp:docPr id="14" name="Group 14"/>
                <wp:cNvGraphicFramePr>
                  <a:graphicFrameLocks/>
                </wp:cNvGraphicFramePr>
                <a:graphic>
                  <a:graphicData uri="http://schemas.microsoft.com/office/word/2010/wordprocessingGroup">
                    <wpg:wgp>
                      <wpg:cNvPr id="14" name="Group 14"/>
                      <wpg:cNvGrpSpPr/>
                      <wpg:grpSpPr>
                        <a:xfrm>
                          <a:off x="0" y="0"/>
                          <a:ext cx="5621655" cy="2536825"/>
                          <a:chExt cx="5621655" cy="2536825"/>
                        </a:xfrm>
                      </wpg:grpSpPr>
                      <wps:wsp>
                        <wps:cNvPr id="15" name="Graphic 15"/>
                        <wps:cNvSpPr/>
                        <wps:spPr>
                          <a:xfrm>
                            <a:off x="1735899" y="149796"/>
                            <a:ext cx="2934335" cy="2237740"/>
                          </a:xfrm>
                          <a:custGeom>
                            <a:avLst/>
                            <a:gdLst/>
                            <a:ahLst/>
                            <a:cxnLst/>
                            <a:rect l="l" t="t" r="r" b="b"/>
                            <a:pathLst>
                              <a:path w="2934335" h="2237740">
                                <a:moveTo>
                                  <a:pt x="3048" y="1545336"/>
                                </a:moveTo>
                                <a:lnTo>
                                  <a:pt x="0" y="1545336"/>
                                </a:lnTo>
                                <a:lnTo>
                                  <a:pt x="0" y="1658112"/>
                                </a:lnTo>
                                <a:lnTo>
                                  <a:pt x="3048" y="1658112"/>
                                </a:lnTo>
                                <a:lnTo>
                                  <a:pt x="3048" y="1545336"/>
                                </a:lnTo>
                                <a:close/>
                              </a:path>
                              <a:path w="2934335" h="2237740">
                                <a:moveTo>
                                  <a:pt x="3048" y="387096"/>
                                </a:moveTo>
                                <a:lnTo>
                                  <a:pt x="0" y="387096"/>
                                </a:lnTo>
                                <a:lnTo>
                                  <a:pt x="0" y="496824"/>
                                </a:lnTo>
                                <a:lnTo>
                                  <a:pt x="3048" y="496824"/>
                                </a:lnTo>
                                <a:lnTo>
                                  <a:pt x="3048" y="387096"/>
                                </a:lnTo>
                                <a:close/>
                              </a:path>
                              <a:path w="2934335" h="2237740">
                                <a:moveTo>
                                  <a:pt x="3048" y="195072"/>
                                </a:moveTo>
                                <a:lnTo>
                                  <a:pt x="0" y="195072"/>
                                </a:lnTo>
                                <a:lnTo>
                                  <a:pt x="0" y="304800"/>
                                </a:lnTo>
                                <a:lnTo>
                                  <a:pt x="3048" y="304800"/>
                                </a:lnTo>
                                <a:lnTo>
                                  <a:pt x="3048" y="195072"/>
                                </a:lnTo>
                                <a:close/>
                              </a:path>
                              <a:path w="2934335" h="2237740">
                                <a:moveTo>
                                  <a:pt x="93472" y="579120"/>
                                </a:moveTo>
                                <a:lnTo>
                                  <a:pt x="0" y="579120"/>
                                </a:lnTo>
                                <a:lnTo>
                                  <a:pt x="0" y="691896"/>
                                </a:lnTo>
                                <a:lnTo>
                                  <a:pt x="93472" y="691896"/>
                                </a:lnTo>
                                <a:lnTo>
                                  <a:pt x="93472" y="579120"/>
                                </a:lnTo>
                                <a:close/>
                              </a:path>
                              <a:path w="2934335" h="2237740">
                                <a:moveTo>
                                  <a:pt x="203200" y="966216"/>
                                </a:moveTo>
                                <a:lnTo>
                                  <a:pt x="0" y="966216"/>
                                </a:lnTo>
                                <a:lnTo>
                                  <a:pt x="0" y="1075944"/>
                                </a:lnTo>
                                <a:lnTo>
                                  <a:pt x="203200" y="1075944"/>
                                </a:lnTo>
                                <a:lnTo>
                                  <a:pt x="203200" y="966216"/>
                                </a:lnTo>
                                <a:close/>
                              </a:path>
                              <a:path w="2934335" h="2237740">
                                <a:moveTo>
                                  <a:pt x="416560" y="774192"/>
                                </a:moveTo>
                                <a:lnTo>
                                  <a:pt x="0" y="774192"/>
                                </a:lnTo>
                                <a:lnTo>
                                  <a:pt x="0" y="883920"/>
                                </a:lnTo>
                                <a:lnTo>
                                  <a:pt x="416560" y="883920"/>
                                </a:lnTo>
                                <a:lnTo>
                                  <a:pt x="416560" y="774192"/>
                                </a:lnTo>
                                <a:close/>
                              </a:path>
                              <a:path w="2934335" h="2237740">
                                <a:moveTo>
                                  <a:pt x="779272" y="0"/>
                                </a:moveTo>
                                <a:lnTo>
                                  <a:pt x="0" y="0"/>
                                </a:lnTo>
                                <a:lnTo>
                                  <a:pt x="0" y="112776"/>
                                </a:lnTo>
                                <a:lnTo>
                                  <a:pt x="779272" y="112776"/>
                                </a:lnTo>
                                <a:lnTo>
                                  <a:pt x="779272" y="0"/>
                                </a:lnTo>
                                <a:close/>
                              </a:path>
                              <a:path w="2934335" h="2237740">
                                <a:moveTo>
                                  <a:pt x="949960" y="1353312"/>
                                </a:moveTo>
                                <a:lnTo>
                                  <a:pt x="0" y="1353312"/>
                                </a:lnTo>
                                <a:lnTo>
                                  <a:pt x="0" y="1463040"/>
                                </a:lnTo>
                                <a:lnTo>
                                  <a:pt x="949960" y="1463040"/>
                                </a:lnTo>
                                <a:lnTo>
                                  <a:pt x="949960" y="1353312"/>
                                </a:lnTo>
                                <a:close/>
                              </a:path>
                              <a:path w="2934335" h="2237740">
                                <a:moveTo>
                                  <a:pt x="1017016" y="1740408"/>
                                </a:moveTo>
                                <a:lnTo>
                                  <a:pt x="0" y="1740408"/>
                                </a:lnTo>
                                <a:lnTo>
                                  <a:pt x="0" y="1850136"/>
                                </a:lnTo>
                                <a:lnTo>
                                  <a:pt x="1017016" y="1850136"/>
                                </a:lnTo>
                                <a:lnTo>
                                  <a:pt x="1017016" y="1740408"/>
                                </a:lnTo>
                                <a:close/>
                              </a:path>
                              <a:path w="2934335" h="2237740">
                                <a:moveTo>
                                  <a:pt x="1638808" y="1161288"/>
                                </a:moveTo>
                                <a:lnTo>
                                  <a:pt x="0" y="1161288"/>
                                </a:lnTo>
                                <a:lnTo>
                                  <a:pt x="0" y="1271016"/>
                                </a:lnTo>
                                <a:lnTo>
                                  <a:pt x="1638808" y="1271016"/>
                                </a:lnTo>
                                <a:lnTo>
                                  <a:pt x="1638808" y="1161288"/>
                                </a:lnTo>
                                <a:close/>
                              </a:path>
                              <a:path w="2934335" h="2237740">
                                <a:moveTo>
                                  <a:pt x="2288032" y="2124456"/>
                                </a:moveTo>
                                <a:lnTo>
                                  <a:pt x="0" y="2124456"/>
                                </a:lnTo>
                                <a:lnTo>
                                  <a:pt x="0" y="2237232"/>
                                </a:lnTo>
                                <a:lnTo>
                                  <a:pt x="2288032" y="2237232"/>
                                </a:lnTo>
                                <a:lnTo>
                                  <a:pt x="2288032" y="2124456"/>
                                </a:lnTo>
                                <a:close/>
                              </a:path>
                              <a:path w="2934335" h="2237740">
                                <a:moveTo>
                                  <a:pt x="2934208" y="1932432"/>
                                </a:moveTo>
                                <a:lnTo>
                                  <a:pt x="0" y="1932432"/>
                                </a:lnTo>
                                <a:lnTo>
                                  <a:pt x="0" y="2042160"/>
                                </a:lnTo>
                                <a:lnTo>
                                  <a:pt x="2934208" y="2042160"/>
                                </a:lnTo>
                                <a:lnTo>
                                  <a:pt x="2934208" y="1932432"/>
                                </a:lnTo>
                                <a:close/>
                              </a:path>
                            </a:pathLst>
                          </a:custGeom>
                          <a:solidFill>
                            <a:srgbClr val="2C7ECF"/>
                          </a:solidFill>
                        </wps:spPr>
                        <wps:bodyPr wrap="square" lIns="0" tIns="0" rIns="0" bIns="0" rtlCol="0">
                          <a:prstTxWarp prst="textNoShape">
                            <a:avLst/>
                          </a:prstTxWarp>
                          <a:noAutofit/>
                        </wps:bodyPr>
                      </wps:wsp>
                      <wps:wsp>
                        <wps:cNvPr id="16" name="Graphic 16"/>
                        <wps:cNvSpPr/>
                        <wps:spPr>
                          <a:xfrm>
                            <a:off x="1735899" y="149796"/>
                            <a:ext cx="2934335" cy="2237740"/>
                          </a:xfrm>
                          <a:custGeom>
                            <a:avLst/>
                            <a:gdLst/>
                            <a:ahLst/>
                            <a:cxnLst/>
                            <a:rect l="l" t="t" r="r" b="b"/>
                            <a:pathLst>
                              <a:path w="2934335" h="2237740">
                                <a:moveTo>
                                  <a:pt x="2288031" y="2237231"/>
                                </a:moveTo>
                                <a:lnTo>
                                  <a:pt x="0" y="2237231"/>
                                </a:lnTo>
                                <a:lnTo>
                                  <a:pt x="0" y="2124455"/>
                                </a:lnTo>
                                <a:lnTo>
                                  <a:pt x="2288031" y="2124455"/>
                                </a:lnTo>
                                <a:lnTo>
                                  <a:pt x="2288031" y="2237231"/>
                                </a:lnTo>
                                <a:close/>
                              </a:path>
                              <a:path w="2934335" h="2237740">
                                <a:moveTo>
                                  <a:pt x="2934207" y="2042159"/>
                                </a:moveTo>
                                <a:lnTo>
                                  <a:pt x="0" y="2042159"/>
                                </a:lnTo>
                                <a:lnTo>
                                  <a:pt x="0" y="1932431"/>
                                </a:lnTo>
                                <a:lnTo>
                                  <a:pt x="2934207" y="1932431"/>
                                </a:lnTo>
                                <a:lnTo>
                                  <a:pt x="2934207" y="2042159"/>
                                </a:lnTo>
                                <a:close/>
                              </a:path>
                              <a:path w="2934335" h="2237740">
                                <a:moveTo>
                                  <a:pt x="1017015" y="1850135"/>
                                </a:moveTo>
                                <a:lnTo>
                                  <a:pt x="0" y="1850135"/>
                                </a:lnTo>
                                <a:lnTo>
                                  <a:pt x="0" y="1740407"/>
                                </a:lnTo>
                                <a:lnTo>
                                  <a:pt x="1017015" y="1740407"/>
                                </a:lnTo>
                                <a:lnTo>
                                  <a:pt x="1017015" y="1850135"/>
                                </a:lnTo>
                                <a:close/>
                              </a:path>
                              <a:path w="2934335" h="2237740">
                                <a:moveTo>
                                  <a:pt x="0" y="1658111"/>
                                </a:moveTo>
                                <a:lnTo>
                                  <a:pt x="3047" y="1658111"/>
                                </a:lnTo>
                                <a:lnTo>
                                  <a:pt x="3047" y="1545335"/>
                                </a:lnTo>
                                <a:lnTo>
                                  <a:pt x="0" y="1545335"/>
                                </a:lnTo>
                                <a:lnTo>
                                  <a:pt x="0" y="1658111"/>
                                </a:lnTo>
                                <a:close/>
                              </a:path>
                              <a:path w="2934335" h="2237740">
                                <a:moveTo>
                                  <a:pt x="949960" y="1463039"/>
                                </a:moveTo>
                                <a:lnTo>
                                  <a:pt x="0" y="1463039"/>
                                </a:lnTo>
                                <a:lnTo>
                                  <a:pt x="0" y="1353311"/>
                                </a:lnTo>
                                <a:lnTo>
                                  <a:pt x="949960" y="1353311"/>
                                </a:lnTo>
                                <a:lnTo>
                                  <a:pt x="949960" y="1463039"/>
                                </a:lnTo>
                                <a:close/>
                              </a:path>
                              <a:path w="2934335" h="2237740">
                                <a:moveTo>
                                  <a:pt x="1638807" y="1271015"/>
                                </a:moveTo>
                                <a:lnTo>
                                  <a:pt x="0" y="1271015"/>
                                </a:lnTo>
                                <a:lnTo>
                                  <a:pt x="0" y="1161287"/>
                                </a:lnTo>
                                <a:lnTo>
                                  <a:pt x="1638807" y="1161287"/>
                                </a:lnTo>
                                <a:lnTo>
                                  <a:pt x="1638807" y="1271015"/>
                                </a:lnTo>
                                <a:close/>
                              </a:path>
                              <a:path w="2934335" h="2237740">
                                <a:moveTo>
                                  <a:pt x="203200" y="1075943"/>
                                </a:moveTo>
                                <a:lnTo>
                                  <a:pt x="0" y="1075943"/>
                                </a:lnTo>
                                <a:lnTo>
                                  <a:pt x="0" y="966215"/>
                                </a:lnTo>
                                <a:lnTo>
                                  <a:pt x="203200" y="966215"/>
                                </a:lnTo>
                                <a:lnTo>
                                  <a:pt x="203200" y="1075943"/>
                                </a:lnTo>
                                <a:close/>
                              </a:path>
                              <a:path w="2934335" h="2237740">
                                <a:moveTo>
                                  <a:pt x="416559" y="883919"/>
                                </a:moveTo>
                                <a:lnTo>
                                  <a:pt x="0" y="883919"/>
                                </a:lnTo>
                                <a:lnTo>
                                  <a:pt x="0" y="774191"/>
                                </a:lnTo>
                                <a:lnTo>
                                  <a:pt x="416559" y="774191"/>
                                </a:lnTo>
                                <a:lnTo>
                                  <a:pt x="416559" y="883919"/>
                                </a:lnTo>
                                <a:close/>
                              </a:path>
                              <a:path w="2934335" h="2237740">
                                <a:moveTo>
                                  <a:pt x="93471" y="691895"/>
                                </a:moveTo>
                                <a:lnTo>
                                  <a:pt x="0" y="691895"/>
                                </a:lnTo>
                                <a:lnTo>
                                  <a:pt x="0" y="579119"/>
                                </a:lnTo>
                                <a:lnTo>
                                  <a:pt x="93471" y="579119"/>
                                </a:lnTo>
                                <a:lnTo>
                                  <a:pt x="93471" y="691895"/>
                                </a:lnTo>
                                <a:close/>
                              </a:path>
                              <a:path w="2934335" h="2237740">
                                <a:moveTo>
                                  <a:pt x="0" y="496824"/>
                                </a:moveTo>
                                <a:lnTo>
                                  <a:pt x="3047" y="496824"/>
                                </a:lnTo>
                                <a:lnTo>
                                  <a:pt x="3047" y="387095"/>
                                </a:lnTo>
                                <a:lnTo>
                                  <a:pt x="0" y="387095"/>
                                </a:lnTo>
                                <a:lnTo>
                                  <a:pt x="0" y="496824"/>
                                </a:lnTo>
                                <a:close/>
                              </a:path>
                              <a:path w="2934335" h="2237740">
                                <a:moveTo>
                                  <a:pt x="0" y="304800"/>
                                </a:moveTo>
                                <a:lnTo>
                                  <a:pt x="3047" y="304800"/>
                                </a:lnTo>
                                <a:lnTo>
                                  <a:pt x="3047" y="195071"/>
                                </a:lnTo>
                                <a:lnTo>
                                  <a:pt x="0" y="195071"/>
                                </a:lnTo>
                                <a:lnTo>
                                  <a:pt x="0" y="304800"/>
                                </a:lnTo>
                                <a:close/>
                              </a:path>
                              <a:path w="2934335" h="2237740">
                                <a:moveTo>
                                  <a:pt x="779272" y="112775"/>
                                </a:moveTo>
                                <a:lnTo>
                                  <a:pt x="0" y="112775"/>
                                </a:lnTo>
                                <a:lnTo>
                                  <a:pt x="0" y="0"/>
                                </a:lnTo>
                                <a:lnTo>
                                  <a:pt x="779272" y="0"/>
                                </a:lnTo>
                                <a:lnTo>
                                  <a:pt x="779272" y="112775"/>
                                </a:lnTo>
                                <a:close/>
                              </a:path>
                            </a:pathLst>
                          </a:custGeom>
                          <a:ln w="9525">
                            <a:solidFill>
                              <a:srgbClr val="2C7ECF"/>
                            </a:solidFill>
                            <a:prstDash val="solid"/>
                          </a:ln>
                        </wps:spPr>
                        <wps:bodyPr wrap="square" lIns="0" tIns="0" rIns="0" bIns="0" rtlCol="0">
                          <a:prstTxWarp prst="textNoShape">
                            <a:avLst/>
                          </a:prstTxWarp>
                          <a:noAutofit/>
                        </wps:bodyPr>
                      </wps:wsp>
                      <wps:wsp>
                        <wps:cNvPr id="17" name="Graphic 17"/>
                        <wps:cNvSpPr/>
                        <wps:spPr>
                          <a:xfrm>
                            <a:off x="1735899" y="109283"/>
                            <a:ext cx="1270" cy="2318385"/>
                          </a:xfrm>
                          <a:custGeom>
                            <a:avLst/>
                            <a:gdLst/>
                            <a:ahLst/>
                            <a:cxnLst/>
                            <a:rect l="l" t="t" r="r" b="b"/>
                            <a:pathLst>
                              <a:path w="0" h="2318385">
                                <a:moveTo>
                                  <a:pt x="0" y="2318130"/>
                                </a:moveTo>
                                <a:lnTo>
                                  <a:pt x="0" y="0"/>
                                </a:lnTo>
                              </a:path>
                            </a:pathLst>
                          </a:custGeom>
                          <a:ln w="9525">
                            <a:solidFill>
                              <a:srgbClr val="D9D9D9"/>
                            </a:solidFill>
                            <a:prstDash val="solid"/>
                          </a:ln>
                        </wps:spPr>
                        <wps:bodyPr wrap="square" lIns="0" tIns="0" rIns="0" bIns="0" rtlCol="0">
                          <a:prstTxWarp prst="textNoShape">
                            <a:avLst/>
                          </a:prstTxWarp>
                          <a:noAutofit/>
                        </wps:bodyPr>
                      </wps:wsp>
                      <wps:wsp>
                        <wps:cNvPr id="18" name="Graphic 18"/>
                        <wps:cNvSpPr/>
                        <wps:spPr>
                          <a:xfrm>
                            <a:off x="4762" y="4762"/>
                            <a:ext cx="5612130" cy="2527300"/>
                          </a:xfrm>
                          <a:custGeom>
                            <a:avLst/>
                            <a:gdLst/>
                            <a:ahLst/>
                            <a:cxnLst/>
                            <a:rect l="l" t="t" r="r" b="b"/>
                            <a:pathLst>
                              <a:path w="5612130" h="2527300">
                                <a:moveTo>
                                  <a:pt x="0" y="2527300"/>
                                </a:moveTo>
                                <a:lnTo>
                                  <a:pt x="5612129" y="2527300"/>
                                </a:lnTo>
                                <a:lnTo>
                                  <a:pt x="5612129" y="0"/>
                                </a:lnTo>
                                <a:lnTo>
                                  <a:pt x="0" y="0"/>
                                </a:lnTo>
                                <a:lnTo>
                                  <a:pt x="0" y="2527300"/>
                                </a:lnTo>
                                <a:close/>
                              </a:path>
                            </a:pathLst>
                          </a:custGeom>
                          <a:ln w="9525">
                            <a:solidFill>
                              <a:srgbClr val="D9D9D9"/>
                            </a:solidFill>
                            <a:prstDash val="solid"/>
                          </a:ln>
                        </wps:spPr>
                        <wps:bodyPr wrap="square" lIns="0" tIns="0" rIns="0" bIns="0" rtlCol="0">
                          <a:prstTxWarp prst="textNoShape">
                            <a:avLst/>
                          </a:prstTxWarp>
                          <a:noAutofit/>
                        </wps:bodyPr>
                      </wps:wsp>
                      <wps:wsp>
                        <wps:cNvPr id="19" name="Textbox 19"/>
                        <wps:cNvSpPr txBox="1"/>
                        <wps:spPr>
                          <a:xfrm>
                            <a:off x="255079" y="140060"/>
                            <a:ext cx="1399540" cy="316230"/>
                          </a:xfrm>
                          <a:prstGeom prst="rect">
                            <a:avLst/>
                          </a:prstGeom>
                        </wps:spPr>
                        <wps:txbx>
                          <w:txbxContent>
                            <w:p>
                              <w:pPr>
                                <w:spacing w:line="192" w:lineRule="exact" w:before="0"/>
                                <w:ind w:left="490" w:right="0" w:firstLine="0"/>
                                <w:jc w:val="left"/>
                                <w:rPr>
                                  <w:rFonts w:ascii="Calibri"/>
                                  <w:b/>
                                  <w:sz w:val="16"/>
                                </w:rPr>
                              </w:pPr>
                              <w:r>
                                <w:rPr>
                                  <w:rFonts w:ascii="Calibri"/>
                                  <w:b/>
                                  <w:color w:val="585858"/>
                                  <w:w w:val="110"/>
                                  <w:sz w:val="16"/>
                                </w:rPr>
                                <w:t>Empresas</w:t>
                              </w:r>
                              <w:r>
                                <w:rPr>
                                  <w:rFonts w:ascii="Calibri"/>
                                  <w:b/>
                                  <w:color w:val="585858"/>
                                  <w:spacing w:val="12"/>
                                  <w:w w:val="115"/>
                                  <w:sz w:val="16"/>
                                </w:rPr>
                                <w:t> </w:t>
                              </w:r>
                              <w:r>
                                <w:rPr>
                                  <w:rFonts w:ascii="Calibri"/>
                                  <w:b/>
                                  <w:color w:val="585858"/>
                                  <w:spacing w:val="-2"/>
                                  <w:w w:val="115"/>
                                  <w:sz w:val="16"/>
                                </w:rPr>
                                <w:t>Comerciales</w:t>
                              </w:r>
                            </w:p>
                            <w:p>
                              <w:pPr>
                                <w:spacing w:before="109"/>
                                <w:ind w:left="0" w:right="0" w:firstLine="0"/>
                                <w:jc w:val="left"/>
                                <w:rPr>
                                  <w:rFonts w:ascii="Calibri"/>
                                  <w:b/>
                                  <w:sz w:val="16"/>
                                </w:rPr>
                              </w:pPr>
                              <w:r>
                                <w:rPr>
                                  <w:rFonts w:ascii="Calibri"/>
                                  <w:b/>
                                  <w:color w:val="585858"/>
                                  <w:w w:val="110"/>
                                  <w:sz w:val="16"/>
                                </w:rPr>
                                <w:t>GOBIERNO</w:t>
                              </w:r>
                              <w:r>
                                <w:rPr>
                                  <w:rFonts w:ascii="Calibri"/>
                                  <w:b/>
                                  <w:color w:val="585858"/>
                                  <w:spacing w:val="-8"/>
                                  <w:w w:val="110"/>
                                  <w:sz w:val="16"/>
                                </w:rPr>
                                <w:t> </w:t>
                              </w:r>
                              <w:r>
                                <w:rPr>
                                  <w:rFonts w:ascii="Calibri"/>
                                  <w:b/>
                                  <w:color w:val="585858"/>
                                  <w:w w:val="110"/>
                                  <w:sz w:val="16"/>
                                </w:rPr>
                                <w:t>CENTRAL</w:t>
                              </w:r>
                              <w:r>
                                <w:rPr>
                                  <w:rFonts w:ascii="Calibri"/>
                                  <w:b/>
                                  <w:color w:val="585858"/>
                                  <w:spacing w:val="-9"/>
                                  <w:w w:val="110"/>
                                  <w:sz w:val="16"/>
                                </w:rPr>
                                <w:t> </w:t>
                              </w:r>
                              <w:r>
                                <w:rPr>
                                  <w:rFonts w:ascii="Calibri"/>
                                  <w:b/>
                                  <w:color w:val="585858"/>
                                  <w:w w:val="110"/>
                                  <w:sz w:val="16"/>
                                </w:rPr>
                                <w:t>MEP-</w:t>
                              </w:r>
                              <w:r>
                                <w:rPr>
                                  <w:rFonts w:ascii="Calibri"/>
                                  <w:b/>
                                  <w:color w:val="585858"/>
                                  <w:spacing w:val="-5"/>
                                  <w:w w:val="110"/>
                                  <w:sz w:val="16"/>
                                </w:rPr>
                                <w:t>240</w:t>
                              </w:r>
                            </w:p>
                          </w:txbxContent>
                        </wps:txbx>
                        <wps:bodyPr wrap="square" lIns="0" tIns="0" rIns="0" bIns="0" rtlCol="0">
                          <a:noAutofit/>
                        </wps:bodyPr>
                      </wps:wsp>
                      <wps:wsp>
                        <wps:cNvPr id="20" name="Textbox 20"/>
                        <wps:cNvSpPr txBox="1"/>
                        <wps:spPr>
                          <a:xfrm>
                            <a:off x="2589593" y="135783"/>
                            <a:ext cx="325120" cy="141605"/>
                          </a:xfrm>
                          <a:prstGeom prst="rect">
                            <a:avLst/>
                          </a:prstGeom>
                        </wps:spPr>
                        <wps:txbx>
                          <w:txbxContent>
                            <w:p>
                              <w:pPr>
                                <w:spacing w:before="0"/>
                                <w:ind w:left="0" w:right="0" w:firstLine="0"/>
                                <w:jc w:val="left"/>
                                <w:rPr>
                                  <w:rFonts w:ascii="Calibri"/>
                                  <w:sz w:val="18"/>
                                </w:rPr>
                              </w:pPr>
                              <w:r>
                                <w:rPr>
                                  <w:rFonts w:ascii="Calibri"/>
                                  <w:color w:val="404040"/>
                                  <w:spacing w:val="-4"/>
                                  <w:w w:val="110"/>
                                  <w:sz w:val="18"/>
                                </w:rPr>
                                <w:t>7,54%</w:t>
                              </w:r>
                            </w:p>
                          </w:txbxContent>
                        </wps:txbx>
                        <wps:bodyPr wrap="square" lIns="0" tIns="0" rIns="0" bIns="0" rtlCol="0">
                          <a:noAutofit/>
                        </wps:bodyPr>
                      </wps:wsp>
                      <wps:wsp>
                        <wps:cNvPr id="21" name="Textbox 21"/>
                        <wps:cNvSpPr txBox="1"/>
                        <wps:spPr>
                          <a:xfrm>
                            <a:off x="1811083" y="329077"/>
                            <a:ext cx="325120" cy="141605"/>
                          </a:xfrm>
                          <a:prstGeom prst="rect">
                            <a:avLst/>
                          </a:prstGeom>
                        </wps:spPr>
                        <wps:txbx>
                          <w:txbxContent>
                            <w:p>
                              <w:pPr>
                                <w:spacing w:before="0"/>
                                <w:ind w:left="0" w:right="0" w:firstLine="0"/>
                                <w:jc w:val="left"/>
                                <w:rPr>
                                  <w:rFonts w:ascii="Calibri"/>
                                  <w:sz w:val="18"/>
                                </w:rPr>
                              </w:pPr>
                              <w:r>
                                <w:rPr>
                                  <w:rFonts w:ascii="Calibri"/>
                                  <w:color w:val="404040"/>
                                  <w:spacing w:val="-4"/>
                                  <w:w w:val="110"/>
                                  <w:sz w:val="18"/>
                                </w:rPr>
                                <w:t>0,00%</w:t>
                              </w:r>
                            </w:p>
                          </w:txbxContent>
                        </wps:txbx>
                        <wps:bodyPr wrap="square" lIns="0" tIns="0" rIns="0" bIns="0" rtlCol="0">
                          <a:noAutofit/>
                        </wps:bodyPr>
                      </wps:wsp>
                      <wps:wsp>
                        <wps:cNvPr id="22" name="Textbox 22"/>
                        <wps:cNvSpPr txBox="1"/>
                        <wps:spPr>
                          <a:xfrm>
                            <a:off x="676592" y="522371"/>
                            <a:ext cx="1460500" cy="141605"/>
                          </a:xfrm>
                          <a:prstGeom prst="rect">
                            <a:avLst/>
                          </a:prstGeom>
                        </wps:spPr>
                        <wps:txbx>
                          <w:txbxContent>
                            <w:p>
                              <w:pPr>
                                <w:spacing w:line="220" w:lineRule="exact" w:before="0"/>
                                <w:ind w:left="0" w:right="0" w:firstLine="0"/>
                                <w:jc w:val="left"/>
                                <w:rPr>
                                  <w:rFonts w:ascii="Calibri" w:hAnsi="Calibri"/>
                                  <w:sz w:val="18"/>
                                </w:rPr>
                              </w:pPr>
                              <w:r>
                                <w:rPr>
                                  <w:rFonts w:ascii="Calibri" w:hAnsi="Calibri"/>
                                  <w:b/>
                                  <w:color w:val="585858"/>
                                  <w:w w:val="110"/>
                                  <w:position w:val="2"/>
                                  <w:sz w:val="16"/>
                                </w:rPr>
                                <w:t>GOBIERNO CENTRAL…</w:t>
                              </w:r>
                              <w:r>
                                <w:rPr>
                                  <w:rFonts w:ascii="Calibri" w:hAnsi="Calibri"/>
                                  <w:b/>
                                  <w:color w:val="585858"/>
                                  <w:spacing w:val="34"/>
                                  <w:w w:val="110"/>
                                  <w:position w:val="2"/>
                                  <w:sz w:val="16"/>
                                </w:rPr>
                                <w:t>  </w:t>
                              </w:r>
                              <w:r>
                                <w:rPr>
                                  <w:rFonts w:ascii="Calibri" w:hAnsi="Calibri"/>
                                  <w:color w:val="404040"/>
                                  <w:spacing w:val="-2"/>
                                  <w:w w:val="110"/>
                                  <w:sz w:val="18"/>
                                </w:rPr>
                                <w:t>0,01%</w:t>
                              </w:r>
                            </w:p>
                          </w:txbxContent>
                        </wps:txbx>
                        <wps:bodyPr wrap="square" lIns="0" tIns="0" rIns="0" bIns="0" rtlCol="0">
                          <a:noAutofit/>
                        </wps:bodyPr>
                      </wps:wsp>
                      <wps:wsp>
                        <wps:cNvPr id="23" name="Textbox 23"/>
                        <wps:cNvSpPr txBox="1"/>
                        <wps:spPr>
                          <a:xfrm>
                            <a:off x="60312" y="719815"/>
                            <a:ext cx="1680210" cy="1668780"/>
                          </a:xfrm>
                          <a:prstGeom prst="rect">
                            <a:avLst/>
                          </a:prstGeom>
                        </wps:spPr>
                        <wps:txbx>
                          <w:txbxContent>
                            <w:p>
                              <w:pPr>
                                <w:spacing w:line="192" w:lineRule="exact" w:before="0"/>
                                <w:ind w:left="0" w:right="154" w:firstLine="0"/>
                                <w:jc w:val="right"/>
                                <w:rPr>
                                  <w:rFonts w:ascii="Calibri"/>
                                  <w:b/>
                                  <w:sz w:val="16"/>
                                </w:rPr>
                              </w:pPr>
                              <w:r>
                                <w:rPr>
                                  <w:rFonts w:ascii="Calibri"/>
                                  <w:b/>
                                  <w:color w:val="585858"/>
                                  <w:spacing w:val="4"/>
                                  <w:sz w:val="16"/>
                                </w:rPr>
                                <w:t>Gobierno</w:t>
                              </w:r>
                              <w:r>
                                <w:rPr>
                                  <w:rFonts w:ascii="Calibri"/>
                                  <w:b/>
                                  <w:color w:val="585858"/>
                                  <w:spacing w:val="28"/>
                                  <w:sz w:val="16"/>
                                </w:rPr>
                                <w:t> </w:t>
                              </w:r>
                              <w:r>
                                <w:rPr>
                                  <w:rFonts w:ascii="Calibri"/>
                                  <w:b/>
                                  <w:color w:val="585858"/>
                                  <w:spacing w:val="4"/>
                                  <w:sz w:val="16"/>
                                </w:rPr>
                                <w:t>Central</w:t>
                              </w:r>
                              <w:r>
                                <w:rPr>
                                  <w:rFonts w:ascii="Calibri"/>
                                  <w:b/>
                                  <w:color w:val="585858"/>
                                  <w:spacing w:val="20"/>
                                  <w:sz w:val="16"/>
                                </w:rPr>
                                <w:t> </w:t>
                              </w:r>
                              <w:r>
                                <w:rPr>
                                  <w:rFonts w:ascii="Calibri"/>
                                  <w:b/>
                                  <w:color w:val="585858"/>
                                  <w:spacing w:val="4"/>
                                  <w:sz w:val="16"/>
                                </w:rPr>
                                <w:t>Avancemos</w:t>
                              </w:r>
                              <w:r>
                                <w:rPr>
                                  <w:rFonts w:ascii="Calibri"/>
                                  <w:b/>
                                  <w:color w:val="585858"/>
                                  <w:spacing w:val="28"/>
                                  <w:sz w:val="16"/>
                                </w:rPr>
                                <w:t> </w:t>
                              </w:r>
                              <w:r>
                                <w:rPr>
                                  <w:rFonts w:ascii="Calibri"/>
                                  <w:b/>
                                  <w:color w:val="585858"/>
                                  <w:spacing w:val="-5"/>
                                  <w:sz w:val="16"/>
                                </w:rPr>
                                <w:t>MEP</w:t>
                              </w:r>
                            </w:p>
                            <w:p>
                              <w:pPr>
                                <w:spacing w:before="109"/>
                                <w:ind w:left="395" w:right="0" w:firstLine="0"/>
                                <w:jc w:val="left"/>
                                <w:rPr>
                                  <w:rFonts w:ascii="Calibri" w:hAnsi="Calibri"/>
                                  <w:b/>
                                  <w:sz w:val="16"/>
                                </w:rPr>
                              </w:pPr>
                              <w:r>
                                <w:rPr>
                                  <w:rFonts w:ascii="Calibri" w:hAnsi="Calibri"/>
                                  <w:b/>
                                  <w:color w:val="585858"/>
                                  <w:w w:val="110"/>
                                  <w:sz w:val="16"/>
                                </w:rPr>
                                <w:t>GOBIERNO</w:t>
                              </w:r>
                              <w:r>
                                <w:rPr>
                                  <w:rFonts w:ascii="Calibri" w:hAnsi="Calibri"/>
                                  <w:b/>
                                  <w:color w:val="585858"/>
                                  <w:spacing w:val="-6"/>
                                  <w:w w:val="110"/>
                                  <w:sz w:val="16"/>
                                </w:rPr>
                                <w:t> </w:t>
                              </w:r>
                              <w:r>
                                <w:rPr>
                                  <w:rFonts w:ascii="Calibri" w:hAnsi="Calibri"/>
                                  <w:b/>
                                  <w:color w:val="585858"/>
                                  <w:w w:val="110"/>
                                  <w:sz w:val="16"/>
                                </w:rPr>
                                <w:t>CENTRAL</w:t>
                              </w:r>
                              <w:r>
                                <w:rPr>
                                  <w:rFonts w:ascii="Calibri" w:hAnsi="Calibri"/>
                                  <w:b/>
                                  <w:color w:val="585858"/>
                                  <w:spacing w:val="-9"/>
                                  <w:w w:val="110"/>
                                  <w:sz w:val="16"/>
                                </w:rPr>
                                <w:t> </w:t>
                              </w:r>
                              <w:r>
                                <w:rPr>
                                  <w:rFonts w:ascii="Calibri" w:hAnsi="Calibri"/>
                                  <w:b/>
                                  <w:color w:val="585858"/>
                                  <w:w w:val="110"/>
                                  <w:sz w:val="16"/>
                                </w:rPr>
                                <w:t>D-MEP-</w:t>
                              </w:r>
                              <w:r>
                                <w:rPr>
                                  <w:rFonts w:ascii="Calibri" w:hAnsi="Calibri"/>
                                  <w:b/>
                                  <w:color w:val="585858"/>
                                  <w:spacing w:val="-10"/>
                                  <w:w w:val="110"/>
                                  <w:sz w:val="16"/>
                                </w:rPr>
                                <w:t>…</w:t>
                              </w:r>
                            </w:p>
                            <w:p>
                              <w:pPr>
                                <w:spacing w:before="109"/>
                                <w:ind w:left="0" w:right="156" w:firstLine="0"/>
                                <w:jc w:val="right"/>
                                <w:rPr>
                                  <w:rFonts w:ascii="Calibri"/>
                                  <w:b/>
                                  <w:sz w:val="16"/>
                                </w:rPr>
                              </w:pPr>
                              <w:r>
                                <w:rPr>
                                  <w:rFonts w:ascii="Calibri"/>
                                  <w:b/>
                                  <w:color w:val="585858"/>
                                  <w:w w:val="110"/>
                                  <w:sz w:val="16"/>
                                </w:rPr>
                                <w:t>FODESAF</w:t>
                              </w:r>
                              <w:r>
                                <w:rPr>
                                  <w:rFonts w:ascii="Calibri"/>
                                  <w:b/>
                                  <w:color w:val="585858"/>
                                  <w:spacing w:val="-2"/>
                                  <w:w w:val="110"/>
                                  <w:sz w:val="16"/>
                                </w:rPr>
                                <w:t> </w:t>
                              </w:r>
                              <w:r>
                                <w:rPr>
                                  <w:rFonts w:ascii="Calibri"/>
                                  <w:b/>
                                  <w:color w:val="585858"/>
                                  <w:w w:val="110"/>
                                  <w:sz w:val="16"/>
                                </w:rPr>
                                <w:t>Seguridad </w:t>
                              </w:r>
                              <w:r>
                                <w:rPr>
                                  <w:rFonts w:ascii="Calibri"/>
                                  <w:b/>
                                  <w:color w:val="585858"/>
                                  <w:spacing w:val="-2"/>
                                  <w:w w:val="110"/>
                                  <w:sz w:val="16"/>
                                </w:rPr>
                                <w:t>Alimentaria</w:t>
                              </w:r>
                            </w:p>
                            <w:p>
                              <w:pPr>
                                <w:spacing w:before="109"/>
                                <w:ind w:left="0" w:right="186" w:firstLine="0"/>
                                <w:jc w:val="right"/>
                                <w:rPr>
                                  <w:rFonts w:ascii="Calibri"/>
                                  <w:b/>
                                  <w:sz w:val="16"/>
                                </w:rPr>
                              </w:pPr>
                              <w:r>
                                <w:rPr>
                                  <w:rFonts w:ascii="Calibri"/>
                                  <w:b/>
                                  <w:color w:val="585858"/>
                                  <w:w w:val="110"/>
                                  <w:sz w:val="16"/>
                                </w:rPr>
                                <w:t>FODESAF</w:t>
                              </w:r>
                              <w:r>
                                <w:rPr>
                                  <w:rFonts w:ascii="Calibri"/>
                                  <w:b/>
                                  <w:color w:val="585858"/>
                                  <w:spacing w:val="5"/>
                                  <w:w w:val="110"/>
                                  <w:sz w:val="16"/>
                                </w:rPr>
                                <w:t> </w:t>
                              </w:r>
                              <w:r>
                                <w:rPr>
                                  <w:rFonts w:ascii="Calibri"/>
                                  <w:b/>
                                  <w:color w:val="585858"/>
                                  <w:spacing w:val="-2"/>
                                  <w:w w:val="110"/>
                                  <w:sz w:val="16"/>
                                </w:rPr>
                                <w:t>Avancemos</w:t>
                              </w:r>
                            </w:p>
                            <w:p>
                              <w:pPr>
                                <w:spacing w:line="374" w:lineRule="auto" w:before="109"/>
                                <w:ind w:left="924" w:right="154" w:firstLine="601"/>
                                <w:jc w:val="left"/>
                                <w:rPr>
                                  <w:rFonts w:ascii="Calibri" w:hAnsi="Calibri"/>
                                  <w:b/>
                                  <w:sz w:val="16"/>
                                </w:rPr>
                              </w:pPr>
                              <w:r>
                                <w:rPr>
                                  <w:rFonts w:ascii="Calibri" w:hAnsi="Calibri"/>
                                  <w:b/>
                                  <w:color w:val="585858"/>
                                  <w:w w:val="110"/>
                                  <w:sz w:val="16"/>
                                </w:rPr>
                                <w:t>Red</w:t>
                              </w:r>
                              <w:r>
                                <w:rPr>
                                  <w:rFonts w:ascii="Calibri" w:hAnsi="Calibri"/>
                                  <w:b/>
                                  <w:color w:val="585858"/>
                                  <w:spacing w:val="-10"/>
                                  <w:w w:val="110"/>
                                  <w:sz w:val="16"/>
                                </w:rPr>
                                <w:t> </w:t>
                              </w:r>
                              <w:r>
                                <w:rPr>
                                  <w:rFonts w:ascii="Calibri" w:hAnsi="Calibri"/>
                                  <w:b/>
                                  <w:color w:val="585858"/>
                                  <w:w w:val="110"/>
                                  <w:sz w:val="16"/>
                                </w:rPr>
                                <w:t>de</w:t>
                              </w:r>
                              <w:r>
                                <w:rPr>
                                  <w:rFonts w:ascii="Calibri" w:hAnsi="Calibri"/>
                                  <w:b/>
                                  <w:color w:val="585858"/>
                                  <w:spacing w:val="-10"/>
                                  <w:w w:val="110"/>
                                  <w:sz w:val="16"/>
                                </w:rPr>
                                <w:t> </w:t>
                              </w:r>
                              <w:r>
                                <w:rPr>
                                  <w:rFonts w:ascii="Calibri" w:hAnsi="Calibri"/>
                                  <w:b/>
                                  <w:color w:val="585858"/>
                                  <w:w w:val="110"/>
                                  <w:sz w:val="16"/>
                                </w:rPr>
                                <w:t>Cuido</w:t>
                              </w:r>
                              <w:r>
                                <w:rPr>
                                  <w:rFonts w:ascii="Calibri" w:hAnsi="Calibri"/>
                                  <w:b/>
                                  <w:color w:val="585858"/>
                                  <w:spacing w:val="40"/>
                                  <w:w w:val="110"/>
                                  <w:sz w:val="16"/>
                                </w:rPr>
                                <w:t> </w:t>
                              </w:r>
                              <w:r>
                                <w:rPr>
                                  <w:rFonts w:ascii="Calibri" w:hAnsi="Calibri"/>
                                  <w:b/>
                                  <w:color w:val="585858"/>
                                  <w:w w:val="110"/>
                                  <w:sz w:val="16"/>
                                </w:rPr>
                                <w:t>FODESAF-</w:t>
                              </w:r>
                              <w:r>
                                <w:rPr>
                                  <w:rFonts w:ascii="Calibri" w:hAnsi="Calibri"/>
                                  <w:b/>
                                  <w:color w:val="585858"/>
                                  <w:spacing w:val="-2"/>
                                  <w:w w:val="110"/>
                                  <w:sz w:val="16"/>
                                </w:rPr>
                                <w:t>INFLACIÓN</w:t>
                              </w:r>
                            </w:p>
                            <w:p>
                              <w:pPr>
                                <w:spacing w:line="195" w:lineRule="exact" w:before="0"/>
                                <w:ind w:left="0" w:right="187" w:firstLine="0"/>
                                <w:jc w:val="right"/>
                                <w:rPr>
                                  <w:rFonts w:ascii="Calibri"/>
                                  <w:b/>
                                  <w:sz w:val="16"/>
                                </w:rPr>
                              </w:pPr>
                              <w:r>
                                <w:rPr>
                                  <w:rFonts w:ascii="Calibri"/>
                                  <w:b/>
                                  <w:color w:val="585858"/>
                                  <w:sz w:val="16"/>
                                </w:rPr>
                                <w:t>209</w:t>
                              </w:r>
                              <w:r>
                                <w:rPr>
                                  <w:rFonts w:ascii="Calibri"/>
                                  <w:b/>
                                  <w:color w:val="585858"/>
                                  <w:spacing w:val="45"/>
                                  <w:sz w:val="16"/>
                                </w:rPr>
                                <w:t> </w:t>
                              </w:r>
                              <w:r>
                                <w:rPr>
                                  <w:rFonts w:ascii="Calibri"/>
                                  <w:b/>
                                  <w:color w:val="585858"/>
                                  <w:sz w:val="16"/>
                                </w:rPr>
                                <w:t>FOD-</w:t>
                              </w:r>
                              <w:r>
                                <w:rPr>
                                  <w:rFonts w:ascii="Calibri"/>
                                  <w:b/>
                                  <w:color w:val="585858"/>
                                  <w:spacing w:val="-2"/>
                                  <w:sz w:val="16"/>
                                </w:rPr>
                                <w:t>Avancemos</w:t>
                              </w:r>
                            </w:p>
                            <w:p>
                              <w:pPr>
                                <w:spacing w:before="109"/>
                                <w:ind w:left="0" w:right="151" w:firstLine="0"/>
                                <w:jc w:val="right"/>
                                <w:rPr>
                                  <w:rFonts w:ascii="Calibri"/>
                                  <w:b/>
                                  <w:sz w:val="16"/>
                                </w:rPr>
                              </w:pPr>
                              <w:r>
                                <w:rPr>
                                  <w:rFonts w:ascii="Calibri"/>
                                  <w:b/>
                                  <w:color w:val="585858"/>
                                  <w:spacing w:val="-2"/>
                                  <w:w w:val="115"/>
                                  <w:sz w:val="16"/>
                                </w:rPr>
                                <w:t>FODESAF</w:t>
                              </w:r>
                            </w:p>
                            <w:p>
                              <w:pPr>
                                <w:spacing w:before="108"/>
                                <w:ind w:left="0" w:right="152" w:firstLine="0"/>
                                <w:jc w:val="right"/>
                                <w:rPr>
                                  <w:rFonts w:ascii="Calibri"/>
                                  <w:b/>
                                  <w:sz w:val="16"/>
                                </w:rPr>
                              </w:pPr>
                              <w:r>
                                <w:rPr>
                                  <w:rFonts w:ascii="Calibri"/>
                                  <w:b/>
                                  <w:color w:val="585858"/>
                                  <w:spacing w:val="-2"/>
                                  <w:w w:val="110"/>
                                  <w:sz w:val="16"/>
                                </w:rPr>
                                <w:t>Propios</w:t>
                              </w:r>
                            </w:p>
                          </w:txbxContent>
                        </wps:txbx>
                        <wps:bodyPr wrap="square" lIns="0" tIns="0" rIns="0" bIns="0" rtlCol="0">
                          <a:noAutofit/>
                        </wps:bodyPr>
                      </wps:wsp>
                      <wps:wsp>
                        <wps:cNvPr id="24" name="Textbox 24"/>
                        <wps:cNvSpPr txBox="1"/>
                        <wps:spPr>
                          <a:xfrm>
                            <a:off x="1903793" y="715538"/>
                            <a:ext cx="325120" cy="141605"/>
                          </a:xfrm>
                          <a:prstGeom prst="rect">
                            <a:avLst/>
                          </a:prstGeom>
                        </wps:spPr>
                        <wps:txbx>
                          <w:txbxContent>
                            <w:p>
                              <w:pPr>
                                <w:spacing w:before="0"/>
                                <w:ind w:left="0" w:right="0" w:firstLine="0"/>
                                <w:jc w:val="left"/>
                                <w:rPr>
                                  <w:rFonts w:ascii="Calibri"/>
                                  <w:sz w:val="18"/>
                                </w:rPr>
                              </w:pPr>
                              <w:r>
                                <w:rPr>
                                  <w:rFonts w:ascii="Calibri"/>
                                  <w:color w:val="404040"/>
                                  <w:spacing w:val="-4"/>
                                  <w:w w:val="110"/>
                                  <w:sz w:val="18"/>
                                </w:rPr>
                                <w:t>0,90%</w:t>
                              </w:r>
                            </w:p>
                          </w:txbxContent>
                        </wps:txbx>
                        <wps:bodyPr wrap="square" lIns="0" tIns="0" rIns="0" bIns="0" rtlCol="0">
                          <a:noAutofit/>
                        </wps:bodyPr>
                      </wps:wsp>
                      <wps:wsp>
                        <wps:cNvPr id="25" name="Textbox 25"/>
                        <wps:cNvSpPr txBox="1"/>
                        <wps:spPr>
                          <a:xfrm>
                            <a:off x="2014029" y="908832"/>
                            <a:ext cx="539115" cy="334645"/>
                          </a:xfrm>
                          <a:prstGeom prst="rect">
                            <a:avLst/>
                          </a:prstGeom>
                        </wps:spPr>
                        <wps:txbx>
                          <w:txbxContent>
                            <w:p>
                              <w:pPr>
                                <w:spacing w:before="0"/>
                                <w:ind w:left="337" w:right="0" w:firstLine="0"/>
                                <w:jc w:val="left"/>
                                <w:rPr>
                                  <w:rFonts w:ascii="Calibri"/>
                                  <w:sz w:val="18"/>
                                </w:rPr>
                              </w:pPr>
                              <w:r>
                                <w:rPr>
                                  <w:rFonts w:ascii="Calibri"/>
                                  <w:color w:val="404040"/>
                                  <w:spacing w:val="-4"/>
                                  <w:w w:val="110"/>
                                  <w:sz w:val="18"/>
                                </w:rPr>
                                <w:t>4,04%</w:t>
                              </w:r>
                            </w:p>
                            <w:p>
                              <w:pPr>
                                <w:spacing w:before="84"/>
                                <w:ind w:left="0" w:right="0" w:firstLine="0"/>
                                <w:jc w:val="left"/>
                                <w:rPr>
                                  <w:rFonts w:ascii="Calibri"/>
                                  <w:sz w:val="18"/>
                                </w:rPr>
                              </w:pPr>
                              <w:r>
                                <w:rPr>
                                  <w:rFonts w:ascii="Calibri"/>
                                  <w:color w:val="404040"/>
                                  <w:spacing w:val="-4"/>
                                  <w:w w:val="110"/>
                                  <w:sz w:val="18"/>
                                </w:rPr>
                                <w:t>1,96%</w:t>
                              </w:r>
                            </w:p>
                          </w:txbxContent>
                        </wps:txbx>
                        <wps:bodyPr wrap="square" lIns="0" tIns="0" rIns="0" bIns="0" rtlCol="0">
                          <a:noAutofit/>
                        </wps:bodyPr>
                      </wps:wsp>
                      <wps:wsp>
                        <wps:cNvPr id="26" name="Textbox 26"/>
                        <wps:cNvSpPr txBox="1"/>
                        <wps:spPr>
                          <a:xfrm>
                            <a:off x="3450907" y="1295293"/>
                            <a:ext cx="387350" cy="141605"/>
                          </a:xfrm>
                          <a:prstGeom prst="rect">
                            <a:avLst/>
                          </a:prstGeom>
                        </wps:spPr>
                        <wps:txbx>
                          <w:txbxContent>
                            <w:p>
                              <w:pPr>
                                <w:spacing w:before="0"/>
                                <w:ind w:left="0" w:right="0" w:firstLine="0"/>
                                <w:jc w:val="left"/>
                                <w:rPr>
                                  <w:rFonts w:ascii="Calibri"/>
                                  <w:sz w:val="18"/>
                                </w:rPr>
                              </w:pPr>
                              <w:r>
                                <w:rPr>
                                  <w:rFonts w:ascii="Calibri"/>
                                  <w:color w:val="404040"/>
                                  <w:spacing w:val="-2"/>
                                  <w:w w:val="110"/>
                                  <w:sz w:val="18"/>
                                </w:rPr>
                                <w:t>15,88%</w:t>
                              </w:r>
                            </w:p>
                          </w:txbxContent>
                        </wps:txbx>
                        <wps:bodyPr wrap="square" lIns="0" tIns="0" rIns="0" bIns="0" rtlCol="0">
                          <a:noAutofit/>
                        </wps:bodyPr>
                      </wps:wsp>
                      <wps:wsp>
                        <wps:cNvPr id="27" name="Textbox 27"/>
                        <wps:cNvSpPr txBox="1"/>
                        <wps:spPr>
                          <a:xfrm>
                            <a:off x="2761805" y="1488587"/>
                            <a:ext cx="325120" cy="141605"/>
                          </a:xfrm>
                          <a:prstGeom prst="rect">
                            <a:avLst/>
                          </a:prstGeom>
                        </wps:spPr>
                        <wps:txbx>
                          <w:txbxContent>
                            <w:p>
                              <w:pPr>
                                <w:spacing w:before="0"/>
                                <w:ind w:left="0" w:right="0" w:firstLine="0"/>
                                <w:jc w:val="left"/>
                                <w:rPr>
                                  <w:rFonts w:ascii="Calibri"/>
                                  <w:sz w:val="18"/>
                                </w:rPr>
                              </w:pPr>
                              <w:r>
                                <w:rPr>
                                  <w:rFonts w:ascii="Calibri"/>
                                  <w:color w:val="404040"/>
                                  <w:spacing w:val="-4"/>
                                  <w:w w:val="110"/>
                                  <w:sz w:val="18"/>
                                </w:rPr>
                                <w:t>9,20%</w:t>
                              </w:r>
                            </w:p>
                          </w:txbxContent>
                        </wps:txbx>
                        <wps:bodyPr wrap="square" lIns="0" tIns="0" rIns="0" bIns="0" rtlCol="0">
                          <a:noAutofit/>
                        </wps:bodyPr>
                      </wps:wsp>
                      <wps:wsp>
                        <wps:cNvPr id="28" name="Textbox 28"/>
                        <wps:cNvSpPr txBox="1"/>
                        <wps:spPr>
                          <a:xfrm>
                            <a:off x="1813496" y="1681754"/>
                            <a:ext cx="325120" cy="141605"/>
                          </a:xfrm>
                          <a:prstGeom prst="rect">
                            <a:avLst/>
                          </a:prstGeom>
                        </wps:spPr>
                        <wps:txbx>
                          <w:txbxContent>
                            <w:p>
                              <w:pPr>
                                <w:spacing w:before="0"/>
                                <w:ind w:left="0" w:right="0" w:firstLine="0"/>
                                <w:jc w:val="left"/>
                                <w:rPr>
                                  <w:rFonts w:ascii="Calibri"/>
                                  <w:sz w:val="18"/>
                                </w:rPr>
                              </w:pPr>
                              <w:r>
                                <w:rPr>
                                  <w:rFonts w:ascii="Calibri"/>
                                  <w:color w:val="404040"/>
                                  <w:spacing w:val="-4"/>
                                  <w:w w:val="110"/>
                                  <w:sz w:val="18"/>
                                </w:rPr>
                                <w:t>0,02%</w:t>
                              </w:r>
                            </w:p>
                          </w:txbxContent>
                        </wps:txbx>
                        <wps:bodyPr wrap="square" lIns="0" tIns="0" rIns="0" bIns="0" rtlCol="0">
                          <a:noAutofit/>
                        </wps:bodyPr>
                      </wps:wsp>
                      <wps:wsp>
                        <wps:cNvPr id="29" name="Textbox 29"/>
                        <wps:cNvSpPr txBox="1"/>
                        <wps:spPr>
                          <a:xfrm>
                            <a:off x="2828480" y="1875048"/>
                            <a:ext cx="325120" cy="141605"/>
                          </a:xfrm>
                          <a:prstGeom prst="rect">
                            <a:avLst/>
                          </a:prstGeom>
                        </wps:spPr>
                        <wps:txbx>
                          <w:txbxContent>
                            <w:p>
                              <w:pPr>
                                <w:spacing w:before="0"/>
                                <w:ind w:left="0" w:right="0" w:firstLine="0"/>
                                <w:jc w:val="left"/>
                                <w:rPr>
                                  <w:rFonts w:ascii="Calibri"/>
                                  <w:sz w:val="18"/>
                                </w:rPr>
                              </w:pPr>
                              <w:r>
                                <w:rPr>
                                  <w:rFonts w:ascii="Calibri"/>
                                  <w:color w:val="404040"/>
                                  <w:spacing w:val="-4"/>
                                  <w:w w:val="110"/>
                                  <w:sz w:val="18"/>
                                </w:rPr>
                                <w:t>9,85%</w:t>
                              </w:r>
                            </w:p>
                          </w:txbxContent>
                        </wps:txbx>
                        <wps:bodyPr wrap="square" lIns="0" tIns="0" rIns="0" bIns="0" rtlCol="0">
                          <a:noAutofit/>
                        </wps:bodyPr>
                      </wps:wsp>
                      <wps:wsp>
                        <wps:cNvPr id="30" name="Textbox 30"/>
                        <wps:cNvSpPr txBox="1"/>
                        <wps:spPr>
                          <a:xfrm>
                            <a:off x="4865433" y="2067675"/>
                            <a:ext cx="386080" cy="142240"/>
                          </a:xfrm>
                          <a:prstGeom prst="rect">
                            <a:avLst/>
                          </a:prstGeom>
                        </wps:spPr>
                        <wps:txbx>
                          <w:txbxContent>
                            <w:p>
                              <w:pPr>
                                <w:spacing w:before="0"/>
                                <w:ind w:left="0" w:right="0" w:firstLine="0"/>
                                <w:jc w:val="left"/>
                                <w:rPr>
                                  <w:rFonts w:ascii="Calibri"/>
                                  <w:sz w:val="18"/>
                                </w:rPr>
                              </w:pPr>
                              <w:r>
                                <w:rPr>
                                  <w:rFonts w:ascii="Calibri"/>
                                  <w:color w:val="404040"/>
                                  <w:spacing w:val="-2"/>
                                  <w:w w:val="110"/>
                                  <w:sz w:val="18"/>
                                </w:rPr>
                                <w:t>28,43%</w:t>
                              </w:r>
                            </w:p>
                          </w:txbxContent>
                        </wps:txbx>
                        <wps:bodyPr wrap="square" lIns="0" tIns="0" rIns="0" bIns="0" rtlCol="0">
                          <a:noAutofit/>
                        </wps:bodyPr>
                      </wps:wsp>
                      <wps:wsp>
                        <wps:cNvPr id="31" name="Textbox 31"/>
                        <wps:cNvSpPr txBox="1"/>
                        <wps:spPr>
                          <a:xfrm>
                            <a:off x="4100766" y="2260969"/>
                            <a:ext cx="386080" cy="142240"/>
                          </a:xfrm>
                          <a:prstGeom prst="rect">
                            <a:avLst/>
                          </a:prstGeom>
                        </wps:spPr>
                        <wps:txbx>
                          <w:txbxContent>
                            <w:p>
                              <w:pPr>
                                <w:spacing w:before="0"/>
                                <w:ind w:left="0" w:right="0" w:firstLine="0"/>
                                <w:jc w:val="left"/>
                                <w:rPr>
                                  <w:rFonts w:ascii="Calibri"/>
                                  <w:sz w:val="18"/>
                                </w:rPr>
                              </w:pPr>
                              <w:r>
                                <w:rPr>
                                  <w:rFonts w:ascii="Calibri"/>
                                  <w:color w:val="404040"/>
                                  <w:spacing w:val="-2"/>
                                  <w:w w:val="110"/>
                                  <w:sz w:val="18"/>
                                </w:rPr>
                                <w:t>22,17%</w:t>
                              </w:r>
                            </w:p>
                          </w:txbxContent>
                        </wps:txbx>
                        <wps:bodyPr wrap="square" lIns="0" tIns="0" rIns="0" bIns="0" rtlCol="0">
                          <a:noAutofit/>
                        </wps:bodyPr>
                      </wps:wsp>
                    </wpg:wgp>
                  </a:graphicData>
                </a:graphic>
              </wp:anchor>
            </w:drawing>
          </mc:Choice>
          <mc:Fallback>
            <w:pict>
              <v:group style="position:absolute;margin-left:84.675003pt;margin-top:12.228974pt;width:442.65pt;height:199.75pt;mso-position-horizontal-relative:page;mso-position-vertical-relative:paragraph;z-index:-15727616;mso-wrap-distance-left:0;mso-wrap-distance-right:0" id="docshapegroup13" coordorigin="1694,245" coordsize="8853,3995">
                <v:shape style="position:absolute;left:4427;top:480;width:4621;height:3524" id="docshape14" coordorigin="4427,480" coordsize="4621,3524" path="m4432,2914l4427,2914,4427,3092,4432,3092,4432,2914xm4432,1090l4427,1090,4427,1263,4432,1263,4432,1090xm4432,788l4427,788,4427,960,4432,960,4432,788xm4574,1392l4427,1392,4427,1570,4574,1570,4574,1392xm4747,2002l4427,2002,4427,2175,4747,2175,4747,2002xm5083,1700l4427,1700,4427,1872,5083,1872,5083,1700xm5654,480l4427,480,4427,658,5654,658,5654,480xm5923,2612l4427,2612,4427,2784,5923,2784,5923,2612xm6029,3221l4427,3221,4427,3394,6029,3394,6029,3221xm7008,2309l4427,2309,4427,2482,7008,2482,7008,2309xm8030,3826l4427,3826,4427,4004,8030,4004,8030,3826xm9048,3524l4427,3524,4427,3696,9048,3696,9048,3524xe" filled="true" fillcolor="#2c7ecf" stroked="false">
                  <v:path arrowok="t"/>
                  <v:fill type="solid"/>
                </v:shape>
                <v:shape style="position:absolute;left:4427;top:480;width:4621;height:3524" id="docshape15" coordorigin="4427,480" coordsize="4621,3524" path="m8030,4004l4427,4004,4427,3826,8030,3826,8030,4004xm9048,3696l4427,3696,4427,3524,9048,3524,9048,3696xm6029,3394l4427,3394,4427,3221,6029,3221,6029,3394xm4427,3092l4432,3092,4432,2914,4427,2914,4427,3092xm5923,2784l4427,2784,4427,2612,5923,2612,5923,2784xm7008,2482l4427,2482,4427,2309,7008,2309,7008,2482xm4747,2175l4427,2175,4427,2002,4747,2002,4747,2175xm5083,1872l4427,1872,4427,1700,5083,1700,5083,1872xm4574,1570l4427,1570,4427,1392,4574,1392,4574,1570xm4427,1263l4432,1263,4432,1090,4427,1090,4427,1263xm4427,960l4432,960,4432,788,4427,788,4427,960xm5654,658l4427,658,4427,480,5654,480,5654,658xe" filled="false" stroked="true" strokeweight=".75pt" strokecolor="#2c7ecf">
                  <v:path arrowok="t"/>
                  <v:stroke dashstyle="solid"/>
                </v:shape>
                <v:line style="position:absolute" from="4427,4067" to="4427,417" stroked="true" strokeweight=".75pt" strokecolor="#d9d9d9">
                  <v:stroke dashstyle="solid"/>
                </v:line>
                <v:rect style="position:absolute;left:1701;top:252;width:8838;height:3980" id="docshape16" filled="false" stroked="true" strokeweight=".75pt" strokecolor="#d9d9d9">
                  <v:stroke dashstyle="solid"/>
                </v:rect>
                <v:shape style="position:absolute;left:2095;top:465;width:2204;height:498" type="#_x0000_t202" id="docshape17" filled="false" stroked="false">
                  <v:textbox inset="0,0,0,0">
                    <w:txbxContent>
                      <w:p>
                        <w:pPr>
                          <w:spacing w:line="192" w:lineRule="exact" w:before="0"/>
                          <w:ind w:left="490" w:right="0" w:firstLine="0"/>
                          <w:jc w:val="left"/>
                          <w:rPr>
                            <w:rFonts w:ascii="Calibri"/>
                            <w:b/>
                            <w:sz w:val="16"/>
                          </w:rPr>
                        </w:pPr>
                        <w:r>
                          <w:rPr>
                            <w:rFonts w:ascii="Calibri"/>
                            <w:b/>
                            <w:color w:val="585858"/>
                            <w:w w:val="110"/>
                            <w:sz w:val="16"/>
                          </w:rPr>
                          <w:t>Empresas</w:t>
                        </w:r>
                        <w:r>
                          <w:rPr>
                            <w:rFonts w:ascii="Calibri"/>
                            <w:b/>
                            <w:color w:val="585858"/>
                            <w:spacing w:val="12"/>
                            <w:w w:val="115"/>
                            <w:sz w:val="16"/>
                          </w:rPr>
                          <w:t> </w:t>
                        </w:r>
                        <w:r>
                          <w:rPr>
                            <w:rFonts w:ascii="Calibri"/>
                            <w:b/>
                            <w:color w:val="585858"/>
                            <w:spacing w:val="-2"/>
                            <w:w w:val="115"/>
                            <w:sz w:val="16"/>
                          </w:rPr>
                          <w:t>Comerciales</w:t>
                        </w:r>
                      </w:p>
                      <w:p>
                        <w:pPr>
                          <w:spacing w:before="109"/>
                          <w:ind w:left="0" w:right="0" w:firstLine="0"/>
                          <w:jc w:val="left"/>
                          <w:rPr>
                            <w:rFonts w:ascii="Calibri"/>
                            <w:b/>
                            <w:sz w:val="16"/>
                          </w:rPr>
                        </w:pPr>
                        <w:r>
                          <w:rPr>
                            <w:rFonts w:ascii="Calibri"/>
                            <w:b/>
                            <w:color w:val="585858"/>
                            <w:w w:val="110"/>
                            <w:sz w:val="16"/>
                          </w:rPr>
                          <w:t>GOBIERNO</w:t>
                        </w:r>
                        <w:r>
                          <w:rPr>
                            <w:rFonts w:ascii="Calibri"/>
                            <w:b/>
                            <w:color w:val="585858"/>
                            <w:spacing w:val="-8"/>
                            <w:w w:val="110"/>
                            <w:sz w:val="16"/>
                          </w:rPr>
                          <w:t> </w:t>
                        </w:r>
                        <w:r>
                          <w:rPr>
                            <w:rFonts w:ascii="Calibri"/>
                            <w:b/>
                            <w:color w:val="585858"/>
                            <w:w w:val="110"/>
                            <w:sz w:val="16"/>
                          </w:rPr>
                          <w:t>CENTRAL</w:t>
                        </w:r>
                        <w:r>
                          <w:rPr>
                            <w:rFonts w:ascii="Calibri"/>
                            <w:b/>
                            <w:color w:val="585858"/>
                            <w:spacing w:val="-9"/>
                            <w:w w:val="110"/>
                            <w:sz w:val="16"/>
                          </w:rPr>
                          <w:t> </w:t>
                        </w:r>
                        <w:r>
                          <w:rPr>
                            <w:rFonts w:ascii="Calibri"/>
                            <w:b/>
                            <w:color w:val="585858"/>
                            <w:w w:val="110"/>
                            <w:sz w:val="16"/>
                          </w:rPr>
                          <w:t>MEP-</w:t>
                        </w:r>
                        <w:r>
                          <w:rPr>
                            <w:rFonts w:ascii="Calibri"/>
                            <w:b/>
                            <w:color w:val="585858"/>
                            <w:spacing w:val="-5"/>
                            <w:w w:val="110"/>
                            <w:sz w:val="16"/>
                          </w:rPr>
                          <w:t>240</w:t>
                        </w:r>
                      </w:p>
                    </w:txbxContent>
                  </v:textbox>
                  <w10:wrap type="none"/>
                </v:shape>
                <v:shape style="position:absolute;left:5771;top:458;width:512;height:223" type="#_x0000_t202" id="docshape18" filled="false" stroked="false">
                  <v:textbox inset="0,0,0,0">
                    <w:txbxContent>
                      <w:p>
                        <w:pPr>
                          <w:spacing w:before="0"/>
                          <w:ind w:left="0" w:right="0" w:firstLine="0"/>
                          <w:jc w:val="left"/>
                          <w:rPr>
                            <w:rFonts w:ascii="Calibri"/>
                            <w:sz w:val="18"/>
                          </w:rPr>
                        </w:pPr>
                        <w:r>
                          <w:rPr>
                            <w:rFonts w:ascii="Calibri"/>
                            <w:color w:val="404040"/>
                            <w:spacing w:val="-4"/>
                            <w:w w:val="110"/>
                            <w:sz w:val="18"/>
                          </w:rPr>
                          <w:t>7,54%</w:t>
                        </w:r>
                      </w:p>
                    </w:txbxContent>
                  </v:textbox>
                  <w10:wrap type="none"/>
                </v:shape>
                <v:shape style="position:absolute;left:4545;top:762;width:512;height:223" type="#_x0000_t202" id="docshape19" filled="false" stroked="false">
                  <v:textbox inset="0,0,0,0">
                    <w:txbxContent>
                      <w:p>
                        <w:pPr>
                          <w:spacing w:before="0"/>
                          <w:ind w:left="0" w:right="0" w:firstLine="0"/>
                          <w:jc w:val="left"/>
                          <w:rPr>
                            <w:rFonts w:ascii="Calibri"/>
                            <w:sz w:val="18"/>
                          </w:rPr>
                        </w:pPr>
                        <w:r>
                          <w:rPr>
                            <w:rFonts w:ascii="Calibri"/>
                            <w:color w:val="404040"/>
                            <w:spacing w:val="-4"/>
                            <w:w w:val="110"/>
                            <w:sz w:val="18"/>
                          </w:rPr>
                          <w:t>0,00%</w:t>
                        </w:r>
                      </w:p>
                    </w:txbxContent>
                  </v:textbox>
                  <w10:wrap type="none"/>
                </v:shape>
                <v:shape style="position:absolute;left:2759;top:1067;width:2300;height:223" type="#_x0000_t202" id="docshape20" filled="false" stroked="false">
                  <v:textbox inset="0,0,0,0">
                    <w:txbxContent>
                      <w:p>
                        <w:pPr>
                          <w:spacing w:line="220" w:lineRule="exact" w:before="0"/>
                          <w:ind w:left="0" w:right="0" w:firstLine="0"/>
                          <w:jc w:val="left"/>
                          <w:rPr>
                            <w:rFonts w:ascii="Calibri" w:hAnsi="Calibri"/>
                            <w:sz w:val="18"/>
                          </w:rPr>
                        </w:pPr>
                        <w:r>
                          <w:rPr>
                            <w:rFonts w:ascii="Calibri" w:hAnsi="Calibri"/>
                            <w:b/>
                            <w:color w:val="585858"/>
                            <w:w w:val="110"/>
                            <w:position w:val="2"/>
                            <w:sz w:val="16"/>
                          </w:rPr>
                          <w:t>GOBIERNO CENTRAL…</w:t>
                        </w:r>
                        <w:r>
                          <w:rPr>
                            <w:rFonts w:ascii="Calibri" w:hAnsi="Calibri"/>
                            <w:b/>
                            <w:color w:val="585858"/>
                            <w:spacing w:val="34"/>
                            <w:w w:val="110"/>
                            <w:position w:val="2"/>
                            <w:sz w:val="16"/>
                          </w:rPr>
                          <w:t>  </w:t>
                        </w:r>
                        <w:r>
                          <w:rPr>
                            <w:rFonts w:ascii="Calibri" w:hAnsi="Calibri"/>
                            <w:color w:val="404040"/>
                            <w:spacing w:val="-2"/>
                            <w:w w:val="110"/>
                            <w:sz w:val="18"/>
                          </w:rPr>
                          <w:t>0,01%</w:t>
                        </w:r>
                      </w:p>
                    </w:txbxContent>
                  </v:textbox>
                  <w10:wrap type="none"/>
                </v:shape>
                <v:shape style="position:absolute;left:1788;top:1378;width:2646;height:2628" type="#_x0000_t202" id="docshape21" filled="false" stroked="false">
                  <v:textbox inset="0,0,0,0">
                    <w:txbxContent>
                      <w:p>
                        <w:pPr>
                          <w:spacing w:line="192" w:lineRule="exact" w:before="0"/>
                          <w:ind w:left="0" w:right="154" w:firstLine="0"/>
                          <w:jc w:val="right"/>
                          <w:rPr>
                            <w:rFonts w:ascii="Calibri"/>
                            <w:b/>
                            <w:sz w:val="16"/>
                          </w:rPr>
                        </w:pPr>
                        <w:r>
                          <w:rPr>
                            <w:rFonts w:ascii="Calibri"/>
                            <w:b/>
                            <w:color w:val="585858"/>
                            <w:spacing w:val="4"/>
                            <w:sz w:val="16"/>
                          </w:rPr>
                          <w:t>Gobierno</w:t>
                        </w:r>
                        <w:r>
                          <w:rPr>
                            <w:rFonts w:ascii="Calibri"/>
                            <w:b/>
                            <w:color w:val="585858"/>
                            <w:spacing w:val="28"/>
                            <w:sz w:val="16"/>
                          </w:rPr>
                          <w:t> </w:t>
                        </w:r>
                        <w:r>
                          <w:rPr>
                            <w:rFonts w:ascii="Calibri"/>
                            <w:b/>
                            <w:color w:val="585858"/>
                            <w:spacing w:val="4"/>
                            <w:sz w:val="16"/>
                          </w:rPr>
                          <w:t>Central</w:t>
                        </w:r>
                        <w:r>
                          <w:rPr>
                            <w:rFonts w:ascii="Calibri"/>
                            <w:b/>
                            <w:color w:val="585858"/>
                            <w:spacing w:val="20"/>
                            <w:sz w:val="16"/>
                          </w:rPr>
                          <w:t> </w:t>
                        </w:r>
                        <w:r>
                          <w:rPr>
                            <w:rFonts w:ascii="Calibri"/>
                            <w:b/>
                            <w:color w:val="585858"/>
                            <w:spacing w:val="4"/>
                            <w:sz w:val="16"/>
                          </w:rPr>
                          <w:t>Avancemos</w:t>
                        </w:r>
                        <w:r>
                          <w:rPr>
                            <w:rFonts w:ascii="Calibri"/>
                            <w:b/>
                            <w:color w:val="585858"/>
                            <w:spacing w:val="28"/>
                            <w:sz w:val="16"/>
                          </w:rPr>
                          <w:t> </w:t>
                        </w:r>
                        <w:r>
                          <w:rPr>
                            <w:rFonts w:ascii="Calibri"/>
                            <w:b/>
                            <w:color w:val="585858"/>
                            <w:spacing w:val="-5"/>
                            <w:sz w:val="16"/>
                          </w:rPr>
                          <w:t>MEP</w:t>
                        </w:r>
                      </w:p>
                      <w:p>
                        <w:pPr>
                          <w:spacing w:before="109"/>
                          <w:ind w:left="395" w:right="0" w:firstLine="0"/>
                          <w:jc w:val="left"/>
                          <w:rPr>
                            <w:rFonts w:ascii="Calibri" w:hAnsi="Calibri"/>
                            <w:b/>
                            <w:sz w:val="16"/>
                          </w:rPr>
                        </w:pPr>
                        <w:r>
                          <w:rPr>
                            <w:rFonts w:ascii="Calibri" w:hAnsi="Calibri"/>
                            <w:b/>
                            <w:color w:val="585858"/>
                            <w:w w:val="110"/>
                            <w:sz w:val="16"/>
                          </w:rPr>
                          <w:t>GOBIERNO</w:t>
                        </w:r>
                        <w:r>
                          <w:rPr>
                            <w:rFonts w:ascii="Calibri" w:hAnsi="Calibri"/>
                            <w:b/>
                            <w:color w:val="585858"/>
                            <w:spacing w:val="-6"/>
                            <w:w w:val="110"/>
                            <w:sz w:val="16"/>
                          </w:rPr>
                          <w:t> </w:t>
                        </w:r>
                        <w:r>
                          <w:rPr>
                            <w:rFonts w:ascii="Calibri" w:hAnsi="Calibri"/>
                            <w:b/>
                            <w:color w:val="585858"/>
                            <w:w w:val="110"/>
                            <w:sz w:val="16"/>
                          </w:rPr>
                          <w:t>CENTRAL</w:t>
                        </w:r>
                        <w:r>
                          <w:rPr>
                            <w:rFonts w:ascii="Calibri" w:hAnsi="Calibri"/>
                            <w:b/>
                            <w:color w:val="585858"/>
                            <w:spacing w:val="-9"/>
                            <w:w w:val="110"/>
                            <w:sz w:val="16"/>
                          </w:rPr>
                          <w:t> </w:t>
                        </w:r>
                        <w:r>
                          <w:rPr>
                            <w:rFonts w:ascii="Calibri" w:hAnsi="Calibri"/>
                            <w:b/>
                            <w:color w:val="585858"/>
                            <w:w w:val="110"/>
                            <w:sz w:val="16"/>
                          </w:rPr>
                          <w:t>D-MEP-</w:t>
                        </w:r>
                        <w:r>
                          <w:rPr>
                            <w:rFonts w:ascii="Calibri" w:hAnsi="Calibri"/>
                            <w:b/>
                            <w:color w:val="585858"/>
                            <w:spacing w:val="-10"/>
                            <w:w w:val="110"/>
                            <w:sz w:val="16"/>
                          </w:rPr>
                          <w:t>…</w:t>
                        </w:r>
                      </w:p>
                      <w:p>
                        <w:pPr>
                          <w:spacing w:before="109"/>
                          <w:ind w:left="0" w:right="156" w:firstLine="0"/>
                          <w:jc w:val="right"/>
                          <w:rPr>
                            <w:rFonts w:ascii="Calibri"/>
                            <w:b/>
                            <w:sz w:val="16"/>
                          </w:rPr>
                        </w:pPr>
                        <w:r>
                          <w:rPr>
                            <w:rFonts w:ascii="Calibri"/>
                            <w:b/>
                            <w:color w:val="585858"/>
                            <w:w w:val="110"/>
                            <w:sz w:val="16"/>
                          </w:rPr>
                          <w:t>FODESAF</w:t>
                        </w:r>
                        <w:r>
                          <w:rPr>
                            <w:rFonts w:ascii="Calibri"/>
                            <w:b/>
                            <w:color w:val="585858"/>
                            <w:spacing w:val="-2"/>
                            <w:w w:val="110"/>
                            <w:sz w:val="16"/>
                          </w:rPr>
                          <w:t> </w:t>
                        </w:r>
                        <w:r>
                          <w:rPr>
                            <w:rFonts w:ascii="Calibri"/>
                            <w:b/>
                            <w:color w:val="585858"/>
                            <w:w w:val="110"/>
                            <w:sz w:val="16"/>
                          </w:rPr>
                          <w:t>Seguridad </w:t>
                        </w:r>
                        <w:r>
                          <w:rPr>
                            <w:rFonts w:ascii="Calibri"/>
                            <w:b/>
                            <w:color w:val="585858"/>
                            <w:spacing w:val="-2"/>
                            <w:w w:val="110"/>
                            <w:sz w:val="16"/>
                          </w:rPr>
                          <w:t>Alimentaria</w:t>
                        </w:r>
                      </w:p>
                      <w:p>
                        <w:pPr>
                          <w:spacing w:before="109"/>
                          <w:ind w:left="0" w:right="186" w:firstLine="0"/>
                          <w:jc w:val="right"/>
                          <w:rPr>
                            <w:rFonts w:ascii="Calibri"/>
                            <w:b/>
                            <w:sz w:val="16"/>
                          </w:rPr>
                        </w:pPr>
                        <w:r>
                          <w:rPr>
                            <w:rFonts w:ascii="Calibri"/>
                            <w:b/>
                            <w:color w:val="585858"/>
                            <w:w w:val="110"/>
                            <w:sz w:val="16"/>
                          </w:rPr>
                          <w:t>FODESAF</w:t>
                        </w:r>
                        <w:r>
                          <w:rPr>
                            <w:rFonts w:ascii="Calibri"/>
                            <w:b/>
                            <w:color w:val="585858"/>
                            <w:spacing w:val="5"/>
                            <w:w w:val="110"/>
                            <w:sz w:val="16"/>
                          </w:rPr>
                          <w:t> </w:t>
                        </w:r>
                        <w:r>
                          <w:rPr>
                            <w:rFonts w:ascii="Calibri"/>
                            <w:b/>
                            <w:color w:val="585858"/>
                            <w:spacing w:val="-2"/>
                            <w:w w:val="110"/>
                            <w:sz w:val="16"/>
                          </w:rPr>
                          <w:t>Avancemos</w:t>
                        </w:r>
                      </w:p>
                      <w:p>
                        <w:pPr>
                          <w:spacing w:line="374" w:lineRule="auto" w:before="109"/>
                          <w:ind w:left="924" w:right="154" w:firstLine="601"/>
                          <w:jc w:val="left"/>
                          <w:rPr>
                            <w:rFonts w:ascii="Calibri" w:hAnsi="Calibri"/>
                            <w:b/>
                            <w:sz w:val="16"/>
                          </w:rPr>
                        </w:pPr>
                        <w:r>
                          <w:rPr>
                            <w:rFonts w:ascii="Calibri" w:hAnsi="Calibri"/>
                            <w:b/>
                            <w:color w:val="585858"/>
                            <w:w w:val="110"/>
                            <w:sz w:val="16"/>
                          </w:rPr>
                          <w:t>Red</w:t>
                        </w:r>
                        <w:r>
                          <w:rPr>
                            <w:rFonts w:ascii="Calibri" w:hAnsi="Calibri"/>
                            <w:b/>
                            <w:color w:val="585858"/>
                            <w:spacing w:val="-10"/>
                            <w:w w:val="110"/>
                            <w:sz w:val="16"/>
                          </w:rPr>
                          <w:t> </w:t>
                        </w:r>
                        <w:r>
                          <w:rPr>
                            <w:rFonts w:ascii="Calibri" w:hAnsi="Calibri"/>
                            <w:b/>
                            <w:color w:val="585858"/>
                            <w:w w:val="110"/>
                            <w:sz w:val="16"/>
                          </w:rPr>
                          <w:t>de</w:t>
                        </w:r>
                        <w:r>
                          <w:rPr>
                            <w:rFonts w:ascii="Calibri" w:hAnsi="Calibri"/>
                            <w:b/>
                            <w:color w:val="585858"/>
                            <w:spacing w:val="-10"/>
                            <w:w w:val="110"/>
                            <w:sz w:val="16"/>
                          </w:rPr>
                          <w:t> </w:t>
                        </w:r>
                        <w:r>
                          <w:rPr>
                            <w:rFonts w:ascii="Calibri" w:hAnsi="Calibri"/>
                            <w:b/>
                            <w:color w:val="585858"/>
                            <w:w w:val="110"/>
                            <w:sz w:val="16"/>
                          </w:rPr>
                          <w:t>Cuido</w:t>
                        </w:r>
                        <w:r>
                          <w:rPr>
                            <w:rFonts w:ascii="Calibri" w:hAnsi="Calibri"/>
                            <w:b/>
                            <w:color w:val="585858"/>
                            <w:spacing w:val="40"/>
                            <w:w w:val="110"/>
                            <w:sz w:val="16"/>
                          </w:rPr>
                          <w:t> </w:t>
                        </w:r>
                        <w:r>
                          <w:rPr>
                            <w:rFonts w:ascii="Calibri" w:hAnsi="Calibri"/>
                            <w:b/>
                            <w:color w:val="585858"/>
                            <w:w w:val="110"/>
                            <w:sz w:val="16"/>
                          </w:rPr>
                          <w:t>FODESAF-</w:t>
                        </w:r>
                        <w:r>
                          <w:rPr>
                            <w:rFonts w:ascii="Calibri" w:hAnsi="Calibri"/>
                            <w:b/>
                            <w:color w:val="585858"/>
                            <w:spacing w:val="-2"/>
                            <w:w w:val="110"/>
                            <w:sz w:val="16"/>
                          </w:rPr>
                          <w:t>INFLACIÓN</w:t>
                        </w:r>
                      </w:p>
                      <w:p>
                        <w:pPr>
                          <w:spacing w:line="195" w:lineRule="exact" w:before="0"/>
                          <w:ind w:left="0" w:right="187" w:firstLine="0"/>
                          <w:jc w:val="right"/>
                          <w:rPr>
                            <w:rFonts w:ascii="Calibri"/>
                            <w:b/>
                            <w:sz w:val="16"/>
                          </w:rPr>
                        </w:pPr>
                        <w:r>
                          <w:rPr>
                            <w:rFonts w:ascii="Calibri"/>
                            <w:b/>
                            <w:color w:val="585858"/>
                            <w:sz w:val="16"/>
                          </w:rPr>
                          <w:t>209</w:t>
                        </w:r>
                        <w:r>
                          <w:rPr>
                            <w:rFonts w:ascii="Calibri"/>
                            <w:b/>
                            <w:color w:val="585858"/>
                            <w:spacing w:val="45"/>
                            <w:sz w:val="16"/>
                          </w:rPr>
                          <w:t> </w:t>
                        </w:r>
                        <w:r>
                          <w:rPr>
                            <w:rFonts w:ascii="Calibri"/>
                            <w:b/>
                            <w:color w:val="585858"/>
                            <w:sz w:val="16"/>
                          </w:rPr>
                          <w:t>FOD-</w:t>
                        </w:r>
                        <w:r>
                          <w:rPr>
                            <w:rFonts w:ascii="Calibri"/>
                            <w:b/>
                            <w:color w:val="585858"/>
                            <w:spacing w:val="-2"/>
                            <w:sz w:val="16"/>
                          </w:rPr>
                          <w:t>Avancemos</w:t>
                        </w:r>
                      </w:p>
                      <w:p>
                        <w:pPr>
                          <w:spacing w:before="109"/>
                          <w:ind w:left="0" w:right="151" w:firstLine="0"/>
                          <w:jc w:val="right"/>
                          <w:rPr>
                            <w:rFonts w:ascii="Calibri"/>
                            <w:b/>
                            <w:sz w:val="16"/>
                          </w:rPr>
                        </w:pPr>
                        <w:r>
                          <w:rPr>
                            <w:rFonts w:ascii="Calibri"/>
                            <w:b/>
                            <w:color w:val="585858"/>
                            <w:spacing w:val="-2"/>
                            <w:w w:val="115"/>
                            <w:sz w:val="16"/>
                          </w:rPr>
                          <w:t>FODESAF</w:t>
                        </w:r>
                      </w:p>
                      <w:p>
                        <w:pPr>
                          <w:spacing w:before="108"/>
                          <w:ind w:left="0" w:right="152" w:firstLine="0"/>
                          <w:jc w:val="right"/>
                          <w:rPr>
                            <w:rFonts w:ascii="Calibri"/>
                            <w:b/>
                            <w:sz w:val="16"/>
                          </w:rPr>
                        </w:pPr>
                        <w:r>
                          <w:rPr>
                            <w:rFonts w:ascii="Calibri"/>
                            <w:b/>
                            <w:color w:val="585858"/>
                            <w:spacing w:val="-2"/>
                            <w:w w:val="110"/>
                            <w:sz w:val="16"/>
                          </w:rPr>
                          <w:t>Propios</w:t>
                        </w:r>
                      </w:p>
                    </w:txbxContent>
                  </v:textbox>
                  <w10:wrap type="none"/>
                </v:shape>
                <v:shape style="position:absolute;left:4691;top:1371;width:512;height:223" type="#_x0000_t202" id="docshape22" filled="false" stroked="false">
                  <v:textbox inset="0,0,0,0">
                    <w:txbxContent>
                      <w:p>
                        <w:pPr>
                          <w:spacing w:before="0"/>
                          <w:ind w:left="0" w:right="0" w:firstLine="0"/>
                          <w:jc w:val="left"/>
                          <w:rPr>
                            <w:rFonts w:ascii="Calibri"/>
                            <w:sz w:val="18"/>
                          </w:rPr>
                        </w:pPr>
                        <w:r>
                          <w:rPr>
                            <w:rFonts w:ascii="Calibri"/>
                            <w:color w:val="404040"/>
                            <w:spacing w:val="-4"/>
                            <w:w w:val="110"/>
                            <w:sz w:val="18"/>
                          </w:rPr>
                          <w:t>0,90%</w:t>
                        </w:r>
                      </w:p>
                    </w:txbxContent>
                  </v:textbox>
                  <w10:wrap type="none"/>
                </v:shape>
                <v:shape style="position:absolute;left:4865;top:1675;width:849;height:527" type="#_x0000_t202" id="docshape23" filled="false" stroked="false">
                  <v:textbox inset="0,0,0,0">
                    <w:txbxContent>
                      <w:p>
                        <w:pPr>
                          <w:spacing w:before="0"/>
                          <w:ind w:left="337" w:right="0" w:firstLine="0"/>
                          <w:jc w:val="left"/>
                          <w:rPr>
                            <w:rFonts w:ascii="Calibri"/>
                            <w:sz w:val="18"/>
                          </w:rPr>
                        </w:pPr>
                        <w:r>
                          <w:rPr>
                            <w:rFonts w:ascii="Calibri"/>
                            <w:color w:val="404040"/>
                            <w:spacing w:val="-4"/>
                            <w:w w:val="110"/>
                            <w:sz w:val="18"/>
                          </w:rPr>
                          <w:t>4,04%</w:t>
                        </w:r>
                      </w:p>
                      <w:p>
                        <w:pPr>
                          <w:spacing w:before="84"/>
                          <w:ind w:left="0" w:right="0" w:firstLine="0"/>
                          <w:jc w:val="left"/>
                          <w:rPr>
                            <w:rFonts w:ascii="Calibri"/>
                            <w:sz w:val="18"/>
                          </w:rPr>
                        </w:pPr>
                        <w:r>
                          <w:rPr>
                            <w:rFonts w:ascii="Calibri"/>
                            <w:color w:val="404040"/>
                            <w:spacing w:val="-4"/>
                            <w:w w:val="110"/>
                            <w:sz w:val="18"/>
                          </w:rPr>
                          <w:t>1,96%</w:t>
                        </w:r>
                      </w:p>
                    </w:txbxContent>
                  </v:textbox>
                  <w10:wrap type="none"/>
                </v:shape>
                <v:shape style="position:absolute;left:7128;top:2284;width:610;height:223" type="#_x0000_t202" id="docshape24" filled="false" stroked="false">
                  <v:textbox inset="0,0,0,0">
                    <w:txbxContent>
                      <w:p>
                        <w:pPr>
                          <w:spacing w:before="0"/>
                          <w:ind w:left="0" w:right="0" w:firstLine="0"/>
                          <w:jc w:val="left"/>
                          <w:rPr>
                            <w:rFonts w:ascii="Calibri"/>
                            <w:sz w:val="18"/>
                          </w:rPr>
                        </w:pPr>
                        <w:r>
                          <w:rPr>
                            <w:rFonts w:ascii="Calibri"/>
                            <w:color w:val="404040"/>
                            <w:spacing w:val="-2"/>
                            <w:w w:val="110"/>
                            <w:sz w:val="18"/>
                          </w:rPr>
                          <w:t>15,88%</w:t>
                        </w:r>
                      </w:p>
                    </w:txbxContent>
                  </v:textbox>
                  <w10:wrap type="none"/>
                </v:shape>
                <v:shape style="position:absolute;left:6042;top:2588;width:512;height:223" type="#_x0000_t202" id="docshape25" filled="false" stroked="false">
                  <v:textbox inset="0,0,0,0">
                    <w:txbxContent>
                      <w:p>
                        <w:pPr>
                          <w:spacing w:before="0"/>
                          <w:ind w:left="0" w:right="0" w:firstLine="0"/>
                          <w:jc w:val="left"/>
                          <w:rPr>
                            <w:rFonts w:ascii="Calibri"/>
                            <w:sz w:val="18"/>
                          </w:rPr>
                        </w:pPr>
                        <w:r>
                          <w:rPr>
                            <w:rFonts w:ascii="Calibri"/>
                            <w:color w:val="404040"/>
                            <w:spacing w:val="-4"/>
                            <w:w w:val="110"/>
                            <w:sz w:val="18"/>
                          </w:rPr>
                          <w:t>9,20%</w:t>
                        </w:r>
                      </w:p>
                    </w:txbxContent>
                  </v:textbox>
                  <w10:wrap type="none"/>
                </v:shape>
                <v:shape style="position:absolute;left:4549;top:2893;width:512;height:223" type="#_x0000_t202" id="docshape26" filled="false" stroked="false">
                  <v:textbox inset="0,0,0,0">
                    <w:txbxContent>
                      <w:p>
                        <w:pPr>
                          <w:spacing w:before="0"/>
                          <w:ind w:left="0" w:right="0" w:firstLine="0"/>
                          <w:jc w:val="left"/>
                          <w:rPr>
                            <w:rFonts w:ascii="Calibri"/>
                            <w:sz w:val="18"/>
                          </w:rPr>
                        </w:pPr>
                        <w:r>
                          <w:rPr>
                            <w:rFonts w:ascii="Calibri"/>
                            <w:color w:val="404040"/>
                            <w:spacing w:val="-4"/>
                            <w:w w:val="110"/>
                            <w:sz w:val="18"/>
                          </w:rPr>
                          <w:t>0,02%</w:t>
                        </w:r>
                      </w:p>
                    </w:txbxContent>
                  </v:textbox>
                  <w10:wrap type="none"/>
                </v:shape>
                <v:shape style="position:absolute;left:6147;top:3197;width:512;height:223" type="#_x0000_t202" id="docshape27" filled="false" stroked="false">
                  <v:textbox inset="0,0,0,0">
                    <w:txbxContent>
                      <w:p>
                        <w:pPr>
                          <w:spacing w:before="0"/>
                          <w:ind w:left="0" w:right="0" w:firstLine="0"/>
                          <w:jc w:val="left"/>
                          <w:rPr>
                            <w:rFonts w:ascii="Calibri"/>
                            <w:sz w:val="18"/>
                          </w:rPr>
                        </w:pPr>
                        <w:r>
                          <w:rPr>
                            <w:rFonts w:ascii="Calibri"/>
                            <w:color w:val="404040"/>
                            <w:spacing w:val="-4"/>
                            <w:w w:val="110"/>
                            <w:sz w:val="18"/>
                          </w:rPr>
                          <w:t>9,85%</w:t>
                        </w:r>
                      </w:p>
                    </w:txbxContent>
                  </v:textbox>
                  <w10:wrap type="none"/>
                </v:shape>
                <v:shape style="position:absolute;left:9355;top:3500;width:608;height:224" type="#_x0000_t202" id="docshape28" filled="false" stroked="false">
                  <v:textbox inset="0,0,0,0">
                    <w:txbxContent>
                      <w:p>
                        <w:pPr>
                          <w:spacing w:before="0"/>
                          <w:ind w:left="0" w:right="0" w:firstLine="0"/>
                          <w:jc w:val="left"/>
                          <w:rPr>
                            <w:rFonts w:ascii="Calibri"/>
                            <w:sz w:val="18"/>
                          </w:rPr>
                        </w:pPr>
                        <w:r>
                          <w:rPr>
                            <w:rFonts w:ascii="Calibri"/>
                            <w:color w:val="404040"/>
                            <w:spacing w:val="-2"/>
                            <w:w w:val="110"/>
                            <w:sz w:val="18"/>
                          </w:rPr>
                          <w:t>28,43%</w:t>
                        </w:r>
                      </w:p>
                    </w:txbxContent>
                  </v:textbox>
                  <w10:wrap type="none"/>
                </v:shape>
                <v:shape style="position:absolute;left:8151;top:3805;width:608;height:224" type="#_x0000_t202" id="docshape29" filled="false" stroked="false">
                  <v:textbox inset="0,0,0,0">
                    <w:txbxContent>
                      <w:p>
                        <w:pPr>
                          <w:spacing w:before="0"/>
                          <w:ind w:left="0" w:right="0" w:firstLine="0"/>
                          <w:jc w:val="left"/>
                          <w:rPr>
                            <w:rFonts w:ascii="Calibri"/>
                            <w:sz w:val="18"/>
                          </w:rPr>
                        </w:pPr>
                        <w:r>
                          <w:rPr>
                            <w:rFonts w:ascii="Calibri"/>
                            <w:color w:val="404040"/>
                            <w:spacing w:val="-2"/>
                            <w:w w:val="110"/>
                            <w:sz w:val="18"/>
                          </w:rPr>
                          <w:t>22,17%</w:t>
                        </w:r>
                      </w:p>
                    </w:txbxContent>
                  </v:textbox>
                  <w10:wrap type="none"/>
                </v:shape>
                <w10:wrap type="topAndBottom"/>
              </v:group>
            </w:pict>
          </mc:Fallback>
        </mc:AlternateContent>
      </w:r>
    </w:p>
    <w:p>
      <w:pPr>
        <w:pStyle w:val="BodyText"/>
        <w:spacing w:before="3"/>
        <w:rPr>
          <w:b/>
        </w:rPr>
      </w:pPr>
    </w:p>
    <w:p>
      <w:pPr>
        <w:spacing w:before="0"/>
        <w:ind w:left="979" w:right="0" w:firstLine="0"/>
        <w:jc w:val="both"/>
        <w:rPr>
          <w:b/>
          <w:sz w:val="18"/>
        </w:rPr>
      </w:pPr>
      <w:r>
        <w:rPr>
          <w:b/>
          <w:sz w:val="18"/>
        </w:rPr>
        <w:t>Fuente:</w:t>
      </w:r>
      <w:r>
        <w:rPr>
          <w:b/>
          <w:spacing w:val="-8"/>
          <w:sz w:val="18"/>
        </w:rPr>
        <w:t> </w:t>
      </w:r>
      <w:r>
        <w:rPr>
          <w:b/>
          <w:sz w:val="18"/>
        </w:rPr>
        <w:t>Informe</w:t>
      </w:r>
      <w:r>
        <w:rPr>
          <w:b/>
          <w:spacing w:val="-7"/>
          <w:sz w:val="18"/>
        </w:rPr>
        <w:t> </w:t>
      </w:r>
      <w:r>
        <w:rPr>
          <w:b/>
          <w:sz w:val="18"/>
        </w:rPr>
        <w:t>de</w:t>
      </w:r>
      <w:r>
        <w:rPr>
          <w:b/>
          <w:spacing w:val="-6"/>
          <w:sz w:val="18"/>
        </w:rPr>
        <w:t> </w:t>
      </w:r>
      <w:r>
        <w:rPr>
          <w:b/>
          <w:sz w:val="18"/>
        </w:rPr>
        <w:t>Liquidación</w:t>
      </w:r>
      <w:r>
        <w:rPr>
          <w:b/>
          <w:spacing w:val="-7"/>
          <w:sz w:val="18"/>
        </w:rPr>
        <w:t> </w:t>
      </w:r>
      <w:r>
        <w:rPr>
          <w:b/>
          <w:sz w:val="18"/>
        </w:rPr>
        <w:t>Presupuestaria</w:t>
      </w:r>
      <w:r>
        <w:rPr>
          <w:b/>
          <w:spacing w:val="-10"/>
          <w:sz w:val="18"/>
        </w:rPr>
        <w:t> </w:t>
      </w:r>
      <w:r>
        <w:rPr>
          <w:b/>
          <w:spacing w:val="-4"/>
          <w:sz w:val="18"/>
        </w:rPr>
        <w:t>2024</w:t>
      </w:r>
    </w:p>
    <w:p>
      <w:pPr>
        <w:spacing w:after="0"/>
        <w:jc w:val="both"/>
        <w:rPr>
          <w:b/>
          <w:sz w:val="18"/>
        </w:rPr>
        <w:sectPr>
          <w:type w:val="continuous"/>
          <w:pgSz w:w="12240" w:h="15840"/>
          <w:pgMar w:header="0" w:footer="1021" w:top="1400" w:bottom="1220" w:left="720" w:right="360"/>
        </w:sectPr>
      </w:pPr>
    </w:p>
    <w:p>
      <w:pPr>
        <w:pStyle w:val="BodyText"/>
        <w:spacing w:line="276" w:lineRule="auto" w:before="76"/>
        <w:ind w:left="979" w:right="1331"/>
        <w:jc w:val="both"/>
      </w:pPr>
      <w:r>
        <w:rPr/>
        <w:t>Del gráfico anterior se desprende que el mayor porcentaje de ingresos lo constituyen los recursos que provienen de FODESAF propiamente inciso b) con un 28.43%</w:t>
      </w:r>
      <w:r>
        <w:rPr>
          <w:b/>
        </w:rPr>
        <w:t>, </w:t>
      </w:r>
      <w:r>
        <w:rPr/>
        <w:t>recursos de Propios un 22.17%, del FODESAF-Avancemos con un 15.88%, seguido de la fuente 209-FOD-MEP-Avancemos</w:t>
      </w:r>
      <w:r>
        <w:rPr>
          <w:spacing w:val="-6"/>
        </w:rPr>
        <w:t> </w:t>
      </w:r>
      <w:r>
        <w:rPr/>
        <w:t>un</w:t>
      </w:r>
      <w:r>
        <w:rPr>
          <w:spacing w:val="-4"/>
        </w:rPr>
        <w:t> </w:t>
      </w:r>
      <w:r>
        <w:rPr/>
        <w:t>9.85%</w:t>
      </w:r>
      <w:r>
        <w:rPr>
          <w:b/>
        </w:rPr>
        <w:t>, </w:t>
      </w:r>
      <w:r>
        <w:rPr/>
        <w:t>Red Cuido un</w:t>
      </w:r>
      <w:r>
        <w:rPr>
          <w:spacing w:val="-4"/>
        </w:rPr>
        <w:t> </w:t>
      </w:r>
      <w:r>
        <w:rPr/>
        <w:t>9.20%</w:t>
      </w:r>
      <w:r>
        <w:rPr>
          <w:b/>
        </w:rPr>
        <w:t>, </w:t>
      </w:r>
      <w:r>
        <w:rPr/>
        <w:t>Empresas</w:t>
      </w:r>
      <w:r>
        <w:rPr>
          <w:spacing w:val="-1"/>
        </w:rPr>
        <w:t> </w:t>
      </w:r>
      <w:r>
        <w:rPr/>
        <w:t>Comerciales</w:t>
      </w:r>
      <w:r>
        <w:rPr>
          <w:spacing w:val="-6"/>
        </w:rPr>
        <w:t> </w:t>
      </w:r>
      <w:r>
        <w:rPr/>
        <w:t>un</w:t>
      </w:r>
      <w:r>
        <w:rPr>
          <w:spacing w:val="-4"/>
        </w:rPr>
        <w:t> </w:t>
      </w:r>
      <w:r>
        <w:rPr/>
        <w:t>7.54%, y D-MEP-Avancemos con un 4.04</w:t>
      </w:r>
      <w:r>
        <w:rPr>
          <w:b/>
        </w:rPr>
        <w:t>%, </w:t>
      </w:r>
      <w:r>
        <w:rPr/>
        <w:t>Seguridad Alimentaria con un 1.96%, Recursos de Avancemos MEP un 0.90%, FODESAF-Inflación con un 0.02% y Emergencias con un </w:t>
      </w:r>
      <w:r>
        <w:rPr>
          <w:spacing w:val="-2"/>
        </w:rPr>
        <w:t>0.01%.</w:t>
      </w:r>
    </w:p>
    <w:p>
      <w:pPr>
        <w:pStyle w:val="BodyText"/>
        <w:spacing w:before="41"/>
      </w:pPr>
    </w:p>
    <w:p>
      <w:pPr>
        <w:pStyle w:val="Heading2"/>
        <w:spacing w:line="237" w:lineRule="auto"/>
        <w:ind w:right="894"/>
      </w:pPr>
      <w:bookmarkStart w:name="_bookmark14" w:id="15"/>
      <w:bookmarkEnd w:id="15"/>
      <w:r>
        <w:rPr>
          <w:b w:val="0"/>
        </w:rPr>
      </w:r>
      <w:r>
        <w:rPr/>
        <w:t>Tabla 5: Ingresos nominales reales según fuente de financiamiento en el año 2024 (en miles de colones)</w:t>
      </w:r>
    </w:p>
    <w:p>
      <w:pPr>
        <w:pStyle w:val="BodyText"/>
        <w:spacing w:before="50"/>
        <w:rPr>
          <w:b/>
          <w:sz w:val="20"/>
        </w:rPr>
      </w:pPr>
    </w:p>
    <w:tbl>
      <w:tblPr>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74"/>
        <w:gridCol w:w="1672"/>
        <w:gridCol w:w="1825"/>
        <w:gridCol w:w="1802"/>
        <w:gridCol w:w="1322"/>
        <w:gridCol w:w="789"/>
      </w:tblGrid>
      <w:tr>
        <w:trPr>
          <w:trHeight w:val="642" w:hRule="atLeast"/>
        </w:trPr>
        <w:tc>
          <w:tcPr>
            <w:tcW w:w="3174" w:type="dxa"/>
            <w:vMerge w:val="restart"/>
            <w:shd w:val="clear" w:color="auto" w:fill="0E233D"/>
          </w:tcPr>
          <w:p>
            <w:pPr>
              <w:pStyle w:val="TableParagraph"/>
              <w:rPr>
                <w:b/>
                <w:sz w:val="14"/>
              </w:rPr>
            </w:pPr>
          </w:p>
          <w:p>
            <w:pPr>
              <w:pStyle w:val="TableParagraph"/>
              <w:spacing w:before="16"/>
              <w:rPr>
                <w:b/>
                <w:sz w:val="14"/>
              </w:rPr>
            </w:pPr>
          </w:p>
          <w:p>
            <w:pPr>
              <w:pStyle w:val="TableParagraph"/>
              <w:spacing w:before="1"/>
              <w:ind w:left="7"/>
              <w:jc w:val="center"/>
              <w:rPr>
                <w:b/>
                <w:sz w:val="14"/>
              </w:rPr>
            </w:pPr>
            <w:r>
              <w:rPr>
                <w:b/>
                <w:color w:val="FFFFFF"/>
                <w:spacing w:val="-2"/>
                <w:sz w:val="14"/>
              </w:rPr>
              <w:t>Concepto</w:t>
            </w:r>
          </w:p>
        </w:tc>
        <w:tc>
          <w:tcPr>
            <w:tcW w:w="1672" w:type="dxa"/>
            <w:vMerge w:val="restart"/>
            <w:shd w:val="clear" w:color="auto" w:fill="0E233D"/>
          </w:tcPr>
          <w:p>
            <w:pPr>
              <w:pStyle w:val="TableParagraph"/>
              <w:spacing w:before="14"/>
              <w:rPr>
                <w:b/>
                <w:sz w:val="14"/>
              </w:rPr>
            </w:pPr>
          </w:p>
          <w:p>
            <w:pPr>
              <w:pStyle w:val="TableParagraph"/>
              <w:ind w:left="345" w:right="334" w:firstLine="5"/>
              <w:jc w:val="center"/>
              <w:rPr>
                <w:b/>
                <w:sz w:val="14"/>
              </w:rPr>
            </w:pPr>
            <w:r>
              <w:rPr>
                <w:b/>
                <w:color w:val="FFFFFF"/>
                <w:spacing w:val="-2"/>
                <w:sz w:val="14"/>
              </w:rPr>
              <w:t>Ingresos</w:t>
            </w:r>
            <w:r>
              <w:rPr>
                <w:b/>
                <w:color w:val="FFFFFF"/>
                <w:spacing w:val="40"/>
                <w:sz w:val="14"/>
              </w:rPr>
              <w:t> </w:t>
            </w:r>
            <w:r>
              <w:rPr>
                <w:b/>
                <w:color w:val="FFFFFF"/>
                <w:spacing w:val="-2"/>
                <w:sz w:val="14"/>
              </w:rPr>
              <w:t>institucionales</w:t>
            </w:r>
            <w:r>
              <w:rPr>
                <w:b/>
                <w:color w:val="FFFFFF"/>
                <w:spacing w:val="40"/>
                <w:sz w:val="14"/>
              </w:rPr>
              <w:t> </w:t>
            </w:r>
            <w:r>
              <w:rPr>
                <w:b/>
                <w:color w:val="FFFFFF"/>
                <w:spacing w:val="-2"/>
                <w:sz w:val="14"/>
              </w:rPr>
              <w:t>proyectados</w:t>
            </w:r>
          </w:p>
        </w:tc>
        <w:tc>
          <w:tcPr>
            <w:tcW w:w="1825" w:type="dxa"/>
            <w:vMerge w:val="restart"/>
            <w:shd w:val="clear" w:color="auto" w:fill="0E233D"/>
          </w:tcPr>
          <w:p>
            <w:pPr>
              <w:pStyle w:val="TableParagraph"/>
              <w:spacing w:before="14"/>
              <w:rPr>
                <w:b/>
                <w:sz w:val="14"/>
              </w:rPr>
            </w:pPr>
          </w:p>
          <w:p>
            <w:pPr>
              <w:pStyle w:val="TableParagraph"/>
              <w:ind w:left="162" w:right="162" w:hanging="1"/>
              <w:jc w:val="center"/>
              <w:rPr>
                <w:b/>
                <w:sz w:val="14"/>
              </w:rPr>
            </w:pPr>
            <w:r>
              <w:rPr>
                <w:b/>
                <w:color w:val="FFFFFF"/>
                <w:sz w:val="14"/>
              </w:rPr>
              <w:t>Ingresos</w:t>
            </w:r>
            <w:r>
              <w:rPr>
                <w:b/>
                <w:color w:val="FFFFFF"/>
                <w:spacing w:val="-4"/>
                <w:sz w:val="14"/>
              </w:rPr>
              <w:t> </w:t>
            </w:r>
            <w:r>
              <w:rPr>
                <w:b/>
                <w:color w:val="FFFFFF"/>
                <w:sz w:val="14"/>
              </w:rPr>
              <w:t>proyectados</w:t>
            </w:r>
            <w:r>
              <w:rPr>
                <w:b/>
                <w:color w:val="FFFFFF"/>
                <w:spacing w:val="40"/>
                <w:sz w:val="14"/>
              </w:rPr>
              <w:t> </w:t>
            </w:r>
            <w:r>
              <w:rPr>
                <w:b/>
                <w:color w:val="FFFFFF"/>
                <w:sz w:val="14"/>
              </w:rPr>
              <w:t>acumulados</w:t>
            </w:r>
            <w:r>
              <w:rPr>
                <w:b/>
                <w:color w:val="FFFFFF"/>
                <w:spacing w:val="-10"/>
                <w:sz w:val="14"/>
              </w:rPr>
              <w:t> </w:t>
            </w:r>
            <w:r>
              <w:rPr>
                <w:b/>
                <w:color w:val="FFFFFF"/>
                <w:sz w:val="14"/>
              </w:rPr>
              <w:t>al</w:t>
            </w:r>
            <w:r>
              <w:rPr>
                <w:b/>
                <w:color w:val="FFFFFF"/>
                <w:spacing w:val="-10"/>
                <w:sz w:val="14"/>
              </w:rPr>
              <w:t> </w:t>
            </w:r>
            <w:r>
              <w:rPr>
                <w:b/>
                <w:color w:val="FFFFFF"/>
                <w:sz w:val="14"/>
              </w:rPr>
              <w:t>mes</w:t>
            </w:r>
            <w:r>
              <w:rPr>
                <w:b/>
                <w:color w:val="FFFFFF"/>
                <w:spacing w:val="-10"/>
                <w:sz w:val="14"/>
              </w:rPr>
              <w:t> </w:t>
            </w:r>
            <w:r>
              <w:rPr>
                <w:b/>
                <w:color w:val="FFFFFF"/>
                <w:sz w:val="14"/>
              </w:rPr>
              <w:t>de</w:t>
            </w:r>
            <w:r>
              <w:rPr>
                <w:b/>
                <w:color w:val="FFFFFF"/>
                <w:spacing w:val="40"/>
                <w:sz w:val="14"/>
              </w:rPr>
              <w:t> </w:t>
            </w:r>
            <w:r>
              <w:rPr>
                <w:b/>
                <w:color w:val="FFFFFF"/>
                <w:spacing w:val="-2"/>
                <w:sz w:val="14"/>
              </w:rPr>
              <w:t>diciembre</w:t>
            </w:r>
          </w:p>
        </w:tc>
        <w:tc>
          <w:tcPr>
            <w:tcW w:w="1802" w:type="dxa"/>
            <w:vMerge w:val="restart"/>
            <w:shd w:val="clear" w:color="auto" w:fill="0E233D"/>
          </w:tcPr>
          <w:p>
            <w:pPr>
              <w:pStyle w:val="TableParagraph"/>
              <w:spacing w:before="14"/>
              <w:rPr>
                <w:b/>
                <w:sz w:val="14"/>
              </w:rPr>
            </w:pPr>
          </w:p>
          <w:p>
            <w:pPr>
              <w:pStyle w:val="TableParagraph"/>
              <w:ind w:left="156" w:right="144" w:hanging="4"/>
              <w:jc w:val="center"/>
              <w:rPr>
                <w:b/>
                <w:sz w:val="14"/>
              </w:rPr>
            </w:pPr>
            <w:r>
              <w:rPr>
                <w:b/>
                <w:color w:val="FFFFFF"/>
                <w:sz w:val="14"/>
              </w:rPr>
              <w:t>Ingresos</w:t>
            </w:r>
            <w:r>
              <w:rPr>
                <w:b/>
                <w:color w:val="FFFFFF"/>
                <w:spacing w:val="-4"/>
                <w:sz w:val="14"/>
              </w:rPr>
              <w:t> </w:t>
            </w:r>
            <w:r>
              <w:rPr>
                <w:b/>
                <w:color w:val="FFFFFF"/>
                <w:sz w:val="14"/>
              </w:rPr>
              <w:t>reales</w:t>
            </w:r>
            <w:r>
              <w:rPr>
                <w:b/>
                <w:color w:val="FFFFFF"/>
                <w:spacing w:val="40"/>
                <w:sz w:val="14"/>
              </w:rPr>
              <w:t> </w:t>
            </w:r>
            <w:r>
              <w:rPr>
                <w:b/>
                <w:color w:val="FFFFFF"/>
                <w:sz w:val="14"/>
              </w:rPr>
              <w:t>acumulados</w:t>
            </w:r>
            <w:r>
              <w:rPr>
                <w:b/>
                <w:color w:val="FFFFFF"/>
                <w:spacing w:val="-10"/>
                <w:sz w:val="14"/>
              </w:rPr>
              <w:t> </w:t>
            </w:r>
            <w:r>
              <w:rPr>
                <w:b/>
                <w:color w:val="FFFFFF"/>
                <w:sz w:val="14"/>
              </w:rPr>
              <w:t>al</w:t>
            </w:r>
            <w:r>
              <w:rPr>
                <w:b/>
                <w:color w:val="FFFFFF"/>
                <w:spacing w:val="-10"/>
                <w:sz w:val="14"/>
              </w:rPr>
              <w:t> </w:t>
            </w:r>
            <w:r>
              <w:rPr>
                <w:b/>
                <w:color w:val="FFFFFF"/>
                <w:sz w:val="14"/>
              </w:rPr>
              <w:t>mes</w:t>
            </w:r>
            <w:r>
              <w:rPr>
                <w:b/>
                <w:color w:val="FFFFFF"/>
                <w:spacing w:val="-10"/>
                <w:sz w:val="14"/>
              </w:rPr>
              <w:t> </w:t>
            </w:r>
            <w:r>
              <w:rPr>
                <w:b/>
                <w:color w:val="FFFFFF"/>
                <w:sz w:val="14"/>
              </w:rPr>
              <w:t>de</w:t>
            </w:r>
            <w:r>
              <w:rPr>
                <w:b/>
                <w:color w:val="FFFFFF"/>
                <w:spacing w:val="40"/>
                <w:sz w:val="14"/>
              </w:rPr>
              <w:t> </w:t>
            </w:r>
            <w:r>
              <w:rPr>
                <w:b/>
                <w:color w:val="FFFFFF"/>
                <w:spacing w:val="-2"/>
                <w:sz w:val="14"/>
              </w:rPr>
              <w:t>diciembre</w:t>
            </w:r>
          </w:p>
        </w:tc>
        <w:tc>
          <w:tcPr>
            <w:tcW w:w="2111" w:type="dxa"/>
            <w:gridSpan w:val="2"/>
            <w:shd w:val="clear" w:color="auto" w:fill="0E233D"/>
          </w:tcPr>
          <w:p>
            <w:pPr>
              <w:pStyle w:val="TableParagraph"/>
              <w:spacing w:before="3"/>
              <w:ind w:left="9" w:right="1"/>
              <w:jc w:val="center"/>
              <w:rPr>
                <w:b/>
                <w:sz w:val="14"/>
              </w:rPr>
            </w:pPr>
            <w:r>
              <w:rPr>
                <w:b/>
                <w:color w:val="FFFFFF"/>
                <w:sz w:val="14"/>
              </w:rPr>
              <w:t>Variaciones</w:t>
            </w:r>
            <w:r>
              <w:rPr>
                <w:b/>
                <w:color w:val="FFFFFF"/>
                <w:spacing w:val="-4"/>
                <w:sz w:val="14"/>
              </w:rPr>
              <w:t> </w:t>
            </w:r>
            <w:r>
              <w:rPr>
                <w:b/>
                <w:color w:val="FFFFFF"/>
                <w:sz w:val="14"/>
              </w:rPr>
              <w:t>(proyectados</w:t>
            </w:r>
            <w:r>
              <w:rPr>
                <w:b/>
                <w:color w:val="FFFFFF"/>
                <w:spacing w:val="40"/>
                <w:sz w:val="14"/>
              </w:rPr>
              <w:t> </w:t>
            </w:r>
            <w:r>
              <w:rPr>
                <w:b/>
                <w:color w:val="FFFFFF"/>
                <w:sz w:val="14"/>
              </w:rPr>
              <w:t>acumulados al mes de</w:t>
            </w:r>
            <w:r>
              <w:rPr>
                <w:b/>
                <w:color w:val="FFFFFF"/>
                <w:spacing w:val="40"/>
                <w:sz w:val="14"/>
              </w:rPr>
              <w:t> </w:t>
            </w:r>
            <w:r>
              <w:rPr>
                <w:b/>
                <w:color w:val="FFFFFF"/>
                <w:spacing w:val="-2"/>
                <w:sz w:val="14"/>
              </w:rPr>
              <w:t>diciembre/reales acumulados</w:t>
            </w:r>
          </w:p>
          <w:p>
            <w:pPr>
              <w:pStyle w:val="TableParagraph"/>
              <w:spacing w:line="137" w:lineRule="exact"/>
              <w:ind w:left="8" w:right="9"/>
              <w:jc w:val="center"/>
              <w:rPr>
                <w:b/>
                <w:sz w:val="14"/>
              </w:rPr>
            </w:pPr>
            <w:r>
              <w:rPr>
                <w:b/>
                <w:color w:val="FFFFFF"/>
                <w:sz w:val="14"/>
              </w:rPr>
              <w:t>al</w:t>
            </w:r>
            <w:r>
              <w:rPr>
                <w:b/>
                <w:color w:val="FFFFFF"/>
                <w:spacing w:val="-4"/>
                <w:sz w:val="14"/>
              </w:rPr>
              <w:t> </w:t>
            </w:r>
            <w:r>
              <w:rPr>
                <w:b/>
                <w:color w:val="FFFFFF"/>
                <w:sz w:val="14"/>
              </w:rPr>
              <w:t>mes</w:t>
            </w:r>
            <w:r>
              <w:rPr>
                <w:b/>
                <w:color w:val="FFFFFF"/>
                <w:spacing w:val="-3"/>
                <w:sz w:val="14"/>
              </w:rPr>
              <w:t> </w:t>
            </w:r>
            <w:r>
              <w:rPr>
                <w:b/>
                <w:color w:val="FFFFFF"/>
                <w:sz w:val="14"/>
              </w:rPr>
              <w:t>de</w:t>
            </w:r>
            <w:r>
              <w:rPr>
                <w:b/>
                <w:color w:val="FFFFFF"/>
                <w:spacing w:val="-3"/>
                <w:sz w:val="14"/>
              </w:rPr>
              <w:t> </w:t>
            </w:r>
            <w:r>
              <w:rPr>
                <w:b/>
                <w:color w:val="FFFFFF"/>
                <w:spacing w:val="-2"/>
                <w:sz w:val="14"/>
              </w:rPr>
              <w:t>diciembre</w:t>
            </w:r>
          </w:p>
        </w:tc>
      </w:tr>
      <w:tr>
        <w:trPr>
          <w:trHeight w:val="181" w:hRule="atLeast"/>
        </w:trPr>
        <w:tc>
          <w:tcPr>
            <w:tcW w:w="3174" w:type="dxa"/>
            <w:vMerge/>
            <w:tcBorders>
              <w:top w:val="nil"/>
            </w:tcBorders>
            <w:shd w:val="clear" w:color="auto" w:fill="0E233D"/>
          </w:tcPr>
          <w:p>
            <w:pPr>
              <w:rPr>
                <w:sz w:val="2"/>
                <w:szCs w:val="2"/>
              </w:rPr>
            </w:pPr>
          </w:p>
        </w:tc>
        <w:tc>
          <w:tcPr>
            <w:tcW w:w="1672" w:type="dxa"/>
            <w:vMerge/>
            <w:tcBorders>
              <w:top w:val="nil"/>
            </w:tcBorders>
            <w:shd w:val="clear" w:color="auto" w:fill="0E233D"/>
          </w:tcPr>
          <w:p>
            <w:pPr>
              <w:rPr>
                <w:sz w:val="2"/>
                <w:szCs w:val="2"/>
              </w:rPr>
            </w:pPr>
          </w:p>
        </w:tc>
        <w:tc>
          <w:tcPr>
            <w:tcW w:w="1825" w:type="dxa"/>
            <w:vMerge/>
            <w:tcBorders>
              <w:top w:val="nil"/>
            </w:tcBorders>
            <w:shd w:val="clear" w:color="auto" w:fill="0E233D"/>
          </w:tcPr>
          <w:p>
            <w:pPr>
              <w:rPr>
                <w:sz w:val="2"/>
                <w:szCs w:val="2"/>
              </w:rPr>
            </w:pPr>
          </w:p>
        </w:tc>
        <w:tc>
          <w:tcPr>
            <w:tcW w:w="1802" w:type="dxa"/>
            <w:vMerge/>
            <w:tcBorders>
              <w:top w:val="nil"/>
            </w:tcBorders>
            <w:shd w:val="clear" w:color="auto" w:fill="0E233D"/>
          </w:tcPr>
          <w:p>
            <w:pPr>
              <w:rPr>
                <w:sz w:val="2"/>
                <w:szCs w:val="2"/>
              </w:rPr>
            </w:pPr>
          </w:p>
        </w:tc>
        <w:tc>
          <w:tcPr>
            <w:tcW w:w="1322" w:type="dxa"/>
            <w:shd w:val="clear" w:color="auto" w:fill="0E233D"/>
          </w:tcPr>
          <w:p>
            <w:pPr>
              <w:pStyle w:val="TableParagraph"/>
              <w:spacing w:line="150" w:lineRule="exact" w:before="12"/>
              <w:ind w:left="69"/>
              <w:rPr>
                <w:b/>
                <w:sz w:val="14"/>
              </w:rPr>
            </w:pPr>
            <w:r>
              <w:rPr>
                <w:b/>
                <w:color w:val="FFFFFF"/>
                <w:spacing w:val="-2"/>
                <w:sz w:val="14"/>
              </w:rPr>
              <w:t>Absoluta</w:t>
            </w:r>
          </w:p>
        </w:tc>
        <w:tc>
          <w:tcPr>
            <w:tcW w:w="789" w:type="dxa"/>
            <w:shd w:val="clear" w:color="auto" w:fill="0E233D"/>
          </w:tcPr>
          <w:p>
            <w:pPr>
              <w:pStyle w:val="TableParagraph"/>
              <w:spacing w:line="150" w:lineRule="exact" w:before="12"/>
              <w:ind w:right="175"/>
              <w:jc w:val="right"/>
              <w:rPr>
                <w:b/>
                <w:sz w:val="14"/>
              </w:rPr>
            </w:pPr>
            <w:r>
              <w:rPr>
                <w:b/>
                <w:color w:val="FFFFFF"/>
                <w:spacing w:val="-2"/>
                <w:sz w:val="14"/>
              </w:rPr>
              <w:t>Relativa</w:t>
            </w:r>
          </w:p>
        </w:tc>
      </w:tr>
      <w:tr>
        <w:trPr>
          <w:trHeight w:val="220" w:hRule="atLeast"/>
        </w:trPr>
        <w:tc>
          <w:tcPr>
            <w:tcW w:w="3174" w:type="dxa"/>
          </w:tcPr>
          <w:p>
            <w:pPr>
              <w:pStyle w:val="TableParagraph"/>
              <w:spacing w:line="168" w:lineRule="exact" w:before="32"/>
              <w:ind w:left="71"/>
              <w:rPr>
                <w:b/>
                <w:sz w:val="16"/>
              </w:rPr>
            </w:pPr>
            <w:r>
              <w:rPr>
                <w:b/>
                <w:sz w:val="16"/>
              </w:rPr>
              <w:t>Recursos</w:t>
            </w:r>
            <w:r>
              <w:rPr>
                <w:b/>
                <w:spacing w:val="-10"/>
                <w:sz w:val="16"/>
              </w:rPr>
              <w:t> </w:t>
            </w:r>
            <w:r>
              <w:rPr>
                <w:b/>
                <w:spacing w:val="-2"/>
                <w:sz w:val="16"/>
              </w:rPr>
              <w:t>libres/propios</w:t>
            </w:r>
          </w:p>
        </w:tc>
        <w:tc>
          <w:tcPr>
            <w:tcW w:w="1672" w:type="dxa"/>
          </w:tcPr>
          <w:p>
            <w:pPr>
              <w:pStyle w:val="TableParagraph"/>
              <w:spacing w:line="168" w:lineRule="exact" w:before="32"/>
              <w:ind w:right="61"/>
              <w:jc w:val="right"/>
              <w:rPr>
                <w:b/>
                <w:sz w:val="16"/>
              </w:rPr>
            </w:pPr>
            <w:r>
              <w:rPr>
                <w:b/>
                <w:spacing w:val="-2"/>
                <w:sz w:val="16"/>
              </w:rPr>
              <w:t>66,802,353.33</w:t>
            </w:r>
          </w:p>
        </w:tc>
        <w:tc>
          <w:tcPr>
            <w:tcW w:w="1825" w:type="dxa"/>
          </w:tcPr>
          <w:p>
            <w:pPr>
              <w:pStyle w:val="TableParagraph"/>
              <w:spacing w:line="168" w:lineRule="exact" w:before="32"/>
              <w:ind w:right="66"/>
              <w:jc w:val="right"/>
              <w:rPr>
                <w:b/>
                <w:sz w:val="16"/>
              </w:rPr>
            </w:pPr>
            <w:r>
              <w:rPr>
                <w:b/>
                <w:spacing w:val="-2"/>
                <w:sz w:val="16"/>
              </w:rPr>
              <w:t>66,802,353.33</w:t>
            </w:r>
          </w:p>
        </w:tc>
        <w:tc>
          <w:tcPr>
            <w:tcW w:w="1802" w:type="dxa"/>
          </w:tcPr>
          <w:p>
            <w:pPr>
              <w:pStyle w:val="TableParagraph"/>
              <w:spacing w:line="168" w:lineRule="exact" w:before="32"/>
              <w:ind w:right="62"/>
              <w:jc w:val="right"/>
              <w:rPr>
                <w:b/>
                <w:sz w:val="16"/>
              </w:rPr>
            </w:pPr>
            <w:r>
              <w:rPr>
                <w:b/>
                <w:spacing w:val="-2"/>
                <w:sz w:val="16"/>
              </w:rPr>
              <w:t>66,952,347.28</w:t>
            </w:r>
          </w:p>
        </w:tc>
        <w:tc>
          <w:tcPr>
            <w:tcW w:w="1322" w:type="dxa"/>
          </w:tcPr>
          <w:p>
            <w:pPr>
              <w:pStyle w:val="TableParagraph"/>
              <w:spacing w:line="168" w:lineRule="exact" w:before="32"/>
              <w:ind w:right="68"/>
              <w:jc w:val="right"/>
              <w:rPr>
                <w:b/>
                <w:sz w:val="16"/>
              </w:rPr>
            </w:pPr>
            <w:r>
              <w:rPr>
                <w:b/>
                <w:spacing w:val="-2"/>
                <w:sz w:val="16"/>
              </w:rPr>
              <w:t>149,993.95</w:t>
            </w:r>
          </w:p>
        </w:tc>
        <w:tc>
          <w:tcPr>
            <w:tcW w:w="789" w:type="dxa"/>
          </w:tcPr>
          <w:p>
            <w:pPr>
              <w:pStyle w:val="TableParagraph"/>
              <w:spacing w:line="168" w:lineRule="exact" w:before="32"/>
              <w:ind w:right="160"/>
              <w:jc w:val="right"/>
              <w:rPr>
                <w:b/>
                <w:sz w:val="16"/>
              </w:rPr>
            </w:pPr>
            <w:r>
              <w:rPr>
                <w:b/>
                <w:spacing w:val="-2"/>
                <w:sz w:val="16"/>
              </w:rPr>
              <w:t>0.22%</w:t>
            </w:r>
          </w:p>
        </w:tc>
      </w:tr>
      <w:tr>
        <w:trPr>
          <w:trHeight w:val="221" w:hRule="atLeast"/>
        </w:trPr>
        <w:tc>
          <w:tcPr>
            <w:tcW w:w="3174" w:type="dxa"/>
          </w:tcPr>
          <w:p>
            <w:pPr>
              <w:pStyle w:val="TableParagraph"/>
              <w:spacing w:line="169" w:lineRule="exact" w:before="32"/>
              <w:ind w:left="71"/>
              <w:rPr>
                <w:sz w:val="16"/>
              </w:rPr>
            </w:pPr>
            <w:r>
              <w:rPr>
                <w:spacing w:val="-2"/>
                <w:sz w:val="16"/>
              </w:rPr>
              <w:t>Propios</w:t>
            </w:r>
          </w:p>
        </w:tc>
        <w:tc>
          <w:tcPr>
            <w:tcW w:w="1672" w:type="dxa"/>
          </w:tcPr>
          <w:p>
            <w:pPr>
              <w:pStyle w:val="TableParagraph"/>
              <w:spacing w:line="169" w:lineRule="exact" w:before="32"/>
              <w:ind w:right="61"/>
              <w:jc w:val="right"/>
              <w:rPr>
                <w:sz w:val="16"/>
              </w:rPr>
            </w:pPr>
            <w:r>
              <w:rPr>
                <w:spacing w:val="-2"/>
                <w:sz w:val="16"/>
              </w:rPr>
              <w:t>66,802,353.33</w:t>
            </w:r>
          </w:p>
        </w:tc>
        <w:tc>
          <w:tcPr>
            <w:tcW w:w="1825" w:type="dxa"/>
          </w:tcPr>
          <w:p>
            <w:pPr>
              <w:pStyle w:val="TableParagraph"/>
              <w:spacing w:line="169" w:lineRule="exact" w:before="32"/>
              <w:ind w:right="66"/>
              <w:jc w:val="right"/>
              <w:rPr>
                <w:sz w:val="16"/>
              </w:rPr>
            </w:pPr>
            <w:r>
              <w:rPr>
                <w:spacing w:val="-2"/>
                <w:sz w:val="16"/>
              </w:rPr>
              <w:t>66,802,353.33</w:t>
            </w:r>
          </w:p>
        </w:tc>
        <w:tc>
          <w:tcPr>
            <w:tcW w:w="1802" w:type="dxa"/>
          </w:tcPr>
          <w:p>
            <w:pPr>
              <w:pStyle w:val="TableParagraph"/>
              <w:spacing w:line="169" w:lineRule="exact" w:before="32"/>
              <w:ind w:right="62"/>
              <w:jc w:val="right"/>
              <w:rPr>
                <w:sz w:val="16"/>
              </w:rPr>
            </w:pPr>
            <w:r>
              <w:rPr>
                <w:spacing w:val="-2"/>
                <w:sz w:val="16"/>
              </w:rPr>
              <w:t>66,952,347.28</w:t>
            </w:r>
          </w:p>
        </w:tc>
        <w:tc>
          <w:tcPr>
            <w:tcW w:w="1322" w:type="dxa"/>
          </w:tcPr>
          <w:p>
            <w:pPr>
              <w:pStyle w:val="TableParagraph"/>
              <w:spacing w:line="169" w:lineRule="exact" w:before="32"/>
              <w:ind w:right="68"/>
              <w:jc w:val="right"/>
              <w:rPr>
                <w:sz w:val="16"/>
              </w:rPr>
            </w:pPr>
            <w:r>
              <w:rPr>
                <w:spacing w:val="-2"/>
                <w:sz w:val="16"/>
              </w:rPr>
              <w:t>149,993.95</w:t>
            </w:r>
          </w:p>
        </w:tc>
        <w:tc>
          <w:tcPr>
            <w:tcW w:w="789" w:type="dxa"/>
          </w:tcPr>
          <w:p>
            <w:pPr>
              <w:pStyle w:val="TableParagraph"/>
              <w:spacing w:line="169" w:lineRule="exact" w:before="32"/>
              <w:ind w:right="160"/>
              <w:jc w:val="right"/>
              <w:rPr>
                <w:sz w:val="16"/>
              </w:rPr>
            </w:pPr>
            <w:r>
              <w:rPr>
                <w:spacing w:val="-2"/>
                <w:sz w:val="16"/>
              </w:rPr>
              <w:t>0.22%</w:t>
            </w:r>
          </w:p>
        </w:tc>
      </w:tr>
      <w:tr>
        <w:trPr>
          <w:trHeight w:val="220" w:hRule="atLeast"/>
        </w:trPr>
        <w:tc>
          <w:tcPr>
            <w:tcW w:w="3174" w:type="dxa"/>
          </w:tcPr>
          <w:p>
            <w:pPr>
              <w:pStyle w:val="TableParagraph"/>
              <w:spacing w:line="168" w:lineRule="exact" w:before="32"/>
              <w:ind w:left="71"/>
              <w:rPr>
                <w:b/>
                <w:sz w:val="16"/>
              </w:rPr>
            </w:pPr>
            <w:r>
              <w:rPr>
                <w:b/>
                <w:sz w:val="16"/>
              </w:rPr>
              <w:t>Recursos</w:t>
            </w:r>
            <w:r>
              <w:rPr>
                <w:b/>
                <w:spacing w:val="-6"/>
                <w:sz w:val="16"/>
              </w:rPr>
              <w:t> </w:t>
            </w:r>
            <w:r>
              <w:rPr>
                <w:b/>
                <w:spacing w:val="-2"/>
                <w:sz w:val="16"/>
              </w:rPr>
              <w:t>específicos</w:t>
            </w:r>
          </w:p>
        </w:tc>
        <w:tc>
          <w:tcPr>
            <w:tcW w:w="1672" w:type="dxa"/>
          </w:tcPr>
          <w:p>
            <w:pPr>
              <w:pStyle w:val="TableParagraph"/>
              <w:spacing w:line="168" w:lineRule="exact" w:before="32"/>
              <w:ind w:right="60"/>
              <w:jc w:val="right"/>
              <w:rPr>
                <w:b/>
                <w:sz w:val="16"/>
              </w:rPr>
            </w:pPr>
            <w:r>
              <w:rPr>
                <w:b/>
                <w:spacing w:val="-2"/>
                <w:sz w:val="16"/>
              </w:rPr>
              <w:t>238,166,980.86</w:t>
            </w:r>
          </w:p>
        </w:tc>
        <w:tc>
          <w:tcPr>
            <w:tcW w:w="1825" w:type="dxa"/>
          </w:tcPr>
          <w:p>
            <w:pPr>
              <w:pStyle w:val="TableParagraph"/>
              <w:spacing w:line="168" w:lineRule="exact" w:before="32"/>
              <w:ind w:right="66"/>
              <w:jc w:val="right"/>
              <w:rPr>
                <w:b/>
                <w:sz w:val="16"/>
              </w:rPr>
            </w:pPr>
            <w:r>
              <w:rPr>
                <w:b/>
                <w:spacing w:val="-2"/>
                <w:sz w:val="16"/>
              </w:rPr>
              <w:t>238,166,980.86</w:t>
            </w:r>
          </w:p>
        </w:tc>
        <w:tc>
          <w:tcPr>
            <w:tcW w:w="1802" w:type="dxa"/>
          </w:tcPr>
          <w:p>
            <w:pPr>
              <w:pStyle w:val="TableParagraph"/>
              <w:spacing w:line="168" w:lineRule="exact" w:before="32"/>
              <w:ind w:right="62"/>
              <w:jc w:val="right"/>
              <w:rPr>
                <w:b/>
                <w:sz w:val="16"/>
              </w:rPr>
            </w:pPr>
            <w:r>
              <w:rPr>
                <w:b/>
                <w:spacing w:val="-2"/>
                <w:sz w:val="16"/>
              </w:rPr>
              <w:t>235,066,879.22</w:t>
            </w:r>
          </w:p>
        </w:tc>
        <w:tc>
          <w:tcPr>
            <w:tcW w:w="1322" w:type="dxa"/>
          </w:tcPr>
          <w:p>
            <w:pPr>
              <w:pStyle w:val="TableParagraph"/>
              <w:spacing w:line="168" w:lineRule="exact" w:before="32"/>
              <w:ind w:right="68"/>
              <w:jc w:val="right"/>
              <w:rPr>
                <w:b/>
                <w:sz w:val="16"/>
              </w:rPr>
            </w:pPr>
            <w:r>
              <w:rPr>
                <w:b/>
                <w:spacing w:val="-2"/>
                <w:sz w:val="16"/>
              </w:rPr>
              <w:t>-3,100,101.64</w:t>
            </w:r>
          </w:p>
        </w:tc>
        <w:tc>
          <w:tcPr>
            <w:tcW w:w="789" w:type="dxa"/>
          </w:tcPr>
          <w:p>
            <w:pPr>
              <w:pStyle w:val="TableParagraph"/>
              <w:spacing w:line="168" w:lineRule="exact" w:before="32"/>
              <w:ind w:right="136"/>
              <w:jc w:val="right"/>
              <w:rPr>
                <w:b/>
                <w:sz w:val="16"/>
              </w:rPr>
            </w:pPr>
            <w:r>
              <w:rPr>
                <w:b/>
                <w:spacing w:val="-2"/>
                <w:sz w:val="16"/>
              </w:rPr>
              <w:t>-1.30%</w:t>
            </w:r>
          </w:p>
        </w:tc>
      </w:tr>
      <w:tr>
        <w:trPr>
          <w:trHeight w:val="215" w:hRule="atLeast"/>
        </w:trPr>
        <w:tc>
          <w:tcPr>
            <w:tcW w:w="3174" w:type="dxa"/>
          </w:tcPr>
          <w:p>
            <w:pPr>
              <w:pStyle w:val="TableParagraph"/>
              <w:spacing w:line="163" w:lineRule="exact" w:before="32"/>
              <w:ind w:left="71"/>
              <w:rPr>
                <w:b/>
                <w:sz w:val="16"/>
              </w:rPr>
            </w:pPr>
            <w:r>
              <w:rPr>
                <w:b/>
                <w:spacing w:val="-2"/>
                <w:sz w:val="16"/>
              </w:rPr>
              <w:t>Fodesaf</w:t>
            </w:r>
          </w:p>
        </w:tc>
        <w:tc>
          <w:tcPr>
            <w:tcW w:w="1672" w:type="dxa"/>
          </w:tcPr>
          <w:p>
            <w:pPr>
              <w:pStyle w:val="TableParagraph"/>
              <w:spacing w:line="163" w:lineRule="exact" w:before="32"/>
              <w:ind w:right="61"/>
              <w:jc w:val="right"/>
              <w:rPr>
                <w:b/>
                <w:sz w:val="16"/>
              </w:rPr>
            </w:pPr>
            <w:r>
              <w:rPr>
                <w:b/>
                <w:spacing w:val="-2"/>
                <w:sz w:val="16"/>
              </w:rPr>
              <w:t>85,882,645.56</w:t>
            </w:r>
          </w:p>
        </w:tc>
        <w:tc>
          <w:tcPr>
            <w:tcW w:w="1825" w:type="dxa"/>
          </w:tcPr>
          <w:p>
            <w:pPr>
              <w:pStyle w:val="TableParagraph"/>
              <w:spacing w:line="163" w:lineRule="exact" w:before="32"/>
              <w:ind w:right="66"/>
              <w:jc w:val="right"/>
              <w:rPr>
                <w:b/>
                <w:sz w:val="16"/>
              </w:rPr>
            </w:pPr>
            <w:r>
              <w:rPr>
                <w:b/>
                <w:spacing w:val="-2"/>
                <w:sz w:val="16"/>
              </w:rPr>
              <w:t>85,882,645.56</w:t>
            </w:r>
          </w:p>
        </w:tc>
        <w:tc>
          <w:tcPr>
            <w:tcW w:w="1802" w:type="dxa"/>
          </w:tcPr>
          <w:p>
            <w:pPr>
              <w:pStyle w:val="TableParagraph"/>
              <w:spacing w:line="163" w:lineRule="exact" w:before="32"/>
              <w:ind w:right="62"/>
              <w:jc w:val="right"/>
              <w:rPr>
                <w:b/>
                <w:sz w:val="16"/>
              </w:rPr>
            </w:pPr>
            <w:r>
              <w:rPr>
                <w:b/>
                <w:spacing w:val="-2"/>
                <w:sz w:val="16"/>
              </w:rPr>
              <w:t>85,866,047.70</w:t>
            </w:r>
          </w:p>
        </w:tc>
        <w:tc>
          <w:tcPr>
            <w:tcW w:w="1322" w:type="dxa"/>
          </w:tcPr>
          <w:p>
            <w:pPr>
              <w:pStyle w:val="TableParagraph"/>
              <w:spacing w:line="163" w:lineRule="exact" w:before="32"/>
              <w:ind w:right="68"/>
              <w:jc w:val="right"/>
              <w:rPr>
                <w:b/>
                <w:sz w:val="16"/>
              </w:rPr>
            </w:pPr>
            <w:r>
              <w:rPr>
                <w:b/>
                <w:spacing w:val="-2"/>
                <w:sz w:val="16"/>
              </w:rPr>
              <w:t>-16,597.86</w:t>
            </w:r>
          </w:p>
        </w:tc>
        <w:tc>
          <w:tcPr>
            <w:tcW w:w="789" w:type="dxa"/>
          </w:tcPr>
          <w:p>
            <w:pPr>
              <w:pStyle w:val="TableParagraph"/>
              <w:spacing w:line="163" w:lineRule="exact" w:before="32"/>
              <w:ind w:right="136"/>
              <w:jc w:val="right"/>
              <w:rPr>
                <w:b/>
                <w:sz w:val="16"/>
              </w:rPr>
            </w:pPr>
            <w:r>
              <w:rPr>
                <w:b/>
                <w:spacing w:val="-2"/>
                <w:sz w:val="16"/>
              </w:rPr>
              <w:t>-0.02%</w:t>
            </w:r>
          </w:p>
        </w:tc>
      </w:tr>
      <w:tr>
        <w:trPr>
          <w:trHeight w:val="220" w:hRule="atLeast"/>
        </w:trPr>
        <w:tc>
          <w:tcPr>
            <w:tcW w:w="3174" w:type="dxa"/>
          </w:tcPr>
          <w:p>
            <w:pPr>
              <w:pStyle w:val="TableParagraph"/>
              <w:spacing w:line="163" w:lineRule="exact" w:before="37"/>
              <w:ind w:left="71"/>
              <w:rPr>
                <w:b/>
                <w:sz w:val="16"/>
              </w:rPr>
            </w:pPr>
            <w:r>
              <w:rPr>
                <w:b/>
                <w:spacing w:val="-2"/>
                <w:sz w:val="16"/>
              </w:rPr>
              <w:t>MTSS-Fodesaf-avancemos</w:t>
            </w:r>
          </w:p>
        </w:tc>
        <w:tc>
          <w:tcPr>
            <w:tcW w:w="1672" w:type="dxa"/>
          </w:tcPr>
          <w:p>
            <w:pPr>
              <w:pStyle w:val="TableParagraph"/>
              <w:spacing w:line="163" w:lineRule="exact" w:before="37"/>
              <w:ind w:right="61"/>
              <w:jc w:val="right"/>
              <w:rPr>
                <w:b/>
                <w:sz w:val="16"/>
              </w:rPr>
            </w:pPr>
            <w:r>
              <w:rPr>
                <w:b/>
                <w:spacing w:val="-2"/>
                <w:sz w:val="16"/>
              </w:rPr>
              <w:t>29,752,986.54</w:t>
            </w:r>
          </w:p>
        </w:tc>
        <w:tc>
          <w:tcPr>
            <w:tcW w:w="1825" w:type="dxa"/>
          </w:tcPr>
          <w:p>
            <w:pPr>
              <w:pStyle w:val="TableParagraph"/>
              <w:spacing w:line="163" w:lineRule="exact" w:before="37"/>
              <w:ind w:right="66"/>
              <w:jc w:val="right"/>
              <w:rPr>
                <w:b/>
                <w:sz w:val="16"/>
              </w:rPr>
            </w:pPr>
            <w:r>
              <w:rPr>
                <w:b/>
                <w:spacing w:val="-2"/>
                <w:sz w:val="16"/>
              </w:rPr>
              <w:t>29,752,986.55</w:t>
            </w:r>
          </w:p>
        </w:tc>
        <w:tc>
          <w:tcPr>
            <w:tcW w:w="1802" w:type="dxa"/>
          </w:tcPr>
          <w:p>
            <w:pPr>
              <w:pStyle w:val="TableParagraph"/>
              <w:spacing w:line="163" w:lineRule="exact" w:before="37"/>
              <w:ind w:right="62"/>
              <w:jc w:val="right"/>
              <w:rPr>
                <w:b/>
                <w:sz w:val="16"/>
              </w:rPr>
            </w:pPr>
            <w:r>
              <w:rPr>
                <w:b/>
                <w:spacing w:val="-2"/>
                <w:sz w:val="16"/>
              </w:rPr>
              <w:t>29,752,986.54</w:t>
            </w:r>
          </w:p>
        </w:tc>
        <w:tc>
          <w:tcPr>
            <w:tcW w:w="1322" w:type="dxa"/>
          </w:tcPr>
          <w:p>
            <w:pPr>
              <w:pStyle w:val="TableParagraph"/>
              <w:rPr>
                <w:rFonts w:ascii="Times New Roman"/>
                <w:sz w:val="14"/>
              </w:rPr>
            </w:pPr>
          </w:p>
        </w:tc>
        <w:tc>
          <w:tcPr>
            <w:tcW w:w="789" w:type="dxa"/>
          </w:tcPr>
          <w:p>
            <w:pPr>
              <w:pStyle w:val="TableParagraph"/>
              <w:spacing w:line="163" w:lineRule="exact" w:before="37"/>
              <w:ind w:right="160"/>
              <w:jc w:val="right"/>
              <w:rPr>
                <w:b/>
                <w:sz w:val="16"/>
              </w:rPr>
            </w:pPr>
            <w:r>
              <w:rPr>
                <w:b/>
                <w:spacing w:val="-2"/>
                <w:sz w:val="16"/>
              </w:rPr>
              <w:t>0.00%</w:t>
            </w:r>
          </w:p>
        </w:tc>
      </w:tr>
      <w:tr>
        <w:trPr>
          <w:trHeight w:val="220" w:hRule="atLeast"/>
        </w:trPr>
        <w:tc>
          <w:tcPr>
            <w:tcW w:w="3174" w:type="dxa"/>
          </w:tcPr>
          <w:p>
            <w:pPr>
              <w:pStyle w:val="TableParagraph"/>
              <w:spacing w:line="163" w:lineRule="exact" w:before="37"/>
              <w:ind w:left="71"/>
              <w:rPr>
                <w:b/>
                <w:sz w:val="16"/>
              </w:rPr>
            </w:pPr>
            <w:r>
              <w:rPr>
                <w:b/>
                <w:spacing w:val="-2"/>
                <w:sz w:val="16"/>
              </w:rPr>
              <w:t>Fodesaf-inflación</w:t>
            </w:r>
          </w:p>
        </w:tc>
        <w:tc>
          <w:tcPr>
            <w:tcW w:w="1672" w:type="dxa"/>
          </w:tcPr>
          <w:p>
            <w:pPr>
              <w:pStyle w:val="TableParagraph"/>
              <w:spacing w:line="163" w:lineRule="exact" w:before="37"/>
              <w:ind w:right="55"/>
              <w:jc w:val="right"/>
              <w:rPr>
                <w:b/>
                <w:sz w:val="16"/>
              </w:rPr>
            </w:pPr>
            <w:r>
              <w:rPr>
                <w:b/>
                <w:spacing w:val="-2"/>
                <w:sz w:val="16"/>
              </w:rPr>
              <w:t>66,373.82</w:t>
            </w:r>
          </w:p>
        </w:tc>
        <w:tc>
          <w:tcPr>
            <w:tcW w:w="1825" w:type="dxa"/>
          </w:tcPr>
          <w:p>
            <w:pPr>
              <w:pStyle w:val="TableParagraph"/>
              <w:spacing w:line="163" w:lineRule="exact" w:before="37"/>
              <w:ind w:right="60"/>
              <w:jc w:val="right"/>
              <w:rPr>
                <w:b/>
                <w:sz w:val="16"/>
              </w:rPr>
            </w:pPr>
            <w:r>
              <w:rPr>
                <w:b/>
                <w:spacing w:val="-2"/>
                <w:sz w:val="16"/>
              </w:rPr>
              <w:t>66,373.82</w:t>
            </w:r>
          </w:p>
        </w:tc>
        <w:tc>
          <w:tcPr>
            <w:tcW w:w="1802" w:type="dxa"/>
          </w:tcPr>
          <w:p>
            <w:pPr>
              <w:pStyle w:val="TableParagraph"/>
              <w:spacing w:line="163" w:lineRule="exact" w:before="37"/>
              <w:ind w:right="57"/>
              <w:jc w:val="right"/>
              <w:rPr>
                <w:b/>
                <w:sz w:val="16"/>
              </w:rPr>
            </w:pPr>
            <w:r>
              <w:rPr>
                <w:b/>
                <w:spacing w:val="-2"/>
                <w:sz w:val="16"/>
              </w:rPr>
              <w:t>66,373.82</w:t>
            </w:r>
          </w:p>
        </w:tc>
        <w:tc>
          <w:tcPr>
            <w:tcW w:w="1322" w:type="dxa"/>
          </w:tcPr>
          <w:p>
            <w:pPr>
              <w:pStyle w:val="TableParagraph"/>
              <w:rPr>
                <w:rFonts w:ascii="Times New Roman"/>
                <w:sz w:val="14"/>
              </w:rPr>
            </w:pPr>
          </w:p>
        </w:tc>
        <w:tc>
          <w:tcPr>
            <w:tcW w:w="789" w:type="dxa"/>
          </w:tcPr>
          <w:p>
            <w:pPr>
              <w:pStyle w:val="TableParagraph"/>
              <w:spacing w:line="163" w:lineRule="exact" w:before="37"/>
              <w:ind w:right="160"/>
              <w:jc w:val="right"/>
              <w:rPr>
                <w:b/>
                <w:sz w:val="16"/>
              </w:rPr>
            </w:pPr>
            <w:r>
              <w:rPr>
                <w:b/>
                <w:spacing w:val="-2"/>
                <w:sz w:val="16"/>
              </w:rPr>
              <w:t>0.00%</w:t>
            </w:r>
          </w:p>
        </w:tc>
      </w:tr>
      <w:tr>
        <w:trPr>
          <w:trHeight w:val="220" w:hRule="atLeast"/>
        </w:trPr>
        <w:tc>
          <w:tcPr>
            <w:tcW w:w="3174" w:type="dxa"/>
          </w:tcPr>
          <w:p>
            <w:pPr>
              <w:pStyle w:val="TableParagraph"/>
              <w:spacing w:line="163" w:lineRule="exact" w:before="37"/>
              <w:ind w:left="71"/>
              <w:rPr>
                <w:b/>
                <w:sz w:val="16"/>
              </w:rPr>
            </w:pPr>
            <w:r>
              <w:rPr>
                <w:b/>
                <w:sz w:val="16"/>
              </w:rPr>
              <w:t>Red</w:t>
            </w:r>
            <w:r>
              <w:rPr>
                <w:b/>
                <w:spacing w:val="-3"/>
                <w:sz w:val="16"/>
              </w:rPr>
              <w:t> </w:t>
            </w:r>
            <w:r>
              <w:rPr>
                <w:b/>
                <w:sz w:val="16"/>
              </w:rPr>
              <w:t>de</w:t>
            </w:r>
            <w:r>
              <w:rPr>
                <w:b/>
                <w:spacing w:val="-6"/>
                <w:sz w:val="16"/>
              </w:rPr>
              <w:t> </w:t>
            </w:r>
            <w:r>
              <w:rPr>
                <w:b/>
                <w:spacing w:val="-2"/>
                <w:sz w:val="16"/>
              </w:rPr>
              <w:t>Cuido</w:t>
            </w:r>
          </w:p>
        </w:tc>
        <w:tc>
          <w:tcPr>
            <w:tcW w:w="1672" w:type="dxa"/>
          </w:tcPr>
          <w:p>
            <w:pPr>
              <w:pStyle w:val="TableParagraph"/>
              <w:spacing w:line="163" w:lineRule="exact" w:before="37"/>
              <w:ind w:right="61"/>
              <w:jc w:val="right"/>
              <w:rPr>
                <w:b/>
                <w:sz w:val="16"/>
              </w:rPr>
            </w:pPr>
            <w:r>
              <w:rPr>
                <w:b/>
                <w:spacing w:val="-2"/>
                <w:sz w:val="16"/>
              </w:rPr>
              <w:t>27,796,316.38</w:t>
            </w:r>
          </w:p>
        </w:tc>
        <w:tc>
          <w:tcPr>
            <w:tcW w:w="1825" w:type="dxa"/>
          </w:tcPr>
          <w:p>
            <w:pPr>
              <w:pStyle w:val="TableParagraph"/>
              <w:spacing w:line="163" w:lineRule="exact" w:before="37"/>
              <w:ind w:right="66"/>
              <w:jc w:val="right"/>
              <w:rPr>
                <w:b/>
                <w:sz w:val="16"/>
              </w:rPr>
            </w:pPr>
            <w:r>
              <w:rPr>
                <w:b/>
                <w:spacing w:val="-2"/>
                <w:sz w:val="16"/>
              </w:rPr>
              <w:t>27,796,316.38</w:t>
            </w:r>
          </w:p>
        </w:tc>
        <w:tc>
          <w:tcPr>
            <w:tcW w:w="1802" w:type="dxa"/>
          </w:tcPr>
          <w:p>
            <w:pPr>
              <w:pStyle w:val="TableParagraph"/>
              <w:spacing w:line="163" w:lineRule="exact" w:before="37"/>
              <w:ind w:right="62"/>
              <w:jc w:val="right"/>
              <w:rPr>
                <w:b/>
                <w:sz w:val="16"/>
              </w:rPr>
            </w:pPr>
            <w:r>
              <w:rPr>
                <w:b/>
                <w:spacing w:val="-2"/>
                <w:sz w:val="16"/>
              </w:rPr>
              <w:t>27,796,316.38</w:t>
            </w:r>
          </w:p>
        </w:tc>
        <w:tc>
          <w:tcPr>
            <w:tcW w:w="1322" w:type="dxa"/>
          </w:tcPr>
          <w:p>
            <w:pPr>
              <w:pStyle w:val="TableParagraph"/>
              <w:rPr>
                <w:rFonts w:ascii="Times New Roman"/>
                <w:sz w:val="14"/>
              </w:rPr>
            </w:pPr>
          </w:p>
        </w:tc>
        <w:tc>
          <w:tcPr>
            <w:tcW w:w="789" w:type="dxa"/>
          </w:tcPr>
          <w:p>
            <w:pPr>
              <w:pStyle w:val="TableParagraph"/>
              <w:spacing w:line="163" w:lineRule="exact" w:before="37"/>
              <w:ind w:right="160"/>
              <w:jc w:val="right"/>
              <w:rPr>
                <w:b/>
                <w:sz w:val="16"/>
              </w:rPr>
            </w:pPr>
            <w:r>
              <w:rPr>
                <w:b/>
                <w:spacing w:val="-2"/>
                <w:sz w:val="16"/>
              </w:rPr>
              <w:t>0.00%</w:t>
            </w:r>
          </w:p>
        </w:tc>
      </w:tr>
      <w:tr>
        <w:trPr>
          <w:trHeight w:val="220" w:hRule="atLeast"/>
        </w:trPr>
        <w:tc>
          <w:tcPr>
            <w:tcW w:w="3174" w:type="dxa"/>
          </w:tcPr>
          <w:p>
            <w:pPr>
              <w:pStyle w:val="TableParagraph"/>
              <w:spacing w:line="163" w:lineRule="exact" w:before="37"/>
              <w:ind w:left="71"/>
              <w:rPr>
                <w:b/>
                <w:sz w:val="16"/>
              </w:rPr>
            </w:pPr>
            <w:r>
              <w:rPr>
                <w:b/>
                <w:sz w:val="16"/>
              </w:rPr>
              <w:t>Fodesaf</w:t>
            </w:r>
            <w:r>
              <w:rPr>
                <w:b/>
                <w:spacing w:val="-10"/>
                <w:sz w:val="16"/>
              </w:rPr>
              <w:t> </w:t>
            </w:r>
            <w:r>
              <w:rPr>
                <w:b/>
                <w:spacing w:val="-2"/>
                <w:sz w:val="16"/>
              </w:rPr>
              <w:t>Avancemos</w:t>
            </w:r>
          </w:p>
        </w:tc>
        <w:tc>
          <w:tcPr>
            <w:tcW w:w="1672" w:type="dxa"/>
          </w:tcPr>
          <w:p>
            <w:pPr>
              <w:pStyle w:val="TableParagraph"/>
              <w:spacing w:line="163" w:lineRule="exact" w:before="37"/>
              <w:ind w:right="61"/>
              <w:jc w:val="right"/>
              <w:rPr>
                <w:b/>
                <w:sz w:val="16"/>
              </w:rPr>
            </w:pPr>
            <w:r>
              <w:rPr>
                <w:b/>
                <w:spacing w:val="-2"/>
                <w:sz w:val="16"/>
              </w:rPr>
              <w:t>49,968,570.78</w:t>
            </w:r>
          </w:p>
        </w:tc>
        <w:tc>
          <w:tcPr>
            <w:tcW w:w="1825" w:type="dxa"/>
          </w:tcPr>
          <w:p>
            <w:pPr>
              <w:pStyle w:val="TableParagraph"/>
              <w:spacing w:line="163" w:lineRule="exact" w:before="37"/>
              <w:ind w:right="66"/>
              <w:jc w:val="right"/>
              <w:rPr>
                <w:b/>
                <w:sz w:val="16"/>
              </w:rPr>
            </w:pPr>
            <w:r>
              <w:rPr>
                <w:b/>
                <w:spacing w:val="-2"/>
                <w:sz w:val="16"/>
              </w:rPr>
              <w:t>49,968,570.78</w:t>
            </w:r>
          </w:p>
        </w:tc>
        <w:tc>
          <w:tcPr>
            <w:tcW w:w="1802" w:type="dxa"/>
          </w:tcPr>
          <w:p>
            <w:pPr>
              <w:pStyle w:val="TableParagraph"/>
              <w:spacing w:line="163" w:lineRule="exact" w:before="37"/>
              <w:ind w:right="62"/>
              <w:jc w:val="right"/>
              <w:rPr>
                <w:b/>
                <w:sz w:val="16"/>
              </w:rPr>
            </w:pPr>
            <w:r>
              <w:rPr>
                <w:b/>
                <w:spacing w:val="-2"/>
                <w:sz w:val="16"/>
              </w:rPr>
              <w:t>47,954,529.99</w:t>
            </w:r>
          </w:p>
        </w:tc>
        <w:tc>
          <w:tcPr>
            <w:tcW w:w="1322" w:type="dxa"/>
          </w:tcPr>
          <w:p>
            <w:pPr>
              <w:pStyle w:val="TableParagraph"/>
              <w:spacing w:line="163" w:lineRule="exact" w:before="37"/>
              <w:ind w:right="68"/>
              <w:jc w:val="right"/>
              <w:rPr>
                <w:b/>
                <w:sz w:val="16"/>
              </w:rPr>
            </w:pPr>
            <w:r>
              <w:rPr>
                <w:b/>
                <w:spacing w:val="-2"/>
                <w:sz w:val="16"/>
              </w:rPr>
              <w:t>-2,014,040.79</w:t>
            </w:r>
          </w:p>
        </w:tc>
        <w:tc>
          <w:tcPr>
            <w:tcW w:w="789" w:type="dxa"/>
          </w:tcPr>
          <w:p>
            <w:pPr>
              <w:pStyle w:val="TableParagraph"/>
              <w:spacing w:line="163" w:lineRule="exact" w:before="37"/>
              <w:ind w:right="136"/>
              <w:jc w:val="right"/>
              <w:rPr>
                <w:b/>
                <w:sz w:val="16"/>
              </w:rPr>
            </w:pPr>
            <w:r>
              <w:rPr>
                <w:b/>
                <w:spacing w:val="-2"/>
                <w:sz w:val="16"/>
              </w:rPr>
              <w:t>-4.03%</w:t>
            </w:r>
          </w:p>
        </w:tc>
      </w:tr>
      <w:tr>
        <w:trPr>
          <w:trHeight w:val="220" w:hRule="atLeast"/>
        </w:trPr>
        <w:tc>
          <w:tcPr>
            <w:tcW w:w="3174" w:type="dxa"/>
          </w:tcPr>
          <w:p>
            <w:pPr>
              <w:pStyle w:val="TableParagraph"/>
              <w:spacing w:line="163" w:lineRule="exact" w:before="37"/>
              <w:ind w:left="71"/>
              <w:rPr>
                <w:b/>
                <w:sz w:val="16"/>
              </w:rPr>
            </w:pPr>
            <w:r>
              <w:rPr>
                <w:b/>
                <w:sz w:val="16"/>
              </w:rPr>
              <w:t>Fodesaf</w:t>
            </w:r>
            <w:r>
              <w:rPr>
                <w:b/>
                <w:spacing w:val="-8"/>
                <w:sz w:val="16"/>
              </w:rPr>
              <w:t> </w:t>
            </w:r>
            <w:r>
              <w:rPr>
                <w:b/>
                <w:sz w:val="16"/>
              </w:rPr>
              <w:t>Seguridad</w:t>
            </w:r>
            <w:r>
              <w:rPr>
                <w:b/>
                <w:spacing w:val="-7"/>
                <w:sz w:val="16"/>
              </w:rPr>
              <w:t> </w:t>
            </w:r>
            <w:r>
              <w:rPr>
                <w:b/>
                <w:spacing w:val="-2"/>
                <w:sz w:val="16"/>
              </w:rPr>
              <w:t>Alimentaria</w:t>
            </w:r>
          </w:p>
        </w:tc>
        <w:tc>
          <w:tcPr>
            <w:tcW w:w="1672" w:type="dxa"/>
          </w:tcPr>
          <w:p>
            <w:pPr>
              <w:pStyle w:val="TableParagraph"/>
              <w:spacing w:line="163" w:lineRule="exact" w:before="37"/>
              <w:ind w:right="60"/>
              <w:jc w:val="right"/>
              <w:rPr>
                <w:b/>
                <w:sz w:val="16"/>
              </w:rPr>
            </w:pPr>
            <w:r>
              <w:rPr>
                <w:b/>
                <w:spacing w:val="-2"/>
                <w:sz w:val="16"/>
              </w:rPr>
              <w:t>5,933,015.37</w:t>
            </w:r>
          </w:p>
        </w:tc>
        <w:tc>
          <w:tcPr>
            <w:tcW w:w="1825" w:type="dxa"/>
          </w:tcPr>
          <w:p>
            <w:pPr>
              <w:pStyle w:val="TableParagraph"/>
              <w:spacing w:line="163" w:lineRule="exact" w:before="37"/>
              <w:ind w:right="65"/>
              <w:jc w:val="right"/>
              <w:rPr>
                <w:b/>
                <w:sz w:val="16"/>
              </w:rPr>
            </w:pPr>
            <w:r>
              <w:rPr>
                <w:b/>
                <w:spacing w:val="-2"/>
                <w:sz w:val="16"/>
              </w:rPr>
              <w:t>5,933,015.37</w:t>
            </w:r>
          </w:p>
        </w:tc>
        <w:tc>
          <w:tcPr>
            <w:tcW w:w="1802" w:type="dxa"/>
          </w:tcPr>
          <w:p>
            <w:pPr>
              <w:pStyle w:val="TableParagraph"/>
              <w:spacing w:line="163" w:lineRule="exact" w:before="37"/>
              <w:ind w:right="62"/>
              <w:jc w:val="right"/>
              <w:rPr>
                <w:b/>
                <w:sz w:val="16"/>
              </w:rPr>
            </w:pPr>
            <w:r>
              <w:rPr>
                <w:b/>
                <w:spacing w:val="-2"/>
                <w:sz w:val="16"/>
              </w:rPr>
              <w:t>5,933,015.37</w:t>
            </w:r>
          </w:p>
        </w:tc>
        <w:tc>
          <w:tcPr>
            <w:tcW w:w="1322" w:type="dxa"/>
          </w:tcPr>
          <w:p>
            <w:pPr>
              <w:pStyle w:val="TableParagraph"/>
              <w:rPr>
                <w:rFonts w:ascii="Times New Roman"/>
                <w:sz w:val="14"/>
              </w:rPr>
            </w:pPr>
          </w:p>
        </w:tc>
        <w:tc>
          <w:tcPr>
            <w:tcW w:w="789" w:type="dxa"/>
          </w:tcPr>
          <w:p>
            <w:pPr>
              <w:pStyle w:val="TableParagraph"/>
              <w:spacing w:line="163" w:lineRule="exact" w:before="37"/>
              <w:ind w:right="160"/>
              <w:jc w:val="right"/>
              <w:rPr>
                <w:b/>
                <w:sz w:val="16"/>
              </w:rPr>
            </w:pPr>
            <w:r>
              <w:rPr>
                <w:b/>
                <w:spacing w:val="-2"/>
                <w:sz w:val="16"/>
              </w:rPr>
              <w:t>0.00%</w:t>
            </w:r>
          </w:p>
        </w:tc>
      </w:tr>
      <w:tr>
        <w:trPr>
          <w:trHeight w:val="220" w:hRule="atLeast"/>
        </w:trPr>
        <w:tc>
          <w:tcPr>
            <w:tcW w:w="3174" w:type="dxa"/>
          </w:tcPr>
          <w:p>
            <w:pPr>
              <w:pStyle w:val="TableParagraph"/>
              <w:spacing w:line="163" w:lineRule="exact" w:before="37"/>
              <w:ind w:left="71"/>
              <w:rPr>
                <w:b/>
                <w:sz w:val="16"/>
              </w:rPr>
            </w:pPr>
            <w:r>
              <w:rPr>
                <w:b/>
                <w:sz w:val="16"/>
              </w:rPr>
              <w:t>Gobierno</w:t>
            </w:r>
            <w:r>
              <w:rPr>
                <w:b/>
                <w:spacing w:val="-7"/>
                <w:sz w:val="16"/>
              </w:rPr>
              <w:t> </w:t>
            </w:r>
            <w:r>
              <w:rPr>
                <w:b/>
                <w:sz w:val="16"/>
              </w:rPr>
              <w:t>Central</w:t>
            </w:r>
            <w:r>
              <w:rPr>
                <w:b/>
                <w:spacing w:val="-4"/>
                <w:sz w:val="16"/>
              </w:rPr>
              <w:t> </w:t>
            </w:r>
            <w:r>
              <w:rPr>
                <w:b/>
                <w:sz w:val="16"/>
              </w:rPr>
              <w:t>D-MEP-</w:t>
            </w:r>
            <w:r>
              <w:rPr>
                <w:b/>
                <w:spacing w:val="-2"/>
                <w:sz w:val="16"/>
              </w:rPr>
              <w:t>Avancemos</w:t>
            </w:r>
          </w:p>
        </w:tc>
        <w:tc>
          <w:tcPr>
            <w:tcW w:w="1672" w:type="dxa"/>
          </w:tcPr>
          <w:p>
            <w:pPr>
              <w:pStyle w:val="TableParagraph"/>
              <w:spacing w:line="163" w:lineRule="exact" w:before="37"/>
              <w:ind w:right="61"/>
              <w:jc w:val="right"/>
              <w:rPr>
                <w:b/>
                <w:sz w:val="16"/>
              </w:rPr>
            </w:pPr>
            <w:r>
              <w:rPr>
                <w:b/>
                <w:spacing w:val="-2"/>
                <w:sz w:val="16"/>
              </w:rPr>
              <w:t>12,193,824.17</w:t>
            </w:r>
          </w:p>
        </w:tc>
        <w:tc>
          <w:tcPr>
            <w:tcW w:w="1825" w:type="dxa"/>
          </w:tcPr>
          <w:p>
            <w:pPr>
              <w:pStyle w:val="TableParagraph"/>
              <w:spacing w:line="163" w:lineRule="exact" w:before="37"/>
              <w:ind w:right="66"/>
              <w:jc w:val="right"/>
              <w:rPr>
                <w:b/>
                <w:sz w:val="16"/>
              </w:rPr>
            </w:pPr>
            <w:r>
              <w:rPr>
                <w:b/>
                <w:spacing w:val="-2"/>
                <w:sz w:val="16"/>
              </w:rPr>
              <w:t>12,193,824.17</w:t>
            </w:r>
          </w:p>
        </w:tc>
        <w:tc>
          <w:tcPr>
            <w:tcW w:w="1802" w:type="dxa"/>
          </w:tcPr>
          <w:p>
            <w:pPr>
              <w:pStyle w:val="TableParagraph"/>
              <w:spacing w:line="163" w:lineRule="exact" w:before="37"/>
              <w:ind w:right="62"/>
              <w:jc w:val="right"/>
              <w:rPr>
                <w:b/>
                <w:sz w:val="16"/>
              </w:rPr>
            </w:pPr>
            <w:r>
              <w:rPr>
                <w:b/>
                <w:spacing w:val="-2"/>
                <w:sz w:val="16"/>
              </w:rPr>
              <w:t>12,193,824.17</w:t>
            </w:r>
          </w:p>
        </w:tc>
        <w:tc>
          <w:tcPr>
            <w:tcW w:w="1322" w:type="dxa"/>
          </w:tcPr>
          <w:p>
            <w:pPr>
              <w:pStyle w:val="TableParagraph"/>
              <w:rPr>
                <w:rFonts w:ascii="Times New Roman"/>
                <w:sz w:val="14"/>
              </w:rPr>
            </w:pPr>
          </w:p>
        </w:tc>
        <w:tc>
          <w:tcPr>
            <w:tcW w:w="789" w:type="dxa"/>
          </w:tcPr>
          <w:p>
            <w:pPr>
              <w:pStyle w:val="TableParagraph"/>
              <w:spacing w:line="163" w:lineRule="exact" w:before="37"/>
              <w:ind w:right="160"/>
              <w:jc w:val="right"/>
              <w:rPr>
                <w:sz w:val="16"/>
              </w:rPr>
            </w:pPr>
            <w:r>
              <w:rPr>
                <w:spacing w:val="-2"/>
                <w:sz w:val="16"/>
              </w:rPr>
              <w:t>0.00%</w:t>
            </w:r>
          </w:p>
        </w:tc>
      </w:tr>
      <w:tr>
        <w:trPr>
          <w:trHeight w:val="220" w:hRule="atLeast"/>
        </w:trPr>
        <w:tc>
          <w:tcPr>
            <w:tcW w:w="3174" w:type="dxa"/>
          </w:tcPr>
          <w:p>
            <w:pPr>
              <w:pStyle w:val="TableParagraph"/>
              <w:spacing w:line="163" w:lineRule="exact" w:before="37"/>
              <w:ind w:left="71"/>
              <w:rPr>
                <w:b/>
                <w:sz w:val="16"/>
              </w:rPr>
            </w:pPr>
            <w:r>
              <w:rPr>
                <w:b/>
                <w:sz w:val="16"/>
              </w:rPr>
              <w:t>Gobierno</w:t>
            </w:r>
            <w:r>
              <w:rPr>
                <w:b/>
                <w:spacing w:val="-7"/>
                <w:sz w:val="16"/>
              </w:rPr>
              <w:t> </w:t>
            </w:r>
            <w:r>
              <w:rPr>
                <w:b/>
                <w:sz w:val="16"/>
              </w:rPr>
              <w:t>Central</w:t>
            </w:r>
            <w:r>
              <w:rPr>
                <w:b/>
                <w:spacing w:val="-4"/>
                <w:sz w:val="16"/>
              </w:rPr>
              <w:t> </w:t>
            </w:r>
            <w:r>
              <w:rPr>
                <w:b/>
                <w:sz w:val="16"/>
              </w:rPr>
              <w:t>(Avancemos</w:t>
            </w:r>
            <w:r>
              <w:rPr>
                <w:b/>
                <w:spacing w:val="-8"/>
                <w:sz w:val="16"/>
              </w:rPr>
              <w:t> </w:t>
            </w:r>
            <w:r>
              <w:rPr>
                <w:b/>
                <w:spacing w:val="-4"/>
                <w:sz w:val="16"/>
              </w:rPr>
              <w:t>MEP)</w:t>
            </w:r>
          </w:p>
        </w:tc>
        <w:tc>
          <w:tcPr>
            <w:tcW w:w="1672" w:type="dxa"/>
          </w:tcPr>
          <w:p>
            <w:pPr>
              <w:pStyle w:val="TableParagraph"/>
              <w:spacing w:line="163" w:lineRule="exact" w:before="37"/>
              <w:ind w:right="60"/>
              <w:jc w:val="right"/>
              <w:rPr>
                <w:b/>
                <w:sz w:val="16"/>
              </w:rPr>
            </w:pPr>
            <w:r>
              <w:rPr>
                <w:b/>
                <w:spacing w:val="-2"/>
                <w:sz w:val="16"/>
              </w:rPr>
              <w:t>2,708,641.22</w:t>
            </w:r>
          </w:p>
        </w:tc>
        <w:tc>
          <w:tcPr>
            <w:tcW w:w="1825" w:type="dxa"/>
          </w:tcPr>
          <w:p>
            <w:pPr>
              <w:pStyle w:val="TableParagraph"/>
              <w:spacing w:line="163" w:lineRule="exact" w:before="37"/>
              <w:ind w:right="65"/>
              <w:jc w:val="right"/>
              <w:rPr>
                <w:b/>
                <w:sz w:val="16"/>
              </w:rPr>
            </w:pPr>
            <w:r>
              <w:rPr>
                <w:b/>
                <w:spacing w:val="-2"/>
                <w:sz w:val="16"/>
              </w:rPr>
              <w:t>2,708,641.22</w:t>
            </w:r>
          </w:p>
        </w:tc>
        <w:tc>
          <w:tcPr>
            <w:tcW w:w="1802" w:type="dxa"/>
          </w:tcPr>
          <w:p>
            <w:pPr>
              <w:pStyle w:val="TableParagraph"/>
              <w:spacing w:line="163" w:lineRule="exact" w:before="37"/>
              <w:ind w:right="62"/>
              <w:jc w:val="right"/>
              <w:rPr>
                <w:b/>
                <w:sz w:val="16"/>
              </w:rPr>
            </w:pPr>
            <w:r>
              <w:rPr>
                <w:b/>
                <w:spacing w:val="-2"/>
                <w:sz w:val="16"/>
              </w:rPr>
              <w:t>2,708,815.42</w:t>
            </w:r>
          </w:p>
        </w:tc>
        <w:tc>
          <w:tcPr>
            <w:tcW w:w="1322" w:type="dxa"/>
          </w:tcPr>
          <w:p>
            <w:pPr>
              <w:pStyle w:val="TableParagraph"/>
              <w:spacing w:line="163" w:lineRule="exact" w:before="37"/>
              <w:ind w:right="68"/>
              <w:jc w:val="right"/>
              <w:rPr>
                <w:b/>
                <w:sz w:val="16"/>
              </w:rPr>
            </w:pPr>
            <w:r>
              <w:rPr>
                <w:b/>
                <w:spacing w:val="-2"/>
                <w:sz w:val="16"/>
              </w:rPr>
              <w:t>174.20</w:t>
            </w:r>
          </w:p>
        </w:tc>
        <w:tc>
          <w:tcPr>
            <w:tcW w:w="789" w:type="dxa"/>
          </w:tcPr>
          <w:p>
            <w:pPr>
              <w:pStyle w:val="TableParagraph"/>
              <w:spacing w:line="163" w:lineRule="exact" w:before="37"/>
              <w:ind w:right="160"/>
              <w:jc w:val="right"/>
              <w:rPr>
                <w:b/>
                <w:sz w:val="16"/>
              </w:rPr>
            </w:pPr>
            <w:r>
              <w:rPr>
                <w:b/>
                <w:spacing w:val="-2"/>
                <w:sz w:val="16"/>
              </w:rPr>
              <w:t>0.01%</w:t>
            </w:r>
          </w:p>
        </w:tc>
      </w:tr>
      <w:tr>
        <w:trPr>
          <w:trHeight w:val="220" w:hRule="atLeast"/>
        </w:trPr>
        <w:tc>
          <w:tcPr>
            <w:tcW w:w="3174" w:type="dxa"/>
          </w:tcPr>
          <w:p>
            <w:pPr>
              <w:pStyle w:val="TableParagraph"/>
              <w:spacing w:line="168" w:lineRule="exact" w:before="32"/>
              <w:ind w:left="71"/>
              <w:rPr>
                <w:b/>
                <w:sz w:val="16"/>
              </w:rPr>
            </w:pPr>
            <w:r>
              <w:rPr>
                <w:b/>
                <w:sz w:val="16"/>
              </w:rPr>
              <w:t>Gobierno</w:t>
            </w:r>
            <w:r>
              <w:rPr>
                <w:b/>
                <w:spacing w:val="-7"/>
                <w:sz w:val="16"/>
              </w:rPr>
              <w:t> </w:t>
            </w:r>
            <w:r>
              <w:rPr>
                <w:b/>
                <w:sz w:val="16"/>
              </w:rPr>
              <w:t>Central</w:t>
            </w:r>
            <w:r>
              <w:rPr>
                <w:b/>
                <w:spacing w:val="-2"/>
                <w:sz w:val="16"/>
              </w:rPr>
              <w:t> (Emergencias)</w:t>
            </w:r>
          </w:p>
        </w:tc>
        <w:tc>
          <w:tcPr>
            <w:tcW w:w="1672" w:type="dxa"/>
          </w:tcPr>
          <w:p>
            <w:pPr>
              <w:pStyle w:val="TableParagraph"/>
              <w:spacing w:line="168" w:lineRule="exact" w:before="32"/>
              <w:ind w:right="60"/>
              <w:jc w:val="right"/>
              <w:rPr>
                <w:b/>
                <w:sz w:val="16"/>
              </w:rPr>
            </w:pPr>
            <w:r>
              <w:rPr>
                <w:b/>
                <w:spacing w:val="-2"/>
                <w:sz w:val="16"/>
              </w:rPr>
              <w:t>27,795.03</w:t>
            </w:r>
          </w:p>
        </w:tc>
        <w:tc>
          <w:tcPr>
            <w:tcW w:w="1825" w:type="dxa"/>
          </w:tcPr>
          <w:p>
            <w:pPr>
              <w:pStyle w:val="TableParagraph"/>
              <w:spacing w:line="168" w:lineRule="exact" w:before="32"/>
              <w:ind w:right="65"/>
              <w:jc w:val="right"/>
              <w:rPr>
                <w:b/>
                <w:sz w:val="16"/>
              </w:rPr>
            </w:pPr>
            <w:r>
              <w:rPr>
                <w:b/>
                <w:spacing w:val="-2"/>
                <w:sz w:val="16"/>
              </w:rPr>
              <w:t>27,795.03</w:t>
            </w:r>
          </w:p>
        </w:tc>
        <w:tc>
          <w:tcPr>
            <w:tcW w:w="1802" w:type="dxa"/>
          </w:tcPr>
          <w:p>
            <w:pPr>
              <w:pStyle w:val="TableParagraph"/>
              <w:spacing w:line="168" w:lineRule="exact" w:before="32"/>
              <w:ind w:right="62"/>
              <w:jc w:val="right"/>
              <w:rPr>
                <w:b/>
                <w:sz w:val="16"/>
              </w:rPr>
            </w:pPr>
            <w:r>
              <w:rPr>
                <w:b/>
                <w:spacing w:val="-2"/>
                <w:sz w:val="16"/>
              </w:rPr>
              <w:t>27,795.03</w:t>
            </w:r>
          </w:p>
        </w:tc>
        <w:tc>
          <w:tcPr>
            <w:tcW w:w="1322" w:type="dxa"/>
          </w:tcPr>
          <w:p>
            <w:pPr>
              <w:pStyle w:val="TableParagraph"/>
              <w:rPr>
                <w:rFonts w:ascii="Times New Roman"/>
                <w:sz w:val="14"/>
              </w:rPr>
            </w:pPr>
          </w:p>
        </w:tc>
        <w:tc>
          <w:tcPr>
            <w:tcW w:w="789" w:type="dxa"/>
          </w:tcPr>
          <w:p>
            <w:pPr>
              <w:pStyle w:val="TableParagraph"/>
              <w:spacing w:line="168" w:lineRule="exact" w:before="32"/>
              <w:ind w:right="160"/>
              <w:jc w:val="right"/>
              <w:rPr>
                <w:b/>
                <w:sz w:val="16"/>
              </w:rPr>
            </w:pPr>
            <w:r>
              <w:rPr>
                <w:b/>
                <w:spacing w:val="-2"/>
                <w:sz w:val="16"/>
              </w:rPr>
              <w:t>0.00%</w:t>
            </w:r>
          </w:p>
        </w:tc>
      </w:tr>
      <w:tr>
        <w:trPr>
          <w:trHeight w:val="220" w:hRule="atLeast"/>
        </w:trPr>
        <w:tc>
          <w:tcPr>
            <w:tcW w:w="3174" w:type="dxa"/>
          </w:tcPr>
          <w:p>
            <w:pPr>
              <w:pStyle w:val="TableParagraph"/>
              <w:spacing w:line="168" w:lineRule="exact" w:before="32"/>
              <w:ind w:left="71"/>
              <w:rPr>
                <w:b/>
                <w:sz w:val="16"/>
              </w:rPr>
            </w:pPr>
            <w:r>
              <w:rPr>
                <w:b/>
                <w:sz w:val="16"/>
              </w:rPr>
              <w:t>Gobierno</w:t>
            </w:r>
            <w:r>
              <w:rPr>
                <w:b/>
                <w:spacing w:val="-5"/>
                <w:sz w:val="16"/>
              </w:rPr>
              <w:t> </w:t>
            </w:r>
            <w:r>
              <w:rPr>
                <w:b/>
                <w:sz w:val="16"/>
              </w:rPr>
              <w:t>Central</w:t>
            </w:r>
            <w:r>
              <w:rPr>
                <w:b/>
                <w:spacing w:val="-5"/>
                <w:sz w:val="16"/>
              </w:rPr>
              <w:t> </w:t>
            </w:r>
            <w:r>
              <w:rPr>
                <w:b/>
                <w:sz w:val="16"/>
              </w:rPr>
              <w:t>MEP-</w:t>
            </w:r>
            <w:r>
              <w:rPr>
                <w:b/>
                <w:spacing w:val="-5"/>
                <w:sz w:val="16"/>
              </w:rPr>
              <w:t>240</w:t>
            </w:r>
          </w:p>
        </w:tc>
        <w:tc>
          <w:tcPr>
            <w:tcW w:w="1672" w:type="dxa"/>
          </w:tcPr>
          <w:p>
            <w:pPr>
              <w:pStyle w:val="TableParagraph"/>
              <w:spacing w:line="168" w:lineRule="exact" w:before="32"/>
              <w:ind w:right="60"/>
              <w:jc w:val="right"/>
              <w:rPr>
                <w:b/>
                <w:sz w:val="16"/>
              </w:rPr>
            </w:pPr>
            <w:r>
              <w:rPr>
                <w:b/>
                <w:spacing w:val="-2"/>
                <w:sz w:val="16"/>
              </w:rPr>
              <w:t>525.22</w:t>
            </w:r>
          </w:p>
        </w:tc>
        <w:tc>
          <w:tcPr>
            <w:tcW w:w="1825" w:type="dxa"/>
          </w:tcPr>
          <w:p>
            <w:pPr>
              <w:pStyle w:val="TableParagraph"/>
              <w:spacing w:line="168" w:lineRule="exact" w:before="32"/>
              <w:ind w:right="65"/>
              <w:jc w:val="right"/>
              <w:rPr>
                <w:b/>
                <w:sz w:val="16"/>
              </w:rPr>
            </w:pPr>
            <w:r>
              <w:rPr>
                <w:b/>
                <w:spacing w:val="-2"/>
                <w:sz w:val="16"/>
              </w:rPr>
              <w:t>525.22</w:t>
            </w:r>
          </w:p>
        </w:tc>
        <w:tc>
          <w:tcPr>
            <w:tcW w:w="1802" w:type="dxa"/>
          </w:tcPr>
          <w:p>
            <w:pPr>
              <w:pStyle w:val="TableParagraph"/>
              <w:spacing w:line="168" w:lineRule="exact" w:before="32"/>
              <w:ind w:right="61"/>
              <w:jc w:val="right"/>
              <w:rPr>
                <w:b/>
                <w:sz w:val="16"/>
              </w:rPr>
            </w:pPr>
            <w:r>
              <w:rPr>
                <w:b/>
                <w:spacing w:val="-2"/>
                <w:sz w:val="16"/>
              </w:rPr>
              <w:t>525.22</w:t>
            </w:r>
          </w:p>
        </w:tc>
        <w:tc>
          <w:tcPr>
            <w:tcW w:w="1322" w:type="dxa"/>
          </w:tcPr>
          <w:p>
            <w:pPr>
              <w:pStyle w:val="TableParagraph"/>
              <w:rPr>
                <w:rFonts w:ascii="Times New Roman"/>
                <w:sz w:val="14"/>
              </w:rPr>
            </w:pPr>
          </w:p>
        </w:tc>
        <w:tc>
          <w:tcPr>
            <w:tcW w:w="789" w:type="dxa"/>
          </w:tcPr>
          <w:p>
            <w:pPr>
              <w:pStyle w:val="TableParagraph"/>
              <w:spacing w:line="168" w:lineRule="exact" w:before="32"/>
              <w:ind w:right="160"/>
              <w:jc w:val="right"/>
              <w:rPr>
                <w:b/>
                <w:sz w:val="16"/>
              </w:rPr>
            </w:pPr>
            <w:r>
              <w:rPr>
                <w:b/>
                <w:spacing w:val="-2"/>
                <w:sz w:val="16"/>
              </w:rPr>
              <w:t>0.00%</w:t>
            </w:r>
          </w:p>
        </w:tc>
      </w:tr>
      <w:tr>
        <w:trPr>
          <w:trHeight w:val="234" w:hRule="atLeast"/>
        </w:trPr>
        <w:tc>
          <w:tcPr>
            <w:tcW w:w="3174" w:type="dxa"/>
          </w:tcPr>
          <w:p>
            <w:pPr>
              <w:pStyle w:val="TableParagraph"/>
              <w:spacing w:line="168" w:lineRule="exact" w:before="46"/>
              <w:ind w:left="71"/>
              <w:rPr>
                <w:b/>
                <w:sz w:val="16"/>
              </w:rPr>
            </w:pPr>
            <w:r>
              <w:rPr>
                <w:b/>
                <w:sz w:val="16"/>
              </w:rPr>
              <w:t>Empresas</w:t>
            </w:r>
            <w:r>
              <w:rPr>
                <w:b/>
                <w:spacing w:val="-8"/>
                <w:sz w:val="16"/>
              </w:rPr>
              <w:t> </w:t>
            </w:r>
            <w:r>
              <w:rPr>
                <w:b/>
                <w:spacing w:val="-2"/>
                <w:sz w:val="16"/>
              </w:rPr>
              <w:t>Comerciales</w:t>
            </w:r>
          </w:p>
        </w:tc>
        <w:tc>
          <w:tcPr>
            <w:tcW w:w="1672" w:type="dxa"/>
          </w:tcPr>
          <w:p>
            <w:pPr>
              <w:pStyle w:val="TableParagraph"/>
              <w:spacing w:line="168" w:lineRule="exact" w:before="46"/>
              <w:ind w:right="61"/>
              <w:jc w:val="right"/>
              <w:rPr>
                <w:b/>
                <w:sz w:val="16"/>
              </w:rPr>
            </w:pPr>
            <w:r>
              <w:rPr>
                <w:b/>
                <w:spacing w:val="-2"/>
                <w:sz w:val="16"/>
              </w:rPr>
              <w:t>23,836,286.76</w:t>
            </w:r>
          </w:p>
        </w:tc>
        <w:tc>
          <w:tcPr>
            <w:tcW w:w="1825" w:type="dxa"/>
          </w:tcPr>
          <w:p>
            <w:pPr>
              <w:pStyle w:val="TableParagraph"/>
              <w:spacing w:line="168" w:lineRule="exact" w:before="46"/>
              <w:ind w:right="66"/>
              <w:jc w:val="right"/>
              <w:rPr>
                <w:b/>
                <w:sz w:val="16"/>
              </w:rPr>
            </w:pPr>
            <w:r>
              <w:rPr>
                <w:b/>
                <w:spacing w:val="-2"/>
                <w:sz w:val="16"/>
              </w:rPr>
              <w:t>23,836,286.76</w:t>
            </w:r>
          </w:p>
        </w:tc>
        <w:tc>
          <w:tcPr>
            <w:tcW w:w="1802" w:type="dxa"/>
          </w:tcPr>
          <w:p>
            <w:pPr>
              <w:pStyle w:val="TableParagraph"/>
              <w:spacing w:line="168" w:lineRule="exact" w:before="46"/>
              <w:ind w:right="62"/>
              <w:jc w:val="right"/>
              <w:rPr>
                <w:b/>
                <w:sz w:val="16"/>
              </w:rPr>
            </w:pPr>
            <w:r>
              <w:rPr>
                <w:b/>
                <w:spacing w:val="-2"/>
                <w:sz w:val="16"/>
              </w:rPr>
              <w:t>22,766,649.57</w:t>
            </w:r>
          </w:p>
        </w:tc>
        <w:tc>
          <w:tcPr>
            <w:tcW w:w="1322" w:type="dxa"/>
          </w:tcPr>
          <w:p>
            <w:pPr>
              <w:pStyle w:val="TableParagraph"/>
              <w:spacing w:line="168" w:lineRule="exact" w:before="46"/>
              <w:ind w:right="68"/>
              <w:jc w:val="right"/>
              <w:rPr>
                <w:b/>
                <w:sz w:val="16"/>
              </w:rPr>
            </w:pPr>
            <w:r>
              <w:rPr>
                <w:b/>
                <w:spacing w:val="-2"/>
                <w:sz w:val="16"/>
              </w:rPr>
              <w:t>-1,069,637.19</w:t>
            </w:r>
          </w:p>
        </w:tc>
        <w:tc>
          <w:tcPr>
            <w:tcW w:w="789" w:type="dxa"/>
          </w:tcPr>
          <w:p>
            <w:pPr>
              <w:pStyle w:val="TableParagraph"/>
              <w:spacing w:line="168" w:lineRule="exact" w:before="46"/>
              <w:ind w:right="136"/>
              <w:jc w:val="right"/>
              <w:rPr>
                <w:b/>
                <w:sz w:val="16"/>
              </w:rPr>
            </w:pPr>
            <w:r>
              <w:rPr>
                <w:b/>
                <w:spacing w:val="-2"/>
                <w:sz w:val="16"/>
              </w:rPr>
              <w:t>-4.49%</w:t>
            </w:r>
          </w:p>
        </w:tc>
      </w:tr>
      <w:tr>
        <w:trPr>
          <w:trHeight w:val="234" w:hRule="atLeast"/>
        </w:trPr>
        <w:tc>
          <w:tcPr>
            <w:tcW w:w="3174" w:type="dxa"/>
            <w:shd w:val="clear" w:color="auto" w:fill="0E233D"/>
          </w:tcPr>
          <w:p>
            <w:pPr>
              <w:pStyle w:val="TableParagraph"/>
              <w:spacing w:line="168" w:lineRule="exact" w:before="46"/>
              <w:ind w:left="115"/>
              <w:rPr>
                <w:b/>
                <w:sz w:val="16"/>
              </w:rPr>
            </w:pPr>
            <w:r>
              <w:rPr>
                <w:b/>
                <w:color w:val="FFFFFF"/>
                <w:spacing w:val="-2"/>
                <w:sz w:val="16"/>
              </w:rPr>
              <w:t>TOTAL</w:t>
            </w:r>
          </w:p>
        </w:tc>
        <w:tc>
          <w:tcPr>
            <w:tcW w:w="1672" w:type="dxa"/>
            <w:shd w:val="clear" w:color="auto" w:fill="0E233D"/>
          </w:tcPr>
          <w:p>
            <w:pPr>
              <w:pStyle w:val="TableParagraph"/>
              <w:spacing w:line="168" w:lineRule="exact" w:before="46"/>
              <w:ind w:right="60"/>
              <w:jc w:val="right"/>
              <w:rPr>
                <w:b/>
                <w:sz w:val="16"/>
              </w:rPr>
            </w:pPr>
            <w:r>
              <w:rPr>
                <w:b/>
                <w:color w:val="FFFFFF"/>
                <w:spacing w:val="-2"/>
                <w:sz w:val="16"/>
              </w:rPr>
              <w:t>304,969,334.19</w:t>
            </w:r>
          </w:p>
        </w:tc>
        <w:tc>
          <w:tcPr>
            <w:tcW w:w="1825" w:type="dxa"/>
            <w:shd w:val="clear" w:color="auto" w:fill="0E233D"/>
          </w:tcPr>
          <w:p>
            <w:pPr>
              <w:pStyle w:val="TableParagraph"/>
              <w:spacing w:line="168" w:lineRule="exact" w:before="46"/>
              <w:ind w:right="66"/>
              <w:jc w:val="right"/>
              <w:rPr>
                <w:b/>
                <w:sz w:val="16"/>
              </w:rPr>
            </w:pPr>
            <w:r>
              <w:rPr>
                <w:b/>
                <w:color w:val="FFFFFF"/>
                <w:spacing w:val="-2"/>
                <w:sz w:val="16"/>
              </w:rPr>
              <w:t>304,969,334.19</w:t>
            </w:r>
          </w:p>
        </w:tc>
        <w:tc>
          <w:tcPr>
            <w:tcW w:w="1802" w:type="dxa"/>
            <w:shd w:val="clear" w:color="auto" w:fill="0E233D"/>
          </w:tcPr>
          <w:p>
            <w:pPr>
              <w:pStyle w:val="TableParagraph"/>
              <w:spacing w:line="168" w:lineRule="exact" w:before="46"/>
              <w:ind w:right="62"/>
              <w:jc w:val="right"/>
              <w:rPr>
                <w:b/>
                <w:sz w:val="16"/>
              </w:rPr>
            </w:pPr>
            <w:r>
              <w:rPr>
                <w:b/>
                <w:color w:val="FFFFFF"/>
                <w:spacing w:val="-2"/>
                <w:sz w:val="16"/>
              </w:rPr>
              <w:t>302,019,226.50</w:t>
            </w:r>
          </w:p>
        </w:tc>
        <w:tc>
          <w:tcPr>
            <w:tcW w:w="1322" w:type="dxa"/>
            <w:shd w:val="clear" w:color="auto" w:fill="0E233D"/>
          </w:tcPr>
          <w:p>
            <w:pPr>
              <w:pStyle w:val="TableParagraph"/>
              <w:spacing w:line="168" w:lineRule="exact" w:before="46"/>
              <w:ind w:right="68"/>
              <w:jc w:val="right"/>
              <w:rPr>
                <w:b/>
                <w:sz w:val="16"/>
              </w:rPr>
            </w:pPr>
            <w:r>
              <w:rPr>
                <w:b/>
                <w:color w:val="FFFFFF"/>
                <w:spacing w:val="-2"/>
                <w:sz w:val="16"/>
              </w:rPr>
              <w:t>-2,950,107.69</w:t>
            </w:r>
          </w:p>
        </w:tc>
        <w:tc>
          <w:tcPr>
            <w:tcW w:w="789" w:type="dxa"/>
            <w:shd w:val="clear" w:color="auto" w:fill="0E233D"/>
          </w:tcPr>
          <w:p>
            <w:pPr>
              <w:pStyle w:val="TableParagraph"/>
              <w:spacing w:line="168" w:lineRule="exact" w:before="46"/>
              <w:ind w:right="136"/>
              <w:jc w:val="right"/>
              <w:rPr>
                <w:b/>
                <w:sz w:val="16"/>
              </w:rPr>
            </w:pPr>
            <w:r>
              <w:rPr>
                <w:b/>
                <w:color w:val="FFFFFF"/>
                <w:spacing w:val="-2"/>
                <w:sz w:val="16"/>
              </w:rPr>
              <w:t>-0.97%</w:t>
            </w:r>
          </w:p>
        </w:tc>
      </w:tr>
      <w:tr>
        <w:trPr>
          <w:trHeight w:val="456" w:hRule="atLeast"/>
        </w:trPr>
        <w:tc>
          <w:tcPr>
            <w:tcW w:w="3174" w:type="dxa"/>
            <w:shd w:val="clear" w:color="auto" w:fill="0E233D"/>
          </w:tcPr>
          <w:p>
            <w:pPr>
              <w:pStyle w:val="TableParagraph"/>
              <w:spacing w:line="180" w:lineRule="atLeast" w:before="68"/>
              <w:ind w:left="71" w:right="98"/>
              <w:rPr>
                <w:b/>
                <w:sz w:val="16"/>
              </w:rPr>
            </w:pPr>
            <w:r>
              <w:rPr>
                <w:b/>
                <w:color w:val="FFFFFF"/>
                <w:sz w:val="16"/>
              </w:rPr>
              <w:t>% con respecto Ingresos Institucionales</w:t>
            </w:r>
            <w:r>
              <w:rPr>
                <w:b/>
                <w:color w:val="FFFFFF"/>
                <w:spacing w:val="-12"/>
                <w:sz w:val="16"/>
              </w:rPr>
              <w:t> </w:t>
            </w:r>
            <w:r>
              <w:rPr>
                <w:b/>
                <w:color w:val="FFFFFF"/>
                <w:sz w:val="16"/>
              </w:rPr>
              <w:t>Proyectados</w:t>
            </w:r>
            <w:r>
              <w:rPr>
                <w:b/>
                <w:color w:val="FFFFFF"/>
                <w:spacing w:val="-11"/>
                <w:sz w:val="16"/>
              </w:rPr>
              <w:t> </w:t>
            </w:r>
            <w:r>
              <w:rPr>
                <w:b/>
                <w:color w:val="FFFFFF"/>
                <w:sz w:val="16"/>
              </w:rPr>
              <w:t>2024</w:t>
            </w:r>
          </w:p>
        </w:tc>
        <w:tc>
          <w:tcPr>
            <w:tcW w:w="1672" w:type="dxa"/>
            <w:shd w:val="clear" w:color="auto" w:fill="0E233D"/>
          </w:tcPr>
          <w:p>
            <w:pPr>
              <w:pStyle w:val="TableParagraph"/>
              <w:rPr>
                <w:rFonts w:ascii="Times New Roman"/>
                <w:sz w:val="18"/>
              </w:rPr>
            </w:pPr>
          </w:p>
        </w:tc>
        <w:tc>
          <w:tcPr>
            <w:tcW w:w="1825" w:type="dxa"/>
            <w:shd w:val="clear" w:color="auto" w:fill="0E233D"/>
          </w:tcPr>
          <w:p>
            <w:pPr>
              <w:pStyle w:val="TableParagraph"/>
              <w:spacing w:before="133"/>
              <w:ind w:left="589"/>
              <w:rPr>
                <w:b/>
                <w:sz w:val="16"/>
              </w:rPr>
            </w:pPr>
            <w:r>
              <w:rPr>
                <w:b/>
                <w:color w:val="FFFFFF"/>
                <w:spacing w:val="-2"/>
                <w:sz w:val="16"/>
              </w:rPr>
              <w:t>100.00%</w:t>
            </w:r>
          </w:p>
        </w:tc>
        <w:tc>
          <w:tcPr>
            <w:tcW w:w="1802" w:type="dxa"/>
            <w:shd w:val="clear" w:color="auto" w:fill="0E233D"/>
          </w:tcPr>
          <w:p>
            <w:pPr>
              <w:pStyle w:val="TableParagraph"/>
              <w:spacing w:before="133"/>
              <w:ind w:left="2"/>
              <w:jc w:val="center"/>
              <w:rPr>
                <w:b/>
                <w:sz w:val="16"/>
              </w:rPr>
            </w:pPr>
            <w:r>
              <w:rPr>
                <w:b/>
                <w:color w:val="FFFFFF"/>
                <w:spacing w:val="-2"/>
                <w:sz w:val="16"/>
              </w:rPr>
              <w:t>99.03%</w:t>
            </w:r>
          </w:p>
        </w:tc>
        <w:tc>
          <w:tcPr>
            <w:tcW w:w="1322" w:type="dxa"/>
            <w:shd w:val="clear" w:color="auto" w:fill="0E233D"/>
          </w:tcPr>
          <w:p>
            <w:pPr>
              <w:pStyle w:val="TableParagraph"/>
              <w:rPr>
                <w:rFonts w:ascii="Times New Roman"/>
                <w:sz w:val="18"/>
              </w:rPr>
            </w:pPr>
          </w:p>
        </w:tc>
        <w:tc>
          <w:tcPr>
            <w:tcW w:w="789" w:type="dxa"/>
            <w:shd w:val="clear" w:color="auto" w:fill="0E233D"/>
          </w:tcPr>
          <w:p>
            <w:pPr>
              <w:pStyle w:val="TableParagraph"/>
              <w:rPr>
                <w:rFonts w:ascii="Times New Roman"/>
                <w:sz w:val="18"/>
              </w:rPr>
            </w:pPr>
          </w:p>
        </w:tc>
      </w:tr>
    </w:tbl>
    <w:p>
      <w:pPr>
        <w:spacing w:before="214"/>
        <w:ind w:left="979" w:right="0" w:firstLine="0"/>
        <w:jc w:val="left"/>
        <w:rPr>
          <w:b/>
          <w:sz w:val="18"/>
        </w:rPr>
      </w:pPr>
      <w:r>
        <w:rPr>
          <w:b/>
          <w:sz w:val="18"/>
        </w:rPr>
        <w:t>Fuente:</w:t>
      </w:r>
      <w:r>
        <w:rPr>
          <w:b/>
          <w:spacing w:val="-9"/>
          <w:sz w:val="18"/>
        </w:rPr>
        <w:t> </w:t>
      </w:r>
      <w:r>
        <w:rPr>
          <w:b/>
          <w:sz w:val="18"/>
        </w:rPr>
        <w:t>Informe</w:t>
      </w:r>
      <w:r>
        <w:rPr>
          <w:b/>
          <w:spacing w:val="-8"/>
          <w:sz w:val="18"/>
        </w:rPr>
        <w:t> </w:t>
      </w:r>
      <w:r>
        <w:rPr>
          <w:b/>
          <w:sz w:val="18"/>
        </w:rPr>
        <w:t>Liquidación</w:t>
      </w:r>
      <w:r>
        <w:rPr>
          <w:b/>
          <w:spacing w:val="-8"/>
          <w:sz w:val="18"/>
        </w:rPr>
        <w:t> </w:t>
      </w:r>
      <w:r>
        <w:rPr>
          <w:b/>
          <w:sz w:val="18"/>
        </w:rPr>
        <w:t>Presupuestaria</w:t>
      </w:r>
      <w:r>
        <w:rPr>
          <w:b/>
          <w:spacing w:val="-4"/>
          <w:sz w:val="18"/>
        </w:rPr>
        <w:t> 2024.</w:t>
      </w:r>
    </w:p>
    <w:p>
      <w:pPr>
        <w:pStyle w:val="BodyText"/>
        <w:spacing w:before="206"/>
        <w:ind w:left="979" w:right="1336"/>
        <w:jc w:val="both"/>
      </w:pPr>
      <w:r>
        <w:rPr/>
        <w:t>De la información contenida en el</w:t>
      </w:r>
      <w:r>
        <w:rPr>
          <w:spacing w:val="-2"/>
        </w:rPr>
        <w:t> </w:t>
      </w:r>
      <w:r>
        <w:rPr/>
        <w:t>cuadro anterior</w:t>
      </w:r>
      <w:r>
        <w:rPr>
          <w:spacing w:val="-8"/>
        </w:rPr>
        <w:t> </w:t>
      </w:r>
      <w:r>
        <w:rPr/>
        <w:t>se concluye que,</w:t>
      </w:r>
      <w:r>
        <w:rPr>
          <w:spacing w:val="-5"/>
        </w:rPr>
        <w:t> </w:t>
      </w:r>
      <w:r>
        <w:rPr/>
        <w:t>en</w:t>
      </w:r>
      <w:r>
        <w:rPr>
          <w:spacing w:val="-4"/>
        </w:rPr>
        <w:t> </w:t>
      </w:r>
      <w:r>
        <w:rPr/>
        <w:t>términos</w:t>
      </w:r>
      <w:r>
        <w:rPr>
          <w:spacing w:val="-1"/>
        </w:rPr>
        <w:t> </w:t>
      </w:r>
      <w:r>
        <w:rPr/>
        <w:t>generales, las</w:t>
      </w:r>
      <w:r>
        <w:rPr>
          <w:spacing w:val="-11"/>
        </w:rPr>
        <w:t> </w:t>
      </w:r>
      <w:r>
        <w:rPr/>
        <w:t>proyecciones</w:t>
      </w:r>
      <w:r>
        <w:rPr>
          <w:spacing w:val="-15"/>
        </w:rPr>
        <w:t> </w:t>
      </w:r>
      <w:r>
        <w:rPr/>
        <w:t>definidas</w:t>
      </w:r>
      <w:r>
        <w:rPr>
          <w:spacing w:val="-10"/>
        </w:rPr>
        <w:t> </w:t>
      </w:r>
      <w:r>
        <w:rPr/>
        <w:t>para</w:t>
      </w:r>
      <w:r>
        <w:rPr>
          <w:spacing w:val="-13"/>
        </w:rPr>
        <w:t> </w:t>
      </w:r>
      <w:r>
        <w:rPr/>
        <w:t>el</w:t>
      </w:r>
      <w:r>
        <w:rPr>
          <w:spacing w:val="-11"/>
        </w:rPr>
        <w:t> </w:t>
      </w:r>
      <w:r>
        <w:rPr/>
        <w:t>Presupuesto</w:t>
      </w:r>
      <w:r>
        <w:rPr>
          <w:spacing w:val="-8"/>
        </w:rPr>
        <w:t> </w:t>
      </w:r>
      <w:r>
        <w:rPr/>
        <w:t>Institucional</w:t>
      </w:r>
      <w:r>
        <w:rPr>
          <w:spacing w:val="-16"/>
        </w:rPr>
        <w:t> </w:t>
      </w:r>
      <w:r>
        <w:rPr/>
        <w:t>2024,</w:t>
      </w:r>
      <w:r>
        <w:rPr>
          <w:spacing w:val="-9"/>
        </w:rPr>
        <w:t> </w:t>
      </w:r>
      <w:r>
        <w:rPr/>
        <w:t>se</w:t>
      </w:r>
      <w:r>
        <w:rPr>
          <w:spacing w:val="-8"/>
        </w:rPr>
        <w:t> </w:t>
      </w:r>
      <w:r>
        <w:rPr/>
        <w:t>cumplieron,</w:t>
      </w:r>
      <w:r>
        <w:rPr>
          <w:spacing w:val="-14"/>
        </w:rPr>
        <w:t> </w:t>
      </w:r>
      <w:r>
        <w:rPr/>
        <w:t>por</w:t>
      </w:r>
      <w:r>
        <w:rPr>
          <w:spacing w:val="-11"/>
        </w:rPr>
        <w:t> </w:t>
      </w:r>
      <w:r>
        <w:rPr/>
        <w:t>tanto, se percibió de menos un 0.97% con respecto a los ingresos proyectados, siendo esta disminución en los recursos específicos.</w:t>
      </w:r>
    </w:p>
    <w:p>
      <w:pPr>
        <w:pStyle w:val="BodyText"/>
        <w:spacing w:before="208"/>
        <w:ind w:left="979" w:right="1331"/>
        <w:jc w:val="both"/>
      </w:pPr>
      <w:r>
        <w:rPr/>
        <w:t>De igual importancia, se rinde informe de los egresos nominales reales, lo que permite determinar el grado de efectividad que se obtuvo en la ejecución de los recursos en cada Programa Presupuestario obteniendo una ejecución presupuestaria institucional del 93,29%, conforme se desprende en la siguiente tabla:</w:t>
      </w:r>
    </w:p>
    <w:p>
      <w:pPr>
        <w:pStyle w:val="BodyText"/>
        <w:spacing w:after="0"/>
        <w:jc w:val="both"/>
        <w:sectPr>
          <w:pgSz w:w="12240" w:h="15840"/>
          <w:pgMar w:header="0" w:footer="1021" w:top="1340" w:bottom="1220" w:left="720" w:right="360"/>
        </w:sectPr>
      </w:pPr>
    </w:p>
    <w:p>
      <w:pPr>
        <w:pStyle w:val="Heading2"/>
        <w:spacing w:before="76"/>
        <w:ind w:left="786" w:right="1020"/>
        <w:jc w:val="center"/>
      </w:pPr>
      <w:bookmarkStart w:name="_bookmark15" w:id="16"/>
      <w:bookmarkEnd w:id="16"/>
      <w:r>
        <w:rPr>
          <w:b w:val="0"/>
        </w:rPr>
      </w:r>
      <w:r>
        <w:rPr/>
        <w:t>Tabla</w:t>
      </w:r>
      <w:r>
        <w:rPr>
          <w:spacing w:val="-5"/>
        </w:rPr>
        <w:t> </w:t>
      </w:r>
      <w:r>
        <w:rPr/>
        <w:t>6:</w:t>
      </w:r>
      <w:r>
        <w:rPr>
          <w:spacing w:val="-4"/>
        </w:rPr>
        <w:t> </w:t>
      </w:r>
      <w:r>
        <w:rPr/>
        <w:t>Distribución</w:t>
      </w:r>
      <w:r>
        <w:rPr>
          <w:spacing w:val="-4"/>
        </w:rPr>
        <w:t> </w:t>
      </w:r>
      <w:r>
        <w:rPr/>
        <w:t>del</w:t>
      </w:r>
      <w:r>
        <w:rPr>
          <w:spacing w:val="-3"/>
        </w:rPr>
        <w:t> </w:t>
      </w:r>
      <w:r>
        <w:rPr/>
        <w:t>presupuesto</w:t>
      </w:r>
      <w:r>
        <w:rPr>
          <w:spacing w:val="-8"/>
        </w:rPr>
        <w:t> </w:t>
      </w:r>
      <w:r>
        <w:rPr/>
        <w:t>institucional</w:t>
      </w:r>
      <w:r>
        <w:rPr>
          <w:spacing w:val="-7"/>
        </w:rPr>
        <w:t> </w:t>
      </w:r>
      <w:r>
        <w:rPr/>
        <w:t>egresos</w:t>
      </w:r>
      <w:r>
        <w:rPr>
          <w:spacing w:val="-7"/>
        </w:rPr>
        <w:t> </w:t>
      </w:r>
      <w:r>
        <w:rPr/>
        <w:t>reales</w:t>
      </w:r>
      <w:r>
        <w:rPr>
          <w:spacing w:val="-3"/>
        </w:rPr>
        <w:t> </w:t>
      </w:r>
      <w:r>
        <w:rPr/>
        <w:t>y</w:t>
      </w:r>
      <w:r>
        <w:rPr>
          <w:spacing w:val="-6"/>
        </w:rPr>
        <w:t> </w:t>
      </w:r>
      <w:r>
        <w:rPr/>
        <w:t>disponible presupuestario según programa en el año 2024 (en miles de colones)</w:t>
      </w:r>
    </w:p>
    <w:p>
      <w:pPr>
        <w:pStyle w:val="BodyText"/>
        <w:spacing w:before="46" w:after="1"/>
        <w:rPr>
          <w:b/>
          <w:sz w:val="20"/>
        </w:rPr>
      </w:pPr>
    </w:p>
    <w:tbl>
      <w:tblPr>
        <w:tblW w:w="0" w:type="auto"/>
        <w:jc w:val="left"/>
        <w:tblInd w:w="2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1421"/>
        <w:gridCol w:w="1397"/>
        <w:gridCol w:w="1671"/>
        <w:gridCol w:w="1483"/>
        <w:gridCol w:w="1622"/>
      </w:tblGrid>
      <w:tr>
        <w:trPr>
          <w:trHeight w:val="1070" w:hRule="atLeast"/>
        </w:trPr>
        <w:tc>
          <w:tcPr>
            <w:tcW w:w="2775" w:type="dxa"/>
            <w:shd w:val="clear" w:color="auto" w:fill="0E233D"/>
          </w:tcPr>
          <w:p>
            <w:pPr>
              <w:pStyle w:val="TableParagraph"/>
              <w:rPr>
                <w:b/>
                <w:sz w:val="18"/>
              </w:rPr>
            </w:pPr>
          </w:p>
          <w:p>
            <w:pPr>
              <w:pStyle w:val="TableParagraph"/>
              <w:spacing w:before="17"/>
              <w:rPr>
                <w:b/>
                <w:sz w:val="18"/>
              </w:rPr>
            </w:pPr>
          </w:p>
          <w:p>
            <w:pPr>
              <w:pStyle w:val="TableParagraph"/>
              <w:ind w:left="19"/>
              <w:jc w:val="center"/>
              <w:rPr>
                <w:b/>
                <w:sz w:val="18"/>
              </w:rPr>
            </w:pPr>
            <w:r>
              <w:rPr>
                <w:b/>
                <w:color w:val="FFFFFF"/>
                <w:spacing w:val="-2"/>
                <w:sz w:val="18"/>
              </w:rPr>
              <w:t>Programa</w:t>
            </w:r>
          </w:p>
        </w:tc>
        <w:tc>
          <w:tcPr>
            <w:tcW w:w="1421" w:type="dxa"/>
            <w:shd w:val="clear" w:color="auto" w:fill="0E233D"/>
          </w:tcPr>
          <w:p>
            <w:pPr>
              <w:pStyle w:val="TableParagraph"/>
              <w:spacing w:before="123"/>
              <w:rPr>
                <w:b/>
                <w:sz w:val="18"/>
              </w:rPr>
            </w:pPr>
          </w:p>
          <w:p>
            <w:pPr>
              <w:pStyle w:val="TableParagraph"/>
              <w:ind w:left="182" w:hanging="20"/>
              <w:rPr>
                <w:b/>
                <w:sz w:val="18"/>
              </w:rPr>
            </w:pPr>
            <w:r>
              <w:rPr>
                <w:b/>
                <w:color w:val="FFFFFF"/>
                <w:spacing w:val="-2"/>
                <w:sz w:val="18"/>
              </w:rPr>
              <w:t>Presupuesto Institucional</w:t>
            </w:r>
          </w:p>
        </w:tc>
        <w:tc>
          <w:tcPr>
            <w:tcW w:w="1397" w:type="dxa"/>
            <w:shd w:val="clear" w:color="auto" w:fill="0E233D"/>
          </w:tcPr>
          <w:p>
            <w:pPr>
              <w:pStyle w:val="TableParagraph"/>
              <w:spacing w:before="123"/>
              <w:rPr>
                <w:b/>
                <w:sz w:val="18"/>
              </w:rPr>
            </w:pPr>
          </w:p>
          <w:p>
            <w:pPr>
              <w:pStyle w:val="TableParagraph"/>
              <w:ind w:left="408" w:hanging="68"/>
              <w:rPr>
                <w:b/>
                <w:sz w:val="18"/>
              </w:rPr>
            </w:pPr>
            <w:r>
              <w:rPr>
                <w:b/>
                <w:color w:val="FFFFFF"/>
                <w:spacing w:val="-2"/>
                <w:sz w:val="18"/>
              </w:rPr>
              <w:t>Egresos Reales</w:t>
            </w:r>
          </w:p>
        </w:tc>
        <w:tc>
          <w:tcPr>
            <w:tcW w:w="1671" w:type="dxa"/>
            <w:shd w:val="clear" w:color="auto" w:fill="0E233D"/>
          </w:tcPr>
          <w:p>
            <w:pPr>
              <w:pStyle w:val="TableParagraph"/>
              <w:spacing w:before="18"/>
              <w:ind w:left="130" w:right="112" w:hanging="6"/>
              <w:jc w:val="center"/>
              <w:rPr>
                <w:b/>
                <w:sz w:val="18"/>
              </w:rPr>
            </w:pPr>
            <w:r>
              <w:rPr>
                <w:b/>
                <w:color w:val="FFFFFF"/>
                <w:sz w:val="18"/>
              </w:rPr>
              <w:t>% de ejecución real por </w:t>
            </w:r>
            <w:r>
              <w:rPr>
                <w:b/>
                <w:color w:val="FFFFFF"/>
                <w:spacing w:val="-2"/>
                <w:sz w:val="18"/>
              </w:rPr>
              <w:t>programa/según</w:t>
            </w:r>
          </w:p>
          <w:p>
            <w:pPr>
              <w:pStyle w:val="TableParagraph"/>
              <w:spacing w:line="206" w:lineRule="exact"/>
              <w:ind w:left="15" w:right="1"/>
              <w:jc w:val="center"/>
              <w:rPr>
                <w:b/>
                <w:sz w:val="18"/>
              </w:rPr>
            </w:pPr>
            <w:r>
              <w:rPr>
                <w:b/>
                <w:color w:val="FFFFFF"/>
                <w:spacing w:val="-2"/>
                <w:sz w:val="18"/>
              </w:rPr>
              <w:t>presupuesto asignado</w:t>
            </w:r>
          </w:p>
        </w:tc>
        <w:tc>
          <w:tcPr>
            <w:tcW w:w="1483" w:type="dxa"/>
            <w:shd w:val="clear" w:color="auto" w:fill="0E233D"/>
          </w:tcPr>
          <w:p>
            <w:pPr>
              <w:pStyle w:val="TableParagraph"/>
              <w:spacing w:before="123"/>
              <w:rPr>
                <w:b/>
                <w:sz w:val="18"/>
              </w:rPr>
            </w:pPr>
          </w:p>
          <w:p>
            <w:pPr>
              <w:pStyle w:val="TableParagraph"/>
              <w:ind w:left="73"/>
              <w:rPr>
                <w:b/>
                <w:sz w:val="18"/>
              </w:rPr>
            </w:pPr>
            <w:r>
              <w:rPr>
                <w:b/>
                <w:color w:val="FFFFFF"/>
                <w:spacing w:val="-2"/>
                <w:sz w:val="18"/>
              </w:rPr>
              <w:t>Disponible Presupuestario</w:t>
            </w:r>
          </w:p>
        </w:tc>
        <w:tc>
          <w:tcPr>
            <w:tcW w:w="1622" w:type="dxa"/>
            <w:shd w:val="clear" w:color="auto" w:fill="0E233D"/>
          </w:tcPr>
          <w:p>
            <w:pPr>
              <w:pStyle w:val="TableParagraph"/>
              <w:spacing w:before="119"/>
              <w:ind w:left="73"/>
              <w:rPr>
                <w:b/>
                <w:sz w:val="18"/>
              </w:rPr>
            </w:pPr>
            <w:r>
              <w:rPr>
                <w:b/>
                <w:color w:val="FFFFFF"/>
                <w:spacing w:val="-2"/>
                <w:sz w:val="18"/>
              </w:rPr>
              <w:t>Representación</w:t>
            </w:r>
          </w:p>
          <w:p>
            <w:pPr>
              <w:pStyle w:val="TableParagraph"/>
              <w:spacing w:before="4"/>
              <w:ind w:left="73"/>
              <w:rPr>
                <w:b/>
                <w:sz w:val="18"/>
              </w:rPr>
            </w:pPr>
            <w:r>
              <w:rPr>
                <w:b/>
                <w:color w:val="FFFFFF"/>
                <w:sz w:val="18"/>
              </w:rPr>
              <w:t>%</w:t>
            </w:r>
            <w:r>
              <w:rPr>
                <w:b/>
                <w:color w:val="FFFFFF"/>
                <w:spacing w:val="12"/>
                <w:sz w:val="18"/>
              </w:rPr>
              <w:t> </w:t>
            </w:r>
            <w:r>
              <w:rPr>
                <w:b/>
                <w:color w:val="FFFFFF"/>
                <w:sz w:val="18"/>
              </w:rPr>
              <w:t>del</w:t>
            </w:r>
            <w:r>
              <w:rPr>
                <w:b/>
                <w:color w:val="FFFFFF"/>
                <w:spacing w:val="17"/>
                <w:sz w:val="18"/>
              </w:rPr>
              <w:t> </w:t>
            </w:r>
            <w:r>
              <w:rPr>
                <w:b/>
                <w:color w:val="FFFFFF"/>
                <w:sz w:val="18"/>
              </w:rPr>
              <w:t>disponible </w:t>
            </w:r>
            <w:r>
              <w:rPr>
                <w:b/>
                <w:color w:val="FFFFFF"/>
                <w:spacing w:val="-2"/>
                <w:sz w:val="18"/>
              </w:rPr>
              <w:t>presupuestario </w:t>
            </w:r>
            <w:r>
              <w:rPr>
                <w:b/>
                <w:color w:val="FFFFFF"/>
                <w:sz w:val="18"/>
              </w:rPr>
              <w:t>según programa</w:t>
            </w:r>
          </w:p>
        </w:tc>
      </w:tr>
      <w:tr>
        <w:trPr>
          <w:trHeight w:val="225" w:hRule="atLeast"/>
        </w:trPr>
        <w:tc>
          <w:tcPr>
            <w:tcW w:w="2775" w:type="dxa"/>
          </w:tcPr>
          <w:p>
            <w:pPr>
              <w:pStyle w:val="TableParagraph"/>
              <w:spacing w:line="197" w:lineRule="exact" w:before="8"/>
              <w:ind w:left="71"/>
              <w:rPr>
                <w:b/>
                <w:i/>
                <w:sz w:val="18"/>
              </w:rPr>
            </w:pPr>
            <w:r>
              <w:rPr>
                <w:sz w:val="18"/>
              </w:rPr>
              <w:t>Actividades</w:t>
            </w:r>
            <w:r>
              <w:rPr>
                <w:spacing w:val="-7"/>
                <w:sz w:val="18"/>
              </w:rPr>
              <w:t> </w:t>
            </w:r>
            <w:r>
              <w:rPr>
                <w:sz w:val="18"/>
              </w:rPr>
              <w:t>Centrales</w:t>
            </w:r>
            <w:r>
              <w:rPr>
                <w:spacing w:val="-7"/>
                <w:sz w:val="18"/>
              </w:rPr>
              <w:t> </w:t>
            </w:r>
            <w:r>
              <w:rPr>
                <w:b/>
                <w:i/>
                <w:spacing w:val="-5"/>
                <w:sz w:val="18"/>
              </w:rPr>
              <w:t>1/</w:t>
            </w:r>
          </w:p>
        </w:tc>
        <w:tc>
          <w:tcPr>
            <w:tcW w:w="1421" w:type="dxa"/>
          </w:tcPr>
          <w:p>
            <w:pPr>
              <w:pStyle w:val="TableParagraph"/>
              <w:spacing w:line="197" w:lineRule="exact" w:before="8"/>
              <w:ind w:left="250"/>
              <w:jc w:val="center"/>
              <w:rPr>
                <w:sz w:val="18"/>
              </w:rPr>
            </w:pPr>
            <w:r>
              <w:rPr>
                <w:spacing w:val="-2"/>
                <w:sz w:val="18"/>
              </w:rPr>
              <w:t>9,778,686.91</w:t>
            </w:r>
          </w:p>
        </w:tc>
        <w:tc>
          <w:tcPr>
            <w:tcW w:w="1397" w:type="dxa"/>
          </w:tcPr>
          <w:p>
            <w:pPr>
              <w:pStyle w:val="TableParagraph"/>
              <w:spacing w:line="197" w:lineRule="exact" w:before="8"/>
              <w:ind w:right="54"/>
              <w:jc w:val="right"/>
              <w:rPr>
                <w:sz w:val="18"/>
              </w:rPr>
            </w:pPr>
            <w:r>
              <w:rPr>
                <w:spacing w:val="-2"/>
                <w:sz w:val="18"/>
              </w:rPr>
              <w:t>7,649,494.32</w:t>
            </w:r>
          </w:p>
        </w:tc>
        <w:tc>
          <w:tcPr>
            <w:tcW w:w="1671" w:type="dxa"/>
          </w:tcPr>
          <w:p>
            <w:pPr>
              <w:pStyle w:val="TableParagraph"/>
              <w:spacing w:line="197" w:lineRule="exact" w:before="8"/>
              <w:ind w:left="15" w:right="5"/>
              <w:jc w:val="center"/>
              <w:rPr>
                <w:sz w:val="18"/>
              </w:rPr>
            </w:pPr>
            <w:r>
              <w:rPr>
                <w:spacing w:val="-2"/>
                <w:sz w:val="18"/>
              </w:rPr>
              <w:t>78.23%</w:t>
            </w:r>
          </w:p>
        </w:tc>
        <w:tc>
          <w:tcPr>
            <w:tcW w:w="1483" w:type="dxa"/>
          </w:tcPr>
          <w:p>
            <w:pPr>
              <w:pStyle w:val="TableParagraph"/>
              <w:spacing w:line="197" w:lineRule="exact" w:before="8"/>
              <w:ind w:right="53"/>
              <w:jc w:val="right"/>
              <w:rPr>
                <w:sz w:val="18"/>
              </w:rPr>
            </w:pPr>
            <w:r>
              <w:rPr>
                <w:spacing w:val="-2"/>
                <w:sz w:val="18"/>
              </w:rPr>
              <w:t>2,129,192.59</w:t>
            </w:r>
          </w:p>
        </w:tc>
        <w:tc>
          <w:tcPr>
            <w:tcW w:w="1622" w:type="dxa"/>
          </w:tcPr>
          <w:p>
            <w:pPr>
              <w:pStyle w:val="TableParagraph"/>
              <w:spacing w:line="197" w:lineRule="exact" w:before="8"/>
              <w:ind w:left="23"/>
              <w:jc w:val="center"/>
              <w:rPr>
                <w:sz w:val="18"/>
              </w:rPr>
            </w:pPr>
            <w:r>
              <w:rPr>
                <w:spacing w:val="-2"/>
                <w:sz w:val="18"/>
              </w:rPr>
              <w:t>21.77%</w:t>
            </w:r>
          </w:p>
        </w:tc>
      </w:tr>
      <w:tr>
        <w:trPr>
          <w:trHeight w:val="225" w:hRule="atLeast"/>
        </w:trPr>
        <w:tc>
          <w:tcPr>
            <w:tcW w:w="2775" w:type="dxa"/>
          </w:tcPr>
          <w:p>
            <w:pPr>
              <w:pStyle w:val="TableParagraph"/>
              <w:spacing w:line="197" w:lineRule="exact" w:before="8"/>
              <w:ind w:left="71"/>
              <w:rPr>
                <w:sz w:val="18"/>
              </w:rPr>
            </w:pPr>
            <w:r>
              <w:rPr>
                <w:sz w:val="18"/>
              </w:rPr>
              <w:t>Protección</w:t>
            </w:r>
            <w:r>
              <w:rPr>
                <w:spacing w:val="-7"/>
                <w:sz w:val="18"/>
              </w:rPr>
              <w:t> </w:t>
            </w:r>
            <w:r>
              <w:rPr>
                <w:sz w:val="18"/>
              </w:rPr>
              <w:t>y</w:t>
            </w:r>
            <w:r>
              <w:rPr>
                <w:spacing w:val="-3"/>
                <w:sz w:val="18"/>
              </w:rPr>
              <w:t> </w:t>
            </w:r>
            <w:r>
              <w:rPr>
                <w:sz w:val="18"/>
              </w:rPr>
              <w:t>Promoción</w:t>
            </w:r>
            <w:r>
              <w:rPr>
                <w:spacing w:val="-6"/>
                <w:sz w:val="18"/>
              </w:rPr>
              <w:t> </w:t>
            </w:r>
            <w:r>
              <w:rPr>
                <w:spacing w:val="-2"/>
                <w:sz w:val="18"/>
              </w:rPr>
              <w:t>Social</w:t>
            </w:r>
          </w:p>
        </w:tc>
        <w:tc>
          <w:tcPr>
            <w:tcW w:w="1421" w:type="dxa"/>
          </w:tcPr>
          <w:p>
            <w:pPr>
              <w:pStyle w:val="TableParagraph"/>
              <w:spacing w:line="197" w:lineRule="exact" w:before="8"/>
              <w:ind w:left="48"/>
              <w:jc w:val="center"/>
              <w:rPr>
                <w:sz w:val="18"/>
              </w:rPr>
            </w:pPr>
            <w:r>
              <w:rPr>
                <w:spacing w:val="-2"/>
                <w:sz w:val="18"/>
              </w:rPr>
              <w:t>271,354,360.52</w:t>
            </w:r>
          </w:p>
        </w:tc>
        <w:tc>
          <w:tcPr>
            <w:tcW w:w="1397" w:type="dxa"/>
          </w:tcPr>
          <w:p>
            <w:pPr>
              <w:pStyle w:val="TableParagraph"/>
              <w:spacing w:line="197" w:lineRule="exact" w:before="8"/>
              <w:ind w:right="54"/>
              <w:jc w:val="right"/>
              <w:rPr>
                <w:sz w:val="18"/>
              </w:rPr>
            </w:pPr>
            <w:r>
              <w:rPr>
                <w:spacing w:val="-2"/>
                <w:sz w:val="18"/>
              </w:rPr>
              <w:t>256,943,092.98</w:t>
            </w:r>
          </w:p>
        </w:tc>
        <w:tc>
          <w:tcPr>
            <w:tcW w:w="1671" w:type="dxa"/>
          </w:tcPr>
          <w:p>
            <w:pPr>
              <w:pStyle w:val="TableParagraph"/>
              <w:spacing w:line="197" w:lineRule="exact" w:before="8"/>
              <w:ind w:left="15" w:right="5"/>
              <w:jc w:val="center"/>
              <w:rPr>
                <w:sz w:val="18"/>
              </w:rPr>
            </w:pPr>
            <w:r>
              <w:rPr>
                <w:spacing w:val="-2"/>
                <w:sz w:val="18"/>
              </w:rPr>
              <w:t>94.69%</w:t>
            </w:r>
          </w:p>
        </w:tc>
        <w:tc>
          <w:tcPr>
            <w:tcW w:w="1483" w:type="dxa"/>
          </w:tcPr>
          <w:p>
            <w:pPr>
              <w:pStyle w:val="TableParagraph"/>
              <w:spacing w:line="197" w:lineRule="exact" w:before="8"/>
              <w:ind w:right="53"/>
              <w:jc w:val="right"/>
              <w:rPr>
                <w:sz w:val="18"/>
              </w:rPr>
            </w:pPr>
            <w:r>
              <w:rPr>
                <w:spacing w:val="-2"/>
                <w:sz w:val="18"/>
              </w:rPr>
              <w:t>14,411,267.55</w:t>
            </w:r>
          </w:p>
        </w:tc>
        <w:tc>
          <w:tcPr>
            <w:tcW w:w="1622" w:type="dxa"/>
          </w:tcPr>
          <w:p>
            <w:pPr>
              <w:pStyle w:val="TableParagraph"/>
              <w:spacing w:line="197" w:lineRule="exact" w:before="8"/>
              <w:ind w:left="23" w:right="5"/>
              <w:jc w:val="center"/>
              <w:rPr>
                <w:sz w:val="18"/>
              </w:rPr>
            </w:pPr>
            <w:r>
              <w:rPr>
                <w:spacing w:val="-2"/>
                <w:sz w:val="18"/>
              </w:rPr>
              <w:t>5.31%</w:t>
            </w:r>
          </w:p>
        </w:tc>
      </w:tr>
      <w:tr>
        <w:trPr>
          <w:trHeight w:val="225" w:hRule="atLeast"/>
        </w:trPr>
        <w:tc>
          <w:tcPr>
            <w:tcW w:w="2775" w:type="dxa"/>
          </w:tcPr>
          <w:p>
            <w:pPr>
              <w:pStyle w:val="TableParagraph"/>
              <w:spacing w:line="197" w:lineRule="exact" w:before="8"/>
              <w:ind w:left="71"/>
              <w:rPr>
                <w:b/>
                <w:sz w:val="18"/>
              </w:rPr>
            </w:pPr>
            <w:r>
              <w:rPr>
                <w:b/>
                <w:color w:val="44536A"/>
                <w:sz w:val="18"/>
              </w:rPr>
              <w:t>SUBTOTAL</w:t>
            </w:r>
            <w:r>
              <w:rPr>
                <w:b/>
                <w:color w:val="44536A"/>
                <w:spacing w:val="-7"/>
                <w:sz w:val="18"/>
              </w:rPr>
              <w:t> </w:t>
            </w:r>
            <w:r>
              <w:rPr>
                <w:b/>
                <w:color w:val="44536A"/>
                <w:sz w:val="18"/>
              </w:rPr>
              <w:t>(Sin</w:t>
            </w:r>
            <w:r>
              <w:rPr>
                <w:b/>
                <w:color w:val="44536A"/>
                <w:spacing w:val="-1"/>
                <w:sz w:val="18"/>
              </w:rPr>
              <w:t> </w:t>
            </w:r>
            <w:r>
              <w:rPr>
                <w:b/>
                <w:color w:val="44536A"/>
                <w:spacing w:val="-2"/>
                <w:sz w:val="18"/>
              </w:rPr>
              <w:t>P.E.C.)</w:t>
            </w:r>
          </w:p>
        </w:tc>
        <w:tc>
          <w:tcPr>
            <w:tcW w:w="1421" w:type="dxa"/>
          </w:tcPr>
          <w:p>
            <w:pPr>
              <w:pStyle w:val="TableParagraph"/>
              <w:spacing w:line="197" w:lineRule="exact" w:before="8"/>
              <w:ind w:left="48"/>
              <w:jc w:val="center"/>
              <w:rPr>
                <w:b/>
                <w:sz w:val="18"/>
              </w:rPr>
            </w:pPr>
            <w:r>
              <w:rPr>
                <w:b/>
                <w:color w:val="44536A"/>
                <w:spacing w:val="-2"/>
                <w:sz w:val="18"/>
              </w:rPr>
              <w:t>281,133,047.43</w:t>
            </w:r>
          </w:p>
        </w:tc>
        <w:tc>
          <w:tcPr>
            <w:tcW w:w="1397" w:type="dxa"/>
          </w:tcPr>
          <w:p>
            <w:pPr>
              <w:pStyle w:val="TableParagraph"/>
              <w:spacing w:line="197" w:lineRule="exact" w:before="8"/>
              <w:ind w:right="54"/>
              <w:jc w:val="right"/>
              <w:rPr>
                <w:b/>
                <w:sz w:val="18"/>
              </w:rPr>
            </w:pPr>
            <w:r>
              <w:rPr>
                <w:b/>
                <w:color w:val="44536A"/>
                <w:spacing w:val="-2"/>
                <w:sz w:val="18"/>
              </w:rPr>
              <w:t>264,592,587.30</w:t>
            </w:r>
          </w:p>
        </w:tc>
        <w:tc>
          <w:tcPr>
            <w:tcW w:w="1671" w:type="dxa"/>
          </w:tcPr>
          <w:p>
            <w:pPr>
              <w:pStyle w:val="TableParagraph"/>
              <w:spacing w:line="197" w:lineRule="exact" w:before="8"/>
              <w:ind w:left="15"/>
              <w:jc w:val="center"/>
              <w:rPr>
                <w:b/>
                <w:sz w:val="18"/>
              </w:rPr>
            </w:pPr>
            <w:r>
              <w:rPr>
                <w:b/>
                <w:color w:val="44536A"/>
                <w:spacing w:val="-2"/>
                <w:sz w:val="18"/>
              </w:rPr>
              <w:t>94.12%</w:t>
            </w:r>
          </w:p>
        </w:tc>
        <w:tc>
          <w:tcPr>
            <w:tcW w:w="1483" w:type="dxa"/>
          </w:tcPr>
          <w:p>
            <w:pPr>
              <w:pStyle w:val="TableParagraph"/>
              <w:spacing w:line="197" w:lineRule="exact" w:before="8"/>
              <w:ind w:right="53"/>
              <w:jc w:val="right"/>
              <w:rPr>
                <w:b/>
                <w:sz w:val="18"/>
              </w:rPr>
            </w:pPr>
            <w:r>
              <w:rPr>
                <w:b/>
                <w:color w:val="44536A"/>
                <w:spacing w:val="-2"/>
                <w:sz w:val="18"/>
              </w:rPr>
              <w:t>16,540,460.13</w:t>
            </w:r>
          </w:p>
        </w:tc>
        <w:tc>
          <w:tcPr>
            <w:tcW w:w="1622" w:type="dxa"/>
          </w:tcPr>
          <w:p>
            <w:pPr>
              <w:pStyle w:val="TableParagraph"/>
              <w:spacing w:line="197" w:lineRule="exact" w:before="8"/>
              <w:ind w:left="23"/>
              <w:jc w:val="center"/>
              <w:rPr>
                <w:b/>
                <w:sz w:val="18"/>
              </w:rPr>
            </w:pPr>
            <w:r>
              <w:rPr>
                <w:b/>
                <w:color w:val="44536A"/>
                <w:spacing w:val="-2"/>
                <w:sz w:val="18"/>
              </w:rPr>
              <w:t>5.88%</w:t>
            </w:r>
          </w:p>
        </w:tc>
      </w:tr>
      <w:tr>
        <w:trPr>
          <w:trHeight w:val="211" w:hRule="atLeast"/>
        </w:trPr>
        <w:tc>
          <w:tcPr>
            <w:tcW w:w="2775" w:type="dxa"/>
          </w:tcPr>
          <w:p>
            <w:pPr>
              <w:pStyle w:val="TableParagraph"/>
              <w:spacing w:line="191" w:lineRule="exact"/>
              <w:ind w:left="71"/>
              <w:rPr>
                <w:sz w:val="18"/>
              </w:rPr>
            </w:pPr>
            <w:r>
              <w:rPr>
                <w:sz w:val="18"/>
              </w:rPr>
              <w:t>Empresas</w:t>
            </w:r>
            <w:r>
              <w:rPr>
                <w:spacing w:val="-4"/>
                <w:sz w:val="18"/>
              </w:rPr>
              <w:t> </w:t>
            </w:r>
            <w:r>
              <w:rPr>
                <w:spacing w:val="-2"/>
                <w:sz w:val="18"/>
              </w:rPr>
              <w:t>Comerciales</w:t>
            </w:r>
          </w:p>
        </w:tc>
        <w:tc>
          <w:tcPr>
            <w:tcW w:w="1421" w:type="dxa"/>
          </w:tcPr>
          <w:p>
            <w:pPr>
              <w:pStyle w:val="TableParagraph"/>
              <w:spacing w:line="191" w:lineRule="exact"/>
              <w:ind w:left="149"/>
              <w:jc w:val="center"/>
              <w:rPr>
                <w:sz w:val="18"/>
              </w:rPr>
            </w:pPr>
            <w:r>
              <w:rPr>
                <w:spacing w:val="-2"/>
                <w:sz w:val="18"/>
              </w:rPr>
              <w:t>23,836,286.76</w:t>
            </w:r>
          </w:p>
        </w:tc>
        <w:tc>
          <w:tcPr>
            <w:tcW w:w="1397" w:type="dxa"/>
          </w:tcPr>
          <w:p>
            <w:pPr>
              <w:pStyle w:val="TableParagraph"/>
              <w:spacing w:line="191" w:lineRule="exact"/>
              <w:ind w:right="54"/>
              <w:jc w:val="right"/>
              <w:rPr>
                <w:sz w:val="18"/>
              </w:rPr>
            </w:pPr>
            <w:r>
              <w:rPr>
                <w:spacing w:val="-2"/>
                <w:sz w:val="18"/>
              </w:rPr>
              <w:t>19,899,936.03</w:t>
            </w:r>
          </w:p>
        </w:tc>
        <w:tc>
          <w:tcPr>
            <w:tcW w:w="1671" w:type="dxa"/>
          </w:tcPr>
          <w:p>
            <w:pPr>
              <w:pStyle w:val="TableParagraph"/>
              <w:spacing w:line="191" w:lineRule="exact"/>
              <w:ind w:left="15" w:right="5"/>
              <w:jc w:val="center"/>
              <w:rPr>
                <w:sz w:val="18"/>
              </w:rPr>
            </w:pPr>
            <w:r>
              <w:rPr>
                <w:spacing w:val="-2"/>
                <w:sz w:val="18"/>
              </w:rPr>
              <w:t>83.49%</w:t>
            </w:r>
          </w:p>
        </w:tc>
        <w:tc>
          <w:tcPr>
            <w:tcW w:w="1483" w:type="dxa"/>
          </w:tcPr>
          <w:p>
            <w:pPr>
              <w:pStyle w:val="TableParagraph"/>
              <w:spacing w:line="191" w:lineRule="exact"/>
              <w:ind w:right="53"/>
              <w:jc w:val="right"/>
              <w:rPr>
                <w:sz w:val="18"/>
              </w:rPr>
            </w:pPr>
            <w:r>
              <w:rPr>
                <w:spacing w:val="-2"/>
                <w:sz w:val="18"/>
              </w:rPr>
              <w:t>3,936,350.73</w:t>
            </w:r>
          </w:p>
        </w:tc>
        <w:tc>
          <w:tcPr>
            <w:tcW w:w="1622" w:type="dxa"/>
          </w:tcPr>
          <w:p>
            <w:pPr>
              <w:pStyle w:val="TableParagraph"/>
              <w:spacing w:line="191" w:lineRule="exact"/>
              <w:ind w:left="23"/>
              <w:jc w:val="center"/>
              <w:rPr>
                <w:sz w:val="18"/>
              </w:rPr>
            </w:pPr>
            <w:r>
              <w:rPr>
                <w:spacing w:val="-2"/>
                <w:sz w:val="18"/>
              </w:rPr>
              <w:t>16.51%</w:t>
            </w:r>
          </w:p>
        </w:tc>
      </w:tr>
      <w:tr>
        <w:trPr>
          <w:trHeight w:val="225" w:hRule="atLeast"/>
        </w:trPr>
        <w:tc>
          <w:tcPr>
            <w:tcW w:w="2775" w:type="dxa"/>
            <w:shd w:val="clear" w:color="auto" w:fill="0E233D"/>
          </w:tcPr>
          <w:p>
            <w:pPr>
              <w:pStyle w:val="TableParagraph"/>
              <w:spacing w:line="197" w:lineRule="exact" w:before="8"/>
              <w:ind w:left="71"/>
              <w:rPr>
                <w:b/>
                <w:sz w:val="18"/>
              </w:rPr>
            </w:pPr>
            <w:r>
              <w:rPr>
                <w:b/>
                <w:color w:val="FFFFFF"/>
                <w:sz w:val="18"/>
              </w:rPr>
              <w:t>Total,</w:t>
            </w:r>
            <w:r>
              <w:rPr>
                <w:b/>
                <w:color w:val="FFFFFF"/>
                <w:spacing w:val="-2"/>
                <w:sz w:val="18"/>
              </w:rPr>
              <w:t> General</w:t>
            </w:r>
          </w:p>
        </w:tc>
        <w:tc>
          <w:tcPr>
            <w:tcW w:w="1421" w:type="dxa"/>
            <w:shd w:val="clear" w:color="auto" w:fill="0E233D"/>
          </w:tcPr>
          <w:p>
            <w:pPr>
              <w:pStyle w:val="TableParagraph"/>
              <w:spacing w:line="197" w:lineRule="exact" w:before="8"/>
              <w:ind w:left="48"/>
              <w:jc w:val="center"/>
              <w:rPr>
                <w:b/>
                <w:sz w:val="18"/>
              </w:rPr>
            </w:pPr>
            <w:r>
              <w:rPr>
                <w:b/>
                <w:color w:val="FFFFFF"/>
                <w:spacing w:val="-2"/>
                <w:sz w:val="18"/>
              </w:rPr>
              <w:t>304,969,334.19</w:t>
            </w:r>
          </w:p>
        </w:tc>
        <w:tc>
          <w:tcPr>
            <w:tcW w:w="1397" w:type="dxa"/>
            <w:shd w:val="clear" w:color="auto" w:fill="0E233D"/>
          </w:tcPr>
          <w:p>
            <w:pPr>
              <w:pStyle w:val="TableParagraph"/>
              <w:spacing w:line="197" w:lineRule="exact" w:before="8"/>
              <w:ind w:right="54"/>
              <w:jc w:val="right"/>
              <w:rPr>
                <w:b/>
                <w:sz w:val="18"/>
              </w:rPr>
            </w:pPr>
            <w:r>
              <w:rPr>
                <w:b/>
                <w:color w:val="FFFFFF"/>
                <w:spacing w:val="-2"/>
                <w:sz w:val="18"/>
              </w:rPr>
              <w:t>284,492,523.33</w:t>
            </w:r>
          </w:p>
        </w:tc>
        <w:tc>
          <w:tcPr>
            <w:tcW w:w="1671" w:type="dxa"/>
            <w:shd w:val="clear" w:color="auto" w:fill="0E233D"/>
          </w:tcPr>
          <w:p>
            <w:pPr>
              <w:pStyle w:val="TableParagraph"/>
              <w:spacing w:line="197" w:lineRule="exact" w:before="8"/>
              <w:ind w:left="15"/>
              <w:jc w:val="center"/>
              <w:rPr>
                <w:b/>
                <w:sz w:val="18"/>
              </w:rPr>
            </w:pPr>
            <w:r>
              <w:rPr>
                <w:b/>
                <w:color w:val="FFFFFF"/>
                <w:spacing w:val="-2"/>
                <w:sz w:val="18"/>
              </w:rPr>
              <w:t>93.29%</w:t>
            </w:r>
          </w:p>
        </w:tc>
        <w:tc>
          <w:tcPr>
            <w:tcW w:w="1483" w:type="dxa"/>
            <w:shd w:val="clear" w:color="auto" w:fill="0E233D"/>
          </w:tcPr>
          <w:p>
            <w:pPr>
              <w:pStyle w:val="TableParagraph"/>
              <w:spacing w:line="197" w:lineRule="exact" w:before="8"/>
              <w:ind w:right="53"/>
              <w:jc w:val="right"/>
              <w:rPr>
                <w:b/>
                <w:sz w:val="18"/>
              </w:rPr>
            </w:pPr>
            <w:r>
              <w:rPr>
                <w:b/>
                <w:color w:val="FFFFFF"/>
                <w:spacing w:val="-2"/>
                <w:sz w:val="18"/>
              </w:rPr>
              <w:t>20,476,810.86</w:t>
            </w:r>
          </w:p>
        </w:tc>
        <w:tc>
          <w:tcPr>
            <w:tcW w:w="1622" w:type="dxa"/>
            <w:shd w:val="clear" w:color="auto" w:fill="0E233D"/>
          </w:tcPr>
          <w:p>
            <w:pPr>
              <w:pStyle w:val="TableParagraph"/>
              <w:spacing w:line="197" w:lineRule="exact" w:before="8"/>
              <w:ind w:left="23"/>
              <w:jc w:val="center"/>
              <w:rPr>
                <w:b/>
                <w:sz w:val="18"/>
              </w:rPr>
            </w:pPr>
            <w:r>
              <w:rPr>
                <w:b/>
                <w:color w:val="FFFFFF"/>
                <w:spacing w:val="-2"/>
                <w:sz w:val="18"/>
              </w:rPr>
              <w:t>6.71%</w:t>
            </w:r>
          </w:p>
        </w:tc>
      </w:tr>
    </w:tbl>
    <w:p>
      <w:pPr>
        <w:spacing w:before="1"/>
        <w:ind w:left="979" w:right="0" w:firstLine="0"/>
        <w:jc w:val="both"/>
        <w:rPr>
          <w:b/>
          <w:sz w:val="20"/>
        </w:rPr>
      </w:pPr>
      <w:r>
        <w:rPr>
          <w:b/>
          <w:sz w:val="20"/>
        </w:rPr>
        <w:t>Fuente:</w:t>
      </w:r>
      <w:r>
        <w:rPr>
          <w:b/>
          <w:spacing w:val="-7"/>
          <w:sz w:val="20"/>
        </w:rPr>
        <w:t> </w:t>
      </w:r>
      <w:r>
        <w:rPr>
          <w:b/>
          <w:sz w:val="20"/>
        </w:rPr>
        <w:t>Informe</w:t>
      </w:r>
      <w:r>
        <w:rPr>
          <w:b/>
          <w:spacing w:val="-9"/>
          <w:sz w:val="20"/>
        </w:rPr>
        <w:t> </w:t>
      </w:r>
      <w:r>
        <w:rPr>
          <w:b/>
          <w:sz w:val="20"/>
        </w:rPr>
        <w:t>de</w:t>
      </w:r>
      <w:r>
        <w:rPr>
          <w:b/>
          <w:spacing w:val="-14"/>
          <w:sz w:val="20"/>
        </w:rPr>
        <w:t> </w:t>
      </w:r>
      <w:r>
        <w:rPr>
          <w:b/>
          <w:sz w:val="20"/>
        </w:rPr>
        <w:t>liquidación</w:t>
      </w:r>
      <w:r>
        <w:rPr>
          <w:b/>
          <w:spacing w:val="-10"/>
          <w:sz w:val="20"/>
        </w:rPr>
        <w:t> </w:t>
      </w:r>
      <w:r>
        <w:rPr>
          <w:b/>
          <w:sz w:val="20"/>
        </w:rPr>
        <w:t>presupuestaria</w:t>
      </w:r>
      <w:r>
        <w:rPr>
          <w:b/>
          <w:spacing w:val="-7"/>
          <w:sz w:val="20"/>
        </w:rPr>
        <w:t> </w:t>
      </w:r>
      <w:r>
        <w:rPr>
          <w:b/>
          <w:sz w:val="20"/>
        </w:rPr>
        <w:t>IMAS</w:t>
      </w:r>
      <w:r>
        <w:rPr>
          <w:b/>
          <w:spacing w:val="-7"/>
          <w:sz w:val="20"/>
        </w:rPr>
        <w:t> </w:t>
      </w:r>
      <w:r>
        <w:rPr>
          <w:b/>
          <w:spacing w:val="-2"/>
          <w:sz w:val="20"/>
        </w:rPr>
        <w:t>2024.</w:t>
      </w:r>
    </w:p>
    <w:p>
      <w:pPr>
        <w:pStyle w:val="BodyText"/>
        <w:spacing w:before="226"/>
        <w:ind w:left="979" w:right="1347"/>
        <w:jc w:val="both"/>
      </w:pPr>
      <w:r>
        <w:rPr/>
        <w:t>La</w:t>
      </w:r>
      <w:r>
        <w:rPr>
          <w:spacing w:val="-5"/>
        </w:rPr>
        <w:t> </w:t>
      </w:r>
      <w:r>
        <w:rPr/>
        <w:t>gestión</w:t>
      </w:r>
      <w:r>
        <w:rPr>
          <w:spacing w:val="-1"/>
        </w:rPr>
        <w:t> </w:t>
      </w:r>
      <w:r>
        <w:rPr/>
        <w:t>de</w:t>
      </w:r>
      <w:r>
        <w:rPr>
          <w:spacing w:val="-1"/>
        </w:rPr>
        <w:t> </w:t>
      </w:r>
      <w:r>
        <w:rPr/>
        <w:t>los</w:t>
      </w:r>
      <w:r>
        <w:rPr>
          <w:spacing w:val="-2"/>
        </w:rPr>
        <w:t> </w:t>
      </w:r>
      <w:r>
        <w:rPr/>
        <w:t>recursos</w:t>
      </w:r>
      <w:r>
        <w:rPr>
          <w:spacing w:val="-7"/>
        </w:rPr>
        <w:t> </w:t>
      </w:r>
      <w:r>
        <w:rPr/>
        <w:t>institucionales</w:t>
      </w:r>
      <w:r>
        <w:rPr>
          <w:spacing w:val="-7"/>
        </w:rPr>
        <w:t> </w:t>
      </w:r>
      <w:r>
        <w:rPr/>
        <w:t>proveniente</w:t>
      </w:r>
      <w:r>
        <w:rPr>
          <w:spacing w:val="-5"/>
        </w:rPr>
        <w:t> </w:t>
      </w:r>
      <w:r>
        <w:rPr/>
        <w:t>desde</w:t>
      </w:r>
      <w:r>
        <w:rPr>
          <w:spacing w:val="-5"/>
        </w:rPr>
        <w:t> </w:t>
      </w:r>
      <w:r>
        <w:rPr/>
        <w:t>las</w:t>
      </w:r>
      <w:r>
        <w:rPr>
          <w:spacing w:val="-7"/>
        </w:rPr>
        <w:t> </w:t>
      </w:r>
      <w:r>
        <w:rPr/>
        <w:t>empresas</w:t>
      </w:r>
      <w:r>
        <w:rPr>
          <w:spacing w:val="-7"/>
        </w:rPr>
        <w:t> </w:t>
      </w:r>
      <w:r>
        <w:rPr/>
        <w:t>comerciales</w:t>
      </w:r>
      <w:r>
        <w:rPr>
          <w:spacing w:val="-7"/>
        </w:rPr>
        <w:t> </w:t>
      </w:r>
      <w:r>
        <w:rPr/>
        <w:t>del IMAS en el 2024, ha presentado grandes variaciones si se compara con la situación presentada en el 2021 y 2022; ya que se refleja una clara recuperación del negocio, mostrando mayores utilidades. Esta recuperación en las utilidades radica principalmente por las siguientes causas:</w:t>
      </w:r>
    </w:p>
    <w:p>
      <w:pPr>
        <w:pStyle w:val="BodyText"/>
        <w:spacing w:before="6"/>
      </w:pPr>
    </w:p>
    <w:p>
      <w:pPr>
        <w:pStyle w:val="ListParagraph"/>
        <w:numPr>
          <w:ilvl w:val="0"/>
          <w:numId w:val="7"/>
        </w:numPr>
        <w:tabs>
          <w:tab w:pos="1700" w:val="left" w:leader="none"/>
        </w:tabs>
        <w:spacing w:line="237" w:lineRule="auto" w:before="0" w:after="0"/>
        <w:ind w:left="1700" w:right="1965" w:hanging="360"/>
        <w:jc w:val="left"/>
        <w:rPr>
          <w:sz w:val="22"/>
        </w:rPr>
      </w:pPr>
      <w:r>
        <w:rPr>
          <w:sz w:val="22"/>
        </w:rPr>
        <w:t>Tiendas</w:t>
      </w:r>
      <w:r>
        <w:rPr>
          <w:spacing w:val="-8"/>
          <w:sz w:val="22"/>
        </w:rPr>
        <w:t> </w:t>
      </w:r>
      <w:r>
        <w:rPr>
          <w:sz w:val="22"/>
        </w:rPr>
        <w:t>Libres</w:t>
      </w:r>
      <w:r>
        <w:rPr>
          <w:spacing w:val="-8"/>
          <w:sz w:val="22"/>
        </w:rPr>
        <w:t> </w:t>
      </w:r>
      <w:r>
        <w:rPr>
          <w:sz w:val="22"/>
        </w:rPr>
        <w:t>de</w:t>
      </w:r>
      <w:r>
        <w:rPr>
          <w:spacing w:val="-3"/>
          <w:sz w:val="22"/>
        </w:rPr>
        <w:t> </w:t>
      </w:r>
      <w:r>
        <w:rPr>
          <w:sz w:val="22"/>
        </w:rPr>
        <w:t>impuesto</w:t>
      </w:r>
      <w:r>
        <w:rPr>
          <w:spacing w:val="-7"/>
          <w:sz w:val="22"/>
        </w:rPr>
        <w:t> </w:t>
      </w:r>
      <w:r>
        <w:rPr>
          <w:sz w:val="22"/>
        </w:rPr>
        <w:t>funcionando</w:t>
      </w:r>
      <w:r>
        <w:rPr>
          <w:spacing w:val="-3"/>
          <w:sz w:val="22"/>
        </w:rPr>
        <w:t> </w:t>
      </w:r>
      <w:r>
        <w:rPr>
          <w:sz w:val="22"/>
        </w:rPr>
        <w:t>en</w:t>
      </w:r>
      <w:r>
        <w:rPr>
          <w:spacing w:val="-3"/>
          <w:sz w:val="22"/>
        </w:rPr>
        <w:t> </w:t>
      </w:r>
      <w:r>
        <w:rPr>
          <w:sz w:val="22"/>
        </w:rPr>
        <w:t>su</w:t>
      </w:r>
      <w:r>
        <w:rPr>
          <w:spacing w:val="-3"/>
          <w:sz w:val="22"/>
        </w:rPr>
        <w:t> </w:t>
      </w:r>
      <w:r>
        <w:rPr>
          <w:sz w:val="22"/>
        </w:rPr>
        <w:t>totalidad</w:t>
      </w:r>
      <w:r>
        <w:rPr>
          <w:spacing w:val="-3"/>
          <w:sz w:val="22"/>
        </w:rPr>
        <w:t> </w:t>
      </w:r>
      <w:r>
        <w:rPr>
          <w:sz w:val="22"/>
        </w:rPr>
        <w:t>e</w:t>
      </w:r>
      <w:r>
        <w:rPr>
          <w:spacing w:val="-7"/>
          <w:sz w:val="22"/>
        </w:rPr>
        <w:t> </w:t>
      </w:r>
      <w:r>
        <w:rPr>
          <w:sz w:val="22"/>
        </w:rPr>
        <w:t>incrementando</w:t>
      </w:r>
      <w:r>
        <w:rPr>
          <w:spacing w:val="-3"/>
          <w:sz w:val="22"/>
        </w:rPr>
        <w:t> </w:t>
      </w:r>
      <w:r>
        <w:rPr>
          <w:sz w:val="22"/>
        </w:rPr>
        <w:t>las ventas durante los 12 meses del 2024.</w:t>
      </w:r>
    </w:p>
    <w:p>
      <w:pPr>
        <w:pStyle w:val="ListParagraph"/>
        <w:numPr>
          <w:ilvl w:val="0"/>
          <w:numId w:val="7"/>
        </w:numPr>
        <w:tabs>
          <w:tab w:pos="1700" w:val="left" w:leader="none"/>
        </w:tabs>
        <w:spacing w:line="240" w:lineRule="auto" w:before="1" w:after="0"/>
        <w:ind w:left="1700" w:right="2003" w:hanging="360"/>
        <w:jc w:val="left"/>
        <w:rPr>
          <w:sz w:val="22"/>
        </w:rPr>
      </w:pPr>
      <w:r>
        <w:rPr>
          <w:sz w:val="22"/>
        </w:rPr>
        <w:t>Normalización</w:t>
      </w:r>
      <w:r>
        <w:rPr>
          <w:spacing w:val="-2"/>
          <w:sz w:val="22"/>
        </w:rPr>
        <w:t> </w:t>
      </w:r>
      <w:r>
        <w:rPr>
          <w:sz w:val="22"/>
        </w:rPr>
        <w:t>de</w:t>
      </w:r>
      <w:r>
        <w:rPr>
          <w:spacing w:val="-2"/>
          <w:sz w:val="22"/>
        </w:rPr>
        <w:t> </w:t>
      </w:r>
      <w:r>
        <w:rPr>
          <w:sz w:val="22"/>
        </w:rPr>
        <w:t>los</w:t>
      </w:r>
      <w:r>
        <w:rPr>
          <w:spacing w:val="-3"/>
          <w:sz w:val="22"/>
        </w:rPr>
        <w:t> </w:t>
      </w:r>
      <w:r>
        <w:rPr>
          <w:sz w:val="22"/>
        </w:rPr>
        <w:t>procesos</w:t>
      </w:r>
      <w:r>
        <w:rPr>
          <w:spacing w:val="-8"/>
          <w:sz w:val="22"/>
        </w:rPr>
        <w:t> </w:t>
      </w:r>
      <w:r>
        <w:rPr>
          <w:sz w:val="22"/>
        </w:rPr>
        <w:t>de</w:t>
      </w:r>
      <w:r>
        <w:rPr>
          <w:spacing w:val="-6"/>
          <w:sz w:val="22"/>
        </w:rPr>
        <w:t> </w:t>
      </w:r>
      <w:r>
        <w:rPr>
          <w:sz w:val="22"/>
        </w:rPr>
        <w:t>compra</w:t>
      </w:r>
      <w:r>
        <w:rPr>
          <w:spacing w:val="-2"/>
          <w:sz w:val="22"/>
        </w:rPr>
        <w:t> </w:t>
      </w:r>
      <w:r>
        <w:rPr>
          <w:sz w:val="22"/>
        </w:rPr>
        <w:t>con</w:t>
      </w:r>
      <w:r>
        <w:rPr>
          <w:spacing w:val="-6"/>
          <w:sz w:val="22"/>
        </w:rPr>
        <w:t> </w:t>
      </w:r>
      <w:r>
        <w:rPr>
          <w:sz w:val="22"/>
        </w:rPr>
        <w:t>el</w:t>
      </w:r>
      <w:r>
        <w:rPr>
          <w:spacing w:val="-4"/>
          <w:sz w:val="22"/>
        </w:rPr>
        <w:t> </w:t>
      </w:r>
      <w:r>
        <w:rPr>
          <w:sz w:val="22"/>
        </w:rPr>
        <w:t>fin</w:t>
      </w:r>
      <w:r>
        <w:rPr>
          <w:spacing w:val="-2"/>
          <w:sz w:val="22"/>
        </w:rPr>
        <w:t> </w:t>
      </w:r>
      <w:r>
        <w:rPr>
          <w:sz w:val="22"/>
        </w:rPr>
        <w:t>de</w:t>
      </w:r>
      <w:r>
        <w:rPr>
          <w:spacing w:val="-2"/>
          <w:sz w:val="22"/>
        </w:rPr>
        <w:t> </w:t>
      </w:r>
      <w:r>
        <w:rPr>
          <w:sz w:val="22"/>
        </w:rPr>
        <w:t>dotar</w:t>
      </w:r>
      <w:r>
        <w:rPr>
          <w:spacing w:val="-5"/>
          <w:sz w:val="22"/>
        </w:rPr>
        <w:t> </w:t>
      </w:r>
      <w:r>
        <w:rPr>
          <w:sz w:val="22"/>
        </w:rPr>
        <w:t>de</w:t>
      </w:r>
      <w:r>
        <w:rPr>
          <w:spacing w:val="-2"/>
          <w:sz w:val="22"/>
        </w:rPr>
        <w:t> </w:t>
      </w:r>
      <w:r>
        <w:rPr>
          <w:sz w:val="22"/>
        </w:rPr>
        <w:t>inventario</w:t>
      </w:r>
      <w:r>
        <w:rPr>
          <w:spacing w:val="-6"/>
          <w:sz w:val="22"/>
        </w:rPr>
        <w:t> </w:t>
      </w:r>
      <w:r>
        <w:rPr>
          <w:sz w:val="22"/>
        </w:rPr>
        <w:t>al </w:t>
      </w:r>
      <w:r>
        <w:rPr>
          <w:spacing w:val="-2"/>
          <w:sz w:val="22"/>
        </w:rPr>
        <w:t>negocio.</w:t>
      </w:r>
    </w:p>
    <w:p>
      <w:pPr>
        <w:pStyle w:val="ListParagraph"/>
        <w:numPr>
          <w:ilvl w:val="0"/>
          <w:numId w:val="7"/>
        </w:numPr>
        <w:tabs>
          <w:tab w:pos="1700" w:val="left" w:leader="none"/>
        </w:tabs>
        <w:spacing w:line="251" w:lineRule="exact" w:before="0" w:after="0"/>
        <w:ind w:left="1700" w:right="0" w:hanging="360"/>
        <w:jc w:val="left"/>
        <w:rPr>
          <w:sz w:val="22"/>
        </w:rPr>
      </w:pPr>
      <w:r>
        <w:rPr>
          <w:sz w:val="22"/>
        </w:rPr>
        <w:t>Aumento</w:t>
      </w:r>
      <w:r>
        <w:rPr>
          <w:spacing w:val="-4"/>
          <w:sz w:val="22"/>
        </w:rPr>
        <w:t> </w:t>
      </w:r>
      <w:r>
        <w:rPr>
          <w:sz w:val="22"/>
        </w:rPr>
        <w:t>de</w:t>
      </w:r>
      <w:r>
        <w:rPr>
          <w:spacing w:val="-3"/>
          <w:sz w:val="22"/>
        </w:rPr>
        <w:t> </w:t>
      </w:r>
      <w:r>
        <w:rPr>
          <w:sz w:val="22"/>
        </w:rPr>
        <w:t>la</w:t>
      </w:r>
      <w:r>
        <w:rPr>
          <w:spacing w:val="-6"/>
          <w:sz w:val="22"/>
        </w:rPr>
        <w:t> </w:t>
      </w:r>
      <w:r>
        <w:rPr>
          <w:sz w:val="22"/>
        </w:rPr>
        <w:t>afluencia</w:t>
      </w:r>
      <w:r>
        <w:rPr>
          <w:spacing w:val="-7"/>
          <w:sz w:val="22"/>
        </w:rPr>
        <w:t> </w:t>
      </w:r>
      <w:r>
        <w:rPr>
          <w:sz w:val="22"/>
        </w:rPr>
        <w:t>de</w:t>
      </w:r>
      <w:r>
        <w:rPr>
          <w:spacing w:val="-3"/>
          <w:sz w:val="22"/>
        </w:rPr>
        <w:t> </w:t>
      </w:r>
      <w:r>
        <w:rPr>
          <w:sz w:val="22"/>
        </w:rPr>
        <w:t>pasajeros</w:t>
      </w:r>
      <w:r>
        <w:rPr>
          <w:spacing w:val="-9"/>
          <w:sz w:val="22"/>
        </w:rPr>
        <w:t> </w:t>
      </w:r>
      <w:r>
        <w:rPr>
          <w:sz w:val="22"/>
        </w:rPr>
        <w:t>con</w:t>
      </w:r>
      <w:r>
        <w:rPr>
          <w:spacing w:val="-3"/>
          <w:sz w:val="22"/>
        </w:rPr>
        <w:t> </w:t>
      </w:r>
      <w:r>
        <w:rPr>
          <w:sz w:val="22"/>
        </w:rPr>
        <w:t>respecto</w:t>
      </w:r>
      <w:r>
        <w:rPr>
          <w:spacing w:val="-3"/>
          <w:sz w:val="22"/>
        </w:rPr>
        <w:t> </w:t>
      </w:r>
      <w:r>
        <w:rPr>
          <w:sz w:val="22"/>
        </w:rPr>
        <w:t>al</w:t>
      </w:r>
      <w:r>
        <w:rPr>
          <w:spacing w:val="-10"/>
          <w:sz w:val="22"/>
        </w:rPr>
        <w:t> </w:t>
      </w:r>
      <w:r>
        <w:rPr>
          <w:sz w:val="22"/>
        </w:rPr>
        <w:t>periodo</w:t>
      </w:r>
      <w:r>
        <w:rPr>
          <w:spacing w:val="-3"/>
          <w:sz w:val="22"/>
        </w:rPr>
        <w:t> </w:t>
      </w:r>
      <w:r>
        <w:rPr>
          <w:sz w:val="22"/>
        </w:rPr>
        <w:t>2021</w:t>
      </w:r>
      <w:r>
        <w:rPr>
          <w:spacing w:val="-3"/>
          <w:sz w:val="22"/>
        </w:rPr>
        <w:t> </w:t>
      </w:r>
      <w:r>
        <w:rPr>
          <w:sz w:val="22"/>
        </w:rPr>
        <w:t>y</w:t>
      </w:r>
      <w:r>
        <w:rPr>
          <w:spacing w:val="-8"/>
          <w:sz w:val="22"/>
        </w:rPr>
        <w:t> </w:t>
      </w:r>
      <w:r>
        <w:rPr>
          <w:spacing w:val="-2"/>
          <w:sz w:val="22"/>
        </w:rPr>
        <w:t>2022.</w:t>
      </w:r>
    </w:p>
    <w:p>
      <w:pPr>
        <w:pStyle w:val="ListParagraph"/>
        <w:numPr>
          <w:ilvl w:val="0"/>
          <w:numId w:val="7"/>
        </w:numPr>
        <w:tabs>
          <w:tab w:pos="1700" w:val="left" w:leader="none"/>
        </w:tabs>
        <w:spacing w:line="240" w:lineRule="auto" w:before="2" w:after="0"/>
        <w:ind w:left="1700" w:right="1635" w:hanging="360"/>
        <w:jc w:val="left"/>
        <w:rPr>
          <w:sz w:val="22"/>
        </w:rPr>
      </w:pPr>
      <w:r>
        <w:rPr>
          <w:sz w:val="22"/>
        </w:rPr>
        <w:t>Fin</w:t>
      </w:r>
      <w:r>
        <w:rPr>
          <w:spacing w:val="-1"/>
          <w:sz w:val="22"/>
        </w:rPr>
        <w:t> </w:t>
      </w:r>
      <w:r>
        <w:rPr>
          <w:sz w:val="22"/>
        </w:rPr>
        <w:t>de</w:t>
      </w:r>
      <w:r>
        <w:rPr>
          <w:spacing w:val="-1"/>
          <w:sz w:val="22"/>
        </w:rPr>
        <w:t> </w:t>
      </w:r>
      <w:r>
        <w:rPr>
          <w:sz w:val="22"/>
        </w:rPr>
        <w:t>las</w:t>
      </w:r>
      <w:r>
        <w:rPr>
          <w:spacing w:val="-7"/>
          <w:sz w:val="22"/>
        </w:rPr>
        <w:t> </w:t>
      </w:r>
      <w:r>
        <w:rPr>
          <w:sz w:val="22"/>
        </w:rPr>
        <w:t>restricciones</w:t>
      </w:r>
      <w:r>
        <w:rPr>
          <w:spacing w:val="-7"/>
          <w:sz w:val="22"/>
        </w:rPr>
        <w:t> </w:t>
      </w:r>
      <w:r>
        <w:rPr>
          <w:sz w:val="22"/>
        </w:rPr>
        <w:t>de</w:t>
      </w:r>
      <w:r>
        <w:rPr>
          <w:spacing w:val="-1"/>
          <w:sz w:val="22"/>
        </w:rPr>
        <w:t> </w:t>
      </w:r>
      <w:r>
        <w:rPr>
          <w:sz w:val="22"/>
        </w:rPr>
        <w:t>salud</w:t>
      </w:r>
      <w:r>
        <w:rPr>
          <w:spacing w:val="-5"/>
          <w:sz w:val="22"/>
        </w:rPr>
        <w:t> </w:t>
      </w:r>
      <w:r>
        <w:rPr>
          <w:sz w:val="22"/>
        </w:rPr>
        <w:t>que</w:t>
      </w:r>
      <w:r>
        <w:rPr>
          <w:spacing w:val="-1"/>
          <w:sz w:val="22"/>
        </w:rPr>
        <w:t> </w:t>
      </w:r>
      <w:r>
        <w:rPr>
          <w:sz w:val="22"/>
        </w:rPr>
        <w:t>implementaron</w:t>
      </w:r>
      <w:r>
        <w:rPr>
          <w:spacing w:val="-1"/>
          <w:sz w:val="22"/>
        </w:rPr>
        <w:t> </w:t>
      </w:r>
      <w:r>
        <w:rPr>
          <w:sz w:val="22"/>
        </w:rPr>
        <w:t>los</w:t>
      </w:r>
      <w:r>
        <w:rPr>
          <w:spacing w:val="-2"/>
          <w:sz w:val="22"/>
        </w:rPr>
        <w:t> </w:t>
      </w:r>
      <w:r>
        <w:rPr>
          <w:sz w:val="22"/>
        </w:rPr>
        <w:t>países</w:t>
      </w:r>
      <w:r>
        <w:rPr>
          <w:spacing w:val="-7"/>
          <w:sz w:val="22"/>
        </w:rPr>
        <w:t> </w:t>
      </w:r>
      <w:r>
        <w:rPr>
          <w:sz w:val="22"/>
        </w:rPr>
        <w:t>para</w:t>
      </w:r>
      <w:r>
        <w:rPr>
          <w:spacing w:val="-1"/>
          <w:sz w:val="22"/>
        </w:rPr>
        <w:t> </w:t>
      </w:r>
      <w:r>
        <w:rPr>
          <w:sz w:val="22"/>
        </w:rPr>
        <w:t>recibir</w:t>
      </w:r>
      <w:r>
        <w:rPr>
          <w:spacing w:val="-9"/>
          <w:sz w:val="22"/>
        </w:rPr>
        <w:t> </w:t>
      </w:r>
      <w:r>
        <w:rPr>
          <w:sz w:val="22"/>
        </w:rPr>
        <w:t>a</w:t>
      </w:r>
      <w:r>
        <w:rPr>
          <w:spacing w:val="-1"/>
          <w:sz w:val="22"/>
        </w:rPr>
        <w:t> </w:t>
      </w:r>
      <w:r>
        <w:rPr>
          <w:sz w:val="22"/>
        </w:rPr>
        <w:t>los </w:t>
      </w:r>
      <w:r>
        <w:rPr>
          <w:spacing w:val="-2"/>
          <w:sz w:val="22"/>
        </w:rPr>
        <w:t>viajeros.</w:t>
      </w:r>
    </w:p>
    <w:p>
      <w:pPr>
        <w:pStyle w:val="BodyText"/>
        <w:spacing w:before="252"/>
        <w:ind w:left="979" w:right="1340"/>
        <w:jc w:val="both"/>
      </w:pPr>
      <w:r>
        <w:rPr/>
        <w:t>Esta recuperación económica del negocio de las empresas comerciales se puede ver reflejada en los ingresos generados durante el 2024 y su comparación con periodos anteriores; tal y cómo se puede observar en la siguiente tabla:</w:t>
      </w:r>
    </w:p>
    <w:p>
      <w:pPr>
        <w:pStyle w:val="BodyText"/>
        <w:spacing w:before="232"/>
      </w:pPr>
    </w:p>
    <w:p>
      <w:pPr>
        <w:pStyle w:val="Heading2"/>
        <w:ind w:left="1619" w:right="1843"/>
        <w:jc w:val="center"/>
      </w:pPr>
      <w:bookmarkStart w:name="_bookmark16" w:id="17"/>
      <w:bookmarkEnd w:id="17"/>
      <w:r>
        <w:rPr>
          <w:b w:val="0"/>
        </w:rPr>
      </w:r>
      <w:r>
        <w:rPr/>
        <w:t>Tabla</w:t>
      </w:r>
      <w:r>
        <w:rPr>
          <w:spacing w:val="-6"/>
        </w:rPr>
        <w:t> </w:t>
      </w:r>
      <w:r>
        <w:rPr/>
        <w:t>7:</w:t>
      </w:r>
      <w:r>
        <w:rPr>
          <w:spacing w:val="-6"/>
        </w:rPr>
        <w:t> </w:t>
      </w:r>
      <w:r>
        <w:rPr/>
        <w:t>Ingresos</w:t>
      </w:r>
      <w:r>
        <w:rPr>
          <w:spacing w:val="-8"/>
        </w:rPr>
        <w:t> </w:t>
      </w:r>
      <w:r>
        <w:rPr/>
        <w:t>reales</w:t>
      </w:r>
      <w:r>
        <w:rPr>
          <w:spacing w:val="-3"/>
        </w:rPr>
        <w:t> </w:t>
      </w:r>
      <w:r>
        <w:rPr/>
        <w:t>del</w:t>
      </w:r>
      <w:r>
        <w:rPr>
          <w:spacing w:val="-2"/>
        </w:rPr>
        <w:t> </w:t>
      </w:r>
      <w:r>
        <w:rPr/>
        <w:t>Departamento</w:t>
      </w:r>
      <w:r>
        <w:rPr>
          <w:spacing w:val="-5"/>
        </w:rPr>
        <w:t> </w:t>
      </w:r>
      <w:r>
        <w:rPr/>
        <w:t>de</w:t>
      </w:r>
      <w:r>
        <w:rPr>
          <w:spacing w:val="-6"/>
        </w:rPr>
        <w:t> </w:t>
      </w:r>
      <w:r>
        <w:rPr/>
        <w:t>Empresas</w:t>
      </w:r>
      <w:r>
        <w:rPr>
          <w:spacing w:val="-3"/>
        </w:rPr>
        <w:t> </w:t>
      </w:r>
      <w:r>
        <w:rPr/>
        <w:t>Comerciales IMAS 2021-2024</w:t>
      </w:r>
    </w:p>
    <w:p>
      <w:pPr>
        <w:pStyle w:val="BodyText"/>
        <w:spacing w:before="46"/>
        <w:rPr>
          <w:b/>
          <w:sz w:val="20"/>
        </w:rPr>
      </w:pPr>
    </w:p>
    <w:tbl>
      <w:tblPr>
        <w:tblW w:w="0" w:type="auto"/>
        <w:jc w:val="left"/>
        <w:tblInd w:w="3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16"/>
        <w:gridCol w:w="2569"/>
      </w:tblGrid>
      <w:tr>
        <w:trPr>
          <w:trHeight w:val="230" w:hRule="atLeast"/>
        </w:trPr>
        <w:tc>
          <w:tcPr>
            <w:tcW w:w="1316" w:type="dxa"/>
            <w:shd w:val="clear" w:color="auto" w:fill="0E233D"/>
          </w:tcPr>
          <w:p>
            <w:pPr>
              <w:pStyle w:val="TableParagraph"/>
              <w:spacing w:line="210" w:lineRule="exact"/>
              <w:ind w:left="6"/>
              <w:jc w:val="center"/>
              <w:rPr>
                <w:b/>
                <w:sz w:val="20"/>
              </w:rPr>
            </w:pPr>
            <w:r>
              <w:rPr>
                <w:b/>
                <w:color w:val="FFFFFF"/>
                <w:spacing w:val="-5"/>
                <w:sz w:val="20"/>
              </w:rPr>
              <w:t>Año</w:t>
            </w:r>
          </w:p>
        </w:tc>
        <w:tc>
          <w:tcPr>
            <w:tcW w:w="2569" w:type="dxa"/>
            <w:shd w:val="clear" w:color="auto" w:fill="0E233D"/>
          </w:tcPr>
          <w:p>
            <w:pPr>
              <w:pStyle w:val="TableParagraph"/>
              <w:spacing w:line="210" w:lineRule="exact"/>
              <w:ind w:left="541"/>
              <w:rPr>
                <w:b/>
                <w:sz w:val="20"/>
              </w:rPr>
            </w:pPr>
            <w:r>
              <w:rPr>
                <w:b/>
                <w:color w:val="FFFFFF"/>
                <w:sz w:val="20"/>
              </w:rPr>
              <w:t>Ingresos</w:t>
            </w:r>
            <w:r>
              <w:rPr>
                <w:b/>
                <w:color w:val="FFFFFF"/>
                <w:spacing w:val="-7"/>
                <w:sz w:val="20"/>
              </w:rPr>
              <w:t> </w:t>
            </w:r>
            <w:r>
              <w:rPr>
                <w:b/>
                <w:color w:val="FFFFFF"/>
                <w:spacing w:val="-2"/>
                <w:sz w:val="20"/>
              </w:rPr>
              <w:t>reales</w:t>
            </w:r>
          </w:p>
        </w:tc>
      </w:tr>
      <w:tr>
        <w:trPr>
          <w:trHeight w:val="345" w:hRule="atLeast"/>
        </w:trPr>
        <w:tc>
          <w:tcPr>
            <w:tcW w:w="1316" w:type="dxa"/>
          </w:tcPr>
          <w:p>
            <w:pPr>
              <w:pStyle w:val="TableParagraph"/>
              <w:spacing w:before="57"/>
              <w:ind w:left="105"/>
              <w:rPr>
                <w:b/>
                <w:sz w:val="20"/>
              </w:rPr>
            </w:pPr>
            <w:r>
              <w:rPr>
                <w:b/>
                <w:spacing w:val="-4"/>
                <w:sz w:val="20"/>
              </w:rPr>
              <w:t>2021</w:t>
            </w:r>
          </w:p>
        </w:tc>
        <w:tc>
          <w:tcPr>
            <w:tcW w:w="2569" w:type="dxa"/>
          </w:tcPr>
          <w:p>
            <w:pPr>
              <w:pStyle w:val="TableParagraph"/>
              <w:spacing w:before="57"/>
              <w:ind w:right="102"/>
              <w:jc w:val="right"/>
              <w:rPr>
                <w:sz w:val="20"/>
              </w:rPr>
            </w:pPr>
            <w:r>
              <w:rPr>
                <w:sz w:val="20"/>
              </w:rPr>
              <w:t>₡15</w:t>
            </w:r>
            <w:r>
              <w:rPr>
                <w:spacing w:val="-4"/>
                <w:sz w:val="20"/>
              </w:rPr>
              <w:t> </w:t>
            </w:r>
            <w:r>
              <w:rPr>
                <w:sz w:val="20"/>
              </w:rPr>
              <w:t>610</w:t>
            </w:r>
            <w:r>
              <w:rPr>
                <w:spacing w:val="-4"/>
                <w:sz w:val="20"/>
              </w:rPr>
              <w:t> </w:t>
            </w:r>
            <w:r>
              <w:rPr>
                <w:sz w:val="20"/>
              </w:rPr>
              <w:t>184</w:t>
            </w:r>
            <w:r>
              <w:rPr>
                <w:spacing w:val="-4"/>
                <w:sz w:val="20"/>
              </w:rPr>
              <w:t> </w:t>
            </w:r>
            <w:r>
              <w:rPr>
                <w:spacing w:val="-2"/>
                <w:sz w:val="20"/>
              </w:rPr>
              <w:t>441,00</w:t>
            </w:r>
          </w:p>
        </w:tc>
      </w:tr>
      <w:tr>
        <w:trPr>
          <w:trHeight w:val="402" w:hRule="atLeast"/>
        </w:trPr>
        <w:tc>
          <w:tcPr>
            <w:tcW w:w="1316" w:type="dxa"/>
          </w:tcPr>
          <w:p>
            <w:pPr>
              <w:pStyle w:val="TableParagraph"/>
              <w:spacing w:before="86"/>
              <w:ind w:left="105"/>
              <w:rPr>
                <w:b/>
                <w:sz w:val="20"/>
              </w:rPr>
            </w:pPr>
            <w:r>
              <w:rPr>
                <w:b/>
                <w:spacing w:val="-4"/>
                <w:sz w:val="20"/>
              </w:rPr>
              <w:t>2022</w:t>
            </w:r>
          </w:p>
        </w:tc>
        <w:tc>
          <w:tcPr>
            <w:tcW w:w="2569" w:type="dxa"/>
          </w:tcPr>
          <w:p>
            <w:pPr>
              <w:pStyle w:val="TableParagraph"/>
              <w:spacing w:before="86"/>
              <w:ind w:right="107"/>
              <w:jc w:val="right"/>
              <w:rPr>
                <w:sz w:val="20"/>
              </w:rPr>
            </w:pPr>
            <w:r>
              <w:rPr>
                <w:sz w:val="20"/>
              </w:rPr>
              <w:t>₡22</w:t>
            </w:r>
            <w:r>
              <w:rPr>
                <w:spacing w:val="-4"/>
                <w:sz w:val="20"/>
              </w:rPr>
              <w:t> </w:t>
            </w:r>
            <w:r>
              <w:rPr>
                <w:sz w:val="20"/>
              </w:rPr>
              <w:t>514</w:t>
            </w:r>
            <w:r>
              <w:rPr>
                <w:spacing w:val="-4"/>
                <w:sz w:val="20"/>
              </w:rPr>
              <w:t> </w:t>
            </w:r>
            <w:r>
              <w:rPr>
                <w:sz w:val="20"/>
              </w:rPr>
              <w:t>915</w:t>
            </w:r>
            <w:r>
              <w:rPr>
                <w:spacing w:val="-4"/>
                <w:sz w:val="20"/>
              </w:rPr>
              <w:t> </w:t>
            </w:r>
            <w:r>
              <w:rPr>
                <w:spacing w:val="-2"/>
                <w:sz w:val="20"/>
              </w:rPr>
              <w:t>286,00</w:t>
            </w:r>
          </w:p>
        </w:tc>
      </w:tr>
      <w:tr>
        <w:trPr>
          <w:trHeight w:val="402" w:hRule="atLeast"/>
        </w:trPr>
        <w:tc>
          <w:tcPr>
            <w:tcW w:w="1316" w:type="dxa"/>
          </w:tcPr>
          <w:p>
            <w:pPr>
              <w:pStyle w:val="TableParagraph"/>
              <w:spacing w:before="86"/>
              <w:ind w:left="105"/>
              <w:rPr>
                <w:b/>
                <w:sz w:val="20"/>
              </w:rPr>
            </w:pPr>
            <w:r>
              <w:rPr>
                <w:b/>
                <w:spacing w:val="-4"/>
                <w:sz w:val="20"/>
              </w:rPr>
              <w:t>2023</w:t>
            </w:r>
          </w:p>
        </w:tc>
        <w:tc>
          <w:tcPr>
            <w:tcW w:w="2569" w:type="dxa"/>
          </w:tcPr>
          <w:p>
            <w:pPr>
              <w:pStyle w:val="TableParagraph"/>
              <w:spacing w:before="86"/>
              <w:ind w:right="107"/>
              <w:jc w:val="right"/>
              <w:rPr>
                <w:sz w:val="20"/>
              </w:rPr>
            </w:pPr>
            <w:r>
              <w:rPr>
                <w:sz w:val="20"/>
              </w:rPr>
              <w:t>₡22</w:t>
            </w:r>
            <w:r>
              <w:rPr>
                <w:spacing w:val="-4"/>
                <w:sz w:val="20"/>
              </w:rPr>
              <w:t> </w:t>
            </w:r>
            <w:r>
              <w:rPr>
                <w:sz w:val="20"/>
              </w:rPr>
              <w:t>424</w:t>
            </w:r>
            <w:r>
              <w:rPr>
                <w:spacing w:val="-4"/>
                <w:sz w:val="20"/>
              </w:rPr>
              <w:t> </w:t>
            </w:r>
            <w:r>
              <w:rPr>
                <w:sz w:val="20"/>
              </w:rPr>
              <w:t>755</w:t>
            </w:r>
            <w:r>
              <w:rPr>
                <w:spacing w:val="-4"/>
                <w:sz w:val="20"/>
              </w:rPr>
              <w:t> </w:t>
            </w:r>
            <w:r>
              <w:rPr>
                <w:spacing w:val="-2"/>
                <w:sz w:val="20"/>
              </w:rPr>
              <w:t>430,00</w:t>
            </w:r>
          </w:p>
        </w:tc>
      </w:tr>
      <w:tr>
        <w:trPr>
          <w:trHeight w:val="407" w:hRule="atLeast"/>
        </w:trPr>
        <w:tc>
          <w:tcPr>
            <w:tcW w:w="1316" w:type="dxa"/>
          </w:tcPr>
          <w:p>
            <w:pPr>
              <w:pStyle w:val="TableParagraph"/>
              <w:spacing w:line="229" w:lineRule="exact"/>
              <w:ind w:left="105"/>
              <w:rPr>
                <w:b/>
                <w:sz w:val="20"/>
              </w:rPr>
            </w:pPr>
            <w:r>
              <w:rPr>
                <w:b/>
                <w:spacing w:val="-4"/>
                <w:sz w:val="20"/>
              </w:rPr>
              <w:t>2024</w:t>
            </w:r>
          </w:p>
        </w:tc>
        <w:tc>
          <w:tcPr>
            <w:tcW w:w="2569" w:type="dxa"/>
          </w:tcPr>
          <w:p>
            <w:pPr>
              <w:pStyle w:val="TableParagraph"/>
              <w:spacing w:line="229" w:lineRule="exact"/>
              <w:ind w:right="107"/>
              <w:jc w:val="right"/>
              <w:rPr>
                <w:sz w:val="20"/>
              </w:rPr>
            </w:pPr>
            <w:r>
              <w:rPr>
                <w:sz w:val="20"/>
              </w:rPr>
              <w:t>₡23</w:t>
            </w:r>
            <w:r>
              <w:rPr>
                <w:spacing w:val="-4"/>
                <w:sz w:val="20"/>
              </w:rPr>
              <w:t> </w:t>
            </w:r>
            <w:r>
              <w:rPr>
                <w:sz w:val="20"/>
              </w:rPr>
              <w:t>836</w:t>
            </w:r>
            <w:r>
              <w:rPr>
                <w:spacing w:val="-4"/>
                <w:sz w:val="20"/>
              </w:rPr>
              <w:t> </w:t>
            </w:r>
            <w:r>
              <w:rPr>
                <w:sz w:val="20"/>
              </w:rPr>
              <w:t>286</w:t>
            </w:r>
            <w:r>
              <w:rPr>
                <w:spacing w:val="-4"/>
                <w:sz w:val="20"/>
              </w:rPr>
              <w:t> </w:t>
            </w:r>
            <w:r>
              <w:rPr>
                <w:spacing w:val="-2"/>
                <w:sz w:val="20"/>
              </w:rPr>
              <w:t>760,00</w:t>
            </w:r>
          </w:p>
        </w:tc>
      </w:tr>
    </w:tbl>
    <w:p>
      <w:pPr>
        <w:spacing w:before="208"/>
        <w:ind w:left="979" w:right="0" w:firstLine="0"/>
        <w:jc w:val="both"/>
        <w:rPr>
          <w:b/>
          <w:sz w:val="18"/>
        </w:rPr>
      </w:pPr>
      <w:r>
        <w:rPr>
          <w:b/>
          <w:sz w:val="18"/>
        </w:rPr>
        <w:t>Fuente:</w:t>
      </w:r>
      <w:r>
        <w:rPr>
          <w:b/>
          <w:spacing w:val="-7"/>
          <w:sz w:val="18"/>
        </w:rPr>
        <w:t> </w:t>
      </w:r>
      <w:r>
        <w:rPr>
          <w:b/>
          <w:sz w:val="18"/>
        </w:rPr>
        <w:t>Informe</w:t>
      </w:r>
      <w:r>
        <w:rPr>
          <w:b/>
          <w:spacing w:val="-4"/>
          <w:sz w:val="18"/>
        </w:rPr>
        <w:t> </w:t>
      </w:r>
      <w:r>
        <w:rPr>
          <w:b/>
          <w:sz w:val="18"/>
        </w:rPr>
        <w:t>de</w:t>
      </w:r>
      <w:r>
        <w:rPr>
          <w:b/>
          <w:spacing w:val="-8"/>
          <w:sz w:val="18"/>
        </w:rPr>
        <w:t> </w:t>
      </w:r>
      <w:r>
        <w:rPr>
          <w:b/>
          <w:sz w:val="18"/>
        </w:rPr>
        <w:t>liquidación</w:t>
      </w:r>
      <w:r>
        <w:rPr>
          <w:b/>
          <w:spacing w:val="-8"/>
          <w:sz w:val="18"/>
        </w:rPr>
        <w:t> </w:t>
      </w:r>
      <w:r>
        <w:rPr>
          <w:b/>
          <w:sz w:val="18"/>
        </w:rPr>
        <w:t>presupuestaria</w:t>
      </w:r>
      <w:r>
        <w:rPr>
          <w:b/>
          <w:spacing w:val="1"/>
          <w:sz w:val="18"/>
        </w:rPr>
        <w:t> </w:t>
      </w:r>
      <w:r>
        <w:rPr>
          <w:b/>
          <w:sz w:val="18"/>
        </w:rPr>
        <w:t>IMAS</w:t>
      </w:r>
      <w:r>
        <w:rPr>
          <w:b/>
          <w:spacing w:val="-5"/>
          <w:sz w:val="18"/>
        </w:rPr>
        <w:t> </w:t>
      </w:r>
      <w:r>
        <w:rPr>
          <w:b/>
          <w:spacing w:val="-2"/>
          <w:sz w:val="18"/>
        </w:rPr>
        <w:t>2024.</w:t>
      </w:r>
    </w:p>
    <w:p>
      <w:pPr>
        <w:pStyle w:val="BodyText"/>
        <w:spacing w:before="48"/>
        <w:rPr>
          <w:b/>
          <w:sz w:val="18"/>
        </w:rPr>
      </w:pPr>
    </w:p>
    <w:p>
      <w:pPr>
        <w:pStyle w:val="BodyText"/>
        <w:ind w:left="998" w:right="1365"/>
        <w:jc w:val="both"/>
      </w:pPr>
      <w:r>
        <w:rPr/>
        <w:t>A manera de conclusión, el IMAS durante el año 2024 alcanzó una alta ejecución presupuestaria,</w:t>
      </w:r>
      <w:r>
        <w:rPr>
          <w:spacing w:val="-6"/>
        </w:rPr>
        <w:t> </w:t>
      </w:r>
      <w:r>
        <w:rPr/>
        <w:t>destinando</w:t>
      </w:r>
      <w:r>
        <w:rPr>
          <w:spacing w:val="-1"/>
        </w:rPr>
        <w:t> </w:t>
      </w:r>
      <w:r>
        <w:rPr/>
        <w:t>la</w:t>
      </w:r>
      <w:r>
        <w:rPr>
          <w:spacing w:val="-5"/>
        </w:rPr>
        <w:t> </w:t>
      </w:r>
      <w:r>
        <w:rPr/>
        <w:t>mayor</w:t>
      </w:r>
      <w:r>
        <w:rPr>
          <w:spacing w:val="-9"/>
        </w:rPr>
        <w:t> </w:t>
      </w:r>
      <w:r>
        <w:rPr/>
        <w:t>parte</w:t>
      </w:r>
      <w:r>
        <w:rPr>
          <w:spacing w:val="-1"/>
        </w:rPr>
        <w:t> </w:t>
      </w:r>
      <w:r>
        <w:rPr/>
        <w:t>de</w:t>
      </w:r>
      <w:r>
        <w:rPr>
          <w:spacing w:val="-1"/>
        </w:rPr>
        <w:t> </w:t>
      </w:r>
      <w:r>
        <w:rPr/>
        <w:t>recursos</w:t>
      </w:r>
      <w:r>
        <w:rPr>
          <w:spacing w:val="-2"/>
        </w:rPr>
        <w:t> </w:t>
      </w:r>
      <w:r>
        <w:rPr/>
        <w:t>institucionales</w:t>
      </w:r>
      <w:r>
        <w:rPr>
          <w:spacing w:val="-7"/>
        </w:rPr>
        <w:t> </w:t>
      </w:r>
      <w:r>
        <w:rPr/>
        <w:t>hacia</w:t>
      </w:r>
      <w:r>
        <w:rPr>
          <w:spacing w:val="-1"/>
        </w:rPr>
        <w:t> </w:t>
      </w:r>
      <w:r>
        <w:rPr/>
        <w:t>la</w:t>
      </w:r>
      <w:r>
        <w:rPr>
          <w:spacing w:val="-5"/>
        </w:rPr>
        <w:t> </w:t>
      </w:r>
      <w:r>
        <w:rPr/>
        <w:t>atención</w:t>
      </w:r>
      <w:r>
        <w:rPr>
          <w:spacing w:val="-1"/>
        </w:rPr>
        <w:t> </w:t>
      </w:r>
      <w:r>
        <w:rPr/>
        <w:t>de la población objetivo. En cuanto a los ingresos por empresas comerciales, se considera que, se ha logrado mantener una sostenibilidad del negocio estableciendo opciones de mejora para la funcionalidad propia de la gestión de recursos</w:t>
      </w:r>
    </w:p>
    <w:p>
      <w:pPr>
        <w:pStyle w:val="BodyText"/>
        <w:spacing w:after="0"/>
        <w:jc w:val="both"/>
        <w:sectPr>
          <w:pgSz w:w="12240" w:h="15840"/>
          <w:pgMar w:header="0" w:footer="1021" w:top="1340" w:bottom="1220" w:left="720" w:right="360"/>
        </w:sectPr>
      </w:pPr>
    </w:p>
    <w:p>
      <w:pPr>
        <w:pStyle w:val="Heading1"/>
        <w:numPr>
          <w:ilvl w:val="2"/>
          <w:numId w:val="5"/>
        </w:numPr>
        <w:tabs>
          <w:tab w:pos="1581" w:val="left" w:leader="none"/>
        </w:tabs>
        <w:spacing w:line="240" w:lineRule="auto" w:before="75" w:after="0"/>
        <w:ind w:left="1581" w:right="0" w:hanging="602"/>
        <w:jc w:val="left"/>
      </w:pPr>
      <w:r>
        <w:rPr/>
        <w:t>Recursos</w:t>
      </w:r>
      <w:r>
        <w:rPr>
          <w:spacing w:val="-5"/>
        </w:rPr>
        <w:t> </w:t>
      </w:r>
      <w:r>
        <w:rPr>
          <w:spacing w:val="-2"/>
        </w:rPr>
        <w:t>Humanos</w:t>
      </w:r>
    </w:p>
    <w:p>
      <w:pPr>
        <w:pStyle w:val="BodyText"/>
        <w:spacing w:before="271"/>
        <w:ind w:left="998" w:right="1348"/>
        <w:jc w:val="both"/>
      </w:pPr>
      <w:r>
        <w:rPr/>
        <w:t>En</w:t>
      </w:r>
      <w:r>
        <w:rPr>
          <w:spacing w:val="-9"/>
        </w:rPr>
        <w:t> </w:t>
      </w:r>
      <w:r>
        <w:rPr/>
        <w:t>relación</w:t>
      </w:r>
      <w:r>
        <w:rPr>
          <w:spacing w:val="-9"/>
        </w:rPr>
        <w:t> </w:t>
      </w:r>
      <w:r>
        <w:rPr/>
        <w:t>con</w:t>
      </w:r>
      <w:r>
        <w:rPr>
          <w:spacing w:val="-13"/>
        </w:rPr>
        <w:t> </w:t>
      </w:r>
      <w:r>
        <w:rPr/>
        <w:t>las</w:t>
      </w:r>
      <w:r>
        <w:rPr>
          <w:spacing w:val="-15"/>
        </w:rPr>
        <w:t> </w:t>
      </w:r>
      <w:r>
        <w:rPr/>
        <w:t>personas</w:t>
      </w:r>
      <w:r>
        <w:rPr>
          <w:spacing w:val="-15"/>
        </w:rPr>
        <w:t> </w:t>
      </w:r>
      <w:r>
        <w:rPr/>
        <w:t>funcionarias</w:t>
      </w:r>
      <w:r>
        <w:rPr>
          <w:spacing w:val="-15"/>
        </w:rPr>
        <w:t> </w:t>
      </w:r>
      <w:r>
        <w:rPr/>
        <w:t>y</w:t>
      </w:r>
      <w:r>
        <w:rPr>
          <w:spacing w:val="-15"/>
        </w:rPr>
        <w:t> </w:t>
      </w:r>
      <w:r>
        <w:rPr/>
        <w:t>trabajadoras</w:t>
      </w:r>
      <w:r>
        <w:rPr>
          <w:spacing w:val="-15"/>
        </w:rPr>
        <w:t> </w:t>
      </w:r>
      <w:r>
        <w:rPr/>
        <w:t>que</w:t>
      </w:r>
      <w:r>
        <w:rPr>
          <w:spacing w:val="-13"/>
        </w:rPr>
        <w:t> </w:t>
      </w:r>
      <w:r>
        <w:rPr/>
        <w:t>componen</w:t>
      </w:r>
      <w:r>
        <w:rPr>
          <w:spacing w:val="-13"/>
        </w:rPr>
        <w:t> </w:t>
      </w:r>
      <w:r>
        <w:rPr/>
        <w:t>el</w:t>
      </w:r>
      <w:r>
        <w:rPr>
          <w:spacing w:val="-12"/>
        </w:rPr>
        <w:t> </w:t>
      </w:r>
      <w:r>
        <w:rPr/>
        <w:t>recurso</w:t>
      </w:r>
      <w:r>
        <w:rPr>
          <w:spacing w:val="-13"/>
        </w:rPr>
        <w:t> </w:t>
      </w:r>
      <w:r>
        <w:rPr/>
        <w:t>humano institucional,</w:t>
      </w:r>
      <w:r>
        <w:rPr>
          <w:spacing w:val="-10"/>
        </w:rPr>
        <w:t> </w:t>
      </w:r>
      <w:r>
        <w:rPr/>
        <w:t>se</w:t>
      </w:r>
      <w:r>
        <w:rPr>
          <w:spacing w:val="-9"/>
        </w:rPr>
        <w:t> </w:t>
      </w:r>
      <w:r>
        <w:rPr/>
        <w:t>ha</w:t>
      </w:r>
      <w:r>
        <w:rPr>
          <w:spacing w:val="-9"/>
        </w:rPr>
        <w:t> </w:t>
      </w:r>
      <w:r>
        <w:rPr/>
        <w:t>procurado</w:t>
      </w:r>
      <w:r>
        <w:rPr>
          <w:spacing w:val="-9"/>
        </w:rPr>
        <w:t> </w:t>
      </w:r>
      <w:r>
        <w:rPr/>
        <w:t>disponer</w:t>
      </w:r>
      <w:r>
        <w:rPr>
          <w:spacing w:val="-11"/>
        </w:rPr>
        <w:t> </w:t>
      </w:r>
      <w:r>
        <w:rPr/>
        <w:t>del</w:t>
      </w:r>
      <w:r>
        <w:rPr>
          <w:spacing w:val="-11"/>
        </w:rPr>
        <w:t> </w:t>
      </w:r>
      <w:r>
        <w:rPr/>
        <w:t>personal</w:t>
      </w:r>
      <w:r>
        <w:rPr>
          <w:spacing w:val="-7"/>
        </w:rPr>
        <w:t> </w:t>
      </w:r>
      <w:r>
        <w:rPr/>
        <w:t>idóneo</w:t>
      </w:r>
      <w:r>
        <w:rPr>
          <w:spacing w:val="-13"/>
        </w:rPr>
        <w:t> </w:t>
      </w:r>
      <w:r>
        <w:rPr/>
        <w:t>de</w:t>
      </w:r>
      <w:r>
        <w:rPr>
          <w:spacing w:val="-9"/>
        </w:rPr>
        <w:t> </w:t>
      </w:r>
      <w:r>
        <w:rPr/>
        <w:t>conformidad</w:t>
      </w:r>
      <w:r>
        <w:rPr>
          <w:spacing w:val="-4"/>
        </w:rPr>
        <w:t> </w:t>
      </w:r>
      <w:r>
        <w:rPr/>
        <w:t>con</w:t>
      </w:r>
      <w:r>
        <w:rPr>
          <w:spacing w:val="-13"/>
        </w:rPr>
        <w:t> </w:t>
      </w:r>
      <w:r>
        <w:rPr/>
        <w:t>el</w:t>
      </w:r>
      <w:r>
        <w:rPr>
          <w:spacing w:val="-7"/>
        </w:rPr>
        <w:t> </w:t>
      </w:r>
      <w:r>
        <w:rPr/>
        <w:t>cargo</w:t>
      </w:r>
      <w:r>
        <w:rPr>
          <w:spacing w:val="-13"/>
        </w:rPr>
        <w:t> </w:t>
      </w:r>
      <w:r>
        <w:rPr/>
        <w:t>en el que se contrate, y se pretende fortalecer las habilidades, destrezas, capacidades profesionales y de especialización necesarias para proveer un servicio de forma eficiente a la población en condición de pobreza.</w:t>
      </w:r>
    </w:p>
    <w:p>
      <w:pPr>
        <w:pStyle w:val="BodyText"/>
        <w:spacing w:before="4"/>
      </w:pPr>
    </w:p>
    <w:p>
      <w:pPr>
        <w:pStyle w:val="BodyText"/>
        <w:ind w:left="998"/>
        <w:jc w:val="both"/>
      </w:pPr>
      <w:r>
        <w:rPr/>
        <w:t>La</w:t>
      </w:r>
      <w:r>
        <w:rPr>
          <w:spacing w:val="-6"/>
        </w:rPr>
        <w:t> </w:t>
      </w:r>
      <w:r>
        <w:rPr/>
        <w:t>cantidad</w:t>
      </w:r>
      <w:r>
        <w:rPr>
          <w:spacing w:val="-6"/>
        </w:rPr>
        <w:t> </w:t>
      </w:r>
      <w:r>
        <w:rPr/>
        <w:t>de</w:t>
      </w:r>
      <w:r>
        <w:rPr>
          <w:spacing w:val="-7"/>
        </w:rPr>
        <w:t> </w:t>
      </w:r>
      <w:r>
        <w:rPr/>
        <w:t>plazas</w:t>
      </w:r>
      <w:r>
        <w:rPr>
          <w:spacing w:val="-9"/>
        </w:rPr>
        <w:t> </w:t>
      </w:r>
      <w:r>
        <w:rPr/>
        <w:t>en</w:t>
      </w:r>
      <w:r>
        <w:rPr>
          <w:spacing w:val="-7"/>
        </w:rPr>
        <w:t> </w:t>
      </w:r>
      <w:r>
        <w:rPr/>
        <w:t>la</w:t>
      </w:r>
      <w:r>
        <w:rPr>
          <w:spacing w:val="-3"/>
        </w:rPr>
        <w:t> </w:t>
      </w:r>
      <w:r>
        <w:rPr/>
        <w:t>institución</w:t>
      </w:r>
      <w:r>
        <w:rPr>
          <w:spacing w:val="-3"/>
        </w:rPr>
        <w:t> </w:t>
      </w:r>
      <w:r>
        <w:rPr/>
        <w:t>se</w:t>
      </w:r>
      <w:r>
        <w:rPr>
          <w:spacing w:val="-7"/>
        </w:rPr>
        <w:t> </w:t>
      </w:r>
      <w:r>
        <w:rPr/>
        <w:t>evidencia</w:t>
      </w:r>
      <w:r>
        <w:rPr>
          <w:spacing w:val="-3"/>
        </w:rPr>
        <w:t> </w:t>
      </w:r>
      <w:r>
        <w:rPr/>
        <w:t>en</w:t>
      </w:r>
      <w:r>
        <w:rPr>
          <w:spacing w:val="-3"/>
        </w:rPr>
        <w:t> </w:t>
      </w:r>
      <w:r>
        <w:rPr/>
        <w:t>la</w:t>
      </w:r>
      <w:r>
        <w:rPr>
          <w:spacing w:val="-7"/>
        </w:rPr>
        <w:t> </w:t>
      </w:r>
      <w:r>
        <w:rPr/>
        <w:t>siguiente</w:t>
      </w:r>
      <w:r>
        <w:rPr>
          <w:spacing w:val="-6"/>
        </w:rPr>
        <w:t> </w:t>
      </w:r>
      <w:r>
        <w:rPr>
          <w:spacing w:val="-2"/>
        </w:rPr>
        <w:t>tabla:</w:t>
      </w:r>
    </w:p>
    <w:p>
      <w:pPr>
        <w:pStyle w:val="BodyText"/>
        <w:spacing w:before="22"/>
      </w:pPr>
    </w:p>
    <w:p>
      <w:pPr>
        <w:pStyle w:val="Heading2"/>
        <w:spacing w:before="1"/>
        <w:ind w:left="802" w:right="1020"/>
        <w:jc w:val="center"/>
      </w:pPr>
      <w:bookmarkStart w:name="_bookmark17" w:id="18"/>
      <w:bookmarkEnd w:id="18"/>
      <w:r>
        <w:rPr>
          <w:b w:val="0"/>
        </w:rPr>
      </w:r>
      <w:r>
        <w:rPr/>
        <w:t>Tabla</w:t>
      </w:r>
      <w:r>
        <w:rPr>
          <w:spacing w:val="-2"/>
        </w:rPr>
        <w:t> </w:t>
      </w:r>
      <w:r>
        <w:rPr/>
        <w:t>8:</w:t>
      </w:r>
      <w:r>
        <w:rPr>
          <w:spacing w:val="-3"/>
        </w:rPr>
        <w:t> </w:t>
      </w:r>
      <w:r>
        <w:rPr/>
        <w:t>Cantidad</w:t>
      </w:r>
      <w:r>
        <w:rPr>
          <w:spacing w:val="-1"/>
        </w:rPr>
        <w:t> </w:t>
      </w:r>
      <w:r>
        <w:rPr/>
        <w:t>de</w:t>
      </w:r>
      <w:r>
        <w:rPr>
          <w:spacing w:val="-4"/>
        </w:rPr>
        <w:t> </w:t>
      </w:r>
      <w:r>
        <w:rPr/>
        <w:t>Plazas</w:t>
      </w:r>
      <w:r>
        <w:rPr>
          <w:spacing w:val="-4"/>
        </w:rPr>
        <w:t> </w:t>
      </w:r>
      <w:r>
        <w:rPr/>
        <w:t>en</w:t>
      </w:r>
      <w:r>
        <w:rPr>
          <w:spacing w:val="-7"/>
        </w:rPr>
        <w:t> </w:t>
      </w:r>
      <w:r>
        <w:rPr/>
        <w:t>el</w:t>
      </w:r>
      <w:r>
        <w:rPr>
          <w:spacing w:val="-4"/>
        </w:rPr>
        <w:t> IMAS</w:t>
      </w:r>
    </w:p>
    <w:p>
      <w:pPr>
        <w:pStyle w:val="BodyText"/>
        <w:spacing w:before="44" w:after="1"/>
        <w:rPr>
          <w:b/>
          <w:sz w:val="20"/>
        </w:rPr>
      </w:pPr>
    </w:p>
    <w:tbl>
      <w:tblPr>
        <w:tblW w:w="0" w:type="auto"/>
        <w:jc w:val="left"/>
        <w:tblInd w:w="1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65"/>
        <w:gridCol w:w="1983"/>
      </w:tblGrid>
      <w:tr>
        <w:trPr>
          <w:trHeight w:val="690" w:hRule="atLeast"/>
        </w:trPr>
        <w:tc>
          <w:tcPr>
            <w:tcW w:w="4965" w:type="dxa"/>
            <w:shd w:val="clear" w:color="auto" w:fill="0E233D"/>
          </w:tcPr>
          <w:p>
            <w:pPr>
              <w:pStyle w:val="TableParagraph"/>
              <w:spacing w:before="230"/>
              <w:ind w:left="110"/>
              <w:rPr>
                <w:b/>
                <w:sz w:val="20"/>
              </w:rPr>
            </w:pPr>
            <w:r>
              <w:rPr>
                <w:b/>
                <w:color w:val="FFFFFF"/>
                <w:spacing w:val="-2"/>
                <w:sz w:val="20"/>
              </w:rPr>
              <w:t>Detalle</w:t>
            </w:r>
          </w:p>
        </w:tc>
        <w:tc>
          <w:tcPr>
            <w:tcW w:w="1983" w:type="dxa"/>
            <w:shd w:val="clear" w:color="auto" w:fill="0E233D"/>
          </w:tcPr>
          <w:p>
            <w:pPr>
              <w:pStyle w:val="TableParagraph"/>
              <w:ind w:left="691" w:hanging="269"/>
              <w:rPr>
                <w:b/>
                <w:sz w:val="20"/>
              </w:rPr>
            </w:pPr>
            <w:r>
              <w:rPr>
                <w:b/>
                <w:color w:val="FFFFFF"/>
                <w:sz w:val="20"/>
              </w:rPr>
              <w:t>Cantidad</w:t>
            </w:r>
            <w:r>
              <w:rPr>
                <w:b/>
                <w:color w:val="FFFFFF"/>
                <w:spacing w:val="-14"/>
                <w:sz w:val="20"/>
              </w:rPr>
              <w:t> </w:t>
            </w:r>
            <w:r>
              <w:rPr>
                <w:b/>
                <w:color w:val="FFFFFF"/>
                <w:sz w:val="20"/>
              </w:rPr>
              <w:t>de </w:t>
            </w:r>
            <w:r>
              <w:rPr>
                <w:b/>
                <w:color w:val="FFFFFF"/>
                <w:spacing w:val="-2"/>
                <w:sz w:val="20"/>
              </w:rPr>
              <w:t>plazas</w:t>
            </w:r>
          </w:p>
        </w:tc>
      </w:tr>
      <w:tr>
        <w:trPr>
          <w:trHeight w:val="283" w:hRule="atLeast"/>
        </w:trPr>
        <w:tc>
          <w:tcPr>
            <w:tcW w:w="4965" w:type="dxa"/>
          </w:tcPr>
          <w:p>
            <w:pPr>
              <w:pStyle w:val="TableParagraph"/>
              <w:spacing w:line="229" w:lineRule="exact"/>
              <w:ind w:left="129"/>
              <w:rPr>
                <w:sz w:val="20"/>
              </w:rPr>
            </w:pPr>
            <w:r>
              <w:rPr>
                <w:sz w:val="20"/>
              </w:rPr>
              <w:t>Plazas</w:t>
            </w:r>
            <w:r>
              <w:rPr>
                <w:spacing w:val="-7"/>
                <w:sz w:val="20"/>
              </w:rPr>
              <w:t> </w:t>
            </w:r>
            <w:r>
              <w:rPr>
                <w:spacing w:val="-2"/>
                <w:sz w:val="20"/>
              </w:rPr>
              <w:t>ocupadas</w:t>
            </w:r>
          </w:p>
        </w:tc>
        <w:tc>
          <w:tcPr>
            <w:tcW w:w="1983" w:type="dxa"/>
          </w:tcPr>
          <w:p>
            <w:pPr>
              <w:pStyle w:val="TableParagraph"/>
              <w:spacing w:line="229" w:lineRule="exact"/>
              <w:ind w:left="16" w:right="2"/>
              <w:jc w:val="center"/>
              <w:rPr>
                <w:sz w:val="20"/>
              </w:rPr>
            </w:pPr>
            <w:r>
              <w:rPr>
                <w:spacing w:val="-4"/>
                <w:sz w:val="20"/>
              </w:rPr>
              <w:t>1.291</w:t>
            </w:r>
          </w:p>
        </w:tc>
      </w:tr>
      <w:tr>
        <w:trPr>
          <w:trHeight w:val="326" w:hRule="atLeast"/>
        </w:trPr>
        <w:tc>
          <w:tcPr>
            <w:tcW w:w="4965" w:type="dxa"/>
          </w:tcPr>
          <w:p>
            <w:pPr>
              <w:pStyle w:val="TableParagraph"/>
              <w:spacing w:line="230" w:lineRule="exact"/>
              <w:ind w:left="129"/>
              <w:rPr>
                <w:sz w:val="20"/>
              </w:rPr>
            </w:pPr>
            <w:r>
              <w:rPr>
                <w:sz w:val="20"/>
              </w:rPr>
              <w:t>Plazas</w:t>
            </w:r>
            <w:r>
              <w:rPr>
                <w:spacing w:val="-7"/>
                <w:sz w:val="20"/>
              </w:rPr>
              <w:t> </w:t>
            </w:r>
            <w:r>
              <w:rPr>
                <w:spacing w:val="-2"/>
                <w:sz w:val="20"/>
              </w:rPr>
              <w:t>vacantes</w:t>
            </w:r>
          </w:p>
        </w:tc>
        <w:tc>
          <w:tcPr>
            <w:tcW w:w="1983" w:type="dxa"/>
          </w:tcPr>
          <w:p>
            <w:pPr>
              <w:pStyle w:val="TableParagraph"/>
              <w:spacing w:line="230" w:lineRule="exact"/>
              <w:ind w:left="16" w:right="2"/>
              <w:jc w:val="center"/>
              <w:rPr>
                <w:sz w:val="20"/>
              </w:rPr>
            </w:pPr>
            <w:r>
              <w:rPr>
                <w:spacing w:val="-5"/>
                <w:sz w:val="20"/>
              </w:rPr>
              <w:t>75</w:t>
            </w:r>
          </w:p>
        </w:tc>
      </w:tr>
      <w:tr>
        <w:trPr>
          <w:trHeight w:val="230" w:hRule="atLeast"/>
        </w:trPr>
        <w:tc>
          <w:tcPr>
            <w:tcW w:w="4965" w:type="dxa"/>
            <w:shd w:val="clear" w:color="auto" w:fill="234060"/>
          </w:tcPr>
          <w:p>
            <w:pPr>
              <w:pStyle w:val="TableParagraph"/>
              <w:spacing w:line="210" w:lineRule="exact"/>
              <w:ind w:left="129"/>
              <w:rPr>
                <w:b/>
                <w:sz w:val="20"/>
              </w:rPr>
            </w:pPr>
            <w:r>
              <w:rPr>
                <w:b/>
                <w:color w:val="FFFFFF"/>
                <w:sz w:val="20"/>
              </w:rPr>
              <w:t>Cantidad</w:t>
            </w:r>
            <w:r>
              <w:rPr>
                <w:b/>
                <w:color w:val="FFFFFF"/>
                <w:spacing w:val="-2"/>
                <w:sz w:val="20"/>
              </w:rPr>
              <w:t> </w:t>
            </w:r>
            <w:r>
              <w:rPr>
                <w:b/>
                <w:color w:val="FFFFFF"/>
                <w:sz w:val="20"/>
              </w:rPr>
              <w:t>total</w:t>
            </w:r>
            <w:r>
              <w:rPr>
                <w:b/>
                <w:color w:val="FFFFFF"/>
                <w:spacing w:val="-6"/>
                <w:sz w:val="20"/>
              </w:rPr>
              <w:t> </w:t>
            </w:r>
            <w:r>
              <w:rPr>
                <w:b/>
                <w:color w:val="FFFFFF"/>
                <w:sz w:val="20"/>
              </w:rPr>
              <w:t>de</w:t>
            </w:r>
            <w:r>
              <w:rPr>
                <w:b/>
                <w:color w:val="FFFFFF"/>
                <w:spacing w:val="-9"/>
                <w:sz w:val="20"/>
              </w:rPr>
              <w:t> </w:t>
            </w:r>
            <w:r>
              <w:rPr>
                <w:b/>
                <w:color w:val="FFFFFF"/>
                <w:sz w:val="20"/>
              </w:rPr>
              <w:t>plazas</w:t>
            </w:r>
            <w:r>
              <w:rPr>
                <w:b/>
                <w:color w:val="FFFFFF"/>
                <w:spacing w:val="-9"/>
                <w:sz w:val="20"/>
              </w:rPr>
              <w:t> </w:t>
            </w:r>
            <w:r>
              <w:rPr>
                <w:b/>
                <w:color w:val="FFFFFF"/>
                <w:spacing w:val="-2"/>
                <w:sz w:val="20"/>
              </w:rPr>
              <w:t>Institucionales</w:t>
            </w:r>
          </w:p>
        </w:tc>
        <w:tc>
          <w:tcPr>
            <w:tcW w:w="1983" w:type="dxa"/>
            <w:shd w:val="clear" w:color="auto" w:fill="234060"/>
          </w:tcPr>
          <w:p>
            <w:pPr>
              <w:pStyle w:val="TableParagraph"/>
              <w:spacing w:line="210" w:lineRule="exact"/>
              <w:ind w:left="14" w:right="16"/>
              <w:jc w:val="center"/>
              <w:rPr>
                <w:b/>
                <w:sz w:val="20"/>
              </w:rPr>
            </w:pPr>
            <w:r>
              <w:rPr>
                <w:b/>
                <w:color w:val="FFFFFF"/>
                <w:spacing w:val="-4"/>
                <w:sz w:val="20"/>
              </w:rPr>
              <w:t>1.366</w:t>
            </w:r>
          </w:p>
        </w:tc>
      </w:tr>
    </w:tbl>
    <w:p>
      <w:pPr>
        <w:spacing w:before="206"/>
        <w:ind w:left="979" w:right="0" w:firstLine="0"/>
        <w:jc w:val="both"/>
        <w:rPr>
          <w:b/>
          <w:sz w:val="18"/>
        </w:rPr>
      </w:pPr>
      <w:r>
        <w:rPr>
          <w:b/>
          <w:sz w:val="18"/>
        </w:rPr>
        <w:t>Fuente: Unidad</w:t>
      </w:r>
      <w:r>
        <w:rPr>
          <w:b/>
          <w:spacing w:val="-7"/>
          <w:sz w:val="18"/>
        </w:rPr>
        <w:t> </w:t>
      </w:r>
      <w:r>
        <w:rPr>
          <w:b/>
          <w:sz w:val="18"/>
        </w:rPr>
        <w:t>de</w:t>
      </w:r>
      <w:r>
        <w:rPr>
          <w:b/>
          <w:spacing w:val="-6"/>
          <w:sz w:val="18"/>
        </w:rPr>
        <w:t> </w:t>
      </w:r>
      <w:r>
        <w:rPr>
          <w:b/>
          <w:sz w:val="18"/>
        </w:rPr>
        <w:t>Desarrollo</w:t>
      </w:r>
      <w:r>
        <w:rPr>
          <w:b/>
          <w:spacing w:val="-7"/>
          <w:sz w:val="18"/>
        </w:rPr>
        <w:t> </w:t>
      </w:r>
      <w:r>
        <w:rPr>
          <w:b/>
          <w:sz w:val="18"/>
        </w:rPr>
        <w:t>Humano</w:t>
      </w:r>
      <w:r>
        <w:rPr>
          <w:b/>
          <w:spacing w:val="-8"/>
          <w:sz w:val="18"/>
        </w:rPr>
        <w:t> </w:t>
      </w:r>
      <w:r>
        <w:rPr>
          <w:b/>
          <w:sz w:val="18"/>
        </w:rPr>
        <w:t>IMAS,</w:t>
      </w:r>
      <w:r>
        <w:rPr>
          <w:b/>
          <w:spacing w:val="-5"/>
          <w:sz w:val="18"/>
        </w:rPr>
        <w:t> </w:t>
      </w:r>
      <w:r>
        <w:rPr>
          <w:b/>
          <w:spacing w:val="-4"/>
          <w:sz w:val="18"/>
        </w:rPr>
        <w:t>2025.</w:t>
      </w:r>
    </w:p>
    <w:p>
      <w:pPr>
        <w:pStyle w:val="BodyText"/>
        <w:rPr>
          <w:b/>
          <w:sz w:val="18"/>
        </w:rPr>
      </w:pPr>
    </w:p>
    <w:p>
      <w:pPr>
        <w:pStyle w:val="BodyText"/>
        <w:ind w:left="998" w:right="1348"/>
        <w:jc w:val="both"/>
      </w:pPr>
      <w:r>
        <w:rPr/>
        <w:t>Sobre el</w:t>
      </w:r>
      <w:r>
        <w:rPr>
          <w:spacing w:val="-2"/>
        </w:rPr>
        <w:t> </w:t>
      </w:r>
      <w:r>
        <w:rPr/>
        <w:t>aspecto de los recursos humanos, se debe de tomar en cuenta que la institución desarrolla su</w:t>
      </w:r>
      <w:r>
        <w:rPr>
          <w:spacing w:val="-1"/>
        </w:rPr>
        <w:t> </w:t>
      </w:r>
      <w:r>
        <w:rPr/>
        <w:t>actividad desde diciembre</w:t>
      </w:r>
      <w:r>
        <w:rPr>
          <w:spacing w:val="-1"/>
        </w:rPr>
        <w:t> </w:t>
      </w:r>
      <w:r>
        <w:rPr/>
        <w:t>2018</w:t>
      </w:r>
      <w:r>
        <w:rPr>
          <w:spacing w:val="-1"/>
        </w:rPr>
        <w:t> </w:t>
      </w:r>
      <w:r>
        <w:rPr/>
        <w:t>aplicando la Ley N°9635“Fortalecimiento de las</w:t>
      </w:r>
      <w:r>
        <w:rPr>
          <w:spacing w:val="-12"/>
        </w:rPr>
        <w:t> </w:t>
      </w:r>
      <w:r>
        <w:rPr/>
        <w:t>Finanzas</w:t>
      </w:r>
      <w:r>
        <w:rPr>
          <w:spacing w:val="-9"/>
        </w:rPr>
        <w:t> </w:t>
      </w:r>
      <w:r>
        <w:rPr/>
        <w:t>Públicas”</w:t>
      </w:r>
      <w:r>
        <w:rPr>
          <w:spacing w:val="-13"/>
        </w:rPr>
        <w:t> </w:t>
      </w:r>
      <w:r>
        <w:rPr/>
        <w:t>y</w:t>
      </w:r>
      <w:r>
        <w:rPr>
          <w:spacing w:val="-12"/>
        </w:rPr>
        <w:t> </w:t>
      </w:r>
      <w:r>
        <w:rPr/>
        <w:t>también</w:t>
      </w:r>
      <w:r>
        <w:rPr>
          <w:spacing w:val="-15"/>
        </w:rPr>
        <w:t> </w:t>
      </w:r>
      <w:r>
        <w:rPr/>
        <w:t>ha</w:t>
      </w:r>
      <w:r>
        <w:rPr>
          <w:spacing w:val="-15"/>
        </w:rPr>
        <w:t> </w:t>
      </w:r>
      <w:r>
        <w:rPr/>
        <w:t>venido</w:t>
      </w:r>
      <w:r>
        <w:rPr>
          <w:spacing w:val="-10"/>
        </w:rPr>
        <w:t> </w:t>
      </w:r>
      <w:r>
        <w:rPr/>
        <w:t>trabajando</w:t>
      </w:r>
      <w:r>
        <w:rPr>
          <w:spacing w:val="-10"/>
        </w:rPr>
        <w:t> </w:t>
      </w:r>
      <w:r>
        <w:rPr/>
        <w:t>en</w:t>
      </w:r>
      <w:r>
        <w:rPr>
          <w:spacing w:val="-10"/>
        </w:rPr>
        <w:t> </w:t>
      </w:r>
      <w:r>
        <w:rPr/>
        <w:t>la</w:t>
      </w:r>
      <w:r>
        <w:rPr>
          <w:spacing w:val="-15"/>
        </w:rPr>
        <w:t> </w:t>
      </w:r>
      <w:r>
        <w:rPr/>
        <w:t>evaluación</w:t>
      </w:r>
      <w:r>
        <w:rPr>
          <w:spacing w:val="-10"/>
        </w:rPr>
        <w:t> </w:t>
      </w:r>
      <w:r>
        <w:rPr/>
        <w:t>del</w:t>
      </w:r>
      <w:r>
        <w:rPr>
          <w:spacing w:val="-13"/>
        </w:rPr>
        <w:t> </w:t>
      </w:r>
      <w:r>
        <w:rPr/>
        <w:t>desempeño</w:t>
      </w:r>
      <w:r>
        <w:rPr>
          <w:spacing w:val="-15"/>
        </w:rPr>
        <w:t> </w:t>
      </w:r>
      <w:r>
        <w:rPr/>
        <w:t>por indicadores de gestión y competencias, misma que se aplicó en el presente 2025, evaluándose el año 2024.</w:t>
      </w:r>
    </w:p>
    <w:p>
      <w:pPr>
        <w:pStyle w:val="BodyText"/>
        <w:spacing w:before="252"/>
        <w:ind w:left="998" w:right="1360"/>
        <w:jc w:val="both"/>
      </w:pPr>
      <w:r>
        <w:rPr/>
        <w:t>Durante</w:t>
      </w:r>
      <w:r>
        <w:rPr>
          <w:spacing w:val="-16"/>
        </w:rPr>
        <w:t> </w:t>
      </w:r>
      <w:r>
        <w:rPr/>
        <w:t>el</w:t>
      </w:r>
      <w:r>
        <w:rPr>
          <w:spacing w:val="-15"/>
        </w:rPr>
        <w:t> </w:t>
      </w:r>
      <w:r>
        <w:rPr/>
        <w:t>2024</w:t>
      </w:r>
      <w:r>
        <w:rPr>
          <w:spacing w:val="-15"/>
        </w:rPr>
        <w:t> </w:t>
      </w:r>
      <w:r>
        <w:rPr/>
        <w:t>y</w:t>
      </w:r>
      <w:r>
        <w:rPr>
          <w:spacing w:val="-16"/>
        </w:rPr>
        <w:t> </w:t>
      </w:r>
      <w:r>
        <w:rPr/>
        <w:t>el</w:t>
      </w:r>
      <w:r>
        <w:rPr>
          <w:spacing w:val="-15"/>
        </w:rPr>
        <w:t> </w:t>
      </w:r>
      <w:r>
        <w:rPr/>
        <w:t>2025,</w:t>
      </w:r>
      <w:r>
        <w:rPr>
          <w:spacing w:val="-15"/>
        </w:rPr>
        <w:t> </w:t>
      </w:r>
      <w:r>
        <w:rPr/>
        <w:t>no</w:t>
      </w:r>
      <w:r>
        <w:rPr>
          <w:spacing w:val="-15"/>
        </w:rPr>
        <w:t> </w:t>
      </w:r>
      <w:r>
        <w:rPr/>
        <w:t>se</w:t>
      </w:r>
      <w:r>
        <w:rPr>
          <w:spacing w:val="-16"/>
        </w:rPr>
        <w:t> </w:t>
      </w:r>
      <w:r>
        <w:rPr/>
        <w:t>ha</w:t>
      </w:r>
      <w:r>
        <w:rPr>
          <w:spacing w:val="-15"/>
        </w:rPr>
        <w:t> </w:t>
      </w:r>
      <w:r>
        <w:rPr/>
        <w:t>creado</w:t>
      </w:r>
      <w:r>
        <w:rPr>
          <w:spacing w:val="-15"/>
        </w:rPr>
        <w:t> </w:t>
      </w:r>
      <w:r>
        <w:rPr/>
        <w:t>ningún</w:t>
      </w:r>
      <w:r>
        <w:rPr>
          <w:spacing w:val="-16"/>
        </w:rPr>
        <w:t> </w:t>
      </w:r>
      <w:r>
        <w:rPr/>
        <w:t>rubro</w:t>
      </w:r>
      <w:r>
        <w:rPr>
          <w:spacing w:val="-15"/>
        </w:rPr>
        <w:t> </w:t>
      </w:r>
      <w:r>
        <w:rPr/>
        <w:t>o</w:t>
      </w:r>
      <w:r>
        <w:rPr>
          <w:spacing w:val="-15"/>
        </w:rPr>
        <w:t> </w:t>
      </w:r>
      <w:r>
        <w:rPr/>
        <w:t>devengando</w:t>
      </w:r>
      <w:r>
        <w:rPr>
          <w:spacing w:val="-14"/>
        </w:rPr>
        <w:t> </w:t>
      </w:r>
      <w:r>
        <w:rPr/>
        <w:t>adicional</w:t>
      </w:r>
      <w:r>
        <w:rPr>
          <w:spacing w:val="-15"/>
        </w:rPr>
        <w:t> </w:t>
      </w:r>
      <w:r>
        <w:rPr/>
        <w:t>en</w:t>
      </w:r>
      <w:r>
        <w:rPr>
          <w:spacing w:val="-13"/>
        </w:rPr>
        <w:t> </w:t>
      </w:r>
      <w:r>
        <w:rPr/>
        <w:t>materia salarial, por lo cual existe una estabilidad de los recursos destinados a la planilla </w:t>
      </w:r>
      <w:r>
        <w:rPr>
          <w:spacing w:val="-2"/>
        </w:rPr>
        <w:t>institucional.</w:t>
      </w:r>
    </w:p>
    <w:p>
      <w:pPr>
        <w:pStyle w:val="BodyText"/>
        <w:spacing w:before="1"/>
      </w:pPr>
    </w:p>
    <w:p>
      <w:pPr>
        <w:pStyle w:val="BodyText"/>
        <w:ind w:left="998" w:right="1352"/>
        <w:jc w:val="both"/>
      </w:pPr>
      <w:r>
        <w:rPr/>
        <w:t>En</w:t>
      </w:r>
      <w:r>
        <w:rPr>
          <w:spacing w:val="-2"/>
        </w:rPr>
        <w:t> </w:t>
      </w:r>
      <w:r>
        <w:rPr/>
        <w:t>cuanto</w:t>
      </w:r>
      <w:r>
        <w:rPr>
          <w:spacing w:val="-5"/>
        </w:rPr>
        <w:t> </w:t>
      </w:r>
      <w:r>
        <w:rPr/>
        <w:t>al</w:t>
      </w:r>
      <w:r>
        <w:rPr>
          <w:spacing w:val="-4"/>
        </w:rPr>
        <w:t> </w:t>
      </w:r>
      <w:r>
        <w:rPr/>
        <w:t>tema</w:t>
      </w:r>
      <w:r>
        <w:rPr>
          <w:spacing w:val="-5"/>
        </w:rPr>
        <w:t> </w:t>
      </w:r>
      <w:r>
        <w:rPr/>
        <w:t>de</w:t>
      </w:r>
      <w:r>
        <w:rPr>
          <w:spacing w:val="-2"/>
        </w:rPr>
        <w:t> </w:t>
      </w:r>
      <w:r>
        <w:rPr/>
        <w:t>contratación</w:t>
      </w:r>
      <w:r>
        <w:rPr>
          <w:spacing w:val="-2"/>
        </w:rPr>
        <w:t> </w:t>
      </w:r>
      <w:r>
        <w:rPr/>
        <w:t>de</w:t>
      </w:r>
      <w:r>
        <w:rPr>
          <w:spacing w:val="-2"/>
        </w:rPr>
        <w:t> </w:t>
      </w:r>
      <w:r>
        <w:rPr/>
        <w:t>personal,</w:t>
      </w:r>
      <w:r>
        <w:rPr>
          <w:spacing w:val="-2"/>
        </w:rPr>
        <w:t> </w:t>
      </w:r>
      <w:r>
        <w:rPr/>
        <w:t>según</w:t>
      </w:r>
      <w:r>
        <w:rPr>
          <w:spacing w:val="-2"/>
        </w:rPr>
        <w:t> </w:t>
      </w:r>
      <w:r>
        <w:rPr/>
        <w:t>información</w:t>
      </w:r>
      <w:r>
        <w:rPr>
          <w:spacing w:val="-2"/>
        </w:rPr>
        <w:t> </w:t>
      </w:r>
      <w:r>
        <w:rPr/>
        <w:t>de</w:t>
      </w:r>
      <w:r>
        <w:rPr>
          <w:spacing w:val="-2"/>
        </w:rPr>
        <w:t> </w:t>
      </w:r>
      <w:r>
        <w:rPr/>
        <w:t>Desarrollo</w:t>
      </w:r>
      <w:r>
        <w:rPr>
          <w:spacing w:val="-2"/>
        </w:rPr>
        <w:t> </w:t>
      </w:r>
      <w:r>
        <w:rPr/>
        <w:t>Humano, durante</w:t>
      </w:r>
      <w:r>
        <w:rPr>
          <w:spacing w:val="-16"/>
        </w:rPr>
        <w:t> </w:t>
      </w:r>
      <w:r>
        <w:rPr/>
        <w:t>el</w:t>
      </w:r>
      <w:r>
        <w:rPr>
          <w:spacing w:val="-15"/>
        </w:rPr>
        <w:t> </w:t>
      </w:r>
      <w:r>
        <w:rPr/>
        <w:t>2024</w:t>
      </w:r>
      <w:r>
        <w:rPr>
          <w:spacing w:val="-9"/>
        </w:rPr>
        <w:t> </w:t>
      </w:r>
      <w:r>
        <w:rPr/>
        <w:t>y</w:t>
      </w:r>
      <w:r>
        <w:rPr>
          <w:spacing w:val="-11"/>
        </w:rPr>
        <w:t> </w:t>
      </w:r>
      <w:r>
        <w:rPr/>
        <w:t>lo</w:t>
      </w:r>
      <w:r>
        <w:rPr>
          <w:spacing w:val="-14"/>
        </w:rPr>
        <w:t> </w:t>
      </w:r>
      <w:r>
        <w:rPr/>
        <w:t>que</w:t>
      </w:r>
      <w:r>
        <w:rPr>
          <w:spacing w:val="-9"/>
        </w:rPr>
        <w:t> </w:t>
      </w:r>
      <w:r>
        <w:rPr/>
        <w:t>se</w:t>
      </w:r>
      <w:r>
        <w:rPr>
          <w:spacing w:val="-9"/>
        </w:rPr>
        <w:t> </w:t>
      </w:r>
      <w:r>
        <w:rPr/>
        <w:t>lleva</w:t>
      </w:r>
      <w:r>
        <w:rPr>
          <w:spacing w:val="-14"/>
        </w:rPr>
        <w:t> </w:t>
      </w:r>
      <w:r>
        <w:rPr/>
        <w:t>del</w:t>
      </w:r>
      <w:r>
        <w:rPr>
          <w:spacing w:val="-16"/>
        </w:rPr>
        <w:t> </w:t>
      </w:r>
      <w:r>
        <w:rPr/>
        <w:t>presente</w:t>
      </w:r>
      <w:r>
        <w:rPr>
          <w:spacing w:val="-14"/>
        </w:rPr>
        <w:t> </w:t>
      </w:r>
      <w:r>
        <w:rPr/>
        <w:t>año,</w:t>
      </w:r>
      <w:r>
        <w:rPr>
          <w:spacing w:val="-16"/>
        </w:rPr>
        <w:t> </w:t>
      </w:r>
      <w:r>
        <w:rPr/>
        <w:t>la</w:t>
      </w:r>
      <w:r>
        <w:rPr>
          <w:spacing w:val="-9"/>
        </w:rPr>
        <w:t> </w:t>
      </w:r>
      <w:r>
        <w:rPr/>
        <w:t>Institución</w:t>
      </w:r>
      <w:r>
        <w:rPr>
          <w:spacing w:val="-14"/>
        </w:rPr>
        <w:t> </w:t>
      </w:r>
      <w:r>
        <w:rPr/>
        <w:t>ha</w:t>
      </w:r>
      <w:r>
        <w:rPr>
          <w:spacing w:val="-9"/>
        </w:rPr>
        <w:t> </w:t>
      </w:r>
      <w:r>
        <w:rPr/>
        <w:t>realizado</w:t>
      </w:r>
      <w:r>
        <w:rPr>
          <w:spacing w:val="-14"/>
        </w:rPr>
        <w:t> </w:t>
      </w:r>
      <w:r>
        <w:rPr/>
        <w:t>la</w:t>
      </w:r>
      <w:r>
        <w:rPr>
          <w:spacing w:val="-9"/>
        </w:rPr>
        <w:t> </w:t>
      </w:r>
      <w:r>
        <w:rPr/>
        <w:t>contratación de trescientos noventa, (390) personas, en diferentes puestos laborales, a nivel central, nivel regional y para los órganos adscritos. Durante el 2024 Cabe indicar, que durante el año 2024 se aprobaron ciento catorce, (114), plazas vacantes nuevas en Empresas Comerciales,</w:t>
      </w:r>
      <w:r>
        <w:rPr>
          <w:spacing w:val="-16"/>
        </w:rPr>
        <w:t> </w:t>
      </w:r>
      <w:r>
        <w:rPr/>
        <w:t>aprobadas</w:t>
      </w:r>
      <w:r>
        <w:rPr>
          <w:spacing w:val="-15"/>
        </w:rPr>
        <w:t> </w:t>
      </w:r>
      <w:r>
        <w:rPr/>
        <w:t>por</w:t>
      </w:r>
      <w:r>
        <w:rPr>
          <w:spacing w:val="-15"/>
        </w:rPr>
        <w:t> </w:t>
      </w:r>
      <w:r>
        <w:rPr/>
        <w:t>la</w:t>
      </w:r>
      <w:r>
        <w:rPr>
          <w:spacing w:val="-16"/>
        </w:rPr>
        <w:t> </w:t>
      </w:r>
      <w:r>
        <w:rPr/>
        <w:t>autoridad</w:t>
      </w:r>
      <w:r>
        <w:rPr>
          <w:spacing w:val="-15"/>
        </w:rPr>
        <w:t> </w:t>
      </w:r>
      <w:r>
        <w:rPr/>
        <w:t>presupuestaria,</w:t>
      </w:r>
      <w:r>
        <w:rPr>
          <w:spacing w:val="-15"/>
        </w:rPr>
        <w:t> </w:t>
      </w:r>
      <w:r>
        <w:rPr/>
        <w:t>para</w:t>
      </w:r>
      <w:r>
        <w:rPr>
          <w:spacing w:val="-15"/>
        </w:rPr>
        <w:t> </w:t>
      </w:r>
      <w:r>
        <w:rPr/>
        <w:t>ser</w:t>
      </w:r>
      <w:r>
        <w:rPr>
          <w:spacing w:val="-16"/>
        </w:rPr>
        <w:t> </w:t>
      </w:r>
      <w:r>
        <w:rPr/>
        <w:t>ocupadas</w:t>
      </w:r>
      <w:r>
        <w:rPr>
          <w:spacing w:val="-15"/>
        </w:rPr>
        <w:t> </w:t>
      </w:r>
      <w:r>
        <w:rPr/>
        <w:t>en</w:t>
      </w:r>
      <w:r>
        <w:rPr>
          <w:spacing w:val="-15"/>
        </w:rPr>
        <w:t> </w:t>
      </w:r>
      <w:r>
        <w:rPr/>
        <w:t>su</w:t>
      </w:r>
      <w:r>
        <w:rPr>
          <w:spacing w:val="-16"/>
        </w:rPr>
        <w:t> </w:t>
      </w:r>
      <w:r>
        <w:rPr/>
        <w:t>mayoría, a partir de noviembre de 2024.</w:t>
      </w:r>
    </w:p>
    <w:p>
      <w:pPr>
        <w:pStyle w:val="BodyText"/>
        <w:spacing w:after="0"/>
        <w:jc w:val="both"/>
        <w:sectPr>
          <w:pgSz w:w="12240" w:h="15840"/>
          <w:pgMar w:header="0" w:footer="1021" w:top="1620" w:bottom="1220" w:left="720" w:right="360"/>
        </w:sectPr>
      </w:pPr>
    </w:p>
    <w:p>
      <w:pPr>
        <w:pStyle w:val="Heading1"/>
        <w:numPr>
          <w:ilvl w:val="1"/>
          <w:numId w:val="5"/>
        </w:numPr>
        <w:tabs>
          <w:tab w:pos="2245" w:val="left" w:leader="none"/>
        </w:tabs>
        <w:spacing w:line="240" w:lineRule="auto" w:before="77" w:after="0"/>
        <w:ind w:left="2245" w:right="0" w:hanging="401"/>
        <w:jc w:val="left"/>
      </w:pPr>
      <w:bookmarkStart w:name="_bookmark18" w:id="19"/>
      <w:bookmarkEnd w:id="19"/>
      <w:r>
        <w:rPr>
          <w:b w:val="0"/>
        </w:rPr>
      </w:r>
      <w:r>
        <w:rPr/>
        <w:t>Cumplimiento</w:t>
      </w:r>
      <w:r>
        <w:rPr>
          <w:spacing w:val="-10"/>
        </w:rPr>
        <w:t> </w:t>
      </w:r>
      <w:r>
        <w:rPr/>
        <w:t>del</w:t>
      </w:r>
      <w:r>
        <w:rPr>
          <w:spacing w:val="-1"/>
        </w:rPr>
        <w:t> </w:t>
      </w:r>
      <w:r>
        <w:rPr/>
        <w:t>Sistema</w:t>
      </w:r>
      <w:r>
        <w:rPr>
          <w:spacing w:val="-5"/>
        </w:rPr>
        <w:t> </w:t>
      </w:r>
      <w:r>
        <w:rPr/>
        <w:t>de</w:t>
      </w:r>
      <w:r>
        <w:rPr>
          <w:spacing w:val="-2"/>
        </w:rPr>
        <w:t> </w:t>
      </w:r>
      <w:r>
        <w:rPr/>
        <w:t>Control</w:t>
      </w:r>
      <w:r>
        <w:rPr>
          <w:spacing w:val="-2"/>
        </w:rPr>
        <w:t> Interno</w:t>
      </w:r>
    </w:p>
    <w:p>
      <w:pPr>
        <w:pStyle w:val="ListParagraph"/>
        <w:numPr>
          <w:ilvl w:val="2"/>
          <w:numId w:val="5"/>
        </w:numPr>
        <w:tabs>
          <w:tab w:pos="1581" w:val="left" w:leader="none"/>
        </w:tabs>
        <w:spacing w:line="240" w:lineRule="auto" w:before="276" w:after="0"/>
        <w:ind w:left="1581" w:right="0" w:hanging="602"/>
        <w:jc w:val="left"/>
        <w:rPr>
          <w:b/>
          <w:sz w:val="24"/>
        </w:rPr>
      </w:pPr>
      <w:r>
        <w:rPr>
          <w:b/>
          <w:sz w:val="24"/>
        </w:rPr>
        <w:t>Proceso</w:t>
      </w:r>
      <w:r>
        <w:rPr>
          <w:b/>
          <w:spacing w:val="-2"/>
          <w:sz w:val="24"/>
        </w:rPr>
        <w:t> </w:t>
      </w:r>
      <w:r>
        <w:rPr>
          <w:b/>
          <w:sz w:val="24"/>
        </w:rPr>
        <w:t>de</w:t>
      </w:r>
      <w:r>
        <w:rPr>
          <w:b/>
          <w:spacing w:val="-6"/>
          <w:sz w:val="24"/>
        </w:rPr>
        <w:t> </w:t>
      </w:r>
      <w:r>
        <w:rPr>
          <w:b/>
          <w:spacing w:val="-2"/>
          <w:sz w:val="24"/>
        </w:rPr>
        <w:t>Autoevaluación</w:t>
      </w:r>
    </w:p>
    <w:p>
      <w:pPr>
        <w:pStyle w:val="BodyText"/>
        <w:spacing w:before="252"/>
        <w:ind w:left="979" w:right="1331"/>
        <w:jc w:val="both"/>
      </w:pPr>
      <w:r>
        <w:rPr/>
        <w:t>La Ley General de Control Interno y las Normas de Control Interno para el Sector Público establecen la obligatoriedad de realizar al menos una vez al año el proceso de Autoevaluación del Sistema de Control Interno Institucional, a fin de identificar cualquier desvío que pueda comprometer el cumplimiento de los objetivos de la Ley No. 8292 y los de la Institución.</w:t>
      </w:r>
    </w:p>
    <w:p>
      <w:pPr>
        <w:pStyle w:val="BodyText"/>
        <w:spacing w:before="4"/>
      </w:pPr>
    </w:p>
    <w:p>
      <w:pPr>
        <w:pStyle w:val="BodyText"/>
        <w:spacing w:line="276" w:lineRule="auto"/>
        <w:ind w:left="979" w:right="1336"/>
        <w:jc w:val="both"/>
      </w:pPr>
      <w:r>
        <w:rPr/>
        <w:t>En</w:t>
      </w:r>
      <w:r>
        <w:rPr>
          <w:spacing w:val="-9"/>
        </w:rPr>
        <w:t> </w:t>
      </w:r>
      <w:r>
        <w:rPr/>
        <w:t>el</w:t>
      </w:r>
      <w:r>
        <w:rPr>
          <w:spacing w:val="-12"/>
        </w:rPr>
        <w:t> </w:t>
      </w:r>
      <w:r>
        <w:rPr/>
        <w:t>marco</w:t>
      </w:r>
      <w:r>
        <w:rPr>
          <w:spacing w:val="-9"/>
        </w:rPr>
        <w:t> </w:t>
      </w:r>
      <w:r>
        <w:rPr/>
        <w:t>de</w:t>
      </w:r>
      <w:r>
        <w:rPr>
          <w:spacing w:val="-5"/>
        </w:rPr>
        <w:t> </w:t>
      </w:r>
      <w:r>
        <w:rPr/>
        <w:t>la</w:t>
      </w:r>
      <w:r>
        <w:rPr>
          <w:spacing w:val="-9"/>
        </w:rPr>
        <w:t> </w:t>
      </w:r>
      <w:r>
        <w:rPr/>
        <w:t>Autoevaluación</w:t>
      </w:r>
      <w:r>
        <w:rPr>
          <w:spacing w:val="-9"/>
        </w:rPr>
        <w:t> </w:t>
      </w:r>
      <w:r>
        <w:rPr/>
        <w:t>Institucional,</w:t>
      </w:r>
      <w:r>
        <w:rPr>
          <w:spacing w:val="-6"/>
        </w:rPr>
        <w:t> </w:t>
      </w:r>
      <w:r>
        <w:rPr/>
        <w:t>uno</w:t>
      </w:r>
      <w:r>
        <w:rPr>
          <w:spacing w:val="-5"/>
        </w:rPr>
        <w:t> </w:t>
      </w:r>
      <w:r>
        <w:rPr/>
        <w:t>de</w:t>
      </w:r>
      <w:r>
        <w:rPr>
          <w:spacing w:val="-5"/>
        </w:rPr>
        <w:t> </w:t>
      </w:r>
      <w:r>
        <w:rPr/>
        <w:t>los</w:t>
      </w:r>
      <w:r>
        <w:rPr>
          <w:spacing w:val="-11"/>
        </w:rPr>
        <w:t> </w:t>
      </w:r>
      <w:r>
        <w:rPr/>
        <w:t>aspectos</w:t>
      </w:r>
      <w:r>
        <w:rPr>
          <w:spacing w:val="-11"/>
        </w:rPr>
        <w:t> </w:t>
      </w:r>
      <w:r>
        <w:rPr/>
        <w:t>clave</w:t>
      </w:r>
      <w:r>
        <w:rPr>
          <w:spacing w:val="-5"/>
        </w:rPr>
        <w:t> </w:t>
      </w:r>
      <w:r>
        <w:rPr/>
        <w:t>ha</w:t>
      </w:r>
      <w:r>
        <w:rPr>
          <w:spacing w:val="-5"/>
        </w:rPr>
        <w:t> </w:t>
      </w:r>
      <w:r>
        <w:rPr/>
        <w:t>sido</w:t>
      </w:r>
      <w:r>
        <w:rPr>
          <w:spacing w:val="-5"/>
        </w:rPr>
        <w:t> </w:t>
      </w:r>
      <w:r>
        <w:rPr/>
        <w:t>fortalecer nuestro</w:t>
      </w:r>
      <w:r>
        <w:rPr>
          <w:spacing w:val="-4"/>
        </w:rPr>
        <w:t> </w:t>
      </w:r>
      <w:r>
        <w:rPr/>
        <w:t>enfoque</w:t>
      </w:r>
      <w:r>
        <w:rPr>
          <w:spacing w:val="-4"/>
        </w:rPr>
        <w:t> </w:t>
      </w:r>
      <w:r>
        <w:rPr/>
        <w:t>en</w:t>
      </w:r>
      <w:r>
        <w:rPr>
          <w:spacing w:val="-4"/>
        </w:rPr>
        <w:t> </w:t>
      </w:r>
      <w:r>
        <w:rPr/>
        <w:t>el</w:t>
      </w:r>
      <w:r>
        <w:rPr>
          <w:spacing w:val="-7"/>
        </w:rPr>
        <w:t> </w:t>
      </w:r>
      <w:r>
        <w:rPr/>
        <w:t>GpRD,</w:t>
      </w:r>
      <w:r>
        <w:rPr>
          <w:spacing w:val="-5"/>
        </w:rPr>
        <w:t> </w:t>
      </w:r>
      <w:r>
        <w:rPr/>
        <w:t>orientando cada</w:t>
      </w:r>
      <w:r>
        <w:rPr>
          <w:spacing w:val="-4"/>
        </w:rPr>
        <w:t> </w:t>
      </w:r>
      <w:r>
        <w:rPr/>
        <w:t>acción</w:t>
      </w:r>
      <w:r>
        <w:rPr>
          <w:spacing w:val="-4"/>
        </w:rPr>
        <w:t> </w:t>
      </w:r>
      <w:r>
        <w:rPr/>
        <w:t>hacia el</w:t>
      </w:r>
      <w:r>
        <w:rPr>
          <w:spacing w:val="-7"/>
        </w:rPr>
        <w:t> </w:t>
      </w:r>
      <w:r>
        <w:rPr/>
        <w:t>cumplimiento</w:t>
      </w:r>
      <w:r>
        <w:rPr>
          <w:spacing w:val="-4"/>
        </w:rPr>
        <w:t> </w:t>
      </w:r>
      <w:r>
        <w:rPr/>
        <w:t>de los</w:t>
      </w:r>
      <w:r>
        <w:rPr>
          <w:spacing w:val="-6"/>
        </w:rPr>
        <w:t> </w:t>
      </w:r>
      <w:r>
        <w:rPr/>
        <w:t>objetivo y</w:t>
      </w:r>
      <w:r>
        <w:rPr>
          <w:spacing w:val="-12"/>
        </w:rPr>
        <w:t> </w:t>
      </w:r>
      <w:r>
        <w:rPr/>
        <w:t>metas;</w:t>
      </w:r>
      <w:r>
        <w:rPr>
          <w:spacing w:val="-11"/>
        </w:rPr>
        <w:t> </w:t>
      </w:r>
      <w:r>
        <w:rPr/>
        <w:t>buscando</w:t>
      </w:r>
      <w:r>
        <w:rPr>
          <w:spacing w:val="-10"/>
        </w:rPr>
        <w:t> </w:t>
      </w:r>
      <w:r>
        <w:rPr/>
        <w:t>mejorar</w:t>
      </w:r>
      <w:r>
        <w:rPr>
          <w:spacing w:val="-9"/>
        </w:rPr>
        <w:t> </w:t>
      </w:r>
      <w:r>
        <w:rPr/>
        <w:t>la</w:t>
      </w:r>
      <w:r>
        <w:rPr>
          <w:spacing w:val="-10"/>
        </w:rPr>
        <w:t> </w:t>
      </w:r>
      <w:r>
        <w:rPr/>
        <w:t>eficiencia</w:t>
      </w:r>
      <w:r>
        <w:rPr>
          <w:spacing w:val="-5"/>
        </w:rPr>
        <w:t> </w:t>
      </w:r>
      <w:r>
        <w:rPr/>
        <w:t>y</w:t>
      </w:r>
      <w:r>
        <w:rPr>
          <w:spacing w:val="-12"/>
        </w:rPr>
        <w:t> </w:t>
      </w:r>
      <w:r>
        <w:rPr/>
        <w:t>eficacia</w:t>
      </w:r>
      <w:r>
        <w:rPr>
          <w:spacing w:val="-10"/>
        </w:rPr>
        <w:t> </w:t>
      </w:r>
      <w:r>
        <w:rPr/>
        <w:t>de</w:t>
      </w:r>
      <w:r>
        <w:rPr>
          <w:spacing w:val="-10"/>
        </w:rPr>
        <w:t> </w:t>
      </w:r>
      <w:r>
        <w:rPr/>
        <w:t>los</w:t>
      </w:r>
      <w:r>
        <w:rPr>
          <w:spacing w:val="-12"/>
        </w:rPr>
        <w:t> </w:t>
      </w:r>
      <w:r>
        <w:rPr/>
        <w:t>procesos</w:t>
      </w:r>
      <w:r>
        <w:rPr>
          <w:spacing w:val="-7"/>
        </w:rPr>
        <w:t> </w:t>
      </w:r>
      <w:r>
        <w:rPr/>
        <w:t>internos</w:t>
      </w:r>
      <w:r>
        <w:rPr>
          <w:spacing w:val="-12"/>
        </w:rPr>
        <w:t> </w:t>
      </w:r>
      <w:r>
        <w:rPr/>
        <w:t>de</w:t>
      </w:r>
      <w:r>
        <w:rPr>
          <w:spacing w:val="-5"/>
        </w:rPr>
        <w:t> </w:t>
      </w:r>
      <w:r>
        <w:rPr/>
        <w:t>la</w:t>
      </w:r>
      <w:r>
        <w:rPr>
          <w:spacing w:val="-5"/>
        </w:rPr>
        <w:t> </w:t>
      </w:r>
      <w:r>
        <w:rPr/>
        <w:t>institución, buscando</w:t>
      </w:r>
      <w:r>
        <w:rPr>
          <w:spacing w:val="40"/>
        </w:rPr>
        <w:t> </w:t>
      </w:r>
      <w:r>
        <w:rPr/>
        <w:t>fortalecer</w:t>
      </w:r>
      <w:r>
        <w:rPr>
          <w:spacing w:val="40"/>
        </w:rPr>
        <w:t> </w:t>
      </w:r>
      <w:r>
        <w:rPr/>
        <w:t>el</w:t>
      </w:r>
      <w:r>
        <w:rPr>
          <w:spacing w:val="40"/>
        </w:rPr>
        <w:t> </w:t>
      </w:r>
      <w:r>
        <w:rPr/>
        <w:t>sistema</w:t>
      </w:r>
      <w:r>
        <w:rPr>
          <w:spacing w:val="40"/>
        </w:rPr>
        <w:t> </w:t>
      </w:r>
      <w:r>
        <w:rPr/>
        <w:t>de</w:t>
      </w:r>
      <w:r>
        <w:rPr>
          <w:spacing w:val="40"/>
        </w:rPr>
        <w:t> </w:t>
      </w:r>
      <w:r>
        <w:rPr/>
        <w:t>seguimiento</w:t>
      </w:r>
      <w:r>
        <w:rPr>
          <w:spacing w:val="40"/>
        </w:rPr>
        <w:t> </w:t>
      </w:r>
      <w:r>
        <w:rPr/>
        <w:t>para</w:t>
      </w:r>
      <w:r>
        <w:rPr>
          <w:spacing w:val="40"/>
        </w:rPr>
        <w:t> </w:t>
      </w:r>
      <w:r>
        <w:rPr/>
        <w:t>medir</w:t>
      </w:r>
      <w:r>
        <w:rPr>
          <w:spacing w:val="40"/>
        </w:rPr>
        <w:t> </w:t>
      </w:r>
      <w:r>
        <w:rPr/>
        <w:t>los</w:t>
      </w:r>
      <w:r>
        <w:rPr>
          <w:spacing w:val="40"/>
        </w:rPr>
        <w:t> </w:t>
      </w:r>
      <w:r>
        <w:rPr/>
        <w:t>resultados,</w:t>
      </w:r>
      <w:r>
        <w:rPr>
          <w:spacing w:val="40"/>
        </w:rPr>
        <w:t> </w:t>
      </w:r>
      <w:r>
        <w:rPr/>
        <w:t>lograr</w:t>
      </w:r>
      <w:r>
        <w:rPr>
          <w:spacing w:val="80"/>
        </w:rPr>
        <w:t> </w:t>
      </w:r>
      <w:r>
        <w:rPr/>
        <w:t>mayor</w:t>
      </w:r>
      <w:r>
        <w:rPr>
          <w:spacing w:val="40"/>
        </w:rPr>
        <w:t> </w:t>
      </w:r>
      <w:r>
        <w:rPr/>
        <w:t>transparencia y responsabilidad en la gestión pública; de manera que con las acciones de mejora que se diseñaron incidan en la percepción de nuestra población objetivo</w:t>
      </w:r>
      <w:r>
        <w:rPr>
          <w:spacing w:val="40"/>
        </w:rPr>
        <w:t> </w:t>
      </w:r>
      <w:r>
        <w:rPr/>
        <w:t>de manera positiva hacia los beneficios y servicios que brinda la institución.</w:t>
      </w:r>
    </w:p>
    <w:p>
      <w:pPr>
        <w:pStyle w:val="BodyText"/>
        <w:spacing w:before="249"/>
        <w:ind w:left="979" w:right="1349"/>
        <w:jc w:val="both"/>
      </w:pPr>
      <w:r>
        <w:rPr/>
        <w:t>De forma ilustrativa, el proceso de autoevaluación en el 2024 contempló las siguientes Unidades Locales de Desarrollo Social que se muestran a continuación:</w:t>
      </w:r>
    </w:p>
    <w:p>
      <w:pPr>
        <w:pStyle w:val="BodyText"/>
      </w:pPr>
    </w:p>
    <w:p>
      <w:pPr>
        <w:pStyle w:val="BodyText"/>
        <w:spacing w:before="20"/>
      </w:pPr>
    </w:p>
    <w:p>
      <w:pPr>
        <w:pStyle w:val="Heading2"/>
        <w:ind w:left="793" w:right="1020"/>
        <w:jc w:val="center"/>
      </w:pPr>
      <w:bookmarkStart w:name="_bookmark19" w:id="20"/>
      <w:bookmarkEnd w:id="20"/>
      <w:r>
        <w:rPr>
          <w:b w:val="0"/>
        </w:rPr>
      </w:r>
      <w:r>
        <w:rPr/>
        <w:t>Figura</w:t>
      </w:r>
      <w:r>
        <w:rPr>
          <w:spacing w:val="-7"/>
        </w:rPr>
        <w:t> </w:t>
      </w:r>
      <w:r>
        <w:rPr/>
        <w:t>2:</w:t>
      </w:r>
      <w:r>
        <w:rPr>
          <w:spacing w:val="49"/>
        </w:rPr>
        <w:t> </w:t>
      </w:r>
      <w:r>
        <w:rPr/>
        <w:t>ARDS-ULDS</w:t>
      </w:r>
      <w:r>
        <w:rPr>
          <w:spacing w:val="-4"/>
        </w:rPr>
        <w:t> </w:t>
      </w:r>
      <w:r>
        <w:rPr/>
        <w:t>participantes</w:t>
      </w:r>
      <w:r>
        <w:rPr>
          <w:spacing w:val="-4"/>
        </w:rPr>
        <w:t> </w:t>
      </w:r>
      <w:r>
        <w:rPr/>
        <w:t>del</w:t>
      </w:r>
      <w:r>
        <w:rPr>
          <w:spacing w:val="-9"/>
        </w:rPr>
        <w:t> </w:t>
      </w:r>
      <w:r>
        <w:rPr/>
        <w:t>proceso</w:t>
      </w:r>
      <w:r>
        <w:rPr>
          <w:spacing w:val="-6"/>
        </w:rPr>
        <w:t> </w:t>
      </w:r>
      <w:r>
        <w:rPr/>
        <w:t>de</w:t>
      </w:r>
      <w:r>
        <w:rPr>
          <w:spacing w:val="-8"/>
        </w:rPr>
        <w:t> </w:t>
      </w:r>
      <w:r>
        <w:rPr/>
        <w:t>Autoevaluación</w:t>
      </w:r>
      <w:r>
        <w:rPr>
          <w:spacing w:val="-10"/>
        </w:rPr>
        <w:t> </w:t>
      </w:r>
      <w:r>
        <w:rPr>
          <w:spacing w:val="-4"/>
        </w:rPr>
        <w:t>2024</w:t>
      </w:r>
    </w:p>
    <w:p>
      <w:pPr>
        <w:pStyle w:val="BodyText"/>
        <w:spacing w:before="4"/>
        <w:rPr>
          <w:b/>
          <w:sz w:val="20"/>
        </w:rPr>
      </w:pPr>
      <w:r>
        <w:rPr>
          <w:b/>
          <w:sz w:val="20"/>
        </w:rPr>
        <mc:AlternateContent>
          <mc:Choice Requires="wps">
            <w:drawing>
              <wp:anchor distT="0" distB="0" distL="0" distR="0" allowOverlap="1" layoutInCell="1" locked="0" behindDoc="1" simplePos="0" relativeHeight="487589376">
                <wp:simplePos x="0" y="0"/>
                <wp:positionH relativeFrom="page">
                  <wp:posOffset>1463039</wp:posOffset>
                </wp:positionH>
                <wp:positionV relativeFrom="paragraph">
                  <wp:posOffset>163833</wp:posOffset>
                </wp:positionV>
                <wp:extent cx="5835015" cy="3359150"/>
                <wp:effectExtent l="0" t="0" r="0" b="0"/>
                <wp:wrapTopAndBottom/>
                <wp:docPr id="32" name="Group 32"/>
                <wp:cNvGraphicFramePr>
                  <a:graphicFrameLocks/>
                </wp:cNvGraphicFramePr>
                <a:graphic>
                  <a:graphicData uri="http://schemas.microsoft.com/office/word/2010/wordprocessingGroup">
                    <wpg:wgp>
                      <wpg:cNvPr id="32" name="Group 32"/>
                      <wpg:cNvGrpSpPr/>
                      <wpg:grpSpPr>
                        <a:xfrm>
                          <a:off x="0" y="0"/>
                          <a:ext cx="5835015" cy="3359150"/>
                          <a:chExt cx="5835015" cy="3359150"/>
                        </a:xfrm>
                      </wpg:grpSpPr>
                      <wps:wsp>
                        <wps:cNvPr id="33" name="Graphic 33"/>
                        <wps:cNvSpPr/>
                        <wps:spPr>
                          <a:xfrm>
                            <a:off x="263016" y="251459"/>
                            <a:ext cx="142875" cy="1182370"/>
                          </a:xfrm>
                          <a:custGeom>
                            <a:avLst/>
                            <a:gdLst/>
                            <a:ahLst/>
                            <a:cxnLst/>
                            <a:rect l="l" t="t" r="r" b="b"/>
                            <a:pathLst>
                              <a:path w="142875" h="1182370">
                                <a:moveTo>
                                  <a:pt x="142862" y="0"/>
                                </a:moveTo>
                                <a:lnTo>
                                  <a:pt x="0" y="0"/>
                                </a:lnTo>
                                <a:lnTo>
                                  <a:pt x="0" y="1181862"/>
                                </a:lnTo>
                                <a:lnTo>
                                  <a:pt x="142862" y="1181862"/>
                                </a:lnTo>
                                <a:lnTo>
                                  <a:pt x="142862" y="0"/>
                                </a:lnTo>
                                <a:close/>
                              </a:path>
                            </a:pathLst>
                          </a:custGeom>
                          <a:solidFill>
                            <a:srgbClr val="B1C1DB"/>
                          </a:solidFill>
                        </wps:spPr>
                        <wps:bodyPr wrap="square" lIns="0" tIns="0" rIns="0" bIns="0" rtlCol="0">
                          <a:prstTxWarp prst="textNoShape">
                            <a:avLst/>
                          </a:prstTxWarp>
                          <a:noAutofit/>
                        </wps:bodyPr>
                      </wps:wsp>
                      <wps:wsp>
                        <wps:cNvPr id="34" name="Graphic 34"/>
                        <wps:cNvSpPr/>
                        <wps:spPr>
                          <a:xfrm>
                            <a:off x="12700" y="12700"/>
                            <a:ext cx="1587500" cy="952500"/>
                          </a:xfrm>
                          <a:custGeom>
                            <a:avLst/>
                            <a:gdLst/>
                            <a:ahLst/>
                            <a:cxnLst/>
                            <a:rect l="l" t="t" r="r" b="b"/>
                            <a:pathLst>
                              <a:path w="1587500" h="952500">
                                <a:moveTo>
                                  <a:pt x="1492123" y="0"/>
                                </a:moveTo>
                                <a:lnTo>
                                  <a:pt x="95122" y="0"/>
                                </a:lnTo>
                                <a:lnTo>
                                  <a:pt x="58078" y="7471"/>
                                </a:lnTo>
                                <a:lnTo>
                                  <a:pt x="27844" y="27860"/>
                                </a:lnTo>
                                <a:lnTo>
                                  <a:pt x="7469" y="58132"/>
                                </a:lnTo>
                                <a:lnTo>
                                  <a:pt x="0" y="95250"/>
                                </a:lnTo>
                                <a:lnTo>
                                  <a:pt x="0" y="857123"/>
                                </a:lnTo>
                                <a:lnTo>
                                  <a:pt x="7469" y="894187"/>
                                </a:lnTo>
                                <a:lnTo>
                                  <a:pt x="27844" y="924464"/>
                                </a:lnTo>
                                <a:lnTo>
                                  <a:pt x="58078" y="944883"/>
                                </a:lnTo>
                                <a:lnTo>
                                  <a:pt x="95122" y="952373"/>
                                </a:lnTo>
                                <a:lnTo>
                                  <a:pt x="1492123" y="952373"/>
                                </a:lnTo>
                                <a:lnTo>
                                  <a:pt x="1529167" y="944883"/>
                                </a:lnTo>
                                <a:lnTo>
                                  <a:pt x="1559401" y="924464"/>
                                </a:lnTo>
                                <a:lnTo>
                                  <a:pt x="1579776" y="894187"/>
                                </a:lnTo>
                                <a:lnTo>
                                  <a:pt x="1587246" y="857123"/>
                                </a:lnTo>
                                <a:lnTo>
                                  <a:pt x="1587246" y="95250"/>
                                </a:lnTo>
                                <a:lnTo>
                                  <a:pt x="1579776" y="58132"/>
                                </a:lnTo>
                                <a:lnTo>
                                  <a:pt x="1559401" y="27860"/>
                                </a:lnTo>
                                <a:lnTo>
                                  <a:pt x="1529167" y="7471"/>
                                </a:lnTo>
                                <a:lnTo>
                                  <a:pt x="1492123" y="0"/>
                                </a:lnTo>
                                <a:close/>
                              </a:path>
                            </a:pathLst>
                          </a:custGeom>
                          <a:solidFill>
                            <a:srgbClr val="FFFFFF"/>
                          </a:solidFill>
                        </wps:spPr>
                        <wps:bodyPr wrap="square" lIns="0" tIns="0" rIns="0" bIns="0" rtlCol="0">
                          <a:prstTxWarp prst="textNoShape">
                            <a:avLst/>
                          </a:prstTxWarp>
                          <a:noAutofit/>
                        </wps:bodyPr>
                      </wps:wsp>
                      <wps:wsp>
                        <wps:cNvPr id="35" name="Graphic 35"/>
                        <wps:cNvSpPr/>
                        <wps:spPr>
                          <a:xfrm>
                            <a:off x="12700" y="12700"/>
                            <a:ext cx="1587500" cy="952500"/>
                          </a:xfrm>
                          <a:custGeom>
                            <a:avLst/>
                            <a:gdLst/>
                            <a:ahLst/>
                            <a:cxnLst/>
                            <a:rect l="l" t="t" r="r" b="b"/>
                            <a:pathLst>
                              <a:path w="1587500" h="952500">
                                <a:moveTo>
                                  <a:pt x="0" y="95250"/>
                                </a:moveTo>
                                <a:lnTo>
                                  <a:pt x="7469" y="58132"/>
                                </a:lnTo>
                                <a:lnTo>
                                  <a:pt x="27844" y="27860"/>
                                </a:lnTo>
                                <a:lnTo>
                                  <a:pt x="58078" y="7471"/>
                                </a:lnTo>
                                <a:lnTo>
                                  <a:pt x="95122" y="0"/>
                                </a:lnTo>
                                <a:lnTo>
                                  <a:pt x="1492123" y="0"/>
                                </a:lnTo>
                                <a:lnTo>
                                  <a:pt x="1529167" y="7471"/>
                                </a:lnTo>
                                <a:lnTo>
                                  <a:pt x="1559401" y="27860"/>
                                </a:lnTo>
                                <a:lnTo>
                                  <a:pt x="1579776" y="58132"/>
                                </a:lnTo>
                                <a:lnTo>
                                  <a:pt x="1587246" y="95250"/>
                                </a:lnTo>
                                <a:lnTo>
                                  <a:pt x="1587246" y="857123"/>
                                </a:lnTo>
                                <a:lnTo>
                                  <a:pt x="1579776" y="894187"/>
                                </a:lnTo>
                                <a:lnTo>
                                  <a:pt x="1559401" y="924464"/>
                                </a:lnTo>
                                <a:lnTo>
                                  <a:pt x="1529167" y="944883"/>
                                </a:lnTo>
                                <a:lnTo>
                                  <a:pt x="1492123" y="952373"/>
                                </a:lnTo>
                                <a:lnTo>
                                  <a:pt x="95122" y="952373"/>
                                </a:lnTo>
                                <a:lnTo>
                                  <a:pt x="58078" y="944883"/>
                                </a:lnTo>
                                <a:lnTo>
                                  <a:pt x="27844" y="924464"/>
                                </a:lnTo>
                                <a:lnTo>
                                  <a:pt x="7469" y="894187"/>
                                </a:lnTo>
                                <a:lnTo>
                                  <a:pt x="0" y="857123"/>
                                </a:lnTo>
                                <a:lnTo>
                                  <a:pt x="0" y="95250"/>
                                </a:lnTo>
                                <a:close/>
                              </a:path>
                            </a:pathLst>
                          </a:custGeom>
                          <a:ln w="25400">
                            <a:solidFill>
                              <a:srgbClr val="4674AB"/>
                            </a:solidFill>
                            <a:prstDash val="solid"/>
                          </a:ln>
                        </wps:spPr>
                        <wps:bodyPr wrap="square" lIns="0" tIns="0" rIns="0" bIns="0" rtlCol="0">
                          <a:prstTxWarp prst="textNoShape">
                            <a:avLst/>
                          </a:prstTxWarp>
                          <a:noAutofit/>
                        </wps:bodyPr>
                      </wps:wsp>
                      <wps:wsp>
                        <wps:cNvPr id="36" name="Graphic 36"/>
                        <wps:cNvSpPr/>
                        <wps:spPr>
                          <a:xfrm>
                            <a:off x="263016" y="1441958"/>
                            <a:ext cx="142875" cy="1182370"/>
                          </a:xfrm>
                          <a:custGeom>
                            <a:avLst/>
                            <a:gdLst/>
                            <a:ahLst/>
                            <a:cxnLst/>
                            <a:rect l="l" t="t" r="r" b="b"/>
                            <a:pathLst>
                              <a:path w="142875" h="1182370">
                                <a:moveTo>
                                  <a:pt x="142862" y="0"/>
                                </a:moveTo>
                                <a:lnTo>
                                  <a:pt x="0" y="0"/>
                                </a:lnTo>
                                <a:lnTo>
                                  <a:pt x="0" y="1181862"/>
                                </a:lnTo>
                                <a:lnTo>
                                  <a:pt x="142862" y="1181862"/>
                                </a:lnTo>
                                <a:lnTo>
                                  <a:pt x="142862" y="0"/>
                                </a:lnTo>
                                <a:close/>
                              </a:path>
                            </a:pathLst>
                          </a:custGeom>
                          <a:solidFill>
                            <a:srgbClr val="B1C1DB"/>
                          </a:solidFill>
                        </wps:spPr>
                        <wps:bodyPr wrap="square" lIns="0" tIns="0" rIns="0" bIns="0" rtlCol="0">
                          <a:prstTxWarp prst="textNoShape">
                            <a:avLst/>
                          </a:prstTxWarp>
                          <a:noAutofit/>
                        </wps:bodyPr>
                      </wps:wsp>
                      <wps:wsp>
                        <wps:cNvPr id="37" name="Graphic 37"/>
                        <wps:cNvSpPr/>
                        <wps:spPr>
                          <a:xfrm>
                            <a:off x="12700" y="1203197"/>
                            <a:ext cx="1587500" cy="952500"/>
                          </a:xfrm>
                          <a:custGeom>
                            <a:avLst/>
                            <a:gdLst/>
                            <a:ahLst/>
                            <a:cxnLst/>
                            <a:rect l="l" t="t" r="r" b="b"/>
                            <a:pathLst>
                              <a:path w="1587500" h="952500">
                                <a:moveTo>
                                  <a:pt x="1492123" y="0"/>
                                </a:moveTo>
                                <a:lnTo>
                                  <a:pt x="95122" y="0"/>
                                </a:lnTo>
                                <a:lnTo>
                                  <a:pt x="58078" y="7489"/>
                                </a:lnTo>
                                <a:lnTo>
                                  <a:pt x="27844" y="27908"/>
                                </a:lnTo>
                                <a:lnTo>
                                  <a:pt x="7469" y="58185"/>
                                </a:lnTo>
                                <a:lnTo>
                                  <a:pt x="0" y="95250"/>
                                </a:lnTo>
                                <a:lnTo>
                                  <a:pt x="0" y="857122"/>
                                </a:lnTo>
                                <a:lnTo>
                                  <a:pt x="7469" y="894187"/>
                                </a:lnTo>
                                <a:lnTo>
                                  <a:pt x="27844" y="924464"/>
                                </a:lnTo>
                                <a:lnTo>
                                  <a:pt x="58078" y="944883"/>
                                </a:lnTo>
                                <a:lnTo>
                                  <a:pt x="95122" y="952372"/>
                                </a:lnTo>
                                <a:lnTo>
                                  <a:pt x="1492123" y="952372"/>
                                </a:lnTo>
                                <a:lnTo>
                                  <a:pt x="1529167" y="944883"/>
                                </a:lnTo>
                                <a:lnTo>
                                  <a:pt x="1559401" y="924464"/>
                                </a:lnTo>
                                <a:lnTo>
                                  <a:pt x="1579776" y="894187"/>
                                </a:lnTo>
                                <a:lnTo>
                                  <a:pt x="1587246" y="857122"/>
                                </a:lnTo>
                                <a:lnTo>
                                  <a:pt x="1587246" y="95250"/>
                                </a:lnTo>
                                <a:lnTo>
                                  <a:pt x="1579776" y="58185"/>
                                </a:lnTo>
                                <a:lnTo>
                                  <a:pt x="1559401" y="27908"/>
                                </a:lnTo>
                                <a:lnTo>
                                  <a:pt x="1529167" y="7489"/>
                                </a:lnTo>
                                <a:lnTo>
                                  <a:pt x="1492123" y="0"/>
                                </a:lnTo>
                                <a:close/>
                              </a:path>
                            </a:pathLst>
                          </a:custGeom>
                          <a:solidFill>
                            <a:srgbClr val="FFFFFF"/>
                          </a:solidFill>
                        </wps:spPr>
                        <wps:bodyPr wrap="square" lIns="0" tIns="0" rIns="0" bIns="0" rtlCol="0">
                          <a:prstTxWarp prst="textNoShape">
                            <a:avLst/>
                          </a:prstTxWarp>
                          <a:noAutofit/>
                        </wps:bodyPr>
                      </wps:wsp>
                      <wps:wsp>
                        <wps:cNvPr id="38" name="Graphic 38"/>
                        <wps:cNvSpPr/>
                        <wps:spPr>
                          <a:xfrm>
                            <a:off x="12700" y="1203197"/>
                            <a:ext cx="1587500" cy="952500"/>
                          </a:xfrm>
                          <a:custGeom>
                            <a:avLst/>
                            <a:gdLst/>
                            <a:ahLst/>
                            <a:cxnLst/>
                            <a:rect l="l" t="t" r="r" b="b"/>
                            <a:pathLst>
                              <a:path w="1587500" h="952500">
                                <a:moveTo>
                                  <a:pt x="0" y="95250"/>
                                </a:moveTo>
                                <a:lnTo>
                                  <a:pt x="7469" y="58185"/>
                                </a:lnTo>
                                <a:lnTo>
                                  <a:pt x="27844" y="27908"/>
                                </a:lnTo>
                                <a:lnTo>
                                  <a:pt x="58078" y="7489"/>
                                </a:lnTo>
                                <a:lnTo>
                                  <a:pt x="95122" y="0"/>
                                </a:lnTo>
                                <a:lnTo>
                                  <a:pt x="1492123" y="0"/>
                                </a:lnTo>
                                <a:lnTo>
                                  <a:pt x="1529167" y="7489"/>
                                </a:lnTo>
                                <a:lnTo>
                                  <a:pt x="1559401" y="27908"/>
                                </a:lnTo>
                                <a:lnTo>
                                  <a:pt x="1579776" y="58185"/>
                                </a:lnTo>
                                <a:lnTo>
                                  <a:pt x="1587246" y="95250"/>
                                </a:lnTo>
                                <a:lnTo>
                                  <a:pt x="1587246" y="857122"/>
                                </a:lnTo>
                                <a:lnTo>
                                  <a:pt x="1579776" y="894187"/>
                                </a:lnTo>
                                <a:lnTo>
                                  <a:pt x="1559401" y="924464"/>
                                </a:lnTo>
                                <a:lnTo>
                                  <a:pt x="1529167" y="944883"/>
                                </a:lnTo>
                                <a:lnTo>
                                  <a:pt x="1492123" y="952372"/>
                                </a:lnTo>
                                <a:lnTo>
                                  <a:pt x="95122" y="952372"/>
                                </a:lnTo>
                                <a:lnTo>
                                  <a:pt x="58078" y="944883"/>
                                </a:lnTo>
                                <a:lnTo>
                                  <a:pt x="27844" y="924464"/>
                                </a:lnTo>
                                <a:lnTo>
                                  <a:pt x="7469" y="894187"/>
                                </a:lnTo>
                                <a:lnTo>
                                  <a:pt x="0" y="857122"/>
                                </a:lnTo>
                                <a:lnTo>
                                  <a:pt x="0" y="95250"/>
                                </a:lnTo>
                                <a:close/>
                              </a:path>
                            </a:pathLst>
                          </a:custGeom>
                          <a:ln w="25400">
                            <a:solidFill>
                              <a:srgbClr val="4674AB"/>
                            </a:solidFill>
                            <a:prstDash val="solid"/>
                          </a:ln>
                        </wps:spPr>
                        <wps:bodyPr wrap="square" lIns="0" tIns="0" rIns="0" bIns="0" rtlCol="0">
                          <a:prstTxWarp prst="textNoShape">
                            <a:avLst/>
                          </a:prstTxWarp>
                          <a:noAutofit/>
                        </wps:bodyPr>
                      </wps:wsp>
                      <wps:wsp>
                        <wps:cNvPr id="39" name="Graphic 39"/>
                        <wps:cNvSpPr/>
                        <wps:spPr>
                          <a:xfrm>
                            <a:off x="338836" y="2556776"/>
                            <a:ext cx="2102485" cy="142875"/>
                          </a:xfrm>
                          <a:custGeom>
                            <a:avLst/>
                            <a:gdLst/>
                            <a:ahLst/>
                            <a:cxnLst/>
                            <a:rect l="l" t="t" r="r" b="b"/>
                            <a:pathLst>
                              <a:path w="2102485" h="142875">
                                <a:moveTo>
                                  <a:pt x="2102485" y="0"/>
                                </a:moveTo>
                                <a:lnTo>
                                  <a:pt x="0" y="0"/>
                                </a:lnTo>
                                <a:lnTo>
                                  <a:pt x="0" y="142862"/>
                                </a:lnTo>
                                <a:lnTo>
                                  <a:pt x="2102485" y="142862"/>
                                </a:lnTo>
                                <a:lnTo>
                                  <a:pt x="2102485" y="0"/>
                                </a:lnTo>
                                <a:close/>
                              </a:path>
                            </a:pathLst>
                          </a:custGeom>
                          <a:solidFill>
                            <a:srgbClr val="B1C1DB"/>
                          </a:solidFill>
                        </wps:spPr>
                        <wps:bodyPr wrap="square" lIns="0" tIns="0" rIns="0" bIns="0" rtlCol="0">
                          <a:prstTxWarp prst="textNoShape">
                            <a:avLst/>
                          </a:prstTxWarp>
                          <a:noAutofit/>
                        </wps:bodyPr>
                      </wps:wsp>
                      <wps:wsp>
                        <wps:cNvPr id="40" name="Graphic 40"/>
                        <wps:cNvSpPr/>
                        <wps:spPr>
                          <a:xfrm>
                            <a:off x="12700" y="2393695"/>
                            <a:ext cx="1587500" cy="952500"/>
                          </a:xfrm>
                          <a:custGeom>
                            <a:avLst/>
                            <a:gdLst/>
                            <a:ahLst/>
                            <a:cxnLst/>
                            <a:rect l="l" t="t" r="r" b="b"/>
                            <a:pathLst>
                              <a:path w="1587500" h="952500">
                                <a:moveTo>
                                  <a:pt x="1492123" y="0"/>
                                </a:moveTo>
                                <a:lnTo>
                                  <a:pt x="95122" y="0"/>
                                </a:lnTo>
                                <a:lnTo>
                                  <a:pt x="58078" y="7489"/>
                                </a:lnTo>
                                <a:lnTo>
                                  <a:pt x="27844" y="27908"/>
                                </a:lnTo>
                                <a:lnTo>
                                  <a:pt x="7469" y="58185"/>
                                </a:lnTo>
                                <a:lnTo>
                                  <a:pt x="0" y="95249"/>
                                </a:lnTo>
                                <a:lnTo>
                                  <a:pt x="0" y="857122"/>
                                </a:lnTo>
                                <a:lnTo>
                                  <a:pt x="7469" y="894240"/>
                                </a:lnTo>
                                <a:lnTo>
                                  <a:pt x="27844" y="924512"/>
                                </a:lnTo>
                                <a:lnTo>
                                  <a:pt x="58078" y="944901"/>
                                </a:lnTo>
                                <a:lnTo>
                                  <a:pt x="95122" y="952372"/>
                                </a:lnTo>
                                <a:lnTo>
                                  <a:pt x="1492123" y="952372"/>
                                </a:lnTo>
                                <a:lnTo>
                                  <a:pt x="1529167" y="944901"/>
                                </a:lnTo>
                                <a:lnTo>
                                  <a:pt x="1559401" y="924512"/>
                                </a:lnTo>
                                <a:lnTo>
                                  <a:pt x="1579776" y="894240"/>
                                </a:lnTo>
                                <a:lnTo>
                                  <a:pt x="1587246" y="857122"/>
                                </a:lnTo>
                                <a:lnTo>
                                  <a:pt x="1587246" y="95249"/>
                                </a:lnTo>
                                <a:lnTo>
                                  <a:pt x="1579776" y="58185"/>
                                </a:lnTo>
                                <a:lnTo>
                                  <a:pt x="1559401" y="27908"/>
                                </a:lnTo>
                                <a:lnTo>
                                  <a:pt x="1529167" y="7489"/>
                                </a:lnTo>
                                <a:lnTo>
                                  <a:pt x="1492123" y="0"/>
                                </a:lnTo>
                                <a:close/>
                              </a:path>
                            </a:pathLst>
                          </a:custGeom>
                          <a:solidFill>
                            <a:srgbClr val="FFFFFF"/>
                          </a:solidFill>
                        </wps:spPr>
                        <wps:bodyPr wrap="square" lIns="0" tIns="0" rIns="0" bIns="0" rtlCol="0">
                          <a:prstTxWarp prst="textNoShape">
                            <a:avLst/>
                          </a:prstTxWarp>
                          <a:noAutofit/>
                        </wps:bodyPr>
                      </wps:wsp>
                      <wps:wsp>
                        <wps:cNvPr id="41" name="Graphic 41"/>
                        <wps:cNvSpPr/>
                        <wps:spPr>
                          <a:xfrm>
                            <a:off x="12700" y="2393695"/>
                            <a:ext cx="1587500" cy="952500"/>
                          </a:xfrm>
                          <a:custGeom>
                            <a:avLst/>
                            <a:gdLst/>
                            <a:ahLst/>
                            <a:cxnLst/>
                            <a:rect l="l" t="t" r="r" b="b"/>
                            <a:pathLst>
                              <a:path w="1587500" h="952500">
                                <a:moveTo>
                                  <a:pt x="0" y="95249"/>
                                </a:moveTo>
                                <a:lnTo>
                                  <a:pt x="7469" y="58185"/>
                                </a:lnTo>
                                <a:lnTo>
                                  <a:pt x="27844" y="27908"/>
                                </a:lnTo>
                                <a:lnTo>
                                  <a:pt x="58078" y="7489"/>
                                </a:lnTo>
                                <a:lnTo>
                                  <a:pt x="95122" y="0"/>
                                </a:lnTo>
                                <a:lnTo>
                                  <a:pt x="1492123" y="0"/>
                                </a:lnTo>
                                <a:lnTo>
                                  <a:pt x="1529167" y="7489"/>
                                </a:lnTo>
                                <a:lnTo>
                                  <a:pt x="1559401" y="27908"/>
                                </a:lnTo>
                                <a:lnTo>
                                  <a:pt x="1579776" y="58185"/>
                                </a:lnTo>
                                <a:lnTo>
                                  <a:pt x="1587246" y="95249"/>
                                </a:lnTo>
                                <a:lnTo>
                                  <a:pt x="1587246" y="857122"/>
                                </a:lnTo>
                                <a:lnTo>
                                  <a:pt x="1579776" y="894240"/>
                                </a:lnTo>
                                <a:lnTo>
                                  <a:pt x="1559401" y="924512"/>
                                </a:lnTo>
                                <a:lnTo>
                                  <a:pt x="1529167" y="944901"/>
                                </a:lnTo>
                                <a:lnTo>
                                  <a:pt x="1492123" y="952372"/>
                                </a:lnTo>
                                <a:lnTo>
                                  <a:pt x="95122" y="952372"/>
                                </a:lnTo>
                                <a:lnTo>
                                  <a:pt x="58078" y="944901"/>
                                </a:lnTo>
                                <a:lnTo>
                                  <a:pt x="27844" y="924512"/>
                                </a:lnTo>
                                <a:lnTo>
                                  <a:pt x="7469" y="894240"/>
                                </a:lnTo>
                                <a:lnTo>
                                  <a:pt x="0" y="857122"/>
                                </a:lnTo>
                                <a:lnTo>
                                  <a:pt x="0" y="95249"/>
                                </a:lnTo>
                                <a:close/>
                              </a:path>
                            </a:pathLst>
                          </a:custGeom>
                          <a:ln w="25400">
                            <a:solidFill>
                              <a:srgbClr val="4674AB"/>
                            </a:solidFill>
                            <a:prstDash val="solid"/>
                          </a:ln>
                        </wps:spPr>
                        <wps:bodyPr wrap="square" lIns="0" tIns="0" rIns="0" bIns="0" rtlCol="0">
                          <a:prstTxWarp prst="textNoShape">
                            <a:avLst/>
                          </a:prstTxWarp>
                          <a:noAutofit/>
                        </wps:bodyPr>
                      </wps:wsp>
                      <wps:wsp>
                        <wps:cNvPr id="42" name="Graphic 42"/>
                        <wps:cNvSpPr/>
                        <wps:spPr>
                          <a:xfrm>
                            <a:off x="2374138" y="1441958"/>
                            <a:ext cx="142875" cy="1182370"/>
                          </a:xfrm>
                          <a:custGeom>
                            <a:avLst/>
                            <a:gdLst/>
                            <a:ahLst/>
                            <a:cxnLst/>
                            <a:rect l="l" t="t" r="r" b="b"/>
                            <a:pathLst>
                              <a:path w="142875" h="1182370">
                                <a:moveTo>
                                  <a:pt x="142862" y="0"/>
                                </a:moveTo>
                                <a:lnTo>
                                  <a:pt x="0" y="0"/>
                                </a:lnTo>
                                <a:lnTo>
                                  <a:pt x="0" y="1181862"/>
                                </a:lnTo>
                                <a:lnTo>
                                  <a:pt x="142862" y="1181862"/>
                                </a:lnTo>
                                <a:lnTo>
                                  <a:pt x="142862" y="0"/>
                                </a:lnTo>
                                <a:close/>
                              </a:path>
                            </a:pathLst>
                          </a:custGeom>
                          <a:solidFill>
                            <a:srgbClr val="B1C1DB"/>
                          </a:solidFill>
                        </wps:spPr>
                        <wps:bodyPr wrap="square" lIns="0" tIns="0" rIns="0" bIns="0" rtlCol="0">
                          <a:prstTxWarp prst="textNoShape">
                            <a:avLst/>
                          </a:prstTxWarp>
                          <a:noAutofit/>
                        </wps:bodyPr>
                      </wps:wsp>
                      <wps:wsp>
                        <wps:cNvPr id="43" name="Graphic 43"/>
                        <wps:cNvSpPr/>
                        <wps:spPr>
                          <a:xfrm>
                            <a:off x="2123820" y="2393695"/>
                            <a:ext cx="1587500" cy="952500"/>
                          </a:xfrm>
                          <a:custGeom>
                            <a:avLst/>
                            <a:gdLst/>
                            <a:ahLst/>
                            <a:cxnLst/>
                            <a:rect l="l" t="t" r="r" b="b"/>
                            <a:pathLst>
                              <a:path w="1587500" h="952500">
                                <a:moveTo>
                                  <a:pt x="1492123" y="0"/>
                                </a:moveTo>
                                <a:lnTo>
                                  <a:pt x="95250" y="0"/>
                                </a:lnTo>
                                <a:lnTo>
                                  <a:pt x="58185" y="7489"/>
                                </a:lnTo>
                                <a:lnTo>
                                  <a:pt x="27908" y="27908"/>
                                </a:lnTo>
                                <a:lnTo>
                                  <a:pt x="7489" y="58185"/>
                                </a:lnTo>
                                <a:lnTo>
                                  <a:pt x="0" y="95249"/>
                                </a:lnTo>
                                <a:lnTo>
                                  <a:pt x="0" y="857122"/>
                                </a:lnTo>
                                <a:lnTo>
                                  <a:pt x="7489" y="894240"/>
                                </a:lnTo>
                                <a:lnTo>
                                  <a:pt x="27908" y="924512"/>
                                </a:lnTo>
                                <a:lnTo>
                                  <a:pt x="58185" y="944901"/>
                                </a:lnTo>
                                <a:lnTo>
                                  <a:pt x="95250" y="952372"/>
                                </a:lnTo>
                                <a:lnTo>
                                  <a:pt x="1492123" y="952372"/>
                                </a:lnTo>
                                <a:lnTo>
                                  <a:pt x="1529187" y="944901"/>
                                </a:lnTo>
                                <a:lnTo>
                                  <a:pt x="1559464" y="924512"/>
                                </a:lnTo>
                                <a:lnTo>
                                  <a:pt x="1579883" y="894240"/>
                                </a:lnTo>
                                <a:lnTo>
                                  <a:pt x="1587373" y="857122"/>
                                </a:lnTo>
                                <a:lnTo>
                                  <a:pt x="1587373" y="95249"/>
                                </a:lnTo>
                                <a:lnTo>
                                  <a:pt x="1579883" y="58185"/>
                                </a:lnTo>
                                <a:lnTo>
                                  <a:pt x="1559464" y="27908"/>
                                </a:lnTo>
                                <a:lnTo>
                                  <a:pt x="1529187" y="7489"/>
                                </a:lnTo>
                                <a:lnTo>
                                  <a:pt x="1492123" y="0"/>
                                </a:lnTo>
                                <a:close/>
                              </a:path>
                            </a:pathLst>
                          </a:custGeom>
                          <a:solidFill>
                            <a:srgbClr val="FFFFFF"/>
                          </a:solidFill>
                        </wps:spPr>
                        <wps:bodyPr wrap="square" lIns="0" tIns="0" rIns="0" bIns="0" rtlCol="0">
                          <a:prstTxWarp prst="textNoShape">
                            <a:avLst/>
                          </a:prstTxWarp>
                          <a:noAutofit/>
                        </wps:bodyPr>
                      </wps:wsp>
                      <wps:wsp>
                        <wps:cNvPr id="44" name="Graphic 44"/>
                        <wps:cNvSpPr/>
                        <wps:spPr>
                          <a:xfrm>
                            <a:off x="2123820" y="2393695"/>
                            <a:ext cx="1587500" cy="952500"/>
                          </a:xfrm>
                          <a:custGeom>
                            <a:avLst/>
                            <a:gdLst/>
                            <a:ahLst/>
                            <a:cxnLst/>
                            <a:rect l="l" t="t" r="r" b="b"/>
                            <a:pathLst>
                              <a:path w="1587500" h="952500">
                                <a:moveTo>
                                  <a:pt x="0" y="95249"/>
                                </a:moveTo>
                                <a:lnTo>
                                  <a:pt x="7489" y="58185"/>
                                </a:lnTo>
                                <a:lnTo>
                                  <a:pt x="27908" y="27908"/>
                                </a:lnTo>
                                <a:lnTo>
                                  <a:pt x="58185" y="7489"/>
                                </a:lnTo>
                                <a:lnTo>
                                  <a:pt x="95250" y="0"/>
                                </a:lnTo>
                                <a:lnTo>
                                  <a:pt x="1492123" y="0"/>
                                </a:lnTo>
                                <a:lnTo>
                                  <a:pt x="1529187" y="7489"/>
                                </a:lnTo>
                                <a:lnTo>
                                  <a:pt x="1559464" y="27908"/>
                                </a:lnTo>
                                <a:lnTo>
                                  <a:pt x="1579883" y="58185"/>
                                </a:lnTo>
                                <a:lnTo>
                                  <a:pt x="1587373" y="95249"/>
                                </a:lnTo>
                                <a:lnTo>
                                  <a:pt x="1587373" y="857122"/>
                                </a:lnTo>
                                <a:lnTo>
                                  <a:pt x="1579883" y="894240"/>
                                </a:lnTo>
                                <a:lnTo>
                                  <a:pt x="1559464" y="924512"/>
                                </a:lnTo>
                                <a:lnTo>
                                  <a:pt x="1529187" y="944901"/>
                                </a:lnTo>
                                <a:lnTo>
                                  <a:pt x="1492123" y="952372"/>
                                </a:lnTo>
                                <a:lnTo>
                                  <a:pt x="95250" y="952372"/>
                                </a:lnTo>
                                <a:lnTo>
                                  <a:pt x="58185" y="944901"/>
                                </a:lnTo>
                                <a:lnTo>
                                  <a:pt x="27908" y="924512"/>
                                </a:lnTo>
                                <a:lnTo>
                                  <a:pt x="7489" y="894240"/>
                                </a:lnTo>
                                <a:lnTo>
                                  <a:pt x="0" y="857122"/>
                                </a:lnTo>
                                <a:lnTo>
                                  <a:pt x="0" y="95249"/>
                                </a:lnTo>
                                <a:close/>
                              </a:path>
                            </a:pathLst>
                          </a:custGeom>
                          <a:ln w="25400">
                            <a:solidFill>
                              <a:srgbClr val="4674AB"/>
                            </a:solidFill>
                            <a:prstDash val="solid"/>
                          </a:ln>
                        </wps:spPr>
                        <wps:bodyPr wrap="square" lIns="0" tIns="0" rIns="0" bIns="0" rtlCol="0">
                          <a:prstTxWarp prst="textNoShape">
                            <a:avLst/>
                          </a:prstTxWarp>
                          <a:noAutofit/>
                        </wps:bodyPr>
                      </wps:wsp>
                      <wps:wsp>
                        <wps:cNvPr id="45" name="Graphic 45"/>
                        <wps:cNvSpPr/>
                        <wps:spPr>
                          <a:xfrm>
                            <a:off x="2374138" y="251459"/>
                            <a:ext cx="142875" cy="1182370"/>
                          </a:xfrm>
                          <a:custGeom>
                            <a:avLst/>
                            <a:gdLst/>
                            <a:ahLst/>
                            <a:cxnLst/>
                            <a:rect l="l" t="t" r="r" b="b"/>
                            <a:pathLst>
                              <a:path w="142875" h="1182370">
                                <a:moveTo>
                                  <a:pt x="142862" y="0"/>
                                </a:moveTo>
                                <a:lnTo>
                                  <a:pt x="0" y="0"/>
                                </a:lnTo>
                                <a:lnTo>
                                  <a:pt x="0" y="1181862"/>
                                </a:lnTo>
                                <a:lnTo>
                                  <a:pt x="142862" y="1181862"/>
                                </a:lnTo>
                                <a:lnTo>
                                  <a:pt x="142862" y="0"/>
                                </a:lnTo>
                                <a:close/>
                              </a:path>
                            </a:pathLst>
                          </a:custGeom>
                          <a:solidFill>
                            <a:srgbClr val="B1C1DB"/>
                          </a:solidFill>
                        </wps:spPr>
                        <wps:bodyPr wrap="square" lIns="0" tIns="0" rIns="0" bIns="0" rtlCol="0">
                          <a:prstTxWarp prst="textNoShape">
                            <a:avLst/>
                          </a:prstTxWarp>
                          <a:noAutofit/>
                        </wps:bodyPr>
                      </wps:wsp>
                      <wps:wsp>
                        <wps:cNvPr id="46" name="Graphic 46"/>
                        <wps:cNvSpPr/>
                        <wps:spPr>
                          <a:xfrm>
                            <a:off x="2123820" y="1203197"/>
                            <a:ext cx="1587500" cy="952500"/>
                          </a:xfrm>
                          <a:custGeom>
                            <a:avLst/>
                            <a:gdLst/>
                            <a:ahLst/>
                            <a:cxnLst/>
                            <a:rect l="l" t="t" r="r" b="b"/>
                            <a:pathLst>
                              <a:path w="1587500" h="952500">
                                <a:moveTo>
                                  <a:pt x="1492123" y="0"/>
                                </a:moveTo>
                                <a:lnTo>
                                  <a:pt x="95250" y="0"/>
                                </a:lnTo>
                                <a:lnTo>
                                  <a:pt x="58185" y="7489"/>
                                </a:lnTo>
                                <a:lnTo>
                                  <a:pt x="27908" y="27908"/>
                                </a:lnTo>
                                <a:lnTo>
                                  <a:pt x="7489" y="58185"/>
                                </a:lnTo>
                                <a:lnTo>
                                  <a:pt x="0" y="95250"/>
                                </a:lnTo>
                                <a:lnTo>
                                  <a:pt x="0" y="857122"/>
                                </a:lnTo>
                                <a:lnTo>
                                  <a:pt x="7489" y="894187"/>
                                </a:lnTo>
                                <a:lnTo>
                                  <a:pt x="27908" y="924464"/>
                                </a:lnTo>
                                <a:lnTo>
                                  <a:pt x="58185" y="944883"/>
                                </a:lnTo>
                                <a:lnTo>
                                  <a:pt x="95250" y="952372"/>
                                </a:lnTo>
                                <a:lnTo>
                                  <a:pt x="1492123" y="952372"/>
                                </a:lnTo>
                                <a:lnTo>
                                  <a:pt x="1529187" y="944883"/>
                                </a:lnTo>
                                <a:lnTo>
                                  <a:pt x="1559464" y="924464"/>
                                </a:lnTo>
                                <a:lnTo>
                                  <a:pt x="1579883" y="894187"/>
                                </a:lnTo>
                                <a:lnTo>
                                  <a:pt x="1587373" y="857122"/>
                                </a:lnTo>
                                <a:lnTo>
                                  <a:pt x="1587373" y="95250"/>
                                </a:lnTo>
                                <a:lnTo>
                                  <a:pt x="1579883" y="58185"/>
                                </a:lnTo>
                                <a:lnTo>
                                  <a:pt x="1559464" y="27908"/>
                                </a:lnTo>
                                <a:lnTo>
                                  <a:pt x="1529187" y="7489"/>
                                </a:lnTo>
                                <a:lnTo>
                                  <a:pt x="1492123" y="0"/>
                                </a:lnTo>
                                <a:close/>
                              </a:path>
                            </a:pathLst>
                          </a:custGeom>
                          <a:solidFill>
                            <a:srgbClr val="FFFFFF"/>
                          </a:solidFill>
                        </wps:spPr>
                        <wps:bodyPr wrap="square" lIns="0" tIns="0" rIns="0" bIns="0" rtlCol="0">
                          <a:prstTxWarp prst="textNoShape">
                            <a:avLst/>
                          </a:prstTxWarp>
                          <a:noAutofit/>
                        </wps:bodyPr>
                      </wps:wsp>
                      <wps:wsp>
                        <wps:cNvPr id="47" name="Graphic 47"/>
                        <wps:cNvSpPr/>
                        <wps:spPr>
                          <a:xfrm>
                            <a:off x="2123820" y="1203197"/>
                            <a:ext cx="1587500" cy="952500"/>
                          </a:xfrm>
                          <a:custGeom>
                            <a:avLst/>
                            <a:gdLst/>
                            <a:ahLst/>
                            <a:cxnLst/>
                            <a:rect l="l" t="t" r="r" b="b"/>
                            <a:pathLst>
                              <a:path w="1587500" h="952500">
                                <a:moveTo>
                                  <a:pt x="0" y="95250"/>
                                </a:moveTo>
                                <a:lnTo>
                                  <a:pt x="7489" y="58185"/>
                                </a:lnTo>
                                <a:lnTo>
                                  <a:pt x="27908" y="27908"/>
                                </a:lnTo>
                                <a:lnTo>
                                  <a:pt x="58185" y="7489"/>
                                </a:lnTo>
                                <a:lnTo>
                                  <a:pt x="95250" y="0"/>
                                </a:lnTo>
                                <a:lnTo>
                                  <a:pt x="1492123" y="0"/>
                                </a:lnTo>
                                <a:lnTo>
                                  <a:pt x="1529187" y="7489"/>
                                </a:lnTo>
                                <a:lnTo>
                                  <a:pt x="1559464" y="27908"/>
                                </a:lnTo>
                                <a:lnTo>
                                  <a:pt x="1579883" y="58185"/>
                                </a:lnTo>
                                <a:lnTo>
                                  <a:pt x="1587373" y="95250"/>
                                </a:lnTo>
                                <a:lnTo>
                                  <a:pt x="1587373" y="857122"/>
                                </a:lnTo>
                                <a:lnTo>
                                  <a:pt x="1579883" y="894187"/>
                                </a:lnTo>
                                <a:lnTo>
                                  <a:pt x="1559464" y="924464"/>
                                </a:lnTo>
                                <a:lnTo>
                                  <a:pt x="1529187" y="944883"/>
                                </a:lnTo>
                                <a:lnTo>
                                  <a:pt x="1492123" y="952372"/>
                                </a:lnTo>
                                <a:lnTo>
                                  <a:pt x="95250" y="952372"/>
                                </a:lnTo>
                                <a:lnTo>
                                  <a:pt x="58185" y="944883"/>
                                </a:lnTo>
                                <a:lnTo>
                                  <a:pt x="27908" y="924464"/>
                                </a:lnTo>
                                <a:lnTo>
                                  <a:pt x="7489" y="894187"/>
                                </a:lnTo>
                                <a:lnTo>
                                  <a:pt x="0" y="857122"/>
                                </a:lnTo>
                                <a:lnTo>
                                  <a:pt x="0" y="95250"/>
                                </a:lnTo>
                                <a:close/>
                              </a:path>
                            </a:pathLst>
                          </a:custGeom>
                          <a:ln w="25400">
                            <a:solidFill>
                              <a:srgbClr val="4674AB"/>
                            </a:solidFill>
                            <a:prstDash val="solid"/>
                          </a:ln>
                        </wps:spPr>
                        <wps:bodyPr wrap="square" lIns="0" tIns="0" rIns="0" bIns="0" rtlCol="0">
                          <a:prstTxWarp prst="textNoShape">
                            <a:avLst/>
                          </a:prstTxWarp>
                          <a:noAutofit/>
                        </wps:bodyPr>
                      </wps:wsp>
                      <wps:wsp>
                        <wps:cNvPr id="48" name="Graphic 48"/>
                        <wps:cNvSpPr/>
                        <wps:spPr>
                          <a:xfrm>
                            <a:off x="2449957" y="175780"/>
                            <a:ext cx="2102485" cy="142875"/>
                          </a:xfrm>
                          <a:custGeom>
                            <a:avLst/>
                            <a:gdLst/>
                            <a:ahLst/>
                            <a:cxnLst/>
                            <a:rect l="l" t="t" r="r" b="b"/>
                            <a:pathLst>
                              <a:path w="2102485" h="142875">
                                <a:moveTo>
                                  <a:pt x="2102485" y="0"/>
                                </a:moveTo>
                                <a:lnTo>
                                  <a:pt x="0" y="0"/>
                                </a:lnTo>
                                <a:lnTo>
                                  <a:pt x="0" y="142862"/>
                                </a:lnTo>
                                <a:lnTo>
                                  <a:pt x="2102485" y="142862"/>
                                </a:lnTo>
                                <a:lnTo>
                                  <a:pt x="2102485" y="0"/>
                                </a:lnTo>
                                <a:close/>
                              </a:path>
                            </a:pathLst>
                          </a:custGeom>
                          <a:solidFill>
                            <a:srgbClr val="B1C1DB"/>
                          </a:solidFill>
                        </wps:spPr>
                        <wps:bodyPr wrap="square" lIns="0" tIns="0" rIns="0" bIns="0" rtlCol="0">
                          <a:prstTxWarp prst="textNoShape">
                            <a:avLst/>
                          </a:prstTxWarp>
                          <a:noAutofit/>
                        </wps:bodyPr>
                      </wps:wsp>
                      <wps:wsp>
                        <wps:cNvPr id="49" name="Graphic 49"/>
                        <wps:cNvSpPr/>
                        <wps:spPr>
                          <a:xfrm>
                            <a:off x="2123820" y="12700"/>
                            <a:ext cx="1587500" cy="952500"/>
                          </a:xfrm>
                          <a:custGeom>
                            <a:avLst/>
                            <a:gdLst/>
                            <a:ahLst/>
                            <a:cxnLst/>
                            <a:rect l="l" t="t" r="r" b="b"/>
                            <a:pathLst>
                              <a:path w="1587500" h="952500">
                                <a:moveTo>
                                  <a:pt x="1492123" y="0"/>
                                </a:moveTo>
                                <a:lnTo>
                                  <a:pt x="95250" y="0"/>
                                </a:lnTo>
                                <a:lnTo>
                                  <a:pt x="58185" y="7471"/>
                                </a:lnTo>
                                <a:lnTo>
                                  <a:pt x="27908" y="27860"/>
                                </a:lnTo>
                                <a:lnTo>
                                  <a:pt x="7489" y="58132"/>
                                </a:lnTo>
                                <a:lnTo>
                                  <a:pt x="0" y="95250"/>
                                </a:lnTo>
                                <a:lnTo>
                                  <a:pt x="0" y="857123"/>
                                </a:lnTo>
                                <a:lnTo>
                                  <a:pt x="7489" y="894187"/>
                                </a:lnTo>
                                <a:lnTo>
                                  <a:pt x="27908" y="924464"/>
                                </a:lnTo>
                                <a:lnTo>
                                  <a:pt x="58185" y="944883"/>
                                </a:lnTo>
                                <a:lnTo>
                                  <a:pt x="95250" y="952373"/>
                                </a:lnTo>
                                <a:lnTo>
                                  <a:pt x="1492123" y="952373"/>
                                </a:lnTo>
                                <a:lnTo>
                                  <a:pt x="1529187" y="944883"/>
                                </a:lnTo>
                                <a:lnTo>
                                  <a:pt x="1559464" y="924464"/>
                                </a:lnTo>
                                <a:lnTo>
                                  <a:pt x="1579883" y="894187"/>
                                </a:lnTo>
                                <a:lnTo>
                                  <a:pt x="1587373" y="857123"/>
                                </a:lnTo>
                                <a:lnTo>
                                  <a:pt x="1587373" y="95250"/>
                                </a:lnTo>
                                <a:lnTo>
                                  <a:pt x="1579883" y="58132"/>
                                </a:lnTo>
                                <a:lnTo>
                                  <a:pt x="1559464" y="27860"/>
                                </a:lnTo>
                                <a:lnTo>
                                  <a:pt x="1529187" y="7471"/>
                                </a:lnTo>
                                <a:lnTo>
                                  <a:pt x="1492123" y="0"/>
                                </a:lnTo>
                                <a:close/>
                              </a:path>
                            </a:pathLst>
                          </a:custGeom>
                          <a:solidFill>
                            <a:srgbClr val="FFFFFF"/>
                          </a:solidFill>
                        </wps:spPr>
                        <wps:bodyPr wrap="square" lIns="0" tIns="0" rIns="0" bIns="0" rtlCol="0">
                          <a:prstTxWarp prst="textNoShape">
                            <a:avLst/>
                          </a:prstTxWarp>
                          <a:noAutofit/>
                        </wps:bodyPr>
                      </wps:wsp>
                      <wps:wsp>
                        <wps:cNvPr id="50" name="Graphic 50"/>
                        <wps:cNvSpPr/>
                        <wps:spPr>
                          <a:xfrm>
                            <a:off x="2123820" y="12700"/>
                            <a:ext cx="1587500" cy="952500"/>
                          </a:xfrm>
                          <a:custGeom>
                            <a:avLst/>
                            <a:gdLst/>
                            <a:ahLst/>
                            <a:cxnLst/>
                            <a:rect l="l" t="t" r="r" b="b"/>
                            <a:pathLst>
                              <a:path w="1587500" h="952500">
                                <a:moveTo>
                                  <a:pt x="0" y="95250"/>
                                </a:moveTo>
                                <a:lnTo>
                                  <a:pt x="7489" y="58132"/>
                                </a:lnTo>
                                <a:lnTo>
                                  <a:pt x="27908" y="27860"/>
                                </a:lnTo>
                                <a:lnTo>
                                  <a:pt x="58185" y="7471"/>
                                </a:lnTo>
                                <a:lnTo>
                                  <a:pt x="95250" y="0"/>
                                </a:lnTo>
                                <a:lnTo>
                                  <a:pt x="1492123" y="0"/>
                                </a:lnTo>
                                <a:lnTo>
                                  <a:pt x="1529187" y="7471"/>
                                </a:lnTo>
                                <a:lnTo>
                                  <a:pt x="1559464" y="27860"/>
                                </a:lnTo>
                                <a:lnTo>
                                  <a:pt x="1579883" y="58132"/>
                                </a:lnTo>
                                <a:lnTo>
                                  <a:pt x="1587373" y="95250"/>
                                </a:lnTo>
                                <a:lnTo>
                                  <a:pt x="1587373" y="857123"/>
                                </a:lnTo>
                                <a:lnTo>
                                  <a:pt x="1579883" y="894187"/>
                                </a:lnTo>
                                <a:lnTo>
                                  <a:pt x="1559464" y="924464"/>
                                </a:lnTo>
                                <a:lnTo>
                                  <a:pt x="1529187" y="944883"/>
                                </a:lnTo>
                                <a:lnTo>
                                  <a:pt x="1492123" y="952373"/>
                                </a:lnTo>
                                <a:lnTo>
                                  <a:pt x="95250" y="952373"/>
                                </a:lnTo>
                                <a:lnTo>
                                  <a:pt x="58185" y="944883"/>
                                </a:lnTo>
                                <a:lnTo>
                                  <a:pt x="27908" y="924464"/>
                                </a:lnTo>
                                <a:lnTo>
                                  <a:pt x="7489" y="894187"/>
                                </a:lnTo>
                                <a:lnTo>
                                  <a:pt x="0" y="857123"/>
                                </a:lnTo>
                                <a:lnTo>
                                  <a:pt x="0" y="95250"/>
                                </a:lnTo>
                                <a:close/>
                              </a:path>
                            </a:pathLst>
                          </a:custGeom>
                          <a:ln w="25400">
                            <a:solidFill>
                              <a:srgbClr val="4674AB"/>
                            </a:solidFill>
                            <a:prstDash val="solid"/>
                          </a:ln>
                        </wps:spPr>
                        <wps:bodyPr wrap="square" lIns="0" tIns="0" rIns="0" bIns="0" rtlCol="0">
                          <a:prstTxWarp prst="textNoShape">
                            <a:avLst/>
                          </a:prstTxWarp>
                          <a:noAutofit/>
                        </wps:bodyPr>
                      </wps:wsp>
                      <wps:wsp>
                        <wps:cNvPr id="51" name="Graphic 51"/>
                        <wps:cNvSpPr/>
                        <wps:spPr>
                          <a:xfrm>
                            <a:off x="4235069" y="12700"/>
                            <a:ext cx="1587500" cy="952500"/>
                          </a:xfrm>
                          <a:custGeom>
                            <a:avLst/>
                            <a:gdLst/>
                            <a:ahLst/>
                            <a:cxnLst/>
                            <a:rect l="l" t="t" r="r" b="b"/>
                            <a:pathLst>
                              <a:path w="1587500" h="952500">
                                <a:moveTo>
                                  <a:pt x="1491995" y="0"/>
                                </a:moveTo>
                                <a:lnTo>
                                  <a:pt x="95123" y="0"/>
                                </a:lnTo>
                                <a:lnTo>
                                  <a:pt x="58078" y="7471"/>
                                </a:lnTo>
                                <a:lnTo>
                                  <a:pt x="27844" y="27860"/>
                                </a:lnTo>
                                <a:lnTo>
                                  <a:pt x="7469" y="58132"/>
                                </a:lnTo>
                                <a:lnTo>
                                  <a:pt x="0" y="95250"/>
                                </a:lnTo>
                                <a:lnTo>
                                  <a:pt x="0" y="857123"/>
                                </a:lnTo>
                                <a:lnTo>
                                  <a:pt x="7469" y="894187"/>
                                </a:lnTo>
                                <a:lnTo>
                                  <a:pt x="27844" y="924464"/>
                                </a:lnTo>
                                <a:lnTo>
                                  <a:pt x="58078" y="944883"/>
                                </a:lnTo>
                                <a:lnTo>
                                  <a:pt x="95123" y="952373"/>
                                </a:lnTo>
                                <a:lnTo>
                                  <a:pt x="1491995" y="952373"/>
                                </a:lnTo>
                                <a:lnTo>
                                  <a:pt x="1529113" y="944883"/>
                                </a:lnTo>
                                <a:lnTo>
                                  <a:pt x="1559385" y="924464"/>
                                </a:lnTo>
                                <a:lnTo>
                                  <a:pt x="1579774" y="894187"/>
                                </a:lnTo>
                                <a:lnTo>
                                  <a:pt x="1587245" y="857123"/>
                                </a:lnTo>
                                <a:lnTo>
                                  <a:pt x="1587245" y="95250"/>
                                </a:lnTo>
                                <a:lnTo>
                                  <a:pt x="1579774" y="58132"/>
                                </a:lnTo>
                                <a:lnTo>
                                  <a:pt x="1559385" y="27860"/>
                                </a:lnTo>
                                <a:lnTo>
                                  <a:pt x="1529113" y="7471"/>
                                </a:lnTo>
                                <a:lnTo>
                                  <a:pt x="1491995" y="0"/>
                                </a:lnTo>
                                <a:close/>
                              </a:path>
                            </a:pathLst>
                          </a:custGeom>
                          <a:solidFill>
                            <a:srgbClr val="FFFFFF"/>
                          </a:solidFill>
                        </wps:spPr>
                        <wps:bodyPr wrap="square" lIns="0" tIns="0" rIns="0" bIns="0" rtlCol="0">
                          <a:prstTxWarp prst="textNoShape">
                            <a:avLst/>
                          </a:prstTxWarp>
                          <a:noAutofit/>
                        </wps:bodyPr>
                      </wps:wsp>
                      <wps:wsp>
                        <wps:cNvPr id="52" name="Graphic 52"/>
                        <wps:cNvSpPr/>
                        <wps:spPr>
                          <a:xfrm>
                            <a:off x="4235069" y="12700"/>
                            <a:ext cx="1587500" cy="952500"/>
                          </a:xfrm>
                          <a:custGeom>
                            <a:avLst/>
                            <a:gdLst/>
                            <a:ahLst/>
                            <a:cxnLst/>
                            <a:rect l="l" t="t" r="r" b="b"/>
                            <a:pathLst>
                              <a:path w="1587500" h="952500">
                                <a:moveTo>
                                  <a:pt x="0" y="95250"/>
                                </a:moveTo>
                                <a:lnTo>
                                  <a:pt x="7469" y="58132"/>
                                </a:lnTo>
                                <a:lnTo>
                                  <a:pt x="27844" y="27860"/>
                                </a:lnTo>
                                <a:lnTo>
                                  <a:pt x="58078" y="7471"/>
                                </a:lnTo>
                                <a:lnTo>
                                  <a:pt x="95123" y="0"/>
                                </a:lnTo>
                                <a:lnTo>
                                  <a:pt x="1491995" y="0"/>
                                </a:lnTo>
                                <a:lnTo>
                                  <a:pt x="1529113" y="7471"/>
                                </a:lnTo>
                                <a:lnTo>
                                  <a:pt x="1559385" y="27860"/>
                                </a:lnTo>
                                <a:lnTo>
                                  <a:pt x="1579774" y="58132"/>
                                </a:lnTo>
                                <a:lnTo>
                                  <a:pt x="1587245" y="95250"/>
                                </a:lnTo>
                                <a:lnTo>
                                  <a:pt x="1587245" y="857123"/>
                                </a:lnTo>
                                <a:lnTo>
                                  <a:pt x="1579774" y="894187"/>
                                </a:lnTo>
                                <a:lnTo>
                                  <a:pt x="1559385" y="924464"/>
                                </a:lnTo>
                                <a:lnTo>
                                  <a:pt x="1529113" y="944883"/>
                                </a:lnTo>
                                <a:lnTo>
                                  <a:pt x="1491995" y="952373"/>
                                </a:lnTo>
                                <a:lnTo>
                                  <a:pt x="95123" y="952373"/>
                                </a:lnTo>
                                <a:lnTo>
                                  <a:pt x="58078" y="944883"/>
                                </a:lnTo>
                                <a:lnTo>
                                  <a:pt x="27844" y="924464"/>
                                </a:lnTo>
                                <a:lnTo>
                                  <a:pt x="7469" y="894187"/>
                                </a:lnTo>
                                <a:lnTo>
                                  <a:pt x="0" y="857123"/>
                                </a:lnTo>
                                <a:lnTo>
                                  <a:pt x="0" y="95250"/>
                                </a:lnTo>
                                <a:close/>
                              </a:path>
                            </a:pathLst>
                          </a:custGeom>
                          <a:ln w="25400">
                            <a:solidFill>
                              <a:srgbClr val="4674AB"/>
                            </a:solidFill>
                            <a:prstDash val="solid"/>
                          </a:ln>
                        </wps:spPr>
                        <wps:bodyPr wrap="square" lIns="0" tIns="0" rIns="0" bIns="0" rtlCol="0">
                          <a:prstTxWarp prst="textNoShape">
                            <a:avLst/>
                          </a:prstTxWarp>
                          <a:noAutofit/>
                        </wps:bodyPr>
                      </wps:wsp>
                      <wps:wsp>
                        <wps:cNvPr id="53" name="Textbox 53"/>
                        <wps:cNvSpPr txBox="1"/>
                        <wps:spPr>
                          <a:xfrm>
                            <a:off x="185928" y="229931"/>
                            <a:ext cx="1249045" cy="509270"/>
                          </a:xfrm>
                          <a:prstGeom prst="rect">
                            <a:avLst/>
                          </a:prstGeom>
                        </wps:spPr>
                        <wps:txbx>
                          <w:txbxContent>
                            <w:p>
                              <w:pPr>
                                <w:spacing w:line="300" w:lineRule="auto" w:before="0"/>
                                <w:ind w:left="0" w:right="0" w:firstLine="355"/>
                                <w:jc w:val="left"/>
                                <w:rPr>
                                  <w:sz w:val="20"/>
                                </w:rPr>
                              </w:pPr>
                              <w:r>
                                <w:rPr>
                                  <w:sz w:val="20"/>
                                </w:rPr>
                                <w:t>ARDS Brunca ULDS</w:t>
                              </w:r>
                              <w:r>
                                <w:rPr>
                                  <w:spacing w:val="-14"/>
                                  <w:sz w:val="20"/>
                                </w:rPr>
                                <w:t> </w:t>
                              </w:r>
                              <w:r>
                                <w:rPr>
                                  <w:sz w:val="20"/>
                                </w:rPr>
                                <w:t>Pérez</w:t>
                              </w:r>
                              <w:r>
                                <w:rPr>
                                  <w:spacing w:val="-14"/>
                                  <w:sz w:val="20"/>
                                </w:rPr>
                                <w:t> </w:t>
                              </w:r>
                              <w:r>
                                <w:rPr>
                                  <w:sz w:val="20"/>
                                </w:rPr>
                                <w:t>Zeledón.</w:t>
                              </w:r>
                            </w:p>
                            <w:p>
                              <w:pPr>
                                <w:spacing w:before="0"/>
                                <w:ind w:left="153" w:right="0" w:firstLine="0"/>
                                <w:jc w:val="left"/>
                                <w:rPr>
                                  <w:sz w:val="20"/>
                                </w:rPr>
                              </w:pPr>
                              <w:r>
                                <w:rPr>
                                  <w:sz w:val="20"/>
                                </w:rPr>
                                <w:t>ULDS</w:t>
                              </w:r>
                              <w:r>
                                <w:rPr>
                                  <w:spacing w:val="-4"/>
                                  <w:sz w:val="20"/>
                                </w:rPr>
                                <w:t> </w:t>
                              </w:r>
                              <w:r>
                                <w:rPr>
                                  <w:spacing w:val="-2"/>
                                  <w:sz w:val="20"/>
                                </w:rPr>
                                <w:t>Corredores.</w:t>
                              </w:r>
                            </w:p>
                          </w:txbxContent>
                        </wps:txbx>
                        <wps:bodyPr wrap="square" lIns="0" tIns="0" rIns="0" bIns="0" rtlCol="0">
                          <a:noAutofit/>
                        </wps:bodyPr>
                      </wps:wsp>
                      <wps:wsp>
                        <wps:cNvPr id="54" name="Textbox 54"/>
                        <wps:cNvSpPr txBox="1"/>
                        <wps:spPr>
                          <a:xfrm>
                            <a:off x="2438400" y="229931"/>
                            <a:ext cx="969010" cy="509270"/>
                          </a:xfrm>
                          <a:prstGeom prst="rect">
                            <a:avLst/>
                          </a:prstGeom>
                        </wps:spPr>
                        <wps:txbx>
                          <w:txbxContent>
                            <w:p>
                              <w:pPr>
                                <w:spacing w:line="300" w:lineRule="auto" w:before="0"/>
                                <w:ind w:left="0" w:right="0" w:firstLine="100"/>
                                <w:jc w:val="left"/>
                                <w:rPr>
                                  <w:sz w:val="20"/>
                                </w:rPr>
                              </w:pPr>
                              <w:r>
                                <w:rPr>
                                  <w:sz w:val="20"/>
                                </w:rPr>
                                <w:t>ARDS Heredia ULDS</w:t>
                              </w:r>
                              <w:r>
                                <w:rPr>
                                  <w:spacing w:val="-14"/>
                                  <w:sz w:val="20"/>
                                </w:rPr>
                                <w:t> </w:t>
                              </w:r>
                              <w:r>
                                <w:rPr>
                                  <w:sz w:val="20"/>
                                </w:rPr>
                                <w:t>Sarapiquí.</w:t>
                              </w:r>
                            </w:p>
                            <w:p>
                              <w:pPr>
                                <w:spacing w:before="0"/>
                                <w:ind w:left="81" w:right="0" w:firstLine="0"/>
                                <w:jc w:val="left"/>
                                <w:rPr>
                                  <w:sz w:val="20"/>
                                </w:rPr>
                              </w:pPr>
                              <w:r>
                                <w:rPr>
                                  <w:sz w:val="20"/>
                                </w:rPr>
                                <w:t>ULDS</w:t>
                              </w:r>
                              <w:r>
                                <w:rPr>
                                  <w:spacing w:val="-5"/>
                                  <w:sz w:val="20"/>
                                </w:rPr>
                                <w:t> </w:t>
                              </w:r>
                              <w:r>
                                <w:rPr>
                                  <w:spacing w:val="-2"/>
                                  <w:sz w:val="20"/>
                                </w:rPr>
                                <w:t>Heredia.</w:t>
                              </w:r>
                            </w:p>
                          </w:txbxContent>
                        </wps:txbx>
                        <wps:bodyPr wrap="square" lIns="0" tIns="0" rIns="0" bIns="0" rtlCol="0">
                          <a:noAutofit/>
                        </wps:bodyPr>
                      </wps:wsp>
                      <wps:wsp>
                        <wps:cNvPr id="55" name="Textbox 55"/>
                        <wps:cNvSpPr txBox="1"/>
                        <wps:spPr>
                          <a:xfrm>
                            <a:off x="4529073" y="229931"/>
                            <a:ext cx="1014094" cy="509270"/>
                          </a:xfrm>
                          <a:prstGeom prst="rect">
                            <a:avLst/>
                          </a:prstGeom>
                        </wps:spPr>
                        <wps:txbx>
                          <w:txbxContent>
                            <w:p>
                              <w:pPr>
                                <w:spacing w:line="300" w:lineRule="auto" w:before="0"/>
                                <w:ind w:left="0" w:right="0" w:firstLine="86"/>
                                <w:jc w:val="left"/>
                                <w:rPr>
                                  <w:sz w:val="20"/>
                                </w:rPr>
                              </w:pPr>
                              <w:r>
                                <w:rPr>
                                  <w:sz w:val="20"/>
                                </w:rPr>
                                <w:t>ARDS Suroeste ULDS</w:t>
                              </w:r>
                              <w:r>
                                <w:rPr>
                                  <w:spacing w:val="-5"/>
                                  <w:sz w:val="20"/>
                                </w:rPr>
                                <w:t> </w:t>
                              </w:r>
                              <w:r>
                                <w:rPr>
                                  <w:sz w:val="20"/>
                                </w:rPr>
                                <w:t>Cristo</w:t>
                              </w:r>
                              <w:r>
                                <w:rPr>
                                  <w:spacing w:val="-9"/>
                                  <w:sz w:val="20"/>
                                </w:rPr>
                                <w:t> </w:t>
                              </w:r>
                              <w:r>
                                <w:rPr>
                                  <w:spacing w:val="-4"/>
                                  <w:sz w:val="20"/>
                                </w:rPr>
                                <w:t>Rey.</w:t>
                              </w:r>
                            </w:p>
                            <w:p>
                              <w:pPr>
                                <w:spacing w:before="0"/>
                                <w:ind w:left="105" w:right="0" w:firstLine="0"/>
                                <w:jc w:val="left"/>
                                <w:rPr>
                                  <w:sz w:val="20"/>
                                </w:rPr>
                              </w:pPr>
                              <w:r>
                                <w:rPr>
                                  <w:sz w:val="20"/>
                                </w:rPr>
                                <w:t>ULDS</w:t>
                              </w:r>
                              <w:r>
                                <w:rPr>
                                  <w:spacing w:val="-5"/>
                                  <w:sz w:val="20"/>
                                </w:rPr>
                                <w:t> </w:t>
                              </w:r>
                              <w:r>
                                <w:rPr>
                                  <w:spacing w:val="-2"/>
                                  <w:sz w:val="20"/>
                                </w:rPr>
                                <w:t>Puriscal.</w:t>
                              </w:r>
                            </w:p>
                          </w:txbxContent>
                        </wps:txbx>
                        <wps:bodyPr wrap="square" lIns="0" tIns="0" rIns="0" bIns="0" rtlCol="0">
                          <a:noAutofit/>
                        </wps:bodyPr>
                      </wps:wsp>
                      <wps:wsp>
                        <wps:cNvPr id="56" name="Textbox 56"/>
                        <wps:cNvSpPr txBox="1"/>
                        <wps:spPr>
                          <a:xfrm>
                            <a:off x="256031" y="1435415"/>
                            <a:ext cx="1113790" cy="481965"/>
                          </a:xfrm>
                          <a:prstGeom prst="rect">
                            <a:avLst/>
                          </a:prstGeom>
                        </wps:spPr>
                        <wps:txbx>
                          <w:txbxContent>
                            <w:p>
                              <w:pPr>
                                <w:spacing w:line="225" w:lineRule="exact" w:before="0"/>
                                <w:ind w:left="0" w:right="19" w:firstLine="0"/>
                                <w:jc w:val="center"/>
                                <w:rPr>
                                  <w:sz w:val="20"/>
                                </w:rPr>
                              </w:pPr>
                              <w:r>
                                <w:rPr>
                                  <w:sz w:val="20"/>
                                </w:rPr>
                                <w:t>ARDS</w:t>
                              </w:r>
                              <w:r>
                                <w:rPr>
                                  <w:spacing w:val="-8"/>
                                  <w:sz w:val="20"/>
                                </w:rPr>
                                <w:t> </w:t>
                              </w:r>
                              <w:r>
                                <w:rPr>
                                  <w:spacing w:val="-2"/>
                                  <w:sz w:val="20"/>
                                </w:rPr>
                                <w:t>Cartago</w:t>
                              </w:r>
                            </w:p>
                            <w:p>
                              <w:pPr>
                                <w:spacing w:line="254" w:lineRule="auto" w:before="45"/>
                                <w:ind w:left="0" w:right="18" w:firstLine="0"/>
                                <w:jc w:val="center"/>
                                <w:rPr>
                                  <w:sz w:val="20"/>
                                </w:rPr>
                              </w:pPr>
                              <w:r>
                                <w:rPr>
                                  <w:sz w:val="20"/>
                                </w:rPr>
                                <w:t>ULDS</w:t>
                              </w:r>
                              <w:r>
                                <w:rPr>
                                  <w:spacing w:val="-14"/>
                                  <w:sz w:val="20"/>
                                </w:rPr>
                                <w:t> </w:t>
                              </w:r>
                              <w:r>
                                <w:rPr>
                                  <w:sz w:val="20"/>
                                </w:rPr>
                                <w:t>León</w:t>
                              </w:r>
                              <w:r>
                                <w:rPr>
                                  <w:spacing w:val="-14"/>
                                  <w:sz w:val="20"/>
                                </w:rPr>
                                <w:t> </w:t>
                              </w:r>
                              <w:r>
                                <w:rPr>
                                  <w:sz w:val="20"/>
                                </w:rPr>
                                <w:t>Cortés. ULDS Turrialba.</w:t>
                              </w:r>
                            </w:p>
                          </w:txbxContent>
                        </wps:txbx>
                        <wps:bodyPr wrap="square" lIns="0" tIns="0" rIns="0" bIns="0" rtlCol="0">
                          <a:noAutofit/>
                        </wps:bodyPr>
                      </wps:wsp>
                      <wps:wsp>
                        <wps:cNvPr id="57" name="Textbox 57"/>
                        <wps:cNvSpPr txBox="1"/>
                        <wps:spPr>
                          <a:xfrm>
                            <a:off x="2459735" y="1420810"/>
                            <a:ext cx="925830" cy="509270"/>
                          </a:xfrm>
                          <a:prstGeom prst="rect">
                            <a:avLst/>
                          </a:prstGeom>
                        </wps:spPr>
                        <wps:txbx>
                          <w:txbxContent>
                            <w:p>
                              <w:pPr>
                                <w:spacing w:line="225" w:lineRule="exact" w:before="0"/>
                                <w:ind w:left="4" w:right="18" w:firstLine="0"/>
                                <w:jc w:val="center"/>
                                <w:rPr>
                                  <w:sz w:val="20"/>
                                </w:rPr>
                              </w:pPr>
                              <w:r>
                                <w:rPr>
                                  <w:sz w:val="20"/>
                                </w:rPr>
                                <w:t>Huetar</w:t>
                              </w:r>
                              <w:r>
                                <w:rPr>
                                  <w:spacing w:val="-8"/>
                                  <w:sz w:val="20"/>
                                </w:rPr>
                                <w:t> </w:t>
                              </w:r>
                              <w:r>
                                <w:rPr>
                                  <w:spacing w:val="-2"/>
                                  <w:sz w:val="20"/>
                                </w:rPr>
                                <w:t>Caribe</w:t>
                              </w:r>
                            </w:p>
                            <w:p>
                              <w:pPr>
                                <w:spacing w:line="280" w:lineRule="atLeast" w:before="8"/>
                                <w:ind w:left="-1" w:right="18" w:firstLine="0"/>
                                <w:jc w:val="center"/>
                                <w:rPr>
                                  <w:sz w:val="20"/>
                                </w:rPr>
                              </w:pPr>
                              <w:r>
                                <w:rPr>
                                  <w:sz w:val="20"/>
                                </w:rPr>
                                <w:t>ULDS Limón. ULDS</w:t>
                              </w:r>
                              <w:r>
                                <w:rPr>
                                  <w:spacing w:val="-14"/>
                                  <w:sz w:val="20"/>
                                </w:rPr>
                                <w:t> </w:t>
                              </w:r>
                              <w:r>
                                <w:rPr>
                                  <w:sz w:val="20"/>
                                </w:rPr>
                                <w:t>Siquirres.</w:t>
                              </w:r>
                            </w:p>
                          </w:txbxContent>
                        </wps:txbx>
                        <wps:bodyPr wrap="square" lIns="0" tIns="0" rIns="0" bIns="0" rtlCol="0">
                          <a:noAutofit/>
                        </wps:bodyPr>
                      </wps:wsp>
                      <wps:wsp>
                        <wps:cNvPr id="58" name="Textbox 58"/>
                        <wps:cNvSpPr txBox="1"/>
                        <wps:spPr>
                          <a:xfrm>
                            <a:off x="283463" y="2611689"/>
                            <a:ext cx="1061720" cy="509270"/>
                          </a:xfrm>
                          <a:prstGeom prst="rect">
                            <a:avLst/>
                          </a:prstGeom>
                        </wps:spPr>
                        <wps:txbx>
                          <w:txbxContent>
                            <w:p>
                              <w:pPr>
                                <w:spacing w:line="300" w:lineRule="auto" w:before="0"/>
                                <w:ind w:left="197" w:right="0" w:hanging="145"/>
                                <w:jc w:val="left"/>
                                <w:rPr>
                                  <w:sz w:val="20"/>
                                </w:rPr>
                              </w:pPr>
                              <w:r>
                                <w:rPr>
                                  <w:sz w:val="20"/>
                                </w:rPr>
                                <w:t>ARDS</w:t>
                              </w:r>
                              <w:r>
                                <w:rPr>
                                  <w:spacing w:val="-14"/>
                                  <w:sz w:val="20"/>
                                </w:rPr>
                                <w:t> </w:t>
                              </w:r>
                              <w:r>
                                <w:rPr>
                                  <w:sz w:val="20"/>
                                </w:rPr>
                                <w:t>Chorotega ULDS Liberia.</w:t>
                              </w:r>
                            </w:p>
                            <w:p>
                              <w:pPr>
                                <w:spacing w:before="0"/>
                                <w:ind w:left="0" w:right="0" w:firstLine="0"/>
                                <w:jc w:val="left"/>
                                <w:rPr>
                                  <w:sz w:val="20"/>
                                </w:rPr>
                              </w:pPr>
                              <w:r>
                                <w:rPr>
                                  <w:sz w:val="20"/>
                                </w:rPr>
                                <w:t>ULDS</w:t>
                              </w:r>
                              <w:r>
                                <w:rPr>
                                  <w:spacing w:val="-5"/>
                                  <w:sz w:val="20"/>
                                </w:rPr>
                                <w:t> </w:t>
                              </w:r>
                              <w:r>
                                <w:rPr>
                                  <w:sz w:val="20"/>
                                </w:rPr>
                                <w:t>Santa</w:t>
                              </w:r>
                              <w:r>
                                <w:rPr>
                                  <w:spacing w:val="-8"/>
                                  <w:sz w:val="20"/>
                                </w:rPr>
                                <w:t> </w:t>
                              </w:r>
                              <w:r>
                                <w:rPr>
                                  <w:spacing w:val="-2"/>
                                  <w:sz w:val="20"/>
                                </w:rPr>
                                <w:t>Cruz.</w:t>
                              </w:r>
                            </w:p>
                          </w:txbxContent>
                        </wps:txbx>
                        <wps:bodyPr wrap="square" lIns="0" tIns="0" rIns="0" bIns="0" rtlCol="0">
                          <a:noAutofit/>
                        </wps:bodyPr>
                      </wps:wsp>
                      <wps:wsp>
                        <wps:cNvPr id="59" name="Textbox 59"/>
                        <wps:cNvSpPr txBox="1"/>
                        <wps:spPr>
                          <a:xfrm>
                            <a:off x="2398776" y="2520249"/>
                            <a:ext cx="1047750" cy="509270"/>
                          </a:xfrm>
                          <a:prstGeom prst="rect">
                            <a:avLst/>
                          </a:prstGeom>
                        </wps:spPr>
                        <wps:txbx>
                          <w:txbxContent>
                            <w:p>
                              <w:pPr>
                                <w:spacing w:line="300" w:lineRule="auto" w:before="0"/>
                                <w:ind w:left="0" w:right="0" w:firstLine="244"/>
                                <w:jc w:val="left"/>
                                <w:rPr>
                                  <w:sz w:val="20"/>
                                </w:rPr>
                              </w:pPr>
                              <w:r>
                                <w:rPr>
                                  <w:sz w:val="20"/>
                                </w:rPr>
                                <w:t>Huetar Norte ULDS</w:t>
                              </w:r>
                              <w:r>
                                <w:rPr>
                                  <w:spacing w:val="-4"/>
                                  <w:sz w:val="20"/>
                                </w:rPr>
                                <w:t> </w:t>
                              </w:r>
                              <w:r>
                                <w:rPr>
                                  <w:sz w:val="20"/>
                                </w:rPr>
                                <w:t>San</w:t>
                              </w:r>
                              <w:r>
                                <w:rPr>
                                  <w:spacing w:val="-9"/>
                                  <w:sz w:val="20"/>
                                </w:rPr>
                                <w:t> </w:t>
                              </w:r>
                              <w:r>
                                <w:rPr>
                                  <w:spacing w:val="-2"/>
                                  <w:sz w:val="20"/>
                                </w:rPr>
                                <w:t>Carlos.</w:t>
                              </w:r>
                            </w:p>
                            <w:p>
                              <w:pPr>
                                <w:spacing w:before="0"/>
                                <w:ind w:left="28" w:right="0" w:firstLine="0"/>
                                <w:jc w:val="left"/>
                                <w:rPr>
                                  <w:sz w:val="20"/>
                                </w:rPr>
                              </w:pPr>
                              <w:r>
                                <w:rPr>
                                  <w:sz w:val="20"/>
                                </w:rPr>
                                <w:t>ULDS</w:t>
                              </w:r>
                              <w:r>
                                <w:rPr>
                                  <w:spacing w:val="-2"/>
                                  <w:sz w:val="20"/>
                                </w:rPr>
                                <w:t> </w:t>
                              </w:r>
                              <w:r>
                                <w:rPr>
                                  <w:sz w:val="20"/>
                                </w:rPr>
                                <w:t>Los</w:t>
                              </w:r>
                              <w:r>
                                <w:rPr>
                                  <w:spacing w:val="-6"/>
                                  <w:sz w:val="20"/>
                                </w:rPr>
                                <w:t> </w:t>
                              </w:r>
                              <w:r>
                                <w:rPr>
                                  <w:spacing w:val="-2"/>
                                  <w:sz w:val="20"/>
                                </w:rPr>
                                <w:t>Chiles.</w:t>
                              </w:r>
                            </w:p>
                          </w:txbxContent>
                        </wps:txbx>
                        <wps:bodyPr wrap="square" lIns="0" tIns="0" rIns="0" bIns="0" rtlCol="0">
                          <a:noAutofit/>
                        </wps:bodyPr>
                      </wps:wsp>
                    </wpg:wgp>
                  </a:graphicData>
                </a:graphic>
              </wp:anchor>
            </w:drawing>
          </mc:Choice>
          <mc:Fallback>
            <w:pict>
              <v:group style="position:absolute;margin-left:115.199997pt;margin-top:12.900308pt;width:459.45pt;height:264.5pt;mso-position-horizontal-relative:page;mso-position-vertical-relative:paragraph;z-index:-15727104;mso-wrap-distance-left:0;mso-wrap-distance-right:0" id="docshapegroup30" coordorigin="2304,258" coordsize="9189,5290">
                <v:rect style="position:absolute;left:2718;top:654;width:225;height:1862" id="docshape31" filled="true" fillcolor="#b1c1db" stroked="false">
                  <v:fill type="solid"/>
                </v:rect>
                <v:shape style="position:absolute;left:2324;top:278;width:2500;height:1500" id="docshape32" coordorigin="2324,278" coordsize="2500,1500" path="m4674,278l2474,278,2415,290,2368,322,2336,370,2324,428,2324,1628,2336,1686,2368,1734,2415,1766,2474,1778,4674,1778,4732,1766,4780,1734,4812,1686,4824,1628,4824,428,4812,370,4780,322,4732,290,4674,278xe" filled="true" fillcolor="#ffffff" stroked="false">
                  <v:path arrowok="t"/>
                  <v:fill type="solid"/>
                </v:shape>
                <v:shape style="position:absolute;left:2324;top:278;width:2500;height:1500" id="docshape33" coordorigin="2324,278" coordsize="2500,1500" path="m2324,428l2336,370,2368,322,2415,290,2474,278,4674,278,4732,290,4780,322,4812,370,4824,428,4824,1628,4812,1686,4780,1734,4732,1766,4674,1778,2474,1778,2415,1766,2368,1734,2336,1686,2324,1628,2324,428xe" filled="false" stroked="true" strokeweight="2pt" strokecolor="#4674ab">
                  <v:path arrowok="t"/>
                  <v:stroke dashstyle="solid"/>
                </v:shape>
                <v:rect style="position:absolute;left:2718;top:2528;width:225;height:1862" id="docshape34" filled="true" fillcolor="#b1c1db" stroked="false">
                  <v:fill type="solid"/>
                </v:rect>
                <v:shape style="position:absolute;left:2324;top:2152;width:2500;height:1500" id="docshape35" coordorigin="2324,2153" coordsize="2500,1500" path="m4674,2153l2474,2153,2415,2165,2368,2197,2336,2244,2324,2303,2324,3503,2336,3561,2368,3609,2415,3641,2474,3653,4674,3653,4732,3641,4780,3609,4812,3561,4824,3503,4824,2303,4812,2244,4780,2197,4732,2165,4674,2153xe" filled="true" fillcolor="#ffffff" stroked="false">
                  <v:path arrowok="t"/>
                  <v:fill type="solid"/>
                </v:shape>
                <v:shape style="position:absolute;left:2324;top:2152;width:2500;height:1500" id="docshape36" coordorigin="2324,2153" coordsize="2500,1500" path="m2324,2303l2336,2244,2368,2197,2415,2165,2474,2153,4674,2153,4732,2165,4780,2197,4812,2244,4824,2303,4824,3503,4812,3561,4780,3609,4732,3641,4674,3653,2474,3653,2415,3641,2368,3609,2336,3561,2324,3503,2324,2303xe" filled="false" stroked="true" strokeweight="2pt" strokecolor="#4674ab">
                  <v:path arrowok="t"/>
                  <v:stroke dashstyle="solid"/>
                </v:shape>
                <v:rect style="position:absolute;left:2837;top:4284;width:3311;height:225" id="docshape37" filled="true" fillcolor="#b1c1db" stroked="false">
                  <v:fill type="solid"/>
                </v:rect>
                <v:shape style="position:absolute;left:2324;top:4027;width:2500;height:1500" id="docshape38" coordorigin="2324,4028" coordsize="2500,1500" path="m4674,4028l2474,4028,2415,4039,2368,4072,2336,4119,2324,4178,2324,5377,2336,5436,2368,5484,2415,5516,2474,5527,4674,5527,4732,5516,4780,5484,4812,5436,4824,5377,4824,4178,4812,4119,4780,4072,4732,4039,4674,4028xe" filled="true" fillcolor="#ffffff" stroked="false">
                  <v:path arrowok="t"/>
                  <v:fill type="solid"/>
                </v:shape>
                <v:shape style="position:absolute;left:2324;top:4027;width:2500;height:1500" id="docshape39" coordorigin="2324,4028" coordsize="2500,1500" path="m2324,4178l2336,4119,2368,4072,2415,4039,2474,4028,4674,4028,4732,4039,4780,4072,4812,4119,4824,4178,4824,5377,4812,5436,4780,5484,4732,5516,4674,5527,2474,5527,2415,5516,2368,5484,2336,5436,2324,5377,2324,4178xe" filled="false" stroked="true" strokeweight="2pt" strokecolor="#4674ab">
                  <v:path arrowok="t"/>
                  <v:stroke dashstyle="solid"/>
                </v:shape>
                <v:rect style="position:absolute;left:6042;top:2528;width:225;height:1862" id="docshape40" filled="true" fillcolor="#b1c1db" stroked="false">
                  <v:fill type="solid"/>
                </v:rect>
                <v:shape style="position:absolute;left:5648;top:4027;width:2500;height:1500" id="docshape41" coordorigin="5649,4028" coordsize="2500,1500" path="m7998,4028l5799,4028,5740,4039,5693,4072,5660,4119,5649,4178,5649,5377,5660,5436,5693,5484,5740,5516,5799,5527,7998,5527,8057,5516,8104,5484,8137,5436,8148,5377,8148,4178,8137,4119,8104,4072,8057,4039,7998,4028xe" filled="true" fillcolor="#ffffff" stroked="false">
                  <v:path arrowok="t"/>
                  <v:fill type="solid"/>
                </v:shape>
                <v:shape style="position:absolute;left:5648;top:4027;width:2500;height:1500" id="docshape42" coordorigin="5649,4028" coordsize="2500,1500" path="m5649,4178l5660,4119,5693,4072,5740,4039,5799,4028,7998,4028,8057,4039,8104,4072,8137,4119,8148,4178,8148,5377,8137,5436,8104,5484,8057,5516,7998,5527,5799,5527,5740,5516,5693,5484,5660,5436,5649,5377,5649,4178xe" filled="false" stroked="true" strokeweight="2pt" strokecolor="#4674ab">
                  <v:path arrowok="t"/>
                  <v:stroke dashstyle="solid"/>
                </v:shape>
                <v:rect style="position:absolute;left:6042;top:654;width:225;height:1862" id="docshape43" filled="true" fillcolor="#b1c1db" stroked="false">
                  <v:fill type="solid"/>
                </v:rect>
                <v:shape style="position:absolute;left:5648;top:2152;width:2500;height:1500" id="docshape44" coordorigin="5649,2153" coordsize="2500,1500" path="m7998,2153l5799,2153,5740,2165,5693,2197,5660,2244,5649,2303,5649,3503,5660,3561,5693,3609,5740,3641,5799,3653,7998,3653,8057,3641,8104,3609,8137,3561,8148,3503,8148,2303,8137,2244,8104,2197,8057,2165,7998,2153xe" filled="true" fillcolor="#ffffff" stroked="false">
                  <v:path arrowok="t"/>
                  <v:fill type="solid"/>
                </v:shape>
                <v:shape style="position:absolute;left:5648;top:2152;width:2500;height:1500" id="docshape45" coordorigin="5649,2153" coordsize="2500,1500" path="m5649,2303l5660,2244,5693,2197,5740,2165,5799,2153,7998,2153,8057,2165,8104,2197,8137,2244,8148,2303,8148,3503,8137,3561,8104,3609,8057,3641,7998,3653,5799,3653,5740,3641,5693,3609,5660,3561,5649,3503,5649,2303xe" filled="false" stroked="true" strokeweight="2pt" strokecolor="#4674ab">
                  <v:path arrowok="t"/>
                  <v:stroke dashstyle="solid"/>
                </v:shape>
                <v:rect style="position:absolute;left:6162;top:534;width:3311;height:225" id="docshape46" filled="true" fillcolor="#b1c1db" stroked="false">
                  <v:fill type="solid"/>
                </v:rect>
                <v:shape style="position:absolute;left:5648;top:278;width:2500;height:1500" id="docshape47" coordorigin="5649,278" coordsize="2500,1500" path="m7998,278l5799,278,5740,290,5693,322,5660,370,5649,428,5649,1628,5660,1686,5693,1734,5740,1766,5799,1778,7998,1778,8057,1766,8104,1734,8137,1686,8148,1628,8148,428,8137,370,8104,322,8057,290,7998,278xe" filled="true" fillcolor="#ffffff" stroked="false">
                  <v:path arrowok="t"/>
                  <v:fill type="solid"/>
                </v:shape>
                <v:shape style="position:absolute;left:5648;top:278;width:2500;height:1500" id="docshape48" coordorigin="5649,278" coordsize="2500,1500" path="m5649,428l5660,370,5693,322,5740,290,5799,278,7998,278,8057,290,8104,322,8137,370,8148,428,8148,1628,8137,1686,8104,1734,8057,1766,7998,1778,5799,1778,5740,1766,5693,1734,5660,1686,5649,1628,5649,428xe" filled="false" stroked="true" strokeweight="2pt" strokecolor="#4674ab">
                  <v:path arrowok="t"/>
                  <v:stroke dashstyle="solid"/>
                </v:shape>
                <v:shape style="position:absolute;left:8973;top:278;width:2500;height:1500" id="docshape49" coordorigin="8973,278" coordsize="2500,1500" path="m11323,278l9123,278,9065,290,9017,322,8985,370,8973,428,8973,1628,8985,1686,9017,1734,9065,1766,9123,1778,11323,1778,11381,1766,11429,1734,11461,1686,11473,1628,11473,428,11461,370,11429,322,11381,290,11323,278xe" filled="true" fillcolor="#ffffff" stroked="false">
                  <v:path arrowok="t"/>
                  <v:fill type="solid"/>
                </v:shape>
                <v:shape style="position:absolute;left:8973;top:278;width:2500;height:1500" id="docshape50" coordorigin="8973,278" coordsize="2500,1500" path="m8973,428l8985,370,9017,322,9065,290,9123,278,11323,278,11381,290,11429,322,11461,370,11473,428,11473,1628,11461,1686,11429,1734,11381,1766,11323,1778,9123,1778,9065,1766,9017,1734,8985,1686,8973,1628,8973,428xe" filled="false" stroked="true" strokeweight="2pt" strokecolor="#4674ab">
                  <v:path arrowok="t"/>
                  <v:stroke dashstyle="solid"/>
                </v:shape>
                <v:shape style="position:absolute;left:2596;top:620;width:1967;height:802" type="#_x0000_t202" id="docshape51" filled="false" stroked="false">
                  <v:textbox inset="0,0,0,0">
                    <w:txbxContent>
                      <w:p>
                        <w:pPr>
                          <w:spacing w:line="300" w:lineRule="auto" w:before="0"/>
                          <w:ind w:left="0" w:right="0" w:firstLine="355"/>
                          <w:jc w:val="left"/>
                          <w:rPr>
                            <w:sz w:val="20"/>
                          </w:rPr>
                        </w:pPr>
                        <w:r>
                          <w:rPr>
                            <w:sz w:val="20"/>
                          </w:rPr>
                          <w:t>ARDS Brunca ULDS</w:t>
                        </w:r>
                        <w:r>
                          <w:rPr>
                            <w:spacing w:val="-14"/>
                            <w:sz w:val="20"/>
                          </w:rPr>
                          <w:t> </w:t>
                        </w:r>
                        <w:r>
                          <w:rPr>
                            <w:sz w:val="20"/>
                          </w:rPr>
                          <w:t>Pérez</w:t>
                        </w:r>
                        <w:r>
                          <w:rPr>
                            <w:spacing w:val="-14"/>
                            <w:sz w:val="20"/>
                          </w:rPr>
                          <w:t> </w:t>
                        </w:r>
                        <w:r>
                          <w:rPr>
                            <w:sz w:val="20"/>
                          </w:rPr>
                          <w:t>Zeledón.</w:t>
                        </w:r>
                      </w:p>
                      <w:p>
                        <w:pPr>
                          <w:spacing w:before="0"/>
                          <w:ind w:left="153" w:right="0" w:firstLine="0"/>
                          <w:jc w:val="left"/>
                          <w:rPr>
                            <w:sz w:val="20"/>
                          </w:rPr>
                        </w:pPr>
                        <w:r>
                          <w:rPr>
                            <w:sz w:val="20"/>
                          </w:rPr>
                          <w:t>ULDS</w:t>
                        </w:r>
                        <w:r>
                          <w:rPr>
                            <w:spacing w:val="-4"/>
                            <w:sz w:val="20"/>
                          </w:rPr>
                          <w:t> </w:t>
                        </w:r>
                        <w:r>
                          <w:rPr>
                            <w:spacing w:val="-2"/>
                            <w:sz w:val="20"/>
                          </w:rPr>
                          <w:t>Corredores.</w:t>
                        </w:r>
                      </w:p>
                    </w:txbxContent>
                  </v:textbox>
                  <w10:wrap type="none"/>
                </v:shape>
                <v:shape style="position:absolute;left:6144;top:620;width:1526;height:802" type="#_x0000_t202" id="docshape52" filled="false" stroked="false">
                  <v:textbox inset="0,0,0,0">
                    <w:txbxContent>
                      <w:p>
                        <w:pPr>
                          <w:spacing w:line="300" w:lineRule="auto" w:before="0"/>
                          <w:ind w:left="0" w:right="0" w:firstLine="100"/>
                          <w:jc w:val="left"/>
                          <w:rPr>
                            <w:sz w:val="20"/>
                          </w:rPr>
                        </w:pPr>
                        <w:r>
                          <w:rPr>
                            <w:sz w:val="20"/>
                          </w:rPr>
                          <w:t>ARDS Heredia ULDS</w:t>
                        </w:r>
                        <w:r>
                          <w:rPr>
                            <w:spacing w:val="-14"/>
                            <w:sz w:val="20"/>
                          </w:rPr>
                          <w:t> </w:t>
                        </w:r>
                        <w:r>
                          <w:rPr>
                            <w:sz w:val="20"/>
                          </w:rPr>
                          <w:t>Sarapiquí.</w:t>
                        </w:r>
                      </w:p>
                      <w:p>
                        <w:pPr>
                          <w:spacing w:before="0"/>
                          <w:ind w:left="81" w:right="0" w:firstLine="0"/>
                          <w:jc w:val="left"/>
                          <w:rPr>
                            <w:sz w:val="20"/>
                          </w:rPr>
                        </w:pPr>
                        <w:r>
                          <w:rPr>
                            <w:sz w:val="20"/>
                          </w:rPr>
                          <w:t>ULDS</w:t>
                        </w:r>
                        <w:r>
                          <w:rPr>
                            <w:spacing w:val="-5"/>
                            <w:sz w:val="20"/>
                          </w:rPr>
                          <w:t> </w:t>
                        </w:r>
                        <w:r>
                          <w:rPr>
                            <w:spacing w:val="-2"/>
                            <w:sz w:val="20"/>
                          </w:rPr>
                          <w:t>Heredia.</w:t>
                        </w:r>
                      </w:p>
                    </w:txbxContent>
                  </v:textbox>
                  <w10:wrap type="none"/>
                </v:shape>
                <v:shape style="position:absolute;left:9436;top:620;width:1597;height:802" type="#_x0000_t202" id="docshape53" filled="false" stroked="false">
                  <v:textbox inset="0,0,0,0">
                    <w:txbxContent>
                      <w:p>
                        <w:pPr>
                          <w:spacing w:line="300" w:lineRule="auto" w:before="0"/>
                          <w:ind w:left="0" w:right="0" w:firstLine="86"/>
                          <w:jc w:val="left"/>
                          <w:rPr>
                            <w:sz w:val="20"/>
                          </w:rPr>
                        </w:pPr>
                        <w:r>
                          <w:rPr>
                            <w:sz w:val="20"/>
                          </w:rPr>
                          <w:t>ARDS Suroeste ULDS</w:t>
                        </w:r>
                        <w:r>
                          <w:rPr>
                            <w:spacing w:val="-5"/>
                            <w:sz w:val="20"/>
                          </w:rPr>
                          <w:t> </w:t>
                        </w:r>
                        <w:r>
                          <w:rPr>
                            <w:sz w:val="20"/>
                          </w:rPr>
                          <w:t>Cristo</w:t>
                        </w:r>
                        <w:r>
                          <w:rPr>
                            <w:spacing w:val="-9"/>
                            <w:sz w:val="20"/>
                          </w:rPr>
                          <w:t> </w:t>
                        </w:r>
                        <w:r>
                          <w:rPr>
                            <w:spacing w:val="-4"/>
                            <w:sz w:val="20"/>
                          </w:rPr>
                          <w:t>Rey.</w:t>
                        </w:r>
                      </w:p>
                      <w:p>
                        <w:pPr>
                          <w:spacing w:before="0"/>
                          <w:ind w:left="105" w:right="0" w:firstLine="0"/>
                          <w:jc w:val="left"/>
                          <w:rPr>
                            <w:sz w:val="20"/>
                          </w:rPr>
                        </w:pPr>
                        <w:r>
                          <w:rPr>
                            <w:sz w:val="20"/>
                          </w:rPr>
                          <w:t>ULDS</w:t>
                        </w:r>
                        <w:r>
                          <w:rPr>
                            <w:spacing w:val="-5"/>
                            <w:sz w:val="20"/>
                          </w:rPr>
                          <w:t> </w:t>
                        </w:r>
                        <w:r>
                          <w:rPr>
                            <w:spacing w:val="-2"/>
                            <w:sz w:val="20"/>
                          </w:rPr>
                          <w:t>Puriscal.</w:t>
                        </w:r>
                      </w:p>
                    </w:txbxContent>
                  </v:textbox>
                  <w10:wrap type="none"/>
                </v:shape>
                <v:shape style="position:absolute;left:2707;top:2518;width:1754;height:759" type="#_x0000_t202" id="docshape54" filled="false" stroked="false">
                  <v:textbox inset="0,0,0,0">
                    <w:txbxContent>
                      <w:p>
                        <w:pPr>
                          <w:spacing w:line="225" w:lineRule="exact" w:before="0"/>
                          <w:ind w:left="0" w:right="19" w:firstLine="0"/>
                          <w:jc w:val="center"/>
                          <w:rPr>
                            <w:sz w:val="20"/>
                          </w:rPr>
                        </w:pPr>
                        <w:r>
                          <w:rPr>
                            <w:sz w:val="20"/>
                          </w:rPr>
                          <w:t>ARDS</w:t>
                        </w:r>
                        <w:r>
                          <w:rPr>
                            <w:spacing w:val="-8"/>
                            <w:sz w:val="20"/>
                          </w:rPr>
                          <w:t> </w:t>
                        </w:r>
                        <w:r>
                          <w:rPr>
                            <w:spacing w:val="-2"/>
                            <w:sz w:val="20"/>
                          </w:rPr>
                          <w:t>Cartago</w:t>
                        </w:r>
                      </w:p>
                      <w:p>
                        <w:pPr>
                          <w:spacing w:line="254" w:lineRule="auto" w:before="45"/>
                          <w:ind w:left="0" w:right="18" w:firstLine="0"/>
                          <w:jc w:val="center"/>
                          <w:rPr>
                            <w:sz w:val="20"/>
                          </w:rPr>
                        </w:pPr>
                        <w:r>
                          <w:rPr>
                            <w:sz w:val="20"/>
                          </w:rPr>
                          <w:t>ULDS</w:t>
                        </w:r>
                        <w:r>
                          <w:rPr>
                            <w:spacing w:val="-14"/>
                            <w:sz w:val="20"/>
                          </w:rPr>
                          <w:t> </w:t>
                        </w:r>
                        <w:r>
                          <w:rPr>
                            <w:sz w:val="20"/>
                          </w:rPr>
                          <w:t>León</w:t>
                        </w:r>
                        <w:r>
                          <w:rPr>
                            <w:spacing w:val="-14"/>
                            <w:sz w:val="20"/>
                          </w:rPr>
                          <w:t> </w:t>
                        </w:r>
                        <w:r>
                          <w:rPr>
                            <w:sz w:val="20"/>
                          </w:rPr>
                          <w:t>Cortés. ULDS Turrialba.</w:t>
                        </w:r>
                      </w:p>
                    </w:txbxContent>
                  </v:textbox>
                  <w10:wrap type="none"/>
                </v:shape>
                <v:shape style="position:absolute;left:6177;top:2495;width:1458;height:802" type="#_x0000_t202" id="docshape55" filled="false" stroked="false">
                  <v:textbox inset="0,0,0,0">
                    <w:txbxContent>
                      <w:p>
                        <w:pPr>
                          <w:spacing w:line="225" w:lineRule="exact" w:before="0"/>
                          <w:ind w:left="4" w:right="18" w:firstLine="0"/>
                          <w:jc w:val="center"/>
                          <w:rPr>
                            <w:sz w:val="20"/>
                          </w:rPr>
                        </w:pPr>
                        <w:r>
                          <w:rPr>
                            <w:sz w:val="20"/>
                          </w:rPr>
                          <w:t>Huetar</w:t>
                        </w:r>
                        <w:r>
                          <w:rPr>
                            <w:spacing w:val="-8"/>
                            <w:sz w:val="20"/>
                          </w:rPr>
                          <w:t> </w:t>
                        </w:r>
                        <w:r>
                          <w:rPr>
                            <w:spacing w:val="-2"/>
                            <w:sz w:val="20"/>
                          </w:rPr>
                          <w:t>Caribe</w:t>
                        </w:r>
                      </w:p>
                      <w:p>
                        <w:pPr>
                          <w:spacing w:line="280" w:lineRule="atLeast" w:before="8"/>
                          <w:ind w:left="-1" w:right="18" w:firstLine="0"/>
                          <w:jc w:val="center"/>
                          <w:rPr>
                            <w:sz w:val="20"/>
                          </w:rPr>
                        </w:pPr>
                        <w:r>
                          <w:rPr>
                            <w:sz w:val="20"/>
                          </w:rPr>
                          <w:t>ULDS Limón. ULDS</w:t>
                        </w:r>
                        <w:r>
                          <w:rPr>
                            <w:spacing w:val="-14"/>
                            <w:sz w:val="20"/>
                          </w:rPr>
                          <w:t> </w:t>
                        </w:r>
                        <w:r>
                          <w:rPr>
                            <w:sz w:val="20"/>
                          </w:rPr>
                          <w:t>Siquirres.</w:t>
                        </w:r>
                      </w:p>
                    </w:txbxContent>
                  </v:textbox>
                  <w10:wrap type="none"/>
                </v:shape>
                <v:shape style="position:absolute;left:2750;top:4370;width:1672;height:802" type="#_x0000_t202" id="docshape56" filled="false" stroked="false">
                  <v:textbox inset="0,0,0,0">
                    <w:txbxContent>
                      <w:p>
                        <w:pPr>
                          <w:spacing w:line="300" w:lineRule="auto" w:before="0"/>
                          <w:ind w:left="197" w:right="0" w:hanging="145"/>
                          <w:jc w:val="left"/>
                          <w:rPr>
                            <w:sz w:val="20"/>
                          </w:rPr>
                        </w:pPr>
                        <w:r>
                          <w:rPr>
                            <w:sz w:val="20"/>
                          </w:rPr>
                          <w:t>ARDS</w:t>
                        </w:r>
                        <w:r>
                          <w:rPr>
                            <w:spacing w:val="-14"/>
                            <w:sz w:val="20"/>
                          </w:rPr>
                          <w:t> </w:t>
                        </w:r>
                        <w:r>
                          <w:rPr>
                            <w:sz w:val="20"/>
                          </w:rPr>
                          <w:t>Chorotega ULDS Liberia.</w:t>
                        </w:r>
                      </w:p>
                      <w:p>
                        <w:pPr>
                          <w:spacing w:before="0"/>
                          <w:ind w:left="0" w:right="0" w:firstLine="0"/>
                          <w:jc w:val="left"/>
                          <w:rPr>
                            <w:sz w:val="20"/>
                          </w:rPr>
                        </w:pPr>
                        <w:r>
                          <w:rPr>
                            <w:sz w:val="20"/>
                          </w:rPr>
                          <w:t>ULDS</w:t>
                        </w:r>
                        <w:r>
                          <w:rPr>
                            <w:spacing w:val="-5"/>
                            <w:sz w:val="20"/>
                          </w:rPr>
                          <w:t> </w:t>
                        </w:r>
                        <w:r>
                          <w:rPr>
                            <w:sz w:val="20"/>
                          </w:rPr>
                          <w:t>Santa</w:t>
                        </w:r>
                        <w:r>
                          <w:rPr>
                            <w:spacing w:val="-8"/>
                            <w:sz w:val="20"/>
                          </w:rPr>
                          <w:t> </w:t>
                        </w:r>
                        <w:r>
                          <w:rPr>
                            <w:spacing w:val="-2"/>
                            <w:sz w:val="20"/>
                          </w:rPr>
                          <w:t>Cruz.</w:t>
                        </w:r>
                      </w:p>
                    </w:txbxContent>
                  </v:textbox>
                  <w10:wrap type="none"/>
                </v:shape>
                <v:shape style="position:absolute;left:6081;top:4226;width:1650;height:802" type="#_x0000_t202" id="docshape57" filled="false" stroked="false">
                  <v:textbox inset="0,0,0,0">
                    <w:txbxContent>
                      <w:p>
                        <w:pPr>
                          <w:spacing w:line="300" w:lineRule="auto" w:before="0"/>
                          <w:ind w:left="0" w:right="0" w:firstLine="244"/>
                          <w:jc w:val="left"/>
                          <w:rPr>
                            <w:sz w:val="20"/>
                          </w:rPr>
                        </w:pPr>
                        <w:r>
                          <w:rPr>
                            <w:sz w:val="20"/>
                          </w:rPr>
                          <w:t>Huetar Norte ULDS</w:t>
                        </w:r>
                        <w:r>
                          <w:rPr>
                            <w:spacing w:val="-4"/>
                            <w:sz w:val="20"/>
                          </w:rPr>
                          <w:t> </w:t>
                        </w:r>
                        <w:r>
                          <w:rPr>
                            <w:sz w:val="20"/>
                          </w:rPr>
                          <w:t>San</w:t>
                        </w:r>
                        <w:r>
                          <w:rPr>
                            <w:spacing w:val="-9"/>
                            <w:sz w:val="20"/>
                          </w:rPr>
                          <w:t> </w:t>
                        </w:r>
                        <w:r>
                          <w:rPr>
                            <w:spacing w:val="-2"/>
                            <w:sz w:val="20"/>
                          </w:rPr>
                          <w:t>Carlos.</w:t>
                        </w:r>
                      </w:p>
                      <w:p>
                        <w:pPr>
                          <w:spacing w:before="0"/>
                          <w:ind w:left="28" w:right="0" w:firstLine="0"/>
                          <w:jc w:val="left"/>
                          <w:rPr>
                            <w:sz w:val="20"/>
                          </w:rPr>
                        </w:pPr>
                        <w:r>
                          <w:rPr>
                            <w:sz w:val="20"/>
                          </w:rPr>
                          <w:t>ULDS</w:t>
                        </w:r>
                        <w:r>
                          <w:rPr>
                            <w:spacing w:val="-2"/>
                            <w:sz w:val="20"/>
                          </w:rPr>
                          <w:t> </w:t>
                        </w:r>
                        <w:r>
                          <w:rPr>
                            <w:sz w:val="20"/>
                          </w:rPr>
                          <w:t>Los</w:t>
                        </w:r>
                        <w:r>
                          <w:rPr>
                            <w:spacing w:val="-6"/>
                            <w:sz w:val="20"/>
                          </w:rPr>
                          <w:t> </w:t>
                        </w:r>
                        <w:r>
                          <w:rPr>
                            <w:spacing w:val="-2"/>
                            <w:sz w:val="20"/>
                          </w:rPr>
                          <w:t>Chiles.</w:t>
                        </w:r>
                      </w:p>
                    </w:txbxContent>
                  </v:textbox>
                  <w10:wrap type="none"/>
                </v:shape>
                <w10:wrap type="topAndBottom"/>
              </v:group>
            </w:pict>
          </mc:Fallback>
        </mc:AlternateContent>
      </w:r>
    </w:p>
    <w:p>
      <w:pPr>
        <w:pStyle w:val="BodyText"/>
        <w:rPr>
          <w:b/>
        </w:rPr>
      </w:pPr>
    </w:p>
    <w:p>
      <w:pPr>
        <w:pStyle w:val="BodyText"/>
        <w:spacing w:before="59"/>
        <w:rPr>
          <w:b/>
        </w:rPr>
      </w:pPr>
    </w:p>
    <w:p>
      <w:pPr>
        <w:spacing w:before="0"/>
        <w:ind w:left="1383" w:right="0" w:firstLine="0"/>
        <w:jc w:val="left"/>
        <w:rPr>
          <w:b/>
          <w:sz w:val="18"/>
        </w:rPr>
      </w:pPr>
      <w:r>
        <w:rPr>
          <w:b/>
          <w:sz w:val="18"/>
        </w:rPr>
        <w:t>Fuente:</w:t>
      </w:r>
      <w:r>
        <w:rPr>
          <w:b/>
          <w:spacing w:val="-3"/>
          <w:sz w:val="18"/>
        </w:rPr>
        <w:t> </w:t>
      </w:r>
      <w:r>
        <w:rPr>
          <w:b/>
          <w:sz w:val="18"/>
        </w:rPr>
        <w:t>elaboración</w:t>
      </w:r>
      <w:r>
        <w:rPr>
          <w:b/>
          <w:spacing w:val="-4"/>
          <w:sz w:val="18"/>
        </w:rPr>
        <w:t> </w:t>
      </w:r>
      <w:r>
        <w:rPr>
          <w:b/>
          <w:sz w:val="18"/>
        </w:rPr>
        <w:t>propia</w:t>
      </w:r>
      <w:r>
        <w:rPr>
          <w:b/>
          <w:spacing w:val="-3"/>
          <w:sz w:val="18"/>
        </w:rPr>
        <w:t> </w:t>
      </w:r>
      <w:r>
        <w:rPr>
          <w:b/>
          <w:sz w:val="18"/>
        </w:rPr>
        <w:t>con</w:t>
      </w:r>
      <w:r>
        <w:rPr>
          <w:b/>
          <w:spacing w:val="-4"/>
          <w:sz w:val="18"/>
        </w:rPr>
        <w:t> </w:t>
      </w:r>
      <w:r>
        <w:rPr>
          <w:b/>
          <w:sz w:val="18"/>
        </w:rPr>
        <w:t>base</w:t>
      </w:r>
      <w:r>
        <w:rPr>
          <w:b/>
          <w:spacing w:val="-8"/>
          <w:sz w:val="18"/>
        </w:rPr>
        <w:t> </w:t>
      </w:r>
      <w:r>
        <w:rPr>
          <w:b/>
          <w:sz w:val="18"/>
        </w:rPr>
        <w:t>en</w:t>
      </w:r>
      <w:r>
        <w:rPr>
          <w:b/>
          <w:spacing w:val="-8"/>
          <w:sz w:val="18"/>
        </w:rPr>
        <w:t> </w:t>
      </w:r>
      <w:r>
        <w:rPr>
          <w:b/>
          <w:sz w:val="18"/>
        </w:rPr>
        <w:t>los</w:t>
      </w:r>
      <w:r>
        <w:rPr>
          <w:b/>
          <w:spacing w:val="-8"/>
          <w:sz w:val="18"/>
        </w:rPr>
        <w:t> </w:t>
      </w:r>
      <w:r>
        <w:rPr>
          <w:b/>
          <w:sz w:val="18"/>
        </w:rPr>
        <w:t>resultados</w:t>
      </w:r>
      <w:r>
        <w:rPr>
          <w:b/>
          <w:spacing w:val="-7"/>
          <w:sz w:val="18"/>
        </w:rPr>
        <w:t> </w:t>
      </w:r>
      <w:r>
        <w:rPr>
          <w:b/>
          <w:sz w:val="18"/>
        </w:rPr>
        <w:t>de</w:t>
      </w:r>
      <w:r>
        <w:rPr>
          <w:b/>
          <w:spacing w:val="-4"/>
          <w:sz w:val="18"/>
        </w:rPr>
        <w:t> </w:t>
      </w:r>
      <w:r>
        <w:rPr>
          <w:b/>
          <w:sz w:val="18"/>
        </w:rPr>
        <w:t>la</w:t>
      </w:r>
      <w:r>
        <w:rPr>
          <w:b/>
          <w:spacing w:val="-8"/>
          <w:sz w:val="18"/>
        </w:rPr>
        <w:t> </w:t>
      </w:r>
      <w:r>
        <w:rPr>
          <w:b/>
          <w:sz w:val="18"/>
        </w:rPr>
        <w:t>Autoevaluación</w:t>
      </w:r>
      <w:r>
        <w:rPr>
          <w:b/>
          <w:spacing w:val="-8"/>
          <w:sz w:val="18"/>
        </w:rPr>
        <w:t> </w:t>
      </w:r>
      <w:r>
        <w:rPr>
          <w:b/>
          <w:spacing w:val="-2"/>
          <w:sz w:val="18"/>
        </w:rPr>
        <w:t>2024.</w:t>
      </w:r>
    </w:p>
    <w:p>
      <w:pPr>
        <w:spacing w:after="0"/>
        <w:jc w:val="left"/>
        <w:rPr>
          <w:b/>
          <w:sz w:val="18"/>
        </w:rPr>
        <w:sectPr>
          <w:pgSz w:w="12240" w:h="15840"/>
          <w:pgMar w:header="0" w:footer="1021" w:top="1340" w:bottom="1220" w:left="720" w:right="360"/>
        </w:sectPr>
      </w:pPr>
    </w:p>
    <w:p>
      <w:pPr>
        <w:pStyle w:val="BodyText"/>
        <w:spacing w:line="276" w:lineRule="auto" w:before="76"/>
        <w:ind w:left="979" w:right="1343"/>
        <w:jc w:val="both"/>
      </w:pPr>
      <w:r>
        <w:rPr/>
        <w:t>En</w:t>
      </w:r>
      <w:r>
        <w:rPr>
          <w:spacing w:val="-16"/>
        </w:rPr>
        <w:t> </w:t>
      </w:r>
      <w:r>
        <w:rPr/>
        <w:t>total</w:t>
      </w:r>
      <w:r>
        <w:rPr>
          <w:spacing w:val="-15"/>
        </w:rPr>
        <w:t> </w:t>
      </w:r>
      <w:r>
        <w:rPr/>
        <w:t>participaron</w:t>
      </w:r>
      <w:r>
        <w:rPr>
          <w:spacing w:val="-9"/>
        </w:rPr>
        <w:t> </w:t>
      </w:r>
      <w:r>
        <w:rPr/>
        <w:t>14</w:t>
      </w:r>
      <w:r>
        <w:rPr>
          <w:spacing w:val="-9"/>
        </w:rPr>
        <w:t> </w:t>
      </w:r>
      <w:r>
        <w:rPr/>
        <w:t>ULDS</w:t>
      </w:r>
      <w:r>
        <w:rPr>
          <w:spacing w:val="-14"/>
        </w:rPr>
        <w:t> </w:t>
      </w:r>
      <w:r>
        <w:rPr/>
        <w:t>de</w:t>
      </w:r>
      <w:r>
        <w:rPr>
          <w:spacing w:val="-14"/>
        </w:rPr>
        <w:t> </w:t>
      </w:r>
      <w:r>
        <w:rPr/>
        <w:t>7</w:t>
      </w:r>
      <w:r>
        <w:rPr>
          <w:spacing w:val="-14"/>
        </w:rPr>
        <w:t> </w:t>
      </w:r>
      <w:r>
        <w:rPr/>
        <w:t>ARDS;</w:t>
      </w:r>
      <w:r>
        <w:rPr>
          <w:spacing w:val="-10"/>
        </w:rPr>
        <w:t> </w:t>
      </w:r>
      <w:r>
        <w:rPr/>
        <w:t>es</w:t>
      </w:r>
      <w:r>
        <w:rPr>
          <w:spacing w:val="-11"/>
        </w:rPr>
        <w:t> </w:t>
      </w:r>
      <w:r>
        <w:rPr/>
        <w:t>importante</w:t>
      </w:r>
      <w:r>
        <w:rPr>
          <w:spacing w:val="-14"/>
        </w:rPr>
        <w:t> </w:t>
      </w:r>
      <w:r>
        <w:rPr/>
        <w:t>aclarar</w:t>
      </w:r>
      <w:r>
        <w:rPr>
          <w:spacing w:val="-16"/>
        </w:rPr>
        <w:t> </w:t>
      </w:r>
      <w:r>
        <w:rPr/>
        <w:t>que</w:t>
      </w:r>
      <w:r>
        <w:rPr>
          <w:spacing w:val="-13"/>
        </w:rPr>
        <w:t> </w:t>
      </w:r>
      <w:r>
        <w:rPr/>
        <w:t>al</w:t>
      </w:r>
      <w:r>
        <w:rPr>
          <w:spacing w:val="-16"/>
        </w:rPr>
        <w:t> </w:t>
      </w:r>
      <w:r>
        <w:rPr/>
        <w:t>momento</w:t>
      </w:r>
      <w:r>
        <w:rPr>
          <w:spacing w:val="-13"/>
        </w:rPr>
        <w:t> </w:t>
      </w:r>
      <w:r>
        <w:rPr/>
        <w:t>de</w:t>
      </w:r>
      <w:r>
        <w:rPr>
          <w:spacing w:val="-14"/>
        </w:rPr>
        <w:t> </w:t>
      </w:r>
      <w:r>
        <w:rPr/>
        <w:t>realizar el proceso de Autoevaluación 2024 existía el ARDS Heredia sin embargo mediante CIRCULAR IMAS-GG-CIRC-0010-2025 se suprime el Área Regional de Desarrollo Social de Heredia y se crea el Área Regional de Desarrollo Social Central Occidente.</w:t>
      </w:r>
    </w:p>
    <w:p>
      <w:pPr>
        <w:pStyle w:val="BodyText"/>
        <w:spacing w:before="38"/>
      </w:pPr>
    </w:p>
    <w:p>
      <w:pPr>
        <w:pStyle w:val="BodyText"/>
        <w:spacing w:line="276" w:lineRule="auto"/>
        <w:ind w:left="979" w:right="1338"/>
        <w:jc w:val="both"/>
      </w:pPr>
      <w:r>
        <w:rPr/>
        <w:t>Cada</w:t>
      </w:r>
      <w:r>
        <w:rPr>
          <w:spacing w:val="-1"/>
        </w:rPr>
        <w:t> </w:t>
      </w:r>
      <w:r>
        <w:rPr/>
        <w:t>ULDS</w:t>
      </w:r>
      <w:r>
        <w:rPr>
          <w:spacing w:val="-1"/>
        </w:rPr>
        <w:t> </w:t>
      </w:r>
      <w:r>
        <w:rPr/>
        <w:t>completó el cuestionario</w:t>
      </w:r>
      <w:r>
        <w:rPr>
          <w:spacing w:val="-1"/>
        </w:rPr>
        <w:t> </w:t>
      </w:r>
      <w:r>
        <w:rPr/>
        <w:t>el cual estaba conformado</w:t>
      </w:r>
      <w:r>
        <w:rPr>
          <w:spacing w:val="-1"/>
        </w:rPr>
        <w:t> </w:t>
      </w:r>
      <w:r>
        <w:rPr/>
        <w:t>de</w:t>
      </w:r>
      <w:r>
        <w:rPr>
          <w:spacing w:val="-1"/>
        </w:rPr>
        <w:t> </w:t>
      </w:r>
      <w:r>
        <w:rPr/>
        <w:t>18 preguntas,</w:t>
      </w:r>
      <w:r>
        <w:rPr>
          <w:spacing w:val="-1"/>
        </w:rPr>
        <w:t> </w:t>
      </w:r>
      <w:r>
        <w:rPr/>
        <w:t>para un total</w:t>
      </w:r>
      <w:r>
        <w:rPr>
          <w:spacing w:val="-6"/>
        </w:rPr>
        <w:t> </w:t>
      </w:r>
      <w:r>
        <w:rPr/>
        <w:t>252</w:t>
      </w:r>
      <w:r>
        <w:rPr>
          <w:spacing w:val="-8"/>
        </w:rPr>
        <w:t> </w:t>
      </w:r>
      <w:r>
        <w:rPr/>
        <w:t>preguntas</w:t>
      </w:r>
      <w:r>
        <w:rPr>
          <w:spacing w:val="-10"/>
        </w:rPr>
        <w:t> </w:t>
      </w:r>
      <w:r>
        <w:rPr/>
        <w:t>descritas</w:t>
      </w:r>
      <w:r>
        <w:rPr>
          <w:spacing w:val="-10"/>
        </w:rPr>
        <w:t> </w:t>
      </w:r>
      <w:r>
        <w:rPr/>
        <w:t>en</w:t>
      </w:r>
      <w:r>
        <w:rPr>
          <w:spacing w:val="-8"/>
        </w:rPr>
        <w:t> </w:t>
      </w:r>
      <w:r>
        <w:rPr/>
        <w:t>los</w:t>
      </w:r>
      <w:r>
        <w:rPr>
          <w:spacing w:val="-5"/>
        </w:rPr>
        <w:t> </w:t>
      </w:r>
      <w:r>
        <w:rPr/>
        <w:t>cinco</w:t>
      </w:r>
      <w:r>
        <w:rPr>
          <w:spacing w:val="-8"/>
        </w:rPr>
        <w:t> </w:t>
      </w:r>
      <w:r>
        <w:rPr/>
        <w:t>componentes</w:t>
      </w:r>
      <w:r>
        <w:rPr>
          <w:spacing w:val="-5"/>
        </w:rPr>
        <w:t> </w:t>
      </w:r>
      <w:r>
        <w:rPr/>
        <w:t>funcionales</w:t>
      </w:r>
      <w:r>
        <w:rPr>
          <w:spacing w:val="-10"/>
        </w:rPr>
        <w:t> </w:t>
      </w:r>
      <w:r>
        <w:rPr/>
        <w:t>del</w:t>
      </w:r>
      <w:r>
        <w:rPr>
          <w:spacing w:val="-11"/>
        </w:rPr>
        <w:t> </w:t>
      </w:r>
      <w:r>
        <w:rPr/>
        <w:t>Sistema</w:t>
      </w:r>
      <w:r>
        <w:rPr>
          <w:spacing w:val="-8"/>
        </w:rPr>
        <w:t> </w:t>
      </w:r>
      <w:r>
        <w:rPr/>
        <w:t>de</w:t>
      </w:r>
      <w:r>
        <w:rPr>
          <w:spacing w:val="-3"/>
        </w:rPr>
        <w:t> </w:t>
      </w:r>
      <w:r>
        <w:rPr/>
        <w:t>Control Interno a saber; Ambiente de Control, Actividades de Control, Valoración de Riesgos, Seguimiento y Sistemas de Información.</w:t>
      </w:r>
    </w:p>
    <w:p>
      <w:pPr>
        <w:pStyle w:val="BodyText"/>
      </w:pPr>
    </w:p>
    <w:p>
      <w:pPr>
        <w:pStyle w:val="BodyText"/>
        <w:ind w:left="979" w:right="1348"/>
        <w:jc w:val="both"/>
      </w:pPr>
      <w:r>
        <w:rPr/>
        <w:t>En</w:t>
      </w:r>
      <w:r>
        <w:rPr>
          <w:spacing w:val="-5"/>
        </w:rPr>
        <w:t> </w:t>
      </w:r>
      <w:r>
        <w:rPr/>
        <w:t>términos</w:t>
      </w:r>
      <w:r>
        <w:rPr>
          <w:spacing w:val="-12"/>
        </w:rPr>
        <w:t> </w:t>
      </w:r>
      <w:r>
        <w:rPr/>
        <w:t>generales</w:t>
      </w:r>
      <w:r>
        <w:rPr>
          <w:spacing w:val="-12"/>
        </w:rPr>
        <w:t> </w:t>
      </w:r>
      <w:r>
        <w:rPr/>
        <w:t>podemos</w:t>
      </w:r>
      <w:r>
        <w:rPr>
          <w:spacing w:val="-7"/>
        </w:rPr>
        <w:t> </w:t>
      </w:r>
      <w:r>
        <w:rPr/>
        <w:t>indicar</w:t>
      </w:r>
      <w:r>
        <w:rPr>
          <w:spacing w:val="-9"/>
        </w:rPr>
        <w:t> </w:t>
      </w:r>
      <w:r>
        <w:rPr/>
        <w:t>que</w:t>
      </w:r>
      <w:r>
        <w:rPr>
          <w:spacing w:val="-5"/>
        </w:rPr>
        <w:t> </w:t>
      </w:r>
      <w:r>
        <w:rPr/>
        <w:t>la</w:t>
      </w:r>
      <w:r>
        <w:rPr>
          <w:spacing w:val="-5"/>
        </w:rPr>
        <w:t> </w:t>
      </w:r>
      <w:r>
        <w:rPr/>
        <w:t>institución</w:t>
      </w:r>
      <w:r>
        <w:rPr>
          <w:spacing w:val="-5"/>
        </w:rPr>
        <w:t> </w:t>
      </w:r>
      <w:r>
        <w:rPr/>
        <w:t>cuenta</w:t>
      </w:r>
      <w:r>
        <w:rPr>
          <w:spacing w:val="-5"/>
        </w:rPr>
        <w:t> </w:t>
      </w:r>
      <w:r>
        <w:rPr/>
        <w:t>con</w:t>
      </w:r>
      <w:r>
        <w:rPr>
          <w:spacing w:val="-10"/>
        </w:rPr>
        <w:t> </w:t>
      </w:r>
      <w:r>
        <w:rPr/>
        <w:t>un</w:t>
      </w:r>
      <w:r>
        <w:rPr>
          <w:spacing w:val="-5"/>
        </w:rPr>
        <w:t> </w:t>
      </w:r>
      <w:r>
        <w:rPr/>
        <w:t>nivel</w:t>
      </w:r>
      <w:r>
        <w:rPr>
          <w:spacing w:val="-8"/>
        </w:rPr>
        <w:t> </w:t>
      </w:r>
      <w:r>
        <w:rPr/>
        <w:t>global</w:t>
      </w:r>
      <w:r>
        <w:rPr>
          <w:spacing w:val="-13"/>
        </w:rPr>
        <w:t> </w:t>
      </w:r>
      <w:r>
        <w:rPr/>
        <w:t>en</w:t>
      </w:r>
      <w:r>
        <w:rPr>
          <w:spacing w:val="-5"/>
        </w:rPr>
        <w:t> </w:t>
      </w:r>
      <w:r>
        <w:rPr/>
        <w:t>sus estados de cumplimiento aceptables, como se describe en la siguiente grafica.</w:t>
      </w:r>
    </w:p>
    <w:p>
      <w:pPr>
        <w:pStyle w:val="BodyText"/>
      </w:pPr>
    </w:p>
    <w:p>
      <w:pPr>
        <w:pStyle w:val="BodyText"/>
        <w:spacing w:before="1"/>
      </w:pPr>
    </w:p>
    <w:p>
      <w:pPr>
        <w:pStyle w:val="Heading2"/>
        <w:ind w:left="792" w:right="1020"/>
        <w:jc w:val="center"/>
      </w:pPr>
      <w:bookmarkStart w:name="_bookmark20" w:id="21"/>
      <w:bookmarkEnd w:id="21"/>
      <w:r>
        <w:rPr>
          <w:b w:val="0"/>
        </w:rPr>
      </w:r>
      <w:r>
        <w:rPr/>
        <w:t>Gráfico</w:t>
      </w:r>
      <w:r>
        <w:rPr>
          <w:spacing w:val="-6"/>
        </w:rPr>
        <w:t> </w:t>
      </w:r>
      <w:r>
        <w:rPr/>
        <w:t>2:</w:t>
      </w:r>
      <w:r>
        <w:rPr>
          <w:spacing w:val="-6"/>
        </w:rPr>
        <w:t> </w:t>
      </w:r>
      <w:r>
        <w:rPr/>
        <w:t>Resultados</w:t>
      </w:r>
      <w:r>
        <w:rPr>
          <w:spacing w:val="-7"/>
        </w:rPr>
        <w:t> </w:t>
      </w:r>
      <w:r>
        <w:rPr/>
        <w:t>globales</w:t>
      </w:r>
      <w:r>
        <w:rPr>
          <w:spacing w:val="-3"/>
        </w:rPr>
        <w:t> </w:t>
      </w:r>
      <w:r>
        <w:rPr/>
        <w:t>por</w:t>
      </w:r>
      <w:r>
        <w:rPr>
          <w:spacing w:val="-8"/>
        </w:rPr>
        <w:t> </w:t>
      </w:r>
      <w:r>
        <w:rPr/>
        <w:t>Estado</w:t>
      </w:r>
      <w:r>
        <w:rPr>
          <w:spacing w:val="-5"/>
        </w:rPr>
        <w:t> </w:t>
      </w:r>
      <w:r>
        <w:rPr/>
        <w:t>de</w:t>
      </w:r>
      <w:r>
        <w:rPr>
          <w:spacing w:val="-11"/>
        </w:rPr>
        <w:t> </w:t>
      </w:r>
      <w:r>
        <w:rPr>
          <w:spacing w:val="-2"/>
        </w:rPr>
        <w:t>Cumplimiento</w:t>
      </w:r>
    </w:p>
    <w:p>
      <w:pPr>
        <w:pStyle w:val="BodyText"/>
        <w:spacing w:before="21"/>
        <w:rPr>
          <w:b/>
          <w:sz w:val="20"/>
        </w:rPr>
      </w:pPr>
      <w:r>
        <w:rPr>
          <w:b/>
          <w:sz w:val="20"/>
        </w:rPr>
        <w:drawing>
          <wp:anchor distT="0" distB="0" distL="0" distR="0" allowOverlap="1" layoutInCell="1" locked="0" behindDoc="1" simplePos="0" relativeHeight="487589888">
            <wp:simplePos x="0" y="0"/>
            <wp:positionH relativeFrom="page">
              <wp:posOffset>1838325</wp:posOffset>
            </wp:positionH>
            <wp:positionV relativeFrom="paragraph">
              <wp:posOffset>175227</wp:posOffset>
            </wp:positionV>
            <wp:extent cx="4583854" cy="2755391"/>
            <wp:effectExtent l="0" t="0" r="0" b="0"/>
            <wp:wrapTopAndBottom/>
            <wp:docPr id="60" name="Image 60" descr="Gráfico, Gráfico circular  El contenido generado por IA puede ser incorrecto."/>
            <wp:cNvGraphicFramePr>
              <a:graphicFrameLocks/>
            </wp:cNvGraphicFramePr>
            <a:graphic>
              <a:graphicData uri="http://schemas.openxmlformats.org/drawingml/2006/picture">
                <pic:pic>
                  <pic:nvPicPr>
                    <pic:cNvPr id="60" name="Image 60" descr="Gráfico, Gráfico circular  El contenido generado por IA puede ser incorrecto."/>
                    <pic:cNvPicPr/>
                  </pic:nvPicPr>
                  <pic:blipFill>
                    <a:blip r:embed="rId39" cstate="print"/>
                    <a:stretch>
                      <a:fillRect/>
                    </a:stretch>
                  </pic:blipFill>
                  <pic:spPr>
                    <a:xfrm>
                      <a:off x="0" y="0"/>
                      <a:ext cx="4583854" cy="2755391"/>
                    </a:xfrm>
                    <a:prstGeom prst="rect">
                      <a:avLst/>
                    </a:prstGeom>
                  </pic:spPr>
                </pic:pic>
              </a:graphicData>
            </a:graphic>
          </wp:anchor>
        </w:drawing>
      </w:r>
    </w:p>
    <w:p>
      <w:pPr>
        <w:pStyle w:val="BodyText"/>
        <w:spacing w:before="198"/>
        <w:rPr>
          <w:b/>
        </w:rPr>
      </w:pPr>
    </w:p>
    <w:p>
      <w:pPr>
        <w:spacing w:before="0"/>
        <w:ind w:left="979" w:right="1443" w:firstLine="0"/>
        <w:jc w:val="left"/>
        <w:rPr>
          <w:b/>
          <w:sz w:val="18"/>
        </w:rPr>
      </w:pPr>
      <w:r>
        <w:rPr>
          <w:b/>
          <w:sz w:val="18"/>
        </w:rPr>
        <w:t>Fuente: Elaborado</w:t>
      </w:r>
      <w:r>
        <w:rPr>
          <w:b/>
          <w:spacing w:val="-6"/>
          <w:sz w:val="18"/>
        </w:rPr>
        <w:t> </w:t>
      </w:r>
      <w:r>
        <w:rPr>
          <w:b/>
          <w:sz w:val="18"/>
        </w:rPr>
        <w:t>por</w:t>
      </w:r>
      <w:r>
        <w:rPr>
          <w:b/>
          <w:spacing w:val="-4"/>
          <w:sz w:val="18"/>
        </w:rPr>
        <w:t> </w:t>
      </w:r>
      <w:r>
        <w:rPr>
          <w:b/>
          <w:sz w:val="18"/>
        </w:rPr>
        <w:t>Planificación</w:t>
      </w:r>
      <w:r>
        <w:rPr>
          <w:b/>
          <w:spacing w:val="-10"/>
          <w:sz w:val="18"/>
        </w:rPr>
        <w:t> </w:t>
      </w:r>
      <w:r>
        <w:rPr>
          <w:b/>
          <w:sz w:val="18"/>
        </w:rPr>
        <w:t>Institucional con</w:t>
      </w:r>
      <w:r>
        <w:rPr>
          <w:b/>
          <w:spacing w:val="-6"/>
          <w:sz w:val="18"/>
        </w:rPr>
        <w:t> </w:t>
      </w:r>
      <w:r>
        <w:rPr>
          <w:b/>
          <w:sz w:val="18"/>
        </w:rPr>
        <w:t>base</w:t>
      </w:r>
      <w:r>
        <w:rPr>
          <w:b/>
          <w:spacing w:val="-1"/>
          <w:sz w:val="18"/>
        </w:rPr>
        <w:t> </w:t>
      </w:r>
      <w:r>
        <w:rPr>
          <w:b/>
          <w:sz w:val="18"/>
        </w:rPr>
        <w:t>en</w:t>
      </w:r>
      <w:r>
        <w:rPr>
          <w:b/>
          <w:spacing w:val="-6"/>
          <w:sz w:val="18"/>
        </w:rPr>
        <w:t> </w:t>
      </w:r>
      <w:r>
        <w:rPr>
          <w:b/>
          <w:sz w:val="18"/>
        </w:rPr>
        <w:t>los</w:t>
      </w:r>
      <w:r>
        <w:rPr>
          <w:b/>
          <w:spacing w:val="-5"/>
          <w:sz w:val="18"/>
        </w:rPr>
        <w:t> </w:t>
      </w:r>
      <w:r>
        <w:rPr>
          <w:b/>
          <w:sz w:val="18"/>
        </w:rPr>
        <w:t>resultados</w:t>
      </w:r>
      <w:r>
        <w:rPr>
          <w:b/>
          <w:spacing w:val="-1"/>
          <w:sz w:val="18"/>
        </w:rPr>
        <w:t> </w:t>
      </w:r>
      <w:r>
        <w:rPr>
          <w:b/>
          <w:sz w:val="18"/>
        </w:rPr>
        <w:t>de</w:t>
      </w:r>
      <w:r>
        <w:rPr>
          <w:b/>
          <w:spacing w:val="-5"/>
          <w:sz w:val="18"/>
        </w:rPr>
        <w:t> </w:t>
      </w:r>
      <w:r>
        <w:rPr>
          <w:b/>
          <w:sz w:val="18"/>
        </w:rPr>
        <w:t>la</w:t>
      </w:r>
      <w:r>
        <w:rPr>
          <w:b/>
          <w:spacing w:val="-1"/>
          <w:sz w:val="18"/>
        </w:rPr>
        <w:t> </w:t>
      </w:r>
      <w:r>
        <w:rPr>
          <w:b/>
          <w:sz w:val="18"/>
        </w:rPr>
        <w:t>Autoevaluación 2024 extraídos de Synergy Suite.</w:t>
      </w:r>
    </w:p>
    <w:p>
      <w:pPr>
        <w:pStyle w:val="BodyText"/>
        <w:spacing w:before="43"/>
        <w:rPr>
          <w:b/>
          <w:sz w:val="18"/>
        </w:rPr>
      </w:pPr>
    </w:p>
    <w:p>
      <w:pPr>
        <w:pStyle w:val="BodyText"/>
        <w:ind w:left="979" w:right="1343"/>
        <w:jc w:val="both"/>
      </w:pPr>
      <w:r>
        <w:rPr/>
        <w:t>Como puede observarse en el gráfico 2, los niveles Administrado Medible y Definido son los que poseen los porcentajes más altos, sumados representan un 68% del total de las respuestas recibidas, de acuerdo con la normativa vigente a las actividades valoradas en estos niveles no se les genera acciones de mejora.</w:t>
      </w:r>
    </w:p>
    <w:p>
      <w:pPr>
        <w:pStyle w:val="BodyText"/>
        <w:spacing w:before="2"/>
      </w:pPr>
    </w:p>
    <w:p>
      <w:pPr>
        <w:pStyle w:val="BodyText"/>
        <w:spacing w:before="1"/>
        <w:ind w:left="979" w:right="1341"/>
        <w:jc w:val="both"/>
      </w:pPr>
      <w:r>
        <w:rPr/>
        <w:t>En</w:t>
      </w:r>
      <w:r>
        <w:rPr>
          <w:spacing w:val="-1"/>
        </w:rPr>
        <w:t> </w:t>
      </w:r>
      <w:r>
        <w:rPr/>
        <w:t>lo</w:t>
      </w:r>
      <w:r>
        <w:rPr>
          <w:spacing w:val="-1"/>
        </w:rPr>
        <w:t> </w:t>
      </w:r>
      <w:r>
        <w:rPr/>
        <w:t>que</w:t>
      </w:r>
      <w:r>
        <w:rPr>
          <w:spacing w:val="-5"/>
        </w:rPr>
        <w:t> </w:t>
      </w:r>
      <w:r>
        <w:rPr/>
        <w:t>se</w:t>
      </w:r>
      <w:r>
        <w:rPr>
          <w:spacing w:val="-5"/>
        </w:rPr>
        <w:t> </w:t>
      </w:r>
      <w:r>
        <w:rPr/>
        <w:t>refiere</w:t>
      </w:r>
      <w:r>
        <w:rPr>
          <w:spacing w:val="-5"/>
        </w:rPr>
        <w:t> </w:t>
      </w:r>
      <w:r>
        <w:rPr/>
        <w:t>a</w:t>
      </w:r>
      <w:r>
        <w:rPr>
          <w:spacing w:val="-1"/>
        </w:rPr>
        <w:t> </w:t>
      </w:r>
      <w:r>
        <w:rPr/>
        <w:t>los</w:t>
      </w:r>
      <w:r>
        <w:rPr>
          <w:spacing w:val="-7"/>
        </w:rPr>
        <w:t> </w:t>
      </w:r>
      <w:r>
        <w:rPr/>
        <w:t>estados</w:t>
      </w:r>
      <w:r>
        <w:rPr>
          <w:spacing w:val="-7"/>
        </w:rPr>
        <w:t> </w:t>
      </w:r>
      <w:r>
        <w:rPr/>
        <w:t>de</w:t>
      </w:r>
      <w:r>
        <w:rPr>
          <w:spacing w:val="-1"/>
        </w:rPr>
        <w:t> </w:t>
      </w:r>
      <w:r>
        <w:rPr/>
        <w:t>cumplimiento</w:t>
      </w:r>
      <w:r>
        <w:rPr>
          <w:spacing w:val="-1"/>
        </w:rPr>
        <w:t> </w:t>
      </w:r>
      <w:r>
        <w:rPr/>
        <w:t>Repetible</w:t>
      </w:r>
      <w:r>
        <w:rPr>
          <w:spacing w:val="-5"/>
        </w:rPr>
        <w:t> </w:t>
      </w:r>
      <w:r>
        <w:rPr/>
        <w:t>pero</w:t>
      </w:r>
      <w:r>
        <w:rPr>
          <w:spacing w:val="-1"/>
        </w:rPr>
        <w:t> </w:t>
      </w:r>
      <w:r>
        <w:rPr/>
        <w:t>intuitivo</w:t>
      </w:r>
      <w:r>
        <w:rPr>
          <w:spacing w:val="-5"/>
        </w:rPr>
        <w:t> </w:t>
      </w:r>
      <w:r>
        <w:rPr/>
        <w:t>e</w:t>
      </w:r>
      <w:r>
        <w:rPr>
          <w:spacing w:val="-1"/>
        </w:rPr>
        <w:t> </w:t>
      </w:r>
      <w:r>
        <w:rPr/>
        <w:t>Incipiente</w:t>
      </w:r>
      <w:r>
        <w:rPr>
          <w:spacing w:val="-5"/>
        </w:rPr>
        <w:t> </w:t>
      </w:r>
      <w:r>
        <w:rPr/>
        <w:t>que son los que generan planes de acción y se deben de diseñar tareas de forma prioritaria para</w:t>
      </w:r>
      <w:r>
        <w:rPr>
          <w:spacing w:val="-16"/>
        </w:rPr>
        <w:t> </w:t>
      </w:r>
      <w:r>
        <w:rPr/>
        <w:t>fortalecer</w:t>
      </w:r>
      <w:r>
        <w:rPr>
          <w:spacing w:val="-15"/>
        </w:rPr>
        <w:t> </w:t>
      </w:r>
      <w:r>
        <w:rPr/>
        <w:t>el</w:t>
      </w:r>
      <w:r>
        <w:rPr>
          <w:spacing w:val="-15"/>
        </w:rPr>
        <w:t> </w:t>
      </w:r>
      <w:r>
        <w:rPr/>
        <w:t>cumplimiento</w:t>
      </w:r>
      <w:r>
        <w:rPr>
          <w:spacing w:val="-16"/>
        </w:rPr>
        <w:t> </w:t>
      </w:r>
      <w:r>
        <w:rPr/>
        <w:t>de</w:t>
      </w:r>
      <w:r>
        <w:rPr>
          <w:spacing w:val="-15"/>
        </w:rPr>
        <w:t> </w:t>
      </w:r>
      <w:r>
        <w:rPr/>
        <w:t>las</w:t>
      </w:r>
      <w:r>
        <w:rPr>
          <w:spacing w:val="-15"/>
        </w:rPr>
        <w:t> </w:t>
      </w:r>
      <w:r>
        <w:rPr/>
        <w:t>actividades</w:t>
      </w:r>
      <w:r>
        <w:rPr>
          <w:spacing w:val="-15"/>
        </w:rPr>
        <w:t> </w:t>
      </w:r>
      <w:r>
        <w:rPr/>
        <w:t>evaluadas</w:t>
      </w:r>
      <w:r>
        <w:rPr>
          <w:spacing w:val="-16"/>
        </w:rPr>
        <w:t> </w:t>
      </w:r>
      <w:r>
        <w:rPr/>
        <w:t>con</w:t>
      </w:r>
      <w:r>
        <w:rPr>
          <w:spacing w:val="-15"/>
        </w:rPr>
        <w:t> </w:t>
      </w:r>
      <w:r>
        <w:rPr/>
        <w:t>esos</w:t>
      </w:r>
      <w:r>
        <w:rPr>
          <w:spacing w:val="-15"/>
        </w:rPr>
        <w:t> </w:t>
      </w:r>
      <w:r>
        <w:rPr/>
        <w:t>niveles</w:t>
      </w:r>
      <w:r>
        <w:rPr>
          <w:spacing w:val="-16"/>
        </w:rPr>
        <w:t> </w:t>
      </w:r>
      <w:r>
        <w:rPr/>
        <w:t>corresponden al 32%.</w:t>
      </w:r>
    </w:p>
    <w:p>
      <w:pPr>
        <w:pStyle w:val="BodyText"/>
        <w:spacing w:after="0"/>
        <w:jc w:val="both"/>
        <w:sectPr>
          <w:pgSz w:w="12240" w:h="15840"/>
          <w:pgMar w:header="0" w:footer="1021" w:top="1340" w:bottom="1220" w:left="720" w:right="360"/>
        </w:sectPr>
      </w:pPr>
    </w:p>
    <w:p>
      <w:pPr>
        <w:pStyle w:val="Heading2"/>
        <w:spacing w:before="76"/>
        <w:ind w:left="1138"/>
      </w:pPr>
      <w:r>
        <w:rPr/>
        <w:drawing>
          <wp:anchor distT="0" distB="0" distL="0" distR="0" allowOverlap="1" layoutInCell="1" locked="0" behindDoc="1" simplePos="0" relativeHeight="487590400">
            <wp:simplePos x="0" y="0"/>
            <wp:positionH relativeFrom="page">
              <wp:posOffset>1749425</wp:posOffset>
            </wp:positionH>
            <wp:positionV relativeFrom="paragraph">
              <wp:posOffset>240665</wp:posOffset>
            </wp:positionV>
            <wp:extent cx="4602255" cy="2580322"/>
            <wp:effectExtent l="0" t="0" r="0" b="0"/>
            <wp:wrapTopAndBottom/>
            <wp:docPr id="61" name="Image 61" descr="Gráfico, Gráfico de barras  El contenido generado por IA puede ser incorrecto."/>
            <wp:cNvGraphicFramePr>
              <a:graphicFrameLocks/>
            </wp:cNvGraphicFramePr>
            <a:graphic>
              <a:graphicData uri="http://schemas.openxmlformats.org/drawingml/2006/picture">
                <pic:pic>
                  <pic:nvPicPr>
                    <pic:cNvPr id="61" name="Image 61" descr="Gráfico, Gráfico de barras  El contenido generado por IA puede ser incorrecto."/>
                    <pic:cNvPicPr/>
                  </pic:nvPicPr>
                  <pic:blipFill>
                    <a:blip r:embed="rId40" cstate="print"/>
                    <a:stretch>
                      <a:fillRect/>
                    </a:stretch>
                  </pic:blipFill>
                  <pic:spPr>
                    <a:xfrm>
                      <a:off x="0" y="0"/>
                      <a:ext cx="4602255" cy="2580322"/>
                    </a:xfrm>
                    <a:prstGeom prst="rect">
                      <a:avLst/>
                    </a:prstGeom>
                  </pic:spPr>
                </pic:pic>
              </a:graphicData>
            </a:graphic>
          </wp:anchor>
        </w:drawing>
      </w:r>
      <w:bookmarkStart w:name="_bookmark21" w:id="22"/>
      <w:bookmarkEnd w:id="22"/>
      <w:r>
        <w:rPr>
          <w:b w:val="0"/>
        </w:rPr>
      </w:r>
      <w:r>
        <w:rPr/>
        <w:t>Gráfico</w:t>
      </w:r>
      <w:r>
        <w:rPr>
          <w:spacing w:val="-4"/>
        </w:rPr>
        <w:t> </w:t>
      </w:r>
      <w:r>
        <w:rPr/>
        <w:t>3:</w:t>
      </w:r>
      <w:r>
        <w:rPr>
          <w:spacing w:val="-10"/>
        </w:rPr>
        <w:t> </w:t>
      </w:r>
      <w:r>
        <w:rPr/>
        <w:t>Estado</w:t>
      </w:r>
      <w:r>
        <w:rPr>
          <w:spacing w:val="-4"/>
        </w:rPr>
        <w:t> </w:t>
      </w:r>
      <w:r>
        <w:rPr/>
        <w:t>de</w:t>
      </w:r>
      <w:r>
        <w:rPr>
          <w:spacing w:val="-7"/>
        </w:rPr>
        <w:t> </w:t>
      </w:r>
      <w:r>
        <w:rPr/>
        <w:t>cumplimiento</w:t>
      </w:r>
      <w:r>
        <w:rPr>
          <w:spacing w:val="-4"/>
        </w:rPr>
        <w:t> </w:t>
      </w:r>
      <w:r>
        <w:rPr/>
        <w:t>por</w:t>
      </w:r>
      <w:r>
        <w:rPr>
          <w:spacing w:val="-8"/>
        </w:rPr>
        <w:t> </w:t>
      </w:r>
      <w:r>
        <w:rPr/>
        <w:t>componente</w:t>
      </w:r>
      <w:r>
        <w:rPr>
          <w:spacing w:val="-2"/>
        </w:rPr>
        <w:t> </w:t>
      </w:r>
      <w:r>
        <w:rPr/>
        <w:t>del</w:t>
      </w:r>
      <w:r>
        <w:rPr>
          <w:spacing w:val="-7"/>
        </w:rPr>
        <w:t> </w:t>
      </w:r>
      <w:r>
        <w:rPr/>
        <w:t>SCI</w:t>
      </w:r>
      <w:r>
        <w:rPr>
          <w:spacing w:val="3"/>
        </w:rPr>
        <w:t> </w:t>
      </w:r>
      <w:r>
        <w:rPr/>
        <w:t>–</w:t>
      </w:r>
      <w:r>
        <w:rPr>
          <w:spacing w:val="-6"/>
        </w:rPr>
        <w:t> </w:t>
      </w:r>
      <w:r>
        <w:rPr/>
        <w:t>Autoevaluación</w:t>
      </w:r>
      <w:r>
        <w:rPr>
          <w:spacing w:val="-4"/>
        </w:rPr>
        <w:t> 2024</w:t>
      </w:r>
    </w:p>
    <w:p>
      <w:pPr>
        <w:pStyle w:val="BodyText"/>
        <w:spacing w:before="95"/>
        <w:rPr>
          <w:b/>
        </w:rPr>
      </w:pPr>
    </w:p>
    <w:p>
      <w:pPr>
        <w:spacing w:line="244" w:lineRule="auto" w:before="0"/>
        <w:ind w:left="835" w:right="1344" w:firstLine="0"/>
        <w:jc w:val="left"/>
        <w:rPr>
          <w:b/>
          <w:sz w:val="18"/>
        </w:rPr>
      </w:pPr>
      <w:r>
        <w:rPr>
          <w:b/>
          <w:sz w:val="18"/>
        </w:rPr>
        <w:t>Fuente: Elaborado</w:t>
      </w:r>
      <w:r>
        <w:rPr>
          <w:b/>
          <w:spacing w:val="-5"/>
          <w:sz w:val="18"/>
        </w:rPr>
        <w:t> </w:t>
      </w:r>
      <w:r>
        <w:rPr>
          <w:b/>
          <w:sz w:val="18"/>
        </w:rPr>
        <w:t>por</w:t>
      </w:r>
      <w:r>
        <w:rPr>
          <w:b/>
          <w:spacing w:val="-3"/>
          <w:sz w:val="18"/>
        </w:rPr>
        <w:t> </w:t>
      </w:r>
      <w:r>
        <w:rPr>
          <w:b/>
          <w:sz w:val="18"/>
        </w:rPr>
        <w:t>Planificación</w:t>
      </w:r>
      <w:r>
        <w:rPr>
          <w:b/>
          <w:spacing w:val="-7"/>
          <w:sz w:val="18"/>
        </w:rPr>
        <w:t> </w:t>
      </w:r>
      <w:r>
        <w:rPr>
          <w:b/>
          <w:sz w:val="18"/>
        </w:rPr>
        <w:t>Institucional con</w:t>
      </w:r>
      <w:r>
        <w:rPr>
          <w:b/>
          <w:spacing w:val="-5"/>
          <w:sz w:val="18"/>
        </w:rPr>
        <w:t> </w:t>
      </w:r>
      <w:r>
        <w:rPr>
          <w:b/>
          <w:sz w:val="18"/>
        </w:rPr>
        <w:t>base en</w:t>
      </w:r>
      <w:r>
        <w:rPr>
          <w:b/>
          <w:spacing w:val="-5"/>
          <w:sz w:val="18"/>
        </w:rPr>
        <w:t> </w:t>
      </w:r>
      <w:r>
        <w:rPr>
          <w:b/>
          <w:sz w:val="18"/>
        </w:rPr>
        <w:t>los</w:t>
      </w:r>
      <w:r>
        <w:rPr>
          <w:b/>
          <w:spacing w:val="-4"/>
          <w:sz w:val="18"/>
        </w:rPr>
        <w:t> </w:t>
      </w:r>
      <w:r>
        <w:rPr>
          <w:b/>
          <w:sz w:val="18"/>
        </w:rPr>
        <w:t>resultados de</w:t>
      </w:r>
      <w:r>
        <w:rPr>
          <w:b/>
          <w:spacing w:val="-4"/>
          <w:sz w:val="18"/>
        </w:rPr>
        <w:t> </w:t>
      </w:r>
      <w:r>
        <w:rPr>
          <w:b/>
          <w:sz w:val="18"/>
        </w:rPr>
        <w:t>la Autoevaluación</w:t>
      </w:r>
      <w:r>
        <w:rPr>
          <w:b/>
          <w:spacing w:val="-5"/>
          <w:sz w:val="18"/>
        </w:rPr>
        <w:t> </w:t>
      </w:r>
      <w:r>
        <w:rPr>
          <w:b/>
          <w:sz w:val="18"/>
        </w:rPr>
        <w:t>2024 extraídos de Synergy Suite</w:t>
      </w:r>
    </w:p>
    <w:p>
      <w:pPr>
        <w:pStyle w:val="BodyText"/>
        <w:spacing w:before="198"/>
        <w:ind w:left="979" w:right="1344"/>
        <w:jc w:val="both"/>
      </w:pPr>
      <w:r>
        <w:rPr/>
        <w:t>Para</w:t>
      </w:r>
      <w:r>
        <w:rPr>
          <w:spacing w:val="-5"/>
        </w:rPr>
        <w:t> </w:t>
      </w:r>
      <w:r>
        <w:rPr/>
        <w:t>los</w:t>
      </w:r>
      <w:r>
        <w:rPr>
          <w:spacing w:val="-5"/>
        </w:rPr>
        <w:t> </w:t>
      </w:r>
      <w:r>
        <w:rPr/>
        <w:t>estados</w:t>
      </w:r>
      <w:r>
        <w:rPr>
          <w:spacing w:val="-7"/>
        </w:rPr>
        <w:t> </w:t>
      </w:r>
      <w:r>
        <w:rPr/>
        <w:t>de</w:t>
      </w:r>
      <w:r>
        <w:rPr>
          <w:spacing w:val="-5"/>
        </w:rPr>
        <w:t> </w:t>
      </w:r>
      <w:r>
        <w:rPr/>
        <w:t>cumplimiento</w:t>
      </w:r>
      <w:r>
        <w:rPr>
          <w:spacing w:val="-5"/>
        </w:rPr>
        <w:t> </w:t>
      </w:r>
      <w:r>
        <w:rPr/>
        <w:t>en</w:t>
      </w:r>
      <w:r>
        <w:rPr>
          <w:spacing w:val="-1"/>
        </w:rPr>
        <w:t> </w:t>
      </w:r>
      <w:r>
        <w:rPr/>
        <w:t>las</w:t>
      </w:r>
      <w:r>
        <w:rPr>
          <w:spacing w:val="-2"/>
        </w:rPr>
        <w:t> </w:t>
      </w:r>
      <w:r>
        <w:rPr/>
        <w:t>categorías</w:t>
      </w:r>
      <w:r>
        <w:rPr>
          <w:spacing w:val="-2"/>
        </w:rPr>
        <w:t> </w:t>
      </w:r>
      <w:r>
        <w:rPr/>
        <w:t>de</w:t>
      </w:r>
      <w:r>
        <w:rPr>
          <w:spacing w:val="-1"/>
        </w:rPr>
        <w:t> </w:t>
      </w:r>
      <w:r>
        <w:rPr/>
        <w:t>Repetible</w:t>
      </w:r>
      <w:r>
        <w:rPr>
          <w:spacing w:val="-5"/>
        </w:rPr>
        <w:t> </w:t>
      </w:r>
      <w:r>
        <w:rPr/>
        <w:t>pero</w:t>
      </w:r>
      <w:r>
        <w:rPr>
          <w:spacing w:val="-5"/>
        </w:rPr>
        <w:t> </w:t>
      </w:r>
      <w:r>
        <w:rPr/>
        <w:t>Intuitivo</w:t>
      </w:r>
      <w:r>
        <w:rPr>
          <w:spacing w:val="-5"/>
        </w:rPr>
        <w:t> </w:t>
      </w:r>
      <w:r>
        <w:rPr/>
        <w:t>e</w:t>
      </w:r>
      <w:r>
        <w:rPr>
          <w:spacing w:val="-1"/>
        </w:rPr>
        <w:t> </w:t>
      </w:r>
      <w:r>
        <w:rPr/>
        <w:t>Incipiente las instancias participantes han desarrollado actividades para mejorar los niveles de cumplimiento, en cada uno de los casos en que se completa la tarea han generado evidencias que se suben a la herramienta Synergy Suite como respaldo. El proceso de Control Interno de Planificación Institucional ha generado acciones de seguimiento y documentación de manera que las tareas se cumplen en tiempo y forma, en casos específicos que presentan tareas pendientes se han realizado las comunicaciones </w:t>
      </w:r>
      <w:r>
        <w:rPr>
          <w:spacing w:val="-2"/>
        </w:rPr>
        <w:t>respectivas.</w:t>
      </w:r>
    </w:p>
    <w:p>
      <w:pPr>
        <w:pStyle w:val="BodyText"/>
        <w:spacing w:before="4"/>
      </w:pPr>
    </w:p>
    <w:p>
      <w:pPr>
        <w:pStyle w:val="Heading1"/>
        <w:numPr>
          <w:ilvl w:val="2"/>
          <w:numId w:val="5"/>
        </w:numPr>
        <w:tabs>
          <w:tab w:pos="1581" w:val="left" w:leader="none"/>
        </w:tabs>
        <w:spacing w:line="458" w:lineRule="auto" w:before="0" w:after="0"/>
        <w:ind w:left="979" w:right="4401" w:firstLine="0"/>
        <w:jc w:val="left"/>
      </w:pPr>
      <w:r>
        <w:rPr/>
        <w:t>Sistema</w:t>
      </w:r>
      <w:r>
        <w:rPr>
          <w:spacing w:val="-6"/>
        </w:rPr>
        <w:t> </w:t>
      </w:r>
      <w:r>
        <w:rPr/>
        <w:t>Específico</w:t>
      </w:r>
      <w:r>
        <w:rPr>
          <w:spacing w:val="-9"/>
        </w:rPr>
        <w:t> </w:t>
      </w:r>
      <w:r>
        <w:rPr/>
        <w:t>de</w:t>
      </w:r>
      <w:r>
        <w:rPr>
          <w:spacing w:val="-8"/>
        </w:rPr>
        <w:t> </w:t>
      </w:r>
      <w:r>
        <w:rPr/>
        <w:t>Valoración</w:t>
      </w:r>
      <w:r>
        <w:rPr>
          <w:spacing w:val="-6"/>
        </w:rPr>
        <w:t> </w:t>
      </w:r>
      <w:r>
        <w:rPr/>
        <w:t>de</w:t>
      </w:r>
      <w:r>
        <w:rPr>
          <w:spacing w:val="-11"/>
        </w:rPr>
        <w:t> </w:t>
      </w:r>
      <w:r>
        <w:rPr/>
        <w:t>Riesgos Riesgos Ejes Estratégicos</w:t>
      </w:r>
    </w:p>
    <w:p>
      <w:pPr>
        <w:pStyle w:val="BodyText"/>
        <w:spacing w:before="26"/>
        <w:ind w:left="979" w:right="1331"/>
        <w:jc w:val="both"/>
      </w:pPr>
      <w:r>
        <w:rPr/>
        <w:t>Los objetivos estratégicos orientan las acciones institucionales hacia el desarrollo y la generación de valor público, priorizando resultados medibles y sostenibles. Su cumplimiento</w:t>
      </w:r>
      <w:r>
        <w:rPr>
          <w:spacing w:val="-10"/>
        </w:rPr>
        <w:t> </w:t>
      </w:r>
      <w:r>
        <w:rPr/>
        <w:t>requiere</w:t>
      </w:r>
      <w:r>
        <w:rPr>
          <w:spacing w:val="-10"/>
        </w:rPr>
        <w:t> </w:t>
      </w:r>
      <w:r>
        <w:rPr/>
        <w:t>identificar</w:t>
      </w:r>
      <w:r>
        <w:rPr>
          <w:spacing w:val="-13"/>
        </w:rPr>
        <w:t> </w:t>
      </w:r>
      <w:r>
        <w:rPr/>
        <w:t>y</w:t>
      </w:r>
      <w:r>
        <w:rPr>
          <w:spacing w:val="-12"/>
        </w:rPr>
        <w:t> </w:t>
      </w:r>
      <w:r>
        <w:rPr/>
        <w:t>gestionar</w:t>
      </w:r>
      <w:r>
        <w:rPr>
          <w:spacing w:val="-13"/>
        </w:rPr>
        <w:t> </w:t>
      </w:r>
      <w:r>
        <w:rPr/>
        <w:t>oportunamente</w:t>
      </w:r>
      <w:r>
        <w:rPr>
          <w:spacing w:val="-10"/>
        </w:rPr>
        <w:t> </w:t>
      </w:r>
      <w:r>
        <w:rPr/>
        <w:t>los</w:t>
      </w:r>
      <w:r>
        <w:rPr>
          <w:spacing w:val="-12"/>
        </w:rPr>
        <w:t> </w:t>
      </w:r>
      <w:r>
        <w:rPr/>
        <w:t>riesgos</w:t>
      </w:r>
      <w:r>
        <w:rPr>
          <w:spacing w:val="-12"/>
        </w:rPr>
        <w:t> </w:t>
      </w:r>
      <w:r>
        <w:rPr/>
        <w:t>que</w:t>
      </w:r>
      <w:r>
        <w:rPr>
          <w:spacing w:val="-10"/>
        </w:rPr>
        <w:t> </w:t>
      </w:r>
      <w:r>
        <w:rPr/>
        <w:t>pueden</w:t>
      </w:r>
      <w:r>
        <w:rPr>
          <w:spacing w:val="-10"/>
        </w:rPr>
        <w:t> </w:t>
      </w:r>
      <w:r>
        <w:rPr/>
        <w:t>afectar el logro de cada objetivo u metas. La articulación entre los planes y sus riesgos permite fortalecer</w:t>
      </w:r>
      <w:r>
        <w:rPr>
          <w:spacing w:val="-3"/>
        </w:rPr>
        <w:t> </w:t>
      </w:r>
      <w:r>
        <w:rPr/>
        <w:t>la</w:t>
      </w:r>
      <w:r>
        <w:rPr>
          <w:spacing w:val="-4"/>
        </w:rPr>
        <w:t> </w:t>
      </w:r>
      <w:r>
        <w:rPr/>
        <w:t>toma de</w:t>
      </w:r>
      <w:r>
        <w:rPr>
          <w:spacing w:val="-4"/>
        </w:rPr>
        <w:t> </w:t>
      </w:r>
      <w:r>
        <w:rPr/>
        <w:t>decisiones</w:t>
      </w:r>
      <w:r>
        <w:rPr>
          <w:spacing w:val="-1"/>
        </w:rPr>
        <w:t> </w:t>
      </w:r>
      <w:r>
        <w:rPr/>
        <w:t>basada</w:t>
      </w:r>
      <w:r>
        <w:rPr>
          <w:spacing w:val="-4"/>
        </w:rPr>
        <w:t> </w:t>
      </w:r>
      <w:r>
        <w:rPr/>
        <w:t>en</w:t>
      </w:r>
      <w:r>
        <w:rPr>
          <w:spacing w:val="-4"/>
        </w:rPr>
        <w:t> </w:t>
      </w:r>
      <w:r>
        <w:rPr/>
        <w:t>evidencia y</w:t>
      </w:r>
      <w:r>
        <w:rPr>
          <w:spacing w:val="-6"/>
        </w:rPr>
        <w:t> </w:t>
      </w:r>
      <w:r>
        <w:rPr/>
        <w:t>mejora el</w:t>
      </w:r>
      <w:r>
        <w:rPr>
          <w:spacing w:val="-2"/>
        </w:rPr>
        <w:t> </w:t>
      </w:r>
      <w:r>
        <w:rPr/>
        <w:t>impacto</w:t>
      </w:r>
      <w:r>
        <w:rPr>
          <w:spacing w:val="-4"/>
        </w:rPr>
        <w:t> </w:t>
      </w:r>
      <w:r>
        <w:rPr/>
        <w:t>de la ciudadanía que atiende el IMAS.</w:t>
      </w:r>
    </w:p>
    <w:p>
      <w:pPr>
        <w:pStyle w:val="BodyText"/>
      </w:pPr>
    </w:p>
    <w:p>
      <w:pPr>
        <w:pStyle w:val="BodyText"/>
        <w:spacing w:before="1"/>
        <w:ind w:left="979" w:right="1351"/>
        <w:jc w:val="both"/>
      </w:pPr>
      <w:r>
        <w:rPr/>
        <w:t>Siendo los ejes estratégicos los pilares que unen la planificación estratégica con la operativa; se identificaron riesgos al objetivo estratégico de los seis ejes.</w:t>
      </w:r>
    </w:p>
    <w:p>
      <w:pPr>
        <w:pStyle w:val="Heading2"/>
        <w:spacing w:before="252"/>
        <w:jc w:val="both"/>
      </w:pPr>
      <w:r>
        <w:rPr/>
        <w:t>Eje</w:t>
      </w:r>
      <w:r>
        <w:rPr>
          <w:spacing w:val="-7"/>
        </w:rPr>
        <w:t> </w:t>
      </w:r>
      <w:r>
        <w:rPr/>
        <w:t>estratégico</w:t>
      </w:r>
      <w:r>
        <w:rPr>
          <w:spacing w:val="-6"/>
        </w:rPr>
        <w:t> </w:t>
      </w:r>
      <w:r>
        <w:rPr/>
        <w:t>1:</w:t>
      </w:r>
      <w:r>
        <w:rPr>
          <w:spacing w:val="59"/>
        </w:rPr>
        <w:t> </w:t>
      </w:r>
      <w:r>
        <w:rPr/>
        <w:t>Gestión</w:t>
      </w:r>
      <w:r>
        <w:rPr>
          <w:spacing w:val="-8"/>
        </w:rPr>
        <w:t> </w:t>
      </w:r>
      <w:r>
        <w:rPr/>
        <w:t>del cambio</w:t>
      </w:r>
      <w:r>
        <w:rPr>
          <w:spacing w:val="-8"/>
        </w:rPr>
        <w:t> </w:t>
      </w:r>
      <w:r>
        <w:rPr/>
        <w:t>e</w:t>
      </w:r>
      <w:r>
        <w:rPr>
          <w:spacing w:val="-4"/>
        </w:rPr>
        <w:t> </w:t>
      </w:r>
      <w:r>
        <w:rPr/>
        <w:t>innovación</w:t>
      </w:r>
      <w:r>
        <w:rPr>
          <w:spacing w:val="-7"/>
        </w:rPr>
        <w:t> </w:t>
      </w:r>
      <w:r>
        <w:rPr>
          <w:spacing w:val="-2"/>
        </w:rPr>
        <w:t>institucional</w:t>
      </w:r>
    </w:p>
    <w:p>
      <w:pPr>
        <w:pStyle w:val="BodyText"/>
        <w:spacing w:before="251"/>
        <w:ind w:left="979" w:right="1345"/>
        <w:jc w:val="both"/>
      </w:pPr>
      <w:r>
        <w:rPr>
          <w:b/>
        </w:rPr>
        <w:t>Objetivo</w:t>
      </w:r>
      <w:r>
        <w:rPr>
          <w:b/>
          <w:spacing w:val="-16"/>
        </w:rPr>
        <w:t> </w:t>
      </w:r>
      <w:r>
        <w:rPr>
          <w:b/>
        </w:rPr>
        <w:t>estratégico:</w:t>
      </w:r>
      <w:r>
        <w:rPr>
          <w:b/>
          <w:spacing w:val="-15"/>
        </w:rPr>
        <w:t> </w:t>
      </w:r>
      <w:r>
        <w:rPr/>
        <w:t>Desarrollar</w:t>
      </w:r>
      <w:r>
        <w:rPr>
          <w:spacing w:val="-15"/>
        </w:rPr>
        <w:t> </w:t>
      </w:r>
      <w:r>
        <w:rPr/>
        <w:t>procesos</w:t>
      </w:r>
      <w:r>
        <w:rPr>
          <w:spacing w:val="-16"/>
        </w:rPr>
        <w:t> </w:t>
      </w:r>
      <w:r>
        <w:rPr/>
        <w:t>administrativos,</w:t>
      </w:r>
      <w:r>
        <w:rPr>
          <w:spacing w:val="-15"/>
        </w:rPr>
        <w:t> </w:t>
      </w:r>
      <w:r>
        <w:rPr/>
        <w:t>gerenciales</w:t>
      </w:r>
      <w:r>
        <w:rPr>
          <w:spacing w:val="-15"/>
        </w:rPr>
        <w:t> </w:t>
      </w:r>
      <w:r>
        <w:rPr/>
        <w:t>y</w:t>
      </w:r>
      <w:r>
        <w:rPr>
          <w:spacing w:val="-15"/>
        </w:rPr>
        <w:t> </w:t>
      </w:r>
      <w:r>
        <w:rPr/>
        <w:t>tecnológicos</w:t>
      </w:r>
      <w:r>
        <w:rPr>
          <w:spacing w:val="-16"/>
        </w:rPr>
        <w:t> </w:t>
      </w:r>
      <w:r>
        <w:rPr/>
        <w:t>que faciliten la</w:t>
      </w:r>
      <w:r>
        <w:rPr>
          <w:spacing w:val="-1"/>
        </w:rPr>
        <w:t> </w:t>
      </w:r>
      <w:r>
        <w:rPr/>
        <w:t>adaptabilidad</w:t>
      </w:r>
      <w:r>
        <w:rPr>
          <w:spacing w:val="-1"/>
        </w:rPr>
        <w:t> </w:t>
      </w:r>
      <w:r>
        <w:rPr/>
        <w:t>del</w:t>
      </w:r>
      <w:r>
        <w:rPr>
          <w:spacing w:val="-3"/>
        </w:rPr>
        <w:t> </w:t>
      </w:r>
      <w:r>
        <w:rPr/>
        <w:t>IMAS</w:t>
      </w:r>
      <w:r>
        <w:rPr>
          <w:spacing w:val="-1"/>
        </w:rPr>
        <w:t> </w:t>
      </w:r>
      <w:r>
        <w:rPr/>
        <w:t>a los cambios</w:t>
      </w:r>
      <w:r>
        <w:rPr>
          <w:spacing w:val="-2"/>
        </w:rPr>
        <w:t> </w:t>
      </w:r>
      <w:r>
        <w:rPr/>
        <w:t>del</w:t>
      </w:r>
      <w:r>
        <w:rPr>
          <w:spacing w:val="-3"/>
        </w:rPr>
        <w:t> </w:t>
      </w:r>
      <w:r>
        <w:rPr/>
        <w:t>entorno,</w:t>
      </w:r>
      <w:r>
        <w:rPr>
          <w:spacing w:val="-1"/>
        </w:rPr>
        <w:t> </w:t>
      </w:r>
      <w:r>
        <w:rPr/>
        <w:t>para</w:t>
      </w:r>
      <w:r>
        <w:rPr>
          <w:spacing w:val="-1"/>
        </w:rPr>
        <w:t> </w:t>
      </w:r>
      <w:r>
        <w:rPr/>
        <w:t>una</w:t>
      </w:r>
      <w:r>
        <w:rPr>
          <w:spacing w:val="-1"/>
        </w:rPr>
        <w:t> </w:t>
      </w:r>
      <w:r>
        <w:rPr/>
        <w:t>efectiva</w:t>
      </w:r>
      <w:r>
        <w:rPr>
          <w:spacing w:val="-1"/>
        </w:rPr>
        <w:t> </w:t>
      </w:r>
      <w:r>
        <w:rPr/>
        <w:t>entrega</w:t>
      </w:r>
      <w:r>
        <w:rPr>
          <w:spacing w:val="-1"/>
        </w:rPr>
        <w:t> </w:t>
      </w:r>
      <w:r>
        <w:rPr/>
        <w:t>de bienes</w:t>
      </w:r>
      <w:r>
        <w:rPr>
          <w:spacing w:val="-6"/>
        </w:rPr>
        <w:t> </w:t>
      </w:r>
      <w:r>
        <w:rPr/>
        <w:t>y</w:t>
      </w:r>
      <w:r>
        <w:rPr>
          <w:spacing w:val="-6"/>
        </w:rPr>
        <w:t> </w:t>
      </w:r>
      <w:r>
        <w:rPr/>
        <w:t>servicios</w:t>
      </w:r>
      <w:r>
        <w:rPr>
          <w:spacing w:val="-6"/>
        </w:rPr>
        <w:t> </w:t>
      </w:r>
      <w:r>
        <w:rPr/>
        <w:t>oportunos,</w:t>
      </w:r>
      <w:r>
        <w:rPr>
          <w:spacing w:val="-10"/>
        </w:rPr>
        <w:t> </w:t>
      </w:r>
      <w:r>
        <w:rPr/>
        <w:t>de</w:t>
      </w:r>
      <w:r>
        <w:rPr>
          <w:spacing w:val="-4"/>
        </w:rPr>
        <w:t> </w:t>
      </w:r>
      <w:r>
        <w:rPr/>
        <w:t>calidad</w:t>
      </w:r>
      <w:r>
        <w:rPr>
          <w:spacing w:val="-5"/>
        </w:rPr>
        <w:t> </w:t>
      </w:r>
      <w:r>
        <w:rPr/>
        <w:t>y</w:t>
      </w:r>
      <w:r>
        <w:rPr>
          <w:spacing w:val="-6"/>
        </w:rPr>
        <w:t> </w:t>
      </w:r>
      <w:r>
        <w:rPr/>
        <w:t>con</w:t>
      </w:r>
      <w:r>
        <w:rPr>
          <w:spacing w:val="-4"/>
        </w:rPr>
        <w:t> </w:t>
      </w:r>
      <w:r>
        <w:rPr/>
        <w:t>impacto</w:t>
      </w:r>
      <w:r>
        <w:rPr>
          <w:spacing w:val="-9"/>
        </w:rPr>
        <w:t> </w:t>
      </w:r>
      <w:r>
        <w:rPr/>
        <w:t>para</w:t>
      </w:r>
      <w:r>
        <w:rPr>
          <w:spacing w:val="-4"/>
        </w:rPr>
        <w:t> </w:t>
      </w:r>
      <w:r>
        <w:rPr/>
        <w:t>el</w:t>
      </w:r>
      <w:r>
        <w:rPr>
          <w:spacing w:val="-12"/>
        </w:rPr>
        <w:t> </w:t>
      </w:r>
      <w:r>
        <w:rPr/>
        <w:t>desarrollo</w:t>
      </w:r>
      <w:r>
        <w:rPr>
          <w:spacing w:val="-4"/>
        </w:rPr>
        <w:t> </w:t>
      </w:r>
      <w:r>
        <w:rPr/>
        <w:t>de</w:t>
      </w:r>
      <w:r>
        <w:rPr>
          <w:spacing w:val="-5"/>
        </w:rPr>
        <w:t> </w:t>
      </w:r>
      <w:r>
        <w:rPr/>
        <w:t>los</w:t>
      </w:r>
      <w:r>
        <w:rPr>
          <w:spacing w:val="-11"/>
        </w:rPr>
        <w:t> </w:t>
      </w:r>
      <w:r>
        <w:rPr/>
        <w:t>hogares</w:t>
      </w:r>
      <w:r>
        <w:rPr>
          <w:spacing w:val="-6"/>
        </w:rPr>
        <w:t> </w:t>
      </w:r>
      <w:r>
        <w:rPr/>
        <w:t>en situación de pobreza del país.</w:t>
      </w:r>
    </w:p>
    <w:p>
      <w:pPr>
        <w:pStyle w:val="BodyText"/>
        <w:spacing w:after="0"/>
        <w:jc w:val="both"/>
        <w:sectPr>
          <w:pgSz w:w="12240" w:h="15840"/>
          <w:pgMar w:header="0" w:footer="1021" w:top="1340" w:bottom="1220" w:left="720" w:right="360"/>
        </w:sectPr>
      </w:pPr>
    </w:p>
    <w:p>
      <w:pPr>
        <w:pStyle w:val="Heading2"/>
        <w:spacing w:before="76"/>
      </w:pPr>
      <w:r>
        <w:rPr/>
        <w:t>Eventos</w:t>
      </w:r>
      <w:r>
        <w:rPr>
          <w:spacing w:val="-7"/>
        </w:rPr>
        <w:t> </w:t>
      </w:r>
      <w:r>
        <w:rPr>
          <w:spacing w:val="-2"/>
        </w:rPr>
        <w:t>estratégicos:</w:t>
      </w:r>
    </w:p>
    <w:p>
      <w:pPr>
        <w:pStyle w:val="ListParagraph"/>
        <w:numPr>
          <w:ilvl w:val="0"/>
          <w:numId w:val="8"/>
        </w:numPr>
        <w:tabs>
          <w:tab w:pos="1271" w:val="left" w:leader="none"/>
        </w:tabs>
        <w:spacing w:line="240" w:lineRule="auto" w:before="242" w:after="0"/>
        <w:ind w:left="979" w:right="1350" w:firstLine="0"/>
        <w:jc w:val="left"/>
        <w:rPr>
          <w:sz w:val="22"/>
        </w:rPr>
      </w:pPr>
      <w:r>
        <w:rPr>
          <w:sz w:val="22"/>
        </w:rPr>
        <w:t>Situaciones</w:t>
      </w:r>
      <w:r>
        <w:rPr>
          <w:spacing w:val="40"/>
          <w:sz w:val="22"/>
        </w:rPr>
        <w:t> </w:t>
      </w:r>
      <w:r>
        <w:rPr>
          <w:sz w:val="22"/>
        </w:rPr>
        <w:t>cambiantes</w:t>
      </w:r>
      <w:r>
        <w:rPr>
          <w:spacing w:val="40"/>
          <w:sz w:val="22"/>
        </w:rPr>
        <w:t> </w:t>
      </w:r>
      <w:r>
        <w:rPr>
          <w:sz w:val="22"/>
        </w:rPr>
        <w:t>del</w:t>
      </w:r>
      <w:r>
        <w:rPr>
          <w:spacing w:val="39"/>
          <w:sz w:val="22"/>
        </w:rPr>
        <w:t> </w:t>
      </w:r>
      <w:r>
        <w:rPr>
          <w:sz w:val="22"/>
        </w:rPr>
        <w:t>entorno</w:t>
      </w:r>
      <w:r>
        <w:rPr>
          <w:spacing w:val="37"/>
          <w:sz w:val="22"/>
        </w:rPr>
        <w:t> </w:t>
      </w:r>
      <w:r>
        <w:rPr>
          <w:sz w:val="22"/>
        </w:rPr>
        <w:t>que</w:t>
      </w:r>
      <w:r>
        <w:rPr>
          <w:spacing w:val="40"/>
          <w:sz w:val="22"/>
        </w:rPr>
        <w:t> </w:t>
      </w:r>
      <w:r>
        <w:rPr>
          <w:sz w:val="22"/>
        </w:rPr>
        <w:t>podrían</w:t>
      </w:r>
      <w:r>
        <w:rPr>
          <w:spacing w:val="40"/>
          <w:sz w:val="22"/>
        </w:rPr>
        <w:t> </w:t>
      </w:r>
      <w:r>
        <w:rPr>
          <w:sz w:val="22"/>
        </w:rPr>
        <w:t>afectar</w:t>
      </w:r>
      <w:r>
        <w:rPr>
          <w:spacing w:val="40"/>
          <w:sz w:val="22"/>
        </w:rPr>
        <w:t> </w:t>
      </w:r>
      <w:r>
        <w:rPr>
          <w:sz w:val="22"/>
        </w:rPr>
        <w:t>la</w:t>
      </w:r>
      <w:r>
        <w:rPr>
          <w:spacing w:val="40"/>
          <w:sz w:val="22"/>
        </w:rPr>
        <w:t> </w:t>
      </w:r>
      <w:r>
        <w:rPr>
          <w:sz w:val="22"/>
        </w:rPr>
        <w:t>capacidad</w:t>
      </w:r>
      <w:r>
        <w:rPr>
          <w:spacing w:val="40"/>
          <w:sz w:val="22"/>
        </w:rPr>
        <w:t> </w:t>
      </w:r>
      <w:r>
        <w:rPr>
          <w:sz w:val="22"/>
        </w:rPr>
        <w:t>de</w:t>
      </w:r>
      <w:r>
        <w:rPr>
          <w:spacing w:val="40"/>
          <w:sz w:val="22"/>
        </w:rPr>
        <w:t> </w:t>
      </w:r>
      <w:r>
        <w:rPr>
          <w:sz w:val="22"/>
        </w:rPr>
        <w:t>respuesta financiera de la institución.</w:t>
      </w:r>
    </w:p>
    <w:p>
      <w:pPr>
        <w:pStyle w:val="ListParagraph"/>
        <w:numPr>
          <w:ilvl w:val="0"/>
          <w:numId w:val="8"/>
        </w:numPr>
        <w:tabs>
          <w:tab w:pos="1227" w:val="left" w:leader="none"/>
        </w:tabs>
        <w:spacing w:line="240" w:lineRule="auto" w:before="238" w:after="0"/>
        <w:ind w:left="979" w:right="1350" w:firstLine="0"/>
        <w:jc w:val="left"/>
        <w:rPr>
          <w:sz w:val="22"/>
        </w:rPr>
      </w:pPr>
      <w:r>
        <w:rPr>
          <w:sz w:val="22"/>
        </w:rPr>
        <w:t>Plataforma</w:t>
      </w:r>
      <w:r>
        <w:rPr>
          <w:spacing w:val="-6"/>
          <w:sz w:val="22"/>
        </w:rPr>
        <w:t> </w:t>
      </w:r>
      <w:r>
        <w:rPr>
          <w:sz w:val="22"/>
        </w:rPr>
        <w:t>y</w:t>
      </w:r>
      <w:r>
        <w:rPr>
          <w:spacing w:val="-3"/>
          <w:sz w:val="22"/>
        </w:rPr>
        <w:t> </w:t>
      </w:r>
      <w:r>
        <w:rPr>
          <w:sz w:val="22"/>
        </w:rPr>
        <w:t>Sistemas</w:t>
      </w:r>
      <w:r>
        <w:rPr>
          <w:spacing w:val="-8"/>
          <w:sz w:val="22"/>
        </w:rPr>
        <w:t> </w:t>
      </w:r>
      <w:r>
        <w:rPr>
          <w:sz w:val="22"/>
        </w:rPr>
        <w:t>de</w:t>
      </w:r>
      <w:r>
        <w:rPr>
          <w:spacing w:val="-6"/>
          <w:sz w:val="22"/>
        </w:rPr>
        <w:t> </w:t>
      </w:r>
      <w:r>
        <w:rPr>
          <w:sz w:val="22"/>
        </w:rPr>
        <w:t>Información</w:t>
      </w:r>
      <w:r>
        <w:rPr>
          <w:spacing w:val="-2"/>
          <w:sz w:val="22"/>
        </w:rPr>
        <w:t> </w:t>
      </w:r>
      <w:r>
        <w:rPr>
          <w:sz w:val="22"/>
        </w:rPr>
        <w:t>Tecnológicos</w:t>
      </w:r>
      <w:r>
        <w:rPr>
          <w:spacing w:val="-8"/>
          <w:sz w:val="22"/>
        </w:rPr>
        <w:t> </w:t>
      </w:r>
      <w:r>
        <w:rPr>
          <w:sz w:val="22"/>
        </w:rPr>
        <w:t>no</w:t>
      </w:r>
      <w:r>
        <w:rPr>
          <w:spacing w:val="-2"/>
          <w:sz w:val="22"/>
        </w:rPr>
        <w:t> </w:t>
      </w:r>
      <w:r>
        <w:rPr>
          <w:sz w:val="22"/>
        </w:rPr>
        <w:t>respondan</w:t>
      </w:r>
      <w:r>
        <w:rPr>
          <w:spacing w:val="-2"/>
          <w:sz w:val="22"/>
        </w:rPr>
        <w:t> </w:t>
      </w:r>
      <w:r>
        <w:rPr>
          <w:sz w:val="22"/>
        </w:rPr>
        <w:t>de</w:t>
      </w:r>
      <w:r>
        <w:rPr>
          <w:spacing w:val="-2"/>
          <w:sz w:val="22"/>
        </w:rPr>
        <w:t> </w:t>
      </w:r>
      <w:r>
        <w:rPr>
          <w:sz w:val="22"/>
        </w:rPr>
        <w:t>forma</w:t>
      </w:r>
      <w:r>
        <w:rPr>
          <w:spacing w:val="-2"/>
          <w:sz w:val="22"/>
        </w:rPr>
        <w:t> </w:t>
      </w:r>
      <w:r>
        <w:rPr>
          <w:sz w:val="22"/>
        </w:rPr>
        <w:t>suficiente</w:t>
      </w:r>
      <w:r>
        <w:rPr>
          <w:spacing w:val="-6"/>
          <w:sz w:val="22"/>
        </w:rPr>
        <w:t> </w:t>
      </w:r>
      <w:r>
        <w:rPr>
          <w:sz w:val="22"/>
        </w:rPr>
        <w:t>a las estrategias de atención de la población objetivo.</w:t>
      </w:r>
    </w:p>
    <w:p>
      <w:pPr>
        <w:pStyle w:val="ListParagraph"/>
        <w:numPr>
          <w:ilvl w:val="0"/>
          <w:numId w:val="8"/>
        </w:numPr>
        <w:tabs>
          <w:tab w:pos="1308" w:val="left" w:leader="none"/>
        </w:tabs>
        <w:spacing w:line="240" w:lineRule="auto" w:before="238" w:after="0"/>
        <w:ind w:left="979" w:right="1349" w:firstLine="0"/>
        <w:jc w:val="left"/>
        <w:rPr>
          <w:sz w:val="22"/>
        </w:rPr>
      </w:pPr>
      <w:r>
        <w:rPr>
          <w:sz w:val="22"/>
        </w:rPr>
        <w:t>Cambios</w:t>
      </w:r>
      <w:r>
        <w:rPr>
          <w:spacing w:val="40"/>
          <w:sz w:val="22"/>
        </w:rPr>
        <w:t> </w:t>
      </w:r>
      <w:r>
        <w:rPr>
          <w:sz w:val="22"/>
        </w:rPr>
        <w:t>en</w:t>
      </w:r>
      <w:r>
        <w:rPr>
          <w:spacing w:val="40"/>
          <w:sz w:val="22"/>
        </w:rPr>
        <w:t> </w:t>
      </w:r>
      <w:r>
        <w:rPr>
          <w:sz w:val="22"/>
        </w:rPr>
        <w:t>el</w:t>
      </w:r>
      <w:r>
        <w:rPr>
          <w:spacing w:val="40"/>
          <w:sz w:val="22"/>
        </w:rPr>
        <w:t> </w:t>
      </w:r>
      <w:r>
        <w:rPr>
          <w:sz w:val="22"/>
        </w:rPr>
        <w:t>funcionamiento</w:t>
      </w:r>
      <w:r>
        <w:rPr>
          <w:spacing w:val="40"/>
          <w:sz w:val="22"/>
        </w:rPr>
        <w:t> </w:t>
      </w:r>
      <w:r>
        <w:rPr>
          <w:sz w:val="22"/>
        </w:rPr>
        <w:t>estratégico</w:t>
      </w:r>
      <w:r>
        <w:rPr>
          <w:spacing w:val="40"/>
          <w:sz w:val="22"/>
        </w:rPr>
        <w:t> </w:t>
      </w:r>
      <w:r>
        <w:rPr>
          <w:sz w:val="22"/>
        </w:rPr>
        <w:t>institucional</w:t>
      </w:r>
      <w:r>
        <w:rPr>
          <w:spacing w:val="40"/>
          <w:sz w:val="22"/>
        </w:rPr>
        <w:t> </w:t>
      </w:r>
      <w:r>
        <w:rPr>
          <w:sz w:val="22"/>
        </w:rPr>
        <w:t>motivados</w:t>
      </w:r>
      <w:r>
        <w:rPr>
          <w:spacing w:val="40"/>
          <w:sz w:val="22"/>
        </w:rPr>
        <w:t> </w:t>
      </w:r>
      <w:r>
        <w:rPr>
          <w:sz w:val="22"/>
        </w:rPr>
        <w:t>por</w:t>
      </w:r>
      <w:r>
        <w:rPr>
          <w:spacing w:val="40"/>
          <w:sz w:val="22"/>
        </w:rPr>
        <w:t> </w:t>
      </w:r>
      <w:r>
        <w:rPr>
          <w:sz w:val="22"/>
        </w:rPr>
        <w:t>decisiones</w:t>
      </w:r>
      <w:r>
        <w:rPr>
          <w:spacing w:val="80"/>
          <w:sz w:val="22"/>
        </w:rPr>
        <w:t> </w:t>
      </w:r>
      <w:r>
        <w:rPr>
          <w:sz w:val="22"/>
        </w:rPr>
        <w:t>externas que afectan a la población objetiva.</w:t>
      </w:r>
    </w:p>
    <w:p>
      <w:pPr>
        <w:pStyle w:val="BodyText"/>
        <w:spacing w:before="245"/>
      </w:pPr>
    </w:p>
    <w:p>
      <w:pPr>
        <w:pStyle w:val="Heading2"/>
      </w:pPr>
      <w:r>
        <w:rPr/>
        <w:t>Eje</w:t>
      </w:r>
      <w:r>
        <w:rPr>
          <w:spacing w:val="-8"/>
        </w:rPr>
        <w:t> </w:t>
      </w:r>
      <w:r>
        <w:rPr/>
        <w:t>estratégico</w:t>
      </w:r>
      <w:r>
        <w:rPr>
          <w:spacing w:val="-8"/>
        </w:rPr>
        <w:t> </w:t>
      </w:r>
      <w:r>
        <w:rPr/>
        <w:t>2:</w:t>
      </w:r>
      <w:r>
        <w:rPr>
          <w:spacing w:val="-5"/>
        </w:rPr>
        <w:t> </w:t>
      </w:r>
      <w:r>
        <w:rPr/>
        <w:t>Gestión</w:t>
      </w:r>
      <w:r>
        <w:rPr>
          <w:spacing w:val="-5"/>
        </w:rPr>
        <w:t> </w:t>
      </w:r>
      <w:r>
        <w:rPr/>
        <w:t>del</w:t>
      </w:r>
      <w:r>
        <w:rPr>
          <w:spacing w:val="-7"/>
        </w:rPr>
        <w:t> </w:t>
      </w:r>
      <w:r>
        <w:rPr/>
        <w:t>desarrollo</w:t>
      </w:r>
      <w:r>
        <w:rPr>
          <w:spacing w:val="-7"/>
        </w:rPr>
        <w:t> </w:t>
      </w:r>
      <w:r>
        <w:rPr/>
        <w:t>con</w:t>
      </w:r>
      <w:r>
        <w:rPr>
          <w:spacing w:val="-9"/>
        </w:rPr>
        <w:t> </w:t>
      </w:r>
      <w:r>
        <w:rPr/>
        <w:t>enfoque</w:t>
      </w:r>
      <w:r>
        <w:rPr>
          <w:spacing w:val="-2"/>
        </w:rPr>
        <w:t> interseccional</w:t>
      </w:r>
    </w:p>
    <w:p>
      <w:pPr>
        <w:pStyle w:val="BodyText"/>
        <w:spacing w:before="251"/>
        <w:ind w:left="979" w:right="1347"/>
        <w:jc w:val="both"/>
      </w:pPr>
      <w:r>
        <w:rPr>
          <w:b/>
        </w:rPr>
        <w:t>Objetivo estratégico: </w:t>
      </w:r>
      <w:r>
        <w:rPr/>
        <w:t>Garantizar el desarrollo de una oferta de servicios y beneficios de protección y promoción social oportuna y de calidad, acorde con las necesidades de la población objetivo y sobre la base de las desigualdades que se configuran a partir de la superposición de diferentes factores sociales.</w:t>
      </w:r>
    </w:p>
    <w:p>
      <w:pPr>
        <w:pStyle w:val="Heading2"/>
        <w:spacing w:before="241"/>
      </w:pPr>
      <w:r>
        <w:rPr/>
        <w:t>Eventos</w:t>
      </w:r>
      <w:r>
        <w:rPr>
          <w:spacing w:val="-7"/>
        </w:rPr>
        <w:t> </w:t>
      </w:r>
      <w:r>
        <w:rPr>
          <w:spacing w:val="-2"/>
        </w:rPr>
        <w:t>estratégicos:</w:t>
      </w:r>
    </w:p>
    <w:p>
      <w:pPr>
        <w:pStyle w:val="ListParagraph"/>
        <w:numPr>
          <w:ilvl w:val="0"/>
          <w:numId w:val="9"/>
        </w:numPr>
        <w:tabs>
          <w:tab w:pos="1246" w:val="left" w:leader="none"/>
        </w:tabs>
        <w:spacing w:line="240" w:lineRule="auto" w:before="237" w:after="0"/>
        <w:ind w:left="979" w:right="1349" w:firstLine="0"/>
        <w:jc w:val="left"/>
        <w:rPr>
          <w:sz w:val="22"/>
        </w:rPr>
      </w:pPr>
      <w:r>
        <w:rPr>
          <w:sz w:val="22"/>
        </w:rPr>
        <w:t>Limitaciones en el análisis de los elementos que constituyen los perfiles de entrada y</w:t>
      </w:r>
      <w:r>
        <w:rPr>
          <w:spacing w:val="40"/>
          <w:sz w:val="22"/>
        </w:rPr>
        <w:t> </w:t>
      </w:r>
      <w:r>
        <w:rPr>
          <w:sz w:val="22"/>
        </w:rPr>
        <w:t>salida de los hogares receptores de la oferta programática institucional.</w:t>
      </w:r>
    </w:p>
    <w:p>
      <w:pPr>
        <w:pStyle w:val="ListParagraph"/>
        <w:numPr>
          <w:ilvl w:val="0"/>
          <w:numId w:val="9"/>
        </w:numPr>
        <w:tabs>
          <w:tab w:pos="1227" w:val="left" w:leader="none"/>
        </w:tabs>
        <w:spacing w:line="240" w:lineRule="auto" w:before="243" w:after="0"/>
        <w:ind w:left="1227" w:right="0" w:hanging="248"/>
        <w:jc w:val="left"/>
        <w:rPr>
          <w:sz w:val="22"/>
        </w:rPr>
      </w:pPr>
      <w:r>
        <w:rPr>
          <w:sz w:val="22"/>
        </w:rPr>
        <w:t>Débil</w:t>
      </w:r>
      <w:r>
        <w:rPr>
          <w:spacing w:val="-7"/>
          <w:sz w:val="22"/>
        </w:rPr>
        <w:t> </w:t>
      </w:r>
      <w:r>
        <w:rPr>
          <w:sz w:val="22"/>
        </w:rPr>
        <w:t>coordinación</w:t>
      </w:r>
      <w:r>
        <w:rPr>
          <w:spacing w:val="-8"/>
          <w:sz w:val="22"/>
        </w:rPr>
        <w:t> </w:t>
      </w:r>
      <w:r>
        <w:rPr>
          <w:sz w:val="22"/>
        </w:rPr>
        <w:t>de</w:t>
      </w:r>
      <w:r>
        <w:rPr>
          <w:spacing w:val="-8"/>
          <w:sz w:val="22"/>
        </w:rPr>
        <w:t> </w:t>
      </w:r>
      <w:r>
        <w:rPr>
          <w:spacing w:val="-2"/>
          <w:sz w:val="22"/>
        </w:rPr>
        <w:t>procesos.</w:t>
      </w:r>
    </w:p>
    <w:p>
      <w:pPr>
        <w:pStyle w:val="ListParagraph"/>
        <w:numPr>
          <w:ilvl w:val="0"/>
          <w:numId w:val="9"/>
        </w:numPr>
        <w:tabs>
          <w:tab w:pos="1227" w:val="left" w:leader="none"/>
        </w:tabs>
        <w:spacing w:line="240" w:lineRule="auto" w:before="242" w:after="0"/>
        <w:ind w:left="979" w:right="1352" w:firstLine="0"/>
        <w:jc w:val="left"/>
        <w:rPr>
          <w:sz w:val="22"/>
        </w:rPr>
      </w:pPr>
      <w:r>
        <w:rPr>
          <w:sz w:val="22"/>
        </w:rPr>
        <w:t>Limitaciones</w:t>
      </w:r>
      <w:r>
        <w:rPr>
          <w:spacing w:val="-2"/>
          <w:sz w:val="22"/>
        </w:rPr>
        <w:t> </w:t>
      </w:r>
      <w:r>
        <w:rPr>
          <w:sz w:val="22"/>
        </w:rPr>
        <w:t>en</w:t>
      </w:r>
      <w:r>
        <w:rPr>
          <w:spacing w:val="-2"/>
          <w:sz w:val="22"/>
        </w:rPr>
        <w:t> </w:t>
      </w:r>
      <w:r>
        <w:rPr>
          <w:sz w:val="22"/>
        </w:rPr>
        <w:t>la</w:t>
      </w:r>
      <w:r>
        <w:rPr>
          <w:spacing w:val="-2"/>
          <w:sz w:val="22"/>
        </w:rPr>
        <w:t> </w:t>
      </w:r>
      <w:r>
        <w:rPr>
          <w:sz w:val="22"/>
        </w:rPr>
        <w:t>determinación</w:t>
      </w:r>
      <w:r>
        <w:rPr>
          <w:spacing w:val="-2"/>
          <w:sz w:val="22"/>
        </w:rPr>
        <w:t> </w:t>
      </w:r>
      <w:r>
        <w:rPr>
          <w:sz w:val="22"/>
        </w:rPr>
        <w:t>de los</w:t>
      </w:r>
      <w:r>
        <w:rPr>
          <w:spacing w:val="-2"/>
          <w:sz w:val="22"/>
        </w:rPr>
        <w:t> </w:t>
      </w:r>
      <w:r>
        <w:rPr>
          <w:sz w:val="22"/>
        </w:rPr>
        <w:t>elementos</w:t>
      </w:r>
      <w:r>
        <w:rPr>
          <w:spacing w:val="-2"/>
          <w:sz w:val="22"/>
        </w:rPr>
        <w:t> </w:t>
      </w:r>
      <w:r>
        <w:rPr>
          <w:sz w:val="22"/>
        </w:rPr>
        <w:t>de</w:t>
      </w:r>
      <w:r>
        <w:rPr>
          <w:spacing w:val="-2"/>
          <w:sz w:val="22"/>
        </w:rPr>
        <w:t> </w:t>
      </w:r>
      <w:r>
        <w:rPr>
          <w:sz w:val="22"/>
        </w:rPr>
        <w:t>calidad</w:t>
      </w:r>
      <w:r>
        <w:rPr>
          <w:spacing w:val="-2"/>
          <w:sz w:val="22"/>
        </w:rPr>
        <w:t> </w:t>
      </w:r>
      <w:r>
        <w:rPr>
          <w:sz w:val="22"/>
        </w:rPr>
        <w:t>y</w:t>
      </w:r>
      <w:r>
        <w:rPr>
          <w:spacing w:val="-2"/>
          <w:sz w:val="22"/>
        </w:rPr>
        <w:t> </w:t>
      </w:r>
      <w:r>
        <w:rPr>
          <w:sz w:val="22"/>
        </w:rPr>
        <w:t>oportunidad</w:t>
      </w:r>
      <w:r>
        <w:rPr>
          <w:spacing w:val="-2"/>
          <w:sz w:val="22"/>
        </w:rPr>
        <w:t> </w:t>
      </w:r>
      <w:r>
        <w:rPr>
          <w:sz w:val="22"/>
        </w:rPr>
        <w:t>de la</w:t>
      </w:r>
      <w:r>
        <w:rPr>
          <w:spacing w:val="-2"/>
          <w:sz w:val="22"/>
        </w:rPr>
        <w:t> </w:t>
      </w:r>
      <w:r>
        <w:rPr>
          <w:sz w:val="22"/>
        </w:rPr>
        <w:t>oferta programática institucional</w:t>
      </w:r>
    </w:p>
    <w:p>
      <w:pPr>
        <w:pStyle w:val="Heading2"/>
        <w:spacing w:before="238"/>
        <w:ind w:right="1344"/>
      </w:pPr>
      <w:r>
        <w:rPr/>
        <w:t>Eje</w:t>
      </w:r>
      <w:r>
        <w:rPr>
          <w:spacing w:val="33"/>
        </w:rPr>
        <w:t> </w:t>
      </w:r>
      <w:r>
        <w:rPr/>
        <w:t>estratégico</w:t>
      </w:r>
      <w:r>
        <w:rPr>
          <w:spacing w:val="35"/>
        </w:rPr>
        <w:t> </w:t>
      </w:r>
      <w:r>
        <w:rPr/>
        <w:t>3:</w:t>
      </w:r>
      <w:r>
        <w:rPr>
          <w:spacing w:val="34"/>
        </w:rPr>
        <w:t> </w:t>
      </w:r>
      <w:r>
        <w:rPr/>
        <w:t>Gestión</w:t>
      </w:r>
      <w:r>
        <w:rPr>
          <w:spacing w:val="35"/>
        </w:rPr>
        <w:t> </w:t>
      </w:r>
      <w:r>
        <w:rPr/>
        <w:t>del</w:t>
      </w:r>
      <w:r>
        <w:rPr>
          <w:spacing w:val="37"/>
        </w:rPr>
        <w:t> </w:t>
      </w:r>
      <w:r>
        <w:rPr/>
        <w:t>desarrollo</w:t>
      </w:r>
      <w:r>
        <w:rPr>
          <w:spacing w:val="35"/>
        </w:rPr>
        <w:t> </w:t>
      </w:r>
      <w:r>
        <w:rPr/>
        <w:t>regional</w:t>
      </w:r>
      <w:r>
        <w:rPr>
          <w:spacing w:val="37"/>
        </w:rPr>
        <w:t> </w:t>
      </w:r>
      <w:r>
        <w:rPr/>
        <w:t>e</w:t>
      </w:r>
      <w:r>
        <w:rPr>
          <w:spacing w:val="38"/>
        </w:rPr>
        <w:t> </w:t>
      </w:r>
      <w:r>
        <w:rPr/>
        <w:t>inversión</w:t>
      </w:r>
      <w:r>
        <w:rPr>
          <w:spacing w:val="30"/>
        </w:rPr>
        <w:t> </w:t>
      </w:r>
      <w:r>
        <w:rPr/>
        <w:t>social</w:t>
      </w:r>
      <w:r>
        <w:rPr>
          <w:spacing w:val="37"/>
        </w:rPr>
        <w:t> </w:t>
      </w:r>
      <w:r>
        <w:rPr/>
        <w:t>con</w:t>
      </w:r>
      <w:r>
        <w:rPr>
          <w:spacing w:val="35"/>
        </w:rPr>
        <w:t> </w:t>
      </w:r>
      <w:r>
        <w:rPr/>
        <w:t>enfoque </w:t>
      </w:r>
      <w:r>
        <w:rPr>
          <w:spacing w:val="-2"/>
        </w:rPr>
        <w:t>territorial.</w:t>
      </w:r>
    </w:p>
    <w:p>
      <w:pPr>
        <w:pStyle w:val="BodyText"/>
        <w:spacing w:before="253"/>
        <w:ind w:left="979" w:right="1344"/>
      </w:pPr>
      <w:r>
        <w:rPr>
          <w:b/>
        </w:rPr>
        <w:t>Objetivo estratégico: </w:t>
      </w:r>
      <w:r>
        <w:rPr/>
        <w:t>Fortalecer el desarrollo regional con</w:t>
      </w:r>
      <w:r>
        <w:rPr>
          <w:spacing w:val="-1"/>
        </w:rPr>
        <w:t> </w:t>
      </w:r>
      <w:r>
        <w:rPr/>
        <w:t>procesos</w:t>
      </w:r>
      <w:r>
        <w:rPr>
          <w:spacing w:val="-2"/>
        </w:rPr>
        <w:t> </w:t>
      </w:r>
      <w:r>
        <w:rPr/>
        <w:t>de</w:t>
      </w:r>
      <w:r>
        <w:rPr>
          <w:spacing w:val="-1"/>
        </w:rPr>
        <w:t> </w:t>
      </w:r>
      <w:r>
        <w:rPr/>
        <w:t>descentralización e inversión social acorde con las particularidades territoriales.</w:t>
      </w:r>
    </w:p>
    <w:p>
      <w:pPr>
        <w:pStyle w:val="BodyText"/>
        <w:spacing w:before="4"/>
      </w:pPr>
    </w:p>
    <w:p>
      <w:pPr>
        <w:pStyle w:val="Heading2"/>
      </w:pPr>
      <w:r>
        <w:rPr/>
        <w:t>Eventos</w:t>
      </w:r>
      <w:r>
        <w:rPr>
          <w:spacing w:val="-7"/>
        </w:rPr>
        <w:t> </w:t>
      </w:r>
      <w:r>
        <w:rPr>
          <w:spacing w:val="-2"/>
        </w:rPr>
        <w:t>estratégicos:</w:t>
      </w:r>
    </w:p>
    <w:p>
      <w:pPr>
        <w:pStyle w:val="ListParagraph"/>
        <w:numPr>
          <w:ilvl w:val="0"/>
          <w:numId w:val="10"/>
        </w:numPr>
        <w:tabs>
          <w:tab w:pos="1233" w:val="left" w:leader="none"/>
        </w:tabs>
        <w:spacing w:line="240" w:lineRule="auto" w:before="237" w:after="0"/>
        <w:ind w:left="979" w:right="1350" w:firstLine="0"/>
        <w:jc w:val="left"/>
        <w:rPr>
          <w:sz w:val="22"/>
        </w:rPr>
      </w:pPr>
      <w:r>
        <w:rPr>
          <w:sz w:val="22"/>
        </w:rPr>
        <w:t>Ajustes o</w:t>
      </w:r>
      <w:r>
        <w:rPr>
          <w:spacing w:val="-5"/>
          <w:sz w:val="22"/>
        </w:rPr>
        <w:t> </w:t>
      </w:r>
      <w:r>
        <w:rPr>
          <w:sz w:val="22"/>
        </w:rPr>
        <w:t>movimientos</w:t>
      </w:r>
      <w:r>
        <w:rPr>
          <w:spacing w:val="-4"/>
          <w:sz w:val="22"/>
        </w:rPr>
        <w:t> </w:t>
      </w:r>
      <w:r>
        <w:rPr>
          <w:sz w:val="22"/>
        </w:rPr>
        <w:t>presupuestarios entre</w:t>
      </w:r>
      <w:r>
        <w:rPr>
          <w:spacing w:val="-2"/>
          <w:sz w:val="22"/>
        </w:rPr>
        <w:t> </w:t>
      </w:r>
      <w:r>
        <w:rPr>
          <w:sz w:val="22"/>
        </w:rPr>
        <w:t>ARDS en virtud de la</w:t>
      </w:r>
      <w:r>
        <w:rPr>
          <w:spacing w:val="-2"/>
          <w:sz w:val="22"/>
        </w:rPr>
        <w:t> </w:t>
      </w:r>
      <w:r>
        <w:rPr>
          <w:sz w:val="22"/>
        </w:rPr>
        <w:t>no ejecución</w:t>
      </w:r>
      <w:r>
        <w:rPr>
          <w:spacing w:val="-2"/>
          <w:sz w:val="22"/>
        </w:rPr>
        <w:t> </w:t>
      </w:r>
      <w:r>
        <w:rPr>
          <w:sz w:val="22"/>
        </w:rPr>
        <w:t>que se había planificado o surgimiento de nuevas necesidades.</w:t>
      </w:r>
    </w:p>
    <w:p>
      <w:pPr>
        <w:pStyle w:val="ListParagraph"/>
        <w:numPr>
          <w:ilvl w:val="0"/>
          <w:numId w:val="10"/>
        </w:numPr>
        <w:tabs>
          <w:tab w:pos="1238" w:val="left" w:leader="none"/>
        </w:tabs>
        <w:spacing w:line="240" w:lineRule="auto" w:before="238" w:after="0"/>
        <w:ind w:left="979" w:right="1350" w:firstLine="0"/>
        <w:jc w:val="left"/>
        <w:rPr>
          <w:sz w:val="22"/>
        </w:rPr>
      </w:pPr>
      <w:r>
        <w:rPr>
          <w:sz w:val="22"/>
        </w:rPr>
        <w:t>Posible exclusión de población beneficiaria debido a que las herramientas informáticas de automatización no cuentan con una planificación territorial.</w:t>
      </w:r>
    </w:p>
    <w:p>
      <w:pPr>
        <w:pStyle w:val="BodyText"/>
        <w:spacing w:before="240"/>
      </w:pPr>
    </w:p>
    <w:p>
      <w:pPr>
        <w:pStyle w:val="Heading2"/>
      </w:pPr>
      <w:r>
        <w:rPr/>
        <w:t>Eje</w:t>
      </w:r>
      <w:r>
        <w:rPr>
          <w:spacing w:val="-6"/>
        </w:rPr>
        <w:t> </w:t>
      </w:r>
      <w:r>
        <w:rPr/>
        <w:t>estratégico</w:t>
      </w:r>
      <w:r>
        <w:rPr>
          <w:spacing w:val="-7"/>
        </w:rPr>
        <w:t> </w:t>
      </w:r>
      <w:r>
        <w:rPr/>
        <w:t>4:</w:t>
      </w:r>
      <w:r>
        <w:rPr>
          <w:spacing w:val="-4"/>
        </w:rPr>
        <w:t> </w:t>
      </w:r>
      <w:r>
        <w:rPr/>
        <w:t>Rectoría</w:t>
      </w:r>
      <w:r>
        <w:rPr>
          <w:spacing w:val="-6"/>
        </w:rPr>
        <w:t> </w:t>
      </w:r>
      <w:r>
        <w:rPr/>
        <w:t>técnica</w:t>
      </w:r>
      <w:r>
        <w:rPr>
          <w:spacing w:val="-5"/>
        </w:rPr>
        <w:t> </w:t>
      </w:r>
      <w:r>
        <w:rPr/>
        <w:t>social</w:t>
      </w:r>
      <w:r>
        <w:rPr>
          <w:spacing w:val="-1"/>
        </w:rPr>
        <w:t> </w:t>
      </w:r>
      <w:r>
        <w:rPr/>
        <w:t>y</w:t>
      </w:r>
      <w:r>
        <w:rPr>
          <w:spacing w:val="-10"/>
        </w:rPr>
        <w:t> </w:t>
      </w:r>
      <w:r>
        <w:rPr>
          <w:spacing w:val="-2"/>
        </w:rPr>
        <w:t>articulación</w:t>
      </w:r>
    </w:p>
    <w:p>
      <w:pPr>
        <w:pStyle w:val="BodyText"/>
        <w:spacing w:before="3"/>
        <w:rPr>
          <w:b/>
        </w:rPr>
      </w:pPr>
    </w:p>
    <w:p>
      <w:pPr>
        <w:pStyle w:val="BodyText"/>
        <w:ind w:left="979" w:right="1345"/>
        <w:jc w:val="both"/>
      </w:pPr>
      <w:r>
        <w:rPr>
          <w:b/>
        </w:rPr>
        <w:t>Objetivo estratégico: </w:t>
      </w:r>
      <w:r>
        <w:rPr/>
        <w:t>Desarrollar la rectoría técnica mediante la articulación interinstitucional y la información social como mecanismos para la atención y reducción integral, sistemática y sostenida de la pobreza.</w:t>
      </w:r>
    </w:p>
    <w:p>
      <w:pPr>
        <w:pStyle w:val="BodyText"/>
        <w:spacing w:after="0"/>
        <w:jc w:val="both"/>
        <w:sectPr>
          <w:pgSz w:w="12240" w:h="15840"/>
          <w:pgMar w:header="0" w:footer="1021" w:top="1340" w:bottom="1220" w:left="720" w:right="360"/>
        </w:sectPr>
      </w:pPr>
    </w:p>
    <w:p>
      <w:pPr>
        <w:pStyle w:val="Heading2"/>
        <w:spacing w:before="76"/>
      </w:pPr>
      <w:r>
        <w:rPr/>
        <w:t>Eventos</w:t>
      </w:r>
      <w:r>
        <w:rPr>
          <w:spacing w:val="-7"/>
        </w:rPr>
        <w:t> </w:t>
      </w:r>
      <w:r>
        <w:rPr>
          <w:spacing w:val="-2"/>
        </w:rPr>
        <w:t>estratégicos:</w:t>
      </w:r>
    </w:p>
    <w:p>
      <w:pPr>
        <w:pStyle w:val="ListParagraph"/>
        <w:numPr>
          <w:ilvl w:val="0"/>
          <w:numId w:val="11"/>
        </w:numPr>
        <w:tabs>
          <w:tab w:pos="1228" w:val="left" w:leader="none"/>
        </w:tabs>
        <w:spacing w:line="240" w:lineRule="auto" w:before="242" w:after="0"/>
        <w:ind w:left="979" w:right="1350" w:firstLine="0"/>
        <w:jc w:val="both"/>
        <w:rPr>
          <w:sz w:val="22"/>
        </w:rPr>
      </w:pPr>
      <w:r>
        <w:rPr>
          <w:sz w:val="22"/>
        </w:rPr>
        <w:t>Si</w:t>
      </w:r>
      <w:r>
        <w:rPr>
          <w:spacing w:val="-3"/>
          <w:sz w:val="22"/>
        </w:rPr>
        <w:t> </w:t>
      </w:r>
      <w:r>
        <w:rPr>
          <w:sz w:val="22"/>
        </w:rPr>
        <w:t>el</w:t>
      </w:r>
      <w:r>
        <w:rPr>
          <w:spacing w:val="-3"/>
          <w:sz w:val="22"/>
        </w:rPr>
        <w:t> </w:t>
      </w:r>
      <w:r>
        <w:rPr>
          <w:sz w:val="22"/>
        </w:rPr>
        <w:t>IMAS</w:t>
      </w:r>
      <w:r>
        <w:rPr>
          <w:spacing w:val="-1"/>
          <w:sz w:val="22"/>
        </w:rPr>
        <w:t> </w:t>
      </w:r>
      <w:r>
        <w:rPr>
          <w:sz w:val="22"/>
        </w:rPr>
        <w:t>no</w:t>
      </w:r>
      <w:r>
        <w:rPr>
          <w:spacing w:val="-4"/>
          <w:sz w:val="22"/>
        </w:rPr>
        <w:t> </w:t>
      </w:r>
      <w:r>
        <w:rPr>
          <w:sz w:val="22"/>
        </w:rPr>
        <w:t>maneja</w:t>
      </w:r>
      <w:r>
        <w:rPr>
          <w:spacing w:val="-1"/>
          <w:sz w:val="22"/>
        </w:rPr>
        <w:t> </w:t>
      </w:r>
      <w:r>
        <w:rPr>
          <w:sz w:val="22"/>
        </w:rPr>
        <w:t>y</w:t>
      </w:r>
      <w:r>
        <w:rPr>
          <w:spacing w:val="-3"/>
          <w:sz w:val="22"/>
        </w:rPr>
        <w:t> </w:t>
      </w:r>
      <w:r>
        <w:rPr>
          <w:sz w:val="22"/>
        </w:rPr>
        <w:t>comparte</w:t>
      </w:r>
      <w:r>
        <w:rPr>
          <w:spacing w:val="-1"/>
          <w:sz w:val="22"/>
        </w:rPr>
        <w:t> </w:t>
      </w:r>
      <w:r>
        <w:rPr>
          <w:sz w:val="22"/>
        </w:rPr>
        <w:t>información</w:t>
      </w:r>
      <w:r>
        <w:rPr>
          <w:spacing w:val="-1"/>
          <w:sz w:val="22"/>
        </w:rPr>
        <w:t> </w:t>
      </w:r>
      <w:r>
        <w:rPr>
          <w:sz w:val="22"/>
        </w:rPr>
        <w:t>social</w:t>
      </w:r>
      <w:r>
        <w:rPr>
          <w:spacing w:val="-3"/>
          <w:sz w:val="22"/>
        </w:rPr>
        <w:t> </w:t>
      </w:r>
      <w:r>
        <w:rPr>
          <w:sz w:val="22"/>
        </w:rPr>
        <w:t>oportuna y</w:t>
      </w:r>
      <w:r>
        <w:rPr>
          <w:spacing w:val="-6"/>
          <w:sz w:val="22"/>
        </w:rPr>
        <w:t> </w:t>
      </w:r>
      <w:r>
        <w:rPr>
          <w:sz w:val="22"/>
        </w:rPr>
        <w:t>no</w:t>
      </w:r>
      <w:r>
        <w:rPr>
          <w:spacing w:val="-4"/>
          <w:sz w:val="22"/>
        </w:rPr>
        <w:t> </w:t>
      </w:r>
      <w:r>
        <w:rPr>
          <w:sz w:val="22"/>
        </w:rPr>
        <w:t>desarrolla</w:t>
      </w:r>
      <w:r>
        <w:rPr>
          <w:spacing w:val="-1"/>
          <w:sz w:val="22"/>
        </w:rPr>
        <w:t> </w:t>
      </w:r>
      <w:r>
        <w:rPr>
          <w:sz w:val="22"/>
        </w:rPr>
        <w:t>estructura y</w:t>
      </w:r>
      <w:r>
        <w:rPr>
          <w:spacing w:val="-8"/>
          <w:sz w:val="22"/>
        </w:rPr>
        <w:t> </w:t>
      </w:r>
      <w:r>
        <w:rPr>
          <w:sz w:val="22"/>
        </w:rPr>
        <w:t>planes</w:t>
      </w:r>
      <w:r>
        <w:rPr>
          <w:spacing w:val="-13"/>
          <w:sz w:val="22"/>
        </w:rPr>
        <w:t> </w:t>
      </w:r>
      <w:r>
        <w:rPr>
          <w:sz w:val="22"/>
        </w:rPr>
        <w:t>de</w:t>
      </w:r>
      <w:r>
        <w:rPr>
          <w:spacing w:val="-11"/>
          <w:sz w:val="22"/>
        </w:rPr>
        <w:t> </w:t>
      </w:r>
      <w:r>
        <w:rPr>
          <w:sz w:val="22"/>
        </w:rPr>
        <w:t>articulación</w:t>
      </w:r>
      <w:r>
        <w:rPr>
          <w:spacing w:val="-6"/>
          <w:sz w:val="22"/>
        </w:rPr>
        <w:t> </w:t>
      </w:r>
      <w:r>
        <w:rPr>
          <w:sz w:val="22"/>
        </w:rPr>
        <w:t>interinstitucional,</w:t>
      </w:r>
      <w:r>
        <w:rPr>
          <w:spacing w:val="-7"/>
          <w:sz w:val="22"/>
        </w:rPr>
        <w:t> </w:t>
      </w:r>
      <w:r>
        <w:rPr>
          <w:sz w:val="22"/>
        </w:rPr>
        <w:t>entonces</w:t>
      </w:r>
      <w:r>
        <w:rPr>
          <w:spacing w:val="-8"/>
          <w:sz w:val="22"/>
        </w:rPr>
        <w:t> </w:t>
      </w:r>
      <w:r>
        <w:rPr>
          <w:sz w:val="22"/>
        </w:rPr>
        <w:t>tendrá</w:t>
      </w:r>
      <w:r>
        <w:rPr>
          <w:spacing w:val="-11"/>
          <w:sz w:val="22"/>
        </w:rPr>
        <w:t> </w:t>
      </w:r>
      <w:r>
        <w:rPr>
          <w:sz w:val="22"/>
        </w:rPr>
        <w:t>un</w:t>
      </w:r>
      <w:r>
        <w:rPr>
          <w:spacing w:val="-6"/>
          <w:sz w:val="22"/>
        </w:rPr>
        <w:t> </w:t>
      </w:r>
      <w:r>
        <w:rPr>
          <w:sz w:val="22"/>
        </w:rPr>
        <w:t>débil</w:t>
      </w:r>
      <w:r>
        <w:rPr>
          <w:spacing w:val="-9"/>
          <w:sz w:val="22"/>
        </w:rPr>
        <w:t> </w:t>
      </w:r>
      <w:r>
        <w:rPr>
          <w:sz w:val="22"/>
        </w:rPr>
        <w:t>liderazgo</w:t>
      </w:r>
      <w:r>
        <w:rPr>
          <w:spacing w:val="-11"/>
          <w:sz w:val="22"/>
        </w:rPr>
        <w:t> </w:t>
      </w:r>
      <w:r>
        <w:rPr>
          <w:sz w:val="22"/>
        </w:rPr>
        <w:t>para</w:t>
      </w:r>
      <w:r>
        <w:rPr>
          <w:spacing w:val="-6"/>
          <w:sz w:val="22"/>
        </w:rPr>
        <w:t> </w:t>
      </w:r>
      <w:r>
        <w:rPr>
          <w:sz w:val="22"/>
        </w:rPr>
        <w:t>ejercer</w:t>
      </w:r>
      <w:r>
        <w:rPr>
          <w:spacing w:val="-10"/>
          <w:sz w:val="22"/>
        </w:rPr>
        <w:t> </w:t>
      </w:r>
      <w:r>
        <w:rPr>
          <w:sz w:val="22"/>
        </w:rPr>
        <w:t>la rectoría técnica y será más difícil la reducción sistemática y sostenida de la pobreza</w:t>
      </w:r>
    </w:p>
    <w:p>
      <w:pPr>
        <w:pStyle w:val="ListParagraph"/>
        <w:numPr>
          <w:ilvl w:val="0"/>
          <w:numId w:val="11"/>
        </w:numPr>
        <w:tabs>
          <w:tab w:pos="1295" w:val="left" w:leader="none"/>
        </w:tabs>
        <w:spacing w:line="240" w:lineRule="auto" w:before="240" w:after="0"/>
        <w:ind w:left="979" w:right="1347" w:firstLine="0"/>
        <w:jc w:val="both"/>
        <w:rPr>
          <w:sz w:val="22"/>
        </w:rPr>
      </w:pPr>
      <w:r>
        <w:rPr>
          <w:sz w:val="22"/>
        </w:rPr>
        <w:t>Si no se realiza una efectiva gestión para la articulación de las de plataformas tecnológicas de las instituciones del sector social para interoperabilidad, entonces el SINIRUBE pierde credibilidad y no habrá interés en el manejo de datos sociales.</w:t>
      </w:r>
    </w:p>
    <w:p>
      <w:pPr>
        <w:pStyle w:val="BodyText"/>
      </w:pPr>
    </w:p>
    <w:p>
      <w:pPr>
        <w:pStyle w:val="Heading2"/>
        <w:spacing w:before="1"/>
      </w:pPr>
      <w:r>
        <w:rPr/>
        <w:t>Eje</w:t>
      </w:r>
      <w:r>
        <w:rPr>
          <w:spacing w:val="-9"/>
        </w:rPr>
        <w:t> </w:t>
      </w:r>
      <w:r>
        <w:rPr/>
        <w:t>estratégico</w:t>
      </w:r>
      <w:r>
        <w:rPr>
          <w:spacing w:val="-8"/>
        </w:rPr>
        <w:t> </w:t>
      </w:r>
      <w:r>
        <w:rPr/>
        <w:t>5:</w:t>
      </w:r>
      <w:r>
        <w:rPr>
          <w:spacing w:val="-6"/>
        </w:rPr>
        <w:t> </w:t>
      </w:r>
      <w:r>
        <w:rPr/>
        <w:t>Gestión</w:t>
      </w:r>
      <w:r>
        <w:rPr>
          <w:spacing w:val="-5"/>
        </w:rPr>
        <w:t> </w:t>
      </w:r>
      <w:r>
        <w:rPr/>
        <w:t>de</w:t>
      </w:r>
      <w:r>
        <w:rPr>
          <w:spacing w:val="-3"/>
        </w:rPr>
        <w:t> </w:t>
      </w:r>
      <w:r>
        <w:rPr/>
        <w:t>recursos</w:t>
      </w:r>
      <w:r>
        <w:rPr>
          <w:spacing w:val="-2"/>
        </w:rPr>
        <w:t> </w:t>
      </w:r>
      <w:r>
        <w:rPr/>
        <w:t>y</w:t>
      </w:r>
      <w:r>
        <w:rPr>
          <w:spacing w:val="-7"/>
        </w:rPr>
        <w:t> </w:t>
      </w:r>
      <w:r>
        <w:rPr/>
        <w:t>alianzas</w:t>
      </w:r>
      <w:r>
        <w:rPr>
          <w:spacing w:val="-6"/>
        </w:rPr>
        <w:t> </w:t>
      </w:r>
      <w:r>
        <w:rPr>
          <w:spacing w:val="-2"/>
        </w:rPr>
        <w:t>estratégicas.</w:t>
      </w:r>
    </w:p>
    <w:p>
      <w:pPr>
        <w:pStyle w:val="BodyText"/>
        <w:spacing w:before="251"/>
        <w:ind w:left="979" w:right="1345"/>
        <w:jc w:val="both"/>
      </w:pPr>
      <w:r>
        <w:rPr>
          <w:b/>
        </w:rPr>
        <w:t>Objetivo estratégico: </w:t>
      </w:r>
      <w:r>
        <w:rPr/>
        <w:t>Gestionar mecanismos para la generación de recursos necesarios para la sostenibilidad y la ejecución de los servicios y beneficios que otorga el IMAS a la población en situación de pobreza.</w:t>
      </w:r>
    </w:p>
    <w:p>
      <w:pPr>
        <w:pStyle w:val="BodyText"/>
        <w:spacing w:before="1"/>
      </w:pPr>
    </w:p>
    <w:p>
      <w:pPr>
        <w:pStyle w:val="Heading2"/>
      </w:pPr>
      <w:r>
        <w:rPr/>
        <w:t>Eventos</w:t>
      </w:r>
      <w:r>
        <w:rPr>
          <w:spacing w:val="-7"/>
        </w:rPr>
        <w:t> </w:t>
      </w:r>
      <w:r>
        <w:rPr>
          <w:spacing w:val="-2"/>
        </w:rPr>
        <w:t>estratégicos:</w:t>
      </w:r>
    </w:p>
    <w:p>
      <w:pPr>
        <w:pStyle w:val="ListParagraph"/>
        <w:numPr>
          <w:ilvl w:val="0"/>
          <w:numId w:val="12"/>
        </w:numPr>
        <w:tabs>
          <w:tab w:pos="1238" w:val="left" w:leader="none"/>
        </w:tabs>
        <w:spacing w:line="240" w:lineRule="auto" w:before="237" w:after="0"/>
        <w:ind w:left="979" w:right="1353" w:firstLine="0"/>
        <w:jc w:val="left"/>
        <w:rPr>
          <w:sz w:val="22"/>
        </w:rPr>
      </w:pPr>
      <w:r>
        <w:rPr>
          <w:sz w:val="22"/>
        </w:rPr>
        <w:t>Imposibilidad de generar la cantidad de recursos que la Institución requiere para cubrir gasto operativo y la ejecución de los servicios y beneficios que otorga el IMAS.</w:t>
      </w:r>
    </w:p>
    <w:p>
      <w:pPr>
        <w:pStyle w:val="ListParagraph"/>
        <w:numPr>
          <w:ilvl w:val="0"/>
          <w:numId w:val="12"/>
        </w:numPr>
        <w:tabs>
          <w:tab w:pos="1276" w:val="left" w:leader="none"/>
        </w:tabs>
        <w:spacing w:line="240" w:lineRule="auto" w:before="3" w:after="0"/>
        <w:ind w:left="979" w:right="1350" w:firstLine="0"/>
        <w:jc w:val="left"/>
        <w:rPr>
          <w:sz w:val="22"/>
        </w:rPr>
      </w:pPr>
      <w:r>
        <w:rPr>
          <w:sz w:val="22"/>
        </w:rPr>
        <w:t>Deficientes</w:t>
      </w:r>
      <w:r>
        <w:rPr>
          <w:spacing w:val="39"/>
          <w:sz w:val="22"/>
        </w:rPr>
        <w:t> </w:t>
      </w:r>
      <w:r>
        <w:rPr>
          <w:sz w:val="22"/>
        </w:rPr>
        <w:t>plataformas</w:t>
      </w:r>
      <w:r>
        <w:rPr>
          <w:spacing w:val="39"/>
          <w:sz w:val="22"/>
        </w:rPr>
        <w:t> </w:t>
      </w:r>
      <w:r>
        <w:rPr>
          <w:sz w:val="22"/>
        </w:rPr>
        <w:t>tecnológicas</w:t>
      </w:r>
      <w:r>
        <w:rPr>
          <w:spacing w:val="39"/>
          <w:sz w:val="22"/>
        </w:rPr>
        <w:t> </w:t>
      </w:r>
      <w:r>
        <w:rPr>
          <w:sz w:val="22"/>
        </w:rPr>
        <w:t>para</w:t>
      </w:r>
      <w:r>
        <w:rPr>
          <w:spacing w:val="40"/>
          <w:sz w:val="22"/>
        </w:rPr>
        <w:t> </w:t>
      </w:r>
      <w:r>
        <w:rPr>
          <w:sz w:val="22"/>
        </w:rPr>
        <w:t>la</w:t>
      </w:r>
      <w:r>
        <w:rPr>
          <w:spacing w:val="40"/>
          <w:sz w:val="22"/>
        </w:rPr>
        <w:t> </w:t>
      </w:r>
      <w:r>
        <w:rPr>
          <w:sz w:val="22"/>
        </w:rPr>
        <w:t>captación</w:t>
      </w:r>
      <w:r>
        <w:rPr>
          <w:spacing w:val="40"/>
          <w:sz w:val="22"/>
        </w:rPr>
        <w:t> </w:t>
      </w:r>
      <w:r>
        <w:rPr>
          <w:sz w:val="22"/>
        </w:rPr>
        <w:t>de</w:t>
      </w:r>
      <w:r>
        <w:rPr>
          <w:spacing w:val="40"/>
          <w:sz w:val="22"/>
        </w:rPr>
        <w:t> </w:t>
      </w:r>
      <w:r>
        <w:rPr>
          <w:sz w:val="22"/>
        </w:rPr>
        <w:t>recursos</w:t>
      </w:r>
      <w:r>
        <w:rPr>
          <w:spacing w:val="39"/>
          <w:sz w:val="22"/>
        </w:rPr>
        <w:t> </w:t>
      </w:r>
      <w:r>
        <w:rPr>
          <w:sz w:val="22"/>
        </w:rPr>
        <w:t>operativos</w:t>
      </w:r>
      <w:r>
        <w:rPr>
          <w:spacing w:val="40"/>
          <w:sz w:val="22"/>
        </w:rPr>
        <w:t> </w:t>
      </w:r>
      <w:r>
        <w:rPr>
          <w:sz w:val="22"/>
        </w:rPr>
        <w:t>y</w:t>
      </w:r>
      <w:r>
        <w:rPr>
          <w:spacing w:val="39"/>
          <w:sz w:val="22"/>
        </w:rPr>
        <w:t> </w:t>
      </w:r>
      <w:r>
        <w:rPr>
          <w:sz w:val="22"/>
        </w:rPr>
        <w:t>de inversión social</w:t>
      </w:r>
    </w:p>
    <w:p>
      <w:pPr>
        <w:pStyle w:val="ListParagraph"/>
        <w:numPr>
          <w:ilvl w:val="0"/>
          <w:numId w:val="12"/>
        </w:numPr>
        <w:tabs>
          <w:tab w:pos="1271" w:val="left" w:leader="none"/>
        </w:tabs>
        <w:spacing w:line="240" w:lineRule="auto" w:before="0" w:after="0"/>
        <w:ind w:left="979" w:right="1349" w:firstLine="0"/>
        <w:jc w:val="left"/>
        <w:rPr>
          <w:sz w:val="22"/>
        </w:rPr>
      </w:pPr>
      <w:r>
        <w:rPr>
          <w:sz w:val="22"/>
        </w:rPr>
        <w:t>Posibles</w:t>
      </w:r>
      <w:r>
        <w:rPr>
          <w:spacing w:val="40"/>
          <w:sz w:val="22"/>
        </w:rPr>
        <w:t> </w:t>
      </w:r>
      <w:r>
        <w:rPr>
          <w:sz w:val="22"/>
        </w:rPr>
        <w:t>actos</w:t>
      </w:r>
      <w:r>
        <w:rPr>
          <w:spacing w:val="36"/>
          <w:sz w:val="22"/>
        </w:rPr>
        <w:t> </w:t>
      </w:r>
      <w:r>
        <w:rPr>
          <w:sz w:val="22"/>
        </w:rPr>
        <w:t>de</w:t>
      </w:r>
      <w:r>
        <w:rPr>
          <w:spacing w:val="40"/>
          <w:sz w:val="22"/>
        </w:rPr>
        <w:t> </w:t>
      </w:r>
      <w:r>
        <w:rPr>
          <w:sz w:val="22"/>
        </w:rPr>
        <w:t>corrupción</w:t>
      </w:r>
      <w:r>
        <w:rPr>
          <w:spacing w:val="40"/>
          <w:sz w:val="22"/>
        </w:rPr>
        <w:t> </w:t>
      </w:r>
      <w:r>
        <w:rPr>
          <w:sz w:val="22"/>
        </w:rPr>
        <w:t>debido</w:t>
      </w:r>
      <w:r>
        <w:rPr>
          <w:spacing w:val="38"/>
          <w:sz w:val="22"/>
        </w:rPr>
        <w:t> </w:t>
      </w:r>
      <w:r>
        <w:rPr>
          <w:sz w:val="22"/>
        </w:rPr>
        <w:t>a</w:t>
      </w:r>
      <w:r>
        <w:rPr>
          <w:spacing w:val="40"/>
          <w:sz w:val="22"/>
        </w:rPr>
        <w:t> </w:t>
      </w:r>
      <w:r>
        <w:rPr>
          <w:sz w:val="22"/>
        </w:rPr>
        <w:t>la</w:t>
      </w:r>
      <w:r>
        <w:rPr>
          <w:spacing w:val="38"/>
          <w:sz w:val="22"/>
        </w:rPr>
        <w:t> </w:t>
      </w:r>
      <w:r>
        <w:rPr>
          <w:sz w:val="22"/>
        </w:rPr>
        <w:t>naturaleza</w:t>
      </w:r>
      <w:r>
        <w:rPr>
          <w:spacing w:val="40"/>
          <w:sz w:val="22"/>
        </w:rPr>
        <w:t> </w:t>
      </w:r>
      <w:r>
        <w:rPr>
          <w:sz w:val="22"/>
        </w:rPr>
        <w:t>de</w:t>
      </w:r>
      <w:r>
        <w:rPr>
          <w:spacing w:val="40"/>
          <w:sz w:val="22"/>
        </w:rPr>
        <w:t> </w:t>
      </w:r>
      <w:r>
        <w:rPr>
          <w:sz w:val="22"/>
        </w:rPr>
        <w:t>la</w:t>
      </w:r>
      <w:r>
        <w:rPr>
          <w:spacing w:val="38"/>
          <w:sz w:val="22"/>
        </w:rPr>
        <w:t> </w:t>
      </w:r>
      <w:r>
        <w:rPr>
          <w:sz w:val="22"/>
        </w:rPr>
        <w:t>gestión</w:t>
      </w:r>
      <w:r>
        <w:rPr>
          <w:spacing w:val="40"/>
          <w:sz w:val="22"/>
        </w:rPr>
        <w:t> </w:t>
      </w:r>
      <w:r>
        <w:rPr>
          <w:sz w:val="22"/>
        </w:rPr>
        <w:t>por</w:t>
      </w:r>
      <w:r>
        <w:rPr>
          <w:spacing w:val="39"/>
          <w:sz w:val="22"/>
        </w:rPr>
        <w:t> </w:t>
      </w:r>
      <w:r>
        <w:rPr>
          <w:sz w:val="22"/>
        </w:rPr>
        <w:t>parte</w:t>
      </w:r>
      <w:r>
        <w:rPr>
          <w:spacing w:val="38"/>
          <w:sz w:val="22"/>
        </w:rPr>
        <w:t> </w:t>
      </w:r>
      <w:r>
        <w:rPr>
          <w:sz w:val="22"/>
        </w:rPr>
        <w:t>de</w:t>
      </w:r>
      <w:r>
        <w:rPr>
          <w:spacing w:val="40"/>
          <w:sz w:val="22"/>
        </w:rPr>
        <w:t> </w:t>
      </w:r>
      <w:r>
        <w:rPr>
          <w:sz w:val="22"/>
        </w:rPr>
        <w:t>las personas funcionarias o trabajadoras de la Institución.</w:t>
      </w:r>
    </w:p>
    <w:p>
      <w:pPr>
        <w:pStyle w:val="BodyText"/>
        <w:spacing w:before="252"/>
      </w:pPr>
    </w:p>
    <w:p>
      <w:pPr>
        <w:pStyle w:val="Heading2"/>
      </w:pPr>
      <w:r>
        <w:rPr/>
        <w:t>Eje</w:t>
      </w:r>
      <w:r>
        <w:rPr>
          <w:spacing w:val="-7"/>
        </w:rPr>
        <w:t> </w:t>
      </w:r>
      <w:r>
        <w:rPr/>
        <w:t>estratégico</w:t>
      </w:r>
      <w:r>
        <w:rPr>
          <w:spacing w:val="-9"/>
        </w:rPr>
        <w:t> </w:t>
      </w:r>
      <w:r>
        <w:rPr/>
        <w:t>6:</w:t>
      </w:r>
      <w:r>
        <w:rPr>
          <w:spacing w:val="-6"/>
        </w:rPr>
        <w:t> </w:t>
      </w:r>
      <w:r>
        <w:rPr/>
        <w:t>Optimización</w:t>
      </w:r>
      <w:r>
        <w:rPr>
          <w:spacing w:val="-5"/>
        </w:rPr>
        <w:t> </w:t>
      </w:r>
      <w:r>
        <w:rPr/>
        <w:t>de</w:t>
      </w:r>
      <w:r>
        <w:rPr>
          <w:spacing w:val="-3"/>
        </w:rPr>
        <w:t> </w:t>
      </w:r>
      <w:r>
        <w:rPr/>
        <w:t>recurso</w:t>
      </w:r>
      <w:r>
        <w:rPr>
          <w:spacing w:val="-5"/>
        </w:rPr>
        <w:t> </w:t>
      </w:r>
      <w:r>
        <w:rPr>
          <w:spacing w:val="-2"/>
        </w:rPr>
        <w:t>Humano</w:t>
      </w:r>
    </w:p>
    <w:p>
      <w:pPr>
        <w:pStyle w:val="BodyText"/>
        <w:spacing w:before="3"/>
        <w:rPr>
          <w:b/>
        </w:rPr>
      </w:pPr>
    </w:p>
    <w:p>
      <w:pPr>
        <w:pStyle w:val="BodyText"/>
        <w:ind w:left="979" w:right="1346"/>
        <w:jc w:val="both"/>
      </w:pPr>
      <w:r>
        <w:rPr>
          <w:b/>
        </w:rPr>
        <w:t>Objetivo estratégico: </w:t>
      </w:r>
      <w:r>
        <w:rPr/>
        <w:t>Contribuir a la consecución de la eficacia y la eficiencia en la prestación de servicios y de la utilización de los recursos disponibles para generar valor público, sobre la base de un ambiente de gestión, condiciones.</w:t>
      </w:r>
    </w:p>
    <w:p>
      <w:pPr>
        <w:pStyle w:val="BodyText"/>
        <w:spacing w:before="1"/>
      </w:pPr>
    </w:p>
    <w:p>
      <w:pPr>
        <w:pStyle w:val="Heading2"/>
      </w:pPr>
      <w:r>
        <w:rPr/>
        <w:t>Eventos</w:t>
      </w:r>
      <w:r>
        <w:rPr>
          <w:spacing w:val="-7"/>
        </w:rPr>
        <w:t> </w:t>
      </w:r>
      <w:r>
        <w:rPr>
          <w:spacing w:val="-2"/>
        </w:rPr>
        <w:t>estratégicos:</w:t>
      </w:r>
    </w:p>
    <w:p>
      <w:pPr>
        <w:pStyle w:val="ListParagraph"/>
        <w:numPr>
          <w:ilvl w:val="0"/>
          <w:numId w:val="13"/>
        </w:numPr>
        <w:tabs>
          <w:tab w:pos="1281" w:val="left" w:leader="none"/>
        </w:tabs>
        <w:spacing w:line="240" w:lineRule="auto" w:before="237" w:after="0"/>
        <w:ind w:left="979" w:right="1350" w:firstLine="0"/>
        <w:jc w:val="left"/>
        <w:rPr>
          <w:sz w:val="22"/>
        </w:rPr>
      </w:pPr>
      <w:r>
        <w:rPr>
          <w:sz w:val="22"/>
        </w:rPr>
        <w:t>Necesidades</w:t>
      </w:r>
      <w:r>
        <w:rPr>
          <w:spacing w:val="40"/>
          <w:sz w:val="22"/>
        </w:rPr>
        <w:t> </w:t>
      </w:r>
      <w:r>
        <w:rPr>
          <w:sz w:val="22"/>
        </w:rPr>
        <w:t>de</w:t>
      </w:r>
      <w:r>
        <w:rPr>
          <w:spacing w:val="40"/>
          <w:sz w:val="22"/>
        </w:rPr>
        <w:t> </w:t>
      </w:r>
      <w:r>
        <w:rPr>
          <w:sz w:val="22"/>
        </w:rPr>
        <w:t>la</w:t>
      </w:r>
      <w:r>
        <w:rPr>
          <w:spacing w:val="40"/>
          <w:sz w:val="22"/>
        </w:rPr>
        <w:t> </w:t>
      </w:r>
      <w:r>
        <w:rPr>
          <w:sz w:val="22"/>
        </w:rPr>
        <w:t>población</w:t>
      </w:r>
      <w:r>
        <w:rPr>
          <w:spacing w:val="40"/>
          <w:sz w:val="22"/>
        </w:rPr>
        <w:t> </w:t>
      </w:r>
      <w:r>
        <w:rPr>
          <w:sz w:val="22"/>
        </w:rPr>
        <w:t>objetivo</w:t>
      </w:r>
      <w:r>
        <w:rPr>
          <w:spacing w:val="40"/>
          <w:sz w:val="22"/>
        </w:rPr>
        <w:t> </w:t>
      </w:r>
      <w:r>
        <w:rPr>
          <w:sz w:val="22"/>
        </w:rPr>
        <w:t>que</w:t>
      </w:r>
      <w:r>
        <w:rPr>
          <w:spacing w:val="40"/>
          <w:sz w:val="22"/>
        </w:rPr>
        <w:t> </w:t>
      </w:r>
      <w:r>
        <w:rPr>
          <w:sz w:val="22"/>
        </w:rPr>
        <w:t>no</w:t>
      </w:r>
      <w:r>
        <w:rPr>
          <w:spacing w:val="40"/>
          <w:sz w:val="22"/>
        </w:rPr>
        <w:t> </w:t>
      </w:r>
      <w:r>
        <w:rPr>
          <w:sz w:val="22"/>
        </w:rPr>
        <w:t>sean</w:t>
      </w:r>
      <w:r>
        <w:rPr>
          <w:spacing w:val="40"/>
          <w:sz w:val="22"/>
        </w:rPr>
        <w:t> </w:t>
      </w:r>
      <w:r>
        <w:rPr>
          <w:sz w:val="22"/>
        </w:rPr>
        <w:t>atendidas</w:t>
      </w:r>
      <w:r>
        <w:rPr>
          <w:spacing w:val="40"/>
          <w:sz w:val="22"/>
        </w:rPr>
        <w:t> </w:t>
      </w:r>
      <w:r>
        <w:rPr>
          <w:sz w:val="22"/>
        </w:rPr>
        <w:t>debido</w:t>
      </w:r>
      <w:r>
        <w:rPr>
          <w:spacing w:val="40"/>
          <w:sz w:val="22"/>
        </w:rPr>
        <w:t> </w:t>
      </w:r>
      <w:r>
        <w:rPr>
          <w:sz w:val="22"/>
        </w:rPr>
        <w:t>a</w:t>
      </w:r>
      <w:r>
        <w:rPr>
          <w:spacing w:val="40"/>
          <w:sz w:val="22"/>
        </w:rPr>
        <w:t> </w:t>
      </w:r>
      <w:r>
        <w:rPr>
          <w:sz w:val="22"/>
        </w:rPr>
        <w:t>la</w:t>
      </w:r>
      <w:r>
        <w:rPr>
          <w:spacing w:val="40"/>
          <w:sz w:val="22"/>
        </w:rPr>
        <w:t> </w:t>
      </w:r>
      <w:r>
        <w:rPr>
          <w:sz w:val="22"/>
        </w:rPr>
        <w:t>limitada planificación estratégica de recurso humano.</w:t>
      </w:r>
    </w:p>
    <w:p>
      <w:pPr>
        <w:pStyle w:val="Heading1"/>
        <w:spacing w:before="244"/>
        <w:ind w:left="979"/>
      </w:pPr>
      <w:r>
        <w:rPr/>
        <w:t>Riesgos</w:t>
      </w:r>
      <w:r>
        <w:rPr>
          <w:spacing w:val="-3"/>
        </w:rPr>
        <w:t> </w:t>
      </w:r>
      <w:r>
        <w:rPr/>
        <w:t>Operativos</w:t>
      </w:r>
      <w:r>
        <w:rPr>
          <w:spacing w:val="-7"/>
        </w:rPr>
        <w:t> </w:t>
      </w:r>
      <w:r>
        <w:rPr/>
        <w:t>y</w:t>
      </w:r>
      <w:r>
        <w:rPr>
          <w:spacing w:val="-6"/>
        </w:rPr>
        <w:t> </w:t>
      </w:r>
      <w:r>
        <w:rPr>
          <w:spacing w:val="-2"/>
        </w:rPr>
        <w:t>Gerenciales</w:t>
      </w:r>
    </w:p>
    <w:p>
      <w:pPr>
        <w:pStyle w:val="BodyText"/>
        <w:spacing w:before="251"/>
        <w:ind w:left="979" w:right="1336"/>
        <w:jc w:val="both"/>
      </w:pPr>
      <w:r>
        <w:rPr/>
        <w:t>Los</w:t>
      </w:r>
      <w:r>
        <w:rPr>
          <w:spacing w:val="-2"/>
        </w:rPr>
        <w:t> </w:t>
      </w:r>
      <w:r>
        <w:rPr/>
        <w:t>planes</w:t>
      </w:r>
      <w:r>
        <w:rPr>
          <w:spacing w:val="-2"/>
        </w:rPr>
        <w:t> </w:t>
      </w:r>
      <w:r>
        <w:rPr/>
        <w:t>institucionales</w:t>
      </w:r>
      <w:r>
        <w:rPr>
          <w:spacing w:val="-1"/>
        </w:rPr>
        <w:t> </w:t>
      </w:r>
      <w:r>
        <w:rPr/>
        <w:t>del</w:t>
      </w:r>
      <w:r>
        <w:rPr>
          <w:spacing w:val="-2"/>
        </w:rPr>
        <w:t> </w:t>
      </w:r>
      <w:r>
        <w:rPr/>
        <w:t>IMAS están diseñados</w:t>
      </w:r>
      <w:r>
        <w:rPr>
          <w:spacing w:val="-1"/>
        </w:rPr>
        <w:t> </w:t>
      </w:r>
      <w:r>
        <w:rPr/>
        <w:t>para impulsar</w:t>
      </w:r>
      <w:r>
        <w:rPr>
          <w:spacing w:val="-3"/>
        </w:rPr>
        <w:t> </w:t>
      </w:r>
      <w:r>
        <w:rPr/>
        <w:t>el</w:t>
      </w:r>
      <w:r>
        <w:rPr>
          <w:spacing w:val="-2"/>
        </w:rPr>
        <w:t> </w:t>
      </w:r>
      <w:r>
        <w:rPr/>
        <w:t>desarrollo social y</w:t>
      </w:r>
      <w:r>
        <w:rPr>
          <w:spacing w:val="-2"/>
        </w:rPr>
        <w:t> </w:t>
      </w:r>
      <w:r>
        <w:rPr/>
        <w:t>la generación de valor público, mediante la gestión orientada a resultados que responda eficazmente</w:t>
      </w:r>
      <w:r>
        <w:rPr>
          <w:spacing w:val="-5"/>
        </w:rPr>
        <w:t> </w:t>
      </w:r>
      <w:r>
        <w:rPr/>
        <w:t>a</w:t>
      </w:r>
      <w:r>
        <w:rPr>
          <w:spacing w:val="-2"/>
        </w:rPr>
        <w:t> </w:t>
      </w:r>
      <w:r>
        <w:rPr/>
        <w:t>las</w:t>
      </w:r>
      <w:r>
        <w:rPr>
          <w:spacing w:val="-3"/>
        </w:rPr>
        <w:t> </w:t>
      </w:r>
      <w:r>
        <w:rPr/>
        <w:t>necesidades</w:t>
      </w:r>
      <w:r>
        <w:rPr>
          <w:spacing w:val="-3"/>
        </w:rPr>
        <w:t> </w:t>
      </w:r>
      <w:r>
        <w:rPr/>
        <w:t>de</w:t>
      </w:r>
      <w:r>
        <w:rPr>
          <w:spacing w:val="-2"/>
        </w:rPr>
        <w:t> </w:t>
      </w:r>
      <w:r>
        <w:rPr/>
        <w:t>la</w:t>
      </w:r>
      <w:r>
        <w:rPr>
          <w:spacing w:val="-2"/>
        </w:rPr>
        <w:t> </w:t>
      </w:r>
      <w:r>
        <w:rPr/>
        <w:t>población</w:t>
      </w:r>
      <w:r>
        <w:rPr>
          <w:spacing w:val="-5"/>
        </w:rPr>
        <w:t> </w:t>
      </w:r>
      <w:r>
        <w:rPr/>
        <w:t>en</w:t>
      </w:r>
      <w:r>
        <w:rPr>
          <w:spacing w:val="-5"/>
        </w:rPr>
        <w:t> </w:t>
      </w:r>
      <w:r>
        <w:rPr/>
        <w:t>condición</w:t>
      </w:r>
      <w:r>
        <w:rPr>
          <w:spacing w:val="-5"/>
        </w:rPr>
        <w:t> </w:t>
      </w:r>
      <w:r>
        <w:rPr/>
        <w:t>de</w:t>
      </w:r>
      <w:r>
        <w:rPr>
          <w:spacing w:val="-5"/>
        </w:rPr>
        <w:t> </w:t>
      </w:r>
      <w:r>
        <w:rPr/>
        <w:t>vulnerabilidad.</w:t>
      </w:r>
      <w:r>
        <w:rPr>
          <w:spacing w:val="-2"/>
        </w:rPr>
        <w:t> </w:t>
      </w:r>
      <w:r>
        <w:rPr/>
        <w:t>Como</w:t>
      </w:r>
      <w:r>
        <w:rPr>
          <w:spacing w:val="-5"/>
        </w:rPr>
        <w:t> </w:t>
      </w:r>
      <w:r>
        <w:rPr/>
        <w:t>parte de este enfoque, se incorpora la gestión de riesgos desde una perspectiva preventiva, a través de un proceso sistemático de identificación, análisis, valoración, seguimiento y monitoreo de riesgos que puedan afectar el logro de los objetivos institucionales. Esta articulación permite tomar decisiones informadas, fortalecer la resiliencia operativa del IMAS y asegurar una mayor eficiencia y transparencia en la ejecución de programas </w:t>
      </w:r>
      <w:r>
        <w:rPr>
          <w:spacing w:val="-2"/>
        </w:rPr>
        <w:t>sociales.</w:t>
      </w:r>
    </w:p>
    <w:p>
      <w:pPr>
        <w:pStyle w:val="BodyText"/>
        <w:spacing w:before="3"/>
      </w:pPr>
    </w:p>
    <w:p>
      <w:pPr>
        <w:pStyle w:val="BodyText"/>
        <w:spacing w:line="237" w:lineRule="auto"/>
        <w:ind w:left="979" w:right="1350"/>
        <w:jc w:val="both"/>
      </w:pPr>
      <w:r>
        <w:rPr/>
        <w:t>Las instancias institucionales fueron convocadas a sesiones de trabajo y asesoría desde Planificación</w:t>
      </w:r>
      <w:r>
        <w:rPr>
          <w:spacing w:val="65"/>
        </w:rPr>
        <w:t> </w:t>
      </w:r>
      <w:r>
        <w:rPr/>
        <w:t>Institucional</w:t>
      </w:r>
      <w:r>
        <w:rPr>
          <w:spacing w:val="63"/>
        </w:rPr>
        <w:t> </w:t>
      </w:r>
      <w:r>
        <w:rPr/>
        <w:t>en</w:t>
      </w:r>
      <w:r>
        <w:rPr>
          <w:spacing w:val="65"/>
        </w:rPr>
        <w:t> </w:t>
      </w:r>
      <w:r>
        <w:rPr/>
        <w:t>su</w:t>
      </w:r>
      <w:r>
        <w:rPr>
          <w:spacing w:val="65"/>
        </w:rPr>
        <w:t> </w:t>
      </w:r>
      <w:r>
        <w:rPr/>
        <w:t>proceso</w:t>
      </w:r>
      <w:r>
        <w:rPr>
          <w:spacing w:val="65"/>
        </w:rPr>
        <w:t> </w:t>
      </w:r>
      <w:r>
        <w:rPr/>
        <w:t>de</w:t>
      </w:r>
      <w:r>
        <w:rPr>
          <w:spacing w:val="65"/>
        </w:rPr>
        <w:t> </w:t>
      </w:r>
      <w:r>
        <w:rPr/>
        <w:t>Control</w:t>
      </w:r>
      <w:r>
        <w:rPr>
          <w:spacing w:val="63"/>
        </w:rPr>
        <w:t> </w:t>
      </w:r>
      <w:r>
        <w:rPr/>
        <w:t>Interno</w:t>
      </w:r>
      <w:r>
        <w:rPr>
          <w:spacing w:val="65"/>
        </w:rPr>
        <w:t> </w:t>
      </w:r>
      <w:r>
        <w:rPr/>
        <w:t>donde</w:t>
      </w:r>
      <w:r>
        <w:rPr>
          <w:spacing w:val="65"/>
        </w:rPr>
        <w:t> </w:t>
      </w:r>
      <w:r>
        <w:rPr/>
        <w:t>se</w:t>
      </w:r>
      <w:r>
        <w:rPr>
          <w:spacing w:val="65"/>
        </w:rPr>
        <w:t> </w:t>
      </w:r>
      <w:r>
        <w:rPr/>
        <w:t>procedió</w:t>
      </w:r>
      <w:r>
        <w:rPr>
          <w:spacing w:val="65"/>
        </w:rPr>
        <w:t> </w:t>
      </w:r>
      <w:r>
        <w:rPr/>
        <w:t>a</w:t>
      </w:r>
      <w:r>
        <w:rPr>
          <w:spacing w:val="65"/>
        </w:rPr>
        <w:t> </w:t>
      </w:r>
      <w:r>
        <w:rPr/>
        <w:t>la</w:t>
      </w:r>
    </w:p>
    <w:p>
      <w:pPr>
        <w:pStyle w:val="BodyText"/>
        <w:spacing w:after="0" w:line="237" w:lineRule="auto"/>
        <w:jc w:val="both"/>
        <w:sectPr>
          <w:pgSz w:w="12240" w:h="15840"/>
          <w:pgMar w:header="0" w:footer="1021" w:top="1340" w:bottom="1220" w:left="720" w:right="360"/>
        </w:sectPr>
      </w:pPr>
    </w:p>
    <w:p>
      <w:pPr>
        <w:pStyle w:val="BodyText"/>
        <w:spacing w:before="76"/>
        <w:ind w:left="979" w:right="1335"/>
        <w:jc w:val="both"/>
      </w:pPr>
      <w:r>
        <w:rPr/>
        <w:t>identificación de riesgos que puedan incidir en el cumplimiento de los objetivos institucionales</w:t>
      </w:r>
      <w:r>
        <w:rPr>
          <w:spacing w:val="-6"/>
        </w:rPr>
        <w:t> </w:t>
      </w:r>
      <w:r>
        <w:rPr/>
        <w:t>en los</w:t>
      </w:r>
      <w:r>
        <w:rPr>
          <w:spacing w:val="-6"/>
        </w:rPr>
        <w:t> </w:t>
      </w:r>
      <w:r>
        <w:rPr/>
        <w:t>cuales</w:t>
      </w:r>
      <w:r>
        <w:rPr>
          <w:spacing w:val="-6"/>
        </w:rPr>
        <w:t> </w:t>
      </w:r>
      <w:r>
        <w:rPr/>
        <w:t>eran</w:t>
      </w:r>
      <w:r>
        <w:rPr>
          <w:spacing w:val="-4"/>
        </w:rPr>
        <w:t> </w:t>
      </w:r>
      <w:r>
        <w:rPr/>
        <w:t>el</w:t>
      </w:r>
      <w:r>
        <w:rPr>
          <w:spacing w:val="-2"/>
        </w:rPr>
        <w:t> </w:t>
      </w:r>
      <w:r>
        <w:rPr/>
        <w:t>responsable</w:t>
      </w:r>
      <w:r>
        <w:rPr>
          <w:spacing w:val="-4"/>
        </w:rPr>
        <w:t> </w:t>
      </w:r>
      <w:r>
        <w:rPr/>
        <w:t>primario,</w:t>
      </w:r>
      <w:r>
        <w:rPr>
          <w:spacing w:val="-5"/>
        </w:rPr>
        <w:t> </w:t>
      </w:r>
      <w:r>
        <w:rPr/>
        <w:t>en sus</w:t>
      </w:r>
      <w:r>
        <w:rPr>
          <w:spacing w:val="-1"/>
        </w:rPr>
        <w:t> </w:t>
      </w:r>
      <w:r>
        <w:rPr/>
        <w:t>distintos</w:t>
      </w:r>
      <w:r>
        <w:rPr>
          <w:spacing w:val="-1"/>
        </w:rPr>
        <w:t> </w:t>
      </w:r>
      <w:r>
        <w:rPr/>
        <w:t>instrumentos</w:t>
      </w:r>
      <w:r>
        <w:rPr>
          <w:spacing w:val="-6"/>
        </w:rPr>
        <w:t> </w:t>
      </w:r>
      <w:r>
        <w:rPr/>
        <w:t>de planificación; a saber, Plan Estratégico Institucional (PEI 2023-2028), Plan Operativo Institucional</w:t>
      </w:r>
      <w:r>
        <w:rPr>
          <w:spacing w:val="-16"/>
        </w:rPr>
        <w:t> </w:t>
      </w:r>
      <w:r>
        <w:rPr/>
        <w:t>(POI)</w:t>
      </w:r>
      <w:r>
        <w:rPr>
          <w:spacing w:val="-15"/>
        </w:rPr>
        <w:t> </w:t>
      </w:r>
      <w:r>
        <w:rPr/>
        <w:t>y</w:t>
      </w:r>
      <w:r>
        <w:rPr>
          <w:spacing w:val="-15"/>
        </w:rPr>
        <w:t> </w:t>
      </w:r>
      <w:r>
        <w:rPr/>
        <w:t>Plan</w:t>
      </w:r>
      <w:r>
        <w:rPr>
          <w:spacing w:val="-16"/>
        </w:rPr>
        <w:t> </w:t>
      </w:r>
      <w:r>
        <w:rPr/>
        <w:t>Operativo</w:t>
      </w:r>
      <w:r>
        <w:rPr>
          <w:spacing w:val="-15"/>
        </w:rPr>
        <w:t> </w:t>
      </w:r>
      <w:r>
        <w:rPr/>
        <w:t>Gerencial</w:t>
      </w:r>
      <w:r>
        <w:rPr>
          <w:spacing w:val="-15"/>
        </w:rPr>
        <w:t> </w:t>
      </w:r>
      <w:r>
        <w:rPr/>
        <w:t>(POGE)-</w:t>
      </w:r>
      <w:r>
        <w:rPr>
          <w:spacing w:val="-15"/>
        </w:rPr>
        <w:t> </w:t>
      </w:r>
      <w:r>
        <w:rPr/>
        <w:t>(resultados,</w:t>
      </w:r>
      <w:r>
        <w:rPr>
          <w:spacing w:val="-16"/>
        </w:rPr>
        <w:t> </w:t>
      </w:r>
      <w:r>
        <w:rPr/>
        <w:t>productos,</w:t>
      </w:r>
      <w:r>
        <w:rPr>
          <w:spacing w:val="-15"/>
        </w:rPr>
        <w:t> </w:t>
      </w:r>
      <w:r>
        <w:rPr/>
        <w:t>actividades).</w:t>
      </w:r>
    </w:p>
    <w:p>
      <w:pPr>
        <w:pStyle w:val="BodyText"/>
        <w:spacing w:before="252"/>
      </w:pPr>
    </w:p>
    <w:p>
      <w:pPr>
        <w:pStyle w:val="Heading2"/>
        <w:spacing w:before="1"/>
        <w:ind w:left="747" w:right="1020"/>
        <w:jc w:val="center"/>
      </w:pPr>
      <w:bookmarkStart w:name="_bookmark22" w:id="23"/>
      <w:bookmarkEnd w:id="23"/>
      <w:r>
        <w:rPr>
          <w:b w:val="0"/>
        </w:rPr>
      </w:r>
      <w:r>
        <w:rPr/>
        <w:t>Gráfico</w:t>
      </w:r>
      <w:r>
        <w:rPr>
          <w:spacing w:val="-1"/>
        </w:rPr>
        <w:t> </w:t>
      </w:r>
      <w:r>
        <w:rPr/>
        <w:t>4:</w:t>
      </w:r>
      <w:r>
        <w:rPr>
          <w:spacing w:val="27"/>
        </w:rPr>
        <w:t>  </w:t>
      </w:r>
      <w:r>
        <w:rPr/>
        <w:t>Nivel</w:t>
      </w:r>
      <w:r>
        <w:rPr>
          <w:spacing w:val="-3"/>
        </w:rPr>
        <w:t> </w:t>
      </w:r>
      <w:r>
        <w:rPr/>
        <w:t>de</w:t>
      </w:r>
      <w:r>
        <w:rPr>
          <w:spacing w:val="-5"/>
        </w:rPr>
        <w:t> </w:t>
      </w:r>
      <w:r>
        <w:rPr/>
        <w:t>riesgo</w:t>
      </w:r>
      <w:r>
        <w:rPr>
          <w:spacing w:val="-6"/>
        </w:rPr>
        <w:t> </w:t>
      </w:r>
      <w:r>
        <w:rPr>
          <w:spacing w:val="-2"/>
        </w:rPr>
        <w:t>controlado</w:t>
      </w:r>
    </w:p>
    <w:p>
      <w:pPr>
        <w:pStyle w:val="BodyText"/>
        <w:spacing w:before="6"/>
        <w:rPr>
          <w:b/>
          <w:sz w:val="20"/>
        </w:rPr>
      </w:pPr>
      <w:r>
        <w:rPr>
          <w:b/>
          <w:sz w:val="20"/>
        </w:rPr>
        <w:drawing>
          <wp:anchor distT="0" distB="0" distL="0" distR="0" allowOverlap="1" layoutInCell="1" locked="0" behindDoc="1" simplePos="0" relativeHeight="487590912">
            <wp:simplePos x="0" y="0"/>
            <wp:positionH relativeFrom="page">
              <wp:posOffset>1523364</wp:posOffset>
            </wp:positionH>
            <wp:positionV relativeFrom="paragraph">
              <wp:posOffset>165689</wp:posOffset>
            </wp:positionV>
            <wp:extent cx="4440321" cy="2338578"/>
            <wp:effectExtent l="0" t="0" r="0" b="0"/>
            <wp:wrapTopAndBottom/>
            <wp:docPr id="62" name="Image 62" descr="Gráfico, Gráfico de barras  El contenido generado por IA puede ser incorrecto."/>
            <wp:cNvGraphicFramePr>
              <a:graphicFrameLocks/>
            </wp:cNvGraphicFramePr>
            <a:graphic>
              <a:graphicData uri="http://schemas.openxmlformats.org/drawingml/2006/picture">
                <pic:pic>
                  <pic:nvPicPr>
                    <pic:cNvPr id="62" name="Image 62" descr="Gráfico, Gráfico de barras  El contenido generado por IA puede ser incorrecto."/>
                    <pic:cNvPicPr/>
                  </pic:nvPicPr>
                  <pic:blipFill>
                    <a:blip r:embed="rId41" cstate="print"/>
                    <a:stretch>
                      <a:fillRect/>
                    </a:stretch>
                  </pic:blipFill>
                  <pic:spPr>
                    <a:xfrm>
                      <a:off x="0" y="0"/>
                      <a:ext cx="4440321" cy="2338578"/>
                    </a:xfrm>
                    <a:prstGeom prst="rect">
                      <a:avLst/>
                    </a:prstGeom>
                  </pic:spPr>
                </pic:pic>
              </a:graphicData>
            </a:graphic>
          </wp:anchor>
        </w:drawing>
      </w:r>
    </w:p>
    <w:p>
      <w:pPr>
        <w:spacing w:before="61"/>
        <w:ind w:left="1215" w:right="0" w:firstLine="0"/>
        <w:jc w:val="left"/>
        <w:rPr>
          <w:b/>
          <w:sz w:val="18"/>
        </w:rPr>
      </w:pPr>
      <w:r>
        <w:rPr>
          <w:b/>
          <w:sz w:val="18"/>
        </w:rPr>
        <w:t>Fuente:</w:t>
      </w:r>
      <w:r>
        <w:rPr>
          <w:b/>
          <w:spacing w:val="-1"/>
          <w:sz w:val="18"/>
        </w:rPr>
        <w:t> </w:t>
      </w:r>
      <w:r>
        <w:rPr>
          <w:b/>
          <w:sz w:val="18"/>
        </w:rPr>
        <w:t>Elaborado</w:t>
      </w:r>
      <w:r>
        <w:rPr>
          <w:b/>
          <w:spacing w:val="-8"/>
          <w:sz w:val="18"/>
        </w:rPr>
        <w:t> </w:t>
      </w:r>
      <w:r>
        <w:rPr>
          <w:b/>
          <w:sz w:val="18"/>
        </w:rPr>
        <w:t>por</w:t>
      </w:r>
      <w:r>
        <w:rPr>
          <w:b/>
          <w:spacing w:val="-5"/>
          <w:sz w:val="18"/>
        </w:rPr>
        <w:t> </w:t>
      </w:r>
      <w:r>
        <w:rPr>
          <w:b/>
          <w:sz w:val="18"/>
        </w:rPr>
        <w:t>Planificación</w:t>
      </w:r>
      <w:r>
        <w:rPr>
          <w:b/>
          <w:spacing w:val="-11"/>
          <w:sz w:val="18"/>
        </w:rPr>
        <w:t> </w:t>
      </w:r>
      <w:r>
        <w:rPr>
          <w:b/>
          <w:sz w:val="18"/>
        </w:rPr>
        <w:t>Institucional</w:t>
      </w:r>
      <w:r>
        <w:rPr>
          <w:b/>
          <w:spacing w:val="-4"/>
          <w:sz w:val="18"/>
        </w:rPr>
        <w:t> </w:t>
      </w:r>
      <w:r>
        <w:rPr>
          <w:b/>
          <w:sz w:val="18"/>
        </w:rPr>
        <w:t>con</w:t>
      </w:r>
      <w:r>
        <w:rPr>
          <w:b/>
          <w:spacing w:val="-8"/>
          <w:sz w:val="18"/>
        </w:rPr>
        <w:t> </w:t>
      </w:r>
      <w:r>
        <w:rPr>
          <w:b/>
          <w:sz w:val="18"/>
        </w:rPr>
        <w:t>base</w:t>
      </w:r>
      <w:r>
        <w:rPr>
          <w:b/>
          <w:spacing w:val="-2"/>
          <w:sz w:val="18"/>
        </w:rPr>
        <w:t> </w:t>
      </w:r>
      <w:r>
        <w:rPr>
          <w:b/>
          <w:sz w:val="18"/>
        </w:rPr>
        <w:t>en</w:t>
      </w:r>
      <w:r>
        <w:rPr>
          <w:b/>
          <w:spacing w:val="-8"/>
          <w:sz w:val="18"/>
        </w:rPr>
        <w:t> </w:t>
      </w:r>
      <w:r>
        <w:rPr>
          <w:b/>
          <w:sz w:val="18"/>
        </w:rPr>
        <w:t>el</w:t>
      </w:r>
      <w:r>
        <w:rPr>
          <w:b/>
          <w:spacing w:val="-4"/>
          <w:sz w:val="18"/>
        </w:rPr>
        <w:t> </w:t>
      </w:r>
      <w:r>
        <w:rPr>
          <w:b/>
          <w:sz w:val="18"/>
        </w:rPr>
        <w:t>proceso</w:t>
      </w:r>
      <w:r>
        <w:rPr>
          <w:b/>
          <w:spacing w:val="-7"/>
          <w:sz w:val="18"/>
        </w:rPr>
        <w:t> </w:t>
      </w:r>
      <w:r>
        <w:rPr>
          <w:b/>
          <w:sz w:val="18"/>
        </w:rPr>
        <w:t>de</w:t>
      </w:r>
      <w:r>
        <w:rPr>
          <w:b/>
          <w:spacing w:val="-7"/>
          <w:sz w:val="18"/>
        </w:rPr>
        <w:t> </w:t>
      </w:r>
      <w:r>
        <w:rPr>
          <w:b/>
          <w:sz w:val="18"/>
        </w:rPr>
        <w:t>valoración</w:t>
      </w:r>
      <w:r>
        <w:rPr>
          <w:b/>
          <w:spacing w:val="-7"/>
          <w:sz w:val="18"/>
        </w:rPr>
        <w:t> </w:t>
      </w:r>
      <w:r>
        <w:rPr>
          <w:b/>
          <w:sz w:val="18"/>
        </w:rPr>
        <w:t>de</w:t>
      </w:r>
      <w:r>
        <w:rPr>
          <w:b/>
          <w:spacing w:val="-2"/>
          <w:sz w:val="18"/>
        </w:rPr>
        <w:t> Riesgos.</w:t>
      </w:r>
    </w:p>
    <w:p>
      <w:pPr>
        <w:pStyle w:val="BodyText"/>
        <w:spacing w:before="43"/>
        <w:rPr>
          <w:b/>
          <w:sz w:val="18"/>
        </w:rPr>
      </w:pPr>
    </w:p>
    <w:p>
      <w:pPr>
        <w:pStyle w:val="BodyText"/>
        <w:ind w:left="979" w:right="1336"/>
        <w:jc w:val="both"/>
      </w:pPr>
      <w:r>
        <w:rPr/>
        <w:t>En el ejercicio realizado las dependencias identificaron 306 riesgos institucionales, donde según la metodología aplicada para el SEVRI el nivel de riesgo controlado se compone</w:t>
      </w:r>
      <w:r>
        <w:rPr>
          <w:spacing w:val="40"/>
        </w:rPr>
        <w:t> </w:t>
      </w:r>
      <w:r>
        <w:rPr/>
        <w:t>de:</w:t>
      </w:r>
      <w:r>
        <w:rPr>
          <w:spacing w:val="40"/>
        </w:rPr>
        <w:t> </w:t>
      </w:r>
      <w:r>
        <w:rPr/>
        <w:t>36% de los riesgos en nivel “Bajo”, 42% nivel Moderado, 21% nivel “Alto” y un 1% en nivel “Extremo”.</w:t>
      </w:r>
    </w:p>
    <w:p>
      <w:pPr>
        <w:pStyle w:val="BodyText"/>
        <w:spacing w:before="2"/>
      </w:pPr>
    </w:p>
    <w:p>
      <w:pPr>
        <w:pStyle w:val="BodyText"/>
        <w:ind w:left="979" w:right="1350"/>
        <w:jc w:val="both"/>
      </w:pPr>
      <w:r>
        <w:rPr/>
        <w:t>A</w:t>
      </w:r>
      <w:r>
        <w:rPr>
          <w:spacing w:val="-5"/>
        </w:rPr>
        <w:t> </w:t>
      </w:r>
      <w:r>
        <w:rPr/>
        <w:t>partir</w:t>
      </w:r>
      <w:r>
        <w:rPr>
          <w:spacing w:val="-8"/>
        </w:rPr>
        <w:t> </w:t>
      </w:r>
      <w:r>
        <w:rPr/>
        <w:t>del</w:t>
      </w:r>
      <w:r>
        <w:rPr>
          <w:spacing w:val="-12"/>
        </w:rPr>
        <w:t> </w:t>
      </w:r>
      <w:r>
        <w:rPr/>
        <w:t>nivel</w:t>
      </w:r>
      <w:r>
        <w:rPr>
          <w:spacing w:val="-12"/>
        </w:rPr>
        <w:t> </w:t>
      </w:r>
      <w:r>
        <w:rPr/>
        <w:t>de</w:t>
      </w:r>
      <w:r>
        <w:rPr>
          <w:spacing w:val="-9"/>
        </w:rPr>
        <w:t> </w:t>
      </w:r>
      <w:r>
        <w:rPr/>
        <w:t>riesgo</w:t>
      </w:r>
      <w:r>
        <w:rPr>
          <w:spacing w:val="-4"/>
        </w:rPr>
        <w:t> </w:t>
      </w:r>
      <w:r>
        <w:rPr/>
        <w:t>controlado,</w:t>
      </w:r>
      <w:r>
        <w:rPr>
          <w:spacing w:val="-5"/>
        </w:rPr>
        <w:t> </w:t>
      </w:r>
      <w:r>
        <w:rPr/>
        <w:t>los</w:t>
      </w:r>
      <w:r>
        <w:rPr>
          <w:spacing w:val="-11"/>
        </w:rPr>
        <w:t> </w:t>
      </w:r>
      <w:r>
        <w:rPr/>
        <w:t>riesgos</w:t>
      </w:r>
      <w:r>
        <w:rPr>
          <w:spacing w:val="-16"/>
        </w:rPr>
        <w:t> </w:t>
      </w:r>
      <w:r>
        <w:rPr/>
        <w:t>que</w:t>
      </w:r>
      <w:r>
        <w:rPr>
          <w:spacing w:val="-3"/>
        </w:rPr>
        <w:t> </w:t>
      </w:r>
      <w:r>
        <w:rPr/>
        <w:t>se</w:t>
      </w:r>
      <w:r>
        <w:rPr>
          <w:spacing w:val="-9"/>
        </w:rPr>
        <w:t> </w:t>
      </w:r>
      <w:r>
        <w:rPr/>
        <w:t>ubican</w:t>
      </w:r>
      <w:r>
        <w:rPr>
          <w:spacing w:val="-9"/>
        </w:rPr>
        <w:t> </w:t>
      </w:r>
      <w:r>
        <w:rPr/>
        <w:t>en</w:t>
      </w:r>
      <w:r>
        <w:rPr>
          <w:spacing w:val="-9"/>
        </w:rPr>
        <w:t> </w:t>
      </w:r>
      <w:r>
        <w:rPr/>
        <w:t>niveles</w:t>
      </w:r>
      <w:r>
        <w:rPr>
          <w:spacing w:val="-11"/>
        </w:rPr>
        <w:t> </w:t>
      </w:r>
      <w:r>
        <w:rPr/>
        <w:t>“Alto</w:t>
      </w:r>
      <w:r>
        <w:rPr>
          <w:spacing w:val="-9"/>
        </w:rPr>
        <w:t> </w:t>
      </w:r>
      <w:r>
        <w:rPr/>
        <w:t>y</w:t>
      </w:r>
      <w:r>
        <w:rPr>
          <w:spacing w:val="-11"/>
        </w:rPr>
        <w:t> </w:t>
      </w:r>
      <w:r>
        <w:rPr/>
        <w:t>Extremo” corresponde</w:t>
      </w:r>
      <w:r>
        <w:rPr>
          <w:spacing w:val="-13"/>
        </w:rPr>
        <w:t> </w:t>
      </w:r>
      <w:r>
        <w:rPr/>
        <w:t>a</w:t>
      </w:r>
      <w:r>
        <w:rPr>
          <w:spacing w:val="-10"/>
        </w:rPr>
        <w:t> </w:t>
      </w:r>
      <w:r>
        <w:rPr/>
        <w:t>las</w:t>
      </w:r>
      <w:r>
        <w:rPr>
          <w:spacing w:val="-12"/>
        </w:rPr>
        <w:t> </w:t>
      </w:r>
      <w:r>
        <w:rPr/>
        <w:t>personas</w:t>
      </w:r>
      <w:r>
        <w:rPr>
          <w:spacing w:val="-12"/>
        </w:rPr>
        <w:t> </w:t>
      </w:r>
      <w:r>
        <w:rPr/>
        <w:t>titulares</w:t>
      </w:r>
      <w:r>
        <w:rPr>
          <w:spacing w:val="-12"/>
        </w:rPr>
        <w:t> </w:t>
      </w:r>
      <w:r>
        <w:rPr/>
        <w:t>subordinadas</w:t>
      </w:r>
      <w:r>
        <w:rPr>
          <w:spacing w:val="-16"/>
        </w:rPr>
        <w:t> </w:t>
      </w:r>
      <w:r>
        <w:rPr/>
        <w:t>mejorar</w:t>
      </w:r>
      <w:r>
        <w:rPr>
          <w:spacing w:val="-8"/>
        </w:rPr>
        <w:t> </w:t>
      </w:r>
      <w:r>
        <w:rPr/>
        <w:t>los</w:t>
      </w:r>
      <w:r>
        <w:rPr>
          <w:spacing w:val="-7"/>
        </w:rPr>
        <w:t> </w:t>
      </w:r>
      <w:r>
        <w:rPr/>
        <w:t>controles</w:t>
      </w:r>
      <w:r>
        <w:rPr>
          <w:spacing w:val="-16"/>
        </w:rPr>
        <w:t> </w:t>
      </w:r>
      <w:r>
        <w:rPr/>
        <w:t>existentes</w:t>
      </w:r>
      <w:r>
        <w:rPr>
          <w:spacing w:val="-6"/>
        </w:rPr>
        <w:t> </w:t>
      </w:r>
      <w:r>
        <w:rPr/>
        <w:t>y</w:t>
      </w:r>
      <w:r>
        <w:rPr>
          <w:spacing w:val="-16"/>
        </w:rPr>
        <w:t> </w:t>
      </w:r>
      <w:r>
        <w:rPr/>
        <w:t>definir las medidas de administración bajo su ámbito de acción.</w:t>
      </w:r>
    </w:p>
    <w:p>
      <w:pPr>
        <w:pStyle w:val="BodyText"/>
        <w:spacing w:before="1"/>
      </w:pPr>
    </w:p>
    <w:p>
      <w:pPr>
        <w:pStyle w:val="BodyText"/>
        <w:spacing w:before="1"/>
        <w:ind w:left="979" w:right="1335"/>
        <w:jc w:val="both"/>
      </w:pPr>
      <w:r>
        <w:rPr/>
        <w:t>Para</w:t>
      </w:r>
      <w:r>
        <w:rPr>
          <w:spacing w:val="-9"/>
        </w:rPr>
        <w:t> </w:t>
      </w:r>
      <w:r>
        <w:rPr/>
        <w:t>los</w:t>
      </w:r>
      <w:r>
        <w:rPr>
          <w:spacing w:val="-11"/>
        </w:rPr>
        <w:t> </w:t>
      </w:r>
      <w:r>
        <w:rPr/>
        <w:t>niveles</w:t>
      </w:r>
      <w:r>
        <w:rPr>
          <w:spacing w:val="-11"/>
        </w:rPr>
        <w:t> </w:t>
      </w:r>
      <w:r>
        <w:rPr/>
        <w:t>“Bajo</w:t>
      </w:r>
      <w:r>
        <w:rPr>
          <w:spacing w:val="-9"/>
        </w:rPr>
        <w:t> </w:t>
      </w:r>
      <w:r>
        <w:rPr/>
        <w:t>y</w:t>
      </w:r>
      <w:r>
        <w:rPr>
          <w:spacing w:val="-6"/>
        </w:rPr>
        <w:t> </w:t>
      </w:r>
      <w:r>
        <w:rPr/>
        <w:t>Moderado”</w:t>
      </w:r>
      <w:r>
        <w:rPr>
          <w:spacing w:val="-8"/>
        </w:rPr>
        <w:t> </w:t>
      </w:r>
      <w:r>
        <w:rPr/>
        <w:t>la</w:t>
      </w:r>
      <w:r>
        <w:rPr>
          <w:spacing w:val="-14"/>
        </w:rPr>
        <w:t> </w:t>
      </w:r>
      <w:r>
        <w:rPr/>
        <w:t>persona</w:t>
      </w:r>
      <w:r>
        <w:rPr>
          <w:spacing w:val="-9"/>
        </w:rPr>
        <w:t> </w:t>
      </w:r>
      <w:r>
        <w:rPr/>
        <w:t>titular</w:t>
      </w:r>
      <w:r>
        <w:rPr>
          <w:spacing w:val="-8"/>
        </w:rPr>
        <w:t> </w:t>
      </w:r>
      <w:r>
        <w:rPr/>
        <w:t>subordinada</w:t>
      </w:r>
      <w:r>
        <w:rPr>
          <w:spacing w:val="-9"/>
        </w:rPr>
        <w:t> </w:t>
      </w:r>
      <w:r>
        <w:rPr/>
        <w:t>deberá</w:t>
      </w:r>
      <w:r>
        <w:rPr>
          <w:spacing w:val="-9"/>
        </w:rPr>
        <w:t> </w:t>
      </w:r>
      <w:r>
        <w:rPr/>
        <w:t>brindar</w:t>
      </w:r>
      <w:r>
        <w:rPr>
          <w:spacing w:val="-12"/>
        </w:rPr>
        <w:t> </w:t>
      </w:r>
      <w:r>
        <w:rPr/>
        <w:t>monitoreo constante</w:t>
      </w:r>
      <w:r>
        <w:rPr>
          <w:spacing w:val="-14"/>
        </w:rPr>
        <w:t> </w:t>
      </w:r>
      <w:r>
        <w:rPr/>
        <w:t>e</w:t>
      </w:r>
      <w:r>
        <w:rPr>
          <w:spacing w:val="-9"/>
        </w:rPr>
        <w:t> </w:t>
      </w:r>
      <w:r>
        <w:rPr/>
        <w:t>informar</w:t>
      </w:r>
      <w:r>
        <w:rPr>
          <w:spacing w:val="-12"/>
        </w:rPr>
        <w:t> </w:t>
      </w:r>
      <w:r>
        <w:rPr/>
        <w:t>a</w:t>
      </w:r>
      <w:r>
        <w:rPr>
          <w:spacing w:val="-9"/>
        </w:rPr>
        <w:t> </w:t>
      </w:r>
      <w:r>
        <w:rPr/>
        <w:t>Planificación</w:t>
      </w:r>
      <w:r>
        <w:rPr>
          <w:spacing w:val="-9"/>
        </w:rPr>
        <w:t> </w:t>
      </w:r>
      <w:r>
        <w:rPr/>
        <w:t>Institucional</w:t>
      </w:r>
      <w:r>
        <w:rPr>
          <w:spacing w:val="-12"/>
        </w:rPr>
        <w:t> </w:t>
      </w:r>
      <w:r>
        <w:rPr/>
        <w:t>en</w:t>
      </w:r>
      <w:r>
        <w:rPr>
          <w:spacing w:val="-9"/>
        </w:rPr>
        <w:t> </w:t>
      </w:r>
      <w:r>
        <w:rPr/>
        <w:t>su</w:t>
      </w:r>
      <w:r>
        <w:rPr>
          <w:spacing w:val="-9"/>
        </w:rPr>
        <w:t> </w:t>
      </w:r>
      <w:r>
        <w:rPr/>
        <w:t>proceso</w:t>
      </w:r>
      <w:r>
        <w:rPr>
          <w:spacing w:val="-9"/>
        </w:rPr>
        <w:t> </w:t>
      </w:r>
      <w:r>
        <w:rPr/>
        <w:t>de</w:t>
      </w:r>
      <w:r>
        <w:rPr>
          <w:spacing w:val="-9"/>
        </w:rPr>
        <w:t> </w:t>
      </w:r>
      <w:r>
        <w:rPr/>
        <w:t>Control</w:t>
      </w:r>
      <w:r>
        <w:rPr>
          <w:spacing w:val="-12"/>
        </w:rPr>
        <w:t> </w:t>
      </w:r>
      <w:r>
        <w:rPr/>
        <w:t>Interno</w:t>
      </w:r>
      <w:r>
        <w:rPr>
          <w:spacing w:val="-9"/>
        </w:rPr>
        <w:t> </w:t>
      </w:r>
      <w:r>
        <w:rPr/>
        <w:t>cualquier cambio que se presente en los riesgos identificados o el surgimiento de nuevos riesgos durante el ciclo.</w:t>
      </w:r>
    </w:p>
    <w:p>
      <w:pPr>
        <w:pStyle w:val="BodyText"/>
        <w:spacing w:before="252"/>
      </w:pPr>
    </w:p>
    <w:p>
      <w:pPr>
        <w:pStyle w:val="Heading1"/>
        <w:spacing w:before="1"/>
        <w:ind w:left="979"/>
        <w:jc w:val="both"/>
      </w:pPr>
      <w:r>
        <w:rPr/>
        <w:t>Fortalecimiento</w:t>
      </w:r>
      <w:r>
        <w:rPr>
          <w:spacing w:val="-3"/>
        </w:rPr>
        <w:t> </w:t>
      </w:r>
      <w:r>
        <w:rPr/>
        <w:t>del</w:t>
      </w:r>
      <w:r>
        <w:rPr>
          <w:spacing w:val="-4"/>
        </w:rPr>
        <w:t> </w:t>
      </w:r>
      <w:r>
        <w:rPr/>
        <w:t>Sistema</w:t>
      </w:r>
      <w:r>
        <w:rPr>
          <w:spacing w:val="-7"/>
        </w:rPr>
        <w:t> </w:t>
      </w:r>
      <w:r>
        <w:rPr/>
        <w:t>de</w:t>
      </w:r>
      <w:r>
        <w:rPr>
          <w:spacing w:val="-4"/>
        </w:rPr>
        <w:t> </w:t>
      </w:r>
      <w:r>
        <w:rPr/>
        <w:t>Control</w:t>
      </w:r>
      <w:r>
        <w:rPr>
          <w:spacing w:val="-4"/>
        </w:rPr>
        <w:t> </w:t>
      </w:r>
      <w:r>
        <w:rPr>
          <w:spacing w:val="-2"/>
        </w:rPr>
        <w:t>Interno</w:t>
      </w:r>
    </w:p>
    <w:p>
      <w:pPr>
        <w:pStyle w:val="BodyText"/>
        <w:spacing w:before="275"/>
        <w:ind w:left="979" w:right="1334"/>
        <w:jc w:val="both"/>
      </w:pPr>
      <w:r>
        <w:rPr/>
        <w:t>Como parte de las acciones realizadas por Planificación Institucional específicamente el proceso de Control Interno participa activamente en las inducciones de primer ingreso de personas</w:t>
      </w:r>
      <w:r>
        <w:rPr>
          <w:spacing w:val="-16"/>
        </w:rPr>
        <w:t> </w:t>
      </w:r>
      <w:r>
        <w:rPr/>
        <w:t>funcionarias</w:t>
      </w:r>
      <w:r>
        <w:rPr>
          <w:spacing w:val="-15"/>
        </w:rPr>
        <w:t> </w:t>
      </w:r>
      <w:r>
        <w:rPr/>
        <w:t>y</w:t>
      </w:r>
      <w:r>
        <w:rPr>
          <w:spacing w:val="-15"/>
        </w:rPr>
        <w:t> </w:t>
      </w:r>
      <w:r>
        <w:rPr/>
        <w:t>trabajadoras</w:t>
      </w:r>
      <w:r>
        <w:rPr>
          <w:spacing w:val="-16"/>
        </w:rPr>
        <w:t> </w:t>
      </w:r>
      <w:r>
        <w:rPr/>
        <w:t>en</w:t>
      </w:r>
      <w:r>
        <w:rPr>
          <w:spacing w:val="-15"/>
        </w:rPr>
        <w:t> </w:t>
      </w:r>
      <w:r>
        <w:rPr/>
        <w:t>donde</w:t>
      </w:r>
      <w:r>
        <w:rPr>
          <w:spacing w:val="-15"/>
        </w:rPr>
        <w:t> </w:t>
      </w:r>
      <w:r>
        <w:rPr/>
        <w:t>se</w:t>
      </w:r>
      <w:r>
        <w:rPr>
          <w:spacing w:val="-15"/>
        </w:rPr>
        <w:t> </w:t>
      </w:r>
      <w:r>
        <w:rPr/>
        <w:t>capacita</w:t>
      </w:r>
      <w:r>
        <w:rPr>
          <w:spacing w:val="-16"/>
        </w:rPr>
        <w:t> </w:t>
      </w:r>
      <w:r>
        <w:rPr/>
        <w:t>el</w:t>
      </w:r>
      <w:r>
        <w:rPr>
          <w:spacing w:val="-15"/>
        </w:rPr>
        <w:t> </w:t>
      </w:r>
      <w:r>
        <w:rPr/>
        <w:t>cumplimiento</w:t>
      </w:r>
      <w:r>
        <w:rPr>
          <w:spacing w:val="-15"/>
        </w:rPr>
        <w:t> </w:t>
      </w:r>
      <w:r>
        <w:rPr/>
        <w:t>de</w:t>
      </w:r>
      <w:r>
        <w:rPr>
          <w:spacing w:val="-15"/>
        </w:rPr>
        <w:t> </w:t>
      </w:r>
      <w:r>
        <w:rPr/>
        <w:t>los</w:t>
      </w:r>
      <w:r>
        <w:rPr>
          <w:spacing w:val="-14"/>
        </w:rPr>
        <w:t> </w:t>
      </w:r>
      <w:r>
        <w:rPr/>
        <w:t>principios de</w:t>
      </w:r>
      <w:r>
        <w:rPr>
          <w:spacing w:val="-9"/>
        </w:rPr>
        <w:t> </w:t>
      </w:r>
      <w:r>
        <w:rPr/>
        <w:t>legalidad,</w:t>
      </w:r>
      <w:r>
        <w:rPr>
          <w:spacing w:val="-5"/>
        </w:rPr>
        <w:t> </w:t>
      </w:r>
      <w:r>
        <w:rPr/>
        <w:t>transparencia</w:t>
      </w:r>
      <w:r>
        <w:rPr>
          <w:spacing w:val="-4"/>
        </w:rPr>
        <w:t> </w:t>
      </w:r>
      <w:r>
        <w:rPr/>
        <w:t>y</w:t>
      </w:r>
      <w:r>
        <w:rPr>
          <w:spacing w:val="-11"/>
        </w:rPr>
        <w:t> </w:t>
      </w:r>
      <w:r>
        <w:rPr/>
        <w:t>rendición</w:t>
      </w:r>
      <w:r>
        <w:rPr>
          <w:spacing w:val="-9"/>
        </w:rPr>
        <w:t> </w:t>
      </w:r>
      <w:r>
        <w:rPr/>
        <w:t>de</w:t>
      </w:r>
      <w:r>
        <w:rPr>
          <w:spacing w:val="-9"/>
        </w:rPr>
        <w:t> </w:t>
      </w:r>
      <w:r>
        <w:rPr/>
        <w:t>cuentas</w:t>
      </w:r>
      <w:r>
        <w:rPr>
          <w:spacing w:val="-11"/>
        </w:rPr>
        <w:t> </w:t>
      </w:r>
      <w:r>
        <w:rPr/>
        <w:t>que</w:t>
      </w:r>
      <w:r>
        <w:rPr>
          <w:spacing w:val="-9"/>
        </w:rPr>
        <w:t> </w:t>
      </w:r>
      <w:r>
        <w:rPr/>
        <w:t>rigen</w:t>
      </w:r>
      <w:r>
        <w:rPr>
          <w:spacing w:val="-9"/>
        </w:rPr>
        <w:t> </w:t>
      </w:r>
      <w:r>
        <w:rPr/>
        <w:t>al</w:t>
      </w:r>
      <w:r>
        <w:rPr>
          <w:spacing w:val="-12"/>
        </w:rPr>
        <w:t> </w:t>
      </w:r>
      <w:r>
        <w:rPr/>
        <w:t>IMAS</w:t>
      </w:r>
      <w:r>
        <w:rPr>
          <w:spacing w:val="-10"/>
        </w:rPr>
        <w:t> </w:t>
      </w:r>
      <w:r>
        <w:rPr/>
        <w:t>de</w:t>
      </w:r>
      <w:r>
        <w:rPr>
          <w:spacing w:val="-14"/>
        </w:rPr>
        <w:t> </w:t>
      </w:r>
      <w:r>
        <w:rPr/>
        <w:t>acuerdo</w:t>
      </w:r>
      <w:r>
        <w:rPr>
          <w:spacing w:val="-9"/>
        </w:rPr>
        <w:t> </w:t>
      </w:r>
      <w:r>
        <w:rPr/>
        <w:t>con</w:t>
      </w:r>
      <w:r>
        <w:rPr>
          <w:spacing w:val="-9"/>
        </w:rPr>
        <w:t> </w:t>
      </w:r>
      <w:r>
        <w:rPr/>
        <w:t>la</w:t>
      </w:r>
      <w:r>
        <w:rPr>
          <w:spacing w:val="-14"/>
        </w:rPr>
        <w:t> </w:t>
      </w:r>
      <w:r>
        <w:rPr/>
        <w:t>Ley </w:t>
      </w:r>
      <w:r>
        <w:rPr>
          <w:spacing w:val="-2"/>
        </w:rPr>
        <w:t>8292.</w:t>
      </w:r>
    </w:p>
    <w:p>
      <w:pPr>
        <w:pStyle w:val="BodyText"/>
        <w:spacing w:after="0"/>
        <w:jc w:val="both"/>
        <w:sectPr>
          <w:pgSz w:w="12240" w:h="15840"/>
          <w:pgMar w:header="0" w:footer="1021" w:top="1340" w:bottom="1220" w:left="720" w:right="360"/>
        </w:sectPr>
      </w:pPr>
    </w:p>
    <w:p>
      <w:pPr>
        <w:pStyle w:val="Heading1"/>
        <w:numPr>
          <w:ilvl w:val="1"/>
          <w:numId w:val="5"/>
        </w:numPr>
        <w:tabs>
          <w:tab w:pos="2245" w:val="left" w:leader="none"/>
        </w:tabs>
        <w:spacing w:line="240" w:lineRule="auto" w:before="71" w:after="0"/>
        <w:ind w:left="2245" w:right="0" w:hanging="401"/>
        <w:jc w:val="left"/>
      </w:pPr>
      <w:bookmarkStart w:name="_bookmark23" w:id="24"/>
      <w:bookmarkEnd w:id="24"/>
      <w:r>
        <w:rPr>
          <w:b w:val="0"/>
        </w:rPr>
      </w:r>
      <w:r>
        <w:rPr/>
        <w:t>Generalidades</w:t>
      </w:r>
      <w:r>
        <w:rPr>
          <w:spacing w:val="-7"/>
        </w:rPr>
        <w:t> </w:t>
      </w:r>
      <w:r>
        <w:rPr/>
        <w:t>de</w:t>
      </w:r>
      <w:r>
        <w:rPr>
          <w:spacing w:val="-2"/>
        </w:rPr>
        <w:t> </w:t>
      </w:r>
      <w:r>
        <w:rPr/>
        <w:t>la</w:t>
      </w:r>
      <w:r>
        <w:rPr>
          <w:spacing w:val="-6"/>
        </w:rPr>
        <w:t> </w:t>
      </w:r>
      <w:r>
        <w:rPr>
          <w:spacing w:val="-2"/>
        </w:rPr>
        <w:t>pobreza</w:t>
      </w:r>
    </w:p>
    <w:p>
      <w:pPr>
        <w:pStyle w:val="BodyText"/>
        <w:rPr>
          <w:b/>
          <w:sz w:val="24"/>
        </w:rPr>
      </w:pPr>
    </w:p>
    <w:p>
      <w:pPr>
        <w:pStyle w:val="ListParagraph"/>
        <w:numPr>
          <w:ilvl w:val="2"/>
          <w:numId w:val="5"/>
        </w:numPr>
        <w:tabs>
          <w:tab w:pos="1581" w:val="left" w:leader="none"/>
        </w:tabs>
        <w:spacing w:line="240" w:lineRule="auto" w:before="0" w:after="0"/>
        <w:ind w:left="1581" w:right="0" w:hanging="602"/>
        <w:jc w:val="left"/>
        <w:rPr>
          <w:b/>
          <w:sz w:val="24"/>
        </w:rPr>
      </w:pPr>
      <w:r>
        <w:rPr>
          <w:b/>
          <w:sz w:val="24"/>
        </w:rPr>
        <w:t>Datos</w:t>
      </w:r>
      <w:r>
        <w:rPr>
          <w:b/>
          <w:spacing w:val="-6"/>
          <w:sz w:val="24"/>
        </w:rPr>
        <w:t> </w:t>
      </w:r>
      <w:r>
        <w:rPr>
          <w:b/>
          <w:sz w:val="24"/>
        </w:rPr>
        <w:t>de</w:t>
      </w:r>
      <w:r>
        <w:rPr>
          <w:b/>
          <w:spacing w:val="-2"/>
          <w:sz w:val="24"/>
        </w:rPr>
        <w:t> </w:t>
      </w:r>
      <w:r>
        <w:rPr>
          <w:b/>
          <w:sz w:val="24"/>
        </w:rPr>
        <w:t>la</w:t>
      </w:r>
      <w:r>
        <w:rPr>
          <w:b/>
          <w:spacing w:val="-2"/>
          <w:sz w:val="24"/>
        </w:rPr>
        <w:t> </w:t>
      </w:r>
      <w:r>
        <w:rPr>
          <w:b/>
          <w:sz w:val="24"/>
        </w:rPr>
        <w:t>Pobreza</w:t>
      </w:r>
      <w:r>
        <w:rPr>
          <w:b/>
          <w:spacing w:val="-2"/>
          <w:sz w:val="24"/>
        </w:rPr>
        <w:t> </w:t>
      </w:r>
      <w:r>
        <w:rPr>
          <w:b/>
          <w:sz w:val="24"/>
        </w:rPr>
        <w:t>y</w:t>
      </w:r>
      <w:r>
        <w:rPr>
          <w:b/>
          <w:spacing w:val="-5"/>
          <w:sz w:val="24"/>
        </w:rPr>
        <w:t> </w:t>
      </w:r>
      <w:r>
        <w:rPr>
          <w:b/>
          <w:spacing w:val="-2"/>
          <w:sz w:val="24"/>
        </w:rPr>
        <w:t>exclusión</w:t>
      </w:r>
    </w:p>
    <w:p>
      <w:pPr>
        <w:pStyle w:val="BodyText"/>
        <w:spacing w:before="252"/>
        <w:ind w:left="979" w:right="1333"/>
        <w:jc w:val="both"/>
        <w:rPr>
          <w:sz w:val="24"/>
        </w:rPr>
      </w:pPr>
      <w:r>
        <w:rPr/>
        <w:t>La pobreza en Costa Rica se presenta como un fenómeno multidimensional que no solo implica insuficiencia de ingresos, sino también la carencia en acceso a servicios básicos, educación,</w:t>
      </w:r>
      <w:r>
        <w:rPr>
          <w:spacing w:val="-4"/>
        </w:rPr>
        <w:t> </w:t>
      </w:r>
      <w:r>
        <w:rPr/>
        <w:t>salud,</w:t>
      </w:r>
      <w:r>
        <w:rPr>
          <w:spacing w:val="-4"/>
        </w:rPr>
        <w:t> </w:t>
      </w:r>
      <w:r>
        <w:rPr/>
        <w:t>empleo</w:t>
      </w:r>
      <w:r>
        <w:rPr>
          <w:spacing w:val="-3"/>
        </w:rPr>
        <w:t> </w:t>
      </w:r>
      <w:r>
        <w:rPr/>
        <w:t>digno y</w:t>
      </w:r>
      <w:r>
        <w:rPr>
          <w:spacing w:val="-5"/>
        </w:rPr>
        <w:t> </w:t>
      </w:r>
      <w:r>
        <w:rPr/>
        <w:t>condiciones</w:t>
      </w:r>
      <w:r>
        <w:rPr>
          <w:spacing w:val="-5"/>
        </w:rPr>
        <w:t> </w:t>
      </w:r>
      <w:r>
        <w:rPr/>
        <w:t>de</w:t>
      </w:r>
      <w:r>
        <w:rPr>
          <w:spacing w:val="-3"/>
        </w:rPr>
        <w:t> </w:t>
      </w:r>
      <w:r>
        <w:rPr/>
        <w:t>vida</w:t>
      </w:r>
      <w:r>
        <w:rPr>
          <w:spacing w:val="-3"/>
        </w:rPr>
        <w:t> </w:t>
      </w:r>
      <w:r>
        <w:rPr/>
        <w:t>adecuadas.</w:t>
      </w:r>
      <w:r>
        <w:rPr>
          <w:spacing w:val="-4"/>
        </w:rPr>
        <w:t> </w:t>
      </w:r>
      <w:r>
        <w:rPr/>
        <w:t>En los últimos años, los datos muestran que la pobreza monetaria y la pobreza multidimensional coexisten, afectando especialmente a ciertos grupos vulnerables y territorios específicos</w:t>
      </w:r>
      <w:r>
        <w:rPr>
          <w:sz w:val="24"/>
        </w:rPr>
        <w:t>.</w:t>
      </w:r>
    </w:p>
    <w:p>
      <w:pPr>
        <w:pStyle w:val="BodyText"/>
        <w:spacing w:before="24"/>
      </w:pPr>
    </w:p>
    <w:p>
      <w:pPr>
        <w:pStyle w:val="Heading2"/>
        <w:spacing w:before="1"/>
        <w:ind w:left="950"/>
        <w:jc w:val="both"/>
      </w:pPr>
      <w:bookmarkStart w:name="_bookmark24" w:id="25"/>
      <w:bookmarkEnd w:id="25"/>
      <w:r>
        <w:rPr>
          <w:b w:val="0"/>
        </w:rPr>
      </w:r>
      <w:r>
        <w:rPr/>
        <w:t>Gráfico</w:t>
      </w:r>
      <w:r>
        <w:rPr>
          <w:spacing w:val="-4"/>
        </w:rPr>
        <w:t> </w:t>
      </w:r>
      <w:r>
        <w:rPr/>
        <w:t>5</w:t>
      </w:r>
      <w:r>
        <w:rPr>
          <w:spacing w:val="-7"/>
        </w:rPr>
        <w:t> </w:t>
      </w:r>
      <w:r>
        <w:rPr/>
        <w:t>Costa</w:t>
      </w:r>
      <w:r>
        <w:rPr>
          <w:spacing w:val="-7"/>
        </w:rPr>
        <w:t> </w:t>
      </w:r>
      <w:r>
        <w:rPr/>
        <w:t>Rica:</w:t>
      </w:r>
      <w:r>
        <w:rPr>
          <w:spacing w:val="-5"/>
        </w:rPr>
        <w:t> </w:t>
      </w:r>
      <w:r>
        <w:rPr/>
        <w:t>Porcentaje</w:t>
      </w:r>
      <w:r>
        <w:rPr>
          <w:spacing w:val="-7"/>
        </w:rPr>
        <w:t> </w:t>
      </w:r>
      <w:r>
        <w:rPr/>
        <w:t>de</w:t>
      </w:r>
      <w:r>
        <w:rPr>
          <w:spacing w:val="-7"/>
        </w:rPr>
        <w:t> </w:t>
      </w:r>
      <w:r>
        <w:rPr/>
        <w:t>hogares</w:t>
      </w:r>
      <w:r>
        <w:rPr>
          <w:spacing w:val="-7"/>
        </w:rPr>
        <w:t> </w:t>
      </w:r>
      <w:r>
        <w:rPr/>
        <w:t>en</w:t>
      </w:r>
      <w:r>
        <w:rPr>
          <w:spacing w:val="-5"/>
        </w:rPr>
        <w:t> </w:t>
      </w:r>
      <w:r>
        <w:rPr/>
        <w:t>pobreza</w:t>
      </w:r>
      <w:r>
        <w:rPr>
          <w:spacing w:val="-3"/>
        </w:rPr>
        <w:t> </w:t>
      </w:r>
      <w:r>
        <w:rPr/>
        <w:t>y</w:t>
      </w:r>
      <w:r>
        <w:rPr>
          <w:spacing w:val="-6"/>
        </w:rPr>
        <w:t> </w:t>
      </w:r>
      <w:r>
        <w:rPr/>
        <w:t>pobreza</w:t>
      </w:r>
      <w:r>
        <w:rPr>
          <w:spacing w:val="-7"/>
        </w:rPr>
        <w:t> </w:t>
      </w:r>
      <w:r>
        <w:rPr/>
        <w:t>extrema,</w:t>
      </w:r>
      <w:r>
        <w:rPr>
          <w:spacing w:val="6"/>
        </w:rPr>
        <w:t> </w:t>
      </w:r>
      <w:r>
        <w:rPr/>
        <w:t>1990-</w:t>
      </w:r>
      <w:r>
        <w:rPr>
          <w:spacing w:val="-4"/>
        </w:rPr>
        <w:t>2024</w:t>
      </w:r>
    </w:p>
    <w:p>
      <w:pPr>
        <w:pStyle w:val="BodyText"/>
        <w:rPr>
          <w:b/>
          <w:sz w:val="20"/>
        </w:rPr>
      </w:pPr>
    </w:p>
    <w:p>
      <w:pPr>
        <w:pStyle w:val="BodyText"/>
        <w:spacing w:before="152"/>
        <w:rPr>
          <w:b/>
          <w:sz w:val="20"/>
        </w:rPr>
      </w:pPr>
      <w:r>
        <w:rPr>
          <w:b/>
          <w:sz w:val="20"/>
        </w:rPr>
        <w:drawing>
          <wp:anchor distT="0" distB="0" distL="0" distR="0" allowOverlap="1" layoutInCell="1" locked="0" behindDoc="1" simplePos="0" relativeHeight="487591424">
            <wp:simplePos x="0" y="0"/>
            <wp:positionH relativeFrom="page">
              <wp:posOffset>1292741</wp:posOffset>
            </wp:positionH>
            <wp:positionV relativeFrom="paragraph">
              <wp:posOffset>258103</wp:posOffset>
            </wp:positionV>
            <wp:extent cx="5474440" cy="3152679"/>
            <wp:effectExtent l="0" t="0" r="0" b="0"/>
            <wp:wrapTopAndBottom/>
            <wp:docPr id="63" name="Image 63" descr="Gráfico, Histograma  El contenido generado por IA puede ser incorrecto."/>
            <wp:cNvGraphicFramePr>
              <a:graphicFrameLocks/>
            </wp:cNvGraphicFramePr>
            <a:graphic>
              <a:graphicData uri="http://schemas.openxmlformats.org/drawingml/2006/picture">
                <pic:pic>
                  <pic:nvPicPr>
                    <pic:cNvPr id="63" name="Image 63" descr="Gráfico, Histograma  El contenido generado por IA puede ser incorrecto."/>
                    <pic:cNvPicPr/>
                  </pic:nvPicPr>
                  <pic:blipFill>
                    <a:blip r:embed="rId42" cstate="print"/>
                    <a:stretch>
                      <a:fillRect/>
                    </a:stretch>
                  </pic:blipFill>
                  <pic:spPr>
                    <a:xfrm>
                      <a:off x="0" y="0"/>
                      <a:ext cx="5474440" cy="3152679"/>
                    </a:xfrm>
                    <a:prstGeom prst="rect">
                      <a:avLst/>
                    </a:prstGeom>
                  </pic:spPr>
                </pic:pic>
              </a:graphicData>
            </a:graphic>
          </wp:anchor>
        </w:drawing>
      </w:r>
    </w:p>
    <w:p>
      <w:pPr>
        <w:spacing w:before="21"/>
        <w:ind w:left="979" w:right="1511" w:firstLine="0"/>
        <w:jc w:val="both"/>
        <w:rPr>
          <w:sz w:val="18"/>
        </w:rPr>
      </w:pPr>
      <w:r>
        <w:rPr>
          <w:sz w:val="18"/>
        </w:rPr>
        <w:t>Fuente: Elaboración</w:t>
      </w:r>
      <w:r>
        <w:rPr>
          <w:spacing w:val="-3"/>
          <w:sz w:val="18"/>
        </w:rPr>
        <w:t> </w:t>
      </w:r>
      <w:r>
        <w:rPr>
          <w:sz w:val="18"/>
        </w:rPr>
        <w:t>propia</w:t>
      </w:r>
      <w:r>
        <w:rPr>
          <w:spacing w:val="-3"/>
          <w:sz w:val="18"/>
        </w:rPr>
        <w:t> </w:t>
      </w:r>
      <w:r>
        <w:rPr>
          <w:sz w:val="18"/>
        </w:rPr>
        <w:t>con</w:t>
      </w:r>
      <w:r>
        <w:rPr>
          <w:spacing w:val="-3"/>
          <w:sz w:val="18"/>
        </w:rPr>
        <w:t> </w:t>
      </w:r>
      <w:r>
        <w:rPr>
          <w:sz w:val="18"/>
        </w:rPr>
        <w:t>datos</w:t>
      </w:r>
      <w:r>
        <w:rPr>
          <w:spacing w:val="-3"/>
          <w:sz w:val="18"/>
        </w:rPr>
        <w:t> </w:t>
      </w:r>
      <w:r>
        <w:rPr>
          <w:sz w:val="18"/>
        </w:rPr>
        <w:t>publicados</w:t>
      </w:r>
      <w:r>
        <w:rPr>
          <w:spacing w:val="-3"/>
          <w:sz w:val="18"/>
        </w:rPr>
        <w:t> </w:t>
      </w:r>
      <w:r>
        <w:rPr>
          <w:sz w:val="18"/>
        </w:rPr>
        <w:t>de</w:t>
      </w:r>
      <w:r>
        <w:rPr>
          <w:spacing w:val="-3"/>
          <w:sz w:val="18"/>
        </w:rPr>
        <w:t> </w:t>
      </w:r>
      <w:r>
        <w:rPr>
          <w:sz w:val="18"/>
        </w:rPr>
        <w:t>Instituto</w:t>
      </w:r>
      <w:r>
        <w:rPr>
          <w:spacing w:val="-8"/>
          <w:sz w:val="18"/>
        </w:rPr>
        <w:t> </w:t>
      </w:r>
      <w:r>
        <w:rPr>
          <w:sz w:val="18"/>
        </w:rPr>
        <w:t>Nacional de</w:t>
      </w:r>
      <w:r>
        <w:rPr>
          <w:spacing w:val="-3"/>
          <w:sz w:val="18"/>
        </w:rPr>
        <w:t> </w:t>
      </w:r>
      <w:r>
        <w:rPr>
          <w:sz w:val="18"/>
        </w:rPr>
        <w:t>Estadística</w:t>
      </w:r>
      <w:r>
        <w:rPr>
          <w:spacing w:val="-3"/>
          <w:sz w:val="18"/>
        </w:rPr>
        <w:t> </w:t>
      </w:r>
      <w:r>
        <w:rPr>
          <w:sz w:val="18"/>
        </w:rPr>
        <w:t>y</w:t>
      </w:r>
      <w:r>
        <w:rPr>
          <w:spacing w:val="-3"/>
          <w:sz w:val="18"/>
        </w:rPr>
        <w:t> </w:t>
      </w:r>
      <w:r>
        <w:rPr>
          <w:sz w:val="18"/>
        </w:rPr>
        <w:t>Censos</w:t>
      </w:r>
      <w:r>
        <w:rPr>
          <w:spacing w:val="-7"/>
          <w:sz w:val="18"/>
        </w:rPr>
        <w:t> </w:t>
      </w:r>
      <w:r>
        <w:rPr>
          <w:sz w:val="18"/>
        </w:rPr>
        <w:t>[INEC],</w:t>
      </w:r>
      <w:r>
        <w:rPr>
          <w:spacing w:val="-1"/>
          <w:sz w:val="18"/>
        </w:rPr>
        <w:t> </w:t>
      </w:r>
      <w:r>
        <w:rPr>
          <w:sz w:val="18"/>
        </w:rPr>
        <w:t>Serie de Encuesta Nacional de Hogares (ENAHO) - 2024.</w:t>
      </w:r>
    </w:p>
    <w:p>
      <w:pPr>
        <w:pStyle w:val="BodyText"/>
        <w:spacing w:before="33"/>
        <w:rPr>
          <w:sz w:val="18"/>
        </w:rPr>
      </w:pPr>
    </w:p>
    <w:p>
      <w:pPr>
        <w:pStyle w:val="BodyText"/>
        <w:ind w:left="979"/>
        <w:jc w:val="both"/>
      </w:pPr>
      <w:r>
        <w:rPr/>
        <w:t>Del</w:t>
      </w:r>
      <w:r>
        <w:rPr>
          <w:spacing w:val="-7"/>
        </w:rPr>
        <w:t> </w:t>
      </w:r>
      <w:r>
        <w:rPr/>
        <w:t>gráfico</w:t>
      </w:r>
      <w:r>
        <w:rPr>
          <w:spacing w:val="-7"/>
        </w:rPr>
        <w:t> </w:t>
      </w:r>
      <w:r>
        <w:rPr/>
        <w:t>5 se</w:t>
      </w:r>
      <w:r>
        <w:rPr>
          <w:spacing w:val="-3"/>
        </w:rPr>
        <w:t> </w:t>
      </w:r>
      <w:r>
        <w:rPr/>
        <w:t>desprende</w:t>
      </w:r>
      <w:r>
        <w:rPr>
          <w:spacing w:val="-7"/>
        </w:rPr>
        <w:t> </w:t>
      </w:r>
      <w:r>
        <w:rPr/>
        <w:t>un</w:t>
      </w:r>
      <w:r>
        <w:rPr>
          <w:spacing w:val="-2"/>
        </w:rPr>
        <w:t> </w:t>
      </w:r>
      <w:r>
        <w:rPr/>
        <w:t>análisis</w:t>
      </w:r>
      <w:r>
        <w:rPr>
          <w:spacing w:val="-9"/>
        </w:rPr>
        <w:t> </w:t>
      </w:r>
      <w:r>
        <w:rPr/>
        <w:t>de</w:t>
      </w:r>
      <w:r>
        <w:rPr>
          <w:spacing w:val="-6"/>
        </w:rPr>
        <w:t> </w:t>
      </w:r>
      <w:r>
        <w:rPr/>
        <w:t>tendencias</w:t>
      </w:r>
      <w:r>
        <w:rPr>
          <w:spacing w:val="-4"/>
        </w:rPr>
        <w:t> </w:t>
      </w:r>
      <w:r>
        <w:rPr/>
        <w:t>por</w:t>
      </w:r>
      <w:r>
        <w:rPr>
          <w:spacing w:val="-5"/>
        </w:rPr>
        <w:t> </w:t>
      </w:r>
      <w:r>
        <w:rPr>
          <w:spacing w:val="-2"/>
        </w:rPr>
        <w:t>período:</w:t>
      </w:r>
    </w:p>
    <w:p>
      <w:pPr>
        <w:pStyle w:val="BodyText"/>
        <w:spacing w:before="2"/>
        <w:ind w:left="979" w:right="1336"/>
        <w:jc w:val="both"/>
      </w:pPr>
      <w:r>
        <w:rPr/>
        <w:t>Entre</w:t>
      </w:r>
      <w:r>
        <w:rPr>
          <w:spacing w:val="-10"/>
        </w:rPr>
        <w:t> </w:t>
      </w:r>
      <w:r>
        <w:rPr/>
        <w:t>1990</w:t>
      </w:r>
      <w:r>
        <w:rPr>
          <w:spacing w:val="-5"/>
        </w:rPr>
        <w:t> </w:t>
      </w:r>
      <w:r>
        <w:rPr/>
        <w:t>y</w:t>
      </w:r>
      <w:r>
        <w:rPr>
          <w:spacing w:val="-12"/>
        </w:rPr>
        <w:t> </w:t>
      </w:r>
      <w:r>
        <w:rPr/>
        <w:t>2007,</w:t>
      </w:r>
      <w:r>
        <w:rPr>
          <w:spacing w:val="-6"/>
        </w:rPr>
        <w:t> </w:t>
      </w:r>
      <w:r>
        <w:rPr/>
        <w:t>Costa</w:t>
      </w:r>
      <w:r>
        <w:rPr>
          <w:spacing w:val="-5"/>
        </w:rPr>
        <w:t> </w:t>
      </w:r>
      <w:r>
        <w:rPr/>
        <w:t>Rica</w:t>
      </w:r>
      <w:r>
        <w:rPr>
          <w:spacing w:val="-10"/>
        </w:rPr>
        <w:t> </w:t>
      </w:r>
      <w:r>
        <w:rPr/>
        <w:t>logró</w:t>
      </w:r>
      <w:r>
        <w:rPr>
          <w:spacing w:val="-10"/>
        </w:rPr>
        <w:t> </w:t>
      </w:r>
      <w:r>
        <w:rPr/>
        <w:t>una</w:t>
      </w:r>
      <w:r>
        <w:rPr>
          <w:spacing w:val="-5"/>
        </w:rPr>
        <w:t> </w:t>
      </w:r>
      <w:r>
        <w:rPr/>
        <w:t>reducción</w:t>
      </w:r>
      <w:r>
        <w:rPr>
          <w:spacing w:val="-5"/>
        </w:rPr>
        <w:t> </w:t>
      </w:r>
      <w:r>
        <w:rPr/>
        <w:t>sostenida</w:t>
      </w:r>
      <w:r>
        <w:rPr>
          <w:spacing w:val="-10"/>
        </w:rPr>
        <w:t> </w:t>
      </w:r>
      <w:r>
        <w:rPr/>
        <w:t>en</w:t>
      </w:r>
      <w:r>
        <w:rPr>
          <w:spacing w:val="-5"/>
        </w:rPr>
        <w:t> </w:t>
      </w:r>
      <w:r>
        <w:rPr/>
        <w:t>los</w:t>
      </w:r>
      <w:r>
        <w:rPr>
          <w:spacing w:val="-12"/>
        </w:rPr>
        <w:t> </w:t>
      </w:r>
      <w:r>
        <w:rPr/>
        <w:t>niveles</w:t>
      </w:r>
      <w:r>
        <w:rPr>
          <w:spacing w:val="-7"/>
        </w:rPr>
        <w:t> </w:t>
      </w:r>
      <w:r>
        <w:rPr/>
        <w:t>de</w:t>
      </w:r>
      <w:r>
        <w:rPr>
          <w:spacing w:val="-10"/>
        </w:rPr>
        <w:t> </w:t>
      </w:r>
      <w:r>
        <w:rPr/>
        <w:t>pobreza.</w:t>
      </w:r>
      <w:r>
        <w:rPr>
          <w:spacing w:val="-11"/>
        </w:rPr>
        <w:t> </w:t>
      </w:r>
      <w:r>
        <w:rPr/>
        <w:t>La pobreza total disminuyó del 27,1% al 16,7%, mientras que la pobreza extrema cayó del 9,1%</w:t>
      </w:r>
      <w:r>
        <w:rPr>
          <w:spacing w:val="-6"/>
        </w:rPr>
        <w:t> </w:t>
      </w:r>
      <w:r>
        <w:rPr/>
        <w:t>al</w:t>
      </w:r>
      <w:r>
        <w:rPr>
          <w:spacing w:val="-7"/>
        </w:rPr>
        <w:t> </w:t>
      </w:r>
      <w:r>
        <w:rPr/>
        <w:t>3,3%.</w:t>
      </w:r>
      <w:r>
        <w:rPr>
          <w:spacing w:val="-5"/>
        </w:rPr>
        <w:t> </w:t>
      </w:r>
      <w:r>
        <w:rPr/>
        <w:t>Este</w:t>
      </w:r>
      <w:r>
        <w:rPr>
          <w:spacing w:val="-9"/>
        </w:rPr>
        <w:t> </w:t>
      </w:r>
      <w:r>
        <w:rPr/>
        <w:t>período</w:t>
      </w:r>
      <w:r>
        <w:rPr>
          <w:spacing w:val="-4"/>
        </w:rPr>
        <w:t> </w:t>
      </w:r>
      <w:r>
        <w:rPr/>
        <w:t>destaca</w:t>
      </w:r>
      <w:r>
        <w:rPr>
          <w:spacing w:val="-4"/>
        </w:rPr>
        <w:t> </w:t>
      </w:r>
      <w:r>
        <w:rPr/>
        <w:t>como</w:t>
      </w:r>
      <w:r>
        <w:rPr>
          <w:spacing w:val="-9"/>
        </w:rPr>
        <w:t> </w:t>
      </w:r>
      <w:r>
        <w:rPr/>
        <w:t>el</w:t>
      </w:r>
      <w:r>
        <w:rPr>
          <w:spacing w:val="-7"/>
        </w:rPr>
        <w:t> </w:t>
      </w:r>
      <w:r>
        <w:rPr/>
        <w:t>de</w:t>
      </w:r>
      <w:r>
        <w:rPr>
          <w:spacing w:val="-9"/>
        </w:rPr>
        <w:t> </w:t>
      </w:r>
      <w:r>
        <w:rPr/>
        <w:t>mejor</w:t>
      </w:r>
      <w:r>
        <w:rPr>
          <w:spacing w:val="-8"/>
        </w:rPr>
        <w:t> </w:t>
      </w:r>
      <w:r>
        <w:rPr/>
        <w:t>desempeño</w:t>
      </w:r>
      <w:r>
        <w:rPr>
          <w:spacing w:val="-9"/>
        </w:rPr>
        <w:t> </w:t>
      </w:r>
      <w:r>
        <w:rPr/>
        <w:t>histórico</w:t>
      </w:r>
      <w:r>
        <w:rPr>
          <w:spacing w:val="-4"/>
        </w:rPr>
        <w:t> </w:t>
      </w:r>
      <w:r>
        <w:rPr/>
        <w:t>en</w:t>
      </w:r>
      <w:r>
        <w:rPr>
          <w:spacing w:val="-4"/>
        </w:rPr>
        <w:t> </w:t>
      </w:r>
      <w:r>
        <w:rPr/>
        <w:t>la</w:t>
      </w:r>
      <w:r>
        <w:rPr>
          <w:spacing w:val="-4"/>
        </w:rPr>
        <w:t> </w:t>
      </w:r>
      <w:r>
        <w:rPr/>
        <w:t>reducción de la pobreza, impulsado por el crecimiento económico y cierta estabilidad </w:t>
      </w:r>
      <w:r>
        <w:rPr>
          <w:spacing w:val="-2"/>
        </w:rPr>
        <w:t>macroeconómica.</w:t>
      </w:r>
    </w:p>
    <w:p>
      <w:pPr>
        <w:pStyle w:val="BodyText"/>
        <w:spacing w:before="252"/>
        <w:ind w:left="979" w:right="1334"/>
        <w:jc w:val="both"/>
      </w:pPr>
      <w:r>
        <w:rPr/>
        <w:t>A</w:t>
      </w:r>
      <w:r>
        <w:rPr>
          <w:spacing w:val="-9"/>
        </w:rPr>
        <w:t> </w:t>
      </w:r>
      <w:r>
        <w:rPr/>
        <w:t>partir</w:t>
      </w:r>
      <w:r>
        <w:rPr>
          <w:spacing w:val="-16"/>
        </w:rPr>
        <w:t> </w:t>
      </w:r>
      <w:r>
        <w:rPr/>
        <w:t>de</w:t>
      </w:r>
      <w:r>
        <w:rPr>
          <w:spacing w:val="-12"/>
        </w:rPr>
        <w:t> </w:t>
      </w:r>
      <w:r>
        <w:rPr/>
        <w:t>2008</w:t>
      </w:r>
      <w:r>
        <w:rPr>
          <w:spacing w:val="-8"/>
        </w:rPr>
        <w:t> </w:t>
      </w:r>
      <w:r>
        <w:rPr/>
        <w:t>y</w:t>
      </w:r>
      <w:r>
        <w:rPr>
          <w:spacing w:val="-15"/>
        </w:rPr>
        <w:t> </w:t>
      </w:r>
      <w:r>
        <w:rPr/>
        <w:t>hasta</w:t>
      </w:r>
      <w:r>
        <w:rPr>
          <w:spacing w:val="-13"/>
        </w:rPr>
        <w:t> </w:t>
      </w:r>
      <w:r>
        <w:rPr/>
        <w:t>2019,</w:t>
      </w:r>
      <w:r>
        <w:rPr>
          <w:spacing w:val="-9"/>
        </w:rPr>
        <w:t> </w:t>
      </w:r>
      <w:r>
        <w:rPr/>
        <w:t>la</w:t>
      </w:r>
      <w:r>
        <w:rPr>
          <w:spacing w:val="-8"/>
        </w:rPr>
        <w:t> </w:t>
      </w:r>
      <w:r>
        <w:rPr/>
        <w:t>situación</w:t>
      </w:r>
      <w:r>
        <w:rPr>
          <w:spacing w:val="-8"/>
        </w:rPr>
        <w:t> </w:t>
      </w:r>
      <w:r>
        <w:rPr/>
        <w:t>cambió</w:t>
      </w:r>
      <w:r>
        <w:rPr>
          <w:spacing w:val="-13"/>
        </w:rPr>
        <w:t> </w:t>
      </w:r>
      <w:r>
        <w:rPr/>
        <w:t>hacia</w:t>
      </w:r>
      <w:r>
        <w:rPr>
          <w:spacing w:val="-13"/>
        </w:rPr>
        <w:t> </w:t>
      </w:r>
      <w:r>
        <w:rPr/>
        <w:t>un</w:t>
      </w:r>
      <w:r>
        <w:rPr>
          <w:spacing w:val="-13"/>
        </w:rPr>
        <w:t> </w:t>
      </w:r>
      <w:r>
        <w:rPr/>
        <w:t>estancamiento.</w:t>
      </w:r>
      <w:r>
        <w:rPr>
          <w:spacing w:val="-9"/>
        </w:rPr>
        <w:t> </w:t>
      </w:r>
      <w:r>
        <w:rPr/>
        <w:t>La</w:t>
      </w:r>
      <w:r>
        <w:rPr>
          <w:spacing w:val="-8"/>
        </w:rPr>
        <w:t> </w:t>
      </w:r>
      <w:r>
        <w:rPr/>
        <w:t>pobreza</w:t>
      </w:r>
      <w:r>
        <w:rPr>
          <w:spacing w:val="-13"/>
        </w:rPr>
        <w:t> </w:t>
      </w:r>
      <w:r>
        <w:rPr/>
        <w:t>total osciló entre el 18% y el 22%, sin lograr romper la barrera del 20%. La pobreza extrema también mostró una tendencia persistente, fluctuando entre el 5% y el 6,5%. Este comportamiento</w:t>
      </w:r>
      <w:r>
        <w:rPr>
          <w:spacing w:val="-16"/>
        </w:rPr>
        <w:t> </w:t>
      </w:r>
      <w:r>
        <w:rPr/>
        <w:t>estuvo</w:t>
      </w:r>
      <w:r>
        <w:rPr>
          <w:spacing w:val="-15"/>
        </w:rPr>
        <w:t> </w:t>
      </w:r>
      <w:r>
        <w:rPr/>
        <w:t>vinculado</w:t>
      </w:r>
      <w:r>
        <w:rPr>
          <w:spacing w:val="-15"/>
        </w:rPr>
        <w:t> </w:t>
      </w:r>
      <w:r>
        <w:rPr/>
        <w:t>a</w:t>
      </w:r>
      <w:r>
        <w:rPr>
          <w:spacing w:val="-16"/>
        </w:rPr>
        <w:t> </w:t>
      </w:r>
      <w:r>
        <w:rPr/>
        <w:t>la</w:t>
      </w:r>
      <w:r>
        <w:rPr>
          <w:spacing w:val="-15"/>
        </w:rPr>
        <w:t> </w:t>
      </w:r>
      <w:r>
        <w:rPr/>
        <w:t>crisis</w:t>
      </w:r>
      <w:r>
        <w:rPr>
          <w:spacing w:val="-15"/>
        </w:rPr>
        <w:t> </w:t>
      </w:r>
      <w:r>
        <w:rPr/>
        <w:t>financiera</w:t>
      </w:r>
      <w:r>
        <w:rPr>
          <w:spacing w:val="-15"/>
        </w:rPr>
        <w:t> </w:t>
      </w:r>
      <w:r>
        <w:rPr/>
        <w:t>global,</w:t>
      </w:r>
      <w:r>
        <w:rPr>
          <w:spacing w:val="-16"/>
        </w:rPr>
        <w:t> </w:t>
      </w:r>
      <w:r>
        <w:rPr/>
        <w:t>el</w:t>
      </w:r>
      <w:r>
        <w:rPr>
          <w:spacing w:val="-15"/>
        </w:rPr>
        <w:t> </w:t>
      </w:r>
      <w:r>
        <w:rPr/>
        <w:t>bajo</w:t>
      </w:r>
      <w:r>
        <w:rPr>
          <w:spacing w:val="-15"/>
        </w:rPr>
        <w:t> </w:t>
      </w:r>
      <w:r>
        <w:rPr/>
        <w:t>crecimiento</w:t>
      </w:r>
      <w:r>
        <w:rPr>
          <w:spacing w:val="-16"/>
        </w:rPr>
        <w:t> </w:t>
      </w:r>
      <w:r>
        <w:rPr/>
        <w:t>del</w:t>
      </w:r>
      <w:r>
        <w:rPr>
          <w:spacing w:val="-15"/>
        </w:rPr>
        <w:t> </w:t>
      </w:r>
      <w:r>
        <w:rPr/>
        <w:t>empleo formal y el aumento en el costo de vida.</w:t>
      </w:r>
    </w:p>
    <w:p>
      <w:pPr>
        <w:pStyle w:val="BodyText"/>
        <w:spacing w:after="0"/>
        <w:jc w:val="both"/>
        <w:sectPr>
          <w:pgSz w:w="12240" w:h="15840"/>
          <w:pgMar w:header="0" w:footer="1021" w:top="1600" w:bottom="1220" w:left="720" w:right="360"/>
        </w:sectPr>
      </w:pPr>
    </w:p>
    <w:p>
      <w:pPr>
        <w:pStyle w:val="BodyText"/>
        <w:spacing w:before="76"/>
        <w:ind w:left="979" w:right="1336"/>
        <w:jc w:val="both"/>
      </w:pPr>
      <w:r>
        <w:rPr/>
        <w:t>El impacto de la pandemia en 2020 marcó un retroceso significativo. La pobreza total se elevó</w:t>
      </w:r>
      <w:r>
        <w:rPr>
          <w:spacing w:val="-12"/>
        </w:rPr>
        <w:t> </w:t>
      </w:r>
      <w:r>
        <w:rPr/>
        <w:t>hasta</w:t>
      </w:r>
      <w:r>
        <w:rPr>
          <w:spacing w:val="-12"/>
        </w:rPr>
        <w:t> </w:t>
      </w:r>
      <w:r>
        <w:rPr/>
        <w:t>el</w:t>
      </w:r>
      <w:r>
        <w:rPr>
          <w:spacing w:val="-10"/>
        </w:rPr>
        <w:t> </w:t>
      </w:r>
      <w:r>
        <w:rPr/>
        <w:t>26,2%,</w:t>
      </w:r>
      <w:r>
        <w:rPr>
          <w:spacing w:val="-7"/>
        </w:rPr>
        <w:t> </w:t>
      </w:r>
      <w:r>
        <w:rPr/>
        <w:t>el</w:t>
      </w:r>
      <w:r>
        <w:rPr>
          <w:spacing w:val="-15"/>
        </w:rPr>
        <w:t> </w:t>
      </w:r>
      <w:r>
        <w:rPr/>
        <w:t>nivel</w:t>
      </w:r>
      <w:r>
        <w:rPr>
          <w:spacing w:val="-15"/>
        </w:rPr>
        <w:t> </w:t>
      </w:r>
      <w:r>
        <w:rPr/>
        <w:t>más</w:t>
      </w:r>
      <w:r>
        <w:rPr>
          <w:spacing w:val="-14"/>
        </w:rPr>
        <w:t> </w:t>
      </w:r>
      <w:r>
        <w:rPr/>
        <w:t>alto</w:t>
      </w:r>
      <w:r>
        <w:rPr>
          <w:spacing w:val="-12"/>
        </w:rPr>
        <w:t> </w:t>
      </w:r>
      <w:r>
        <w:rPr/>
        <w:t>desde</w:t>
      </w:r>
      <w:r>
        <w:rPr>
          <w:spacing w:val="-12"/>
        </w:rPr>
        <w:t> </w:t>
      </w:r>
      <w:r>
        <w:rPr/>
        <w:t>1992.</w:t>
      </w:r>
      <w:r>
        <w:rPr>
          <w:spacing w:val="-8"/>
        </w:rPr>
        <w:t> </w:t>
      </w:r>
      <w:r>
        <w:rPr/>
        <w:t>Asimismo,</w:t>
      </w:r>
      <w:r>
        <w:rPr>
          <w:spacing w:val="-8"/>
        </w:rPr>
        <w:t> </w:t>
      </w:r>
      <w:r>
        <w:rPr/>
        <w:t>la</w:t>
      </w:r>
      <w:r>
        <w:rPr>
          <w:spacing w:val="-12"/>
        </w:rPr>
        <w:t> </w:t>
      </w:r>
      <w:r>
        <w:rPr/>
        <w:t>pobreza</w:t>
      </w:r>
      <w:r>
        <w:rPr>
          <w:spacing w:val="-7"/>
        </w:rPr>
        <w:t> </w:t>
      </w:r>
      <w:r>
        <w:rPr/>
        <w:t>extrema</w:t>
      </w:r>
      <w:r>
        <w:rPr>
          <w:spacing w:val="-7"/>
        </w:rPr>
        <w:t> </w:t>
      </w:r>
      <w:r>
        <w:rPr/>
        <w:t>aumentó hasta</w:t>
      </w:r>
      <w:r>
        <w:rPr>
          <w:spacing w:val="-16"/>
        </w:rPr>
        <w:t> </w:t>
      </w:r>
      <w:r>
        <w:rPr/>
        <w:t>un</w:t>
      </w:r>
      <w:r>
        <w:rPr>
          <w:spacing w:val="-14"/>
        </w:rPr>
        <w:t> </w:t>
      </w:r>
      <w:r>
        <w:rPr/>
        <w:t>7%,</w:t>
      </w:r>
      <w:r>
        <w:rPr>
          <w:spacing w:val="-11"/>
        </w:rPr>
        <w:t> </w:t>
      </w:r>
      <w:r>
        <w:rPr/>
        <w:t>retrocediendo</w:t>
      </w:r>
      <w:r>
        <w:rPr>
          <w:spacing w:val="-10"/>
        </w:rPr>
        <w:t> </w:t>
      </w:r>
      <w:r>
        <w:rPr/>
        <w:t>casi</w:t>
      </w:r>
      <w:r>
        <w:rPr>
          <w:spacing w:val="-13"/>
        </w:rPr>
        <w:t> </w:t>
      </w:r>
      <w:r>
        <w:rPr/>
        <w:t>una</w:t>
      </w:r>
      <w:r>
        <w:rPr>
          <w:spacing w:val="-15"/>
        </w:rPr>
        <w:t> </w:t>
      </w:r>
      <w:r>
        <w:rPr/>
        <w:t>década</w:t>
      </w:r>
      <w:r>
        <w:rPr>
          <w:spacing w:val="-15"/>
        </w:rPr>
        <w:t> </w:t>
      </w:r>
      <w:r>
        <w:rPr/>
        <w:t>en</w:t>
      </w:r>
      <w:r>
        <w:rPr>
          <w:spacing w:val="-10"/>
        </w:rPr>
        <w:t> </w:t>
      </w:r>
      <w:r>
        <w:rPr/>
        <w:t>términos</w:t>
      </w:r>
      <w:r>
        <w:rPr>
          <w:spacing w:val="-16"/>
        </w:rPr>
        <w:t> </w:t>
      </w:r>
      <w:r>
        <w:rPr/>
        <w:t>de</w:t>
      </w:r>
      <w:r>
        <w:rPr>
          <w:spacing w:val="-14"/>
        </w:rPr>
        <w:t> </w:t>
      </w:r>
      <w:r>
        <w:rPr/>
        <w:t>bienestar.</w:t>
      </w:r>
      <w:r>
        <w:rPr>
          <w:spacing w:val="-16"/>
        </w:rPr>
        <w:t> </w:t>
      </w:r>
      <w:r>
        <w:rPr/>
        <w:t>Aunque</w:t>
      </w:r>
      <w:r>
        <w:rPr>
          <w:spacing w:val="-14"/>
        </w:rPr>
        <w:t> </w:t>
      </w:r>
      <w:r>
        <w:rPr/>
        <w:t>se</w:t>
      </w:r>
      <w:r>
        <w:rPr>
          <w:spacing w:val="-1"/>
        </w:rPr>
        <w:t> </w:t>
      </w:r>
      <w:r>
        <w:rPr/>
        <w:t>aplicaron transferencias de emergencia, la contracción económica golpeó con fuerza a los hogares más vulnerables.</w:t>
      </w:r>
    </w:p>
    <w:p>
      <w:pPr>
        <w:pStyle w:val="BodyText"/>
        <w:spacing w:before="253"/>
        <w:ind w:left="979" w:right="1335"/>
        <w:jc w:val="both"/>
      </w:pPr>
      <w:r>
        <w:rPr/>
        <w:t>En</w:t>
      </w:r>
      <w:r>
        <w:rPr>
          <w:spacing w:val="-16"/>
        </w:rPr>
        <w:t> </w:t>
      </w:r>
      <w:r>
        <w:rPr/>
        <w:t>el</w:t>
      </w:r>
      <w:r>
        <w:rPr>
          <w:spacing w:val="-15"/>
        </w:rPr>
        <w:t> </w:t>
      </w:r>
      <w:r>
        <w:rPr/>
        <w:t>período</w:t>
      </w:r>
      <w:r>
        <w:rPr>
          <w:spacing w:val="-15"/>
        </w:rPr>
        <w:t> </w:t>
      </w:r>
      <w:r>
        <w:rPr/>
        <w:t>2022–2024</w:t>
      </w:r>
      <w:r>
        <w:rPr>
          <w:spacing w:val="-11"/>
        </w:rPr>
        <w:t> </w:t>
      </w:r>
      <w:r>
        <w:rPr/>
        <w:t>se</w:t>
      </w:r>
      <w:r>
        <w:rPr>
          <w:spacing w:val="-15"/>
        </w:rPr>
        <w:t> </w:t>
      </w:r>
      <w:r>
        <w:rPr/>
        <w:t>observa</w:t>
      </w:r>
      <w:r>
        <w:rPr>
          <w:spacing w:val="-15"/>
        </w:rPr>
        <w:t> </w:t>
      </w:r>
      <w:r>
        <w:rPr/>
        <w:t>una</w:t>
      </w:r>
      <w:r>
        <w:rPr>
          <w:spacing w:val="-10"/>
        </w:rPr>
        <w:t> </w:t>
      </w:r>
      <w:r>
        <w:rPr/>
        <w:t>recuperación</w:t>
      </w:r>
      <w:r>
        <w:rPr>
          <w:spacing w:val="-15"/>
        </w:rPr>
        <w:t> </w:t>
      </w:r>
      <w:r>
        <w:rPr/>
        <w:t>moderada.</w:t>
      </w:r>
      <w:r>
        <w:rPr>
          <w:spacing w:val="-16"/>
        </w:rPr>
        <w:t> </w:t>
      </w:r>
      <w:r>
        <w:rPr/>
        <w:t>En</w:t>
      </w:r>
      <w:r>
        <w:rPr>
          <w:spacing w:val="-14"/>
        </w:rPr>
        <w:t> </w:t>
      </w:r>
      <w:r>
        <w:rPr/>
        <w:t>2024,</w:t>
      </w:r>
      <w:r>
        <w:rPr>
          <w:spacing w:val="-16"/>
        </w:rPr>
        <w:t> </w:t>
      </w:r>
      <w:r>
        <w:rPr/>
        <w:t>la</w:t>
      </w:r>
      <w:r>
        <w:rPr>
          <w:spacing w:val="-14"/>
        </w:rPr>
        <w:t> </w:t>
      </w:r>
      <w:r>
        <w:rPr/>
        <w:t>pobreza</w:t>
      </w:r>
      <w:r>
        <w:rPr>
          <w:spacing w:val="-15"/>
        </w:rPr>
        <w:t> </w:t>
      </w:r>
      <w:r>
        <w:rPr/>
        <w:t>total se redujo a un 17,95%, el nivel más bajo desde 2008. Por su parte, la pobreza extrema disminuyó a un 4,76%, lo que sugiere un efecto positivo de los programas de reactivación económica y apoyo social implementados en respuesta a la crisis.</w:t>
      </w:r>
    </w:p>
    <w:p>
      <w:pPr>
        <w:pStyle w:val="BodyText"/>
        <w:spacing w:before="2"/>
      </w:pPr>
    </w:p>
    <w:p>
      <w:pPr>
        <w:pStyle w:val="BodyText"/>
        <w:ind w:left="979" w:right="1329"/>
        <w:jc w:val="both"/>
      </w:pPr>
      <w:r>
        <w:rPr/>
        <w:t>El análisis de la evolución de la pobreza en Costa Rica entre 2010 y 2024 muestra una relación estrecha entre el comportamiento del crecimiento económico y los niveles de pobreza, tanto por hogar como por persona. Esta conexión se refleja claramente en el gráfico</w:t>
      </w:r>
      <w:r>
        <w:rPr>
          <w:spacing w:val="-11"/>
        </w:rPr>
        <w:t> </w:t>
      </w:r>
      <w:r>
        <w:rPr/>
        <w:t>6,</w:t>
      </w:r>
      <w:r>
        <w:rPr>
          <w:spacing w:val="-9"/>
        </w:rPr>
        <w:t> </w:t>
      </w:r>
      <w:r>
        <w:rPr/>
        <w:t>que</w:t>
      </w:r>
      <w:r>
        <w:rPr>
          <w:spacing w:val="-13"/>
        </w:rPr>
        <w:t> </w:t>
      </w:r>
      <w:r>
        <w:rPr/>
        <w:t>presenta</w:t>
      </w:r>
      <w:r>
        <w:rPr>
          <w:spacing w:val="-8"/>
        </w:rPr>
        <w:t> </w:t>
      </w:r>
      <w:r>
        <w:rPr/>
        <w:t>la</w:t>
      </w:r>
      <w:r>
        <w:rPr>
          <w:spacing w:val="-8"/>
        </w:rPr>
        <w:t> </w:t>
      </w:r>
      <w:r>
        <w:rPr/>
        <w:t>incidencia</w:t>
      </w:r>
      <w:r>
        <w:rPr>
          <w:spacing w:val="-8"/>
        </w:rPr>
        <w:t> </w:t>
      </w:r>
      <w:r>
        <w:rPr/>
        <w:t>de</w:t>
      </w:r>
      <w:r>
        <w:rPr>
          <w:spacing w:val="-8"/>
        </w:rPr>
        <w:t> </w:t>
      </w:r>
      <w:r>
        <w:rPr/>
        <w:t>la</w:t>
      </w:r>
      <w:r>
        <w:rPr>
          <w:spacing w:val="-8"/>
        </w:rPr>
        <w:t> </w:t>
      </w:r>
      <w:r>
        <w:rPr/>
        <w:t>pobreza</w:t>
      </w:r>
      <w:r>
        <w:rPr>
          <w:spacing w:val="-13"/>
        </w:rPr>
        <w:t> </w:t>
      </w:r>
      <w:r>
        <w:rPr/>
        <w:t>total</w:t>
      </w:r>
      <w:r>
        <w:rPr>
          <w:spacing w:val="-11"/>
        </w:rPr>
        <w:t> </w:t>
      </w:r>
      <w:r>
        <w:rPr/>
        <w:t>y</w:t>
      </w:r>
      <w:r>
        <w:rPr>
          <w:spacing w:val="-10"/>
        </w:rPr>
        <w:t> </w:t>
      </w:r>
      <w:r>
        <w:rPr/>
        <w:t>la</w:t>
      </w:r>
      <w:r>
        <w:rPr>
          <w:spacing w:val="-8"/>
        </w:rPr>
        <w:t> </w:t>
      </w:r>
      <w:r>
        <w:rPr/>
        <w:t>tasa</w:t>
      </w:r>
      <w:r>
        <w:rPr>
          <w:spacing w:val="-8"/>
        </w:rPr>
        <w:t> </w:t>
      </w:r>
      <w:r>
        <w:rPr/>
        <w:t>de</w:t>
      </w:r>
      <w:r>
        <w:rPr>
          <w:spacing w:val="-8"/>
        </w:rPr>
        <w:t> </w:t>
      </w:r>
      <w:r>
        <w:rPr/>
        <w:t>crecimiento</w:t>
      </w:r>
      <w:r>
        <w:rPr>
          <w:spacing w:val="-8"/>
        </w:rPr>
        <w:t> </w:t>
      </w:r>
      <w:r>
        <w:rPr/>
        <w:t>del</w:t>
      </w:r>
      <w:r>
        <w:rPr>
          <w:spacing w:val="-11"/>
        </w:rPr>
        <w:t> </w:t>
      </w:r>
      <w:r>
        <w:rPr/>
        <w:t>PIB</w:t>
      </w:r>
      <w:r>
        <w:rPr>
          <w:spacing w:val="-9"/>
        </w:rPr>
        <w:t> </w:t>
      </w:r>
      <w:r>
        <w:rPr/>
        <w:t>real en el mismo período.</w:t>
      </w:r>
    </w:p>
    <w:p>
      <w:pPr>
        <w:pStyle w:val="BodyText"/>
      </w:pPr>
    </w:p>
    <w:p>
      <w:pPr>
        <w:pStyle w:val="BodyText"/>
        <w:ind w:left="979" w:right="1336"/>
        <w:jc w:val="both"/>
      </w:pPr>
      <w:r>
        <w:rPr/>
        <w:t>Durante los primeros años analizados, específicamente entre 2010 y 2012, Costa Rica experimentó</w:t>
      </w:r>
      <w:r>
        <w:rPr>
          <w:spacing w:val="-5"/>
        </w:rPr>
        <w:t> </w:t>
      </w:r>
      <w:r>
        <w:rPr/>
        <w:t>tasas</w:t>
      </w:r>
      <w:r>
        <w:rPr>
          <w:spacing w:val="-11"/>
        </w:rPr>
        <w:t> </w:t>
      </w:r>
      <w:r>
        <w:rPr/>
        <w:t>de</w:t>
      </w:r>
      <w:r>
        <w:rPr>
          <w:spacing w:val="-10"/>
        </w:rPr>
        <w:t> </w:t>
      </w:r>
      <w:r>
        <w:rPr/>
        <w:t>crecimiento</w:t>
      </w:r>
      <w:r>
        <w:rPr>
          <w:spacing w:val="-10"/>
        </w:rPr>
        <w:t> </w:t>
      </w:r>
      <w:r>
        <w:rPr/>
        <w:t>económico</w:t>
      </w:r>
      <w:r>
        <w:rPr>
          <w:spacing w:val="-5"/>
        </w:rPr>
        <w:t> </w:t>
      </w:r>
      <w:r>
        <w:rPr/>
        <w:t>robustas</w:t>
      </w:r>
      <w:r>
        <w:rPr>
          <w:spacing w:val="-7"/>
        </w:rPr>
        <w:t> </w:t>
      </w:r>
      <w:r>
        <w:rPr/>
        <w:t>(superiores</w:t>
      </w:r>
      <w:r>
        <w:rPr>
          <w:spacing w:val="-11"/>
        </w:rPr>
        <w:t> </w:t>
      </w:r>
      <w:r>
        <w:rPr/>
        <w:t>al</w:t>
      </w:r>
      <w:r>
        <w:rPr>
          <w:spacing w:val="-12"/>
        </w:rPr>
        <w:t> </w:t>
      </w:r>
      <w:r>
        <w:rPr/>
        <w:t>4</w:t>
      </w:r>
      <w:r>
        <w:rPr>
          <w:spacing w:val="-5"/>
        </w:rPr>
        <w:t> </w:t>
      </w:r>
      <w:r>
        <w:rPr/>
        <w:t>%),</w:t>
      </w:r>
      <w:r>
        <w:rPr>
          <w:spacing w:val="-11"/>
        </w:rPr>
        <w:t> </w:t>
      </w:r>
      <w:r>
        <w:rPr/>
        <w:t>lo</w:t>
      </w:r>
      <w:r>
        <w:rPr>
          <w:spacing w:val="-10"/>
        </w:rPr>
        <w:t> </w:t>
      </w:r>
      <w:r>
        <w:rPr/>
        <w:t>cual</w:t>
      </w:r>
      <w:r>
        <w:rPr>
          <w:spacing w:val="-8"/>
        </w:rPr>
        <w:t> </w:t>
      </w:r>
      <w:r>
        <w:rPr/>
        <w:t>coincidió con una ligera reducción en la pobreza. Por ejemplo, en 2010, con un crecimiento del PIB del</w:t>
      </w:r>
      <w:r>
        <w:rPr>
          <w:spacing w:val="6"/>
        </w:rPr>
        <w:t> </w:t>
      </w:r>
      <w:r>
        <w:rPr/>
        <w:t>5,36</w:t>
      </w:r>
      <w:r>
        <w:rPr>
          <w:spacing w:val="10"/>
        </w:rPr>
        <w:t> </w:t>
      </w:r>
      <w:r>
        <w:rPr/>
        <w:t>%,</w:t>
      </w:r>
      <w:r>
        <w:rPr>
          <w:spacing w:val="9"/>
        </w:rPr>
        <w:t> </w:t>
      </w:r>
      <w:r>
        <w:rPr/>
        <w:t>la</w:t>
      </w:r>
      <w:r>
        <w:rPr>
          <w:spacing w:val="10"/>
        </w:rPr>
        <w:t> </w:t>
      </w:r>
      <w:r>
        <w:rPr/>
        <w:t>pobreza</w:t>
      </w:r>
      <w:r>
        <w:rPr>
          <w:spacing w:val="5"/>
        </w:rPr>
        <w:t> </w:t>
      </w:r>
      <w:r>
        <w:rPr/>
        <w:t>por</w:t>
      </w:r>
      <w:r>
        <w:rPr>
          <w:spacing w:val="1"/>
        </w:rPr>
        <w:t> </w:t>
      </w:r>
      <w:r>
        <w:rPr/>
        <w:t>hogar</w:t>
      </w:r>
      <w:r>
        <w:rPr>
          <w:spacing w:val="7"/>
        </w:rPr>
        <w:t> </w:t>
      </w:r>
      <w:r>
        <w:rPr/>
        <w:t>fue</w:t>
      </w:r>
      <w:r>
        <w:rPr>
          <w:spacing w:val="5"/>
        </w:rPr>
        <w:t> </w:t>
      </w:r>
      <w:r>
        <w:rPr/>
        <w:t>de</w:t>
      </w:r>
      <w:r>
        <w:rPr>
          <w:spacing w:val="5"/>
        </w:rPr>
        <w:t> </w:t>
      </w:r>
      <w:r>
        <w:rPr/>
        <w:t>21,2</w:t>
      </w:r>
      <w:r>
        <w:rPr>
          <w:spacing w:val="9"/>
        </w:rPr>
        <w:t> </w:t>
      </w:r>
      <w:r>
        <w:rPr/>
        <w:t>%</w:t>
      </w:r>
      <w:r>
        <w:rPr>
          <w:spacing w:val="4"/>
        </w:rPr>
        <w:t> </w:t>
      </w:r>
      <w:r>
        <w:rPr/>
        <w:t>y</w:t>
      </w:r>
      <w:r>
        <w:rPr>
          <w:spacing w:val="3"/>
        </w:rPr>
        <w:t> </w:t>
      </w:r>
      <w:r>
        <w:rPr/>
        <w:t>la</w:t>
      </w:r>
      <w:r>
        <w:rPr>
          <w:spacing w:val="9"/>
        </w:rPr>
        <w:t> </w:t>
      </w:r>
      <w:r>
        <w:rPr/>
        <w:t>pobreza</w:t>
      </w:r>
      <w:r>
        <w:rPr>
          <w:spacing w:val="10"/>
        </w:rPr>
        <w:t> </w:t>
      </w:r>
      <w:r>
        <w:rPr/>
        <w:t>por</w:t>
      </w:r>
      <w:r>
        <w:rPr>
          <w:spacing w:val="6"/>
        </w:rPr>
        <w:t> </w:t>
      </w:r>
      <w:r>
        <w:rPr/>
        <w:t>persona</w:t>
      </w:r>
      <w:r>
        <w:rPr>
          <w:spacing w:val="5"/>
        </w:rPr>
        <w:t> </w:t>
      </w:r>
      <w:r>
        <w:rPr/>
        <w:t>alcanzó</w:t>
      </w:r>
      <w:r>
        <w:rPr>
          <w:spacing w:val="5"/>
        </w:rPr>
        <w:t> </w:t>
      </w:r>
      <w:r>
        <w:rPr/>
        <w:t>el</w:t>
      </w:r>
      <w:r>
        <w:rPr>
          <w:spacing w:val="7"/>
        </w:rPr>
        <w:t> </w:t>
      </w:r>
      <w:r>
        <w:rPr>
          <w:spacing w:val="-4"/>
        </w:rPr>
        <w:t>24,2</w:t>
      </w:r>
    </w:p>
    <w:p>
      <w:pPr>
        <w:pStyle w:val="BodyText"/>
        <w:spacing w:line="251" w:lineRule="exact" w:before="1"/>
        <w:ind w:left="979"/>
        <w:jc w:val="both"/>
      </w:pPr>
      <w:r>
        <w:rPr/>
        <w:t>%.</w:t>
      </w:r>
      <w:r>
        <w:rPr>
          <w:spacing w:val="-9"/>
        </w:rPr>
        <w:t> </w:t>
      </w:r>
      <w:r>
        <w:rPr/>
        <w:t>Esta</w:t>
      </w:r>
      <w:r>
        <w:rPr>
          <w:spacing w:val="-10"/>
        </w:rPr>
        <w:t> </w:t>
      </w:r>
      <w:r>
        <w:rPr/>
        <w:t>tendencia</w:t>
      </w:r>
      <w:r>
        <w:rPr>
          <w:spacing w:val="-10"/>
        </w:rPr>
        <w:t> </w:t>
      </w:r>
      <w:r>
        <w:rPr/>
        <w:t>a</w:t>
      </w:r>
      <w:r>
        <w:rPr>
          <w:spacing w:val="-6"/>
        </w:rPr>
        <w:t> </w:t>
      </w:r>
      <w:r>
        <w:rPr/>
        <w:t>la</w:t>
      </w:r>
      <w:r>
        <w:rPr>
          <w:spacing w:val="-10"/>
        </w:rPr>
        <w:t> </w:t>
      </w:r>
      <w:r>
        <w:rPr/>
        <w:t>baja</w:t>
      </w:r>
      <w:r>
        <w:rPr>
          <w:spacing w:val="-10"/>
        </w:rPr>
        <w:t> </w:t>
      </w:r>
      <w:r>
        <w:rPr/>
        <w:t>se</w:t>
      </w:r>
      <w:r>
        <w:rPr>
          <w:spacing w:val="-11"/>
        </w:rPr>
        <w:t> </w:t>
      </w:r>
      <w:r>
        <w:rPr/>
        <w:t>mantuvo</w:t>
      </w:r>
      <w:r>
        <w:rPr>
          <w:spacing w:val="-10"/>
        </w:rPr>
        <w:t> </w:t>
      </w:r>
      <w:r>
        <w:rPr/>
        <w:t>en</w:t>
      </w:r>
      <w:r>
        <w:rPr>
          <w:spacing w:val="-10"/>
        </w:rPr>
        <w:t> </w:t>
      </w:r>
      <w:r>
        <w:rPr/>
        <w:t>2012,</w:t>
      </w:r>
      <w:r>
        <w:rPr>
          <w:spacing w:val="-7"/>
        </w:rPr>
        <w:t> </w:t>
      </w:r>
      <w:r>
        <w:rPr/>
        <w:t>cuando</w:t>
      </w:r>
      <w:r>
        <w:rPr>
          <w:spacing w:val="-5"/>
        </w:rPr>
        <w:t> </w:t>
      </w:r>
      <w:r>
        <w:rPr/>
        <w:t>la</w:t>
      </w:r>
      <w:r>
        <w:rPr>
          <w:spacing w:val="-10"/>
        </w:rPr>
        <w:t> </w:t>
      </w:r>
      <w:r>
        <w:rPr/>
        <w:t>pobreza</w:t>
      </w:r>
      <w:r>
        <w:rPr>
          <w:spacing w:val="-11"/>
        </w:rPr>
        <w:t> </w:t>
      </w:r>
      <w:r>
        <w:rPr/>
        <w:t>por</w:t>
      </w:r>
      <w:r>
        <w:rPr>
          <w:spacing w:val="-13"/>
        </w:rPr>
        <w:t> </w:t>
      </w:r>
      <w:r>
        <w:rPr/>
        <w:t>hogar</w:t>
      </w:r>
      <w:r>
        <w:rPr>
          <w:spacing w:val="-9"/>
        </w:rPr>
        <w:t> </w:t>
      </w:r>
      <w:r>
        <w:rPr/>
        <w:t>bajó</w:t>
      </w:r>
      <w:r>
        <w:rPr>
          <w:spacing w:val="-10"/>
        </w:rPr>
        <w:t> </w:t>
      </w:r>
      <w:r>
        <w:rPr/>
        <w:t>a</w:t>
      </w:r>
      <w:r>
        <w:rPr>
          <w:spacing w:val="-10"/>
        </w:rPr>
        <w:t> </w:t>
      </w:r>
      <w:r>
        <w:rPr>
          <w:spacing w:val="-2"/>
        </w:rPr>
        <w:t>20,57</w:t>
      </w:r>
    </w:p>
    <w:p>
      <w:pPr>
        <w:pStyle w:val="BodyText"/>
        <w:spacing w:line="251" w:lineRule="exact"/>
        <w:ind w:left="979"/>
        <w:jc w:val="both"/>
      </w:pPr>
      <w:r>
        <w:rPr/>
        <w:t>%</w:t>
      </w:r>
      <w:r>
        <w:rPr>
          <w:spacing w:val="-2"/>
        </w:rPr>
        <w:t> </w:t>
      </w:r>
      <w:r>
        <w:rPr/>
        <w:t>y</w:t>
      </w:r>
      <w:r>
        <w:rPr>
          <w:spacing w:val="-2"/>
        </w:rPr>
        <w:t> </w:t>
      </w:r>
      <w:r>
        <w:rPr/>
        <w:t>la</w:t>
      </w:r>
      <w:r>
        <w:rPr>
          <w:spacing w:val="-4"/>
        </w:rPr>
        <w:t> </w:t>
      </w:r>
      <w:r>
        <w:rPr/>
        <w:t>pobreza</w:t>
      </w:r>
      <w:r>
        <w:rPr>
          <w:spacing w:val="-4"/>
        </w:rPr>
        <w:t> </w:t>
      </w:r>
      <w:r>
        <w:rPr/>
        <w:t>por</w:t>
      </w:r>
      <w:r>
        <w:rPr>
          <w:spacing w:val="-9"/>
        </w:rPr>
        <w:t> </w:t>
      </w:r>
      <w:r>
        <w:rPr/>
        <w:t>persona a</w:t>
      </w:r>
      <w:r>
        <w:rPr>
          <w:spacing w:val="-5"/>
        </w:rPr>
        <w:t> </w:t>
      </w:r>
      <w:r>
        <w:rPr/>
        <w:t>23,48 %,</w:t>
      </w:r>
      <w:r>
        <w:rPr>
          <w:spacing w:val="-6"/>
        </w:rPr>
        <w:t> </w:t>
      </w:r>
      <w:r>
        <w:rPr/>
        <w:t>mientras</w:t>
      </w:r>
      <w:r>
        <w:rPr>
          <w:spacing w:val="-6"/>
        </w:rPr>
        <w:t> </w:t>
      </w:r>
      <w:r>
        <w:rPr/>
        <w:t>el</w:t>
      </w:r>
      <w:r>
        <w:rPr>
          <w:spacing w:val="-2"/>
        </w:rPr>
        <w:t> </w:t>
      </w:r>
      <w:r>
        <w:rPr/>
        <w:t>PIB</w:t>
      </w:r>
      <w:r>
        <w:rPr>
          <w:spacing w:val="-6"/>
        </w:rPr>
        <w:t> </w:t>
      </w:r>
      <w:r>
        <w:rPr/>
        <w:t>creció</w:t>
      </w:r>
      <w:r>
        <w:rPr>
          <w:spacing w:val="-4"/>
        </w:rPr>
        <w:t> </w:t>
      </w:r>
      <w:r>
        <w:rPr/>
        <w:t>4,88</w:t>
      </w:r>
      <w:r>
        <w:rPr>
          <w:spacing w:val="-4"/>
        </w:rPr>
        <w:t> </w:t>
      </w:r>
      <w:r>
        <w:rPr>
          <w:spacing w:val="-5"/>
        </w:rPr>
        <w:t>%.</w:t>
      </w:r>
    </w:p>
    <w:p>
      <w:pPr>
        <w:pStyle w:val="BodyText"/>
        <w:spacing w:before="3"/>
      </w:pPr>
    </w:p>
    <w:p>
      <w:pPr>
        <w:pStyle w:val="BodyText"/>
        <w:ind w:left="979" w:right="1335"/>
        <w:jc w:val="both"/>
      </w:pPr>
      <w:r>
        <w:rPr/>
        <w:t>Sin embargo, a partir de 2013 se observa una desaceleración del crecimiento económico, con tasas</w:t>
      </w:r>
      <w:r>
        <w:rPr>
          <w:spacing w:val="-5"/>
        </w:rPr>
        <w:t> </w:t>
      </w:r>
      <w:r>
        <w:rPr/>
        <w:t>por</w:t>
      </w:r>
      <w:r>
        <w:rPr>
          <w:spacing w:val="-2"/>
        </w:rPr>
        <w:t> </w:t>
      </w:r>
      <w:r>
        <w:rPr/>
        <w:t>debajo</w:t>
      </w:r>
      <w:r>
        <w:rPr>
          <w:spacing w:val="-3"/>
        </w:rPr>
        <w:t> </w:t>
      </w:r>
      <w:r>
        <w:rPr/>
        <w:t>del</w:t>
      </w:r>
      <w:r>
        <w:rPr>
          <w:spacing w:val="-1"/>
        </w:rPr>
        <w:t> </w:t>
      </w:r>
      <w:r>
        <w:rPr/>
        <w:t>3</w:t>
      </w:r>
      <w:r>
        <w:rPr>
          <w:spacing w:val="-3"/>
        </w:rPr>
        <w:t> </w:t>
      </w:r>
      <w:r>
        <w:rPr/>
        <w:t>% en varios años, lo cual</w:t>
      </w:r>
      <w:r>
        <w:rPr>
          <w:spacing w:val="-1"/>
        </w:rPr>
        <w:t> </w:t>
      </w:r>
      <w:r>
        <w:rPr/>
        <w:t>contribuyó</w:t>
      </w:r>
      <w:r>
        <w:rPr>
          <w:spacing w:val="-3"/>
        </w:rPr>
        <w:t> </w:t>
      </w:r>
      <w:r>
        <w:rPr/>
        <w:t>a una estabilización de los niveles</w:t>
      </w:r>
      <w:r>
        <w:rPr>
          <w:spacing w:val="-7"/>
        </w:rPr>
        <w:t> </w:t>
      </w:r>
      <w:r>
        <w:rPr/>
        <w:t>de</w:t>
      </w:r>
      <w:r>
        <w:rPr>
          <w:spacing w:val="-1"/>
        </w:rPr>
        <w:t> </w:t>
      </w:r>
      <w:r>
        <w:rPr/>
        <w:t>pobreza</w:t>
      </w:r>
      <w:r>
        <w:rPr>
          <w:spacing w:val="-1"/>
        </w:rPr>
        <w:t> </w:t>
      </w:r>
      <w:r>
        <w:rPr/>
        <w:t>sin</w:t>
      </w:r>
      <w:r>
        <w:rPr>
          <w:spacing w:val="-5"/>
        </w:rPr>
        <w:t> </w:t>
      </w:r>
      <w:r>
        <w:rPr/>
        <w:t>mejoras significativas.</w:t>
      </w:r>
      <w:r>
        <w:rPr>
          <w:spacing w:val="-1"/>
        </w:rPr>
        <w:t> </w:t>
      </w:r>
      <w:r>
        <w:rPr/>
        <w:t>Este</w:t>
      </w:r>
      <w:r>
        <w:rPr>
          <w:spacing w:val="-1"/>
        </w:rPr>
        <w:t> </w:t>
      </w:r>
      <w:r>
        <w:rPr/>
        <w:t>estancamiento</w:t>
      </w:r>
      <w:r>
        <w:rPr>
          <w:spacing w:val="-1"/>
        </w:rPr>
        <w:t> </w:t>
      </w:r>
      <w:r>
        <w:rPr/>
        <w:t>se</w:t>
      </w:r>
      <w:r>
        <w:rPr>
          <w:spacing w:val="-5"/>
        </w:rPr>
        <w:t> </w:t>
      </w:r>
      <w:r>
        <w:rPr/>
        <w:t>mantuvo hasta</w:t>
      </w:r>
      <w:r>
        <w:rPr>
          <w:spacing w:val="-1"/>
        </w:rPr>
        <w:t> </w:t>
      </w:r>
      <w:r>
        <w:rPr/>
        <w:t>2019, con</w:t>
      </w:r>
      <w:r>
        <w:rPr>
          <w:spacing w:val="-7"/>
        </w:rPr>
        <w:t> </w:t>
      </w:r>
      <w:r>
        <w:rPr/>
        <w:t>tasas</w:t>
      </w:r>
      <w:r>
        <w:rPr>
          <w:spacing w:val="-9"/>
        </w:rPr>
        <w:t> </w:t>
      </w:r>
      <w:r>
        <w:rPr/>
        <w:t>de</w:t>
      </w:r>
      <w:r>
        <w:rPr>
          <w:spacing w:val="-7"/>
        </w:rPr>
        <w:t> </w:t>
      </w:r>
      <w:r>
        <w:rPr/>
        <w:t>pobreza</w:t>
      </w:r>
      <w:r>
        <w:rPr>
          <w:spacing w:val="-7"/>
        </w:rPr>
        <w:t> </w:t>
      </w:r>
      <w:r>
        <w:rPr/>
        <w:t>que</w:t>
      </w:r>
      <w:r>
        <w:rPr>
          <w:spacing w:val="-2"/>
        </w:rPr>
        <w:t> </w:t>
      </w:r>
      <w:r>
        <w:rPr/>
        <w:t>rondaban</w:t>
      </w:r>
      <w:r>
        <w:rPr>
          <w:spacing w:val="-7"/>
        </w:rPr>
        <w:t> </w:t>
      </w:r>
      <w:r>
        <w:rPr/>
        <w:t>entre</w:t>
      </w:r>
      <w:r>
        <w:rPr>
          <w:spacing w:val="-7"/>
        </w:rPr>
        <w:t> </w:t>
      </w:r>
      <w:r>
        <w:rPr/>
        <w:t>20</w:t>
      </w:r>
      <w:r>
        <w:rPr>
          <w:spacing w:val="-7"/>
        </w:rPr>
        <w:t> </w:t>
      </w:r>
      <w:r>
        <w:rPr/>
        <w:t>%</w:t>
      </w:r>
      <w:r>
        <w:rPr>
          <w:spacing w:val="-4"/>
        </w:rPr>
        <w:t> </w:t>
      </w:r>
      <w:r>
        <w:rPr/>
        <w:t>y</w:t>
      </w:r>
      <w:r>
        <w:rPr>
          <w:spacing w:val="-14"/>
        </w:rPr>
        <w:t> </w:t>
      </w:r>
      <w:r>
        <w:rPr/>
        <w:t>22</w:t>
      </w:r>
      <w:r>
        <w:rPr>
          <w:spacing w:val="-7"/>
        </w:rPr>
        <w:t> </w:t>
      </w:r>
      <w:r>
        <w:rPr/>
        <w:t>%</w:t>
      </w:r>
      <w:r>
        <w:rPr>
          <w:spacing w:val="-4"/>
        </w:rPr>
        <w:t> </w:t>
      </w:r>
      <w:r>
        <w:rPr/>
        <w:t>en</w:t>
      </w:r>
      <w:r>
        <w:rPr>
          <w:spacing w:val="-7"/>
        </w:rPr>
        <w:t> </w:t>
      </w:r>
      <w:r>
        <w:rPr/>
        <w:t>hogares,</w:t>
      </w:r>
      <w:r>
        <w:rPr>
          <w:spacing w:val="-3"/>
        </w:rPr>
        <w:t> </w:t>
      </w:r>
      <w:r>
        <w:rPr/>
        <w:t>y</w:t>
      </w:r>
      <w:r>
        <w:rPr>
          <w:spacing w:val="-9"/>
        </w:rPr>
        <w:t> </w:t>
      </w:r>
      <w:r>
        <w:rPr/>
        <w:t>entre</w:t>
      </w:r>
      <w:r>
        <w:rPr>
          <w:spacing w:val="-7"/>
        </w:rPr>
        <w:t> </w:t>
      </w:r>
      <w:r>
        <w:rPr/>
        <w:t>22</w:t>
      </w:r>
      <w:r>
        <w:rPr>
          <w:spacing w:val="-7"/>
        </w:rPr>
        <w:t> </w:t>
      </w:r>
      <w:r>
        <w:rPr/>
        <w:t>%</w:t>
      </w:r>
      <w:r>
        <w:rPr>
          <w:spacing w:val="-4"/>
        </w:rPr>
        <w:t> </w:t>
      </w:r>
      <w:r>
        <w:rPr/>
        <w:t>y</w:t>
      </w:r>
      <w:r>
        <w:rPr>
          <w:spacing w:val="-9"/>
        </w:rPr>
        <w:t> </w:t>
      </w:r>
      <w:r>
        <w:rPr/>
        <w:t>24</w:t>
      </w:r>
      <w:r>
        <w:rPr>
          <w:spacing w:val="-2"/>
        </w:rPr>
        <w:t> </w:t>
      </w:r>
      <w:r>
        <w:rPr/>
        <w:t>%</w:t>
      </w:r>
      <w:r>
        <w:rPr>
          <w:spacing w:val="-8"/>
        </w:rPr>
        <w:t> </w:t>
      </w:r>
      <w:r>
        <w:rPr/>
        <w:t>en personas, a pesar de un crecimiento económico moderado.</w:t>
      </w:r>
    </w:p>
    <w:p>
      <w:pPr>
        <w:pStyle w:val="BodyText"/>
        <w:spacing w:before="252"/>
        <w:ind w:left="979" w:right="1341"/>
        <w:jc w:val="both"/>
      </w:pPr>
      <w:r>
        <w:rPr/>
        <w:t>El</w:t>
      </w:r>
      <w:r>
        <w:rPr>
          <w:spacing w:val="-6"/>
        </w:rPr>
        <w:t> </w:t>
      </w:r>
      <w:r>
        <w:rPr/>
        <w:t>gráfico</w:t>
      </w:r>
      <w:r>
        <w:rPr>
          <w:spacing w:val="-8"/>
        </w:rPr>
        <w:t> </w:t>
      </w:r>
      <w:r>
        <w:rPr/>
        <w:t>6</w:t>
      </w:r>
      <w:r>
        <w:rPr>
          <w:spacing w:val="-14"/>
        </w:rPr>
        <w:t> </w:t>
      </w:r>
      <w:r>
        <w:rPr/>
        <w:t>muestra</w:t>
      </w:r>
      <w:r>
        <w:rPr>
          <w:spacing w:val="-9"/>
        </w:rPr>
        <w:t> </w:t>
      </w:r>
      <w:r>
        <w:rPr/>
        <w:t>con</w:t>
      </w:r>
      <w:r>
        <w:rPr>
          <w:spacing w:val="-4"/>
        </w:rPr>
        <w:t> </w:t>
      </w:r>
      <w:r>
        <w:rPr/>
        <w:t>claridad</w:t>
      </w:r>
      <w:r>
        <w:rPr>
          <w:spacing w:val="-4"/>
        </w:rPr>
        <w:t> </w:t>
      </w:r>
      <w:r>
        <w:rPr/>
        <w:t>cómo,</w:t>
      </w:r>
      <w:r>
        <w:rPr>
          <w:spacing w:val="-10"/>
        </w:rPr>
        <w:t> </w:t>
      </w:r>
      <w:r>
        <w:rPr/>
        <w:t>en</w:t>
      </w:r>
      <w:r>
        <w:rPr>
          <w:spacing w:val="-9"/>
        </w:rPr>
        <w:t> </w:t>
      </w:r>
      <w:r>
        <w:rPr/>
        <w:t>el</w:t>
      </w:r>
      <w:r>
        <w:rPr>
          <w:spacing w:val="-12"/>
        </w:rPr>
        <w:t> </w:t>
      </w:r>
      <w:r>
        <w:rPr/>
        <w:t>año</w:t>
      </w:r>
      <w:r>
        <w:rPr>
          <w:spacing w:val="-14"/>
        </w:rPr>
        <w:t> </w:t>
      </w:r>
      <w:r>
        <w:rPr/>
        <w:t>2020,</w:t>
      </w:r>
      <w:r>
        <w:rPr>
          <w:spacing w:val="-10"/>
        </w:rPr>
        <w:t> </w:t>
      </w:r>
      <w:r>
        <w:rPr/>
        <w:t>la</w:t>
      </w:r>
      <w:r>
        <w:rPr>
          <w:spacing w:val="-9"/>
        </w:rPr>
        <w:t> </w:t>
      </w:r>
      <w:r>
        <w:rPr/>
        <w:t>pandemia</w:t>
      </w:r>
      <w:r>
        <w:rPr>
          <w:spacing w:val="-9"/>
        </w:rPr>
        <w:t> </w:t>
      </w:r>
      <w:r>
        <w:rPr/>
        <w:t>del</w:t>
      </w:r>
      <w:r>
        <w:rPr>
          <w:spacing w:val="-7"/>
        </w:rPr>
        <w:t> </w:t>
      </w:r>
      <w:r>
        <w:rPr/>
        <w:t>COVID-19</w:t>
      </w:r>
      <w:r>
        <w:rPr>
          <w:spacing w:val="-9"/>
        </w:rPr>
        <w:t> </w:t>
      </w:r>
      <w:r>
        <w:rPr/>
        <w:t>produjo una</w:t>
      </w:r>
      <w:r>
        <w:rPr>
          <w:spacing w:val="-4"/>
        </w:rPr>
        <w:t> </w:t>
      </w:r>
      <w:r>
        <w:rPr/>
        <w:t>contracción</w:t>
      </w:r>
      <w:r>
        <w:rPr>
          <w:spacing w:val="-9"/>
        </w:rPr>
        <w:t> </w:t>
      </w:r>
      <w:r>
        <w:rPr/>
        <w:t>del</w:t>
      </w:r>
      <w:r>
        <w:rPr>
          <w:spacing w:val="-11"/>
        </w:rPr>
        <w:t> </w:t>
      </w:r>
      <w:r>
        <w:rPr/>
        <w:t>PIB</w:t>
      </w:r>
      <w:r>
        <w:rPr>
          <w:spacing w:val="-10"/>
        </w:rPr>
        <w:t> </w:t>
      </w:r>
      <w:r>
        <w:rPr/>
        <w:t>de -4,27</w:t>
      </w:r>
      <w:r>
        <w:rPr>
          <w:spacing w:val="-4"/>
        </w:rPr>
        <w:t> </w:t>
      </w:r>
      <w:r>
        <w:rPr/>
        <w:t>%,</w:t>
      </w:r>
      <w:r>
        <w:rPr>
          <w:spacing w:val="-9"/>
        </w:rPr>
        <w:t> </w:t>
      </w:r>
      <w:r>
        <w:rPr/>
        <w:t>provocando</w:t>
      </w:r>
      <w:r>
        <w:rPr>
          <w:spacing w:val="-4"/>
        </w:rPr>
        <w:t> </w:t>
      </w:r>
      <w:r>
        <w:rPr/>
        <w:t>un</w:t>
      </w:r>
      <w:r>
        <w:rPr>
          <w:spacing w:val="-4"/>
        </w:rPr>
        <w:t> </w:t>
      </w:r>
      <w:r>
        <w:rPr/>
        <w:t>fuerte</w:t>
      </w:r>
      <w:r>
        <w:rPr>
          <w:spacing w:val="-9"/>
        </w:rPr>
        <w:t> </w:t>
      </w:r>
      <w:r>
        <w:rPr/>
        <w:t>aumento</w:t>
      </w:r>
      <w:r>
        <w:rPr>
          <w:spacing w:val="-9"/>
        </w:rPr>
        <w:t> </w:t>
      </w:r>
      <w:r>
        <w:rPr/>
        <w:t>en</w:t>
      </w:r>
      <w:r>
        <w:rPr>
          <w:spacing w:val="-4"/>
        </w:rPr>
        <w:t> </w:t>
      </w:r>
      <w:r>
        <w:rPr/>
        <w:t>la</w:t>
      </w:r>
      <w:r>
        <w:rPr>
          <w:spacing w:val="-9"/>
        </w:rPr>
        <w:t> </w:t>
      </w:r>
      <w:r>
        <w:rPr/>
        <w:t>pobreza:</w:t>
      </w:r>
      <w:r>
        <w:rPr>
          <w:spacing w:val="-10"/>
        </w:rPr>
        <w:t> </w:t>
      </w:r>
      <w:r>
        <w:rPr/>
        <w:t>26,15</w:t>
      </w:r>
      <w:r>
        <w:rPr>
          <w:spacing w:val="-9"/>
        </w:rPr>
        <w:t> </w:t>
      </w:r>
      <w:r>
        <w:rPr/>
        <w:t>% por</w:t>
      </w:r>
      <w:r>
        <w:rPr>
          <w:spacing w:val="-6"/>
        </w:rPr>
        <w:t> </w:t>
      </w:r>
      <w:r>
        <w:rPr/>
        <w:t>hogar</w:t>
      </w:r>
      <w:r>
        <w:rPr>
          <w:spacing w:val="-6"/>
        </w:rPr>
        <w:t> </w:t>
      </w:r>
      <w:r>
        <w:rPr/>
        <w:t>y</w:t>
      </w:r>
      <w:r>
        <w:rPr>
          <w:spacing w:val="-9"/>
        </w:rPr>
        <w:t> </w:t>
      </w:r>
      <w:r>
        <w:rPr/>
        <w:t>29,96</w:t>
      </w:r>
      <w:r>
        <w:rPr>
          <w:spacing w:val="-7"/>
        </w:rPr>
        <w:t> </w:t>
      </w:r>
      <w:r>
        <w:rPr/>
        <w:t>%</w:t>
      </w:r>
      <w:r>
        <w:rPr>
          <w:spacing w:val="-4"/>
        </w:rPr>
        <w:t> </w:t>
      </w:r>
      <w:r>
        <w:rPr/>
        <w:t>por</w:t>
      </w:r>
      <w:r>
        <w:rPr>
          <w:spacing w:val="-6"/>
        </w:rPr>
        <w:t> </w:t>
      </w:r>
      <w:r>
        <w:rPr/>
        <w:t>persona,</w:t>
      </w:r>
      <w:r>
        <w:rPr>
          <w:spacing w:val="-8"/>
        </w:rPr>
        <w:t> </w:t>
      </w:r>
      <w:r>
        <w:rPr/>
        <w:t>el</w:t>
      </w:r>
      <w:r>
        <w:rPr>
          <w:spacing w:val="-5"/>
        </w:rPr>
        <w:t> </w:t>
      </w:r>
      <w:r>
        <w:rPr/>
        <w:t>nivel</w:t>
      </w:r>
      <w:r>
        <w:rPr>
          <w:spacing w:val="-10"/>
        </w:rPr>
        <w:t> </w:t>
      </w:r>
      <w:r>
        <w:rPr/>
        <w:t>más</w:t>
      </w:r>
      <w:r>
        <w:rPr>
          <w:spacing w:val="-9"/>
        </w:rPr>
        <w:t> </w:t>
      </w:r>
      <w:r>
        <w:rPr/>
        <w:t>alto</w:t>
      </w:r>
      <w:r>
        <w:rPr>
          <w:spacing w:val="-7"/>
        </w:rPr>
        <w:t> </w:t>
      </w:r>
      <w:r>
        <w:rPr/>
        <w:t>registrado</w:t>
      </w:r>
      <w:r>
        <w:rPr>
          <w:spacing w:val="-7"/>
        </w:rPr>
        <w:t> </w:t>
      </w:r>
      <w:r>
        <w:rPr/>
        <w:t>en</w:t>
      </w:r>
      <w:r>
        <w:rPr>
          <w:spacing w:val="-7"/>
        </w:rPr>
        <w:t> </w:t>
      </w:r>
      <w:r>
        <w:rPr/>
        <w:t>el</w:t>
      </w:r>
      <w:r>
        <w:rPr>
          <w:spacing w:val="-10"/>
        </w:rPr>
        <w:t> </w:t>
      </w:r>
      <w:r>
        <w:rPr/>
        <w:t>período.</w:t>
      </w:r>
      <w:r>
        <w:rPr>
          <w:spacing w:val="-3"/>
        </w:rPr>
        <w:t> </w:t>
      </w:r>
      <w:r>
        <w:rPr/>
        <w:t>Este</w:t>
      </w:r>
      <w:r>
        <w:rPr>
          <w:spacing w:val="-7"/>
        </w:rPr>
        <w:t> </w:t>
      </w:r>
      <w:r>
        <w:rPr/>
        <w:t>fenómeno pone en evidencia la sensibilidad de la pobreza ante los choques económicos severos, donde el deterioro de los ingresos, el desempleo y la informalidad afectan de forma inmediata a los hogares más vulnerables.</w:t>
      </w:r>
    </w:p>
    <w:p>
      <w:pPr>
        <w:pStyle w:val="BodyText"/>
        <w:spacing w:before="1"/>
      </w:pPr>
    </w:p>
    <w:p>
      <w:pPr>
        <w:pStyle w:val="BodyText"/>
        <w:ind w:left="979" w:right="1334"/>
        <w:jc w:val="both"/>
      </w:pPr>
      <w:r>
        <w:rPr/>
        <w:t>La recuperación</w:t>
      </w:r>
      <w:r>
        <w:rPr>
          <w:spacing w:val="-3"/>
        </w:rPr>
        <w:t> </w:t>
      </w:r>
      <w:r>
        <w:rPr/>
        <w:t>económica</w:t>
      </w:r>
      <w:r>
        <w:rPr>
          <w:spacing w:val="-3"/>
        </w:rPr>
        <w:t> </w:t>
      </w:r>
      <w:r>
        <w:rPr/>
        <w:t>en</w:t>
      </w:r>
      <w:r>
        <w:rPr>
          <w:spacing w:val="-3"/>
        </w:rPr>
        <w:t> </w:t>
      </w:r>
      <w:r>
        <w:rPr/>
        <w:t>2021 fue</w:t>
      </w:r>
      <w:r>
        <w:rPr>
          <w:spacing w:val="-3"/>
        </w:rPr>
        <w:t> </w:t>
      </w:r>
      <w:r>
        <w:rPr/>
        <w:t>notable,</w:t>
      </w:r>
      <w:r>
        <w:rPr>
          <w:spacing w:val="-4"/>
        </w:rPr>
        <w:t> </w:t>
      </w:r>
      <w:r>
        <w:rPr/>
        <w:t>con</w:t>
      </w:r>
      <w:r>
        <w:rPr>
          <w:spacing w:val="-3"/>
        </w:rPr>
        <w:t> </w:t>
      </w:r>
      <w:r>
        <w:rPr/>
        <w:t>un</w:t>
      </w:r>
      <w:r>
        <w:rPr>
          <w:spacing w:val="-3"/>
        </w:rPr>
        <w:t> </w:t>
      </w:r>
      <w:r>
        <w:rPr/>
        <w:t>crecimiento</w:t>
      </w:r>
      <w:r>
        <w:rPr>
          <w:spacing w:val="-3"/>
        </w:rPr>
        <w:t> </w:t>
      </w:r>
      <w:r>
        <w:rPr/>
        <w:t>del</w:t>
      </w:r>
      <w:r>
        <w:rPr>
          <w:spacing w:val="-1"/>
        </w:rPr>
        <w:t> </w:t>
      </w:r>
      <w:r>
        <w:rPr/>
        <w:t>PIB</w:t>
      </w:r>
      <w:r>
        <w:rPr>
          <w:spacing w:val="-4"/>
        </w:rPr>
        <w:t> </w:t>
      </w:r>
      <w:r>
        <w:rPr/>
        <w:t>del</w:t>
      </w:r>
      <w:r>
        <w:rPr>
          <w:spacing w:val="-6"/>
        </w:rPr>
        <w:t> </w:t>
      </w:r>
      <w:r>
        <w:rPr/>
        <w:t>7,93</w:t>
      </w:r>
      <w:r>
        <w:rPr>
          <w:spacing w:val="-3"/>
        </w:rPr>
        <w:t> </w:t>
      </w:r>
      <w:r>
        <w:rPr/>
        <w:t>%,</w:t>
      </w:r>
      <w:r>
        <w:rPr>
          <w:spacing w:val="-4"/>
        </w:rPr>
        <w:t> </w:t>
      </w:r>
      <w:r>
        <w:rPr/>
        <w:t>lo que permitió una reducción de la pobreza a 23 % en hogares y 26,22 % en personas. Sin embargo, esta mejora fue parcial, ya que los niveles aún no retornaban a los observados antes de la pandemia.</w:t>
      </w:r>
    </w:p>
    <w:p>
      <w:pPr>
        <w:pStyle w:val="BodyText"/>
        <w:spacing w:before="251"/>
        <w:ind w:left="979" w:right="1336"/>
        <w:jc w:val="both"/>
      </w:pPr>
      <w:r>
        <w:rPr/>
        <w:t>Durante los años siguientes (2022-2024), el crecimiento económico se mantuvo estable entre 4 % y 5 %, acompañado por una continua disminución de la pobreza. En 2024, la pobreza</w:t>
      </w:r>
      <w:r>
        <w:rPr>
          <w:spacing w:val="-7"/>
        </w:rPr>
        <w:t> </w:t>
      </w:r>
      <w:r>
        <w:rPr/>
        <w:t>alcanzó</w:t>
      </w:r>
      <w:r>
        <w:rPr>
          <w:spacing w:val="-2"/>
        </w:rPr>
        <w:t> </w:t>
      </w:r>
      <w:r>
        <w:rPr/>
        <w:t>su</w:t>
      </w:r>
      <w:r>
        <w:rPr>
          <w:spacing w:val="-2"/>
        </w:rPr>
        <w:t> </w:t>
      </w:r>
      <w:r>
        <w:rPr/>
        <w:t>nivel</w:t>
      </w:r>
      <w:r>
        <w:rPr>
          <w:spacing w:val="-5"/>
        </w:rPr>
        <w:t> </w:t>
      </w:r>
      <w:r>
        <w:rPr/>
        <w:t>más</w:t>
      </w:r>
      <w:r>
        <w:rPr>
          <w:spacing w:val="-9"/>
        </w:rPr>
        <w:t> </w:t>
      </w:r>
      <w:r>
        <w:rPr/>
        <w:t>bajo</w:t>
      </w:r>
      <w:r>
        <w:rPr>
          <w:spacing w:val="-7"/>
        </w:rPr>
        <w:t> </w:t>
      </w:r>
      <w:r>
        <w:rPr/>
        <w:t>del</w:t>
      </w:r>
      <w:r>
        <w:rPr>
          <w:spacing w:val="-10"/>
        </w:rPr>
        <w:t> </w:t>
      </w:r>
      <w:r>
        <w:rPr/>
        <w:t>período</w:t>
      </w:r>
      <w:r>
        <w:rPr>
          <w:spacing w:val="-2"/>
        </w:rPr>
        <w:t> </w:t>
      </w:r>
      <w:r>
        <w:rPr/>
        <w:t>analizado:</w:t>
      </w:r>
      <w:r>
        <w:rPr>
          <w:spacing w:val="-8"/>
        </w:rPr>
        <w:t> </w:t>
      </w:r>
      <w:r>
        <w:rPr/>
        <w:t>17,95</w:t>
      </w:r>
      <w:r>
        <w:rPr>
          <w:spacing w:val="-7"/>
        </w:rPr>
        <w:t> </w:t>
      </w:r>
      <w:r>
        <w:rPr/>
        <w:t>%</w:t>
      </w:r>
      <w:r>
        <w:rPr>
          <w:spacing w:val="-4"/>
        </w:rPr>
        <w:t> </w:t>
      </w:r>
      <w:r>
        <w:rPr/>
        <w:t>por</w:t>
      </w:r>
      <w:r>
        <w:rPr>
          <w:spacing w:val="-6"/>
        </w:rPr>
        <w:t> </w:t>
      </w:r>
      <w:r>
        <w:rPr/>
        <w:t>hogar</w:t>
      </w:r>
      <w:r>
        <w:rPr>
          <w:spacing w:val="-6"/>
        </w:rPr>
        <w:t> </w:t>
      </w:r>
      <w:r>
        <w:rPr/>
        <w:t>y</w:t>
      </w:r>
      <w:r>
        <w:rPr>
          <w:spacing w:val="-9"/>
        </w:rPr>
        <w:t> </w:t>
      </w:r>
      <w:r>
        <w:rPr/>
        <w:t>20,32</w:t>
      </w:r>
      <w:r>
        <w:rPr>
          <w:spacing w:val="-7"/>
        </w:rPr>
        <w:t> </w:t>
      </w:r>
      <w:r>
        <w:rPr/>
        <w:t>%</w:t>
      </w:r>
      <w:r>
        <w:rPr>
          <w:spacing w:val="-4"/>
        </w:rPr>
        <w:t> </w:t>
      </w:r>
      <w:r>
        <w:rPr/>
        <w:t>por persona, con un PIB creciendo al 4,32 %. Esta reducción sostenida sugiere que un crecimiento económico constante, cuando se combina con políticas sociales activas y mecanismos de inclusión, puede generar impactos positivos reales y duraderos en los niveles de pobreza.</w:t>
      </w:r>
    </w:p>
    <w:p>
      <w:pPr>
        <w:pStyle w:val="BodyText"/>
        <w:spacing w:after="0"/>
        <w:jc w:val="both"/>
        <w:sectPr>
          <w:pgSz w:w="12240" w:h="15840"/>
          <w:pgMar w:header="0" w:footer="1021" w:top="1340" w:bottom="1220" w:left="720" w:right="360"/>
        </w:sectPr>
      </w:pPr>
    </w:p>
    <w:p>
      <w:pPr>
        <w:pStyle w:val="BodyText"/>
        <w:spacing w:before="76"/>
        <w:ind w:left="979" w:right="1346"/>
        <w:jc w:val="both"/>
      </w:pPr>
      <w:r>
        <w:rPr/>
        <w:t>En síntesis, el gráfico 6 evidencia cómo la evolución de la pobreza en Costa Rica está estrechamente vinculada al dinamismo de la economía. Mientras el crecimiento sostenido contribuye</w:t>
      </w:r>
      <w:r>
        <w:rPr>
          <w:spacing w:val="-11"/>
        </w:rPr>
        <w:t> </w:t>
      </w:r>
      <w:r>
        <w:rPr/>
        <w:t>a</w:t>
      </w:r>
      <w:r>
        <w:rPr>
          <w:spacing w:val="-5"/>
        </w:rPr>
        <w:t> </w:t>
      </w:r>
      <w:r>
        <w:rPr/>
        <w:t>reducirla,</w:t>
      </w:r>
      <w:r>
        <w:rPr>
          <w:spacing w:val="-6"/>
        </w:rPr>
        <w:t> </w:t>
      </w:r>
      <w:r>
        <w:rPr/>
        <w:t>las</w:t>
      </w:r>
      <w:r>
        <w:rPr>
          <w:spacing w:val="-12"/>
        </w:rPr>
        <w:t> </w:t>
      </w:r>
      <w:r>
        <w:rPr/>
        <w:t>caídas</w:t>
      </w:r>
      <w:r>
        <w:rPr>
          <w:spacing w:val="-16"/>
        </w:rPr>
        <w:t> </w:t>
      </w:r>
      <w:r>
        <w:rPr/>
        <w:t>abruptas</w:t>
      </w:r>
      <w:r>
        <w:rPr>
          <w:spacing w:val="-6"/>
        </w:rPr>
        <w:t> </w:t>
      </w:r>
      <w:r>
        <w:rPr/>
        <w:t>como</w:t>
      </w:r>
      <w:r>
        <w:rPr>
          <w:spacing w:val="-10"/>
        </w:rPr>
        <w:t> </w:t>
      </w:r>
      <w:r>
        <w:rPr/>
        <w:t>la</w:t>
      </w:r>
      <w:r>
        <w:rPr>
          <w:spacing w:val="-10"/>
        </w:rPr>
        <w:t> </w:t>
      </w:r>
      <w:r>
        <w:rPr/>
        <w:t>de</w:t>
      </w:r>
      <w:r>
        <w:rPr>
          <w:spacing w:val="-10"/>
        </w:rPr>
        <w:t> </w:t>
      </w:r>
      <w:r>
        <w:rPr/>
        <w:t>2020</w:t>
      </w:r>
      <w:r>
        <w:rPr>
          <w:spacing w:val="-10"/>
        </w:rPr>
        <w:t> </w:t>
      </w:r>
      <w:r>
        <w:rPr/>
        <w:t>pueden</w:t>
      </w:r>
      <w:r>
        <w:rPr>
          <w:spacing w:val="-10"/>
        </w:rPr>
        <w:t> </w:t>
      </w:r>
      <w:r>
        <w:rPr/>
        <w:t>revertir</w:t>
      </w:r>
      <w:r>
        <w:rPr>
          <w:spacing w:val="-13"/>
        </w:rPr>
        <w:t> </w:t>
      </w:r>
      <w:r>
        <w:rPr/>
        <w:t>en</w:t>
      </w:r>
      <w:r>
        <w:rPr>
          <w:spacing w:val="-10"/>
        </w:rPr>
        <w:t> </w:t>
      </w:r>
      <w:r>
        <w:rPr/>
        <w:t>poco</w:t>
      </w:r>
      <w:r>
        <w:rPr>
          <w:spacing w:val="-10"/>
        </w:rPr>
        <w:t> </w:t>
      </w:r>
      <w:r>
        <w:rPr/>
        <w:t>tiempo los avances logrados, lo que subraya la importancia de</w:t>
      </w:r>
      <w:r>
        <w:rPr>
          <w:spacing w:val="-1"/>
        </w:rPr>
        <w:t> </w:t>
      </w:r>
      <w:r>
        <w:rPr/>
        <w:t>mantener una economía resiliente y acompañarla de políticas públicas eficaces en materia social y laboral.</w:t>
      </w:r>
    </w:p>
    <w:p>
      <w:pPr>
        <w:pStyle w:val="BodyText"/>
      </w:pPr>
    </w:p>
    <w:p>
      <w:pPr>
        <w:pStyle w:val="BodyText"/>
      </w:pPr>
    </w:p>
    <w:p>
      <w:pPr>
        <w:pStyle w:val="BodyText"/>
        <w:spacing w:before="46"/>
      </w:pPr>
    </w:p>
    <w:p>
      <w:pPr>
        <w:pStyle w:val="Heading2"/>
        <w:ind w:left="965" w:right="1273" w:firstLine="96"/>
        <w:jc w:val="both"/>
      </w:pPr>
      <w:r>
        <w:rPr/>
        <w:drawing>
          <wp:anchor distT="0" distB="0" distL="0" distR="0" allowOverlap="1" layoutInCell="1" locked="0" behindDoc="1" simplePos="0" relativeHeight="487591936">
            <wp:simplePos x="0" y="0"/>
            <wp:positionH relativeFrom="page">
              <wp:posOffset>1632405</wp:posOffset>
            </wp:positionH>
            <wp:positionV relativeFrom="paragraph">
              <wp:posOffset>341065</wp:posOffset>
            </wp:positionV>
            <wp:extent cx="4879095" cy="2808351"/>
            <wp:effectExtent l="0" t="0" r="0" b="0"/>
            <wp:wrapTopAndBottom/>
            <wp:docPr id="64" name="Image 64" descr="Gráfico, Gráfico de líneas  El contenido generado por IA puede ser incorrecto."/>
            <wp:cNvGraphicFramePr>
              <a:graphicFrameLocks/>
            </wp:cNvGraphicFramePr>
            <a:graphic>
              <a:graphicData uri="http://schemas.openxmlformats.org/drawingml/2006/picture">
                <pic:pic>
                  <pic:nvPicPr>
                    <pic:cNvPr id="64" name="Image 64" descr="Gráfico, Gráfico de líneas  El contenido generado por IA puede ser incorrecto."/>
                    <pic:cNvPicPr/>
                  </pic:nvPicPr>
                  <pic:blipFill>
                    <a:blip r:embed="rId43" cstate="print"/>
                    <a:stretch>
                      <a:fillRect/>
                    </a:stretch>
                  </pic:blipFill>
                  <pic:spPr>
                    <a:xfrm>
                      <a:off x="0" y="0"/>
                      <a:ext cx="4879095" cy="2808351"/>
                    </a:xfrm>
                    <a:prstGeom prst="rect">
                      <a:avLst/>
                    </a:prstGeom>
                  </pic:spPr>
                </pic:pic>
              </a:graphicData>
            </a:graphic>
          </wp:anchor>
        </w:drawing>
      </w:r>
      <w:bookmarkStart w:name="_bookmark25" w:id="26"/>
      <w:bookmarkEnd w:id="26"/>
      <w:r>
        <w:rPr>
          <w:b w:val="0"/>
        </w:rPr>
      </w:r>
      <w:r>
        <w:rPr/>
        <w:t>Gráfico</w:t>
      </w:r>
      <w:r>
        <w:rPr>
          <w:spacing w:val="-1"/>
        </w:rPr>
        <w:t> </w:t>
      </w:r>
      <w:r>
        <w:rPr/>
        <w:t>6:</w:t>
      </w:r>
      <w:r>
        <w:rPr>
          <w:spacing w:val="-3"/>
        </w:rPr>
        <w:t> </w:t>
      </w:r>
      <w:r>
        <w:rPr/>
        <w:t>Costa Rica:</w:t>
      </w:r>
      <w:r>
        <w:rPr>
          <w:spacing w:val="-3"/>
        </w:rPr>
        <w:t> </w:t>
      </w:r>
      <w:r>
        <w:rPr/>
        <w:t>Incidencia</w:t>
      </w:r>
      <w:r>
        <w:rPr>
          <w:spacing w:val="-4"/>
        </w:rPr>
        <w:t> </w:t>
      </w:r>
      <w:r>
        <w:rPr/>
        <w:t>de</w:t>
      </w:r>
      <w:r>
        <w:rPr>
          <w:spacing w:val="-5"/>
        </w:rPr>
        <w:t> </w:t>
      </w:r>
      <w:r>
        <w:rPr/>
        <w:t>la</w:t>
      </w:r>
      <w:r>
        <w:rPr>
          <w:spacing w:val="-4"/>
        </w:rPr>
        <w:t> </w:t>
      </w:r>
      <w:r>
        <w:rPr/>
        <w:t>pobreza</w:t>
      </w:r>
      <w:r>
        <w:rPr>
          <w:spacing w:val="-4"/>
        </w:rPr>
        <w:t> </w:t>
      </w:r>
      <w:r>
        <w:rPr/>
        <w:t>total y</w:t>
      </w:r>
      <w:r>
        <w:rPr>
          <w:spacing w:val="-4"/>
        </w:rPr>
        <w:t> </w:t>
      </w:r>
      <w:r>
        <w:rPr/>
        <w:t>crecimiento</w:t>
      </w:r>
      <w:r>
        <w:rPr>
          <w:spacing w:val="-2"/>
        </w:rPr>
        <w:t> </w:t>
      </w:r>
      <w:r>
        <w:rPr/>
        <w:t>económico,</w:t>
      </w:r>
      <w:r>
        <w:rPr>
          <w:spacing w:val="-6"/>
        </w:rPr>
        <w:t> </w:t>
      </w:r>
      <w:r>
        <w:rPr/>
        <w:t>2010-</w:t>
      </w:r>
      <w:r>
        <w:rPr>
          <w:spacing w:val="-4"/>
        </w:rPr>
        <w:t>2024</w:t>
      </w:r>
    </w:p>
    <w:p>
      <w:pPr>
        <w:pStyle w:val="BodyText"/>
        <w:spacing w:before="24"/>
        <w:rPr>
          <w:b/>
        </w:rPr>
      </w:pPr>
    </w:p>
    <w:p>
      <w:pPr>
        <w:spacing w:before="0"/>
        <w:ind w:left="1546" w:right="0" w:firstLine="0"/>
        <w:jc w:val="left"/>
        <w:rPr>
          <w:sz w:val="18"/>
        </w:rPr>
      </w:pPr>
      <w:r>
        <w:rPr>
          <w:sz w:val="18"/>
        </w:rPr>
        <w:t>Fuente: Elaboración</w:t>
      </w:r>
      <w:r>
        <w:rPr>
          <w:spacing w:val="-5"/>
          <w:sz w:val="18"/>
        </w:rPr>
        <w:t> </w:t>
      </w:r>
      <w:r>
        <w:rPr>
          <w:sz w:val="18"/>
        </w:rPr>
        <w:t>propia</w:t>
      </w:r>
      <w:r>
        <w:rPr>
          <w:spacing w:val="-6"/>
          <w:sz w:val="18"/>
        </w:rPr>
        <w:t> </w:t>
      </w:r>
      <w:r>
        <w:rPr>
          <w:sz w:val="18"/>
        </w:rPr>
        <w:t>con</w:t>
      </w:r>
      <w:r>
        <w:rPr>
          <w:spacing w:val="-6"/>
          <w:sz w:val="18"/>
        </w:rPr>
        <w:t> </w:t>
      </w:r>
      <w:r>
        <w:rPr>
          <w:sz w:val="18"/>
        </w:rPr>
        <w:t>datos</w:t>
      </w:r>
      <w:r>
        <w:rPr>
          <w:spacing w:val="-5"/>
          <w:sz w:val="18"/>
        </w:rPr>
        <w:t> </w:t>
      </w:r>
      <w:r>
        <w:rPr>
          <w:sz w:val="18"/>
        </w:rPr>
        <w:t>de</w:t>
      </w:r>
      <w:r>
        <w:rPr>
          <w:spacing w:val="-2"/>
          <w:sz w:val="18"/>
        </w:rPr>
        <w:t> </w:t>
      </w:r>
      <w:r>
        <w:rPr>
          <w:sz w:val="18"/>
        </w:rPr>
        <w:t>BCCR</w:t>
      </w:r>
      <w:r>
        <w:rPr>
          <w:spacing w:val="-8"/>
          <w:sz w:val="18"/>
        </w:rPr>
        <w:t> </w:t>
      </w:r>
      <w:r>
        <w:rPr>
          <w:sz w:val="18"/>
        </w:rPr>
        <w:t>y</w:t>
      </w:r>
      <w:r>
        <w:rPr>
          <w:spacing w:val="-6"/>
          <w:sz w:val="18"/>
        </w:rPr>
        <w:t> </w:t>
      </w:r>
      <w:r>
        <w:rPr>
          <w:sz w:val="18"/>
        </w:rPr>
        <w:t>con</w:t>
      </w:r>
      <w:r>
        <w:rPr>
          <w:spacing w:val="-5"/>
          <w:sz w:val="18"/>
        </w:rPr>
        <w:t> </w:t>
      </w:r>
      <w:r>
        <w:rPr>
          <w:sz w:val="18"/>
        </w:rPr>
        <w:t>la</w:t>
      </w:r>
      <w:r>
        <w:rPr>
          <w:spacing w:val="-2"/>
          <w:sz w:val="18"/>
        </w:rPr>
        <w:t> </w:t>
      </w:r>
      <w:r>
        <w:rPr>
          <w:sz w:val="18"/>
        </w:rPr>
        <w:t>ENAHO-</w:t>
      </w:r>
      <w:r>
        <w:rPr>
          <w:spacing w:val="-2"/>
          <w:sz w:val="18"/>
        </w:rPr>
        <w:t>INEC.</w:t>
      </w:r>
    </w:p>
    <w:p>
      <w:pPr>
        <w:pStyle w:val="BodyText"/>
        <w:spacing w:before="29"/>
        <w:rPr>
          <w:sz w:val="18"/>
        </w:rPr>
      </w:pPr>
    </w:p>
    <w:p>
      <w:pPr>
        <w:pStyle w:val="BodyText"/>
        <w:ind w:left="1340" w:right="1348"/>
        <w:jc w:val="both"/>
      </w:pPr>
      <w:r>
        <w:rPr/>
        <w:t>El coeficiente de Gini, como indicador sintético de desigualdad en la distribución del ingreso, ha mostrado un comportamiento fluctuante en Costa Rica durante el período 2010–2024, con niveles persistentemente altos en el contexto latinoamericano. Este índice, que varía entre 0 (igualdad perfecta) y 1 (desigualdad total), ha oscilado en un rango</w:t>
      </w:r>
      <w:r>
        <w:rPr>
          <w:spacing w:val="-6"/>
        </w:rPr>
        <w:t> </w:t>
      </w:r>
      <w:r>
        <w:rPr/>
        <w:t>estrecho</w:t>
      </w:r>
      <w:r>
        <w:rPr>
          <w:spacing w:val="-6"/>
        </w:rPr>
        <w:t> </w:t>
      </w:r>
      <w:r>
        <w:rPr/>
        <w:t>entre</w:t>
      </w:r>
      <w:r>
        <w:rPr>
          <w:spacing w:val="-6"/>
        </w:rPr>
        <w:t> </w:t>
      </w:r>
      <w:r>
        <w:rPr/>
        <w:t>0,503</w:t>
      </w:r>
      <w:r>
        <w:rPr>
          <w:spacing w:val="-3"/>
        </w:rPr>
        <w:t> </w:t>
      </w:r>
      <w:r>
        <w:rPr/>
        <w:t>y</w:t>
      </w:r>
      <w:r>
        <w:rPr>
          <w:spacing w:val="-8"/>
        </w:rPr>
        <w:t> </w:t>
      </w:r>
      <w:r>
        <w:rPr/>
        <w:t>0,519,</w:t>
      </w:r>
      <w:r>
        <w:rPr>
          <w:spacing w:val="-3"/>
        </w:rPr>
        <w:t> </w:t>
      </w:r>
      <w:r>
        <w:rPr/>
        <w:t>reflejando</w:t>
      </w:r>
      <w:r>
        <w:rPr>
          <w:spacing w:val="-3"/>
        </w:rPr>
        <w:t> </w:t>
      </w:r>
      <w:r>
        <w:rPr/>
        <w:t>una</w:t>
      </w:r>
      <w:r>
        <w:rPr>
          <w:spacing w:val="-3"/>
        </w:rPr>
        <w:t> </w:t>
      </w:r>
      <w:r>
        <w:rPr/>
        <w:t>estructura</w:t>
      </w:r>
      <w:r>
        <w:rPr>
          <w:spacing w:val="-6"/>
        </w:rPr>
        <w:t> </w:t>
      </w:r>
      <w:r>
        <w:rPr/>
        <w:t>distributiva</w:t>
      </w:r>
      <w:r>
        <w:rPr>
          <w:spacing w:val="-3"/>
        </w:rPr>
        <w:t> </w:t>
      </w:r>
      <w:r>
        <w:rPr/>
        <w:t>caracterizada por desigualdades arraigadas y difíciles de modificar estructuralmente</w:t>
      </w:r>
    </w:p>
    <w:p>
      <w:pPr>
        <w:pStyle w:val="BodyText"/>
        <w:spacing w:before="1"/>
      </w:pPr>
    </w:p>
    <w:p>
      <w:pPr>
        <w:pStyle w:val="BodyText"/>
        <w:ind w:left="1340" w:right="1347"/>
        <w:jc w:val="both"/>
      </w:pPr>
      <w:r>
        <w:rPr/>
        <w:t>Durante los primeros años del período analizado, la desigualdad se mantuvo elevada. En 2013, el Gini alcanzó su punto máximo de 0,519, consolidando a Costa Rica como uno de los países con mayor desigualdad relativa de ingresos en Centroamérica, a pesar de contar con altos niveles de desarrollo institucional. Esta cifra revela las limitaciones</w:t>
      </w:r>
      <w:r>
        <w:rPr>
          <w:spacing w:val="-3"/>
        </w:rPr>
        <w:t> </w:t>
      </w:r>
      <w:r>
        <w:rPr/>
        <w:t>de</w:t>
      </w:r>
      <w:r>
        <w:rPr>
          <w:spacing w:val="-2"/>
        </w:rPr>
        <w:t> </w:t>
      </w:r>
      <w:r>
        <w:rPr/>
        <w:t>las</w:t>
      </w:r>
      <w:r>
        <w:rPr>
          <w:spacing w:val="-8"/>
        </w:rPr>
        <w:t> </w:t>
      </w:r>
      <w:r>
        <w:rPr/>
        <w:t>políticas</w:t>
      </w:r>
      <w:r>
        <w:rPr>
          <w:spacing w:val="-3"/>
        </w:rPr>
        <w:t> </w:t>
      </w:r>
      <w:r>
        <w:rPr/>
        <w:t>redistributivas</w:t>
      </w:r>
      <w:r>
        <w:rPr>
          <w:spacing w:val="-3"/>
        </w:rPr>
        <w:t> </w:t>
      </w:r>
      <w:r>
        <w:rPr/>
        <w:t>implementadas</w:t>
      </w:r>
      <w:r>
        <w:rPr>
          <w:spacing w:val="-8"/>
        </w:rPr>
        <w:t> </w:t>
      </w:r>
      <w:r>
        <w:rPr/>
        <w:t>durante</w:t>
      </w:r>
      <w:r>
        <w:rPr>
          <w:spacing w:val="-2"/>
        </w:rPr>
        <w:t> </w:t>
      </w:r>
      <w:r>
        <w:rPr/>
        <w:t>la</w:t>
      </w:r>
      <w:r>
        <w:rPr>
          <w:spacing w:val="-6"/>
        </w:rPr>
        <w:t> </w:t>
      </w:r>
      <w:r>
        <w:rPr/>
        <w:t>década,</w:t>
      </w:r>
      <w:r>
        <w:rPr>
          <w:spacing w:val="-7"/>
        </w:rPr>
        <w:t> </w:t>
      </w:r>
      <w:r>
        <w:rPr/>
        <w:t>así</w:t>
      </w:r>
      <w:r>
        <w:rPr>
          <w:spacing w:val="-7"/>
        </w:rPr>
        <w:t> </w:t>
      </w:r>
      <w:r>
        <w:rPr/>
        <w:t>como su escasa capacidad para modificar las brechas estructurales.</w:t>
      </w:r>
    </w:p>
    <w:p>
      <w:pPr>
        <w:pStyle w:val="BodyText"/>
        <w:spacing w:before="1"/>
      </w:pPr>
    </w:p>
    <w:p>
      <w:pPr>
        <w:pStyle w:val="BodyText"/>
        <w:ind w:left="1340" w:right="1331"/>
        <w:jc w:val="both"/>
      </w:pPr>
      <w:r>
        <w:rPr/>
        <w:t>Entre</w:t>
      </w:r>
      <w:r>
        <w:rPr>
          <w:spacing w:val="-16"/>
        </w:rPr>
        <w:t> </w:t>
      </w:r>
      <w:r>
        <w:rPr/>
        <w:t>2016</w:t>
      </w:r>
      <w:r>
        <w:rPr>
          <w:spacing w:val="-15"/>
        </w:rPr>
        <w:t> </w:t>
      </w:r>
      <w:r>
        <w:rPr/>
        <w:t>y</w:t>
      </w:r>
      <w:r>
        <w:rPr>
          <w:spacing w:val="-15"/>
        </w:rPr>
        <w:t> </w:t>
      </w:r>
      <w:r>
        <w:rPr/>
        <w:t>2019,</w:t>
      </w:r>
      <w:r>
        <w:rPr>
          <w:spacing w:val="-16"/>
        </w:rPr>
        <w:t> </w:t>
      </w:r>
      <w:r>
        <w:rPr/>
        <w:t>se</w:t>
      </w:r>
      <w:r>
        <w:rPr>
          <w:spacing w:val="-15"/>
        </w:rPr>
        <w:t> </w:t>
      </w:r>
      <w:r>
        <w:rPr/>
        <w:t>evidenció</w:t>
      </w:r>
      <w:r>
        <w:rPr>
          <w:spacing w:val="-15"/>
        </w:rPr>
        <w:t> </w:t>
      </w:r>
      <w:r>
        <w:rPr/>
        <w:t>una</w:t>
      </w:r>
      <w:r>
        <w:rPr>
          <w:spacing w:val="-15"/>
        </w:rPr>
        <w:t> </w:t>
      </w:r>
      <w:r>
        <w:rPr/>
        <w:t>leve</w:t>
      </w:r>
      <w:r>
        <w:rPr>
          <w:spacing w:val="-16"/>
        </w:rPr>
        <w:t> </w:t>
      </w:r>
      <w:r>
        <w:rPr/>
        <w:t>tendencia</w:t>
      </w:r>
      <w:r>
        <w:rPr>
          <w:spacing w:val="-15"/>
        </w:rPr>
        <w:t> </w:t>
      </w:r>
      <w:r>
        <w:rPr/>
        <w:t>a</w:t>
      </w:r>
      <w:r>
        <w:rPr>
          <w:spacing w:val="-15"/>
        </w:rPr>
        <w:t> </w:t>
      </w:r>
      <w:r>
        <w:rPr/>
        <w:t>la</w:t>
      </w:r>
      <w:r>
        <w:rPr>
          <w:spacing w:val="-16"/>
        </w:rPr>
        <w:t> </w:t>
      </w:r>
      <w:r>
        <w:rPr/>
        <w:t>baja</w:t>
      </w:r>
      <w:r>
        <w:rPr>
          <w:spacing w:val="-15"/>
        </w:rPr>
        <w:t> </w:t>
      </w:r>
      <w:r>
        <w:rPr/>
        <w:t>en</w:t>
      </w:r>
      <w:r>
        <w:rPr>
          <w:spacing w:val="-15"/>
        </w:rPr>
        <w:t> </w:t>
      </w:r>
      <w:r>
        <w:rPr/>
        <w:t>el</w:t>
      </w:r>
      <w:r>
        <w:rPr>
          <w:spacing w:val="-15"/>
        </w:rPr>
        <w:t> </w:t>
      </w:r>
      <w:r>
        <w:rPr/>
        <w:t>indicador,</w:t>
      </w:r>
      <w:r>
        <w:rPr>
          <w:spacing w:val="-16"/>
        </w:rPr>
        <w:t> </w:t>
      </w:r>
      <w:r>
        <w:rPr/>
        <w:t>relacionada parcialmente</w:t>
      </w:r>
      <w:r>
        <w:rPr>
          <w:spacing w:val="-8"/>
        </w:rPr>
        <w:t> </w:t>
      </w:r>
      <w:r>
        <w:rPr/>
        <w:t>con</w:t>
      </w:r>
      <w:r>
        <w:rPr>
          <w:spacing w:val="-13"/>
        </w:rPr>
        <w:t> </w:t>
      </w:r>
      <w:r>
        <w:rPr/>
        <w:t>el</w:t>
      </w:r>
      <w:r>
        <w:rPr>
          <w:spacing w:val="-11"/>
        </w:rPr>
        <w:t> </w:t>
      </w:r>
      <w:r>
        <w:rPr/>
        <w:t>aumento</w:t>
      </w:r>
      <w:r>
        <w:rPr>
          <w:spacing w:val="-13"/>
        </w:rPr>
        <w:t> </w:t>
      </w:r>
      <w:r>
        <w:rPr/>
        <w:t>del</w:t>
      </w:r>
      <w:r>
        <w:rPr>
          <w:spacing w:val="-16"/>
        </w:rPr>
        <w:t> </w:t>
      </w:r>
      <w:r>
        <w:rPr/>
        <w:t>gasto</w:t>
      </w:r>
      <w:r>
        <w:rPr>
          <w:spacing w:val="-12"/>
        </w:rPr>
        <w:t> </w:t>
      </w:r>
      <w:r>
        <w:rPr/>
        <w:t>social</w:t>
      </w:r>
      <w:r>
        <w:rPr>
          <w:spacing w:val="-11"/>
        </w:rPr>
        <w:t> </w:t>
      </w:r>
      <w:r>
        <w:rPr/>
        <w:t>focalizado</w:t>
      </w:r>
      <w:r>
        <w:rPr>
          <w:spacing w:val="-8"/>
        </w:rPr>
        <w:t> </w:t>
      </w:r>
      <w:r>
        <w:rPr/>
        <w:t>y</w:t>
      </w:r>
      <w:r>
        <w:rPr>
          <w:spacing w:val="-15"/>
        </w:rPr>
        <w:t> </w:t>
      </w:r>
      <w:r>
        <w:rPr/>
        <w:t>algunas</w:t>
      </w:r>
      <w:r>
        <w:rPr>
          <w:spacing w:val="-15"/>
        </w:rPr>
        <w:t> </w:t>
      </w:r>
      <w:r>
        <w:rPr/>
        <w:t>mejoras</w:t>
      </w:r>
      <w:r>
        <w:rPr>
          <w:spacing w:val="-10"/>
        </w:rPr>
        <w:t> </w:t>
      </w:r>
      <w:r>
        <w:rPr/>
        <w:t>en</w:t>
      </w:r>
      <w:r>
        <w:rPr>
          <w:spacing w:val="-13"/>
        </w:rPr>
        <w:t> </w:t>
      </w:r>
      <w:r>
        <w:rPr/>
        <w:t>el</w:t>
      </w:r>
      <w:r>
        <w:rPr>
          <w:spacing w:val="-11"/>
        </w:rPr>
        <w:t> </w:t>
      </w:r>
      <w:r>
        <w:rPr/>
        <w:t>acceso a servicios públicos esenciales. Sin embargo, la caída fue marginal y no alteró de manera sustancial la estructura general de la desigualdad. Esta fase fue interrumpida abruptamente</w:t>
      </w:r>
      <w:r>
        <w:rPr>
          <w:spacing w:val="-16"/>
        </w:rPr>
        <w:t> </w:t>
      </w:r>
      <w:r>
        <w:rPr/>
        <w:t>por</w:t>
      </w:r>
      <w:r>
        <w:rPr>
          <w:spacing w:val="-15"/>
        </w:rPr>
        <w:t> </w:t>
      </w:r>
      <w:r>
        <w:rPr/>
        <w:t>la</w:t>
      </w:r>
      <w:r>
        <w:rPr>
          <w:spacing w:val="-15"/>
        </w:rPr>
        <w:t> </w:t>
      </w:r>
      <w:r>
        <w:rPr/>
        <w:t>crisis</w:t>
      </w:r>
      <w:r>
        <w:rPr>
          <w:spacing w:val="-16"/>
        </w:rPr>
        <w:t> </w:t>
      </w:r>
      <w:r>
        <w:rPr/>
        <w:t>sanitaria</w:t>
      </w:r>
      <w:r>
        <w:rPr>
          <w:spacing w:val="-15"/>
        </w:rPr>
        <w:t> </w:t>
      </w:r>
      <w:r>
        <w:rPr/>
        <w:t>y</w:t>
      </w:r>
      <w:r>
        <w:rPr>
          <w:spacing w:val="-15"/>
        </w:rPr>
        <w:t> </w:t>
      </w:r>
      <w:r>
        <w:rPr/>
        <w:t>económica</w:t>
      </w:r>
      <w:r>
        <w:rPr>
          <w:spacing w:val="-15"/>
        </w:rPr>
        <w:t> </w:t>
      </w:r>
      <w:r>
        <w:rPr/>
        <w:t>provocada</w:t>
      </w:r>
      <w:r>
        <w:rPr>
          <w:spacing w:val="-16"/>
        </w:rPr>
        <w:t> </w:t>
      </w:r>
      <w:r>
        <w:rPr/>
        <w:t>por</w:t>
      </w:r>
      <w:r>
        <w:rPr>
          <w:spacing w:val="-15"/>
        </w:rPr>
        <w:t> </w:t>
      </w:r>
      <w:r>
        <w:rPr/>
        <w:t>la</w:t>
      </w:r>
      <w:r>
        <w:rPr>
          <w:spacing w:val="-15"/>
        </w:rPr>
        <w:t> </w:t>
      </w:r>
      <w:r>
        <w:rPr/>
        <w:t>pandemia</w:t>
      </w:r>
      <w:r>
        <w:rPr>
          <w:spacing w:val="-16"/>
        </w:rPr>
        <w:t> </w:t>
      </w:r>
      <w:r>
        <w:rPr/>
        <w:t>del</w:t>
      </w:r>
      <w:r>
        <w:rPr>
          <w:spacing w:val="-15"/>
        </w:rPr>
        <w:t> </w:t>
      </w:r>
      <w:r>
        <w:rPr/>
        <w:t>COVID-</w:t>
      </w:r>
      <w:r>
        <w:rPr>
          <w:spacing w:val="-4"/>
        </w:rPr>
        <w:t>19.</w:t>
      </w:r>
    </w:p>
    <w:p>
      <w:pPr>
        <w:pStyle w:val="BodyText"/>
        <w:spacing w:after="0"/>
        <w:jc w:val="both"/>
        <w:sectPr>
          <w:pgSz w:w="12240" w:h="15840"/>
          <w:pgMar w:header="0" w:footer="1021" w:top="1340" w:bottom="1220" w:left="720" w:right="360"/>
        </w:sectPr>
      </w:pPr>
    </w:p>
    <w:p>
      <w:pPr>
        <w:pStyle w:val="BodyText"/>
        <w:spacing w:before="71"/>
        <w:ind w:left="1340" w:right="1345"/>
        <w:jc w:val="both"/>
      </w:pPr>
      <w:r>
        <w:rPr/>
        <w:t>En efecto, en 2020 el Gini volvió a incrementarse, alcanzando 0,513, reflejando los impactos</w:t>
      </w:r>
      <w:r>
        <w:rPr>
          <w:spacing w:val="-16"/>
        </w:rPr>
        <w:t> </w:t>
      </w:r>
      <w:r>
        <w:rPr/>
        <w:t>asimétricos</w:t>
      </w:r>
      <w:r>
        <w:rPr>
          <w:spacing w:val="-15"/>
        </w:rPr>
        <w:t> </w:t>
      </w:r>
      <w:r>
        <w:rPr/>
        <w:t>de</w:t>
      </w:r>
      <w:r>
        <w:rPr>
          <w:spacing w:val="-15"/>
        </w:rPr>
        <w:t> </w:t>
      </w:r>
      <w:r>
        <w:rPr/>
        <w:t>la</w:t>
      </w:r>
      <w:r>
        <w:rPr>
          <w:spacing w:val="-13"/>
        </w:rPr>
        <w:t> </w:t>
      </w:r>
      <w:r>
        <w:rPr/>
        <w:t>crisis:</w:t>
      </w:r>
      <w:r>
        <w:rPr>
          <w:spacing w:val="-15"/>
        </w:rPr>
        <w:t> </w:t>
      </w:r>
      <w:r>
        <w:rPr/>
        <w:t>pérdidas</w:t>
      </w:r>
      <w:r>
        <w:rPr>
          <w:spacing w:val="-16"/>
        </w:rPr>
        <w:t> </w:t>
      </w:r>
      <w:r>
        <w:rPr/>
        <w:t>masivas</w:t>
      </w:r>
      <w:r>
        <w:rPr>
          <w:spacing w:val="-11"/>
        </w:rPr>
        <w:t> </w:t>
      </w:r>
      <w:r>
        <w:rPr/>
        <w:t>de</w:t>
      </w:r>
      <w:r>
        <w:rPr>
          <w:spacing w:val="-15"/>
        </w:rPr>
        <w:t> </w:t>
      </w:r>
      <w:r>
        <w:rPr/>
        <w:t>empleo,</w:t>
      </w:r>
      <w:r>
        <w:rPr>
          <w:spacing w:val="-16"/>
        </w:rPr>
        <w:t> </w:t>
      </w:r>
      <w:r>
        <w:rPr/>
        <w:t>en</w:t>
      </w:r>
      <w:r>
        <w:rPr>
          <w:spacing w:val="-14"/>
        </w:rPr>
        <w:t> </w:t>
      </w:r>
      <w:r>
        <w:rPr/>
        <w:t>particular</w:t>
      </w:r>
      <w:r>
        <w:rPr>
          <w:spacing w:val="-16"/>
        </w:rPr>
        <w:t> </w:t>
      </w:r>
      <w:r>
        <w:rPr/>
        <w:t>en</w:t>
      </w:r>
      <w:r>
        <w:rPr>
          <w:spacing w:val="-14"/>
        </w:rPr>
        <w:t> </w:t>
      </w:r>
      <w:r>
        <w:rPr/>
        <w:t>sectores informales, caída de ingresos</w:t>
      </w:r>
      <w:r>
        <w:rPr>
          <w:spacing w:val="-1"/>
        </w:rPr>
        <w:t> </w:t>
      </w:r>
      <w:r>
        <w:rPr/>
        <w:t>en los hogares</w:t>
      </w:r>
      <w:r>
        <w:rPr>
          <w:spacing w:val="-1"/>
        </w:rPr>
        <w:t> </w:t>
      </w:r>
      <w:r>
        <w:rPr/>
        <w:t>con menor capital humano y limitaciones en</w:t>
      </w:r>
      <w:r>
        <w:rPr>
          <w:spacing w:val="-10"/>
        </w:rPr>
        <w:t> </w:t>
      </w:r>
      <w:r>
        <w:rPr/>
        <w:t>el</w:t>
      </w:r>
      <w:r>
        <w:rPr>
          <w:spacing w:val="-9"/>
        </w:rPr>
        <w:t> </w:t>
      </w:r>
      <w:r>
        <w:rPr/>
        <w:t>acceso</w:t>
      </w:r>
      <w:r>
        <w:rPr>
          <w:spacing w:val="-10"/>
        </w:rPr>
        <w:t> </w:t>
      </w:r>
      <w:r>
        <w:rPr/>
        <w:t>a</w:t>
      </w:r>
      <w:r>
        <w:rPr>
          <w:spacing w:val="-6"/>
        </w:rPr>
        <w:t> </w:t>
      </w:r>
      <w:r>
        <w:rPr/>
        <w:t>redes</w:t>
      </w:r>
      <w:r>
        <w:rPr>
          <w:spacing w:val="-8"/>
        </w:rPr>
        <w:t> </w:t>
      </w:r>
      <w:r>
        <w:rPr/>
        <w:t>de</w:t>
      </w:r>
      <w:r>
        <w:rPr>
          <w:spacing w:val="-6"/>
        </w:rPr>
        <w:t> </w:t>
      </w:r>
      <w:r>
        <w:rPr/>
        <w:t>protección</w:t>
      </w:r>
      <w:r>
        <w:rPr>
          <w:spacing w:val="-10"/>
        </w:rPr>
        <w:t> </w:t>
      </w:r>
      <w:r>
        <w:rPr/>
        <w:t>social.</w:t>
      </w:r>
      <w:r>
        <w:rPr>
          <w:spacing w:val="-7"/>
        </w:rPr>
        <w:t> </w:t>
      </w:r>
      <w:r>
        <w:rPr/>
        <w:t>La</w:t>
      </w:r>
      <w:r>
        <w:rPr>
          <w:spacing w:val="-10"/>
        </w:rPr>
        <w:t> </w:t>
      </w:r>
      <w:r>
        <w:rPr/>
        <w:t>desigualdad</w:t>
      </w:r>
      <w:r>
        <w:rPr>
          <w:spacing w:val="-6"/>
        </w:rPr>
        <w:t> </w:t>
      </w:r>
      <w:r>
        <w:rPr/>
        <w:t>se</w:t>
      </w:r>
      <w:r>
        <w:rPr>
          <w:spacing w:val="-6"/>
        </w:rPr>
        <w:t> </w:t>
      </w:r>
      <w:r>
        <w:rPr/>
        <w:t>profundizó</w:t>
      </w:r>
      <w:r>
        <w:rPr>
          <w:spacing w:val="-6"/>
        </w:rPr>
        <w:t> </w:t>
      </w:r>
      <w:r>
        <w:rPr/>
        <w:t>en</w:t>
      </w:r>
      <w:r>
        <w:rPr>
          <w:spacing w:val="-10"/>
        </w:rPr>
        <w:t> </w:t>
      </w:r>
      <w:r>
        <w:rPr/>
        <w:t>un</w:t>
      </w:r>
      <w:r>
        <w:rPr>
          <w:spacing w:val="-6"/>
        </w:rPr>
        <w:t> </w:t>
      </w:r>
      <w:r>
        <w:rPr/>
        <w:t>contexto de emergencia donde muchas de las brechas preexistentes se amplificaron.</w:t>
      </w:r>
    </w:p>
    <w:p>
      <w:pPr>
        <w:pStyle w:val="BodyText"/>
        <w:spacing w:before="252"/>
        <w:ind w:left="1340" w:right="1346"/>
        <w:jc w:val="both"/>
      </w:pPr>
      <w:r>
        <w:rPr/>
        <w:t>No</w:t>
      </w:r>
      <w:r>
        <w:rPr>
          <w:spacing w:val="-2"/>
        </w:rPr>
        <w:t> </w:t>
      </w:r>
      <w:r>
        <w:rPr/>
        <w:t>obstante,</w:t>
      </w:r>
      <w:r>
        <w:rPr>
          <w:spacing w:val="-6"/>
        </w:rPr>
        <w:t> </w:t>
      </w:r>
      <w:r>
        <w:rPr/>
        <w:t>a</w:t>
      </w:r>
      <w:r>
        <w:rPr>
          <w:spacing w:val="-5"/>
        </w:rPr>
        <w:t> </w:t>
      </w:r>
      <w:r>
        <w:rPr/>
        <w:t>partir</w:t>
      </w:r>
      <w:r>
        <w:rPr>
          <w:spacing w:val="-4"/>
        </w:rPr>
        <w:t> </w:t>
      </w:r>
      <w:r>
        <w:rPr/>
        <w:t>de</w:t>
      </w:r>
      <w:r>
        <w:rPr>
          <w:spacing w:val="-5"/>
        </w:rPr>
        <w:t> </w:t>
      </w:r>
      <w:r>
        <w:rPr/>
        <w:t>2021</w:t>
      </w:r>
      <w:r>
        <w:rPr>
          <w:spacing w:val="-5"/>
        </w:rPr>
        <w:t> </w:t>
      </w:r>
      <w:r>
        <w:rPr/>
        <w:t>se</w:t>
      </w:r>
      <w:r>
        <w:rPr>
          <w:spacing w:val="-5"/>
        </w:rPr>
        <w:t> </w:t>
      </w:r>
      <w:r>
        <w:rPr/>
        <w:t>ha</w:t>
      </w:r>
      <w:r>
        <w:rPr>
          <w:spacing w:val="-2"/>
        </w:rPr>
        <w:t> </w:t>
      </w:r>
      <w:r>
        <w:rPr/>
        <w:t>registrado</w:t>
      </w:r>
      <w:r>
        <w:rPr>
          <w:spacing w:val="-5"/>
        </w:rPr>
        <w:t> </w:t>
      </w:r>
      <w:r>
        <w:rPr/>
        <w:t>una</w:t>
      </w:r>
      <w:r>
        <w:rPr>
          <w:spacing w:val="-5"/>
        </w:rPr>
        <w:t> </w:t>
      </w:r>
      <w:r>
        <w:rPr/>
        <w:t>reducción</w:t>
      </w:r>
      <w:r>
        <w:rPr>
          <w:spacing w:val="-5"/>
        </w:rPr>
        <w:t> </w:t>
      </w:r>
      <w:r>
        <w:rPr/>
        <w:t>progresiva</w:t>
      </w:r>
      <w:r>
        <w:rPr>
          <w:spacing w:val="-5"/>
        </w:rPr>
        <w:t> </w:t>
      </w:r>
      <w:r>
        <w:rPr/>
        <w:t>del</w:t>
      </w:r>
      <w:r>
        <w:rPr>
          <w:spacing w:val="-3"/>
        </w:rPr>
        <w:t> </w:t>
      </w:r>
      <w:r>
        <w:rPr/>
        <w:t>coeficiente de Gini, impulsada por los programas de transferencia directa implementados durante y después de la pandemia, así como por la paulatina reactivación del empleo formal. Esta</w:t>
      </w:r>
      <w:r>
        <w:rPr>
          <w:spacing w:val="-16"/>
        </w:rPr>
        <w:t> </w:t>
      </w:r>
      <w:r>
        <w:rPr/>
        <w:t>tendencia</w:t>
      </w:r>
      <w:r>
        <w:rPr>
          <w:spacing w:val="-15"/>
        </w:rPr>
        <w:t> </w:t>
      </w:r>
      <w:r>
        <w:rPr/>
        <w:t>descendente</w:t>
      </w:r>
      <w:r>
        <w:rPr>
          <w:spacing w:val="-15"/>
        </w:rPr>
        <w:t> </w:t>
      </w:r>
      <w:r>
        <w:rPr/>
        <w:t>se</w:t>
      </w:r>
      <w:r>
        <w:rPr>
          <w:spacing w:val="-11"/>
        </w:rPr>
        <w:t> </w:t>
      </w:r>
      <w:r>
        <w:rPr/>
        <w:t>consolida</w:t>
      </w:r>
      <w:r>
        <w:rPr>
          <w:spacing w:val="-16"/>
        </w:rPr>
        <w:t> </w:t>
      </w:r>
      <w:r>
        <w:rPr/>
        <w:t>en</w:t>
      </w:r>
      <w:r>
        <w:rPr>
          <w:spacing w:val="-10"/>
        </w:rPr>
        <w:t> </w:t>
      </w:r>
      <w:r>
        <w:rPr/>
        <w:t>los</w:t>
      </w:r>
      <w:r>
        <w:rPr>
          <w:spacing w:val="-13"/>
        </w:rPr>
        <w:t> </w:t>
      </w:r>
      <w:r>
        <w:rPr/>
        <w:t>años</w:t>
      </w:r>
      <w:r>
        <w:rPr>
          <w:spacing w:val="-13"/>
        </w:rPr>
        <w:t> </w:t>
      </w:r>
      <w:r>
        <w:rPr/>
        <w:t>recientes,</w:t>
      </w:r>
      <w:r>
        <w:rPr>
          <w:spacing w:val="-16"/>
        </w:rPr>
        <w:t> </w:t>
      </w:r>
      <w:r>
        <w:rPr/>
        <w:t>hasta</w:t>
      </w:r>
      <w:r>
        <w:rPr>
          <w:spacing w:val="-15"/>
        </w:rPr>
        <w:t> </w:t>
      </w:r>
      <w:r>
        <w:rPr/>
        <w:t>alcanzar</w:t>
      </w:r>
      <w:r>
        <w:rPr>
          <w:spacing w:val="-15"/>
        </w:rPr>
        <w:t> </w:t>
      </w:r>
      <w:r>
        <w:rPr/>
        <w:t>un</w:t>
      </w:r>
      <w:r>
        <w:rPr>
          <w:spacing w:val="-11"/>
        </w:rPr>
        <w:t> </w:t>
      </w:r>
      <w:r>
        <w:rPr/>
        <w:t>valor de 0,492 en 2024, el más bajo del período analizado.</w:t>
      </w:r>
    </w:p>
    <w:p>
      <w:pPr>
        <w:pStyle w:val="BodyText"/>
        <w:spacing w:before="252"/>
        <w:ind w:left="1340" w:right="1335"/>
        <w:jc w:val="both"/>
      </w:pPr>
      <w:r>
        <w:rPr/>
        <w:t>El análisis por zona geográfica, según datos mostrados en el gráfico 7, revela una dinámica diferenciada. Las zonas urbanas han mantenido históricamente niveles de desigualdad inferiores al promedio nacional, con una disminución clara en los últimos años: desde 0,510 en 2021 a 0,482 en 2024. Por su parte, las zonas rurales han registrado valores más inestables, y durante varios años estos superaron el promedio nacional.</w:t>
      </w:r>
      <w:r>
        <w:rPr>
          <w:spacing w:val="-16"/>
        </w:rPr>
        <w:t> </w:t>
      </w:r>
      <w:r>
        <w:rPr/>
        <w:t>En</w:t>
      </w:r>
      <w:r>
        <w:rPr>
          <w:spacing w:val="-15"/>
        </w:rPr>
        <w:t> </w:t>
      </w:r>
      <w:r>
        <w:rPr/>
        <w:t>2015,</w:t>
      </w:r>
      <w:r>
        <w:rPr>
          <w:spacing w:val="-15"/>
        </w:rPr>
        <w:t> </w:t>
      </w:r>
      <w:r>
        <w:rPr/>
        <w:t>por</w:t>
      </w:r>
      <w:r>
        <w:rPr>
          <w:spacing w:val="-16"/>
        </w:rPr>
        <w:t> </w:t>
      </w:r>
      <w:r>
        <w:rPr/>
        <w:t>ejemplo,</w:t>
      </w:r>
      <w:r>
        <w:rPr>
          <w:spacing w:val="-15"/>
        </w:rPr>
        <w:t> </w:t>
      </w:r>
      <w:r>
        <w:rPr/>
        <w:t>el</w:t>
      </w:r>
      <w:r>
        <w:rPr>
          <w:spacing w:val="-15"/>
        </w:rPr>
        <w:t> </w:t>
      </w:r>
      <w:r>
        <w:rPr/>
        <w:t>Gini</w:t>
      </w:r>
      <w:r>
        <w:rPr>
          <w:spacing w:val="-15"/>
        </w:rPr>
        <w:t> </w:t>
      </w:r>
      <w:r>
        <w:rPr/>
        <w:t>rural</w:t>
      </w:r>
      <w:r>
        <w:rPr>
          <w:spacing w:val="-16"/>
        </w:rPr>
        <w:t> </w:t>
      </w:r>
      <w:r>
        <w:rPr/>
        <w:t>alcanzó</w:t>
      </w:r>
      <w:r>
        <w:rPr>
          <w:spacing w:val="-15"/>
        </w:rPr>
        <w:t> </w:t>
      </w:r>
      <w:r>
        <w:rPr/>
        <w:t>0,524,</w:t>
      </w:r>
      <w:r>
        <w:rPr>
          <w:spacing w:val="-15"/>
        </w:rPr>
        <w:t> </w:t>
      </w:r>
      <w:r>
        <w:rPr/>
        <w:t>el</w:t>
      </w:r>
      <w:r>
        <w:rPr>
          <w:spacing w:val="-16"/>
        </w:rPr>
        <w:t> </w:t>
      </w:r>
      <w:r>
        <w:rPr/>
        <w:t>punto</w:t>
      </w:r>
      <w:r>
        <w:rPr>
          <w:spacing w:val="-13"/>
        </w:rPr>
        <w:t> </w:t>
      </w:r>
      <w:r>
        <w:rPr/>
        <w:t>más</w:t>
      </w:r>
      <w:r>
        <w:rPr>
          <w:spacing w:val="-14"/>
        </w:rPr>
        <w:t> </w:t>
      </w:r>
      <w:r>
        <w:rPr/>
        <w:t>alto</w:t>
      </w:r>
      <w:r>
        <w:rPr>
          <w:spacing w:val="-16"/>
        </w:rPr>
        <w:t> </w:t>
      </w:r>
      <w:r>
        <w:rPr/>
        <w:t>del</w:t>
      </w:r>
      <w:r>
        <w:rPr>
          <w:spacing w:val="-15"/>
        </w:rPr>
        <w:t> </w:t>
      </w:r>
      <w:r>
        <w:rPr/>
        <w:t>período en ese segmento.</w:t>
      </w:r>
    </w:p>
    <w:p>
      <w:pPr>
        <w:pStyle w:val="BodyText"/>
        <w:spacing w:before="5"/>
      </w:pPr>
    </w:p>
    <w:p>
      <w:pPr>
        <w:pStyle w:val="BodyText"/>
        <w:spacing w:line="237" w:lineRule="auto"/>
        <w:ind w:left="1340" w:right="1350" w:firstLine="62"/>
        <w:jc w:val="both"/>
      </w:pPr>
      <w:r>
        <w:rPr/>
        <w:t>Aun así, para 2024 el índice en zonas rurales se redujo a 0,483, acercándose al</w:t>
      </w:r>
      <w:r>
        <w:rPr>
          <w:spacing w:val="-2"/>
        </w:rPr>
        <w:t> </w:t>
      </w:r>
      <w:r>
        <w:rPr/>
        <w:t>nivel </w:t>
      </w:r>
      <w:r>
        <w:rPr>
          <w:spacing w:val="-2"/>
        </w:rPr>
        <w:t>urbano.</w:t>
      </w:r>
    </w:p>
    <w:p>
      <w:pPr>
        <w:pStyle w:val="BodyText"/>
        <w:spacing w:before="2"/>
      </w:pPr>
    </w:p>
    <w:p>
      <w:pPr>
        <w:pStyle w:val="BodyText"/>
        <w:spacing w:before="1"/>
        <w:ind w:left="1340" w:right="1335"/>
        <w:jc w:val="both"/>
      </w:pPr>
      <w:r>
        <w:rPr/>
        <w:t>En este sentido, si bien las brechas entre áreas urbanas y rurales tienden a reducirse en años recientes, persisten desigualdades territoriales relevantes asociadas a menor cobertura de servicios, informalidad laboral más alta y menor acceso a infraestructura productiva en las zonas rurales.</w:t>
      </w:r>
    </w:p>
    <w:p>
      <w:pPr>
        <w:pStyle w:val="BodyText"/>
        <w:spacing w:before="250"/>
        <w:ind w:left="1340" w:right="1348"/>
        <w:jc w:val="both"/>
      </w:pPr>
      <w:r>
        <w:rPr/>
        <w:t>Esta mejora reciente podría interpretarse como una señal positiva en términos de recuperación social y eficacia de las políticas de contención, aunque con limitaciones importantes. Un Gini de 0,492 continúa ubicando a Costa Rica entre los países con mayores niveles de desigualdad de ingresos en América Latina, por lo que el desafío estructural persiste y requiere intervenciones más integrales.</w:t>
      </w:r>
    </w:p>
    <w:p>
      <w:pPr>
        <w:pStyle w:val="BodyText"/>
        <w:spacing w:before="6"/>
      </w:pPr>
    </w:p>
    <w:p>
      <w:pPr>
        <w:pStyle w:val="BodyText"/>
        <w:spacing w:line="237" w:lineRule="auto"/>
        <w:ind w:left="1340" w:right="1344"/>
      </w:pPr>
      <w:r>
        <w:rPr/>
        <w:t>En</w:t>
      </w:r>
      <w:r>
        <w:rPr>
          <w:spacing w:val="-5"/>
        </w:rPr>
        <w:t> </w:t>
      </w:r>
      <w:r>
        <w:rPr/>
        <w:t>síntesis,</w:t>
      </w:r>
      <w:r>
        <w:rPr>
          <w:spacing w:val="-6"/>
        </w:rPr>
        <w:t> </w:t>
      </w:r>
      <w:r>
        <w:rPr/>
        <w:t>el</w:t>
      </w:r>
      <w:r>
        <w:rPr>
          <w:spacing w:val="-8"/>
        </w:rPr>
        <w:t> </w:t>
      </w:r>
      <w:r>
        <w:rPr/>
        <w:t>comportamiento</w:t>
      </w:r>
      <w:r>
        <w:rPr>
          <w:spacing w:val="-5"/>
        </w:rPr>
        <w:t> </w:t>
      </w:r>
      <w:r>
        <w:rPr/>
        <w:t>del</w:t>
      </w:r>
      <w:r>
        <w:rPr>
          <w:spacing w:val="-3"/>
        </w:rPr>
        <w:t> </w:t>
      </w:r>
      <w:r>
        <w:rPr/>
        <w:t>coeficiente</w:t>
      </w:r>
      <w:r>
        <w:rPr>
          <w:spacing w:val="-5"/>
        </w:rPr>
        <w:t> </w:t>
      </w:r>
      <w:r>
        <w:rPr/>
        <w:t>de</w:t>
      </w:r>
      <w:r>
        <w:rPr>
          <w:spacing w:val="-10"/>
        </w:rPr>
        <w:t> </w:t>
      </w:r>
      <w:r>
        <w:rPr/>
        <w:t>Gini</w:t>
      </w:r>
      <w:r>
        <w:rPr>
          <w:spacing w:val="-8"/>
        </w:rPr>
        <w:t> </w:t>
      </w:r>
      <w:r>
        <w:rPr/>
        <w:t>en</w:t>
      </w:r>
      <w:r>
        <w:rPr>
          <w:spacing w:val="-5"/>
        </w:rPr>
        <w:t> </w:t>
      </w:r>
      <w:r>
        <w:rPr/>
        <w:t>Costa</w:t>
      </w:r>
      <w:r>
        <w:rPr>
          <w:spacing w:val="-5"/>
        </w:rPr>
        <w:t> </w:t>
      </w:r>
      <w:r>
        <w:rPr/>
        <w:t>Rica</w:t>
      </w:r>
      <w:r>
        <w:rPr>
          <w:spacing w:val="-10"/>
        </w:rPr>
        <w:t> </w:t>
      </w:r>
      <w:r>
        <w:rPr/>
        <w:t>entre</w:t>
      </w:r>
      <w:r>
        <w:rPr>
          <w:spacing w:val="-5"/>
        </w:rPr>
        <w:t> </w:t>
      </w:r>
      <w:r>
        <w:rPr/>
        <w:t>2010</w:t>
      </w:r>
      <w:r>
        <w:rPr>
          <w:spacing w:val="-1"/>
        </w:rPr>
        <w:t> </w:t>
      </w:r>
      <w:r>
        <w:rPr/>
        <w:t>y</w:t>
      </w:r>
      <w:r>
        <w:rPr>
          <w:spacing w:val="-12"/>
        </w:rPr>
        <w:t> </w:t>
      </w:r>
      <w:r>
        <w:rPr/>
        <w:t>2024 </w:t>
      </w:r>
      <w:r>
        <w:rPr>
          <w:spacing w:val="-2"/>
        </w:rPr>
        <w:t>muestra:</w:t>
      </w:r>
    </w:p>
    <w:p>
      <w:pPr>
        <w:pStyle w:val="ListParagraph"/>
        <w:numPr>
          <w:ilvl w:val="0"/>
          <w:numId w:val="14"/>
        </w:numPr>
        <w:tabs>
          <w:tab w:pos="1335" w:val="left" w:leader="none"/>
        </w:tabs>
        <w:spacing w:line="240" w:lineRule="auto" w:before="122" w:after="0"/>
        <w:ind w:left="1335" w:right="0" w:hanging="356"/>
        <w:jc w:val="left"/>
        <w:rPr>
          <w:sz w:val="22"/>
        </w:rPr>
      </w:pPr>
      <w:r>
        <w:rPr>
          <w:sz w:val="22"/>
        </w:rPr>
        <w:t>Una</w:t>
      </w:r>
      <w:r>
        <w:rPr>
          <w:spacing w:val="-7"/>
          <w:sz w:val="22"/>
        </w:rPr>
        <w:t> </w:t>
      </w:r>
      <w:r>
        <w:rPr>
          <w:sz w:val="22"/>
        </w:rPr>
        <w:t>persistencia</w:t>
      </w:r>
      <w:r>
        <w:rPr>
          <w:spacing w:val="-3"/>
          <w:sz w:val="22"/>
        </w:rPr>
        <w:t> </w:t>
      </w:r>
      <w:r>
        <w:rPr>
          <w:sz w:val="22"/>
        </w:rPr>
        <w:t>de</w:t>
      </w:r>
      <w:r>
        <w:rPr>
          <w:spacing w:val="-7"/>
          <w:sz w:val="22"/>
        </w:rPr>
        <w:t> </w:t>
      </w:r>
      <w:r>
        <w:rPr>
          <w:sz w:val="22"/>
        </w:rPr>
        <w:t>niveles</w:t>
      </w:r>
      <w:r>
        <w:rPr>
          <w:spacing w:val="-4"/>
          <w:sz w:val="22"/>
        </w:rPr>
        <w:t> </w:t>
      </w:r>
      <w:r>
        <w:rPr>
          <w:sz w:val="22"/>
        </w:rPr>
        <w:t>altos</w:t>
      </w:r>
      <w:r>
        <w:rPr>
          <w:spacing w:val="-9"/>
          <w:sz w:val="22"/>
        </w:rPr>
        <w:t> </w:t>
      </w:r>
      <w:r>
        <w:rPr>
          <w:sz w:val="22"/>
        </w:rPr>
        <w:t>de</w:t>
      </w:r>
      <w:r>
        <w:rPr>
          <w:spacing w:val="-7"/>
          <w:sz w:val="22"/>
        </w:rPr>
        <w:t> </w:t>
      </w:r>
      <w:r>
        <w:rPr>
          <w:sz w:val="22"/>
        </w:rPr>
        <w:t>desigualdad</w:t>
      </w:r>
      <w:r>
        <w:rPr>
          <w:spacing w:val="-11"/>
          <w:sz w:val="22"/>
        </w:rPr>
        <w:t> </w:t>
      </w:r>
      <w:r>
        <w:rPr>
          <w:sz w:val="22"/>
        </w:rPr>
        <w:t>durante</w:t>
      </w:r>
      <w:r>
        <w:rPr>
          <w:spacing w:val="-3"/>
          <w:sz w:val="22"/>
        </w:rPr>
        <w:t> </w:t>
      </w:r>
      <w:r>
        <w:rPr>
          <w:sz w:val="22"/>
        </w:rPr>
        <w:t>toda</w:t>
      </w:r>
      <w:r>
        <w:rPr>
          <w:spacing w:val="-4"/>
          <w:sz w:val="22"/>
        </w:rPr>
        <w:t> </w:t>
      </w:r>
      <w:r>
        <w:rPr>
          <w:sz w:val="22"/>
        </w:rPr>
        <w:t>la</w:t>
      </w:r>
      <w:r>
        <w:rPr>
          <w:spacing w:val="-6"/>
          <w:sz w:val="22"/>
        </w:rPr>
        <w:t> </w:t>
      </w:r>
      <w:r>
        <w:rPr>
          <w:spacing w:val="-2"/>
          <w:sz w:val="22"/>
        </w:rPr>
        <w:t>serie.</w:t>
      </w:r>
    </w:p>
    <w:p>
      <w:pPr>
        <w:pStyle w:val="ListParagraph"/>
        <w:numPr>
          <w:ilvl w:val="0"/>
          <w:numId w:val="14"/>
        </w:numPr>
        <w:tabs>
          <w:tab w:pos="1335" w:val="left" w:leader="none"/>
        </w:tabs>
        <w:spacing w:line="251" w:lineRule="exact" w:before="1" w:after="0"/>
        <w:ind w:left="1335" w:right="0" w:hanging="356"/>
        <w:jc w:val="left"/>
        <w:rPr>
          <w:sz w:val="22"/>
        </w:rPr>
      </w:pPr>
      <w:r>
        <w:rPr>
          <w:sz w:val="22"/>
        </w:rPr>
        <w:t>Un</w:t>
      </w:r>
      <w:r>
        <w:rPr>
          <w:spacing w:val="-3"/>
          <w:sz w:val="22"/>
        </w:rPr>
        <w:t> </w:t>
      </w:r>
      <w:r>
        <w:rPr>
          <w:sz w:val="22"/>
        </w:rPr>
        <w:t>repunte</w:t>
      </w:r>
      <w:r>
        <w:rPr>
          <w:spacing w:val="-7"/>
          <w:sz w:val="22"/>
        </w:rPr>
        <w:t> </w:t>
      </w:r>
      <w:r>
        <w:rPr>
          <w:sz w:val="22"/>
        </w:rPr>
        <w:t>marcado</w:t>
      </w:r>
      <w:r>
        <w:rPr>
          <w:spacing w:val="-7"/>
          <w:sz w:val="22"/>
        </w:rPr>
        <w:t> </w:t>
      </w:r>
      <w:r>
        <w:rPr>
          <w:sz w:val="22"/>
        </w:rPr>
        <w:t>en</w:t>
      </w:r>
      <w:r>
        <w:rPr>
          <w:spacing w:val="-3"/>
          <w:sz w:val="22"/>
        </w:rPr>
        <w:t> </w:t>
      </w:r>
      <w:r>
        <w:rPr>
          <w:sz w:val="22"/>
        </w:rPr>
        <w:t>2013,</w:t>
      </w:r>
      <w:r>
        <w:rPr>
          <w:spacing w:val="-3"/>
          <w:sz w:val="22"/>
        </w:rPr>
        <w:t> </w:t>
      </w:r>
      <w:r>
        <w:rPr>
          <w:sz w:val="22"/>
        </w:rPr>
        <w:t>con</w:t>
      </w:r>
      <w:r>
        <w:rPr>
          <w:spacing w:val="-2"/>
          <w:sz w:val="22"/>
        </w:rPr>
        <w:t> 0,519.</w:t>
      </w:r>
    </w:p>
    <w:p>
      <w:pPr>
        <w:pStyle w:val="ListParagraph"/>
        <w:numPr>
          <w:ilvl w:val="0"/>
          <w:numId w:val="14"/>
        </w:numPr>
        <w:tabs>
          <w:tab w:pos="1335" w:val="left" w:leader="none"/>
        </w:tabs>
        <w:spacing w:line="251" w:lineRule="exact" w:before="0" w:after="0"/>
        <w:ind w:left="1335" w:right="0" w:hanging="356"/>
        <w:jc w:val="left"/>
        <w:rPr>
          <w:sz w:val="22"/>
        </w:rPr>
      </w:pPr>
      <w:r>
        <w:rPr>
          <w:sz w:val="22"/>
        </w:rPr>
        <w:t>Una</w:t>
      </w:r>
      <w:r>
        <w:rPr>
          <w:spacing w:val="-5"/>
          <w:sz w:val="22"/>
        </w:rPr>
        <w:t> </w:t>
      </w:r>
      <w:r>
        <w:rPr>
          <w:sz w:val="22"/>
        </w:rPr>
        <w:t>interrupción</w:t>
      </w:r>
      <w:r>
        <w:rPr>
          <w:spacing w:val="-7"/>
          <w:sz w:val="22"/>
        </w:rPr>
        <w:t> </w:t>
      </w:r>
      <w:r>
        <w:rPr>
          <w:sz w:val="22"/>
        </w:rPr>
        <w:t>de</w:t>
      </w:r>
      <w:r>
        <w:rPr>
          <w:spacing w:val="-3"/>
          <w:sz w:val="22"/>
        </w:rPr>
        <w:t> </w:t>
      </w:r>
      <w:r>
        <w:rPr>
          <w:sz w:val="22"/>
        </w:rPr>
        <w:t>la</w:t>
      </w:r>
      <w:r>
        <w:rPr>
          <w:spacing w:val="-2"/>
          <w:sz w:val="22"/>
        </w:rPr>
        <w:t> </w:t>
      </w:r>
      <w:r>
        <w:rPr>
          <w:sz w:val="22"/>
        </w:rPr>
        <w:t>ligera</w:t>
      </w:r>
      <w:r>
        <w:rPr>
          <w:spacing w:val="-7"/>
          <w:sz w:val="22"/>
        </w:rPr>
        <w:t> </w:t>
      </w:r>
      <w:r>
        <w:rPr>
          <w:sz w:val="22"/>
        </w:rPr>
        <w:t>mejora</w:t>
      </w:r>
      <w:r>
        <w:rPr>
          <w:spacing w:val="-6"/>
          <w:sz w:val="22"/>
        </w:rPr>
        <w:t> </w:t>
      </w:r>
      <w:r>
        <w:rPr>
          <w:sz w:val="22"/>
        </w:rPr>
        <w:t>por</w:t>
      </w:r>
      <w:r>
        <w:rPr>
          <w:spacing w:val="-6"/>
          <w:sz w:val="22"/>
        </w:rPr>
        <w:t> </w:t>
      </w:r>
      <w:r>
        <w:rPr>
          <w:sz w:val="22"/>
        </w:rPr>
        <w:t>la</w:t>
      </w:r>
      <w:r>
        <w:rPr>
          <w:spacing w:val="-3"/>
          <w:sz w:val="22"/>
        </w:rPr>
        <w:t> </w:t>
      </w:r>
      <w:r>
        <w:rPr>
          <w:sz w:val="22"/>
        </w:rPr>
        <w:t>pandemia</w:t>
      </w:r>
      <w:r>
        <w:rPr>
          <w:spacing w:val="-6"/>
          <w:sz w:val="22"/>
        </w:rPr>
        <w:t> </w:t>
      </w:r>
      <w:r>
        <w:rPr>
          <w:sz w:val="22"/>
        </w:rPr>
        <w:t>en</w:t>
      </w:r>
      <w:r>
        <w:rPr>
          <w:spacing w:val="-6"/>
          <w:sz w:val="22"/>
        </w:rPr>
        <w:t> </w:t>
      </w:r>
      <w:r>
        <w:rPr>
          <w:spacing w:val="-2"/>
          <w:sz w:val="22"/>
        </w:rPr>
        <w:t>2020.</w:t>
      </w:r>
    </w:p>
    <w:p>
      <w:pPr>
        <w:pStyle w:val="ListParagraph"/>
        <w:numPr>
          <w:ilvl w:val="0"/>
          <w:numId w:val="14"/>
        </w:numPr>
        <w:tabs>
          <w:tab w:pos="1335" w:val="left" w:leader="none"/>
        </w:tabs>
        <w:spacing w:line="240" w:lineRule="auto" w:before="2" w:after="0"/>
        <w:ind w:left="1335" w:right="1351" w:hanging="356"/>
        <w:jc w:val="left"/>
        <w:rPr>
          <w:sz w:val="22"/>
        </w:rPr>
      </w:pPr>
      <w:r>
        <w:rPr>
          <w:sz w:val="22"/>
        </w:rPr>
        <w:t>Una</w:t>
      </w:r>
      <w:r>
        <w:rPr>
          <w:spacing w:val="-12"/>
          <w:sz w:val="22"/>
        </w:rPr>
        <w:t> </w:t>
      </w:r>
      <w:r>
        <w:rPr>
          <w:sz w:val="22"/>
        </w:rPr>
        <w:t>recuperación</w:t>
      </w:r>
      <w:r>
        <w:rPr>
          <w:spacing w:val="-15"/>
          <w:sz w:val="22"/>
        </w:rPr>
        <w:t> </w:t>
      </w:r>
      <w:r>
        <w:rPr>
          <w:sz w:val="22"/>
        </w:rPr>
        <w:t>moderada</w:t>
      </w:r>
      <w:r>
        <w:rPr>
          <w:spacing w:val="-15"/>
          <w:sz w:val="22"/>
        </w:rPr>
        <w:t> </w:t>
      </w:r>
      <w:r>
        <w:rPr>
          <w:sz w:val="22"/>
        </w:rPr>
        <w:t>desde</w:t>
      </w:r>
      <w:r>
        <w:rPr>
          <w:spacing w:val="-15"/>
          <w:sz w:val="22"/>
        </w:rPr>
        <w:t> </w:t>
      </w:r>
      <w:r>
        <w:rPr>
          <w:sz w:val="22"/>
        </w:rPr>
        <w:t>2021,</w:t>
      </w:r>
      <w:r>
        <w:rPr>
          <w:spacing w:val="-12"/>
          <w:sz w:val="22"/>
        </w:rPr>
        <w:t> </w:t>
      </w:r>
      <w:r>
        <w:rPr>
          <w:sz w:val="22"/>
        </w:rPr>
        <w:t>culminando</w:t>
      </w:r>
      <w:r>
        <w:rPr>
          <w:spacing w:val="-11"/>
          <w:sz w:val="22"/>
        </w:rPr>
        <w:t> </w:t>
      </w:r>
      <w:r>
        <w:rPr>
          <w:sz w:val="22"/>
        </w:rPr>
        <w:t>en</w:t>
      </w:r>
      <w:r>
        <w:rPr>
          <w:spacing w:val="-11"/>
          <w:sz w:val="22"/>
        </w:rPr>
        <w:t> </w:t>
      </w:r>
      <w:r>
        <w:rPr>
          <w:sz w:val="22"/>
        </w:rPr>
        <w:t>2024</w:t>
      </w:r>
      <w:r>
        <w:rPr>
          <w:spacing w:val="-11"/>
          <w:sz w:val="22"/>
        </w:rPr>
        <w:t> </w:t>
      </w:r>
      <w:r>
        <w:rPr>
          <w:sz w:val="22"/>
        </w:rPr>
        <w:t>con</w:t>
      </w:r>
      <w:r>
        <w:rPr>
          <w:spacing w:val="-15"/>
          <w:sz w:val="22"/>
        </w:rPr>
        <w:t> </w:t>
      </w:r>
      <w:r>
        <w:rPr>
          <w:sz w:val="22"/>
        </w:rPr>
        <w:t>el</w:t>
      </w:r>
      <w:r>
        <w:rPr>
          <w:spacing w:val="-13"/>
          <w:sz w:val="22"/>
        </w:rPr>
        <w:t> </w:t>
      </w:r>
      <w:r>
        <w:rPr>
          <w:sz w:val="22"/>
        </w:rPr>
        <w:t>valor</w:t>
      </w:r>
      <w:r>
        <w:rPr>
          <w:spacing w:val="-13"/>
          <w:sz w:val="22"/>
        </w:rPr>
        <w:t> </w:t>
      </w:r>
      <w:r>
        <w:rPr>
          <w:sz w:val="22"/>
        </w:rPr>
        <w:t>más</w:t>
      </w:r>
      <w:r>
        <w:rPr>
          <w:spacing w:val="-16"/>
          <w:sz w:val="22"/>
        </w:rPr>
        <w:t> </w:t>
      </w:r>
      <w:r>
        <w:rPr>
          <w:sz w:val="22"/>
        </w:rPr>
        <w:t>bajo</w:t>
      </w:r>
      <w:r>
        <w:rPr>
          <w:spacing w:val="-10"/>
          <w:sz w:val="22"/>
        </w:rPr>
        <w:t> </w:t>
      </w:r>
      <w:r>
        <w:rPr>
          <w:sz w:val="22"/>
        </w:rPr>
        <w:t>del período: 0,492.</w:t>
      </w:r>
    </w:p>
    <w:p>
      <w:pPr>
        <w:pStyle w:val="ListParagraph"/>
        <w:numPr>
          <w:ilvl w:val="0"/>
          <w:numId w:val="14"/>
        </w:numPr>
        <w:tabs>
          <w:tab w:pos="1335" w:val="left" w:leader="none"/>
        </w:tabs>
        <w:spacing w:line="251" w:lineRule="exact" w:before="0" w:after="0"/>
        <w:ind w:left="1335" w:right="0" w:hanging="356"/>
        <w:jc w:val="left"/>
        <w:rPr>
          <w:sz w:val="22"/>
        </w:rPr>
      </w:pPr>
      <w:r>
        <w:rPr>
          <w:sz w:val="22"/>
        </w:rPr>
        <w:t>Disparidades</w:t>
      </w:r>
      <w:r>
        <w:rPr>
          <w:spacing w:val="-7"/>
          <w:sz w:val="22"/>
        </w:rPr>
        <w:t> </w:t>
      </w:r>
      <w:r>
        <w:rPr>
          <w:sz w:val="22"/>
        </w:rPr>
        <w:t>territoriales</w:t>
      </w:r>
      <w:r>
        <w:rPr>
          <w:spacing w:val="-6"/>
          <w:sz w:val="22"/>
        </w:rPr>
        <w:t> </w:t>
      </w:r>
      <w:r>
        <w:rPr>
          <w:sz w:val="22"/>
        </w:rPr>
        <w:t>importantes</w:t>
      </w:r>
      <w:r>
        <w:rPr>
          <w:spacing w:val="-11"/>
          <w:sz w:val="22"/>
        </w:rPr>
        <w:t> </w:t>
      </w:r>
      <w:r>
        <w:rPr>
          <w:sz w:val="22"/>
        </w:rPr>
        <w:t>entre</w:t>
      </w:r>
      <w:r>
        <w:rPr>
          <w:spacing w:val="-6"/>
          <w:sz w:val="22"/>
        </w:rPr>
        <w:t> </w:t>
      </w:r>
      <w:r>
        <w:rPr>
          <w:sz w:val="22"/>
        </w:rPr>
        <w:t>zonas</w:t>
      </w:r>
      <w:r>
        <w:rPr>
          <w:spacing w:val="-11"/>
          <w:sz w:val="22"/>
        </w:rPr>
        <w:t> </w:t>
      </w:r>
      <w:r>
        <w:rPr>
          <w:sz w:val="22"/>
        </w:rPr>
        <w:t>urbanas</w:t>
      </w:r>
      <w:r>
        <w:rPr>
          <w:spacing w:val="-6"/>
          <w:sz w:val="22"/>
        </w:rPr>
        <w:t> </w:t>
      </w:r>
      <w:r>
        <w:rPr>
          <w:sz w:val="22"/>
        </w:rPr>
        <w:t>y</w:t>
      </w:r>
      <w:r>
        <w:rPr>
          <w:spacing w:val="-6"/>
          <w:sz w:val="22"/>
        </w:rPr>
        <w:t> </w:t>
      </w:r>
      <w:r>
        <w:rPr>
          <w:spacing w:val="-2"/>
          <w:sz w:val="22"/>
        </w:rPr>
        <w:t>rurales.</w:t>
      </w:r>
    </w:p>
    <w:p>
      <w:pPr>
        <w:pStyle w:val="ListParagraph"/>
        <w:numPr>
          <w:ilvl w:val="0"/>
          <w:numId w:val="14"/>
        </w:numPr>
        <w:tabs>
          <w:tab w:pos="1335" w:val="left" w:leader="none"/>
        </w:tabs>
        <w:spacing w:line="240" w:lineRule="auto" w:before="2" w:after="0"/>
        <w:ind w:left="1335" w:right="1355" w:hanging="356"/>
        <w:jc w:val="left"/>
        <w:rPr>
          <w:sz w:val="22"/>
        </w:rPr>
      </w:pPr>
      <w:r>
        <w:rPr>
          <w:sz w:val="22"/>
        </w:rPr>
        <w:t>La</w:t>
      </w:r>
      <w:r>
        <w:rPr>
          <w:spacing w:val="40"/>
          <w:sz w:val="22"/>
        </w:rPr>
        <w:t> </w:t>
      </w:r>
      <w:r>
        <w:rPr>
          <w:sz w:val="22"/>
        </w:rPr>
        <w:t>necesidad</w:t>
      </w:r>
      <w:r>
        <w:rPr>
          <w:spacing w:val="40"/>
          <w:sz w:val="22"/>
        </w:rPr>
        <w:t> </w:t>
      </w:r>
      <w:r>
        <w:rPr>
          <w:sz w:val="22"/>
        </w:rPr>
        <w:t>de</w:t>
      </w:r>
      <w:r>
        <w:rPr>
          <w:spacing w:val="40"/>
          <w:sz w:val="22"/>
        </w:rPr>
        <w:t> </w:t>
      </w:r>
      <w:r>
        <w:rPr>
          <w:sz w:val="22"/>
        </w:rPr>
        <w:t>políticas</w:t>
      </w:r>
      <w:r>
        <w:rPr>
          <w:spacing w:val="40"/>
          <w:sz w:val="22"/>
        </w:rPr>
        <w:t> </w:t>
      </w:r>
      <w:r>
        <w:rPr>
          <w:sz w:val="22"/>
        </w:rPr>
        <w:t>públicas</w:t>
      </w:r>
      <w:r>
        <w:rPr>
          <w:spacing w:val="40"/>
          <w:sz w:val="22"/>
        </w:rPr>
        <w:t> </w:t>
      </w:r>
      <w:r>
        <w:rPr>
          <w:sz w:val="22"/>
        </w:rPr>
        <w:t>más</w:t>
      </w:r>
      <w:r>
        <w:rPr>
          <w:spacing w:val="40"/>
          <w:sz w:val="22"/>
        </w:rPr>
        <w:t> </w:t>
      </w:r>
      <w:r>
        <w:rPr>
          <w:sz w:val="22"/>
        </w:rPr>
        <w:t>integrales</w:t>
      </w:r>
      <w:r>
        <w:rPr>
          <w:spacing w:val="40"/>
          <w:sz w:val="22"/>
        </w:rPr>
        <w:t> </w:t>
      </w:r>
      <w:r>
        <w:rPr>
          <w:sz w:val="22"/>
        </w:rPr>
        <w:t>y</w:t>
      </w:r>
      <w:r>
        <w:rPr>
          <w:spacing w:val="40"/>
          <w:sz w:val="22"/>
        </w:rPr>
        <w:t> </w:t>
      </w:r>
      <w:r>
        <w:rPr>
          <w:sz w:val="22"/>
        </w:rPr>
        <w:t>sostenibles</w:t>
      </w:r>
      <w:r>
        <w:rPr>
          <w:spacing w:val="40"/>
          <w:sz w:val="22"/>
        </w:rPr>
        <w:t> </w:t>
      </w:r>
      <w:r>
        <w:rPr>
          <w:sz w:val="22"/>
        </w:rPr>
        <w:t>para</w:t>
      </w:r>
      <w:r>
        <w:rPr>
          <w:spacing w:val="40"/>
          <w:sz w:val="22"/>
        </w:rPr>
        <w:t> </w:t>
      </w:r>
      <w:r>
        <w:rPr>
          <w:sz w:val="22"/>
        </w:rPr>
        <w:t>lograr</w:t>
      </w:r>
      <w:r>
        <w:rPr>
          <w:spacing w:val="40"/>
          <w:sz w:val="22"/>
        </w:rPr>
        <w:t> </w:t>
      </w:r>
      <w:r>
        <w:rPr>
          <w:sz w:val="22"/>
        </w:rPr>
        <w:t>una</w:t>
      </w:r>
      <w:r>
        <w:rPr>
          <w:spacing w:val="80"/>
          <w:sz w:val="22"/>
        </w:rPr>
        <w:t> </w:t>
      </w:r>
      <w:r>
        <w:rPr>
          <w:sz w:val="22"/>
        </w:rPr>
        <w:t>redistribución efectiva del ingreso.</w:t>
      </w:r>
    </w:p>
    <w:p>
      <w:pPr>
        <w:pStyle w:val="ListParagraph"/>
        <w:spacing w:after="0" w:line="240" w:lineRule="auto"/>
        <w:jc w:val="left"/>
        <w:rPr>
          <w:sz w:val="22"/>
        </w:rPr>
        <w:sectPr>
          <w:pgSz w:w="12240" w:h="15840"/>
          <w:pgMar w:header="0" w:footer="1021" w:top="1600" w:bottom="1220" w:left="720" w:right="360"/>
        </w:sectPr>
      </w:pPr>
    </w:p>
    <w:p>
      <w:pPr>
        <w:pStyle w:val="Heading2"/>
        <w:spacing w:before="76"/>
        <w:ind w:left="864"/>
      </w:pPr>
      <w:bookmarkStart w:name="_bookmark26" w:id="27"/>
      <w:bookmarkEnd w:id="27"/>
      <w:r>
        <w:rPr>
          <w:b w:val="0"/>
        </w:rPr>
      </w:r>
      <w:r>
        <w:rPr/>
        <w:t>Gráfico</w:t>
      </w:r>
      <w:r>
        <w:rPr>
          <w:spacing w:val="-5"/>
        </w:rPr>
        <w:t> </w:t>
      </w:r>
      <w:r>
        <w:rPr/>
        <w:t>7:</w:t>
      </w:r>
      <w:r>
        <w:rPr>
          <w:spacing w:val="-6"/>
        </w:rPr>
        <w:t> </w:t>
      </w:r>
      <w:r>
        <w:rPr/>
        <w:t>Costa</w:t>
      </w:r>
      <w:r>
        <w:rPr>
          <w:spacing w:val="-1"/>
        </w:rPr>
        <w:t> </w:t>
      </w:r>
      <w:r>
        <w:rPr/>
        <w:t>Rica:</w:t>
      </w:r>
      <w:r>
        <w:rPr>
          <w:spacing w:val="-6"/>
        </w:rPr>
        <w:t> </w:t>
      </w:r>
      <w:r>
        <w:rPr/>
        <w:t>Desigualdad</w:t>
      </w:r>
      <w:r>
        <w:rPr>
          <w:spacing w:val="-5"/>
        </w:rPr>
        <w:t> </w:t>
      </w:r>
      <w:r>
        <w:rPr/>
        <w:t>por</w:t>
      </w:r>
      <w:r>
        <w:rPr>
          <w:spacing w:val="-9"/>
        </w:rPr>
        <w:t> </w:t>
      </w:r>
      <w:r>
        <w:rPr/>
        <w:t>ingresos</w:t>
      </w:r>
      <w:r>
        <w:rPr>
          <w:spacing w:val="-3"/>
        </w:rPr>
        <w:t> </w:t>
      </w:r>
      <w:r>
        <w:rPr/>
        <w:t>según</w:t>
      </w:r>
      <w:r>
        <w:rPr>
          <w:spacing w:val="-9"/>
        </w:rPr>
        <w:t> </w:t>
      </w:r>
      <w:r>
        <w:rPr/>
        <w:t>el</w:t>
      </w:r>
      <w:r>
        <w:rPr>
          <w:spacing w:val="-8"/>
        </w:rPr>
        <w:t> </w:t>
      </w:r>
      <w:r>
        <w:rPr/>
        <w:t>coeficiente</w:t>
      </w:r>
      <w:r>
        <w:rPr>
          <w:spacing w:val="-3"/>
        </w:rPr>
        <w:t> </w:t>
      </w:r>
      <w:r>
        <w:rPr/>
        <w:t>de</w:t>
      </w:r>
      <w:r>
        <w:rPr>
          <w:spacing w:val="-4"/>
        </w:rPr>
        <w:t> </w:t>
      </w:r>
      <w:r>
        <w:rPr/>
        <w:t>Gini,</w:t>
      </w:r>
      <w:r>
        <w:rPr>
          <w:spacing w:val="-7"/>
        </w:rPr>
        <w:t> </w:t>
      </w:r>
      <w:r>
        <w:rPr/>
        <w:t>2010-</w:t>
      </w:r>
      <w:r>
        <w:rPr>
          <w:spacing w:val="-4"/>
        </w:rPr>
        <w:t>2024</w:t>
      </w:r>
    </w:p>
    <w:p>
      <w:pPr>
        <w:pStyle w:val="BodyText"/>
        <w:spacing w:before="10"/>
        <w:rPr>
          <w:b/>
          <w:sz w:val="4"/>
        </w:rPr>
      </w:pPr>
      <w:r>
        <w:rPr>
          <w:b/>
          <w:sz w:val="4"/>
        </w:rPr>
        <w:drawing>
          <wp:anchor distT="0" distB="0" distL="0" distR="0" allowOverlap="1" layoutInCell="1" locked="0" behindDoc="1" simplePos="0" relativeHeight="487592448">
            <wp:simplePos x="0" y="0"/>
            <wp:positionH relativeFrom="page">
              <wp:posOffset>1513260</wp:posOffset>
            </wp:positionH>
            <wp:positionV relativeFrom="paragraph">
              <wp:posOffset>51136</wp:posOffset>
            </wp:positionV>
            <wp:extent cx="5128701" cy="2924365"/>
            <wp:effectExtent l="0" t="0" r="0" b="0"/>
            <wp:wrapTopAndBottom/>
            <wp:docPr id="65" name="Image 65" descr="Gráfico, Histograma  El contenido generado por IA puede ser incorrecto."/>
            <wp:cNvGraphicFramePr>
              <a:graphicFrameLocks/>
            </wp:cNvGraphicFramePr>
            <a:graphic>
              <a:graphicData uri="http://schemas.openxmlformats.org/drawingml/2006/picture">
                <pic:pic>
                  <pic:nvPicPr>
                    <pic:cNvPr id="65" name="Image 65" descr="Gráfico, Histograma  El contenido generado por IA puede ser incorrecto."/>
                    <pic:cNvPicPr/>
                  </pic:nvPicPr>
                  <pic:blipFill>
                    <a:blip r:embed="rId44" cstate="print"/>
                    <a:stretch>
                      <a:fillRect/>
                    </a:stretch>
                  </pic:blipFill>
                  <pic:spPr>
                    <a:xfrm>
                      <a:off x="0" y="0"/>
                      <a:ext cx="5128701" cy="2924365"/>
                    </a:xfrm>
                    <a:prstGeom prst="rect">
                      <a:avLst/>
                    </a:prstGeom>
                  </pic:spPr>
                </pic:pic>
              </a:graphicData>
            </a:graphic>
          </wp:anchor>
        </w:drawing>
      </w:r>
    </w:p>
    <w:p>
      <w:pPr>
        <w:spacing w:before="25"/>
        <w:ind w:left="1685" w:right="0" w:firstLine="0"/>
        <w:jc w:val="left"/>
        <w:rPr>
          <w:sz w:val="18"/>
        </w:rPr>
      </w:pPr>
      <w:r>
        <w:rPr>
          <w:sz w:val="18"/>
        </w:rPr>
        <w:t>Fuente: Elaboración</w:t>
      </w:r>
      <w:r>
        <w:rPr>
          <w:spacing w:val="-5"/>
          <w:sz w:val="18"/>
        </w:rPr>
        <w:t> </w:t>
      </w:r>
      <w:r>
        <w:rPr>
          <w:sz w:val="18"/>
        </w:rPr>
        <w:t>propia</w:t>
      </w:r>
      <w:r>
        <w:rPr>
          <w:spacing w:val="-6"/>
          <w:sz w:val="18"/>
        </w:rPr>
        <w:t> </w:t>
      </w:r>
      <w:r>
        <w:rPr>
          <w:sz w:val="18"/>
        </w:rPr>
        <w:t>con</w:t>
      </w:r>
      <w:r>
        <w:rPr>
          <w:spacing w:val="-6"/>
          <w:sz w:val="18"/>
        </w:rPr>
        <w:t> </w:t>
      </w:r>
      <w:r>
        <w:rPr>
          <w:sz w:val="18"/>
        </w:rPr>
        <w:t>datos</w:t>
      </w:r>
      <w:r>
        <w:rPr>
          <w:spacing w:val="-6"/>
          <w:sz w:val="18"/>
        </w:rPr>
        <w:t> </w:t>
      </w:r>
      <w:r>
        <w:rPr>
          <w:sz w:val="18"/>
        </w:rPr>
        <w:t>de</w:t>
      </w:r>
      <w:r>
        <w:rPr>
          <w:spacing w:val="-6"/>
          <w:sz w:val="18"/>
        </w:rPr>
        <w:t> </w:t>
      </w:r>
      <w:r>
        <w:rPr>
          <w:sz w:val="18"/>
        </w:rPr>
        <w:t>INEC</w:t>
      </w:r>
      <w:r>
        <w:rPr>
          <w:spacing w:val="-7"/>
          <w:sz w:val="18"/>
        </w:rPr>
        <w:t> </w:t>
      </w:r>
      <w:r>
        <w:rPr>
          <w:sz w:val="18"/>
        </w:rPr>
        <w:t>(2024).</w:t>
      </w:r>
      <w:r>
        <w:rPr>
          <w:spacing w:val="-4"/>
          <w:sz w:val="18"/>
        </w:rPr>
        <w:t> </w:t>
      </w:r>
      <w:r>
        <w:rPr>
          <w:sz w:val="18"/>
        </w:rPr>
        <w:t>ENAHO</w:t>
      </w:r>
      <w:r>
        <w:rPr>
          <w:spacing w:val="-4"/>
          <w:sz w:val="18"/>
        </w:rPr>
        <w:t> </w:t>
      </w:r>
      <w:r>
        <w:rPr>
          <w:spacing w:val="-2"/>
          <w:sz w:val="18"/>
        </w:rPr>
        <w:t>2024.</w:t>
      </w:r>
    </w:p>
    <w:p>
      <w:pPr>
        <w:pStyle w:val="BodyText"/>
        <w:rPr>
          <w:sz w:val="18"/>
        </w:rPr>
      </w:pPr>
    </w:p>
    <w:p>
      <w:pPr>
        <w:pStyle w:val="BodyText"/>
        <w:ind w:left="979" w:right="1336"/>
        <w:jc w:val="both"/>
      </w:pPr>
      <w:r>
        <w:rPr/>
        <w:t>Al</w:t>
      </w:r>
      <w:r>
        <w:rPr>
          <w:spacing w:val="-16"/>
        </w:rPr>
        <w:t> </w:t>
      </w:r>
      <w:r>
        <w:rPr/>
        <w:t>pasar</w:t>
      </w:r>
      <w:r>
        <w:rPr>
          <w:spacing w:val="-15"/>
        </w:rPr>
        <w:t> </w:t>
      </w:r>
      <w:r>
        <w:rPr/>
        <w:t>de</w:t>
      </w:r>
      <w:r>
        <w:rPr>
          <w:spacing w:val="-15"/>
        </w:rPr>
        <w:t> </w:t>
      </w:r>
      <w:r>
        <w:rPr/>
        <w:t>mediciones</w:t>
      </w:r>
      <w:r>
        <w:rPr>
          <w:spacing w:val="-16"/>
        </w:rPr>
        <w:t> </w:t>
      </w:r>
      <w:r>
        <w:rPr/>
        <w:t>centradas</w:t>
      </w:r>
      <w:r>
        <w:rPr>
          <w:spacing w:val="-15"/>
        </w:rPr>
        <w:t> </w:t>
      </w:r>
      <w:r>
        <w:rPr/>
        <w:t>únicamente</w:t>
      </w:r>
      <w:r>
        <w:rPr>
          <w:spacing w:val="-15"/>
        </w:rPr>
        <w:t> </w:t>
      </w:r>
      <w:r>
        <w:rPr/>
        <w:t>en</w:t>
      </w:r>
      <w:r>
        <w:rPr>
          <w:spacing w:val="-15"/>
        </w:rPr>
        <w:t> </w:t>
      </w:r>
      <w:r>
        <w:rPr/>
        <w:t>el</w:t>
      </w:r>
      <w:r>
        <w:rPr>
          <w:spacing w:val="-16"/>
        </w:rPr>
        <w:t> </w:t>
      </w:r>
      <w:r>
        <w:rPr/>
        <w:t>ingreso</w:t>
      </w:r>
      <w:r>
        <w:rPr>
          <w:spacing w:val="-15"/>
        </w:rPr>
        <w:t> </w:t>
      </w:r>
      <w:r>
        <w:rPr/>
        <w:t>a</w:t>
      </w:r>
      <w:r>
        <w:rPr>
          <w:spacing w:val="-15"/>
        </w:rPr>
        <w:t> </w:t>
      </w:r>
      <w:r>
        <w:rPr/>
        <w:t>una</w:t>
      </w:r>
      <w:r>
        <w:rPr>
          <w:spacing w:val="-16"/>
        </w:rPr>
        <w:t> </w:t>
      </w:r>
      <w:r>
        <w:rPr/>
        <w:t>comprensión</w:t>
      </w:r>
      <w:r>
        <w:rPr>
          <w:spacing w:val="-15"/>
        </w:rPr>
        <w:t> </w:t>
      </w:r>
      <w:r>
        <w:rPr/>
        <w:t>más</w:t>
      </w:r>
      <w:r>
        <w:rPr>
          <w:spacing w:val="-15"/>
        </w:rPr>
        <w:t> </w:t>
      </w:r>
      <w:r>
        <w:rPr/>
        <w:t>integral de la pobreza como un fenómeno multidimensional y multicausal, el Índice de Pobreza Multidimensional (IPM) ofrece una visión más completa sobre las condiciones de vida de los hogares. A diferencia de la pobreza por ingreso —que ha mostrado variaciones más pronunciadas</w:t>
      </w:r>
      <w:r>
        <w:rPr>
          <w:spacing w:val="-6"/>
        </w:rPr>
        <w:t> </w:t>
      </w:r>
      <w:r>
        <w:rPr/>
        <w:t>ante</w:t>
      </w:r>
      <w:r>
        <w:rPr>
          <w:spacing w:val="-4"/>
        </w:rPr>
        <w:t> </w:t>
      </w:r>
      <w:r>
        <w:rPr/>
        <w:t>ciclos</w:t>
      </w:r>
      <w:r>
        <w:rPr>
          <w:spacing w:val="-11"/>
        </w:rPr>
        <w:t> </w:t>
      </w:r>
      <w:r>
        <w:rPr/>
        <w:t>económicos</w:t>
      </w:r>
      <w:r>
        <w:rPr>
          <w:spacing w:val="-6"/>
        </w:rPr>
        <w:t> </w:t>
      </w:r>
      <w:r>
        <w:rPr/>
        <w:t>y</w:t>
      </w:r>
      <w:r>
        <w:rPr>
          <w:spacing w:val="-6"/>
        </w:rPr>
        <w:t> </w:t>
      </w:r>
      <w:r>
        <w:rPr/>
        <w:t>choques</w:t>
      </w:r>
      <w:r>
        <w:rPr>
          <w:spacing w:val="-6"/>
        </w:rPr>
        <w:t> </w:t>
      </w:r>
      <w:r>
        <w:rPr/>
        <w:t>externos—,</w:t>
      </w:r>
      <w:r>
        <w:rPr>
          <w:spacing w:val="-10"/>
        </w:rPr>
        <w:t> </w:t>
      </w:r>
      <w:r>
        <w:rPr/>
        <w:t>el</w:t>
      </w:r>
      <w:r>
        <w:rPr>
          <w:spacing w:val="-7"/>
        </w:rPr>
        <w:t> </w:t>
      </w:r>
      <w:r>
        <w:rPr/>
        <w:t>IPM</w:t>
      </w:r>
      <w:r>
        <w:rPr>
          <w:spacing w:val="-12"/>
        </w:rPr>
        <w:t> </w:t>
      </w:r>
      <w:r>
        <w:rPr/>
        <w:t>presenta</w:t>
      </w:r>
      <w:r>
        <w:rPr>
          <w:spacing w:val="-4"/>
        </w:rPr>
        <w:t> </w:t>
      </w:r>
      <w:r>
        <w:rPr/>
        <w:t>una</w:t>
      </w:r>
      <w:r>
        <w:rPr>
          <w:spacing w:val="-9"/>
        </w:rPr>
        <w:t> </w:t>
      </w:r>
      <w:r>
        <w:rPr/>
        <w:t>dinámica más</w:t>
      </w:r>
      <w:r>
        <w:rPr>
          <w:spacing w:val="-16"/>
        </w:rPr>
        <w:t> </w:t>
      </w:r>
      <w:r>
        <w:rPr/>
        <w:t>estable</w:t>
      </w:r>
      <w:r>
        <w:rPr>
          <w:spacing w:val="-15"/>
        </w:rPr>
        <w:t> </w:t>
      </w:r>
      <w:r>
        <w:rPr/>
        <w:t>a</w:t>
      </w:r>
      <w:r>
        <w:rPr>
          <w:spacing w:val="-15"/>
        </w:rPr>
        <w:t> </w:t>
      </w:r>
      <w:r>
        <w:rPr/>
        <w:t>lo</w:t>
      </w:r>
      <w:r>
        <w:rPr>
          <w:spacing w:val="-16"/>
        </w:rPr>
        <w:t> </w:t>
      </w:r>
      <w:r>
        <w:rPr/>
        <w:t>largo</w:t>
      </w:r>
      <w:r>
        <w:rPr>
          <w:spacing w:val="-15"/>
        </w:rPr>
        <w:t> </w:t>
      </w:r>
      <w:r>
        <w:rPr/>
        <w:t>del</w:t>
      </w:r>
      <w:r>
        <w:rPr>
          <w:spacing w:val="-15"/>
        </w:rPr>
        <w:t> </w:t>
      </w:r>
      <w:r>
        <w:rPr/>
        <w:t>tiempo.</w:t>
      </w:r>
      <w:r>
        <w:rPr>
          <w:spacing w:val="-15"/>
        </w:rPr>
        <w:t> </w:t>
      </w:r>
      <w:r>
        <w:rPr/>
        <w:t>En</w:t>
      </w:r>
      <w:r>
        <w:rPr>
          <w:spacing w:val="-16"/>
        </w:rPr>
        <w:t> </w:t>
      </w:r>
      <w:r>
        <w:rPr/>
        <w:t>2021,</w:t>
      </w:r>
      <w:r>
        <w:rPr>
          <w:spacing w:val="-15"/>
        </w:rPr>
        <w:t> </w:t>
      </w:r>
      <w:r>
        <w:rPr/>
        <w:t>por</w:t>
      </w:r>
      <w:r>
        <w:rPr>
          <w:spacing w:val="-15"/>
        </w:rPr>
        <w:t> </w:t>
      </w:r>
      <w:r>
        <w:rPr/>
        <w:t>ejemplo,</w:t>
      </w:r>
      <w:r>
        <w:rPr>
          <w:spacing w:val="-16"/>
        </w:rPr>
        <w:t> </w:t>
      </w:r>
      <w:r>
        <w:rPr/>
        <w:t>se</w:t>
      </w:r>
      <w:r>
        <w:rPr>
          <w:spacing w:val="-15"/>
        </w:rPr>
        <w:t> </w:t>
      </w:r>
      <w:r>
        <w:rPr/>
        <w:t>situó</w:t>
      </w:r>
      <w:r>
        <w:rPr>
          <w:spacing w:val="-15"/>
        </w:rPr>
        <w:t> </w:t>
      </w:r>
      <w:r>
        <w:rPr/>
        <w:t>en</w:t>
      </w:r>
      <w:r>
        <w:rPr>
          <w:spacing w:val="-15"/>
        </w:rPr>
        <w:t> </w:t>
      </w:r>
      <w:r>
        <w:rPr/>
        <w:t>un</w:t>
      </w:r>
      <w:r>
        <w:rPr>
          <w:spacing w:val="-14"/>
        </w:rPr>
        <w:t> </w:t>
      </w:r>
      <w:r>
        <w:rPr/>
        <w:t>16,4%</w:t>
      </w:r>
      <w:r>
        <w:rPr>
          <w:spacing w:val="-14"/>
        </w:rPr>
        <w:t> </w:t>
      </w:r>
      <w:r>
        <w:rPr/>
        <w:t>(véase</w:t>
      </w:r>
      <w:r>
        <w:rPr>
          <w:spacing w:val="-16"/>
        </w:rPr>
        <w:t> </w:t>
      </w:r>
      <w:r>
        <w:rPr/>
        <w:t>gráfico 8),</w:t>
      </w:r>
      <w:r>
        <w:rPr>
          <w:spacing w:val="-16"/>
        </w:rPr>
        <w:t> </w:t>
      </w:r>
      <w:r>
        <w:rPr/>
        <w:t>reflejando</w:t>
      </w:r>
      <w:r>
        <w:rPr>
          <w:spacing w:val="-15"/>
        </w:rPr>
        <w:t> </w:t>
      </w:r>
      <w:r>
        <w:rPr/>
        <w:t>en</w:t>
      </w:r>
      <w:r>
        <w:rPr>
          <w:spacing w:val="-15"/>
        </w:rPr>
        <w:t> </w:t>
      </w:r>
      <w:r>
        <w:rPr/>
        <w:t>buena</w:t>
      </w:r>
      <w:r>
        <w:rPr>
          <w:spacing w:val="-16"/>
        </w:rPr>
        <w:t> </w:t>
      </w:r>
      <w:r>
        <w:rPr/>
        <w:t>medida</w:t>
      </w:r>
      <w:r>
        <w:rPr>
          <w:spacing w:val="-15"/>
        </w:rPr>
        <w:t> </w:t>
      </w:r>
      <w:r>
        <w:rPr/>
        <w:t>la</w:t>
      </w:r>
      <w:r>
        <w:rPr>
          <w:spacing w:val="-15"/>
        </w:rPr>
        <w:t> </w:t>
      </w:r>
      <w:r>
        <w:rPr/>
        <w:t>efectividad</w:t>
      </w:r>
      <w:r>
        <w:rPr>
          <w:spacing w:val="-15"/>
        </w:rPr>
        <w:t> </w:t>
      </w:r>
      <w:r>
        <w:rPr/>
        <w:t>de</w:t>
      </w:r>
      <w:r>
        <w:rPr>
          <w:spacing w:val="-16"/>
        </w:rPr>
        <w:t> </w:t>
      </w:r>
      <w:r>
        <w:rPr/>
        <w:t>las</w:t>
      </w:r>
      <w:r>
        <w:rPr>
          <w:spacing w:val="-15"/>
        </w:rPr>
        <w:t> </w:t>
      </w:r>
      <w:r>
        <w:rPr/>
        <w:t>medidas</w:t>
      </w:r>
      <w:r>
        <w:rPr>
          <w:spacing w:val="-15"/>
        </w:rPr>
        <w:t> </w:t>
      </w:r>
      <w:r>
        <w:rPr/>
        <w:t>de</w:t>
      </w:r>
      <w:r>
        <w:rPr>
          <w:spacing w:val="-16"/>
        </w:rPr>
        <w:t> </w:t>
      </w:r>
      <w:r>
        <w:rPr/>
        <w:t>protección</w:t>
      </w:r>
      <w:r>
        <w:rPr>
          <w:spacing w:val="-15"/>
        </w:rPr>
        <w:t> </w:t>
      </w:r>
      <w:r>
        <w:rPr/>
        <w:t>social</w:t>
      </w:r>
      <w:r>
        <w:rPr>
          <w:spacing w:val="-15"/>
        </w:rPr>
        <w:t> </w:t>
      </w:r>
      <w:r>
        <w:rPr/>
        <w:t>adoptadas durante</w:t>
      </w:r>
      <w:r>
        <w:rPr>
          <w:spacing w:val="-4"/>
        </w:rPr>
        <w:t> </w:t>
      </w:r>
      <w:r>
        <w:rPr/>
        <w:t>la</w:t>
      </w:r>
      <w:r>
        <w:rPr>
          <w:spacing w:val="-9"/>
        </w:rPr>
        <w:t> </w:t>
      </w:r>
      <w:r>
        <w:rPr/>
        <w:t>pandemia</w:t>
      </w:r>
      <w:r>
        <w:rPr>
          <w:spacing w:val="-9"/>
        </w:rPr>
        <w:t> </w:t>
      </w:r>
      <w:r>
        <w:rPr/>
        <w:t>de</w:t>
      </w:r>
      <w:r>
        <w:rPr>
          <w:spacing w:val="-4"/>
        </w:rPr>
        <w:t> </w:t>
      </w:r>
      <w:r>
        <w:rPr/>
        <w:t>COVID-19</w:t>
      </w:r>
      <w:r>
        <w:rPr>
          <w:spacing w:val="-9"/>
        </w:rPr>
        <w:t> </w:t>
      </w:r>
      <w:r>
        <w:rPr/>
        <w:t>para</w:t>
      </w:r>
      <w:r>
        <w:rPr>
          <w:spacing w:val="-4"/>
        </w:rPr>
        <w:t> </w:t>
      </w:r>
      <w:r>
        <w:rPr/>
        <w:t>contener</w:t>
      </w:r>
      <w:r>
        <w:rPr>
          <w:spacing w:val="-12"/>
        </w:rPr>
        <w:t> </w:t>
      </w:r>
      <w:r>
        <w:rPr/>
        <w:t>el</w:t>
      </w:r>
      <w:r>
        <w:rPr>
          <w:spacing w:val="-7"/>
        </w:rPr>
        <w:t> </w:t>
      </w:r>
      <w:r>
        <w:rPr/>
        <w:t>deterioro</w:t>
      </w:r>
      <w:r>
        <w:rPr>
          <w:spacing w:val="-9"/>
        </w:rPr>
        <w:t> </w:t>
      </w:r>
      <w:r>
        <w:rPr/>
        <w:t>en</w:t>
      </w:r>
      <w:r>
        <w:rPr>
          <w:spacing w:val="-9"/>
        </w:rPr>
        <w:t> </w:t>
      </w:r>
      <w:r>
        <w:rPr/>
        <w:t>las</w:t>
      </w:r>
      <w:r>
        <w:rPr>
          <w:spacing w:val="-11"/>
        </w:rPr>
        <w:t> </w:t>
      </w:r>
      <w:r>
        <w:rPr/>
        <w:t>condiciones</w:t>
      </w:r>
      <w:r>
        <w:rPr>
          <w:spacing w:val="-11"/>
        </w:rPr>
        <w:t> </w:t>
      </w:r>
      <w:r>
        <w:rPr/>
        <w:t>de</w:t>
      </w:r>
      <w:r>
        <w:rPr>
          <w:spacing w:val="-9"/>
        </w:rPr>
        <w:t> </w:t>
      </w:r>
      <w:r>
        <w:rPr/>
        <w:t>vida</w:t>
      </w:r>
      <w:r>
        <w:rPr>
          <w:spacing w:val="-9"/>
        </w:rPr>
        <w:t> </w:t>
      </w:r>
      <w:r>
        <w:rPr/>
        <w:t>de los hogares.</w:t>
      </w:r>
    </w:p>
    <w:p>
      <w:pPr>
        <w:pStyle w:val="BodyText"/>
      </w:pPr>
    </w:p>
    <w:p>
      <w:pPr>
        <w:pStyle w:val="BodyText"/>
        <w:spacing w:before="1"/>
        <w:ind w:left="979" w:right="1334"/>
        <w:jc w:val="both"/>
      </w:pPr>
      <w:r>
        <w:rPr/>
        <w:t>Durante</w:t>
      </w:r>
      <w:r>
        <w:rPr>
          <w:spacing w:val="-3"/>
        </w:rPr>
        <w:t> </w:t>
      </w:r>
      <w:r>
        <w:rPr/>
        <w:t>el</w:t>
      </w:r>
      <w:r>
        <w:rPr>
          <w:spacing w:val="-6"/>
        </w:rPr>
        <w:t> </w:t>
      </w:r>
      <w:r>
        <w:rPr/>
        <w:t>período</w:t>
      </w:r>
      <w:r>
        <w:rPr>
          <w:spacing w:val="-8"/>
        </w:rPr>
        <w:t> </w:t>
      </w:r>
      <w:r>
        <w:rPr/>
        <w:t>2010–2024,</w:t>
      </w:r>
      <w:r>
        <w:rPr>
          <w:spacing w:val="-4"/>
        </w:rPr>
        <w:t> </w:t>
      </w:r>
      <w:r>
        <w:rPr/>
        <w:t>la</w:t>
      </w:r>
      <w:r>
        <w:rPr>
          <w:spacing w:val="-3"/>
        </w:rPr>
        <w:t> </w:t>
      </w:r>
      <w:r>
        <w:rPr/>
        <w:t>incidencia</w:t>
      </w:r>
      <w:r>
        <w:rPr>
          <w:spacing w:val="-3"/>
        </w:rPr>
        <w:t> </w:t>
      </w:r>
      <w:r>
        <w:rPr/>
        <w:t>del</w:t>
      </w:r>
      <w:r>
        <w:rPr>
          <w:spacing w:val="-6"/>
        </w:rPr>
        <w:t> </w:t>
      </w:r>
      <w:r>
        <w:rPr/>
        <w:t>IPM</w:t>
      </w:r>
      <w:r>
        <w:rPr>
          <w:spacing w:val="-7"/>
        </w:rPr>
        <w:t> </w:t>
      </w:r>
      <w:r>
        <w:rPr/>
        <w:t>en</w:t>
      </w:r>
      <w:r>
        <w:rPr>
          <w:spacing w:val="-3"/>
        </w:rPr>
        <w:t> </w:t>
      </w:r>
      <w:r>
        <w:rPr/>
        <w:t>Costa</w:t>
      </w:r>
      <w:r>
        <w:rPr>
          <w:spacing w:val="-3"/>
        </w:rPr>
        <w:t> </w:t>
      </w:r>
      <w:r>
        <w:rPr/>
        <w:t>Rica</w:t>
      </w:r>
      <w:r>
        <w:rPr>
          <w:spacing w:val="-8"/>
        </w:rPr>
        <w:t> </w:t>
      </w:r>
      <w:r>
        <w:rPr/>
        <w:t>muestra</w:t>
      </w:r>
      <w:r>
        <w:rPr>
          <w:spacing w:val="-8"/>
        </w:rPr>
        <w:t> </w:t>
      </w:r>
      <w:r>
        <w:rPr/>
        <w:t>una</w:t>
      </w:r>
      <w:r>
        <w:rPr>
          <w:spacing w:val="-3"/>
        </w:rPr>
        <w:t> </w:t>
      </w:r>
      <w:r>
        <w:rPr/>
        <w:t>tendencia decreciente sostenida, evidenciando avances estructurales en la reducción de la pobreza multidimensional. Sin embargo, las disparidades territoriales persisten: las zonas rurales continúan</w:t>
      </w:r>
      <w:r>
        <w:rPr>
          <w:spacing w:val="-5"/>
        </w:rPr>
        <w:t> </w:t>
      </w:r>
      <w:r>
        <w:rPr/>
        <w:t>registrando</w:t>
      </w:r>
      <w:r>
        <w:rPr>
          <w:spacing w:val="-10"/>
        </w:rPr>
        <w:t> </w:t>
      </w:r>
      <w:r>
        <w:rPr/>
        <w:t>una</w:t>
      </w:r>
      <w:r>
        <w:rPr>
          <w:spacing w:val="-5"/>
        </w:rPr>
        <w:t> </w:t>
      </w:r>
      <w:r>
        <w:rPr/>
        <w:t>incidencia</w:t>
      </w:r>
      <w:r>
        <w:rPr>
          <w:spacing w:val="-5"/>
        </w:rPr>
        <w:t> </w:t>
      </w:r>
      <w:r>
        <w:rPr/>
        <w:t>considerablemente</w:t>
      </w:r>
      <w:r>
        <w:rPr>
          <w:spacing w:val="-10"/>
        </w:rPr>
        <w:t> </w:t>
      </w:r>
      <w:r>
        <w:rPr/>
        <w:t>más</w:t>
      </w:r>
      <w:r>
        <w:rPr>
          <w:spacing w:val="-12"/>
        </w:rPr>
        <w:t> </w:t>
      </w:r>
      <w:r>
        <w:rPr/>
        <w:t>alta</w:t>
      </w:r>
      <w:r>
        <w:rPr>
          <w:spacing w:val="-10"/>
        </w:rPr>
        <w:t> </w:t>
      </w:r>
      <w:r>
        <w:rPr/>
        <w:t>que</w:t>
      </w:r>
      <w:r>
        <w:rPr>
          <w:spacing w:val="-5"/>
        </w:rPr>
        <w:t> </w:t>
      </w:r>
      <w:r>
        <w:rPr/>
        <w:t>las</w:t>
      </w:r>
      <w:r>
        <w:rPr>
          <w:spacing w:val="-7"/>
        </w:rPr>
        <w:t> </w:t>
      </w:r>
      <w:r>
        <w:rPr/>
        <w:t>urbanas,</w:t>
      </w:r>
      <w:r>
        <w:rPr>
          <w:spacing w:val="-11"/>
        </w:rPr>
        <w:t> </w:t>
      </w:r>
      <w:r>
        <w:rPr/>
        <w:t>aunque la brecha entre ambas ha disminuido de forma importante, lo que sugiere progresos hacia una mayor equidad territorial.</w:t>
      </w:r>
    </w:p>
    <w:p>
      <w:pPr>
        <w:pStyle w:val="BodyText"/>
      </w:pPr>
    </w:p>
    <w:p>
      <w:pPr>
        <w:pStyle w:val="BodyText"/>
        <w:spacing w:before="1"/>
        <w:ind w:left="979" w:right="1332"/>
        <w:jc w:val="both"/>
      </w:pPr>
      <w:r>
        <w:rPr/>
        <w:t>En 2010, el IPM total se ubicaba en 25,87%, con una incidencia del 18,50% en zonas urbanas</w:t>
      </w:r>
      <w:r>
        <w:rPr>
          <w:spacing w:val="-10"/>
        </w:rPr>
        <w:t> </w:t>
      </w:r>
      <w:r>
        <w:rPr/>
        <w:t>y</w:t>
      </w:r>
      <w:r>
        <w:rPr>
          <w:spacing w:val="-15"/>
        </w:rPr>
        <w:t> </w:t>
      </w:r>
      <w:r>
        <w:rPr/>
        <w:t>un</w:t>
      </w:r>
      <w:r>
        <w:rPr>
          <w:spacing w:val="-13"/>
        </w:rPr>
        <w:t> </w:t>
      </w:r>
      <w:r>
        <w:rPr/>
        <w:t>alarmante</w:t>
      </w:r>
      <w:r>
        <w:rPr>
          <w:spacing w:val="-13"/>
        </w:rPr>
        <w:t> </w:t>
      </w:r>
      <w:r>
        <w:rPr/>
        <w:t>46,66%</w:t>
      </w:r>
      <w:r>
        <w:rPr>
          <w:spacing w:val="-9"/>
        </w:rPr>
        <w:t> </w:t>
      </w:r>
      <w:r>
        <w:rPr/>
        <w:t>en</w:t>
      </w:r>
      <w:r>
        <w:rPr>
          <w:spacing w:val="-8"/>
        </w:rPr>
        <w:t> </w:t>
      </w:r>
      <w:r>
        <w:rPr/>
        <w:t>zonas</w:t>
      </w:r>
      <w:r>
        <w:rPr>
          <w:spacing w:val="-10"/>
        </w:rPr>
        <w:t> </w:t>
      </w:r>
      <w:r>
        <w:rPr/>
        <w:t>rurales,</w:t>
      </w:r>
      <w:r>
        <w:rPr>
          <w:spacing w:val="-9"/>
        </w:rPr>
        <w:t> </w:t>
      </w:r>
      <w:r>
        <w:rPr/>
        <w:t>lo</w:t>
      </w:r>
      <w:r>
        <w:rPr>
          <w:spacing w:val="-8"/>
        </w:rPr>
        <w:t> </w:t>
      </w:r>
      <w:r>
        <w:rPr/>
        <w:t>que</w:t>
      </w:r>
      <w:r>
        <w:rPr>
          <w:spacing w:val="-8"/>
        </w:rPr>
        <w:t> </w:t>
      </w:r>
      <w:r>
        <w:rPr/>
        <w:t>generaba</w:t>
      </w:r>
      <w:r>
        <w:rPr>
          <w:spacing w:val="-8"/>
        </w:rPr>
        <w:t> </w:t>
      </w:r>
      <w:r>
        <w:rPr/>
        <w:t>una</w:t>
      </w:r>
      <w:r>
        <w:rPr>
          <w:spacing w:val="-13"/>
        </w:rPr>
        <w:t> </w:t>
      </w:r>
      <w:r>
        <w:rPr/>
        <w:t>brecha</w:t>
      </w:r>
      <w:r>
        <w:rPr>
          <w:spacing w:val="-13"/>
        </w:rPr>
        <w:t> </w:t>
      </w:r>
      <w:r>
        <w:rPr/>
        <w:t>urbano-rural de -28,17 puntos porcentuales. Esta diferencia indicaba que la pobreza multidimensional en áreas rurales era más del doble que en las urbanas, reflejando las profundas desigualdades estructurales entre territorios.</w:t>
      </w:r>
    </w:p>
    <w:p>
      <w:pPr>
        <w:pStyle w:val="BodyText"/>
        <w:ind w:left="979" w:right="1348"/>
        <w:jc w:val="both"/>
      </w:pPr>
      <w:r>
        <w:rPr/>
        <w:t>Durante</w:t>
      </w:r>
      <w:r>
        <w:rPr>
          <w:spacing w:val="-5"/>
        </w:rPr>
        <w:t> </w:t>
      </w:r>
      <w:r>
        <w:rPr/>
        <w:t>la</w:t>
      </w:r>
      <w:r>
        <w:rPr>
          <w:spacing w:val="-5"/>
        </w:rPr>
        <w:t> </w:t>
      </w:r>
      <w:r>
        <w:rPr/>
        <w:t>primera</w:t>
      </w:r>
      <w:r>
        <w:rPr>
          <w:spacing w:val="-9"/>
        </w:rPr>
        <w:t> </w:t>
      </w:r>
      <w:r>
        <w:rPr/>
        <w:t>mitad</w:t>
      </w:r>
      <w:r>
        <w:rPr>
          <w:spacing w:val="-5"/>
        </w:rPr>
        <w:t> </w:t>
      </w:r>
      <w:r>
        <w:rPr/>
        <w:t>de</w:t>
      </w:r>
      <w:r>
        <w:rPr>
          <w:spacing w:val="-1"/>
        </w:rPr>
        <w:t> </w:t>
      </w:r>
      <w:r>
        <w:rPr/>
        <w:t>la</w:t>
      </w:r>
      <w:r>
        <w:rPr>
          <w:spacing w:val="-5"/>
        </w:rPr>
        <w:t> </w:t>
      </w:r>
      <w:r>
        <w:rPr/>
        <w:t>década,</w:t>
      </w:r>
      <w:r>
        <w:rPr>
          <w:spacing w:val="-6"/>
        </w:rPr>
        <w:t> </w:t>
      </w:r>
      <w:r>
        <w:rPr/>
        <w:t>el</w:t>
      </w:r>
      <w:r>
        <w:rPr>
          <w:spacing w:val="-8"/>
        </w:rPr>
        <w:t> </w:t>
      </w:r>
      <w:r>
        <w:rPr/>
        <w:t>IPM</w:t>
      </w:r>
      <w:r>
        <w:rPr>
          <w:spacing w:val="-9"/>
        </w:rPr>
        <w:t> </w:t>
      </w:r>
      <w:r>
        <w:rPr/>
        <w:t>disminuyó</w:t>
      </w:r>
      <w:r>
        <w:rPr>
          <w:spacing w:val="-5"/>
        </w:rPr>
        <w:t> </w:t>
      </w:r>
      <w:r>
        <w:rPr/>
        <w:t>de</w:t>
      </w:r>
      <w:r>
        <w:rPr>
          <w:spacing w:val="-5"/>
        </w:rPr>
        <w:t> </w:t>
      </w:r>
      <w:r>
        <w:rPr/>
        <w:t>manera</w:t>
      </w:r>
      <w:r>
        <w:rPr>
          <w:spacing w:val="-5"/>
        </w:rPr>
        <w:t> </w:t>
      </w:r>
      <w:r>
        <w:rPr/>
        <w:t>constante.</w:t>
      </w:r>
      <w:r>
        <w:rPr>
          <w:spacing w:val="-6"/>
        </w:rPr>
        <w:t> </w:t>
      </w:r>
      <w:r>
        <w:rPr/>
        <w:t>Para</w:t>
      </w:r>
      <w:r>
        <w:rPr>
          <w:spacing w:val="-9"/>
        </w:rPr>
        <w:t> </w:t>
      </w:r>
      <w:r>
        <w:rPr/>
        <w:t>2013, el valor total bajó a 20,8%, con un 14,4% en áreas urbanas y 39% en rurales, manteniéndose</w:t>
      </w:r>
      <w:r>
        <w:rPr>
          <w:spacing w:val="-9"/>
        </w:rPr>
        <w:t> </w:t>
      </w:r>
      <w:r>
        <w:rPr/>
        <w:t>la</w:t>
      </w:r>
      <w:r>
        <w:rPr>
          <w:spacing w:val="-14"/>
        </w:rPr>
        <w:t> </w:t>
      </w:r>
      <w:r>
        <w:rPr/>
        <w:t>brecha</w:t>
      </w:r>
      <w:r>
        <w:rPr>
          <w:spacing w:val="-14"/>
        </w:rPr>
        <w:t> </w:t>
      </w:r>
      <w:r>
        <w:rPr/>
        <w:t>en</w:t>
      </w:r>
      <w:r>
        <w:rPr>
          <w:spacing w:val="-14"/>
        </w:rPr>
        <w:t> </w:t>
      </w:r>
      <w:r>
        <w:rPr/>
        <w:t>torno</w:t>
      </w:r>
      <w:r>
        <w:rPr>
          <w:spacing w:val="-9"/>
        </w:rPr>
        <w:t> </w:t>
      </w:r>
      <w:r>
        <w:rPr/>
        <w:t>a</w:t>
      </w:r>
      <w:r>
        <w:rPr>
          <w:spacing w:val="-14"/>
        </w:rPr>
        <w:t> </w:t>
      </w:r>
      <w:r>
        <w:rPr/>
        <w:t>los</w:t>
      </w:r>
      <w:r>
        <w:rPr>
          <w:spacing w:val="-16"/>
        </w:rPr>
        <w:t> </w:t>
      </w:r>
      <w:r>
        <w:rPr/>
        <w:t>24</w:t>
      </w:r>
      <w:r>
        <w:rPr>
          <w:spacing w:val="-13"/>
        </w:rPr>
        <w:t> </w:t>
      </w:r>
      <w:r>
        <w:rPr/>
        <w:t>puntos</w:t>
      </w:r>
      <w:r>
        <w:rPr>
          <w:spacing w:val="-16"/>
        </w:rPr>
        <w:t> </w:t>
      </w:r>
      <w:r>
        <w:rPr/>
        <w:t>porcentuales.</w:t>
      </w:r>
      <w:r>
        <w:rPr>
          <w:spacing w:val="-9"/>
        </w:rPr>
        <w:t> </w:t>
      </w:r>
      <w:r>
        <w:rPr/>
        <w:t>Aunque</w:t>
      </w:r>
      <w:r>
        <w:rPr>
          <w:spacing w:val="-14"/>
        </w:rPr>
        <w:t> </w:t>
      </w:r>
      <w:r>
        <w:rPr/>
        <w:t>esta</w:t>
      </w:r>
      <w:r>
        <w:rPr>
          <w:spacing w:val="-14"/>
        </w:rPr>
        <w:t> </w:t>
      </w:r>
      <w:r>
        <w:rPr/>
        <w:t>reducción</w:t>
      </w:r>
      <w:r>
        <w:rPr>
          <w:spacing w:val="-9"/>
        </w:rPr>
        <w:t> </w:t>
      </w:r>
      <w:r>
        <w:rPr/>
        <w:t>fue significativa, aún persistían marcadas diferencias.</w:t>
      </w:r>
    </w:p>
    <w:p>
      <w:pPr>
        <w:pStyle w:val="BodyText"/>
      </w:pPr>
    </w:p>
    <w:p>
      <w:pPr>
        <w:pStyle w:val="BodyText"/>
        <w:ind w:left="979" w:right="1335"/>
        <w:jc w:val="both"/>
      </w:pPr>
      <w:r>
        <w:rPr/>
        <w:t>Entre 2014 y 2019, el índice continuó su descenso, alcanzando 16,6% en 2019. En ese año, la incidencia urbana fue de 12,95%,</w:t>
      </w:r>
      <w:r>
        <w:rPr>
          <w:spacing w:val="-5"/>
        </w:rPr>
        <w:t> </w:t>
      </w:r>
      <w:r>
        <w:rPr/>
        <w:t>mientras que la rural cayó a 26,23%, reduciendo la brecha a 13,28 puntos porcentuales. Esto evidenció una convergencia progresiva entre</w:t>
      </w:r>
    </w:p>
    <w:p>
      <w:pPr>
        <w:pStyle w:val="BodyText"/>
        <w:spacing w:after="0"/>
        <w:jc w:val="both"/>
        <w:sectPr>
          <w:pgSz w:w="12240" w:h="15840"/>
          <w:pgMar w:header="0" w:footer="1021" w:top="1340" w:bottom="1220" w:left="720" w:right="360"/>
        </w:sectPr>
      </w:pPr>
    </w:p>
    <w:p>
      <w:pPr>
        <w:pStyle w:val="BodyText"/>
        <w:spacing w:before="76"/>
        <w:ind w:left="979" w:right="1351"/>
        <w:jc w:val="both"/>
      </w:pPr>
      <w:r>
        <w:rPr/>
        <w:t>regiones, impulsada por políticas de inversión social, infraestructura básica y mejoras en servicios públicos en zonas rurales.</w:t>
      </w:r>
    </w:p>
    <w:p>
      <w:pPr>
        <w:pStyle w:val="BodyText"/>
        <w:spacing w:before="253"/>
        <w:ind w:left="979" w:right="1334"/>
        <w:jc w:val="both"/>
      </w:pPr>
      <w:r>
        <w:rPr/>
        <w:t>La pandemia provocó una estabilización temporal del IPM en 2020 y 2021, con valores cercanos</w:t>
      </w:r>
      <w:r>
        <w:rPr>
          <w:spacing w:val="-16"/>
        </w:rPr>
        <w:t> </w:t>
      </w:r>
      <w:r>
        <w:rPr/>
        <w:t>al</w:t>
      </w:r>
      <w:r>
        <w:rPr>
          <w:spacing w:val="-15"/>
        </w:rPr>
        <w:t> </w:t>
      </w:r>
      <w:r>
        <w:rPr/>
        <w:t>16%</w:t>
      </w:r>
      <w:r>
        <w:rPr>
          <w:spacing w:val="-15"/>
        </w:rPr>
        <w:t> </w:t>
      </w:r>
      <w:r>
        <w:rPr/>
        <w:t>a</w:t>
      </w:r>
      <w:r>
        <w:rPr>
          <w:spacing w:val="-16"/>
        </w:rPr>
        <w:t> </w:t>
      </w:r>
      <w:r>
        <w:rPr/>
        <w:t>nivel</w:t>
      </w:r>
      <w:r>
        <w:rPr>
          <w:spacing w:val="-15"/>
        </w:rPr>
        <w:t> </w:t>
      </w:r>
      <w:r>
        <w:rPr/>
        <w:t>nacional,</w:t>
      </w:r>
      <w:r>
        <w:rPr>
          <w:spacing w:val="-15"/>
        </w:rPr>
        <w:t> </w:t>
      </w:r>
      <w:r>
        <w:rPr/>
        <w:t>12%</w:t>
      </w:r>
      <w:r>
        <w:rPr>
          <w:spacing w:val="-15"/>
        </w:rPr>
        <w:t> </w:t>
      </w:r>
      <w:r>
        <w:rPr/>
        <w:t>en</w:t>
      </w:r>
      <w:r>
        <w:rPr>
          <w:spacing w:val="-16"/>
        </w:rPr>
        <w:t> </w:t>
      </w:r>
      <w:r>
        <w:rPr/>
        <w:t>zonas</w:t>
      </w:r>
      <w:r>
        <w:rPr>
          <w:spacing w:val="-15"/>
        </w:rPr>
        <w:t> </w:t>
      </w:r>
      <w:r>
        <w:rPr/>
        <w:t>urbanas</w:t>
      </w:r>
      <w:r>
        <w:rPr>
          <w:spacing w:val="-15"/>
        </w:rPr>
        <w:t> </w:t>
      </w:r>
      <w:r>
        <w:rPr/>
        <w:t>y</w:t>
      </w:r>
      <w:r>
        <w:rPr>
          <w:spacing w:val="-16"/>
        </w:rPr>
        <w:t> </w:t>
      </w:r>
      <w:r>
        <w:rPr/>
        <w:t>aproximadamente</w:t>
      </w:r>
      <w:r>
        <w:rPr>
          <w:spacing w:val="-15"/>
        </w:rPr>
        <w:t> </w:t>
      </w:r>
      <w:r>
        <w:rPr/>
        <w:t>26%</w:t>
      </w:r>
      <w:r>
        <w:rPr>
          <w:spacing w:val="-15"/>
        </w:rPr>
        <w:t> </w:t>
      </w:r>
      <w:r>
        <w:rPr/>
        <w:t>en</w:t>
      </w:r>
      <w:r>
        <w:rPr>
          <w:spacing w:val="-15"/>
        </w:rPr>
        <w:t> </w:t>
      </w:r>
      <w:r>
        <w:rPr/>
        <w:t>zonas rurales. La brecha se mantuvo en torno a los 14 puntos porcentuales, lo que evidenció la mayor vulnerabilidad de los hogares rurales frente a las crisis sanitarias y económicas.</w:t>
      </w:r>
    </w:p>
    <w:p>
      <w:pPr>
        <w:pStyle w:val="BodyText"/>
        <w:spacing w:before="2"/>
      </w:pPr>
    </w:p>
    <w:p>
      <w:pPr>
        <w:pStyle w:val="BodyText"/>
        <w:ind w:left="979" w:right="1337"/>
        <w:jc w:val="both"/>
      </w:pPr>
      <w:r>
        <w:rPr/>
        <w:t>A</w:t>
      </w:r>
      <w:r>
        <w:rPr>
          <w:spacing w:val="-16"/>
        </w:rPr>
        <w:t> </w:t>
      </w:r>
      <w:r>
        <w:rPr/>
        <w:t>partir</w:t>
      </w:r>
      <w:r>
        <w:rPr>
          <w:spacing w:val="-15"/>
        </w:rPr>
        <w:t> </w:t>
      </w:r>
      <w:r>
        <w:rPr/>
        <w:t>de</w:t>
      </w:r>
      <w:r>
        <w:rPr>
          <w:spacing w:val="-15"/>
        </w:rPr>
        <w:t> </w:t>
      </w:r>
      <w:r>
        <w:rPr/>
        <w:t>2022,</w:t>
      </w:r>
      <w:r>
        <w:rPr>
          <w:spacing w:val="-16"/>
        </w:rPr>
        <w:t> </w:t>
      </w:r>
      <w:r>
        <w:rPr/>
        <w:t>el</w:t>
      </w:r>
      <w:r>
        <w:rPr>
          <w:spacing w:val="-15"/>
        </w:rPr>
        <w:t> </w:t>
      </w:r>
      <w:r>
        <w:rPr/>
        <w:t>IPM</w:t>
      </w:r>
      <w:r>
        <w:rPr>
          <w:spacing w:val="-15"/>
        </w:rPr>
        <w:t> </w:t>
      </w:r>
      <w:r>
        <w:rPr/>
        <w:t>retomó</w:t>
      </w:r>
      <w:r>
        <w:rPr>
          <w:spacing w:val="-15"/>
        </w:rPr>
        <w:t> </w:t>
      </w:r>
      <w:r>
        <w:rPr/>
        <w:t>su</w:t>
      </w:r>
      <w:r>
        <w:rPr>
          <w:spacing w:val="-16"/>
        </w:rPr>
        <w:t> </w:t>
      </w:r>
      <w:r>
        <w:rPr/>
        <w:t>tendencia</w:t>
      </w:r>
      <w:r>
        <w:rPr>
          <w:spacing w:val="-15"/>
        </w:rPr>
        <w:t> </w:t>
      </w:r>
      <w:r>
        <w:rPr/>
        <w:t>a</w:t>
      </w:r>
      <w:r>
        <w:rPr>
          <w:spacing w:val="-15"/>
        </w:rPr>
        <w:t> </w:t>
      </w:r>
      <w:r>
        <w:rPr/>
        <w:t>la</w:t>
      </w:r>
      <w:r>
        <w:rPr>
          <w:spacing w:val="-16"/>
        </w:rPr>
        <w:t> </w:t>
      </w:r>
      <w:r>
        <w:rPr/>
        <w:t>baja.</w:t>
      </w:r>
      <w:r>
        <w:rPr>
          <w:spacing w:val="-15"/>
        </w:rPr>
        <w:t> </w:t>
      </w:r>
      <w:r>
        <w:rPr/>
        <w:t>En</w:t>
      </w:r>
      <w:r>
        <w:rPr>
          <w:spacing w:val="-15"/>
        </w:rPr>
        <w:t> </w:t>
      </w:r>
      <w:r>
        <w:rPr/>
        <w:t>2024,</w:t>
      </w:r>
      <w:r>
        <w:rPr>
          <w:spacing w:val="-15"/>
        </w:rPr>
        <w:t> </w:t>
      </w:r>
      <w:r>
        <w:rPr/>
        <w:t>se</w:t>
      </w:r>
      <w:r>
        <w:rPr>
          <w:spacing w:val="-14"/>
        </w:rPr>
        <w:t> </w:t>
      </w:r>
      <w:r>
        <w:rPr/>
        <w:t>registró</w:t>
      </w:r>
      <w:r>
        <w:rPr>
          <w:spacing w:val="-16"/>
        </w:rPr>
        <w:t> </w:t>
      </w:r>
      <w:r>
        <w:rPr/>
        <w:t>un</w:t>
      </w:r>
      <w:r>
        <w:rPr>
          <w:spacing w:val="-12"/>
        </w:rPr>
        <w:t> </w:t>
      </w:r>
      <w:r>
        <w:rPr/>
        <w:t>valor</w:t>
      </w:r>
      <w:r>
        <w:rPr>
          <w:spacing w:val="-15"/>
        </w:rPr>
        <w:t> </w:t>
      </w:r>
      <w:r>
        <w:rPr/>
        <w:t>nacional de</w:t>
      </w:r>
      <w:r>
        <w:rPr>
          <w:spacing w:val="-4"/>
        </w:rPr>
        <w:t> </w:t>
      </w:r>
      <w:r>
        <w:rPr/>
        <w:t>10,1%,</w:t>
      </w:r>
      <w:r>
        <w:rPr>
          <w:spacing w:val="-1"/>
        </w:rPr>
        <w:t> </w:t>
      </w:r>
      <w:r>
        <w:rPr/>
        <w:t>con</w:t>
      </w:r>
      <w:r>
        <w:rPr>
          <w:spacing w:val="-1"/>
        </w:rPr>
        <w:t> </w:t>
      </w:r>
      <w:r>
        <w:rPr/>
        <w:t>un</w:t>
      </w:r>
      <w:r>
        <w:rPr>
          <w:spacing w:val="-4"/>
        </w:rPr>
        <w:t> </w:t>
      </w:r>
      <w:r>
        <w:rPr/>
        <w:t>7,3%</w:t>
      </w:r>
      <w:r>
        <w:rPr>
          <w:spacing w:val="-2"/>
        </w:rPr>
        <w:t> </w:t>
      </w:r>
      <w:r>
        <w:rPr/>
        <w:t>en</w:t>
      </w:r>
      <w:r>
        <w:rPr>
          <w:spacing w:val="-1"/>
        </w:rPr>
        <w:t> </w:t>
      </w:r>
      <w:r>
        <w:rPr/>
        <w:t>zonas</w:t>
      </w:r>
      <w:r>
        <w:rPr>
          <w:spacing w:val="-2"/>
        </w:rPr>
        <w:t> </w:t>
      </w:r>
      <w:r>
        <w:rPr/>
        <w:t>urbanas</w:t>
      </w:r>
      <w:r>
        <w:rPr>
          <w:spacing w:val="-6"/>
        </w:rPr>
        <w:t> </w:t>
      </w:r>
      <w:r>
        <w:rPr/>
        <w:t>y</w:t>
      </w:r>
      <w:r>
        <w:rPr>
          <w:spacing w:val="-2"/>
        </w:rPr>
        <w:t> </w:t>
      </w:r>
      <w:r>
        <w:rPr/>
        <w:t>17,4%</w:t>
      </w:r>
      <w:r>
        <w:rPr>
          <w:spacing w:val="-2"/>
        </w:rPr>
        <w:t> </w:t>
      </w:r>
      <w:r>
        <w:rPr/>
        <w:t>en</w:t>
      </w:r>
      <w:r>
        <w:rPr>
          <w:spacing w:val="-4"/>
        </w:rPr>
        <w:t> </w:t>
      </w:r>
      <w:r>
        <w:rPr/>
        <w:t>rurales,</w:t>
      </w:r>
      <w:r>
        <w:rPr>
          <w:spacing w:val="-1"/>
        </w:rPr>
        <w:t> </w:t>
      </w:r>
      <w:r>
        <w:rPr/>
        <w:t>reduciendo</w:t>
      </w:r>
      <w:r>
        <w:rPr>
          <w:spacing w:val="-1"/>
        </w:rPr>
        <w:t> </w:t>
      </w:r>
      <w:r>
        <w:rPr/>
        <w:t>la</w:t>
      </w:r>
      <w:r>
        <w:rPr>
          <w:spacing w:val="-1"/>
        </w:rPr>
        <w:t> </w:t>
      </w:r>
      <w:r>
        <w:rPr/>
        <w:t>brecha</w:t>
      </w:r>
      <w:r>
        <w:rPr>
          <w:spacing w:val="-1"/>
        </w:rPr>
        <w:t> </w:t>
      </w:r>
      <w:r>
        <w:rPr/>
        <w:t>a</w:t>
      </w:r>
      <w:r>
        <w:rPr>
          <w:spacing w:val="-4"/>
        </w:rPr>
        <w:t> </w:t>
      </w:r>
      <w:r>
        <w:rPr/>
        <w:t>10,1 puntos</w:t>
      </w:r>
      <w:r>
        <w:rPr>
          <w:spacing w:val="-5"/>
        </w:rPr>
        <w:t> </w:t>
      </w:r>
      <w:r>
        <w:rPr/>
        <w:t>porcentuales, el</w:t>
      </w:r>
      <w:r>
        <w:rPr>
          <w:spacing w:val="-2"/>
        </w:rPr>
        <w:t> </w:t>
      </w:r>
      <w:r>
        <w:rPr/>
        <w:t>nivel</w:t>
      </w:r>
      <w:r>
        <w:rPr>
          <w:spacing w:val="-2"/>
        </w:rPr>
        <w:t> </w:t>
      </w:r>
      <w:r>
        <w:rPr/>
        <w:t>más</w:t>
      </w:r>
      <w:r>
        <w:rPr>
          <w:spacing w:val="-2"/>
        </w:rPr>
        <w:t> </w:t>
      </w:r>
      <w:r>
        <w:rPr/>
        <w:t>bajo de todo el</w:t>
      </w:r>
      <w:r>
        <w:rPr>
          <w:spacing w:val="-6"/>
        </w:rPr>
        <w:t> </w:t>
      </w:r>
      <w:r>
        <w:rPr/>
        <w:t>período analizado.</w:t>
      </w:r>
      <w:r>
        <w:rPr>
          <w:spacing w:val="-4"/>
        </w:rPr>
        <w:t> </w:t>
      </w:r>
      <w:r>
        <w:rPr/>
        <w:t>Este descenso refleja la efectividad de las políticas públicas de recuperación económica y protección social, especialmente aquellas orientadas a mejorar las condiciones estructurales de los hogares más vulnerables.</w:t>
      </w:r>
    </w:p>
    <w:p>
      <w:pPr>
        <w:pStyle w:val="BodyText"/>
        <w:spacing w:before="249"/>
        <w:ind w:left="979" w:right="1333"/>
        <w:jc w:val="both"/>
      </w:pPr>
      <w:r>
        <w:rPr/>
        <w:t>En</w:t>
      </w:r>
      <w:r>
        <w:rPr>
          <w:spacing w:val="-3"/>
        </w:rPr>
        <w:t> </w:t>
      </w:r>
      <w:r>
        <w:rPr/>
        <w:t>síntesis,</w:t>
      </w:r>
      <w:r>
        <w:rPr>
          <w:spacing w:val="-4"/>
        </w:rPr>
        <w:t> </w:t>
      </w:r>
      <w:r>
        <w:rPr/>
        <w:t>el</w:t>
      </w:r>
      <w:r>
        <w:rPr>
          <w:spacing w:val="-6"/>
        </w:rPr>
        <w:t> </w:t>
      </w:r>
      <w:r>
        <w:rPr/>
        <w:t>análisis</w:t>
      </w:r>
      <w:r>
        <w:rPr>
          <w:spacing w:val="-5"/>
        </w:rPr>
        <w:t> </w:t>
      </w:r>
      <w:r>
        <w:rPr/>
        <w:t>del</w:t>
      </w:r>
      <w:r>
        <w:rPr>
          <w:spacing w:val="-6"/>
        </w:rPr>
        <w:t> </w:t>
      </w:r>
      <w:r>
        <w:rPr/>
        <w:t>IPM</w:t>
      </w:r>
      <w:r>
        <w:rPr>
          <w:spacing w:val="-7"/>
        </w:rPr>
        <w:t> </w:t>
      </w:r>
      <w:r>
        <w:rPr/>
        <w:t>en</w:t>
      </w:r>
      <w:r>
        <w:rPr>
          <w:spacing w:val="-3"/>
        </w:rPr>
        <w:t> </w:t>
      </w:r>
      <w:r>
        <w:rPr/>
        <w:t>Costa</w:t>
      </w:r>
      <w:r>
        <w:rPr>
          <w:spacing w:val="-3"/>
        </w:rPr>
        <w:t> </w:t>
      </w:r>
      <w:r>
        <w:rPr/>
        <w:t>Rica</w:t>
      </w:r>
      <w:r>
        <w:rPr>
          <w:spacing w:val="-3"/>
        </w:rPr>
        <w:t> </w:t>
      </w:r>
      <w:r>
        <w:rPr/>
        <w:t>entre</w:t>
      </w:r>
      <w:r>
        <w:rPr>
          <w:spacing w:val="-3"/>
        </w:rPr>
        <w:t> </w:t>
      </w:r>
      <w:r>
        <w:rPr/>
        <w:t>2010</w:t>
      </w:r>
      <w:r>
        <w:rPr>
          <w:spacing w:val="-3"/>
        </w:rPr>
        <w:t> </w:t>
      </w:r>
      <w:r>
        <w:rPr/>
        <w:t>y</w:t>
      </w:r>
      <w:r>
        <w:rPr>
          <w:spacing w:val="-10"/>
        </w:rPr>
        <w:t> </w:t>
      </w:r>
      <w:r>
        <w:rPr/>
        <w:t>2024</w:t>
      </w:r>
      <w:r>
        <w:rPr>
          <w:spacing w:val="-8"/>
        </w:rPr>
        <w:t> </w:t>
      </w:r>
      <w:r>
        <w:rPr/>
        <w:t>muestra</w:t>
      </w:r>
      <w:r>
        <w:rPr>
          <w:spacing w:val="-8"/>
        </w:rPr>
        <w:t> </w:t>
      </w:r>
      <w:r>
        <w:rPr/>
        <w:t>avances</w:t>
      </w:r>
      <w:r>
        <w:rPr>
          <w:spacing w:val="-5"/>
        </w:rPr>
        <w:t> </w:t>
      </w:r>
      <w:r>
        <w:rPr/>
        <w:t>notables en la reducción de la pobreza multidimensional, tanto en su incidencia general como en la convergencia entre territorios. No obstante, la persistencia de desigualdades territoriales subraya la necesidad de mantener e intensificar políticas focalizadas, sostenibles y con enfoque</w:t>
      </w:r>
      <w:r>
        <w:rPr>
          <w:spacing w:val="-17"/>
        </w:rPr>
        <w:t> </w:t>
      </w:r>
      <w:r>
        <w:rPr/>
        <w:t>territorial,</w:t>
      </w:r>
      <w:r>
        <w:rPr>
          <w:spacing w:val="-17"/>
        </w:rPr>
        <w:t> </w:t>
      </w:r>
      <w:r>
        <w:rPr/>
        <w:t>que</w:t>
      </w:r>
      <w:r>
        <w:rPr>
          <w:spacing w:val="-17"/>
        </w:rPr>
        <w:t> </w:t>
      </w:r>
      <w:r>
        <w:rPr/>
        <w:t>garanticen</w:t>
      </w:r>
      <w:r>
        <w:rPr>
          <w:spacing w:val="-17"/>
        </w:rPr>
        <w:t> </w:t>
      </w:r>
      <w:r>
        <w:rPr/>
        <w:t>una</w:t>
      </w:r>
      <w:r>
        <w:rPr>
          <w:spacing w:val="-17"/>
        </w:rPr>
        <w:t> </w:t>
      </w:r>
      <w:r>
        <w:rPr/>
        <w:t>mejora</w:t>
      </w:r>
      <w:r>
        <w:rPr>
          <w:spacing w:val="-17"/>
        </w:rPr>
        <w:t> </w:t>
      </w:r>
      <w:r>
        <w:rPr/>
        <w:t>duradera</w:t>
      </w:r>
      <w:r>
        <w:rPr>
          <w:spacing w:val="-17"/>
        </w:rPr>
        <w:t> </w:t>
      </w:r>
      <w:r>
        <w:rPr/>
        <w:t>del</w:t>
      </w:r>
      <w:r>
        <w:rPr>
          <w:spacing w:val="-19"/>
        </w:rPr>
        <w:t> </w:t>
      </w:r>
      <w:r>
        <w:rPr/>
        <w:t>bienestar</w:t>
      </w:r>
      <w:r>
        <w:rPr>
          <w:spacing w:val="-15"/>
        </w:rPr>
        <w:t> </w:t>
      </w:r>
      <w:r>
        <w:rPr/>
        <w:t>para</w:t>
      </w:r>
      <w:r>
        <w:rPr>
          <w:spacing w:val="-17"/>
        </w:rPr>
        <w:t> </w:t>
      </w:r>
      <w:r>
        <w:rPr/>
        <w:t>toda</w:t>
      </w:r>
      <w:r>
        <w:rPr>
          <w:spacing w:val="-12"/>
        </w:rPr>
        <w:t> </w:t>
      </w:r>
      <w:r>
        <w:rPr/>
        <w:t>la</w:t>
      </w:r>
      <w:r>
        <w:rPr>
          <w:spacing w:val="-12"/>
        </w:rPr>
        <w:t> </w:t>
      </w:r>
      <w:r>
        <w:rPr/>
        <w:t>población.</w:t>
      </w:r>
    </w:p>
    <w:p>
      <w:pPr>
        <w:pStyle w:val="BodyText"/>
        <w:spacing w:before="5"/>
      </w:pPr>
    </w:p>
    <w:p>
      <w:pPr>
        <w:pStyle w:val="Heading2"/>
        <w:spacing w:line="251" w:lineRule="exact"/>
        <w:ind w:left="808" w:right="1020"/>
        <w:jc w:val="center"/>
      </w:pPr>
      <w:bookmarkStart w:name="_bookmark27" w:id="28"/>
      <w:bookmarkEnd w:id="28"/>
      <w:r>
        <w:rPr>
          <w:b w:val="0"/>
        </w:rPr>
      </w:r>
      <w:r>
        <w:rPr/>
        <w:t>Gráfico</w:t>
      </w:r>
      <w:r>
        <w:rPr>
          <w:spacing w:val="-5"/>
        </w:rPr>
        <w:t> 8:</w:t>
      </w:r>
    </w:p>
    <w:p>
      <w:pPr>
        <w:spacing w:line="251" w:lineRule="exact" w:before="0"/>
        <w:ind w:left="799" w:right="1020" w:firstLine="0"/>
        <w:jc w:val="center"/>
        <w:rPr>
          <w:b/>
          <w:sz w:val="22"/>
        </w:rPr>
      </w:pPr>
      <w:r>
        <w:rPr>
          <w:b/>
          <w:sz w:val="22"/>
        </w:rPr>
        <w:drawing>
          <wp:anchor distT="0" distB="0" distL="0" distR="0" allowOverlap="1" layoutInCell="1" locked="0" behindDoc="0" simplePos="0" relativeHeight="15733760">
            <wp:simplePos x="0" y="0"/>
            <wp:positionH relativeFrom="page">
              <wp:posOffset>1695003</wp:posOffset>
            </wp:positionH>
            <wp:positionV relativeFrom="paragraph">
              <wp:posOffset>213766</wp:posOffset>
            </wp:positionV>
            <wp:extent cx="4963150" cy="2861359"/>
            <wp:effectExtent l="0" t="0" r="0" b="0"/>
            <wp:wrapNone/>
            <wp:docPr id="66" name="Image 66" descr="Gráfico, Gráfico de líneas  El contenido generado por IA puede ser incorrecto."/>
            <wp:cNvGraphicFramePr>
              <a:graphicFrameLocks/>
            </wp:cNvGraphicFramePr>
            <a:graphic>
              <a:graphicData uri="http://schemas.openxmlformats.org/drawingml/2006/picture">
                <pic:pic>
                  <pic:nvPicPr>
                    <pic:cNvPr id="66" name="Image 66" descr="Gráfico, Gráfico de líneas  El contenido generado por IA puede ser incorrecto."/>
                    <pic:cNvPicPr/>
                  </pic:nvPicPr>
                  <pic:blipFill>
                    <a:blip r:embed="rId45" cstate="print"/>
                    <a:stretch>
                      <a:fillRect/>
                    </a:stretch>
                  </pic:blipFill>
                  <pic:spPr>
                    <a:xfrm>
                      <a:off x="0" y="0"/>
                      <a:ext cx="4963150" cy="2861359"/>
                    </a:xfrm>
                    <a:prstGeom prst="rect">
                      <a:avLst/>
                    </a:prstGeom>
                  </pic:spPr>
                </pic:pic>
              </a:graphicData>
            </a:graphic>
          </wp:anchor>
        </w:drawing>
      </w:r>
      <w:r>
        <w:rPr>
          <w:b/>
          <w:sz w:val="22"/>
        </w:rPr>
        <w:t>Costa</w:t>
      </w:r>
      <w:r>
        <w:rPr>
          <w:b/>
          <w:spacing w:val="-2"/>
          <w:sz w:val="22"/>
        </w:rPr>
        <w:t> </w:t>
      </w:r>
      <w:r>
        <w:rPr>
          <w:b/>
          <w:sz w:val="22"/>
        </w:rPr>
        <w:t>Rica:</w:t>
      </w:r>
      <w:r>
        <w:rPr>
          <w:b/>
          <w:spacing w:val="-8"/>
          <w:sz w:val="22"/>
        </w:rPr>
        <w:t> </w:t>
      </w:r>
      <w:r>
        <w:rPr>
          <w:b/>
          <w:sz w:val="22"/>
        </w:rPr>
        <w:t>Pobreza</w:t>
      </w:r>
      <w:r>
        <w:rPr>
          <w:b/>
          <w:spacing w:val="-2"/>
          <w:sz w:val="22"/>
        </w:rPr>
        <w:t> </w:t>
      </w:r>
      <w:r>
        <w:rPr>
          <w:b/>
          <w:sz w:val="22"/>
        </w:rPr>
        <w:t>por</w:t>
      </w:r>
      <w:r>
        <w:rPr>
          <w:b/>
          <w:spacing w:val="-7"/>
          <w:sz w:val="22"/>
        </w:rPr>
        <w:t> </w:t>
      </w:r>
      <w:r>
        <w:rPr>
          <w:b/>
          <w:sz w:val="22"/>
        </w:rPr>
        <w:t>IPM</w:t>
      </w:r>
      <w:r>
        <w:rPr>
          <w:b/>
          <w:spacing w:val="-8"/>
          <w:sz w:val="22"/>
        </w:rPr>
        <w:t> </w:t>
      </w:r>
      <w:r>
        <w:rPr>
          <w:b/>
          <w:sz w:val="22"/>
        </w:rPr>
        <w:t>según</w:t>
      </w:r>
      <w:r>
        <w:rPr>
          <w:b/>
          <w:spacing w:val="-8"/>
          <w:sz w:val="22"/>
        </w:rPr>
        <w:t> </w:t>
      </w:r>
      <w:r>
        <w:rPr>
          <w:b/>
          <w:sz w:val="22"/>
        </w:rPr>
        <w:t>zona</w:t>
      </w:r>
      <w:r>
        <w:rPr>
          <w:b/>
          <w:spacing w:val="-5"/>
          <w:sz w:val="22"/>
        </w:rPr>
        <w:t> </w:t>
      </w:r>
      <w:r>
        <w:rPr>
          <w:b/>
          <w:sz w:val="22"/>
        </w:rPr>
        <w:t>urbana</w:t>
      </w:r>
      <w:r>
        <w:rPr>
          <w:b/>
          <w:spacing w:val="-1"/>
          <w:sz w:val="22"/>
        </w:rPr>
        <w:t> </w:t>
      </w:r>
      <w:r>
        <w:rPr>
          <w:b/>
          <w:sz w:val="22"/>
        </w:rPr>
        <w:t>y</w:t>
      </w:r>
      <w:r>
        <w:rPr>
          <w:b/>
          <w:spacing w:val="-5"/>
          <w:sz w:val="22"/>
        </w:rPr>
        <w:t> </w:t>
      </w:r>
      <w:r>
        <w:rPr>
          <w:b/>
          <w:sz w:val="22"/>
        </w:rPr>
        <w:t>rural</w:t>
      </w:r>
      <w:r>
        <w:rPr>
          <w:b/>
          <w:spacing w:val="-2"/>
          <w:sz w:val="22"/>
        </w:rPr>
        <w:t> </w:t>
      </w:r>
      <w:r>
        <w:rPr>
          <w:b/>
          <w:sz w:val="22"/>
        </w:rPr>
        <w:t>(%</w:t>
      </w:r>
      <w:r>
        <w:rPr>
          <w:b/>
          <w:spacing w:val="-7"/>
          <w:sz w:val="22"/>
        </w:rPr>
        <w:t> </w:t>
      </w:r>
      <w:r>
        <w:rPr>
          <w:b/>
          <w:sz w:val="22"/>
        </w:rPr>
        <w:t>hogares),</w:t>
      </w:r>
      <w:r>
        <w:rPr>
          <w:b/>
          <w:spacing w:val="-5"/>
          <w:sz w:val="22"/>
        </w:rPr>
        <w:t> </w:t>
      </w:r>
      <w:r>
        <w:rPr>
          <w:b/>
          <w:sz w:val="22"/>
        </w:rPr>
        <w:t>2010-</w:t>
      </w:r>
      <w:r>
        <w:rPr>
          <w:b/>
          <w:spacing w:val="-4"/>
          <w:sz w:val="22"/>
        </w:rPr>
        <w:t>2024</w:t>
      </w:r>
    </w:p>
    <w:p>
      <w:pPr>
        <w:pStyle w:val="BodyText"/>
        <w:spacing w:before="26"/>
        <w:rPr>
          <w:b/>
        </w:rPr>
      </w:pPr>
    </w:p>
    <w:p>
      <w:pPr>
        <w:spacing w:before="0"/>
        <w:ind w:left="979" w:right="0" w:firstLine="0"/>
        <w:jc w:val="left"/>
        <w:rPr>
          <w:i/>
          <w:sz w:val="18"/>
        </w:rPr>
      </w:pPr>
      <w:r>
        <w:rPr>
          <w:spacing w:val="-2"/>
          <w:sz w:val="18"/>
        </w:rPr>
        <w:t>Fuente</w:t>
      </w:r>
      <w:r>
        <w:rPr>
          <w:i/>
          <w:spacing w:val="-2"/>
          <w:sz w:val="18"/>
        </w:rPr>
        <w:t>:</w:t>
      </w: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rPr>
          <w:i/>
          <w:sz w:val="18"/>
        </w:rPr>
      </w:pPr>
    </w:p>
    <w:p>
      <w:pPr>
        <w:pStyle w:val="BodyText"/>
        <w:spacing w:before="176"/>
        <w:rPr>
          <w:i/>
          <w:sz w:val="18"/>
        </w:rPr>
      </w:pPr>
    </w:p>
    <w:p>
      <w:pPr>
        <w:spacing w:before="1"/>
        <w:ind w:left="979" w:right="0" w:firstLine="0"/>
        <w:jc w:val="left"/>
        <w:rPr>
          <w:sz w:val="18"/>
        </w:rPr>
      </w:pPr>
      <w:r>
        <w:rPr>
          <w:sz w:val="18"/>
        </w:rPr>
        <w:t>Elaboración</w:t>
      </w:r>
      <w:r>
        <w:rPr>
          <w:spacing w:val="-11"/>
          <w:sz w:val="18"/>
        </w:rPr>
        <w:t> </w:t>
      </w:r>
      <w:r>
        <w:rPr>
          <w:sz w:val="18"/>
        </w:rPr>
        <w:t>propia</w:t>
      </w:r>
      <w:r>
        <w:rPr>
          <w:spacing w:val="-10"/>
          <w:sz w:val="18"/>
        </w:rPr>
        <w:t> </w:t>
      </w:r>
      <w:r>
        <w:rPr>
          <w:sz w:val="18"/>
        </w:rPr>
        <w:t>con</w:t>
      </w:r>
      <w:r>
        <w:rPr>
          <w:spacing w:val="-11"/>
          <w:sz w:val="18"/>
        </w:rPr>
        <w:t> </w:t>
      </w:r>
      <w:r>
        <w:rPr>
          <w:sz w:val="18"/>
        </w:rPr>
        <w:t>datos</w:t>
      </w:r>
      <w:r>
        <w:rPr>
          <w:spacing w:val="-5"/>
          <w:sz w:val="18"/>
        </w:rPr>
        <w:t> </w:t>
      </w:r>
      <w:r>
        <w:rPr>
          <w:sz w:val="18"/>
        </w:rPr>
        <w:t>de</w:t>
      </w:r>
      <w:r>
        <w:rPr>
          <w:spacing w:val="-10"/>
          <w:sz w:val="18"/>
        </w:rPr>
        <w:t> </w:t>
      </w:r>
      <w:r>
        <w:rPr>
          <w:sz w:val="18"/>
        </w:rPr>
        <w:t>INEC</w:t>
      </w:r>
      <w:r>
        <w:rPr>
          <w:spacing w:val="-6"/>
          <w:sz w:val="18"/>
        </w:rPr>
        <w:t> </w:t>
      </w:r>
      <w:r>
        <w:rPr>
          <w:sz w:val="18"/>
        </w:rPr>
        <w:t>(2024).</w:t>
      </w:r>
      <w:r>
        <w:rPr>
          <w:spacing w:val="-8"/>
          <w:sz w:val="18"/>
        </w:rPr>
        <w:t> </w:t>
      </w:r>
      <w:r>
        <w:rPr>
          <w:sz w:val="18"/>
        </w:rPr>
        <w:t>ENAHO</w:t>
      </w:r>
      <w:r>
        <w:rPr>
          <w:spacing w:val="-4"/>
          <w:sz w:val="18"/>
        </w:rPr>
        <w:t> </w:t>
      </w:r>
      <w:r>
        <w:rPr>
          <w:sz w:val="18"/>
        </w:rPr>
        <w:t>2010-</w:t>
      </w:r>
      <w:r>
        <w:rPr>
          <w:spacing w:val="-5"/>
          <w:sz w:val="18"/>
        </w:rPr>
        <w:t>202</w:t>
      </w:r>
    </w:p>
    <w:p>
      <w:pPr>
        <w:pStyle w:val="BodyText"/>
        <w:spacing w:before="42"/>
        <w:rPr>
          <w:sz w:val="18"/>
        </w:rPr>
      </w:pPr>
    </w:p>
    <w:p>
      <w:pPr>
        <w:pStyle w:val="BodyText"/>
        <w:spacing w:before="1"/>
        <w:ind w:left="979" w:right="1346"/>
        <w:jc w:val="both"/>
      </w:pPr>
      <w:r>
        <w:rPr/>
        <w:t>Al comparar los distintos</w:t>
      </w:r>
      <w:r>
        <w:rPr>
          <w:spacing w:val="-1"/>
        </w:rPr>
        <w:t> </w:t>
      </w:r>
      <w:r>
        <w:rPr/>
        <w:t>enfoques de medición de la pobreza en Costa Rica entre 2010 y 2024, el gráfico 9 permite visualizar tres dimensiones complementarias: la pobreza por la línea</w:t>
      </w:r>
      <w:r>
        <w:rPr>
          <w:spacing w:val="-10"/>
        </w:rPr>
        <w:t> </w:t>
      </w:r>
      <w:r>
        <w:rPr/>
        <w:t>de</w:t>
      </w:r>
      <w:r>
        <w:rPr>
          <w:spacing w:val="-10"/>
        </w:rPr>
        <w:t> </w:t>
      </w:r>
      <w:r>
        <w:rPr/>
        <w:t>ingreso</w:t>
      </w:r>
      <w:r>
        <w:rPr>
          <w:spacing w:val="-10"/>
        </w:rPr>
        <w:t> </w:t>
      </w:r>
      <w:r>
        <w:rPr/>
        <w:t>(LP),</w:t>
      </w:r>
      <w:r>
        <w:rPr>
          <w:spacing w:val="-6"/>
        </w:rPr>
        <w:t> </w:t>
      </w:r>
      <w:r>
        <w:rPr/>
        <w:t>la</w:t>
      </w:r>
      <w:r>
        <w:rPr>
          <w:spacing w:val="-10"/>
        </w:rPr>
        <w:t> </w:t>
      </w:r>
      <w:r>
        <w:rPr/>
        <w:t>pobreza</w:t>
      </w:r>
      <w:r>
        <w:rPr>
          <w:spacing w:val="-15"/>
        </w:rPr>
        <w:t> </w:t>
      </w:r>
      <w:r>
        <w:rPr/>
        <w:t>multidimensional</w:t>
      </w:r>
      <w:r>
        <w:rPr>
          <w:spacing w:val="-13"/>
        </w:rPr>
        <w:t> </w:t>
      </w:r>
      <w:r>
        <w:rPr/>
        <w:t>(IPM)</w:t>
      </w:r>
      <w:r>
        <w:rPr>
          <w:spacing w:val="-9"/>
        </w:rPr>
        <w:t> </w:t>
      </w:r>
      <w:r>
        <w:rPr/>
        <w:t>y</w:t>
      </w:r>
      <w:r>
        <w:rPr>
          <w:spacing w:val="-7"/>
        </w:rPr>
        <w:t> </w:t>
      </w:r>
      <w:r>
        <w:rPr/>
        <w:t>la</w:t>
      </w:r>
      <w:r>
        <w:rPr>
          <w:spacing w:val="-10"/>
        </w:rPr>
        <w:t> </w:t>
      </w:r>
      <w:r>
        <w:rPr/>
        <w:t>incidencia</w:t>
      </w:r>
      <w:r>
        <w:rPr>
          <w:spacing w:val="-10"/>
        </w:rPr>
        <w:t> </w:t>
      </w:r>
      <w:r>
        <w:rPr/>
        <w:t>conjunta</w:t>
      </w:r>
      <w:r>
        <w:rPr>
          <w:spacing w:val="-10"/>
        </w:rPr>
        <w:t> </w:t>
      </w:r>
      <w:r>
        <w:rPr/>
        <w:t>de</w:t>
      </w:r>
      <w:r>
        <w:rPr>
          <w:spacing w:val="-10"/>
        </w:rPr>
        <w:t> </w:t>
      </w:r>
      <w:r>
        <w:rPr/>
        <w:t>ambas. Esta última representa el porcentaje de hogares que enfrentan pobreza según al menos uno de los dos enfoques, revelando así una imagen más amplia del fenómeno.</w:t>
      </w:r>
    </w:p>
    <w:p>
      <w:pPr>
        <w:pStyle w:val="BodyText"/>
        <w:spacing w:before="252"/>
        <w:ind w:left="979" w:right="1350"/>
        <w:jc w:val="both"/>
      </w:pPr>
      <w:r>
        <w:rPr/>
        <w:t>Durante el período analizado, la pobreza por ingreso mostró fluctuaciones</w:t>
      </w:r>
      <w:r>
        <w:rPr>
          <w:spacing w:val="-1"/>
        </w:rPr>
        <w:t> </w:t>
      </w:r>
      <w:r>
        <w:rPr/>
        <w:t>más</w:t>
      </w:r>
      <w:r>
        <w:rPr>
          <w:spacing w:val="-1"/>
        </w:rPr>
        <w:t> </w:t>
      </w:r>
      <w:r>
        <w:rPr/>
        <w:t>marcadas, especialmente</w:t>
      </w:r>
      <w:r>
        <w:rPr>
          <w:spacing w:val="-12"/>
        </w:rPr>
        <w:t> </w:t>
      </w:r>
      <w:r>
        <w:rPr/>
        <w:t>ante</w:t>
      </w:r>
      <w:r>
        <w:rPr>
          <w:spacing w:val="-11"/>
        </w:rPr>
        <w:t> </w:t>
      </w:r>
      <w:r>
        <w:rPr/>
        <w:t>choques</w:t>
      </w:r>
      <w:r>
        <w:rPr>
          <w:spacing w:val="-16"/>
        </w:rPr>
        <w:t> </w:t>
      </w:r>
      <w:r>
        <w:rPr/>
        <w:t>económicos.</w:t>
      </w:r>
      <w:r>
        <w:rPr>
          <w:spacing w:val="-11"/>
        </w:rPr>
        <w:t> </w:t>
      </w:r>
      <w:r>
        <w:rPr/>
        <w:t>En</w:t>
      </w:r>
      <w:r>
        <w:rPr>
          <w:spacing w:val="-11"/>
        </w:rPr>
        <w:t> </w:t>
      </w:r>
      <w:r>
        <w:rPr/>
        <w:t>2010,</w:t>
      </w:r>
      <w:r>
        <w:rPr>
          <w:spacing w:val="-7"/>
        </w:rPr>
        <w:t> </w:t>
      </w:r>
      <w:r>
        <w:rPr/>
        <w:t>la</w:t>
      </w:r>
      <w:r>
        <w:rPr>
          <w:spacing w:val="-11"/>
        </w:rPr>
        <w:t> </w:t>
      </w:r>
      <w:r>
        <w:rPr/>
        <w:t>incidencia</w:t>
      </w:r>
      <w:r>
        <w:rPr>
          <w:spacing w:val="-11"/>
        </w:rPr>
        <w:t> </w:t>
      </w:r>
      <w:r>
        <w:rPr/>
        <w:t>fue</w:t>
      </w:r>
      <w:r>
        <w:rPr>
          <w:spacing w:val="-11"/>
        </w:rPr>
        <w:t> </w:t>
      </w:r>
      <w:r>
        <w:rPr/>
        <w:t>de</w:t>
      </w:r>
      <w:r>
        <w:rPr>
          <w:spacing w:val="-15"/>
        </w:rPr>
        <w:t> </w:t>
      </w:r>
      <w:r>
        <w:rPr/>
        <w:t>21,2%,</w:t>
      </w:r>
      <w:r>
        <w:rPr>
          <w:spacing w:val="-7"/>
        </w:rPr>
        <w:t> </w:t>
      </w:r>
      <w:r>
        <w:rPr/>
        <w:t>cifra</w:t>
      </w:r>
      <w:r>
        <w:rPr>
          <w:spacing w:val="-11"/>
        </w:rPr>
        <w:t> </w:t>
      </w:r>
      <w:r>
        <w:rPr/>
        <w:t>que</w:t>
      </w:r>
      <w:r>
        <w:rPr>
          <w:spacing w:val="-11"/>
        </w:rPr>
        <w:t> </w:t>
      </w:r>
      <w:r>
        <w:rPr/>
        <w:t>se</w:t>
      </w:r>
    </w:p>
    <w:p>
      <w:pPr>
        <w:pStyle w:val="BodyText"/>
        <w:spacing w:after="0"/>
        <w:jc w:val="both"/>
        <w:sectPr>
          <w:pgSz w:w="12240" w:h="15840"/>
          <w:pgMar w:header="0" w:footer="1021" w:top="1340" w:bottom="1220" w:left="720" w:right="360"/>
        </w:sectPr>
      </w:pPr>
    </w:p>
    <w:p>
      <w:pPr>
        <w:pStyle w:val="BodyText"/>
        <w:spacing w:before="76"/>
        <w:ind w:left="979" w:right="1334"/>
        <w:jc w:val="both"/>
      </w:pPr>
      <w:r>
        <w:rPr/>
        <w:t>mantuvo relativamente estable hasta 2013. A partir de 2014, hubo un leve aumento, alcanzando</w:t>
      </w:r>
      <w:r>
        <w:rPr>
          <w:spacing w:val="-16"/>
        </w:rPr>
        <w:t> </w:t>
      </w:r>
      <w:r>
        <w:rPr/>
        <w:t>un</w:t>
      </w:r>
      <w:r>
        <w:rPr>
          <w:spacing w:val="-15"/>
        </w:rPr>
        <w:t> </w:t>
      </w:r>
      <w:r>
        <w:rPr/>
        <w:t>22,4%,</w:t>
      </w:r>
      <w:r>
        <w:rPr>
          <w:spacing w:val="-15"/>
        </w:rPr>
        <w:t> </w:t>
      </w:r>
      <w:r>
        <w:rPr/>
        <w:t>seguido</w:t>
      </w:r>
      <w:r>
        <w:rPr>
          <w:spacing w:val="-16"/>
        </w:rPr>
        <w:t> </w:t>
      </w:r>
      <w:r>
        <w:rPr/>
        <w:t>por</w:t>
      </w:r>
      <w:r>
        <w:rPr>
          <w:spacing w:val="-15"/>
        </w:rPr>
        <w:t> </w:t>
      </w:r>
      <w:r>
        <w:rPr/>
        <w:t>una</w:t>
      </w:r>
      <w:r>
        <w:rPr>
          <w:spacing w:val="-15"/>
        </w:rPr>
        <w:t> </w:t>
      </w:r>
      <w:r>
        <w:rPr/>
        <w:t>reducción</w:t>
      </w:r>
      <w:r>
        <w:rPr>
          <w:spacing w:val="-15"/>
        </w:rPr>
        <w:t> </w:t>
      </w:r>
      <w:r>
        <w:rPr/>
        <w:t>gradual</w:t>
      </w:r>
      <w:r>
        <w:rPr>
          <w:spacing w:val="-16"/>
        </w:rPr>
        <w:t> </w:t>
      </w:r>
      <w:r>
        <w:rPr/>
        <w:t>hasta</w:t>
      </w:r>
      <w:r>
        <w:rPr>
          <w:spacing w:val="-15"/>
        </w:rPr>
        <w:t> </w:t>
      </w:r>
      <w:r>
        <w:rPr/>
        <w:t>2019.</w:t>
      </w:r>
      <w:r>
        <w:rPr>
          <w:spacing w:val="-15"/>
        </w:rPr>
        <w:t> </w:t>
      </w:r>
      <w:r>
        <w:rPr/>
        <w:t>Sin</w:t>
      </w:r>
      <w:r>
        <w:rPr>
          <w:spacing w:val="-14"/>
        </w:rPr>
        <w:t> </w:t>
      </w:r>
      <w:r>
        <w:rPr/>
        <w:t>embargo,</w:t>
      </w:r>
      <w:r>
        <w:rPr>
          <w:spacing w:val="-15"/>
        </w:rPr>
        <w:t> </w:t>
      </w:r>
      <w:r>
        <w:rPr/>
        <w:t>la</w:t>
      </w:r>
      <w:r>
        <w:rPr>
          <w:spacing w:val="-14"/>
        </w:rPr>
        <w:t> </w:t>
      </w:r>
      <w:r>
        <w:rPr/>
        <w:t>crisis sanitaria</w:t>
      </w:r>
      <w:r>
        <w:rPr>
          <w:spacing w:val="-9"/>
        </w:rPr>
        <w:t> </w:t>
      </w:r>
      <w:r>
        <w:rPr/>
        <w:t>y</w:t>
      </w:r>
      <w:r>
        <w:rPr>
          <w:spacing w:val="-16"/>
        </w:rPr>
        <w:t> </w:t>
      </w:r>
      <w:r>
        <w:rPr/>
        <w:t>económica</w:t>
      </w:r>
      <w:r>
        <w:rPr>
          <w:spacing w:val="-13"/>
        </w:rPr>
        <w:t> </w:t>
      </w:r>
      <w:r>
        <w:rPr/>
        <w:t>del</w:t>
      </w:r>
      <w:r>
        <w:rPr>
          <w:spacing w:val="-12"/>
        </w:rPr>
        <w:t> </w:t>
      </w:r>
      <w:r>
        <w:rPr/>
        <w:t>COVID-19</w:t>
      </w:r>
      <w:r>
        <w:rPr>
          <w:spacing w:val="-14"/>
        </w:rPr>
        <w:t> </w:t>
      </w:r>
      <w:r>
        <w:rPr/>
        <w:t>provocó</w:t>
      </w:r>
      <w:r>
        <w:rPr>
          <w:spacing w:val="-14"/>
        </w:rPr>
        <w:t> </w:t>
      </w:r>
      <w:r>
        <w:rPr/>
        <w:t>un</w:t>
      </w:r>
      <w:r>
        <w:rPr>
          <w:spacing w:val="-14"/>
        </w:rPr>
        <w:t> </w:t>
      </w:r>
      <w:r>
        <w:rPr/>
        <w:t>repunte</w:t>
      </w:r>
      <w:r>
        <w:rPr>
          <w:spacing w:val="-14"/>
        </w:rPr>
        <w:t> </w:t>
      </w:r>
      <w:r>
        <w:rPr/>
        <w:t>significativo,</w:t>
      </w:r>
      <w:r>
        <w:rPr>
          <w:spacing w:val="-15"/>
        </w:rPr>
        <w:t> </w:t>
      </w:r>
      <w:r>
        <w:rPr/>
        <w:t>alcanzando</w:t>
      </w:r>
      <w:r>
        <w:rPr>
          <w:spacing w:val="-14"/>
        </w:rPr>
        <w:t> </w:t>
      </w:r>
      <w:r>
        <w:rPr/>
        <w:t>un</w:t>
      </w:r>
      <w:r>
        <w:rPr>
          <w:spacing w:val="-14"/>
        </w:rPr>
        <w:t> </w:t>
      </w:r>
      <w:r>
        <w:rPr/>
        <w:t>26,2% en 2020. Posteriormente, las cifras disminuyeron progresivamente, llegando a un 17,95% en 2024, el nivel más bajo del período.</w:t>
      </w:r>
    </w:p>
    <w:p>
      <w:pPr>
        <w:pStyle w:val="BodyText"/>
        <w:spacing w:before="253"/>
        <w:ind w:left="979" w:right="1333"/>
        <w:jc w:val="both"/>
      </w:pPr>
      <w:r>
        <w:rPr/>
        <w:t>Por su parte, la pobreza multidimensional, medida por el IPM, mostró una trayectoria más estable y con una tendencia claramente descendente. En 2010, el IPM era de 25,87%, superando</w:t>
      </w:r>
      <w:r>
        <w:rPr>
          <w:spacing w:val="-10"/>
        </w:rPr>
        <w:t> </w:t>
      </w:r>
      <w:r>
        <w:rPr/>
        <w:t>incluso</w:t>
      </w:r>
      <w:r>
        <w:rPr>
          <w:spacing w:val="-10"/>
        </w:rPr>
        <w:t> </w:t>
      </w:r>
      <w:r>
        <w:rPr/>
        <w:t>la</w:t>
      </w:r>
      <w:r>
        <w:rPr>
          <w:spacing w:val="-14"/>
        </w:rPr>
        <w:t> </w:t>
      </w:r>
      <w:r>
        <w:rPr/>
        <w:t>pobreza</w:t>
      </w:r>
      <w:r>
        <w:rPr>
          <w:spacing w:val="-10"/>
        </w:rPr>
        <w:t> </w:t>
      </w:r>
      <w:r>
        <w:rPr/>
        <w:t>por</w:t>
      </w:r>
      <w:r>
        <w:rPr>
          <w:spacing w:val="-12"/>
        </w:rPr>
        <w:t> </w:t>
      </w:r>
      <w:r>
        <w:rPr/>
        <w:t>ingreso.</w:t>
      </w:r>
      <w:r>
        <w:rPr>
          <w:spacing w:val="-15"/>
        </w:rPr>
        <w:t> </w:t>
      </w:r>
      <w:r>
        <w:rPr/>
        <w:t>Esta</w:t>
      </w:r>
      <w:r>
        <w:rPr>
          <w:spacing w:val="-10"/>
        </w:rPr>
        <w:t> </w:t>
      </w:r>
      <w:r>
        <w:rPr/>
        <w:t>cifra</w:t>
      </w:r>
      <w:r>
        <w:rPr>
          <w:spacing w:val="-10"/>
        </w:rPr>
        <w:t> </w:t>
      </w:r>
      <w:r>
        <w:rPr/>
        <w:t>fue</w:t>
      </w:r>
      <w:r>
        <w:rPr>
          <w:spacing w:val="-10"/>
        </w:rPr>
        <w:t> </w:t>
      </w:r>
      <w:r>
        <w:rPr/>
        <w:t>reduciéndose</w:t>
      </w:r>
      <w:r>
        <w:rPr>
          <w:spacing w:val="-10"/>
        </w:rPr>
        <w:t> </w:t>
      </w:r>
      <w:r>
        <w:rPr/>
        <w:t>de</w:t>
      </w:r>
      <w:r>
        <w:rPr>
          <w:spacing w:val="-14"/>
        </w:rPr>
        <w:t> </w:t>
      </w:r>
      <w:r>
        <w:rPr/>
        <w:t>manera</w:t>
      </w:r>
      <w:r>
        <w:rPr>
          <w:spacing w:val="-14"/>
        </w:rPr>
        <w:t> </w:t>
      </w:r>
      <w:r>
        <w:rPr/>
        <w:t>sostenida hasta situarse en 16,6% en 2019. A diferencia de la pobreza por ingreso, el IPM no experimentó un aumento abrupto durante la pandemia, manteniéndose relativamente estable en torno al 16% en 2020 y 2021, lo que evidencia la eficacia de ciertas políticas sociales</w:t>
      </w:r>
      <w:r>
        <w:rPr>
          <w:spacing w:val="-1"/>
        </w:rPr>
        <w:t> </w:t>
      </w:r>
      <w:r>
        <w:rPr/>
        <w:t>para contener los impactos estructurales. Hacia 2024, el IPM alcanza un valor de 10,1%, mostrando una mejora consistente en múltiples dimensiones del bienestar.</w:t>
      </w:r>
    </w:p>
    <w:p>
      <w:pPr>
        <w:pStyle w:val="BodyText"/>
        <w:spacing w:before="251"/>
        <w:ind w:left="979" w:right="1335"/>
        <w:jc w:val="both"/>
      </w:pPr>
      <w:r>
        <w:rPr/>
        <w:t>La combinación de ambos indicadores —es decir, la proporción de hogares en condición de</w:t>
      </w:r>
      <w:r>
        <w:rPr>
          <w:spacing w:val="-8"/>
        </w:rPr>
        <w:t> </w:t>
      </w:r>
      <w:r>
        <w:rPr/>
        <w:t>pobreza</w:t>
      </w:r>
      <w:r>
        <w:rPr>
          <w:spacing w:val="-8"/>
        </w:rPr>
        <w:t> </w:t>
      </w:r>
      <w:r>
        <w:rPr/>
        <w:t>por</w:t>
      </w:r>
      <w:r>
        <w:rPr>
          <w:spacing w:val="-11"/>
        </w:rPr>
        <w:t> </w:t>
      </w:r>
      <w:r>
        <w:rPr/>
        <w:t>al</w:t>
      </w:r>
      <w:r>
        <w:rPr>
          <w:spacing w:val="-6"/>
        </w:rPr>
        <w:t> </w:t>
      </w:r>
      <w:r>
        <w:rPr/>
        <w:t>menos</w:t>
      </w:r>
      <w:r>
        <w:rPr>
          <w:spacing w:val="-5"/>
        </w:rPr>
        <w:t> </w:t>
      </w:r>
      <w:r>
        <w:rPr/>
        <w:t>uno</w:t>
      </w:r>
      <w:r>
        <w:rPr>
          <w:spacing w:val="-8"/>
        </w:rPr>
        <w:t> </w:t>
      </w:r>
      <w:r>
        <w:rPr/>
        <w:t>de</w:t>
      </w:r>
      <w:r>
        <w:rPr>
          <w:spacing w:val="-3"/>
        </w:rPr>
        <w:t> </w:t>
      </w:r>
      <w:r>
        <w:rPr/>
        <w:t>los</w:t>
      </w:r>
      <w:r>
        <w:rPr>
          <w:spacing w:val="-5"/>
        </w:rPr>
        <w:t> </w:t>
      </w:r>
      <w:r>
        <w:rPr/>
        <w:t>dos</w:t>
      </w:r>
      <w:r>
        <w:rPr>
          <w:spacing w:val="-10"/>
        </w:rPr>
        <w:t> </w:t>
      </w:r>
      <w:r>
        <w:rPr/>
        <w:t>métodos—</w:t>
      </w:r>
      <w:r>
        <w:rPr>
          <w:spacing w:val="-5"/>
        </w:rPr>
        <w:t> </w:t>
      </w:r>
      <w:r>
        <w:rPr/>
        <w:t>permite</w:t>
      </w:r>
      <w:r>
        <w:rPr>
          <w:spacing w:val="-3"/>
        </w:rPr>
        <w:t> </w:t>
      </w:r>
      <w:r>
        <w:rPr/>
        <w:t>captar</w:t>
      </w:r>
      <w:r>
        <w:rPr>
          <w:spacing w:val="-11"/>
        </w:rPr>
        <w:t> </w:t>
      </w:r>
      <w:r>
        <w:rPr/>
        <w:t>de</w:t>
      </w:r>
      <w:r>
        <w:rPr>
          <w:spacing w:val="-8"/>
        </w:rPr>
        <w:t> </w:t>
      </w:r>
      <w:r>
        <w:rPr/>
        <w:t>manera</w:t>
      </w:r>
      <w:r>
        <w:rPr>
          <w:spacing w:val="-3"/>
        </w:rPr>
        <w:t> </w:t>
      </w:r>
      <w:r>
        <w:rPr/>
        <w:t>más</w:t>
      </w:r>
      <w:r>
        <w:rPr>
          <w:spacing w:val="-5"/>
        </w:rPr>
        <w:t> </w:t>
      </w:r>
      <w:r>
        <w:rPr/>
        <w:t>integral el</w:t>
      </w:r>
      <w:r>
        <w:rPr>
          <w:spacing w:val="-5"/>
        </w:rPr>
        <w:t> </w:t>
      </w:r>
      <w:r>
        <w:rPr/>
        <w:t>alcance</w:t>
      </w:r>
      <w:r>
        <w:rPr>
          <w:spacing w:val="-7"/>
        </w:rPr>
        <w:t> </w:t>
      </w:r>
      <w:r>
        <w:rPr/>
        <w:t>del</w:t>
      </w:r>
      <w:r>
        <w:rPr>
          <w:spacing w:val="-5"/>
        </w:rPr>
        <w:t> </w:t>
      </w:r>
      <w:r>
        <w:rPr/>
        <w:t>fenómeno.</w:t>
      </w:r>
      <w:r>
        <w:rPr>
          <w:spacing w:val="-8"/>
        </w:rPr>
        <w:t> </w:t>
      </w:r>
      <w:r>
        <w:rPr/>
        <w:t>En</w:t>
      </w:r>
      <w:r>
        <w:rPr>
          <w:spacing w:val="-7"/>
        </w:rPr>
        <w:t> </w:t>
      </w:r>
      <w:r>
        <w:rPr/>
        <w:t>2010,</w:t>
      </w:r>
      <w:r>
        <w:rPr>
          <w:spacing w:val="-8"/>
        </w:rPr>
        <w:t> </w:t>
      </w:r>
      <w:r>
        <w:rPr/>
        <w:t>esta</w:t>
      </w:r>
      <w:r>
        <w:rPr>
          <w:spacing w:val="-2"/>
        </w:rPr>
        <w:t> </w:t>
      </w:r>
      <w:r>
        <w:rPr/>
        <w:t>incidencia</w:t>
      </w:r>
      <w:r>
        <w:rPr>
          <w:spacing w:val="-7"/>
        </w:rPr>
        <w:t> </w:t>
      </w:r>
      <w:r>
        <w:rPr/>
        <w:t>conjunta</w:t>
      </w:r>
      <w:r>
        <w:rPr>
          <w:spacing w:val="-2"/>
        </w:rPr>
        <w:t> </w:t>
      </w:r>
      <w:r>
        <w:rPr/>
        <w:t>se</w:t>
      </w:r>
      <w:r>
        <w:rPr>
          <w:spacing w:val="-2"/>
        </w:rPr>
        <w:t> </w:t>
      </w:r>
      <w:r>
        <w:rPr/>
        <w:t>situaba</w:t>
      </w:r>
      <w:r>
        <w:rPr>
          <w:spacing w:val="-7"/>
        </w:rPr>
        <w:t> </w:t>
      </w:r>
      <w:r>
        <w:rPr/>
        <w:t>en</w:t>
      </w:r>
      <w:r>
        <w:rPr>
          <w:spacing w:val="-7"/>
        </w:rPr>
        <w:t> </w:t>
      </w:r>
      <w:r>
        <w:rPr/>
        <w:t>47,1%,</w:t>
      </w:r>
      <w:r>
        <w:rPr>
          <w:spacing w:val="-3"/>
        </w:rPr>
        <w:t> </w:t>
      </w:r>
      <w:r>
        <w:rPr/>
        <w:t>y</w:t>
      </w:r>
      <w:r>
        <w:rPr>
          <w:spacing w:val="-9"/>
        </w:rPr>
        <w:t> </w:t>
      </w:r>
      <w:r>
        <w:rPr/>
        <w:t>aunque ha seguido una tendencia a la baja, continuaba siendo significativamente más alta que cualquiera</w:t>
      </w:r>
      <w:r>
        <w:rPr>
          <w:spacing w:val="-11"/>
        </w:rPr>
        <w:t> </w:t>
      </w:r>
      <w:r>
        <w:rPr/>
        <w:t>de</w:t>
      </w:r>
      <w:r>
        <w:rPr>
          <w:spacing w:val="-11"/>
        </w:rPr>
        <w:t> </w:t>
      </w:r>
      <w:r>
        <w:rPr/>
        <w:t>los</w:t>
      </w:r>
      <w:r>
        <w:rPr>
          <w:spacing w:val="-13"/>
        </w:rPr>
        <w:t> </w:t>
      </w:r>
      <w:r>
        <w:rPr/>
        <w:t>indicadores</w:t>
      </w:r>
      <w:r>
        <w:rPr>
          <w:spacing w:val="-13"/>
        </w:rPr>
        <w:t> </w:t>
      </w:r>
      <w:r>
        <w:rPr/>
        <w:t>por</w:t>
      </w:r>
      <w:r>
        <w:rPr>
          <w:spacing w:val="-14"/>
        </w:rPr>
        <w:t> </w:t>
      </w:r>
      <w:r>
        <w:rPr/>
        <w:t>separado.</w:t>
      </w:r>
      <w:r>
        <w:rPr>
          <w:spacing w:val="-12"/>
        </w:rPr>
        <w:t> </w:t>
      </w:r>
      <w:r>
        <w:rPr/>
        <w:t>En</w:t>
      </w:r>
      <w:r>
        <w:rPr>
          <w:spacing w:val="-11"/>
        </w:rPr>
        <w:t> </w:t>
      </w:r>
      <w:r>
        <w:rPr/>
        <w:t>2020,</w:t>
      </w:r>
      <w:r>
        <w:rPr>
          <w:spacing w:val="-12"/>
        </w:rPr>
        <w:t> </w:t>
      </w:r>
      <w:r>
        <w:rPr/>
        <w:t>la</w:t>
      </w:r>
      <w:r>
        <w:rPr>
          <w:spacing w:val="-11"/>
        </w:rPr>
        <w:t> </w:t>
      </w:r>
      <w:r>
        <w:rPr/>
        <w:t>incidencia</w:t>
      </w:r>
      <w:r>
        <w:rPr>
          <w:spacing w:val="-11"/>
        </w:rPr>
        <w:t> </w:t>
      </w:r>
      <w:r>
        <w:rPr/>
        <w:t>conjunta</w:t>
      </w:r>
      <w:r>
        <w:rPr>
          <w:spacing w:val="-11"/>
        </w:rPr>
        <w:t> </w:t>
      </w:r>
      <w:r>
        <w:rPr/>
        <w:t>alcanzó</w:t>
      </w:r>
      <w:r>
        <w:rPr>
          <w:spacing w:val="-11"/>
        </w:rPr>
        <w:t> </w:t>
      </w:r>
      <w:r>
        <w:rPr/>
        <w:t>42,3%, pero luego descendió de forma</w:t>
      </w:r>
      <w:r>
        <w:rPr>
          <w:spacing w:val="-4"/>
        </w:rPr>
        <w:t> </w:t>
      </w:r>
      <w:r>
        <w:rPr/>
        <w:t>progresiva hasta situarse</w:t>
      </w:r>
      <w:r>
        <w:rPr>
          <w:spacing w:val="-4"/>
        </w:rPr>
        <w:t> </w:t>
      </w:r>
      <w:r>
        <w:rPr/>
        <w:t>en</w:t>
      </w:r>
      <w:r>
        <w:rPr>
          <w:spacing w:val="-4"/>
        </w:rPr>
        <w:t> </w:t>
      </w:r>
      <w:r>
        <w:rPr/>
        <w:t>28,05%</w:t>
      </w:r>
      <w:r>
        <w:rPr>
          <w:spacing w:val="-1"/>
        </w:rPr>
        <w:t> </w:t>
      </w:r>
      <w:r>
        <w:rPr/>
        <w:t>en</w:t>
      </w:r>
      <w:r>
        <w:rPr>
          <w:spacing w:val="-4"/>
        </w:rPr>
        <w:t> </w:t>
      </w:r>
      <w:r>
        <w:rPr/>
        <w:t>2024, el</w:t>
      </w:r>
      <w:r>
        <w:rPr>
          <w:spacing w:val="-2"/>
        </w:rPr>
        <w:t> </w:t>
      </w:r>
      <w:r>
        <w:rPr/>
        <w:t>nivel</w:t>
      </w:r>
      <w:r>
        <w:rPr>
          <w:spacing w:val="-6"/>
        </w:rPr>
        <w:t> </w:t>
      </w:r>
      <w:r>
        <w:rPr/>
        <w:t>más bajo del período.</w:t>
      </w:r>
    </w:p>
    <w:p>
      <w:pPr>
        <w:pStyle w:val="BodyText"/>
        <w:spacing w:before="3"/>
      </w:pPr>
    </w:p>
    <w:p>
      <w:pPr>
        <w:pStyle w:val="BodyText"/>
        <w:ind w:left="979" w:right="1342"/>
        <w:jc w:val="both"/>
      </w:pPr>
      <w:r>
        <w:rPr/>
        <w:t>Esta comparación evidencia que un enfoque exclusivamente basado en el ingreso subestima la magnitud real de la pobreza. A lo largo del período, entre 6 y 10 puntos porcentuales adicionales de hogares se encontraban en situación de pobreza multidimensional</w:t>
      </w:r>
      <w:r>
        <w:rPr>
          <w:spacing w:val="-16"/>
        </w:rPr>
        <w:t> </w:t>
      </w:r>
      <w:r>
        <w:rPr/>
        <w:t>sin</w:t>
      </w:r>
      <w:r>
        <w:rPr>
          <w:spacing w:val="-15"/>
        </w:rPr>
        <w:t> </w:t>
      </w:r>
      <w:r>
        <w:rPr/>
        <w:t>ser</w:t>
      </w:r>
      <w:r>
        <w:rPr>
          <w:spacing w:val="-15"/>
        </w:rPr>
        <w:t> </w:t>
      </w:r>
      <w:r>
        <w:rPr/>
        <w:t>clasificados</w:t>
      </w:r>
      <w:r>
        <w:rPr>
          <w:spacing w:val="-12"/>
        </w:rPr>
        <w:t> </w:t>
      </w:r>
      <w:r>
        <w:rPr/>
        <w:t>como</w:t>
      </w:r>
      <w:r>
        <w:rPr>
          <w:spacing w:val="-15"/>
        </w:rPr>
        <w:t> </w:t>
      </w:r>
      <w:r>
        <w:rPr/>
        <w:t>pobres</w:t>
      </w:r>
      <w:r>
        <w:rPr>
          <w:spacing w:val="-16"/>
        </w:rPr>
        <w:t> </w:t>
      </w:r>
      <w:r>
        <w:rPr/>
        <w:t>por</w:t>
      </w:r>
      <w:r>
        <w:rPr>
          <w:spacing w:val="-12"/>
        </w:rPr>
        <w:t> </w:t>
      </w:r>
      <w:r>
        <w:rPr/>
        <w:t>ingresos,</w:t>
      </w:r>
      <w:r>
        <w:rPr>
          <w:spacing w:val="-16"/>
        </w:rPr>
        <w:t> </w:t>
      </w:r>
      <w:r>
        <w:rPr/>
        <w:t>y</w:t>
      </w:r>
      <w:r>
        <w:rPr>
          <w:spacing w:val="-15"/>
        </w:rPr>
        <w:t> </w:t>
      </w:r>
      <w:r>
        <w:rPr/>
        <w:t>viceversa.</w:t>
      </w:r>
      <w:r>
        <w:rPr>
          <w:spacing w:val="-15"/>
        </w:rPr>
        <w:t> </w:t>
      </w:r>
      <w:r>
        <w:rPr/>
        <w:t>Por</w:t>
      </w:r>
      <w:r>
        <w:rPr>
          <w:spacing w:val="-16"/>
        </w:rPr>
        <w:t> </w:t>
      </w:r>
      <w:r>
        <w:rPr/>
        <w:t>ello,</w:t>
      </w:r>
      <w:r>
        <w:rPr>
          <w:spacing w:val="-15"/>
        </w:rPr>
        <w:t> </w:t>
      </w:r>
      <w:r>
        <w:rPr/>
        <w:t>el</w:t>
      </w:r>
      <w:r>
        <w:rPr>
          <w:spacing w:val="-12"/>
        </w:rPr>
        <w:t> </w:t>
      </w:r>
      <w:r>
        <w:rPr/>
        <w:t>IPM aporta una perspectiva más completa, revelando carencias estructurales que los ingresos por sí solos no captan.</w:t>
      </w:r>
    </w:p>
    <w:p>
      <w:pPr>
        <w:pStyle w:val="BodyText"/>
        <w:spacing w:after="0"/>
        <w:jc w:val="both"/>
        <w:sectPr>
          <w:pgSz w:w="12240" w:h="15840"/>
          <w:pgMar w:header="0" w:footer="1021" w:top="1340" w:bottom="1220" w:left="720" w:right="360"/>
        </w:sectPr>
      </w:pPr>
    </w:p>
    <w:p>
      <w:pPr>
        <w:pStyle w:val="Heading2"/>
        <w:spacing w:before="76"/>
        <w:ind w:left="2958" w:right="1344" w:hanging="1811"/>
      </w:pPr>
      <w:bookmarkStart w:name="_bookmark28" w:id="29"/>
      <w:bookmarkEnd w:id="29"/>
      <w:r>
        <w:rPr>
          <w:b w:val="0"/>
        </w:rPr>
      </w:r>
      <w:r>
        <w:rPr/>
        <w:t>Gráfico</w:t>
      </w:r>
      <w:r>
        <w:rPr>
          <w:spacing w:val="-3"/>
        </w:rPr>
        <w:t> </w:t>
      </w:r>
      <w:r>
        <w:rPr/>
        <w:t>9:</w:t>
      </w:r>
      <w:r>
        <w:rPr>
          <w:spacing w:val="-4"/>
        </w:rPr>
        <w:t> </w:t>
      </w:r>
      <w:r>
        <w:rPr/>
        <w:t>Costa</w:t>
      </w:r>
      <w:r>
        <w:rPr>
          <w:spacing w:val="-2"/>
        </w:rPr>
        <w:t> </w:t>
      </w:r>
      <w:r>
        <w:rPr/>
        <w:t>Rica:</w:t>
      </w:r>
      <w:r>
        <w:rPr>
          <w:spacing w:val="-5"/>
        </w:rPr>
        <w:t> </w:t>
      </w:r>
      <w:r>
        <w:rPr/>
        <w:t>Comparación</w:t>
      </w:r>
      <w:r>
        <w:rPr>
          <w:spacing w:val="-4"/>
        </w:rPr>
        <w:t> </w:t>
      </w:r>
      <w:r>
        <w:rPr/>
        <w:t>de</w:t>
      </w:r>
      <w:r>
        <w:rPr>
          <w:spacing w:val="-7"/>
        </w:rPr>
        <w:t> </w:t>
      </w:r>
      <w:r>
        <w:rPr/>
        <w:t>incidencia</w:t>
      </w:r>
      <w:r>
        <w:rPr>
          <w:spacing w:val="-6"/>
        </w:rPr>
        <w:t> </w:t>
      </w:r>
      <w:r>
        <w:rPr/>
        <w:t>de</w:t>
      </w:r>
      <w:r>
        <w:rPr>
          <w:spacing w:val="-2"/>
        </w:rPr>
        <w:t> </w:t>
      </w:r>
      <w:r>
        <w:rPr/>
        <w:t>pobreza</w:t>
      </w:r>
      <w:r>
        <w:rPr>
          <w:spacing w:val="-2"/>
        </w:rPr>
        <w:t> </w:t>
      </w:r>
      <w:r>
        <w:rPr/>
        <w:t>de</w:t>
      </w:r>
      <w:r>
        <w:rPr>
          <w:spacing w:val="-7"/>
        </w:rPr>
        <w:t> </w:t>
      </w:r>
      <w:r>
        <w:rPr/>
        <w:t>hogares</w:t>
      </w:r>
      <w:r>
        <w:rPr>
          <w:spacing w:val="-6"/>
        </w:rPr>
        <w:t> </w:t>
      </w:r>
      <w:r>
        <w:rPr/>
        <w:t>Línea</w:t>
      </w:r>
      <w:r>
        <w:rPr>
          <w:spacing w:val="-2"/>
        </w:rPr>
        <w:t> </w:t>
      </w:r>
      <w:r>
        <w:rPr/>
        <w:t>de Pobreza (LP), IPM y ambos métodos, 2010- 2024</w:t>
      </w:r>
    </w:p>
    <w:p>
      <w:pPr>
        <w:pStyle w:val="BodyText"/>
        <w:spacing w:before="8"/>
        <w:rPr>
          <w:b/>
          <w:sz w:val="18"/>
        </w:rPr>
      </w:pPr>
      <w:r>
        <w:rPr>
          <w:b/>
          <w:sz w:val="18"/>
        </w:rPr>
        <w:drawing>
          <wp:anchor distT="0" distB="0" distL="0" distR="0" allowOverlap="1" layoutInCell="1" locked="0" behindDoc="1" simplePos="0" relativeHeight="487593472">
            <wp:simplePos x="0" y="0"/>
            <wp:positionH relativeFrom="page">
              <wp:posOffset>1092896</wp:posOffset>
            </wp:positionH>
            <wp:positionV relativeFrom="paragraph">
              <wp:posOffset>151981</wp:posOffset>
            </wp:positionV>
            <wp:extent cx="5928911" cy="3405568"/>
            <wp:effectExtent l="0" t="0" r="0" b="0"/>
            <wp:wrapTopAndBottom/>
            <wp:docPr id="67" name="Image 67" descr="Gráfico  El contenido generado por IA puede ser incorrecto."/>
            <wp:cNvGraphicFramePr>
              <a:graphicFrameLocks/>
            </wp:cNvGraphicFramePr>
            <a:graphic>
              <a:graphicData uri="http://schemas.openxmlformats.org/drawingml/2006/picture">
                <pic:pic>
                  <pic:nvPicPr>
                    <pic:cNvPr id="67" name="Image 67" descr="Gráfico  El contenido generado por IA puede ser incorrecto."/>
                    <pic:cNvPicPr/>
                  </pic:nvPicPr>
                  <pic:blipFill>
                    <a:blip r:embed="rId46" cstate="print"/>
                    <a:stretch>
                      <a:fillRect/>
                    </a:stretch>
                  </pic:blipFill>
                  <pic:spPr>
                    <a:xfrm>
                      <a:off x="0" y="0"/>
                      <a:ext cx="5928911" cy="3405568"/>
                    </a:xfrm>
                    <a:prstGeom prst="rect">
                      <a:avLst/>
                    </a:prstGeom>
                  </pic:spPr>
                </pic:pic>
              </a:graphicData>
            </a:graphic>
          </wp:anchor>
        </w:drawing>
      </w:r>
    </w:p>
    <w:p>
      <w:pPr>
        <w:spacing w:before="0"/>
        <w:ind w:left="1340" w:right="0" w:firstLine="0"/>
        <w:jc w:val="left"/>
        <w:rPr>
          <w:sz w:val="18"/>
        </w:rPr>
      </w:pPr>
      <w:r>
        <w:rPr>
          <w:sz w:val="18"/>
        </w:rPr>
        <w:t>Fuente:</w:t>
      </w:r>
      <w:r>
        <w:rPr>
          <w:spacing w:val="-6"/>
          <w:sz w:val="18"/>
        </w:rPr>
        <w:t> </w:t>
      </w:r>
      <w:r>
        <w:rPr>
          <w:sz w:val="18"/>
        </w:rPr>
        <w:t>Elaboración</w:t>
      </w:r>
      <w:r>
        <w:rPr>
          <w:spacing w:val="-12"/>
          <w:sz w:val="18"/>
        </w:rPr>
        <w:t> </w:t>
      </w:r>
      <w:r>
        <w:rPr>
          <w:sz w:val="18"/>
        </w:rPr>
        <w:t>propia</w:t>
      </w:r>
      <w:r>
        <w:rPr>
          <w:spacing w:val="-9"/>
          <w:sz w:val="18"/>
        </w:rPr>
        <w:t> </w:t>
      </w:r>
      <w:r>
        <w:rPr>
          <w:sz w:val="18"/>
        </w:rPr>
        <w:t>con</w:t>
      </w:r>
      <w:r>
        <w:rPr>
          <w:spacing w:val="-8"/>
          <w:sz w:val="18"/>
        </w:rPr>
        <w:t> </w:t>
      </w:r>
      <w:r>
        <w:rPr>
          <w:sz w:val="18"/>
        </w:rPr>
        <w:t>datos</w:t>
      </w:r>
      <w:r>
        <w:rPr>
          <w:spacing w:val="-11"/>
          <w:sz w:val="18"/>
        </w:rPr>
        <w:t> </w:t>
      </w:r>
      <w:r>
        <w:rPr>
          <w:sz w:val="18"/>
        </w:rPr>
        <w:t>de</w:t>
      </w:r>
      <w:r>
        <w:rPr>
          <w:spacing w:val="-13"/>
          <w:sz w:val="18"/>
        </w:rPr>
        <w:t> </w:t>
      </w:r>
      <w:r>
        <w:rPr>
          <w:sz w:val="18"/>
        </w:rPr>
        <w:t>INEC</w:t>
      </w:r>
      <w:r>
        <w:rPr>
          <w:spacing w:val="-9"/>
          <w:sz w:val="18"/>
        </w:rPr>
        <w:t> </w:t>
      </w:r>
      <w:r>
        <w:rPr>
          <w:sz w:val="18"/>
        </w:rPr>
        <w:t>(2024).</w:t>
      </w:r>
      <w:r>
        <w:rPr>
          <w:spacing w:val="-5"/>
          <w:sz w:val="18"/>
        </w:rPr>
        <w:t> </w:t>
      </w:r>
      <w:r>
        <w:rPr>
          <w:sz w:val="18"/>
        </w:rPr>
        <w:t>ENAHO</w:t>
      </w:r>
      <w:r>
        <w:rPr>
          <w:spacing w:val="-6"/>
          <w:sz w:val="18"/>
        </w:rPr>
        <w:t> </w:t>
      </w:r>
      <w:r>
        <w:rPr>
          <w:sz w:val="18"/>
        </w:rPr>
        <w:t>2010-</w:t>
      </w:r>
      <w:r>
        <w:rPr>
          <w:spacing w:val="-2"/>
          <w:sz w:val="18"/>
        </w:rPr>
        <w:t>2024.</w:t>
      </w:r>
    </w:p>
    <w:p>
      <w:pPr>
        <w:pStyle w:val="BodyText"/>
        <w:spacing w:before="191"/>
        <w:ind w:left="979" w:right="1343"/>
        <w:jc w:val="both"/>
      </w:pPr>
      <w:r>
        <w:rPr/>
        <w:t>En síntesis, el análisis del gráfico 9 muestra avances importantes en la reducción de la pobreza</w:t>
      </w:r>
      <w:r>
        <w:rPr>
          <w:spacing w:val="-11"/>
        </w:rPr>
        <w:t> </w:t>
      </w:r>
      <w:r>
        <w:rPr/>
        <w:t>en</w:t>
      </w:r>
      <w:r>
        <w:rPr>
          <w:spacing w:val="-6"/>
        </w:rPr>
        <w:t> </w:t>
      </w:r>
      <w:r>
        <w:rPr/>
        <w:t>Costa</w:t>
      </w:r>
      <w:r>
        <w:rPr>
          <w:spacing w:val="-6"/>
        </w:rPr>
        <w:t> </w:t>
      </w:r>
      <w:r>
        <w:rPr/>
        <w:t>Rica,</w:t>
      </w:r>
      <w:r>
        <w:rPr>
          <w:spacing w:val="-12"/>
        </w:rPr>
        <w:t> </w:t>
      </w:r>
      <w:r>
        <w:rPr/>
        <w:t>tanto</w:t>
      </w:r>
      <w:r>
        <w:rPr>
          <w:spacing w:val="-11"/>
        </w:rPr>
        <w:t> </w:t>
      </w:r>
      <w:r>
        <w:rPr/>
        <w:t>desde</w:t>
      </w:r>
      <w:r>
        <w:rPr>
          <w:spacing w:val="-11"/>
        </w:rPr>
        <w:t> </w:t>
      </w:r>
      <w:r>
        <w:rPr/>
        <w:t>una</w:t>
      </w:r>
      <w:r>
        <w:rPr>
          <w:spacing w:val="-11"/>
        </w:rPr>
        <w:t> </w:t>
      </w:r>
      <w:r>
        <w:rPr/>
        <w:t>perspectiva</w:t>
      </w:r>
      <w:r>
        <w:rPr>
          <w:spacing w:val="-11"/>
        </w:rPr>
        <w:t> </w:t>
      </w:r>
      <w:r>
        <w:rPr/>
        <w:t>monetaria</w:t>
      </w:r>
      <w:r>
        <w:rPr>
          <w:spacing w:val="-11"/>
        </w:rPr>
        <w:t> </w:t>
      </w:r>
      <w:r>
        <w:rPr/>
        <w:t>como</w:t>
      </w:r>
      <w:r>
        <w:rPr>
          <w:spacing w:val="-11"/>
        </w:rPr>
        <w:t> </w:t>
      </w:r>
      <w:r>
        <w:rPr/>
        <w:t>multidimensional.</w:t>
      </w:r>
      <w:r>
        <w:rPr>
          <w:spacing w:val="-12"/>
        </w:rPr>
        <w:t> </w:t>
      </w:r>
      <w:r>
        <w:rPr/>
        <w:t>Sin embargo, también destaca la persistencia de un grupo amplio de hogares que continúan afectados por alguna forma de pobreza. Esto subraya la necesidad de mantener políticas públicas integrales, que combinen protección económica con mejoras sostenidas en servicios básicos, infraestructura social y acceso equitativo a oportunidades en todo el </w:t>
      </w:r>
      <w:r>
        <w:rPr>
          <w:spacing w:val="-2"/>
        </w:rPr>
        <w:t>territorio.</w:t>
      </w:r>
    </w:p>
    <w:p>
      <w:pPr>
        <w:pStyle w:val="BodyText"/>
        <w:spacing w:before="2"/>
      </w:pPr>
    </w:p>
    <w:p>
      <w:pPr>
        <w:pStyle w:val="BodyText"/>
        <w:ind w:left="979" w:right="1331"/>
        <w:jc w:val="both"/>
      </w:pPr>
      <w:r>
        <w:rPr/>
        <w:t>Importante hay que recalcar que entre 2010 y 2024, los indicadores macroeconómicos y sociales de Costa Rica reflejan una trayectoria de crecimiento económico sostenido, acompañada de mejoras graduales en algunos aspectos del bienestar social, aunque persisten retos estructurales importantes. El Producto Interno Bruto (PIB) encadenado muestra un aumento constante, pasando de ₡26,270 mil millones en 2010 a ₡42,755 mil millones en 2024 (ver Tabla 1). Esta tendencia también se observa en el PIB per cápita, que creció</w:t>
      </w:r>
      <w:r>
        <w:rPr>
          <w:spacing w:val="-3"/>
        </w:rPr>
        <w:t> </w:t>
      </w:r>
      <w:r>
        <w:rPr/>
        <w:t>de ₡5,796</w:t>
      </w:r>
      <w:r>
        <w:rPr>
          <w:spacing w:val="-3"/>
        </w:rPr>
        <w:t> </w:t>
      </w:r>
      <w:r>
        <w:rPr/>
        <w:t>millones</w:t>
      </w:r>
      <w:r>
        <w:rPr>
          <w:spacing w:val="-5"/>
        </w:rPr>
        <w:t> </w:t>
      </w:r>
      <w:r>
        <w:rPr/>
        <w:t>a</w:t>
      </w:r>
      <w:r>
        <w:rPr>
          <w:spacing w:val="-3"/>
        </w:rPr>
        <w:t> </w:t>
      </w:r>
      <w:r>
        <w:rPr/>
        <w:t>₡8,278</w:t>
      </w:r>
      <w:r>
        <w:rPr>
          <w:spacing w:val="-8"/>
        </w:rPr>
        <w:t> </w:t>
      </w:r>
      <w:r>
        <w:rPr/>
        <w:t>millones</w:t>
      </w:r>
      <w:r>
        <w:rPr>
          <w:spacing w:val="-5"/>
        </w:rPr>
        <w:t> </w:t>
      </w:r>
      <w:r>
        <w:rPr/>
        <w:t>en</w:t>
      </w:r>
      <w:r>
        <w:rPr>
          <w:spacing w:val="-3"/>
        </w:rPr>
        <w:t> </w:t>
      </w:r>
      <w:r>
        <w:rPr/>
        <w:t>el</w:t>
      </w:r>
      <w:r>
        <w:rPr>
          <w:spacing w:val="-11"/>
        </w:rPr>
        <w:t> </w:t>
      </w:r>
      <w:r>
        <w:rPr/>
        <w:t>mismo</w:t>
      </w:r>
      <w:r>
        <w:rPr>
          <w:spacing w:val="-3"/>
        </w:rPr>
        <w:t> </w:t>
      </w:r>
      <w:r>
        <w:rPr/>
        <w:t>período.</w:t>
      </w:r>
      <w:r>
        <w:rPr>
          <w:spacing w:val="-4"/>
        </w:rPr>
        <w:t> </w:t>
      </w:r>
      <w:r>
        <w:rPr/>
        <w:t>No</w:t>
      </w:r>
      <w:r>
        <w:rPr>
          <w:spacing w:val="-8"/>
        </w:rPr>
        <w:t> </w:t>
      </w:r>
      <w:r>
        <w:rPr/>
        <w:t>obstante,</w:t>
      </w:r>
      <w:r>
        <w:rPr>
          <w:spacing w:val="-9"/>
        </w:rPr>
        <w:t> </w:t>
      </w:r>
      <w:r>
        <w:rPr/>
        <w:t>el</w:t>
      </w:r>
      <w:r>
        <w:rPr>
          <w:spacing w:val="-6"/>
        </w:rPr>
        <w:t> </w:t>
      </w:r>
      <w:r>
        <w:rPr/>
        <w:t>año 2020 marcó una contracción significativa como consecuencia de la pandemia de COVID-19,</w:t>
      </w:r>
      <w:r>
        <w:rPr>
          <w:spacing w:val="-16"/>
        </w:rPr>
        <w:t> </w:t>
      </w:r>
      <w:r>
        <w:rPr/>
        <w:t>con</w:t>
      </w:r>
      <w:r>
        <w:rPr>
          <w:spacing w:val="-9"/>
        </w:rPr>
        <w:t> </w:t>
      </w:r>
      <w:r>
        <w:rPr/>
        <w:t>una</w:t>
      </w:r>
      <w:r>
        <w:rPr>
          <w:spacing w:val="-9"/>
        </w:rPr>
        <w:t> </w:t>
      </w:r>
      <w:r>
        <w:rPr/>
        <w:t>caída</w:t>
      </w:r>
      <w:r>
        <w:rPr>
          <w:spacing w:val="-9"/>
        </w:rPr>
        <w:t> </w:t>
      </w:r>
      <w:r>
        <w:rPr/>
        <w:t>del</w:t>
      </w:r>
      <w:r>
        <w:rPr>
          <w:spacing w:val="-16"/>
        </w:rPr>
        <w:t> </w:t>
      </w:r>
      <w:r>
        <w:rPr/>
        <w:t>PIB</w:t>
      </w:r>
      <w:r>
        <w:rPr>
          <w:spacing w:val="-13"/>
        </w:rPr>
        <w:t> </w:t>
      </w:r>
      <w:r>
        <w:rPr/>
        <w:t>per</w:t>
      </w:r>
      <w:r>
        <w:rPr>
          <w:spacing w:val="-12"/>
        </w:rPr>
        <w:t> </w:t>
      </w:r>
      <w:r>
        <w:rPr/>
        <w:t>cápita</w:t>
      </w:r>
      <w:r>
        <w:rPr>
          <w:spacing w:val="-14"/>
        </w:rPr>
        <w:t> </w:t>
      </w:r>
      <w:r>
        <w:rPr/>
        <w:t>del</w:t>
      </w:r>
      <w:r>
        <w:rPr>
          <w:spacing w:val="-5"/>
        </w:rPr>
        <w:t> </w:t>
      </w:r>
      <w:r>
        <w:rPr/>
        <w:t>-4,85%,</w:t>
      </w:r>
      <w:r>
        <w:rPr>
          <w:spacing w:val="-10"/>
        </w:rPr>
        <w:t> </w:t>
      </w:r>
      <w:r>
        <w:rPr/>
        <w:t>seguida</w:t>
      </w:r>
      <w:r>
        <w:rPr>
          <w:spacing w:val="-14"/>
        </w:rPr>
        <w:t> </w:t>
      </w:r>
      <w:r>
        <w:rPr/>
        <w:t>por</w:t>
      </w:r>
      <w:r>
        <w:rPr>
          <w:spacing w:val="-12"/>
        </w:rPr>
        <w:t> </w:t>
      </w:r>
      <w:r>
        <w:rPr/>
        <w:t>un</w:t>
      </w:r>
      <w:r>
        <w:rPr>
          <w:spacing w:val="-9"/>
        </w:rPr>
        <w:t> </w:t>
      </w:r>
      <w:r>
        <w:rPr/>
        <w:t>repunte</w:t>
      </w:r>
      <w:r>
        <w:rPr>
          <w:spacing w:val="-9"/>
        </w:rPr>
        <w:t> </w:t>
      </w:r>
      <w:r>
        <w:rPr/>
        <w:t>del</w:t>
      </w:r>
      <w:r>
        <w:rPr>
          <w:spacing w:val="-16"/>
        </w:rPr>
        <w:t> </w:t>
      </w:r>
      <w:r>
        <w:rPr/>
        <w:t>7,38%</w:t>
      </w:r>
      <w:r>
        <w:rPr>
          <w:spacing w:val="-14"/>
        </w:rPr>
        <w:t> </w:t>
      </w:r>
      <w:r>
        <w:rPr/>
        <w:t>en</w:t>
      </w:r>
      <w:r>
        <w:rPr>
          <w:spacing w:val="-14"/>
        </w:rPr>
        <w:t> </w:t>
      </w:r>
      <w:r>
        <w:rPr/>
        <w:t>2021. A partir de entonces, el crecimiento retomó un ritmo más moderado, cercano al</w:t>
      </w:r>
      <w:r>
        <w:rPr>
          <w:spacing w:val="-1"/>
        </w:rPr>
        <w:t> </w:t>
      </w:r>
      <w:r>
        <w:rPr/>
        <w:t>4% anual.</w:t>
      </w:r>
    </w:p>
    <w:p>
      <w:pPr>
        <w:pStyle w:val="BodyText"/>
        <w:spacing w:before="2"/>
      </w:pPr>
    </w:p>
    <w:p>
      <w:pPr>
        <w:pStyle w:val="BodyText"/>
        <w:ind w:left="979" w:right="1339"/>
        <w:jc w:val="both"/>
      </w:pPr>
      <w:r>
        <w:rPr/>
        <w:t>El ingreso nacional disponible bruto, tanto total como per cápita, refleja una evolución similar. El ingreso disponible per cápita aumentó de ₡5,534 millones en 2010 a ₡7,527 millones en 2024, mostrando también una caída en 2020 (-4,55%) y una recuperación destacada en los años siguientes. A pesar de estos avances económicos, la tasa de desempleo abierto presenta una dinámica más preocupante. Si bien en los primeros años del</w:t>
      </w:r>
      <w:r>
        <w:rPr>
          <w:spacing w:val="40"/>
        </w:rPr>
        <w:t> </w:t>
      </w:r>
      <w:r>
        <w:rPr/>
        <w:t>período</w:t>
      </w:r>
      <w:r>
        <w:rPr>
          <w:spacing w:val="40"/>
        </w:rPr>
        <w:t> </w:t>
      </w:r>
      <w:r>
        <w:rPr/>
        <w:t>se</w:t>
      </w:r>
      <w:r>
        <w:rPr>
          <w:spacing w:val="40"/>
        </w:rPr>
        <w:t> </w:t>
      </w:r>
      <w:r>
        <w:rPr/>
        <w:t>mantuvo</w:t>
      </w:r>
      <w:r>
        <w:rPr>
          <w:spacing w:val="40"/>
        </w:rPr>
        <w:t> </w:t>
      </w:r>
      <w:r>
        <w:rPr/>
        <w:t>en</w:t>
      </w:r>
      <w:r>
        <w:rPr>
          <w:spacing w:val="40"/>
        </w:rPr>
        <w:t> </w:t>
      </w:r>
      <w:r>
        <w:rPr/>
        <w:t>torno</w:t>
      </w:r>
      <w:r>
        <w:rPr>
          <w:spacing w:val="40"/>
        </w:rPr>
        <w:t> </w:t>
      </w:r>
      <w:r>
        <w:rPr/>
        <w:t>al</w:t>
      </w:r>
      <w:r>
        <w:rPr>
          <w:spacing w:val="40"/>
        </w:rPr>
        <w:t> </w:t>
      </w:r>
      <w:r>
        <w:rPr/>
        <w:t>9-10%,</w:t>
      </w:r>
      <w:r>
        <w:rPr>
          <w:spacing w:val="40"/>
        </w:rPr>
        <w:t> </w:t>
      </w:r>
      <w:r>
        <w:rPr/>
        <w:t>desde</w:t>
      </w:r>
      <w:r>
        <w:rPr>
          <w:spacing w:val="40"/>
        </w:rPr>
        <w:t> </w:t>
      </w:r>
      <w:r>
        <w:rPr/>
        <w:t>2018</w:t>
      </w:r>
      <w:r>
        <w:rPr>
          <w:spacing w:val="40"/>
        </w:rPr>
        <w:t> </w:t>
      </w:r>
      <w:r>
        <w:rPr/>
        <w:t>aumentó</w:t>
      </w:r>
      <w:r>
        <w:rPr>
          <w:spacing w:val="40"/>
        </w:rPr>
        <w:t> </w:t>
      </w:r>
      <w:r>
        <w:rPr/>
        <w:t>considerablemente,</w:t>
      </w:r>
    </w:p>
    <w:p>
      <w:pPr>
        <w:pStyle w:val="BodyText"/>
        <w:spacing w:after="0"/>
        <w:jc w:val="both"/>
        <w:sectPr>
          <w:pgSz w:w="12240" w:h="15840"/>
          <w:pgMar w:header="0" w:footer="1021" w:top="1340" w:bottom="1220" w:left="720" w:right="360"/>
        </w:sectPr>
      </w:pPr>
    </w:p>
    <w:p>
      <w:pPr>
        <w:pStyle w:val="BodyText"/>
        <w:spacing w:before="76"/>
        <w:ind w:left="979" w:right="1350"/>
        <w:jc w:val="both"/>
      </w:pPr>
      <w:r>
        <w:rPr/>
        <w:t>alcanzando un pico del 19,98% en 2020. Esta cifra evidenció el fuerte impacto de la pandemia en el mercado laboral. Sin embargo, a partir de 2021 la tasa de desempleo disminuyó</w:t>
      </w:r>
      <w:r>
        <w:rPr>
          <w:spacing w:val="-10"/>
        </w:rPr>
        <w:t> </w:t>
      </w:r>
      <w:r>
        <w:rPr/>
        <w:t>progresivamente</w:t>
      </w:r>
      <w:r>
        <w:rPr>
          <w:spacing w:val="-14"/>
        </w:rPr>
        <w:t> </w:t>
      </w:r>
      <w:r>
        <w:rPr/>
        <w:t>hasta</w:t>
      </w:r>
      <w:r>
        <w:rPr>
          <w:spacing w:val="-14"/>
        </w:rPr>
        <w:t> </w:t>
      </w:r>
      <w:r>
        <w:rPr/>
        <w:t>alcanzar</w:t>
      </w:r>
      <w:r>
        <w:rPr>
          <w:spacing w:val="-12"/>
        </w:rPr>
        <w:t> </w:t>
      </w:r>
      <w:r>
        <w:rPr/>
        <w:t>un</w:t>
      </w:r>
      <w:r>
        <w:rPr>
          <w:spacing w:val="-14"/>
        </w:rPr>
        <w:t> </w:t>
      </w:r>
      <w:r>
        <w:rPr/>
        <w:t>6,88%</w:t>
      </w:r>
      <w:r>
        <w:rPr>
          <w:spacing w:val="-10"/>
        </w:rPr>
        <w:t> </w:t>
      </w:r>
      <w:r>
        <w:rPr/>
        <w:t>en</w:t>
      </w:r>
      <w:r>
        <w:rPr>
          <w:spacing w:val="-14"/>
        </w:rPr>
        <w:t> </w:t>
      </w:r>
      <w:r>
        <w:rPr/>
        <w:t>2024,</w:t>
      </w:r>
      <w:r>
        <w:rPr>
          <w:spacing w:val="-15"/>
        </w:rPr>
        <w:t> </w:t>
      </w:r>
      <w:r>
        <w:rPr/>
        <w:t>el</w:t>
      </w:r>
      <w:r>
        <w:rPr>
          <w:spacing w:val="-12"/>
        </w:rPr>
        <w:t> </w:t>
      </w:r>
      <w:r>
        <w:rPr/>
        <w:t>nivel</w:t>
      </w:r>
      <w:r>
        <w:rPr>
          <w:spacing w:val="-16"/>
        </w:rPr>
        <w:t> </w:t>
      </w:r>
      <w:r>
        <w:rPr/>
        <w:t>más</w:t>
      </w:r>
      <w:r>
        <w:rPr>
          <w:spacing w:val="-15"/>
        </w:rPr>
        <w:t> </w:t>
      </w:r>
      <w:r>
        <w:rPr/>
        <w:t>bajo</w:t>
      </w:r>
      <w:r>
        <w:rPr>
          <w:spacing w:val="-9"/>
        </w:rPr>
        <w:t> </w:t>
      </w:r>
      <w:r>
        <w:rPr/>
        <w:t>del</w:t>
      </w:r>
      <w:r>
        <w:rPr>
          <w:spacing w:val="-12"/>
        </w:rPr>
        <w:t> </w:t>
      </w:r>
      <w:r>
        <w:rPr/>
        <w:t>período </w:t>
      </w:r>
      <w:r>
        <w:rPr>
          <w:spacing w:val="-2"/>
        </w:rPr>
        <w:t>analizado.</w:t>
      </w:r>
    </w:p>
    <w:p>
      <w:pPr>
        <w:pStyle w:val="BodyText"/>
        <w:spacing w:before="251"/>
        <w:ind w:left="979" w:right="1334"/>
        <w:jc w:val="both"/>
      </w:pPr>
      <w:r>
        <w:rPr/>
        <w:t>Por su parte, el coeficiente de Gini, indicador clave de desigualdad ha mostrado leves fluctuaciones, pero con una tendencia general a la baja, como ya se había señalado anteriormente. Este coeficiente alcanzó su valor máximo en 2013 (0,519) y cerró en 2024 con 0,492, el nivel más bajo del período, lo cual sugiere una reducción moderada en la desigualdad de ingresos. A pesar de estas mejoras, el nivel de desigualdad sigue siendo elevado, lo que indica que el crecimiento económico no ha sido plenamente redistributivo. En conjunto, estos resultados reflejan una economía que ha logrado recuperarse y crecer tras las crisis, pero que aún enfrenta desafíos estructurales importantes en términos de equidad, empleo de calidad y cohesión social.</w:t>
      </w:r>
    </w:p>
    <w:p>
      <w:pPr>
        <w:pStyle w:val="BodyText"/>
      </w:pPr>
    </w:p>
    <w:p>
      <w:pPr>
        <w:pStyle w:val="Heading2"/>
        <w:ind w:left="5224" w:right="894" w:hanging="4149"/>
      </w:pPr>
      <w:bookmarkStart w:name="_bookmark29" w:id="30"/>
      <w:bookmarkEnd w:id="30"/>
      <w:r>
        <w:rPr>
          <w:b w:val="0"/>
        </w:rPr>
      </w:r>
      <w:r>
        <w:rPr/>
        <w:t>Tabla</w:t>
      </w:r>
      <w:r>
        <w:rPr>
          <w:spacing w:val="-4"/>
        </w:rPr>
        <w:t> </w:t>
      </w:r>
      <w:r>
        <w:rPr/>
        <w:t>9:</w:t>
      </w:r>
      <w:r>
        <w:rPr>
          <w:spacing w:val="-4"/>
        </w:rPr>
        <w:t> </w:t>
      </w:r>
      <w:r>
        <w:rPr/>
        <w:t>Costa Rica:</w:t>
      </w:r>
      <w:r>
        <w:rPr>
          <w:spacing w:val="-9"/>
        </w:rPr>
        <w:t> </w:t>
      </w:r>
      <w:r>
        <w:rPr/>
        <w:t>Indicadores</w:t>
      </w:r>
      <w:r>
        <w:rPr>
          <w:spacing w:val="-5"/>
        </w:rPr>
        <w:t> </w:t>
      </w:r>
      <w:r>
        <w:rPr/>
        <w:t>macroeconómicos</w:t>
      </w:r>
      <w:r>
        <w:rPr>
          <w:spacing w:val="-1"/>
        </w:rPr>
        <w:t> </w:t>
      </w:r>
      <w:r>
        <w:rPr/>
        <w:t>y</w:t>
      </w:r>
      <w:r>
        <w:rPr>
          <w:spacing w:val="-5"/>
        </w:rPr>
        <w:t> </w:t>
      </w:r>
      <w:r>
        <w:rPr/>
        <w:t>sociales</w:t>
      </w:r>
      <w:r>
        <w:rPr>
          <w:spacing w:val="-1"/>
        </w:rPr>
        <w:t> </w:t>
      </w:r>
      <w:r>
        <w:rPr/>
        <w:t>seleccionados,</w:t>
      </w:r>
      <w:r>
        <w:rPr>
          <w:spacing w:val="-6"/>
        </w:rPr>
        <w:t> </w:t>
      </w:r>
      <w:r>
        <w:rPr/>
        <w:t>2010-</w:t>
      </w:r>
      <w:r>
        <w:rPr>
          <w:spacing w:val="-4"/>
        </w:rPr>
        <w:t>2024</w:t>
      </w:r>
    </w:p>
    <w:p>
      <w:pPr>
        <w:pStyle w:val="BodyText"/>
        <w:spacing w:before="10"/>
        <w:rPr>
          <w:b/>
          <w:sz w:val="20"/>
        </w:rPr>
      </w:pPr>
      <w:r>
        <w:rPr>
          <w:b/>
          <w:sz w:val="20"/>
        </w:rPr>
        <w:drawing>
          <wp:anchor distT="0" distB="0" distL="0" distR="0" allowOverlap="1" layoutInCell="1" locked="0" behindDoc="1" simplePos="0" relativeHeight="487593984">
            <wp:simplePos x="0" y="0"/>
            <wp:positionH relativeFrom="page">
              <wp:posOffset>1066566</wp:posOffset>
            </wp:positionH>
            <wp:positionV relativeFrom="paragraph">
              <wp:posOffset>167649</wp:posOffset>
            </wp:positionV>
            <wp:extent cx="5887906" cy="2130933"/>
            <wp:effectExtent l="0" t="0" r="0" b="0"/>
            <wp:wrapTopAndBottom/>
            <wp:docPr id="68" name="Image 68" descr="Interfaz de usuario gráfica, Texto, Aplicación, Correo electrónico  El contenido generado por IA puede ser incorrecto."/>
            <wp:cNvGraphicFramePr>
              <a:graphicFrameLocks/>
            </wp:cNvGraphicFramePr>
            <a:graphic>
              <a:graphicData uri="http://schemas.openxmlformats.org/drawingml/2006/picture">
                <pic:pic>
                  <pic:nvPicPr>
                    <pic:cNvPr id="68" name="Image 68" descr="Interfaz de usuario gráfica, Texto, Aplicación, Correo electrónico  El contenido generado por IA puede ser incorrecto."/>
                    <pic:cNvPicPr/>
                  </pic:nvPicPr>
                  <pic:blipFill>
                    <a:blip r:embed="rId47" cstate="print"/>
                    <a:stretch>
                      <a:fillRect/>
                    </a:stretch>
                  </pic:blipFill>
                  <pic:spPr>
                    <a:xfrm>
                      <a:off x="0" y="0"/>
                      <a:ext cx="5887906" cy="2130933"/>
                    </a:xfrm>
                    <a:prstGeom prst="rect">
                      <a:avLst/>
                    </a:prstGeom>
                  </pic:spPr>
                </pic:pic>
              </a:graphicData>
            </a:graphic>
          </wp:anchor>
        </w:drawing>
      </w:r>
    </w:p>
    <w:p>
      <w:pPr>
        <w:pStyle w:val="BodyText"/>
        <w:spacing w:before="24"/>
        <w:rPr>
          <w:b/>
        </w:rPr>
      </w:pPr>
    </w:p>
    <w:p>
      <w:pPr>
        <w:spacing w:before="0"/>
        <w:ind w:left="979" w:right="1335" w:firstLine="0"/>
        <w:jc w:val="both"/>
        <w:rPr>
          <w:sz w:val="18"/>
        </w:rPr>
      </w:pPr>
      <w:r>
        <w:rPr>
          <w:sz w:val="18"/>
        </w:rPr>
        <w:t>Fuente: Elaboración propia con datos de BCCR (2024), e INEC (2024). Encuesta Continua de Empleo (ECE) [IV trimestre de cada año].</w:t>
      </w:r>
    </w:p>
    <w:p>
      <w:pPr>
        <w:pStyle w:val="BodyText"/>
        <w:rPr>
          <w:sz w:val="18"/>
        </w:rPr>
      </w:pPr>
    </w:p>
    <w:p>
      <w:pPr>
        <w:pStyle w:val="BodyText"/>
        <w:spacing w:before="46"/>
        <w:rPr>
          <w:sz w:val="18"/>
        </w:rPr>
      </w:pPr>
    </w:p>
    <w:p>
      <w:pPr>
        <w:pStyle w:val="BodyText"/>
        <w:ind w:left="979" w:right="1350"/>
        <w:jc w:val="both"/>
      </w:pPr>
      <w:r>
        <w:rPr/>
        <w:t>El análisis del gráfico 10 sobre la tasa neta de participación laboral en Costa Rica entre 1990 y 2024 revela importantes transformaciones en la dinámica laboral del país, especialmente en lo que respecta a la evolución de la participación femenina y la persistencia de la brecha de género.</w:t>
      </w:r>
    </w:p>
    <w:p>
      <w:pPr>
        <w:pStyle w:val="BodyText"/>
        <w:spacing w:before="3"/>
      </w:pPr>
    </w:p>
    <w:p>
      <w:pPr>
        <w:pStyle w:val="BodyText"/>
        <w:ind w:left="979" w:right="1333"/>
        <w:jc w:val="both"/>
      </w:pPr>
      <w:r>
        <w:rPr/>
        <w:t>Durante el período analizado, la tasa general de participación laboral de personas de 15 años o</w:t>
      </w:r>
      <w:r>
        <w:rPr>
          <w:spacing w:val="-2"/>
        </w:rPr>
        <w:t> </w:t>
      </w:r>
      <w:r>
        <w:rPr/>
        <w:t>más osciló entre el 55% y 61%, alcanzando su punto más alto en 2007 (61,44%) y su</w:t>
      </w:r>
      <w:r>
        <w:rPr>
          <w:spacing w:val="-9"/>
        </w:rPr>
        <w:t> </w:t>
      </w:r>
      <w:r>
        <w:rPr/>
        <w:t>punto</w:t>
      </w:r>
      <w:r>
        <w:rPr>
          <w:spacing w:val="-14"/>
        </w:rPr>
        <w:t> </w:t>
      </w:r>
      <w:r>
        <w:rPr/>
        <w:t>más</w:t>
      </w:r>
      <w:r>
        <w:rPr>
          <w:spacing w:val="-11"/>
        </w:rPr>
        <w:t> </w:t>
      </w:r>
      <w:r>
        <w:rPr/>
        <w:t>bajo</w:t>
      </w:r>
      <w:r>
        <w:rPr>
          <w:spacing w:val="-14"/>
        </w:rPr>
        <w:t> </w:t>
      </w:r>
      <w:r>
        <w:rPr/>
        <w:t>en</w:t>
      </w:r>
      <w:r>
        <w:rPr>
          <w:spacing w:val="-14"/>
        </w:rPr>
        <w:t> </w:t>
      </w:r>
      <w:r>
        <w:rPr/>
        <w:t>2020</w:t>
      </w:r>
      <w:r>
        <w:rPr>
          <w:spacing w:val="-9"/>
        </w:rPr>
        <w:t> </w:t>
      </w:r>
      <w:r>
        <w:rPr/>
        <w:t>(53,07%),</w:t>
      </w:r>
      <w:r>
        <w:rPr>
          <w:spacing w:val="-10"/>
        </w:rPr>
        <w:t> </w:t>
      </w:r>
      <w:r>
        <w:rPr/>
        <w:t>como</w:t>
      </w:r>
      <w:r>
        <w:rPr>
          <w:spacing w:val="-9"/>
        </w:rPr>
        <w:t> </w:t>
      </w:r>
      <w:r>
        <w:rPr/>
        <w:t>consecuencia</w:t>
      </w:r>
      <w:r>
        <w:rPr>
          <w:spacing w:val="-14"/>
        </w:rPr>
        <w:t> </w:t>
      </w:r>
      <w:r>
        <w:rPr/>
        <w:t>directa</w:t>
      </w:r>
      <w:r>
        <w:rPr>
          <w:spacing w:val="-9"/>
        </w:rPr>
        <w:t> </w:t>
      </w:r>
      <w:r>
        <w:rPr/>
        <w:t>de</w:t>
      </w:r>
      <w:r>
        <w:rPr>
          <w:spacing w:val="-9"/>
        </w:rPr>
        <w:t> </w:t>
      </w:r>
      <w:r>
        <w:rPr/>
        <w:t>la</w:t>
      </w:r>
      <w:r>
        <w:rPr>
          <w:spacing w:val="-14"/>
        </w:rPr>
        <w:t> </w:t>
      </w:r>
      <w:r>
        <w:rPr/>
        <w:t>crisis</w:t>
      </w:r>
      <w:r>
        <w:rPr>
          <w:spacing w:val="-11"/>
        </w:rPr>
        <w:t> </w:t>
      </w:r>
      <w:r>
        <w:rPr/>
        <w:t>provocada</w:t>
      </w:r>
      <w:r>
        <w:rPr>
          <w:spacing w:val="-14"/>
        </w:rPr>
        <w:t> </w:t>
      </w:r>
      <w:r>
        <w:rPr/>
        <w:t>por la</w:t>
      </w:r>
      <w:r>
        <w:rPr>
          <w:spacing w:val="-9"/>
        </w:rPr>
        <w:t> </w:t>
      </w:r>
      <w:r>
        <w:rPr/>
        <w:t>pandemia</w:t>
      </w:r>
      <w:r>
        <w:rPr>
          <w:spacing w:val="-9"/>
        </w:rPr>
        <w:t> </w:t>
      </w:r>
      <w:r>
        <w:rPr/>
        <w:t>del</w:t>
      </w:r>
      <w:r>
        <w:rPr>
          <w:spacing w:val="-12"/>
        </w:rPr>
        <w:t> </w:t>
      </w:r>
      <w:r>
        <w:rPr/>
        <w:t>COVID-19.</w:t>
      </w:r>
      <w:r>
        <w:rPr>
          <w:spacing w:val="-10"/>
        </w:rPr>
        <w:t> </w:t>
      </w:r>
      <w:r>
        <w:rPr/>
        <w:t>A</w:t>
      </w:r>
      <w:r>
        <w:rPr>
          <w:spacing w:val="-9"/>
        </w:rPr>
        <w:t> </w:t>
      </w:r>
      <w:r>
        <w:rPr/>
        <w:t>partir</w:t>
      </w:r>
      <w:r>
        <w:rPr>
          <w:spacing w:val="-12"/>
        </w:rPr>
        <w:t> </w:t>
      </w:r>
      <w:r>
        <w:rPr/>
        <w:t>de</w:t>
      </w:r>
      <w:r>
        <w:rPr>
          <w:spacing w:val="-9"/>
        </w:rPr>
        <w:t> </w:t>
      </w:r>
      <w:r>
        <w:rPr/>
        <w:t>2021,</w:t>
      </w:r>
      <w:r>
        <w:rPr>
          <w:spacing w:val="-10"/>
        </w:rPr>
        <w:t> </w:t>
      </w:r>
      <w:r>
        <w:rPr/>
        <w:t>se</w:t>
      </w:r>
      <w:r>
        <w:rPr>
          <w:spacing w:val="-14"/>
        </w:rPr>
        <w:t> </w:t>
      </w:r>
      <w:r>
        <w:rPr/>
        <w:t>observa</w:t>
      </w:r>
      <w:r>
        <w:rPr>
          <w:spacing w:val="-14"/>
        </w:rPr>
        <w:t> </w:t>
      </w:r>
      <w:r>
        <w:rPr/>
        <w:t>una</w:t>
      </w:r>
      <w:r>
        <w:rPr>
          <w:spacing w:val="-4"/>
        </w:rPr>
        <w:t> </w:t>
      </w:r>
      <w:r>
        <w:rPr/>
        <w:t>leve</w:t>
      </w:r>
      <w:r>
        <w:rPr>
          <w:spacing w:val="-9"/>
        </w:rPr>
        <w:t> </w:t>
      </w:r>
      <w:r>
        <w:rPr/>
        <w:t>recuperación,</w:t>
      </w:r>
      <w:r>
        <w:rPr>
          <w:spacing w:val="-10"/>
        </w:rPr>
        <w:t> </w:t>
      </w:r>
      <w:r>
        <w:rPr/>
        <w:t>situándose en 54,45% en 2024, aunque aún por debajo de los niveles prepandemia.</w:t>
      </w:r>
    </w:p>
    <w:p>
      <w:pPr>
        <w:pStyle w:val="BodyText"/>
        <w:spacing w:before="253"/>
        <w:ind w:left="979" w:right="1336"/>
        <w:jc w:val="both"/>
      </w:pPr>
      <w:r>
        <w:rPr/>
        <w:t>La</w:t>
      </w:r>
      <w:r>
        <w:rPr>
          <w:spacing w:val="-10"/>
        </w:rPr>
        <w:t> </w:t>
      </w:r>
      <w:r>
        <w:rPr/>
        <w:t>participación</w:t>
      </w:r>
      <w:r>
        <w:rPr>
          <w:spacing w:val="-9"/>
        </w:rPr>
        <w:t> </w:t>
      </w:r>
      <w:r>
        <w:rPr/>
        <w:t>laboral</w:t>
      </w:r>
      <w:r>
        <w:rPr>
          <w:spacing w:val="-16"/>
        </w:rPr>
        <w:t> </w:t>
      </w:r>
      <w:r>
        <w:rPr/>
        <w:t>masculina,</w:t>
      </w:r>
      <w:r>
        <w:rPr>
          <w:spacing w:val="-9"/>
        </w:rPr>
        <w:t> </w:t>
      </w:r>
      <w:r>
        <w:rPr/>
        <w:t>aunque</w:t>
      </w:r>
      <w:r>
        <w:rPr>
          <w:spacing w:val="-9"/>
        </w:rPr>
        <w:t> </w:t>
      </w:r>
      <w:r>
        <w:rPr/>
        <w:t>históricamente</w:t>
      </w:r>
      <w:r>
        <w:rPr>
          <w:spacing w:val="-14"/>
        </w:rPr>
        <w:t> </w:t>
      </w:r>
      <w:r>
        <w:rPr/>
        <w:t>más</w:t>
      </w:r>
      <w:r>
        <w:rPr>
          <w:spacing w:val="-16"/>
        </w:rPr>
        <w:t> </w:t>
      </w:r>
      <w:r>
        <w:rPr/>
        <w:t>alta,</w:t>
      </w:r>
      <w:r>
        <w:rPr>
          <w:spacing w:val="-9"/>
        </w:rPr>
        <w:t> </w:t>
      </w:r>
      <w:r>
        <w:rPr/>
        <w:t>muestra</w:t>
      </w:r>
      <w:r>
        <w:rPr>
          <w:spacing w:val="-9"/>
        </w:rPr>
        <w:t> </w:t>
      </w:r>
      <w:r>
        <w:rPr/>
        <w:t>una</w:t>
      </w:r>
      <w:r>
        <w:rPr>
          <w:spacing w:val="-14"/>
        </w:rPr>
        <w:t> </w:t>
      </w:r>
      <w:r>
        <w:rPr/>
        <w:t>tendencia decreciente sostenida. En 1990, el 82,53% de los hombres participaban en el mercado laboral, pero para 2024 esta cifra se redujo a 67,37%, evidenciando una caída de más de 15</w:t>
      </w:r>
      <w:r>
        <w:rPr>
          <w:spacing w:val="-11"/>
        </w:rPr>
        <w:t> </w:t>
      </w:r>
      <w:r>
        <w:rPr/>
        <w:t>puntos</w:t>
      </w:r>
      <w:r>
        <w:rPr>
          <w:spacing w:val="-16"/>
        </w:rPr>
        <w:t> </w:t>
      </w:r>
      <w:r>
        <w:rPr/>
        <w:t>porcentuales.</w:t>
      </w:r>
      <w:r>
        <w:rPr>
          <w:spacing w:val="-9"/>
        </w:rPr>
        <w:t> </w:t>
      </w:r>
      <w:r>
        <w:rPr/>
        <w:t>Esta</w:t>
      </w:r>
      <w:r>
        <w:rPr>
          <w:spacing w:val="-9"/>
        </w:rPr>
        <w:t> </w:t>
      </w:r>
      <w:r>
        <w:rPr/>
        <w:t>reducción</w:t>
      </w:r>
      <w:r>
        <w:rPr>
          <w:spacing w:val="-14"/>
        </w:rPr>
        <w:t> </w:t>
      </w:r>
      <w:r>
        <w:rPr/>
        <w:t>puede</w:t>
      </w:r>
      <w:r>
        <w:rPr>
          <w:spacing w:val="-9"/>
        </w:rPr>
        <w:t> </w:t>
      </w:r>
      <w:r>
        <w:rPr/>
        <w:t>explicarse</w:t>
      </w:r>
      <w:r>
        <w:rPr>
          <w:spacing w:val="-9"/>
        </w:rPr>
        <w:t> </w:t>
      </w:r>
      <w:r>
        <w:rPr/>
        <w:t>por</w:t>
      </w:r>
      <w:r>
        <w:rPr>
          <w:spacing w:val="-16"/>
        </w:rPr>
        <w:t> </w:t>
      </w:r>
      <w:r>
        <w:rPr/>
        <w:t>múltiples</w:t>
      </w:r>
      <w:r>
        <w:rPr>
          <w:spacing w:val="-10"/>
        </w:rPr>
        <w:t> </w:t>
      </w:r>
      <w:r>
        <w:rPr/>
        <w:t>factores,</w:t>
      </w:r>
      <w:r>
        <w:rPr>
          <w:spacing w:val="-10"/>
        </w:rPr>
        <w:t> </w:t>
      </w:r>
      <w:r>
        <w:rPr/>
        <w:t>incluyendo</w:t>
      </w:r>
    </w:p>
    <w:p>
      <w:pPr>
        <w:pStyle w:val="BodyText"/>
        <w:spacing w:after="0"/>
        <w:jc w:val="both"/>
        <w:sectPr>
          <w:pgSz w:w="12240" w:h="15840"/>
          <w:pgMar w:header="0" w:footer="1021" w:top="1340" w:bottom="1220" w:left="720" w:right="360"/>
        </w:sectPr>
      </w:pPr>
    </w:p>
    <w:p>
      <w:pPr>
        <w:pStyle w:val="BodyText"/>
        <w:spacing w:before="76"/>
        <w:ind w:left="979" w:right="1349"/>
        <w:jc w:val="both"/>
      </w:pPr>
      <w:r>
        <w:rPr/>
        <w:t>el envejecimiento poblacional, cambios estructurales en el mercado laboral y mayores niveles de educación que pueden haber pospuesto el ingreso laboral.</w:t>
      </w:r>
    </w:p>
    <w:p>
      <w:pPr>
        <w:pStyle w:val="BodyText"/>
        <w:spacing w:before="253"/>
        <w:ind w:left="979" w:right="1334"/>
        <w:jc w:val="both"/>
      </w:pPr>
      <w:r>
        <w:rPr/>
        <w:t>Por otro lado, la participación femenina ha mostrado una evolución positiva a lo largo del período. En 1990, solo el 32,55% de las mujeres mayores de 15 años participaban en el mercado</w:t>
      </w:r>
      <w:r>
        <w:rPr>
          <w:spacing w:val="-10"/>
        </w:rPr>
        <w:t> </w:t>
      </w:r>
      <w:r>
        <w:rPr/>
        <w:t>laboral.</w:t>
      </w:r>
      <w:r>
        <w:rPr>
          <w:spacing w:val="-16"/>
        </w:rPr>
        <w:t> </w:t>
      </w:r>
      <w:r>
        <w:rPr/>
        <w:t>Para</w:t>
      </w:r>
      <w:r>
        <w:rPr>
          <w:spacing w:val="-14"/>
        </w:rPr>
        <w:t> </w:t>
      </w:r>
      <w:r>
        <w:rPr/>
        <w:t>2024,</w:t>
      </w:r>
      <w:r>
        <w:rPr>
          <w:spacing w:val="-16"/>
        </w:rPr>
        <w:t> </w:t>
      </w:r>
      <w:r>
        <w:rPr/>
        <w:t>esa</w:t>
      </w:r>
      <w:r>
        <w:rPr>
          <w:spacing w:val="-14"/>
        </w:rPr>
        <w:t> </w:t>
      </w:r>
      <w:r>
        <w:rPr/>
        <w:t>cifra</w:t>
      </w:r>
      <w:r>
        <w:rPr>
          <w:spacing w:val="-15"/>
        </w:rPr>
        <w:t> </w:t>
      </w:r>
      <w:r>
        <w:rPr/>
        <w:t>aumentó</w:t>
      </w:r>
      <w:r>
        <w:rPr>
          <w:spacing w:val="-15"/>
        </w:rPr>
        <w:t> </w:t>
      </w:r>
      <w:r>
        <w:rPr/>
        <w:t>a</w:t>
      </w:r>
      <w:r>
        <w:rPr>
          <w:spacing w:val="-15"/>
        </w:rPr>
        <w:t> </w:t>
      </w:r>
      <w:r>
        <w:rPr/>
        <w:t>43,01%,</w:t>
      </w:r>
      <w:r>
        <w:rPr>
          <w:spacing w:val="-15"/>
        </w:rPr>
        <w:t> </w:t>
      </w:r>
      <w:r>
        <w:rPr/>
        <w:t>representando</w:t>
      </w:r>
      <w:r>
        <w:rPr>
          <w:spacing w:val="-15"/>
        </w:rPr>
        <w:t> </w:t>
      </w:r>
      <w:r>
        <w:rPr/>
        <w:t>un</w:t>
      </w:r>
      <w:r>
        <w:rPr>
          <w:spacing w:val="-15"/>
        </w:rPr>
        <w:t> </w:t>
      </w:r>
      <w:r>
        <w:rPr/>
        <w:t>avance</w:t>
      </w:r>
      <w:r>
        <w:rPr>
          <w:spacing w:val="-1"/>
        </w:rPr>
        <w:t> </w:t>
      </w:r>
      <w:r>
        <w:rPr/>
        <w:t>de</w:t>
      </w:r>
      <w:r>
        <w:rPr>
          <w:spacing w:val="-15"/>
        </w:rPr>
        <w:t> </w:t>
      </w:r>
      <w:r>
        <w:rPr/>
        <w:t>más de</w:t>
      </w:r>
      <w:r>
        <w:rPr>
          <w:spacing w:val="-9"/>
        </w:rPr>
        <w:t> </w:t>
      </w:r>
      <w:r>
        <w:rPr/>
        <w:t>10</w:t>
      </w:r>
      <w:r>
        <w:rPr>
          <w:spacing w:val="-9"/>
        </w:rPr>
        <w:t> </w:t>
      </w:r>
      <w:r>
        <w:rPr/>
        <w:t>puntos</w:t>
      </w:r>
      <w:r>
        <w:rPr>
          <w:spacing w:val="-11"/>
        </w:rPr>
        <w:t> </w:t>
      </w:r>
      <w:r>
        <w:rPr/>
        <w:t>porcentuales.</w:t>
      </w:r>
      <w:r>
        <w:rPr>
          <w:spacing w:val="-10"/>
        </w:rPr>
        <w:t> </w:t>
      </w:r>
      <w:r>
        <w:rPr/>
        <w:t>Aunque</w:t>
      </w:r>
      <w:r>
        <w:rPr>
          <w:spacing w:val="-9"/>
        </w:rPr>
        <w:t> </w:t>
      </w:r>
      <w:r>
        <w:rPr/>
        <w:t>esta</w:t>
      </w:r>
      <w:r>
        <w:rPr>
          <w:spacing w:val="-9"/>
        </w:rPr>
        <w:t> </w:t>
      </w:r>
      <w:r>
        <w:rPr/>
        <w:t>mejora</w:t>
      </w:r>
      <w:r>
        <w:rPr>
          <w:spacing w:val="-9"/>
        </w:rPr>
        <w:t> </w:t>
      </w:r>
      <w:r>
        <w:rPr/>
        <w:t>es</w:t>
      </w:r>
      <w:r>
        <w:rPr>
          <w:spacing w:val="-6"/>
        </w:rPr>
        <w:t> </w:t>
      </w:r>
      <w:r>
        <w:rPr/>
        <w:t>significativa,</w:t>
      </w:r>
      <w:r>
        <w:rPr>
          <w:spacing w:val="-10"/>
        </w:rPr>
        <w:t> </w:t>
      </w:r>
      <w:r>
        <w:rPr/>
        <w:t>la</w:t>
      </w:r>
      <w:r>
        <w:rPr>
          <w:spacing w:val="-9"/>
        </w:rPr>
        <w:t> </w:t>
      </w:r>
      <w:r>
        <w:rPr/>
        <w:t>tasa</w:t>
      </w:r>
      <w:r>
        <w:rPr>
          <w:spacing w:val="-9"/>
        </w:rPr>
        <w:t> </w:t>
      </w:r>
      <w:r>
        <w:rPr/>
        <w:t>se</w:t>
      </w:r>
      <w:r>
        <w:rPr>
          <w:spacing w:val="-9"/>
        </w:rPr>
        <w:t> </w:t>
      </w:r>
      <w:r>
        <w:rPr/>
        <w:t>ha</w:t>
      </w:r>
      <w:r>
        <w:rPr>
          <w:spacing w:val="-9"/>
        </w:rPr>
        <w:t> </w:t>
      </w:r>
      <w:r>
        <w:rPr/>
        <w:t>estancado</w:t>
      </w:r>
      <w:r>
        <w:rPr>
          <w:spacing w:val="-9"/>
        </w:rPr>
        <w:t> </w:t>
      </w:r>
      <w:r>
        <w:rPr/>
        <w:t>en los últimos años, especialmente después del retroceso que implicó la pandemia en 2020, cuando bajó a 39,99%. La recuperación ha sido gradual pero insuficiente para cerrar la histórica brecha de género.</w:t>
      </w:r>
    </w:p>
    <w:p>
      <w:pPr>
        <w:pStyle w:val="BodyText"/>
        <w:spacing w:before="2"/>
      </w:pPr>
    </w:p>
    <w:p>
      <w:pPr>
        <w:pStyle w:val="BodyText"/>
        <w:ind w:left="979" w:right="1336"/>
        <w:jc w:val="both"/>
      </w:pPr>
      <w:r>
        <w:rPr/>
        <w:t>La brecha de participación laboral entre hombres y mujeres ha disminuido notablemente, pasando</w:t>
      </w:r>
      <w:r>
        <w:rPr>
          <w:spacing w:val="-8"/>
        </w:rPr>
        <w:t> </w:t>
      </w:r>
      <w:r>
        <w:rPr/>
        <w:t>de</w:t>
      </w:r>
      <w:r>
        <w:rPr>
          <w:spacing w:val="-8"/>
        </w:rPr>
        <w:t> </w:t>
      </w:r>
      <w:r>
        <w:rPr/>
        <w:t>casi</w:t>
      </w:r>
      <w:r>
        <w:rPr>
          <w:spacing w:val="-3"/>
        </w:rPr>
        <w:t> </w:t>
      </w:r>
      <w:r>
        <w:rPr/>
        <w:t>-50</w:t>
      </w:r>
      <w:r>
        <w:rPr>
          <w:spacing w:val="-8"/>
        </w:rPr>
        <w:t> </w:t>
      </w:r>
      <w:r>
        <w:rPr/>
        <w:t>puntos</w:t>
      </w:r>
      <w:r>
        <w:rPr>
          <w:spacing w:val="-10"/>
        </w:rPr>
        <w:t> </w:t>
      </w:r>
      <w:r>
        <w:rPr/>
        <w:t>porcentuales</w:t>
      </w:r>
      <w:r>
        <w:rPr>
          <w:spacing w:val="-10"/>
        </w:rPr>
        <w:t> </w:t>
      </w:r>
      <w:r>
        <w:rPr/>
        <w:t>en</w:t>
      </w:r>
      <w:r>
        <w:rPr>
          <w:spacing w:val="-8"/>
        </w:rPr>
        <w:t> </w:t>
      </w:r>
      <w:r>
        <w:rPr/>
        <w:t>1990</w:t>
      </w:r>
      <w:r>
        <w:rPr>
          <w:spacing w:val="-13"/>
        </w:rPr>
        <w:t> </w:t>
      </w:r>
      <w:r>
        <w:rPr/>
        <w:t>a -24,36</w:t>
      </w:r>
      <w:r>
        <w:rPr>
          <w:spacing w:val="-8"/>
        </w:rPr>
        <w:t> </w:t>
      </w:r>
      <w:r>
        <w:rPr/>
        <w:t>puntos</w:t>
      </w:r>
      <w:r>
        <w:rPr>
          <w:spacing w:val="-10"/>
        </w:rPr>
        <w:t> </w:t>
      </w:r>
      <w:r>
        <w:rPr/>
        <w:t>en</w:t>
      </w:r>
      <w:r>
        <w:rPr>
          <w:spacing w:val="-8"/>
        </w:rPr>
        <w:t> </w:t>
      </w:r>
      <w:r>
        <w:rPr/>
        <w:t>2024.</w:t>
      </w:r>
      <w:r>
        <w:rPr>
          <w:spacing w:val="-9"/>
        </w:rPr>
        <w:t> </w:t>
      </w:r>
      <w:r>
        <w:rPr/>
        <w:t>Esta</w:t>
      </w:r>
      <w:r>
        <w:rPr>
          <w:spacing w:val="-3"/>
        </w:rPr>
        <w:t> </w:t>
      </w:r>
      <w:r>
        <w:rPr/>
        <w:t>reducción refleja</w:t>
      </w:r>
      <w:r>
        <w:rPr>
          <w:spacing w:val="-10"/>
        </w:rPr>
        <w:t> </w:t>
      </w:r>
      <w:r>
        <w:rPr/>
        <w:t>un</w:t>
      </w:r>
      <w:r>
        <w:rPr>
          <w:spacing w:val="-10"/>
        </w:rPr>
        <w:t> </w:t>
      </w:r>
      <w:r>
        <w:rPr/>
        <w:t>proceso</w:t>
      </w:r>
      <w:r>
        <w:rPr>
          <w:spacing w:val="-10"/>
        </w:rPr>
        <w:t> </w:t>
      </w:r>
      <w:r>
        <w:rPr/>
        <w:t>de</w:t>
      </w:r>
      <w:r>
        <w:rPr>
          <w:spacing w:val="-10"/>
        </w:rPr>
        <w:t> </w:t>
      </w:r>
      <w:r>
        <w:rPr/>
        <w:t>convergencia</w:t>
      </w:r>
      <w:r>
        <w:rPr>
          <w:spacing w:val="-10"/>
        </w:rPr>
        <w:t> </w:t>
      </w:r>
      <w:r>
        <w:rPr/>
        <w:t>en</w:t>
      </w:r>
      <w:r>
        <w:rPr>
          <w:spacing w:val="-6"/>
        </w:rPr>
        <w:t> </w:t>
      </w:r>
      <w:r>
        <w:rPr/>
        <w:t>la</w:t>
      </w:r>
      <w:r>
        <w:rPr>
          <w:spacing w:val="-10"/>
        </w:rPr>
        <w:t> </w:t>
      </w:r>
      <w:r>
        <w:rPr/>
        <w:t>participación</w:t>
      </w:r>
      <w:r>
        <w:rPr>
          <w:spacing w:val="-10"/>
        </w:rPr>
        <w:t> </w:t>
      </w:r>
      <w:r>
        <w:rPr/>
        <w:t>económica</w:t>
      </w:r>
      <w:r>
        <w:rPr>
          <w:spacing w:val="-10"/>
        </w:rPr>
        <w:t> </w:t>
      </w:r>
      <w:r>
        <w:rPr/>
        <w:t>de</w:t>
      </w:r>
      <w:r>
        <w:rPr>
          <w:spacing w:val="-10"/>
        </w:rPr>
        <w:t> </w:t>
      </w:r>
      <w:r>
        <w:rPr/>
        <w:t>ambos</w:t>
      </w:r>
      <w:r>
        <w:rPr>
          <w:spacing w:val="-7"/>
        </w:rPr>
        <w:t> </w:t>
      </w:r>
      <w:r>
        <w:rPr/>
        <w:t>sexos, aunque todavía</w:t>
      </w:r>
      <w:r>
        <w:rPr>
          <w:spacing w:val="-9"/>
        </w:rPr>
        <w:t> </w:t>
      </w:r>
      <w:r>
        <w:rPr/>
        <w:t>queda</w:t>
      </w:r>
      <w:r>
        <w:rPr>
          <w:spacing w:val="-14"/>
        </w:rPr>
        <w:t> </w:t>
      </w:r>
      <w:r>
        <w:rPr/>
        <w:t>una</w:t>
      </w:r>
      <w:r>
        <w:rPr>
          <w:spacing w:val="-9"/>
        </w:rPr>
        <w:t> </w:t>
      </w:r>
      <w:r>
        <w:rPr/>
        <w:t>distancia</w:t>
      </w:r>
      <w:r>
        <w:rPr>
          <w:spacing w:val="-9"/>
        </w:rPr>
        <w:t> </w:t>
      </w:r>
      <w:r>
        <w:rPr/>
        <w:t>considerable</w:t>
      </w:r>
      <w:r>
        <w:rPr>
          <w:spacing w:val="-14"/>
        </w:rPr>
        <w:t> </w:t>
      </w:r>
      <w:r>
        <w:rPr/>
        <w:t>por</w:t>
      </w:r>
      <w:r>
        <w:rPr>
          <w:spacing w:val="-12"/>
        </w:rPr>
        <w:t> </w:t>
      </w:r>
      <w:r>
        <w:rPr/>
        <w:t>cerrar.</w:t>
      </w:r>
      <w:r>
        <w:rPr>
          <w:spacing w:val="-10"/>
        </w:rPr>
        <w:t> </w:t>
      </w:r>
      <w:r>
        <w:rPr/>
        <w:t>El</w:t>
      </w:r>
      <w:r>
        <w:rPr>
          <w:spacing w:val="-12"/>
        </w:rPr>
        <w:t> </w:t>
      </w:r>
      <w:r>
        <w:rPr/>
        <w:t>ritmo</w:t>
      </w:r>
      <w:r>
        <w:rPr>
          <w:spacing w:val="-14"/>
        </w:rPr>
        <w:t> </w:t>
      </w:r>
      <w:r>
        <w:rPr/>
        <w:t>más</w:t>
      </w:r>
      <w:r>
        <w:rPr>
          <w:spacing w:val="-16"/>
        </w:rPr>
        <w:t> </w:t>
      </w:r>
      <w:r>
        <w:rPr/>
        <w:t>acelerado</w:t>
      </w:r>
      <w:r>
        <w:rPr>
          <w:spacing w:val="-13"/>
        </w:rPr>
        <w:t> </w:t>
      </w:r>
      <w:r>
        <w:rPr/>
        <w:t>de</w:t>
      </w:r>
      <w:r>
        <w:rPr>
          <w:spacing w:val="-9"/>
        </w:rPr>
        <w:t> </w:t>
      </w:r>
      <w:r>
        <w:rPr/>
        <w:t>crecimiento en la participación femenina durante las décadas de los 90 y 2000 permitió reducir esta disparidad, pero el avance se ha desacelerado en la última década.</w:t>
      </w:r>
    </w:p>
    <w:p>
      <w:pPr>
        <w:pStyle w:val="BodyText"/>
        <w:spacing w:before="3"/>
      </w:pPr>
    </w:p>
    <w:p>
      <w:pPr>
        <w:pStyle w:val="Heading2"/>
        <w:spacing w:line="237" w:lineRule="auto"/>
        <w:ind w:left="4024" w:right="894" w:hanging="3084"/>
      </w:pPr>
      <w:bookmarkStart w:name="_bookmark30" w:id="31"/>
      <w:bookmarkEnd w:id="31"/>
      <w:r>
        <w:rPr>
          <w:b w:val="0"/>
        </w:rPr>
      </w:r>
      <w:r>
        <w:rPr/>
        <w:t>Gráfico</w:t>
      </w:r>
      <w:r>
        <w:rPr>
          <w:spacing w:val="-2"/>
        </w:rPr>
        <w:t> </w:t>
      </w:r>
      <w:r>
        <w:rPr/>
        <w:t>10:</w:t>
      </w:r>
      <w:r>
        <w:rPr>
          <w:spacing w:val="40"/>
        </w:rPr>
        <w:t> </w:t>
      </w:r>
      <w:r>
        <w:rPr/>
        <w:t>Costa</w:t>
      </w:r>
      <w:r>
        <w:rPr>
          <w:spacing w:val="-1"/>
        </w:rPr>
        <w:t> </w:t>
      </w:r>
      <w:r>
        <w:rPr/>
        <w:t>Rica</w:t>
      </w:r>
      <w:r>
        <w:rPr>
          <w:spacing w:val="-10"/>
        </w:rPr>
        <w:t> </w:t>
      </w:r>
      <w:r>
        <w:rPr/>
        <w:t>Tasa</w:t>
      </w:r>
      <w:r>
        <w:rPr>
          <w:spacing w:val="-1"/>
        </w:rPr>
        <w:t> </w:t>
      </w:r>
      <w:r>
        <w:rPr/>
        <w:t>neta</w:t>
      </w:r>
      <w:r>
        <w:rPr>
          <w:spacing w:val="-1"/>
        </w:rPr>
        <w:t> </w:t>
      </w:r>
      <w:r>
        <w:rPr/>
        <w:t>de</w:t>
      </w:r>
      <w:r>
        <w:rPr>
          <w:spacing w:val="-1"/>
        </w:rPr>
        <w:t> </w:t>
      </w:r>
      <w:r>
        <w:rPr/>
        <w:t>participación</w:t>
      </w:r>
      <w:r>
        <w:rPr>
          <w:spacing w:val="-3"/>
        </w:rPr>
        <w:t> </w:t>
      </w:r>
      <w:r>
        <w:rPr/>
        <w:t>laboral</w:t>
      </w:r>
      <w:r>
        <w:rPr>
          <w:spacing w:val="-6"/>
        </w:rPr>
        <w:t> </w:t>
      </w:r>
      <w:r>
        <w:rPr/>
        <w:t>entre</w:t>
      </w:r>
      <w:r>
        <w:rPr>
          <w:spacing w:val="-1"/>
        </w:rPr>
        <w:t> </w:t>
      </w:r>
      <w:r>
        <w:rPr/>
        <w:t>personas</w:t>
      </w:r>
      <w:r>
        <w:rPr>
          <w:spacing w:val="-1"/>
        </w:rPr>
        <w:t> </w:t>
      </w:r>
      <w:r>
        <w:rPr/>
        <w:t>de</w:t>
      </w:r>
      <w:r>
        <w:rPr>
          <w:spacing w:val="-5"/>
        </w:rPr>
        <w:t> </w:t>
      </w:r>
      <w:r>
        <w:rPr/>
        <w:t>15</w:t>
      </w:r>
      <w:r>
        <w:rPr>
          <w:spacing w:val="-5"/>
        </w:rPr>
        <w:t> </w:t>
      </w:r>
      <w:r>
        <w:rPr/>
        <w:t>años</w:t>
      </w:r>
      <w:r>
        <w:rPr>
          <w:spacing w:val="-5"/>
        </w:rPr>
        <w:t> </w:t>
      </w:r>
      <w:r>
        <w:rPr/>
        <w:t>o más según sexo, 1990-2024</w:t>
      </w:r>
    </w:p>
    <w:p>
      <w:pPr>
        <w:pStyle w:val="BodyText"/>
        <w:spacing w:before="184"/>
        <w:rPr>
          <w:b/>
          <w:sz w:val="20"/>
        </w:rPr>
      </w:pPr>
      <w:r>
        <w:rPr>
          <w:b/>
          <w:sz w:val="20"/>
        </w:rPr>
        <w:drawing>
          <wp:anchor distT="0" distB="0" distL="0" distR="0" allowOverlap="1" layoutInCell="1" locked="0" behindDoc="1" simplePos="0" relativeHeight="487594496">
            <wp:simplePos x="0" y="0"/>
            <wp:positionH relativeFrom="page">
              <wp:posOffset>1292606</wp:posOffset>
            </wp:positionH>
            <wp:positionV relativeFrom="paragraph">
              <wp:posOffset>278395</wp:posOffset>
            </wp:positionV>
            <wp:extent cx="5422842" cy="3116961"/>
            <wp:effectExtent l="0" t="0" r="0" b="0"/>
            <wp:wrapTopAndBottom/>
            <wp:docPr id="69" name="Image 69" descr="Gráfico, Gráfico de líneas  El contenido generado por IA puede ser incorrecto."/>
            <wp:cNvGraphicFramePr>
              <a:graphicFrameLocks/>
            </wp:cNvGraphicFramePr>
            <a:graphic>
              <a:graphicData uri="http://schemas.openxmlformats.org/drawingml/2006/picture">
                <pic:pic>
                  <pic:nvPicPr>
                    <pic:cNvPr id="69" name="Image 69" descr="Gráfico, Gráfico de líneas  El contenido generado por IA puede ser incorrecto."/>
                    <pic:cNvPicPr/>
                  </pic:nvPicPr>
                  <pic:blipFill>
                    <a:blip r:embed="rId48" cstate="print"/>
                    <a:stretch>
                      <a:fillRect/>
                    </a:stretch>
                  </pic:blipFill>
                  <pic:spPr>
                    <a:xfrm>
                      <a:off x="0" y="0"/>
                      <a:ext cx="5422842" cy="3116961"/>
                    </a:xfrm>
                    <a:prstGeom prst="rect">
                      <a:avLst/>
                    </a:prstGeom>
                  </pic:spPr>
                </pic:pic>
              </a:graphicData>
            </a:graphic>
          </wp:anchor>
        </w:drawing>
      </w:r>
    </w:p>
    <w:p>
      <w:pPr>
        <w:spacing w:before="228"/>
        <w:ind w:left="979" w:right="1334" w:firstLine="0"/>
        <w:jc w:val="both"/>
        <w:rPr>
          <w:sz w:val="18"/>
        </w:rPr>
      </w:pPr>
      <w:r>
        <w:rPr>
          <w:sz w:val="18"/>
        </w:rPr>
        <w:t>Fuente:</w:t>
      </w:r>
      <w:r>
        <w:rPr>
          <w:spacing w:val="-13"/>
          <w:sz w:val="18"/>
        </w:rPr>
        <w:t> </w:t>
      </w:r>
      <w:r>
        <w:rPr>
          <w:sz w:val="18"/>
        </w:rPr>
        <w:t>Elaboración</w:t>
      </w:r>
      <w:r>
        <w:rPr>
          <w:spacing w:val="-12"/>
          <w:sz w:val="18"/>
        </w:rPr>
        <w:t> </w:t>
      </w:r>
      <w:r>
        <w:rPr>
          <w:sz w:val="18"/>
        </w:rPr>
        <w:t>propia</w:t>
      </w:r>
      <w:r>
        <w:rPr>
          <w:spacing w:val="-13"/>
          <w:sz w:val="18"/>
        </w:rPr>
        <w:t> </w:t>
      </w:r>
      <w:r>
        <w:rPr>
          <w:sz w:val="18"/>
        </w:rPr>
        <w:t>con</w:t>
      </w:r>
      <w:r>
        <w:rPr>
          <w:spacing w:val="-12"/>
          <w:sz w:val="18"/>
        </w:rPr>
        <w:t> </w:t>
      </w:r>
      <w:r>
        <w:rPr>
          <w:sz w:val="18"/>
        </w:rPr>
        <w:t>datos</w:t>
      </w:r>
      <w:r>
        <w:rPr>
          <w:spacing w:val="-13"/>
          <w:sz w:val="18"/>
        </w:rPr>
        <w:t> </w:t>
      </w:r>
      <w:r>
        <w:rPr>
          <w:sz w:val="18"/>
        </w:rPr>
        <w:t>de</w:t>
      </w:r>
      <w:r>
        <w:rPr>
          <w:spacing w:val="-13"/>
          <w:sz w:val="18"/>
        </w:rPr>
        <w:t> </w:t>
      </w:r>
      <w:r>
        <w:rPr>
          <w:sz w:val="18"/>
        </w:rPr>
        <w:t>Estado</w:t>
      </w:r>
      <w:r>
        <w:rPr>
          <w:spacing w:val="-12"/>
          <w:sz w:val="18"/>
        </w:rPr>
        <w:t> </w:t>
      </w:r>
      <w:r>
        <w:rPr>
          <w:sz w:val="18"/>
        </w:rPr>
        <w:t>de</w:t>
      </w:r>
      <w:r>
        <w:rPr>
          <w:spacing w:val="-13"/>
          <w:sz w:val="18"/>
        </w:rPr>
        <w:t> </w:t>
      </w:r>
      <w:r>
        <w:rPr>
          <w:sz w:val="18"/>
        </w:rPr>
        <w:t>la</w:t>
      </w:r>
      <w:r>
        <w:rPr>
          <w:spacing w:val="-12"/>
          <w:sz w:val="18"/>
        </w:rPr>
        <w:t> </w:t>
      </w:r>
      <w:r>
        <w:rPr>
          <w:sz w:val="18"/>
        </w:rPr>
        <w:t>Nación.</w:t>
      </w:r>
      <w:r>
        <w:rPr>
          <w:spacing w:val="-8"/>
          <w:sz w:val="18"/>
        </w:rPr>
        <w:t> </w:t>
      </w:r>
      <w:r>
        <w:rPr>
          <w:sz w:val="18"/>
        </w:rPr>
        <w:t>Compendio</w:t>
      </w:r>
      <w:r>
        <w:rPr>
          <w:spacing w:val="-12"/>
          <w:sz w:val="18"/>
        </w:rPr>
        <w:t> </w:t>
      </w:r>
      <w:r>
        <w:rPr>
          <w:sz w:val="18"/>
        </w:rPr>
        <w:t>Estadístico.</w:t>
      </w:r>
      <w:r>
        <w:rPr>
          <w:spacing w:val="-12"/>
          <w:sz w:val="18"/>
        </w:rPr>
        <w:t> </w:t>
      </w:r>
      <w:r>
        <w:rPr>
          <w:sz w:val="18"/>
        </w:rPr>
        <w:t>Estadísticas</w:t>
      </w:r>
      <w:r>
        <w:rPr>
          <w:spacing w:val="-13"/>
          <w:sz w:val="18"/>
        </w:rPr>
        <w:t> </w:t>
      </w:r>
      <w:r>
        <w:rPr>
          <w:sz w:val="18"/>
        </w:rPr>
        <w:t>Nacionales</w:t>
      </w:r>
      <w:r>
        <w:rPr>
          <w:spacing w:val="-11"/>
          <w:sz w:val="18"/>
        </w:rPr>
        <w:t> </w:t>
      </w:r>
      <w:r>
        <w:rPr>
          <w:sz w:val="18"/>
        </w:rPr>
        <w:t>- </w:t>
      </w:r>
      <w:r>
        <w:rPr>
          <w:spacing w:val="-2"/>
          <w:sz w:val="18"/>
        </w:rPr>
        <w:t>Empleo.</w:t>
      </w:r>
    </w:p>
    <w:p>
      <w:pPr>
        <w:pStyle w:val="BodyText"/>
        <w:spacing w:before="206"/>
        <w:ind w:left="979" w:right="1348"/>
        <w:jc w:val="both"/>
      </w:pPr>
      <w:r>
        <w:rPr/>
        <w:t>En conclusión, aunque Costa Rica ha logrado avances importantes en la reducción de la brecha de género en la participación laboral y ha incorporado progresivamente a más mujeres al mercado de trabajo, la persistencia de una diferencia significativa y el estancamiento</w:t>
      </w:r>
      <w:r>
        <w:rPr>
          <w:spacing w:val="-7"/>
        </w:rPr>
        <w:t> </w:t>
      </w:r>
      <w:r>
        <w:rPr/>
        <w:t>reciente</w:t>
      </w:r>
      <w:r>
        <w:rPr>
          <w:spacing w:val="-7"/>
        </w:rPr>
        <w:t> </w:t>
      </w:r>
      <w:r>
        <w:rPr/>
        <w:t>indican</w:t>
      </w:r>
      <w:r>
        <w:rPr>
          <w:spacing w:val="-11"/>
        </w:rPr>
        <w:t> </w:t>
      </w:r>
      <w:r>
        <w:rPr/>
        <w:t>que</w:t>
      </w:r>
      <w:r>
        <w:rPr>
          <w:spacing w:val="-7"/>
        </w:rPr>
        <w:t> </w:t>
      </w:r>
      <w:r>
        <w:rPr/>
        <w:t>persisten</w:t>
      </w:r>
      <w:r>
        <w:rPr>
          <w:spacing w:val="-7"/>
        </w:rPr>
        <w:t> </w:t>
      </w:r>
      <w:r>
        <w:rPr/>
        <w:t>barreras</w:t>
      </w:r>
      <w:r>
        <w:rPr>
          <w:spacing w:val="-8"/>
        </w:rPr>
        <w:t> </w:t>
      </w:r>
      <w:r>
        <w:rPr/>
        <w:t>estructurales</w:t>
      </w:r>
      <w:r>
        <w:rPr>
          <w:spacing w:val="-13"/>
        </w:rPr>
        <w:t> </w:t>
      </w:r>
      <w:r>
        <w:rPr/>
        <w:t>que</w:t>
      </w:r>
      <w:r>
        <w:rPr>
          <w:spacing w:val="-7"/>
        </w:rPr>
        <w:t> </w:t>
      </w:r>
      <w:r>
        <w:rPr/>
        <w:t>limitan</w:t>
      </w:r>
      <w:r>
        <w:rPr>
          <w:spacing w:val="-7"/>
        </w:rPr>
        <w:t> </w:t>
      </w:r>
      <w:r>
        <w:rPr/>
        <w:t>la</w:t>
      </w:r>
      <w:r>
        <w:rPr>
          <w:spacing w:val="-7"/>
        </w:rPr>
        <w:t> </w:t>
      </w:r>
      <w:r>
        <w:rPr/>
        <w:t>igualdad de oportunidades. Para continuar cerrando esta brecha, se requieren políticas</w:t>
      </w:r>
      <w:r>
        <w:rPr>
          <w:spacing w:val="-1"/>
        </w:rPr>
        <w:t> </w:t>
      </w:r>
      <w:r>
        <w:rPr/>
        <w:t>activas que</w:t>
      </w:r>
    </w:p>
    <w:p>
      <w:pPr>
        <w:pStyle w:val="BodyText"/>
        <w:spacing w:after="0"/>
        <w:jc w:val="both"/>
        <w:sectPr>
          <w:pgSz w:w="12240" w:h="15840"/>
          <w:pgMar w:header="0" w:footer="1021" w:top="1340" w:bottom="1220" w:left="720" w:right="360"/>
        </w:sectPr>
      </w:pPr>
    </w:p>
    <w:p>
      <w:pPr>
        <w:pStyle w:val="BodyText"/>
        <w:spacing w:before="76"/>
        <w:ind w:left="979" w:right="1334"/>
        <w:jc w:val="both"/>
      </w:pPr>
      <w:r>
        <w:rPr/>
        <w:t>promuevan la corresponsabilidad en los cuidados, incentiven la formalización laboral femenina</w:t>
      </w:r>
      <w:r>
        <w:rPr>
          <w:spacing w:val="-7"/>
        </w:rPr>
        <w:t> </w:t>
      </w:r>
      <w:r>
        <w:rPr/>
        <w:t>y</w:t>
      </w:r>
      <w:r>
        <w:rPr>
          <w:spacing w:val="-14"/>
        </w:rPr>
        <w:t> </w:t>
      </w:r>
      <w:r>
        <w:rPr/>
        <w:t>mejoren</w:t>
      </w:r>
      <w:r>
        <w:rPr>
          <w:spacing w:val="-7"/>
        </w:rPr>
        <w:t> </w:t>
      </w:r>
      <w:r>
        <w:rPr/>
        <w:t>las</w:t>
      </w:r>
      <w:r>
        <w:rPr>
          <w:spacing w:val="-9"/>
        </w:rPr>
        <w:t> </w:t>
      </w:r>
      <w:r>
        <w:rPr/>
        <w:t>condiciones</w:t>
      </w:r>
      <w:r>
        <w:rPr>
          <w:spacing w:val="-9"/>
        </w:rPr>
        <w:t> </w:t>
      </w:r>
      <w:r>
        <w:rPr/>
        <w:t>de</w:t>
      </w:r>
      <w:r>
        <w:rPr>
          <w:spacing w:val="-12"/>
        </w:rPr>
        <w:t> </w:t>
      </w:r>
      <w:r>
        <w:rPr/>
        <w:t>acceso</w:t>
      </w:r>
      <w:r>
        <w:rPr>
          <w:spacing w:val="-7"/>
        </w:rPr>
        <w:t> </w:t>
      </w:r>
      <w:r>
        <w:rPr/>
        <w:t>y</w:t>
      </w:r>
      <w:r>
        <w:rPr>
          <w:spacing w:val="-9"/>
        </w:rPr>
        <w:t> </w:t>
      </w:r>
      <w:r>
        <w:rPr/>
        <w:t>permanencia</w:t>
      </w:r>
      <w:r>
        <w:rPr>
          <w:spacing w:val="-7"/>
        </w:rPr>
        <w:t> </w:t>
      </w:r>
      <w:r>
        <w:rPr/>
        <w:t>de</w:t>
      </w:r>
      <w:r>
        <w:rPr>
          <w:spacing w:val="-7"/>
        </w:rPr>
        <w:t> </w:t>
      </w:r>
      <w:r>
        <w:rPr/>
        <w:t>las</w:t>
      </w:r>
      <w:r>
        <w:rPr>
          <w:spacing w:val="-9"/>
        </w:rPr>
        <w:t> </w:t>
      </w:r>
      <w:r>
        <w:rPr/>
        <w:t>mujeres</w:t>
      </w:r>
      <w:r>
        <w:rPr>
          <w:spacing w:val="-14"/>
        </w:rPr>
        <w:t> </w:t>
      </w:r>
      <w:r>
        <w:rPr/>
        <w:t>en</w:t>
      </w:r>
      <w:r>
        <w:rPr>
          <w:spacing w:val="-7"/>
        </w:rPr>
        <w:t> </w:t>
      </w:r>
      <w:r>
        <w:rPr/>
        <w:t>el</w:t>
      </w:r>
      <w:r>
        <w:rPr>
          <w:spacing w:val="-15"/>
        </w:rPr>
        <w:t> </w:t>
      </w:r>
      <w:r>
        <w:rPr/>
        <w:t>empleo. La</w:t>
      </w:r>
      <w:r>
        <w:rPr>
          <w:spacing w:val="-16"/>
        </w:rPr>
        <w:t> </w:t>
      </w:r>
      <w:r>
        <w:rPr/>
        <w:t>evolución</w:t>
      </w:r>
      <w:r>
        <w:rPr>
          <w:spacing w:val="-15"/>
        </w:rPr>
        <w:t> </w:t>
      </w:r>
      <w:r>
        <w:rPr/>
        <w:t>de</w:t>
      </w:r>
      <w:r>
        <w:rPr>
          <w:spacing w:val="-15"/>
        </w:rPr>
        <w:t> </w:t>
      </w:r>
      <w:r>
        <w:rPr/>
        <w:t>la</w:t>
      </w:r>
      <w:r>
        <w:rPr>
          <w:spacing w:val="-16"/>
        </w:rPr>
        <w:t> </w:t>
      </w:r>
      <w:r>
        <w:rPr/>
        <w:t>pobreza</w:t>
      </w:r>
      <w:r>
        <w:rPr>
          <w:spacing w:val="-15"/>
        </w:rPr>
        <w:t> </w:t>
      </w:r>
      <w:r>
        <w:rPr/>
        <w:t>en</w:t>
      </w:r>
      <w:r>
        <w:rPr>
          <w:spacing w:val="-15"/>
        </w:rPr>
        <w:t> </w:t>
      </w:r>
      <w:r>
        <w:rPr/>
        <w:t>Costa</w:t>
      </w:r>
      <w:r>
        <w:rPr>
          <w:spacing w:val="-15"/>
        </w:rPr>
        <w:t> </w:t>
      </w:r>
      <w:r>
        <w:rPr/>
        <w:t>Rica,</w:t>
      </w:r>
      <w:r>
        <w:rPr>
          <w:spacing w:val="-16"/>
        </w:rPr>
        <w:t> </w:t>
      </w:r>
      <w:r>
        <w:rPr/>
        <w:t>desde</w:t>
      </w:r>
      <w:r>
        <w:rPr>
          <w:spacing w:val="-15"/>
        </w:rPr>
        <w:t> </w:t>
      </w:r>
      <w:r>
        <w:rPr/>
        <w:t>una</w:t>
      </w:r>
      <w:r>
        <w:rPr>
          <w:spacing w:val="-15"/>
        </w:rPr>
        <w:t> </w:t>
      </w:r>
      <w:r>
        <w:rPr/>
        <w:t>perspectiva</w:t>
      </w:r>
      <w:r>
        <w:rPr>
          <w:spacing w:val="-16"/>
        </w:rPr>
        <w:t> </w:t>
      </w:r>
      <w:r>
        <w:rPr/>
        <w:t>de</w:t>
      </w:r>
      <w:r>
        <w:rPr>
          <w:spacing w:val="-15"/>
        </w:rPr>
        <w:t> </w:t>
      </w:r>
      <w:r>
        <w:rPr/>
        <w:t>ciclo</w:t>
      </w:r>
      <w:r>
        <w:rPr>
          <w:spacing w:val="-15"/>
        </w:rPr>
        <w:t> </w:t>
      </w:r>
      <w:r>
        <w:rPr/>
        <w:t>de</w:t>
      </w:r>
      <w:r>
        <w:rPr>
          <w:spacing w:val="-15"/>
        </w:rPr>
        <w:t> </w:t>
      </w:r>
      <w:r>
        <w:rPr/>
        <w:t>vida,</w:t>
      </w:r>
      <w:r>
        <w:rPr>
          <w:spacing w:val="-16"/>
        </w:rPr>
        <w:t> </w:t>
      </w:r>
      <w:r>
        <w:rPr/>
        <w:t>evidencia que</w:t>
      </w:r>
      <w:r>
        <w:rPr>
          <w:spacing w:val="-3"/>
        </w:rPr>
        <w:t> </w:t>
      </w:r>
      <w:r>
        <w:rPr/>
        <w:t>la</w:t>
      </w:r>
      <w:r>
        <w:rPr>
          <w:spacing w:val="-3"/>
        </w:rPr>
        <w:t> </w:t>
      </w:r>
      <w:r>
        <w:rPr/>
        <w:t>niñez</w:t>
      </w:r>
      <w:r>
        <w:rPr>
          <w:spacing w:val="-5"/>
        </w:rPr>
        <w:t> </w:t>
      </w:r>
      <w:r>
        <w:rPr/>
        <w:t>y</w:t>
      </w:r>
      <w:r>
        <w:rPr>
          <w:spacing w:val="-5"/>
        </w:rPr>
        <w:t> </w:t>
      </w:r>
      <w:r>
        <w:rPr/>
        <w:t>la</w:t>
      </w:r>
      <w:r>
        <w:rPr>
          <w:spacing w:val="-8"/>
        </w:rPr>
        <w:t> </w:t>
      </w:r>
      <w:r>
        <w:rPr/>
        <w:t>adolescencia</w:t>
      </w:r>
      <w:r>
        <w:rPr>
          <w:spacing w:val="-3"/>
        </w:rPr>
        <w:t> </w:t>
      </w:r>
      <w:r>
        <w:rPr/>
        <w:t>continúan</w:t>
      </w:r>
      <w:r>
        <w:rPr>
          <w:spacing w:val="-3"/>
        </w:rPr>
        <w:t> </w:t>
      </w:r>
      <w:r>
        <w:rPr/>
        <w:t>siendo</w:t>
      </w:r>
      <w:r>
        <w:rPr>
          <w:spacing w:val="-3"/>
        </w:rPr>
        <w:t> </w:t>
      </w:r>
      <w:r>
        <w:rPr/>
        <w:t>los</w:t>
      </w:r>
      <w:r>
        <w:rPr>
          <w:spacing w:val="-5"/>
        </w:rPr>
        <w:t> </w:t>
      </w:r>
      <w:r>
        <w:rPr/>
        <w:t>grupos</w:t>
      </w:r>
      <w:r>
        <w:rPr>
          <w:spacing w:val="-10"/>
        </w:rPr>
        <w:t> </w:t>
      </w:r>
      <w:r>
        <w:rPr/>
        <w:t>más</w:t>
      </w:r>
      <w:r>
        <w:rPr>
          <w:spacing w:val="-10"/>
        </w:rPr>
        <w:t> </w:t>
      </w:r>
      <w:r>
        <w:rPr/>
        <w:t>afectados</w:t>
      </w:r>
      <w:r>
        <w:rPr>
          <w:spacing w:val="-10"/>
        </w:rPr>
        <w:t> </w:t>
      </w:r>
      <w:r>
        <w:rPr/>
        <w:t>por</w:t>
      </w:r>
      <w:r>
        <w:rPr>
          <w:spacing w:val="-7"/>
        </w:rPr>
        <w:t> </w:t>
      </w:r>
      <w:r>
        <w:rPr/>
        <w:t>las</w:t>
      </w:r>
      <w:r>
        <w:rPr>
          <w:spacing w:val="-10"/>
        </w:rPr>
        <w:t> </w:t>
      </w:r>
      <w:r>
        <w:rPr/>
        <w:t>múltiples formas</w:t>
      </w:r>
      <w:r>
        <w:rPr>
          <w:spacing w:val="-4"/>
        </w:rPr>
        <w:t> </w:t>
      </w:r>
      <w:r>
        <w:rPr/>
        <w:t>de</w:t>
      </w:r>
      <w:r>
        <w:rPr>
          <w:spacing w:val="-2"/>
        </w:rPr>
        <w:t> </w:t>
      </w:r>
      <w:r>
        <w:rPr/>
        <w:t>pobreza</w:t>
      </w:r>
      <w:r>
        <w:rPr>
          <w:spacing w:val="-2"/>
        </w:rPr>
        <w:t> </w:t>
      </w:r>
      <w:r>
        <w:rPr/>
        <w:t>y</w:t>
      </w:r>
      <w:r>
        <w:rPr>
          <w:spacing w:val="-4"/>
        </w:rPr>
        <w:t> </w:t>
      </w:r>
      <w:r>
        <w:rPr/>
        <w:t>exclusión</w:t>
      </w:r>
      <w:r>
        <w:rPr>
          <w:spacing w:val="-2"/>
        </w:rPr>
        <w:t> </w:t>
      </w:r>
      <w:r>
        <w:rPr/>
        <w:t>social.</w:t>
      </w:r>
      <w:r>
        <w:rPr>
          <w:spacing w:val="-3"/>
        </w:rPr>
        <w:t> </w:t>
      </w:r>
      <w:r>
        <w:rPr/>
        <w:t>A</w:t>
      </w:r>
      <w:r>
        <w:rPr>
          <w:spacing w:val="-3"/>
        </w:rPr>
        <w:t> </w:t>
      </w:r>
      <w:r>
        <w:rPr/>
        <w:t>pesar</w:t>
      </w:r>
      <w:r>
        <w:rPr>
          <w:spacing w:val="-6"/>
        </w:rPr>
        <w:t> </w:t>
      </w:r>
      <w:r>
        <w:rPr/>
        <w:t>de</w:t>
      </w:r>
      <w:r>
        <w:rPr>
          <w:spacing w:val="-7"/>
        </w:rPr>
        <w:t> </w:t>
      </w:r>
      <w:r>
        <w:rPr/>
        <w:t>ciertas</w:t>
      </w:r>
      <w:r>
        <w:rPr>
          <w:spacing w:val="-4"/>
        </w:rPr>
        <w:t> </w:t>
      </w:r>
      <w:r>
        <w:rPr/>
        <w:t>mejoras</w:t>
      </w:r>
      <w:r>
        <w:rPr>
          <w:spacing w:val="-4"/>
        </w:rPr>
        <w:t> </w:t>
      </w:r>
      <w:r>
        <w:rPr/>
        <w:t>macroeconómicas</w:t>
      </w:r>
      <w:r>
        <w:rPr>
          <w:spacing w:val="-4"/>
        </w:rPr>
        <w:t> </w:t>
      </w:r>
      <w:r>
        <w:rPr/>
        <w:t>tras</w:t>
      </w:r>
      <w:r>
        <w:rPr>
          <w:spacing w:val="-4"/>
        </w:rPr>
        <w:t> </w:t>
      </w:r>
      <w:r>
        <w:rPr/>
        <w:t>la pandemia, los datos del 2024 muestran que más del 50% de las personas menores de 18 años</w:t>
      </w:r>
      <w:r>
        <w:rPr>
          <w:spacing w:val="-6"/>
        </w:rPr>
        <w:t> </w:t>
      </w:r>
      <w:r>
        <w:rPr/>
        <w:t>en</w:t>
      </w:r>
      <w:r>
        <w:rPr>
          <w:spacing w:val="-4"/>
        </w:rPr>
        <w:t> </w:t>
      </w:r>
      <w:r>
        <w:rPr/>
        <w:t>el</w:t>
      </w:r>
      <w:r>
        <w:rPr>
          <w:spacing w:val="-7"/>
        </w:rPr>
        <w:t> </w:t>
      </w:r>
      <w:r>
        <w:rPr/>
        <w:t>país</w:t>
      </w:r>
      <w:r>
        <w:rPr>
          <w:spacing w:val="-1"/>
        </w:rPr>
        <w:t> </w:t>
      </w:r>
      <w:r>
        <w:rPr/>
        <w:t>vive</w:t>
      </w:r>
      <w:r>
        <w:rPr>
          <w:spacing w:val="-4"/>
        </w:rPr>
        <w:t> </w:t>
      </w:r>
      <w:r>
        <w:rPr/>
        <w:t>en</w:t>
      </w:r>
      <w:r>
        <w:rPr>
          <w:spacing w:val="-4"/>
        </w:rPr>
        <w:t> </w:t>
      </w:r>
      <w:r>
        <w:rPr/>
        <w:t>situación</w:t>
      </w:r>
      <w:r>
        <w:rPr>
          <w:spacing w:val="-4"/>
        </w:rPr>
        <w:t> </w:t>
      </w:r>
      <w:r>
        <w:rPr/>
        <w:t>de</w:t>
      </w:r>
      <w:r>
        <w:rPr>
          <w:spacing w:val="-4"/>
        </w:rPr>
        <w:t> </w:t>
      </w:r>
      <w:r>
        <w:rPr/>
        <w:t>pobreza,</w:t>
      </w:r>
      <w:r>
        <w:rPr>
          <w:spacing w:val="-5"/>
        </w:rPr>
        <w:t> </w:t>
      </w:r>
      <w:r>
        <w:rPr/>
        <w:t>ya sea</w:t>
      </w:r>
      <w:r>
        <w:rPr>
          <w:spacing w:val="-4"/>
        </w:rPr>
        <w:t> </w:t>
      </w:r>
      <w:r>
        <w:rPr/>
        <w:t>por</w:t>
      </w:r>
      <w:r>
        <w:rPr>
          <w:spacing w:val="-3"/>
        </w:rPr>
        <w:t> </w:t>
      </w:r>
      <w:r>
        <w:rPr/>
        <w:t>ingresos</w:t>
      </w:r>
      <w:r>
        <w:rPr>
          <w:spacing w:val="-1"/>
        </w:rPr>
        <w:t> </w:t>
      </w:r>
      <w:r>
        <w:rPr/>
        <w:t>(Línea</w:t>
      </w:r>
      <w:r>
        <w:rPr>
          <w:spacing w:val="-4"/>
        </w:rPr>
        <w:t> </w:t>
      </w:r>
      <w:r>
        <w:rPr/>
        <w:t>de Pobreza -</w:t>
      </w:r>
      <w:r>
        <w:rPr>
          <w:spacing w:val="-8"/>
        </w:rPr>
        <w:t> </w:t>
      </w:r>
      <w:r>
        <w:rPr/>
        <w:t>LP), por</w:t>
      </w:r>
      <w:r>
        <w:rPr>
          <w:spacing w:val="-3"/>
        </w:rPr>
        <w:t> </w:t>
      </w:r>
      <w:r>
        <w:rPr/>
        <w:t>carencias</w:t>
      </w:r>
      <w:r>
        <w:rPr>
          <w:spacing w:val="-1"/>
        </w:rPr>
        <w:t> </w:t>
      </w:r>
      <w:r>
        <w:rPr/>
        <w:t>(Índice</w:t>
      </w:r>
      <w:r>
        <w:rPr>
          <w:spacing w:val="-4"/>
        </w:rPr>
        <w:t> </w:t>
      </w:r>
      <w:r>
        <w:rPr/>
        <w:t>de</w:t>
      </w:r>
      <w:r>
        <w:rPr>
          <w:spacing w:val="-4"/>
        </w:rPr>
        <w:t> </w:t>
      </w:r>
      <w:r>
        <w:rPr/>
        <w:t>Pobreza Multidimensional -</w:t>
      </w:r>
      <w:r>
        <w:rPr>
          <w:spacing w:val="-3"/>
        </w:rPr>
        <w:t> </w:t>
      </w:r>
      <w:r>
        <w:rPr/>
        <w:t>IPM), o</w:t>
      </w:r>
      <w:r>
        <w:rPr>
          <w:spacing w:val="-4"/>
        </w:rPr>
        <w:t> </w:t>
      </w:r>
      <w:r>
        <w:rPr/>
        <w:t>por</w:t>
      </w:r>
      <w:r>
        <w:rPr>
          <w:spacing w:val="-3"/>
        </w:rPr>
        <w:t> </w:t>
      </w:r>
      <w:r>
        <w:rPr/>
        <w:t>ambos</w:t>
      </w:r>
      <w:r>
        <w:rPr>
          <w:spacing w:val="-6"/>
        </w:rPr>
        <w:t> </w:t>
      </w:r>
      <w:r>
        <w:rPr/>
        <w:t>enfoques</w:t>
      </w:r>
      <w:r>
        <w:rPr>
          <w:spacing w:val="-6"/>
        </w:rPr>
        <w:t> </w:t>
      </w:r>
      <w:r>
        <w:rPr/>
        <w:t>de</w:t>
      </w:r>
      <w:r>
        <w:rPr>
          <w:spacing w:val="-4"/>
        </w:rPr>
        <w:t> </w:t>
      </w:r>
      <w:r>
        <w:rPr/>
        <w:t>forma </w:t>
      </w:r>
      <w:r>
        <w:rPr>
          <w:spacing w:val="-2"/>
        </w:rPr>
        <w:t>simultánea.</w:t>
      </w:r>
    </w:p>
    <w:p>
      <w:pPr>
        <w:pStyle w:val="BodyText"/>
        <w:spacing w:before="1"/>
      </w:pPr>
    </w:p>
    <w:p>
      <w:pPr>
        <w:pStyle w:val="BodyText"/>
        <w:ind w:left="979" w:right="1335"/>
        <w:jc w:val="both"/>
      </w:pPr>
      <w:r>
        <w:rPr/>
        <w:t>El análisis del gráfico 11 revela con claridad la magnitud y características de esta problemática. El grupo de niños y niñas de 0 a 6 años es el más afectado por la pobreza combinada: un 20,15% de ellos se encuentra en situación de pobreza tanto por LP como por IPM. Adicionalmente, un 22,7% es pobre solo por ingresos y un 9,4% exclusivamente por</w:t>
      </w:r>
      <w:r>
        <w:rPr>
          <w:spacing w:val="-7"/>
        </w:rPr>
        <w:t> </w:t>
      </w:r>
      <w:r>
        <w:rPr/>
        <w:t>IPM.</w:t>
      </w:r>
      <w:r>
        <w:rPr>
          <w:spacing w:val="-4"/>
        </w:rPr>
        <w:t> </w:t>
      </w:r>
      <w:r>
        <w:rPr/>
        <w:t>Esto</w:t>
      </w:r>
      <w:r>
        <w:rPr>
          <w:spacing w:val="-3"/>
        </w:rPr>
        <w:t> </w:t>
      </w:r>
      <w:r>
        <w:rPr/>
        <w:t>implica</w:t>
      </w:r>
      <w:r>
        <w:rPr>
          <w:spacing w:val="-3"/>
        </w:rPr>
        <w:t> </w:t>
      </w:r>
      <w:r>
        <w:rPr/>
        <w:t>que</w:t>
      </w:r>
      <w:r>
        <w:rPr>
          <w:spacing w:val="-8"/>
        </w:rPr>
        <w:t> </w:t>
      </w:r>
      <w:r>
        <w:rPr/>
        <w:t>aproximadamente</w:t>
      </w:r>
      <w:r>
        <w:rPr>
          <w:spacing w:val="-3"/>
        </w:rPr>
        <w:t> </w:t>
      </w:r>
      <w:r>
        <w:rPr/>
        <w:t>el</w:t>
      </w:r>
      <w:r>
        <w:rPr>
          <w:spacing w:val="-6"/>
        </w:rPr>
        <w:t> </w:t>
      </w:r>
      <w:r>
        <w:rPr/>
        <w:t>52,3%</w:t>
      </w:r>
      <w:r>
        <w:rPr>
          <w:spacing w:val="-5"/>
        </w:rPr>
        <w:t> </w:t>
      </w:r>
      <w:r>
        <w:rPr/>
        <w:t>de los</w:t>
      </w:r>
      <w:r>
        <w:rPr>
          <w:spacing w:val="-5"/>
        </w:rPr>
        <w:t> </w:t>
      </w:r>
      <w:r>
        <w:rPr/>
        <w:t>menores</w:t>
      </w:r>
      <w:r>
        <w:rPr>
          <w:spacing w:val="-5"/>
        </w:rPr>
        <w:t> </w:t>
      </w:r>
      <w:r>
        <w:rPr/>
        <w:t>de</w:t>
      </w:r>
      <w:r>
        <w:rPr>
          <w:spacing w:val="-3"/>
        </w:rPr>
        <w:t> </w:t>
      </w:r>
      <w:r>
        <w:rPr/>
        <w:t>seis</w:t>
      </w:r>
      <w:r>
        <w:rPr>
          <w:spacing w:val="-5"/>
        </w:rPr>
        <w:t> </w:t>
      </w:r>
      <w:r>
        <w:rPr/>
        <w:t>años</w:t>
      </w:r>
      <w:r>
        <w:rPr>
          <w:spacing w:val="-5"/>
        </w:rPr>
        <w:t> </w:t>
      </w:r>
      <w:r>
        <w:rPr/>
        <w:t>vive</w:t>
      </w:r>
      <w:r>
        <w:rPr>
          <w:spacing w:val="-8"/>
        </w:rPr>
        <w:t> </w:t>
      </w:r>
      <w:r>
        <w:rPr/>
        <w:t>en algún tipo de pobreza, lo cual representa una amenaza grave para su desarrollo integral. Las privaciones en esta etapa crítica pueden traducirse en rezagos permanentes en nutrición, salud, estimulación temprana y acceso a servicios esenciales.</w:t>
      </w:r>
    </w:p>
    <w:p>
      <w:pPr>
        <w:pStyle w:val="Heading2"/>
        <w:spacing w:before="252"/>
        <w:ind w:left="4058" w:right="894" w:hanging="2963"/>
      </w:pPr>
      <w:bookmarkStart w:name="_bookmark31" w:id="32"/>
      <w:bookmarkEnd w:id="32"/>
      <w:r>
        <w:rPr>
          <w:b w:val="0"/>
        </w:rPr>
      </w:r>
      <w:r>
        <w:rPr/>
        <w:t>Gráfico</w:t>
      </w:r>
      <w:r>
        <w:rPr>
          <w:spacing w:val="-2"/>
        </w:rPr>
        <w:t> </w:t>
      </w:r>
      <w:r>
        <w:rPr/>
        <w:t>11:</w:t>
      </w:r>
      <w:r>
        <w:rPr>
          <w:spacing w:val="-3"/>
        </w:rPr>
        <w:t> </w:t>
      </w:r>
      <w:r>
        <w:rPr/>
        <w:t>Costa Rica:</w:t>
      </w:r>
      <w:r>
        <w:rPr>
          <w:spacing w:val="-4"/>
        </w:rPr>
        <w:t> </w:t>
      </w:r>
      <w:r>
        <w:rPr/>
        <w:t>Porcentaje</w:t>
      </w:r>
      <w:r>
        <w:rPr>
          <w:spacing w:val="-1"/>
        </w:rPr>
        <w:t> </w:t>
      </w:r>
      <w:r>
        <w:rPr/>
        <w:t>de</w:t>
      </w:r>
      <w:r>
        <w:rPr>
          <w:spacing w:val="-6"/>
        </w:rPr>
        <w:t> </w:t>
      </w:r>
      <w:r>
        <w:rPr/>
        <w:t>niñez</w:t>
      </w:r>
      <w:r>
        <w:rPr>
          <w:spacing w:val="-2"/>
        </w:rPr>
        <w:t> </w:t>
      </w:r>
      <w:r>
        <w:rPr/>
        <w:t>y</w:t>
      </w:r>
      <w:r>
        <w:rPr>
          <w:spacing w:val="-10"/>
        </w:rPr>
        <w:t> </w:t>
      </w:r>
      <w:r>
        <w:rPr/>
        <w:t>adolescencia</w:t>
      </w:r>
      <w:r>
        <w:rPr>
          <w:spacing w:val="-5"/>
        </w:rPr>
        <w:t> </w:t>
      </w:r>
      <w:r>
        <w:rPr/>
        <w:t>en</w:t>
      </w:r>
      <w:r>
        <w:rPr>
          <w:spacing w:val="-7"/>
        </w:rPr>
        <w:t> </w:t>
      </w:r>
      <w:r>
        <w:rPr/>
        <w:t>situación</w:t>
      </w:r>
      <w:r>
        <w:rPr>
          <w:spacing w:val="-3"/>
        </w:rPr>
        <w:t> </w:t>
      </w:r>
      <w:r>
        <w:rPr/>
        <w:t>de</w:t>
      </w:r>
      <w:r>
        <w:rPr>
          <w:spacing w:val="-1"/>
        </w:rPr>
        <w:t> </w:t>
      </w:r>
      <w:r>
        <w:rPr/>
        <w:t>pobreza según rango de edad. 2024</w:t>
      </w:r>
    </w:p>
    <w:p>
      <w:pPr>
        <w:pStyle w:val="BodyText"/>
        <w:spacing w:before="9"/>
        <w:rPr>
          <w:b/>
          <w:sz w:val="8"/>
        </w:rPr>
      </w:pPr>
      <w:r>
        <w:rPr>
          <w:b/>
          <w:sz w:val="8"/>
        </w:rPr>
        <w:drawing>
          <wp:anchor distT="0" distB="0" distL="0" distR="0" allowOverlap="1" layoutInCell="1" locked="0" behindDoc="1" simplePos="0" relativeHeight="487595008">
            <wp:simplePos x="0" y="0"/>
            <wp:positionH relativeFrom="page">
              <wp:posOffset>1181735</wp:posOffset>
            </wp:positionH>
            <wp:positionV relativeFrom="paragraph">
              <wp:posOffset>79393</wp:posOffset>
            </wp:positionV>
            <wp:extent cx="5367051" cy="3088767"/>
            <wp:effectExtent l="0" t="0" r="0" b="0"/>
            <wp:wrapTopAndBottom/>
            <wp:docPr id="70" name="Image 70" descr="Gráfico, Gráfico de barras  El contenido generado por IA puede ser incorrecto."/>
            <wp:cNvGraphicFramePr>
              <a:graphicFrameLocks/>
            </wp:cNvGraphicFramePr>
            <a:graphic>
              <a:graphicData uri="http://schemas.openxmlformats.org/drawingml/2006/picture">
                <pic:pic>
                  <pic:nvPicPr>
                    <pic:cNvPr id="70" name="Image 70" descr="Gráfico, Gráfico de barras  El contenido generado por IA puede ser incorrecto."/>
                    <pic:cNvPicPr/>
                  </pic:nvPicPr>
                  <pic:blipFill>
                    <a:blip r:embed="rId49" cstate="print"/>
                    <a:stretch>
                      <a:fillRect/>
                    </a:stretch>
                  </pic:blipFill>
                  <pic:spPr>
                    <a:xfrm>
                      <a:off x="0" y="0"/>
                      <a:ext cx="5367051" cy="3088767"/>
                    </a:xfrm>
                    <a:prstGeom prst="rect">
                      <a:avLst/>
                    </a:prstGeom>
                  </pic:spPr>
                </pic:pic>
              </a:graphicData>
            </a:graphic>
          </wp:anchor>
        </w:drawing>
      </w:r>
    </w:p>
    <w:p>
      <w:pPr>
        <w:spacing w:before="49"/>
        <w:ind w:left="979" w:right="0" w:firstLine="0"/>
        <w:jc w:val="both"/>
        <w:rPr>
          <w:sz w:val="18"/>
        </w:rPr>
      </w:pPr>
      <w:r>
        <w:rPr>
          <w:sz w:val="18"/>
        </w:rPr>
        <w:t>Fuente:</w:t>
      </w:r>
      <w:r>
        <w:rPr>
          <w:spacing w:val="-8"/>
          <w:sz w:val="18"/>
        </w:rPr>
        <w:t> </w:t>
      </w:r>
      <w:r>
        <w:rPr>
          <w:sz w:val="18"/>
        </w:rPr>
        <w:t>Elaboración</w:t>
      </w:r>
      <w:r>
        <w:rPr>
          <w:spacing w:val="-7"/>
          <w:sz w:val="18"/>
        </w:rPr>
        <w:t> </w:t>
      </w:r>
      <w:r>
        <w:rPr>
          <w:sz w:val="18"/>
        </w:rPr>
        <w:t>propia</w:t>
      </w:r>
      <w:r>
        <w:rPr>
          <w:spacing w:val="-6"/>
          <w:sz w:val="18"/>
        </w:rPr>
        <w:t> </w:t>
      </w:r>
      <w:r>
        <w:rPr>
          <w:sz w:val="18"/>
        </w:rPr>
        <w:t>con</w:t>
      </w:r>
      <w:r>
        <w:rPr>
          <w:spacing w:val="-6"/>
          <w:sz w:val="18"/>
        </w:rPr>
        <w:t> </w:t>
      </w:r>
      <w:r>
        <w:rPr>
          <w:sz w:val="18"/>
        </w:rPr>
        <w:t>datos</w:t>
      </w:r>
      <w:r>
        <w:rPr>
          <w:spacing w:val="-10"/>
          <w:sz w:val="18"/>
        </w:rPr>
        <w:t> </w:t>
      </w:r>
      <w:r>
        <w:rPr>
          <w:sz w:val="18"/>
        </w:rPr>
        <w:t>de</w:t>
      </w:r>
      <w:r>
        <w:rPr>
          <w:spacing w:val="-11"/>
          <w:sz w:val="18"/>
        </w:rPr>
        <w:t> </w:t>
      </w:r>
      <w:r>
        <w:rPr>
          <w:sz w:val="18"/>
        </w:rPr>
        <w:t>INEC</w:t>
      </w:r>
      <w:r>
        <w:rPr>
          <w:spacing w:val="-9"/>
          <w:sz w:val="18"/>
        </w:rPr>
        <w:t> </w:t>
      </w:r>
      <w:r>
        <w:rPr>
          <w:sz w:val="18"/>
        </w:rPr>
        <w:t>(2024).</w:t>
      </w:r>
      <w:r>
        <w:rPr>
          <w:spacing w:val="-7"/>
          <w:sz w:val="18"/>
        </w:rPr>
        <w:t> </w:t>
      </w:r>
      <w:r>
        <w:rPr>
          <w:sz w:val="18"/>
        </w:rPr>
        <w:t>ENAHO</w:t>
      </w:r>
      <w:r>
        <w:rPr>
          <w:spacing w:val="-4"/>
          <w:sz w:val="18"/>
        </w:rPr>
        <w:t> </w:t>
      </w:r>
      <w:r>
        <w:rPr>
          <w:spacing w:val="-2"/>
          <w:sz w:val="18"/>
        </w:rPr>
        <w:t>2024.</w:t>
      </w:r>
    </w:p>
    <w:p>
      <w:pPr>
        <w:pStyle w:val="BodyText"/>
        <w:rPr>
          <w:sz w:val="18"/>
        </w:rPr>
      </w:pPr>
    </w:p>
    <w:p>
      <w:pPr>
        <w:pStyle w:val="BodyText"/>
        <w:ind w:left="979" w:right="1349"/>
        <w:jc w:val="both"/>
      </w:pPr>
      <w:r>
        <w:rPr/>
        <w:t>En el grupo de 7 a 12 años, se observa una reducción en la pobreza combinada (16,2%), pero un aumento en la pobreza exclusivamente monetaria, que alcanza el 26,8%. La pobreza por IPM sin ser pobre por ingresos es del 8,1%. Esto refleja que, si bien algunos hogares logran cubrir ciertos servicios básicos, los ingresos siguen siendo insuficientes, afectando la calidad de vida de los</w:t>
      </w:r>
      <w:r>
        <w:rPr>
          <w:spacing w:val="-1"/>
        </w:rPr>
        <w:t> </w:t>
      </w:r>
      <w:r>
        <w:rPr/>
        <w:t>niños, en particular en aspectos educativos, transporte escolar y alimentación.</w:t>
      </w:r>
    </w:p>
    <w:p>
      <w:pPr>
        <w:pStyle w:val="BodyText"/>
        <w:spacing w:after="0"/>
        <w:jc w:val="both"/>
        <w:sectPr>
          <w:pgSz w:w="12240" w:h="15840"/>
          <w:pgMar w:header="0" w:footer="1021" w:top="1340" w:bottom="1220" w:left="720" w:right="360"/>
        </w:sectPr>
      </w:pPr>
    </w:p>
    <w:p>
      <w:pPr>
        <w:pStyle w:val="BodyText"/>
        <w:spacing w:before="76"/>
        <w:ind w:left="979" w:right="1335"/>
        <w:jc w:val="both"/>
      </w:pPr>
      <w:r>
        <w:rPr/>
        <w:t>Para</w:t>
      </w:r>
      <w:r>
        <w:rPr>
          <w:spacing w:val="-2"/>
        </w:rPr>
        <w:t> </w:t>
      </w:r>
      <w:r>
        <w:rPr/>
        <w:t>los</w:t>
      </w:r>
      <w:r>
        <w:rPr>
          <w:spacing w:val="-4"/>
        </w:rPr>
        <w:t> </w:t>
      </w:r>
      <w:r>
        <w:rPr/>
        <w:t>adolescentes</w:t>
      </w:r>
      <w:r>
        <w:rPr>
          <w:spacing w:val="-4"/>
        </w:rPr>
        <w:t> </w:t>
      </w:r>
      <w:r>
        <w:rPr/>
        <w:t>entre</w:t>
      </w:r>
      <w:r>
        <w:rPr>
          <w:spacing w:val="-2"/>
        </w:rPr>
        <w:t> </w:t>
      </w:r>
      <w:r>
        <w:rPr/>
        <w:t>13</w:t>
      </w:r>
      <w:r>
        <w:rPr>
          <w:spacing w:val="-2"/>
        </w:rPr>
        <w:t> </w:t>
      </w:r>
      <w:r>
        <w:rPr/>
        <w:t>y</w:t>
      </w:r>
      <w:r>
        <w:rPr>
          <w:spacing w:val="-4"/>
        </w:rPr>
        <w:t> </w:t>
      </w:r>
      <w:r>
        <w:rPr/>
        <w:t>17</w:t>
      </w:r>
      <w:r>
        <w:rPr>
          <w:spacing w:val="-2"/>
        </w:rPr>
        <w:t> </w:t>
      </w:r>
      <w:r>
        <w:rPr/>
        <w:t>años,</w:t>
      </w:r>
      <w:r>
        <w:rPr>
          <w:spacing w:val="-3"/>
        </w:rPr>
        <w:t> </w:t>
      </w:r>
      <w:r>
        <w:rPr/>
        <w:t>las</w:t>
      </w:r>
      <w:r>
        <w:rPr>
          <w:spacing w:val="-4"/>
        </w:rPr>
        <w:t> </w:t>
      </w:r>
      <w:r>
        <w:rPr/>
        <w:t>cifras indican</w:t>
      </w:r>
      <w:r>
        <w:rPr>
          <w:spacing w:val="-2"/>
        </w:rPr>
        <w:t> </w:t>
      </w:r>
      <w:r>
        <w:rPr/>
        <w:t>una ligera</w:t>
      </w:r>
      <w:r>
        <w:rPr>
          <w:spacing w:val="-2"/>
        </w:rPr>
        <w:t> </w:t>
      </w:r>
      <w:r>
        <w:rPr/>
        <w:t>mejora:</w:t>
      </w:r>
      <w:r>
        <w:rPr>
          <w:spacing w:val="-3"/>
        </w:rPr>
        <w:t> </w:t>
      </w:r>
      <w:r>
        <w:rPr/>
        <w:t>el</w:t>
      </w:r>
      <w:r>
        <w:rPr>
          <w:spacing w:val="-5"/>
        </w:rPr>
        <w:t> </w:t>
      </w:r>
      <w:r>
        <w:rPr/>
        <w:t>50,9%</w:t>
      </w:r>
      <w:r>
        <w:rPr>
          <w:spacing w:val="-4"/>
        </w:rPr>
        <w:t> </w:t>
      </w:r>
      <w:r>
        <w:rPr/>
        <w:t>no se</w:t>
      </w:r>
      <w:r>
        <w:rPr>
          <w:spacing w:val="-9"/>
        </w:rPr>
        <w:t> </w:t>
      </w:r>
      <w:r>
        <w:rPr/>
        <w:t>encuentra</w:t>
      </w:r>
      <w:r>
        <w:rPr>
          <w:spacing w:val="-9"/>
        </w:rPr>
        <w:t> </w:t>
      </w:r>
      <w:r>
        <w:rPr/>
        <w:t>en</w:t>
      </w:r>
      <w:r>
        <w:rPr>
          <w:spacing w:val="-9"/>
        </w:rPr>
        <w:t> </w:t>
      </w:r>
      <w:r>
        <w:rPr/>
        <w:t>condición</w:t>
      </w:r>
      <w:r>
        <w:rPr>
          <w:spacing w:val="-9"/>
        </w:rPr>
        <w:t> </w:t>
      </w:r>
      <w:r>
        <w:rPr/>
        <w:t>de</w:t>
      </w:r>
      <w:r>
        <w:rPr>
          <w:spacing w:val="-9"/>
        </w:rPr>
        <w:t> </w:t>
      </w:r>
      <w:r>
        <w:rPr/>
        <w:t>pobreza,</w:t>
      </w:r>
      <w:r>
        <w:rPr>
          <w:spacing w:val="-10"/>
        </w:rPr>
        <w:t> </w:t>
      </w:r>
      <w:r>
        <w:rPr/>
        <w:t>el</w:t>
      </w:r>
      <w:r>
        <w:rPr>
          <w:spacing w:val="-12"/>
        </w:rPr>
        <w:t> </w:t>
      </w:r>
      <w:r>
        <w:rPr/>
        <w:t>valor</w:t>
      </w:r>
      <w:r>
        <w:rPr>
          <w:spacing w:val="-12"/>
        </w:rPr>
        <w:t> </w:t>
      </w:r>
      <w:r>
        <w:rPr/>
        <w:t>más</w:t>
      </w:r>
      <w:r>
        <w:rPr>
          <w:spacing w:val="-11"/>
        </w:rPr>
        <w:t> </w:t>
      </w:r>
      <w:r>
        <w:rPr/>
        <w:t>alto</w:t>
      </w:r>
      <w:r>
        <w:rPr>
          <w:spacing w:val="-9"/>
        </w:rPr>
        <w:t> </w:t>
      </w:r>
      <w:r>
        <w:rPr/>
        <w:t>entre</w:t>
      </w:r>
      <w:r>
        <w:rPr>
          <w:spacing w:val="-9"/>
        </w:rPr>
        <w:t> </w:t>
      </w:r>
      <w:r>
        <w:rPr/>
        <w:t>los</w:t>
      </w:r>
      <w:r>
        <w:rPr>
          <w:spacing w:val="-11"/>
        </w:rPr>
        <w:t> </w:t>
      </w:r>
      <w:r>
        <w:rPr/>
        <w:t>tres</w:t>
      </w:r>
      <w:r>
        <w:rPr>
          <w:spacing w:val="-16"/>
        </w:rPr>
        <w:t> </w:t>
      </w:r>
      <w:r>
        <w:rPr/>
        <w:t>grupos.</w:t>
      </w:r>
      <w:r>
        <w:rPr>
          <w:spacing w:val="-9"/>
        </w:rPr>
        <w:t> </w:t>
      </w:r>
      <w:r>
        <w:rPr/>
        <w:t>Sin</w:t>
      </w:r>
      <w:r>
        <w:rPr>
          <w:spacing w:val="-9"/>
        </w:rPr>
        <w:t> </w:t>
      </w:r>
      <w:r>
        <w:rPr/>
        <w:t>embargo, un 23,5% sigue siendo pobre por ingresos, un 8,9% por IPM, y un 16,6% enfrenta ambas formas</w:t>
      </w:r>
      <w:r>
        <w:rPr>
          <w:spacing w:val="-5"/>
        </w:rPr>
        <w:t> </w:t>
      </w:r>
      <w:r>
        <w:rPr/>
        <w:t>de</w:t>
      </w:r>
      <w:r>
        <w:rPr>
          <w:spacing w:val="-8"/>
        </w:rPr>
        <w:t> </w:t>
      </w:r>
      <w:r>
        <w:rPr/>
        <w:t>pobreza.</w:t>
      </w:r>
      <w:r>
        <w:rPr>
          <w:spacing w:val="-4"/>
        </w:rPr>
        <w:t> </w:t>
      </w:r>
      <w:r>
        <w:rPr/>
        <w:t>Esto</w:t>
      </w:r>
      <w:r>
        <w:rPr>
          <w:spacing w:val="-8"/>
        </w:rPr>
        <w:t> </w:t>
      </w:r>
      <w:r>
        <w:rPr/>
        <w:t>demuestra</w:t>
      </w:r>
      <w:r>
        <w:rPr>
          <w:spacing w:val="-3"/>
        </w:rPr>
        <w:t> </w:t>
      </w:r>
      <w:r>
        <w:rPr/>
        <w:t>que,</w:t>
      </w:r>
      <w:r>
        <w:rPr>
          <w:spacing w:val="-9"/>
        </w:rPr>
        <w:t> </w:t>
      </w:r>
      <w:r>
        <w:rPr/>
        <w:t>aunque</w:t>
      </w:r>
      <w:r>
        <w:rPr>
          <w:spacing w:val="-8"/>
        </w:rPr>
        <w:t> </w:t>
      </w:r>
      <w:r>
        <w:rPr/>
        <w:t>este</w:t>
      </w:r>
      <w:r>
        <w:rPr>
          <w:spacing w:val="-8"/>
        </w:rPr>
        <w:t> </w:t>
      </w:r>
      <w:r>
        <w:rPr/>
        <w:t>grupo</w:t>
      </w:r>
      <w:r>
        <w:rPr>
          <w:spacing w:val="-8"/>
        </w:rPr>
        <w:t> </w:t>
      </w:r>
      <w:r>
        <w:rPr/>
        <w:t>experimenta</w:t>
      </w:r>
      <w:r>
        <w:rPr>
          <w:spacing w:val="-8"/>
        </w:rPr>
        <w:t> </w:t>
      </w:r>
      <w:r>
        <w:rPr/>
        <w:t>menos</w:t>
      </w:r>
      <w:r>
        <w:rPr>
          <w:spacing w:val="-5"/>
        </w:rPr>
        <w:t> </w:t>
      </w:r>
      <w:r>
        <w:rPr/>
        <w:t>carencias combinadas,</w:t>
      </w:r>
      <w:r>
        <w:rPr>
          <w:spacing w:val="-15"/>
        </w:rPr>
        <w:t> </w:t>
      </w:r>
      <w:r>
        <w:rPr/>
        <w:t>casi</w:t>
      </w:r>
      <w:r>
        <w:rPr>
          <w:spacing w:val="-12"/>
        </w:rPr>
        <w:t> </w:t>
      </w:r>
      <w:r>
        <w:rPr/>
        <w:t>la</w:t>
      </w:r>
      <w:r>
        <w:rPr>
          <w:spacing w:val="-14"/>
        </w:rPr>
        <w:t> </w:t>
      </w:r>
      <w:r>
        <w:rPr/>
        <w:t>mitad</w:t>
      </w:r>
      <w:r>
        <w:rPr>
          <w:spacing w:val="-14"/>
        </w:rPr>
        <w:t> </w:t>
      </w:r>
      <w:r>
        <w:rPr/>
        <w:t>aún</w:t>
      </w:r>
      <w:r>
        <w:rPr>
          <w:spacing w:val="-9"/>
        </w:rPr>
        <w:t> </w:t>
      </w:r>
      <w:r>
        <w:rPr/>
        <w:t>vive</w:t>
      </w:r>
      <w:r>
        <w:rPr>
          <w:spacing w:val="-14"/>
        </w:rPr>
        <w:t> </w:t>
      </w:r>
      <w:r>
        <w:rPr/>
        <w:t>en</w:t>
      </w:r>
      <w:r>
        <w:rPr>
          <w:spacing w:val="-9"/>
        </w:rPr>
        <w:t> </w:t>
      </w:r>
      <w:r>
        <w:rPr/>
        <w:t>condiciones</w:t>
      </w:r>
      <w:r>
        <w:rPr>
          <w:spacing w:val="-16"/>
        </w:rPr>
        <w:t> </w:t>
      </w:r>
      <w:r>
        <w:rPr/>
        <w:t>de</w:t>
      </w:r>
      <w:r>
        <w:rPr>
          <w:spacing w:val="-13"/>
        </w:rPr>
        <w:t> </w:t>
      </w:r>
      <w:r>
        <w:rPr/>
        <w:t>vulnerabilidad,</w:t>
      </w:r>
      <w:r>
        <w:rPr>
          <w:spacing w:val="-10"/>
        </w:rPr>
        <w:t> </w:t>
      </w:r>
      <w:r>
        <w:rPr/>
        <w:t>lo</w:t>
      </w:r>
      <w:r>
        <w:rPr>
          <w:spacing w:val="-14"/>
        </w:rPr>
        <w:t> </w:t>
      </w:r>
      <w:r>
        <w:rPr/>
        <w:t>que</w:t>
      </w:r>
      <w:r>
        <w:rPr>
          <w:spacing w:val="-9"/>
        </w:rPr>
        <w:t> </w:t>
      </w:r>
      <w:r>
        <w:rPr/>
        <w:t>puede</w:t>
      </w:r>
      <w:r>
        <w:rPr>
          <w:spacing w:val="-14"/>
        </w:rPr>
        <w:t> </w:t>
      </w:r>
      <w:r>
        <w:rPr/>
        <w:t>impactar negativamente</w:t>
      </w:r>
      <w:r>
        <w:rPr>
          <w:spacing w:val="-15"/>
        </w:rPr>
        <w:t> </w:t>
      </w:r>
      <w:r>
        <w:rPr/>
        <w:t>en</w:t>
      </w:r>
      <w:r>
        <w:rPr>
          <w:spacing w:val="-11"/>
        </w:rPr>
        <w:t> </w:t>
      </w:r>
      <w:r>
        <w:rPr/>
        <w:t>su</w:t>
      </w:r>
      <w:r>
        <w:rPr>
          <w:spacing w:val="-11"/>
        </w:rPr>
        <w:t> </w:t>
      </w:r>
      <w:r>
        <w:rPr/>
        <w:t>continuidad</w:t>
      </w:r>
      <w:r>
        <w:rPr>
          <w:spacing w:val="-11"/>
        </w:rPr>
        <w:t> </w:t>
      </w:r>
      <w:r>
        <w:rPr/>
        <w:t>educativa,</w:t>
      </w:r>
      <w:r>
        <w:rPr>
          <w:spacing w:val="-12"/>
        </w:rPr>
        <w:t> </w:t>
      </w:r>
      <w:r>
        <w:rPr/>
        <w:t>inserción</w:t>
      </w:r>
      <w:r>
        <w:rPr>
          <w:spacing w:val="-11"/>
        </w:rPr>
        <w:t> </w:t>
      </w:r>
      <w:r>
        <w:rPr/>
        <w:t>laboral</w:t>
      </w:r>
      <w:r>
        <w:rPr>
          <w:spacing w:val="-14"/>
        </w:rPr>
        <w:t> </w:t>
      </w:r>
      <w:r>
        <w:rPr/>
        <w:t>futura o</w:t>
      </w:r>
      <w:r>
        <w:rPr>
          <w:spacing w:val="-11"/>
        </w:rPr>
        <w:t> </w:t>
      </w:r>
      <w:r>
        <w:rPr/>
        <w:t>acceso</w:t>
      </w:r>
      <w:r>
        <w:rPr>
          <w:spacing w:val="-11"/>
        </w:rPr>
        <w:t> </w:t>
      </w:r>
      <w:r>
        <w:rPr/>
        <w:t>a</w:t>
      </w:r>
      <w:r>
        <w:rPr>
          <w:spacing w:val="-11"/>
        </w:rPr>
        <w:t> </w:t>
      </w:r>
      <w:r>
        <w:rPr/>
        <w:t>servicios</w:t>
      </w:r>
      <w:r>
        <w:rPr>
          <w:spacing w:val="-13"/>
        </w:rPr>
        <w:t> </w:t>
      </w:r>
      <w:r>
        <w:rPr/>
        <w:t>de salud sexual y reproductiva.</w:t>
      </w:r>
    </w:p>
    <w:p>
      <w:pPr>
        <w:pStyle w:val="BodyText"/>
        <w:spacing w:before="2"/>
      </w:pPr>
    </w:p>
    <w:p>
      <w:pPr>
        <w:pStyle w:val="BodyText"/>
        <w:spacing w:before="1"/>
        <w:ind w:left="979" w:right="1347"/>
        <w:jc w:val="both"/>
      </w:pPr>
      <w:r>
        <w:rPr/>
        <w:t>En términos agregados, los datos muestran que el 17,6% de los menores de edad en el país</w:t>
      </w:r>
      <w:r>
        <w:rPr>
          <w:spacing w:val="-6"/>
        </w:rPr>
        <w:t> </w:t>
      </w:r>
      <w:r>
        <w:rPr/>
        <w:t>es</w:t>
      </w:r>
      <w:r>
        <w:rPr>
          <w:spacing w:val="-6"/>
        </w:rPr>
        <w:t> </w:t>
      </w:r>
      <w:r>
        <w:rPr/>
        <w:t>pobre tanto</w:t>
      </w:r>
      <w:r>
        <w:rPr>
          <w:spacing w:val="-4"/>
        </w:rPr>
        <w:t> </w:t>
      </w:r>
      <w:r>
        <w:rPr/>
        <w:t>por</w:t>
      </w:r>
      <w:r>
        <w:rPr>
          <w:spacing w:val="-3"/>
        </w:rPr>
        <w:t> </w:t>
      </w:r>
      <w:r>
        <w:rPr/>
        <w:t>LP como</w:t>
      </w:r>
      <w:r>
        <w:rPr>
          <w:spacing w:val="-4"/>
        </w:rPr>
        <w:t> </w:t>
      </w:r>
      <w:r>
        <w:rPr/>
        <w:t>por</w:t>
      </w:r>
      <w:r>
        <w:rPr>
          <w:spacing w:val="-3"/>
        </w:rPr>
        <w:t> </w:t>
      </w:r>
      <w:r>
        <w:rPr/>
        <w:t>IPM,</w:t>
      </w:r>
      <w:r>
        <w:rPr>
          <w:spacing w:val="-5"/>
        </w:rPr>
        <w:t> </w:t>
      </w:r>
      <w:r>
        <w:rPr/>
        <w:t>el</w:t>
      </w:r>
      <w:r>
        <w:rPr>
          <w:spacing w:val="-7"/>
        </w:rPr>
        <w:t> </w:t>
      </w:r>
      <w:r>
        <w:rPr/>
        <w:t>24,4%</w:t>
      </w:r>
      <w:r>
        <w:rPr>
          <w:spacing w:val="-1"/>
        </w:rPr>
        <w:t> </w:t>
      </w:r>
      <w:r>
        <w:rPr/>
        <w:t>es</w:t>
      </w:r>
      <w:r>
        <w:rPr>
          <w:spacing w:val="-6"/>
        </w:rPr>
        <w:t> </w:t>
      </w:r>
      <w:r>
        <w:rPr/>
        <w:t>pobre</w:t>
      </w:r>
      <w:r>
        <w:rPr>
          <w:spacing w:val="-4"/>
        </w:rPr>
        <w:t> </w:t>
      </w:r>
      <w:r>
        <w:rPr/>
        <w:t>únicamente</w:t>
      </w:r>
      <w:r>
        <w:rPr>
          <w:spacing w:val="-4"/>
        </w:rPr>
        <w:t> </w:t>
      </w:r>
      <w:r>
        <w:rPr/>
        <w:t>por</w:t>
      </w:r>
      <w:r>
        <w:rPr>
          <w:spacing w:val="-3"/>
        </w:rPr>
        <w:t> </w:t>
      </w:r>
      <w:r>
        <w:rPr/>
        <w:t>ingresos, y</w:t>
      </w:r>
      <w:r>
        <w:rPr>
          <w:spacing w:val="-6"/>
        </w:rPr>
        <w:t> </w:t>
      </w:r>
      <w:r>
        <w:rPr/>
        <w:t>el 8,8% lo es solo por IPM. En consecuencia, solo el 49,2% de la niñez y adolescencia costarricense no es pobre según ninguna de las dos metodologías, lo que confirma una tendencia estructural preocupante.</w:t>
      </w:r>
    </w:p>
    <w:p>
      <w:pPr>
        <w:pStyle w:val="BodyText"/>
        <w:spacing w:before="252"/>
        <w:ind w:left="979" w:right="1336"/>
        <w:jc w:val="both"/>
      </w:pPr>
      <w:r>
        <w:rPr/>
        <w:t>Estos hallazgos reafirman que la pobreza infantil y adolescente en Costa Rica no ha sido superada al</w:t>
      </w:r>
      <w:r>
        <w:rPr>
          <w:spacing w:val="-7"/>
        </w:rPr>
        <w:t> </w:t>
      </w:r>
      <w:r>
        <w:rPr/>
        <w:t>mismo ritmo</w:t>
      </w:r>
      <w:r>
        <w:rPr>
          <w:spacing w:val="-4"/>
        </w:rPr>
        <w:t> </w:t>
      </w:r>
      <w:r>
        <w:rPr/>
        <w:t>que en otros</w:t>
      </w:r>
      <w:r>
        <w:rPr>
          <w:spacing w:val="-1"/>
        </w:rPr>
        <w:t> </w:t>
      </w:r>
      <w:r>
        <w:rPr/>
        <w:t>segmentos</w:t>
      </w:r>
      <w:r>
        <w:rPr>
          <w:spacing w:val="-6"/>
        </w:rPr>
        <w:t> </w:t>
      </w:r>
      <w:r>
        <w:rPr/>
        <w:t>poblacionales. La primera infancia sigue siendo la etapa de mayor riesgo, con</w:t>
      </w:r>
      <w:r>
        <w:rPr>
          <w:spacing w:val="-3"/>
        </w:rPr>
        <w:t> </w:t>
      </w:r>
      <w:r>
        <w:rPr/>
        <w:t>niveles</w:t>
      </w:r>
      <w:r>
        <w:rPr>
          <w:spacing w:val="-1"/>
        </w:rPr>
        <w:t> </w:t>
      </w:r>
      <w:r>
        <w:rPr/>
        <w:t>críticos de</w:t>
      </w:r>
      <w:r>
        <w:rPr>
          <w:spacing w:val="-3"/>
        </w:rPr>
        <w:t> </w:t>
      </w:r>
      <w:r>
        <w:rPr/>
        <w:t>pobreza combinada,</w:t>
      </w:r>
      <w:r>
        <w:rPr>
          <w:spacing w:val="-4"/>
        </w:rPr>
        <w:t> </w:t>
      </w:r>
      <w:r>
        <w:rPr/>
        <w:t>mientras</w:t>
      </w:r>
      <w:r>
        <w:rPr>
          <w:spacing w:val="-5"/>
        </w:rPr>
        <w:t> </w:t>
      </w:r>
      <w:r>
        <w:rPr/>
        <w:t>que los niños en edad escolar y los adolescentes enfrentan limitaciones que pueden comprometer sus trayectorias educativas y sus oportunidades futuras.</w:t>
      </w:r>
    </w:p>
    <w:p>
      <w:pPr>
        <w:pStyle w:val="BodyText"/>
        <w:spacing w:before="252"/>
        <w:ind w:left="979" w:right="1336"/>
        <w:jc w:val="both"/>
      </w:pPr>
      <w:r>
        <w:rPr/>
        <w:t>Ante este panorama, se hace urgente fortalecer políticas públicas integrales que prioricen la niñez y adolescencia desde una perspectiva de derechos. Es necesario articular estrategias</w:t>
      </w:r>
      <w:r>
        <w:rPr>
          <w:spacing w:val="-16"/>
        </w:rPr>
        <w:t> </w:t>
      </w:r>
      <w:r>
        <w:rPr/>
        <w:t>de</w:t>
      </w:r>
      <w:r>
        <w:rPr>
          <w:spacing w:val="-15"/>
        </w:rPr>
        <w:t> </w:t>
      </w:r>
      <w:r>
        <w:rPr/>
        <w:t>protección</w:t>
      </w:r>
      <w:r>
        <w:rPr>
          <w:spacing w:val="-9"/>
        </w:rPr>
        <w:t> </w:t>
      </w:r>
      <w:r>
        <w:rPr/>
        <w:t>social,</w:t>
      </w:r>
      <w:r>
        <w:rPr>
          <w:spacing w:val="-15"/>
        </w:rPr>
        <w:t> </w:t>
      </w:r>
      <w:r>
        <w:rPr/>
        <w:t>acceso</w:t>
      </w:r>
      <w:r>
        <w:rPr>
          <w:spacing w:val="-14"/>
        </w:rPr>
        <w:t> </w:t>
      </w:r>
      <w:r>
        <w:rPr/>
        <w:t>universal</w:t>
      </w:r>
      <w:r>
        <w:rPr>
          <w:spacing w:val="-16"/>
        </w:rPr>
        <w:t> </w:t>
      </w:r>
      <w:r>
        <w:rPr/>
        <w:t>a</w:t>
      </w:r>
      <w:r>
        <w:rPr>
          <w:spacing w:val="-9"/>
        </w:rPr>
        <w:t> </w:t>
      </w:r>
      <w:r>
        <w:rPr/>
        <w:t>servicios</w:t>
      </w:r>
      <w:r>
        <w:rPr>
          <w:spacing w:val="-16"/>
        </w:rPr>
        <w:t> </w:t>
      </w:r>
      <w:r>
        <w:rPr/>
        <w:t>básicos,</w:t>
      </w:r>
      <w:r>
        <w:rPr>
          <w:spacing w:val="-10"/>
        </w:rPr>
        <w:t> </w:t>
      </w:r>
      <w:r>
        <w:rPr/>
        <w:t>educación</w:t>
      </w:r>
      <w:r>
        <w:rPr>
          <w:spacing w:val="-9"/>
        </w:rPr>
        <w:t> </w:t>
      </w:r>
      <w:r>
        <w:rPr/>
        <w:t>de</w:t>
      </w:r>
      <w:r>
        <w:rPr>
          <w:spacing w:val="-9"/>
        </w:rPr>
        <w:t> </w:t>
      </w:r>
      <w:r>
        <w:rPr/>
        <w:t>calidad y</w:t>
      </w:r>
      <w:r>
        <w:rPr>
          <w:spacing w:val="-14"/>
        </w:rPr>
        <w:t> </w:t>
      </w:r>
      <w:r>
        <w:rPr/>
        <w:t>programas</w:t>
      </w:r>
      <w:r>
        <w:rPr>
          <w:spacing w:val="-16"/>
        </w:rPr>
        <w:t> </w:t>
      </w:r>
      <w:r>
        <w:rPr/>
        <w:t>de</w:t>
      </w:r>
      <w:r>
        <w:rPr>
          <w:spacing w:val="-9"/>
        </w:rPr>
        <w:t> </w:t>
      </w:r>
      <w:r>
        <w:rPr/>
        <w:t>nutrición</w:t>
      </w:r>
      <w:r>
        <w:rPr>
          <w:spacing w:val="-10"/>
        </w:rPr>
        <w:t> </w:t>
      </w:r>
      <w:r>
        <w:rPr/>
        <w:t>y</w:t>
      </w:r>
      <w:r>
        <w:rPr>
          <w:spacing w:val="-16"/>
        </w:rPr>
        <w:t> </w:t>
      </w:r>
      <w:r>
        <w:rPr/>
        <w:t>desarrollo</w:t>
      </w:r>
      <w:r>
        <w:rPr>
          <w:spacing w:val="-9"/>
        </w:rPr>
        <w:t> </w:t>
      </w:r>
      <w:r>
        <w:rPr/>
        <w:t>infantil</w:t>
      </w:r>
      <w:r>
        <w:rPr>
          <w:spacing w:val="-12"/>
        </w:rPr>
        <w:t> </w:t>
      </w:r>
      <w:r>
        <w:rPr/>
        <w:t>temprano,</w:t>
      </w:r>
      <w:r>
        <w:rPr>
          <w:spacing w:val="-15"/>
        </w:rPr>
        <w:t> </w:t>
      </w:r>
      <w:r>
        <w:rPr/>
        <w:t>especialmente</w:t>
      </w:r>
      <w:r>
        <w:rPr>
          <w:spacing w:val="-10"/>
        </w:rPr>
        <w:t> </w:t>
      </w:r>
      <w:r>
        <w:rPr/>
        <w:t>en</w:t>
      </w:r>
      <w:r>
        <w:rPr>
          <w:spacing w:val="-10"/>
        </w:rPr>
        <w:t> </w:t>
      </w:r>
      <w:r>
        <w:rPr/>
        <w:t>los</w:t>
      </w:r>
      <w:r>
        <w:rPr>
          <w:spacing w:val="-16"/>
        </w:rPr>
        <w:t> </w:t>
      </w:r>
      <w:r>
        <w:rPr/>
        <w:t>primeros</w:t>
      </w:r>
      <w:r>
        <w:rPr>
          <w:spacing w:val="-15"/>
        </w:rPr>
        <w:t> </w:t>
      </w:r>
      <w:r>
        <w:rPr/>
        <w:t>años de</w:t>
      </w:r>
      <w:r>
        <w:rPr>
          <w:spacing w:val="-16"/>
        </w:rPr>
        <w:t> </w:t>
      </w:r>
      <w:r>
        <w:rPr/>
        <w:t>vida.</w:t>
      </w:r>
      <w:r>
        <w:rPr>
          <w:spacing w:val="-15"/>
        </w:rPr>
        <w:t> </w:t>
      </w:r>
      <w:r>
        <w:rPr/>
        <w:t>Asimismo,</w:t>
      </w:r>
      <w:r>
        <w:rPr>
          <w:spacing w:val="-15"/>
        </w:rPr>
        <w:t> </w:t>
      </w:r>
      <w:r>
        <w:rPr/>
        <w:t>se</w:t>
      </w:r>
      <w:r>
        <w:rPr>
          <w:spacing w:val="-13"/>
        </w:rPr>
        <w:t> </w:t>
      </w:r>
      <w:r>
        <w:rPr/>
        <w:t>requiere</w:t>
      </w:r>
      <w:r>
        <w:rPr>
          <w:spacing w:val="-14"/>
        </w:rPr>
        <w:t> </w:t>
      </w:r>
      <w:r>
        <w:rPr/>
        <w:t>atención</w:t>
      </w:r>
      <w:r>
        <w:rPr>
          <w:spacing w:val="-16"/>
        </w:rPr>
        <w:t> </w:t>
      </w:r>
      <w:r>
        <w:rPr/>
        <w:t>diferenciada</w:t>
      </w:r>
      <w:r>
        <w:rPr>
          <w:spacing w:val="-14"/>
        </w:rPr>
        <w:t> </w:t>
      </w:r>
      <w:r>
        <w:rPr/>
        <w:t>por</w:t>
      </w:r>
      <w:r>
        <w:rPr>
          <w:spacing w:val="-16"/>
        </w:rPr>
        <w:t> </w:t>
      </w:r>
      <w:r>
        <w:rPr/>
        <w:t>grupo</w:t>
      </w:r>
      <w:r>
        <w:rPr>
          <w:spacing w:val="-14"/>
        </w:rPr>
        <w:t> </w:t>
      </w:r>
      <w:r>
        <w:rPr/>
        <w:t>etario</w:t>
      </w:r>
      <w:r>
        <w:rPr>
          <w:spacing w:val="-15"/>
        </w:rPr>
        <w:t> </w:t>
      </w:r>
      <w:r>
        <w:rPr/>
        <w:t>para</w:t>
      </w:r>
      <w:r>
        <w:rPr>
          <w:spacing w:val="-15"/>
        </w:rPr>
        <w:t> </w:t>
      </w:r>
      <w:r>
        <w:rPr/>
        <w:t>romper</w:t>
      </w:r>
      <w:r>
        <w:rPr>
          <w:spacing w:val="-13"/>
        </w:rPr>
        <w:t> </w:t>
      </w:r>
      <w:r>
        <w:rPr/>
        <w:t>los</w:t>
      </w:r>
      <w:r>
        <w:rPr>
          <w:spacing w:val="-12"/>
        </w:rPr>
        <w:t> </w:t>
      </w:r>
      <w:r>
        <w:rPr/>
        <w:t>ciclos intergeneracionales de pobreza y exclusión que afectan a una parte significativa de la población joven del país.</w:t>
      </w:r>
    </w:p>
    <w:p>
      <w:pPr>
        <w:pStyle w:val="BodyText"/>
        <w:spacing w:before="2"/>
      </w:pPr>
    </w:p>
    <w:p>
      <w:pPr>
        <w:pStyle w:val="BodyText"/>
        <w:spacing w:before="1"/>
        <w:ind w:left="979" w:right="1341"/>
        <w:jc w:val="both"/>
      </w:pPr>
      <w:r>
        <w:rPr/>
        <w:t>El tamaño promedio de los hogares en Costa Rica ha experimentado una reducción sostenida</w:t>
      </w:r>
      <w:r>
        <w:rPr>
          <w:spacing w:val="-4"/>
        </w:rPr>
        <w:t> </w:t>
      </w:r>
      <w:r>
        <w:rPr/>
        <w:t>durante</w:t>
      </w:r>
      <w:r>
        <w:rPr>
          <w:spacing w:val="-4"/>
        </w:rPr>
        <w:t> </w:t>
      </w:r>
      <w:r>
        <w:rPr/>
        <w:t>los</w:t>
      </w:r>
      <w:r>
        <w:rPr>
          <w:spacing w:val="-6"/>
        </w:rPr>
        <w:t> </w:t>
      </w:r>
      <w:r>
        <w:rPr/>
        <w:t>últimos</w:t>
      </w:r>
      <w:r>
        <w:rPr>
          <w:spacing w:val="-6"/>
        </w:rPr>
        <w:t> </w:t>
      </w:r>
      <w:r>
        <w:rPr/>
        <w:t>quince</w:t>
      </w:r>
      <w:r>
        <w:rPr>
          <w:spacing w:val="-8"/>
        </w:rPr>
        <w:t> </w:t>
      </w:r>
      <w:r>
        <w:rPr/>
        <w:t>años,</w:t>
      </w:r>
      <w:r>
        <w:rPr>
          <w:spacing w:val="-5"/>
        </w:rPr>
        <w:t> </w:t>
      </w:r>
      <w:r>
        <w:rPr/>
        <w:t>pasando</w:t>
      </w:r>
      <w:r>
        <w:rPr>
          <w:spacing w:val="-4"/>
        </w:rPr>
        <w:t> </w:t>
      </w:r>
      <w:r>
        <w:rPr/>
        <w:t>de</w:t>
      </w:r>
      <w:r>
        <w:rPr>
          <w:spacing w:val="-4"/>
        </w:rPr>
        <w:t> </w:t>
      </w:r>
      <w:r>
        <w:rPr/>
        <w:t>3,51</w:t>
      </w:r>
      <w:r>
        <w:rPr>
          <w:spacing w:val="-4"/>
        </w:rPr>
        <w:t> </w:t>
      </w:r>
      <w:r>
        <w:rPr/>
        <w:t>personas</w:t>
      </w:r>
      <w:r>
        <w:rPr>
          <w:spacing w:val="-10"/>
        </w:rPr>
        <w:t> </w:t>
      </w:r>
      <w:r>
        <w:rPr/>
        <w:t>por</w:t>
      </w:r>
      <w:r>
        <w:rPr>
          <w:spacing w:val="-7"/>
        </w:rPr>
        <w:t> </w:t>
      </w:r>
      <w:r>
        <w:rPr/>
        <w:t>hogar</w:t>
      </w:r>
      <w:r>
        <w:rPr>
          <w:spacing w:val="-7"/>
        </w:rPr>
        <w:t> </w:t>
      </w:r>
      <w:r>
        <w:rPr/>
        <w:t>en</w:t>
      </w:r>
      <w:r>
        <w:rPr>
          <w:spacing w:val="-4"/>
        </w:rPr>
        <w:t> </w:t>
      </w:r>
      <w:r>
        <w:rPr/>
        <w:t>2010</w:t>
      </w:r>
      <w:r>
        <w:rPr>
          <w:spacing w:val="-4"/>
        </w:rPr>
        <w:t> </w:t>
      </w:r>
      <w:r>
        <w:rPr/>
        <w:t>a 2,91 en 2024, según se observa en el gráfico 12. Esta tendencia ha sido particularmente marcada</w:t>
      </w:r>
      <w:r>
        <w:rPr>
          <w:spacing w:val="-4"/>
        </w:rPr>
        <w:t> </w:t>
      </w:r>
      <w:r>
        <w:rPr/>
        <w:t>en</w:t>
      </w:r>
      <w:r>
        <w:rPr>
          <w:spacing w:val="-4"/>
        </w:rPr>
        <w:t> </w:t>
      </w:r>
      <w:r>
        <w:rPr/>
        <w:t>los</w:t>
      </w:r>
      <w:r>
        <w:rPr>
          <w:spacing w:val="-6"/>
        </w:rPr>
        <w:t> </w:t>
      </w:r>
      <w:r>
        <w:rPr/>
        <w:t>hogares</w:t>
      </w:r>
      <w:r>
        <w:rPr>
          <w:spacing w:val="-6"/>
        </w:rPr>
        <w:t> </w:t>
      </w:r>
      <w:r>
        <w:rPr/>
        <w:t>no</w:t>
      </w:r>
      <w:r>
        <w:rPr>
          <w:spacing w:val="-9"/>
        </w:rPr>
        <w:t> </w:t>
      </w:r>
      <w:r>
        <w:rPr/>
        <w:t>pobres,</w:t>
      </w:r>
      <w:r>
        <w:rPr>
          <w:spacing w:val="-10"/>
        </w:rPr>
        <w:t> </w:t>
      </w:r>
      <w:r>
        <w:rPr/>
        <w:t>donde</w:t>
      </w:r>
      <w:r>
        <w:rPr>
          <w:spacing w:val="-1"/>
        </w:rPr>
        <w:t> </w:t>
      </w:r>
      <w:r>
        <w:rPr/>
        <w:t>la</w:t>
      </w:r>
      <w:r>
        <w:rPr>
          <w:spacing w:val="-4"/>
        </w:rPr>
        <w:t> </w:t>
      </w:r>
      <w:r>
        <w:rPr/>
        <w:t>disminución</w:t>
      </w:r>
      <w:r>
        <w:rPr>
          <w:spacing w:val="-4"/>
        </w:rPr>
        <w:t> </w:t>
      </w:r>
      <w:r>
        <w:rPr/>
        <w:t>del</w:t>
      </w:r>
      <w:r>
        <w:rPr>
          <w:spacing w:val="-7"/>
        </w:rPr>
        <w:t> </w:t>
      </w:r>
      <w:r>
        <w:rPr/>
        <w:t>número</w:t>
      </w:r>
      <w:r>
        <w:rPr>
          <w:spacing w:val="-4"/>
        </w:rPr>
        <w:t> </w:t>
      </w:r>
      <w:r>
        <w:rPr/>
        <w:t>de</w:t>
      </w:r>
      <w:r>
        <w:rPr>
          <w:spacing w:val="-4"/>
        </w:rPr>
        <w:t> </w:t>
      </w:r>
      <w:r>
        <w:rPr/>
        <w:t>integrantes</w:t>
      </w:r>
      <w:r>
        <w:rPr>
          <w:spacing w:val="-6"/>
        </w:rPr>
        <w:t> </w:t>
      </w:r>
      <w:r>
        <w:rPr/>
        <w:t>refleja transformaciones estructurales en los patrones demográficos, tales como la reducción en las tasas de fecundidad, el envejecimiento poblacional y el aumento de hogares </w:t>
      </w:r>
      <w:r>
        <w:rPr>
          <w:spacing w:val="-2"/>
        </w:rPr>
        <w:t>unipersonales.</w:t>
      </w:r>
    </w:p>
    <w:p>
      <w:pPr>
        <w:pStyle w:val="BodyText"/>
        <w:spacing w:after="0"/>
        <w:jc w:val="both"/>
        <w:sectPr>
          <w:pgSz w:w="12240" w:h="15840"/>
          <w:pgMar w:header="0" w:footer="1021" w:top="1340" w:bottom="1220" w:left="720" w:right="360"/>
        </w:sectPr>
      </w:pPr>
    </w:p>
    <w:p>
      <w:pPr>
        <w:pStyle w:val="Heading2"/>
        <w:spacing w:before="76"/>
        <w:ind w:left="3861" w:right="894" w:hanging="2834"/>
      </w:pPr>
      <w:bookmarkStart w:name="_bookmark32" w:id="33"/>
      <w:bookmarkEnd w:id="33"/>
      <w:r>
        <w:rPr>
          <w:b w:val="0"/>
        </w:rPr>
      </w:r>
      <w:r>
        <w:rPr/>
        <w:t>Gráfico</w:t>
      </w:r>
      <w:r>
        <w:rPr>
          <w:spacing w:val="-4"/>
        </w:rPr>
        <w:t> </w:t>
      </w:r>
      <w:r>
        <w:rPr/>
        <w:t>12:</w:t>
      </w:r>
      <w:r>
        <w:rPr>
          <w:spacing w:val="-5"/>
        </w:rPr>
        <w:t> </w:t>
      </w:r>
      <w:r>
        <w:rPr/>
        <w:t>Costa</w:t>
      </w:r>
      <w:r>
        <w:rPr>
          <w:spacing w:val="-3"/>
        </w:rPr>
        <w:t> </w:t>
      </w:r>
      <w:r>
        <w:rPr/>
        <w:t>Rica Número</w:t>
      </w:r>
      <w:r>
        <w:rPr>
          <w:spacing w:val="-4"/>
        </w:rPr>
        <w:t> </w:t>
      </w:r>
      <w:r>
        <w:rPr/>
        <w:t>promedio</w:t>
      </w:r>
      <w:r>
        <w:rPr>
          <w:spacing w:val="-5"/>
        </w:rPr>
        <w:t> </w:t>
      </w:r>
      <w:r>
        <w:rPr/>
        <w:t>de</w:t>
      </w:r>
      <w:r>
        <w:rPr>
          <w:spacing w:val="-6"/>
        </w:rPr>
        <w:t> </w:t>
      </w:r>
      <w:r>
        <w:rPr/>
        <w:t>personas</w:t>
      </w:r>
      <w:r>
        <w:rPr>
          <w:spacing w:val="-6"/>
        </w:rPr>
        <w:t> </w:t>
      </w:r>
      <w:r>
        <w:rPr/>
        <w:t>por hogar</w:t>
      </w:r>
      <w:r>
        <w:rPr>
          <w:spacing w:val="-4"/>
        </w:rPr>
        <w:t> </w:t>
      </w:r>
      <w:r>
        <w:rPr/>
        <w:t>según</w:t>
      </w:r>
      <w:r>
        <w:rPr>
          <w:spacing w:val="-8"/>
        </w:rPr>
        <w:t> </w:t>
      </w:r>
      <w:r>
        <w:rPr/>
        <w:t>condición</w:t>
      </w:r>
      <w:r>
        <w:rPr>
          <w:spacing w:val="-3"/>
        </w:rPr>
        <w:t> </w:t>
      </w:r>
      <w:r>
        <w:rPr/>
        <w:t>de pobreza. Costa Rica 2010-2024</w:t>
      </w:r>
    </w:p>
    <w:p>
      <w:pPr>
        <w:pStyle w:val="BodyText"/>
        <w:spacing w:before="52"/>
        <w:rPr>
          <w:b/>
          <w:sz w:val="20"/>
        </w:rPr>
      </w:pPr>
      <w:r>
        <w:rPr>
          <w:b/>
          <w:sz w:val="20"/>
        </w:rPr>
        <w:drawing>
          <wp:anchor distT="0" distB="0" distL="0" distR="0" allowOverlap="1" layoutInCell="1" locked="0" behindDoc="1" simplePos="0" relativeHeight="487595520">
            <wp:simplePos x="0" y="0"/>
            <wp:positionH relativeFrom="page">
              <wp:posOffset>1345564</wp:posOffset>
            </wp:positionH>
            <wp:positionV relativeFrom="paragraph">
              <wp:posOffset>194337</wp:posOffset>
            </wp:positionV>
            <wp:extent cx="5367051" cy="3088767"/>
            <wp:effectExtent l="0" t="0" r="0" b="0"/>
            <wp:wrapTopAndBottom/>
            <wp:docPr id="71" name="Image 71" descr="Gráfico  El contenido generado por IA puede ser incorrecto."/>
            <wp:cNvGraphicFramePr>
              <a:graphicFrameLocks/>
            </wp:cNvGraphicFramePr>
            <a:graphic>
              <a:graphicData uri="http://schemas.openxmlformats.org/drawingml/2006/picture">
                <pic:pic>
                  <pic:nvPicPr>
                    <pic:cNvPr id="71" name="Image 71" descr="Gráfico  El contenido generado por IA puede ser incorrecto."/>
                    <pic:cNvPicPr/>
                  </pic:nvPicPr>
                  <pic:blipFill>
                    <a:blip r:embed="rId50" cstate="print"/>
                    <a:stretch>
                      <a:fillRect/>
                    </a:stretch>
                  </pic:blipFill>
                  <pic:spPr>
                    <a:xfrm>
                      <a:off x="0" y="0"/>
                      <a:ext cx="5367051" cy="3088767"/>
                    </a:xfrm>
                    <a:prstGeom prst="rect">
                      <a:avLst/>
                    </a:prstGeom>
                  </pic:spPr>
                </pic:pic>
              </a:graphicData>
            </a:graphic>
          </wp:anchor>
        </w:drawing>
      </w:r>
    </w:p>
    <w:p>
      <w:pPr>
        <w:spacing w:before="205"/>
        <w:ind w:left="979" w:right="0" w:firstLine="0"/>
        <w:jc w:val="both"/>
        <w:rPr>
          <w:sz w:val="18"/>
        </w:rPr>
      </w:pPr>
      <w:r>
        <w:rPr>
          <w:sz w:val="18"/>
        </w:rPr>
        <w:t>Fuente:</w:t>
      </w:r>
      <w:r>
        <w:rPr>
          <w:spacing w:val="-8"/>
          <w:sz w:val="18"/>
        </w:rPr>
        <w:t> </w:t>
      </w:r>
      <w:r>
        <w:rPr>
          <w:sz w:val="18"/>
        </w:rPr>
        <w:t>Elaboración</w:t>
      </w:r>
      <w:r>
        <w:rPr>
          <w:spacing w:val="-7"/>
          <w:sz w:val="18"/>
        </w:rPr>
        <w:t> </w:t>
      </w:r>
      <w:r>
        <w:rPr>
          <w:sz w:val="18"/>
        </w:rPr>
        <w:t>propia</w:t>
      </w:r>
      <w:r>
        <w:rPr>
          <w:spacing w:val="-6"/>
          <w:sz w:val="18"/>
        </w:rPr>
        <w:t> </w:t>
      </w:r>
      <w:r>
        <w:rPr>
          <w:sz w:val="18"/>
        </w:rPr>
        <w:t>con</w:t>
      </w:r>
      <w:r>
        <w:rPr>
          <w:spacing w:val="-6"/>
          <w:sz w:val="18"/>
        </w:rPr>
        <w:t> </w:t>
      </w:r>
      <w:r>
        <w:rPr>
          <w:sz w:val="18"/>
        </w:rPr>
        <w:t>datos</w:t>
      </w:r>
      <w:r>
        <w:rPr>
          <w:spacing w:val="-10"/>
          <w:sz w:val="18"/>
        </w:rPr>
        <w:t> </w:t>
      </w:r>
      <w:r>
        <w:rPr>
          <w:sz w:val="18"/>
        </w:rPr>
        <w:t>de</w:t>
      </w:r>
      <w:r>
        <w:rPr>
          <w:spacing w:val="-11"/>
          <w:sz w:val="18"/>
        </w:rPr>
        <w:t> </w:t>
      </w:r>
      <w:r>
        <w:rPr>
          <w:sz w:val="18"/>
        </w:rPr>
        <w:t>INEC</w:t>
      </w:r>
      <w:r>
        <w:rPr>
          <w:spacing w:val="-9"/>
          <w:sz w:val="18"/>
        </w:rPr>
        <w:t> </w:t>
      </w:r>
      <w:r>
        <w:rPr>
          <w:sz w:val="18"/>
        </w:rPr>
        <w:t>(2024).</w:t>
      </w:r>
      <w:r>
        <w:rPr>
          <w:spacing w:val="-7"/>
          <w:sz w:val="18"/>
        </w:rPr>
        <w:t> </w:t>
      </w:r>
      <w:r>
        <w:rPr>
          <w:sz w:val="18"/>
        </w:rPr>
        <w:t>ENAHO</w:t>
      </w:r>
      <w:r>
        <w:rPr>
          <w:spacing w:val="-4"/>
          <w:sz w:val="18"/>
        </w:rPr>
        <w:t> </w:t>
      </w:r>
      <w:r>
        <w:rPr>
          <w:spacing w:val="-2"/>
          <w:sz w:val="18"/>
        </w:rPr>
        <w:t>2024.</w:t>
      </w:r>
    </w:p>
    <w:p>
      <w:pPr>
        <w:pStyle w:val="BodyText"/>
        <w:rPr>
          <w:sz w:val="18"/>
        </w:rPr>
      </w:pPr>
    </w:p>
    <w:p>
      <w:pPr>
        <w:pStyle w:val="BodyText"/>
        <w:ind w:left="979" w:right="1348"/>
        <w:jc w:val="both"/>
      </w:pPr>
      <w:r>
        <w:rPr/>
        <w:t>En contraste, los hogares en condición de pobreza, y especialmente aquellos en pobreza extrema, continúan presentando un tamaño promedio significativamente mayor. Esto implica una mayor carga demográfica, ya que más personas dependen de los mismos ingresos, lo cual intensifica las limitaciones económicas, sociales y de acceso a oportunidades. A su vez, la presencia de un mayor número de niños, niñas y personas dependientes</w:t>
      </w:r>
      <w:r>
        <w:rPr>
          <w:spacing w:val="-16"/>
        </w:rPr>
        <w:t> </w:t>
      </w:r>
      <w:r>
        <w:rPr/>
        <w:t>en</w:t>
      </w:r>
      <w:r>
        <w:rPr>
          <w:spacing w:val="-15"/>
        </w:rPr>
        <w:t> </w:t>
      </w:r>
      <w:r>
        <w:rPr/>
        <w:t>estos</w:t>
      </w:r>
      <w:r>
        <w:rPr>
          <w:spacing w:val="-12"/>
        </w:rPr>
        <w:t> </w:t>
      </w:r>
      <w:r>
        <w:rPr/>
        <w:t>hogares</w:t>
      </w:r>
      <w:r>
        <w:rPr>
          <w:spacing w:val="-16"/>
        </w:rPr>
        <w:t> </w:t>
      </w:r>
      <w:r>
        <w:rPr/>
        <w:t>conlleva</w:t>
      </w:r>
      <w:r>
        <w:rPr>
          <w:spacing w:val="-14"/>
        </w:rPr>
        <w:t> </w:t>
      </w:r>
      <w:r>
        <w:rPr/>
        <w:t>necesidades</w:t>
      </w:r>
      <w:r>
        <w:rPr>
          <w:spacing w:val="-16"/>
        </w:rPr>
        <w:t> </w:t>
      </w:r>
      <w:r>
        <w:rPr/>
        <w:t>más</w:t>
      </w:r>
      <w:r>
        <w:rPr>
          <w:spacing w:val="-11"/>
        </w:rPr>
        <w:t> </w:t>
      </w:r>
      <w:r>
        <w:rPr/>
        <w:t>amplias</w:t>
      </w:r>
      <w:r>
        <w:rPr>
          <w:spacing w:val="-16"/>
        </w:rPr>
        <w:t> </w:t>
      </w:r>
      <w:r>
        <w:rPr/>
        <w:t>en</w:t>
      </w:r>
      <w:r>
        <w:rPr>
          <w:spacing w:val="-14"/>
        </w:rPr>
        <w:t> </w:t>
      </w:r>
      <w:r>
        <w:rPr/>
        <w:t>términos</w:t>
      </w:r>
      <w:r>
        <w:rPr>
          <w:spacing w:val="-12"/>
        </w:rPr>
        <w:t> </w:t>
      </w:r>
      <w:r>
        <w:rPr/>
        <w:t>de</w:t>
      </w:r>
      <w:r>
        <w:rPr>
          <w:spacing w:val="-10"/>
        </w:rPr>
        <w:t> </w:t>
      </w:r>
      <w:r>
        <w:rPr/>
        <w:t>cuidado, educación, salud, alimentación y vivienda, factores que pueden contribuir a reproducir la pobreza intergeneracional.</w:t>
      </w:r>
    </w:p>
    <w:p>
      <w:pPr>
        <w:pStyle w:val="BodyText"/>
        <w:spacing w:before="252"/>
        <w:ind w:left="979" w:right="1333"/>
        <w:jc w:val="both"/>
      </w:pPr>
      <w:r>
        <w:rPr/>
        <w:t>Esta diferencia estructural entre hogares según su condición socioeconómica refuerza las desigualdades</w:t>
      </w:r>
      <w:r>
        <w:rPr>
          <w:spacing w:val="-1"/>
        </w:rPr>
        <w:t> </w:t>
      </w:r>
      <w:r>
        <w:rPr/>
        <w:t>existentes</w:t>
      </w:r>
      <w:r>
        <w:rPr>
          <w:spacing w:val="-1"/>
        </w:rPr>
        <w:t> </w:t>
      </w:r>
      <w:r>
        <w:rPr/>
        <w:t>y plantea desafíos clave para el diseño de políticas</w:t>
      </w:r>
      <w:r>
        <w:rPr>
          <w:spacing w:val="-1"/>
        </w:rPr>
        <w:t> </w:t>
      </w:r>
      <w:r>
        <w:rPr/>
        <w:t>públicas. No basta con considerar únicamente el ingreso del hogar; es necesario incorporar la composición familiar como un criterio fundamental en los programas de asistencia, subsidios</w:t>
      </w:r>
      <w:r>
        <w:rPr>
          <w:spacing w:val="-6"/>
        </w:rPr>
        <w:t> </w:t>
      </w:r>
      <w:r>
        <w:rPr/>
        <w:t>y</w:t>
      </w:r>
      <w:r>
        <w:rPr>
          <w:spacing w:val="-6"/>
        </w:rPr>
        <w:t> </w:t>
      </w:r>
      <w:r>
        <w:rPr/>
        <w:t>transferencias,</w:t>
      </w:r>
      <w:r>
        <w:rPr>
          <w:spacing w:val="-5"/>
        </w:rPr>
        <w:t> </w:t>
      </w:r>
      <w:r>
        <w:rPr/>
        <w:t>de</w:t>
      </w:r>
      <w:r>
        <w:rPr>
          <w:spacing w:val="-4"/>
        </w:rPr>
        <w:t> </w:t>
      </w:r>
      <w:r>
        <w:rPr/>
        <w:t>modo</w:t>
      </w:r>
      <w:r>
        <w:rPr>
          <w:spacing w:val="-4"/>
        </w:rPr>
        <w:t> </w:t>
      </w:r>
      <w:r>
        <w:rPr/>
        <w:t>que</w:t>
      </w:r>
      <w:r>
        <w:rPr>
          <w:spacing w:val="-4"/>
        </w:rPr>
        <w:t> </w:t>
      </w:r>
      <w:r>
        <w:rPr/>
        <w:t>las</w:t>
      </w:r>
      <w:r>
        <w:rPr>
          <w:spacing w:val="-6"/>
        </w:rPr>
        <w:t> </w:t>
      </w:r>
      <w:r>
        <w:rPr/>
        <w:t>familias</w:t>
      </w:r>
      <w:r>
        <w:rPr>
          <w:spacing w:val="-6"/>
        </w:rPr>
        <w:t> </w:t>
      </w:r>
      <w:r>
        <w:rPr/>
        <w:t>más</w:t>
      </w:r>
      <w:r>
        <w:rPr>
          <w:spacing w:val="-6"/>
        </w:rPr>
        <w:t> </w:t>
      </w:r>
      <w:r>
        <w:rPr/>
        <w:t>numerosas</w:t>
      </w:r>
      <w:r>
        <w:rPr>
          <w:spacing w:val="-6"/>
        </w:rPr>
        <w:t> </w:t>
      </w:r>
      <w:r>
        <w:rPr/>
        <w:t>y</w:t>
      </w:r>
      <w:r>
        <w:rPr>
          <w:spacing w:val="-6"/>
        </w:rPr>
        <w:t> </w:t>
      </w:r>
      <w:r>
        <w:rPr/>
        <w:t>vulnerables</w:t>
      </w:r>
      <w:r>
        <w:rPr>
          <w:spacing w:val="-6"/>
        </w:rPr>
        <w:t> </w:t>
      </w:r>
      <w:r>
        <w:rPr/>
        <w:t>puedan recibir una atención diferenciada que responda de forma más precisa a sus necesidades </w:t>
      </w:r>
      <w:r>
        <w:rPr>
          <w:spacing w:val="-2"/>
        </w:rPr>
        <w:t>reales.</w:t>
      </w:r>
    </w:p>
    <w:p>
      <w:pPr>
        <w:pStyle w:val="BodyText"/>
        <w:spacing w:before="2"/>
      </w:pPr>
    </w:p>
    <w:p>
      <w:pPr>
        <w:pStyle w:val="BodyText"/>
        <w:ind w:left="979" w:right="1350"/>
        <w:jc w:val="both"/>
      </w:pPr>
      <w:r>
        <w:rPr/>
        <w:t>En resumen, si bien el país ha experimentado una tendencia general hacia hogares más pequeños, la persistencia de hogares numerosos en condiciones de pobreza extrema revela tensiones estructurales que deben ser atendidas con políticas sociales integrales y focalizadas, que garanticen condiciones de vida dignas y sostenibles para todos los sectores de la población.</w:t>
      </w:r>
    </w:p>
    <w:p>
      <w:pPr>
        <w:pStyle w:val="BodyText"/>
        <w:spacing w:before="252"/>
        <w:ind w:left="979" w:right="1348"/>
        <w:jc w:val="both"/>
      </w:pPr>
      <w:r>
        <w:rPr/>
        <w:t>En cuanto a la evolución del</w:t>
      </w:r>
      <w:r>
        <w:rPr>
          <w:spacing w:val="-2"/>
        </w:rPr>
        <w:t> </w:t>
      </w:r>
      <w:r>
        <w:rPr/>
        <w:t>número de personas</w:t>
      </w:r>
      <w:r>
        <w:rPr>
          <w:spacing w:val="-6"/>
        </w:rPr>
        <w:t> </w:t>
      </w:r>
      <w:r>
        <w:rPr/>
        <w:t>ocupadas</w:t>
      </w:r>
      <w:r>
        <w:rPr>
          <w:spacing w:val="-6"/>
        </w:rPr>
        <w:t> </w:t>
      </w:r>
      <w:r>
        <w:rPr/>
        <w:t>por</w:t>
      </w:r>
      <w:r>
        <w:rPr>
          <w:spacing w:val="-3"/>
        </w:rPr>
        <w:t> </w:t>
      </w:r>
      <w:r>
        <w:rPr/>
        <w:t>hogar</w:t>
      </w:r>
      <w:r>
        <w:rPr>
          <w:spacing w:val="-3"/>
        </w:rPr>
        <w:t> </w:t>
      </w:r>
      <w:r>
        <w:rPr/>
        <w:t>según condición de pobreza, entre 2010 y 2024, Costa Rica ha experimentado una reducción sostenida en el número promedio de personas</w:t>
      </w:r>
      <w:r>
        <w:rPr>
          <w:spacing w:val="-1"/>
        </w:rPr>
        <w:t> </w:t>
      </w:r>
      <w:r>
        <w:rPr/>
        <w:t>ocupadas</w:t>
      </w:r>
      <w:r>
        <w:rPr>
          <w:spacing w:val="-1"/>
        </w:rPr>
        <w:t> </w:t>
      </w:r>
      <w:r>
        <w:rPr/>
        <w:t>por hogar, pasando de 1,47 personas ocupadas</w:t>
      </w:r>
    </w:p>
    <w:p>
      <w:pPr>
        <w:pStyle w:val="BodyText"/>
        <w:spacing w:after="0"/>
        <w:jc w:val="both"/>
        <w:sectPr>
          <w:pgSz w:w="12240" w:h="15840"/>
          <w:pgMar w:header="0" w:footer="1021" w:top="1340" w:bottom="1220" w:left="720" w:right="360"/>
        </w:sectPr>
      </w:pPr>
    </w:p>
    <w:p>
      <w:pPr>
        <w:pStyle w:val="BodyText"/>
        <w:spacing w:before="76"/>
        <w:ind w:left="979" w:right="1340"/>
        <w:jc w:val="both"/>
      </w:pPr>
      <w:r>
        <w:rPr/>
        <w:t>en 2010 a 1,22 en 2024, según lo refleja el gráfico 13 Esta tendencia descendente se observa en todos los grupos socioeconómicos, pero con diferencias estructurales importantes entre hogares no pobres y hogares en situación de pobreza.</w:t>
      </w:r>
    </w:p>
    <w:p>
      <w:pPr>
        <w:pStyle w:val="BodyText"/>
        <w:spacing w:before="251"/>
      </w:pPr>
    </w:p>
    <w:p>
      <w:pPr>
        <w:pStyle w:val="Heading2"/>
        <w:ind w:left="3861" w:right="894" w:hanging="2781"/>
      </w:pPr>
      <w:bookmarkStart w:name="_bookmark33" w:id="34"/>
      <w:bookmarkEnd w:id="34"/>
      <w:r>
        <w:rPr>
          <w:b w:val="0"/>
        </w:rPr>
      </w:r>
      <w:r>
        <w:rPr/>
        <w:t>Gráfico</w:t>
      </w:r>
      <w:r>
        <w:rPr>
          <w:spacing w:val="-3"/>
        </w:rPr>
        <w:t> </w:t>
      </w:r>
      <w:r>
        <w:rPr/>
        <w:t>13:</w:t>
      </w:r>
      <w:r>
        <w:rPr>
          <w:spacing w:val="-4"/>
        </w:rPr>
        <w:t> </w:t>
      </w:r>
      <w:r>
        <w:rPr/>
        <w:t>Número</w:t>
      </w:r>
      <w:r>
        <w:rPr>
          <w:spacing w:val="-3"/>
        </w:rPr>
        <w:t> </w:t>
      </w:r>
      <w:r>
        <w:rPr/>
        <w:t>promedio</w:t>
      </w:r>
      <w:r>
        <w:rPr>
          <w:spacing w:val="-3"/>
        </w:rPr>
        <w:t> </w:t>
      </w:r>
      <w:r>
        <w:rPr/>
        <w:t>de</w:t>
      </w:r>
      <w:r>
        <w:rPr>
          <w:spacing w:val="-2"/>
        </w:rPr>
        <w:t> </w:t>
      </w:r>
      <w:r>
        <w:rPr/>
        <w:t>personas</w:t>
      </w:r>
      <w:r>
        <w:rPr>
          <w:spacing w:val="-2"/>
        </w:rPr>
        <w:t> </w:t>
      </w:r>
      <w:r>
        <w:rPr/>
        <w:t>ocupadas</w:t>
      </w:r>
      <w:r>
        <w:rPr>
          <w:spacing w:val="-2"/>
        </w:rPr>
        <w:t> </w:t>
      </w:r>
      <w:r>
        <w:rPr/>
        <w:t>por</w:t>
      </w:r>
      <w:r>
        <w:rPr>
          <w:spacing w:val="-3"/>
        </w:rPr>
        <w:t> </w:t>
      </w:r>
      <w:r>
        <w:rPr/>
        <w:t>hogar</w:t>
      </w:r>
      <w:r>
        <w:rPr>
          <w:spacing w:val="-8"/>
        </w:rPr>
        <w:t> </w:t>
      </w:r>
      <w:r>
        <w:rPr/>
        <w:t>según</w:t>
      </w:r>
      <w:r>
        <w:rPr>
          <w:spacing w:val="-9"/>
        </w:rPr>
        <w:t> </w:t>
      </w:r>
      <w:r>
        <w:rPr/>
        <w:t>condición</w:t>
      </w:r>
      <w:r>
        <w:rPr>
          <w:spacing w:val="-4"/>
        </w:rPr>
        <w:t> </w:t>
      </w:r>
      <w:r>
        <w:rPr/>
        <w:t>de pobreza. Costa Rica 2010-2024</w:t>
      </w:r>
    </w:p>
    <w:p>
      <w:pPr>
        <w:pStyle w:val="BodyText"/>
        <w:spacing w:before="217"/>
        <w:rPr>
          <w:b/>
          <w:sz w:val="20"/>
        </w:rPr>
      </w:pPr>
      <w:r>
        <w:rPr>
          <w:b/>
          <w:sz w:val="20"/>
        </w:rPr>
        <w:drawing>
          <wp:anchor distT="0" distB="0" distL="0" distR="0" allowOverlap="1" layoutInCell="1" locked="0" behindDoc="1" simplePos="0" relativeHeight="487596032">
            <wp:simplePos x="0" y="0"/>
            <wp:positionH relativeFrom="page">
              <wp:posOffset>1231900</wp:posOffset>
            </wp:positionH>
            <wp:positionV relativeFrom="paragraph">
              <wp:posOffset>299674</wp:posOffset>
            </wp:positionV>
            <wp:extent cx="5367051" cy="3088767"/>
            <wp:effectExtent l="0" t="0" r="0" b="0"/>
            <wp:wrapTopAndBottom/>
            <wp:docPr id="72" name="Image 72" descr="Gráfico, Gráfico de líneas  El contenido generado por IA puede ser incorrecto."/>
            <wp:cNvGraphicFramePr>
              <a:graphicFrameLocks/>
            </wp:cNvGraphicFramePr>
            <a:graphic>
              <a:graphicData uri="http://schemas.openxmlformats.org/drawingml/2006/picture">
                <pic:pic>
                  <pic:nvPicPr>
                    <pic:cNvPr id="72" name="Image 72" descr="Gráfico, Gráfico de líneas  El contenido generado por IA puede ser incorrecto."/>
                    <pic:cNvPicPr/>
                  </pic:nvPicPr>
                  <pic:blipFill>
                    <a:blip r:embed="rId51" cstate="print"/>
                    <a:stretch>
                      <a:fillRect/>
                    </a:stretch>
                  </pic:blipFill>
                  <pic:spPr>
                    <a:xfrm>
                      <a:off x="0" y="0"/>
                      <a:ext cx="5367051" cy="3088767"/>
                    </a:xfrm>
                    <a:prstGeom prst="rect">
                      <a:avLst/>
                    </a:prstGeom>
                  </pic:spPr>
                </pic:pic>
              </a:graphicData>
            </a:graphic>
          </wp:anchor>
        </w:drawing>
      </w:r>
    </w:p>
    <w:p>
      <w:pPr>
        <w:spacing w:before="39"/>
        <w:ind w:left="979" w:right="0" w:firstLine="0"/>
        <w:jc w:val="both"/>
        <w:rPr>
          <w:sz w:val="18"/>
        </w:rPr>
      </w:pPr>
      <w:r>
        <w:rPr>
          <w:sz w:val="18"/>
        </w:rPr>
        <w:t>Fuente:</w:t>
      </w:r>
      <w:r>
        <w:rPr>
          <w:spacing w:val="-8"/>
          <w:sz w:val="18"/>
        </w:rPr>
        <w:t> </w:t>
      </w:r>
      <w:r>
        <w:rPr>
          <w:sz w:val="18"/>
        </w:rPr>
        <w:t>Elaboración</w:t>
      </w:r>
      <w:r>
        <w:rPr>
          <w:spacing w:val="-7"/>
          <w:sz w:val="18"/>
        </w:rPr>
        <w:t> </w:t>
      </w:r>
      <w:r>
        <w:rPr>
          <w:sz w:val="18"/>
        </w:rPr>
        <w:t>propia</w:t>
      </w:r>
      <w:r>
        <w:rPr>
          <w:spacing w:val="-6"/>
          <w:sz w:val="18"/>
        </w:rPr>
        <w:t> </w:t>
      </w:r>
      <w:r>
        <w:rPr>
          <w:sz w:val="18"/>
        </w:rPr>
        <w:t>con</w:t>
      </w:r>
      <w:r>
        <w:rPr>
          <w:spacing w:val="-6"/>
          <w:sz w:val="18"/>
        </w:rPr>
        <w:t> </w:t>
      </w:r>
      <w:r>
        <w:rPr>
          <w:sz w:val="18"/>
        </w:rPr>
        <w:t>datos</w:t>
      </w:r>
      <w:r>
        <w:rPr>
          <w:spacing w:val="-10"/>
          <w:sz w:val="18"/>
        </w:rPr>
        <w:t> </w:t>
      </w:r>
      <w:r>
        <w:rPr>
          <w:sz w:val="18"/>
        </w:rPr>
        <w:t>de</w:t>
      </w:r>
      <w:r>
        <w:rPr>
          <w:spacing w:val="-11"/>
          <w:sz w:val="18"/>
        </w:rPr>
        <w:t> </w:t>
      </w:r>
      <w:r>
        <w:rPr>
          <w:sz w:val="18"/>
        </w:rPr>
        <w:t>INEC</w:t>
      </w:r>
      <w:r>
        <w:rPr>
          <w:spacing w:val="-9"/>
          <w:sz w:val="18"/>
        </w:rPr>
        <w:t> </w:t>
      </w:r>
      <w:r>
        <w:rPr>
          <w:sz w:val="18"/>
        </w:rPr>
        <w:t>(2024).</w:t>
      </w:r>
      <w:r>
        <w:rPr>
          <w:spacing w:val="-7"/>
          <w:sz w:val="18"/>
        </w:rPr>
        <w:t> </w:t>
      </w:r>
      <w:r>
        <w:rPr>
          <w:sz w:val="18"/>
        </w:rPr>
        <w:t>ENAHO</w:t>
      </w:r>
      <w:r>
        <w:rPr>
          <w:spacing w:val="-4"/>
          <w:sz w:val="18"/>
        </w:rPr>
        <w:t> </w:t>
      </w:r>
      <w:r>
        <w:rPr>
          <w:spacing w:val="-2"/>
          <w:sz w:val="18"/>
        </w:rPr>
        <w:t>2024.</w:t>
      </w:r>
    </w:p>
    <w:p>
      <w:pPr>
        <w:pStyle w:val="BodyText"/>
        <w:rPr>
          <w:sz w:val="18"/>
        </w:rPr>
      </w:pPr>
    </w:p>
    <w:p>
      <w:pPr>
        <w:pStyle w:val="BodyText"/>
        <w:ind w:left="979" w:right="1348"/>
        <w:jc w:val="both"/>
      </w:pPr>
      <w:r>
        <w:rPr/>
        <w:t>En 2024, los hogares no pobres reportan un promedio de 1,35 personas ocupadas por hogar,</w:t>
      </w:r>
      <w:r>
        <w:rPr>
          <w:spacing w:val="-9"/>
        </w:rPr>
        <w:t> </w:t>
      </w:r>
      <w:r>
        <w:rPr/>
        <w:t>mientras</w:t>
      </w:r>
      <w:r>
        <w:rPr>
          <w:spacing w:val="-10"/>
        </w:rPr>
        <w:t> </w:t>
      </w:r>
      <w:r>
        <w:rPr/>
        <w:t>que</w:t>
      </w:r>
      <w:r>
        <w:rPr>
          <w:spacing w:val="-3"/>
        </w:rPr>
        <w:t> </w:t>
      </w:r>
      <w:r>
        <w:rPr/>
        <w:t>los</w:t>
      </w:r>
      <w:r>
        <w:rPr>
          <w:spacing w:val="-10"/>
        </w:rPr>
        <w:t> </w:t>
      </w:r>
      <w:r>
        <w:rPr/>
        <w:t>hogares</w:t>
      </w:r>
      <w:r>
        <w:rPr>
          <w:spacing w:val="-10"/>
        </w:rPr>
        <w:t> </w:t>
      </w:r>
      <w:r>
        <w:rPr/>
        <w:t>en</w:t>
      </w:r>
      <w:r>
        <w:rPr>
          <w:spacing w:val="-8"/>
        </w:rPr>
        <w:t> </w:t>
      </w:r>
      <w:r>
        <w:rPr/>
        <w:t>pobreza</w:t>
      </w:r>
      <w:r>
        <w:rPr>
          <w:spacing w:val="-3"/>
        </w:rPr>
        <w:t> </w:t>
      </w:r>
      <w:r>
        <w:rPr/>
        <w:t>total</w:t>
      </w:r>
      <w:r>
        <w:rPr>
          <w:spacing w:val="-11"/>
        </w:rPr>
        <w:t> </w:t>
      </w:r>
      <w:r>
        <w:rPr/>
        <w:t>promedian</w:t>
      </w:r>
      <w:r>
        <w:rPr>
          <w:spacing w:val="-8"/>
        </w:rPr>
        <w:t> </w:t>
      </w:r>
      <w:r>
        <w:rPr/>
        <w:t>0,63</w:t>
      </w:r>
      <w:r>
        <w:rPr>
          <w:spacing w:val="-8"/>
        </w:rPr>
        <w:t> </w:t>
      </w:r>
      <w:r>
        <w:rPr/>
        <w:t>personas</w:t>
      </w:r>
      <w:r>
        <w:rPr>
          <w:spacing w:val="-5"/>
        </w:rPr>
        <w:t> </w:t>
      </w:r>
      <w:r>
        <w:rPr/>
        <w:t>ocupadas</w:t>
      </w:r>
      <w:r>
        <w:rPr>
          <w:spacing w:val="-5"/>
        </w:rPr>
        <w:t> </w:t>
      </w:r>
      <w:r>
        <w:rPr/>
        <w:t>y</w:t>
      </w:r>
      <w:r>
        <w:rPr>
          <w:spacing w:val="-5"/>
        </w:rPr>
        <w:t> </w:t>
      </w:r>
      <w:r>
        <w:rPr/>
        <w:t>los hogares en pobreza extrema, apenas 0,51. Esta brecha laboral se ha mantenido relativamente estable desde 2010, lo cual subraya una realidad persistente: la inserción laboral efectiva sigue siendo un factor crucial para salir de la pobreza. Contar con más miembros del hogar en edad y condición de trabajar que efectivamente participen en el mercado</w:t>
      </w:r>
      <w:r>
        <w:rPr>
          <w:spacing w:val="-2"/>
        </w:rPr>
        <w:t> </w:t>
      </w:r>
      <w:r>
        <w:rPr/>
        <w:t>laboral</w:t>
      </w:r>
      <w:r>
        <w:rPr>
          <w:spacing w:val="-4"/>
        </w:rPr>
        <w:t> </w:t>
      </w:r>
      <w:r>
        <w:rPr/>
        <w:t>incrementa</w:t>
      </w:r>
      <w:r>
        <w:rPr>
          <w:spacing w:val="-2"/>
        </w:rPr>
        <w:t> </w:t>
      </w:r>
      <w:r>
        <w:rPr/>
        <w:t>la</w:t>
      </w:r>
      <w:r>
        <w:rPr>
          <w:spacing w:val="-2"/>
        </w:rPr>
        <w:t> </w:t>
      </w:r>
      <w:r>
        <w:rPr/>
        <w:t>capacidad</w:t>
      </w:r>
      <w:r>
        <w:rPr>
          <w:spacing w:val="-6"/>
        </w:rPr>
        <w:t> </w:t>
      </w:r>
      <w:r>
        <w:rPr/>
        <w:t>de</w:t>
      </w:r>
      <w:r>
        <w:rPr>
          <w:spacing w:val="-2"/>
        </w:rPr>
        <w:t> </w:t>
      </w:r>
      <w:r>
        <w:rPr/>
        <w:t>generación</w:t>
      </w:r>
      <w:r>
        <w:rPr>
          <w:spacing w:val="-6"/>
        </w:rPr>
        <w:t> </w:t>
      </w:r>
      <w:r>
        <w:rPr/>
        <w:t>de</w:t>
      </w:r>
      <w:r>
        <w:rPr>
          <w:spacing w:val="-2"/>
        </w:rPr>
        <w:t> </w:t>
      </w:r>
      <w:r>
        <w:rPr/>
        <w:t>ingresos,</w:t>
      </w:r>
      <w:r>
        <w:rPr>
          <w:spacing w:val="-2"/>
        </w:rPr>
        <w:t> </w:t>
      </w:r>
      <w:r>
        <w:rPr/>
        <w:t>lo</w:t>
      </w:r>
      <w:r>
        <w:rPr>
          <w:spacing w:val="-2"/>
        </w:rPr>
        <w:t> </w:t>
      </w:r>
      <w:r>
        <w:rPr/>
        <w:t>cual</w:t>
      </w:r>
      <w:r>
        <w:rPr>
          <w:spacing w:val="-4"/>
        </w:rPr>
        <w:t> </w:t>
      </w:r>
      <w:r>
        <w:rPr/>
        <w:t>se</w:t>
      </w:r>
      <w:r>
        <w:rPr>
          <w:spacing w:val="-2"/>
        </w:rPr>
        <w:t> </w:t>
      </w:r>
      <w:r>
        <w:rPr/>
        <w:t>traduce</w:t>
      </w:r>
      <w:r>
        <w:rPr>
          <w:spacing w:val="-6"/>
        </w:rPr>
        <w:t> </w:t>
      </w:r>
      <w:r>
        <w:rPr/>
        <w:t>en mejores condiciones de vida.</w:t>
      </w:r>
    </w:p>
    <w:p>
      <w:pPr>
        <w:pStyle w:val="BodyText"/>
        <w:spacing w:before="252"/>
        <w:ind w:left="979" w:right="1343"/>
        <w:jc w:val="both"/>
      </w:pPr>
      <w:r>
        <w:rPr/>
        <w:t>El gráfico 13 también muestra que, aunque los hogares no pobres han tenido una ligera disminución en su número de ocupados por hogar (de 1,61 en 2010 a 1,35 en 2024), los hogares</w:t>
      </w:r>
      <w:r>
        <w:rPr>
          <w:spacing w:val="-16"/>
        </w:rPr>
        <w:t> </w:t>
      </w:r>
      <w:r>
        <w:rPr/>
        <w:t>pobres</w:t>
      </w:r>
      <w:r>
        <w:rPr>
          <w:spacing w:val="-15"/>
        </w:rPr>
        <w:t> </w:t>
      </w:r>
      <w:r>
        <w:rPr/>
        <w:t>han</w:t>
      </w:r>
      <w:r>
        <w:rPr>
          <w:spacing w:val="-14"/>
        </w:rPr>
        <w:t> </w:t>
      </w:r>
      <w:r>
        <w:rPr/>
        <w:t>mostrado</w:t>
      </w:r>
      <w:r>
        <w:rPr>
          <w:spacing w:val="-14"/>
        </w:rPr>
        <w:t> </w:t>
      </w:r>
      <w:r>
        <w:rPr/>
        <w:t>una</w:t>
      </w:r>
      <w:r>
        <w:rPr>
          <w:spacing w:val="-9"/>
        </w:rPr>
        <w:t> </w:t>
      </w:r>
      <w:r>
        <w:rPr/>
        <w:t>caída</w:t>
      </w:r>
      <w:r>
        <w:rPr>
          <w:spacing w:val="-14"/>
        </w:rPr>
        <w:t> </w:t>
      </w:r>
      <w:r>
        <w:rPr/>
        <w:t>más</w:t>
      </w:r>
      <w:r>
        <w:rPr>
          <w:spacing w:val="-16"/>
        </w:rPr>
        <w:t> </w:t>
      </w:r>
      <w:r>
        <w:rPr/>
        <w:t>acentuada,</w:t>
      </w:r>
      <w:r>
        <w:rPr>
          <w:spacing w:val="-9"/>
        </w:rPr>
        <w:t> </w:t>
      </w:r>
      <w:r>
        <w:rPr/>
        <w:t>especialmente</w:t>
      </w:r>
      <w:r>
        <w:rPr>
          <w:spacing w:val="-14"/>
        </w:rPr>
        <w:t> </w:t>
      </w:r>
      <w:r>
        <w:rPr/>
        <w:t>durante</w:t>
      </w:r>
      <w:r>
        <w:rPr>
          <w:spacing w:val="-9"/>
        </w:rPr>
        <w:t> </w:t>
      </w:r>
      <w:r>
        <w:rPr/>
        <w:t>y</w:t>
      </w:r>
      <w:r>
        <w:rPr>
          <w:spacing w:val="-16"/>
        </w:rPr>
        <w:t> </w:t>
      </w:r>
      <w:r>
        <w:rPr/>
        <w:t>después del impacto de la pandemia de COVID-19. En 2020, por ejemplo, se observa una fuerte reducción</w:t>
      </w:r>
      <w:r>
        <w:rPr>
          <w:spacing w:val="-15"/>
        </w:rPr>
        <w:t> </w:t>
      </w:r>
      <w:r>
        <w:rPr/>
        <w:t>generalizada,</w:t>
      </w:r>
      <w:r>
        <w:rPr>
          <w:spacing w:val="-10"/>
        </w:rPr>
        <w:t> </w:t>
      </w:r>
      <w:r>
        <w:rPr/>
        <w:t>con</w:t>
      </w:r>
      <w:r>
        <w:rPr>
          <w:spacing w:val="-9"/>
        </w:rPr>
        <w:t> </w:t>
      </w:r>
      <w:r>
        <w:rPr/>
        <w:t>recuperación</w:t>
      </w:r>
      <w:r>
        <w:rPr>
          <w:spacing w:val="-14"/>
        </w:rPr>
        <w:t> </w:t>
      </w:r>
      <w:r>
        <w:rPr/>
        <w:t>parcial</w:t>
      </w:r>
      <w:r>
        <w:rPr>
          <w:spacing w:val="-16"/>
        </w:rPr>
        <w:t> </w:t>
      </w:r>
      <w:r>
        <w:rPr/>
        <w:t>en</w:t>
      </w:r>
      <w:r>
        <w:rPr>
          <w:spacing w:val="-13"/>
        </w:rPr>
        <w:t> </w:t>
      </w:r>
      <w:r>
        <w:rPr/>
        <w:t>años</w:t>
      </w:r>
      <w:r>
        <w:rPr>
          <w:spacing w:val="-11"/>
        </w:rPr>
        <w:t> </w:t>
      </w:r>
      <w:r>
        <w:rPr/>
        <w:t>posteriores,</w:t>
      </w:r>
      <w:r>
        <w:rPr>
          <w:spacing w:val="-15"/>
        </w:rPr>
        <w:t> </w:t>
      </w:r>
      <w:r>
        <w:rPr/>
        <w:t>pero</w:t>
      </w:r>
      <w:r>
        <w:rPr>
          <w:spacing w:val="-9"/>
        </w:rPr>
        <w:t> </w:t>
      </w:r>
      <w:r>
        <w:rPr/>
        <w:t>sin</w:t>
      </w:r>
      <w:r>
        <w:rPr>
          <w:spacing w:val="-9"/>
        </w:rPr>
        <w:t> </w:t>
      </w:r>
      <w:r>
        <w:rPr/>
        <w:t>alcanzar</w:t>
      </w:r>
      <w:r>
        <w:rPr>
          <w:spacing w:val="-12"/>
        </w:rPr>
        <w:t> </w:t>
      </w:r>
      <w:r>
        <w:rPr/>
        <w:t>los niveles previos en los hogares en situación de pobreza.</w:t>
      </w:r>
    </w:p>
    <w:p>
      <w:pPr>
        <w:pStyle w:val="BodyText"/>
      </w:pPr>
    </w:p>
    <w:p>
      <w:pPr>
        <w:pStyle w:val="BodyText"/>
        <w:ind w:left="979" w:right="1337"/>
        <w:jc w:val="both"/>
      </w:pPr>
      <w:r>
        <w:rPr/>
        <w:t>Este patrón revela un problema estructural: los</w:t>
      </w:r>
      <w:r>
        <w:rPr>
          <w:spacing w:val="-1"/>
        </w:rPr>
        <w:t> </w:t>
      </w:r>
      <w:r>
        <w:rPr/>
        <w:t>hogares</w:t>
      </w:r>
      <w:r>
        <w:rPr>
          <w:spacing w:val="-5"/>
        </w:rPr>
        <w:t> </w:t>
      </w:r>
      <w:r>
        <w:rPr/>
        <w:t>más pobres</w:t>
      </w:r>
      <w:r>
        <w:rPr>
          <w:spacing w:val="-1"/>
        </w:rPr>
        <w:t> </w:t>
      </w:r>
      <w:r>
        <w:rPr/>
        <w:t>no solo tienen menos ingresos, sino también menos miembros activos en el mercado laboral, lo cual agrava su situación económica y limita sus posibilidades de movilidad social. Además, esta menor inserción</w:t>
      </w:r>
      <w:r>
        <w:rPr>
          <w:spacing w:val="40"/>
        </w:rPr>
        <w:t> </w:t>
      </w:r>
      <w:r>
        <w:rPr/>
        <w:t>laboral</w:t>
      </w:r>
      <w:r>
        <w:rPr>
          <w:spacing w:val="37"/>
        </w:rPr>
        <w:t> </w:t>
      </w:r>
      <w:r>
        <w:rPr/>
        <w:t>suele</w:t>
      </w:r>
      <w:r>
        <w:rPr>
          <w:spacing w:val="35"/>
        </w:rPr>
        <w:t> </w:t>
      </w:r>
      <w:r>
        <w:rPr/>
        <w:t>estar</w:t>
      </w:r>
      <w:r>
        <w:rPr>
          <w:spacing w:val="36"/>
        </w:rPr>
        <w:t> </w:t>
      </w:r>
      <w:r>
        <w:rPr/>
        <w:t>relacionada</w:t>
      </w:r>
      <w:r>
        <w:rPr>
          <w:spacing w:val="40"/>
        </w:rPr>
        <w:t> </w:t>
      </w:r>
      <w:r>
        <w:rPr/>
        <w:t>con</w:t>
      </w:r>
      <w:r>
        <w:rPr>
          <w:spacing w:val="40"/>
        </w:rPr>
        <w:t> </w:t>
      </w:r>
      <w:r>
        <w:rPr/>
        <w:t>barreras</w:t>
      </w:r>
      <w:r>
        <w:rPr>
          <w:spacing w:val="38"/>
        </w:rPr>
        <w:t> </w:t>
      </w:r>
      <w:r>
        <w:rPr/>
        <w:t>como</w:t>
      </w:r>
      <w:r>
        <w:rPr>
          <w:spacing w:val="40"/>
        </w:rPr>
        <w:t> </w:t>
      </w:r>
      <w:r>
        <w:rPr/>
        <w:t>el</w:t>
      </w:r>
      <w:r>
        <w:rPr>
          <w:spacing w:val="32"/>
        </w:rPr>
        <w:t> </w:t>
      </w:r>
      <w:r>
        <w:rPr/>
        <w:t>bajo</w:t>
      </w:r>
      <w:r>
        <w:rPr>
          <w:spacing w:val="35"/>
        </w:rPr>
        <w:t> </w:t>
      </w:r>
      <w:r>
        <w:rPr/>
        <w:t>nivel</w:t>
      </w:r>
      <w:r>
        <w:rPr>
          <w:spacing w:val="37"/>
        </w:rPr>
        <w:t> </w:t>
      </w:r>
      <w:r>
        <w:rPr/>
        <w:t>educativo,</w:t>
      </w:r>
      <w:r>
        <w:rPr>
          <w:spacing w:val="39"/>
        </w:rPr>
        <w:t> </w:t>
      </w:r>
      <w:r>
        <w:rPr/>
        <w:t>la</w:t>
      </w:r>
    </w:p>
    <w:p>
      <w:pPr>
        <w:pStyle w:val="BodyText"/>
        <w:spacing w:after="0"/>
        <w:jc w:val="both"/>
        <w:sectPr>
          <w:pgSz w:w="12240" w:h="15840"/>
          <w:pgMar w:header="0" w:footer="1021" w:top="1340" w:bottom="1220" w:left="720" w:right="360"/>
        </w:sectPr>
      </w:pPr>
    </w:p>
    <w:p>
      <w:pPr>
        <w:pStyle w:val="BodyText"/>
        <w:spacing w:before="76"/>
        <w:ind w:left="979" w:right="1352"/>
        <w:jc w:val="both"/>
      </w:pPr>
      <w:r>
        <w:rPr/>
        <w:t>informalidad, la falta de acceso a servicios</w:t>
      </w:r>
      <w:r>
        <w:rPr>
          <w:spacing w:val="-1"/>
        </w:rPr>
        <w:t> </w:t>
      </w:r>
      <w:r>
        <w:rPr/>
        <w:t>de cuidado para niños o adultos</w:t>
      </w:r>
      <w:r>
        <w:rPr>
          <w:spacing w:val="-1"/>
        </w:rPr>
        <w:t> </w:t>
      </w:r>
      <w:r>
        <w:rPr/>
        <w:t>dependientes, o la discriminación estructural por género o territorio.</w:t>
      </w:r>
    </w:p>
    <w:p>
      <w:pPr>
        <w:pStyle w:val="BodyText"/>
        <w:spacing w:before="253"/>
        <w:ind w:left="979" w:right="1336"/>
        <w:jc w:val="both"/>
      </w:pPr>
      <w:r>
        <w:rPr/>
        <w:t>En conjunto,</w:t>
      </w:r>
      <w:r>
        <w:rPr>
          <w:spacing w:val="-5"/>
        </w:rPr>
        <w:t> </w:t>
      </w:r>
      <w:r>
        <w:rPr/>
        <w:t>estos</w:t>
      </w:r>
      <w:r>
        <w:rPr>
          <w:spacing w:val="-6"/>
        </w:rPr>
        <w:t> </w:t>
      </w:r>
      <w:r>
        <w:rPr/>
        <w:t>datos</w:t>
      </w:r>
      <w:r>
        <w:rPr>
          <w:spacing w:val="-6"/>
        </w:rPr>
        <w:t> </w:t>
      </w:r>
      <w:r>
        <w:rPr/>
        <w:t>destacan la</w:t>
      </w:r>
      <w:r>
        <w:rPr>
          <w:spacing w:val="-4"/>
        </w:rPr>
        <w:t> </w:t>
      </w:r>
      <w:r>
        <w:rPr/>
        <w:t>necesidad</w:t>
      </w:r>
      <w:r>
        <w:rPr>
          <w:spacing w:val="-4"/>
        </w:rPr>
        <w:t> </w:t>
      </w:r>
      <w:r>
        <w:rPr/>
        <w:t>urgente</w:t>
      </w:r>
      <w:r>
        <w:rPr>
          <w:spacing w:val="-4"/>
        </w:rPr>
        <w:t> </w:t>
      </w:r>
      <w:r>
        <w:rPr/>
        <w:t>de</w:t>
      </w:r>
      <w:r>
        <w:rPr>
          <w:spacing w:val="-4"/>
        </w:rPr>
        <w:t> </w:t>
      </w:r>
      <w:r>
        <w:rPr/>
        <w:t>políticas</w:t>
      </w:r>
      <w:r>
        <w:rPr>
          <w:spacing w:val="-6"/>
        </w:rPr>
        <w:t> </w:t>
      </w:r>
      <w:r>
        <w:rPr/>
        <w:t>públicas</w:t>
      </w:r>
      <w:r>
        <w:rPr>
          <w:spacing w:val="-1"/>
        </w:rPr>
        <w:t> </w:t>
      </w:r>
      <w:r>
        <w:rPr/>
        <w:t>centradas</w:t>
      </w:r>
      <w:r>
        <w:rPr>
          <w:spacing w:val="-6"/>
        </w:rPr>
        <w:t> </w:t>
      </w:r>
      <w:r>
        <w:rPr/>
        <w:t>en la</w:t>
      </w:r>
      <w:r>
        <w:rPr>
          <w:spacing w:val="-11"/>
        </w:rPr>
        <w:t> </w:t>
      </w:r>
      <w:r>
        <w:rPr/>
        <w:t>generación</w:t>
      </w:r>
      <w:r>
        <w:rPr>
          <w:spacing w:val="-10"/>
        </w:rPr>
        <w:t> </w:t>
      </w:r>
      <w:r>
        <w:rPr/>
        <w:t>de</w:t>
      </w:r>
      <w:r>
        <w:rPr>
          <w:spacing w:val="-10"/>
        </w:rPr>
        <w:t> </w:t>
      </w:r>
      <w:r>
        <w:rPr/>
        <w:t>empleo</w:t>
      </w:r>
      <w:r>
        <w:rPr>
          <w:spacing w:val="-10"/>
        </w:rPr>
        <w:t> </w:t>
      </w:r>
      <w:r>
        <w:rPr/>
        <w:t>inclusivo</w:t>
      </w:r>
      <w:r>
        <w:rPr>
          <w:spacing w:val="-10"/>
        </w:rPr>
        <w:t> </w:t>
      </w:r>
      <w:r>
        <w:rPr/>
        <w:t>y</w:t>
      </w:r>
      <w:r>
        <w:rPr>
          <w:spacing w:val="-12"/>
        </w:rPr>
        <w:t> </w:t>
      </w:r>
      <w:r>
        <w:rPr/>
        <w:t>accesible,</w:t>
      </w:r>
      <w:r>
        <w:rPr>
          <w:spacing w:val="-16"/>
        </w:rPr>
        <w:t> </w:t>
      </w:r>
      <w:r>
        <w:rPr/>
        <w:t>especialmente</w:t>
      </w:r>
      <w:r>
        <w:rPr>
          <w:spacing w:val="-14"/>
        </w:rPr>
        <w:t> </w:t>
      </w:r>
      <w:r>
        <w:rPr/>
        <w:t>para</w:t>
      </w:r>
      <w:r>
        <w:rPr>
          <w:spacing w:val="-10"/>
        </w:rPr>
        <w:t> </w:t>
      </w:r>
      <w:r>
        <w:rPr/>
        <w:t>los</w:t>
      </w:r>
      <w:r>
        <w:rPr>
          <w:spacing w:val="-16"/>
        </w:rPr>
        <w:t> </w:t>
      </w:r>
      <w:r>
        <w:rPr/>
        <w:t>hogares</w:t>
      </w:r>
      <w:r>
        <w:rPr>
          <w:spacing w:val="-11"/>
        </w:rPr>
        <w:t> </w:t>
      </w:r>
      <w:r>
        <w:rPr/>
        <w:t>en</w:t>
      </w:r>
      <w:r>
        <w:rPr>
          <w:spacing w:val="-10"/>
        </w:rPr>
        <w:t> </w:t>
      </w:r>
      <w:r>
        <w:rPr/>
        <w:t>situación de pobreza extrema. Asimismo, es fundamental promover condiciones que favorezcan la inserción laboral</w:t>
      </w:r>
      <w:r>
        <w:rPr>
          <w:spacing w:val="-2"/>
        </w:rPr>
        <w:t> </w:t>
      </w:r>
      <w:r>
        <w:rPr/>
        <w:t>de</w:t>
      </w:r>
      <w:r>
        <w:rPr>
          <w:spacing w:val="-4"/>
        </w:rPr>
        <w:t> </w:t>
      </w:r>
      <w:r>
        <w:rPr/>
        <w:t>mujeres, jóvenes</w:t>
      </w:r>
      <w:r>
        <w:rPr>
          <w:spacing w:val="-2"/>
        </w:rPr>
        <w:t> </w:t>
      </w:r>
      <w:r>
        <w:rPr/>
        <w:t>y</w:t>
      </w:r>
      <w:r>
        <w:rPr>
          <w:spacing w:val="-2"/>
        </w:rPr>
        <w:t> </w:t>
      </w:r>
      <w:r>
        <w:rPr/>
        <w:t>personas</w:t>
      </w:r>
      <w:r>
        <w:rPr>
          <w:spacing w:val="-5"/>
        </w:rPr>
        <w:t> </w:t>
      </w:r>
      <w:r>
        <w:rPr/>
        <w:t>en contextos vulnerables, para cerrar</w:t>
      </w:r>
      <w:r>
        <w:rPr>
          <w:spacing w:val="-3"/>
        </w:rPr>
        <w:t> </w:t>
      </w:r>
      <w:r>
        <w:rPr/>
        <w:t>las brechas en el acceso a ingresos y reducir de manera sostenible los niveles de pobreza.</w:t>
      </w:r>
    </w:p>
    <w:p>
      <w:pPr>
        <w:pStyle w:val="BodyText"/>
        <w:spacing w:before="2"/>
        <w:ind w:left="979" w:right="1337"/>
        <w:jc w:val="both"/>
      </w:pPr>
      <w:r>
        <w:rPr/>
        <w:t>Un aspecto importante es considerar que el porcentaje de hogares con jefatura femenina ha aumentado de forma sostenida en Costa Rica durante el período 2010–2024, pasando de un 35,2% en 2010 a un 43% en 2024. Este incremento refleja transformaciones en la estructura familiar costarricense, en la que cada vez más mujeres asumen el rol de proveedoras principales del hogar. Esta tendencia puede estar vinculada a la mayor participación</w:t>
      </w:r>
      <w:r>
        <w:rPr>
          <w:spacing w:val="-5"/>
        </w:rPr>
        <w:t> </w:t>
      </w:r>
      <w:r>
        <w:rPr/>
        <w:t>femenina</w:t>
      </w:r>
      <w:r>
        <w:rPr>
          <w:spacing w:val="-5"/>
        </w:rPr>
        <w:t> </w:t>
      </w:r>
      <w:r>
        <w:rPr/>
        <w:t>en</w:t>
      </w:r>
      <w:r>
        <w:rPr>
          <w:spacing w:val="-5"/>
        </w:rPr>
        <w:t> </w:t>
      </w:r>
      <w:r>
        <w:rPr/>
        <w:t>el</w:t>
      </w:r>
      <w:r>
        <w:rPr>
          <w:spacing w:val="-8"/>
        </w:rPr>
        <w:t> </w:t>
      </w:r>
      <w:r>
        <w:rPr/>
        <w:t>mercado</w:t>
      </w:r>
      <w:r>
        <w:rPr>
          <w:spacing w:val="-5"/>
        </w:rPr>
        <w:t> </w:t>
      </w:r>
      <w:r>
        <w:rPr/>
        <w:t>laboral,</w:t>
      </w:r>
      <w:r>
        <w:rPr>
          <w:spacing w:val="-6"/>
        </w:rPr>
        <w:t> </w:t>
      </w:r>
      <w:r>
        <w:rPr/>
        <w:t>cambios</w:t>
      </w:r>
      <w:r>
        <w:rPr>
          <w:spacing w:val="-7"/>
        </w:rPr>
        <w:t> </w:t>
      </w:r>
      <w:r>
        <w:rPr/>
        <w:t>culturales,</w:t>
      </w:r>
      <w:r>
        <w:rPr>
          <w:spacing w:val="-6"/>
        </w:rPr>
        <w:t> </w:t>
      </w:r>
      <w:r>
        <w:rPr/>
        <w:t>y</w:t>
      </w:r>
      <w:r>
        <w:rPr>
          <w:spacing w:val="-7"/>
        </w:rPr>
        <w:t> </w:t>
      </w:r>
      <w:r>
        <w:rPr/>
        <w:t>al</w:t>
      </w:r>
      <w:r>
        <w:rPr>
          <w:spacing w:val="-8"/>
        </w:rPr>
        <w:t> </w:t>
      </w:r>
      <w:r>
        <w:rPr/>
        <w:t>aumento</w:t>
      </w:r>
      <w:r>
        <w:rPr>
          <w:spacing w:val="-5"/>
        </w:rPr>
        <w:t> </w:t>
      </w:r>
      <w:r>
        <w:rPr/>
        <w:t>de</w:t>
      </w:r>
      <w:r>
        <w:rPr>
          <w:spacing w:val="-5"/>
        </w:rPr>
        <w:t> </w:t>
      </w:r>
      <w:r>
        <w:rPr/>
        <w:t>hogares monoparentales o unipersonales.</w:t>
      </w:r>
    </w:p>
    <w:p>
      <w:pPr>
        <w:pStyle w:val="BodyText"/>
        <w:spacing w:before="251"/>
        <w:ind w:left="979" w:right="1335"/>
        <w:jc w:val="both"/>
      </w:pPr>
      <w:r>
        <w:rPr/>
        <w:t>Sin embargo, esta transformación no ocurre de manera uniforme en todos los sectores sociales.</w:t>
      </w:r>
      <w:r>
        <w:rPr>
          <w:spacing w:val="-10"/>
        </w:rPr>
        <w:t> </w:t>
      </w:r>
      <w:r>
        <w:rPr/>
        <w:t>Según</w:t>
      </w:r>
      <w:r>
        <w:rPr>
          <w:spacing w:val="-9"/>
        </w:rPr>
        <w:t> </w:t>
      </w:r>
      <w:r>
        <w:rPr/>
        <w:t>se</w:t>
      </w:r>
      <w:r>
        <w:rPr>
          <w:spacing w:val="-9"/>
        </w:rPr>
        <w:t> </w:t>
      </w:r>
      <w:r>
        <w:rPr/>
        <w:t>aprecia</w:t>
      </w:r>
      <w:r>
        <w:rPr>
          <w:spacing w:val="-14"/>
        </w:rPr>
        <w:t> </w:t>
      </w:r>
      <w:r>
        <w:rPr/>
        <w:t>en</w:t>
      </w:r>
      <w:r>
        <w:rPr>
          <w:spacing w:val="-8"/>
        </w:rPr>
        <w:t> </w:t>
      </w:r>
      <w:r>
        <w:rPr/>
        <w:t>el</w:t>
      </w:r>
      <w:r>
        <w:rPr>
          <w:spacing w:val="-12"/>
        </w:rPr>
        <w:t> </w:t>
      </w:r>
      <w:r>
        <w:rPr/>
        <w:t>gráfico</w:t>
      </w:r>
      <w:r>
        <w:rPr>
          <w:spacing w:val="-14"/>
        </w:rPr>
        <w:t> </w:t>
      </w:r>
      <w:r>
        <w:rPr/>
        <w:t>14,</w:t>
      </w:r>
      <w:r>
        <w:rPr>
          <w:spacing w:val="-10"/>
        </w:rPr>
        <w:t> </w:t>
      </w:r>
      <w:r>
        <w:rPr/>
        <w:t>los</w:t>
      </w:r>
      <w:r>
        <w:rPr>
          <w:spacing w:val="-11"/>
        </w:rPr>
        <w:t> </w:t>
      </w:r>
      <w:r>
        <w:rPr/>
        <w:t>hogares</w:t>
      </w:r>
      <w:r>
        <w:rPr>
          <w:spacing w:val="-16"/>
        </w:rPr>
        <w:t> </w:t>
      </w:r>
      <w:r>
        <w:rPr/>
        <w:t>en</w:t>
      </w:r>
      <w:r>
        <w:rPr>
          <w:spacing w:val="-8"/>
        </w:rPr>
        <w:t> </w:t>
      </w:r>
      <w:r>
        <w:rPr/>
        <w:t>condición</w:t>
      </w:r>
      <w:r>
        <w:rPr>
          <w:spacing w:val="-9"/>
        </w:rPr>
        <w:t> </w:t>
      </w:r>
      <w:r>
        <w:rPr/>
        <w:t>de</w:t>
      </w:r>
      <w:r>
        <w:rPr>
          <w:spacing w:val="-9"/>
        </w:rPr>
        <w:t> </w:t>
      </w:r>
      <w:r>
        <w:rPr/>
        <w:t>pobreza</w:t>
      </w:r>
      <w:r>
        <w:rPr>
          <w:spacing w:val="-14"/>
        </w:rPr>
        <w:t> </w:t>
      </w:r>
      <w:r>
        <w:rPr/>
        <w:t>presentan una proporción significativamente mayor de jefatura femenina. En 2024, el 50,4% de los hogares pobres están encabezados por mujeres, en comparación con el 41,4% entre los hogares</w:t>
      </w:r>
      <w:r>
        <w:rPr>
          <w:spacing w:val="-5"/>
        </w:rPr>
        <w:t> </w:t>
      </w:r>
      <w:r>
        <w:rPr/>
        <w:t>no pobres. Esta</w:t>
      </w:r>
      <w:r>
        <w:rPr>
          <w:spacing w:val="-3"/>
        </w:rPr>
        <w:t> </w:t>
      </w:r>
      <w:r>
        <w:rPr/>
        <w:t>brecha</w:t>
      </w:r>
      <w:r>
        <w:rPr>
          <w:spacing w:val="-3"/>
        </w:rPr>
        <w:t> </w:t>
      </w:r>
      <w:r>
        <w:rPr/>
        <w:t>de casi</w:t>
      </w:r>
      <w:r>
        <w:rPr>
          <w:spacing w:val="-6"/>
        </w:rPr>
        <w:t> </w:t>
      </w:r>
      <w:r>
        <w:rPr/>
        <w:t>9</w:t>
      </w:r>
      <w:r>
        <w:rPr>
          <w:spacing w:val="-3"/>
        </w:rPr>
        <w:t> </w:t>
      </w:r>
      <w:r>
        <w:rPr/>
        <w:t>puntos</w:t>
      </w:r>
      <w:r>
        <w:rPr>
          <w:spacing w:val="-10"/>
        </w:rPr>
        <w:t> </w:t>
      </w:r>
      <w:r>
        <w:rPr/>
        <w:t>porcentuales ha sido consistente y</w:t>
      </w:r>
      <w:r>
        <w:rPr>
          <w:spacing w:val="-5"/>
        </w:rPr>
        <w:t> </w:t>
      </w:r>
      <w:r>
        <w:rPr/>
        <w:t>se</w:t>
      </w:r>
      <w:r>
        <w:rPr>
          <w:spacing w:val="-3"/>
        </w:rPr>
        <w:t> </w:t>
      </w:r>
      <w:r>
        <w:rPr/>
        <w:t>ha ampliado en ciertos momentos del período analizado, evidenciando una feminización persistente de la pobreza.</w:t>
      </w:r>
    </w:p>
    <w:p>
      <w:pPr>
        <w:pStyle w:val="BodyText"/>
        <w:spacing w:before="2"/>
      </w:pPr>
    </w:p>
    <w:p>
      <w:pPr>
        <w:pStyle w:val="Heading2"/>
        <w:spacing w:before="1"/>
        <w:ind w:left="786" w:right="1020"/>
        <w:jc w:val="center"/>
      </w:pPr>
      <w:bookmarkStart w:name="_bookmark34" w:id="35"/>
      <w:bookmarkEnd w:id="35"/>
      <w:r>
        <w:rPr>
          <w:b w:val="0"/>
        </w:rPr>
      </w:r>
      <w:r>
        <w:rPr/>
        <w:t>Gráfico</w:t>
      </w:r>
      <w:r>
        <w:rPr>
          <w:spacing w:val="-4"/>
        </w:rPr>
        <w:t> </w:t>
      </w:r>
      <w:r>
        <w:rPr/>
        <w:t>14:</w:t>
      </w:r>
      <w:r>
        <w:rPr>
          <w:spacing w:val="-5"/>
        </w:rPr>
        <w:t> </w:t>
      </w:r>
      <w:r>
        <w:rPr/>
        <w:t>Porcentaje</w:t>
      </w:r>
      <w:r>
        <w:rPr>
          <w:spacing w:val="-2"/>
        </w:rPr>
        <w:t> </w:t>
      </w:r>
      <w:r>
        <w:rPr/>
        <w:t>de</w:t>
      </w:r>
      <w:r>
        <w:rPr>
          <w:spacing w:val="-7"/>
        </w:rPr>
        <w:t> </w:t>
      </w:r>
      <w:r>
        <w:rPr/>
        <w:t>hogares</w:t>
      </w:r>
      <w:r>
        <w:rPr>
          <w:spacing w:val="-6"/>
        </w:rPr>
        <w:t> </w:t>
      </w:r>
      <w:r>
        <w:rPr/>
        <w:t>con</w:t>
      </w:r>
      <w:r>
        <w:rPr>
          <w:spacing w:val="-9"/>
        </w:rPr>
        <w:t> </w:t>
      </w:r>
      <w:r>
        <w:rPr/>
        <w:t>jefatura</w:t>
      </w:r>
      <w:r>
        <w:rPr>
          <w:spacing w:val="-6"/>
        </w:rPr>
        <w:t> </w:t>
      </w:r>
      <w:r>
        <w:rPr/>
        <w:t>femenina</w:t>
      </w:r>
      <w:r>
        <w:rPr>
          <w:spacing w:val="-7"/>
        </w:rPr>
        <w:t> </w:t>
      </w:r>
      <w:r>
        <w:rPr/>
        <w:t>según</w:t>
      </w:r>
      <w:r>
        <w:rPr>
          <w:spacing w:val="-8"/>
        </w:rPr>
        <w:t> </w:t>
      </w:r>
      <w:r>
        <w:rPr/>
        <w:t>condición</w:t>
      </w:r>
      <w:r>
        <w:rPr>
          <w:spacing w:val="-9"/>
        </w:rPr>
        <w:t> </w:t>
      </w:r>
      <w:r>
        <w:rPr/>
        <w:t>de</w:t>
      </w:r>
      <w:r>
        <w:rPr>
          <w:spacing w:val="-2"/>
        </w:rPr>
        <w:t> pobreza.</w:t>
      </w:r>
    </w:p>
    <w:p>
      <w:pPr>
        <w:spacing w:before="1"/>
        <w:ind w:left="799" w:right="1020" w:firstLine="0"/>
        <w:jc w:val="center"/>
        <w:rPr>
          <w:b/>
          <w:sz w:val="22"/>
        </w:rPr>
      </w:pPr>
      <w:r>
        <w:rPr>
          <w:b/>
          <w:sz w:val="22"/>
        </w:rPr>
        <w:t>Costa</w:t>
      </w:r>
      <w:r>
        <w:rPr>
          <w:b/>
          <w:spacing w:val="-7"/>
          <w:sz w:val="22"/>
        </w:rPr>
        <w:t> </w:t>
      </w:r>
      <w:r>
        <w:rPr>
          <w:b/>
          <w:sz w:val="22"/>
        </w:rPr>
        <w:t>Rica</w:t>
      </w:r>
      <w:r>
        <w:rPr>
          <w:b/>
          <w:spacing w:val="-8"/>
          <w:sz w:val="22"/>
        </w:rPr>
        <w:t> </w:t>
      </w:r>
      <w:r>
        <w:rPr>
          <w:b/>
          <w:sz w:val="22"/>
        </w:rPr>
        <w:t>2010-</w:t>
      </w:r>
      <w:r>
        <w:rPr>
          <w:b/>
          <w:spacing w:val="-4"/>
          <w:sz w:val="22"/>
        </w:rPr>
        <w:t>2024</w:t>
      </w:r>
    </w:p>
    <w:p>
      <w:pPr>
        <w:pStyle w:val="BodyText"/>
        <w:spacing w:before="38"/>
        <w:rPr>
          <w:b/>
          <w:sz w:val="20"/>
        </w:rPr>
      </w:pPr>
      <w:r>
        <w:rPr>
          <w:b/>
          <w:sz w:val="20"/>
        </w:rPr>
        <w:drawing>
          <wp:anchor distT="0" distB="0" distL="0" distR="0" allowOverlap="1" layoutInCell="1" locked="0" behindDoc="1" simplePos="0" relativeHeight="487596544">
            <wp:simplePos x="0" y="0"/>
            <wp:positionH relativeFrom="page">
              <wp:posOffset>1102360</wp:posOffset>
            </wp:positionH>
            <wp:positionV relativeFrom="paragraph">
              <wp:posOffset>186001</wp:posOffset>
            </wp:positionV>
            <wp:extent cx="5367051" cy="3088767"/>
            <wp:effectExtent l="0" t="0" r="0" b="0"/>
            <wp:wrapTopAndBottom/>
            <wp:docPr id="73" name="Image 73" descr="Gráfico  El contenido generado por IA puede ser incorrecto."/>
            <wp:cNvGraphicFramePr>
              <a:graphicFrameLocks/>
            </wp:cNvGraphicFramePr>
            <a:graphic>
              <a:graphicData uri="http://schemas.openxmlformats.org/drawingml/2006/picture">
                <pic:pic>
                  <pic:nvPicPr>
                    <pic:cNvPr id="73" name="Image 73" descr="Gráfico  El contenido generado por IA puede ser incorrecto."/>
                    <pic:cNvPicPr/>
                  </pic:nvPicPr>
                  <pic:blipFill>
                    <a:blip r:embed="rId52" cstate="print"/>
                    <a:stretch>
                      <a:fillRect/>
                    </a:stretch>
                  </pic:blipFill>
                  <pic:spPr>
                    <a:xfrm>
                      <a:off x="0" y="0"/>
                      <a:ext cx="5367051" cy="3088767"/>
                    </a:xfrm>
                    <a:prstGeom prst="rect">
                      <a:avLst/>
                    </a:prstGeom>
                  </pic:spPr>
                </pic:pic>
              </a:graphicData>
            </a:graphic>
          </wp:anchor>
        </w:drawing>
      </w:r>
    </w:p>
    <w:p>
      <w:pPr>
        <w:spacing w:before="0"/>
        <w:ind w:left="979" w:right="0" w:firstLine="0"/>
        <w:jc w:val="both"/>
        <w:rPr>
          <w:sz w:val="18"/>
        </w:rPr>
      </w:pPr>
      <w:r>
        <w:rPr>
          <w:sz w:val="18"/>
        </w:rPr>
        <w:t>Fuente:</w:t>
      </w:r>
      <w:r>
        <w:rPr>
          <w:spacing w:val="-8"/>
          <w:sz w:val="18"/>
        </w:rPr>
        <w:t> </w:t>
      </w:r>
      <w:r>
        <w:rPr>
          <w:sz w:val="18"/>
        </w:rPr>
        <w:t>Elaboración</w:t>
      </w:r>
      <w:r>
        <w:rPr>
          <w:spacing w:val="-7"/>
          <w:sz w:val="18"/>
        </w:rPr>
        <w:t> </w:t>
      </w:r>
      <w:r>
        <w:rPr>
          <w:sz w:val="18"/>
        </w:rPr>
        <w:t>propia</w:t>
      </w:r>
      <w:r>
        <w:rPr>
          <w:spacing w:val="-6"/>
          <w:sz w:val="18"/>
        </w:rPr>
        <w:t> </w:t>
      </w:r>
      <w:r>
        <w:rPr>
          <w:sz w:val="18"/>
        </w:rPr>
        <w:t>con</w:t>
      </w:r>
      <w:r>
        <w:rPr>
          <w:spacing w:val="-6"/>
          <w:sz w:val="18"/>
        </w:rPr>
        <w:t> </w:t>
      </w:r>
      <w:r>
        <w:rPr>
          <w:sz w:val="18"/>
        </w:rPr>
        <w:t>datos</w:t>
      </w:r>
      <w:r>
        <w:rPr>
          <w:spacing w:val="-10"/>
          <w:sz w:val="18"/>
        </w:rPr>
        <w:t> </w:t>
      </w:r>
      <w:r>
        <w:rPr>
          <w:sz w:val="18"/>
        </w:rPr>
        <w:t>de</w:t>
      </w:r>
      <w:r>
        <w:rPr>
          <w:spacing w:val="-11"/>
          <w:sz w:val="18"/>
        </w:rPr>
        <w:t> </w:t>
      </w:r>
      <w:r>
        <w:rPr>
          <w:sz w:val="18"/>
        </w:rPr>
        <w:t>INEC</w:t>
      </w:r>
      <w:r>
        <w:rPr>
          <w:spacing w:val="-9"/>
          <w:sz w:val="18"/>
        </w:rPr>
        <w:t> </w:t>
      </w:r>
      <w:r>
        <w:rPr>
          <w:sz w:val="18"/>
        </w:rPr>
        <w:t>(2024).</w:t>
      </w:r>
      <w:r>
        <w:rPr>
          <w:spacing w:val="-7"/>
          <w:sz w:val="18"/>
        </w:rPr>
        <w:t> </w:t>
      </w:r>
      <w:r>
        <w:rPr>
          <w:sz w:val="18"/>
        </w:rPr>
        <w:t>ENAHO</w:t>
      </w:r>
      <w:r>
        <w:rPr>
          <w:spacing w:val="-4"/>
          <w:sz w:val="18"/>
        </w:rPr>
        <w:t> </w:t>
      </w:r>
      <w:r>
        <w:rPr>
          <w:spacing w:val="-2"/>
          <w:sz w:val="18"/>
        </w:rPr>
        <w:t>2024.</w:t>
      </w:r>
    </w:p>
    <w:p>
      <w:pPr>
        <w:pStyle w:val="BodyText"/>
        <w:spacing w:before="197"/>
        <w:ind w:left="979" w:right="1337"/>
        <w:jc w:val="both"/>
      </w:pPr>
      <w:r>
        <w:rPr/>
        <w:t>La</w:t>
      </w:r>
      <w:r>
        <w:rPr>
          <w:spacing w:val="-16"/>
        </w:rPr>
        <w:t> </w:t>
      </w:r>
      <w:r>
        <w:rPr/>
        <w:t>situación</w:t>
      </w:r>
      <w:r>
        <w:rPr>
          <w:spacing w:val="-15"/>
        </w:rPr>
        <w:t> </w:t>
      </w:r>
      <w:r>
        <w:rPr/>
        <w:t>es</w:t>
      </w:r>
      <w:r>
        <w:rPr>
          <w:spacing w:val="-15"/>
        </w:rPr>
        <w:t> </w:t>
      </w:r>
      <w:r>
        <w:rPr/>
        <w:t>aún</w:t>
      </w:r>
      <w:r>
        <w:rPr>
          <w:spacing w:val="-14"/>
        </w:rPr>
        <w:t> </w:t>
      </w:r>
      <w:r>
        <w:rPr/>
        <w:t>más</w:t>
      </w:r>
      <w:r>
        <w:rPr>
          <w:spacing w:val="-16"/>
        </w:rPr>
        <w:t> </w:t>
      </w:r>
      <w:r>
        <w:rPr/>
        <w:t>preocupante</w:t>
      </w:r>
      <w:r>
        <w:rPr>
          <w:spacing w:val="-8"/>
        </w:rPr>
        <w:t> </w:t>
      </w:r>
      <w:r>
        <w:rPr/>
        <w:t>cuando</w:t>
      </w:r>
      <w:r>
        <w:rPr>
          <w:spacing w:val="-9"/>
        </w:rPr>
        <w:t> </w:t>
      </w:r>
      <w:r>
        <w:rPr/>
        <w:t>se</w:t>
      </w:r>
      <w:r>
        <w:rPr>
          <w:spacing w:val="-14"/>
        </w:rPr>
        <w:t> </w:t>
      </w:r>
      <w:r>
        <w:rPr/>
        <w:t>observa</w:t>
      </w:r>
      <w:r>
        <w:rPr>
          <w:spacing w:val="-16"/>
        </w:rPr>
        <w:t> </w:t>
      </w:r>
      <w:r>
        <w:rPr/>
        <w:t>el</w:t>
      </w:r>
      <w:r>
        <w:rPr>
          <w:spacing w:val="-11"/>
        </w:rPr>
        <w:t> </w:t>
      </w:r>
      <w:r>
        <w:rPr/>
        <w:t>caso</w:t>
      </w:r>
      <w:r>
        <w:rPr>
          <w:spacing w:val="-14"/>
        </w:rPr>
        <w:t> </w:t>
      </w:r>
      <w:r>
        <w:rPr/>
        <w:t>de</w:t>
      </w:r>
      <w:r>
        <w:rPr>
          <w:spacing w:val="-9"/>
        </w:rPr>
        <w:t> </w:t>
      </w:r>
      <w:r>
        <w:rPr/>
        <w:t>los</w:t>
      </w:r>
      <w:r>
        <w:rPr>
          <w:spacing w:val="-16"/>
        </w:rPr>
        <w:t> </w:t>
      </w:r>
      <w:r>
        <w:rPr/>
        <w:t>hogares</w:t>
      </w:r>
      <w:r>
        <w:rPr>
          <w:spacing w:val="-15"/>
        </w:rPr>
        <w:t> </w:t>
      </w:r>
      <w:r>
        <w:rPr/>
        <w:t>en</w:t>
      </w:r>
      <w:r>
        <w:rPr>
          <w:spacing w:val="-13"/>
        </w:rPr>
        <w:t> </w:t>
      </w:r>
      <w:r>
        <w:rPr/>
        <w:t>pobreza extrema,</w:t>
      </w:r>
      <w:r>
        <w:rPr>
          <w:spacing w:val="-4"/>
        </w:rPr>
        <w:t> </w:t>
      </w:r>
      <w:r>
        <w:rPr/>
        <w:t>donde</w:t>
      </w:r>
      <w:r>
        <w:rPr>
          <w:spacing w:val="-3"/>
        </w:rPr>
        <w:t> </w:t>
      </w:r>
      <w:r>
        <w:rPr/>
        <w:t>la</w:t>
      </w:r>
      <w:r>
        <w:rPr>
          <w:spacing w:val="-3"/>
        </w:rPr>
        <w:t> </w:t>
      </w:r>
      <w:r>
        <w:rPr/>
        <w:t>jefatura</w:t>
      </w:r>
      <w:r>
        <w:rPr>
          <w:spacing w:val="-8"/>
        </w:rPr>
        <w:t> </w:t>
      </w:r>
      <w:r>
        <w:rPr/>
        <w:t>femenina</w:t>
      </w:r>
      <w:r>
        <w:rPr>
          <w:spacing w:val="-3"/>
        </w:rPr>
        <w:t> </w:t>
      </w:r>
      <w:r>
        <w:rPr/>
        <w:t>alcanza</w:t>
      </w:r>
      <w:r>
        <w:rPr>
          <w:spacing w:val="-3"/>
        </w:rPr>
        <w:t> </w:t>
      </w:r>
      <w:r>
        <w:rPr/>
        <w:t>el</w:t>
      </w:r>
      <w:r>
        <w:rPr>
          <w:spacing w:val="-6"/>
        </w:rPr>
        <w:t> </w:t>
      </w:r>
      <w:r>
        <w:rPr/>
        <w:t>56,8%</w:t>
      </w:r>
      <w:r>
        <w:rPr>
          <w:spacing w:val="-5"/>
        </w:rPr>
        <w:t> </w:t>
      </w:r>
      <w:r>
        <w:rPr/>
        <w:t>en</w:t>
      </w:r>
      <w:r>
        <w:rPr>
          <w:spacing w:val="-3"/>
        </w:rPr>
        <w:t> </w:t>
      </w:r>
      <w:r>
        <w:rPr/>
        <w:t>2024,</w:t>
      </w:r>
      <w:r>
        <w:rPr>
          <w:spacing w:val="-9"/>
        </w:rPr>
        <w:t> </w:t>
      </w:r>
      <w:r>
        <w:rPr/>
        <w:t>el</w:t>
      </w:r>
      <w:r>
        <w:rPr>
          <w:spacing w:val="-6"/>
        </w:rPr>
        <w:t> </w:t>
      </w:r>
      <w:r>
        <w:rPr/>
        <w:t>valor</w:t>
      </w:r>
      <w:r>
        <w:rPr>
          <w:spacing w:val="-11"/>
        </w:rPr>
        <w:t> </w:t>
      </w:r>
      <w:r>
        <w:rPr/>
        <w:t>más</w:t>
      </w:r>
      <w:r>
        <w:rPr>
          <w:spacing w:val="-10"/>
        </w:rPr>
        <w:t> </w:t>
      </w:r>
      <w:r>
        <w:rPr/>
        <w:t>alto</w:t>
      </w:r>
      <w:r>
        <w:rPr>
          <w:spacing w:val="-3"/>
        </w:rPr>
        <w:t> </w:t>
      </w:r>
      <w:r>
        <w:rPr/>
        <w:t>registrado en el período. Esto significa que más de la mitad de los hogares en situación</w:t>
      </w:r>
      <w:r>
        <w:rPr>
          <w:spacing w:val="26"/>
        </w:rPr>
        <w:t> </w:t>
      </w:r>
      <w:r>
        <w:rPr/>
        <w:t>de pobreza</w:t>
      </w:r>
    </w:p>
    <w:p>
      <w:pPr>
        <w:pStyle w:val="BodyText"/>
        <w:spacing w:after="0"/>
        <w:jc w:val="both"/>
        <w:sectPr>
          <w:pgSz w:w="12240" w:h="15840"/>
          <w:pgMar w:header="0" w:footer="1021" w:top="1340" w:bottom="1220" w:left="720" w:right="360"/>
        </w:sectPr>
      </w:pPr>
    </w:p>
    <w:p>
      <w:pPr>
        <w:pStyle w:val="BodyText"/>
        <w:spacing w:before="76"/>
        <w:ind w:left="979" w:right="1348"/>
        <w:jc w:val="both"/>
      </w:pPr>
      <w:r>
        <w:rPr/>
        <w:t>extrema están liderados por mujeres, muchas veces solas frente a responsabilidades económicas</w:t>
      </w:r>
      <w:r>
        <w:rPr>
          <w:spacing w:val="-3"/>
        </w:rPr>
        <w:t> </w:t>
      </w:r>
      <w:r>
        <w:rPr/>
        <w:t>y</w:t>
      </w:r>
      <w:r>
        <w:rPr>
          <w:spacing w:val="-2"/>
        </w:rPr>
        <w:t> </w:t>
      </w:r>
      <w:r>
        <w:rPr/>
        <w:t>de cuidado.</w:t>
      </w:r>
      <w:r>
        <w:rPr>
          <w:spacing w:val="-1"/>
        </w:rPr>
        <w:t> </w:t>
      </w:r>
      <w:r>
        <w:rPr/>
        <w:t>Esta realidad subraya</w:t>
      </w:r>
      <w:r>
        <w:rPr>
          <w:spacing w:val="-1"/>
        </w:rPr>
        <w:t> </w:t>
      </w:r>
      <w:r>
        <w:rPr/>
        <w:t>el papel de la</w:t>
      </w:r>
      <w:r>
        <w:rPr>
          <w:spacing w:val="-1"/>
        </w:rPr>
        <w:t> </w:t>
      </w:r>
      <w:r>
        <w:rPr/>
        <w:t>jefatura femenina</w:t>
      </w:r>
      <w:r>
        <w:rPr>
          <w:spacing w:val="-1"/>
        </w:rPr>
        <w:t> </w:t>
      </w:r>
      <w:r>
        <w:rPr/>
        <w:t>como un indicador estructural de vulnerabilidad social.</w:t>
      </w:r>
    </w:p>
    <w:p>
      <w:pPr>
        <w:pStyle w:val="BodyText"/>
        <w:spacing w:before="1"/>
      </w:pPr>
    </w:p>
    <w:p>
      <w:pPr>
        <w:pStyle w:val="BodyText"/>
        <w:spacing w:before="1"/>
        <w:ind w:left="979" w:right="1349"/>
        <w:jc w:val="both"/>
      </w:pPr>
      <w:r>
        <w:rPr/>
        <w:t>El análisis pone en evidencia que la asociación entre jefatura femenina y pobreza no es coyuntural, sino el reflejo de desigualdades históricas en el acceso a empleo digno, educación, activos productivos y redes de apoyo social. Las mujeres jefas de hogar enfrentan mayores obstáculos para lograr una inserción laboral estable y remunerada, y suelen cargar con la mayor parte del trabajo doméstico y de cuidados no remunerado.</w:t>
      </w:r>
    </w:p>
    <w:p>
      <w:pPr>
        <w:pStyle w:val="BodyText"/>
        <w:spacing w:before="252"/>
        <w:ind w:left="979" w:right="1334"/>
        <w:jc w:val="both"/>
      </w:pPr>
      <w:r>
        <w:rPr/>
        <w:t>Esta</w:t>
      </w:r>
      <w:r>
        <w:rPr>
          <w:spacing w:val="-9"/>
        </w:rPr>
        <w:t> </w:t>
      </w:r>
      <w:r>
        <w:rPr/>
        <w:t>situación</w:t>
      </w:r>
      <w:r>
        <w:rPr>
          <w:spacing w:val="-4"/>
        </w:rPr>
        <w:t> </w:t>
      </w:r>
      <w:r>
        <w:rPr/>
        <w:t>refuerza</w:t>
      </w:r>
      <w:r>
        <w:rPr>
          <w:spacing w:val="-9"/>
        </w:rPr>
        <w:t> </w:t>
      </w:r>
      <w:r>
        <w:rPr/>
        <w:t>la</w:t>
      </w:r>
      <w:r>
        <w:rPr>
          <w:spacing w:val="-9"/>
        </w:rPr>
        <w:t> </w:t>
      </w:r>
      <w:r>
        <w:rPr/>
        <w:t>necesidad</w:t>
      </w:r>
      <w:r>
        <w:rPr>
          <w:spacing w:val="-9"/>
        </w:rPr>
        <w:t> </w:t>
      </w:r>
      <w:r>
        <w:rPr/>
        <w:t>de</w:t>
      </w:r>
      <w:r>
        <w:rPr>
          <w:spacing w:val="-9"/>
        </w:rPr>
        <w:t> </w:t>
      </w:r>
      <w:r>
        <w:rPr/>
        <w:t>que</w:t>
      </w:r>
      <w:r>
        <w:rPr>
          <w:spacing w:val="-9"/>
        </w:rPr>
        <w:t> </w:t>
      </w:r>
      <w:r>
        <w:rPr/>
        <w:t>las</w:t>
      </w:r>
      <w:r>
        <w:rPr>
          <w:spacing w:val="-11"/>
        </w:rPr>
        <w:t> </w:t>
      </w:r>
      <w:r>
        <w:rPr/>
        <w:t>políticas</w:t>
      </w:r>
      <w:r>
        <w:rPr>
          <w:spacing w:val="-11"/>
        </w:rPr>
        <w:t> </w:t>
      </w:r>
      <w:r>
        <w:rPr/>
        <w:t>públicas</w:t>
      </w:r>
      <w:r>
        <w:rPr>
          <w:spacing w:val="-11"/>
        </w:rPr>
        <w:t> </w:t>
      </w:r>
      <w:r>
        <w:rPr/>
        <w:t>incorporen</w:t>
      </w:r>
      <w:r>
        <w:rPr>
          <w:spacing w:val="-9"/>
        </w:rPr>
        <w:t> </w:t>
      </w:r>
      <w:r>
        <w:rPr/>
        <w:t>un</w:t>
      </w:r>
      <w:r>
        <w:rPr>
          <w:spacing w:val="-9"/>
        </w:rPr>
        <w:t> </w:t>
      </w:r>
      <w:r>
        <w:rPr/>
        <w:t>enfoque</w:t>
      </w:r>
      <w:r>
        <w:rPr>
          <w:spacing w:val="-9"/>
        </w:rPr>
        <w:t> </w:t>
      </w:r>
      <w:r>
        <w:rPr/>
        <w:t>de género transversal, orientado no solo a mejorar los ingresos de los hogares encabezados por mujeres, sino también a redistribuir las responsabilidades de cuidado, garantizar el acceso</w:t>
      </w:r>
      <w:r>
        <w:rPr>
          <w:spacing w:val="-4"/>
        </w:rPr>
        <w:t> </w:t>
      </w:r>
      <w:r>
        <w:rPr/>
        <w:t>a servicios</w:t>
      </w:r>
      <w:r>
        <w:rPr>
          <w:spacing w:val="-6"/>
        </w:rPr>
        <w:t> </w:t>
      </w:r>
      <w:r>
        <w:rPr/>
        <w:t>públicos</w:t>
      </w:r>
      <w:r>
        <w:rPr>
          <w:spacing w:val="-1"/>
        </w:rPr>
        <w:t> </w:t>
      </w:r>
      <w:r>
        <w:rPr/>
        <w:t>y</w:t>
      </w:r>
      <w:r>
        <w:rPr>
          <w:spacing w:val="-6"/>
        </w:rPr>
        <w:t> </w:t>
      </w:r>
      <w:r>
        <w:rPr/>
        <w:t>fortalecer</w:t>
      </w:r>
      <w:r>
        <w:rPr>
          <w:spacing w:val="-3"/>
        </w:rPr>
        <w:t> </w:t>
      </w:r>
      <w:r>
        <w:rPr/>
        <w:t>la</w:t>
      </w:r>
      <w:r>
        <w:rPr>
          <w:spacing w:val="-9"/>
        </w:rPr>
        <w:t> </w:t>
      </w:r>
      <w:r>
        <w:rPr/>
        <w:t>protección</w:t>
      </w:r>
      <w:r>
        <w:rPr>
          <w:spacing w:val="-4"/>
        </w:rPr>
        <w:t> </w:t>
      </w:r>
      <w:r>
        <w:rPr/>
        <w:t>social.</w:t>
      </w:r>
      <w:r>
        <w:rPr>
          <w:spacing w:val="-5"/>
        </w:rPr>
        <w:t> </w:t>
      </w:r>
      <w:r>
        <w:rPr/>
        <w:t>Programas</w:t>
      </w:r>
      <w:r>
        <w:rPr>
          <w:spacing w:val="-6"/>
        </w:rPr>
        <w:t> </w:t>
      </w:r>
      <w:r>
        <w:rPr/>
        <w:t>dirigidos</w:t>
      </w:r>
      <w:r>
        <w:rPr>
          <w:spacing w:val="-6"/>
        </w:rPr>
        <w:t> </w:t>
      </w:r>
      <w:r>
        <w:rPr/>
        <w:t>a</w:t>
      </w:r>
      <w:r>
        <w:rPr>
          <w:spacing w:val="-4"/>
        </w:rPr>
        <w:t> </w:t>
      </w:r>
      <w:r>
        <w:rPr/>
        <w:t>mujeres en pobreza deben considerar sus condiciones estructurales y contextos familiares, para evitar que la jefatura femenina continúe siendo sinónimo de mayor vulnerabilidad.</w:t>
      </w:r>
    </w:p>
    <w:p>
      <w:pPr>
        <w:pStyle w:val="BodyText"/>
        <w:spacing w:before="1"/>
      </w:pPr>
    </w:p>
    <w:p>
      <w:pPr>
        <w:pStyle w:val="BodyText"/>
        <w:ind w:left="979" w:right="1344"/>
        <w:jc w:val="both"/>
      </w:pPr>
      <w:r>
        <w:rPr/>
        <w:t>En</w:t>
      </w:r>
      <w:r>
        <w:rPr>
          <w:spacing w:val="-6"/>
        </w:rPr>
        <w:t> </w:t>
      </w:r>
      <w:r>
        <w:rPr/>
        <w:t>resumen,</w:t>
      </w:r>
      <w:r>
        <w:rPr>
          <w:spacing w:val="-8"/>
        </w:rPr>
        <w:t> </w:t>
      </w:r>
      <w:r>
        <w:rPr/>
        <w:t>el</w:t>
      </w:r>
      <w:r>
        <w:rPr>
          <w:spacing w:val="-8"/>
        </w:rPr>
        <w:t> </w:t>
      </w:r>
      <w:r>
        <w:rPr/>
        <w:t>gráfico</w:t>
      </w:r>
      <w:r>
        <w:rPr>
          <w:spacing w:val="-10"/>
        </w:rPr>
        <w:t> </w:t>
      </w:r>
      <w:r>
        <w:rPr/>
        <w:t>14</w:t>
      </w:r>
      <w:r>
        <w:rPr>
          <w:spacing w:val="-8"/>
        </w:rPr>
        <w:t> </w:t>
      </w:r>
      <w:r>
        <w:rPr/>
        <w:t>muestra</w:t>
      </w:r>
      <w:r>
        <w:rPr>
          <w:spacing w:val="-6"/>
        </w:rPr>
        <w:t> </w:t>
      </w:r>
      <w:r>
        <w:rPr/>
        <w:t>que</w:t>
      </w:r>
      <w:r>
        <w:rPr>
          <w:spacing w:val="-10"/>
        </w:rPr>
        <w:t> </w:t>
      </w:r>
      <w:r>
        <w:rPr/>
        <w:t>mientras</w:t>
      </w:r>
      <w:r>
        <w:rPr>
          <w:spacing w:val="-8"/>
        </w:rPr>
        <w:t> </w:t>
      </w:r>
      <w:r>
        <w:rPr/>
        <w:t>aumenta</w:t>
      </w:r>
      <w:r>
        <w:rPr>
          <w:spacing w:val="-6"/>
        </w:rPr>
        <w:t> </w:t>
      </w:r>
      <w:r>
        <w:rPr/>
        <w:t>la</w:t>
      </w:r>
      <w:r>
        <w:rPr>
          <w:spacing w:val="-6"/>
        </w:rPr>
        <w:t> </w:t>
      </w:r>
      <w:r>
        <w:rPr/>
        <w:t>participación</w:t>
      </w:r>
      <w:r>
        <w:rPr>
          <w:spacing w:val="-10"/>
        </w:rPr>
        <w:t> </w:t>
      </w:r>
      <w:r>
        <w:rPr/>
        <w:t>de</w:t>
      </w:r>
      <w:r>
        <w:rPr>
          <w:spacing w:val="-6"/>
        </w:rPr>
        <w:t> </w:t>
      </w:r>
      <w:r>
        <w:rPr/>
        <w:t>mujeres</w:t>
      </w:r>
      <w:r>
        <w:rPr>
          <w:spacing w:val="-8"/>
        </w:rPr>
        <w:t> </w:t>
      </w:r>
      <w:r>
        <w:rPr/>
        <w:t>como jefas</w:t>
      </w:r>
      <w:r>
        <w:rPr>
          <w:spacing w:val="-16"/>
        </w:rPr>
        <w:t> </w:t>
      </w:r>
      <w:r>
        <w:rPr/>
        <w:t>de</w:t>
      </w:r>
      <w:r>
        <w:rPr>
          <w:spacing w:val="-12"/>
        </w:rPr>
        <w:t> </w:t>
      </w:r>
      <w:r>
        <w:rPr/>
        <w:t>hogar</w:t>
      </w:r>
      <w:r>
        <w:rPr>
          <w:spacing w:val="-16"/>
        </w:rPr>
        <w:t> </w:t>
      </w:r>
      <w:r>
        <w:rPr/>
        <w:t>en</w:t>
      </w:r>
      <w:r>
        <w:rPr>
          <w:spacing w:val="-12"/>
        </w:rPr>
        <w:t> </w:t>
      </w:r>
      <w:r>
        <w:rPr/>
        <w:t>el</w:t>
      </w:r>
      <w:r>
        <w:rPr>
          <w:spacing w:val="-16"/>
        </w:rPr>
        <w:t> </w:t>
      </w:r>
      <w:r>
        <w:rPr/>
        <w:t>país,</w:t>
      </w:r>
      <w:r>
        <w:rPr>
          <w:spacing w:val="-8"/>
        </w:rPr>
        <w:t> </w:t>
      </w:r>
      <w:r>
        <w:rPr/>
        <w:t>la</w:t>
      </w:r>
      <w:r>
        <w:rPr>
          <w:spacing w:val="-13"/>
        </w:rPr>
        <w:t> </w:t>
      </w:r>
      <w:r>
        <w:rPr/>
        <w:t>desigualdad</w:t>
      </w:r>
      <w:r>
        <w:rPr>
          <w:spacing w:val="-13"/>
        </w:rPr>
        <w:t> </w:t>
      </w:r>
      <w:r>
        <w:rPr/>
        <w:t>de</w:t>
      </w:r>
      <w:r>
        <w:rPr>
          <w:spacing w:val="-13"/>
        </w:rPr>
        <w:t> </w:t>
      </w:r>
      <w:r>
        <w:rPr/>
        <w:t>género</w:t>
      </w:r>
      <w:r>
        <w:rPr>
          <w:spacing w:val="-13"/>
        </w:rPr>
        <w:t> </w:t>
      </w:r>
      <w:r>
        <w:rPr/>
        <w:t>persiste</w:t>
      </w:r>
      <w:r>
        <w:rPr>
          <w:spacing w:val="-13"/>
        </w:rPr>
        <w:t> </w:t>
      </w:r>
      <w:r>
        <w:rPr/>
        <w:t>en</w:t>
      </w:r>
      <w:r>
        <w:rPr>
          <w:spacing w:val="-13"/>
        </w:rPr>
        <w:t> </w:t>
      </w:r>
      <w:r>
        <w:rPr/>
        <w:t>la</w:t>
      </w:r>
      <w:r>
        <w:rPr>
          <w:spacing w:val="-13"/>
        </w:rPr>
        <w:t> </w:t>
      </w:r>
      <w:r>
        <w:rPr/>
        <w:t>distribución</w:t>
      </w:r>
      <w:r>
        <w:rPr>
          <w:spacing w:val="-13"/>
        </w:rPr>
        <w:t> </w:t>
      </w:r>
      <w:r>
        <w:rPr/>
        <w:t>de</w:t>
      </w:r>
      <w:r>
        <w:rPr>
          <w:spacing w:val="-13"/>
        </w:rPr>
        <w:t> </w:t>
      </w:r>
      <w:r>
        <w:rPr/>
        <w:t>la</w:t>
      </w:r>
      <w:r>
        <w:rPr>
          <w:spacing w:val="-13"/>
        </w:rPr>
        <w:t> </w:t>
      </w:r>
      <w:r>
        <w:rPr/>
        <w:t>pobreza. Superar esta brecha implica una combinación de estrategias económicas, sociales y culturales que reconozcan y transformen los factores que reproducen la desigualdad y la exclusión de las</w:t>
      </w:r>
      <w:r>
        <w:rPr>
          <w:spacing w:val="-1"/>
        </w:rPr>
        <w:t> </w:t>
      </w:r>
      <w:r>
        <w:rPr/>
        <w:t>mujeres, particularmente de aquellas</w:t>
      </w:r>
      <w:r>
        <w:rPr>
          <w:spacing w:val="-1"/>
        </w:rPr>
        <w:t> </w:t>
      </w:r>
      <w:r>
        <w:rPr/>
        <w:t>que lideran hogares</w:t>
      </w:r>
      <w:r>
        <w:rPr>
          <w:spacing w:val="-1"/>
        </w:rPr>
        <w:t> </w:t>
      </w:r>
      <w:r>
        <w:rPr/>
        <w:t>en situación de pobreza o pobreza extrema.</w:t>
      </w:r>
    </w:p>
    <w:p>
      <w:pPr>
        <w:pStyle w:val="BodyText"/>
      </w:pPr>
    </w:p>
    <w:p>
      <w:pPr>
        <w:pStyle w:val="BodyText"/>
        <w:spacing w:before="1"/>
        <w:ind w:left="979" w:right="1336"/>
        <w:jc w:val="both"/>
      </w:pPr>
      <w:r>
        <w:rPr/>
        <w:t>Como</w:t>
      </w:r>
      <w:r>
        <w:rPr>
          <w:spacing w:val="-10"/>
        </w:rPr>
        <w:t> </w:t>
      </w:r>
      <w:r>
        <w:rPr/>
        <w:t>se</w:t>
      </w:r>
      <w:r>
        <w:rPr>
          <w:spacing w:val="-10"/>
        </w:rPr>
        <w:t> </w:t>
      </w:r>
      <w:r>
        <w:rPr/>
        <w:t>ha</w:t>
      </w:r>
      <w:r>
        <w:rPr>
          <w:spacing w:val="-10"/>
        </w:rPr>
        <w:t> </w:t>
      </w:r>
      <w:r>
        <w:rPr/>
        <w:t>señalado</w:t>
      </w:r>
      <w:r>
        <w:rPr>
          <w:spacing w:val="-14"/>
        </w:rPr>
        <w:t> </w:t>
      </w:r>
      <w:r>
        <w:rPr/>
        <w:t>previamente,</w:t>
      </w:r>
      <w:r>
        <w:rPr>
          <w:spacing w:val="-15"/>
        </w:rPr>
        <w:t> </w:t>
      </w:r>
      <w:r>
        <w:rPr/>
        <w:t>entre</w:t>
      </w:r>
      <w:r>
        <w:rPr>
          <w:spacing w:val="-14"/>
        </w:rPr>
        <w:t> </w:t>
      </w:r>
      <w:r>
        <w:rPr/>
        <w:t>2010</w:t>
      </w:r>
      <w:r>
        <w:rPr>
          <w:spacing w:val="-14"/>
        </w:rPr>
        <w:t> </w:t>
      </w:r>
      <w:r>
        <w:rPr/>
        <w:t>y</w:t>
      </w:r>
      <w:r>
        <w:rPr>
          <w:spacing w:val="-11"/>
        </w:rPr>
        <w:t> </w:t>
      </w:r>
      <w:r>
        <w:rPr/>
        <w:t>2024</w:t>
      </w:r>
      <w:r>
        <w:rPr>
          <w:spacing w:val="-10"/>
        </w:rPr>
        <w:t> </w:t>
      </w:r>
      <w:r>
        <w:rPr/>
        <w:t>la</w:t>
      </w:r>
      <w:r>
        <w:rPr>
          <w:spacing w:val="-14"/>
        </w:rPr>
        <w:t> </w:t>
      </w:r>
      <w:r>
        <w:rPr/>
        <w:t>pobreza</w:t>
      </w:r>
      <w:r>
        <w:rPr>
          <w:spacing w:val="-10"/>
        </w:rPr>
        <w:t> </w:t>
      </w:r>
      <w:r>
        <w:rPr/>
        <w:t>en</w:t>
      </w:r>
      <w:r>
        <w:rPr>
          <w:spacing w:val="-10"/>
        </w:rPr>
        <w:t> </w:t>
      </w:r>
      <w:r>
        <w:rPr/>
        <w:t>Costa</w:t>
      </w:r>
      <w:r>
        <w:rPr>
          <w:spacing w:val="-14"/>
        </w:rPr>
        <w:t> </w:t>
      </w:r>
      <w:r>
        <w:rPr/>
        <w:t>Rica</w:t>
      </w:r>
      <w:r>
        <w:rPr>
          <w:spacing w:val="-14"/>
        </w:rPr>
        <w:t> </w:t>
      </w:r>
      <w:r>
        <w:rPr/>
        <w:t>ha</w:t>
      </w:r>
      <w:r>
        <w:rPr>
          <w:spacing w:val="-10"/>
        </w:rPr>
        <w:t> </w:t>
      </w:r>
      <w:r>
        <w:rPr/>
        <w:t>seguido una trayectoria compleja. Hasta 2019, se observó una reducción sostenida en los niveles de pobreza, interrumpida bruscamente en 2020 por el impacto de la pandemia de COVID-</w:t>
      </w:r>
    </w:p>
    <w:p>
      <w:pPr>
        <w:pStyle w:val="BodyText"/>
        <w:ind w:left="979" w:right="1334"/>
        <w:jc w:val="both"/>
      </w:pPr>
      <w:r>
        <w:rPr/>
        <w:t>19. Si bien en los años posteriores se han registrado signos de recuperación económica, esta ha sido desigual y no ha beneficiado a todos los sectores por igual. Persisten importantes</w:t>
      </w:r>
      <w:r>
        <w:rPr>
          <w:spacing w:val="-2"/>
        </w:rPr>
        <w:t> </w:t>
      </w:r>
      <w:r>
        <w:rPr/>
        <w:t>brechas</w:t>
      </w:r>
      <w:r>
        <w:rPr>
          <w:spacing w:val="-7"/>
        </w:rPr>
        <w:t> </w:t>
      </w:r>
      <w:r>
        <w:rPr/>
        <w:t>en</w:t>
      </w:r>
      <w:r>
        <w:rPr>
          <w:spacing w:val="-5"/>
        </w:rPr>
        <w:t> </w:t>
      </w:r>
      <w:r>
        <w:rPr/>
        <w:t>el</w:t>
      </w:r>
      <w:r>
        <w:rPr>
          <w:spacing w:val="-8"/>
        </w:rPr>
        <w:t> </w:t>
      </w:r>
      <w:r>
        <w:rPr/>
        <w:t>acceso</w:t>
      </w:r>
      <w:r>
        <w:rPr>
          <w:spacing w:val="-5"/>
        </w:rPr>
        <w:t> </w:t>
      </w:r>
      <w:r>
        <w:rPr/>
        <w:t>a</w:t>
      </w:r>
      <w:r>
        <w:rPr>
          <w:spacing w:val="-5"/>
        </w:rPr>
        <w:t> </w:t>
      </w:r>
      <w:r>
        <w:rPr/>
        <w:t>oportunidades</w:t>
      </w:r>
      <w:r>
        <w:rPr>
          <w:spacing w:val="-2"/>
        </w:rPr>
        <w:t> </w:t>
      </w:r>
      <w:r>
        <w:rPr/>
        <w:t>y</w:t>
      </w:r>
      <w:r>
        <w:rPr>
          <w:spacing w:val="-2"/>
        </w:rPr>
        <w:t> </w:t>
      </w:r>
      <w:r>
        <w:rPr/>
        <w:t>al</w:t>
      </w:r>
      <w:r>
        <w:rPr>
          <w:spacing w:val="-8"/>
        </w:rPr>
        <w:t> </w:t>
      </w:r>
      <w:r>
        <w:rPr/>
        <w:t>bienestar,</w:t>
      </w:r>
      <w:r>
        <w:rPr>
          <w:spacing w:val="-6"/>
        </w:rPr>
        <w:t> </w:t>
      </w:r>
      <w:r>
        <w:rPr/>
        <w:t>particularmente entre</w:t>
      </w:r>
      <w:r>
        <w:rPr>
          <w:spacing w:val="-1"/>
        </w:rPr>
        <w:t> </w:t>
      </w:r>
      <w:r>
        <w:rPr/>
        <w:t>los grupos más vulnerables. La pobreza multidimensional, en particular, ha mostrado una notable resistencia frente al aumento del ingreso promedio, lo que evidencia que el crecimiento económico, por sí solo, no es suficiente para mejorar integralmente las condiciones</w:t>
      </w:r>
      <w:r>
        <w:rPr>
          <w:spacing w:val="-5"/>
        </w:rPr>
        <w:t> </w:t>
      </w:r>
      <w:r>
        <w:rPr/>
        <w:t>de</w:t>
      </w:r>
      <w:r>
        <w:rPr>
          <w:spacing w:val="-3"/>
        </w:rPr>
        <w:t> </w:t>
      </w:r>
      <w:r>
        <w:rPr/>
        <w:t>vida.</w:t>
      </w:r>
      <w:r>
        <w:rPr>
          <w:spacing w:val="-4"/>
        </w:rPr>
        <w:t> </w:t>
      </w:r>
      <w:r>
        <w:rPr/>
        <w:t>En</w:t>
      </w:r>
      <w:r>
        <w:rPr>
          <w:spacing w:val="-8"/>
        </w:rPr>
        <w:t> </w:t>
      </w:r>
      <w:r>
        <w:rPr/>
        <w:t>este</w:t>
      </w:r>
      <w:r>
        <w:rPr>
          <w:spacing w:val="-8"/>
        </w:rPr>
        <w:t> </w:t>
      </w:r>
      <w:r>
        <w:rPr/>
        <w:t>escenario,</w:t>
      </w:r>
      <w:r>
        <w:rPr>
          <w:spacing w:val="-4"/>
        </w:rPr>
        <w:t> </w:t>
      </w:r>
      <w:r>
        <w:rPr/>
        <w:t>el</w:t>
      </w:r>
      <w:r>
        <w:rPr>
          <w:spacing w:val="-6"/>
        </w:rPr>
        <w:t> </w:t>
      </w:r>
      <w:r>
        <w:rPr/>
        <w:t>análisis</w:t>
      </w:r>
      <w:r>
        <w:rPr>
          <w:spacing w:val="-5"/>
        </w:rPr>
        <w:t> </w:t>
      </w:r>
      <w:r>
        <w:rPr/>
        <w:t>por</w:t>
      </w:r>
      <w:r>
        <w:rPr>
          <w:spacing w:val="-2"/>
        </w:rPr>
        <w:t> </w:t>
      </w:r>
      <w:r>
        <w:rPr/>
        <w:t>tipo</w:t>
      </w:r>
      <w:r>
        <w:rPr>
          <w:spacing w:val="-8"/>
        </w:rPr>
        <w:t> </w:t>
      </w:r>
      <w:r>
        <w:rPr/>
        <w:t>de</w:t>
      </w:r>
      <w:r>
        <w:rPr>
          <w:spacing w:val="-3"/>
        </w:rPr>
        <w:t> </w:t>
      </w:r>
      <w:r>
        <w:rPr/>
        <w:t>ocupación</w:t>
      </w:r>
      <w:r>
        <w:rPr>
          <w:spacing w:val="-3"/>
        </w:rPr>
        <w:t> </w:t>
      </w:r>
      <w:r>
        <w:rPr/>
        <w:t>permite</w:t>
      </w:r>
      <w:r>
        <w:rPr>
          <w:spacing w:val="-3"/>
        </w:rPr>
        <w:t> </w:t>
      </w:r>
      <w:r>
        <w:rPr/>
        <w:t>identificar con mayor claridad las desigualdades estructurales, como lo refleja la ilustración 12.</w:t>
      </w:r>
    </w:p>
    <w:p>
      <w:pPr>
        <w:pStyle w:val="BodyText"/>
        <w:spacing w:after="0"/>
        <w:jc w:val="both"/>
        <w:sectPr>
          <w:pgSz w:w="12240" w:h="15840"/>
          <w:pgMar w:header="0" w:footer="1021" w:top="1340" w:bottom="1220" w:left="720" w:right="360"/>
        </w:sectPr>
      </w:pPr>
    </w:p>
    <w:p>
      <w:pPr>
        <w:pStyle w:val="Heading2"/>
        <w:spacing w:before="76"/>
        <w:ind w:left="2036" w:right="1344" w:hanging="720"/>
      </w:pPr>
      <w:bookmarkStart w:name="_bookmark35" w:id="36"/>
      <w:bookmarkEnd w:id="36"/>
      <w:r>
        <w:rPr>
          <w:b w:val="0"/>
        </w:rPr>
      </w:r>
      <w:r>
        <w:rPr/>
        <w:t>Gráfico</w:t>
      </w:r>
      <w:r>
        <w:rPr>
          <w:spacing w:val="-4"/>
        </w:rPr>
        <w:t> </w:t>
      </w:r>
      <w:r>
        <w:rPr/>
        <w:t>15:</w:t>
      </w:r>
      <w:r>
        <w:rPr>
          <w:spacing w:val="-6"/>
        </w:rPr>
        <w:t> </w:t>
      </w:r>
      <w:r>
        <w:rPr/>
        <w:t>Porcentaje</w:t>
      </w:r>
      <w:r>
        <w:rPr>
          <w:spacing w:val="-1"/>
        </w:rPr>
        <w:t> </w:t>
      </w:r>
      <w:r>
        <w:rPr/>
        <w:t>de</w:t>
      </w:r>
      <w:r>
        <w:rPr>
          <w:spacing w:val="-7"/>
        </w:rPr>
        <w:t> </w:t>
      </w:r>
      <w:r>
        <w:rPr/>
        <w:t>personas</w:t>
      </w:r>
      <w:r>
        <w:rPr>
          <w:spacing w:val="-3"/>
        </w:rPr>
        <w:t> </w:t>
      </w:r>
      <w:r>
        <w:rPr/>
        <w:t>ocupadas</w:t>
      </w:r>
      <w:r>
        <w:rPr>
          <w:spacing w:val="-7"/>
        </w:rPr>
        <w:t> </w:t>
      </w:r>
      <w:r>
        <w:rPr/>
        <w:t>según</w:t>
      </w:r>
      <w:r>
        <w:rPr>
          <w:spacing w:val="-5"/>
        </w:rPr>
        <w:t> </w:t>
      </w:r>
      <w:r>
        <w:rPr/>
        <w:t>principales</w:t>
      </w:r>
      <w:r>
        <w:rPr>
          <w:spacing w:val="-7"/>
        </w:rPr>
        <w:t> </w:t>
      </w:r>
      <w:r>
        <w:rPr/>
        <w:t>ocupaciones</w:t>
      </w:r>
      <w:r>
        <w:rPr>
          <w:spacing w:val="-3"/>
        </w:rPr>
        <w:t> </w:t>
      </w:r>
      <w:r>
        <w:rPr/>
        <w:t>y clasificación de pobreza por método combinado. Costa Rica 2024</w:t>
      </w:r>
    </w:p>
    <w:p>
      <w:pPr>
        <w:pStyle w:val="BodyText"/>
        <w:spacing w:before="55"/>
        <w:rPr>
          <w:b/>
          <w:sz w:val="20"/>
        </w:rPr>
      </w:pPr>
      <w:r>
        <w:rPr>
          <w:b/>
          <w:sz w:val="20"/>
        </w:rPr>
        <w:drawing>
          <wp:anchor distT="0" distB="0" distL="0" distR="0" allowOverlap="1" layoutInCell="1" locked="0" behindDoc="1" simplePos="0" relativeHeight="487597056">
            <wp:simplePos x="0" y="0"/>
            <wp:positionH relativeFrom="page">
              <wp:posOffset>1228725</wp:posOffset>
            </wp:positionH>
            <wp:positionV relativeFrom="paragraph">
              <wp:posOffset>196242</wp:posOffset>
            </wp:positionV>
            <wp:extent cx="5373433" cy="3088767"/>
            <wp:effectExtent l="0" t="0" r="0" b="0"/>
            <wp:wrapTopAndBottom/>
            <wp:docPr id="74" name="Image 74" descr="Gráfico, Gráfico de barras  El contenido generado por IA puede ser incorrecto."/>
            <wp:cNvGraphicFramePr>
              <a:graphicFrameLocks/>
            </wp:cNvGraphicFramePr>
            <a:graphic>
              <a:graphicData uri="http://schemas.openxmlformats.org/drawingml/2006/picture">
                <pic:pic>
                  <pic:nvPicPr>
                    <pic:cNvPr id="74" name="Image 74" descr="Gráfico, Gráfico de barras  El contenido generado por IA puede ser incorrecto."/>
                    <pic:cNvPicPr/>
                  </pic:nvPicPr>
                  <pic:blipFill>
                    <a:blip r:embed="rId53" cstate="print"/>
                    <a:stretch>
                      <a:fillRect/>
                    </a:stretch>
                  </pic:blipFill>
                  <pic:spPr>
                    <a:xfrm>
                      <a:off x="0" y="0"/>
                      <a:ext cx="5373433" cy="3088767"/>
                    </a:xfrm>
                    <a:prstGeom prst="rect">
                      <a:avLst/>
                    </a:prstGeom>
                  </pic:spPr>
                </pic:pic>
              </a:graphicData>
            </a:graphic>
          </wp:anchor>
        </w:drawing>
      </w:r>
    </w:p>
    <w:p>
      <w:pPr>
        <w:spacing w:before="0"/>
        <w:ind w:left="979" w:right="1343" w:firstLine="0"/>
        <w:jc w:val="both"/>
        <w:rPr>
          <w:sz w:val="18"/>
        </w:rPr>
      </w:pPr>
      <w:r>
        <w:rPr>
          <w:sz w:val="18"/>
        </w:rPr>
        <w:t>Fuente:</w:t>
      </w:r>
      <w:r>
        <w:rPr>
          <w:spacing w:val="-6"/>
          <w:sz w:val="18"/>
        </w:rPr>
        <w:t> </w:t>
      </w:r>
      <w:r>
        <w:rPr>
          <w:sz w:val="18"/>
        </w:rPr>
        <w:t>Elaboración</w:t>
      </w:r>
      <w:r>
        <w:rPr>
          <w:spacing w:val="-5"/>
          <w:sz w:val="18"/>
        </w:rPr>
        <w:t> </w:t>
      </w:r>
      <w:r>
        <w:rPr>
          <w:sz w:val="18"/>
        </w:rPr>
        <w:t>propia</w:t>
      </w:r>
      <w:r>
        <w:rPr>
          <w:spacing w:val="-5"/>
          <w:sz w:val="18"/>
        </w:rPr>
        <w:t> </w:t>
      </w:r>
      <w:r>
        <w:rPr>
          <w:sz w:val="18"/>
        </w:rPr>
        <w:t>a</w:t>
      </w:r>
      <w:r>
        <w:rPr>
          <w:spacing w:val="-5"/>
          <w:sz w:val="18"/>
        </w:rPr>
        <w:t> </w:t>
      </w:r>
      <w:r>
        <w:rPr>
          <w:sz w:val="18"/>
        </w:rPr>
        <w:t>partir</w:t>
      </w:r>
      <w:r>
        <w:rPr>
          <w:spacing w:val="-8"/>
          <w:sz w:val="18"/>
        </w:rPr>
        <w:t> </w:t>
      </w:r>
      <w:r>
        <w:rPr>
          <w:sz w:val="18"/>
        </w:rPr>
        <w:t>de</w:t>
      </w:r>
      <w:r>
        <w:rPr>
          <w:spacing w:val="-5"/>
          <w:sz w:val="18"/>
        </w:rPr>
        <w:t> </w:t>
      </w:r>
      <w:r>
        <w:rPr>
          <w:sz w:val="18"/>
        </w:rPr>
        <w:t>datos</w:t>
      </w:r>
      <w:r>
        <w:rPr>
          <w:spacing w:val="-5"/>
          <w:sz w:val="18"/>
        </w:rPr>
        <w:t> </w:t>
      </w:r>
      <w:r>
        <w:rPr>
          <w:sz w:val="18"/>
        </w:rPr>
        <w:t>de</w:t>
      </w:r>
      <w:r>
        <w:rPr>
          <w:spacing w:val="-5"/>
          <w:sz w:val="18"/>
        </w:rPr>
        <w:t> </w:t>
      </w:r>
      <w:r>
        <w:rPr>
          <w:sz w:val="18"/>
        </w:rPr>
        <w:t>la</w:t>
      </w:r>
      <w:r>
        <w:rPr>
          <w:spacing w:val="-5"/>
          <w:sz w:val="18"/>
        </w:rPr>
        <w:t> </w:t>
      </w:r>
      <w:r>
        <w:rPr>
          <w:sz w:val="18"/>
        </w:rPr>
        <w:t>Encuesta</w:t>
      </w:r>
      <w:r>
        <w:rPr>
          <w:spacing w:val="-5"/>
          <w:sz w:val="18"/>
        </w:rPr>
        <w:t> </w:t>
      </w:r>
      <w:r>
        <w:rPr>
          <w:sz w:val="18"/>
        </w:rPr>
        <w:t>Nacional</w:t>
      </w:r>
      <w:r>
        <w:rPr>
          <w:spacing w:val="-2"/>
          <w:sz w:val="18"/>
        </w:rPr>
        <w:t> </w:t>
      </w:r>
      <w:r>
        <w:rPr>
          <w:sz w:val="18"/>
        </w:rPr>
        <w:t>de</w:t>
      </w:r>
      <w:r>
        <w:rPr>
          <w:spacing w:val="-5"/>
          <w:sz w:val="18"/>
        </w:rPr>
        <w:t> </w:t>
      </w:r>
      <w:r>
        <w:rPr>
          <w:sz w:val="18"/>
        </w:rPr>
        <w:t>Hogares</w:t>
      </w:r>
      <w:r>
        <w:rPr>
          <w:spacing w:val="-5"/>
          <w:sz w:val="18"/>
        </w:rPr>
        <w:t> </w:t>
      </w:r>
      <w:r>
        <w:rPr>
          <w:sz w:val="18"/>
        </w:rPr>
        <w:t>(ENAHO)</w:t>
      </w:r>
      <w:r>
        <w:rPr>
          <w:spacing w:val="-8"/>
          <w:sz w:val="18"/>
        </w:rPr>
        <w:t> </w:t>
      </w:r>
      <w:r>
        <w:rPr>
          <w:sz w:val="18"/>
        </w:rPr>
        <w:t>2024,</w:t>
      </w:r>
      <w:r>
        <w:rPr>
          <w:spacing w:val="-3"/>
          <w:sz w:val="18"/>
        </w:rPr>
        <w:t> </w:t>
      </w:r>
      <w:r>
        <w:rPr>
          <w:sz w:val="18"/>
        </w:rPr>
        <w:t>extraídos</w:t>
      </w:r>
      <w:r>
        <w:rPr>
          <w:spacing w:val="-5"/>
          <w:sz w:val="18"/>
        </w:rPr>
        <w:t> </w:t>
      </w:r>
      <w:r>
        <w:rPr>
          <w:sz w:val="18"/>
        </w:rPr>
        <w:t>del sistema REDATAM del Instituto Nacional de Estadística y Censos (INEC).</w:t>
      </w:r>
    </w:p>
    <w:p>
      <w:pPr>
        <w:pStyle w:val="BodyText"/>
        <w:spacing w:before="183"/>
        <w:ind w:left="979" w:right="1348"/>
        <w:jc w:val="both"/>
      </w:pPr>
      <w:r>
        <w:rPr/>
        <w:t>El análisis de ocupación revela fuertes desigualdades entre distintos segmentos del mercado</w:t>
      </w:r>
      <w:r>
        <w:rPr>
          <w:spacing w:val="-16"/>
        </w:rPr>
        <w:t> </w:t>
      </w:r>
      <w:r>
        <w:rPr/>
        <w:t>laboral.</w:t>
      </w:r>
      <w:r>
        <w:rPr>
          <w:spacing w:val="-15"/>
        </w:rPr>
        <w:t> </w:t>
      </w:r>
      <w:r>
        <w:rPr/>
        <w:t>Los</w:t>
      </w:r>
      <w:r>
        <w:rPr>
          <w:spacing w:val="-15"/>
        </w:rPr>
        <w:t> </w:t>
      </w:r>
      <w:r>
        <w:rPr/>
        <w:t>profesionales</w:t>
      </w:r>
      <w:r>
        <w:rPr>
          <w:spacing w:val="-16"/>
        </w:rPr>
        <w:t> </w:t>
      </w:r>
      <w:r>
        <w:rPr/>
        <w:t>científicos</w:t>
      </w:r>
      <w:r>
        <w:rPr>
          <w:spacing w:val="-15"/>
        </w:rPr>
        <w:t> </w:t>
      </w:r>
      <w:r>
        <w:rPr/>
        <w:t>e</w:t>
      </w:r>
      <w:r>
        <w:rPr>
          <w:spacing w:val="-15"/>
        </w:rPr>
        <w:t> </w:t>
      </w:r>
      <w:r>
        <w:rPr/>
        <w:t>intelectuales</w:t>
      </w:r>
      <w:r>
        <w:rPr>
          <w:spacing w:val="-15"/>
        </w:rPr>
        <w:t> </w:t>
      </w:r>
      <w:r>
        <w:rPr/>
        <w:t>están</w:t>
      </w:r>
      <w:r>
        <w:rPr>
          <w:spacing w:val="-16"/>
        </w:rPr>
        <w:t> </w:t>
      </w:r>
      <w:r>
        <w:rPr/>
        <w:t>altamente</w:t>
      </w:r>
      <w:r>
        <w:rPr>
          <w:spacing w:val="-15"/>
        </w:rPr>
        <w:t> </w:t>
      </w:r>
      <w:r>
        <w:rPr/>
        <w:t>concentrados en hogares no pobres (15,6%) y presentan una incidencia de pobreza prácticamente marginal. En 2024, casi no se observan casos de pobreza monetaria ni multidimensional entre ellos. Esta tendencia está alineada</w:t>
      </w:r>
      <w:r>
        <w:rPr>
          <w:spacing w:val="-1"/>
        </w:rPr>
        <w:t> </w:t>
      </w:r>
      <w:r>
        <w:rPr/>
        <w:t>con años anteriores y responde a su mayor nivel educativo, estabilidad en el empleo y acceso a seguridad social. En el contexto postpandemia, este grupo ha continuado beneficiándose de la reactivación económica, consolidando su bajo nivel de vulnerabilidad.</w:t>
      </w:r>
    </w:p>
    <w:p>
      <w:pPr>
        <w:pStyle w:val="BodyText"/>
        <w:spacing w:before="3"/>
      </w:pPr>
    </w:p>
    <w:p>
      <w:pPr>
        <w:pStyle w:val="BodyText"/>
        <w:ind w:left="979" w:right="1334"/>
        <w:jc w:val="both"/>
      </w:pPr>
      <w:r>
        <w:rPr/>
        <w:t>En el extremo opuesto se encuentran las ocupaciones elementales, que concentran los niveles</w:t>
      </w:r>
      <w:r>
        <w:rPr>
          <w:spacing w:val="-15"/>
        </w:rPr>
        <w:t> </w:t>
      </w:r>
      <w:r>
        <w:rPr/>
        <w:t>más</w:t>
      </w:r>
      <w:r>
        <w:rPr>
          <w:spacing w:val="-15"/>
        </w:rPr>
        <w:t> </w:t>
      </w:r>
      <w:r>
        <w:rPr/>
        <w:t>altos</w:t>
      </w:r>
      <w:r>
        <w:rPr>
          <w:spacing w:val="-15"/>
        </w:rPr>
        <w:t> </w:t>
      </w:r>
      <w:r>
        <w:rPr/>
        <w:t>de</w:t>
      </w:r>
      <w:r>
        <w:rPr>
          <w:spacing w:val="-8"/>
        </w:rPr>
        <w:t> </w:t>
      </w:r>
      <w:r>
        <w:rPr/>
        <w:t>pobreza.</w:t>
      </w:r>
      <w:r>
        <w:rPr>
          <w:spacing w:val="-14"/>
        </w:rPr>
        <w:t> </w:t>
      </w:r>
      <w:r>
        <w:rPr/>
        <w:t>Cerca</w:t>
      </w:r>
      <w:r>
        <w:rPr>
          <w:spacing w:val="-13"/>
        </w:rPr>
        <w:t> </w:t>
      </w:r>
      <w:r>
        <w:rPr/>
        <w:t>del</w:t>
      </w:r>
      <w:r>
        <w:rPr>
          <w:spacing w:val="-11"/>
        </w:rPr>
        <w:t> </w:t>
      </w:r>
      <w:r>
        <w:rPr/>
        <w:t>49%</w:t>
      </w:r>
      <w:r>
        <w:rPr>
          <w:spacing w:val="-14"/>
        </w:rPr>
        <w:t> </w:t>
      </w:r>
      <w:r>
        <w:rPr/>
        <w:t>de</w:t>
      </w:r>
      <w:r>
        <w:rPr>
          <w:spacing w:val="-8"/>
        </w:rPr>
        <w:t> </w:t>
      </w:r>
      <w:r>
        <w:rPr/>
        <w:t>las</w:t>
      </w:r>
      <w:r>
        <w:rPr>
          <w:spacing w:val="-10"/>
        </w:rPr>
        <w:t> </w:t>
      </w:r>
      <w:r>
        <w:rPr/>
        <w:t>personas</w:t>
      </w:r>
      <w:r>
        <w:rPr>
          <w:spacing w:val="-10"/>
        </w:rPr>
        <w:t> </w:t>
      </w:r>
      <w:r>
        <w:rPr/>
        <w:t>en</w:t>
      </w:r>
      <w:r>
        <w:rPr>
          <w:spacing w:val="-8"/>
        </w:rPr>
        <w:t> </w:t>
      </w:r>
      <w:r>
        <w:rPr/>
        <w:t>situación</w:t>
      </w:r>
      <w:r>
        <w:rPr>
          <w:spacing w:val="-13"/>
        </w:rPr>
        <w:t> </w:t>
      </w:r>
      <w:r>
        <w:rPr/>
        <w:t>de</w:t>
      </w:r>
      <w:r>
        <w:rPr>
          <w:spacing w:val="-8"/>
        </w:rPr>
        <w:t> </w:t>
      </w:r>
      <w:r>
        <w:rPr/>
        <w:t>pobreza</w:t>
      </w:r>
      <w:r>
        <w:rPr>
          <w:spacing w:val="-13"/>
        </w:rPr>
        <w:t> </w:t>
      </w:r>
      <w:r>
        <w:rPr/>
        <w:t>tanto por ingresos como por IPM se ubican en este grupo. Esto implica que casi la mitad de los trabajadores que enfrentan múltiples privaciones básicas y bajos ingresos pertenecen a esta categoría ocupacional. El 48,9% de quienes son pobres simultáneamente por IPM y línea de pobreza trabajan</w:t>
      </w:r>
      <w:r>
        <w:rPr>
          <w:spacing w:val="-3"/>
        </w:rPr>
        <w:t> </w:t>
      </w:r>
      <w:r>
        <w:rPr/>
        <w:t>en estas</w:t>
      </w:r>
      <w:r>
        <w:rPr>
          <w:spacing w:val="-5"/>
        </w:rPr>
        <w:t> </w:t>
      </w:r>
      <w:r>
        <w:rPr/>
        <w:t>ocupaciones,</w:t>
      </w:r>
      <w:r>
        <w:rPr>
          <w:spacing w:val="-4"/>
        </w:rPr>
        <w:t> </w:t>
      </w:r>
      <w:r>
        <w:rPr/>
        <w:t>evidenciando una</w:t>
      </w:r>
      <w:r>
        <w:rPr>
          <w:spacing w:val="-3"/>
        </w:rPr>
        <w:t> </w:t>
      </w:r>
      <w:r>
        <w:rPr/>
        <w:t>fuerte asociación</w:t>
      </w:r>
      <w:r>
        <w:rPr>
          <w:spacing w:val="-3"/>
        </w:rPr>
        <w:t> </w:t>
      </w:r>
      <w:r>
        <w:rPr/>
        <w:t>entre tipo de trabajo, informalidad, baja calificación y exclusión social. Este grupo representa el rostro más persistente de la pobreza estructural en el país.</w:t>
      </w:r>
    </w:p>
    <w:p>
      <w:pPr>
        <w:pStyle w:val="BodyText"/>
        <w:spacing w:before="252"/>
        <w:ind w:left="979" w:right="1331"/>
        <w:jc w:val="both"/>
      </w:pPr>
      <w:r>
        <w:rPr/>
        <w:t>Los trabajadores de servicios y vendedores de comercios y mercados, que representan aproximadamente</w:t>
      </w:r>
      <w:r>
        <w:rPr>
          <w:spacing w:val="-4"/>
        </w:rPr>
        <w:t> </w:t>
      </w:r>
      <w:r>
        <w:rPr/>
        <w:t>el</w:t>
      </w:r>
      <w:r>
        <w:rPr>
          <w:spacing w:val="-7"/>
        </w:rPr>
        <w:t> </w:t>
      </w:r>
      <w:r>
        <w:rPr/>
        <w:t>20%</w:t>
      </w:r>
      <w:r>
        <w:rPr>
          <w:spacing w:val="-6"/>
        </w:rPr>
        <w:t> </w:t>
      </w:r>
      <w:r>
        <w:rPr/>
        <w:t>del</w:t>
      </w:r>
      <w:r>
        <w:rPr>
          <w:spacing w:val="-2"/>
        </w:rPr>
        <w:t> </w:t>
      </w:r>
      <w:r>
        <w:rPr/>
        <w:t>total</w:t>
      </w:r>
      <w:r>
        <w:rPr>
          <w:spacing w:val="-2"/>
        </w:rPr>
        <w:t> </w:t>
      </w:r>
      <w:r>
        <w:rPr/>
        <w:t>de</w:t>
      </w:r>
      <w:r>
        <w:rPr>
          <w:spacing w:val="-4"/>
        </w:rPr>
        <w:t> </w:t>
      </w:r>
      <w:r>
        <w:rPr/>
        <w:t>personas</w:t>
      </w:r>
      <w:r>
        <w:rPr>
          <w:spacing w:val="-6"/>
        </w:rPr>
        <w:t> </w:t>
      </w:r>
      <w:r>
        <w:rPr/>
        <w:t>ocupadas,</w:t>
      </w:r>
      <w:r>
        <w:rPr>
          <w:spacing w:val="-5"/>
        </w:rPr>
        <w:t> </w:t>
      </w:r>
      <w:r>
        <w:rPr/>
        <w:t>también</w:t>
      </w:r>
      <w:r>
        <w:rPr>
          <w:spacing w:val="-9"/>
        </w:rPr>
        <w:t> </w:t>
      </w:r>
      <w:r>
        <w:rPr/>
        <w:t>muestran</w:t>
      </w:r>
      <w:r>
        <w:rPr>
          <w:spacing w:val="-4"/>
        </w:rPr>
        <w:t> </w:t>
      </w:r>
      <w:r>
        <w:rPr/>
        <w:t>una</w:t>
      </w:r>
      <w:r>
        <w:rPr>
          <w:spacing w:val="-4"/>
        </w:rPr>
        <w:t> </w:t>
      </w:r>
      <w:r>
        <w:rPr/>
        <w:t>situación crítica.</w:t>
      </w:r>
      <w:r>
        <w:rPr>
          <w:spacing w:val="-5"/>
        </w:rPr>
        <w:t> </w:t>
      </w:r>
      <w:r>
        <w:rPr/>
        <w:t>Están</w:t>
      </w:r>
      <w:r>
        <w:rPr>
          <w:spacing w:val="-8"/>
        </w:rPr>
        <w:t> </w:t>
      </w:r>
      <w:r>
        <w:rPr/>
        <w:t>ampliamente representados</w:t>
      </w:r>
      <w:r>
        <w:rPr>
          <w:spacing w:val="-5"/>
        </w:rPr>
        <w:t> </w:t>
      </w:r>
      <w:r>
        <w:rPr/>
        <w:t>en</w:t>
      </w:r>
      <w:r>
        <w:rPr>
          <w:spacing w:val="-4"/>
        </w:rPr>
        <w:t> </w:t>
      </w:r>
      <w:r>
        <w:rPr/>
        <w:t>todas</w:t>
      </w:r>
      <w:r>
        <w:rPr>
          <w:spacing w:val="-1"/>
        </w:rPr>
        <w:t> </w:t>
      </w:r>
      <w:r>
        <w:rPr/>
        <w:t>las</w:t>
      </w:r>
      <w:r>
        <w:rPr>
          <w:spacing w:val="-5"/>
        </w:rPr>
        <w:t> </w:t>
      </w:r>
      <w:r>
        <w:rPr/>
        <w:t>categorías</w:t>
      </w:r>
      <w:r>
        <w:rPr>
          <w:spacing w:val="-5"/>
        </w:rPr>
        <w:t> </w:t>
      </w:r>
      <w:r>
        <w:rPr/>
        <w:t>de</w:t>
      </w:r>
      <w:r>
        <w:rPr>
          <w:spacing w:val="-4"/>
        </w:rPr>
        <w:t> </w:t>
      </w:r>
      <w:r>
        <w:rPr/>
        <w:t>pobreza:</w:t>
      </w:r>
      <w:r>
        <w:rPr>
          <w:spacing w:val="-5"/>
        </w:rPr>
        <w:t> </w:t>
      </w:r>
      <w:r>
        <w:rPr/>
        <w:t>pobreza</w:t>
      </w:r>
      <w:r>
        <w:rPr>
          <w:spacing w:val="-8"/>
        </w:rPr>
        <w:t> </w:t>
      </w:r>
      <w:r>
        <w:rPr/>
        <w:t>por ingresos, multidimensional y combinada. Hasta un 19,9% de ellos se encuentra en condición</w:t>
      </w:r>
      <w:r>
        <w:rPr>
          <w:spacing w:val="-8"/>
        </w:rPr>
        <w:t> </w:t>
      </w:r>
      <w:r>
        <w:rPr/>
        <w:t>de</w:t>
      </w:r>
      <w:r>
        <w:rPr>
          <w:spacing w:val="-4"/>
        </w:rPr>
        <w:t> </w:t>
      </w:r>
      <w:r>
        <w:rPr/>
        <w:t>pobreza</w:t>
      </w:r>
      <w:r>
        <w:rPr>
          <w:spacing w:val="-4"/>
        </w:rPr>
        <w:t> </w:t>
      </w:r>
      <w:r>
        <w:rPr/>
        <w:t>por</w:t>
      </w:r>
      <w:r>
        <w:rPr>
          <w:spacing w:val="-7"/>
        </w:rPr>
        <w:t> </w:t>
      </w:r>
      <w:r>
        <w:rPr/>
        <w:t>ambas</w:t>
      </w:r>
      <w:r>
        <w:rPr>
          <w:spacing w:val="-5"/>
        </w:rPr>
        <w:t> </w:t>
      </w:r>
      <w:r>
        <w:rPr/>
        <w:t>métricas.</w:t>
      </w:r>
      <w:r>
        <w:rPr>
          <w:spacing w:val="-4"/>
        </w:rPr>
        <w:t> </w:t>
      </w:r>
      <w:r>
        <w:rPr/>
        <w:t>Esta</w:t>
      </w:r>
      <w:r>
        <w:rPr>
          <w:spacing w:val="-4"/>
        </w:rPr>
        <w:t> </w:t>
      </w:r>
      <w:r>
        <w:rPr/>
        <w:t>situación</w:t>
      </w:r>
      <w:r>
        <w:rPr>
          <w:spacing w:val="-4"/>
        </w:rPr>
        <w:t> </w:t>
      </w:r>
      <w:r>
        <w:rPr/>
        <w:t>refleja</w:t>
      </w:r>
      <w:r>
        <w:rPr>
          <w:spacing w:val="-4"/>
        </w:rPr>
        <w:t> </w:t>
      </w:r>
      <w:r>
        <w:rPr/>
        <w:t>la</w:t>
      </w:r>
      <w:r>
        <w:rPr>
          <w:spacing w:val="-4"/>
        </w:rPr>
        <w:t> </w:t>
      </w:r>
      <w:r>
        <w:rPr/>
        <w:t>fragilidad</w:t>
      </w:r>
      <w:r>
        <w:rPr>
          <w:spacing w:val="-4"/>
        </w:rPr>
        <w:t> </w:t>
      </w:r>
      <w:r>
        <w:rPr/>
        <w:t>de</w:t>
      </w:r>
      <w:r>
        <w:rPr>
          <w:spacing w:val="-8"/>
        </w:rPr>
        <w:t> </w:t>
      </w:r>
      <w:r>
        <w:rPr/>
        <w:t>este</w:t>
      </w:r>
      <w:r>
        <w:rPr>
          <w:spacing w:val="-4"/>
        </w:rPr>
        <w:t> </w:t>
      </w:r>
      <w:r>
        <w:rPr/>
        <w:t>sector del</w:t>
      </w:r>
      <w:r>
        <w:rPr>
          <w:spacing w:val="-12"/>
        </w:rPr>
        <w:t> </w:t>
      </w:r>
      <w:r>
        <w:rPr/>
        <w:t>mercado</w:t>
      </w:r>
      <w:r>
        <w:rPr>
          <w:spacing w:val="-4"/>
        </w:rPr>
        <w:t> </w:t>
      </w:r>
      <w:r>
        <w:rPr/>
        <w:t>laboral,</w:t>
      </w:r>
      <w:r>
        <w:rPr>
          <w:spacing w:val="-5"/>
        </w:rPr>
        <w:t> </w:t>
      </w:r>
      <w:r>
        <w:rPr/>
        <w:t>caracterizado</w:t>
      </w:r>
      <w:r>
        <w:rPr>
          <w:spacing w:val="-9"/>
        </w:rPr>
        <w:t> </w:t>
      </w:r>
      <w:r>
        <w:rPr/>
        <w:t>muchas</w:t>
      </w:r>
      <w:r>
        <w:rPr>
          <w:spacing w:val="-6"/>
        </w:rPr>
        <w:t> </w:t>
      </w:r>
      <w:r>
        <w:rPr/>
        <w:t>veces</w:t>
      </w:r>
      <w:r>
        <w:rPr>
          <w:spacing w:val="-15"/>
        </w:rPr>
        <w:t> </w:t>
      </w:r>
      <w:r>
        <w:rPr/>
        <w:t>por</w:t>
      </w:r>
      <w:r>
        <w:rPr>
          <w:spacing w:val="-8"/>
        </w:rPr>
        <w:t> </w:t>
      </w:r>
      <w:r>
        <w:rPr/>
        <w:t>informalidad,</w:t>
      </w:r>
      <w:r>
        <w:rPr>
          <w:spacing w:val="-5"/>
        </w:rPr>
        <w:t> </w:t>
      </w:r>
      <w:r>
        <w:rPr/>
        <w:t>baja</w:t>
      </w:r>
      <w:r>
        <w:rPr>
          <w:spacing w:val="-9"/>
        </w:rPr>
        <w:t> </w:t>
      </w:r>
      <w:r>
        <w:rPr/>
        <w:t>protección</w:t>
      </w:r>
      <w:r>
        <w:rPr>
          <w:spacing w:val="-4"/>
        </w:rPr>
        <w:t> </w:t>
      </w:r>
      <w:r>
        <w:rPr/>
        <w:t>social</w:t>
      </w:r>
      <w:r>
        <w:rPr>
          <w:spacing w:val="-12"/>
        </w:rPr>
        <w:t> </w:t>
      </w:r>
      <w:r>
        <w:rPr/>
        <w:t>y alta rotación. A pesar de representar</w:t>
      </w:r>
      <w:r>
        <w:rPr>
          <w:spacing w:val="-2"/>
        </w:rPr>
        <w:t> </w:t>
      </w:r>
      <w:r>
        <w:rPr/>
        <w:t>un segmento numeroso y activo de la fuerza laboral,</w:t>
      </w:r>
    </w:p>
    <w:p>
      <w:pPr>
        <w:pStyle w:val="BodyText"/>
        <w:spacing w:after="0"/>
        <w:jc w:val="both"/>
        <w:sectPr>
          <w:pgSz w:w="12240" w:h="15840"/>
          <w:pgMar w:header="0" w:footer="1021" w:top="1340" w:bottom="1220" w:left="720" w:right="360"/>
        </w:sectPr>
      </w:pPr>
    </w:p>
    <w:p>
      <w:pPr>
        <w:pStyle w:val="BodyText"/>
        <w:spacing w:before="76"/>
        <w:ind w:left="979" w:right="1356"/>
        <w:jc w:val="both"/>
      </w:pPr>
      <w:r>
        <w:rPr/>
        <w:t>enfrentan condiciones laborales precarias y limitaciones estructurales para salir de la </w:t>
      </w:r>
      <w:r>
        <w:rPr>
          <w:spacing w:val="-2"/>
        </w:rPr>
        <w:t>pobreza.</w:t>
      </w:r>
    </w:p>
    <w:p>
      <w:pPr>
        <w:pStyle w:val="BodyText"/>
        <w:spacing w:before="253"/>
        <w:ind w:left="979" w:right="1334"/>
        <w:jc w:val="both"/>
      </w:pPr>
      <w:r>
        <w:rPr/>
        <w:t>En</w:t>
      </w:r>
      <w:r>
        <w:rPr>
          <w:spacing w:val="-8"/>
        </w:rPr>
        <w:t> </w:t>
      </w:r>
      <w:r>
        <w:rPr/>
        <w:t>términos</w:t>
      </w:r>
      <w:r>
        <w:rPr>
          <w:spacing w:val="-10"/>
        </w:rPr>
        <w:t> </w:t>
      </w:r>
      <w:r>
        <w:rPr/>
        <w:t>de</w:t>
      </w:r>
      <w:r>
        <w:rPr>
          <w:spacing w:val="-8"/>
        </w:rPr>
        <w:t> </w:t>
      </w:r>
      <w:r>
        <w:rPr/>
        <w:t>tendencia,</w:t>
      </w:r>
      <w:r>
        <w:rPr>
          <w:spacing w:val="-5"/>
        </w:rPr>
        <w:t> </w:t>
      </w:r>
      <w:r>
        <w:rPr/>
        <w:t>los</w:t>
      </w:r>
      <w:r>
        <w:rPr>
          <w:spacing w:val="-10"/>
        </w:rPr>
        <w:t> </w:t>
      </w:r>
      <w:r>
        <w:rPr/>
        <w:t>datos</w:t>
      </w:r>
      <w:r>
        <w:rPr>
          <w:spacing w:val="-15"/>
        </w:rPr>
        <w:t> </w:t>
      </w:r>
      <w:r>
        <w:rPr/>
        <w:t>muestran</w:t>
      </w:r>
      <w:r>
        <w:rPr>
          <w:spacing w:val="-8"/>
        </w:rPr>
        <w:t> </w:t>
      </w:r>
      <w:r>
        <w:rPr/>
        <w:t>que</w:t>
      </w:r>
      <w:r>
        <w:rPr>
          <w:spacing w:val="-8"/>
        </w:rPr>
        <w:t> </w:t>
      </w:r>
      <w:r>
        <w:rPr/>
        <w:t>el</w:t>
      </w:r>
      <w:r>
        <w:rPr>
          <w:spacing w:val="-11"/>
        </w:rPr>
        <w:t> </w:t>
      </w:r>
      <w:r>
        <w:rPr/>
        <w:t>tipo</w:t>
      </w:r>
      <w:r>
        <w:rPr>
          <w:spacing w:val="-8"/>
        </w:rPr>
        <w:t> </w:t>
      </w:r>
      <w:r>
        <w:rPr/>
        <w:t>de</w:t>
      </w:r>
      <w:r>
        <w:rPr>
          <w:spacing w:val="-8"/>
        </w:rPr>
        <w:t> </w:t>
      </w:r>
      <w:r>
        <w:rPr/>
        <w:t>ocupación</w:t>
      </w:r>
      <w:r>
        <w:rPr>
          <w:spacing w:val="-8"/>
        </w:rPr>
        <w:t> </w:t>
      </w:r>
      <w:r>
        <w:rPr/>
        <w:t>guarda</w:t>
      </w:r>
      <w:r>
        <w:rPr>
          <w:spacing w:val="-8"/>
        </w:rPr>
        <w:t> </w:t>
      </w:r>
      <w:r>
        <w:rPr/>
        <w:t>una</w:t>
      </w:r>
      <w:r>
        <w:rPr>
          <w:spacing w:val="-8"/>
        </w:rPr>
        <w:t> </w:t>
      </w:r>
      <w:r>
        <w:rPr/>
        <w:t>relación directa</w:t>
      </w:r>
      <w:r>
        <w:rPr>
          <w:spacing w:val="-16"/>
        </w:rPr>
        <w:t> </w:t>
      </w:r>
      <w:r>
        <w:rPr/>
        <w:t>y</w:t>
      </w:r>
      <w:r>
        <w:rPr>
          <w:spacing w:val="-15"/>
        </w:rPr>
        <w:t> </w:t>
      </w:r>
      <w:r>
        <w:rPr/>
        <w:t>consistente</w:t>
      </w:r>
      <w:r>
        <w:rPr>
          <w:spacing w:val="-15"/>
        </w:rPr>
        <w:t> </w:t>
      </w:r>
      <w:r>
        <w:rPr/>
        <w:t>con</w:t>
      </w:r>
      <w:r>
        <w:rPr>
          <w:spacing w:val="-16"/>
        </w:rPr>
        <w:t> </w:t>
      </w:r>
      <w:r>
        <w:rPr/>
        <w:t>la</w:t>
      </w:r>
      <w:r>
        <w:rPr>
          <w:spacing w:val="-15"/>
        </w:rPr>
        <w:t> </w:t>
      </w:r>
      <w:r>
        <w:rPr/>
        <w:t>condición</w:t>
      </w:r>
      <w:r>
        <w:rPr>
          <w:spacing w:val="-15"/>
        </w:rPr>
        <w:t> </w:t>
      </w:r>
      <w:r>
        <w:rPr/>
        <w:t>de</w:t>
      </w:r>
      <w:r>
        <w:rPr>
          <w:spacing w:val="-13"/>
        </w:rPr>
        <w:t> </w:t>
      </w:r>
      <w:r>
        <w:rPr/>
        <w:t>pobreza</w:t>
      </w:r>
      <w:r>
        <w:rPr>
          <w:spacing w:val="-16"/>
        </w:rPr>
        <w:t> </w:t>
      </w:r>
      <w:r>
        <w:rPr/>
        <w:t>en</w:t>
      </w:r>
      <w:r>
        <w:rPr>
          <w:spacing w:val="-13"/>
        </w:rPr>
        <w:t> </w:t>
      </w:r>
      <w:r>
        <w:rPr/>
        <w:t>2024.</w:t>
      </w:r>
      <w:r>
        <w:rPr>
          <w:spacing w:val="-15"/>
        </w:rPr>
        <w:t> </w:t>
      </w:r>
      <w:r>
        <w:rPr/>
        <w:t>Las</w:t>
      </w:r>
      <w:r>
        <w:rPr>
          <w:spacing w:val="-16"/>
        </w:rPr>
        <w:t> </w:t>
      </w:r>
      <w:r>
        <w:rPr/>
        <w:t>ocupaciones</w:t>
      </w:r>
      <w:r>
        <w:rPr>
          <w:spacing w:val="-15"/>
        </w:rPr>
        <w:t> </w:t>
      </w:r>
      <w:r>
        <w:rPr/>
        <w:t>más</w:t>
      </w:r>
      <w:r>
        <w:rPr>
          <w:spacing w:val="-15"/>
        </w:rPr>
        <w:t> </w:t>
      </w:r>
      <w:r>
        <w:rPr/>
        <w:t>calificadas y formales se asocian con mayor seguridad económica y menor incidencia de carencias sociales, mientras que las ocupaciones de baja calificación, con mayor presencia de informalidad y bajos ingresos, agrupan a la</w:t>
      </w:r>
      <w:r>
        <w:rPr>
          <w:spacing w:val="-2"/>
        </w:rPr>
        <w:t> </w:t>
      </w:r>
      <w:r>
        <w:rPr/>
        <w:t>mayoría de las</w:t>
      </w:r>
      <w:r>
        <w:rPr>
          <w:spacing w:val="-4"/>
        </w:rPr>
        <w:t> </w:t>
      </w:r>
      <w:r>
        <w:rPr/>
        <w:t>personas</w:t>
      </w:r>
      <w:r>
        <w:rPr>
          <w:spacing w:val="-4"/>
        </w:rPr>
        <w:t> </w:t>
      </w:r>
      <w:r>
        <w:rPr/>
        <w:t>pobres del país. Esto no</w:t>
      </w:r>
      <w:r>
        <w:rPr>
          <w:spacing w:val="-3"/>
        </w:rPr>
        <w:t> </w:t>
      </w:r>
      <w:r>
        <w:rPr/>
        <w:t>solo</w:t>
      </w:r>
      <w:r>
        <w:rPr>
          <w:spacing w:val="-3"/>
        </w:rPr>
        <w:t> </w:t>
      </w:r>
      <w:r>
        <w:rPr/>
        <w:t>confirma</w:t>
      </w:r>
      <w:r>
        <w:rPr>
          <w:spacing w:val="-6"/>
        </w:rPr>
        <w:t> </w:t>
      </w:r>
      <w:r>
        <w:rPr/>
        <w:t>que</w:t>
      </w:r>
      <w:r>
        <w:rPr>
          <w:spacing w:val="-6"/>
        </w:rPr>
        <w:t> </w:t>
      </w:r>
      <w:r>
        <w:rPr/>
        <w:t>el</w:t>
      </w:r>
      <w:r>
        <w:rPr>
          <w:spacing w:val="-4"/>
        </w:rPr>
        <w:t> </w:t>
      </w:r>
      <w:r>
        <w:rPr/>
        <w:t>mercado</w:t>
      </w:r>
      <w:r>
        <w:rPr>
          <w:spacing w:val="-3"/>
        </w:rPr>
        <w:t> </w:t>
      </w:r>
      <w:r>
        <w:rPr/>
        <w:t>laboral</w:t>
      </w:r>
      <w:r>
        <w:rPr>
          <w:spacing w:val="-4"/>
        </w:rPr>
        <w:t> </w:t>
      </w:r>
      <w:r>
        <w:rPr/>
        <w:t>sigue</w:t>
      </w:r>
      <w:r>
        <w:rPr>
          <w:spacing w:val="-3"/>
        </w:rPr>
        <w:t> </w:t>
      </w:r>
      <w:r>
        <w:rPr/>
        <w:t>reproduciendo</w:t>
      </w:r>
      <w:r>
        <w:rPr>
          <w:spacing w:val="-6"/>
        </w:rPr>
        <w:t> </w:t>
      </w:r>
      <w:r>
        <w:rPr/>
        <w:t>desigualdades estructurales, sino que también señala que la pobreza en Costa Rica está profundamente vinculada con las oportunidades (o su ausencia) dentro del mundo del trabajo.</w:t>
      </w:r>
    </w:p>
    <w:p>
      <w:pPr>
        <w:pStyle w:val="BodyText"/>
        <w:spacing w:before="252"/>
        <w:ind w:left="979" w:right="1335"/>
        <w:jc w:val="both"/>
      </w:pPr>
      <w:r>
        <w:rPr/>
        <w:t>En</w:t>
      </w:r>
      <w:r>
        <w:rPr>
          <w:spacing w:val="-16"/>
        </w:rPr>
        <w:t> </w:t>
      </w:r>
      <w:r>
        <w:rPr/>
        <w:t>conclusión,</w:t>
      </w:r>
      <w:r>
        <w:rPr>
          <w:spacing w:val="-15"/>
        </w:rPr>
        <w:t> </w:t>
      </w:r>
      <w:r>
        <w:rPr/>
        <w:t>queda</w:t>
      </w:r>
      <w:r>
        <w:rPr>
          <w:spacing w:val="-15"/>
        </w:rPr>
        <w:t> </w:t>
      </w:r>
      <w:r>
        <w:rPr/>
        <w:t>confirmado</w:t>
      </w:r>
      <w:r>
        <w:rPr>
          <w:spacing w:val="-16"/>
        </w:rPr>
        <w:t> </w:t>
      </w:r>
      <w:r>
        <w:rPr/>
        <w:t>que</w:t>
      </w:r>
      <w:r>
        <w:rPr>
          <w:spacing w:val="-15"/>
        </w:rPr>
        <w:t> </w:t>
      </w:r>
      <w:r>
        <w:rPr/>
        <w:t>el</w:t>
      </w:r>
      <w:r>
        <w:rPr>
          <w:spacing w:val="-15"/>
        </w:rPr>
        <w:t> </w:t>
      </w:r>
      <w:r>
        <w:rPr/>
        <w:t>tipo</w:t>
      </w:r>
      <w:r>
        <w:rPr>
          <w:spacing w:val="-15"/>
        </w:rPr>
        <w:t> </w:t>
      </w:r>
      <w:r>
        <w:rPr/>
        <w:t>de</w:t>
      </w:r>
      <w:r>
        <w:rPr>
          <w:spacing w:val="-16"/>
        </w:rPr>
        <w:t> </w:t>
      </w:r>
      <w:r>
        <w:rPr/>
        <w:t>ocupación</w:t>
      </w:r>
      <w:r>
        <w:rPr>
          <w:spacing w:val="-15"/>
        </w:rPr>
        <w:t> </w:t>
      </w:r>
      <w:r>
        <w:rPr/>
        <w:t>constituye</w:t>
      </w:r>
      <w:r>
        <w:rPr>
          <w:spacing w:val="-15"/>
        </w:rPr>
        <w:t> </w:t>
      </w:r>
      <w:r>
        <w:rPr/>
        <w:t>un</w:t>
      </w:r>
      <w:r>
        <w:rPr>
          <w:spacing w:val="-16"/>
        </w:rPr>
        <w:t> </w:t>
      </w:r>
      <w:r>
        <w:rPr/>
        <w:t>factor</w:t>
      </w:r>
      <w:r>
        <w:rPr>
          <w:spacing w:val="-15"/>
        </w:rPr>
        <w:t> </w:t>
      </w:r>
      <w:r>
        <w:rPr/>
        <w:t>determinante en la condición de pobreza en Costa Rica. Mientras los profesionales científicos e intelectuales se mantienen, en su mayoría, fuera de situaciones de pobreza, otros grupos ocupacionales —como los trabajadores de servicios, operarios y quienes desempeñan ocupaciones elementales— se concentran en los sectores más vulnerables del sistema socioeconómico. Esta realidad exige que las políticas públicas mantengan como prioridad el fortalecimiento del empleo digno, el acceso equitativo a derechos fundamentales y la inclusión</w:t>
      </w:r>
      <w:r>
        <w:rPr>
          <w:spacing w:val="-8"/>
        </w:rPr>
        <w:t> </w:t>
      </w:r>
      <w:r>
        <w:rPr/>
        <w:t>efectiva</w:t>
      </w:r>
      <w:r>
        <w:rPr>
          <w:spacing w:val="-8"/>
        </w:rPr>
        <w:t> </w:t>
      </w:r>
      <w:r>
        <w:rPr/>
        <w:t>de</w:t>
      </w:r>
      <w:r>
        <w:rPr>
          <w:spacing w:val="-8"/>
        </w:rPr>
        <w:t> </w:t>
      </w:r>
      <w:r>
        <w:rPr/>
        <w:t>los</w:t>
      </w:r>
      <w:r>
        <w:rPr>
          <w:spacing w:val="-15"/>
        </w:rPr>
        <w:t> </w:t>
      </w:r>
      <w:r>
        <w:rPr/>
        <w:t>sectores</w:t>
      </w:r>
      <w:r>
        <w:rPr>
          <w:spacing w:val="-15"/>
        </w:rPr>
        <w:t> </w:t>
      </w:r>
      <w:r>
        <w:rPr/>
        <w:t>históricamente</w:t>
      </w:r>
      <w:r>
        <w:rPr>
          <w:spacing w:val="-13"/>
        </w:rPr>
        <w:t> </w:t>
      </w:r>
      <w:r>
        <w:rPr/>
        <w:t>excluidos,</w:t>
      </w:r>
      <w:r>
        <w:rPr>
          <w:spacing w:val="-9"/>
        </w:rPr>
        <w:t> </w:t>
      </w:r>
      <w:r>
        <w:rPr/>
        <w:t>con</w:t>
      </w:r>
      <w:r>
        <w:rPr>
          <w:spacing w:val="-13"/>
        </w:rPr>
        <w:t> </w:t>
      </w:r>
      <w:r>
        <w:rPr/>
        <w:t>el</w:t>
      </w:r>
      <w:r>
        <w:rPr>
          <w:spacing w:val="-11"/>
        </w:rPr>
        <w:t> </w:t>
      </w:r>
      <w:r>
        <w:rPr/>
        <w:t>fin</w:t>
      </w:r>
      <w:r>
        <w:rPr>
          <w:spacing w:val="-13"/>
        </w:rPr>
        <w:t> </w:t>
      </w:r>
      <w:r>
        <w:rPr/>
        <w:t>de</w:t>
      </w:r>
      <w:r>
        <w:rPr>
          <w:spacing w:val="-13"/>
        </w:rPr>
        <w:t> </w:t>
      </w:r>
      <w:r>
        <w:rPr/>
        <w:t>avanzar</w:t>
      </w:r>
      <w:r>
        <w:rPr>
          <w:spacing w:val="-16"/>
        </w:rPr>
        <w:t> </w:t>
      </w:r>
      <w:r>
        <w:rPr/>
        <w:t>de</w:t>
      </w:r>
      <w:r>
        <w:rPr>
          <w:spacing w:val="-12"/>
        </w:rPr>
        <w:t> </w:t>
      </w:r>
      <w:r>
        <w:rPr/>
        <w:t>manera sostenida</w:t>
      </w:r>
      <w:r>
        <w:rPr>
          <w:spacing w:val="-5"/>
        </w:rPr>
        <w:t> </w:t>
      </w:r>
      <w:r>
        <w:rPr/>
        <w:t>y</w:t>
      </w:r>
      <w:r>
        <w:rPr>
          <w:spacing w:val="-11"/>
        </w:rPr>
        <w:t> </w:t>
      </w:r>
      <w:r>
        <w:rPr/>
        <w:t>realista</w:t>
      </w:r>
      <w:r>
        <w:rPr>
          <w:spacing w:val="-10"/>
        </w:rPr>
        <w:t> </w:t>
      </w:r>
      <w:r>
        <w:rPr/>
        <w:t>hacia</w:t>
      </w:r>
      <w:r>
        <w:rPr>
          <w:spacing w:val="-10"/>
        </w:rPr>
        <w:t> </w:t>
      </w:r>
      <w:r>
        <w:rPr/>
        <w:t>la</w:t>
      </w:r>
      <w:r>
        <w:rPr>
          <w:spacing w:val="-10"/>
        </w:rPr>
        <w:t> </w:t>
      </w:r>
      <w:r>
        <w:rPr/>
        <w:t>reducción</w:t>
      </w:r>
      <w:r>
        <w:rPr>
          <w:spacing w:val="-10"/>
        </w:rPr>
        <w:t> </w:t>
      </w:r>
      <w:r>
        <w:rPr/>
        <w:t>de</w:t>
      </w:r>
      <w:r>
        <w:rPr>
          <w:spacing w:val="-10"/>
        </w:rPr>
        <w:t> </w:t>
      </w:r>
      <w:r>
        <w:rPr/>
        <w:t>la</w:t>
      </w:r>
      <w:r>
        <w:rPr>
          <w:spacing w:val="-10"/>
        </w:rPr>
        <w:t> </w:t>
      </w:r>
      <w:r>
        <w:rPr/>
        <w:t>pobreza</w:t>
      </w:r>
      <w:r>
        <w:rPr>
          <w:spacing w:val="-5"/>
        </w:rPr>
        <w:t> </w:t>
      </w:r>
      <w:r>
        <w:rPr/>
        <w:t>y</w:t>
      </w:r>
      <w:r>
        <w:rPr>
          <w:spacing w:val="-11"/>
        </w:rPr>
        <w:t> </w:t>
      </w:r>
      <w:r>
        <w:rPr/>
        <w:t>la</w:t>
      </w:r>
      <w:r>
        <w:rPr>
          <w:spacing w:val="-10"/>
        </w:rPr>
        <w:t> </w:t>
      </w:r>
      <w:r>
        <w:rPr/>
        <w:t>desigualdad estructural</w:t>
      </w:r>
      <w:r>
        <w:rPr>
          <w:spacing w:val="-12"/>
        </w:rPr>
        <w:t> </w:t>
      </w:r>
      <w:r>
        <w:rPr/>
        <w:t>en</w:t>
      </w:r>
      <w:r>
        <w:rPr>
          <w:spacing w:val="-10"/>
        </w:rPr>
        <w:t> </w:t>
      </w:r>
      <w:r>
        <w:rPr/>
        <w:t>el</w:t>
      </w:r>
      <w:r>
        <w:rPr>
          <w:spacing w:val="-8"/>
        </w:rPr>
        <w:t> </w:t>
      </w:r>
      <w:r>
        <w:rPr/>
        <w:t>país.</w:t>
      </w:r>
    </w:p>
    <w:p>
      <w:pPr>
        <w:pStyle w:val="BodyText"/>
      </w:pPr>
    </w:p>
    <w:p>
      <w:pPr>
        <w:pStyle w:val="BodyText"/>
        <w:ind w:left="979" w:right="1338"/>
        <w:jc w:val="both"/>
      </w:pPr>
      <w:r>
        <w:rPr/>
        <w:t>El análisis del desempleo abierto entre mujeres jefas de hogar durante los años 2023 y 2024 evidencia una clara vulnerabilidad estructural que afecta con mayor intensidad a quienes se encuentran en situación de pobreza, particularmente cuando esta es multidimensional. Estos datos, complementados por el gráfico 16, refuerzan la relación entre ocupación, pobreza y exclusión laboral en los hogares encabezados por mujeres.</w:t>
      </w:r>
    </w:p>
    <w:p>
      <w:pPr>
        <w:pStyle w:val="BodyText"/>
        <w:spacing w:before="6"/>
      </w:pPr>
    </w:p>
    <w:p>
      <w:pPr>
        <w:pStyle w:val="Heading2"/>
        <w:spacing w:line="237" w:lineRule="auto" w:before="1"/>
        <w:ind w:left="2449" w:right="894" w:hanging="1590"/>
      </w:pPr>
      <w:bookmarkStart w:name="_bookmark36" w:id="37"/>
      <w:bookmarkEnd w:id="37"/>
      <w:r>
        <w:rPr>
          <w:b w:val="0"/>
        </w:rPr>
      </w:r>
      <w:r>
        <w:rPr/>
        <w:t>Gráfico</w:t>
      </w:r>
      <w:r>
        <w:rPr>
          <w:spacing w:val="-3"/>
        </w:rPr>
        <w:t> </w:t>
      </w:r>
      <w:r>
        <w:rPr/>
        <w:t>16:</w:t>
      </w:r>
      <w:r>
        <w:rPr>
          <w:spacing w:val="-5"/>
        </w:rPr>
        <w:t> </w:t>
      </w:r>
      <w:r>
        <w:rPr/>
        <w:t>Porcentaje</w:t>
      </w:r>
      <w:r>
        <w:rPr>
          <w:spacing w:val="-2"/>
        </w:rPr>
        <w:t> </w:t>
      </w:r>
      <w:r>
        <w:rPr/>
        <w:t>de</w:t>
      </w:r>
      <w:r>
        <w:rPr>
          <w:spacing w:val="-7"/>
        </w:rPr>
        <w:t> </w:t>
      </w:r>
      <w:r>
        <w:rPr/>
        <w:t>jefaturas femenina con</w:t>
      </w:r>
      <w:r>
        <w:rPr>
          <w:spacing w:val="-4"/>
        </w:rPr>
        <w:t> </w:t>
      </w:r>
      <w:r>
        <w:rPr/>
        <w:t>desempleo</w:t>
      </w:r>
      <w:r>
        <w:rPr>
          <w:spacing w:val="-8"/>
        </w:rPr>
        <w:t> </w:t>
      </w:r>
      <w:r>
        <w:rPr/>
        <w:t>abierto</w:t>
      </w:r>
      <w:r>
        <w:rPr>
          <w:spacing w:val="-4"/>
        </w:rPr>
        <w:t> </w:t>
      </w:r>
      <w:r>
        <w:rPr/>
        <w:t>según</w:t>
      </w:r>
      <w:r>
        <w:rPr>
          <w:spacing w:val="-4"/>
        </w:rPr>
        <w:t> </w:t>
      </w:r>
      <w:r>
        <w:rPr/>
        <w:t>clasificación de pobreza por método combinado. Costa Rica 2023-2024</w:t>
      </w:r>
    </w:p>
    <w:p>
      <w:pPr>
        <w:pStyle w:val="BodyText"/>
        <w:spacing w:before="10"/>
        <w:rPr>
          <w:b/>
          <w:sz w:val="4"/>
        </w:rPr>
      </w:pPr>
      <w:r>
        <w:rPr>
          <w:b/>
          <w:sz w:val="4"/>
        </w:rPr>
        <w:drawing>
          <wp:anchor distT="0" distB="0" distL="0" distR="0" allowOverlap="1" layoutInCell="1" locked="0" behindDoc="1" simplePos="0" relativeHeight="487597568">
            <wp:simplePos x="0" y="0"/>
            <wp:positionH relativeFrom="page">
              <wp:posOffset>1228725</wp:posOffset>
            </wp:positionH>
            <wp:positionV relativeFrom="paragraph">
              <wp:posOffset>50813</wp:posOffset>
            </wp:positionV>
            <wp:extent cx="5367051" cy="3088767"/>
            <wp:effectExtent l="0" t="0" r="0" b="0"/>
            <wp:wrapTopAndBottom/>
            <wp:docPr id="75" name="Image 75" descr="Gráfico, Gráfico de barras  El contenido generado por IA puede ser incorrecto."/>
            <wp:cNvGraphicFramePr>
              <a:graphicFrameLocks/>
            </wp:cNvGraphicFramePr>
            <a:graphic>
              <a:graphicData uri="http://schemas.openxmlformats.org/drawingml/2006/picture">
                <pic:pic>
                  <pic:nvPicPr>
                    <pic:cNvPr id="75" name="Image 75" descr="Gráfico, Gráfico de barras  El contenido generado por IA puede ser incorrecto."/>
                    <pic:cNvPicPr/>
                  </pic:nvPicPr>
                  <pic:blipFill>
                    <a:blip r:embed="rId54" cstate="print"/>
                    <a:stretch>
                      <a:fillRect/>
                    </a:stretch>
                  </pic:blipFill>
                  <pic:spPr>
                    <a:xfrm>
                      <a:off x="0" y="0"/>
                      <a:ext cx="5367051" cy="3088767"/>
                    </a:xfrm>
                    <a:prstGeom prst="rect">
                      <a:avLst/>
                    </a:prstGeom>
                  </pic:spPr>
                </pic:pic>
              </a:graphicData>
            </a:graphic>
          </wp:anchor>
        </w:drawing>
      </w:r>
    </w:p>
    <w:p>
      <w:pPr>
        <w:spacing w:before="11"/>
        <w:ind w:left="1340" w:right="1342" w:firstLine="0"/>
        <w:jc w:val="left"/>
        <w:rPr>
          <w:sz w:val="18"/>
        </w:rPr>
      </w:pPr>
      <w:r>
        <w:rPr>
          <w:sz w:val="18"/>
        </w:rPr>
        <w:t>Fuente:</w:t>
      </w:r>
      <w:r>
        <w:rPr>
          <w:spacing w:val="-12"/>
          <w:sz w:val="18"/>
        </w:rPr>
        <w:t> </w:t>
      </w:r>
      <w:r>
        <w:rPr>
          <w:sz w:val="18"/>
        </w:rPr>
        <w:t>Elaboración</w:t>
      </w:r>
      <w:r>
        <w:rPr>
          <w:spacing w:val="-10"/>
          <w:sz w:val="18"/>
        </w:rPr>
        <w:t> </w:t>
      </w:r>
      <w:r>
        <w:rPr>
          <w:sz w:val="18"/>
        </w:rPr>
        <w:t>propia</w:t>
      </w:r>
      <w:r>
        <w:rPr>
          <w:spacing w:val="-10"/>
          <w:sz w:val="18"/>
        </w:rPr>
        <w:t> </w:t>
      </w:r>
      <w:r>
        <w:rPr>
          <w:sz w:val="18"/>
        </w:rPr>
        <w:t>a</w:t>
      </w:r>
      <w:r>
        <w:rPr>
          <w:spacing w:val="-10"/>
          <w:sz w:val="18"/>
        </w:rPr>
        <w:t> </w:t>
      </w:r>
      <w:r>
        <w:rPr>
          <w:sz w:val="18"/>
        </w:rPr>
        <w:t>partir</w:t>
      </w:r>
      <w:r>
        <w:rPr>
          <w:spacing w:val="-12"/>
          <w:sz w:val="18"/>
        </w:rPr>
        <w:t> </w:t>
      </w:r>
      <w:r>
        <w:rPr>
          <w:sz w:val="18"/>
        </w:rPr>
        <w:t>de</w:t>
      </w:r>
      <w:r>
        <w:rPr>
          <w:spacing w:val="-10"/>
          <w:sz w:val="18"/>
        </w:rPr>
        <w:t> </w:t>
      </w:r>
      <w:r>
        <w:rPr>
          <w:sz w:val="18"/>
        </w:rPr>
        <w:t>datos</w:t>
      </w:r>
      <w:r>
        <w:rPr>
          <w:spacing w:val="-9"/>
          <w:sz w:val="18"/>
        </w:rPr>
        <w:t> </w:t>
      </w:r>
      <w:r>
        <w:rPr>
          <w:sz w:val="18"/>
        </w:rPr>
        <w:t>de</w:t>
      </w:r>
      <w:r>
        <w:rPr>
          <w:spacing w:val="-10"/>
          <w:sz w:val="18"/>
        </w:rPr>
        <w:t> </w:t>
      </w:r>
      <w:r>
        <w:rPr>
          <w:sz w:val="18"/>
        </w:rPr>
        <w:t>la</w:t>
      </w:r>
      <w:r>
        <w:rPr>
          <w:spacing w:val="-10"/>
          <w:sz w:val="18"/>
        </w:rPr>
        <w:t> </w:t>
      </w:r>
      <w:r>
        <w:rPr>
          <w:sz w:val="18"/>
        </w:rPr>
        <w:t>Encuesta</w:t>
      </w:r>
      <w:r>
        <w:rPr>
          <w:spacing w:val="-10"/>
          <w:sz w:val="18"/>
        </w:rPr>
        <w:t> </w:t>
      </w:r>
      <w:r>
        <w:rPr>
          <w:sz w:val="18"/>
        </w:rPr>
        <w:t>Nacional</w:t>
      </w:r>
      <w:r>
        <w:rPr>
          <w:spacing w:val="-7"/>
          <w:sz w:val="18"/>
        </w:rPr>
        <w:t> </w:t>
      </w:r>
      <w:r>
        <w:rPr>
          <w:sz w:val="18"/>
        </w:rPr>
        <w:t>de</w:t>
      </w:r>
      <w:r>
        <w:rPr>
          <w:spacing w:val="-10"/>
          <w:sz w:val="18"/>
        </w:rPr>
        <w:t> </w:t>
      </w:r>
      <w:r>
        <w:rPr>
          <w:sz w:val="18"/>
        </w:rPr>
        <w:t>Hogares</w:t>
      </w:r>
      <w:r>
        <w:rPr>
          <w:spacing w:val="-9"/>
          <w:sz w:val="18"/>
        </w:rPr>
        <w:t> </w:t>
      </w:r>
      <w:r>
        <w:rPr>
          <w:sz w:val="18"/>
        </w:rPr>
        <w:t>(ENAHO)</w:t>
      </w:r>
      <w:r>
        <w:rPr>
          <w:spacing w:val="-12"/>
          <w:sz w:val="18"/>
        </w:rPr>
        <w:t> </w:t>
      </w:r>
      <w:r>
        <w:rPr>
          <w:sz w:val="18"/>
        </w:rPr>
        <w:t>2024,</w:t>
      </w:r>
      <w:r>
        <w:rPr>
          <w:spacing w:val="-7"/>
          <w:sz w:val="18"/>
        </w:rPr>
        <w:t> </w:t>
      </w:r>
      <w:r>
        <w:rPr>
          <w:sz w:val="18"/>
        </w:rPr>
        <w:t>extraídos del sistema REDATAM del Instituto Nacional de Estadística y Censos (INEC).</w:t>
      </w:r>
    </w:p>
    <w:p>
      <w:pPr>
        <w:spacing w:after="0"/>
        <w:jc w:val="left"/>
        <w:rPr>
          <w:sz w:val="18"/>
        </w:rPr>
        <w:sectPr>
          <w:pgSz w:w="12240" w:h="15840"/>
          <w:pgMar w:header="0" w:footer="1021" w:top="1340" w:bottom="1220" w:left="720" w:right="360"/>
        </w:sectPr>
      </w:pPr>
    </w:p>
    <w:p>
      <w:pPr>
        <w:pStyle w:val="BodyText"/>
        <w:spacing w:before="83"/>
        <w:ind w:left="979" w:right="1348"/>
        <w:jc w:val="both"/>
      </w:pPr>
      <w:r>
        <w:rPr/>
        <w:t>En 2023, la tasa general de desempleo abierto en jefaturas femeninas fue de 2,62%. No obstante, al segmentar según condición de pobreza, las disparidades son notorias. Las mujeres jefas de hogar que eran pobres únicamente por la Línea de Pobreza (LP) registraban una tasa de 6,44%, mientras que aquellas pobres por el Índice de Pobreza Multidimensional</w:t>
      </w:r>
      <w:r>
        <w:rPr>
          <w:spacing w:val="-16"/>
        </w:rPr>
        <w:t> </w:t>
      </w:r>
      <w:r>
        <w:rPr/>
        <w:t>(IPM)</w:t>
      </w:r>
      <w:r>
        <w:rPr>
          <w:spacing w:val="-15"/>
        </w:rPr>
        <w:t> </w:t>
      </w:r>
      <w:r>
        <w:rPr/>
        <w:t>pero</w:t>
      </w:r>
      <w:r>
        <w:rPr>
          <w:spacing w:val="-15"/>
        </w:rPr>
        <w:t> </w:t>
      </w:r>
      <w:r>
        <w:rPr/>
        <w:t>no</w:t>
      </w:r>
      <w:r>
        <w:rPr>
          <w:spacing w:val="-16"/>
        </w:rPr>
        <w:t> </w:t>
      </w:r>
      <w:r>
        <w:rPr/>
        <w:t>por</w:t>
      </w:r>
      <w:r>
        <w:rPr>
          <w:spacing w:val="-15"/>
        </w:rPr>
        <w:t> </w:t>
      </w:r>
      <w:r>
        <w:rPr/>
        <w:t>ingreso</w:t>
      </w:r>
      <w:r>
        <w:rPr>
          <w:spacing w:val="-15"/>
        </w:rPr>
        <w:t> </w:t>
      </w:r>
      <w:r>
        <w:rPr/>
        <w:t>alcanzaban</w:t>
      </w:r>
      <w:r>
        <w:rPr>
          <w:spacing w:val="-15"/>
        </w:rPr>
        <w:t> </w:t>
      </w:r>
      <w:r>
        <w:rPr/>
        <w:t>el</w:t>
      </w:r>
      <w:r>
        <w:rPr>
          <w:spacing w:val="-16"/>
        </w:rPr>
        <w:t> </w:t>
      </w:r>
      <w:r>
        <w:rPr/>
        <w:t>1,93%.</w:t>
      </w:r>
      <w:r>
        <w:rPr>
          <w:spacing w:val="-15"/>
        </w:rPr>
        <w:t> </w:t>
      </w:r>
      <w:r>
        <w:rPr/>
        <w:t>Las</w:t>
      </w:r>
      <w:r>
        <w:rPr>
          <w:spacing w:val="-15"/>
        </w:rPr>
        <w:t> </w:t>
      </w:r>
      <w:r>
        <w:rPr/>
        <w:t>jefas</w:t>
      </w:r>
      <w:r>
        <w:rPr>
          <w:spacing w:val="-16"/>
        </w:rPr>
        <w:t> </w:t>
      </w:r>
      <w:r>
        <w:rPr/>
        <w:t>que</w:t>
      </w:r>
      <w:r>
        <w:rPr>
          <w:spacing w:val="-15"/>
        </w:rPr>
        <w:t> </w:t>
      </w:r>
      <w:r>
        <w:rPr/>
        <w:t>enfrentaban pobreza tanto por LP como por IPM presentaban una tasa de desempleo del 4,45%, cifra que contrasta fuertemente con el</w:t>
      </w:r>
      <w:r>
        <w:rPr>
          <w:spacing w:val="-4"/>
        </w:rPr>
        <w:t> </w:t>
      </w:r>
      <w:r>
        <w:rPr/>
        <w:t>1,44%</w:t>
      </w:r>
      <w:r>
        <w:rPr>
          <w:spacing w:val="-3"/>
        </w:rPr>
        <w:t> </w:t>
      </w:r>
      <w:r>
        <w:rPr/>
        <w:t>observado entre</w:t>
      </w:r>
      <w:r>
        <w:rPr>
          <w:spacing w:val="-2"/>
        </w:rPr>
        <w:t> </w:t>
      </w:r>
      <w:r>
        <w:rPr/>
        <w:t>quienes no estaban en situación de pobreza.</w:t>
      </w:r>
    </w:p>
    <w:p>
      <w:pPr>
        <w:pStyle w:val="BodyText"/>
        <w:spacing w:before="252"/>
        <w:ind w:left="979" w:right="1349"/>
        <w:jc w:val="both"/>
      </w:pPr>
      <w:r>
        <w:rPr/>
        <w:t>En</w:t>
      </w:r>
      <w:r>
        <w:rPr>
          <w:spacing w:val="-6"/>
        </w:rPr>
        <w:t> </w:t>
      </w:r>
      <w:r>
        <w:rPr/>
        <w:t>2024,</w:t>
      </w:r>
      <w:r>
        <w:rPr>
          <w:spacing w:val="-2"/>
        </w:rPr>
        <w:t> </w:t>
      </w:r>
      <w:r>
        <w:rPr/>
        <w:t>estas</w:t>
      </w:r>
      <w:r>
        <w:rPr>
          <w:spacing w:val="-7"/>
        </w:rPr>
        <w:t> </w:t>
      </w:r>
      <w:r>
        <w:rPr/>
        <w:t>brechas</w:t>
      </w:r>
      <w:r>
        <w:rPr>
          <w:spacing w:val="-3"/>
        </w:rPr>
        <w:t> </w:t>
      </w:r>
      <w:r>
        <w:rPr/>
        <w:t>se</w:t>
      </w:r>
      <w:r>
        <w:rPr>
          <w:spacing w:val="-6"/>
        </w:rPr>
        <w:t> </w:t>
      </w:r>
      <w:r>
        <w:rPr/>
        <w:t>profundizan.</w:t>
      </w:r>
      <w:r>
        <w:rPr>
          <w:spacing w:val="-6"/>
        </w:rPr>
        <w:t> </w:t>
      </w:r>
      <w:r>
        <w:rPr/>
        <w:t>El</w:t>
      </w:r>
      <w:r>
        <w:rPr>
          <w:spacing w:val="-4"/>
        </w:rPr>
        <w:t> </w:t>
      </w:r>
      <w:r>
        <w:rPr/>
        <w:t>desempleo</w:t>
      </w:r>
      <w:r>
        <w:rPr>
          <w:spacing w:val="-6"/>
        </w:rPr>
        <w:t> </w:t>
      </w:r>
      <w:r>
        <w:rPr/>
        <w:t>abierto</w:t>
      </w:r>
      <w:r>
        <w:rPr>
          <w:spacing w:val="-2"/>
        </w:rPr>
        <w:t> </w:t>
      </w:r>
      <w:r>
        <w:rPr/>
        <w:t>entre</w:t>
      </w:r>
      <w:r>
        <w:rPr>
          <w:spacing w:val="-6"/>
        </w:rPr>
        <w:t> </w:t>
      </w:r>
      <w:r>
        <w:rPr/>
        <w:t>jefaturas</w:t>
      </w:r>
      <w:r>
        <w:rPr>
          <w:spacing w:val="-7"/>
        </w:rPr>
        <w:t> </w:t>
      </w:r>
      <w:r>
        <w:rPr/>
        <w:t>femeninas</w:t>
      </w:r>
      <w:r>
        <w:rPr>
          <w:spacing w:val="-3"/>
        </w:rPr>
        <w:t> </w:t>
      </w:r>
      <w:r>
        <w:rPr/>
        <w:t>se elevó a 2,82%. Las mujeres pobres únicamente por LP mostraron una tasa de 7,61%, mientras que aquellas pobres por IPM llegaron al 4,12%. Las jefas de hogar que enfrentaban pobreza en ambas dimensiones alcanzaron un preocupante 6,94% de desempleo abierto, más del cuádruple en comparación con las jefas no pobres (1,41%).</w:t>
      </w:r>
    </w:p>
    <w:p>
      <w:pPr>
        <w:pStyle w:val="BodyText"/>
        <w:spacing w:before="3"/>
      </w:pPr>
    </w:p>
    <w:p>
      <w:pPr>
        <w:pStyle w:val="BodyText"/>
        <w:spacing w:before="1"/>
        <w:ind w:left="979" w:right="1334"/>
        <w:jc w:val="both"/>
      </w:pPr>
      <w:r>
        <w:rPr/>
        <w:t>Estos resultados reflejan un fenómeno persistente de exclusión laboral de las mujeres en condiciones de pobreza, especialmente de aquellas que enfrentan múltiples carencias sociales. La mayor concentración de pobreza en ocupaciones precarias, como lo destaca el gráfico 16, demuestra que las mujeres jefas de hogar con menor calificación enfrentan mayores obstáculos para acceder al empleo formal y estable. Esto sugiere que la segmentación del mercado laboral no solo perpetúa desigualdades económicas, sino que también tiene un fuerte componente de género.</w:t>
      </w:r>
    </w:p>
    <w:p>
      <w:pPr>
        <w:pStyle w:val="BodyText"/>
        <w:spacing w:before="251"/>
        <w:ind w:left="979" w:right="1340"/>
        <w:jc w:val="both"/>
      </w:pPr>
      <w:r>
        <w:rPr/>
        <w:t>En</w:t>
      </w:r>
      <w:r>
        <w:rPr>
          <w:spacing w:val="-5"/>
        </w:rPr>
        <w:t> </w:t>
      </w:r>
      <w:r>
        <w:rPr/>
        <w:t>consecuencia,</w:t>
      </w:r>
      <w:r>
        <w:rPr>
          <w:spacing w:val="-6"/>
        </w:rPr>
        <w:t> </w:t>
      </w:r>
      <w:r>
        <w:rPr/>
        <w:t>las</w:t>
      </w:r>
      <w:r>
        <w:rPr>
          <w:spacing w:val="-7"/>
        </w:rPr>
        <w:t> </w:t>
      </w:r>
      <w:r>
        <w:rPr/>
        <w:t>jefaturas</w:t>
      </w:r>
      <w:r>
        <w:rPr>
          <w:spacing w:val="-7"/>
        </w:rPr>
        <w:t> </w:t>
      </w:r>
      <w:r>
        <w:rPr/>
        <w:t>femeninas</w:t>
      </w:r>
      <w:r>
        <w:rPr>
          <w:spacing w:val="-7"/>
        </w:rPr>
        <w:t> </w:t>
      </w:r>
      <w:r>
        <w:rPr/>
        <w:t>pobres</w:t>
      </w:r>
      <w:r>
        <w:rPr>
          <w:spacing w:val="-12"/>
        </w:rPr>
        <w:t> </w:t>
      </w:r>
      <w:r>
        <w:rPr/>
        <w:t>están</w:t>
      </w:r>
      <w:r>
        <w:rPr>
          <w:spacing w:val="-5"/>
        </w:rPr>
        <w:t> </w:t>
      </w:r>
      <w:r>
        <w:rPr/>
        <w:t>sobrerrepresentadas</w:t>
      </w:r>
      <w:r>
        <w:rPr>
          <w:spacing w:val="-7"/>
        </w:rPr>
        <w:t> </w:t>
      </w:r>
      <w:r>
        <w:rPr/>
        <w:t>en</w:t>
      </w:r>
      <w:r>
        <w:rPr>
          <w:spacing w:val="-5"/>
        </w:rPr>
        <w:t> </w:t>
      </w:r>
      <w:r>
        <w:rPr/>
        <w:t>los</w:t>
      </w:r>
      <w:r>
        <w:rPr>
          <w:spacing w:val="-7"/>
        </w:rPr>
        <w:t> </w:t>
      </w:r>
      <w:r>
        <w:rPr/>
        <w:t>tramos más altos de desempleo y, al mismo tiempo, subrepresentadas en las ocupaciones con menores tasas de pobreza. Esta doble desventaja—por género y por situación socioeconómica—subraya la necesidad de fortalecer las políticas públicas de inclusión laboral con enfoque de género, ampliar las oportunidades de empleo digno y mejorar el acceso a servicios de cuidado y capacitación. Solo así será posible reducir las brechas estructurales que condicionan la vida de miles de mujeres jefas de hogar en Costa Rica.</w:t>
      </w:r>
    </w:p>
    <w:p>
      <w:pPr>
        <w:pStyle w:val="BodyText"/>
        <w:spacing w:before="2"/>
      </w:pPr>
    </w:p>
    <w:p>
      <w:pPr>
        <w:pStyle w:val="BodyText"/>
        <w:ind w:left="979" w:right="1335"/>
        <w:jc w:val="both"/>
      </w:pPr>
      <w:r>
        <w:rPr/>
        <w:t>En el contexto de la lucha contra la pobreza y la desigualdad, el nivel educativo de las personas adultas, especialmente de quienes encabezan los hogares, es un factor determinante para el bienestar familiar y social. La educación influye no solo en las oportunidades</w:t>
      </w:r>
      <w:r>
        <w:rPr>
          <w:spacing w:val="-2"/>
        </w:rPr>
        <w:t> </w:t>
      </w:r>
      <w:r>
        <w:rPr/>
        <w:t>laborales</w:t>
      </w:r>
      <w:r>
        <w:rPr>
          <w:spacing w:val="-6"/>
        </w:rPr>
        <w:t> </w:t>
      </w:r>
      <w:r>
        <w:rPr/>
        <w:t>y</w:t>
      </w:r>
      <w:r>
        <w:rPr>
          <w:spacing w:val="-6"/>
        </w:rPr>
        <w:t> </w:t>
      </w:r>
      <w:r>
        <w:rPr/>
        <w:t>el</w:t>
      </w:r>
      <w:r>
        <w:rPr>
          <w:spacing w:val="-3"/>
        </w:rPr>
        <w:t> </w:t>
      </w:r>
      <w:r>
        <w:rPr/>
        <w:t>ingreso,</w:t>
      </w:r>
      <w:r>
        <w:rPr>
          <w:spacing w:val="-5"/>
        </w:rPr>
        <w:t> </w:t>
      </w:r>
      <w:r>
        <w:rPr/>
        <w:t>sino</w:t>
      </w:r>
      <w:r>
        <w:rPr>
          <w:spacing w:val="-1"/>
        </w:rPr>
        <w:t> </w:t>
      </w:r>
      <w:r>
        <w:rPr/>
        <w:t>también</w:t>
      </w:r>
      <w:r>
        <w:rPr>
          <w:spacing w:val="-4"/>
        </w:rPr>
        <w:t> </w:t>
      </w:r>
      <w:r>
        <w:rPr/>
        <w:t>en</w:t>
      </w:r>
      <w:r>
        <w:rPr>
          <w:spacing w:val="-4"/>
        </w:rPr>
        <w:t> </w:t>
      </w:r>
      <w:r>
        <w:rPr/>
        <w:t>el</w:t>
      </w:r>
      <w:r>
        <w:rPr>
          <w:spacing w:val="-7"/>
        </w:rPr>
        <w:t> </w:t>
      </w:r>
      <w:r>
        <w:rPr/>
        <w:t>acceso</w:t>
      </w:r>
      <w:r>
        <w:rPr>
          <w:spacing w:val="-4"/>
        </w:rPr>
        <w:t> </w:t>
      </w:r>
      <w:r>
        <w:rPr/>
        <w:t>a</w:t>
      </w:r>
      <w:r>
        <w:rPr>
          <w:spacing w:val="-4"/>
        </w:rPr>
        <w:t> </w:t>
      </w:r>
      <w:r>
        <w:rPr/>
        <w:t>derechos</w:t>
      </w:r>
      <w:r>
        <w:rPr>
          <w:spacing w:val="-6"/>
        </w:rPr>
        <w:t> </w:t>
      </w:r>
      <w:r>
        <w:rPr/>
        <w:t>fundamentales y a una mejor calidad de vida. En este sentido, el gráfico 17 muestra la evolución del porcentaje de jefaturas de hogar de 24 años o más que no han completado la educación secundaria, desglosado por situación de pobreza, durante los años 2023 y 2024. Este análisis permite identificar tendencias y desafíos en la reducción del rezago educativo en diferentes segmentos sociales.</w:t>
      </w:r>
    </w:p>
    <w:p>
      <w:pPr>
        <w:pStyle w:val="BodyText"/>
        <w:spacing w:after="0"/>
        <w:jc w:val="both"/>
        <w:sectPr>
          <w:pgSz w:w="12240" w:h="15840"/>
          <w:pgMar w:header="0" w:footer="1021" w:top="1540" w:bottom="1220" w:left="720" w:right="360"/>
        </w:sectPr>
      </w:pPr>
    </w:p>
    <w:p>
      <w:pPr>
        <w:pStyle w:val="Heading2"/>
        <w:spacing w:before="76"/>
        <w:ind w:left="1095" w:right="1330" w:firstLine="7"/>
        <w:jc w:val="center"/>
      </w:pPr>
      <w:bookmarkStart w:name="_bookmark37" w:id="38"/>
      <w:bookmarkEnd w:id="38"/>
      <w:r>
        <w:rPr>
          <w:b w:val="0"/>
        </w:rPr>
      </w:r>
      <w:r>
        <w:rPr/>
        <w:t>Gráfico 17: Porcentaje de hogares con jefatura de 24 años o más sin educación secundaria</w:t>
      </w:r>
      <w:r>
        <w:rPr>
          <w:spacing w:val="-6"/>
        </w:rPr>
        <w:t> </w:t>
      </w:r>
      <w:r>
        <w:rPr/>
        <w:t>completa</w:t>
      </w:r>
      <w:r>
        <w:rPr>
          <w:spacing w:val="-6"/>
        </w:rPr>
        <w:t> </w:t>
      </w:r>
      <w:r>
        <w:rPr/>
        <w:t>según</w:t>
      </w:r>
      <w:r>
        <w:rPr>
          <w:spacing w:val="-9"/>
        </w:rPr>
        <w:t> </w:t>
      </w:r>
      <w:r>
        <w:rPr/>
        <w:t>clasificación</w:t>
      </w:r>
      <w:r>
        <w:rPr>
          <w:spacing w:val="-4"/>
        </w:rPr>
        <w:t> </w:t>
      </w:r>
      <w:r>
        <w:rPr/>
        <w:t>de</w:t>
      </w:r>
      <w:r>
        <w:rPr>
          <w:spacing w:val="-7"/>
        </w:rPr>
        <w:t> </w:t>
      </w:r>
      <w:r>
        <w:rPr/>
        <w:t>pobreza</w:t>
      </w:r>
      <w:r>
        <w:rPr>
          <w:spacing w:val="-6"/>
        </w:rPr>
        <w:t> </w:t>
      </w:r>
      <w:r>
        <w:rPr/>
        <w:t>por</w:t>
      </w:r>
      <w:r>
        <w:rPr>
          <w:spacing w:val="-4"/>
        </w:rPr>
        <w:t> </w:t>
      </w:r>
      <w:r>
        <w:rPr/>
        <w:t>método</w:t>
      </w:r>
      <w:r>
        <w:rPr>
          <w:spacing w:val="-4"/>
        </w:rPr>
        <w:t> </w:t>
      </w:r>
      <w:r>
        <w:rPr/>
        <w:t>combinado.</w:t>
      </w:r>
      <w:r>
        <w:rPr>
          <w:spacing w:val="-3"/>
        </w:rPr>
        <w:t> </w:t>
      </w:r>
      <w:r>
        <w:rPr/>
        <w:t>Costa Rica 2023-2024</w:t>
      </w:r>
    </w:p>
    <w:p>
      <w:pPr>
        <w:pStyle w:val="BodyText"/>
        <w:spacing w:before="5"/>
        <w:rPr>
          <w:b/>
          <w:sz w:val="8"/>
        </w:rPr>
      </w:pPr>
      <w:r>
        <w:rPr>
          <w:b/>
          <w:sz w:val="8"/>
        </w:rPr>
        <w:drawing>
          <wp:anchor distT="0" distB="0" distL="0" distR="0" allowOverlap="1" layoutInCell="1" locked="0" behindDoc="1" simplePos="0" relativeHeight="487598080">
            <wp:simplePos x="0" y="0"/>
            <wp:positionH relativeFrom="page">
              <wp:posOffset>1169035</wp:posOffset>
            </wp:positionH>
            <wp:positionV relativeFrom="paragraph">
              <wp:posOffset>76875</wp:posOffset>
            </wp:positionV>
            <wp:extent cx="5367051" cy="3088767"/>
            <wp:effectExtent l="0" t="0" r="0" b="0"/>
            <wp:wrapTopAndBottom/>
            <wp:docPr id="76" name="Image 76" descr="Gráfico, Gráfico de barras  El contenido generado por IA puede ser incorrecto."/>
            <wp:cNvGraphicFramePr>
              <a:graphicFrameLocks/>
            </wp:cNvGraphicFramePr>
            <a:graphic>
              <a:graphicData uri="http://schemas.openxmlformats.org/drawingml/2006/picture">
                <pic:pic>
                  <pic:nvPicPr>
                    <pic:cNvPr id="76" name="Image 76" descr="Gráfico, Gráfico de barras  El contenido generado por IA puede ser incorrecto."/>
                    <pic:cNvPicPr/>
                  </pic:nvPicPr>
                  <pic:blipFill>
                    <a:blip r:embed="rId55" cstate="print"/>
                    <a:stretch>
                      <a:fillRect/>
                    </a:stretch>
                  </pic:blipFill>
                  <pic:spPr>
                    <a:xfrm>
                      <a:off x="0" y="0"/>
                      <a:ext cx="5367051" cy="3088767"/>
                    </a:xfrm>
                    <a:prstGeom prst="rect">
                      <a:avLst/>
                    </a:prstGeom>
                  </pic:spPr>
                </pic:pic>
              </a:graphicData>
            </a:graphic>
          </wp:anchor>
        </w:drawing>
      </w:r>
    </w:p>
    <w:p>
      <w:pPr>
        <w:spacing w:before="7"/>
        <w:ind w:left="979" w:right="1346" w:firstLine="0"/>
        <w:jc w:val="both"/>
        <w:rPr>
          <w:sz w:val="18"/>
        </w:rPr>
      </w:pPr>
      <w:r>
        <w:rPr>
          <w:sz w:val="18"/>
        </w:rPr>
        <w:t>Fuente: Elaboración propia a partir de datos de la Encuesta Nacional de Hogares (ENAHO) 2023 y 2024, extraídos del sistema REDATAM del Instituto Nacional de Estadística y Censos (INEC).</w:t>
      </w:r>
    </w:p>
    <w:p>
      <w:pPr>
        <w:pStyle w:val="BodyText"/>
        <w:spacing w:before="67"/>
        <w:rPr>
          <w:sz w:val="18"/>
        </w:rPr>
      </w:pPr>
    </w:p>
    <w:p>
      <w:pPr>
        <w:pStyle w:val="BodyText"/>
        <w:ind w:left="979" w:right="1346"/>
        <w:jc w:val="both"/>
      </w:pPr>
      <w:r>
        <w:rPr/>
        <w:t>Según</w:t>
      </w:r>
      <w:r>
        <w:rPr>
          <w:spacing w:val="-7"/>
        </w:rPr>
        <w:t> </w:t>
      </w:r>
      <w:r>
        <w:rPr/>
        <w:t>el</w:t>
      </w:r>
      <w:r>
        <w:rPr>
          <w:spacing w:val="-7"/>
        </w:rPr>
        <w:t> </w:t>
      </w:r>
      <w:r>
        <w:rPr/>
        <w:t>anterior</w:t>
      </w:r>
      <w:r>
        <w:rPr>
          <w:spacing w:val="-12"/>
        </w:rPr>
        <w:t> </w:t>
      </w:r>
      <w:r>
        <w:rPr/>
        <w:t>gráfico,</w:t>
      </w:r>
      <w:r>
        <w:rPr>
          <w:spacing w:val="-1"/>
        </w:rPr>
        <w:t> </w:t>
      </w:r>
      <w:r>
        <w:rPr/>
        <w:t>en</w:t>
      </w:r>
      <w:r>
        <w:rPr>
          <w:spacing w:val="-4"/>
        </w:rPr>
        <w:t> </w:t>
      </w:r>
      <w:r>
        <w:rPr/>
        <w:t>el</w:t>
      </w:r>
      <w:r>
        <w:rPr>
          <w:spacing w:val="-7"/>
        </w:rPr>
        <w:t> </w:t>
      </w:r>
      <w:r>
        <w:rPr/>
        <w:t>grupo</w:t>
      </w:r>
      <w:r>
        <w:rPr>
          <w:spacing w:val="-4"/>
        </w:rPr>
        <w:t> </w:t>
      </w:r>
      <w:r>
        <w:rPr/>
        <w:t>de</w:t>
      </w:r>
      <w:r>
        <w:rPr>
          <w:spacing w:val="-9"/>
        </w:rPr>
        <w:t> </w:t>
      </w:r>
      <w:r>
        <w:rPr/>
        <w:t>personas</w:t>
      </w:r>
      <w:r>
        <w:rPr>
          <w:spacing w:val="-11"/>
        </w:rPr>
        <w:t> </w:t>
      </w:r>
      <w:r>
        <w:rPr/>
        <w:t>no</w:t>
      </w:r>
      <w:r>
        <w:rPr>
          <w:spacing w:val="-4"/>
        </w:rPr>
        <w:t> </w:t>
      </w:r>
      <w:r>
        <w:rPr/>
        <w:t>pobres,</w:t>
      </w:r>
      <w:r>
        <w:rPr>
          <w:spacing w:val="-5"/>
        </w:rPr>
        <w:t> </w:t>
      </w:r>
      <w:r>
        <w:rPr/>
        <w:t>la</w:t>
      </w:r>
      <w:r>
        <w:rPr>
          <w:spacing w:val="-9"/>
        </w:rPr>
        <w:t> </w:t>
      </w:r>
      <w:r>
        <w:rPr/>
        <w:t>proporción</w:t>
      </w:r>
      <w:r>
        <w:rPr>
          <w:spacing w:val="-4"/>
        </w:rPr>
        <w:t> </w:t>
      </w:r>
      <w:r>
        <w:rPr/>
        <w:t>con</w:t>
      </w:r>
      <w:r>
        <w:rPr>
          <w:spacing w:val="-4"/>
        </w:rPr>
        <w:t> </w:t>
      </w:r>
      <w:r>
        <w:rPr/>
        <w:t>secundaria incompleta tuvo un leve aumento, pasando del 52,10% en 2023 al 52,75% en 2024, un incremento</w:t>
      </w:r>
      <w:r>
        <w:rPr>
          <w:spacing w:val="-9"/>
        </w:rPr>
        <w:t> </w:t>
      </w:r>
      <w:r>
        <w:rPr/>
        <w:t>de</w:t>
      </w:r>
      <w:r>
        <w:rPr>
          <w:spacing w:val="-5"/>
        </w:rPr>
        <w:t> </w:t>
      </w:r>
      <w:r>
        <w:rPr/>
        <w:t>0,65</w:t>
      </w:r>
      <w:r>
        <w:rPr>
          <w:spacing w:val="-5"/>
        </w:rPr>
        <w:t> </w:t>
      </w:r>
      <w:r>
        <w:rPr/>
        <w:t>puntos</w:t>
      </w:r>
      <w:r>
        <w:rPr>
          <w:spacing w:val="-7"/>
        </w:rPr>
        <w:t> </w:t>
      </w:r>
      <w:r>
        <w:rPr/>
        <w:t>porcentuales.</w:t>
      </w:r>
      <w:r>
        <w:rPr>
          <w:spacing w:val="-6"/>
        </w:rPr>
        <w:t> </w:t>
      </w:r>
      <w:r>
        <w:rPr/>
        <w:t>Esto</w:t>
      </w:r>
      <w:r>
        <w:rPr>
          <w:spacing w:val="-5"/>
        </w:rPr>
        <w:t> </w:t>
      </w:r>
      <w:r>
        <w:rPr/>
        <w:t>indica</w:t>
      </w:r>
      <w:r>
        <w:rPr>
          <w:spacing w:val="-5"/>
        </w:rPr>
        <w:t> </w:t>
      </w:r>
      <w:r>
        <w:rPr/>
        <w:t>que,</w:t>
      </w:r>
      <w:r>
        <w:rPr>
          <w:spacing w:val="-6"/>
        </w:rPr>
        <w:t> </w:t>
      </w:r>
      <w:r>
        <w:rPr/>
        <w:t>aunque</w:t>
      </w:r>
      <w:r>
        <w:rPr>
          <w:spacing w:val="-5"/>
        </w:rPr>
        <w:t> </w:t>
      </w:r>
      <w:r>
        <w:rPr/>
        <w:t>estas</w:t>
      </w:r>
      <w:r>
        <w:rPr>
          <w:spacing w:val="-11"/>
        </w:rPr>
        <w:t> </w:t>
      </w:r>
      <w:r>
        <w:rPr/>
        <w:t>personas</w:t>
      </w:r>
      <w:r>
        <w:rPr>
          <w:spacing w:val="-7"/>
        </w:rPr>
        <w:t> </w:t>
      </w:r>
      <w:r>
        <w:rPr/>
        <w:t>no</w:t>
      </w:r>
      <w:r>
        <w:rPr>
          <w:spacing w:val="-9"/>
        </w:rPr>
        <w:t> </w:t>
      </w:r>
      <w:r>
        <w:rPr/>
        <w:t>están en</w:t>
      </w:r>
      <w:r>
        <w:rPr>
          <w:spacing w:val="-16"/>
        </w:rPr>
        <w:t> </w:t>
      </w:r>
      <w:r>
        <w:rPr/>
        <w:t>situación</w:t>
      </w:r>
      <w:r>
        <w:rPr>
          <w:spacing w:val="-15"/>
        </w:rPr>
        <w:t> </w:t>
      </w:r>
      <w:r>
        <w:rPr/>
        <w:t>de</w:t>
      </w:r>
      <w:r>
        <w:rPr>
          <w:spacing w:val="-15"/>
        </w:rPr>
        <w:t> </w:t>
      </w:r>
      <w:r>
        <w:rPr/>
        <w:t>pobreza,</w:t>
      </w:r>
      <w:r>
        <w:rPr>
          <w:spacing w:val="-16"/>
        </w:rPr>
        <w:t> </w:t>
      </w:r>
      <w:r>
        <w:rPr/>
        <w:t>más</w:t>
      </w:r>
      <w:r>
        <w:rPr>
          <w:spacing w:val="-15"/>
        </w:rPr>
        <w:t> </w:t>
      </w:r>
      <w:r>
        <w:rPr/>
        <w:t>de</w:t>
      </w:r>
      <w:r>
        <w:rPr>
          <w:spacing w:val="-15"/>
        </w:rPr>
        <w:t> </w:t>
      </w:r>
      <w:r>
        <w:rPr/>
        <w:t>la</w:t>
      </w:r>
      <w:r>
        <w:rPr>
          <w:spacing w:val="-15"/>
        </w:rPr>
        <w:t> </w:t>
      </w:r>
      <w:r>
        <w:rPr/>
        <w:t>mitad</w:t>
      </w:r>
      <w:r>
        <w:rPr>
          <w:spacing w:val="-16"/>
        </w:rPr>
        <w:t> </w:t>
      </w:r>
      <w:r>
        <w:rPr/>
        <w:t>sigue</w:t>
      </w:r>
      <w:r>
        <w:rPr>
          <w:spacing w:val="-15"/>
        </w:rPr>
        <w:t> </w:t>
      </w:r>
      <w:r>
        <w:rPr/>
        <w:t>con</w:t>
      </w:r>
      <w:r>
        <w:rPr>
          <w:spacing w:val="-15"/>
        </w:rPr>
        <w:t> </w:t>
      </w:r>
      <w:r>
        <w:rPr/>
        <w:t>un</w:t>
      </w:r>
      <w:r>
        <w:rPr>
          <w:spacing w:val="-16"/>
        </w:rPr>
        <w:t> </w:t>
      </w:r>
      <w:r>
        <w:rPr/>
        <w:t>nivel</w:t>
      </w:r>
      <w:r>
        <w:rPr>
          <w:spacing w:val="-15"/>
        </w:rPr>
        <w:t> </w:t>
      </w:r>
      <w:r>
        <w:rPr/>
        <w:t>educativo</w:t>
      </w:r>
      <w:r>
        <w:rPr>
          <w:spacing w:val="-15"/>
        </w:rPr>
        <w:t> </w:t>
      </w:r>
      <w:r>
        <w:rPr/>
        <w:t>limitado,</w:t>
      </w:r>
      <w:r>
        <w:rPr>
          <w:spacing w:val="-15"/>
        </w:rPr>
        <w:t> </w:t>
      </w:r>
      <w:r>
        <w:rPr/>
        <w:t>lo</w:t>
      </w:r>
      <w:r>
        <w:rPr>
          <w:spacing w:val="-15"/>
        </w:rPr>
        <w:t> </w:t>
      </w:r>
      <w:r>
        <w:rPr/>
        <w:t>que</w:t>
      </w:r>
      <w:r>
        <w:rPr>
          <w:spacing w:val="-14"/>
        </w:rPr>
        <w:t> </w:t>
      </w:r>
      <w:r>
        <w:rPr/>
        <w:t>refleja un desafío estructural en el sistema educativo que no depende exclusivamente de la situación económica.</w:t>
      </w:r>
    </w:p>
    <w:p>
      <w:pPr>
        <w:pStyle w:val="BodyText"/>
      </w:pPr>
    </w:p>
    <w:p>
      <w:pPr>
        <w:pStyle w:val="BodyText"/>
        <w:spacing w:before="1"/>
        <w:ind w:left="979" w:right="1349"/>
        <w:jc w:val="both"/>
      </w:pPr>
      <w:r>
        <w:rPr/>
        <w:t>En</w:t>
      </w:r>
      <w:r>
        <w:rPr>
          <w:spacing w:val="-4"/>
        </w:rPr>
        <w:t> </w:t>
      </w:r>
      <w:r>
        <w:rPr/>
        <w:t>el</w:t>
      </w:r>
      <w:r>
        <w:rPr>
          <w:spacing w:val="-7"/>
        </w:rPr>
        <w:t> </w:t>
      </w:r>
      <w:r>
        <w:rPr/>
        <w:t>caso</w:t>
      </w:r>
      <w:r>
        <w:rPr>
          <w:spacing w:val="-4"/>
        </w:rPr>
        <w:t> </w:t>
      </w:r>
      <w:r>
        <w:rPr/>
        <w:t>de</w:t>
      </w:r>
      <w:r>
        <w:rPr>
          <w:spacing w:val="-9"/>
        </w:rPr>
        <w:t> </w:t>
      </w:r>
      <w:r>
        <w:rPr/>
        <w:t>quienes</w:t>
      </w:r>
      <w:r>
        <w:rPr>
          <w:spacing w:val="-2"/>
        </w:rPr>
        <w:t> </w:t>
      </w:r>
      <w:r>
        <w:rPr/>
        <w:t>son</w:t>
      </w:r>
      <w:r>
        <w:rPr>
          <w:spacing w:val="-9"/>
        </w:rPr>
        <w:t> </w:t>
      </w:r>
      <w:r>
        <w:rPr/>
        <w:t>pobres</w:t>
      </w:r>
      <w:r>
        <w:rPr>
          <w:spacing w:val="-6"/>
        </w:rPr>
        <w:t> </w:t>
      </w:r>
      <w:r>
        <w:rPr/>
        <w:t>por</w:t>
      </w:r>
      <w:r>
        <w:rPr>
          <w:spacing w:val="-8"/>
        </w:rPr>
        <w:t> </w:t>
      </w:r>
      <w:r>
        <w:rPr/>
        <w:t>el</w:t>
      </w:r>
      <w:r>
        <w:rPr>
          <w:spacing w:val="-2"/>
        </w:rPr>
        <w:t> </w:t>
      </w:r>
      <w:r>
        <w:rPr/>
        <w:t>Índice</w:t>
      </w:r>
      <w:r>
        <w:rPr>
          <w:spacing w:val="-4"/>
        </w:rPr>
        <w:t> </w:t>
      </w:r>
      <w:r>
        <w:rPr/>
        <w:t>de</w:t>
      </w:r>
      <w:r>
        <w:rPr>
          <w:spacing w:val="-4"/>
        </w:rPr>
        <w:t> </w:t>
      </w:r>
      <w:r>
        <w:rPr/>
        <w:t>Pobreza</w:t>
      </w:r>
      <w:r>
        <w:rPr>
          <w:spacing w:val="-4"/>
        </w:rPr>
        <w:t> </w:t>
      </w:r>
      <w:r>
        <w:rPr/>
        <w:t>Multidimensional</w:t>
      </w:r>
      <w:r>
        <w:rPr>
          <w:spacing w:val="-2"/>
        </w:rPr>
        <w:t> </w:t>
      </w:r>
      <w:r>
        <w:rPr/>
        <w:t>(IPM)</w:t>
      </w:r>
      <w:r>
        <w:rPr>
          <w:spacing w:val="-8"/>
        </w:rPr>
        <w:t> </w:t>
      </w:r>
      <w:r>
        <w:rPr/>
        <w:t>pero</w:t>
      </w:r>
      <w:r>
        <w:rPr>
          <w:spacing w:val="-4"/>
        </w:rPr>
        <w:t> </w:t>
      </w:r>
      <w:r>
        <w:rPr/>
        <w:t>no por ingresos, la ilustración evidencia una ligera mejora. El porcentaje con secundaria incompleta disminuyó de 92,08% a 91,29%, mostrando una reducción de 0,79 puntos porcentuales. Este dato sugiere que, aunque las carencias en servicios básicos, salud y vivienda persisten, hay avances modestos en el acceso o permanencia escolar.</w:t>
      </w:r>
    </w:p>
    <w:p>
      <w:pPr>
        <w:pStyle w:val="BodyText"/>
        <w:spacing w:before="252"/>
        <w:ind w:left="979" w:right="1336"/>
        <w:jc w:val="both"/>
      </w:pPr>
      <w:r>
        <w:rPr/>
        <w:t>De</w:t>
      </w:r>
      <w:r>
        <w:rPr>
          <w:spacing w:val="-16"/>
        </w:rPr>
        <w:t> </w:t>
      </w:r>
      <w:r>
        <w:rPr/>
        <w:t>manera</w:t>
      </w:r>
      <w:r>
        <w:rPr>
          <w:spacing w:val="-12"/>
        </w:rPr>
        <w:t> </w:t>
      </w:r>
      <w:r>
        <w:rPr/>
        <w:t>más</w:t>
      </w:r>
      <w:r>
        <w:rPr>
          <w:spacing w:val="-15"/>
        </w:rPr>
        <w:t> </w:t>
      </w:r>
      <w:r>
        <w:rPr/>
        <w:t>marcada,</w:t>
      </w:r>
      <w:r>
        <w:rPr>
          <w:spacing w:val="-14"/>
        </w:rPr>
        <w:t> </w:t>
      </w:r>
      <w:r>
        <w:rPr/>
        <w:t>el</w:t>
      </w:r>
      <w:r>
        <w:rPr>
          <w:spacing w:val="-16"/>
        </w:rPr>
        <w:t> </w:t>
      </w:r>
      <w:r>
        <w:rPr/>
        <w:t>grupo</w:t>
      </w:r>
      <w:r>
        <w:rPr>
          <w:spacing w:val="-12"/>
        </w:rPr>
        <w:t> </w:t>
      </w:r>
      <w:r>
        <w:rPr/>
        <w:t>que</w:t>
      </w:r>
      <w:r>
        <w:rPr>
          <w:spacing w:val="-16"/>
        </w:rPr>
        <w:t> </w:t>
      </w:r>
      <w:r>
        <w:rPr/>
        <w:t>es</w:t>
      </w:r>
      <w:r>
        <w:rPr>
          <w:spacing w:val="-14"/>
        </w:rPr>
        <w:t> </w:t>
      </w:r>
      <w:r>
        <w:rPr/>
        <w:t>pobre</w:t>
      </w:r>
      <w:r>
        <w:rPr>
          <w:spacing w:val="-13"/>
        </w:rPr>
        <w:t> </w:t>
      </w:r>
      <w:r>
        <w:rPr/>
        <w:t>tanto</w:t>
      </w:r>
      <w:r>
        <w:rPr>
          <w:spacing w:val="-16"/>
        </w:rPr>
        <w:t> </w:t>
      </w:r>
      <w:r>
        <w:rPr/>
        <w:t>por</w:t>
      </w:r>
      <w:r>
        <w:rPr>
          <w:spacing w:val="-15"/>
        </w:rPr>
        <w:t> </w:t>
      </w:r>
      <w:r>
        <w:rPr/>
        <w:t>IPM</w:t>
      </w:r>
      <w:r>
        <w:rPr>
          <w:spacing w:val="-15"/>
        </w:rPr>
        <w:t> </w:t>
      </w:r>
      <w:r>
        <w:rPr/>
        <w:t>como</w:t>
      </w:r>
      <w:r>
        <w:rPr>
          <w:spacing w:val="-12"/>
        </w:rPr>
        <w:t> </w:t>
      </w:r>
      <w:r>
        <w:rPr/>
        <w:t>por</w:t>
      </w:r>
      <w:r>
        <w:rPr>
          <w:spacing w:val="-16"/>
        </w:rPr>
        <w:t> </w:t>
      </w:r>
      <w:r>
        <w:rPr/>
        <w:t>la</w:t>
      </w:r>
      <w:r>
        <w:rPr>
          <w:spacing w:val="-12"/>
        </w:rPr>
        <w:t> </w:t>
      </w:r>
      <w:r>
        <w:rPr/>
        <w:t>línea</w:t>
      </w:r>
      <w:r>
        <w:rPr>
          <w:spacing w:val="-13"/>
        </w:rPr>
        <w:t> </w:t>
      </w:r>
      <w:r>
        <w:rPr/>
        <w:t>de</w:t>
      </w:r>
      <w:r>
        <w:rPr>
          <w:spacing w:val="-13"/>
        </w:rPr>
        <w:t> </w:t>
      </w:r>
      <w:r>
        <w:rPr/>
        <w:t>pobreza (LP)</w:t>
      </w:r>
      <w:r>
        <w:rPr>
          <w:spacing w:val="-16"/>
        </w:rPr>
        <w:t> </w:t>
      </w:r>
      <w:r>
        <w:rPr/>
        <w:t>presenta</w:t>
      </w:r>
      <w:r>
        <w:rPr>
          <w:spacing w:val="-15"/>
        </w:rPr>
        <w:t> </w:t>
      </w:r>
      <w:r>
        <w:rPr/>
        <w:t>una</w:t>
      </w:r>
      <w:r>
        <w:rPr>
          <w:spacing w:val="-15"/>
        </w:rPr>
        <w:t> </w:t>
      </w:r>
      <w:r>
        <w:rPr/>
        <w:t>disminución</w:t>
      </w:r>
      <w:r>
        <w:rPr>
          <w:spacing w:val="-16"/>
        </w:rPr>
        <w:t> </w:t>
      </w:r>
      <w:r>
        <w:rPr/>
        <w:t>más</w:t>
      </w:r>
      <w:r>
        <w:rPr>
          <w:spacing w:val="-15"/>
        </w:rPr>
        <w:t> </w:t>
      </w:r>
      <w:r>
        <w:rPr/>
        <w:t>significativa</w:t>
      </w:r>
      <w:r>
        <w:rPr>
          <w:spacing w:val="-15"/>
        </w:rPr>
        <w:t> </w:t>
      </w:r>
      <w:r>
        <w:rPr/>
        <w:t>en</w:t>
      </w:r>
      <w:r>
        <w:rPr>
          <w:spacing w:val="-15"/>
        </w:rPr>
        <w:t> </w:t>
      </w:r>
      <w:r>
        <w:rPr/>
        <w:t>el</w:t>
      </w:r>
      <w:r>
        <w:rPr>
          <w:spacing w:val="-16"/>
        </w:rPr>
        <w:t> </w:t>
      </w:r>
      <w:r>
        <w:rPr/>
        <w:t>rezago</w:t>
      </w:r>
      <w:r>
        <w:rPr>
          <w:spacing w:val="-15"/>
        </w:rPr>
        <w:t> </w:t>
      </w:r>
      <w:r>
        <w:rPr/>
        <w:t>educativo,</w:t>
      </w:r>
      <w:r>
        <w:rPr>
          <w:spacing w:val="-15"/>
        </w:rPr>
        <w:t> </w:t>
      </w:r>
      <w:r>
        <w:rPr/>
        <w:t>pasando</w:t>
      </w:r>
      <w:r>
        <w:rPr>
          <w:spacing w:val="-16"/>
        </w:rPr>
        <w:t> </w:t>
      </w:r>
      <w:r>
        <w:rPr/>
        <w:t>de</w:t>
      </w:r>
      <w:r>
        <w:rPr>
          <w:spacing w:val="-15"/>
        </w:rPr>
        <w:t> </w:t>
      </w:r>
      <w:r>
        <w:rPr/>
        <w:t>93,68% en</w:t>
      </w:r>
      <w:r>
        <w:rPr>
          <w:spacing w:val="-15"/>
        </w:rPr>
        <w:t> </w:t>
      </w:r>
      <w:r>
        <w:rPr/>
        <w:t>2023</w:t>
      </w:r>
      <w:r>
        <w:rPr>
          <w:spacing w:val="-13"/>
        </w:rPr>
        <w:t> </w:t>
      </w:r>
      <w:r>
        <w:rPr/>
        <w:t>a</w:t>
      </w:r>
      <w:r>
        <w:rPr>
          <w:spacing w:val="-13"/>
        </w:rPr>
        <w:t> </w:t>
      </w:r>
      <w:r>
        <w:rPr/>
        <w:t>91,87%</w:t>
      </w:r>
      <w:r>
        <w:rPr>
          <w:spacing w:val="-14"/>
        </w:rPr>
        <w:t> </w:t>
      </w:r>
      <w:r>
        <w:rPr/>
        <w:t>en</w:t>
      </w:r>
      <w:r>
        <w:rPr>
          <w:spacing w:val="-13"/>
        </w:rPr>
        <w:t> </w:t>
      </w:r>
      <w:r>
        <w:rPr/>
        <w:t>2024,</w:t>
      </w:r>
      <w:r>
        <w:rPr>
          <w:spacing w:val="-14"/>
        </w:rPr>
        <w:t> </w:t>
      </w:r>
      <w:r>
        <w:rPr/>
        <w:t>es</w:t>
      </w:r>
      <w:r>
        <w:rPr>
          <w:spacing w:val="-15"/>
        </w:rPr>
        <w:t> </w:t>
      </w:r>
      <w:r>
        <w:rPr/>
        <w:t>decir,</w:t>
      </w:r>
      <w:r>
        <w:rPr>
          <w:spacing w:val="-14"/>
        </w:rPr>
        <w:t> </w:t>
      </w:r>
      <w:r>
        <w:rPr/>
        <w:t>una</w:t>
      </w:r>
      <w:r>
        <w:rPr>
          <w:spacing w:val="-8"/>
        </w:rPr>
        <w:t> </w:t>
      </w:r>
      <w:r>
        <w:rPr/>
        <w:t>caída</w:t>
      </w:r>
      <w:r>
        <w:rPr>
          <w:spacing w:val="-13"/>
        </w:rPr>
        <w:t> </w:t>
      </w:r>
      <w:r>
        <w:rPr/>
        <w:t>de</w:t>
      </w:r>
      <w:r>
        <w:rPr>
          <w:spacing w:val="-16"/>
        </w:rPr>
        <w:t> </w:t>
      </w:r>
      <w:r>
        <w:rPr/>
        <w:t>1,81</w:t>
      </w:r>
      <w:r>
        <w:rPr>
          <w:spacing w:val="-12"/>
        </w:rPr>
        <w:t> </w:t>
      </w:r>
      <w:r>
        <w:rPr/>
        <w:t>puntos</w:t>
      </w:r>
      <w:r>
        <w:rPr>
          <w:spacing w:val="-10"/>
        </w:rPr>
        <w:t> </w:t>
      </w:r>
      <w:r>
        <w:rPr/>
        <w:t>porcentuales.</w:t>
      </w:r>
      <w:r>
        <w:rPr>
          <w:spacing w:val="-14"/>
        </w:rPr>
        <w:t> </w:t>
      </w:r>
      <w:r>
        <w:rPr/>
        <w:t>Este</w:t>
      </w:r>
      <w:r>
        <w:rPr>
          <w:spacing w:val="-8"/>
        </w:rPr>
        <w:t> </w:t>
      </w:r>
      <w:r>
        <w:rPr/>
        <w:t>resultado indica</w:t>
      </w:r>
      <w:r>
        <w:rPr>
          <w:spacing w:val="-15"/>
        </w:rPr>
        <w:t> </w:t>
      </w:r>
      <w:r>
        <w:rPr/>
        <w:t>que</w:t>
      </w:r>
      <w:r>
        <w:rPr>
          <w:spacing w:val="-8"/>
        </w:rPr>
        <w:t> </w:t>
      </w:r>
      <w:r>
        <w:rPr/>
        <w:t>las</w:t>
      </w:r>
      <w:r>
        <w:rPr>
          <w:spacing w:val="-15"/>
        </w:rPr>
        <w:t> </w:t>
      </w:r>
      <w:r>
        <w:rPr/>
        <w:t>personas</w:t>
      </w:r>
      <w:r>
        <w:rPr>
          <w:spacing w:val="-15"/>
        </w:rPr>
        <w:t> </w:t>
      </w:r>
      <w:r>
        <w:rPr/>
        <w:t>en</w:t>
      </w:r>
      <w:r>
        <w:rPr>
          <w:spacing w:val="-13"/>
        </w:rPr>
        <w:t> </w:t>
      </w:r>
      <w:r>
        <w:rPr/>
        <w:t>pobreza</w:t>
      </w:r>
      <w:r>
        <w:rPr>
          <w:spacing w:val="-13"/>
        </w:rPr>
        <w:t> </w:t>
      </w:r>
      <w:r>
        <w:rPr/>
        <w:t>extrema</w:t>
      </w:r>
      <w:r>
        <w:rPr>
          <w:spacing w:val="-13"/>
        </w:rPr>
        <w:t> </w:t>
      </w:r>
      <w:r>
        <w:rPr/>
        <w:t>están</w:t>
      </w:r>
      <w:r>
        <w:rPr>
          <w:spacing w:val="-16"/>
        </w:rPr>
        <w:t> </w:t>
      </w:r>
      <w:r>
        <w:rPr/>
        <w:t>logrando</w:t>
      </w:r>
      <w:r>
        <w:rPr>
          <w:spacing w:val="-7"/>
        </w:rPr>
        <w:t> </w:t>
      </w:r>
      <w:r>
        <w:rPr/>
        <w:t>avances</w:t>
      </w:r>
      <w:r>
        <w:rPr>
          <w:spacing w:val="-15"/>
        </w:rPr>
        <w:t> </w:t>
      </w:r>
      <w:r>
        <w:rPr/>
        <w:t>en</w:t>
      </w:r>
      <w:r>
        <w:rPr>
          <w:spacing w:val="-8"/>
        </w:rPr>
        <w:t> </w:t>
      </w:r>
      <w:r>
        <w:rPr/>
        <w:t>educación,</w:t>
      </w:r>
      <w:r>
        <w:rPr>
          <w:spacing w:val="-14"/>
        </w:rPr>
        <w:t> </w:t>
      </w:r>
      <w:r>
        <w:rPr/>
        <w:t>aunque el porcentaje sigue siendo muy elevado.</w:t>
      </w:r>
    </w:p>
    <w:p>
      <w:pPr>
        <w:pStyle w:val="BodyText"/>
        <w:spacing w:before="4"/>
      </w:pPr>
    </w:p>
    <w:p>
      <w:pPr>
        <w:pStyle w:val="BodyText"/>
        <w:ind w:left="979" w:right="1335"/>
        <w:jc w:val="both"/>
      </w:pPr>
      <w:r>
        <w:rPr/>
        <w:t>Por</w:t>
      </w:r>
      <w:r>
        <w:rPr>
          <w:spacing w:val="-2"/>
        </w:rPr>
        <w:t> </w:t>
      </w:r>
      <w:r>
        <w:rPr/>
        <w:t>otro lado,</w:t>
      </w:r>
      <w:r>
        <w:rPr>
          <w:spacing w:val="-4"/>
        </w:rPr>
        <w:t> </w:t>
      </w:r>
      <w:r>
        <w:rPr/>
        <w:t>el</w:t>
      </w:r>
      <w:r>
        <w:rPr>
          <w:spacing w:val="-1"/>
        </w:rPr>
        <w:t> </w:t>
      </w:r>
      <w:r>
        <w:rPr/>
        <w:t>segmento que</w:t>
      </w:r>
      <w:r>
        <w:rPr>
          <w:spacing w:val="-3"/>
        </w:rPr>
        <w:t> </w:t>
      </w:r>
      <w:r>
        <w:rPr/>
        <w:t>es pobre solo por</w:t>
      </w:r>
      <w:r>
        <w:rPr>
          <w:spacing w:val="-2"/>
        </w:rPr>
        <w:t> </w:t>
      </w:r>
      <w:r>
        <w:rPr/>
        <w:t>la línea</w:t>
      </w:r>
      <w:r>
        <w:rPr>
          <w:spacing w:val="-3"/>
        </w:rPr>
        <w:t> </w:t>
      </w:r>
      <w:r>
        <w:rPr/>
        <w:t>de</w:t>
      </w:r>
      <w:r>
        <w:rPr>
          <w:spacing w:val="-3"/>
        </w:rPr>
        <w:t> </w:t>
      </w:r>
      <w:r>
        <w:rPr/>
        <w:t>pobreza (LP)</w:t>
      </w:r>
      <w:r>
        <w:rPr>
          <w:spacing w:val="-7"/>
        </w:rPr>
        <w:t> </w:t>
      </w:r>
      <w:r>
        <w:rPr/>
        <w:t>pero</w:t>
      </w:r>
      <w:r>
        <w:rPr>
          <w:spacing w:val="-3"/>
        </w:rPr>
        <w:t> </w:t>
      </w:r>
      <w:r>
        <w:rPr/>
        <w:t>no</w:t>
      </w:r>
      <w:r>
        <w:rPr>
          <w:spacing w:val="-3"/>
        </w:rPr>
        <w:t> </w:t>
      </w:r>
      <w:r>
        <w:rPr/>
        <w:t>por</w:t>
      </w:r>
      <w:r>
        <w:rPr>
          <w:spacing w:val="-2"/>
        </w:rPr>
        <w:t> </w:t>
      </w:r>
      <w:r>
        <w:rPr/>
        <w:t>IPM muestra un ligero retroceso, con un aumento en secundaria incompleta del 81,28% al 82,05%, equivalente a 0,78 puntos</w:t>
      </w:r>
      <w:r>
        <w:rPr>
          <w:spacing w:val="-1"/>
        </w:rPr>
        <w:t> </w:t>
      </w:r>
      <w:r>
        <w:rPr/>
        <w:t>porcentuales. Esto podría señalar un impacto negativo en la educación derivado de limitaciones económicas, incluso cuando otras carencias multidimensionales no están presentes.</w:t>
      </w:r>
    </w:p>
    <w:p>
      <w:pPr>
        <w:pStyle w:val="BodyText"/>
        <w:spacing w:after="0"/>
        <w:jc w:val="both"/>
        <w:sectPr>
          <w:pgSz w:w="12240" w:h="15840"/>
          <w:pgMar w:header="0" w:footer="1021" w:top="1340" w:bottom="1220" w:left="720" w:right="360"/>
        </w:sectPr>
      </w:pPr>
    </w:p>
    <w:p>
      <w:pPr>
        <w:pStyle w:val="BodyText"/>
        <w:spacing w:before="76"/>
        <w:ind w:left="979" w:right="1343"/>
        <w:jc w:val="both"/>
      </w:pPr>
      <w:r>
        <w:rPr/>
        <w:t>Finalmente, el gráfico refleja que, en conjunto, el porcentaje total de jefaturas con secundaria incompleta disminuyó de 61,59% a 60,60%, lo que representa una mejora general de casi un punto porcentual. Esta tendencia, aunque modesta, es alentadora y puede estar vinculada</w:t>
      </w:r>
      <w:r>
        <w:rPr>
          <w:spacing w:val="-1"/>
        </w:rPr>
        <w:t> </w:t>
      </w:r>
      <w:r>
        <w:rPr/>
        <w:t>a políticas educativas o</w:t>
      </w:r>
      <w:r>
        <w:rPr>
          <w:spacing w:val="-1"/>
        </w:rPr>
        <w:t> </w:t>
      </w:r>
      <w:r>
        <w:rPr/>
        <w:t>a cambios</w:t>
      </w:r>
      <w:r>
        <w:rPr>
          <w:spacing w:val="-1"/>
        </w:rPr>
        <w:t> </w:t>
      </w:r>
      <w:r>
        <w:rPr/>
        <w:t>demográficos</w:t>
      </w:r>
      <w:r>
        <w:rPr>
          <w:spacing w:val="-2"/>
        </w:rPr>
        <w:t> </w:t>
      </w:r>
      <w:r>
        <w:rPr/>
        <w:t>en la composición de la población.</w:t>
      </w:r>
    </w:p>
    <w:p>
      <w:pPr>
        <w:pStyle w:val="BodyText"/>
        <w:spacing w:before="253"/>
        <w:ind w:left="979" w:right="1341"/>
        <w:jc w:val="both"/>
      </w:pPr>
      <w:r>
        <w:rPr/>
        <w:t>En conclusión, el gráfico 17 muestra, que, si bien persisten altos niveles de rezago educativo, especialmente entre los grupos más pobres, existen señales de mejora. Sin embargo, el fuerte vínculo entre pobreza y baja escolaridad resalta la urgencia de diseñar e</w:t>
      </w:r>
      <w:r>
        <w:rPr>
          <w:spacing w:val="-11"/>
        </w:rPr>
        <w:t> </w:t>
      </w:r>
      <w:r>
        <w:rPr/>
        <w:t>implementar</w:t>
      </w:r>
      <w:r>
        <w:rPr>
          <w:spacing w:val="-14"/>
        </w:rPr>
        <w:t> </w:t>
      </w:r>
      <w:r>
        <w:rPr/>
        <w:t>políticas</w:t>
      </w:r>
      <w:r>
        <w:rPr>
          <w:spacing w:val="-13"/>
        </w:rPr>
        <w:t> </w:t>
      </w:r>
      <w:r>
        <w:rPr/>
        <w:t>integrales</w:t>
      </w:r>
      <w:r>
        <w:rPr>
          <w:spacing w:val="-13"/>
        </w:rPr>
        <w:t> </w:t>
      </w:r>
      <w:r>
        <w:rPr/>
        <w:t>que</w:t>
      </w:r>
      <w:r>
        <w:rPr>
          <w:spacing w:val="-11"/>
        </w:rPr>
        <w:t> </w:t>
      </w:r>
      <w:r>
        <w:rPr/>
        <w:t>combinen</w:t>
      </w:r>
      <w:r>
        <w:rPr>
          <w:spacing w:val="-11"/>
        </w:rPr>
        <w:t> </w:t>
      </w:r>
      <w:r>
        <w:rPr/>
        <w:t>educación,</w:t>
      </w:r>
      <w:r>
        <w:rPr>
          <w:spacing w:val="-12"/>
        </w:rPr>
        <w:t> </w:t>
      </w:r>
      <w:r>
        <w:rPr/>
        <w:t>inclusión</w:t>
      </w:r>
      <w:r>
        <w:rPr>
          <w:spacing w:val="-11"/>
        </w:rPr>
        <w:t> </w:t>
      </w:r>
      <w:r>
        <w:rPr/>
        <w:t>social</w:t>
      </w:r>
      <w:r>
        <w:rPr>
          <w:spacing w:val="-14"/>
        </w:rPr>
        <w:t> </w:t>
      </w:r>
      <w:r>
        <w:rPr/>
        <w:t>y</w:t>
      </w:r>
      <w:r>
        <w:rPr>
          <w:spacing w:val="-13"/>
        </w:rPr>
        <w:t> </w:t>
      </w:r>
      <w:r>
        <w:rPr/>
        <w:t>mejora</w:t>
      </w:r>
      <w:r>
        <w:rPr>
          <w:spacing w:val="-15"/>
        </w:rPr>
        <w:t> </w:t>
      </w:r>
      <w:r>
        <w:rPr/>
        <w:t>en</w:t>
      </w:r>
      <w:r>
        <w:rPr>
          <w:spacing w:val="-11"/>
        </w:rPr>
        <w:t> </w:t>
      </w:r>
      <w:r>
        <w:rPr/>
        <w:t>las condiciones</w:t>
      </w:r>
      <w:r>
        <w:rPr>
          <w:spacing w:val="-7"/>
        </w:rPr>
        <w:t> </w:t>
      </w:r>
      <w:r>
        <w:rPr/>
        <w:t>de</w:t>
      </w:r>
      <w:r>
        <w:rPr>
          <w:spacing w:val="-1"/>
        </w:rPr>
        <w:t> </w:t>
      </w:r>
      <w:r>
        <w:rPr/>
        <w:t>vida</w:t>
      </w:r>
      <w:r>
        <w:rPr>
          <w:spacing w:val="-5"/>
        </w:rPr>
        <w:t> </w:t>
      </w:r>
      <w:r>
        <w:rPr/>
        <w:t>para</w:t>
      </w:r>
      <w:r>
        <w:rPr>
          <w:spacing w:val="-1"/>
        </w:rPr>
        <w:t> </w:t>
      </w:r>
      <w:r>
        <w:rPr/>
        <w:t>romper</w:t>
      </w:r>
      <w:r>
        <w:rPr>
          <w:spacing w:val="-8"/>
        </w:rPr>
        <w:t> </w:t>
      </w:r>
      <w:r>
        <w:rPr/>
        <w:t>el</w:t>
      </w:r>
      <w:r>
        <w:rPr>
          <w:spacing w:val="-3"/>
        </w:rPr>
        <w:t> </w:t>
      </w:r>
      <w:r>
        <w:rPr/>
        <w:t>ciclo</w:t>
      </w:r>
      <w:r>
        <w:rPr>
          <w:spacing w:val="-5"/>
        </w:rPr>
        <w:t> </w:t>
      </w:r>
      <w:r>
        <w:rPr/>
        <w:t>de</w:t>
      </w:r>
      <w:r>
        <w:rPr>
          <w:spacing w:val="-5"/>
        </w:rPr>
        <w:t> </w:t>
      </w:r>
      <w:r>
        <w:rPr/>
        <w:t>la</w:t>
      </w:r>
      <w:r>
        <w:rPr>
          <w:spacing w:val="-5"/>
        </w:rPr>
        <w:t> </w:t>
      </w:r>
      <w:r>
        <w:rPr/>
        <w:t>pobreza</w:t>
      </w:r>
      <w:r>
        <w:rPr>
          <w:spacing w:val="-1"/>
        </w:rPr>
        <w:t> </w:t>
      </w:r>
      <w:r>
        <w:rPr/>
        <w:t>y</w:t>
      </w:r>
      <w:r>
        <w:rPr>
          <w:spacing w:val="-7"/>
        </w:rPr>
        <w:t> </w:t>
      </w:r>
      <w:r>
        <w:rPr/>
        <w:t>promover</w:t>
      </w:r>
      <w:r>
        <w:rPr>
          <w:spacing w:val="-4"/>
        </w:rPr>
        <w:t> </w:t>
      </w:r>
      <w:r>
        <w:rPr/>
        <w:t>el</w:t>
      </w:r>
      <w:r>
        <w:rPr>
          <w:spacing w:val="-8"/>
        </w:rPr>
        <w:t> </w:t>
      </w:r>
      <w:r>
        <w:rPr/>
        <w:t>desarrollo</w:t>
      </w:r>
      <w:r>
        <w:rPr>
          <w:spacing w:val="-5"/>
        </w:rPr>
        <w:t> </w:t>
      </w:r>
      <w:r>
        <w:rPr/>
        <w:t>sostenible.</w:t>
      </w:r>
    </w:p>
    <w:p>
      <w:pPr>
        <w:pStyle w:val="BodyText"/>
        <w:spacing w:before="252"/>
        <w:ind w:left="979" w:right="1341"/>
        <w:jc w:val="both"/>
      </w:pPr>
      <w:r>
        <w:rPr/>
        <w:t>El acceso a Internet es hoy un factor clave de inclusión social, desarrollo económico y ejercicio de derechos. En este contexto, el gráfico 18 ofrece una visión clara sobre el uso de</w:t>
      </w:r>
      <w:r>
        <w:rPr>
          <w:spacing w:val="-13"/>
        </w:rPr>
        <w:t> </w:t>
      </w:r>
      <w:r>
        <w:rPr/>
        <w:t>esta</w:t>
      </w:r>
      <w:r>
        <w:rPr>
          <w:spacing w:val="-13"/>
        </w:rPr>
        <w:t> </w:t>
      </w:r>
      <w:r>
        <w:rPr/>
        <w:t>tecnología</w:t>
      </w:r>
      <w:r>
        <w:rPr>
          <w:spacing w:val="-8"/>
        </w:rPr>
        <w:t> </w:t>
      </w:r>
      <w:r>
        <w:rPr/>
        <w:t>en</w:t>
      </w:r>
      <w:r>
        <w:rPr>
          <w:spacing w:val="-8"/>
        </w:rPr>
        <w:t> </w:t>
      </w:r>
      <w:r>
        <w:rPr/>
        <w:t>el</w:t>
      </w:r>
      <w:r>
        <w:rPr>
          <w:spacing w:val="-16"/>
        </w:rPr>
        <w:t> </w:t>
      </w:r>
      <w:r>
        <w:rPr/>
        <w:t>año</w:t>
      </w:r>
      <w:r>
        <w:rPr>
          <w:spacing w:val="-7"/>
        </w:rPr>
        <w:t> </w:t>
      </w:r>
      <w:r>
        <w:rPr/>
        <w:t>2024,</w:t>
      </w:r>
      <w:r>
        <w:rPr>
          <w:spacing w:val="-14"/>
        </w:rPr>
        <w:t> </w:t>
      </w:r>
      <w:r>
        <w:rPr/>
        <w:t>desglosado</w:t>
      </w:r>
      <w:r>
        <w:rPr>
          <w:spacing w:val="-8"/>
        </w:rPr>
        <w:t> </w:t>
      </w:r>
      <w:r>
        <w:rPr/>
        <w:t>por</w:t>
      </w:r>
      <w:r>
        <w:rPr>
          <w:spacing w:val="-11"/>
        </w:rPr>
        <w:t> </w:t>
      </w:r>
      <w:r>
        <w:rPr/>
        <w:t>condición</w:t>
      </w:r>
      <w:r>
        <w:rPr>
          <w:spacing w:val="-13"/>
        </w:rPr>
        <w:t> </w:t>
      </w:r>
      <w:r>
        <w:rPr/>
        <w:t>de</w:t>
      </w:r>
      <w:r>
        <w:rPr>
          <w:spacing w:val="-13"/>
        </w:rPr>
        <w:t> </w:t>
      </w:r>
      <w:r>
        <w:rPr/>
        <w:t>pobreza.</w:t>
      </w:r>
      <w:r>
        <w:rPr>
          <w:spacing w:val="-14"/>
        </w:rPr>
        <w:t> </w:t>
      </w:r>
      <w:r>
        <w:rPr/>
        <w:t>Los</w:t>
      </w:r>
      <w:r>
        <w:rPr>
          <w:spacing w:val="-15"/>
        </w:rPr>
        <w:t> </w:t>
      </w:r>
      <w:r>
        <w:rPr/>
        <w:t>datos</w:t>
      </w:r>
      <w:r>
        <w:rPr>
          <w:spacing w:val="-10"/>
        </w:rPr>
        <w:t> </w:t>
      </w:r>
      <w:r>
        <w:rPr/>
        <w:t>revelan una</w:t>
      </w:r>
      <w:r>
        <w:rPr>
          <w:spacing w:val="-6"/>
        </w:rPr>
        <w:t> </w:t>
      </w:r>
      <w:r>
        <w:rPr/>
        <w:t>tendencia</w:t>
      </w:r>
      <w:r>
        <w:rPr>
          <w:spacing w:val="-15"/>
        </w:rPr>
        <w:t> </w:t>
      </w:r>
      <w:r>
        <w:rPr/>
        <w:t>general</w:t>
      </w:r>
      <w:r>
        <w:rPr>
          <w:spacing w:val="-13"/>
        </w:rPr>
        <w:t> </w:t>
      </w:r>
      <w:r>
        <w:rPr/>
        <w:t>positiva,</w:t>
      </w:r>
      <w:r>
        <w:rPr>
          <w:spacing w:val="-11"/>
        </w:rPr>
        <w:t> </w:t>
      </w:r>
      <w:r>
        <w:rPr/>
        <w:t>aunque</w:t>
      </w:r>
      <w:r>
        <w:rPr>
          <w:spacing w:val="-10"/>
        </w:rPr>
        <w:t> </w:t>
      </w:r>
      <w:r>
        <w:rPr/>
        <w:t>con</w:t>
      </w:r>
      <w:r>
        <w:rPr>
          <w:spacing w:val="-10"/>
        </w:rPr>
        <w:t> </w:t>
      </w:r>
      <w:r>
        <w:rPr/>
        <w:t>diferencias</w:t>
      </w:r>
      <w:r>
        <w:rPr>
          <w:spacing w:val="-12"/>
        </w:rPr>
        <w:t> </w:t>
      </w:r>
      <w:r>
        <w:rPr/>
        <w:t>significativas</w:t>
      </w:r>
      <w:r>
        <w:rPr>
          <w:spacing w:val="-12"/>
        </w:rPr>
        <w:t> </w:t>
      </w:r>
      <w:r>
        <w:rPr/>
        <w:t>entre</w:t>
      </w:r>
      <w:r>
        <w:rPr>
          <w:spacing w:val="-10"/>
        </w:rPr>
        <w:t> </w:t>
      </w:r>
      <w:r>
        <w:rPr/>
        <w:t>grupos</w:t>
      </w:r>
      <w:r>
        <w:rPr>
          <w:spacing w:val="-8"/>
        </w:rPr>
        <w:t> </w:t>
      </w:r>
      <w:r>
        <w:rPr/>
        <w:t>sociales, lo que pone en evidencia la persistencia de una brecha digital estructural.</w:t>
      </w:r>
    </w:p>
    <w:p>
      <w:pPr>
        <w:pStyle w:val="BodyText"/>
        <w:spacing w:before="23"/>
      </w:pPr>
    </w:p>
    <w:p>
      <w:pPr>
        <w:pStyle w:val="Heading2"/>
        <w:ind w:left="790" w:right="1020"/>
        <w:jc w:val="center"/>
      </w:pPr>
      <w:bookmarkStart w:name="_bookmark38" w:id="39"/>
      <w:bookmarkEnd w:id="39"/>
      <w:r>
        <w:rPr>
          <w:b w:val="0"/>
        </w:rPr>
      </w:r>
      <w:r>
        <w:rPr/>
        <w:t>Gráfico</w:t>
      </w:r>
      <w:r>
        <w:rPr>
          <w:spacing w:val="-5"/>
        </w:rPr>
        <w:t> </w:t>
      </w:r>
      <w:r>
        <w:rPr/>
        <w:t>18:</w:t>
      </w:r>
      <w:r>
        <w:rPr>
          <w:spacing w:val="-5"/>
        </w:rPr>
        <w:t> </w:t>
      </w:r>
      <w:r>
        <w:rPr/>
        <w:t>Porcentaje</w:t>
      </w:r>
      <w:r>
        <w:rPr>
          <w:spacing w:val="-1"/>
        </w:rPr>
        <w:t> </w:t>
      </w:r>
      <w:r>
        <w:rPr/>
        <w:t>de</w:t>
      </w:r>
      <w:r>
        <w:rPr>
          <w:spacing w:val="-7"/>
        </w:rPr>
        <w:t> </w:t>
      </w:r>
      <w:r>
        <w:rPr/>
        <w:t>hogares</w:t>
      </w:r>
      <w:r>
        <w:rPr>
          <w:spacing w:val="-5"/>
        </w:rPr>
        <w:t> </w:t>
      </w:r>
      <w:r>
        <w:rPr/>
        <w:t>con</w:t>
      </w:r>
      <w:r>
        <w:rPr>
          <w:spacing w:val="-9"/>
        </w:rPr>
        <w:t> </w:t>
      </w:r>
      <w:r>
        <w:rPr/>
        <w:t>acceso</w:t>
      </w:r>
      <w:r>
        <w:rPr>
          <w:spacing w:val="-7"/>
        </w:rPr>
        <w:t> </w:t>
      </w:r>
      <w:r>
        <w:rPr/>
        <w:t>a</w:t>
      </w:r>
      <w:r>
        <w:rPr>
          <w:spacing w:val="-2"/>
        </w:rPr>
        <w:t> </w:t>
      </w:r>
      <w:r>
        <w:rPr/>
        <w:t>Internet</w:t>
      </w:r>
      <w:r>
        <w:rPr>
          <w:spacing w:val="-9"/>
        </w:rPr>
        <w:t> </w:t>
      </w:r>
      <w:r>
        <w:rPr/>
        <w:t>según</w:t>
      </w:r>
      <w:r>
        <w:rPr>
          <w:spacing w:val="-7"/>
        </w:rPr>
        <w:t> </w:t>
      </w:r>
      <w:r>
        <w:rPr/>
        <w:t>condición</w:t>
      </w:r>
      <w:r>
        <w:rPr>
          <w:spacing w:val="-4"/>
        </w:rPr>
        <w:t> </w:t>
      </w:r>
      <w:r>
        <w:rPr/>
        <w:t>de</w:t>
      </w:r>
      <w:r>
        <w:rPr>
          <w:spacing w:val="-1"/>
        </w:rPr>
        <w:t> </w:t>
      </w:r>
      <w:r>
        <w:rPr>
          <w:spacing w:val="-2"/>
        </w:rPr>
        <w:t>pobreza.</w:t>
      </w:r>
    </w:p>
    <w:p>
      <w:pPr>
        <w:spacing w:before="2"/>
        <w:ind w:left="802" w:right="1020" w:firstLine="0"/>
        <w:jc w:val="center"/>
        <w:rPr>
          <w:b/>
          <w:sz w:val="22"/>
        </w:rPr>
      </w:pPr>
      <w:r>
        <w:rPr>
          <w:b/>
          <w:sz w:val="22"/>
        </w:rPr>
        <w:t>Costa</w:t>
      </w:r>
      <w:r>
        <w:rPr>
          <w:b/>
          <w:spacing w:val="-5"/>
          <w:sz w:val="22"/>
        </w:rPr>
        <w:t> </w:t>
      </w:r>
      <w:r>
        <w:rPr>
          <w:b/>
          <w:sz w:val="22"/>
        </w:rPr>
        <w:t>Rica</w:t>
      </w:r>
      <w:r>
        <w:rPr>
          <w:b/>
          <w:spacing w:val="-6"/>
          <w:sz w:val="22"/>
        </w:rPr>
        <w:t> </w:t>
      </w:r>
      <w:r>
        <w:rPr>
          <w:b/>
          <w:spacing w:val="-4"/>
          <w:sz w:val="22"/>
        </w:rPr>
        <w:t>2024</w:t>
      </w:r>
    </w:p>
    <w:p>
      <w:pPr>
        <w:pStyle w:val="BodyText"/>
        <w:rPr>
          <w:b/>
          <w:sz w:val="16"/>
        </w:rPr>
      </w:pPr>
      <w:r>
        <w:rPr>
          <w:b/>
          <w:sz w:val="16"/>
        </w:rPr>
        <w:drawing>
          <wp:anchor distT="0" distB="0" distL="0" distR="0" allowOverlap="1" layoutInCell="1" locked="0" behindDoc="1" simplePos="0" relativeHeight="487598592">
            <wp:simplePos x="0" y="0"/>
            <wp:positionH relativeFrom="page">
              <wp:posOffset>1225550</wp:posOffset>
            </wp:positionH>
            <wp:positionV relativeFrom="paragraph">
              <wp:posOffset>132071</wp:posOffset>
            </wp:positionV>
            <wp:extent cx="5367051" cy="3082385"/>
            <wp:effectExtent l="0" t="0" r="0" b="0"/>
            <wp:wrapTopAndBottom/>
            <wp:docPr id="77" name="Image 77" descr="Gráfico, Gráfico de barras  El contenido generado por IA puede ser incorrecto."/>
            <wp:cNvGraphicFramePr>
              <a:graphicFrameLocks/>
            </wp:cNvGraphicFramePr>
            <a:graphic>
              <a:graphicData uri="http://schemas.openxmlformats.org/drawingml/2006/picture">
                <pic:pic>
                  <pic:nvPicPr>
                    <pic:cNvPr id="77" name="Image 77" descr="Gráfico, Gráfico de barras  El contenido generado por IA puede ser incorrecto."/>
                    <pic:cNvPicPr/>
                  </pic:nvPicPr>
                  <pic:blipFill>
                    <a:blip r:embed="rId56" cstate="print"/>
                    <a:stretch>
                      <a:fillRect/>
                    </a:stretch>
                  </pic:blipFill>
                  <pic:spPr>
                    <a:xfrm>
                      <a:off x="0" y="0"/>
                      <a:ext cx="5367051" cy="3082385"/>
                    </a:xfrm>
                    <a:prstGeom prst="rect">
                      <a:avLst/>
                    </a:prstGeom>
                  </pic:spPr>
                </pic:pic>
              </a:graphicData>
            </a:graphic>
          </wp:anchor>
        </w:drawing>
      </w:r>
    </w:p>
    <w:p>
      <w:pPr>
        <w:spacing w:before="0"/>
        <w:ind w:left="979" w:right="1343" w:firstLine="0"/>
        <w:jc w:val="both"/>
        <w:rPr>
          <w:sz w:val="18"/>
        </w:rPr>
      </w:pPr>
      <w:r>
        <w:rPr>
          <w:sz w:val="18"/>
        </w:rPr>
        <w:t>Fuente:</w:t>
      </w:r>
      <w:r>
        <w:rPr>
          <w:spacing w:val="-6"/>
          <w:sz w:val="18"/>
        </w:rPr>
        <w:t> </w:t>
      </w:r>
      <w:r>
        <w:rPr>
          <w:sz w:val="18"/>
        </w:rPr>
        <w:t>Elaboración</w:t>
      </w:r>
      <w:r>
        <w:rPr>
          <w:spacing w:val="-5"/>
          <w:sz w:val="18"/>
        </w:rPr>
        <w:t> </w:t>
      </w:r>
      <w:r>
        <w:rPr>
          <w:sz w:val="18"/>
        </w:rPr>
        <w:t>propia</w:t>
      </w:r>
      <w:r>
        <w:rPr>
          <w:spacing w:val="-5"/>
          <w:sz w:val="18"/>
        </w:rPr>
        <w:t> </w:t>
      </w:r>
      <w:r>
        <w:rPr>
          <w:sz w:val="18"/>
        </w:rPr>
        <w:t>a</w:t>
      </w:r>
      <w:r>
        <w:rPr>
          <w:spacing w:val="-5"/>
          <w:sz w:val="18"/>
        </w:rPr>
        <w:t> </w:t>
      </w:r>
      <w:r>
        <w:rPr>
          <w:sz w:val="18"/>
        </w:rPr>
        <w:t>partir</w:t>
      </w:r>
      <w:r>
        <w:rPr>
          <w:spacing w:val="-8"/>
          <w:sz w:val="18"/>
        </w:rPr>
        <w:t> </w:t>
      </w:r>
      <w:r>
        <w:rPr>
          <w:sz w:val="18"/>
        </w:rPr>
        <w:t>de</w:t>
      </w:r>
      <w:r>
        <w:rPr>
          <w:spacing w:val="-5"/>
          <w:sz w:val="18"/>
        </w:rPr>
        <w:t> </w:t>
      </w:r>
      <w:r>
        <w:rPr>
          <w:sz w:val="18"/>
        </w:rPr>
        <w:t>datos</w:t>
      </w:r>
      <w:r>
        <w:rPr>
          <w:spacing w:val="-5"/>
          <w:sz w:val="18"/>
        </w:rPr>
        <w:t> </w:t>
      </w:r>
      <w:r>
        <w:rPr>
          <w:sz w:val="18"/>
        </w:rPr>
        <w:t>de</w:t>
      </w:r>
      <w:r>
        <w:rPr>
          <w:spacing w:val="-5"/>
          <w:sz w:val="18"/>
        </w:rPr>
        <w:t> </w:t>
      </w:r>
      <w:r>
        <w:rPr>
          <w:sz w:val="18"/>
        </w:rPr>
        <w:t>la</w:t>
      </w:r>
      <w:r>
        <w:rPr>
          <w:spacing w:val="-5"/>
          <w:sz w:val="18"/>
        </w:rPr>
        <w:t> </w:t>
      </w:r>
      <w:r>
        <w:rPr>
          <w:sz w:val="18"/>
        </w:rPr>
        <w:t>Encuesta</w:t>
      </w:r>
      <w:r>
        <w:rPr>
          <w:spacing w:val="-5"/>
          <w:sz w:val="18"/>
        </w:rPr>
        <w:t> </w:t>
      </w:r>
      <w:r>
        <w:rPr>
          <w:sz w:val="18"/>
        </w:rPr>
        <w:t>Nacional</w:t>
      </w:r>
      <w:r>
        <w:rPr>
          <w:spacing w:val="-2"/>
          <w:sz w:val="18"/>
        </w:rPr>
        <w:t> </w:t>
      </w:r>
      <w:r>
        <w:rPr>
          <w:sz w:val="18"/>
        </w:rPr>
        <w:t>de</w:t>
      </w:r>
      <w:r>
        <w:rPr>
          <w:spacing w:val="-5"/>
          <w:sz w:val="18"/>
        </w:rPr>
        <w:t> </w:t>
      </w:r>
      <w:r>
        <w:rPr>
          <w:sz w:val="18"/>
        </w:rPr>
        <w:t>Hogares</w:t>
      </w:r>
      <w:r>
        <w:rPr>
          <w:spacing w:val="-5"/>
          <w:sz w:val="18"/>
        </w:rPr>
        <w:t> </w:t>
      </w:r>
      <w:r>
        <w:rPr>
          <w:sz w:val="18"/>
        </w:rPr>
        <w:t>(ENAHO)</w:t>
      </w:r>
      <w:r>
        <w:rPr>
          <w:spacing w:val="-8"/>
          <w:sz w:val="18"/>
        </w:rPr>
        <w:t> </w:t>
      </w:r>
      <w:r>
        <w:rPr>
          <w:sz w:val="18"/>
        </w:rPr>
        <w:t>2024,</w:t>
      </w:r>
      <w:r>
        <w:rPr>
          <w:spacing w:val="-3"/>
          <w:sz w:val="18"/>
        </w:rPr>
        <w:t> </w:t>
      </w:r>
      <w:r>
        <w:rPr>
          <w:sz w:val="18"/>
        </w:rPr>
        <w:t>extraídos</w:t>
      </w:r>
      <w:r>
        <w:rPr>
          <w:spacing w:val="-5"/>
          <w:sz w:val="18"/>
        </w:rPr>
        <w:t> </w:t>
      </w:r>
      <w:r>
        <w:rPr>
          <w:sz w:val="18"/>
        </w:rPr>
        <w:t>del sistema REDATAM del Instituto Nacional de Estadística y Censos (INEC).</w:t>
      </w:r>
    </w:p>
    <w:p>
      <w:pPr>
        <w:pStyle w:val="BodyText"/>
        <w:spacing w:before="186"/>
        <w:ind w:left="979" w:right="1335"/>
        <w:jc w:val="both"/>
      </w:pPr>
      <w:r>
        <w:rPr/>
        <w:t>A</w:t>
      </w:r>
      <w:r>
        <w:rPr>
          <w:spacing w:val="-4"/>
        </w:rPr>
        <w:t> </w:t>
      </w:r>
      <w:r>
        <w:rPr/>
        <w:t>nivel</w:t>
      </w:r>
      <w:r>
        <w:rPr>
          <w:spacing w:val="-11"/>
        </w:rPr>
        <w:t> </w:t>
      </w:r>
      <w:r>
        <w:rPr/>
        <w:t>general,</w:t>
      </w:r>
      <w:r>
        <w:rPr>
          <w:spacing w:val="-4"/>
        </w:rPr>
        <w:t> </w:t>
      </w:r>
      <w:r>
        <w:rPr/>
        <w:t>un</w:t>
      </w:r>
      <w:r>
        <w:rPr>
          <w:spacing w:val="-3"/>
        </w:rPr>
        <w:t> </w:t>
      </w:r>
      <w:r>
        <w:rPr/>
        <w:t>85,45%</w:t>
      </w:r>
      <w:r>
        <w:rPr>
          <w:spacing w:val="-9"/>
        </w:rPr>
        <w:t> </w:t>
      </w:r>
      <w:r>
        <w:rPr/>
        <w:t>de</w:t>
      </w:r>
      <w:r>
        <w:rPr>
          <w:spacing w:val="-3"/>
        </w:rPr>
        <w:t> </w:t>
      </w:r>
      <w:r>
        <w:rPr/>
        <w:t>la</w:t>
      </w:r>
      <w:r>
        <w:rPr>
          <w:spacing w:val="-3"/>
        </w:rPr>
        <w:t> </w:t>
      </w:r>
      <w:r>
        <w:rPr/>
        <w:t>población</w:t>
      </w:r>
      <w:r>
        <w:rPr>
          <w:spacing w:val="-8"/>
        </w:rPr>
        <w:t> </w:t>
      </w:r>
      <w:r>
        <w:rPr/>
        <w:t>total</w:t>
      </w:r>
      <w:r>
        <w:rPr>
          <w:spacing w:val="-6"/>
        </w:rPr>
        <w:t> </w:t>
      </w:r>
      <w:r>
        <w:rPr/>
        <w:t>reporta</w:t>
      </w:r>
      <w:r>
        <w:rPr>
          <w:spacing w:val="-3"/>
        </w:rPr>
        <w:t> </w:t>
      </w:r>
      <w:r>
        <w:rPr/>
        <w:t>una</w:t>
      </w:r>
      <w:r>
        <w:rPr>
          <w:spacing w:val="-3"/>
        </w:rPr>
        <w:t> </w:t>
      </w:r>
      <w:r>
        <w:rPr/>
        <w:t>tendencia</w:t>
      </w:r>
      <w:r>
        <w:rPr>
          <w:spacing w:val="-8"/>
        </w:rPr>
        <w:t> </w:t>
      </w:r>
      <w:r>
        <w:rPr/>
        <w:t>positiva</w:t>
      </w:r>
      <w:r>
        <w:rPr>
          <w:spacing w:val="-8"/>
        </w:rPr>
        <w:t> </w:t>
      </w:r>
      <w:r>
        <w:rPr/>
        <w:t>hacia</w:t>
      </w:r>
      <w:r>
        <w:rPr>
          <w:spacing w:val="-8"/>
        </w:rPr>
        <w:t> </w:t>
      </w:r>
      <w:r>
        <w:rPr/>
        <w:t>el</w:t>
      </w:r>
      <w:r>
        <w:rPr>
          <w:spacing w:val="-6"/>
        </w:rPr>
        <w:t> </w:t>
      </w:r>
      <w:r>
        <w:rPr/>
        <w:t>uso de Internet.</w:t>
      </w:r>
      <w:r>
        <w:rPr>
          <w:spacing w:val="-5"/>
        </w:rPr>
        <w:t> </w:t>
      </w:r>
      <w:r>
        <w:rPr/>
        <w:t>Este valor</w:t>
      </w:r>
      <w:r>
        <w:rPr>
          <w:spacing w:val="-3"/>
        </w:rPr>
        <w:t> </w:t>
      </w:r>
      <w:r>
        <w:rPr/>
        <w:t>sugiere</w:t>
      </w:r>
      <w:r>
        <w:rPr>
          <w:spacing w:val="-4"/>
        </w:rPr>
        <w:t> </w:t>
      </w:r>
      <w:r>
        <w:rPr/>
        <w:t>que</w:t>
      </w:r>
      <w:r>
        <w:rPr>
          <w:spacing w:val="-4"/>
        </w:rPr>
        <w:t> </w:t>
      </w:r>
      <w:r>
        <w:rPr/>
        <w:t>el</w:t>
      </w:r>
      <w:r>
        <w:rPr>
          <w:spacing w:val="-2"/>
        </w:rPr>
        <w:t> </w:t>
      </w:r>
      <w:r>
        <w:rPr/>
        <w:t>país</w:t>
      </w:r>
      <w:r>
        <w:rPr>
          <w:spacing w:val="-6"/>
        </w:rPr>
        <w:t> </w:t>
      </w:r>
      <w:r>
        <w:rPr/>
        <w:t>ha logrado una</w:t>
      </w:r>
      <w:r>
        <w:rPr>
          <w:spacing w:val="-4"/>
        </w:rPr>
        <w:t> </w:t>
      </w:r>
      <w:r>
        <w:rPr/>
        <w:t>penetración</w:t>
      </w:r>
      <w:r>
        <w:rPr>
          <w:spacing w:val="-4"/>
        </w:rPr>
        <w:t> </w:t>
      </w:r>
      <w:r>
        <w:rPr/>
        <w:t>digital</w:t>
      </w:r>
      <w:r>
        <w:rPr>
          <w:spacing w:val="-2"/>
        </w:rPr>
        <w:t> </w:t>
      </w:r>
      <w:r>
        <w:rPr/>
        <w:t>bastante alta, lo cual es un avance importante. Sin embargo, cuando se analizan los distintos grupos según su situación de pobreza, comienzan a notarse claras disparidades.</w:t>
      </w:r>
    </w:p>
    <w:p>
      <w:pPr>
        <w:pStyle w:val="BodyText"/>
        <w:spacing w:before="251"/>
        <w:ind w:left="979" w:right="1332"/>
        <w:jc w:val="both"/>
      </w:pPr>
      <w:r>
        <w:rPr/>
        <w:t>En el grupo de personas pobres por la línea de pobreza (LP) pero no por el Índice de Pobreza Multidimensional (IPM), el</w:t>
      </w:r>
      <w:r>
        <w:rPr>
          <w:spacing w:val="-2"/>
        </w:rPr>
        <w:t> </w:t>
      </w:r>
      <w:r>
        <w:rPr/>
        <w:t>porcentaje con acceso o uso positivo de Internet cae a 76,07%.</w:t>
      </w:r>
      <w:r>
        <w:rPr>
          <w:spacing w:val="38"/>
        </w:rPr>
        <w:t> </w:t>
      </w:r>
      <w:r>
        <w:rPr/>
        <w:t>Aunque</w:t>
      </w:r>
      <w:r>
        <w:rPr>
          <w:spacing w:val="39"/>
        </w:rPr>
        <w:t> </w:t>
      </w:r>
      <w:r>
        <w:rPr/>
        <w:t>no</w:t>
      </w:r>
      <w:r>
        <w:rPr>
          <w:spacing w:val="40"/>
        </w:rPr>
        <w:t> </w:t>
      </w:r>
      <w:r>
        <w:rPr/>
        <w:t>presentan</w:t>
      </w:r>
      <w:r>
        <w:rPr>
          <w:spacing w:val="40"/>
        </w:rPr>
        <w:t> </w:t>
      </w:r>
      <w:r>
        <w:rPr/>
        <w:t>carencias</w:t>
      </w:r>
      <w:r>
        <w:rPr>
          <w:spacing w:val="37"/>
        </w:rPr>
        <w:t> </w:t>
      </w:r>
      <w:r>
        <w:rPr/>
        <w:t>graves</w:t>
      </w:r>
      <w:r>
        <w:rPr>
          <w:spacing w:val="37"/>
        </w:rPr>
        <w:t> </w:t>
      </w:r>
      <w:r>
        <w:rPr/>
        <w:t>en</w:t>
      </w:r>
      <w:r>
        <w:rPr>
          <w:spacing w:val="39"/>
        </w:rPr>
        <w:t> </w:t>
      </w:r>
      <w:r>
        <w:rPr/>
        <w:t>salud,</w:t>
      </w:r>
      <w:r>
        <w:rPr>
          <w:spacing w:val="38"/>
        </w:rPr>
        <w:t> </w:t>
      </w:r>
      <w:r>
        <w:rPr/>
        <w:t>educación</w:t>
      </w:r>
      <w:r>
        <w:rPr>
          <w:spacing w:val="39"/>
        </w:rPr>
        <w:t> </w:t>
      </w:r>
      <w:r>
        <w:rPr/>
        <w:t>u</w:t>
      </w:r>
      <w:r>
        <w:rPr>
          <w:spacing w:val="40"/>
        </w:rPr>
        <w:t> </w:t>
      </w:r>
      <w:r>
        <w:rPr/>
        <w:t>otros</w:t>
      </w:r>
      <w:r>
        <w:rPr>
          <w:spacing w:val="40"/>
        </w:rPr>
        <w:t> </w:t>
      </w:r>
      <w:r>
        <w:rPr/>
        <w:t>servicios</w:t>
      </w:r>
    </w:p>
    <w:p>
      <w:pPr>
        <w:pStyle w:val="BodyText"/>
        <w:spacing w:after="0"/>
        <w:jc w:val="both"/>
        <w:sectPr>
          <w:pgSz w:w="12240" w:h="15840"/>
          <w:pgMar w:header="0" w:footer="1021" w:top="1340" w:bottom="1220" w:left="720" w:right="360"/>
        </w:sectPr>
      </w:pPr>
    </w:p>
    <w:p>
      <w:pPr>
        <w:pStyle w:val="BodyText"/>
        <w:spacing w:before="76"/>
        <w:ind w:left="979" w:right="1351"/>
        <w:jc w:val="both"/>
      </w:pPr>
      <w:r>
        <w:rPr/>
        <w:t>básicos, su bajo nivel de ingresos representa una barrera para mantenerse conectados, especialmente por los costos de dispositivos y servicios de conectividad.</w:t>
      </w:r>
    </w:p>
    <w:p>
      <w:pPr>
        <w:pStyle w:val="BodyText"/>
        <w:spacing w:before="253"/>
        <w:ind w:left="979" w:right="1343"/>
        <w:jc w:val="both"/>
      </w:pPr>
      <w:r>
        <w:rPr/>
        <w:t>Por su parte, las personas pobres por IPM, pero no por LP presentan un porcentaje aún menor: 71,58%. Aquí la carencia se centra en dimensiones clave como la educación, el saneamiento</w:t>
      </w:r>
      <w:r>
        <w:rPr>
          <w:spacing w:val="-16"/>
        </w:rPr>
        <w:t> </w:t>
      </w:r>
      <w:r>
        <w:rPr/>
        <w:t>o</w:t>
      </w:r>
      <w:r>
        <w:rPr>
          <w:spacing w:val="-15"/>
        </w:rPr>
        <w:t> </w:t>
      </w:r>
      <w:r>
        <w:rPr/>
        <w:t>la</w:t>
      </w:r>
      <w:r>
        <w:rPr>
          <w:spacing w:val="-15"/>
        </w:rPr>
        <w:t> </w:t>
      </w:r>
      <w:r>
        <w:rPr/>
        <w:t>vivienda,</w:t>
      </w:r>
      <w:r>
        <w:rPr>
          <w:spacing w:val="-16"/>
        </w:rPr>
        <w:t> </w:t>
      </w:r>
      <w:r>
        <w:rPr/>
        <w:t>lo</w:t>
      </w:r>
      <w:r>
        <w:rPr>
          <w:spacing w:val="-15"/>
        </w:rPr>
        <w:t> </w:t>
      </w:r>
      <w:r>
        <w:rPr/>
        <w:t>que</w:t>
      </w:r>
      <w:r>
        <w:rPr>
          <w:spacing w:val="-15"/>
        </w:rPr>
        <w:t> </w:t>
      </w:r>
      <w:r>
        <w:rPr/>
        <w:t>afecta</w:t>
      </w:r>
      <w:r>
        <w:rPr>
          <w:spacing w:val="-15"/>
        </w:rPr>
        <w:t> </w:t>
      </w:r>
      <w:r>
        <w:rPr/>
        <w:t>directamente</w:t>
      </w:r>
      <w:r>
        <w:rPr>
          <w:spacing w:val="-16"/>
        </w:rPr>
        <w:t> </w:t>
      </w:r>
      <w:r>
        <w:rPr/>
        <w:t>la</w:t>
      </w:r>
      <w:r>
        <w:rPr>
          <w:spacing w:val="-15"/>
        </w:rPr>
        <w:t> </w:t>
      </w:r>
      <w:r>
        <w:rPr/>
        <w:t>posibilidad</w:t>
      </w:r>
      <w:r>
        <w:rPr>
          <w:spacing w:val="-15"/>
        </w:rPr>
        <w:t> </w:t>
      </w:r>
      <w:r>
        <w:rPr/>
        <w:t>de</w:t>
      </w:r>
      <w:r>
        <w:rPr>
          <w:spacing w:val="-16"/>
        </w:rPr>
        <w:t> </w:t>
      </w:r>
      <w:r>
        <w:rPr/>
        <w:t>acceder</w:t>
      </w:r>
      <w:r>
        <w:rPr>
          <w:spacing w:val="-15"/>
        </w:rPr>
        <w:t> </w:t>
      </w:r>
      <w:r>
        <w:rPr/>
        <w:t>a</w:t>
      </w:r>
      <w:r>
        <w:rPr>
          <w:spacing w:val="-15"/>
        </w:rPr>
        <w:t> </w:t>
      </w:r>
      <w:r>
        <w:rPr/>
        <w:t>tecnología o usarla de manera efectiva, incluso cuando los ingresos podrían ubicarse por encima de la línea oficial de pobreza.</w:t>
      </w:r>
    </w:p>
    <w:p>
      <w:pPr>
        <w:pStyle w:val="BodyText"/>
        <w:spacing w:before="252"/>
        <w:ind w:left="979" w:right="1340"/>
        <w:jc w:val="both"/>
      </w:pPr>
      <w:r>
        <w:rPr/>
        <w:t>El</w:t>
      </w:r>
      <w:r>
        <w:rPr>
          <w:spacing w:val="-1"/>
        </w:rPr>
        <w:t> </w:t>
      </w:r>
      <w:r>
        <w:rPr/>
        <w:t>grupo</w:t>
      </w:r>
      <w:r>
        <w:rPr>
          <w:spacing w:val="-8"/>
        </w:rPr>
        <w:t> </w:t>
      </w:r>
      <w:r>
        <w:rPr/>
        <w:t>más</w:t>
      </w:r>
      <w:r>
        <w:rPr>
          <w:spacing w:val="-5"/>
        </w:rPr>
        <w:t> </w:t>
      </w:r>
      <w:r>
        <w:rPr/>
        <w:t>afectado, según se</w:t>
      </w:r>
      <w:r>
        <w:rPr>
          <w:spacing w:val="-3"/>
        </w:rPr>
        <w:t> </w:t>
      </w:r>
      <w:r>
        <w:rPr/>
        <w:t>presenta</w:t>
      </w:r>
      <w:r>
        <w:rPr>
          <w:spacing w:val="-3"/>
        </w:rPr>
        <w:t> </w:t>
      </w:r>
      <w:r>
        <w:rPr/>
        <w:t>en el</w:t>
      </w:r>
      <w:r>
        <w:rPr>
          <w:spacing w:val="-6"/>
        </w:rPr>
        <w:t> </w:t>
      </w:r>
      <w:r>
        <w:rPr/>
        <w:t>gráfico</w:t>
      </w:r>
      <w:r>
        <w:rPr>
          <w:spacing w:val="-3"/>
        </w:rPr>
        <w:t> </w:t>
      </w:r>
      <w:r>
        <w:rPr/>
        <w:t>18, es</w:t>
      </w:r>
      <w:r>
        <w:rPr>
          <w:spacing w:val="-5"/>
        </w:rPr>
        <w:t> </w:t>
      </w:r>
      <w:r>
        <w:rPr/>
        <w:t>el</w:t>
      </w:r>
      <w:r>
        <w:rPr>
          <w:spacing w:val="-6"/>
        </w:rPr>
        <w:t> </w:t>
      </w:r>
      <w:r>
        <w:rPr/>
        <w:t>de</w:t>
      </w:r>
      <w:r>
        <w:rPr>
          <w:spacing w:val="-3"/>
        </w:rPr>
        <w:t> </w:t>
      </w:r>
      <w:r>
        <w:rPr/>
        <w:t>personas</w:t>
      </w:r>
      <w:r>
        <w:rPr>
          <w:spacing w:val="-5"/>
        </w:rPr>
        <w:t> </w:t>
      </w:r>
      <w:r>
        <w:rPr/>
        <w:t>pobres tanto por LP como por IPM, donde solo el 67,48% muestra una tendencia positiva hacia el uso de Internet. Esto confirma que la exclusión digital es más profunda en los hogares con mayores carencias acumuladas, limitando seriamente su capacidad para acceder a educación en línea, empleo digital, servicios estatales o canales de información.</w:t>
      </w:r>
    </w:p>
    <w:p>
      <w:pPr>
        <w:pStyle w:val="BodyText"/>
        <w:spacing w:before="252"/>
        <w:ind w:left="979" w:right="1333"/>
        <w:jc w:val="both"/>
      </w:pPr>
      <w:r>
        <w:rPr/>
        <w:t>En contraste, el grupo de personas no pobres alcanza un 89,18% de acceso o uso de Internet, el valor más alto entre todos los segmentos. Esto reafirma que el acceso a la conectividad sigue siendo fuertemente determinado por</w:t>
      </w:r>
      <w:r>
        <w:rPr>
          <w:spacing w:val="-2"/>
        </w:rPr>
        <w:t> </w:t>
      </w:r>
      <w:r>
        <w:rPr/>
        <w:t>el</w:t>
      </w:r>
      <w:r>
        <w:rPr>
          <w:spacing w:val="-1"/>
        </w:rPr>
        <w:t> </w:t>
      </w:r>
      <w:r>
        <w:rPr/>
        <w:t>nivel</w:t>
      </w:r>
      <w:r>
        <w:rPr>
          <w:spacing w:val="-1"/>
        </w:rPr>
        <w:t> </w:t>
      </w:r>
      <w:r>
        <w:rPr/>
        <w:t>socioeconómico, y</w:t>
      </w:r>
      <w:r>
        <w:rPr>
          <w:spacing w:val="-1"/>
        </w:rPr>
        <w:t> </w:t>
      </w:r>
      <w:r>
        <w:rPr/>
        <w:t>que las mejores condiciones de vida están estrechamente asociadas con una mayor inclusión </w:t>
      </w:r>
      <w:r>
        <w:rPr>
          <w:spacing w:val="-2"/>
        </w:rPr>
        <w:t>digital.</w:t>
      </w:r>
    </w:p>
    <w:p>
      <w:pPr>
        <w:pStyle w:val="BodyText"/>
        <w:spacing w:before="5"/>
      </w:pPr>
    </w:p>
    <w:p>
      <w:pPr>
        <w:pStyle w:val="BodyText"/>
        <w:ind w:left="979" w:right="1345"/>
        <w:jc w:val="both"/>
      </w:pPr>
      <w:r>
        <w:rPr/>
        <w:t>En resumen, el</w:t>
      </w:r>
      <w:r>
        <w:rPr>
          <w:spacing w:val="-2"/>
        </w:rPr>
        <w:t> </w:t>
      </w:r>
      <w:r>
        <w:rPr/>
        <w:t>gráfico 18 evidencia que, aunque el acceso a Internet ha crecido en todos los grupos, las desigualdades digitales persisten y se alinean con las desigualdades sociales.</w:t>
      </w:r>
      <w:r>
        <w:rPr>
          <w:spacing w:val="-10"/>
        </w:rPr>
        <w:t> </w:t>
      </w:r>
      <w:r>
        <w:rPr/>
        <w:t>Estas</w:t>
      </w:r>
      <w:r>
        <w:rPr>
          <w:spacing w:val="-16"/>
        </w:rPr>
        <w:t> </w:t>
      </w:r>
      <w:r>
        <w:rPr/>
        <w:t>brechas</w:t>
      </w:r>
      <w:r>
        <w:rPr>
          <w:spacing w:val="-10"/>
        </w:rPr>
        <w:t> </w:t>
      </w:r>
      <w:r>
        <w:rPr/>
        <w:t>limitan</w:t>
      </w:r>
      <w:r>
        <w:rPr>
          <w:spacing w:val="-9"/>
        </w:rPr>
        <w:t> </w:t>
      </w:r>
      <w:r>
        <w:rPr/>
        <w:t>las</w:t>
      </w:r>
      <w:r>
        <w:rPr>
          <w:spacing w:val="-16"/>
        </w:rPr>
        <w:t> </w:t>
      </w:r>
      <w:r>
        <w:rPr/>
        <w:t>oportunidades</w:t>
      </w:r>
      <w:r>
        <w:rPr>
          <w:spacing w:val="-15"/>
        </w:rPr>
        <w:t> </w:t>
      </w:r>
      <w:r>
        <w:rPr/>
        <w:t>de</w:t>
      </w:r>
      <w:r>
        <w:rPr>
          <w:spacing w:val="-8"/>
        </w:rPr>
        <w:t> </w:t>
      </w:r>
      <w:r>
        <w:rPr/>
        <w:t>los</w:t>
      </w:r>
      <w:r>
        <w:rPr>
          <w:spacing w:val="-16"/>
        </w:rPr>
        <w:t> </w:t>
      </w:r>
      <w:r>
        <w:rPr/>
        <w:t>sectores</w:t>
      </w:r>
      <w:r>
        <w:rPr>
          <w:spacing w:val="-15"/>
        </w:rPr>
        <w:t> </w:t>
      </w:r>
      <w:r>
        <w:rPr/>
        <w:t>más</w:t>
      </w:r>
      <w:r>
        <w:rPr>
          <w:spacing w:val="-10"/>
        </w:rPr>
        <w:t> </w:t>
      </w:r>
      <w:r>
        <w:rPr/>
        <w:t>pobres</w:t>
      </w:r>
      <w:r>
        <w:rPr>
          <w:spacing w:val="-11"/>
        </w:rPr>
        <w:t> </w:t>
      </w:r>
      <w:r>
        <w:rPr/>
        <w:t>y</w:t>
      </w:r>
      <w:r>
        <w:rPr>
          <w:spacing w:val="-11"/>
        </w:rPr>
        <w:t> </w:t>
      </w:r>
      <w:r>
        <w:rPr/>
        <w:t>profundizan su exclusión. Por</w:t>
      </w:r>
      <w:r>
        <w:rPr>
          <w:spacing w:val="-3"/>
        </w:rPr>
        <w:t> </w:t>
      </w:r>
      <w:r>
        <w:rPr/>
        <w:t>tanto, se</w:t>
      </w:r>
      <w:r>
        <w:rPr>
          <w:spacing w:val="-4"/>
        </w:rPr>
        <w:t> </w:t>
      </w:r>
      <w:r>
        <w:rPr/>
        <w:t>hace urgente</w:t>
      </w:r>
      <w:r>
        <w:rPr>
          <w:spacing w:val="-4"/>
        </w:rPr>
        <w:t> </w:t>
      </w:r>
      <w:r>
        <w:rPr/>
        <w:t>el</w:t>
      </w:r>
      <w:r>
        <w:rPr>
          <w:spacing w:val="-2"/>
        </w:rPr>
        <w:t> </w:t>
      </w:r>
      <w:r>
        <w:rPr/>
        <w:t>desarrollo de políticas</w:t>
      </w:r>
      <w:r>
        <w:rPr>
          <w:spacing w:val="-6"/>
        </w:rPr>
        <w:t> </w:t>
      </w:r>
      <w:r>
        <w:rPr/>
        <w:t>públicas</w:t>
      </w:r>
      <w:r>
        <w:rPr>
          <w:spacing w:val="-6"/>
        </w:rPr>
        <w:t> </w:t>
      </w:r>
      <w:r>
        <w:rPr/>
        <w:t>que promuevan la equidad digital, garantizando infraestructura, asequibilidad, capacitación y acceso universal como parte de una estrategia integral de desarrollo y justicia social.</w:t>
      </w:r>
    </w:p>
    <w:p>
      <w:pPr>
        <w:pStyle w:val="BodyText"/>
        <w:spacing w:before="1"/>
      </w:pPr>
    </w:p>
    <w:p>
      <w:pPr>
        <w:pStyle w:val="Heading1"/>
        <w:numPr>
          <w:ilvl w:val="2"/>
          <w:numId w:val="5"/>
        </w:numPr>
        <w:tabs>
          <w:tab w:pos="2056" w:val="left" w:leader="none"/>
        </w:tabs>
        <w:spacing w:line="240" w:lineRule="auto" w:before="0" w:after="0"/>
        <w:ind w:left="2056" w:right="0" w:hanging="716"/>
        <w:jc w:val="left"/>
      </w:pPr>
      <w:r>
        <w:rPr/>
        <w:t>Perfiles</w:t>
      </w:r>
      <w:r>
        <w:rPr>
          <w:spacing w:val="-3"/>
        </w:rPr>
        <w:t> </w:t>
      </w:r>
      <w:r>
        <w:rPr/>
        <w:t>de</w:t>
      </w:r>
      <w:r>
        <w:rPr>
          <w:spacing w:val="-3"/>
        </w:rPr>
        <w:t> </w:t>
      </w:r>
      <w:r>
        <w:rPr/>
        <w:t>la</w:t>
      </w:r>
      <w:r>
        <w:rPr>
          <w:spacing w:val="-3"/>
        </w:rPr>
        <w:t> </w:t>
      </w:r>
      <w:r>
        <w:rPr/>
        <w:t>población</w:t>
      </w:r>
      <w:r>
        <w:rPr>
          <w:spacing w:val="-1"/>
        </w:rPr>
        <w:t> </w:t>
      </w:r>
      <w:r>
        <w:rPr/>
        <w:t>en</w:t>
      </w:r>
      <w:r>
        <w:rPr>
          <w:spacing w:val="-5"/>
        </w:rPr>
        <w:t> </w:t>
      </w:r>
      <w:r>
        <w:rPr>
          <w:spacing w:val="-2"/>
        </w:rPr>
        <w:t>pobreza</w:t>
      </w:r>
    </w:p>
    <w:p>
      <w:pPr>
        <w:pStyle w:val="BodyText"/>
        <w:spacing w:before="252"/>
        <w:ind w:left="979" w:right="1335"/>
        <w:jc w:val="both"/>
      </w:pPr>
      <w:r>
        <w:rPr/>
        <w:t>Los perfiles de hogares y personas pobres generan información acerca del peso relativo sobre la economía familiar, de los ingresos derivados del trabajo y de los subsidios económicos</w:t>
      </w:r>
      <w:r>
        <w:rPr>
          <w:spacing w:val="-11"/>
        </w:rPr>
        <w:t> </w:t>
      </w:r>
      <w:r>
        <w:rPr/>
        <w:t>estatales,</w:t>
      </w:r>
      <w:r>
        <w:rPr>
          <w:spacing w:val="-5"/>
        </w:rPr>
        <w:t> </w:t>
      </w:r>
      <w:r>
        <w:rPr/>
        <w:t>y</w:t>
      </w:r>
      <w:r>
        <w:rPr>
          <w:spacing w:val="-11"/>
        </w:rPr>
        <w:t> </w:t>
      </w:r>
      <w:r>
        <w:rPr/>
        <w:t>permiten inferir en el impacto que tiene la política social sobre la pobreza. Ello es de utilidad para el</w:t>
      </w:r>
      <w:r>
        <w:rPr>
          <w:spacing w:val="-7"/>
        </w:rPr>
        <w:t> </w:t>
      </w:r>
      <w:r>
        <w:rPr/>
        <w:t>diseño de intervenciones</w:t>
      </w:r>
      <w:r>
        <w:rPr>
          <w:spacing w:val="-1"/>
        </w:rPr>
        <w:t> </w:t>
      </w:r>
      <w:r>
        <w:rPr/>
        <w:t>de política social</w:t>
      </w:r>
      <w:r>
        <w:rPr>
          <w:spacing w:val="-2"/>
        </w:rPr>
        <w:t> </w:t>
      </w:r>
      <w:r>
        <w:rPr/>
        <w:t>por cuanto permite enfrentar con mejor criterio el problema, tomando en cuenta aquellas áreas geográficas</w:t>
      </w:r>
      <w:r>
        <w:rPr>
          <w:spacing w:val="-10"/>
        </w:rPr>
        <w:t> </w:t>
      </w:r>
      <w:r>
        <w:rPr/>
        <w:t>y</w:t>
      </w:r>
      <w:r>
        <w:rPr>
          <w:spacing w:val="-10"/>
        </w:rPr>
        <w:t> </w:t>
      </w:r>
      <w:r>
        <w:rPr/>
        <w:t>segmentos</w:t>
      </w:r>
      <w:r>
        <w:rPr>
          <w:spacing w:val="-10"/>
        </w:rPr>
        <w:t> </w:t>
      </w:r>
      <w:r>
        <w:rPr/>
        <w:t>sociales</w:t>
      </w:r>
      <w:r>
        <w:rPr>
          <w:spacing w:val="-10"/>
        </w:rPr>
        <w:t> </w:t>
      </w:r>
      <w:r>
        <w:rPr/>
        <w:t>que</w:t>
      </w:r>
      <w:r>
        <w:rPr>
          <w:spacing w:val="-8"/>
        </w:rPr>
        <w:t> </w:t>
      </w:r>
      <w:r>
        <w:rPr/>
        <w:t>requieren</w:t>
      </w:r>
      <w:r>
        <w:rPr>
          <w:spacing w:val="-8"/>
        </w:rPr>
        <w:t> </w:t>
      </w:r>
      <w:r>
        <w:rPr/>
        <w:t>con</w:t>
      </w:r>
      <w:r>
        <w:rPr>
          <w:spacing w:val="-13"/>
        </w:rPr>
        <w:t> </w:t>
      </w:r>
      <w:r>
        <w:rPr/>
        <w:t>mayor</w:t>
      </w:r>
      <w:r>
        <w:rPr>
          <w:spacing w:val="-11"/>
        </w:rPr>
        <w:t> </w:t>
      </w:r>
      <w:r>
        <w:rPr/>
        <w:t>urgencia</w:t>
      </w:r>
      <w:r>
        <w:rPr>
          <w:spacing w:val="-8"/>
        </w:rPr>
        <w:t> </w:t>
      </w:r>
      <w:r>
        <w:rPr/>
        <w:t>de</w:t>
      </w:r>
      <w:r>
        <w:rPr>
          <w:spacing w:val="-13"/>
        </w:rPr>
        <w:t> </w:t>
      </w:r>
      <w:r>
        <w:rPr/>
        <w:t>apoyo</w:t>
      </w:r>
      <w:r>
        <w:rPr>
          <w:spacing w:val="-13"/>
        </w:rPr>
        <w:t> </w:t>
      </w:r>
      <w:r>
        <w:rPr/>
        <w:t>para</w:t>
      </w:r>
      <w:r>
        <w:rPr>
          <w:spacing w:val="-8"/>
        </w:rPr>
        <w:t> </w:t>
      </w:r>
      <w:r>
        <w:rPr/>
        <w:t>revertir su situación.</w:t>
      </w:r>
    </w:p>
    <w:p>
      <w:pPr>
        <w:pStyle w:val="BodyText"/>
        <w:spacing w:before="250"/>
        <w:ind w:left="979" w:right="1338"/>
        <w:jc w:val="both"/>
      </w:pPr>
      <w:r>
        <w:rPr/>
        <w:t>En</w:t>
      </w:r>
      <w:r>
        <w:rPr>
          <w:spacing w:val="-9"/>
        </w:rPr>
        <w:t> </w:t>
      </w:r>
      <w:r>
        <w:rPr/>
        <w:t>Costa</w:t>
      </w:r>
      <w:r>
        <w:rPr>
          <w:spacing w:val="-9"/>
        </w:rPr>
        <w:t> </w:t>
      </w:r>
      <w:r>
        <w:rPr/>
        <w:t>Rica,</w:t>
      </w:r>
      <w:r>
        <w:rPr>
          <w:spacing w:val="-10"/>
        </w:rPr>
        <w:t> </w:t>
      </w:r>
      <w:r>
        <w:rPr/>
        <w:t>diversas</w:t>
      </w:r>
      <w:r>
        <w:rPr>
          <w:spacing w:val="-16"/>
        </w:rPr>
        <w:t> </w:t>
      </w:r>
      <w:r>
        <w:rPr/>
        <w:t>mediciones</w:t>
      </w:r>
      <w:r>
        <w:rPr>
          <w:spacing w:val="-10"/>
        </w:rPr>
        <w:t> </w:t>
      </w:r>
      <w:r>
        <w:rPr/>
        <w:t>y</w:t>
      </w:r>
      <w:r>
        <w:rPr>
          <w:spacing w:val="-11"/>
        </w:rPr>
        <w:t> </w:t>
      </w:r>
      <w:r>
        <w:rPr/>
        <w:t>estimaciones</w:t>
      </w:r>
      <w:r>
        <w:rPr>
          <w:spacing w:val="-6"/>
        </w:rPr>
        <w:t> </w:t>
      </w:r>
      <w:r>
        <w:rPr/>
        <w:t>con</w:t>
      </w:r>
      <w:r>
        <w:rPr>
          <w:spacing w:val="-9"/>
        </w:rPr>
        <w:t> </w:t>
      </w:r>
      <w:r>
        <w:rPr/>
        <w:t>base</w:t>
      </w:r>
      <w:r>
        <w:rPr>
          <w:spacing w:val="-9"/>
        </w:rPr>
        <w:t> </w:t>
      </w:r>
      <w:r>
        <w:rPr/>
        <w:t>en</w:t>
      </w:r>
      <w:r>
        <w:rPr>
          <w:spacing w:val="-9"/>
        </w:rPr>
        <w:t> </w:t>
      </w:r>
      <w:r>
        <w:rPr/>
        <w:t>las</w:t>
      </w:r>
      <w:r>
        <w:rPr>
          <w:spacing w:val="-11"/>
        </w:rPr>
        <w:t> </w:t>
      </w:r>
      <w:r>
        <w:rPr/>
        <w:t>Encuestas</w:t>
      </w:r>
      <w:r>
        <w:rPr>
          <w:spacing w:val="-11"/>
        </w:rPr>
        <w:t> </w:t>
      </w:r>
      <w:r>
        <w:rPr/>
        <w:t>de</w:t>
      </w:r>
      <w:r>
        <w:rPr>
          <w:spacing w:val="-9"/>
        </w:rPr>
        <w:t> </w:t>
      </w:r>
      <w:r>
        <w:rPr/>
        <w:t>Hogares permiten construir estos perfiles que llevan a destacar como rasgos sobresalientes de los hogares pobres los siguientes:</w:t>
      </w:r>
    </w:p>
    <w:p>
      <w:pPr>
        <w:pStyle w:val="ListParagraph"/>
        <w:numPr>
          <w:ilvl w:val="0"/>
          <w:numId w:val="15"/>
        </w:numPr>
        <w:tabs>
          <w:tab w:pos="2053" w:val="left" w:leader="none"/>
          <w:tab w:pos="2055" w:val="left" w:leader="none"/>
        </w:tabs>
        <w:spacing w:line="237" w:lineRule="auto" w:before="127" w:after="0"/>
        <w:ind w:left="2055" w:right="2055" w:hanging="356"/>
        <w:jc w:val="both"/>
        <w:rPr>
          <w:sz w:val="22"/>
        </w:rPr>
      </w:pPr>
      <w:r>
        <w:rPr>
          <w:sz w:val="22"/>
        </w:rPr>
        <w:t>Un</w:t>
      </w:r>
      <w:r>
        <w:rPr>
          <w:spacing w:val="-16"/>
          <w:sz w:val="22"/>
        </w:rPr>
        <w:t> </w:t>
      </w:r>
      <w:r>
        <w:rPr>
          <w:sz w:val="22"/>
        </w:rPr>
        <w:t>número</w:t>
      </w:r>
      <w:r>
        <w:rPr>
          <w:spacing w:val="-15"/>
          <w:sz w:val="22"/>
        </w:rPr>
        <w:t> </w:t>
      </w:r>
      <w:r>
        <w:rPr>
          <w:sz w:val="22"/>
        </w:rPr>
        <w:t>de</w:t>
      </w:r>
      <w:r>
        <w:rPr>
          <w:spacing w:val="-15"/>
          <w:sz w:val="22"/>
        </w:rPr>
        <w:t> </w:t>
      </w:r>
      <w:r>
        <w:rPr>
          <w:sz w:val="22"/>
        </w:rPr>
        <w:t>miembros</w:t>
      </w:r>
      <w:r>
        <w:rPr>
          <w:spacing w:val="-16"/>
          <w:sz w:val="22"/>
        </w:rPr>
        <w:t> </w:t>
      </w:r>
      <w:r>
        <w:rPr>
          <w:sz w:val="22"/>
        </w:rPr>
        <w:t>superior</w:t>
      </w:r>
      <w:r>
        <w:rPr>
          <w:spacing w:val="-15"/>
          <w:sz w:val="22"/>
        </w:rPr>
        <w:t> </w:t>
      </w:r>
      <w:r>
        <w:rPr>
          <w:sz w:val="22"/>
        </w:rPr>
        <w:t>al</w:t>
      </w:r>
      <w:r>
        <w:rPr>
          <w:spacing w:val="-15"/>
          <w:sz w:val="22"/>
        </w:rPr>
        <w:t> </w:t>
      </w:r>
      <w:r>
        <w:rPr>
          <w:sz w:val="22"/>
        </w:rPr>
        <w:t>del</w:t>
      </w:r>
      <w:r>
        <w:rPr>
          <w:spacing w:val="-15"/>
          <w:sz w:val="22"/>
        </w:rPr>
        <w:t> </w:t>
      </w:r>
      <w:r>
        <w:rPr>
          <w:sz w:val="22"/>
        </w:rPr>
        <w:t>promedio</w:t>
      </w:r>
      <w:r>
        <w:rPr>
          <w:spacing w:val="-16"/>
          <w:sz w:val="22"/>
        </w:rPr>
        <w:t> </w:t>
      </w:r>
      <w:r>
        <w:rPr>
          <w:sz w:val="22"/>
        </w:rPr>
        <w:t>de</w:t>
      </w:r>
      <w:r>
        <w:rPr>
          <w:spacing w:val="-15"/>
          <w:sz w:val="22"/>
        </w:rPr>
        <w:t> </w:t>
      </w:r>
      <w:r>
        <w:rPr>
          <w:sz w:val="22"/>
        </w:rPr>
        <w:t>hogares;</w:t>
      </w:r>
      <w:r>
        <w:rPr>
          <w:spacing w:val="-15"/>
          <w:sz w:val="22"/>
        </w:rPr>
        <w:t> </w:t>
      </w:r>
      <w:r>
        <w:rPr>
          <w:sz w:val="22"/>
        </w:rPr>
        <w:t>tienen</w:t>
      </w:r>
      <w:r>
        <w:rPr>
          <w:spacing w:val="10"/>
          <w:sz w:val="22"/>
        </w:rPr>
        <w:t> </w:t>
      </w:r>
      <w:r>
        <w:rPr>
          <w:sz w:val="22"/>
        </w:rPr>
        <w:t>una mayor relación de dependencia demográfica explicada por la presencia de</w:t>
      </w:r>
      <w:r>
        <w:rPr>
          <w:spacing w:val="40"/>
          <w:sz w:val="22"/>
        </w:rPr>
        <w:t> </w:t>
      </w:r>
      <w:r>
        <w:rPr>
          <w:sz w:val="22"/>
        </w:rPr>
        <w:t>niñas, niños y personas adultas mayores)</w:t>
      </w:r>
    </w:p>
    <w:p>
      <w:pPr>
        <w:pStyle w:val="ListParagraph"/>
        <w:numPr>
          <w:ilvl w:val="0"/>
          <w:numId w:val="15"/>
        </w:numPr>
        <w:tabs>
          <w:tab w:pos="2053" w:val="left" w:leader="none"/>
          <w:tab w:pos="2055" w:val="left" w:leader="none"/>
        </w:tabs>
        <w:spacing w:line="240" w:lineRule="auto" w:before="3" w:after="0"/>
        <w:ind w:left="2055" w:right="2064" w:hanging="356"/>
        <w:jc w:val="both"/>
        <w:rPr>
          <w:sz w:val="22"/>
        </w:rPr>
      </w:pPr>
      <w:r>
        <w:rPr>
          <w:sz w:val="22"/>
        </w:rPr>
        <w:t>Los miembros (y el jefe(a)) poseen menor educación; por debajo del tercer nivel de la educación general básica</w:t>
      </w:r>
    </w:p>
    <w:p>
      <w:pPr>
        <w:pStyle w:val="ListParagraph"/>
        <w:numPr>
          <w:ilvl w:val="0"/>
          <w:numId w:val="15"/>
        </w:numPr>
        <w:tabs>
          <w:tab w:pos="2053" w:val="left" w:leader="none"/>
          <w:tab w:pos="2055" w:val="left" w:leader="none"/>
        </w:tabs>
        <w:spacing w:line="240" w:lineRule="auto" w:before="0" w:after="0"/>
        <w:ind w:left="2055" w:right="2061" w:hanging="356"/>
        <w:jc w:val="both"/>
        <w:rPr>
          <w:sz w:val="22"/>
        </w:rPr>
      </w:pPr>
      <w:r>
        <w:rPr>
          <w:sz w:val="22"/>
        </w:rPr>
        <w:t>Una alta proporción de los hogares pobres extremos tiene jefatura femenina y ello acontece principalmente en los hogares extremadamente pobres urbanos;</w:t>
      </w:r>
    </w:p>
    <w:p>
      <w:pPr>
        <w:pStyle w:val="ListParagraph"/>
        <w:numPr>
          <w:ilvl w:val="0"/>
          <w:numId w:val="15"/>
        </w:numPr>
        <w:tabs>
          <w:tab w:pos="2054" w:val="left" w:leader="none"/>
        </w:tabs>
        <w:spacing w:line="240" w:lineRule="auto" w:before="0" w:after="0"/>
        <w:ind w:left="2054" w:right="0" w:hanging="354"/>
        <w:jc w:val="both"/>
        <w:rPr>
          <w:sz w:val="22"/>
        </w:rPr>
      </w:pPr>
      <w:r>
        <w:rPr>
          <w:sz w:val="22"/>
        </w:rPr>
        <w:t>Tienen</w:t>
      </w:r>
      <w:r>
        <w:rPr>
          <w:spacing w:val="-12"/>
          <w:sz w:val="22"/>
        </w:rPr>
        <w:t> </w:t>
      </w:r>
      <w:r>
        <w:rPr>
          <w:sz w:val="22"/>
        </w:rPr>
        <w:t>menor</w:t>
      </w:r>
      <w:r>
        <w:rPr>
          <w:spacing w:val="-11"/>
          <w:sz w:val="22"/>
        </w:rPr>
        <w:t> </w:t>
      </w:r>
      <w:r>
        <w:rPr>
          <w:sz w:val="22"/>
        </w:rPr>
        <w:t>número</w:t>
      </w:r>
      <w:r>
        <w:rPr>
          <w:spacing w:val="-8"/>
          <w:sz w:val="22"/>
        </w:rPr>
        <w:t> </w:t>
      </w:r>
      <w:r>
        <w:rPr>
          <w:sz w:val="22"/>
        </w:rPr>
        <w:t>promedio</w:t>
      </w:r>
      <w:r>
        <w:rPr>
          <w:spacing w:val="-7"/>
          <w:sz w:val="22"/>
        </w:rPr>
        <w:t> </w:t>
      </w:r>
      <w:r>
        <w:rPr>
          <w:sz w:val="22"/>
        </w:rPr>
        <w:t>de</w:t>
      </w:r>
      <w:r>
        <w:rPr>
          <w:spacing w:val="-9"/>
          <w:sz w:val="22"/>
        </w:rPr>
        <w:t> </w:t>
      </w:r>
      <w:r>
        <w:rPr>
          <w:spacing w:val="-2"/>
          <w:sz w:val="22"/>
        </w:rPr>
        <w:t>ocupados</w:t>
      </w:r>
    </w:p>
    <w:p>
      <w:pPr>
        <w:pStyle w:val="ListParagraph"/>
        <w:spacing w:after="0" w:line="240" w:lineRule="auto"/>
        <w:jc w:val="both"/>
        <w:rPr>
          <w:sz w:val="22"/>
        </w:rPr>
        <w:sectPr>
          <w:pgSz w:w="12240" w:h="15840"/>
          <w:pgMar w:header="0" w:footer="1021" w:top="1340" w:bottom="1220" w:left="720" w:right="360"/>
        </w:sectPr>
      </w:pPr>
    </w:p>
    <w:p>
      <w:pPr>
        <w:pStyle w:val="ListParagraph"/>
        <w:numPr>
          <w:ilvl w:val="0"/>
          <w:numId w:val="15"/>
        </w:numPr>
        <w:tabs>
          <w:tab w:pos="2055" w:val="left" w:leader="none"/>
        </w:tabs>
        <w:spacing w:line="269" w:lineRule="exact" w:before="76" w:after="0"/>
        <w:ind w:left="2055" w:right="0" w:hanging="355"/>
        <w:jc w:val="left"/>
        <w:rPr>
          <w:sz w:val="22"/>
        </w:rPr>
      </w:pPr>
      <w:r>
        <w:rPr>
          <w:sz w:val="22"/>
        </w:rPr>
        <w:t>Sufren</w:t>
      </w:r>
      <w:r>
        <w:rPr>
          <w:spacing w:val="-9"/>
          <w:sz w:val="22"/>
        </w:rPr>
        <w:t> </w:t>
      </w:r>
      <w:r>
        <w:rPr>
          <w:sz w:val="22"/>
        </w:rPr>
        <w:t>una</w:t>
      </w:r>
      <w:r>
        <w:rPr>
          <w:spacing w:val="-8"/>
          <w:sz w:val="22"/>
        </w:rPr>
        <w:t> </w:t>
      </w:r>
      <w:r>
        <w:rPr>
          <w:sz w:val="22"/>
        </w:rPr>
        <w:t>mayor</w:t>
      </w:r>
      <w:r>
        <w:rPr>
          <w:spacing w:val="-7"/>
          <w:sz w:val="22"/>
        </w:rPr>
        <w:t> </w:t>
      </w:r>
      <w:r>
        <w:rPr>
          <w:sz w:val="22"/>
        </w:rPr>
        <w:t>tasa</w:t>
      </w:r>
      <w:r>
        <w:rPr>
          <w:spacing w:val="-8"/>
          <w:sz w:val="22"/>
        </w:rPr>
        <w:t> </w:t>
      </w:r>
      <w:r>
        <w:rPr>
          <w:sz w:val="22"/>
        </w:rPr>
        <w:t>de</w:t>
      </w:r>
      <w:r>
        <w:rPr>
          <w:spacing w:val="-9"/>
          <w:sz w:val="22"/>
        </w:rPr>
        <w:t> </w:t>
      </w:r>
      <w:r>
        <w:rPr>
          <w:sz w:val="22"/>
        </w:rPr>
        <w:t>desempleo</w:t>
      </w:r>
      <w:r>
        <w:rPr>
          <w:spacing w:val="-7"/>
          <w:sz w:val="22"/>
        </w:rPr>
        <w:t> </w:t>
      </w:r>
      <w:r>
        <w:rPr>
          <w:spacing w:val="-2"/>
          <w:sz w:val="22"/>
        </w:rPr>
        <w:t>abierto</w:t>
      </w:r>
    </w:p>
    <w:p>
      <w:pPr>
        <w:pStyle w:val="ListParagraph"/>
        <w:numPr>
          <w:ilvl w:val="0"/>
          <w:numId w:val="15"/>
        </w:numPr>
        <w:tabs>
          <w:tab w:pos="2055" w:val="left" w:leader="none"/>
        </w:tabs>
        <w:spacing w:line="269" w:lineRule="exact" w:before="0" w:after="0"/>
        <w:ind w:left="2055" w:right="0" w:hanging="355"/>
        <w:jc w:val="left"/>
        <w:rPr>
          <w:sz w:val="22"/>
        </w:rPr>
      </w:pPr>
      <w:r>
        <w:rPr>
          <w:sz w:val="22"/>
        </w:rPr>
        <w:t>Hay</w:t>
      </w:r>
      <w:r>
        <w:rPr>
          <w:spacing w:val="-8"/>
          <w:sz w:val="22"/>
        </w:rPr>
        <w:t> </w:t>
      </w:r>
      <w:r>
        <w:rPr>
          <w:sz w:val="22"/>
        </w:rPr>
        <w:t>en</w:t>
      </w:r>
      <w:r>
        <w:rPr>
          <w:spacing w:val="-10"/>
          <w:sz w:val="22"/>
        </w:rPr>
        <w:t> </w:t>
      </w:r>
      <w:r>
        <w:rPr>
          <w:sz w:val="22"/>
        </w:rPr>
        <w:t>ellos</w:t>
      </w:r>
      <w:r>
        <w:rPr>
          <w:spacing w:val="-15"/>
          <w:sz w:val="22"/>
        </w:rPr>
        <w:t> </w:t>
      </w:r>
      <w:r>
        <w:rPr>
          <w:sz w:val="22"/>
        </w:rPr>
        <w:t>una</w:t>
      </w:r>
      <w:r>
        <w:rPr>
          <w:spacing w:val="-4"/>
          <w:sz w:val="22"/>
        </w:rPr>
        <w:t> </w:t>
      </w:r>
      <w:r>
        <w:rPr>
          <w:sz w:val="22"/>
        </w:rPr>
        <w:t>mayor</w:t>
      </w:r>
      <w:r>
        <w:rPr>
          <w:spacing w:val="-8"/>
          <w:sz w:val="22"/>
        </w:rPr>
        <w:t> </w:t>
      </w:r>
      <w:r>
        <w:rPr>
          <w:sz w:val="22"/>
        </w:rPr>
        <w:t>relación</w:t>
      </w:r>
      <w:r>
        <w:rPr>
          <w:spacing w:val="-8"/>
          <w:sz w:val="22"/>
        </w:rPr>
        <w:t> </w:t>
      </w:r>
      <w:r>
        <w:rPr>
          <w:sz w:val="22"/>
        </w:rPr>
        <w:t>de</w:t>
      </w:r>
      <w:r>
        <w:rPr>
          <w:spacing w:val="-10"/>
          <w:sz w:val="22"/>
        </w:rPr>
        <w:t> </w:t>
      </w:r>
      <w:r>
        <w:rPr>
          <w:sz w:val="22"/>
        </w:rPr>
        <w:t>dependencia</w:t>
      </w:r>
      <w:r>
        <w:rPr>
          <w:spacing w:val="-12"/>
          <w:sz w:val="22"/>
        </w:rPr>
        <w:t> </w:t>
      </w:r>
      <w:r>
        <w:rPr>
          <w:spacing w:val="-2"/>
          <w:sz w:val="22"/>
        </w:rPr>
        <w:t>económica</w:t>
      </w:r>
    </w:p>
    <w:p>
      <w:pPr>
        <w:pStyle w:val="ListParagraph"/>
        <w:numPr>
          <w:ilvl w:val="0"/>
          <w:numId w:val="15"/>
        </w:numPr>
        <w:tabs>
          <w:tab w:pos="2055" w:val="left" w:leader="none"/>
        </w:tabs>
        <w:spacing w:line="237" w:lineRule="auto" w:before="2" w:after="0"/>
        <w:ind w:left="2055" w:right="2328" w:hanging="356"/>
        <w:jc w:val="left"/>
        <w:rPr>
          <w:sz w:val="22"/>
        </w:rPr>
      </w:pPr>
      <w:r>
        <w:rPr>
          <w:sz w:val="22"/>
        </w:rPr>
        <w:t>Es</w:t>
      </w:r>
      <w:r>
        <w:rPr>
          <w:spacing w:val="36"/>
          <w:sz w:val="22"/>
        </w:rPr>
        <w:t> </w:t>
      </w:r>
      <w:r>
        <w:rPr>
          <w:sz w:val="22"/>
        </w:rPr>
        <w:t>baja</w:t>
      </w:r>
      <w:r>
        <w:rPr>
          <w:spacing w:val="39"/>
          <w:sz w:val="22"/>
        </w:rPr>
        <w:t> </w:t>
      </w:r>
      <w:r>
        <w:rPr>
          <w:sz w:val="22"/>
        </w:rPr>
        <w:t>la</w:t>
      </w:r>
      <w:r>
        <w:rPr>
          <w:spacing w:val="38"/>
          <w:sz w:val="22"/>
        </w:rPr>
        <w:t> </w:t>
      </w:r>
      <w:r>
        <w:rPr>
          <w:sz w:val="22"/>
        </w:rPr>
        <w:t>incorporación</w:t>
      </w:r>
      <w:r>
        <w:rPr>
          <w:spacing w:val="40"/>
          <w:sz w:val="22"/>
        </w:rPr>
        <w:t> </w:t>
      </w:r>
      <w:r>
        <w:rPr>
          <w:sz w:val="22"/>
        </w:rPr>
        <w:t>de</w:t>
      </w:r>
      <w:r>
        <w:rPr>
          <w:spacing w:val="38"/>
          <w:sz w:val="22"/>
        </w:rPr>
        <w:t> </w:t>
      </w:r>
      <w:r>
        <w:rPr>
          <w:sz w:val="22"/>
        </w:rPr>
        <w:t>los</w:t>
      </w:r>
      <w:r>
        <w:rPr>
          <w:spacing w:val="32"/>
          <w:sz w:val="22"/>
        </w:rPr>
        <w:t> </w:t>
      </w:r>
      <w:r>
        <w:rPr>
          <w:sz w:val="22"/>
        </w:rPr>
        <w:t>pobres</w:t>
      </w:r>
      <w:r>
        <w:rPr>
          <w:spacing w:val="37"/>
          <w:sz w:val="22"/>
        </w:rPr>
        <w:t> </w:t>
      </w:r>
      <w:r>
        <w:rPr>
          <w:sz w:val="22"/>
        </w:rPr>
        <w:t>en</w:t>
      </w:r>
      <w:r>
        <w:rPr>
          <w:spacing w:val="38"/>
          <w:sz w:val="22"/>
        </w:rPr>
        <w:t> </w:t>
      </w:r>
      <w:r>
        <w:rPr>
          <w:sz w:val="22"/>
        </w:rPr>
        <w:t>el</w:t>
      </w:r>
      <w:r>
        <w:rPr>
          <w:spacing w:val="35"/>
          <w:sz w:val="22"/>
        </w:rPr>
        <w:t> </w:t>
      </w:r>
      <w:r>
        <w:rPr>
          <w:sz w:val="22"/>
        </w:rPr>
        <w:t>segmento</w:t>
      </w:r>
      <w:r>
        <w:rPr>
          <w:spacing w:val="40"/>
          <w:sz w:val="22"/>
        </w:rPr>
        <w:t> </w:t>
      </w:r>
      <w:r>
        <w:rPr>
          <w:sz w:val="22"/>
        </w:rPr>
        <w:t>formal</w:t>
      </w:r>
      <w:r>
        <w:rPr>
          <w:spacing w:val="32"/>
          <w:sz w:val="22"/>
        </w:rPr>
        <w:t> </w:t>
      </w:r>
      <w:r>
        <w:rPr>
          <w:sz w:val="22"/>
        </w:rPr>
        <w:t>del mercado</w:t>
      </w:r>
      <w:r>
        <w:rPr>
          <w:spacing w:val="40"/>
          <w:sz w:val="22"/>
        </w:rPr>
        <w:t> </w:t>
      </w:r>
      <w:r>
        <w:rPr>
          <w:sz w:val="22"/>
        </w:rPr>
        <w:t>de</w:t>
      </w:r>
      <w:r>
        <w:rPr>
          <w:spacing w:val="40"/>
          <w:sz w:val="22"/>
        </w:rPr>
        <w:t> </w:t>
      </w:r>
      <w:r>
        <w:rPr>
          <w:sz w:val="22"/>
        </w:rPr>
        <w:t>trabajo;</w:t>
      </w:r>
      <w:r>
        <w:rPr>
          <w:spacing w:val="40"/>
          <w:sz w:val="22"/>
        </w:rPr>
        <w:t> </w:t>
      </w:r>
      <w:r>
        <w:rPr>
          <w:sz w:val="22"/>
        </w:rPr>
        <w:t>se incorporan principalmente al sector informal urbano y al agropecuario (INEC).</w:t>
      </w:r>
    </w:p>
    <w:p>
      <w:pPr>
        <w:pStyle w:val="Heading1"/>
        <w:spacing w:before="124"/>
        <w:ind w:left="979"/>
      </w:pPr>
      <w:r>
        <w:rPr/>
        <w:t>Árbol</w:t>
      </w:r>
      <w:r>
        <w:rPr>
          <w:spacing w:val="-1"/>
        </w:rPr>
        <w:t> </w:t>
      </w:r>
      <w:r>
        <w:rPr/>
        <w:t>de</w:t>
      </w:r>
      <w:r>
        <w:rPr>
          <w:spacing w:val="-4"/>
        </w:rPr>
        <w:t> </w:t>
      </w:r>
      <w:r>
        <w:rPr>
          <w:spacing w:val="-2"/>
        </w:rPr>
        <w:t>problemas</w:t>
      </w:r>
    </w:p>
    <w:p>
      <w:pPr>
        <w:pStyle w:val="BodyText"/>
        <w:spacing w:before="275"/>
        <w:ind w:left="979" w:right="1349"/>
        <w:jc w:val="both"/>
      </w:pPr>
      <w:r>
        <w:rPr/>
        <w:t>En</w:t>
      </w:r>
      <w:r>
        <w:rPr>
          <w:spacing w:val="-4"/>
        </w:rPr>
        <w:t> </w:t>
      </w:r>
      <w:r>
        <w:rPr/>
        <w:t>aras</w:t>
      </w:r>
      <w:r>
        <w:rPr>
          <w:spacing w:val="-6"/>
        </w:rPr>
        <w:t> </w:t>
      </w:r>
      <w:r>
        <w:rPr/>
        <w:t>de</w:t>
      </w:r>
      <w:r>
        <w:rPr>
          <w:spacing w:val="-9"/>
        </w:rPr>
        <w:t> </w:t>
      </w:r>
      <w:r>
        <w:rPr/>
        <w:t>un</w:t>
      </w:r>
      <w:r>
        <w:rPr>
          <w:spacing w:val="-9"/>
        </w:rPr>
        <w:t> </w:t>
      </w:r>
      <w:r>
        <w:rPr/>
        <w:t>acercamiento</w:t>
      </w:r>
      <w:r>
        <w:rPr>
          <w:spacing w:val="-9"/>
        </w:rPr>
        <w:t> </w:t>
      </w:r>
      <w:r>
        <w:rPr/>
        <w:t>más</w:t>
      </w:r>
      <w:r>
        <w:rPr>
          <w:spacing w:val="-11"/>
        </w:rPr>
        <w:t> </w:t>
      </w:r>
      <w:r>
        <w:rPr/>
        <w:t>detallado</w:t>
      </w:r>
      <w:r>
        <w:rPr>
          <w:spacing w:val="-4"/>
        </w:rPr>
        <w:t> </w:t>
      </w:r>
      <w:r>
        <w:rPr/>
        <w:t>y</w:t>
      </w:r>
      <w:r>
        <w:rPr>
          <w:spacing w:val="-6"/>
        </w:rPr>
        <w:t> </w:t>
      </w:r>
      <w:r>
        <w:rPr/>
        <w:t>de</w:t>
      </w:r>
      <w:r>
        <w:rPr>
          <w:spacing w:val="-4"/>
        </w:rPr>
        <w:t> </w:t>
      </w:r>
      <w:r>
        <w:rPr/>
        <w:t>cara</w:t>
      </w:r>
      <w:r>
        <w:rPr>
          <w:spacing w:val="-4"/>
        </w:rPr>
        <w:t> </w:t>
      </w:r>
      <w:r>
        <w:rPr/>
        <w:t>a</w:t>
      </w:r>
      <w:r>
        <w:rPr>
          <w:spacing w:val="-4"/>
        </w:rPr>
        <w:t> </w:t>
      </w:r>
      <w:r>
        <w:rPr/>
        <w:t>priorizar</w:t>
      </w:r>
      <w:r>
        <w:rPr>
          <w:spacing w:val="-8"/>
        </w:rPr>
        <w:t> </w:t>
      </w:r>
      <w:r>
        <w:rPr/>
        <w:t>los</w:t>
      </w:r>
      <w:r>
        <w:rPr>
          <w:spacing w:val="-6"/>
        </w:rPr>
        <w:t> </w:t>
      </w:r>
      <w:r>
        <w:rPr/>
        <w:t>problemas</w:t>
      </w:r>
      <w:r>
        <w:rPr>
          <w:spacing w:val="-6"/>
        </w:rPr>
        <w:t> </w:t>
      </w:r>
      <w:r>
        <w:rPr/>
        <w:t>por</w:t>
      </w:r>
      <w:r>
        <w:rPr>
          <w:spacing w:val="-8"/>
        </w:rPr>
        <w:t> </w:t>
      </w:r>
      <w:r>
        <w:rPr/>
        <w:t>abordar, se consideró importante acompañar el diagnóstico con la herramienta metodológica del denominado árbol de problemas para capturar mejor la esencia de esos problemas prioritarios, vinculándolos a las consecuencias observadas de su interacción (efectos) y a partir de las causas (problemas raíz), establecer las estrategias de acción.</w:t>
      </w:r>
    </w:p>
    <w:p>
      <w:pPr>
        <w:pStyle w:val="BodyText"/>
      </w:pPr>
    </w:p>
    <w:p>
      <w:pPr>
        <w:pStyle w:val="BodyText"/>
        <w:ind w:left="979" w:right="1347"/>
        <w:jc w:val="both"/>
      </w:pPr>
      <w:r>
        <w:rPr/>
        <w:t>Las causas profundas tienen que ver con las debilidades del crecimiento económico, un tejido institucional con problemas para sostener su efectiva articulación como política de Estado, el desacople de la fuerza de trabajo con las fuentes de mayor dinamismo económico,</w:t>
      </w:r>
      <w:r>
        <w:rPr>
          <w:spacing w:val="-2"/>
        </w:rPr>
        <w:t> </w:t>
      </w:r>
      <w:r>
        <w:rPr/>
        <w:t>la</w:t>
      </w:r>
      <w:r>
        <w:rPr>
          <w:spacing w:val="-2"/>
        </w:rPr>
        <w:t> </w:t>
      </w:r>
      <w:r>
        <w:rPr/>
        <w:t>concentración</w:t>
      </w:r>
      <w:r>
        <w:rPr>
          <w:spacing w:val="-6"/>
        </w:rPr>
        <w:t> </w:t>
      </w:r>
      <w:r>
        <w:rPr/>
        <w:t>de</w:t>
      </w:r>
      <w:r>
        <w:rPr>
          <w:spacing w:val="-6"/>
        </w:rPr>
        <w:t> </w:t>
      </w:r>
      <w:r>
        <w:rPr/>
        <w:t>oportunidades</w:t>
      </w:r>
      <w:r>
        <w:rPr>
          <w:spacing w:val="-3"/>
        </w:rPr>
        <w:t> </w:t>
      </w:r>
      <w:r>
        <w:rPr/>
        <w:t>en</w:t>
      </w:r>
      <w:r>
        <w:rPr>
          <w:spacing w:val="-6"/>
        </w:rPr>
        <w:t> </w:t>
      </w:r>
      <w:r>
        <w:rPr/>
        <w:t>el</w:t>
      </w:r>
      <w:r>
        <w:rPr>
          <w:spacing w:val="-4"/>
        </w:rPr>
        <w:t> </w:t>
      </w:r>
      <w:r>
        <w:rPr/>
        <w:t>Valle</w:t>
      </w:r>
      <w:r>
        <w:rPr>
          <w:spacing w:val="-2"/>
        </w:rPr>
        <w:t> </w:t>
      </w:r>
      <w:r>
        <w:rPr/>
        <w:t>Central</w:t>
      </w:r>
      <w:r>
        <w:rPr>
          <w:spacing w:val="-4"/>
        </w:rPr>
        <w:t> </w:t>
      </w:r>
      <w:r>
        <w:rPr/>
        <w:t>como</w:t>
      </w:r>
      <w:r>
        <w:rPr>
          <w:spacing w:val="-2"/>
        </w:rPr>
        <w:t> </w:t>
      </w:r>
      <w:r>
        <w:rPr/>
        <w:t>factor</w:t>
      </w:r>
      <w:r>
        <w:rPr>
          <w:spacing w:val="-5"/>
        </w:rPr>
        <w:t> </w:t>
      </w:r>
      <w:r>
        <w:rPr/>
        <w:t>ralentizador de</w:t>
      </w:r>
      <w:r>
        <w:rPr>
          <w:spacing w:val="-16"/>
        </w:rPr>
        <w:t> </w:t>
      </w:r>
      <w:r>
        <w:rPr/>
        <w:t>los</w:t>
      </w:r>
      <w:r>
        <w:rPr>
          <w:spacing w:val="-15"/>
        </w:rPr>
        <w:t> </w:t>
      </w:r>
      <w:r>
        <w:rPr/>
        <w:t>ritmos</w:t>
      </w:r>
      <w:r>
        <w:rPr>
          <w:spacing w:val="-15"/>
        </w:rPr>
        <w:t> </w:t>
      </w:r>
      <w:r>
        <w:rPr/>
        <w:t>de</w:t>
      </w:r>
      <w:r>
        <w:rPr>
          <w:spacing w:val="-16"/>
        </w:rPr>
        <w:t> </w:t>
      </w:r>
      <w:r>
        <w:rPr/>
        <w:t>progreso</w:t>
      </w:r>
      <w:r>
        <w:rPr>
          <w:spacing w:val="-15"/>
        </w:rPr>
        <w:t> </w:t>
      </w:r>
      <w:r>
        <w:rPr/>
        <w:t>económico</w:t>
      </w:r>
      <w:r>
        <w:rPr>
          <w:spacing w:val="-15"/>
        </w:rPr>
        <w:t> </w:t>
      </w:r>
      <w:r>
        <w:rPr/>
        <w:t>y</w:t>
      </w:r>
      <w:r>
        <w:rPr>
          <w:spacing w:val="-15"/>
        </w:rPr>
        <w:t> </w:t>
      </w:r>
      <w:r>
        <w:rPr/>
        <w:t>social,</w:t>
      </w:r>
      <w:r>
        <w:rPr>
          <w:spacing w:val="-16"/>
        </w:rPr>
        <w:t> </w:t>
      </w:r>
      <w:r>
        <w:rPr/>
        <w:t>lo</w:t>
      </w:r>
      <w:r>
        <w:rPr>
          <w:spacing w:val="-15"/>
        </w:rPr>
        <w:t> </w:t>
      </w:r>
      <w:r>
        <w:rPr/>
        <w:t>que</w:t>
      </w:r>
      <w:r>
        <w:rPr>
          <w:spacing w:val="-15"/>
        </w:rPr>
        <w:t> </w:t>
      </w:r>
      <w:r>
        <w:rPr/>
        <w:t>nos</w:t>
      </w:r>
      <w:r>
        <w:rPr>
          <w:spacing w:val="-16"/>
        </w:rPr>
        <w:t> </w:t>
      </w:r>
      <w:r>
        <w:rPr/>
        <w:t>lleva</w:t>
      </w:r>
      <w:r>
        <w:rPr>
          <w:spacing w:val="-15"/>
        </w:rPr>
        <w:t> </w:t>
      </w:r>
      <w:r>
        <w:rPr/>
        <w:t>a</w:t>
      </w:r>
      <w:r>
        <w:rPr>
          <w:spacing w:val="-15"/>
        </w:rPr>
        <w:t> </w:t>
      </w:r>
      <w:r>
        <w:rPr/>
        <w:t>la</w:t>
      </w:r>
      <w:r>
        <w:rPr>
          <w:spacing w:val="-15"/>
        </w:rPr>
        <w:t> </w:t>
      </w:r>
      <w:r>
        <w:rPr/>
        <w:t>construcción</w:t>
      </w:r>
      <w:r>
        <w:rPr>
          <w:spacing w:val="-16"/>
        </w:rPr>
        <w:t> </w:t>
      </w:r>
      <w:r>
        <w:rPr/>
        <w:t>del</w:t>
      </w:r>
      <w:r>
        <w:rPr>
          <w:spacing w:val="-15"/>
        </w:rPr>
        <w:t> </w:t>
      </w:r>
      <w:r>
        <w:rPr/>
        <w:t>siguiente problema central.</w:t>
      </w:r>
    </w:p>
    <w:p>
      <w:pPr>
        <w:pStyle w:val="BodyText"/>
        <w:spacing w:before="1"/>
      </w:pPr>
    </w:p>
    <w:p>
      <w:pPr>
        <w:pStyle w:val="Heading2"/>
        <w:ind w:left="2060"/>
        <w:jc w:val="both"/>
      </w:pPr>
      <w:r>
        <w:rPr/>
        <w:t>Problema</w:t>
      </w:r>
      <w:r>
        <w:rPr>
          <w:spacing w:val="-4"/>
        </w:rPr>
        <w:t> </w:t>
      </w:r>
      <w:r>
        <w:rPr>
          <w:spacing w:val="-2"/>
        </w:rPr>
        <w:t>Central:</w:t>
      </w:r>
    </w:p>
    <w:p>
      <w:pPr>
        <w:pStyle w:val="BodyText"/>
        <w:spacing w:before="1"/>
        <w:ind w:left="979" w:right="1351"/>
        <w:jc w:val="both"/>
      </w:pPr>
      <w:r>
        <w:rPr/>
        <w:t>“Persistencia de la pobreza y la desigualdad en Costa Rica debido a la limitada inclusión económica, el desacople laboral, la concentración de oportunidades y la débil articulación </w:t>
      </w:r>
      <w:r>
        <w:rPr>
          <w:spacing w:val="-2"/>
        </w:rPr>
        <w:t>institucional.”</w:t>
      </w:r>
    </w:p>
    <w:p>
      <w:pPr>
        <w:pStyle w:val="Heading2"/>
        <w:spacing w:before="250"/>
        <w:ind w:left="2060"/>
      </w:pPr>
      <w:r>
        <w:rPr/>
        <w:t>Causas</w:t>
      </w:r>
      <w:r>
        <w:rPr>
          <w:spacing w:val="-2"/>
        </w:rPr>
        <w:t> (Raíces):</w:t>
      </w:r>
    </w:p>
    <w:p>
      <w:pPr>
        <w:pStyle w:val="ListParagraph"/>
        <w:numPr>
          <w:ilvl w:val="0"/>
          <w:numId w:val="16"/>
        </w:numPr>
        <w:tabs>
          <w:tab w:pos="2418" w:val="left" w:leader="none"/>
          <w:tab w:pos="2420" w:val="left" w:leader="none"/>
        </w:tabs>
        <w:spacing w:line="240" w:lineRule="auto" w:before="1" w:after="0"/>
        <w:ind w:left="2420" w:right="2979" w:hanging="361"/>
        <w:jc w:val="left"/>
        <w:rPr>
          <w:sz w:val="22"/>
        </w:rPr>
      </w:pPr>
      <w:r>
        <w:rPr>
          <w:sz w:val="22"/>
        </w:rPr>
        <w:t>Dificultad</w:t>
      </w:r>
      <w:r>
        <w:rPr>
          <w:spacing w:val="-4"/>
          <w:sz w:val="22"/>
        </w:rPr>
        <w:t> </w:t>
      </w:r>
      <w:r>
        <w:rPr>
          <w:sz w:val="22"/>
        </w:rPr>
        <w:t>de</w:t>
      </w:r>
      <w:r>
        <w:rPr>
          <w:spacing w:val="-4"/>
          <w:sz w:val="22"/>
        </w:rPr>
        <w:t> </w:t>
      </w:r>
      <w:r>
        <w:rPr>
          <w:sz w:val="22"/>
        </w:rPr>
        <w:t>las</w:t>
      </w:r>
      <w:r>
        <w:rPr>
          <w:spacing w:val="-4"/>
          <w:sz w:val="22"/>
        </w:rPr>
        <w:t> </w:t>
      </w:r>
      <w:r>
        <w:rPr>
          <w:sz w:val="22"/>
        </w:rPr>
        <w:t>poblaciones</w:t>
      </w:r>
      <w:r>
        <w:rPr>
          <w:spacing w:val="-9"/>
          <w:sz w:val="22"/>
        </w:rPr>
        <w:t> </w:t>
      </w:r>
      <w:r>
        <w:rPr>
          <w:sz w:val="22"/>
        </w:rPr>
        <w:t>vulnerables</w:t>
      </w:r>
      <w:r>
        <w:rPr>
          <w:spacing w:val="-9"/>
          <w:sz w:val="22"/>
        </w:rPr>
        <w:t> </w:t>
      </w:r>
      <w:r>
        <w:rPr>
          <w:sz w:val="22"/>
        </w:rPr>
        <w:t>para</w:t>
      </w:r>
      <w:r>
        <w:rPr>
          <w:spacing w:val="-4"/>
          <w:sz w:val="22"/>
        </w:rPr>
        <w:t> </w:t>
      </w:r>
      <w:r>
        <w:rPr>
          <w:sz w:val="22"/>
        </w:rPr>
        <w:t>vincularse</w:t>
      </w:r>
      <w:r>
        <w:rPr>
          <w:spacing w:val="-7"/>
          <w:sz w:val="22"/>
        </w:rPr>
        <w:t> </w:t>
      </w:r>
      <w:r>
        <w:rPr>
          <w:sz w:val="22"/>
        </w:rPr>
        <w:t>al crecimiento económico.</w:t>
      </w:r>
    </w:p>
    <w:p>
      <w:pPr>
        <w:pStyle w:val="ListParagraph"/>
        <w:numPr>
          <w:ilvl w:val="1"/>
          <w:numId w:val="16"/>
        </w:numPr>
        <w:tabs>
          <w:tab w:pos="3039" w:val="left" w:leader="none"/>
        </w:tabs>
        <w:spacing w:line="251" w:lineRule="exact" w:before="0" w:after="0"/>
        <w:ind w:left="3039" w:right="0" w:hanging="360"/>
        <w:jc w:val="left"/>
        <w:rPr>
          <w:sz w:val="22"/>
        </w:rPr>
      </w:pPr>
      <w:r>
        <w:rPr>
          <w:sz w:val="22"/>
        </w:rPr>
        <w:t>Barreras</w:t>
      </w:r>
      <w:r>
        <w:rPr>
          <w:spacing w:val="-8"/>
          <w:sz w:val="22"/>
        </w:rPr>
        <w:t> </w:t>
      </w:r>
      <w:r>
        <w:rPr>
          <w:sz w:val="22"/>
        </w:rPr>
        <w:t>de</w:t>
      </w:r>
      <w:r>
        <w:rPr>
          <w:spacing w:val="-2"/>
          <w:sz w:val="22"/>
        </w:rPr>
        <w:t> </w:t>
      </w:r>
      <w:r>
        <w:rPr>
          <w:sz w:val="22"/>
        </w:rPr>
        <w:t>acceso</w:t>
      </w:r>
      <w:r>
        <w:rPr>
          <w:spacing w:val="-2"/>
          <w:sz w:val="22"/>
        </w:rPr>
        <w:t> </w:t>
      </w:r>
      <w:r>
        <w:rPr>
          <w:sz w:val="22"/>
        </w:rPr>
        <w:t>a</w:t>
      </w:r>
      <w:r>
        <w:rPr>
          <w:spacing w:val="-6"/>
          <w:sz w:val="22"/>
        </w:rPr>
        <w:t> </w:t>
      </w:r>
      <w:r>
        <w:rPr>
          <w:sz w:val="22"/>
        </w:rPr>
        <w:t>empleo</w:t>
      </w:r>
      <w:r>
        <w:rPr>
          <w:spacing w:val="-5"/>
          <w:sz w:val="22"/>
        </w:rPr>
        <w:t> </w:t>
      </w:r>
      <w:r>
        <w:rPr>
          <w:spacing w:val="-2"/>
          <w:sz w:val="22"/>
        </w:rPr>
        <w:t>formal.</w:t>
      </w:r>
    </w:p>
    <w:p>
      <w:pPr>
        <w:pStyle w:val="ListParagraph"/>
        <w:numPr>
          <w:ilvl w:val="1"/>
          <w:numId w:val="16"/>
        </w:numPr>
        <w:tabs>
          <w:tab w:pos="3039" w:val="left" w:leader="none"/>
        </w:tabs>
        <w:spacing w:line="240" w:lineRule="auto" w:before="2" w:after="0"/>
        <w:ind w:left="3039" w:right="0" w:hanging="360"/>
        <w:jc w:val="left"/>
        <w:rPr>
          <w:sz w:val="22"/>
        </w:rPr>
      </w:pPr>
      <w:r>
        <w:rPr>
          <w:sz w:val="22"/>
        </w:rPr>
        <w:t>Brechas</w:t>
      </w:r>
      <w:r>
        <w:rPr>
          <w:spacing w:val="-9"/>
          <w:sz w:val="22"/>
        </w:rPr>
        <w:t> </w:t>
      </w:r>
      <w:r>
        <w:rPr>
          <w:sz w:val="22"/>
        </w:rPr>
        <w:t>en</w:t>
      </w:r>
      <w:r>
        <w:rPr>
          <w:spacing w:val="-7"/>
          <w:sz w:val="22"/>
        </w:rPr>
        <w:t> </w:t>
      </w:r>
      <w:r>
        <w:rPr>
          <w:sz w:val="22"/>
        </w:rPr>
        <w:t>educación</w:t>
      </w:r>
      <w:r>
        <w:rPr>
          <w:spacing w:val="-3"/>
          <w:sz w:val="22"/>
        </w:rPr>
        <w:t> </w:t>
      </w:r>
      <w:r>
        <w:rPr>
          <w:sz w:val="22"/>
        </w:rPr>
        <w:t>y</w:t>
      </w:r>
      <w:r>
        <w:rPr>
          <w:spacing w:val="-4"/>
          <w:sz w:val="22"/>
        </w:rPr>
        <w:t> </w:t>
      </w:r>
      <w:r>
        <w:rPr>
          <w:sz w:val="22"/>
        </w:rPr>
        <w:t>formación</w:t>
      </w:r>
      <w:r>
        <w:rPr>
          <w:spacing w:val="-3"/>
          <w:sz w:val="22"/>
        </w:rPr>
        <w:t> </w:t>
      </w:r>
      <w:r>
        <w:rPr>
          <w:spacing w:val="-2"/>
          <w:sz w:val="22"/>
        </w:rPr>
        <w:t>técnica.</w:t>
      </w:r>
    </w:p>
    <w:p>
      <w:pPr>
        <w:pStyle w:val="ListParagraph"/>
        <w:numPr>
          <w:ilvl w:val="1"/>
          <w:numId w:val="16"/>
        </w:numPr>
        <w:tabs>
          <w:tab w:pos="3039" w:val="left" w:leader="none"/>
        </w:tabs>
        <w:spacing w:line="240" w:lineRule="auto" w:before="1" w:after="0"/>
        <w:ind w:left="3039" w:right="2976" w:hanging="360"/>
        <w:jc w:val="left"/>
        <w:rPr>
          <w:sz w:val="22"/>
        </w:rPr>
      </w:pPr>
      <w:r>
        <w:rPr>
          <w:sz w:val="22"/>
        </w:rPr>
        <w:t>Falta</w:t>
      </w:r>
      <w:r>
        <w:rPr>
          <w:spacing w:val="-5"/>
          <w:sz w:val="22"/>
        </w:rPr>
        <w:t> </w:t>
      </w:r>
      <w:r>
        <w:rPr>
          <w:sz w:val="22"/>
        </w:rPr>
        <w:t>de</w:t>
      </w:r>
      <w:r>
        <w:rPr>
          <w:spacing w:val="-5"/>
          <w:sz w:val="22"/>
        </w:rPr>
        <w:t> </w:t>
      </w:r>
      <w:r>
        <w:rPr>
          <w:sz w:val="22"/>
        </w:rPr>
        <w:t>redes</w:t>
      </w:r>
      <w:r>
        <w:rPr>
          <w:spacing w:val="-7"/>
          <w:sz w:val="22"/>
        </w:rPr>
        <w:t> </w:t>
      </w:r>
      <w:r>
        <w:rPr>
          <w:sz w:val="22"/>
        </w:rPr>
        <w:t>de</w:t>
      </w:r>
      <w:r>
        <w:rPr>
          <w:spacing w:val="-5"/>
          <w:sz w:val="22"/>
        </w:rPr>
        <w:t> </w:t>
      </w:r>
      <w:r>
        <w:rPr>
          <w:sz w:val="22"/>
        </w:rPr>
        <w:t>apoyo</w:t>
      </w:r>
      <w:r>
        <w:rPr>
          <w:spacing w:val="-5"/>
          <w:sz w:val="22"/>
        </w:rPr>
        <w:t> </w:t>
      </w:r>
      <w:r>
        <w:rPr>
          <w:sz w:val="22"/>
        </w:rPr>
        <w:t>para</w:t>
      </w:r>
      <w:r>
        <w:rPr>
          <w:spacing w:val="-5"/>
          <w:sz w:val="22"/>
        </w:rPr>
        <w:t> </w:t>
      </w:r>
      <w:r>
        <w:rPr>
          <w:sz w:val="22"/>
        </w:rPr>
        <w:t>el</w:t>
      </w:r>
      <w:r>
        <w:rPr>
          <w:spacing w:val="-8"/>
          <w:sz w:val="22"/>
        </w:rPr>
        <w:t> </w:t>
      </w:r>
      <w:r>
        <w:rPr>
          <w:sz w:val="22"/>
        </w:rPr>
        <w:t>emprendimiento</w:t>
      </w:r>
      <w:r>
        <w:rPr>
          <w:spacing w:val="-5"/>
          <w:sz w:val="22"/>
        </w:rPr>
        <w:t> </w:t>
      </w:r>
      <w:r>
        <w:rPr>
          <w:sz w:val="22"/>
        </w:rPr>
        <w:t>y</w:t>
      </w:r>
      <w:r>
        <w:rPr>
          <w:spacing w:val="-2"/>
          <w:sz w:val="22"/>
        </w:rPr>
        <w:t> </w:t>
      </w:r>
      <w:r>
        <w:rPr>
          <w:sz w:val="22"/>
        </w:rPr>
        <w:t>la producción local.</w:t>
      </w:r>
    </w:p>
    <w:p>
      <w:pPr>
        <w:pStyle w:val="BodyText"/>
      </w:pPr>
    </w:p>
    <w:p>
      <w:pPr>
        <w:pStyle w:val="ListParagraph"/>
        <w:numPr>
          <w:ilvl w:val="0"/>
          <w:numId w:val="16"/>
        </w:numPr>
        <w:tabs>
          <w:tab w:pos="2413" w:val="left" w:leader="none"/>
          <w:tab w:pos="2415" w:val="left" w:leader="none"/>
        </w:tabs>
        <w:spacing w:line="240" w:lineRule="auto" w:before="0" w:after="0"/>
        <w:ind w:left="2415" w:right="2921" w:hanging="361"/>
        <w:jc w:val="left"/>
        <w:rPr>
          <w:sz w:val="22"/>
        </w:rPr>
      </w:pPr>
      <w:r>
        <w:rPr>
          <w:sz w:val="22"/>
        </w:rPr>
        <w:t>Desacople</w:t>
      </w:r>
      <w:r>
        <w:rPr>
          <w:spacing w:val="-4"/>
          <w:sz w:val="22"/>
        </w:rPr>
        <w:t> </w:t>
      </w:r>
      <w:r>
        <w:rPr>
          <w:sz w:val="22"/>
        </w:rPr>
        <w:t>entre</w:t>
      </w:r>
      <w:r>
        <w:rPr>
          <w:spacing w:val="-4"/>
          <w:sz w:val="22"/>
        </w:rPr>
        <w:t> </w:t>
      </w:r>
      <w:r>
        <w:rPr>
          <w:sz w:val="22"/>
        </w:rPr>
        <w:t>la fuerza</w:t>
      </w:r>
      <w:r>
        <w:rPr>
          <w:spacing w:val="-4"/>
          <w:sz w:val="22"/>
        </w:rPr>
        <w:t> </w:t>
      </w:r>
      <w:r>
        <w:rPr>
          <w:sz w:val="22"/>
        </w:rPr>
        <w:t>de</w:t>
      </w:r>
      <w:r>
        <w:rPr>
          <w:spacing w:val="-4"/>
          <w:sz w:val="22"/>
        </w:rPr>
        <w:t> </w:t>
      </w:r>
      <w:r>
        <w:rPr>
          <w:sz w:val="22"/>
        </w:rPr>
        <w:t>trabajo</w:t>
      </w:r>
      <w:r>
        <w:rPr>
          <w:spacing w:val="-4"/>
          <w:sz w:val="22"/>
        </w:rPr>
        <w:t> </w:t>
      </w:r>
      <w:r>
        <w:rPr>
          <w:sz w:val="22"/>
        </w:rPr>
        <w:t>y</w:t>
      </w:r>
      <w:r>
        <w:rPr>
          <w:spacing w:val="-1"/>
          <w:sz w:val="22"/>
        </w:rPr>
        <w:t> </w:t>
      </w:r>
      <w:r>
        <w:rPr>
          <w:sz w:val="22"/>
        </w:rPr>
        <w:t>las</w:t>
      </w:r>
      <w:r>
        <w:rPr>
          <w:spacing w:val="-6"/>
          <w:sz w:val="22"/>
        </w:rPr>
        <w:t> </w:t>
      </w:r>
      <w:r>
        <w:rPr>
          <w:sz w:val="22"/>
        </w:rPr>
        <w:t>fuentes</w:t>
      </w:r>
      <w:r>
        <w:rPr>
          <w:spacing w:val="-6"/>
          <w:sz w:val="22"/>
        </w:rPr>
        <w:t> </w:t>
      </w:r>
      <w:r>
        <w:rPr>
          <w:sz w:val="22"/>
        </w:rPr>
        <w:t>de</w:t>
      </w:r>
      <w:r>
        <w:rPr>
          <w:spacing w:val="-4"/>
          <w:sz w:val="22"/>
        </w:rPr>
        <w:t> </w:t>
      </w:r>
      <w:r>
        <w:rPr>
          <w:sz w:val="22"/>
        </w:rPr>
        <w:t>mayor dinamismo económico.</w:t>
      </w:r>
    </w:p>
    <w:p>
      <w:pPr>
        <w:pStyle w:val="ListParagraph"/>
        <w:numPr>
          <w:ilvl w:val="1"/>
          <w:numId w:val="16"/>
        </w:numPr>
        <w:tabs>
          <w:tab w:pos="3039" w:val="left" w:leader="none"/>
        </w:tabs>
        <w:spacing w:line="242" w:lineRule="auto" w:before="0" w:after="0"/>
        <w:ind w:left="3039" w:right="2187" w:hanging="360"/>
        <w:jc w:val="left"/>
        <w:rPr>
          <w:sz w:val="22"/>
        </w:rPr>
      </w:pPr>
      <w:r>
        <w:rPr>
          <w:sz w:val="22"/>
        </w:rPr>
        <w:t>Escasa</w:t>
      </w:r>
      <w:r>
        <w:rPr>
          <w:spacing w:val="-5"/>
          <w:sz w:val="22"/>
        </w:rPr>
        <w:t> </w:t>
      </w:r>
      <w:r>
        <w:rPr>
          <w:sz w:val="22"/>
        </w:rPr>
        <w:t>alineación</w:t>
      </w:r>
      <w:r>
        <w:rPr>
          <w:spacing w:val="-2"/>
          <w:sz w:val="22"/>
        </w:rPr>
        <w:t> </w:t>
      </w:r>
      <w:r>
        <w:rPr>
          <w:sz w:val="22"/>
        </w:rPr>
        <w:t>entre</w:t>
      </w:r>
      <w:r>
        <w:rPr>
          <w:spacing w:val="-5"/>
          <w:sz w:val="22"/>
        </w:rPr>
        <w:t> </w:t>
      </w:r>
      <w:r>
        <w:rPr>
          <w:sz w:val="22"/>
        </w:rPr>
        <w:t>la</w:t>
      </w:r>
      <w:r>
        <w:rPr>
          <w:spacing w:val="-5"/>
          <w:sz w:val="22"/>
        </w:rPr>
        <w:t> </w:t>
      </w:r>
      <w:r>
        <w:rPr>
          <w:sz w:val="22"/>
        </w:rPr>
        <w:t>oferta</w:t>
      </w:r>
      <w:r>
        <w:rPr>
          <w:spacing w:val="-5"/>
          <w:sz w:val="22"/>
        </w:rPr>
        <w:t> </w:t>
      </w:r>
      <w:r>
        <w:rPr>
          <w:sz w:val="22"/>
        </w:rPr>
        <w:t>educativa</w:t>
      </w:r>
      <w:r>
        <w:rPr>
          <w:spacing w:val="-5"/>
          <w:sz w:val="22"/>
        </w:rPr>
        <w:t> </w:t>
      </w:r>
      <w:r>
        <w:rPr>
          <w:sz w:val="22"/>
        </w:rPr>
        <w:t>y</w:t>
      </w:r>
      <w:r>
        <w:rPr>
          <w:spacing w:val="-3"/>
          <w:sz w:val="22"/>
        </w:rPr>
        <w:t> </w:t>
      </w:r>
      <w:r>
        <w:rPr>
          <w:sz w:val="22"/>
        </w:rPr>
        <w:t>la</w:t>
      </w:r>
      <w:r>
        <w:rPr>
          <w:spacing w:val="-5"/>
          <w:sz w:val="22"/>
        </w:rPr>
        <w:t> </w:t>
      </w:r>
      <w:r>
        <w:rPr>
          <w:sz w:val="22"/>
        </w:rPr>
        <w:t>demanda</w:t>
      </w:r>
      <w:r>
        <w:rPr>
          <w:spacing w:val="-5"/>
          <w:sz w:val="22"/>
        </w:rPr>
        <w:t> </w:t>
      </w:r>
      <w:r>
        <w:rPr>
          <w:sz w:val="22"/>
        </w:rPr>
        <w:t>del mercado laboral.</w:t>
      </w:r>
    </w:p>
    <w:p>
      <w:pPr>
        <w:pStyle w:val="ListParagraph"/>
        <w:numPr>
          <w:ilvl w:val="1"/>
          <w:numId w:val="16"/>
        </w:numPr>
        <w:tabs>
          <w:tab w:pos="3039" w:val="left" w:leader="none"/>
        </w:tabs>
        <w:spacing w:line="251" w:lineRule="exact" w:before="0" w:after="0"/>
        <w:ind w:left="3039" w:right="0" w:hanging="360"/>
        <w:jc w:val="left"/>
        <w:rPr>
          <w:sz w:val="22"/>
        </w:rPr>
      </w:pPr>
      <w:r>
        <w:rPr>
          <w:sz w:val="22"/>
        </w:rPr>
        <w:t>Desigualdad</w:t>
      </w:r>
      <w:r>
        <w:rPr>
          <w:spacing w:val="-7"/>
          <w:sz w:val="22"/>
        </w:rPr>
        <w:t> </w:t>
      </w:r>
      <w:r>
        <w:rPr>
          <w:sz w:val="22"/>
        </w:rPr>
        <w:t>territorial</w:t>
      </w:r>
      <w:r>
        <w:rPr>
          <w:spacing w:val="-10"/>
          <w:sz w:val="22"/>
        </w:rPr>
        <w:t> </w:t>
      </w:r>
      <w:r>
        <w:rPr>
          <w:sz w:val="22"/>
        </w:rPr>
        <w:t>en</w:t>
      </w:r>
      <w:r>
        <w:rPr>
          <w:spacing w:val="-3"/>
          <w:sz w:val="22"/>
        </w:rPr>
        <w:t> </w:t>
      </w:r>
      <w:r>
        <w:rPr>
          <w:sz w:val="22"/>
        </w:rPr>
        <w:t>acceso</w:t>
      </w:r>
      <w:r>
        <w:rPr>
          <w:spacing w:val="-3"/>
          <w:sz w:val="22"/>
        </w:rPr>
        <w:t> </w:t>
      </w:r>
      <w:r>
        <w:rPr>
          <w:sz w:val="22"/>
        </w:rPr>
        <w:t>a</w:t>
      </w:r>
      <w:r>
        <w:rPr>
          <w:spacing w:val="-7"/>
          <w:sz w:val="22"/>
        </w:rPr>
        <w:t> </w:t>
      </w:r>
      <w:r>
        <w:rPr>
          <w:sz w:val="22"/>
        </w:rPr>
        <w:t>empleos</w:t>
      </w:r>
      <w:r>
        <w:rPr>
          <w:spacing w:val="-8"/>
          <w:sz w:val="22"/>
        </w:rPr>
        <w:t> </w:t>
      </w:r>
      <w:r>
        <w:rPr>
          <w:sz w:val="22"/>
        </w:rPr>
        <w:t>de</w:t>
      </w:r>
      <w:r>
        <w:rPr>
          <w:spacing w:val="-3"/>
          <w:sz w:val="22"/>
        </w:rPr>
        <w:t> </w:t>
      </w:r>
      <w:r>
        <w:rPr>
          <w:spacing w:val="-2"/>
          <w:sz w:val="22"/>
        </w:rPr>
        <w:t>calidad.</w:t>
      </w:r>
    </w:p>
    <w:p>
      <w:pPr>
        <w:pStyle w:val="ListParagraph"/>
        <w:numPr>
          <w:ilvl w:val="1"/>
          <w:numId w:val="16"/>
        </w:numPr>
        <w:tabs>
          <w:tab w:pos="3039" w:val="left" w:leader="none"/>
        </w:tabs>
        <w:spacing w:line="240" w:lineRule="auto" w:before="0" w:after="0"/>
        <w:ind w:left="3039" w:right="0" w:hanging="360"/>
        <w:jc w:val="left"/>
        <w:rPr>
          <w:sz w:val="22"/>
        </w:rPr>
      </w:pPr>
      <w:r>
        <w:rPr>
          <w:sz w:val="22"/>
        </w:rPr>
        <w:t>Falta</w:t>
      </w:r>
      <w:r>
        <w:rPr>
          <w:spacing w:val="-7"/>
          <w:sz w:val="22"/>
        </w:rPr>
        <w:t> </w:t>
      </w:r>
      <w:r>
        <w:rPr>
          <w:sz w:val="22"/>
        </w:rPr>
        <w:t>de</w:t>
      </w:r>
      <w:r>
        <w:rPr>
          <w:spacing w:val="-7"/>
          <w:sz w:val="22"/>
        </w:rPr>
        <w:t> </w:t>
      </w:r>
      <w:r>
        <w:rPr>
          <w:sz w:val="22"/>
        </w:rPr>
        <w:t>programas</w:t>
      </w:r>
      <w:r>
        <w:rPr>
          <w:spacing w:val="-5"/>
          <w:sz w:val="22"/>
        </w:rPr>
        <w:t> </w:t>
      </w:r>
      <w:r>
        <w:rPr>
          <w:sz w:val="22"/>
        </w:rPr>
        <w:t>efectivos</w:t>
      </w:r>
      <w:r>
        <w:rPr>
          <w:spacing w:val="-9"/>
          <w:sz w:val="22"/>
        </w:rPr>
        <w:t> </w:t>
      </w:r>
      <w:r>
        <w:rPr>
          <w:sz w:val="22"/>
        </w:rPr>
        <w:t>de</w:t>
      </w:r>
      <w:r>
        <w:rPr>
          <w:spacing w:val="-7"/>
          <w:sz w:val="22"/>
        </w:rPr>
        <w:t> </w:t>
      </w:r>
      <w:r>
        <w:rPr>
          <w:sz w:val="22"/>
        </w:rPr>
        <w:t>reconversión</w:t>
      </w:r>
      <w:r>
        <w:rPr>
          <w:spacing w:val="-6"/>
          <w:sz w:val="22"/>
        </w:rPr>
        <w:t> </w:t>
      </w:r>
      <w:r>
        <w:rPr>
          <w:spacing w:val="-2"/>
          <w:sz w:val="22"/>
        </w:rPr>
        <w:t>laboral.</w:t>
      </w:r>
    </w:p>
    <w:p>
      <w:pPr>
        <w:pStyle w:val="ListParagraph"/>
        <w:numPr>
          <w:ilvl w:val="0"/>
          <w:numId w:val="16"/>
        </w:numPr>
        <w:tabs>
          <w:tab w:pos="2414" w:val="left" w:leader="none"/>
        </w:tabs>
        <w:spacing w:line="240" w:lineRule="auto" w:before="250" w:after="0"/>
        <w:ind w:left="2414" w:right="0" w:hanging="359"/>
        <w:jc w:val="left"/>
        <w:rPr>
          <w:sz w:val="22"/>
        </w:rPr>
      </w:pPr>
      <w:r>
        <w:rPr>
          <w:sz w:val="22"/>
        </w:rPr>
        <w:t>Concentración</w:t>
      </w:r>
      <w:r>
        <w:rPr>
          <w:spacing w:val="-8"/>
          <w:sz w:val="22"/>
        </w:rPr>
        <w:t> </w:t>
      </w:r>
      <w:r>
        <w:rPr>
          <w:sz w:val="22"/>
        </w:rPr>
        <w:t>de</w:t>
      </w:r>
      <w:r>
        <w:rPr>
          <w:spacing w:val="-10"/>
          <w:sz w:val="22"/>
        </w:rPr>
        <w:t> </w:t>
      </w:r>
      <w:r>
        <w:rPr>
          <w:spacing w:val="-2"/>
          <w:sz w:val="22"/>
        </w:rPr>
        <w:t>oportunidades</w:t>
      </w:r>
    </w:p>
    <w:p>
      <w:pPr>
        <w:pStyle w:val="ListParagraph"/>
        <w:numPr>
          <w:ilvl w:val="1"/>
          <w:numId w:val="16"/>
        </w:numPr>
        <w:tabs>
          <w:tab w:pos="3039" w:val="left" w:leader="none"/>
        </w:tabs>
        <w:spacing w:line="251" w:lineRule="exact" w:before="2" w:after="0"/>
        <w:ind w:left="3039" w:right="0" w:hanging="360"/>
        <w:jc w:val="left"/>
        <w:rPr>
          <w:sz w:val="22"/>
        </w:rPr>
      </w:pPr>
      <w:r>
        <w:rPr>
          <w:sz w:val="22"/>
        </w:rPr>
        <w:t>Centralización</w:t>
      </w:r>
      <w:r>
        <w:rPr>
          <w:spacing w:val="-5"/>
          <w:sz w:val="22"/>
        </w:rPr>
        <w:t> </w:t>
      </w:r>
      <w:r>
        <w:rPr>
          <w:sz w:val="22"/>
        </w:rPr>
        <w:t>de</w:t>
      </w:r>
      <w:r>
        <w:rPr>
          <w:spacing w:val="-4"/>
          <w:sz w:val="22"/>
        </w:rPr>
        <w:t> </w:t>
      </w:r>
      <w:r>
        <w:rPr>
          <w:sz w:val="22"/>
        </w:rPr>
        <w:t>servicios</w:t>
      </w:r>
      <w:r>
        <w:rPr>
          <w:spacing w:val="-5"/>
          <w:sz w:val="22"/>
        </w:rPr>
        <w:t> </w:t>
      </w:r>
      <w:r>
        <w:rPr>
          <w:sz w:val="22"/>
        </w:rPr>
        <w:t>y</w:t>
      </w:r>
      <w:r>
        <w:rPr>
          <w:spacing w:val="-9"/>
          <w:sz w:val="22"/>
        </w:rPr>
        <w:t> </w:t>
      </w:r>
      <w:r>
        <w:rPr>
          <w:sz w:val="22"/>
        </w:rPr>
        <w:t>empleo</w:t>
      </w:r>
      <w:r>
        <w:rPr>
          <w:spacing w:val="-8"/>
          <w:sz w:val="22"/>
        </w:rPr>
        <w:t> </w:t>
      </w:r>
      <w:r>
        <w:rPr>
          <w:sz w:val="22"/>
        </w:rPr>
        <w:t>en</w:t>
      </w:r>
      <w:r>
        <w:rPr>
          <w:spacing w:val="-4"/>
          <w:sz w:val="22"/>
        </w:rPr>
        <w:t> </w:t>
      </w:r>
      <w:r>
        <w:rPr>
          <w:sz w:val="22"/>
        </w:rPr>
        <w:t>zonas</w:t>
      </w:r>
      <w:r>
        <w:rPr>
          <w:spacing w:val="-5"/>
          <w:sz w:val="22"/>
        </w:rPr>
        <w:t> </w:t>
      </w:r>
      <w:r>
        <w:rPr>
          <w:spacing w:val="-2"/>
          <w:sz w:val="22"/>
        </w:rPr>
        <w:t>urbanas.</w:t>
      </w:r>
    </w:p>
    <w:p>
      <w:pPr>
        <w:pStyle w:val="ListParagraph"/>
        <w:numPr>
          <w:ilvl w:val="1"/>
          <w:numId w:val="16"/>
        </w:numPr>
        <w:tabs>
          <w:tab w:pos="3039" w:val="left" w:leader="none"/>
        </w:tabs>
        <w:spacing w:line="251" w:lineRule="exact" w:before="0" w:after="0"/>
        <w:ind w:left="3039" w:right="0" w:hanging="360"/>
        <w:jc w:val="left"/>
        <w:rPr>
          <w:sz w:val="22"/>
        </w:rPr>
      </w:pPr>
      <w:r>
        <w:rPr>
          <w:sz w:val="22"/>
        </w:rPr>
        <w:t>Débil</w:t>
      </w:r>
      <w:r>
        <w:rPr>
          <w:spacing w:val="-7"/>
          <w:sz w:val="22"/>
        </w:rPr>
        <w:t> </w:t>
      </w:r>
      <w:r>
        <w:rPr>
          <w:sz w:val="22"/>
        </w:rPr>
        <w:t>inversión</w:t>
      </w:r>
      <w:r>
        <w:rPr>
          <w:spacing w:val="-8"/>
          <w:sz w:val="22"/>
        </w:rPr>
        <w:t> </w:t>
      </w:r>
      <w:r>
        <w:rPr>
          <w:sz w:val="22"/>
        </w:rPr>
        <w:t>pública</w:t>
      </w:r>
      <w:r>
        <w:rPr>
          <w:spacing w:val="-8"/>
          <w:sz w:val="22"/>
        </w:rPr>
        <w:t> </w:t>
      </w:r>
      <w:r>
        <w:rPr>
          <w:sz w:val="22"/>
        </w:rPr>
        <w:t>en</w:t>
      </w:r>
      <w:r>
        <w:rPr>
          <w:spacing w:val="-4"/>
          <w:sz w:val="22"/>
        </w:rPr>
        <w:t> </w:t>
      </w:r>
      <w:r>
        <w:rPr>
          <w:sz w:val="22"/>
        </w:rPr>
        <w:t>territorios</w:t>
      </w:r>
      <w:r>
        <w:rPr>
          <w:spacing w:val="-5"/>
          <w:sz w:val="22"/>
        </w:rPr>
        <w:t> </w:t>
      </w:r>
      <w:r>
        <w:rPr>
          <w:spacing w:val="-2"/>
          <w:sz w:val="22"/>
        </w:rPr>
        <w:t>rezagados.</w:t>
      </w:r>
    </w:p>
    <w:p>
      <w:pPr>
        <w:pStyle w:val="ListParagraph"/>
        <w:numPr>
          <w:ilvl w:val="1"/>
          <w:numId w:val="16"/>
        </w:numPr>
        <w:tabs>
          <w:tab w:pos="3039" w:val="left" w:leader="none"/>
        </w:tabs>
        <w:spacing w:line="240" w:lineRule="auto" w:before="2" w:after="0"/>
        <w:ind w:left="3039" w:right="2291" w:hanging="360"/>
        <w:jc w:val="left"/>
        <w:rPr>
          <w:sz w:val="22"/>
        </w:rPr>
      </w:pPr>
      <w:r>
        <w:rPr>
          <w:sz w:val="22"/>
        </w:rPr>
        <w:t>Limitado</w:t>
      </w:r>
      <w:r>
        <w:rPr>
          <w:spacing w:val="-7"/>
          <w:sz w:val="22"/>
        </w:rPr>
        <w:t> </w:t>
      </w:r>
      <w:r>
        <w:rPr>
          <w:sz w:val="22"/>
        </w:rPr>
        <w:t>acceso</w:t>
      </w:r>
      <w:r>
        <w:rPr>
          <w:spacing w:val="-7"/>
          <w:sz w:val="22"/>
        </w:rPr>
        <w:t> </w:t>
      </w:r>
      <w:r>
        <w:rPr>
          <w:sz w:val="22"/>
        </w:rPr>
        <w:t>al</w:t>
      </w:r>
      <w:r>
        <w:rPr>
          <w:spacing w:val="-6"/>
          <w:sz w:val="22"/>
        </w:rPr>
        <w:t> </w:t>
      </w:r>
      <w:r>
        <w:rPr>
          <w:sz w:val="22"/>
        </w:rPr>
        <w:t>crédito,</w:t>
      </w:r>
      <w:r>
        <w:rPr>
          <w:spacing w:val="-8"/>
          <w:sz w:val="22"/>
        </w:rPr>
        <w:t> </w:t>
      </w:r>
      <w:r>
        <w:rPr>
          <w:sz w:val="22"/>
        </w:rPr>
        <w:t>tecnología</w:t>
      </w:r>
      <w:r>
        <w:rPr>
          <w:spacing w:val="-7"/>
          <w:sz w:val="22"/>
        </w:rPr>
        <w:t> </w:t>
      </w:r>
      <w:r>
        <w:rPr>
          <w:sz w:val="22"/>
        </w:rPr>
        <w:t>e</w:t>
      </w:r>
      <w:r>
        <w:rPr>
          <w:spacing w:val="-4"/>
          <w:sz w:val="22"/>
        </w:rPr>
        <w:t> </w:t>
      </w:r>
      <w:r>
        <w:rPr>
          <w:sz w:val="22"/>
        </w:rPr>
        <w:t>infraestructura</w:t>
      </w:r>
      <w:r>
        <w:rPr>
          <w:spacing w:val="-7"/>
          <w:sz w:val="22"/>
        </w:rPr>
        <w:t> </w:t>
      </w:r>
      <w:r>
        <w:rPr>
          <w:sz w:val="22"/>
        </w:rPr>
        <w:t>para pequeñas unidades económicas.</w:t>
      </w:r>
    </w:p>
    <w:p>
      <w:pPr>
        <w:pStyle w:val="ListParagraph"/>
        <w:numPr>
          <w:ilvl w:val="0"/>
          <w:numId w:val="16"/>
        </w:numPr>
        <w:tabs>
          <w:tab w:pos="2414" w:val="left" w:leader="none"/>
        </w:tabs>
        <w:spacing w:line="240" w:lineRule="auto" w:before="252" w:after="0"/>
        <w:ind w:left="2414" w:right="0" w:hanging="359"/>
        <w:jc w:val="left"/>
        <w:rPr>
          <w:sz w:val="22"/>
        </w:rPr>
      </w:pPr>
      <w:r>
        <w:rPr>
          <w:sz w:val="22"/>
        </w:rPr>
        <w:t>Tejido</w:t>
      </w:r>
      <w:r>
        <w:rPr>
          <w:spacing w:val="-5"/>
          <w:sz w:val="22"/>
        </w:rPr>
        <w:t> </w:t>
      </w:r>
      <w:r>
        <w:rPr>
          <w:sz w:val="22"/>
        </w:rPr>
        <w:t>institucional</w:t>
      </w:r>
      <w:r>
        <w:rPr>
          <w:spacing w:val="-7"/>
          <w:sz w:val="22"/>
        </w:rPr>
        <w:t> </w:t>
      </w:r>
      <w:r>
        <w:rPr>
          <w:sz w:val="22"/>
        </w:rPr>
        <w:t>con</w:t>
      </w:r>
      <w:r>
        <w:rPr>
          <w:spacing w:val="-8"/>
          <w:sz w:val="22"/>
        </w:rPr>
        <w:t> </w:t>
      </w:r>
      <w:r>
        <w:rPr>
          <w:sz w:val="22"/>
        </w:rPr>
        <w:t>problemas</w:t>
      </w:r>
      <w:r>
        <w:rPr>
          <w:spacing w:val="-6"/>
          <w:sz w:val="22"/>
        </w:rPr>
        <w:t> </w:t>
      </w:r>
      <w:r>
        <w:rPr>
          <w:sz w:val="22"/>
        </w:rPr>
        <w:t>de</w:t>
      </w:r>
      <w:r>
        <w:rPr>
          <w:spacing w:val="-8"/>
          <w:sz w:val="22"/>
        </w:rPr>
        <w:t> </w:t>
      </w:r>
      <w:r>
        <w:rPr>
          <w:spacing w:val="-2"/>
          <w:sz w:val="22"/>
        </w:rPr>
        <w:t>articulación</w:t>
      </w:r>
    </w:p>
    <w:p>
      <w:pPr>
        <w:pStyle w:val="ListParagraph"/>
        <w:numPr>
          <w:ilvl w:val="1"/>
          <w:numId w:val="16"/>
        </w:numPr>
        <w:tabs>
          <w:tab w:pos="3039" w:val="left" w:leader="none"/>
        </w:tabs>
        <w:spacing w:line="240" w:lineRule="auto" w:before="1" w:after="0"/>
        <w:ind w:left="3039" w:right="0" w:hanging="360"/>
        <w:jc w:val="left"/>
        <w:rPr>
          <w:sz w:val="22"/>
        </w:rPr>
      </w:pPr>
      <w:r>
        <w:rPr>
          <w:sz w:val="22"/>
        </w:rPr>
        <w:t>Rectorías</w:t>
      </w:r>
      <w:r>
        <w:rPr>
          <w:spacing w:val="-5"/>
          <w:sz w:val="22"/>
        </w:rPr>
        <w:t> </w:t>
      </w:r>
      <w:r>
        <w:rPr>
          <w:sz w:val="22"/>
        </w:rPr>
        <w:t>cambiantes</w:t>
      </w:r>
      <w:r>
        <w:rPr>
          <w:spacing w:val="-9"/>
          <w:sz w:val="22"/>
        </w:rPr>
        <w:t> </w:t>
      </w:r>
      <w:r>
        <w:rPr>
          <w:sz w:val="22"/>
        </w:rPr>
        <w:t>entre</w:t>
      </w:r>
      <w:r>
        <w:rPr>
          <w:spacing w:val="-4"/>
          <w:sz w:val="22"/>
        </w:rPr>
        <w:t> </w:t>
      </w:r>
      <w:r>
        <w:rPr>
          <w:sz w:val="22"/>
        </w:rPr>
        <w:t>periodos</w:t>
      </w:r>
      <w:r>
        <w:rPr>
          <w:spacing w:val="-9"/>
          <w:sz w:val="22"/>
        </w:rPr>
        <w:t> </w:t>
      </w:r>
      <w:r>
        <w:rPr>
          <w:sz w:val="22"/>
        </w:rPr>
        <w:t>de</w:t>
      </w:r>
      <w:r>
        <w:rPr>
          <w:spacing w:val="-7"/>
          <w:sz w:val="22"/>
        </w:rPr>
        <w:t> </w:t>
      </w:r>
      <w:r>
        <w:rPr>
          <w:spacing w:val="-2"/>
          <w:sz w:val="22"/>
        </w:rPr>
        <w:t>gobierno</w:t>
      </w:r>
    </w:p>
    <w:p>
      <w:pPr>
        <w:pStyle w:val="ListParagraph"/>
        <w:numPr>
          <w:ilvl w:val="1"/>
          <w:numId w:val="16"/>
        </w:numPr>
        <w:tabs>
          <w:tab w:pos="3039" w:val="left" w:leader="none"/>
        </w:tabs>
        <w:spacing w:line="252" w:lineRule="exact" w:before="2" w:after="0"/>
        <w:ind w:left="3039" w:right="0" w:hanging="360"/>
        <w:jc w:val="left"/>
        <w:rPr>
          <w:sz w:val="22"/>
        </w:rPr>
      </w:pPr>
      <w:r>
        <w:rPr>
          <w:sz w:val="22"/>
        </w:rPr>
        <w:t>Falta</w:t>
      </w:r>
      <w:r>
        <w:rPr>
          <w:spacing w:val="-8"/>
          <w:sz w:val="22"/>
        </w:rPr>
        <w:t> </w:t>
      </w:r>
      <w:r>
        <w:rPr>
          <w:sz w:val="22"/>
        </w:rPr>
        <w:t>de</w:t>
      </w:r>
      <w:r>
        <w:rPr>
          <w:spacing w:val="-8"/>
          <w:sz w:val="22"/>
        </w:rPr>
        <w:t> </w:t>
      </w:r>
      <w:r>
        <w:rPr>
          <w:sz w:val="22"/>
        </w:rPr>
        <w:t>coordinación</w:t>
      </w:r>
      <w:r>
        <w:rPr>
          <w:spacing w:val="-8"/>
          <w:sz w:val="22"/>
        </w:rPr>
        <w:t> </w:t>
      </w:r>
      <w:r>
        <w:rPr>
          <w:sz w:val="22"/>
        </w:rPr>
        <w:t>entre</w:t>
      </w:r>
      <w:r>
        <w:rPr>
          <w:spacing w:val="-4"/>
          <w:sz w:val="22"/>
        </w:rPr>
        <w:t> </w:t>
      </w:r>
      <w:r>
        <w:rPr>
          <w:sz w:val="22"/>
        </w:rPr>
        <w:t>programas</w:t>
      </w:r>
      <w:r>
        <w:rPr>
          <w:spacing w:val="-5"/>
          <w:sz w:val="22"/>
        </w:rPr>
        <w:t> </w:t>
      </w:r>
      <w:r>
        <w:rPr>
          <w:spacing w:val="-2"/>
          <w:sz w:val="22"/>
        </w:rPr>
        <w:t>sociales.</w:t>
      </w:r>
    </w:p>
    <w:p>
      <w:pPr>
        <w:pStyle w:val="ListParagraph"/>
        <w:numPr>
          <w:ilvl w:val="1"/>
          <w:numId w:val="16"/>
        </w:numPr>
        <w:tabs>
          <w:tab w:pos="3039" w:val="left" w:leader="none"/>
        </w:tabs>
        <w:spacing w:line="252" w:lineRule="exact" w:before="0" w:after="0"/>
        <w:ind w:left="3039" w:right="0" w:hanging="360"/>
        <w:jc w:val="left"/>
        <w:rPr>
          <w:sz w:val="22"/>
        </w:rPr>
      </w:pPr>
      <w:r>
        <w:rPr>
          <w:sz w:val="22"/>
        </w:rPr>
        <w:t>Debilidad</w:t>
      </w:r>
      <w:r>
        <w:rPr>
          <w:spacing w:val="-8"/>
          <w:sz w:val="22"/>
        </w:rPr>
        <w:t> </w:t>
      </w:r>
      <w:r>
        <w:rPr>
          <w:sz w:val="22"/>
        </w:rPr>
        <w:t>en</w:t>
      </w:r>
      <w:r>
        <w:rPr>
          <w:spacing w:val="-3"/>
          <w:sz w:val="22"/>
        </w:rPr>
        <w:t> </w:t>
      </w:r>
      <w:r>
        <w:rPr>
          <w:sz w:val="22"/>
        </w:rPr>
        <w:t>la</w:t>
      </w:r>
      <w:r>
        <w:rPr>
          <w:spacing w:val="-7"/>
          <w:sz w:val="22"/>
        </w:rPr>
        <w:t> </w:t>
      </w:r>
      <w:r>
        <w:rPr>
          <w:sz w:val="22"/>
        </w:rPr>
        <w:t>gobernanza</w:t>
      </w:r>
      <w:r>
        <w:rPr>
          <w:spacing w:val="-7"/>
          <w:sz w:val="22"/>
        </w:rPr>
        <w:t> </w:t>
      </w:r>
      <w:r>
        <w:rPr>
          <w:spacing w:val="-2"/>
          <w:sz w:val="22"/>
        </w:rPr>
        <w:t>territorial.</w:t>
      </w:r>
    </w:p>
    <w:p>
      <w:pPr>
        <w:pStyle w:val="ListParagraph"/>
        <w:spacing w:after="0" w:line="252" w:lineRule="exact"/>
        <w:jc w:val="left"/>
        <w:rPr>
          <w:sz w:val="22"/>
        </w:rPr>
        <w:sectPr>
          <w:pgSz w:w="12240" w:h="15840"/>
          <w:pgMar w:header="0" w:footer="1021" w:top="1340" w:bottom="1220" w:left="720" w:right="360"/>
        </w:sectPr>
      </w:pPr>
    </w:p>
    <w:p>
      <w:pPr>
        <w:pStyle w:val="ListParagraph"/>
        <w:numPr>
          <w:ilvl w:val="1"/>
          <w:numId w:val="16"/>
        </w:numPr>
        <w:tabs>
          <w:tab w:pos="3039" w:val="left" w:leader="none"/>
        </w:tabs>
        <w:spacing w:line="240" w:lineRule="auto" w:before="76" w:after="0"/>
        <w:ind w:left="3039" w:right="0" w:hanging="360"/>
        <w:jc w:val="left"/>
        <w:rPr>
          <w:sz w:val="22"/>
        </w:rPr>
      </w:pPr>
      <w:r>
        <w:rPr>
          <w:sz w:val="22"/>
        </w:rPr>
        <w:t>Fragmentación</w:t>
      </w:r>
      <w:r>
        <w:rPr>
          <w:spacing w:val="-8"/>
          <w:sz w:val="22"/>
        </w:rPr>
        <w:t> </w:t>
      </w:r>
      <w:r>
        <w:rPr>
          <w:sz w:val="22"/>
        </w:rPr>
        <w:t>de</w:t>
      </w:r>
      <w:r>
        <w:rPr>
          <w:spacing w:val="-3"/>
          <w:sz w:val="22"/>
        </w:rPr>
        <w:t> </w:t>
      </w:r>
      <w:r>
        <w:rPr>
          <w:sz w:val="22"/>
        </w:rPr>
        <w:t>esfuerzos</w:t>
      </w:r>
      <w:r>
        <w:rPr>
          <w:spacing w:val="-9"/>
          <w:sz w:val="22"/>
        </w:rPr>
        <w:t> </w:t>
      </w:r>
      <w:r>
        <w:rPr>
          <w:sz w:val="22"/>
        </w:rPr>
        <w:t>entre</w:t>
      </w:r>
      <w:r>
        <w:rPr>
          <w:spacing w:val="-7"/>
          <w:sz w:val="22"/>
        </w:rPr>
        <w:t> </w:t>
      </w:r>
      <w:r>
        <w:rPr>
          <w:sz w:val="22"/>
        </w:rPr>
        <w:t>niveles</w:t>
      </w:r>
      <w:r>
        <w:rPr>
          <w:spacing w:val="-4"/>
          <w:sz w:val="22"/>
        </w:rPr>
        <w:t> </w:t>
      </w:r>
      <w:r>
        <w:rPr>
          <w:sz w:val="22"/>
        </w:rPr>
        <w:t>de</w:t>
      </w:r>
      <w:r>
        <w:rPr>
          <w:spacing w:val="-7"/>
          <w:sz w:val="22"/>
        </w:rPr>
        <w:t> </w:t>
      </w:r>
      <w:r>
        <w:rPr>
          <w:spacing w:val="-2"/>
          <w:sz w:val="22"/>
        </w:rPr>
        <w:t>gobierno.</w:t>
      </w:r>
    </w:p>
    <w:p>
      <w:pPr>
        <w:pStyle w:val="Heading2"/>
        <w:spacing w:before="251"/>
        <w:ind w:left="2060"/>
      </w:pPr>
      <w:r>
        <w:rPr/>
        <w:t>Efectos</w:t>
      </w:r>
      <w:r>
        <w:rPr>
          <w:spacing w:val="-5"/>
        </w:rPr>
        <w:t> </w:t>
      </w:r>
      <w:r>
        <w:rPr>
          <w:spacing w:val="-2"/>
        </w:rPr>
        <w:t>(Ramas):</w:t>
      </w:r>
    </w:p>
    <w:p>
      <w:pPr>
        <w:pStyle w:val="ListParagraph"/>
        <w:numPr>
          <w:ilvl w:val="0"/>
          <w:numId w:val="17"/>
        </w:numPr>
        <w:tabs>
          <w:tab w:pos="1838" w:val="left" w:leader="none"/>
        </w:tabs>
        <w:spacing w:line="240" w:lineRule="auto" w:before="2" w:after="0"/>
        <w:ind w:left="1838" w:right="0" w:hanging="138"/>
        <w:jc w:val="left"/>
        <w:rPr>
          <w:sz w:val="22"/>
        </w:rPr>
      </w:pPr>
      <w:r>
        <w:rPr>
          <w:sz w:val="22"/>
        </w:rPr>
        <w:t>Reproducción</w:t>
      </w:r>
      <w:r>
        <w:rPr>
          <w:spacing w:val="-9"/>
          <w:sz w:val="22"/>
        </w:rPr>
        <w:t> </w:t>
      </w:r>
      <w:r>
        <w:rPr>
          <w:sz w:val="22"/>
        </w:rPr>
        <w:t>intergeneracional</w:t>
      </w:r>
      <w:r>
        <w:rPr>
          <w:spacing w:val="-11"/>
          <w:sz w:val="22"/>
        </w:rPr>
        <w:t> </w:t>
      </w:r>
      <w:r>
        <w:rPr>
          <w:sz w:val="22"/>
        </w:rPr>
        <w:t>de</w:t>
      </w:r>
      <w:r>
        <w:rPr>
          <w:spacing w:val="-8"/>
          <w:sz w:val="22"/>
        </w:rPr>
        <w:t> </w:t>
      </w:r>
      <w:r>
        <w:rPr>
          <w:sz w:val="22"/>
        </w:rPr>
        <w:t>la</w:t>
      </w:r>
      <w:r>
        <w:rPr>
          <w:spacing w:val="-8"/>
          <w:sz w:val="22"/>
        </w:rPr>
        <w:t> </w:t>
      </w:r>
      <w:r>
        <w:rPr>
          <w:spacing w:val="-2"/>
          <w:sz w:val="22"/>
        </w:rPr>
        <w:t>pobreza.</w:t>
      </w:r>
    </w:p>
    <w:p>
      <w:pPr>
        <w:pStyle w:val="ListParagraph"/>
        <w:numPr>
          <w:ilvl w:val="0"/>
          <w:numId w:val="17"/>
        </w:numPr>
        <w:tabs>
          <w:tab w:pos="1838" w:val="left" w:leader="none"/>
        </w:tabs>
        <w:spacing w:line="251" w:lineRule="exact" w:before="2" w:after="0"/>
        <w:ind w:left="1838" w:right="0" w:hanging="138"/>
        <w:jc w:val="left"/>
        <w:rPr>
          <w:sz w:val="22"/>
        </w:rPr>
      </w:pPr>
      <w:r>
        <w:rPr>
          <w:sz w:val="22"/>
        </w:rPr>
        <w:t>Desigualdad</w:t>
      </w:r>
      <w:r>
        <w:rPr>
          <w:spacing w:val="-8"/>
          <w:sz w:val="22"/>
        </w:rPr>
        <w:t> </w:t>
      </w:r>
      <w:r>
        <w:rPr>
          <w:sz w:val="22"/>
        </w:rPr>
        <w:t>persistente</w:t>
      </w:r>
      <w:r>
        <w:rPr>
          <w:spacing w:val="-4"/>
          <w:sz w:val="22"/>
        </w:rPr>
        <w:t> </w:t>
      </w:r>
      <w:r>
        <w:rPr>
          <w:sz w:val="22"/>
        </w:rPr>
        <w:t>entre</w:t>
      </w:r>
      <w:r>
        <w:rPr>
          <w:spacing w:val="-8"/>
          <w:sz w:val="22"/>
        </w:rPr>
        <w:t> </w:t>
      </w:r>
      <w:r>
        <w:rPr>
          <w:sz w:val="22"/>
        </w:rPr>
        <w:t>regiones</w:t>
      </w:r>
      <w:r>
        <w:rPr>
          <w:spacing w:val="-5"/>
          <w:sz w:val="22"/>
        </w:rPr>
        <w:t> </w:t>
      </w:r>
      <w:r>
        <w:rPr>
          <w:sz w:val="22"/>
        </w:rPr>
        <w:t>y</w:t>
      </w:r>
      <w:r>
        <w:rPr>
          <w:spacing w:val="-9"/>
          <w:sz w:val="22"/>
        </w:rPr>
        <w:t> </w:t>
      </w:r>
      <w:r>
        <w:rPr>
          <w:sz w:val="22"/>
        </w:rPr>
        <w:t>grupos</w:t>
      </w:r>
      <w:r>
        <w:rPr>
          <w:spacing w:val="-9"/>
          <w:sz w:val="22"/>
        </w:rPr>
        <w:t> </w:t>
      </w:r>
      <w:r>
        <w:rPr>
          <w:spacing w:val="-2"/>
          <w:sz w:val="22"/>
        </w:rPr>
        <w:t>sociales.</w:t>
      </w:r>
    </w:p>
    <w:p>
      <w:pPr>
        <w:pStyle w:val="ListParagraph"/>
        <w:numPr>
          <w:ilvl w:val="0"/>
          <w:numId w:val="17"/>
        </w:numPr>
        <w:tabs>
          <w:tab w:pos="1838" w:val="left" w:leader="none"/>
        </w:tabs>
        <w:spacing w:line="251" w:lineRule="exact" w:before="0" w:after="0"/>
        <w:ind w:left="1838" w:right="0" w:hanging="138"/>
        <w:jc w:val="left"/>
        <w:rPr>
          <w:sz w:val="22"/>
        </w:rPr>
      </w:pPr>
      <w:r>
        <w:rPr>
          <w:sz w:val="22"/>
        </w:rPr>
        <w:t>Baja</w:t>
      </w:r>
      <w:r>
        <w:rPr>
          <w:spacing w:val="-7"/>
          <w:sz w:val="22"/>
        </w:rPr>
        <w:t> </w:t>
      </w:r>
      <w:r>
        <w:rPr>
          <w:sz w:val="22"/>
        </w:rPr>
        <w:t>movilidad</w:t>
      </w:r>
      <w:r>
        <w:rPr>
          <w:spacing w:val="-6"/>
          <w:sz w:val="22"/>
        </w:rPr>
        <w:t> </w:t>
      </w:r>
      <w:r>
        <w:rPr>
          <w:spacing w:val="-2"/>
          <w:sz w:val="22"/>
        </w:rPr>
        <w:t>social.</w:t>
      </w:r>
    </w:p>
    <w:p>
      <w:pPr>
        <w:pStyle w:val="ListParagraph"/>
        <w:numPr>
          <w:ilvl w:val="0"/>
          <w:numId w:val="17"/>
        </w:numPr>
        <w:tabs>
          <w:tab w:pos="1838" w:val="left" w:leader="none"/>
        </w:tabs>
        <w:spacing w:line="240" w:lineRule="auto" w:before="1" w:after="0"/>
        <w:ind w:left="1838" w:right="0" w:hanging="138"/>
        <w:jc w:val="left"/>
        <w:rPr>
          <w:sz w:val="22"/>
        </w:rPr>
      </w:pPr>
      <w:r>
        <w:rPr>
          <w:sz w:val="22"/>
        </w:rPr>
        <w:t>Debilitamiento</w:t>
      </w:r>
      <w:r>
        <w:rPr>
          <w:spacing w:val="-10"/>
          <w:sz w:val="22"/>
        </w:rPr>
        <w:t> </w:t>
      </w:r>
      <w:r>
        <w:rPr>
          <w:sz w:val="22"/>
        </w:rPr>
        <w:t>de</w:t>
      </w:r>
      <w:r>
        <w:rPr>
          <w:spacing w:val="-3"/>
          <w:sz w:val="22"/>
        </w:rPr>
        <w:t> </w:t>
      </w:r>
      <w:r>
        <w:rPr>
          <w:sz w:val="22"/>
        </w:rPr>
        <w:t>la</w:t>
      </w:r>
      <w:r>
        <w:rPr>
          <w:spacing w:val="-3"/>
          <w:sz w:val="22"/>
        </w:rPr>
        <w:t> </w:t>
      </w:r>
      <w:r>
        <w:rPr>
          <w:sz w:val="22"/>
        </w:rPr>
        <w:t>cohesión</w:t>
      </w:r>
      <w:r>
        <w:rPr>
          <w:spacing w:val="-4"/>
          <w:sz w:val="22"/>
        </w:rPr>
        <w:t> </w:t>
      </w:r>
      <w:r>
        <w:rPr>
          <w:sz w:val="22"/>
        </w:rPr>
        <w:t>social</w:t>
      </w:r>
      <w:r>
        <w:rPr>
          <w:spacing w:val="-5"/>
          <w:sz w:val="22"/>
        </w:rPr>
        <w:t> </w:t>
      </w:r>
      <w:r>
        <w:rPr>
          <w:sz w:val="22"/>
        </w:rPr>
        <w:t>y</w:t>
      </w:r>
      <w:r>
        <w:rPr>
          <w:spacing w:val="-9"/>
          <w:sz w:val="22"/>
        </w:rPr>
        <w:t> </w:t>
      </w:r>
      <w:r>
        <w:rPr>
          <w:sz w:val="22"/>
        </w:rPr>
        <w:t>aumento</w:t>
      </w:r>
      <w:r>
        <w:rPr>
          <w:spacing w:val="-7"/>
          <w:sz w:val="22"/>
        </w:rPr>
        <w:t> </w:t>
      </w:r>
      <w:r>
        <w:rPr>
          <w:sz w:val="22"/>
        </w:rPr>
        <w:t>de</w:t>
      </w:r>
      <w:r>
        <w:rPr>
          <w:spacing w:val="-3"/>
          <w:sz w:val="22"/>
        </w:rPr>
        <w:t> </w:t>
      </w:r>
      <w:r>
        <w:rPr>
          <w:sz w:val="22"/>
        </w:rPr>
        <w:t>la</w:t>
      </w:r>
      <w:r>
        <w:rPr>
          <w:spacing w:val="-7"/>
          <w:sz w:val="22"/>
        </w:rPr>
        <w:t> </w:t>
      </w:r>
      <w:r>
        <w:rPr>
          <w:spacing w:val="-2"/>
          <w:sz w:val="22"/>
        </w:rPr>
        <w:t>exclusión.</w:t>
      </w:r>
    </w:p>
    <w:p>
      <w:pPr>
        <w:pStyle w:val="ListParagraph"/>
        <w:numPr>
          <w:ilvl w:val="0"/>
          <w:numId w:val="17"/>
        </w:numPr>
        <w:tabs>
          <w:tab w:pos="1838" w:val="left" w:leader="none"/>
        </w:tabs>
        <w:spacing w:line="240" w:lineRule="auto" w:before="1" w:after="0"/>
        <w:ind w:left="1838" w:right="0" w:hanging="138"/>
        <w:jc w:val="left"/>
        <w:rPr>
          <w:sz w:val="22"/>
        </w:rPr>
      </w:pPr>
      <w:r>
        <w:rPr>
          <w:sz w:val="22"/>
        </w:rPr>
        <w:t>Subutilización</w:t>
      </w:r>
      <w:r>
        <w:rPr>
          <w:spacing w:val="-9"/>
          <w:sz w:val="22"/>
        </w:rPr>
        <w:t> </w:t>
      </w:r>
      <w:r>
        <w:rPr>
          <w:sz w:val="22"/>
        </w:rPr>
        <w:t>del</w:t>
      </w:r>
      <w:r>
        <w:rPr>
          <w:spacing w:val="-6"/>
          <w:sz w:val="22"/>
        </w:rPr>
        <w:t> </w:t>
      </w:r>
      <w:r>
        <w:rPr>
          <w:sz w:val="22"/>
        </w:rPr>
        <w:t>potencial</w:t>
      </w:r>
      <w:r>
        <w:rPr>
          <w:spacing w:val="-6"/>
          <w:sz w:val="22"/>
        </w:rPr>
        <w:t> </w:t>
      </w:r>
      <w:r>
        <w:rPr>
          <w:sz w:val="22"/>
        </w:rPr>
        <w:t>productivo</w:t>
      </w:r>
      <w:r>
        <w:rPr>
          <w:spacing w:val="-9"/>
          <w:sz w:val="22"/>
        </w:rPr>
        <w:t> </w:t>
      </w:r>
      <w:r>
        <w:rPr>
          <w:sz w:val="22"/>
        </w:rPr>
        <w:t>de</w:t>
      </w:r>
      <w:r>
        <w:rPr>
          <w:spacing w:val="-4"/>
          <w:sz w:val="22"/>
        </w:rPr>
        <w:t> </w:t>
      </w:r>
      <w:r>
        <w:rPr>
          <w:sz w:val="22"/>
        </w:rPr>
        <w:t>la</w:t>
      </w:r>
      <w:r>
        <w:rPr>
          <w:spacing w:val="-8"/>
          <w:sz w:val="22"/>
        </w:rPr>
        <w:t> </w:t>
      </w:r>
      <w:r>
        <w:rPr>
          <w:spacing w:val="-2"/>
          <w:sz w:val="22"/>
        </w:rPr>
        <w:t>población.</w:t>
      </w:r>
    </w:p>
    <w:p>
      <w:pPr>
        <w:pStyle w:val="BodyText"/>
        <w:spacing w:before="205"/>
      </w:pPr>
    </w:p>
    <w:p>
      <w:pPr>
        <w:pStyle w:val="Heading2"/>
        <w:ind w:left="798" w:right="1020"/>
        <w:jc w:val="center"/>
      </w:pPr>
      <w:bookmarkStart w:name="_bookmark39" w:id="40"/>
      <w:bookmarkEnd w:id="40"/>
      <w:r>
        <w:rPr>
          <w:b w:val="0"/>
        </w:rPr>
      </w:r>
      <w:r>
        <w:rPr/>
        <w:t>Figura</w:t>
      </w:r>
      <w:r>
        <w:rPr>
          <w:spacing w:val="-9"/>
        </w:rPr>
        <w:t> </w:t>
      </w:r>
      <w:r>
        <w:rPr/>
        <w:t>3:Representación</w:t>
      </w:r>
      <w:r>
        <w:rPr>
          <w:spacing w:val="-6"/>
        </w:rPr>
        <w:t> </w:t>
      </w:r>
      <w:r>
        <w:rPr/>
        <w:t>diagramática</w:t>
      </w:r>
      <w:r>
        <w:rPr>
          <w:spacing w:val="-8"/>
        </w:rPr>
        <w:t> </w:t>
      </w:r>
      <w:r>
        <w:rPr/>
        <w:t>del</w:t>
      </w:r>
      <w:r>
        <w:rPr>
          <w:spacing w:val="-4"/>
        </w:rPr>
        <w:t> </w:t>
      </w:r>
      <w:r>
        <w:rPr/>
        <w:t>árbol</w:t>
      </w:r>
      <w:r>
        <w:rPr>
          <w:spacing w:val="-4"/>
        </w:rPr>
        <w:t> </w:t>
      </w:r>
      <w:r>
        <w:rPr/>
        <w:t>de</w:t>
      </w:r>
      <w:r>
        <w:rPr>
          <w:spacing w:val="-4"/>
        </w:rPr>
        <w:t> </w:t>
      </w:r>
      <w:r>
        <w:rPr>
          <w:spacing w:val="-2"/>
        </w:rPr>
        <w:t>problemas</w:t>
      </w:r>
    </w:p>
    <w:p>
      <w:pPr>
        <w:pStyle w:val="BodyText"/>
        <w:spacing w:before="9"/>
        <w:rPr>
          <w:b/>
          <w:sz w:val="7"/>
        </w:rPr>
      </w:pPr>
      <w:r>
        <w:rPr>
          <w:b/>
          <w:sz w:val="7"/>
        </w:rPr>
        <w:drawing>
          <wp:anchor distT="0" distB="0" distL="0" distR="0" allowOverlap="1" layoutInCell="1" locked="0" behindDoc="1" simplePos="0" relativeHeight="487599104">
            <wp:simplePos x="0" y="0"/>
            <wp:positionH relativeFrom="page">
              <wp:posOffset>1048385</wp:posOffset>
            </wp:positionH>
            <wp:positionV relativeFrom="paragraph">
              <wp:posOffset>72626</wp:posOffset>
            </wp:positionV>
            <wp:extent cx="5560184" cy="3706367"/>
            <wp:effectExtent l="0" t="0" r="0" b="0"/>
            <wp:wrapTopAndBottom/>
            <wp:docPr id="78" name="Image 78" descr="Diagrama  El contenido generado por IA puede ser incorrecto."/>
            <wp:cNvGraphicFramePr>
              <a:graphicFrameLocks/>
            </wp:cNvGraphicFramePr>
            <a:graphic>
              <a:graphicData uri="http://schemas.openxmlformats.org/drawingml/2006/picture">
                <pic:pic>
                  <pic:nvPicPr>
                    <pic:cNvPr id="78" name="Image 78" descr="Diagrama  El contenido generado por IA puede ser incorrecto."/>
                    <pic:cNvPicPr/>
                  </pic:nvPicPr>
                  <pic:blipFill>
                    <a:blip r:embed="rId57" cstate="print"/>
                    <a:stretch>
                      <a:fillRect/>
                    </a:stretch>
                  </pic:blipFill>
                  <pic:spPr>
                    <a:xfrm>
                      <a:off x="0" y="0"/>
                      <a:ext cx="5560184" cy="3706367"/>
                    </a:xfrm>
                    <a:prstGeom prst="rect">
                      <a:avLst/>
                    </a:prstGeom>
                  </pic:spPr>
                </pic:pic>
              </a:graphicData>
            </a:graphic>
          </wp:anchor>
        </w:drawing>
      </w:r>
    </w:p>
    <w:p>
      <w:pPr>
        <w:spacing w:before="229"/>
        <w:ind w:left="979" w:right="0" w:firstLine="0"/>
        <w:jc w:val="left"/>
        <w:rPr>
          <w:sz w:val="18"/>
        </w:rPr>
      </w:pPr>
      <w:r>
        <w:rPr>
          <w:sz w:val="18"/>
        </w:rPr>
        <w:t>Fuente: Política</w:t>
      </w:r>
      <w:r>
        <w:rPr>
          <w:spacing w:val="-3"/>
          <w:sz w:val="18"/>
        </w:rPr>
        <w:t> </w:t>
      </w:r>
      <w:r>
        <w:rPr>
          <w:sz w:val="18"/>
        </w:rPr>
        <w:t>Nacional</w:t>
      </w:r>
      <w:r>
        <w:rPr>
          <w:spacing w:val="-5"/>
          <w:sz w:val="18"/>
        </w:rPr>
        <w:t> </w:t>
      </w:r>
      <w:r>
        <w:rPr>
          <w:sz w:val="18"/>
        </w:rPr>
        <w:t>de</w:t>
      </w:r>
      <w:r>
        <w:rPr>
          <w:spacing w:val="-7"/>
          <w:sz w:val="18"/>
        </w:rPr>
        <w:t> </w:t>
      </w:r>
      <w:r>
        <w:rPr>
          <w:sz w:val="18"/>
        </w:rPr>
        <w:t>Superación</w:t>
      </w:r>
      <w:r>
        <w:rPr>
          <w:spacing w:val="-7"/>
          <w:sz w:val="18"/>
        </w:rPr>
        <w:t> </w:t>
      </w:r>
      <w:r>
        <w:rPr>
          <w:sz w:val="18"/>
        </w:rPr>
        <w:t>de</w:t>
      </w:r>
      <w:r>
        <w:rPr>
          <w:spacing w:val="-3"/>
          <w:sz w:val="18"/>
        </w:rPr>
        <w:t> </w:t>
      </w:r>
      <w:r>
        <w:rPr>
          <w:sz w:val="18"/>
        </w:rPr>
        <w:t>la</w:t>
      </w:r>
      <w:r>
        <w:rPr>
          <w:spacing w:val="-7"/>
          <w:sz w:val="18"/>
        </w:rPr>
        <w:t> </w:t>
      </w:r>
      <w:r>
        <w:rPr>
          <w:spacing w:val="-2"/>
          <w:sz w:val="18"/>
        </w:rPr>
        <w:t>Pobreza</w:t>
      </w:r>
    </w:p>
    <w:p>
      <w:pPr>
        <w:spacing w:after="0"/>
        <w:jc w:val="left"/>
        <w:rPr>
          <w:sz w:val="18"/>
        </w:rPr>
        <w:sectPr>
          <w:pgSz w:w="12240" w:h="15840"/>
          <w:pgMar w:header="0" w:footer="1021" w:top="1340" w:bottom="1220" w:left="720" w:right="360"/>
        </w:sectPr>
      </w:pPr>
    </w:p>
    <w:p>
      <w:pPr>
        <w:pStyle w:val="Heading1"/>
        <w:numPr>
          <w:ilvl w:val="0"/>
          <w:numId w:val="5"/>
        </w:numPr>
        <w:tabs>
          <w:tab w:pos="1247" w:val="left" w:leader="none"/>
        </w:tabs>
        <w:spacing w:line="240" w:lineRule="auto" w:before="77" w:after="0"/>
        <w:ind w:left="1247" w:right="0" w:hanging="268"/>
        <w:jc w:val="left"/>
      </w:pPr>
      <w:bookmarkStart w:name="_bookmark40" w:id="41"/>
      <w:bookmarkEnd w:id="41"/>
      <w:r>
        <w:rPr>
          <w:b w:val="0"/>
        </w:rPr>
      </w:r>
      <w:r>
        <w:rPr/>
        <w:t>Estructura</w:t>
      </w:r>
      <w:r>
        <w:rPr>
          <w:spacing w:val="-4"/>
        </w:rPr>
        <w:t> </w:t>
      </w:r>
      <w:r>
        <w:rPr/>
        <w:t>Programática</w:t>
      </w:r>
      <w:r>
        <w:rPr>
          <w:spacing w:val="-11"/>
        </w:rPr>
        <w:t> </w:t>
      </w:r>
      <w:r>
        <w:rPr/>
        <w:t>del</w:t>
      </w:r>
      <w:r>
        <w:rPr>
          <w:spacing w:val="-3"/>
        </w:rPr>
        <w:t> </w:t>
      </w:r>
      <w:r>
        <w:rPr/>
        <w:t>Plan-</w:t>
      </w:r>
      <w:r>
        <w:rPr>
          <w:spacing w:val="-2"/>
        </w:rPr>
        <w:t>Presupuesto</w:t>
      </w:r>
    </w:p>
    <w:p>
      <w:pPr>
        <w:pStyle w:val="BodyText"/>
        <w:spacing w:before="275"/>
        <w:ind w:left="979" w:right="1341"/>
        <w:jc w:val="both"/>
      </w:pPr>
      <w:r>
        <w:rPr/>
        <w:t>Para</w:t>
      </w:r>
      <w:r>
        <w:rPr>
          <w:spacing w:val="-5"/>
        </w:rPr>
        <w:t> </w:t>
      </w:r>
      <w:r>
        <w:rPr/>
        <w:t>el</w:t>
      </w:r>
      <w:r>
        <w:rPr>
          <w:spacing w:val="-3"/>
        </w:rPr>
        <w:t> </w:t>
      </w:r>
      <w:r>
        <w:rPr/>
        <w:t>cumplimiento</w:t>
      </w:r>
      <w:r>
        <w:rPr>
          <w:spacing w:val="-1"/>
        </w:rPr>
        <w:t> </w:t>
      </w:r>
      <w:r>
        <w:rPr/>
        <w:t>de los</w:t>
      </w:r>
      <w:r>
        <w:rPr>
          <w:spacing w:val="-7"/>
        </w:rPr>
        <w:t> </w:t>
      </w:r>
      <w:r>
        <w:rPr/>
        <w:t>objetivos,</w:t>
      </w:r>
      <w:r>
        <w:rPr>
          <w:spacing w:val="-6"/>
        </w:rPr>
        <w:t> </w:t>
      </w:r>
      <w:r>
        <w:rPr/>
        <w:t>el</w:t>
      </w:r>
      <w:r>
        <w:rPr>
          <w:spacing w:val="-1"/>
        </w:rPr>
        <w:t> </w:t>
      </w:r>
      <w:r>
        <w:rPr/>
        <w:t>IMAS</w:t>
      </w:r>
      <w:r>
        <w:rPr>
          <w:spacing w:val="-6"/>
        </w:rPr>
        <w:t> </w:t>
      </w:r>
      <w:r>
        <w:rPr/>
        <w:t>cuenta</w:t>
      </w:r>
      <w:r>
        <w:rPr>
          <w:spacing w:val="-1"/>
        </w:rPr>
        <w:t> </w:t>
      </w:r>
      <w:r>
        <w:rPr/>
        <w:t>con</w:t>
      </w:r>
      <w:r>
        <w:rPr>
          <w:spacing w:val="-1"/>
        </w:rPr>
        <w:t> </w:t>
      </w:r>
      <w:r>
        <w:rPr/>
        <w:t>tres</w:t>
      </w:r>
      <w:r>
        <w:rPr>
          <w:spacing w:val="-2"/>
        </w:rPr>
        <w:t> </w:t>
      </w:r>
      <w:r>
        <w:rPr/>
        <w:t>programas</w:t>
      </w:r>
      <w:r>
        <w:rPr>
          <w:spacing w:val="-2"/>
        </w:rPr>
        <w:t> </w:t>
      </w:r>
      <w:r>
        <w:rPr/>
        <w:t>presupuestarios a saber: Protección y Promoción Social (PPPS), Actividades Centrales y Empresas </w:t>
      </w:r>
      <w:r>
        <w:rPr>
          <w:spacing w:val="-2"/>
        </w:rPr>
        <w:t>Comerciales.</w:t>
      </w:r>
    </w:p>
    <w:p>
      <w:pPr>
        <w:pStyle w:val="BodyText"/>
        <w:spacing w:before="2"/>
      </w:pPr>
    </w:p>
    <w:p>
      <w:pPr>
        <w:pStyle w:val="Heading1"/>
        <w:numPr>
          <w:ilvl w:val="1"/>
          <w:numId w:val="5"/>
        </w:numPr>
        <w:tabs>
          <w:tab w:pos="2245" w:val="left" w:leader="none"/>
        </w:tabs>
        <w:spacing w:line="240" w:lineRule="auto" w:before="0" w:after="0"/>
        <w:ind w:left="2245" w:right="0" w:hanging="401"/>
        <w:jc w:val="left"/>
      </w:pPr>
      <w:bookmarkStart w:name="_bookmark41" w:id="42"/>
      <w:bookmarkEnd w:id="42"/>
      <w:r>
        <w:rPr>
          <w:b w:val="0"/>
        </w:rPr>
      </w:r>
      <w:r>
        <w:rPr/>
        <w:t>Programa</w:t>
      </w:r>
      <w:r>
        <w:rPr>
          <w:spacing w:val="-5"/>
        </w:rPr>
        <w:t> </w:t>
      </w:r>
      <w:r>
        <w:rPr/>
        <w:t>de</w:t>
      </w:r>
      <w:r>
        <w:rPr>
          <w:spacing w:val="-4"/>
        </w:rPr>
        <w:t> </w:t>
      </w:r>
      <w:r>
        <w:rPr/>
        <w:t>Protección</w:t>
      </w:r>
      <w:r>
        <w:rPr>
          <w:spacing w:val="-2"/>
        </w:rPr>
        <w:t> </w:t>
      </w:r>
      <w:r>
        <w:rPr/>
        <w:t>y</w:t>
      </w:r>
      <w:r>
        <w:rPr>
          <w:spacing w:val="-8"/>
        </w:rPr>
        <w:t> </w:t>
      </w:r>
      <w:r>
        <w:rPr/>
        <w:t>Promoción</w:t>
      </w:r>
      <w:r>
        <w:rPr>
          <w:spacing w:val="-7"/>
        </w:rPr>
        <w:t> </w:t>
      </w:r>
      <w:r>
        <w:rPr>
          <w:spacing w:val="-2"/>
        </w:rPr>
        <w:t>Social</w:t>
      </w:r>
    </w:p>
    <w:p>
      <w:pPr>
        <w:pStyle w:val="BodyText"/>
        <w:spacing w:before="276"/>
        <w:ind w:left="979" w:right="1342"/>
        <w:jc w:val="both"/>
      </w:pPr>
      <w:r>
        <w:rPr/>
        <w:t>La</w:t>
      </w:r>
      <w:r>
        <w:rPr>
          <w:spacing w:val="-16"/>
        </w:rPr>
        <w:t> </w:t>
      </w:r>
      <w:r>
        <w:rPr/>
        <w:t>población</w:t>
      </w:r>
      <w:r>
        <w:rPr>
          <w:spacing w:val="-15"/>
        </w:rPr>
        <w:t> </w:t>
      </w:r>
      <w:r>
        <w:rPr/>
        <w:t>en</w:t>
      </w:r>
      <w:r>
        <w:rPr>
          <w:spacing w:val="-15"/>
        </w:rPr>
        <w:t> </w:t>
      </w:r>
      <w:r>
        <w:rPr/>
        <w:t>situación</w:t>
      </w:r>
      <w:r>
        <w:rPr>
          <w:spacing w:val="-16"/>
        </w:rPr>
        <w:t> </w:t>
      </w:r>
      <w:r>
        <w:rPr/>
        <w:t>de</w:t>
      </w:r>
      <w:r>
        <w:rPr>
          <w:spacing w:val="-15"/>
        </w:rPr>
        <w:t> </w:t>
      </w:r>
      <w:r>
        <w:rPr/>
        <w:t>pobreza,</w:t>
      </w:r>
      <w:r>
        <w:rPr>
          <w:spacing w:val="-15"/>
        </w:rPr>
        <w:t> </w:t>
      </w:r>
      <w:r>
        <w:rPr/>
        <w:t>así</w:t>
      </w:r>
      <w:r>
        <w:rPr>
          <w:spacing w:val="-15"/>
        </w:rPr>
        <w:t> </w:t>
      </w:r>
      <w:r>
        <w:rPr/>
        <w:t>como</w:t>
      </w:r>
      <w:r>
        <w:rPr>
          <w:spacing w:val="-16"/>
        </w:rPr>
        <w:t> </w:t>
      </w:r>
      <w:r>
        <w:rPr/>
        <w:t>los</w:t>
      </w:r>
      <w:r>
        <w:rPr>
          <w:spacing w:val="-15"/>
        </w:rPr>
        <w:t> </w:t>
      </w:r>
      <w:r>
        <w:rPr/>
        <w:t>territorios</w:t>
      </w:r>
      <w:r>
        <w:rPr>
          <w:spacing w:val="-15"/>
        </w:rPr>
        <w:t> </w:t>
      </w:r>
      <w:r>
        <w:rPr/>
        <w:t>en</w:t>
      </w:r>
      <w:r>
        <w:rPr>
          <w:spacing w:val="-16"/>
        </w:rPr>
        <w:t> </w:t>
      </w:r>
      <w:r>
        <w:rPr/>
        <w:t>que</w:t>
      </w:r>
      <w:r>
        <w:rPr>
          <w:spacing w:val="-15"/>
        </w:rPr>
        <w:t> </w:t>
      </w:r>
      <w:r>
        <w:rPr/>
        <w:t>reside</w:t>
      </w:r>
      <w:r>
        <w:rPr>
          <w:spacing w:val="-15"/>
        </w:rPr>
        <w:t> </w:t>
      </w:r>
      <w:r>
        <w:rPr/>
        <w:t>dicha</w:t>
      </w:r>
      <w:r>
        <w:rPr>
          <w:spacing w:val="-15"/>
        </w:rPr>
        <w:t> </w:t>
      </w:r>
      <w:r>
        <w:rPr/>
        <w:t>población, constituyen el</w:t>
      </w:r>
      <w:r>
        <w:rPr>
          <w:spacing w:val="-2"/>
        </w:rPr>
        <w:t> </w:t>
      </w:r>
      <w:r>
        <w:rPr/>
        <w:t>eje central</w:t>
      </w:r>
      <w:r>
        <w:rPr>
          <w:spacing w:val="-2"/>
        </w:rPr>
        <w:t> </w:t>
      </w:r>
      <w:r>
        <w:rPr/>
        <w:t>hacia el</w:t>
      </w:r>
      <w:r>
        <w:rPr>
          <w:spacing w:val="-2"/>
        </w:rPr>
        <w:t> </w:t>
      </w:r>
      <w:r>
        <w:rPr/>
        <w:t>cual</w:t>
      </w:r>
      <w:r>
        <w:rPr>
          <w:spacing w:val="-2"/>
        </w:rPr>
        <w:t> </w:t>
      </w:r>
      <w:r>
        <w:rPr/>
        <w:t>están orientados</w:t>
      </w:r>
      <w:r>
        <w:rPr>
          <w:spacing w:val="-2"/>
        </w:rPr>
        <w:t> </w:t>
      </w:r>
      <w:r>
        <w:rPr/>
        <w:t>los</w:t>
      </w:r>
      <w:r>
        <w:rPr>
          <w:spacing w:val="-2"/>
        </w:rPr>
        <w:t> </w:t>
      </w:r>
      <w:r>
        <w:rPr/>
        <w:t>servicios, beneficios, subsidios y transferencias monetarias que brinda el IMAS. Estos deben ser atendidos considerando la especificidad de las necesidades de las personas que integran los hogares u organizaciones receptoras de recursos, así como retomando las particularidades de los </w:t>
      </w:r>
      <w:r>
        <w:rPr>
          <w:spacing w:val="-2"/>
        </w:rPr>
        <w:t>territorios.</w:t>
      </w:r>
    </w:p>
    <w:p>
      <w:pPr>
        <w:pStyle w:val="BodyText"/>
      </w:pPr>
    </w:p>
    <w:p>
      <w:pPr>
        <w:pStyle w:val="BodyText"/>
        <w:ind w:left="979" w:right="1336"/>
        <w:jc w:val="both"/>
      </w:pPr>
      <w:r>
        <w:rPr/>
        <w:t>Para este propósito el IMAS debe atender a la población en situación de pobreza, en primera</w:t>
      </w:r>
      <w:r>
        <w:rPr>
          <w:spacing w:val="-2"/>
        </w:rPr>
        <w:t> </w:t>
      </w:r>
      <w:r>
        <w:rPr/>
        <w:t>instancia</w:t>
      </w:r>
      <w:r>
        <w:rPr>
          <w:spacing w:val="-5"/>
        </w:rPr>
        <w:t> </w:t>
      </w:r>
      <w:r>
        <w:rPr/>
        <w:t>con</w:t>
      </w:r>
      <w:r>
        <w:rPr>
          <w:spacing w:val="-5"/>
        </w:rPr>
        <w:t> </w:t>
      </w:r>
      <w:r>
        <w:rPr/>
        <w:t>la</w:t>
      </w:r>
      <w:r>
        <w:rPr>
          <w:spacing w:val="-5"/>
        </w:rPr>
        <w:t> </w:t>
      </w:r>
      <w:r>
        <w:rPr/>
        <w:t>oferta</w:t>
      </w:r>
      <w:r>
        <w:rPr>
          <w:spacing w:val="-10"/>
        </w:rPr>
        <w:t> </w:t>
      </w:r>
      <w:r>
        <w:rPr/>
        <w:t>programática</w:t>
      </w:r>
      <w:r>
        <w:rPr>
          <w:spacing w:val="-2"/>
        </w:rPr>
        <w:t> </w:t>
      </w:r>
      <w:r>
        <w:rPr/>
        <w:t>interna,</w:t>
      </w:r>
      <w:r>
        <w:rPr>
          <w:spacing w:val="-2"/>
        </w:rPr>
        <w:t> </w:t>
      </w:r>
      <w:r>
        <w:rPr/>
        <w:t>y</w:t>
      </w:r>
      <w:r>
        <w:rPr>
          <w:spacing w:val="-12"/>
        </w:rPr>
        <w:t> </w:t>
      </w:r>
      <w:r>
        <w:rPr/>
        <w:t>posteriormente</w:t>
      </w:r>
      <w:r>
        <w:rPr>
          <w:spacing w:val="-5"/>
        </w:rPr>
        <w:t> </w:t>
      </w:r>
      <w:r>
        <w:rPr/>
        <w:t>articulando</w:t>
      </w:r>
      <w:r>
        <w:rPr>
          <w:spacing w:val="-5"/>
        </w:rPr>
        <w:t> </w:t>
      </w:r>
      <w:r>
        <w:rPr/>
        <w:t>acciones con otras instituciones, facilitando así el acceso oportuno y preferente a la oferta de programas y servicios del Estado costarricense.</w:t>
      </w:r>
    </w:p>
    <w:p>
      <w:pPr>
        <w:pStyle w:val="BodyText"/>
        <w:spacing w:before="252"/>
        <w:ind w:left="979" w:right="1340"/>
        <w:jc w:val="both"/>
      </w:pPr>
      <w:r>
        <w:rPr/>
        <w:t>Es así como la Protección y Promoción Social constituyen mecanismos que le permiten a la población el acceso a servicios de atención integral, que les garantizan derechos e igualdad</w:t>
      </w:r>
      <w:r>
        <w:rPr>
          <w:spacing w:val="-16"/>
        </w:rPr>
        <w:t> </w:t>
      </w:r>
      <w:r>
        <w:rPr/>
        <w:t>como</w:t>
      </w:r>
      <w:r>
        <w:rPr>
          <w:spacing w:val="-14"/>
        </w:rPr>
        <w:t> </w:t>
      </w:r>
      <w:r>
        <w:rPr/>
        <w:t>vínculos</w:t>
      </w:r>
      <w:r>
        <w:rPr>
          <w:spacing w:val="-16"/>
        </w:rPr>
        <w:t> </w:t>
      </w:r>
      <w:r>
        <w:rPr/>
        <w:t>directos</w:t>
      </w:r>
      <w:r>
        <w:rPr>
          <w:spacing w:val="-15"/>
        </w:rPr>
        <w:t> </w:t>
      </w:r>
      <w:r>
        <w:rPr/>
        <w:t>con</w:t>
      </w:r>
      <w:r>
        <w:rPr>
          <w:spacing w:val="-10"/>
        </w:rPr>
        <w:t> </w:t>
      </w:r>
      <w:r>
        <w:rPr/>
        <w:t>la</w:t>
      </w:r>
      <w:r>
        <w:rPr>
          <w:spacing w:val="-15"/>
        </w:rPr>
        <w:t> </w:t>
      </w:r>
      <w:r>
        <w:rPr/>
        <w:t>movilidad</w:t>
      </w:r>
      <w:r>
        <w:rPr>
          <w:spacing w:val="-15"/>
        </w:rPr>
        <w:t> </w:t>
      </w:r>
      <w:r>
        <w:rPr/>
        <w:t>promovida</w:t>
      </w:r>
      <w:r>
        <w:rPr>
          <w:spacing w:val="-15"/>
        </w:rPr>
        <w:t> </w:t>
      </w:r>
      <w:r>
        <w:rPr/>
        <w:t>desde</w:t>
      </w:r>
      <w:r>
        <w:rPr>
          <w:spacing w:val="-15"/>
        </w:rPr>
        <w:t> </w:t>
      </w:r>
      <w:r>
        <w:rPr/>
        <w:t>las</w:t>
      </w:r>
      <w:r>
        <w:rPr>
          <w:spacing w:val="-19"/>
        </w:rPr>
        <w:t> </w:t>
      </w:r>
      <w:r>
        <w:rPr/>
        <w:t>políticas</w:t>
      </w:r>
      <w:r>
        <w:rPr>
          <w:spacing w:val="-16"/>
        </w:rPr>
        <w:t> </w:t>
      </w:r>
      <w:r>
        <w:rPr/>
        <w:t>universales.</w:t>
      </w:r>
    </w:p>
    <w:p>
      <w:pPr>
        <w:pStyle w:val="BodyText"/>
        <w:spacing w:before="1"/>
      </w:pPr>
    </w:p>
    <w:p>
      <w:pPr>
        <w:pStyle w:val="Heading1"/>
        <w:numPr>
          <w:ilvl w:val="2"/>
          <w:numId w:val="5"/>
        </w:numPr>
        <w:tabs>
          <w:tab w:pos="2444" w:val="left" w:leader="none"/>
        </w:tabs>
        <w:spacing w:line="240" w:lineRule="auto" w:before="0" w:after="0"/>
        <w:ind w:left="2444" w:right="0" w:hanging="600"/>
        <w:jc w:val="left"/>
      </w:pPr>
      <w:r>
        <w:rPr/>
        <w:t>Descripción</w:t>
      </w:r>
      <w:r>
        <w:rPr>
          <w:spacing w:val="-6"/>
        </w:rPr>
        <w:t> </w:t>
      </w:r>
      <w:r>
        <w:rPr/>
        <w:t>del</w:t>
      </w:r>
      <w:r>
        <w:rPr>
          <w:spacing w:val="-6"/>
        </w:rPr>
        <w:t> </w:t>
      </w:r>
      <w:r>
        <w:rPr>
          <w:spacing w:val="-2"/>
        </w:rPr>
        <w:t>Programa</w:t>
      </w:r>
    </w:p>
    <w:p>
      <w:pPr>
        <w:pStyle w:val="BodyText"/>
        <w:spacing w:before="252"/>
        <w:ind w:left="979" w:right="1334"/>
        <w:jc w:val="both"/>
      </w:pPr>
      <w:r>
        <w:rPr/>
        <w:t>La Constitución Política de Costa Rica en su artículo 50 establece la responsabilidad del Estado de procurar el mayor bienestar para la población, configurando a partir de este momento la importancia de la protección de toda la sociedad, principalmente de aquellos sectores más desfavorecidos.</w:t>
      </w:r>
    </w:p>
    <w:p>
      <w:pPr>
        <w:pStyle w:val="BodyText"/>
        <w:spacing w:before="2"/>
      </w:pPr>
    </w:p>
    <w:p>
      <w:pPr>
        <w:pStyle w:val="BodyText"/>
        <w:spacing w:before="1"/>
        <w:ind w:left="979" w:right="1351"/>
        <w:jc w:val="both"/>
      </w:pPr>
      <w:r>
        <w:rPr>
          <w:spacing w:val="-2"/>
        </w:rPr>
        <w:t>Vinculado</w:t>
      </w:r>
      <w:r>
        <w:rPr>
          <w:spacing w:val="-3"/>
        </w:rPr>
        <w:t> </w:t>
      </w:r>
      <w:r>
        <w:rPr>
          <w:spacing w:val="-2"/>
        </w:rPr>
        <w:t>a</w:t>
      </w:r>
      <w:r>
        <w:rPr>
          <w:spacing w:val="-9"/>
        </w:rPr>
        <w:t> </w:t>
      </w:r>
      <w:r>
        <w:rPr>
          <w:spacing w:val="-2"/>
        </w:rPr>
        <w:t>este</w:t>
      </w:r>
      <w:r>
        <w:rPr>
          <w:spacing w:val="-3"/>
        </w:rPr>
        <w:t> </w:t>
      </w:r>
      <w:r>
        <w:rPr>
          <w:spacing w:val="-2"/>
        </w:rPr>
        <w:t>rol</w:t>
      </w:r>
      <w:r>
        <w:rPr>
          <w:spacing w:val="-6"/>
        </w:rPr>
        <w:t> </w:t>
      </w:r>
      <w:r>
        <w:rPr>
          <w:spacing w:val="-2"/>
        </w:rPr>
        <w:t>del</w:t>
      </w:r>
      <w:r>
        <w:rPr>
          <w:spacing w:val="-6"/>
        </w:rPr>
        <w:t> </w:t>
      </w:r>
      <w:r>
        <w:rPr>
          <w:spacing w:val="-2"/>
        </w:rPr>
        <w:t>Estado</w:t>
      </w:r>
      <w:r>
        <w:rPr>
          <w:spacing w:val="-3"/>
        </w:rPr>
        <w:t> </w:t>
      </w:r>
      <w:r>
        <w:rPr>
          <w:spacing w:val="-2"/>
        </w:rPr>
        <w:t>como</w:t>
      </w:r>
      <w:r>
        <w:rPr>
          <w:spacing w:val="-9"/>
        </w:rPr>
        <w:t> </w:t>
      </w:r>
      <w:r>
        <w:rPr>
          <w:spacing w:val="-2"/>
        </w:rPr>
        <w:t>garante</w:t>
      </w:r>
      <w:r>
        <w:rPr>
          <w:spacing w:val="-9"/>
        </w:rPr>
        <w:t> </w:t>
      </w:r>
      <w:r>
        <w:rPr>
          <w:spacing w:val="-2"/>
        </w:rPr>
        <w:t>del</w:t>
      </w:r>
      <w:r>
        <w:rPr>
          <w:spacing w:val="-11"/>
        </w:rPr>
        <w:t> </w:t>
      </w:r>
      <w:r>
        <w:rPr>
          <w:spacing w:val="-2"/>
        </w:rPr>
        <w:t>bienestar</w:t>
      </w:r>
      <w:r>
        <w:rPr>
          <w:spacing w:val="-12"/>
        </w:rPr>
        <w:t> </w:t>
      </w:r>
      <w:r>
        <w:rPr>
          <w:spacing w:val="-2"/>
        </w:rPr>
        <w:t>de</w:t>
      </w:r>
      <w:r>
        <w:rPr>
          <w:spacing w:val="-9"/>
        </w:rPr>
        <w:t> </w:t>
      </w:r>
      <w:r>
        <w:rPr>
          <w:spacing w:val="-2"/>
        </w:rPr>
        <w:t>la</w:t>
      </w:r>
      <w:r>
        <w:rPr>
          <w:spacing w:val="-9"/>
        </w:rPr>
        <w:t> </w:t>
      </w:r>
      <w:r>
        <w:rPr>
          <w:spacing w:val="-2"/>
        </w:rPr>
        <w:t>población,</w:t>
      </w:r>
      <w:r>
        <w:rPr>
          <w:spacing w:val="-9"/>
        </w:rPr>
        <w:t> </w:t>
      </w:r>
      <w:r>
        <w:rPr>
          <w:spacing w:val="-2"/>
        </w:rPr>
        <w:t>es</w:t>
      </w:r>
      <w:r>
        <w:rPr>
          <w:spacing w:val="-10"/>
        </w:rPr>
        <w:t> </w:t>
      </w:r>
      <w:r>
        <w:rPr>
          <w:spacing w:val="-2"/>
        </w:rPr>
        <w:t>que</w:t>
      </w:r>
      <w:r>
        <w:rPr>
          <w:spacing w:val="-9"/>
        </w:rPr>
        <w:t> </w:t>
      </w:r>
      <w:r>
        <w:rPr>
          <w:spacing w:val="-2"/>
        </w:rPr>
        <w:t>mediante </w:t>
      </w:r>
      <w:r>
        <w:rPr/>
        <w:t>la ley N°4760 del 04 de mayo de 1971 se estableció la creación del IMAS, consignando entre los fines de esta instancia:</w:t>
      </w:r>
    </w:p>
    <w:p>
      <w:pPr>
        <w:pStyle w:val="BodyText"/>
      </w:pPr>
    </w:p>
    <w:p>
      <w:pPr>
        <w:spacing w:before="0"/>
        <w:ind w:left="1263" w:right="0" w:firstLine="0"/>
        <w:jc w:val="both"/>
        <w:rPr>
          <w:i/>
          <w:sz w:val="20"/>
        </w:rPr>
      </w:pPr>
      <w:r>
        <w:rPr>
          <w:i/>
          <w:sz w:val="20"/>
        </w:rPr>
        <w:t>“a)</w:t>
      </w:r>
      <w:r>
        <w:rPr>
          <w:i/>
          <w:spacing w:val="2"/>
          <w:sz w:val="20"/>
        </w:rPr>
        <w:t> </w:t>
      </w:r>
      <w:r>
        <w:rPr>
          <w:i/>
          <w:sz w:val="20"/>
        </w:rPr>
        <w:t>Formular</w:t>
      </w:r>
      <w:r>
        <w:rPr>
          <w:i/>
          <w:spacing w:val="5"/>
          <w:sz w:val="20"/>
        </w:rPr>
        <w:t> </w:t>
      </w:r>
      <w:r>
        <w:rPr>
          <w:i/>
          <w:sz w:val="20"/>
        </w:rPr>
        <w:t>y</w:t>
      </w:r>
      <w:r>
        <w:rPr>
          <w:i/>
          <w:spacing w:val="5"/>
          <w:sz w:val="20"/>
        </w:rPr>
        <w:t> </w:t>
      </w:r>
      <w:r>
        <w:rPr>
          <w:i/>
          <w:sz w:val="20"/>
        </w:rPr>
        <w:t>ejecutar</w:t>
      </w:r>
      <w:r>
        <w:rPr>
          <w:i/>
          <w:spacing w:val="5"/>
          <w:sz w:val="20"/>
        </w:rPr>
        <w:t> </w:t>
      </w:r>
      <w:r>
        <w:rPr>
          <w:i/>
          <w:sz w:val="20"/>
        </w:rPr>
        <w:t>una</w:t>
      </w:r>
      <w:r>
        <w:rPr>
          <w:i/>
          <w:spacing w:val="3"/>
          <w:sz w:val="20"/>
        </w:rPr>
        <w:t> </w:t>
      </w:r>
      <w:r>
        <w:rPr>
          <w:i/>
          <w:sz w:val="20"/>
        </w:rPr>
        <w:t>política</w:t>
      </w:r>
      <w:r>
        <w:rPr>
          <w:i/>
          <w:spacing w:val="3"/>
          <w:sz w:val="20"/>
        </w:rPr>
        <w:t> </w:t>
      </w:r>
      <w:r>
        <w:rPr>
          <w:i/>
          <w:sz w:val="20"/>
        </w:rPr>
        <w:t>nacional</w:t>
      </w:r>
      <w:r>
        <w:rPr>
          <w:i/>
          <w:spacing w:val="3"/>
          <w:sz w:val="20"/>
        </w:rPr>
        <w:t> </w:t>
      </w:r>
      <w:r>
        <w:rPr>
          <w:i/>
          <w:sz w:val="20"/>
        </w:rPr>
        <w:t>de</w:t>
      </w:r>
      <w:r>
        <w:rPr>
          <w:i/>
          <w:spacing w:val="3"/>
          <w:sz w:val="20"/>
        </w:rPr>
        <w:t> </w:t>
      </w:r>
      <w:r>
        <w:rPr>
          <w:i/>
          <w:sz w:val="20"/>
        </w:rPr>
        <w:t>promoción</w:t>
      </w:r>
      <w:r>
        <w:rPr>
          <w:i/>
          <w:spacing w:val="3"/>
          <w:sz w:val="20"/>
        </w:rPr>
        <w:t> </w:t>
      </w:r>
      <w:r>
        <w:rPr>
          <w:i/>
          <w:sz w:val="20"/>
        </w:rPr>
        <w:t>social</w:t>
      </w:r>
      <w:r>
        <w:rPr>
          <w:i/>
          <w:spacing w:val="4"/>
          <w:sz w:val="20"/>
        </w:rPr>
        <w:t> </w:t>
      </w:r>
      <w:r>
        <w:rPr>
          <w:i/>
          <w:sz w:val="20"/>
        </w:rPr>
        <w:t>y</w:t>
      </w:r>
      <w:r>
        <w:rPr>
          <w:i/>
          <w:spacing w:val="4"/>
          <w:sz w:val="20"/>
        </w:rPr>
        <w:t> </w:t>
      </w:r>
      <w:r>
        <w:rPr>
          <w:i/>
          <w:sz w:val="20"/>
        </w:rPr>
        <w:t>humana</w:t>
      </w:r>
      <w:r>
        <w:rPr>
          <w:i/>
          <w:spacing w:val="4"/>
          <w:sz w:val="20"/>
        </w:rPr>
        <w:t> </w:t>
      </w:r>
      <w:r>
        <w:rPr>
          <w:i/>
          <w:sz w:val="20"/>
        </w:rPr>
        <w:t>de</w:t>
      </w:r>
      <w:r>
        <w:rPr>
          <w:i/>
          <w:spacing w:val="3"/>
          <w:sz w:val="20"/>
        </w:rPr>
        <w:t> </w:t>
      </w:r>
      <w:r>
        <w:rPr>
          <w:i/>
          <w:sz w:val="20"/>
        </w:rPr>
        <w:t>los</w:t>
      </w:r>
      <w:r>
        <w:rPr>
          <w:i/>
          <w:spacing w:val="5"/>
          <w:sz w:val="20"/>
        </w:rPr>
        <w:t> </w:t>
      </w:r>
      <w:r>
        <w:rPr>
          <w:i/>
          <w:spacing w:val="-2"/>
          <w:sz w:val="20"/>
        </w:rPr>
        <w:t>sectores</w:t>
      </w:r>
    </w:p>
    <w:p>
      <w:pPr>
        <w:spacing w:before="0"/>
        <w:ind w:left="1263" w:right="0" w:firstLine="0"/>
        <w:jc w:val="both"/>
        <w:rPr>
          <w:i/>
          <w:sz w:val="20"/>
        </w:rPr>
      </w:pPr>
      <w:r>
        <w:rPr>
          <w:i/>
          <w:sz w:val="20"/>
        </w:rPr>
        <w:t>más</w:t>
      </w:r>
      <w:r>
        <w:rPr>
          <w:i/>
          <w:spacing w:val="-6"/>
          <w:sz w:val="20"/>
        </w:rPr>
        <w:t> </w:t>
      </w:r>
      <w:r>
        <w:rPr>
          <w:i/>
          <w:sz w:val="20"/>
        </w:rPr>
        <w:t>débiles</w:t>
      </w:r>
      <w:r>
        <w:rPr>
          <w:i/>
          <w:spacing w:val="-5"/>
          <w:sz w:val="20"/>
        </w:rPr>
        <w:t> </w:t>
      </w:r>
      <w:r>
        <w:rPr>
          <w:i/>
          <w:sz w:val="20"/>
        </w:rPr>
        <w:t>de</w:t>
      </w:r>
      <w:r>
        <w:rPr>
          <w:i/>
          <w:spacing w:val="-6"/>
          <w:sz w:val="20"/>
        </w:rPr>
        <w:t> </w:t>
      </w:r>
      <w:r>
        <w:rPr>
          <w:i/>
          <w:sz w:val="20"/>
        </w:rPr>
        <w:t>la</w:t>
      </w:r>
      <w:r>
        <w:rPr>
          <w:i/>
          <w:spacing w:val="-6"/>
          <w:sz w:val="20"/>
        </w:rPr>
        <w:t> </w:t>
      </w:r>
      <w:r>
        <w:rPr>
          <w:i/>
          <w:sz w:val="20"/>
        </w:rPr>
        <w:t>sociedad</w:t>
      </w:r>
      <w:r>
        <w:rPr>
          <w:i/>
          <w:spacing w:val="-6"/>
          <w:sz w:val="20"/>
        </w:rPr>
        <w:t> </w:t>
      </w:r>
      <w:r>
        <w:rPr>
          <w:i/>
          <w:spacing w:val="-2"/>
          <w:sz w:val="20"/>
        </w:rPr>
        <w:t>costarricense;</w:t>
      </w:r>
    </w:p>
    <w:p>
      <w:pPr>
        <w:pStyle w:val="ListParagraph"/>
        <w:numPr>
          <w:ilvl w:val="0"/>
          <w:numId w:val="18"/>
        </w:numPr>
        <w:tabs>
          <w:tab w:pos="1496" w:val="left" w:leader="none"/>
        </w:tabs>
        <w:spacing w:line="228" w:lineRule="exact" w:before="1" w:after="0"/>
        <w:ind w:left="1496" w:right="0" w:hanging="233"/>
        <w:jc w:val="both"/>
        <w:rPr>
          <w:i/>
          <w:sz w:val="20"/>
        </w:rPr>
      </w:pPr>
      <w:r>
        <w:rPr>
          <w:i/>
          <w:sz w:val="20"/>
        </w:rPr>
        <w:t>Atenuar,</w:t>
      </w:r>
      <w:r>
        <w:rPr>
          <w:i/>
          <w:spacing w:val="-7"/>
          <w:sz w:val="20"/>
        </w:rPr>
        <w:t> </w:t>
      </w:r>
      <w:r>
        <w:rPr>
          <w:i/>
          <w:sz w:val="20"/>
        </w:rPr>
        <w:t>disminuir</w:t>
      </w:r>
      <w:r>
        <w:rPr>
          <w:i/>
          <w:spacing w:val="-6"/>
          <w:sz w:val="20"/>
        </w:rPr>
        <w:t> </w:t>
      </w:r>
      <w:r>
        <w:rPr>
          <w:i/>
          <w:sz w:val="20"/>
        </w:rPr>
        <w:t>o</w:t>
      </w:r>
      <w:r>
        <w:rPr>
          <w:i/>
          <w:spacing w:val="-8"/>
          <w:sz w:val="20"/>
        </w:rPr>
        <w:t> </w:t>
      </w:r>
      <w:r>
        <w:rPr>
          <w:i/>
          <w:sz w:val="20"/>
        </w:rPr>
        <w:t>eliminar</w:t>
      </w:r>
      <w:r>
        <w:rPr>
          <w:i/>
          <w:spacing w:val="-6"/>
          <w:sz w:val="20"/>
        </w:rPr>
        <w:t> </w:t>
      </w:r>
      <w:r>
        <w:rPr>
          <w:i/>
          <w:sz w:val="20"/>
        </w:rPr>
        <w:t>las</w:t>
      </w:r>
      <w:r>
        <w:rPr>
          <w:i/>
          <w:spacing w:val="-6"/>
          <w:sz w:val="20"/>
        </w:rPr>
        <w:t> </w:t>
      </w:r>
      <w:r>
        <w:rPr>
          <w:i/>
          <w:sz w:val="20"/>
        </w:rPr>
        <w:t>causas</w:t>
      </w:r>
      <w:r>
        <w:rPr>
          <w:i/>
          <w:spacing w:val="-7"/>
          <w:sz w:val="20"/>
        </w:rPr>
        <w:t> </w:t>
      </w:r>
      <w:r>
        <w:rPr>
          <w:i/>
          <w:sz w:val="20"/>
        </w:rPr>
        <w:t>generadoras</w:t>
      </w:r>
      <w:r>
        <w:rPr>
          <w:i/>
          <w:spacing w:val="-6"/>
          <w:sz w:val="20"/>
        </w:rPr>
        <w:t> </w:t>
      </w:r>
      <w:r>
        <w:rPr>
          <w:i/>
          <w:sz w:val="20"/>
        </w:rPr>
        <w:t>de</w:t>
      </w:r>
      <w:r>
        <w:rPr>
          <w:i/>
          <w:spacing w:val="-7"/>
          <w:sz w:val="20"/>
        </w:rPr>
        <w:t> </w:t>
      </w:r>
      <w:r>
        <w:rPr>
          <w:i/>
          <w:sz w:val="20"/>
        </w:rPr>
        <w:t>la</w:t>
      </w:r>
      <w:r>
        <w:rPr>
          <w:i/>
          <w:spacing w:val="-8"/>
          <w:sz w:val="20"/>
        </w:rPr>
        <w:t> </w:t>
      </w:r>
      <w:r>
        <w:rPr>
          <w:i/>
          <w:sz w:val="20"/>
        </w:rPr>
        <w:t>indigencia</w:t>
      </w:r>
      <w:r>
        <w:rPr>
          <w:i/>
          <w:spacing w:val="-7"/>
          <w:sz w:val="20"/>
        </w:rPr>
        <w:t> </w:t>
      </w:r>
      <w:r>
        <w:rPr>
          <w:i/>
          <w:sz w:val="20"/>
        </w:rPr>
        <w:t>y</w:t>
      </w:r>
      <w:r>
        <w:rPr>
          <w:i/>
          <w:spacing w:val="-6"/>
          <w:sz w:val="20"/>
        </w:rPr>
        <w:t> </w:t>
      </w:r>
      <w:r>
        <w:rPr>
          <w:i/>
          <w:sz w:val="20"/>
        </w:rPr>
        <w:t>sus</w:t>
      </w:r>
      <w:r>
        <w:rPr>
          <w:i/>
          <w:spacing w:val="-6"/>
          <w:sz w:val="20"/>
        </w:rPr>
        <w:t> </w:t>
      </w:r>
      <w:r>
        <w:rPr>
          <w:i/>
          <w:spacing w:val="-2"/>
          <w:sz w:val="20"/>
        </w:rPr>
        <w:t>efectos;</w:t>
      </w:r>
    </w:p>
    <w:p>
      <w:pPr>
        <w:pStyle w:val="ListParagraph"/>
        <w:numPr>
          <w:ilvl w:val="0"/>
          <w:numId w:val="18"/>
        </w:numPr>
        <w:tabs>
          <w:tab w:pos="1473" w:val="left" w:leader="none"/>
        </w:tabs>
        <w:spacing w:line="240" w:lineRule="auto" w:before="0" w:after="0"/>
        <w:ind w:left="1263" w:right="1670" w:firstLine="0"/>
        <w:jc w:val="both"/>
        <w:rPr>
          <w:i/>
          <w:sz w:val="20"/>
        </w:rPr>
      </w:pPr>
      <w:r>
        <w:rPr>
          <w:i/>
          <w:sz w:val="20"/>
        </w:rPr>
        <w:t>Hacer</w:t>
      </w:r>
      <w:r>
        <w:rPr>
          <w:i/>
          <w:spacing w:val="-14"/>
          <w:sz w:val="20"/>
        </w:rPr>
        <w:t> </w:t>
      </w:r>
      <w:r>
        <w:rPr>
          <w:i/>
          <w:sz w:val="20"/>
        </w:rPr>
        <w:t>de</w:t>
      </w:r>
      <w:r>
        <w:rPr>
          <w:i/>
          <w:spacing w:val="-14"/>
          <w:sz w:val="20"/>
        </w:rPr>
        <w:t> </w:t>
      </w:r>
      <w:r>
        <w:rPr>
          <w:i/>
          <w:sz w:val="20"/>
        </w:rPr>
        <w:t>los</w:t>
      </w:r>
      <w:r>
        <w:rPr>
          <w:i/>
          <w:spacing w:val="-14"/>
          <w:sz w:val="20"/>
        </w:rPr>
        <w:t> </w:t>
      </w:r>
      <w:r>
        <w:rPr>
          <w:i/>
          <w:sz w:val="20"/>
        </w:rPr>
        <w:t>programas</w:t>
      </w:r>
      <w:r>
        <w:rPr>
          <w:i/>
          <w:spacing w:val="-14"/>
          <w:sz w:val="20"/>
        </w:rPr>
        <w:t> </w:t>
      </w:r>
      <w:r>
        <w:rPr>
          <w:i/>
          <w:sz w:val="20"/>
        </w:rPr>
        <w:t>de</w:t>
      </w:r>
      <w:r>
        <w:rPr>
          <w:i/>
          <w:spacing w:val="-14"/>
          <w:sz w:val="20"/>
        </w:rPr>
        <w:t> </w:t>
      </w:r>
      <w:r>
        <w:rPr>
          <w:i/>
          <w:sz w:val="20"/>
        </w:rPr>
        <w:t>estímulo</w:t>
      </w:r>
      <w:r>
        <w:rPr>
          <w:i/>
          <w:spacing w:val="-14"/>
          <w:sz w:val="20"/>
        </w:rPr>
        <w:t> </w:t>
      </w:r>
      <w:r>
        <w:rPr>
          <w:i/>
          <w:sz w:val="20"/>
        </w:rPr>
        <w:t>social</w:t>
      </w:r>
      <w:r>
        <w:rPr>
          <w:i/>
          <w:spacing w:val="-14"/>
          <w:sz w:val="20"/>
        </w:rPr>
        <w:t> </w:t>
      </w:r>
      <w:r>
        <w:rPr>
          <w:i/>
          <w:sz w:val="20"/>
        </w:rPr>
        <w:t>un</w:t>
      </w:r>
      <w:r>
        <w:rPr>
          <w:i/>
          <w:spacing w:val="-14"/>
          <w:sz w:val="20"/>
        </w:rPr>
        <w:t> </w:t>
      </w:r>
      <w:r>
        <w:rPr>
          <w:i/>
          <w:sz w:val="20"/>
        </w:rPr>
        <w:t>medio</w:t>
      </w:r>
      <w:r>
        <w:rPr>
          <w:i/>
          <w:spacing w:val="-14"/>
          <w:sz w:val="20"/>
        </w:rPr>
        <w:t> </w:t>
      </w:r>
      <w:r>
        <w:rPr>
          <w:i/>
          <w:sz w:val="20"/>
        </w:rPr>
        <w:t>para</w:t>
      </w:r>
      <w:r>
        <w:rPr>
          <w:i/>
          <w:spacing w:val="-13"/>
          <w:sz w:val="20"/>
        </w:rPr>
        <w:t> </w:t>
      </w:r>
      <w:r>
        <w:rPr>
          <w:i/>
          <w:sz w:val="20"/>
        </w:rPr>
        <w:t>obtener</w:t>
      </w:r>
      <w:r>
        <w:rPr>
          <w:i/>
          <w:spacing w:val="-14"/>
          <w:sz w:val="20"/>
        </w:rPr>
        <w:t> </w:t>
      </w:r>
      <w:r>
        <w:rPr>
          <w:i/>
          <w:sz w:val="20"/>
        </w:rPr>
        <w:t>en</w:t>
      </w:r>
      <w:r>
        <w:rPr>
          <w:i/>
          <w:spacing w:val="-14"/>
          <w:sz w:val="20"/>
        </w:rPr>
        <w:t> </w:t>
      </w:r>
      <w:r>
        <w:rPr>
          <w:i/>
          <w:sz w:val="20"/>
        </w:rPr>
        <w:t>el</w:t>
      </w:r>
      <w:r>
        <w:rPr>
          <w:i/>
          <w:spacing w:val="-14"/>
          <w:sz w:val="20"/>
        </w:rPr>
        <w:t> </w:t>
      </w:r>
      <w:r>
        <w:rPr>
          <w:i/>
          <w:sz w:val="20"/>
        </w:rPr>
        <w:t>menor</w:t>
      </w:r>
      <w:r>
        <w:rPr>
          <w:i/>
          <w:spacing w:val="-14"/>
          <w:sz w:val="20"/>
        </w:rPr>
        <w:t> </w:t>
      </w:r>
      <w:r>
        <w:rPr>
          <w:i/>
          <w:sz w:val="20"/>
        </w:rPr>
        <w:t>plazo</w:t>
      </w:r>
      <w:r>
        <w:rPr>
          <w:i/>
          <w:spacing w:val="-14"/>
          <w:sz w:val="20"/>
        </w:rPr>
        <w:t> </w:t>
      </w:r>
      <w:r>
        <w:rPr>
          <w:i/>
          <w:sz w:val="20"/>
        </w:rPr>
        <w:t>posible</w:t>
      </w:r>
      <w:r>
        <w:rPr>
          <w:i/>
          <w:sz w:val="20"/>
        </w:rPr>
        <w:t> la</w:t>
      </w:r>
      <w:r>
        <w:rPr>
          <w:i/>
          <w:spacing w:val="-14"/>
          <w:sz w:val="20"/>
        </w:rPr>
        <w:t> </w:t>
      </w:r>
      <w:r>
        <w:rPr>
          <w:i/>
          <w:sz w:val="20"/>
        </w:rPr>
        <w:t>incorporación</w:t>
      </w:r>
      <w:r>
        <w:rPr>
          <w:i/>
          <w:spacing w:val="-14"/>
          <w:sz w:val="20"/>
        </w:rPr>
        <w:t> </w:t>
      </w:r>
      <w:r>
        <w:rPr>
          <w:i/>
          <w:sz w:val="20"/>
        </w:rPr>
        <w:t>de</w:t>
      </w:r>
      <w:r>
        <w:rPr>
          <w:i/>
          <w:spacing w:val="-14"/>
          <w:sz w:val="20"/>
        </w:rPr>
        <w:t> </w:t>
      </w:r>
      <w:r>
        <w:rPr>
          <w:i/>
          <w:sz w:val="20"/>
        </w:rPr>
        <w:t>los</w:t>
      </w:r>
      <w:r>
        <w:rPr>
          <w:i/>
          <w:spacing w:val="-14"/>
          <w:sz w:val="20"/>
        </w:rPr>
        <w:t> </w:t>
      </w:r>
      <w:r>
        <w:rPr>
          <w:i/>
          <w:sz w:val="20"/>
        </w:rPr>
        <w:t>grupos</w:t>
      </w:r>
      <w:r>
        <w:rPr>
          <w:i/>
          <w:spacing w:val="-14"/>
          <w:sz w:val="20"/>
        </w:rPr>
        <w:t> </w:t>
      </w:r>
      <w:r>
        <w:rPr>
          <w:i/>
          <w:sz w:val="20"/>
        </w:rPr>
        <w:t>humanos</w:t>
      </w:r>
      <w:r>
        <w:rPr>
          <w:i/>
          <w:spacing w:val="-14"/>
          <w:sz w:val="20"/>
        </w:rPr>
        <w:t> </w:t>
      </w:r>
      <w:r>
        <w:rPr>
          <w:i/>
          <w:sz w:val="20"/>
        </w:rPr>
        <w:t>marginados</w:t>
      </w:r>
      <w:r>
        <w:rPr>
          <w:i/>
          <w:spacing w:val="-14"/>
          <w:sz w:val="20"/>
        </w:rPr>
        <w:t> </w:t>
      </w:r>
      <w:r>
        <w:rPr>
          <w:i/>
          <w:sz w:val="20"/>
        </w:rPr>
        <w:t>de</w:t>
      </w:r>
      <w:r>
        <w:rPr>
          <w:i/>
          <w:spacing w:val="-14"/>
          <w:sz w:val="20"/>
        </w:rPr>
        <w:t> </w:t>
      </w:r>
      <w:r>
        <w:rPr>
          <w:i/>
          <w:sz w:val="20"/>
        </w:rPr>
        <w:t>las</w:t>
      </w:r>
      <w:r>
        <w:rPr>
          <w:i/>
          <w:spacing w:val="-13"/>
          <w:sz w:val="20"/>
        </w:rPr>
        <w:t> </w:t>
      </w:r>
      <w:r>
        <w:rPr>
          <w:i/>
          <w:sz w:val="20"/>
        </w:rPr>
        <w:t>actividades</w:t>
      </w:r>
      <w:r>
        <w:rPr>
          <w:i/>
          <w:spacing w:val="-12"/>
          <w:sz w:val="20"/>
        </w:rPr>
        <w:t> </w:t>
      </w:r>
      <w:r>
        <w:rPr>
          <w:i/>
          <w:sz w:val="20"/>
        </w:rPr>
        <w:t>económicas</w:t>
      </w:r>
      <w:r>
        <w:rPr>
          <w:i/>
          <w:spacing w:val="-12"/>
          <w:sz w:val="20"/>
        </w:rPr>
        <w:t> </w:t>
      </w:r>
      <w:r>
        <w:rPr>
          <w:i/>
          <w:sz w:val="20"/>
        </w:rPr>
        <w:t>y</w:t>
      </w:r>
      <w:r>
        <w:rPr>
          <w:i/>
          <w:spacing w:val="-14"/>
          <w:sz w:val="20"/>
        </w:rPr>
        <w:t> </w:t>
      </w:r>
      <w:r>
        <w:rPr>
          <w:i/>
          <w:sz w:val="20"/>
        </w:rPr>
        <w:t>sociales del país;</w:t>
      </w:r>
    </w:p>
    <w:p>
      <w:pPr>
        <w:pStyle w:val="ListParagraph"/>
        <w:numPr>
          <w:ilvl w:val="0"/>
          <w:numId w:val="18"/>
        </w:numPr>
        <w:tabs>
          <w:tab w:pos="1540" w:val="left" w:leader="none"/>
        </w:tabs>
        <w:spacing w:line="240" w:lineRule="auto" w:before="0" w:after="0"/>
        <w:ind w:left="1263" w:right="1678" w:firstLine="0"/>
        <w:jc w:val="both"/>
        <w:rPr>
          <w:i/>
          <w:sz w:val="20"/>
        </w:rPr>
      </w:pPr>
      <w:r>
        <w:rPr>
          <w:i/>
          <w:sz w:val="20"/>
        </w:rPr>
        <w:t>Preparar los sectores indigentes en forma adecuada y rápida para que mejoren sus</w:t>
      </w:r>
      <w:r>
        <w:rPr>
          <w:i/>
          <w:sz w:val="20"/>
        </w:rPr>
        <w:t> posibilidades de desempeñar trabajo remunerado;</w:t>
      </w:r>
    </w:p>
    <w:p>
      <w:pPr>
        <w:pStyle w:val="ListParagraph"/>
        <w:numPr>
          <w:ilvl w:val="0"/>
          <w:numId w:val="18"/>
        </w:numPr>
        <w:tabs>
          <w:tab w:pos="1492" w:val="left" w:leader="none"/>
        </w:tabs>
        <w:spacing w:line="240" w:lineRule="auto" w:before="0" w:after="0"/>
        <w:ind w:left="1263" w:right="1670" w:firstLine="0"/>
        <w:jc w:val="both"/>
        <w:rPr>
          <w:i/>
          <w:sz w:val="20"/>
        </w:rPr>
      </w:pPr>
      <w:r>
        <w:rPr>
          <w:i/>
          <w:sz w:val="20"/>
        </w:rPr>
        <w:t>Atender</w:t>
      </w:r>
      <w:r>
        <w:rPr>
          <w:i/>
          <w:spacing w:val="-7"/>
          <w:sz w:val="20"/>
        </w:rPr>
        <w:t> </w:t>
      </w:r>
      <w:r>
        <w:rPr>
          <w:i/>
          <w:sz w:val="20"/>
        </w:rPr>
        <w:t>las</w:t>
      </w:r>
      <w:r>
        <w:rPr>
          <w:i/>
          <w:spacing w:val="-7"/>
          <w:sz w:val="20"/>
        </w:rPr>
        <w:t> </w:t>
      </w:r>
      <w:r>
        <w:rPr>
          <w:i/>
          <w:sz w:val="20"/>
        </w:rPr>
        <w:t>necesidades</w:t>
      </w:r>
      <w:r>
        <w:rPr>
          <w:i/>
          <w:spacing w:val="-7"/>
          <w:sz w:val="20"/>
        </w:rPr>
        <w:t> </w:t>
      </w:r>
      <w:r>
        <w:rPr>
          <w:i/>
          <w:sz w:val="20"/>
        </w:rPr>
        <w:t>de</w:t>
      </w:r>
      <w:r>
        <w:rPr>
          <w:i/>
          <w:spacing w:val="-9"/>
          <w:sz w:val="20"/>
        </w:rPr>
        <w:t> </w:t>
      </w:r>
      <w:r>
        <w:rPr>
          <w:i/>
          <w:sz w:val="20"/>
        </w:rPr>
        <w:t>los</w:t>
      </w:r>
      <w:r>
        <w:rPr>
          <w:i/>
          <w:spacing w:val="-7"/>
          <w:sz w:val="20"/>
        </w:rPr>
        <w:t> </w:t>
      </w:r>
      <w:r>
        <w:rPr>
          <w:i/>
          <w:sz w:val="20"/>
        </w:rPr>
        <w:t>grupos</w:t>
      </w:r>
      <w:r>
        <w:rPr>
          <w:i/>
          <w:spacing w:val="-7"/>
          <w:sz w:val="20"/>
        </w:rPr>
        <w:t> </w:t>
      </w:r>
      <w:r>
        <w:rPr>
          <w:i/>
          <w:sz w:val="20"/>
        </w:rPr>
        <w:t>sociales</w:t>
      </w:r>
      <w:r>
        <w:rPr>
          <w:i/>
          <w:spacing w:val="-7"/>
          <w:sz w:val="20"/>
        </w:rPr>
        <w:t> </w:t>
      </w:r>
      <w:r>
        <w:rPr>
          <w:i/>
          <w:sz w:val="20"/>
        </w:rPr>
        <w:t>o</w:t>
      </w:r>
      <w:r>
        <w:rPr>
          <w:i/>
          <w:spacing w:val="-9"/>
          <w:sz w:val="20"/>
        </w:rPr>
        <w:t> </w:t>
      </w:r>
      <w:r>
        <w:rPr>
          <w:i/>
          <w:sz w:val="20"/>
        </w:rPr>
        <w:t>de</w:t>
      </w:r>
      <w:r>
        <w:rPr>
          <w:i/>
          <w:spacing w:val="-4"/>
          <w:sz w:val="20"/>
        </w:rPr>
        <w:t> </w:t>
      </w:r>
      <w:r>
        <w:rPr>
          <w:i/>
          <w:sz w:val="20"/>
        </w:rPr>
        <w:t>las</w:t>
      </w:r>
      <w:r>
        <w:rPr>
          <w:i/>
          <w:spacing w:val="-7"/>
          <w:sz w:val="20"/>
        </w:rPr>
        <w:t> </w:t>
      </w:r>
      <w:r>
        <w:rPr>
          <w:i/>
          <w:sz w:val="20"/>
        </w:rPr>
        <w:t>personas</w:t>
      </w:r>
      <w:r>
        <w:rPr>
          <w:i/>
          <w:spacing w:val="-7"/>
          <w:sz w:val="20"/>
        </w:rPr>
        <w:t> </w:t>
      </w:r>
      <w:r>
        <w:rPr>
          <w:i/>
          <w:sz w:val="20"/>
        </w:rPr>
        <w:t>que</w:t>
      </w:r>
      <w:r>
        <w:rPr>
          <w:i/>
          <w:spacing w:val="-9"/>
          <w:sz w:val="20"/>
        </w:rPr>
        <w:t> </w:t>
      </w:r>
      <w:r>
        <w:rPr>
          <w:i/>
          <w:sz w:val="20"/>
        </w:rPr>
        <w:t>deban</w:t>
      </w:r>
      <w:r>
        <w:rPr>
          <w:i/>
          <w:spacing w:val="-9"/>
          <w:sz w:val="20"/>
        </w:rPr>
        <w:t> </w:t>
      </w:r>
      <w:r>
        <w:rPr>
          <w:i/>
          <w:sz w:val="20"/>
        </w:rPr>
        <w:t>ser</w:t>
      </w:r>
      <w:r>
        <w:rPr>
          <w:i/>
          <w:spacing w:val="-7"/>
          <w:sz w:val="20"/>
        </w:rPr>
        <w:t> </w:t>
      </w:r>
      <w:r>
        <w:rPr>
          <w:i/>
          <w:sz w:val="20"/>
        </w:rPr>
        <w:t>provistas</w:t>
      </w:r>
      <w:r>
        <w:rPr>
          <w:i/>
          <w:sz w:val="20"/>
        </w:rPr>
        <w:t> de medios de subsistencia cuando carezcan de ellos;</w:t>
      </w:r>
    </w:p>
    <w:p>
      <w:pPr>
        <w:pStyle w:val="ListParagraph"/>
        <w:numPr>
          <w:ilvl w:val="0"/>
          <w:numId w:val="18"/>
        </w:numPr>
        <w:tabs>
          <w:tab w:pos="1473" w:val="left" w:leader="none"/>
        </w:tabs>
        <w:spacing w:line="240" w:lineRule="auto" w:before="2" w:after="0"/>
        <w:ind w:left="1263" w:right="1669" w:firstLine="0"/>
        <w:jc w:val="both"/>
        <w:rPr>
          <w:i/>
          <w:sz w:val="20"/>
        </w:rPr>
      </w:pPr>
      <w:r>
        <w:rPr>
          <w:i/>
          <w:sz w:val="20"/>
        </w:rPr>
        <w:t>Procurar la participación de los sectores privados e instituciones públicas, nacionales y</w:t>
      </w:r>
      <w:r>
        <w:rPr>
          <w:i/>
          <w:sz w:val="20"/>
        </w:rPr>
        <w:t> extranjeras, especializadas en estas tareas, en la creación y desarrollo de toda clase de sistemas</w:t>
      </w:r>
      <w:r>
        <w:rPr>
          <w:i/>
          <w:spacing w:val="-14"/>
          <w:sz w:val="20"/>
        </w:rPr>
        <w:t> </w:t>
      </w:r>
      <w:r>
        <w:rPr>
          <w:i/>
          <w:sz w:val="20"/>
        </w:rPr>
        <w:t>y</w:t>
      </w:r>
      <w:r>
        <w:rPr>
          <w:i/>
          <w:spacing w:val="-14"/>
          <w:sz w:val="20"/>
        </w:rPr>
        <w:t> </w:t>
      </w:r>
      <w:r>
        <w:rPr>
          <w:i/>
          <w:sz w:val="20"/>
        </w:rPr>
        <w:t>programas</w:t>
      </w:r>
      <w:r>
        <w:rPr>
          <w:i/>
          <w:spacing w:val="-14"/>
          <w:sz w:val="20"/>
        </w:rPr>
        <w:t> </w:t>
      </w:r>
      <w:r>
        <w:rPr>
          <w:i/>
          <w:sz w:val="20"/>
        </w:rPr>
        <w:t>destinados</w:t>
      </w:r>
      <w:r>
        <w:rPr>
          <w:i/>
          <w:spacing w:val="-12"/>
          <w:sz w:val="20"/>
        </w:rPr>
        <w:t> </w:t>
      </w:r>
      <w:r>
        <w:rPr>
          <w:i/>
          <w:sz w:val="20"/>
        </w:rPr>
        <w:t>a</w:t>
      </w:r>
      <w:r>
        <w:rPr>
          <w:i/>
          <w:spacing w:val="-14"/>
          <w:sz w:val="20"/>
        </w:rPr>
        <w:t> </w:t>
      </w:r>
      <w:r>
        <w:rPr>
          <w:i/>
          <w:sz w:val="20"/>
        </w:rPr>
        <w:t>mejorar</w:t>
      </w:r>
      <w:r>
        <w:rPr>
          <w:i/>
          <w:spacing w:val="-12"/>
          <w:sz w:val="20"/>
        </w:rPr>
        <w:t> </w:t>
      </w:r>
      <w:r>
        <w:rPr>
          <w:i/>
          <w:sz w:val="20"/>
        </w:rPr>
        <w:t>las</w:t>
      </w:r>
      <w:r>
        <w:rPr>
          <w:i/>
          <w:spacing w:val="-14"/>
          <w:sz w:val="20"/>
        </w:rPr>
        <w:t> </w:t>
      </w:r>
      <w:r>
        <w:rPr>
          <w:i/>
          <w:sz w:val="20"/>
        </w:rPr>
        <w:t>condiciones</w:t>
      </w:r>
      <w:r>
        <w:rPr>
          <w:i/>
          <w:spacing w:val="-12"/>
          <w:sz w:val="20"/>
        </w:rPr>
        <w:t> </w:t>
      </w:r>
      <w:r>
        <w:rPr>
          <w:i/>
          <w:sz w:val="20"/>
        </w:rPr>
        <w:t>culturales,</w:t>
      </w:r>
      <w:r>
        <w:rPr>
          <w:i/>
          <w:spacing w:val="-11"/>
          <w:sz w:val="20"/>
        </w:rPr>
        <w:t> </w:t>
      </w:r>
      <w:r>
        <w:rPr>
          <w:i/>
          <w:sz w:val="20"/>
        </w:rPr>
        <w:t>sociales</w:t>
      </w:r>
      <w:r>
        <w:rPr>
          <w:i/>
          <w:spacing w:val="-12"/>
          <w:sz w:val="20"/>
        </w:rPr>
        <w:t> </w:t>
      </w:r>
      <w:r>
        <w:rPr>
          <w:i/>
          <w:sz w:val="20"/>
        </w:rPr>
        <w:t>y</w:t>
      </w:r>
      <w:r>
        <w:rPr>
          <w:i/>
          <w:spacing w:val="-12"/>
          <w:sz w:val="20"/>
        </w:rPr>
        <w:t> </w:t>
      </w:r>
      <w:r>
        <w:rPr>
          <w:i/>
          <w:sz w:val="20"/>
        </w:rPr>
        <w:t>económicas de los grupos afectados por la pobreza con el máximo de participación de los esfuerzos de estos mismos grupos; y</w:t>
      </w:r>
    </w:p>
    <w:p>
      <w:pPr>
        <w:pStyle w:val="ListParagraph"/>
        <w:numPr>
          <w:ilvl w:val="0"/>
          <w:numId w:val="18"/>
        </w:numPr>
        <w:tabs>
          <w:tab w:pos="1501" w:val="left" w:leader="none"/>
        </w:tabs>
        <w:spacing w:line="227" w:lineRule="exact" w:before="0" w:after="0"/>
        <w:ind w:left="1501" w:right="0" w:hanging="238"/>
        <w:jc w:val="both"/>
        <w:rPr>
          <w:i/>
          <w:sz w:val="20"/>
        </w:rPr>
      </w:pPr>
      <w:r>
        <w:rPr>
          <w:i/>
          <w:sz w:val="20"/>
        </w:rPr>
        <w:t>Coordinar</w:t>
      </w:r>
      <w:r>
        <w:rPr>
          <w:i/>
          <w:spacing w:val="-2"/>
          <w:sz w:val="20"/>
        </w:rPr>
        <w:t> </w:t>
      </w:r>
      <w:r>
        <w:rPr>
          <w:i/>
          <w:sz w:val="20"/>
        </w:rPr>
        <w:t>los</w:t>
      </w:r>
      <w:r>
        <w:rPr>
          <w:i/>
          <w:spacing w:val="-2"/>
          <w:sz w:val="20"/>
        </w:rPr>
        <w:t> </w:t>
      </w:r>
      <w:r>
        <w:rPr>
          <w:i/>
          <w:sz w:val="20"/>
        </w:rPr>
        <w:t>programas</w:t>
      </w:r>
      <w:r>
        <w:rPr>
          <w:i/>
          <w:spacing w:val="-2"/>
          <w:sz w:val="20"/>
        </w:rPr>
        <w:t> </w:t>
      </w:r>
      <w:r>
        <w:rPr>
          <w:i/>
          <w:sz w:val="20"/>
        </w:rPr>
        <w:t>nacionales</w:t>
      </w:r>
      <w:r>
        <w:rPr>
          <w:i/>
          <w:spacing w:val="-2"/>
          <w:sz w:val="20"/>
        </w:rPr>
        <w:t> </w:t>
      </w:r>
      <w:r>
        <w:rPr>
          <w:i/>
          <w:sz w:val="20"/>
        </w:rPr>
        <w:t>de</w:t>
      </w:r>
      <w:r>
        <w:rPr>
          <w:i/>
          <w:spacing w:val="-2"/>
          <w:sz w:val="20"/>
        </w:rPr>
        <w:t> </w:t>
      </w:r>
      <w:r>
        <w:rPr>
          <w:i/>
          <w:sz w:val="20"/>
        </w:rPr>
        <w:t>los</w:t>
      </w:r>
      <w:r>
        <w:rPr>
          <w:i/>
          <w:spacing w:val="-2"/>
          <w:sz w:val="20"/>
        </w:rPr>
        <w:t> </w:t>
      </w:r>
      <w:r>
        <w:rPr>
          <w:i/>
          <w:sz w:val="20"/>
        </w:rPr>
        <w:t>sectores</w:t>
      </w:r>
      <w:r>
        <w:rPr>
          <w:i/>
          <w:spacing w:val="-2"/>
          <w:sz w:val="20"/>
        </w:rPr>
        <w:t> </w:t>
      </w:r>
      <w:r>
        <w:rPr>
          <w:i/>
          <w:sz w:val="20"/>
        </w:rPr>
        <w:t>públicos</w:t>
      </w:r>
      <w:r>
        <w:rPr>
          <w:i/>
          <w:spacing w:val="-1"/>
          <w:sz w:val="20"/>
        </w:rPr>
        <w:t> </w:t>
      </w:r>
      <w:r>
        <w:rPr>
          <w:i/>
          <w:sz w:val="20"/>
        </w:rPr>
        <w:t>y</w:t>
      </w:r>
      <w:r>
        <w:rPr>
          <w:i/>
          <w:spacing w:val="-2"/>
          <w:sz w:val="20"/>
        </w:rPr>
        <w:t> </w:t>
      </w:r>
      <w:r>
        <w:rPr>
          <w:i/>
          <w:sz w:val="20"/>
        </w:rPr>
        <w:t>privados</w:t>
      </w:r>
      <w:r>
        <w:rPr>
          <w:i/>
          <w:spacing w:val="-2"/>
          <w:sz w:val="20"/>
        </w:rPr>
        <w:t> </w:t>
      </w:r>
      <w:r>
        <w:rPr>
          <w:i/>
          <w:sz w:val="20"/>
        </w:rPr>
        <w:t>cuyos</w:t>
      </w:r>
      <w:r>
        <w:rPr>
          <w:i/>
          <w:spacing w:val="-2"/>
          <w:sz w:val="20"/>
        </w:rPr>
        <w:t> </w:t>
      </w:r>
      <w:r>
        <w:rPr>
          <w:i/>
          <w:sz w:val="20"/>
        </w:rPr>
        <w:t>fines</w:t>
      </w:r>
      <w:r>
        <w:rPr>
          <w:i/>
          <w:spacing w:val="-1"/>
          <w:sz w:val="20"/>
        </w:rPr>
        <w:t> </w:t>
      </w:r>
      <w:r>
        <w:rPr>
          <w:i/>
          <w:spacing w:val="-4"/>
          <w:sz w:val="20"/>
        </w:rPr>
        <w:t>sean</w:t>
      </w:r>
    </w:p>
    <w:p>
      <w:pPr>
        <w:spacing w:before="0"/>
        <w:ind w:left="1263" w:right="0" w:firstLine="0"/>
        <w:jc w:val="both"/>
        <w:rPr>
          <w:i/>
          <w:sz w:val="20"/>
        </w:rPr>
      </w:pPr>
      <w:r>
        <w:rPr>
          <w:i/>
          <w:sz w:val="20"/>
        </w:rPr>
        <w:t>similares</w:t>
      </w:r>
      <w:r>
        <w:rPr>
          <w:i/>
          <w:spacing w:val="-5"/>
          <w:sz w:val="20"/>
        </w:rPr>
        <w:t> </w:t>
      </w:r>
      <w:r>
        <w:rPr>
          <w:i/>
          <w:sz w:val="20"/>
        </w:rPr>
        <w:t>a</w:t>
      </w:r>
      <w:r>
        <w:rPr>
          <w:i/>
          <w:spacing w:val="-6"/>
          <w:sz w:val="20"/>
        </w:rPr>
        <w:t> </w:t>
      </w:r>
      <w:r>
        <w:rPr>
          <w:i/>
          <w:sz w:val="20"/>
        </w:rPr>
        <w:t>los</w:t>
      </w:r>
      <w:r>
        <w:rPr>
          <w:i/>
          <w:spacing w:val="-5"/>
          <w:sz w:val="20"/>
        </w:rPr>
        <w:t> </w:t>
      </w:r>
      <w:r>
        <w:rPr>
          <w:i/>
          <w:sz w:val="20"/>
        </w:rPr>
        <w:t>expresados</w:t>
      </w:r>
      <w:r>
        <w:rPr>
          <w:i/>
          <w:spacing w:val="-5"/>
          <w:sz w:val="20"/>
        </w:rPr>
        <w:t> </w:t>
      </w:r>
      <w:r>
        <w:rPr>
          <w:i/>
          <w:sz w:val="20"/>
        </w:rPr>
        <w:t>en</w:t>
      </w:r>
      <w:r>
        <w:rPr>
          <w:i/>
          <w:spacing w:val="-6"/>
          <w:sz w:val="20"/>
        </w:rPr>
        <w:t> </w:t>
      </w:r>
      <w:r>
        <w:rPr>
          <w:i/>
          <w:sz w:val="20"/>
        </w:rPr>
        <w:t>esta</w:t>
      </w:r>
      <w:r>
        <w:rPr>
          <w:i/>
          <w:spacing w:val="-5"/>
          <w:sz w:val="20"/>
        </w:rPr>
        <w:t> </w:t>
      </w:r>
      <w:r>
        <w:rPr>
          <w:i/>
          <w:spacing w:val="-4"/>
          <w:sz w:val="20"/>
        </w:rPr>
        <w:t>ley”.</w:t>
      </w:r>
    </w:p>
    <w:p>
      <w:pPr>
        <w:spacing w:after="0"/>
        <w:jc w:val="both"/>
        <w:rPr>
          <w:i/>
          <w:sz w:val="20"/>
        </w:rPr>
        <w:sectPr>
          <w:pgSz w:w="12240" w:h="15840"/>
          <w:pgMar w:header="0" w:footer="1021" w:top="1340" w:bottom="1220" w:left="720" w:right="360"/>
        </w:sectPr>
      </w:pPr>
    </w:p>
    <w:p>
      <w:pPr>
        <w:pStyle w:val="BodyText"/>
        <w:spacing w:line="237" w:lineRule="auto" w:before="73"/>
        <w:ind w:left="979" w:right="1352"/>
        <w:jc w:val="both"/>
      </w:pPr>
      <w:r>
        <w:rPr/>
        <w:t>Estos fines también se encuentran respaldados en el Reglamento Orgánico del IMAS, en donde se establece en el artículo 57 que,</w:t>
      </w:r>
    </w:p>
    <w:p>
      <w:pPr>
        <w:pStyle w:val="BodyText"/>
        <w:spacing w:before="2"/>
      </w:pPr>
    </w:p>
    <w:p>
      <w:pPr>
        <w:spacing w:before="0"/>
        <w:ind w:left="1263" w:right="1672" w:firstLine="0"/>
        <w:jc w:val="both"/>
        <w:rPr>
          <w:i/>
          <w:sz w:val="20"/>
        </w:rPr>
      </w:pPr>
      <w:r>
        <w:rPr>
          <w:i/>
          <w:sz w:val="20"/>
        </w:rPr>
        <w:t>“Toda</w:t>
      </w:r>
      <w:r>
        <w:rPr>
          <w:i/>
          <w:spacing w:val="-14"/>
          <w:sz w:val="20"/>
        </w:rPr>
        <w:t> </w:t>
      </w:r>
      <w:r>
        <w:rPr>
          <w:i/>
          <w:sz w:val="20"/>
        </w:rPr>
        <w:t>acción</w:t>
      </w:r>
      <w:r>
        <w:rPr>
          <w:i/>
          <w:spacing w:val="-14"/>
          <w:sz w:val="20"/>
        </w:rPr>
        <w:t> </w:t>
      </w:r>
      <w:r>
        <w:rPr>
          <w:i/>
          <w:sz w:val="20"/>
        </w:rPr>
        <w:t>del</w:t>
      </w:r>
      <w:r>
        <w:rPr>
          <w:i/>
          <w:spacing w:val="-14"/>
          <w:sz w:val="20"/>
        </w:rPr>
        <w:t> </w:t>
      </w:r>
      <w:r>
        <w:rPr>
          <w:i/>
          <w:sz w:val="20"/>
        </w:rPr>
        <w:t>IMAS</w:t>
      </w:r>
      <w:r>
        <w:rPr>
          <w:i/>
          <w:spacing w:val="-14"/>
          <w:sz w:val="20"/>
        </w:rPr>
        <w:t> </w:t>
      </w:r>
      <w:r>
        <w:rPr>
          <w:i/>
          <w:sz w:val="20"/>
        </w:rPr>
        <w:t>deberá</w:t>
      </w:r>
      <w:r>
        <w:rPr>
          <w:i/>
          <w:spacing w:val="-14"/>
          <w:sz w:val="20"/>
        </w:rPr>
        <w:t> </w:t>
      </w:r>
      <w:r>
        <w:rPr>
          <w:i/>
          <w:sz w:val="20"/>
        </w:rPr>
        <w:t>estar</w:t>
      </w:r>
      <w:r>
        <w:rPr>
          <w:i/>
          <w:spacing w:val="-14"/>
          <w:sz w:val="20"/>
        </w:rPr>
        <w:t> </w:t>
      </w:r>
      <w:r>
        <w:rPr>
          <w:i/>
          <w:sz w:val="20"/>
        </w:rPr>
        <w:t>dirigida</w:t>
      </w:r>
      <w:r>
        <w:rPr>
          <w:i/>
          <w:spacing w:val="-14"/>
          <w:sz w:val="20"/>
        </w:rPr>
        <w:t> </w:t>
      </w:r>
      <w:r>
        <w:rPr>
          <w:i/>
          <w:sz w:val="20"/>
        </w:rPr>
        <w:t>a</w:t>
      </w:r>
      <w:r>
        <w:rPr>
          <w:i/>
          <w:spacing w:val="-14"/>
          <w:sz w:val="20"/>
        </w:rPr>
        <w:t> </w:t>
      </w:r>
      <w:r>
        <w:rPr>
          <w:i/>
          <w:sz w:val="20"/>
        </w:rPr>
        <w:t>lograr</w:t>
      </w:r>
      <w:r>
        <w:rPr>
          <w:i/>
          <w:spacing w:val="-14"/>
          <w:sz w:val="20"/>
        </w:rPr>
        <w:t> </w:t>
      </w:r>
      <w:r>
        <w:rPr>
          <w:i/>
          <w:sz w:val="20"/>
        </w:rPr>
        <w:t>el</w:t>
      </w:r>
      <w:r>
        <w:rPr>
          <w:i/>
          <w:spacing w:val="-13"/>
          <w:sz w:val="20"/>
        </w:rPr>
        <w:t> </w:t>
      </w:r>
      <w:r>
        <w:rPr>
          <w:i/>
          <w:sz w:val="20"/>
        </w:rPr>
        <w:t>desarrollo</w:t>
      </w:r>
      <w:r>
        <w:rPr>
          <w:i/>
          <w:spacing w:val="-14"/>
          <w:sz w:val="20"/>
        </w:rPr>
        <w:t> </w:t>
      </w:r>
      <w:r>
        <w:rPr>
          <w:i/>
          <w:sz w:val="20"/>
        </w:rPr>
        <w:t>integral</w:t>
      </w:r>
      <w:r>
        <w:rPr>
          <w:i/>
          <w:spacing w:val="-14"/>
          <w:sz w:val="20"/>
        </w:rPr>
        <w:t> </w:t>
      </w:r>
      <w:r>
        <w:rPr>
          <w:i/>
          <w:sz w:val="20"/>
        </w:rPr>
        <w:t>de</w:t>
      </w:r>
      <w:r>
        <w:rPr>
          <w:i/>
          <w:spacing w:val="-14"/>
          <w:sz w:val="20"/>
        </w:rPr>
        <w:t> </w:t>
      </w:r>
      <w:r>
        <w:rPr>
          <w:i/>
          <w:sz w:val="20"/>
        </w:rPr>
        <w:t>las</w:t>
      </w:r>
      <w:r>
        <w:rPr>
          <w:i/>
          <w:spacing w:val="-14"/>
          <w:sz w:val="20"/>
        </w:rPr>
        <w:t> </w:t>
      </w:r>
      <w:r>
        <w:rPr>
          <w:i/>
          <w:sz w:val="20"/>
        </w:rPr>
        <w:t>comunidades,</w:t>
      </w:r>
      <w:r>
        <w:rPr>
          <w:i/>
          <w:sz w:val="20"/>
        </w:rPr>
        <w:t> los grupos, las personas y las familias, mediante la inserción en programas y proyectos de asistencia y promoción social.</w:t>
      </w:r>
    </w:p>
    <w:p>
      <w:pPr>
        <w:pStyle w:val="BodyText"/>
        <w:spacing w:before="2"/>
        <w:rPr>
          <w:i/>
          <w:sz w:val="20"/>
        </w:rPr>
      </w:pPr>
    </w:p>
    <w:p>
      <w:pPr>
        <w:spacing w:line="240" w:lineRule="auto" w:before="0"/>
        <w:ind w:left="1263" w:right="1669" w:firstLine="0"/>
        <w:jc w:val="both"/>
        <w:rPr>
          <w:i/>
          <w:sz w:val="20"/>
        </w:rPr>
      </w:pPr>
      <w:r>
        <w:rPr>
          <w:i/>
          <w:sz w:val="20"/>
        </w:rPr>
        <w:t>Los programas del IMAS estarán orientados a la ejecución y coordinación de acciones y</w:t>
      </w:r>
      <w:r>
        <w:rPr>
          <w:i/>
          <w:sz w:val="20"/>
        </w:rPr>
        <w:t> proyectos de desarrollo económico y social, promoción social y de asistencia social, tendientes</w:t>
      </w:r>
      <w:r>
        <w:rPr>
          <w:i/>
          <w:spacing w:val="-2"/>
          <w:sz w:val="20"/>
        </w:rPr>
        <w:t> </w:t>
      </w:r>
      <w:r>
        <w:rPr>
          <w:i/>
          <w:sz w:val="20"/>
        </w:rPr>
        <w:t>a</w:t>
      </w:r>
      <w:r>
        <w:rPr>
          <w:i/>
          <w:spacing w:val="-3"/>
          <w:sz w:val="20"/>
        </w:rPr>
        <w:t> </w:t>
      </w:r>
      <w:r>
        <w:rPr>
          <w:i/>
          <w:sz w:val="20"/>
        </w:rPr>
        <w:t>conseguir</w:t>
      </w:r>
      <w:r>
        <w:rPr>
          <w:i/>
          <w:spacing w:val="-2"/>
          <w:sz w:val="20"/>
        </w:rPr>
        <w:t> </w:t>
      </w:r>
      <w:r>
        <w:rPr>
          <w:i/>
          <w:sz w:val="20"/>
        </w:rPr>
        <w:t>el</w:t>
      </w:r>
      <w:r>
        <w:rPr>
          <w:i/>
          <w:spacing w:val="-3"/>
          <w:sz w:val="20"/>
        </w:rPr>
        <w:t> </w:t>
      </w:r>
      <w:r>
        <w:rPr>
          <w:i/>
          <w:sz w:val="20"/>
        </w:rPr>
        <w:t>desarrollo</w:t>
      </w:r>
      <w:r>
        <w:rPr>
          <w:i/>
          <w:spacing w:val="-3"/>
          <w:sz w:val="20"/>
        </w:rPr>
        <w:t> </w:t>
      </w:r>
      <w:r>
        <w:rPr>
          <w:i/>
          <w:sz w:val="20"/>
        </w:rPr>
        <w:t>integral</w:t>
      </w:r>
      <w:r>
        <w:rPr>
          <w:i/>
          <w:spacing w:val="-3"/>
          <w:sz w:val="20"/>
        </w:rPr>
        <w:t> </w:t>
      </w:r>
      <w:r>
        <w:rPr>
          <w:i/>
          <w:sz w:val="20"/>
        </w:rPr>
        <w:t>de</w:t>
      </w:r>
      <w:r>
        <w:rPr>
          <w:i/>
          <w:spacing w:val="-3"/>
          <w:sz w:val="20"/>
        </w:rPr>
        <w:t> </w:t>
      </w:r>
      <w:r>
        <w:rPr>
          <w:i/>
          <w:sz w:val="20"/>
        </w:rPr>
        <w:t>los</w:t>
      </w:r>
      <w:r>
        <w:rPr>
          <w:i/>
          <w:spacing w:val="-2"/>
          <w:sz w:val="20"/>
        </w:rPr>
        <w:t> </w:t>
      </w:r>
      <w:r>
        <w:rPr>
          <w:i/>
          <w:sz w:val="20"/>
        </w:rPr>
        <w:t>individuos,</w:t>
      </w:r>
      <w:r>
        <w:rPr>
          <w:i/>
          <w:spacing w:val="-1"/>
          <w:sz w:val="20"/>
        </w:rPr>
        <w:t> </w:t>
      </w:r>
      <w:r>
        <w:rPr>
          <w:i/>
          <w:sz w:val="20"/>
        </w:rPr>
        <w:t>las</w:t>
      </w:r>
      <w:r>
        <w:rPr>
          <w:i/>
          <w:spacing w:val="-2"/>
          <w:sz w:val="20"/>
        </w:rPr>
        <w:t> </w:t>
      </w:r>
      <w:r>
        <w:rPr>
          <w:i/>
          <w:sz w:val="20"/>
        </w:rPr>
        <w:t>familias</w:t>
      </w:r>
      <w:r>
        <w:rPr>
          <w:i/>
          <w:spacing w:val="-2"/>
          <w:sz w:val="20"/>
        </w:rPr>
        <w:t> </w:t>
      </w:r>
      <w:r>
        <w:rPr>
          <w:i/>
          <w:sz w:val="20"/>
        </w:rPr>
        <w:t>y</w:t>
      </w:r>
      <w:r>
        <w:rPr>
          <w:i/>
          <w:spacing w:val="-2"/>
          <w:sz w:val="20"/>
        </w:rPr>
        <w:t> </w:t>
      </w:r>
      <w:r>
        <w:rPr>
          <w:i/>
          <w:sz w:val="20"/>
        </w:rPr>
        <w:t>las</w:t>
      </w:r>
      <w:r>
        <w:rPr>
          <w:i/>
          <w:spacing w:val="-2"/>
          <w:sz w:val="20"/>
        </w:rPr>
        <w:t> </w:t>
      </w:r>
      <w:r>
        <w:rPr>
          <w:i/>
          <w:sz w:val="20"/>
        </w:rPr>
        <w:t>comunidades en</w:t>
      </w:r>
      <w:r>
        <w:rPr>
          <w:i/>
          <w:spacing w:val="-8"/>
          <w:sz w:val="20"/>
        </w:rPr>
        <w:t> </w:t>
      </w:r>
      <w:r>
        <w:rPr>
          <w:i/>
          <w:sz w:val="20"/>
        </w:rPr>
        <w:t>condiciones</w:t>
      </w:r>
      <w:r>
        <w:rPr>
          <w:i/>
          <w:spacing w:val="-6"/>
          <w:sz w:val="20"/>
        </w:rPr>
        <w:t> </w:t>
      </w:r>
      <w:r>
        <w:rPr>
          <w:i/>
          <w:sz w:val="20"/>
        </w:rPr>
        <w:t>de</w:t>
      </w:r>
      <w:r>
        <w:rPr>
          <w:i/>
          <w:spacing w:val="-8"/>
          <w:sz w:val="20"/>
        </w:rPr>
        <w:t> </w:t>
      </w:r>
      <w:r>
        <w:rPr>
          <w:i/>
          <w:sz w:val="20"/>
        </w:rPr>
        <w:t>pobreza,</w:t>
      </w:r>
      <w:r>
        <w:rPr>
          <w:i/>
          <w:spacing w:val="-6"/>
          <w:sz w:val="20"/>
        </w:rPr>
        <w:t> </w:t>
      </w:r>
      <w:r>
        <w:rPr>
          <w:i/>
          <w:sz w:val="20"/>
        </w:rPr>
        <w:t>procurando</w:t>
      </w:r>
      <w:r>
        <w:rPr>
          <w:i/>
          <w:spacing w:val="-8"/>
          <w:sz w:val="20"/>
        </w:rPr>
        <w:t> </w:t>
      </w:r>
      <w:r>
        <w:rPr>
          <w:i/>
          <w:sz w:val="20"/>
        </w:rPr>
        <w:t>el</w:t>
      </w:r>
      <w:r>
        <w:rPr>
          <w:i/>
          <w:spacing w:val="-8"/>
          <w:sz w:val="20"/>
        </w:rPr>
        <w:t> </w:t>
      </w:r>
      <w:r>
        <w:rPr>
          <w:i/>
          <w:sz w:val="20"/>
        </w:rPr>
        <w:t>aumento</w:t>
      </w:r>
      <w:r>
        <w:rPr>
          <w:i/>
          <w:spacing w:val="-8"/>
          <w:sz w:val="20"/>
        </w:rPr>
        <w:t> </w:t>
      </w:r>
      <w:r>
        <w:rPr>
          <w:i/>
          <w:sz w:val="20"/>
        </w:rPr>
        <w:t>sostenido</w:t>
      </w:r>
      <w:r>
        <w:rPr>
          <w:i/>
          <w:spacing w:val="-8"/>
          <w:sz w:val="20"/>
        </w:rPr>
        <w:t> </w:t>
      </w:r>
      <w:r>
        <w:rPr>
          <w:i/>
          <w:sz w:val="20"/>
        </w:rPr>
        <w:t>de</w:t>
      </w:r>
      <w:r>
        <w:rPr>
          <w:i/>
          <w:spacing w:val="-8"/>
          <w:sz w:val="20"/>
        </w:rPr>
        <w:t> </w:t>
      </w:r>
      <w:r>
        <w:rPr>
          <w:i/>
          <w:sz w:val="20"/>
        </w:rPr>
        <w:t>los</w:t>
      </w:r>
      <w:r>
        <w:rPr>
          <w:i/>
          <w:spacing w:val="-6"/>
          <w:sz w:val="20"/>
        </w:rPr>
        <w:t> </w:t>
      </w:r>
      <w:r>
        <w:rPr>
          <w:i/>
          <w:sz w:val="20"/>
        </w:rPr>
        <w:t>ingresos</w:t>
      </w:r>
      <w:r>
        <w:rPr>
          <w:i/>
          <w:spacing w:val="-6"/>
          <w:sz w:val="20"/>
        </w:rPr>
        <w:t> </w:t>
      </w:r>
      <w:r>
        <w:rPr>
          <w:i/>
          <w:sz w:val="20"/>
        </w:rPr>
        <w:t>económicos</w:t>
      </w:r>
      <w:r>
        <w:rPr>
          <w:i/>
          <w:spacing w:val="-6"/>
          <w:sz w:val="20"/>
        </w:rPr>
        <w:t> </w:t>
      </w:r>
      <w:r>
        <w:rPr>
          <w:i/>
          <w:sz w:val="20"/>
        </w:rPr>
        <w:t>de la familia, la inserción en procesos productivos; el desarrollo de las capacidades de las personas; el fomento de organización de grupos con capacidad de solucionar sus propios problemas</w:t>
      </w:r>
      <w:r>
        <w:rPr>
          <w:i/>
          <w:spacing w:val="-14"/>
          <w:sz w:val="20"/>
        </w:rPr>
        <w:t> </w:t>
      </w:r>
      <w:r>
        <w:rPr>
          <w:i/>
          <w:sz w:val="20"/>
        </w:rPr>
        <w:t>y</w:t>
      </w:r>
      <w:r>
        <w:rPr>
          <w:i/>
          <w:spacing w:val="-14"/>
          <w:sz w:val="20"/>
        </w:rPr>
        <w:t> </w:t>
      </w:r>
      <w:r>
        <w:rPr>
          <w:i/>
          <w:sz w:val="20"/>
        </w:rPr>
        <w:t>el</w:t>
      </w:r>
      <w:r>
        <w:rPr>
          <w:i/>
          <w:spacing w:val="-14"/>
          <w:sz w:val="20"/>
        </w:rPr>
        <w:t> </w:t>
      </w:r>
      <w:r>
        <w:rPr>
          <w:i/>
          <w:sz w:val="20"/>
        </w:rPr>
        <w:t>mejoramiento</w:t>
      </w:r>
      <w:r>
        <w:rPr>
          <w:i/>
          <w:spacing w:val="-14"/>
          <w:sz w:val="20"/>
        </w:rPr>
        <w:t> </w:t>
      </w:r>
      <w:r>
        <w:rPr>
          <w:i/>
          <w:sz w:val="20"/>
        </w:rPr>
        <w:t>de</w:t>
      </w:r>
      <w:r>
        <w:rPr>
          <w:i/>
          <w:spacing w:val="-14"/>
          <w:sz w:val="20"/>
        </w:rPr>
        <w:t> </w:t>
      </w:r>
      <w:r>
        <w:rPr>
          <w:i/>
          <w:sz w:val="20"/>
        </w:rPr>
        <w:t>las</w:t>
      </w:r>
      <w:r>
        <w:rPr>
          <w:i/>
          <w:spacing w:val="-14"/>
          <w:sz w:val="20"/>
        </w:rPr>
        <w:t> </w:t>
      </w:r>
      <w:r>
        <w:rPr>
          <w:i/>
          <w:sz w:val="20"/>
        </w:rPr>
        <w:t>condiciones</w:t>
      </w:r>
      <w:r>
        <w:rPr>
          <w:i/>
          <w:spacing w:val="-14"/>
          <w:sz w:val="20"/>
        </w:rPr>
        <w:t> </w:t>
      </w:r>
      <w:r>
        <w:rPr>
          <w:i/>
          <w:sz w:val="20"/>
        </w:rPr>
        <w:t>de</w:t>
      </w:r>
      <w:r>
        <w:rPr>
          <w:i/>
          <w:spacing w:val="-14"/>
          <w:sz w:val="20"/>
        </w:rPr>
        <w:t> </w:t>
      </w:r>
      <w:r>
        <w:rPr>
          <w:i/>
          <w:sz w:val="20"/>
        </w:rPr>
        <w:t>vida</w:t>
      </w:r>
      <w:r>
        <w:rPr>
          <w:i/>
          <w:spacing w:val="-14"/>
          <w:sz w:val="20"/>
        </w:rPr>
        <w:t> </w:t>
      </w:r>
      <w:r>
        <w:rPr>
          <w:i/>
          <w:sz w:val="20"/>
        </w:rPr>
        <w:t>para</w:t>
      </w:r>
      <w:r>
        <w:rPr>
          <w:i/>
          <w:spacing w:val="-13"/>
          <w:sz w:val="20"/>
        </w:rPr>
        <w:t> </w:t>
      </w:r>
      <w:r>
        <w:rPr>
          <w:i/>
          <w:sz w:val="20"/>
        </w:rPr>
        <w:t>el</w:t>
      </w:r>
      <w:r>
        <w:rPr>
          <w:i/>
          <w:spacing w:val="-14"/>
          <w:sz w:val="20"/>
        </w:rPr>
        <w:t> </w:t>
      </w:r>
      <w:r>
        <w:rPr>
          <w:i/>
          <w:sz w:val="20"/>
        </w:rPr>
        <w:t>desarrollo</w:t>
      </w:r>
      <w:r>
        <w:rPr>
          <w:i/>
          <w:spacing w:val="-14"/>
          <w:sz w:val="20"/>
        </w:rPr>
        <w:t> </w:t>
      </w:r>
      <w:r>
        <w:rPr>
          <w:i/>
          <w:sz w:val="20"/>
        </w:rPr>
        <w:t>integral</w:t>
      </w:r>
      <w:r>
        <w:rPr>
          <w:i/>
          <w:spacing w:val="-14"/>
          <w:sz w:val="20"/>
        </w:rPr>
        <w:t> </w:t>
      </w:r>
      <w:r>
        <w:rPr>
          <w:i/>
          <w:sz w:val="20"/>
        </w:rPr>
        <w:t>de</w:t>
      </w:r>
      <w:r>
        <w:rPr>
          <w:i/>
          <w:spacing w:val="-14"/>
          <w:sz w:val="20"/>
        </w:rPr>
        <w:t> </w:t>
      </w:r>
      <w:r>
        <w:rPr>
          <w:i/>
          <w:sz w:val="20"/>
        </w:rPr>
        <w:t>la</w:t>
      </w:r>
      <w:r>
        <w:rPr>
          <w:i/>
          <w:spacing w:val="-14"/>
          <w:sz w:val="20"/>
        </w:rPr>
        <w:t> </w:t>
      </w:r>
      <w:r>
        <w:rPr>
          <w:i/>
          <w:sz w:val="20"/>
        </w:rPr>
        <w:t>familia y la comunidad”.</w:t>
      </w:r>
    </w:p>
    <w:p>
      <w:pPr>
        <w:pStyle w:val="BodyText"/>
        <w:spacing w:before="19"/>
        <w:rPr>
          <w:i/>
          <w:sz w:val="20"/>
        </w:rPr>
      </w:pPr>
    </w:p>
    <w:p>
      <w:pPr>
        <w:pStyle w:val="BodyText"/>
        <w:ind w:left="979" w:right="1336"/>
        <w:jc w:val="both"/>
      </w:pPr>
      <w:r>
        <w:rPr/>
        <w:t>Es al</w:t>
      </w:r>
      <w:r>
        <w:rPr>
          <w:spacing w:val="-2"/>
        </w:rPr>
        <w:t> </w:t>
      </w:r>
      <w:r>
        <w:rPr/>
        <w:t>amparo y como respuesta a lo establecido en estas</w:t>
      </w:r>
      <w:r>
        <w:rPr>
          <w:spacing w:val="-1"/>
        </w:rPr>
        <w:t> </w:t>
      </w:r>
      <w:r>
        <w:rPr/>
        <w:t>normas y</w:t>
      </w:r>
      <w:r>
        <w:rPr>
          <w:spacing w:val="-1"/>
        </w:rPr>
        <w:t> </w:t>
      </w:r>
      <w:r>
        <w:rPr/>
        <w:t>otras conexas, que se crea el Programa de Protección y Promoción Social, el cual constituye el programa sustantivo de la institución en el que se ejecutan los recursos destinados a la inversión social para la atención de personas y hogares en situación de pobreza, así como de organizaciones que se vinculan a población en dicha situación.</w:t>
      </w:r>
    </w:p>
    <w:p>
      <w:pPr>
        <w:pStyle w:val="BodyText"/>
        <w:spacing w:before="4"/>
      </w:pPr>
    </w:p>
    <w:p>
      <w:pPr>
        <w:pStyle w:val="BodyText"/>
        <w:ind w:left="979" w:right="1340"/>
        <w:jc w:val="both"/>
      </w:pPr>
      <w:r>
        <w:rPr/>
        <w:t>Para ello, se parte de una oferta de servicios, beneficios, subsidios y transferencias monetarias</w:t>
      </w:r>
      <w:r>
        <w:rPr>
          <w:spacing w:val="-7"/>
        </w:rPr>
        <w:t> </w:t>
      </w:r>
      <w:r>
        <w:rPr/>
        <w:t>que</w:t>
      </w:r>
      <w:r>
        <w:rPr>
          <w:spacing w:val="-1"/>
        </w:rPr>
        <w:t> </w:t>
      </w:r>
      <w:r>
        <w:rPr/>
        <w:t>se</w:t>
      </w:r>
      <w:r>
        <w:rPr>
          <w:spacing w:val="-1"/>
        </w:rPr>
        <w:t> </w:t>
      </w:r>
      <w:r>
        <w:rPr/>
        <w:t>encuentran</w:t>
      </w:r>
      <w:r>
        <w:rPr>
          <w:spacing w:val="-1"/>
        </w:rPr>
        <w:t> </w:t>
      </w:r>
      <w:r>
        <w:rPr/>
        <w:t>bajo</w:t>
      </w:r>
      <w:r>
        <w:rPr>
          <w:spacing w:val="-1"/>
        </w:rPr>
        <w:t> </w:t>
      </w:r>
      <w:r>
        <w:rPr/>
        <w:t>la</w:t>
      </w:r>
      <w:r>
        <w:rPr>
          <w:spacing w:val="-5"/>
        </w:rPr>
        <w:t> </w:t>
      </w:r>
      <w:r>
        <w:rPr/>
        <w:t>responsabilidad</w:t>
      </w:r>
      <w:r>
        <w:rPr>
          <w:spacing w:val="-5"/>
        </w:rPr>
        <w:t> </w:t>
      </w:r>
      <w:r>
        <w:rPr/>
        <w:t>de</w:t>
      </w:r>
      <w:r>
        <w:rPr>
          <w:spacing w:val="-1"/>
        </w:rPr>
        <w:t> </w:t>
      </w:r>
      <w:r>
        <w:rPr/>
        <w:t>la</w:t>
      </w:r>
      <w:r>
        <w:rPr>
          <w:spacing w:val="-1"/>
        </w:rPr>
        <w:t> </w:t>
      </w:r>
      <w:r>
        <w:rPr/>
        <w:t>Dirección</w:t>
      </w:r>
      <w:r>
        <w:rPr>
          <w:spacing w:val="-5"/>
        </w:rPr>
        <w:t> </w:t>
      </w:r>
      <w:r>
        <w:rPr/>
        <w:t>de</w:t>
      </w:r>
      <w:r>
        <w:rPr>
          <w:spacing w:val="-1"/>
        </w:rPr>
        <w:t> </w:t>
      </w:r>
      <w:r>
        <w:rPr/>
        <w:t>Desarrollo</w:t>
      </w:r>
      <w:r>
        <w:rPr>
          <w:spacing w:val="-1"/>
        </w:rPr>
        <w:t> </w:t>
      </w:r>
      <w:r>
        <w:rPr/>
        <w:t>Social (DDS), coordinados por instancias denominadas Departamentos Técnicos Asesores. Actualmente el programa cuenta con 6 de estos departamentos, a saber:</w:t>
      </w:r>
    </w:p>
    <w:p>
      <w:pPr>
        <w:pStyle w:val="ListParagraph"/>
        <w:numPr>
          <w:ilvl w:val="0"/>
          <w:numId w:val="19"/>
        </w:numPr>
        <w:tabs>
          <w:tab w:pos="1545" w:val="left" w:leader="none"/>
        </w:tabs>
        <w:spacing w:line="240" w:lineRule="auto" w:before="251" w:after="0"/>
        <w:ind w:left="1545" w:right="0" w:hanging="282"/>
        <w:jc w:val="left"/>
        <w:rPr>
          <w:sz w:val="22"/>
        </w:rPr>
      </w:pPr>
      <w:r>
        <w:rPr>
          <w:sz w:val="22"/>
        </w:rPr>
        <w:t>Departamento</w:t>
      </w:r>
      <w:r>
        <w:rPr>
          <w:spacing w:val="-7"/>
          <w:sz w:val="22"/>
        </w:rPr>
        <w:t> </w:t>
      </w:r>
      <w:r>
        <w:rPr>
          <w:sz w:val="22"/>
        </w:rPr>
        <w:t>de</w:t>
      </w:r>
      <w:r>
        <w:rPr>
          <w:spacing w:val="-8"/>
          <w:sz w:val="22"/>
        </w:rPr>
        <w:t> </w:t>
      </w:r>
      <w:r>
        <w:rPr>
          <w:sz w:val="22"/>
        </w:rPr>
        <w:t>Acción</w:t>
      </w:r>
      <w:r>
        <w:rPr>
          <w:spacing w:val="-5"/>
          <w:sz w:val="22"/>
        </w:rPr>
        <w:t> </w:t>
      </w:r>
      <w:r>
        <w:rPr>
          <w:sz w:val="22"/>
        </w:rPr>
        <w:t>Social</w:t>
      </w:r>
      <w:r>
        <w:rPr>
          <w:spacing w:val="-6"/>
          <w:sz w:val="22"/>
        </w:rPr>
        <w:t> </w:t>
      </w:r>
      <w:r>
        <w:rPr>
          <w:sz w:val="22"/>
        </w:rPr>
        <w:t>y</w:t>
      </w:r>
      <w:r>
        <w:rPr>
          <w:spacing w:val="-10"/>
          <w:sz w:val="22"/>
        </w:rPr>
        <w:t> </w:t>
      </w:r>
      <w:r>
        <w:rPr>
          <w:sz w:val="22"/>
        </w:rPr>
        <w:t>Administración</w:t>
      </w:r>
      <w:r>
        <w:rPr>
          <w:spacing w:val="-8"/>
          <w:sz w:val="22"/>
        </w:rPr>
        <w:t> </w:t>
      </w:r>
      <w:r>
        <w:rPr>
          <w:sz w:val="22"/>
        </w:rPr>
        <w:t>de</w:t>
      </w:r>
      <w:r>
        <w:rPr>
          <w:spacing w:val="-8"/>
          <w:sz w:val="22"/>
        </w:rPr>
        <w:t> </w:t>
      </w:r>
      <w:r>
        <w:rPr>
          <w:sz w:val="22"/>
        </w:rPr>
        <w:t>Instituciones</w:t>
      </w:r>
      <w:r>
        <w:rPr>
          <w:spacing w:val="-5"/>
          <w:sz w:val="22"/>
        </w:rPr>
        <w:t> </w:t>
      </w:r>
      <w:r>
        <w:rPr>
          <w:spacing w:val="-2"/>
          <w:sz w:val="22"/>
        </w:rPr>
        <w:t>(DASAI).</w:t>
      </w:r>
    </w:p>
    <w:p>
      <w:pPr>
        <w:pStyle w:val="ListParagraph"/>
        <w:numPr>
          <w:ilvl w:val="0"/>
          <w:numId w:val="19"/>
        </w:numPr>
        <w:tabs>
          <w:tab w:pos="1545" w:val="left" w:leader="none"/>
        </w:tabs>
        <w:spacing w:line="240" w:lineRule="auto" w:before="2" w:after="0"/>
        <w:ind w:left="1545" w:right="0" w:hanging="282"/>
        <w:jc w:val="left"/>
        <w:rPr>
          <w:sz w:val="22"/>
        </w:rPr>
      </w:pPr>
      <w:r>
        <w:rPr>
          <w:sz w:val="22"/>
        </w:rPr>
        <w:t>Departamento</w:t>
      </w:r>
      <w:r>
        <w:rPr>
          <w:spacing w:val="-6"/>
          <w:sz w:val="22"/>
        </w:rPr>
        <w:t> </w:t>
      </w:r>
      <w:r>
        <w:rPr>
          <w:sz w:val="22"/>
        </w:rPr>
        <w:t>de</w:t>
      </w:r>
      <w:r>
        <w:rPr>
          <w:spacing w:val="-10"/>
          <w:sz w:val="22"/>
        </w:rPr>
        <w:t> </w:t>
      </w:r>
      <w:r>
        <w:rPr>
          <w:sz w:val="22"/>
        </w:rPr>
        <w:t>Atención</w:t>
      </w:r>
      <w:r>
        <w:rPr>
          <w:spacing w:val="-6"/>
          <w:sz w:val="22"/>
        </w:rPr>
        <w:t> </w:t>
      </w:r>
      <w:r>
        <w:rPr>
          <w:sz w:val="22"/>
        </w:rPr>
        <w:t>Integral</w:t>
      </w:r>
      <w:r>
        <w:rPr>
          <w:spacing w:val="-12"/>
          <w:sz w:val="22"/>
        </w:rPr>
        <w:t> </w:t>
      </w:r>
      <w:r>
        <w:rPr>
          <w:sz w:val="22"/>
        </w:rPr>
        <w:t>e</w:t>
      </w:r>
      <w:r>
        <w:rPr>
          <w:spacing w:val="-9"/>
          <w:sz w:val="22"/>
        </w:rPr>
        <w:t> </w:t>
      </w:r>
      <w:r>
        <w:rPr>
          <w:sz w:val="22"/>
        </w:rPr>
        <w:t>Interinstitucional</w:t>
      </w:r>
      <w:r>
        <w:rPr>
          <w:spacing w:val="-7"/>
          <w:sz w:val="22"/>
        </w:rPr>
        <w:t> </w:t>
      </w:r>
      <w:r>
        <w:rPr>
          <w:spacing w:val="-2"/>
          <w:sz w:val="22"/>
        </w:rPr>
        <w:t>(DAII).</w:t>
      </w:r>
    </w:p>
    <w:p>
      <w:pPr>
        <w:pStyle w:val="ListParagraph"/>
        <w:numPr>
          <w:ilvl w:val="0"/>
          <w:numId w:val="19"/>
        </w:numPr>
        <w:tabs>
          <w:tab w:pos="1545" w:val="left" w:leader="none"/>
        </w:tabs>
        <w:spacing w:line="251" w:lineRule="exact" w:before="1" w:after="0"/>
        <w:ind w:left="1545" w:right="0" w:hanging="282"/>
        <w:jc w:val="left"/>
        <w:rPr>
          <w:sz w:val="22"/>
        </w:rPr>
      </w:pPr>
      <w:r>
        <w:rPr>
          <w:sz w:val="22"/>
        </w:rPr>
        <w:t>Departamento</w:t>
      </w:r>
      <w:r>
        <w:rPr>
          <w:spacing w:val="-7"/>
          <w:sz w:val="22"/>
        </w:rPr>
        <w:t> </w:t>
      </w:r>
      <w:r>
        <w:rPr>
          <w:sz w:val="22"/>
        </w:rPr>
        <w:t>de</w:t>
      </w:r>
      <w:r>
        <w:rPr>
          <w:spacing w:val="-9"/>
          <w:sz w:val="22"/>
        </w:rPr>
        <w:t> </w:t>
      </w:r>
      <w:r>
        <w:rPr>
          <w:sz w:val="22"/>
        </w:rPr>
        <w:t>Bienestar</w:t>
      </w:r>
      <w:r>
        <w:rPr>
          <w:spacing w:val="-7"/>
          <w:sz w:val="22"/>
        </w:rPr>
        <w:t> </w:t>
      </w:r>
      <w:r>
        <w:rPr>
          <w:sz w:val="22"/>
        </w:rPr>
        <w:t>Familiar</w:t>
      </w:r>
      <w:r>
        <w:rPr>
          <w:spacing w:val="-7"/>
          <w:sz w:val="22"/>
        </w:rPr>
        <w:t> </w:t>
      </w:r>
      <w:r>
        <w:rPr>
          <w:spacing w:val="-2"/>
          <w:sz w:val="22"/>
        </w:rPr>
        <w:t>(DBF).</w:t>
      </w:r>
    </w:p>
    <w:p>
      <w:pPr>
        <w:pStyle w:val="ListParagraph"/>
        <w:numPr>
          <w:ilvl w:val="0"/>
          <w:numId w:val="19"/>
        </w:numPr>
        <w:tabs>
          <w:tab w:pos="1545" w:val="left" w:leader="none"/>
        </w:tabs>
        <w:spacing w:line="251" w:lineRule="exact" w:before="0" w:after="0"/>
        <w:ind w:left="1545" w:right="0" w:hanging="282"/>
        <w:jc w:val="left"/>
        <w:rPr>
          <w:sz w:val="22"/>
        </w:rPr>
      </w:pPr>
      <w:r>
        <w:rPr>
          <w:sz w:val="22"/>
        </w:rPr>
        <w:t>Departamento</w:t>
      </w:r>
      <w:r>
        <w:rPr>
          <w:spacing w:val="-9"/>
          <w:sz w:val="22"/>
        </w:rPr>
        <w:t> </w:t>
      </w:r>
      <w:r>
        <w:rPr>
          <w:sz w:val="22"/>
        </w:rPr>
        <w:t>de</w:t>
      </w:r>
      <w:r>
        <w:rPr>
          <w:spacing w:val="-9"/>
          <w:sz w:val="22"/>
        </w:rPr>
        <w:t> </w:t>
      </w:r>
      <w:r>
        <w:rPr>
          <w:sz w:val="22"/>
        </w:rPr>
        <w:t>Desarrollo</w:t>
      </w:r>
      <w:r>
        <w:rPr>
          <w:spacing w:val="-13"/>
          <w:sz w:val="22"/>
        </w:rPr>
        <w:t> </w:t>
      </w:r>
      <w:r>
        <w:rPr>
          <w:sz w:val="22"/>
        </w:rPr>
        <w:t>Socioeducativo</w:t>
      </w:r>
      <w:r>
        <w:rPr>
          <w:spacing w:val="-8"/>
          <w:sz w:val="22"/>
        </w:rPr>
        <w:t> </w:t>
      </w:r>
      <w:r>
        <w:rPr>
          <w:spacing w:val="-2"/>
          <w:sz w:val="22"/>
        </w:rPr>
        <w:t>(DDSE).</w:t>
      </w:r>
    </w:p>
    <w:p>
      <w:pPr>
        <w:pStyle w:val="ListParagraph"/>
        <w:numPr>
          <w:ilvl w:val="0"/>
          <w:numId w:val="19"/>
        </w:numPr>
        <w:tabs>
          <w:tab w:pos="1545" w:val="left" w:leader="none"/>
        </w:tabs>
        <w:spacing w:line="240" w:lineRule="auto" w:before="1" w:after="0"/>
        <w:ind w:left="1545" w:right="0" w:hanging="282"/>
        <w:jc w:val="left"/>
        <w:rPr>
          <w:sz w:val="22"/>
        </w:rPr>
      </w:pPr>
      <w:r>
        <w:rPr>
          <w:sz w:val="22"/>
        </w:rPr>
        <w:t>Departamento</w:t>
      </w:r>
      <w:r>
        <w:rPr>
          <w:spacing w:val="-6"/>
          <w:sz w:val="22"/>
        </w:rPr>
        <w:t> </w:t>
      </w:r>
      <w:r>
        <w:rPr>
          <w:sz w:val="22"/>
        </w:rPr>
        <w:t>de</w:t>
      </w:r>
      <w:r>
        <w:rPr>
          <w:spacing w:val="-5"/>
          <w:sz w:val="22"/>
        </w:rPr>
        <w:t> </w:t>
      </w:r>
      <w:r>
        <w:rPr>
          <w:sz w:val="22"/>
        </w:rPr>
        <w:t>Desarrollo</w:t>
      </w:r>
      <w:r>
        <w:rPr>
          <w:spacing w:val="-9"/>
          <w:sz w:val="22"/>
        </w:rPr>
        <w:t> </w:t>
      </w:r>
      <w:r>
        <w:rPr>
          <w:sz w:val="22"/>
        </w:rPr>
        <w:t>Socio</w:t>
      </w:r>
      <w:r>
        <w:rPr>
          <w:spacing w:val="-8"/>
          <w:sz w:val="22"/>
        </w:rPr>
        <w:t> </w:t>
      </w:r>
      <w:r>
        <w:rPr>
          <w:sz w:val="22"/>
        </w:rPr>
        <w:t>productivo</w:t>
      </w:r>
      <w:r>
        <w:rPr>
          <w:spacing w:val="-5"/>
          <w:sz w:val="22"/>
        </w:rPr>
        <w:t> </w:t>
      </w:r>
      <w:r>
        <w:rPr>
          <w:sz w:val="22"/>
        </w:rPr>
        <w:t>y</w:t>
      </w:r>
      <w:r>
        <w:rPr>
          <w:spacing w:val="-7"/>
          <w:sz w:val="22"/>
        </w:rPr>
        <w:t> </w:t>
      </w:r>
      <w:r>
        <w:rPr>
          <w:sz w:val="22"/>
        </w:rPr>
        <w:t>Comunal</w:t>
      </w:r>
      <w:r>
        <w:rPr>
          <w:spacing w:val="-6"/>
          <w:sz w:val="22"/>
        </w:rPr>
        <w:t> </w:t>
      </w:r>
      <w:r>
        <w:rPr>
          <w:spacing w:val="-2"/>
          <w:sz w:val="22"/>
        </w:rPr>
        <w:t>(DDSPC).</w:t>
      </w:r>
    </w:p>
    <w:p>
      <w:pPr>
        <w:pStyle w:val="ListParagraph"/>
        <w:numPr>
          <w:ilvl w:val="0"/>
          <w:numId w:val="19"/>
        </w:numPr>
        <w:tabs>
          <w:tab w:pos="1545" w:val="left" w:leader="none"/>
        </w:tabs>
        <w:spacing w:line="240" w:lineRule="auto" w:before="2" w:after="0"/>
        <w:ind w:left="1545" w:right="0" w:hanging="282"/>
        <w:jc w:val="left"/>
        <w:rPr>
          <w:sz w:val="22"/>
        </w:rPr>
      </w:pPr>
      <w:r>
        <w:rPr>
          <w:sz w:val="22"/>
        </w:rPr>
        <w:t>Departamento</w:t>
      </w:r>
      <w:r>
        <w:rPr>
          <w:spacing w:val="-4"/>
          <w:sz w:val="22"/>
        </w:rPr>
        <w:t> </w:t>
      </w:r>
      <w:r>
        <w:rPr>
          <w:sz w:val="22"/>
        </w:rPr>
        <w:t>de</w:t>
      </w:r>
      <w:r>
        <w:rPr>
          <w:spacing w:val="-8"/>
          <w:sz w:val="22"/>
        </w:rPr>
        <w:t> </w:t>
      </w:r>
      <w:r>
        <w:rPr>
          <w:sz w:val="22"/>
        </w:rPr>
        <w:t>Sistemas</w:t>
      </w:r>
      <w:r>
        <w:rPr>
          <w:spacing w:val="-5"/>
          <w:sz w:val="22"/>
        </w:rPr>
        <w:t> </w:t>
      </w:r>
      <w:r>
        <w:rPr>
          <w:sz w:val="22"/>
        </w:rPr>
        <w:t>de</w:t>
      </w:r>
      <w:r>
        <w:rPr>
          <w:spacing w:val="-7"/>
          <w:sz w:val="22"/>
        </w:rPr>
        <w:t> </w:t>
      </w:r>
      <w:r>
        <w:rPr>
          <w:sz w:val="22"/>
        </w:rPr>
        <w:t>Información</w:t>
      </w:r>
      <w:r>
        <w:rPr>
          <w:spacing w:val="-8"/>
          <w:sz w:val="22"/>
        </w:rPr>
        <w:t> </w:t>
      </w:r>
      <w:r>
        <w:rPr>
          <w:sz w:val="22"/>
        </w:rPr>
        <w:t>Social</w:t>
      </w:r>
      <w:r>
        <w:rPr>
          <w:spacing w:val="-14"/>
          <w:sz w:val="22"/>
        </w:rPr>
        <w:t> </w:t>
      </w:r>
      <w:r>
        <w:rPr>
          <w:spacing w:val="-2"/>
          <w:sz w:val="22"/>
        </w:rPr>
        <w:t>(DSIS).</w:t>
      </w:r>
    </w:p>
    <w:p>
      <w:pPr>
        <w:pStyle w:val="BodyText"/>
        <w:spacing w:before="251"/>
        <w:ind w:left="979" w:right="1334"/>
        <w:jc w:val="both"/>
      </w:pPr>
      <w:r>
        <w:rPr/>
        <w:t>La ejecución y asignación de los recursos económicos que ello conlleva se gesta tanto desde el DASAI como desde 10 unidades ejecutoras denominadas Áreas Regionales de Desarrollo Social (ARDS), y específicamente en las instancias adscritas a ellas llamadas Unidades Locales de Desarrollo Social (ULDS), siendo que se cuenta con 38 de estas unidades que brindan cobertura en todo el territorio nacional.</w:t>
      </w:r>
    </w:p>
    <w:p>
      <w:pPr>
        <w:pStyle w:val="BodyText"/>
        <w:spacing w:before="252"/>
        <w:ind w:left="979" w:right="1334"/>
        <w:jc w:val="both"/>
      </w:pPr>
      <w:r>
        <w:rPr/>
        <w:t>Es relevante indicar que la DDS también tiene adscrita la secretaría del Sistema Nacional de</w:t>
      </w:r>
      <w:r>
        <w:rPr>
          <w:spacing w:val="-8"/>
        </w:rPr>
        <w:t> </w:t>
      </w:r>
      <w:r>
        <w:rPr/>
        <w:t>Cuidados</w:t>
      </w:r>
      <w:r>
        <w:rPr>
          <w:spacing w:val="-10"/>
        </w:rPr>
        <w:t> </w:t>
      </w:r>
      <w:r>
        <w:rPr/>
        <w:t>y</w:t>
      </w:r>
      <w:r>
        <w:rPr>
          <w:spacing w:val="-10"/>
        </w:rPr>
        <w:t> </w:t>
      </w:r>
      <w:r>
        <w:rPr/>
        <w:t>Apoyos</w:t>
      </w:r>
      <w:r>
        <w:rPr>
          <w:spacing w:val="-10"/>
        </w:rPr>
        <w:t> </w:t>
      </w:r>
      <w:r>
        <w:rPr/>
        <w:t>para</w:t>
      </w:r>
      <w:r>
        <w:rPr>
          <w:spacing w:val="-8"/>
        </w:rPr>
        <w:t> </w:t>
      </w:r>
      <w:r>
        <w:rPr/>
        <w:t>Personas</w:t>
      </w:r>
      <w:r>
        <w:rPr>
          <w:spacing w:val="-10"/>
        </w:rPr>
        <w:t> </w:t>
      </w:r>
      <w:r>
        <w:rPr/>
        <w:t>Adultas</w:t>
      </w:r>
      <w:r>
        <w:rPr>
          <w:spacing w:val="-5"/>
        </w:rPr>
        <w:t> </w:t>
      </w:r>
      <w:r>
        <w:rPr/>
        <w:t>y</w:t>
      </w:r>
      <w:r>
        <w:rPr>
          <w:spacing w:val="-15"/>
        </w:rPr>
        <w:t> </w:t>
      </w:r>
      <w:r>
        <w:rPr/>
        <w:t>Personas</w:t>
      </w:r>
      <w:r>
        <w:rPr>
          <w:spacing w:val="-10"/>
        </w:rPr>
        <w:t> </w:t>
      </w:r>
      <w:r>
        <w:rPr/>
        <w:t>Adultas</w:t>
      </w:r>
      <w:r>
        <w:rPr>
          <w:spacing w:val="-10"/>
        </w:rPr>
        <w:t> </w:t>
      </w:r>
      <w:r>
        <w:rPr/>
        <w:t>Mayores</w:t>
      </w:r>
      <w:r>
        <w:rPr>
          <w:spacing w:val="-10"/>
        </w:rPr>
        <w:t> </w:t>
      </w:r>
      <w:r>
        <w:rPr/>
        <w:t>en</w:t>
      </w:r>
      <w:r>
        <w:rPr>
          <w:spacing w:val="-8"/>
        </w:rPr>
        <w:t> </w:t>
      </w:r>
      <w:r>
        <w:rPr/>
        <w:t>Situación</w:t>
      </w:r>
      <w:r>
        <w:rPr>
          <w:spacing w:val="-8"/>
        </w:rPr>
        <w:t> </w:t>
      </w:r>
      <w:r>
        <w:rPr/>
        <w:t>de Dependencia (SINCA).</w:t>
      </w:r>
    </w:p>
    <w:p>
      <w:pPr>
        <w:pStyle w:val="BodyText"/>
        <w:spacing w:after="0"/>
        <w:jc w:val="both"/>
        <w:sectPr>
          <w:pgSz w:w="12240" w:h="15840"/>
          <w:pgMar w:header="0" w:footer="1021" w:top="1600" w:bottom="1220" w:left="720" w:right="360"/>
        </w:sectPr>
      </w:pPr>
    </w:p>
    <w:p>
      <w:pPr>
        <w:pStyle w:val="Heading1"/>
        <w:numPr>
          <w:ilvl w:val="2"/>
          <w:numId w:val="5"/>
        </w:numPr>
        <w:tabs>
          <w:tab w:pos="2443" w:val="left" w:leader="none"/>
        </w:tabs>
        <w:spacing w:line="480" w:lineRule="auto" w:before="77" w:after="0"/>
        <w:ind w:left="979" w:right="2078" w:firstLine="864"/>
        <w:jc w:val="left"/>
      </w:pPr>
      <w:r>
        <w:rPr/>
        <w:t>Objetivos</w:t>
      </w:r>
      <w:r>
        <w:rPr>
          <w:spacing w:val="-10"/>
        </w:rPr>
        <w:t> </w:t>
      </w:r>
      <w:r>
        <w:rPr/>
        <w:t>del</w:t>
      </w:r>
      <w:r>
        <w:rPr>
          <w:spacing w:val="-6"/>
        </w:rPr>
        <w:t> </w:t>
      </w:r>
      <w:r>
        <w:rPr/>
        <w:t>Programa</w:t>
      </w:r>
      <w:r>
        <w:rPr>
          <w:spacing w:val="-6"/>
        </w:rPr>
        <w:t> </w:t>
      </w:r>
      <w:r>
        <w:rPr/>
        <w:t>de</w:t>
      </w:r>
      <w:r>
        <w:rPr>
          <w:spacing w:val="-6"/>
        </w:rPr>
        <w:t> </w:t>
      </w:r>
      <w:r>
        <w:rPr/>
        <w:t>Protección</w:t>
      </w:r>
      <w:r>
        <w:rPr>
          <w:spacing w:val="-4"/>
        </w:rPr>
        <w:t> </w:t>
      </w:r>
      <w:r>
        <w:rPr/>
        <w:t>y</w:t>
      </w:r>
      <w:r>
        <w:rPr>
          <w:spacing w:val="-10"/>
        </w:rPr>
        <w:t> </w:t>
      </w:r>
      <w:r>
        <w:rPr/>
        <w:t>Promoción</w:t>
      </w:r>
      <w:r>
        <w:rPr>
          <w:spacing w:val="-4"/>
        </w:rPr>
        <w:t> </w:t>
      </w:r>
      <w:r>
        <w:rPr/>
        <w:t>Social Objetivo General</w:t>
      </w:r>
    </w:p>
    <w:p>
      <w:pPr>
        <w:pStyle w:val="BodyText"/>
        <w:spacing w:line="229" w:lineRule="exact"/>
        <w:ind w:left="1546"/>
      </w:pPr>
      <w:r>
        <w:rPr>
          <w:spacing w:val="-2"/>
        </w:rPr>
        <w:t>Implementar</w:t>
      </w:r>
      <w:r>
        <w:rPr>
          <w:spacing w:val="-3"/>
        </w:rPr>
        <w:t> </w:t>
      </w:r>
      <w:r>
        <w:rPr>
          <w:spacing w:val="-2"/>
        </w:rPr>
        <w:t>acciones</w:t>
      </w:r>
      <w:r>
        <w:rPr>
          <w:spacing w:val="-1"/>
        </w:rPr>
        <w:t> </w:t>
      </w:r>
      <w:r>
        <w:rPr>
          <w:spacing w:val="-2"/>
        </w:rPr>
        <w:t>de</w:t>
      </w:r>
      <w:r>
        <w:rPr>
          <w:spacing w:val="-4"/>
        </w:rPr>
        <w:t> </w:t>
      </w:r>
      <w:r>
        <w:rPr>
          <w:spacing w:val="-2"/>
        </w:rPr>
        <w:t>protección</w:t>
      </w:r>
      <w:r>
        <w:rPr>
          <w:spacing w:val="1"/>
        </w:rPr>
        <w:t> </w:t>
      </w:r>
      <w:r>
        <w:rPr>
          <w:spacing w:val="-2"/>
        </w:rPr>
        <w:t>y</w:t>
      </w:r>
      <w:r>
        <w:rPr>
          <w:spacing w:val="-6"/>
        </w:rPr>
        <w:t> </w:t>
      </w:r>
      <w:r>
        <w:rPr>
          <w:spacing w:val="-2"/>
        </w:rPr>
        <w:t>promoción</w:t>
      </w:r>
      <w:r>
        <w:rPr>
          <w:spacing w:val="-5"/>
        </w:rPr>
        <w:t> </w:t>
      </w:r>
      <w:r>
        <w:rPr>
          <w:spacing w:val="-2"/>
        </w:rPr>
        <w:t>social dirigidas</w:t>
      </w:r>
      <w:r>
        <w:rPr>
          <w:spacing w:val="-7"/>
        </w:rPr>
        <w:t> </w:t>
      </w:r>
      <w:r>
        <w:rPr>
          <w:spacing w:val="-2"/>
        </w:rPr>
        <w:t>a</w:t>
      </w:r>
      <w:r>
        <w:rPr>
          <w:spacing w:val="-4"/>
        </w:rPr>
        <w:t> </w:t>
      </w:r>
      <w:r>
        <w:rPr>
          <w:spacing w:val="-2"/>
        </w:rPr>
        <w:t>personas,</w:t>
      </w:r>
      <w:r>
        <w:rPr>
          <w:spacing w:val="-5"/>
        </w:rPr>
        <w:t> </w:t>
      </w:r>
      <w:r>
        <w:rPr>
          <w:spacing w:val="-2"/>
        </w:rPr>
        <w:t>hogares</w:t>
      </w:r>
    </w:p>
    <w:p>
      <w:pPr>
        <w:pStyle w:val="BodyText"/>
        <w:spacing w:before="1"/>
        <w:ind w:left="1546" w:right="1344"/>
      </w:pPr>
      <w:r>
        <w:rPr/>
        <w:t>y</w:t>
      </w:r>
      <w:r>
        <w:rPr>
          <w:spacing w:val="-9"/>
        </w:rPr>
        <w:t> </w:t>
      </w:r>
      <w:r>
        <w:rPr/>
        <w:t>organizaciones,</w:t>
      </w:r>
      <w:r>
        <w:rPr>
          <w:spacing w:val="-13"/>
        </w:rPr>
        <w:t> </w:t>
      </w:r>
      <w:r>
        <w:rPr/>
        <w:t>mediante</w:t>
      </w:r>
      <w:r>
        <w:rPr>
          <w:spacing w:val="-12"/>
        </w:rPr>
        <w:t> </w:t>
      </w:r>
      <w:r>
        <w:rPr/>
        <w:t>procesos</w:t>
      </w:r>
      <w:r>
        <w:rPr>
          <w:spacing w:val="-14"/>
        </w:rPr>
        <w:t> </w:t>
      </w:r>
      <w:r>
        <w:rPr/>
        <w:t>de</w:t>
      </w:r>
      <w:r>
        <w:rPr>
          <w:spacing w:val="-12"/>
        </w:rPr>
        <w:t> </w:t>
      </w:r>
      <w:r>
        <w:rPr/>
        <w:t>atención</w:t>
      </w:r>
      <w:r>
        <w:rPr>
          <w:spacing w:val="-12"/>
        </w:rPr>
        <w:t> </w:t>
      </w:r>
      <w:r>
        <w:rPr/>
        <w:t>integral</w:t>
      </w:r>
      <w:r>
        <w:rPr>
          <w:spacing w:val="-15"/>
        </w:rPr>
        <w:t> </w:t>
      </w:r>
      <w:r>
        <w:rPr/>
        <w:t>y</w:t>
      </w:r>
      <w:r>
        <w:rPr>
          <w:spacing w:val="-14"/>
        </w:rPr>
        <w:t> </w:t>
      </w:r>
      <w:r>
        <w:rPr/>
        <w:t>otorgamiento</w:t>
      </w:r>
      <w:r>
        <w:rPr>
          <w:spacing w:val="-12"/>
        </w:rPr>
        <w:t> </w:t>
      </w:r>
      <w:r>
        <w:rPr/>
        <w:t>de</w:t>
      </w:r>
      <w:r>
        <w:rPr>
          <w:spacing w:val="-8"/>
        </w:rPr>
        <w:t> </w:t>
      </w:r>
      <w:r>
        <w:rPr/>
        <w:t>recursos que contribuyan a la disminución de la pobreza en Costa Rica.</w:t>
      </w:r>
    </w:p>
    <w:p>
      <w:pPr>
        <w:pStyle w:val="BodyText"/>
        <w:spacing w:before="24"/>
      </w:pPr>
    </w:p>
    <w:p>
      <w:pPr>
        <w:pStyle w:val="Heading1"/>
        <w:ind w:left="979"/>
        <w:jc w:val="both"/>
      </w:pPr>
      <w:r>
        <w:rPr/>
        <w:t>Objetivos</w:t>
      </w:r>
      <w:r>
        <w:rPr>
          <w:spacing w:val="-1"/>
        </w:rPr>
        <w:t> </w:t>
      </w:r>
      <w:r>
        <w:rPr>
          <w:spacing w:val="-2"/>
        </w:rPr>
        <w:t>Específicos</w:t>
      </w:r>
    </w:p>
    <w:p>
      <w:pPr>
        <w:pStyle w:val="ListParagraph"/>
        <w:numPr>
          <w:ilvl w:val="0"/>
          <w:numId w:val="20"/>
        </w:numPr>
        <w:tabs>
          <w:tab w:pos="1544" w:val="left" w:leader="none"/>
          <w:tab w:pos="1546" w:val="left" w:leader="none"/>
        </w:tabs>
        <w:spacing w:line="240" w:lineRule="auto" w:before="275" w:after="0"/>
        <w:ind w:left="1546" w:right="1348" w:hanging="284"/>
        <w:jc w:val="both"/>
        <w:rPr>
          <w:rFonts w:ascii="Symbol" w:hAnsi="Symbol"/>
          <w:sz w:val="22"/>
        </w:rPr>
      </w:pPr>
      <w:r>
        <w:rPr>
          <w:sz w:val="22"/>
        </w:rPr>
        <w:t>Ejecutar acciones de protección social mediante la articulación de servicios, beneficios, subsidios y transferencias monetarias institucionales, que favorezcan la atención integral de personas y hogares en situación de pobreza, así como de organizaciones vinculadas a dicha población.</w:t>
      </w:r>
    </w:p>
    <w:p>
      <w:pPr>
        <w:pStyle w:val="ListParagraph"/>
        <w:numPr>
          <w:ilvl w:val="0"/>
          <w:numId w:val="20"/>
        </w:numPr>
        <w:tabs>
          <w:tab w:pos="1544" w:val="left" w:leader="none"/>
          <w:tab w:pos="1546" w:val="left" w:leader="none"/>
        </w:tabs>
        <w:spacing w:line="240" w:lineRule="auto" w:before="249" w:after="0"/>
        <w:ind w:left="1546" w:right="1341" w:hanging="284"/>
        <w:jc w:val="both"/>
        <w:rPr>
          <w:rFonts w:ascii="Symbol" w:hAnsi="Symbol"/>
          <w:sz w:val="22"/>
        </w:rPr>
      </w:pPr>
      <w:r>
        <w:rPr>
          <w:sz w:val="22"/>
        </w:rPr>
        <w:t>Ejecutar acciones de promoción social mediante la articulación de servicios, beneficios, subsidios y transferencias monetarias institucionales que favorezcan la atención integral de personas y hogares en situación de pobreza, así como de organizaciones vinculadas a dicha población, propiciando escenarios de movilidad </w:t>
      </w:r>
      <w:r>
        <w:rPr>
          <w:spacing w:val="-2"/>
          <w:sz w:val="22"/>
        </w:rPr>
        <w:t>social.</w:t>
      </w:r>
    </w:p>
    <w:p>
      <w:pPr>
        <w:pStyle w:val="BodyText"/>
      </w:pPr>
    </w:p>
    <w:p>
      <w:pPr>
        <w:pStyle w:val="BodyText"/>
        <w:spacing w:before="4"/>
      </w:pPr>
    </w:p>
    <w:p>
      <w:pPr>
        <w:pStyle w:val="Heading1"/>
        <w:numPr>
          <w:ilvl w:val="2"/>
          <w:numId w:val="5"/>
        </w:numPr>
        <w:tabs>
          <w:tab w:pos="2444" w:val="left" w:leader="none"/>
        </w:tabs>
        <w:spacing w:line="240" w:lineRule="auto" w:before="0" w:after="0"/>
        <w:ind w:left="2444" w:right="0" w:hanging="600"/>
        <w:jc w:val="left"/>
      </w:pPr>
      <w:r>
        <w:rPr/>
        <w:t>Estrategias,</w:t>
      </w:r>
      <w:r>
        <w:rPr>
          <w:spacing w:val="-8"/>
        </w:rPr>
        <w:t> </w:t>
      </w:r>
      <w:r>
        <w:rPr/>
        <w:t>acciones</w:t>
      </w:r>
      <w:r>
        <w:rPr>
          <w:spacing w:val="-2"/>
        </w:rPr>
        <w:t> </w:t>
      </w:r>
      <w:r>
        <w:rPr/>
        <w:t>y</w:t>
      </w:r>
      <w:r>
        <w:rPr>
          <w:spacing w:val="-6"/>
        </w:rPr>
        <w:t> </w:t>
      </w:r>
      <w:r>
        <w:rPr/>
        <w:t>metas</w:t>
      </w:r>
      <w:r>
        <w:rPr>
          <w:spacing w:val="-2"/>
        </w:rPr>
        <w:t> </w:t>
      </w:r>
      <w:r>
        <w:rPr/>
        <w:t>del</w:t>
      </w:r>
      <w:r>
        <w:rPr>
          <w:spacing w:val="-7"/>
        </w:rPr>
        <w:t> </w:t>
      </w:r>
      <w:r>
        <w:rPr>
          <w:spacing w:val="-2"/>
        </w:rPr>
        <w:t>programa</w:t>
      </w:r>
    </w:p>
    <w:p>
      <w:pPr>
        <w:pStyle w:val="BodyText"/>
        <w:spacing w:before="271"/>
        <w:ind w:left="979" w:right="1336"/>
        <w:jc w:val="both"/>
      </w:pPr>
      <w:r>
        <w:rPr/>
        <w:t>El POI 2026 recoge los principales esfuerzos en torno a la estrategia IMAS IMPULSA (aprobada</w:t>
      </w:r>
      <w:r>
        <w:rPr>
          <w:spacing w:val="-5"/>
        </w:rPr>
        <w:t> </w:t>
      </w:r>
      <w:r>
        <w:rPr/>
        <w:t>mediante</w:t>
      </w:r>
      <w:r>
        <w:rPr>
          <w:spacing w:val="-5"/>
        </w:rPr>
        <w:t> </w:t>
      </w:r>
      <w:r>
        <w:rPr/>
        <w:t>acuerdo</w:t>
      </w:r>
      <w:r>
        <w:rPr>
          <w:spacing w:val="-2"/>
        </w:rPr>
        <w:t> </w:t>
      </w:r>
      <w:r>
        <w:rPr/>
        <w:t>de</w:t>
      </w:r>
      <w:r>
        <w:rPr>
          <w:spacing w:val="-2"/>
        </w:rPr>
        <w:t> </w:t>
      </w:r>
      <w:r>
        <w:rPr/>
        <w:t>Consejo</w:t>
      </w:r>
      <w:r>
        <w:rPr>
          <w:spacing w:val="-5"/>
        </w:rPr>
        <w:t> </w:t>
      </w:r>
      <w:r>
        <w:rPr/>
        <w:t>Directivo</w:t>
      </w:r>
      <w:r>
        <w:rPr>
          <w:spacing w:val="-2"/>
        </w:rPr>
        <w:t> </w:t>
      </w:r>
      <w:r>
        <w:rPr/>
        <w:t>250-12-2024),</w:t>
      </w:r>
      <w:r>
        <w:rPr>
          <w:spacing w:val="-2"/>
        </w:rPr>
        <w:t> </w:t>
      </w:r>
      <w:r>
        <w:rPr/>
        <w:t>la</w:t>
      </w:r>
      <w:r>
        <w:rPr>
          <w:spacing w:val="-2"/>
        </w:rPr>
        <w:t> </w:t>
      </w:r>
      <w:r>
        <w:rPr/>
        <w:t>cual</w:t>
      </w:r>
      <w:r>
        <w:rPr>
          <w:spacing w:val="-8"/>
        </w:rPr>
        <w:t> </w:t>
      </w:r>
      <w:r>
        <w:rPr/>
        <w:t>busca</w:t>
      </w:r>
      <w:r>
        <w:rPr>
          <w:spacing w:val="-5"/>
        </w:rPr>
        <w:t> </w:t>
      </w:r>
      <w:r>
        <w:rPr/>
        <w:t>propiciar</w:t>
      </w:r>
      <w:r>
        <w:rPr>
          <w:spacing w:val="-4"/>
        </w:rPr>
        <w:t> </w:t>
      </w:r>
      <w:r>
        <w:rPr/>
        <w:t>la integración e interconexión de acciones destinadas a mejorar</w:t>
      </w:r>
      <w:r>
        <w:rPr>
          <w:spacing w:val="-3"/>
        </w:rPr>
        <w:t> </w:t>
      </w:r>
      <w:r>
        <w:rPr/>
        <w:t>el bienestar social mediante la vinculación</w:t>
      </w:r>
      <w:r>
        <w:rPr>
          <w:spacing w:val="-4"/>
        </w:rPr>
        <w:t> </w:t>
      </w:r>
      <w:r>
        <w:rPr/>
        <w:t>de las</w:t>
      </w:r>
      <w:r>
        <w:rPr>
          <w:spacing w:val="-6"/>
        </w:rPr>
        <w:t> </w:t>
      </w:r>
      <w:r>
        <w:rPr/>
        <w:t>poblaciones</w:t>
      </w:r>
      <w:r>
        <w:rPr>
          <w:spacing w:val="-6"/>
        </w:rPr>
        <w:t> </w:t>
      </w:r>
      <w:r>
        <w:rPr/>
        <w:t>al</w:t>
      </w:r>
      <w:r>
        <w:rPr>
          <w:spacing w:val="-2"/>
        </w:rPr>
        <w:t> </w:t>
      </w:r>
      <w:r>
        <w:rPr/>
        <w:t>empleo y</w:t>
      </w:r>
      <w:r>
        <w:rPr>
          <w:spacing w:val="-2"/>
        </w:rPr>
        <w:t> </w:t>
      </w:r>
      <w:r>
        <w:rPr/>
        <w:t>la producción: buscando la estabilidad social y</w:t>
      </w:r>
      <w:r>
        <w:rPr>
          <w:spacing w:val="-16"/>
        </w:rPr>
        <w:t> </w:t>
      </w:r>
      <w:r>
        <w:rPr/>
        <w:t>el</w:t>
      </w:r>
      <w:r>
        <w:rPr>
          <w:spacing w:val="-15"/>
        </w:rPr>
        <w:t> </w:t>
      </w:r>
      <w:r>
        <w:rPr/>
        <w:t>crecimiento</w:t>
      </w:r>
      <w:r>
        <w:rPr>
          <w:spacing w:val="-15"/>
        </w:rPr>
        <w:t> </w:t>
      </w:r>
      <w:r>
        <w:rPr/>
        <w:t>de</w:t>
      </w:r>
      <w:r>
        <w:rPr>
          <w:spacing w:val="-16"/>
        </w:rPr>
        <w:t> </w:t>
      </w:r>
      <w:r>
        <w:rPr/>
        <w:t>la</w:t>
      </w:r>
      <w:r>
        <w:rPr>
          <w:spacing w:val="-15"/>
        </w:rPr>
        <w:t> </w:t>
      </w:r>
      <w:r>
        <w:rPr/>
        <w:t>economía,</w:t>
      </w:r>
      <w:r>
        <w:rPr>
          <w:spacing w:val="-15"/>
        </w:rPr>
        <w:t> </w:t>
      </w:r>
      <w:r>
        <w:rPr/>
        <w:t>con</w:t>
      </w:r>
      <w:r>
        <w:rPr>
          <w:spacing w:val="-15"/>
        </w:rPr>
        <w:t> </w:t>
      </w:r>
      <w:r>
        <w:rPr/>
        <w:t>un</w:t>
      </w:r>
      <w:r>
        <w:rPr>
          <w:spacing w:val="-16"/>
        </w:rPr>
        <w:t> </w:t>
      </w:r>
      <w:r>
        <w:rPr/>
        <w:t>enfoque</w:t>
      </w:r>
      <w:r>
        <w:rPr>
          <w:spacing w:val="-15"/>
        </w:rPr>
        <w:t> </w:t>
      </w:r>
      <w:r>
        <w:rPr/>
        <w:t>territorial</w:t>
      </w:r>
      <w:r>
        <w:rPr>
          <w:spacing w:val="-15"/>
        </w:rPr>
        <w:t> </w:t>
      </w:r>
      <w:r>
        <w:rPr/>
        <w:t>y</w:t>
      </w:r>
      <w:r>
        <w:rPr>
          <w:spacing w:val="-16"/>
        </w:rPr>
        <w:t> </w:t>
      </w:r>
      <w:r>
        <w:rPr/>
        <w:t>por</w:t>
      </w:r>
      <w:r>
        <w:rPr>
          <w:spacing w:val="-15"/>
        </w:rPr>
        <w:t> </w:t>
      </w:r>
      <w:r>
        <w:rPr/>
        <w:t>otro</w:t>
      </w:r>
      <w:r>
        <w:rPr>
          <w:spacing w:val="-15"/>
        </w:rPr>
        <w:t> </w:t>
      </w:r>
      <w:r>
        <w:rPr/>
        <w:t>lado</w:t>
      </w:r>
      <w:r>
        <w:rPr>
          <w:spacing w:val="-15"/>
        </w:rPr>
        <w:t> </w:t>
      </w:r>
      <w:r>
        <w:rPr/>
        <w:t>la</w:t>
      </w:r>
      <w:r>
        <w:rPr>
          <w:spacing w:val="-16"/>
        </w:rPr>
        <w:t> </w:t>
      </w:r>
      <w:r>
        <w:rPr/>
        <w:t>protección</w:t>
      </w:r>
      <w:r>
        <w:rPr>
          <w:spacing w:val="-15"/>
        </w:rPr>
        <w:t> </w:t>
      </w:r>
      <w:r>
        <w:rPr/>
        <w:t>social de aquellas poblaciones que por sus condiciones, son garantes de los servicios que el aparato institucional del Estado brinda.</w:t>
      </w:r>
    </w:p>
    <w:p>
      <w:pPr>
        <w:pStyle w:val="BodyText"/>
        <w:spacing w:before="2"/>
      </w:pPr>
    </w:p>
    <w:p>
      <w:pPr>
        <w:pStyle w:val="BodyText"/>
        <w:spacing w:before="1"/>
        <w:ind w:left="979" w:right="1335"/>
        <w:jc w:val="both"/>
      </w:pPr>
      <w:r>
        <w:rPr/>
        <w:t>La conexión</w:t>
      </w:r>
      <w:r>
        <w:rPr>
          <w:spacing w:val="-4"/>
        </w:rPr>
        <w:t> </w:t>
      </w:r>
      <w:r>
        <w:rPr/>
        <w:t>de</w:t>
      </w:r>
      <w:r>
        <w:rPr>
          <w:spacing w:val="-4"/>
        </w:rPr>
        <w:t> </w:t>
      </w:r>
      <w:r>
        <w:rPr/>
        <w:t>estos</w:t>
      </w:r>
      <w:r>
        <w:rPr>
          <w:spacing w:val="-6"/>
        </w:rPr>
        <w:t> </w:t>
      </w:r>
      <w:r>
        <w:rPr/>
        <w:t>dos</w:t>
      </w:r>
      <w:r>
        <w:rPr>
          <w:spacing w:val="-1"/>
        </w:rPr>
        <w:t> </w:t>
      </w:r>
      <w:r>
        <w:rPr/>
        <w:t>ámbitos</w:t>
      </w:r>
      <w:r>
        <w:rPr>
          <w:spacing w:val="-6"/>
        </w:rPr>
        <w:t> </w:t>
      </w:r>
      <w:r>
        <w:rPr/>
        <w:t>de</w:t>
      </w:r>
      <w:r>
        <w:rPr>
          <w:spacing w:val="-4"/>
        </w:rPr>
        <w:t> </w:t>
      </w:r>
      <w:r>
        <w:rPr/>
        <w:t>acción nos</w:t>
      </w:r>
      <w:r>
        <w:rPr>
          <w:spacing w:val="-6"/>
        </w:rPr>
        <w:t> </w:t>
      </w:r>
      <w:r>
        <w:rPr/>
        <w:t>permitirá</w:t>
      </w:r>
      <w:r>
        <w:rPr>
          <w:spacing w:val="-4"/>
        </w:rPr>
        <w:t> </w:t>
      </w:r>
      <w:r>
        <w:rPr/>
        <w:t>avanzar</w:t>
      </w:r>
      <w:r>
        <w:rPr>
          <w:spacing w:val="-7"/>
        </w:rPr>
        <w:t> </w:t>
      </w:r>
      <w:r>
        <w:rPr/>
        <w:t>hacia rutas</w:t>
      </w:r>
      <w:r>
        <w:rPr>
          <w:spacing w:val="-6"/>
        </w:rPr>
        <w:t> </w:t>
      </w:r>
      <w:r>
        <w:rPr/>
        <w:t>de atención integral de las personas en situaciones de pobreza y vulnerabilidad, así como reivindicar sus</w:t>
      </w:r>
      <w:r>
        <w:rPr>
          <w:spacing w:val="-1"/>
        </w:rPr>
        <w:t> </w:t>
      </w:r>
      <w:r>
        <w:rPr/>
        <w:t>derechos</w:t>
      </w:r>
      <w:r>
        <w:rPr>
          <w:spacing w:val="-6"/>
        </w:rPr>
        <w:t> </w:t>
      </w:r>
      <w:r>
        <w:rPr/>
        <w:t>mediante los</w:t>
      </w:r>
      <w:r>
        <w:rPr>
          <w:spacing w:val="-1"/>
        </w:rPr>
        <w:t> </w:t>
      </w:r>
      <w:r>
        <w:rPr/>
        <w:t>servicios</w:t>
      </w:r>
      <w:r>
        <w:rPr>
          <w:spacing w:val="-1"/>
        </w:rPr>
        <w:t> </w:t>
      </w:r>
      <w:r>
        <w:rPr/>
        <w:t>y</w:t>
      </w:r>
      <w:r>
        <w:rPr>
          <w:spacing w:val="-6"/>
        </w:rPr>
        <w:t> </w:t>
      </w:r>
      <w:r>
        <w:rPr/>
        <w:t>programas</w:t>
      </w:r>
      <w:r>
        <w:rPr>
          <w:spacing w:val="-6"/>
        </w:rPr>
        <w:t> </w:t>
      </w:r>
      <w:r>
        <w:rPr/>
        <w:t>sociales; constituyendo la base desde el cual se convierten en protagonistas de su superación y de su autonomía económica.</w:t>
      </w:r>
    </w:p>
    <w:p>
      <w:pPr>
        <w:pStyle w:val="BodyText"/>
        <w:spacing w:before="251"/>
        <w:ind w:left="979" w:right="1341"/>
        <w:jc w:val="both"/>
      </w:pPr>
      <w:r>
        <w:rPr/>
        <w:t>El desarrollo del programa se sustenta en estrategias, acciones y metas orientadas a la atención de la población en situación de pobreza, así como de organizaciones vinculadas a</w:t>
      </w:r>
      <w:r>
        <w:rPr>
          <w:spacing w:val="-2"/>
        </w:rPr>
        <w:t> </w:t>
      </w:r>
      <w:r>
        <w:rPr/>
        <w:t>población</w:t>
      </w:r>
      <w:r>
        <w:rPr>
          <w:spacing w:val="-2"/>
        </w:rPr>
        <w:t> </w:t>
      </w:r>
      <w:r>
        <w:rPr/>
        <w:t>en</w:t>
      </w:r>
      <w:r>
        <w:rPr>
          <w:spacing w:val="-2"/>
        </w:rPr>
        <w:t> </w:t>
      </w:r>
      <w:r>
        <w:rPr/>
        <w:t>dicha</w:t>
      </w:r>
      <w:r>
        <w:rPr>
          <w:spacing w:val="-2"/>
        </w:rPr>
        <w:t> </w:t>
      </w:r>
      <w:r>
        <w:rPr/>
        <w:t>situación,</w:t>
      </w:r>
      <w:r>
        <w:rPr>
          <w:spacing w:val="-2"/>
        </w:rPr>
        <w:t> </w:t>
      </w:r>
      <w:r>
        <w:rPr/>
        <w:t>desde</w:t>
      </w:r>
      <w:r>
        <w:rPr>
          <w:spacing w:val="-2"/>
        </w:rPr>
        <w:t> </w:t>
      </w:r>
      <w:r>
        <w:rPr/>
        <w:t>enfoques</w:t>
      </w:r>
      <w:r>
        <w:rPr>
          <w:spacing w:val="-7"/>
        </w:rPr>
        <w:t> </w:t>
      </w:r>
      <w:r>
        <w:rPr/>
        <w:t>de</w:t>
      </w:r>
      <w:r>
        <w:rPr>
          <w:spacing w:val="-2"/>
        </w:rPr>
        <w:t> </w:t>
      </w:r>
      <w:r>
        <w:rPr/>
        <w:t>protección</w:t>
      </w:r>
      <w:r>
        <w:rPr>
          <w:spacing w:val="-2"/>
        </w:rPr>
        <w:t> </w:t>
      </w:r>
      <w:r>
        <w:rPr/>
        <w:t>y</w:t>
      </w:r>
      <w:r>
        <w:rPr>
          <w:spacing w:val="-2"/>
        </w:rPr>
        <w:t> </w:t>
      </w:r>
      <w:r>
        <w:rPr/>
        <w:t>promoción</w:t>
      </w:r>
      <w:r>
        <w:rPr>
          <w:spacing w:val="-2"/>
        </w:rPr>
        <w:t> </w:t>
      </w:r>
      <w:r>
        <w:rPr/>
        <w:t>social; la</w:t>
      </w:r>
      <w:r>
        <w:rPr>
          <w:spacing w:val="-2"/>
        </w:rPr>
        <w:t> </w:t>
      </w:r>
      <w:r>
        <w:rPr/>
        <w:t>figura 4 denota la interrelación entre dichas estrategias, acciones y metas.</w:t>
      </w:r>
    </w:p>
    <w:p>
      <w:pPr>
        <w:pStyle w:val="BodyText"/>
        <w:spacing w:after="0"/>
        <w:jc w:val="both"/>
        <w:sectPr>
          <w:pgSz w:w="12240" w:h="15840"/>
          <w:pgMar w:header="0" w:footer="1021" w:top="1340" w:bottom="1220" w:left="720" w:right="360"/>
        </w:sectPr>
      </w:pPr>
    </w:p>
    <w:p>
      <w:pPr>
        <w:pStyle w:val="Heading2"/>
        <w:spacing w:before="76"/>
        <w:ind w:left="799" w:right="1020"/>
        <w:jc w:val="center"/>
      </w:pPr>
      <w:bookmarkStart w:name="_bookmark42" w:id="43"/>
      <w:bookmarkEnd w:id="43"/>
      <w:r>
        <w:rPr>
          <w:b w:val="0"/>
        </w:rPr>
      </w:r>
      <w:r>
        <w:rPr/>
        <w:t>Figura</w:t>
      </w:r>
      <w:r>
        <w:rPr>
          <w:spacing w:val="-7"/>
        </w:rPr>
        <w:t> </w:t>
      </w:r>
      <w:r>
        <w:rPr/>
        <w:t>4:</w:t>
      </w:r>
      <w:r>
        <w:rPr>
          <w:spacing w:val="-6"/>
        </w:rPr>
        <w:t> </w:t>
      </w:r>
      <w:r>
        <w:rPr/>
        <w:t>Estrategias,</w:t>
      </w:r>
      <w:r>
        <w:rPr>
          <w:spacing w:val="-8"/>
        </w:rPr>
        <w:t> </w:t>
      </w:r>
      <w:r>
        <w:rPr/>
        <w:t>acciones</w:t>
      </w:r>
      <w:r>
        <w:rPr>
          <w:spacing w:val="-3"/>
        </w:rPr>
        <w:t> </w:t>
      </w:r>
      <w:r>
        <w:rPr/>
        <w:t>y</w:t>
      </w:r>
      <w:r>
        <w:rPr>
          <w:spacing w:val="-7"/>
        </w:rPr>
        <w:t> </w:t>
      </w:r>
      <w:r>
        <w:rPr/>
        <w:t>metas</w:t>
      </w:r>
      <w:r>
        <w:rPr>
          <w:spacing w:val="-3"/>
        </w:rPr>
        <w:t> </w:t>
      </w:r>
      <w:r>
        <w:rPr/>
        <w:t>del</w:t>
      </w:r>
      <w:r>
        <w:rPr>
          <w:spacing w:val="-3"/>
        </w:rPr>
        <w:t> </w:t>
      </w:r>
      <w:r>
        <w:rPr>
          <w:spacing w:val="-4"/>
        </w:rPr>
        <w:t>PPPS</w:t>
      </w:r>
    </w:p>
    <w:p>
      <w:pPr>
        <w:pStyle w:val="BodyText"/>
        <w:spacing w:before="5"/>
        <w:rPr>
          <w:b/>
          <w:sz w:val="5"/>
        </w:rPr>
      </w:pPr>
      <w:r>
        <w:rPr>
          <w:b/>
          <w:sz w:val="5"/>
        </w:rPr>
        <w:drawing>
          <wp:anchor distT="0" distB="0" distL="0" distR="0" allowOverlap="1" layoutInCell="1" locked="0" behindDoc="1" simplePos="0" relativeHeight="487599616">
            <wp:simplePos x="0" y="0"/>
            <wp:positionH relativeFrom="page">
              <wp:posOffset>2532248</wp:posOffset>
            </wp:positionH>
            <wp:positionV relativeFrom="paragraph">
              <wp:posOffset>55078</wp:posOffset>
            </wp:positionV>
            <wp:extent cx="2858491" cy="2218181"/>
            <wp:effectExtent l="0" t="0" r="0" b="0"/>
            <wp:wrapTopAndBottom/>
            <wp:docPr id="79" name="Image 79" descr="Diagrama  El contenido generado por IA puede ser incorrecto."/>
            <wp:cNvGraphicFramePr>
              <a:graphicFrameLocks/>
            </wp:cNvGraphicFramePr>
            <a:graphic>
              <a:graphicData uri="http://schemas.openxmlformats.org/drawingml/2006/picture">
                <pic:pic>
                  <pic:nvPicPr>
                    <pic:cNvPr id="79" name="Image 79" descr="Diagrama  El contenido generado por IA puede ser incorrecto."/>
                    <pic:cNvPicPr/>
                  </pic:nvPicPr>
                  <pic:blipFill>
                    <a:blip r:embed="rId58" cstate="print"/>
                    <a:stretch>
                      <a:fillRect/>
                    </a:stretch>
                  </pic:blipFill>
                  <pic:spPr>
                    <a:xfrm>
                      <a:off x="0" y="0"/>
                      <a:ext cx="2858491" cy="2218181"/>
                    </a:xfrm>
                    <a:prstGeom prst="rect">
                      <a:avLst/>
                    </a:prstGeom>
                  </pic:spPr>
                </pic:pic>
              </a:graphicData>
            </a:graphic>
          </wp:anchor>
        </w:drawing>
      </w:r>
    </w:p>
    <w:p>
      <w:pPr>
        <w:spacing w:before="199"/>
        <w:ind w:left="679" w:right="1031" w:firstLine="0"/>
        <w:jc w:val="center"/>
        <w:rPr>
          <w:b/>
          <w:sz w:val="18"/>
        </w:rPr>
      </w:pPr>
      <w:r>
        <w:rPr>
          <w:b/>
          <w:sz w:val="18"/>
        </w:rPr>
        <w:t>Fuente:</w:t>
      </w:r>
      <w:r>
        <w:rPr>
          <w:b/>
          <w:spacing w:val="-3"/>
          <w:sz w:val="18"/>
        </w:rPr>
        <w:t> </w:t>
      </w:r>
      <w:r>
        <w:rPr>
          <w:b/>
          <w:spacing w:val="-5"/>
          <w:sz w:val="18"/>
        </w:rPr>
        <w:t>DDS</w:t>
      </w:r>
    </w:p>
    <w:p>
      <w:pPr>
        <w:pStyle w:val="BodyText"/>
        <w:spacing w:before="48"/>
        <w:rPr>
          <w:b/>
          <w:sz w:val="18"/>
        </w:rPr>
      </w:pPr>
    </w:p>
    <w:p>
      <w:pPr>
        <w:pStyle w:val="BodyText"/>
        <w:spacing w:before="1"/>
        <w:ind w:left="979" w:right="1350"/>
        <w:jc w:val="both"/>
      </w:pPr>
      <w:r>
        <w:rPr/>
        <w:t>La</w:t>
      </w:r>
      <w:r>
        <w:rPr>
          <w:spacing w:val="-12"/>
        </w:rPr>
        <w:t> </w:t>
      </w:r>
      <w:r>
        <w:rPr/>
        <w:t>estrategia</w:t>
      </w:r>
      <w:r>
        <w:rPr>
          <w:spacing w:val="-11"/>
        </w:rPr>
        <w:t> </w:t>
      </w:r>
      <w:r>
        <w:rPr/>
        <w:t>se</w:t>
      </w:r>
      <w:r>
        <w:rPr>
          <w:spacing w:val="-11"/>
        </w:rPr>
        <w:t> </w:t>
      </w:r>
      <w:r>
        <w:rPr/>
        <w:t>encuentra</w:t>
      </w:r>
      <w:r>
        <w:rPr>
          <w:spacing w:val="-11"/>
        </w:rPr>
        <w:t> </w:t>
      </w:r>
      <w:r>
        <w:rPr/>
        <w:t>constituida</w:t>
      </w:r>
      <w:r>
        <w:rPr>
          <w:spacing w:val="-11"/>
        </w:rPr>
        <w:t> </w:t>
      </w:r>
      <w:r>
        <w:rPr/>
        <w:t>por</w:t>
      </w:r>
      <w:r>
        <w:rPr>
          <w:spacing w:val="-14"/>
        </w:rPr>
        <w:t> </w:t>
      </w:r>
      <w:r>
        <w:rPr/>
        <w:t>el</w:t>
      </w:r>
      <w:r>
        <w:rPr>
          <w:spacing w:val="-14"/>
        </w:rPr>
        <w:t> </w:t>
      </w:r>
      <w:r>
        <w:rPr/>
        <w:t>Modelo</w:t>
      </w:r>
      <w:r>
        <w:rPr>
          <w:spacing w:val="-11"/>
        </w:rPr>
        <w:t> </w:t>
      </w:r>
      <w:r>
        <w:rPr/>
        <w:t>de</w:t>
      </w:r>
      <w:r>
        <w:rPr>
          <w:spacing w:val="-11"/>
        </w:rPr>
        <w:t> </w:t>
      </w:r>
      <w:r>
        <w:rPr/>
        <w:t>Intervención</w:t>
      </w:r>
      <w:r>
        <w:rPr>
          <w:spacing w:val="-11"/>
        </w:rPr>
        <w:t> </w:t>
      </w:r>
      <w:r>
        <w:rPr/>
        <w:t>Institucional,</w:t>
      </w:r>
      <w:r>
        <w:rPr>
          <w:spacing w:val="-16"/>
        </w:rPr>
        <w:t> </w:t>
      </w:r>
      <w:r>
        <w:rPr/>
        <w:t>que</w:t>
      </w:r>
      <w:r>
        <w:rPr>
          <w:spacing w:val="-10"/>
        </w:rPr>
        <w:t> </w:t>
      </w:r>
      <w:r>
        <w:rPr/>
        <w:t>tiene como antecedente la Política Institucional para la Atención de la Población en Pobreza y Pobreza Extrema 2020-2030, la cual tiene por objetivo,</w:t>
      </w:r>
    </w:p>
    <w:p>
      <w:pPr>
        <w:pStyle w:val="BodyText"/>
      </w:pPr>
    </w:p>
    <w:p>
      <w:pPr>
        <w:spacing w:before="0"/>
        <w:ind w:left="1263" w:right="1341" w:firstLine="0"/>
        <w:jc w:val="both"/>
        <w:rPr>
          <w:i/>
          <w:sz w:val="20"/>
        </w:rPr>
      </w:pPr>
      <w:r>
        <w:rPr>
          <w:i/>
          <w:sz w:val="20"/>
        </w:rPr>
        <w:t>“Orientar estratégicamente los procesos de atención integral de la población en situación de</w:t>
      </w:r>
      <w:r>
        <w:rPr>
          <w:i/>
          <w:sz w:val="20"/>
        </w:rPr>
        <w:t> pobreza básica y extrema para su disminución desde un abordaje multidimensional, articulando la</w:t>
      </w:r>
      <w:r>
        <w:rPr>
          <w:i/>
          <w:spacing w:val="-2"/>
          <w:sz w:val="20"/>
        </w:rPr>
        <w:t> </w:t>
      </w:r>
      <w:r>
        <w:rPr>
          <w:i/>
          <w:sz w:val="20"/>
        </w:rPr>
        <w:t>oferta</w:t>
      </w:r>
      <w:r>
        <w:rPr>
          <w:i/>
          <w:spacing w:val="-2"/>
          <w:sz w:val="20"/>
        </w:rPr>
        <w:t> </w:t>
      </w:r>
      <w:r>
        <w:rPr>
          <w:i/>
          <w:sz w:val="20"/>
        </w:rPr>
        <w:t>programática</w:t>
      </w:r>
      <w:r>
        <w:rPr>
          <w:i/>
          <w:spacing w:val="-2"/>
          <w:sz w:val="20"/>
        </w:rPr>
        <w:t> </w:t>
      </w:r>
      <w:r>
        <w:rPr>
          <w:i/>
          <w:sz w:val="20"/>
        </w:rPr>
        <w:t>del</w:t>
      </w:r>
      <w:r>
        <w:rPr>
          <w:i/>
          <w:spacing w:val="-2"/>
          <w:sz w:val="20"/>
        </w:rPr>
        <w:t> </w:t>
      </w:r>
      <w:r>
        <w:rPr>
          <w:i/>
          <w:sz w:val="20"/>
        </w:rPr>
        <w:t>IMAS</w:t>
      </w:r>
      <w:r>
        <w:rPr>
          <w:i/>
          <w:spacing w:val="-1"/>
          <w:sz w:val="20"/>
        </w:rPr>
        <w:t> </w:t>
      </w:r>
      <w:r>
        <w:rPr>
          <w:i/>
          <w:sz w:val="20"/>
        </w:rPr>
        <w:t>con</w:t>
      </w:r>
      <w:r>
        <w:rPr>
          <w:i/>
          <w:spacing w:val="-2"/>
          <w:sz w:val="20"/>
        </w:rPr>
        <w:t> </w:t>
      </w:r>
      <w:r>
        <w:rPr>
          <w:i/>
          <w:sz w:val="20"/>
        </w:rPr>
        <w:t>la</w:t>
      </w:r>
      <w:r>
        <w:rPr>
          <w:i/>
          <w:spacing w:val="-2"/>
          <w:sz w:val="20"/>
        </w:rPr>
        <w:t> </w:t>
      </w:r>
      <w:r>
        <w:rPr>
          <w:i/>
          <w:sz w:val="20"/>
        </w:rPr>
        <w:t>de</w:t>
      </w:r>
      <w:r>
        <w:rPr>
          <w:i/>
          <w:spacing w:val="-2"/>
          <w:sz w:val="20"/>
        </w:rPr>
        <w:t> </w:t>
      </w:r>
      <w:r>
        <w:rPr>
          <w:i/>
          <w:sz w:val="20"/>
        </w:rPr>
        <w:t>otras</w:t>
      </w:r>
      <w:r>
        <w:rPr>
          <w:i/>
          <w:spacing w:val="-1"/>
          <w:sz w:val="20"/>
        </w:rPr>
        <w:t> </w:t>
      </w:r>
      <w:r>
        <w:rPr>
          <w:i/>
          <w:sz w:val="20"/>
        </w:rPr>
        <w:t>instituciones</w:t>
      </w:r>
      <w:r>
        <w:rPr>
          <w:i/>
          <w:spacing w:val="-1"/>
          <w:sz w:val="20"/>
        </w:rPr>
        <w:t> </w:t>
      </w:r>
      <w:r>
        <w:rPr>
          <w:i/>
          <w:sz w:val="20"/>
        </w:rPr>
        <w:t>públicas y</w:t>
      </w:r>
      <w:r>
        <w:rPr>
          <w:i/>
          <w:spacing w:val="-1"/>
          <w:sz w:val="20"/>
        </w:rPr>
        <w:t> </w:t>
      </w:r>
      <w:r>
        <w:rPr>
          <w:i/>
          <w:sz w:val="20"/>
        </w:rPr>
        <w:t>privadas</w:t>
      </w:r>
      <w:r>
        <w:rPr>
          <w:i/>
          <w:spacing w:val="-1"/>
          <w:sz w:val="20"/>
        </w:rPr>
        <w:t> </w:t>
      </w:r>
      <w:r>
        <w:rPr>
          <w:i/>
          <w:sz w:val="20"/>
        </w:rPr>
        <w:t>con</w:t>
      </w:r>
      <w:r>
        <w:rPr>
          <w:i/>
          <w:spacing w:val="-2"/>
          <w:sz w:val="20"/>
        </w:rPr>
        <w:t> </w:t>
      </w:r>
      <w:r>
        <w:rPr>
          <w:i/>
          <w:sz w:val="20"/>
        </w:rPr>
        <w:t>un</w:t>
      </w:r>
      <w:r>
        <w:rPr>
          <w:i/>
          <w:spacing w:val="-2"/>
          <w:sz w:val="20"/>
        </w:rPr>
        <w:t> </w:t>
      </w:r>
      <w:r>
        <w:rPr>
          <w:i/>
          <w:sz w:val="20"/>
        </w:rPr>
        <w:t>enfoque territorial,</w:t>
      </w:r>
      <w:r>
        <w:rPr>
          <w:i/>
          <w:spacing w:val="-3"/>
          <w:sz w:val="20"/>
        </w:rPr>
        <w:t> </w:t>
      </w:r>
      <w:r>
        <w:rPr>
          <w:i/>
          <w:sz w:val="20"/>
        </w:rPr>
        <w:t>en</w:t>
      </w:r>
      <w:r>
        <w:rPr>
          <w:i/>
          <w:spacing w:val="-6"/>
          <w:sz w:val="20"/>
        </w:rPr>
        <w:t> </w:t>
      </w:r>
      <w:r>
        <w:rPr>
          <w:i/>
          <w:sz w:val="20"/>
        </w:rPr>
        <w:t>el</w:t>
      </w:r>
      <w:r>
        <w:rPr>
          <w:i/>
          <w:spacing w:val="-6"/>
          <w:sz w:val="20"/>
        </w:rPr>
        <w:t> </w:t>
      </w:r>
      <w:r>
        <w:rPr>
          <w:i/>
          <w:sz w:val="20"/>
        </w:rPr>
        <w:t>marco</w:t>
      </w:r>
      <w:r>
        <w:rPr>
          <w:i/>
          <w:spacing w:val="-6"/>
          <w:sz w:val="20"/>
        </w:rPr>
        <w:t> </w:t>
      </w:r>
      <w:r>
        <w:rPr>
          <w:i/>
          <w:sz w:val="20"/>
        </w:rPr>
        <w:t>del</w:t>
      </w:r>
      <w:r>
        <w:rPr>
          <w:i/>
          <w:spacing w:val="-6"/>
          <w:sz w:val="20"/>
        </w:rPr>
        <w:t> </w:t>
      </w:r>
      <w:r>
        <w:rPr>
          <w:i/>
          <w:sz w:val="20"/>
        </w:rPr>
        <w:t>mandato</w:t>
      </w:r>
      <w:r>
        <w:rPr>
          <w:i/>
          <w:spacing w:val="-6"/>
          <w:sz w:val="20"/>
        </w:rPr>
        <w:t> </w:t>
      </w:r>
      <w:r>
        <w:rPr>
          <w:i/>
          <w:sz w:val="20"/>
        </w:rPr>
        <w:t>institucional</w:t>
      </w:r>
      <w:r>
        <w:rPr>
          <w:i/>
          <w:spacing w:val="-1"/>
          <w:sz w:val="20"/>
        </w:rPr>
        <w:t> </w:t>
      </w:r>
      <w:r>
        <w:rPr>
          <w:i/>
          <w:sz w:val="20"/>
        </w:rPr>
        <w:t>del</w:t>
      </w:r>
      <w:r>
        <w:rPr>
          <w:i/>
          <w:spacing w:val="-6"/>
          <w:sz w:val="20"/>
        </w:rPr>
        <w:t> </w:t>
      </w:r>
      <w:r>
        <w:rPr>
          <w:i/>
          <w:sz w:val="20"/>
        </w:rPr>
        <w:t>artículo</w:t>
      </w:r>
      <w:r>
        <w:rPr>
          <w:i/>
          <w:spacing w:val="-6"/>
          <w:sz w:val="20"/>
        </w:rPr>
        <w:t> </w:t>
      </w:r>
      <w:r>
        <w:rPr>
          <w:i/>
          <w:sz w:val="20"/>
        </w:rPr>
        <w:t>2</w:t>
      </w:r>
      <w:r>
        <w:rPr>
          <w:i/>
          <w:spacing w:val="-6"/>
          <w:sz w:val="20"/>
        </w:rPr>
        <w:t> </w:t>
      </w:r>
      <w:r>
        <w:rPr>
          <w:i/>
          <w:sz w:val="20"/>
        </w:rPr>
        <w:t>y</w:t>
      </w:r>
      <w:r>
        <w:rPr>
          <w:i/>
          <w:spacing w:val="-4"/>
          <w:sz w:val="20"/>
        </w:rPr>
        <w:t> </w:t>
      </w:r>
      <w:r>
        <w:rPr>
          <w:i/>
          <w:sz w:val="20"/>
        </w:rPr>
        <w:t>21</w:t>
      </w:r>
      <w:r>
        <w:rPr>
          <w:i/>
          <w:spacing w:val="-6"/>
          <w:sz w:val="20"/>
        </w:rPr>
        <w:t> </w:t>
      </w:r>
      <w:r>
        <w:rPr>
          <w:i/>
          <w:sz w:val="20"/>
        </w:rPr>
        <w:t>inciso</w:t>
      </w:r>
      <w:r>
        <w:rPr>
          <w:i/>
          <w:spacing w:val="-6"/>
          <w:sz w:val="20"/>
        </w:rPr>
        <w:t> </w:t>
      </w:r>
      <w:r>
        <w:rPr>
          <w:i/>
          <w:sz w:val="20"/>
        </w:rPr>
        <w:t>a)</w:t>
      </w:r>
      <w:r>
        <w:rPr>
          <w:i/>
          <w:spacing w:val="-4"/>
          <w:sz w:val="20"/>
        </w:rPr>
        <w:t> </w:t>
      </w:r>
      <w:r>
        <w:rPr>
          <w:i/>
          <w:sz w:val="20"/>
        </w:rPr>
        <w:t>de</w:t>
      </w:r>
      <w:r>
        <w:rPr>
          <w:i/>
          <w:spacing w:val="-6"/>
          <w:sz w:val="20"/>
        </w:rPr>
        <w:t> </w:t>
      </w:r>
      <w:r>
        <w:rPr>
          <w:i/>
          <w:sz w:val="20"/>
        </w:rPr>
        <w:t>la</w:t>
      </w:r>
      <w:r>
        <w:rPr>
          <w:i/>
          <w:spacing w:val="-6"/>
          <w:sz w:val="20"/>
        </w:rPr>
        <w:t> </w:t>
      </w:r>
      <w:r>
        <w:rPr>
          <w:i/>
          <w:sz w:val="20"/>
        </w:rPr>
        <w:t>Ley</w:t>
      </w:r>
      <w:r>
        <w:rPr>
          <w:i/>
          <w:spacing w:val="-4"/>
          <w:sz w:val="20"/>
        </w:rPr>
        <w:t> </w:t>
      </w:r>
      <w:r>
        <w:rPr>
          <w:i/>
          <w:sz w:val="20"/>
        </w:rPr>
        <w:t>N°</w:t>
      </w:r>
      <w:r>
        <w:rPr>
          <w:i/>
          <w:spacing w:val="-3"/>
          <w:sz w:val="20"/>
        </w:rPr>
        <w:t> </w:t>
      </w:r>
      <w:r>
        <w:rPr>
          <w:i/>
          <w:sz w:val="20"/>
        </w:rPr>
        <w:t>4760,</w:t>
      </w:r>
      <w:r>
        <w:rPr>
          <w:i/>
          <w:spacing w:val="-3"/>
          <w:sz w:val="20"/>
        </w:rPr>
        <w:t> </w:t>
      </w:r>
      <w:r>
        <w:rPr>
          <w:i/>
          <w:sz w:val="20"/>
        </w:rPr>
        <w:t>de la Agenda 2030 y de los ODS” (IMAS, 2020, p.15).</w:t>
      </w:r>
    </w:p>
    <w:p>
      <w:pPr>
        <w:pStyle w:val="BodyText"/>
        <w:spacing w:before="46"/>
        <w:rPr>
          <w:i/>
          <w:sz w:val="20"/>
        </w:rPr>
      </w:pPr>
    </w:p>
    <w:p>
      <w:pPr>
        <w:pStyle w:val="BodyText"/>
        <w:spacing w:before="1"/>
        <w:ind w:left="979" w:right="1348"/>
        <w:jc w:val="both"/>
      </w:pPr>
      <w:r>
        <w:rPr/>
        <w:t>El</w:t>
      </w:r>
      <w:r>
        <w:rPr>
          <w:spacing w:val="-16"/>
        </w:rPr>
        <w:t> </w:t>
      </w:r>
      <w:r>
        <w:rPr/>
        <w:t>Modelo</w:t>
      </w:r>
      <w:r>
        <w:rPr>
          <w:spacing w:val="-15"/>
        </w:rPr>
        <w:t> </w:t>
      </w:r>
      <w:r>
        <w:rPr/>
        <w:t>de</w:t>
      </w:r>
      <w:r>
        <w:rPr>
          <w:spacing w:val="-15"/>
        </w:rPr>
        <w:t> </w:t>
      </w:r>
      <w:r>
        <w:rPr/>
        <w:t>Intervención</w:t>
      </w:r>
      <w:r>
        <w:rPr>
          <w:spacing w:val="-16"/>
        </w:rPr>
        <w:t> </w:t>
      </w:r>
      <w:r>
        <w:rPr/>
        <w:t>Institucional</w:t>
      </w:r>
      <w:r>
        <w:rPr>
          <w:spacing w:val="-15"/>
        </w:rPr>
        <w:t> </w:t>
      </w:r>
      <w:r>
        <w:rPr/>
        <w:t>se</w:t>
      </w:r>
      <w:r>
        <w:rPr>
          <w:spacing w:val="-15"/>
        </w:rPr>
        <w:t> </w:t>
      </w:r>
      <w:r>
        <w:rPr/>
        <w:t>erige</w:t>
      </w:r>
      <w:r>
        <w:rPr>
          <w:spacing w:val="-15"/>
        </w:rPr>
        <w:t> </w:t>
      </w:r>
      <w:r>
        <w:rPr/>
        <w:t>como</w:t>
      </w:r>
      <w:r>
        <w:rPr>
          <w:spacing w:val="-16"/>
        </w:rPr>
        <w:t> </w:t>
      </w:r>
      <w:r>
        <w:rPr/>
        <w:t>el</w:t>
      </w:r>
      <w:r>
        <w:rPr>
          <w:spacing w:val="-15"/>
        </w:rPr>
        <w:t> </w:t>
      </w:r>
      <w:r>
        <w:rPr/>
        <w:t>eje</w:t>
      </w:r>
      <w:r>
        <w:rPr>
          <w:spacing w:val="-14"/>
        </w:rPr>
        <w:t> </w:t>
      </w:r>
      <w:r>
        <w:rPr/>
        <w:t>central</w:t>
      </w:r>
      <w:r>
        <w:rPr>
          <w:spacing w:val="-15"/>
        </w:rPr>
        <w:t> </w:t>
      </w:r>
      <w:r>
        <w:rPr/>
        <w:t>para</w:t>
      </w:r>
      <w:r>
        <w:rPr>
          <w:spacing w:val="-14"/>
        </w:rPr>
        <w:t> </w:t>
      </w:r>
      <w:r>
        <w:rPr/>
        <w:t>la</w:t>
      </w:r>
      <w:r>
        <w:rPr>
          <w:spacing w:val="-14"/>
        </w:rPr>
        <w:t> </w:t>
      </w:r>
      <w:r>
        <w:rPr/>
        <w:t>acción</w:t>
      </w:r>
      <w:r>
        <w:rPr>
          <w:spacing w:val="-14"/>
        </w:rPr>
        <w:t> </w:t>
      </w:r>
      <w:r>
        <w:rPr/>
        <w:t>sustantiva del</w:t>
      </w:r>
      <w:r>
        <w:rPr>
          <w:spacing w:val="-16"/>
        </w:rPr>
        <w:t> </w:t>
      </w:r>
      <w:r>
        <w:rPr/>
        <w:t>IMAS,</w:t>
      </w:r>
      <w:r>
        <w:rPr>
          <w:spacing w:val="-15"/>
        </w:rPr>
        <w:t> </w:t>
      </w:r>
      <w:r>
        <w:rPr/>
        <w:t>vinculada</w:t>
      </w:r>
      <w:r>
        <w:rPr>
          <w:spacing w:val="-15"/>
        </w:rPr>
        <w:t> </w:t>
      </w:r>
      <w:r>
        <w:rPr/>
        <w:t>a</w:t>
      </w:r>
      <w:r>
        <w:rPr>
          <w:spacing w:val="-10"/>
        </w:rPr>
        <w:t> </w:t>
      </w:r>
      <w:r>
        <w:rPr/>
        <w:t>la</w:t>
      </w:r>
      <w:r>
        <w:rPr>
          <w:spacing w:val="-15"/>
        </w:rPr>
        <w:t> </w:t>
      </w:r>
      <w:r>
        <w:rPr/>
        <w:t>atención</w:t>
      </w:r>
      <w:r>
        <w:rPr>
          <w:spacing w:val="-10"/>
        </w:rPr>
        <w:t> </w:t>
      </w:r>
      <w:r>
        <w:rPr/>
        <w:t>integral</w:t>
      </w:r>
      <w:r>
        <w:rPr>
          <w:spacing w:val="-16"/>
        </w:rPr>
        <w:t> </w:t>
      </w:r>
      <w:r>
        <w:rPr/>
        <w:t>de</w:t>
      </w:r>
      <w:r>
        <w:rPr>
          <w:spacing w:val="-14"/>
        </w:rPr>
        <w:t> </w:t>
      </w:r>
      <w:r>
        <w:rPr/>
        <w:t>la</w:t>
      </w:r>
      <w:r>
        <w:rPr>
          <w:spacing w:val="-15"/>
        </w:rPr>
        <w:t> </w:t>
      </w:r>
      <w:r>
        <w:rPr/>
        <w:t>población</w:t>
      </w:r>
      <w:r>
        <w:rPr>
          <w:spacing w:val="-15"/>
        </w:rPr>
        <w:t> </w:t>
      </w:r>
      <w:r>
        <w:rPr/>
        <w:t>en</w:t>
      </w:r>
      <w:r>
        <w:rPr>
          <w:spacing w:val="-10"/>
        </w:rPr>
        <w:t> </w:t>
      </w:r>
      <w:r>
        <w:rPr/>
        <w:t>situación</w:t>
      </w:r>
      <w:r>
        <w:rPr>
          <w:spacing w:val="-15"/>
        </w:rPr>
        <w:t> </w:t>
      </w:r>
      <w:r>
        <w:rPr/>
        <w:t>de</w:t>
      </w:r>
      <w:r>
        <w:rPr>
          <w:spacing w:val="-10"/>
        </w:rPr>
        <w:t> </w:t>
      </w:r>
      <w:r>
        <w:rPr/>
        <w:t>pobreza,</w:t>
      </w:r>
      <w:r>
        <w:rPr>
          <w:spacing w:val="-11"/>
        </w:rPr>
        <w:t> </w:t>
      </w:r>
      <w:r>
        <w:rPr/>
        <w:t>así</w:t>
      </w:r>
      <w:r>
        <w:rPr>
          <w:spacing w:val="-11"/>
        </w:rPr>
        <w:t> </w:t>
      </w:r>
      <w:r>
        <w:rPr/>
        <w:t>como de aquellas organizaciones cuyo accionar se vincula a esta población.</w:t>
      </w:r>
    </w:p>
    <w:p>
      <w:pPr>
        <w:pStyle w:val="BodyText"/>
        <w:spacing w:before="1"/>
      </w:pPr>
    </w:p>
    <w:p>
      <w:pPr>
        <w:pStyle w:val="BodyText"/>
        <w:ind w:left="979" w:right="1338"/>
        <w:jc w:val="both"/>
      </w:pPr>
      <w:r>
        <w:rPr/>
        <w:t>Este</w:t>
      </w:r>
      <w:r>
        <w:rPr>
          <w:spacing w:val="-14"/>
        </w:rPr>
        <w:t> </w:t>
      </w:r>
      <w:r>
        <w:rPr/>
        <w:t>modelo</w:t>
      </w:r>
      <w:r>
        <w:rPr>
          <w:spacing w:val="-4"/>
        </w:rPr>
        <w:t> </w:t>
      </w:r>
      <w:r>
        <w:rPr/>
        <w:t>se</w:t>
      </w:r>
      <w:r>
        <w:rPr>
          <w:spacing w:val="-9"/>
        </w:rPr>
        <w:t> </w:t>
      </w:r>
      <w:r>
        <w:rPr/>
        <w:t>constituye</w:t>
      </w:r>
      <w:r>
        <w:rPr>
          <w:spacing w:val="-9"/>
        </w:rPr>
        <w:t> </w:t>
      </w:r>
      <w:r>
        <w:rPr/>
        <w:t>en</w:t>
      </w:r>
      <w:r>
        <w:rPr>
          <w:spacing w:val="-9"/>
        </w:rPr>
        <w:t> </w:t>
      </w:r>
      <w:r>
        <w:rPr/>
        <w:t>el</w:t>
      </w:r>
      <w:r>
        <w:rPr>
          <w:spacing w:val="-12"/>
        </w:rPr>
        <w:t> </w:t>
      </w:r>
      <w:r>
        <w:rPr/>
        <w:t>máximo</w:t>
      </w:r>
      <w:r>
        <w:rPr>
          <w:spacing w:val="-9"/>
        </w:rPr>
        <w:t> </w:t>
      </w:r>
      <w:r>
        <w:rPr/>
        <w:t>marco</w:t>
      </w:r>
      <w:r>
        <w:rPr>
          <w:spacing w:val="-9"/>
        </w:rPr>
        <w:t> </w:t>
      </w:r>
      <w:r>
        <w:rPr/>
        <w:t>de</w:t>
      </w:r>
      <w:r>
        <w:rPr>
          <w:spacing w:val="-9"/>
        </w:rPr>
        <w:t> </w:t>
      </w:r>
      <w:r>
        <w:rPr/>
        <w:t>orientación</w:t>
      </w:r>
      <w:r>
        <w:rPr>
          <w:spacing w:val="-14"/>
        </w:rPr>
        <w:t> </w:t>
      </w:r>
      <w:r>
        <w:rPr/>
        <w:t>metodológica,</w:t>
      </w:r>
      <w:r>
        <w:rPr>
          <w:spacing w:val="-10"/>
        </w:rPr>
        <w:t> </w:t>
      </w:r>
      <w:r>
        <w:rPr/>
        <w:t>que</w:t>
      </w:r>
      <w:r>
        <w:rPr>
          <w:spacing w:val="-9"/>
        </w:rPr>
        <w:t> </w:t>
      </w:r>
      <w:r>
        <w:rPr/>
        <w:t>establece cómo</w:t>
      </w:r>
      <w:r>
        <w:rPr>
          <w:spacing w:val="-9"/>
        </w:rPr>
        <w:t> </w:t>
      </w:r>
      <w:r>
        <w:rPr/>
        <w:t>a</w:t>
      </w:r>
      <w:r>
        <w:rPr>
          <w:spacing w:val="-9"/>
        </w:rPr>
        <w:t> </w:t>
      </w:r>
      <w:r>
        <w:rPr/>
        <w:t>partir</w:t>
      </w:r>
      <w:r>
        <w:rPr>
          <w:spacing w:val="-12"/>
        </w:rPr>
        <w:t> </w:t>
      </w:r>
      <w:r>
        <w:rPr/>
        <w:t>del</w:t>
      </w:r>
      <w:r>
        <w:rPr>
          <w:spacing w:val="-12"/>
        </w:rPr>
        <w:t> </w:t>
      </w:r>
      <w:r>
        <w:rPr/>
        <w:t>conocimiento</w:t>
      </w:r>
      <w:r>
        <w:rPr>
          <w:spacing w:val="-9"/>
        </w:rPr>
        <w:t> </w:t>
      </w:r>
      <w:r>
        <w:rPr/>
        <w:t>de</w:t>
      </w:r>
      <w:r>
        <w:rPr>
          <w:spacing w:val="-9"/>
        </w:rPr>
        <w:t> </w:t>
      </w:r>
      <w:r>
        <w:rPr/>
        <w:t>la</w:t>
      </w:r>
      <w:r>
        <w:rPr>
          <w:spacing w:val="-9"/>
        </w:rPr>
        <w:t> </w:t>
      </w:r>
      <w:r>
        <w:rPr/>
        <w:t>realidad</w:t>
      </w:r>
      <w:r>
        <w:rPr>
          <w:spacing w:val="-9"/>
        </w:rPr>
        <w:t> </w:t>
      </w:r>
      <w:r>
        <w:rPr/>
        <w:t>en</w:t>
      </w:r>
      <w:r>
        <w:rPr>
          <w:spacing w:val="-9"/>
        </w:rPr>
        <w:t> </w:t>
      </w:r>
      <w:r>
        <w:rPr/>
        <w:t>su</w:t>
      </w:r>
      <w:r>
        <w:rPr>
          <w:spacing w:val="-9"/>
        </w:rPr>
        <w:t> </w:t>
      </w:r>
      <w:r>
        <w:rPr/>
        <w:t>dinámica</w:t>
      </w:r>
      <w:r>
        <w:rPr>
          <w:spacing w:val="-9"/>
        </w:rPr>
        <w:t> </w:t>
      </w:r>
      <w:r>
        <w:rPr/>
        <w:t>cambiante</w:t>
      </w:r>
      <w:r>
        <w:rPr>
          <w:spacing w:val="-9"/>
        </w:rPr>
        <w:t> </w:t>
      </w:r>
      <w:r>
        <w:rPr/>
        <w:t>y</w:t>
      </w:r>
      <w:r>
        <w:rPr>
          <w:spacing w:val="-11"/>
        </w:rPr>
        <w:t> </w:t>
      </w:r>
      <w:r>
        <w:rPr/>
        <w:t>multidimensional, se logra establecer una estrategia de abordaje integral de la pobreza en procura de la movilidad social de la población.</w:t>
      </w:r>
    </w:p>
    <w:p>
      <w:pPr>
        <w:pStyle w:val="BodyText"/>
        <w:spacing w:before="250"/>
        <w:ind w:left="979" w:right="1338"/>
        <w:jc w:val="both"/>
      </w:pPr>
      <w:r>
        <w:rPr/>
        <w:t>La atención que implica la implementación del Modelo de Intervención Institucional se materializa en acciones que se desarrollan desde la DDS como responsable en coordinación con otras instancias, y se concretan en programas, servicios, productos (beneficios,</w:t>
      </w:r>
      <w:r>
        <w:rPr>
          <w:spacing w:val="-16"/>
        </w:rPr>
        <w:t> </w:t>
      </w:r>
      <w:r>
        <w:rPr/>
        <w:t>subsidios,</w:t>
      </w:r>
      <w:r>
        <w:rPr>
          <w:spacing w:val="-15"/>
        </w:rPr>
        <w:t> </w:t>
      </w:r>
      <w:r>
        <w:rPr/>
        <w:t>transferencias</w:t>
      </w:r>
      <w:r>
        <w:rPr>
          <w:spacing w:val="-15"/>
        </w:rPr>
        <w:t> </w:t>
      </w:r>
      <w:r>
        <w:rPr/>
        <w:t>monetarias)</w:t>
      </w:r>
      <w:r>
        <w:rPr>
          <w:spacing w:val="-16"/>
        </w:rPr>
        <w:t> </w:t>
      </w:r>
      <w:r>
        <w:rPr/>
        <w:t>y</w:t>
      </w:r>
      <w:r>
        <w:rPr>
          <w:spacing w:val="-15"/>
        </w:rPr>
        <w:t> </w:t>
      </w:r>
      <w:r>
        <w:rPr/>
        <w:t>actividades</w:t>
      </w:r>
      <w:r>
        <w:rPr>
          <w:spacing w:val="-15"/>
        </w:rPr>
        <w:t> </w:t>
      </w:r>
      <w:r>
        <w:rPr/>
        <w:t>que</w:t>
      </w:r>
      <w:r>
        <w:rPr>
          <w:spacing w:val="-15"/>
        </w:rPr>
        <w:t> </w:t>
      </w:r>
      <w:r>
        <w:rPr/>
        <w:t>se</w:t>
      </w:r>
      <w:r>
        <w:rPr>
          <w:spacing w:val="-9"/>
        </w:rPr>
        <w:t> </w:t>
      </w:r>
      <w:r>
        <w:rPr/>
        <w:t>generan</w:t>
      </w:r>
      <w:r>
        <w:rPr>
          <w:spacing w:val="-16"/>
        </w:rPr>
        <w:t> </w:t>
      </w:r>
      <w:r>
        <w:rPr/>
        <w:t>en</w:t>
      </w:r>
      <w:r>
        <w:rPr>
          <w:spacing w:val="-14"/>
        </w:rPr>
        <w:t> </w:t>
      </w:r>
      <w:r>
        <w:rPr/>
        <w:t>el</w:t>
      </w:r>
      <w:r>
        <w:rPr>
          <w:spacing w:val="-16"/>
        </w:rPr>
        <w:t> </w:t>
      </w:r>
      <w:r>
        <w:rPr/>
        <w:t>marco de la ejecución</w:t>
      </w:r>
      <w:r>
        <w:rPr>
          <w:spacing w:val="-1"/>
        </w:rPr>
        <w:t> </w:t>
      </w:r>
      <w:r>
        <w:rPr/>
        <w:t>de la oferta programática</w:t>
      </w:r>
      <w:r>
        <w:rPr>
          <w:spacing w:val="-1"/>
        </w:rPr>
        <w:t> </w:t>
      </w:r>
      <w:r>
        <w:rPr/>
        <w:t>del Programa de Protección</w:t>
      </w:r>
      <w:r>
        <w:rPr>
          <w:spacing w:val="-1"/>
        </w:rPr>
        <w:t> </w:t>
      </w:r>
      <w:r>
        <w:rPr/>
        <w:t>y Promoción Social, y que derivan resultados a partir de los objetivos planteados.</w:t>
      </w:r>
    </w:p>
    <w:p>
      <w:pPr>
        <w:pStyle w:val="BodyText"/>
        <w:spacing w:before="2"/>
      </w:pPr>
    </w:p>
    <w:p>
      <w:pPr>
        <w:pStyle w:val="BodyText"/>
        <w:ind w:left="979" w:right="1337"/>
        <w:jc w:val="both"/>
      </w:pPr>
      <w:r>
        <w:rPr/>
        <w:t>Lo</w:t>
      </w:r>
      <w:r>
        <w:rPr>
          <w:spacing w:val="-16"/>
        </w:rPr>
        <w:t> </w:t>
      </w:r>
      <w:r>
        <w:rPr/>
        <w:t>anterior</w:t>
      </w:r>
      <w:r>
        <w:rPr>
          <w:spacing w:val="-15"/>
        </w:rPr>
        <w:t> </w:t>
      </w:r>
      <w:r>
        <w:rPr/>
        <w:t>favorece</w:t>
      </w:r>
      <w:r>
        <w:rPr>
          <w:spacing w:val="-15"/>
        </w:rPr>
        <w:t> </w:t>
      </w:r>
      <w:r>
        <w:rPr/>
        <w:t>el</w:t>
      </w:r>
      <w:r>
        <w:rPr>
          <w:spacing w:val="-16"/>
        </w:rPr>
        <w:t> </w:t>
      </w:r>
      <w:r>
        <w:rPr/>
        <w:t>cumplimiento</w:t>
      </w:r>
      <w:r>
        <w:rPr>
          <w:spacing w:val="-14"/>
        </w:rPr>
        <w:t> </w:t>
      </w:r>
      <w:r>
        <w:rPr/>
        <w:t>de</w:t>
      </w:r>
      <w:r>
        <w:rPr>
          <w:spacing w:val="-9"/>
        </w:rPr>
        <w:t> </w:t>
      </w:r>
      <w:r>
        <w:rPr/>
        <w:t>las</w:t>
      </w:r>
      <w:r>
        <w:rPr>
          <w:spacing w:val="-16"/>
        </w:rPr>
        <w:t> </w:t>
      </w:r>
      <w:r>
        <w:rPr/>
        <w:t>metas</w:t>
      </w:r>
      <w:r>
        <w:rPr>
          <w:spacing w:val="-15"/>
        </w:rPr>
        <w:t> </w:t>
      </w:r>
      <w:r>
        <w:rPr/>
        <w:t>establecidas</w:t>
      </w:r>
      <w:r>
        <w:rPr>
          <w:spacing w:val="-15"/>
        </w:rPr>
        <w:t> </w:t>
      </w:r>
      <w:r>
        <w:rPr/>
        <w:t>en</w:t>
      </w:r>
      <w:r>
        <w:rPr>
          <w:spacing w:val="-14"/>
        </w:rPr>
        <w:t> </w:t>
      </w:r>
      <w:r>
        <w:rPr/>
        <w:t>torno</w:t>
      </w:r>
      <w:r>
        <w:rPr>
          <w:spacing w:val="-14"/>
        </w:rPr>
        <w:t> </w:t>
      </w:r>
      <w:r>
        <w:rPr/>
        <w:t>a</w:t>
      </w:r>
      <w:r>
        <w:rPr>
          <w:spacing w:val="-9"/>
        </w:rPr>
        <w:t> </w:t>
      </w:r>
      <w:r>
        <w:rPr/>
        <w:t>la</w:t>
      </w:r>
      <w:r>
        <w:rPr>
          <w:spacing w:val="-9"/>
        </w:rPr>
        <w:t> </w:t>
      </w:r>
      <w:r>
        <w:rPr/>
        <w:t>inversión</w:t>
      </w:r>
      <w:r>
        <w:rPr>
          <w:spacing w:val="-9"/>
        </w:rPr>
        <w:t> </w:t>
      </w:r>
      <w:r>
        <w:rPr/>
        <w:t>social de este programa, y que se evidencian en el Plan Estratégico Nacional, Plan Nacional de Desarrollo, Plan Estratégico Institucional, Plan Operativo Gerencial y Plan Operativo Institucional, así como en otros instrumentos de planificación vinculados.</w:t>
      </w:r>
    </w:p>
    <w:p>
      <w:pPr>
        <w:pStyle w:val="BodyText"/>
        <w:spacing w:after="0"/>
        <w:jc w:val="both"/>
        <w:sectPr>
          <w:pgSz w:w="12240" w:h="15840"/>
          <w:pgMar w:header="0" w:footer="1021" w:top="1340" w:bottom="1220" w:left="720" w:right="360"/>
        </w:sectPr>
      </w:pPr>
    </w:p>
    <w:p>
      <w:pPr>
        <w:pStyle w:val="Heading1"/>
        <w:numPr>
          <w:ilvl w:val="2"/>
          <w:numId w:val="5"/>
        </w:numPr>
        <w:tabs>
          <w:tab w:pos="2444" w:val="left" w:leader="none"/>
        </w:tabs>
        <w:spacing w:line="240" w:lineRule="auto" w:before="77" w:after="0"/>
        <w:ind w:left="2444" w:right="0" w:hanging="600"/>
        <w:jc w:val="left"/>
      </w:pPr>
      <w:r>
        <w:rPr/>
        <w:t>Estructura</w:t>
      </w:r>
      <w:r>
        <w:rPr>
          <w:spacing w:val="-6"/>
        </w:rPr>
        <w:t> </w:t>
      </w:r>
      <w:r>
        <w:rPr/>
        <w:t>del</w:t>
      </w:r>
      <w:r>
        <w:rPr>
          <w:spacing w:val="-5"/>
        </w:rPr>
        <w:t> </w:t>
      </w:r>
      <w:r>
        <w:rPr/>
        <w:t>Programa</w:t>
      </w:r>
      <w:r>
        <w:rPr>
          <w:spacing w:val="-6"/>
        </w:rPr>
        <w:t> </w:t>
      </w:r>
      <w:r>
        <w:rPr/>
        <w:t>de</w:t>
      </w:r>
      <w:r>
        <w:rPr>
          <w:spacing w:val="-5"/>
        </w:rPr>
        <w:t> </w:t>
      </w:r>
      <w:r>
        <w:rPr/>
        <w:t>Protección</w:t>
      </w:r>
      <w:r>
        <w:rPr>
          <w:spacing w:val="-4"/>
        </w:rPr>
        <w:t> </w:t>
      </w:r>
      <w:r>
        <w:rPr/>
        <w:t>y</w:t>
      </w:r>
      <w:r>
        <w:rPr>
          <w:spacing w:val="-9"/>
        </w:rPr>
        <w:t> </w:t>
      </w:r>
      <w:r>
        <w:rPr/>
        <w:t>Promoción</w:t>
      </w:r>
      <w:r>
        <w:rPr>
          <w:spacing w:val="-3"/>
        </w:rPr>
        <w:t> </w:t>
      </w:r>
      <w:r>
        <w:rPr>
          <w:spacing w:val="-2"/>
        </w:rPr>
        <w:t>Social</w:t>
      </w:r>
    </w:p>
    <w:p>
      <w:pPr>
        <w:pStyle w:val="BodyText"/>
        <w:spacing w:before="275"/>
        <w:ind w:left="979" w:right="1336"/>
        <w:jc w:val="both"/>
      </w:pPr>
      <w:r>
        <w:rPr/>
        <w:t>El Programa de Protección y Promoción Social se desarrolla desde dos dimensiones de intervención vinculadas de forma directa a los objetivos específicos del programa; estas dimensiones se encuentran integradas</w:t>
      </w:r>
      <w:r>
        <w:rPr>
          <w:spacing w:val="-2"/>
        </w:rPr>
        <w:t> </w:t>
      </w:r>
      <w:r>
        <w:rPr/>
        <w:t>por la</w:t>
      </w:r>
      <w:r>
        <w:rPr>
          <w:spacing w:val="-1"/>
        </w:rPr>
        <w:t> </w:t>
      </w:r>
      <w:r>
        <w:rPr/>
        <w:t>oferta</w:t>
      </w:r>
      <w:r>
        <w:rPr>
          <w:spacing w:val="-1"/>
        </w:rPr>
        <w:t> </w:t>
      </w:r>
      <w:r>
        <w:rPr/>
        <w:t>programática institucional, conforme</w:t>
      </w:r>
      <w:r>
        <w:rPr>
          <w:spacing w:val="-1"/>
        </w:rPr>
        <w:t> </w:t>
      </w:r>
      <w:r>
        <w:rPr/>
        <w:t>a la</w:t>
      </w:r>
      <w:r>
        <w:rPr>
          <w:spacing w:val="-9"/>
        </w:rPr>
        <w:t> </w:t>
      </w:r>
      <w:r>
        <w:rPr/>
        <w:t>finalidad</w:t>
      </w:r>
      <w:r>
        <w:rPr>
          <w:spacing w:val="-9"/>
        </w:rPr>
        <w:t> </w:t>
      </w:r>
      <w:r>
        <w:rPr/>
        <w:t>de</w:t>
      </w:r>
      <w:r>
        <w:rPr>
          <w:spacing w:val="-9"/>
        </w:rPr>
        <w:t> </w:t>
      </w:r>
      <w:r>
        <w:rPr/>
        <w:t>cada</w:t>
      </w:r>
      <w:r>
        <w:rPr>
          <w:spacing w:val="-9"/>
        </w:rPr>
        <w:t> </w:t>
      </w:r>
      <w:r>
        <w:rPr/>
        <w:t>uno</w:t>
      </w:r>
      <w:r>
        <w:rPr>
          <w:spacing w:val="-14"/>
        </w:rPr>
        <w:t> </w:t>
      </w:r>
      <w:r>
        <w:rPr/>
        <w:t>de</w:t>
      </w:r>
      <w:r>
        <w:rPr>
          <w:spacing w:val="-9"/>
        </w:rPr>
        <w:t> </w:t>
      </w:r>
      <w:r>
        <w:rPr/>
        <w:t>los</w:t>
      </w:r>
      <w:r>
        <w:rPr>
          <w:spacing w:val="-11"/>
        </w:rPr>
        <w:t> </w:t>
      </w:r>
      <w:r>
        <w:rPr/>
        <w:t>beneficios,</w:t>
      </w:r>
      <w:r>
        <w:rPr>
          <w:spacing w:val="-10"/>
        </w:rPr>
        <w:t> </w:t>
      </w:r>
      <w:r>
        <w:rPr/>
        <w:t>subsidios</w:t>
      </w:r>
      <w:r>
        <w:rPr>
          <w:spacing w:val="-11"/>
        </w:rPr>
        <w:t> </w:t>
      </w:r>
      <w:r>
        <w:rPr/>
        <w:t>y</w:t>
      </w:r>
      <w:r>
        <w:rPr>
          <w:spacing w:val="-11"/>
        </w:rPr>
        <w:t> </w:t>
      </w:r>
      <w:r>
        <w:rPr/>
        <w:t>transferencias</w:t>
      </w:r>
      <w:r>
        <w:rPr>
          <w:spacing w:val="-16"/>
        </w:rPr>
        <w:t> </w:t>
      </w:r>
      <w:r>
        <w:rPr/>
        <w:t>monetarias</w:t>
      </w:r>
      <w:r>
        <w:rPr>
          <w:spacing w:val="-15"/>
        </w:rPr>
        <w:t> </w:t>
      </w:r>
      <w:r>
        <w:rPr/>
        <w:t>que</w:t>
      </w:r>
      <w:r>
        <w:rPr>
          <w:spacing w:val="-9"/>
        </w:rPr>
        <w:t> </w:t>
      </w:r>
      <w:r>
        <w:rPr/>
        <w:t>otorga la institución, lo cual se denota en la figura 5.</w:t>
      </w:r>
    </w:p>
    <w:p>
      <w:pPr>
        <w:pStyle w:val="Heading2"/>
        <w:spacing w:before="253"/>
        <w:ind w:left="3846" w:right="1344" w:hanging="2555"/>
      </w:pPr>
      <w:bookmarkStart w:name="_bookmark43" w:id="44"/>
      <w:bookmarkEnd w:id="44"/>
      <w:r>
        <w:rPr>
          <w:b w:val="0"/>
        </w:rPr>
      </w:r>
      <w:r>
        <w:rPr/>
        <w:t>Figura</w:t>
      </w:r>
      <w:r>
        <w:rPr>
          <w:spacing w:val="-6"/>
        </w:rPr>
        <w:t> </w:t>
      </w:r>
      <w:r>
        <w:rPr/>
        <w:t>5:</w:t>
      </w:r>
      <w:r>
        <w:rPr>
          <w:spacing w:val="-5"/>
        </w:rPr>
        <w:t> </w:t>
      </w:r>
      <w:r>
        <w:rPr/>
        <w:t>Oferta</w:t>
      </w:r>
      <w:r>
        <w:rPr>
          <w:spacing w:val="-3"/>
        </w:rPr>
        <w:t> </w:t>
      </w:r>
      <w:r>
        <w:rPr/>
        <w:t>programática</w:t>
      </w:r>
      <w:r>
        <w:rPr>
          <w:spacing w:val="-3"/>
        </w:rPr>
        <w:t> </w:t>
      </w:r>
      <w:r>
        <w:rPr/>
        <w:t>institucional</w:t>
      </w:r>
      <w:r>
        <w:rPr>
          <w:spacing w:val="-7"/>
        </w:rPr>
        <w:t> </w:t>
      </w:r>
      <w:r>
        <w:rPr/>
        <w:t>según</w:t>
      </w:r>
      <w:r>
        <w:rPr>
          <w:spacing w:val="-5"/>
        </w:rPr>
        <w:t> </w:t>
      </w:r>
      <w:r>
        <w:rPr/>
        <w:t>dimensiones</w:t>
      </w:r>
      <w:r>
        <w:rPr>
          <w:spacing w:val="-3"/>
        </w:rPr>
        <w:t> </w:t>
      </w:r>
      <w:r>
        <w:rPr/>
        <w:t>del</w:t>
      </w:r>
      <w:r>
        <w:rPr>
          <w:spacing w:val="-7"/>
        </w:rPr>
        <w:t> </w:t>
      </w:r>
      <w:r>
        <w:rPr/>
        <w:t>Programa</w:t>
      </w:r>
      <w:r>
        <w:rPr>
          <w:spacing w:val="-3"/>
        </w:rPr>
        <w:t> </w:t>
      </w:r>
      <w:r>
        <w:rPr/>
        <w:t>de Protección y Promoción Social</w:t>
      </w:r>
    </w:p>
    <w:p>
      <w:pPr>
        <w:pStyle w:val="BodyText"/>
        <w:spacing w:before="81"/>
        <w:rPr>
          <w:b/>
          <w:sz w:val="20"/>
        </w:rPr>
      </w:pPr>
    </w:p>
    <w:p>
      <w:pPr>
        <w:spacing w:line="240" w:lineRule="auto"/>
        <w:ind w:left="981" w:right="0" w:firstLine="0"/>
        <w:rPr>
          <w:sz w:val="20"/>
        </w:rPr>
      </w:pPr>
      <w:r>
        <w:rPr>
          <w:sz w:val="20"/>
        </w:rPr>
        <mc:AlternateContent>
          <mc:Choice Requires="wps">
            <w:drawing>
              <wp:inline distT="0" distB="0" distL="0" distR="0">
                <wp:extent cx="5616575" cy="273050"/>
                <wp:effectExtent l="0" t="0" r="0" b="3175"/>
                <wp:docPr id="80" name="Group 80"/>
                <wp:cNvGraphicFramePr>
                  <a:graphicFrameLocks/>
                </wp:cNvGraphicFramePr>
                <a:graphic>
                  <a:graphicData uri="http://schemas.microsoft.com/office/word/2010/wordprocessingGroup">
                    <wpg:wgp>
                      <wpg:cNvPr id="80" name="Group 80"/>
                      <wpg:cNvGrpSpPr/>
                      <wpg:grpSpPr>
                        <a:xfrm>
                          <a:off x="0" y="0"/>
                          <a:ext cx="5616575" cy="273050"/>
                          <a:chExt cx="5616575" cy="273050"/>
                        </a:xfrm>
                      </wpg:grpSpPr>
                      <wps:wsp>
                        <wps:cNvPr id="81" name="Graphic 81"/>
                        <wps:cNvSpPr/>
                        <wps:spPr>
                          <a:xfrm>
                            <a:off x="0" y="0"/>
                            <a:ext cx="5616575" cy="273050"/>
                          </a:xfrm>
                          <a:custGeom>
                            <a:avLst/>
                            <a:gdLst/>
                            <a:ahLst/>
                            <a:cxnLst/>
                            <a:rect l="l" t="t" r="r" b="b"/>
                            <a:pathLst>
                              <a:path w="5616575" h="273050">
                                <a:moveTo>
                                  <a:pt x="5571109" y="0"/>
                                </a:moveTo>
                                <a:lnTo>
                                  <a:pt x="45504" y="0"/>
                                </a:lnTo>
                                <a:lnTo>
                                  <a:pt x="27790" y="3567"/>
                                </a:lnTo>
                                <a:lnTo>
                                  <a:pt x="13327" y="13303"/>
                                </a:lnTo>
                                <a:lnTo>
                                  <a:pt x="3575" y="27753"/>
                                </a:lnTo>
                                <a:lnTo>
                                  <a:pt x="0" y="45466"/>
                                </a:lnTo>
                                <a:lnTo>
                                  <a:pt x="0" y="227456"/>
                                </a:lnTo>
                                <a:lnTo>
                                  <a:pt x="3575" y="245189"/>
                                </a:lnTo>
                                <a:lnTo>
                                  <a:pt x="13327" y="259683"/>
                                </a:lnTo>
                                <a:lnTo>
                                  <a:pt x="27790" y="269462"/>
                                </a:lnTo>
                                <a:lnTo>
                                  <a:pt x="45504" y="273050"/>
                                </a:lnTo>
                                <a:lnTo>
                                  <a:pt x="5571109" y="273050"/>
                                </a:lnTo>
                                <a:lnTo>
                                  <a:pt x="5588821" y="269462"/>
                                </a:lnTo>
                                <a:lnTo>
                                  <a:pt x="5603271" y="259683"/>
                                </a:lnTo>
                                <a:lnTo>
                                  <a:pt x="5613007" y="245189"/>
                                </a:lnTo>
                                <a:lnTo>
                                  <a:pt x="5616574" y="227456"/>
                                </a:lnTo>
                                <a:lnTo>
                                  <a:pt x="5616574" y="45466"/>
                                </a:lnTo>
                                <a:lnTo>
                                  <a:pt x="5613007" y="27753"/>
                                </a:lnTo>
                                <a:lnTo>
                                  <a:pt x="5603271" y="13303"/>
                                </a:lnTo>
                                <a:lnTo>
                                  <a:pt x="5588821" y="3567"/>
                                </a:lnTo>
                                <a:lnTo>
                                  <a:pt x="5571109" y="0"/>
                                </a:lnTo>
                                <a:close/>
                              </a:path>
                            </a:pathLst>
                          </a:custGeom>
                          <a:solidFill>
                            <a:srgbClr val="375F92"/>
                          </a:solidFill>
                        </wps:spPr>
                        <wps:bodyPr wrap="square" lIns="0" tIns="0" rIns="0" bIns="0" rtlCol="0">
                          <a:prstTxWarp prst="textNoShape">
                            <a:avLst/>
                          </a:prstTxWarp>
                          <a:noAutofit/>
                        </wps:bodyPr>
                      </wps:wsp>
                      <wps:wsp>
                        <wps:cNvPr id="82" name="Textbox 82"/>
                        <wps:cNvSpPr txBox="1"/>
                        <wps:spPr>
                          <a:xfrm>
                            <a:off x="0" y="0"/>
                            <a:ext cx="5616575" cy="273050"/>
                          </a:xfrm>
                          <a:prstGeom prst="rect">
                            <a:avLst/>
                          </a:prstGeom>
                        </wps:spPr>
                        <wps:txbx>
                          <w:txbxContent>
                            <w:p>
                              <w:pPr>
                                <w:spacing w:before="100"/>
                                <w:ind w:left="11" w:right="3" w:firstLine="0"/>
                                <w:jc w:val="center"/>
                                <w:rPr>
                                  <w:b/>
                                  <w:sz w:val="24"/>
                                </w:rPr>
                              </w:pPr>
                              <w:r>
                                <w:rPr>
                                  <w:b/>
                                  <w:color w:val="FFFFFF"/>
                                  <w:sz w:val="24"/>
                                </w:rPr>
                                <w:t>Protección</w:t>
                              </w:r>
                              <w:r>
                                <w:rPr>
                                  <w:b/>
                                  <w:color w:val="FFFFFF"/>
                                  <w:spacing w:val="-4"/>
                                  <w:sz w:val="24"/>
                                </w:rPr>
                                <w:t> </w:t>
                              </w:r>
                              <w:r>
                                <w:rPr>
                                  <w:b/>
                                  <w:color w:val="FFFFFF"/>
                                  <w:spacing w:val="-2"/>
                                  <w:sz w:val="24"/>
                                </w:rPr>
                                <w:t>Social</w:t>
                              </w:r>
                            </w:p>
                          </w:txbxContent>
                        </wps:txbx>
                        <wps:bodyPr wrap="square" lIns="0" tIns="0" rIns="0" bIns="0" rtlCol="0">
                          <a:noAutofit/>
                        </wps:bodyPr>
                      </wps:wsp>
                    </wpg:wgp>
                  </a:graphicData>
                </a:graphic>
              </wp:inline>
            </w:drawing>
          </mc:Choice>
          <mc:Fallback>
            <w:pict>
              <v:group style="width:442.25pt;height:21.5pt;mso-position-horizontal-relative:char;mso-position-vertical-relative:line" id="docshapegroup58" coordorigin="0,0" coordsize="8845,430">
                <v:shape style="position:absolute;left:0;top:0;width:8845;height:430" id="docshape59" coordorigin="0,0" coordsize="8845,430" path="m8773,0l72,0,44,6,21,21,6,44,0,72,0,358,6,386,21,409,44,424,72,430,8773,430,8801,424,8824,409,8839,386,8845,358,8845,72,8839,44,8824,21,8801,6,8773,0xe" filled="true" fillcolor="#375f92" stroked="false">
                  <v:path arrowok="t"/>
                  <v:fill type="solid"/>
                </v:shape>
                <v:shape style="position:absolute;left:0;top:0;width:8845;height:430" type="#_x0000_t202" id="docshape60" filled="false" stroked="false">
                  <v:textbox inset="0,0,0,0">
                    <w:txbxContent>
                      <w:p>
                        <w:pPr>
                          <w:spacing w:before="100"/>
                          <w:ind w:left="11" w:right="3" w:firstLine="0"/>
                          <w:jc w:val="center"/>
                          <w:rPr>
                            <w:b/>
                            <w:sz w:val="24"/>
                          </w:rPr>
                        </w:pPr>
                        <w:r>
                          <w:rPr>
                            <w:b/>
                            <w:color w:val="FFFFFF"/>
                            <w:sz w:val="24"/>
                          </w:rPr>
                          <w:t>Protección</w:t>
                        </w:r>
                        <w:r>
                          <w:rPr>
                            <w:b/>
                            <w:color w:val="FFFFFF"/>
                            <w:spacing w:val="-4"/>
                            <w:sz w:val="24"/>
                          </w:rPr>
                          <w:t> </w:t>
                        </w:r>
                        <w:r>
                          <w:rPr>
                            <w:b/>
                            <w:color w:val="FFFFFF"/>
                            <w:spacing w:val="-2"/>
                            <w:sz w:val="24"/>
                          </w:rPr>
                          <w:t>Social</w:t>
                        </w:r>
                      </w:p>
                    </w:txbxContent>
                  </v:textbox>
                  <w10:wrap type="none"/>
                </v:shape>
              </v:group>
            </w:pict>
          </mc:Fallback>
        </mc:AlternateContent>
      </w:r>
      <w:r>
        <w:rPr>
          <w:sz w:val="20"/>
        </w:rPr>
      </w:r>
    </w:p>
    <w:p>
      <w:pPr>
        <w:spacing w:after="0" w:line="240" w:lineRule="auto"/>
        <w:rPr>
          <w:sz w:val="20"/>
        </w:rPr>
        <w:sectPr>
          <w:pgSz w:w="12240" w:h="15840"/>
          <w:pgMar w:header="0" w:footer="1021" w:top="1340" w:bottom="1220" w:left="720" w:right="360"/>
        </w:sectPr>
      </w:pPr>
    </w:p>
    <w:p>
      <w:pPr>
        <w:pStyle w:val="ListParagraph"/>
        <w:numPr>
          <w:ilvl w:val="0"/>
          <w:numId w:val="20"/>
        </w:numPr>
        <w:tabs>
          <w:tab w:pos="1545" w:val="left" w:leader="none"/>
        </w:tabs>
        <w:spacing w:line="245" w:lineRule="exact" w:before="34" w:after="0"/>
        <w:ind w:left="1545" w:right="0" w:hanging="282"/>
        <w:jc w:val="left"/>
        <w:rPr>
          <w:rFonts w:ascii="Symbol" w:hAnsi="Symbol"/>
          <w:sz w:val="20"/>
        </w:rPr>
      </w:pPr>
      <w:r>
        <w:rPr>
          <w:sz w:val="20"/>
        </w:rPr>
        <w:t>Beneficio</w:t>
      </w:r>
      <w:r>
        <w:rPr>
          <w:spacing w:val="-9"/>
          <w:sz w:val="20"/>
        </w:rPr>
        <w:t> </w:t>
      </w:r>
      <w:r>
        <w:rPr>
          <w:sz w:val="20"/>
        </w:rPr>
        <w:t>Titulación</w:t>
      </w:r>
      <w:r>
        <w:rPr>
          <w:spacing w:val="-9"/>
          <w:sz w:val="20"/>
        </w:rPr>
        <w:t> </w:t>
      </w:r>
      <w:r>
        <w:rPr>
          <w:sz w:val="20"/>
        </w:rPr>
        <w:t>(sin</w:t>
      </w:r>
      <w:r>
        <w:rPr>
          <w:spacing w:val="-8"/>
          <w:sz w:val="20"/>
        </w:rPr>
        <w:t> </w:t>
      </w:r>
      <w:r>
        <w:rPr>
          <w:spacing w:val="-2"/>
          <w:sz w:val="20"/>
        </w:rPr>
        <w:t>erogación).</w:t>
      </w:r>
    </w:p>
    <w:p>
      <w:pPr>
        <w:pStyle w:val="ListParagraph"/>
        <w:numPr>
          <w:ilvl w:val="0"/>
          <w:numId w:val="20"/>
        </w:numPr>
        <w:tabs>
          <w:tab w:pos="1545" w:val="left" w:leader="none"/>
        </w:tabs>
        <w:spacing w:line="245" w:lineRule="exact" w:before="0" w:after="0"/>
        <w:ind w:left="1545" w:right="0" w:hanging="282"/>
        <w:jc w:val="left"/>
        <w:rPr>
          <w:rFonts w:ascii="Symbol" w:hAnsi="Symbol"/>
          <w:sz w:val="20"/>
        </w:rPr>
      </w:pPr>
      <w:r>
        <w:rPr>
          <w:sz w:val="20"/>
        </w:rPr>
        <w:t>Levantamiento</w:t>
      </w:r>
      <w:r>
        <w:rPr>
          <w:spacing w:val="-9"/>
          <w:sz w:val="20"/>
        </w:rPr>
        <w:t> </w:t>
      </w:r>
      <w:r>
        <w:rPr>
          <w:sz w:val="20"/>
        </w:rPr>
        <w:t>de</w:t>
      </w:r>
      <w:r>
        <w:rPr>
          <w:spacing w:val="-9"/>
          <w:sz w:val="20"/>
        </w:rPr>
        <w:t> </w:t>
      </w:r>
      <w:r>
        <w:rPr>
          <w:spacing w:val="-2"/>
          <w:sz w:val="20"/>
        </w:rPr>
        <w:t>limitaciones.</w:t>
      </w:r>
    </w:p>
    <w:p>
      <w:pPr>
        <w:pStyle w:val="ListParagraph"/>
        <w:numPr>
          <w:ilvl w:val="0"/>
          <w:numId w:val="20"/>
        </w:numPr>
        <w:tabs>
          <w:tab w:pos="1545" w:val="left" w:leader="none"/>
        </w:tabs>
        <w:spacing w:line="242" w:lineRule="exact" w:before="0" w:after="0"/>
        <w:ind w:left="1545" w:right="0" w:hanging="282"/>
        <w:jc w:val="left"/>
        <w:rPr>
          <w:rFonts w:ascii="Symbol" w:hAnsi="Symbol"/>
          <w:sz w:val="20"/>
        </w:rPr>
      </w:pPr>
      <w:r>
        <w:rPr>
          <w:sz w:val="20"/>
        </w:rPr>
        <w:t>Subsidio</w:t>
      </w:r>
      <w:r>
        <w:rPr>
          <w:spacing w:val="-11"/>
          <w:sz w:val="20"/>
        </w:rPr>
        <w:t> </w:t>
      </w:r>
      <w:r>
        <w:rPr>
          <w:sz w:val="20"/>
        </w:rPr>
        <w:t>Asignación</w:t>
      </w:r>
      <w:r>
        <w:rPr>
          <w:spacing w:val="-10"/>
          <w:sz w:val="20"/>
        </w:rPr>
        <w:t> </w:t>
      </w:r>
      <w:r>
        <w:rPr>
          <w:sz w:val="20"/>
        </w:rPr>
        <w:t>familiar</w:t>
      </w:r>
      <w:r>
        <w:rPr>
          <w:spacing w:val="-10"/>
          <w:sz w:val="20"/>
        </w:rPr>
        <w:t> </w:t>
      </w:r>
      <w:r>
        <w:rPr>
          <w:sz w:val="20"/>
        </w:rPr>
        <w:t>(Inciso</w:t>
      </w:r>
      <w:r>
        <w:rPr>
          <w:spacing w:val="-10"/>
          <w:sz w:val="20"/>
        </w:rPr>
        <w:t> </w:t>
      </w:r>
      <w:r>
        <w:rPr>
          <w:spacing w:val="-5"/>
          <w:sz w:val="20"/>
        </w:rPr>
        <w:t>H).</w:t>
      </w:r>
    </w:p>
    <w:p>
      <w:pPr>
        <w:pStyle w:val="ListParagraph"/>
        <w:numPr>
          <w:ilvl w:val="0"/>
          <w:numId w:val="20"/>
        </w:numPr>
        <w:tabs>
          <w:tab w:pos="1545" w:val="left" w:leader="none"/>
        </w:tabs>
        <w:spacing w:line="243" w:lineRule="exact" w:before="0" w:after="0"/>
        <w:ind w:left="1545" w:right="0" w:hanging="282"/>
        <w:jc w:val="left"/>
        <w:rPr>
          <w:rFonts w:ascii="Symbol" w:hAnsi="Symbol"/>
          <w:sz w:val="20"/>
        </w:rPr>
      </w:pPr>
      <w:r>
        <w:rPr>
          <w:sz w:val="20"/>
        </w:rPr>
        <w:t>Subsidio</w:t>
      </w:r>
      <w:r>
        <w:rPr>
          <w:spacing w:val="-7"/>
          <w:sz w:val="20"/>
        </w:rPr>
        <w:t> </w:t>
      </w:r>
      <w:r>
        <w:rPr>
          <w:sz w:val="20"/>
        </w:rPr>
        <w:t>Atención</w:t>
      </w:r>
      <w:r>
        <w:rPr>
          <w:spacing w:val="-7"/>
          <w:sz w:val="20"/>
        </w:rPr>
        <w:t> </w:t>
      </w:r>
      <w:r>
        <w:rPr>
          <w:sz w:val="20"/>
        </w:rPr>
        <w:t>a</w:t>
      </w:r>
      <w:r>
        <w:rPr>
          <w:spacing w:val="-6"/>
          <w:sz w:val="20"/>
        </w:rPr>
        <w:t> </w:t>
      </w:r>
      <w:r>
        <w:rPr>
          <w:spacing w:val="-2"/>
          <w:sz w:val="20"/>
        </w:rPr>
        <w:t>familias.</w:t>
      </w:r>
    </w:p>
    <w:p>
      <w:pPr>
        <w:pStyle w:val="ListParagraph"/>
        <w:numPr>
          <w:ilvl w:val="0"/>
          <w:numId w:val="20"/>
        </w:numPr>
        <w:tabs>
          <w:tab w:pos="1544" w:val="left" w:leader="none"/>
          <w:tab w:pos="1546" w:val="left" w:leader="none"/>
          <w:tab w:pos="2520" w:val="left" w:leader="none"/>
          <w:tab w:pos="3509" w:val="left" w:leader="none"/>
          <w:tab w:pos="3941" w:val="left" w:leader="none"/>
          <w:tab w:pos="5150" w:val="left" w:leader="none"/>
        </w:tabs>
        <w:spacing w:line="240" w:lineRule="auto" w:before="0" w:after="0"/>
        <w:ind w:left="1546" w:right="0" w:hanging="284"/>
        <w:jc w:val="left"/>
        <w:rPr>
          <w:rFonts w:ascii="Symbol" w:hAnsi="Symbol"/>
          <w:sz w:val="20"/>
        </w:rPr>
      </w:pPr>
      <w:r>
        <w:rPr>
          <w:spacing w:val="-2"/>
          <w:sz w:val="20"/>
        </w:rPr>
        <w:t>Subsidio</w:t>
      </w:r>
      <w:r>
        <w:rPr>
          <w:sz w:val="20"/>
        </w:rPr>
        <w:tab/>
      </w:r>
      <w:r>
        <w:rPr>
          <w:spacing w:val="-2"/>
          <w:sz w:val="20"/>
        </w:rPr>
        <w:t>Atención</w:t>
      </w:r>
      <w:r>
        <w:rPr>
          <w:sz w:val="20"/>
        </w:rPr>
        <w:tab/>
      </w:r>
      <w:r>
        <w:rPr>
          <w:spacing w:val="-6"/>
          <w:sz w:val="20"/>
        </w:rPr>
        <w:t>de</w:t>
      </w:r>
      <w:r>
        <w:rPr>
          <w:sz w:val="20"/>
        </w:rPr>
        <w:tab/>
      </w:r>
      <w:r>
        <w:rPr>
          <w:spacing w:val="-2"/>
          <w:sz w:val="20"/>
        </w:rPr>
        <w:t>situaciones</w:t>
      </w:r>
      <w:r>
        <w:rPr>
          <w:sz w:val="20"/>
        </w:rPr>
        <w:tab/>
      </w:r>
      <w:r>
        <w:rPr>
          <w:spacing w:val="-6"/>
          <w:sz w:val="20"/>
        </w:rPr>
        <w:t>de </w:t>
      </w:r>
      <w:r>
        <w:rPr>
          <w:spacing w:val="-2"/>
          <w:sz w:val="20"/>
        </w:rPr>
        <w:t>violencia.</w:t>
      </w:r>
    </w:p>
    <w:p>
      <w:pPr>
        <w:pStyle w:val="ListParagraph"/>
        <w:numPr>
          <w:ilvl w:val="0"/>
          <w:numId w:val="20"/>
        </w:numPr>
        <w:tabs>
          <w:tab w:pos="1544" w:val="left" w:leader="none"/>
          <w:tab w:pos="1546" w:val="left" w:leader="none"/>
        </w:tabs>
        <w:spacing w:line="240" w:lineRule="auto" w:before="1" w:after="0"/>
        <w:ind w:left="1546" w:right="18" w:hanging="284"/>
        <w:jc w:val="left"/>
        <w:rPr>
          <w:rFonts w:ascii="Symbol" w:hAnsi="Symbol"/>
          <w:sz w:val="20"/>
        </w:rPr>
      </w:pPr>
      <w:r>
        <w:rPr>
          <w:sz w:val="20"/>
        </w:rPr>
        <w:t>Subsidio Compra de lote para vivienda de interés social y Vivienda de interés social.</w:t>
      </w:r>
    </w:p>
    <w:p>
      <w:pPr>
        <w:pStyle w:val="ListParagraph"/>
        <w:numPr>
          <w:ilvl w:val="0"/>
          <w:numId w:val="20"/>
        </w:numPr>
        <w:tabs>
          <w:tab w:pos="1544" w:val="left" w:leader="none"/>
          <w:tab w:pos="1546" w:val="left" w:leader="none"/>
          <w:tab w:pos="2597" w:val="left" w:leader="none"/>
          <w:tab w:pos="3408" w:val="left" w:leader="none"/>
          <w:tab w:pos="3917" w:val="left" w:leader="none"/>
          <w:tab w:pos="4959" w:val="left" w:leader="none"/>
        </w:tabs>
        <w:spacing w:line="240" w:lineRule="auto" w:before="0" w:after="0"/>
        <w:ind w:left="1546" w:right="12" w:hanging="284"/>
        <w:jc w:val="left"/>
        <w:rPr>
          <w:rFonts w:ascii="Symbol" w:hAnsi="Symbol"/>
          <w:sz w:val="20"/>
        </w:rPr>
      </w:pPr>
      <w:r>
        <w:rPr>
          <w:spacing w:val="-2"/>
          <w:sz w:val="20"/>
        </w:rPr>
        <w:t>Subsidio</w:t>
      </w:r>
      <w:r>
        <w:rPr>
          <w:sz w:val="20"/>
        </w:rPr>
        <w:tab/>
      </w:r>
      <w:r>
        <w:rPr>
          <w:spacing w:val="-4"/>
          <w:sz w:val="20"/>
        </w:rPr>
        <w:t>Costo</w:t>
      </w:r>
      <w:r>
        <w:rPr>
          <w:sz w:val="20"/>
        </w:rPr>
        <w:tab/>
      </w:r>
      <w:r>
        <w:rPr>
          <w:spacing w:val="-6"/>
          <w:sz w:val="20"/>
        </w:rPr>
        <w:t>de</w:t>
      </w:r>
      <w:r>
        <w:rPr>
          <w:sz w:val="20"/>
        </w:rPr>
        <w:tab/>
      </w:r>
      <w:r>
        <w:rPr>
          <w:spacing w:val="-2"/>
          <w:sz w:val="20"/>
        </w:rPr>
        <w:t>atención</w:t>
      </w:r>
      <w:r>
        <w:rPr>
          <w:sz w:val="20"/>
        </w:rPr>
        <w:tab/>
      </w:r>
      <w:r>
        <w:rPr>
          <w:spacing w:val="-4"/>
          <w:sz w:val="20"/>
        </w:rPr>
        <w:t>para </w:t>
      </w:r>
      <w:r>
        <w:rPr>
          <w:sz w:val="20"/>
        </w:rPr>
        <w:t>organizaciones de bienestar social.</w:t>
      </w:r>
    </w:p>
    <w:p>
      <w:pPr>
        <w:pStyle w:val="ListParagraph"/>
        <w:numPr>
          <w:ilvl w:val="0"/>
          <w:numId w:val="20"/>
        </w:numPr>
        <w:tabs>
          <w:tab w:pos="1545" w:val="left" w:leader="none"/>
        </w:tabs>
        <w:spacing w:line="240" w:lineRule="auto" w:before="0" w:after="0"/>
        <w:ind w:left="1545" w:right="0" w:hanging="282"/>
        <w:jc w:val="left"/>
        <w:rPr>
          <w:rFonts w:ascii="Symbol" w:hAnsi="Symbol"/>
          <w:sz w:val="20"/>
        </w:rPr>
      </w:pPr>
      <w:r>
        <w:rPr>
          <w:sz w:val="20"/>
        </w:rPr>
        <w:t>Subsidio</w:t>
      </w:r>
      <w:r>
        <w:rPr>
          <w:spacing w:val="-12"/>
          <w:sz w:val="20"/>
        </w:rPr>
        <w:t> </w:t>
      </w:r>
      <w:r>
        <w:rPr>
          <w:spacing w:val="-2"/>
          <w:sz w:val="20"/>
        </w:rPr>
        <w:t>Emergencias.</w:t>
      </w:r>
    </w:p>
    <w:p>
      <w:pPr>
        <w:pStyle w:val="ListParagraph"/>
        <w:numPr>
          <w:ilvl w:val="0"/>
          <w:numId w:val="20"/>
        </w:numPr>
        <w:tabs>
          <w:tab w:pos="1544" w:val="left" w:leader="none"/>
          <w:tab w:pos="1546" w:val="left" w:leader="none"/>
          <w:tab w:pos="2592" w:val="left" w:leader="none"/>
          <w:tab w:pos="4095" w:val="left" w:leader="none"/>
          <w:tab w:pos="4954" w:val="left" w:leader="none"/>
        </w:tabs>
        <w:spacing w:line="240" w:lineRule="auto" w:before="0" w:after="0"/>
        <w:ind w:left="1546" w:right="17" w:hanging="284"/>
        <w:jc w:val="left"/>
        <w:rPr>
          <w:rFonts w:ascii="Symbol" w:hAnsi="Symbol"/>
          <w:sz w:val="20"/>
        </w:rPr>
      </w:pPr>
      <w:r>
        <w:rPr>
          <w:spacing w:val="-2"/>
          <w:sz w:val="20"/>
        </w:rPr>
        <w:t>Subsidio</w:t>
      </w:r>
      <w:r>
        <w:rPr>
          <w:sz w:val="20"/>
        </w:rPr>
        <w:tab/>
      </w:r>
      <w:r>
        <w:rPr>
          <w:spacing w:val="-2"/>
          <w:sz w:val="20"/>
        </w:rPr>
        <w:t>Equipamiento</w:t>
      </w:r>
      <w:r>
        <w:rPr>
          <w:sz w:val="20"/>
        </w:rPr>
        <w:tab/>
      </w:r>
      <w:r>
        <w:rPr>
          <w:spacing w:val="-2"/>
          <w:sz w:val="20"/>
        </w:rPr>
        <w:t>básico</w:t>
      </w:r>
      <w:r>
        <w:rPr>
          <w:sz w:val="20"/>
        </w:rPr>
        <w:tab/>
      </w:r>
      <w:r>
        <w:rPr>
          <w:spacing w:val="-4"/>
          <w:sz w:val="20"/>
        </w:rPr>
        <w:t>para </w:t>
      </w:r>
      <w:r>
        <w:rPr>
          <w:sz w:val="20"/>
        </w:rPr>
        <w:t>organizaciones de bienestar social.</w:t>
      </w:r>
    </w:p>
    <w:p>
      <w:pPr>
        <w:pStyle w:val="ListParagraph"/>
        <w:numPr>
          <w:ilvl w:val="0"/>
          <w:numId w:val="20"/>
        </w:numPr>
        <w:tabs>
          <w:tab w:pos="577" w:val="left" w:leader="none"/>
          <w:tab w:pos="579" w:val="left" w:leader="none"/>
        </w:tabs>
        <w:spacing w:line="240" w:lineRule="auto" w:before="34" w:after="0"/>
        <w:ind w:left="579" w:right="1349" w:hanging="284"/>
        <w:jc w:val="both"/>
        <w:rPr>
          <w:rFonts w:ascii="Symbol" w:hAnsi="Symbol"/>
          <w:sz w:val="20"/>
        </w:rPr>
      </w:pPr>
      <w:r>
        <w:rPr/>
        <w:br w:type="column"/>
      </w:r>
      <w:r>
        <w:rPr>
          <w:sz w:val="20"/>
        </w:rPr>
        <w:t>Subsidio Gastos de implementación para compra de lote para vivienda de interés social y vivienda de interés social.</w:t>
      </w:r>
    </w:p>
    <w:p>
      <w:pPr>
        <w:pStyle w:val="ListParagraph"/>
        <w:numPr>
          <w:ilvl w:val="0"/>
          <w:numId w:val="20"/>
        </w:numPr>
        <w:tabs>
          <w:tab w:pos="577" w:val="left" w:leader="none"/>
          <w:tab w:pos="579" w:val="left" w:leader="none"/>
        </w:tabs>
        <w:spacing w:line="240" w:lineRule="auto" w:before="1" w:after="0"/>
        <w:ind w:left="579" w:right="1352" w:hanging="284"/>
        <w:jc w:val="both"/>
        <w:rPr>
          <w:rFonts w:ascii="Symbol" w:hAnsi="Symbol"/>
          <w:sz w:val="20"/>
        </w:rPr>
      </w:pPr>
      <w:r>
        <w:rPr>
          <w:sz w:val="20"/>
        </w:rPr>
        <w:t>Subsidio Gastos de implementación para </w:t>
      </w:r>
      <w:r>
        <w:rPr>
          <w:spacing w:val="-2"/>
          <w:sz w:val="20"/>
        </w:rPr>
        <w:t>titulación.</w:t>
      </w:r>
    </w:p>
    <w:p>
      <w:pPr>
        <w:pStyle w:val="ListParagraph"/>
        <w:numPr>
          <w:ilvl w:val="0"/>
          <w:numId w:val="20"/>
        </w:numPr>
        <w:tabs>
          <w:tab w:pos="577" w:val="left" w:leader="none"/>
          <w:tab w:pos="579" w:val="left" w:leader="none"/>
        </w:tabs>
        <w:spacing w:line="240" w:lineRule="auto" w:before="0" w:after="0"/>
        <w:ind w:left="579" w:right="1354" w:hanging="284"/>
        <w:jc w:val="both"/>
        <w:rPr>
          <w:rFonts w:ascii="Symbol" w:hAnsi="Symbol"/>
          <w:sz w:val="20"/>
        </w:rPr>
      </w:pPr>
      <w:r>
        <w:rPr>
          <w:sz w:val="20"/>
        </w:rPr>
        <w:t>Subsidio Infraestructura comunal para las organizaciones de bienestar social.</w:t>
      </w:r>
    </w:p>
    <w:p>
      <w:pPr>
        <w:pStyle w:val="ListParagraph"/>
        <w:numPr>
          <w:ilvl w:val="0"/>
          <w:numId w:val="20"/>
        </w:numPr>
        <w:tabs>
          <w:tab w:pos="577" w:val="left" w:leader="none"/>
          <w:tab w:pos="579" w:val="left" w:leader="none"/>
        </w:tabs>
        <w:spacing w:line="240" w:lineRule="auto" w:before="0" w:after="0"/>
        <w:ind w:left="579" w:right="1331" w:hanging="284"/>
        <w:jc w:val="both"/>
        <w:rPr>
          <w:rFonts w:ascii="Symbol" w:hAnsi="Symbol"/>
          <w:sz w:val="20"/>
        </w:rPr>
      </w:pPr>
      <w:r>
        <w:rPr>
          <w:sz w:val="20"/>
        </w:rPr>
        <w:t>Subsidio Gastos de implementación para mejoramiento</w:t>
      </w:r>
      <w:r>
        <w:rPr>
          <w:spacing w:val="-14"/>
          <w:sz w:val="20"/>
        </w:rPr>
        <w:t> </w:t>
      </w:r>
      <w:r>
        <w:rPr>
          <w:sz w:val="20"/>
        </w:rPr>
        <w:t>de</w:t>
      </w:r>
      <w:r>
        <w:rPr>
          <w:spacing w:val="-14"/>
          <w:sz w:val="20"/>
        </w:rPr>
        <w:t> </w:t>
      </w:r>
      <w:r>
        <w:rPr>
          <w:sz w:val="20"/>
        </w:rPr>
        <w:t>vivienda,</w:t>
      </w:r>
      <w:r>
        <w:rPr>
          <w:spacing w:val="-14"/>
          <w:sz w:val="20"/>
        </w:rPr>
        <w:t> </w:t>
      </w:r>
      <w:r>
        <w:rPr>
          <w:sz w:val="20"/>
        </w:rPr>
        <w:t>Mejoramiento</w:t>
      </w:r>
      <w:r>
        <w:rPr>
          <w:spacing w:val="-14"/>
          <w:sz w:val="20"/>
        </w:rPr>
        <w:t> </w:t>
      </w:r>
      <w:r>
        <w:rPr>
          <w:sz w:val="20"/>
        </w:rPr>
        <w:t>de vivienda</w:t>
      </w:r>
      <w:r>
        <w:rPr>
          <w:spacing w:val="-14"/>
          <w:sz w:val="20"/>
        </w:rPr>
        <w:t> </w:t>
      </w:r>
      <w:r>
        <w:rPr>
          <w:sz w:val="20"/>
        </w:rPr>
        <w:t>y</w:t>
      </w:r>
      <w:r>
        <w:rPr>
          <w:spacing w:val="-14"/>
          <w:sz w:val="20"/>
        </w:rPr>
        <w:t> </w:t>
      </w:r>
      <w:r>
        <w:rPr>
          <w:sz w:val="20"/>
        </w:rPr>
        <w:t>Mejoramiento</w:t>
      </w:r>
      <w:r>
        <w:rPr>
          <w:spacing w:val="-14"/>
          <w:sz w:val="20"/>
        </w:rPr>
        <w:t> </w:t>
      </w:r>
      <w:r>
        <w:rPr>
          <w:sz w:val="20"/>
        </w:rPr>
        <w:t>de</w:t>
      </w:r>
      <w:r>
        <w:rPr>
          <w:spacing w:val="-14"/>
          <w:sz w:val="20"/>
        </w:rPr>
        <w:t> </w:t>
      </w:r>
      <w:r>
        <w:rPr>
          <w:sz w:val="20"/>
        </w:rPr>
        <w:t>vivienda</w:t>
      </w:r>
      <w:r>
        <w:rPr>
          <w:spacing w:val="-14"/>
          <w:sz w:val="20"/>
        </w:rPr>
        <w:t> </w:t>
      </w:r>
      <w:r>
        <w:rPr>
          <w:sz w:val="20"/>
        </w:rPr>
        <w:t>para</w:t>
      </w:r>
      <w:r>
        <w:rPr>
          <w:spacing w:val="-14"/>
          <w:sz w:val="20"/>
        </w:rPr>
        <w:t> </w:t>
      </w:r>
      <w:r>
        <w:rPr>
          <w:sz w:val="20"/>
        </w:rPr>
        <w:t>la atención de emergencias.</w:t>
      </w:r>
    </w:p>
    <w:p>
      <w:pPr>
        <w:pStyle w:val="ListParagraph"/>
        <w:numPr>
          <w:ilvl w:val="0"/>
          <w:numId w:val="20"/>
        </w:numPr>
        <w:tabs>
          <w:tab w:pos="577" w:val="left" w:leader="none"/>
        </w:tabs>
        <w:spacing w:line="243" w:lineRule="exact" w:before="0" w:after="0"/>
        <w:ind w:left="577" w:right="0" w:hanging="282"/>
        <w:jc w:val="both"/>
        <w:rPr>
          <w:rFonts w:ascii="Symbol" w:hAnsi="Symbol"/>
          <w:sz w:val="20"/>
        </w:rPr>
      </w:pPr>
      <w:r>
        <w:rPr>
          <w:sz w:val="20"/>
        </w:rPr>
        <w:t>Subsidio</w:t>
      </w:r>
      <w:r>
        <w:rPr>
          <w:spacing w:val="-11"/>
          <w:sz w:val="20"/>
        </w:rPr>
        <w:t> </w:t>
      </w:r>
      <w:r>
        <w:rPr>
          <w:sz w:val="20"/>
        </w:rPr>
        <w:t>Prestación</w:t>
      </w:r>
      <w:r>
        <w:rPr>
          <w:spacing w:val="-10"/>
          <w:sz w:val="20"/>
        </w:rPr>
        <w:t> </w:t>
      </w:r>
      <w:r>
        <w:rPr>
          <w:sz w:val="20"/>
        </w:rPr>
        <w:t>alimentaria</w:t>
      </w:r>
      <w:r>
        <w:rPr>
          <w:spacing w:val="-11"/>
          <w:sz w:val="20"/>
        </w:rPr>
        <w:t> </w:t>
      </w:r>
      <w:r>
        <w:rPr>
          <w:sz w:val="20"/>
        </w:rPr>
        <w:t>(Inciso</w:t>
      </w:r>
      <w:r>
        <w:rPr>
          <w:spacing w:val="-10"/>
          <w:sz w:val="20"/>
        </w:rPr>
        <w:t> </w:t>
      </w:r>
      <w:r>
        <w:rPr>
          <w:spacing w:val="-5"/>
          <w:sz w:val="20"/>
        </w:rPr>
        <w:t>K).</w:t>
      </w:r>
    </w:p>
    <w:p>
      <w:pPr>
        <w:pStyle w:val="ListParagraph"/>
        <w:numPr>
          <w:ilvl w:val="0"/>
          <w:numId w:val="20"/>
        </w:numPr>
        <w:tabs>
          <w:tab w:pos="577" w:val="left" w:leader="none"/>
        </w:tabs>
        <w:spacing w:line="242" w:lineRule="exact" w:before="0" w:after="0"/>
        <w:ind w:left="577" w:right="0" w:hanging="282"/>
        <w:jc w:val="both"/>
        <w:rPr>
          <w:rFonts w:ascii="Symbol" w:hAnsi="Symbol"/>
          <w:sz w:val="20"/>
        </w:rPr>
      </w:pPr>
      <w:r>
        <w:rPr>
          <w:sz w:val="20"/>
        </w:rPr>
        <w:t>Subsidio</w:t>
      </w:r>
      <w:r>
        <w:rPr>
          <w:spacing w:val="-12"/>
          <w:sz w:val="20"/>
        </w:rPr>
        <w:t> </w:t>
      </w:r>
      <w:r>
        <w:rPr>
          <w:spacing w:val="-2"/>
          <w:sz w:val="20"/>
        </w:rPr>
        <w:t>Veda.</w:t>
      </w:r>
    </w:p>
    <w:p>
      <w:pPr>
        <w:pStyle w:val="ListParagraph"/>
        <w:numPr>
          <w:ilvl w:val="0"/>
          <w:numId w:val="20"/>
        </w:numPr>
        <w:tabs>
          <w:tab w:pos="577" w:val="left" w:leader="none"/>
          <w:tab w:pos="579" w:val="left" w:leader="none"/>
        </w:tabs>
        <w:spacing w:line="240" w:lineRule="auto" w:before="0" w:after="0"/>
        <w:ind w:left="579" w:right="1337" w:hanging="284"/>
        <w:jc w:val="both"/>
        <w:rPr>
          <w:rFonts w:ascii="Symbol" w:hAnsi="Symbol"/>
          <w:sz w:val="20"/>
        </w:rPr>
      </w:pPr>
      <w:r>
        <w:rPr>
          <w:sz w:val="20"/>
        </w:rPr>
        <w:t>Transferencia Monetaria Condicionada Cuidado y desarrollo infantil</w:t>
      </w:r>
    </w:p>
    <w:p>
      <w:pPr>
        <w:pStyle w:val="ListParagraph"/>
        <w:spacing w:after="0" w:line="240" w:lineRule="auto"/>
        <w:jc w:val="both"/>
        <w:rPr>
          <w:rFonts w:ascii="Symbol" w:hAnsi="Symbol"/>
          <w:sz w:val="20"/>
        </w:rPr>
        <w:sectPr>
          <w:type w:val="continuous"/>
          <w:pgSz w:w="12240" w:h="15840"/>
          <w:pgMar w:header="0" w:footer="1021" w:top="1820" w:bottom="280" w:left="720" w:right="360"/>
          <w:cols w:num="2" w:equalWidth="0">
            <w:col w:w="5374" w:space="40"/>
            <w:col w:w="5746"/>
          </w:cols>
        </w:sectPr>
      </w:pPr>
    </w:p>
    <w:p>
      <w:pPr>
        <w:pStyle w:val="BodyText"/>
        <w:rPr>
          <w:sz w:val="20"/>
        </w:rPr>
      </w:pPr>
    </w:p>
    <w:p>
      <w:pPr>
        <w:pStyle w:val="BodyText"/>
        <w:spacing w:before="85"/>
        <w:rPr>
          <w:sz w:val="20"/>
        </w:rPr>
      </w:pPr>
    </w:p>
    <w:p>
      <w:pPr>
        <w:spacing w:line="240" w:lineRule="auto"/>
        <w:ind w:left="1374" w:right="0" w:firstLine="0"/>
        <w:rPr>
          <w:sz w:val="20"/>
        </w:rPr>
      </w:pPr>
      <w:r>
        <w:rPr>
          <w:sz w:val="20"/>
        </w:rPr>
        <mc:AlternateContent>
          <mc:Choice Requires="wps">
            <w:drawing>
              <wp:inline distT="0" distB="0" distL="0" distR="0">
                <wp:extent cx="5616575" cy="273050"/>
                <wp:effectExtent l="0" t="0" r="0" b="3175"/>
                <wp:docPr id="83" name="Group 83"/>
                <wp:cNvGraphicFramePr>
                  <a:graphicFrameLocks/>
                </wp:cNvGraphicFramePr>
                <a:graphic>
                  <a:graphicData uri="http://schemas.microsoft.com/office/word/2010/wordprocessingGroup">
                    <wpg:wgp>
                      <wpg:cNvPr id="83" name="Group 83"/>
                      <wpg:cNvGrpSpPr/>
                      <wpg:grpSpPr>
                        <a:xfrm>
                          <a:off x="0" y="0"/>
                          <a:ext cx="5616575" cy="273050"/>
                          <a:chExt cx="5616575" cy="273050"/>
                        </a:xfrm>
                      </wpg:grpSpPr>
                      <wps:wsp>
                        <wps:cNvPr id="84" name="Graphic 84"/>
                        <wps:cNvSpPr/>
                        <wps:spPr>
                          <a:xfrm>
                            <a:off x="0" y="0"/>
                            <a:ext cx="5616575" cy="273050"/>
                          </a:xfrm>
                          <a:custGeom>
                            <a:avLst/>
                            <a:gdLst/>
                            <a:ahLst/>
                            <a:cxnLst/>
                            <a:rect l="l" t="t" r="r" b="b"/>
                            <a:pathLst>
                              <a:path w="5616575" h="273050">
                                <a:moveTo>
                                  <a:pt x="5571109" y="0"/>
                                </a:moveTo>
                                <a:lnTo>
                                  <a:pt x="45465" y="0"/>
                                </a:lnTo>
                                <a:lnTo>
                                  <a:pt x="27753" y="3567"/>
                                </a:lnTo>
                                <a:lnTo>
                                  <a:pt x="13303" y="13303"/>
                                </a:lnTo>
                                <a:lnTo>
                                  <a:pt x="3567" y="27753"/>
                                </a:lnTo>
                                <a:lnTo>
                                  <a:pt x="0" y="45466"/>
                                </a:lnTo>
                                <a:lnTo>
                                  <a:pt x="0" y="227457"/>
                                </a:lnTo>
                                <a:lnTo>
                                  <a:pt x="3567" y="245189"/>
                                </a:lnTo>
                                <a:lnTo>
                                  <a:pt x="13303" y="259683"/>
                                </a:lnTo>
                                <a:lnTo>
                                  <a:pt x="27753" y="269462"/>
                                </a:lnTo>
                                <a:lnTo>
                                  <a:pt x="45465" y="273050"/>
                                </a:lnTo>
                                <a:lnTo>
                                  <a:pt x="5571109" y="273050"/>
                                </a:lnTo>
                                <a:lnTo>
                                  <a:pt x="5588821" y="269462"/>
                                </a:lnTo>
                                <a:lnTo>
                                  <a:pt x="5603271" y="259683"/>
                                </a:lnTo>
                                <a:lnTo>
                                  <a:pt x="5613007" y="245189"/>
                                </a:lnTo>
                                <a:lnTo>
                                  <a:pt x="5616575" y="227457"/>
                                </a:lnTo>
                                <a:lnTo>
                                  <a:pt x="5616575" y="45466"/>
                                </a:lnTo>
                                <a:lnTo>
                                  <a:pt x="5613007" y="27753"/>
                                </a:lnTo>
                                <a:lnTo>
                                  <a:pt x="5603271" y="13303"/>
                                </a:lnTo>
                                <a:lnTo>
                                  <a:pt x="5588821" y="3567"/>
                                </a:lnTo>
                                <a:lnTo>
                                  <a:pt x="5571109" y="0"/>
                                </a:lnTo>
                                <a:close/>
                              </a:path>
                            </a:pathLst>
                          </a:custGeom>
                          <a:solidFill>
                            <a:srgbClr val="5F497A"/>
                          </a:solidFill>
                        </wps:spPr>
                        <wps:bodyPr wrap="square" lIns="0" tIns="0" rIns="0" bIns="0" rtlCol="0">
                          <a:prstTxWarp prst="textNoShape">
                            <a:avLst/>
                          </a:prstTxWarp>
                          <a:noAutofit/>
                        </wps:bodyPr>
                      </wps:wsp>
                      <wps:wsp>
                        <wps:cNvPr id="85" name="Textbox 85"/>
                        <wps:cNvSpPr txBox="1"/>
                        <wps:spPr>
                          <a:xfrm>
                            <a:off x="0" y="0"/>
                            <a:ext cx="5616575" cy="273050"/>
                          </a:xfrm>
                          <a:prstGeom prst="rect">
                            <a:avLst/>
                          </a:prstGeom>
                        </wps:spPr>
                        <wps:txbx>
                          <w:txbxContent>
                            <w:p>
                              <w:pPr>
                                <w:spacing w:before="101"/>
                                <w:ind w:left="11" w:right="0" w:firstLine="0"/>
                                <w:jc w:val="center"/>
                                <w:rPr>
                                  <w:b/>
                                  <w:sz w:val="24"/>
                                </w:rPr>
                              </w:pPr>
                              <w:r>
                                <w:rPr>
                                  <w:b/>
                                  <w:color w:val="FFFFFF"/>
                                  <w:sz w:val="24"/>
                                </w:rPr>
                                <w:t>Promoción </w:t>
                              </w:r>
                              <w:r>
                                <w:rPr>
                                  <w:b/>
                                  <w:color w:val="FFFFFF"/>
                                  <w:spacing w:val="-2"/>
                                  <w:sz w:val="24"/>
                                </w:rPr>
                                <w:t>Social</w:t>
                              </w:r>
                            </w:p>
                          </w:txbxContent>
                        </wps:txbx>
                        <wps:bodyPr wrap="square" lIns="0" tIns="0" rIns="0" bIns="0" rtlCol="0">
                          <a:noAutofit/>
                        </wps:bodyPr>
                      </wps:wsp>
                    </wpg:wgp>
                  </a:graphicData>
                </a:graphic>
              </wp:inline>
            </w:drawing>
          </mc:Choice>
          <mc:Fallback>
            <w:pict>
              <v:group style="width:442.25pt;height:21.5pt;mso-position-horizontal-relative:char;mso-position-vertical-relative:line" id="docshapegroup61" coordorigin="0,0" coordsize="8845,430">
                <v:shape style="position:absolute;left:0;top:0;width:8845;height:430" id="docshape62" coordorigin="0,0" coordsize="8845,430" path="m8773,0l72,0,44,6,21,21,6,44,0,72,0,358,6,386,21,409,44,424,72,430,8773,430,8801,424,8824,409,8839,386,8845,358,8845,72,8839,44,8824,21,8801,6,8773,0xe" filled="true" fillcolor="#5f497a" stroked="false">
                  <v:path arrowok="t"/>
                  <v:fill type="solid"/>
                </v:shape>
                <v:shape style="position:absolute;left:0;top:0;width:8845;height:430" type="#_x0000_t202" id="docshape63" filled="false" stroked="false">
                  <v:textbox inset="0,0,0,0">
                    <w:txbxContent>
                      <w:p>
                        <w:pPr>
                          <w:spacing w:before="101"/>
                          <w:ind w:left="11" w:right="0" w:firstLine="0"/>
                          <w:jc w:val="center"/>
                          <w:rPr>
                            <w:b/>
                            <w:sz w:val="24"/>
                          </w:rPr>
                        </w:pPr>
                        <w:r>
                          <w:rPr>
                            <w:b/>
                            <w:color w:val="FFFFFF"/>
                            <w:sz w:val="24"/>
                          </w:rPr>
                          <w:t>Promoción </w:t>
                        </w:r>
                        <w:r>
                          <w:rPr>
                            <w:b/>
                            <w:color w:val="FFFFFF"/>
                            <w:spacing w:val="-2"/>
                            <w:sz w:val="24"/>
                          </w:rPr>
                          <w:t>Social</w:t>
                        </w:r>
                      </w:p>
                    </w:txbxContent>
                  </v:textbox>
                  <w10:wrap type="none"/>
                </v:shape>
              </v:group>
            </w:pict>
          </mc:Fallback>
        </mc:AlternateContent>
      </w:r>
      <w:r>
        <w:rPr>
          <w:sz w:val="20"/>
        </w:rPr>
      </w:r>
    </w:p>
    <w:p>
      <w:pPr>
        <w:spacing w:after="0" w:line="240" w:lineRule="auto"/>
        <w:rPr>
          <w:sz w:val="20"/>
        </w:rPr>
        <w:sectPr>
          <w:type w:val="continuous"/>
          <w:pgSz w:w="12240" w:h="15840"/>
          <w:pgMar w:header="0" w:footer="1021" w:top="1820" w:bottom="280" w:left="720" w:right="360"/>
        </w:sectPr>
      </w:pPr>
    </w:p>
    <w:p>
      <w:pPr>
        <w:pStyle w:val="ListParagraph"/>
        <w:numPr>
          <w:ilvl w:val="1"/>
          <w:numId w:val="20"/>
        </w:numPr>
        <w:tabs>
          <w:tab w:pos="1545" w:val="left" w:leader="none"/>
        </w:tabs>
        <w:spacing w:line="243" w:lineRule="exact" w:before="97" w:after="0"/>
        <w:ind w:left="1545" w:right="0" w:hanging="282"/>
        <w:jc w:val="both"/>
        <w:rPr>
          <w:rFonts w:ascii="Symbol" w:hAnsi="Symbol"/>
          <w:sz w:val="20"/>
        </w:rPr>
      </w:pPr>
      <w:r>
        <w:rPr>
          <w:sz w:val="20"/>
        </w:rPr>
        <w:t>Diferencial</w:t>
      </w:r>
      <w:r>
        <w:rPr>
          <w:spacing w:val="-11"/>
          <w:sz w:val="20"/>
        </w:rPr>
        <w:t> </w:t>
      </w:r>
      <w:r>
        <w:rPr>
          <w:sz w:val="20"/>
        </w:rPr>
        <w:t>de</w:t>
      </w:r>
      <w:r>
        <w:rPr>
          <w:spacing w:val="-10"/>
          <w:sz w:val="20"/>
        </w:rPr>
        <w:t> </w:t>
      </w:r>
      <w:r>
        <w:rPr>
          <w:sz w:val="20"/>
        </w:rPr>
        <w:t>la</w:t>
      </w:r>
      <w:r>
        <w:rPr>
          <w:spacing w:val="-10"/>
          <w:sz w:val="20"/>
        </w:rPr>
        <w:t> </w:t>
      </w:r>
      <w:r>
        <w:rPr>
          <w:sz w:val="20"/>
        </w:rPr>
        <w:t>tasa</w:t>
      </w:r>
      <w:r>
        <w:rPr>
          <w:spacing w:val="-10"/>
          <w:sz w:val="20"/>
        </w:rPr>
        <w:t> </w:t>
      </w:r>
      <w:r>
        <w:rPr>
          <w:sz w:val="20"/>
        </w:rPr>
        <w:t>de</w:t>
      </w:r>
      <w:r>
        <w:rPr>
          <w:spacing w:val="-10"/>
          <w:sz w:val="20"/>
        </w:rPr>
        <w:t> </w:t>
      </w:r>
      <w:r>
        <w:rPr>
          <w:sz w:val="20"/>
        </w:rPr>
        <w:t>interés</w:t>
      </w:r>
      <w:r>
        <w:rPr>
          <w:spacing w:val="-8"/>
          <w:sz w:val="20"/>
        </w:rPr>
        <w:t> </w:t>
      </w:r>
      <w:r>
        <w:rPr>
          <w:spacing w:val="-2"/>
          <w:sz w:val="20"/>
        </w:rPr>
        <w:t>FIDEIMAS.</w:t>
      </w:r>
    </w:p>
    <w:p>
      <w:pPr>
        <w:pStyle w:val="ListParagraph"/>
        <w:numPr>
          <w:ilvl w:val="1"/>
          <w:numId w:val="20"/>
        </w:numPr>
        <w:tabs>
          <w:tab w:pos="1545" w:val="left" w:leader="none"/>
        </w:tabs>
        <w:spacing w:line="242" w:lineRule="exact" w:before="0" w:after="0"/>
        <w:ind w:left="1545" w:right="0" w:hanging="282"/>
        <w:jc w:val="both"/>
        <w:rPr>
          <w:rFonts w:ascii="Symbol" w:hAnsi="Symbol"/>
          <w:sz w:val="20"/>
        </w:rPr>
      </w:pPr>
      <w:r>
        <w:rPr>
          <w:sz w:val="20"/>
        </w:rPr>
        <w:t>Garantías</w:t>
      </w:r>
      <w:r>
        <w:rPr>
          <w:spacing w:val="-9"/>
          <w:sz w:val="20"/>
        </w:rPr>
        <w:t> </w:t>
      </w:r>
      <w:r>
        <w:rPr>
          <w:spacing w:val="-2"/>
          <w:sz w:val="20"/>
        </w:rPr>
        <w:t>FIDEIMAS.</w:t>
      </w:r>
    </w:p>
    <w:p>
      <w:pPr>
        <w:pStyle w:val="ListParagraph"/>
        <w:numPr>
          <w:ilvl w:val="1"/>
          <w:numId w:val="20"/>
        </w:numPr>
        <w:tabs>
          <w:tab w:pos="1545" w:val="left" w:leader="none"/>
        </w:tabs>
        <w:spacing w:line="245" w:lineRule="exact" w:before="0" w:after="0"/>
        <w:ind w:left="1545" w:right="0" w:hanging="282"/>
        <w:jc w:val="both"/>
        <w:rPr>
          <w:rFonts w:ascii="Symbol" w:hAnsi="Symbol"/>
          <w:sz w:val="20"/>
        </w:rPr>
      </w:pPr>
      <w:r>
        <w:rPr>
          <w:sz w:val="20"/>
        </w:rPr>
        <w:t>Servicios</w:t>
      </w:r>
      <w:r>
        <w:rPr>
          <w:spacing w:val="-7"/>
          <w:sz w:val="20"/>
        </w:rPr>
        <w:t> </w:t>
      </w:r>
      <w:r>
        <w:rPr>
          <w:sz w:val="20"/>
        </w:rPr>
        <w:t>de</w:t>
      </w:r>
      <w:r>
        <w:rPr>
          <w:spacing w:val="-7"/>
          <w:sz w:val="20"/>
        </w:rPr>
        <w:t> </w:t>
      </w:r>
      <w:r>
        <w:rPr>
          <w:sz w:val="20"/>
        </w:rPr>
        <w:t>apoyo</w:t>
      </w:r>
      <w:r>
        <w:rPr>
          <w:spacing w:val="-6"/>
          <w:sz w:val="20"/>
        </w:rPr>
        <w:t> </w:t>
      </w:r>
      <w:r>
        <w:rPr>
          <w:spacing w:val="-2"/>
          <w:sz w:val="20"/>
        </w:rPr>
        <w:t>FIDEIMAS.</w:t>
      </w:r>
    </w:p>
    <w:p>
      <w:pPr>
        <w:pStyle w:val="ListParagraph"/>
        <w:numPr>
          <w:ilvl w:val="1"/>
          <w:numId w:val="20"/>
        </w:numPr>
        <w:tabs>
          <w:tab w:pos="1545" w:val="left" w:leader="none"/>
        </w:tabs>
        <w:spacing w:line="242" w:lineRule="exact" w:before="0" w:after="0"/>
        <w:ind w:left="1545" w:right="0" w:hanging="282"/>
        <w:jc w:val="both"/>
        <w:rPr>
          <w:rFonts w:ascii="Symbol" w:hAnsi="Symbol"/>
          <w:sz w:val="20"/>
        </w:rPr>
      </w:pPr>
      <w:r>
        <w:rPr>
          <w:sz w:val="20"/>
        </w:rPr>
        <w:t>Subsidio</w:t>
      </w:r>
      <w:r>
        <w:rPr>
          <w:spacing w:val="-12"/>
          <w:sz w:val="20"/>
        </w:rPr>
        <w:t> </w:t>
      </w:r>
      <w:r>
        <w:rPr>
          <w:spacing w:val="-2"/>
          <w:sz w:val="20"/>
        </w:rPr>
        <w:t>Capacitación.</w:t>
      </w:r>
    </w:p>
    <w:p>
      <w:pPr>
        <w:pStyle w:val="ListParagraph"/>
        <w:numPr>
          <w:ilvl w:val="1"/>
          <w:numId w:val="20"/>
        </w:numPr>
        <w:tabs>
          <w:tab w:pos="1544" w:val="left" w:leader="none"/>
          <w:tab w:pos="1546" w:val="left" w:leader="none"/>
        </w:tabs>
        <w:spacing w:line="240" w:lineRule="auto" w:before="0" w:after="0"/>
        <w:ind w:left="1546" w:right="21" w:hanging="284"/>
        <w:jc w:val="both"/>
        <w:rPr>
          <w:rFonts w:ascii="Symbol" w:hAnsi="Symbol"/>
          <w:sz w:val="20"/>
        </w:rPr>
      </w:pPr>
      <w:r>
        <w:rPr>
          <w:sz w:val="20"/>
        </w:rPr>
        <w:t>Subsidio Emprendimiento Productivo </w:t>
      </w:r>
      <w:r>
        <w:rPr>
          <w:spacing w:val="-2"/>
          <w:sz w:val="20"/>
        </w:rPr>
        <w:t>Individual.</w:t>
      </w:r>
    </w:p>
    <w:p>
      <w:pPr>
        <w:pStyle w:val="ListParagraph"/>
        <w:numPr>
          <w:ilvl w:val="1"/>
          <w:numId w:val="20"/>
        </w:numPr>
        <w:tabs>
          <w:tab w:pos="1544" w:val="left" w:leader="none"/>
          <w:tab w:pos="1546" w:val="left" w:leader="none"/>
        </w:tabs>
        <w:spacing w:line="240" w:lineRule="auto" w:before="0" w:after="0"/>
        <w:ind w:left="1546" w:right="1" w:hanging="284"/>
        <w:jc w:val="both"/>
        <w:rPr>
          <w:rFonts w:ascii="Symbol" w:hAnsi="Symbol"/>
          <w:sz w:val="20"/>
        </w:rPr>
      </w:pPr>
      <w:r>
        <w:rPr>
          <w:sz w:val="20"/>
        </w:rPr>
        <w:t>Subsidio</w:t>
      </w:r>
      <w:r>
        <w:rPr>
          <w:spacing w:val="-8"/>
          <w:sz w:val="20"/>
        </w:rPr>
        <w:t> </w:t>
      </w:r>
      <w:r>
        <w:rPr>
          <w:sz w:val="20"/>
        </w:rPr>
        <w:t>Equipamiento</w:t>
      </w:r>
      <w:r>
        <w:rPr>
          <w:spacing w:val="-8"/>
          <w:sz w:val="20"/>
        </w:rPr>
        <w:t> </w:t>
      </w:r>
      <w:r>
        <w:rPr>
          <w:sz w:val="20"/>
        </w:rPr>
        <w:t>básico</w:t>
      </w:r>
      <w:r>
        <w:rPr>
          <w:spacing w:val="-8"/>
          <w:sz w:val="20"/>
        </w:rPr>
        <w:t> </w:t>
      </w:r>
      <w:r>
        <w:rPr>
          <w:sz w:val="20"/>
        </w:rPr>
        <w:t>para</w:t>
      </w:r>
      <w:r>
        <w:rPr>
          <w:spacing w:val="-8"/>
          <w:sz w:val="20"/>
        </w:rPr>
        <w:t> </w:t>
      </w:r>
      <w:r>
        <w:rPr>
          <w:sz w:val="20"/>
        </w:rPr>
        <w:t>sujetos de derecho privado.</w:t>
      </w:r>
    </w:p>
    <w:p>
      <w:pPr>
        <w:pStyle w:val="ListParagraph"/>
        <w:numPr>
          <w:ilvl w:val="1"/>
          <w:numId w:val="20"/>
        </w:numPr>
        <w:tabs>
          <w:tab w:pos="1544" w:val="left" w:leader="none"/>
          <w:tab w:pos="1546" w:val="left" w:leader="none"/>
        </w:tabs>
        <w:spacing w:line="240" w:lineRule="auto" w:before="0" w:after="0"/>
        <w:ind w:left="1546" w:right="17" w:hanging="284"/>
        <w:jc w:val="both"/>
        <w:rPr>
          <w:rFonts w:ascii="Symbol" w:hAnsi="Symbol"/>
          <w:sz w:val="20"/>
        </w:rPr>
      </w:pPr>
      <w:r>
        <w:rPr>
          <w:sz w:val="20"/>
        </w:rPr>
        <w:t>Subsidio</w:t>
      </w:r>
      <w:r>
        <w:rPr>
          <w:spacing w:val="-12"/>
          <w:sz w:val="20"/>
        </w:rPr>
        <w:t> </w:t>
      </w:r>
      <w:r>
        <w:rPr>
          <w:sz w:val="20"/>
        </w:rPr>
        <w:t>Equipamiento</w:t>
      </w:r>
      <w:r>
        <w:rPr>
          <w:spacing w:val="-13"/>
          <w:sz w:val="20"/>
        </w:rPr>
        <w:t> </w:t>
      </w:r>
      <w:r>
        <w:rPr>
          <w:sz w:val="20"/>
        </w:rPr>
        <w:t>básico</w:t>
      </w:r>
      <w:r>
        <w:rPr>
          <w:spacing w:val="-13"/>
          <w:sz w:val="20"/>
        </w:rPr>
        <w:t> </w:t>
      </w:r>
      <w:r>
        <w:rPr>
          <w:sz w:val="20"/>
        </w:rPr>
        <w:t>para</w:t>
      </w:r>
      <w:r>
        <w:rPr>
          <w:spacing w:val="-13"/>
          <w:sz w:val="20"/>
        </w:rPr>
        <w:t> </w:t>
      </w:r>
      <w:r>
        <w:rPr>
          <w:sz w:val="20"/>
        </w:rPr>
        <w:t>sujetos de derecho público.</w:t>
      </w:r>
    </w:p>
    <w:p>
      <w:pPr>
        <w:pStyle w:val="ListParagraph"/>
        <w:numPr>
          <w:ilvl w:val="1"/>
          <w:numId w:val="20"/>
        </w:numPr>
        <w:tabs>
          <w:tab w:pos="1544" w:val="left" w:leader="none"/>
          <w:tab w:pos="1546" w:val="left" w:leader="none"/>
        </w:tabs>
        <w:spacing w:line="240" w:lineRule="auto" w:before="0" w:after="0"/>
        <w:ind w:left="1546" w:right="0" w:hanging="284"/>
        <w:jc w:val="both"/>
        <w:rPr>
          <w:rFonts w:ascii="Symbol" w:hAnsi="Symbol"/>
          <w:sz w:val="20"/>
        </w:rPr>
      </w:pPr>
      <w:r>
        <w:rPr>
          <w:sz w:val="20"/>
        </w:rPr>
        <w:t>Subsidio Gastos de implementación para infraestructura comunal y productiva para sujetos de derecho privado.</w:t>
      </w:r>
    </w:p>
    <w:p>
      <w:pPr>
        <w:pStyle w:val="BodyText"/>
        <w:spacing w:before="141"/>
        <w:rPr>
          <w:sz w:val="20"/>
        </w:rPr>
      </w:pPr>
      <w:r>
        <w:rPr/>
        <w:br w:type="column"/>
      </w:r>
      <w:r>
        <w:rPr>
          <w:sz w:val="20"/>
        </w:rPr>
      </w:r>
    </w:p>
    <w:p>
      <w:pPr>
        <w:pStyle w:val="ListParagraph"/>
        <w:numPr>
          <w:ilvl w:val="0"/>
          <w:numId w:val="20"/>
        </w:numPr>
        <w:tabs>
          <w:tab w:pos="575" w:val="left" w:leader="none"/>
          <w:tab w:pos="2553" w:val="left" w:leader="none"/>
          <w:tab w:pos="4008" w:val="left" w:leader="none"/>
        </w:tabs>
        <w:spacing w:line="237" w:lineRule="auto" w:before="1" w:after="0"/>
        <w:ind w:left="575" w:right="1332" w:hanging="284"/>
        <w:jc w:val="both"/>
        <w:rPr>
          <w:rFonts w:ascii="Symbol" w:hAnsi="Symbol"/>
          <w:sz w:val="22"/>
        </w:rPr>
      </w:pPr>
      <w:r>
        <w:rPr>
          <w:sz w:val="20"/>
        </w:rPr>
        <w:t>Subsidio Gastos de implementación para </w:t>
      </w:r>
      <w:r>
        <w:rPr>
          <w:spacing w:val="-2"/>
          <w:sz w:val="20"/>
        </w:rPr>
        <w:t>infraestructura</w:t>
      </w:r>
      <w:r>
        <w:rPr>
          <w:sz w:val="20"/>
        </w:rPr>
        <w:tab/>
      </w:r>
      <w:r>
        <w:rPr>
          <w:spacing w:val="-2"/>
          <w:sz w:val="20"/>
        </w:rPr>
        <w:t>comunal</w:t>
      </w:r>
      <w:r>
        <w:rPr>
          <w:sz w:val="20"/>
        </w:rPr>
        <w:tab/>
      </w:r>
      <w:r>
        <w:rPr>
          <w:spacing w:val="-4"/>
          <w:sz w:val="20"/>
        </w:rPr>
        <w:t>para </w:t>
      </w:r>
      <w:r>
        <w:rPr>
          <w:sz w:val="20"/>
        </w:rPr>
        <w:t>organizaciones de bienestar social.</w:t>
      </w:r>
    </w:p>
    <w:p>
      <w:pPr>
        <w:pStyle w:val="ListParagraph"/>
        <w:numPr>
          <w:ilvl w:val="0"/>
          <w:numId w:val="20"/>
        </w:numPr>
        <w:tabs>
          <w:tab w:pos="573" w:val="left" w:leader="none"/>
          <w:tab w:pos="575" w:val="left" w:leader="none"/>
        </w:tabs>
        <w:spacing w:line="240" w:lineRule="auto" w:before="1" w:after="0"/>
        <w:ind w:left="575" w:right="1335" w:hanging="284"/>
        <w:jc w:val="both"/>
        <w:rPr>
          <w:rFonts w:ascii="Symbol" w:hAnsi="Symbol"/>
          <w:sz w:val="20"/>
        </w:rPr>
      </w:pPr>
      <w:r>
        <w:rPr>
          <w:sz w:val="20"/>
        </w:rPr>
        <w:t>Subsidio Infraestructura comunal y productiva</w:t>
      </w:r>
      <w:r>
        <w:rPr>
          <w:spacing w:val="-15"/>
          <w:sz w:val="20"/>
        </w:rPr>
        <w:t> </w:t>
      </w:r>
      <w:r>
        <w:rPr>
          <w:sz w:val="20"/>
        </w:rPr>
        <w:t>para</w:t>
      </w:r>
      <w:r>
        <w:rPr>
          <w:spacing w:val="-15"/>
          <w:sz w:val="20"/>
        </w:rPr>
        <w:t> </w:t>
      </w:r>
      <w:r>
        <w:rPr>
          <w:sz w:val="20"/>
        </w:rPr>
        <w:t>sujetos</w:t>
      </w:r>
      <w:r>
        <w:rPr>
          <w:spacing w:val="-14"/>
          <w:sz w:val="20"/>
        </w:rPr>
        <w:t> </w:t>
      </w:r>
      <w:r>
        <w:rPr>
          <w:sz w:val="20"/>
        </w:rPr>
        <w:t>de</w:t>
      </w:r>
      <w:r>
        <w:rPr>
          <w:spacing w:val="-15"/>
          <w:sz w:val="20"/>
        </w:rPr>
        <w:t> </w:t>
      </w:r>
      <w:r>
        <w:rPr>
          <w:sz w:val="20"/>
        </w:rPr>
        <w:t>derecho</w:t>
      </w:r>
      <w:r>
        <w:rPr>
          <w:spacing w:val="-15"/>
          <w:sz w:val="20"/>
        </w:rPr>
        <w:t> </w:t>
      </w:r>
      <w:r>
        <w:rPr>
          <w:sz w:val="20"/>
        </w:rPr>
        <w:t>privado.</w:t>
      </w:r>
    </w:p>
    <w:p>
      <w:pPr>
        <w:pStyle w:val="ListParagraph"/>
        <w:numPr>
          <w:ilvl w:val="0"/>
          <w:numId w:val="20"/>
        </w:numPr>
        <w:tabs>
          <w:tab w:pos="573" w:val="left" w:leader="none"/>
          <w:tab w:pos="575" w:val="left" w:leader="none"/>
        </w:tabs>
        <w:spacing w:line="240" w:lineRule="auto" w:before="0" w:after="0"/>
        <w:ind w:left="575" w:right="1333" w:hanging="284"/>
        <w:jc w:val="both"/>
        <w:rPr>
          <w:rFonts w:ascii="Symbol" w:hAnsi="Symbol"/>
          <w:sz w:val="20"/>
        </w:rPr>
      </w:pPr>
      <w:r>
        <w:rPr>
          <w:sz w:val="20"/>
        </w:rPr>
        <w:t>Subsidio Infraestructura comunal para sujetos de derecho público.</w:t>
      </w:r>
    </w:p>
    <w:p>
      <w:pPr>
        <w:pStyle w:val="ListParagraph"/>
        <w:numPr>
          <w:ilvl w:val="0"/>
          <w:numId w:val="20"/>
        </w:numPr>
        <w:tabs>
          <w:tab w:pos="573" w:val="left" w:leader="none"/>
        </w:tabs>
        <w:spacing w:line="245" w:lineRule="exact" w:before="0" w:after="0"/>
        <w:ind w:left="573" w:right="0" w:hanging="282"/>
        <w:jc w:val="both"/>
        <w:rPr>
          <w:rFonts w:ascii="Symbol" w:hAnsi="Symbol"/>
          <w:sz w:val="20"/>
        </w:rPr>
      </w:pPr>
      <w:r>
        <w:rPr>
          <w:sz w:val="20"/>
        </w:rPr>
        <w:t>Subsidio</w:t>
      </w:r>
      <w:r>
        <w:rPr>
          <w:spacing w:val="-11"/>
          <w:sz w:val="20"/>
        </w:rPr>
        <w:t> </w:t>
      </w:r>
      <w:r>
        <w:rPr>
          <w:sz w:val="20"/>
        </w:rPr>
        <w:t>Procesos</w:t>
      </w:r>
      <w:r>
        <w:rPr>
          <w:spacing w:val="-10"/>
          <w:sz w:val="20"/>
        </w:rPr>
        <w:t> </w:t>
      </w:r>
      <w:r>
        <w:rPr>
          <w:spacing w:val="-2"/>
          <w:sz w:val="20"/>
        </w:rPr>
        <w:t>formativos.</w:t>
      </w:r>
    </w:p>
    <w:p>
      <w:pPr>
        <w:pStyle w:val="ListParagraph"/>
        <w:numPr>
          <w:ilvl w:val="0"/>
          <w:numId w:val="20"/>
        </w:numPr>
        <w:tabs>
          <w:tab w:pos="573" w:val="left" w:leader="none"/>
          <w:tab w:pos="575" w:val="left" w:leader="none"/>
        </w:tabs>
        <w:spacing w:line="240" w:lineRule="auto" w:before="0" w:after="0"/>
        <w:ind w:left="575" w:right="1352" w:hanging="284"/>
        <w:jc w:val="both"/>
        <w:rPr>
          <w:rFonts w:ascii="Symbol" w:hAnsi="Symbol"/>
          <w:sz w:val="20"/>
        </w:rPr>
      </w:pPr>
      <w:r>
        <w:rPr>
          <w:sz w:val="20"/>
        </w:rPr>
        <w:t>Subsidio Proyectos socio productivos para sujetos de derecho privado.</w:t>
      </w:r>
    </w:p>
    <w:p>
      <w:pPr>
        <w:pStyle w:val="ListParagraph"/>
        <w:numPr>
          <w:ilvl w:val="0"/>
          <w:numId w:val="20"/>
        </w:numPr>
        <w:tabs>
          <w:tab w:pos="575" w:val="left" w:leader="none"/>
        </w:tabs>
        <w:spacing w:line="235" w:lineRule="auto" w:before="0" w:after="0"/>
        <w:ind w:left="575" w:right="1356" w:hanging="284"/>
        <w:jc w:val="both"/>
        <w:rPr>
          <w:rFonts w:ascii="Symbol" w:hAnsi="Symbol"/>
          <w:sz w:val="22"/>
        </w:rPr>
      </w:pPr>
      <w:r>
        <w:rPr>
          <w:sz w:val="20"/>
        </w:rPr>
        <w:t>Transferencia Monetaria Condicionada </w:t>
      </w:r>
      <w:r>
        <w:rPr>
          <w:spacing w:val="-2"/>
          <w:sz w:val="20"/>
        </w:rPr>
        <w:t>Avancemos</w:t>
      </w:r>
    </w:p>
    <w:p>
      <w:pPr>
        <w:pStyle w:val="ListParagraph"/>
        <w:spacing w:after="0" w:line="235" w:lineRule="auto"/>
        <w:jc w:val="both"/>
        <w:rPr>
          <w:rFonts w:ascii="Symbol" w:hAnsi="Symbol"/>
          <w:sz w:val="22"/>
        </w:rPr>
        <w:sectPr>
          <w:type w:val="continuous"/>
          <w:pgSz w:w="12240" w:h="15840"/>
          <w:pgMar w:header="0" w:footer="1021" w:top="1820" w:bottom="280" w:left="720" w:right="360"/>
          <w:cols w:num="2" w:equalWidth="0">
            <w:col w:w="5378" w:space="40"/>
            <w:col w:w="5742"/>
          </w:cols>
        </w:sectPr>
      </w:pPr>
    </w:p>
    <w:p>
      <w:pPr>
        <w:pStyle w:val="BodyText"/>
        <w:rPr>
          <w:sz w:val="16"/>
        </w:rPr>
      </w:pPr>
    </w:p>
    <w:p>
      <w:pPr>
        <w:pStyle w:val="BodyText"/>
        <w:spacing w:before="97"/>
        <w:rPr>
          <w:sz w:val="16"/>
        </w:rPr>
      </w:pPr>
    </w:p>
    <w:p>
      <w:pPr>
        <w:spacing w:before="0"/>
        <w:ind w:left="1700" w:right="0" w:firstLine="0"/>
        <w:jc w:val="left"/>
        <w:rPr>
          <w:sz w:val="16"/>
        </w:rPr>
      </w:pPr>
      <w:r>
        <w:rPr>
          <w:b/>
          <w:sz w:val="16"/>
        </w:rPr>
        <w:t>Fuente:</w:t>
      </w:r>
      <w:r>
        <w:rPr>
          <w:b/>
          <w:spacing w:val="-1"/>
          <w:sz w:val="16"/>
        </w:rPr>
        <w:t> </w:t>
      </w:r>
      <w:r>
        <w:rPr>
          <w:sz w:val="16"/>
        </w:rPr>
        <w:t>Dirección</w:t>
      </w:r>
      <w:r>
        <w:rPr>
          <w:spacing w:val="-6"/>
          <w:sz w:val="16"/>
        </w:rPr>
        <w:t> </w:t>
      </w:r>
      <w:r>
        <w:rPr>
          <w:sz w:val="16"/>
        </w:rPr>
        <w:t>de</w:t>
      </w:r>
      <w:r>
        <w:rPr>
          <w:spacing w:val="-7"/>
          <w:sz w:val="16"/>
        </w:rPr>
        <w:t> </w:t>
      </w:r>
      <w:r>
        <w:rPr>
          <w:sz w:val="16"/>
        </w:rPr>
        <w:t>Desarrollo</w:t>
      </w:r>
      <w:r>
        <w:rPr>
          <w:spacing w:val="-6"/>
          <w:sz w:val="16"/>
        </w:rPr>
        <w:t> </w:t>
      </w:r>
      <w:r>
        <w:rPr>
          <w:spacing w:val="-2"/>
          <w:sz w:val="16"/>
        </w:rPr>
        <w:t>Social</w:t>
      </w:r>
    </w:p>
    <w:p>
      <w:pPr>
        <w:spacing w:after="0"/>
        <w:jc w:val="left"/>
        <w:rPr>
          <w:sz w:val="16"/>
        </w:rPr>
        <w:sectPr>
          <w:type w:val="continuous"/>
          <w:pgSz w:w="12240" w:h="15840"/>
          <w:pgMar w:header="0" w:footer="1021" w:top="1820" w:bottom="280" w:left="720" w:right="360"/>
        </w:sectPr>
      </w:pPr>
    </w:p>
    <w:p>
      <w:pPr>
        <w:pStyle w:val="Heading1"/>
        <w:numPr>
          <w:ilvl w:val="2"/>
          <w:numId w:val="5"/>
        </w:numPr>
        <w:tabs>
          <w:tab w:pos="2733" w:val="left" w:leader="none"/>
        </w:tabs>
        <w:spacing w:line="240" w:lineRule="auto" w:before="63" w:after="0"/>
        <w:ind w:left="2733" w:right="0" w:hanging="601"/>
        <w:jc w:val="left"/>
      </w:pPr>
      <w:r>
        <w:rPr/>
        <w:t>Dimensión</w:t>
      </w:r>
      <w:r>
        <w:rPr>
          <w:spacing w:val="-9"/>
        </w:rPr>
        <w:t> </w:t>
      </w:r>
      <w:r>
        <w:rPr/>
        <w:t>de</w:t>
      </w:r>
      <w:r>
        <w:rPr>
          <w:spacing w:val="-5"/>
        </w:rPr>
        <w:t> </w:t>
      </w:r>
      <w:r>
        <w:rPr/>
        <w:t>Protección</w:t>
      </w:r>
      <w:r>
        <w:rPr>
          <w:spacing w:val="-3"/>
        </w:rPr>
        <w:t> </w:t>
      </w:r>
      <w:r>
        <w:rPr>
          <w:spacing w:val="-2"/>
        </w:rPr>
        <w:t>Social</w:t>
      </w:r>
    </w:p>
    <w:p>
      <w:pPr>
        <w:pStyle w:val="BodyText"/>
        <w:spacing w:before="252"/>
        <w:ind w:left="1268" w:right="1240"/>
        <w:jc w:val="both"/>
      </w:pPr>
      <w:r>
        <w:rPr/>
        <w:t>La dimensión de protección social se vislumbra como un conjunto de acciones para promover</w:t>
      </w:r>
      <w:r>
        <w:rPr>
          <w:spacing w:val="-9"/>
        </w:rPr>
        <w:t> </w:t>
      </w:r>
      <w:r>
        <w:rPr/>
        <w:t>el</w:t>
      </w:r>
      <w:r>
        <w:rPr>
          <w:spacing w:val="-13"/>
        </w:rPr>
        <w:t> </w:t>
      </w:r>
      <w:r>
        <w:rPr/>
        <w:t>ejercicio</w:t>
      </w:r>
      <w:r>
        <w:rPr>
          <w:spacing w:val="-5"/>
        </w:rPr>
        <w:t> </w:t>
      </w:r>
      <w:r>
        <w:rPr/>
        <w:t>de</w:t>
      </w:r>
      <w:r>
        <w:rPr>
          <w:spacing w:val="-10"/>
        </w:rPr>
        <w:t> </w:t>
      </w:r>
      <w:r>
        <w:rPr/>
        <w:t>derechos</w:t>
      </w:r>
      <w:r>
        <w:rPr>
          <w:spacing w:val="-12"/>
        </w:rPr>
        <w:t> </w:t>
      </w:r>
      <w:r>
        <w:rPr/>
        <w:t>económicos,</w:t>
      </w:r>
      <w:r>
        <w:rPr>
          <w:spacing w:val="-11"/>
        </w:rPr>
        <w:t> </w:t>
      </w:r>
      <w:r>
        <w:rPr/>
        <w:t>sociales</w:t>
      </w:r>
      <w:r>
        <w:rPr>
          <w:spacing w:val="-7"/>
        </w:rPr>
        <w:t> </w:t>
      </w:r>
      <w:r>
        <w:rPr/>
        <w:t>y</w:t>
      </w:r>
      <w:r>
        <w:rPr>
          <w:spacing w:val="-12"/>
        </w:rPr>
        <w:t> </w:t>
      </w:r>
      <w:r>
        <w:rPr/>
        <w:t>culturales;</w:t>
      </w:r>
      <w:r>
        <w:rPr>
          <w:spacing w:val="-6"/>
        </w:rPr>
        <w:t> </w:t>
      </w:r>
      <w:r>
        <w:rPr/>
        <w:t>se</w:t>
      </w:r>
      <w:r>
        <w:rPr>
          <w:spacing w:val="-10"/>
        </w:rPr>
        <w:t> </w:t>
      </w:r>
      <w:r>
        <w:rPr/>
        <w:t>asocia</w:t>
      </w:r>
      <w:r>
        <w:rPr>
          <w:spacing w:val="-10"/>
        </w:rPr>
        <w:t> </w:t>
      </w:r>
      <w:r>
        <w:rPr/>
        <w:t>a</w:t>
      </w:r>
      <w:r>
        <w:rPr>
          <w:spacing w:val="-5"/>
        </w:rPr>
        <w:t> </w:t>
      </w:r>
      <w:r>
        <w:rPr/>
        <w:t>la</w:t>
      </w:r>
      <w:r>
        <w:rPr>
          <w:spacing w:val="-5"/>
        </w:rPr>
        <w:t> </w:t>
      </w:r>
      <w:r>
        <w:rPr/>
        <w:t>oferta programática del IMAS vinculada con la satisfacción de las necesidades básicas, y orientada</w:t>
      </w:r>
      <w:r>
        <w:rPr>
          <w:spacing w:val="-16"/>
        </w:rPr>
        <w:t> </w:t>
      </w:r>
      <w:r>
        <w:rPr/>
        <w:t>a</w:t>
      </w:r>
      <w:r>
        <w:rPr>
          <w:spacing w:val="-15"/>
        </w:rPr>
        <w:t> </w:t>
      </w:r>
      <w:r>
        <w:rPr/>
        <w:t>reducir</w:t>
      </w:r>
      <w:r>
        <w:rPr>
          <w:spacing w:val="-15"/>
        </w:rPr>
        <w:t> </w:t>
      </w:r>
      <w:r>
        <w:rPr/>
        <w:t>el</w:t>
      </w:r>
      <w:r>
        <w:rPr>
          <w:spacing w:val="-16"/>
        </w:rPr>
        <w:t> </w:t>
      </w:r>
      <w:r>
        <w:rPr/>
        <w:t>riesgo</w:t>
      </w:r>
      <w:r>
        <w:rPr>
          <w:spacing w:val="-14"/>
        </w:rPr>
        <w:t> </w:t>
      </w:r>
      <w:r>
        <w:rPr/>
        <w:t>y</w:t>
      </w:r>
      <w:r>
        <w:rPr>
          <w:spacing w:val="-15"/>
        </w:rPr>
        <w:t> </w:t>
      </w:r>
      <w:r>
        <w:rPr/>
        <w:t>vulnerabilidad</w:t>
      </w:r>
      <w:r>
        <w:rPr>
          <w:spacing w:val="-14"/>
        </w:rPr>
        <w:t> </w:t>
      </w:r>
      <w:r>
        <w:rPr/>
        <w:t>social</w:t>
      </w:r>
      <w:r>
        <w:rPr>
          <w:spacing w:val="-15"/>
        </w:rPr>
        <w:t> </w:t>
      </w:r>
      <w:r>
        <w:rPr/>
        <w:t>de</w:t>
      </w:r>
      <w:r>
        <w:rPr>
          <w:spacing w:val="-13"/>
        </w:rPr>
        <w:t> </w:t>
      </w:r>
      <w:r>
        <w:rPr/>
        <w:t>las</w:t>
      </w:r>
      <w:r>
        <w:rPr>
          <w:spacing w:val="-16"/>
        </w:rPr>
        <w:t> </w:t>
      </w:r>
      <w:r>
        <w:rPr/>
        <w:t>personas</w:t>
      </w:r>
      <w:r>
        <w:rPr>
          <w:spacing w:val="-15"/>
        </w:rPr>
        <w:t> </w:t>
      </w:r>
      <w:r>
        <w:rPr/>
        <w:t>y</w:t>
      </w:r>
      <w:r>
        <w:rPr>
          <w:spacing w:val="-15"/>
        </w:rPr>
        <w:t> </w:t>
      </w:r>
      <w:r>
        <w:rPr/>
        <w:t>hogares</w:t>
      </w:r>
      <w:r>
        <w:rPr>
          <w:spacing w:val="-15"/>
        </w:rPr>
        <w:t> </w:t>
      </w:r>
      <w:r>
        <w:rPr/>
        <w:t>en</w:t>
      </w:r>
      <w:r>
        <w:rPr>
          <w:spacing w:val="-14"/>
        </w:rPr>
        <w:t> </w:t>
      </w:r>
      <w:r>
        <w:rPr/>
        <w:t>situación de</w:t>
      </w:r>
      <w:r>
        <w:rPr>
          <w:spacing w:val="-5"/>
        </w:rPr>
        <w:t> </w:t>
      </w:r>
      <w:r>
        <w:rPr/>
        <w:t>pobreza,</w:t>
      </w:r>
      <w:r>
        <w:rPr>
          <w:spacing w:val="-1"/>
        </w:rPr>
        <w:t> </w:t>
      </w:r>
      <w:r>
        <w:rPr/>
        <w:t>así</w:t>
      </w:r>
      <w:r>
        <w:rPr>
          <w:spacing w:val="-1"/>
        </w:rPr>
        <w:t> </w:t>
      </w:r>
      <w:r>
        <w:rPr/>
        <w:t>como</w:t>
      </w:r>
      <w:r>
        <w:rPr>
          <w:spacing w:val="-1"/>
        </w:rPr>
        <w:t> </w:t>
      </w:r>
      <w:r>
        <w:rPr/>
        <w:t>al</w:t>
      </w:r>
      <w:r>
        <w:rPr>
          <w:spacing w:val="-8"/>
        </w:rPr>
        <w:t> </w:t>
      </w:r>
      <w:r>
        <w:rPr/>
        <w:t>aporte</w:t>
      </w:r>
      <w:r>
        <w:rPr>
          <w:spacing w:val="-5"/>
        </w:rPr>
        <w:t> </w:t>
      </w:r>
      <w:r>
        <w:rPr/>
        <w:t>a</w:t>
      </w:r>
      <w:r>
        <w:rPr>
          <w:spacing w:val="-1"/>
        </w:rPr>
        <w:t> </w:t>
      </w:r>
      <w:r>
        <w:rPr/>
        <w:t>organizaciones</w:t>
      </w:r>
      <w:r>
        <w:rPr>
          <w:spacing w:val="-7"/>
        </w:rPr>
        <w:t> </w:t>
      </w:r>
      <w:r>
        <w:rPr/>
        <w:t>que</w:t>
      </w:r>
      <w:r>
        <w:rPr>
          <w:spacing w:val="-1"/>
        </w:rPr>
        <w:t> </w:t>
      </w:r>
      <w:r>
        <w:rPr/>
        <w:t>atienden</w:t>
      </w:r>
      <w:r>
        <w:rPr>
          <w:spacing w:val="-1"/>
        </w:rPr>
        <w:t> </w:t>
      </w:r>
      <w:r>
        <w:rPr/>
        <w:t>población</w:t>
      </w:r>
      <w:r>
        <w:rPr>
          <w:spacing w:val="-1"/>
        </w:rPr>
        <w:t> </w:t>
      </w:r>
      <w:r>
        <w:rPr/>
        <w:t>en situación</w:t>
      </w:r>
      <w:r>
        <w:rPr>
          <w:spacing w:val="-5"/>
        </w:rPr>
        <w:t> </w:t>
      </w:r>
      <w:r>
        <w:rPr/>
        <w:t>de </w:t>
      </w:r>
      <w:r>
        <w:rPr>
          <w:spacing w:val="-2"/>
        </w:rPr>
        <w:t>pobreza.</w:t>
      </w:r>
    </w:p>
    <w:p>
      <w:pPr>
        <w:pStyle w:val="BodyText"/>
      </w:pPr>
    </w:p>
    <w:p>
      <w:pPr>
        <w:pStyle w:val="BodyText"/>
        <w:spacing w:before="1"/>
        <w:ind w:left="1268"/>
        <w:jc w:val="both"/>
      </w:pPr>
      <w:r>
        <w:rPr/>
        <w:t>La</w:t>
      </w:r>
      <w:r>
        <w:rPr>
          <w:spacing w:val="-10"/>
        </w:rPr>
        <w:t> </w:t>
      </w:r>
      <w:r>
        <w:rPr/>
        <w:t>oferta</w:t>
      </w:r>
      <w:r>
        <w:rPr>
          <w:spacing w:val="-7"/>
        </w:rPr>
        <w:t> </w:t>
      </w:r>
      <w:r>
        <w:rPr/>
        <w:t>programática</w:t>
      </w:r>
      <w:r>
        <w:rPr>
          <w:spacing w:val="-3"/>
        </w:rPr>
        <w:t> </w:t>
      </w:r>
      <w:r>
        <w:rPr/>
        <w:t>vinculada</w:t>
      </w:r>
      <w:r>
        <w:rPr>
          <w:spacing w:val="-3"/>
        </w:rPr>
        <w:t> </w:t>
      </w:r>
      <w:r>
        <w:rPr/>
        <w:t>a</w:t>
      </w:r>
      <w:r>
        <w:rPr>
          <w:spacing w:val="-7"/>
        </w:rPr>
        <w:t> </w:t>
      </w:r>
      <w:r>
        <w:rPr/>
        <w:t>Protección</w:t>
      </w:r>
      <w:r>
        <w:rPr>
          <w:spacing w:val="-8"/>
        </w:rPr>
        <w:t> </w:t>
      </w:r>
      <w:r>
        <w:rPr/>
        <w:t>Social</w:t>
      </w:r>
      <w:r>
        <w:rPr>
          <w:spacing w:val="-5"/>
        </w:rPr>
        <w:t> </w:t>
      </w:r>
      <w:r>
        <w:rPr/>
        <w:t>es</w:t>
      </w:r>
      <w:r>
        <w:rPr>
          <w:spacing w:val="-4"/>
        </w:rPr>
        <w:t> </w:t>
      </w:r>
      <w:r>
        <w:rPr/>
        <w:t>la</w:t>
      </w:r>
      <w:r>
        <w:rPr>
          <w:spacing w:val="-3"/>
        </w:rPr>
        <w:t> </w:t>
      </w:r>
      <w:r>
        <w:rPr>
          <w:spacing w:val="-2"/>
        </w:rPr>
        <w:t>siguiente:</w:t>
      </w:r>
    </w:p>
    <w:p>
      <w:pPr>
        <w:pStyle w:val="ListParagraph"/>
        <w:numPr>
          <w:ilvl w:val="1"/>
          <w:numId w:val="20"/>
        </w:numPr>
        <w:tabs>
          <w:tab w:pos="1832" w:val="left" w:leader="none"/>
          <w:tab w:pos="1834" w:val="left" w:leader="none"/>
        </w:tabs>
        <w:spacing w:line="240" w:lineRule="auto" w:before="251" w:after="0"/>
        <w:ind w:left="1834" w:right="1255" w:hanging="284"/>
        <w:jc w:val="both"/>
        <w:rPr>
          <w:rFonts w:ascii="Symbol" w:hAnsi="Symbol"/>
          <w:sz w:val="22"/>
        </w:rPr>
      </w:pPr>
      <w:r>
        <w:rPr>
          <w:b/>
          <w:sz w:val="22"/>
        </w:rPr>
        <w:t>Beneficio Titulación</w:t>
      </w:r>
      <w:r>
        <w:rPr>
          <w:sz w:val="22"/>
        </w:rPr>
        <w:t>: brinda oportunidades a personas y hogares para que sean propietarias de bienes inmuebles inscritos</w:t>
      </w:r>
      <w:r>
        <w:rPr>
          <w:spacing w:val="-2"/>
          <w:sz w:val="22"/>
        </w:rPr>
        <w:t> </w:t>
      </w:r>
      <w:r>
        <w:rPr>
          <w:sz w:val="22"/>
        </w:rPr>
        <w:t>a nombre del IMAS, así como para que con autorización expresa del Consejo Directivo del IMAS, el bien inmueble que ya ha sido titulado pueda ser gravado, embargado, vendido o traspasado a favor de terceros, siempre que no haya transcurrido el plazo de las limitaciones o los diez </w:t>
      </w:r>
      <w:r>
        <w:rPr>
          <w:spacing w:val="-2"/>
          <w:sz w:val="22"/>
        </w:rPr>
        <w:t>años.</w:t>
      </w:r>
    </w:p>
    <w:p>
      <w:pPr>
        <w:pStyle w:val="ListParagraph"/>
        <w:numPr>
          <w:ilvl w:val="1"/>
          <w:numId w:val="20"/>
        </w:numPr>
        <w:tabs>
          <w:tab w:pos="1832" w:val="left" w:leader="none"/>
          <w:tab w:pos="1834" w:val="left" w:leader="none"/>
        </w:tabs>
        <w:spacing w:line="240" w:lineRule="auto" w:before="251" w:after="0"/>
        <w:ind w:left="1834" w:right="1263" w:hanging="284"/>
        <w:jc w:val="both"/>
        <w:rPr>
          <w:rFonts w:ascii="Symbol" w:hAnsi="Symbol"/>
          <w:sz w:val="22"/>
        </w:rPr>
      </w:pPr>
      <w:r>
        <w:rPr>
          <w:b/>
          <w:sz w:val="22"/>
        </w:rPr>
        <w:t>Levantamiento</w:t>
      </w:r>
      <w:r>
        <w:rPr>
          <w:b/>
          <w:spacing w:val="-4"/>
          <w:sz w:val="22"/>
        </w:rPr>
        <w:t> </w:t>
      </w:r>
      <w:r>
        <w:rPr>
          <w:b/>
          <w:sz w:val="22"/>
        </w:rPr>
        <w:t>de</w:t>
      </w:r>
      <w:r>
        <w:rPr>
          <w:b/>
          <w:spacing w:val="-2"/>
          <w:sz w:val="22"/>
        </w:rPr>
        <w:t> </w:t>
      </w:r>
      <w:r>
        <w:rPr>
          <w:b/>
          <w:sz w:val="22"/>
        </w:rPr>
        <w:t>limitaciones</w:t>
      </w:r>
      <w:r>
        <w:rPr>
          <w:sz w:val="22"/>
        </w:rPr>
        <w:t>:</w:t>
      </w:r>
      <w:r>
        <w:rPr>
          <w:spacing w:val="-7"/>
          <w:sz w:val="22"/>
        </w:rPr>
        <w:t> </w:t>
      </w:r>
      <w:r>
        <w:rPr>
          <w:sz w:val="22"/>
        </w:rPr>
        <w:t>brinda</w:t>
      </w:r>
      <w:r>
        <w:rPr>
          <w:spacing w:val="-6"/>
          <w:sz w:val="22"/>
        </w:rPr>
        <w:t> </w:t>
      </w:r>
      <w:r>
        <w:rPr>
          <w:sz w:val="22"/>
        </w:rPr>
        <w:t>oportunidades</w:t>
      </w:r>
      <w:r>
        <w:rPr>
          <w:spacing w:val="-8"/>
          <w:sz w:val="22"/>
        </w:rPr>
        <w:t> </w:t>
      </w:r>
      <w:r>
        <w:rPr>
          <w:sz w:val="22"/>
        </w:rPr>
        <w:t>a</w:t>
      </w:r>
      <w:r>
        <w:rPr>
          <w:spacing w:val="-6"/>
          <w:sz w:val="22"/>
        </w:rPr>
        <w:t> </w:t>
      </w:r>
      <w:r>
        <w:rPr>
          <w:sz w:val="22"/>
        </w:rPr>
        <w:t>personas</w:t>
      </w:r>
      <w:r>
        <w:rPr>
          <w:spacing w:val="-3"/>
          <w:sz w:val="22"/>
        </w:rPr>
        <w:t> </w:t>
      </w:r>
      <w:r>
        <w:rPr>
          <w:sz w:val="22"/>
        </w:rPr>
        <w:t>y</w:t>
      </w:r>
      <w:r>
        <w:rPr>
          <w:spacing w:val="-8"/>
          <w:sz w:val="22"/>
        </w:rPr>
        <w:t> </w:t>
      </w:r>
      <w:r>
        <w:rPr>
          <w:sz w:val="22"/>
        </w:rPr>
        <w:t>hogares</w:t>
      </w:r>
      <w:r>
        <w:rPr>
          <w:spacing w:val="-8"/>
          <w:sz w:val="22"/>
        </w:rPr>
        <w:t> </w:t>
      </w:r>
      <w:r>
        <w:rPr>
          <w:sz w:val="22"/>
        </w:rPr>
        <w:t>para recibir la autorización expresa del Consejo Directivo del IMAS para que el bien inmueble</w:t>
      </w:r>
      <w:r>
        <w:rPr>
          <w:spacing w:val="-4"/>
          <w:sz w:val="22"/>
        </w:rPr>
        <w:t> </w:t>
      </w:r>
      <w:r>
        <w:rPr>
          <w:sz w:val="22"/>
        </w:rPr>
        <w:t>titulado</w:t>
      </w:r>
      <w:r>
        <w:rPr>
          <w:spacing w:val="-4"/>
          <w:sz w:val="22"/>
        </w:rPr>
        <w:t> </w:t>
      </w:r>
      <w:r>
        <w:rPr>
          <w:sz w:val="22"/>
        </w:rPr>
        <w:t>pueda</w:t>
      </w:r>
      <w:r>
        <w:rPr>
          <w:spacing w:val="-4"/>
          <w:sz w:val="22"/>
        </w:rPr>
        <w:t> </w:t>
      </w:r>
      <w:r>
        <w:rPr>
          <w:sz w:val="22"/>
        </w:rPr>
        <w:t>ser</w:t>
      </w:r>
      <w:r>
        <w:rPr>
          <w:spacing w:val="-8"/>
          <w:sz w:val="22"/>
        </w:rPr>
        <w:t> </w:t>
      </w:r>
      <w:r>
        <w:rPr>
          <w:sz w:val="22"/>
        </w:rPr>
        <w:t>gravado, embargado,</w:t>
      </w:r>
      <w:r>
        <w:rPr>
          <w:spacing w:val="-5"/>
          <w:sz w:val="22"/>
        </w:rPr>
        <w:t> </w:t>
      </w:r>
      <w:r>
        <w:rPr>
          <w:sz w:val="22"/>
        </w:rPr>
        <w:t>vendido o</w:t>
      </w:r>
      <w:r>
        <w:rPr>
          <w:spacing w:val="-4"/>
          <w:sz w:val="22"/>
        </w:rPr>
        <w:t> </w:t>
      </w:r>
      <w:r>
        <w:rPr>
          <w:sz w:val="22"/>
        </w:rPr>
        <w:t>traspasado</w:t>
      </w:r>
      <w:r>
        <w:rPr>
          <w:spacing w:val="-4"/>
          <w:sz w:val="22"/>
        </w:rPr>
        <w:t> </w:t>
      </w:r>
      <w:r>
        <w:rPr>
          <w:sz w:val="22"/>
        </w:rPr>
        <w:t>a favor</w:t>
      </w:r>
      <w:r>
        <w:rPr>
          <w:spacing w:val="-8"/>
          <w:sz w:val="22"/>
        </w:rPr>
        <w:t> </w:t>
      </w:r>
      <w:r>
        <w:rPr>
          <w:sz w:val="22"/>
        </w:rPr>
        <w:t>de terceros,</w:t>
      </w:r>
      <w:r>
        <w:rPr>
          <w:spacing w:val="-15"/>
          <w:sz w:val="22"/>
        </w:rPr>
        <w:t> </w:t>
      </w:r>
      <w:r>
        <w:rPr>
          <w:sz w:val="22"/>
        </w:rPr>
        <w:t>de</w:t>
      </w:r>
      <w:r>
        <w:rPr>
          <w:spacing w:val="-11"/>
          <w:sz w:val="22"/>
        </w:rPr>
        <w:t> </w:t>
      </w:r>
      <w:r>
        <w:rPr>
          <w:sz w:val="22"/>
        </w:rPr>
        <w:t>acuerdo</w:t>
      </w:r>
      <w:r>
        <w:rPr>
          <w:spacing w:val="-6"/>
          <w:sz w:val="22"/>
        </w:rPr>
        <w:t> </w:t>
      </w:r>
      <w:r>
        <w:rPr>
          <w:sz w:val="22"/>
        </w:rPr>
        <w:t>con</w:t>
      </w:r>
      <w:r>
        <w:rPr>
          <w:spacing w:val="-11"/>
          <w:sz w:val="22"/>
        </w:rPr>
        <w:t> </w:t>
      </w:r>
      <w:r>
        <w:rPr>
          <w:sz w:val="22"/>
        </w:rPr>
        <w:t>la</w:t>
      </w:r>
      <w:r>
        <w:rPr>
          <w:spacing w:val="-6"/>
          <w:sz w:val="22"/>
        </w:rPr>
        <w:t> </w:t>
      </w:r>
      <w:r>
        <w:rPr>
          <w:sz w:val="22"/>
        </w:rPr>
        <w:t>recomendación</w:t>
      </w:r>
      <w:r>
        <w:rPr>
          <w:spacing w:val="-6"/>
          <w:sz w:val="22"/>
        </w:rPr>
        <w:t> </w:t>
      </w:r>
      <w:r>
        <w:rPr>
          <w:sz w:val="22"/>
        </w:rPr>
        <w:t>social</w:t>
      </w:r>
      <w:r>
        <w:rPr>
          <w:spacing w:val="-16"/>
          <w:sz w:val="22"/>
        </w:rPr>
        <w:t> </w:t>
      </w:r>
      <w:r>
        <w:rPr>
          <w:sz w:val="22"/>
        </w:rPr>
        <w:t>que</w:t>
      </w:r>
      <w:r>
        <w:rPr>
          <w:spacing w:val="-6"/>
          <w:sz w:val="22"/>
        </w:rPr>
        <w:t> </w:t>
      </w:r>
      <w:r>
        <w:rPr>
          <w:sz w:val="22"/>
        </w:rPr>
        <w:t>justifique</w:t>
      </w:r>
      <w:r>
        <w:rPr>
          <w:spacing w:val="-6"/>
          <w:sz w:val="22"/>
        </w:rPr>
        <w:t> </w:t>
      </w:r>
      <w:r>
        <w:rPr>
          <w:sz w:val="22"/>
        </w:rPr>
        <w:t>la</w:t>
      </w:r>
      <w:r>
        <w:rPr>
          <w:spacing w:val="-11"/>
          <w:sz w:val="22"/>
        </w:rPr>
        <w:t> </w:t>
      </w:r>
      <w:r>
        <w:rPr>
          <w:sz w:val="22"/>
        </w:rPr>
        <w:t>gestión,</w:t>
      </w:r>
      <w:r>
        <w:rPr>
          <w:spacing w:val="-7"/>
          <w:sz w:val="22"/>
        </w:rPr>
        <w:t> </w:t>
      </w:r>
      <w:r>
        <w:rPr>
          <w:sz w:val="22"/>
        </w:rPr>
        <w:t>siempre que no haya transcurrido el plazo establecido de las limitaciones.</w:t>
      </w:r>
    </w:p>
    <w:p>
      <w:pPr>
        <w:pStyle w:val="ListParagraph"/>
        <w:numPr>
          <w:ilvl w:val="1"/>
          <w:numId w:val="20"/>
        </w:numPr>
        <w:tabs>
          <w:tab w:pos="1832" w:val="left" w:leader="none"/>
          <w:tab w:pos="1834" w:val="left" w:leader="none"/>
        </w:tabs>
        <w:spacing w:line="240" w:lineRule="auto" w:before="250" w:after="0"/>
        <w:ind w:left="1834" w:right="1243" w:hanging="284"/>
        <w:jc w:val="both"/>
        <w:rPr>
          <w:rFonts w:ascii="Symbol" w:hAnsi="Symbol"/>
          <w:sz w:val="22"/>
        </w:rPr>
      </w:pPr>
      <w:r>
        <w:rPr>
          <w:b/>
          <w:sz w:val="22"/>
        </w:rPr>
        <w:t>Subsidio Asignación familiar (Inciso H): </w:t>
      </w:r>
      <w:r>
        <w:rPr>
          <w:sz w:val="22"/>
        </w:rPr>
        <w:t>promueve la satisfacción de necesidades básicas como alimentación, salud, vivienda temporal, servicios públicos básicos, educación y capacitación, entre otros, a personas con discapacidad, propiciando condiciones para mejorar su nivel de vida.</w:t>
      </w:r>
    </w:p>
    <w:p>
      <w:pPr>
        <w:pStyle w:val="BodyText"/>
        <w:spacing w:line="252" w:lineRule="exact"/>
        <w:ind w:left="1834"/>
        <w:jc w:val="both"/>
      </w:pPr>
      <w:r>
        <w:rPr/>
        <w:t>Se</w:t>
      </w:r>
      <w:r>
        <w:rPr>
          <w:spacing w:val="-5"/>
        </w:rPr>
        <w:t> </w:t>
      </w:r>
      <w:r>
        <w:rPr/>
        <w:t>otorga</w:t>
      </w:r>
      <w:r>
        <w:rPr>
          <w:spacing w:val="-3"/>
        </w:rPr>
        <w:t> </w:t>
      </w:r>
      <w:r>
        <w:rPr>
          <w:spacing w:val="-5"/>
        </w:rPr>
        <w:t>a:</w:t>
      </w:r>
    </w:p>
    <w:p>
      <w:pPr>
        <w:pStyle w:val="ListParagraph"/>
        <w:numPr>
          <w:ilvl w:val="2"/>
          <w:numId w:val="20"/>
        </w:numPr>
        <w:tabs>
          <w:tab w:pos="2115" w:val="left" w:leader="none"/>
          <w:tab w:pos="2117" w:val="left" w:leader="none"/>
        </w:tabs>
        <w:spacing w:line="240" w:lineRule="auto" w:before="2" w:after="0"/>
        <w:ind w:left="2117" w:right="1249" w:hanging="284"/>
        <w:jc w:val="both"/>
        <w:rPr>
          <w:sz w:val="22"/>
        </w:rPr>
      </w:pPr>
      <w:r>
        <w:rPr>
          <w:sz w:val="22"/>
        </w:rPr>
        <w:t>Personas trabajadoras con bajos ingresos que tengan a su cargo hijos o hijas con discapacidad permanente.</w:t>
      </w:r>
    </w:p>
    <w:p>
      <w:pPr>
        <w:pStyle w:val="ListParagraph"/>
        <w:numPr>
          <w:ilvl w:val="2"/>
          <w:numId w:val="20"/>
        </w:numPr>
        <w:tabs>
          <w:tab w:pos="2115" w:val="left" w:leader="none"/>
          <w:tab w:pos="2117" w:val="left" w:leader="none"/>
        </w:tabs>
        <w:spacing w:line="240" w:lineRule="auto" w:before="0" w:after="0"/>
        <w:ind w:left="2117" w:right="1253" w:hanging="284"/>
        <w:jc w:val="both"/>
        <w:rPr>
          <w:sz w:val="22"/>
        </w:rPr>
      </w:pPr>
      <w:r>
        <w:rPr>
          <w:sz w:val="22"/>
        </w:rPr>
        <w:t>Personas trabajadoras de bajos ingresos que tengan a su cargo hijos o hijas menores de edad con discapacidad.</w:t>
      </w:r>
    </w:p>
    <w:p>
      <w:pPr>
        <w:pStyle w:val="ListParagraph"/>
        <w:numPr>
          <w:ilvl w:val="2"/>
          <w:numId w:val="20"/>
        </w:numPr>
        <w:tabs>
          <w:tab w:pos="2117" w:val="left" w:leader="none"/>
        </w:tabs>
        <w:spacing w:line="240" w:lineRule="auto" w:before="1" w:after="0"/>
        <w:ind w:left="2117" w:right="1250" w:hanging="284"/>
        <w:jc w:val="both"/>
        <w:rPr>
          <w:sz w:val="22"/>
        </w:rPr>
      </w:pPr>
      <w:r>
        <w:rPr>
          <w:sz w:val="22"/>
        </w:rPr>
        <w:t>Personas trabajadoras con bajos ingresos que tengan a su cargo hijos o hijas estudiantes de educación superior o técnica (educación superior universitaria o capacitación</w:t>
      </w:r>
      <w:r>
        <w:rPr>
          <w:spacing w:val="-9"/>
          <w:sz w:val="22"/>
        </w:rPr>
        <w:t> </w:t>
      </w:r>
      <w:r>
        <w:rPr>
          <w:sz w:val="22"/>
        </w:rPr>
        <w:t>técnica</w:t>
      </w:r>
      <w:r>
        <w:rPr>
          <w:spacing w:val="-9"/>
          <w:sz w:val="22"/>
        </w:rPr>
        <w:t> </w:t>
      </w:r>
      <w:r>
        <w:rPr>
          <w:sz w:val="22"/>
        </w:rPr>
        <w:t>o</w:t>
      </w:r>
      <w:r>
        <w:rPr>
          <w:spacing w:val="-9"/>
          <w:sz w:val="22"/>
        </w:rPr>
        <w:t> </w:t>
      </w:r>
      <w:r>
        <w:rPr>
          <w:sz w:val="22"/>
        </w:rPr>
        <w:t>laboral)</w:t>
      </w:r>
      <w:r>
        <w:rPr>
          <w:spacing w:val="-8"/>
          <w:sz w:val="22"/>
        </w:rPr>
        <w:t> </w:t>
      </w:r>
      <w:r>
        <w:rPr>
          <w:sz w:val="22"/>
        </w:rPr>
        <w:t>con</w:t>
      </w:r>
      <w:r>
        <w:rPr>
          <w:spacing w:val="-9"/>
          <w:sz w:val="22"/>
        </w:rPr>
        <w:t> </w:t>
      </w:r>
      <w:r>
        <w:rPr>
          <w:sz w:val="22"/>
        </w:rPr>
        <w:t>discapacidad</w:t>
      </w:r>
      <w:r>
        <w:rPr>
          <w:spacing w:val="-9"/>
          <w:sz w:val="22"/>
        </w:rPr>
        <w:t> </w:t>
      </w:r>
      <w:r>
        <w:rPr>
          <w:sz w:val="22"/>
        </w:rPr>
        <w:t>entre</w:t>
      </w:r>
      <w:r>
        <w:rPr>
          <w:spacing w:val="-4"/>
          <w:sz w:val="22"/>
        </w:rPr>
        <w:t> </w:t>
      </w:r>
      <w:r>
        <w:rPr>
          <w:sz w:val="22"/>
        </w:rPr>
        <w:t>los</w:t>
      </w:r>
      <w:r>
        <w:rPr>
          <w:spacing w:val="-11"/>
          <w:sz w:val="22"/>
        </w:rPr>
        <w:t> </w:t>
      </w:r>
      <w:r>
        <w:rPr>
          <w:sz w:val="22"/>
        </w:rPr>
        <w:t>18</w:t>
      </w:r>
      <w:r>
        <w:rPr>
          <w:spacing w:val="-9"/>
          <w:sz w:val="22"/>
        </w:rPr>
        <w:t> </w:t>
      </w:r>
      <w:r>
        <w:rPr>
          <w:sz w:val="22"/>
        </w:rPr>
        <w:t>y</w:t>
      </w:r>
      <w:r>
        <w:rPr>
          <w:spacing w:val="-11"/>
          <w:sz w:val="22"/>
        </w:rPr>
        <w:t> </w:t>
      </w:r>
      <w:r>
        <w:rPr>
          <w:sz w:val="22"/>
        </w:rPr>
        <w:t>25</w:t>
      </w:r>
      <w:r>
        <w:rPr>
          <w:spacing w:val="-9"/>
          <w:sz w:val="22"/>
        </w:rPr>
        <w:t> </w:t>
      </w:r>
      <w:r>
        <w:rPr>
          <w:sz w:val="22"/>
        </w:rPr>
        <w:t>años</w:t>
      </w:r>
      <w:r>
        <w:rPr>
          <w:spacing w:val="-11"/>
          <w:sz w:val="22"/>
        </w:rPr>
        <w:t> </w:t>
      </w:r>
      <w:r>
        <w:rPr>
          <w:sz w:val="22"/>
        </w:rPr>
        <w:t>de</w:t>
      </w:r>
      <w:r>
        <w:rPr>
          <w:spacing w:val="-9"/>
          <w:sz w:val="22"/>
        </w:rPr>
        <w:t> </w:t>
      </w:r>
      <w:r>
        <w:rPr>
          <w:sz w:val="22"/>
        </w:rPr>
        <w:t>edad.</w:t>
      </w:r>
    </w:p>
    <w:p>
      <w:pPr>
        <w:pStyle w:val="ListParagraph"/>
        <w:numPr>
          <w:ilvl w:val="2"/>
          <w:numId w:val="20"/>
        </w:numPr>
        <w:tabs>
          <w:tab w:pos="2115" w:val="left" w:leader="none"/>
          <w:tab w:pos="2117" w:val="left" w:leader="none"/>
        </w:tabs>
        <w:spacing w:line="240" w:lineRule="auto" w:before="0" w:after="0"/>
        <w:ind w:left="2117" w:right="1244" w:hanging="284"/>
        <w:jc w:val="both"/>
        <w:rPr>
          <w:sz w:val="22"/>
        </w:rPr>
      </w:pPr>
      <w:r>
        <w:rPr>
          <w:sz w:val="22"/>
        </w:rPr>
        <w:t>Casos de excepción: en casos muy calificados, como por ejemplo orfandad, abandono, violencia intrafamiliar,</w:t>
      </w:r>
      <w:r>
        <w:rPr>
          <w:spacing w:val="-3"/>
          <w:sz w:val="22"/>
        </w:rPr>
        <w:t> </w:t>
      </w:r>
      <w:r>
        <w:rPr>
          <w:sz w:val="22"/>
        </w:rPr>
        <w:t>orden judicial</w:t>
      </w:r>
      <w:r>
        <w:rPr>
          <w:spacing w:val="-1"/>
          <w:sz w:val="22"/>
        </w:rPr>
        <w:t> </w:t>
      </w:r>
      <w:r>
        <w:rPr>
          <w:sz w:val="22"/>
        </w:rPr>
        <w:t>u</w:t>
      </w:r>
      <w:r>
        <w:rPr>
          <w:spacing w:val="-3"/>
          <w:sz w:val="22"/>
        </w:rPr>
        <w:t> </w:t>
      </w:r>
      <w:r>
        <w:rPr>
          <w:sz w:val="22"/>
        </w:rPr>
        <w:t>otras situaciones similares, se podrá girar a favor de una persona o institución definida por el Juzgado de Familia</w:t>
      </w:r>
      <w:r>
        <w:rPr>
          <w:spacing w:val="-4"/>
          <w:sz w:val="22"/>
        </w:rPr>
        <w:t> </w:t>
      </w:r>
      <w:r>
        <w:rPr>
          <w:sz w:val="22"/>
        </w:rPr>
        <w:t>del</w:t>
      </w:r>
      <w:r>
        <w:rPr>
          <w:spacing w:val="-12"/>
          <w:sz w:val="22"/>
        </w:rPr>
        <w:t> </w:t>
      </w:r>
      <w:r>
        <w:rPr>
          <w:sz w:val="22"/>
        </w:rPr>
        <w:t>Poder</w:t>
      </w:r>
      <w:r>
        <w:rPr>
          <w:spacing w:val="-12"/>
          <w:sz w:val="22"/>
        </w:rPr>
        <w:t> </w:t>
      </w:r>
      <w:r>
        <w:rPr>
          <w:sz w:val="22"/>
        </w:rPr>
        <w:t>Judicial</w:t>
      </w:r>
      <w:r>
        <w:rPr>
          <w:spacing w:val="-12"/>
          <w:sz w:val="22"/>
        </w:rPr>
        <w:t> </w:t>
      </w:r>
      <w:r>
        <w:rPr>
          <w:sz w:val="22"/>
        </w:rPr>
        <w:t>o</w:t>
      </w:r>
      <w:r>
        <w:rPr>
          <w:spacing w:val="-9"/>
          <w:sz w:val="22"/>
        </w:rPr>
        <w:t> </w:t>
      </w:r>
      <w:r>
        <w:rPr>
          <w:sz w:val="22"/>
        </w:rPr>
        <w:t>el</w:t>
      </w:r>
      <w:r>
        <w:rPr>
          <w:spacing w:val="-12"/>
          <w:sz w:val="22"/>
        </w:rPr>
        <w:t> </w:t>
      </w:r>
      <w:r>
        <w:rPr>
          <w:sz w:val="22"/>
        </w:rPr>
        <w:t>Patronato</w:t>
      </w:r>
      <w:r>
        <w:rPr>
          <w:spacing w:val="-9"/>
          <w:sz w:val="22"/>
        </w:rPr>
        <w:t> </w:t>
      </w:r>
      <w:r>
        <w:rPr>
          <w:sz w:val="22"/>
        </w:rPr>
        <w:t>Nacional</w:t>
      </w:r>
      <w:r>
        <w:rPr>
          <w:spacing w:val="-12"/>
          <w:sz w:val="22"/>
        </w:rPr>
        <w:t> </w:t>
      </w:r>
      <w:r>
        <w:rPr>
          <w:sz w:val="22"/>
        </w:rPr>
        <w:t>de</w:t>
      </w:r>
      <w:r>
        <w:rPr>
          <w:spacing w:val="-9"/>
          <w:sz w:val="22"/>
        </w:rPr>
        <w:t> </w:t>
      </w:r>
      <w:r>
        <w:rPr>
          <w:sz w:val="22"/>
        </w:rPr>
        <w:t>la</w:t>
      </w:r>
      <w:r>
        <w:rPr>
          <w:spacing w:val="-9"/>
          <w:sz w:val="22"/>
        </w:rPr>
        <w:t> </w:t>
      </w:r>
      <w:r>
        <w:rPr>
          <w:sz w:val="22"/>
        </w:rPr>
        <w:t>Infancia</w:t>
      </w:r>
      <w:r>
        <w:rPr>
          <w:spacing w:val="-4"/>
          <w:sz w:val="22"/>
        </w:rPr>
        <w:t> </w:t>
      </w:r>
      <w:r>
        <w:rPr>
          <w:sz w:val="22"/>
        </w:rPr>
        <w:t>(de</w:t>
      </w:r>
      <w:r>
        <w:rPr>
          <w:spacing w:val="-9"/>
          <w:sz w:val="22"/>
        </w:rPr>
        <w:t> </w:t>
      </w:r>
      <w:r>
        <w:rPr>
          <w:sz w:val="22"/>
        </w:rPr>
        <w:t>acuerdo</w:t>
      </w:r>
      <w:r>
        <w:rPr>
          <w:spacing w:val="-9"/>
          <w:sz w:val="22"/>
        </w:rPr>
        <w:t> </w:t>
      </w:r>
      <w:r>
        <w:rPr>
          <w:sz w:val="22"/>
        </w:rPr>
        <w:t>con la vigencia de la medida).</w:t>
      </w:r>
    </w:p>
    <w:p>
      <w:pPr>
        <w:pStyle w:val="ListParagraph"/>
        <w:numPr>
          <w:ilvl w:val="1"/>
          <w:numId w:val="20"/>
        </w:numPr>
        <w:tabs>
          <w:tab w:pos="1832" w:val="left" w:leader="none"/>
          <w:tab w:pos="1834" w:val="left" w:leader="none"/>
        </w:tabs>
        <w:spacing w:line="240" w:lineRule="auto" w:before="252" w:after="0"/>
        <w:ind w:left="1834" w:right="1237" w:hanging="284"/>
        <w:jc w:val="both"/>
        <w:rPr>
          <w:rFonts w:ascii="Symbol" w:hAnsi="Symbol"/>
          <w:sz w:val="22"/>
        </w:rPr>
      </w:pPr>
      <w:r>
        <w:rPr>
          <w:b/>
          <w:sz w:val="22"/>
        </w:rPr>
        <w:t>Subsidio Atención a familias: </w:t>
      </w:r>
      <w:r>
        <w:rPr>
          <w:sz w:val="22"/>
        </w:rPr>
        <w:t>promueve la satisfacción de necesidades básicas de</w:t>
      </w:r>
      <w:r>
        <w:rPr>
          <w:spacing w:val="-2"/>
          <w:sz w:val="22"/>
        </w:rPr>
        <w:t> </w:t>
      </w:r>
      <w:r>
        <w:rPr>
          <w:sz w:val="22"/>
        </w:rPr>
        <w:t>alimentación,</w:t>
      </w:r>
      <w:r>
        <w:rPr>
          <w:spacing w:val="-2"/>
          <w:sz w:val="22"/>
        </w:rPr>
        <w:t> </w:t>
      </w:r>
      <w:r>
        <w:rPr>
          <w:sz w:val="22"/>
        </w:rPr>
        <w:t>salud,</w:t>
      </w:r>
      <w:r>
        <w:rPr>
          <w:spacing w:val="-2"/>
          <w:sz w:val="22"/>
        </w:rPr>
        <w:t> </w:t>
      </w:r>
      <w:r>
        <w:rPr>
          <w:sz w:val="22"/>
        </w:rPr>
        <w:t>vivienda temporal y servicios públicos básicos,</w:t>
      </w:r>
      <w:r>
        <w:rPr>
          <w:spacing w:val="-2"/>
          <w:sz w:val="22"/>
        </w:rPr>
        <w:t> </w:t>
      </w:r>
      <w:r>
        <w:rPr>
          <w:sz w:val="22"/>
        </w:rPr>
        <w:t>entre otros. Se otorga mediante un aporte económico temporal al ingreso del hogar, con el fin de mejorar las condiciones de vida.</w:t>
      </w:r>
    </w:p>
    <w:p>
      <w:pPr>
        <w:pStyle w:val="BodyText"/>
        <w:spacing w:before="2"/>
      </w:pPr>
    </w:p>
    <w:p>
      <w:pPr>
        <w:pStyle w:val="ListParagraph"/>
        <w:numPr>
          <w:ilvl w:val="1"/>
          <w:numId w:val="20"/>
        </w:numPr>
        <w:tabs>
          <w:tab w:pos="1832" w:val="left" w:leader="none"/>
          <w:tab w:pos="1834" w:val="left" w:leader="none"/>
        </w:tabs>
        <w:spacing w:line="237" w:lineRule="auto" w:before="0" w:after="0"/>
        <w:ind w:left="1834" w:right="1244" w:hanging="284"/>
        <w:jc w:val="both"/>
        <w:rPr>
          <w:rFonts w:ascii="Symbol" w:hAnsi="Symbol"/>
          <w:sz w:val="22"/>
        </w:rPr>
      </w:pPr>
      <w:r>
        <w:rPr>
          <w:b/>
          <w:sz w:val="22"/>
        </w:rPr>
        <w:t>Subsidio Atención de situaciones de violencia: </w:t>
      </w:r>
      <w:r>
        <w:rPr>
          <w:sz w:val="22"/>
        </w:rPr>
        <w:t>brinda las condiciones para la protección inmediata de personas víctimas de violencia intrafamiliar y violencia de género,</w:t>
      </w:r>
      <w:r>
        <w:rPr>
          <w:spacing w:val="40"/>
          <w:sz w:val="22"/>
        </w:rPr>
        <w:t> </w:t>
      </w:r>
      <w:r>
        <w:rPr>
          <w:sz w:val="22"/>
        </w:rPr>
        <w:t>mediante</w:t>
      </w:r>
      <w:r>
        <w:rPr>
          <w:spacing w:val="40"/>
          <w:sz w:val="22"/>
        </w:rPr>
        <w:t> </w:t>
      </w:r>
      <w:r>
        <w:rPr>
          <w:sz w:val="22"/>
        </w:rPr>
        <w:t>un</w:t>
      </w:r>
      <w:r>
        <w:rPr>
          <w:spacing w:val="40"/>
          <w:sz w:val="22"/>
        </w:rPr>
        <w:t> </w:t>
      </w:r>
      <w:r>
        <w:rPr>
          <w:sz w:val="22"/>
        </w:rPr>
        <w:t>aporte</w:t>
      </w:r>
      <w:r>
        <w:rPr>
          <w:spacing w:val="40"/>
          <w:sz w:val="22"/>
        </w:rPr>
        <w:t> </w:t>
      </w:r>
      <w:r>
        <w:rPr>
          <w:sz w:val="22"/>
        </w:rPr>
        <w:t>económico</w:t>
      </w:r>
      <w:r>
        <w:rPr>
          <w:spacing w:val="40"/>
          <w:sz w:val="22"/>
        </w:rPr>
        <w:t> </w:t>
      </w:r>
      <w:r>
        <w:rPr>
          <w:sz w:val="22"/>
        </w:rPr>
        <w:t>para</w:t>
      </w:r>
      <w:r>
        <w:rPr>
          <w:spacing w:val="40"/>
          <w:sz w:val="22"/>
        </w:rPr>
        <w:t> </w:t>
      </w:r>
      <w:r>
        <w:rPr>
          <w:sz w:val="22"/>
        </w:rPr>
        <w:t>facilitar</w:t>
      </w:r>
      <w:r>
        <w:rPr>
          <w:spacing w:val="40"/>
          <w:sz w:val="22"/>
        </w:rPr>
        <w:t> </w:t>
      </w:r>
      <w:r>
        <w:rPr>
          <w:sz w:val="22"/>
        </w:rPr>
        <w:t>la</w:t>
      </w:r>
      <w:r>
        <w:rPr>
          <w:spacing w:val="40"/>
          <w:sz w:val="22"/>
        </w:rPr>
        <w:t> </w:t>
      </w:r>
      <w:r>
        <w:rPr>
          <w:sz w:val="22"/>
        </w:rPr>
        <w:t>separación</w:t>
      </w:r>
      <w:r>
        <w:rPr>
          <w:spacing w:val="40"/>
          <w:sz w:val="22"/>
        </w:rPr>
        <w:t> </w:t>
      </w:r>
      <w:r>
        <w:rPr>
          <w:sz w:val="22"/>
        </w:rPr>
        <w:t>de</w:t>
      </w:r>
      <w:r>
        <w:rPr>
          <w:spacing w:val="40"/>
          <w:sz w:val="22"/>
        </w:rPr>
        <w:t> </w:t>
      </w:r>
      <w:r>
        <w:rPr>
          <w:sz w:val="22"/>
        </w:rPr>
        <w:t>la</w:t>
      </w:r>
      <w:r>
        <w:rPr>
          <w:spacing w:val="40"/>
          <w:sz w:val="22"/>
        </w:rPr>
        <w:t> </w:t>
      </w:r>
      <w:r>
        <w:rPr>
          <w:sz w:val="22"/>
        </w:rPr>
        <w:t>o</w:t>
      </w:r>
      <w:r>
        <w:rPr>
          <w:spacing w:val="40"/>
          <w:sz w:val="22"/>
        </w:rPr>
        <w:t> </w:t>
      </w:r>
      <w:r>
        <w:rPr>
          <w:sz w:val="22"/>
        </w:rPr>
        <w:t>las</w:t>
      </w:r>
    </w:p>
    <w:p>
      <w:pPr>
        <w:pStyle w:val="ListParagraph"/>
        <w:spacing w:after="0" w:line="237" w:lineRule="auto"/>
        <w:jc w:val="both"/>
        <w:rPr>
          <w:rFonts w:ascii="Symbol" w:hAnsi="Symbol"/>
          <w:sz w:val="22"/>
        </w:rPr>
        <w:sectPr>
          <w:footerReference w:type="default" r:id="rId59"/>
          <w:pgSz w:w="12240" w:h="15840"/>
          <w:pgMar w:header="0" w:footer="1101" w:top="1200" w:bottom="1300" w:left="720" w:right="360"/>
        </w:sectPr>
      </w:pPr>
    </w:p>
    <w:p>
      <w:pPr>
        <w:pStyle w:val="BodyText"/>
        <w:spacing w:before="66"/>
        <w:ind w:left="1834" w:right="1333"/>
      </w:pPr>
      <w:r>
        <w:rPr/>
        <w:t>víctimas</w:t>
      </w:r>
      <w:r>
        <w:rPr>
          <w:spacing w:val="40"/>
        </w:rPr>
        <w:t> </w:t>
      </w:r>
      <w:r>
        <w:rPr/>
        <w:t>del</w:t>
      </w:r>
      <w:r>
        <w:rPr>
          <w:spacing w:val="40"/>
        </w:rPr>
        <w:t> </w:t>
      </w:r>
      <w:r>
        <w:rPr/>
        <w:t>contexto</w:t>
      </w:r>
      <w:r>
        <w:rPr>
          <w:spacing w:val="40"/>
        </w:rPr>
        <w:t> </w:t>
      </w:r>
      <w:r>
        <w:rPr/>
        <w:t>que</w:t>
      </w:r>
      <w:r>
        <w:rPr>
          <w:spacing w:val="40"/>
        </w:rPr>
        <w:t> </w:t>
      </w:r>
      <w:r>
        <w:rPr/>
        <w:t>genera</w:t>
      </w:r>
      <w:r>
        <w:rPr>
          <w:spacing w:val="40"/>
        </w:rPr>
        <w:t> </w:t>
      </w:r>
      <w:r>
        <w:rPr/>
        <w:t>la</w:t>
      </w:r>
      <w:r>
        <w:rPr>
          <w:spacing w:val="40"/>
        </w:rPr>
        <w:t> </w:t>
      </w:r>
      <w:r>
        <w:rPr/>
        <w:t>situación</w:t>
      </w:r>
      <w:r>
        <w:rPr>
          <w:spacing w:val="40"/>
        </w:rPr>
        <w:t> </w:t>
      </w:r>
      <w:r>
        <w:rPr/>
        <w:t>de</w:t>
      </w:r>
      <w:r>
        <w:rPr>
          <w:spacing w:val="40"/>
        </w:rPr>
        <w:t> </w:t>
      </w:r>
      <w:r>
        <w:rPr/>
        <w:t>riesgo</w:t>
      </w:r>
      <w:r>
        <w:rPr>
          <w:spacing w:val="40"/>
        </w:rPr>
        <w:t> </w:t>
      </w:r>
      <w:r>
        <w:rPr/>
        <w:t>grave</w:t>
      </w:r>
      <w:r>
        <w:rPr>
          <w:spacing w:val="40"/>
        </w:rPr>
        <w:t> </w:t>
      </w:r>
      <w:r>
        <w:rPr/>
        <w:t>e</w:t>
      </w:r>
      <w:r>
        <w:rPr>
          <w:spacing w:val="40"/>
        </w:rPr>
        <w:t> </w:t>
      </w:r>
      <w:r>
        <w:rPr/>
        <w:t>inminente</w:t>
      </w:r>
      <w:r>
        <w:rPr>
          <w:spacing w:val="40"/>
        </w:rPr>
        <w:t> </w:t>
      </w:r>
      <w:r>
        <w:rPr/>
        <w:t>de </w:t>
      </w:r>
      <w:r>
        <w:rPr>
          <w:spacing w:val="-2"/>
        </w:rPr>
        <w:t>muerte.</w:t>
      </w:r>
    </w:p>
    <w:p>
      <w:pPr>
        <w:pStyle w:val="BodyText"/>
        <w:spacing w:before="3"/>
      </w:pPr>
    </w:p>
    <w:p>
      <w:pPr>
        <w:pStyle w:val="ListParagraph"/>
        <w:numPr>
          <w:ilvl w:val="1"/>
          <w:numId w:val="20"/>
        </w:numPr>
        <w:tabs>
          <w:tab w:pos="1832" w:val="left" w:leader="none"/>
          <w:tab w:pos="1834" w:val="left" w:leader="none"/>
        </w:tabs>
        <w:spacing w:line="240" w:lineRule="auto" w:before="1" w:after="0"/>
        <w:ind w:left="1834" w:right="1254" w:hanging="284"/>
        <w:jc w:val="both"/>
        <w:rPr>
          <w:rFonts w:ascii="Symbol" w:hAnsi="Symbol"/>
          <w:sz w:val="22"/>
        </w:rPr>
      </w:pPr>
      <w:r>
        <w:rPr>
          <w:b/>
          <w:sz w:val="22"/>
        </w:rPr>
        <w:t>Subsidio</w:t>
      </w:r>
      <w:r>
        <w:rPr>
          <w:b/>
          <w:spacing w:val="-6"/>
          <w:sz w:val="22"/>
        </w:rPr>
        <w:t> </w:t>
      </w:r>
      <w:r>
        <w:rPr>
          <w:b/>
          <w:sz w:val="22"/>
        </w:rPr>
        <w:t>Compra</w:t>
      </w:r>
      <w:r>
        <w:rPr>
          <w:b/>
          <w:spacing w:val="-5"/>
          <w:sz w:val="22"/>
        </w:rPr>
        <w:t> </w:t>
      </w:r>
      <w:r>
        <w:rPr>
          <w:b/>
          <w:sz w:val="22"/>
        </w:rPr>
        <w:t>de</w:t>
      </w:r>
      <w:r>
        <w:rPr>
          <w:b/>
          <w:spacing w:val="-9"/>
          <w:sz w:val="22"/>
        </w:rPr>
        <w:t> </w:t>
      </w:r>
      <w:r>
        <w:rPr>
          <w:b/>
          <w:sz w:val="22"/>
        </w:rPr>
        <w:t>lote</w:t>
      </w:r>
      <w:r>
        <w:rPr>
          <w:b/>
          <w:spacing w:val="-5"/>
          <w:sz w:val="22"/>
        </w:rPr>
        <w:t> </w:t>
      </w:r>
      <w:r>
        <w:rPr>
          <w:b/>
          <w:sz w:val="22"/>
        </w:rPr>
        <w:t>para</w:t>
      </w:r>
      <w:r>
        <w:rPr>
          <w:b/>
          <w:spacing w:val="-4"/>
          <w:sz w:val="22"/>
        </w:rPr>
        <w:t> </w:t>
      </w:r>
      <w:r>
        <w:rPr>
          <w:b/>
          <w:sz w:val="22"/>
        </w:rPr>
        <w:t>vivienda</w:t>
      </w:r>
      <w:r>
        <w:rPr>
          <w:b/>
          <w:spacing w:val="-5"/>
          <w:sz w:val="22"/>
        </w:rPr>
        <w:t> </w:t>
      </w:r>
      <w:r>
        <w:rPr>
          <w:b/>
          <w:sz w:val="22"/>
        </w:rPr>
        <w:t>de</w:t>
      </w:r>
      <w:r>
        <w:rPr>
          <w:b/>
          <w:spacing w:val="-4"/>
          <w:sz w:val="22"/>
        </w:rPr>
        <w:t> </w:t>
      </w:r>
      <w:r>
        <w:rPr>
          <w:b/>
          <w:sz w:val="22"/>
        </w:rPr>
        <w:t>interés</w:t>
      </w:r>
      <w:r>
        <w:rPr>
          <w:b/>
          <w:spacing w:val="-4"/>
          <w:sz w:val="22"/>
        </w:rPr>
        <w:t> </w:t>
      </w:r>
      <w:r>
        <w:rPr>
          <w:b/>
          <w:sz w:val="22"/>
        </w:rPr>
        <w:t>social</w:t>
      </w:r>
      <w:r>
        <w:rPr>
          <w:b/>
          <w:spacing w:val="-6"/>
          <w:sz w:val="22"/>
        </w:rPr>
        <w:t> </w:t>
      </w:r>
      <w:r>
        <w:rPr>
          <w:b/>
          <w:sz w:val="22"/>
        </w:rPr>
        <w:t>y</w:t>
      </w:r>
      <w:r>
        <w:rPr>
          <w:b/>
          <w:spacing w:val="-10"/>
          <w:sz w:val="22"/>
        </w:rPr>
        <w:t> </w:t>
      </w:r>
      <w:r>
        <w:rPr>
          <w:b/>
          <w:sz w:val="22"/>
        </w:rPr>
        <w:t>Vivienda</w:t>
      </w:r>
      <w:r>
        <w:rPr>
          <w:b/>
          <w:spacing w:val="-5"/>
          <w:sz w:val="22"/>
        </w:rPr>
        <w:t> </w:t>
      </w:r>
      <w:r>
        <w:rPr>
          <w:b/>
          <w:sz w:val="22"/>
        </w:rPr>
        <w:t>de</w:t>
      </w:r>
      <w:r>
        <w:rPr>
          <w:b/>
          <w:spacing w:val="-3"/>
          <w:sz w:val="22"/>
        </w:rPr>
        <w:t> </w:t>
      </w:r>
      <w:r>
        <w:rPr>
          <w:b/>
          <w:sz w:val="22"/>
        </w:rPr>
        <w:t>interés social</w:t>
      </w:r>
      <w:r>
        <w:rPr>
          <w:sz w:val="22"/>
        </w:rPr>
        <w:t>:</w:t>
      </w:r>
      <w:r>
        <w:rPr>
          <w:spacing w:val="-10"/>
          <w:sz w:val="22"/>
        </w:rPr>
        <w:t> </w:t>
      </w:r>
      <w:r>
        <w:rPr>
          <w:sz w:val="22"/>
        </w:rPr>
        <w:t>brinda</w:t>
      </w:r>
      <w:r>
        <w:rPr>
          <w:spacing w:val="-9"/>
          <w:sz w:val="22"/>
        </w:rPr>
        <w:t> </w:t>
      </w:r>
      <w:r>
        <w:rPr>
          <w:sz w:val="22"/>
        </w:rPr>
        <w:t>oportunidades</w:t>
      </w:r>
      <w:r>
        <w:rPr>
          <w:spacing w:val="-11"/>
          <w:sz w:val="22"/>
        </w:rPr>
        <w:t> </w:t>
      </w:r>
      <w:r>
        <w:rPr>
          <w:sz w:val="22"/>
        </w:rPr>
        <w:t>a</w:t>
      </w:r>
      <w:r>
        <w:rPr>
          <w:spacing w:val="-4"/>
          <w:sz w:val="22"/>
        </w:rPr>
        <w:t> </w:t>
      </w:r>
      <w:r>
        <w:rPr>
          <w:sz w:val="22"/>
        </w:rPr>
        <w:t>personas</w:t>
      </w:r>
      <w:r>
        <w:rPr>
          <w:spacing w:val="-11"/>
          <w:sz w:val="22"/>
        </w:rPr>
        <w:t> </w:t>
      </w:r>
      <w:r>
        <w:rPr>
          <w:sz w:val="22"/>
        </w:rPr>
        <w:t>y</w:t>
      </w:r>
      <w:r>
        <w:rPr>
          <w:spacing w:val="-6"/>
          <w:sz w:val="22"/>
        </w:rPr>
        <w:t> </w:t>
      </w:r>
      <w:r>
        <w:rPr>
          <w:sz w:val="22"/>
        </w:rPr>
        <w:t>hogares</w:t>
      </w:r>
      <w:r>
        <w:rPr>
          <w:spacing w:val="-6"/>
          <w:sz w:val="22"/>
        </w:rPr>
        <w:t> </w:t>
      </w:r>
      <w:r>
        <w:rPr>
          <w:sz w:val="22"/>
        </w:rPr>
        <w:t>que</w:t>
      </w:r>
      <w:r>
        <w:rPr>
          <w:spacing w:val="-9"/>
          <w:sz w:val="22"/>
        </w:rPr>
        <w:t> </w:t>
      </w:r>
      <w:r>
        <w:rPr>
          <w:sz w:val="22"/>
        </w:rPr>
        <w:t>habiten</w:t>
      </w:r>
      <w:r>
        <w:rPr>
          <w:spacing w:val="-4"/>
          <w:sz w:val="22"/>
        </w:rPr>
        <w:t> </w:t>
      </w:r>
      <w:r>
        <w:rPr>
          <w:sz w:val="22"/>
        </w:rPr>
        <w:t>terrenos</w:t>
      </w:r>
      <w:r>
        <w:rPr>
          <w:spacing w:val="-11"/>
          <w:sz w:val="22"/>
        </w:rPr>
        <w:t> </w:t>
      </w:r>
      <w:r>
        <w:rPr>
          <w:sz w:val="22"/>
        </w:rPr>
        <w:t>propiedad del</w:t>
      </w:r>
      <w:r>
        <w:rPr>
          <w:spacing w:val="-16"/>
          <w:sz w:val="22"/>
        </w:rPr>
        <w:t> </w:t>
      </w:r>
      <w:r>
        <w:rPr>
          <w:sz w:val="22"/>
        </w:rPr>
        <w:t>IMAS,</w:t>
      </w:r>
      <w:r>
        <w:rPr>
          <w:spacing w:val="-15"/>
          <w:sz w:val="22"/>
        </w:rPr>
        <w:t> </w:t>
      </w:r>
      <w:r>
        <w:rPr>
          <w:sz w:val="22"/>
        </w:rPr>
        <w:t>para</w:t>
      </w:r>
      <w:r>
        <w:rPr>
          <w:spacing w:val="-15"/>
          <w:sz w:val="22"/>
        </w:rPr>
        <w:t> </w:t>
      </w:r>
      <w:r>
        <w:rPr>
          <w:sz w:val="22"/>
        </w:rPr>
        <w:t>la</w:t>
      </w:r>
      <w:r>
        <w:rPr>
          <w:spacing w:val="-16"/>
          <w:sz w:val="22"/>
        </w:rPr>
        <w:t> </w:t>
      </w:r>
      <w:r>
        <w:rPr>
          <w:sz w:val="22"/>
        </w:rPr>
        <w:t>adquisición</w:t>
      </w:r>
      <w:r>
        <w:rPr>
          <w:spacing w:val="-15"/>
          <w:sz w:val="22"/>
        </w:rPr>
        <w:t> </w:t>
      </w:r>
      <w:r>
        <w:rPr>
          <w:sz w:val="22"/>
        </w:rPr>
        <w:t>de</w:t>
      </w:r>
      <w:r>
        <w:rPr>
          <w:spacing w:val="-15"/>
          <w:sz w:val="22"/>
        </w:rPr>
        <w:t> </w:t>
      </w:r>
      <w:r>
        <w:rPr>
          <w:sz w:val="22"/>
        </w:rPr>
        <w:t>un</w:t>
      </w:r>
      <w:r>
        <w:rPr>
          <w:spacing w:val="-15"/>
          <w:sz w:val="22"/>
        </w:rPr>
        <w:t> </w:t>
      </w:r>
      <w:r>
        <w:rPr>
          <w:sz w:val="22"/>
        </w:rPr>
        <w:t>lote</w:t>
      </w:r>
      <w:r>
        <w:rPr>
          <w:spacing w:val="-16"/>
          <w:sz w:val="22"/>
        </w:rPr>
        <w:t> </w:t>
      </w:r>
      <w:r>
        <w:rPr>
          <w:sz w:val="22"/>
        </w:rPr>
        <w:t>que</w:t>
      </w:r>
      <w:r>
        <w:rPr>
          <w:spacing w:val="-15"/>
          <w:sz w:val="22"/>
        </w:rPr>
        <w:t> </w:t>
      </w:r>
      <w:r>
        <w:rPr>
          <w:sz w:val="22"/>
        </w:rPr>
        <w:t>permita</w:t>
      </w:r>
      <w:r>
        <w:rPr>
          <w:spacing w:val="-10"/>
          <w:sz w:val="22"/>
        </w:rPr>
        <w:t> </w:t>
      </w:r>
      <w:r>
        <w:rPr>
          <w:sz w:val="22"/>
        </w:rPr>
        <w:t>la</w:t>
      </w:r>
      <w:r>
        <w:rPr>
          <w:spacing w:val="-9"/>
          <w:sz w:val="22"/>
        </w:rPr>
        <w:t> </w:t>
      </w:r>
      <w:r>
        <w:rPr>
          <w:sz w:val="22"/>
        </w:rPr>
        <w:t>construcción</w:t>
      </w:r>
      <w:r>
        <w:rPr>
          <w:spacing w:val="-14"/>
          <w:sz w:val="22"/>
        </w:rPr>
        <w:t> </w:t>
      </w:r>
      <w:r>
        <w:rPr>
          <w:sz w:val="22"/>
        </w:rPr>
        <w:t>de</w:t>
      </w:r>
      <w:r>
        <w:rPr>
          <w:spacing w:val="-14"/>
          <w:sz w:val="22"/>
        </w:rPr>
        <w:t> </w:t>
      </w:r>
      <w:r>
        <w:rPr>
          <w:sz w:val="22"/>
        </w:rPr>
        <w:t>una</w:t>
      </w:r>
      <w:r>
        <w:rPr>
          <w:spacing w:val="-14"/>
          <w:sz w:val="22"/>
        </w:rPr>
        <w:t> </w:t>
      </w:r>
      <w:r>
        <w:rPr>
          <w:sz w:val="22"/>
        </w:rPr>
        <w:t>vivienda de interés social o la compra de un lote con vivienda, exclusivamente en algunas de las siguientes condiciones, bajo el principio de</w:t>
      </w:r>
      <w:r>
        <w:rPr>
          <w:spacing w:val="-4"/>
          <w:sz w:val="22"/>
        </w:rPr>
        <w:t> </w:t>
      </w:r>
      <w:r>
        <w:rPr>
          <w:sz w:val="22"/>
        </w:rPr>
        <w:t>Responsabilidad Administrativa:</w:t>
      </w:r>
    </w:p>
    <w:p>
      <w:pPr>
        <w:pStyle w:val="ListParagraph"/>
        <w:numPr>
          <w:ilvl w:val="0"/>
          <w:numId w:val="21"/>
        </w:numPr>
        <w:tabs>
          <w:tab w:pos="2117" w:val="left" w:leader="none"/>
        </w:tabs>
        <w:spacing w:line="240" w:lineRule="auto" w:before="250" w:after="0"/>
        <w:ind w:left="2117" w:right="0" w:hanging="283"/>
        <w:jc w:val="left"/>
        <w:rPr>
          <w:sz w:val="22"/>
        </w:rPr>
      </w:pPr>
      <w:r>
        <w:rPr>
          <w:sz w:val="22"/>
        </w:rPr>
        <w:t>Se</w:t>
      </w:r>
      <w:r>
        <w:rPr>
          <w:spacing w:val="-8"/>
          <w:sz w:val="22"/>
        </w:rPr>
        <w:t> </w:t>
      </w:r>
      <w:r>
        <w:rPr>
          <w:sz w:val="22"/>
        </w:rPr>
        <w:t>encuentren</w:t>
      </w:r>
      <w:r>
        <w:rPr>
          <w:spacing w:val="-8"/>
          <w:sz w:val="22"/>
        </w:rPr>
        <w:t> </w:t>
      </w:r>
      <w:r>
        <w:rPr>
          <w:sz w:val="22"/>
        </w:rPr>
        <w:t>ocupando</w:t>
      </w:r>
      <w:r>
        <w:rPr>
          <w:spacing w:val="-4"/>
          <w:sz w:val="22"/>
        </w:rPr>
        <w:t> </w:t>
      </w:r>
      <w:r>
        <w:rPr>
          <w:sz w:val="22"/>
        </w:rPr>
        <w:t>terrenos</w:t>
      </w:r>
      <w:r>
        <w:rPr>
          <w:spacing w:val="-4"/>
          <w:sz w:val="22"/>
        </w:rPr>
        <w:t> </w:t>
      </w:r>
      <w:r>
        <w:rPr>
          <w:sz w:val="22"/>
        </w:rPr>
        <w:t>con</w:t>
      </w:r>
      <w:r>
        <w:rPr>
          <w:spacing w:val="-8"/>
          <w:sz w:val="22"/>
        </w:rPr>
        <w:t> </w:t>
      </w:r>
      <w:r>
        <w:rPr>
          <w:sz w:val="22"/>
        </w:rPr>
        <w:t>destino</w:t>
      </w:r>
      <w:r>
        <w:rPr>
          <w:spacing w:val="-7"/>
          <w:sz w:val="22"/>
        </w:rPr>
        <w:t> </w:t>
      </w:r>
      <w:r>
        <w:rPr>
          <w:spacing w:val="-2"/>
          <w:sz w:val="22"/>
        </w:rPr>
        <w:t>público.</w:t>
      </w:r>
    </w:p>
    <w:p>
      <w:pPr>
        <w:pStyle w:val="ListParagraph"/>
        <w:numPr>
          <w:ilvl w:val="0"/>
          <w:numId w:val="21"/>
        </w:numPr>
        <w:tabs>
          <w:tab w:pos="2117" w:val="left" w:leader="none"/>
        </w:tabs>
        <w:spacing w:line="237" w:lineRule="auto" w:before="4" w:after="0"/>
        <w:ind w:left="2117" w:right="1272" w:hanging="284"/>
        <w:jc w:val="left"/>
        <w:rPr>
          <w:sz w:val="22"/>
        </w:rPr>
      </w:pPr>
      <w:r>
        <w:rPr>
          <w:sz w:val="22"/>
        </w:rPr>
        <w:t>Se encuentren ocupando terrenos con situación o declaratoria de emergencia por</w:t>
      </w:r>
      <w:r>
        <w:rPr>
          <w:spacing w:val="-1"/>
          <w:sz w:val="22"/>
        </w:rPr>
        <w:t> </w:t>
      </w:r>
      <w:r>
        <w:rPr>
          <w:sz w:val="22"/>
        </w:rPr>
        <w:t>inseguridad</w:t>
      </w:r>
      <w:r>
        <w:rPr>
          <w:spacing w:val="-2"/>
          <w:sz w:val="22"/>
        </w:rPr>
        <w:t> </w:t>
      </w:r>
      <w:r>
        <w:rPr>
          <w:sz w:val="22"/>
        </w:rPr>
        <w:t>habitacional</w:t>
      </w:r>
      <w:r>
        <w:rPr>
          <w:spacing w:val="-5"/>
          <w:sz w:val="22"/>
        </w:rPr>
        <w:t> </w:t>
      </w:r>
      <w:r>
        <w:rPr>
          <w:sz w:val="22"/>
        </w:rPr>
        <w:t>emitida</w:t>
      </w:r>
      <w:r>
        <w:rPr>
          <w:spacing w:val="-2"/>
          <w:sz w:val="22"/>
        </w:rPr>
        <w:t> </w:t>
      </w:r>
      <w:r>
        <w:rPr>
          <w:sz w:val="22"/>
        </w:rPr>
        <w:t>por</w:t>
      </w:r>
      <w:r>
        <w:rPr>
          <w:spacing w:val="-1"/>
          <w:sz w:val="22"/>
        </w:rPr>
        <w:t> </w:t>
      </w:r>
      <w:r>
        <w:rPr>
          <w:sz w:val="22"/>
        </w:rPr>
        <w:t>la Comisión Nacional</w:t>
      </w:r>
      <w:r>
        <w:rPr>
          <w:spacing w:val="-5"/>
          <w:sz w:val="22"/>
        </w:rPr>
        <w:t> </w:t>
      </w:r>
      <w:r>
        <w:rPr>
          <w:sz w:val="22"/>
        </w:rPr>
        <w:t>de</w:t>
      </w:r>
      <w:r>
        <w:rPr>
          <w:spacing w:val="-2"/>
          <w:sz w:val="22"/>
        </w:rPr>
        <w:t> </w:t>
      </w:r>
      <w:r>
        <w:rPr>
          <w:sz w:val="22"/>
        </w:rPr>
        <w:t>Emergencias.</w:t>
      </w:r>
    </w:p>
    <w:p>
      <w:pPr>
        <w:pStyle w:val="ListParagraph"/>
        <w:numPr>
          <w:ilvl w:val="0"/>
          <w:numId w:val="21"/>
        </w:numPr>
        <w:tabs>
          <w:tab w:pos="2117" w:val="left" w:leader="none"/>
        </w:tabs>
        <w:spacing w:line="240" w:lineRule="auto" w:before="1" w:after="0"/>
        <w:ind w:left="2117" w:right="1271" w:hanging="284"/>
        <w:jc w:val="left"/>
        <w:rPr>
          <w:sz w:val="22"/>
        </w:rPr>
      </w:pPr>
      <w:r>
        <w:rPr>
          <w:sz w:val="22"/>
        </w:rPr>
        <w:t>Se</w:t>
      </w:r>
      <w:r>
        <w:rPr>
          <w:spacing w:val="-12"/>
          <w:sz w:val="22"/>
        </w:rPr>
        <w:t> </w:t>
      </w:r>
      <w:r>
        <w:rPr>
          <w:sz w:val="22"/>
        </w:rPr>
        <w:t>encuentren</w:t>
      </w:r>
      <w:r>
        <w:rPr>
          <w:spacing w:val="-16"/>
          <w:sz w:val="22"/>
        </w:rPr>
        <w:t> </w:t>
      </w:r>
      <w:r>
        <w:rPr>
          <w:sz w:val="22"/>
        </w:rPr>
        <w:t>ocupando</w:t>
      </w:r>
      <w:r>
        <w:rPr>
          <w:spacing w:val="-11"/>
          <w:sz w:val="22"/>
        </w:rPr>
        <w:t> </w:t>
      </w:r>
      <w:r>
        <w:rPr>
          <w:sz w:val="22"/>
        </w:rPr>
        <w:t>terrenos</w:t>
      </w:r>
      <w:r>
        <w:rPr>
          <w:spacing w:val="-13"/>
          <w:sz w:val="22"/>
        </w:rPr>
        <w:t> </w:t>
      </w:r>
      <w:r>
        <w:rPr>
          <w:sz w:val="22"/>
        </w:rPr>
        <w:t>con</w:t>
      </w:r>
      <w:r>
        <w:rPr>
          <w:spacing w:val="-11"/>
          <w:sz w:val="22"/>
        </w:rPr>
        <w:t> </w:t>
      </w:r>
      <w:r>
        <w:rPr>
          <w:sz w:val="22"/>
        </w:rPr>
        <w:t>situación</w:t>
      </w:r>
      <w:r>
        <w:rPr>
          <w:spacing w:val="-11"/>
          <w:sz w:val="22"/>
        </w:rPr>
        <w:t> </w:t>
      </w:r>
      <w:r>
        <w:rPr>
          <w:sz w:val="22"/>
        </w:rPr>
        <w:t>o</w:t>
      </w:r>
      <w:r>
        <w:rPr>
          <w:spacing w:val="-16"/>
          <w:sz w:val="22"/>
        </w:rPr>
        <w:t> </w:t>
      </w:r>
      <w:r>
        <w:rPr>
          <w:sz w:val="22"/>
        </w:rPr>
        <w:t>declaratoria</w:t>
      </w:r>
      <w:r>
        <w:rPr>
          <w:spacing w:val="-11"/>
          <w:sz w:val="22"/>
        </w:rPr>
        <w:t> </w:t>
      </w:r>
      <w:r>
        <w:rPr>
          <w:sz w:val="22"/>
        </w:rPr>
        <w:t>de</w:t>
      </w:r>
      <w:r>
        <w:rPr>
          <w:spacing w:val="-11"/>
          <w:sz w:val="22"/>
        </w:rPr>
        <w:t> </w:t>
      </w:r>
      <w:r>
        <w:rPr>
          <w:sz w:val="22"/>
        </w:rPr>
        <w:t>inhabitabilidad según Orden Sanitaria emitida por el Ministerio de Salud.</w:t>
      </w:r>
    </w:p>
    <w:p>
      <w:pPr>
        <w:pStyle w:val="ListParagraph"/>
        <w:numPr>
          <w:ilvl w:val="0"/>
          <w:numId w:val="21"/>
        </w:numPr>
        <w:tabs>
          <w:tab w:pos="2117" w:val="left" w:leader="none"/>
        </w:tabs>
        <w:spacing w:line="240" w:lineRule="auto" w:before="0" w:after="0"/>
        <w:ind w:left="2117" w:right="1267" w:hanging="284"/>
        <w:jc w:val="left"/>
        <w:rPr>
          <w:sz w:val="22"/>
        </w:rPr>
      </w:pPr>
      <w:r>
        <w:rPr>
          <w:sz w:val="22"/>
        </w:rPr>
        <w:t>Cuando</w:t>
      </w:r>
      <w:r>
        <w:rPr>
          <w:spacing w:val="-17"/>
          <w:sz w:val="22"/>
        </w:rPr>
        <w:t> </w:t>
      </w:r>
      <w:r>
        <w:rPr>
          <w:sz w:val="22"/>
        </w:rPr>
        <w:t>se</w:t>
      </w:r>
      <w:r>
        <w:rPr>
          <w:spacing w:val="-17"/>
          <w:sz w:val="22"/>
        </w:rPr>
        <w:t> </w:t>
      </w:r>
      <w:r>
        <w:rPr>
          <w:sz w:val="22"/>
        </w:rPr>
        <w:t>deban</w:t>
      </w:r>
      <w:r>
        <w:rPr>
          <w:spacing w:val="-16"/>
          <w:sz w:val="22"/>
        </w:rPr>
        <w:t> </w:t>
      </w:r>
      <w:r>
        <w:rPr>
          <w:sz w:val="22"/>
        </w:rPr>
        <w:t>resolver</w:t>
      </w:r>
      <w:r>
        <w:rPr>
          <w:spacing w:val="-15"/>
          <w:sz w:val="22"/>
        </w:rPr>
        <w:t> </w:t>
      </w:r>
      <w:r>
        <w:rPr>
          <w:sz w:val="22"/>
        </w:rPr>
        <w:t>problemas</w:t>
      </w:r>
      <w:r>
        <w:rPr>
          <w:spacing w:val="-15"/>
          <w:sz w:val="22"/>
        </w:rPr>
        <w:t> </w:t>
      </w:r>
      <w:r>
        <w:rPr>
          <w:sz w:val="22"/>
        </w:rPr>
        <w:t>o</w:t>
      </w:r>
      <w:r>
        <w:rPr>
          <w:spacing w:val="-17"/>
          <w:sz w:val="22"/>
        </w:rPr>
        <w:t> </w:t>
      </w:r>
      <w:r>
        <w:rPr>
          <w:sz w:val="22"/>
        </w:rPr>
        <w:t>situaciones</w:t>
      </w:r>
      <w:r>
        <w:rPr>
          <w:spacing w:val="-16"/>
          <w:sz w:val="22"/>
        </w:rPr>
        <w:t> </w:t>
      </w:r>
      <w:r>
        <w:rPr>
          <w:sz w:val="22"/>
        </w:rPr>
        <w:t>de</w:t>
      </w:r>
      <w:r>
        <w:rPr>
          <w:spacing w:val="-17"/>
          <w:sz w:val="22"/>
        </w:rPr>
        <w:t> </w:t>
      </w:r>
      <w:r>
        <w:rPr>
          <w:sz w:val="22"/>
        </w:rPr>
        <w:t>habitabilidad</w:t>
      </w:r>
      <w:r>
        <w:rPr>
          <w:spacing w:val="-15"/>
          <w:sz w:val="22"/>
        </w:rPr>
        <w:t> </w:t>
      </w:r>
      <w:r>
        <w:rPr>
          <w:sz w:val="22"/>
        </w:rPr>
        <w:t>por</w:t>
      </w:r>
      <w:r>
        <w:rPr>
          <w:spacing w:val="-20"/>
          <w:sz w:val="22"/>
        </w:rPr>
        <w:t> </w:t>
      </w:r>
      <w:r>
        <w:rPr>
          <w:sz w:val="22"/>
        </w:rPr>
        <w:t>mandato de un Órgano Jurisdiccional.</w:t>
      </w:r>
    </w:p>
    <w:p>
      <w:pPr>
        <w:pStyle w:val="ListParagraph"/>
        <w:numPr>
          <w:ilvl w:val="0"/>
          <w:numId w:val="21"/>
        </w:numPr>
        <w:tabs>
          <w:tab w:pos="2117" w:val="left" w:leader="none"/>
        </w:tabs>
        <w:spacing w:line="237" w:lineRule="auto" w:before="3" w:after="0"/>
        <w:ind w:left="2117" w:right="1272" w:hanging="284"/>
        <w:jc w:val="left"/>
        <w:rPr>
          <w:sz w:val="22"/>
        </w:rPr>
      </w:pPr>
      <w:r>
        <w:rPr>
          <w:sz w:val="22"/>
        </w:rPr>
        <w:t>En</w:t>
      </w:r>
      <w:r>
        <w:rPr>
          <w:spacing w:val="32"/>
          <w:sz w:val="22"/>
        </w:rPr>
        <w:t> </w:t>
      </w:r>
      <w:r>
        <w:rPr>
          <w:sz w:val="22"/>
        </w:rPr>
        <w:t>casos</w:t>
      </w:r>
      <w:r>
        <w:rPr>
          <w:spacing w:val="31"/>
          <w:sz w:val="22"/>
        </w:rPr>
        <w:t> </w:t>
      </w:r>
      <w:r>
        <w:rPr>
          <w:sz w:val="22"/>
        </w:rPr>
        <w:t>asociados y</w:t>
      </w:r>
      <w:r>
        <w:rPr>
          <w:spacing w:val="31"/>
          <w:sz w:val="22"/>
        </w:rPr>
        <w:t> </w:t>
      </w:r>
      <w:r>
        <w:rPr>
          <w:sz w:val="22"/>
        </w:rPr>
        <w:t>referidos a</w:t>
      </w:r>
      <w:r>
        <w:rPr>
          <w:spacing w:val="32"/>
          <w:sz w:val="22"/>
        </w:rPr>
        <w:t> </w:t>
      </w:r>
      <w:r>
        <w:rPr>
          <w:sz w:val="22"/>
        </w:rPr>
        <w:t>procesos de</w:t>
      </w:r>
      <w:r>
        <w:rPr>
          <w:spacing w:val="28"/>
          <w:sz w:val="22"/>
        </w:rPr>
        <w:t> </w:t>
      </w:r>
      <w:r>
        <w:rPr>
          <w:sz w:val="22"/>
        </w:rPr>
        <w:t>titulación</w:t>
      </w:r>
      <w:r>
        <w:rPr>
          <w:spacing w:val="32"/>
          <w:sz w:val="22"/>
        </w:rPr>
        <w:t> </w:t>
      </w:r>
      <w:r>
        <w:rPr>
          <w:sz w:val="22"/>
        </w:rPr>
        <w:t>y adjudicaciones de terrenos propiedad del IMAS.</w:t>
      </w:r>
    </w:p>
    <w:p>
      <w:pPr>
        <w:pStyle w:val="BodyText"/>
        <w:spacing w:before="2"/>
      </w:pPr>
    </w:p>
    <w:p>
      <w:pPr>
        <w:pStyle w:val="ListParagraph"/>
        <w:numPr>
          <w:ilvl w:val="1"/>
          <w:numId w:val="20"/>
        </w:numPr>
        <w:tabs>
          <w:tab w:pos="1832" w:val="left" w:leader="none"/>
          <w:tab w:pos="1834" w:val="left" w:leader="none"/>
        </w:tabs>
        <w:spacing w:line="240" w:lineRule="auto" w:before="0" w:after="0"/>
        <w:ind w:left="1834" w:right="1254" w:hanging="284"/>
        <w:jc w:val="both"/>
        <w:rPr>
          <w:rFonts w:ascii="Symbol" w:hAnsi="Symbol"/>
          <w:sz w:val="22"/>
        </w:rPr>
      </w:pPr>
      <w:r>
        <w:rPr>
          <w:b/>
          <w:sz w:val="22"/>
        </w:rPr>
        <w:t>Subsidio Costo de atención para Organizaciones de Bienestar Social: </w:t>
      </w:r>
      <w:r>
        <w:rPr>
          <w:sz w:val="22"/>
        </w:rPr>
        <w:t>promueve la satisfacción de necesidades básicas a personas usuarias de Organizaciones de Bienestar Social, mediante transferencias monetarias no reembolsables</w:t>
      </w:r>
      <w:r>
        <w:rPr>
          <w:spacing w:val="-10"/>
          <w:sz w:val="22"/>
        </w:rPr>
        <w:t> </w:t>
      </w:r>
      <w:r>
        <w:rPr>
          <w:sz w:val="22"/>
        </w:rPr>
        <w:t>con</w:t>
      </w:r>
      <w:r>
        <w:rPr>
          <w:spacing w:val="-14"/>
          <w:sz w:val="22"/>
        </w:rPr>
        <w:t> </w:t>
      </w:r>
      <w:r>
        <w:rPr>
          <w:sz w:val="22"/>
        </w:rPr>
        <w:t>el</w:t>
      </w:r>
      <w:r>
        <w:rPr>
          <w:spacing w:val="-12"/>
          <w:sz w:val="22"/>
        </w:rPr>
        <w:t> </w:t>
      </w:r>
      <w:r>
        <w:rPr>
          <w:sz w:val="22"/>
        </w:rPr>
        <w:t>fin</w:t>
      </w:r>
      <w:r>
        <w:rPr>
          <w:spacing w:val="-10"/>
          <w:sz w:val="22"/>
        </w:rPr>
        <w:t> </w:t>
      </w:r>
      <w:r>
        <w:rPr>
          <w:sz w:val="22"/>
        </w:rPr>
        <w:t>de</w:t>
      </w:r>
      <w:r>
        <w:rPr>
          <w:spacing w:val="-10"/>
          <w:sz w:val="22"/>
        </w:rPr>
        <w:t> </w:t>
      </w:r>
      <w:r>
        <w:rPr>
          <w:sz w:val="22"/>
        </w:rPr>
        <w:t>cubrir</w:t>
      </w:r>
      <w:r>
        <w:rPr>
          <w:spacing w:val="-10"/>
          <w:sz w:val="22"/>
        </w:rPr>
        <w:t> </w:t>
      </w:r>
      <w:r>
        <w:rPr>
          <w:sz w:val="22"/>
        </w:rPr>
        <w:t>un</w:t>
      </w:r>
      <w:r>
        <w:rPr>
          <w:spacing w:val="-14"/>
          <w:sz w:val="22"/>
        </w:rPr>
        <w:t> </w:t>
      </w:r>
      <w:r>
        <w:rPr>
          <w:sz w:val="22"/>
        </w:rPr>
        <w:t>porcentaje</w:t>
      </w:r>
      <w:r>
        <w:rPr>
          <w:spacing w:val="-14"/>
          <w:sz w:val="22"/>
        </w:rPr>
        <w:t> </w:t>
      </w:r>
      <w:r>
        <w:rPr>
          <w:sz w:val="22"/>
        </w:rPr>
        <w:t>del</w:t>
      </w:r>
      <w:r>
        <w:rPr>
          <w:spacing w:val="-12"/>
          <w:sz w:val="22"/>
        </w:rPr>
        <w:t> </w:t>
      </w:r>
      <w:r>
        <w:rPr>
          <w:sz w:val="22"/>
        </w:rPr>
        <w:t>costo</w:t>
      </w:r>
      <w:r>
        <w:rPr>
          <w:spacing w:val="-10"/>
          <w:sz w:val="22"/>
        </w:rPr>
        <w:t> </w:t>
      </w:r>
      <w:r>
        <w:rPr>
          <w:sz w:val="22"/>
        </w:rPr>
        <w:t>total</w:t>
      </w:r>
      <w:r>
        <w:rPr>
          <w:spacing w:val="-12"/>
          <w:sz w:val="22"/>
        </w:rPr>
        <w:t> </w:t>
      </w:r>
      <w:r>
        <w:rPr>
          <w:sz w:val="22"/>
        </w:rPr>
        <w:t>o</w:t>
      </w:r>
      <w:r>
        <w:rPr>
          <w:spacing w:val="-14"/>
          <w:sz w:val="22"/>
        </w:rPr>
        <w:t> </w:t>
      </w:r>
      <w:r>
        <w:rPr>
          <w:sz w:val="22"/>
        </w:rPr>
        <w:t>parcial</w:t>
      </w:r>
      <w:r>
        <w:rPr>
          <w:spacing w:val="-12"/>
          <w:sz w:val="22"/>
        </w:rPr>
        <w:t> </w:t>
      </w:r>
      <w:r>
        <w:rPr>
          <w:sz w:val="22"/>
        </w:rPr>
        <w:t>de</w:t>
      </w:r>
      <w:r>
        <w:rPr>
          <w:spacing w:val="-14"/>
          <w:sz w:val="22"/>
        </w:rPr>
        <w:t> </w:t>
      </w:r>
      <w:r>
        <w:rPr>
          <w:sz w:val="22"/>
        </w:rPr>
        <w:t>atención en la modalidad de servicio que se les brinda.</w:t>
      </w:r>
    </w:p>
    <w:p>
      <w:pPr>
        <w:pStyle w:val="ListParagraph"/>
        <w:numPr>
          <w:ilvl w:val="1"/>
          <w:numId w:val="20"/>
        </w:numPr>
        <w:tabs>
          <w:tab w:pos="1832" w:val="left" w:leader="none"/>
          <w:tab w:pos="1834" w:val="left" w:leader="none"/>
        </w:tabs>
        <w:spacing w:line="240" w:lineRule="auto" w:before="251" w:after="0"/>
        <w:ind w:left="1834" w:right="1242" w:hanging="284"/>
        <w:jc w:val="both"/>
        <w:rPr>
          <w:rFonts w:ascii="Symbol" w:hAnsi="Symbol"/>
          <w:sz w:val="22"/>
        </w:rPr>
      </w:pPr>
      <w:r>
        <w:rPr>
          <w:b/>
          <w:sz w:val="22"/>
        </w:rPr>
        <w:t>Subsidio Emergencias: </w:t>
      </w:r>
      <w:r>
        <w:rPr>
          <w:sz w:val="22"/>
        </w:rPr>
        <w:t>brinda las condiciones para la atención de necesidades inmediatas de los hogares que enfrentan situaciones de emergencia a nivel local, regional o nacional, provocadas por un evento previsible o no, de origen natural o antrópico; se ejecuta mediante un aporte económico al ingreso del hogar para enfrentar las pérdidas ocasionadas por dicho evento.</w:t>
      </w:r>
    </w:p>
    <w:p>
      <w:pPr>
        <w:pStyle w:val="BodyText"/>
        <w:spacing w:before="4"/>
      </w:pPr>
    </w:p>
    <w:p>
      <w:pPr>
        <w:pStyle w:val="ListParagraph"/>
        <w:numPr>
          <w:ilvl w:val="1"/>
          <w:numId w:val="20"/>
        </w:numPr>
        <w:tabs>
          <w:tab w:pos="1832" w:val="left" w:leader="none"/>
          <w:tab w:pos="1834" w:val="left" w:leader="none"/>
        </w:tabs>
        <w:spacing w:line="237" w:lineRule="auto" w:before="0" w:after="0"/>
        <w:ind w:left="1834" w:right="1253" w:hanging="284"/>
        <w:jc w:val="both"/>
        <w:rPr>
          <w:rFonts w:ascii="Symbol" w:hAnsi="Symbol"/>
          <w:sz w:val="22"/>
        </w:rPr>
      </w:pPr>
      <w:r>
        <w:rPr>
          <w:b/>
          <w:sz w:val="22"/>
        </w:rPr>
        <w:t>Subsidio Equipamiento básico para Organizaciones de Bienestar Social: </w:t>
      </w:r>
      <w:r>
        <w:rPr>
          <w:sz w:val="22"/>
        </w:rPr>
        <w:t>brinda a personas</w:t>
      </w:r>
      <w:r>
        <w:rPr>
          <w:spacing w:val="-3"/>
          <w:sz w:val="22"/>
        </w:rPr>
        <w:t> </w:t>
      </w:r>
      <w:r>
        <w:rPr>
          <w:sz w:val="22"/>
        </w:rPr>
        <w:t>usuarias</w:t>
      </w:r>
      <w:r>
        <w:rPr>
          <w:spacing w:val="-3"/>
          <w:sz w:val="22"/>
        </w:rPr>
        <w:t> </w:t>
      </w:r>
      <w:r>
        <w:rPr>
          <w:sz w:val="22"/>
        </w:rPr>
        <w:t>de Organizaciones</w:t>
      </w:r>
      <w:r>
        <w:rPr>
          <w:spacing w:val="-2"/>
          <w:sz w:val="22"/>
        </w:rPr>
        <w:t> </w:t>
      </w:r>
      <w:r>
        <w:rPr>
          <w:sz w:val="22"/>
        </w:rPr>
        <w:t>de</w:t>
      </w:r>
      <w:r>
        <w:rPr>
          <w:spacing w:val="-1"/>
          <w:sz w:val="22"/>
        </w:rPr>
        <w:t> </w:t>
      </w:r>
      <w:r>
        <w:rPr>
          <w:sz w:val="22"/>
        </w:rPr>
        <w:t>Bienestar</w:t>
      </w:r>
      <w:r>
        <w:rPr>
          <w:spacing w:val="-4"/>
          <w:sz w:val="22"/>
        </w:rPr>
        <w:t> </w:t>
      </w:r>
      <w:r>
        <w:rPr>
          <w:sz w:val="22"/>
        </w:rPr>
        <w:t>Social, oportunidades para el desarrollo y fortalecimiento de los servicios que éstas ofrecen, mediante transferencias monetarias no reembolsables para la adquisición de mobiliario y equipo por parte de dichas organizaciones.</w:t>
      </w:r>
    </w:p>
    <w:p>
      <w:pPr>
        <w:pStyle w:val="BodyText"/>
        <w:spacing w:before="7"/>
      </w:pPr>
    </w:p>
    <w:p>
      <w:pPr>
        <w:pStyle w:val="ListParagraph"/>
        <w:numPr>
          <w:ilvl w:val="1"/>
          <w:numId w:val="20"/>
        </w:numPr>
        <w:tabs>
          <w:tab w:pos="1832" w:val="left" w:leader="none"/>
          <w:tab w:pos="1834" w:val="left" w:leader="none"/>
        </w:tabs>
        <w:spacing w:line="240" w:lineRule="auto" w:before="1" w:after="0"/>
        <w:ind w:left="1834" w:right="1257" w:hanging="284"/>
        <w:jc w:val="both"/>
        <w:rPr>
          <w:rFonts w:ascii="Symbol" w:hAnsi="Symbol"/>
          <w:sz w:val="22"/>
        </w:rPr>
      </w:pPr>
      <w:r>
        <w:rPr>
          <w:b/>
          <w:sz w:val="22"/>
        </w:rPr>
        <w:t>Subsidio Gastos de implementación para compra de lote para vivienda de interés social y vivienda de interés social</w:t>
      </w:r>
      <w:r>
        <w:rPr>
          <w:sz w:val="22"/>
        </w:rPr>
        <w:t>: brinda oportunidades a personas y hogares que habiten terrenos propiedad del IMAS, para cubrir los servicios de consultoría y los estudios técnicos necesarios para determinar la viabilidad de la compra</w:t>
      </w:r>
      <w:r>
        <w:rPr>
          <w:spacing w:val="-15"/>
          <w:sz w:val="22"/>
        </w:rPr>
        <w:t> </w:t>
      </w:r>
      <w:r>
        <w:rPr>
          <w:sz w:val="22"/>
        </w:rPr>
        <w:t>de</w:t>
      </w:r>
      <w:r>
        <w:rPr>
          <w:spacing w:val="-15"/>
          <w:sz w:val="22"/>
        </w:rPr>
        <w:t> </w:t>
      </w:r>
      <w:r>
        <w:rPr>
          <w:sz w:val="22"/>
        </w:rPr>
        <w:t>un</w:t>
      </w:r>
      <w:r>
        <w:rPr>
          <w:spacing w:val="-15"/>
          <w:sz w:val="22"/>
        </w:rPr>
        <w:t> </w:t>
      </w:r>
      <w:r>
        <w:rPr>
          <w:sz w:val="22"/>
        </w:rPr>
        <w:t>inmueble,</w:t>
      </w:r>
      <w:r>
        <w:rPr>
          <w:spacing w:val="-16"/>
          <w:sz w:val="22"/>
        </w:rPr>
        <w:t> </w:t>
      </w:r>
      <w:r>
        <w:rPr>
          <w:sz w:val="22"/>
        </w:rPr>
        <w:t>específicamente</w:t>
      </w:r>
      <w:r>
        <w:rPr>
          <w:spacing w:val="-9"/>
          <w:sz w:val="22"/>
        </w:rPr>
        <w:t> </w:t>
      </w:r>
      <w:r>
        <w:rPr>
          <w:sz w:val="22"/>
        </w:rPr>
        <w:t>la</w:t>
      </w:r>
      <w:r>
        <w:rPr>
          <w:spacing w:val="-10"/>
          <w:sz w:val="22"/>
        </w:rPr>
        <w:t> </w:t>
      </w:r>
      <w:r>
        <w:rPr>
          <w:sz w:val="22"/>
        </w:rPr>
        <w:t>compra</w:t>
      </w:r>
      <w:r>
        <w:rPr>
          <w:spacing w:val="-10"/>
          <w:sz w:val="22"/>
        </w:rPr>
        <w:t> </w:t>
      </w:r>
      <w:r>
        <w:rPr>
          <w:sz w:val="22"/>
        </w:rPr>
        <w:t>de</w:t>
      </w:r>
      <w:r>
        <w:rPr>
          <w:spacing w:val="-10"/>
          <w:sz w:val="22"/>
        </w:rPr>
        <w:t> </w:t>
      </w:r>
      <w:r>
        <w:rPr>
          <w:sz w:val="22"/>
        </w:rPr>
        <w:t>lote</w:t>
      </w:r>
      <w:r>
        <w:rPr>
          <w:spacing w:val="-10"/>
          <w:sz w:val="22"/>
        </w:rPr>
        <w:t> </w:t>
      </w:r>
      <w:r>
        <w:rPr>
          <w:sz w:val="22"/>
        </w:rPr>
        <w:t>para</w:t>
      </w:r>
      <w:r>
        <w:rPr>
          <w:spacing w:val="-10"/>
          <w:sz w:val="22"/>
        </w:rPr>
        <w:t> </w:t>
      </w:r>
      <w:r>
        <w:rPr>
          <w:sz w:val="22"/>
        </w:rPr>
        <w:t>vivienda</w:t>
      </w:r>
      <w:r>
        <w:rPr>
          <w:spacing w:val="-15"/>
          <w:sz w:val="22"/>
        </w:rPr>
        <w:t> </w:t>
      </w:r>
      <w:r>
        <w:rPr>
          <w:sz w:val="22"/>
        </w:rPr>
        <w:t>de</w:t>
      </w:r>
      <w:r>
        <w:rPr>
          <w:spacing w:val="-10"/>
          <w:sz w:val="22"/>
        </w:rPr>
        <w:t> </w:t>
      </w:r>
      <w:r>
        <w:rPr>
          <w:sz w:val="22"/>
        </w:rPr>
        <w:t>interés social y vivienda de interés social, exclusivamente en algunas de las siguientes condiciones, bajo el principio de Responsabilidad Administrativa:</w:t>
      </w:r>
    </w:p>
    <w:p>
      <w:pPr>
        <w:pStyle w:val="BodyText"/>
      </w:pPr>
    </w:p>
    <w:p>
      <w:pPr>
        <w:pStyle w:val="ListParagraph"/>
        <w:numPr>
          <w:ilvl w:val="0"/>
          <w:numId w:val="22"/>
        </w:numPr>
        <w:tabs>
          <w:tab w:pos="2117" w:val="left" w:leader="none"/>
        </w:tabs>
        <w:spacing w:line="251" w:lineRule="exact" w:before="0" w:after="0"/>
        <w:ind w:left="2117" w:right="0" w:hanging="283"/>
        <w:jc w:val="left"/>
        <w:rPr>
          <w:sz w:val="22"/>
        </w:rPr>
      </w:pPr>
      <w:r>
        <w:rPr>
          <w:sz w:val="22"/>
        </w:rPr>
        <w:t>Se</w:t>
      </w:r>
      <w:r>
        <w:rPr>
          <w:spacing w:val="-8"/>
          <w:sz w:val="22"/>
        </w:rPr>
        <w:t> </w:t>
      </w:r>
      <w:r>
        <w:rPr>
          <w:sz w:val="22"/>
        </w:rPr>
        <w:t>encuentren</w:t>
      </w:r>
      <w:r>
        <w:rPr>
          <w:spacing w:val="-8"/>
          <w:sz w:val="22"/>
        </w:rPr>
        <w:t> </w:t>
      </w:r>
      <w:r>
        <w:rPr>
          <w:sz w:val="22"/>
        </w:rPr>
        <w:t>ocupando</w:t>
      </w:r>
      <w:r>
        <w:rPr>
          <w:spacing w:val="-4"/>
          <w:sz w:val="22"/>
        </w:rPr>
        <w:t> </w:t>
      </w:r>
      <w:r>
        <w:rPr>
          <w:sz w:val="22"/>
        </w:rPr>
        <w:t>terrenos</w:t>
      </w:r>
      <w:r>
        <w:rPr>
          <w:spacing w:val="-4"/>
          <w:sz w:val="22"/>
        </w:rPr>
        <w:t> </w:t>
      </w:r>
      <w:r>
        <w:rPr>
          <w:sz w:val="22"/>
        </w:rPr>
        <w:t>con</w:t>
      </w:r>
      <w:r>
        <w:rPr>
          <w:spacing w:val="-8"/>
          <w:sz w:val="22"/>
        </w:rPr>
        <w:t> </w:t>
      </w:r>
      <w:r>
        <w:rPr>
          <w:sz w:val="22"/>
        </w:rPr>
        <w:t>destino</w:t>
      </w:r>
      <w:r>
        <w:rPr>
          <w:spacing w:val="-7"/>
          <w:sz w:val="22"/>
        </w:rPr>
        <w:t> </w:t>
      </w:r>
      <w:r>
        <w:rPr>
          <w:spacing w:val="-2"/>
          <w:sz w:val="22"/>
        </w:rPr>
        <w:t>público.</w:t>
      </w:r>
    </w:p>
    <w:p>
      <w:pPr>
        <w:pStyle w:val="ListParagraph"/>
        <w:numPr>
          <w:ilvl w:val="0"/>
          <w:numId w:val="22"/>
        </w:numPr>
        <w:tabs>
          <w:tab w:pos="2117" w:val="left" w:leader="none"/>
        </w:tabs>
        <w:spacing w:line="240" w:lineRule="auto" w:before="0" w:after="0"/>
        <w:ind w:left="2117" w:right="1272" w:hanging="284"/>
        <w:jc w:val="left"/>
        <w:rPr>
          <w:sz w:val="22"/>
        </w:rPr>
      </w:pPr>
      <w:r>
        <w:rPr>
          <w:sz w:val="22"/>
        </w:rPr>
        <w:t>Se encuentren ocupando terrenos con situación o declaratoria de emergencia por</w:t>
      </w:r>
      <w:r>
        <w:rPr>
          <w:spacing w:val="-1"/>
          <w:sz w:val="22"/>
        </w:rPr>
        <w:t> </w:t>
      </w:r>
      <w:r>
        <w:rPr>
          <w:sz w:val="22"/>
        </w:rPr>
        <w:t>inseguridad</w:t>
      </w:r>
      <w:r>
        <w:rPr>
          <w:spacing w:val="-2"/>
          <w:sz w:val="22"/>
        </w:rPr>
        <w:t> </w:t>
      </w:r>
      <w:r>
        <w:rPr>
          <w:sz w:val="22"/>
        </w:rPr>
        <w:t>habitacional</w:t>
      </w:r>
      <w:r>
        <w:rPr>
          <w:spacing w:val="-5"/>
          <w:sz w:val="22"/>
        </w:rPr>
        <w:t> </w:t>
      </w:r>
      <w:r>
        <w:rPr>
          <w:sz w:val="22"/>
        </w:rPr>
        <w:t>emitida</w:t>
      </w:r>
      <w:r>
        <w:rPr>
          <w:spacing w:val="-2"/>
          <w:sz w:val="22"/>
        </w:rPr>
        <w:t> </w:t>
      </w:r>
      <w:r>
        <w:rPr>
          <w:sz w:val="22"/>
        </w:rPr>
        <w:t>por</w:t>
      </w:r>
      <w:r>
        <w:rPr>
          <w:spacing w:val="-1"/>
          <w:sz w:val="22"/>
        </w:rPr>
        <w:t> </w:t>
      </w:r>
      <w:r>
        <w:rPr>
          <w:sz w:val="22"/>
        </w:rPr>
        <w:t>la Comisión Nacional</w:t>
      </w:r>
      <w:r>
        <w:rPr>
          <w:spacing w:val="-5"/>
          <w:sz w:val="22"/>
        </w:rPr>
        <w:t> </w:t>
      </w:r>
      <w:r>
        <w:rPr>
          <w:sz w:val="22"/>
        </w:rPr>
        <w:t>de</w:t>
      </w:r>
      <w:r>
        <w:rPr>
          <w:spacing w:val="-2"/>
          <w:sz w:val="22"/>
        </w:rPr>
        <w:t> </w:t>
      </w:r>
      <w:r>
        <w:rPr>
          <w:sz w:val="22"/>
        </w:rPr>
        <w:t>Emergencias.</w:t>
      </w:r>
    </w:p>
    <w:p>
      <w:pPr>
        <w:pStyle w:val="ListParagraph"/>
        <w:numPr>
          <w:ilvl w:val="0"/>
          <w:numId w:val="22"/>
        </w:numPr>
        <w:tabs>
          <w:tab w:pos="2117" w:val="left" w:leader="none"/>
        </w:tabs>
        <w:spacing w:line="237" w:lineRule="auto" w:before="4" w:after="0"/>
        <w:ind w:left="2117" w:right="1271" w:hanging="284"/>
        <w:jc w:val="left"/>
        <w:rPr>
          <w:sz w:val="22"/>
        </w:rPr>
      </w:pPr>
      <w:r>
        <w:rPr>
          <w:sz w:val="22"/>
        </w:rPr>
        <w:t>Se</w:t>
      </w:r>
      <w:r>
        <w:rPr>
          <w:spacing w:val="-12"/>
          <w:sz w:val="22"/>
        </w:rPr>
        <w:t> </w:t>
      </w:r>
      <w:r>
        <w:rPr>
          <w:sz w:val="22"/>
        </w:rPr>
        <w:t>encuentren</w:t>
      </w:r>
      <w:r>
        <w:rPr>
          <w:spacing w:val="-16"/>
          <w:sz w:val="22"/>
        </w:rPr>
        <w:t> </w:t>
      </w:r>
      <w:r>
        <w:rPr>
          <w:sz w:val="22"/>
        </w:rPr>
        <w:t>ocupando</w:t>
      </w:r>
      <w:r>
        <w:rPr>
          <w:spacing w:val="-11"/>
          <w:sz w:val="22"/>
        </w:rPr>
        <w:t> </w:t>
      </w:r>
      <w:r>
        <w:rPr>
          <w:sz w:val="22"/>
        </w:rPr>
        <w:t>terrenos</w:t>
      </w:r>
      <w:r>
        <w:rPr>
          <w:spacing w:val="-13"/>
          <w:sz w:val="22"/>
        </w:rPr>
        <w:t> </w:t>
      </w:r>
      <w:r>
        <w:rPr>
          <w:sz w:val="22"/>
        </w:rPr>
        <w:t>con</w:t>
      </w:r>
      <w:r>
        <w:rPr>
          <w:spacing w:val="-11"/>
          <w:sz w:val="22"/>
        </w:rPr>
        <w:t> </w:t>
      </w:r>
      <w:r>
        <w:rPr>
          <w:sz w:val="22"/>
        </w:rPr>
        <w:t>situación</w:t>
      </w:r>
      <w:r>
        <w:rPr>
          <w:spacing w:val="-11"/>
          <w:sz w:val="22"/>
        </w:rPr>
        <w:t> </w:t>
      </w:r>
      <w:r>
        <w:rPr>
          <w:sz w:val="22"/>
        </w:rPr>
        <w:t>o</w:t>
      </w:r>
      <w:r>
        <w:rPr>
          <w:spacing w:val="-16"/>
          <w:sz w:val="22"/>
        </w:rPr>
        <w:t> </w:t>
      </w:r>
      <w:r>
        <w:rPr>
          <w:sz w:val="22"/>
        </w:rPr>
        <w:t>declaratoria</w:t>
      </w:r>
      <w:r>
        <w:rPr>
          <w:spacing w:val="-11"/>
          <w:sz w:val="22"/>
        </w:rPr>
        <w:t> </w:t>
      </w:r>
      <w:r>
        <w:rPr>
          <w:sz w:val="22"/>
        </w:rPr>
        <w:t>de</w:t>
      </w:r>
      <w:r>
        <w:rPr>
          <w:spacing w:val="-11"/>
          <w:sz w:val="22"/>
        </w:rPr>
        <w:t> </w:t>
      </w:r>
      <w:r>
        <w:rPr>
          <w:sz w:val="22"/>
        </w:rPr>
        <w:t>inhabitabilidad según Orden Sanitaria emitida por el Ministerio de Salud.</w:t>
      </w:r>
    </w:p>
    <w:p>
      <w:pPr>
        <w:pStyle w:val="ListParagraph"/>
        <w:numPr>
          <w:ilvl w:val="0"/>
          <w:numId w:val="22"/>
        </w:numPr>
        <w:tabs>
          <w:tab w:pos="2117" w:val="left" w:leader="none"/>
        </w:tabs>
        <w:spacing w:line="240" w:lineRule="auto" w:before="1" w:after="0"/>
        <w:ind w:left="2117" w:right="1267" w:hanging="284"/>
        <w:jc w:val="left"/>
        <w:rPr>
          <w:sz w:val="22"/>
        </w:rPr>
      </w:pPr>
      <w:r>
        <w:rPr>
          <w:sz w:val="22"/>
        </w:rPr>
        <w:t>Cuando</w:t>
      </w:r>
      <w:r>
        <w:rPr>
          <w:spacing w:val="-17"/>
          <w:sz w:val="22"/>
        </w:rPr>
        <w:t> </w:t>
      </w:r>
      <w:r>
        <w:rPr>
          <w:sz w:val="22"/>
        </w:rPr>
        <w:t>se</w:t>
      </w:r>
      <w:r>
        <w:rPr>
          <w:spacing w:val="-17"/>
          <w:sz w:val="22"/>
        </w:rPr>
        <w:t> </w:t>
      </w:r>
      <w:r>
        <w:rPr>
          <w:sz w:val="22"/>
        </w:rPr>
        <w:t>deban</w:t>
      </w:r>
      <w:r>
        <w:rPr>
          <w:spacing w:val="-16"/>
          <w:sz w:val="22"/>
        </w:rPr>
        <w:t> </w:t>
      </w:r>
      <w:r>
        <w:rPr>
          <w:sz w:val="22"/>
        </w:rPr>
        <w:t>resolver</w:t>
      </w:r>
      <w:r>
        <w:rPr>
          <w:spacing w:val="-15"/>
          <w:sz w:val="22"/>
        </w:rPr>
        <w:t> </w:t>
      </w:r>
      <w:r>
        <w:rPr>
          <w:sz w:val="22"/>
        </w:rPr>
        <w:t>problemas</w:t>
      </w:r>
      <w:r>
        <w:rPr>
          <w:spacing w:val="-15"/>
          <w:sz w:val="22"/>
        </w:rPr>
        <w:t> </w:t>
      </w:r>
      <w:r>
        <w:rPr>
          <w:sz w:val="22"/>
        </w:rPr>
        <w:t>o</w:t>
      </w:r>
      <w:r>
        <w:rPr>
          <w:spacing w:val="-17"/>
          <w:sz w:val="22"/>
        </w:rPr>
        <w:t> </w:t>
      </w:r>
      <w:r>
        <w:rPr>
          <w:sz w:val="22"/>
        </w:rPr>
        <w:t>situaciones</w:t>
      </w:r>
      <w:r>
        <w:rPr>
          <w:spacing w:val="-16"/>
          <w:sz w:val="22"/>
        </w:rPr>
        <w:t> </w:t>
      </w:r>
      <w:r>
        <w:rPr>
          <w:sz w:val="22"/>
        </w:rPr>
        <w:t>de</w:t>
      </w:r>
      <w:r>
        <w:rPr>
          <w:spacing w:val="-17"/>
          <w:sz w:val="22"/>
        </w:rPr>
        <w:t> </w:t>
      </w:r>
      <w:r>
        <w:rPr>
          <w:sz w:val="22"/>
        </w:rPr>
        <w:t>habitabilidad</w:t>
      </w:r>
      <w:r>
        <w:rPr>
          <w:spacing w:val="-15"/>
          <w:sz w:val="22"/>
        </w:rPr>
        <w:t> </w:t>
      </w:r>
      <w:r>
        <w:rPr>
          <w:sz w:val="22"/>
        </w:rPr>
        <w:t>por</w:t>
      </w:r>
      <w:r>
        <w:rPr>
          <w:spacing w:val="-20"/>
          <w:sz w:val="22"/>
        </w:rPr>
        <w:t> </w:t>
      </w:r>
      <w:r>
        <w:rPr>
          <w:sz w:val="22"/>
        </w:rPr>
        <w:t>mandato de un Órgano Jurisdiccional.</w:t>
      </w:r>
    </w:p>
    <w:p>
      <w:pPr>
        <w:pStyle w:val="ListParagraph"/>
        <w:spacing w:after="0" w:line="240" w:lineRule="auto"/>
        <w:jc w:val="left"/>
        <w:rPr>
          <w:sz w:val="22"/>
        </w:rPr>
        <w:sectPr>
          <w:pgSz w:w="12240" w:h="15840"/>
          <w:pgMar w:header="0" w:footer="1101" w:top="640" w:bottom="1300" w:left="720" w:right="360"/>
        </w:sectPr>
      </w:pPr>
    </w:p>
    <w:p>
      <w:pPr>
        <w:pStyle w:val="ListParagraph"/>
        <w:numPr>
          <w:ilvl w:val="0"/>
          <w:numId w:val="22"/>
        </w:numPr>
        <w:tabs>
          <w:tab w:pos="2117" w:val="left" w:leader="none"/>
        </w:tabs>
        <w:spacing w:line="240" w:lineRule="auto" w:before="66" w:after="0"/>
        <w:ind w:left="2117" w:right="1272" w:hanging="284"/>
        <w:jc w:val="both"/>
        <w:rPr>
          <w:sz w:val="22"/>
        </w:rPr>
      </w:pPr>
      <w:r>
        <w:rPr>
          <w:sz w:val="22"/>
        </w:rPr>
        <w:t>En casos asociados y referidos a procesos de titulación y adjudicaciones de terrenos propiedad del IMAS.</w:t>
      </w:r>
    </w:p>
    <w:p>
      <w:pPr>
        <w:pStyle w:val="BodyText"/>
        <w:spacing w:before="3"/>
      </w:pPr>
    </w:p>
    <w:p>
      <w:pPr>
        <w:pStyle w:val="ListParagraph"/>
        <w:numPr>
          <w:ilvl w:val="1"/>
          <w:numId w:val="20"/>
        </w:numPr>
        <w:tabs>
          <w:tab w:pos="1832" w:val="left" w:leader="none"/>
          <w:tab w:pos="1834" w:val="left" w:leader="none"/>
        </w:tabs>
        <w:spacing w:line="240" w:lineRule="auto" w:before="1" w:after="0"/>
        <w:ind w:left="1834" w:right="1253" w:hanging="284"/>
        <w:jc w:val="both"/>
        <w:rPr>
          <w:rFonts w:ascii="Symbol" w:hAnsi="Symbol"/>
          <w:sz w:val="22"/>
        </w:rPr>
      </w:pPr>
      <w:r>
        <w:rPr>
          <w:b/>
          <w:sz w:val="22"/>
        </w:rPr>
        <w:t>Subsidio Gastos de implementación para titulación</w:t>
      </w:r>
      <w:r>
        <w:rPr>
          <w:sz w:val="22"/>
        </w:rPr>
        <w:t>: brinda oportunidades a personas</w:t>
      </w:r>
      <w:r>
        <w:rPr>
          <w:spacing w:val="-16"/>
          <w:sz w:val="22"/>
        </w:rPr>
        <w:t> </w:t>
      </w:r>
      <w:r>
        <w:rPr>
          <w:sz w:val="22"/>
        </w:rPr>
        <w:t>y</w:t>
      </w:r>
      <w:r>
        <w:rPr>
          <w:spacing w:val="-15"/>
          <w:sz w:val="22"/>
        </w:rPr>
        <w:t> </w:t>
      </w:r>
      <w:r>
        <w:rPr>
          <w:sz w:val="22"/>
        </w:rPr>
        <w:t>hogares</w:t>
      </w:r>
      <w:r>
        <w:rPr>
          <w:spacing w:val="-15"/>
          <w:sz w:val="22"/>
        </w:rPr>
        <w:t> </w:t>
      </w:r>
      <w:r>
        <w:rPr>
          <w:sz w:val="22"/>
        </w:rPr>
        <w:t>para</w:t>
      </w:r>
      <w:r>
        <w:rPr>
          <w:spacing w:val="-16"/>
          <w:sz w:val="22"/>
        </w:rPr>
        <w:t> </w:t>
      </w:r>
      <w:r>
        <w:rPr>
          <w:sz w:val="22"/>
        </w:rPr>
        <w:t>cubrir</w:t>
      </w:r>
      <w:r>
        <w:rPr>
          <w:spacing w:val="-15"/>
          <w:sz w:val="22"/>
        </w:rPr>
        <w:t> </w:t>
      </w:r>
      <w:r>
        <w:rPr>
          <w:sz w:val="22"/>
        </w:rPr>
        <w:t>servicios</w:t>
      </w:r>
      <w:r>
        <w:rPr>
          <w:spacing w:val="-15"/>
          <w:sz w:val="22"/>
        </w:rPr>
        <w:t> </w:t>
      </w:r>
      <w:r>
        <w:rPr>
          <w:sz w:val="22"/>
        </w:rPr>
        <w:t>profesionales</w:t>
      </w:r>
      <w:r>
        <w:rPr>
          <w:spacing w:val="-15"/>
          <w:sz w:val="22"/>
        </w:rPr>
        <w:t> </w:t>
      </w:r>
      <w:r>
        <w:rPr>
          <w:sz w:val="22"/>
        </w:rPr>
        <w:t>relacionados</w:t>
      </w:r>
      <w:r>
        <w:rPr>
          <w:spacing w:val="-16"/>
          <w:sz w:val="22"/>
        </w:rPr>
        <w:t> </w:t>
      </w:r>
      <w:r>
        <w:rPr>
          <w:sz w:val="22"/>
        </w:rPr>
        <w:t>con</w:t>
      </w:r>
      <w:r>
        <w:rPr>
          <w:spacing w:val="-14"/>
          <w:sz w:val="22"/>
        </w:rPr>
        <w:t> </w:t>
      </w:r>
      <w:r>
        <w:rPr>
          <w:sz w:val="22"/>
        </w:rPr>
        <w:t>confección de</w:t>
      </w:r>
      <w:r>
        <w:rPr>
          <w:spacing w:val="-16"/>
          <w:sz w:val="22"/>
        </w:rPr>
        <w:t> </w:t>
      </w:r>
      <w:r>
        <w:rPr>
          <w:sz w:val="22"/>
        </w:rPr>
        <w:t>planos</w:t>
      </w:r>
      <w:r>
        <w:rPr>
          <w:spacing w:val="-15"/>
          <w:sz w:val="22"/>
        </w:rPr>
        <w:t> </w:t>
      </w:r>
      <w:r>
        <w:rPr>
          <w:sz w:val="22"/>
        </w:rPr>
        <w:t>catastrados</w:t>
      </w:r>
      <w:r>
        <w:rPr>
          <w:spacing w:val="-15"/>
          <w:sz w:val="22"/>
        </w:rPr>
        <w:t> </w:t>
      </w:r>
      <w:r>
        <w:rPr>
          <w:sz w:val="22"/>
        </w:rPr>
        <w:t>y</w:t>
      </w:r>
      <w:r>
        <w:rPr>
          <w:spacing w:val="-16"/>
          <w:sz w:val="22"/>
        </w:rPr>
        <w:t> </w:t>
      </w:r>
      <w:r>
        <w:rPr>
          <w:sz w:val="22"/>
        </w:rPr>
        <w:t>formalización</w:t>
      </w:r>
      <w:r>
        <w:rPr>
          <w:spacing w:val="-15"/>
          <w:sz w:val="22"/>
        </w:rPr>
        <w:t> </w:t>
      </w:r>
      <w:r>
        <w:rPr>
          <w:sz w:val="22"/>
        </w:rPr>
        <w:t>de</w:t>
      </w:r>
      <w:r>
        <w:rPr>
          <w:spacing w:val="-15"/>
          <w:sz w:val="22"/>
        </w:rPr>
        <w:t> </w:t>
      </w:r>
      <w:r>
        <w:rPr>
          <w:sz w:val="22"/>
        </w:rPr>
        <w:t>escrituras</w:t>
      </w:r>
      <w:r>
        <w:rPr>
          <w:spacing w:val="-15"/>
          <w:sz w:val="22"/>
        </w:rPr>
        <w:t> </w:t>
      </w:r>
      <w:r>
        <w:rPr>
          <w:sz w:val="22"/>
        </w:rPr>
        <w:t>de</w:t>
      </w:r>
      <w:r>
        <w:rPr>
          <w:spacing w:val="-16"/>
          <w:sz w:val="22"/>
        </w:rPr>
        <w:t> </w:t>
      </w:r>
      <w:r>
        <w:rPr>
          <w:sz w:val="22"/>
        </w:rPr>
        <w:t>bienes</w:t>
      </w:r>
      <w:r>
        <w:rPr>
          <w:spacing w:val="-15"/>
          <w:sz w:val="22"/>
        </w:rPr>
        <w:t> </w:t>
      </w:r>
      <w:r>
        <w:rPr>
          <w:sz w:val="22"/>
        </w:rPr>
        <w:t>inmuebles</w:t>
      </w:r>
      <w:r>
        <w:rPr>
          <w:spacing w:val="-15"/>
          <w:sz w:val="22"/>
        </w:rPr>
        <w:t> </w:t>
      </w:r>
      <w:r>
        <w:rPr>
          <w:sz w:val="22"/>
        </w:rPr>
        <w:t>destinados a vivienda y de características urbanas, para que sean propietarias de bienes inmuebles adquiridos mediante donación, herencia, legados particulares u otros.</w:t>
      </w:r>
    </w:p>
    <w:p>
      <w:pPr>
        <w:pStyle w:val="ListParagraph"/>
        <w:numPr>
          <w:ilvl w:val="1"/>
          <w:numId w:val="20"/>
        </w:numPr>
        <w:tabs>
          <w:tab w:pos="1832" w:val="left" w:leader="none"/>
          <w:tab w:pos="1834" w:val="left" w:leader="none"/>
        </w:tabs>
        <w:spacing w:line="240" w:lineRule="auto" w:before="250" w:after="0"/>
        <w:ind w:left="1834" w:right="1253" w:hanging="284"/>
        <w:jc w:val="both"/>
        <w:rPr>
          <w:rFonts w:ascii="Symbol" w:hAnsi="Symbol"/>
          <w:sz w:val="22"/>
        </w:rPr>
      </w:pPr>
      <w:r>
        <w:rPr>
          <w:b/>
          <w:sz w:val="22"/>
        </w:rPr>
        <w:t>Subsidio Infraestructura comunal para las Organizaciones de Bienestar Social:</w:t>
      </w:r>
      <w:r>
        <w:rPr>
          <w:b/>
          <w:spacing w:val="-11"/>
          <w:sz w:val="22"/>
        </w:rPr>
        <w:t> </w:t>
      </w:r>
      <w:r>
        <w:rPr>
          <w:sz w:val="22"/>
        </w:rPr>
        <w:t>brinda</w:t>
      </w:r>
      <w:r>
        <w:rPr>
          <w:spacing w:val="-8"/>
          <w:sz w:val="22"/>
        </w:rPr>
        <w:t> </w:t>
      </w:r>
      <w:r>
        <w:rPr>
          <w:sz w:val="22"/>
        </w:rPr>
        <w:t>a</w:t>
      </w:r>
      <w:r>
        <w:rPr>
          <w:spacing w:val="-8"/>
          <w:sz w:val="22"/>
        </w:rPr>
        <w:t> </w:t>
      </w:r>
      <w:r>
        <w:rPr>
          <w:sz w:val="22"/>
        </w:rPr>
        <w:t>las</w:t>
      </w:r>
      <w:r>
        <w:rPr>
          <w:spacing w:val="-10"/>
          <w:sz w:val="22"/>
        </w:rPr>
        <w:t> </w:t>
      </w:r>
      <w:r>
        <w:rPr>
          <w:sz w:val="22"/>
        </w:rPr>
        <w:t>Organizaciones</w:t>
      </w:r>
      <w:r>
        <w:rPr>
          <w:spacing w:val="-10"/>
          <w:sz w:val="22"/>
        </w:rPr>
        <w:t> </w:t>
      </w:r>
      <w:r>
        <w:rPr>
          <w:sz w:val="22"/>
        </w:rPr>
        <w:t>de</w:t>
      </w:r>
      <w:r>
        <w:rPr>
          <w:spacing w:val="-8"/>
          <w:sz w:val="22"/>
        </w:rPr>
        <w:t> </w:t>
      </w:r>
      <w:r>
        <w:rPr>
          <w:sz w:val="22"/>
        </w:rPr>
        <w:t>Bienestar</w:t>
      </w:r>
      <w:r>
        <w:rPr>
          <w:spacing w:val="-11"/>
          <w:sz w:val="22"/>
        </w:rPr>
        <w:t> </w:t>
      </w:r>
      <w:r>
        <w:rPr>
          <w:sz w:val="22"/>
        </w:rPr>
        <w:t>Social,</w:t>
      </w:r>
      <w:r>
        <w:rPr>
          <w:spacing w:val="-9"/>
          <w:sz w:val="22"/>
        </w:rPr>
        <w:t> </w:t>
      </w:r>
      <w:r>
        <w:rPr>
          <w:sz w:val="22"/>
        </w:rPr>
        <w:t>transferencias</w:t>
      </w:r>
      <w:r>
        <w:rPr>
          <w:spacing w:val="-15"/>
          <w:sz w:val="22"/>
        </w:rPr>
        <w:t> </w:t>
      </w:r>
      <w:r>
        <w:rPr>
          <w:sz w:val="22"/>
        </w:rPr>
        <w:t>monetarias no reembolsables destinadas a mejorar y ampliar infraestructuras existentes, o construir una nueva infraestructura.</w:t>
      </w:r>
    </w:p>
    <w:p>
      <w:pPr>
        <w:pStyle w:val="BodyText"/>
      </w:pPr>
    </w:p>
    <w:p>
      <w:pPr>
        <w:pStyle w:val="ListParagraph"/>
        <w:numPr>
          <w:ilvl w:val="1"/>
          <w:numId w:val="20"/>
        </w:numPr>
        <w:tabs>
          <w:tab w:pos="1832" w:val="left" w:leader="none"/>
          <w:tab w:pos="1834" w:val="left" w:leader="none"/>
        </w:tabs>
        <w:spacing w:line="240" w:lineRule="auto" w:before="1" w:after="0"/>
        <w:ind w:left="1834" w:right="1238" w:hanging="284"/>
        <w:jc w:val="both"/>
        <w:rPr>
          <w:rFonts w:ascii="Symbol" w:hAnsi="Symbol"/>
          <w:sz w:val="22"/>
        </w:rPr>
      </w:pPr>
      <w:r>
        <w:rPr>
          <w:b/>
          <w:sz w:val="22"/>
        </w:rPr>
        <w:t>Subsidio Gastos de implementación para mejoramiento de vivienda, Mejoramiento de vivienda y Mejoramiento de vivienda para la atención de emergencias: </w:t>
      </w:r>
      <w:r>
        <w:rPr>
          <w:sz w:val="22"/>
        </w:rPr>
        <w:t>brinda oportunidades a las</w:t>
      </w:r>
      <w:r>
        <w:rPr>
          <w:spacing w:val="-1"/>
          <w:sz w:val="22"/>
        </w:rPr>
        <w:t> </w:t>
      </w:r>
      <w:r>
        <w:rPr>
          <w:sz w:val="22"/>
        </w:rPr>
        <w:t>personas y hogares con vivienda propia y terreno -debidamente registrados o adjudicados por instituciones públicas-, para el mejoramiento de las condiciones habitacionales y de accesibilidad. Así como la reparación</w:t>
      </w:r>
      <w:r>
        <w:rPr>
          <w:spacing w:val="-8"/>
          <w:sz w:val="22"/>
        </w:rPr>
        <w:t> </w:t>
      </w:r>
      <w:r>
        <w:rPr>
          <w:sz w:val="22"/>
        </w:rPr>
        <w:t>de</w:t>
      </w:r>
      <w:r>
        <w:rPr>
          <w:spacing w:val="-4"/>
          <w:sz w:val="22"/>
        </w:rPr>
        <w:t> </w:t>
      </w:r>
      <w:r>
        <w:rPr>
          <w:sz w:val="22"/>
        </w:rPr>
        <w:t>viviendas</w:t>
      </w:r>
      <w:r>
        <w:rPr>
          <w:spacing w:val="-6"/>
          <w:sz w:val="22"/>
        </w:rPr>
        <w:t> </w:t>
      </w:r>
      <w:r>
        <w:rPr>
          <w:sz w:val="22"/>
        </w:rPr>
        <w:t>y</w:t>
      </w:r>
      <w:r>
        <w:rPr>
          <w:spacing w:val="-10"/>
          <w:sz w:val="22"/>
        </w:rPr>
        <w:t> </w:t>
      </w:r>
      <w:r>
        <w:rPr>
          <w:sz w:val="22"/>
        </w:rPr>
        <w:t>terrenos</w:t>
      </w:r>
      <w:r>
        <w:rPr>
          <w:spacing w:val="-10"/>
          <w:sz w:val="22"/>
        </w:rPr>
        <w:t> </w:t>
      </w:r>
      <w:r>
        <w:rPr>
          <w:sz w:val="22"/>
        </w:rPr>
        <w:t>que</w:t>
      </w:r>
      <w:r>
        <w:rPr>
          <w:spacing w:val="-4"/>
          <w:sz w:val="22"/>
        </w:rPr>
        <w:t> </w:t>
      </w:r>
      <w:r>
        <w:rPr>
          <w:sz w:val="22"/>
        </w:rPr>
        <w:t>fueron</w:t>
      </w:r>
      <w:r>
        <w:rPr>
          <w:spacing w:val="-8"/>
          <w:sz w:val="22"/>
        </w:rPr>
        <w:t> </w:t>
      </w:r>
      <w:r>
        <w:rPr>
          <w:sz w:val="22"/>
        </w:rPr>
        <w:t>afectados</w:t>
      </w:r>
      <w:r>
        <w:rPr>
          <w:spacing w:val="-10"/>
          <w:sz w:val="22"/>
        </w:rPr>
        <w:t> </w:t>
      </w:r>
      <w:r>
        <w:rPr>
          <w:sz w:val="22"/>
        </w:rPr>
        <w:t>por</w:t>
      </w:r>
      <w:r>
        <w:rPr>
          <w:spacing w:val="-11"/>
          <w:sz w:val="22"/>
        </w:rPr>
        <w:t> </w:t>
      </w:r>
      <w:r>
        <w:rPr>
          <w:sz w:val="22"/>
        </w:rPr>
        <w:t>un</w:t>
      </w:r>
      <w:r>
        <w:rPr>
          <w:spacing w:val="-8"/>
          <w:sz w:val="22"/>
        </w:rPr>
        <w:t> </w:t>
      </w:r>
      <w:r>
        <w:rPr>
          <w:sz w:val="22"/>
        </w:rPr>
        <w:t>fenómeno</w:t>
      </w:r>
      <w:r>
        <w:rPr>
          <w:spacing w:val="-4"/>
          <w:sz w:val="22"/>
        </w:rPr>
        <w:t> </w:t>
      </w:r>
      <w:r>
        <w:rPr>
          <w:sz w:val="22"/>
        </w:rPr>
        <w:t>natural</w:t>
      </w:r>
      <w:r>
        <w:rPr>
          <w:spacing w:val="-7"/>
          <w:sz w:val="22"/>
        </w:rPr>
        <w:t> </w:t>
      </w:r>
      <w:r>
        <w:rPr>
          <w:sz w:val="22"/>
        </w:rPr>
        <w:t>o antrópico, con declaratoria de emergencia local, regional o nacional.</w:t>
      </w:r>
    </w:p>
    <w:p>
      <w:pPr>
        <w:pStyle w:val="BodyText"/>
        <w:spacing w:before="248"/>
        <w:ind w:left="1834" w:right="1240"/>
        <w:jc w:val="both"/>
      </w:pPr>
      <w:r>
        <w:rPr/>
        <w:t>Además, contempla el pago de los costos de los servicios profesionales de consultoría en ingeniería y</w:t>
      </w:r>
      <w:r>
        <w:rPr>
          <w:spacing w:val="-1"/>
        </w:rPr>
        <w:t> </w:t>
      </w:r>
      <w:r>
        <w:rPr/>
        <w:t>arquitectura, según sea el caso, para la elaboración de estudios preliminares, estudios técnicos, anteproyecto, planos y especificaciones técnicas,</w:t>
      </w:r>
      <w:r>
        <w:rPr>
          <w:spacing w:val="-10"/>
        </w:rPr>
        <w:t> </w:t>
      </w:r>
      <w:r>
        <w:rPr/>
        <w:t>estimación</w:t>
      </w:r>
      <w:r>
        <w:rPr>
          <w:spacing w:val="-9"/>
        </w:rPr>
        <w:t> </w:t>
      </w:r>
      <w:r>
        <w:rPr/>
        <w:t>global</w:t>
      </w:r>
      <w:r>
        <w:rPr>
          <w:spacing w:val="-7"/>
        </w:rPr>
        <w:t> </w:t>
      </w:r>
      <w:r>
        <w:rPr/>
        <w:t>de</w:t>
      </w:r>
      <w:r>
        <w:rPr>
          <w:spacing w:val="-4"/>
        </w:rPr>
        <w:t> </w:t>
      </w:r>
      <w:r>
        <w:rPr/>
        <w:t>costos,</w:t>
      </w:r>
      <w:r>
        <w:rPr>
          <w:spacing w:val="-10"/>
        </w:rPr>
        <w:t> </w:t>
      </w:r>
      <w:r>
        <w:rPr/>
        <w:t>programación</w:t>
      </w:r>
      <w:r>
        <w:rPr>
          <w:spacing w:val="-4"/>
        </w:rPr>
        <w:t> </w:t>
      </w:r>
      <w:r>
        <w:rPr/>
        <w:t>de</w:t>
      </w:r>
      <w:r>
        <w:rPr>
          <w:spacing w:val="-4"/>
        </w:rPr>
        <w:t> </w:t>
      </w:r>
      <w:r>
        <w:rPr/>
        <w:t>la</w:t>
      </w:r>
      <w:r>
        <w:rPr>
          <w:spacing w:val="-9"/>
        </w:rPr>
        <w:t> </w:t>
      </w:r>
      <w:r>
        <w:rPr/>
        <w:t>obra,</w:t>
      </w:r>
      <w:r>
        <w:rPr>
          <w:spacing w:val="-5"/>
        </w:rPr>
        <w:t> </w:t>
      </w:r>
      <w:r>
        <w:rPr/>
        <w:t>así</w:t>
      </w:r>
      <w:r>
        <w:rPr>
          <w:spacing w:val="-5"/>
        </w:rPr>
        <w:t> </w:t>
      </w:r>
      <w:r>
        <w:rPr/>
        <w:t>como</w:t>
      </w:r>
      <w:r>
        <w:rPr>
          <w:spacing w:val="-4"/>
        </w:rPr>
        <w:t> </w:t>
      </w:r>
      <w:r>
        <w:rPr/>
        <w:t>el</w:t>
      </w:r>
      <w:r>
        <w:rPr>
          <w:spacing w:val="-7"/>
        </w:rPr>
        <w:t> </w:t>
      </w:r>
      <w:r>
        <w:rPr/>
        <w:t>trámite del tasado de la misma, pago de pólizas de riesgos del trabajo, permisos de construcción</w:t>
      </w:r>
      <w:r>
        <w:rPr>
          <w:spacing w:val="-6"/>
        </w:rPr>
        <w:t> </w:t>
      </w:r>
      <w:r>
        <w:rPr/>
        <w:t>y</w:t>
      </w:r>
      <w:r>
        <w:rPr>
          <w:spacing w:val="-8"/>
        </w:rPr>
        <w:t> </w:t>
      </w:r>
      <w:r>
        <w:rPr/>
        <w:t>visados,</w:t>
      </w:r>
      <w:r>
        <w:rPr>
          <w:spacing w:val="-7"/>
        </w:rPr>
        <w:t> </w:t>
      </w:r>
      <w:r>
        <w:rPr/>
        <w:t>entre</w:t>
      </w:r>
      <w:r>
        <w:rPr>
          <w:spacing w:val="-11"/>
        </w:rPr>
        <w:t> </w:t>
      </w:r>
      <w:r>
        <w:rPr/>
        <w:t>otros,</w:t>
      </w:r>
      <w:r>
        <w:rPr>
          <w:spacing w:val="-5"/>
        </w:rPr>
        <w:t> </w:t>
      </w:r>
      <w:r>
        <w:rPr/>
        <w:t>según</w:t>
      </w:r>
      <w:r>
        <w:rPr>
          <w:spacing w:val="-6"/>
        </w:rPr>
        <w:t> </w:t>
      </w:r>
      <w:r>
        <w:rPr/>
        <w:t>criterio</w:t>
      </w:r>
      <w:r>
        <w:rPr>
          <w:spacing w:val="-11"/>
        </w:rPr>
        <w:t> </w:t>
      </w:r>
      <w:r>
        <w:rPr/>
        <w:t>técnico</w:t>
      </w:r>
      <w:r>
        <w:rPr>
          <w:spacing w:val="-2"/>
        </w:rPr>
        <w:t> </w:t>
      </w:r>
      <w:r>
        <w:rPr/>
        <w:t>de</w:t>
      </w:r>
      <w:r>
        <w:rPr>
          <w:spacing w:val="-6"/>
        </w:rPr>
        <w:t> </w:t>
      </w:r>
      <w:r>
        <w:rPr/>
        <w:t>la</w:t>
      </w:r>
      <w:r>
        <w:rPr>
          <w:spacing w:val="-11"/>
        </w:rPr>
        <w:t> </w:t>
      </w:r>
      <w:r>
        <w:rPr/>
        <w:t>persona</w:t>
      </w:r>
      <w:r>
        <w:rPr>
          <w:spacing w:val="-6"/>
        </w:rPr>
        <w:t> </w:t>
      </w:r>
      <w:r>
        <w:rPr/>
        <w:t>profesional del DDSPC.</w:t>
      </w:r>
    </w:p>
    <w:p>
      <w:pPr>
        <w:pStyle w:val="BodyText"/>
        <w:spacing w:before="4"/>
      </w:pPr>
    </w:p>
    <w:p>
      <w:pPr>
        <w:pStyle w:val="ListParagraph"/>
        <w:numPr>
          <w:ilvl w:val="1"/>
          <w:numId w:val="20"/>
        </w:numPr>
        <w:tabs>
          <w:tab w:pos="1832" w:val="left" w:leader="none"/>
          <w:tab w:pos="1834" w:val="left" w:leader="none"/>
        </w:tabs>
        <w:spacing w:line="237" w:lineRule="auto" w:before="0" w:after="0"/>
        <w:ind w:left="1834" w:right="1245" w:hanging="284"/>
        <w:jc w:val="both"/>
        <w:rPr>
          <w:rFonts w:ascii="Symbol" w:hAnsi="Symbol"/>
          <w:sz w:val="22"/>
        </w:rPr>
      </w:pPr>
      <w:r>
        <w:rPr>
          <w:b/>
          <w:sz w:val="22"/>
        </w:rPr>
        <w:t>Subsidio Prestación alimentaria (Inciso K): </w:t>
      </w:r>
      <w:r>
        <w:rPr>
          <w:sz w:val="22"/>
        </w:rPr>
        <w:t>subsidio destinado a cubrir la carencia</w:t>
      </w:r>
      <w:r>
        <w:rPr>
          <w:spacing w:val="-11"/>
          <w:sz w:val="22"/>
        </w:rPr>
        <w:t> </w:t>
      </w:r>
      <w:r>
        <w:rPr>
          <w:sz w:val="22"/>
        </w:rPr>
        <w:t>de</w:t>
      </w:r>
      <w:r>
        <w:rPr>
          <w:spacing w:val="-11"/>
          <w:sz w:val="22"/>
        </w:rPr>
        <w:t> </w:t>
      </w:r>
      <w:r>
        <w:rPr>
          <w:sz w:val="22"/>
        </w:rPr>
        <w:t>recursos</w:t>
      </w:r>
      <w:r>
        <w:rPr>
          <w:spacing w:val="-8"/>
          <w:sz w:val="22"/>
        </w:rPr>
        <w:t> </w:t>
      </w:r>
      <w:r>
        <w:rPr>
          <w:sz w:val="22"/>
        </w:rPr>
        <w:t>familiares,</w:t>
      </w:r>
      <w:r>
        <w:rPr>
          <w:spacing w:val="-12"/>
          <w:sz w:val="22"/>
        </w:rPr>
        <w:t> </w:t>
      </w:r>
      <w:r>
        <w:rPr>
          <w:sz w:val="22"/>
        </w:rPr>
        <w:t>personales</w:t>
      </w:r>
      <w:r>
        <w:rPr>
          <w:spacing w:val="-8"/>
          <w:sz w:val="22"/>
        </w:rPr>
        <w:t> </w:t>
      </w:r>
      <w:r>
        <w:rPr>
          <w:sz w:val="22"/>
        </w:rPr>
        <w:t>o</w:t>
      </w:r>
      <w:r>
        <w:rPr>
          <w:spacing w:val="-11"/>
          <w:sz w:val="22"/>
        </w:rPr>
        <w:t> </w:t>
      </w:r>
      <w:r>
        <w:rPr>
          <w:sz w:val="22"/>
        </w:rPr>
        <w:t>laborales</w:t>
      </w:r>
      <w:r>
        <w:rPr>
          <w:spacing w:val="-8"/>
          <w:sz w:val="22"/>
        </w:rPr>
        <w:t> </w:t>
      </w:r>
      <w:r>
        <w:rPr>
          <w:sz w:val="22"/>
        </w:rPr>
        <w:t>suficientes</w:t>
      </w:r>
      <w:r>
        <w:rPr>
          <w:spacing w:val="-8"/>
          <w:sz w:val="22"/>
        </w:rPr>
        <w:t> </w:t>
      </w:r>
      <w:r>
        <w:rPr>
          <w:sz w:val="22"/>
        </w:rPr>
        <w:t>para</w:t>
      </w:r>
      <w:r>
        <w:rPr>
          <w:spacing w:val="-11"/>
          <w:sz w:val="22"/>
        </w:rPr>
        <w:t> </w:t>
      </w:r>
      <w:r>
        <w:rPr>
          <w:sz w:val="22"/>
        </w:rPr>
        <w:t>atender</w:t>
      </w:r>
      <w:r>
        <w:rPr>
          <w:spacing w:val="-10"/>
          <w:sz w:val="22"/>
        </w:rPr>
        <w:t> </w:t>
      </w:r>
      <w:r>
        <w:rPr>
          <w:sz w:val="22"/>
        </w:rPr>
        <w:t>las necesidades básicas y de educación continua de la siguiente población:</w:t>
      </w:r>
    </w:p>
    <w:p>
      <w:pPr>
        <w:pStyle w:val="BodyText"/>
        <w:spacing w:before="5"/>
      </w:pPr>
    </w:p>
    <w:p>
      <w:pPr>
        <w:pStyle w:val="ListParagraph"/>
        <w:numPr>
          <w:ilvl w:val="2"/>
          <w:numId w:val="20"/>
        </w:numPr>
        <w:tabs>
          <w:tab w:pos="2115" w:val="left" w:leader="none"/>
          <w:tab w:pos="2117" w:val="left" w:leader="none"/>
        </w:tabs>
        <w:spacing w:line="240" w:lineRule="auto" w:before="0" w:after="0"/>
        <w:ind w:left="2117" w:right="1245" w:hanging="284"/>
        <w:jc w:val="both"/>
        <w:rPr>
          <w:sz w:val="22"/>
        </w:rPr>
      </w:pPr>
      <w:r>
        <w:rPr>
          <w:sz w:val="22"/>
        </w:rPr>
        <w:t>Personas jóvenes entre los 18 y 25 años cumplidos, en situación de pobreza extrema, pobreza, o pobreza por discapacidad que egresan, por alcanzar la mayoría de edad, de las alternativas operadas o supervisadas por el Sistema Nacional de Protección Especial (SNPE) del Patronato Nacional de la Infancia (PANI), a saber: programas en modalidad residencial, albergues PANI, aldeas PANI, programas</w:t>
      </w:r>
      <w:r>
        <w:rPr>
          <w:spacing w:val="-1"/>
          <w:sz w:val="22"/>
        </w:rPr>
        <w:t> </w:t>
      </w:r>
      <w:r>
        <w:rPr>
          <w:sz w:val="22"/>
        </w:rPr>
        <w:t>en modalidad de acogimiento familiar. Deben ser estudiantes en cualquiera de los ciclos educativos (I y II ciclo-primaria, III ciclo-sétimo a noveno,</w:t>
      </w:r>
      <w:r>
        <w:rPr>
          <w:spacing w:val="-3"/>
          <w:sz w:val="22"/>
        </w:rPr>
        <w:t> </w:t>
      </w:r>
      <w:r>
        <w:rPr>
          <w:sz w:val="22"/>
        </w:rPr>
        <w:t>Educación</w:t>
      </w:r>
      <w:r>
        <w:rPr>
          <w:spacing w:val="-3"/>
          <w:sz w:val="22"/>
        </w:rPr>
        <w:t> </w:t>
      </w:r>
      <w:r>
        <w:rPr>
          <w:sz w:val="22"/>
        </w:rPr>
        <w:t>Diversificada-décimo</w:t>
      </w:r>
      <w:r>
        <w:rPr>
          <w:spacing w:val="-3"/>
          <w:sz w:val="22"/>
        </w:rPr>
        <w:t> </w:t>
      </w:r>
      <w:r>
        <w:rPr>
          <w:sz w:val="22"/>
        </w:rPr>
        <w:t>y</w:t>
      </w:r>
      <w:r>
        <w:rPr>
          <w:spacing w:val="-9"/>
          <w:sz w:val="22"/>
        </w:rPr>
        <w:t> </w:t>
      </w:r>
      <w:r>
        <w:rPr>
          <w:sz w:val="22"/>
        </w:rPr>
        <w:t>undécimo,</w:t>
      </w:r>
      <w:r>
        <w:rPr>
          <w:spacing w:val="-3"/>
          <w:sz w:val="22"/>
        </w:rPr>
        <w:t> </w:t>
      </w:r>
      <w:r>
        <w:rPr>
          <w:sz w:val="22"/>
        </w:rPr>
        <w:t>o</w:t>
      </w:r>
      <w:r>
        <w:rPr>
          <w:spacing w:val="-3"/>
          <w:sz w:val="22"/>
        </w:rPr>
        <w:t> </w:t>
      </w:r>
      <w:r>
        <w:rPr>
          <w:sz w:val="22"/>
        </w:rPr>
        <w:t>sexto</w:t>
      </w:r>
      <w:r>
        <w:rPr>
          <w:spacing w:val="-7"/>
          <w:sz w:val="22"/>
        </w:rPr>
        <w:t> </w:t>
      </w:r>
      <w:r>
        <w:rPr>
          <w:sz w:val="22"/>
        </w:rPr>
        <w:t>año</w:t>
      </w:r>
      <w:r>
        <w:rPr>
          <w:spacing w:val="-3"/>
          <w:sz w:val="22"/>
        </w:rPr>
        <w:t> </w:t>
      </w:r>
      <w:r>
        <w:rPr>
          <w:sz w:val="22"/>
        </w:rPr>
        <w:t>de</w:t>
      </w:r>
      <w:r>
        <w:rPr>
          <w:spacing w:val="-3"/>
          <w:sz w:val="22"/>
        </w:rPr>
        <w:t> </w:t>
      </w:r>
      <w:r>
        <w:rPr>
          <w:sz w:val="22"/>
        </w:rPr>
        <w:t>educación técnica), estudios técnicos o universitarios.</w:t>
      </w:r>
    </w:p>
    <w:p>
      <w:pPr>
        <w:pStyle w:val="ListParagraph"/>
        <w:numPr>
          <w:ilvl w:val="2"/>
          <w:numId w:val="20"/>
        </w:numPr>
        <w:tabs>
          <w:tab w:pos="2115" w:val="left" w:leader="none"/>
          <w:tab w:pos="2117" w:val="left" w:leader="none"/>
        </w:tabs>
        <w:spacing w:line="240" w:lineRule="auto" w:before="0" w:after="0"/>
        <w:ind w:left="2117" w:right="1252" w:hanging="284"/>
        <w:jc w:val="both"/>
        <w:rPr>
          <w:sz w:val="22"/>
        </w:rPr>
      </w:pPr>
      <w:r>
        <w:rPr>
          <w:sz w:val="22"/>
        </w:rPr>
        <w:t>Personas jóvenes entre 18 y 25 años cumplidos en situación de pobreza extrema, pobreza o pobreza por discapacidad, que tienen una situación de discapacidad debidamente comprobada que les impide o les limita estudiar o trabajar. Este grupo poblacional, puede o no ser egresada del SNPE del PANI.</w:t>
      </w:r>
    </w:p>
    <w:p>
      <w:pPr>
        <w:pStyle w:val="BodyText"/>
        <w:spacing w:before="4"/>
      </w:pPr>
    </w:p>
    <w:p>
      <w:pPr>
        <w:pStyle w:val="ListParagraph"/>
        <w:numPr>
          <w:ilvl w:val="1"/>
          <w:numId w:val="20"/>
        </w:numPr>
        <w:tabs>
          <w:tab w:pos="1832" w:val="left" w:leader="none"/>
          <w:tab w:pos="1834" w:val="left" w:leader="none"/>
        </w:tabs>
        <w:spacing w:line="237" w:lineRule="auto" w:before="0" w:after="0"/>
        <w:ind w:left="1834" w:right="1241" w:hanging="284"/>
        <w:jc w:val="both"/>
        <w:rPr>
          <w:rFonts w:ascii="Symbol" w:hAnsi="Symbol"/>
          <w:sz w:val="22"/>
        </w:rPr>
      </w:pPr>
      <w:r>
        <w:rPr>
          <w:b/>
          <w:sz w:val="22"/>
        </w:rPr>
        <w:t>Subsidio Veda</w:t>
      </w:r>
      <w:r>
        <w:rPr>
          <w:sz w:val="22"/>
        </w:rPr>
        <w:t>: coadyuva a la satisfacción de necesidades básicas de personas pescadoras</w:t>
      </w:r>
      <w:r>
        <w:rPr>
          <w:spacing w:val="-6"/>
          <w:sz w:val="22"/>
        </w:rPr>
        <w:t> </w:t>
      </w:r>
      <w:r>
        <w:rPr>
          <w:sz w:val="22"/>
        </w:rPr>
        <w:t>y</w:t>
      </w:r>
      <w:r>
        <w:rPr>
          <w:spacing w:val="-1"/>
          <w:sz w:val="22"/>
        </w:rPr>
        <w:t> </w:t>
      </w:r>
      <w:r>
        <w:rPr>
          <w:sz w:val="22"/>
        </w:rPr>
        <w:t>sus</w:t>
      </w:r>
      <w:r>
        <w:rPr>
          <w:spacing w:val="-6"/>
          <w:sz w:val="22"/>
        </w:rPr>
        <w:t> </w:t>
      </w:r>
      <w:r>
        <w:rPr>
          <w:sz w:val="22"/>
        </w:rPr>
        <w:t>ayudantes</w:t>
      </w:r>
      <w:r>
        <w:rPr>
          <w:spacing w:val="-6"/>
          <w:sz w:val="22"/>
        </w:rPr>
        <w:t> </w:t>
      </w:r>
      <w:r>
        <w:rPr>
          <w:sz w:val="22"/>
        </w:rPr>
        <w:t>en</w:t>
      </w:r>
      <w:r>
        <w:rPr>
          <w:spacing w:val="-4"/>
          <w:sz w:val="22"/>
        </w:rPr>
        <w:t> </w:t>
      </w:r>
      <w:r>
        <w:rPr>
          <w:sz w:val="22"/>
        </w:rPr>
        <w:t>periodos</w:t>
      </w:r>
      <w:r>
        <w:rPr>
          <w:spacing w:val="-6"/>
          <w:sz w:val="22"/>
        </w:rPr>
        <w:t> </w:t>
      </w:r>
      <w:r>
        <w:rPr>
          <w:sz w:val="22"/>
        </w:rPr>
        <w:t>declarados</w:t>
      </w:r>
      <w:r>
        <w:rPr>
          <w:spacing w:val="-6"/>
          <w:sz w:val="22"/>
        </w:rPr>
        <w:t> </w:t>
      </w:r>
      <w:r>
        <w:rPr>
          <w:sz w:val="22"/>
        </w:rPr>
        <w:t>en</w:t>
      </w:r>
      <w:r>
        <w:rPr>
          <w:spacing w:val="-4"/>
          <w:sz w:val="22"/>
        </w:rPr>
        <w:t> </w:t>
      </w:r>
      <w:r>
        <w:rPr>
          <w:sz w:val="22"/>
        </w:rPr>
        <w:t>veda.</w:t>
      </w:r>
      <w:r>
        <w:rPr>
          <w:spacing w:val="-5"/>
          <w:sz w:val="22"/>
        </w:rPr>
        <w:t> </w:t>
      </w:r>
      <w:r>
        <w:rPr>
          <w:sz w:val="22"/>
        </w:rPr>
        <w:t>Las</w:t>
      </w:r>
      <w:r>
        <w:rPr>
          <w:spacing w:val="-6"/>
          <w:sz w:val="22"/>
        </w:rPr>
        <w:t> </w:t>
      </w:r>
      <w:r>
        <w:rPr>
          <w:sz w:val="22"/>
        </w:rPr>
        <w:t>personas</w:t>
      </w:r>
      <w:r>
        <w:rPr>
          <w:spacing w:val="-11"/>
          <w:sz w:val="22"/>
        </w:rPr>
        <w:t> </w:t>
      </w:r>
      <w:r>
        <w:rPr>
          <w:sz w:val="22"/>
        </w:rPr>
        <w:t>deben estar</w:t>
      </w:r>
      <w:r>
        <w:rPr>
          <w:spacing w:val="-7"/>
          <w:sz w:val="22"/>
        </w:rPr>
        <w:t> </w:t>
      </w:r>
      <w:r>
        <w:rPr>
          <w:sz w:val="22"/>
        </w:rPr>
        <w:t>en la lista</w:t>
      </w:r>
      <w:r>
        <w:rPr>
          <w:spacing w:val="-3"/>
          <w:sz w:val="22"/>
        </w:rPr>
        <w:t> </w:t>
      </w:r>
      <w:r>
        <w:rPr>
          <w:sz w:val="22"/>
        </w:rPr>
        <w:t>que</w:t>
      </w:r>
      <w:r>
        <w:rPr>
          <w:spacing w:val="-3"/>
          <w:sz w:val="22"/>
        </w:rPr>
        <w:t> </w:t>
      </w:r>
      <w:r>
        <w:rPr>
          <w:sz w:val="22"/>
        </w:rPr>
        <w:t>acredita</w:t>
      </w:r>
      <w:r>
        <w:rPr>
          <w:spacing w:val="-3"/>
          <w:sz w:val="22"/>
        </w:rPr>
        <w:t> </w:t>
      </w:r>
      <w:r>
        <w:rPr>
          <w:sz w:val="22"/>
        </w:rPr>
        <w:t>INCOPESCA</w:t>
      </w:r>
      <w:r>
        <w:rPr>
          <w:spacing w:val="-4"/>
          <w:sz w:val="22"/>
        </w:rPr>
        <w:t> </w:t>
      </w:r>
      <w:r>
        <w:rPr>
          <w:sz w:val="22"/>
        </w:rPr>
        <w:t>ante</w:t>
      </w:r>
      <w:r>
        <w:rPr>
          <w:spacing w:val="-3"/>
          <w:sz w:val="22"/>
        </w:rPr>
        <w:t> </w:t>
      </w:r>
      <w:r>
        <w:rPr>
          <w:sz w:val="22"/>
        </w:rPr>
        <w:t>el</w:t>
      </w:r>
      <w:r>
        <w:rPr>
          <w:spacing w:val="-6"/>
          <w:sz w:val="22"/>
        </w:rPr>
        <w:t> </w:t>
      </w:r>
      <w:r>
        <w:rPr>
          <w:sz w:val="22"/>
        </w:rPr>
        <w:t>IMAS, encontrarse</w:t>
      </w:r>
      <w:r>
        <w:rPr>
          <w:spacing w:val="-3"/>
          <w:sz w:val="22"/>
        </w:rPr>
        <w:t> </w:t>
      </w:r>
      <w:r>
        <w:rPr>
          <w:sz w:val="22"/>
        </w:rPr>
        <w:t>al</w:t>
      </w:r>
      <w:r>
        <w:rPr>
          <w:spacing w:val="-1"/>
          <w:sz w:val="22"/>
        </w:rPr>
        <w:t> </w:t>
      </w:r>
      <w:r>
        <w:rPr>
          <w:sz w:val="22"/>
        </w:rPr>
        <w:t>día con</w:t>
      </w:r>
      <w:r>
        <w:rPr>
          <w:spacing w:val="-3"/>
          <w:sz w:val="22"/>
        </w:rPr>
        <w:t> </w:t>
      </w:r>
      <w:r>
        <w:rPr>
          <w:sz w:val="22"/>
        </w:rPr>
        <w:t>las obligaciones</w:t>
      </w:r>
      <w:r>
        <w:rPr>
          <w:spacing w:val="-13"/>
          <w:sz w:val="22"/>
        </w:rPr>
        <w:t> </w:t>
      </w:r>
      <w:r>
        <w:rPr>
          <w:sz w:val="22"/>
        </w:rPr>
        <w:t>en</w:t>
      </w:r>
      <w:r>
        <w:rPr>
          <w:spacing w:val="-6"/>
          <w:sz w:val="22"/>
        </w:rPr>
        <w:t> </w:t>
      </w:r>
      <w:r>
        <w:rPr>
          <w:sz w:val="22"/>
        </w:rPr>
        <w:t>la</w:t>
      </w:r>
      <w:r>
        <w:rPr>
          <w:spacing w:val="-6"/>
          <w:sz w:val="22"/>
        </w:rPr>
        <w:t> </w:t>
      </w:r>
      <w:r>
        <w:rPr>
          <w:sz w:val="22"/>
        </w:rPr>
        <w:t>CCSS</w:t>
      </w:r>
      <w:r>
        <w:rPr>
          <w:spacing w:val="-7"/>
          <w:sz w:val="22"/>
        </w:rPr>
        <w:t> </w:t>
      </w:r>
      <w:r>
        <w:rPr>
          <w:sz w:val="22"/>
        </w:rPr>
        <w:t>y</w:t>
      </w:r>
      <w:r>
        <w:rPr>
          <w:spacing w:val="-8"/>
          <w:sz w:val="22"/>
        </w:rPr>
        <w:t> </w:t>
      </w:r>
      <w:r>
        <w:rPr>
          <w:sz w:val="22"/>
        </w:rPr>
        <w:t>realizar</w:t>
      </w:r>
      <w:r>
        <w:rPr>
          <w:spacing w:val="-10"/>
          <w:sz w:val="22"/>
        </w:rPr>
        <w:t> </w:t>
      </w:r>
      <w:r>
        <w:rPr>
          <w:sz w:val="22"/>
        </w:rPr>
        <w:t>el</w:t>
      </w:r>
      <w:r>
        <w:rPr>
          <w:spacing w:val="-9"/>
          <w:sz w:val="22"/>
        </w:rPr>
        <w:t> </w:t>
      </w:r>
      <w:r>
        <w:rPr>
          <w:sz w:val="22"/>
        </w:rPr>
        <w:t>servicio</w:t>
      </w:r>
      <w:r>
        <w:rPr>
          <w:spacing w:val="-6"/>
          <w:sz w:val="22"/>
        </w:rPr>
        <w:t> </w:t>
      </w:r>
      <w:r>
        <w:rPr>
          <w:sz w:val="22"/>
        </w:rPr>
        <w:t>de</w:t>
      </w:r>
      <w:r>
        <w:rPr>
          <w:spacing w:val="-6"/>
          <w:sz w:val="22"/>
        </w:rPr>
        <w:t> </w:t>
      </w:r>
      <w:r>
        <w:rPr>
          <w:sz w:val="22"/>
        </w:rPr>
        <w:t>trabajo</w:t>
      </w:r>
      <w:r>
        <w:rPr>
          <w:spacing w:val="-6"/>
          <w:sz w:val="22"/>
        </w:rPr>
        <w:t> </w:t>
      </w:r>
      <w:r>
        <w:rPr>
          <w:sz w:val="22"/>
        </w:rPr>
        <w:t>comunal,</w:t>
      </w:r>
      <w:r>
        <w:rPr>
          <w:spacing w:val="-7"/>
          <w:sz w:val="22"/>
        </w:rPr>
        <w:t> </w:t>
      </w:r>
      <w:r>
        <w:rPr>
          <w:sz w:val="22"/>
        </w:rPr>
        <w:t>según</w:t>
      </w:r>
      <w:r>
        <w:rPr>
          <w:spacing w:val="-6"/>
          <w:sz w:val="22"/>
        </w:rPr>
        <w:t> </w:t>
      </w:r>
      <w:r>
        <w:rPr>
          <w:sz w:val="22"/>
        </w:rPr>
        <w:t>lo</w:t>
      </w:r>
      <w:r>
        <w:rPr>
          <w:spacing w:val="-6"/>
          <w:sz w:val="22"/>
        </w:rPr>
        <w:t> </w:t>
      </w:r>
      <w:r>
        <w:rPr>
          <w:sz w:val="22"/>
        </w:rPr>
        <w:t>estipula el</w:t>
      </w:r>
      <w:r>
        <w:rPr>
          <w:spacing w:val="-16"/>
          <w:sz w:val="22"/>
        </w:rPr>
        <w:t> </w:t>
      </w:r>
      <w:r>
        <w:rPr>
          <w:sz w:val="22"/>
        </w:rPr>
        <w:t>Decreto</w:t>
      </w:r>
      <w:r>
        <w:rPr>
          <w:spacing w:val="-17"/>
          <w:sz w:val="22"/>
        </w:rPr>
        <w:t> </w:t>
      </w:r>
      <w:r>
        <w:rPr>
          <w:sz w:val="22"/>
        </w:rPr>
        <w:t>Ejecutivo</w:t>
      </w:r>
      <w:r>
        <w:rPr>
          <w:spacing w:val="-15"/>
          <w:sz w:val="22"/>
        </w:rPr>
        <w:t> </w:t>
      </w:r>
      <w:r>
        <w:rPr>
          <w:sz w:val="22"/>
        </w:rPr>
        <w:t>N°36043-MAG-SP-MS.</w:t>
      </w:r>
      <w:r>
        <w:rPr>
          <w:spacing w:val="-15"/>
          <w:sz w:val="22"/>
        </w:rPr>
        <w:t> </w:t>
      </w:r>
      <w:r>
        <w:rPr>
          <w:sz w:val="22"/>
        </w:rPr>
        <w:t>Se</w:t>
      </w:r>
      <w:r>
        <w:rPr>
          <w:spacing w:val="-17"/>
          <w:sz w:val="22"/>
        </w:rPr>
        <w:t> </w:t>
      </w:r>
      <w:r>
        <w:rPr>
          <w:sz w:val="22"/>
        </w:rPr>
        <w:t>condiciona</w:t>
      </w:r>
      <w:r>
        <w:rPr>
          <w:spacing w:val="-17"/>
          <w:sz w:val="22"/>
        </w:rPr>
        <w:t> </w:t>
      </w:r>
      <w:r>
        <w:rPr>
          <w:sz w:val="22"/>
        </w:rPr>
        <w:t>a</w:t>
      </w:r>
      <w:r>
        <w:rPr>
          <w:spacing w:val="-17"/>
          <w:sz w:val="22"/>
        </w:rPr>
        <w:t> </w:t>
      </w:r>
      <w:r>
        <w:rPr>
          <w:sz w:val="22"/>
        </w:rPr>
        <w:t>la</w:t>
      </w:r>
      <w:r>
        <w:rPr>
          <w:spacing w:val="-17"/>
          <w:sz w:val="22"/>
        </w:rPr>
        <w:t> </w:t>
      </w:r>
      <w:r>
        <w:rPr>
          <w:sz w:val="22"/>
        </w:rPr>
        <w:t>situación</w:t>
      </w:r>
      <w:r>
        <w:rPr>
          <w:spacing w:val="-17"/>
          <w:sz w:val="22"/>
        </w:rPr>
        <w:t> </w:t>
      </w:r>
      <w:r>
        <w:rPr>
          <w:sz w:val="22"/>
        </w:rPr>
        <w:t>de</w:t>
      </w:r>
      <w:r>
        <w:rPr>
          <w:spacing w:val="-17"/>
          <w:sz w:val="22"/>
        </w:rPr>
        <w:t> </w:t>
      </w:r>
      <w:r>
        <w:rPr>
          <w:sz w:val="22"/>
        </w:rPr>
        <w:t>pobreza</w:t>
      </w:r>
    </w:p>
    <w:p>
      <w:pPr>
        <w:pStyle w:val="ListParagraph"/>
        <w:spacing w:after="0" w:line="237" w:lineRule="auto"/>
        <w:jc w:val="both"/>
        <w:rPr>
          <w:rFonts w:ascii="Symbol" w:hAnsi="Symbol"/>
          <w:sz w:val="22"/>
        </w:rPr>
        <w:sectPr>
          <w:pgSz w:w="12240" w:h="15840"/>
          <w:pgMar w:header="0" w:footer="1101" w:top="640" w:bottom="1300" w:left="720" w:right="360"/>
        </w:sectPr>
      </w:pPr>
    </w:p>
    <w:p>
      <w:pPr>
        <w:pStyle w:val="BodyText"/>
        <w:spacing w:before="66"/>
        <w:ind w:left="1834" w:right="1254"/>
        <w:jc w:val="both"/>
      </w:pPr>
      <w:r>
        <w:rPr/>
        <w:t>de</w:t>
      </w:r>
      <w:r>
        <w:rPr>
          <w:spacing w:val="-1"/>
        </w:rPr>
        <w:t> </w:t>
      </w:r>
      <w:r>
        <w:rPr/>
        <w:t>las</w:t>
      </w:r>
      <w:r>
        <w:rPr>
          <w:spacing w:val="-3"/>
        </w:rPr>
        <w:t> </w:t>
      </w:r>
      <w:r>
        <w:rPr/>
        <w:t>personas</w:t>
      </w:r>
      <w:r>
        <w:rPr>
          <w:spacing w:val="-3"/>
        </w:rPr>
        <w:t> </w:t>
      </w:r>
      <w:r>
        <w:rPr/>
        <w:t>pescadoras</w:t>
      </w:r>
      <w:r>
        <w:rPr>
          <w:spacing w:val="-3"/>
        </w:rPr>
        <w:t> </w:t>
      </w:r>
      <w:r>
        <w:rPr/>
        <w:t>y sus</w:t>
      </w:r>
      <w:r>
        <w:rPr>
          <w:spacing w:val="-3"/>
        </w:rPr>
        <w:t> </w:t>
      </w:r>
      <w:r>
        <w:rPr/>
        <w:t>ayudantes</w:t>
      </w:r>
      <w:r>
        <w:rPr>
          <w:spacing w:val="-3"/>
        </w:rPr>
        <w:t> </w:t>
      </w:r>
      <w:r>
        <w:rPr/>
        <w:t>durante</w:t>
      </w:r>
      <w:r>
        <w:rPr>
          <w:spacing w:val="-1"/>
        </w:rPr>
        <w:t> </w:t>
      </w:r>
      <w:r>
        <w:rPr/>
        <w:t>un</w:t>
      </w:r>
      <w:r>
        <w:rPr>
          <w:spacing w:val="-5"/>
        </w:rPr>
        <w:t> </w:t>
      </w:r>
      <w:r>
        <w:rPr/>
        <w:t>periodo</w:t>
      </w:r>
      <w:r>
        <w:rPr>
          <w:spacing w:val="-1"/>
        </w:rPr>
        <w:t> </w:t>
      </w:r>
      <w:r>
        <w:rPr/>
        <w:t>definido, siempre y cuando carezcan de otras fuentes de ingresos diferentes a la pesca</w:t>
      </w:r>
    </w:p>
    <w:p>
      <w:pPr>
        <w:pStyle w:val="BodyText"/>
        <w:spacing w:before="4"/>
      </w:pPr>
    </w:p>
    <w:p>
      <w:pPr>
        <w:pStyle w:val="BodyText"/>
        <w:ind w:left="1834" w:right="1238"/>
        <w:jc w:val="both"/>
      </w:pPr>
      <w:r>
        <w:rPr>
          <w:b/>
        </w:rPr>
        <w:t>Transferencia Monetaria Condicionada Cuidado y desarrollo infantil: </w:t>
      </w:r>
      <w:r>
        <w:rPr/>
        <w:t>Se ejecuta en el marco de la Red Nacional de Cuido y Desarrollo Infantil, consiste en una transferencia</w:t>
      </w:r>
      <w:r>
        <w:rPr>
          <w:spacing w:val="-4"/>
        </w:rPr>
        <w:t> </w:t>
      </w:r>
      <w:r>
        <w:rPr/>
        <w:t>monetaria condicionada</w:t>
      </w:r>
      <w:r>
        <w:rPr>
          <w:spacing w:val="-5"/>
        </w:rPr>
        <w:t> </w:t>
      </w:r>
      <w:r>
        <w:rPr/>
        <w:t>a</w:t>
      </w:r>
      <w:r>
        <w:rPr>
          <w:spacing w:val="-2"/>
        </w:rPr>
        <w:t> </w:t>
      </w:r>
      <w:r>
        <w:rPr/>
        <w:t>la</w:t>
      </w:r>
      <w:r>
        <w:rPr>
          <w:spacing w:val="-5"/>
        </w:rPr>
        <w:t> </w:t>
      </w:r>
      <w:r>
        <w:rPr/>
        <w:t>asistencia</w:t>
      </w:r>
      <w:r>
        <w:rPr>
          <w:spacing w:val="-5"/>
        </w:rPr>
        <w:t> </w:t>
      </w:r>
      <w:r>
        <w:rPr/>
        <w:t>de</w:t>
      </w:r>
      <w:r>
        <w:rPr>
          <w:spacing w:val="-5"/>
        </w:rPr>
        <w:t> </w:t>
      </w:r>
      <w:r>
        <w:rPr/>
        <w:t>las</w:t>
      </w:r>
      <w:r>
        <w:rPr>
          <w:spacing w:val="-7"/>
        </w:rPr>
        <w:t> </w:t>
      </w:r>
      <w:r>
        <w:rPr/>
        <w:t>personas</w:t>
      </w:r>
      <w:r>
        <w:rPr>
          <w:spacing w:val="-7"/>
        </w:rPr>
        <w:t> </w:t>
      </w:r>
      <w:r>
        <w:rPr/>
        <w:t>menores de edad a los servicios que brindan las Alternativas de Atención debidamente habilitadas. Está orientada a niños y</w:t>
      </w:r>
      <w:r>
        <w:rPr>
          <w:spacing w:val="-1"/>
        </w:rPr>
        <w:t> </w:t>
      </w:r>
      <w:r>
        <w:rPr/>
        <w:t>niñas de 0 a</w:t>
      </w:r>
      <w:r>
        <w:rPr>
          <w:spacing w:val="-3"/>
        </w:rPr>
        <w:t> </w:t>
      </w:r>
      <w:r>
        <w:rPr/>
        <w:t>12 años y</w:t>
      </w:r>
      <w:r>
        <w:rPr>
          <w:spacing w:val="-1"/>
        </w:rPr>
        <w:t> </w:t>
      </w:r>
      <w:r>
        <w:rPr/>
        <w:t>364 días cumplidos, o personas</w:t>
      </w:r>
      <w:r>
        <w:rPr>
          <w:spacing w:val="-5"/>
        </w:rPr>
        <w:t> </w:t>
      </w:r>
      <w:r>
        <w:rPr/>
        <w:t>menores de 18 años</w:t>
      </w:r>
      <w:r>
        <w:rPr>
          <w:spacing w:val="-1"/>
        </w:rPr>
        <w:t> </w:t>
      </w:r>
      <w:r>
        <w:rPr/>
        <w:t>con discapacidad, en situación de</w:t>
      </w:r>
      <w:r>
        <w:rPr>
          <w:spacing w:val="-3"/>
        </w:rPr>
        <w:t> </w:t>
      </w:r>
      <w:r>
        <w:rPr/>
        <w:t>pobreza extrema y</w:t>
      </w:r>
      <w:r>
        <w:rPr>
          <w:spacing w:val="-2"/>
        </w:rPr>
        <w:t> </w:t>
      </w:r>
      <w:r>
        <w:rPr/>
        <w:t>pobreza.</w:t>
      </w:r>
      <w:r>
        <w:rPr>
          <w:spacing w:val="-1"/>
        </w:rPr>
        <w:t> </w:t>
      </w:r>
      <w:r>
        <w:rPr/>
        <w:t>Las</w:t>
      </w:r>
      <w:r>
        <w:rPr>
          <w:spacing w:val="-2"/>
        </w:rPr>
        <w:t> </w:t>
      </w:r>
      <w:r>
        <w:rPr/>
        <w:t>Alternativas</w:t>
      </w:r>
      <w:r>
        <w:rPr>
          <w:spacing w:val="-1"/>
        </w:rPr>
        <w:t> </w:t>
      </w:r>
      <w:r>
        <w:rPr/>
        <w:t>de</w:t>
      </w:r>
      <w:r>
        <w:rPr>
          <w:spacing w:val="-1"/>
        </w:rPr>
        <w:t> </w:t>
      </w:r>
      <w:r>
        <w:rPr/>
        <w:t>Atención son</w:t>
      </w:r>
      <w:r>
        <w:rPr>
          <w:spacing w:val="-1"/>
        </w:rPr>
        <w:t> </w:t>
      </w:r>
      <w:r>
        <w:rPr/>
        <w:t>seleccionadas</w:t>
      </w:r>
      <w:r>
        <w:rPr>
          <w:spacing w:val="-2"/>
        </w:rPr>
        <w:t> </w:t>
      </w:r>
      <w:r>
        <w:rPr/>
        <w:t>por</w:t>
      </w:r>
      <w:r>
        <w:rPr>
          <w:spacing w:val="-4"/>
        </w:rPr>
        <w:t> </w:t>
      </w:r>
      <w:r>
        <w:rPr/>
        <w:t>los</w:t>
      </w:r>
      <w:r>
        <w:rPr>
          <w:spacing w:val="-7"/>
        </w:rPr>
        <w:t> </w:t>
      </w:r>
      <w:r>
        <w:rPr/>
        <w:t>padres,</w:t>
      </w:r>
      <w:r>
        <w:rPr>
          <w:spacing w:val="-1"/>
        </w:rPr>
        <w:t> </w:t>
      </w:r>
      <w:r>
        <w:rPr/>
        <w:t>madres o representantes legales de las personas menores de edad, quienes autorizan el traslado del costo total o parcial de la atención.</w:t>
      </w:r>
    </w:p>
    <w:p>
      <w:pPr>
        <w:pStyle w:val="BodyText"/>
      </w:pPr>
    </w:p>
    <w:p>
      <w:pPr>
        <w:pStyle w:val="BodyText"/>
        <w:spacing w:before="2"/>
      </w:pPr>
    </w:p>
    <w:p>
      <w:pPr>
        <w:pStyle w:val="Heading1"/>
        <w:numPr>
          <w:ilvl w:val="2"/>
          <w:numId w:val="5"/>
        </w:numPr>
        <w:tabs>
          <w:tab w:pos="2733" w:val="left" w:leader="none"/>
        </w:tabs>
        <w:spacing w:line="240" w:lineRule="auto" w:before="1" w:after="0"/>
        <w:ind w:left="2733" w:right="0" w:hanging="601"/>
        <w:jc w:val="left"/>
      </w:pPr>
      <w:r>
        <w:rPr/>
        <w:t>Dimensión</w:t>
      </w:r>
      <w:r>
        <w:rPr>
          <w:spacing w:val="-9"/>
        </w:rPr>
        <w:t> </w:t>
      </w:r>
      <w:r>
        <w:rPr/>
        <w:t>de</w:t>
      </w:r>
      <w:r>
        <w:rPr>
          <w:spacing w:val="-5"/>
        </w:rPr>
        <w:t> </w:t>
      </w:r>
      <w:r>
        <w:rPr/>
        <w:t>Promoción</w:t>
      </w:r>
      <w:r>
        <w:rPr>
          <w:spacing w:val="-3"/>
        </w:rPr>
        <w:t> </w:t>
      </w:r>
      <w:r>
        <w:rPr>
          <w:spacing w:val="-2"/>
        </w:rPr>
        <w:t>Social</w:t>
      </w:r>
    </w:p>
    <w:p>
      <w:pPr>
        <w:pStyle w:val="BodyText"/>
        <w:spacing w:before="270"/>
        <w:ind w:left="1268" w:right="1252"/>
        <w:jc w:val="both"/>
      </w:pPr>
      <w:r>
        <w:rPr/>
        <w:t>Bajo el concepto de promoción social se agrupan los subsidios y transferencias monetarias que contribuyen a la movilidad social de las personas, hogares u organizaciones</w:t>
      </w:r>
      <w:r>
        <w:rPr>
          <w:spacing w:val="-12"/>
        </w:rPr>
        <w:t> </w:t>
      </w:r>
      <w:r>
        <w:rPr/>
        <w:t>dentro</w:t>
      </w:r>
      <w:r>
        <w:rPr>
          <w:spacing w:val="-15"/>
        </w:rPr>
        <w:t> </w:t>
      </w:r>
      <w:r>
        <w:rPr/>
        <w:t>de</w:t>
      </w:r>
      <w:r>
        <w:rPr>
          <w:spacing w:val="-10"/>
        </w:rPr>
        <w:t> </w:t>
      </w:r>
      <w:r>
        <w:rPr/>
        <w:t>un</w:t>
      </w:r>
      <w:r>
        <w:rPr>
          <w:spacing w:val="-10"/>
        </w:rPr>
        <w:t> </w:t>
      </w:r>
      <w:r>
        <w:rPr/>
        <w:t>determinado</w:t>
      </w:r>
      <w:r>
        <w:rPr>
          <w:spacing w:val="-10"/>
        </w:rPr>
        <w:t> </w:t>
      </w:r>
      <w:r>
        <w:rPr/>
        <w:t>territorio,</w:t>
      </w:r>
      <w:r>
        <w:rPr>
          <w:spacing w:val="-6"/>
        </w:rPr>
        <w:t> </w:t>
      </w:r>
      <w:r>
        <w:rPr/>
        <w:t>el</w:t>
      </w:r>
      <w:r>
        <w:rPr>
          <w:spacing w:val="-13"/>
        </w:rPr>
        <w:t> </w:t>
      </w:r>
      <w:r>
        <w:rPr/>
        <w:t>cual</w:t>
      </w:r>
      <w:r>
        <w:rPr>
          <w:spacing w:val="-13"/>
        </w:rPr>
        <w:t> </w:t>
      </w:r>
      <w:r>
        <w:rPr/>
        <w:t>se</w:t>
      </w:r>
      <w:r>
        <w:rPr>
          <w:spacing w:val="-10"/>
        </w:rPr>
        <w:t> </w:t>
      </w:r>
      <w:r>
        <w:rPr/>
        <w:t>constituye</w:t>
      </w:r>
      <w:r>
        <w:rPr>
          <w:spacing w:val="-10"/>
        </w:rPr>
        <w:t> </w:t>
      </w:r>
      <w:r>
        <w:rPr/>
        <w:t>en</w:t>
      </w:r>
      <w:r>
        <w:rPr>
          <w:spacing w:val="-10"/>
        </w:rPr>
        <w:t> </w:t>
      </w:r>
      <w:r>
        <w:rPr/>
        <w:t>el</w:t>
      </w:r>
      <w:r>
        <w:rPr>
          <w:spacing w:val="-13"/>
        </w:rPr>
        <w:t> </w:t>
      </w:r>
      <w:r>
        <w:rPr/>
        <w:t>medio</w:t>
      </w:r>
      <w:r>
        <w:rPr>
          <w:spacing w:val="-10"/>
        </w:rPr>
        <w:t> </w:t>
      </w:r>
      <w:r>
        <w:rPr/>
        <w:t>para la construcción social y defensa de derechos.</w:t>
      </w:r>
    </w:p>
    <w:p>
      <w:pPr>
        <w:pStyle w:val="BodyText"/>
        <w:spacing w:before="3"/>
      </w:pPr>
    </w:p>
    <w:p>
      <w:pPr>
        <w:pStyle w:val="BodyText"/>
        <w:ind w:left="1268" w:right="1241"/>
        <w:jc w:val="both"/>
      </w:pPr>
      <w:r>
        <w:rPr/>
        <w:t>La dinámica de intervención desde la promoción social implica el acercamiento a la población objetivo mediante la búsqueda activa de personas, hogares</w:t>
      </w:r>
      <w:r>
        <w:rPr>
          <w:spacing w:val="-1"/>
        </w:rPr>
        <w:t> </w:t>
      </w:r>
      <w:r>
        <w:rPr/>
        <w:t>u organizaciones, para generar oportunidades de cambio en la situación de pobreza, trascendiendo así desde la asistencia social hacia una ruta de acciones potenciadoras de habilidades y capacidades asociadas -principalmente pero no limitadas a- permanencia educativa, empleabilidad y emprendimiento, con miras a la independencia de la protección estatal.</w:t>
      </w:r>
    </w:p>
    <w:p>
      <w:pPr>
        <w:pStyle w:val="BodyText"/>
        <w:spacing w:before="1"/>
      </w:pPr>
    </w:p>
    <w:p>
      <w:pPr>
        <w:pStyle w:val="BodyText"/>
        <w:ind w:left="1268"/>
        <w:jc w:val="both"/>
      </w:pPr>
      <w:r>
        <w:rPr/>
        <w:t>La</w:t>
      </w:r>
      <w:r>
        <w:rPr>
          <w:spacing w:val="-10"/>
        </w:rPr>
        <w:t> </w:t>
      </w:r>
      <w:r>
        <w:rPr/>
        <w:t>oferta</w:t>
      </w:r>
      <w:r>
        <w:rPr>
          <w:spacing w:val="-8"/>
        </w:rPr>
        <w:t> </w:t>
      </w:r>
      <w:r>
        <w:rPr/>
        <w:t>programática</w:t>
      </w:r>
      <w:r>
        <w:rPr>
          <w:spacing w:val="-4"/>
        </w:rPr>
        <w:t> </w:t>
      </w:r>
      <w:r>
        <w:rPr/>
        <w:t>vinculada</w:t>
      </w:r>
      <w:r>
        <w:rPr>
          <w:spacing w:val="-4"/>
        </w:rPr>
        <w:t> </w:t>
      </w:r>
      <w:r>
        <w:rPr/>
        <w:t>a</w:t>
      </w:r>
      <w:r>
        <w:rPr>
          <w:spacing w:val="-8"/>
        </w:rPr>
        <w:t> </w:t>
      </w:r>
      <w:r>
        <w:rPr/>
        <w:t>Promoción</w:t>
      </w:r>
      <w:r>
        <w:rPr>
          <w:spacing w:val="-4"/>
        </w:rPr>
        <w:t> </w:t>
      </w:r>
      <w:r>
        <w:rPr/>
        <w:t>Social</w:t>
      </w:r>
      <w:r>
        <w:rPr>
          <w:spacing w:val="-5"/>
        </w:rPr>
        <w:t> </w:t>
      </w:r>
      <w:r>
        <w:rPr/>
        <w:t>es</w:t>
      </w:r>
      <w:r>
        <w:rPr>
          <w:spacing w:val="-5"/>
        </w:rPr>
        <w:t> </w:t>
      </w:r>
      <w:r>
        <w:rPr/>
        <w:t>la</w:t>
      </w:r>
      <w:r>
        <w:rPr>
          <w:spacing w:val="-4"/>
        </w:rPr>
        <w:t> </w:t>
      </w:r>
      <w:r>
        <w:rPr>
          <w:spacing w:val="-2"/>
        </w:rPr>
        <w:t>siguiente:</w:t>
      </w:r>
    </w:p>
    <w:p>
      <w:pPr>
        <w:pStyle w:val="ListParagraph"/>
        <w:numPr>
          <w:ilvl w:val="1"/>
          <w:numId w:val="20"/>
        </w:numPr>
        <w:tabs>
          <w:tab w:pos="1832" w:val="left" w:leader="none"/>
          <w:tab w:pos="1834" w:val="left" w:leader="none"/>
        </w:tabs>
        <w:spacing w:line="240" w:lineRule="auto" w:before="251" w:after="0"/>
        <w:ind w:left="1834" w:right="1243" w:hanging="284"/>
        <w:jc w:val="both"/>
        <w:rPr>
          <w:rFonts w:ascii="Symbol" w:hAnsi="Symbol"/>
          <w:sz w:val="22"/>
        </w:rPr>
      </w:pPr>
      <w:r>
        <w:rPr>
          <w:b/>
          <w:sz w:val="22"/>
        </w:rPr>
        <w:t>Diferencial de la tasa de interés FIDEIMAS</w:t>
      </w:r>
      <w:r>
        <w:rPr>
          <w:sz w:val="22"/>
        </w:rPr>
        <w:t>: facilita el acceso a préstamos reembolsables con tasas de interés diferenciada en condiciones favorables que fortalecen la actividad productiva.</w:t>
      </w:r>
    </w:p>
    <w:p>
      <w:pPr>
        <w:pStyle w:val="ListParagraph"/>
        <w:numPr>
          <w:ilvl w:val="1"/>
          <w:numId w:val="20"/>
        </w:numPr>
        <w:tabs>
          <w:tab w:pos="1832" w:val="left" w:leader="none"/>
          <w:tab w:pos="1834" w:val="left" w:leader="none"/>
        </w:tabs>
        <w:spacing w:line="240" w:lineRule="auto" w:before="252" w:after="0"/>
        <w:ind w:left="1834" w:right="1249" w:hanging="284"/>
        <w:jc w:val="both"/>
        <w:rPr>
          <w:rFonts w:ascii="Symbol" w:hAnsi="Symbol"/>
          <w:sz w:val="22"/>
        </w:rPr>
      </w:pPr>
      <w:r>
        <w:rPr>
          <w:b/>
          <w:sz w:val="22"/>
        </w:rPr>
        <w:t>Garantías FIDEIMAS: </w:t>
      </w:r>
      <w:r>
        <w:rPr>
          <w:sz w:val="22"/>
        </w:rPr>
        <w:t>facilita el acceso a préstamos reembolsables con respaldo de</w:t>
      </w:r>
      <w:r>
        <w:rPr>
          <w:spacing w:val="-1"/>
          <w:sz w:val="22"/>
        </w:rPr>
        <w:t> </w:t>
      </w:r>
      <w:r>
        <w:rPr>
          <w:sz w:val="22"/>
        </w:rPr>
        <w:t>garantías</w:t>
      </w:r>
      <w:r>
        <w:rPr>
          <w:spacing w:val="-2"/>
          <w:sz w:val="22"/>
        </w:rPr>
        <w:t> </w:t>
      </w:r>
      <w:r>
        <w:rPr>
          <w:sz w:val="22"/>
        </w:rPr>
        <w:t>ante</w:t>
      </w:r>
      <w:r>
        <w:rPr>
          <w:spacing w:val="-1"/>
          <w:sz w:val="22"/>
        </w:rPr>
        <w:t> </w:t>
      </w:r>
      <w:r>
        <w:rPr>
          <w:sz w:val="22"/>
        </w:rPr>
        <w:t>los</w:t>
      </w:r>
      <w:r>
        <w:rPr>
          <w:spacing w:val="-3"/>
          <w:sz w:val="22"/>
        </w:rPr>
        <w:t> </w:t>
      </w:r>
      <w:r>
        <w:rPr>
          <w:sz w:val="22"/>
        </w:rPr>
        <w:t>intermediarios</w:t>
      </w:r>
      <w:r>
        <w:rPr>
          <w:spacing w:val="-2"/>
          <w:sz w:val="22"/>
        </w:rPr>
        <w:t> </w:t>
      </w:r>
      <w:r>
        <w:rPr>
          <w:sz w:val="22"/>
        </w:rPr>
        <w:t>financieros,</w:t>
      </w:r>
      <w:r>
        <w:rPr>
          <w:spacing w:val="-1"/>
          <w:sz w:val="22"/>
        </w:rPr>
        <w:t> </w:t>
      </w:r>
      <w:r>
        <w:rPr>
          <w:sz w:val="22"/>
        </w:rPr>
        <w:t>para</w:t>
      </w:r>
      <w:r>
        <w:rPr>
          <w:spacing w:val="-1"/>
          <w:sz w:val="22"/>
        </w:rPr>
        <w:t> </w:t>
      </w:r>
      <w:r>
        <w:rPr>
          <w:sz w:val="22"/>
        </w:rPr>
        <w:t>que</w:t>
      </w:r>
      <w:r>
        <w:rPr>
          <w:spacing w:val="-1"/>
          <w:sz w:val="22"/>
        </w:rPr>
        <w:t> </w:t>
      </w:r>
      <w:r>
        <w:rPr>
          <w:sz w:val="22"/>
        </w:rPr>
        <w:t>fortalezcan</w:t>
      </w:r>
      <w:r>
        <w:rPr>
          <w:spacing w:val="-1"/>
          <w:sz w:val="22"/>
        </w:rPr>
        <w:t> </w:t>
      </w:r>
      <w:r>
        <w:rPr>
          <w:sz w:val="22"/>
        </w:rPr>
        <w:t>o</w:t>
      </w:r>
      <w:r>
        <w:rPr>
          <w:spacing w:val="-1"/>
          <w:sz w:val="22"/>
        </w:rPr>
        <w:t> </w:t>
      </w:r>
      <w:r>
        <w:rPr>
          <w:sz w:val="22"/>
        </w:rPr>
        <w:t>consoliden una actividad productiva, que les permita la generación de ingresos.</w:t>
      </w:r>
    </w:p>
    <w:p>
      <w:pPr>
        <w:pStyle w:val="BodyText"/>
        <w:spacing w:before="1"/>
      </w:pPr>
    </w:p>
    <w:p>
      <w:pPr>
        <w:pStyle w:val="ListParagraph"/>
        <w:numPr>
          <w:ilvl w:val="1"/>
          <w:numId w:val="20"/>
        </w:numPr>
        <w:tabs>
          <w:tab w:pos="1832" w:val="left" w:leader="none"/>
          <w:tab w:pos="1834" w:val="left" w:leader="none"/>
        </w:tabs>
        <w:spacing w:line="237" w:lineRule="auto" w:before="0" w:after="0"/>
        <w:ind w:left="1834" w:right="1265" w:hanging="284"/>
        <w:jc w:val="both"/>
        <w:rPr>
          <w:rFonts w:ascii="Symbol" w:hAnsi="Symbol"/>
          <w:sz w:val="22"/>
        </w:rPr>
      </w:pPr>
      <w:r>
        <w:rPr>
          <w:b/>
          <w:sz w:val="22"/>
        </w:rPr>
        <w:t>Servicios de apoyo FIDEIMAS</w:t>
      </w:r>
      <w:r>
        <w:rPr>
          <w:sz w:val="22"/>
        </w:rPr>
        <w:t>: brindan oportunidades a las personas o grupos que</w:t>
      </w:r>
      <w:r>
        <w:rPr>
          <w:spacing w:val="-16"/>
          <w:sz w:val="22"/>
        </w:rPr>
        <w:t> </w:t>
      </w:r>
      <w:r>
        <w:rPr>
          <w:sz w:val="22"/>
        </w:rPr>
        <w:t>requieren</w:t>
      </w:r>
      <w:r>
        <w:rPr>
          <w:spacing w:val="-13"/>
          <w:sz w:val="22"/>
        </w:rPr>
        <w:t> </w:t>
      </w:r>
      <w:r>
        <w:rPr>
          <w:sz w:val="22"/>
        </w:rPr>
        <w:t>capacitación,</w:t>
      </w:r>
      <w:r>
        <w:rPr>
          <w:spacing w:val="-12"/>
          <w:sz w:val="22"/>
        </w:rPr>
        <w:t> </w:t>
      </w:r>
      <w:r>
        <w:rPr>
          <w:sz w:val="22"/>
        </w:rPr>
        <w:t>asistencia</w:t>
      </w:r>
      <w:r>
        <w:rPr>
          <w:spacing w:val="-16"/>
          <w:sz w:val="22"/>
        </w:rPr>
        <w:t> </w:t>
      </w:r>
      <w:r>
        <w:rPr>
          <w:sz w:val="22"/>
        </w:rPr>
        <w:t>técnica</w:t>
      </w:r>
      <w:r>
        <w:rPr>
          <w:spacing w:val="-11"/>
          <w:sz w:val="22"/>
        </w:rPr>
        <w:t> </w:t>
      </w:r>
      <w:r>
        <w:rPr>
          <w:sz w:val="22"/>
        </w:rPr>
        <w:t>y</w:t>
      </w:r>
      <w:r>
        <w:rPr>
          <w:spacing w:val="-16"/>
          <w:sz w:val="22"/>
        </w:rPr>
        <w:t> </w:t>
      </w:r>
      <w:r>
        <w:rPr>
          <w:sz w:val="22"/>
        </w:rPr>
        <w:t>seguimiento</w:t>
      </w:r>
      <w:r>
        <w:rPr>
          <w:spacing w:val="-15"/>
          <w:sz w:val="22"/>
        </w:rPr>
        <w:t> </w:t>
      </w:r>
      <w:r>
        <w:rPr>
          <w:sz w:val="22"/>
        </w:rPr>
        <w:t>para</w:t>
      </w:r>
      <w:r>
        <w:rPr>
          <w:spacing w:val="-11"/>
          <w:sz w:val="22"/>
        </w:rPr>
        <w:t> </w:t>
      </w:r>
      <w:r>
        <w:rPr>
          <w:sz w:val="22"/>
        </w:rPr>
        <w:t>el</w:t>
      </w:r>
      <w:r>
        <w:rPr>
          <w:spacing w:val="-16"/>
          <w:sz w:val="22"/>
        </w:rPr>
        <w:t> </w:t>
      </w:r>
      <w:r>
        <w:rPr>
          <w:sz w:val="22"/>
        </w:rPr>
        <w:t>fortalecimiento y desarrollo de emprendimientos productivos.</w:t>
      </w:r>
    </w:p>
    <w:p>
      <w:pPr>
        <w:pStyle w:val="BodyText"/>
        <w:spacing w:before="4"/>
      </w:pPr>
    </w:p>
    <w:p>
      <w:pPr>
        <w:pStyle w:val="ListParagraph"/>
        <w:numPr>
          <w:ilvl w:val="1"/>
          <w:numId w:val="20"/>
        </w:numPr>
        <w:tabs>
          <w:tab w:pos="1832" w:val="left" w:leader="none"/>
          <w:tab w:pos="1834" w:val="left" w:leader="none"/>
        </w:tabs>
        <w:spacing w:line="240" w:lineRule="auto" w:before="1" w:after="0"/>
        <w:ind w:left="1834" w:right="1241" w:hanging="284"/>
        <w:jc w:val="both"/>
        <w:rPr>
          <w:rFonts w:ascii="Symbol" w:hAnsi="Symbol"/>
          <w:sz w:val="22"/>
        </w:rPr>
      </w:pPr>
      <w:r>
        <w:rPr>
          <w:b/>
          <w:sz w:val="22"/>
        </w:rPr>
        <w:t>Subsidio Capacitación</w:t>
      </w:r>
      <w:r>
        <w:rPr>
          <w:sz w:val="22"/>
        </w:rPr>
        <w:t>: brinda oportunidades a las personas que requieren fortalecer sus capacidades, mediante la capacitación técnica y microempresarial, para facilitar el acceso al empleo, así como el desarrollo o mejora en la ejecución de emprendimientos productivos, mediante una transferencia monetaria no reembolsable para cubrir los costos de matrícula y mensualidades de cursos de </w:t>
      </w:r>
      <w:r>
        <w:rPr>
          <w:spacing w:val="-2"/>
          <w:sz w:val="22"/>
        </w:rPr>
        <w:t>capacitación</w:t>
      </w:r>
      <w:r>
        <w:rPr>
          <w:spacing w:val="-4"/>
          <w:sz w:val="22"/>
        </w:rPr>
        <w:t> </w:t>
      </w:r>
      <w:r>
        <w:rPr>
          <w:spacing w:val="-2"/>
          <w:sz w:val="22"/>
        </w:rPr>
        <w:t>técnica</w:t>
      </w:r>
      <w:r>
        <w:rPr>
          <w:spacing w:val="-4"/>
          <w:sz w:val="22"/>
        </w:rPr>
        <w:t> </w:t>
      </w:r>
      <w:r>
        <w:rPr>
          <w:spacing w:val="-2"/>
          <w:sz w:val="22"/>
        </w:rPr>
        <w:t>y</w:t>
      </w:r>
      <w:r>
        <w:rPr>
          <w:spacing w:val="-5"/>
          <w:sz w:val="22"/>
        </w:rPr>
        <w:t> </w:t>
      </w:r>
      <w:r>
        <w:rPr>
          <w:spacing w:val="-2"/>
          <w:sz w:val="22"/>
        </w:rPr>
        <w:t>microempresarial,</w:t>
      </w:r>
      <w:r>
        <w:rPr>
          <w:spacing w:val="-4"/>
          <w:sz w:val="22"/>
        </w:rPr>
        <w:t> </w:t>
      </w:r>
      <w:r>
        <w:rPr>
          <w:spacing w:val="-2"/>
          <w:sz w:val="22"/>
        </w:rPr>
        <w:t>así como</w:t>
      </w:r>
      <w:r>
        <w:rPr>
          <w:spacing w:val="-4"/>
          <w:sz w:val="22"/>
        </w:rPr>
        <w:t> </w:t>
      </w:r>
      <w:r>
        <w:rPr>
          <w:spacing w:val="-2"/>
          <w:sz w:val="22"/>
        </w:rPr>
        <w:t>aquellos</w:t>
      </w:r>
      <w:r>
        <w:rPr>
          <w:spacing w:val="-6"/>
          <w:sz w:val="22"/>
        </w:rPr>
        <w:t> </w:t>
      </w:r>
      <w:r>
        <w:rPr>
          <w:spacing w:val="-2"/>
          <w:sz w:val="22"/>
        </w:rPr>
        <w:t>costos</w:t>
      </w:r>
      <w:r>
        <w:rPr>
          <w:spacing w:val="-6"/>
          <w:sz w:val="22"/>
        </w:rPr>
        <w:t> </w:t>
      </w:r>
      <w:r>
        <w:rPr>
          <w:spacing w:val="-2"/>
          <w:sz w:val="22"/>
        </w:rPr>
        <w:t>relacionados con </w:t>
      </w:r>
      <w:r>
        <w:rPr>
          <w:sz w:val="22"/>
        </w:rPr>
        <w:t>la participación en las distintas actividades de intercambio de conocimientos y promoción programadas a nivel institucional y otros procesos.</w:t>
      </w:r>
    </w:p>
    <w:p>
      <w:pPr>
        <w:pStyle w:val="ListParagraph"/>
        <w:numPr>
          <w:ilvl w:val="1"/>
          <w:numId w:val="20"/>
        </w:numPr>
        <w:tabs>
          <w:tab w:pos="1832" w:val="left" w:leader="none"/>
          <w:tab w:pos="1834" w:val="left" w:leader="none"/>
        </w:tabs>
        <w:spacing w:line="240" w:lineRule="auto" w:before="249" w:after="0"/>
        <w:ind w:left="1834" w:right="1261" w:hanging="284"/>
        <w:jc w:val="both"/>
        <w:rPr>
          <w:rFonts w:ascii="Symbol" w:hAnsi="Symbol"/>
          <w:sz w:val="22"/>
        </w:rPr>
      </w:pPr>
      <w:r>
        <w:rPr>
          <w:b/>
          <w:sz w:val="22"/>
        </w:rPr>
        <w:t>Subsidio Emprendimiento Productivo Individual</w:t>
      </w:r>
      <w:r>
        <w:rPr>
          <w:sz w:val="22"/>
        </w:rPr>
        <w:t>: brinda oportunidades a las personas</w:t>
      </w:r>
      <w:r>
        <w:rPr>
          <w:spacing w:val="78"/>
          <w:sz w:val="22"/>
        </w:rPr>
        <w:t> </w:t>
      </w:r>
      <w:r>
        <w:rPr>
          <w:sz w:val="22"/>
        </w:rPr>
        <w:t>y</w:t>
      </w:r>
      <w:r>
        <w:rPr>
          <w:spacing w:val="80"/>
          <w:sz w:val="22"/>
        </w:rPr>
        <w:t> </w:t>
      </w:r>
      <w:r>
        <w:rPr>
          <w:sz w:val="22"/>
        </w:rPr>
        <w:t>hogares</w:t>
      </w:r>
      <w:r>
        <w:rPr>
          <w:spacing w:val="78"/>
          <w:sz w:val="22"/>
        </w:rPr>
        <w:t> </w:t>
      </w:r>
      <w:r>
        <w:rPr>
          <w:sz w:val="22"/>
        </w:rPr>
        <w:t>para</w:t>
      </w:r>
      <w:r>
        <w:rPr>
          <w:spacing w:val="80"/>
          <w:sz w:val="22"/>
        </w:rPr>
        <w:t> </w:t>
      </w:r>
      <w:r>
        <w:rPr>
          <w:sz w:val="22"/>
        </w:rPr>
        <w:t>la</w:t>
      </w:r>
      <w:r>
        <w:rPr>
          <w:spacing w:val="80"/>
          <w:sz w:val="22"/>
        </w:rPr>
        <w:t> </w:t>
      </w:r>
      <w:r>
        <w:rPr>
          <w:sz w:val="22"/>
        </w:rPr>
        <w:t>creación</w:t>
      </w:r>
      <w:r>
        <w:rPr>
          <w:spacing w:val="80"/>
          <w:sz w:val="22"/>
        </w:rPr>
        <w:t> </w:t>
      </w:r>
      <w:r>
        <w:rPr>
          <w:sz w:val="22"/>
        </w:rPr>
        <w:t>y</w:t>
      </w:r>
      <w:r>
        <w:rPr>
          <w:spacing w:val="80"/>
          <w:sz w:val="22"/>
        </w:rPr>
        <w:t> </w:t>
      </w:r>
      <w:r>
        <w:rPr>
          <w:sz w:val="22"/>
        </w:rPr>
        <w:t>fortalecimiento</w:t>
      </w:r>
      <w:r>
        <w:rPr>
          <w:spacing w:val="80"/>
          <w:sz w:val="22"/>
        </w:rPr>
        <w:t> </w:t>
      </w:r>
      <w:r>
        <w:rPr>
          <w:sz w:val="22"/>
        </w:rPr>
        <w:t>de</w:t>
      </w:r>
      <w:r>
        <w:rPr>
          <w:spacing w:val="80"/>
          <w:sz w:val="22"/>
        </w:rPr>
        <w:t> </w:t>
      </w:r>
      <w:r>
        <w:rPr>
          <w:sz w:val="22"/>
        </w:rPr>
        <w:t>emprendimientos</w:t>
      </w:r>
    </w:p>
    <w:p>
      <w:pPr>
        <w:pStyle w:val="ListParagraph"/>
        <w:spacing w:after="0" w:line="240" w:lineRule="auto"/>
        <w:jc w:val="both"/>
        <w:rPr>
          <w:rFonts w:ascii="Symbol" w:hAnsi="Symbol"/>
          <w:sz w:val="22"/>
        </w:rPr>
        <w:sectPr>
          <w:pgSz w:w="12240" w:h="15840"/>
          <w:pgMar w:header="0" w:footer="1101" w:top="640" w:bottom="1300" w:left="720" w:right="360"/>
        </w:sectPr>
      </w:pPr>
    </w:p>
    <w:p>
      <w:pPr>
        <w:pStyle w:val="BodyText"/>
        <w:spacing w:before="66"/>
        <w:ind w:left="1834" w:right="1266"/>
        <w:jc w:val="both"/>
      </w:pPr>
      <w:r>
        <w:rPr/>
        <w:t>productivos lícitos, mediante una transferencia</w:t>
      </w:r>
      <w:r>
        <w:rPr>
          <w:spacing w:val="-2"/>
        </w:rPr>
        <w:t> </w:t>
      </w:r>
      <w:r>
        <w:rPr/>
        <w:t>monetaria</w:t>
      </w:r>
      <w:r>
        <w:rPr>
          <w:spacing w:val="-2"/>
        </w:rPr>
        <w:t> </w:t>
      </w:r>
      <w:r>
        <w:rPr/>
        <w:t>no reembolsable para la adquisición de maquinaria y equipo, materia prima, capital de trabajo, apoyo en la </w:t>
      </w:r>
      <w:r>
        <w:rPr>
          <w:spacing w:val="-2"/>
        </w:rPr>
        <w:t>comercialización, reparación</w:t>
      </w:r>
      <w:r>
        <w:rPr>
          <w:spacing w:val="-3"/>
        </w:rPr>
        <w:t> </w:t>
      </w:r>
      <w:r>
        <w:rPr>
          <w:spacing w:val="-2"/>
        </w:rPr>
        <w:t>o</w:t>
      </w:r>
      <w:r>
        <w:rPr>
          <w:spacing w:val="-3"/>
        </w:rPr>
        <w:t> </w:t>
      </w:r>
      <w:r>
        <w:rPr>
          <w:spacing w:val="-2"/>
        </w:rPr>
        <w:t>mantenimiento</w:t>
      </w:r>
      <w:r>
        <w:rPr>
          <w:spacing w:val="-3"/>
        </w:rPr>
        <w:t> </w:t>
      </w:r>
      <w:r>
        <w:rPr>
          <w:spacing w:val="-2"/>
        </w:rPr>
        <w:t>de</w:t>
      </w:r>
      <w:r>
        <w:rPr>
          <w:spacing w:val="-3"/>
        </w:rPr>
        <w:t> </w:t>
      </w:r>
      <w:r>
        <w:rPr>
          <w:spacing w:val="-2"/>
        </w:rPr>
        <w:t>equipo,</w:t>
      </w:r>
      <w:r>
        <w:rPr>
          <w:spacing w:val="-3"/>
        </w:rPr>
        <w:t> </w:t>
      </w:r>
      <w:r>
        <w:rPr>
          <w:spacing w:val="-2"/>
        </w:rPr>
        <w:t>mejoras</w:t>
      </w:r>
      <w:r>
        <w:rPr>
          <w:spacing w:val="-6"/>
        </w:rPr>
        <w:t> </w:t>
      </w:r>
      <w:r>
        <w:rPr>
          <w:spacing w:val="-2"/>
        </w:rPr>
        <w:t>de infraestructura </w:t>
      </w:r>
      <w:r>
        <w:rPr/>
        <w:t>y otros</w:t>
      </w:r>
      <w:r>
        <w:rPr>
          <w:spacing w:val="-1"/>
        </w:rPr>
        <w:t> </w:t>
      </w:r>
      <w:r>
        <w:rPr/>
        <w:t>que se</w:t>
      </w:r>
      <w:r>
        <w:rPr>
          <w:spacing w:val="-1"/>
        </w:rPr>
        <w:t> </w:t>
      </w:r>
      <w:r>
        <w:rPr/>
        <w:t>demanden</w:t>
      </w:r>
      <w:r>
        <w:rPr>
          <w:spacing w:val="-1"/>
        </w:rPr>
        <w:t> </w:t>
      </w:r>
      <w:r>
        <w:rPr/>
        <w:t>en</w:t>
      </w:r>
      <w:r>
        <w:rPr>
          <w:spacing w:val="-1"/>
        </w:rPr>
        <w:t> </w:t>
      </w:r>
      <w:r>
        <w:rPr/>
        <w:t>el inicio</w:t>
      </w:r>
      <w:r>
        <w:rPr>
          <w:spacing w:val="-1"/>
        </w:rPr>
        <w:t> </w:t>
      </w:r>
      <w:r>
        <w:rPr/>
        <w:t>o fortalecimiento</w:t>
      </w:r>
      <w:r>
        <w:rPr>
          <w:spacing w:val="-1"/>
        </w:rPr>
        <w:t> </w:t>
      </w:r>
      <w:r>
        <w:rPr/>
        <w:t>de</w:t>
      </w:r>
      <w:r>
        <w:rPr>
          <w:spacing w:val="-1"/>
        </w:rPr>
        <w:t> </w:t>
      </w:r>
      <w:r>
        <w:rPr/>
        <w:t>la</w:t>
      </w:r>
      <w:r>
        <w:rPr>
          <w:spacing w:val="-1"/>
        </w:rPr>
        <w:t> </w:t>
      </w:r>
      <w:r>
        <w:rPr/>
        <w:t>actividad</w:t>
      </w:r>
      <w:r>
        <w:rPr>
          <w:spacing w:val="-1"/>
        </w:rPr>
        <w:t> </w:t>
      </w:r>
      <w:r>
        <w:rPr/>
        <w:t>emprendida, </w:t>
      </w:r>
      <w:r>
        <w:rPr>
          <w:spacing w:val="-2"/>
        </w:rPr>
        <w:t>para</w:t>
      </w:r>
      <w:r>
        <w:rPr>
          <w:spacing w:val="-11"/>
        </w:rPr>
        <w:t> </w:t>
      </w:r>
      <w:r>
        <w:rPr>
          <w:spacing w:val="-2"/>
        </w:rPr>
        <w:t>estimular</w:t>
      </w:r>
      <w:r>
        <w:rPr>
          <w:spacing w:val="-9"/>
        </w:rPr>
        <w:t> </w:t>
      </w:r>
      <w:r>
        <w:rPr>
          <w:spacing w:val="-2"/>
        </w:rPr>
        <w:t>e</w:t>
      </w:r>
      <w:r>
        <w:rPr>
          <w:spacing w:val="-5"/>
        </w:rPr>
        <w:t> </w:t>
      </w:r>
      <w:r>
        <w:rPr>
          <w:spacing w:val="-2"/>
        </w:rPr>
        <w:t>impulsar,</w:t>
      </w:r>
      <w:r>
        <w:rPr>
          <w:spacing w:val="-6"/>
        </w:rPr>
        <w:t> </w:t>
      </w:r>
      <w:r>
        <w:rPr>
          <w:spacing w:val="-2"/>
        </w:rPr>
        <w:t>primeramente,</w:t>
      </w:r>
      <w:r>
        <w:rPr>
          <w:spacing w:val="-6"/>
        </w:rPr>
        <w:t> </w:t>
      </w:r>
      <w:r>
        <w:rPr>
          <w:spacing w:val="-2"/>
        </w:rPr>
        <w:t>la</w:t>
      </w:r>
      <w:r>
        <w:rPr>
          <w:spacing w:val="-5"/>
        </w:rPr>
        <w:t> </w:t>
      </w:r>
      <w:r>
        <w:rPr>
          <w:spacing w:val="-2"/>
        </w:rPr>
        <w:t>generación</w:t>
      </w:r>
      <w:r>
        <w:rPr>
          <w:spacing w:val="-5"/>
        </w:rPr>
        <w:t> </w:t>
      </w:r>
      <w:r>
        <w:rPr>
          <w:spacing w:val="-2"/>
        </w:rPr>
        <w:t>del</w:t>
      </w:r>
      <w:r>
        <w:rPr>
          <w:spacing w:val="-9"/>
        </w:rPr>
        <w:t> </w:t>
      </w:r>
      <w:r>
        <w:rPr>
          <w:spacing w:val="-2"/>
        </w:rPr>
        <w:t>autoempleo</w:t>
      </w:r>
      <w:r>
        <w:rPr>
          <w:spacing w:val="-5"/>
        </w:rPr>
        <w:t> </w:t>
      </w:r>
      <w:r>
        <w:rPr>
          <w:spacing w:val="-2"/>
        </w:rPr>
        <w:t>y</w:t>
      </w:r>
      <w:r>
        <w:rPr>
          <w:spacing w:val="-12"/>
        </w:rPr>
        <w:t> </w:t>
      </w:r>
      <w:r>
        <w:rPr>
          <w:spacing w:val="-2"/>
        </w:rPr>
        <w:t>el</w:t>
      </w:r>
      <w:r>
        <w:rPr>
          <w:spacing w:val="-8"/>
        </w:rPr>
        <w:t> </w:t>
      </w:r>
      <w:r>
        <w:rPr>
          <w:spacing w:val="-2"/>
        </w:rPr>
        <w:t>empleo.</w:t>
      </w:r>
    </w:p>
    <w:p>
      <w:pPr>
        <w:pStyle w:val="BodyText"/>
        <w:spacing w:before="3"/>
      </w:pPr>
    </w:p>
    <w:p>
      <w:pPr>
        <w:pStyle w:val="ListParagraph"/>
        <w:numPr>
          <w:ilvl w:val="1"/>
          <w:numId w:val="20"/>
        </w:numPr>
        <w:tabs>
          <w:tab w:pos="1832" w:val="left" w:leader="none"/>
          <w:tab w:pos="1834" w:val="left" w:leader="none"/>
        </w:tabs>
        <w:spacing w:line="240" w:lineRule="auto" w:before="0" w:after="0"/>
        <w:ind w:left="1834" w:right="1240" w:hanging="284"/>
        <w:jc w:val="both"/>
        <w:rPr>
          <w:rFonts w:ascii="Symbol" w:hAnsi="Symbol"/>
          <w:sz w:val="22"/>
        </w:rPr>
      </w:pPr>
      <w:r>
        <w:rPr>
          <w:b/>
          <w:sz w:val="22"/>
        </w:rPr>
        <w:t>Subsidio Equipamiento básico para sujetos de derecho privado</w:t>
      </w:r>
      <w:r>
        <w:rPr>
          <w:sz w:val="22"/>
        </w:rPr>
        <w:t>: brinda oportunidades a los sujetos privados para implementar o fortalecer los servicios sociales</w:t>
      </w:r>
      <w:r>
        <w:rPr>
          <w:spacing w:val="-11"/>
          <w:sz w:val="22"/>
        </w:rPr>
        <w:t> </w:t>
      </w:r>
      <w:r>
        <w:rPr>
          <w:sz w:val="22"/>
        </w:rPr>
        <w:t>que</w:t>
      </w:r>
      <w:r>
        <w:rPr>
          <w:spacing w:val="-4"/>
          <w:sz w:val="22"/>
        </w:rPr>
        <w:t> </w:t>
      </w:r>
      <w:r>
        <w:rPr>
          <w:sz w:val="22"/>
        </w:rPr>
        <w:t>ofrece</w:t>
      </w:r>
      <w:r>
        <w:rPr>
          <w:spacing w:val="-9"/>
          <w:sz w:val="22"/>
        </w:rPr>
        <w:t> </w:t>
      </w:r>
      <w:r>
        <w:rPr>
          <w:sz w:val="22"/>
        </w:rPr>
        <w:t>a</w:t>
      </w:r>
      <w:r>
        <w:rPr>
          <w:spacing w:val="-4"/>
          <w:sz w:val="22"/>
        </w:rPr>
        <w:t> </w:t>
      </w:r>
      <w:r>
        <w:rPr>
          <w:sz w:val="22"/>
        </w:rPr>
        <w:t>los</w:t>
      </w:r>
      <w:r>
        <w:rPr>
          <w:spacing w:val="-6"/>
          <w:sz w:val="22"/>
        </w:rPr>
        <w:t> </w:t>
      </w:r>
      <w:r>
        <w:rPr>
          <w:sz w:val="22"/>
        </w:rPr>
        <w:t>miembros</w:t>
      </w:r>
      <w:r>
        <w:rPr>
          <w:spacing w:val="-11"/>
          <w:sz w:val="22"/>
        </w:rPr>
        <w:t> </w:t>
      </w:r>
      <w:r>
        <w:rPr>
          <w:sz w:val="22"/>
        </w:rPr>
        <w:t>de</w:t>
      </w:r>
      <w:r>
        <w:rPr>
          <w:spacing w:val="-9"/>
          <w:sz w:val="22"/>
        </w:rPr>
        <w:t> </w:t>
      </w:r>
      <w:r>
        <w:rPr>
          <w:sz w:val="22"/>
        </w:rPr>
        <w:t>una</w:t>
      </w:r>
      <w:r>
        <w:rPr>
          <w:spacing w:val="-4"/>
          <w:sz w:val="22"/>
        </w:rPr>
        <w:t> </w:t>
      </w:r>
      <w:r>
        <w:rPr>
          <w:sz w:val="22"/>
        </w:rPr>
        <w:t>comunidad,</w:t>
      </w:r>
      <w:r>
        <w:rPr>
          <w:spacing w:val="-5"/>
          <w:sz w:val="22"/>
        </w:rPr>
        <w:t> </w:t>
      </w:r>
      <w:r>
        <w:rPr>
          <w:sz w:val="22"/>
        </w:rPr>
        <w:t>mediante</w:t>
      </w:r>
      <w:r>
        <w:rPr>
          <w:spacing w:val="-4"/>
          <w:sz w:val="22"/>
        </w:rPr>
        <w:t> </w:t>
      </w:r>
      <w:r>
        <w:rPr>
          <w:sz w:val="22"/>
        </w:rPr>
        <w:t>una</w:t>
      </w:r>
      <w:r>
        <w:rPr>
          <w:spacing w:val="-4"/>
          <w:sz w:val="22"/>
        </w:rPr>
        <w:t> </w:t>
      </w:r>
      <w:r>
        <w:rPr>
          <w:sz w:val="22"/>
        </w:rPr>
        <w:t>transferencia monetaria no reembolsable destinada a cubrir los costos de adquisición de mobiliario, equipo y materiales.</w:t>
      </w:r>
    </w:p>
    <w:p>
      <w:pPr>
        <w:pStyle w:val="ListParagraph"/>
        <w:numPr>
          <w:ilvl w:val="1"/>
          <w:numId w:val="20"/>
        </w:numPr>
        <w:tabs>
          <w:tab w:pos="1832" w:val="left" w:leader="none"/>
          <w:tab w:pos="1834" w:val="left" w:leader="none"/>
        </w:tabs>
        <w:spacing w:line="240" w:lineRule="auto" w:before="250" w:after="0"/>
        <w:ind w:left="1834" w:right="1240" w:hanging="284"/>
        <w:jc w:val="both"/>
        <w:rPr>
          <w:rFonts w:ascii="Symbol" w:hAnsi="Symbol"/>
          <w:sz w:val="22"/>
        </w:rPr>
      </w:pPr>
      <w:r>
        <w:rPr>
          <w:b/>
          <w:sz w:val="22"/>
        </w:rPr>
        <w:t>Subsidio Equipamiento básico para sujetos de derecho público: </w:t>
      </w:r>
      <w:r>
        <w:rPr>
          <w:sz w:val="22"/>
        </w:rPr>
        <w:t>brinda oportunidades a los sujetos públicos de implementar o fortalecer los servicios sociales</w:t>
      </w:r>
      <w:r>
        <w:rPr>
          <w:spacing w:val="-11"/>
          <w:sz w:val="22"/>
        </w:rPr>
        <w:t> </w:t>
      </w:r>
      <w:r>
        <w:rPr>
          <w:sz w:val="22"/>
        </w:rPr>
        <w:t>que</w:t>
      </w:r>
      <w:r>
        <w:rPr>
          <w:spacing w:val="-4"/>
          <w:sz w:val="22"/>
        </w:rPr>
        <w:t> </w:t>
      </w:r>
      <w:r>
        <w:rPr>
          <w:sz w:val="22"/>
        </w:rPr>
        <w:t>ofrece</w:t>
      </w:r>
      <w:r>
        <w:rPr>
          <w:spacing w:val="-9"/>
          <w:sz w:val="22"/>
        </w:rPr>
        <w:t> </w:t>
      </w:r>
      <w:r>
        <w:rPr>
          <w:sz w:val="22"/>
        </w:rPr>
        <w:t>a</w:t>
      </w:r>
      <w:r>
        <w:rPr>
          <w:spacing w:val="-4"/>
          <w:sz w:val="22"/>
        </w:rPr>
        <w:t> </w:t>
      </w:r>
      <w:r>
        <w:rPr>
          <w:sz w:val="22"/>
        </w:rPr>
        <w:t>los</w:t>
      </w:r>
      <w:r>
        <w:rPr>
          <w:spacing w:val="-6"/>
          <w:sz w:val="22"/>
        </w:rPr>
        <w:t> </w:t>
      </w:r>
      <w:r>
        <w:rPr>
          <w:sz w:val="22"/>
        </w:rPr>
        <w:t>miembros</w:t>
      </w:r>
      <w:r>
        <w:rPr>
          <w:spacing w:val="-11"/>
          <w:sz w:val="22"/>
        </w:rPr>
        <w:t> </w:t>
      </w:r>
      <w:r>
        <w:rPr>
          <w:sz w:val="22"/>
        </w:rPr>
        <w:t>de</w:t>
      </w:r>
      <w:r>
        <w:rPr>
          <w:spacing w:val="-9"/>
          <w:sz w:val="22"/>
        </w:rPr>
        <w:t> </w:t>
      </w:r>
      <w:r>
        <w:rPr>
          <w:sz w:val="22"/>
        </w:rPr>
        <w:t>una</w:t>
      </w:r>
      <w:r>
        <w:rPr>
          <w:spacing w:val="-4"/>
          <w:sz w:val="22"/>
        </w:rPr>
        <w:t> </w:t>
      </w:r>
      <w:r>
        <w:rPr>
          <w:sz w:val="22"/>
        </w:rPr>
        <w:t>comunidad,</w:t>
      </w:r>
      <w:r>
        <w:rPr>
          <w:spacing w:val="-5"/>
          <w:sz w:val="22"/>
        </w:rPr>
        <w:t> </w:t>
      </w:r>
      <w:r>
        <w:rPr>
          <w:sz w:val="22"/>
        </w:rPr>
        <w:t>mediante</w:t>
      </w:r>
      <w:r>
        <w:rPr>
          <w:spacing w:val="-4"/>
          <w:sz w:val="22"/>
        </w:rPr>
        <w:t> </w:t>
      </w:r>
      <w:r>
        <w:rPr>
          <w:sz w:val="22"/>
        </w:rPr>
        <w:t>una</w:t>
      </w:r>
      <w:r>
        <w:rPr>
          <w:spacing w:val="-4"/>
          <w:sz w:val="22"/>
        </w:rPr>
        <w:t> </w:t>
      </w:r>
      <w:r>
        <w:rPr>
          <w:sz w:val="22"/>
        </w:rPr>
        <w:t>transferencia monetaria no reembolsable destinada a cubrir los costos de adquisición de mobiliario, equipo y materiales.</w:t>
      </w:r>
    </w:p>
    <w:p>
      <w:pPr>
        <w:pStyle w:val="ListParagraph"/>
        <w:numPr>
          <w:ilvl w:val="1"/>
          <w:numId w:val="20"/>
        </w:numPr>
        <w:tabs>
          <w:tab w:pos="1832" w:val="left" w:leader="none"/>
          <w:tab w:pos="1834" w:val="left" w:leader="none"/>
        </w:tabs>
        <w:spacing w:line="240" w:lineRule="auto" w:before="251" w:after="0"/>
        <w:ind w:left="1834" w:right="1238" w:hanging="284"/>
        <w:jc w:val="both"/>
        <w:rPr>
          <w:rFonts w:ascii="Symbol" w:hAnsi="Symbol"/>
          <w:sz w:val="22"/>
        </w:rPr>
      </w:pPr>
      <w:r>
        <w:rPr>
          <w:b/>
          <w:sz w:val="22"/>
        </w:rPr>
        <w:t>Subsidio Gastos de implementación para infraestructura comunal y productiva</w:t>
      </w:r>
      <w:r>
        <w:rPr>
          <w:b/>
          <w:spacing w:val="-1"/>
          <w:sz w:val="22"/>
        </w:rPr>
        <w:t> </w:t>
      </w:r>
      <w:r>
        <w:rPr>
          <w:b/>
          <w:sz w:val="22"/>
        </w:rPr>
        <w:t>para sujetos de</w:t>
      </w:r>
      <w:r>
        <w:rPr>
          <w:b/>
          <w:spacing w:val="-1"/>
          <w:sz w:val="22"/>
        </w:rPr>
        <w:t> </w:t>
      </w:r>
      <w:r>
        <w:rPr>
          <w:b/>
          <w:sz w:val="22"/>
        </w:rPr>
        <w:t>derecho</w:t>
      </w:r>
      <w:r>
        <w:rPr>
          <w:b/>
          <w:spacing w:val="-3"/>
          <w:sz w:val="22"/>
        </w:rPr>
        <w:t> </w:t>
      </w:r>
      <w:r>
        <w:rPr>
          <w:b/>
          <w:sz w:val="22"/>
        </w:rPr>
        <w:t>privado:</w:t>
      </w:r>
      <w:r>
        <w:rPr>
          <w:b/>
          <w:spacing w:val="-3"/>
          <w:sz w:val="22"/>
        </w:rPr>
        <w:t> </w:t>
      </w:r>
      <w:r>
        <w:rPr>
          <w:sz w:val="22"/>
        </w:rPr>
        <w:t>brinda</w:t>
      </w:r>
      <w:r>
        <w:rPr>
          <w:spacing w:val="-1"/>
          <w:sz w:val="22"/>
        </w:rPr>
        <w:t> </w:t>
      </w:r>
      <w:r>
        <w:rPr>
          <w:sz w:val="22"/>
        </w:rPr>
        <w:t>oportunidades</w:t>
      </w:r>
      <w:r>
        <w:rPr>
          <w:spacing w:val="-7"/>
          <w:sz w:val="22"/>
        </w:rPr>
        <w:t> </w:t>
      </w:r>
      <w:r>
        <w:rPr>
          <w:sz w:val="22"/>
        </w:rPr>
        <w:t>a</w:t>
      </w:r>
      <w:r>
        <w:rPr>
          <w:spacing w:val="-1"/>
          <w:sz w:val="22"/>
        </w:rPr>
        <w:t> </w:t>
      </w:r>
      <w:r>
        <w:rPr>
          <w:sz w:val="22"/>
        </w:rPr>
        <w:t>los sujetos privados, mediante una transferencia monetaria no reembolsable, para cubrir los costos</w:t>
      </w:r>
      <w:r>
        <w:rPr>
          <w:spacing w:val="-6"/>
          <w:sz w:val="22"/>
        </w:rPr>
        <w:t> </w:t>
      </w:r>
      <w:r>
        <w:rPr>
          <w:sz w:val="22"/>
        </w:rPr>
        <w:t>de</w:t>
      </w:r>
      <w:r>
        <w:rPr>
          <w:spacing w:val="-4"/>
          <w:sz w:val="22"/>
        </w:rPr>
        <w:t> </w:t>
      </w:r>
      <w:r>
        <w:rPr>
          <w:sz w:val="22"/>
        </w:rPr>
        <w:t>servicios</w:t>
      </w:r>
      <w:r>
        <w:rPr>
          <w:spacing w:val="-11"/>
          <w:sz w:val="22"/>
        </w:rPr>
        <w:t> </w:t>
      </w:r>
      <w:r>
        <w:rPr>
          <w:sz w:val="22"/>
        </w:rPr>
        <w:t>profesionales</w:t>
      </w:r>
      <w:r>
        <w:rPr>
          <w:spacing w:val="-6"/>
          <w:sz w:val="22"/>
        </w:rPr>
        <w:t> </w:t>
      </w:r>
      <w:r>
        <w:rPr>
          <w:sz w:val="22"/>
        </w:rPr>
        <w:t>requeridos</w:t>
      </w:r>
      <w:r>
        <w:rPr>
          <w:spacing w:val="-11"/>
          <w:sz w:val="22"/>
        </w:rPr>
        <w:t> </w:t>
      </w:r>
      <w:r>
        <w:rPr>
          <w:sz w:val="22"/>
        </w:rPr>
        <w:t>antes</w:t>
      </w:r>
      <w:r>
        <w:rPr>
          <w:spacing w:val="-11"/>
          <w:sz w:val="22"/>
        </w:rPr>
        <w:t> </w:t>
      </w:r>
      <w:r>
        <w:rPr>
          <w:sz w:val="22"/>
        </w:rPr>
        <w:t>de</w:t>
      </w:r>
      <w:r>
        <w:rPr>
          <w:spacing w:val="-9"/>
          <w:sz w:val="22"/>
        </w:rPr>
        <w:t> </w:t>
      </w:r>
      <w:r>
        <w:rPr>
          <w:sz w:val="22"/>
        </w:rPr>
        <w:t>la</w:t>
      </w:r>
      <w:r>
        <w:rPr>
          <w:spacing w:val="-9"/>
          <w:sz w:val="22"/>
        </w:rPr>
        <w:t> </w:t>
      </w:r>
      <w:r>
        <w:rPr>
          <w:sz w:val="22"/>
        </w:rPr>
        <w:t>ejecución</w:t>
      </w:r>
      <w:r>
        <w:rPr>
          <w:spacing w:val="-4"/>
          <w:sz w:val="22"/>
        </w:rPr>
        <w:t> </w:t>
      </w:r>
      <w:r>
        <w:rPr>
          <w:sz w:val="22"/>
        </w:rPr>
        <w:t>del</w:t>
      </w:r>
      <w:r>
        <w:rPr>
          <w:spacing w:val="-7"/>
          <w:sz w:val="22"/>
        </w:rPr>
        <w:t> </w:t>
      </w:r>
      <w:r>
        <w:rPr>
          <w:sz w:val="22"/>
        </w:rPr>
        <w:t>proyecto,</w:t>
      </w:r>
      <w:r>
        <w:rPr>
          <w:spacing w:val="-10"/>
          <w:sz w:val="22"/>
        </w:rPr>
        <w:t> </w:t>
      </w:r>
      <w:r>
        <w:rPr>
          <w:sz w:val="22"/>
        </w:rPr>
        <w:t>así como el pago de pólizas, visado de planos, permisos requeridos antes de la ejecución</w:t>
      </w:r>
      <w:r>
        <w:rPr>
          <w:spacing w:val="-14"/>
          <w:sz w:val="22"/>
        </w:rPr>
        <w:t> </w:t>
      </w:r>
      <w:r>
        <w:rPr>
          <w:sz w:val="22"/>
        </w:rPr>
        <w:t>del</w:t>
      </w:r>
      <w:r>
        <w:rPr>
          <w:spacing w:val="-12"/>
          <w:sz w:val="22"/>
        </w:rPr>
        <w:t> </w:t>
      </w:r>
      <w:r>
        <w:rPr>
          <w:sz w:val="22"/>
        </w:rPr>
        <w:t>proyecto,</w:t>
      </w:r>
      <w:r>
        <w:rPr>
          <w:spacing w:val="-10"/>
          <w:sz w:val="22"/>
        </w:rPr>
        <w:t> </w:t>
      </w:r>
      <w:r>
        <w:rPr>
          <w:sz w:val="22"/>
        </w:rPr>
        <w:t>y</w:t>
      </w:r>
      <w:r>
        <w:rPr>
          <w:spacing w:val="-11"/>
          <w:sz w:val="22"/>
        </w:rPr>
        <w:t> </w:t>
      </w:r>
      <w:r>
        <w:rPr>
          <w:sz w:val="22"/>
        </w:rPr>
        <w:t>costos</w:t>
      </w:r>
      <w:r>
        <w:rPr>
          <w:spacing w:val="-11"/>
          <w:sz w:val="22"/>
        </w:rPr>
        <w:t> </w:t>
      </w:r>
      <w:r>
        <w:rPr>
          <w:sz w:val="22"/>
        </w:rPr>
        <w:t>de</w:t>
      </w:r>
      <w:r>
        <w:rPr>
          <w:spacing w:val="-9"/>
          <w:sz w:val="22"/>
        </w:rPr>
        <w:t> </w:t>
      </w:r>
      <w:r>
        <w:rPr>
          <w:sz w:val="22"/>
        </w:rPr>
        <w:t>servicios</w:t>
      </w:r>
      <w:r>
        <w:rPr>
          <w:spacing w:val="-11"/>
          <w:sz w:val="22"/>
        </w:rPr>
        <w:t> </w:t>
      </w:r>
      <w:r>
        <w:rPr>
          <w:sz w:val="22"/>
        </w:rPr>
        <w:t>de</w:t>
      </w:r>
      <w:r>
        <w:rPr>
          <w:spacing w:val="-9"/>
          <w:sz w:val="22"/>
        </w:rPr>
        <w:t> </w:t>
      </w:r>
      <w:r>
        <w:rPr>
          <w:sz w:val="22"/>
        </w:rPr>
        <w:t>consultoría</w:t>
      </w:r>
      <w:r>
        <w:rPr>
          <w:spacing w:val="-14"/>
          <w:sz w:val="22"/>
        </w:rPr>
        <w:t> </w:t>
      </w:r>
      <w:r>
        <w:rPr>
          <w:sz w:val="22"/>
        </w:rPr>
        <w:t>durante</w:t>
      </w:r>
      <w:r>
        <w:rPr>
          <w:spacing w:val="-9"/>
          <w:sz w:val="22"/>
        </w:rPr>
        <w:t> </w:t>
      </w:r>
      <w:r>
        <w:rPr>
          <w:sz w:val="22"/>
        </w:rPr>
        <w:t>la</w:t>
      </w:r>
      <w:r>
        <w:rPr>
          <w:spacing w:val="-9"/>
          <w:sz w:val="22"/>
        </w:rPr>
        <w:t> </w:t>
      </w:r>
      <w:r>
        <w:rPr>
          <w:sz w:val="22"/>
        </w:rPr>
        <w:t>ejecución</w:t>
      </w:r>
      <w:r>
        <w:rPr>
          <w:spacing w:val="-9"/>
          <w:sz w:val="22"/>
        </w:rPr>
        <w:t> </w:t>
      </w:r>
      <w:r>
        <w:rPr>
          <w:sz w:val="22"/>
        </w:rPr>
        <w:t>del </w:t>
      </w:r>
      <w:r>
        <w:rPr>
          <w:spacing w:val="-2"/>
          <w:sz w:val="22"/>
        </w:rPr>
        <w:t>proyecto.</w:t>
      </w:r>
    </w:p>
    <w:p>
      <w:pPr>
        <w:pStyle w:val="BodyText"/>
      </w:pPr>
    </w:p>
    <w:p>
      <w:pPr>
        <w:pStyle w:val="ListParagraph"/>
        <w:numPr>
          <w:ilvl w:val="1"/>
          <w:numId w:val="20"/>
        </w:numPr>
        <w:tabs>
          <w:tab w:pos="1832" w:val="left" w:leader="none"/>
          <w:tab w:pos="1834" w:val="left" w:leader="none"/>
        </w:tabs>
        <w:spacing w:line="240" w:lineRule="auto" w:before="0" w:after="0"/>
        <w:ind w:left="1834" w:right="1239" w:hanging="284"/>
        <w:jc w:val="both"/>
        <w:rPr>
          <w:rFonts w:ascii="Symbol" w:hAnsi="Symbol"/>
          <w:sz w:val="22"/>
        </w:rPr>
      </w:pPr>
      <w:r>
        <w:rPr>
          <w:b/>
          <w:sz w:val="22"/>
        </w:rPr>
        <w:t>Subsidio Gastos de implementación para infraestructura comunal para Organizaciones</w:t>
      </w:r>
      <w:r>
        <w:rPr>
          <w:b/>
          <w:spacing w:val="-16"/>
          <w:sz w:val="22"/>
        </w:rPr>
        <w:t> </w:t>
      </w:r>
      <w:r>
        <w:rPr>
          <w:b/>
          <w:sz w:val="22"/>
        </w:rPr>
        <w:t>de</w:t>
      </w:r>
      <w:r>
        <w:rPr>
          <w:b/>
          <w:spacing w:val="-11"/>
          <w:sz w:val="22"/>
        </w:rPr>
        <w:t> </w:t>
      </w:r>
      <w:r>
        <w:rPr>
          <w:b/>
          <w:sz w:val="22"/>
        </w:rPr>
        <w:t>Bienestar</w:t>
      </w:r>
      <w:r>
        <w:rPr>
          <w:b/>
          <w:spacing w:val="-15"/>
          <w:sz w:val="22"/>
        </w:rPr>
        <w:t> </w:t>
      </w:r>
      <w:r>
        <w:rPr>
          <w:b/>
          <w:sz w:val="22"/>
        </w:rPr>
        <w:t>Social:</w:t>
      </w:r>
      <w:r>
        <w:rPr>
          <w:b/>
          <w:spacing w:val="-15"/>
          <w:sz w:val="22"/>
        </w:rPr>
        <w:t> </w:t>
      </w:r>
      <w:r>
        <w:rPr>
          <w:sz w:val="22"/>
        </w:rPr>
        <w:t>brinda</w:t>
      </w:r>
      <w:r>
        <w:rPr>
          <w:spacing w:val="-16"/>
          <w:sz w:val="22"/>
        </w:rPr>
        <w:t> </w:t>
      </w:r>
      <w:r>
        <w:rPr>
          <w:sz w:val="22"/>
        </w:rPr>
        <w:t>oportunidades</w:t>
      </w:r>
      <w:r>
        <w:rPr>
          <w:spacing w:val="-15"/>
          <w:sz w:val="22"/>
        </w:rPr>
        <w:t> </w:t>
      </w:r>
      <w:r>
        <w:rPr>
          <w:sz w:val="22"/>
        </w:rPr>
        <w:t>a</w:t>
      </w:r>
      <w:r>
        <w:rPr>
          <w:spacing w:val="-11"/>
          <w:sz w:val="22"/>
        </w:rPr>
        <w:t> </w:t>
      </w:r>
      <w:r>
        <w:rPr>
          <w:sz w:val="22"/>
        </w:rPr>
        <w:t>los</w:t>
      </w:r>
      <w:r>
        <w:rPr>
          <w:spacing w:val="-9"/>
          <w:sz w:val="22"/>
        </w:rPr>
        <w:t> </w:t>
      </w:r>
      <w:r>
        <w:rPr>
          <w:sz w:val="22"/>
        </w:rPr>
        <w:t>sujetos</w:t>
      </w:r>
      <w:r>
        <w:rPr>
          <w:spacing w:val="-16"/>
          <w:sz w:val="22"/>
        </w:rPr>
        <w:t> </w:t>
      </w:r>
      <w:r>
        <w:rPr>
          <w:sz w:val="22"/>
        </w:rPr>
        <w:t>privados, mediante una transferencia monetaria no reembolsable, para cubrir los costos de servicios profesionales requeridos antes de la ejecución del proyecto, así como el pago de pólizas, visado de planos, permisos requeridos antes de la ejecución del proyecto, y costos de servicios de consultoría durante la ejecución del proyecto.</w:t>
      </w:r>
    </w:p>
    <w:p>
      <w:pPr>
        <w:pStyle w:val="BodyText"/>
        <w:spacing w:before="23"/>
      </w:pPr>
    </w:p>
    <w:p>
      <w:pPr>
        <w:pStyle w:val="ListParagraph"/>
        <w:numPr>
          <w:ilvl w:val="1"/>
          <w:numId w:val="20"/>
        </w:numPr>
        <w:tabs>
          <w:tab w:pos="1832" w:val="left" w:leader="none"/>
          <w:tab w:pos="1834" w:val="left" w:leader="none"/>
        </w:tabs>
        <w:spacing w:line="240" w:lineRule="auto" w:before="0" w:after="0"/>
        <w:ind w:left="1834" w:right="1237" w:hanging="284"/>
        <w:jc w:val="both"/>
        <w:rPr>
          <w:rFonts w:ascii="Symbol" w:hAnsi="Symbol"/>
          <w:sz w:val="22"/>
        </w:rPr>
      </w:pPr>
      <w:r>
        <w:rPr>
          <w:b/>
          <w:sz w:val="22"/>
        </w:rPr>
        <w:t>Subsidio Infraestructura comunal y productiva para sujetos de derecho privado</w:t>
      </w:r>
      <w:r>
        <w:rPr>
          <w:sz w:val="22"/>
        </w:rPr>
        <w:t>: brinda oportunidades a los sujetos privados para construir, reparar, mejorar o ampliar la infraestructura de sus comunidades o la infraestructura necesaria</w:t>
      </w:r>
      <w:r>
        <w:rPr>
          <w:spacing w:val="-3"/>
          <w:sz w:val="22"/>
        </w:rPr>
        <w:t> </w:t>
      </w:r>
      <w:r>
        <w:rPr>
          <w:sz w:val="22"/>
        </w:rPr>
        <w:t>para</w:t>
      </w:r>
      <w:r>
        <w:rPr>
          <w:spacing w:val="-3"/>
          <w:sz w:val="22"/>
        </w:rPr>
        <w:t> </w:t>
      </w:r>
      <w:r>
        <w:rPr>
          <w:sz w:val="22"/>
        </w:rPr>
        <w:t>el</w:t>
      </w:r>
      <w:r>
        <w:rPr>
          <w:spacing w:val="-1"/>
          <w:sz w:val="22"/>
        </w:rPr>
        <w:t> </w:t>
      </w:r>
      <w:r>
        <w:rPr>
          <w:sz w:val="22"/>
        </w:rPr>
        <w:t>desarrollo</w:t>
      </w:r>
      <w:r>
        <w:rPr>
          <w:spacing w:val="-3"/>
          <w:sz w:val="22"/>
        </w:rPr>
        <w:t> </w:t>
      </w:r>
      <w:r>
        <w:rPr>
          <w:sz w:val="22"/>
        </w:rPr>
        <w:t>de</w:t>
      </w:r>
      <w:r>
        <w:rPr>
          <w:spacing w:val="-3"/>
          <w:sz w:val="22"/>
        </w:rPr>
        <w:t> </w:t>
      </w:r>
      <w:r>
        <w:rPr>
          <w:sz w:val="22"/>
        </w:rPr>
        <w:t>actividades</w:t>
      </w:r>
      <w:r>
        <w:rPr>
          <w:spacing w:val="-5"/>
          <w:sz w:val="22"/>
        </w:rPr>
        <w:t> </w:t>
      </w:r>
      <w:r>
        <w:rPr>
          <w:sz w:val="22"/>
        </w:rPr>
        <w:t>productivas</w:t>
      </w:r>
      <w:r>
        <w:rPr>
          <w:spacing w:val="-5"/>
          <w:sz w:val="22"/>
        </w:rPr>
        <w:t> </w:t>
      </w:r>
      <w:r>
        <w:rPr>
          <w:sz w:val="22"/>
        </w:rPr>
        <w:t>en</w:t>
      </w:r>
      <w:r>
        <w:rPr>
          <w:spacing w:val="-3"/>
          <w:sz w:val="22"/>
        </w:rPr>
        <w:t> </w:t>
      </w:r>
      <w:r>
        <w:rPr>
          <w:sz w:val="22"/>
        </w:rPr>
        <w:t>sus</w:t>
      </w:r>
      <w:r>
        <w:rPr>
          <w:spacing w:val="-5"/>
          <w:sz w:val="22"/>
        </w:rPr>
        <w:t> </w:t>
      </w:r>
      <w:r>
        <w:rPr>
          <w:sz w:val="22"/>
        </w:rPr>
        <w:t>territorios,</w:t>
      </w:r>
      <w:r>
        <w:rPr>
          <w:spacing w:val="-4"/>
          <w:sz w:val="22"/>
        </w:rPr>
        <w:t> </w:t>
      </w:r>
      <w:r>
        <w:rPr>
          <w:sz w:val="22"/>
        </w:rPr>
        <w:t>mediante una transferencia monetaria no reembolsable destinada a cubrir los costos de materiales, mano de obra, alquiler de maquinaria, equipo, acarreo y transporte de materiales, así como los costos de los servicios de consultoría de Ingeniería y Arquitectura de inspección o dirección de obra de la etapa de control de ejecución del proyecto, según sea el caso.</w:t>
      </w:r>
    </w:p>
    <w:p>
      <w:pPr>
        <w:pStyle w:val="BodyText"/>
      </w:pPr>
    </w:p>
    <w:p>
      <w:pPr>
        <w:pStyle w:val="ListParagraph"/>
        <w:numPr>
          <w:ilvl w:val="1"/>
          <w:numId w:val="20"/>
        </w:numPr>
        <w:tabs>
          <w:tab w:pos="1832" w:val="left" w:leader="none"/>
          <w:tab w:pos="1834" w:val="left" w:leader="none"/>
        </w:tabs>
        <w:spacing w:line="237" w:lineRule="auto" w:before="0" w:after="0"/>
        <w:ind w:left="1834" w:right="1240" w:hanging="284"/>
        <w:jc w:val="both"/>
        <w:rPr>
          <w:rFonts w:ascii="Symbol" w:hAnsi="Symbol"/>
          <w:sz w:val="22"/>
        </w:rPr>
      </w:pPr>
      <w:r>
        <w:rPr>
          <w:b/>
          <w:sz w:val="22"/>
        </w:rPr>
        <w:t>Subsidio Infraestructura comunal para sujetos de derecho público</w:t>
      </w:r>
      <w:r>
        <w:rPr>
          <w:sz w:val="22"/>
        </w:rPr>
        <w:t>: brinda oportunidades a los sujetos públicos para construir, reparar, mejorar o ampliar la infraestructura de sus comunidades.</w:t>
      </w:r>
    </w:p>
    <w:p>
      <w:pPr>
        <w:pStyle w:val="BodyText"/>
        <w:spacing w:before="5"/>
      </w:pPr>
    </w:p>
    <w:p>
      <w:pPr>
        <w:pStyle w:val="ListParagraph"/>
        <w:numPr>
          <w:ilvl w:val="1"/>
          <w:numId w:val="20"/>
        </w:numPr>
        <w:tabs>
          <w:tab w:pos="1832" w:val="left" w:leader="none"/>
          <w:tab w:pos="1834" w:val="left" w:leader="none"/>
        </w:tabs>
        <w:spacing w:line="240" w:lineRule="auto" w:before="0" w:after="0"/>
        <w:ind w:left="1834" w:right="1252" w:hanging="284"/>
        <w:jc w:val="both"/>
        <w:rPr>
          <w:rFonts w:ascii="Symbol" w:hAnsi="Symbol"/>
          <w:sz w:val="22"/>
        </w:rPr>
      </w:pPr>
      <w:r>
        <w:rPr>
          <w:b/>
          <w:sz w:val="22"/>
        </w:rPr>
        <w:t>Subsidio Procesos formativos</w:t>
      </w:r>
      <w:r>
        <w:rPr>
          <w:sz w:val="22"/>
        </w:rPr>
        <w:t>: corresponde a la vinculación de mujeres en situación de pobreza extrema y pobreza, y aquellas vinculadas a un proceso de atención integral o asociadas con tipologías establecidas en la normativa vigente, tales como la Ley N°7769, el artículo 77 bis de la Ley N°8204, y la Ley N°7735. Adicionalmente se vincula a otros procesos formativos orientados al desarrollo de capacidades de formación personal que contribuyan al desarrollo integral.</w:t>
      </w:r>
    </w:p>
    <w:p>
      <w:pPr>
        <w:pStyle w:val="ListParagraph"/>
        <w:spacing w:after="0" w:line="240" w:lineRule="auto"/>
        <w:jc w:val="both"/>
        <w:rPr>
          <w:rFonts w:ascii="Symbol" w:hAnsi="Symbol"/>
          <w:sz w:val="22"/>
        </w:rPr>
        <w:sectPr>
          <w:pgSz w:w="12240" w:h="15840"/>
          <w:pgMar w:header="0" w:footer="1101" w:top="640" w:bottom="1300" w:left="720" w:right="360"/>
        </w:sectPr>
      </w:pPr>
    </w:p>
    <w:p>
      <w:pPr>
        <w:pStyle w:val="ListParagraph"/>
        <w:numPr>
          <w:ilvl w:val="1"/>
          <w:numId w:val="20"/>
        </w:numPr>
        <w:tabs>
          <w:tab w:pos="1832" w:val="left" w:leader="none"/>
          <w:tab w:pos="1834" w:val="left" w:leader="none"/>
        </w:tabs>
        <w:spacing w:line="240" w:lineRule="auto" w:before="80" w:after="0"/>
        <w:ind w:left="1834" w:right="1240" w:hanging="284"/>
        <w:jc w:val="both"/>
        <w:rPr>
          <w:rFonts w:ascii="Symbol" w:hAnsi="Symbol"/>
          <w:sz w:val="22"/>
        </w:rPr>
      </w:pPr>
      <w:r>
        <w:rPr>
          <w:b/>
          <w:sz w:val="22"/>
        </w:rPr>
        <w:t>Subsidio</w:t>
      </w:r>
      <w:r>
        <w:rPr>
          <w:b/>
          <w:spacing w:val="-16"/>
          <w:sz w:val="22"/>
        </w:rPr>
        <w:t> </w:t>
      </w:r>
      <w:r>
        <w:rPr>
          <w:b/>
          <w:sz w:val="22"/>
        </w:rPr>
        <w:t>Proyectos</w:t>
      </w:r>
      <w:r>
        <w:rPr>
          <w:b/>
          <w:spacing w:val="-15"/>
          <w:sz w:val="22"/>
        </w:rPr>
        <w:t> </w:t>
      </w:r>
      <w:r>
        <w:rPr>
          <w:b/>
          <w:sz w:val="22"/>
        </w:rPr>
        <w:t>socio</w:t>
      </w:r>
      <w:r>
        <w:rPr>
          <w:b/>
          <w:spacing w:val="-15"/>
          <w:sz w:val="22"/>
        </w:rPr>
        <w:t> </w:t>
      </w:r>
      <w:r>
        <w:rPr>
          <w:b/>
          <w:sz w:val="22"/>
        </w:rPr>
        <w:t>productivos</w:t>
      </w:r>
      <w:r>
        <w:rPr>
          <w:b/>
          <w:spacing w:val="-16"/>
          <w:sz w:val="22"/>
        </w:rPr>
        <w:t> </w:t>
      </w:r>
      <w:r>
        <w:rPr>
          <w:b/>
          <w:sz w:val="22"/>
        </w:rPr>
        <w:t>para</w:t>
      </w:r>
      <w:r>
        <w:rPr>
          <w:b/>
          <w:spacing w:val="-15"/>
          <w:sz w:val="22"/>
        </w:rPr>
        <w:t> </w:t>
      </w:r>
      <w:r>
        <w:rPr>
          <w:b/>
          <w:sz w:val="22"/>
        </w:rPr>
        <w:t>sujetos</w:t>
      </w:r>
      <w:r>
        <w:rPr>
          <w:b/>
          <w:spacing w:val="-15"/>
          <w:sz w:val="22"/>
        </w:rPr>
        <w:t> </w:t>
      </w:r>
      <w:r>
        <w:rPr>
          <w:b/>
          <w:sz w:val="22"/>
        </w:rPr>
        <w:t>de</w:t>
      </w:r>
      <w:r>
        <w:rPr>
          <w:b/>
          <w:spacing w:val="-15"/>
          <w:sz w:val="22"/>
        </w:rPr>
        <w:t> </w:t>
      </w:r>
      <w:r>
        <w:rPr>
          <w:b/>
          <w:sz w:val="22"/>
        </w:rPr>
        <w:t>derecho</w:t>
      </w:r>
      <w:r>
        <w:rPr>
          <w:b/>
          <w:spacing w:val="-16"/>
          <w:sz w:val="22"/>
        </w:rPr>
        <w:t> </w:t>
      </w:r>
      <w:r>
        <w:rPr>
          <w:b/>
          <w:sz w:val="22"/>
        </w:rPr>
        <w:t>privado:</w:t>
      </w:r>
      <w:r>
        <w:rPr>
          <w:b/>
          <w:spacing w:val="-15"/>
          <w:sz w:val="22"/>
        </w:rPr>
        <w:t> </w:t>
      </w:r>
      <w:r>
        <w:rPr>
          <w:sz w:val="22"/>
        </w:rPr>
        <w:t>brinda oportunidades</w:t>
      </w:r>
      <w:r>
        <w:rPr>
          <w:spacing w:val="-7"/>
          <w:sz w:val="22"/>
        </w:rPr>
        <w:t> </w:t>
      </w:r>
      <w:r>
        <w:rPr>
          <w:sz w:val="22"/>
        </w:rPr>
        <w:t>a</w:t>
      </w:r>
      <w:r>
        <w:rPr>
          <w:spacing w:val="-7"/>
          <w:sz w:val="22"/>
        </w:rPr>
        <w:t> </w:t>
      </w:r>
      <w:r>
        <w:rPr>
          <w:sz w:val="22"/>
        </w:rPr>
        <w:t>sujetos</w:t>
      </w:r>
      <w:r>
        <w:rPr>
          <w:spacing w:val="-6"/>
          <w:sz w:val="22"/>
        </w:rPr>
        <w:t> </w:t>
      </w:r>
      <w:r>
        <w:rPr>
          <w:sz w:val="22"/>
        </w:rPr>
        <w:t>privados</w:t>
      </w:r>
      <w:r>
        <w:rPr>
          <w:spacing w:val="-12"/>
          <w:sz w:val="22"/>
        </w:rPr>
        <w:t> </w:t>
      </w:r>
      <w:r>
        <w:rPr>
          <w:sz w:val="22"/>
        </w:rPr>
        <w:t>para</w:t>
      </w:r>
      <w:r>
        <w:rPr>
          <w:spacing w:val="-10"/>
          <w:sz w:val="22"/>
        </w:rPr>
        <w:t> </w:t>
      </w:r>
      <w:r>
        <w:rPr>
          <w:sz w:val="22"/>
        </w:rPr>
        <w:t>el</w:t>
      </w:r>
      <w:r>
        <w:rPr>
          <w:spacing w:val="-13"/>
          <w:sz w:val="22"/>
        </w:rPr>
        <w:t> </w:t>
      </w:r>
      <w:r>
        <w:rPr>
          <w:sz w:val="22"/>
        </w:rPr>
        <w:t>desarrollo</w:t>
      </w:r>
      <w:r>
        <w:rPr>
          <w:spacing w:val="-5"/>
          <w:sz w:val="22"/>
        </w:rPr>
        <w:t> </w:t>
      </w:r>
      <w:r>
        <w:rPr>
          <w:sz w:val="22"/>
        </w:rPr>
        <w:t>o</w:t>
      </w:r>
      <w:r>
        <w:rPr>
          <w:spacing w:val="-10"/>
          <w:sz w:val="22"/>
        </w:rPr>
        <w:t> </w:t>
      </w:r>
      <w:r>
        <w:rPr>
          <w:sz w:val="22"/>
        </w:rPr>
        <w:t>fortalecimiento</w:t>
      </w:r>
      <w:r>
        <w:rPr>
          <w:spacing w:val="-10"/>
          <w:sz w:val="22"/>
        </w:rPr>
        <w:t> </w:t>
      </w:r>
      <w:r>
        <w:rPr>
          <w:sz w:val="22"/>
        </w:rPr>
        <w:t>de</w:t>
      </w:r>
      <w:r>
        <w:rPr>
          <w:spacing w:val="-10"/>
          <w:sz w:val="22"/>
        </w:rPr>
        <w:t> </w:t>
      </w:r>
      <w:r>
        <w:rPr>
          <w:sz w:val="22"/>
        </w:rPr>
        <w:t>actividades productivas grupales, mediante una transferencia monetaria no reembolsable destinada a cubrir los costos de adquisición de materia prima, el capital necesario para la operación inicial del proyecto, mejorar o adquirir maquinaria, mobiliario y equipos y materiales, y en general, cualquier bien o servicio necesario para la operación satisfactoria del proyecto productivo presentado.</w:t>
      </w:r>
    </w:p>
    <w:p>
      <w:pPr>
        <w:pStyle w:val="BodyText"/>
      </w:pPr>
    </w:p>
    <w:p>
      <w:pPr>
        <w:pStyle w:val="ListParagraph"/>
        <w:numPr>
          <w:ilvl w:val="1"/>
          <w:numId w:val="20"/>
        </w:numPr>
        <w:tabs>
          <w:tab w:pos="1832" w:val="left" w:leader="none"/>
          <w:tab w:pos="1834" w:val="left" w:leader="none"/>
        </w:tabs>
        <w:spacing w:line="240" w:lineRule="auto" w:before="0" w:after="0"/>
        <w:ind w:left="1834" w:right="1255" w:hanging="284"/>
        <w:jc w:val="both"/>
        <w:rPr>
          <w:rFonts w:ascii="Symbol" w:hAnsi="Symbol"/>
          <w:sz w:val="22"/>
        </w:rPr>
      </w:pPr>
      <w:r>
        <w:rPr>
          <w:b/>
          <w:sz w:val="22"/>
        </w:rPr>
        <w:t>Transferencia Monetaria Condicionada Avancemos: </w:t>
      </w:r>
      <w:r>
        <w:rPr>
          <w:sz w:val="22"/>
        </w:rPr>
        <w:t>transferencia monetaria condicionada orientada a</w:t>
      </w:r>
      <w:r>
        <w:rPr>
          <w:spacing w:val="-1"/>
          <w:sz w:val="22"/>
        </w:rPr>
        <w:t> </w:t>
      </w:r>
      <w:r>
        <w:rPr>
          <w:sz w:val="22"/>
        </w:rPr>
        <w:t>coadyuvar</w:t>
      </w:r>
      <w:r>
        <w:rPr>
          <w:spacing w:val="-4"/>
          <w:sz w:val="22"/>
        </w:rPr>
        <w:t> </w:t>
      </w:r>
      <w:r>
        <w:rPr>
          <w:sz w:val="22"/>
        </w:rPr>
        <w:t>a la inclusión, la permanencia, la</w:t>
      </w:r>
      <w:r>
        <w:rPr>
          <w:spacing w:val="-1"/>
          <w:sz w:val="22"/>
        </w:rPr>
        <w:t> </w:t>
      </w:r>
      <w:r>
        <w:rPr>
          <w:sz w:val="22"/>
        </w:rPr>
        <w:t>asistencia y la reincorporación en el sistema educativo formal de personas estudiantes de educación primaria y secundaria de las diferentes modalidades avaladas por el Ministerio de Educación Pública; en la ejecución de esta transferencia, se debe considerar los acuerdos del Consejo de Coordinación del Programa Avancemos (máxima instancia según las competencias asignadas mediante le Ley N°9617).</w:t>
      </w:r>
    </w:p>
    <w:p>
      <w:pPr>
        <w:pStyle w:val="BodyText"/>
      </w:pPr>
    </w:p>
    <w:p>
      <w:pPr>
        <w:pStyle w:val="BodyText"/>
        <w:ind w:left="1834" w:right="1263"/>
        <w:jc w:val="both"/>
      </w:pPr>
      <w:r>
        <w:rPr/>
        <w:t>Como complemento a esta oferta, se encuentra la posibilidad de brindar un acompañamiento</w:t>
      </w:r>
      <w:r>
        <w:rPr>
          <w:spacing w:val="-10"/>
        </w:rPr>
        <w:t> </w:t>
      </w:r>
      <w:r>
        <w:rPr/>
        <w:t>monetario</w:t>
      </w:r>
      <w:r>
        <w:rPr>
          <w:spacing w:val="-5"/>
        </w:rPr>
        <w:t> </w:t>
      </w:r>
      <w:r>
        <w:rPr/>
        <w:t>adicional</w:t>
      </w:r>
      <w:r>
        <w:rPr>
          <w:spacing w:val="-8"/>
        </w:rPr>
        <w:t> </w:t>
      </w:r>
      <w:r>
        <w:rPr/>
        <w:t>para</w:t>
      </w:r>
      <w:r>
        <w:rPr>
          <w:spacing w:val="-5"/>
        </w:rPr>
        <w:t> </w:t>
      </w:r>
      <w:r>
        <w:rPr/>
        <w:t>la</w:t>
      </w:r>
      <w:r>
        <w:rPr>
          <w:spacing w:val="-5"/>
        </w:rPr>
        <w:t> </w:t>
      </w:r>
      <w:r>
        <w:rPr/>
        <w:t>compra</w:t>
      </w:r>
      <w:r>
        <w:rPr>
          <w:spacing w:val="-5"/>
        </w:rPr>
        <w:t> </w:t>
      </w:r>
      <w:r>
        <w:rPr/>
        <w:t>de</w:t>
      </w:r>
      <w:r>
        <w:rPr>
          <w:spacing w:val="-5"/>
        </w:rPr>
        <w:t> </w:t>
      </w:r>
      <w:r>
        <w:rPr/>
        <w:t>cuadernos</w:t>
      </w:r>
      <w:r>
        <w:rPr>
          <w:spacing w:val="-7"/>
        </w:rPr>
        <w:t> </w:t>
      </w:r>
      <w:r>
        <w:rPr/>
        <w:t>e</w:t>
      </w:r>
      <w:r>
        <w:rPr>
          <w:spacing w:val="-1"/>
        </w:rPr>
        <w:t> </w:t>
      </w:r>
      <w:r>
        <w:rPr/>
        <w:t>implementos escolares,</w:t>
      </w:r>
      <w:r>
        <w:rPr>
          <w:spacing w:val="-10"/>
        </w:rPr>
        <w:t> </w:t>
      </w:r>
      <w:r>
        <w:rPr/>
        <w:t>así</w:t>
      </w:r>
      <w:r>
        <w:rPr>
          <w:spacing w:val="-5"/>
        </w:rPr>
        <w:t> </w:t>
      </w:r>
      <w:r>
        <w:rPr/>
        <w:t>como</w:t>
      </w:r>
      <w:r>
        <w:rPr>
          <w:spacing w:val="-4"/>
        </w:rPr>
        <w:t> </w:t>
      </w:r>
      <w:r>
        <w:rPr/>
        <w:t>la</w:t>
      </w:r>
      <w:r>
        <w:rPr>
          <w:spacing w:val="-4"/>
        </w:rPr>
        <w:t> </w:t>
      </w:r>
      <w:r>
        <w:rPr/>
        <w:t>incorporación</w:t>
      </w:r>
      <w:r>
        <w:rPr>
          <w:spacing w:val="-9"/>
        </w:rPr>
        <w:t> </w:t>
      </w:r>
      <w:r>
        <w:rPr/>
        <w:t>de</w:t>
      </w:r>
      <w:r>
        <w:rPr>
          <w:spacing w:val="-9"/>
        </w:rPr>
        <w:t> </w:t>
      </w:r>
      <w:r>
        <w:rPr/>
        <w:t>un</w:t>
      </w:r>
      <w:r>
        <w:rPr>
          <w:spacing w:val="-9"/>
        </w:rPr>
        <w:t> </w:t>
      </w:r>
      <w:r>
        <w:rPr/>
        <w:t>motivo</w:t>
      </w:r>
      <w:r>
        <w:rPr>
          <w:spacing w:val="-9"/>
        </w:rPr>
        <w:t> </w:t>
      </w:r>
      <w:r>
        <w:rPr/>
        <w:t>para</w:t>
      </w:r>
      <w:r>
        <w:rPr>
          <w:spacing w:val="-4"/>
        </w:rPr>
        <w:t> </w:t>
      </w:r>
      <w:r>
        <w:rPr/>
        <w:t>la</w:t>
      </w:r>
      <w:r>
        <w:rPr>
          <w:spacing w:val="-4"/>
        </w:rPr>
        <w:t> </w:t>
      </w:r>
      <w:r>
        <w:rPr/>
        <w:t>atención</w:t>
      </w:r>
      <w:r>
        <w:rPr>
          <w:spacing w:val="-4"/>
        </w:rPr>
        <w:t> </w:t>
      </w:r>
      <w:r>
        <w:rPr/>
        <w:t>y</w:t>
      </w:r>
      <w:r>
        <w:rPr>
          <w:spacing w:val="-11"/>
        </w:rPr>
        <w:t> </w:t>
      </w:r>
      <w:r>
        <w:rPr/>
        <w:t>asignación</w:t>
      </w:r>
      <w:r>
        <w:rPr>
          <w:spacing w:val="-9"/>
        </w:rPr>
        <w:t> </w:t>
      </w:r>
      <w:r>
        <w:rPr/>
        <w:t>de monto mensual diferenciado para personas estudiantes trabajadoras menores de edad que sean referidas por el Ministerio de Trabajo y Seguridad Social.</w:t>
      </w:r>
    </w:p>
    <w:p>
      <w:pPr>
        <w:pStyle w:val="BodyText"/>
      </w:pPr>
    </w:p>
    <w:p>
      <w:pPr>
        <w:pStyle w:val="Heading1"/>
        <w:numPr>
          <w:ilvl w:val="1"/>
          <w:numId w:val="5"/>
        </w:numPr>
        <w:tabs>
          <w:tab w:pos="2684" w:val="left" w:leader="none"/>
        </w:tabs>
        <w:spacing w:line="240" w:lineRule="auto" w:before="0" w:after="0"/>
        <w:ind w:left="2684" w:right="0" w:hanging="552"/>
        <w:jc w:val="left"/>
      </w:pPr>
      <w:bookmarkStart w:name="_bookmark44" w:id="45"/>
      <w:bookmarkEnd w:id="45"/>
      <w:r>
        <w:rPr>
          <w:b w:val="0"/>
        </w:rPr>
      </w:r>
      <w:r>
        <w:rPr/>
        <w:t>Programa</w:t>
      </w:r>
      <w:r>
        <w:rPr>
          <w:spacing w:val="-5"/>
        </w:rPr>
        <w:t> </w:t>
      </w:r>
      <w:r>
        <w:rPr/>
        <w:t>de</w:t>
      </w:r>
      <w:r>
        <w:rPr>
          <w:spacing w:val="-5"/>
        </w:rPr>
        <w:t> </w:t>
      </w:r>
      <w:r>
        <w:rPr/>
        <w:t>Actividades</w:t>
      </w:r>
      <w:r>
        <w:rPr>
          <w:spacing w:val="-4"/>
        </w:rPr>
        <w:t> </w:t>
      </w:r>
      <w:r>
        <w:rPr>
          <w:spacing w:val="-2"/>
        </w:rPr>
        <w:t>Centrales</w:t>
      </w:r>
    </w:p>
    <w:p>
      <w:pPr>
        <w:pStyle w:val="ListParagraph"/>
        <w:numPr>
          <w:ilvl w:val="2"/>
          <w:numId w:val="5"/>
        </w:numPr>
        <w:tabs>
          <w:tab w:pos="2733" w:val="left" w:leader="none"/>
        </w:tabs>
        <w:spacing w:line="240" w:lineRule="auto" w:before="252" w:after="0"/>
        <w:ind w:left="2733" w:right="0" w:hanging="601"/>
        <w:jc w:val="left"/>
        <w:rPr>
          <w:b/>
          <w:sz w:val="24"/>
        </w:rPr>
      </w:pPr>
      <w:r>
        <w:rPr>
          <w:b/>
          <w:sz w:val="24"/>
        </w:rPr>
        <w:t>Descripción</w:t>
      </w:r>
      <w:r>
        <w:rPr>
          <w:b/>
          <w:spacing w:val="-6"/>
          <w:sz w:val="24"/>
        </w:rPr>
        <w:t> </w:t>
      </w:r>
      <w:r>
        <w:rPr>
          <w:b/>
          <w:sz w:val="24"/>
        </w:rPr>
        <w:t>del</w:t>
      </w:r>
      <w:r>
        <w:rPr>
          <w:b/>
          <w:spacing w:val="-6"/>
          <w:sz w:val="24"/>
        </w:rPr>
        <w:t> </w:t>
      </w:r>
      <w:r>
        <w:rPr>
          <w:b/>
          <w:spacing w:val="-2"/>
          <w:sz w:val="24"/>
        </w:rPr>
        <w:t>Programa</w:t>
      </w:r>
    </w:p>
    <w:p>
      <w:pPr>
        <w:pStyle w:val="BodyText"/>
        <w:spacing w:before="252"/>
        <w:ind w:left="1268" w:right="1244"/>
        <w:jc w:val="both"/>
      </w:pPr>
      <w:r>
        <w:rPr/>
        <w:t>El programa de Actividades Centrales tiene como fin la “Eficiente gestión administrativa, financiera</w:t>
      </w:r>
      <w:r>
        <w:rPr>
          <w:spacing w:val="-16"/>
        </w:rPr>
        <w:t> </w:t>
      </w:r>
      <w:r>
        <w:rPr/>
        <w:t>y</w:t>
      </w:r>
      <w:r>
        <w:rPr>
          <w:spacing w:val="-15"/>
        </w:rPr>
        <w:t> </w:t>
      </w:r>
      <w:r>
        <w:rPr/>
        <w:t>tecnológica,</w:t>
      </w:r>
      <w:r>
        <w:rPr>
          <w:spacing w:val="-15"/>
        </w:rPr>
        <w:t> </w:t>
      </w:r>
      <w:r>
        <w:rPr/>
        <w:t>orientada</w:t>
      </w:r>
      <w:r>
        <w:rPr>
          <w:spacing w:val="-16"/>
        </w:rPr>
        <w:t> </w:t>
      </w:r>
      <w:r>
        <w:rPr/>
        <w:t>a</w:t>
      </w:r>
      <w:r>
        <w:rPr>
          <w:spacing w:val="-15"/>
        </w:rPr>
        <w:t> </w:t>
      </w:r>
      <w:r>
        <w:rPr/>
        <w:t>la</w:t>
      </w:r>
      <w:r>
        <w:rPr>
          <w:spacing w:val="-15"/>
        </w:rPr>
        <w:t> </w:t>
      </w:r>
      <w:r>
        <w:rPr/>
        <w:t>institucionalización</w:t>
      </w:r>
      <w:r>
        <w:rPr>
          <w:spacing w:val="-15"/>
        </w:rPr>
        <w:t> </w:t>
      </w:r>
      <w:r>
        <w:rPr/>
        <w:t>de</w:t>
      </w:r>
      <w:r>
        <w:rPr>
          <w:spacing w:val="-15"/>
        </w:rPr>
        <w:t> </w:t>
      </w:r>
      <w:r>
        <w:rPr/>
        <w:t>la</w:t>
      </w:r>
      <w:r>
        <w:rPr>
          <w:spacing w:val="-15"/>
        </w:rPr>
        <w:t> </w:t>
      </w:r>
      <w:r>
        <w:rPr/>
        <w:t>estrategia</w:t>
      </w:r>
      <w:r>
        <w:rPr>
          <w:spacing w:val="-15"/>
        </w:rPr>
        <w:t> </w:t>
      </w:r>
      <w:r>
        <w:rPr/>
        <w:t>de</w:t>
      </w:r>
      <w:r>
        <w:rPr>
          <w:spacing w:val="-11"/>
        </w:rPr>
        <w:t> </w:t>
      </w:r>
      <w:r>
        <w:rPr/>
        <w:t>intervención de la población en situación de pobreza y pobreza extrema”.</w:t>
      </w:r>
    </w:p>
    <w:p>
      <w:pPr>
        <w:pStyle w:val="BodyText"/>
        <w:spacing w:before="1"/>
      </w:pPr>
    </w:p>
    <w:p>
      <w:pPr>
        <w:pStyle w:val="BodyText"/>
        <w:ind w:left="1268" w:right="1252"/>
        <w:jc w:val="both"/>
      </w:pPr>
      <w:r>
        <w:rPr/>
        <w:t>Comprende la administración del recurso humano, financiero, material y tecnológico de la</w:t>
      </w:r>
      <w:r>
        <w:rPr>
          <w:spacing w:val="-1"/>
        </w:rPr>
        <w:t> </w:t>
      </w:r>
      <w:r>
        <w:rPr/>
        <w:t>Institución,</w:t>
      </w:r>
      <w:r>
        <w:rPr>
          <w:spacing w:val="-6"/>
        </w:rPr>
        <w:t> </w:t>
      </w:r>
      <w:r>
        <w:rPr/>
        <w:t>para</w:t>
      </w:r>
      <w:r>
        <w:rPr>
          <w:spacing w:val="-5"/>
        </w:rPr>
        <w:t> </w:t>
      </w:r>
      <w:r>
        <w:rPr/>
        <w:t>que</w:t>
      </w:r>
      <w:r>
        <w:rPr>
          <w:spacing w:val="-1"/>
        </w:rPr>
        <w:t> </w:t>
      </w:r>
      <w:r>
        <w:rPr/>
        <w:t>se</w:t>
      </w:r>
      <w:r>
        <w:rPr>
          <w:spacing w:val="-1"/>
        </w:rPr>
        <w:t> </w:t>
      </w:r>
      <w:r>
        <w:rPr/>
        <w:t>conviertan</w:t>
      </w:r>
      <w:r>
        <w:rPr>
          <w:spacing w:val="-1"/>
        </w:rPr>
        <w:t> </w:t>
      </w:r>
      <w:r>
        <w:rPr/>
        <w:t>en</w:t>
      </w:r>
      <w:r>
        <w:rPr>
          <w:spacing w:val="-1"/>
        </w:rPr>
        <w:t> </w:t>
      </w:r>
      <w:r>
        <w:rPr/>
        <w:t>apoyo</w:t>
      </w:r>
      <w:r>
        <w:rPr>
          <w:spacing w:val="-1"/>
        </w:rPr>
        <w:t> </w:t>
      </w:r>
      <w:r>
        <w:rPr/>
        <w:t>efectivo</w:t>
      </w:r>
      <w:r>
        <w:rPr>
          <w:spacing w:val="-5"/>
        </w:rPr>
        <w:t> </w:t>
      </w:r>
      <w:r>
        <w:rPr/>
        <w:t>para</w:t>
      </w:r>
      <w:r>
        <w:rPr>
          <w:spacing w:val="-1"/>
        </w:rPr>
        <w:t> </w:t>
      </w:r>
      <w:r>
        <w:rPr/>
        <w:t>la</w:t>
      </w:r>
      <w:r>
        <w:rPr>
          <w:spacing w:val="-1"/>
        </w:rPr>
        <w:t> </w:t>
      </w:r>
      <w:r>
        <w:rPr/>
        <w:t>ejecución</w:t>
      </w:r>
      <w:r>
        <w:rPr>
          <w:spacing w:val="-1"/>
        </w:rPr>
        <w:t> </w:t>
      </w:r>
      <w:r>
        <w:rPr/>
        <w:t>de</w:t>
      </w:r>
      <w:r>
        <w:rPr>
          <w:spacing w:val="-1"/>
        </w:rPr>
        <w:t> </w:t>
      </w:r>
      <w:r>
        <w:rPr/>
        <w:t>los</w:t>
      </w:r>
      <w:r>
        <w:rPr>
          <w:spacing w:val="-6"/>
        </w:rPr>
        <w:t> </w:t>
      </w:r>
      <w:r>
        <w:rPr/>
        <w:t>planes</w:t>
      </w:r>
      <w:r>
        <w:rPr>
          <w:spacing w:val="-2"/>
        </w:rPr>
        <w:t> </w:t>
      </w:r>
      <w:r>
        <w:rPr/>
        <w:t>y programas que se implementen, en beneficio de la población objetivo.</w:t>
      </w:r>
    </w:p>
    <w:p>
      <w:pPr>
        <w:pStyle w:val="BodyText"/>
        <w:spacing w:before="1"/>
      </w:pPr>
    </w:p>
    <w:p>
      <w:pPr>
        <w:pStyle w:val="BodyText"/>
        <w:spacing w:before="1"/>
        <w:ind w:left="1268" w:right="1239"/>
        <w:jc w:val="both"/>
      </w:pPr>
      <w:r>
        <w:rPr/>
        <w:t>El Programa formula planes de trabajo, emite la normativa requerida e implementa procesos y controles, para el correcto funcionamiento institucional, con el apoyo técnico para su ejecución. Lo anterior, se basa en decisiones político-gerenciales y la definición de</w:t>
      </w:r>
      <w:r>
        <w:rPr>
          <w:spacing w:val="-9"/>
        </w:rPr>
        <w:t> </w:t>
      </w:r>
      <w:r>
        <w:rPr/>
        <w:t>estrategias</w:t>
      </w:r>
      <w:r>
        <w:rPr>
          <w:spacing w:val="-11"/>
        </w:rPr>
        <w:t> </w:t>
      </w:r>
      <w:r>
        <w:rPr/>
        <w:t>que</w:t>
      </w:r>
      <w:r>
        <w:rPr>
          <w:spacing w:val="-9"/>
        </w:rPr>
        <w:t> </w:t>
      </w:r>
      <w:r>
        <w:rPr/>
        <w:t>integran</w:t>
      </w:r>
      <w:r>
        <w:rPr>
          <w:spacing w:val="-9"/>
        </w:rPr>
        <w:t> </w:t>
      </w:r>
      <w:r>
        <w:rPr/>
        <w:t>los</w:t>
      </w:r>
      <w:r>
        <w:rPr>
          <w:spacing w:val="-6"/>
        </w:rPr>
        <w:t> </w:t>
      </w:r>
      <w:r>
        <w:rPr/>
        <w:t>lineamientos</w:t>
      </w:r>
      <w:r>
        <w:rPr>
          <w:spacing w:val="-11"/>
        </w:rPr>
        <w:t> </w:t>
      </w:r>
      <w:r>
        <w:rPr/>
        <w:t>y</w:t>
      </w:r>
      <w:r>
        <w:rPr>
          <w:spacing w:val="-11"/>
        </w:rPr>
        <w:t> </w:t>
      </w:r>
      <w:r>
        <w:rPr/>
        <w:t>políticas</w:t>
      </w:r>
      <w:r>
        <w:rPr>
          <w:spacing w:val="-11"/>
        </w:rPr>
        <w:t> </w:t>
      </w:r>
      <w:r>
        <w:rPr/>
        <w:t>emanadas</w:t>
      </w:r>
      <w:r>
        <w:rPr>
          <w:spacing w:val="-11"/>
        </w:rPr>
        <w:t> </w:t>
      </w:r>
      <w:r>
        <w:rPr/>
        <w:t>de</w:t>
      </w:r>
      <w:r>
        <w:rPr>
          <w:spacing w:val="-4"/>
        </w:rPr>
        <w:t> </w:t>
      </w:r>
      <w:r>
        <w:rPr/>
        <w:t>la</w:t>
      </w:r>
      <w:r>
        <w:rPr>
          <w:spacing w:val="-9"/>
        </w:rPr>
        <w:t> </w:t>
      </w:r>
      <w:r>
        <w:rPr/>
        <w:t>Presidencia</w:t>
      </w:r>
      <w:r>
        <w:rPr>
          <w:spacing w:val="-9"/>
        </w:rPr>
        <w:t> </w:t>
      </w:r>
      <w:r>
        <w:rPr/>
        <w:t>de</w:t>
      </w:r>
      <w:r>
        <w:rPr>
          <w:spacing w:val="-4"/>
        </w:rPr>
        <w:t> </w:t>
      </w:r>
      <w:r>
        <w:rPr/>
        <w:t>la República y demás órganos contralores y fiscalizadores.</w:t>
      </w:r>
    </w:p>
    <w:p>
      <w:pPr>
        <w:pStyle w:val="Heading1"/>
        <w:numPr>
          <w:ilvl w:val="2"/>
          <w:numId w:val="5"/>
        </w:numPr>
        <w:tabs>
          <w:tab w:pos="2733" w:val="left" w:leader="none"/>
        </w:tabs>
        <w:spacing w:line="240" w:lineRule="auto" w:before="252" w:after="0"/>
        <w:ind w:left="2733" w:right="0" w:hanging="601"/>
        <w:jc w:val="left"/>
      </w:pPr>
      <w:r>
        <w:rPr/>
        <w:t>Objetivos</w:t>
      </w:r>
      <w:r>
        <w:rPr>
          <w:spacing w:val="-7"/>
        </w:rPr>
        <w:t> </w:t>
      </w:r>
      <w:r>
        <w:rPr/>
        <w:t>del</w:t>
      </w:r>
      <w:r>
        <w:rPr>
          <w:spacing w:val="-2"/>
        </w:rPr>
        <w:t> Programa</w:t>
      </w:r>
    </w:p>
    <w:p>
      <w:pPr>
        <w:pStyle w:val="Heading2"/>
        <w:spacing w:before="252"/>
        <w:ind w:left="1268"/>
        <w:jc w:val="both"/>
      </w:pPr>
      <w:r>
        <w:rPr/>
        <w:t>Objetivo</w:t>
      </w:r>
      <w:r>
        <w:rPr>
          <w:spacing w:val="-5"/>
        </w:rPr>
        <w:t> </w:t>
      </w:r>
      <w:r>
        <w:rPr>
          <w:spacing w:val="-2"/>
        </w:rPr>
        <w:t>General</w:t>
      </w:r>
    </w:p>
    <w:p>
      <w:pPr>
        <w:pStyle w:val="BodyText"/>
        <w:spacing w:before="3"/>
        <w:rPr>
          <w:b/>
        </w:rPr>
      </w:pPr>
    </w:p>
    <w:p>
      <w:pPr>
        <w:pStyle w:val="BodyText"/>
        <w:ind w:left="1268" w:right="1236"/>
        <w:jc w:val="both"/>
      </w:pPr>
      <w:r>
        <w:rPr/>
        <w:t>Realizar una efectiva gestión de los recursos humanos, financieros, materiales y tecnológicos, con el fin de contribuir con la institucionalización de la estrategia de intervención de la población en situación de pobreza y pobreza extrema, mediante un proceso</w:t>
      </w:r>
      <w:r>
        <w:rPr>
          <w:spacing w:val="-11"/>
        </w:rPr>
        <w:t> </w:t>
      </w:r>
      <w:r>
        <w:rPr/>
        <w:t>de</w:t>
      </w:r>
      <w:r>
        <w:rPr>
          <w:spacing w:val="-11"/>
        </w:rPr>
        <w:t> </w:t>
      </w:r>
      <w:r>
        <w:rPr/>
        <w:t>toma</w:t>
      </w:r>
      <w:r>
        <w:rPr>
          <w:spacing w:val="-6"/>
        </w:rPr>
        <w:t> </w:t>
      </w:r>
      <w:r>
        <w:rPr/>
        <w:t>de</w:t>
      </w:r>
      <w:r>
        <w:rPr>
          <w:spacing w:val="-11"/>
        </w:rPr>
        <w:t> </w:t>
      </w:r>
      <w:r>
        <w:rPr/>
        <w:t>decisiones</w:t>
      </w:r>
      <w:r>
        <w:rPr>
          <w:spacing w:val="-8"/>
        </w:rPr>
        <w:t> </w:t>
      </w:r>
      <w:r>
        <w:rPr/>
        <w:t>político-gerenciales</w:t>
      </w:r>
      <w:r>
        <w:rPr>
          <w:spacing w:val="-8"/>
        </w:rPr>
        <w:t> </w:t>
      </w:r>
      <w:r>
        <w:rPr/>
        <w:t>asertivo,</w:t>
      </w:r>
      <w:r>
        <w:rPr>
          <w:spacing w:val="-12"/>
        </w:rPr>
        <w:t> </w:t>
      </w:r>
      <w:r>
        <w:rPr/>
        <w:t>que</w:t>
      </w:r>
      <w:r>
        <w:rPr>
          <w:spacing w:val="-6"/>
        </w:rPr>
        <w:t> </w:t>
      </w:r>
      <w:r>
        <w:rPr/>
        <w:t>integre</w:t>
      </w:r>
      <w:r>
        <w:rPr>
          <w:spacing w:val="-6"/>
        </w:rPr>
        <w:t> </w:t>
      </w:r>
      <w:r>
        <w:rPr/>
        <w:t>los</w:t>
      </w:r>
      <w:r>
        <w:rPr>
          <w:spacing w:val="-8"/>
        </w:rPr>
        <w:t> </w:t>
      </w:r>
      <w:r>
        <w:rPr/>
        <w:t>lineamientos y políticas emanadas por la Presidencia de la República y demás entes contralores y </w:t>
      </w:r>
      <w:r>
        <w:rPr>
          <w:spacing w:val="-2"/>
        </w:rPr>
        <w:t>fiscalizadores.</w:t>
      </w:r>
    </w:p>
    <w:p>
      <w:pPr>
        <w:pStyle w:val="BodyText"/>
        <w:spacing w:after="0"/>
        <w:jc w:val="both"/>
        <w:sectPr>
          <w:pgSz w:w="12240" w:h="15840"/>
          <w:pgMar w:header="0" w:footer="1101" w:top="880" w:bottom="1300" w:left="720" w:right="360"/>
        </w:sectPr>
      </w:pPr>
    </w:p>
    <w:p>
      <w:pPr>
        <w:pStyle w:val="Heading2"/>
        <w:spacing w:before="80"/>
        <w:ind w:left="1268"/>
        <w:jc w:val="both"/>
      </w:pPr>
      <w:r>
        <w:rPr/>
        <w:t>Objetivos</w:t>
      </w:r>
      <w:r>
        <w:rPr>
          <w:spacing w:val="-7"/>
        </w:rPr>
        <w:t> </w:t>
      </w:r>
      <w:r>
        <w:rPr>
          <w:spacing w:val="-2"/>
        </w:rPr>
        <w:t>Específicos</w:t>
      </w:r>
    </w:p>
    <w:p>
      <w:pPr>
        <w:pStyle w:val="BodyText"/>
        <w:spacing w:before="5"/>
        <w:rPr>
          <w:b/>
        </w:rPr>
      </w:pPr>
    </w:p>
    <w:p>
      <w:pPr>
        <w:pStyle w:val="ListParagraph"/>
        <w:numPr>
          <w:ilvl w:val="0"/>
          <w:numId w:val="23"/>
        </w:numPr>
        <w:tabs>
          <w:tab w:pos="1626" w:val="left" w:leader="none"/>
          <w:tab w:pos="1628" w:val="left" w:leader="none"/>
        </w:tabs>
        <w:spacing w:line="237" w:lineRule="auto" w:before="0" w:after="0"/>
        <w:ind w:left="1628" w:right="1244" w:hanging="361"/>
        <w:jc w:val="both"/>
        <w:rPr>
          <w:sz w:val="22"/>
        </w:rPr>
      </w:pPr>
      <w:r>
        <w:rPr>
          <w:sz w:val="22"/>
        </w:rPr>
        <w:t>Mejorar</w:t>
      </w:r>
      <w:r>
        <w:rPr>
          <w:spacing w:val="-9"/>
          <w:sz w:val="22"/>
        </w:rPr>
        <w:t> </w:t>
      </w:r>
      <w:r>
        <w:rPr>
          <w:sz w:val="22"/>
        </w:rPr>
        <w:t>los</w:t>
      </w:r>
      <w:r>
        <w:rPr>
          <w:spacing w:val="-12"/>
          <w:sz w:val="22"/>
        </w:rPr>
        <w:t> </w:t>
      </w:r>
      <w:r>
        <w:rPr>
          <w:sz w:val="22"/>
        </w:rPr>
        <w:t>procesos</w:t>
      </w:r>
      <w:r>
        <w:rPr>
          <w:spacing w:val="-12"/>
          <w:sz w:val="22"/>
        </w:rPr>
        <w:t> </w:t>
      </w:r>
      <w:r>
        <w:rPr>
          <w:sz w:val="22"/>
        </w:rPr>
        <w:t>administrativo-financieros,</w:t>
      </w:r>
      <w:r>
        <w:rPr>
          <w:spacing w:val="-11"/>
          <w:sz w:val="22"/>
        </w:rPr>
        <w:t> </w:t>
      </w:r>
      <w:r>
        <w:rPr>
          <w:sz w:val="22"/>
        </w:rPr>
        <w:t>con</w:t>
      </w:r>
      <w:r>
        <w:rPr>
          <w:spacing w:val="-10"/>
          <w:sz w:val="22"/>
        </w:rPr>
        <w:t> </w:t>
      </w:r>
      <w:r>
        <w:rPr>
          <w:sz w:val="22"/>
        </w:rPr>
        <w:t>el</w:t>
      </w:r>
      <w:r>
        <w:rPr>
          <w:spacing w:val="-13"/>
          <w:sz w:val="22"/>
        </w:rPr>
        <w:t> </w:t>
      </w:r>
      <w:r>
        <w:rPr>
          <w:sz w:val="22"/>
        </w:rPr>
        <w:t>fin</w:t>
      </w:r>
      <w:r>
        <w:rPr>
          <w:spacing w:val="-15"/>
          <w:sz w:val="22"/>
        </w:rPr>
        <w:t> </w:t>
      </w:r>
      <w:r>
        <w:rPr>
          <w:sz w:val="22"/>
        </w:rPr>
        <w:t>de</w:t>
      </w:r>
      <w:r>
        <w:rPr>
          <w:spacing w:val="-10"/>
          <w:sz w:val="22"/>
        </w:rPr>
        <w:t> </w:t>
      </w:r>
      <w:r>
        <w:rPr>
          <w:sz w:val="22"/>
        </w:rPr>
        <w:t>cumplir</w:t>
      </w:r>
      <w:r>
        <w:rPr>
          <w:spacing w:val="-9"/>
          <w:sz w:val="22"/>
        </w:rPr>
        <w:t> </w:t>
      </w:r>
      <w:r>
        <w:rPr>
          <w:sz w:val="22"/>
        </w:rPr>
        <w:t>con</w:t>
      </w:r>
      <w:r>
        <w:rPr>
          <w:spacing w:val="-10"/>
          <w:sz w:val="22"/>
        </w:rPr>
        <w:t> </w:t>
      </w:r>
      <w:r>
        <w:rPr>
          <w:sz w:val="22"/>
        </w:rPr>
        <w:t>los</w:t>
      </w:r>
      <w:r>
        <w:rPr>
          <w:spacing w:val="-12"/>
          <w:sz w:val="22"/>
        </w:rPr>
        <w:t> </w:t>
      </w:r>
      <w:r>
        <w:rPr>
          <w:sz w:val="22"/>
        </w:rPr>
        <w:t>objetivos y metas institucionales, por medio de la dotación e implementación de recursos tecnológicos, la simplificación de trámites y la mejora normativa.</w:t>
      </w:r>
    </w:p>
    <w:p>
      <w:pPr>
        <w:pStyle w:val="ListParagraph"/>
        <w:numPr>
          <w:ilvl w:val="0"/>
          <w:numId w:val="23"/>
        </w:numPr>
        <w:tabs>
          <w:tab w:pos="1626" w:val="left" w:leader="none"/>
          <w:tab w:pos="1628" w:val="left" w:leader="none"/>
        </w:tabs>
        <w:spacing w:line="240" w:lineRule="auto" w:before="3" w:after="0"/>
        <w:ind w:left="1628" w:right="1251" w:hanging="361"/>
        <w:jc w:val="both"/>
        <w:rPr>
          <w:sz w:val="22"/>
        </w:rPr>
      </w:pPr>
      <w:r>
        <w:rPr>
          <w:sz w:val="22"/>
        </w:rPr>
        <w:t>Realizar</w:t>
      </w:r>
      <w:r>
        <w:rPr>
          <w:spacing w:val="-3"/>
          <w:sz w:val="22"/>
        </w:rPr>
        <w:t> </w:t>
      </w:r>
      <w:r>
        <w:rPr>
          <w:sz w:val="22"/>
        </w:rPr>
        <w:t>una</w:t>
      </w:r>
      <w:r>
        <w:rPr>
          <w:spacing w:val="-4"/>
          <w:sz w:val="22"/>
        </w:rPr>
        <w:t> </w:t>
      </w:r>
      <w:r>
        <w:rPr>
          <w:sz w:val="22"/>
        </w:rPr>
        <w:t>efectiva captación y</w:t>
      </w:r>
      <w:r>
        <w:rPr>
          <w:spacing w:val="-6"/>
          <w:sz w:val="22"/>
        </w:rPr>
        <w:t> </w:t>
      </w:r>
      <w:r>
        <w:rPr>
          <w:sz w:val="22"/>
        </w:rPr>
        <w:t>gestión</w:t>
      </w:r>
      <w:r>
        <w:rPr>
          <w:spacing w:val="-4"/>
          <w:sz w:val="22"/>
        </w:rPr>
        <w:t> </w:t>
      </w:r>
      <w:r>
        <w:rPr>
          <w:sz w:val="22"/>
        </w:rPr>
        <w:t>de recursos, con el</w:t>
      </w:r>
      <w:r>
        <w:rPr>
          <w:spacing w:val="-7"/>
          <w:sz w:val="22"/>
        </w:rPr>
        <w:t> </w:t>
      </w:r>
      <w:r>
        <w:rPr>
          <w:sz w:val="22"/>
        </w:rPr>
        <w:t>objetivo</w:t>
      </w:r>
      <w:r>
        <w:rPr>
          <w:spacing w:val="-4"/>
          <w:sz w:val="22"/>
        </w:rPr>
        <w:t> </w:t>
      </w:r>
      <w:r>
        <w:rPr>
          <w:sz w:val="22"/>
        </w:rPr>
        <w:t>de</w:t>
      </w:r>
      <w:r>
        <w:rPr>
          <w:spacing w:val="-4"/>
          <w:sz w:val="22"/>
        </w:rPr>
        <w:t> </w:t>
      </w:r>
      <w:r>
        <w:rPr>
          <w:sz w:val="22"/>
        </w:rPr>
        <w:t>mantener</w:t>
      </w:r>
      <w:r>
        <w:rPr>
          <w:spacing w:val="-3"/>
          <w:sz w:val="22"/>
        </w:rPr>
        <w:t> </w:t>
      </w:r>
      <w:r>
        <w:rPr>
          <w:sz w:val="22"/>
        </w:rPr>
        <w:t>la sostenibilidad financiera de la institución y sus Programas Sociales, por medio de la implementación</w:t>
      </w:r>
      <w:r>
        <w:rPr>
          <w:spacing w:val="-6"/>
          <w:sz w:val="22"/>
        </w:rPr>
        <w:t> </w:t>
      </w:r>
      <w:r>
        <w:rPr>
          <w:sz w:val="22"/>
        </w:rPr>
        <w:t>de</w:t>
      </w:r>
      <w:r>
        <w:rPr>
          <w:spacing w:val="-6"/>
          <w:sz w:val="22"/>
        </w:rPr>
        <w:t> </w:t>
      </w:r>
      <w:r>
        <w:rPr>
          <w:sz w:val="22"/>
        </w:rPr>
        <w:t>una</w:t>
      </w:r>
      <w:r>
        <w:rPr>
          <w:spacing w:val="-6"/>
          <w:sz w:val="22"/>
        </w:rPr>
        <w:t> </w:t>
      </w:r>
      <w:r>
        <w:rPr>
          <w:sz w:val="22"/>
        </w:rPr>
        <w:t>estrategia</w:t>
      </w:r>
      <w:r>
        <w:rPr>
          <w:spacing w:val="-6"/>
          <w:sz w:val="22"/>
        </w:rPr>
        <w:t> </w:t>
      </w:r>
      <w:r>
        <w:rPr>
          <w:sz w:val="22"/>
        </w:rPr>
        <w:t>de</w:t>
      </w:r>
      <w:r>
        <w:rPr>
          <w:spacing w:val="-2"/>
          <w:sz w:val="22"/>
        </w:rPr>
        <w:t> </w:t>
      </w:r>
      <w:r>
        <w:rPr>
          <w:sz w:val="22"/>
        </w:rPr>
        <w:t>recaudación,</w:t>
      </w:r>
      <w:r>
        <w:rPr>
          <w:spacing w:val="-2"/>
          <w:sz w:val="22"/>
        </w:rPr>
        <w:t> </w:t>
      </w:r>
      <w:r>
        <w:rPr>
          <w:sz w:val="22"/>
        </w:rPr>
        <w:t>y</w:t>
      </w:r>
      <w:r>
        <w:rPr>
          <w:spacing w:val="-8"/>
          <w:sz w:val="22"/>
        </w:rPr>
        <w:t> </w:t>
      </w:r>
      <w:r>
        <w:rPr>
          <w:sz w:val="22"/>
        </w:rPr>
        <w:t>de</w:t>
      </w:r>
      <w:r>
        <w:rPr>
          <w:spacing w:val="-6"/>
          <w:sz w:val="22"/>
        </w:rPr>
        <w:t> </w:t>
      </w:r>
      <w:r>
        <w:rPr>
          <w:sz w:val="22"/>
        </w:rPr>
        <w:t>búsqueda</w:t>
      </w:r>
      <w:r>
        <w:rPr>
          <w:spacing w:val="-6"/>
          <w:sz w:val="22"/>
        </w:rPr>
        <w:t> </w:t>
      </w:r>
      <w:r>
        <w:rPr>
          <w:sz w:val="22"/>
        </w:rPr>
        <w:t>de</w:t>
      </w:r>
      <w:r>
        <w:rPr>
          <w:spacing w:val="-2"/>
          <w:sz w:val="22"/>
        </w:rPr>
        <w:t> </w:t>
      </w:r>
      <w:r>
        <w:rPr>
          <w:sz w:val="22"/>
        </w:rPr>
        <w:t>nuevas</w:t>
      </w:r>
      <w:r>
        <w:rPr>
          <w:spacing w:val="-8"/>
          <w:sz w:val="22"/>
        </w:rPr>
        <w:t> </w:t>
      </w:r>
      <w:r>
        <w:rPr>
          <w:sz w:val="22"/>
        </w:rPr>
        <w:t>fuentes de financiamiento.</w:t>
      </w:r>
    </w:p>
    <w:p>
      <w:pPr>
        <w:pStyle w:val="ListParagraph"/>
        <w:numPr>
          <w:ilvl w:val="0"/>
          <w:numId w:val="23"/>
        </w:numPr>
        <w:tabs>
          <w:tab w:pos="1626" w:val="left" w:leader="none"/>
          <w:tab w:pos="1628" w:val="left" w:leader="none"/>
        </w:tabs>
        <w:spacing w:line="237" w:lineRule="auto" w:before="1" w:after="0"/>
        <w:ind w:left="1628" w:right="1246" w:hanging="361"/>
        <w:jc w:val="both"/>
        <w:rPr>
          <w:sz w:val="22"/>
        </w:rPr>
      </w:pPr>
      <w:r>
        <w:rPr>
          <w:sz w:val="22"/>
        </w:rPr>
        <w:t>Brindar</w:t>
      </w:r>
      <w:r>
        <w:rPr>
          <w:spacing w:val="-9"/>
          <w:sz w:val="22"/>
        </w:rPr>
        <w:t> </w:t>
      </w:r>
      <w:r>
        <w:rPr>
          <w:sz w:val="22"/>
        </w:rPr>
        <w:t>orientaciones</w:t>
      </w:r>
      <w:r>
        <w:rPr>
          <w:spacing w:val="-7"/>
          <w:sz w:val="22"/>
        </w:rPr>
        <w:t> </w:t>
      </w:r>
      <w:r>
        <w:rPr>
          <w:sz w:val="22"/>
        </w:rPr>
        <w:t>estratégicas,</w:t>
      </w:r>
      <w:r>
        <w:rPr>
          <w:spacing w:val="-6"/>
          <w:sz w:val="22"/>
        </w:rPr>
        <w:t> </w:t>
      </w:r>
      <w:r>
        <w:rPr>
          <w:sz w:val="22"/>
        </w:rPr>
        <w:t>que</w:t>
      </w:r>
      <w:r>
        <w:rPr>
          <w:spacing w:val="-5"/>
          <w:sz w:val="22"/>
        </w:rPr>
        <w:t> </w:t>
      </w:r>
      <w:r>
        <w:rPr>
          <w:sz w:val="22"/>
        </w:rPr>
        <w:t>conlleven</w:t>
      </w:r>
      <w:r>
        <w:rPr>
          <w:spacing w:val="-10"/>
          <w:sz w:val="22"/>
        </w:rPr>
        <w:t> </w:t>
      </w:r>
      <w:r>
        <w:rPr>
          <w:sz w:val="22"/>
        </w:rPr>
        <w:t>al</w:t>
      </w:r>
      <w:r>
        <w:rPr>
          <w:spacing w:val="-8"/>
          <w:sz w:val="22"/>
        </w:rPr>
        <w:t> </w:t>
      </w:r>
      <w:r>
        <w:rPr>
          <w:sz w:val="22"/>
        </w:rPr>
        <w:t>cumplimiento</w:t>
      </w:r>
      <w:r>
        <w:rPr>
          <w:spacing w:val="-10"/>
          <w:sz w:val="22"/>
        </w:rPr>
        <w:t> </w:t>
      </w:r>
      <w:r>
        <w:rPr>
          <w:sz w:val="22"/>
        </w:rPr>
        <w:t>de</w:t>
      </w:r>
      <w:r>
        <w:rPr>
          <w:spacing w:val="-5"/>
          <w:sz w:val="22"/>
        </w:rPr>
        <w:t> </w:t>
      </w:r>
      <w:r>
        <w:rPr>
          <w:sz w:val="22"/>
        </w:rPr>
        <w:t>la</w:t>
      </w:r>
      <w:r>
        <w:rPr>
          <w:spacing w:val="-10"/>
          <w:sz w:val="22"/>
        </w:rPr>
        <w:t> </w:t>
      </w:r>
      <w:r>
        <w:rPr>
          <w:sz w:val="22"/>
        </w:rPr>
        <w:t>misión,</w:t>
      </w:r>
      <w:r>
        <w:rPr>
          <w:spacing w:val="-6"/>
          <w:sz w:val="22"/>
        </w:rPr>
        <w:t> </w:t>
      </w:r>
      <w:r>
        <w:rPr>
          <w:sz w:val="22"/>
        </w:rPr>
        <w:t>visión y</w:t>
      </w:r>
      <w:r>
        <w:rPr>
          <w:spacing w:val="-13"/>
          <w:sz w:val="22"/>
        </w:rPr>
        <w:t> </w:t>
      </w:r>
      <w:r>
        <w:rPr>
          <w:sz w:val="22"/>
        </w:rPr>
        <w:t>objetivos</w:t>
      </w:r>
      <w:r>
        <w:rPr>
          <w:spacing w:val="-12"/>
          <w:sz w:val="22"/>
        </w:rPr>
        <w:t> </w:t>
      </w:r>
      <w:r>
        <w:rPr>
          <w:sz w:val="22"/>
        </w:rPr>
        <w:t>institucionales,</w:t>
      </w:r>
      <w:r>
        <w:rPr>
          <w:spacing w:val="-11"/>
          <w:sz w:val="22"/>
        </w:rPr>
        <w:t> </w:t>
      </w:r>
      <w:r>
        <w:rPr>
          <w:sz w:val="22"/>
        </w:rPr>
        <w:t>sobre</w:t>
      </w:r>
      <w:r>
        <w:rPr>
          <w:spacing w:val="-10"/>
          <w:sz w:val="22"/>
        </w:rPr>
        <w:t> </w:t>
      </w:r>
      <w:r>
        <w:rPr>
          <w:sz w:val="22"/>
        </w:rPr>
        <w:t>la</w:t>
      </w:r>
      <w:r>
        <w:rPr>
          <w:spacing w:val="-10"/>
          <w:sz w:val="22"/>
        </w:rPr>
        <w:t> </w:t>
      </w:r>
      <w:r>
        <w:rPr>
          <w:sz w:val="22"/>
        </w:rPr>
        <w:t>base</w:t>
      </w:r>
      <w:r>
        <w:rPr>
          <w:spacing w:val="-10"/>
          <w:sz w:val="22"/>
        </w:rPr>
        <w:t> </w:t>
      </w:r>
      <w:r>
        <w:rPr>
          <w:sz w:val="22"/>
        </w:rPr>
        <w:t>de</w:t>
      </w:r>
      <w:r>
        <w:rPr>
          <w:spacing w:val="-10"/>
          <w:sz w:val="22"/>
        </w:rPr>
        <w:t> </w:t>
      </w:r>
      <w:r>
        <w:rPr>
          <w:sz w:val="22"/>
        </w:rPr>
        <w:t>efectivos</w:t>
      </w:r>
      <w:r>
        <w:rPr>
          <w:spacing w:val="-12"/>
          <w:sz w:val="22"/>
        </w:rPr>
        <w:t> </w:t>
      </w:r>
      <w:r>
        <w:rPr>
          <w:sz w:val="22"/>
        </w:rPr>
        <w:t>procesos</w:t>
      </w:r>
      <w:r>
        <w:rPr>
          <w:spacing w:val="-16"/>
          <w:sz w:val="22"/>
        </w:rPr>
        <w:t> </w:t>
      </w:r>
      <w:r>
        <w:rPr>
          <w:sz w:val="22"/>
        </w:rPr>
        <w:t>de</w:t>
      </w:r>
      <w:r>
        <w:rPr>
          <w:spacing w:val="-9"/>
          <w:sz w:val="22"/>
        </w:rPr>
        <w:t> </w:t>
      </w:r>
      <w:r>
        <w:rPr>
          <w:sz w:val="22"/>
        </w:rPr>
        <w:t>toma</w:t>
      </w:r>
      <w:r>
        <w:rPr>
          <w:spacing w:val="-15"/>
          <w:sz w:val="22"/>
        </w:rPr>
        <w:t> </w:t>
      </w:r>
      <w:r>
        <w:rPr>
          <w:sz w:val="22"/>
        </w:rPr>
        <w:t>de</w:t>
      </w:r>
      <w:r>
        <w:rPr>
          <w:spacing w:val="-10"/>
          <w:sz w:val="22"/>
        </w:rPr>
        <w:t> </w:t>
      </w:r>
      <w:r>
        <w:rPr>
          <w:sz w:val="22"/>
        </w:rPr>
        <w:t>decisiones y de gestión.</w:t>
      </w:r>
    </w:p>
    <w:p>
      <w:pPr>
        <w:pStyle w:val="ListParagraph"/>
        <w:numPr>
          <w:ilvl w:val="0"/>
          <w:numId w:val="23"/>
        </w:numPr>
        <w:tabs>
          <w:tab w:pos="1626" w:val="left" w:leader="none"/>
          <w:tab w:pos="1628" w:val="left" w:leader="none"/>
        </w:tabs>
        <w:spacing w:line="237" w:lineRule="auto" w:before="6" w:after="0"/>
        <w:ind w:left="1628" w:right="1245" w:hanging="361"/>
        <w:jc w:val="both"/>
        <w:rPr>
          <w:sz w:val="22"/>
        </w:rPr>
      </w:pPr>
      <w:r>
        <w:rPr>
          <w:sz w:val="22"/>
        </w:rPr>
        <w:t>Garantizar el recurso humano idóneo, para cumplir con los objetivos y metas establecidas, por medio de procesos de dotación y de fortalecimiento de las capacidades, acordes con las necesidades institucionales.</w:t>
      </w:r>
    </w:p>
    <w:p>
      <w:pPr>
        <w:pStyle w:val="ListParagraph"/>
        <w:numPr>
          <w:ilvl w:val="0"/>
          <w:numId w:val="23"/>
        </w:numPr>
        <w:tabs>
          <w:tab w:pos="1626" w:val="left" w:leader="none"/>
          <w:tab w:pos="1628" w:val="left" w:leader="none"/>
        </w:tabs>
        <w:spacing w:line="240" w:lineRule="auto" w:before="3" w:after="0"/>
        <w:ind w:left="1628" w:right="1250" w:hanging="361"/>
        <w:jc w:val="both"/>
        <w:rPr>
          <w:sz w:val="22"/>
        </w:rPr>
      </w:pPr>
      <w:r>
        <w:rPr>
          <w:sz w:val="22"/>
        </w:rPr>
        <w:t>Satisfacer las necesidades internas de bienes y servicios, para garantizar la operatividad y la mejora continua de la institución, mediante una eficiente ejecución </w:t>
      </w:r>
      <w:r>
        <w:rPr>
          <w:spacing w:val="-2"/>
          <w:sz w:val="22"/>
        </w:rPr>
        <w:t>presupuestaria.</w:t>
      </w:r>
    </w:p>
    <w:p>
      <w:pPr>
        <w:pStyle w:val="BodyText"/>
      </w:pPr>
    </w:p>
    <w:p>
      <w:pPr>
        <w:pStyle w:val="Heading1"/>
        <w:numPr>
          <w:ilvl w:val="2"/>
          <w:numId w:val="5"/>
        </w:numPr>
        <w:tabs>
          <w:tab w:pos="1868" w:val="left" w:leader="none"/>
        </w:tabs>
        <w:spacing w:line="240" w:lineRule="auto" w:before="0" w:after="0"/>
        <w:ind w:left="1868" w:right="0" w:hanging="600"/>
        <w:jc w:val="left"/>
      </w:pPr>
      <w:r>
        <w:rPr/>
        <w:t>Estructura</w:t>
      </w:r>
      <w:r>
        <w:rPr>
          <w:spacing w:val="-6"/>
        </w:rPr>
        <w:t> </w:t>
      </w:r>
      <w:r>
        <w:rPr/>
        <w:t>del</w:t>
      </w:r>
      <w:r>
        <w:rPr>
          <w:spacing w:val="-5"/>
        </w:rPr>
        <w:t> </w:t>
      </w:r>
      <w:r>
        <w:rPr>
          <w:spacing w:val="-2"/>
        </w:rPr>
        <w:t>Programa</w:t>
      </w:r>
    </w:p>
    <w:p>
      <w:pPr>
        <w:pStyle w:val="BodyText"/>
        <w:spacing w:before="275"/>
        <w:ind w:left="1268" w:right="1250"/>
        <w:jc w:val="both"/>
      </w:pPr>
      <w:r>
        <w:rPr/>
        <w:t>Desde el punto de vista organizacional, el Programa de Actividades Centrales se divide en tres grandes áreas de acción: Soporte Administrativo, Captación de Recursos y Dirección Superior y Asesores, según el siguiente detalle.</w:t>
      </w:r>
    </w:p>
    <w:p>
      <w:pPr>
        <w:pStyle w:val="BodyText"/>
        <w:spacing w:before="1"/>
      </w:pPr>
    </w:p>
    <w:p>
      <w:pPr>
        <w:pStyle w:val="Heading2"/>
        <w:numPr>
          <w:ilvl w:val="0"/>
          <w:numId w:val="24"/>
        </w:numPr>
        <w:tabs>
          <w:tab w:pos="1627" w:val="left" w:leader="none"/>
        </w:tabs>
        <w:spacing w:line="240" w:lineRule="auto" w:before="1" w:after="0"/>
        <w:ind w:left="1627" w:right="0" w:hanging="359"/>
        <w:jc w:val="left"/>
      </w:pPr>
      <w:r>
        <w:rPr/>
        <w:t>Soporte</w:t>
      </w:r>
      <w:r>
        <w:rPr>
          <w:spacing w:val="-8"/>
        </w:rPr>
        <w:t> </w:t>
      </w:r>
      <w:r>
        <w:rPr/>
        <w:t>Administrativo</w:t>
      </w:r>
      <w:r>
        <w:rPr>
          <w:spacing w:val="-13"/>
        </w:rPr>
        <w:t> </w:t>
      </w:r>
      <w:r>
        <w:rPr>
          <w:spacing w:val="-2"/>
        </w:rPr>
        <w:t>comprende:</w:t>
      </w:r>
    </w:p>
    <w:p>
      <w:pPr>
        <w:pStyle w:val="BodyText"/>
        <w:spacing w:before="251"/>
        <w:ind w:left="1268" w:right="1243"/>
        <w:jc w:val="both"/>
      </w:pPr>
      <w:r>
        <w:rPr/>
        <w:t>Está</w:t>
      </w:r>
      <w:r>
        <w:rPr>
          <w:spacing w:val="-2"/>
        </w:rPr>
        <w:t> </w:t>
      </w:r>
      <w:r>
        <w:rPr/>
        <w:t>conformado</w:t>
      </w:r>
      <w:r>
        <w:rPr>
          <w:spacing w:val="-6"/>
        </w:rPr>
        <w:t> </w:t>
      </w:r>
      <w:r>
        <w:rPr/>
        <w:t>por</w:t>
      </w:r>
      <w:r>
        <w:rPr>
          <w:spacing w:val="-5"/>
        </w:rPr>
        <w:t> </w:t>
      </w:r>
      <w:r>
        <w:rPr/>
        <w:t>tres</w:t>
      </w:r>
      <w:r>
        <w:rPr>
          <w:spacing w:val="-3"/>
        </w:rPr>
        <w:t> </w:t>
      </w:r>
      <w:r>
        <w:rPr/>
        <w:t>departamentos:</w:t>
      </w:r>
      <w:r>
        <w:rPr>
          <w:spacing w:val="-2"/>
        </w:rPr>
        <w:t> </w:t>
      </w:r>
      <w:r>
        <w:rPr/>
        <w:t>Servicios</w:t>
      </w:r>
      <w:r>
        <w:rPr>
          <w:spacing w:val="-3"/>
        </w:rPr>
        <w:t> </w:t>
      </w:r>
      <w:r>
        <w:rPr/>
        <w:t>Generales,</w:t>
      </w:r>
      <w:r>
        <w:rPr>
          <w:spacing w:val="-2"/>
        </w:rPr>
        <w:t> </w:t>
      </w:r>
      <w:r>
        <w:rPr/>
        <w:t>Proveeduría</w:t>
      </w:r>
      <w:r>
        <w:rPr>
          <w:spacing w:val="-3"/>
        </w:rPr>
        <w:t> </w:t>
      </w:r>
      <w:r>
        <w:rPr/>
        <w:t>Institucional y Administración Financiera, ésta última cuenta con tres unidades: Tesorería, Presupuesto y Contabilidad.</w:t>
      </w:r>
    </w:p>
    <w:p>
      <w:pPr>
        <w:pStyle w:val="BodyText"/>
      </w:pPr>
    </w:p>
    <w:p>
      <w:pPr>
        <w:pStyle w:val="Heading2"/>
        <w:numPr>
          <w:ilvl w:val="0"/>
          <w:numId w:val="24"/>
        </w:numPr>
        <w:tabs>
          <w:tab w:pos="1626" w:val="left" w:leader="none"/>
        </w:tabs>
        <w:spacing w:line="240" w:lineRule="auto" w:before="1" w:after="0"/>
        <w:ind w:left="1626" w:right="0" w:hanging="358"/>
        <w:jc w:val="left"/>
      </w:pPr>
      <w:r>
        <w:rPr/>
        <w:t>Captación</w:t>
      </w:r>
      <w:r>
        <w:rPr>
          <w:spacing w:val="-10"/>
        </w:rPr>
        <w:t> </w:t>
      </w:r>
      <w:r>
        <w:rPr/>
        <w:t>de</w:t>
      </w:r>
      <w:r>
        <w:rPr>
          <w:spacing w:val="-7"/>
        </w:rPr>
        <w:t> </w:t>
      </w:r>
      <w:r>
        <w:rPr/>
        <w:t>Recursos</w:t>
      </w:r>
      <w:r>
        <w:rPr>
          <w:spacing w:val="-2"/>
        </w:rPr>
        <w:t> comprende:</w:t>
      </w:r>
    </w:p>
    <w:p>
      <w:pPr>
        <w:pStyle w:val="BodyText"/>
        <w:spacing w:before="251"/>
        <w:ind w:left="1268"/>
        <w:jc w:val="both"/>
      </w:pPr>
      <w:r>
        <w:rPr/>
        <w:t>Comprende</w:t>
      </w:r>
      <w:r>
        <w:rPr>
          <w:spacing w:val="-5"/>
        </w:rPr>
        <w:t> </w:t>
      </w:r>
      <w:r>
        <w:rPr/>
        <w:t>la</w:t>
      </w:r>
      <w:r>
        <w:rPr>
          <w:spacing w:val="-5"/>
        </w:rPr>
        <w:t> </w:t>
      </w:r>
      <w:r>
        <w:rPr/>
        <w:t>Unidad</w:t>
      </w:r>
      <w:r>
        <w:rPr>
          <w:spacing w:val="-9"/>
        </w:rPr>
        <w:t> </w:t>
      </w:r>
      <w:r>
        <w:rPr/>
        <w:t>de</w:t>
      </w:r>
      <w:r>
        <w:rPr>
          <w:spacing w:val="-8"/>
        </w:rPr>
        <w:t> </w:t>
      </w:r>
      <w:r>
        <w:rPr/>
        <w:t>Administración</w:t>
      </w:r>
      <w:r>
        <w:rPr>
          <w:spacing w:val="-8"/>
        </w:rPr>
        <w:t> </w:t>
      </w:r>
      <w:r>
        <w:rPr>
          <w:spacing w:val="-2"/>
        </w:rPr>
        <w:t>Tributaria.</w:t>
      </w:r>
    </w:p>
    <w:p>
      <w:pPr>
        <w:pStyle w:val="BodyText"/>
        <w:spacing w:before="3"/>
      </w:pPr>
    </w:p>
    <w:p>
      <w:pPr>
        <w:pStyle w:val="Heading2"/>
        <w:numPr>
          <w:ilvl w:val="0"/>
          <w:numId w:val="24"/>
        </w:numPr>
        <w:tabs>
          <w:tab w:pos="1627" w:val="left" w:leader="none"/>
        </w:tabs>
        <w:spacing w:line="240" w:lineRule="auto" w:before="0" w:after="0"/>
        <w:ind w:left="1627" w:right="0" w:hanging="359"/>
        <w:jc w:val="left"/>
      </w:pPr>
      <w:r>
        <w:rPr/>
        <w:t>Dirección</w:t>
      </w:r>
      <w:r>
        <w:rPr>
          <w:spacing w:val="-10"/>
        </w:rPr>
        <w:t> </w:t>
      </w:r>
      <w:r>
        <w:rPr/>
        <w:t>Superior</w:t>
      </w:r>
      <w:r>
        <w:rPr>
          <w:spacing w:val="-4"/>
        </w:rPr>
        <w:t> </w:t>
      </w:r>
      <w:r>
        <w:rPr/>
        <w:t>y</w:t>
      </w:r>
      <w:r>
        <w:rPr>
          <w:spacing w:val="-7"/>
        </w:rPr>
        <w:t> </w:t>
      </w:r>
      <w:r>
        <w:rPr/>
        <w:t>Asesores</w:t>
      </w:r>
      <w:r>
        <w:rPr>
          <w:spacing w:val="-2"/>
        </w:rPr>
        <w:t> comprende:</w:t>
      </w:r>
    </w:p>
    <w:p>
      <w:pPr>
        <w:pStyle w:val="BodyText"/>
        <w:spacing w:before="251"/>
        <w:ind w:left="1268" w:right="1233"/>
        <w:jc w:val="both"/>
      </w:pPr>
      <w:r>
        <w:rPr/>
        <w:t>Comprende siete</w:t>
      </w:r>
      <w:r>
        <w:rPr>
          <w:spacing w:val="-4"/>
        </w:rPr>
        <w:t> </w:t>
      </w:r>
      <w:r>
        <w:rPr/>
        <w:t>órganos</w:t>
      </w:r>
      <w:r>
        <w:rPr>
          <w:spacing w:val="-1"/>
        </w:rPr>
        <w:t> </w:t>
      </w:r>
      <w:r>
        <w:rPr/>
        <w:t>de la</w:t>
      </w:r>
      <w:r>
        <w:rPr>
          <w:spacing w:val="-4"/>
        </w:rPr>
        <w:t> </w:t>
      </w:r>
      <w:r>
        <w:rPr/>
        <w:t>administración, a</w:t>
      </w:r>
      <w:r>
        <w:rPr>
          <w:spacing w:val="-4"/>
        </w:rPr>
        <w:t> </w:t>
      </w:r>
      <w:r>
        <w:rPr/>
        <w:t>saber: Dirección</w:t>
      </w:r>
      <w:r>
        <w:rPr>
          <w:spacing w:val="-4"/>
        </w:rPr>
        <w:t> </w:t>
      </w:r>
      <w:r>
        <w:rPr/>
        <w:t>Superior</w:t>
      </w:r>
      <w:r>
        <w:rPr>
          <w:spacing w:val="-3"/>
        </w:rPr>
        <w:t> </w:t>
      </w:r>
      <w:r>
        <w:rPr/>
        <w:t>(Presidencia Ejecutiva, Gerencia General, Dirección de Desarrollo Social, Dirección de Soporte Administrativo,</w:t>
      </w:r>
      <w:r>
        <w:rPr>
          <w:spacing w:val="-11"/>
        </w:rPr>
        <w:t> </w:t>
      </w:r>
      <w:r>
        <w:rPr/>
        <w:t>Dirección</w:t>
      </w:r>
      <w:r>
        <w:rPr>
          <w:spacing w:val="-15"/>
        </w:rPr>
        <w:t> </w:t>
      </w:r>
      <w:r>
        <w:rPr/>
        <w:t>de</w:t>
      </w:r>
      <w:r>
        <w:rPr>
          <w:spacing w:val="-10"/>
        </w:rPr>
        <w:t> </w:t>
      </w:r>
      <w:r>
        <w:rPr/>
        <w:t>Gestión</w:t>
      </w:r>
      <w:r>
        <w:rPr>
          <w:spacing w:val="-10"/>
        </w:rPr>
        <w:t> </w:t>
      </w:r>
      <w:r>
        <w:rPr/>
        <w:t>de</w:t>
      </w:r>
      <w:r>
        <w:rPr>
          <w:spacing w:val="-10"/>
        </w:rPr>
        <w:t> </w:t>
      </w:r>
      <w:r>
        <w:rPr/>
        <w:t>Recursos),</w:t>
      </w:r>
      <w:r>
        <w:rPr>
          <w:spacing w:val="-11"/>
        </w:rPr>
        <w:t> </w:t>
      </w:r>
      <w:r>
        <w:rPr/>
        <w:t>Planificación</w:t>
      </w:r>
      <w:r>
        <w:rPr>
          <w:spacing w:val="-10"/>
        </w:rPr>
        <w:t> </w:t>
      </w:r>
      <w:r>
        <w:rPr/>
        <w:t>Institucional,</w:t>
      </w:r>
      <w:r>
        <w:rPr>
          <w:spacing w:val="-11"/>
        </w:rPr>
        <w:t> </w:t>
      </w:r>
      <w:r>
        <w:rPr/>
        <w:t>Contraloría de Servicios, Desarrollo Humano, Tecnologías de Información, Asesoría Jurídica y Equidad e Igualdad de Género.</w:t>
      </w:r>
    </w:p>
    <w:p>
      <w:pPr>
        <w:pStyle w:val="BodyText"/>
        <w:spacing w:before="24"/>
      </w:pPr>
    </w:p>
    <w:p>
      <w:pPr>
        <w:pStyle w:val="Heading1"/>
        <w:numPr>
          <w:ilvl w:val="1"/>
          <w:numId w:val="5"/>
        </w:numPr>
        <w:tabs>
          <w:tab w:pos="2534" w:val="left" w:leader="none"/>
        </w:tabs>
        <w:spacing w:line="240" w:lineRule="auto" w:before="0" w:after="0"/>
        <w:ind w:left="2534" w:right="0" w:hanging="402"/>
        <w:jc w:val="left"/>
      </w:pPr>
      <w:bookmarkStart w:name="_bookmark45" w:id="46"/>
      <w:bookmarkEnd w:id="46"/>
      <w:r>
        <w:rPr>
          <w:b w:val="0"/>
        </w:rPr>
      </w:r>
      <w:r>
        <w:rPr/>
        <w:t>Programa</w:t>
      </w:r>
      <w:r>
        <w:rPr>
          <w:spacing w:val="-5"/>
        </w:rPr>
        <w:t> </w:t>
      </w:r>
      <w:r>
        <w:rPr/>
        <w:t>de</w:t>
      </w:r>
      <w:r>
        <w:rPr>
          <w:spacing w:val="-5"/>
        </w:rPr>
        <w:t> </w:t>
      </w:r>
      <w:r>
        <w:rPr/>
        <w:t>Empresas</w:t>
      </w:r>
      <w:r>
        <w:rPr>
          <w:spacing w:val="-4"/>
        </w:rPr>
        <w:t> </w:t>
      </w:r>
      <w:r>
        <w:rPr>
          <w:spacing w:val="-2"/>
        </w:rPr>
        <w:t>Comerciales</w:t>
      </w:r>
    </w:p>
    <w:p>
      <w:pPr>
        <w:pStyle w:val="BodyText"/>
        <w:rPr>
          <w:b/>
          <w:sz w:val="24"/>
        </w:rPr>
      </w:pPr>
    </w:p>
    <w:p>
      <w:pPr>
        <w:pStyle w:val="ListParagraph"/>
        <w:numPr>
          <w:ilvl w:val="2"/>
          <w:numId w:val="5"/>
        </w:numPr>
        <w:tabs>
          <w:tab w:pos="2733" w:val="left" w:leader="none"/>
        </w:tabs>
        <w:spacing w:line="240" w:lineRule="auto" w:before="0" w:after="0"/>
        <w:ind w:left="2733" w:right="0" w:hanging="601"/>
        <w:jc w:val="left"/>
        <w:rPr>
          <w:b/>
          <w:sz w:val="24"/>
        </w:rPr>
      </w:pPr>
      <w:r>
        <w:rPr>
          <w:b/>
          <w:sz w:val="24"/>
        </w:rPr>
        <w:t>Descripción</w:t>
      </w:r>
      <w:r>
        <w:rPr>
          <w:b/>
          <w:spacing w:val="-6"/>
          <w:sz w:val="24"/>
        </w:rPr>
        <w:t> </w:t>
      </w:r>
      <w:r>
        <w:rPr>
          <w:b/>
          <w:sz w:val="24"/>
        </w:rPr>
        <w:t>del</w:t>
      </w:r>
      <w:r>
        <w:rPr>
          <w:b/>
          <w:spacing w:val="-6"/>
          <w:sz w:val="24"/>
        </w:rPr>
        <w:t> </w:t>
      </w:r>
      <w:r>
        <w:rPr>
          <w:b/>
          <w:spacing w:val="-2"/>
          <w:sz w:val="24"/>
        </w:rPr>
        <w:t>Programa</w:t>
      </w:r>
    </w:p>
    <w:p>
      <w:pPr>
        <w:pStyle w:val="BodyText"/>
        <w:rPr>
          <w:b/>
          <w:sz w:val="24"/>
        </w:rPr>
      </w:pPr>
    </w:p>
    <w:p>
      <w:pPr>
        <w:pStyle w:val="BodyText"/>
        <w:ind w:left="1268"/>
        <w:jc w:val="both"/>
      </w:pPr>
      <w:r>
        <w:rPr/>
        <w:t>La</w:t>
      </w:r>
      <w:r>
        <w:rPr>
          <w:spacing w:val="-11"/>
        </w:rPr>
        <w:t> </w:t>
      </w:r>
      <w:r>
        <w:rPr/>
        <w:t>Ley</w:t>
      </w:r>
      <w:r>
        <w:rPr>
          <w:spacing w:val="-13"/>
        </w:rPr>
        <w:t> </w:t>
      </w:r>
      <w:r>
        <w:rPr/>
        <w:t>de</w:t>
      </w:r>
      <w:r>
        <w:rPr>
          <w:spacing w:val="-6"/>
        </w:rPr>
        <w:t> </w:t>
      </w:r>
      <w:r>
        <w:rPr/>
        <w:t>Creación</w:t>
      </w:r>
      <w:r>
        <w:rPr>
          <w:spacing w:val="-11"/>
        </w:rPr>
        <w:t> </w:t>
      </w:r>
      <w:r>
        <w:rPr/>
        <w:t>del</w:t>
      </w:r>
      <w:r>
        <w:rPr>
          <w:spacing w:val="-9"/>
        </w:rPr>
        <w:t> </w:t>
      </w:r>
      <w:r>
        <w:rPr/>
        <w:t>Instituto</w:t>
      </w:r>
      <w:r>
        <w:rPr>
          <w:spacing w:val="-6"/>
        </w:rPr>
        <w:t> </w:t>
      </w:r>
      <w:r>
        <w:rPr/>
        <w:t>Mixto</w:t>
      </w:r>
      <w:r>
        <w:rPr>
          <w:spacing w:val="-11"/>
        </w:rPr>
        <w:t> </w:t>
      </w:r>
      <w:r>
        <w:rPr/>
        <w:t>de</w:t>
      </w:r>
      <w:r>
        <w:rPr>
          <w:spacing w:val="-11"/>
        </w:rPr>
        <w:t> </w:t>
      </w:r>
      <w:r>
        <w:rPr/>
        <w:t>Ayuda</w:t>
      </w:r>
      <w:r>
        <w:rPr>
          <w:spacing w:val="-6"/>
        </w:rPr>
        <w:t> </w:t>
      </w:r>
      <w:r>
        <w:rPr/>
        <w:t>Social,</w:t>
      </w:r>
      <w:r>
        <w:rPr>
          <w:spacing w:val="-12"/>
        </w:rPr>
        <w:t> </w:t>
      </w:r>
      <w:r>
        <w:rPr/>
        <w:t>establece</w:t>
      </w:r>
      <w:r>
        <w:rPr>
          <w:spacing w:val="-11"/>
        </w:rPr>
        <w:t> </w:t>
      </w:r>
      <w:r>
        <w:rPr/>
        <w:t>en</w:t>
      </w:r>
      <w:r>
        <w:rPr>
          <w:spacing w:val="-6"/>
        </w:rPr>
        <w:t> </w:t>
      </w:r>
      <w:r>
        <w:rPr/>
        <w:t>su</w:t>
      </w:r>
      <w:r>
        <w:rPr>
          <w:spacing w:val="-6"/>
        </w:rPr>
        <w:t> </w:t>
      </w:r>
      <w:r>
        <w:rPr/>
        <w:t>artículo</w:t>
      </w:r>
      <w:r>
        <w:rPr>
          <w:spacing w:val="-6"/>
        </w:rPr>
        <w:t> </w:t>
      </w:r>
      <w:r>
        <w:rPr/>
        <w:t>14</w:t>
      </w:r>
      <w:r>
        <w:rPr>
          <w:spacing w:val="-6"/>
        </w:rPr>
        <w:t> </w:t>
      </w:r>
      <w:r>
        <w:rPr>
          <w:spacing w:val="-2"/>
        </w:rPr>
        <w:t>inciso</w:t>
      </w:r>
    </w:p>
    <w:p>
      <w:pPr>
        <w:pStyle w:val="BodyText"/>
        <w:spacing w:before="1"/>
        <w:ind w:left="1268" w:right="1238"/>
        <w:jc w:val="both"/>
      </w:pPr>
      <w:r>
        <w:rPr/>
        <w:t>h) el derecho exclusivo de explotación de las tiendas libres de derecho en puertos, fronteras y aeropuertos internacionales, por parte del IMAS; constituyéndose en la consolidación</w:t>
      </w:r>
      <w:r>
        <w:rPr>
          <w:spacing w:val="-9"/>
        </w:rPr>
        <w:t> </w:t>
      </w:r>
      <w:r>
        <w:rPr/>
        <w:t>normativa</w:t>
      </w:r>
      <w:r>
        <w:rPr>
          <w:spacing w:val="-9"/>
        </w:rPr>
        <w:t> </w:t>
      </w:r>
      <w:r>
        <w:rPr/>
        <w:t>de</w:t>
      </w:r>
      <w:r>
        <w:rPr>
          <w:spacing w:val="-4"/>
        </w:rPr>
        <w:t> </w:t>
      </w:r>
      <w:r>
        <w:rPr/>
        <w:t>la</w:t>
      </w:r>
      <w:r>
        <w:rPr>
          <w:spacing w:val="-9"/>
        </w:rPr>
        <w:t> </w:t>
      </w:r>
      <w:r>
        <w:rPr/>
        <w:t>asignación,</w:t>
      </w:r>
      <w:r>
        <w:rPr>
          <w:spacing w:val="-10"/>
        </w:rPr>
        <w:t> </w:t>
      </w:r>
      <w:r>
        <w:rPr/>
        <w:t>que</w:t>
      </w:r>
      <w:r>
        <w:rPr>
          <w:spacing w:val="-9"/>
        </w:rPr>
        <w:t> </w:t>
      </w:r>
      <w:r>
        <w:rPr/>
        <w:t>desde</w:t>
      </w:r>
      <w:r>
        <w:rPr>
          <w:spacing w:val="-9"/>
        </w:rPr>
        <w:t> </w:t>
      </w:r>
      <w:r>
        <w:rPr/>
        <w:t>1972,</w:t>
      </w:r>
      <w:r>
        <w:rPr>
          <w:spacing w:val="-5"/>
        </w:rPr>
        <w:t> </w:t>
      </w:r>
      <w:r>
        <w:rPr/>
        <w:t>se</w:t>
      </w:r>
      <w:r>
        <w:rPr>
          <w:spacing w:val="-9"/>
        </w:rPr>
        <w:t> </w:t>
      </w:r>
      <w:r>
        <w:rPr/>
        <w:t>efectuó</w:t>
      </w:r>
      <w:r>
        <w:rPr>
          <w:spacing w:val="-9"/>
        </w:rPr>
        <w:t> </w:t>
      </w:r>
      <w:r>
        <w:rPr/>
        <w:t>de</w:t>
      </w:r>
      <w:r>
        <w:rPr>
          <w:spacing w:val="-9"/>
        </w:rPr>
        <w:t> </w:t>
      </w:r>
      <w:r>
        <w:rPr/>
        <w:t>dicha</w:t>
      </w:r>
      <w:r>
        <w:rPr>
          <w:spacing w:val="-9"/>
        </w:rPr>
        <w:t> </w:t>
      </w:r>
      <w:r>
        <w:rPr/>
        <w:t>fuente</w:t>
      </w:r>
      <w:r>
        <w:rPr>
          <w:spacing w:val="-9"/>
        </w:rPr>
        <w:t> </w:t>
      </w:r>
      <w:r>
        <w:rPr/>
        <w:t>de ingresos a la institución.</w:t>
      </w:r>
    </w:p>
    <w:p>
      <w:pPr>
        <w:pStyle w:val="BodyText"/>
        <w:spacing w:after="0"/>
        <w:jc w:val="both"/>
        <w:sectPr>
          <w:pgSz w:w="12240" w:h="15840"/>
          <w:pgMar w:header="0" w:footer="1101" w:top="880" w:bottom="1300" w:left="720" w:right="360"/>
        </w:sectPr>
      </w:pPr>
    </w:p>
    <w:p>
      <w:pPr>
        <w:pStyle w:val="BodyText"/>
        <w:spacing w:before="80"/>
        <w:ind w:left="1268" w:right="1238"/>
        <w:jc w:val="both"/>
      </w:pPr>
      <w:r>
        <w:rPr/>
        <w:t>En la actualidad el IMAS dispone de siete tiendas en el Aeropuerto Internacional Juan Santamaría (AIJS); donde se operan cinco puntos de ventas en el área de salidas internacionales del país y dos en el área de llegadas a Costa Rica.</w:t>
      </w:r>
    </w:p>
    <w:p>
      <w:pPr>
        <w:pStyle w:val="BodyText"/>
        <w:spacing w:before="1"/>
      </w:pPr>
    </w:p>
    <w:p>
      <w:pPr>
        <w:pStyle w:val="BodyText"/>
        <w:ind w:left="1268" w:right="1240"/>
        <w:jc w:val="both"/>
      </w:pPr>
      <w:r>
        <w:rPr/>
        <w:t>En</w:t>
      </w:r>
      <w:r>
        <w:rPr>
          <w:spacing w:val="-6"/>
        </w:rPr>
        <w:t> </w:t>
      </w:r>
      <w:r>
        <w:rPr/>
        <w:t>lo</w:t>
      </w:r>
      <w:r>
        <w:rPr>
          <w:spacing w:val="-11"/>
        </w:rPr>
        <w:t> </w:t>
      </w:r>
      <w:r>
        <w:rPr/>
        <w:t>que</w:t>
      </w:r>
      <w:r>
        <w:rPr>
          <w:spacing w:val="-6"/>
        </w:rPr>
        <w:t> </w:t>
      </w:r>
      <w:r>
        <w:rPr/>
        <w:t>respecta</w:t>
      </w:r>
      <w:r>
        <w:rPr>
          <w:spacing w:val="-11"/>
        </w:rPr>
        <w:t> </w:t>
      </w:r>
      <w:r>
        <w:rPr/>
        <w:t>al</w:t>
      </w:r>
      <w:r>
        <w:rPr>
          <w:spacing w:val="-9"/>
        </w:rPr>
        <w:t> </w:t>
      </w:r>
      <w:r>
        <w:rPr/>
        <w:t>Aeropuerto</w:t>
      </w:r>
      <w:r>
        <w:rPr>
          <w:spacing w:val="-11"/>
        </w:rPr>
        <w:t> </w:t>
      </w:r>
      <w:r>
        <w:rPr/>
        <w:t>Internacional</w:t>
      </w:r>
      <w:r>
        <w:rPr>
          <w:spacing w:val="-9"/>
        </w:rPr>
        <w:t> </w:t>
      </w:r>
      <w:r>
        <w:rPr/>
        <w:t>Daniel</w:t>
      </w:r>
      <w:r>
        <w:rPr>
          <w:spacing w:val="-14"/>
        </w:rPr>
        <w:t> </w:t>
      </w:r>
      <w:r>
        <w:rPr/>
        <w:t>Oduber</w:t>
      </w:r>
      <w:r>
        <w:rPr>
          <w:spacing w:val="-10"/>
        </w:rPr>
        <w:t> </w:t>
      </w:r>
      <w:r>
        <w:rPr/>
        <w:t>Quirós</w:t>
      </w:r>
      <w:r>
        <w:rPr>
          <w:spacing w:val="-8"/>
        </w:rPr>
        <w:t> </w:t>
      </w:r>
      <w:r>
        <w:rPr/>
        <w:t>(AIDOQ),</w:t>
      </w:r>
      <w:r>
        <w:rPr>
          <w:spacing w:val="-12"/>
        </w:rPr>
        <w:t> </w:t>
      </w:r>
      <w:r>
        <w:rPr/>
        <w:t>se</w:t>
      </w:r>
      <w:r>
        <w:rPr>
          <w:spacing w:val="-6"/>
        </w:rPr>
        <w:t> </w:t>
      </w:r>
      <w:r>
        <w:rPr/>
        <w:t>cuenta con dos tiendas; una en salidas internacionales y otra en llegadas a Costa Rica.</w:t>
      </w:r>
    </w:p>
    <w:p>
      <w:pPr>
        <w:pStyle w:val="BodyText"/>
      </w:pPr>
    </w:p>
    <w:p>
      <w:pPr>
        <w:pStyle w:val="BodyText"/>
        <w:ind w:left="1268" w:right="1238"/>
        <w:jc w:val="both"/>
      </w:pPr>
      <w:r>
        <w:rPr/>
        <w:t>Empresas Comerciales del IMAS constituye un órgano-empresa, que desarrolla actividades comerciales de venta de mercancías libres de impuestos, en un entorno en competencia</w:t>
      </w:r>
      <w:r>
        <w:rPr>
          <w:spacing w:val="-3"/>
        </w:rPr>
        <w:t> </w:t>
      </w:r>
      <w:r>
        <w:rPr/>
        <w:t>con</w:t>
      </w:r>
      <w:r>
        <w:rPr>
          <w:spacing w:val="-5"/>
        </w:rPr>
        <w:t> </w:t>
      </w:r>
      <w:r>
        <w:rPr/>
        <w:t>otros</w:t>
      </w:r>
      <w:r>
        <w:rPr>
          <w:spacing w:val="-7"/>
        </w:rPr>
        <w:t> </w:t>
      </w:r>
      <w:r>
        <w:rPr/>
        <w:t>comercios</w:t>
      </w:r>
      <w:r>
        <w:rPr>
          <w:spacing w:val="-7"/>
        </w:rPr>
        <w:t> </w:t>
      </w:r>
      <w:r>
        <w:rPr/>
        <w:t>dentro</w:t>
      </w:r>
      <w:r>
        <w:rPr>
          <w:spacing w:val="-5"/>
        </w:rPr>
        <w:t> </w:t>
      </w:r>
      <w:r>
        <w:rPr/>
        <w:t>de</w:t>
      </w:r>
      <w:r>
        <w:rPr>
          <w:spacing w:val="-1"/>
        </w:rPr>
        <w:t> </w:t>
      </w:r>
      <w:r>
        <w:rPr/>
        <w:t>los</w:t>
      </w:r>
      <w:r>
        <w:rPr>
          <w:spacing w:val="-7"/>
        </w:rPr>
        <w:t> </w:t>
      </w:r>
      <w:r>
        <w:rPr/>
        <w:t>aeropuertos</w:t>
      </w:r>
      <w:r>
        <w:rPr>
          <w:spacing w:val="-7"/>
        </w:rPr>
        <w:t> </w:t>
      </w:r>
      <w:r>
        <w:rPr/>
        <w:t>y</w:t>
      </w:r>
      <w:r>
        <w:rPr>
          <w:spacing w:val="-2"/>
        </w:rPr>
        <w:t> </w:t>
      </w:r>
      <w:r>
        <w:rPr/>
        <w:t>con</w:t>
      </w:r>
      <w:r>
        <w:rPr>
          <w:spacing w:val="-5"/>
        </w:rPr>
        <w:t> </w:t>
      </w:r>
      <w:r>
        <w:rPr/>
        <w:t>otros Duty</w:t>
      </w:r>
      <w:r>
        <w:rPr>
          <w:spacing w:val="-7"/>
        </w:rPr>
        <w:t> </w:t>
      </w:r>
      <w:r>
        <w:rPr/>
        <w:t>Free</w:t>
      </w:r>
      <w:r>
        <w:rPr>
          <w:spacing w:val="-5"/>
        </w:rPr>
        <w:t> </w:t>
      </w:r>
      <w:r>
        <w:rPr/>
        <w:t>de</w:t>
      </w:r>
      <w:r>
        <w:rPr>
          <w:spacing w:val="-1"/>
        </w:rPr>
        <w:t> </w:t>
      </w:r>
      <w:r>
        <w:rPr/>
        <w:t>los países que visitan, o de donde provienen, las personas pasajeras.</w:t>
      </w:r>
    </w:p>
    <w:p>
      <w:pPr>
        <w:pStyle w:val="BodyText"/>
        <w:spacing w:before="3"/>
      </w:pPr>
    </w:p>
    <w:p>
      <w:pPr>
        <w:pStyle w:val="BodyText"/>
        <w:ind w:left="1268" w:right="1240"/>
        <w:jc w:val="both"/>
      </w:pPr>
      <w:r>
        <w:rPr/>
        <w:t>Dicha</w:t>
      </w:r>
      <w:r>
        <w:rPr>
          <w:spacing w:val="-11"/>
        </w:rPr>
        <w:t> </w:t>
      </w:r>
      <w:r>
        <w:rPr/>
        <w:t>gestión</w:t>
      </w:r>
      <w:r>
        <w:rPr>
          <w:spacing w:val="-11"/>
        </w:rPr>
        <w:t> </w:t>
      </w:r>
      <w:r>
        <w:rPr/>
        <w:t>de</w:t>
      </w:r>
      <w:r>
        <w:rPr>
          <w:spacing w:val="-11"/>
        </w:rPr>
        <w:t> </w:t>
      </w:r>
      <w:r>
        <w:rPr/>
        <w:t>Empresas</w:t>
      </w:r>
      <w:r>
        <w:rPr>
          <w:spacing w:val="-13"/>
        </w:rPr>
        <w:t> </w:t>
      </w:r>
      <w:r>
        <w:rPr/>
        <w:t>Comerciales</w:t>
      </w:r>
      <w:r>
        <w:rPr>
          <w:spacing w:val="-13"/>
        </w:rPr>
        <w:t> </w:t>
      </w:r>
      <w:r>
        <w:rPr/>
        <w:t>es</w:t>
      </w:r>
      <w:r>
        <w:rPr>
          <w:spacing w:val="-6"/>
        </w:rPr>
        <w:t> </w:t>
      </w:r>
      <w:r>
        <w:rPr/>
        <w:t>financieramente</w:t>
      </w:r>
      <w:r>
        <w:rPr>
          <w:spacing w:val="-11"/>
        </w:rPr>
        <w:t> </w:t>
      </w:r>
      <w:r>
        <w:rPr/>
        <w:t>autosostenible</w:t>
      </w:r>
      <w:r>
        <w:rPr>
          <w:spacing w:val="-5"/>
        </w:rPr>
        <w:t> </w:t>
      </w:r>
      <w:r>
        <w:rPr/>
        <w:t>ya</w:t>
      </w:r>
      <w:r>
        <w:rPr>
          <w:spacing w:val="-11"/>
        </w:rPr>
        <w:t> </w:t>
      </w:r>
      <w:r>
        <w:rPr/>
        <w:t>que</w:t>
      </w:r>
      <w:r>
        <w:rPr>
          <w:spacing w:val="-11"/>
        </w:rPr>
        <w:t> </w:t>
      </w:r>
      <w:r>
        <w:rPr/>
        <w:t>cubre el 100% de sus costos y gastos operativos, y su propósito es generar utilidades que se destinan a la inversión social que realiza la institución; por ende, complementa el fin público institucional al constituir una fuente de generación de recursos.</w:t>
      </w:r>
    </w:p>
    <w:p>
      <w:pPr>
        <w:pStyle w:val="BodyText"/>
        <w:spacing w:before="250"/>
        <w:ind w:left="1268" w:right="1237"/>
        <w:jc w:val="both"/>
      </w:pPr>
      <w:r>
        <w:rPr/>
        <w:t>En</w:t>
      </w:r>
      <w:r>
        <w:rPr>
          <w:spacing w:val="-4"/>
        </w:rPr>
        <w:t> </w:t>
      </w:r>
      <w:r>
        <w:rPr/>
        <w:t>materia</w:t>
      </w:r>
      <w:r>
        <w:rPr>
          <w:spacing w:val="-4"/>
        </w:rPr>
        <w:t> </w:t>
      </w:r>
      <w:r>
        <w:rPr/>
        <w:t>de relaciones</w:t>
      </w:r>
      <w:r>
        <w:rPr>
          <w:spacing w:val="-6"/>
        </w:rPr>
        <w:t> </w:t>
      </w:r>
      <w:r>
        <w:rPr/>
        <w:t>de</w:t>
      </w:r>
      <w:r>
        <w:rPr>
          <w:spacing w:val="-4"/>
        </w:rPr>
        <w:t> </w:t>
      </w:r>
      <w:r>
        <w:rPr/>
        <w:t>trabajo,</w:t>
      </w:r>
      <w:r>
        <w:rPr>
          <w:spacing w:val="-5"/>
        </w:rPr>
        <w:t> </w:t>
      </w:r>
      <w:r>
        <w:rPr/>
        <w:t>el</w:t>
      </w:r>
      <w:r>
        <w:rPr>
          <w:spacing w:val="-2"/>
        </w:rPr>
        <w:t> </w:t>
      </w:r>
      <w:r>
        <w:rPr/>
        <w:t>negocio</w:t>
      </w:r>
      <w:r>
        <w:rPr>
          <w:spacing w:val="-4"/>
        </w:rPr>
        <w:t> </w:t>
      </w:r>
      <w:r>
        <w:rPr/>
        <w:t>opera</w:t>
      </w:r>
      <w:r>
        <w:rPr>
          <w:spacing w:val="-4"/>
        </w:rPr>
        <w:t> </w:t>
      </w:r>
      <w:r>
        <w:rPr/>
        <w:t>bajo</w:t>
      </w:r>
      <w:r>
        <w:rPr>
          <w:spacing w:val="-4"/>
        </w:rPr>
        <w:t> </w:t>
      </w:r>
      <w:r>
        <w:rPr/>
        <w:t>la figura de régimen</w:t>
      </w:r>
      <w:r>
        <w:rPr>
          <w:spacing w:val="-4"/>
        </w:rPr>
        <w:t> </w:t>
      </w:r>
      <w:r>
        <w:rPr/>
        <w:t>mixto, ya que al personal le es aplicable el régimen laboral establecido por el derecho laboral común, así como aquellos principios generales necesarios para observar la legalidad y moralidad administrativa.</w:t>
      </w:r>
    </w:p>
    <w:p>
      <w:pPr>
        <w:pStyle w:val="BodyText"/>
        <w:spacing w:before="3"/>
      </w:pPr>
    </w:p>
    <w:p>
      <w:pPr>
        <w:pStyle w:val="BodyText"/>
        <w:ind w:left="1268" w:right="1250"/>
        <w:jc w:val="both"/>
      </w:pPr>
      <w:r>
        <w:rPr/>
        <w:t>A nivel presupuestario el Programa Empresas Comerciales es autosuficiente, ya que todos los recursos que dispone para gasto son generados por medio de la venta de mercancías en los distintos puntos donde se opera.</w:t>
      </w:r>
    </w:p>
    <w:p>
      <w:pPr>
        <w:pStyle w:val="BodyText"/>
      </w:pPr>
    </w:p>
    <w:p>
      <w:pPr>
        <w:pStyle w:val="BodyText"/>
        <w:spacing w:before="22"/>
      </w:pPr>
    </w:p>
    <w:p>
      <w:pPr>
        <w:pStyle w:val="Heading1"/>
        <w:numPr>
          <w:ilvl w:val="2"/>
          <w:numId w:val="5"/>
        </w:numPr>
        <w:tabs>
          <w:tab w:pos="2733" w:val="left" w:leader="none"/>
        </w:tabs>
        <w:spacing w:line="240" w:lineRule="auto" w:before="1" w:after="0"/>
        <w:ind w:left="2733" w:right="0" w:hanging="601"/>
        <w:jc w:val="left"/>
      </w:pPr>
      <w:r>
        <w:rPr/>
        <w:t>Objetivos</w:t>
      </w:r>
      <w:r>
        <w:rPr>
          <w:spacing w:val="-7"/>
        </w:rPr>
        <w:t> </w:t>
      </w:r>
      <w:r>
        <w:rPr/>
        <w:t>del</w:t>
      </w:r>
      <w:r>
        <w:rPr>
          <w:spacing w:val="-2"/>
        </w:rPr>
        <w:t> Programa</w:t>
      </w:r>
    </w:p>
    <w:p>
      <w:pPr>
        <w:pStyle w:val="Heading2"/>
        <w:spacing w:before="251"/>
        <w:ind w:left="1268"/>
        <w:jc w:val="both"/>
      </w:pPr>
      <w:r>
        <w:rPr/>
        <w:t>Objetivo</w:t>
      </w:r>
      <w:r>
        <w:rPr>
          <w:spacing w:val="-5"/>
        </w:rPr>
        <w:t> </w:t>
      </w:r>
      <w:r>
        <w:rPr>
          <w:spacing w:val="-2"/>
        </w:rPr>
        <w:t>General</w:t>
      </w:r>
    </w:p>
    <w:p>
      <w:pPr>
        <w:pStyle w:val="BodyText"/>
        <w:spacing w:before="3"/>
        <w:rPr>
          <w:b/>
        </w:rPr>
      </w:pPr>
    </w:p>
    <w:p>
      <w:pPr>
        <w:pStyle w:val="BodyText"/>
        <w:ind w:left="1268" w:right="1254"/>
        <w:jc w:val="both"/>
      </w:pPr>
      <w:r>
        <w:rPr/>
        <w:t>Generar la mayor cantidad posible de ingresos por concepto de utilidades con la operación comercial de las tiendas del IMAS, con el fin de contribuir a la sostenibilidad financiera de los programas de inversión social destinados a la población objetivo.</w:t>
      </w:r>
    </w:p>
    <w:p>
      <w:pPr>
        <w:pStyle w:val="Heading2"/>
        <w:spacing w:before="249"/>
        <w:ind w:left="1268"/>
        <w:jc w:val="both"/>
      </w:pPr>
      <w:r>
        <w:rPr/>
        <w:t>Objetivos</w:t>
      </w:r>
      <w:r>
        <w:rPr>
          <w:spacing w:val="-7"/>
        </w:rPr>
        <w:t> </w:t>
      </w:r>
      <w:r>
        <w:rPr>
          <w:spacing w:val="-2"/>
        </w:rPr>
        <w:t>Específicos</w:t>
      </w:r>
    </w:p>
    <w:p>
      <w:pPr>
        <w:pStyle w:val="BodyText"/>
        <w:spacing w:before="5"/>
        <w:rPr>
          <w:b/>
        </w:rPr>
      </w:pPr>
    </w:p>
    <w:p>
      <w:pPr>
        <w:pStyle w:val="ListParagraph"/>
        <w:numPr>
          <w:ilvl w:val="0"/>
          <w:numId w:val="25"/>
        </w:numPr>
        <w:tabs>
          <w:tab w:pos="1988" w:val="left" w:leader="none"/>
        </w:tabs>
        <w:spacing w:line="237" w:lineRule="auto" w:before="0" w:after="0"/>
        <w:ind w:left="1988" w:right="1236" w:hanging="360"/>
        <w:jc w:val="both"/>
        <w:rPr>
          <w:sz w:val="22"/>
        </w:rPr>
      </w:pPr>
      <w:r>
        <w:rPr>
          <w:sz w:val="22"/>
        </w:rPr>
        <w:t>Potenciar las capacidades de Empresas Comerciales para maximizar su rentabilidad, mediante el desarrollo de un modelo operativo-administrativo eficiente, productivo y que impulse la dinamicidad del negocio.</w:t>
      </w:r>
    </w:p>
    <w:p>
      <w:pPr>
        <w:pStyle w:val="BodyText"/>
        <w:spacing w:before="9"/>
      </w:pPr>
    </w:p>
    <w:p>
      <w:pPr>
        <w:pStyle w:val="ListParagraph"/>
        <w:numPr>
          <w:ilvl w:val="0"/>
          <w:numId w:val="25"/>
        </w:numPr>
        <w:tabs>
          <w:tab w:pos="1988" w:val="left" w:leader="none"/>
        </w:tabs>
        <w:spacing w:line="235" w:lineRule="auto" w:before="0" w:after="0"/>
        <w:ind w:left="1988" w:right="1240" w:hanging="360"/>
        <w:jc w:val="both"/>
        <w:rPr>
          <w:sz w:val="22"/>
        </w:rPr>
      </w:pPr>
      <w:r>
        <w:rPr>
          <w:sz w:val="22"/>
        </w:rPr>
        <w:t>Implementar estrategias integrales de mercadeo y ventas, para incrementar las ventas y las utilidades, potenciando el mix mercadológico.</w:t>
      </w:r>
    </w:p>
    <w:p>
      <w:pPr>
        <w:pStyle w:val="BodyText"/>
        <w:spacing w:before="6"/>
      </w:pPr>
    </w:p>
    <w:p>
      <w:pPr>
        <w:pStyle w:val="ListParagraph"/>
        <w:numPr>
          <w:ilvl w:val="0"/>
          <w:numId w:val="25"/>
        </w:numPr>
        <w:tabs>
          <w:tab w:pos="1988" w:val="left" w:leader="none"/>
        </w:tabs>
        <w:spacing w:line="237" w:lineRule="auto" w:before="0" w:after="0"/>
        <w:ind w:left="1988" w:right="1245" w:hanging="360"/>
        <w:jc w:val="both"/>
        <w:rPr>
          <w:sz w:val="22"/>
        </w:rPr>
      </w:pPr>
      <w:r>
        <w:rPr>
          <w:sz w:val="22"/>
        </w:rPr>
        <w:t>Garantizar</w:t>
      </w:r>
      <w:r>
        <w:rPr>
          <w:spacing w:val="-4"/>
          <w:sz w:val="22"/>
        </w:rPr>
        <w:t> </w:t>
      </w:r>
      <w:r>
        <w:rPr>
          <w:sz w:val="22"/>
        </w:rPr>
        <w:t>el abastecimiento oportuno y suficiente de</w:t>
      </w:r>
      <w:r>
        <w:rPr>
          <w:spacing w:val="-2"/>
          <w:sz w:val="22"/>
        </w:rPr>
        <w:t> </w:t>
      </w:r>
      <w:r>
        <w:rPr>
          <w:sz w:val="22"/>
        </w:rPr>
        <w:t>mercancías</w:t>
      </w:r>
      <w:r>
        <w:rPr>
          <w:spacing w:val="-3"/>
          <w:sz w:val="22"/>
        </w:rPr>
        <w:t> </w:t>
      </w:r>
      <w:r>
        <w:rPr>
          <w:sz w:val="22"/>
        </w:rPr>
        <w:t>en las tiendas, para</w:t>
      </w:r>
      <w:r>
        <w:rPr>
          <w:spacing w:val="-15"/>
          <w:sz w:val="22"/>
        </w:rPr>
        <w:t> </w:t>
      </w:r>
      <w:r>
        <w:rPr>
          <w:sz w:val="22"/>
        </w:rPr>
        <w:t>la</w:t>
      </w:r>
      <w:r>
        <w:rPr>
          <w:spacing w:val="-15"/>
          <w:sz w:val="22"/>
        </w:rPr>
        <w:t> </w:t>
      </w:r>
      <w:r>
        <w:rPr>
          <w:sz w:val="22"/>
        </w:rPr>
        <w:t>generación</w:t>
      </w:r>
      <w:r>
        <w:rPr>
          <w:spacing w:val="-15"/>
          <w:sz w:val="22"/>
        </w:rPr>
        <w:t> </w:t>
      </w:r>
      <w:r>
        <w:rPr>
          <w:sz w:val="22"/>
        </w:rPr>
        <w:t>de</w:t>
      </w:r>
      <w:r>
        <w:rPr>
          <w:spacing w:val="-10"/>
          <w:sz w:val="22"/>
        </w:rPr>
        <w:t> </w:t>
      </w:r>
      <w:r>
        <w:rPr>
          <w:sz w:val="22"/>
        </w:rPr>
        <w:t>ventas,</w:t>
      </w:r>
      <w:r>
        <w:rPr>
          <w:spacing w:val="-16"/>
          <w:sz w:val="22"/>
        </w:rPr>
        <w:t> </w:t>
      </w:r>
      <w:r>
        <w:rPr>
          <w:sz w:val="22"/>
        </w:rPr>
        <w:t>mediante</w:t>
      </w:r>
      <w:r>
        <w:rPr>
          <w:spacing w:val="-14"/>
          <w:sz w:val="22"/>
        </w:rPr>
        <w:t> </w:t>
      </w:r>
      <w:r>
        <w:rPr>
          <w:sz w:val="22"/>
        </w:rPr>
        <w:t>procesos</w:t>
      </w:r>
      <w:r>
        <w:rPr>
          <w:spacing w:val="-16"/>
          <w:sz w:val="22"/>
        </w:rPr>
        <w:t> </w:t>
      </w:r>
      <w:r>
        <w:rPr>
          <w:sz w:val="22"/>
        </w:rPr>
        <w:t>de</w:t>
      </w:r>
      <w:r>
        <w:rPr>
          <w:spacing w:val="-9"/>
          <w:sz w:val="22"/>
        </w:rPr>
        <w:t> </w:t>
      </w:r>
      <w:r>
        <w:rPr>
          <w:sz w:val="22"/>
        </w:rPr>
        <w:t>compra</w:t>
      </w:r>
      <w:r>
        <w:rPr>
          <w:spacing w:val="-15"/>
          <w:sz w:val="22"/>
        </w:rPr>
        <w:t> </w:t>
      </w:r>
      <w:r>
        <w:rPr>
          <w:sz w:val="22"/>
        </w:rPr>
        <w:t>ágiles,</w:t>
      </w:r>
      <w:r>
        <w:rPr>
          <w:spacing w:val="-16"/>
          <w:sz w:val="22"/>
        </w:rPr>
        <w:t> </w:t>
      </w:r>
      <w:r>
        <w:rPr>
          <w:sz w:val="22"/>
        </w:rPr>
        <w:t>transparentes y seguros.</w:t>
      </w:r>
    </w:p>
    <w:p>
      <w:pPr>
        <w:pStyle w:val="BodyText"/>
        <w:spacing w:before="7"/>
      </w:pPr>
    </w:p>
    <w:p>
      <w:pPr>
        <w:pStyle w:val="ListParagraph"/>
        <w:numPr>
          <w:ilvl w:val="0"/>
          <w:numId w:val="25"/>
        </w:numPr>
        <w:tabs>
          <w:tab w:pos="1988" w:val="left" w:leader="none"/>
        </w:tabs>
        <w:spacing w:line="237" w:lineRule="auto" w:before="0" w:after="0"/>
        <w:ind w:left="1988" w:right="1249" w:hanging="360"/>
        <w:jc w:val="both"/>
        <w:rPr>
          <w:sz w:val="22"/>
        </w:rPr>
      </w:pPr>
      <w:r>
        <w:rPr>
          <w:sz w:val="22"/>
        </w:rPr>
        <w:t>Asegurar</w:t>
      </w:r>
      <w:r>
        <w:rPr>
          <w:spacing w:val="-16"/>
          <w:sz w:val="22"/>
        </w:rPr>
        <w:t> </w:t>
      </w:r>
      <w:r>
        <w:rPr>
          <w:sz w:val="22"/>
        </w:rPr>
        <w:t>información</w:t>
      </w:r>
      <w:r>
        <w:rPr>
          <w:spacing w:val="-15"/>
          <w:sz w:val="22"/>
        </w:rPr>
        <w:t> </w:t>
      </w:r>
      <w:r>
        <w:rPr>
          <w:sz w:val="22"/>
        </w:rPr>
        <w:t>oportuna,</w:t>
      </w:r>
      <w:r>
        <w:rPr>
          <w:spacing w:val="-15"/>
          <w:sz w:val="22"/>
        </w:rPr>
        <w:t> </w:t>
      </w:r>
      <w:r>
        <w:rPr>
          <w:sz w:val="22"/>
        </w:rPr>
        <w:t>confiable</w:t>
      </w:r>
      <w:r>
        <w:rPr>
          <w:spacing w:val="-16"/>
          <w:sz w:val="22"/>
        </w:rPr>
        <w:t> </w:t>
      </w:r>
      <w:r>
        <w:rPr>
          <w:sz w:val="22"/>
        </w:rPr>
        <w:t>y</w:t>
      </w:r>
      <w:r>
        <w:rPr>
          <w:spacing w:val="-15"/>
          <w:sz w:val="22"/>
        </w:rPr>
        <w:t> </w:t>
      </w:r>
      <w:r>
        <w:rPr>
          <w:sz w:val="22"/>
        </w:rPr>
        <w:t>pertinente,</w:t>
      </w:r>
      <w:r>
        <w:rPr>
          <w:spacing w:val="-15"/>
          <w:sz w:val="22"/>
        </w:rPr>
        <w:t> </w:t>
      </w:r>
      <w:r>
        <w:rPr>
          <w:sz w:val="22"/>
        </w:rPr>
        <w:t>para</w:t>
      </w:r>
      <w:r>
        <w:rPr>
          <w:spacing w:val="-15"/>
          <w:sz w:val="22"/>
        </w:rPr>
        <w:t> </w:t>
      </w:r>
      <w:r>
        <w:rPr>
          <w:sz w:val="22"/>
        </w:rPr>
        <w:t>la</w:t>
      </w:r>
      <w:r>
        <w:rPr>
          <w:spacing w:val="-16"/>
          <w:sz w:val="22"/>
        </w:rPr>
        <w:t> </w:t>
      </w:r>
      <w:r>
        <w:rPr>
          <w:sz w:val="22"/>
        </w:rPr>
        <w:t>toma</w:t>
      </w:r>
      <w:r>
        <w:rPr>
          <w:spacing w:val="-15"/>
          <w:sz w:val="22"/>
        </w:rPr>
        <w:t> </w:t>
      </w:r>
      <w:r>
        <w:rPr>
          <w:sz w:val="22"/>
        </w:rPr>
        <w:t>de</w:t>
      </w:r>
      <w:r>
        <w:rPr>
          <w:spacing w:val="-15"/>
          <w:sz w:val="22"/>
        </w:rPr>
        <w:t> </w:t>
      </w:r>
      <w:r>
        <w:rPr>
          <w:sz w:val="22"/>
        </w:rPr>
        <w:t>decisiones, mediante el adecuado desarrollo de procesos contables, presupuestarios y de control interno.</w:t>
      </w:r>
    </w:p>
    <w:p>
      <w:pPr>
        <w:pStyle w:val="ListParagraph"/>
        <w:spacing w:after="0" w:line="237" w:lineRule="auto"/>
        <w:jc w:val="both"/>
        <w:rPr>
          <w:sz w:val="22"/>
        </w:rPr>
        <w:sectPr>
          <w:pgSz w:w="12240" w:h="15840"/>
          <w:pgMar w:header="0" w:footer="1101" w:top="880" w:bottom="1300" w:left="720" w:right="360"/>
        </w:sectPr>
      </w:pPr>
    </w:p>
    <w:p>
      <w:pPr>
        <w:pStyle w:val="ListParagraph"/>
        <w:numPr>
          <w:ilvl w:val="0"/>
          <w:numId w:val="25"/>
        </w:numPr>
        <w:tabs>
          <w:tab w:pos="1988" w:val="left" w:leader="none"/>
        </w:tabs>
        <w:spacing w:line="237" w:lineRule="auto" w:before="92" w:after="0"/>
        <w:ind w:left="1988" w:right="1249" w:hanging="360"/>
        <w:jc w:val="both"/>
        <w:rPr>
          <w:sz w:val="22"/>
        </w:rPr>
      </w:pPr>
      <w:r>
        <w:rPr>
          <w:sz w:val="22"/>
        </w:rPr>
        <w:t>Satisfacer las expectativas de las personas pasajeras que transitan por las localizaciones donde se tiene operación comercial, mediante un servicio de alta calidad, oferta de productos</w:t>
      </w:r>
      <w:r>
        <w:rPr>
          <w:spacing w:val="-1"/>
          <w:sz w:val="22"/>
        </w:rPr>
        <w:t> </w:t>
      </w:r>
      <w:r>
        <w:rPr>
          <w:sz w:val="22"/>
        </w:rPr>
        <w:t>adecuada a sus</w:t>
      </w:r>
      <w:r>
        <w:rPr>
          <w:spacing w:val="-1"/>
          <w:sz w:val="22"/>
        </w:rPr>
        <w:t> </w:t>
      </w:r>
      <w:r>
        <w:rPr>
          <w:sz w:val="22"/>
        </w:rPr>
        <w:t>necesidades y</w:t>
      </w:r>
      <w:r>
        <w:rPr>
          <w:spacing w:val="-1"/>
          <w:sz w:val="22"/>
        </w:rPr>
        <w:t> </w:t>
      </w:r>
      <w:r>
        <w:rPr>
          <w:sz w:val="22"/>
        </w:rPr>
        <w:t>con precios</w:t>
      </w:r>
      <w:r>
        <w:rPr>
          <w:spacing w:val="-1"/>
          <w:sz w:val="22"/>
        </w:rPr>
        <w:t> </w:t>
      </w:r>
      <w:r>
        <w:rPr>
          <w:sz w:val="22"/>
        </w:rPr>
        <w:t>óptimos.</w:t>
      </w:r>
    </w:p>
    <w:p>
      <w:pPr>
        <w:pStyle w:val="BodyText"/>
      </w:pPr>
    </w:p>
    <w:p>
      <w:pPr>
        <w:pStyle w:val="ListParagraph"/>
        <w:numPr>
          <w:ilvl w:val="0"/>
          <w:numId w:val="25"/>
        </w:numPr>
        <w:tabs>
          <w:tab w:pos="1988" w:val="left" w:leader="none"/>
        </w:tabs>
        <w:spacing w:line="240" w:lineRule="auto" w:before="0" w:after="0"/>
        <w:ind w:left="1988" w:right="1253" w:hanging="360"/>
        <w:jc w:val="both"/>
        <w:rPr>
          <w:sz w:val="22"/>
        </w:rPr>
      </w:pPr>
      <w:r>
        <w:rPr>
          <w:sz w:val="22"/>
        </w:rPr>
        <w:t>Motivar la inserción</w:t>
      </w:r>
      <w:r>
        <w:rPr>
          <w:spacing w:val="-2"/>
          <w:sz w:val="22"/>
        </w:rPr>
        <w:t> </w:t>
      </w:r>
      <w:r>
        <w:rPr>
          <w:sz w:val="22"/>
        </w:rPr>
        <w:t>de</w:t>
      </w:r>
      <w:r>
        <w:rPr>
          <w:spacing w:val="-2"/>
          <w:sz w:val="22"/>
        </w:rPr>
        <w:t> </w:t>
      </w:r>
      <w:r>
        <w:rPr>
          <w:sz w:val="22"/>
        </w:rPr>
        <w:t>emprendimientos</w:t>
      </w:r>
      <w:r>
        <w:rPr>
          <w:spacing w:val="-3"/>
          <w:sz w:val="22"/>
        </w:rPr>
        <w:t> </w:t>
      </w:r>
      <w:r>
        <w:rPr>
          <w:sz w:val="22"/>
        </w:rPr>
        <w:t>productivos en las tiendas</w:t>
      </w:r>
      <w:r>
        <w:rPr>
          <w:spacing w:val="-3"/>
          <w:sz w:val="22"/>
        </w:rPr>
        <w:t> </w:t>
      </w:r>
      <w:r>
        <w:rPr>
          <w:sz w:val="22"/>
        </w:rPr>
        <w:t>que cumplan con</w:t>
      </w:r>
      <w:r>
        <w:rPr>
          <w:spacing w:val="-15"/>
          <w:sz w:val="22"/>
        </w:rPr>
        <w:t> </w:t>
      </w:r>
      <w:r>
        <w:rPr>
          <w:sz w:val="22"/>
        </w:rPr>
        <w:t>los</w:t>
      </w:r>
      <w:r>
        <w:rPr>
          <w:spacing w:val="-13"/>
          <w:sz w:val="22"/>
        </w:rPr>
        <w:t> </w:t>
      </w:r>
      <w:r>
        <w:rPr>
          <w:sz w:val="22"/>
        </w:rPr>
        <w:t>estándares</w:t>
      </w:r>
      <w:r>
        <w:rPr>
          <w:spacing w:val="-16"/>
          <w:sz w:val="22"/>
        </w:rPr>
        <w:t> </w:t>
      </w:r>
      <w:r>
        <w:rPr>
          <w:sz w:val="22"/>
        </w:rPr>
        <w:t>de</w:t>
      </w:r>
      <w:r>
        <w:rPr>
          <w:spacing w:val="-11"/>
          <w:sz w:val="22"/>
        </w:rPr>
        <w:t> </w:t>
      </w:r>
      <w:r>
        <w:rPr>
          <w:sz w:val="22"/>
        </w:rPr>
        <w:t>calidad,</w:t>
      </w:r>
      <w:r>
        <w:rPr>
          <w:spacing w:val="-16"/>
          <w:sz w:val="22"/>
        </w:rPr>
        <w:t> </w:t>
      </w:r>
      <w:r>
        <w:rPr>
          <w:sz w:val="22"/>
        </w:rPr>
        <w:t>para</w:t>
      </w:r>
      <w:r>
        <w:rPr>
          <w:spacing w:val="-11"/>
          <w:sz w:val="22"/>
        </w:rPr>
        <w:t> </w:t>
      </w:r>
      <w:r>
        <w:rPr>
          <w:sz w:val="22"/>
        </w:rPr>
        <w:t>contribuir</w:t>
      </w:r>
      <w:r>
        <w:rPr>
          <w:spacing w:val="-14"/>
          <w:sz w:val="22"/>
        </w:rPr>
        <w:t> </w:t>
      </w:r>
      <w:r>
        <w:rPr>
          <w:sz w:val="22"/>
        </w:rPr>
        <w:t>al</w:t>
      </w:r>
      <w:r>
        <w:rPr>
          <w:spacing w:val="-14"/>
          <w:sz w:val="22"/>
        </w:rPr>
        <w:t> </w:t>
      </w:r>
      <w:r>
        <w:rPr>
          <w:sz w:val="22"/>
        </w:rPr>
        <w:t>desarrollo</w:t>
      </w:r>
      <w:r>
        <w:rPr>
          <w:spacing w:val="-11"/>
          <w:sz w:val="22"/>
        </w:rPr>
        <w:t> </w:t>
      </w:r>
      <w:r>
        <w:rPr>
          <w:sz w:val="22"/>
        </w:rPr>
        <w:t>sostenido</w:t>
      </w:r>
      <w:r>
        <w:rPr>
          <w:spacing w:val="-11"/>
          <w:sz w:val="22"/>
        </w:rPr>
        <w:t> </w:t>
      </w:r>
      <w:r>
        <w:rPr>
          <w:sz w:val="22"/>
        </w:rPr>
        <w:t>financiero</w:t>
      </w:r>
      <w:r>
        <w:rPr>
          <w:spacing w:val="-16"/>
          <w:sz w:val="22"/>
        </w:rPr>
        <w:t> </w:t>
      </w:r>
      <w:r>
        <w:rPr>
          <w:sz w:val="22"/>
        </w:rPr>
        <w:t>de las familias en pobreza a través de la estrategia de IMAS Impulsa.</w:t>
      </w:r>
    </w:p>
    <w:p>
      <w:pPr>
        <w:pStyle w:val="BodyText"/>
        <w:spacing w:before="24"/>
      </w:pPr>
    </w:p>
    <w:p>
      <w:pPr>
        <w:pStyle w:val="Heading1"/>
        <w:numPr>
          <w:ilvl w:val="2"/>
          <w:numId w:val="5"/>
        </w:numPr>
        <w:tabs>
          <w:tab w:pos="2734" w:val="left" w:leader="none"/>
        </w:tabs>
        <w:spacing w:line="240" w:lineRule="auto" w:before="0" w:after="0"/>
        <w:ind w:left="2734" w:right="0" w:hanging="602"/>
        <w:jc w:val="left"/>
      </w:pPr>
      <w:r>
        <w:rPr/>
        <w:t>Estructura</w:t>
      </w:r>
      <w:r>
        <w:rPr>
          <w:spacing w:val="-6"/>
        </w:rPr>
        <w:t> </w:t>
      </w:r>
      <w:r>
        <w:rPr/>
        <w:t>del</w:t>
      </w:r>
      <w:r>
        <w:rPr>
          <w:spacing w:val="-5"/>
        </w:rPr>
        <w:t> </w:t>
      </w:r>
      <w:r>
        <w:rPr>
          <w:spacing w:val="-2"/>
        </w:rPr>
        <w:t>Programa</w:t>
      </w:r>
    </w:p>
    <w:p>
      <w:pPr>
        <w:pStyle w:val="BodyText"/>
        <w:spacing w:before="252"/>
        <w:ind w:left="1268" w:right="1238"/>
        <w:jc w:val="both"/>
      </w:pPr>
      <w:r>
        <w:rPr/>
        <w:t>En cuanto a la estructura organizacional, Empresas Comerciales, está bajo la jerarquía de la Dirección de Gestión de Recursos. Cuenta con una Administración General que dirige la operación del negocio, y las unidades de Mercadeo y Ventas responsable de la estrategia comercial, Logística e Importaciones a cargo del abastecimiento oportuno de mercancías,</w:t>
      </w:r>
      <w:r>
        <w:rPr>
          <w:spacing w:val="-16"/>
        </w:rPr>
        <w:t> </w:t>
      </w:r>
      <w:r>
        <w:rPr/>
        <w:t>bienes</w:t>
      </w:r>
      <w:r>
        <w:rPr>
          <w:spacing w:val="-15"/>
        </w:rPr>
        <w:t> </w:t>
      </w:r>
      <w:r>
        <w:rPr/>
        <w:t>y</w:t>
      </w:r>
      <w:r>
        <w:rPr>
          <w:spacing w:val="-15"/>
        </w:rPr>
        <w:t> </w:t>
      </w:r>
      <w:r>
        <w:rPr/>
        <w:t>servicios,</w:t>
      </w:r>
      <w:r>
        <w:rPr>
          <w:spacing w:val="-16"/>
        </w:rPr>
        <w:t> </w:t>
      </w:r>
      <w:r>
        <w:rPr/>
        <w:t>requeridos</w:t>
      </w:r>
      <w:r>
        <w:rPr>
          <w:spacing w:val="-15"/>
        </w:rPr>
        <w:t> </w:t>
      </w:r>
      <w:r>
        <w:rPr/>
        <w:t>para</w:t>
      </w:r>
      <w:r>
        <w:rPr>
          <w:spacing w:val="-15"/>
        </w:rPr>
        <w:t> </w:t>
      </w:r>
      <w:r>
        <w:rPr/>
        <w:t>la</w:t>
      </w:r>
      <w:r>
        <w:rPr>
          <w:spacing w:val="-15"/>
        </w:rPr>
        <w:t> </w:t>
      </w:r>
      <w:r>
        <w:rPr/>
        <w:t>gestión</w:t>
      </w:r>
      <w:r>
        <w:rPr>
          <w:spacing w:val="-16"/>
        </w:rPr>
        <w:t> </w:t>
      </w:r>
      <w:r>
        <w:rPr/>
        <w:t>y</w:t>
      </w:r>
      <w:r>
        <w:rPr>
          <w:spacing w:val="-15"/>
        </w:rPr>
        <w:t> </w:t>
      </w:r>
      <w:r>
        <w:rPr/>
        <w:t>compras</w:t>
      </w:r>
      <w:r>
        <w:rPr>
          <w:spacing w:val="-15"/>
        </w:rPr>
        <w:t> </w:t>
      </w:r>
      <w:r>
        <w:rPr/>
        <w:t>de</w:t>
      </w:r>
      <w:r>
        <w:rPr>
          <w:spacing w:val="-16"/>
        </w:rPr>
        <w:t> </w:t>
      </w:r>
      <w:r>
        <w:rPr/>
        <w:t>bienes</w:t>
      </w:r>
      <w:r>
        <w:rPr>
          <w:spacing w:val="-15"/>
        </w:rPr>
        <w:t> </w:t>
      </w:r>
      <w:r>
        <w:rPr/>
        <w:t>y</w:t>
      </w:r>
      <w:r>
        <w:rPr>
          <w:spacing w:val="-15"/>
        </w:rPr>
        <w:t> </w:t>
      </w:r>
      <w:r>
        <w:rPr/>
        <w:t>servicios y Coordinación</w:t>
      </w:r>
      <w:r>
        <w:rPr>
          <w:spacing w:val="-1"/>
        </w:rPr>
        <w:t> </w:t>
      </w:r>
      <w:r>
        <w:rPr/>
        <w:t>Administrativa</w:t>
      </w:r>
      <w:r>
        <w:rPr>
          <w:spacing w:val="-1"/>
        </w:rPr>
        <w:t> </w:t>
      </w:r>
      <w:r>
        <w:rPr/>
        <w:t>que</w:t>
      </w:r>
      <w:r>
        <w:rPr>
          <w:spacing w:val="-1"/>
        </w:rPr>
        <w:t> </w:t>
      </w:r>
      <w:r>
        <w:rPr/>
        <w:t>le</w:t>
      </w:r>
      <w:r>
        <w:rPr>
          <w:spacing w:val="-1"/>
        </w:rPr>
        <w:t> </w:t>
      </w:r>
      <w:r>
        <w:rPr/>
        <w:t>compete</w:t>
      </w:r>
      <w:r>
        <w:rPr>
          <w:spacing w:val="-1"/>
        </w:rPr>
        <w:t> </w:t>
      </w:r>
      <w:r>
        <w:rPr/>
        <w:t>los</w:t>
      </w:r>
      <w:r>
        <w:rPr>
          <w:spacing w:val="-6"/>
        </w:rPr>
        <w:t> </w:t>
      </w:r>
      <w:r>
        <w:rPr/>
        <w:t>aspectos contables,</w:t>
      </w:r>
      <w:r>
        <w:rPr>
          <w:spacing w:val="-5"/>
        </w:rPr>
        <w:t> </w:t>
      </w:r>
      <w:r>
        <w:rPr/>
        <w:t>presupuestarios</w:t>
      </w:r>
      <w:r>
        <w:rPr>
          <w:spacing w:val="-2"/>
        </w:rPr>
        <w:t> </w:t>
      </w:r>
      <w:r>
        <w:rPr/>
        <w:t>y de control de la operación.</w:t>
      </w:r>
    </w:p>
    <w:p>
      <w:pPr>
        <w:pStyle w:val="BodyText"/>
        <w:spacing w:before="2"/>
      </w:pPr>
    </w:p>
    <w:p>
      <w:pPr>
        <w:pStyle w:val="Heading1"/>
        <w:numPr>
          <w:ilvl w:val="0"/>
          <w:numId w:val="5"/>
        </w:numPr>
        <w:tabs>
          <w:tab w:pos="1535" w:val="left" w:leader="none"/>
        </w:tabs>
        <w:spacing w:line="240" w:lineRule="auto" w:before="0" w:after="0"/>
        <w:ind w:left="1535" w:right="0" w:hanging="267"/>
        <w:jc w:val="left"/>
      </w:pPr>
      <w:bookmarkStart w:name="_bookmark46" w:id="47"/>
      <w:bookmarkEnd w:id="47"/>
      <w:r>
        <w:rPr>
          <w:b w:val="0"/>
        </w:rPr>
      </w:r>
      <w:r>
        <w:rPr/>
        <w:t>Comparación</w:t>
      </w:r>
      <w:r>
        <w:rPr>
          <w:spacing w:val="-5"/>
        </w:rPr>
        <w:t> </w:t>
      </w:r>
      <w:r>
        <w:rPr>
          <w:spacing w:val="-2"/>
        </w:rPr>
        <w:t>Presupuestaria</w:t>
      </w:r>
    </w:p>
    <w:p>
      <w:pPr>
        <w:pStyle w:val="BodyText"/>
        <w:rPr>
          <w:b/>
          <w:sz w:val="24"/>
        </w:rPr>
      </w:pPr>
    </w:p>
    <w:p>
      <w:pPr>
        <w:pStyle w:val="BodyText"/>
        <w:ind w:left="1268" w:right="1250"/>
        <w:jc w:val="both"/>
      </w:pPr>
      <w:r>
        <w:rPr/>
        <w:t>A continuación, se presentan los cuadros comparativos del Presupuesto Ordinario y del Presupuesto por Programa entre los años 2025 y 2026.</w:t>
      </w:r>
    </w:p>
    <w:p>
      <w:pPr>
        <w:pStyle w:val="BodyText"/>
      </w:pPr>
    </w:p>
    <w:p>
      <w:pPr>
        <w:pStyle w:val="Heading2"/>
        <w:ind w:left="1185" w:right="1020"/>
        <w:jc w:val="center"/>
      </w:pPr>
      <w:bookmarkStart w:name="_bookmark47" w:id="48"/>
      <w:bookmarkEnd w:id="48"/>
      <w:r>
        <w:rPr>
          <w:b w:val="0"/>
        </w:rPr>
      </w:r>
      <w:r>
        <w:rPr/>
        <w:t>Tabla</w:t>
      </w:r>
      <w:r>
        <w:rPr>
          <w:spacing w:val="-4"/>
        </w:rPr>
        <w:t> </w:t>
      </w:r>
      <w:r>
        <w:rPr/>
        <w:t>10:</w:t>
      </w:r>
      <w:r>
        <w:rPr>
          <w:spacing w:val="-4"/>
        </w:rPr>
        <w:t> </w:t>
      </w:r>
      <w:r>
        <w:rPr/>
        <w:t>Comparación</w:t>
      </w:r>
      <w:r>
        <w:rPr>
          <w:spacing w:val="-3"/>
        </w:rPr>
        <w:t> </w:t>
      </w:r>
      <w:r>
        <w:rPr/>
        <w:t>del</w:t>
      </w:r>
      <w:r>
        <w:rPr>
          <w:spacing w:val="-6"/>
        </w:rPr>
        <w:t> </w:t>
      </w:r>
      <w:r>
        <w:rPr/>
        <w:t>Presupuesto ordinario</w:t>
      </w:r>
      <w:r>
        <w:rPr>
          <w:spacing w:val="-3"/>
        </w:rPr>
        <w:t> </w:t>
      </w:r>
      <w:r>
        <w:rPr/>
        <w:t>de</w:t>
      </w:r>
      <w:r>
        <w:rPr>
          <w:spacing w:val="-1"/>
        </w:rPr>
        <w:t> </w:t>
      </w:r>
      <w:r>
        <w:rPr/>
        <w:t>gasto</w:t>
      </w:r>
      <w:r>
        <w:rPr>
          <w:spacing w:val="-3"/>
        </w:rPr>
        <w:t> </w:t>
      </w:r>
      <w:r>
        <w:rPr/>
        <w:t>periodo</w:t>
      </w:r>
      <w:r>
        <w:rPr>
          <w:spacing w:val="-7"/>
        </w:rPr>
        <w:t> </w:t>
      </w:r>
      <w:r>
        <w:rPr/>
        <w:t>2025</w:t>
      </w:r>
      <w:r>
        <w:rPr>
          <w:spacing w:val="-5"/>
        </w:rPr>
        <w:t> </w:t>
      </w:r>
      <w:r>
        <w:rPr/>
        <w:t>y</w:t>
      </w:r>
      <w:r>
        <w:rPr>
          <w:spacing w:val="-5"/>
        </w:rPr>
        <w:t> </w:t>
      </w:r>
      <w:r>
        <w:rPr/>
        <w:t>2026, según partidas en miles de colones</w:t>
      </w:r>
    </w:p>
    <w:p>
      <w:pPr>
        <w:pStyle w:val="BodyText"/>
        <w:spacing w:before="46"/>
        <w:rPr>
          <w:b/>
          <w:sz w:val="20"/>
        </w:rPr>
      </w:pPr>
    </w:p>
    <w:tbl>
      <w:tblPr>
        <w:tblW w:w="0" w:type="auto"/>
        <w:jc w:val="left"/>
        <w:tblInd w:w="1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90"/>
        <w:gridCol w:w="2694"/>
        <w:gridCol w:w="1349"/>
        <w:gridCol w:w="1349"/>
        <w:gridCol w:w="1219"/>
        <w:gridCol w:w="936"/>
      </w:tblGrid>
      <w:tr>
        <w:trPr>
          <w:trHeight w:val="369" w:hRule="atLeast"/>
        </w:trPr>
        <w:tc>
          <w:tcPr>
            <w:tcW w:w="1090" w:type="dxa"/>
            <w:vMerge w:val="restart"/>
            <w:shd w:val="clear" w:color="auto" w:fill="0E233D"/>
          </w:tcPr>
          <w:p>
            <w:pPr>
              <w:pStyle w:val="TableParagraph"/>
              <w:spacing w:before="26"/>
              <w:rPr>
                <w:b/>
                <w:sz w:val="16"/>
              </w:rPr>
            </w:pPr>
          </w:p>
          <w:p>
            <w:pPr>
              <w:pStyle w:val="TableParagraph"/>
              <w:ind w:left="215"/>
              <w:rPr>
                <w:b/>
                <w:sz w:val="16"/>
              </w:rPr>
            </w:pPr>
            <w:r>
              <w:rPr>
                <w:b/>
                <w:color w:val="FFFFFF"/>
                <w:spacing w:val="-2"/>
                <w:sz w:val="16"/>
              </w:rPr>
              <w:t>CODIGO</w:t>
            </w:r>
          </w:p>
        </w:tc>
        <w:tc>
          <w:tcPr>
            <w:tcW w:w="2694" w:type="dxa"/>
            <w:vMerge w:val="restart"/>
            <w:shd w:val="clear" w:color="auto" w:fill="0E233D"/>
          </w:tcPr>
          <w:p>
            <w:pPr>
              <w:pStyle w:val="TableParagraph"/>
              <w:spacing w:before="26"/>
              <w:rPr>
                <w:b/>
                <w:sz w:val="16"/>
              </w:rPr>
            </w:pPr>
          </w:p>
          <w:p>
            <w:pPr>
              <w:pStyle w:val="TableParagraph"/>
              <w:ind w:left="13" w:right="11"/>
              <w:jc w:val="center"/>
              <w:rPr>
                <w:b/>
                <w:sz w:val="16"/>
              </w:rPr>
            </w:pPr>
            <w:r>
              <w:rPr>
                <w:b/>
                <w:color w:val="FFFFFF"/>
                <w:spacing w:val="-2"/>
                <w:sz w:val="16"/>
              </w:rPr>
              <w:t>PARTIDAS</w:t>
            </w:r>
          </w:p>
        </w:tc>
        <w:tc>
          <w:tcPr>
            <w:tcW w:w="1349" w:type="dxa"/>
            <w:vMerge w:val="restart"/>
            <w:shd w:val="clear" w:color="auto" w:fill="0E233D"/>
          </w:tcPr>
          <w:p>
            <w:pPr>
              <w:pStyle w:val="TableParagraph"/>
              <w:spacing w:before="119"/>
              <w:ind w:left="494" w:hanging="428"/>
              <w:rPr>
                <w:b/>
                <w:sz w:val="16"/>
              </w:rPr>
            </w:pPr>
            <w:r>
              <w:rPr>
                <w:b/>
                <w:color w:val="FFFFFF"/>
                <w:spacing w:val="-2"/>
                <w:sz w:val="16"/>
              </w:rPr>
              <w:t>PRESUPUESTO </w:t>
            </w:r>
            <w:r>
              <w:rPr>
                <w:b/>
                <w:color w:val="FFFFFF"/>
                <w:spacing w:val="-4"/>
                <w:sz w:val="16"/>
              </w:rPr>
              <w:t>2025</w:t>
            </w:r>
          </w:p>
        </w:tc>
        <w:tc>
          <w:tcPr>
            <w:tcW w:w="1349" w:type="dxa"/>
            <w:vMerge w:val="restart"/>
            <w:shd w:val="clear" w:color="auto" w:fill="0E233D"/>
          </w:tcPr>
          <w:p>
            <w:pPr>
              <w:pStyle w:val="TableParagraph"/>
              <w:spacing w:before="119"/>
              <w:ind w:left="494" w:hanging="428"/>
              <w:rPr>
                <w:b/>
                <w:sz w:val="16"/>
              </w:rPr>
            </w:pPr>
            <w:r>
              <w:rPr>
                <w:b/>
                <w:color w:val="FFFFFF"/>
                <w:spacing w:val="-2"/>
                <w:sz w:val="16"/>
              </w:rPr>
              <w:t>PRESUPUESTO </w:t>
            </w:r>
            <w:r>
              <w:rPr>
                <w:b/>
                <w:color w:val="FFFFFF"/>
                <w:spacing w:val="-4"/>
                <w:sz w:val="16"/>
              </w:rPr>
              <w:t>2026</w:t>
            </w:r>
          </w:p>
        </w:tc>
        <w:tc>
          <w:tcPr>
            <w:tcW w:w="2155" w:type="dxa"/>
            <w:gridSpan w:val="2"/>
            <w:shd w:val="clear" w:color="auto" w:fill="0E233D"/>
          </w:tcPr>
          <w:p>
            <w:pPr>
              <w:pStyle w:val="TableParagraph"/>
              <w:spacing w:line="183" w:lineRule="exact"/>
              <w:ind w:left="1" w:right="1"/>
              <w:jc w:val="center"/>
              <w:rPr>
                <w:b/>
                <w:sz w:val="16"/>
              </w:rPr>
            </w:pPr>
            <w:r>
              <w:rPr>
                <w:b/>
                <w:color w:val="FFFFFF"/>
                <w:sz w:val="16"/>
              </w:rPr>
              <w:t>VARIACIÓN</w:t>
            </w:r>
            <w:r>
              <w:rPr>
                <w:b/>
                <w:color w:val="FFFFFF"/>
                <w:spacing w:val="-7"/>
                <w:sz w:val="16"/>
              </w:rPr>
              <w:t> </w:t>
            </w:r>
            <w:r>
              <w:rPr>
                <w:b/>
                <w:color w:val="FFFFFF"/>
                <w:spacing w:val="-2"/>
                <w:sz w:val="16"/>
              </w:rPr>
              <w:t>ENTRE</w:t>
            </w:r>
          </w:p>
          <w:p>
            <w:pPr>
              <w:pStyle w:val="TableParagraph"/>
              <w:spacing w:line="163" w:lineRule="exact" w:before="3"/>
              <w:ind w:left="1"/>
              <w:jc w:val="center"/>
              <w:rPr>
                <w:b/>
                <w:sz w:val="16"/>
              </w:rPr>
            </w:pPr>
            <w:r>
              <w:rPr>
                <w:b/>
                <w:color w:val="FFFFFF"/>
                <w:spacing w:val="-2"/>
                <w:sz w:val="16"/>
              </w:rPr>
              <w:t>PERIODOS</w:t>
            </w:r>
          </w:p>
        </w:tc>
      </w:tr>
      <w:tr>
        <w:trPr>
          <w:trHeight w:val="225" w:hRule="atLeast"/>
        </w:trPr>
        <w:tc>
          <w:tcPr>
            <w:tcW w:w="1090" w:type="dxa"/>
            <w:vMerge/>
            <w:tcBorders>
              <w:top w:val="nil"/>
            </w:tcBorders>
            <w:shd w:val="clear" w:color="auto" w:fill="0E233D"/>
          </w:tcPr>
          <w:p>
            <w:pPr>
              <w:rPr>
                <w:sz w:val="2"/>
                <w:szCs w:val="2"/>
              </w:rPr>
            </w:pPr>
          </w:p>
        </w:tc>
        <w:tc>
          <w:tcPr>
            <w:tcW w:w="2694" w:type="dxa"/>
            <w:vMerge/>
            <w:tcBorders>
              <w:top w:val="nil"/>
            </w:tcBorders>
            <w:shd w:val="clear" w:color="auto" w:fill="0E233D"/>
          </w:tcPr>
          <w:p>
            <w:pPr>
              <w:rPr>
                <w:sz w:val="2"/>
                <w:szCs w:val="2"/>
              </w:rPr>
            </w:pPr>
          </w:p>
        </w:tc>
        <w:tc>
          <w:tcPr>
            <w:tcW w:w="1349" w:type="dxa"/>
            <w:vMerge/>
            <w:tcBorders>
              <w:top w:val="nil"/>
            </w:tcBorders>
            <w:shd w:val="clear" w:color="auto" w:fill="0E233D"/>
          </w:tcPr>
          <w:p>
            <w:pPr>
              <w:rPr>
                <w:sz w:val="2"/>
                <w:szCs w:val="2"/>
              </w:rPr>
            </w:pPr>
          </w:p>
        </w:tc>
        <w:tc>
          <w:tcPr>
            <w:tcW w:w="1349" w:type="dxa"/>
            <w:vMerge/>
            <w:tcBorders>
              <w:top w:val="nil"/>
            </w:tcBorders>
            <w:shd w:val="clear" w:color="auto" w:fill="0E233D"/>
          </w:tcPr>
          <w:p>
            <w:pPr>
              <w:rPr>
                <w:sz w:val="2"/>
                <w:szCs w:val="2"/>
              </w:rPr>
            </w:pPr>
          </w:p>
        </w:tc>
        <w:tc>
          <w:tcPr>
            <w:tcW w:w="1219" w:type="dxa"/>
            <w:shd w:val="clear" w:color="auto" w:fill="0E233D"/>
          </w:tcPr>
          <w:p>
            <w:pPr>
              <w:pStyle w:val="TableParagraph"/>
              <w:spacing w:before="17"/>
              <w:ind w:left="158"/>
              <w:rPr>
                <w:b/>
                <w:sz w:val="16"/>
              </w:rPr>
            </w:pPr>
            <w:r>
              <w:rPr>
                <w:b/>
                <w:color w:val="FFFFFF"/>
                <w:spacing w:val="-2"/>
                <w:sz w:val="16"/>
              </w:rPr>
              <w:t>ABSOLUTA</w:t>
            </w:r>
          </w:p>
        </w:tc>
        <w:tc>
          <w:tcPr>
            <w:tcW w:w="936" w:type="dxa"/>
            <w:shd w:val="clear" w:color="auto" w:fill="0E233D"/>
          </w:tcPr>
          <w:p>
            <w:pPr>
              <w:pStyle w:val="TableParagraph"/>
              <w:spacing w:before="17"/>
              <w:ind w:left="8" w:right="3"/>
              <w:jc w:val="center"/>
              <w:rPr>
                <w:b/>
                <w:sz w:val="16"/>
              </w:rPr>
            </w:pPr>
            <w:r>
              <w:rPr>
                <w:b/>
                <w:color w:val="FFFFFF"/>
                <w:spacing w:val="-2"/>
                <w:sz w:val="16"/>
              </w:rPr>
              <w:t>RELATIVA</w:t>
            </w:r>
          </w:p>
        </w:tc>
      </w:tr>
      <w:tr>
        <w:trPr>
          <w:trHeight w:val="225" w:hRule="atLeast"/>
        </w:trPr>
        <w:tc>
          <w:tcPr>
            <w:tcW w:w="1090" w:type="dxa"/>
          </w:tcPr>
          <w:p>
            <w:pPr>
              <w:pStyle w:val="TableParagraph"/>
              <w:spacing w:line="168" w:lineRule="exact" w:before="37"/>
              <w:ind w:right="495"/>
              <w:jc w:val="right"/>
              <w:rPr>
                <w:sz w:val="16"/>
              </w:rPr>
            </w:pPr>
            <w:r>
              <w:rPr>
                <w:spacing w:val="-10"/>
                <w:sz w:val="16"/>
              </w:rPr>
              <w:t>0</w:t>
            </w:r>
          </w:p>
        </w:tc>
        <w:tc>
          <w:tcPr>
            <w:tcW w:w="2694" w:type="dxa"/>
          </w:tcPr>
          <w:p>
            <w:pPr>
              <w:pStyle w:val="TableParagraph"/>
              <w:spacing w:line="168" w:lineRule="exact" w:before="37"/>
              <w:ind w:left="67"/>
              <w:rPr>
                <w:sz w:val="16"/>
              </w:rPr>
            </w:pPr>
            <w:r>
              <w:rPr>
                <w:spacing w:val="-2"/>
                <w:sz w:val="16"/>
              </w:rPr>
              <w:t>REMUNERACIONES</w:t>
            </w:r>
          </w:p>
        </w:tc>
        <w:tc>
          <w:tcPr>
            <w:tcW w:w="1349" w:type="dxa"/>
          </w:tcPr>
          <w:p>
            <w:pPr>
              <w:pStyle w:val="TableParagraph"/>
              <w:spacing w:before="17"/>
              <w:ind w:right="64"/>
              <w:jc w:val="right"/>
              <w:rPr>
                <w:sz w:val="16"/>
              </w:rPr>
            </w:pPr>
            <w:r>
              <w:rPr>
                <w:sz w:val="16"/>
              </w:rPr>
              <w:t>25</w:t>
            </w:r>
            <w:r>
              <w:rPr>
                <w:spacing w:val="-3"/>
                <w:sz w:val="16"/>
              </w:rPr>
              <w:t> </w:t>
            </w:r>
            <w:r>
              <w:rPr>
                <w:sz w:val="16"/>
              </w:rPr>
              <w:t>670</w:t>
            </w:r>
            <w:r>
              <w:rPr>
                <w:spacing w:val="-2"/>
                <w:sz w:val="16"/>
              </w:rPr>
              <w:t> 974,03</w:t>
            </w:r>
          </w:p>
        </w:tc>
        <w:tc>
          <w:tcPr>
            <w:tcW w:w="1349" w:type="dxa"/>
          </w:tcPr>
          <w:p>
            <w:pPr>
              <w:pStyle w:val="TableParagraph"/>
              <w:spacing w:line="168" w:lineRule="exact" w:before="37"/>
              <w:ind w:right="64"/>
              <w:jc w:val="right"/>
              <w:rPr>
                <w:sz w:val="16"/>
              </w:rPr>
            </w:pPr>
            <w:r>
              <w:rPr>
                <w:sz w:val="16"/>
              </w:rPr>
              <w:t>24</w:t>
            </w:r>
            <w:r>
              <w:rPr>
                <w:spacing w:val="-3"/>
                <w:sz w:val="16"/>
              </w:rPr>
              <w:t> </w:t>
            </w:r>
            <w:r>
              <w:rPr>
                <w:sz w:val="16"/>
              </w:rPr>
              <w:t>122</w:t>
            </w:r>
            <w:r>
              <w:rPr>
                <w:spacing w:val="-2"/>
                <w:sz w:val="16"/>
              </w:rPr>
              <w:t> 584,57</w:t>
            </w:r>
          </w:p>
        </w:tc>
        <w:tc>
          <w:tcPr>
            <w:tcW w:w="1219" w:type="dxa"/>
          </w:tcPr>
          <w:p>
            <w:pPr>
              <w:pStyle w:val="TableParagraph"/>
              <w:spacing w:line="168" w:lineRule="exact" w:before="37"/>
              <w:ind w:right="68"/>
              <w:jc w:val="right"/>
              <w:rPr>
                <w:sz w:val="16"/>
              </w:rPr>
            </w:pPr>
            <w:r>
              <w:rPr>
                <w:sz w:val="16"/>
              </w:rPr>
              <w:t>-1</w:t>
            </w:r>
            <w:r>
              <w:rPr>
                <w:spacing w:val="-4"/>
                <w:sz w:val="16"/>
              </w:rPr>
              <w:t> </w:t>
            </w:r>
            <w:r>
              <w:rPr>
                <w:sz w:val="16"/>
              </w:rPr>
              <w:t>548</w:t>
            </w:r>
            <w:r>
              <w:rPr>
                <w:spacing w:val="-3"/>
                <w:sz w:val="16"/>
              </w:rPr>
              <w:t> </w:t>
            </w:r>
            <w:r>
              <w:rPr>
                <w:spacing w:val="-2"/>
                <w:sz w:val="16"/>
              </w:rPr>
              <w:t>389,46</w:t>
            </w:r>
          </w:p>
        </w:tc>
        <w:tc>
          <w:tcPr>
            <w:tcW w:w="936" w:type="dxa"/>
          </w:tcPr>
          <w:p>
            <w:pPr>
              <w:pStyle w:val="TableParagraph"/>
              <w:spacing w:line="168" w:lineRule="exact" w:before="37"/>
              <w:ind w:left="8" w:right="5"/>
              <w:jc w:val="center"/>
              <w:rPr>
                <w:sz w:val="16"/>
              </w:rPr>
            </w:pPr>
            <w:r>
              <w:rPr>
                <w:spacing w:val="-2"/>
                <w:sz w:val="16"/>
              </w:rPr>
              <w:t>-6,03%</w:t>
            </w:r>
          </w:p>
        </w:tc>
      </w:tr>
      <w:tr>
        <w:trPr>
          <w:trHeight w:val="225" w:hRule="atLeast"/>
        </w:trPr>
        <w:tc>
          <w:tcPr>
            <w:tcW w:w="1090" w:type="dxa"/>
          </w:tcPr>
          <w:p>
            <w:pPr>
              <w:pStyle w:val="TableParagraph"/>
              <w:spacing w:line="168" w:lineRule="exact" w:before="37"/>
              <w:ind w:right="495"/>
              <w:jc w:val="right"/>
              <w:rPr>
                <w:sz w:val="16"/>
              </w:rPr>
            </w:pPr>
            <w:r>
              <w:rPr>
                <w:spacing w:val="-10"/>
                <w:sz w:val="16"/>
              </w:rPr>
              <w:t>1</w:t>
            </w:r>
          </w:p>
        </w:tc>
        <w:tc>
          <w:tcPr>
            <w:tcW w:w="2694" w:type="dxa"/>
          </w:tcPr>
          <w:p>
            <w:pPr>
              <w:pStyle w:val="TableParagraph"/>
              <w:spacing w:line="168" w:lineRule="exact" w:before="37"/>
              <w:ind w:left="67"/>
              <w:rPr>
                <w:sz w:val="16"/>
              </w:rPr>
            </w:pPr>
            <w:r>
              <w:rPr>
                <w:spacing w:val="-2"/>
                <w:sz w:val="16"/>
              </w:rPr>
              <w:t>SERVICIOS</w:t>
            </w:r>
          </w:p>
        </w:tc>
        <w:tc>
          <w:tcPr>
            <w:tcW w:w="1349" w:type="dxa"/>
          </w:tcPr>
          <w:p>
            <w:pPr>
              <w:pStyle w:val="TableParagraph"/>
              <w:spacing w:before="17"/>
              <w:ind w:right="64"/>
              <w:jc w:val="right"/>
              <w:rPr>
                <w:sz w:val="16"/>
              </w:rPr>
            </w:pPr>
            <w:r>
              <w:rPr>
                <w:sz w:val="16"/>
              </w:rPr>
              <w:t>15</w:t>
            </w:r>
            <w:r>
              <w:rPr>
                <w:spacing w:val="-3"/>
                <w:sz w:val="16"/>
              </w:rPr>
              <w:t> </w:t>
            </w:r>
            <w:r>
              <w:rPr>
                <w:sz w:val="16"/>
              </w:rPr>
              <w:t>953</w:t>
            </w:r>
            <w:r>
              <w:rPr>
                <w:spacing w:val="-2"/>
                <w:sz w:val="16"/>
              </w:rPr>
              <w:t> 074,31</w:t>
            </w:r>
          </w:p>
        </w:tc>
        <w:tc>
          <w:tcPr>
            <w:tcW w:w="1349" w:type="dxa"/>
          </w:tcPr>
          <w:p>
            <w:pPr>
              <w:pStyle w:val="TableParagraph"/>
              <w:spacing w:line="168" w:lineRule="exact" w:before="37"/>
              <w:ind w:right="64"/>
              <w:jc w:val="right"/>
              <w:rPr>
                <w:sz w:val="16"/>
              </w:rPr>
            </w:pPr>
            <w:r>
              <w:rPr>
                <w:sz w:val="16"/>
              </w:rPr>
              <w:t>15</w:t>
            </w:r>
            <w:r>
              <w:rPr>
                <w:spacing w:val="-3"/>
                <w:sz w:val="16"/>
              </w:rPr>
              <w:t> </w:t>
            </w:r>
            <w:r>
              <w:rPr>
                <w:sz w:val="16"/>
              </w:rPr>
              <w:t>094</w:t>
            </w:r>
            <w:r>
              <w:rPr>
                <w:spacing w:val="-2"/>
                <w:sz w:val="16"/>
              </w:rPr>
              <w:t> 088,34</w:t>
            </w:r>
          </w:p>
        </w:tc>
        <w:tc>
          <w:tcPr>
            <w:tcW w:w="1219" w:type="dxa"/>
          </w:tcPr>
          <w:p>
            <w:pPr>
              <w:pStyle w:val="TableParagraph"/>
              <w:spacing w:line="168" w:lineRule="exact" w:before="37"/>
              <w:ind w:right="68"/>
              <w:jc w:val="right"/>
              <w:rPr>
                <w:sz w:val="16"/>
              </w:rPr>
            </w:pPr>
            <w:r>
              <w:rPr>
                <w:sz w:val="16"/>
              </w:rPr>
              <w:t>-858</w:t>
            </w:r>
            <w:r>
              <w:rPr>
                <w:spacing w:val="-3"/>
                <w:sz w:val="16"/>
              </w:rPr>
              <w:t> </w:t>
            </w:r>
            <w:r>
              <w:rPr>
                <w:spacing w:val="-2"/>
                <w:sz w:val="16"/>
              </w:rPr>
              <w:t>985,97</w:t>
            </w:r>
          </w:p>
        </w:tc>
        <w:tc>
          <w:tcPr>
            <w:tcW w:w="936" w:type="dxa"/>
          </w:tcPr>
          <w:p>
            <w:pPr>
              <w:pStyle w:val="TableParagraph"/>
              <w:spacing w:line="168" w:lineRule="exact" w:before="37"/>
              <w:ind w:left="8" w:right="5"/>
              <w:jc w:val="center"/>
              <w:rPr>
                <w:sz w:val="16"/>
              </w:rPr>
            </w:pPr>
            <w:r>
              <w:rPr>
                <w:spacing w:val="-2"/>
                <w:sz w:val="16"/>
              </w:rPr>
              <w:t>-5,38%</w:t>
            </w:r>
          </w:p>
        </w:tc>
      </w:tr>
      <w:tr>
        <w:trPr>
          <w:trHeight w:val="225" w:hRule="atLeast"/>
        </w:trPr>
        <w:tc>
          <w:tcPr>
            <w:tcW w:w="1090" w:type="dxa"/>
          </w:tcPr>
          <w:p>
            <w:pPr>
              <w:pStyle w:val="TableParagraph"/>
              <w:spacing w:line="168" w:lineRule="exact" w:before="37"/>
              <w:ind w:right="495"/>
              <w:jc w:val="right"/>
              <w:rPr>
                <w:sz w:val="16"/>
              </w:rPr>
            </w:pPr>
            <w:r>
              <w:rPr>
                <w:spacing w:val="-10"/>
                <w:sz w:val="16"/>
              </w:rPr>
              <w:t>2</w:t>
            </w:r>
          </w:p>
        </w:tc>
        <w:tc>
          <w:tcPr>
            <w:tcW w:w="2694" w:type="dxa"/>
          </w:tcPr>
          <w:p>
            <w:pPr>
              <w:pStyle w:val="TableParagraph"/>
              <w:spacing w:line="168" w:lineRule="exact" w:before="37"/>
              <w:ind w:left="67"/>
              <w:rPr>
                <w:sz w:val="16"/>
              </w:rPr>
            </w:pPr>
            <w:r>
              <w:rPr>
                <w:sz w:val="16"/>
              </w:rPr>
              <w:t>MATERIALES</w:t>
            </w:r>
            <w:r>
              <w:rPr>
                <w:spacing w:val="-3"/>
                <w:sz w:val="16"/>
              </w:rPr>
              <w:t> </w:t>
            </w:r>
            <w:r>
              <w:rPr>
                <w:sz w:val="16"/>
              </w:rPr>
              <w:t>Y</w:t>
            </w:r>
            <w:r>
              <w:rPr>
                <w:spacing w:val="-7"/>
                <w:sz w:val="16"/>
              </w:rPr>
              <w:t> </w:t>
            </w:r>
            <w:r>
              <w:rPr>
                <w:spacing w:val="-2"/>
                <w:sz w:val="16"/>
              </w:rPr>
              <w:t>SUMINISTROS</w:t>
            </w:r>
          </w:p>
        </w:tc>
        <w:tc>
          <w:tcPr>
            <w:tcW w:w="1349" w:type="dxa"/>
          </w:tcPr>
          <w:p>
            <w:pPr>
              <w:pStyle w:val="TableParagraph"/>
              <w:spacing w:before="17"/>
              <w:ind w:right="64"/>
              <w:jc w:val="right"/>
              <w:rPr>
                <w:sz w:val="16"/>
              </w:rPr>
            </w:pPr>
            <w:r>
              <w:rPr>
                <w:sz w:val="16"/>
              </w:rPr>
              <w:t>17</w:t>
            </w:r>
            <w:r>
              <w:rPr>
                <w:spacing w:val="-3"/>
                <w:sz w:val="16"/>
              </w:rPr>
              <w:t> </w:t>
            </w:r>
            <w:r>
              <w:rPr>
                <w:sz w:val="16"/>
              </w:rPr>
              <w:t>700</w:t>
            </w:r>
            <w:r>
              <w:rPr>
                <w:spacing w:val="-2"/>
                <w:sz w:val="16"/>
              </w:rPr>
              <w:t> 109,39</w:t>
            </w:r>
          </w:p>
        </w:tc>
        <w:tc>
          <w:tcPr>
            <w:tcW w:w="1349" w:type="dxa"/>
          </w:tcPr>
          <w:p>
            <w:pPr>
              <w:pStyle w:val="TableParagraph"/>
              <w:spacing w:line="168" w:lineRule="exact" w:before="37"/>
              <w:ind w:right="64"/>
              <w:jc w:val="right"/>
              <w:rPr>
                <w:sz w:val="16"/>
              </w:rPr>
            </w:pPr>
            <w:r>
              <w:rPr>
                <w:sz w:val="16"/>
              </w:rPr>
              <w:t>15</w:t>
            </w:r>
            <w:r>
              <w:rPr>
                <w:spacing w:val="-3"/>
                <w:sz w:val="16"/>
              </w:rPr>
              <w:t> </w:t>
            </w:r>
            <w:r>
              <w:rPr>
                <w:sz w:val="16"/>
              </w:rPr>
              <w:t>934</w:t>
            </w:r>
            <w:r>
              <w:rPr>
                <w:spacing w:val="-2"/>
                <w:sz w:val="16"/>
              </w:rPr>
              <w:t> 815,38</w:t>
            </w:r>
          </w:p>
        </w:tc>
        <w:tc>
          <w:tcPr>
            <w:tcW w:w="1219" w:type="dxa"/>
          </w:tcPr>
          <w:p>
            <w:pPr>
              <w:pStyle w:val="TableParagraph"/>
              <w:spacing w:line="168" w:lineRule="exact" w:before="37"/>
              <w:ind w:right="68"/>
              <w:jc w:val="right"/>
              <w:rPr>
                <w:sz w:val="16"/>
              </w:rPr>
            </w:pPr>
            <w:r>
              <w:rPr>
                <w:sz w:val="16"/>
              </w:rPr>
              <w:t>-1</w:t>
            </w:r>
            <w:r>
              <w:rPr>
                <w:spacing w:val="-4"/>
                <w:sz w:val="16"/>
              </w:rPr>
              <w:t> </w:t>
            </w:r>
            <w:r>
              <w:rPr>
                <w:sz w:val="16"/>
              </w:rPr>
              <w:t>765</w:t>
            </w:r>
            <w:r>
              <w:rPr>
                <w:spacing w:val="-3"/>
                <w:sz w:val="16"/>
              </w:rPr>
              <w:t> </w:t>
            </w:r>
            <w:r>
              <w:rPr>
                <w:spacing w:val="-2"/>
                <w:sz w:val="16"/>
              </w:rPr>
              <w:t>294,01</w:t>
            </w:r>
          </w:p>
        </w:tc>
        <w:tc>
          <w:tcPr>
            <w:tcW w:w="936" w:type="dxa"/>
          </w:tcPr>
          <w:p>
            <w:pPr>
              <w:pStyle w:val="TableParagraph"/>
              <w:spacing w:line="168" w:lineRule="exact" w:before="37"/>
              <w:ind w:left="8" w:right="5"/>
              <w:jc w:val="center"/>
              <w:rPr>
                <w:sz w:val="16"/>
              </w:rPr>
            </w:pPr>
            <w:r>
              <w:rPr>
                <w:spacing w:val="-2"/>
                <w:sz w:val="16"/>
              </w:rPr>
              <w:t>-9,97%</w:t>
            </w:r>
          </w:p>
        </w:tc>
      </w:tr>
      <w:tr>
        <w:trPr>
          <w:trHeight w:val="225" w:hRule="atLeast"/>
        </w:trPr>
        <w:tc>
          <w:tcPr>
            <w:tcW w:w="1090" w:type="dxa"/>
          </w:tcPr>
          <w:p>
            <w:pPr>
              <w:pStyle w:val="TableParagraph"/>
              <w:spacing w:line="168" w:lineRule="exact" w:before="37"/>
              <w:ind w:right="495"/>
              <w:jc w:val="right"/>
              <w:rPr>
                <w:sz w:val="16"/>
              </w:rPr>
            </w:pPr>
            <w:r>
              <w:rPr>
                <w:spacing w:val="-10"/>
                <w:sz w:val="16"/>
              </w:rPr>
              <w:t>5</w:t>
            </w:r>
          </w:p>
        </w:tc>
        <w:tc>
          <w:tcPr>
            <w:tcW w:w="2694" w:type="dxa"/>
          </w:tcPr>
          <w:p>
            <w:pPr>
              <w:pStyle w:val="TableParagraph"/>
              <w:spacing w:line="168" w:lineRule="exact" w:before="37"/>
              <w:ind w:left="67"/>
              <w:rPr>
                <w:sz w:val="16"/>
              </w:rPr>
            </w:pPr>
            <w:r>
              <w:rPr>
                <w:sz w:val="16"/>
              </w:rPr>
              <w:t>BIENES</w:t>
            </w:r>
            <w:r>
              <w:rPr>
                <w:spacing w:val="-5"/>
                <w:sz w:val="16"/>
              </w:rPr>
              <w:t> </w:t>
            </w:r>
            <w:r>
              <w:rPr>
                <w:spacing w:val="-2"/>
                <w:sz w:val="16"/>
              </w:rPr>
              <w:t>DURADEROS</w:t>
            </w:r>
          </w:p>
        </w:tc>
        <w:tc>
          <w:tcPr>
            <w:tcW w:w="1349" w:type="dxa"/>
          </w:tcPr>
          <w:p>
            <w:pPr>
              <w:pStyle w:val="TableParagraph"/>
              <w:spacing w:before="17"/>
              <w:ind w:right="64"/>
              <w:jc w:val="right"/>
              <w:rPr>
                <w:sz w:val="16"/>
              </w:rPr>
            </w:pPr>
            <w:r>
              <w:rPr>
                <w:sz w:val="16"/>
              </w:rPr>
              <w:t>4</w:t>
            </w:r>
            <w:r>
              <w:rPr>
                <w:spacing w:val="-5"/>
                <w:sz w:val="16"/>
              </w:rPr>
              <w:t> </w:t>
            </w:r>
            <w:r>
              <w:rPr>
                <w:sz w:val="16"/>
              </w:rPr>
              <w:t>856</w:t>
            </w:r>
            <w:r>
              <w:rPr>
                <w:spacing w:val="-1"/>
                <w:sz w:val="16"/>
              </w:rPr>
              <w:t> </w:t>
            </w:r>
            <w:r>
              <w:rPr>
                <w:spacing w:val="-2"/>
                <w:sz w:val="16"/>
              </w:rPr>
              <w:t>816,07</w:t>
            </w:r>
          </w:p>
        </w:tc>
        <w:tc>
          <w:tcPr>
            <w:tcW w:w="1349" w:type="dxa"/>
          </w:tcPr>
          <w:p>
            <w:pPr>
              <w:pStyle w:val="TableParagraph"/>
              <w:spacing w:line="168" w:lineRule="exact" w:before="37"/>
              <w:ind w:right="64"/>
              <w:jc w:val="right"/>
              <w:rPr>
                <w:sz w:val="16"/>
              </w:rPr>
            </w:pPr>
            <w:r>
              <w:rPr>
                <w:sz w:val="16"/>
              </w:rPr>
              <w:t>6</w:t>
            </w:r>
            <w:r>
              <w:rPr>
                <w:spacing w:val="-5"/>
                <w:sz w:val="16"/>
              </w:rPr>
              <w:t> </w:t>
            </w:r>
            <w:r>
              <w:rPr>
                <w:sz w:val="16"/>
              </w:rPr>
              <w:t>202</w:t>
            </w:r>
            <w:r>
              <w:rPr>
                <w:spacing w:val="-1"/>
                <w:sz w:val="16"/>
              </w:rPr>
              <w:t> </w:t>
            </w:r>
            <w:r>
              <w:rPr>
                <w:spacing w:val="-2"/>
                <w:sz w:val="16"/>
              </w:rPr>
              <w:t>034,34</w:t>
            </w:r>
          </w:p>
        </w:tc>
        <w:tc>
          <w:tcPr>
            <w:tcW w:w="1219" w:type="dxa"/>
          </w:tcPr>
          <w:p>
            <w:pPr>
              <w:pStyle w:val="TableParagraph"/>
              <w:spacing w:line="168" w:lineRule="exact" w:before="37"/>
              <w:ind w:right="68"/>
              <w:jc w:val="right"/>
              <w:rPr>
                <w:sz w:val="16"/>
              </w:rPr>
            </w:pPr>
            <w:r>
              <w:rPr>
                <w:sz w:val="16"/>
              </w:rPr>
              <w:t>1</w:t>
            </w:r>
            <w:r>
              <w:rPr>
                <w:spacing w:val="-5"/>
                <w:sz w:val="16"/>
              </w:rPr>
              <w:t> </w:t>
            </w:r>
            <w:r>
              <w:rPr>
                <w:sz w:val="16"/>
              </w:rPr>
              <w:t>345</w:t>
            </w:r>
            <w:r>
              <w:rPr>
                <w:spacing w:val="-1"/>
                <w:sz w:val="16"/>
              </w:rPr>
              <w:t> </w:t>
            </w:r>
            <w:r>
              <w:rPr>
                <w:spacing w:val="-2"/>
                <w:sz w:val="16"/>
              </w:rPr>
              <w:t>218,27</w:t>
            </w:r>
          </w:p>
        </w:tc>
        <w:tc>
          <w:tcPr>
            <w:tcW w:w="936" w:type="dxa"/>
          </w:tcPr>
          <w:p>
            <w:pPr>
              <w:pStyle w:val="TableParagraph"/>
              <w:spacing w:line="168" w:lineRule="exact" w:before="37"/>
              <w:ind w:left="8"/>
              <w:jc w:val="center"/>
              <w:rPr>
                <w:sz w:val="16"/>
              </w:rPr>
            </w:pPr>
            <w:r>
              <w:rPr>
                <w:spacing w:val="-2"/>
                <w:sz w:val="16"/>
              </w:rPr>
              <w:t>27,70%</w:t>
            </w:r>
          </w:p>
        </w:tc>
      </w:tr>
      <w:tr>
        <w:trPr>
          <w:trHeight w:val="225" w:hRule="atLeast"/>
        </w:trPr>
        <w:tc>
          <w:tcPr>
            <w:tcW w:w="1090" w:type="dxa"/>
          </w:tcPr>
          <w:p>
            <w:pPr>
              <w:pStyle w:val="TableParagraph"/>
              <w:spacing w:line="168" w:lineRule="exact" w:before="37"/>
              <w:ind w:right="495"/>
              <w:jc w:val="right"/>
              <w:rPr>
                <w:sz w:val="16"/>
              </w:rPr>
            </w:pPr>
            <w:r>
              <w:rPr>
                <w:spacing w:val="-10"/>
                <w:sz w:val="16"/>
              </w:rPr>
              <w:t>6</w:t>
            </w:r>
          </w:p>
        </w:tc>
        <w:tc>
          <w:tcPr>
            <w:tcW w:w="2694" w:type="dxa"/>
          </w:tcPr>
          <w:p>
            <w:pPr>
              <w:pStyle w:val="TableParagraph"/>
              <w:spacing w:line="168" w:lineRule="exact" w:before="37"/>
              <w:ind w:left="67"/>
              <w:rPr>
                <w:sz w:val="16"/>
              </w:rPr>
            </w:pPr>
            <w:r>
              <w:rPr>
                <w:spacing w:val="-2"/>
                <w:sz w:val="16"/>
              </w:rPr>
              <w:t>TRANSFERENCIAS</w:t>
            </w:r>
            <w:r>
              <w:rPr>
                <w:spacing w:val="13"/>
                <w:sz w:val="16"/>
              </w:rPr>
              <w:t> </w:t>
            </w:r>
            <w:r>
              <w:rPr>
                <w:spacing w:val="-2"/>
                <w:sz w:val="16"/>
              </w:rPr>
              <w:t>CORRIENTES</w:t>
            </w:r>
          </w:p>
        </w:tc>
        <w:tc>
          <w:tcPr>
            <w:tcW w:w="1349" w:type="dxa"/>
          </w:tcPr>
          <w:p>
            <w:pPr>
              <w:pStyle w:val="TableParagraph"/>
              <w:spacing w:before="17"/>
              <w:ind w:right="64"/>
              <w:jc w:val="right"/>
              <w:rPr>
                <w:sz w:val="16"/>
              </w:rPr>
            </w:pPr>
            <w:r>
              <w:rPr>
                <w:sz w:val="16"/>
              </w:rPr>
              <w:t>213</w:t>
            </w:r>
            <w:r>
              <w:rPr>
                <w:spacing w:val="-6"/>
                <w:sz w:val="16"/>
              </w:rPr>
              <w:t> </w:t>
            </w:r>
            <w:r>
              <w:rPr>
                <w:sz w:val="16"/>
              </w:rPr>
              <w:t>404</w:t>
            </w:r>
            <w:r>
              <w:rPr>
                <w:spacing w:val="-2"/>
                <w:sz w:val="16"/>
              </w:rPr>
              <w:t> 987,96</w:t>
            </w:r>
          </w:p>
        </w:tc>
        <w:tc>
          <w:tcPr>
            <w:tcW w:w="1349" w:type="dxa"/>
          </w:tcPr>
          <w:p>
            <w:pPr>
              <w:pStyle w:val="TableParagraph"/>
              <w:spacing w:line="168" w:lineRule="exact" w:before="37"/>
              <w:ind w:right="64"/>
              <w:jc w:val="right"/>
              <w:rPr>
                <w:sz w:val="16"/>
              </w:rPr>
            </w:pPr>
            <w:r>
              <w:rPr>
                <w:sz w:val="16"/>
              </w:rPr>
              <w:t>186</w:t>
            </w:r>
            <w:r>
              <w:rPr>
                <w:spacing w:val="-6"/>
                <w:sz w:val="16"/>
              </w:rPr>
              <w:t> </w:t>
            </w:r>
            <w:r>
              <w:rPr>
                <w:sz w:val="16"/>
              </w:rPr>
              <w:t>722</w:t>
            </w:r>
            <w:r>
              <w:rPr>
                <w:spacing w:val="-2"/>
                <w:sz w:val="16"/>
              </w:rPr>
              <w:t> 781,08</w:t>
            </w:r>
          </w:p>
        </w:tc>
        <w:tc>
          <w:tcPr>
            <w:tcW w:w="1219" w:type="dxa"/>
          </w:tcPr>
          <w:p>
            <w:pPr>
              <w:pStyle w:val="TableParagraph"/>
              <w:spacing w:line="168" w:lineRule="exact" w:before="37"/>
              <w:ind w:right="68"/>
              <w:jc w:val="right"/>
              <w:rPr>
                <w:sz w:val="16"/>
              </w:rPr>
            </w:pPr>
            <w:r>
              <w:rPr>
                <w:sz w:val="16"/>
              </w:rPr>
              <w:t>-26</w:t>
            </w:r>
            <w:r>
              <w:rPr>
                <w:spacing w:val="-3"/>
                <w:sz w:val="16"/>
              </w:rPr>
              <w:t> </w:t>
            </w:r>
            <w:r>
              <w:rPr>
                <w:sz w:val="16"/>
              </w:rPr>
              <w:t>682</w:t>
            </w:r>
            <w:r>
              <w:rPr>
                <w:spacing w:val="-2"/>
                <w:sz w:val="16"/>
              </w:rPr>
              <w:t> 206,88</w:t>
            </w:r>
          </w:p>
        </w:tc>
        <w:tc>
          <w:tcPr>
            <w:tcW w:w="936" w:type="dxa"/>
          </w:tcPr>
          <w:p>
            <w:pPr>
              <w:pStyle w:val="TableParagraph"/>
              <w:spacing w:line="168" w:lineRule="exact" w:before="37"/>
              <w:ind w:left="8" w:right="5"/>
              <w:jc w:val="center"/>
              <w:rPr>
                <w:sz w:val="16"/>
              </w:rPr>
            </w:pPr>
            <w:r>
              <w:rPr>
                <w:spacing w:val="-2"/>
                <w:sz w:val="16"/>
              </w:rPr>
              <w:t>-12,50%</w:t>
            </w:r>
          </w:p>
        </w:tc>
      </w:tr>
      <w:tr>
        <w:trPr>
          <w:trHeight w:val="225" w:hRule="atLeast"/>
        </w:trPr>
        <w:tc>
          <w:tcPr>
            <w:tcW w:w="1090" w:type="dxa"/>
          </w:tcPr>
          <w:p>
            <w:pPr>
              <w:pStyle w:val="TableParagraph"/>
              <w:spacing w:line="168" w:lineRule="exact" w:before="37"/>
              <w:ind w:right="495"/>
              <w:jc w:val="right"/>
              <w:rPr>
                <w:sz w:val="16"/>
              </w:rPr>
            </w:pPr>
            <w:r>
              <w:rPr>
                <w:spacing w:val="-10"/>
                <w:sz w:val="16"/>
              </w:rPr>
              <w:t>7</w:t>
            </w:r>
          </w:p>
        </w:tc>
        <w:tc>
          <w:tcPr>
            <w:tcW w:w="2694" w:type="dxa"/>
          </w:tcPr>
          <w:p>
            <w:pPr>
              <w:pStyle w:val="TableParagraph"/>
              <w:spacing w:line="168" w:lineRule="exact" w:before="37"/>
              <w:ind w:left="67"/>
              <w:rPr>
                <w:sz w:val="16"/>
              </w:rPr>
            </w:pPr>
            <w:r>
              <w:rPr>
                <w:sz w:val="16"/>
              </w:rPr>
              <w:t>TRANSFERENCIAS</w:t>
            </w:r>
            <w:r>
              <w:rPr>
                <w:spacing w:val="-9"/>
                <w:sz w:val="16"/>
              </w:rPr>
              <w:t> </w:t>
            </w:r>
            <w:r>
              <w:rPr>
                <w:sz w:val="16"/>
              </w:rPr>
              <w:t>DE</w:t>
            </w:r>
            <w:r>
              <w:rPr>
                <w:spacing w:val="-5"/>
                <w:sz w:val="16"/>
              </w:rPr>
              <w:t> </w:t>
            </w:r>
            <w:r>
              <w:rPr>
                <w:spacing w:val="-2"/>
                <w:sz w:val="16"/>
              </w:rPr>
              <w:t>CAPITAL</w:t>
            </w:r>
          </w:p>
        </w:tc>
        <w:tc>
          <w:tcPr>
            <w:tcW w:w="1349" w:type="dxa"/>
          </w:tcPr>
          <w:p>
            <w:pPr>
              <w:pStyle w:val="TableParagraph"/>
              <w:spacing w:before="17"/>
              <w:ind w:right="64"/>
              <w:jc w:val="right"/>
              <w:rPr>
                <w:sz w:val="16"/>
              </w:rPr>
            </w:pPr>
            <w:r>
              <w:rPr>
                <w:sz w:val="16"/>
              </w:rPr>
              <w:t>1</w:t>
            </w:r>
            <w:r>
              <w:rPr>
                <w:spacing w:val="-5"/>
                <w:sz w:val="16"/>
              </w:rPr>
              <w:t> </w:t>
            </w:r>
            <w:r>
              <w:rPr>
                <w:sz w:val="16"/>
              </w:rPr>
              <w:t>267</w:t>
            </w:r>
            <w:r>
              <w:rPr>
                <w:spacing w:val="-1"/>
                <w:sz w:val="16"/>
              </w:rPr>
              <w:t> </w:t>
            </w:r>
            <w:r>
              <w:rPr>
                <w:spacing w:val="-2"/>
                <w:sz w:val="16"/>
              </w:rPr>
              <w:t>398,93</w:t>
            </w:r>
          </w:p>
        </w:tc>
        <w:tc>
          <w:tcPr>
            <w:tcW w:w="1349" w:type="dxa"/>
          </w:tcPr>
          <w:p>
            <w:pPr>
              <w:pStyle w:val="TableParagraph"/>
              <w:spacing w:line="168" w:lineRule="exact" w:before="37"/>
              <w:ind w:right="64"/>
              <w:jc w:val="right"/>
              <w:rPr>
                <w:sz w:val="16"/>
              </w:rPr>
            </w:pPr>
            <w:r>
              <w:rPr>
                <w:sz w:val="16"/>
              </w:rPr>
              <w:t>1</w:t>
            </w:r>
            <w:r>
              <w:rPr>
                <w:spacing w:val="-5"/>
                <w:sz w:val="16"/>
              </w:rPr>
              <w:t> </w:t>
            </w:r>
            <w:r>
              <w:rPr>
                <w:sz w:val="16"/>
              </w:rPr>
              <w:t>141</w:t>
            </w:r>
            <w:r>
              <w:rPr>
                <w:spacing w:val="-1"/>
                <w:sz w:val="16"/>
              </w:rPr>
              <w:t> </w:t>
            </w:r>
            <w:r>
              <w:rPr>
                <w:spacing w:val="-2"/>
                <w:sz w:val="16"/>
              </w:rPr>
              <w:t>869,55</w:t>
            </w:r>
          </w:p>
        </w:tc>
        <w:tc>
          <w:tcPr>
            <w:tcW w:w="1219" w:type="dxa"/>
          </w:tcPr>
          <w:p>
            <w:pPr>
              <w:pStyle w:val="TableParagraph"/>
              <w:spacing w:line="168" w:lineRule="exact" w:before="37"/>
              <w:ind w:right="68"/>
              <w:jc w:val="right"/>
              <w:rPr>
                <w:sz w:val="16"/>
              </w:rPr>
            </w:pPr>
            <w:r>
              <w:rPr>
                <w:sz w:val="16"/>
              </w:rPr>
              <w:t>-125</w:t>
            </w:r>
            <w:r>
              <w:rPr>
                <w:spacing w:val="-3"/>
                <w:sz w:val="16"/>
              </w:rPr>
              <w:t> </w:t>
            </w:r>
            <w:r>
              <w:rPr>
                <w:spacing w:val="-2"/>
                <w:sz w:val="16"/>
              </w:rPr>
              <w:t>529,38</w:t>
            </w:r>
          </w:p>
        </w:tc>
        <w:tc>
          <w:tcPr>
            <w:tcW w:w="936" w:type="dxa"/>
          </w:tcPr>
          <w:p>
            <w:pPr>
              <w:pStyle w:val="TableParagraph"/>
              <w:spacing w:line="168" w:lineRule="exact" w:before="37"/>
              <w:ind w:left="8" w:right="5"/>
              <w:jc w:val="center"/>
              <w:rPr>
                <w:sz w:val="16"/>
              </w:rPr>
            </w:pPr>
            <w:r>
              <w:rPr>
                <w:spacing w:val="-2"/>
                <w:sz w:val="16"/>
              </w:rPr>
              <w:t>-9,90%</w:t>
            </w:r>
          </w:p>
        </w:tc>
      </w:tr>
      <w:tr>
        <w:trPr>
          <w:trHeight w:val="225" w:hRule="atLeast"/>
        </w:trPr>
        <w:tc>
          <w:tcPr>
            <w:tcW w:w="1090" w:type="dxa"/>
            <w:shd w:val="clear" w:color="auto" w:fill="0E233D"/>
          </w:tcPr>
          <w:p>
            <w:pPr>
              <w:pStyle w:val="TableParagraph"/>
              <w:spacing w:line="168" w:lineRule="exact" w:before="37"/>
              <w:ind w:right="473"/>
              <w:jc w:val="right"/>
              <w:rPr>
                <w:b/>
                <w:sz w:val="16"/>
              </w:rPr>
            </w:pPr>
            <w:r>
              <w:rPr>
                <w:b/>
                <w:color w:val="FFFFFF"/>
                <w:spacing w:val="-2"/>
                <w:sz w:val="16"/>
              </w:rPr>
              <w:t>TOTAL</w:t>
            </w:r>
          </w:p>
        </w:tc>
        <w:tc>
          <w:tcPr>
            <w:tcW w:w="2694" w:type="dxa"/>
            <w:shd w:val="clear" w:color="auto" w:fill="0E233D"/>
          </w:tcPr>
          <w:p>
            <w:pPr>
              <w:pStyle w:val="TableParagraph"/>
              <w:rPr>
                <w:rFonts w:ascii="Times New Roman"/>
                <w:sz w:val="16"/>
              </w:rPr>
            </w:pPr>
          </w:p>
        </w:tc>
        <w:tc>
          <w:tcPr>
            <w:tcW w:w="1349" w:type="dxa"/>
            <w:shd w:val="clear" w:color="auto" w:fill="0E233D"/>
          </w:tcPr>
          <w:p>
            <w:pPr>
              <w:pStyle w:val="TableParagraph"/>
              <w:spacing w:line="168" w:lineRule="exact" w:before="37"/>
              <w:ind w:right="64"/>
              <w:jc w:val="right"/>
              <w:rPr>
                <w:b/>
                <w:sz w:val="16"/>
              </w:rPr>
            </w:pPr>
            <w:r>
              <w:rPr>
                <w:b/>
                <w:color w:val="FFFFFF"/>
                <w:sz w:val="16"/>
              </w:rPr>
              <w:t>278</w:t>
            </w:r>
            <w:r>
              <w:rPr>
                <w:b/>
                <w:color w:val="FFFFFF"/>
                <w:spacing w:val="-6"/>
                <w:sz w:val="16"/>
              </w:rPr>
              <w:t> </w:t>
            </w:r>
            <w:r>
              <w:rPr>
                <w:b/>
                <w:color w:val="FFFFFF"/>
                <w:sz w:val="16"/>
              </w:rPr>
              <w:t>853</w:t>
            </w:r>
            <w:r>
              <w:rPr>
                <w:b/>
                <w:color w:val="FFFFFF"/>
                <w:spacing w:val="-2"/>
                <w:sz w:val="16"/>
              </w:rPr>
              <w:t> 360,69</w:t>
            </w:r>
          </w:p>
        </w:tc>
        <w:tc>
          <w:tcPr>
            <w:tcW w:w="1349" w:type="dxa"/>
            <w:shd w:val="clear" w:color="auto" w:fill="0E233D"/>
          </w:tcPr>
          <w:p>
            <w:pPr>
              <w:pStyle w:val="TableParagraph"/>
              <w:spacing w:line="168" w:lineRule="exact" w:before="37"/>
              <w:ind w:right="64"/>
              <w:jc w:val="right"/>
              <w:rPr>
                <w:b/>
                <w:sz w:val="16"/>
              </w:rPr>
            </w:pPr>
            <w:r>
              <w:rPr>
                <w:b/>
                <w:color w:val="FFFFFF"/>
                <w:sz w:val="16"/>
              </w:rPr>
              <w:t>249</w:t>
            </w:r>
            <w:r>
              <w:rPr>
                <w:b/>
                <w:color w:val="FFFFFF"/>
                <w:spacing w:val="-6"/>
                <w:sz w:val="16"/>
              </w:rPr>
              <w:t> </w:t>
            </w:r>
            <w:r>
              <w:rPr>
                <w:b/>
                <w:color w:val="FFFFFF"/>
                <w:sz w:val="16"/>
              </w:rPr>
              <w:t>218</w:t>
            </w:r>
            <w:r>
              <w:rPr>
                <w:b/>
                <w:color w:val="FFFFFF"/>
                <w:spacing w:val="-2"/>
                <w:sz w:val="16"/>
              </w:rPr>
              <w:t> 173,25</w:t>
            </w:r>
          </w:p>
        </w:tc>
        <w:tc>
          <w:tcPr>
            <w:tcW w:w="1219" w:type="dxa"/>
            <w:shd w:val="clear" w:color="auto" w:fill="0E233D"/>
          </w:tcPr>
          <w:p>
            <w:pPr>
              <w:pStyle w:val="TableParagraph"/>
              <w:spacing w:line="168" w:lineRule="exact" w:before="37"/>
              <w:ind w:right="68"/>
              <w:jc w:val="right"/>
              <w:rPr>
                <w:b/>
                <w:sz w:val="16"/>
              </w:rPr>
            </w:pPr>
            <w:r>
              <w:rPr>
                <w:b/>
                <w:color w:val="FFFFFF"/>
                <w:sz w:val="16"/>
              </w:rPr>
              <w:t>-29</w:t>
            </w:r>
            <w:r>
              <w:rPr>
                <w:b/>
                <w:color w:val="FFFFFF"/>
                <w:spacing w:val="-3"/>
                <w:sz w:val="16"/>
              </w:rPr>
              <w:t> </w:t>
            </w:r>
            <w:r>
              <w:rPr>
                <w:b/>
                <w:color w:val="FFFFFF"/>
                <w:sz w:val="16"/>
              </w:rPr>
              <w:t>635</w:t>
            </w:r>
            <w:r>
              <w:rPr>
                <w:b/>
                <w:color w:val="FFFFFF"/>
                <w:spacing w:val="-2"/>
                <w:sz w:val="16"/>
              </w:rPr>
              <w:t> 187,44</w:t>
            </w:r>
          </w:p>
        </w:tc>
        <w:tc>
          <w:tcPr>
            <w:tcW w:w="936" w:type="dxa"/>
            <w:shd w:val="clear" w:color="auto" w:fill="0E233D"/>
          </w:tcPr>
          <w:p>
            <w:pPr>
              <w:pStyle w:val="TableParagraph"/>
              <w:spacing w:line="168" w:lineRule="exact" w:before="37"/>
              <w:ind w:left="8" w:right="5"/>
              <w:jc w:val="center"/>
              <w:rPr>
                <w:b/>
                <w:sz w:val="16"/>
              </w:rPr>
            </w:pPr>
            <w:r>
              <w:rPr>
                <w:b/>
                <w:color w:val="FFFFFF"/>
                <w:spacing w:val="-2"/>
                <w:sz w:val="16"/>
              </w:rPr>
              <w:t>-10,63%</w:t>
            </w:r>
          </w:p>
        </w:tc>
      </w:tr>
    </w:tbl>
    <w:p>
      <w:pPr>
        <w:spacing w:before="1"/>
        <w:ind w:left="1268" w:right="0" w:firstLine="0"/>
        <w:jc w:val="both"/>
        <w:rPr>
          <w:sz w:val="18"/>
        </w:rPr>
      </w:pPr>
      <w:r>
        <w:rPr>
          <w:sz w:val="18"/>
        </w:rPr>
        <w:t>Fuente:</w:t>
      </w:r>
      <w:r>
        <w:rPr>
          <w:spacing w:val="-2"/>
          <w:sz w:val="18"/>
        </w:rPr>
        <w:t> </w:t>
      </w:r>
      <w:r>
        <w:rPr>
          <w:sz w:val="18"/>
        </w:rPr>
        <w:t>Presupuesto</w:t>
      </w:r>
      <w:r>
        <w:rPr>
          <w:spacing w:val="-8"/>
          <w:sz w:val="18"/>
        </w:rPr>
        <w:t> </w:t>
      </w:r>
      <w:r>
        <w:rPr>
          <w:sz w:val="18"/>
        </w:rPr>
        <w:t>Ordinario</w:t>
      </w:r>
      <w:r>
        <w:rPr>
          <w:spacing w:val="-9"/>
          <w:sz w:val="18"/>
        </w:rPr>
        <w:t> </w:t>
      </w:r>
      <w:r>
        <w:rPr>
          <w:spacing w:val="-4"/>
          <w:sz w:val="18"/>
        </w:rPr>
        <w:t>2026</w:t>
      </w:r>
    </w:p>
    <w:p>
      <w:pPr>
        <w:pStyle w:val="BodyText"/>
        <w:spacing w:before="2"/>
        <w:rPr>
          <w:sz w:val="18"/>
        </w:rPr>
      </w:pPr>
    </w:p>
    <w:p>
      <w:pPr>
        <w:pStyle w:val="Heading2"/>
        <w:spacing w:line="237" w:lineRule="auto"/>
        <w:ind w:left="1185" w:right="1020"/>
        <w:jc w:val="center"/>
      </w:pPr>
      <w:bookmarkStart w:name="_bookmark48" w:id="49"/>
      <w:bookmarkEnd w:id="49"/>
      <w:r>
        <w:rPr>
          <w:b w:val="0"/>
        </w:rPr>
      </w:r>
      <w:r>
        <w:rPr/>
        <w:t>Tabla</w:t>
      </w:r>
      <w:r>
        <w:rPr>
          <w:spacing w:val="-4"/>
        </w:rPr>
        <w:t> </w:t>
      </w:r>
      <w:r>
        <w:rPr/>
        <w:t>11:</w:t>
      </w:r>
      <w:r>
        <w:rPr>
          <w:spacing w:val="-4"/>
        </w:rPr>
        <w:t> </w:t>
      </w:r>
      <w:r>
        <w:rPr/>
        <w:t>Comparación</w:t>
      </w:r>
      <w:r>
        <w:rPr>
          <w:spacing w:val="-3"/>
        </w:rPr>
        <w:t> </w:t>
      </w:r>
      <w:r>
        <w:rPr/>
        <w:t>del</w:t>
      </w:r>
      <w:r>
        <w:rPr>
          <w:spacing w:val="-6"/>
        </w:rPr>
        <w:t> </w:t>
      </w:r>
      <w:r>
        <w:rPr/>
        <w:t>Presupuesto ordinario</w:t>
      </w:r>
      <w:r>
        <w:rPr>
          <w:spacing w:val="-3"/>
        </w:rPr>
        <w:t> </w:t>
      </w:r>
      <w:r>
        <w:rPr/>
        <w:t>de</w:t>
      </w:r>
      <w:r>
        <w:rPr>
          <w:spacing w:val="-1"/>
        </w:rPr>
        <w:t> </w:t>
      </w:r>
      <w:r>
        <w:rPr/>
        <w:t>gasto</w:t>
      </w:r>
      <w:r>
        <w:rPr>
          <w:spacing w:val="-3"/>
        </w:rPr>
        <w:t> </w:t>
      </w:r>
      <w:r>
        <w:rPr/>
        <w:t>periodo</w:t>
      </w:r>
      <w:r>
        <w:rPr>
          <w:spacing w:val="-7"/>
        </w:rPr>
        <w:t> </w:t>
      </w:r>
      <w:r>
        <w:rPr/>
        <w:t>2025</w:t>
      </w:r>
      <w:r>
        <w:rPr>
          <w:spacing w:val="-5"/>
        </w:rPr>
        <w:t> </w:t>
      </w:r>
      <w:r>
        <w:rPr/>
        <w:t>y</w:t>
      </w:r>
      <w:r>
        <w:rPr>
          <w:spacing w:val="-5"/>
        </w:rPr>
        <w:t> </w:t>
      </w:r>
      <w:r>
        <w:rPr/>
        <w:t>2026, según partidas Programa Protección y Promoción Social (Miles de colones)</w:t>
      </w:r>
    </w:p>
    <w:p>
      <w:pPr>
        <w:pStyle w:val="BodyText"/>
        <w:spacing w:before="49" w:after="1"/>
        <w:rPr>
          <w:b/>
          <w:sz w:val="20"/>
        </w:rPr>
      </w:pPr>
    </w:p>
    <w:tbl>
      <w:tblPr>
        <w:tblW w:w="0" w:type="auto"/>
        <w:jc w:val="left"/>
        <w:tblInd w:w="1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50"/>
        <w:gridCol w:w="2175"/>
        <w:gridCol w:w="1676"/>
        <w:gridCol w:w="1575"/>
        <w:gridCol w:w="1359"/>
        <w:gridCol w:w="1052"/>
      </w:tblGrid>
      <w:tr>
        <w:trPr>
          <w:trHeight w:val="369" w:hRule="atLeast"/>
        </w:trPr>
        <w:tc>
          <w:tcPr>
            <w:tcW w:w="950" w:type="dxa"/>
            <w:vMerge w:val="restart"/>
            <w:shd w:val="clear" w:color="auto" w:fill="0E233D"/>
          </w:tcPr>
          <w:p>
            <w:pPr>
              <w:pStyle w:val="TableParagraph"/>
              <w:spacing w:before="49"/>
              <w:rPr>
                <w:b/>
                <w:sz w:val="16"/>
              </w:rPr>
            </w:pPr>
          </w:p>
          <w:p>
            <w:pPr>
              <w:pStyle w:val="TableParagraph"/>
              <w:ind w:left="148"/>
              <w:rPr>
                <w:b/>
                <w:sz w:val="16"/>
              </w:rPr>
            </w:pPr>
            <w:r>
              <w:rPr>
                <w:b/>
                <w:color w:val="FFFFFF"/>
                <w:spacing w:val="-2"/>
                <w:sz w:val="16"/>
              </w:rPr>
              <w:t>CODIGO</w:t>
            </w:r>
          </w:p>
        </w:tc>
        <w:tc>
          <w:tcPr>
            <w:tcW w:w="2175" w:type="dxa"/>
            <w:vMerge w:val="restart"/>
            <w:shd w:val="clear" w:color="auto" w:fill="0E233D"/>
          </w:tcPr>
          <w:p>
            <w:pPr>
              <w:pStyle w:val="TableParagraph"/>
              <w:spacing w:before="49"/>
              <w:rPr>
                <w:b/>
                <w:sz w:val="16"/>
              </w:rPr>
            </w:pPr>
          </w:p>
          <w:p>
            <w:pPr>
              <w:pStyle w:val="TableParagraph"/>
              <w:ind w:left="677"/>
              <w:rPr>
                <w:b/>
                <w:sz w:val="16"/>
              </w:rPr>
            </w:pPr>
            <w:r>
              <w:rPr>
                <w:b/>
                <w:color w:val="FFFFFF"/>
                <w:spacing w:val="-2"/>
                <w:sz w:val="16"/>
              </w:rPr>
              <w:t>PARTIDAS</w:t>
            </w:r>
          </w:p>
        </w:tc>
        <w:tc>
          <w:tcPr>
            <w:tcW w:w="1676" w:type="dxa"/>
            <w:vMerge w:val="restart"/>
            <w:shd w:val="clear" w:color="auto" w:fill="0E233D"/>
          </w:tcPr>
          <w:p>
            <w:pPr>
              <w:pStyle w:val="TableParagraph"/>
              <w:spacing w:line="244" w:lineRule="auto" w:before="46"/>
              <w:ind w:left="658" w:hanging="428"/>
              <w:rPr>
                <w:b/>
                <w:sz w:val="16"/>
              </w:rPr>
            </w:pPr>
            <w:r>
              <w:rPr>
                <w:b/>
                <w:color w:val="FFFFFF"/>
                <w:spacing w:val="-2"/>
                <w:sz w:val="16"/>
              </w:rPr>
              <w:t>PRESUPUESTO </w:t>
            </w:r>
            <w:r>
              <w:rPr>
                <w:b/>
                <w:color w:val="FFFFFF"/>
                <w:spacing w:val="-4"/>
                <w:sz w:val="16"/>
              </w:rPr>
              <w:t>2025</w:t>
            </w:r>
          </w:p>
        </w:tc>
        <w:tc>
          <w:tcPr>
            <w:tcW w:w="1575" w:type="dxa"/>
            <w:vMerge w:val="restart"/>
            <w:shd w:val="clear" w:color="auto" w:fill="0E233D"/>
          </w:tcPr>
          <w:p>
            <w:pPr>
              <w:pStyle w:val="TableParagraph"/>
              <w:spacing w:line="244" w:lineRule="auto" w:before="46"/>
              <w:ind w:left="605" w:hanging="428"/>
              <w:rPr>
                <w:b/>
                <w:sz w:val="16"/>
              </w:rPr>
            </w:pPr>
            <w:r>
              <w:rPr>
                <w:b/>
                <w:color w:val="FFFFFF"/>
                <w:spacing w:val="-2"/>
                <w:sz w:val="16"/>
              </w:rPr>
              <w:t>PRESUPUESTO </w:t>
            </w:r>
            <w:r>
              <w:rPr>
                <w:b/>
                <w:color w:val="FFFFFF"/>
                <w:spacing w:val="-4"/>
                <w:sz w:val="16"/>
              </w:rPr>
              <w:t>2026</w:t>
            </w:r>
          </w:p>
        </w:tc>
        <w:tc>
          <w:tcPr>
            <w:tcW w:w="2411" w:type="dxa"/>
            <w:gridSpan w:val="2"/>
            <w:shd w:val="clear" w:color="auto" w:fill="0E233D"/>
          </w:tcPr>
          <w:p>
            <w:pPr>
              <w:pStyle w:val="TableParagraph"/>
              <w:spacing w:line="182" w:lineRule="exact"/>
              <w:ind w:left="778" w:right="456" w:hanging="318"/>
              <w:rPr>
                <w:b/>
                <w:sz w:val="16"/>
              </w:rPr>
            </w:pPr>
            <w:r>
              <w:rPr>
                <w:b/>
                <w:color w:val="FFFFFF"/>
                <w:sz w:val="16"/>
              </w:rPr>
              <w:t>VARIACIÓN</w:t>
            </w:r>
            <w:r>
              <w:rPr>
                <w:b/>
                <w:color w:val="FFFFFF"/>
                <w:spacing w:val="-12"/>
                <w:sz w:val="16"/>
              </w:rPr>
              <w:t> </w:t>
            </w:r>
            <w:r>
              <w:rPr>
                <w:b/>
                <w:color w:val="FFFFFF"/>
                <w:sz w:val="16"/>
              </w:rPr>
              <w:t>ENTRE </w:t>
            </w:r>
            <w:r>
              <w:rPr>
                <w:b/>
                <w:color w:val="FFFFFF"/>
                <w:spacing w:val="-2"/>
                <w:sz w:val="16"/>
              </w:rPr>
              <w:t>PERIODOS</w:t>
            </w:r>
          </w:p>
        </w:tc>
      </w:tr>
      <w:tr>
        <w:trPr>
          <w:trHeight w:val="220" w:hRule="atLeast"/>
        </w:trPr>
        <w:tc>
          <w:tcPr>
            <w:tcW w:w="950" w:type="dxa"/>
            <w:vMerge/>
            <w:tcBorders>
              <w:top w:val="nil"/>
            </w:tcBorders>
            <w:shd w:val="clear" w:color="auto" w:fill="0E233D"/>
          </w:tcPr>
          <w:p>
            <w:pPr>
              <w:rPr>
                <w:sz w:val="2"/>
                <w:szCs w:val="2"/>
              </w:rPr>
            </w:pPr>
          </w:p>
        </w:tc>
        <w:tc>
          <w:tcPr>
            <w:tcW w:w="2175" w:type="dxa"/>
            <w:vMerge/>
            <w:tcBorders>
              <w:top w:val="nil"/>
            </w:tcBorders>
            <w:shd w:val="clear" w:color="auto" w:fill="0E233D"/>
          </w:tcPr>
          <w:p>
            <w:pPr>
              <w:rPr>
                <w:sz w:val="2"/>
                <w:szCs w:val="2"/>
              </w:rPr>
            </w:pPr>
          </w:p>
        </w:tc>
        <w:tc>
          <w:tcPr>
            <w:tcW w:w="1676" w:type="dxa"/>
            <w:vMerge/>
            <w:tcBorders>
              <w:top w:val="nil"/>
            </w:tcBorders>
            <w:shd w:val="clear" w:color="auto" w:fill="0E233D"/>
          </w:tcPr>
          <w:p>
            <w:pPr>
              <w:rPr>
                <w:sz w:val="2"/>
                <w:szCs w:val="2"/>
              </w:rPr>
            </w:pPr>
          </w:p>
        </w:tc>
        <w:tc>
          <w:tcPr>
            <w:tcW w:w="1575" w:type="dxa"/>
            <w:vMerge/>
            <w:tcBorders>
              <w:top w:val="nil"/>
            </w:tcBorders>
            <w:shd w:val="clear" w:color="auto" w:fill="0E233D"/>
          </w:tcPr>
          <w:p>
            <w:pPr>
              <w:rPr>
                <w:sz w:val="2"/>
                <w:szCs w:val="2"/>
              </w:rPr>
            </w:pPr>
          </w:p>
        </w:tc>
        <w:tc>
          <w:tcPr>
            <w:tcW w:w="1359" w:type="dxa"/>
            <w:shd w:val="clear" w:color="auto" w:fill="0E233D"/>
          </w:tcPr>
          <w:p>
            <w:pPr>
              <w:pStyle w:val="TableParagraph"/>
              <w:spacing w:line="163" w:lineRule="exact" w:before="37"/>
              <w:ind w:left="231"/>
              <w:rPr>
                <w:b/>
                <w:sz w:val="16"/>
              </w:rPr>
            </w:pPr>
            <w:r>
              <w:rPr>
                <w:b/>
                <w:color w:val="FFFFFF"/>
                <w:spacing w:val="-2"/>
                <w:sz w:val="16"/>
              </w:rPr>
              <w:t>ABSOLUTA</w:t>
            </w:r>
          </w:p>
        </w:tc>
        <w:tc>
          <w:tcPr>
            <w:tcW w:w="1052" w:type="dxa"/>
            <w:shd w:val="clear" w:color="auto" w:fill="0E233D"/>
          </w:tcPr>
          <w:p>
            <w:pPr>
              <w:pStyle w:val="TableParagraph"/>
              <w:spacing w:line="163" w:lineRule="exact" w:before="37"/>
              <w:ind w:left="1" w:right="4"/>
              <w:jc w:val="center"/>
              <w:rPr>
                <w:b/>
                <w:sz w:val="16"/>
              </w:rPr>
            </w:pPr>
            <w:r>
              <w:rPr>
                <w:b/>
                <w:color w:val="FFFFFF"/>
                <w:spacing w:val="-2"/>
                <w:sz w:val="16"/>
              </w:rPr>
              <w:t>RELATIVA</w:t>
            </w:r>
          </w:p>
        </w:tc>
      </w:tr>
      <w:tr>
        <w:trPr>
          <w:trHeight w:val="225" w:hRule="atLeast"/>
        </w:trPr>
        <w:tc>
          <w:tcPr>
            <w:tcW w:w="950" w:type="dxa"/>
          </w:tcPr>
          <w:p>
            <w:pPr>
              <w:pStyle w:val="TableParagraph"/>
              <w:spacing w:line="183" w:lineRule="exact" w:before="22"/>
              <w:ind w:left="2"/>
              <w:jc w:val="center"/>
              <w:rPr>
                <w:sz w:val="16"/>
              </w:rPr>
            </w:pPr>
            <w:r>
              <w:rPr>
                <w:spacing w:val="-10"/>
                <w:sz w:val="16"/>
              </w:rPr>
              <w:t>0</w:t>
            </w:r>
          </w:p>
        </w:tc>
        <w:tc>
          <w:tcPr>
            <w:tcW w:w="2175" w:type="dxa"/>
          </w:tcPr>
          <w:p>
            <w:pPr>
              <w:pStyle w:val="TableParagraph"/>
              <w:spacing w:line="183" w:lineRule="exact" w:before="22"/>
              <w:ind w:left="67"/>
              <w:rPr>
                <w:sz w:val="16"/>
              </w:rPr>
            </w:pPr>
            <w:r>
              <w:rPr>
                <w:spacing w:val="-2"/>
                <w:sz w:val="16"/>
              </w:rPr>
              <w:t>REMUNERACIONES</w:t>
            </w:r>
          </w:p>
        </w:tc>
        <w:tc>
          <w:tcPr>
            <w:tcW w:w="1676" w:type="dxa"/>
          </w:tcPr>
          <w:p>
            <w:pPr>
              <w:pStyle w:val="TableParagraph"/>
              <w:spacing w:line="183" w:lineRule="exact" w:before="22"/>
              <w:ind w:right="97"/>
              <w:jc w:val="right"/>
              <w:rPr>
                <w:sz w:val="16"/>
              </w:rPr>
            </w:pPr>
            <w:r>
              <w:rPr>
                <w:sz w:val="16"/>
              </w:rPr>
              <w:t>17</w:t>
            </w:r>
            <w:r>
              <w:rPr>
                <w:spacing w:val="-3"/>
                <w:sz w:val="16"/>
              </w:rPr>
              <w:t> </w:t>
            </w:r>
            <w:r>
              <w:rPr>
                <w:sz w:val="16"/>
              </w:rPr>
              <w:t>768</w:t>
            </w:r>
            <w:r>
              <w:rPr>
                <w:spacing w:val="-2"/>
                <w:sz w:val="16"/>
              </w:rPr>
              <w:t> 198,35</w:t>
            </w:r>
          </w:p>
        </w:tc>
        <w:tc>
          <w:tcPr>
            <w:tcW w:w="1575" w:type="dxa"/>
          </w:tcPr>
          <w:p>
            <w:pPr>
              <w:pStyle w:val="TableParagraph"/>
              <w:spacing w:line="183" w:lineRule="exact" w:before="22"/>
              <w:ind w:right="73"/>
              <w:jc w:val="right"/>
              <w:rPr>
                <w:sz w:val="16"/>
              </w:rPr>
            </w:pPr>
            <w:r>
              <w:rPr>
                <w:sz w:val="16"/>
              </w:rPr>
              <w:t>16</w:t>
            </w:r>
            <w:r>
              <w:rPr>
                <w:spacing w:val="-3"/>
                <w:sz w:val="16"/>
              </w:rPr>
              <w:t> </w:t>
            </w:r>
            <w:r>
              <w:rPr>
                <w:sz w:val="16"/>
              </w:rPr>
              <w:t>350</w:t>
            </w:r>
            <w:r>
              <w:rPr>
                <w:spacing w:val="-2"/>
                <w:sz w:val="16"/>
              </w:rPr>
              <w:t> 648,60</w:t>
            </w:r>
          </w:p>
        </w:tc>
        <w:tc>
          <w:tcPr>
            <w:tcW w:w="1359" w:type="dxa"/>
          </w:tcPr>
          <w:p>
            <w:pPr>
              <w:pStyle w:val="TableParagraph"/>
              <w:spacing w:line="183" w:lineRule="exact" w:before="22"/>
              <w:ind w:left="67"/>
              <w:rPr>
                <w:sz w:val="16"/>
              </w:rPr>
            </w:pPr>
            <w:r>
              <w:rPr>
                <w:sz w:val="16"/>
              </w:rPr>
              <w:t>-1</w:t>
            </w:r>
            <w:r>
              <w:rPr>
                <w:spacing w:val="-4"/>
                <w:sz w:val="16"/>
              </w:rPr>
              <w:t> </w:t>
            </w:r>
            <w:r>
              <w:rPr>
                <w:sz w:val="16"/>
              </w:rPr>
              <w:t>417</w:t>
            </w:r>
            <w:r>
              <w:rPr>
                <w:spacing w:val="-3"/>
                <w:sz w:val="16"/>
              </w:rPr>
              <w:t> </w:t>
            </w:r>
            <w:r>
              <w:rPr>
                <w:spacing w:val="-2"/>
                <w:sz w:val="16"/>
              </w:rPr>
              <w:t>549,76</w:t>
            </w:r>
          </w:p>
        </w:tc>
        <w:tc>
          <w:tcPr>
            <w:tcW w:w="1052" w:type="dxa"/>
          </w:tcPr>
          <w:p>
            <w:pPr>
              <w:pStyle w:val="TableParagraph"/>
              <w:spacing w:line="183" w:lineRule="exact" w:before="22"/>
              <w:ind w:left="4" w:right="3"/>
              <w:jc w:val="center"/>
              <w:rPr>
                <w:sz w:val="16"/>
              </w:rPr>
            </w:pPr>
            <w:r>
              <w:rPr>
                <w:spacing w:val="-2"/>
                <w:sz w:val="16"/>
              </w:rPr>
              <w:t>-7,98%</w:t>
            </w:r>
          </w:p>
        </w:tc>
      </w:tr>
      <w:tr>
        <w:trPr>
          <w:trHeight w:val="225" w:hRule="atLeast"/>
        </w:trPr>
        <w:tc>
          <w:tcPr>
            <w:tcW w:w="950" w:type="dxa"/>
          </w:tcPr>
          <w:p>
            <w:pPr>
              <w:pStyle w:val="TableParagraph"/>
              <w:spacing w:line="183" w:lineRule="exact" w:before="22"/>
              <w:ind w:left="2"/>
              <w:jc w:val="center"/>
              <w:rPr>
                <w:sz w:val="16"/>
              </w:rPr>
            </w:pPr>
            <w:r>
              <w:rPr>
                <w:spacing w:val="-10"/>
                <w:sz w:val="16"/>
              </w:rPr>
              <w:t>1</w:t>
            </w:r>
          </w:p>
        </w:tc>
        <w:tc>
          <w:tcPr>
            <w:tcW w:w="2175" w:type="dxa"/>
          </w:tcPr>
          <w:p>
            <w:pPr>
              <w:pStyle w:val="TableParagraph"/>
              <w:spacing w:line="183" w:lineRule="exact" w:before="22"/>
              <w:ind w:left="67"/>
              <w:rPr>
                <w:sz w:val="16"/>
              </w:rPr>
            </w:pPr>
            <w:r>
              <w:rPr>
                <w:spacing w:val="-2"/>
                <w:sz w:val="16"/>
              </w:rPr>
              <w:t>SERVICIOS</w:t>
            </w:r>
          </w:p>
        </w:tc>
        <w:tc>
          <w:tcPr>
            <w:tcW w:w="1676" w:type="dxa"/>
          </w:tcPr>
          <w:p>
            <w:pPr>
              <w:pStyle w:val="TableParagraph"/>
              <w:spacing w:line="183" w:lineRule="exact" w:before="22"/>
              <w:ind w:right="97"/>
              <w:jc w:val="right"/>
              <w:rPr>
                <w:sz w:val="16"/>
              </w:rPr>
            </w:pPr>
            <w:r>
              <w:rPr>
                <w:sz w:val="16"/>
              </w:rPr>
              <w:t>8</w:t>
            </w:r>
            <w:r>
              <w:rPr>
                <w:spacing w:val="-3"/>
                <w:sz w:val="16"/>
              </w:rPr>
              <w:t> </w:t>
            </w:r>
            <w:r>
              <w:rPr>
                <w:sz w:val="16"/>
              </w:rPr>
              <w:t>413</w:t>
            </w:r>
            <w:r>
              <w:rPr>
                <w:spacing w:val="-3"/>
                <w:sz w:val="16"/>
              </w:rPr>
              <w:t> </w:t>
            </w:r>
            <w:r>
              <w:rPr>
                <w:spacing w:val="-2"/>
                <w:sz w:val="16"/>
              </w:rPr>
              <w:t>299,40</w:t>
            </w:r>
          </w:p>
        </w:tc>
        <w:tc>
          <w:tcPr>
            <w:tcW w:w="1575" w:type="dxa"/>
          </w:tcPr>
          <w:p>
            <w:pPr>
              <w:pStyle w:val="TableParagraph"/>
              <w:spacing w:line="183" w:lineRule="exact" w:before="22"/>
              <w:ind w:right="73"/>
              <w:jc w:val="right"/>
              <w:rPr>
                <w:sz w:val="16"/>
              </w:rPr>
            </w:pPr>
            <w:r>
              <w:rPr>
                <w:sz w:val="16"/>
              </w:rPr>
              <w:t>7</w:t>
            </w:r>
            <w:r>
              <w:rPr>
                <w:spacing w:val="-1"/>
                <w:sz w:val="16"/>
              </w:rPr>
              <w:t> </w:t>
            </w:r>
            <w:r>
              <w:rPr>
                <w:sz w:val="16"/>
              </w:rPr>
              <w:t>146</w:t>
            </w:r>
            <w:r>
              <w:rPr>
                <w:spacing w:val="-1"/>
                <w:sz w:val="16"/>
              </w:rPr>
              <w:t> </w:t>
            </w:r>
            <w:r>
              <w:rPr>
                <w:spacing w:val="-2"/>
                <w:sz w:val="16"/>
              </w:rPr>
              <w:t>367,29</w:t>
            </w:r>
          </w:p>
        </w:tc>
        <w:tc>
          <w:tcPr>
            <w:tcW w:w="1359" w:type="dxa"/>
          </w:tcPr>
          <w:p>
            <w:pPr>
              <w:pStyle w:val="TableParagraph"/>
              <w:spacing w:line="183" w:lineRule="exact" w:before="22"/>
              <w:ind w:left="67"/>
              <w:rPr>
                <w:sz w:val="16"/>
              </w:rPr>
            </w:pPr>
            <w:r>
              <w:rPr>
                <w:sz w:val="16"/>
              </w:rPr>
              <w:t>-1</w:t>
            </w:r>
            <w:r>
              <w:rPr>
                <w:spacing w:val="-4"/>
                <w:sz w:val="16"/>
              </w:rPr>
              <w:t> </w:t>
            </w:r>
            <w:r>
              <w:rPr>
                <w:sz w:val="16"/>
              </w:rPr>
              <w:t>266</w:t>
            </w:r>
            <w:r>
              <w:rPr>
                <w:spacing w:val="-3"/>
                <w:sz w:val="16"/>
              </w:rPr>
              <w:t> </w:t>
            </w:r>
            <w:r>
              <w:rPr>
                <w:spacing w:val="-2"/>
                <w:sz w:val="16"/>
              </w:rPr>
              <w:t>932,11</w:t>
            </w:r>
          </w:p>
        </w:tc>
        <w:tc>
          <w:tcPr>
            <w:tcW w:w="1052" w:type="dxa"/>
          </w:tcPr>
          <w:p>
            <w:pPr>
              <w:pStyle w:val="TableParagraph"/>
              <w:spacing w:line="183" w:lineRule="exact" w:before="22"/>
              <w:ind w:left="4" w:right="3"/>
              <w:jc w:val="center"/>
              <w:rPr>
                <w:sz w:val="16"/>
              </w:rPr>
            </w:pPr>
            <w:r>
              <w:rPr>
                <w:spacing w:val="-2"/>
                <w:sz w:val="16"/>
              </w:rPr>
              <w:t>-15,06%</w:t>
            </w:r>
          </w:p>
        </w:tc>
      </w:tr>
      <w:tr>
        <w:trPr>
          <w:trHeight w:val="369" w:hRule="atLeast"/>
        </w:trPr>
        <w:tc>
          <w:tcPr>
            <w:tcW w:w="950" w:type="dxa"/>
          </w:tcPr>
          <w:p>
            <w:pPr>
              <w:pStyle w:val="TableParagraph"/>
              <w:spacing w:before="94"/>
              <w:ind w:left="2"/>
              <w:jc w:val="center"/>
              <w:rPr>
                <w:sz w:val="16"/>
              </w:rPr>
            </w:pPr>
            <w:r>
              <w:rPr>
                <w:spacing w:val="-10"/>
                <w:sz w:val="16"/>
              </w:rPr>
              <w:t>2</w:t>
            </w:r>
          </w:p>
        </w:tc>
        <w:tc>
          <w:tcPr>
            <w:tcW w:w="2175" w:type="dxa"/>
          </w:tcPr>
          <w:p>
            <w:pPr>
              <w:pStyle w:val="TableParagraph"/>
              <w:spacing w:line="183" w:lineRule="exact"/>
              <w:ind w:left="67"/>
              <w:rPr>
                <w:sz w:val="16"/>
              </w:rPr>
            </w:pPr>
            <w:r>
              <w:rPr>
                <w:sz w:val="16"/>
              </w:rPr>
              <w:t>MATERIALES</w:t>
            </w:r>
            <w:r>
              <w:rPr>
                <w:spacing w:val="-7"/>
                <w:sz w:val="16"/>
              </w:rPr>
              <w:t> </w:t>
            </w:r>
            <w:r>
              <w:rPr>
                <w:spacing w:val="-10"/>
                <w:sz w:val="16"/>
              </w:rPr>
              <w:t>Y</w:t>
            </w:r>
          </w:p>
          <w:p>
            <w:pPr>
              <w:pStyle w:val="TableParagraph"/>
              <w:spacing w:line="163" w:lineRule="exact" w:before="3"/>
              <w:ind w:left="67"/>
              <w:rPr>
                <w:sz w:val="16"/>
              </w:rPr>
            </w:pPr>
            <w:r>
              <w:rPr>
                <w:spacing w:val="-2"/>
                <w:sz w:val="16"/>
              </w:rPr>
              <w:t>SUMINISTROS</w:t>
            </w:r>
          </w:p>
        </w:tc>
        <w:tc>
          <w:tcPr>
            <w:tcW w:w="1676" w:type="dxa"/>
          </w:tcPr>
          <w:p>
            <w:pPr>
              <w:pStyle w:val="TableParagraph"/>
              <w:spacing w:before="94"/>
              <w:ind w:right="97"/>
              <w:jc w:val="right"/>
              <w:rPr>
                <w:sz w:val="16"/>
              </w:rPr>
            </w:pPr>
            <w:r>
              <w:rPr>
                <w:sz w:val="16"/>
              </w:rPr>
              <w:t>379</w:t>
            </w:r>
            <w:r>
              <w:rPr>
                <w:spacing w:val="-2"/>
                <w:sz w:val="16"/>
              </w:rPr>
              <w:t> 765,92</w:t>
            </w:r>
          </w:p>
        </w:tc>
        <w:tc>
          <w:tcPr>
            <w:tcW w:w="1575" w:type="dxa"/>
          </w:tcPr>
          <w:p>
            <w:pPr>
              <w:pStyle w:val="TableParagraph"/>
              <w:spacing w:before="94"/>
              <w:ind w:right="73"/>
              <w:jc w:val="right"/>
              <w:rPr>
                <w:sz w:val="16"/>
              </w:rPr>
            </w:pPr>
            <w:r>
              <w:rPr>
                <w:sz w:val="16"/>
              </w:rPr>
              <w:t>394</w:t>
            </w:r>
            <w:r>
              <w:rPr>
                <w:spacing w:val="-2"/>
                <w:sz w:val="16"/>
              </w:rPr>
              <w:t> 294,98</w:t>
            </w:r>
          </w:p>
        </w:tc>
        <w:tc>
          <w:tcPr>
            <w:tcW w:w="1359" w:type="dxa"/>
          </w:tcPr>
          <w:p>
            <w:pPr>
              <w:pStyle w:val="TableParagraph"/>
              <w:spacing w:before="94"/>
              <w:ind w:right="63"/>
              <w:jc w:val="right"/>
              <w:rPr>
                <w:sz w:val="16"/>
              </w:rPr>
            </w:pPr>
            <w:r>
              <w:rPr>
                <w:sz w:val="16"/>
              </w:rPr>
              <w:t>14</w:t>
            </w:r>
            <w:r>
              <w:rPr>
                <w:spacing w:val="-3"/>
                <w:sz w:val="16"/>
              </w:rPr>
              <w:t> </w:t>
            </w:r>
            <w:r>
              <w:rPr>
                <w:spacing w:val="-2"/>
                <w:sz w:val="16"/>
              </w:rPr>
              <w:t>529,06</w:t>
            </w:r>
          </w:p>
        </w:tc>
        <w:tc>
          <w:tcPr>
            <w:tcW w:w="1052" w:type="dxa"/>
          </w:tcPr>
          <w:p>
            <w:pPr>
              <w:pStyle w:val="TableParagraph"/>
              <w:spacing w:before="94"/>
              <w:ind w:left="3" w:right="3"/>
              <w:jc w:val="center"/>
              <w:rPr>
                <w:sz w:val="16"/>
              </w:rPr>
            </w:pPr>
            <w:r>
              <w:rPr>
                <w:spacing w:val="-2"/>
                <w:sz w:val="16"/>
              </w:rPr>
              <w:t>3,83%</w:t>
            </w:r>
          </w:p>
        </w:tc>
      </w:tr>
      <w:tr>
        <w:trPr>
          <w:trHeight w:val="369" w:hRule="atLeast"/>
        </w:trPr>
        <w:tc>
          <w:tcPr>
            <w:tcW w:w="950" w:type="dxa"/>
          </w:tcPr>
          <w:p>
            <w:pPr>
              <w:pStyle w:val="TableParagraph"/>
              <w:spacing w:before="90"/>
              <w:ind w:left="2"/>
              <w:jc w:val="center"/>
              <w:rPr>
                <w:sz w:val="16"/>
              </w:rPr>
            </w:pPr>
            <w:r>
              <w:rPr>
                <w:spacing w:val="-10"/>
                <w:sz w:val="16"/>
              </w:rPr>
              <w:t>3</w:t>
            </w:r>
          </w:p>
        </w:tc>
        <w:tc>
          <w:tcPr>
            <w:tcW w:w="2175" w:type="dxa"/>
          </w:tcPr>
          <w:p>
            <w:pPr>
              <w:pStyle w:val="TableParagraph"/>
              <w:spacing w:before="90"/>
              <w:ind w:left="67"/>
              <w:rPr>
                <w:sz w:val="16"/>
              </w:rPr>
            </w:pPr>
            <w:r>
              <w:rPr>
                <w:spacing w:val="-2"/>
                <w:sz w:val="16"/>
              </w:rPr>
              <w:t>INTERESES</w:t>
            </w:r>
          </w:p>
        </w:tc>
        <w:tc>
          <w:tcPr>
            <w:tcW w:w="1676" w:type="dxa"/>
          </w:tcPr>
          <w:p>
            <w:pPr>
              <w:pStyle w:val="TableParagraph"/>
              <w:spacing w:before="2"/>
              <w:rPr>
                <w:b/>
                <w:sz w:val="16"/>
              </w:rPr>
            </w:pPr>
          </w:p>
          <w:p>
            <w:pPr>
              <w:pStyle w:val="TableParagraph"/>
              <w:spacing w:line="163" w:lineRule="exact"/>
              <w:ind w:left="1"/>
              <w:jc w:val="center"/>
              <w:rPr>
                <w:sz w:val="16"/>
              </w:rPr>
            </w:pPr>
            <w:r>
              <w:rPr>
                <w:spacing w:val="-10"/>
                <w:sz w:val="16"/>
              </w:rPr>
              <w:t>-</w:t>
            </w:r>
          </w:p>
        </w:tc>
        <w:tc>
          <w:tcPr>
            <w:tcW w:w="1575" w:type="dxa"/>
          </w:tcPr>
          <w:p>
            <w:pPr>
              <w:pStyle w:val="TableParagraph"/>
              <w:spacing w:before="2"/>
              <w:rPr>
                <w:b/>
                <w:sz w:val="16"/>
              </w:rPr>
            </w:pPr>
          </w:p>
          <w:p>
            <w:pPr>
              <w:pStyle w:val="TableParagraph"/>
              <w:spacing w:line="163" w:lineRule="exact"/>
              <w:ind w:left="5"/>
              <w:jc w:val="center"/>
              <w:rPr>
                <w:sz w:val="16"/>
              </w:rPr>
            </w:pPr>
            <w:r>
              <w:rPr>
                <w:spacing w:val="-10"/>
                <w:sz w:val="16"/>
              </w:rPr>
              <w:t>-</w:t>
            </w:r>
          </w:p>
        </w:tc>
        <w:tc>
          <w:tcPr>
            <w:tcW w:w="1359" w:type="dxa"/>
          </w:tcPr>
          <w:p>
            <w:pPr>
              <w:pStyle w:val="TableParagraph"/>
              <w:spacing w:before="90"/>
              <w:ind w:right="62"/>
              <w:jc w:val="right"/>
              <w:rPr>
                <w:sz w:val="16"/>
              </w:rPr>
            </w:pPr>
            <w:r>
              <w:rPr>
                <w:spacing w:val="-4"/>
                <w:sz w:val="16"/>
              </w:rPr>
              <w:t>0,00</w:t>
            </w:r>
          </w:p>
        </w:tc>
        <w:tc>
          <w:tcPr>
            <w:tcW w:w="1052" w:type="dxa"/>
          </w:tcPr>
          <w:p>
            <w:pPr>
              <w:pStyle w:val="TableParagraph"/>
              <w:spacing w:before="90"/>
              <w:ind w:left="3" w:right="3"/>
              <w:jc w:val="center"/>
              <w:rPr>
                <w:sz w:val="16"/>
              </w:rPr>
            </w:pPr>
            <w:r>
              <w:rPr>
                <w:spacing w:val="-2"/>
                <w:sz w:val="16"/>
              </w:rPr>
              <w:t>0,00%</w:t>
            </w:r>
          </w:p>
        </w:tc>
      </w:tr>
      <w:tr>
        <w:trPr>
          <w:trHeight w:val="225" w:hRule="atLeast"/>
        </w:trPr>
        <w:tc>
          <w:tcPr>
            <w:tcW w:w="950" w:type="dxa"/>
          </w:tcPr>
          <w:p>
            <w:pPr>
              <w:pStyle w:val="TableParagraph"/>
              <w:spacing w:before="17"/>
              <w:ind w:left="2"/>
              <w:jc w:val="center"/>
              <w:rPr>
                <w:sz w:val="16"/>
              </w:rPr>
            </w:pPr>
            <w:r>
              <w:rPr>
                <w:spacing w:val="-10"/>
                <w:sz w:val="16"/>
              </w:rPr>
              <w:t>5</w:t>
            </w:r>
          </w:p>
        </w:tc>
        <w:tc>
          <w:tcPr>
            <w:tcW w:w="2175" w:type="dxa"/>
          </w:tcPr>
          <w:p>
            <w:pPr>
              <w:pStyle w:val="TableParagraph"/>
              <w:spacing w:before="17"/>
              <w:ind w:left="67"/>
              <w:rPr>
                <w:sz w:val="16"/>
              </w:rPr>
            </w:pPr>
            <w:r>
              <w:rPr>
                <w:sz w:val="16"/>
              </w:rPr>
              <w:t>BIENES</w:t>
            </w:r>
            <w:r>
              <w:rPr>
                <w:spacing w:val="-5"/>
                <w:sz w:val="16"/>
              </w:rPr>
              <w:t> </w:t>
            </w:r>
            <w:r>
              <w:rPr>
                <w:spacing w:val="-2"/>
                <w:sz w:val="16"/>
              </w:rPr>
              <w:t>DURADEROS</w:t>
            </w:r>
          </w:p>
        </w:tc>
        <w:tc>
          <w:tcPr>
            <w:tcW w:w="1676" w:type="dxa"/>
          </w:tcPr>
          <w:p>
            <w:pPr>
              <w:pStyle w:val="TableParagraph"/>
              <w:spacing w:before="17"/>
              <w:ind w:right="97"/>
              <w:jc w:val="right"/>
              <w:rPr>
                <w:sz w:val="16"/>
              </w:rPr>
            </w:pPr>
            <w:r>
              <w:rPr>
                <w:sz w:val="16"/>
              </w:rPr>
              <w:t>3</w:t>
            </w:r>
            <w:r>
              <w:rPr>
                <w:spacing w:val="-3"/>
                <w:sz w:val="16"/>
              </w:rPr>
              <w:t> </w:t>
            </w:r>
            <w:r>
              <w:rPr>
                <w:sz w:val="16"/>
              </w:rPr>
              <w:t>601</w:t>
            </w:r>
            <w:r>
              <w:rPr>
                <w:spacing w:val="-3"/>
                <w:sz w:val="16"/>
              </w:rPr>
              <w:t> </w:t>
            </w:r>
            <w:r>
              <w:rPr>
                <w:spacing w:val="-2"/>
                <w:sz w:val="16"/>
              </w:rPr>
              <w:t>729,07</w:t>
            </w:r>
          </w:p>
        </w:tc>
        <w:tc>
          <w:tcPr>
            <w:tcW w:w="1575" w:type="dxa"/>
          </w:tcPr>
          <w:p>
            <w:pPr>
              <w:pStyle w:val="TableParagraph"/>
              <w:spacing w:before="17"/>
              <w:ind w:right="93"/>
              <w:jc w:val="right"/>
              <w:rPr>
                <w:sz w:val="16"/>
              </w:rPr>
            </w:pPr>
            <w:r>
              <w:rPr>
                <w:sz w:val="16"/>
              </w:rPr>
              <w:t>5</w:t>
            </w:r>
            <w:r>
              <w:rPr>
                <w:spacing w:val="-1"/>
                <w:sz w:val="16"/>
              </w:rPr>
              <w:t> </w:t>
            </w:r>
            <w:r>
              <w:rPr>
                <w:sz w:val="16"/>
              </w:rPr>
              <w:t>111</w:t>
            </w:r>
            <w:r>
              <w:rPr>
                <w:spacing w:val="-1"/>
                <w:sz w:val="16"/>
              </w:rPr>
              <w:t> </w:t>
            </w:r>
            <w:r>
              <w:rPr>
                <w:spacing w:val="-2"/>
                <w:sz w:val="16"/>
              </w:rPr>
              <w:t>541,83</w:t>
            </w:r>
          </w:p>
        </w:tc>
        <w:tc>
          <w:tcPr>
            <w:tcW w:w="1359" w:type="dxa"/>
          </w:tcPr>
          <w:p>
            <w:pPr>
              <w:pStyle w:val="TableParagraph"/>
              <w:spacing w:before="17"/>
              <w:ind w:right="63"/>
              <w:jc w:val="right"/>
              <w:rPr>
                <w:sz w:val="16"/>
              </w:rPr>
            </w:pPr>
            <w:r>
              <w:rPr>
                <w:sz w:val="16"/>
              </w:rPr>
              <w:t>1</w:t>
            </w:r>
            <w:r>
              <w:rPr>
                <w:spacing w:val="-5"/>
                <w:sz w:val="16"/>
              </w:rPr>
              <w:t> </w:t>
            </w:r>
            <w:r>
              <w:rPr>
                <w:sz w:val="16"/>
              </w:rPr>
              <w:t>509</w:t>
            </w:r>
            <w:r>
              <w:rPr>
                <w:spacing w:val="-1"/>
                <w:sz w:val="16"/>
              </w:rPr>
              <w:t> </w:t>
            </w:r>
            <w:r>
              <w:rPr>
                <w:spacing w:val="-2"/>
                <w:sz w:val="16"/>
              </w:rPr>
              <w:t>812,76</w:t>
            </w:r>
          </w:p>
        </w:tc>
        <w:tc>
          <w:tcPr>
            <w:tcW w:w="1052" w:type="dxa"/>
          </w:tcPr>
          <w:p>
            <w:pPr>
              <w:pStyle w:val="TableParagraph"/>
              <w:spacing w:before="17"/>
              <w:ind w:left="2" w:right="3"/>
              <w:jc w:val="center"/>
              <w:rPr>
                <w:sz w:val="16"/>
              </w:rPr>
            </w:pPr>
            <w:r>
              <w:rPr>
                <w:spacing w:val="-2"/>
                <w:sz w:val="16"/>
              </w:rPr>
              <w:t>41,92%</w:t>
            </w:r>
          </w:p>
        </w:tc>
      </w:tr>
      <w:tr>
        <w:trPr>
          <w:trHeight w:val="369" w:hRule="atLeast"/>
        </w:trPr>
        <w:tc>
          <w:tcPr>
            <w:tcW w:w="950" w:type="dxa"/>
          </w:tcPr>
          <w:p>
            <w:pPr>
              <w:pStyle w:val="TableParagraph"/>
              <w:spacing w:before="89"/>
              <w:ind w:left="2"/>
              <w:jc w:val="center"/>
              <w:rPr>
                <w:sz w:val="16"/>
              </w:rPr>
            </w:pPr>
            <w:r>
              <w:rPr>
                <w:spacing w:val="-10"/>
                <w:sz w:val="16"/>
              </w:rPr>
              <w:t>6</w:t>
            </w:r>
          </w:p>
        </w:tc>
        <w:tc>
          <w:tcPr>
            <w:tcW w:w="2175" w:type="dxa"/>
          </w:tcPr>
          <w:p>
            <w:pPr>
              <w:pStyle w:val="TableParagraph"/>
              <w:spacing w:line="182" w:lineRule="exact"/>
              <w:ind w:left="67"/>
              <w:rPr>
                <w:sz w:val="16"/>
              </w:rPr>
            </w:pPr>
            <w:r>
              <w:rPr>
                <w:spacing w:val="-2"/>
                <w:sz w:val="16"/>
              </w:rPr>
              <w:t>TRANSFERENCIAS CORRIENTES</w:t>
            </w:r>
          </w:p>
        </w:tc>
        <w:tc>
          <w:tcPr>
            <w:tcW w:w="1676" w:type="dxa"/>
          </w:tcPr>
          <w:p>
            <w:pPr>
              <w:pStyle w:val="TableParagraph"/>
              <w:spacing w:before="89"/>
              <w:ind w:right="97"/>
              <w:jc w:val="right"/>
              <w:rPr>
                <w:sz w:val="16"/>
              </w:rPr>
            </w:pPr>
            <w:r>
              <w:rPr>
                <w:sz w:val="16"/>
              </w:rPr>
              <w:t>207</w:t>
            </w:r>
            <w:r>
              <w:rPr>
                <w:spacing w:val="-4"/>
                <w:sz w:val="16"/>
              </w:rPr>
              <w:t> </w:t>
            </w:r>
            <w:r>
              <w:rPr>
                <w:sz w:val="16"/>
              </w:rPr>
              <w:t>595</w:t>
            </w:r>
            <w:r>
              <w:rPr>
                <w:spacing w:val="-4"/>
                <w:sz w:val="16"/>
              </w:rPr>
              <w:t> </w:t>
            </w:r>
            <w:r>
              <w:rPr>
                <w:spacing w:val="-2"/>
                <w:sz w:val="16"/>
              </w:rPr>
              <w:t>910,96</w:t>
            </w:r>
          </w:p>
        </w:tc>
        <w:tc>
          <w:tcPr>
            <w:tcW w:w="1575" w:type="dxa"/>
          </w:tcPr>
          <w:p>
            <w:pPr>
              <w:pStyle w:val="TableParagraph"/>
              <w:spacing w:before="89"/>
              <w:ind w:right="73"/>
              <w:jc w:val="right"/>
              <w:rPr>
                <w:sz w:val="16"/>
              </w:rPr>
            </w:pPr>
            <w:r>
              <w:rPr>
                <w:sz w:val="16"/>
              </w:rPr>
              <w:t>181</w:t>
            </w:r>
            <w:r>
              <w:rPr>
                <w:spacing w:val="-2"/>
                <w:sz w:val="16"/>
              </w:rPr>
              <w:t> </w:t>
            </w:r>
            <w:r>
              <w:rPr>
                <w:sz w:val="16"/>
              </w:rPr>
              <w:t>840</w:t>
            </w:r>
            <w:r>
              <w:rPr>
                <w:spacing w:val="-2"/>
                <w:sz w:val="16"/>
              </w:rPr>
              <w:t> 487,26</w:t>
            </w:r>
          </w:p>
        </w:tc>
        <w:tc>
          <w:tcPr>
            <w:tcW w:w="1359" w:type="dxa"/>
          </w:tcPr>
          <w:p>
            <w:pPr>
              <w:pStyle w:val="TableParagraph"/>
              <w:spacing w:before="89"/>
              <w:ind w:left="67"/>
              <w:rPr>
                <w:sz w:val="16"/>
              </w:rPr>
            </w:pPr>
            <w:r>
              <w:rPr>
                <w:sz w:val="16"/>
              </w:rPr>
              <w:t>-25</w:t>
            </w:r>
            <w:r>
              <w:rPr>
                <w:spacing w:val="-3"/>
                <w:sz w:val="16"/>
              </w:rPr>
              <w:t> </w:t>
            </w:r>
            <w:r>
              <w:rPr>
                <w:sz w:val="16"/>
              </w:rPr>
              <w:t>755</w:t>
            </w:r>
            <w:r>
              <w:rPr>
                <w:spacing w:val="-2"/>
                <w:sz w:val="16"/>
              </w:rPr>
              <w:t> 423,70</w:t>
            </w:r>
          </w:p>
        </w:tc>
        <w:tc>
          <w:tcPr>
            <w:tcW w:w="1052" w:type="dxa"/>
          </w:tcPr>
          <w:p>
            <w:pPr>
              <w:pStyle w:val="TableParagraph"/>
              <w:spacing w:before="89"/>
              <w:ind w:left="4" w:right="3"/>
              <w:jc w:val="center"/>
              <w:rPr>
                <w:sz w:val="16"/>
              </w:rPr>
            </w:pPr>
            <w:r>
              <w:rPr>
                <w:spacing w:val="-2"/>
                <w:sz w:val="16"/>
              </w:rPr>
              <w:t>-12,41%</w:t>
            </w:r>
          </w:p>
        </w:tc>
      </w:tr>
      <w:tr>
        <w:trPr>
          <w:trHeight w:val="364" w:hRule="atLeast"/>
        </w:trPr>
        <w:tc>
          <w:tcPr>
            <w:tcW w:w="950" w:type="dxa"/>
          </w:tcPr>
          <w:p>
            <w:pPr>
              <w:pStyle w:val="TableParagraph"/>
              <w:spacing w:before="89"/>
              <w:ind w:left="2"/>
              <w:jc w:val="center"/>
              <w:rPr>
                <w:sz w:val="16"/>
              </w:rPr>
            </w:pPr>
            <w:r>
              <w:rPr>
                <w:spacing w:val="-10"/>
                <w:sz w:val="16"/>
              </w:rPr>
              <w:t>7</w:t>
            </w:r>
          </w:p>
        </w:tc>
        <w:tc>
          <w:tcPr>
            <w:tcW w:w="2175" w:type="dxa"/>
          </w:tcPr>
          <w:p>
            <w:pPr>
              <w:pStyle w:val="TableParagraph"/>
              <w:spacing w:line="182" w:lineRule="exact"/>
              <w:ind w:left="67"/>
              <w:rPr>
                <w:sz w:val="16"/>
              </w:rPr>
            </w:pPr>
            <w:r>
              <w:rPr>
                <w:spacing w:val="-2"/>
                <w:sz w:val="16"/>
              </w:rPr>
              <w:t>TRANSFERENCIAS</w:t>
            </w:r>
            <w:r>
              <w:rPr>
                <w:spacing w:val="-10"/>
                <w:sz w:val="16"/>
              </w:rPr>
              <w:t> </w:t>
            </w:r>
            <w:r>
              <w:rPr>
                <w:spacing w:val="-2"/>
                <w:sz w:val="16"/>
              </w:rPr>
              <w:t>DE CAPITAL</w:t>
            </w:r>
          </w:p>
        </w:tc>
        <w:tc>
          <w:tcPr>
            <w:tcW w:w="1676" w:type="dxa"/>
          </w:tcPr>
          <w:p>
            <w:pPr>
              <w:pStyle w:val="TableParagraph"/>
              <w:spacing w:before="89"/>
              <w:ind w:right="121"/>
              <w:jc w:val="right"/>
              <w:rPr>
                <w:sz w:val="16"/>
              </w:rPr>
            </w:pPr>
            <w:r>
              <w:rPr>
                <w:sz w:val="16"/>
              </w:rPr>
              <w:t>1</w:t>
            </w:r>
            <w:r>
              <w:rPr>
                <w:spacing w:val="-1"/>
                <w:sz w:val="16"/>
              </w:rPr>
              <w:t> </w:t>
            </w:r>
            <w:r>
              <w:rPr>
                <w:sz w:val="16"/>
              </w:rPr>
              <w:t>267</w:t>
            </w:r>
            <w:r>
              <w:rPr>
                <w:spacing w:val="-1"/>
                <w:sz w:val="16"/>
              </w:rPr>
              <w:t> </w:t>
            </w:r>
            <w:r>
              <w:rPr>
                <w:spacing w:val="-2"/>
                <w:sz w:val="16"/>
              </w:rPr>
              <w:t>398,93</w:t>
            </w:r>
          </w:p>
        </w:tc>
        <w:tc>
          <w:tcPr>
            <w:tcW w:w="1575" w:type="dxa"/>
          </w:tcPr>
          <w:p>
            <w:pPr>
              <w:pStyle w:val="TableParagraph"/>
              <w:spacing w:before="89"/>
              <w:ind w:right="73"/>
              <w:jc w:val="right"/>
              <w:rPr>
                <w:sz w:val="16"/>
              </w:rPr>
            </w:pPr>
            <w:r>
              <w:rPr>
                <w:sz w:val="16"/>
              </w:rPr>
              <w:t>1</w:t>
            </w:r>
            <w:r>
              <w:rPr>
                <w:spacing w:val="-1"/>
                <w:sz w:val="16"/>
              </w:rPr>
              <w:t> </w:t>
            </w:r>
            <w:r>
              <w:rPr>
                <w:sz w:val="16"/>
              </w:rPr>
              <w:t>141</w:t>
            </w:r>
            <w:r>
              <w:rPr>
                <w:spacing w:val="-1"/>
                <w:sz w:val="16"/>
              </w:rPr>
              <w:t> </w:t>
            </w:r>
            <w:r>
              <w:rPr>
                <w:spacing w:val="-2"/>
                <w:sz w:val="16"/>
              </w:rPr>
              <w:t>869,55</w:t>
            </w:r>
          </w:p>
        </w:tc>
        <w:tc>
          <w:tcPr>
            <w:tcW w:w="1359" w:type="dxa"/>
          </w:tcPr>
          <w:p>
            <w:pPr>
              <w:pStyle w:val="TableParagraph"/>
              <w:spacing w:before="89"/>
              <w:ind w:right="63"/>
              <w:jc w:val="right"/>
              <w:rPr>
                <w:sz w:val="16"/>
              </w:rPr>
            </w:pPr>
            <w:r>
              <w:rPr>
                <w:sz w:val="16"/>
              </w:rPr>
              <w:t>-125</w:t>
            </w:r>
            <w:r>
              <w:rPr>
                <w:spacing w:val="-3"/>
                <w:sz w:val="16"/>
              </w:rPr>
              <w:t> </w:t>
            </w:r>
            <w:r>
              <w:rPr>
                <w:spacing w:val="-2"/>
                <w:sz w:val="16"/>
              </w:rPr>
              <w:t>529,38</w:t>
            </w:r>
          </w:p>
        </w:tc>
        <w:tc>
          <w:tcPr>
            <w:tcW w:w="1052" w:type="dxa"/>
          </w:tcPr>
          <w:p>
            <w:pPr>
              <w:pStyle w:val="TableParagraph"/>
              <w:spacing w:before="89"/>
              <w:ind w:left="4" w:right="3"/>
              <w:jc w:val="center"/>
              <w:rPr>
                <w:sz w:val="16"/>
              </w:rPr>
            </w:pPr>
            <w:r>
              <w:rPr>
                <w:spacing w:val="-2"/>
                <w:sz w:val="16"/>
              </w:rPr>
              <w:t>-9,90%</w:t>
            </w:r>
          </w:p>
        </w:tc>
      </w:tr>
      <w:tr>
        <w:trPr>
          <w:trHeight w:val="225" w:hRule="atLeast"/>
        </w:trPr>
        <w:tc>
          <w:tcPr>
            <w:tcW w:w="950" w:type="dxa"/>
          </w:tcPr>
          <w:p>
            <w:pPr>
              <w:pStyle w:val="TableParagraph"/>
              <w:spacing w:line="183" w:lineRule="exact" w:before="22"/>
              <w:ind w:left="2"/>
              <w:jc w:val="center"/>
              <w:rPr>
                <w:sz w:val="16"/>
              </w:rPr>
            </w:pPr>
            <w:r>
              <w:rPr>
                <w:spacing w:val="-10"/>
                <w:sz w:val="16"/>
              </w:rPr>
              <w:t>9</w:t>
            </w:r>
          </w:p>
        </w:tc>
        <w:tc>
          <w:tcPr>
            <w:tcW w:w="2175" w:type="dxa"/>
          </w:tcPr>
          <w:p>
            <w:pPr>
              <w:pStyle w:val="TableParagraph"/>
              <w:spacing w:line="183" w:lineRule="exact" w:before="22"/>
              <w:ind w:left="67"/>
              <w:rPr>
                <w:sz w:val="16"/>
              </w:rPr>
            </w:pPr>
            <w:r>
              <w:rPr>
                <w:sz w:val="16"/>
              </w:rPr>
              <w:t>CUENTAS</w:t>
            </w:r>
            <w:r>
              <w:rPr>
                <w:spacing w:val="-7"/>
                <w:sz w:val="16"/>
              </w:rPr>
              <w:t> </w:t>
            </w:r>
            <w:r>
              <w:rPr>
                <w:spacing w:val="-2"/>
                <w:sz w:val="16"/>
              </w:rPr>
              <w:t>ESPECIALES</w:t>
            </w:r>
          </w:p>
        </w:tc>
        <w:tc>
          <w:tcPr>
            <w:tcW w:w="1676" w:type="dxa"/>
          </w:tcPr>
          <w:p>
            <w:pPr>
              <w:pStyle w:val="TableParagraph"/>
              <w:rPr>
                <w:rFonts w:ascii="Times New Roman"/>
                <w:sz w:val="16"/>
              </w:rPr>
            </w:pPr>
          </w:p>
        </w:tc>
        <w:tc>
          <w:tcPr>
            <w:tcW w:w="1575" w:type="dxa"/>
          </w:tcPr>
          <w:p>
            <w:pPr>
              <w:pStyle w:val="TableParagraph"/>
              <w:rPr>
                <w:rFonts w:ascii="Times New Roman"/>
                <w:sz w:val="16"/>
              </w:rPr>
            </w:pPr>
          </w:p>
        </w:tc>
        <w:tc>
          <w:tcPr>
            <w:tcW w:w="1359" w:type="dxa"/>
          </w:tcPr>
          <w:p>
            <w:pPr>
              <w:pStyle w:val="TableParagraph"/>
              <w:rPr>
                <w:rFonts w:ascii="Times New Roman"/>
                <w:sz w:val="16"/>
              </w:rPr>
            </w:pPr>
          </w:p>
        </w:tc>
        <w:tc>
          <w:tcPr>
            <w:tcW w:w="1052" w:type="dxa"/>
          </w:tcPr>
          <w:p>
            <w:pPr>
              <w:pStyle w:val="TableParagraph"/>
              <w:rPr>
                <w:rFonts w:ascii="Times New Roman"/>
                <w:sz w:val="16"/>
              </w:rPr>
            </w:pPr>
          </w:p>
        </w:tc>
      </w:tr>
      <w:tr>
        <w:trPr>
          <w:trHeight w:val="225" w:hRule="atLeast"/>
        </w:trPr>
        <w:tc>
          <w:tcPr>
            <w:tcW w:w="950" w:type="dxa"/>
            <w:shd w:val="clear" w:color="auto" w:fill="0E233D"/>
          </w:tcPr>
          <w:p>
            <w:pPr>
              <w:pStyle w:val="TableParagraph"/>
              <w:spacing w:line="183" w:lineRule="exact" w:before="22"/>
              <w:ind w:left="67"/>
              <w:rPr>
                <w:b/>
                <w:sz w:val="16"/>
              </w:rPr>
            </w:pPr>
            <w:r>
              <w:rPr>
                <w:b/>
                <w:color w:val="FFFFFF"/>
                <w:spacing w:val="-2"/>
                <w:sz w:val="16"/>
              </w:rPr>
              <w:t>TOTAL</w:t>
            </w:r>
          </w:p>
        </w:tc>
        <w:tc>
          <w:tcPr>
            <w:tcW w:w="2175" w:type="dxa"/>
            <w:shd w:val="clear" w:color="auto" w:fill="0E233D"/>
          </w:tcPr>
          <w:p>
            <w:pPr>
              <w:pStyle w:val="TableParagraph"/>
              <w:rPr>
                <w:rFonts w:ascii="Times New Roman"/>
                <w:sz w:val="16"/>
              </w:rPr>
            </w:pPr>
          </w:p>
        </w:tc>
        <w:tc>
          <w:tcPr>
            <w:tcW w:w="1676" w:type="dxa"/>
            <w:shd w:val="clear" w:color="auto" w:fill="0E233D"/>
          </w:tcPr>
          <w:p>
            <w:pPr>
              <w:pStyle w:val="TableParagraph"/>
              <w:spacing w:line="183" w:lineRule="exact" w:before="22"/>
              <w:ind w:right="63"/>
              <w:jc w:val="right"/>
              <w:rPr>
                <w:b/>
                <w:sz w:val="16"/>
              </w:rPr>
            </w:pPr>
            <w:r>
              <w:rPr>
                <w:b/>
                <w:color w:val="FFFFFF"/>
                <w:sz w:val="16"/>
              </w:rPr>
              <w:t>239</w:t>
            </w:r>
            <w:r>
              <w:rPr>
                <w:b/>
                <w:color w:val="FFFFFF"/>
                <w:spacing w:val="-6"/>
                <w:sz w:val="16"/>
              </w:rPr>
              <w:t> </w:t>
            </w:r>
            <w:r>
              <w:rPr>
                <w:b/>
                <w:color w:val="FFFFFF"/>
                <w:sz w:val="16"/>
              </w:rPr>
              <w:t>026</w:t>
            </w:r>
            <w:r>
              <w:rPr>
                <w:b/>
                <w:color w:val="FFFFFF"/>
                <w:spacing w:val="-2"/>
                <w:sz w:val="16"/>
              </w:rPr>
              <w:t> 302,63</w:t>
            </w:r>
          </w:p>
        </w:tc>
        <w:tc>
          <w:tcPr>
            <w:tcW w:w="1575" w:type="dxa"/>
            <w:shd w:val="clear" w:color="auto" w:fill="0E233D"/>
          </w:tcPr>
          <w:p>
            <w:pPr>
              <w:pStyle w:val="TableParagraph"/>
              <w:spacing w:line="183" w:lineRule="exact" w:before="22"/>
              <w:ind w:right="63"/>
              <w:jc w:val="right"/>
              <w:rPr>
                <w:b/>
                <w:sz w:val="16"/>
              </w:rPr>
            </w:pPr>
            <w:r>
              <w:rPr>
                <w:b/>
                <w:color w:val="FFFFFF"/>
                <w:sz w:val="16"/>
              </w:rPr>
              <w:t>211</w:t>
            </w:r>
            <w:r>
              <w:rPr>
                <w:b/>
                <w:color w:val="FFFFFF"/>
                <w:spacing w:val="-6"/>
                <w:sz w:val="16"/>
              </w:rPr>
              <w:t> </w:t>
            </w:r>
            <w:r>
              <w:rPr>
                <w:b/>
                <w:color w:val="FFFFFF"/>
                <w:sz w:val="16"/>
              </w:rPr>
              <w:t>985</w:t>
            </w:r>
            <w:r>
              <w:rPr>
                <w:b/>
                <w:color w:val="FFFFFF"/>
                <w:spacing w:val="-2"/>
                <w:sz w:val="16"/>
              </w:rPr>
              <w:t> 209,51</w:t>
            </w:r>
          </w:p>
        </w:tc>
        <w:tc>
          <w:tcPr>
            <w:tcW w:w="1359" w:type="dxa"/>
            <w:shd w:val="clear" w:color="auto" w:fill="0E233D"/>
          </w:tcPr>
          <w:p>
            <w:pPr>
              <w:pStyle w:val="TableParagraph"/>
              <w:spacing w:line="183" w:lineRule="exact" w:before="22"/>
              <w:ind w:right="64"/>
              <w:jc w:val="right"/>
              <w:rPr>
                <w:b/>
                <w:sz w:val="16"/>
              </w:rPr>
            </w:pPr>
            <w:r>
              <w:rPr>
                <w:b/>
                <w:color w:val="FFFFFF"/>
                <w:sz w:val="16"/>
              </w:rPr>
              <w:t>-27</w:t>
            </w:r>
            <w:r>
              <w:rPr>
                <w:b/>
                <w:color w:val="FFFFFF"/>
                <w:spacing w:val="-3"/>
                <w:sz w:val="16"/>
              </w:rPr>
              <w:t> </w:t>
            </w:r>
            <w:r>
              <w:rPr>
                <w:b/>
                <w:color w:val="FFFFFF"/>
                <w:sz w:val="16"/>
              </w:rPr>
              <w:t>041</w:t>
            </w:r>
            <w:r>
              <w:rPr>
                <w:b/>
                <w:color w:val="FFFFFF"/>
                <w:spacing w:val="-2"/>
                <w:sz w:val="16"/>
              </w:rPr>
              <w:t> 093,13</w:t>
            </w:r>
          </w:p>
        </w:tc>
        <w:tc>
          <w:tcPr>
            <w:tcW w:w="1052" w:type="dxa"/>
            <w:shd w:val="clear" w:color="auto" w:fill="0E233D"/>
          </w:tcPr>
          <w:p>
            <w:pPr>
              <w:pStyle w:val="TableParagraph"/>
              <w:spacing w:line="183" w:lineRule="exact" w:before="22"/>
              <w:ind w:left="4" w:right="3"/>
              <w:jc w:val="center"/>
              <w:rPr>
                <w:b/>
                <w:sz w:val="16"/>
              </w:rPr>
            </w:pPr>
            <w:r>
              <w:rPr>
                <w:b/>
                <w:color w:val="FFFFFF"/>
                <w:spacing w:val="-2"/>
                <w:sz w:val="16"/>
              </w:rPr>
              <w:t>-11,31%</w:t>
            </w:r>
          </w:p>
        </w:tc>
      </w:tr>
    </w:tbl>
    <w:p>
      <w:pPr>
        <w:spacing w:before="2"/>
        <w:ind w:left="1268" w:right="0" w:firstLine="0"/>
        <w:jc w:val="both"/>
        <w:rPr>
          <w:sz w:val="18"/>
        </w:rPr>
      </w:pPr>
      <w:r>
        <w:rPr>
          <w:sz w:val="18"/>
        </w:rPr>
        <w:t>Fuente:</w:t>
      </w:r>
      <w:r>
        <w:rPr>
          <w:spacing w:val="-2"/>
          <w:sz w:val="18"/>
        </w:rPr>
        <w:t> </w:t>
      </w:r>
      <w:r>
        <w:rPr>
          <w:sz w:val="18"/>
        </w:rPr>
        <w:t>Presupuesto</w:t>
      </w:r>
      <w:r>
        <w:rPr>
          <w:spacing w:val="-8"/>
          <w:sz w:val="18"/>
        </w:rPr>
        <w:t> </w:t>
      </w:r>
      <w:r>
        <w:rPr>
          <w:sz w:val="18"/>
        </w:rPr>
        <w:t>Ordinario</w:t>
      </w:r>
      <w:r>
        <w:rPr>
          <w:spacing w:val="-9"/>
          <w:sz w:val="18"/>
        </w:rPr>
        <w:t> </w:t>
      </w:r>
      <w:r>
        <w:rPr>
          <w:spacing w:val="-4"/>
          <w:sz w:val="18"/>
        </w:rPr>
        <w:t>2026</w:t>
      </w:r>
    </w:p>
    <w:p>
      <w:pPr>
        <w:spacing w:after="0"/>
        <w:jc w:val="both"/>
        <w:rPr>
          <w:sz w:val="18"/>
        </w:rPr>
        <w:sectPr>
          <w:pgSz w:w="12240" w:h="15840"/>
          <w:pgMar w:header="0" w:footer="1101" w:top="620" w:bottom="1300" w:left="720" w:right="360"/>
        </w:sectPr>
      </w:pPr>
    </w:p>
    <w:p>
      <w:pPr>
        <w:pStyle w:val="Heading2"/>
        <w:spacing w:before="75"/>
        <w:ind w:left="1185" w:right="1020"/>
        <w:jc w:val="center"/>
      </w:pPr>
      <w:bookmarkStart w:name="_bookmark49" w:id="50"/>
      <w:bookmarkEnd w:id="50"/>
      <w:r>
        <w:rPr>
          <w:b w:val="0"/>
        </w:rPr>
      </w:r>
      <w:r>
        <w:rPr/>
        <w:t>Tabla</w:t>
      </w:r>
      <w:r>
        <w:rPr>
          <w:spacing w:val="-4"/>
        </w:rPr>
        <w:t> </w:t>
      </w:r>
      <w:r>
        <w:rPr/>
        <w:t>12:</w:t>
      </w:r>
      <w:r>
        <w:rPr>
          <w:spacing w:val="-4"/>
        </w:rPr>
        <w:t> </w:t>
      </w:r>
      <w:r>
        <w:rPr/>
        <w:t>Comparación</w:t>
      </w:r>
      <w:r>
        <w:rPr>
          <w:spacing w:val="-3"/>
        </w:rPr>
        <w:t> </w:t>
      </w:r>
      <w:r>
        <w:rPr/>
        <w:t>del</w:t>
      </w:r>
      <w:r>
        <w:rPr>
          <w:spacing w:val="-6"/>
        </w:rPr>
        <w:t> </w:t>
      </w:r>
      <w:r>
        <w:rPr/>
        <w:t>Presupuesto</w:t>
      </w:r>
      <w:r>
        <w:rPr>
          <w:spacing w:val="-3"/>
        </w:rPr>
        <w:t> </w:t>
      </w:r>
      <w:r>
        <w:rPr/>
        <w:t>ordinario de</w:t>
      </w:r>
      <w:r>
        <w:rPr>
          <w:spacing w:val="-1"/>
        </w:rPr>
        <w:t> </w:t>
      </w:r>
      <w:r>
        <w:rPr/>
        <w:t>gasto</w:t>
      </w:r>
      <w:r>
        <w:rPr>
          <w:spacing w:val="-3"/>
        </w:rPr>
        <w:t> </w:t>
      </w:r>
      <w:r>
        <w:rPr/>
        <w:t>periodo</w:t>
      </w:r>
      <w:r>
        <w:rPr>
          <w:spacing w:val="-7"/>
        </w:rPr>
        <w:t> </w:t>
      </w:r>
      <w:r>
        <w:rPr/>
        <w:t>2025</w:t>
      </w:r>
      <w:r>
        <w:rPr>
          <w:spacing w:val="-5"/>
        </w:rPr>
        <w:t> </w:t>
      </w:r>
      <w:r>
        <w:rPr/>
        <w:t>y</w:t>
      </w:r>
      <w:r>
        <w:rPr>
          <w:spacing w:val="-5"/>
        </w:rPr>
        <w:t> </w:t>
      </w:r>
      <w:r>
        <w:rPr/>
        <w:t>2026, según partidas Programa Actividades Centrales, Auditoria y Avancemos</w:t>
      </w:r>
    </w:p>
    <w:p>
      <w:pPr>
        <w:spacing w:line="251" w:lineRule="exact" w:before="0"/>
        <w:ind w:left="174" w:right="0" w:firstLine="0"/>
        <w:jc w:val="center"/>
        <w:rPr>
          <w:b/>
          <w:sz w:val="22"/>
        </w:rPr>
      </w:pPr>
      <w:r>
        <w:rPr>
          <w:b/>
          <w:sz w:val="22"/>
        </w:rPr>
        <w:t>(Miles</w:t>
      </w:r>
      <w:r>
        <w:rPr>
          <w:b/>
          <w:spacing w:val="-3"/>
          <w:sz w:val="22"/>
        </w:rPr>
        <w:t> </w:t>
      </w:r>
      <w:r>
        <w:rPr>
          <w:b/>
          <w:sz w:val="22"/>
        </w:rPr>
        <w:t>de</w:t>
      </w:r>
      <w:r>
        <w:rPr>
          <w:b/>
          <w:spacing w:val="-5"/>
          <w:sz w:val="22"/>
        </w:rPr>
        <w:t> </w:t>
      </w:r>
      <w:r>
        <w:rPr>
          <w:b/>
          <w:spacing w:val="-2"/>
          <w:sz w:val="22"/>
        </w:rPr>
        <w:t>colones)</w:t>
      </w:r>
    </w:p>
    <w:tbl>
      <w:tblPr>
        <w:tblW w:w="0" w:type="auto"/>
        <w:jc w:val="left"/>
        <w:tblInd w:w="1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87"/>
        <w:gridCol w:w="2694"/>
        <w:gridCol w:w="1474"/>
        <w:gridCol w:w="1714"/>
        <w:gridCol w:w="1032"/>
        <w:gridCol w:w="936"/>
      </w:tblGrid>
      <w:tr>
        <w:trPr>
          <w:trHeight w:val="369" w:hRule="atLeast"/>
        </w:trPr>
        <w:tc>
          <w:tcPr>
            <w:tcW w:w="787" w:type="dxa"/>
            <w:vMerge w:val="restart"/>
            <w:shd w:val="clear" w:color="auto" w:fill="0E233D"/>
          </w:tcPr>
          <w:p>
            <w:pPr>
              <w:pStyle w:val="TableParagraph"/>
              <w:spacing w:before="25"/>
              <w:rPr>
                <w:b/>
                <w:sz w:val="16"/>
              </w:rPr>
            </w:pPr>
          </w:p>
          <w:p>
            <w:pPr>
              <w:pStyle w:val="TableParagraph"/>
              <w:ind w:left="67"/>
              <w:rPr>
                <w:b/>
                <w:sz w:val="16"/>
              </w:rPr>
            </w:pPr>
            <w:r>
              <w:rPr>
                <w:b/>
                <w:color w:val="FFFFFF"/>
                <w:spacing w:val="-2"/>
                <w:sz w:val="16"/>
              </w:rPr>
              <w:t>CODIGO</w:t>
            </w:r>
          </w:p>
        </w:tc>
        <w:tc>
          <w:tcPr>
            <w:tcW w:w="2694" w:type="dxa"/>
            <w:vMerge w:val="restart"/>
            <w:shd w:val="clear" w:color="auto" w:fill="0E233D"/>
          </w:tcPr>
          <w:p>
            <w:pPr>
              <w:pStyle w:val="TableParagraph"/>
              <w:spacing w:before="25"/>
              <w:rPr>
                <w:b/>
                <w:sz w:val="16"/>
              </w:rPr>
            </w:pPr>
          </w:p>
          <w:p>
            <w:pPr>
              <w:pStyle w:val="TableParagraph"/>
              <w:ind w:left="13"/>
              <w:jc w:val="center"/>
              <w:rPr>
                <w:b/>
                <w:sz w:val="16"/>
              </w:rPr>
            </w:pPr>
            <w:r>
              <w:rPr>
                <w:b/>
                <w:color w:val="FFFFFF"/>
                <w:spacing w:val="-2"/>
                <w:sz w:val="16"/>
              </w:rPr>
              <w:t>PARTIDAS</w:t>
            </w:r>
          </w:p>
        </w:tc>
        <w:tc>
          <w:tcPr>
            <w:tcW w:w="1474" w:type="dxa"/>
            <w:vMerge w:val="restart"/>
            <w:shd w:val="clear" w:color="auto" w:fill="0E233D"/>
          </w:tcPr>
          <w:p>
            <w:pPr>
              <w:pStyle w:val="TableParagraph"/>
              <w:spacing w:before="118"/>
              <w:ind w:left="557" w:hanging="428"/>
              <w:rPr>
                <w:b/>
                <w:sz w:val="16"/>
              </w:rPr>
            </w:pPr>
            <w:r>
              <w:rPr>
                <w:b/>
                <w:color w:val="FFFFFF"/>
                <w:spacing w:val="-2"/>
                <w:sz w:val="16"/>
              </w:rPr>
              <w:t>PRESUPUESTO </w:t>
            </w:r>
            <w:r>
              <w:rPr>
                <w:b/>
                <w:color w:val="FFFFFF"/>
                <w:spacing w:val="-4"/>
                <w:sz w:val="16"/>
              </w:rPr>
              <w:t>2025</w:t>
            </w:r>
          </w:p>
        </w:tc>
        <w:tc>
          <w:tcPr>
            <w:tcW w:w="1714" w:type="dxa"/>
            <w:vMerge w:val="restart"/>
            <w:shd w:val="clear" w:color="auto" w:fill="0E233D"/>
          </w:tcPr>
          <w:p>
            <w:pPr>
              <w:pStyle w:val="TableParagraph"/>
              <w:spacing w:before="118"/>
              <w:ind w:left="677" w:right="244" w:hanging="428"/>
              <w:rPr>
                <w:b/>
                <w:sz w:val="16"/>
              </w:rPr>
            </w:pPr>
            <w:r>
              <w:rPr>
                <w:b/>
                <w:color w:val="FFFFFF"/>
                <w:spacing w:val="-2"/>
                <w:sz w:val="16"/>
              </w:rPr>
              <w:t>PRESUPUESTO </w:t>
            </w:r>
            <w:r>
              <w:rPr>
                <w:b/>
                <w:color w:val="FFFFFF"/>
                <w:spacing w:val="-4"/>
                <w:sz w:val="16"/>
              </w:rPr>
              <w:t>2026</w:t>
            </w:r>
          </w:p>
        </w:tc>
        <w:tc>
          <w:tcPr>
            <w:tcW w:w="1968" w:type="dxa"/>
            <w:gridSpan w:val="2"/>
            <w:shd w:val="clear" w:color="auto" w:fill="0E233D"/>
          </w:tcPr>
          <w:p>
            <w:pPr>
              <w:pStyle w:val="TableParagraph"/>
              <w:spacing w:line="183" w:lineRule="exact"/>
              <w:ind w:left="5" w:right="1"/>
              <w:jc w:val="center"/>
              <w:rPr>
                <w:b/>
                <w:sz w:val="16"/>
              </w:rPr>
            </w:pPr>
            <w:r>
              <w:rPr>
                <w:b/>
                <w:color w:val="FFFFFF"/>
                <w:sz w:val="16"/>
              </w:rPr>
              <w:t>VARIACIÓN</w:t>
            </w:r>
            <w:r>
              <w:rPr>
                <w:b/>
                <w:color w:val="FFFFFF"/>
                <w:spacing w:val="-7"/>
                <w:sz w:val="16"/>
              </w:rPr>
              <w:t> </w:t>
            </w:r>
            <w:r>
              <w:rPr>
                <w:b/>
                <w:color w:val="FFFFFF"/>
                <w:spacing w:val="-2"/>
                <w:sz w:val="16"/>
              </w:rPr>
              <w:t>ENTRE</w:t>
            </w:r>
          </w:p>
          <w:p>
            <w:pPr>
              <w:pStyle w:val="TableParagraph"/>
              <w:spacing w:line="163" w:lineRule="exact" w:before="3"/>
              <w:ind w:left="4" w:right="5"/>
              <w:jc w:val="center"/>
              <w:rPr>
                <w:b/>
                <w:sz w:val="16"/>
              </w:rPr>
            </w:pPr>
            <w:r>
              <w:rPr>
                <w:b/>
                <w:color w:val="FFFFFF"/>
                <w:spacing w:val="-2"/>
                <w:sz w:val="16"/>
              </w:rPr>
              <w:t>PERIODOS</w:t>
            </w:r>
          </w:p>
        </w:tc>
      </w:tr>
      <w:tr>
        <w:trPr>
          <w:trHeight w:val="225" w:hRule="atLeast"/>
        </w:trPr>
        <w:tc>
          <w:tcPr>
            <w:tcW w:w="787" w:type="dxa"/>
            <w:vMerge/>
            <w:tcBorders>
              <w:top w:val="nil"/>
            </w:tcBorders>
            <w:shd w:val="clear" w:color="auto" w:fill="0E233D"/>
          </w:tcPr>
          <w:p>
            <w:pPr>
              <w:rPr>
                <w:sz w:val="2"/>
                <w:szCs w:val="2"/>
              </w:rPr>
            </w:pPr>
          </w:p>
        </w:tc>
        <w:tc>
          <w:tcPr>
            <w:tcW w:w="2694" w:type="dxa"/>
            <w:vMerge/>
            <w:tcBorders>
              <w:top w:val="nil"/>
            </w:tcBorders>
            <w:shd w:val="clear" w:color="auto" w:fill="0E233D"/>
          </w:tcPr>
          <w:p>
            <w:pPr>
              <w:rPr>
                <w:sz w:val="2"/>
                <w:szCs w:val="2"/>
              </w:rPr>
            </w:pPr>
          </w:p>
        </w:tc>
        <w:tc>
          <w:tcPr>
            <w:tcW w:w="1474" w:type="dxa"/>
            <w:vMerge/>
            <w:tcBorders>
              <w:top w:val="nil"/>
            </w:tcBorders>
            <w:shd w:val="clear" w:color="auto" w:fill="0E233D"/>
          </w:tcPr>
          <w:p>
            <w:pPr>
              <w:rPr>
                <w:sz w:val="2"/>
                <w:szCs w:val="2"/>
              </w:rPr>
            </w:pPr>
          </w:p>
        </w:tc>
        <w:tc>
          <w:tcPr>
            <w:tcW w:w="1714" w:type="dxa"/>
            <w:vMerge/>
            <w:tcBorders>
              <w:top w:val="nil"/>
            </w:tcBorders>
            <w:shd w:val="clear" w:color="auto" w:fill="0E233D"/>
          </w:tcPr>
          <w:p>
            <w:pPr>
              <w:rPr>
                <w:sz w:val="2"/>
                <w:szCs w:val="2"/>
              </w:rPr>
            </w:pPr>
          </w:p>
        </w:tc>
        <w:tc>
          <w:tcPr>
            <w:tcW w:w="1032" w:type="dxa"/>
            <w:shd w:val="clear" w:color="auto" w:fill="0E233D"/>
          </w:tcPr>
          <w:p>
            <w:pPr>
              <w:pStyle w:val="TableParagraph"/>
              <w:spacing w:before="18"/>
              <w:ind w:left="31" w:right="31"/>
              <w:jc w:val="center"/>
              <w:rPr>
                <w:b/>
                <w:sz w:val="16"/>
              </w:rPr>
            </w:pPr>
            <w:r>
              <w:rPr>
                <w:b/>
                <w:color w:val="FFFFFF"/>
                <w:spacing w:val="-2"/>
                <w:sz w:val="16"/>
              </w:rPr>
              <w:t>ABSOLUTA</w:t>
            </w:r>
          </w:p>
        </w:tc>
        <w:tc>
          <w:tcPr>
            <w:tcW w:w="936" w:type="dxa"/>
            <w:shd w:val="clear" w:color="auto" w:fill="0E233D"/>
          </w:tcPr>
          <w:p>
            <w:pPr>
              <w:pStyle w:val="TableParagraph"/>
              <w:spacing w:before="18"/>
              <w:ind w:left="8" w:right="3"/>
              <w:jc w:val="center"/>
              <w:rPr>
                <w:b/>
                <w:sz w:val="16"/>
              </w:rPr>
            </w:pPr>
            <w:r>
              <w:rPr>
                <w:b/>
                <w:color w:val="FFFFFF"/>
                <w:spacing w:val="-2"/>
                <w:sz w:val="16"/>
              </w:rPr>
              <w:t>RELATIVA</w:t>
            </w:r>
          </w:p>
        </w:tc>
      </w:tr>
      <w:tr>
        <w:trPr>
          <w:trHeight w:val="225" w:hRule="atLeast"/>
        </w:trPr>
        <w:tc>
          <w:tcPr>
            <w:tcW w:w="787" w:type="dxa"/>
          </w:tcPr>
          <w:p>
            <w:pPr>
              <w:pStyle w:val="TableParagraph"/>
              <w:spacing w:before="17"/>
              <w:ind w:left="1"/>
              <w:jc w:val="center"/>
              <w:rPr>
                <w:sz w:val="16"/>
              </w:rPr>
            </w:pPr>
            <w:r>
              <w:rPr>
                <w:spacing w:val="-10"/>
                <w:sz w:val="16"/>
              </w:rPr>
              <w:t>0</w:t>
            </w:r>
          </w:p>
        </w:tc>
        <w:tc>
          <w:tcPr>
            <w:tcW w:w="2694" w:type="dxa"/>
          </w:tcPr>
          <w:p>
            <w:pPr>
              <w:pStyle w:val="TableParagraph"/>
              <w:spacing w:before="17"/>
              <w:ind w:left="72"/>
              <w:rPr>
                <w:sz w:val="16"/>
              </w:rPr>
            </w:pPr>
            <w:r>
              <w:rPr>
                <w:spacing w:val="-2"/>
                <w:sz w:val="16"/>
              </w:rPr>
              <w:t>REMUNERACIONES</w:t>
            </w:r>
          </w:p>
        </w:tc>
        <w:tc>
          <w:tcPr>
            <w:tcW w:w="1474" w:type="dxa"/>
          </w:tcPr>
          <w:p>
            <w:pPr>
              <w:pStyle w:val="TableParagraph"/>
              <w:spacing w:before="17"/>
              <w:ind w:right="112"/>
              <w:jc w:val="right"/>
              <w:rPr>
                <w:sz w:val="16"/>
              </w:rPr>
            </w:pPr>
            <w:r>
              <w:rPr>
                <w:sz w:val="16"/>
              </w:rPr>
              <w:t>5</w:t>
            </w:r>
            <w:r>
              <w:rPr>
                <w:spacing w:val="-1"/>
                <w:sz w:val="16"/>
              </w:rPr>
              <w:t> </w:t>
            </w:r>
            <w:r>
              <w:rPr>
                <w:sz w:val="16"/>
              </w:rPr>
              <w:t>554</w:t>
            </w:r>
            <w:r>
              <w:rPr>
                <w:spacing w:val="-1"/>
                <w:sz w:val="16"/>
              </w:rPr>
              <w:t> </w:t>
            </w:r>
            <w:r>
              <w:rPr>
                <w:spacing w:val="-2"/>
                <w:sz w:val="16"/>
              </w:rPr>
              <w:t>749,03</w:t>
            </w:r>
          </w:p>
        </w:tc>
        <w:tc>
          <w:tcPr>
            <w:tcW w:w="1714" w:type="dxa"/>
          </w:tcPr>
          <w:p>
            <w:pPr>
              <w:pStyle w:val="TableParagraph"/>
              <w:spacing w:before="17"/>
              <w:ind w:right="63"/>
              <w:jc w:val="right"/>
              <w:rPr>
                <w:sz w:val="16"/>
              </w:rPr>
            </w:pPr>
            <w:r>
              <w:rPr>
                <w:sz w:val="16"/>
              </w:rPr>
              <w:t>5</w:t>
            </w:r>
            <w:r>
              <w:rPr>
                <w:spacing w:val="-5"/>
                <w:sz w:val="16"/>
              </w:rPr>
              <w:t> </w:t>
            </w:r>
            <w:r>
              <w:rPr>
                <w:sz w:val="16"/>
              </w:rPr>
              <w:t>373</w:t>
            </w:r>
            <w:r>
              <w:rPr>
                <w:spacing w:val="-1"/>
                <w:sz w:val="16"/>
              </w:rPr>
              <w:t> </w:t>
            </w:r>
            <w:r>
              <w:rPr>
                <w:spacing w:val="-2"/>
                <w:sz w:val="16"/>
              </w:rPr>
              <w:t>784,23</w:t>
            </w:r>
          </w:p>
        </w:tc>
        <w:tc>
          <w:tcPr>
            <w:tcW w:w="1032" w:type="dxa"/>
          </w:tcPr>
          <w:p>
            <w:pPr>
              <w:pStyle w:val="TableParagraph"/>
              <w:spacing w:before="17"/>
              <w:ind w:left="31"/>
              <w:jc w:val="center"/>
              <w:rPr>
                <w:sz w:val="16"/>
              </w:rPr>
            </w:pPr>
            <w:r>
              <w:rPr>
                <w:sz w:val="16"/>
              </w:rPr>
              <w:t>-180</w:t>
            </w:r>
            <w:r>
              <w:rPr>
                <w:spacing w:val="-3"/>
                <w:sz w:val="16"/>
              </w:rPr>
              <w:t> </w:t>
            </w:r>
            <w:r>
              <w:rPr>
                <w:spacing w:val="-2"/>
                <w:sz w:val="16"/>
              </w:rPr>
              <w:t>964,79</w:t>
            </w:r>
          </w:p>
        </w:tc>
        <w:tc>
          <w:tcPr>
            <w:tcW w:w="936" w:type="dxa"/>
          </w:tcPr>
          <w:p>
            <w:pPr>
              <w:pStyle w:val="TableParagraph"/>
              <w:spacing w:before="17"/>
              <w:ind w:left="8" w:right="5"/>
              <w:jc w:val="center"/>
              <w:rPr>
                <w:sz w:val="16"/>
              </w:rPr>
            </w:pPr>
            <w:r>
              <w:rPr>
                <w:spacing w:val="-2"/>
                <w:sz w:val="16"/>
              </w:rPr>
              <w:t>-3,26%</w:t>
            </w:r>
          </w:p>
        </w:tc>
      </w:tr>
      <w:tr>
        <w:trPr>
          <w:trHeight w:val="225" w:hRule="atLeast"/>
        </w:trPr>
        <w:tc>
          <w:tcPr>
            <w:tcW w:w="787" w:type="dxa"/>
          </w:tcPr>
          <w:p>
            <w:pPr>
              <w:pStyle w:val="TableParagraph"/>
              <w:spacing w:before="17"/>
              <w:ind w:left="1"/>
              <w:jc w:val="center"/>
              <w:rPr>
                <w:sz w:val="16"/>
              </w:rPr>
            </w:pPr>
            <w:r>
              <w:rPr>
                <w:spacing w:val="-10"/>
                <w:sz w:val="16"/>
              </w:rPr>
              <w:t>1</w:t>
            </w:r>
          </w:p>
        </w:tc>
        <w:tc>
          <w:tcPr>
            <w:tcW w:w="2694" w:type="dxa"/>
          </w:tcPr>
          <w:p>
            <w:pPr>
              <w:pStyle w:val="TableParagraph"/>
              <w:spacing w:before="17"/>
              <w:ind w:left="72"/>
              <w:rPr>
                <w:sz w:val="16"/>
              </w:rPr>
            </w:pPr>
            <w:r>
              <w:rPr>
                <w:spacing w:val="-2"/>
                <w:sz w:val="16"/>
              </w:rPr>
              <w:t>SERVICIOS</w:t>
            </w:r>
          </w:p>
        </w:tc>
        <w:tc>
          <w:tcPr>
            <w:tcW w:w="1474" w:type="dxa"/>
          </w:tcPr>
          <w:p>
            <w:pPr>
              <w:pStyle w:val="TableParagraph"/>
              <w:spacing w:before="17"/>
              <w:ind w:right="112"/>
              <w:jc w:val="right"/>
              <w:rPr>
                <w:sz w:val="16"/>
              </w:rPr>
            </w:pPr>
            <w:r>
              <w:rPr>
                <w:sz w:val="16"/>
              </w:rPr>
              <w:t>4</w:t>
            </w:r>
            <w:r>
              <w:rPr>
                <w:spacing w:val="-1"/>
                <w:sz w:val="16"/>
              </w:rPr>
              <w:t> </w:t>
            </w:r>
            <w:r>
              <w:rPr>
                <w:sz w:val="16"/>
              </w:rPr>
              <w:t>491</w:t>
            </w:r>
            <w:r>
              <w:rPr>
                <w:spacing w:val="-1"/>
                <w:sz w:val="16"/>
              </w:rPr>
              <w:t> </w:t>
            </w:r>
            <w:r>
              <w:rPr>
                <w:spacing w:val="-2"/>
                <w:sz w:val="16"/>
              </w:rPr>
              <w:t>344,04</w:t>
            </w:r>
          </w:p>
        </w:tc>
        <w:tc>
          <w:tcPr>
            <w:tcW w:w="1714" w:type="dxa"/>
          </w:tcPr>
          <w:p>
            <w:pPr>
              <w:pStyle w:val="TableParagraph"/>
              <w:spacing w:before="17"/>
              <w:ind w:right="63"/>
              <w:jc w:val="right"/>
              <w:rPr>
                <w:sz w:val="16"/>
              </w:rPr>
            </w:pPr>
            <w:r>
              <w:rPr>
                <w:sz w:val="16"/>
              </w:rPr>
              <w:t>4</w:t>
            </w:r>
            <w:r>
              <w:rPr>
                <w:spacing w:val="-5"/>
                <w:sz w:val="16"/>
              </w:rPr>
              <w:t> </w:t>
            </w:r>
            <w:r>
              <w:rPr>
                <w:sz w:val="16"/>
              </w:rPr>
              <w:t>961</w:t>
            </w:r>
            <w:r>
              <w:rPr>
                <w:spacing w:val="-1"/>
                <w:sz w:val="16"/>
              </w:rPr>
              <w:t> </w:t>
            </w:r>
            <w:r>
              <w:rPr>
                <w:spacing w:val="-2"/>
                <w:sz w:val="16"/>
              </w:rPr>
              <w:t>336,18</w:t>
            </w:r>
          </w:p>
        </w:tc>
        <w:tc>
          <w:tcPr>
            <w:tcW w:w="1032" w:type="dxa"/>
          </w:tcPr>
          <w:p>
            <w:pPr>
              <w:pStyle w:val="TableParagraph"/>
              <w:spacing w:before="17"/>
              <w:ind w:left="122" w:right="39"/>
              <w:jc w:val="center"/>
              <w:rPr>
                <w:sz w:val="16"/>
              </w:rPr>
            </w:pPr>
            <w:r>
              <w:rPr>
                <w:sz w:val="16"/>
              </w:rPr>
              <w:t>469</w:t>
            </w:r>
            <w:r>
              <w:rPr>
                <w:spacing w:val="-6"/>
                <w:sz w:val="16"/>
              </w:rPr>
              <w:t> </w:t>
            </w:r>
            <w:r>
              <w:rPr>
                <w:spacing w:val="-2"/>
                <w:sz w:val="16"/>
              </w:rPr>
              <w:t>992,14</w:t>
            </w:r>
          </w:p>
        </w:tc>
        <w:tc>
          <w:tcPr>
            <w:tcW w:w="936" w:type="dxa"/>
          </w:tcPr>
          <w:p>
            <w:pPr>
              <w:pStyle w:val="TableParagraph"/>
              <w:spacing w:before="17"/>
              <w:ind w:left="8"/>
              <w:jc w:val="center"/>
              <w:rPr>
                <w:sz w:val="16"/>
              </w:rPr>
            </w:pPr>
            <w:r>
              <w:rPr>
                <w:spacing w:val="-2"/>
                <w:sz w:val="16"/>
              </w:rPr>
              <w:t>10,46%</w:t>
            </w:r>
          </w:p>
        </w:tc>
      </w:tr>
      <w:tr>
        <w:trPr>
          <w:trHeight w:val="225" w:hRule="atLeast"/>
        </w:trPr>
        <w:tc>
          <w:tcPr>
            <w:tcW w:w="787" w:type="dxa"/>
          </w:tcPr>
          <w:p>
            <w:pPr>
              <w:pStyle w:val="TableParagraph"/>
              <w:spacing w:before="17"/>
              <w:ind w:left="1"/>
              <w:jc w:val="center"/>
              <w:rPr>
                <w:sz w:val="16"/>
              </w:rPr>
            </w:pPr>
            <w:r>
              <w:rPr>
                <w:spacing w:val="-10"/>
                <w:sz w:val="16"/>
              </w:rPr>
              <w:t>2</w:t>
            </w:r>
          </w:p>
        </w:tc>
        <w:tc>
          <w:tcPr>
            <w:tcW w:w="2694" w:type="dxa"/>
          </w:tcPr>
          <w:p>
            <w:pPr>
              <w:pStyle w:val="TableParagraph"/>
              <w:spacing w:before="17"/>
              <w:ind w:left="72"/>
              <w:rPr>
                <w:sz w:val="16"/>
              </w:rPr>
            </w:pPr>
            <w:r>
              <w:rPr>
                <w:sz w:val="16"/>
              </w:rPr>
              <w:t>MATERIALES</w:t>
            </w:r>
            <w:r>
              <w:rPr>
                <w:spacing w:val="-3"/>
                <w:sz w:val="16"/>
              </w:rPr>
              <w:t> </w:t>
            </w:r>
            <w:r>
              <w:rPr>
                <w:sz w:val="16"/>
              </w:rPr>
              <w:t>Y</w:t>
            </w:r>
            <w:r>
              <w:rPr>
                <w:spacing w:val="-7"/>
                <w:sz w:val="16"/>
              </w:rPr>
              <w:t> </w:t>
            </w:r>
            <w:r>
              <w:rPr>
                <w:spacing w:val="-2"/>
                <w:sz w:val="16"/>
              </w:rPr>
              <w:t>SUMINISTROS</w:t>
            </w:r>
          </w:p>
        </w:tc>
        <w:tc>
          <w:tcPr>
            <w:tcW w:w="1474" w:type="dxa"/>
          </w:tcPr>
          <w:p>
            <w:pPr>
              <w:pStyle w:val="TableParagraph"/>
              <w:spacing w:before="17"/>
              <w:ind w:right="112"/>
              <w:jc w:val="right"/>
              <w:rPr>
                <w:sz w:val="16"/>
              </w:rPr>
            </w:pPr>
            <w:r>
              <w:rPr>
                <w:sz w:val="16"/>
              </w:rPr>
              <w:t>389</w:t>
            </w:r>
            <w:r>
              <w:rPr>
                <w:spacing w:val="-2"/>
                <w:sz w:val="16"/>
              </w:rPr>
              <w:t> 577,99</w:t>
            </w:r>
          </w:p>
        </w:tc>
        <w:tc>
          <w:tcPr>
            <w:tcW w:w="1714" w:type="dxa"/>
          </w:tcPr>
          <w:p>
            <w:pPr>
              <w:pStyle w:val="TableParagraph"/>
              <w:spacing w:before="17"/>
              <w:ind w:right="63"/>
              <w:jc w:val="right"/>
              <w:rPr>
                <w:sz w:val="16"/>
              </w:rPr>
            </w:pPr>
            <w:r>
              <w:rPr>
                <w:sz w:val="16"/>
              </w:rPr>
              <w:t>333</w:t>
            </w:r>
            <w:r>
              <w:rPr>
                <w:spacing w:val="-6"/>
                <w:sz w:val="16"/>
              </w:rPr>
              <w:t> </w:t>
            </w:r>
            <w:r>
              <w:rPr>
                <w:spacing w:val="-2"/>
                <w:sz w:val="16"/>
              </w:rPr>
              <w:t>820,40</w:t>
            </w:r>
          </w:p>
        </w:tc>
        <w:tc>
          <w:tcPr>
            <w:tcW w:w="1032" w:type="dxa"/>
          </w:tcPr>
          <w:p>
            <w:pPr>
              <w:pStyle w:val="TableParagraph"/>
              <w:spacing w:before="17"/>
              <w:ind w:left="122"/>
              <w:jc w:val="center"/>
              <w:rPr>
                <w:sz w:val="16"/>
              </w:rPr>
            </w:pPr>
            <w:r>
              <w:rPr>
                <w:sz w:val="16"/>
              </w:rPr>
              <w:t>-55</w:t>
            </w:r>
            <w:r>
              <w:rPr>
                <w:spacing w:val="-4"/>
                <w:sz w:val="16"/>
              </w:rPr>
              <w:t> </w:t>
            </w:r>
            <w:r>
              <w:rPr>
                <w:spacing w:val="-2"/>
                <w:sz w:val="16"/>
              </w:rPr>
              <w:t>757,59</w:t>
            </w:r>
          </w:p>
        </w:tc>
        <w:tc>
          <w:tcPr>
            <w:tcW w:w="936" w:type="dxa"/>
          </w:tcPr>
          <w:p>
            <w:pPr>
              <w:pStyle w:val="TableParagraph"/>
              <w:spacing w:before="17"/>
              <w:ind w:left="8" w:right="5"/>
              <w:jc w:val="center"/>
              <w:rPr>
                <w:sz w:val="16"/>
              </w:rPr>
            </w:pPr>
            <w:r>
              <w:rPr>
                <w:spacing w:val="-2"/>
                <w:sz w:val="16"/>
              </w:rPr>
              <w:t>-14,31%</w:t>
            </w:r>
          </w:p>
        </w:tc>
      </w:tr>
      <w:tr>
        <w:trPr>
          <w:trHeight w:val="225" w:hRule="atLeast"/>
        </w:trPr>
        <w:tc>
          <w:tcPr>
            <w:tcW w:w="787" w:type="dxa"/>
          </w:tcPr>
          <w:p>
            <w:pPr>
              <w:pStyle w:val="TableParagraph"/>
              <w:spacing w:before="17"/>
              <w:ind w:left="1"/>
              <w:jc w:val="center"/>
              <w:rPr>
                <w:sz w:val="16"/>
              </w:rPr>
            </w:pPr>
            <w:r>
              <w:rPr>
                <w:spacing w:val="-10"/>
                <w:sz w:val="16"/>
              </w:rPr>
              <w:t>5</w:t>
            </w:r>
          </w:p>
        </w:tc>
        <w:tc>
          <w:tcPr>
            <w:tcW w:w="2694" w:type="dxa"/>
          </w:tcPr>
          <w:p>
            <w:pPr>
              <w:pStyle w:val="TableParagraph"/>
              <w:spacing w:before="17"/>
              <w:ind w:left="72"/>
              <w:rPr>
                <w:sz w:val="16"/>
              </w:rPr>
            </w:pPr>
            <w:r>
              <w:rPr>
                <w:sz w:val="16"/>
              </w:rPr>
              <w:t>BIENES</w:t>
            </w:r>
            <w:r>
              <w:rPr>
                <w:spacing w:val="-5"/>
                <w:sz w:val="16"/>
              </w:rPr>
              <w:t> </w:t>
            </w:r>
            <w:r>
              <w:rPr>
                <w:spacing w:val="-2"/>
                <w:sz w:val="16"/>
              </w:rPr>
              <w:t>DURADEROS</w:t>
            </w:r>
          </w:p>
        </w:tc>
        <w:tc>
          <w:tcPr>
            <w:tcW w:w="1474" w:type="dxa"/>
          </w:tcPr>
          <w:p>
            <w:pPr>
              <w:pStyle w:val="TableParagraph"/>
              <w:spacing w:before="17"/>
              <w:ind w:right="83"/>
              <w:jc w:val="right"/>
              <w:rPr>
                <w:sz w:val="16"/>
              </w:rPr>
            </w:pPr>
            <w:r>
              <w:rPr>
                <w:sz w:val="16"/>
              </w:rPr>
              <w:t>874</w:t>
            </w:r>
            <w:r>
              <w:rPr>
                <w:spacing w:val="-2"/>
                <w:sz w:val="16"/>
              </w:rPr>
              <w:t> 492,00</w:t>
            </w:r>
          </w:p>
        </w:tc>
        <w:tc>
          <w:tcPr>
            <w:tcW w:w="1714" w:type="dxa"/>
          </w:tcPr>
          <w:p>
            <w:pPr>
              <w:pStyle w:val="TableParagraph"/>
              <w:spacing w:before="17"/>
              <w:ind w:right="63"/>
              <w:jc w:val="right"/>
              <w:rPr>
                <w:sz w:val="16"/>
              </w:rPr>
            </w:pPr>
            <w:r>
              <w:rPr>
                <w:sz w:val="16"/>
              </w:rPr>
              <w:t>912</w:t>
            </w:r>
            <w:r>
              <w:rPr>
                <w:spacing w:val="-6"/>
                <w:sz w:val="16"/>
              </w:rPr>
              <w:t> </w:t>
            </w:r>
            <w:r>
              <w:rPr>
                <w:spacing w:val="-2"/>
                <w:sz w:val="16"/>
              </w:rPr>
              <w:t>492,51</w:t>
            </w:r>
          </w:p>
        </w:tc>
        <w:tc>
          <w:tcPr>
            <w:tcW w:w="1032" w:type="dxa"/>
          </w:tcPr>
          <w:p>
            <w:pPr>
              <w:pStyle w:val="TableParagraph"/>
              <w:spacing w:before="17"/>
              <w:ind w:left="174"/>
              <w:jc w:val="center"/>
              <w:rPr>
                <w:sz w:val="16"/>
              </w:rPr>
            </w:pPr>
            <w:r>
              <w:rPr>
                <w:sz w:val="16"/>
              </w:rPr>
              <w:t>38</w:t>
            </w:r>
            <w:r>
              <w:rPr>
                <w:spacing w:val="-3"/>
                <w:sz w:val="16"/>
              </w:rPr>
              <w:t> </w:t>
            </w:r>
            <w:r>
              <w:rPr>
                <w:spacing w:val="-2"/>
                <w:sz w:val="16"/>
              </w:rPr>
              <w:t>000,51</w:t>
            </w:r>
          </w:p>
        </w:tc>
        <w:tc>
          <w:tcPr>
            <w:tcW w:w="936" w:type="dxa"/>
          </w:tcPr>
          <w:p>
            <w:pPr>
              <w:pStyle w:val="TableParagraph"/>
              <w:spacing w:before="17"/>
              <w:ind w:left="8"/>
              <w:jc w:val="center"/>
              <w:rPr>
                <w:sz w:val="16"/>
              </w:rPr>
            </w:pPr>
            <w:r>
              <w:rPr>
                <w:spacing w:val="-2"/>
                <w:sz w:val="16"/>
              </w:rPr>
              <w:t>4,35%</w:t>
            </w:r>
          </w:p>
        </w:tc>
      </w:tr>
      <w:tr>
        <w:trPr>
          <w:trHeight w:val="225" w:hRule="atLeast"/>
        </w:trPr>
        <w:tc>
          <w:tcPr>
            <w:tcW w:w="787" w:type="dxa"/>
          </w:tcPr>
          <w:p>
            <w:pPr>
              <w:pStyle w:val="TableParagraph"/>
              <w:spacing w:before="17"/>
              <w:ind w:left="1"/>
              <w:jc w:val="center"/>
              <w:rPr>
                <w:sz w:val="16"/>
              </w:rPr>
            </w:pPr>
            <w:r>
              <w:rPr>
                <w:spacing w:val="-10"/>
                <w:sz w:val="16"/>
              </w:rPr>
              <w:t>6</w:t>
            </w:r>
          </w:p>
        </w:tc>
        <w:tc>
          <w:tcPr>
            <w:tcW w:w="2694" w:type="dxa"/>
          </w:tcPr>
          <w:p>
            <w:pPr>
              <w:pStyle w:val="TableParagraph"/>
              <w:spacing w:before="17"/>
              <w:ind w:left="72"/>
              <w:rPr>
                <w:sz w:val="16"/>
              </w:rPr>
            </w:pPr>
            <w:r>
              <w:rPr>
                <w:spacing w:val="-2"/>
                <w:sz w:val="16"/>
              </w:rPr>
              <w:t>TRANSFERENCIAS</w:t>
            </w:r>
            <w:r>
              <w:rPr>
                <w:spacing w:val="13"/>
                <w:sz w:val="16"/>
              </w:rPr>
              <w:t> </w:t>
            </w:r>
            <w:r>
              <w:rPr>
                <w:spacing w:val="-2"/>
                <w:sz w:val="16"/>
              </w:rPr>
              <w:t>CORRIENTES</w:t>
            </w:r>
          </w:p>
        </w:tc>
        <w:tc>
          <w:tcPr>
            <w:tcW w:w="1474" w:type="dxa"/>
          </w:tcPr>
          <w:p>
            <w:pPr>
              <w:pStyle w:val="TableParagraph"/>
              <w:spacing w:before="17"/>
              <w:ind w:right="83"/>
              <w:jc w:val="right"/>
              <w:rPr>
                <w:sz w:val="16"/>
              </w:rPr>
            </w:pPr>
            <w:r>
              <w:rPr>
                <w:sz w:val="16"/>
              </w:rPr>
              <w:t>842</w:t>
            </w:r>
            <w:r>
              <w:rPr>
                <w:spacing w:val="-2"/>
                <w:sz w:val="16"/>
              </w:rPr>
              <w:t> 400,00</w:t>
            </w:r>
          </w:p>
        </w:tc>
        <w:tc>
          <w:tcPr>
            <w:tcW w:w="1714" w:type="dxa"/>
          </w:tcPr>
          <w:p>
            <w:pPr>
              <w:pStyle w:val="TableParagraph"/>
              <w:spacing w:before="17"/>
              <w:ind w:right="63"/>
              <w:jc w:val="right"/>
              <w:rPr>
                <w:sz w:val="16"/>
              </w:rPr>
            </w:pPr>
            <w:r>
              <w:rPr>
                <w:sz w:val="16"/>
              </w:rPr>
              <w:t>918</w:t>
            </w:r>
            <w:r>
              <w:rPr>
                <w:spacing w:val="-6"/>
                <w:sz w:val="16"/>
              </w:rPr>
              <w:t> </w:t>
            </w:r>
            <w:r>
              <w:rPr>
                <w:spacing w:val="-2"/>
                <w:sz w:val="16"/>
              </w:rPr>
              <w:t>800,00</w:t>
            </w:r>
          </w:p>
        </w:tc>
        <w:tc>
          <w:tcPr>
            <w:tcW w:w="1032" w:type="dxa"/>
          </w:tcPr>
          <w:p>
            <w:pPr>
              <w:pStyle w:val="TableParagraph"/>
              <w:spacing w:before="17"/>
              <w:ind w:left="174"/>
              <w:jc w:val="center"/>
              <w:rPr>
                <w:sz w:val="16"/>
              </w:rPr>
            </w:pPr>
            <w:r>
              <w:rPr>
                <w:sz w:val="16"/>
              </w:rPr>
              <w:t>76</w:t>
            </w:r>
            <w:r>
              <w:rPr>
                <w:spacing w:val="-3"/>
                <w:sz w:val="16"/>
              </w:rPr>
              <w:t> </w:t>
            </w:r>
            <w:r>
              <w:rPr>
                <w:spacing w:val="-2"/>
                <w:sz w:val="16"/>
              </w:rPr>
              <w:t>400,00</w:t>
            </w:r>
          </w:p>
        </w:tc>
        <w:tc>
          <w:tcPr>
            <w:tcW w:w="936" w:type="dxa"/>
          </w:tcPr>
          <w:p>
            <w:pPr>
              <w:pStyle w:val="TableParagraph"/>
              <w:spacing w:before="17"/>
              <w:ind w:left="8"/>
              <w:jc w:val="center"/>
              <w:rPr>
                <w:sz w:val="16"/>
              </w:rPr>
            </w:pPr>
            <w:r>
              <w:rPr>
                <w:spacing w:val="-2"/>
                <w:sz w:val="16"/>
              </w:rPr>
              <w:t>9,07%</w:t>
            </w:r>
          </w:p>
        </w:tc>
      </w:tr>
      <w:tr>
        <w:trPr>
          <w:trHeight w:val="225" w:hRule="atLeast"/>
        </w:trPr>
        <w:tc>
          <w:tcPr>
            <w:tcW w:w="787" w:type="dxa"/>
          </w:tcPr>
          <w:p>
            <w:pPr>
              <w:pStyle w:val="TableParagraph"/>
              <w:spacing w:before="17"/>
              <w:ind w:left="1"/>
              <w:jc w:val="center"/>
              <w:rPr>
                <w:sz w:val="16"/>
              </w:rPr>
            </w:pPr>
            <w:r>
              <w:rPr>
                <w:spacing w:val="-10"/>
                <w:sz w:val="16"/>
              </w:rPr>
              <w:t>9</w:t>
            </w:r>
          </w:p>
        </w:tc>
        <w:tc>
          <w:tcPr>
            <w:tcW w:w="2694" w:type="dxa"/>
          </w:tcPr>
          <w:p>
            <w:pPr>
              <w:pStyle w:val="TableParagraph"/>
              <w:spacing w:before="17"/>
              <w:ind w:left="72"/>
              <w:rPr>
                <w:sz w:val="16"/>
              </w:rPr>
            </w:pPr>
            <w:r>
              <w:rPr>
                <w:sz w:val="16"/>
              </w:rPr>
              <w:t>CUENTAS</w:t>
            </w:r>
            <w:r>
              <w:rPr>
                <w:spacing w:val="-7"/>
                <w:sz w:val="16"/>
              </w:rPr>
              <w:t> </w:t>
            </w:r>
            <w:r>
              <w:rPr>
                <w:spacing w:val="-2"/>
                <w:sz w:val="16"/>
              </w:rPr>
              <w:t>ESPECIALES</w:t>
            </w:r>
          </w:p>
        </w:tc>
        <w:tc>
          <w:tcPr>
            <w:tcW w:w="1474" w:type="dxa"/>
          </w:tcPr>
          <w:p>
            <w:pPr>
              <w:pStyle w:val="TableParagraph"/>
              <w:rPr>
                <w:rFonts w:ascii="Times New Roman"/>
                <w:sz w:val="16"/>
              </w:rPr>
            </w:pPr>
          </w:p>
        </w:tc>
        <w:tc>
          <w:tcPr>
            <w:tcW w:w="1714" w:type="dxa"/>
          </w:tcPr>
          <w:p>
            <w:pPr>
              <w:pStyle w:val="TableParagraph"/>
              <w:rPr>
                <w:rFonts w:ascii="Times New Roman"/>
                <w:sz w:val="16"/>
              </w:rPr>
            </w:pPr>
          </w:p>
        </w:tc>
        <w:tc>
          <w:tcPr>
            <w:tcW w:w="1032" w:type="dxa"/>
          </w:tcPr>
          <w:p>
            <w:pPr>
              <w:pStyle w:val="TableParagraph"/>
              <w:rPr>
                <w:rFonts w:ascii="Times New Roman"/>
                <w:sz w:val="16"/>
              </w:rPr>
            </w:pPr>
          </w:p>
        </w:tc>
        <w:tc>
          <w:tcPr>
            <w:tcW w:w="936" w:type="dxa"/>
          </w:tcPr>
          <w:p>
            <w:pPr>
              <w:pStyle w:val="TableParagraph"/>
              <w:rPr>
                <w:rFonts w:ascii="Times New Roman"/>
                <w:sz w:val="16"/>
              </w:rPr>
            </w:pPr>
          </w:p>
        </w:tc>
      </w:tr>
      <w:tr>
        <w:trPr>
          <w:trHeight w:val="225" w:hRule="atLeast"/>
        </w:trPr>
        <w:tc>
          <w:tcPr>
            <w:tcW w:w="787" w:type="dxa"/>
            <w:shd w:val="clear" w:color="auto" w:fill="0E233D"/>
          </w:tcPr>
          <w:p>
            <w:pPr>
              <w:pStyle w:val="TableParagraph"/>
              <w:spacing w:line="168" w:lineRule="exact" w:before="37"/>
              <w:ind w:left="1" w:right="104"/>
              <w:jc w:val="center"/>
              <w:rPr>
                <w:b/>
                <w:sz w:val="16"/>
              </w:rPr>
            </w:pPr>
            <w:r>
              <w:rPr>
                <w:b/>
                <w:color w:val="FFFFFF"/>
                <w:spacing w:val="-2"/>
                <w:sz w:val="16"/>
              </w:rPr>
              <w:t>TOTAL</w:t>
            </w:r>
          </w:p>
        </w:tc>
        <w:tc>
          <w:tcPr>
            <w:tcW w:w="2694" w:type="dxa"/>
            <w:shd w:val="clear" w:color="auto" w:fill="0E233D"/>
          </w:tcPr>
          <w:p>
            <w:pPr>
              <w:pStyle w:val="TableParagraph"/>
              <w:rPr>
                <w:rFonts w:ascii="Times New Roman"/>
                <w:sz w:val="16"/>
              </w:rPr>
            </w:pPr>
          </w:p>
        </w:tc>
        <w:tc>
          <w:tcPr>
            <w:tcW w:w="1474" w:type="dxa"/>
            <w:shd w:val="clear" w:color="auto" w:fill="0E233D"/>
          </w:tcPr>
          <w:p>
            <w:pPr>
              <w:pStyle w:val="TableParagraph"/>
              <w:spacing w:line="168" w:lineRule="exact" w:before="37"/>
              <w:ind w:right="64"/>
              <w:jc w:val="right"/>
              <w:rPr>
                <w:b/>
                <w:sz w:val="16"/>
              </w:rPr>
            </w:pPr>
            <w:r>
              <w:rPr>
                <w:b/>
                <w:color w:val="FFFFFF"/>
                <w:sz w:val="16"/>
              </w:rPr>
              <w:t>12</w:t>
            </w:r>
            <w:r>
              <w:rPr>
                <w:b/>
                <w:color w:val="FFFFFF"/>
                <w:spacing w:val="-3"/>
                <w:sz w:val="16"/>
              </w:rPr>
              <w:t> </w:t>
            </w:r>
            <w:r>
              <w:rPr>
                <w:b/>
                <w:color w:val="FFFFFF"/>
                <w:sz w:val="16"/>
              </w:rPr>
              <w:t>152</w:t>
            </w:r>
            <w:r>
              <w:rPr>
                <w:b/>
                <w:color w:val="FFFFFF"/>
                <w:spacing w:val="-2"/>
                <w:sz w:val="16"/>
              </w:rPr>
              <w:t> 563,06</w:t>
            </w:r>
          </w:p>
        </w:tc>
        <w:tc>
          <w:tcPr>
            <w:tcW w:w="1714" w:type="dxa"/>
            <w:shd w:val="clear" w:color="auto" w:fill="0E233D"/>
          </w:tcPr>
          <w:p>
            <w:pPr>
              <w:pStyle w:val="TableParagraph"/>
              <w:spacing w:line="168" w:lineRule="exact" w:before="37"/>
              <w:ind w:right="64"/>
              <w:jc w:val="right"/>
              <w:rPr>
                <w:b/>
                <w:sz w:val="16"/>
              </w:rPr>
            </w:pPr>
            <w:r>
              <w:rPr>
                <w:b/>
                <w:color w:val="FFFFFF"/>
                <w:sz w:val="16"/>
              </w:rPr>
              <w:t>12</w:t>
            </w:r>
            <w:r>
              <w:rPr>
                <w:b/>
                <w:color w:val="FFFFFF"/>
                <w:spacing w:val="-3"/>
                <w:sz w:val="16"/>
              </w:rPr>
              <w:t> </w:t>
            </w:r>
            <w:r>
              <w:rPr>
                <w:b/>
                <w:color w:val="FFFFFF"/>
                <w:sz w:val="16"/>
              </w:rPr>
              <w:t>500</w:t>
            </w:r>
            <w:r>
              <w:rPr>
                <w:b/>
                <w:color w:val="FFFFFF"/>
                <w:spacing w:val="-2"/>
                <w:sz w:val="16"/>
              </w:rPr>
              <w:t> 233,32</w:t>
            </w:r>
          </w:p>
        </w:tc>
        <w:tc>
          <w:tcPr>
            <w:tcW w:w="1032" w:type="dxa"/>
            <w:shd w:val="clear" w:color="auto" w:fill="0E233D"/>
          </w:tcPr>
          <w:p>
            <w:pPr>
              <w:pStyle w:val="TableParagraph"/>
              <w:spacing w:line="168" w:lineRule="exact" w:before="37"/>
              <w:ind w:left="122" w:right="39"/>
              <w:jc w:val="center"/>
              <w:rPr>
                <w:b/>
                <w:sz w:val="16"/>
              </w:rPr>
            </w:pPr>
            <w:r>
              <w:rPr>
                <w:b/>
                <w:color w:val="FFFFFF"/>
                <w:sz w:val="16"/>
              </w:rPr>
              <w:t>347</w:t>
            </w:r>
            <w:r>
              <w:rPr>
                <w:b/>
                <w:color w:val="FFFFFF"/>
                <w:spacing w:val="-6"/>
                <w:sz w:val="16"/>
              </w:rPr>
              <w:t> </w:t>
            </w:r>
            <w:r>
              <w:rPr>
                <w:b/>
                <w:color w:val="FFFFFF"/>
                <w:spacing w:val="-2"/>
                <w:sz w:val="16"/>
              </w:rPr>
              <w:t>670,26</w:t>
            </w:r>
          </w:p>
        </w:tc>
        <w:tc>
          <w:tcPr>
            <w:tcW w:w="936" w:type="dxa"/>
            <w:shd w:val="clear" w:color="auto" w:fill="0E233D"/>
          </w:tcPr>
          <w:p>
            <w:pPr>
              <w:pStyle w:val="TableParagraph"/>
              <w:spacing w:line="168" w:lineRule="exact" w:before="37"/>
              <w:ind w:left="8"/>
              <w:jc w:val="center"/>
              <w:rPr>
                <w:b/>
                <w:sz w:val="16"/>
              </w:rPr>
            </w:pPr>
            <w:r>
              <w:rPr>
                <w:b/>
                <w:color w:val="FFFFFF"/>
                <w:spacing w:val="-2"/>
                <w:sz w:val="16"/>
              </w:rPr>
              <w:t>2,86%</w:t>
            </w:r>
          </w:p>
        </w:tc>
      </w:tr>
    </w:tbl>
    <w:p>
      <w:pPr>
        <w:spacing w:before="1"/>
        <w:ind w:left="1268" w:right="0" w:firstLine="0"/>
        <w:jc w:val="left"/>
        <w:rPr>
          <w:sz w:val="18"/>
        </w:rPr>
      </w:pPr>
      <w:r>
        <w:rPr>
          <w:sz w:val="18"/>
        </w:rPr>
        <w:t>Fuente:</w:t>
      </w:r>
      <w:r>
        <w:rPr>
          <w:spacing w:val="-2"/>
          <w:sz w:val="18"/>
        </w:rPr>
        <w:t> </w:t>
      </w:r>
      <w:r>
        <w:rPr>
          <w:sz w:val="18"/>
        </w:rPr>
        <w:t>Presupuesto</w:t>
      </w:r>
      <w:r>
        <w:rPr>
          <w:spacing w:val="-8"/>
          <w:sz w:val="18"/>
        </w:rPr>
        <w:t> </w:t>
      </w:r>
      <w:r>
        <w:rPr>
          <w:sz w:val="18"/>
        </w:rPr>
        <w:t>Ordinario</w:t>
      </w:r>
      <w:r>
        <w:rPr>
          <w:spacing w:val="-9"/>
          <w:sz w:val="18"/>
        </w:rPr>
        <w:t> </w:t>
      </w:r>
      <w:r>
        <w:rPr>
          <w:spacing w:val="-4"/>
          <w:sz w:val="18"/>
        </w:rPr>
        <w:t>2026</w:t>
      </w:r>
    </w:p>
    <w:p>
      <w:pPr>
        <w:pStyle w:val="BodyText"/>
        <w:spacing w:before="43"/>
        <w:rPr>
          <w:sz w:val="18"/>
        </w:rPr>
      </w:pPr>
    </w:p>
    <w:p>
      <w:pPr>
        <w:pStyle w:val="Heading2"/>
        <w:ind w:left="2180" w:right="1228" w:hanging="644"/>
      </w:pPr>
      <w:bookmarkStart w:name="_bookmark50" w:id="51"/>
      <w:bookmarkEnd w:id="51"/>
      <w:r>
        <w:rPr>
          <w:b w:val="0"/>
        </w:rPr>
      </w:r>
      <w:r>
        <w:rPr/>
        <w:t>Tabla</w:t>
      </w:r>
      <w:r>
        <w:rPr>
          <w:spacing w:val="-3"/>
        </w:rPr>
        <w:t> </w:t>
      </w:r>
      <w:r>
        <w:rPr/>
        <w:t>13:</w:t>
      </w:r>
      <w:r>
        <w:rPr>
          <w:spacing w:val="-3"/>
        </w:rPr>
        <w:t> </w:t>
      </w:r>
      <w:r>
        <w:rPr/>
        <w:t>Comparación</w:t>
      </w:r>
      <w:r>
        <w:rPr>
          <w:spacing w:val="-2"/>
        </w:rPr>
        <w:t> </w:t>
      </w:r>
      <w:r>
        <w:rPr/>
        <w:t>del</w:t>
      </w:r>
      <w:r>
        <w:rPr>
          <w:spacing w:val="-5"/>
        </w:rPr>
        <w:t> </w:t>
      </w:r>
      <w:r>
        <w:rPr/>
        <w:t>Presupuesto</w:t>
      </w:r>
      <w:r>
        <w:rPr>
          <w:spacing w:val="-2"/>
        </w:rPr>
        <w:t> </w:t>
      </w:r>
      <w:r>
        <w:rPr/>
        <w:t>ordinario</w:t>
      </w:r>
      <w:r>
        <w:rPr>
          <w:spacing w:val="-2"/>
        </w:rPr>
        <w:t> </w:t>
      </w:r>
      <w:r>
        <w:rPr/>
        <w:t>de gasto</w:t>
      </w:r>
      <w:r>
        <w:rPr>
          <w:spacing w:val="-2"/>
        </w:rPr>
        <w:t> </w:t>
      </w:r>
      <w:r>
        <w:rPr/>
        <w:t>periodo</w:t>
      </w:r>
      <w:r>
        <w:rPr>
          <w:spacing w:val="-6"/>
        </w:rPr>
        <w:t> </w:t>
      </w:r>
      <w:r>
        <w:rPr/>
        <w:t>2025</w:t>
      </w:r>
      <w:r>
        <w:rPr>
          <w:spacing w:val="-4"/>
        </w:rPr>
        <w:t> </w:t>
      </w:r>
      <w:r>
        <w:rPr/>
        <w:t>y</w:t>
      </w:r>
      <w:r>
        <w:rPr>
          <w:spacing w:val="-4"/>
        </w:rPr>
        <w:t> </w:t>
      </w:r>
      <w:r>
        <w:rPr/>
        <w:t>2026, según partidas Programa Empresas Comerciales (Miles de colones)</w:t>
      </w:r>
    </w:p>
    <w:p>
      <w:pPr>
        <w:pStyle w:val="BodyText"/>
        <w:spacing w:before="46" w:after="1"/>
        <w:rPr>
          <w:b/>
          <w:sz w:val="20"/>
        </w:rPr>
      </w:pPr>
    </w:p>
    <w:tbl>
      <w:tblPr>
        <w:tblW w:w="0" w:type="auto"/>
        <w:jc w:val="left"/>
        <w:tblInd w:w="1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5"/>
        <w:gridCol w:w="2699"/>
        <w:gridCol w:w="1680"/>
        <w:gridCol w:w="1349"/>
        <w:gridCol w:w="1133"/>
        <w:gridCol w:w="936"/>
      </w:tblGrid>
      <w:tr>
        <w:trPr>
          <w:trHeight w:val="369" w:hRule="atLeast"/>
        </w:trPr>
        <w:tc>
          <w:tcPr>
            <w:tcW w:w="845" w:type="dxa"/>
            <w:vMerge w:val="restart"/>
            <w:shd w:val="clear" w:color="auto" w:fill="0E233D"/>
          </w:tcPr>
          <w:p>
            <w:pPr>
              <w:pStyle w:val="TableParagraph"/>
              <w:spacing w:before="26"/>
              <w:rPr>
                <w:b/>
                <w:sz w:val="16"/>
              </w:rPr>
            </w:pPr>
          </w:p>
          <w:p>
            <w:pPr>
              <w:pStyle w:val="TableParagraph"/>
              <w:ind w:left="95"/>
              <w:rPr>
                <w:b/>
                <w:sz w:val="16"/>
              </w:rPr>
            </w:pPr>
            <w:r>
              <w:rPr>
                <w:b/>
                <w:color w:val="FFFFFF"/>
                <w:spacing w:val="-2"/>
                <w:sz w:val="16"/>
              </w:rPr>
              <w:t>CODIGO</w:t>
            </w:r>
          </w:p>
        </w:tc>
        <w:tc>
          <w:tcPr>
            <w:tcW w:w="2699" w:type="dxa"/>
            <w:vMerge w:val="restart"/>
            <w:shd w:val="clear" w:color="auto" w:fill="0E233D"/>
          </w:tcPr>
          <w:p>
            <w:pPr>
              <w:pStyle w:val="TableParagraph"/>
              <w:spacing w:before="26"/>
              <w:rPr>
                <w:b/>
                <w:sz w:val="16"/>
              </w:rPr>
            </w:pPr>
          </w:p>
          <w:p>
            <w:pPr>
              <w:pStyle w:val="TableParagraph"/>
              <w:ind w:left="14" w:right="15"/>
              <w:jc w:val="center"/>
              <w:rPr>
                <w:b/>
                <w:sz w:val="16"/>
              </w:rPr>
            </w:pPr>
            <w:r>
              <w:rPr>
                <w:b/>
                <w:color w:val="FFFFFF"/>
                <w:spacing w:val="-2"/>
                <w:sz w:val="16"/>
              </w:rPr>
              <w:t>PARTIDAS</w:t>
            </w:r>
          </w:p>
        </w:tc>
        <w:tc>
          <w:tcPr>
            <w:tcW w:w="1680" w:type="dxa"/>
            <w:vMerge w:val="restart"/>
            <w:shd w:val="clear" w:color="auto" w:fill="0E233D"/>
          </w:tcPr>
          <w:p>
            <w:pPr>
              <w:pStyle w:val="TableParagraph"/>
              <w:spacing w:before="118"/>
              <w:ind w:left="657" w:hanging="428"/>
              <w:rPr>
                <w:b/>
                <w:sz w:val="16"/>
              </w:rPr>
            </w:pPr>
            <w:r>
              <w:rPr>
                <w:b/>
                <w:color w:val="FFFFFF"/>
                <w:spacing w:val="-2"/>
                <w:sz w:val="16"/>
              </w:rPr>
              <w:t>PRESUPUESTO </w:t>
            </w:r>
            <w:r>
              <w:rPr>
                <w:b/>
                <w:color w:val="FFFFFF"/>
                <w:spacing w:val="-4"/>
                <w:sz w:val="16"/>
              </w:rPr>
              <w:t>2025</w:t>
            </w:r>
          </w:p>
        </w:tc>
        <w:tc>
          <w:tcPr>
            <w:tcW w:w="1349" w:type="dxa"/>
            <w:vMerge w:val="restart"/>
            <w:shd w:val="clear" w:color="auto" w:fill="0E233D"/>
          </w:tcPr>
          <w:p>
            <w:pPr>
              <w:pStyle w:val="TableParagraph"/>
              <w:spacing w:before="118"/>
              <w:ind w:left="494" w:hanging="428"/>
              <w:rPr>
                <w:b/>
                <w:sz w:val="16"/>
              </w:rPr>
            </w:pPr>
            <w:r>
              <w:rPr>
                <w:b/>
                <w:color w:val="FFFFFF"/>
                <w:spacing w:val="-2"/>
                <w:sz w:val="16"/>
              </w:rPr>
              <w:t>PRESUPUESTO </w:t>
            </w:r>
            <w:r>
              <w:rPr>
                <w:b/>
                <w:color w:val="FFFFFF"/>
                <w:spacing w:val="-4"/>
                <w:sz w:val="16"/>
              </w:rPr>
              <w:t>2026</w:t>
            </w:r>
          </w:p>
        </w:tc>
        <w:tc>
          <w:tcPr>
            <w:tcW w:w="2069" w:type="dxa"/>
            <w:gridSpan w:val="2"/>
            <w:shd w:val="clear" w:color="auto" w:fill="0E233D"/>
          </w:tcPr>
          <w:p>
            <w:pPr>
              <w:pStyle w:val="TableParagraph"/>
              <w:spacing w:line="182" w:lineRule="exact"/>
              <w:ind w:left="610" w:right="287" w:hanging="322"/>
              <w:rPr>
                <w:b/>
                <w:sz w:val="16"/>
              </w:rPr>
            </w:pPr>
            <w:r>
              <w:rPr>
                <w:b/>
                <w:color w:val="FFFFFF"/>
                <w:sz w:val="16"/>
              </w:rPr>
              <w:t>VARIACIÓN</w:t>
            </w:r>
            <w:r>
              <w:rPr>
                <w:b/>
                <w:color w:val="FFFFFF"/>
                <w:spacing w:val="-12"/>
                <w:sz w:val="16"/>
              </w:rPr>
              <w:t> </w:t>
            </w:r>
            <w:r>
              <w:rPr>
                <w:b/>
                <w:color w:val="FFFFFF"/>
                <w:sz w:val="16"/>
              </w:rPr>
              <w:t>ENTRE </w:t>
            </w:r>
            <w:r>
              <w:rPr>
                <w:b/>
                <w:color w:val="FFFFFF"/>
                <w:spacing w:val="-2"/>
                <w:sz w:val="16"/>
              </w:rPr>
              <w:t>PERIODOS</w:t>
            </w:r>
          </w:p>
        </w:tc>
      </w:tr>
      <w:tr>
        <w:trPr>
          <w:trHeight w:val="225" w:hRule="atLeast"/>
        </w:trPr>
        <w:tc>
          <w:tcPr>
            <w:tcW w:w="845" w:type="dxa"/>
            <w:vMerge/>
            <w:tcBorders>
              <w:top w:val="nil"/>
            </w:tcBorders>
            <w:shd w:val="clear" w:color="auto" w:fill="0E233D"/>
          </w:tcPr>
          <w:p>
            <w:pPr>
              <w:rPr>
                <w:sz w:val="2"/>
                <w:szCs w:val="2"/>
              </w:rPr>
            </w:pPr>
          </w:p>
        </w:tc>
        <w:tc>
          <w:tcPr>
            <w:tcW w:w="2699" w:type="dxa"/>
            <w:vMerge/>
            <w:tcBorders>
              <w:top w:val="nil"/>
            </w:tcBorders>
            <w:shd w:val="clear" w:color="auto" w:fill="0E233D"/>
          </w:tcPr>
          <w:p>
            <w:pPr>
              <w:rPr>
                <w:sz w:val="2"/>
                <w:szCs w:val="2"/>
              </w:rPr>
            </w:pPr>
          </w:p>
        </w:tc>
        <w:tc>
          <w:tcPr>
            <w:tcW w:w="1680" w:type="dxa"/>
            <w:vMerge/>
            <w:tcBorders>
              <w:top w:val="nil"/>
            </w:tcBorders>
            <w:shd w:val="clear" w:color="auto" w:fill="0E233D"/>
          </w:tcPr>
          <w:p>
            <w:pPr>
              <w:rPr>
                <w:sz w:val="2"/>
                <w:szCs w:val="2"/>
              </w:rPr>
            </w:pPr>
          </w:p>
        </w:tc>
        <w:tc>
          <w:tcPr>
            <w:tcW w:w="1349" w:type="dxa"/>
            <w:vMerge/>
            <w:tcBorders>
              <w:top w:val="nil"/>
            </w:tcBorders>
            <w:shd w:val="clear" w:color="auto" w:fill="0E233D"/>
          </w:tcPr>
          <w:p>
            <w:pPr>
              <w:rPr>
                <w:sz w:val="2"/>
                <w:szCs w:val="2"/>
              </w:rPr>
            </w:pPr>
          </w:p>
        </w:tc>
        <w:tc>
          <w:tcPr>
            <w:tcW w:w="1133" w:type="dxa"/>
            <w:shd w:val="clear" w:color="auto" w:fill="0E233D"/>
          </w:tcPr>
          <w:p>
            <w:pPr>
              <w:pStyle w:val="TableParagraph"/>
              <w:spacing w:line="183" w:lineRule="exact" w:before="22"/>
              <w:ind w:right="119"/>
              <w:jc w:val="right"/>
              <w:rPr>
                <w:b/>
                <w:sz w:val="16"/>
              </w:rPr>
            </w:pPr>
            <w:r>
              <w:rPr>
                <w:b/>
                <w:color w:val="FFFFFF"/>
                <w:spacing w:val="-2"/>
                <w:sz w:val="16"/>
              </w:rPr>
              <w:t>ABSOLUTA</w:t>
            </w:r>
          </w:p>
        </w:tc>
        <w:tc>
          <w:tcPr>
            <w:tcW w:w="936" w:type="dxa"/>
            <w:shd w:val="clear" w:color="auto" w:fill="0E233D"/>
          </w:tcPr>
          <w:p>
            <w:pPr>
              <w:pStyle w:val="TableParagraph"/>
              <w:spacing w:line="183" w:lineRule="exact" w:before="22"/>
              <w:ind w:left="8" w:right="3"/>
              <w:jc w:val="center"/>
              <w:rPr>
                <w:b/>
                <w:sz w:val="16"/>
              </w:rPr>
            </w:pPr>
            <w:r>
              <w:rPr>
                <w:b/>
                <w:color w:val="FFFFFF"/>
                <w:spacing w:val="-2"/>
                <w:sz w:val="16"/>
              </w:rPr>
              <w:t>RELATIVA</w:t>
            </w:r>
          </w:p>
        </w:tc>
      </w:tr>
      <w:tr>
        <w:trPr>
          <w:trHeight w:val="225" w:hRule="atLeast"/>
        </w:trPr>
        <w:tc>
          <w:tcPr>
            <w:tcW w:w="845" w:type="dxa"/>
          </w:tcPr>
          <w:p>
            <w:pPr>
              <w:pStyle w:val="TableParagraph"/>
              <w:spacing w:line="163" w:lineRule="exact" w:before="41"/>
              <w:ind w:left="1"/>
              <w:jc w:val="center"/>
              <w:rPr>
                <w:sz w:val="16"/>
              </w:rPr>
            </w:pPr>
            <w:r>
              <w:rPr>
                <w:spacing w:val="-10"/>
                <w:sz w:val="16"/>
              </w:rPr>
              <w:t>0</w:t>
            </w:r>
          </w:p>
        </w:tc>
        <w:tc>
          <w:tcPr>
            <w:tcW w:w="2699" w:type="dxa"/>
          </w:tcPr>
          <w:p>
            <w:pPr>
              <w:pStyle w:val="TableParagraph"/>
              <w:spacing w:line="163" w:lineRule="exact" w:before="41"/>
              <w:ind w:left="66"/>
              <w:rPr>
                <w:sz w:val="16"/>
              </w:rPr>
            </w:pPr>
            <w:r>
              <w:rPr>
                <w:spacing w:val="-2"/>
                <w:sz w:val="16"/>
              </w:rPr>
              <w:t>REMUNERACIONES</w:t>
            </w:r>
          </w:p>
        </w:tc>
        <w:tc>
          <w:tcPr>
            <w:tcW w:w="1680" w:type="dxa"/>
          </w:tcPr>
          <w:p>
            <w:pPr>
              <w:pStyle w:val="TableParagraph"/>
              <w:spacing w:line="163" w:lineRule="exact" w:before="41"/>
              <w:ind w:right="78"/>
              <w:jc w:val="right"/>
              <w:rPr>
                <w:sz w:val="16"/>
              </w:rPr>
            </w:pPr>
            <w:r>
              <w:rPr>
                <w:sz w:val="16"/>
              </w:rPr>
              <w:t>2</w:t>
            </w:r>
            <w:r>
              <w:rPr>
                <w:spacing w:val="-1"/>
                <w:sz w:val="16"/>
              </w:rPr>
              <w:t> </w:t>
            </w:r>
            <w:r>
              <w:rPr>
                <w:sz w:val="16"/>
              </w:rPr>
              <w:t>348</w:t>
            </w:r>
            <w:r>
              <w:rPr>
                <w:spacing w:val="-1"/>
                <w:sz w:val="16"/>
              </w:rPr>
              <w:t> </w:t>
            </w:r>
            <w:r>
              <w:rPr>
                <w:spacing w:val="-2"/>
                <w:sz w:val="16"/>
              </w:rPr>
              <w:t>026,65</w:t>
            </w:r>
          </w:p>
        </w:tc>
        <w:tc>
          <w:tcPr>
            <w:tcW w:w="1349" w:type="dxa"/>
          </w:tcPr>
          <w:p>
            <w:pPr>
              <w:pStyle w:val="TableParagraph"/>
              <w:spacing w:line="163" w:lineRule="exact" w:before="41"/>
              <w:ind w:right="63"/>
              <w:jc w:val="right"/>
              <w:rPr>
                <w:sz w:val="16"/>
              </w:rPr>
            </w:pPr>
            <w:r>
              <w:rPr>
                <w:sz w:val="16"/>
              </w:rPr>
              <w:t>2</w:t>
            </w:r>
            <w:r>
              <w:rPr>
                <w:spacing w:val="-5"/>
                <w:sz w:val="16"/>
              </w:rPr>
              <w:t> </w:t>
            </w:r>
            <w:r>
              <w:rPr>
                <w:sz w:val="16"/>
              </w:rPr>
              <w:t>398</w:t>
            </w:r>
            <w:r>
              <w:rPr>
                <w:spacing w:val="-1"/>
                <w:sz w:val="16"/>
              </w:rPr>
              <w:t> </w:t>
            </w:r>
            <w:r>
              <w:rPr>
                <w:spacing w:val="-2"/>
                <w:sz w:val="16"/>
              </w:rPr>
              <w:t>151,74</w:t>
            </w:r>
          </w:p>
        </w:tc>
        <w:tc>
          <w:tcPr>
            <w:tcW w:w="1133" w:type="dxa"/>
          </w:tcPr>
          <w:p>
            <w:pPr>
              <w:pStyle w:val="TableParagraph"/>
              <w:spacing w:line="163" w:lineRule="exact" w:before="41"/>
              <w:ind w:right="68"/>
              <w:jc w:val="right"/>
              <w:rPr>
                <w:sz w:val="16"/>
              </w:rPr>
            </w:pPr>
            <w:r>
              <w:rPr>
                <w:sz w:val="16"/>
              </w:rPr>
              <w:t>50</w:t>
            </w:r>
            <w:r>
              <w:rPr>
                <w:spacing w:val="-3"/>
                <w:sz w:val="16"/>
              </w:rPr>
              <w:t> </w:t>
            </w:r>
            <w:r>
              <w:rPr>
                <w:spacing w:val="-2"/>
                <w:sz w:val="16"/>
              </w:rPr>
              <w:t>125,09</w:t>
            </w:r>
          </w:p>
        </w:tc>
        <w:tc>
          <w:tcPr>
            <w:tcW w:w="936" w:type="dxa"/>
          </w:tcPr>
          <w:p>
            <w:pPr>
              <w:pStyle w:val="TableParagraph"/>
              <w:spacing w:line="163" w:lineRule="exact" w:before="41"/>
              <w:ind w:left="8" w:right="1"/>
              <w:jc w:val="center"/>
              <w:rPr>
                <w:sz w:val="16"/>
              </w:rPr>
            </w:pPr>
            <w:r>
              <w:rPr>
                <w:spacing w:val="-2"/>
                <w:sz w:val="16"/>
              </w:rPr>
              <w:t>2,13%</w:t>
            </w:r>
          </w:p>
        </w:tc>
      </w:tr>
      <w:tr>
        <w:trPr>
          <w:trHeight w:val="225" w:hRule="atLeast"/>
        </w:trPr>
        <w:tc>
          <w:tcPr>
            <w:tcW w:w="845" w:type="dxa"/>
          </w:tcPr>
          <w:p>
            <w:pPr>
              <w:pStyle w:val="TableParagraph"/>
              <w:spacing w:line="163" w:lineRule="exact" w:before="41"/>
              <w:ind w:left="1"/>
              <w:jc w:val="center"/>
              <w:rPr>
                <w:sz w:val="16"/>
              </w:rPr>
            </w:pPr>
            <w:r>
              <w:rPr>
                <w:spacing w:val="-10"/>
                <w:sz w:val="16"/>
              </w:rPr>
              <w:t>1</w:t>
            </w:r>
          </w:p>
        </w:tc>
        <w:tc>
          <w:tcPr>
            <w:tcW w:w="2699" w:type="dxa"/>
          </w:tcPr>
          <w:p>
            <w:pPr>
              <w:pStyle w:val="TableParagraph"/>
              <w:spacing w:line="163" w:lineRule="exact" w:before="41"/>
              <w:ind w:left="66"/>
              <w:rPr>
                <w:sz w:val="16"/>
              </w:rPr>
            </w:pPr>
            <w:r>
              <w:rPr>
                <w:spacing w:val="-2"/>
                <w:sz w:val="16"/>
              </w:rPr>
              <w:t>SERVICIOS</w:t>
            </w:r>
          </w:p>
        </w:tc>
        <w:tc>
          <w:tcPr>
            <w:tcW w:w="1680" w:type="dxa"/>
          </w:tcPr>
          <w:p>
            <w:pPr>
              <w:pStyle w:val="TableParagraph"/>
              <w:spacing w:line="163" w:lineRule="exact" w:before="41"/>
              <w:ind w:right="78"/>
              <w:jc w:val="right"/>
              <w:rPr>
                <w:sz w:val="16"/>
              </w:rPr>
            </w:pPr>
            <w:r>
              <w:rPr>
                <w:sz w:val="16"/>
              </w:rPr>
              <w:t>3</w:t>
            </w:r>
            <w:r>
              <w:rPr>
                <w:spacing w:val="-1"/>
                <w:sz w:val="16"/>
              </w:rPr>
              <w:t> </w:t>
            </w:r>
            <w:r>
              <w:rPr>
                <w:sz w:val="16"/>
              </w:rPr>
              <w:t>048</w:t>
            </w:r>
            <w:r>
              <w:rPr>
                <w:spacing w:val="-1"/>
                <w:sz w:val="16"/>
              </w:rPr>
              <w:t> </w:t>
            </w:r>
            <w:r>
              <w:rPr>
                <w:spacing w:val="-2"/>
                <w:sz w:val="16"/>
              </w:rPr>
              <w:t>430,88</w:t>
            </w:r>
          </w:p>
        </w:tc>
        <w:tc>
          <w:tcPr>
            <w:tcW w:w="1349" w:type="dxa"/>
          </w:tcPr>
          <w:p>
            <w:pPr>
              <w:pStyle w:val="TableParagraph"/>
              <w:spacing w:line="163" w:lineRule="exact" w:before="41"/>
              <w:ind w:right="63"/>
              <w:jc w:val="right"/>
              <w:rPr>
                <w:sz w:val="16"/>
              </w:rPr>
            </w:pPr>
            <w:r>
              <w:rPr>
                <w:sz w:val="16"/>
              </w:rPr>
              <w:t>2</w:t>
            </w:r>
            <w:r>
              <w:rPr>
                <w:spacing w:val="-5"/>
                <w:sz w:val="16"/>
              </w:rPr>
              <w:t> </w:t>
            </w:r>
            <w:r>
              <w:rPr>
                <w:sz w:val="16"/>
              </w:rPr>
              <w:t>986</w:t>
            </w:r>
            <w:r>
              <w:rPr>
                <w:spacing w:val="-1"/>
                <w:sz w:val="16"/>
              </w:rPr>
              <w:t> </w:t>
            </w:r>
            <w:r>
              <w:rPr>
                <w:spacing w:val="-2"/>
                <w:sz w:val="16"/>
              </w:rPr>
              <w:t>384,88</w:t>
            </w:r>
          </w:p>
        </w:tc>
        <w:tc>
          <w:tcPr>
            <w:tcW w:w="1133" w:type="dxa"/>
          </w:tcPr>
          <w:p>
            <w:pPr>
              <w:pStyle w:val="TableParagraph"/>
              <w:spacing w:line="163" w:lineRule="exact" w:before="41"/>
              <w:ind w:right="68"/>
              <w:jc w:val="right"/>
              <w:rPr>
                <w:sz w:val="16"/>
              </w:rPr>
            </w:pPr>
            <w:r>
              <w:rPr>
                <w:sz w:val="16"/>
              </w:rPr>
              <w:t>-62</w:t>
            </w:r>
            <w:r>
              <w:rPr>
                <w:spacing w:val="-4"/>
                <w:sz w:val="16"/>
              </w:rPr>
              <w:t> </w:t>
            </w:r>
            <w:r>
              <w:rPr>
                <w:spacing w:val="-2"/>
                <w:sz w:val="16"/>
              </w:rPr>
              <w:t>046,00</w:t>
            </w:r>
          </w:p>
        </w:tc>
        <w:tc>
          <w:tcPr>
            <w:tcW w:w="936" w:type="dxa"/>
          </w:tcPr>
          <w:p>
            <w:pPr>
              <w:pStyle w:val="TableParagraph"/>
              <w:spacing w:line="163" w:lineRule="exact" w:before="41"/>
              <w:ind w:left="8" w:right="5"/>
              <w:jc w:val="center"/>
              <w:rPr>
                <w:sz w:val="16"/>
              </w:rPr>
            </w:pPr>
            <w:r>
              <w:rPr>
                <w:spacing w:val="-2"/>
                <w:sz w:val="16"/>
              </w:rPr>
              <w:t>-2,04%</w:t>
            </w:r>
          </w:p>
        </w:tc>
      </w:tr>
      <w:tr>
        <w:trPr>
          <w:trHeight w:val="225" w:hRule="atLeast"/>
        </w:trPr>
        <w:tc>
          <w:tcPr>
            <w:tcW w:w="845" w:type="dxa"/>
          </w:tcPr>
          <w:p>
            <w:pPr>
              <w:pStyle w:val="TableParagraph"/>
              <w:spacing w:line="163" w:lineRule="exact" w:before="41"/>
              <w:ind w:left="1"/>
              <w:jc w:val="center"/>
              <w:rPr>
                <w:sz w:val="16"/>
              </w:rPr>
            </w:pPr>
            <w:r>
              <w:rPr>
                <w:spacing w:val="-10"/>
                <w:sz w:val="16"/>
              </w:rPr>
              <w:t>2</w:t>
            </w:r>
          </w:p>
        </w:tc>
        <w:tc>
          <w:tcPr>
            <w:tcW w:w="2699" w:type="dxa"/>
          </w:tcPr>
          <w:p>
            <w:pPr>
              <w:pStyle w:val="TableParagraph"/>
              <w:spacing w:line="163" w:lineRule="exact" w:before="41"/>
              <w:ind w:left="66"/>
              <w:rPr>
                <w:sz w:val="16"/>
              </w:rPr>
            </w:pPr>
            <w:r>
              <w:rPr>
                <w:sz w:val="16"/>
              </w:rPr>
              <w:t>MATERIALES</w:t>
            </w:r>
            <w:r>
              <w:rPr>
                <w:spacing w:val="-3"/>
                <w:sz w:val="16"/>
              </w:rPr>
              <w:t> </w:t>
            </w:r>
            <w:r>
              <w:rPr>
                <w:sz w:val="16"/>
              </w:rPr>
              <w:t>Y</w:t>
            </w:r>
            <w:r>
              <w:rPr>
                <w:spacing w:val="-7"/>
                <w:sz w:val="16"/>
              </w:rPr>
              <w:t> </w:t>
            </w:r>
            <w:r>
              <w:rPr>
                <w:spacing w:val="-2"/>
                <w:sz w:val="16"/>
              </w:rPr>
              <w:t>SUMINISTROS</w:t>
            </w:r>
          </w:p>
        </w:tc>
        <w:tc>
          <w:tcPr>
            <w:tcW w:w="1680" w:type="dxa"/>
          </w:tcPr>
          <w:p>
            <w:pPr>
              <w:pStyle w:val="TableParagraph"/>
              <w:spacing w:line="163" w:lineRule="exact" w:before="41"/>
              <w:ind w:right="78"/>
              <w:jc w:val="right"/>
              <w:rPr>
                <w:sz w:val="16"/>
              </w:rPr>
            </w:pPr>
            <w:r>
              <w:rPr>
                <w:sz w:val="16"/>
              </w:rPr>
              <w:t>16</w:t>
            </w:r>
            <w:r>
              <w:rPr>
                <w:spacing w:val="-1"/>
                <w:sz w:val="16"/>
              </w:rPr>
              <w:t> </w:t>
            </w:r>
            <w:r>
              <w:rPr>
                <w:sz w:val="16"/>
              </w:rPr>
              <w:t>930 </w:t>
            </w:r>
            <w:r>
              <w:rPr>
                <w:spacing w:val="-2"/>
                <w:sz w:val="16"/>
              </w:rPr>
              <w:t>765,47</w:t>
            </w:r>
          </w:p>
        </w:tc>
        <w:tc>
          <w:tcPr>
            <w:tcW w:w="1349" w:type="dxa"/>
          </w:tcPr>
          <w:p>
            <w:pPr>
              <w:pStyle w:val="TableParagraph"/>
              <w:spacing w:line="163" w:lineRule="exact" w:before="41"/>
              <w:ind w:right="64"/>
              <w:jc w:val="right"/>
              <w:rPr>
                <w:sz w:val="16"/>
              </w:rPr>
            </w:pPr>
            <w:r>
              <w:rPr>
                <w:sz w:val="16"/>
              </w:rPr>
              <w:t>15</w:t>
            </w:r>
            <w:r>
              <w:rPr>
                <w:spacing w:val="-3"/>
                <w:sz w:val="16"/>
              </w:rPr>
              <w:t> </w:t>
            </w:r>
            <w:r>
              <w:rPr>
                <w:sz w:val="16"/>
              </w:rPr>
              <w:t>206</w:t>
            </w:r>
            <w:r>
              <w:rPr>
                <w:spacing w:val="-2"/>
                <w:sz w:val="16"/>
              </w:rPr>
              <w:t> 700,00</w:t>
            </w:r>
          </w:p>
        </w:tc>
        <w:tc>
          <w:tcPr>
            <w:tcW w:w="1133" w:type="dxa"/>
          </w:tcPr>
          <w:p>
            <w:pPr>
              <w:pStyle w:val="TableParagraph"/>
              <w:spacing w:line="163" w:lineRule="exact" w:before="41"/>
              <w:ind w:right="68"/>
              <w:jc w:val="right"/>
              <w:rPr>
                <w:sz w:val="16"/>
              </w:rPr>
            </w:pPr>
            <w:r>
              <w:rPr>
                <w:sz w:val="16"/>
              </w:rPr>
              <w:t>-1</w:t>
            </w:r>
            <w:r>
              <w:rPr>
                <w:spacing w:val="-4"/>
                <w:sz w:val="16"/>
              </w:rPr>
              <w:t> </w:t>
            </w:r>
            <w:r>
              <w:rPr>
                <w:sz w:val="16"/>
              </w:rPr>
              <w:t>724</w:t>
            </w:r>
            <w:r>
              <w:rPr>
                <w:spacing w:val="-3"/>
                <w:sz w:val="16"/>
              </w:rPr>
              <w:t> </w:t>
            </w:r>
            <w:r>
              <w:rPr>
                <w:spacing w:val="-2"/>
                <w:sz w:val="16"/>
              </w:rPr>
              <w:t>065,47</w:t>
            </w:r>
          </w:p>
        </w:tc>
        <w:tc>
          <w:tcPr>
            <w:tcW w:w="936" w:type="dxa"/>
          </w:tcPr>
          <w:p>
            <w:pPr>
              <w:pStyle w:val="TableParagraph"/>
              <w:spacing w:line="163" w:lineRule="exact" w:before="41"/>
              <w:ind w:left="8" w:right="6"/>
              <w:jc w:val="center"/>
              <w:rPr>
                <w:sz w:val="16"/>
              </w:rPr>
            </w:pPr>
            <w:r>
              <w:rPr>
                <w:spacing w:val="-2"/>
                <w:sz w:val="16"/>
              </w:rPr>
              <w:t>-10,18%</w:t>
            </w:r>
          </w:p>
        </w:tc>
      </w:tr>
      <w:tr>
        <w:trPr>
          <w:trHeight w:val="225" w:hRule="atLeast"/>
        </w:trPr>
        <w:tc>
          <w:tcPr>
            <w:tcW w:w="845" w:type="dxa"/>
          </w:tcPr>
          <w:p>
            <w:pPr>
              <w:pStyle w:val="TableParagraph"/>
              <w:spacing w:line="163" w:lineRule="exact" w:before="41"/>
              <w:ind w:left="1"/>
              <w:jc w:val="center"/>
              <w:rPr>
                <w:sz w:val="16"/>
              </w:rPr>
            </w:pPr>
            <w:r>
              <w:rPr>
                <w:spacing w:val="-10"/>
                <w:sz w:val="16"/>
              </w:rPr>
              <w:t>5</w:t>
            </w:r>
          </w:p>
        </w:tc>
        <w:tc>
          <w:tcPr>
            <w:tcW w:w="2699" w:type="dxa"/>
          </w:tcPr>
          <w:p>
            <w:pPr>
              <w:pStyle w:val="TableParagraph"/>
              <w:spacing w:line="163" w:lineRule="exact" w:before="41"/>
              <w:ind w:left="66"/>
              <w:rPr>
                <w:sz w:val="16"/>
              </w:rPr>
            </w:pPr>
            <w:r>
              <w:rPr>
                <w:sz w:val="16"/>
              </w:rPr>
              <w:t>BIENES</w:t>
            </w:r>
            <w:r>
              <w:rPr>
                <w:spacing w:val="-5"/>
                <w:sz w:val="16"/>
              </w:rPr>
              <w:t> </w:t>
            </w:r>
            <w:r>
              <w:rPr>
                <w:spacing w:val="-2"/>
                <w:sz w:val="16"/>
              </w:rPr>
              <w:t>DURADEROS</w:t>
            </w:r>
          </w:p>
        </w:tc>
        <w:tc>
          <w:tcPr>
            <w:tcW w:w="1680" w:type="dxa"/>
          </w:tcPr>
          <w:p>
            <w:pPr>
              <w:pStyle w:val="TableParagraph"/>
              <w:spacing w:line="163" w:lineRule="exact" w:before="41"/>
              <w:ind w:right="78"/>
              <w:jc w:val="right"/>
              <w:rPr>
                <w:sz w:val="16"/>
              </w:rPr>
            </w:pPr>
            <w:r>
              <w:rPr>
                <w:sz w:val="16"/>
              </w:rPr>
              <w:t>380</w:t>
            </w:r>
            <w:r>
              <w:rPr>
                <w:spacing w:val="-2"/>
                <w:sz w:val="16"/>
              </w:rPr>
              <w:t> 595,00</w:t>
            </w:r>
          </w:p>
        </w:tc>
        <w:tc>
          <w:tcPr>
            <w:tcW w:w="1349" w:type="dxa"/>
          </w:tcPr>
          <w:p>
            <w:pPr>
              <w:pStyle w:val="TableParagraph"/>
              <w:spacing w:line="163" w:lineRule="exact" w:before="41"/>
              <w:ind w:right="63"/>
              <w:jc w:val="right"/>
              <w:rPr>
                <w:sz w:val="16"/>
              </w:rPr>
            </w:pPr>
            <w:r>
              <w:rPr>
                <w:sz w:val="16"/>
              </w:rPr>
              <w:t>178</w:t>
            </w:r>
            <w:r>
              <w:rPr>
                <w:spacing w:val="-6"/>
                <w:sz w:val="16"/>
              </w:rPr>
              <w:t> </w:t>
            </w:r>
            <w:r>
              <w:rPr>
                <w:spacing w:val="-2"/>
                <w:sz w:val="16"/>
              </w:rPr>
              <w:t>000,00</w:t>
            </w:r>
          </w:p>
        </w:tc>
        <w:tc>
          <w:tcPr>
            <w:tcW w:w="1133" w:type="dxa"/>
          </w:tcPr>
          <w:p>
            <w:pPr>
              <w:pStyle w:val="TableParagraph"/>
              <w:spacing w:line="163" w:lineRule="exact" w:before="41"/>
              <w:ind w:right="68"/>
              <w:jc w:val="right"/>
              <w:rPr>
                <w:sz w:val="16"/>
              </w:rPr>
            </w:pPr>
            <w:r>
              <w:rPr>
                <w:sz w:val="16"/>
              </w:rPr>
              <w:t>-202</w:t>
            </w:r>
            <w:r>
              <w:rPr>
                <w:spacing w:val="-3"/>
                <w:sz w:val="16"/>
              </w:rPr>
              <w:t> </w:t>
            </w:r>
            <w:r>
              <w:rPr>
                <w:spacing w:val="-2"/>
                <w:sz w:val="16"/>
              </w:rPr>
              <w:t>595,00</w:t>
            </w:r>
          </w:p>
        </w:tc>
        <w:tc>
          <w:tcPr>
            <w:tcW w:w="936" w:type="dxa"/>
          </w:tcPr>
          <w:p>
            <w:pPr>
              <w:pStyle w:val="TableParagraph"/>
              <w:spacing w:line="163" w:lineRule="exact" w:before="41"/>
              <w:ind w:left="8" w:right="6"/>
              <w:jc w:val="center"/>
              <w:rPr>
                <w:sz w:val="16"/>
              </w:rPr>
            </w:pPr>
            <w:r>
              <w:rPr>
                <w:spacing w:val="-2"/>
                <w:sz w:val="16"/>
              </w:rPr>
              <w:t>-53,23%</w:t>
            </w:r>
          </w:p>
        </w:tc>
      </w:tr>
      <w:tr>
        <w:trPr>
          <w:trHeight w:val="225" w:hRule="atLeast"/>
        </w:trPr>
        <w:tc>
          <w:tcPr>
            <w:tcW w:w="845" w:type="dxa"/>
          </w:tcPr>
          <w:p>
            <w:pPr>
              <w:pStyle w:val="TableParagraph"/>
              <w:spacing w:line="163" w:lineRule="exact" w:before="41"/>
              <w:ind w:left="1"/>
              <w:jc w:val="center"/>
              <w:rPr>
                <w:sz w:val="16"/>
              </w:rPr>
            </w:pPr>
            <w:r>
              <w:rPr>
                <w:spacing w:val="-10"/>
                <w:sz w:val="16"/>
              </w:rPr>
              <w:t>6</w:t>
            </w:r>
          </w:p>
        </w:tc>
        <w:tc>
          <w:tcPr>
            <w:tcW w:w="2699" w:type="dxa"/>
          </w:tcPr>
          <w:p>
            <w:pPr>
              <w:pStyle w:val="TableParagraph"/>
              <w:spacing w:line="163" w:lineRule="exact" w:before="41"/>
              <w:ind w:left="66"/>
              <w:rPr>
                <w:sz w:val="16"/>
              </w:rPr>
            </w:pPr>
            <w:r>
              <w:rPr>
                <w:spacing w:val="-2"/>
                <w:sz w:val="16"/>
              </w:rPr>
              <w:t>TRANSFERENCIAS</w:t>
            </w:r>
            <w:r>
              <w:rPr>
                <w:spacing w:val="13"/>
                <w:sz w:val="16"/>
              </w:rPr>
              <w:t> </w:t>
            </w:r>
            <w:r>
              <w:rPr>
                <w:spacing w:val="-2"/>
                <w:sz w:val="16"/>
              </w:rPr>
              <w:t>CORRIENTES</w:t>
            </w:r>
          </w:p>
        </w:tc>
        <w:tc>
          <w:tcPr>
            <w:tcW w:w="1680" w:type="dxa"/>
          </w:tcPr>
          <w:p>
            <w:pPr>
              <w:pStyle w:val="TableParagraph"/>
              <w:spacing w:line="163" w:lineRule="exact" w:before="41"/>
              <w:ind w:right="78"/>
              <w:jc w:val="right"/>
              <w:rPr>
                <w:sz w:val="16"/>
              </w:rPr>
            </w:pPr>
            <w:r>
              <w:rPr>
                <w:sz w:val="16"/>
              </w:rPr>
              <w:t>4</w:t>
            </w:r>
            <w:r>
              <w:rPr>
                <w:spacing w:val="-1"/>
                <w:sz w:val="16"/>
              </w:rPr>
              <w:t> </w:t>
            </w:r>
            <w:r>
              <w:rPr>
                <w:sz w:val="16"/>
              </w:rPr>
              <w:t>966</w:t>
            </w:r>
            <w:r>
              <w:rPr>
                <w:spacing w:val="-1"/>
                <w:sz w:val="16"/>
              </w:rPr>
              <w:t> </w:t>
            </w:r>
            <w:r>
              <w:rPr>
                <w:spacing w:val="-2"/>
                <w:sz w:val="16"/>
              </w:rPr>
              <w:t>677,00</w:t>
            </w:r>
          </w:p>
        </w:tc>
        <w:tc>
          <w:tcPr>
            <w:tcW w:w="1349" w:type="dxa"/>
          </w:tcPr>
          <w:p>
            <w:pPr>
              <w:pStyle w:val="TableParagraph"/>
              <w:spacing w:line="163" w:lineRule="exact" w:before="41"/>
              <w:ind w:right="63"/>
              <w:jc w:val="right"/>
              <w:rPr>
                <w:sz w:val="16"/>
              </w:rPr>
            </w:pPr>
            <w:r>
              <w:rPr>
                <w:sz w:val="16"/>
              </w:rPr>
              <w:t>3</w:t>
            </w:r>
            <w:r>
              <w:rPr>
                <w:spacing w:val="-5"/>
                <w:sz w:val="16"/>
              </w:rPr>
              <w:t> </w:t>
            </w:r>
            <w:r>
              <w:rPr>
                <w:sz w:val="16"/>
              </w:rPr>
              <w:t>963</w:t>
            </w:r>
            <w:r>
              <w:rPr>
                <w:spacing w:val="-1"/>
                <w:sz w:val="16"/>
              </w:rPr>
              <w:t> </w:t>
            </w:r>
            <w:r>
              <w:rPr>
                <w:spacing w:val="-2"/>
                <w:sz w:val="16"/>
              </w:rPr>
              <w:t>493,82</w:t>
            </w:r>
          </w:p>
        </w:tc>
        <w:tc>
          <w:tcPr>
            <w:tcW w:w="1133" w:type="dxa"/>
          </w:tcPr>
          <w:p>
            <w:pPr>
              <w:pStyle w:val="TableParagraph"/>
              <w:spacing w:line="163" w:lineRule="exact" w:before="41"/>
              <w:ind w:right="68"/>
              <w:jc w:val="right"/>
              <w:rPr>
                <w:sz w:val="16"/>
              </w:rPr>
            </w:pPr>
            <w:r>
              <w:rPr>
                <w:sz w:val="16"/>
              </w:rPr>
              <w:t>-1</w:t>
            </w:r>
            <w:r>
              <w:rPr>
                <w:spacing w:val="-4"/>
                <w:sz w:val="16"/>
              </w:rPr>
              <w:t> </w:t>
            </w:r>
            <w:r>
              <w:rPr>
                <w:sz w:val="16"/>
              </w:rPr>
              <w:t>003</w:t>
            </w:r>
            <w:r>
              <w:rPr>
                <w:spacing w:val="-3"/>
                <w:sz w:val="16"/>
              </w:rPr>
              <w:t> </w:t>
            </w:r>
            <w:r>
              <w:rPr>
                <w:spacing w:val="-2"/>
                <w:sz w:val="16"/>
              </w:rPr>
              <w:t>183,18</w:t>
            </w:r>
          </w:p>
        </w:tc>
        <w:tc>
          <w:tcPr>
            <w:tcW w:w="936" w:type="dxa"/>
          </w:tcPr>
          <w:p>
            <w:pPr>
              <w:pStyle w:val="TableParagraph"/>
              <w:spacing w:line="163" w:lineRule="exact" w:before="41"/>
              <w:ind w:left="8" w:right="6"/>
              <w:jc w:val="center"/>
              <w:rPr>
                <w:sz w:val="16"/>
              </w:rPr>
            </w:pPr>
            <w:r>
              <w:rPr>
                <w:spacing w:val="-2"/>
                <w:sz w:val="16"/>
              </w:rPr>
              <w:t>-20,20%</w:t>
            </w:r>
          </w:p>
        </w:tc>
      </w:tr>
      <w:tr>
        <w:trPr>
          <w:trHeight w:val="225" w:hRule="atLeast"/>
        </w:trPr>
        <w:tc>
          <w:tcPr>
            <w:tcW w:w="845" w:type="dxa"/>
          </w:tcPr>
          <w:p>
            <w:pPr>
              <w:pStyle w:val="TableParagraph"/>
              <w:spacing w:line="164" w:lineRule="exact" w:before="41"/>
              <w:ind w:left="1"/>
              <w:jc w:val="center"/>
              <w:rPr>
                <w:sz w:val="16"/>
              </w:rPr>
            </w:pPr>
            <w:r>
              <w:rPr>
                <w:spacing w:val="-10"/>
                <w:sz w:val="16"/>
              </w:rPr>
              <w:t>9</w:t>
            </w:r>
          </w:p>
        </w:tc>
        <w:tc>
          <w:tcPr>
            <w:tcW w:w="2699" w:type="dxa"/>
          </w:tcPr>
          <w:p>
            <w:pPr>
              <w:pStyle w:val="TableParagraph"/>
              <w:spacing w:line="164" w:lineRule="exact" w:before="41"/>
              <w:ind w:left="66"/>
              <w:rPr>
                <w:sz w:val="16"/>
              </w:rPr>
            </w:pPr>
            <w:r>
              <w:rPr>
                <w:sz w:val="16"/>
              </w:rPr>
              <w:t>CUENTAS</w:t>
            </w:r>
            <w:r>
              <w:rPr>
                <w:spacing w:val="-7"/>
                <w:sz w:val="16"/>
              </w:rPr>
              <w:t> </w:t>
            </w:r>
            <w:r>
              <w:rPr>
                <w:spacing w:val="-2"/>
                <w:sz w:val="16"/>
              </w:rPr>
              <w:t>ESPECIALES</w:t>
            </w:r>
          </w:p>
        </w:tc>
        <w:tc>
          <w:tcPr>
            <w:tcW w:w="1680" w:type="dxa"/>
          </w:tcPr>
          <w:p>
            <w:pPr>
              <w:pStyle w:val="TableParagraph"/>
              <w:rPr>
                <w:rFonts w:ascii="Times New Roman"/>
                <w:sz w:val="16"/>
              </w:rPr>
            </w:pPr>
          </w:p>
        </w:tc>
        <w:tc>
          <w:tcPr>
            <w:tcW w:w="1349" w:type="dxa"/>
          </w:tcPr>
          <w:p>
            <w:pPr>
              <w:pStyle w:val="TableParagraph"/>
              <w:rPr>
                <w:rFonts w:ascii="Times New Roman"/>
                <w:sz w:val="16"/>
              </w:rPr>
            </w:pPr>
          </w:p>
        </w:tc>
        <w:tc>
          <w:tcPr>
            <w:tcW w:w="1133" w:type="dxa"/>
          </w:tcPr>
          <w:p>
            <w:pPr>
              <w:pStyle w:val="TableParagraph"/>
              <w:rPr>
                <w:rFonts w:ascii="Times New Roman"/>
                <w:sz w:val="16"/>
              </w:rPr>
            </w:pPr>
          </w:p>
        </w:tc>
        <w:tc>
          <w:tcPr>
            <w:tcW w:w="936" w:type="dxa"/>
          </w:tcPr>
          <w:p>
            <w:pPr>
              <w:pStyle w:val="TableParagraph"/>
              <w:rPr>
                <w:rFonts w:ascii="Times New Roman"/>
                <w:sz w:val="16"/>
              </w:rPr>
            </w:pPr>
          </w:p>
        </w:tc>
      </w:tr>
      <w:tr>
        <w:trPr>
          <w:trHeight w:val="225" w:hRule="atLeast"/>
        </w:trPr>
        <w:tc>
          <w:tcPr>
            <w:tcW w:w="845" w:type="dxa"/>
            <w:shd w:val="clear" w:color="auto" w:fill="0E233D"/>
          </w:tcPr>
          <w:p>
            <w:pPr>
              <w:pStyle w:val="TableParagraph"/>
              <w:spacing w:line="163" w:lineRule="exact" w:before="41"/>
              <w:ind w:left="67"/>
              <w:rPr>
                <w:b/>
                <w:sz w:val="16"/>
              </w:rPr>
            </w:pPr>
            <w:r>
              <w:rPr>
                <w:b/>
                <w:color w:val="FFFFFF"/>
                <w:spacing w:val="-2"/>
                <w:sz w:val="16"/>
              </w:rPr>
              <w:t>TOTAL</w:t>
            </w:r>
          </w:p>
        </w:tc>
        <w:tc>
          <w:tcPr>
            <w:tcW w:w="2699" w:type="dxa"/>
            <w:shd w:val="clear" w:color="auto" w:fill="0E233D"/>
          </w:tcPr>
          <w:p>
            <w:pPr>
              <w:pStyle w:val="TableParagraph"/>
              <w:rPr>
                <w:rFonts w:ascii="Times New Roman"/>
                <w:sz w:val="16"/>
              </w:rPr>
            </w:pPr>
          </w:p>
        </w:tc>
        <w:tc>
          <w:tcPr>
            <w:tcW w:w="1680" w:type="dxa"/>
            <w:shd w:val="clear" w:color="auto" w:fill="0E233D"/>
          </w:tcPr>
          <w:p>
            <w:pPr>
              <w:pStyle w:val="TableParagraph"/>
              <w:spacing w:line="163" w:lineRule="exact" w:before="41"/>
              <w:ind w:right="64"/>
              <w:jc w:val="right"/>
              <w:rPr>
                <w:b/>
                <w:sz w:val="16"/>
              </w:rPr>
            </w:pPr>
            <w:r>
              <w:rPr>
                <w:b/>
                <w:color w:val="FFFFFF"/>
                <w:sz w:val="16"/>
              </w:rPr>
              <w:t>27</w:t>
            </w:r>
            <w:r>
              <w:rPr>
                <w:b/>
                <w:color w:val="FFFFFF"/>
                <w:spacing w:val="-3"/>
                <w:sz w:val="16"/>
              </w:rPr>
              <w:t> </w:t>
            </w:r>
            <w:r>
              <w:rPr>
                <w:b/>
                <w:color w:val="FFFFFF"/>
                <w:sz w:val="16"/>
              </w:rPr>
              <w:t>674</w:t>
            </w:r>
            <w:r>
              <w:rPr>
                <w:b/>
                <w:color w:val="FFFFFF"/>
                <w:spacing w:val="-2"/>
                <w:sz w:val="16"/>
              </w:rPr>
              <w:t> 495,00</w:t>
            </w:r>
          </w:p>
        </w:tc>
        <w:tc>
          <w:tcPr>
            <w:tcW w:w="1349" w:type="dxa"/>
            <w:shd w:val="clear" w:color="auto" w:fill="0E233D"/>
          </w:tcPr>
          <w:p>
            <w:pPr>
              <w:pStyle w:val="TableParagraph"/>
              <w:spacing w:line="163" w:lineRule="exact" w:before="41"/>
              <w:ind w:right="64"/>
              <w:jc w:val="right"/>
              <w:rPr>
                <w:b/>
                <w:sz w:val="16"/>
              </w:rPr>
            </w:pPr>
            <w:r>
              <w:rPr>
                <w:b/>
                <w:color w:val="FFFFFF"/>
                <w:sz w:val="16"/>
              </w:rPr>
              <w:t>24</w:t>
            </w:r>
            <w:r>
              <w:rPr>
                <w:b/>
                <w:color w:val="FFFFFF"/>
                <w:spacing w:val="-3"/>
                <w:sz w:val="16"/>
              </w:rPr>
              <w:t> </w:t>
            </w:r>
            <w:r>
              <w:rPr>
                <w:b/>
                <w:color w:val="FFFFFF"/>
                <w:sz w:val="16"/>
              </w:rPr>
              <w:t>732</w:t>
            </w:r>
            <w:r>
              <w:rPr>
                <w:b/>
                <w:color w:val="FFFFFF"/>
                <w:spacing w:val="-2"/>
                <w:sz w:val="16"/>
              </w:rPr>
              <w:t> 730,43</w:t>
            </w:r>
          </w:p>
        </w:tc>
        <w:tc>
          <w:tcPr>
            <w:tcW w:w="1133" w:type="dxa"/>
            <w:shd w:val="clear" w:color="auto" w:fill="0E233D"/>
          </w:tcPr>
          <w:p>
            <w:pPr>
              <w:pStyle w:val="TableParagraph"/>
              <w:spacing w:line="163" w:lineRule="exact" w:before="41"/>
              <w:ind w:right="68"/>
              <w:jc w:val="right"/>
              <w:rPr>
                <w:b/>
                <w:sz w:val="16"/>
              </w:rPr>
            </w:pPr>
            <w:r>
              <w:rPr>
                <w:b/>
                <w:color w:val="FFFFFF"/>
                <w:sz w:val="16"/>
              </w:rPr>
              <w:t>-2</w:t>
            </w:r>
            <w:r>
              <w:rPr>
                <w:b/>
                <w:color w:val="FFFFFF"/>
                <w:spacing w:val="-4"/>
                <w:sz w:val="16"/>
              </w:rPr>
              <w:t> </w:t>
            </w:r>
            <w:r>
              <w:rPr>
                <w:b/>
                <w:color w:val="FFFFFF"/>
                <w:sz w:val="16"/>
              </w:rPr>
              <w:t>941</w:t>
            </w:r>
            <w:r>
              <w:rPr>
                <w:b/>
                <w:color w:val="FFFFFF"/>
                <w:spacing w:val="-3"/>
                <w:sz w:val="16"/>
              </w:rPr>
              <w:t> </w:t>
            </w:r>
            <w:r>
              <w:rPr>
                <w:b/>
                <w:color w:val="FFFFFF"/>
                <w:spacing w:val="-2"/>
                <w:sz w:val="16"/>
              </w:rPr>
              <w:t>764,57</w:t>
            </w:r>
          </w:p>
        </w:tc>
        <w:tc>
          <w:tcPr>
            <w:tcW w:w="936" w:type="dxa"/>
            <w:shd w:val="clear" w:color="auto" w:fill="0E233D"/>
          </w:tcPr>
          <w:p>
            <w:pPr>
              <w:pStyle w:val="TableParagraph"/>
              <w:spacing w:line="163" w:lineRule="exact" w:before="41"/>
              <w:ind w:left="8" w:right="6"/>
              <w:jc w:val="center"/>
              <w:rPr>
                <w:b/>
                <w:sz w:val="16"/>
              </w:rPr>
            </w:pPr>
            <w:r>
              <w:rPr>
                <w:b/>
                <w:color w:val="FFFFFF"/>
                <w:spacing w:val="-2"/>
                <w:sz w:val="16"/>
              </w:rPr>
              <w:t>-10,63%</w:t>
            </w:r>
          </w:p>
        </w:tc>
      </w:tr>
    </w:tbl>
    <w:p>
      <w:pPr>
        <w:spacing w:before="1"/>
        <w:ind w:left="1268" w:right="0" w:firstLine="0"/>
        <w:jc w:val="left"/>
        <w:rPr>
          <w:sz w:val="18"/>
        </w:rPr>
      </w:pPr>
      <w:r>
        <w:rPr>
          <w:sz w:val="18"/>
        </w:rPr>
        <w:t>Fuente:</w:t>
      </w:r>
      <w:r>
        <w:rPr>
          <w:spacing w:val="-2"/>
          <w:sz w:val="18"/>
        </w:rPr>
        <w:t> </w:t>
      </w:r>
      <w:r>
        <w:rPr>
          <w:sz w:val="18"/>
        </w:rPr>
        <w:t>Presupuesto</w:t>
      </w:r>
      <w:r>
        <w:rPr>
          <w:spacing w:val="-8"/>
          <w:sz w:val="18"/>
        </w:rPr>
        <w:t> </w:t>
      </w:r>
      <w:r>
        <w:rPr>
          <w:sz w:val="18"/>
        </w:rPr>
        <w:t>Ordinario</w:t>
      </w:r>
      <w:r>
        <w:rPr>
          <w:spacing w:val="-9"/>
          <w:sz w:val="18"/>
        </w:rPr>
        <w:t> </w:t>
      </w:r>
      <w:r>
        <w:rPr>
          <w:spacing w:val="-4"/>
          <w:sz w:val="18"/>
        </w:rPr>
        <w:t>2026</w:t>
      </w:r>
    </w:p>
    <w:p>
      <w:pPr>
        <w:pStyle w:val="BodyText"/>
        <w:rPr>
          <w:sz w:val="18"/>
        </w:rPr>
      </w:pPr>
    </w:p>
    <w:p>
      <w:pPr>
        <w:pStyle w:val="BodyText"/>
        <w:spacing w:before="91"/>
        <w:rPr>
          <w:sz w:val="18"/>
        </w:rPr>
      </w:pPr>
    </w:p>
    <w:p>
      <w:pPr>
        <w:pStyle w:val="Heading1"/>
        <w:numPr>
          <w:ilvl w:val="0"/>
          <w:numId w:val="5"/>
        </w:numPr>
        <w:tabs>
          <w:tab w:pos="1535" w:val="left" w:leader="none"/>
        </w:tabs>
        <w:spacing w:line="240" w:lineRule="auto" w:before="0" w:after="0"/>
        <w:ind w:left="1535" w:right="0" w:hanging="267"/>
        <w:jc w:val="left"/>
      </w:pPr>
      <w:bookmarkStart w:name="_bookmark51" w:id="52"/>
      <w:bookmarkEnd w:id="52"/>
      <w:r>
        <w:rPr>
          <w:b w:val="0"/>
        </w:rPr>
      </w:r>
      <w:r>
        <w:rPr/>
        <w:t>Marco</w:t>
      </w:r>
      <w:r>
        <w:rPr>
          <w:spacing w:val="-4"/>
        </w:rPr>
        <w:t> </w:t>
      </w:r>
      <w:r>
        <w:rPr/>
        <w:t>Estratégico</w:t>
      </w:r>
      <w:r>
        <w:rPr>
          <w:spacing w:val="-2"/>
        </w:rPr>
        <w:t> Institucional</w:t>
      </w:r>
    </w:p>
    <w:p>
      <w:pPr>
        <w:pStyle w:val="BodyText"/>
        <w:spacing w:before="252"/>
        <w:ind w:left="1268" w:right="1241"/>
        <w:jc w:val="both"/>
      </w:pPr>
      <w:r>
        <w:rPr/>
        <w:t>El marco estratégico del IMAS consiste en el marco de referencia que orienta a la institución hacia el cumplimiento de su misión, el alcance de su visión y el cumplimiento de sus objetivos estratégicos.</w:t>
      </w:r>
    </w:p>
    <w:p>
      <w:pPr>
        <w:pStyle w:val="BodyText"/>
        <w:spacing w:before="1"/>
      </w:pPr>
    </w:p>
    <w:p>
      <w:pPr>
        <w:pStyle w:val="BodyText"/>
        <w:ind w:left="1268" w:right="1235"/>
        <w:jc w:val="both"/>
      </w:pPr>
      <w:r>
        <w:rPr/>
        <w:t>El</w:t>
      </w:r>
      <w:r>
        <w:rPr>
          <w:spacing w:val="-13"/>
        </w:rPr>
        <w:t> </w:t>
      </w:r>
      <w:r>
        <w:rPr/>
        <w:t>marco</w:t>
      </w:r>
      <w:r>
        <w:rPr>
          <w:spacing w:val="-10"/>
        </w:rPr>
        <w:t> </w:t>
      </w:r>
      <w:r>
        <w:rPr/>
        <w:t>estratégico</w:t>
      </w:r>
      <w:r>
        <w:rPr>
          <w:spacing w:val="-10"/>
        </w:rPr>
        <w:t> </w:t>
      </w:r>
      <w:r>
        <w:rPr/>
        <w:t>de</w:t>
      </w:r>
      <w:r>
        <w:rPr>
          <w:spacing w:val="-2"/>
        </w:rPr>
        <w:t> </w:t>
      </w:r>
      <w:r>
        <w:rPr/>
        <w:t>la</w:t>
      </w:r>
      <w:r>
        <w:rPr>
          <w:spacing w:val="-5"/>
        </w:rPr>
        <w:t> </w:t>
      </w:r>
      <w:r>
        <w:rPr/>
        <w:t>institución</w:t>
      </w:r>
      <w:r>
        <w:rPr>
          <w:spacing w:val="-8"/>
        </w:rPr>
        <w:t> </w:t>
      </w:r>
      <w:r>
        <w:rPr/>
        <w:t>fue</w:t>
      </w:r>
      <w:r>
        <w:rPr>
          <w:spacing w:val="-14"/>
        </w:rPr>
        <w:t> </w:t>
      </w:r>
      <w:r>
        <w:rPr/>
        <w:t>planteado</w:t>
      </w:r>
      <w:r>
        <w:rPr>
          <w:spacing w:val="-10"/>
        </w:rPr>
        <w:t> </w:t>
      </w:r>
      <w:r>
        <w:rPr/>
        <w:t>en</w:t>
      </w:r>
      <w:r>
        <w:rPr>
          <w:spacing w:val="-10"/>
        </w:rPr>
        <w:t> </w:t>
      </w:r>
      <w:r>
        <w:rPr/>
        <w:t>la</w:t>
      </w:r>
      <w:r>
        <w:rPr>
          <w:spacing w:val="-10"/>
        </w:rPr>
        <w:t> </w:t>
      </w:r>
      <w:r>
        <w:rPr/>
        <w:t>formulación</w:t>
      </w:r>
      <w:r>
        <w:rPr>
          <w:spacing w:val="-10"/>
        </w:rPr>
        <w:t> </w:t>
      </w:r>
      <w:r>
        <w:rPr/>
        <w:t>del</w:t>
      </w:r>
      <w:r>
        <w:rPr>
          <w:spacing w:val="-8"/>
        </w:rPr>
        <w:t> </w:t>
      </w:r>
      <w:r>
        <w:rPr/>
        <w:t>Plan</w:t>
      </w:r>
      <w:r>
        <w:rPr>
          <w:spacing w:val="-10"/>
        </w:rPr>
        <w:t> </w:t>
      </w:r>
      <w:r>
        <w:rPr/>
        <w:t>Estratégico Institucional</w:t>
      </w:r>
      <w:r>
        <w:rPr>
          <w:spacing w:val="-16"/>
        </w:rPr>
        <w:t> </w:t>
      </w:r>
      <w:r>
        <w:rPr/>
        <w:t>del</w:t>
      </w:r>
      <w:r>
        <w:rPr>
          <w:spacing w:val="-15"/>
        </w:rPr>
        <w:t> </w:t>
      </w:r>
      <w:r>
        <w:rPr/>
        <w:t>IMAS,</w:t>
      </w:r>
      <w:r>
        <w:rPr>
          <w:spacing w:val="-15"/>
        </w:rPr>
        <w:t> </w:t>
      </w:r>
      <w:r>
        <w:rPr/>
        <w:t>el</w:t>
      </w:r>
      <w:r>
        <w:rPr>
          <w:spacing w:val="-14"/>
        </w:rPr>
        <w:t> </w:t>
      </w:r>
      <w:r>
        <w:rPr/>
        <w:t>cual</w:t>
      </w:r>
      <w:r>
        <w:rPr>
          <w:spacing w:val="-15"/>
        </w:rPr>
        <w:t> </w:t>
      </w:r>
      <w:r>
        <w:rPr/>
        <w:t>tiene</w:t>
      </w:r>
      <w:r>
        <w:rPr>
          <w:spacing w:val="-13"/>
        </w:rPr>
        <w:t> </w:t>
      </w:r>
      <w:r>
        <w:rPr/>
        <w:t>un</w:t>
      </w:r>
      <w:r>
        <w:rPr>
          <w:spacing w:val="-14"/>
        </w:rPr>
        <w:t> </w:t>
      </w:r>
      <w:r>
        <w:rPr/>
        <w:t>periodo</w:t>
      </w:r>
      <w:r>
        <w:rPr>
          <w:spacing w:val="-14"/>
        </w:rPr>
        <w:t> </w:t>
      </w:r>
      <w:r>
        <w:rPr/>
        <w:t>de</w:t>
      </w:r>
      <w:r>
        <w:rPr>
          <w:spacing w:val="-14"/>
        </w:rPr>
        <w:t> </w:t>
      </w:r>
      <w:r>
        <w:rPr/>
        <w:t>vigencia</w:t>
      </w:r>
      <w:r>
        <w:rPr>
          <w:spacing w:val="-14"/>
        </w:rPr>
        <w:t> </w:t>
      </w:r>
      <w:r>
        <w:rPr/>
        <w:t>desde</w:t>
      </w:r>
      <w:r>
        <w:rPr>
          <w:spacing w:val="-5"/>
        </w:rPr>
        <w:t> </w:t>
      </w:r>
      <w:r>
        <w:rPr/>
        <w:t>el</w:t>
      </w:r>
      <w:r>
        <w:rPr>
          <w:spacing w:val="-16"/>
        </w:rPr>
        <w:t> </w:t>
      </w:r>
      <w:r>
        <w:rPr/>
        <w:t>año</w:t>
      </w:r>
      <w:r>
        <w:rPr>
          <w:spacing w:val="-13"/>
        </w:rPr>
        <w:t> </w:t>
      </w:r>
      <w:r>
        <w:rPr/>
        <w:t>2023</w:t>
      </w:r>
      <w:r>
        <w:rPr>
          <w:spacing w:val="-16"/>
        </w:rPr>
        <w:t> </w:t>
      </w:r>
      <w:r>
        <w:rPr/>
        <w:t>al</w:t>
      </w:r>
      <w:r>
        <w:rPr>
          <w:spacing w:val="-13"/>
        </w:rPr>
        <w:t> </w:t>
      </w:r>
      <w:r>
        <w:rPr/>
        <w:t>año</w:t>
      </w:r>
      <w:r>
        <w:rPr>
          <w:spacing w:val="-13"/>
        </w:rPr>
        <w:t> </w:t>
      </w:r>
      <w:r>
        <w:rPr/>
        <w:t>2028. Dicho</w:t>
      </w:r>
      <w:r>
        <w:rPr>
          <w:spacing w:val="-11"/>
        </w:rPr>
        <w:t> </w:t>
      </w:r>
      <w:r>
        <w:rPr/>
        <w:t>Plan</w:t>
      </w:r>
      <w:r>
        <w:rPr>
          <w:spacing w:val="-11"/>
        </w:rPr>
        <w:t> </w:t>
      </w:r>
      <w:r>
        <w:rPr/>
        <w:t>Estratégico</w:t>
      </w:r>
      <w:r>
        <w:rPr>
          <w:spacing w:val="-11"/>
        </w:rPr>
        <w:t> </w:t>
      </w:r>
      <w:r>
        <w:rPr/>
        <w:t>fue</w:t>
      </w:r>
      <w:r>
        <w:rPr>
          <w:spacing w:val="-15"/>
        </w:rPr>
        <w:t> </w:t>
      </w:r>
      <w:r>
        <w:rPr/>
        <w:t>aprobado</w:t>
      </w:r>
      <w:r>
        <w:rPr>
          <w:spacing w:val="-11"/>
        </w:rPr>
        <w:t> </w:t>
      </w:r>
      <w:r>
        <w:rPr/>
        <w:t>mediante</w:t>
      </w:r>
      <w:r>
        <w:rPr>
          <w:spacing w:val="-11"/>
        </w:rPr>
        <w:t> </w:t>
      </w:r>
      <w:r>
        <w:rPr/>
        <w:t>acuerdo</w:t>
      </w:r>
      <w:r>
        <w:rPr>
          <w:spacing w:val="-11"/>
        </w:rPr>
        <w:t> </w:t>
      </w:r>
      <w:r>
        <w:rPr/>
        <w:t>del</w:t>
      </w:r>
      <w:r>
        <w:rPr>
          <w:spacing w:val="-14"/>
        </w:rPr>
        <w:t> </w:t>
      </w:r>
      <w:r>
        <w:rPr/>
        <w:t>Consejo</w:t>
      </w:r>
      <w:r>
        <w:rPr>
          <w:spacing w:val="-11"/>
        </w:rPr>
        <w:t> </w:t>
      </w:r>
      <w:r>
        <w:rPr/>
        <w:t>Directivo N.º</w:t>
      </w:r>
      <w:r>
        <w:rPr>
          <w:spacing w:val="-12"/>
        </w:rPr>
        <w:t> </w:t>
      </w:r>
      <w:r>
        <w:rPr/>
        <w:t>231-09-2023, y desde su aprobación se ha convertido en el instrumento que guía el accionar </w:t>
      </w:r>
      <w:r>
        <w:rPr>
          <w:spacing w:val="-2"/>
        </w:rPr>
        <w:t>institucional.</w:t>
      </w:r>
    </w:p>
    <w:p>
      <w:pPr>
        <w:pStyle w:val="BodyText"/>
        <w:spacing w:before="252"/>
        <w:ind w:left="1268" w:right="1239"/>
        <w:jc w:val="both"/>
      </w:pPr>
      <w:r>
        <w:rPr/>
        <w:t>Posteriormente</w:t>
      </w:r>
      <w:r>
        <w:rPr>
          <w:spacing w:val="-16"/>
        </w:rPr>
        <w:t> </w:t>
      </w:r>
      <w:r>
        <w:rPr/>
        <w:t>en</w:t>
      </w:r>
      <w:r>
        <w:rPr>
          <w:spacing w:val="-15"/>
        </w:rPr>
        <w:t> </w:t>
      </w:r>
      <w:r>
        <w:rPr/>
        <w:t>el</w:t>
      </w:r>
      <w:r>
        <w:rPr>
          <w:spacing w:val="-15"/>
        </w:rPr>
        <w:t> </w:t>
      </w:r>
      <w:r>
        <w:rPr/>
        <w:t>año</w:t>
      </w:r>
      <w:r>
        <w:rPr>
          <w:spacing w:val="-16"/>
        </w:rPr>
        <w:t> </w:t>
      </w:r>
      <w:r>
        <w:rPr/>
        <w:t>2024</w:t>
      </w:r>
      <w:r>
        <w:rPr>
          <w:spacing w:val="-15"/>
        </w:rPr>
        <w:t> </w:t>
      </w:r>
      <w:r>
        <w:rPr/>
        <w:t>se</w:t>
      </w:r>
      <w:r>
        <w:rPr>
          <w:spacing w:val="-15"/>
        </w:rPr>
        <w:t> </w:t>
      </w:r>
      <w:r>
        <w:rPr/>
        <w:t>realiza</w:t>
      </w:r>
      <w:r>
        <w:rPr>
          <w:spacing w:val="-15"/>
        </w:rPr>
        <w:t> </w:t>
      </w:r>
      <w:r>
        <w:rPr/>
        <w:t>un</w:t>
      </w:r>
      <w:r>
        <w:rPr>
          <w:spacing w:val="-16"/>
        </w:rPr>
        <w:t> </w:t>
      </w:r>
      <w:r>
        <w:rPr/>
        <w:t>ajuste</w:t>
      </w:r>
      <w:r>
        <w:rPr>
          <w:spacing w:val="-15"/>
        </w:rPr>
        <w:t> </w:t>
      </w:r>
      <w:r>
        <w:rPr/>
        <w:t>a</w:t>
      </w:r>
      <w:r>
        <w:rPr>
          <w:spacing w:val="-14"/>
        </w:rPr>
        <w:t> </w:t>
      </w:r>
      <w:r>
        <w:rPr/>
        <w:t>dicho</w:t>
      </w:r>
      <w:r>
        <w:rPr>
          <w:spacing w:val="-13"/>
        </w:rPr>
        <w:t> </w:t>
      </w:r>
      <w:r>
        <w:rPr/>
        <w:t>Plan</w:t>
      </w:r>
      <w:r>
        <w:rPr>
          <w:spacing w:val="-14"/>
        </w:rPr>
        <w:t> </w:t>
      </w:r>
      <w:r>
        <w:rPr/>
        <w:t>Estratégico,</w:t>
      </w:r>
      <w:r>
        <w:rPr>
          <w:spacing w:val="-15"/>
        </w:rPr>
        <w:t> </w:t>
      </w:r>
      <w:r>
        <w:rPr/>
        <w:t>incorporando un nuevo Eje estratégico asociado exclusivamente a la gestión del Recurso Humano de la Institución, esta nueva versión fue aprobada mediante acuerdo del Consejo Directivo N° 99-05-2024 con fecha 31 de mayo 2024.</w:t>
      </w:r>
    </w:p>
    <w:p>
      <w:pPr>
        <w:pStyle w:val="BodyText"/>
        <w:spacing w:before="3"/>
      </w:pPr>
    </w:p>
    <w:p>
      <w:pPr>
        <w:pStyle w:val="BodyText"/>
        <w:ind w:left="1268"/>
        <w:jc w:val="both"/>
      </w:pPr>
      <w:r>
        <w:rPr/>
        <w:t>A</w:t>
      </w:r>
      <w:r>
        <w:rPr>
          <w:spacing w:val="-7"/>
        </w:rPr>
        <w:t> </w:t>
      </w:r>
      <w:r>
        <w:rPr/>
        <w:t>continuación,</w:t>
      </w:r>
      <w:r>
        <w:rPr>
          <w:spacing w:val="-4"/>
        </w:rPr>
        <w:t> </w:t>
      </w:r>
      <w:r>
        <w:rPr/>
        <w:t>se</w:t>
      </w:r>
      <w:r>
        <w:rPr>
          <w:spacing w:val="-4"/>
        </w:rPr>
        <w:t> </w:t>
      </w:r>
      <w:r>
        <w:rPr/>
        <w:t>detalle</w:t>
      </w:r>
      <w:r>
        <w:rPr>
          <w:spacing w:val="-4"/>
        </w:rPr>
        <w:t> </w:t>
      </w:r>
      <w:r>
        <w:rPr/>
        <w:t>lo</w:t>
      </w:r>
      <w:r>
        <w:rPr>
          <w:spacing w:val="-8"/>
        </w:rPr>
        <w:t> </w:t>
      </w:r>
      <w:r>
        <w:rPr/>
        <w:t>establecido</w:t>
      </w:r>
      <w:r>
        <w:rPr>
          <w:spacing w:val="-8"/>
        </w:rPr>
        <w:t> </w:t>
      </w:r>
      <w:r>
        <w:rPr/>
        <w:t>en</w:t>
      </w:r>
      <w:r>
        <w:rPr>
          <w:spacing w:val="-8"/>
        </w:rPr>
        <w:t> </w:t>
      </w:r>
      <w:r>
        <w:rPr/>
        <w:t>el</w:t>
      </w:r>
      <w:r>
        <w:rPr>
          <w:spacing w:val="-6"/>
        </w:rPr>
        <w:t> </w:t>
      </w:r>
      <w:r>
        <w:rPr/>
        <w:t>Marco</w:t>
      </w:r>
      <w:r>
        <w:rPr>
          <w:spacing w:val="-4"/>
        </w:rPr>
        <w:t> </w:t>
      </w:r>
      <w:r>
        <w:rPr/>
        <w:t>Estratégico</w:t>
      </w:r>
      <w:r>
        <w:rPr>
          <w:spacing w:val="-4"/>
        </w:rPr>
        <w:t> </w:t>
      </w:r>
      <w:r>
        <w:rPr/>
        <w:t>de</w:t>
      </w:r>
      <w:r>
        <w:rPr>
          <w:spacing w:val="-4"/>
        </w:rPr>
        <w:t> </w:t>
      </w:r>
      <w:r>
        <w:rPr/>
        <w:t>la</w:t>
      </w:r>
      <w:r>
        <w:rPr>
          <w:spacing w:val="-4"/>
        </w:rPr>
        <w:t> </w:t>
      </w:r>
      <w:r>
        <w:rPr>
          <w:spacing w:val="-2"/>
        </w:rPr>
        <w:t>Institución.</w:t>
      </w:r>
    </w:p>
    <w:p>
      <w:pPr>
        <w:pStyle w:val="BodyText"/>
        <w:spacing w:before="3"/>
      </w:pPr>
    </w:p>
    <w:p>
      <w:pPr>
        <w:pStyle w:val="Heading1"/>
        <w:numPr>
          <w:ilvl w:val="1"/>
          <w:numId w:val="5"/>
        </w:numPr>
        <w:tabs>
          <w:tab w:pos="2534" w:val="left" w:leader="none"/>
        </w:tabs>
        <w:spacing w:line="240" w:lineRule="auto" w:before="0" w:after="0"/>
        <w:ind w:left="2534" w:right="0" w:hanging="402"/>
        <w:jc w:val="left"/>
      </w:pPr>
      <w:bookmarkStart w:name="_bookmark52" w:id="53"/>
      <w:bookmarkEnd w:id="53"/>
      <w:r>
        <w:rPr>
          <w:b w:val="0"/>
        </w:rPr>
      </w:r>
      <w:r>
        <w:rPr/>
        <w:t>Visión</w:t>
      </w:r>
      <w:r>
        <w:rPr>
          <w:spacing w:val="-3"/>
        </w:rPr>
        <w:t> </w:t>
      </w:r>
      <w:r>
        <w:rPr>
          <w:spacing w:val="-2"/>
        </w:rPr>
        <w:t>Institucional</w:t>
      </w:r>
    </w:p>
    <w:p>
      <w:pPr>
        <w:pStyle w:val="BodyText"/>
        <w:spacing w:before="271"/>
        <w:ind w:left="1268"/>
        <w:jc w:val="both"/>
      </w:pPr>
      <w:r>
        <w:rPr/>
        <w:t>“El</w:t>
      </w:r>
      <w:r>
        <w:rPr>
          <w:spacing w:val="26"/>
        </w:rPr>
        <w:t> </w:t>
      </w:r>
      <w:r>
        <w:rPr/>
        <w:t>IMAS</w:t>
      </w:r>
      <w:r>
        <w:rPr>
          <w:spacing w:val="31"/>
        </w:rPr>
        <w:t> </w:t>
      </w:r>
      <w:r>
        <w:rPr/>
        <w:t>será</w:t>
      </w:r>
      <w:r>
        <w:rPr>
          <w:spacing w:val="31"/>
        </w:rPr>
        <w:t> </w:t>
      </w:r>
      <w:r>
        <w:rPr/>
        <w:t>la</w:t>
      </w:r>
      <w:r>
        <w:rPr>
          <w:spacing w:val="27"/>
        </w:rPr>
        <w:t> </w:t>
      </w:r>
      <w:r>
        <w:rPr/>
        <w:t>entidad</w:t>
      </w:r>
      <w:r>
        <w:rPr>
          <w:spacing w:val="31"/>
        </w:rPr>
        <w:t> </w:t>
      </w:r>
      <w:r>
        <w:rPr/>
        <w:t>que</w:t>
      </w:r>
      <w:r>
        <w:rPr>
          <w:spacing w:val="32"/>
        </w:rPr>
        <w:t> </w:t>
      </w:r>
      <w:r>
        <w:rPr/>
        <w:t>lidera</w:t>
      </w:r>
      <w:r>
        <w:rPr>
          <w:spacing w:val="31"/>
        </w:rPr>
        <w:t> </w:t>
      </w:r>
      <w:r>
        <w:rPr/>
        <w:t>técnicamente</w:t>
      </w:r>
      <w:r>
        <w:rPr>
          <w:spacing w:val="32"/>
        </w:rPr>
        <w:t> </w:t>
      </w:r>
      <w:r>
        <w:rPr/>
        <w:t>la</w:t>
      </w:r>
      <w:r>
        <w:rPr>
          <w:spacing w:val="31"/>
        </w:rPr>
        <w:t> </w:t>
      </w:r>
      <w:r>
        <w:rPr/>
        <w:t>política</w:t>
      </w:r>
      <w:r>
        <w:rPr>
          <w:spacing w:val="32"/>
        </w:rPr>
        <w:t> </w:t>
      </w:r>
      <w:r>
        <w:rPr/>
        <w:t>social</w:t>
      </w:r>
      <w:r>
        <w:rPr>
          <w:spacing w:val="28"/>
        </w:rPr>
        <w:t> </w:t>
      </w:r>
      <w:r>
        <w:rPr/>
        <w:t>del</w:t>
      </w:r>
      <w:r>
        <w:rPr>
          <w:spacing w:val="24"/>
        </w:rPr>
        <w:t> </w:t>
      </w:r>
      <w:r>
        <w:rPr/>
        <w:t>país</w:t>
      </w:r>
      <w:r>
        <w:rPr>
          <w:spacing w:val="30"/>
        </w:rPr>
        <w:t> </w:t>
      </w:r>
      <w:r>
        <w:rPr/>
        <w:t>y</w:t>
      </w:r>
      <w:r>
        <w:rPr>
          <w:spacing w:val="30"/>
        </w:rPr>
        <w:t> </w:t>
      </w:r>
      <w:r>
        <w:rPr>
          <w:spacing w:val="-2"/>
        </w:rPr>
        <w:t>articula</w:t>
      </w:r>
    </w:p>
    <w:p>
      <w:pPr>
        <w:pStyle w:val="BodyText"/>
        <w:spacing w:before="2"/>
        <w:ind w:left="1268"/>
        <w:jc w:val="both"/>
      </w:pPr>
      <w:r>
        <w:rPr/>
        <w:t>acciones</w:t>
      </w:r>
      <w:r>
        <w:rPr>
          <w:spacing w:val="2"/>
        </w:rPr>
        <w:t> </w:t>
      </w:r>
      <w:r>
        <w:rPr/>
        <w:t>públicas</w:t>
      </w:r>
      <w:r>
        <w:rPr>
          <w:spacing w:val="4"/>
        </w:rPr>
        <w:t> </w:t>
      </w:r>
      <w:r>
        <w:rPr/>
        <w:t>y</w:t>
      </w:r>
      <w:r>
        <w:rPr>
          <w:spacing w:val="5"/>
        </w:rPr>
        <w:t> </w:t>
      </w:r>
      <w:r>
        <w:rPr/>
        <w:t>privadas,</w:t>
      </w:r>
      <w:r>
        <w:rPr>
          <w:spacing w:val="5"/>
        </w:rPr>
        <w:t> </w:t>
      </w:r>
      <w:r>
        <w:rPr/>
        <w:t>que</w:t>
      </w:r>
      <w:r>
        <w:rPr>
          <w:spacing w:val="6"/>
        </w:rPr>
        <w:t> </w:t>
      </w:r>
      <w:r>
        <w:rPr/>
        <w:t>respondan</w:t>
      </w:r>
      <w:r>
        <w:rPr>
          <w:spacing w:val="6"/>
        </w:rPr>
        <w:t> </w:t>
      </w:r>
      <w:r>
        <w:rPr/>
        <w:t>oportunamente</w:t>
      </w:r>
      <w:r>
        <w:rPr>
          <w:spacing w:val="7"/>
        </w:rPr>
        <w:t> </w:t>
      </w:r>
      <w:r>
        <w:rPr/>
        <w:t>con</w:t>
      </w:r>
      <w:r>
        <w:rPr>
          <w:spacing w:val="11"/>
        </w:rPr>
        <w:t> </w:t>
      </w:r>
      <w:r>
        <w:rPr/>
        <w:t>servicios</w:t>
      </w:r>
      <w:r>
        <w:rPr>
          <w:spacing w:val="9"/>
        </w:rPr>
        <w:t> </w:t>
      </w:r>
      <w:r>
        <w:rPr>
          <w:spacing w:val="-2"/>
        </w:rPr>
        <w:t>innovadores</w:t>
      </w:r>
    </w:p>
    <w:p>
      <w:pPr>
        <w:pStyle w:val="BodyText"/>
        <w:spacing w:after="0"/>
        <w:jc w:val="both"/>
        <w:sectPr>
          <w:pgSz w:w="12240" w:h="15840"/>
          <w:pgMar w:header="0" w:footer="1101" w:top="1140" w:bottom="1300" w:left="720" w:right="360"/>
        </w:sectPr>
      </w:pPr>
    </w:p>
    <w:p>
      <w:pPr>
        <w:pStyle w:val="BodyText"/>
        <w:spacing w:before="66"/>
        <w:ind w:left="1268"/>
        <w:jc w:val="both"/>
      </w:pPr>
      <w:r>
        <w:rPr>
          <w:spacing w:val="-2"/>
        </w:rPr>
        <w:t>que</w:t>
      </w:r>
      <w:r>
        <w:rPr>
          <w:spacing w:val="-6"/>
        </w:rPr>
        <w:t> </w:t>
      </w:r>
      <w:r>
        <w:rPr>
          <w:spacing w:val="-2"/>
        </w:rPr>
        <w:t>permiten</w:t>
      </w:r>
      <w:r>
        <w:rPr>
          <w:spacing w:val="-11"/>
        </w:rPr>
        <w:t> </w:t>
      </w:r>
      <w:r>
        <w:rPr>
          <w:spacing w:val="-2"/>
        </w:rPr>
        <w:t>mejorar</w:t>
      </w:r>
      <w:r>
        <w:rPr>
          <w:spacing w:val="-9"/>
        </w:rPr>
        <w:t> </w:t>
      </w:r>
      <w:r>
        <w:rPr>
          <w:spacing w:val="-2"/>
        </w:rPr>
        <w:t>las</w:t>
      </w:r>
      <w:r>
        <w:rPr>
          <w:spacing w:val="-7"/>
        </w:rPr>
        <w:t> </w:t>
      </w:r>
      <w:r>
        <w:rPr>
          <w:spacing w:val="-2"/>
        </w:rPr>
        <w:t>condiciones</w:t>
      </w:r>
      <w:r>
        <w:rPr>
          <w:spacing w:val="-13"/>
        </w:rPr>
        <w:t> </w:t>
      </w:r>
      <w:r>
        <w:rPr>
          <w:spacing w:val="-2"/>
        </w:rPr>
        <w:t>de</w:t>
      </w:r>
      <w:r>
        <w:rPr>
          <w:spacing w:val="-5"/>
        </w:rPr>
        <w:t> </w:t>
      </w:r>
      <w:r>
        <w:rPr>
          <w:spacing w:val="-2"/>
        </w:rPr>
        <w:t>vida</w:t>
      </w:r>
      <w:r>
        <w:rPr>
          <w:spacing w:val="-5"/>
        </w:rPr>
        <w:t> </w:t>
      </w:r>
      <w:r>
        <w:rPr>
          <w:spacing w:val="-2"/>
        </w:rPr>
        <w:t>y</w:t>
      </w:r>
      <w:r>
        <w:rPr>
          <w:spacing w:val="-13"/>
        </w:rPr>
        <w:t> </w:t>
      </w:r>
      <w:r>
        <w:rPr>
          <w:spacing w:val="-2"/>
        </w:rPr>
        <w:t>potenciar</w:t>
      </w:r>
      <w:r>
        <w:rPr>
          <w:spacing w:val="-9"/>
        </w:rPr>
        <w:t> </w:t>
      </w:r>
      <w:r>
        <w:rPr>
          <w:spacing w:val="-2"/>
        </w:rPr>
        <w:t>las</w:t>
      </w:r>
      <w:r>
        <w:rPr>
          <w:spacing w:val="-7"/>
        </w:rPr>
        <w:t> </w:t>
      </w:r>
      <w:r>
        <w:rPr>
          <w:spacing w:val="-2"/>
        </w:rPr>
        <w:t>capacidades</w:t>
      </w:r>
      <w:r>
        <w:rPr>
          <w:spacing w:val="-12"/>
        </w:rPr>
        <w:t> </w:t>
      </w:r>
      <w:r>
        <w:rPr>
          <w:spacing w:val="-2"/>
        </w:rPr>
        <w:t>de</w:t>
      </w:r>
      <w:r>
        <w:rPr>
          <w:spacing w:val="-6"/>
        </w:rPr>
        <w:t> </w:t>
      </w:r>
      <w:r>
        <w:rPr>
          <w:spacing w:val="-2"/>
        </w:rPr>
        <w:t>las</w:t>
      </w:r>
      <w:r>
        <w:rPr>
          <w:spacing w:val="-7"/>
        </w:rPr>
        <w:t> </w:t>
      </w:r>
      <w:r>
        <w:rPr>
          <w:spacing w:val="-2"/>
        </w:rPr>
        <w:t>personas</w:t>
      </w:r>
    </w:p>
    <w:p>
      <w:pPr>
        <w:pStyle w:val="BodyText"/>
        <w:spacing w:before="1"/>
        <w:ind w:left="1268"/>
        <w:jc w:val="both"/>
      </w:pPr>
      <w:r>
        <w:rPr/>
        <w:t>en</w:t>
      </w:r>
      <w:r>
        <w:rPr>
          <w:spacing w:val="-2"/>
        </w:rPr>
        <w:t> </w:t>
      </w:r>
      <w:r>
        <w:rPr/>
        <w:t>situación</w:t>
      </w:r>
      <w:r>
        <w:rPr>
          <w:spacing w:val="-5"/>
        </w:rPr>
        <w:t> </w:t>
      </w:r>
      <w:r>
        <w:rPr/>
        <w:t>de</w:t>
      </w:r>
      <w:r>
        <w:rPr>
          <w:spacing w:val="-5"/>
        </w:rPr>
        <w:t> </w:t>
      </w:r>
      <w:r>
        <w:rPr/>
        <w:t>pobreza</w:t>
      </w:r>
      <w:r>
        <w:rPr>
          <w:spacing w:val="-5"/>
        </w:rPr>
        <w:t> </w:t>
      </w:r>
      <w:r>
        <w:rPr/>
        <w:t>y</w:t>
      </w:r>
      <w:r>
        <w:rPr>
          <w:spacing w:val="-7"/>
        </w:rPr>
        <w:t> </w:t>
      </w:r>
      <w:r>
        <w:rPr/>
        <w:t>pobreza</w:t>
      </w:r>
      <w:r>
        <w:rPr>
          <w:spacing w:val="-5"/>
        </w:rPr>
        <w:t> </w:t>
      </w:r>
      <w:r>
        <w:rPr>
          <w:spacing w:val="-2"/>
        </w:rPr>
        <w:t>extrema.”</w:t>
      </w:r>
    </w:p>
    <w:p>
      <w:pPr>
        <w:pStyle w:val="BodyText"/>
        <w:spacing w:before="3"/>
      </w:pPr>
    </w:p>
    <w:p>
      <w:pPr>
        <w:pStyle w:val="Heading1"/>
        <w:numPr>
          <w:ilvl w:val="1"/>
          <w:numId w:val="5"/>
        </w:numPr>
        <w:tabs>
          <w:tab w:pos="2534" w:val="left" w:leader="none"/>
        </w:tabs>
        <w:spacing w:line="240" w:lineRule="auto" w:before="0" w:after="0"/>
        <w:ind w:left="2534" w:right="0" w:hanging="402"/>
        <w:jc w:val="left"/>
      </w:pPr>
      <w:bookmarkStart w:name="_bookmark53" w:id="54"/>
      <w:bookmarkEnd w:id="54"/>
      <w:r>
        <w:rPr>
          <w:b w:val="0"/>
        </w:rPr>
      </w:r>
      <w:r>
        <w:rPr/>
        <w:t>Misión</w:t>
      </w:r>
      <w:r>
        <w:rPr>
          <w:spacing w:val="-5"/>
        </w:rPr>
        <w:t> </w:t>
      </w:r>
      <w:r>
        <w:rPr>
          <w:spacing w:val="-2"/>
        </w:rPr>
        <w:t>Institucional</w:t>
      </w:r>
    </w:p>
    <w:p>
      <w:pPr>
        <w:pStyle w:val="BodyText"/>
        <w:spacing w:before="252"/>
        <w:ind w:left="1268" w:right="1252"/>
        <w:jc w:val="both"/>
      </w:pPr>
      <w:r>
        <w:rPr/>
        <w:t>“El IMAS brinda y coordina servicios de protección y promoción social, de manera inclusiva</w:t>
      </w:r>
      <w:r>
        <w:rPr>
          <w:spacing w:val="-5"/>
        </w:rPr>
        <w:t> </w:t>
      </w:r>
      <w:r>
        <w:rPr/>
        <w:t>y</w:t>
      </w:r>
      <w:r>
        <w:rPr>
          <w:spacing w:val="-7"/>
        </w:rPr>
        <w:t> </w:t>
      </w:r>
      <w:r>
        <w:rPr/>
        <w:t>solidaria,</w:t>
      </w:r>
      <w:r>
        <w:rPr>
          <w:spacing w:val="-6"/>
        </w:rPr>
        <w:t> </w:t>
      </w:r>
      <w:r>
        <w:rPr/>
        <w:t>para</w:t>
      </w:r>
      <w:r>
        <w:rPr>
          <w:spacing w:val="-5"/>
        </w:rPr>
        <w:t> </w:t>
      </w:r>
      <w:r>
        <w:rPr/>
        <w:t>el</w:t>
      </w:r>
      <w:r>
        <w:rPr>
          <w:spacing w:val="-8"/>
        </w:rPr>
        <w:t> </w:t>
      </w:r>
      <w:r>
        <w:rPr/>
        <w:t>desarrollo</w:t>
      </w:r>
      <w:r>
        <w:rPr>
          <w:spacing w:val="-10"/>
        </w:rPr>
        <w:t> </w:t>
      </w:r>
      <w:r>
        <w:rPr/>
        <w:t>de</w:t>
      </w:r>
      <w:r>
        <w:rPr>
          <w:spacing w:val="-5"/>
        </w:rPr>
        <w:t> </w:t>
      </w:r>
      <w:r>
        <w:rPr/>
        <w:t>la</w:t>
      </w:r>
      <w:r>
        <w:rPr>
          <w:spacing w:val="-10"/>
        </w:rPr>
        <w:t> </w:t>
      </w:r>
      <w:r>
        <w:rPr/>
        <w:t>población</w:t>
      </w:r>
      <w:r>
        <w:rPr>
          <w:spacing w:val="-5"/>
        </w:rPr>
        <w:t> </w:t>
      </w:r>
      <w:r>
        <w:rPr/>
        <w:t>en</w:t>
      </w:r>
      <w:r>
        <w:rPr>
          <w:spacing w:val="-5"/>
        </w:rPr>
        <w:t> </w:t>
      </w:r>
      <w:r>
        <w:rPr/>
        <w:t>situación</w:t>
      </w:r>
      <w:r>
        <w:rPr>
          <w:spacing w:val="-5"/>
        </w:rPr>
        <w:t> </w:t>
      </w:r>
      <w:r>
        <w:rPr/>
        <w:t>de</w:t>
      </w:r>
      <w:r>
        <w:rPr>
          <w:spacing w:val="-5"/>
        </w:rPr>
        <w:t> </w:t>
      </w:r>
      <w:r>
        <w:rPr/>
        <w:t>pobreza</w:t>
      </w:r>
      <w:r>
        <w:rPr>
          <w:spacing w:val="-5"/>
        </w:rPr>
        <w:t> </w:t>
      </w:r>
      <w:r>
        <w:rPr/>
        <w:t>y</w:t>
      </w:r>
      <w:r>
        <w:rPr>
          <w:spacing w:val="-7"/>
        </w:rPr>
        <w:t> </w:t>
      </w:r>
      <w:r>
        <w:rPr/>
        <w:t>pobreza extrema, mediante la ejecución y coordinación de programas y proyectos sociales y económicos, desde un abordaje multidimensional.”</w:t>
      </w:r>
    </w:p>
    <w:p>
      <w:pPr>
        <w:pStyle w:val="BodyText"/>
      </w:pPr>
    </w:p>
    <w:p>
      <w:pPr>
        <w:pStyle w:val="BodyText"/>
      </w:pPr>
    </w:p>
    <w:p>
      <w:pPr>
        <w:pStyle w:val="Heading1"/>
        <w:numPr>
          <w:ilvl w:val="1"/>
          <w:numId w:val="5"/>
        </w:numPr>
        <w:tabs>
          <w:tab w:pos="2534" w:val="left" w:leader="none"/>
        </w:tabs>
        <w:spacing w:line="240" w:lineRule="auto" w:before="0" w:after="0"/>
        <w:ind w:left="2534" w:right="0" w:hanging="402"/>
        <w:jc w:val="left"/>
      </w:pPr>
      <w:bookmarkStart w:name="_bookmark54" w:id="55"/>
      <w:bookmarkEnd w:id="55"/>
      <w:r>
        <w:rPr>
          <w:b w:val="0"/>
        </w:rPr>
      </w:r>
      <w:r>
        <w:rPr/>
        <w:t>Políticas</w:t>
      </w:r>
      <w:r>
        <w:rPr>
          <w:spacing w:val="-5"/>
        </w:rPr>
        <w:t> </w:t>
      </w:r>
      <w:r>
        <w:rPr>
          <w:spacing w:val="-2"/>
        </w:rPr>
        <w:t>Institucionales</w:t>
      </w:r>
    </w:p>
    <w:p>
      <w:pPr>
        <w:pStyle w:val="BodyText"/>
        <w:rPr>
          <w:b/>
          <w:sz w:val="24"/>
        </w:rPr>
      </w:pPr>
    </w:p>
    <w:p>
      <w:pPr>
        <w:pStyle w:val="BodyText"/>
        <w:ind w:left="1268" w:right="1248"/>
        <w:jc w:val="both"/>
      </w:pPr>
      <w:r>
        <w:rPr/>
        <w:t>Las</w:t>
      </w:r>
      <w:r>
        <w:rPr>
          <w:spacing w:val="-16"/>
        </w:rPr>
        <w:t> </w:t>
      </w:r>
      <w:r>
        <w:rPr/>
        <w:t>Políticas</w:t>
      </w:r>
      <w:r>
        <w:rPr>
          <w:spacing w:val="-15"/>
        </w:rPr>
        <w:t> </w:t>
      </w:r>
      <w:r>
        <w:rPr/>
        <w:t>Institucionales</w:t>
      </w:r>
      <w:r>
        <w:rPr>
          <w:spacing w:val="-15"/>
        </w:rPr>
        <w:t> </w:t>
      </w:r>
      <w:r>
        <w:rPr/>
        <w:t>que</w:t>
      </w:r>
      <w:r>
        <w:rPr>
          <w:spacing w:val="-16"/>
        </w:rPr>
        <w:t> </w:t>
      </w:r>
      <w:r>
        <w:rPr/>
        <w:t>actualmente</w:t>
      </w:r>
      <w:r>
        <w:rPr>
          <w:spacing w:val="-14"/>
        </w:rPr>
        <w:t> </w:t>
      </w:r>
      <w:r>
        <w:rPr/>
        <w:t>están</w:t>
      </w:r>
      <w:r>
        <w:rPr>
          <w:spacing w:val="-9"/>
        </w:rPr>
        <w:t> </w:t>
      </w:r>
      <w:r>
        <w:rPr/>
        <w:t>vigentes</w:t>
      </w:r>
      <w:r>
        <w:rPr>
          <w:spacing w:val="-16"/>
        </w:rPr>
        <w:t> </w:t>
      </w:r>
      <w:r>
        <w:rPr/>
        <w:t>en</w:t>
      </w:r>
      <w:r>
        <w:rPr>
          <w:spacing w:val="-9"/>
        </w:rPr>
        <w:t> </w:t>
      </w:r>
      <w:r>
        <w:rPr/>
        <w:t>la</w:t>
      </w:r>
      <w:r>
        <w:rPr>
          <w:spacing w:val="-14"/>
        </w:rPr>
        <w:t> </w:t>
      </w:r>
      <w:r>
        <w:rPr/>
        <w:t>institución,</w:t>
      </w:r>
      <w:r>
        <w:rPr>
          <w:spacing w:val="-15"/>
        </w:rPr>
        <w:t> </w:t>
      </w:r>
      <w:r>
        <w:rPr/>
        <w:t>mismas</w:t>
      </w:r>
      <w:r>
        <w:rPr>
          <w:spacing w:val="-16"/>
        </w:rPr>
        <w:t> </w:t>
      </w:r>
      <w:r>
        <w:rPr/>
        <w:t>que dan respuesta a demandas o problemas identificados y sirven de guía para la gestión administrativa, son las siguientes:</w:t>
      </w:r>
    </w:p>
    <w:p>
      <w:pPr>
        <w:pStyle w:val="BodyText"/>
        <w:spacing w:before="3"/>
      </w:pPr>
    </w:p>
    <w:p>
      <w:pPr>
        <w:pStyle w:val="ListParagraph"/>
        <w:numPr>
          <w:ilvl w:val="0"/>
          <w:numId w:val="26"/>
        </w:numPr>
        <w:tabs>
          <w:tab w:pos="1988" w:val="left" w:leader="none"/>
        </w:tabs>
        <w:spacing w:line="237" w:lineRule="auto" w:before="0" w:after="0"/>
        <w:ind w:left="1988" w:right="1241" w:hanging="360"/>
        <w:jc w:val="both"/>
        <w:rPr>
          <w:sz w:val="22"/>
        </w:rPr>
      </w:pPr>
      <w:r>
        <w:rPr>
          <w:sz w:val="22"/>
        </w:rPr>
        <w:t>Política Nacional para la Atención de Personas en Situación de abandono y Situación de Calle 2016-2026 (Decreto N° 39727-MDHIS-MP del 04/07/2016)</w:t>
      </w:r>
    </w:p>
    <w:p>
      <w:pPr>
        <w:pStyle w:val="BodyText"/>
        <w:spacing w:before="3"/>
      </w:pPr>
    </w:p>
    <w:p>
      <w:pPr>
        <w:pStyle w:val="ListParagraph"/>
        <w:numPr>
          <w:ilvl w:val="0"/>
          <w:numId w:val="26"/>
        </w:numPr>
        <w:tabs>
          <w:tab w:pos="1988" w:val="left" w:leader="none"/>
        </w:tabs>
        <w:spacing w:line="240" w:lineRule="auto" w:before="0" w:after="0"/>
        <w:ind w:left="1988" w:right="1239" w:hanging="360"/>
        <w:jc w:val="left"/>
        <w:rPr>
          <w:sz w:val="22"/>
        </w:rPr>
      </w:pPr>
      <w:r>
        <w:rPr>
          <w:sz w:val="22"/>
        </w:rPr>
        <w:t>Plan</w:t>
      </w:r>
      <w:r>
        <w:rPr>
          <w:spacing w:val="29"/>
          <w:sz w:val="22"/>
        </w:rPr>
        <w:t> </w:t>
      </w:r>
      <w:r>
        <w:rPr>
          <w:sz w:val="22"/>
        </w:rPr>
        <w:t>Nacional para</w:t>
      </w:r>
      <w:r>
        <w:rPr>
          <w:spacing w:val="28"/>
          <w:sz w:val="22"/>
        </w:rPr>
        <w:t> </w:t>
      </w:r>
      <w:r>
        <w:rPr>
          <w:sz w:val="22"/>
        </w:rPr>
        <w:t>la</w:t>
      </w:r>
      <w:r>
        <w:rPr>
          <w:spacing w:val="31"/>
          <w:sz w:val="22"/>
        </w:rPr>
        <w:t> </w:t>
      </w:r>
      <w:r>
        <w:rPr>
          <w:sz w:val="22"/>
        </w:rPr>
        <w:t>Superación</w:t>
      </w:r>
      <w:r>
        <w:rPr>
          <w:spacing w:val="28"/>
          <w:sz w:val="22"/>
        </w:rPr>
        <w:t> </w:t>
      </w:r>
      <w:r>
        <w:rPr>
          <w:sz w:val="22"/>
        </w:rPr>
        <w:t>de</w:t>
      </w:r>
      <w:r>
        <w:rPr>
          <w:spacing w:val="28"/>
          <w:sz w:val="22"/>
        </w:rPr>
        <w:t> </w:t>
      </w:r>
      <w:r>
        <w:rPr>
          <w:sz w:val="22"/>
        </w:rPr>
        <w:t>la</w:t>
      </w:r>
      <w:r>
        <w:rPr>
          <w:spacing w:val="32"/>
          <w:sz w:val="22"/>
        </w:rPr>
        <w:t> </w:t>
      </w:r>
      <w:r>
        <w:rPr>
          <w:sz w:val="22"/>
        </w:rPr>
        <w:t>Pobreza</w:t>
      </w:r>
      <w:r>
        <w:rPr>
          <w:spacing w:val="28"/>
          <w:sz w:val="22"/>
        </w:rPr>
        <w:t> </w:t>
      </w:r>
      <w:r>
        <w:rPr>
          <w:sz w:val="22"/>
        </w:rPr>
        <w:t>e</w:t>
      </w:r>
      <w:r>
        <w:rPr>
          <w:spacing w:val="30"/>
          <w:sz w:val="22"/>
        </w:rPr>
        <w:t> </w:t>
      </w:r>
      <w:r>
        <w:rPr>
          <w:sz w:val="22"/>
        </w:rPr>
        <w:t>Inclusión</w:t>
      </w:r>
      <w:r>
        <w:rPr>
          <w:spacing w:val="29"/>
          <w:sz w:val="22"/>
        </w:rPr>
        <w:t> </w:t>
      </w:r>
      <w:r>
        <w:rPr>
          <w:sz w:val="22"/>
        </w:rPr>
        <w:t>Social</w:t>
      </w:r>
      <w:r>
        <w:rPr>
          <w:spacing w:val="30"/>
          <w:sz w:val="22"/>
        </w:rPr>
        <w:t> </w:t>
      </w:r>
      <w:r>
        <w:rPr>
          <w:sz w:val="22"/>
        </w:rPr>
        <w:t>2022-2030 (Acuerdo CD 389-11-2021 del 30 de noviembre de 2021)</w:t>
      </w:r>
    </w:p>
    <w:p>
      <w:pPr>
        <w:pStyle w:val="ListParagraph"/>
        <w:numPr>
          <w:ilvl w:val="0"/>
          <w:numId w:val="26"/>
        </w:numPr>
        <w:tabs>
          <w:tab w:pos="1988" w:val="left" w:leader="none"/>
        </w:tabs>
        <w:spacing w:line="240" w:lineRule="auto" w:before="252" w:after="0"/>
        <w:ind w:left="1988" w:right="1237" w:hanging="360"/>
        <w:jc w:val="left"/>
        <w:rPr>
          <w:sz w:val="22"/>
        </w:rPr>
      </w:pPr>
      <w:r>
        <w:rPr>
          <w:sz w:val="22"/>
        </w:rPr>
        <w:t>Política</w:t>
      </w:r>
      <w:r>
        <w:rPr>
          <w:spacing w:val="40"/>
          <w:sz w:val="22"/>
        </w:rPr>
        <w:t> </w:t>
      </w:r>
      <w:r>
        <w:rPr>
          <w:sz w:val="22"/>
        </w:rPr>
        <w:t>Nacional</w:t>
      </w:r>
      <w:r>
        <w:rPr>
          <w:spacing w:val="40"/>
          <w:sz w:val="22"/>
        </w:rPr>
        <w:t> </w:t>
      </w:r>
      <w:r>
        <w:rPr>
          <w:sz w:val="22"/>
        </w:rPr>
        <w:t>de</w:t>
      </w:r>
      <w:r>
        <w:rPr>
          <w:spacing w:val="40"/>
          <w:sz w:val="22"/>
        </w:rPr>
        <w:t> </w:t>
      </w:r>
      <w:r>
        <w:rPr>
          <w:sz w:val="22"/>
        </w:rPr>
        <w:t>Cuidados2021-2031</w:t>
      </w:r>
      <w:r>
        <w:rPr>
          <w:spacing w:val="40"/>
          <w:sz w:val="22"/>
        </w:rPr>
        <w:t> </w:t>
      </w:r>
      <w:r>
        <w:rPr>
          <w:sz w:val="22"/>
        </w:rPr>
        <w:t>(Decreto</w:t>
      </w:r>
      <w:r>
        <w:rPr>
          <w:spacing w:val="40"/>
          <w:sz w:val="22"/>
        </w:rPr>
        <w:t> </w:t>
      </w:r>
      <w:r>
        <w:rPr>
          <w:sz w:val="22"/>
        </w:rPr>
        <w:t>N°</w:t>
      </w:r>
      <w:r>
        <w:rPr>
          <w:spacing w:val="40"/>
          <w:sz w:val="22"/>
        </w:rPr>
        <w:t> </w:t>
      </w:r>
      <w:r>
        <w:rPr>
          <w:sz w:val="22"/>
        </w:rPr>
        <w:t>42878-MP-MDHIS</w:t>
      </w:r>
      <w:r>
        <w:rPr>
          <w:spacing w:val="40"/>
          <w:sz w:val="22"/>
        </w:rPr>
        <w:t> </w:t>
      </w:r>
      <w:r>
        <w:rPr>
          <w:sz w:val="22"/>
        </w:rPr>
        <w:t>del </w:t>
      </w:r>
      <w:r>
        <w:rPr>
          <w:spacing w:val="-2"/>
          <w:sz w:val="22"/>
        </w:rPr>
        <w:t>03/03/2021)</w:t>
      </w:r>
    </w:p>
    <w:p>
      <w:pPr>
        <w:pStyle w:val="BodyText"/>
      </w:pPr>
    </w:p>
    <w:p>
      <w:pPr>
        <w:pStyle w:val="BodyText"/>
        <w:spacing w:before="2"/>
      </w:pPr>
    </w:p>
    <w:p>
      <w:pPr>
        <w:pStyle w:val="Heading1"/>
        <w:numPr>
          <w:ilvl w:val="1"/>
          <w:numId w:val="27"/>
        </w:numPr>
        <w:tabs>
          <w:tab w:pos="2602" w:val="left" w:leader="none"/>
        </w:tabs>
        <w:spacing w:line="240" w:lineRule="auto" w:before="0" w:after="0"/>
        <w:ind w:left="2602" w:right="0" w:hanging="470"/>
        <w:jc w:val="left"/>
      </w:pPr>
      <w:bookmarkStart w:name="_bookmark55" w:id="56"/>
      <w:bookmarkEnd w:id="56"/>
      <w:r>
        <w:rPr>
          <w:b w:val="0"/>
        </w:rPr>
      </w:r>
      <w:r>
        <w:rPr/>
        <w:t>Objetivos</w:t>
      </w:r>
      <w:r>
        <w:rPr>
          <w:spacing w:val="-9"/>
        </w:rPr>
        <w:t> </w:t>
      </w:r>
      <w:r>
        <w:rPr/>
        <w:t>Estratégicos</w:t>
      </w:r>
      <w:r>
        <w:rPr>
          <w:spacing w:val="-8"/>
        </w:rPr>
        <w:t> </w:t>
      </w:r>
      <w:r>
        <w:rPr>
          <w:spacing w:val="-2"/>
        </w:rPr>
        <w:t>Institucionales</w:t>
      </w:r>
    </w:p>
    <w:p>
      <w:pPr>
        <w:pStyle w:val="BodyText"/>
        <w:spacing w:before="2"/>
        <w:rPr>
          <w:b/>
          <w:sz w:val="24"/>
        </w:rPr>
      </w:pPr>
    </w:p>
    <w:p>
      <w:pPr>
        <w:pStyle w:val="BodyText"/>
        <w:spacing w:line="237" w:lineRule="auto"/>
        <w:ind w:left="1268" w:right="1239"/>
        <w:jc w:val="both"/>
      </w:pPr>
      <w:r>
        <w:rPr/>
        <w:t>Los</w:t>
      </w:r>
      <w:r>
        <w:rPr>
          <w:spacing w:val="-7"/>
        </w:rPr>
        <w:t> </w:t>
      </w:r>
      <w:r>
        <w:rPr/>
        <w:t>objetivos</w:t>
      </w:r>
      <w:r>
        <w:rPr>
          <w:spacing w:val="-7"/>
        </w:rPr>
        <w:t> </w:t>
      </w:r>
      <w:r>
        <w:rPr/>
        <w:t>estratégicos</w:t>
      </w:r>
      <w:r>
        <w:rPr>
          <w:spacing w:val="-7"/>
        </w:rPr>
        <w:t> </w:t>
      </w:r>
      <w:r>
        <w:rPr/>
        <w:t>derivados</w:t>
      </w:r>
      <w:r>
        <w:rPr>
          <w:spacing w:val="-7"/>
        </w:rPr>
        <w:t> </w:t>
      </w:r>
      <w:r>
        <w:rPr/>
        <w:t>del</w:t>
      </w:r>
      <w:r>
        <w:rPr>
          <w:spacing w:val="-3"/>
        </w:rPr>
        <w:t> </w:t>
      </w:r>
      <w:r>
        <w:rPr/>
        <w:t>Plan</w:t>
      </w:r>
      <w:r>
        <w:rPr>
          <w:spacing w:val="-5"/>
        </w:rPr>
        <w:t> </w:t>
      </w:r>
      <w:r>
        <w:rPr/>
        <w:t>Estratégico</w:t>
      </w:r>
      <w:r>
        <w:rPr>
          <w:spacing w:val="-5"/>
        </w:rPr>
        <w:t> </w:t>
      </w:r>
      <w:r>
        <w:rPr/>
        <w:t>Institucional</w:t>
      </w:r>
      <w:r>
        <w:rPr>
          <w:spacing w:val="-7"/>
        </w:rPr>
        <w:t> </w:t>
      </w:r>
      <w:r>
        <w:rPr/>
        <w:t>2023-2028</w:t>
      </w:r>
      <w:r>
        <w:rPr>
          <w:spacing w:val="-5"/>
        </w:rPr>
        <w:t> </w:t>
      </w:r>
      <w:r>
        <w:rPr/>
        <w:t>son</w:t>
      </w:r>
      <w:r>
        <w:rPr>
          <w:spacing w:val="-1"/>
        </w:rPr>
        <w:t> </w:t>
      </w:r>
      <w:r>
        <w:rPr/>
        <w:t>los </w:t>
      </w:r>
      <w:r>
        <w:rPr>
          <w:spacing w:val="-2"/>
        </w:rPr>
        <w:t>siguientes</w:t>
      </w:r>
    </w:p>
    <w:p>
      <w:pPr>
        <w:pStyle w:val="BodyText"/>
        <w:spacing w:before="2"/>
      </w:pPr>
    </w:p>
    <w:p>
      <w:pPr>
        <w:pStyle w:val="ListParagraph"/>
        <w:numPr>
          <w:ilvl w:val="0"/>
          <w:numId w:val="28"/>
        </w:numPr>
        <w:tabs>
          <w:tab w:pos="1988" w:val="left" w:leader="none"/>
        </w:tabs>
        <w:spacing w:line="240" w:lineRule="auto" w:before="0" w:after="0"/>
        <w:ind w:left="1988" w:right="1251" w:hanging="360"/>
        <w:jc w:val="both"/>
        <w:rPr>
          <w:sz w:val="22"/>
        </w:rPr>
      </w:pPr>
      <w:r>
        <w:rPr>
          <w:sz w:val="22"/>
        </w:rPr>
        <w:t>Desarrollar procesos administrativos, gerenciales y tecnológicos que faciliten la adaptabilidad del IMAS a los cambios del entorno, para una efectiva entrega de bienes y servicios oportunos, de calidad y con impacto para el desarrollo de los hogares en situación de pobreza del país.</w:t>
      </w:r>
    </w:p>
    <w:p>
      <w:pPr>
        <w:pStyle w:val="ListParagraph"/>
        <w:numPr>
          <w:ilvl w:val="0"/>
          <w:numId w:val="28"/>
        </w:numPr>
        <w:tabs>
          <w:tab w:pos="1988" w:val="left" w:leader="none"/>
        </w:tabs>
        <w:spacing w:line="242" w:lineRule="auto" w:before="251" w:after="0"/>
        <w:ind w:left="1988" w:right="1248" w:hanging="360"/>
        <w:jc w:val="both"/>
        <w:rPr>
          <w:sz w:val="22"/>
        </w:rPr>
      </w:pPr>
      <w:r>
        <w:rPr>
          <w:sz w:val="22"/>
        </w:rPr>
        <w:t>Garantizar el desarrollo de una oferta de servicios y beneficios de protección y promoción social oportuna y de calidad, acorde con las necesidades de la población</w:t>
      </w:r>
      <w:r>
        <w:rPr>
          <w:spacing w:val="-10"/>
          <w:sz w:val="22"/>
        </w:rPr>
        <w:t> </w:t>
      </w:r>
      <w:r>
        <w:rPr>
          <w:sz w:val="22"/>
        </w:rPr>
        <w:t>objetivo</w:t>
      </w:r>
      <w:r>
        <w:rPr>
          <w:spacing w:val="-10"/>
          <w:sz w:val="22"/>
        </w:rPr>
        <w:t> </w:t>
      </w:r>
      <w:r>
        <w:rPr>
          <w:sz w:val="22"/>
        </w:rPr>
        <w:t>y</w:t>
      </w:r>
      <w:r>
        <w:rPr>
          <w:spacing w:val="-8"/>
          <w:sz w:val="22"/>
        </w:rPr>
        <w:t> </w:t>
      </w:r>
      <w:r>
        <w:rPr>
          <w:sz w:val="22"/>
        </w:rPr>
        <w:t>sobre</w:t>
      </w:r>
      <w:r>
        <w:rPr>
          <w:spacing w:val="-6"/>
          <w:sz w:val="22"/>
        </w:rPr>
        <w:t> </w:t>
      </w:r>
      <w:r>
        <w:rPr>
          <w:sz w:val="22"/>
        </w:rPr>
        <w:t>la</w:t>
      </w:r>
      <w:r>
        <w:rPr>
          <w:spacing w:val="-10"/>
          <w:sz w:val="22"/>
        </w:rPr>
        <w:t> </w:t>
      </w:r>
      <w:r>
        <w:rPr>
          <w:sz w:val="22"/>
        </w:rPr>
        <w:t>base</w:t>
      </w:r>
      <w:r>
        <w:rPr>
          <w:spacing w:val="-10"/>
          <w:sz w:val="22"/>
        </w:rPr>
        <w:t> </w:t>
      </w:r>
      <w:r>
        <w:rPr>
          <w:sz w:val="22"/>
        </w:rPr>
        <w:t>de</w:t>
      </w:r>
      <w:r>
        <w:rPr>
          <w:spacing w:val="-6"/>
          <w:sz w:val="22"/>
        </w:rPr>
        <w:t> </w:t>
      </w:r>
      <w:r>
        <w:rPr>
          <w:sz w:val="22"/>
        </w:rPr>
        <w:t>las</w:t>
      </w:r>
      <w:r>
        <w:rPr>
          <w:spacing w:val="-12"/>
          <w:sz w:val="22"/>
        </w:rPr>
        <w:t> </w:t>
      </w:r>
      <w:r>
        <w:rPr>
          <w:sz w:val="22"/>
        </w:rPr>
        <w:t>desigualdades</w:t>
      </w:r>
      <w:r>
        <w:rPr>
          <w:spacing w:val="-12"/>
          <w:sz w:val="22"/>
        </w:rPr>
        <w:t> </w:t>
      </w:r>
      <w:r>
        <w:rPr>
          <w:sz w:val="22"/>
        </w:rPr>
        <w:t>que</w:t>
      </w:r>
      <w:r>
        <w:rPr>
          <w:spacing w:val="-10"/>
          <w:sz w:val="22"/>
        </w:rPr>
        <w:t> </w:t>
      </w:r>
      <w:r>
        <w:rPr>
          <w:sz w:val="22"/>
        </w:rPr>
        <w:t>se</w:t>
      </w:r>
      <w:r>
        <w:rPr>
          <w:spacing w:val="-10"/>
          <w:sz w:val="22"/>
        </w:rPr>
        <w:t> </w:t>
      </w:r>
      <w:r>
        <w:rPr>
          <w:sz w:val="22"/>
        </w:rPr>
        <w:t>configuran</w:t>
      </w:r>
      <w:r>
        <w:rPr>
          <w:spacing w:val="-6"/>
          <w:sz w:val="22"/>
        </w:rPr>
        <w:t> </w:t>
      </w:r>
      <w:r>
        <w:rPr>
          <w:sz w:val="22"/>
        </w:rPr>
        <w:t>a</w:t>
      </w:r>
      <w:r>
        <w:rPr>
          <w:spacing w:val="-10"/>
          <w:sz w:val="22"/>
        </w:rPr>
        <w:t> </w:t>
      </w:r>
      <w:r>
        <w:rPr>
          <w:sz w:val="22"/>
        </w:rPr>
        <w:t>partir de la superposición de diferentes factores sociales.</w:t>
      </w:r>
    </w:p>
    <w:p>
      <w:pPr>
        <w:pStyle w:val="ListParagraph"/>
        <w:numPr>
          <w:ilvl w:val="0"/>
          <w:numId w:val="28"/>
        </w:numPr>
        <w:tabs>
          <w:tab w:pos="1988" w:val="left" w:leader="none"/>
        </w:tabs>
        <w:spacing w:line="240" w:lineRule="auto" w:before="246" w:after="0"/>
        <w:ind w:left="1988" w:right="1249" w:hanging="360"/>
        <w:jc w:val="left"/>
        <w:rPr>
          <w:sz w:val="22"/>
        </w:rPr>
      </w:pPr>
      <w:r>
        <w:rPr>
          <w:sz w:val="22"/>
        </w:rPr>
        <w:t>Fortalecer el desarrollo regional con procesos de descentralización e inversión</w:t>
      </w:r>
      <w:r>
        <w:rPr>
          <w:spacing w:val="40"/>
          <w:sz w:val="22"/>
        </w:rPr>
        <w:t> </w:t>
      </w:r>
      <w:r>
        <w:rPr>
          <w:sz w:val="22"/>
        </w:rPr>
        <w:t>social acorde con las particularidades territoriales.</w:t>
      </w:r>
    </w:p>
    <w:p>
      <w:pPr>
        <w:pStyle w:val="ListParagraph"/>
        <w:numPr>
          <w:ilvl w:val="0"/>
          <w:numId w:val="28"/>
        </w:numPr>
        <w:tabs>
          <w:tab w:pos="1988" w:val="left" w:leader="none"/>
        </w:tabs>
        <w:spacing w:line="240" w:lineRule="auto" w:before="252" w:after="0"/>
        <w:ind w:left="1988" w:right="1252" w:hanging="360"/>
        <w:jc w:val="both"/>
        <w:rPr>
          <w:sz w:val="22"/>
        </w:rPr>
      </w:pPr>
      <w:r>
        <w:rPr>
          <w:sz w:val="22"/>
        </w:rPr>
        <w:t>Desarrollar la rectoría técnica mediante la articulación interinstitucional y la información social como mecanismos para la atención y reducción integral, sistemática y sostenida de la pobreza.</w:t>
      </w:r>
    </w:p>
    <w:p>
      <w:pPr>
        <w:pStyle w:val="BodyText"/>
        <w:spacing w:before="2"/>
      </w:pPr>
    </w:p>
    <w:p>
      <w:pPr>
        <w:pStyle w:val="ListParagraph"/>
        <w:numPr>
          <w:ilvl w:val="0"/>
          <w:numId w:val="28"/>
        </w:numPr>
        <w:tabs>
          <w:tab w:pos="1988" w:val="left" w:leader="none"/>
        </w:tabs>
        <w:spacing w:line="240" w:lineRule="auto" w:before="0" w:after="0"/>
        <w:ind w:left="1988" w:right="1249" w:hanging="360"/>
        <w:jc w:val="both"/>
        <w:rPr>
          <w:sz w:val="22"/>
        </w:rPr>
      </w:pPr>
      <w:r>
        <w:rPr>
          <w:sz w:val="22"/>
        </w:rPr>
        <w:t>Gestionar mecanismos para la generación de recursos necesarios para la sostenibilidad y la ejecución de los</w:t>
      </w:r>
      <w:r>
        <w:rPr>
          <w:spacing w:val="-2"/>
          <w:sz w:val="22"/>
        </w:rPr>
        <w:t> </w:t>
      </w:r>
      <w:r>
        <w:rPr>
          <w:sz w:val="22"/>
        </w:rPr>
        <w:t>servicios</w:t>
      </w:r>
      <w:r>
        <w:rPr>
          <w:spacing w:val="-2"/>
          <w:sz w:val="22"/>
        </w:rPr>
        <w:t> </w:t>
      </w:r>
      <w:r>
        <w:rPr>
          <w:sz w:val="22"/>
        </w:rPr>
        <w:t>y</w:t>
      </w:r>
      <w:r>
        <w:rPr>
          <w:spacing w:val="-1"/>
          <w:sz w:val="22"/>
        </w:rPr>
        <w:t> </w:t>
      </w:r>
      <w:r>
        <w:rPr>
          <w:sz w:val="22"/>
        </w:rPr>
        <w:t>beneficios</w:t>
      </w:r>
      <w:r>
        <w:rPr>
          <w:spacing w:val="-1"/>
          <w:sz w:val="22"/>
        </w:rPr>
        <w:t> </w:t>
      </w:r>
      <w:r>
        <w:rPr>
          <w:sz w:val="22"/>
        </w:rPr>
        <w:t>que otorga el</w:t>
      </w:r>
      <w:r>
        <w:rPr>
          <w:spacing w:val="-2"/>
          <w:sz w:val="22"/>
        </w:rPr>
        <w:t> </w:t>
      </w:r>
      <w:r>
        <w:rPr>
          <w:sz w:val="22"/>
        </w:rPr>
        <w:t>IMAS a la población en situación de pobreza.</w:t>
      </w:r>
    </w:p>
    <w:p>
      <w:pPr>
        <w:pStyle w:val="ListParagraph"/>
        <w:spacing w:after="0" w:line="240" w:lineRule="auto"/>
        <w:jc w:val="both"/>
        <w:rPr>
          <w:sz w:val="22"/>
        </w:rPr>
        <w:sectPr>
          <w:pgSz w:w="12240" w:h="15840"/>
          <w:pgMar w:header="0" w:footer="1101" w:top="640" w:bottom="1300" w:left="720" w:right="360"/>
        </w:sectPr>
      </w:pPr>
    </w:p>
    <w:p>
      <w:pPr>
        <w:pStyle w:val="Heading1"/>
        <w:numPr>
          <w:ilvl w:val="1"/>
          <w:numId w:val="29"/>
        </w:numPr>
        <w:tabs>
          <w:tab w:pos="2534" w:val="left" w:leader="none"/>
        </w:tabs>
        <w:spacing w:line="240" w:lineRule="auto" w:before="71" w:after="0"/>
        <w:ind w:left="2534" w:right="0" w:hanging="402"/>
        <w:jc w:val="left"/>
      </w:pPr>
      <w:bookmarkStart w:name="_bookmark56" w:id="57"/>
      <w:bookmarkEnd w:id="57"/>
      <w:r>
        <w:rPr>
          <w:b w:val="0"/>
        </w:rPr>
      </w:r>
      <w:r>
        <w:rPr/>
        <w:t>Indicadores</w:t>
      </w:r>
      <w:r>
        <w:rPr>
          <w:spacing w:val="-8"/>
        </w:rPr>
        <w:t> </w:t>
      </w:r>
      <w:r>
        <w:rPr/>
        <w:t>de</w:t>
      </w:r>
      <w:r>
        <w:rPr>
          <w:spacing w:val="-1"/>
        </w:rPr>
        <w:t> </w:t>
      </w:r>
      <w:r>
        <w:rPr/>
        <w:t>Gestión</w:t>
      </w:r>
      <w:r>
        <w:rPr>
          <w:spacing w:val="-2"/>
        </w:rPr>
        <w:t> </w:t>
      </w:r>
      <w:r>
        <w:rPr/>
        <w:t>y/o</w:t>
      </w:r>
      <w:r>
        <w:rPr>
          <w:spacing w:val="-2"/>
        </w:rPr>
        <w:t> Resultados</w:t>
      </w:r>
    </w:p>
    <w:p>
      <w:pPr>
        <w:pStyle w:val="BodyText"/>
        <w:spacing w:before="252"/>
        <w:ind w:left="1268" w:right="1254"/>
        <w:jc w:val="both"/>
      </w:pPr>
      <w:r>
        <w:rPr/>
        <w:t>Los indicadores de Gestión y</w:t>
      </w:r>
      <w:r>
        <w:rPr>
          <w:spacing w:val="-1"/>
        </w:rPr>
        <w:t> </w:t>
      </w:r>
      <w:r>
        <w:rPr/>
        <w:t>de Resultados se encuentran inmersos</w:t>
      </w:r>
      <w:r>
        <w:rPr>
          <w:spacing w:val="-1"/>
        </w:rPr>
        <w:t> </w:t>
      </w:r>
      <w:r>
        <w:rPr/>
        <w:t>en las</w:t>
      </w:r>
      <w:r>
        <w:rPr>
          <w:spacing w:val="-1"/>
        </w:rPr>
        <w:t> </w:t>
      </w:r>
      <w:r>
        <w:rPr/>
        <w:t>matrices de Gestión para Resultados</w:t>
      </w:r>
      <w:r>
        <w:rPr>
          <w:spacing w:val="-6"/>
        </w:rPr>
        <w:t> </w:t>
      </w:r>
      <w:r>
        <w:rPr/>
        <w:t>en el</w:t>
      </w:r>
      <w:r>
        <w:rPr>
          <w:spacing w:val="-2"/>
        </w:rPr>
        <w:t> </w:t>
      </w:r>
      <w:r>
        <w:rPr/>
        <w:t>Desarrollo (GpRD)</w:t>
      </w:r>
      <w:r>
        <w:rPr>
          <w:spacing w:val="-3"/>
        </w:rPr>
        <w:t> </w:t>
      </w:r>
      <w:r>
        <w:rPr/>
        <w:t>en los cinco</w:t>
      </w:r>
      <w:r>
        <w:rPr>
          <w:spacing w:val="-4"/>
        </w:rPr>
        <w:t> </w:t>
      </w:r>
      <w:r>
        <w:rPr/>
        <w:t>ejes</w:t>
      </w:r>
      <w:r>
        <w:rPr>
          <w:spacing w:val="-2"/>
        </w:rPr>
        <w:t> </w:t>
      </w:r>
      <w:r>
        <w:rPr/>
        <w:t>estratégicos</w:t>
      </w:r>
      <w:r>
        <w:rPr>
          <w:spacing w:val="-1"/>
        </w:rPr>
        <w:t> </w:t>
      </w:r>
      <w:r>
        <w:rPr/>
        <w:t>del</w:t>
      </w:r>
      <w:r>
        <w:rPr>
          <w:spacing w:val="-2"/>
        </w:rPr>
        <w:t> </w:t>
      </w:r>
      <w:r>
        <w:rPr/>
        <w:t>PEI, a saber:</w:t>
      </w:r>
    </w:p>
    <w:p>
      <w:pPr>
        <w:pStyle w:val="ListParagraph"/>
        <w:numPr>
          <w:ilvl w:val="0"/>
          <w:numId w:val="30"/>
        </w:numPr>
        <w:tabs>
          <w:tab w:pos="1464" w:val="left" w:leader="none"/>
        </w:tabs>
        <w:spacing w:line="240" w:lineRule="auto" w:before="249" w:after="0"/>
        <w:ind w:left="1464" w:right="0" w:hanging="196"/>
        <w:jc w:val="left"/>
        <w:rPr>
          <w:sz w:val="22"/>
        </w:rPr>
      </w:pPr>
      <w:r>
        <w:rPr>
          <w:sz w:val="22"/>
        </w:rPr>
        <w:t>Gestión</w:t>
      </w:r>
      <w:r>
        <w:rPr>
          <w:spacing w:val="-8"/>
          <w:sz w:val="22"/>
        </w:rPr>
        <w:t> </w:t>
      </w:r>
      <w:r>
        <w:rPr>
          <w:sz w:val="22"/>
        </w:rPr>
        <w:t>del</w:t>
      </w:r>
      <w:r>
        <w:rPr>
          <w:spacing w:val="-5"/>
          <w:sz w:val="22"/>
        </w:rPr>
        <w:t> </w:t>
      </w:r>
      <w:r>
        <w:rPr>
          <w:sz w:val="22"/>
        </w:rPr>
        <w:t>cambio</w:t>
      </w:r>
      <w:r>
        <w:rPr>
          <w:spacing w:val="-7"/>
          <w:sz w:val="22"/>
        </w:rPr>
        <w:t> </w:t>
      </w:r>
      <w:r>
        <w:rPr>
          <w:sz w:val="22"/>
        </w:rPr>
        <w:t>e</w:t>
      </w:r>
      <w:r>
        <w:rPr>
          <w:spacing w:val="-3"/>
          <w:sz w:val="22"/>
        </w:rPr>
        <w:t> </w:t>
      </w:r>
      <w:r>
        <w:rPr>
          <w:sz w:val="22"/>
        </w:rPr>
        <w:t>innovación</w:t>
      </w:r>
      <w:r>
        <w:rPr>
          <w:spacing w:val="-3"/>
          <w:sz w:val="22"/>
        </w:rPr>
        <w:t> </w:t>
      </w:r>
      <w:r>
        <w:rPr>
          <w:spacing w:val="-2"/>
          <w:sz w:val="22"/>
        </w:rPr>
        <w:t>institucional.</w:t>
      </w:r>
    </w:p>
    <w:p>
      <w:pPr>
        <w:pStyle w:val="ListParagraph"/>
        <w:numPr>
          <w:ilvl w:val="0"/>
          <w:numId w:val="30"/>
        </w:numPr>
        <w:tabs>
          <w:tab w:pos="1464" w:val="left" w:leader="none"/>
        </w:tabs>
        <w:spacing w:line="240" w:lineRule="auto" w:before="2" w:after="0"/>
        <w:ind w:left="1464" w:right="0" w:hanging="196"/>
        <w:jc w:val="left"/>
        <w:rPr>
          <w:sz w:val="22"/>
        </w:rPr>
      </w:pPr>
      <w:r>
        <w:rPr>
          <w:sz w:val="22"/>
        </w:rPr>
        <w:t>Gestión</w:t>
      </w:r>
      <w:r>
        <w:rPr>
          <w:spacing w:val="-8"/>
          <w:sz w:val="22"/>
        </w:rPr>
        <w:t> </w:t>
      </w:r>
      <w:r>
        <w:rPr>
          <w:sz w:val="22"/>
        </w:rPr>
        <w:t>del</w:t>
      </w:r>
      <w:r>
        <w:rPr>
          <w:spacing w:val="-5"/>
          <w:sz w:val="22"/>
        </w:rPr>
        <w:t> </w:t>
      </w:r>
      <w:r>
        <w:rPr>
          <w:sz w:val="22"/>
        </w:rPr>
        <w:t>desarrollo</w:t>
      </w:r>
      <w:r>
        <w:rPr>
          <w:spacing w:val="-7"/>
          <w:sz w:val="22"/>
        </w:rPr>
        <w:t> </w:t>
      </w:r>
      <w:r>
        <w:rPr>
          <w:sz w:val="22"/>
        </w:rPr>
        <w:t>social</w:t>
      </w:r>
      <w:r>
        <w:rPr>
          <w:spacing w:val="-6"/>
          <w:sz w:val="22"/>
        </w:rPr>
        <w:t> </w:t>
      </w:r>
      <w:r>
        <w:rPr>
          <w:sz w:val="22"/>
        </w:rPr>
        <w:t>con</w:t>
      </w:r>
      <w:r>
        <w:rPr>
          <w:spacing w:val="-7"/>
          <w:sz w:val="22"/>
        </w:rPr>
        <w:t> </w:t>
      </w:r>
      <w:r>
        <w:rPr>
          <w:sz w:val="22"/>
        </w:rPr>
        <w:t>enfoque</w:t>
      </w:r>
      <w:r>
        <w:rPr>
          <w:spacing w:val="-3"/>
          <w:sz w:val="22"/>
        </w:rPr>
        <w:t> </w:t>
      </w:r>
      <w:r>
        <w:rPr>
          <w:spacing w:val="-2"/>
          <w:sz w:val="22"/>
        </w:rPr>
        <w:t>interseccional.</w:t>
      </w:r>
    </w:p>
    <w:p>
      <w:pPr>
        <w:pStyle w:val="ListParagraph"/>
        <w:numPr>
          <w:ilvl w:val="0"/>
          <w:numId w:val="30"/>
        </w:numPr>
        <w:tabs>
          <w:tab w:pos="1464" w:val="left" w:leader="none"/>
        </w:tabs>
        <w:spacing w:line="240" w:lineRule="auto" w:before="1" w:after="0"/>
        <w:ind w:left="1464" w:right="0" w:hanging="196"/>
        <w:jc w:val="left"/>
        <w:rPr>
          <w:sz w:val="22"/>
        </w:rPr>
      </w:pPr>
      <w:r>
        <w:rPr>
          <w:sz w:val="22"/>
        </w:rPr>
        <w:t>Gestión</w:t>
      </w:r>
      <w:r>
        <w:rPr>
          <w:spacing w:val="-8"/>
          <w:sz w:val="22"/>
        </w:rPr>
        <w:t> </w:t>
      </w:r>
      <w:r>
        <w:rPr>
          <w:sz w:val="22"/>
        </w:rPr>
        <w:t>del</w:t>
      </w:r>
      <w:r>
        <w:rPr>
          <w:spacing w:val="-6"/>
          <w:sz w:val="22"/>
        </w:rPr>
        <w:t> </w:t>
      </w:r>
      <w:r>
        <w:rPr>
          <w:sz w:val="22"/>
        </w:rPr>
        <w:t>desarrollo</w:t>
      </w:r>
      <w:r>
        <w:rPr>
          <w:spacing w:val="-8"/>
          <w:sz w:val="22"/>
        </w:rPr>
        <w:t> </w:t>
      </w:r>
      <w:r>
        <w:rPr>
          <w:sz w:val="22"/>
        </w:rPr>
        <w:t>regional</w:t>
      </w:r>
      <w:r>
        <w:rPr>
          <w:spacing w:val="-6"/>
          <w:sz w:val="22"/>
        </w:rPr>
        <w:t> </w:t>
      </w:r>
      <w:r>
        <w:rPr>
          <w:sz w:val="22"/>
        </w:rPr>
        <w:t>e</w:t>
      </w:r>
      <w:r>
        <w:rPr>
          <w:spacing w:val="-8"/>
          <w:sz w:val="22"/>
        </w:rPr>
        <w:t> </w:t>
      </w:r>
      <w:r>
        <w:rPr>
          <w:sz w:val="22"/>
        </w:rPr>
        <w:t>inversión</w:t>
      </w:r>
      <w:r>
        <w:rPr>
          <w:spacing w:val="-8"/>
          <w:sz w:val="22"/>
        </w:rPr>
        <w:t> </w:t>
      </w:r>
      <w:r>
        <w:rPr>
          <w:sz w:val="22"/>
        </w:rPr>
        <w:t>social</w:t>
      </w:r>
      <w:r>
        <w:rPr>
          <w:spacing w:val="-5"/>
          <w:sz w:val="22"/>
        </w:rPr>
        <w:t> </w:t>
      </w:r>
      <w:r>
        <w:rPr>
          <w:spacing w:val="-2"/>
          <w:sz w:val="22"/>
        </w:rPr>
        <w:t>territorial.</w:t>
      </w:r>
    </w:p>
    <w:p>
      <w:pPr>
        <w:pStyle w:val="ListParagraph"/>
        <w:numPr>
          <w:ilvl w:val="0"/>
          <w:numId w:val="30"/>
        </w:numPr>
        <w:tabs>
          <w:tab w:pos="1464" w:val="left" w:leader="none"/>
        </w:tabs>
        <w:spacing w:line="251" w:lineRule="exact" w:before="1" w:after="0"/>
        <w:ind w:left="1464" w:right="0" w:hanging="196"/>
        <w:jc w:val="left"/>
        <w:rPr>
          <w:sz w:val="22"/>
        </w:rPr>
      </w:pPr>
      <w:r>
        <w:rPr>
          <w:sz w:val="22"/>
        </w:rPr>
        <w:t>Rectoría</w:t>
      </w:r>
      <w:r>
        <w:rPr>
          <w:spacing w:val="-7"/>
          <w:sz w:val="22"/>
        </w:rPr>
        <w:t> </w:t>
      </w:r>
      <w:r>
        <w:rPr>
          <w:sz w:val="22"/>
        </w:rPr>
        <w:t>técnica</w:t>
      </w:r>
      <w:r>
        <w:rPr>
          <w:spacing w:val="-3"/>
          <w:sz w:val="22"/>
        </w:rPr>
        <w:t> </w:t>
      </w:r>
      <w:r>
        <w:rPr>
          <w:sz w:val="22"/>
        </w:rPr>
        <w:t>social</w:t>
      </w:r>
      <w:r>
        <w:rPr>
          <w:spacing w:val="-9"/>
          <w:sz w:val="22"/>
        </w:rPr>
        <w:t> </w:t>
      </w:r>
      <w:r>
        <w:rPr>
          <w:sz w:val="22"/>
        </w:rPr>
        <w:t>y</w:t>
      </w:r>
      <w:r>
        <w:rPr>
          <w:spacing w:val="-3"/>
          <w:sz w:val="22"/>
        </w:rPr>
        <w:t> </w:t>
      </w:r>
      <w:r>
        <w:rPr>
          <w:spacing w:val="-2"/>
          <w:sz w:val="22"/>
        </w:rPr>
        <w:t>articulación.</w:t>
      </w:r>
    </w:p>
    <w:p>
      <w:pPr>
        <w:pStyle w:val="ListParagraph"/>
        <w:numPr>
          <w:ilvl w:val="0"/>
          <w:numId w:val="30"/>
        </w:numPr>
        <w:tabs>
          <w:tab w:pos="1464" w:val="left" w:leader="none"/>
        </w:tabs>
        <w:spacing w:line="251" w:lineRule="exact" w:before="0" w:after="0"/>
        <w:ind w:left="1464" w:right="0" w:hanging="196"/>
        <w:jc w:val="left"/>
        <w:rPr>
          <w:sz w:val="22"/>
        </w:rPr>
      </w:pPr>
      <w:r>
        <w:rPr>
          <w:sz w:val="22"/>
        </w:rPr>
        <w:t>Gestión</w:t>
      </w:r>
      <w:r>
        <w:rPr>
          <w:spacing w:val="-7"/>
          <w:sz w:val="22"/>
        </w:rPr>
        <w:t> </w:t>
      </w:r>
      <w:r>
        <w:rPr>
          <w:sz w:val="22"/>
        </w:rPr>
        <w:t>de</w:t>
      </w:r>
      <w:r>
        <w:rPr>
          <w:spacing w:val="-3"/>
          <w:sz w:val="22"/>
        </w:rPr>
        <w:t> </w:t>
      </w:r>
      <w:r>
        <w:rPr>
          <w:sz w:val="22"/>
        </w:rPr>
        <w:t>recursos</w:t>
      </w:r>
      <w:r>
        <w:rPr>
          <w:spacing w:val="-8"/>
          <w:sz w:val="22"/>
        </w:rPr>
        <w:t> </w:t>
      </w:r>
      <w:r>
        <w:rPr>
          <w:sz w:val="22"/>
        </w:rPr>
        <w:t>y</w:t>
      </w:r>
      <w:r>
        <w:rPr>
          <w:spacing w:val="-4"/>
          <w:sz w:val="22"/>
        </w:rPr>
        <w:t> </w:t>
      </w:r>
      <w:r>
        <w:rPr>
          <w:sz w:val="22"/>
        </w:rPr>
        <w:t>alianzas</w:t>
      </w:r>
      <w:r>
        <w:rPr>
          <w:spacing w:val="-3"/>
          <w:sz w:val="22"/>
        </w:rPr>
        <w:t> </w:t>
      </w:r>
      <w:r>
        <w:rPr>
          <w:spacing w:val="-2"/>
          <w:sz w:val="22"/>
        </w:rPr>
        <w:t>estratégicas.</w:t>
      </w:r>
    </w:p>
    <w:p>
      <w:pPr>
        <w:pStyle w:val="BodyText"/>
        <w:spacing w:before="3"/>
      </w:pPr>
    </w:p>
    <w:p>
      <w:pPr>
        <w:pStyle w:val="BodyText"/>
        <w:ind w:left="1268"/>
      </w:pPr>
      <w:r>
        <w:rPr/>
        <w:t>Los</w:t>
      </w:r>
      <w:r>
        <w:rPr>
          <w:spacing w:val="-9"/>
        </w:rPr>
        <w:t> </w:t>
      </w:r>
      <w:r>
        <w:rPr/>
        <w:t>mismos</w:t>
      </w:r>
      <w:r>
        <w:rPr>
          <w:spacing w:val="-3"/>
        </w:rPr>
        <w:t> </w:t>
      </w:r>
      <w:r>
        <w:rPr/>
        <w:t>pueden</w:t>
      </w:r>
      <w:r>
        <w:rPr>
          <w:spacing w:val="-5"/>
        </w:rPr>
        <w:t> </w:t>
      </w:r>
      <w:r>
        <w:rPr/>
        <w:t>encontrase</w:t>
      </w:r>
      <w:r>
        <w:rPr>
          <w:spacing w:val="-5"/>
        </w:rPr>
        <w:t> </w:t>
      </w:r>
      <w:r>
        <w:rPr/>
        <w:t>en</w:t>
      </w:r>
      <w:r>
        <w:rPr>
          <w:spacing w:val="-5"/>
        </w:rPr>
        <w:t> </w:t>
      </w:r>
      <w:r>
        <w:rPr/>
        <w:t>el</w:t>
      </w:r>
      <w:r>
        <w:rPr>
          <w:spacing w:val="-3"/>
        </w:rPr>
        <w:t> </w:t>
      </w:r>
      <w:r>
        <w:rPr/>
        <w:t>apartado</w:t>
      </w:r>
      <w:r>
        <w:rPr>
          <w:spacing w:val="-1"/>
        </w:rPr>
        <w:t> </w:t>
      </w:r>
      <w:r>
        <w:rPr/>
        <w:t>7</w:t>
      </w:r>
      <w:r>
        <w:rPr>
          <w:spacing w:val="-10"/>
        </w:rPr>
        <w:t> </w:t>
      </w:r>
      <w:r>
        <w:rPr/>
        <w:t>del</w:t>
      </w:r>
      <w:r>
        <w:rPr>
          <w:spacing w:val="-7"/>
        </w:rPr>
        <w:t> </w:t>
      </w:r>
      <w:r>
        <w:rPr/>
        <w:t>presente</w:t>
      </w:r>
      <w:r>
        <w:rPr>
          <w:spacing w:val="-5"/>
        </w:rPr>
        <w:t> </w:t>
      </w:r>
      <w:r>
        <w:rPr>
          <w:spacing w:val="-2"/>
        </w:rPr>
        <w:t>documento.</w:t>
      </w:r>
    </w:p>
    <w:p>
      <w:pPr>
        <w:pStyle w:val="BodyText"/>
        <w:spacing w:before="23"/>
      </w:pPr>
    </w:p>
    <w:p>
      <w:pPr>
        <w:pStyle w:val="Heading1"/>
        <w:numPr>
          <w:ilvl w:val="1"/>
          <w:numId w:val="29"/>
        </w:numPr>
        <w:tabs>
          <w:tab w:pos="2534" w:val="left" w:leader="none"/>
        </w:tabs>
        <w:spacing w:line="240" w:lineRule="auto" w:before="0" w:after="0"/>
        <w:ind w:left="2534" w:right="0" w:hanging="402"/>
        <w:jc w:val="left"/>
      </w:pPr>
      <w:bookmarkStart w:name="_bookmark57" w:id="58"/>
      <w:bookmarkEnd w:id="58"/>
      <w:r>
        <w:rPr>
          <w:b w:val="0"/>
        </w:rPr>
      </w:r>
      <w:r>
        <w:rPr>
          <w:spacing w:val="-2"/>
        </w:rPr>
        <w:t>Valores</w:t>
      </w:r>
    </w:p>
    <w:p>
      <w:pPr>
        <w:pStyle w:val="BodyText"/>
        <w:rPr>
          <w:b/>
          <w:sz w:val="24"/>
        </w:rPr>
      </w:pPr>
    </w:p>
    <w:p>
      <w:pPr>
        <w:pStyle w:val="BodyText"/>
        <w:ind w:left="1268" w:right="1236"/>
        <w:jc w:val="both"/>
      </w:pPr>
      <w:r>
        <w:rPr/>
        <w:t>La</w:t>
      </w:r>
      <w:r>
        <w:rPr>
          <w:spacing w:val="-3"/>
        </w:rPr>
        <w:t> </w:t>
      </w:r>
      <w:r>
        <w:rPr/>
        <w:t>definición</w:t>
      </w:r>
      <w:r>
        <w:rPr>
          <w:spacing w:val="-3"/>
        </w:rPr>
        <w:t> </w:t>
      </w:r>
      <w:r>
        <w:rPr/>
        <w:t>de los valores</w:t>
      </w:r>
      <w:r>
        <w:rPr>
          <w:spacing w:val="-5"/>
        </w:rPr>
        <w:t> </w:t>
      </w:r>
      <w:r>
        <w:rPr/>
        <w:t>se constituye en</w:t>
      </w:r>
      <w:r>
        <w:rPr>
          <w:spacing w:val="-3"/>
        </w:rPr>
        <w:t> </w:t>
      </w:r>
      <w:r>
        <w:rPr/>
        <w:t>un</w:t>
      </w:r>
      <w:r>
        <w:rPr>
          <w:spacing w:val="-3"/>
        </w:rPr>
        <w:t> </w:t>
      </w:r>
      <w:r>
        <w:rPr/>
        <w:t>elemento</w:t>
      </w:r>
      <w:r>
        <w:rPr>
          <w:spacing w:val="-3"/>
        </w:rPr>
        <w:t> </w:t>
      </w:r>
      <w:r>
        <w:rPr/>
        <w:t>esencial</w:t>
      </w:r>
      <w:r>
        <w:rPr>
          <w:spacing w:val="-6"/>
        </w:rPr>
        <w:t> </w:t>
      </w:r>
      <w:r>
        <w:rPr/>
        <w:t>en la construcción</w:t>
      </w:r>
      <w:r>
        <w:rPr>
          <w:spacing w:val="-3"/>
        </w:rPr>
        <w:t> </w:t>
      </w:r>
      <w:r>
        <w:rPr/>
        <w:t>del PEI,</w:t>
      </w:r>
      <w:r>
        <w:rPr>
          <w:spacing w:val="-5"/>
        </w:rPr>
        <w:t> </w:t>
      </w:r>
      <w:r>
        <w:rPr/>
        <w:t>siendo</w:t>
      </w:r>
      <w:r>
        <w:rPr>
          <w:spacing w:val="-4"/>
        </w:rPr>
        <w:t> </w:t>
      </w:r>
      <w:r>
        <w:rPr/>
        <w:t>que</w:t>
      </w:r>
      <w:r>
        <w:rPr>
          <w:spacing w:val="-4"/>
        </w:rPr>
        <w:t> </w:t>
      </w:r>
      <w:r>
        <w:rPr/>
        <w:t>estos</w:t>
      </w:r>
      <w:r>
        <w:rPr>
          <w:spacing w:val="-6"/>
        </w:rPr>
        <w:t> </w:t>
      </w:r>
      <w:r>
        <w:rPr/>
        <w:t>son</w:t>
      </w:r>
      <w:r>
        <w:rPr>
          <w:spacing w:val="-4"/>
        </w:rPr>
        <w:t> </w:t>
      </w:r>
      <w:r>
        <w:rPr/>
        <w:t>la</w:t>
      </w:r>
      <w:r>
        <w:rPr>
          <w:spacing w:val="-4"/>
        </w:rPr>
        <w:t> </w:t>
      </w:r>
      <w:r>
        <w:rPr/>
        <w:t>guía</w:t>
      </w:r>
      <w:r>
        <w:rPr>
          <w:spacing w:val="-9"/>
        </w:rPr>
        <w:t> </w:t>
      </w:r>
      <w:r>
        <w:rPr/>
        <w:t>que</w:t>
      </w:r>
      <w:r>
        <w:rPr>
          <w:spacing w:val="-4"/>
        </w:rPr>
        <w:t> </w:t>
      </w:r>
      <w:r>
        <w:rPr/>
        <w:t>orienta</w:t>
      </w:r>
      <w:r>
        <w:rPr>
          <w:spacing w:val="-4"/>
        </w:rPr>
        <w:t> </w:t>
      </w:r>
      <w:r>
        <w:rPr/>
        <w:t>la</w:t>
      </w:r>
      <w:r>
        <w:rPr>
          <w:spacing w:val="-4"/>
        </w:rPr>
        <w:t> </w:t>
      </w:r>
      <w:r>
        <w:rPr/>
        <w:t>actuación</w:t>
      </w:r>
      <w:r>
        <w:rPr>
          <w:spacing w:val="-4"/>
        </w:rPr>
        <w:t> </w:t>
      </w:r>
      <w:r>
        <w:rPr/>
        <w:t>y</w:t>
      </w:r>
      <w:r>
        <w:rPr>
          <w:spacing w:val="-6"/>
        </w:rPr>
        <w:t> </w:t>
      </w:r>
      <w:r>
        <w:rPr/>
        <w:t>conducta institucional</w:t>
      </w:r>
      <w:r>
        <w:rPr>
          <w:spacing w:val="-7"/>
        </w:rPr>
        <w:t> </w:t>
      </w:r>
      <w:r>
        <w:rPr/>
        <w:t>desde el</w:t>
      </w:r>
      <w:r>
        <w:rPr>
          <w:spacing w:val="-16"/>
        </w:rPr>
        <w:t> </w:t>
      </w:r>
      <w:r>
        <w:rPr/>
        <w:t>más</w:t>
      </w:r>
      <w:r>
        <w:rPr>
          <w:spacing w:val="-15"/>
        </w:rPr>
        <w:t> </w:t>
      </w:r>
      <w:r>
        <w:rPr/>
        <w:t>alto</w:t>
      </w:r>
      <w:r>
        <w:rPr>
          <w:spacing w:val="-15"/>
        </w:rPr>
        <w:t> </w:t>
      </w:r>
      <w:r>
        <w:rPr/>
        <w:t>nivel</w:t>
      </w:r>
      <w:r>
        <w:rPr>
          <w:spacing w:val="-16"/>
        </w:rPr>
        <w:t> </w:t>
      </w:r>
      <w:r>
        <w:rPr/>
        <w:t>de</w:t>
      </w:r>
      <w:r>
        <w:rPr>
          <w:spacing w:val="-15"/>
        </w:rPr>
        <w:t> </w:t>
      </w:r>
      <w:r>
        <w:rPr/>
        <w:t>gobernanza</w:t>
      </w:r>
      <w:r>
        <w:rPr>
          <w:spacing w:val="-15"/>
        </w:rPr>
        <w:t> </w:t>
      </w:r>
      <w:r>
        <w:rPr/>
        <w:t>del</w:t>
      </w:r>
      <w:r>
        <w:rPr>
          <w:spacing w:val="-15"/>
        </w:rPr>
        <w:t> </w:t>
      </w:r>
      <w:r>
        <w:rPr/>
        <w:t>IMAS</w:t>
      </w:r>
      <w:r>
        <w:rPr>
          <w:spacing w:val="-16"/>
        </w:rPr>
        <w:t> </w:t>
      </w:r>
      <w:r>
        <w:rPr/>
        <w:t>hasta</w:t>
      </w:r>
      <w:r>
        <w:rPr>
          <w:spacing w:val="-15"/>
        </w:rPr>
        <w:t> </w:t>
      </w:r>
      <w:r>
        <w:rPr/>
        <w:t>el</w:t>
      </w:r>
      <w:r>
        <w:rPr>
          <w:spacing w:val="-15"/>
        </w:rPr>
        <w:t> </w:t>
      </w:r>
      <w:r>
        <w:rPr/>
        <w:t>nivel</w:t>
      </w:r>
      <w:r>
        <w:rPr>
          <w:spacing w:val="-16"/>
        </w:rPr>
        <w:t> </w:t>
      </w:r>
      <w:r>
        <w:rPr/>
        <w:t>más</w:t>
      </w:r>
      <w:r>
        <w:rPr>
          <w:spacing w:val="-15"/>
        </w:rPr>
        <w:t> </w:t>
      </w:r>
      <w:r>
        <w:rPr/>
        <w:t>operativo</w:t>
      </w:r>
      <w:r>
        <w:rPr>
          <w:spacing w:val="-15"/>
        </w:rPr>
        <w:t> </w:t>
      </w:r>
      <w:r>
        <w:rPr/>
        <w:t>tanto</w:t>
      </w:r>
      <w:r>
        <w:rPr>
          <w:spacing w:val="-12"/>
        </w:rPr>
        <w:t> </w:t>
      </w:r>
      <w:r>
        <w:rPr/>
        <w:t>regional</w:t>
      </w:r>
      <w:r>
        <w:rPr>
          <w:spacing w:val="-15"/>
        </w:rPr>
        <w:t> </w:t>
      </w:r>
      <w:r>
        <w:rPr/>
        <w:t>como territorial. Los valores serán los principios impulsores de la gobernanza institucional.</w:t>
      </w:r>
    </w:p>
    <w:p>
      <w:pPr>
        <w:pStyle w:val="BodyText"/>
        <w:spacing w:before="251"/>
        <w:ind w:left="1268" w:right="1238"/>
        <w:jc w:val="both"/>
      </w:pPr>
      <w:r>
        <w:rPr/>
        <w:t>Los valores están asociados a un código de conducta, el cual forma un vínculo entre la organización y</w:t>
      </w:r>
      <w:r>
        <w:rPr>
          <w:spacing w:val="-2"/>
        </w:rPr>
        <w:t> </w:t>
      </w:r>
      <w:r>
        <w:rPr/>
        <w:t>sus</w:t>
      </w:r>
      <w:r>
        <w:rPr>
          <w:spacing w:val="-2"/>
        </w:rPr>
        <w:t> </w:t>
      </w:r>
      <w:r>
        <w:rPr/>
        <w:t>integrantes, quienes</w:t>
      </w:r>
      <w:r>
        <w:rPr>
          <w:spacing w:val="-2"/>
        </w:rPr>
        <w:t> </w:t>
      </w:r>
      <w:r>
        <w:rPr/>
        <w:t>están</w:t>
      </w:r>
      <w:r>
        <w:rPr>
          <w:spacing w:val="-4"/>
        </w:rPr>
        <w:t> </w:t>
      </w:r>
      <w:r>
        <w:rPr/>
        <w:t>moralmente comprometidos</w:t>
      </w:r>
      <w:r>
        <w:rPr>
          <w:spacing w:val="-2"/>
        </w:rPr>
        <w:t> </w:t>
      </w:r>
      <w:r>
        <w:rPr/>
        <w:t>a cumplir con los</w:t>
      </w:r>
      <w:r>
        <w:rPr>
          <w:spacing w:val="-16"/>
        </w:rPr>
        <w:t> </w:t>
      </w:r>
      <w:r>
        <w:rPr/>
        <w:t>principios</w:t>
      </w:r>
      <w:r>
        <w:rPr>
          <w:spacing w:val="-15"/>
        </w:rPr>
        <w:t> </w:t>
      </w:r>
      <w:r>
        <w:rPr/>
        <w:t>de</w:t>
      </w:r>
      <w:r>
        <w:rPr>
          <w:spacing w:val="-15"/>
        </w:rPr>
        <w:t> </w:t>
      </w:r>
      <w:r>
        <w:rPr/>
        <w:t>la</w:t>
      </w:r>
      <w:r>
        <w:rPr>
          <w:spacing w:val="-16"/>
        </w:rPr>
        <w:t> </w:t>
      </w:r>
      <w:r>
        <w:rPr/>
        <w:t>institución.</w:t>
      </w:r>
      <w:r>
        <w:rPr>
          <w:spacing w:val="-15"/>
        </w:rPr>
        <w:t> </w:t>
      </w:r>
      <w:r>
        <w:rPr/>
        <w:t>Establecen</w:t>
      </w:r>
      <w:r>
        <w:rPr>
          <w:spacing w:val="-15"/>
        </w:rPr>
        <w:t> </w:t>
      </w:r>
      <w:r>
        <w:rPr/>
        <w:t>el</w:t>
      </w:r>
      <w:r>
        <w:rPr>
          <w:spacing w:val="-15"/>
        </w:rPr>
        <w:t> </w:t>
      </w:r>
      <w:r>
        <w:rPr/>
        <w:t>marco</w:t>
      </w:r>
      <w:r>
        <w:rPr>
          <w:spacing w:val="-16"/>
        </w:rPr>
        <w:t> </w:t>
      </w:r>
      <w:r>
        <w:rPr/>
        <w:t>ético</w:t>
      </w:r>
      <w:r>
        <w:rPr>
          <w:spacing w:val="-15"/>
        </w:rPr>
        <w:t> </w:t>
      </w:r>
      <w:r>
        <w:rPr/>
        <w:t>necesario</w:t>
      </w:r>
      <w:r>
        <w:rPr>
          <w:spacing w:val="-15"/>
        </w:rPr>
        <w:t> </w:t>
      </w:r>
      <w:r>
        <w:rPr/>
        <w:t>que</w:t>
      </w:r>
      <w:r>
        <w:rPr>
          <w:spacing w:val="-16"/>
        </w:rPr>
        <w:t> </w:t>
      </w:r>
      <w:r>
        <w:rPr/>
        <w:t>guíe</w:t>
      </w:r>
      <w:r>
        <w:rPr>
          <w:spacing w:val="-15"/>
        </w:rPr>
        <w:t> </w:t>
      </w:r>
      <w:r>
        <w:rPr/>
        <w:t>las</w:t>
      </w:r>
      <w:r>
        <w:rPr>
          <w:spacing w:val="-15"/>
        </w:rPr>
        <w:t> </w:t>
      </w:r>
      <w:r>
        <w:rPr/>
        <w:t>relaciones entre el personal y las estructuras institucionales del IMAS.</w:t>
      </w:r>
    </w:p>
    <w:p>
      <w:pPr>
        <w:pStyle w:val="BodyText"/>
        <w:spacing w:before="2"/>
      </w:pPr>
    </w:p>
    <w:p>
      <w:pPr>
        <w:pStyle w:val="BodyText"/>
        <w:spacing w:before="1"/>
        <w:ind w:left="1268" w:right="1241"/>
        <w:jc w:val="both"/>
      </w:pPr>
      <w:r>
        <w:rPr/>
        <w:t>Los</w:t>
      </w:r>
      <w:r>
        <w:rPr>
          <w:spacing w:val="-16"/>
        </w:rPr>
        <w:t> </w:t>
      </w:r>
      <w:r>
        <w:rPr/>
        <w:t>valores</w:t>
      </w:r>
      <w:r>
        <w:rPr>
          <w:spacing w:val="-15"/>
        </w:rPr>
        <w:t> </w:t>
      </w:r>
      <w:r>
        <w:rPr/>
        <w:t>que</w:t>
      </w:r>
      <w:r>
        <w:rPr>
          <w:spacing w:val="-15"/>
        </w:rPr>
        <w:t> </w:t>
      </w:r>
      <w:r>
        <w:rPr/>
        <w:t>a</w:t>
      </w:r>
      <w:r>
        <w:rPr>
          <w:spacing w:val="-16"/>
        </w:rPr>
        <w:t> </w:t>
      </w:r>
      <w:r>
        <w:rPr/>
        <w:t>continuación</w:t>
      </w:r>
      <w:r>
        <w:rPr>
          <w:spacing w:val="-15"/>
        </w:rPr>
        <w:t> </w:t>
      </w:r>
      <w:r>
        <w:rPr/>
        <w:t>se</w:t>
      </w:r>
      <w:r>
        <w:rPr>
          <w:spacing w:val="-15"/>
        </w:rPr>
        <w:t> </w:t>
      </w:r>
      <w:r>
        <w:rPr/>
        <w:t>presentan,</w:t>
      </w:r>
      <w:r>
        <w:rPr>
          <w:spacing w:val="-15"/>
        </w:rPr>
        <w:t> </w:t>
      </w:r>
      <w:r>
        <w:rPr/>
        <w:t>fueron</w:t>
      </w:r>
      <w:r>
        <w:rPr>
          <w:spacing w:val="-16"/>
        </w:rPr>
        <w:t> </w:t>
      </w:r>
      <w:r>
        <w:rPr/>
        <w:t>revisados</w:t>
      </w:r>
      <w:r>
        <w:rPr>
          <w:spacing w:val="-15"/>
        </w:rPr>
        <w:t> </w:t>
      </w:r>
      <w:r>
        <w:rPr/>
        <w:t>dentro</w:t>
      </w:r>
      <w:r>
        <w:rPr>
          <w:spacing w:val="-15"/>
        </w:rPr>
        <w:t> </w:t>
      </w:r>
      <w:r>
        <w:rPr/>
        <w:t>del</w:t>
      </w:r>
      <w:r>
        <w:rPr>
          <w:spacing w:val="-16"/>
        </w:rPr>
        <w:t> </w:t>
      </w:r>
      <w:r>
        <w:rPr/>
        <w:t>replanteamiento del</w:t>
      </w:r>
      <w:r>
        <w:rPr>
          <w:spacing w:val="-12"/>
        </w:rPr>
        <w:t> </w:t>
      </w:r>
      <w:r>
        <w:rPr/>
        <w:t>marco</w:t>
      </w:r>
      <w:r>
        <w:rPr>
          <w:spacing w:val="-9"/>
        </w:rPr>
        <w:t> </w:t>
      </w:r>
      <w:r>
        <w:rPr/>
        <w:t>filosófico</w:t>
      </w:r>
      <w:r>
        <w:rPr>
          <w:spacing w:val="-4"/>
        </w:rPr>
        <w:t> </w:t>
      </w:r>
      <w:r>
        <w:rPr/>
        <w:t>del</w:t>
      </w:r>
      <w:r>
        <w:rPr>
          <w:spacing w:val="-7"/>
        </w:rPr>
        <w:t> </w:t>
      </w:r>
      <w:r>
        <w:rPr/>
        <w:t>PEI-2023-2028,</w:t>
      </w:r>
      <w:r>
        <w:rPr>
          <w:spacing w:val="-5"/>
        </w:rPr>
        <w:t> </w:t>
      </w:r>
      <w:r>
        <w:rPr/>
        <w:t>como</w:t>
      </w:r>
      <w:r>
        <w:rPr>
          <w:spacing w:val="-9"/>
        </w:rPr>
        <w:t> </w:t>
      </w:r>
      <w:r>
        <w:rPr/>
        <w:t>parte</w:t>
      </w:r>
      <w:r>
        <w:rPr>
          <w:spacing w:val="-4"/>
        </w:rPr>
        <w:t> </w:t>
      </w:r>
      <w:r>
        <w:rPr/>
        <w:t>de</w:t>
      </w:r>
      <w:r>
        <w:rPr>
          <w:spacing w:val="-4"/>
        </w:rPr>
        <w:t> </w:t>
      </w:r>
      <w:r>
        <w:rPr/>
        <w:t>las</w:t>
      </w:r>
      <w:r>
        <w:rPr>
          <w:spacing w:val="-6"/>
        </w:rPr>
        <w:t> </w:t>
      </w:r>
      <w:r>
        <w:rPr/>
        <w:t>sesiones</w:t>
      </w:r>
      <w:r>
        <w:rPr>
          <w:spacing w:val="-6"/>
        </w:rPr>
        <w:t> </w:t>
      </w:r>
      <w:r>
        <w:rPr/>
        <w:t>de</w:t>
      </w:r>
      <w:r>
        <w:rPr>
          <w:spacing w:val="-4"/>
        </w:rPr>
        <w:t> </w:t>
      </w:r>
      <w:r>
        <w:rPr/>
        <w:t>trabajo</w:t>
      </w:r>
      <w:r>
        <w:rPr>
          <w:spacing w:val="-4"/>
        </w:rPr>
        <w:t> </w:t>
      </w:r>
      <w:r>
        <w:rPr/>
        <w:t>realizadas en los diferentes talleres, tanto del nivel regional como central.</w:t>
      </w:r>
    </w:p>
    <w:p>
      <w:pPr>
        <w:pStyle w:val="BodyText"/>
      </w:pPr>
    </w:p>
    <w:p>
      <w:pPr>
        <w:pStyle w:val="BodyText"/>
        <w:spacing w:before="1"/>
        <w:ind w:left="1268" w:right="1249"/>
        <w:jc w:val="both"/>
      </w:pPr>
      <w:r>
        <w:rPr>
          <w:b/>
        </w:rPr>
        <w:t>Compromiso</w:t>
      </w:r>
      <w:r>
        <w:rPr>
          <w:b/>
          <w:spacing w:val="-16"/>
        </w:rPr>
        <w:t> </w:t>
      </w:r>
      <w:r>
        <w:rPr>
          <w:b/>
        </w:rPr>
        <w:t>y</w:t>
      </w:r>
      <w:r>
        <w:rPr>
          <w:b/>
          <w:spacing w:val="-15"/>
        </w:rPr>
        <w:t> </w:t>
      </w:r>
      <w:r>
        <w:rPr>
          <w:b/>
        </w:rPr>
        <w:t>calidad:</w:t>
      </w:r>
      <w:r>
        <w:rPr>
          <w:b/>
          <w:spacing w:val="-15"/>
        </w:rPr>
        <w:t> </w:t>
      </w:r>
      <w:r>
        <w:rPr/>
        <w:t>actitud</w:t>
      </w:r>
      <w:r>
        <w:rPr>
          <w:spacing w:val="-16"/>
        </w:rPr>
        <w:t> </w:t>
      </w:r>
      <w:r>
        <w:rPr/>
        <w:t>positiva</w:t>
      </w:r>
      <w:r>
        <w:rPr>
          <w:spacing w:val="-15"/>
        </w:rPr>
        <w:t> </w:t>
      </w:r>
      <w:r>
        <w:rPr/>
        <w:t>y</w:t>
      </w:r>
      <w:r>
        <w:rPr>
          <w:spacing w:val="-15"/>
        </w:rPr>
        <w:t> </w:t>
      </w:r>
      <w:r>
        <w:rPr/>
        <w:t>dedicada</w:t>
      </w:r>
      <w:r>
        <w:rPr>
          <w:spacing w:val="-15"/>
        </w:rPr>
        <w:t> </w:t>
      </w:r>
      <w:r>
        <w:rPr/>
        <w:t>del</w:t>
      </w:r>
      <w:r>
        <w:rPr>
          <w:spacing w:val="-16"/>
        </w:rPr>
        <w:t> </w:t>
      </w:r>
      <w:r>
        <w:rPr/>
        <w:t>recurso</w:t>
      </w:r>
      <w:r>
        <w:rPr>
          <w:spacing w:val="-15"/>
        </w:rPr>
        <w:t> </w:t>
      </w:r>
      <w:r>
        <w:rPr/>
        <w:t>humano</w:t>
      </w:r>
      <w:r>
        <w:rPr>
          <w:spacing w:val="-12"/>
        </w:rPr>
        <w:t> </w:t>
      </w:r>
      <w:r>
        <w:rPr/>
        <w:t>institucional,</w:t>
      </w:r>
      <w:r>
        <w:rPr>
          <w:spacing w:val="-15"/>
        </w:rPr>
        <w:t> </w:t>
      </w:r>
      <w:r>
        <w:rPr/>
        <w:t>con la consecución de la excelencia del servicio que se presta a la población objetivo en atención de sus necesidades.</w:t>
      </w:r>
    </w:p>
    <w:p>
      <w:pPr>
        <w:pStyle w:val="BodyText"/>
        <w:spacing w:before="3"/>
      </w:pPr>
    </w:p>
    <w:p>
      <w:pPr>
        <w:pStyle w:val="BodyText"/>
        <w:spacing w:line="237" w:lineRule="auto"/>
        <w:ind w:left="1268" w:right="1251"/>
        <w:jc w:val="both"/>
      </w:pPr>
      <w:r>
        <w:rPr>
          <w:b/>
        </w:rPr>
        <w:t>Equidad: </w:t>
      </w:r>
      <w:r>
        <w:rPr/>
        <w:t>atender las necesidades e intereses de las personas de acuerdo con sus condiciones y diferencias, especialmente de aquellas que están en desventaja social.</w:t>
      </w:r>
    </w:p>
    <w:p>
      <w:pPr>
        <w:pStyle w:val="BodyText"/>
        <w:spacing w:before="4"/>
      </w:pPr>
    </w:p>
    <w:p>
      <w:pPr>
        <w:pStyle w:val="BodyText"/>
        <w:spacing w:line="237" w:lineRule="auto"/>
        <w:ind w:left="1268" w:right="1254"/>
        <w:jc w:val="both"/>
      </w:pPr>
      <w:r>
        <w:rPr>
          <w:b/>
        </w:rPr>
        <w:t>Igualdad: </w:t>
      </w:r>
      <w:r>
        <w:rPr/>
        <w:t>proporcionar un trato justo y equitativo</w:t>
      </w:r>
      <w:r>
        <w:rPr>
          <w:spacing w:val="-1"/>
        </w:rPr>
        <w:t> </w:t>
      </w:r>
      <w:r>
        <w:rPr/>
        <w:t>a todas las personas, sin tener ningún tipo de discriminación por sus diferencias.</w:t>
      </w:r>
    </w:p>
    <w:p>
      <w:pPr>
        <w:pStyle w:val="BodyText"/>
        <w:spacing w:before="3"/>
      </w:pPr>
    </w:p>
    <w:p>
      <w:pPr>
        <w:pStyle w:val="BodyText"/>
        <w:ind w:left="1268" w:right="1249"/>
        <w:jc w:val="both"/>
      </w:pPr>
      <w:r>
        <w:rPr>
          <w:b/>
        </w:rPr>
        <w:t>Innovación: </w:t>
      </w:r>
      <w:r>
        <w:rPr/>
        <w:t>capacidad para identificar e implementar nuevos instrumentos, métodos y tecnologías, que contribuyan a fortalecer la capacidad de trabajo de la institución, ofreciendo bienes y servicios eficientes, de calidad e inclusivos en el marco del valor público que debe atender el IMAS.</w:t>
      </w:r>
    </w:p>
    <w:p>
      <w:pPr>
        <w:pStyle w:val="BodyText"/>
        <w:spacing w:before="251"/>
        <w:ind w:left="1268" w:right="1252"/>
        <w:jc w:val="both"/>
      </w:pPr>
      <w:r>
        <w:rPr>
          <w:b/>
        </w:rPr>
        <w:t>Integralidad:</w:t>
      </w:r>
      <w:r>
        <w:rPr>
          <w:b/>
          <w:spacing w:val="-3"/>
        </w:rPr>
        <w:t> </w:t>
      </w:r>
      <w:r>
        <w:rPr/>
        <w:t>gestión</w:t>
      </w:r>
      <w:r>
        <w:rPr>
          <w:spacing w:val="-2"/>
        </w:rPr>
        <w:t> </w:t>
      </w:r>
      <w:r>
        <w:rPr/>
        <w:t>orientada</w:t>
      </w:r>
      <w:r>
        <w:rPr>
          <w:spacing w:val="-2"/>
        </w:rPr>
        <w:t> </w:t>
      </w:r>
      <w:r>
        <w:rPr/>
        <w:t>hacia</w:t>
      </w:r>
      <w:r>
        <w:rPr>
          <w:spacing w:val="-2"/>
        </w:rPr>
        <w:t> </w:t>
      </w:r>
      <w:r>
        <w:rPr/>
        <w:t>un</w:t>
      </w:r>
      <w:r>
        <w:rPr>
          <w:spacing w:val="-2"/>
        </w:rPr>
        <w:t> </w:t>
      </w:r>
      <w:r>
        <w:rPr/>
        <w:t>abordaje</w:t>
      </w:r>
      <w:r>
        <w:rPr>
          <w:spacing w:val="-2"/>
        </w:rPr>
        <w:t> </w:t>
      </w:r>
      <w:r>
        <w:rPr/>
        <w:t>comprehensivo y</w:t>
      </w:r>
      <w:r>
        <w:rPr>
          <w:spacing w:val="-2"/>
        </w:rPr>
        <w:t> </w:t>
      </w:r>
      <w:r>
        <w:rPr/>
        <w:t>multidimensional</w:t>
      </w:r>
      <w:r>
        <w:rPr>
          <w:spacing w:val="-3"/>
        </w:rPr>
        <w:t> </w:t>
      </w:r>
      <w:r>
        <w:rPr/>
        <w:t>de los fenómenos sociales</w:t>
      </w:r>
      <w:r>
        <w:rPr>
          <w:spacing w:val="-2"/>
        </w:rPr>
        <w:t> </w:t>
      </w:r>
      <w:r>
        <w:rPr/>
        <w:t>que determinan las condiciones de vida</w:t>
      </w:r>
      <w:r>
        <w:rPr>
          <w:spacing w:val="-2"/>
        </w:rPr>
        <w:t> </w:t>
      </w:r>
      <w:r>
        <w:rPr/>
        <w:t>de la población objetivo del IMAS.</w:t>
      </w:r>
    </w:p>
    <w:p>
      <w:pPr>
        <w:pStyle w:val="BodyText"/>
        <w:spacing w:before="1"/>
      </w:pPr>
    </w:p>
    <w:p>
      <w:pPr>
        <w:pStyle w:val="BodyText"/>
        <w:ind w:left="1268" w:right="1251"/>
        <w:jc w:val="both"/>
      </w:pPr>
      <w:r>
        <w:rPr>
          <w:b/>
        </w:rPr>
        <w:t>Solidaridad: </w:t>
      </w:r>
      <w:r>
        <w:rPr/>
        <w:t>actuar en favor de los demás, especialmente ante las dificultades o necesidades, promoviendo la cooperación y empatía y aportando a la construcción de una institución más resiliente y equitativa.</w:t>
      </w:r>
    </w:p>
    <w:p>
      <w:pPr>
        <w:pStyle w:val="BodyText"/>
        <w:spacing w:after="0"/>
        <w:jc w:val="both"/>
        <w:sectPr>
          <w:pgSz w:w="12240" w:h="15840"/>
          <w:pgMar w:header="0" w:footer="1101" w:top="640" w:bottom="1300" w:left="720" w:right="360"/>
        </w:sectPr>
      </w:pPr>
    </w:p>
    <w:p>
      <w:pPr>
        <w:pStyle w:val="BodyText"/>
        <w:spacing w:before="80"/>
        <w:ind w:left="1268" w:right="1251"/>
        <w:jc w:val="both"/>
      </w:pPr>
      <w:r>
        <w:rPr>
          <w:b/>
        </w:rPr>
        <w:t>Transparencia</w:t>
      </w:r>
      <w:r>
        <w:rPr/>
        <w:t>:</w:t>
      </w:r>
      <w:r>
        <w:rPr>
          <w:spacing w:val="-6"/>
        </w:rPr>
        <w:t> </w:t>
      </w:r>
      <w:r>
        <w:rPr/>
        <w:t>actuación</w:t>
      </w:r>
      <w:r>
        <w:rPr>
          <w:spacing w:val="-5"/>
        </w:rPr>
        <w:t> </w:t>
      </w:r>
      <w:r>
        <w:rPr/>
        <w:t>sujeta</w:t>
      </w:r>
      <w:r>
        <w:rPr>
          <w:spacing w:val="-5"/>
        </w:rPr>
        <w:t> </w:t>
      </w:r>
      <w:r>
        <w:rPr/>
        <w:t>a</w:t>
      </w:r>
      <w:r>
        <w:rPr>
          <w:spacing w:val="-5"/>
        </w:rPr>
        <w:t> </w:t>
      </w:r>
      <w:r>
        <w:rPr/>
        <w:t>la</w:t>
      </w:r>
      <w:r>
        <w:rPr>
          <w:spacing w:val="-5"/>
        </w:rPr>
        <w:t> </w:t>
      </w:r>
      <w:r>
        <w:rPr/>
        <w:t>ética,</w:t>
      </w:r>
      <w:r>
        <w:rPr>
          <w:spacing w:val="-6"/>
        </w:rPr>
        <w:t> </w:t>
      </w:r>
      <w:r>
        <w:rPr/>
        <w:t>la</w:t>
      </w:r>
      <w:r>
        <w:rPr>
          <w:spacing w:val="-1"/>
        </w:rPr>
        <w:t> </w:t>
      </w:r>
      <w:r>
        <w:rPr/>
        <w:t>legalidad</w:t>
      </w:r>
      <w:r>
        <w:rPr>
          <w:spacing w:val="-1"/>
        </w:rPr>
        <w:t> </w:t>
      </w:r>
      <w:r>
        <w:rPr/>
        <w:t>y</w:t>
      </w:r>
      <w:r>
        <w:rPr>
          <w:spacing w:val="-7"/>
        </w:rPr>
        <w:t> </w:t>
      </w:r>
      <w:r>
        <w:rPr/>
        <w:t>la</w:t>
      </w:r>
      <w:r>
        <w:rPr>
          <w:spacing w:val="-5"/>
        </w:rPr>
        <w:t> </w:t>
      </w:r>
      <w:r>
        <w:rPr/>
        <w:t>técnica</w:t>
      </w:r>
      <w:r>
        <w:rPr>
          <w:spacing w:val="-5"/>
        </w:rPr>
        <w:t> </w:t>
      </w:r>
      <w:r>
        <w:rPr/>
        <w:t>garantiza</w:t>
      </w:r>
      <w:r>
        <w:rPr>
          <w:spacing w:val="-5"/>
        </w:rPr>
        <w:t> </w:t>
      </w:r>
      <w:r>
        <w:rPr/>
        <w:t>claridad</w:t>
      </w:r>
      <w:r>
        <w:rPr>
          <w:spacing w:val="-5"/>
        </w:rPr>
        <w:t> </w:t>
      </w:r>
      <w:r>
        <w:rPr/>
        <w:t>en las acciones y decisiones, libre acceso a la información y rendición de cuentas.</w:t>
      </w:r>
    </w:p>
    <w:p>
      <w:pPr>
        <w:pStyle w:val="BodyText"/>
        <w:spacing w:before="24"/>
      </w:pPr>
    </w:p>
    <w:p>
      <w:pPr>
        <w:pStyle w:val="Heading1"/>
        <w:numPr>
          <w:ilvl w:val="1"/>
          <w:numId w:val="29"/>
        </w:numPr>
        <w:tabs>
          <w:tab w:pos="2534" w:val="left" w:leader="none"/>
        </w:tabs>
        <w:spacing w:line="240" w:lineRule="auto" w:before="0" w:after="0"/>
        <w:ind w:left="2534" w:right="0" w:hanging="402"/>
        <w:jc w:val="left"/>
      </w:pPr>
      <w:bookmarkStart w:name="_bookmark58" w:id="59"/>
      <w:bookmarkEnd w:id="59"/>
      <w:r>
        <w:rPr>
          <w:b w:val="0"/>
        </w:rPr>
      </w:r>
      <w:r>
        <w:rPr/>
        <w:t>Factores</w:t>
      </w:r>
      <w:r>
        <w:rPr>
          <w:spacing w:val="-1"/>
        </w:rPr>
        <w:t> </w:t>
      </w:r>
      <w:r>
        <w:rPr/>
        <w:t>Claves</w:t>
      </w:r>
      <w:r>
        <w:rPr>
          <w:spacing w:val="-6"/>
        </w:rPr>
        <w:t> </w:t>
      </w:r>
      <w:r>
        <w:rPr/>
        <w:t>de </w:t>
      </w:r>
      <w:r>
        <w:rPr>
          <w:spacing w:val="-2"/>
        </w:rPr>
        <w:t>Éxito</w:t>
      </w:r>
    </w:p>
    <w:p>
      <w:pPr>
        <w:pStyle w:val="BodyText"/>
        <w:rPr>
          <w:b/>
          <w:sz w:val="24"/>
        </w:rPr>
      </w:pPr>
    </w:p>
    <w:p>
      <w:pPr>
        <w:pStyle w:val="BodyText"/>
        <w:ind w:left="1268" w:right="1241"/>
        <w:jc w:val="both"/>
      </w:pPr>
      <w:r>
        <w:rPr/>
        <w:t>Los factores claves de éxito para la formulación y ejecución de los ejes y acciones estratégicas</w:t>
      </w:r>
      <w:r>
        <w:rPr>
          <w:spacing w:val="-2"/>
        </w:rPr>
        <w:t> </w:t>
      </w:r>
      <w:r>
        <w:rPr/>
        <w:t>del</w:t>
      </w:r>
      <w:r>
        <w:rPr>
          <w:spacing w:val="-3"/>
        </w:rPr>
        <w:t> </w:t>
      </w:r>
      <w:r>
        <w:rPr/>
        <w:t>PEI</w:t>
      </w:r>
      <w:r>
        <w:rPr>
          <w:spacing w:val="-1"/>
        </w:rPr>
        <w:t> </w:t>
      </w:r>
      <w:r>
        <w:rPr/>
        <w:t>se</w:t>
      </w:r>
      <w:r>
        <w:rPr>
          <w:spacing w:val="-1"/>
        </w:rPr>
        <w:t> </w:t>
      </w:r>
      <w:r>
        <w:rPr/>
        <w:t>encuentran</w:t>
      </w:r>
      <w:r>
        <w:rPr>
          <w:spacing w:val="-5"/>
        </w:rPr>
        <w:t> </w:t>
      </w:r>
      <w:r>
        <w:rPr/>
        <w:t>definidos</w:t>
      </w:r>
      <w:r>
        <w:rPr>
          <w:spacing w:val="-7"/>
        </w:rPr>
        <w:t> </w:t>
      </w:r>
      <w:r>
        <w:rPr/>
        <w:t>en</w:t>
      </w:r>
      <w:r>
        <w:rPr>
          <w:spacing w:val="-1"/>
        </w:rPr>
        <w:t> </w:t>
      </w:r>
      <w:r>
        <w:rPr/>
        <w:t>los</w:t>
      </w:r>
      <w:r>
        <w:rPr>
          <w:spacing w:val="-2"/>
        </w:rPr>
        <w:t> </w:t>
      </w:r>
      <w:r>
        <w:rPr/>
        <w:t>siguientes</w:t>
      </w:r>
      <w:r>
        <w:rPr>
          <w:spacing w:val="-2"/>
        </w:rPr>
        <w:t> </w:t>
      </w:r>
      <w:r>
        <w:rPr/>
        <w:t>enunciados,</w:t>
      </w:r>
      <w:r>
        <w:rPr>
          <w:spacing w:val="-1"/>
        </w:rPr>
        <w:t> </w:t>
      </w:r>
      <w:r>
        <w:rPr/>
        <w:t>los</w:t>
      </w:r>
      <w:r>
        <w:rPr>
          <w:spacing w:val="-2"/>
        </w:rPr>
        <w:t> </w:t>
      </w:r>
      <w:r>
        <w:rPr/>
        <w:t>cuales</w:t>
      </w:r>
      <w:r>
        <w:rPr>
          <w:spacing w:val="-2"/>
        </w:rPr>
        <w:t> </w:t>
      </w:r>
      <w:r>
        <w:rPr/>
        <w:t>se constituyeron</w:t>
      </w:r>
      <w:r>
        <w:rPr>
          <w:spacing w:val="-6"/>
        </w:rPr>
        <w:t> </w:t>
      </w:r>
      <w:r>
        <w:rPr/>
        <w:t>en</w:t>
      </w:r>
      <w:r>
        <w:rPr>
          <w:spacing w:val="-2"/>
        </w:rPr>
        <w:t> </w:t>
      </w:r>
      <w:r>
        <w:rPr/>
        <w:t>lineamientos</w:t>
      </w:r>
      <w:r>
        <w:rPr>
          <w:spacing w:val="-3"/>
        </w:rPr>
        <w:t> </w:t>
      </w:r>
      <w:r>
        <w:rPr/>
        <w:t>aprobados</w:t>
      </w:r>
      <w:r>
        <w:rPr>
          <w:spacing w:val="-3"/>
        </w:rPr>
        <w:t> </w:t>
      </w:r>
      <w:r>
        <w:rPr/>
        <w:t>en</w:t>
      </w:r>
      <w:r>
        <w:rPr>
          <w:spacing w:val="-2"/>
        </w:rPr>
        <w:t> </w:t>
      </w:r>
      <w:r>
        <w:rPr/>
        <w:t>sesión</w:t>
      </w:r>
      <w:r>
        <w:rPr>
          <w:spacing w:val="-2"/>
        </w:rPr>
        <w:t> </w:t>
      </w:r>
      <w:r>
        <w:rPr/>
        <w:t>de</w:t>
      </w:r>
      <w:r>
        <w:rPr>
          <w:spacing w:val="-2"/>
        </w:rPr>
        <w:t> </w:t>
      </w:r>
      <w:r>
        <w:rPr/>
        <w:t>Consejo</w:t>
      </w:r>
      <w:r>
        <w:rPr>
          <w:spacing w:val="-2"/>
        </w:rPr>
        <w:t> </w:t>
      </w:r>
      <w:r>
        <w:rPr/>
        <w:t>Directivo</w:t>
      </w:r>
      <w:r>
        <w:rPr>
          <w:spacing w:val="-2"/>
        </w:rPr>
        <w:t> </w:t>
      </w:r>
      <w:r>
        <w:rPr/>
        <w:t>de</w:t>
      </w:r>
      <w:r>
        <w:rPr>
          <w:spacing w:val="-2"/>
        </w:rPr>
        <w:t> </w:t>
      </w:r>
      <w:r>
        <w:rPr/>
        <w:t>fecha</w:t>
      </w:r>
      <w:r>
        <w:rPr>
          <w:spacing w:val="-6"/>
        </w:rPr>
        <w:t> </w:t>
      </w:r>
      <w:r>
        <w:rPr/>
        <w:t>19 de enero del 2023, Acta 02-01-2023 acuerdo CD N° 07-01-2023.</w:t>
      </w:r>
    </w:p>
    <w:p>
      <w:pPr>
        <w:pStyle w:val="BodyText"/>
        <w:spacing w:before="4"/>
      </w:pPr>
    </w:p>
    <w:p>
      <w:pPr>
        <w:pStyle w:val="ListParagraph"/>
        <w:numPr>
          <w:ilvl w:val="0"/>
          <w:numId w:val="31"/>
        </w:numPr>
        <w:tabs>
          <w:tab w:pos="1988" w:val="left" w:leader="none"/>
        </w:tabs>
        <w:spacing w:line="237" w:lineRule="auto" w:before="1" w:after="0"/>
        <w:ind w:left="1988" w:right="1253" w:hanging="360"/>
        <w:jc w:val="both"/>
        <w:rPr>
          <w:sz w:val="22"/>
        </w:rPr>
      </w:pPr>
      <w:r>
        <w:rPr>
          <w:sz w:val="22"/>
        </w:rPr>
        <w:t>El IMAS debe actuar bajo un enfoque de territorialidad y descentralización y su planificación debe considerar las particularidades de cada región.</w:t>
      </w:r>
    </w:p>
    <w:p>
      <w:pPr>
        <w:pStyle w:val="BodyText"/>
        <w:spacing w:before="4"/>
      </w:pPr>
    </w:p>
    <w:p>
      <w:pPr>
        <w:pStyle w:val="ListParagraph"/>
        <w:numPr>
          <w:ilvl w:val="0"/>
          <w:numId w:val="31"/>
        </w:numPr>
        <w:tabs>
          <w:tab w:pos="1988" w:val="left" w:leader="none"/>
        </w:tabs>
        <w:spacing w:line="237" w:lineRule="auto" w:before="1" w:after="0"/>
        <w:ind w:left="1988" w:right="1246" w:hanging="360"/>
        <w:jc w:val="both"/>
        <w:rPr>
          <w:sz w:val="22"/>
        </w:rPr>
      </w:pPr>
      <w:r>
        <w:rPr>
          <w:sz w:val="22"/>
        </w:rPr>
        <w:t>Ejercicio</w:t>
      </w:r>
      <w:r>
        <w:rPr>
          <w:spacing w:val="-10"/>
          <w:sz w:val="22"/>
        </w:rPr>
        <w:t> </w:t>
      </w:r>
      <w:r>
        <w:rPr>
          <w:sz w:val="22"/>
        </w:rPr>
        <w:t>de</w:t>
      </w:r>
      <w:r>
        <w:rPr>
          <w:spacing w:val="-10"/>
          <w:sz w:val="22"/>
        </w:rPr>
        <w:t> </w:t>
      </w:r>
      <w:r>
        <w:rPr>
          <w:sz w:val="22"/>
        </w:rPr>
        <w:t>formulación</w:t>
      </w:r>
      <w:r>
        <w:rPr>
          <w:spacing w:val="-10"/>
          <w:sz w:val="22"/>
        </w:rPr>
        <w:t> </w:t>
      </w:r>
      <w:r>
        <w:rPr>
          <w:sz w:val="22"/>
        </w:rPr>
        <w:t>y</w:t>
      </w:r>
      <w:r>
        <w:rPr>
          <w:spacing w:val="-12"/>
          <w:sz w:val="22"/>
        </w:rPr>
        <w:t> </w:t>
      </w:r>
      <w:r>
        <w:rPr>
          <w:sz w:val="22"/>
        </w:rPr>
        <w:t>ejecución</w:t>
      </w:r>
      <w:r>
        <w:rPr>
          <w:spacing w:val="-10"/>
          <w:sz w:val="22"/>
        </w:rPr>
        <w:t> </w:t>
      </w:r>
      <w:r>
        <w:rPr>
          <w:sz w:val="22"/>
        </w:rPr>
        <w:t>del</w:t>
      </w:r>
      <w:r>
        <w:rPr>
          <w:spacing w:val="-13"/>
          <w:sz w:val="22"/>
        </w:rPr>
        <w:t> </w:t>
      </w:r>
      <w:r>
        <w:rPr>
          <w:sz w:val="22"/>
        </w:rPr>
        <w:t>PEI</w:t>
      </w:r>
      <w:r>
        <w:rPr>
          <w:spacing w:val="-11"/>
          <w:sz w:val="22"/>
        </w:rPr>
        <w:t> </w:t>
      </w:r>
      <w:r>
        <w:rPr>
          <w:sz w:val="22"/>
        </w:rPr>
        <w:t>debe</w:t>
      </w:r>
      <w:r>
        <w:rPr>
          <w:spacing w:val="-10"/>
          <w:sz w:val="22"/>
        </w:rPr>
        <w:t> </w:t>
      </w:r>
      <w:r>
        <w:rPr>
          <w:sz w:val="22"/>
        </w:rPr>
        <w:t>ser</w:t>
      </w:r>
      <w:r>
        <w:rPr>
          <w:spacing w:val="-9"/>
          <w:sz w:val="22"/>
        </w:rPr>
        <w:t> </w:t>
      </w:r>
      <w:r>
        <w:rPr>
          <w:sz w:val="22"/>
        </w:rPr>
        <w:t>auténticamente</w:t>
      </w:r>
      <w:r>
        <w:rPr>
          <w:spacing w:val="-10"/>
          <w:sz w:val="22"/>
        </w:rPr>
        <w:t> </w:t>
      </w:r>
      <w:r>
        <w:rPr>
          <w:sz w:val="22"/>
        </w:rPr>
        <w:t>participativo y no simplemente un proceso de consulta.</w:t>
      </w:r>
    </w:p>
    <w:p>
      <w:pPr>
        <w:pStyle w:val="BodyText"/>
        <w:spacing w:before="4"/>
      </w:pPr>
    </w:p>
    <w:p>
      <w:pPr>
        <w:pStyle w:val="ListParagraph"/>
        <w:numPr>
          <w:ilvl w:val="0"/>
          <w:numId w:val="31"/>
        </w:numPr>
        <w:tabs>
          <w:tab w:pos="1988" w:val="left" w:leader="none"/>
        </w:tabs>
        <w:spacing w:line="237" w:lineRule="auto" w:before="0" w:after="0"/>
        <w:ind w:left="1988" w:right="1252" w:hanging="360"/>
        <w:jc w:val="both"/>
        <w:rPr>
          <w:sz w:val="22"/>
        </w:rPr>
      </w:pPr>
      <w:r>
        <w:rPr>
          <w:sz w:val="22"/>
        </w:rPr>
        <w:t>La institución debe fortalecer la innovación tecnológica que facilite su gestión y entrega oportuna de servicios.</w:t>
      </w:r>
    </w:p>
    <w:p>
      <w:pPr>
        <w:pStyle w:val="BodyText"/>
        <w:spacing w:before="3"/>
      </w:pPr>
    </w:p>
    <w:p>
      <w:pPr>
        <w:pStyle w:val="ListParagraph"/>
        <w:numPr>
          <w:ilvl w:val="0"/>
          <w:numId w:val="31"/>
        </w:numPr>
        <w:tabs>
          <w:tab w:pos="1988" w:val="left" w:leader="none"/>
        </w:tabs>
        <w:spacing w:line="240" w:lineRule="auto" w:before="0" w:after="0"/>
        <w:ind w:left="1988" w:right="1251" w:hanging="360"/>
        <w:jc w:val="left"/>
        <w:rPr>
          <w:sz w:val="22"/>
        </w:rPr>
      </w:pPr>
      <w:r>
        <w:rPr>
          <w:sz w:val="22"/>
        </w:rPr>
        <w:t>La gestión institucional debe estar basada en la Gestión para Resultados en el Desarrollo (GpRD) y de medición de la contribución al valor público.</w:t>
      </w:r>
    </w:p>
    <w:p>
      <w:pPr>
        <w:pStyle w:val="ListParagraph"/>
        <w:numPr>
          <w:ilvl w:val="0"/>
          <w:numId w:val="31"/>
        </w:numPr>
        <w:tabs>
          <w:tab w:pos="1988" w:val="left" w:leader="none"/>
        </w:tabs>
        <w:spacing w:line="240" w:lineRule="auto" w:before="253" w:after="0"/>
        <w:ind w:left="1988" w:right="1255" w:hanging="360"/>
        <w:jc w:val="left"/>
        <w:rPr>
          <w:sz w:val="22"/>
        </w:rPr>
      </w:pPr>
      <w:r>
        <w:rPr>
          <w:sz w:val="22"/>
        </w:rPr>
        <w:t>El</w:t>
      </w:r>
      <w:r>
        <w:rPr>
          <w:spacing w:val="40"/>
          <w:sz w:val="22"/>
        </w:rPr>
        <w:t> </w:t>
      </w:r>
      <w:r>
        <w:rPr>
          <w:sz w:val="22"/>
        </w:rPr>
        <w:t>modelo</w:t>
      </w:r>
      <w:r>
        <w:rPr>
          <w:spacing w:val="40"/>
          <w:sz w:val="22"/>
        </w:rPr>
        <w:t> </w:t>
      </w:r>
      <w:r>
        <w:rPr>
          <w:sz w:val="22"/>
        </w:rPr>
        <w:t>de</w:t>
      </w:r>
      <w:r>
        <w:rPr>
          <w:spacing w:val="40"/>
          <w:sz w:val="22"/>
        </w:rPr>
        <w:t> </w:t>
      </w:r>
      <w:r>
        <w:rPr>
          <w:sz w:val="22"/>
        </w:rPr>
        <w:t>intervención</w:t>
      </w:r>
      <w:r>
        <w:rPr>
          <w:spacing w:val="40"/>
          <w:sz w:val="22"/>
        </w:rPr>
        <w:t> </w:t>
      </w:r>
      <w:r>
        <w:rPr>
          <w:sz w:val="22"/>
        </w:rPr>
        <w:t>del</w:t>
      </w:r>
      <w:r>
        <w:rPr>
          <w:spacing w:val="40"/>
          <w:sz w:val="22"/>
        </w:rPr>
        <w:t> </w:t>
      </w:r>
      <w:r>
        <w:rPr>
          <w:sz w:val="22"/>
        </w:rPr>
        <w:t>IMAS</w:t>
      </w:r>
      <w:r>
        <w:rPr>
          <w:spacing w:val="40"/>
          <w:sz w:val="22"/>
        </w:rPr>
        <w:t> </w:t>
      </w:r>
      <w:r>
        <w:rPr>
          <w:sz w:val="22"/>
        </w:rPr>
        <w:t>debe</w:t>
      </w:r>
      <w:r>
        <w:rPr>
          <w:spacing w:val="40"/>
          <w:sz w:val="22"/>
        </w:rPr>
        <w:t> </w:t>
      </w:r>
      <w:r>
        <w:rPr>
          <w:sz w:val="22"/>
        </w:rPr>
        <w:t>ser</w:t>
      </w:r>
      <w:r>
        <w:rPr>
          <w:spacing w:val="40"/>
          <w:sz w:val="22"/>
        </w:rPr>
        <w:t> </w:t>
      </w:r>
      <w:r>
        <w:rPr>
          <w:sz w:val="22"/>
        </w:rPr>
        <w:t>base</w:t>
      </w:r>
      <w:r>
        <w:rPr>
          <w:spacing w:val="40"/>
          <w:sz w:val="22"/>
        </w:rPr>
        <w:t> </w:t>
      </w:r>
      <w:r>
        <w:rPr>
          <w:sz w:val="22"/>
        </w:rPr>
        <w:t>del</w:t>
      </w:r>
      <w:r>
        <w:rPr>
          <w:spacing w:val="40"/>
          <w:sz w:val="22"/>
        </w:rPr>
        <w:t> </w:t>
      </w:r>
      <w:r>
        <w:rPr>
          <w:sz w:val="22"/>
        </w:rPr>
        <w:t>proceso</w:t>
      </w:r>
      <w:r>
        <w:rPr>
          <w:spacing w:val="40"/>
          <w:sz w:val="22"/>
        </w:rPr>
        <w:t> </w:t>
      </w:r>
      <w:r>
        <w:rPr>
          <w:sz w:val="22"/>
        </w:rPr>
        <w:t>de</w:t>
      </w:r>
      <w:r>
        <w:rPr>
          <w:spacing w:val="40"/>
          <w:sz w:val="22"/>
        </w:rPr>
        <w:t> </w:t>
      </w:r>
      <w:r>
        <w:rPr>
          <w:sz w:val="22"/>
        </w:rPr>
        <w:t>gestión institucional, el cual debe estar debidamente oficializado y socializado.</w:t>
      </w:r>
    </w:p>
    <w:p>
      <w:pPr>
        <w:pStyle w:val="ListParagraph"/>
        <w:numPr>
          <w:ilvl w:val="0"/>
          <w:numId w:val="31"/>
        </w:numPr>
        <w:tabs>
          <w:tab w:pos="1988" w:val="left" w:leader="none"/>
        </w:tabs>
        <w:spacing w:line="240" w:lineRule="auto" w:before="252" w:after="0"/>
        <w:ind w:left="1988" w:right="1255" w:hanging="360"/>
        <w:jc w:val="both"/>
        <w:rPr>
          <w:sz w:val="22"/>
        </w:rPr>
      </w:pPr>
      <w:r>
        <w:rPr>
          <w:sz w:val="22"/>
        </w:rPr>
        <w:t>Para ser</w:t>
      </w:r>
      <w:r>
        <w:rPr>
          <w:spacing w:val="-3"/>
          <w:sz w:val="22"/>
        </w:rPr>
        <w:t> </w:t>
      </w:r>
      <w:r>
        <w:rPr>
          <w:sz w:val="22"/>
        </w:rPr>
        <w:t>más</w:t>
      </w:r>
      <w:r>
        <w:rPr>
          <w:spacing w:val="-1"/>
          <w:sz w:val="22"/>
        </w:rPr>
        <w:t> </w:t>
      </w:r>
      <w:r>
        <w:rPr>
          <w:sz w:val="22"/>
        </w:rPr>
        <w:t>eficientes en la gestión y</w:t>
      </w:r>
      <w:r>
        <w:rPr>
          <w:spacing w:val="-1"/>
          <w:sz w:val="22"/>
        </w:rPr>
        <w:t> </w:t>
      </w:r>
      <w:r>
        <w:rPr>
          <w:sz w:val="22"/>
        </w:rPr>
        <w:t>alcanzar</w:t>
      </w:r>
      <w:r>
        <w:rPr>
          <w:spacing w:val="-3"/>
          <w:sz w:val="22"/>
        </w:rPr>
        <w:t> </w:t>
      </w:r>
      <w:r>
        <w:rPr>
          <w:sz w:val="22"/>
        </w:rPr>
        <w:t>un mayor valor</w:t>
      </w:r>
      <w:r>
        <w:rPr>
          <w:spacing w:val="-3"/>
          <w:sz w:val="22"/>
        </w:rPr>
        <w:t> </w:t>
      </w:r>
      <w:r>
        <w:rPr>
          <w:sz w:val="22"/>
        </w:rPr>
        <w:t>público, se debe fortalecer los procesos de integración con otros actores, así como la articulación de los servicios a lo interno del IMAS.</w:t>
      </w:r>
    </w:p>
    <w:p>
      <w:pPr>
        <w:pStyle w:val="BodyText"/>
        <w:spacing w:before="1"/>
      </w:pPr>
    </w:p>
    <w:p>
      <w:pPr>
        <w:pStyle w:val="ListParagraph"/>
        <w:numPr>
          <w:ilvl w:val="0"/>
          <w:numId w:val="31"/>
        </w:numPr>
        <w:tabs>
          <w:tab w:pos="1988" w:val="left" w:leader="none"/>
        </w:tabs>
        <w:spacing w:line="240" w:lineRule="auto" w:before="0" w:after="0"/>
        <w:ind w:left="1988" w:right="1251" w:hanging="360"/>
        <w:jc w:val="left"/>
        <w:rPr>
          <w:sz w:val="22"/>
        </w:rPr>
      </w:pPr>
      <w:r>
        <w:rPr>
          <w:sz w:val="22"/>
        </w:rPr>
        <w:t>La</w:t>
      </w:r>
      <w:r>
        <w:rPr>
          <w:spacing w:val="33"/>
          <w:sz w:val="22"/>
        </w:rPr>
        <w:t> </w:t>
      </w:r>
      <w:r>
        <w:rPr>
          <w:sz w:val="22"/>
        </w:rPr>
        <w:t>revisión</w:t>
      </w:r>
      <w:r>
        <w:rPr>
          <w:spacing w:val="38"/>
          <w:sz w:val="22"/>
        </w:rPr>
        <w:t> </w:t>
      </w:r>
      <w:r>
        <w:rPr>
          <w:sz w:val="22"/>
        </w:rPr>
        <w:t>y</w:t>
      </w:r>
      <w:r>
        <w:rPr>
          <w:spacing w:val="31"/>
          <w:sz w:val="22"/>
        </w:rPr>
        <w:t> </w:t>
      </w:r>
      <w:r>
        <w:rPr>
          <w:sz w:val="22"/>
        </w:rPr>
        <w:t>ajuste</w:t>
      </w:r>
      <w:r>
        <w:rPr>
          <w:spacing w:val="33"/>
          <w:sz w:val="22"/>
        </w:rPr>
        <w:t> </w:t>
      </w:r>
      <w:r>
        <w:rPr>
          <w:sz w:val="22"/>
        </w:rPr>
        <w:t>de</w:t>
      </w:r>
      <w:r>
        <w:rPr>
          <w:spacing w:val="33"/>
          <w:sz w:val="22"/>
        </w:rPr>
        <w:t> </w:t>
      </w:r>
      <w:r>
        <w:rPr>
          <w:sz w:val="22"/>
        </w:rPr>
        <w:t>la</w:t>
      </w:r>
      <w:r>
        <w:rPr>
          <w:spacing w:val="33"/>
          <w:sz w:val="22"/>
        </w:rPr>
        <w:t> </w:t>
      </w:r>
      <w:r>
        <w:rPr>
          <w:sz w:val="22"/>
        </w:rPr>
        <w:t>estructura</w:t>
      </w:r>
      <w:r>
        <w:rPr>
          <w:spacing w:val="33"/>
          <w:sz w:val="22"/>
        </w:rPr>
        <w:t> </w:t>
      </w:r>
      <w:r>
        <w:rPr>
          <w:sz w:val="22"/>
        </w:rPr>
        <w:t>y</w:t>
      </w:r>
      <w:r>
        <w:rPr>
          <w:spacing w:val="31"/>
          <w:sz w:val="22"/>
        </w:rPr>
        <w:t> </w:t>
      </w:r>
      <w:r>
        <w:rPr>
          <w:sz w:val="22"/>
        </w:rPr>
        <w:t>oferta</w:t>
      </w:r>
      <w:r>
        <w:rPr>
          <w:spacing w:val="33"/>
          <w:sz w:val="22"/>
        </w:rPr>
        <w:t> </w:t>
      </w:r>
      <w:r>
        <w:rPr>
          <w:sz w:val="22"/>
        </w:rPr>
        <w:t>de</w:t>
      </w:r>
      <w:r>
        <w:rPr>
          <w:spacing w:val="33"/>
          <w:sz w:val="22"/>
        </w:rPr>
        <w:t> </w:t>
      </w:r>
      <w:r>
        <w:rPr>
          <w:sz w:val="22"/>
        </w:rPr>
        <w:t>servicios</w:t>
      </w:r>
      <w:r>
        <w:rPr>
          <w:spacing w:val="31"/>
          <w:sz w:val="22"/>
        </w:rPr>
        <w:t> </w:t>
      </w:r>
      <w:r>
        <w:rPr>
          <w:sz w:val="22"/>
        </w:rPr>
        <w:t>del</w:t>
      </w:r>
      <w:r>
        <w:rPr>
          <w:spacing w:val="30"/>
          <w:sz w:val="22"/>
        </w:rPr>
        <w:t> </w:t>
      </w:r>
      <w:r>
        <w:rPr>
          <w:sz w:val="22"/>
        </w:rPr>
        <w:t>IMAS,</w:t>
      </w:r>
      <w:r>
        <w:rPr>
          <w:spacing w:val="37"/>
          <w:sz w:val="22"/>
        </w:rPr>
        <w:t> </w:t>
      </w:r>
      <w:r>
        <w:rPr>
          <w:sz w:val="22"/>
        </w:rPr>
        <w:t>será</w:t>
      </w:r>
      <w:r>
        <w:rPr>
          <w:spacing w:val="33"/>
          <w:sz w:val="22"/>
        </w:rPr>
        <w:t> </w:t>
      </w:r>
      <w:r>
        <w:rPr>
          <w:sz w:val="22"/>
        </w:rPr>
        <w:t>una condición</w:t>
      </w:r>
      <w:r>
        <w:rPr>
          <w:spacing w:val="-16"/>
          <w:sz w:val="22"/>
        </w:rPr>
        <w:t> </w:t>
      </w:r>
      <w:r>
        <w:rPr>
          <w:sz w:val="22"/>
        </w:rPr>
        <w:t>fundamental</w:t>
      </w:r>
      <w:r>
        <w:rPr>
          <w:spacing w:val="-15"/>
          <w:sz w:val="22"/>
        </w:rPr>
        <w:t> </w:t>
      </w:r>
      <w:r>
        <w:rPr>
          <w:sz w:val="22"/>
        </w:rPr>
        <w:t>para</w:t>
      </w:r>
      <w:r>
        <w:rPr>
          <w:spacing w:val="-15"/>
          <w:sz w:val="22"/>
        </w:rPr>
        <w:t> </w:t>
      </w:r>
      <w:r>
        <w:rPr>
          <w:sz w:val="22"/>
        </w:rPr>
        <w:t>el</w:t>
      </w:r>
      <w:r>
        <w:rPr>
          <w:spacing w:val="-16"/>
          <w:sz w:val="22"/>
        </w:rPr>
        <w:t> </w:t>
      </w:r>
      <w:r>
        <w:rPr>
          <w:sz w:val="22"/>
        </w:rPr>
        <w:t>análisis</w:t>
      </w:r>
      <w:r>
        <w:rPr>
          <w:spacing w:val="-15"/>
          <w:sz w:val="22"/>
        </w:rPr>
        <w:t> </w:t>
      </w:r>
      <w:r>
        <w:rPr>
          <w:sz w:val="22"/>
        </w:rPr>
        <w:t>de</w:t>
      </w:r>
      <w:r>
        <w:rPr>
          <w:spacing w:val="-15"/>
          <w:sz w:val="22"/>
        </w:rPr>
        <w:t> </w:t>
      </w:r>
      <w:r>
        <w:rPr>
          <w:sz w:val="22"/>
        </w:rPr>
        <w:t>la</w:t>
      </w:r>
      <w:r>
        <w:rPr>
          <w:spacing w:val="-10"/>
          <w:sz w:val="22"/>
        </w:rPr>
        <w:t> </w:t>
      </w:r>
      <w:r>
        <w:rPr>
          <w:sz w:val="22"/>
        </w:rPr>
        <w:t>contribución</w:t>
      </w:r>
      <w:r>
        <w:rPr>
          <w:spacing w:val="-17"/>
          <w:sz w:val="22"/>
        </w:rPr>
        <w:t> </w:t>
      </w:r>
      <w:r>
        <w:rPr>
          <w:sz w:val="22"/>
        </w:rPr>
        <w:t>del</w:t>
      </w:r>
      <w:r>
        <w:rPr>
          <w:spacing w:val="-16"/>
          <w:sz w:val="22"/>
        </w:rPr>
        <w:t> </w:t>
      </w:r>
      <w:r>
        <w:rPr>
          <w:sz w:val="22"/>
        </w:rPr>
        <w:t>IMAS</w:t>
      </w:r>
      <w:r>
        <w:rPr>
          <w:spacing w:val="-14"/>
          <w:sz w:val="22"/>
        </w:rPr>
        <w:t> </w:t>
      </w:r>
      <w:r>
        <w:rPr>
          <w:sz w:val="22"/>
        </w:rPr>
        <w:t>al</w:t>
      </w:r>
      <w:r>
        <w:rPr>
          <w:spacing w:val="-16"/>
          <w:sz w:val="22"/>
        </w:rPr>
        <w:t> </w:t>
      </w:r>
      <w:r>
        <w:rPr>
          <w:sz w:val="22"/>
        </w:rPr>
        <w:t>valor</w:t>
      </w:r>
      <w:r>
        <w:rPr>
          <w:spacing w:val="-15"/>
          <w:sz w:val="22"/>
        </w:rPr>
        <w:t> </w:t>
      </w:r>
      <w:r>
        <w:rPr>
          <w:sz w:val="22"/>
        </w:rPr>
        <w:t>público.</w:t>
      </w:r>
    </w:p>
    <w:p>
      <w:pPr>
        <w:pStyle w:val="BodyText"/>
      </w:pPr>
    </w:p>
    <w:p>
      <w:pPr>
        <w:pStyle w:val="ListParagraph"/>
        <w:numPr>
          <w:ilvl w:val="0"/>
          <w:numId w:val="31"/>
        </w:numPr>
        <w:tabs>
          <w:tab w:pos="1988" w:val="left" w:leader="none"/>
        </w:tabs>
        <w:spacing w:line="240" w:lineRule="auto" w:before="0" w:after="0"/>
        <w:ind w:left="1988" w:right="1251" w:hanging="360"/>
        <w:jc w:val="both"/>
        <w:rPr>
          <w:sz w:val="22"/>
        </w:rPr>
      </w:pPr>
      <w:r>
        <w:rPr>
          <w:sz w:val="22"/>
        </w:rPr>
        <w:t>Los</w:t>
      </w:r>
      <w:r>
        <w:rPr>
          <w:spacing w:val="-14"/>
          <w:sz w:val="22"/>
        </w:rPr>
        <w:t> </w:t>
      </w:r>
      <w:r>
        <w:rPr>
          <w:sz w:val="22"/>
        </w:rPr>
        <w:t>instrumentos</w:t>
      </w:r>
      <w:r>
        <w:rPr>
          <w:spacing w:val="-15"/>
          <w:sz w:val="22"/>
        </w:rPr>
        <w:t> </w:t>
      </w:r>
      <w:r>
        <w:rPr>
          <w:sz w:val="22"/>
        </w:rPr>
        <w:t>de</w:t>
      </w:r>
      <w:r>
        <w:rPr>
          <w:spacing w:val="-14"/>
          <w:sz w:val="22"/>
        </w:rPr>
        <w:t> </w:t>
      </w:r>
      <w:r>
        <w:rPr>
          <w:sz w:val="22"/>
        </w:rPr>
        <w:t>planificación</w:t>
      </w:r>
      <w:r>
        <w:rPr>
          <w:spacing w:val="-14"/>
          <w:sz w:val="22"/>
        </w:rPr>
        <w:t> </w:t>
      </w:r>
      <w:r>
        <w:rPr>
          <w:sz w:val="22"/>
        </w:rPr>
        <w:t>deben</w:t>
      </w:r>
      <w:r>
        <w:rPr>
          <w:spacing w:val="-14"/>
          <w:sz w:val="22"/>
        </w:rPr>
        <w:t> </w:t>
      </w:r>
      <w:r>
        <w:rPr>
          <w:sz w:val="22"/>
        </w:rPr>
        <w:t>estar</w:t>
      </w:r>
      <w:r>
        <w:rPr>
          <w:spacing w:val="-12"/>
          <w:sz w:val="22"/>
        </w:rPr>
        <w:t> </w:t>
      </w:r>
      <w:r>
        <w:rPr>
          <w:sz w:val="22"/>
        </w:rPr>
        <w:t>alineados</w:t>
      </w:r>
      <w:r>
        <w:rPr>
          <w:spacing w:val="-16"/>
          <w:sz w:val="22"/>
        </w:rPr>
        <w:t> </w:t>
      </w:r>
      <w:r>
        <w:rPr>
          <w:sz w:val="22"/>
        </w:rPr>
        <w:t>en</w:t>
      </w:r>
      <w:r>
        <w:rPr>
          <w:spacing w:val="-14"/>
          <w:sz w:val="22"/>
        </w:rPr>
        <w:t> </w:t>
      </w:r>
      <w:r>
        <w:rPr>
          <w:sz w:val="22"/>
        </w:rPr>
        <w:t>sus</w:t>
      </w:r>
      <w:r>
        <w:rPr>
          <w:spacing w:val="-16"/>
          <w:sz w:val="22"/>
        </w:rPr>
        <w:t> </w:t>
      </w:r>
      <w:r>
        <w:rPr>
          <w:sz w:val="22"/>
        </w:rPr>
        <w:t>diferentes</w:t>
      </w:r>
      <w:r>
        <w:rPr>
          <w:spacing w:val="-15"/>
          <w:sz w:val="22"/>
        </w:rPr>
        <w:t> </w:t>
      </w:r>
      <w:r>
        <w:rPr>
          <w:sz w:val="22"/>
        </w:rPr>
        <w:t>niveles. A nivel nacional el PEI debe alinearse con el PNDIP, pero a nivel institucional también con el POI y el POGE.</w:t>
      </w:r>
    </w:p>
    <w:p>
      <w:pPr>
        <w:pStyle w:val="BodyText"/>
        <w:spacing w:before="1"/>
      </w:pPr>
    </w:p>
    <w:p>
      <w:pPr>
        <w:pStyle w:val="ListParagraph"/>
        <w:numPr>
          <w:ilvl w:val="0"/>
          <w:numId w:val="31"/>
        </w:numPr>
        <w:tabs>
          <w:tab w:pos="1988" w:val="left" w:leader="none"/>
        </w:tabs>
        <w:spacing w:line="240" w:lineRule="auto" w:before="0" w:after="0"/>
        <w:ind w:left="1988" w:right="1251" w:hanging="360"/>
        <w:jc w:val="left"/>
        <w:rPr>
          <w:sz w:val="22"/>
        </w:rPr>
      </w:pPr>
      <w:r>
        <w:rPr>
          <w:sz w:val="22"/>
        </w:rPr>
        <w:t>El sistema</w:t>
      </w:r>
      <w:r>
        <w:rPr>
          <w:spacing w:val="-2"/>
          <w:sz w:val="22"/>
        </w:rPr>
        <w:t> </w:t>
      </w:r>
      <w:r>
        <w:rPr>
          <w:sz w:val="22"/>
        </w:rPr>
        <w:t>de</w:t>
      </w:r>
      <w:r>
        <w:rPr>
          <w:spacing w:val="-2"/>
          <w:sz w:val="22"/>
        </w:rPr>
        <w:t> </w:t>
      </w:r>
      <w:r>
        <w:rPr>
          <w:sz w:val="22"/>
        </w:rPr>
        <w:t>planificación</w:t>
      </w:r>
      <w:r>
        <w:rPr>
          <w:spacing w:val="-2"/>
          <w:sz w:val="22"/>
        </w:rPr>
        <w:t> </w:t>
      </w:r>
      <w:r>
        <w:rPr>
          <w:sz w:val="22"/>
        </w:rPr>
        <w:t>institucional</w:t>
      </w:r>
      <w:r>
        <w:rPr>
          <w:spacing w:val="-4"/>
          <w:sz w:val="22"/>
        </w:rPr>
        <w:t> </w:t>
      </w:r>
      <w:r>
        <w:rPr>
          <w:sz w:val="22"/>
        </w:rPr>
        <w:t>debe</w:t>
      </w:r>
      <w:r>
        <w:rPr>
          <w:spacing w:val="-2"/>
          <w:sz w:val="22"/>
        </w:rPr>
        <w:t> </w:t>
      </w:r>
      <w:r>
        <w:rPr>
          <w:sz w:val="22"/>
        </w:rPr>
        <w:t>fortalecer</w:t>
      </w:r>
      <w:r>
        <w:rPr>
          <w:spacing w:val="-4"/>
          <w:sz w:val="22"/>
        </w:rPr>
        <w:t> </w:t>
      </w:r>
      <w:r>
        <w:rPr>
          <w:sz w:val="22"/>
        </w:rPr>
        <w:t>una</w:t>
      </w:r>
      <w:r>
        <w:rPr>
          <w:spacing w:val="-2"/>
          <w:sz w:val="22"/>
        </w:rPr>
        <w:t> </w:t>
      </w:r>
      <w:r>
        <w:rPr>
          <w:sz w:val="22"/>
        </w:rPr>
        <w:t>cultura</w:t>
      </w:r>
      <w:r>
        <w:rPr>
          <w:spacing w:val="-2"/>
          <w:sz w:val="22"/>
        </w:rPr>
        <w:t> </w:t>
      </w:r>
      <w:r>
        <w:rPr>
          <w:sz w:val="22"/>
        </w:rPr>
        <w:t>de</w:t>
      </w:r>
      <w:r>
        <w:rPr>
          <w:spacing w:val="-5"/>
          <w:sz w:val="22"/>
        </w:rPr>
        <w:t> </w:t>
      </w:r>
      <w:r>
        <w:rPr>
          <w:sz w:val="22"/>
        </w:rPr>
        <w:t>medición</w:t>
      </w:r>
      <w:r>
        <w:rPr>
          <w:spacing w:val="-2"/>
          <w:sz w:val="22"/>
        </w:rPr>
        <w:t> </w:t>
      </w:r>
      <w:r>
        <w:rPr>
          <w:sz w:val="22"/>
        </w:rPr>
        <w:t>y evaluación de resultados, de producto, efecto y de impacto.</w:t>
      </w:r>
    </w:p>
    <w:p>
      <w:pPr>
        <w:pStyle w:val="BodyText"/>
      </w:pPr>
    </w:p>
    <w:p>
      <w:pPr>
        <w:pStyle w:val="ListParagraph"/>
        <w:numPr>
          <w:ilvl w:val="0"/>
          <w:numId w:val="31"/>
        </w:numPr>
        <w:tabs>
          <w:tab w:pos="1988" w:val="left" w:leader="none"/>
        </w:tabs>
        <w:spacing w:line="240" w:lineRule="auto" w:before="0" w:after="0"/>
        <w:ind w:left="1988" w:right="1253" w:hanging="360"/>
        <w:jc w:val="left"/>
        <w:rPr>
          <w:sz w:val="22"/>
        </w:rPr>
      </w:pPr>
      <w:r>
        <w:rPr>
          <w:sz w:val="22"/>
        </w:rPr>
        <w:t>En entornos cambiantes y de crisis se hace fundamental un análisis prospectivo de los contenidos presupuestarios del IMAS.</w:t>
      </w:r>
    </w:p>
    <w:p>
      <w:pPr>
        <w:pStyle w:val="BodyText"/>
        <w:spacing w:before="24"/>
      </w:pPr>
    </w:p>
    <w:p>
      <w:pPr>
        <w:pStyle w:val="Heading1"/>
        <w:numPr>
          <w:ilvl w:val="1"/>
          <w:numId w:val="29"/>
        </w:numPr>
        <w:tabs>
          <w:tab w:pos="2534" w:val="left" w:leader="none"/>
        </w:tabs>
        <w:spacing w:line="240" w:lineRule="auto" w:before="0" w:after="0"/>
        <w:ind w:left="2534" w:right="0" w:hanging="402"/>
        <w:jc w:val="left"/>
      </w:pPr>
      <w:bookmarkStart w:name="_bookmark59" w:id="60"/>
      <w:bookmarkEnd w:id="60"/>
      <w:r>
        <w:rPr>
          <w:b w:val="0"/>
        </w:rPr>
      </w:r>
      <w:r>
        <w:rPr/>
        <w:t>Población</w:t>
      </w:r>
      <w:r>
        <w:rPr>
          <w:spacing w:val="-6"/>
        </w:rPr>
        <w:t> </w:t>
      </w:r>
      <w:r>
        <w:rPr>
          <w:spacing w:val="-2"/>
        </w:rPr>
        <w:t>Objetivo</w:t>
      </w:r>
    </w:p>
    <w:p>
      <w:pPr>
        <w:pStyle w:val="BodyText"/>
        <w:spacing w:before="276"/>
        <w:ind w:left="1268" w:right="1240"/>
        <w:jc w:val="both"/>
      </w:pPr>
      <w:r>
        <w:rPr/>
        <w:t>Se</w:t>
      </w:r>
      <w:r>
        <w:rPr>
          <w:spacing w:val="-16"/>
        </w:rPr>
        <w:t> </w:t>
      </w:r>
      <w:r>
        <w:rPr/>
        <w:t>ejecuta</w:t>
      </w:r>
      <w:r>
        <w:rPr>
          <w:spacing w:val="-15"/>
        </w:rPr>
        <w:t> </w:t>
      </w:r>
      <w:r>
        <w:rPr/>
        <w:t>mediante</w:t>
      </w:r>
      <w:r>
        <w:rPr>
          <w:spacing w:val="-13"/>
        </w:rPr>
        <w:t> </w:t>
      </w:r>
      <w:r>
        <w:rPr/>
        <w:t>el</w:t>
      </w:r>
      <w:r>
        <w:rPr>
          <w:spacing w:val="-15"/>
        </w:rPr>
        <w:t> </w:t>
      </w:r>
      <w:r>
        <w:rPr/>
        <w:t>programa</w:t>
      </w:r>
      <w:r>
        <w:rPr>
          <w:spacing w:val="-15"/>
        </w:rPr>
        <w:t> </w:t>
      </w:r>
      <w:r>
        <w:rPr/>
        <w:t>sustantivo</w:t>
      </w:r>
      <w:r>
        <w:rPr>
          <w:spacing w:val="-15"/>
        </w:rPr>
        <w:t> </w:t>
      </w:r>
      <w:r>
        <w:rPr/>
        <w:t>de</w:t>
      </w:r>
      <w:r>
        <w:rPr>
          <w:spacing w:val="-15"/>
        </w:rPr>
        <w:t> </w:t>
      </w:r>
      <w:r>
        <w:rPr/>
        <w:t>la</w:t>
      </w:r>
      <w:r>
        <w:rPr>
          <w:spacing w:val="-10"/>
        </w:rPr>
        <w:t> </w:t>
      </w:r>
      <w:r>
        <w:rPr/>
        <w:t>Institución</w:t>
      </w:r>
      <w:r>
        <w:rPr>
          <w:spacing w:val="-13"/>
        </w:rPr>
        <w:t> </w:t>
      </w:r>
      <w:r>
        <w:rPr/>
        <w:t>y</w:t>
      </w:r>
      <w:r>
        <w:rPr>
          <w:spacing w:val="-16"/>
        </w:rPr>
        <w:t> </w:t>
      </w:r>
      <w:r>
        <w:rPr/>
        <w:t>en</w:t>
      </w:r>
      <w:r>
        <w:rPr>
          <w:spacing w:val="-14"/>
        </w:rPr>
        <w:t> </w:t>
      </w:r>
      <w:r>
        <w:rPr/>
        <w:t>él</w:t>
      </w:r>
      <w:r>
        <w:rPr>
          <w:spacing w:val="-12"/>
        </w:rPr>
        <w:t> </w:t>
      </w:r>
      <w:r>
        <w:rPr/>
        <w:t>se</w:t>
      </w:r>
      <w:r>
        <w:rPr>
          <w:spacing w:val="-15"/>
        </w:rPr>
        <w:t> </w:t>
      </w:r>
      <w:r>
        <w:rPr/>
        <w:t>definen</w:t>
      </w:r>
      <w:r>
        <w:rPr>
          <w:spacing w:val="-15"/>
        </w:rPr>
        <w:t> </w:t>
      </w:r>
      <w:r>
        <w:rPr/>
        <w:t>estrategias para la intervención y se da cumplimiento y seguimiento de las metas y la ejecución de los recursos</w:t>
      </w:r>
      <w:r>
        <w:rPr>
          <w:spacing w:val="-3"/>
        </w:rPr>
        <w:t> </w:t>
      </w:r>
      <w:r>
        <w:rPr/>
        <w:t>que se destinan</w:t>
      </w:r>
      <w:r>
        <w:rPr>
          <w:spacing w:val="-1"/>
        </w:rPr>
        <w:t> </w:t>
      </w:r>
      <w:r>
        <w:rPr/>
        <w:t>a inversión social. La población objetivo de</w:t>
      </w:r>
      <w:r>
        <w:rPr>
          <w:spacing w:val="-1"/>
        </w:rPr>
        <w:t> </w:t>
      </w:r>
      <w:r>
        <w:rPr/>
        <w:t>este Programa son las personas, hogares, familias y comunidades en pobreza, y sujetos de derecho público y privado que desarrollan proyectos de interés social y económico, en beneficio de la población en situación de pobreza y el desarrollo de los territorios.</w:t>
      </w:r>
    </w:p>
    <w:p>
      <w:pPr>
        <w:pStyle w:val="BodyText"/>
        <w:spacing w:after="0"/>
        <w:jc w:val="both"/>
        <w:sectPr>
          <w:pgSz w:w="12240" w:h="15840"/>
          <w:pgMar w:header="0" w:footer="1101" w:top="880" w:bottom="1300" w:left="720" w:right="360"/>
        </w:sectPr>
      </w:pPr>
    </w:p>
    <w:p>
      <w:pPr>
        <w:pStyle w:val="Heading1"/>
        <w:numPr>
          <w:ilvl w:val="0"/>
          <w:numId w:val="5"/>
        </w:numPr>
        <w:tabs>
          <w:tab w:pos="628" w:val="left" w:leader="none"/>
        </w:tabs>
        <w:spacing w:line="240" w:lineRule="auto" w:before="81" w:after="0"/>
        <w:ind w:left="628" w:right="0" w:hanging="268"/>
        <w:jc w:val="left"/>
      </w:pPr>
      <w:bookmarkStart w:name="_bookmark60" w:id="61"/>
      <w:bookmarkEnd w:id="61"/>
      <w:r>
        <w:rPr>
          <w:b w:val="0"/>
        </w:rPr>
      </w:r>
      <w:r>
        <w:rPr/>
        <w:t>Vinculación</w:t>
      </w:r>
      <w:r>
        <w:rPr>
          <w:spacing w:val="-3"/>
        </w:rPr>
        <w:t> </w:t>
      </w:r>
      <w:r>
        <w:rPr/>
        <w:t>Plan</w:t>
      </w:r>
      <w:r>
        <w:rPr>
          <w:spacing w:val="1"/>
        </w:rPr>
        <w:t> </w:t>
      </w:r>
      <w:r>
        <w:rPr>
          <w:spacing w:val="-2"/>
        </w:rPr>
        <w:t>Presupuesto</w:t>
      </w:r>
    </w:p>
    <w:p>
      <w:pPr>
        <w:pStyle w:val="Heading1"/>
        <w:numPr>
          <w:ilvl w:val="1"/>
          <w:numId w:val="5"/>
        </w:numPr>
        <w:tabs>
          <w:tab w:pos="1624" w:val="left" w:leader="none"/>
        </w:tabs>
        <w:spacing w:line="240" w:lineRule="auto" w:before="276" w:after="0"/>
        <w:ind w:left="1624" w:right="0" w:hanging="400"/>
        <w:jc w:val="left"/>
      </w:pPr>
      <w:bookmarkStart w:name="_bookmark61" w:id="62"/>
      <w:bookmarkEnd w:id="62"/>
      <w:r>
        <w:rPr>
          <w:b w:val="0"/>
        </w:rPr>
      </w:r>
      <w:r>
        <w:rPr/>
        <w:t>Matriz</w:t>
      </w:r>
      <w:r>
        <w:rPr>
          <w:spacing w:val="-5"/>
        </w:rPr>
        <w:t> </w:t>
      </w:r>
      <w:r>
        <w:rPr/>
        <w:t>de</w:t>
      </w:r>
      <w:r>
        <w:rPr>
          <w:spacing w:val="-4"/>
        </w:rPr>
        <w:t> </w:t>
      </w:r>
      <w:r>
        <w:rPr/>
        <w:t>Gestión</w:t>
      </w:r>
      <w:r>
        <w:rPr>
          <w:spacing w:val="-7"/>
        </w:rPr>
        <w:t> </w:t>
      </w:r>
      <w:r>
        <w:rPr/>
        <w:t>para</w:t>
      </w:r>
      <w:r>
        <w:rPr>
          <w:spacing w:val="-5"/>
        </w:rPr>
        <w:t> </w:t>
      </w:r>
      <w:r>
        <w:rPr/>
        <w:t>Resultados</w:t>
      </w:r>
      <w:r>
        <w:rPr>
          <w:spacing w:val="-8"/>
        </w:rPr>
        <w:t> </w:t>
      </w:r>
      <w:r>
        <w:rPr/>
        <w:t>de</w:t>
      </w:r>
      <w:r>
        <w:rPr>
          <w:spacing w:val="-8"/>
        </w:rPr>
        <w:t> </w:t>
      </w:r>
      <w:r>
        <w:rPr/>
        <w:t>Desarrollo</w:t>
      </w:r>
      <w:r>
        <w:rPr>
          <w:spacing w:val="-2"/>
        </w:rPr>
        <w:t> </w:t>
      </w:r>
      <w:r>
        <w:rPr/>
        <w:t>(GpRD)</w:t>
      </w:r>
      <w:r>
        <w:rPr>
          <w:spacing w:val="-4"/>
        </w:rPr>
        <w:t> </w:t>
      </w:r>
      <w:r>
        <w:rPr/>
        <w:t>del</w:t>
      </w:r>
      <w:r>
        <w:rPr>
          <w:spacing w:val="-4"/>
        </w:rPr>
        <w:t> </w:t>
      </w:r>
      <w:r>
        <w:rPr/>
        <w:t>Programa</w:t>
      </w:r>
      <w:r>
        <w:rPr>
          <w:spacing w:val="-4"/>
        </w:rPr>
        <w:t> </w:t>
      </w:r>
      <w:r>
        <w:rPr/>
        <w:t>protección</w:t>
      </w:r>
      <w:r>
        <w:rPr>
          <w:spacing w:val="-3"/>
        </w:rPr>
        <w:t> </w:t>
      </w:r>
      <w:r>
        <w:rPr/>
        <w:t>y</w:t>
      </w:r>
      <w:r>
        <w:rPr>
          <w:spacing w:val="-8"/>
        </w:rPr>
        <w:t> </w:t>
      </w:r>
      <w:r>
        <w:rPr/>
        <w:t>Promoción</w:t>
      </w:r>
      <w:r>
        <w:rPr>
          <w:spacing w:val="-2"/>
        </w:rPr>
        <w:t> Social</w:t>
      </w:r>
    </w:p>
    <w:p>
      <w:pPr>
        <w:pStyle w:val="BodyText"/>
        <w:spacing w:before="46"/>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7"/>
        <w:gridCol w:w="1550"/>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7" w:type="dxa"/>
            <w:shd w:val="clear" w:color="auto" w:fill="D9D9D9"/>
          </w:tcPr>
          <w:p>
            <w:pPr>
              <w:pStyle w:val="TableParagraph"/>
              <w:spacing w:before="104"/>
              <w:ind w:left="430" w:hanging="120"/>
              <w:rPr>
                <w:b/>
                <w:sz w:val="18"/>
              </w:rPr>
            </w:pPr>
            <w:r>
              <w:rPr>
                <w:b/>
                <w:spacing w:val="-2"/>
                <w:sz w:val="18"/>
              </w:rPr>
              <w:t>Presupuesto asignado</w:t>
            </w:r>
          </w:p>
        </w:tc>
        <w:tc>
          <w:tcPr>
            <w:tcW w:w="1550" w:type="dxa"/>
            <w:shd w:val="clear" w:color="auto" w:fill="D9D9D9"/>
          </w:tcPr>
          <w:p>
            <w:pPr>
              <w:pStyle w:val="TableParagraph"/>
              <w:spacing w:line="206" w:lineRule="exact"/>
              <w:ind w:left="21" w:right="3"/>
              <w:jc w:val="center"/>
              <w:rPr>
                <w:b/>
                <w:sz w:val="18"/>
              </w:rPr>
            </w:pPr>
            <w:r>
              <w:rPr>
                <w:b/>
                <w:spacing w:val="-2"/>
                <w:sz w:val="18"/>
              </w:rPr>
              <w:t>Riesgos </w:t>
            </w:r>
            <w:r>
              <w:rPr>
                <w:b/>
                <w:sz w:val="18"/>
              </w:rPr>
              <w:t>asociados al </w:t>
            </w:r>
            <w:r>
              <w:rPr>
                <w:b/>
                <w:spacing w:val="-2"/>
                <w:sz w:val="18"/>
              </w:rPr>
              <w:t>cumplimiento</w:t>
            </w:r>
          </w:p>
        </w:tc>
      </w:tr>
      <w:tr>
        <w:trPr>
          <w:trHeight w:val="465" w:hRule="atLeast"/>
        </w:trPr>
        <w:tc>
          <w:tcPr>
            <w:tcW w:w="14247" w:type="dxa"/>
            <w:gridSpan w:val="8"/>
            <w:shd w:val="clear" w:color="auto" w:fill="D9D9D9"/>
          </w:tcPr>
          <w:p>
            <w:pPr>
              <w:pStyle w:val="TableParagraph"/>
              <w:spacing w:before="3"/>
              <w:ind w:left="72" w:right="98"/>
              <w:rPr>
                <w:b/>
                <w:sz w:val="18"/>
              </w:rPr>
            </w:pPr>
            <w:r>
              <w:rPr>
                <w:b/>
                <w:sz w:val="18"/>
              </w:rPr>
              <w:t>Efecto:</w:t>
            </w:r>
            <w:r>
              <w:rPr>
                <w:b/>
                <w:spacing w:val="-2"/>
                <w:sz w:val="18"/>
              </w:rPr>
              <w:t> </w:t>
            </w:r>
            <w:r>
              <w:rPr>
                <w:b/>
                <w:sz w:val="18"/>
              </w:rPr>
              <w:t>Implementar acciones de</w:t>
            </w:r>
            <w:r>
              <w:rPr>
                <w:b/>
                <w:spacing w:val="-4"/>
                <w:sz w:val="18"/>
              </w:rPr>
              <w:t> </w:t>
            </w:r>
            <w:r>
              <w:rPr>
                <w:b/>
                <w:sz w:val="18"/>
              </w:rPr>
              <w:t>protección</w:t>
            </w:r>
            <w:r>
              <w:rPr>
                <w:b/>
                <w:spacing w:val="-5"/>
                <w:sz w:val="18"/>
              </w:rPr>
              <w:t> </w:t>
            </w:r>
            <w:r>
              <w:rPr>
                <w:b/>
                <w:sz w:val="18"/>
              </w:rPr>
              <w:t>y</w:t>
            </w:r>
            <w:r>
              <w:rPr>
                <w:b/>
                <w:spacing w:val="-4"/>
                <w:sz w:val="18"/>
              </w:rPr>
              <w:t> </w:t>
            </w:r>
            <w:r>
              <w:rPr>
                <w:b/>
                <w:sz w:val="18"/>
              </w:rPr>
              <w:t>promoción</w:t>
            </w:r>
            <w:r>
              <w:rPr>
                <w:b/>
                <w:spacing w:val="-5"/>
                <w:sz w:val="18"/>
              </w:rPr>
              <w:t> </w:t>
            </w:r>
            <w:r>
              <w:rPr>
                <w:b/>
                <w:sz w:val="18"/>
              </w:rPr>
              <w:t>social</w:t>
            </w:r>
            <w:r>
              <w:rPr>
                <w:b/>
                <w:spacing w:val="-2"/>
                <w:sz w:val="18"/>
              </w:rPr>
              <w:t> </w:t>
            </w:r>
            <w:r>
              <w:rPr>
                <w:b/>
                <w:sz w:val="18"/>
              </w:rPr>
              <w:t>dirigidas a</w:t>
            </w:r>
            <w:r>
              <w:rPr>
                <w:b/>
                <w:spacing w:val="-4"/>
                <w:sz w:val="18"/>
              </w:rPr>
              <w:t> </w:t>
            </w:r>
            <w:r>
              <w:rPr>
                <w:b/>
                <w:sz w:val="18"/>
              </w:rPr>
              <w:t>personas, hogares y</w:t>
            </w:r>
            <w:r>
              <w:rPr>
                <w:b/>
                <w:spacing w:val="-4"/>
                <w:sz w:val="18"/>
              </w:rPr>
              <w:t> </w:t>
            </w:r>
            <w:r>
              <w:rPr>
                <w:b/>
                <w:sz w:val="18"/>
              </w:rPr>
              <w:t>organizaciones,</w:t>
            </w:r>
            <w:r>
              <w:rPr>
                <w:b/>
                <w:spacing w:val="-6"/>
                <w:sz w:val="18"/>
              </w:rPr>
              <w:t> </w:t>
            </w:r>
            <w:r>
              <w:rPr>
                <w:b/>
                <w:sz w:val="18"/>
              </w:rPr>
              <w:t>mediante</w:t>
            </w:r>
            <w:r>
              <w:rPr>
                <w:b/>
                <w:spacing w:val="-4"/>
                <w:sz w:val="18"/>
              </w:rPr>
              <w:t> </w:t>
            </w:r>
            <w:r>
              <w:rPr>
                <w:b/>
                <w:sz w:val="18"/>
              </w:rPr>
              <w:t>procesos</w:t>
            </w:r>
            <w:r>
              <w:rPr>
                <w:b/>
                <w:spacing w:val="-4"/>
                <w:sz w:val="18"/>
              </w:rPr>
              <w:t> </w:t>
            </w:r>
            <w:r>
              <w:rPr>
                <w:b/>
                <w:sz w:val="18"/>
              </w:rPr>
              <w:t>de</w:t>
            </w:r>
            <w:r>
              <w:rPr>
                <w:b/>
                <w:spacing w:val="-4"/>
                <w:sz w:val="18"/>
              </w:rPr>
              <w:t> </w:t>
            </w:r>
            <w:r>
              <w:rPr>
                <w:b/>
                <w:sz w:val="18"/>
              </w:rPr>
              <w:t>atención</w:t>
            </w:r>
            <w:r>
              <w:rPr>
                <w:b/>
                <w:spacing w:val="-5"/>
                <w:sz w:val="18"/>
              </w:rPr>
              <w:t> </w:t>
            </w:r>
            <w:r>
              <w:rPr>
                <w:b/>
                <w:sz w:val="18"/>
              </w:rPr>
              <w:t>integral,</w:t>
            </w:r>
            <w:r>
              <w:rPr>
                <w:b/>
                <w:spacing w:val="-2"/>
                <w:sz w:val="18"/>
              </w:rPr>
              <w:t> </w:t>
            </w:r>
            <w:r>
              <w:rPr>
                <w:b/>
                <w:sz w:val="18"/>
              </w:rPr>
              <w:t>gestión de procesos y proyectos, y otorgamiento de recursos que contribuyan a la disminución de la pobreza en costa rica.</w:t>
            </w:r>
          </w:p>
        </w:tc>
      </w:tr>
      <w:tr>
        <w:trPr>
          <w:trHeight w:val="465" w:hRule="atLeast"/>
        </w:trPr>
        <w:tc>
          <w:tcPr>
            <w:tcW w:w="14247" w:type="dxa"/>
            <w:gridSpan w:val="8"/>
            <w:shd w:val="clear" w:color="auto" w:fill="DCE6F0"/>
          </w:tcPr>
          <w:p>
            <w:pPr>
              <w:pStyle w:val="TableParagraph"/>
              <w:spacing w:line="244" w:lineRule="auto"/>
              <w:ind w:left="72" w:right="98"/>
              <w:rPr>
                <w:b/>
                <w:sz w:val="18"/>
              </w:rPr>
            </w:pPr>
            <w:r>
              <w:rPr>
                <w:b/>
                <w:sz w:val="18"/>
              </w:rPr>
              <w:t>Producto</w:t>
            </w:r>
            <w:r>
              <w:rPr>
                <w:b/>
                <w:spacing w:val="-4"/>
                <w:sz w:val="18"/>
              </w:rPr>
              <w:t> </w:t>
            </w:r>
            <w:r>
              <w:rPr>
                <w:b/>
                <w:sz w:val="18"/>
              </w:rPr>
              <w:t>PPPS</w:t>
            </w:r>
            <w:r>
              <w:rPr>
                <w:b/>
                <w:spacing w:val="-4"/>
                <w:sz w:val="18"/>
              </w:rPr>
              <w:t> </w:t>
            </w:r>
            <w:r>
              <w:rPr>
                <w:b/>
                <w:sz w:val="18"/>
              </w:rPr>
              <w:t>1.1:</w:t>
            </w:r>
            <w:r>
              <w:rPr>
                <w:b/>
                <w:spacing w:val="-1"/>
                <w:sz w:val="18"/>
              </w:rPr>
              <w:t> </w:t>
            </w:r>
            <w:r>
              <w:rPr>
                <w:b/>
                <w:sz w:val="18"/>
              </w:rPr>
              <w:t>Oferta</w:t>
            </w:r>
            <w:r>
              <w:rPr>
                <w:b/>
                <w:spacing w:val="-3"/>
                <w:sz w:val="18"/>
              </w:rPr>
              <w:t> </w:t>
            </w:r>
            <w:r>
              <w:rPr>
                <w:b/>
                <w:sz w:val="18"/>
              </w:rPr>
              <w:t>programática</w:t>
            </w:r>
            <w:r>
              <w:rPr>
                <w:b/>
                <w:spacing w:val="-3"/>
                <w:sz w:val="18"/>
              </w:rPr>
              <w:t> </w:t>
            </w:r>
            <w:r>
              <w:rPr>
                <w:b/>
                <w:sz w:val="18"/>
              </w:rPr>
              <w:t>institucional</w:t>
            </w:r>
            <w:r>
              <w:rPr>
                <w:b/>
                <w:spacing w:val="-1"/>
                <w:sz w:val="18"/>
              </w:rPr>
              <w:t> </w:t>
            </w:r>
            <w:r>
              <w:rPr>
                <w:b/>
                <w:sz w:val="18"/>
              </w:rPr>
              <w:t>en</w:t>
            </w:r>
            <w:r>
              <w:rPr>
                <w:b/>
                <w:spacing w:val="-4"/>
                <w:sz w:val="18"/>
              </w:rPr>
              <w:t> </w:t>
            </w:r>
            <w:r>
              <w:rPr>
                <w:b/>
                <w:sz w:val="18"/>
              </w:rPr>
              <w:t>protección</w:t>
            </w:r>
            <w:r>
              <w:rPr>
                <w:b/>
                <w:spacing w:val="-4"/>
                <w:sz w:val="18"/>
              </w:rPr>
              <w:t> </w:t>
            </w:r>
            <w:r>
              <w:rPr>
                <w:b/>
                <w:sz w:val="18"/>
              </w:rPr>
              <w:t>social que contribuye</w:t>
            </w:r>
            <w:r>
              <w:rPr>
                <w:b/>
                <w:spacing w:val="-3"/>
                <w:sz w:val="18"/>
              </w:rPr>
              <w:t> </w:t>
            </w:r>
            <w:r>
              <w:rPr>
                <w:b/>
                <w:sz w:val="18"/>
              </w:rPr>
              <w:t>a</w:t>
            </w:r>
            <w:r>
              <w:rPr>
                <w:b/>
                <w:spacing w:val="-3"/>
                <w:sz w:val="18"/>
              </w:rPr>
              <w:t> </w:t>
            </w:r>
            <w:r>
              <w:rPr>
                <w:b/>
                <w:sz w:val="18"/>
              </w:rPr>
              <w:t>la satisfacción</w:t>
            </w:r>
            <w:r>
              <w:rPr>
                <w:b/>
                <w:spacing w:val="-4"/>
                <w:sz w:val="18"/>
              </w:rPr>
              <w:t> </w:t>
            </w:r>
            <w:r>
              <w:rPr>
                <w:b/>
                <w:sz w:val="18"/>
              </w:rPr>
              <w:t>de</w:t>
            </w:r>
            <w:r>
              <w:rPr>
                <w:b/>
                <w:spacing w:val="-3"/>
                <w:sz w:val="18"/>
              </w:rPr>
              <w:t> </w:t>
            </w:r>
            <w:r>
              <w:rPr>
                <w:b/>
                <w:sz w:val="18"/>
              </w:rPr>
              <w:t>las</w:t>
            </w:r>
            <w:r>
              <w:rPr>
                <w:b/>
                <w:spacing w:val="-3"/>
                <w:sz w:val="18"/>
              </w:rPr>
              <w:t> </w:t>
            </w:r>
            <w:r>
              <w:rPr>
                <w:b/>
                <w:sz w:val="18"/>
              </w:rPr>
              <w:t>necesidades básicas</w:t>
            </w:r>
            <w:r>
              <w:rPr>
                <w:b/>
                <w:spacing w:val="-3"/>
                <w:sz w:val="18"/>
              </w:rPr>
              <w:t> </w:t>
            </w:r>
            <w:r>
              <w:rPr>
                <w:b/>
                <w:sz w:val="18"/>
              </w:rPr>
              <w:t>de personas y</w:t>
            </w:r>
            <w:r>
              <w:rPr>
                <w:b/>
                <w:spacing w:val="-3"/>
                <w:sz w:val="18"/>
              </w:rPr>
              <w:t> </w:t>
            </w:r>
            <w:r>
              <w:rPr>
                <w:b/>
                <w:sz w:val="18"/>
              </w:rPr>
              <w:t>hogares</w:t>
            </w:r>
            <w:r>
              <w:rPr>
                <w:b/>
                <w:spacing w:val="-3"/>
                <w:sz w:val="18"/>
              </w:rPr>
              <w:t> </w:t>
            </w:r>
            <w:r>
              <w:rPr>
                <w:b/>
                <w:sz w:val="18"/>
              </w:rPr>
              <w:t>en situación de pobreza, u organizaciones que atienden poblaciones en dicha situación.</w:t>
            </w:r>
          </w:p>
        </w:tc>
      </w:tr>
      <w:tr>
        <w:trPr>
          <w:trHeight w:val="1867" w:hRule="atLeast"/>
        </w:trPr>
        <w:tc>
          <w:tcPr>
            <w:tcW w:w="2972" w:type="dxa"/>
          </w:tcPr>
          <w:p>
            <w:pPr>
              <w:pStyle w:val="TableParagraph"/>
              <w:ind w:left="72" w:right="105"/>
              <w:rPr>
                <w:sz w:val="18"/>
              </w:rPr>
            </w:pPr>
            <w:r>
              <w:rPr>
                <w:b/>
                <w:sz w:val="18"/>
              </w:rPr>
              <w:t>Actividad PPPS 1.1.1: </w:t>
            </w:r>
            <w:r>
              <w:rPr>
                <w:sz w:val="18"/>
              </w:rPr>
              <w:t>Otorgamiento del subsidio Atención a Familias a hogares en situación de pobreza, como un aporte</w:t>
            </w:r>
            <w:r>
              <w:rPr>
                <w:spacing w:val="-8"/>
                <w:sz w:val="18"/>
              </w:rPr>
              <w:t> </w:t>
            </w:r>
            <w:r>
              <w:rPr>
                <w:sz w:val="18"/>
              </w:rPr>
              <w:t>económico</w:t>
            </w:r>
            <w:r>
              <w:rPr>
                <w:spacing w:val="-11"/>
                <w:sz w:val="18"/>
              </w:rPr>
              <w:t> </w:t>
            </w:r>
            <w:r>
              <w:rPr>
                <w:sz w:val="18"/>
              </w:rPr>
              <w:t>temporal</w:t>
            </w:r>
            <w:r>
              <w:rPr>
                <w:spacing w:val="-9"/>
                <w:sz w:val="18"/>
              </w:rPr>
              <w:t> </w:t>
            </w:r>
            <w:r>
              <w:rPr>
                <w:sz w:val="18"/>
              </w:rPr>
              <w:t>para</w:t>
            </w:r>
            <w:r>
              <w:rPr>
                <w:spacing w:val="-11"/>
                <w:sz w:val="18"/>
              </w:rPr>
              <w:t> </w:t>
            </w:r>
            <w:r>
              <w:rPr>
                <w:sz w:val="18"/>
              </w:rPr>
              <w:t>la satisfacción de sus necesidades básicas (vinculación con PNDIP 2023-2026 A.2</w:t>
            </w:r>
            <w:r>
              <w:rPr>
                <w:spacing w:val="-2"/>
                <w:sz w:val="18"/>
              </w:rPr>
              <w:t> </w:t>
            </w:r>
            <w:r>
              <w:rPr>
                <w:sz w:val="18"/>
              </w:rPr>
              <w:t>y B.3</w:t>
            </w:r>
            <w:r>
              <w:rPr>
                <w:spacing w:val="-2"/>
                <w:sz w:val="18"/>
              </w:rPr>
              <w:t> </w:t>
            </w:r>
            <w:r>
              <w:rPr>
                <w:sz w:val="18"/>
              </w:rPr>
              <w:t>/ PEN</w:t>
            </w:r>
            <w:r>
              <w:rPr>
                <w:spacing w:val="-4"/>
                <w:sz w:val="18"/>
              </w:rPr>
              <w:t> </w:t>
            </w:r>
            <w:r>
              <w:rPr>
                <w:sz w:val="18"/>
              </w:rPr>
              <w:t>/ PIEG</w:t>
            </w:r>
          </w:p>
          <w:p>
            <w:pPr>
              <w:pStyle w:val="TableParagraph"/>
              <w:spacing w:line="192" w:lineRule="exact"/>
              <w:ind w:left="72"/>
              <w:rPr>
                <w:sz w:val="18"/>
              </w:rPr>
            </w:pPr>
            <w:r>
              <w:rPr>
                <w:sz w:val="18"/>
              </w:rPr>
              <w:t>2.3.2</w:t>
            </w:r>
            <w:r>
              <w:rPr>
                <w:spacing w:val="-6"/>
                <w:sz w:val="18"/>
              </w:rPr>
              <w:t> </w:t>
            </w:r>
            <w:r>
              <w:rPr>
                <w:sz w:val="18"/>
              </w:rPr>
              <w:t>/</w:t>
            </w:r>
            <w:r>
              <w:rPr>
                <w:spacing w:val="1"/>
                <w:sz w:val="18"/>
              </w:rPr>
              <w:t> </w:t>
            </w:r>
            <w:r>
              <w:rPr>
                <w:sz w:val="18"/>
              </w:rPr>
              <w:t>PIEG</w:t>
            </w:r>
            <w:r>
              <w:rPr>
                <w:spacing w:val="1"/>
                <w:sz w:val="18"/>
              </w:rPr>
              <w:t> </w:t>
            </w:r>
            <w:r>
              <w:rPr>
                <w:spacing w:val="-2"/>
                <w:sz w:val="18"/>
              </w:rPr>
              <w:t>2.6.1).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1"/>
              <w:jc w:val="center"/>
              <w:rPr>
                <w:sz w:val="18"/>
              </w:rPr>
            </w:pPr>
            <w:r>
              <w:rPr>
                <w:sz w:val="18"/>
              </w:rPr>
              <w:t>200</w:t>
            </w:r>
            <w:r>
              <w:rPr>
                <w:spacing w:val="2"/>
                <w:sz w:val="18"/>
              </w:rPr>
              <w:t> </w:t>
            </w:r>
            <w:r>
              <w:rPr>
                <w:spacing w:val="-5"/>
                <w:sz w:val="18"/>
              </w:rPr>
              <w:t>846</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1" w:right="15"/>
              <w:jc w:val="center"/>
              <w:rPr>
                <w:sz w:val="18"/>
              </w:rPr>
            </w:pPr>
            <w:r>
              <w:rPr>
                <w:sz w:val="18"/>
              </w:rPr>
              <w:t>87</w:t>
            </w:r>
            <w:r>
              <w:rPr>
                <w:spacing w:val="2"/>
                <w:sz w:val="18"/>
              </w:rPr>
              <w:t> </w:t>
            </w:r>
            <w:r>
              <w:rPr>
                <w:spacing w:val="-5"/>
                <w:sz w:val="18"/>
              </w:rPr>
              <w:t>815</w:t>
            </w:r>
          </w:p>
        </w:tc>
        <w:tc>
          <w:tcPr>
            <w:tcW w:w="1982"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8"/>
              <w:rPr>
                <w:sz w:val="18"/>
              </w:rPr>
            </w:pPr>
            <w:r>
              <w:rPr>
                <w:sz w:val="18"/>
              </w:rPr>
              <w:t>Cantidad de hogares que</w:t>
            </w:r>
            <w:r>
              <w:rPr>
                <w:spacing w:val="-13"/>
                <w:sz w:val="18"/>
              </w:rPr>
              <w:t> </w:t>
            </w:r>
            <w:r>
              <w:rPr>
                <w:sz w:val="18"/>
              </w:rPr>
              <w:t>reciben</w:t>
            </w:r>
            <w:r>
              <w:rPr>
                <w:spacing w:val="-12"/>
                <w:sz w:val="18"/>
              </w:rPr>
              <w:t> </w:t>
            </w:r>
            <w:r>
              <w:rPr>
                <w:sz w:val="18"/>
              </w:rPr>
              <w:t>el</w:t>
            </w:r>
            <w:r>
              <w:rPr>
                <w:spacing w:val="-10"/>
                <w:sz w:val="18"/>
              </w:rPr>
              <w:t> </w:t>
            </w:r>
            <w:r>
              <w:rPr>
                <w:sz w:val="18"/>
              </w:rPr>
              <w:t>subsidio de atención a familias.</w:t>
            </w:r>
          </w:p>
        </w:tc>
        <w:tc>
          <w:tcPr>
            <w:tcW w:w="1560" w:type="dxa"/>
          </w:tcPr>
          <w:p>
            <w:pPr>
              <w:pStyle w:val="TableParagraph"/>
              <w:rPr>
                <w:b/>
                <w:sz w:val="18"/>
              </w:rPr>
            </w:pPr>
          </w:p>
          <w:p>
            <w:pPr>
              <w:pStyle w:val="TableParagraph"/>
              <w:spacing w:before="103"/>
              <w:rPr>
                <w:b/>
                <w:sz w:val="18"/>
              </w:rPr>
            </w:pPr>
          </w:p>
          <w:p>
            <w:pPr>
              <w:pStyle w:val="TableParagraph"/>
              <w:spacing w:line="242" w:lineRule="auto"/>
              <w:ind w:left="73" w:right="58"/>
              <w:rPr>
                <w:sz w:val="18"/>
              </w:rPr>
            </w:pPr>
            <w:r>
              <w:rPr>
                <w:sz w:val="18"/>
              </w:rPr>
              <w:t>Informes de </w:t>
            </w:r>
            <w:r>
              <w:rPr>
                <w:spacing w:val="-2"/>
                <w:sz w:val="18"/>
              </w:rPr>
              <w:t>ejecución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17" w:right="10"/>
              <w:jc w:val="center"/>
              <w:rPr>
                <w:sz w:val="18"/>
              </w:rPr>
            </w:pPr>
            <w:r>
              <w:rPr>
                <w:spacing w:val="-5"/>
                <w:sz w:val="18"/>
              </w:rPr>
              <w:t>DBF</w:t>
            </w:r>
          </w:p>
        </w:tc>
        <w:tc>
          <w:tcPr>
            <w:tcW w:w="164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102"/>
              <w:jc w:val="center"/>
              <w:rPr>
                <w:sz w:val="18"/>
              </w:rPr>
            </w:pPr>
            <w:r>
              <w:rPr>
                <w:sz w:val="18"/>
              </w:rPr>
              <w:t>₡</w:t>
            </w:r>
            <w:r>
              <w:rPr>
                <w:spacing w:val="1"/>
                <w:sz w:val="18"/>
              </w:rPr>
              <w:t> </w:t>
            </w:r>
            <w:r>
              <w:rPr>
                <w:sz w:val="18"/>
              </w:rPr>
              <w:t>25</w:t>
            </w:r>
            <w:r>
              <w:rPr>
                <w:spacing w:val="-2"/>
                <w:sz w:val="18"/>
              </w:rPr>
              <w:t> </w:t>
            </w:r>
            <w:r>
              <w:rPr>
                <w:sz w:val="18"/>
              </w:rPr>
              <w:t>694</w:t>
            </w:r>
            <w:r>
              <w:rPr>
                <w:spacing w:val="-2"/>
                <w:sz w:val="18"/>
              </w:rPr>
              <w:t> </w:t>
            </w:r>
            <w:r>
              <w:rPr>
                <w:sz w:val="18"/>
              </w:rPr>
              <w:t>506</w:t>
            </w:r>
            <w:r>
              <w:rPr>
                <w:spacing w:val="-2"/>
                <w:sz w:val="18"/>
              </w:rPr>
              <w:t> </w:t>
            </w:r>
            <w:r>
              <w:rPr>
                <w:spacing w:val="-5"/>
                <w:sz w:val="18"/>
              </w:rPr>
              <w:t>424</w:t>
            </w:r>
          </w:p>
        </w:tc>
        <w:tc>
          <w:tcPr>
            <w:tcW w:w="1550" w:type="dxa"/>
            <w:vMerge w:val="restart"/>
          </w:tcPr>
          <w:p>
            <w:pPr>
              <w:pStyle w:val="TableParagraph"/>
              <w:spacing w:line="207" w:lineRule="exact" w:before="42"/>
              <w:ind w:left="74"/>
              <w:rPr>
                <w:sz w:val="18"/>
              </w:rPr>
            </w:pPr>
            <w:r>
              <w:rPr>
                <w:spacing w:val="-2"/>
                <w:sz w:val="18"/>
              </w:rPr>
              <w:t>Eventos:</w:t>
            </w:r>
          </w:p>
          <w:p>
            <w:pPr>
              <w:pStyle w:val="TableParagraph"/>
              <w:numPr>
                <w:ilvl w:val="0"/>
                <w:numId w:val="32"/>
              </w:numPr>
              <w:tabs>
                <w:tab w:pos="288" w:val="left" w:leader="none"/>
              </w:tabs>
              <w:spacing w:line="240" w:lineRule="auto" w:before="0" w:after="0"/>
              <w:ind w:left="74" w:right="129" w:firstLine="0"/>
              <w:jc w:val="left"/>
              <w:rPr>
                <w:sz w:val="18"/>
              </w:rPr>
            </w:pPr>
            <w:r>
              <w:rPr>
                <w:spacing w:val="-2"/>
                <w:sz w:val="18"/>
              </w:rPr>
              <w:t>Traslado </w:t>
            </w:r>
            <w:r>
              <w:rPr>
                <w:sz w:val="18"/>
              </w:rPr>
              <w:t>tardío de </w:t>
            </w:r>
            <w:r>
              <w:rPr>
                <w:spacing w:val="-2"/>
                <w:sz w:val="18"/>
              </w:rPr>
              <w:t>recursos presupuestarios </w:t>
            </w:r>
            <w:r>
              <w:rPr>
                <w:sz w:val="18"/>
              </w:rPr>
              <w:t>provenientes de fuentes</w:t>
            </w:r>
            <w:r>
              <w:rPr>
                <w:spacing w:val="-13"/>
                <w:sz w:val="18"/>
              </w:rPr>
              <w:t> </w:t>
            </w:r>
            <w:r>
              <w:rPr>
                <w:sz w:val="18"/>
              </w:rPr>
              <w:t>externas u otros programas de IMAS que están </w:t>
            </w:r>
            <w:r>
              <w:rPr>
                <w:spacing w:val="-2"/>
                <w:sz w:val="18"/>
              </w:rPr>
              <w:t>desvinculados </w:t>
            </w:r>
            <w:r>
              <w:rPr>
                <w:sz w:val="18"/>
              </w:rPr>
              <w:t>con la </w:t>
            </w:r>
            <w:r>
              <w:rPr>
                <w:spacing w:val="-2"/>
                <w:sz w:val="18"/>
              </w:rPr>
              <w:t>planificación previa.</w:t>
            </w:r>
          </w:p>
          <w:p>
            <w:pPr>
              <w:pStyle w:val="TableParagraph"/>
              <w:numPr>
                <w:ilvl w:val="0"/>
                <w:numId w:val="32"/>
              </w:numPr>
              <w:tabs>
                <w:tab w:pos="288" w:val="left" w:leader="none"/>
              </w:tabs>
              <w:spacing w:line="240" w:lineRule="auto" w:before="3" w:after="0"/>
              <w:ind w:left="74" w:right="129" w:firstLine="0"/>
              <w:jc w:val="left"/>
              <w:rPr>
                <w:sz w:val="18"/>
              </w:rPr>
            </w:pPr>
            <w:r>
              <w:rPr>
                <w:sz w:val="18"/>
              </w:rPr>
              <w:t>No</w:t>
            </w:r>
            <w:r>
              <w:rPr>
                <w:spacing w:val="-15"/>
                <w:sz w:val="18"/>
              </w:rPr>
              <w:t> </w:t>
            </w:r>
            <w:r>
              <w:rPr>
                <w:sz w:val="18"/>
              </w:rPr>
              <w:t>contar</w:t>
            </w:r>
            <w:r>
              <w:rPr>
                <w:spacing w:val="-12"/>
                <w:sz w:val="18"/>
              </w:rPr>
              <w:t> </w:t>
            </w:r>
            <w:r>
              <w:rPr>
                <w:sz w:val="18"/>
              </w:rPr>
              <w:t>con los recursos suficientes para el otorgamiento de nuevos subsidios a personas que tienen a cargo personas con </w:t>
            </w:r>
            <w:r>
              <w:rPr>
                <w:spacing w:val="-2"/>
                <w:sz w:val="18"/>
              </w:rPr>
              <w:t>discapacidad permanente.</w:t>
            </w:r>
          </w:p>
          <w:p>
            <w:pPr>
              <w:pStyle w:val="TableParagraph"/>
              <w:numPr>
                <w:ilvl w:val="0"/>
                <w:numId w:val="32"/>
              </w:numPr>
              <w:tabs>
                <w:tab w:pos="284" w:val="left" w:leader="none"/>
              </w:tabs>
              <w:spacing w:line="240" w:lineRule="auto" w:before="0" w:after="0"/>
              <w:ind w:left="74" w:right="200" w:firstLine="0"/>
              <w:jc w:val="left"/>
              <w:rPr>
                <w:sz w:val="18"/>
              </w:rPr>
            </w:pPr>
            <w:r>
              <w:rPr>
                <w:spacing w:val="-2"/>
                <w:sz w:val="18"/>
              </w:rPr>
              <w:t>Imposibilidad </w:t>
            </w:r>
            <w:r>
              <w:rPr>
                <w:sz w:val="18"/>
              </w:rPr>
              <w:t>de usar los recursos de</w:t>
            </w:r>
          </w:p>
        </w:tc>
      </w:tr>
      <w:tr>
        <w:trPr>
          <w:trHeight w:val="1656" w:hRule="atLeast"/>
        </w:trPr>
        <w:tc>
          <w:tcPr>
            <w:tcW w:w="2972" w:type="dxa"/>
          </w:tcPr>
          <w:p>
            <w:pPr>
              <w:pStyle w:val="TableParagraph"/>
              <w:spacing w:before="205"/>
              <w:ind w:left="72" w:right="105"/>
              <w:rPr>
                <w:sz w:val="18"/>
              </w:rPr>
            </w:pPr>
            <w:r>
              <w:rPr>
                <w:b/>
                <w:sz w:val="18"/>
              </w:rPr>
              <w:t>Actividad PPPS 1.1.2: </w:t>
            </w:r>
            <w:r>
              <w:rPr>
                <w:sz w:val="18"/>
              </w:rPr>
              <w:t>Otorgamiento de transferencias económicas a personas trabajadoras</w:t>
            </w:r>
            <w:r>
              <w:rPr>
                <w:spacing w:val="-1"/>
                <w:sz w:val="18"/>
              </w:rPr>
              <w:t> </w:t>
            </w:r>
            <w:r>
              <w:rPr>
                <w:sz w:val="18"/>
              </w:rPr>
              <w:t>con</w:t>
            </w:r>
            <w:r>
              <w:rPr>
                <w:spacing w:val="-2"/>
                <w:sz w:val="18"/>
              </w:rPr>
              <w:t> </w:t>
            </w:r>
            <w:r>
              <w:rPr>
                <w:sz w:val="18"/>
              </w:rPr>
              <w:t>bajos</w:t>
            </w:r>
            <w:r>
              <w:rPr>
                <w:spacing w:val="-1"/>
                <w:sz w:val="18"/>
              </w:rPr>
              <w:t> </w:t>
            </w:r>
            <w:r>
              <w:rPr>
                <w:sz w:val="18"/>
              </w:rPr>
              <w:t>ingresos que</w:t>
            </w:r>
            <w:r>
              <w:rPr>
                <w:spacing w:val="-7"/>
                <w:sz w:val="18"/>
              </w:rPr>
              <w:t> </w:t>
            </w:r>
            <w:r>
              <w:rPr>
                <w:sz w:val="18"/>
              </w:rPr>
              <w:t>tengan</w:t>
            </w:r>
            <w:r>
              <w:rPr>
                <w:spacing w:val="-7"/>
                <w:sz w:val="18"/>
              </w:rPr>
              <w:t> </w:t>
            </w:r>
            <w:r>
              <w:rPr>
                <w:sz w:val="18"/>
              </w:rPr>
              <w:t>a</w:t>
            </w:r>
            <w:r>
              <w:rPr>
                <w:spacing w:val="-7"/>
                <w:sz w:val="18"/>
              </w:rPr>
              <w:t> </w:t>
            </w:r>
            <w:r>
              <w:rPr>
                <w:sz w:val="18"/>
              </w:rPr>
              <w:t>su</w:t>
            </w:r>
            <w:r>
              <w:rPr>
                <w:spacing w:val="-7"/>
                <w:sz w:val="18"/>
              </w:rPr>
              <w:t> </w:t>
            </w:r>
            <w:r>
              <w:rPr>
                <w:sz w:val="18"/>
              </w:rPr>
              <w:t>cargo</w:t>
            </w:r>
            <w:r>
              <w:rPr>
                <w:spacing w:val="-7"/>
                <w:sz w:val="18"/>
              </w:rPr>
              <w:t> </w:t>
            </w:r>
            <w:r>
              <w:rPr>
                <w:sz w:val="18"/>
              </w:rPr>
              <w:t>personas con discapacidad permanente.</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
              <w:jc w:val="center"/>
              <w:rPr>
                <w:sz w:val="18"/>
              </w:rPr>
            </w:pPr>
            <w:r>
              <w:rPr>
                <w:sz w:val="18"/>
              </w:rPr>
              <w:t>2</w:t>
            </w:r>
            <w:r>
              <w:rPr>
                <w:spacing w:val="2"/>
                <w:sz w:val="18"/>
              </w:rPr>
              <w:t> </w:t>
            </w:r>
            <w:r>
              <w:rPr>
                <w:spacing w:val="-5"/>
                <w:sz w:val="18"/>
              </w:rPr>
              <w:t>282</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0"/>
              <w:jc w:val="center"/>
              <w:rPr>
                <w:sz w:val="18"/>
              </w:rPr>
            </w:pPr>
            <w:r>
              <w:rPr>
                <w:sz w:val="18"/>
              </w:rPr>
              <w:t>2</w:t>
            </w:r>
            <w:r>
              <w:rPr>
                <w:spacing w:val="2"/>
                <w:sz w:val="18"/>
              </w:rPr>
              <w:t> </w:t>
            </w:r>
            <w:r>
              <w:rPr>
                <w:spacing w:val="-5"/>
                <w:sz w:val="18"/>
              </w:rPr>
              <w:t>560</w:t>
            </w:r>
          </w:p>
        </w:tc>
        <w:tc>
          <w:tcPr>
            <w:tcW w:w="1982" w:type="dxa"/>
          </w:tcPr>
          <w:p>
            <w:pPr>
              <w:pStyle w:val="TableParagraph"/>
              <w:ind w:left="68"/>
              <w:rPr>
                <w:sz w:val="18"/>
              </w:rPr>
            </w:pPr>
            <w:r>
              <w:rPr>
                <w:sz w:val="18"/>
              </w:rPr>
              <w:t>Cantidad de personas trabajadoras</w:t>
            </w:r>
            <w:r>
              <w:rPr>
                <w:spacing w:val="-15"/>
                <w:sz w:val="18"/>
              </w:rPr>
              <w:t> </w:t>
            </w:r>
            <w:r>
              <w:rPr>
                <w:sz w:val="18"/>
              </w:rPr>
              <w:t>con</w:t>
            </w:r>
            <w:r>
              <w:rPr>
                <w:spacing w:val="-12"/>
                <w:sz w:val="18"/>
              </w:rPr>
              <w:t> </w:t>
            </w:r>
            <w:r>
              <w:rPr>
                <w:sz w:val="18"/>
              </w:rPr>
              <w:t>bajos ingresos que tengan a su</w:t>
            </w:r>
            <w:r>
              <w:rPr>
                <w:spacing w:val="-13"/>
                <w:sz w:val="18"/>
              </w:rPr>
              <w:t> </w:t>
            </w:r>
            <w:r>
              <w:rPr>
                <w:sz w:val="18"/>
              </w:rPr>
              <w:t>cargo</w:t>
            </w:r>
            <w:r>
              <w:rPr>
                <w:spacing w:val="-12"/>
                <w:sz w:val="18"/>
              </w:rPr>
              <w:t> </w:t>
            </w:r>
            <w:r>
              <w:rPr>
                <w:sz w:val="18"/>
              </w:rPr>
              <w:t>personas</w:t>
            </w:r>
            <w:r>
              <w:rPr>
                <w:spacing w:val="-11"/>
                <w:sz w:val="18"/>
              </w:rPr>
              <w:t> </w:t>
            </w:r>
            <w:r>
              <w:rPr>
                <w:sz w:val="18"/>
              </w:rPr>
              <w:t>con </w:t>
            </w:r>
            <w:r>
              <w:rPr>
                <w:spacing w:val="-2"/>
                <w:sz w:val="18"/>
              </w:rPr>
              <w:t>discapacidad </w:t>
            </w:r>
            <w:r>
              <w:rPr>
                <w:sz w:val="18"/>
              </w:rPr>
              <w:t>permanente y que reciben el subsidio de</w:t>
            </w:r>
          </w:p>
          <w:p>
            <w:pPr>
              <w:pStyle w:val="TableParagraph"/>
              <w:spacing w:line="188" w:lineRule="exact"/>
              <w:ind w:left="68"/>
              <w:rPr>
                <w:sz w:val="18"/>
              </w:rPr>
            </w:pPr>
            <w:r>
              <w:rPr>
                <w:sz w:val="18"/>
              </w:rPr>
              <w:t>Asignación</w:t>
            </w:r>
            <w:r>
              <w:rPr>
                <w:spacing w:val="-5"/>
                <w:sz w:val="18"/>
              </w:rPr>
              <w:t> </w:t>
            </w:r>
            <w:r>
              <w:rPr>
                <w:spacing w:val="-2"/>
                <w:sz w:val="18"/>
              </w:rPr>
              <w:t>Familiar.</w:t>
            </w:r>
          </w:p>
        </w:tc>
        <w:tc>
          <w:tcPr>
            <w:tcW w:w="1560" w:type="dxa"/>
          </w:tcPr>
          <w:p>
            <w:pPr>
              <w:pStyle w:val="TableParagraph"/>
              <w:spacing w:before="205"/>
              <w:rPr>
                <w:b/>
                <w:sz w:val="18"/>
              </w:rPr>
            </w:pPr>
          </w:p>
          <w:p>
            <w:pPr>
              <w:pStyle w:val="TableParagraph"/>
              <w:ind w:left="73" w:right="58"/>
              <w:rPr>
                <w:sz w:val="18"/>
              </w:rPr>
            </w:pPr>
            <w:r>
              <w:rPr>
                <w:sz w:val="18"/>
              </w:rPr>
              <w:t>Informes de </w:t>
            </w:r>
            <w:r>
              <w:rPr>
                <w:spacing w:val="-2"/>
                <w:sz w:val="18"/>
              </w:rPr>
              <w:t>ejecución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7" w:right="10"/>
              <w:jc w:val="center"/>
              <w:rPr>
                <w:sz w:val="18"/>
              </w:rPr>
            </w:pPr>
            <w:r>
              <w:rPr>
                <w:spacing w:val="-5"/>
                <w:sz w:val="18"/>
              </w:rPr>
              <w:t>DBF</w:t>
            </w:r>
          </w:p>
        </w:tc>
        <w:tc>
          <w:tcPr>
            <w:tcW w:w="164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50"/>
              <w:jc w:val="center"/>
              <w:rPr>
                <w:sz w:val="18"/>
              </w:rPr>
            </w:pPr>
            <w:r>
              <w:rPr>
                <w:sz w:val="18"/>
              </w:rPr>
              <w:t>₡3</w:t>
            </w:r>
            <w:r>
              <w:rPr>
                <w:spacing w:val="1"/>
                <w:sz w:val="18"/>
              </w:rPr>
              <w:t> </w:t>
            </w:r>
            <w:r>
              <w:rPr>
                <w:sz w:val="18"/>
              </w:rPr>
              <w:t>054</w:t>
            </w:r>
            <w:r>
              <w:rPr>
                <w:spacing w:val="-3"/>
                <w:sz w:val="18"/>
              </w:rPr>
              <w:t> </w:t>
            </w:r>
            <w:r>
              <w:rPr>
                <w:sz w:val="18"/>
              </w:rPr>
              <w:t>978</w:t>
            </w:r>
            <w:r>
              <w:rPr>
                <w:spacing w:val="-2"/>
                <w:sz w:val="18"/>
              </w:rPr>
              <w:t> </w:t>
            </w:r>
            <w:r>
              <w:rPr>
                <w:spacing w:val="-5"/>
                <w:sz w:val="18"/>
              </w:rPr>
              <w:t>795</w:t>
            </w:r>
          </w:p>
        </w:tc>
        <w:tc>
          <w:tcPr>
            <w:tcW w:w="1550" w:type="dxa"/>
            <w:vMerge/>
            <w:tcBorders>
              <w:top w:val="nil"/>
            </w:tcBorders>
          </w:tcPr>
          <w:p>
            <w:pPr>
              <w:rPr>
                <w:sz w:val="2"/>
                <w:szCs w:val="2"/>
              </w:rPr>
            </w:pPr>
          </w:p>
        </w:tc>
      </w:tr>
      <w:tr>
        <w:trPr>
          <w:trHeight w:val="1862" w:hRule="atLeast"/>
        </w:trPr>
        <w:tc>
          <w:tcPr>
            <w:tcW w:w="2972" w:type="dxa"/>
          </w:tcPr>
          <w:p>
            <w:pPr>
              <w:pStyle w:val="TableParagraph"/>
              <w:ind w:left="72"/>
              <w:rPr>
                <w:sz w:val="18"/>
              </w:rPr>
            </w:pPr>
            <w:r>
              <w:rPr>
                <w:b/>
                <w:sz w:val="18"/>
              </w:rPr>
              <w:t>Actividad PPPS 1.1.3: </w:t>
            </w:r>
            <w:r>
              <w:rPr>
                <w:sz w:val="18"/>
              </w:rPr>
              <w:t>Otorgamiento de transferencias económicas</w:t>
            </w:r>
            <w:r>
              <w:rPr>
                <w:spacing w:val="-9"/>
                <w:sz w:val="18"/>
              </w:rPr>
              <w:t> </w:t>
            </w:r>
            <w:r>
              <w:rPr>
                <w:sz w:val="18"/>
              </w:rPr>
              <w:t>a</w:t>
            </w:r>
            <w:r>
              <w:rPr>
                <w:spacing w:val="-6"/>
                <w:sz w:val="18"/>
              </w:rPr>
              <w:t> </w:t>
            </w:r>
            <w:r>
              <w:rPr>
                <w:sz w:val="18"/>
              </w:rPr>
              <w:t>personas</w:t>
            </w:r>
            <w:r>
              <w:rPr>
                <w:spacing w:val="-9"/>
                <w:sz w:val="18"/>
              </w:rPr>
              <w:t> </w:t>
            </w:r>
            <w:r>
              <w:rPr>
                <w:sz w:val="18"/>
              </w:rPr>
              <w:t>jóvenes</w:t>
            </w:r>
            <w:r>
              <w:rPr>
                <w:spacing w:val="-9"/>
                <w:sz w:val="18"/>
              </w:rPr>
              <w:t> </w:t>
            </w:r>
            <w:r>
              <w:rPr>
                <w:sz w:val="18"/>
              </w:rPr>
              <w:t>de 18 a 25 años que egresan del Sistema Nacional de Protección Especial del PANI, así como a personas con condición de discapacidad</w:t>
            </w:r>
            <w:r>
              <w:rPr>
                <w:spacing w:val="-7"/>
                <w:sz w:val="18"/>
              </w:rPr>
              <w:t> </w:t>
            </w:r>
            <w:r>
              <w:rPr>
                <w:sz w:val="18"/>
              </w:rPr>
              <w:t>permanente</w:t>
            </w:r>
            <w:r>
              <w:rPr>
                <w:spacing w:val="-3"/>
                <w:sz w:val="18"/>
              </w:rPr>
              <w:t> </w:t>
            </w:r>
            <w:r>
              <w:rPr>
                <w:sz w:val="18"/>
              </w:rPr>
              <w:t>entre</w:t>
            </w:r>
            <w:r>
              <w:rPr>
                <w:spacing w:val="-3"/>
                <w:sz w:val="18"/>
              </w:rPr>
              <w:t> </w:t>
            </w:r>
            <w:r>
              <w:rPr>
                <w:sz w:val="18"/>
              </w:rPr>
              <w:t>los</w:t>
            </w:r>
          </w:p>
          <w:p>
            <w:pPr>
              <w:pStyle w:val="TableParagraph"/>
              <w:spacing w:line="187" w:lineRule="exact"/>
              <w:ind w:left="72"/>
              <w:rPr>
                <w:sz w:val="18"/>
              </w:rPr>
            </w:pPr>
            <w:r>
              <w:rPr>
                <w:sz w:val="18"/>
              </w:rPr>
              <w:t>18</w:t>
            </w:r>
            <w:r>
              <w:rPr>
                <w:spacing w:val="1"/>
                <w:sz w:val="18"/>
              </w:rPr>
              <w:t> </w:t>
            </w:r>
            <w:r>
              <w:rPr>
                <w:sz w:val="18"/>
              </w:rPr>
              <w:t>y</w:t>
            </w:r>
            <w:r>
              <w:rPr>
                <w:spacing w:val="-3"/>
                <w:sz w:val="18"/>
              </w:rPr>
              <w:t> </w:t>
            </w:r>
            <w:r>
              <w:rPr>
                <w:sz w:val="18"/>
              </w:rPr>
              <w:t>los</w:t>
            </w:r>
            <w:r>
              <w:rPr>
                <w:spacing w:val="-3"/>
                <w:sz w:val="18"/>
              </w:rPr>
              <w:t> </w:t>
            </w:r>
            <w:r>
              <w:rPr>
                <w:sz w:val="18"/>
              </w:rPr>
              <w:t>25</w:t>
            </w:r>
            <w:r>
              <w:rPr>
                <w:spacing w:val="2"/>
                <w:sz w:val="18"/>
              </w:rPr>
              <w:t> </w:t>
            </w:r>
            <w:r>
              <w:rPr>
                <w:spacing w:val="-2"/>
                <w:sz w:val="18"/>
              </w:rPr>
              <w:t>años.</w:t>
            </w:r>
          </w:p>
        </w:tc>
        <w:tc>
          <w:tcPr>
            <w:tcW w:w="156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1" w:right="11"/>
              <w:jc w:val="center"/>
              <w:rPr>
                <w:sz w:val="18"/>
              </w:rPr>
            </w:pPr>
            <w:r>
              <w:rPr>
                <w:spacing w:val="-5"/>
                <w:sz w:val="18"/>
              </w:rPr>
              <w:t>377</w:t>
            </w:r>
          </w:p>
        </w:tc>
        <w:tc>
          <w:tcPr>
            <w:tcW w:w="156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1" w:right="10"/>
              <w:jc w:val="center"/>
              <w:rPr>
                <w:sz w:val="18"/>
              </w:rPr>
            </w:pPr>
            <w:r>
              <w:rPr>
                <w:sz w:val="18"/>
              </w:rPr>
              <w:t>1</w:t>
            </w:r>
            <w:r>
              <w:rPr>
                <w:spacing w:val="2"/>
                <w:sz w:val="18"/>
              </w:rPr>
              <w:t> </w:t>
            </w:r>
            <w:r>
              <w:rPr>
                <w:spacing w:val="-5"/>
                <w:sz w:val="18"/>
              </w:rPr>
              <w:t>360</w:t>
            </w:r>
          </w:p>
        </w:tc>
        <w:tc>
          <w:tcPr>
            <w:tcW w:w="1982" w:type="dxa"/>
          </w:tcPr>
          <w:p>
            <w:pPr>
              <w:pStyle w:val="TableParagraph"/>
              <w:rPr>
                <w:b/>
                <w:sz w:val="18"/>
              </w:rPr>
            </w:pPr>
          </w:p>
          <w:p>
            <w:pPr>
              <w:pStyle w:val="TableParagraph"/>
              <w:spacing w:before="98"/>
              <w:rPr>
                <w:b/>
                <w:sz w:val="18"/>
              </w:rPr>
            </w:pPr>
          </w:p>
          <w:p>
            <w:pPr>
              <w:pStyle w:val="TableParagraph"/>
              <w:spacing w:line="242" w:lineRule="auto"/>
              <w:ind w:left="68"/>
              <w:rPr>
                <w:sz w:val="18"/>
              </w:rPr>
            </w:pPr>
            <w:r>
              <w:rPr>
                <w:sz w:val="18"/>
              </w:rPr>
              <w:t>Cantidad de personas que</w:t>
            </w:r>
            <w:r>
              <w:rPr>
                <w:spacing w:val="-13"/>
                <w:sz w:val="18"/>
              </w:rPr>
              <w:t> </w:t>
            </w:r>
            <w:r>
              <w:rPr>
                <w:sz w:val="18"/>
              </w:rPr>
              <w:t>reciben</w:t>
            </w:r>
            <w:r>
              <w:rPr>
                <w:spacing w:val="-12"/>
                <w:sz w:val="18"/>
              </w:rPr>
              <w:t> </w:t>
            </w:r>
            <w:r>
              <w:rPr>
                <w:sz w:val="18"/>
              </w:rPr>
              <w:t>el</w:t>
            </w:r>
            <w:r>
              <w:rPr>
                <w:spacing w:val="-10"/>
                <w:sz w:val="18"/>
              </w:rPr>
              <w:t> </w:t>
            </w:r>
            <w:r>
              <w:rPr>
                <w:sz w:val="18"/>
              </w:rPr>
              <w:t>subsidio de Prestación </w:t>
            </w:r>
            <w:r>
              <w:rPr>
                <w:spacing w:val="-2"/>
                <w:sz w:val="18"/>
              </w:rPr>
              <w:t>Alimentaria.</w:t>
            </w:r>
          </w:p>
        </w:tc>
        <w:tc>
          <w:tcPr>
            <w:tcW w:w="1560" w:type="dxa"/>
          </w:tcPr>
          <w:p>
            <w:pPr>
              <w:pStyle w:val="TableParagraph"/>
              <w:rPr>
                <w:b/>
                <w:sz w:val="18"/>
              </w:rPr>
            </w:pPr>
          </w:p>
          <w:p>
            <w:pPr>
              <w:pStyle w:val="TableParagraph"/>
              <w:spacing w:before="98"/>
              <w:rPr>
                <w:b/>
                <w:sz w:val="18"/>
              </w:rPr>
            </w:pPr>
          </w:p>
          <w:p>
            <w:pPr>
              <w:pStyle w:val="TableParagraph"/>
              <w:spacing w:line="242" w:lineRule="auto"/>
              <w:ind w:left="73" w:right="58"/>
              <w:rPr>
                <w:sz w:val="18"/>
              </w:rPr>
            </w:pPr>
            <w:r>
              <w:rPr>
                <w:sz w:val="18"/>
              </w:rPr>
              <w:t>Informes de </w:t>
            </w:r>
            <w:r>
              <w:rPr>
                <w:spacing w:val="-2"/>
                <w:sz w:val="18"/>
              </w:rPr>
              <w:t>ejecución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17" w:right="10"/>
              <w:jc w:val="center"/>
              <w:rPr>
                <w:sz w:val="18"/>
              </w:rPr>
            </w:pPr>
            <w:r>
              <w:rPr>
                <w:spacing w:val="-5"/>
                <w:sz w:val="18"/>
              </w:rPr>
              <w:t>DBF</w:t>
            </w:r>
          </w:p>
        </w:tc>
        <w:tc>
          <w:tcPr>
            <w:tcW w:w="1647"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50"/>
              <w:jc w:val="center"/>
              <w:rPr>
                <w:sz w:val="18"/>
              </w:rPr>
            </w:pPr>
            <w:r>
              <w:rPr>
                <w:sz w:val="18"/>
              </w:rPr>
              <w:t>₡2</w:t>
            </w:r>
            <w:r>
              <w:rPr>
                <w:spacing w:val="1"/>
                <w:sz w:val="18"/>
              </w:rPr>
              <w:t> </w:t>
            </w:r>
            <w:r>
              <w:rPr>
                <w:sz w:val="18"/>
              </w:rPr>
              <w:t>254</w:t>
            </w:r>
            <w:r>
              <w:rPr>
                <w:spacing w:val="-3"/>
                <w:sz w:val="18"/>
              </w:rPr>
              <w:t> </w:t>
            </w:r>
            <w:r>
              <w:rPr>
                <w:sz w:val="18"/>
              </w:rPr>
              <w:t>978</w:t>
            </w:r>
            <w:r>
              <w:rPr>
                <w:spacing w:val="-2"/>
                <w:sz w:val="18"/>
              </w:rPr>
              <w:t> </w:t>
            </w:r>
            <w:r>
              <w:rPr>
                <w:spacing w:val="-5"/>
                <w:sz w:val="18"/>
              </w:rPr>
              <w:t>795</w:t>
            </w:r>
          </w:p>
        </w:tc>
        <w:tc>
          <w:tcPr>
            <w:tcW w:w="1550" w:type="dxa"/>
            <w:vMerge/>
            <w:tcBorders>
              <w:top w:val="nil"/>
            </w:tcBorders>
          </w:tcPr>
          <w:p>
            <w:pPr>
              <w:rPr>
                <w:sz w:val="2"/>
                <w:szCs w:val="2"/>
              </w:rPr>
            </w:pPr>
          </w:p>
        </w:tc>
      </w:tr>
      <w:tr>
        <w:trPr>
          <w:trHeight w:val="465" w:hRule="atLeast"/>
        </w:trPr>
        <w:tc>
          <w:tcPr>
            <w:tcW w:w="2972" w:type="dxa"/>
          </w:tcPr>
          <w:p>
            <w:pPr>
              <w:pStyle w:val="TableParagraph"/>
              <w:spacing w:line="207" w:lineRule="exact" w:before="23"/>
              <w:ind w:left="72"/>
              <w:rPr>
                <w:b/>
                <w:sz w:val="18"/>
              </w:rPr>
            </w:pPr>
            <w:r>
              <w:rPr>
                <w:b/>
                <w:sz w:val="18"/>
              </w:rPr>
              <w:t>Actividad</w:t>
            </w:r>
            <w:r>
              <w:rPr>
                <w:b/>
                <w:spacing w:val="-6"/>
                <w:sz w:val="18"/>
              </w:rPr>
              <w:t> </w:t>
            </w:r>
            <w:r>
              <w:rPr>
                <w:b/>
                <w:sz w:val="18"/>
              </w:rPr>
              <w:t>PPPS</w:t>
            </w:r>
            <w:r>
              <w:rPr>
                <w:b/>
                <w:spacing w:val="-6"/>
                <w:sz w:val="18"/>
              </w:rPr>
              <w:t> </w:t>
            </w:r>
            <w:r>
              <w:rPr>
                <w:b/>
                <w:spacing w:val="-2"/>
                <w:sz w:val="18"/>
              </w:rPr>
              <w:t>1.1.4:</w:t>
            </w:r>
          </w:p>
          <w:p>
            <w:pPr>
              <w:pStyle w:val="TableParagraph"/>
              <w:spacing w:line="207" w:lineRule="exact"/>
              <w:ind w:left="72"/>
              <w:rPr>
                <w:sz w:val="18"/>
              </w:rPr>
            </w:pPr>
            <w:r>
              <w:rPr>
                <w:sz w:val="18"/>
              </w:rPr>
              <w:t>Otorgamiento</w:t>
            </w:r>
            <w:r>
              <w:rPr>
                <w:spacing w:val="-6"/>
                <w:sz w:val="18"/>
              </w:rPr>
              <w:t> </w:t>
            </w:r>
            <w:r>
              <w:rPr>
                <w:sz w:val="18"/>
              </w:rPr>
              <w:t>de</w:t>
            </w:r>
            <w:r>
              <w:rPr>
                <w:spacing w:val="-6"/>
                <w:sz w:val="18"/>
              </w:rPr>
              <w:t> </w:t>
            </w:r>
            <w:r>
              <w:rPr>
                <w:spacing w:val="-2"/>
                <w:sz w:val="18"/>
              </w:rPr>
              <w:t>transferencias</w:t>
            </w:r>
          </w:p>
        </w:tc>
        <w:tc>
          <w:tcPr>
            <w:tcW w:w="1560" w:type="dxa"/>
          </w:tcPr>
          <w:p>
            <w:pPr>
              <w:pStyle w:val="TableParagraph"/>
              <w:spacing w:before="129"/>
              <w:ind w:left="21" w:right="5"/>
              <w:jc w:val="center"/>
              <w:rPr>
                <w:sz w:val="18"/>
              </w:rPr>
            </w:pPr>
            <w:r>
              <w:rPr>
                <w:sz w:val="18"/>
              </w:rPr>
              <w:t>31</w:t>
            </w:r>
            <w:r>
              <w:rPr>
                <w:spacing w:val="2"/>
                <w:sz w:val="18"/>
              </w:rPr>
              <w:t> </w:t>
            </w:r>
            <w:r>
              <w:rPr>
                <w:spacing w:val="-5"/>
                <w:sz w:val="18"/>
              </w:rPr>
              <w:t>482</w:t>
            </w:r>
          </w:p>
        </w:tc>
        <w:tc>
          <w:tcPr>
            <w:tcW w:w="1560" w:type="dxa"/>
          </w:tcPr>
          <w:p>
            <w:pPr>
              <w:pStyle w:val="TableParagraph"/>
              <w:spacing w:before="129"/>
              <w:ind w:left="21" w:right="15"/>
              <w:jc w:val="center"/>
              <w:rPr>
                <w:sz w:val="18"/>
              </w:rPr>
            </w:pPr>
            <w:r>
              <w:rPr>
                <w:sz w:val="18"/>
              </w:rPr>
              <w:t>35</w:t>
            </w:r>
            <w:r>
              <w:rPr>
                <w:spacing w:val="2"/>
                <w:sz w:val="18"/>
              </w:rPr>
              <w:t> </w:t>
            </w:r>
            <w:r>
              <w:rPr>
                <w:spacing w:val="-5"/>
                <w:sz w:val="18"/>
              </w:rPr>
              <w:t>000</w:t>
            </w:r>
          </w:p>
        </w:tc>
        <w:tc>
          <w:tcPr>
            <w:tcW w:w="1982" w:type="dxa"/>
          </w:tcPr>
          <w:p>
            <w:pPr>
              <w:pStyle w:val="TableParagraph"/>
              <w:spacing w:before="23"/>
              <w:ind w:left="68"/>
              <w:rPr>
                <w:sz w:val="18"/>
              </w:rPr>
            </w:pPr>
            <w:r>
              <w:rPr>
                <w:sz w:val="18"/>
              </w:rPr>
              <w:t>Cantidad</w:t>
            </w:r>
            <w:r>
              <w:rPr>
                <w:spacing w:val="-15"/>
                <w:sz w:val="18"/>
              </w:rPr>
              <w:t> </w:t>
            </w:r>
            <w:r>
              <w:rPr>
                <w:sz w:val="18"/>
              </w:rPr>
              <w:t>de</w:t>
            </w:r>
            <w:r>
              <w:rPr>
                <w:spacing w:val="-12"/>
                <w:sz w:val="18"/>
              </w:rPr>
              <w:t> </w:t>
            </w:r>
            <w:r>
              <w:rPr>
                <w:sz w:val="18"/>
              </w:rPr>
              <w:t>personas receptoras de la</w:t>
            </w:r>
          </w:p>
        </w:tc>
        <w:tc>
          <w:tcPr>
            <w:tcW w:w="1560" w:type="dxa"/>
          </w:tcPr>
          <w:p>
            <w:pPr>
              <w:pStyle w:val="TableParagraph"/>
              <w:spacing w:before="23"/>
              <w:ind w:left="73" w:right="58"/>
              <w:rPr>
                <w:sz w:val="18"/>
              </w:rPr>
            </w:pPr>
            <w:r>
              <w:rPr>
                <w:sz w:val="18"/>
              </w:rPr>
              <w:t>Informes</w:t>
            </w:r>
            <w:r>
              <w:rPr>
                <w:spacing w:val="-13"/>
                <w:sz w:val="18"/>
              </w:rPr>
              <w:t> </w:t>
            </w:r>
            <w:r>
              <w:rPr>
                <w:sz w:val="18"/>
              </w:rPr>
              <w:t>de </w:t>
            </w:r>
            <w:r>
              <w:rPr>
                <w:spacing w:val="-2"/>
                <w:sz w:val="18"/>
              </w:rPr>
              <w:t>ejecución</w:t>
            </w:r>
          </w:p>
        </w:tc>
        <w:tc>
          <w:tcPr>
            <w:tcW w:w="1416" w:type="dxa"/>
          </w:tcPr>
          <w:p>
            <w:pPr>
              <w:pStyle w:val="TableParagraph"/>
              <w:spacing w:before="129"/>
              <w:ind w:left="17" w:right="10"/>
              <w:jc w:val="center"/>
              <w:rPr>
                <w:sz w:val="18"/>
              </w:rPr>
            </w:pPr>
            <w:r>
              <w:rPr>
                <w:spacing w:val="-5"/>
                <w:sz w:val="18"/>
              </w:rPr>
              <w:t>DBF</w:t>
            </w:r>
          </w:p>
        </w:tc>
        <w:tc>
          <w:tcPr>
            <w:tcW w:w="1647" w:type="dxa"/>
          </w:tcPr>
          <w:p>
            <w:pPr>
              <w:pStyle w:val="TableParagraph"/>
              <w:spacing w:before="129"/>
              <w:ind w:left="149"/>
              <w:jc w:val="center"/>
              <w:rPr>
                <w:sz w:val="18"/>
              </w:rPr>
            </w:pPr>
            <w:r>
              <w:rPr>
                <w:sz w:val="18"/>
              </w:rPr>
              <w:t>₡41</w:t>
            </w:r>
            <w:r>
              <w:rPr>
                <w:spacing w:val="1"/>
                <w:sz w:val="18"/>
              </w:rPr>
              <w:t> </w:t>
            </w:r>
            <w:r>
              <w:rPr>
                <w:sz w:val="18"/>
              </w:rPr>
              <w:t>879</w:t>
            </w:r>
            <w:r>
              <w:rPr>
                <w:spacing w:val="-3"/>
                <w:sz w:val="18"/>
              </w:rPr>
              <w:t> </w:t>
            </w:r>
            <w:r>
              <w:rPr>
                <w:sz w:val="18"/>
              </w:rPr>
              <w:t>660</w:t>
            </w:r>
            <w:r>
              <w:rPr>
                <w:spacing w:val="-2"/>
                <w:sz w:val="18"/>
              </w:rPr>
              <w:t> </w:t>
            </w:r>
            <w:r>
              <w:rPr>
                <w:spacing w:val="-5"/>
                <w:sz w:val="18"/>
              </w:rPr>
              <w:t>720</w:t>
            </w:r>
          </w:p>
        </w:tc>
        <w:tc>
          <w:tcPr>
            <w:tcW w:w="1550" w:type="dxa"/>
            <w:vMerge/>
            <w:tcBorders>
              <w:top w:val="nil"/>
            </w:tcBorders>
          </w:tcPr>
          <w:p>
            <w:pPr>
              <w:rPr>
                <w:sz w:val="2"/>
                <w:szCs w:val="2"/>
              </w:rPr>
            </w:pPr>
          </w:p>
        </w:tc>
      </w:tr>
    </w:tbl>
    <w:p>
      <w:pPr>
        <w:spacing w:after="0"/>
        <w:rPr>
          <w:sz w:val="2"/>
          <w:szCs w:val="2"/>
        </w:rPr>
        <w:sectPr>
          <w:footerReference w:type="default" r:id="rId60"/>
          <w:pgSz w:w="15840" w:h="12240" w:orient="landscape"/>
          <w:pgMar w:header="0" w:footer="1806" w:top="640" w:bottom="2627"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6"/>
        <w:gridCol w:w="1550"/>
      </w:tblGrid>
      <w:tr>
        <w:trPr>
          <w:trHeight w:val="619" w:hRule="atLeast"/>
        </w:trPr>
        <w:tc>
          <w:tcPr>
            <w:tcW w:w="2972" w:type="dxa"/>
            <w:tcBorders>
              <w:bottom w:val="nil"/>
            </w:tcBorders>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tcBorders>
              <w:bottom w:val="nil"/>
            </w:tcBorders>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tcBorders>
              <w:bottom w:val="nil"/>
            </w:tcBorders>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tcBorders>
              <w:bottom w:val="nil"/>
            </w:tcBorders>
            <w:shd w:val="clear" w:color="auto" w:fill="D9D9D9"/>
          </w:tcPr>
          <w:p>
            <w:pPr>
              <w:pStyle w:val="TableParagraph"/>
              <w:spacing w:before="205"/>
              <w:ind w:left="581"/>
              <w:rPr>
                <w:b/>
                <w:sz w:val="18"/>
              </w:rPr>
            </w:pPr>
            <w:r>
              <w:rPr>
                <w:b/>
                <w:spacing w:val="-2"/>
                <w:sz w:val="18"/>
              </w:rPr>
              <w:t>Indicador</w:t>
            </w:r>
          </w:p>
        </w:tc>
        <w:tc>
          <w:tcPr>
            <w:tcW w:w="1560" w:type="dxa"/>
            <w:tcBorders>
              <w:bottom w:val="nil"/>
            </w:tcBorders>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tcBorders>
              <w:bottom w:val="nil"/>
            </w:tcBorders>
            <w:shd w:val="clear" w:color="auto" w:fill="D9D9D9"/>
          </w:tcPr>
          <w:p>
            <w:pPr>
              <w:pStyle w:val="TableParagraph"/>
              <w:spacing w:before="205"/>
              <w:ind w:left="17" w:right="7"/>
              <w:jc w:val="center"/>
              <w:rPr>
                <w:b/>
                <w:sz w:val="18"/>
              </w:rPr>
            </w:pPr>
            <w:r>
              <w:rPr>
                <w:b/>
                <w:spacing w:val="-2"/>
                <w:sz w:val="18"/>
              </w:rPr>
              <w:t>Responsable</w:t>
            </w:r>
          </w:p>
        </w:tc>
        <w:tc>
          <w:tcPr>
            <w:tcW w:w="1646" w:type="dxa"/>
            <w:tcBorders>
              <w:bottom w:val="nil"/>
            </w:tcBorders>
            <w:shd w:val="clear" w:color="auto" w:fill="D9D9D9"/>
          </w:tcPr>
          <w:p>
            <w:pPr>
              <w:pStyle w:val="TableParagraph"/>
              <w:spacing w:before="104"/>
              <w:ind w:left="430" w:hanging="120"/>
              <w:rPr>
                <w:b/>
                <w:sz w:val="18"/>
              </w:rPr>
            </w:pPr>
            <w:r>
              <w:rPr>
                <w:b/>
                <w:spacing w:val="-2"/>
                <w:sz w:val="18"/>
              </w:rPr>
              <w:t>Presupuesto asignado</w:t>
            </w:r>
          </w:p>
        </w:tc>
        <w:tc>
          <w:tcPr>
            <w:tcW w:w="1550" w:type="dxa"/>
            <w:tcBorders>
              <w:bottom w:val="nil"/>
            </w:tcBorders>
            <w:shd w:val="clear" w:color="auto" w:fill="D9D9D9"/>
          </w:tcPr>
          <w:p>
            <w:pPr>
              <w:pStyle w:val="TableParagraph"/>
              <w:spacing w:line="206" w:lineRule="exact"/>
              <w:ind w:left="23" w:right="3"/>
              <w:jc w:val="center"/>
              <w:rPr>
                <w:b/>
                <w:sz w:val="18"/>
              </w:rPr>
            </w:pPr>
            <w:r>
              <w:rPr>
                <w:b/>
                <w:spacing w:val="-2"/>
                <w:sz w:val="18"/>
              </w:rPr>
              <w:t>Riesgos </w:t>
            </w:r>
            <w:r>
              <w:rPr>
                <w:b/>
                <w:sz w:val="18"/>
              </w:rPr>
              <w:t>asociados al </w:t>
            </w:r>
            <w:r>
              <w:rPr>
                <w:b/>
                <w:spacing w:val="-2"/>
                <w:sz w:val="18"/>
              </w:rPr>
              <w:t>cumplimiento</w:t>
            </w:r>
          </w:p>
        </w:tc>
      </w:tr>
      <w:tr>
        <w:trPr>
          <w:trHeight w:val="1459" w:hRule="atLeast"/>
        </w:trPr>
        <w:tc>
          <w:tcPr>
            <w:tcW w:w="2972" w:type="dxa"/>
            <w:tcBorders>
              <w:top w:val="nil"/>
            </w:tcBorders>
          </w:tcPr>
          <w:p>
            <w:pPr>
              <w:pStyle w:val="TableParagraph"/>
              <w:spacing w:before="13"/>
              <w:ind w:left="72" w:right="60"/>
              <w:rPr>
                <w:sz w:val="18"/>
              </w:rPr>
            </w:pPr>
            <w:r>
              <w:rPr>
                <w:sz w:val="18"/>
              </w:rPr>
              <w:t>económicas como aporte al cuido de niños y niñas de 0 y hasta 12 años y 364 días cumplidos, y personas con condición de discapacidad menores de 18 años (vinculación</w:t>
            </w:r>
            <w:r>
              <w:rPr>
                <w:spacing w:val="-10"/>
                <w:sz w:val="18"/>
              </w:rPr>
              <w:t> </w:t>
            </w:r>
            <w:r>
              <w:rPr>
                <w:sz w:val="18"/>
              </w:rPr>
              <w:t>con</w:t>
            </w:r>
            <w:r>
              <w:rPr>
                <w:spacing w:val="-10"/>
                <w:sz w:val="18"/>
              </w:rPr>
              <w:t> </w:t>
            </w:r>
            <w:r>
              <w:rPr>
                <w:sz w:val="18"/>
              </w:rPr>
              <w:t>PNDIP</w:t>
            </w:r>
            <w:r>
              <w:rPr>
                <w:spacing w:val="-11"/>
                <w:sz w:val="18"/>
              </w:rPr>
              <w:t> </w:t>
            </w:r>
            <w:r>
              <w:rPr>
                <w:sz w:val="18"/>
              </w:rPr>
              <w:t>2023-2026</w:t>
            </w:r>
          </w:p>
          <w:p>
            <w:pPr>
              <w:pStyle w:val="TableParagraph"/>
              <w:spacing w:line="184" w:lineRule="exact"/>
              <w:ind w:left="72"/>
              <w:rPr>
                <w:sz w:val="18"/>
              </w:rPr>
            </w:pPr>
            <w:r>
              <w:rPr>
                <w:sz w:val="18"/>
              </w:rPr>
              <w:t>B.2</w:t>
            </w:r>
            <w:r>
              <w:rPr>
                <w:spacing w:val="-6"/>
                <w:sz w:val="18"/>
              </w:rPr>
              <w:t> </w:t>
            </w:r>
            <w:r>
              <w:rPr>
                <w:sz w:val="18"/>
              </w:rPr>
              <w:t>/</w:t>
            </w:r>
            <w:r>
              <w:rPr>
                <w:spacing w:val="1"/>
                <w:sz w:val="18"/>
              </w:rPr>
              <w:t> </w:t>
            </w:r>
            <w:r>
              <w:rPr>
                <w:sz w:val="18"/>
              </w:rPr>
              <w:t>PLANOVI</w:t>
            </w:r>
            <w:r>
              <w:rPr>
                <w:spacing w:val="-3"/>
                <w:sz w:val="18"/>
              </w:rPr>
              <w:t> </w:t>
            </w:r>
            <w:r>
              <w:rPr>
                <w:sz w:val="18"/>
              </w:rPr>
              <w:t>3.3.1</w:t>
            </w:r>
            <w:r>
              <w:rPr>
                <w:spacing w:val="-5"/>
                <w:sz w:val="18"/>
              </w:rPr>
              <w:t> ).</w:t>
            </w:r>
          </w:p>
        </w:tc>
        <w:tc>
          <w:tcPr>
            <w:tcW w:w="1560" w:type="dxa"/>
            <w:tcBorders>
              <w:top w:val="nil"/>
            </w:tcBorders>
          </w:tcPr>
          <w:p>
            <w:pPr>
              <w:pStyle w:val="TableParagraph"/>
              <w:rPr>
                <w:rFonts w:ascii="Times New Roman"/>
                <w:sz w:val="18"/>
              </w:rPr>
            </w:pPr>
          </w:p>
        </w:tc>
        <w:tc>
          <w:tcPr>
            <w:tcW w:w="1560" w:type="dxa"/>
            <w:tcBorders>
              <w:top w:val="nil"/>
            </w:tcBorders>
          </w:tcPr>
          <w:p>
            <w:pPr>
              <w:pStyle w:val="TableParagraph"/>
              <w:rPr>
                <w:rFonts w:ascii="Times New Roman"/>
                <w:sz w:val="18"/>
              </w:rPr>
            </w:pPr>
          </w:p>
        </w:tc>
        <w:tc>
          <w:tcPr>
            <w:tcW w:w="1982" w:type="dxa"/>
            <w:tcBorders>
              <w:top w:val="nil"/>
            </w:tcBorders>
          </w:tcPr>
          <w:p>
            <w:pPr>
              <w:pStyle w:val="TableParagraph"/>
              <w:spacing w:before="13"/>
              <w:ind w:left="68" w:right="114"/>
              <w:rPr>
                <w:sz w:val="18"/>
              </w:rPr>
            </w:pPr>
            <w:r>
              <w:rPr>
                <w:spacing w:val="-2"/>
                <w:sz w:val="18"/>
              </w:rPr>
              <w:t>transferencia monetaria </w:t>
            </w:r>
            <w:r>
              <w:rPr>
                <w:sz w:val="18"/>
              </w:rPr>
              <w:t>condicionada</w:t>
            </w:r>
            <w:r>
              <w:rPr>
                <w:spacing w:val="-13"/>
                <w:sz w:val="18"/>
              </w:rPr>
              <w:t> </w:t>
            </w:r>
            <w:r>
              <w:rPr>
                <w:sz w:val="18"/>
              </w:rPr>
              <w:t>Cuidado y Desarrollo Infantil.</w:t>
            </w:r>
          </w:p>
        </w:tc>
        <w:tc>
          <w:tcPr>
            <w:tcW w:w="1560" w:type="dxa"/>
            <w:tcBorders>
              <w:top w:val="nil"/>
            </w:tcBorders>
          </w:tcPr>
          <w:p>
            <w:pPr>
              <w:pStyle w:val="TableParagraph"/>
              <w:spacing w:before="13"/>
              <w:ind w:left="73" w:right="58"/>
              <w:rPr>
                <w:sz w:val="18"/>
              </w:rPr>
            </w:pPr>
            <w:r>
              <w:rPr>
                <w:sz w:val="18"/>
              </w:rPr>
              <w:t>elaborados</w:t>
            </w:r>
            <w:r>
              <w:rPr>
                <w:spacing w:val="-15"/>
                <w:sz w:val="18"/>
              </w:rPr>
              <w:t> </w:t>
            </w:r>
            <w:r>
              <w:rPr>
                <w:sz w:val="18"/>
              </w:rPr>
              <w:t>por</w:t>
            </w:r>
            <w:r>
              <w:rPr>
                <w:spacing w:val="-12"/>
                <w:sz w:val="18"/>
              </w:rPr>
              <w:t> </w:t>
            </w:r>
            <w:r>
              <w:rPr>
                <w:sz w:val="18"/>
              </w:rPr>
              <w:t>el </w:t>
            </w:r>
            <w:r>
              <w:rPr>
                <w:spacing w:val="-4"/>
                <w:sz w:val="18"/>
              </w:rPr>
              <w:t>DSIS</w:t>
            </w:r>
          </w:p>
        </w:tc>
        <w:tc>
          <w:tcPr>
            <w:tcW w:w="1416" w:type="dxa"/>
            <w:tcBorders>
              <w:top w:val="nil"/>
            </w:tcBorders>
          </w:tcPr>
          <w:p>
            <w:pPr>
              <w:pStyle w:val="TableParagraph"/>
              <w:rPr>
                <w:rFonts w:ascii="Times New Roman"/>
                <w:sz w:val="18"/>
              </w:rPr>
            </w:pPr>
          </w:p>
        </w:tc>
        <w:tc>
          <w:tcPr>
            <w:tcW w:w="1646" w:type="dxa"/>
            <w:tcBorders>
              <w:top w:val="nil"/>
            </w:tcBorders>
          </w:tcPr>
          <w:p>
            <w:pPr>
              <w:pStyle w:val="TableParagraph"/>
              <w:rPr>
                <w:rFonts w:ascii="Times New Roman"/>
                <w:sz w:val="18"/>
              </w:rPr>
            </w:pPr>
          </w:p>
        </w:tc>
        <w:tc>
          <w:tcPr>
            <w:tcW w:w="1550" w:type="dxa"/>
            <w:vMerge w:val="restart"/>
            <w:tcBorders>
              <w:top w:val="nil"/>
            </w:tcBorders>
          </w:tcPr>
          <w:p>
            <w:pPr>
              <w:pStyle w:val="TableParagraph"/>
              <w:spacing w:line="207" w:lineRule="exact" w:before="13"/>
              <w:ind w:left="75"/>
              <w:rPr>
                <w:sz w:val="18"/>
              </w:rPr>
            </w:pPr>
            <w:r>
              <w:rPr>
                <w:spacing w:val="-2"/>
                <w:sz w:val="18"/>
              </w:rPr>
              <w:t>FODESAF</w:t>
            </w:r>
          </w:p>
          <w:p>
            <w:pPr>
              <w:pStyle w:val="TableParagraph"/>
              <w:ind w:left="75" w:right="128"/>
              <w:rPr>
                <w:sz w:val="18"/>
              </w:rPr>
            </w:pPr>
            <w:r>
              <w:rPr>
                <w:sz w:val="18"/>
              </w:rPr>
              <w:t>porque no se cumple con los requisitos de la </w:t>
            </w:r>
            <w:r>
              <w:rPr>
                <w:spacing w:val="-2"/>
                <w:sz w:val="18"/>
              </w:rPr>
              <w:t>normativa </w:t>
            </w:r>
            <w:r>
              <w:rPr>
                <w:sz w:val="18"/>
              </w:rPr>
              <w:t>externa</w:t>
            </w:r>
            <w:r>
              <w:rPr>
                <w:spacing w:val="-3"/>
                <w:sz w:val="18"/>
              </w:rPr>
              <w:t> </w:t>
            </w:r>
            <w:r>
              <w:rPr>
                <w:spacing w:val="-2"/>
                <w:sz w:val="18"/>
              </w:rPr>
              <w:t>vigente.</w:t>
            </w:r>
          </w:p>
          <w:p>
            <w:pPr>
              <w:pStyle w:val="TableParagraph"/>
              <w:numPr>
                <w:ilvl w:val="0"/>
                <w:numId w:val="33"/>
              </w:numPr>
              <w:tabs>
                <w:tab w:pos="289" w:val="left" w:leader="none"/>
              </w:tabs>
              <w:spacing w:line="240" w:lineRule="auto" w:before="0" w:after="0"/>
              <w:ind w:left="75" w:right="138" w:firstLine="0"/>
              <w:jc w:val="left"/>
              <w:rPr>
                <w:sz w:val="18"/>
              </w:rPr>
            </w:pPr>
            <w:r>
              <w:rPr>
                <w:spacing w:val="-2"/>
                <w:sz w:val="18"/>
              </w:rPr>
              <w:t>Posible </w:t>
            </w:r>
            <w:r>
              <w:rPr>
                <w:sz w:val="18"/>
              </w:rPr>
              <w:t>exclusión de niños</w:t>
            </w:r>
            <w:r>
              <w:rPr>
                <w:spacing w:val="-2"/>
                <w:sz w:val="18"/>
              </w:rPr>
              <w:t> </w:t>
            </w:r>
            <w:r>
              <w:rPr>
                <w:sz w:val="18"/>
              </w:rPr>
              <w:t>y</w:t>
            </w:r>
            <w:r>
              <w:rPr>
                <w:spacing w:val="-7"/>
                <w:sz w:val="18"/>
              </w:rPr>
              <w:t> </w:t>
            </w:r>
            <w:r>
              <w:rPr>
                <w:sz w:val="18"/>
              </w:rPr>
              <w:t>niñas</w:t>
            </w:r>
            <w:r>
              <w:rPr>
                <w:spacing w:val="-7"/>
                <w:sz w:val="18"/>
              </w:rPr>
              <w:t> </w:t>
            </w:r>
            <w:r>
              <w:rPr>
                <w:sz w:val="18"/>
              </w:rPr>
              <w:t>de hasta</w:t>
            </w:r>
            <w:r>
              <w:rPr>
                <w:spacing w:val="-12"/>
                <w:sz w:val="18"/>
              </w:rPr>
              <w:t> </w:t>
            </w:r>
            <w:r>
              <w:rPr>
                <w:sz w:val="18"/>
              </w:rPr>
              <w:t>12</w:t>
            </w:r>
            <w:r>
              <w:rPr>
                <w:spacing w:val="-12"/>
                <w:sz w:val="18"/>
              </w:rPr>
              <w:t> </w:t>
            </w:r>
            <w:r>
              <w:rPr>
                <w:sz w:val="18"/>
              </w:rPr>
              <w:t>años,</w:t>
            </w:r>
            <w:r>
              <w:rPr>
                <w:spacing w:val="-11"/>
                <w:sz w:val="18"/>
              </w:rPr>
              <w:t> </w:t>
            </w:r>
            <w:r>
              <w:rPr>
                <w:sz w:val="18"/>
              </w:rPr>
              <w:t>y personas con condición de </w:t>
            </w:r>
            <w:r>
              <w:rPr>
                <w:spacing w:val="-2"/>
                <w:sz w:val="18"/>
              </w:rPr>
              <w:t>discapacidad </w:t>
            </w:r>
            <w:r>
              <w:rPr>
                <w:sz w:val="18"/>
              </w:rPr>
              <w:t>menores de 18 </w:t>
            </w:r>
            <w:r>
              <w:rPr>
                <w:spacing w:val="-2"/>
                <w:sz w:val="18"/>
              </w:rPr>
              <w:t>años.</w:t>
            </w:r>
          </w:p>
          <w:p>
            <w:pPr>
              <w:pStyle w:val="TableParagraph"/>
              <w:numPr>
                <w:ilvl w:val="0"/>
                <w:numId w:val="33"/>
              </w:numPr>
              <w:tabs>
                <w:tab w:pos="289" w:val="left" w:leader="none"/>
              </w:tabs>
              <w:spacing w:line="207" w:lineRule="exact" w:before="0" w:after="0"/>
              <w:ind w:left="289" w:right="0" w:hanging="214"/>
              <w:jc w:val="left"/>
              <w:rPr>
                <w:sz w:val="18"/>
              </w:rPr>
            </w:pPr>
            <w:r>
              <w:rPr>
                <w:spacing w:val="-5"/>
                <w:sz w:val="18"/>
              </w:rPr>
              <w:t>No</w:t>
            </w:r>
          </w:p>
          <w:p>
            <w:pPr>
              <w:pStyle w:val="TableParagraph"/>
              <w:ind w:left="75" w:right="128"/>
              <w:rPr>
                <w:sz w:val="18"/>
              </w:rPr>
            </w:pPr>
            <w:r>
              <w:rPr>
                <w:sz w:val="18"/>
              </w:rPr>
              <w:t>identificación</w:t>
            </w:r>
            <w:r>
              <w:rPr>
                <w:spacing w:val="-13"/>
                <w:sz w:val="18"/>
              </w:rPr>
              <w:t> </w:t>
            </w:r>
            <w:r>
              <w:rPr>
                <w:sz w:val="18"/>
              </w:rPr>
              <w:t>de la población en situación de violencia</w:t>
            </w:r>
            <w:r>
              <w:rPr>
                <w:spacing w:val="40"/>
                <w:sz w:val="18"/>
              </w:rPr>
              <w:t> </w:t>
            </w:r>
            <w:r>
              <w:rPr>
                <w:sz w:val="18"/>
              </w:rPr>
              <w:t>y sus </w:t>
            </w:r>
            <w:r>
              <w:rPr>
                <w:spacing w:val="-2"/>
                <w:sz w:val="18"/>
              </w:rPr>
              <w:t>dependientes </w:t>
            </w:r>
            <w:r>
              <w:rPr>
                <w:sz w:val="18"/>
              </w:rPr>
              <w:t>para el otorgamiento</w:t>
            </w:r>
            <w:r>
              <w:rPr>
                <w:spacing w:val="-13"/>
                <w:sz w:val="18"/>
              </w:rPr>
              <w:t> </w:t>
            </w:r>
            <w:r>
              <w:rPr>
                <w:sz w:val="18"/>
              </w:rPr>
              <w:t>de </w:t>
            </w:r>
            <w:r>
              <w:rPr>
                <w:spacing w:val="-2"/>
                <w:sz w:val="18"/>
              </w:rPr>
              <w:t>subsidios, </w:t>
            </w:r>
            <w:r>
              <w:rPr>
                <w:sz w:val="18"/>
              </w:rPr>
              <w:t>beneficios y </w:t>
            </w:r>
            <w:r>
              <w:rPr>
                <w:spacing w:val="-2"/>
                <w:sz w:val="18"/>
              </w:rPr>
              <w:t>transferencias monetarias.</w:t>
            </w:r>
          </w:p>
          <w:p>
            <w:pPr>
              <w:pStyle w:val="TableParagraph"/>
              <w:numPr>
                <w:ilvl w:val="0"/>
                <w:numId w:val="33"/>
              </w:numPr>
              <w:tabs>
                <w:tab w:pos="289" w:val="left" w:leader="none"/>
              </w:tabs>
              <w:spacing w:line="240" w:lineRule="auto" w:before="2" w:after="0"/>
              <w:ind w:left="75" w:right="55" w:firstLine="0"/>
              <w:jc w:val="left"/>
              <w:rPr>
                <w:sz w:val="18"/>
              </w:rPr>
            </w:pPr>
            <w:r>
              <w:rPr>
                <w:sz w:val="18"/>
              </w:rPr>
              <w:t>Entrega de subsidios fuera del</w:t>
            </w:r>
            <w:r>
              <w:rPr>
                <w:spacing w:val="-15"/>
                <w:sz w:val="18"/>
              </w:rPr>
              <w:t> </w:t>
            </w:r>
            <w:r>
              <w:rPr>
                <w:sz w:val="18"/>
              </w:rPr>
              <w:t>plazo</w:t>
            </w:r>
            <w:r>
              <w:rPr>
                <w:spacing w:val="-12"/>
                <w:sz w:val="18"/>
              </w:rPr>
              <w:t> </w:t>
            </w:r>
            <w:r>
              <w:rPr>
                <w:sz w:val="18"/>
              </w:rPr>
              <w:t>definido (Veda</w:t>
            </w:r>
            <w:r>
              <w:rPr>
                <w:spacing w:val="-2"/>
                <w:sz w:val="18"/>
              </w:rPr>
              <w:t> pesquera).</w:t>
            </w:r>
          </w:p>
          <w:p>
            <w:pPr>
              <w:pStyle w:val="TableParagraph"/>
              <w:numPr>
                <w:ilvl w:val="0"/>
                <w:numId w:val="33"/>
              </w:numPr>
              <w:tabs>
                <w:tab w:pos="289" w:val="left" w:leader="none"/>
              </w:tabs>
              <w:spacing w:line="240" w:lineRule="auto" w:before="0" w:after="0"/>
              <w:ind w:left="75" w:right="64" w:firstLine="0"/>
              <w:jc w:val="left"/>
              <w:rPr>
                <w:sz w:val="18"/>
              </w:rPr>
            </w:pPr>
            <w:r>
              <w:rPr>
                <w:sz w:val="18"/>
              </w:rPr>
              <w:t>No se presenten las solicitudes del subsidio</w:t>
            </w:r>
            <w:r>
              <w:rPr>
                <w:spacing w:val="-15"/>
                <w:sz w:val="18"/>
              </w:rPr>
              <w:t> </w:t>
            </w:r>
            <w:r>
              <w:rPr>
                <w:sz w:val="18"/>
              </w:rPr>
              <w:t>según</w:t>
            </w:r>
            <w:r>
              <w:rPr>
                <w:spacing w:val="-12"/>
                <w:sz w:val="18"/>
              </w:rPr>
              <w:t> </w:t>
            </w:r>
            <w:r>
              <w:rPr>
                <w:sz w:val="18"/>
              </w:rPr>
              <w:t>la programación,</w:t>
            </w:r>
            <w:r>
              <w:rPr>
                <w:spacing w:val="-13"/>
                <w:sz w:val="18"/>
              </w:rPr>
              <w:t> </w:t>
            </w:r>
            <w:r>
              <w:rPr>
                <w:sz w:val="18"/>
              </w:rPr>
              <w:t>ya</w:t>
            </w:r>
          </w:p>
        </w:tc>
      </w:tr>
      <w:tr>
        <w:trPr>
          <w:trHeight w:val="1450" w:hRule="atLeast"/>
        </w:trPr>
        <w:tc>
          <w:tcPr>
            <w:tcW w:w="2972" w:type="dxa"/>
          </w:tcPr>
          <w:p>
            <w:pPr>
              <w:pStyle w:val="TableParagraph"/>
              <w:ind w:left="72"/>
              <w:rPr>
                <w:sz w:val="18"/>
              </w:rPr>
            </w:pPr>
            <w:r>
              <w:rPr>
                <w:b/>
                <w:sz w:val="18"/>
              </w:rPr>
              <w:t>Actividad PPPS 1.1.5: </w:t>
            </w:r>
            <w:r>
              <w:rPr>
                <w:sz w:val="18"/>
              </w:rPr>
              <w:t>Otorgamiento de transferencias económicas a hogares que enfrentan</w:t>
            </w:r>
            <w:r>
              <w:rPr>
                <w:spacing w:val="-11"/>
                <w:sz w:val="18"/>
              </w:rPr>
              <w:t> </w:t>
            </w:r>
            <w:r>
              <w:rPr>
                <w:sz w:val="18"/>
              </w:rPr>
              <w:t>situaciones</w:t>
            </w:r>
            <w:r>
              <w:rPr>
                <w:spacing w:val="-10"/>
                <w:sz w:val="18"/>
              </w:rPr>
              <w:t> </w:t>
            </w:r>
            <w:r>
              <w:rPr>
                <w:sz w:val="18"/>
              </w:rPr>
              <w:t>de</w:t>
            </w:r>
            <w:r>
              <w:rPr>
                <w:spacing w:val="-13"/>
                <w:sz w:val="18"/>
              </w:rPr>
              <w:t> </w:t>
            </w:r>
            <w:r>
              <w:rPr>
                <w:sz w:val="18"/>
              </w:rPr>
              <w:t>violencia intrafamiliar y violencia de</w:t>
            </w:r>
          </w:p>
          <w:p>
            <w:pPr>
              <w:pStyle w:val="TableParagraph"/>
              <w:spacing w:line="200" w:lineRule="atLeast"/>
              <w:ind w:left="72"/>
              <w:rPr>
                <w:sz w:val="18"/>
              </w:rPr>
            </w:pPr>
            <w:r>
              <w:rPr>
                <w:sz w:val="18"/>
              </w:rPr>
              <w:t>género</w:t>
            </w:r>
            <w:r>
              <w:rPr>
                <w:spacing w:val="-12"/>
                <w:sz w:val="18"/>
              </w:rPr>
              <w:t> </w:t>
            </w:r>
            <w:r>
              <w:rPr>
                <w:sz w:val="18"/>
              </w:rPr>
              <w:t>(vinculación</w:t>
            </w:r>
            <w:r>
              <w:rPr>
                <w:spacing w:val="-12"/>
                <w:sz w:val="18"/>
              </w:rPr>
              <w:t> </w:t>
            </w:r>
            <w:r>
              <w:rPr>
                <w:sz w:val="18"/>
              </w:rPr>
              <w:t>con</w:t>
            </w:r>
            <w:r>
              <w:rPr>
                <w:spacing w:val="-12"/>
                <w:sz w:val="18"/>
              </w:rPr>
              <w:t> </w:t>
            </w:r>
            <w:r>
              <w:rPr>
                <w:sz w:val="18"/>
              </w:rPr>
              <w:t>PLANOVI 4.2.1.1.1 / PLANOVI 4.7.2).</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
              <w:jc w:val="center"/>
              <w:rPr>
                <w:sz w:val="18"/>
              </w:rPr>
            </w:pPr>
            <w:r>
              <w:rPr>
                <w:sz w:val="18"/>
              </w:rPr>
              <w:t>2</w:t>
            </w:r>
            <w:r>
              <w:rPr>
                <w:spacing w:val="2"/>
                <w:sz w:val="18"/>
              </w:rPr>
              <w:t> </w:t>
            </w:r>
            <w:r>
              <w:rPr>
                <w:spacing w:val="-5"/>
                <w:sz w:val="18"/>
              </w:rPr>
              <w:t>190</w:t>
            </w:r>
          </w:p>
        </w:tc>
        <w:tc>
          <w:tcPr>
            <w:tcW w:w="1560" w:type="dxa"/>
          </w:tcPr>
          <w:p>
            <w:pPr>
              <w:pStyle w:val="TableParagraph"/>
              <w:spacing w:before="104"/>
              <w:rPr>
                <w:b/>
                <w:sz w:val="18"/>
              </w:rPr>
            </w:pPr>
          </w:p>
          <w:p>
            <w:pPr>
              <w:pStyle w:val="TableParagraph"/>
              <w:ind w:left="331" w:right="58" w:hanging="63"/>
              <w:rPr>
                <w:sz w:val="18"/>
              </w:rPr>
            </w:pPr>
            <w:r>
              <w:rPr>
                <w:sz w:val="18"/>
              </w:rPr>
              <w:t>No</w:t>
            </w:r>
            <w:r>
              <w:rPr>
                <w:spacing w:val="-15"/>
                <w:sz w:val="18"/>
              </w:rPr>
              <w:t> </w:t>
            </w:r>
            <w:r>
              <w:rPr>
                <w:sz w:val="18"/>
              </w:rPr>
              <w:t>se</w:t>
            </w:r>
            <w:r>
              <w:rPr>
                <w:spacing w:val="-12"/>
                <w:sz w:val="18"/>
              </w:rPr>
              <w:t> </w:t>
            </w:r>
            <w:r>
              <w:rPr>
                <w:sz w:val="18"/>
              </w:rPr>
              <w:t>define meta al ser eventos no </w:t>
            </w:r>
            <w:r>
              <w:rPr>
                <w:spacing w:val="-2"/>
                <w:sz w:val="18"/>
              </w:rPr>
              <w:t>previsibles</w:t>
            </w:r>
          </w:p>
        </w:tc>
        <w:tc>
          <w:tcPr>
            <w:tcW w:w="1982" w:type="dxa"/>
          </w:tcPr>
          <w:p>
            <w:pPr>
              <w:pStyle w:val="TableParagraph"/>
              <w:spacing w:before="3"/>
              <w:rPr>
                <w:b/>
                <w:sz w:val="18"/>
              </w:rPr>
            </w:pPr>
          </w:p>
          <w:p>
            <w:pPr>
              <w:pStyle w:val="TableParagraph"/>
              <w:ind w:left="68" w:right="53"/>
              <w:rPr>
                <w:sz w:val="18"/>
              </w:rPr>
            </w:pPr>
            <w:r>
              <w:rPr>
                <w:sz w:val="18"/>
              </w:rPr>
              <w:t>Cantidad de hogares que</w:t>
            </w:r>
            <w:r>
              <w:rPr>
                <w:spacing w:val="-13"/>
                <w:sz w:val="18"/>
              </w:rPr>
              <w:t> </w:t>
            </w:r>
            <w:r>
              <w:rPr>
                <w:sz w:val="18"/>
              </w:rPr>
              <w:t>reciben</w:t>
            </w:r>
            <w:r>
              <w:rPr>
                <w:spacing w:val="-12"/>
                <w:sz w:val="18"/>
              </w:rPr>
              <w:t> </w:t>
            </w:r>
            <w:r>
              <w:rPr>
                <w:sz w:val="18"/>
              </w:rPr>
              <w:t>el</w:t>
            </w:r>
            <w:r>
              <w:rPr>
                <w:spacing w:val="-10"/>
                <w:sz w:val="18"/>
              </w:rPr>
              <w:t> </w:t>
            </w:r>
            <w:r>
              <w:rPr>
                <w:sz w:val="18"/>
              </w:rPr>
              <w:t>subsidio Atención de Situaciones de </w:t>
            </w:r>
            <w:r>
              <w:rPr>
                <w:spacing w:val="-2"/>
                <w:sz w:val="18"/>
              </w:rPr>
              <w:t>Violencia.</w:t>
            </w:r>
          </w:p>
        </w:tc>
        <w:tc>
          <w:tcPr>
            <w:tcW w:w="1560" w:type="dxa"/>
          </w:tcPr>
          <w:p>
            <w:pPr>
              <w:pStyle w:val="TableParagraph"/>
              <w:spacing w:before="104"/>
              <w:rPr>
                <w:b/>
                <w:sz w:val="18"/>
              </w:rPr>
            </w:pPr>
          </w:p>
          <w:p>
            <w:pPr>
              <w:pStyle w:val="TableParagraph"/>
              <w:ind w:left="73" w:right="58"/>
              <w:rPr>
                <w:sz w:val="18"/>
              </w:rPr>
            </w:pPr>
            <w:r>
              <w:rPr>
                <w:sz w:val="18"/>
              </w:rPr>
              <w:t>Informes de </w:t>
            </w:r>
            <w:r>
              <w:rPr>
                <w:spacing w:val="-2"/>
                <w:sz w:val="18"/>
              </w:rPr>
              <w:t>ejecución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7" w:right="10"/>
              <w:jc w:val="center"/>
              <w:rPr>
                <w:sz w:val="18"/>
              </w:rPr>
            </w:pPr>
            <w:r>
              <w:rPr>
                <w:spacing w:val="-5"/>
                <w:sz w:val="18"/>
              </w:rPr>
              <w:t>DBF</w:t>
            </w:r>
          </w:p>
        </w:tc>
        <w:tc>
          <w:tcPr>
            <w:tcW w:w="1646"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46"/>
              <w:jc w:val="right"/>
              <w:rPr>
                <w:sz w:val="18"/>
              </w:rPr>
            </w:pPr>
            <w:r>
              <w:rPr>
                <w:sz w:val="18"/>
              </w:rPr>
              <w:t>₡2</w:t>
            </w:r>
            <w:r>
              <w:rPr>
                <w:spacing w:val="1"/>
                <w:sz w:val="18"/>
              </w:rPr>
              <w:t> </w:t>
            </w:r>
            <w:r>
              <w:rPr>
                <w:sz w:val="18"/>
              </w:rPr>
              <w:t>500</w:t>
            </w:r>
            <w:r>
              <w:rPr>
                <w:spacing w:val="-3"/>
                <w:sz w:val="18"/>
              </w:rPr>
              <w:t> </w:t>
            </w:r>
            <w:r>
              <w:rPr>
                <w:sz w:val="18"/>
              </w:rPr>
              <w:t>000</w:t>
            </w:r>
            <w:r>
              <w:rPr>
                <w:spacing w:val="-2"/>
                <w:sz w:val="18"/>
              </w:rPr>
              <w:t> </w:t>
            </w:r>
            <w:r>
              <w:rPr>
                <w:spacing w:val="-5"/>
                <w:sz w:val="18"/>
              </w:rPr>
              <w:t>000</w:t>
            </w:r>
          </w:p>
        </w:tc>
        <w:tc>
          <w:tcPr>
            <w:tcW w:w="1550" w:type="dxa"/>
            <w:vMerge/>
            <w:tcBorders>
              <w:top w:val="nil"/>
            </w:tcBorders>
          </w:tcPr>
          <w:p>
            <w:pPr>
              <w:rPr>
                <w:sz w:val="2"/>
                <w:szCs w:val="2"/>
              </w:rPr>
            </w:pPr>
          </w:p>
        </w:tc>
      </w:tr>
      <w:tr>
        <w:trPr>
          <w:trHeight w:val="1449" w:hRule="atLeast"/>
        </w:trPr>
        <w:tc>
          <w:tcPr>
            <w:tcW w:w="2972" w:type="dxa"/>
          </w:tcPr>
          <w:p>
            <w:pPr>
              <w:pStyle w:val="TableParagraph"/>
              <w:ind w:left="72" w:right="105"/>
              <w:rPr>
                <w:sz w:val="18"/>
              </w:rPr>
            </w:pPr>
            <w:r>
              <w:rPr>
                <w:b/>
                <w:sz w:val="18"/>
              </w:rPr>
              <w:t>Actividad PPPS 1.1.6: </w:t>
            </w:r>
            <w:r>
              <w:rPr>
                <w:sz w:val="18"/>
              </w:rPr>
              <w:t>Otorgamiento de transferencias económicas como aporte a la satisfacción de necesidades básicas</w:t>
            </w:r>
            <w:r>
              <w:rPr>
                <w:spacing w:val="-10"/>
                <w:sz w:val="18"/>
              </w:rPr>
              <w:t> </w:t>
            </w:r>
            <w:r>
              <w:rPr>
                <w:sz w:val="18"/>
              </w:rPr>
              <w:t>de</w:t>
            </w:r>
            <w:r>
              <w:rPr>
                <w:spacing w:val="-6"/>
                <w:sz w:val="18"/>
              </w:rPr>
              <w:t> </w:t>
            </w:r>
            <w:r>
              <w:rPr>
                <w:sz w:val="18"/>
              </w:rPr>
              <w:t>personas</w:t>
            </w:r>
            <w:r>
              <w:rPr>
                <w:spacing w:val="-10"/>
                <w:sz w:val="18"/>
              </w:rPr>
              <w:t> </w:t>
            </w:r>
            <w:r>
              <w:rPr>
                <w:sz w:val="18"/>
              </w:rPr>
              <w:t>pescadoras</w:t>
            </w:r>
            <w:r>
              <w:rPr>
                <w:spacing w:val="-10"/>
                <w:sz w:val="18"/>
              </w:rPr>
              <w:t> </w:t>
            </w:r>
            <w:r>
              <w:rPr>
                <w:sz w:val="18"/>
              </w:rPr>
              <w:t>y</w:t>
            </w:r>
          </w:p>
          <w:p>
            <w:pPr>
              <w:pStyle w:val="TableParagraph"/>
              <w:spacing w:line="206" w:lineRule="exact"/>
              <w:ind w:left="72" w:right="105"/>
              <w:rPr>
                <w:sz w:val="18"/>
              </w:rPr>
            </w:pPr>
            <w:r>
              <w:rPr>
                <w:sz w:val="18"/>
              </w:rPr>
              <w:t>sus</w:t>
            </w:r>
            <w:r>
              <w:rPr>
                <w:spacing w:val="-7"/>
                <w:sz w:val="18"/>
              </w:rPr>
              <w:t> </w:t>
            </w:r>
            <w:r>
              <w:rPr>
                <w:sz w:val="18"/>
              </w:rPr>
              <w:t>ayudantes</w:t>
            </w:r>
            <w:r>
              <w:rPr>
                <w:spacing w:val="-11"/>
                <w:sz w:val="18"/>
              </w:rPr>
              <w:t> </w:t>
            </w:r>
            <w:r>
              <w:rPr>
                <w:sz w:val="18"/>
              </w:rPr>
              <w:t>afectados</w:t>
            </w:r>
            <w:r>
              <w:rPr>
                <w:spacing w:val="-11"/>
                <w:sz w:val="18"/>
              </w:rPr>
              <w:t> </w:t>
            </w:r>
            <w:r>
              <w:rPr>
                <w:sz w:val="18"/>
              </w:rPr>
              <w:t>por</w:t>
            </w:r>
            <w:r>
              <w:rPr>
                <w:spacing w:val="-6"/>
                <w:sz w:val="18"/>
              </w:rPr>
              <w:t> </w:t>
            </w:r>
            <w:r>
              <w:rPr>
                <w:sz w:val="18"/>
              </w:rPr>
              <w:t>la veda pesquera.</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
              <w:jc w:val="center"/>
              <w:rPr>
                <w:sz w:val="18"/>
              </w:rPr>
            </w:pPr>
            <w:r>
              <w:rPr>
                <w:sz w:val="18"/>
              </w:rPr>
              <w:t>1</w:t>
            </w:r>
            <w:r>
              <w:rPr>
                <w:spacing w:val="2"/>
                <w:sz w:val="18"/>
              </w:rPr>
              <w:t> </w:t>
            </w:r>
            <w:r>
              <w:rPr>
                <w:spacing w:val="-5"/>
                <w:sz w:val="18"/>
              </w:rPr>
              <w:t>148</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0"/>
              <w:jc w:val="center"/>
              <w:rPr>
                <w:sz w:val="18"/>
              </w:rPr>
            </w:pPr>
            <w:r>
              <w:rPr>
                <w:sz w:val="18"/>
              </w:rPr>
              <w:t>1</w:t>
            </w:r>
            <w:r>
              <w:rPr>
                <w:spacing w:val="2"/>
                <w:sz w:val="18"/>
              </w:rPr>
              <w:t> </w:t>
            </w:r>
            <w:r>
              <w:rPr>
                <w:spacing w:val="-5"/>
                <w:sz w:val="18"/>
              </w:rPr>
              <w:t>200</w:t>
            </w:r>
          </w:p>
        </w:tc>
        <w:tc>
          <w:tcPr>
            <w:tcW w:w="1982" w:type="dxa"/>
          </w:tcPr>
          <w:p>
            <w:pPr>
              <w:pStyle w:val="TableParagraph"/>
              <w:rPr>
                <w:b/>
                <w:sz w:val="18"/>
              </w:rPr>
            </w:pPr>
          </w:p>
          <w:p>
            <w:pPr>
              <w:pStyle w:val="TableParagraph"/>
              <w:spacing w:before="2"/>
              <w:rPr>
                <w:b/>
                <w:sz w:val="18"/>
              </w:rPr>
            </w:pPr>
          </w:p>
          <w:p>
            <w:pPr>
              <w:pStyle w:val="TableParagraph"/>
              <w:ind w:left="68"/>
              <w:rPr>
                <w:sz w:val="18"/>
              </w:rPr>
            </w:pPr>
            <w:r>
              <w:rPr>
                <w:sz w:val="18"/>
              </w:rPr>
              <w:t>Cantidad de personas que</w:t>
            </w:r>
            <w:r>
              <w:rPr>
                <w:spacing w:val="-13"/>
                <w:sz w:val="18"/>
              </w:rPr>
              <w:t> </w:t>
            </w:r>
            <w:r>
              <w:rPr>
                <w:sz w:val="18"/>
              </w:rPr>
              <w:t>reciben</w:t>
            </w:r>
            <w:r>
              <w:rPr>
                <w:spacing w:val="-12"/>
                <w:sz w:val="18"/>
              </w:rPr>
              <w:t> </w:t>
            </w:r>
            <w:r>
              <w:rPr>
                <w:sz w:val="18"/>
              </w:rPr>
              <w:t>el</w:t>
            </w:r>
            <w:r>
              <w:rPr>
                <w:spacing w:val="-10"/>
                <w:sz w:val="18"/>
              </w:rPr>
              <w:t> </w:t>
            </w:r>
            <w:r>
              <w:rPr>
                <w:sz w:val="18"/>
              </w:rPr>
              <w:t>subsidio de Veda.</w:t>
            </w:r>
          </w:p>
        </w:tc>
        <w:tc>
          <w:tcPr>
            <w:tcW w:w="1560" w:type="dxa"/>
          </w:tcPr>
          <w:p>
            <w:pPr>
              <w:pStyle w:val="TableParagraph"/>
              <w:spacing w:before="103"/>
              <w:rPr>
                <w:b/>
                <w:sz w:val="18"/>
              </w:rPr>
            </w:pPr>
          </w:p>
          <w:p>
            <w:pPr>
              <w:pStyle w:val="TableParagraph"/>
              <w:spacing w:before="1"/>
              <w:ind w:left="73" w:right="58"/>
              <w:rPr>
                <w:sz w:val="18"/>
              </w:rPr>
            </w:pPr>
            <w:r>
              <w:rPr>
                <w:sz w:val="18"/>
              </w:rPr>
              <w:t>Informes de </w:t>
            </w:r>
            <w:r>
              <w:rPr>
                <w:spacing w:val="-2"/>
                <w:sz w:val="18"/>
              </w:rPr>
              <w:t>ejecución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7" w:right="10"/>
              <w:jc w:val="center"/>
              <w:rPr>
                <w:sz w:val="18"/>
              </w:rPr>
            </w:pPr>
            <w:r>
              <w:rPr>
                <w:spacing w:val="-5"/>
                <w:sz w:val="18"/>
              </w:rPr>
              <w:t>DBF</w:t>
            </w:r>
          </w:p>
        </w:tc>
        <w:tc>
          <w:tcPr>
            <w:tcW w:w="1646"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46"/>
              <w:jc w:val="right"/>
              <w:rPr>
                <w:sz w:val="18"/>
              </w:rPr>
            </w:pPr>
            <w:r>
              <w:rPr>
                <w:sz w:val="18"/>
              </w:rPr>
              <w:t>₡520</w:t>
            </w:r>
            <w:r>
              <w:rPr>
                <w:spacing w:val="1"/>
                <w:sz w:val="18"/>
              </w:rPr>
              <w:t> </w:t>
            </w:r>
            <w:r>
              <w:rPr>
                <w:sz w:val="18"/>
              </w:rPr>
              <w:t>000</w:t>
            </w:r>
            <w:r>
              <w:rPr>
                <w:spacing w:val="-3"/>
                <w:sz w:val="18"/>
              </w:rPr>
              <w:t> </w:t>
            </w:r>
            <w:r>
              <w:rPr>
                <w:spacing w:val="-5"/>
                <w:sz w:val="18"/>
              </w:rPr>
              <w:t>000</w:t>
            </w:r>
          </w:p>
        </w:tc>
        <w:tc>
          <w:tcPr>
            <w:tcW w:w="1550" w:type="dxa"/>
            <w:vMerge/>
            <w:tcBorders>
              <w:top w:val="nil"/>
            </w:tcBorders>
          </w:tcPr>
          <w:p>
            <w:pPr>
              <w:rPr>
                <w:sz w:val="2"/>
                <w:szCs w:val="2"/>
              </w:rPr>
            </w:pPr>
          </w:p>
        </w:tc>
      </w:tr>
      <w:tr>
        <w:trPr>
          <w:trHeight w:val="1449" w:hRule="atLeast"/>
        </w:trPr>
        <w:tc>
          <w:tcPr>
            <w:tcW w:w="2972" w:type="dxa"/>
          </w:tcPr>
          <w:p>
            <w:pPr>
              <w:pStyle w:val="TableParagraph"/>
              <w:ind w:left="72" w:right="105"/>
              <w:rPr>
                <w:sz w:val="18"/>
              </w:rPr>
            </w:pPr>
            <w:r>
              <w:rPr>
                <w:b/>
                <w:sz w:val="18"/>
              </w:rPr>
              <w:t>Actividad PPPS 1.1.7: </w:t>
            </w:r>
            <w:r>
              <w:rPr>
                <w:sz w:val="18"/>
              </w:rPr>
              <w:t>Otorgamiento de transferencias económicas como aporte a la satisfacción de necesidades básicas</w:t>
            </w:r>
            <w:r>
              <w:rPr>
                <w:spacing w:val="-10"/>
                <w:sz w:val="18"/>
              </w:rPr>
              <w:t> </w:t>
            </w:r>
            <w:r>
              <w:rPr>
                <w:sz w:val="18"/>
              </w:rPr>
              <w:t>de</w:t>
            </w:r>
            <w:r>
              <w:rPr>
                <w:spacing w:val="-6"/>
                <w:sz w:val="18"/>
              </w:rPr>
              <w:t> </w:t>
            </w:r>
            <w:r>
              <w:rPr>
                <w:sz w:val="18"/>
              </w:rPr>
              <w:t>hogares</w:t>
            </w:r>
            <w:r>
              <w:rPr>
                <w:spacing w:val="-10"/>
                <w:sz w:val="18"/>
              </w:rPr>
              <w:t> </w:t>
            </w:r>
            <w:r>
              <w:rPr>
                <w:sz w:val="18"/>
              </w:rPr>
              <w:t>afectados</w:t>
            </w:r>
            <w:r>
              <w:rPr>
                <w:spacing w:val="-10"/>
                <w:sz w:val="18"/>
              </w:rPr>
              <w:t> </w:t>
            </w:r>
            <w:r>
              <w:rPr>
                <w:sz w:val="18"/>
              </w:rPr>
              <w:t>por situaciones de emergencia</w:t>
            </w:r>
          </w:p>
          <w:p>
            <w:pPr>
              <w:pStyle w:val="TableParagraph"/>
              <w:spacing w:line="187" w:lineRule="exact"/>
              <w:ind w:left="72"/>
              <w:rPr>
                <w:sz w:val="18"/>
              </w:rPr>
            </w:pPr>
            <w:r>
              <w:rPr>
                <w:sz w:val="18"/>
              </w:rPr>
              <w:t>(vinculación</w:t>
            </w:r>
            <w:r>
              <w:rPr>
                <w:spacing w:val="-6"/>
                <w:sz w:val="18"/>
              </w:rPr>
              <w:t> </w:t>
            </w:r>
            <w:r>
              <w:rPr>
                <w:sz w:val="18"/>
              </w:rPr>
              <w:t>con</w:t>
            </w:r>
            <w:r>
              <w:rPr>
                <w:spacing w:val="-6"/>
                <w:sz w:val="18"/>
              </w:rPr>
              <w:t> </w:t>
            </w:r>
            <w:r>
              <w:rPr>
                <w:sz w:val="18"/>
              </w:rPr>
              <w:t>PGCC</w:t>
            </w:r>
            <w:r>
              <w:rPr>
                <w:spacing w:val="-3"/>
                <w:sz w:val="18"/>
              </w:rPr>
              <w:t> </w:t>
            </w:r>
            <w:r>
              <w:rPr>
                <w:spacing w:val="-4"/>
                <w:sz w:val="18"/>
              </w:rPr>
              <w:t>4.3).</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
              <w:jc w:val="center"/>
              <w:rPr>
                <w:sz w:val="18"/>
              </w:rPr>
            </w:pPr>
            <w:r>
              <w:rPr>
                <w:sz w:val="18"/>
              </w:rPr>
              <w:t>6</w:t>
            </w:r>
            <w:r>
              <w:rPr>
                <w:spacing w:val="2"/>
                <w:sz w:val="18"/>
              </w:rPr>
              <w:t> </w:t>
            </w:r>
            <w:r>
              <w:rPr>
                <w:spacing w:val="-5"/>
                <w:sz w:val="18"/>
              </w:rPr>
              <w:t>034</w:t>
            </w:r>
          </w:p>
        </w:tc>
        <w:tc>
          <w:tcPr>
            <w:tcW w:w="1560" w:type="dxa"/>
          </w:tcPr>
          <w:p>
            <w:pPr>
              <w:pStyle w:val="TableParagraph"/>
              <w:spacing w:before="103"/>
              <w:rPr>
                <w:b/>
                <w:sz w:val="18"/>
              </w:rPr>
            </w:pPr>
          </w:p>
          <w:p>
            <w:pPr>
              <w:pStyle w:val="TableParagraph"/>
              <w:spacing w:before="1"/>
              <w:ind w:left="331" w:right="58" w:hanging="63"/>
              <w:rPr>
                <w:sz w:val="18"/>
              </w:rPr>
            </w:pPr>
            <w:r>
              <w:rPr>
                <w:sz w:val="18"/>
              </w:rPr>
              <w:t>No</w:t>
            </w:r>
            <w:r>
              <w:rPr>
                <w:spacing w:val="-15"/>
                <w:sz w:val="18"/>
              </w:rPr>
              <w:t> </w:t>
            </w:r>
            <w:r>
              <w:rPr>
                <w:sz w:val="18"/>
              </w:rPr>
              <w:t>se</w:t>
            </w:r>
            <w:r>
              <w:rPr>
                <w:spacing w:val="-12"/>
                <w:sz w:val="18"/>
              </w:rPr>
              <w:t> </w:t>
            </w:r>
            <w:r>
              <w:rPr>
                <w:sz w:val="18"/>
              </w:rPr>
              <w:t>define meta al ser eventos no </w:t>
            </w:r>
            <w:r>
              <w:rPr>
                <w:spacing w:val="-2"/>
                <w:sz w:val="18"/>
              </w:rPr>
              <w:t>previsibles</w:t>
            </w:r>
          </w:p>
        </w:tc>
        <w:tc>
          <w:tcPr>
            <w:tcW w:w="1982" w:type="dxa"/>
          </w:tcPr>
          <w:p>
            <w:pPr>
              <w:pStyle w:val="TableParagraph"/>
              <w:rPr>
                <w:b/>
                <w:sz w:val="18"/>
              </w:rPr>
            </w:pPr>
          </w:p>
          <w:p>
            <w:pPr>
              <w:pStyle w:val="TableParagraph"/>
              <w:spacing w:before="2"/>
              <w:rPr>
                <w:b/>
                <w:sz w:val="18"/>
              </w:rPr>
            </w:pPr>
          </w:p>
          <w:p>
            <w:pPr>
              <w:pStyle w:val="TableParagraph"/>
              <w:ind w:left="68"/>
              <w:rPr>
                <w:sz w:val="18"/>
              </w:rPr>
            </w:pPr>
            <w:r>
              <w:rPr>
                <w:sz w:val="18"/>
              </w:rPr>
              <w:t>Cantidad de hogares que</w:t>
            </w:r>
            <w:r>
              <w:rPr>
                <w:spacing w:val="-13"/>
                <w:sz w:val="18"/>
              </w:rPr>
              <w:t> </w:t>
            </w:r>
            <w:r>
              <w:rPr>
                <w:sz w:val="18"/>
              </w:rPr>
              <w:t>reciben</w:t>
            </w:r>
            <w:r>
              <w:rPr>
                <w:spacing w:val="-12"/>
                <w:sz w:val="18"/>
              </w:rPr>
              <w:t> </w:t>
            </w:r>
            <w:r>
              <w:rPr>
                <w:sz w:val="18"/>
              </w:rPr>
              <w:t>el</w:t>
            </w:r>
            <w:r>
              <w:rPr>
                <w:spacing w:val="-10"/>
                <w:sz w:val="18"/>
              </w:rPr>
              <w:t> </w:t>
            </w:r>
            <w:r>
              <w:rPr>
                <w:sz w:val="18"/>
              </w:rPr>
              <w:t>subsidio </w:t>
            </w:r>
            <w:r>
              <w:rPr>
                <w:spacing w:val="-2"/>
                <w:sz w:val="18"/>
              </w:rPr>
              <w:t>Emergencias.</w:t>
            </w:r>
          </w:p>
        </w:tc>
        <w:tc>
          <w:tcPr>
            <w:tcW w:w="1560" w:type="dxa"/>
          </w:tcPr>
          <w:p>
            <w:pPr>
              <w:pStyle w:val="TableParagraph"/>
              <w:spacing w:before="103"/>
              <w:rPr>
                <w:b/>
                <w:sz w:val="18"/>
              </w:rPr>
            </w:pPr>
          </w:p>
          <w:p>
            <w:pPr>
              <w:pStyle w:val="TableParagraph"/>
              <w:spacing w:before="1"/>
              <w:ind w:left="73" w:right="58"/>
              <w:rPr>
                <w:sz w:val="18"/>
              </w:rPr>
            </w:pPr>
            <w:r>
              <w:rPr>
                <w:sz w:val="18"/>
              </w:rPr>
              <w:t>Informes de </w:t>
            </w:r>
            <w:r>
              <w:rPr>
                <w:spacing w:val="-2"/>
                <w:sz w:val="18"/>
              </w:rPr>
              <w:t>ejecución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7" w:right="10"/>
              <w:jc w:val="center"/>
              <w:rPr>
                <w:sz w:val="18"/>
              </w:rPr>
            </w:pPr>
            <w:r>
              <w:rPr>
                <w:spacing w:val="-5"/>
                <w:sz w:val="18"/>
              </w:rPr>
              <w:t>DBF</w:t>
            </w:r>
          </w:p>
        </w:tc>
        <w:tc>
          <w:tcPr>
            <w:tcW w:w="1646"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46"/>
              <w:jc w:val="right"/>
              <w:rPr>
                <w:sz w:val="18"/>
              </w:rPr>
            </w:pPr>
            <w:r>
              <w:rPr>
                <w:sz w:val="18"/>
              </w:rPr>
              <w:t>₡1</w:t>
            </w:r>
            <w:r>
              <w:rPr>
                <w:spacing w:val="1"/>
                <w:sz w:val="18"/>
              </w:rPr>
              <w:t> </w:t>
            </w:r>
            <w:r>
              <w:rPr>
                <w:sz w:val="18"/>
              </w:rPr>
              <w:t>900</w:t>
            </w:r>
            <w:r>
              <w:rPr>
                <w:spacing w:val="-3"/>
                <w:sz w:val="18"/>
              </w:rPr>
              <w:t> </w:t>
            </w:r>
            <w:r>
              <w:rPr>
                <w:sz w:val="18"/>
              </w:rPr>
              <w:t>000</w:t>
            </w:r>
            <w:r>
              <w:rPr>
                <w:spacing w:val="-2"/>
                <w:sz w:val="18"/>
              </w:rPr>
              <w:t> </w:t>
            </w:r>
            <w:r>
              <w:rPr>
                <w:spacing w:val="-5"/>
                <w:sz w:val="18"/>
              </w:rPr>
              <w:t>000</w:t>
            </w:r>
          </w:p>
        </w:tc>
        <w:tc>
          <w:tcPr>
            <w:tcW w:w="1550" w:type="dxa"/>
            <w:vMerge/>
            <w:tcBorders>
              <w:top w:val="nil"/>
            </w:tcBorders>
          </w:tcPr>
          <w:p>
            <w:pPr>
              <w:rPr>
                <w:sz w:val="2"/>
                <w:szCs w:val="2"/>
              </w:rPr>
            </w:pPr>
          </w:p>
        </w:tc>
      </w:tr>
      <w:tr>
        <w:trPr>
          <w:trHeight w:val="1243" w:hRule="atLeast"/>
        </w:trPr>
        <w:tc>
          <w:tcPr>
            <w:tcW w:w="2972" w:type="dxa"/>
          </w:tcPr>
          <w:p>
            <w:pPr>
              <w:pStyle w:val="TableParagraph"/>
              <w:ind w:left="72" w:right="141"/>
              <w:rPr>
                <w:sz w:val="18"/>
              </w:rPr>
            </w:pPr>
            <w:r>
              <w:rPr>
                <w:b/>
                <w:sz w:val="18"/>
              </w:rPr>
              <w:t>Actividad PPPS 1.1.8: </w:t>
            </w:r>
            <w:r>
              <w:rPr>
                <w:sz w:val="18"/>
              </w:rPr>
              <w:t>Otorgamiento</w:t>
            </w:r>
            <w:r>
              <w:rPr>
                <w:spacing w:val="-13"/>
                <w:sz w:val="18"/>
              </w:rPr>
              <w:t> </w:t>
            </w:r>
            <w:r>
              <w:rPr>
                <w:sz w:val="18"/>
              </w:rPr>
              <w:t>del</w:t>
            </w:r>
            <w:r>
              <w:rPr>
                <w:spacing w:val="-11"/>
                <w:sz w:val="18"/>
              </w:rPr>
              <w:t> </w:t>
            </w:r>
            <w:r>
              <w:rPr>
                <w:sz w:val="18"/>
              </w:rPr>
              <w:t>subsidio</w:t>
            </w:r>
            <w:r>
              <w:rPr>
                <w:spacing w:val="-10"/>
                <w:sz w:val="18"/>
              </w:rPr>
              <w:t> </w:t>
            </w:r>
            <w:r>
              <w:rPr>
                <w:sz w:val="18"/>
              </w:rPr>
              <w:t>Costo de</w:t>
            </w:r>
            <w:r>
              <w:rPr>
                <w:spacing w:val="-7"/>
                <w:sz w:val="18"/>
              </w:rPr>
              <w:t> </w:t>
            </w:r>
            <w:r>
              <w:rPr>
                <w:sz w:val="18"/>
              </w:rPr>
              <w:t>Atención</w:t>
            </w:r>
            <w:r>
              <w:rPr>
                <w:spacing w:val="-10"/>
                <w:sz w:val="18"/>
              </w:rPr>
              <w:t> </w:t>
            </w:r>
            <w:r>
              <w:rPr>
                <w:sz w:val="18"/>
              </w:rPr>
              <w:t>a</w:t>
            </w:r>
            <w:r>
              <w:rPr>
                <w:spacing w:val="-7"/>
                <w:sz w:val="18"/>
              </w:rPr>
              <w:t> </w:t>
            </w:r>
            <w:r>
              <w:rPr>
                <w:sz w:val="18"/>
              </w:rPr>
              <w:t>organizaciones</w:t>
            </w:r>
            <w:r>
              <w:rPr>
                <w:spacing w:val="-10"/>
                <w:sz w:val="18"/>
              </w:rPr>
              <w:t> </w:t>
            </w:r>
            <w:r>
              <w:rPr>
                <w:sz w:val="18"/>
              </w:rPr>
              <w:t>de bienestar</w:t>
            </w:r>
            <w:r>
              <w:rPr>
                <w:spacing w:val="-1"/>
                <w:sz w:val="18"/>
              </w:rPr>
              <w:t> </w:t>
            </w:r>
            <w:r>
              <w:rPr>
                <w:sz w:val="18"/>
              </w:rPr>
              <w:t>social para</w:t>
            </w:r>
            <w:r>
              <w:rPr>
                <w:spacing w:val="-3"/>
                <w:sz w:val="18"/>
              </w:rPr>
              <w:t> </w:t>
            </w:r>
            <w:r>
              <w:rPr>
                <w:sz w:val="18"/>
              </w:rPr>
              <w:t>la atención de personas en situación de</w:t>
            </w:r>
          </w:p>
          <w:p>
            <w:pPr>
              <w:pStyle w:val="TableParagraph"/>
              <w:spacing w:line="187" w:lineRule="exact" w:before="1"/>
              <w:ind w:left="72"/>
              <w:rPr>
                <w:sz w:val="18"/>
              </w:rPr>
            </w:pPr>
            <w:r>
              <w:rPr>
                <w:spacing w:val="-2"/>
                <w:sz w:val="18"/>
              </w:rPr>
              <w:t>pobreza.</w:t>
            </w:r>
          </w:p>
        </w:tc>
        <w:tc>
          <w:tcPr>
            <w:tcW w:w="1560" w:type="dxa"/>
          </w:tcPr>
          <w:p>
            <w:pPr>
              <w:pStyle w:val="TableParagraph"/>
              <w:rPr>
                <w:b/>
                <w:sz w:val="18"/>
              </w:rPr>
            </w:pPr>
          </w:p>
          <w:p>
            <w:pPr>
              <w:pStyle w:val="TableParagraph"/>
              <w:spacing w:before="104"/>
              <w:rPr>
                <w:b/>
                <w:sz w:val="18"/>
              </w:rPr>
            </w:pPr>
          </w:p>
          <w:p>
            <w:pPr>
              <w:pStyle w:val="TableParagraph"/>
              <w:ind w:left="21" w:right="6"/>
              <w:jc w:val="center"/>
              <w:rPr>
                <w:sz w:val="18"/>
              </w:rPr>
            </w:pPr>
            <w:r>
              <w:rPr>
                <w:spacing w:val="-5"/>
                <w:sz w:val="18"/>
              </w:rPr>
              <w:t>22</w:t>
            </w:r>
          </w:p>
        </w:tc>
        <w:tc>
          <w:tcPr>
            <w:tcW w:w="1560" w:type="dxa"/>
          </w:tcPr>
          <w:p>
            <w:pPr>
              <w:pStyle w:val="TableParagraph"/>
              <w:rPr>
                <w:b/>
                <w:sz w:val="18"/>
              </w:rPr>
            </w:pPr>
          </w:p>
          <w:p>
            <w:pPr>
              <w:pStyle w:val="TableParagraph"/>
              <w:spacing w:before="104"/>
              <w:rPr>
                <w:b/>
                <w:sz w:val="18"/>
              </w:rPr>
            </w:pPr>
          </w:p>
          <w:p>
            <w:pPr>
              <w:pStyle w:val="TableParagraph"/>
              <w:ind w:left="21" w:right="14"/>
              <w:jc w:val="center"/>
              <w:rPr>
                <w:sz w:val="18"/>
              </w:rPr>
            </w:pPr>
            <w:r>
              <w:rPr>
                <w:spacing w:val="-5"/>
                <w:sz w:val="18"/>
              </w:rPr>
              <w:t>30</w:t>
            </w:r>
          </w:p>
        </w:tc>
        <w:tc>
          <w:tcPr>
            <w:tcW w:w="1982" w:type="dxa"/>
          </w:tcPr>
          <w:p>
            <w:pPr>
              <w:pStyle w:val="TableParagraph"/>
              <w:spacing w:before="104"/>
              <w:ind w:left="68"/>
              <w:rPr>
                <w:sz w:val="18"/>
              </w:rPr>
            </w:pPr>
            <w:r>
              <w:rPr>
                <w:sz w:val="18"/>
              </w:rPr>
              <w:t>Cantidad</w:t>
            </w:r>
            <w:r>
              <w:rPr>
                <w:spacing w:val="-15"/>
                <w:sz w:val="18"/>
              </w:rPr>
              <w:t> </w:t>
            </w:r>
            <w:r>
              <w:rPr>
                <w:sz w:val="18"/>
              </w:rPr>
              <w:t>de</w:t>
            </w:r>
            <w:r>
              <w:rPr>
                <w:spacing w:val="-12"/>
                <w:sz w:val="18"/>
              </w:rPr>
              <w:t> </w:t>
            </w:r>
            <w:r>
              <w:rPr>
                <w:sz w:val="18"/>
              </w:rPr>
              <w:t>subsidios de Costo de atención otorgados a organizaciones de bienestar social</w:t>
            </w:r>
          </w:p>
        </w:tc>
        <w:tc>
          <w:tcPr>
            <w:tcW w:w="1560" w:type="dxa"/>
          </w:tcPr>
          <w:p>
            <w:pPr>
              <w:pStyle w:val="TableParagraph"/>
              <w:spacing w:line="242" w:lineRule="auto" w:before="205"/>
              <w:ind w:left="73" w:right="58"/>
              <w:rPr>
                <w:sz w:val="18"/>
              </w:rPr>
            </w:pPr>
            <w:r>
              <w:rPr>
                <w:sz w:val="18"/>
              </w:rPr>
              <w:t>Informes de </w:t>
            </w:r>
            <w:r>
              <w:rPr>
                <w:spacing w:val="-2"/>
                <w:sz w:val="18"/>
              </w:rPr>
              <w:t>ejecución </w:t>
            </w:r>
            <w:r>
              <w:rPr>
                <w:sz w:val="18"/>
              </w:rPr>
              <w:t>elaborados</w:t>
            </w:r>
            <w:r>
              <w:rPr>
                <w:spacing w:val="-15"/>
                <w:sz w:val="18"/>
              </w:rPr>
              <w:t> </w:t>
            </w:r>
            <w:r>
              <w:rPr>
                <w:sz w:val="18"/>
              </w:rPr>
              <w:t>por</w:t>
            </w:r>
            <w:r>
              <w:rPr>
                <w:spacing w:val="-12"/>
                <w:sz w:val="18"/>
              </w:rPr>
              <w:t> </w:t>
            </w:r>
            <w:r>
              <w:rPr>
                <w:sz w:val="18"/>
              </w:rPr>
              <w:t>el </w:t>
            </w:r>
            <w:r>
              <w:rPr>
                <w:spacing w:val="-2"/>
                <w:sz w:val="18"/>
              </w:rPr>
              <w:t>DASAI.</w:t>
            </w:r>
          </w:p>
        </w:tc>
        <w:tc>
          <w:tcPr>
            <w:tcW w:w="1416" w:type="dxa"/>
          </w:tcPr>
          <w:p>
            <w:pPr>
              <w:pStyle w:val="TableParagraph"/>
              <w:rPr>
                <w:b/>
                <w:sz w:val="18"/>
              </w:rPr>
            </w:pPr>
          </w:p>
          <w:p>
            <w:pPr>
              <w:pStyle w:val="TableParagraph"/>
              <w:spacing w:before="104"/>
              <w:rPr>
                <w:b/>
                <w:sz w:val="18"/>
              </w:rPr>
            </w:pPr>
          </w:p>
          <w:p>
            <w:pPr>
              <w:pStyle w:val="TableParagraph"/>
              <w:ind w:left="17" w:right="15"/>
              <w:jc w:val="center"/>
              <w:rPr>
                <w:sz w:val="18"/>
              </w:rPr>
            </w:pPr>
            <w:r>
              <w:rPr>
                <w:spacing w:val="-2"/>
                <w:sz w:val="18"/>
              </w:rPr>
              <w:t>DASAI</w:t>
            </w:r>
          </w:p>
        </w:tc>
        <w:tc>
          <w:tcPr>
            <w:tcW w:w="1646" w:type="dxa"/>
          </w:tcPr>
          <w:p>
            <w:pPr>
              <w:pStyle w:val="TableParagraph"/>
              <w:rPr>
                <w:b/>
                <w:sz w:val="18"/>
              </w:rPr>
            </w:pPr>
          </w:p>
          <w:p>
            <w:pPr>
              <w:pStyle w:val="TableParagraph"/>
              <w:spacing w:before="104"/>
              <w:rPr>
                <w:b/>
                <w:sz w:val="18"/>
              </w:rPr>
            </w:pPr>
          </w:p>
          <w:p>
            <w:pPr>
              <w:pStyle w:val="TableParagraph"/>
              <w:ind w:right="46"/>
              <w:jc w:val="right"/>
              <w:rPr>
                <w:sz w:val="18"/>
              </w:rPr>
            </w:pPr>
            <w:r>
              <w:rPr>
                <w:sz w:val="18"/>
              </w:rPr>
              <w:t>₡900</w:t>
            </w:r>
            <w:r>
              <w:rPr>
                <w:spacing w:val="1"/>
                <w:sz w:val="18"/>
              </w:rPr>
              <w:t> </w:t>
            </w:r>
            <w:r>
              <w:rPr>
                <w:sz w:val="18"/>
              </w:rPr>
              <w:t>735</w:t>
            </w:r>
            <w:r>
              <w:rPr>
                <w:spacing w:val="-3"/>
                <w:sz w:val="18"/>
              </w:rPr>
              <w:t> </w:t>
            </w:r>
            <w:r>
              <w:rPr>
                <w:spacing w:val="-5"/>
                <w:sz w:val="18"/>
              </w:rPr>
              <w:t>279</w:t>
            </w:r>
          </w:p>
        </w:tc>
        <w:tc>
          <w:tcPr>
            <w:tcW w:w="1550" w:type="dxa"/>
            <w:vMerge/>
            <w:tcBorders>
              <w:top w:val="nil"/>
            </w:tcBorders>
          </w:tcPr>
          <w:p>
            <w:pPr>
              <w:rPr>
                <w:sz w:val="2"/>
                <w:szCs w:val="2"/>
              </w:rPr>
            </w:pPr>
          </w:p>
        </w:tc>
      </w:tr>
      <w:tr>
        <w:trPr>
          <w:trHeight w:val="465" w:hRule="atLeast"/>
        </w:trPr>
        <w:tc>
          <w:tcPr>
            <w:tcW w:w="2972" w:type="dxa"/>
          </w:tcPr>
          <w:p>
            <w:pPr>
              <w:pStyle w:val="TableParagraph"/>
              <w:spacing w:before="23"/>
              <w:ind w:left="72"/>
              <w:rPr>
                <w:b/>
                <w:sz w:val="18"/>
              </w:rPr>
            </w:pPr>
            <w:r>
              <w:rPr>
                <w:b/>
                <w:sz w:val="18"/>
              </w:rPr>
              <w:t>Actividad</w:t>
            </w:r>
            <w:r>
              <w:rPr>
                <w:b/>
                <w:spacing w:val="-6"/>
                <w:sz w:val="18"/>
              </w:rPr>
              <w:t> </w:t>
            </w:r>
            <w:r>
              <w:rPr>
                <w:b/>
                <w:sz w:val="18"/>
              </w:rPr>
              <w:t>PPPS</w:t>
            </w:r>
            <w:r>
              <w:rPr>
                <w:b/>
                <w:spacing w:val="-5"/>
                <w:sz w:val="18"/>
              </w:rPr>
              <w:t> </w:t>
            </w:r>
            <w:r>
              <w:rPr>
                <w:b/>
                <w:spacing w:val="-2"/>
                <w:sz w:val="18"/>
              </w:rPr>
              <w:t>1.1.9:</w:t>
            </w:r>
          </w:p>
          <w:p>
            <w:pPr>
              <w:pStyle w:val="TableParagraph"/>
              <w:spacing w:before="4"/>
              <w:ind w:left="72"/>
              <w:rPr>
                <w:sz w:val="18"/>
              </w:rPr>
            </w:pPr>
            <w:r>
              <w:rPr>
                <w:sz w:val="18"/>
              </w:rPr>
              <w:t>Otorgamiento</w:t>
            </w:r>
            <w:r>
              <w:rPr>
                <w:spacing w:val="-6"/>
                <w:sz w:val="18"/>
              </w:rPr>
              <w:t> </w:t>
            </w:r>
            <w:r>
              <w:rPr>
                <w:sz w:val="18"/>
              </w:rPr>
              <w:t>de</w:t>
            </w:r>
            <w:r>
              <w:rPr>
                <w:spacing w:val="-6"/>
                <w:sz w:val="18"/>
              </w:rPr>
              <w:t> </w:t>
            </w:r>
            <w:r>
              <w:rPr>
                <w:sz w:val="18"/>
              </w:rPr>
              <w:t>subsidios</w:t>
            </w:r>
            <w:r>
              <w:rPr>
                <w:spacing w:val="-6"/>
                <w:sz w:val="18"/>
              </w:rPr>
              <w:t> </w:t>
            </w:r>
            <w:r>
              <w:rPr>
                <w:spacing w:val="-10"/>
                <w:sz w:val="18"/>
              </w:rPr>
              <w:t>a</w:t>
            </w:r>
          </w:p>
        </w:tc>
        <w:tc>
          <w:tcPr>
            <w:tcW w:w="1560" w:type="dxa"/>
          </w:tcPr>
          <w:p>
            <w:pPr>
              <w:pStyle w:val="TableParagraph"/>
              <w:spacing w:before="128"/>
              <w:ind w:left="21" w:right="11"/>
              <w:jc w:val="center"/>
              <w:rPr>
                <w:sz w:val="18"/>
              </w:rPr>
            </w:pPr>
            <w:r>
              <w:rPr>
                <w:spacing w:val="-5"/>
                <w:sz w:val="18"/>
              </w:rPr>
              <w:t>217</w:t>
            </w:r>
          </w:p>
        </w:tc>
        <w:tc>
          <w:tcPr>
            <w:tcW w:w="1560" w:type="dxa"/>
          </w:tcPr>
          <w:p>
            <w:pPr>
              <w:pStyle w:val="TableParagraph"/>
              <w:spacing w:before="128"/>
              <w:ind w:left="21" w:right="19"/>
              <w:jc w:val="center"/>
              <w:rPr>
                <w:sz w:val="18"/>
              </w:rPr>
            </w:pPr>
            <w:r>
              <w:rPr>
                <w:spacing w:val="-5"/>
                <w:sz w:val="18"/>
              </w:rPr>
              <w:t>149</w:t>
            </w:r>
          </w:p>
        </w:tc>
        <w:tc>
          <w:tcPr>
            <w:tcW w:w="1982" w:type="dxa"/>
          </w:tcPr>
          <w:p>
            <w:pPr>
              <w:pStyle w:val="TableParagraph"/>
              <w:spacing w:line="210" w:lineRule="atLeast" w:before="20"/>
              <w:ind w:left="68"/>
              <w:rPr>
                <w:sz w:val="18"/>
              </w:rPr>
            </w:pPr>
            <w:r>
              <w:rPr>
                <w:sz w:val="18"/>
              </w:rPr>
              <w:t>Cantidad</w:t>
            </w:r>
            <w:r>
              <w:rPr>
                <w:spacing w:val="-15"/>
                <w:sz w:val="18"/>
              </w:rPr>
              <w:t> </w:t>
            </w:r>
            <w:r>
              <w:rPr>
                <w:sz w:val="18"/>
              </w:rPr>
              <w:t>de</w:t>
            </w:r>
            <w:r>
              <w:rPr>
                <w:spacing w:val="-12"/>
                <w:sz w:val="18"/>
              </w:rPr>
              <w:t> </w:t>
            </w:r>
            <w:r>
              <w:rPr>
                <w:sz w:val="18"/>
              </w:rPr>
              <w:t>hogares que reciben un</w:t>
            </w:r>
          </w:p>
        </w:tc>
        <w:tc>
          <w:tcPr>
            <w:tcW w:w="1560" w:type="dxa"/>
          </w:tcPr>
          <w:p>
            <w:pPr>
              <w:pStyle w:val="TableParagraph"/>
              <w:spacing w:line="210" w:lineRule="atLeast" w:before="20"/>
              <w:ind w:left="73" w:right="58"/>
              <w:rPr>
                <w:sz w:val="18"/>
              </w:rPr>
            </w:pPr>
            <w:r>
              <w:rPr>
                <w:sz w:val="18"/>
              </w:rPr>
              <w:t>Informes</w:t>
            </w:r>
            <w:r>
              <w:rPr>
                <w:spacing w:val="-13"/>
                <w:sz w:val="18"/>
              </w:rPr>
              <w:t> </w:t>
            </w:r>
            <w:r>
              <w:rPr>
                <w:sz w:val="18"/>
              </w:rPr>
              <w:t>de </w:t>
            </w:r>
            <w:r>
              <w:rPr>
                <w:spacing w:val="-2"/>
                <w:sz w:val="18"/>
              </w:rPr>
              <w:t>ejecución</w:t>
            </w:r>
          </w:p>
        </w:tc>
        <w:tc>
          <w:tcPr>
            <w:tcW w:w="1416" w:type="dxa"/>
          </w:tcPr>
          <w:p>
            <w:pPr>
              <w:pStyle w:val="TableParagraph"/>
              <w:spacing w:before="128"/>
              <w:ind w:left="17" w:right="10"/>
              <w:jc w:val="center"/>
              <w:rPr>
                <w:sz w:val="18"/>
              </w:rPr>
            </w:pPr>
            <w:r>
              <w:rPr>
                <w:spacing w:val="-2"/>
                <w:sz w:val="18"/>
              </w:rPr>
              <w:t>DDSPC</w:t>
            </w:r>
          </w:p>
        </w:tc>
        <w:tc>
          <w:tcPr>
            <w:tcW w:w="1646" w:type="dxa"/>
          </w:tcPr>
          <w:p>
            <w:pPr>
              <w:pStyle w:val="TableParagraph"/>
              <w:spacing w:before="128"/>
              <w:ind w:right="46"/>
              <w:jc w:val="right"/>
              <w:rPr>
                <w:sz w:val="18"/>
              </w:rPr>
            </w:pPr>
            <w:r>
              <w:rPr>
                <w:sz w:val="18"/>
              </w:rPr>
              <w:t>₡743</w:t>
            </w:r>
            <w:r>
              <w:rPr>
                <w:spacing w:val="1"/>
                <w:sz w:val="18"/>
              </w:rPr>
              <w:t> </w:t>
            </w:r>
            <w:r>
              <w:rPr>
                <w:sz w:val="18"/>
              </w:rPr>
              <w:t>194</w:t>
            </w:r>
            <w:r>
              <w:rPr>
                <w:spacing w:val="-3"/>
                <w:sz w:val="18"/>
              </w:rPr>
              <w:t> </w:t>
            </w:r>
            <w:r>
              <w:rPr>
                <w:spacing w:val="-5"/>
                <w:sz w:val="18"/>
              </w:rPr>
              <w:t>911</w:t>
            </w:r>
          </w:p>
        </w:tc>
        <w:tc>
          <w:tcPr>
            <w:tcW w:w="1550"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3026"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9"/>
        <w:gridCol w:w="1548"/>
      </w:tblGrid>
      <w:tr>
        <w:trPr>
          <w:trHeight w:val="619" w:hRule="atLeast"/>
        </w:trPr>
        <w:tc>
          <w:tcPr>
            <w:tcW w:w="2972" w:type="dxa"/>
            <w:tcBorders>
              <w:bottom w:val="nil"/>
            </w:tcBorders>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tcBorders>
              <w:bottom w:val="nil"/>
            </w:tcBorders>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tcBorders>
              <w:bottom w:val="nil"/>
            </w:tcBorders>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tcBorders>
              <w:bottom w:val="nil"/>
            </w:tcBorders>
            <w:shd w:val="clear" w:color="auto" w:fill="D9D9D9"/>
          </w:tcPr>
          <w:p>
            <w:pPr>
              <w:pStyle w:val="TableParagraph"/>
              <w:spacing w:before="205"/>
              <w:ind w:left="581"/>
              <w:rPr>
                <w:b/>
                <w:sz w:val="18"/>
              </w:rPr>
            </w:pPr>
            <w:r>
              <w:rPr>
                <w:b/>
                <w:spacing w:val="-2"/>
                <w:sz w:val="18"/>
              </w:rPr>
              <w:t>Indicador</w:t>
            </w:r>
          </w:p>
        </w:tc>
        <w:tc>
          <w:tcPr>
            <w:tcW w:w="1560" w:type="dxa"/>
            <w:tcBorders>
              <w:bottom w:val="nil"/>
            </w:tcBorders>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tcBorders>
              <w:bottom w:val="nil"/>
            </w:tcBorders>
            <w:shd w:val="clear" w:color="auto" w:fill="D9D9D9"/>
          </w:tcPr>
          <w:p>
            <w:pPr>
              <w:pStyle w:val="TableParagraph"/>
              <w:spacing w:before="205"/>
              <w:ind w:left="17" w:right="7"/>
              <w:jc w:val="center"/>
              <w:rPr>
                <w:b/>
                <w:sz w:val="18"/>
              </w:rPr>
            </w:pPr>
            <w:r>
              <w:rPr>
                <w:b/>
                <w:spacing w:val="-2"/>
                <w:sz w:val="18"/>
              </w:rPr>
              <w:t>Responsable</w:t>
            </w:r>
          </w:p>
        </w:tc>
        <w:tc>
          <w:tcPr>
            <w:tcW w:w="1649" w:type="dxa"/>
            <w:tcBorders>
              <w:bottom w:val="nil"/>
            </w:tcBorders>
            <w:shd w:val="clear" w:color="auto" w:fill="D9D9D9"/>
          </w:tcPr>
          <w:p>
            <w:pPr>
              <w:pStyle w:val="TableParagraph"/>
              <w:spacing w:before="104"/>
              <w:ind w:left="430" w:hanging="120"/>
              <w:rPr>
                <w:b/>
                <w:sz w:val="18"/>
              </w:rPr>
            </w:pPr>
            <w:r>
              <w:rPr>
                <w:b/>
                <w:spacing w:val="-2"/>
                <w:sz w:val="18"/>
              </w:rPr>
              <w:t>Presupuesto asignado</w:t>
            </w:r>
          </w:p>
        </w:tc>
        <w:tc>
          <w:tcPr>
            <w:tcW w:w="1548" w:type="dxa"/>
            <w:tcBorders>
              <w:bottom w:val="nil"/>
            </w:tcBorders>
            <w:shd w:val="clear" w:color="auto" w:fill="D9D9D9"/>
          </w:tcPr>
          <w:p>
            <w:pPr>
              <w:pStyle w:val="TableParagraph"/>
              <w:spacing w:line="206" w:lineRule="exact"/>
              <w:ind w:left="16"/>
              <w:jc w:val="center"/>
              <w:rPr>
                <w:b/>
                <w:sz w:val="18"/>
              </w:rPr>
            </w:pPr>
            <w:r>
              <w:rPr>
                <w:b/>
                <w:spacing w:val="-2"/>
                <w:sz w:val="18"/>
              </w:rPr>
              <w:t>Riesgos </w:t>
            </w:r>
            <w:r>
              <w:rPr>
                <w:b/>
                <w:sz w:val="18"/>
              </w:rPr>
              <w:t>asociados al </w:t>
            </w:r>
            <w:r>
              <w:rPr>
                <w:b/>
                <w:spacing w:val="-2"/>
                <w:sz w:val="18"/>
              </w:rPr>
              <w:t>cumplimiento</w:t>
            </w:r>
          </w:p>
        </w:tc>
      </w:tr>
      <w:tr>
        <w:trPr>
          <w:trHeight w:val="1877" w:hRule="atLeast"/>
        </w:trPr>
        <w:tc>
          <w:tcPr>
            <w:tcW w:w="2972" w:type="dxa"/>
            <w:tcBorders>
              <w:top w:val="nil"/>
            </w:tcBorders>
          </w:tcPr>
          <w:p>
            <w:pPr>
              <w:pStyle w:val="TableParagraph"/>
              <w:spacing w:before="13"/>
              <w:ind w:left="72"/>
              <w:rPr>
                <w:sz w:val="18"/>
              </w:rPr>
            </w:pPr>
            <w:r>
              <w:rPr>
                <w:sz w:val="18"/>
              </w:rPr>
              <w:t>hogares en</w:t>
            </w:r>
            <w:r>
              <w:rPr>
                <w:spacing w:val="-2"/>
                <w:sz w:val="18"/>
              </w:rPr>
              <w:t> </w:t>
            </w:r>
            <w:r>
              <w:rPr>
                <w:sz w:val="18"/>
              </w:rPr>
              <w:t>situación</w:t>
            </w:r>
            <w:r>
              <w:rPr>
                <w:spacing w:val="-2"/>
                <w:sz w:val="18"/>
              </w:rPr>
              <w:t> </w:t>
            </w:r>
            <w:r>
              <w:rPr>
                <w:sz w:val="18"/>
              </w:rPr>
              <w:t>de</w:t>
            </w:r>
            <w:r>
              <w:rPr>
                <w:spacing w:val="-2"/>
                <w:sz w:val="18"/>
              </w:rPr>
              <w:t> </w:t>
            </w:r>
            <w:r>
              <w:rPr>
                <w:sz w:val="18"/>
              </w:rPr>
              <w:t>pobreza, para el mejoramiento de las condiciones habitacionales y de accesibilidad,</w:t>
            </w:r>
            <w:r>
              <w:rPr>
                <w:spacing w:val="-15"/>
                <w:sz w:val="18"/>
              </w:rPr>
              <w:t> </w:t>
            </w:r>
            <w:r>
              <w:rPr>
                <w:sz w:val="18"/>
              </w:rPr>
              <w:t>incluyendo</w:t>
            </w:r>
            <w:r>
              <w:rPr>
                <w:spacing w:val="-12"/>
                <w:sz w:val="18"/>
              </w:rPr>
              <w:t> </w:t>
            </w:r>
            <w:r>
              <w:rPr>
                <w:sz w:val="18"/>
              </w:rPr>
              <w:t>hogares afectados por situaciones de emergencia, así como la construcción de viviendas en territorios indígenas (vinculación</w:t>
            </w:r>
          </w:p>
          <w:p>
            <w:pPr>
              <w:pStyle w:val="TableParagraph"/>
              <w:spacing w:line="187" w:lineRule="exact" w:before="1"/>
              <w:ind w:left="72"/>
              <w:rPr>
                <w:sz w:val="18"/>
              </w:rPr>
            </w:pPr>
            <w:r>
              <w:rPr>
                <w:sz w:val="18"/>
              </w:rPr>
              <w:t>con</w:t>
            </w:r>
            <w:r>
              <w:rPr>
                <w:spacing w:val="-1"/>
                <w:sz w:val="18"/>
              </w:rPr>
              <w:t> </w:t>
            </w:r>
            <w:r>
              <w:rPr>
                <w:sz w:val="18"/>
              </w:rPr>
              <w:t>PGCC</w:t>
            </w:r>
            <w:r>
              <w:rPr>
                <w:spacing w:val="-6"/>
                <w:sz w:val="18"/>
              </w:rPr>
              <w:t> </w:t>
            </w:r>
            <w:r>
              <w:rPr>
                <w:spacing w:val="-2"/>
                <w:sz w:val="18"/>
              </w:rPr>
              <w:t>4.3).</w:t>
            </w:r>
          </w:p>
        </w:tc>
        <w:tc>
          <w:tcPr>
            <w:tcW w:w="1560" w:type="dxa"/>
            <w:tcBorders>
              <w:top w:val="nil"/>
            </w:tcBorders>
          </w:tcPr>
          <w:p>
            <w:pPr>
              <w:pStyle w:val="TableParagraph"/>
              <w:rPr>
                <w:rFonts w:ascii="Times New Roman"/>
                <w:sz w:val="18"/>
              </w:rPr>
            </w:pPr>
          </w:p>
        </w:tc>
        <w:tc>
          <w:tcPr>
            <w:tcW w:w="1560" w:type="dxa"/>
            <w:tcBorders>
              <w:top w:val="nil"/>
            </w:tcBorders>
          </w:tcPr>
          <w:p>
            <w:pPr>
              <w:pStyle w:val="TableParagraph"/>
              <w:rPr>
                <w:rFonts w:ascii="Times New Roman"/>
                <w:sz w:val="18"/>
              </w:rPr>
            </w:pPr>
          </w:p>
        </w:tc>
        <w:tc>
          <w:tcPr>
            <w:tcW w:w="1982" w:type="dxa"/>
            <w:tcBorders>
              <w:top w:val="nil"/>
            </w:tcBorders>
          </w:tcPr>
          <w:p>
            <w:pPr>
              <w:pStyle w:val="TableParagraph"/>
              <w:spacing w:before="13"/>
              <w:ind w:left="68"/>
              <w:rPr>
                <w:sz w:val="18"/>
              </w:rPr>
            </w:pPr>
            <w:r>
              <w:rPr>
                <w:sz w:val="18"/>
              </w:rPr>
              <w:t>subsidio para el mejoramiento</w:t>
            </w:r>
            <w:r>
              <w:rPr>
                <w:spacing w:val="-15"/>
                <w:sz w:val="18"/>
              </w:rPr>
              <w:t> </w:t>
            </w:r>
            <w:r>
              <w:rPr>
                <w:sz w:val="18"/>
              </w:rPr>
              <w:t>de</w:t>
            </w:r>
            <w:r>
              <w:rPr>
                <w:spacing w:val="-12"/>
                <w:sz w:val="18"/>
              </w:rPr>
              <w:t> </w:t>
            </w:r>
            <w:r>
              <w:rPr>
                <w:sz w:val="18"/>
              </w:rPr>
              <w:t>las </w:t>
            </w:r>
            <w:r>
              <w:rPr>
                <w:spacing w:val="-2"/>
                <w:sz w:val="18"/>
              </w:rPr>
              <w:t>condiciones </w:t>
            </w:r>
            <w:r>
              <w:rPr>
                <w:sz w:val="18"/>
              </w:rPr>
              <w:t>habitacionales y de accesibilidad</w:t>
            </w:r>
            <w:r>
              <w:rPr>
                <w:spacing w:val="-10"/>
                <w:sz w:val="18"/>
              </w:rPr>
              <w:t> </w:t>
            </w:r>
            <w:r>
              <w:rPr>
                <w:sz w:val="18"/>
              </w:rPr>
              <w:t>de</w:t>
            </w:r>
            <w:r>
              <w:rPr>
                <w:spacing w:val="-13"/>
                <w:sz w:val="18"/>
              </w:rPr>
              <w:t> </w:t>
            </w:r>
            <w:r>
              <w:rPr>
                <w:sz w:val="18"/>
              </w:rPr>
              <w:t>sus </w:t>
            </w:r>
            <w:r>
              <w:rPr>
                <w:spacing w:val="-2"/>
                <w:sz w:val="18"/>
              </w:rPr>
              <w:t>viviendas.</w:t>
            </w:r>
          </w:p>
        </w:tc>
        <w:tc>
          <w:tcPr>
            <w:tcW w:w="1560" w:type="dxa"/>
            <w:tcBorders>
              <w:top w:val="nil"/>
            </w:tcBorders>
          </w:tcPr>
          <w:p>
            <w:pPr>
              <w:pStyle w:val="TableParagraph"/>
              <w:spacing w:before="13"/>
              <w:ind w:left="73" w:right="58"/>
              <w:rPr>
                <w:sz w:val="18"/>
              </w:rPr>
            </w:pP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Borders>
              <w:top w:val="nil"/>
            </w:tcBorders>
          </w:tcPr>
          <w:p>
            <w:pPr>
              <w:pStyle w:val="TableParagraph"/>
              <w:rPr>
                <w:rFonts w:ascii="Times New Roman"/>
                <w:sz w:val="18"/>
              </w:rPr>
            </w:pPr>
          </w:p>
        </w:tc>
        <w:tc>
          <w:tcPr>
            <w:tcW w:w="1649" w:type="dxa"/>
            <w:tcBorders>
              <w:top w:val="nil"/>
            </w:tcBorders>
          </w:tcPr>
          <w:p>
            <w:pPr>
              <w:pStyle w:val="TableParagraph"/>
              <w:rPr>
                <w:rFonts w:ascii="Times New Roman"/>
                <w:sz w:val="18"/>
              </w:rPr>
            </w:pPr>
          </w:p>
        </w:tc>
        <w:tc>
          <w:tcPr>
            <w:tcW w:w="1548" w:type="dxa"/>
            <w:vMerge w:val="restart"/>
            <w:tcBorders>
              <w:top w:val="nil"/>
            </w:tcBorders>
          </w:tcPr>
          <w:p>
            <w:pPr>
              <w:pStyle w:val="TableParagraph"/>
              <w:spacing w:before="13"/>
              <w:ind w:left="72" w:right="149"/>
              <w:rPr>
                <w:sz w:val="18"/>
              </w:rPr>
            </w:pPr>
            <w:r>
              <w:rPr>
                <w:sz w:val="18"/>
              </w:rPr>
              <w:t>que las situaciones de emergencia</w:t>
            </w:r>
            <w:r>
              <w:rPr>
                <w:spacing w:val="-13"/>
                <w:sz w:val="18"/>
              </w:rPr>
              <w:t> </w:t>
            </w:r>
            <w:r>
              <w:rPr>
                <w:sz w:val="18"/>
              </w:rPr>
              <w:t>no son eventos </w:t>
            </w:r>
            <w:r>
              <w:rPr>
                <w:spacing w:val="-2"/>
                <w:sz w:val="18"/>
              </w:rPr>
              <w:t>previsibles.</w:t>
            </w:r>
          </w:p>
          <w:p>
            <w:pPr>
              <w:pStyle w:val="TableParagraph"/>
              <w:ind w:left="72" w:right="149"/>
              <w:rPr>
                <w:sz w:val="18"/>
              </w:rPr>
            </w:pPr>
            <w:r>
              <w:rPr>
                <w:sz w:val="18"/>
              </w:rPr>
              <w:t>8) Imposibilidad de</w:t>
            </w:r>
            <w:r>
              <w:rPr>
                <w:spacing w:val="-13"/>
                <w:sz w:val="18"/>
              </w:rPr>
              <w:t> </w:t>
            </w:r>
            <w:r>
              <w:rPr>
                <w:sz w:val="18"/>
              </w:rPr>
              <w:t>otorgamiento del subsidio Costo de </w:t>
            </w:r>
            <w:r>
              <w:rPr>
                <w:spacing w:val="-2"/>
                <w:sz w:val="18"/>
              </w:rPr>
              <w:t>Atención.</w:t>
            </w:r>
          </w:p>
          <w:p>
            <w:pPr>
              <w:pStyle w:val="TableParagraph"/>
              <w:spacing w:line="207" w:lineRule="exact"/>
              <w:ind w:left="72"/>
              <w:rPr>
                <w:sz w:val="18"/>
              </w:rPr>
            </w:pPr>
            <w:r>
              <w:rPr>
                <w:spacing w:val="-5"/>
                <w:sz w:val="18"/>
              </w:rPr>
              <w:t>9)</w:t>
            </w:r>
          </w:p>
          <w:p>
            <w:pPr>
              <w:pStyle w:val="TableParagraph"/>
              <w:ind w:left="72" w:right="149"/>
              <w:rPr>
                <w:sz w:val="18"/>
              </w:rPr>
            </w:pPr>
            <w:r>
              <w:rPr>
                <w:spacing w:val="-2"/>
                <w:sz w:val="18"/>
              </w:rPr>
              <w:t>Incumplimiento </w:t>
            </w:r>
            <w:r>
              <w:rPr>
                <w:sz w:val="18"/>
              </w:rPr>
              <w:t>con los plazos </w:t>
            </w:r>
            <w:r>
              <w:rPr>
                <w:spacing w:val="-2"/>
                <w:sz w:val="18"/>
              </w:rPr>
              <w:t>máximos establecidos </w:t>
            </w:r>
            <w:r>
              <w:rPr>
                <w:sz w:val="18"/>
              </w:rPr>
              <w:t>para el trámite </w:t>
            </w:r>
            <w:r>
              <w:rPr>
                <w:spacing w:val="-4"/>
                <w:sz w:val="18"/>
              </w:rPr>
              <w:t>del </w:t>
            </w:r>
            <w:r>
              <w:rPr>
                <w:spacing w:val="-2"/>
                <w:sz w:val="18"/>
              </w:rPr>
              <w:t>financiamiento.</w:t>
            </w:r>
          </w:p>
          <w:p>
            <w:pPr>
              <w:pStyle w:val="TableParagraph"/>
              <w:spacing w:before="1"/>
              <w:ind w:left="72" w:right="108"/>
              <w:rPr>
                <w:sz w:val="18"/>
              </w:rPr>
            </w:pPr>
            <w:r>
              <w:rPr>
                <w:sz w:val="18"/>
              </w:rPr>
              <w:t>10) Insuficiente </w:t>
            </w:r>
            <w:r>
              <w:rPr>
                <w:spacing w:val="-2"/>
                <w:sz w:val="18"/>
              </w:rPr>
              <w:t>capacidad </w:t>
            </w:r>
            <w:r>
              <w:rPr>
                <w:sz w:val="18"/>
              </w:rPr>
              <w:t>instalada a nivel de recurso humano para atender el requerimiento</w:t>
            </w:r>
            <w:r>
              <w:rPr>
                <w:spacing w:val="-13"/>
                <w:sz w:val="18"/>
              </w:rPr>
              <w:t> </w:t>
            </w:r>
            <w:r>
              <w:rPr>
                <w:sz w:val="18"/>
              </w:rPr>
              <w:t>de</w:t>
            </w:r>
          </w:p>
          <w:p>
            <w:pPr>
              <w:pStyle w:val="TableParagraph"/>
              <w:spacing w:line="187" w:lineRule="exact" w:before="2"/>
              <w:ind w:left="72"/>
              <w:rPr>
                <w:b/>
                <w:sz w:val="18"/>
              </w:rPr>
            </w:pPr>
            <w:r>
              <w:rPr>
                <w:sz w:val="18"/>
              </w:rPr>
              <w:t>la</w:t>
            </w:r>
            <w:r>
              <w:rPr>
                <w:spacing w:val="-1"/>
                <w:sz w:val="18"/>
              </w:rPr>
              <w:t> </w:t>
            </w:r>
            <w:r>
              <w:rPr>
                <w:spacing w:val="-2"/>
                <w:sz w:val="18"/>
              </w:rPr>
              <w:t>intervención</w:t>
            </w:r>
            <w:r>
              <w:rPr>
                <w:b/>
                <w:spacing w:val="-2"/>
                <w:sz w:val="18"/>
              </w:rPr>
              <w:t>.</w:t>
            </w:r>
          </w:p>
        </w:tc>
      </w:tr>
      <w:tr>
        <w:trPr>
          <w:trHeight w:val="3509" w:hRule="atLeast"/>
        </w:trPr>
        <w:tc>
          <w:tcPr>
            <w:tcW w:w="2972" w:type="dxa"/>
          </w:tcPr>
          <w:p>
            <w:pPr>
              <w:pStyle w:val="TableParagraph"/>
              <w:rPr>
                <w:b/>
                <w:sz w:val="18"/>
              </w:rPr>
            </w:pPr>
          </w:p>
          <w:p>
            <w:pPr>
              <w:pStyle w:val="TableParagraph"/>
              <w:rPr>
                <w:b/>
                <w:sz w:val="18"/>
              </w:rPr>
            </w:pPr>
          </w:p>
          <w:p>
            <w:pPr>
              <w:pStyle w:val="TableParagraph"/>
              <w:rPr>
                <w:b/>
                <w:sz w:val="18"/>
              </w:rPr>
            </w:pPr>
          </w:p>
          <w:p>
            <w:pPr>
              <w:pStyle w:val="TableParagraph"/>
              <w:spacing w:before="98"/>
              <w:rPr>
                <w:b/>
                <w:sz w:val="18"/>
              </w:rPr>
            </w:pPr>
          </w:p>
          <w:p>
            <w:pPr>
              <w:pStyle w:val="TableParagraph"/>
              <w:ind w:left="72"/>
              <w:rPr>
                <w:sz w:val="18"/>
              </w:rPr>
            </w:pPr>
            <w:r>
              <w:rPr>
                <w:b/>
                <w:sz w:val="18"/>
              </w:rPr>
              <w:t>Actividad PPPS 1.1.10</w:t>
            </w:r>
            <w:r>
              <w:rPr>
                <w:sz w:val="18"/>
              </w:rPr>
              <w:t>: Otorgamiento del beneficio de Titulación para que personas y hogares que habitan terrenos del IMAS y sujetos públicos reciban título de propiedad a su nombre (vinculación</w:t>
            </w:r>
            <w:r>
              <w:rPr>
                <w:spacing w:val="-10"/>
                <w:sz w:val="18"/>
              </w:rPr>
              <w:t> </w:t>
            </w:r>
            <w:r>
              <w:rPr>
                <w:sz w:val="18"/>
              </w:rPr>
              <w:t>con</w:t>
            </w:r>
            <w:r>
              <w:rPr>
                <w:spacing w:val="-10"/>
                <w:sz w:val="18"/>
              </w:rPr>
              <w:t> </w:t>
            </w:r>
            <w:r>
              <w:rPr>
                <w:sz w:val="18"/>
              </w:rPr>
              <w:t>PNDIP</w:t>
            </w:r>
            <w:r>
              <w:rPr>
                <w:spacing w:val="-11"/>
                <w:sz w:val="18"/>
              </w:rPr>
              <w:t> </w:t>
            </w:r>
            <w:r>
              <w:rPr>
                <w:sz w:val="18"/>
              </w:rPr>
              <w:t>2023-2026 </w:t>
            </w:r>
            <w:r>
              <w:rPr>
                <w:spacing w:val="-2"/>
                <w:sz w:val="18"/>
              </w:rPr>
              <w:t>D.2).</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1"/>
              <w:rPr>
                <w:b/>
                <w:sz w:val="18"/>
              </w:rPr>
            </w:pPr>
          </w:p>
          <w:p>
            <w:pPr>
              <w:pStyle w:val="TableParagraph"/>
              <w:spacing w:before="1"/>
              <w:ind w:left="21" w:right="6"/>
              <w:jc w:val="center"/>
              <w:rPr>
                <w:sz w:val="18"/>
              </w:rPr>
            </w:pPr>
            <w:r>
              <w:rPr>
                <w:spacing w:val="-5"/>
                <w:sz w:val="18"/>
              </w:rPr>
              <w:t>39</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1"/>
              <w:rPr>
                <w:b/>
                <w:sz w:val="18"/>
              </w:rPr>
            </w:pPr>
          </w:p>
          <w:p>
            <w:pPr>
              <w:pStyle w:val="TableParagraph"/>
              <w:spacing w:before="1"/>
              <w:ind w:left="21" w:right="19"/>
              <w:jc w:val="center"/>
              <w:rPr>
                <w:sz w:val="18"/>
              </w:rPr>
            </w:pPr>
            <w:r>
              <w:rPr>
                <w:spacing w:val="-5"/>
                <w:sz w:val="18"/>
              </w:rPr>
              <w:t>500</w:t>
            </w:r>
          </w:p>
        </w:tc>
        <w:tc>
          <w:tcPr>
            <w:tcW w:w="19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7"/>
              <w:rPr>
                <w:b/>
                <w:sz w:val="18"/>
              </w:rPr>
            </w:pPr>
          </w:p>
          <w:p>
            <w:pPr>
              <w:pStyle w:val="TableParagraph"/>
              <w:ind w:left="68" w:right="114"/>
              <w:rPr>
                <w:sz w:val="18"/>
              </w:rPr>
            </w:pPr>
            <w:r>
              <w:rPr>
                <w:sz w:val="18"/>
              </w:rPr>
              <w:t>Cantidad de titulaciones de terrenos</w:t>
            </w:r>
            <w:r>
              <w:rPr>
                <w:spacing w:val="-5"/>
                <w:sz w:val="18"/>
              </w:rPr>
              <w:t> </w:t>
            </w:r>
            <w:r>
              <w:rPr>
                <w:sz w:val="18"/>
              </w:rPr>
              <w:t>IMAS realizadas</w:t>
            </w:r>
            <w:r>
              <w:rPr>
                <w:spacing w:val="-3"/>
                <w:sz w:val="18"/>
              </w:rPr>
              <w:t> </w:t>
            </w:r>
            <w:r>
              <w:rPr>
                <w:sz w:val="18"/>
              </w:rPr>
              <w:t>a</w:t>
            </w:r>
            <w:r>
              <w:rPr>
                <w:spacing w:val="-3"/>
                <w:sz w:val="18"/>
              </w:rPr>
              <w:t> </w:t>
            </w:r>
            <w:r>
              <w:rPr>
                <w:sz w:val="18"/>
              </w:rPr>
              <w:t>nombre de</w:t>
            </w:r>
            <w:r>
              <w:rPr>
                <w:spacing w:val="-10"/>
                <w:sz w:val="18"/>
              </w:rPr>
              <w:t> </w:t>
            </w:r>
            <w:r>
              <w:rPr>
                <w:sz w:val="18"/>
              </w:rPr>
              <w:t>hogares</w:t>
            </w:r>
            <w:r>
              <w:rPr>
                <w:spacing w:val="-13"/>
                <w:sz w:val="18"/>
              </w:rPr>
              <w:t> </w:t>
            </w:r>
            <w:r>
              <w:rPr>
                <w:sz w:val="18"/>
              </w:rPr>
              <w:t>y</w:t>
            </w:r>
            <w:r>
              <w:rPr>
                <w:spacing w:val="-12"/>
                <w:sz w:val="18"/>
              </w:rPr>
              <w:t> </w:t>
            </w:r>
            <w:r>
              <w:rPr>
                <w:sz w:val="18"/>
              </w:rPr>
              <w:t>sujetos </w:t>
            </w:r>
            <w:r>
              <w:rPr>
                <w:spacing w:val="-2"/>
                <w:sz w:val="18"/>
              </w:rPr>
              <w:t>públicos.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98"/>
              <w:rPr>
                <w:b/>
                <w:sz w:val="18"/>
              </w:rPr>
            </w:pPr>
          </w:p>
          <w:p>
            <w:pPr>
              <w:pStyle w:val="TableParagraph"/>
              <w:spacing w:before="1"/>
              <w:ind w:left="73" w:right="58"/>
              <w:rPr>
                <w:sz w:val="18"/>
              </w:rPr>
            </w:pPr>
            <w:r>
              <w:rPr>
                <w:sz w:val="18"/>
              </w:rPr>
              <w:t>Registros de </w:t>
            </w:r>
            <w:r>
              <w:rPr>
                <w:spacing w:val="-2"/>
                <w:sz w:val="18"/>
              </w:rPr>
              <w:t>titulación </w:t>
            </w:r>
            <w:r>
              <w:rPr>
                <w:sz w:val="18"/>
              </w:rPr>
              <w:t>realizados por el Departamento</w:t>
            </w:r>
            <w:r>
              <w:rPr>
                <w:spacing w:val="-13"/>
                <w:sz w:val="18"/>
              </w:rPr>
              <w:t> </w:t>
            </w:r>
            <w:r>
              <w:rPr>
                <w:sz w:val="18"/>
              </w:rPr>
              <w:t>de Desarrollo Socio productivo y </w:t>
            </w:r>
            <w:r>
              <w:rPr>
                <w:spacing w:val="-2"/>
                <w:sz w:val="18"/>
              </w:rPr>
              <w:t>Comunal</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1"/>
              <w:rPr>
                <w:b/>
                <w:sz w:val="18"/>
              </w:rPr>
            </w:pPr>
          </w:p>
          <w:p>
            <w:pPr>
              <w:pStyle w:val="TableParagraph"/>
              <w:spacing w:before="1"/>
              <w:ind w:left="17" w:right="10"/>
              <w:jc w:val="center"/>
              <w:rPr>
                <w:sz w:val="18"/>
              </w:rPr>
            </w:pPr>
            <w:r>
              <w:rPr>
                <w:spacing w:val="-2"/>
                <w:sz w:val="18"/>
              </w:rPr>
              <w:t>DDSPC</w:t>
            </w:r>
          </w:p>
        </w:tc>
        <w:tc>
          <w:tcPr>
            <w:tcW w:w="164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1"/>
              <w:rPr>
                <w:b/>
                <w:sz w:val="18"/>
              </w:rPr>
            </w:pPr>
          </w:p>
          <w:p>
            <w:pPr>
              <w:pStyle w:val="TableParagraph"/>
              <w:spacing w:before="1"/>
              <w:ind w:right="49"/>
              <w:jc w:val="right"/>
              <w:rPr>
                <w:sz w:val="18"/>
              </w:rPr>
            </w:pPr>
            <w:r>
              <w:rPr>
                <w:sz w:val="18"/>
              </w:rPr>
              <w:t>₡433</w:t>
            </w:r>
            <w:r>
              <w:rPr>
                <w:spacing w:val="-3"/>
                <w:sz w:val="18"/>
              </w:rPr>
              <w:t> </w:t>
            </w:r>
            <w:r>
              <w:rPr>
                <w:sz w:val="18"/>
              </w:rPr>
              <w:t>000</w:t>
            </w:r>
            <w:r>
              <w:rPr>
                <w:spacing w:val="-3"/>
                <w:sz w:val="18"/>
              </w:rPr>
              <w:t> </w:t>
            </w:r>
            <w:r>
              <w:rPr>
                <w:spacing w:val="-5"/>
                <w:sz w:val="18"/>
              </w:rPr>
              <w:t>000</w:t>
            </w:r>
          </w:p>
        </w:tc>
        <w:tc>
          <w:tcPr>
            <w:tcW w:w="1548" w:type="dxa"/>
            <w:vMerge/>
            <w:tcBorders>
              <w:top w:val="nil"/>
            </w:tcBorders>
          </w:tcPr>
          <w:p>
            <w:pPr>
              <w:rPr>
                <w:sz w:val="2"/>
                <w:szCs w:val="2"/>
              </w:rPr>
            </w:pPr>
          </w:p>
        </w:tc>
      </w:tr>
      <w:tr>
        <w:trPr>
          <w:trHeight w:val="465" w:hRule="atLeast"/>
        </w:trPr>
        <w:tc>
          <w:tcPr>
            <w:tcW w:w="14247" w:type="dxa"/>
            <w:gridSpan w:val="8"/>
            <w:shd w:val="clear" w:color="auto" w:fill="EFF8F9"/>
          </w:tcPr>
          <w:p>
            <w:pPr>
              <w:pStyle w:val="TableParagraph"/>
              <w:spacing w:before="23"/>
              <w:ind w:left="72" w:right="161"/>
              <w:rPr>
                <w:b/>
                <w:sz w:val="18"/>
              </w:rPr>
            </w:pPr>
            <w:r>
              <w:rPr>
                <w:b/>
                <w:sz w:val="18"/>
              </w:rPr>
              <w:t>Producto</w:t>
            </w:r>
            <w:r>
              <w:rPr>
                <w:b/>
                <w:spacing w:val="-4"/>
                <w:sz w:val="18"/>
              </w:rPr>
              <w:t> </w:t>
            </w:r>
            <w:r>
              <w:rPr>
                <w:b/>
                <w:sz w:val="18"/>
              </w:rPr>
              <w:t>PPPS</w:t>
            </w:r>
            <w:r>
              <w:rPr>
                <w:b/>
                <w:spacing w:val="-4"/>
                <w:sz w:val="18"/>
              </w:rPr>
              <w:t> </w:t>
            </w:r>
            <w:r>
              <w:rPr>
                <w:b/>
                <w:sz w:val="18"/>
              </w:rPr>
              <w:t>1.2:</w:t>
            </w:r>
            <w:r>
              <w:rPr>
                <w:b/>
                <w:spacing w:val="-1"/>
                <w:sz w:val="18"/>
              </w:rPr>
              <w:t> </w:t>
            </w:r>
            <w:r>
              <w:rPr>
                <w:b/>
                <w:sz w:val="18"/>
              </w:rPr>
              <w:t>Oferta</w:t>
            </w:r>
            <w:r>
              <w:rPr>
                <w:b/>
                <w:spacing w:val="-3"/>
                <w:sz w:val="18"/>
              </w:rPr>
              <w:t> </w:t>
            </w:r>
            <w:r>
              <w:rPr>
                <w:b/>
                <w:sz w:val="18"/>
              </w:rPr>
              <w:t>programática</w:t>
            </w:r>
            <w:r>
              <w:rPr>
                <w:b/>
                <w:spacing w:val="-3"/>
                <w:sz w:val="18"/>
              </w:rPr>
              <w:t> </w:t>
            </w:r>
            <w:r>
              <w:rPr>
                <w:b/>
                <w:sz w:val="18"/>
              </w:rPr>
              <w:t>institucional</w:t>
            </w:r>
            <w:r>
              <w:rPr>
                <w:b/>
                <w:spacing w:val="-1"/>
                <w:sz w:val="18"/>
              </w:rPr>
              <w:t> </w:t>
            </w:r>
            <w:r>
              <w:rPr>
                <w:b/>
                <w:sz w:val="18"/>
              </w:rPr>
              <w:t>en</w:t>
            </w:r>
            <w:r>
              <w:rPr>
                <w:b/>
                <w:spacing w:val="-4"/>
                <w:sz w:val="18"/>
              </w:rPr>
              <w:t> </w:t>
            </w:r>
            <w:r>
              <w:rPr>
                <w:b/>
                <w:sz w:val="18"/>
              </w:rPr>
              <w:t>promoción</w:t>
            </w:r>
            <w:r>
              <w:rPr>
                <w:b/>
                <w:spacing w:val="-4"/>
                <w:sz w:val="18"/>
              </w:rPr>
              <w:t> </w:t>
            </w:r>
            <w:r>
              <w:rPr>
                <w:b/>
                <w:sz w:val="18"/>
              </w:rPr>
              <w:t>social que</w:t>
            </w:r>
            <w:r>
              <w:rPr>
                <w:b/>
                <w:spacing w:val="-3"/>
                <w:sz w:val="18"/>
              </w:rPr>
              <w:t> </w:t>
            </w:r>
            <w:r>
              <w:rPr>
                <w:b/>
                <w:sz w:val="18"/>
              </w:rPr>
              <w:t>contribuye</w:t>
            </w:r>
            <w:r>
              <w:rPr>
                <w:b/>
                <w:spacing w:val="-3"/>
                <w:sz w:val="18"/>
              </w:rPr>
              <w:t> </w:t>
            </w:r>
            <w:r>
              <w:rPr>
                <w:b/>
                <w:sz w:val="18"/>
              </w:rPr>
              <w:t>a</w:t>
            </w:r>
            <w:r>
              <w:rPr>
                <w:b/>
                <w:spacing w:val="-3"/>
                <w:sz w:val="18"/>
              </w:rPr>
              <w:t> </w:t>
            </w:r>
            <w:r>
              <w:rPr>
                <w:b/>
                <w:sz w:val="18"/>
              </w:rPr>
              <w:t>la</w:t>
            </w:r>
            <w:r>
              <w:rPr>
                <w:b/>
                <w:spacing w:val="-8"/>
                <w:sz w:val="18"/>
              </w:rPr>
              <w:t> </w:t>
            </w:r>
            <w:r>
              <w:rPr>
                <w:b/>
                <w:sz w:val="18"/>
              </w:rPr>
              <w:t>movilidad</w:t>
            </w:r>
            <w:r>
              <w:rPr>
                <w:b/>
                <w:spacing w:val="-4"/>
                <w:sz w:val="18"/>
              </w:rPr>
              <w:t> </w:t>
            </w:r>
            <w:r>
              <w:rPr>
                <w:b/>
                <w:sz w:val="18"/>
              </w:rPr>
              <w:t>social</w:t>
            </w:r>
            <w:r>
              <w:rPr>
                <w:b/>
                <w:spacing w:val="-1"/>
                <w:sz w:val="18"/>
              </w:rPr>
              <w:t> </w:t>
            </w:r>
            <w:r>
              <w:rPr>
                <w:b/>
                <w:sz w:val="18"/>
              </w:rPr>
              <w:t>de</w:t>
            </w:r>
            <w:r>
              <w:rPr>
                <w:b/>
                <w:spacing w:val="-3"/>
                <w:sz w:val="18"/>
              </w:rPr>
              <w:t> </w:t>
            </w:r>
            <w:r>
              <w:rPr>
                <w:b/>
                <w:sz w:val="18"/>
              </w:rPr>
              <w:t>las</w:t>
            </w:r>
            <w:r>
              <w:rPr>
                <w:b/>
                <w:spacing w:val="-3"/>
                <w:sz w:val="18"/>
              </w:rPr>
              <w:t> </w:t>
            </w:r>
            <w:r>
              <w:rPr>
                <w:b/>
                <w:sz w:val="18"/>
              </w:rPr>
              <w:t>personas</w:t>
            </w:r>
            <w:r>
              <w:rPr>
                <w:b/>
                <w:spacing w:val="11"/>
                <w:sz w:val="18"/>
              </w:rPr>
              <w:t> </w:t>
            </w:r>
            <w:r>
              <w:rPr>
                <w:b/>
                <w:sz w:val="18"/>
              </w:rPr>
              <w:t>y</w:t>
            </w:r>
            <w:r>
              <w:rPr>
                <w:b/>
                <w:spacing w:val="-3"/>
                <w:sz w:val="18"/>
              </w:rPr>
              <w:t> </w:t>
            </w:r>
            <w:r>
              <w:rPr>
                <w:b/>
                <w:sz w:val="18"/>
              </w:rPr>
              <w:t>hogares</w:t>
            </w:r>
            <w:r>
              <w:rPr>
                <w:b/>
                <w:spacing w:val="-3"/>
                <w:sz w:val="18"/>
              </w:rPr>
              <w:t> </w:t>
            </w:r>
            <w:r>
              <w:rPr>
                <w:b/>
                <w:sz w:val="18"/>
              </w:rPr>
              <w:t>en situación de</w:t>
            </w:r>
            <w:r>
              <w:rPr>
                <w:b/>
                <w:spacing w:val="-3"/>
                <w:sz w:val="18"/>
              </w:rPr>
              <w:t> </w:t>
            </w:r>
            <w:r>
              <w:rPr>
                <w:b/>
                <w:sz w:val="18"/>
              </w:rPr>
              <w:t>pobreza, u organizaciones que atienden poblaciones en dicha situación.</w:t>
            </w:r>
          </w:p>
        </w:tc>
      </w:tr>
      <w:tr>
        <w:trPr>
          <w:trHeight w:val="2275" w:hRule="atLeast"/>
        </w:trPr>
        <w:tc>
          <w:tcPr>
            <w:tcW w:w="2972" w:type="dxa"/>
          </w:tcPr>
          <w:p>
            <w:pPr>
              <w:pStyle w:val="TableParagraph"/>
              <w:ind w:left="72" w:right="141"/>
              <w:rPr>
                <w:sz w:val="18"/>
              </w:rPr>
            </w:pPr>
            <w:r>
              <w:rPr>
                <w:b/>
                <w:sz w:val="18"/>
              </w:rPr>
              <w:t>Actividad PPPS 1.2.1: </w:t>
            </w:r>
            <w:r>
              <w:rPr>
                <w:sz w:val="18"/>
              </w:rPr>
              <w:t>Otorgamiento de transferencias monetarias condicionadas Avancemos a personas estudiantes de primaria y secundaria con el objetivo de coadyuvar con la inclusión, la permanencia, la asistencia y la reincorporación al sistema educativo</w:t>
            </w:r>
            <w:r>
              <w:rPr>
                <w:spacing w:val="-13"/>
                <w:sz w:val="18"/>
              </w:rPr>
              <w:t> </w:t>
            </w:r>
            <w:r>
              <w:rPr>
                <w:sz w:val="18"/>
              </w:rPr>
              <w:t>(vinculación</w:t>
            </w:r>
            <w:r>
              <w:rPr>
                <w:spacing w:val="-9"/>
                <w:sz w:val="18"/>
              </w:rPr>
              <w:t> </w:t>
            </w:r>
            <w:r>
              <w:rPr>
                <w:sz w:val="18"/>
              </w:rPr>
              <w:t>con</w:t>
            </w:r>
            <w:r>
              <w:rPr>
                <w:spacing w:val="-9"/>
                <w:sz w:val="18"/>
              </w:rPr>
              <w:t> </w:t>
            </w:r>
            <w:r>
              <w:rPr>
                <w:sz w:val="18"/>
              </w:rPr>
              <w:t>PNDIP</w:t>
            </w:r>
          </w:p>
          <w:p>
            <w:pPr>
              <w:pStyle w:val="TableParagraph"/>
              <w:spacing w:line="187" w:lineRule="exact"/>
              <w:ind w:left="72"/>
              <w:rPr>
                <w:sz w:val="18"/>
              </w:rPr>
            </w:pPr>
            <w:r>
              <w:rPr>
                <w:sz w:val="18"/>
              </w:rPr>
              <w:t>2023-2026</w:t>
            </w:r>
            <w:r>
              <w:rPr>
                <w:spacing w:val="-2"/>
                <w:sz w:val="18"/>
              </w:rPr>
              <w:t> </w:t>
            </w:r>
            <w:r>
              <w:rPr>
                <w:spacing w:val="-4"/>
                <w:sz w:val="18"/>
              </w:rPr>
              <w:t>A.1).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1"/>
              <w:jc w:val="center"/>
              <w:rPr>
                <w:sz w:val="18"/>
              </w:rPr>
            </w:pPr>
            <w:r>
              <w:rPr>
                <w:sz w:val="18"/>
              </w:rPr>
              <w:t>319</w:t>
            </w:r>
            <w:r>
              <w:rPr>
                <w:spacing w:val="2"/>
                <w:sz w:val="18"/>
              </w:rPr>
              <w:t> </w:t>
            </w:r>
            <w:r>
              <w:rPr>
                <w:spacing w:val="-5"/>
                <w:sz w:val="18"/>
              </w:rPr>
              <w:t>411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1" w:right="10"/>
              <w:jc w:val="center"/>
              <w:rPr>
                <w:sz w:val="18"/>
              </w:rPr>
            </w:pPr>
            <w:r>
              <w:rPr>
                <w:sz w:val="18"/>
              </w:rPr>
              <w:t>274</w:t>
            </w:r>
            <w:r>
              <w:rPr>
                <w:spacing w:val="2"/>
                <w:sz w:val="18"/>
              </w:rPr>
              <w:t> </w:t>
            </w:r>
            <w:r>
              <w:rPr>
                <w:spacing w:val="-5"/>
                <w:sz w:val="18"/>
              </w:rPr>
              <w:t>000</w:t>
            </w:r>
          </w:p>
        </w:tc>
        <w:tc>
          <w:tcPr>
            <w:tcW w:w="1982" w:type="dxa"/>
          </w:tcPr>
          <w:p>
            <w:pPr>
              <w:pStyle w:val="TableParagraph"/>
              <w:spacing w:before="99"/>
              <w:rPr>
                <w:b/>
                <w:sz w:val="18"/>
              </w:rPr>
            </w:pPr>
          </w:p>
          <w:p>
            <w:pPr>
              <w:pStyle w:val="TableParagraph"/>
              <w:ind w:left="68" w:right="127"/>
              <w:rPr>
                <w:sz w:val="18"/>
              </w:rPr>
            </w:pPr>
            <w:r>
              <w:rPr>
                <w:sz w:val="18"/>
              </w:rPr>
              <w:t>Cantidad</w:t>
            </w:r>
            <w:r>
              <w:rPr>
                <w:spacing w:val="-15"/>
                <w:sz w:val="18"/>
              </w:rPr>
              <w:t> </w:t>
            </w:r>
            <w:r>
              <w:rPr>
                <w:sz w:val="18"/>
              </w:rPr>
              <w:t>de</w:t>
            </w:r>
            <w:r>
              <w:rPr>
                <w:spacing w:val="-12"/>
                <w:sz w:val="18"/>
              </w:rPr>
              <w:t> </w:t>
            </w:r>
            <w:r>
              <w:rPr>
                <w:sz w:val="18"/>
              </w:rPr>
              <w:t>personas estudiantes de primaria y secundaria que reciben la </w:t>
            </w:r>
            <w:r>
              <w:rPr>
                <w:spacing w:val="-2"/>
                <w:sz w:val="18"/>
              </w:rPr>
              <w:t>transferencia monetaria condicionada Avancemos.</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3" w:right="58"/>
              <w:rPr>
                <w:sz w:val="18"/>
              </w:rPr>
            </w:pPr>
            <w:r>
              <w:rPr>
                <w:sz w:val="18"/>
              </w:rPr>
              <w:t>Informes de </w:t>
            </w:r>
            <w:r>
              <w:rPr>
                <w:spacing w:val="-2"/>
                <w:sz w:val="18"/>
              </w:rPr>
              <w:t>ejecución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17" w:right="6"/>
              <w:jc w:val="center"/>
              <w:rPr>
                <w:sz w:val="18"/>
              </w:rPr>
            </w:pPr>
            <w:r>
              <w:rPr>
                <w:spacing w:val="-4"/>
                <w:sz w:val="18"/>
              </w:rPr>
              <w:t>DDSE</w:t>
            </w:r>
          </w:p>
        </w:tc>
        <w:tc>
          <w:tcPr>
            <w:tcW w:w="1649"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right="49"/>
              <w:jc w:val="right"/>
              <w:rPr>
                <w:sz w:val="18"/>
              </w:rPr>
            </w:pPr>
            <w:r>
              <w:rPr>
                <w:sz w:val="18"/>
              </w:rPr>
              <w:t>₡89</w:t>
            </w:r>
            <w:r>
              <w:rPr>
                <w:spacing w:val="1"/>
                <w:sz w:val="18"/>
              </w:rPr>
              <w:t> </w:t>
            </w:r>
            <w:r>
              <w:rPr>
                <w:sz w:val="18"/>
              </w:rPr>
              <w:t>667</w:t>
            </w:r>
            <w:r>
              <w:rPr>
                <w:spacing w:val="-3"/>
                <w:sz w:val="18"/>
              </w:rPr>
              <w:t> </w:t>
            </w:r>
            <w:r>
              <w:rPr>
                <w:sz w:val="18"/>
              </w:rPr>
              <w:t>265</w:t>
            </w:r>
            <w:r>
              <w:rPr>
                <w:spacing w:val="-2"/>
                <w:sz w:val="18"/>
              </w:rPr>
              <w:t> </w:t>
            </w:r>
            <w:r>
              <w:rPr>
                <w:spacing w:val="-5"/>
                <w:sz w:val="18"/>
              </w:rPr>
              <w:t>965</w:t>
            </w:r>
          </w:p>
        </w:tc>
        <w:tc>
          <w:tcPr>
            <w:tcW w:w="1548" w:type="dxa"/>
          </w:tcPr>
          <w:p>
            <w:pPr>
              <w:pStyle w:val="TableParagraph"/>
              <w:spacing w:line="206" w:lineRule="exact"/>
              <w:ind w:left="72"/>
              <w:rPr>
                <w:b/>
                <w:sz w:val="18"/>
              </w:rPr>
            </w:pPr>
            <w:r>
              <w:rPr>
                <w:b/>
                <w:spacing w:val="-2"/>
                <w:sz w:val="18"/>
              </w:rPr>
              <w:t>Eventos:</w:t>
            </w:r>
          </w:p>
          <w:p>
            <w:pPr>
              <w:pStyle w:val="TableParagraph"/>
              <w:numPr>
                <w:ilvl w:val="0"/>
                <w:numId w:val="34"/>
              </w:numPr>
              <w:tabs>
                <w:tab w:pos="286" w:val="left" w:leader="none"/>
              </w:tabs>
              <w:spacing w:line="240" w:lineRule="auto" w:before="0" w:after="0"/>
              <w:ind w:left="72" w:right="66" w:firstLine="0"/>
              <w:jc w:val="left"/>
              <w:rPr>
                <w:b/>
                <w:sz w:val="18"/>
              </w:rPr>
            </w:pPr>
            <w:r>
              <w:rPr>
                <w:b/>
                <w:spacing w:val="-2"/>
                <w:sz w:val="18"/>
              </w:rPr>
              <w:t>Posible incumplimiento </w:t>
            </w:r>
            <w:r>
              <w:rPr>
                <w:b/>
                <w:sz w:val="18"/>
              </w:rPr>
              <w:t>de</w:t>
            </w:r>
            <w:r>
              <w:rPr>
                <w:b/>
                <w:spacing w:val="-9"/>
                <w:sz w:val="18"/>
              </w:rPr>
              <w:t> </w:t>
            </w:r>
            <w:r>
              <w:rPr>
                <w:b/>
                <w:sz w:val="18"/>
              </w:rPr>
              <w:t>la</w:t>
            </w:r>
            <w:r>
              <w:rPr>
                <w:b/>
                <w:spacing w:val="-12"/>
                <w:sz w:val="18"/>
              </w:rPr>
              <w:t> </w:t>
            </w:r>
            <w:r>
              <w:rPr>
                <w:b/>
                <w:sz w:val="18"/>
              </w:rPr>
              <w:t>meta</w:t>
            </w:r>
            <w:r>
              <w:rPr>
                <w:b/>
                <w:spacing w:val="-12"/>
                <w:sz w:val="18"/>
              </w:rPr>
              <w:t> </w:t>
            </w:r>
            <w:r>
              <w:rPr>
                <w:b/>
                <w:sz w:val="18"/>
              </w:rPr>
              <w:t>física para el </w:t>
            </w:r>
            <w:r>
              <w:rPr>
                <w:b/>
                <w:spacing w:val="-2"/>
                <w:sz w:val="18"/>
              </w:rPr>
              <w:t>otorgamiento</w:t>
            </w:r>
            <w:r>
              <w:rPr>
                <w:b/>
                <w:spacing w:val="80"/>
                <w:sz w:val="18"/>
              </w:rPr>
              <w:t> </w:t>
            </w:r>
            <w:r>
              <w:rPr>
                <w:b/>
                <w:sz w:val="18"/>
              </w:rPr>
              <w:t>de TMC (primaria y </w:t>
            </w:r>
            <w:r>
              <w:rPr>
                <w:b/>
                <w:spacing w:val="-2"/>
                <w:sz w:val="18"/>
              </w:rPr>
              <w:t>secundaria).</w:t>
            </w:r>
          </w:p>
          <w:p>
            <w:pPr>
              <w:pStyle w:val="TableParagraph"/>
              <w:numPr>
                <w:ilvl w:val="0"/>
                <w:numId w:val="34"/>
              </w:numPr>
              <w:tabs>
                <w:tab w:pos="286" w:val="left" w:leader="none"/>
              </w:tabs>
              <w:spacing w:line="206" w:lineRule="exact" w:before="0" w:after="0"/>
              <w:ind w:left="72" w:right="130" w:firstLine="0"/>
              <w:jc w:val="left"/>
              <w:rPr>
                <w:b/>
                <w:sz w:val="18"/>
              </w:rPr>
            </w:pPr>
            <w:r>
              <w:rPr>
                <w:b/>
                <w:spacing w:val="-2"/>
                <w:sz w:val="18"/>
              </w:rPr>
              <w:t>Posible incumplimiento</w:t>
            </w:r>
          </w:p>
        </w:tc>
      </w:tr>
    </w:tbl>
    <w:p>
      <w:pPr>
        <w:pStyle w:val="TableParagraph"/>
        <w:spacing w:after="0" w:line="206" w:lineRule="exact"/>
        <w:jc w:val="left"/>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7"/>
        <w:gridCol w:w="1550"/>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7" w:type="dxa"/>
            <w:shd w:val="clear" w:color="auto" w:fill="D9D9D9"/>
          </w:tcPr>
          <w:p>
            <w:pPr>
              <w:pStyle w:val="TableParagraph"/>
              <w:spacing w:before="104"/>
              <w:ind w:left="430" w:hanging="120"/>
              <w:rPr>
                <w:b/>
                <w:sz w:val="18"/>
              </w:rPr>
            </w:pPr>
            <w:r>
              <w:rPr>
                <w:b/>
                <w:spacing w:val="-2"/>
                <w:sz w:val="18"/>
              </w:rPr>
              <w:t>Presupuesto asignado</w:t>
            </w:r>
          </w:p>
        </w:tc>
        <w:tc>
          <w:tcPr>
            <w:tcW w:w="1550" w:type="dxa"/>
            <w:tcBorders>
              <w:bottom w:val="nil"/>
            </w:tcBorders>
            <w:shd w:val="clear" w:color="auto" w:fill="D9D9D9"/>
          </w:tcPr>
          <w:p>
            <w:pPr>
              <w:pStyle w:val="TableParagraph"/>
              <w:spacing w:line="206" w:lineRule="exact"/>
              <w:ind w:left="21" w:right="3"/>
              <w:jc w:val="center"/>
              <w:rPr>
                <w:b/>
                <w:sz w:val="18"/>
              </w:rPr>
            </w:pPr>
            <w:r>
              <w:rPr>
                <w:b/>
                <w:spacing w:val="-2"/>
                <w:sz w:val="18"/>
              </w:rPr>
              <w:t>Riesgos </w:t>
            </w:r>
            <w:r>
              <w:rPr>
                <w:b/>
                <w:sz w:val="18"/>
              </w:rPr>
              <w:t>asociados al </w:t>
            </w:r>
            <w:r>
              <w:rPr>
                <w:b/>
                <w:spacing w:val="-2"/>
                <w:sz w:val="18"/>
              </w:rPr>
              <w:t>cumplimiento</w:t>
            </w:r>
          </w:p>
        </w:tc>
      </w:tr>
      <w:tr>
        <w:trPr>
          <w:trHeight w:val="1867" w:hRule="atLeast"/>
        </w:trPr>
        <w:tc>
          <w:tcPr>
            <w:tcW w:w="2972" w:type="dxa"/>
          </w:tcPr>
          <w:p>
            <w:pPr>
              <w:pStyle w:val="TableParagraph"/>
              <w:spacing w:before="3"/>
              <w:ind w:left="72" w:right="95"/>
              <w:rPr>
                <w:sz w:val="18"/>
              </w:rPr>
            </w:pPr>
            <w:r>
              <w:rPr>
                <w:b/>
                <w:sz w:val="18"/>
              </w:rPr>
              <w:t>Actividad PPPS 1.2.2: </w:t>
            </w:r>
            <w:r>
              <w:rPr>
                <w:sz w:val="18"/>
              </w:rPr>
              <w:t>Otorgamiento de subsidios para la inclusión</w:t>
            </w:r>
            <w:r>
              <w:rPr>
                <w:spacing w:val="-2"/>
                <w:sz w:val="18"/>
              </w:rPr>
              <w:t> </w:t>
            </w:r>
            <w:r>
              <w:rPr>
                <w:sz w:val="18"/>
              </w:rPr>
              <w:t>de</w:t>
            </w:r>
            <w:r>
              <w:rPr>
                <w:spacing w:val="-6"/>
                <w:sz w:val="18"/>
              </w:rPr>
              <w:t> </w:t>
            </w:r>
            <w:r>
              <w:rPr>
                <w:sz w:val="18"/>
              </w:rPr>
              <w:t>personas</w:t>
            </w:r>
            <w:r>
              <w:rPr>
                <w:spacing w:val="-6"/>
                <w:sz w:val="18"/>
              </w:rPr>
              <w:t> </w:t>
            </w:r>
            <w:r>
              <w:rPr>
                <w:sz w:val="18"/>
              </w:rPr>
              <w:t>en</w:t>
            </w:r>
            <w:r>
              <w:rPr>
                <w:spacing w:val="-6"/>
                <w:sz w:val="18"/>
              </w:rPr>
              <w:t> </w:t>
            </w:r>
            <w:r>
              <w:rPr>
                <w:sz w:val="18"/>
              </w:rPr>
              <w:t>procesos formativos</w:t>
            </w:r>
            <w:r>
              <w:rPr>
                <w:spacing w:val="-10"/>
                <w:sz w:val="18"/>
              </w:rPr>
              <w:t> </w:t>
            </w:r>
            <w:r>
              <w:rPr>
                <w:sz w:val="18"/>
              </w:rPr>
              <w:t>para</w:t>
            </w:r>
            <w:r>
              <w:rPr>
                <w:spacing w:val="-7"/>
                <w:sz w:val="18"/>
              </w:rPr>
              <w:t> </w:t>
            </w:r>
            <w:r>
              <w:rPr>
                <w:sz w:val="18"/>
              </w:rPr>
              <w:t>el</w:t>
            </w:r>
            <w:r>
              <w:rPr>
                <w:spacing w:val="-12"/>
                <w:sz w:val="18"/>
              </w:rPr>
              <w:t> </w:t>
            </w:r>
            <w:r>
              <w:rPr>
                <w:sz w:val="18"/>
              </w:rPr>
              <w:t>fortalecimiento</w:t>
            </w:r>
            <w:r>
              <w:rPr>
                <w:spacing w:val="-10"/>
                <w:sz w:val="18"/>
              </w:rPr>
              <w:t> </w:t>
            </w:r>
            <w:r>
              <w:rPr>
                <w:sz w:val="18"/>
              </w:rPr>
              <w:t>y desarrollo de capacidades de formación personal que contribuyan al desarrollo integral (vinculación con PIEG-PLANOVI</w:t>
            </w:r>
          </w:p>
          <w:p>
            <w:pPr>
              <w:pStyle w:val="TableParagraph"/>
              <w:spacing w:line="187" w:lineRule="exact" w:before="2"/>
              <w:ind w:left="72"/>
              <w:rPr>
                <w:sz w:val="18"/>
              </w:rPr>
            </w:pPr>
            <w:r>
              <w:rPr>
                <w:sz w:val="18"/>
              </w:rPr>
              <w:t>1.1.3</w:t>
            </w:r>
            <w:r>
              <w:rPr>
                <w:spacing w:val="-8"/>
                <w:sz w:val="18"/>
              </w:rPr>
              <w:t> </w:t>
            </w:r>
            <w:r>
              <w:rPr>
                <w:sz w:val="18"/>
              </w:rPr>
              <w:t>/</w:t>
            </w:r>
            <w:r>
              <w:rPr>
                <w:spacing w:val="-1"/>
                <w:sz w:val="18"/>
              </w:rPr>
              <w:t> </w:t>
            </w:r>
            <w:r>
              <w:rPr>
                <w:sz w:val="18"/>
              </w:rPr>
              <w:t>PIEG-PLANOVI</w:t>
            </w:r>
            <w:r>
              <w:rPr>
                <w:spacing w:val="-1"/>
                <w:sz w:val="18"/>
              </w:rPr>
              <w:t> </w:t>
            </w:r>
            <w:r>
              <w:rPr>
                <w:spacing w:val="-2"/>
                <w:sz w:val="18"/>
              </w:rPr>
              <w:t>1.1.4).</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1" w:right="5"/>
              <w:jc w:val="center"/>
              <w:rPr>
                <w:sz w:val="18"/>
              </w:rPr>
            </w:pPr>
            <w:r>
              <w:rPr>
                <w:sz w:val="18"/>
              </w:rPr>
              <w:t>11</w:t>
            </w:r>
            <w:r>
              <w:rPr>
                <w:spacing w:val="2"/>
                <w:sz w:val="18"/>
              </w:rPr>
              <w:t> </w:t>
            </w:r>
            <w:r>
              <w:rPr>
                <w:spacing w:val="-5"/>
                <w:sz w:val="18"/>
              </w:rPr>
              <w:t>105</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1" w:right="15"/>
              <w:jc w:val="center"/>
              <w:rPr>
                <w:sz w:val="18"/>
              </w:rPr>
            </w:pPr>
            <w:r>
              <w:rPr>
                <w:sz w:val="18"/>
              </w:rPr>
              <w:t>11</w:t>
            </w:r>
            <w:r>
              <w:rPr>
                <w:spacing w:val="2"/>
                <w:sz w:val="18"/>
              </w:rPr>
              <w:t> </w:t>
            </w:r>
            <w:r>
              <w:rPr>
                <w:spacing w:val="-5"/>
                <w:sz w:val="18"/>
              </w:rPr>
              <w:t>373</w:t>
            </w:r>
          </w:p>
        </w:tc>
        <w:tc>
          <w:tcPr>
            <w:tcW w:w="1982" w:type="dxa"/>
          </w:tcPr>
          <w:p>
            <w:pPr>
              <w:pStyle w:val="TableParagraph"/>
              <w:rPr>
                <w:b/>
                <w:sz w:val="18"/>
              </w:rPr>
            </w:pPr>
          </w:p>
          <w:p>
            <w:pPr>
              <w:pStyle w:val="TableParagraph"/>
              <w:spacing w:before="104"/>
              <w:rPr>
                <w:b/>
                <w:sz w:val="18"/>
              </w:rPr>
            </w:pPr>
          </w:p>
          <w:p>
            <w:pPr>
              <w:pStyle w:val="TableParagraph"/>
              <w:ind w:left="68" w:right="57"/>
              <w:rPr>
                <w:sz w:val="18"/>
              </w:rPr>
            </w:pPr>
            <w:r>
              <w:rPr>
                <w:sz w:val="18"/>
              </w:rPr>
              <w:t>Cantidad de personas que</w:t>
            </w:r>
            <w:r>
              <w:rPr>
                <w:spacing w:val="-13"/>
                <w:sz w:val="18"/>
              </w:rPr>
              <w:t> </w:t>
            </w:r>
            <w:r>
              <w:rPr>
                <w:sz w:val="18"/>
              </w:rPr>
              <w:t>reciben</w:t>
            </w:r>
            <w:r>
              <w:rPr>
                <w:spacing w:val="-12"/>
                <w:sz w:val="18"/>
              </w:rPr>
              <w:t> </w:t>
            </w:r>
            <w:r>
              <w:rPr>
                <w:sz w:val="18"/>
              </w:rPr>
              <w:t>el</w:t>
            </w:r>
            <w:r>
              <w:rPr>
                <w:spacing w:val="-10"/>
                <w:sz w:val="18"/>
              </w:rPr>
              <w:t> </w:t>
            </w:r>
            <w:r>
              <w:rPr>
                <w:sz w:val="18"/>
              </w:rPr>
              <w:t>subsidio de procesos </w:t>
            </w:r>
            <w:r>
              <w:rPr>
                <w:spacing w:val="-2"/>
                <w:sz w:val="18"/>
              </w:rPr>
              <w:t>formativos.</w:t>
            </w:r>
          </w:p>
        </w:tc>
        <w:tc>
          <w:tcPr>
            <w:tcW w:w="1560" w:type="dxa"/>
          </w:tcPr>
          <w:p>
            <w:pPr>
              <w:pStyle w:val="TableParagraph"/>
              <w:rPr>
                <w:b/>
                <w:sz w:val="18"/>
              </w:rPr>
            </w:pPr>
          </w:p>
          <w:p>
            <w:pPr>
              <w:pStyle w:val="TableParagraph"/>
              <w:spacing w:before="104"/>
              <w:rPr>
                <w:b/>
                <w:sz w:val="18"/>
              </w:rPr>
            </w:pPr>
          </w:p>
          <w:p>
            <w:pPr>
              <w:pStyle w:val="TableParagraph"/>
              <w:ind w:left="73" w:right="58"/>
              <w:rPr>
                <w:sz w:val="18"/>
              </w:rPr>
            </w:pPr>
            <w:r>
              <w:rPr>
                <w:sz w:val="18"/>
              </w:rPr>
              <w:t>Informes de </w:t>
            </w:r>
            <w:r>
              <w:rPr>
                <w:spacing w:val="-2"/>
                <w:sz w:val="18"/>
              </w:rPr>
              <w:t>ejecución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17" w:right="6"/>
              <w:jc w:val="center"/>
              <w:rPr>
                <w:sz w:val="18"/>
              </w:rPr>
            </w:pPr>
            <w:r>
              <w:rPr>
                <w:spacing w:val="-4"/>
                <w:sz w:val="18"/>
              </w:rPr>
              <w:t>DDSE</w:t>
            </w:r>
          </w:p>
        </w:tc>
        <w:tc>
          <w:tcPr>
            <w:tcW w:w="164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47"/>
              <w:jc w:val="right"/>
              <w:rPr>
                <w:sz w:val="18"/>
              </w:rPr>
            </w:pPr>
            <w:r>
              <w:rPr>
                <w:sz w:val="18"/>
              </w:rPr>
              <w:t>₡3</w:t>
            </w:r>
            <w:r>
              <w:rPr>
                <w:spacing w:val="1"/>
                <w:sz w:val="18"/>
              </w:rPr>
              <w:t> </w:t>
            </w:r>
            <w:r>
              <w:rPr>
                <w:sz w:val="18"/>
              </w:rPr>
              <w:t>412</w:t>
            </w:r>
            <w:r>
              <w:rPr>
                <w:spacing w:val="-3"/>
                <w:sz w:val="18"/>
              </w:rPr>
              <w:t> </w:t>
            </w:r>
            <w:r>
              <w:rPr>
                <w:sz w:val="18"/>
              </w:rPr>
              <w:t>000</w:t>
            </w:r>
            <w:r>
              <w:rPr>
                <w:spacing w:val="-2"/>
                <w:sz w:val="18"/>
              </w:rPr>
              <w:t> </w:t>
            </w:r>
            <w:r>
              <w:rPr>
                <w:spacing w:val="-5"/>
                <w:sz w:val="18"/>
              </w:rPr>
              <w:t>000</w:t>
            </w:r>
          </w:p>
        </w:tc>
        <w:tc>
          <w:tcPr>
            <w:tcW w:w="1550" w:type="dxa"/>
            <w:vMerge w:val="restart"/>
            <w:tcBorders>
              <w:top w:val="nil"/>
            </w:tcBorders>
          </w:tcPr>
          <w:p>
            <w:pPr>
              <w:pStyle w:val="TableParagraph"/>
              <w:spacing w:before="3"/>
              <w:ind w:left="74" w:right="68"/>
              <w:rPr>
                <w:b/>
                <w:sz w:val="18"/>
              </w:rPr>
            </w:pPr>
            <w:r>
              <w:rPr>
                <w:b/>
                <w:sz w:val="18"/>
              </w:rPr>
              <w:t>de</w:t>
            </w:r>
            <w:r>
              <w:rPr>
                <w:b/>
                <w:spacing w:val="-9"/>
                <w:sz w:val="18"/>
              </w:rPr>
              <w:t> </w:t>
            </w:r>
            <w:r>
              <w:rPr>
                <w:b/>
                <w:sz w:val="18"/>
              </w:rPr>
              <w:t>la</w:t>
            </w:r>
            <w:r>
              <w:rPr>
                <w:b/>
                <w:spacing w:val="-12"/>
                <w:sz w:val="18"/>
              </w:rPr>
              <w:t> </w:t>
            </w:r>
            <w:r>
              <w:rPr>
                <w:b/>
                <w:sz w:val="18"/>
              </w:rPr>
              <w:t>meta</w:t>
            </w:r>
            <w:r>
              <w:rPr>
                <w:b/>
                <w:spacing w:val="-12"/>
                <w:sz w:val="18"/>
              </w:rPr>
              <w:t> </w:t>
            </w:r>
            <w:r>
              <w:rPr>
                <w:b/>
                <w:sz w:val="18"/>
              </w:rPr>
              <w:t>física para el </w:t>
            </w:r>
            <w:r>
              <w:rPr>
                <w:b/>
                <w:spacing w:val="-2"/>
                <w:sz w:val="18"/>
              </w:rPr>
              <w:t>otorgamiento</w:t>
            </w:r>
            <w:r>
              <w:rPr>
                <w:b/>
                <w:spacing w:val="40"/>
                <w:sz w:val="18"/>
              </w:rPr>
              <w:t> </w:t>
            </w:r>
            <w:r>
              <w:rPr>
                <w:b/>
                <w:sz w:val="18"/>
              </w:rPr>
              <w:t>del subsidio </w:t>
            </w:r>
            <w:r>
              <w:rPr>
                <w:b/>
                <w:spacing w:val="-2"/>
                <w:sz w:val="18"/>
              </w:rPr>
              <w:t>formación humana.</w:t>
            </w:r>
          </w:p>
          <w:p>
            <w:pPr>
              <w:pStyle w:val="TableParagraph"/>
              <w:spacing w:line="204" w:lineRule="exact"/>
              <w:ind w:left="74"/>
              <w:rPr>
                <w:b/>
                <w:sz w:val="18"/>
              </w:rPr>
            </w:pPr>
            <w:r>
              <w:rPr>
                <w:b/>
                <w:spacing w:val="-5"/>
                <w:sz w:val="18"/>
              </w:rPr>
              <w:t>3)</w:t>
            </w:r>
          </w:p>
          <w:p>
            <w:pPr>
              <w:pStyle w:val="TableParagraph"/>
              <w:ind w:left="74" w:right="143"/>
              <w:rPr>
                <w:b/>
                <w:sz w:val="18"/>
              </w:rPr>
            </w:pPr>
            <w:r>
              <w:rPr>
                <w:b/>
                <w:spacing w:val="-2"/>
                <w:sz w:val="18"/>
              </w:rPr>
              <w:t>Incumplimiento </w:t>
            </w:r>
            <w:r>
              <w:rPr>
                <w:b/>
                <w:sz w:val="18"/>
              </w:rPr>
              <w:t>con los plazos </w:t>
            </w:r>
            <w:r>
              <w:rPr>
                <w:b/>
                <w:spacing w:val="-2"/>
                <w:sz w:val="18"/>
              </w:rPr>
              <w:t>máximos establecidos </w:t>
            </w:r>
            <w:r>
              <w:rPr>
                <w:b/>
                <w:sz w:val="18"/>
              </w:rPr>
              <w:t>para el trámite </w:t>
            </w:r>
            <w:r>
              <w:rPr>
                <w:b/>
                <w:spacing w:val="-4"/>
                <w:sz w:val="18"/>
              </w:rPr>
              <w:t>del </w:t>
            </w:r>
            <w:r>
              <w:rPr>
                <w:b/>
                <w:spacing w:val="-2"/>
                <w:sz w:val="18"/>
              </w:rPr>
              <w:t>otorgamiento </w:t>
            </w:r>
            <w:r>
              <w:rPr>
                <w:b/>
                <w:sz w:val="18"/>
              </w:rPr>
              <w:t>del</w:t>
            </w:r>
            <w:r>
              <w:rPr>
                <w:b/>
                <w:spacing w:val="-6"/>
                <w:sz w:val="18"/>
              </w:rPr>
              <w:t> </w:t>
            </w:r>
            <w:r>
              <w:rPr>
                <w:b/>
                <w:sz w:val="18"/>
              </w:rPr>
              <w:t>subsidio</w:t>
            </w:r>
            <w:r>
              <w:rPr>
                <w:b/>
                <w:spacing w:val="-9"/>
                <w:sz w:val="18"/>
              </w:rPr>
              <w:t> </w:t>
            </w:r>
            <w:r>
              <w:rPr>
                <w:b/>
                <w:sz w:val="18"/>
              </w:rPr>
              <w:t>de </w:t>
            </w:r>
            <w:r>
              <w:rPr>
                <w:b/>
                <w:spacing w:val="-2"/>
                <w:sz w:val="18"/>
              </w:rPr>
              <w:t>capacitación.</w:t>
            </w:r>
            <w:r>
              <w:rPr>
                <w:b/>
                <w:spacing w:val="80"/>
                <w:sz w:val="18"/>
              </w:rPr>
              <w:t> </w:t>
            </w:r>
            <w:r>
              <w:rPr>
                <w:b/>
                <w:spacing w:val="-6"/>
                <w:sz w:val="18"/>
              </w:rPr>
              <w:t>4)</w:t>
            </w:r>
          </w:p>
          <w:p>
            <w:pPr>
              <w:pStyle w:val="TableParagraph"/>
              <w:spacing w:before="5"/>
              <w:ind w:left="74" w:right="71"/>
              <w:rPr>
                <w:b/>
                <w:sz w:val="18"/>
              </w:rPr>
            </w:pPr>
            <w:r>
              <w:rPr>
                <w:b/>
                <w:spacing w:val="-2"/>
                <w:sz w:val="18"/>
              </w:rPr>
              <w:t>Incumplimiento </w:t>
            </w:r>
            <w:r>
              <w:rPr>
                <w:b/>
                <w:sz w:val="18"/>
              </w:rPr>
              <w:t>con los plazos </w:t>
            </w:r>
            <w:r>
              <w:rPr>
                <w:b/>
                <w:spacing w:val="-2"/>
                <w:sz w:val="18"/>
              </w:rPr>
              <w:t>máximos establecidos </w:t>
            </w:r>
            <w:r>
              <w:rPr>
                <w:b/>
                <w:sz w:val="18"/>
              </w:rPr>
              <w:t>para el trámite </w:t>
            </w:r>
            <w:r>
              <w:rPr>
                <w:b/>
                <w:spacing w:val="-4"/>
                <w:sz w:val="18"/>
              </w:rPr>
              <w:t>del</w:t>
            </w:r>
            <w:r>
              <w:rPr>
                <w:b/>
                <w:spacing w:val="40"/>
                <w:sz w:val="18"/>
              </w:rPr>
              <w:t> </w:t>
            </w:r>
            <w:r>
              <w:rPr>
                <w:b/>
                <w:spacing w:val="-2"/>
                <w:sz w:val="18"/>
              </w:rPr>
              <w:t>otorgamiento</w:t>
            </w:r>
            <w:r>
              <w:rPr>
                <w:b/>
                <w:spacing w:val="40"/>
                <w:sz w:val="18"/>
              </w:rPr>
              <w:t> </w:t>
            </w:r>
            <w:r>
              <w:rPr>
                <w:b/>
                <w:sz w:val="18"/>
              </w:rPr>
              <w:t>del subsidio de </w:t>
            </w:r>
            <w:r>
              <w:rPr>
                <w:b/>
                <w:spacing w:val="-2"/>
                <w:sz w:val="18"/>
              </w:rPr>
              <w:t>emprendimiento productivo individual.</w:t>
            </w:r>
          </w:p>
          <w:p>
            <w:pPr>
              <w:pStyle w:val="TableParagraph"/>
              <w:spacing w:line="206" w:lineRule="exact"/>
              <w:ind w:left="74"/>
              <w:rPr>
                <w:b/>
                <w:sz w:val="18"/>
              </w:rPr>
            </w:pPr>
            <w:r>
              <w:rPr>
                <w:b/>
                <w:spacing w:val="-5"/>
                <w:sz w:val="18"/>
              </w:rPr>
              <w:t>5)</w:t>
            </w:r>
          </w:p>
          <w:p>
            <w:pPr>
              <w:pStyle w:val="TableParagraph"/>
              <w:ind w:left="74"/>
              <w:rPr>
                <w:b/>
                <w:sz w:val="18"/>
              </w:rPr>
            </w:pPr>
            <w:r>
              <w:rPr>
                <w:b/>
                <w:spacing w:val="-2"/>
                <w:sz w:val="18"/>
              </w:rPr>
              <w:t>Incumplimiento </w:t>
            </w:r>
            <w:r>
              <w:rPr>
                <w:b/>
                <w:sz w:val="18"/>
              </w:rPr>
              <w:t>en</w:t>
            </w:r>
            <w:r>
              <w:rPr>
                <w:b/>
                <w:spacing w:val="-13"/>
                <w:sz w:val="18"/>
              </w:rPr>
              <w:t> </w:t>
            </w:r>
            <w:r>
              <w:rPr>
                <w:b/>
                <w:sz w:val="18"/>
              </w:rPr>
              <w:t>la</w:t>
            </w:r>
            <w:r>
              <w:rPr>
                <w:b/>
                <w:spacing w:val="-12"/>
                <w:sz w:val="18"/>
              </w:rPr>
              <w:t> </w:t>
            </w:r>
            <w:r>
              <w:rPr>
                <w:b/>
                <w:sz w:val="18"/>
              </w:rPr>
              <w:t>entrega</w:t>
            </w:r>
            <w:r>
              <w:rPr>
                <w:b/>
                <w:spacing w:val="-13"/>
                <w:sz w:val="18"/>
              </w:rPr>
              <w:t> </w:t>
            </w:r>
            <w:r>
              <w:rPr>
                <w:b/>
                <w:sz w:val="18"/>
              </w:rPr>
              <w:t>de bienes o </w:t>
            </w:r>
            <w:r>
              <w:rPr>
                <w:b/>
                <w:spacing w:val="-2"/>
                <w:sz w:val="18"/>
              </w:rPr>
              <w:t>servicios.</w:t>
            </w:r>
          </w:p>
        </w:tc>
      </w:tr>
      <w:tr>
        <w:trPr>
          <w:trHeight w:val="2275" w:hRule="atLeast"/>
        </w:trPr>
        <w:tc>
          <w:tcPr>
            <w:tcW w:w="2972" w:type="dxa"/>
          </w:tcPr>
          <w:p>
            <w:pPr>
              <w:pStyle w:val="TableParagraph"/>
              <w:ind w:left="72" w:right="60"/>
              <w:rPr>
                <w:sz w:val="18"/>
              </w:rPr>
            </w:pPr>
            <w:r>
              <w:rPr>
                <w:b/>
                <w:sz w:val="18"/>
              </w:rPr>
              <w:t>Actividad PPPS 1.2.3: </w:t>
            </w:r>
            <w:r>
              <w:rPr>
                <w:sz w:val="18"/>
              </w:rPr>
              <w:t>Otorgamiento del subsidio de capacitación a personas que requieren fortalecer sus capacidades mediante la capacitación técnica y microempresarial para facilitar el acceso al empleo, así como el desarrollo</w:t>
            </w:r>
            <w:r>
              <w:rPr>
                <w:spacing w:val="-6"/>
                <w:sz w:val="18"/>
              </w:rPr>
              <w:t> </w:t>
            </w:r>
            <w:r>
              <w:rPr>
                <w:sz w:val="18"/>
              </w:rPr>
              <w:t>o</w:t>
            </w:r>
            <w:r>
              <w:rPr>
                <w:spacing w:val="-9"/>
                <w:sz w:val="18"/>
              </w:rPr>
              <w:t> </w:t>
            </w:r>
            <w:r>
              <w:rPr>
                <w:sz w:val="18"/>
              </w:rPr>
              <w:t>mejora</w:t>
            </w:r>
            <w:r>
              <w:rPr>
                <w:spacing w:val="-9"/>
                <w:sz w:val="18"/>
              </w:rPr>
              <w:t> </w:t>
            </w:r>
            <w:r>
              <w:rPr>
                <w:sz w:val="18"/>
              </w:rPr>
              <w:t>en</w:t>
            </w:r>
            <w:r>
              <w:rPr>
                <w:spacing w:val="-9"/>
                <w:sz w:val="18"/>
              </w:rPr>
              <w:t> </w:t>
            </w:r>
            <w:r>
              <w:rPr>
                <w:sz w:val="18"/>
              </w:rPr>
              <w:t>la</w:t>
            </w:r>
            <w:r>
              <w:rPr>
                <w:spacing w:val="-6"/>
                <w:sz w:val="18"/>
              </w:rPr>
              <w:t> </w:t>
            </w:r>
            <w:r>
              <w:rPr>
                <w:sz w:val="18"/>
              </w:rPr>
              <w:t>ejecución de emprendimientos productivos</w:t>
            </w:r>
          </w:p>
          <w:p>
            <w:pPr>
              <w:pStyle w:val="TableParagraph"/>
              <w:spacing w:line="187" w:lineRule="exact"/>
              <w:ind w:left="72"/>
              <w:rPr>
                <w:sz w:val="18"/>
              </w:rPr>
            </w:pPr>
            <w:r>
              <w:rPr>
                <w:sz w:val="18"/>
              </w:rPr>
              <w:t>(vinculación</w:t>
            </w:r>
            <w:r>
              <w:rPr>
                <w:spacing w:val="-6"/>
                <w:sz w:val="18"/>
              </w:rPr>
              <w:t> </w:t>
            </w:r>
            <w:r>
              <w:rPr>
                <w:sz w:val="18"/>
              </w:rPr>
              <w:t>con</w:t>
            </w:r>
            <w:r>
              <w:rPr>
                <w:spacing w:val="-5"/>
                <w:sz w:val="18"/>
              </w:rPr>
              <w:t> </w:t>
            </w:r>
            <w:r>
              <w:rPr>
                <w:spacing w:val="-4"/>
                <w:sz w:val="18"/>
              </w:rPr>
              <w:t>PEN).</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1" w:right="1"/>
              <w:jc w:val="center"/>
              <w:rPr>
                <w:sz w:val="18"/>
              </w:rPr>
            </w:pPr>
            <w:r>
              <w:rPr>
                <w:sz w:val="18"/>
              </w:rPr>
              <w:t>3</w:t>
            </w:r>
            <w:r>
              <w:rPr>
                <w:spacing w:val="2"/>
                <w:sz w:val="18"/>
              </w:rPr>
              <w:t> </w:t>
            </w:r>
            <w:r>
              <w:rPr>
                <w:spacing w:val="-5"/>
                <w:sz w:val="18"/>
              </w:rPr>
              <w:t>537</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1" w:right="15"/>
              <w:jc w:val="center"/>
              <w:rPr>
                <w:sz w:val="18"/>
              </w:rPr>
            </w:pPr>
            <w:r>
              <w:rPr>
                <w:sz w:val="18"/>
              </w:rPr>
              <w:t>12</w:t>
            </w:r>
            <w:r>
              <w:rPr>
                <w:spacing w:val="2"/>
                <w:sz w:val="18"/>
              </w:rPr>
              <w:t> </w:t>
            </w:r>
            <w:r>
              <w:rPr>
                <w:spacing w:val="-5"/>
                <w:sz w:val="18"/>
              </w:rPr>
              <w:t>000</w:t>
            </w:r>
          </w:p>
        </w:tc>
        <w:tc>
          <w:tcPr>
            <w:tcW w:w="1982" w:type="dxa"/>
          </w:tcPr>
          <w:p>
            <w:pPr>
              <w:pStyle w:val="TableParagraph"/>
              <w:rPr>
                <w:b/>
                <w:sz w:val="18"/>
              </w:rPr>
            </w:pPr>
          </w:p>
          <w:p>
            <w:pPr>
              <w:pStyle w:val="TableParagraph"/>
              <w:spacing w:before="103"/>
              <w:rPr>
                <w:b/>
                <w:sz w:val="18"/>
              </w:rPr>
            </w:pPr>
          </w:p>
          <w:p>
            <w:pPr>
              <w:pStyle w:val="TableParagraph"/>
              <w:ind w:left="68" w:right="87"/>
              <w:rPr>
                <w:sz w:val="18"/>
              </w:rPr>
            </w:pPr>
            <w:r>
              <w:rPr>
                <w:sz w:val="18"/>
              </w:rPr>
              <w:t>Cantidad de personas que reciben un subsidio para cubrir</w:t>
            </w:r>
            <w:r>
              <w:rPr>
                <w:spacing w:val="40"/>
                <w:sz w:val="18"/>
              </w:rPr>
              <w:t> </w:t>
            </w:r>
            <w:r>
              <w:rPr>
                <w:sz w:val="18"/>
              </w:rPr>
              <w:t>los</w:t>
            </w:r>
            <w:r>
              <w:rPr>
                <w:spacing w:val="-10"/>
                <w:sz w:val="18"/>
              </w:rPr>
              <w:t> </w:t>
            </w:r>
            <w:r>
              <w:rPr>
                <w:sz w:val="18"/>
              </w:rPr>
              <w:t>costos</w:t>
            </w:r>
            <w:r>
              <w:rPr>
                <w:spacing w:val="-13"/>
                <w:sz w:val="18"/>
              </w:rPr>
              <w:t> </w:t>
            </w:r>
            <w:r>
              <w:rPr>
                <w:sz w:val="18"/>
              </w:rPr>
              <w:t>asociados</w:t>
            </w:r>
            <w:r>
              <w:rPr>
                <w:spacing w:val="-12"/>
                <w:sz w:val="18"/>
              </w:rPr>
              <w:t> </w:t>
            </w:r>
            <w:r>
              <w:rPr>
                <w:sz w:val="18"/>
              </w:rPr>
              <w:t>a la</w:t>
            </w:r>
            <w:r>
              <w:rPr>
                <w:spacing w:val="-15"/>
                <w:sz w:val="18"/>
              </w:rPr>
              <w:t> </w:t>
            </w:r>
            <w:r>
              <w:rPr>
                <w:sz w:val="18"/>
              </w:rPr>
              <w:t>capacitación</w:t>
            </w:r>
            <w:r>
              <w:rPr>
                <w:spacing w:val="-12"/>
                <w:sz w:val="18"/>
              </w:rPr>
              <w:t> </w:t>
            </w:r>
            <w:r>
              <w:rPr>
                <w:sz w:val="18"/>
              </w:rPr>
              <w:t>técnica y microempresarial.</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3" w:right="58"/>
              <w:rPr>
                <w:sz w:val="18"/>
              </w:rPr>
            </w:pPr>
            <w:r>
              <w:rPr>
                <w:sz w:val="18"/>
              </w:rPr>
              <w:t>Informes de </w:t>
            </w:r>
            <w:r>
              <w:rPr>
                <w:spacing w:val="-2"/>
                <w:sz w:val="18"/>
              </w:rPr>
              <w:t>ejecución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17" w:right="10"/>
              <w:jc w:val="center"/>
              <w:rPr>
                <w:sz w:val="18"/>
              </w:rPr>
            </w:pPr>
            <w:r>
              <w:rPr>
                <w:spacing w:val="-2"/>
                <w:sz w:val="18"/>
              </w:rPr>
              <w:t>DDSPC</w:t>
            </w:r>
          </w:p>
        </w:tc>
        <w:tc>
          <w:tcPr>
            <w:tcW w:w="1647"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right="47"/>
              <w:jc w:val="right"/>
              <w:rPr>
                <w:sz w:val="18"/>
              </w:rPr>
            </w:pPr>
            <w:r>
              <w:rPr>
                <w:sz w:val="18"/>
              </w:rPr>
              <w:t>₡6</w:t>
            </w:r>
            <w:r>
              <w:rPr>
                <w:spacing w:val="1"/>
                <w:sz w:val="18"/>
              </w:rPr>
              <w:t> </w:t>
            </w:r>
            <w:r>
              <w:rPr>
                <w:sz w:val="18"/>
              </w:rPr>
              <w:t>000</w:t>
            </w:r>
            <w:r>
              <w:rPr>
                <w:spacing w:val="-3"/>
                <w:sz w:val="18"/>
              </w:rPr>
              <w:t> </w:t>
            </w:r>
            <w:r>
              <w:rPr>
                <w:sz w:val="18"/>
              </w:rPr>
              <w:t>000</w:t>
            </w:r>
            <w:r>
              <w:rPr>
                <w:spacing w:val="-2"/>
                <w:sz w:val="18"/>
              </w:rPr>
              <w:t> </w:t>
            </w:r>
            <w:r>
              <w:rPr>
                <w:spacing w:val="-5"/>
                <w:sz w:val="18"/>
              </w:rPr>
              <w:t>000</w:t>
            </w:r>
          </w:p>
        </w:tc>
        <w:tc>
          <w:tcPr>
            <w:tcW w:w="1550" w:type="dxa"/>
            <w:vMerge/>
            <w:tcBorders>
              <w:top w:val="nil"/>
            </w:tcBorders>
          </w:tcPr>
          <w:p>
            <w:pPr>
              <w:rPr>
                <w:sz w:val="2"/>
                <w:szCs w:val="2"/>
              </w:rPr>
            </w:pPr>
          </w:p>
        </w:tc>
      </w:tr>
      <w:tr>
        <w:trPr>
          <w:trHeight w:val="2275" w:hRule="atLeast"/>
        </w:trPr>
        <w:tc>
          <w:tcPr>
            <w:tcW w:w="2972" w:type="dxa"/>
          </w:tcPr>
          <w:p>
            <w:pPr>
              <w:pStyle w:val="TableParagraph"/>
              <w:ind w:left="72" w:right="141"/>
              <w:rPr>
                <w:sz w:val="18"/>
              </w:rPr>
            </w:pPr>
            <w:r>
              <w:rPr>
                <w:b/>
                <w:sz w:val="18"/>
              </w:rPr>
              <w:t>Actividad PPPS 1.2.4: </w:t>
            </w:r>
            <w:r>
              <w:rPr>
                <w:sz w:val="18"/>
              </w:rPr>
              <w:t>Otorgamiento del subsidio de emprendimiento productivo individual</w:t>
            </w:r>
            <w:r>
              <w:rPr>
                <w:spacing w:val="-9"/>
                <w:sz w:val="18"/>
              </w:rPr>
              <w:t> </w:t>
            </w:r>
            <w:r>
              <w:rPr>
                <w:sz w:val="18"/>
              </w:rPr>
              <w:t>a</w:t>
            </w:r>
            <w:r>
              <w:rPr>
                <w:spacing w:val="-8"/>
                <w:sz w:val="18"/>
              </w:rPr>
              <w:t> </w:t>
            </w:r>
            <w:r>
              <w:rPr>
                <w:sz w:val="18"/>
              </w:rPr>
              <w:t>personas</w:t>
            </w:r>
            <w:r>
              <w:rPr>
                <w:spacing w:val="-8"/>
                <w:sz w:val="18"/>
              </w:rPr>
              <w:t> </w:t>
            </w:r>
            <w:r>
              <w:rPr>
                <w:sz w:val="18"/>
              </w:rPr>
              <w:t>en</w:t>
            </w:r>
            <w:r>
              <w:rPr>
                <w:spacing w:val="-8"/>
                <w:sz w:val="18"/>
              </w:rPr>
              <w:t> </w:t>
            </w:r>
            <w:r>
              <w:rPr>
                <w:sz w:val="18"/>
              </w:rPr>
              <w:t>situación de pobreza, para la creación y fortalecimiento de emprendimientos productivos lícitos, para estimular e impulsar, primeramente, la generación del autoempleo y el empleo</w:t>
            </w:r>
          </w:p>
          <w:p>
            <w:pPr>
              <w:pStyle w:val="TableParagraph"/>
              <w:spacing w:line="187" w:lineRule="exact"/>
              <w:ind w:left="72"/>
              <w:rPr>
                <w:sz w:val="18"/>
              </w:rPr>
            </w:pPr>
            <w:r>
              <w:rPr>
                <w:sz w:val="18"/>
              </w:rPr>
              <w:t>(vinculación</w:t>
            </w:r>
            <w:r>
              <w:rPr>
                <w:spacing w:val="-6"/>
                <w:sz w:val="18"/>
              </w:rPr>
              <w:t> </w:t>
            </w:r>
            <w:r>
              <w:rPr>
                <w:sz w:val="18"/>
              </w:rPr>
              <w:t>con</w:t>
            </w:r>
            <w:r>
              <w:rPr>
                <w:spacing w:val="-5"/>
                <w:sz w:val="18"/>
              </w:rPr>
              <w:t> </w:t>
            </w:r>
            <w:r>
              <w:rPr>
                <w:spacing w:val="-4"/>
                <w:sz w:val="18"/>
              </w:rPr>
              <w:t>PEN).</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1" w:right="11"/>
              <w:jc w:val="center"/>
              <w:rPr>
                <w:sz w:val="18"/>
              </w:rPr>
            </w:pPr>
            <w:r>
              <w:rPr>
                <w:spacing w:val="-5"/>
                <w:sz w:val="18"/>
              </w:rPr>
              <w:t>560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1" w:right="10"/>
              <w:jc w:val="center"/>
              <w:rPr>
                <w:sz w:val="18"/>
              </w:rPr>
            </w:pPr>
            <w:r>
              <w:rPr>
                <w:sz w:val="18"/>
              </w:rPr>
              <w:t>1</w:t>
            </w:r>
            <w:r>
              <w:rPr>
                <w:spacing w:val="2"/>
                <w:sz w:val="18"/>
              </w:rPr>
              <w:t> </w:t>
            </w:r>
            <w:r>
              <w:rPr>
                <w:spacing w:val="-5"/>
                <w:sz w:val="18"/>
              </w:rPr>
              <w:t>600</w:t>
            </w:r>
          </w:p>
        </w:tc>
        <w:tc>
          <w:tcPr>
            <w:tcW w:w="1982" w:type="dxa"/>
          </w:tcPr>
          <w:p>
            <w:pPr>
              <w:pStyle w:val="TableParagraph"/>
              <w:rPr>
                <w:b/>
                <w:sz w:val="18"/>
              </w:rPr>
            </w:pPr>
          </w:p>
          <w:p>
            <w:pPr>
              <w:pStyle w:val="TableParagraph"/>
              <w:spacing w:before="204"/>
              <w:rPr>
                <w:b/>
                <w:sz w:val="18"/>
              </w:rPr>
            </w:pPr>
          </w:p>
          <w:p>
            <w:pPr>
              <w:pStyle w:val="TableParagraph"/>
              <w:ind w:left="68" w:right="114"/>
              <w:rPr>
                <w:sz w:val="18"/>
              </w:rPr>
            </w:pPr>
            <w:r>
              <w:rPr>
                <w:sz w:val="18"/>
              </w:rPr>
              <w:t>Cantidad</w:t>
            </w:r>
            <w:r>
              <w:rPr>
                <w:spacing w:val="-15"/>
                <w:sz w:val="18"/>
              </w:rPr>
              <w:t> </w:t>
            </w:r>
            <w:r>
              <w:rPr>
                <w:sz w:val="18"/>
              </w:rPr>
              <w:t>de</w:t>
            </w:r>
            <w:r>
              <w:rPr>
                <w:spacing w:val="-12"/>
                <w:sz w:val="18"/>
              </w:rPr>
              <w:t> </w:t>
            </w:r>
            <w:r>
              <w:rPr>
                <w:sz w:val="18"/>
              </w:rPr>
              <w:t>personas con subsidio </w:t>
            </w:r>
            <w:r>
              <w:rPr>
                <w:spacing w:val="-2"/>
                <w:sz w:val="18"/>
              </w:rPr>
              <w:t>emprendimientos productivos individuales</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3" w:right="58"/>
              <w:rPr>
                <w:sz w:val="18"/>
              </w:rPr>
            </w:pPr>
            <w:r>
              <w:rPr>
                <w:sz w:val="18"/>
              </w:rPr>
              <w:t>Informes de </w:t>
            </w:r>
            <w:r>
              <w:rPr>
                <w:spacing w:val="-2"/>
                <w:sz w:val="18"/>
              </w:rPr>
              <w:t>ejecución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7" w:right="10"/>
              <w:jc w:val="center"/>
              <w:rPr>
                <w:sz w:val="18"/>
              </w:rPr>
            </w:pPr>
            <w:r>
              <w:rPr>
                <w:spacing w:val="-2"/>
                <w:sz w:val="18"/>
              </w:rPr>
              <w:t>DDSPC</w:t>
            </w:r>
          </w:p>
        </w:tc>
        <w:tc>
          <w:tcPr>
            <w:tcW w:w="164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47"/>
              <w:jc w:val="right"/>
              <w:rPr>
                <w:sz w:val="18"/>
              </w:rPr>
            </w:pPr>
            <w:r>
              <w:rPr>
                <w:sz w:val="18"/>
              </w:rPr>
              <w:t>₡3</w:t>
            </w:r>
            <w:r>
              <w:rPr>
                <w:spacing w:val="1"/>
                <w:sz w:val="18"/>
              </w:rPr>
              <w:t> </w:t>
            </w:r>
            <w:r>
              <w:rPr>
                <w:sz w:val="18"/>
              </w:rPr>
              <w:t>200</w:t>
            </w:r>
            <w:r>
              <w:rPr>
                <w:spacing w:val="-3"/>
                <w:sz w:val="18"/>
              </w:rPr>
              <w:t> </w:t>
            </w:r>
            <w:r>
              <w:rPr>
                <w:sz w:val="18"/>
              </w:rPr>
              <w:t>000</w:t>
            </w:r>
            <w:r>
              <w:rPr>
                <w:spacing w:val="-2"/>
                <w:sz w:val="18"/>
              </w:rPr>
              <w:t> </w:t>
            </w:r>
            <w:r>
              <w:rPr>
                <w:spacing w:val="-5"/>
                <w:sz w:val="18"/>
              </w:rPr>
              <w:t>000</w:t>
            </w:r>
          </w:p>
        </w:tc>
        <w:tc>
          <w:tcPr>
            <w:tcW w:w="1550" w:type="dxa"/>
            <w:vMerge/>
            <w:tcBorders>
              <w:top w:val="nil"/>
            </w:tcBorders>
          </w:tcPr>
          <w:p>
            <w:pPr>
              <w:rPr>
                <w:sz w:val="2"/>
                <w:szCs w:val="2"/>
              </w:rPr>
            </w:pPr>
          </w:p>
        </w:tc>
      </w:tr>
      <w:tr>
        <w:trPr>
          <w:trHeight w:val="1867" w:hRule="atLeast"/>
        </w:trPr>
        <w:tc>
          <w:tcPr>
            <w:tcW w:w="2972" w:type="dxa"/>
          </w:tcPr>
          <w:p>
            <w:pPr>
              <w:pStyle w:val="TableParagraph"/>
              <w:spacing w:before="3"/>
              <w:ind w:left="72"/>
              <w:rPr>
                <w:sz w:val="18"/>
              </w:rPr>
            </w:pPr>
            <w:r>
              <w:rPr>
                <w:b/>
                <w:sz w:val="18"/>
              </w:rPr>
              <w:t>Actividad PPPS 1.2.5: </w:t>
            </w:r>
            <w:r>
              <w:rPr>
                <w:sz w:val="18"/>
              </w:rPr>
              <w:t>Otorgamiento del subsidio de Proyectos Socio Productivos para sujetos</w:t>
            </w:r>
            <w:r>
              <w:rPr>
                <w:spacing w:val="-7"/>
                <w:sz w:val="18"/>
              </w:rPr>
              <w:t> </w:t>
            </w:r>
            <w:r>
              <w:rPr>
                <w:sz w:val="18"/>
              </w:rPr>
              <w:t>de</w:t>
            </w:r>
            <w:r>
              <w:rPr>
                <w:spacing w:val="-7"/>
                <w:sz w:val="18"/>
              </w:rPr>
              <w:t> </w:t>
            </w:r>
            <w:r>
              <w:rPr>
                <w:sz w:val="18"/>
              </w:rPr>
              <w:t>derecho</w:t>
            </w:r>
            <w:r>
              <w:rPr>
                <w:spacing w:val="-7"/>
                <w:sz w:val="18"/>
              </w:rPr>
              <w:t> </w:t>
            </w:r>
            <w:r>
              <w:rPr>
                <w:sz w:val="18"/>
              </w:rPr>
              <w:t>privado</w:t>
            </w:r>
            <w:r>
              <w:rPr>
                <w:spacing w:val="-7"/>
                <w:sz w:val="18"/>
              </w:rPr>
              <w:t> </w:t>
            </w:r>
            <w:r>
              <w:rPr>
                <w:sz w:val="18"/>
              </w:rPr>
              <w:t>para</w:t>
            </w:r>
            <w:r>
              <w:rPr>
                <w:spacing w:val="-7"/>
                <w:sz w:val="18"/>
              </w:rPr>
              <w:t> </w:t>
            </w:r>
            <w:r>
              <w:rPr>
                <w:sz w:val="18"/>
              </w:rPr>
              <w:t>el desarrollo o fortalecimiento de actividades productivas grupales.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1" w:right="10"/>
              <w:jc w:val="center"/>
              <w:rPr>
                <w:sz w:val="18"/>
              </w:rPr>
            </w:pPr>
            <w:r>
              <w:rPr>
                <w:spacing w:val="-10"/>
                <w:sz w:val="18"/>
              </w:rPr>
              <w:t>2</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1" w:right="18"/>
              <w:jc w:val="center"/>
              <w:rPr>
                <w:sz w:val="18"/>
              </w:rPr>
            </w:pPr>
            <w:r>
              <w:rPr>
                <w:spacing w:val="-10"/>
                <w:sz w:val="18"/>
              </w:rPr>
              <w:t>6</w:t>
            </w:r>
          </w:p>
        </w:tc>
        <w:tc>
          <w:tcPr>
            <w:tcW w:w="1982" w:type="dxa"/>
          </w:tcPr>
          <w:p>
            <w:pPr>
              <w:pStyle w:val="TableParagraph"/>
              <w:spacing w:before="103"/>
              <w:rPr>
                <w:b/>
                <w:sz w:val="18"/>
              </w:rPr>
            </w:pPr>
          </w:p>
          <w:p>
            <w:pPr>
              <w:pStyle w:val="TableParagraph"/>
              <w:spacing w:before="1"/>
              <w:ind w:left="68" w:right="127"/>
              <w:rPr>
                <w:sz w:val="18"/>
              </w:rPr>
            </w:pPr>
            <w:r>
              <w:rPr>
                <w:sz w:val="18"/>
              </w:rPr>
              <w:t>Cantidad de sujetos privados</w:t>
            </w:r>
            <w:r>
              <w:rPr>
                <w:spacing w:val="-15"/>
                <w:sz w:val="18"/>
              </w:rPr>
              <w:t> </w:t>
            </w:r>
            <w:r>
              <w:rPr>
                <w:sz w:val="18"/>
              </w:rPr>
              <w:t>con</w:t>
            </w:r>
            <w:r>
              <w:rPr>
                <w:spacing w:val="-12"/>
                <w:sz w:val="18"/>
              </w:rPr>
              <w:t> </w:t>
            </w:r>
            <w:r>
              <w:rPr>
                <w:sz w:val="18"/>
              </w:rPr>
              <w:t>subsidio para el desarrollo o fortalecimiento de </w:t>
            </w:r>
            <w:r>
              <w:rPr>
                <w:spacing w:val="-2"/>
                <w:sz w:val="18"/>
              </w:rPr>
              <w:t>actividades </w:t>
            </w:r>
            <w:r>
              <w:rPr>
                <w:sz w:val="18"/>
              </w:rPr>
              <w:t>productivas</w:t>
            </w:r>
            <w:r>
              <w:rPr>
                <w:spacing w:val="-13"/>
                <w:sz w:val="18"/>
              </w:rPr>
              <w:t> </w:t>
            </w:r>
            <w:r>
              <w:rPr>
                <w:sz w:val="18"/>
              </w:rPr>
              <w:t>grupales.</w:t>
            </w:r>
          </w:p>
        </w:tc>
        <w:tc>
          <w:tcPr>
            <w:tcW w:w="1560" w:type="dxa"/>
          </w:tcPr>
          <w:p>
            <w:pPr>
              <w:pStyle w:val="TableParagraph"/>
              <w:rPr>
                <w:b/>
                <w:sz w:val="18"/>
              </w:rPr>
            </w:pPr>
          </w:p>
          <w:p>
            <w:pPr>
              <w:pStyle w:val="TableParagraph"/>
              <w:spacing w:before="103"/>
              <w:rPr>
                <w:b/>
                <w:sz w:val="18"/>
              </w:rPr>
            </w:pPr>
          </w:p>
          <w:p>
            <w:pPr>
              <w:pStyle w:val="TableParagraph"/>
              <w:spacing w:line="242" w:lineRule="auto"/>
              <w:ind w:left="73" w:right="58"/>
              <w:rPr>
                <w:sz w:val="18"/>
              </w:rPr>
            </w:pPr>
            <w:r>
              <w:rPr>
                <w:sz w:val="18"/>
              </w:rPr>
              <w:t>Informes de </w:t>
            </w:r>
            <w:r>
              <w:rPr>
                <w:spacing w:val="-2"/>
                <w:sz w:val="18"/>
              </w:rPr>
              <w:t>ejecución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7" w:right="10"/>
              <w:jc w:val="center"/>
              <w:rPr>
                <w:sz w:val="18"/>
              </w:rPr>
            </w:pPr>
            <w:r>
              <w:rPr>
                <w:spacing w:val="-2"/>
                <w:sz w:val="18"/>
              </w:rPr>
              <w:t>DDSPC</w:t>
            </w:r>
          </w:p>
        </w:tc>
        <w:tc>
          <w:tcPr>
            <w:tcW w:w="1647"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47"/>
              <w:jc w:val="right"/>
              <w:rPr>
                <w:sz w:val="18"/>
              </w:rPr>
            </w:pPr>
            <w:r>
              <w:rPr>
                <w:sz w:val="18"/>
              </w:rPr>
              <w:t>₡413</w:t>
            </w:r>
            <w:r>
              <w:rPr>
                <w:spacing w:val="1"/>
                <w:sz w:val="18"/>
              </w:rPr>
              <w:t> </w:t>
            </w:r>
            <w:r>
              <w:rPr>
                <w:sz w:val="18"/>
              </w:rPr>
              <w:t>142</w:t>
            </w:r>
            <w:r>
              <w:rPr>
                <w:spacing w:val="-3"/>
                <w:sz w:val="18"/>
              </w:rPr>
              <w:t> </w:t>
            </w:r>
            <w:r>
              <w:rPr>
                <w:spacing w:val="-5"/>
                <w:sz w:val="18"/>
              </w:rPr>
              <w:t>595</w:t>
            </w:r>
          </w:p>
        </w:tc>
        <w:tc>
          <w:tcPr>
            <w:tcW w:w="1550"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7"/>
        <w:gridCol w:w="1550"/>
      </w:tblGrid>
      <w:tr>
        <w:trPr>
          <w:trHeight w:val="619" w:hRule="atLeast"/>
        </w:trPr>
        <w:tc>
          <w:tcPr>
            <w:tcW w:w="2972" w:type="dxa"/>
            <w:tcBorders>
              <w:bottom w:val="nil"/>
            </w:tcBorders>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tcBorders>
              <w:bottom w:val="nil"/>
            </w:tcBorders>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tcBorders>
              <w:bottom w:val="nil"/>
            </w:tcBorders>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tcBorders>
              <w:bottom w:val="nil"/>
            </w:tcBorders>
            <w:shd w:val="clear" w:color="auto" w:fill="D9D9D9"/>
          </w:tcPr>
          <w:p>
            <w:pPr>
              <w:pStyle w:val="TableParagraph"/>
              <w:spacing w:before="205"/>
              <w:ind w:left="581"/>
              <w:rPr>
                <w:b/>
                <w:sz w:val="18"/>
              </w:rPr>
            </w:pPr>
            <w:r>
              <w:rPr>
                <w:b/>
                <w:spacing w:val="-2"/>
                <w:sz w:val="18"/>
              </w:rPr>
              <w:t>Indicador</w:t>
            </w:r>
          </w:p>
        </w:tc>
        <w:tc>
          <w:tcPr>
            <w:tcW w:w="1560" w:type="dxa"/>
            <w:tcBorders>
              <w:bottom w:val="nil"/>
            </w:tcBorders>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tcBorders>
              <w:bottom w:val="nil"/>
            </w:tcBorders>
            <w:shd w:val="clear" w:color="auto" w:fill="D9D9D9"/>
          </w:tcPr>
          <w:p>
            <w:pPr>
              <w:pStyle w:val="TableParagraph"/>
              <w:spacing w:before="205"/>
              <w:ind w:left="17" w:right="7"/>
              <w:jc w:val="center"/>
              <w:rPr>
                <w:b/>
                <w:sz w:val="18"/>
              </w:rPr>
            </w:pPr>
            <w:r>
              <w:rPr>
                <w:b/>
                <w:spacing w:val="-2"/>
                <w:sz w:val="18"/>
              </w:rPr>
              <w:t>Responsable</w:t>
            </w:r>
          </w:p>
        </w:tc>
        <w:tc>
          <w:tcPr>
            <w:tcW w:w="1647" w:type="dxa"/>
            <w:tcBorders>
              <w:bottom w:val="nil"/>
            </w:tcBorders>
            <w:shd w:val="clear" w:color="auto" w:fill="D9D9D9"/>
          </w:tcPr>
          <w:p>
            <w:pPr>
              <w:pStyle w:val="TableParagraph"/>
              <w:spacing w:before="104"/>
              <w:ind w:left="430" w:hanging="120"/>
              <w:rPr>
                <w:b/>
                <w:sz w:val="18"/>
              </w:rPr>
            </w:pPr>
            <w:r>
              <w:rPr>
                <w:b/>
                <w:spacing w:val="-2"/>
                <w:sz w:val="18"/>
              </w:rPr>
              <w:t>Presupuesto asignado</w:t>
            </w:r>
          </w:p>
        </w:tc>
        <w:tc>
          <w:tcPr>
            <w:tcW w:w="1550" w:type="dxa"/>
            <w:tcBorders>
              <w:bottom w:val="nil"/>
            </w:tcBorders>
            <w:shd w:val="clear" w:color="auto" w:fill="D9D9D9"/>
          </w:tcPr>
          <w:p>
            <w:pPr>
              <w:pStyle w:val="TableParagraph"/>
              <w:spacing w:line="206" w:lineRule="exact"/>
              <w:ind w:left="21" w:right="3"/>
              <w:jc w:val="center"/>
              <w:rPr>
                <w:b/>
                <w:sz w:val="18"/>
              </w:rPr>
            </w:pPr>
            <w:r>
              <w:rPr>
                <w:b/>
                <w:spacing w:val="-2"/>
                <w:sz w:val="18"/>
              </w:rPr>
              <w:t>Riesgos </w:t>
            </w:r>
            <w:r>
              <w:rPr>
                <w:b/>
                <w:sz w:val="18"/>
              </w:rPr>
              <w:t>asociados al </w:t>
            </w:r>
            <w:r>
              <w:rPr>
                <w:b/>
                <w:spacing w:val="-2"/>
                <w:sz w:val="18"/>
              </w:rPr>
              <w:t>cumplimiento</w:t>
            </w:r>
          </w:p>
        </w:tc>
      </w:tr>
      <w:tr>
        <w:trPr>
          <w:trHeight w:val="763" w:hRule="atLeast"/>
        </w:trPr>
        <w:tc>
          <w:tcPr>
            <w:tcW w:w="2972" w:type="dxa"/>
            <w:tcBorders>
              <w:top w:val="nil"/>
            </w:tcBorders>
          </w:tcPr>
          <w:p>
            <w:pPr>
              <w:pStyle w:val="TableParagraph"/>
              <w:rPr>
                <w:rFonts w:ascii="Times New Roman"/>
                <w:sz w:val="18"/>
              </w:rPr>
            </w:pPr>
          </w:p>
        </w:tc>
        <w:tc>
          <w:tcPr>
            <w:tcW w:w="1560" w:type="dxa"/>
            <w:tcBorders>
              <w:top w:val="nil"/>
            </w:tcBorders>
          </w:tcPr>
          <w:p>
            <w:pPr>
              <w:pStyle w:val="TableParagraph"/>
              <w:rPr>
                <w:rFonts w:ascii="Times New Roman"/>
                <w:sz w:val="18"/>
              </w:rPr>
            </w:pPr>
          </w:p>
        </w:tc>
        <w:tc>
          <w:tcPr>
            <w:tcW w:w="1560" w:type="dxa"/>
            <w:tcBorders>
              <w:top w:val="nil"/>
            </w:tcBorders>
          </w:tcPr>
          <w:p>
            <w:pPr>
              <w:pStyle w:val="TableParagraph"/>
              <w:rPr>
                <w:rFonts w:ascii="Times New Roman"/>
                <w:sz w:val="18"/>
              </w:rPr>
            </w:pPr>
          </w:p>
        </w:tc>
        <w:tc>
          <w:tcPr>
            <w:tcW w:w="1982" w:type="dxa"/>
            <w:tcBorders>
              <w:top w:val="nil"/>
            </w:tcBorders>
          </w:tcPr>
          <w:p>
            <w:pPr>
              <w:pStyle w:val="TableParagraph"/>
              <w:rPr>
                <w:rFonts w:ascii="Times New Roman"/>
                <w:sz w:val="18"/>
              </w:rPr>
            </w:pPr>
          </w:p>
        </w:tc>
        <w:tc>
          <w:tcPr>
            <w:tcW w:w="1560" w:type="dxa"/>
            <w:tcBorders>
              <w:top w:val="nil"/>
            </w:tcBorders>
          </w:tcPr>
          <w:p>
            <w:pPr>
              <w:pStyle w:val="TableParagraph"/>
              <w:rPr>
                <w:rFonts w:ascii="Times New Roman"/>
                <w:sz w:val="18"/>
              </w:rPr>
            </w:pPr>
          </w:p>
        </w:tc>
        <w:tc>
          <w:tcPr>
            <w:tcW w:w="1416" w:type="dxa"/>
            <w:tcBorders>
              <w:top w:val="nil"/>
            </w:tcBorders>
          </w:tcPr>
          <w:p>
            <w:pPr>
              <w:pStyle w:val="TableParagraph"/>
              <w:rPr>
                <w:rFonts w:ascii="Times New Roman"/>
                <w:sz w:val="18"/>
              </w:rPr>
            </w:pPr>
          </w:p>
        </w:tc>
        <w:tc>
          <w:tcPr>
            <w:tcW w:w="1647" w:type="dxa"/>
            <w:tcBorders>
              <w:top w:val="nil"/>
            </w:tcBorders>
          </w:tcPr>
          <w:p>
            <w:pPr>
              <w:pStyle w:val="TableParagraph"/>
              <w:rPr>
                <w:rFonts w:ascii="Times New Roman"/>
                <w:sz w:val="18"/>
              </w:rPr>
            </w:pPr>
          </w:p>
        </w:tc>
        <w:tc>
          <w:tcPr>
            <w:tcW w:w="1550" w:type="dxa"/>
            <w:tcBorders>
              <w:top w:val="nil"/>
            </w:tcBorders>
          </w:tcPr>
          <w:p>
            <w:pPr>
              <w:pStyle w:val="TableParagraph"/>
              <w:rPr>
                <w:rFonts w:ascii="Times New Roman"/>
                <w:sz w:val="18"/>
              </w:rPr>
            </w:pPr>
          </w:p>
        </w:tc>
      </w:tr>
      <w:tr>
        <w:trPr>
          <w:trHeight w:val="825" w:hRule="atLeast"/>
        </w:trPr>
        <w:tc>
          <w:tcPr>
            <w:tcW w:w="14247" w:type="dxa"/>
            <w:gridSpan w:val="8"/>
            <w:shd w:val="clear" w:color="auto" w:fill="EFF8F9"/>
          </w:tcPr>
          <w:p>
            <w:pPr>
              <w:pStyle w:val="TableParagraph"/>
              <w:spacing w:before="205"/>
              <w:ind w:left="72" w:right="98"/>
              <w:rPr>
                <w:b/>
                <w:sz w:val="18"/>
              </w:rPr>
            </w:pPr>
            <w:r>
              <w:rPr>
                <w:b/>
                <w:sz w:val="18"/>
              </w:rPr>
              <w:t>Producto</w:t>
            </w:r>
            <w:r>
              <w:rPr>
                <w:b/>
                <w:spacing w:val="-4"/>
                <w:sz w:val="18"/>
              </w:rPr>
              <w:t> </w:t>
            </w:r>
            <w:r>
              <w:rPr>
                <w:b/>
                <w:sz w:val="18"/>
              </w:rPr>
              <w:t>PPPS</w:t>
            </w:r>
            <w:r>
              <w:rPr>
                <w:b/>
                <w:spacing w:val="-4"/>
                <w:sz w:val="18"/>
              </w:rPr>
              <w:t> </w:t>
            </w:r>
            <w:r>
              <w:rPr>
                <w:b/>
                <w:sz w:val="18"/>
              </w:rPr>
              <w:t>1.3:</w:t>
            </w:r>
            <w:r>
              <w:rPr>
                <w:b/>
                <w:spacing w:val="-1"/>
                <w:sz w:val="18"/>
              </w:rPr>
              <w:t> </w:t>
            </w:r>
            <w:r>
              <w:rPr>
                <w:b/>
                <w:sz w:val="18"/>
              </w:rPr>
              <w:t>Eficiente</w:t>
            </w:r>
            <w:r>
              <w:rPr>
                <w:b/>
                <w:spacing w:val="-3"/>
                <w:sz w:val="18"/>
              </w:rPr>
              <w:t> </w:t>
            </w:r>
            <w:r>
              <w:rPr>
                <w:b/>
                <w:sz w:val="18"/>
              </w:rPr>
              <w:t>administración</w:t>
            </w:r>
            <w:r>
              <w:rPr>
                <w:b/>
                <w:spacing w:val="-4"/>
                <w:sz w:val="18"/>
              </w:rPr>
              <w:t> </w:t>
            </w:r>
            <w:r>
              <w:rPr>
                <w:b/>
                <w:sz w:val="18"/>
              </w:rPr>
              <w:t>de</w:t>
            </w:r>
            <w:r>
              <w:rPr>
                <w:b/>
                <w:spacing w:val="-3"/>
                <w:sz w:val="18"/>
              </w:rPr>
              <w:t> </w:t>
            </w:r>
            <w:r>
              <w:rPr>
                <w:b/>
                <w:sz w:val="18"/>
              </w:rPr>
              <w:t>los</w:t>
            </w:r>
            <w:r>
              <w:rPr>
                <w:b/>
                <w:spacing w:val="-3"/>
                <w:sz w:val="18"/>
              </w:rPr>
              <w:t> </w:t>
            </w:r>
            <w:r>
              <w:rPr>
                <w:b/>
                <w:sz w:val="18"/>
              </w:rPr>
              <w:t>recursos del gasto</w:t>
            </w:r>
            <w:r>
              <w:rPr>
                <w:b/>
                <w:spacing w:val="-4"/>
                <w:sz w:val="18"/>
              </w:rPr>
              <w:t> </w:t>
            </w:r>
            <w:r>
              <w:rPr>
                <w:b/>
                <w:sz w:val="18"/>
              </w:rPr>
              <w:t>administrativo operativo que</w:t>
            </w:r>
            <w:r>
              <w:rPr>
                <w:b/>
                <w:spacing w:val="-3"/>
                <w:sz w:val="18"/>
              </w:rPr>
              <w:t> </w:t>
            </w:r>
            <w:r>
              <w:rPr>
                <w:b/>
                <w:sz w:val="18"/>
              </w:rPr>
              <w:t>contribuya</w:t>
            </w:r>
            <w:r>
              <w:rPr>
                <w:b/>
                <w:spacing w:val="-3"/>
                <w:sz w:val="18"/>
              </w:rPr>
              <w:t> </w:t>
            </w:r>
            <w:r>
              <w:rPr>
                <w:b/>
                <w:sz w:val="18"/>
              </w:rPr>
              <w:t>a</w:t>
            </w:r>
            <w:r>
              <w:rPr>
                <w:b/>
                <w:spacing w:val="-8"/>
                <w:sz w:val="18"/>
              </w:rPr>
              <w:t> </w:t>
            </w:r>
            <w:r>
              <w:rPr>
                <w:b/>
                <w:sz w:val="18"/>
              </w:rPr>
              <w:t>solventar</w:t>
            </w:r>
            <w:r>
              <w:rPr>
                <w:b/>
                <w:spacing w:val="-2"/>
                <w:sz w:val="18"/>
              </w:rPr>
              <w:t> </w:t>
            </w:r>
            <w:r>
              <w:rPr>
                <w:b/>
                <w:sz w:val="18"/>
              </w:rPr>
              <w:t>necesidades</w:t>
            </w:r>
            <w:r>
              <w:rPr>
                <w:b/>
                <w:spacing w:val="-3"/>
                <w:sz w:val="18"/>
              </w:rPr>
              <w:t> </w:t>
            </w:r>
            <w:r>
              <w:rPr>
                <w:b/>
                <w:sz w:val="18"/>
              </w:rPr>
              <w:t>administrativas,</w:t>
            </w:r>
            <w:r>
              <w:rPr>
                <w:b/>
                <w:spacing w:val="-1"/>
                <w:sz w:val="18"/>
              </w:rPr>
              <w:t> </w:t>
            </w:r>
            <w:r>
              <w:rPr>
                <w:b/>
                <w:sz w:val="18"/>
              </w:rPr>
              <w:t>de espacio y otros requerimientos del programa Protección y Promoción Social.</w:t>
            </w:r>
          </w:p>
        </w:tc>
      </w:tr>
      <w:tr>
        <w:trPr>
          <w:trHeight w:val="1450" w:hRule="atLeast"/>
        </w:trPr>
        <w:tc>
          <w:tcPr>
            <w:tcW w:w="2972" w:type="dxa"/>
          </w:tcPr>
          <w:p>
            <w:pPr>
              <w:pStyle w:val="TableParagraph"/>
              <w:ind w:left="72" w:right="105"/>
              <w:rPr>
                <w:sz w:val="18"/>
              </w:rPr>
            </w:pPr>
            <w:r>
              <w:rPr>
                <w:b/>
                <w:sz w:val="18"/>
              </w:rPr>
              <w:t>Actividad</w:t>
            </w:r>
            <w:r>
              <w:rPr>
                <w:b/>
                <w:spacing w:val="-13"/>
                <w:sz w:val="18"/>
              </w:rPr>
              <w:t> </w:t>
            </w:r>
            <w:r>
              <w:rPr>
                <w:b/>
                <w:sz w:val="18"/>
              </w:rPr>
              <w:t>PPPS</w:t>
            </w:r>
            <w:r>
              <w:rPr>
                <w:b/>
                <w:spacing w:val="-12"/>
                <w:sz w:val="18"/>
              </w:rPr>
              <w:t> </w:t>
            </w:r>
            <w:r>
              <w:rPr>
                <w:b/>
                <w:sz w:val="18"/>
              </w:rPr>
              <w:t>1.3.1:</w:t>
            </w:r>
            <w:r>
              <w:rPr>
                <w:b/>
                <w:spacing w:val="-10"/>
                <w:sz w:val="18"/>
              </w:rPr>
              <w:t> </w:t>
            </w:r>
            <w:r>
              <w:rPr>
                <w:sz w:val="18"/>
              </w:rPr>
              <w:t>Financiar las llamadas telefónicas que realizan las personas usuarias a través de la Mesa de Ayuda del SACI, en el marco del acceso</w:t>
            </w:r>
          </w:p>
          <w:p>
            <w:pPr>
              <w:pStyle w:val="TableParagraph"/>
              <w:spacing w:line="206" w:lineRule="exact"/>
              <w:ind w:left="72"/>
              <w:rPr>
                <w:sz w:val="18"/>
              </w:rPr>
            </w:pPr>
            <w:r>
              <w:rPr>
                <w:sz w:val="18"/>
              </w:rPr>
              <w:t>gratuito</w:t>
            </w:r>
            <w:r>
              <w:rPr>
                <w:spacing w:val="-12"/>
                <w:sz w:val="18"/>
              </w:rPr>
              <w:t> </w:t>
            </w:r>
            <w:r>
              <w:rPr>
                <w:sz w:val="18"/>
              </w:rPr>
              <w:t>de</w:t>
            </w:r>
            <w:r>
              <w:rPr>
                <w:spacing w:val="-8"/>
                <w:sz w:val="18"/>
              </w:rPr>
              <w:t> </w:t>
            </w:r>
            <w:r>
              <w:rPr>
                <w:sz w:val="18"/>
              </w:rPr>
              <w:t>la</w:t>
            </w:r>
            <w:r>
              <w:rPr>
                <w:spacing w:val="-12"/>
                <w:sz w:val="18"/>
              </w:rPr>
              <w:t> </w:t>
            </w:r>
            <w:r>
              <w:rPr>
                <w:sz w:val="18"/>
              </w:rPr>
              <w:t>plataforma</w:t>
            </w:r>
            <w:r>
              <w:rPr>
                <w:spacing w:val="-8"/>
                <w:sz w:val="18"/>
              </w:rPr>
              <w:t> </w:t>
            </w:r>
            <w:r>
              <w:rPr>
                <w:sz w:val="18"/>
              </w:rPr>
              <w:t>virtual, centralizada y remota.</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3"/>
              <w:jc w:val="center"/>
              <w:rPr>
                <w:sz w:val="18"/>
              </w:rPr>
            </w:pPr>
            <w:r>
              <w:rPr>
                <w:spacing w:val="-4"/>
                <w:sz w:val="18"/>
              </w:rPr>
              <w:t>100%</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2"/>
              <w:jc w:val="center"/>
              <w:rPr>
                <w:sz w:val="18"/>
              </w:rPr>
            </w:pPr>
            <w:r>
              <w:rPr>
                <w:spacing w:val="-4"/>
                <w:sz w:val="18"/>
              </w:rPr>
              <w:t>100%</w:t>
            </w:r>
          </w:p>
        </w:tc>
        <w:tc>
          <w:tcPr>
            <w:tcW w:w="1982" w:type="dxa"/>
          </w:tcPr>
          <w:p>
            <w:pPr>
              <w:pStyle w:val="TableParagraph"/>
              <w:spacing w:before="104"/>
              <w:rPr>
                <w:b/>
                <w:sz w:val="18"/>
              </w:rPr>
            </w:pPr>
          </w:p>
          <w:p>
            <w:pPr>
              <w:pStyle w:val="TableParagraph"/>
              <w:ind w:left="68" w:right="114"/>
              <w:rPr>
                <w:sz w:val="18"/>
              </w:rPr>
            </w:pPr>
            <w:r>
              <w:rPr>
                <w:sz w:val="18"/>
              </w:rPr>
              <w:t>Porcentaje de llamadas</w:t>
            </w:r>
            <w:r>
              <w:rPr>
                <w:spacing w:val="-13"/>
                <w:sz w:val="18"/>
              </w:rPr>
              <w:t> </w:t>
            </w:r>
            <w:r>
              <w:rPr>
                <w:sz w:val="18"/>
              </w:rPr>
              <w:t>telefónicas financiadas por el </w:t>
            </w:r>
            <w:r>
              <w:rPr>
                <w:spacing w:val="-2"/>
                <w:sz w:val="18"/>
              </w:rPr>
              <w:t>IMAS.</w:t>
            </w:r>
          </w:p>
        </w:tc>
        <w:tc>
          <w:tcPr>
            <w:tcW w:w="1560" w:type="dxa"/>
          </w:tcPr>
          <w:p>
            <w:pPr>
              <w:pStyle w:val="TableParagraph"/>
              <w:ind w:left="73" w:right="58"/>
              <w:rPr>
                <w:sz w:val="18"/>
              </w:rPr>
            </w:pPr>
            <w:r>
              <w:rPr>
                <w:spacing w:val="-2"/>
                <w:sz w:val="18"/>
              </w:rPr>
              <w:t>Reportes </w:t>
            </w:r>
            <w:r>
              <w:rPr>
                <w:sz w:val="18"/>
              </w:rPr>
              <w:t>mensuales de SAP</w:t>
            </w:r>
            <w:r>
              <w:rPr>
                <w:spacing w:val="-10"/>
                <w:sz w:val="18"/>
              </w:rPr>
              <w:t> </w:t>
            </w:r>
            <w:r>
              <w:rPr>
                <w:sz w:val="18"/>
              </w:rPr>
              <w:t>de</w:t>
            </w:r>
            <w:r>
              <w:rPr>
                <w:spacing w:val="-12"/>
                <w:sz w:val="18"/>
              </w:rPr>
              <w:t> </w:t>
            </w:r>
            <w:r>
              <w:rPr>
                <w:sz w:val="18"/>
              </w:rPr>
              <w:t>pago</w:t>
            </w:r>
            <w:r>
              <w:rPr>
                <w:spacing w:val="-12"/>
                <w:sz w:val="18"/>
              </w:rPr>
              <w:t> </w:t>
            </w:r>
            <w:r>
              <w:rPr>
                <w:sz w:val="18"/>
              </w:rPr>
              <w:t>de facturas o </w:t>
            </w:r>
            <w:r>
              <w:rPr>
                <w:spacing w:val="-2"/>
                <w:sz w:val="18"/>
              </w:rPr>
              <w:t>mediante</w:t>
            </w:r>
          </w:p>
          <w:p>
            <w:pPr>
              <w:pStyle w:val="TableParagraph"/>
              <w:spacing w:line="206" w:lineRule="exact"/>
              <w:ind w:left="73" w:right="58"/>
              <w:rPr>
                <w:sz w:val="18"/>
              </w:rPr>
            </w:pPr>
            <w:r>
              <w:rPr>
                <w:sz w:val="18"/>
              </w:rPr>
              <w:t>reportes del Sistema</w:t>
            </w:r>
            <w:r>
              <w:rPr>
                <w:spacing w:val="-13"/>
                <w:sz w:val="18"/>
              </w:rPr>
              <w:t> </w:t>
            </w:r>
            <w:r>
              <w:rPr>
                <w:sz w:val="18"/>
              </w:rPr>
              <w:t>PAR</w:t>
            </w:r>
          </w:p>
        </w:tc>
        <w:tc>
          <w:tcPr>
            <w:tcW w:w="141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7" w:right="5"/>
              <w:jc w:val="center"/>
              <w:rPr>
                <w:sz w:val="18"/>
              </w:rPr>
            </w:pPr>
            <w:r>
              <w:rPr>
                <w:spacing w:val="-4"/>
                <w:sz w:val="18"/>
              </w:rPr>
              <w:t>DSIS</w:t>
            </w:r>
          </w:p>
        </w:tc>
        <w:tc>
          <w:tcPr>
            <w:tcW w:w="1647"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47"/>
              <w:jc w:val="right"/>
              <w:rPr>
                <w:sz w:val="18"/>
              </w:rPr>
            </w:pPr>
            <w:r>
              <w:rPr>
                <w:sz w:val="18"/>
              </w:rPr>
              <w:t>₡60</w:t>
            </w:r>
            <w:r>
              <w:rPr>
                <w:spacing w:val="1"/>
                <w:sz w:val="18"/>
              </w:rPr>
              <w:t> </w:t>
            </w:r>
            <w:r>
              <w:rPr>
                <w:sz w:val="18"/>
              </w:rPr>
              <w:t>000</w:t>
            </w:r>
            <w:r>
              <w:rPr>
                <w:spacing w:val="-3"/>
                <w:sz w:val="18"/>
              </w:rPr>
              <w:t> </w:t>
            </w:r>
            <w:r>
              <w:rPr>
                <w:spacing w:val="-5"/>
                <w:sz w:val="18"/>
              </w:rPr>
              <w:t>000</w:t>
            </w:r>
          </w:p>
        </w:tc>
        <w:tc>
          <w:tcPr>
            <w:tcW w:w="1550" w:type="dxa"/>
            <w:vMerge w:val="restart"/>
          </w:tcPr>
          <w:p>
            <w:pPr>
              <w:pStyle w:val="TableParagraph"/>
              <w:spacing w:line="207" w:lineRule="exact" w:before="181"/>
              <w:ind w:left="74"/>
              <w:rPr>
                <w:b/>
                <w:sz w:val="18"/>
              </w:rPr>
            </w:pPr>
            <w:r>
              <w:rPr>
                <w:b/>
                <w:spacing w:val="-2"/>
                <w:sz w:val="18"/>
              </w:rPr>
              <w:t>Eventos:</w:t>
            </w:r>
          </w:p>
          <w:p>
            <w:pPr>
              <w:pStyle w:val="TableParagraph"/>
              <w:ind w:left="74" w:right="57"/>
              <w:rPr>
                <w:b/>
                <w:sz w:val="18"/>
              </w:rPr>
            </w:pPr>
            <w:r>
              <w:rPr>
                <w:b/>
                <w:sz w:val="18"/>
              </w:rPr>
              <w:t>1) Volumen de </w:t>
            </w:r>
            <w:r>
              <w:rPr>
                <w:b/>
                <w:spacing w:val="-2"/>
                <w:sz w:val="18"/>
              </w:rPr>
              <w:t>llamadas</w:t>
            </w:r>
            <w:r>
              <w:rPr>
                <w:b/>
                <w:spacing w:val="40"/>
                <w:sz w:val="18"/>
              </w:rPr>
              <w:t> </w:t>
            </w:r>
            <w:r>
              <w:rPr>
                <w:b/>
                <w:sz w:val="18"/>
              </w:rPr>
              <w:t>exceda los </w:t>
            </w:r>
            <w:r>
              <w:rPr>
                <w:b/>
                <w:spacing w:val="-2"/>
                <w:sz w:val="18"/>
              </w:rPr>
              <w:t>recursos presupuestarios </w:t>
            </w:r>
            <w:r>
              <w:rPr>
                <w:b/>
                <w:sz w:val="18"/>
              </w:rPr>
              <w:t>para</w:t>
            </w:r>
            <w:r>
              <w:rPr>
                <w:b/>
                <w:spacing w:val="-1"/>
                <w:sz w:val="18"/>
              </w:rPr>
              <w:t> </w:t>
            </w:r>
            <w:r>
              <w:rPr>
                <w:b/>
                <w:sz w:val="18"/>
              </w:rPr>
              <w:t>la</w:t>
            </w:r>
            <w:r>
              <w:rPr>
                <w:b/>
                <w:spacing w:val="-1"/>
                <w:sz w:val="18"/>
              </w:rPr>
              <w:t> </w:t>
            </w:r>
            <w:r>
              <w:rPr>
                <w:b/>
                <w:sz w:val="18"/>
              </w:rPr>
              <w:t>atención gratuita de la </w:t>
            </w:r>
            <w:r>
              <w:rPr>
                <w:b/>
                <w:spacing w:val="-2"/>
                <w:sz w:val="18"/>
              </w:rPr>
              <w:t>población institucional.</w:t>
            </w:r>
          </w:p>
          <w:p>
            <w:pPr>
              <w:pStyle w:val="TableParagraph"/>
              <w:spacing w:line="207" w:lineRule="exact" w:before="1"/>
              <w:ind w:left="74"/>
              <w:rPr>
                <w:b/>
                <w:sz w:val="18"/>
              </w:rPr>
            </w:pPr>
            <w:r>
              <w:rPr>
                <w:b/>
                <w:spacing w:val="-5"/>
                <w:sz w:val="18"/>
              </w:rPr>
              <w:t>2)</w:t>
            </w:r>
          </w:p>
          <w:p>
            <w:pPr>
              <w:pStyle w:val="TableParagraph"/>
              <w:ind w:left="74" w:right="128"/>
              <w:rPr>
                <w:b/>
                <w:sz w:val="18"/>
              </w:rPr>
            </w:pPr>
            <w:r>
              <w:rPr>
                <w:b/>
                <w:spacing w:val="-2"/>
                <w:sz w:val="18"/>
              </w:rPr>
              <w:t>Incumplimiento </w:t>
            </w:r>
            <w:r>
              <w:rPr>
                <w:b/>
                <w:sz w:val="18"/>
              </w:rPr>
              <w:t>del modelo de </w:t>
            </w:r>
            <w:r>
              <w:rPr>
                <w:b/>
                <w:spacing w:val="-2"/>
                <w:sz w:val="18"/>
              </w:rPr>
              <w:t>atención </w:t>
            </w:r>
            <w:r>
              <w:rPr>
                <w:b/>
                <w:sz w:val="18"/>
              </w:rPr>
              <w:t>establecido</w:t>
            </w:r>
            <w:r>
              <w:rPr>
                <w:b/>
                <w:spacing w:val="-13"/>
                <w:sz w:val="18"/>
              </w:rPr>
              <w:t> </w:t>
            </w:r>
            <w:r>
              <w:rPr>
                <w:b/>
                <w:sz w:val="18"/>
              </w:rPr>
              <w:t>por la institución.</w:t>
            </w:r>
          </w:p>
          <w:p>
            <w:pPr>
              <w:pStyle w:val="TableParagraph"/>
              <w:spacing w:line="207" w:lineRule="exact" w:before="2"/>
              <w:ind w:left="74"/>
              <w:rPr>
                <w:b/>
                <w:sz w:val="18"/>
              </w:rPr>
            </w:pPr>
            <w:r>
              <w:rPr>
                <w:b/>
                <w:spacing w:val="-2"/>
                <w:sz w:val="18"/>
              </w:rPr>
              <w:t>3-4-5-6-</w:t>
            </w:r>
            <w:r>
              <w:rPr>
                <w:b/>
                <w:spacing w:val="-5"/>
                <w:sz w:val="18"/>
              </w:rPr>
              <w:t>7)</w:t>
            </w:r>
          </w:p>
          <w:p>
            <w:pPr>
              <w:pStyle w:val="TableParagraph"/>
              <w:ind w:left="74" w:right="333"/>
              <w:rPr>
                <w:b/>
                <w:sz w:val="18"/>
              </w:rPr>
            </w:pPr>
            <w:r>
              <w:rPr>
                <w:b/>
                <w:sz w:val="18"/>
              </w:rPr>
              <w:t>Cambios en normativa y </w:t>
            </w:r>
            <w:r>
              <w:rPr>
                <w:b/>
                <w:spacing w:val="-2"/>
                <w:sz w:val="18"/>
              </w:rPr>
              <w:t>lineamientos externos </w:t>
            </w:r>
            <w:r>
              <w:rPr>
                <w:b/>
                <w:sz w:val="18"/>
              </w:rPr>
              <w:t>inciden en procesos de </w:t>
            </w:r>
            <w:r>
              <w:rPr>
                <w:b/>
                <w:spacing w:val="-2"/>
                <w:sz w:val="18"/>
              </w:rPr>
              <w:t>contratación. 8-9-10-11)</w:t>
            </w:r>
          </w:p>
          <w:p>
            <w:pPr>
              <w:pStyle w:val="TableParagraph"/>
              <w:ind w:left="74"/>
              <w:rPr>
                <w:b/>
                <w:sz w:val="18"/>
              </w:rPr>
            </w:pPr>
            <w:r>
              <w:rPr>
                <w:b/>
                <w:spacing w:val="-2"/>
                <w:sz w:val="18"/>
              </w:rPr>
              <w:t>Limitaciones presupuestarias </w:t>
            </w:r>
            <w:r>
              <w:rPr>
                <w:b/>
                <w:sz w:val="18"/>
              </w:rPr>
              <w:t>para cubrir los </w:t>
            </w:r>
            <w:r>
              <w:rPr>
                <w:b/>
                <w:spacing w:val="-2"/>
                <w:sz w:val="18"/>
              </w:rPr>
              <w:t>requerimientos </w:t>
            </w:r>
            <w:r>
              <w:rPr>
                <w:b/>
                <w:sz w:val="18"/>
              </w:rPr>
              <w:t>del plan de </w:t>
            </w:r>
            <w:r>
              <w:rPr>
                <w:b/>
                <w:spacing w:val="-2"/>
                <w:sz w:val="18"/>
              </w:rPr>
              <w:t>compras.</w:t>
            </w:r>
          </w:p>
        </w:tc>
      </w:tr>
      <w:tr>
        <w:trPr>
          <w:trHeight w:val="1449" w:hRule="atLeast"/>
        </w:trPr>
        <w:tc>
          <w:tcPr>
            <w:tcW w:w="2972" w:type="dxa"/>
          </w:tcPr>
          <w:p>
            <w:pPr>
              <w:pStyle w:val="TableParagraph"/>
              <w:spacing w:before="103"/>
              <w:rPr>
                <w:b/>
                <w:sz w:val="18"/>
              </w:rPr>
            </w:pPr>
          </w:p>
          <w:p>
            <w:pPr>
              <w:pStyle w:val="TableParagraph"/>
              <w:spacing w:before="1"/>
              <w:ind w:left="72" w:right="105"/>
              <w:rPr>
                <w:sz w:val="18"/>
              </w:rPr>
            </w:pPr>
            <w:r>
              <w:rPr>
                <w:b/>
                <w:sz w:val="18"/>
              </w:rPr>
              <w:t>Actividad PPPS 1.3.2: </w:t>
            </w:r>
            <w:r>
              <w:rPr>
                <w:sz w:val="18"/>
              </w:rPr>
              <w:t>Implementación</w:t>
            </w:r>
            <w:r>
              <w:rPr>
                <w:spacing w:val="-9"/>
                <w:sz w:val="18"/>
              </w:rPr>
              <w:t> </w:t>
            </w:r>
            <w:r>
              <w:rPr>
                <w:sz w:val="18"/>
              </w:rPr>
              <w:t>de</w:t>
            </w:r>
            <w:r>
              <w:rPr>
                <w:spacing w:val="-9"/>
                <w:sz w:val="18"/>
              </w:rPr>
              <w:t> </w:t>
            </w:r>
            <w:r>
              <w:rPr>
                <w:sz w:val="18"/>
              </w:rPr>
              <w:t>un</w:t>
            </w:r>
            <w:r>
              <w:rPr>
                <w:spacing w:val="-9"/>
                <w:sz w:val="18"/>
              </w:rPr>
              <w:t> </w:t>
            </w:r>
            <w:r>
              <w:rPr>
                <w:sz w:val="18"/>
              </w:rPr>
              <w:t>sistema</w:t>
            </w:r>
            <w:r>
              <w:rPr>
                <w:spacing w:val="-9"/>
                <w:sz w:val="18"/>
              </w:rPr>
              <w:t> </w:t>
            </w:r>
            <w:r>
              <w:rPr>
                <w:sz w:val="18"/>
              </w:rPr>
              <w:t>de citas integrado mediante un servicio informático en la nube.</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3"/>
              <w:jc w:val="center"/>
              <w:rPr>
                <w:sz w:val="18"/>
              </w:rPr>
            </w:pPr>
            <w:r>
              <w:rPr>
                <w:spacing w:val="-4"/>
                <w:sz w:val="18"/>
              </w:rPr>
              <w:t>100%</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2"/>
              <w:jc w:val="center"/>
              <w:rPr>
                <w:sz w:val="18"/>
              </w:rPr>
            </w:pPr>
            <w:r>
              <w:rPr>
                <w:spacing w:val="-4"/>
                <w:sz w:val="18"/>
              </w:rPr>
              <w:t>100%</w:t>
            </w:r>
          </w:p>
        </w:tc>
        <w:tc>
          <w:tcPr>
            <w:tcW w:w="1982" w:type="dxa"/>
          </w:tcPr>
          <w:p>
            <w:pPr>
              <w:pStyle w:val="TableParagraph"/>
              <w:spacing w:before="103"/>
              <w:rPr>
                <w:b/>
                <w:sz w:val="18"/>
              </w:rPr>
            </w:pPr>
          </w:p>
          <w:p>
            <w:pPr>
              <w:pStyle w:val="TableParagraph"/>
              <w:spacing w:before="1"/>
              <w:ind w:left="68"/>
              <w:rPr>
                <w:sz w:val="18"/>
              </w:rPr>
            </w:pPr>
            <w:r>
              <w:rPr>
                <w:sz w:val="18"/>
              </w:rPr>
              <w:t>Porcentaje de citas asignadas</w:t>
            </w:r>
            <w:r>
              <w:rPr>
                <w:spacing w:val="-15"/>
                <w:sz w:val="18"/>
              </w:rPr>
              <w:t> </w:t>
            </w:r>
            <w:r>
              <w:rPr>
                <w:sz w:val="18"/>
              </w:rPr>
              <w:t>mediante</w:t>
            </w:r>
            <w:r>
              <w:rPr>
                <w:spacing w:val="-12"/>
                <w:sz w:val="18"/>
              </w:rPr>
              <w:t> </w:t>
            </w:r>
            <w:r>
              <w:rPr>
                <w:sz w:val="18"/>
              </w:rPr>
              <w:t>el Sistema de Citas </w:t>
            </w:r>
            <w:r>
              <w:rPr>
                <w:spacing w:val="-2"/>
                <w:sz w:val="18"/>
              </w:rPr>
              <w:t>institucional.</w:t>
            </w:r>
          </w:p>
        </w:tc>
        <w:tc>
          <w:tcPr>
            <w:tcW w:w="1560" w:type="dxa"/>
          </w:tcPr>
          <w:p>
            <w:pPr>
              <w:pStyle w:val="TableParagraph"/>
              <w:ind w:left="73" w:right="58"/>
              <w:rPr>
                <w:sz w:val="18"/>
              </w:rPr>
            </w:pPr>
            <w:r>
              <w:rPr>
                <w:spacing w:val="-2"/>
                <w:sz w:val="18"/>
              </w:rPr>
              <w:t>Informes mensuales </w:t>
            </w:r>
            <w:r>
              <w:rPr>
                <w:sz w:val="18"/>
              </w:rPr>
              <w:t>reflejados</w:t>
            </w:r>
            <w:r>
              <w:rPr>
                <w:spacing w:val="-15"/>
                <w:sz w:val="18"/>
              </w:rPr>
              <w:t> </w:t>
            </w:r>
            <w:r>
              <w:rPr>
                <w:sz w:val="18"/>
              </w:rPr>
              <w:t>en</w:t>
            </w:r>
            <w:r>
              <w:rPr>
                <w:spacing w:val="-12"/>
                <w:sz w:val="18"/>
              </w:rPr>
              <w:t> </w:t>
            </w:r>
            <w:r>
              <w:rPr>
                <w:sz w:val="18"/>
              </w:rPr>
              <w:t>la </w:t>
            </w:r>
            <w:r>
              <w:rPr>
                <w:spacing w:val="-2"/>
                <w:sz w:val="18"/>
              </w:rPr>
              <w:t>contratación </w:t>
            </w:r>
            <w:r>
              <w:rPr>
                <w:sz w:val="18"/>
              </w:rPr>
              <w:t>vigente y Reportes del</w:t>
            </w:r>
          </w:p>
          <w:p>
            <w:pPr>
              <w:pStyle w:val="TableParagraph"/>
              <w:spacing w:line="187" w:lineRule="exact"/>
              <w:ind w:left="73"/>
              <w:rPr>
                <w:sz w:val="18"/>
              </w:rPr>
            </w:pPr>
            <w:r>
              <w:rPr>
                <w:sz w:val="18"/>
              </w:rPr>
              <w:t>sistema</w:t>
            </w:r>
            <w:r>
              <w:rPr>
                <w:spacing w:val="-4"/>
                <w:sz w:val="18"/>
              </w:rPr>
              <w:t> </w:t>
            </w:r>
            <w:r>
              <w:rPr>
                <w:sz w:val="18"/>
              </w:rPr>
              <w:t>de</w:t>
            </w:r>
            <w:r>
              <w:rPr>
                <w:spacing w:val="-3"/>
                <w:sz w:val="18"/>
              </w:rPr>
              <w:t> </w:t>
            </w:r>
            <w:r>
              <w:rPr>
                <w:spacing w:val="-2"/>
                <w:sz w:val="18"/>
              </w:rPr>
              <w:t>citas</w:t>
            </w:r>
          </w:p>
        </w:tc>
        <w:tc>
          <w:tcPr>
            <w:tcW w:w="141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7" w:right="5"/>
              <w:jc w:val="center"/>
              <w:rPr>
                <w:sz w:val="18"/>
              </w:rPr>
            </w:pPr>
            <w:r>
              <w:rPr>
                <w:spacing w:val="-4"/>
                <w:sz w:val="18"/>
              </w:rPr>
              <w:t>DSIS</w:t>
            </w:r>
          </w:p>
        </w:tc>
        <w:tc>
          <w:tcPr>
            <w:tcW w:w="1647"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47"/>
              <w:jc w:val="right"/>
              <w:rPr>
                <w:sz w:val="18"/>
              </w:rPr>
            </w:pPr>
            <w:r>
              <w:rPr>
                <w:sz w:val="18"/>
              </w:rPr>
              <w:t>₡40</w:t>
            </w:r>
            <w:r>
              <w:rPr>
                <w:spacing w:val="1"/>
                <w:sz w:val="18"/>
              </w:rPr>
              <w:t> </w:t>
            </w:r>
            <w:r>
              <w:rPr>
                <w:sz w:val="18"/>
              </w:rPr>
              <w:t>000</w:t>
            </w:r>
            <w:r>
              <w:rPr>
                <w:spacing w:val="-3"/>
                <w:sz w:val="18"/>
              </w:rPr>
              <w:t> </w:t>
            </w:r>
            <w:r>
              <w:rPr>
                <w:spacing w:val="-5"/>
                <w:sz w:val="18"/>
              </w:rPr>
              <w:t>000</w:t>
            </w:r>
          </w:p>
        </w:tc>
        <w:tc>
          <w:tcPr>
            <w:tcW w:w="1550" w:type="dxa"/>
            <w:vMerge/>
            <w:tcBorders>
              <w:top w:val="nil"/>
            </w:tcBorders>
          </w:tcPr>
          <w:p>
            <w:pPr>
              <w:rPr>
                <w:sz w:val="2"/>
                <w:szCs w:val="2"/>
              </w:rPr>
            </w:pPr>
          </w:p>
        </w:tc>
      </w:tr>
      <w:tr>
        <w:trPr>
          <w:trHeight w:val="1449" w:hRule="atLeast"/>
        </w:trPr>
        <w:tc>
          <w:tcPr>
            <w:tcW w:w="2972" w:type="dxa"/>
          </w:tcPr>
          <w:p>
            <w:pPr>
              <w:pStyle w:val="TableParagraph"/>
              <w:spacing w:before="205"/>
              <w:ind w:left="72"/>
              <w:rPr>
                <w:sz w:val="18"/>
              </w:rPr>
            </w:pPr>
            <w:r>
              <w:rPr>
                <w:b/>
                <w:sz w:val="18"/>
              </w:rPr>
              <w:t>Actividad PPPS 1.3.3: </w:t>
            </w:r>
            <w:r>
              <w:rPr>
                <w:sz w:val="18"/>
              </w:rPr>
              <w:t>Pago de servicios</w:t>
            </w:r>
            <w:r>
              <w:rPr>
                <w:spacing w:val="-12"/>
                <w:sz w:val="18"/>
              </w:rPr>
              <w:t> </w:t>
            </w:r>
            <w:r>
              <w:rPr>
                <w:sz w:val="18"/>
              </w:rPr>
              <w:t>profesionales</w:t>
            </w:r>
            <w:r>
              <w:rPr>
                <w:spacing w:val="-12"/>
                <w:sz w:val="18"/>
              </w:rPr>
              <w:t> </w:t>
            </w:r>
            <w:r>
              <w:rPr>
                <w:sz w:val="18"/>
              </w:rPr>
              <w:t>y</w:t>
            </w:r>
            <w:r>
              <w:rPr>
                <w:spacing w:val="-12"/>
                <w:sz w:val="18"/>
              </w:rPr>
              <w:t> </w:t>
            </w:r>
            <w:r>
              <w:rPr>
                <w:sz w:val="18"/>
              </w:rPr>
              <w:t>técnicos requeridos para solventar necesidades de infraestructura </w:t>
            </w:r>
            <w:r>
              <w:rPr>
                <w:spacing w:val="-2"/>
                <w:sz w:val="18"/>
              </w:rPr>
              <w:t>(1.04.03).</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2"/>
              <w:jc w:val="center"/>
              <w:rPr>
                <w:sz w:val="18"/>
              </w:rPr>
            </w:pPr>
            <w:r>
              <w:rPr>
                <w:spacing w:val="-2"/>
                <w:sz w:val="18"/>
              </w:rPr>
              <w:t>5,34%</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2"/>
              <w:jc w:val="center"/>
              <w:rPr>
                <w:sz w:val="18"/>
              </w:rPr>
            </w:pPr>
            <w:r>
              <w:rPr>
                <w:spacing w:val="-4"/>
                <w:sz w:val="18"/>
              </w:rPr>
              <w:t>100%</w:t>
            </w:r>
          </w:p>
        </w:tc>
        <w:tc>
          <w:tcPr>
            <w:tcW w:w="1982" w:type="dxa"/>
          </w:tcPr>
          <w:p>
            <w:pPr>
              <w:pStyle w:val="TableParagraph"/>
              <w:spacing w:before="205"/>
              <w:ind w:left="68"/>
              <w:rPr>
                <w:sz w:val="18"/>
              </w:rPr>
            </w:pPr>
            <w:r>
              <w:rPr>
                <w:sz w:val="18"/>
              </w:rPr>
              <w:t>Porcentaje de </w:t>
            </w:r>
            <w:r>
              <w:rPr>
                <w:spacing w:val="-2"/>
                <w:sz w:val="18"/>
              </w:rPr>
              <w:t>presupuesto </w:t>
            </w:r>
            <w:r>
              <w:rPr>
                <w:sz w:val="18"/>
              </w:rPr>
              <w:t>programado que se invierte en el pago de servicios</w:t>
            </w:r>
            <w:r>
              <w:rPr>
                <w:spacing w:val="-15"/>
                <w:sz w:val="18"/>
              </w:rPr>
              <w:t> </w:t>
            </w:r>
            <w:r>
              <w:rPr>
                <w:sz w:val="18"/>
              </w:rPr>
              <w:t>de</w:t>
            </w:r>
            <w:r>
              <w:rPr>
                <w:spacing w:val="-12"/>
                <w:sz w:val="18"/>
              </w:rPr>
              <w:t> </w:t>
            </w:r>
            <w:r>
              <w:rPr>
                <w:sz w:val="18"/>
              </w:rPr>
              <w:t>ingeniería.</w:t>
            </w:r>
          </w:p>
        </w:tc>
        <w:tc>
          <w:tcPr>
            <w:tcW w:w="1560" w:type="dxa"/>
          </w:tcPr>
          <w:p>
            <w:pPr>
              <w:pStyle w:val="TableParagraph"/>
              <w:rPr>
                <w:b/>
                <w:sz w:val="18"/>
              </w:rPr>
            </w:pPr>
          </w:p>
          <w:p>
            <w:pPr>
              <w:pStyle w:val="TableParagraph"/>
              <w:spacing w:before="2"/>
              <w:rPr>
                <w:b/>
                <w:sz w:val="18"/>
              </w:rPr>
            </w:pPr>
          </w:p>
          <w:p>
            <w:pPr>
              <w:pStyle w:val="TableParagraph"/>
              <w:ind w:left="73" w:right="58"/>
              <w:rPr>
                <w:sz w:val="18"/>
              </w:rPr>
            </w:pPr>
            <w:r>
              <w:rPr>
                <w:spacing w:val="-2"/>
                <w:sz w:val="18"/>
              </w:rPr>
              <w:t>Registros </w:t>
            </w:r>
            <w:r>
              <w:rPr>
                <w:sz w:val="18"/>
              </w:rPr>
              <w:t>efectuados en sistema</w:t>
            </w:r>
            <w:r>
              <w:rPr>
                <w:spacing w:val="-15"/>
                <w:sz w:val="18"/>
              </w:rPr>
              <w:t> </w:t>
            </w:r>
            <w:r>
              <w:rPr>
                <w:sz w:val="18"/>
              </w:rPr>
              <w:t>de</w:t>
            </w:r>
            <w:r>
              <w:rPr>
                <w:spacing w:val="-12"/>
                <w:sz w:val="18"/>
              </w:rPr>
              <w:t> </w:t>
            </w:r>
            <w:r>
              <w:rPr>
                <w:sz w:val="18"/>
              </w:rPr>
              <w:t>pagos</w:t>
            </w:r>
          </w:p>
        </w:tc>
        <w:tc>
          <w:tcPr>
            <w:tcW w:w="1416" w:type="dxa"/>
          </w:tcPr>
          <w:p>
            <w:pPr>
              <w:pStyle w:val="TableParagraph"/>
              <w:spacing w:line="206" w:lineRule="exact"/>
              <w:ind w:left="17" w:right="11"/>
              <w:jc w:val="center"/>
              <w:rPr>
                <w:sz w:val="18"/>
              </w:rPr>
            </w:pPr>
            <w:r>
              <w:rPr>
                <w:sz w:val="18"/>
              </w:rPr>
              <w:t>DDS</w:t>
            </w:r>
            <w:r>
              <w:rPr>
                <w:spacing w:val="-3"/>
                <w:sz w:val="18"/>
              </w:rPr>
              <w:t> </w:t>
            </w:r>
            <w:r>
              <w:rPr>
                <w:spacing w:val="-2"/>
                <w:sz w:val="18"/>
              </w:rPr>
              <w:t>(ARDS</w:t>
            </w:r>
          </w:p>
          <w:p>
            <w:pPr>
              <w:pStyle w:val="TableParagraph"/>
              <w:ind w:left="122" w:right="107" w:hanging="1"/>
              <w:jc w:val="center"/>
              <w:rPr>
                <w:sz w:val="18"/>
              </w:rPr>
            </w:pPr>
            <w:r>
              <w:rPr>
                <w:spacing w:val="-2"/>
                <w:sz w:val="18"/>
              </w:rPr>
              <w:t>Central Occidente, </w:t>
            </w:r>
            <w:r>
              <w:rPr>
                <w:sz w:val="18"/>
              </w:rPr>
              <w:t>ARDS</w:t>
            </w:r>
            <w:r>
              <w:rPr>
                <w:spacing w:val="-13"/>
                <w:sz w:val="18"/>
              </w:rPr>
              <w:t> </w:t>
            </w:r>
            <w:r>
              <w:rPr>
                <w:sz w:val="18"/>
              </w:rPr>
              <w:t>Brunca, ARDS Huetar Norte, ARDS</w:t>
            </w:r>
          </w:p>
          <w:p>
            <w:pPr>
              <w:pStyle w:val="TableParagraph"/>
              <w:spacing w:line="187" w:lineRule="exact" w:before="2"/>
              <w:ind w:left="17" w:right="5"/>
              <w:jc w:val="center"/>
              <w:rPr>
                <w:sz w:val="18"/>
              </w:rPr>
            </w:pPr>
            <w:r>
              <w:rPr>
                <w:sz w:val="18"/>
              </w:rPr>
              <w:t>Huetar</w:t>
            </w:r>
            <w:r>
              <w:rPr>
                <w:spacing w:val="-1"/>
                <w:sz w:val="18"/>
              </w:rPr>
              <w:t> </w:t>
            </w:r>
            <w:r>
              <w:rPr>
                <w:spacing w:val="-2"/>
                <w:sz w:val="18"/>
              </w:rPr>
              <w:t>Caribe)</w:t>
            </w:r>
          </w:p>
        </w:tc>
        <w:tc>
          <w:tcPr>
            <w:tcW w:w="1647"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47"/>
              <w:jc w:val="right"/>
              <w:rPr>
                <w:sz w:val="18"/>
              </w:rPr>
            </w:pPr>
            <w:r>
              <w:rPr>
                <w:sz w:val="18"/>
              </w:rPr>
              <w:t>₡523</w:t>
            </w:r>
            <w:r>
              <w:rPr>
                <w:spacing w:val="1"/>
                <w:sz w:val="18"/>
              </w:rPr>
              <w:t> </w:t>
            </w:r>
            <w:r>
              <w:rPr>
                <w:sz w:val="18"/>
              </w:rPr>
              <w:t>641</w:t>
            </w:r>
            <w:r>
              <w:rPr>
                <w:spacing w:val="-3"/>
                <w:sz w:val="18"/>
              </w:rPr>
              <w:t> </w:t>
            </w:r>
            <w:r>
              <w:rPr>
                <w:spacing w:val="-5"/>
                <w:sz w:val="18"/>
              </w:rPr>
              <w:t>984</w:t>
            </w:r>
          </w:p>
        </w:tc>
        <w:tc>
          <w:tcPr>
            <w:tcW w:w="1550" w:type="dxa"/>
            <w:vMerge/>
            <w:tcBorders>
              <w:top w:val="nil"/>
            </w:tcBorders>
          </w:tcPr>
          <w:p>
            <w:pPr>
              <w:rPr>
                <w:sz w:val="2"/>
                <w:szCs w:val="2"/>
              </w:rPr>
            </w:pPr>
          </w:p>
        </w:tc>
      </w:tr>
      <w:tr>
        <w:trPr>
          <w:trHeight w:val="1449" w:hRule="atLeast"/>
        </w:trPr>
        <w:tc>
          <w:tcPr>
            <w:tcW w:w="2972" w:type="dxa"/>
          </w:tcPr>
          <w:p>
            <w:pPr>
              <w:pStyle w:val="TableParagraph"/>
              <w:spacing w:before="205"/>
              <w:rPr>
                <w:b/>
                <w:sz w:val="18"/>
              </w:rPr>
            </w:pPr>
          </w:p>
          <w:p>
            <w:pPr>
              <w:pStyle w:val="TableParagraph"/>
              <w:spacing w:line="242" w:lineRule="auto"/>
              <w:ind w:left="72" w:right="141"/>
              <w:rPr>
                <w:sz w:val="18"/>
              </w:rPr>
            </w:pPr>
            <w:r>
              <w:rPr>
                <w:b/>
                <w:sz w:val="18"/>
              </w:rPr>
              <w:t>Actividad PPPS 1.3.4: </w:t>
            </w:r>
            <w:r>
              <w:rPr>
                <w:sz w:val="18"/>
              </w:rPr>
              <w:t>Construcción</w:t>
            </w:r>
            <w:r>
              <w:rPr>
                <w:spacing w:val="-12"/>
                <w:sz w:val="18"/>
              </w:rPr>
              <w:t> </w:t>
            </w:r>
            <w:r>
              <w:rPr>
                <w:sz w:val="18"/>
              </w:rPr>
              <w:t>de</w:t>
            </w:r>
            <w:r>
              <w:rPr>
                <w:spacing w:val="-12"/>
                <w:sz w:val="18"/>
              </w:rPr>
              <w:t> </w:t>
            </w:r>
            <w:r>
              <w:rPr>
                <w:sz w:val="18"/>
              </w:rPr>
              <w:t>nuevo</w:t>
            </w:r>
            <w:r>
              <w:rPr>
                <w:spacing w:val="-12"/>
                <w:sz w:val="18"/>
              </w:rPr>
              <w:t> </w:t>
            </w:r>
            <w:r>
              <w:rPr>
                <w:sz w:val="18"/>
              </w:rPr>
              <w:t>edificio para la ULDS Los Chiles.</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
              <w:jc w:val="center"/>
              <w:rPr>
                <w:sz w:val="18"/>
              </w:rPr>
            </w:pPr>
            <w:r>
              <w:rPr>
                <w:sz w:val="18"/>
              </w:rPr>
              <w:t>No </w:t>
            </w:r>
            <w:r>
              <w:rPr>
                <w:spacing w:val="-2"/>
                <w:sz w:val="18"/>
              </w:rPr>
              <w:t>aplica</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2"/>
              <w:jc w:val="center"/>
              <w:rPr>
                <w:sz w:val="18"/>
              </w:rPr>
            </w:pPr>
            <w:r>
              <w:rPr>
                <w:spacing w:val="-4"/>
                <w:sz w:val="18"/>
              </w:rPr>
              <w:t>100%</w:t>
            </w:r>
          </w:p>
        </w:tc>
        <w:tc>
          <w:tcPr>
            <w:tcW w:w="1982" w:type="dxa"/>
          </w:tcPr>
          <w:p>
            <w:pPr>
              <w:pStyle w:val="TableParagraph"/>
              <w:ind w:left="68"/>
              <w:rPr>
                <w:sz w:val="18"/>
              </w:rPr>
            </w:pPr>
            <w:r>
              <w:rPr>
                <w:sz w:val="18"/>
              </w:rPr>
              <w:t>Porcentaje de </w:t>
            </w:r>
            <w:r>
              <w:rPr>
                <w:spacing w:val="-2"/>
                <w:sz w:val="18"/>
              </w:rPr>
              <w:t>presupuesto </w:t>
            </w:r>
            <w:r>
              <w:rPr>
                <w:sz w:val="18"/>
              </w:rPr>
              <w:t>programado</w:t>
            </w:r>
            <w:r>
              <w:rPr>
                <w:spacing w:val="-15"/>
                <w:sz w:val="18"/>
              </w:rPr>
              <w:t> </w:t>
            </w:r>
            <w:r>
              <w:rPr>
                <w:sz w:val="18"/>
              </w:rPr>
              <w:t>que</w:t>
            </w:r>
            <w:r>
              <w:rPr>
                <w:spacing w:val="-12"/>
                <w:sz w:val="18"/>
              </w:rPr>
              <w:t> </w:t>
            </w:r>
            <w:r>
              <w:rPr>
                <w:sz w:val="18"/>
              </w:rPr>
              <w:t>se invierte en la construcción del</w:t>
            </w:r>
          </w:p>
          <w:p>
            <w:pPr>
              <w:pStyle w:val="TableParagraph"/>
              <w:spacing w:line="206" w:lineRule="exact"/>
              <w:ind w:left="68" w:right="154"/>
              <w:rPr>
                <w:sz w:val="18"/>
              </w:rPr>
            </w:pPr>
            <w:r>
              <w:rPr>
                <w:sz w:val="18"/>
              </w:rPr>
              <w:t>edificio</w:t>
            </w:r>
            <w:r>
              <w:rPr>
                <w:spacing w:val="-10"/>
                <w:sz w:val="18"/>
              </w:rPr>
              <w:t> </w:t>
            </w:r>
            <w:r>
              <w:rPr>
                <w:sz w:val="18"/>
              </w:rPr>
              <w:t>de</w:t>
            </w:r>
            <w:r>
              <w:rPr>
                <w:spacing w:val="-13"/>
                <w:sz w:val="18"/>
              </w:rPr>
              <w:t> </w:t>
            </w:r>
            <w:r>
              <w:rPr>
                <w:sz w:val="18"/>
              </w:rPr>
              <w:t>la</w:t>
            </w:r>
            <w:r>
              <w:rPr>
                <w:spacing w:val="-9"/>
                <w:sz w:val="18"/>
              </w:rPr>
              <w:t> </w:t>
            </w:r>
            <w:r>
              <w:rPr>
                <w:sz w:val="18"/>
              </w:rPr>
              <w:t>ULDS Los Chiles.</w:t>
            </w:r>
          </w:p>
        </w:tc>
        <w:tc>
          <w:tcPr>
            <w:tcW w:w="1560" w:type="dxa"/>
          </w:tcPr>
          <w:p>
            <w:pPr>
              <w:pStyle w:val="TableParagraph"/>
              <w:spacing w:before="205"/>
              <w:rPr>
                <w:b/>
                <w:sz w:val="18"/>
              </w:rPr>
            </w:pPr>
          </w:p>
          <w:p>
            <w:pPr>
              <w:pStyle w:val="TableParagraph"/>
              <w:spacing w:line="242" w:lineRule="auto"/>
              <w:ind w:left="73" w:right="58"/>
              <w:rPr>
                <w:sz w:val="18"/>
              </w:rPr>
            </w:pPr>
            <w:r>
              <w:rPr>
                <w:spacing w:val="-2"/>
                <w:sz w:val="18"/>
              </w:rPr>
              <w:t>Registros </w:t>
            </w:r>
            <w:r>
              <w:rPr>
                <w:sz w:val="18"/>
              </w:rPr>
              <w:t>efectuados en sistema</w:t>
            </w:r>
            <w:r>
              <w:rPr>
                <w:spacing w:val="-15"/>
                <w:sz w:val="18"/>
              </w:rPr>
              <w:t> </w:t>
            </w:r>
            <w:r>
              <w:rPr>
                <w:sz w:val="18"/>
              </w:rPr>
              <w:t>de</w:t>
            </w:r>
            <w:r>
              <w:rPr>
                <w:spacing w:val="-12"/>
                <w:sz w:val="18"/>
              </w:rPr>
              <w:t> </w:t>
            </w:r>
            <w:r>
              <w:rPr>
                <w:sz w:val="18"/>
              </w:rPr>
              <w:t>pagos</w:t>
            </w:r>
          </w:p>
        </w:tc>
        <w:tc>
          <w:tcPr>
            <w:tcW w:w="1416" w:type="dxa"/>
          </w:tcPr>
          <w:p>
            <w:pPr>
              <w:pStyle w:val="TableParagraph"/>
              <w:rPr>
                <w:b/>
                <w:sz w:val="18"/>
              </w:rPr>
            </w:pPr>
          </w:p>
          <w:p>
            <w:pPr>
              <w:pStyle w:val="TableParagraph"/>
              <w:spacing w:before="104"/>
              <w:rPr>
                <w:b/>
                <w:sz w:val="18"/>
              </w:rPr>
            </w:pPr>
          </w:p>
          <w:p>
            <w:pPr>
              <w:pStyle w:val="TableParagraph"/>
              <w:spacing w:line="207" w:lineRule="exact"/>
              <w:ind w:left="208"/>
              <w:rPr>
                <w:sz w:val="18"/>
              </w:rPr>
            </w:pPr>
            <w:r>
              <w:rPr>
                <w:sz w:val="18"/>
              </w:rPr>
              <w:t>DDS</w:t>
            </w:r>
            <w:r>
              <w:rPr>
                <w:spacing w:val="-3"/>
                <w:sz w:val="18"/>
              </w:rPr>
              <w:t> </w:t>
            </w:r>
            <w:r>
              <w:rPr>
                <w:spacing w:val="-2"/>
                <w:sz w:val="18"/>
              </w:rPr>
              <w:t>(ARDS</w:t>
            </w:r>
          </w:p>
          <w:p>
            <w:pPr>
              <w:pStyle w:val="TableParagraph"/>
              <w:spacing w:line="207" w:lineRule="exact"/>
              <w:ind w:left="160"/>
              <w:rPr>
                <w:sz w:val="18"/>
              </w:rPr>
            </w:pPr>
            <w:r>
              <w:rPr>
                <w:sz w:val="18"/>
              </w:rPr>
              <w:t>Huetar</w:t>
            </w:r>
            <w:r>
              <w:rPr>
                <w:spacing w:val="-1"/>
                <w:sz w:val="18"/>
              </w:rPr>
              <w:t> </w:t>
            </w:r>
            <w:r>
              <w:rPr>
                <w:spacing w:val="-2"/>
                <w:sz w:val="18"/>
              </w:rPr>
              <w:t>Norte)</w:t>
            </w:r>
          </w:p>
        </w:tc>
        <w:tc>
          <w:tcPr>
            <w:tcW w:w="1647"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47"/>
              <w:jc w:val="right"/>
              <w:rPr>
                <w:sz w:val="18"/>
              </w:rPr>
            </w:pPr>
            <w:r>
              <w:rPr>
                <w:sz w:val="18"/>
              </w:rPr>
              <w:t>₡625</w:t>
            </w:r>
            <w:r>
              <w:rPr>
                <w:spacing w:val="1"/>
                <w:sz w:val="18"/>
              </w:rPr>
              <w:t> </w:t>
            </w:r>
            <w:r>
              <w:rPr>
                <w:sz w:val="18"/>
              </w:rPr>
              <w:t>509</w:t>
            </w:r>
            <w:r>
              <w:rPr>
                <w:spacing w:val="-3"/>
                <w:sz w:val="18"/>
              </w:rPr>
              <w:t> </w:t>
            </w:r>
            <w:r>
              <w:rPr>
                <w:spacing w:val="-5"/>
                <w:sz w:val="18"/>
              </w:rPr>
              <w:t>783</w:t>
            </w:r>
          </w:p>
        </w:tc>
        <w:tc>
          <w:tcPr>
            <w:tcW w:w="1550" w:type="dxa"/>
            <w:vMerge/>
            <w:tcBorders>
              <w:top w:val="nil"/>
            </w:tcBorders>
          </w:tcPr>
          <w:p>
            <w:pPr>
              <w:rPr>
                <w:sz w:val="2"/>
                <w:szCs w:val="2"/>
              </w:rPr>
            </w:pPr>
          </w:p>
        </w:tc>
      </w:tr>
      <w:tr>
        <w:trPr>
          <w:trHeight w:val="940" w:hRule="atLeast"/>
        </w:trPr>
        <w:tc>
          <w:tcPr>
            <w:tcW w:w="2972" w:type="dxa"/>
          </w:tcPr>
          <w:p>
            <w:pPr>
              <w:pStyle w:val="TableParagraph"/>
              <w:spacing w:before="57"/>
              <w:ind w:left="72" w:right="105"/>
              <w:rPr>
                <w:sz w:val="18"/>
              </w:rPr>
            </w:pPr>
            <w:r>
              <w:rPr>
                <w:b/>
                <w:sz w:val="18"/>
              </w:rPr>
              <w:t>Actividad PPPS 1.3.5: </w:t>
            </w:r>
            <w:r>
              <w:rPr>
                <w:sz w:val="18"/>
              </w:rPr>
              <w:t>Construcción de nuevo edificio para</w:t>
            </w:r>
            <w:r>
              <w:rPr>
                <w:spacing w:val="-9"/>
                <w:sz w:val="18"/>
              </w:rPr>
              <w:t> </w:t>
            </w:r>
            <w:r>
              <w:rPr>
                <w:sz w:val="18"/>
              </w:rPr>
              <w:t>ARDS</w:t>
            </w:r>
            <w:r>
              <w:rPr>
                <w:spacing w:val="-6"/>
                <w:sz w:val="18"/>
              </w:rPr>
              <w:t> </w:t>
            </w:r>
            <w:r>
              <w:rPr>
                <w:sz w:val="18"/>
              </w:rPr>
              <w:t>Huetar</w:t>
            </w:r>
            <w:r>
              <w:rPr>
                <w:spacing w:val="-7"/>
                <w:sz w:val="18"/>
              </w:rPr>
              <w:t> </w:t>
            </w:r>
            <w:r>
              <w:rPr>
                <w:sz w:val="18"/>
              </w:rPr>
              <w:t>Caribe</w:t>
            </w:r>
            <w:r>
              <w:rPr>
                <w:spacing w:val="-5"/>
                <w:sz w:val="18"/>
              </w:rPr>
              <w:t> </w:t>
            </w:r>
            <w:r>
              <w:rPr>
                <w:sz w:val="18"/>
              </w:rPr>
              <w:t>y</w:t>
            </w:r>
            <w:r>
              <w:rPr>
                <w:spacing w:val="-9"/>
                <w:sz w:val="18"/>
              </w:rPr>
              <w:t> </w:t>
            </w:r>
            <w:r>
              <w:rPr>
                <w:sz w:val="18"/>
              </w:rPr>
              <w:t>ULDS </w:t>
            </w:r>
            <w:r>
              <w:rPr>
                <w:spacing w:val="-2"/>
                <w:sz w:val="18"/>
              </w:rPr>
              <w:t>Limón.</w:t>
            </w:r>
          </w:p>
        </w:tc>
        <w:tc>
          <w:tcPr>
            <w:tcW w:w="1560" w:type="dxa"/>
          </w:tcPr>
          <w:p>
            <w:pPr>
              <w:pStyle w:val="TableParagraph"/>
              <w:spacing w:before="161"/>
              <w:rPr>
                <w:b/>
                <w:sz w:val="18"/>
              </w:rPr>
            </w:pPr>
          </w:p>
          <w:p>
            <w:pPr>
              <w:pStyle w:val="TableParagraph"/>
              <w:spacing w:before="1"/>
              <w:ind w:left="21" w:right="1"/>
              <w:jc w:val="center"/>
              <w:rPr>
                <w:sz w:val="18"/>
              </w:rPr>
            </w:pPr>
            <w:r>
              <w:rPr>
                <w:sz w:val="18"/>
              </w:rPr>
              <w:t>No </w:t>
            </w:r>
            <w:r>
              <w:rPr>
                <w:spacing w:val="-2"/>
                <w:sz w:val="18"/>
              </w:rPr>
              <w:t>aplica</w:t>
            </w:r>
          </w:p>
        </w:tc>
        <w:tc>
          <w:tcPr>
            <w:tcW w:w="1560" w:type="dxa"/>
          </w:tcPr>
          <w:p>
            <w:pPr>
              <w:pStyle w:val="TableParagraph"/>
              <w:spacing w:before="161"/>
              <w:rPr>
                <w:b/>
                <w:sz w:val="18"/>
              </w:rPr>
            </w:pPr>
          </w:p>
          <w:p>
            <w:pPr>
              <w:pStyle w:val="TableParagraph"/>
              <w:spacing w:before="1"/>
              <w:ind w:left="21" w:right="12"/>
              <w:jc w:val="center"/>
              <w:rPr>
                <w:sz w:val="18"/>
              </w:rPr>
            </w:pPr>
            <w:r>
              <w:rPr>
                <w:spacing w:val="-4"/>
                <w:sz w:val="18"/>
              </w:rPr>
              <w:t>100%</w:t>
            </w:r>
          </w:p>
        </w:tc>
        <w:tc>
          <w:tcPr>
            <w:tcW w:w="1982" w:type="dxa"/>
          </w:tcPr>
          <w:p>
            <w:pPr>
              <w:pStyle w:val="TableParagraph"/>
              <w:spacing w:before="57"/>
              <w:ind w:left="68"/>
              <w:rPr>
                <w:sz w:val="18"/>
              </w:rPr>
            </w:pPr>
            <w:r>
              <w:rPr>
                <w:sz w:val="18"/>
              </w:rPr>
              <w:t>Porcentaje de </w:t>
            </w:r>
            <w:r>
              <w:rPr>
                <w:spacing w:val="-2"/>
                <w:sz w:val="18"/>
              </w:rPr>
              <w:t>presupuesto </w:t>
            </w:r>
            <w:r>
              <w:rPr>
                <w:sz w:val="18"/>
              </w:rPr>
              <w:t>programado</w:t>
            </w:r>
            <w:r>
              <w:rPr>
                <w:spacing w:val="-15"/>
                <w:sz w:val="18"/>
              </w:rPr>
              <w:t> </w:t>
            </w:r>
            <w:r>
              <w:rPr>
                <w:sz w:val="18"/>
              </w:rPr>
              <w:t>que</w:t>
            </w:r>
            <w:r>
              <w:rPr>
                <w:spacing w:val="-12"/>
                <w:sz w:val="18"/>
              </w:rPr>
              <w:t> </w:t>
            </w:r>
            <w:r>
              <w:rPr>
                <w:sz w:val="18"/>
              </w:rPr>
              <w:t>se invierte en la</w:t>
            </w:r>
          </w:p>
        </w:tc>
        <w:tc>
          <w:tcPr>
            <w:tcW w:w="1560" w:type="dxa"/>
          </w:tcPr>
          <w:p>
            <w:pPr>
              <w:pStyle w:val="TableParagraph"/>
              <w:spacing w:line="242" w:lineRule="auto" w:before="157"/>
              <w:ind w:left="73" w:right="58"/>
              <w:rPr>
                <w:sz w:val="18"/>
              </w:rPr>
            </w:pPr>
            <w:r>
              <w:rPr>
                <w:spacing w:val="-2"/>
                <w:sz w:val="18"/>
              </w:rPr>
              <w:t>Registros </w:t>
            </w:r>
            <w:r>
              <w:rPr>
                <w:sz w:val="18"/>
              </w:rPr>
              <w:t>efectuados en sistema</w:t>
            </w:r>
            <w:r>
              <w:rPr>
                <w:spacing w:val="-15"/>
                <w:sz w:val="18"/>
              </w:rPr>
              <w:t> </w:t>
            </w:r>
            <w:r>
              <w:rPr>
                <w:sz w:val="18"/>
              </w:rPr>
              <w:t>de</w:t>
            </w:r>
            <w:r>
              <w:rPr>
                <w:spacing w:val="-12"/>
                <w:sz w:val="18"/>
              </w:rPr>
              <w:t> </w:t>
            </w:r>
            <w:r>
              <w:rPr>
                <w:sz w:val="18"/>
              </w:rPr>
              <w:t>pagos</w:t>
            </w:r>
          </w:p>
        </w:tc>
        <w:tc>
          <w:tcPr>
            <w:tcW w:w="1416" w:type="dxa"/>
          </w:tcPr>
          <w:p>
            <w:pPr>
              <w:pStyle w:val="TableParagraph"/>
              <w:spacing w:before="56"/>
              <w:rPr>
                <w:b/>
                <w:sz w:val="18"/>
              </w:rPr>
            </w:pPr>
          </w:p>
          <w:p>
            <w:pPr>
              <w:pStyle w:val="TableParagraph"/>
              <w:spacing w:line="207" w:lineRule="exact"/>
              <w:ind w:left="208"/>
              <w:rPr>
                <w:sz w:val="18"/>
              </w:rPr>
            </w:pPr>
            <w:r>
              <w:rPr>
                <w:sz w:val="18"/>
              </w:rPr>
              <w:t>DDS</w:t>
            </w:r>
            <w:r>
              <w:rPr>
                <w:spacing w:val="-3"/>
                <w:sz w:val="18"/>
              </w:rPr>
              <w:t> </w:t>
            </w:r>
            <w:r>
              <w:rPr>
                <w:spacing w:val="-2"/>
                <w:sz w:val="18"/>
              </w:rPr>
              <w:t>(ARDS</w:t>
            </w:r>
          </w:p>
          <w:p>
            <w:pPr>
              <w:pStyle w:val="TableParagraph"/>
              <w:spacing w:line="207" w:lineRule="exact"/>
              <w:ind w:left="117"/>
              <w:rPr>
                <w:sz w:val="18"/>
              </w:rPr>
            </w:pPr>
            <w:r>
              <w:rPr>
                <w:sz w:val="18"/>
              </w:rPr>
              <w:t>Huetar</w:t>
            </w:r>
            <w:r>
              <w:rPr>
                <w:spacing w:val="-1"/>
                <w:sz w:val="18"/>
              </w:rPr>
              <w:t> </w:t>
            </w:r>
            <w:r>
              <w:rPr>
                <w:spacing w:val="-2"/>
                <w:sz w:val="18"/>
              </w:rPr>
              <w:t>Caribe)</w:t>
            </w:r>
          </w:p>
        </w:tc>
        <w:tc>
          <w:tcPr>
            <w:tcW w:w="1647" w:type="dxa"/>
          </w:tcPr>
          <w:p>
            <w:pPr>
              <w:pStyle w:val="TableParagraph"/>
              <w:spacing w:before="161"/>
              <w:rPr>
                <w:b/>
                <w:sz w:val="18"/>
              </w:rPr>
            </w:pPr>
          </w:p>
          <w:p>
            <w:pPr>
              <w:pStyle w:val="TableParagraph"/>
              <w:spacing w:before="1"/>
              <w:ind w:right="47"/>
              <w:jc w:val="right"/>
              <w:rPr>
                <w:sz w:val="18"/>
              </w:rPr>
            </w:pPr>
            <w:r>
              <w:rPr>
                <w:sz w:val="18"/>
              </w:rPr>
              <w:t>₡475</w:t>
            </w:r>
            <w:r>
              <w:rPr>
                <w:spacing w:val="1"/>
                <w:sz w:val="18"/>
              </w:rPr>
              <w:t> </w:t>
            </w:r>
            <w:r>
              <w:rPr>
                <w:sz w:val="18"/>
              </w:rPr>
              <w:t>000</w:t>
            </w:r>
            <w:r>
              <w:rPr>
                <w:spacing w:val="-3"/>
                <w:sz w:val="18"/>
              </w:rPr>
              <w:t> </w:t>
            </w:r>
            <w:r>
              <w:rPr>
                <w:spacing w:val="-5"/>
                <w:sz w:val="18"/>
              </w:rPr>
              <w:t>000</w:t>
            </w:r>
          </w:p>
        </w:tc>
        <w:tc>
          <w:tcPr>
            <w:tcW w:w="1550"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7"/>
        <w:gridCol w:w="1550"/>
      </w:tblGrid>
      <w:tr>
        <w:trPr>
          <w:trHeight w:val="619" w:hRule="atLeast"/>
        </w:trPr>
        <w:tc>
          <w:tcPr>
            <w:tcW w:w="2972" w:type="dxa"/>
            <w:tcBorders>
              <w:bottom w:val="nil"/>
            </w:tcBorders>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tcBorders>
              <w:bottom w:val="nil"/>
            </w:tcBorders>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tcBorders>
              <w:bottom w:val="nil"/>
            </w:tcBorders>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tcBorders>
              <w:bottom w:val="nil"/>
            </w:tcBorders>
            <w:shd w:val="clear" w:color="auto" w:fill="D9D9D9"/>
          </w:tcPr>
          <w:p>
            <w:pPr>
              <w:pStyle w:val="TableParagraph"/>
              <w:spacing w:before="205"/>
              <w:ind w:left="581"/>
              <w:rPr>
                <w:b/>
                <w:sz w:val="18"/>
              </w:rPr>
            </w:pPr>
            <w:r>
              <w:rPr>
                <w:b/>
                <w:spacing w:val="-2"/>
                <w:sz w:val="18"/>
              </w:rPr>
              <w:t>Indicador</w:t>
            </w:r>
          </w:p>
        </w:tc>
        <w:tc>
          <w:tcPr>
            <w:tcW w:w="1560" w:type="dxa"/>
            <w:tcBorders>
              <w:bottom w:val="nil"/>
            </w:tcBorders>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tcBorders>
              <w:bottom w:val="nil"/>
            </w:tcBorders>
            <w:shd w:val="clear" w:color="auto" w:fill="D9D9D9"/>
          </w:tcPr>
          <w:p>
            <w:pPr>
              <w:pStyle w:val="TableParagraph"/>
              <w:spacing w:before="205"/>
              <w:ind w:left="17" w:right="7"/>
              <w:jc w:val="center"/>
              <w:rPr>
                <w:b/>
                <w:sz w:val="18"/>
              </w:rPr>
            </w:pPr>
            <w:r>
              <w:rPr>
                <w:b/>
                <w:spacing w:val="-2"/>
                <w:sz w:val="18"/>
              </w:rPr>
              <w:t>Responsable</w:t>
            </w:r>
          </w:p>
        </w:tc>
        <w:tc>
          <w:tcPr>
            <w:tcW w:w="1647" w:type="dxa"/>
            <w:tcBorders>
              <w:bottom w:val="nil"/>
            </w:tcBorders>
            <w:shd w:val="clear" w:color="auto" w:fill="D9D9D9"/>
          </w:tcPr>
          <w:p>
            <w:pPr>
              <w:pStyle w:val="TableParagraph"/>
              <w:spacing w:before="104"/>
              <w:ind w:left="430" w:hanging="120"/>
              <w:rPr>
                <w:b/>
                <w:sz w:val="18"/>
              </w:rPr>
            </w:pPr>
            <w:r>
              <w:rPr>
                <w:b/>
                <w:spacing w:val="-2"/>
                <w:sz w:val="18"/>
              </w:rPr>
              <w:t>Presupuesto asignado</w:t>
            </w:r>
          </w:p>
        </w:tc>
        <w:tc>
          <w:tcPr>
            <w:tcW w:w="1550" w:type="dxa"/>
            <w:tcBorders>
              <w:bottom w:val="nil"/>
            </w:tcBorders>
            <w:shd w:val="clear" w:color="auto" w:fill="D9D9D9"/>
          </w:tcPr>
          <w:p>
            <w:pPr>
              <w:pStyle w:val="TableParagraph"/>
              <w:spacing w:line="206" w:lineRule="exact"/>
              <w:ind w:left="21" w:right="3"/>
              <w:jc w:val="center"/>
              <w:rPr>
                <w:b/>
                <w:sz w:val="18"/>
              </w:rPr>
            </w:pPr>
            <w:r>
              <w:rPr>
                <w:b/>
                <w:spacing w:val="-2"/>
                <w:sz w:val="18"/>
              </w:rPr>
              <w:t>Riesgos </w:t>
            </w:r>
            <w:r>
              <w:rPr>
                <w:b/>
                <w:sz w:val="18"/>
              </w:rPr>
              <w:t>asociados al </w:t>
            </w:r>
            <w:r>
              <w:rPr>
                <w:b/>
                <w:spacing w:val="-2"/>
                <w:sz w:val="18"/>
              </w:rPr>
              <w:t>cumplimiento</w:t>
            </w:r>
          </w:p>
        </w:tc>
      </w:tr>
      <w:tr>
        <w:trPr>
          <w:trHeight w:val="840" w:hRule="atLeast"/>
        </w:trPr>
        <w:tc>
          <w:tcPr>
            <w:tcW w:w="2972" w:type="dxa"/>
            <w:tcBorders>
              <w:top w:val="nil"/>
            </w:tcBorders>
          </w:tcPr>
          <w:p>
            <w:pPr>
              <w:pStyle w:val="TableParagraph"/>
              <w:rPr>
                <w:rFonts w:ascii="Times New Roman"/>
                <w:sz w:val="18"/>
              </w:rPr>
            </w:pPr>
          </w:p>
        </w:tc>
        <w:tc>
          <w:tcPr>
            <w:tcW w:w="1560" w:type="dxa"/>
            <w:tcBorders>
              <w:top w:val="nil"/>
            </w:tcBorders>
          </w:tcPr>
          <w:p>
            <w:pPr>
              <w:pStyle w:val="TableParagraph"/>
              <w:rPr>
                <w:rFonts w:ascii="Times New Roman"/>
                <w:sz w:val="18"/>
              </w:rPr>
            </w:pPr>
          </w:p>
        </w:tc>
        <w:tc>
          <w:tcPr>
            <w:tcW w:w="1560" w:type="dxa"/>
            <w:tcBorders>
              <w:top w:val="nil"/>
            </w:tcBorders>
          </w:tcPr>
          <w:p>
            <w:pPr>
              <w:pStyle w:val="TableParagraph"/>
              <w:rPr>
                <w:rFonts w:ascii="Times New Roman"/>
                <w:sz w:val="18"/>
              </w:rPr>
            </w:pPr>
          </w:p>
        </w:tc>
        <w:tc>
          <w:tcPr>
            <w:tcW w:w="1982" w:type="dxa"/>
            <w:tcBorders>
              <w:top w:val="nil"/>
            </w:tcBorders>
          </w:tcPr>
          <w:p>
            <w:pPr>
              <w:pStyle w:val="TableParagraph"/>
              <w:spacing w:before="13"/>
              <w:ind w:left="68" w:right="72"/>
              <w:rPr>
                <w:sz w:val="18"/>
              </w:rPr>
            </w:pPr>
            <w:r>
              <w:rPr>
                <w:sz w:val="18"/>
              </w:rPr>
              <w:t>construcción del edificio del ARDS Huetar</w:t>
            </w:r>
            <w:r>
              <w:rPr>
                <w:spacing w:val="-11"/>
                <w:sz w:val="18"/>
              </w:rPr>
              <w:t> </w:t>
            </w:r>
            <w:r>
              <w:rPr>
                <w:sz w:val="18"/>
              </w:rPr>
              <w:t>Caribe</w:t>
            </w:r>
            <w:r>
              <w:rPr>
                <w:spacing w:val="-10"/>
                <w:sz w:val="18"/>
              </w:rPr>
              <w:t> </w:t>
            </w:r>
            <w:r>
              <w:rPr>
                <w:sz w:val="18"/>
              </w:rPr>
              <w:t>y</w:t>
            </w:r>
            <w:r>
              <w:rPr>
                <w:spacing w:val="-13"/>
                <w:sz w:val="18"/>
              </w:rPr>
              <w:t> </w:t>
            </w:r>
            <w:r>
              <w:rPr>
                <w:sz w:val="18"/>
              </w:rPr>
              <w:t>ULDS</w:t>
            </w:r>
          </w:p>
          <w:p>
            <w:pPr>
              <w:pStyle w:val="TableParagraph"/>
              <w:spacing w:line="186" w:lineRule="exact"/>
              <w:ind w:left="68"/>
              <w:rPr>
                <w:sz w:val="18"/>
              </w:rPr>
            </w:pPr>
            <w:r>
              <w:rPr>
                <w:spacing w:val="-2"/>
                <w:sz w:val="18"/>
              </w:rPr>
              <w:t>Limón.</w:t>
            </w:r>
          </w:p>
        </w:tc>
        <w:tc>
          <w:tcPr>
            <w:tcW w:w="1560" w:type="dxa"/>
            <w:tcBorders>
              <w:top w:val="nil"/>
            </w:tcBorders>
          </w:tcPr>
          <w:p>
            <w:pPr>
              <w:pStyle w:val="TableParagraph"/>
              <w:rPr>
                <w:rFonts w:ascii="Times New Roman"/>
                <w:sz w:val="18"/>
              </w:rPr>
            </w:pPr>
          </w:p>
        </w:tc>
        <w:tc>
          <w:tcPr>
            <w:tcW w:w="1416" w:type="dxa"/>
            <w:tcBorders>
              <w:top w:val="nil"/>
            </w:tcBorders>
          </w:tcPr>
          <w:p>
            <w:pPr>
              <w:pStyle w:val="TableParagraph"/>
              <w:rPr>
                <w:rFonts w:ascii="Times New Roman"/>
                <w:sz w:val="18"/>
              </w:rPr>
            </w:pPr>
          </w:p>
        </w:tc>
        <w:tc>
          <w:tcPr>
            <w:tcW w:w="1647" w:type="dxa"/>
            <w:tcBorders>
              <w:top w:val="nil"/>
            </w:tcBorders>
          </w:tcPr>
          <w:p>
            <w:pPr>
              <w:pStyle w:val="TableParagraph"/>
              <w:rPr>
                <w:rFonts w:ascii="Times New Roman"/>
                <w:sz w:val="18"/>
              </w:rPr>
            </w:pPr>
          </w:p>
        </w:tc>
        <w:tc>
          <w:tcPr>
            <w:tcW w:w="1550" w:type="dxa"/>
            <w:vMerge w:val="restart"/>
            <w:tcBorders>
              <w:top w:val="nil"/>
            </w:tcBorders>
          </w:tcPr>
          <w:p>
            <w:pPr>
              <w:pStyle w:val="TableParagraph"/>
              <w:rPr>
                <w:rFonts w:ascii="Times New Roman"/>
                <w:sz w:val="18"/>
              </w:rPr>
            </w:pPr>
          </w:p>
        </w:tc>
      </w:tr>
      <w:tr>
        <w:trPr>
          <w:trHeight w:val="1655" w:hRule="atLeast"/>
        </w:trPr>
        <w:tc>
          <w:tcPr>
            <w:tcW w:w="2972" w:type="dxa"/>
          </w:tcPr>
          <w:p>
            <w:pPr>
              <w:pStyle w:val="TableParagraph"/>
              <w:rPr>
                <w:b/>
                <w:sz w:val="18"/>
              </w:rPr>
            </w:pPr>
          </w:p>
          <w:p>
            <w:pPr>
              <w:pStyle w:val="TableParagraph"/>
              <w:spacing w:before="103"/>
              <w:rPr>
                <w:b/>
                <w:sz w:val="18"/>
              </w:rPr>
            </w:pPr>
          </w:p>
          <w:p>
            <w:pPr>
              <w:pStyle w:val="TableParagraph"/>
              <w:ind w:left="72" w:right="141"/>
              <w:rPr>
                <w:sz w:val="18"/>
              </w:rPr>
            </w:pPr>
            <w:r>
              <w:rPr>
                <w:b/>
                <w:sz w:val="18"/>
              </w:rPr>
              <w:t>Actividad PPPS 1.3.6: </w:t>
            </w:r>
            <w:r>
              <w:rPr>
                <w:sz w:val="18"/>
              </w:rPr>
              <w:t>Construcción</w:t>
            </w:r>
            <w:r>
              <w:rPr>
                <w:spacing w:val="-12"/>
                <w:sz w:val="18"/>
              </w:rPr>
              <w:t> </w:t>
            </w:r>
            <w:r>
              <w:rPr>
                <w:sz w:val="18"/>
              </w:rPr>
              <w:t>de</w:t>
            </w:r>
            <w:r>
              <w:rPr>
                <w:spacing w:val="-12"/>
                <w:sz w:val="18"/>
              </w:rPr>
              <w:t> </w:t>
            </w:r>
            <w:r>
              <w:rPr>
                <w:sz w:val="18"/>
              </w:rPr>
              <w:t>nuevo</w:t>
            </w:r>
            <w:r>
              <w:rPr>
                <w:spacing w:val="-12"/>
                <w:sz w:val="18"/>
              </w:rPr>
              <w:t> </w:t>
            </w:r>
            <w:r>
              <w:rPr>
                <w:sz w:val="18"/>
              </w:rPr>
              <w:t>edificio para ARDS y ULDS Alajuela.</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
              <w:jc w:val="center"/>
              <w:rPr>
                <w:sz w:val="18"/>
              </w:rPr>
            </w:pPr>
            <w:r>
              <w:rPr>
                <w:sz w:val="18"/>
              </w:rPr>
              <w:t>No </w:t>
            </w:r>
            <w:r>
              <w:rPr>
                <w:spacing w:val="-2"/>
                <w:sz w:val="18"/>
              </w:rPr>
              <w:t>aplica</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2"/>
              <w:jc w:val="center"/>
              <w:rPr>
                <w:sz w:val="18"/>
              </w:rPr>
            </w:pPr>
            <w:r>
              <w:rPr>
                <w:spacing w:val="-4"/>
                <w:sz w:val="18"/>
              </w:rPr>
              <w:t>100%</w:t>
            </w:r>
          </w:p>
        </w:tc>
        <w:tc>
          <w:tcPr>
            <w:tcW w:w="1982" w:type="dxa"/>
          </w:tcPr>
          <w:p>
            <w:pPr>
              <w:pStyle w:val="TableParagraph"/>
              <w:ind w:left="68" w:right="114"/>
              <w:rPr>
                <w:sz w:val="18"/>
              </w:rPr>
            </w:pPr>
            <w:r>
              <w:rPr>
                <w:sz w:val="18"/>
              </w:rPr>
              <w:t>Porcentaje de </w:t>
            </w:r>
            <w:r>
              <w:rPr>
                <w:spacing w:val="-2"/>
                <w:sz w:val="18"/>
              </w:rPr>
              <w:t>presupuesto </w:t>
            </w:r>
            <w:r>
              <w:rPr>
                <w:sz w:val="18"/>
              </w:rPr>
              <w:t>programado</w:t>
            </w:r>
            <w:r>
              <w:rPr>
                <w:spacing w:val="-15"/>
                <w:sz w:val="18"/>
              </w:rPr>
              <w:t> </w:t>
            </w:r>
            <w:r>
              <w:rPr>
                <w:sz w:val="18"/>
              </w:rPr>
              <w:t>que</w:t>
            </w:r>
            <w:r>
              <w:rPr>
                <w:spacing w:val="-12"/>
                <w:sz w:val="18"/>
              </w:rPr>
              <w:t> </w:t>
            </w:r>
            <w:r>
              <w:rPr>
                <w:sz w:val="18"/>
              </w:rPr>
              <w:t>se invierte en la construcción del edificio del ARDS Alajuela y ULDS</w:t>
            </w:r>
          </w:p>
          <w:p>
            <w:pPr>
              <w:pStyle w:val="TableParagraph"/>
              <w:spacing w:line="187" w:lineRule="exact"/>
              <w:ind w:left="68"/>
              <w:rPr>
                <w:sz w:val="18"/>
              </w:rPr>
            </w:pPr>
            <w:r>
              <w:rPr>
                <w:spacing w:val="-2"/>
                <w:sz w:val="18"/>
              </w:rPr>
              <w:t>Alajuela.</w:t>
            </w:r>
          </w:p>
        </w:tc>
        <w:tc>
          <w:tcPr>
            <w:tcW w:w="1560" w:type="dxa"/>
          </w:tcPr>
          <w:p>
            <w:pPr>
              <w:pStyle w:val="TableParagraph"/>
              <w:rPr>
                <w:b/>
                <w:sz w:val="18"/>
              </w:rPr>
            </w:pPr>
          </w:p>
          <w:p>
            <w:pPr>
              <w:pStyle w:val="TableParagraph"/>
              <w:spacing w:before="103"/>
              <w:rPr>
                <w:b/>
                <w:sz w:val="18"/>
              </w:rPr>
            </w:pPr>
          </w:p>
          <w:p>
            <w:pPr>
              <w:pStyle w:val="TableParagraph"/>
              <w:ind w:left="73" w:right="58"/>
              <w:rPr>
                <w:sz w:val="18"/>
              </w:rPr>
            </w:pPr>
            <w:r>
              <w:rPr>
                <w:spacing w:val="-2"/>
                <w:sz w:val="18"/>
              </w:rPr>
              <w:t>Registros </w:t>
            </w:r>
            <w:r>
              <w:rPr>
                <w:sz w:val="18"/>
              </w:rPr>
              <w:t>efectuados en sistema</w:t>
            </w:r>
            <w:r>
              <w:rPr>
                <w:spacing w:val="-15"/>
                <w:sz w:val="18"/>
              </w:rPr>
              <w:t> </w:t>
            </w:r>
            <w:r>
              <w:rPr>
                <w:sz w:val="18"/>
              </w:rPr>
              <w:t>de</w:t>
            </w:r>
            <w:r>
              <w:rPr>
                <w:spacing w:val="-12"/>
                <w:sz w:val="18"/>
              </w:rPr>
              <w:t> </w:t>
            </w:r>
            <w:r>
              <w:rPr>
                <w:sz w:val="18"/>
              </w:rPr>
              <w:t>pagos</w:t>
            </w:r>
          </w:p>
        </w:tc>
        <w:tc>
          <w:tcPr>
            <w:tcW w:w="1416" w:type="dxa"/>
          </w:tcPr>
          <w:p>
            <w:pPr>
              <w:pStyle w:val="TableParagraph"/>
              <w:rPr>
                <w:b/>
                <w:sz w:val="18"/>
              </w:rPr>
            </w:pPr>
          </w:p>
          <w:p>
            <w:pPr>
              <w:pStyle w:val="TableParagraph"/>
              <w:spacing w:before="103"/>
              <w:rPr>
                <w:b/>
                <w:sz w:val="18"/>
              </w:rPr>
            </w:pPr>
          </w:p>
          <w:p>
            <w:pPr>
              <w:pStyle w:val="TableParagraph"/>
              <w:ind w:left="17" w:right="6"/>
              <w:jc w:val="center"/>
              <w:rPr>
                <w:sz w:val="18"/>
              </w:rPr>
            </w:pPr>
            <w:r>
              <w:rPr>
                <w:sz w:val="18"/>
              </w:rPr>
              <w:t>DDS</w:t>
            </w:r>
            <w:r>
              <w:rPr>
                <w:spacing w:val="-3"/>
                <w:sz w:val="18"/>
              </w:rPr>
              <w:t> </w:t>
            </w:r>
            <w:r>
              <w:rPr>
                <w:spacing w:val="-4"/>
                <w:sz w:val="18"/>
              </w:rPr>
              <w:t>ARDS</w:t>
            </w:r>
          </w:p>
          <w:p>
            <w:pPr>
              <w:pStyle w:val="TableParagraph"/>
              <w:ind w:left="270" w:right="261" w:firstLine="4"/>
              <w:jc w:val="center"/>
              <w:rPr>
                <w:sz w:val="18"/>
              </w:rPr>
            </w:pPr>
            <w:r>
              <w:rPr>
                <w:spacing w:val="-2"/>
                <w:sz w:val="18"/>
              </w:rPr>
              <w:t>Central Occidente)</w:t>
            </w:r>
          </w:p>
        </w:tc>
        <w:tc>
          <w:tcPr>
            <w:tcW w:w="1647"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47"/>
              <w:jc w:val="right"/>
              <w:rPr>
                <w:sz w:val="18"/>
              </w:rPr>
            </w:pPr>
            <w:r>
              <w:rPr>
                <w:sz w:val="18"/>
              </w:rPr>
              <w:t>₡2</w:t>
            </w:r>
            <w:r>
              <w:rPr>
                <w:spacing w:val="1"/>
                <w:sz w:val="18"/>
              </w:rPr>
              <w:t> </w:t>
            </w:r>
            <w:r>
              <w:rPr>
                <w:sz w:val="18"/>
              </w:rPr>
              <w:t>800</w:t>
            </w:r>
            <w:r>
              <w:rPr>
                <w:spacing w:val="-3"/>
                <w:sz w:val="18"/>
              </w:rPr>
              <w:t> </w:t>
            </w:r>
            <w:r>
              <w:rPr>
                <w:sz w:val="18"/>
              </w:rPr>
              <w:t>000</w:t>
            </w:r>
            <w:r>
              <w:rPr>
                <w:spacing w:val="-2"/>
                <w:sz w:val="18"/>
              </w:rPr>
              <w:t> </w:t>
            </w:r>
            <w:r>
              <w:rPr>
                <w:spacing w:val="-5"/>
                <w:sz w:val="18"/>
              </w:rPr>
              <w:t>000</w:t>
            </w:r>
          </w:p>
        </w:tc>
        <w:tc>
          <w:tcPr>
            <w:tcW w:w="1550" w:type="dxa"/>
            <w:vMerge/>
            <w:tcBorders>
              <w:top w:val="nil"/>
            </w:tcBorders>
          </w:tcPr>
          <w:p>
            <w:pPr>
              <w:rPr>
                <w:sz w:val="2"/>
                <w:szCs w:val="2"/>
              </w:rPr>
            </w:pPr>
          </w:p>
        </w:tc>
      </w:tr>
      <w:tr>
        <w:trPr>
          <w:trHeight w:val="1449" w:hRule="atLeast"/>
        </w:trPr>
        <w:tc>
          <w:tcPr>
            <w:tcW w:w="2972" w:type="dxa"/>
          </w:tcPr>
          <w:p>
            <w:pPr>
              <w:pStyle w:val="TableParagraph"/>
              <w:spacing w:before="206"/>
              <w:ind w:left="72" w:right="105"/>
              <w:rPr>
                <w:sz w:val="18"/>
              </w:rPr>
            </w:pPr>
            <w:r>
              <w:rPr>
                <w:b/>
                <w:sz w:val="18"/>
              </w:rPr>
              <w:t>Actividad</w:t>
            </w:r>
            <w:r>
              <w:rPr>
                <w:b/>
                <w:spacing w:val="-13"/>
                <w:sz w:val="18"/>
              </w:rPr>
              <w:t> </w:t>
            </w:r>
            <w:r>
              <w:rPr>
                <w:b/>
                <w:sz w:val="18"/>
              </w:rPr>
              <w:t>PPPS</w:t>
            </w:r>
            <w:r>
              <w:rPr>
                <w:b/>
                <w:spacing w:val="-12"/>
                <w:sz w:val="18"/>
              </w:rPr>
              <w:t> </w:t>
            </w:r>
            <w:r>
              <w:rPr>
                <w:b/>
                <w:sz w:val="18"/>
              </w:rPr>
              <w:t>1.3.7:</w:t>
            </w:r>
            <w:r>
              <w:rPr>
                <w:b/>
                <w:spacing w:val="-13"/>
                <w:sz w:val="18"/>
              </w:rPr>
              <w:t> </w:t>
            </w:r>
            <w:r>
              <w:rPr>
                <w:sz w:val="18"/>
              </w:rPr>
              <w:t>Gestionar las compras de equipo de comunicación subpartida 5.01.03 programadas en el Plan de Compras por parte del PPPS.</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7"/>
              <w:jc w:val="center"/>
              <w:rPr>
                <w:sz w:val="18"/>
              </w:rPr>
            </w:pPr>
            <w:r>
              <w:rPr>
                <w:spacing w:val="-2"/>
                <w:sz w:val="18"/>
              </w:rPr>
              <w:t>28,29%</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55"/>
              <w:jc w:val="right"/>
              <w:rPr>
                <w:sz w:val="18"/>
              </w:rPr>
            </w:pPr>
            <w:r>
              <w:rPr>
                <w:spacing w:val="-4"/>
                <w:sz w:val="18"/>
              </w:rPr>
              <w:t>100%</w:t>
            </w:r>
          </w:p>
        </w:tc>
        <w:tc>
          <w:tcPr>
            <w:tcW w:w="1982" w:type="dxa"/>
          </w:tcPr>
          <w:p>
            <w:pPr>
              <w:pStyle w:val="TableParagraph"/>
              <w:ind w:left="68" w:right="114"/>
              <w:rPr>
                <w:sz w:val="18"/>
              </w:rPr>
            </w:pPr>
            <w:r>
              <w:rPr>
                <w:sz w:val="18"/>
              </w:rPr>
              <w:t>Porcentaje de ejecución de las compras</w:t>
            </w:r>
            <w:r>
              <w:rPr>
                <w:spacing w:val="-12"/>
                <w:sz w:val="18"/>
              </w:rPr>
              <w:t> </w:t>
            </w:r>
            <w:r>
              <w:rPr>
                <w:sz w:val="18"/>
              </w:rPr>
              <w:t>de</w:t>
            </w:r>
            <w:r>
              <w:rPr>
                <w:spacing w:val="-12"/>
                <w:sz w:val="18"/>
              </w:rPr>
              <w:t> </w:t>
            </w:r>
            <w:r>
              <w:rPr>
                <w:sz w:val="18"/>
              </w:rPr>
              <w:t>equipo</w:t>
            </w:r>
            <w:r>
              <w:rPr>
                <w:spacing w:val="-12"/>
                <w:sz w:val="18"/>
              </w:rPr>
              <w:t> </w:t>
            </w:r>
            <w:r>
              <w:rPr>
                <w:sz w:val="18"/>
              </w:rPr>
              <w:t>de </w:t>
            </w:r>
            <w:r>
              <w:rPr>
                <w:spacing w:val="-2"/>
                <w:sz w:val="18"/>
              </w:rPr>
              <w:t>comunicación </w:t>
            </w:r>
            <w:r>
              <w:rPr>
                <w:sz w:val="18"/>
              </w:rPr>
              <w:t>programadas en el</w:t>
            </w:r>
          </w:p>
          <w:p>
            <w:pPr>
              <w:pStyle w:val="TableParagraph"/>
              <w:spacing w:line="206" w:lineRule="exact"/>
              <w:ind w:left="68" w:right="127"/>
              <w:rPr>
                <w:sz w:val="18"/>
              </w:rPr>
            </w:pPr>
            <w:r>
              <w:rPr>
                <w:sz w:val="18"/>
              </w:rPr>
              <w:t>Plan</w:t>
            </w:r>
            <w:r>
              <w:rPr>
                <w:spacing w:val="-13"/>
                <w:sz w:val="18"/>
              </w:rPr>
              <w:t> </w:t>
            </w:r>
            <w:r>
              <w:rPr>
                <w:sz w:val="18"/>
              </w:rPr>
              <w:t>de</w:t>
            </w:r>
            <w:r>
              <w:rPr>
                <w:spacing w:val="-12"/>
                <w:sz w:val="18"/>
              </w:rPr>
              <w:t> </w:t>
            </w:r>
            <w:r>
              <w:rPr>
                <w:sz w:val="18"/>
              </w:rPr>
              <w:t>Compras</w:t>
            </w:r>
            <w:r>
              <w:rPr>
                <w:spacing w:val="-13"/>
                <w:sz w:val="18"/>
              </w:rPr>
              <w:t> </w:t>
            </w:r>
            <w:r>
              <w:rPr>
                <w:sz w:val="18"/>
              </w:rPr>
              <w:t>por el PPPS.</w:t>
            </w:r>
          </w:p>
        </w:tc>
        <w:tc>
          <w:tcPr>
            <w:tcW w:w="1560" w:type="dxa"/>
          </w:tcPr>
          <w:p>
            <w:pPr>
              <w:pStyle w:val="TableParagraph"/>
              <w:spacing w:before="205"/>
              <w:rPr>
                <w:b/>
                <w:sz w:val="18"/>
              </w:rPr>
            </w:pPr>
          </w:p>
          <w:p>
            <w:pPr>
              <w:pStyle w:val="TableParagraph"/>
              <w:spacing w:line="242" w:lineRule="auto"/>
              <w:ind w:left="73" w:right="58"/>
              <w:rPr>
                <w:sz w:val="18"/>
              </w:rPr>
            </w:pPr>
            <w:r>
              <w:rPr>
                <w:spacing w:val="-2"/>
                <w:sz w:val="18"/>
              </w:rPr>
              <w:t>Registros </w:t>
            </w:r>
            <w:r>
              <w:rPr>
                <w:sz w:val="18"/>
              </w:rPr>
              <w:t>efectuados en sistema</w:t>
            </w:r>
            <w:r>
              <w:rPr>
                <w:spacing w:val="-15"/>
                <w:sz w:val="18"/>
              </w:rPr>
              <w:t> </w:t>
            </w:r>
            <w:r>
              <w:rPr>
                <w:sz w:val="18"/>
              </w:rPr>
              <w:t>de</w:t>
            </w:r>
            <w:r>
              <w:rPr>
                <w:spacing w:val="-12"/>
                <w:sz w:val="18"/>
              </w:rPr>
              <w:t> </w:t>
            </w:r>
            <w:r>
              <w:rPr>
                <w:sz w:val="18"/>
              </w:rPr>
              <w:t>pagos</w:t>
            </w:r>
          </w:p>
        </w:tc>
        <w:tc>
          <w:tcPr>
            <w:tcW w:w="141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7" w:right="6"/>
              <w:jc w:val="center"/>
              <w:rPr>
                <w:sz w:val="18"/>
              </w:rPr>
            </w:pPr>
            <w:r>
              <w:rPr>
                <w:spacing w:val="-2"/>
                <w:sz w:val="18"/>
              </w:rPr>
              <w:t>DDS/ARDS</w:t>
            </w:r>
          </w:p>
        </w:tc>
        <w:tc>
          <w:tcPr>
            <w:tcW w:w="1647"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47"/>
              <w:jc w:val="right"/>
              <w:rPr>
                <w:sz w:val="18"/>
              </w:rPr>
            </w:pPr>
            <w:r>
              <w:rPr>
                <w:sz w:val="18"/>
              </w:rPr>
              <w:t>₡27</w:t>
            </w:r>
            <w:r>
              <w:rPr>
                <w:spacing w:val="1"/>
                <w:sz w:val="18"/>
              </w:rPr>
              <w:t> </w:t>
            </w:r>
            <w:r>
              <w:rPr>
                <w:sz w:val="18"/>
              </w:rPr>
              <w:t>694</w:t>
            </w:r>
            <w:r>
              <w:rPr>
                <w:spacing w:val="-3"/>
                <w:sz w:val="18"/>
              </w:rPr>
              <w:t> </w:t>
            </w:r>
            <w:r>
              <w:rPr>
                <w:spacing w:val="-5"/>
                <w:sz w:val="18"/>
              </w:rPr>
              <w:t>478</w:t>
            </w:r>
          </w:p>
        </w:tc>
        <w:tc>
          <w:tcPr>
            <w:tcW w:w="1550" w:type="dxa"/>
            <w:vMerge/>
            <w:tcBorders>
              <w:top w:val="nil"/>
            </w:tcBorders>
          </w:tcPr>
          <w:p>
            <w:pPr>
              <w:rPr>
                <w:sz w:val="2"/>
                <w:szCs w:val="2"/>
              </w:rPr>
            </w:pPr>
          </w:p>
        </w:tc>
      </w:tr>
      <w:tr>
        <w:trPr>
          <w:trHeight w:val="1450" w:hRule="atLeast"/>
        </w:trPr>
        <w:tc>
          <w:tcPr>
            <w:tcW w:w="2972" w:type="dxa"/>
          </w:tcPr>
          <w:p>
            <w:pPr>
              <w:pStyle w:val="TableParagraph"/>
              <w:spacing w:before="205"/>
              <w:ind w:left="72" w:right="105"/>
              <w:rPr>
                <w:sz w:val="18"/>
              </w:rPr>
            </w:pPr>
            <w:r>
              <w:rPr>
                <w:b/>
                <w:sz w:val="18"/>
              </w:rPr>
              <w:t>Actividad</w:t>
            </w:r>
            <w:r>
              <w:rPr>
                <w:b/>
                <w:spacing w:val="-13"/>
                <w:sz w:val="18"/>
              </w:rPr>
              <w:t> </w:t>
            </w:r>
            <w:r>
              <w:rPr>
                <w:b/>
                <w:sz w:val="18"/>
              </w:rPr>
              <w:t>PPPS</w:t>
            </w:r>
            <w:r>
              <w:rPr>
                <w:b/>
                <w:spacing w:val="-12"/>
                <w:sz w:val="18"/>
              </w:rPr>
              <w:t> </w:t>
            </w:r>
            <w:r>
              <w:rPr>
                <w:b/>
                <w:sz w:val="18"/>
              </w:rPr>
              <w:t>1.3.8:</w:t>
            </w:r>
            <w:r>
              <w:rPr>
                <w:b/>
                <w:spacing w:val="-13"/>
                <w:sz w:val="18"/>
              </w:rPr>
              <w:t> </w:t>
            </w:r>
            <w:r>
              <w:rPr>
                <w:sz w:val="18"/>
              </w:rPr>
              <w:t>Gestionar las compras de Maquinaria y equipo de producción subpartida</w:t>
            </w:r>
          </w:p>
          <w:p>
            <w:pPr>
              <w:pStyle w:val="TableParagraph"/>
              <w:spacing w:before="4"/>
              <w:ind w:left="72"/>
              <w:rPr>
                <w:sz w:val="18"/>
              </w:rPr>
            </w:pPr>
            <w:r>
              <w:rPr>
                <w:sz w:val="18"/>
              </w:rPr>
              <w:t>5.01.01</w:t>
            </w:r>
            <w:r>
              <w:rPr>
                <w:spacing w:val="-9"/>
                <w:sz w:val="18"/>
              </w:rPr>
              <w:t> </w:t>
            </w:r>
            <w:r>
              <w:rPr>
                <w:sz w:val="18"/>
              </w:rPr>
              <w:t>programadas</w:t>
            </w:r>
            <w:r>
              <w:rPr>
                <w:spacing w:val="-4"/>
                <w:sz w:val="18"/>
              </w:rPr>
              <w:t> </w:t>
            </w:r>
            <w:r>
              <w:rPr>
                <w:sz w:val="18"/>
              </w:rPr>
              <w:t>en</w:t>
            </w:r>
            <w:r>
              <w:rPr>
                <w:spacing w:val="-9"/>
                <w:sz w:val="18"/>
              </w:rPr>
              <w:t> </w:t>
            </w:r>
            <w:r>
              <w:rPr>
                <w:sz w:val="18"/>
              </w:rPr>
              <w:t>el</w:t>
            </w:r>
            <w:r>
              <w:rPr>
                <w:spacing w:val="-6"/>
                <w:sz w:val="18"/>
              </w:rPr>
              <w:t> </w:t>
            </w:r>
            <w:r>
              <w:rPr>
                <w:sz w:val="18"/>
              </w:rPr>
              <w:t>Plan</w:t>
            </w:r>
            <w:r>
              <w:rPr>
                <w:spacing w:val="-9"/>
                <w:sz w:val="18"/>
              </w:rPr>
              <w:t> </w:t>
            </w:r>
            <w:r>
              <w:rPr>
                <w:sz w:val="18"/>
              </w:rPr>
              <w:t>de Compras por parte del PPPS.</w:t>
            </w:r>
          </w:p>
        </w:tc>
        <w:tc>
          <w:tcPr>
            <w:tcW w:w="1560" w:type="dxa"/>
          </w:tcPr>
          <w:p>
            <w:pPr>
              <w:pStyle w:val="TableParagraph"/>
              <w:rPr>
                <w:b/>
                <w:sz w:val="18"/>
              </w:rPr>
            </w:pPr>
          </w:p>
          <w:p>
            <w:pPr>
              <w:pStyle w:val="TableParagraph"/>
              <w:spacing w:before="204"/>
              <w:rPr>
                <w:b/>
                <w:sz w:val="18"/>
              </w:rPr>
            </w:pPr>
          </w:p>
          <w:p>
            <w:pPr>
              <w:pStyle w:val="TableParagraph"/>
              <w:ind w:left="21" w:right="2"/>
              <w:jc w:val="center"/>
              <w:rPr>
                <w:sz w:val="18"/>
              </w:rPr>
            </w:pPr>
            <w:r>
              <w:rPr>
                <w:spacing w:val="-2"/>
                <w:sz w:val="18"/>
              </w:rPr>
              <w:t>0,00%</w:t>
            </w:r>
          </w:p>
        </w:tc>
        <w:tc>
          <w:tcPr>
            <w:tcW w:w="1560" w:type="dxa"/>
          </w:tcPr>
          <w:p>
            <w:pPr>
              <w:pStyle w:val="TableParagraph"/>
              <w:rPr>
                <w:b/>
                <w:sz w:val="18"/>
              </w:rPr>
            </w:pPr>
          </w:p>
          <w:p>
            <w:pPr>
              <w:pStyle w:val="TableParagraph"/>
              <w:spacing w:before="204"/>
              <w:rPr>
                <w:b/>
                <w:sz w:val="18"/>
              </w:rPr>
            </w:pPr>
          </w:p>
          <w:p>
            <w:pPr>
              <w:pStyle w:val="TableParagraph"/>
              <w:ind w:right="55"/>
              <w:jc w:val="right"/>
              <w:rPr>
                <w:sz w:val="18"/>
              </w:rPr>
            </w:pPr>
            <w:r>
              <w:rPr>
                <w:spacing w:val="-4"/>
                <w:sz w:val="18"/>
              </w:rPr>
              <w:t>100%</w:t>
            </w:r>
          </w:p>
        </w:tc>
        <w:tc>
          <w:tcPr>
            <w:tcW w:w="1982" w:type="dxa"/>
          </w:tcPr>
          <w:p>
            <w:pPr>
              <w:pStyle w:val="TableParagraph"/>
              <w:ind w:left="68" w:right="114"/>
              <w:rPr>
                <w:sz w:val="18"/>
              </w:rPr>
            </w:pPr>
            <w:r>
              <w:rPr>
                <w:sz w:val="18"/>
              </w:rPr>
              <w:t>Porcentaje de ejecución de las compras de maquinaria y equipo programadas en el Plan</w:t>
            </w:r>
            <w:r>
              <w:rPr>
                <w:spacing w:val="-13"/>
                <w:sz w:val="18"/>
              </w:rPr>
              <w:t> </w:t>
            </w:r>
            <w:r>
              <w:rPr>
                <w:sz w:val="18"/>
              </w:rPr>
              <w:t>de</w:t>
            </w:r>
            <w:r>
              <w:rPr>
                <w:spacing w:val="-12"/>
                <w:sz w:val="18"/>
              </w:rPr>
              <w:t> </w:t>
            </w:r>
            <w:r>
              <w:rPr>
                <w:sz w:val="18"/>
              </w:rPr>
              <w:t>Compras</w:t>
            </w:r>
            <w:r>
              <w:rPr>
                <w:spacing w:val="-13"/>
                <w:sz w:val="18"/>
              </w:rPr>
              <w:t> </w:t>
            </w:r>
            <w:r>
              <w:rPr>
                <w:sz w:val="18"/>
              </w:rPr>
              <w:t>por</w:t>
            </w:r>
          </w:p>
          <w:p>
            <w:pPr>
              <w:pStyle w:val="TableParagraph"/>
              <w:spacing w:line="187" w:lineRule="exact" w:before="1"/>
              <w:ind w:left="68"/>
              <w:rPr>
                <w:sz w:val="18"/>
              </w:rPr>
            </w:pPr>
            <w:r>
              <w:rPr>
                <w:sz w:val="18"/>
              </w:rPr>
              <w:t>el </w:t>
            </w:r>
            <w:r>
              <w:rPr>
                <w:spacing w:val="-2"/>
                <w:sz w:val="18"/>
              </w:rPr>
              <w:t>PPPS.</w:t>
            </w:r>
          </w:p>
        </w:tc>
        <w:tc>
          <w:tcPr>
            <w:tcW w:w="1560" w:type="dxa"/>
          </w:tcPr>
          <w:p>
            <w:pPr>
              <w:pStyle w:val="TableParagraph"/>
              <w:spacing w:before="205"/>
              <w:rPr>
                <w:b/>
                <w:sz w:val="18"/>
              </w:rPr>
            </w:pPr>
          </w:p>
          <w:p>
            <w:pPr>
              <w:pStyle w:val="TableParagraph"/>
              <w:spacing w:line="242" w:lineRule="auto"/>
              <w:ind w:left="73" w:right="58"/>
              <w:rPr>
                <w:sz w:val="18"/>
              </w:rPr>
            </w:pPr>
            <w:r>
              <w:rPr>
                <w:spacing w:val="-2"/>
                <w:sz w:val="18"/>
              </w:rPr>
              <w:t>Registros </w:t>
            </w:r>
            <w:r>
              <w:rPr>
                <w:sz w:val="18"/>
              </w:rPr>
              <w:t>efectuados en sistema</w:t>
            </w:r>
            <w:r>
              <w:rPr>
                <w:spacing w:val="-15"/>
                <w:sz w:val="18"/>
              </w:rPr>
              <w:t> </w:t>
            </w:r>
            <w:r>
              <w:rPr>
                <w:sz w:val="18"/>
              </w:rPr>
              <w:t>de</w:t>
            </w:r>
            <w:r>
              <w:rPr>
                <w:spacing w:val="-12"/>
                <w:sz w:val="18"/>
              </w:rPr>
              <w:t> </w:t>
            </w:r>
            <w:r>
              <w:rPr>
                <w:sz w:val="18"/>
              </w:rPr>
              <w:t>pagos</w:t>
            </w:r>
          </w:p>
        </w:tc>
        <w:tc>
          <w:tcPr>
            <w:tcW w:w="1416" w:type="dxa"/>
          </w:tcPr>
          <w:p>
            <w:pPr>
              <w:pStyle w:val="TableParagraph"/>
              <w:rPr>
                <w:b/>
                <w:sz w:val="18"/>
              </w:rPr>
            </w:pPr>
          </w:p>
          <w:p>
            <w:pPr>
              <w:pStyle w:val="TableParagraph"/>
              <w:spacing w:before="204"/>
              <w:rPr>
                <w:b/>
                <w:sz w:val="18"/>
              </w:rPr>
            </w:pPr>
          </w:p>
          <w:p>
            <w:pPr>
              <w:pStyle w:val="TableParagraph"/>
              <w:ind w:left="17" w:right="6"/>
              <w:jc w:val="center"/>
              <w:rPr>
                <w:sz w:val="18"/>
              </w:rPr>
            </w:pPr>
            <w:r>
              <w:rPr>
                <w:spacing w:val="-2"/>
                <w:sz w:val="18"/>
              </w:rPr>
              <w:t>DDS/ARDS</w:t>
            </w:r>
          </w:p>
        </w:tc>
        <w:tc>
          <w:tcPr>
            <w:tcW w:w="1647" w:type="dxa"/>
          </w:tcPr>
          <w:p>
            <w:pPr>
              <w:pStyle w:val="TableParagraph"/>
              <w:rPr>
                <w:b/>
                <w:sz w:val="18"/>
              </w:rPr>
            </w:pPr>
          </w:p>
          <w:p>
            <w:pPr>
              <w:pStyle w:val="TableParagraph"/>
              <w:spacing w:before="204"/>
              <w:rPr>
                <w:b/>
                <w:sz w:val="18"/>
              </w:rPr>
            </w:pPr>
          </w:p>
          <w:p>
            <w:pPr>
              <w:pStyle w:val="TableParagraph"/>
              <w:ind w:right="47"/>
              <w:jc w:val="right"/>
              <w:rPr>
                <w:sz w:val="18"/>
              </w:rPr>
            </w:pPr>
            <w:r>
              <w:rPr>
                <w:sz w:val="18"/>
              </w:rPr>
              <w:t>₡510 </w:t>
            </w:r>
            <w:r>
              <w:rPr>
                <w:spacing w:val="-5"/>
                <w:sz w:val="18"/>
              </w:rPr>
              <w:t>000</w:t>
            </w:r>
          </w:p>
        </w:tc>
        <w:tc>
          <w:tcPr>
            <w:tcW w:w="1550" w:type="dxa"/>
            <w:vMerge/>
            <w:tcBorders>
              <w:top w:val="nil"/>
            </w:tcBorders>
          </w:tcPr>
          <w:p>
            <w:pPr>
              <w:rPr>
                <w:sz w:val="2"/>
                <w:szCs w:val="2"/>
              </w:rPr>
            </w:pPr>
          </w:p>
        </w:tc>
      </w:tr>
      <w:tr>
        <w:trPr>
          <w:trHeight w:val="1766" w:hRule="atLeast"/>
        </w:trPr>
        <w:tc>
          <w:tcPr>
            <w:tcW w:w="2972" w:type="dxa"/>
          </w:tcPr>
          <w:p>
            <w:pPr>
              <w:pStyle w:val="TableParagraph"/>
              <w:spacing w:before="51"/>
              <w:ind w:left="72" w:right="95"/>
              <w:rPr>
                <w:sz w:val="18"/>
              </w:rPr>
            </w:pPr>
            <w:r>
              <w:rPr>
                <w:b/>
                <w:sz w:val="18"/>
              </w:rPr>
              <w:t>Actividad PPPS 1.3.9: </w:t>
            </w:r>
            <w:r>
              <w:rPr>
                <w:sz w:val="18"/>
              </w:rPr>
              <w:t>Pago de servicios de mantenimiento requeridos para solventar necesidades institucionales (subpartidas 1.08.01 Mantenimiento</w:t>
            </w:r>
            <w:r>
              <w:rPr>
                <w:spacing w:val="-13"/>
                <w:sz w:val="18"/>
              </w:rPr>
              <w:t> </w:t>
            </w:r>
            <w:r>
              <w:rPr>
                <w:sz w:val="18"/>
              </w:rPr>
              <w:t>de</w:t>
            </w:r>
            <w:r>
              <w:rPr>
                <w:spacing w:val="-12"/>
                <w:sz w:val="18"/>
              </w:rPr>
              <w:t> </w:t>
            </w:r>
            <w:r>
              <w:rPr>
                <w:sz w:val="18"/>
              </w:rPr>
              <w:t>edificios,</w:t>
            </w:r>
            <w:r>
              <w:rPr>
                <w:spacing w:val="-12"/>
                <w:sz w:val="18"/>
              </w:rPr>
              <w:t> </w:t>
            </w:r>
            <w:r>
              <w:rPr>
                <w:sz w:val="18"/>
              </w:rPr>
              <w:t>locales y terrenos, subpartida 1.08.03 Mantenimiento de Instalaciones y</w:t>
            </w:r>
          </w:p>
        </w:tc>
        <w:tc>
          <w:tcPr>
            <w:tcW w:w="1560" w:type="dxa"/>
          </w:tcPr>
          <w:p>
            <w:pPr>
              <w:pStyle w:val="TableParagraph"/>
              <w:rPr>
                <w:b/>
                <w:sz w:val="18"/>
              </w:rPr>
            </w:pPr>
          </w:p>
          <w:p>
            <w:pPr>
              <w:pStyle w:val="TableParagraph"/>
              <w:rPr>
                <w:b/>
                <w:sz w:val="18"/>
              </w:rPr>
            </w:pPr>
          </w:p>
          <w:p>
            <w:pPr>
              <w:pStyle w:val="TableParagraph"/>
              <w:spacing w:before="155"/>
              <w:rPr>
                <w:b/>
                <w:sz w:val="18"/>
              </w:rPr>
            </w:pPr>
          </w:p>
          <w:p>
            <w:pPr>
              <w:pStyle w:val="TableParagraph"/>
              <w:ind w:left="21" w:right="7"/>
              <w:jc w:val="center"/>
              <w:rPr>
                <w:sz w:val="18"/>
              </w:rPr>
            </w:pPr>
            <w:r>
              <w:rPr>
                <w:spacing w:val="-2"/>
                <w:sz w:val="18"/>
              </w:rPr>
              <w:t>36,26%</w:t>
            </w:r>
          </w:p>
        </w:tc>
        <w:tc>
          <w:tcPr>
            <w:tcW w:w="1560" w:type="dxa"/>
          </w:tcPr>
          <w:p>
            <w:pPr>
              <w:pStyle w:val="TableParagraph"/>
              <w:rPr>
                <w:b/>
                <w:sz w:val="18"/>
              </w:rPr>
            </w:pPr>
          </w:p>
          <w:p>
            <w:pPr>
              <w:pStyle w:val="TableParagraph"/>
              <w:rPr>
                <w:b/>
                <w:sz w:val="18"/>
              </w:rPr>
            </w:pPr>
          </w:p>
          <w:p>
            <w:pPr>
              <w:pStyle w:val="TableParagraph"/>
              <w:spacing w:before="155"/>
              <w:rPr>
                <w:b/>
                <w:sz w:val="18"/>
              </w:rPr>
            </w:pPr>
          </w:p>
          <w:p>
            <w:pPr>
              <w:pStyle w:val="TableParagraph"/>
              <w:ind w:right="55"/>
              <w:jc w:val="right"/>
              <w:rPr>
                <w:sz w:val="18"/>
              </w:rPr>
            </w:pPr>
            <w:r>
              <w:rPr>
                <w:spacing w:val="-4"/>
                <w:sz w:val="18"/>
              </w:rPr>
              <w:t>100%</w:t>
            </w:r>
          </w:p>
        </w:tc>
        <w:tc>
          <w:tcPr>
            <w:tcW w:w="1982" w:type="dxa"/>
          </w:tcPr>
          <w:p>
            <w:pPr>
              <w:pStyle w:val="TableParagraph"/>
              <w:spacing w:before="51"/>
              <w:rPr>
                <w:b/>
                <w:sz w:val="18"/>
              </w:rPr>
            </w:pPr>
          </w:p>
          <w:p>
            <w:pPr>
              <w:pStyle w:val="TableParagraph"/>
              <w:ind w:left="68"/>
              <w:rPr>
                <w:sz w:val="18"/>
              </w:rPr>
            </w:pPr>
            <w:r>
              <w:rPr>
                <w:sz w:val="18"/>
              </w:rPr>
              <w:t>Porcentaje de </w:t>
            </w:r>
            <w:r>
              <w:rPr>
                <w:spacing w:val="-2"/>
                <w:sz w:val="18"/>
              </w:rPr>
              <w:t>presupuesto </w:t>
            </w:r>
            <w:r>
              <w:rPr>
                <w:sz w:val="18"/>
              </w:rPr>
              <w:t>programado que se invierte</w:t>
            </w:r>
            <w:r>
              <w:rPr>
                <w:spacing w:val="-10"/>
                <w:sz w:val="18"/>
              </w:rPr>
              <w:t> </w:t>
            </w:r>
            <w:r>
              <w:rPr>
                <w:sz w:val="18"/>
              </w:rPr>
              <w:t>en</w:t>
            </w:r>
            <w:r>
              <w:rPr>
                <w:spacing w:val="-10"/>
                <w:sz w:val="18"/>
              </w:rPr>
              <w:t> </w:t>
            </w:r>
            <w:r>
              <w:rPr>
                <w:sz w:val="18"/>
              </w:rPr>
              <w:t>el</w:t>
            </w:r>
            <w:r>
              <w:rPr>
                <w:spacing w:val="-7"/>
                <w:sz w:val="18"/>
              </w:rPr>
              <w:t> </w:t>
            </w:r>
            <w:r>
              <w:rPr>
                <w:sz w:val="18"/>
              </w:rPr>
              <w:t>pago</w:t>
            </w:r>
            <w:r>
              <w:rPr>
                <w:spacing w:val="-6"/>
                <w:sz w:val="18"/>
              </w:rPr>
              <w:t> </w:t>
            </w:r>
            <w:r>
              <w:rPr>
                <w:sz w:val="18"/>
              </w:rPr>
              <w:t>de servicios de </w:t>
            </w:r>
            <w:r>
              <w:rPr>
                <w:spacing w:val="-2"/>
                <w:sz w:val="18"/>
              </w:rPr>
              <w:t>mantenimiento.</w:t>
            </w:r>
          </w:p>
        </w:tc>
        <w:tc>
          <w:tcPr>
            <w:tcW w:w="1560" w:type="dxa"/>
          </w:tcPr>
          <w:p>
            <w:pPr>
              <w:pStyle w:val="TableParagraph"/>
              <w:rPr>
                <w:b/>
                <w:sz w:val="18"/>
              </w:rPr>
            </w:pPr>
          </w:p>
          <w:p>
            <w:pPr>
              <w:pStyle w:val="TableParagraph"/>
              <w:spacing w:before="156"/>
              <w:rPr>
                <w:b/>
                <w:sz w:val="18"/>
              </w:rPr>
            </w:pPr>
          </w:p>
          <w:p>
            <w:pPr>
              <w:pStyle w:val="TableParagraph"/>
              <w:ind w:left="73" w:right="58"/>
              <w:rPr>
                <w:sz w:val="18"/>
              </w:rPr>
            </w:pPr>
            <w:r>
              <w:rPr>
                <w:spacing w:val="-2"/>
                <w:sz w:val="18"/>
              </w:rPr>
              <w:t>Registros </w:t>
            </w:r>
            <w:r>
              <w:rPr>
                <w:sz w:val="18"/>
              </w:rPr>
              <w:t>efectuados en sistema</w:t>
            </w:r>
            <w:r>
              <w:rPr>
                <w:spacing w:val="-15"/>
                <w:sz w:val="18"/>
              </w:rPr>
              <w:t> </w:t>
            </w:r>
            <w:r>
              <w:rPr>
                <w:sz w:val="18"/>
              </w:rPr>
              <w:t>de</w:t>
            </w:r>
            <w:r>
              <w:rPr>
                <w:spacing w:val="-12"/>
                <w:sz w:val="18"/>
              </w:rPr>
              <w:t> </w:t>
            </w:r>
            <w:r>
              <w:rPr>
                <w:sz w:val="18"/>
              </w:rPr>
              <w:t>pagos</w:t>
            </w:r>
          </w:p>
        </w:tc>
        <w:tc>
          <w:tcPr>
            <w:tcW w:w="1416" w:type="dxa"/>
          </w:tcPr>
          <w:p>
            <w:pPr>
              <w:pStyle w:val="TableParagraph"/>
              <w:rPr>
                <w:b/>
                <w:sz w:val="18"/>
              </w:rPr>
            </w:pPr>
          </w:p>
          <w:p>
            <w:pPr>
              <w:pStyle w:val="TableParagraph"/>
              <w:rPr>
                <w:b/>
                <w:sz w:val="18"/>
              </w:rPr>
            </w:pPr>
          </w:p>
          <w:p>
            <w:pPr>
              <w:pStyle w:val="TableParagraph"/>
              <w:spacing w:before="155"/>
              <w:rPr>
                <w:b/>
                <w:sz w:val="18"/>
              </w:rPr>
            </w:pPr>
          </w:p>
          <w:p>
            <w:pPr>
              <w:pStyle w:val="TableParagraph"/>
              <w:ind w:left="17" w:right="6"/>
              <w:jc w:val="center"/>
              <w:rPr>
                <w:sz w:val="18"/>
              </w:rPr>
            </w:pPr>
            <w:r>
              <w:rPr>
                <w:spacing w:val="-2"/>
                <w:sz w:val="18"/>
              </w:rPr>
              <w:t>DDS/ARDS</w:t>
            </w:r>
          </w:p>
        </w:tc>
        <w:tc>
          <w:tcPr>
            <w:tcW w:w="1647" w:type="dxa"/>
          </w:tcPr>
          <w:p>
            <w:pPr>
              <w:pStyle w:val="TableParagraph"/>
              <w:rPr>
                <w:b/>
                <w:sz w:val="18"/>
              </w:rPr>
            </w:pPr>
          </w:p>
          <w:p>
            <w:pPr>
              <w:pStyle w:val="TableParagraph"/>
              <w:rPr>
                <w:b/>
                <w:sz w:val="18"/>
              </w:rPr>
            </w:pPr>
          </w:p>
          <w:p>
            <w:pPr>
              <w:pStyle w:val="TableParagraph"/>
              <w:spacing w:before="155"/>
              <w:rPr>
                <w:b/>
                <w:sz w:val="18"/>
              </w:rPr>
            </w:pPr>
          </w:p>
          <w:p>
            <w:pPr>
              <w:pStyle w:val="TableParagraph"/>
              <w:ind w:right="47"/>
              <w:jc w:val="right"/>
              <w:rPr>
                <w:sz w:val="18"/>
              </w:rPr>
            </w:pPr>
            <w:r>
              <w:rPr>
                <w:sz w:val="18"/>
              </w:rPr>
              <w:t>₡382</w:t>
            </w:r>
            <w:r>
              <w:rPr>
                <w:spacing w:val="1"/>
                <w:sz w:val="18"/>
              </w:rPr>
              <w:t> </w:t>
            </w:r>
            <w:r>
              <w:rPr>
                <w:sz w:val="18"/>
              </w:rPr>
              <w:t>853</w:t>
            </w:r>
            <w:r>
              <w:rPr>
                <w:spacing w:val="-3"/>
                <w:sz w:val="18"/>
              </w:rPr>
              <w:t> </w:t>
            </w:r>
            <w:r>
              <w:rPr>
                <w:spacing w:val="-5"/>
                <w:sz w:val="18"/>
              </w:rPr>
              <w:t>058</w:t>
            </w:r>
          </w:p>
        </w:tc>
        <w:tc>
          <w:tcPr>
            <w:tcW w:w="1550"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3391"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51"/>
        <w:gridCol w:w="1546"/>
      </w:tblGrid>
      <w:tr>
        <w:trPr>
          <w:trHeight w:val="619" w:hRule="atLeast"/>
        </w:trPr>
        <w:tc>
          <w:tcPr>
            <w:tcW w:w="2972" w:type="dxa"/>
            <w:tcBorders>
              <w:bottom w:val="nil"/>
            </w:tcBorders>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tcBorders>
              <w:bottom w:val="nil"/>
            </w:tcBorders>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tcBorders>
              <w:bottom w:val="nil"/>
            </w:tcBorders>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tcBorders>
              <w:bottom w:val="nil"/>
            </w:tcBorders>
            <w:shd w:val="clear" w:color="auto" w:fill="D9D9D9"/>
          </w:tcPr>
          <w:p>
            <w:pPr>
              <w:pStyle w:val="TableParagraph"/>
              <w:spacing w:before="205"/>
              <w:ind w:left="581"/>
              <w:rPr>
                <w:b/>
                <w:sz w:val="18"/>
              </w:rPr>
            </w:pPr>
            <w:r>
              <w:rPr>
                <w:b/>
                <w:spacing w:val="-2"/>
                <w:sz w:val="18"/>
              </w:rPr>
              <w:t>Indicador</w:t>
            </w:r>
          </w:p>
        </w:tc>
        <w:tc>
          <w:tcPr>
            <w:tcW w:w="1560" w:type="dxa"/>
            <w:tcBorders>
              <w:bottom w:val="nil"/>
            </w:tcBorders>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tcBorders>
              <w:bottom w:val="nil"/>
            </w:tcBorders>
            <w:shd w:val="clear" w:color="auto" w:fill="D9D9D9"/>
          </w:tcPr>
          <w:p>
            <w:pPr>
              <w:pStyle w:val="TableParagraph"/>
              <w:spacing w:before="205"/>
              <w:ind w:left="17" w:right="7"/>
              <w:jc w:val="center"/>
              <w:rPr>
                <w:b/>
                <w:sz w:val="18"/>
              </w:rPr>
            </w:pPr>
            <w:r>
              <w:rPr>
                <w:b/>
                <w:spacing w:val="-2"/>
                <w:sz w:val="18"/>
              </w:rPr>
              <w:t>Responsable</w:t>
            </w:r>
          </w:p>
        </w:tc>
        <w:tc>
          <w:tcPr>
            <w:tcW w:w="1651" w:type="dxa"/>
            <w:tcBorders>
              <w:bottom w:val="nil"/>
            </w:tcBorders>
            <w:shd w:val="clear" w:color="auto" w:fill="D9D9D9"/>
          </w:tcPr>
          <w:p>
            <w:pPr>
              <w:pStyle w:val="TableParagraph"/>
              <w:spacing w:before="104"/>
              <w:ind w:left="430" w:hanging="120"/>
              <w:rPr>
                <w:b/>
                <w:sz w:val="18"/>
              </w:rPr>
            </w:pPr>
            <w:r>
              <w:rPr>
                <w:b/>
                <w:spacing w:val="-2"/>
                <w:sz w:val="18"/>
              </w:rPr>
              <w:t>Presupuesto asignado</w:t>
            </w:r>
          </w:p>
        </w:tc>
        <w:tc>
          <w:tcPr>
            <w:tcW w:w="1546" w:type="dxa"/>
            <w:tcBorders>
              <w:bottom w:val="nil"/>
            </w:tcBorders>
            <w:shd w:val="clear" w:color="auto" w:fill="D9D9D9"/>
          </w:tcPr>
          <w:p>
            <w:pPr>
              <w:pStyle w:val="TableParagraph"/>
              <w:spacing w:line="206" w:lineRule="exact"/>
              <w:ind w:left="14"/>
              <w:jc w:val="center"/>
              <w:rPr>
                <w:b/>
                <w:sz w:val="18"/>
              </w:rPr>
            </w:pPr>
            <w:r>
              <w:rPr>
                <w:b/>
                <w:spacing w:val="-2"/>
                <w:sz w:val="18"/>
              </w:rPr>
              <w:t>Riesgos </w:t>
            </w:r>
            <w:r>
              <w:rPr>
                <w:b/>
                <w:sz w:val="18"/>
              </w:rPr>
              <w:t>asociados al </w:t>
            </w:r>
            <w:r>
              <w:rPr>
                <w:b/>
                <w:spacing w:val="-2"/>
                <w:sz w:val="18"/>
              </w:rPr>
              <w:t>cumplimiento</w:t>
            </w:r>
          </w:p>
        </w:tc>
      </w:tr>
      <w:tr>
        <w:trPr>
          <w:trHeight w:val="2563" w:hRule="atLeast"/>
        </w:trPr>
        <w:tc>
          <w:tcPr>
            <w:tcW w:w="2972" w:type="dxa"/>
            <w:tcBorders>
              <w:top w:val="nil"/>
            </w:tcBorders>
          </w:tcPr>
          <w:p>
            <w:pPr>
              <w:pStyle w:val="TableParagraph"/>
              <w:spacing w:before="13"/>
              <w:ind w:left="72" w:right="141"/>
              <w:rPr>
                <w:sz w:val="18"/>
              </w:rPr>
            </w:pPr>
            <w:r>
              <w:rPr>
                <w:sz w:val="18"/>
              </w:rPr>
              <w:t>otras obras, 1.08.04 Mantenimiento y reparación de maquinaria</w:t>
            </w:r>
            <w:r>
              <w:rPr>
                <w:spacing w:val="-10"/>
                <w:sz w:val="18"/>
              </w:rPr>
              <w:t> </w:t>
            </w:r>
            <w:r>
              <w:rPr>
                <w:sz w:val="18"/>
              </w:rPr>
              <w:t>y</w:t>
            </w:r>
            <w:r>
              <w:rPr>
                <w:spacing w:val="-13"/>
                <w:sz w:val="18"/>
              </w:rPr>
              <w:t> </w:t>
            </w:r>
            <w:r>
              <w:rPr>
                <w:sz w:val="18"/>
              </w:rPr>
              <w:t>equipo</w:t>
            </w:r>
            <w:r>
              <w:rPr>
                <w:spacing w:val="-12"/>
                <w:sz w:val="18"/>
              </w:rPr>
              <w:t> </w:t>
            </w:r>
            <w:r>
              <w:rPr>
                <w:sz w:val="18"/>
              </w:rPr>
              <w:t>producción.</w:t>
            </w:r>
          </w:p>
          <w:p>
            <w:pPr>
              <w:pStyle w:val="TableParagraph"/>
              <w:ind w:left="72" w:right="105"/>
              <w:rPr>
                <w:sz w:val="18"/>
              </w:rPr>
            </w:pPr>
            <w:r>
              <w:rPr>
                <w:sz w:val="18"/>
              </w:rPr>
              <w:t>1.08.06</w:t>
            </w:r>
            <w:r>
              <w:rPr>
                <w:spacing w:val="-12"/>
                <w:sz w:val="18"/>
              </w:rPr>
              <w:t> </w:t>
            </w:r>
            <w:r>
              <w:rPr>
                <w:sz w:val="18"/>
              </w:rPr>
              <w:t>Mantenimiento</w:t>
            </w:r>
            <w:r>
              <w:rPr>
                <w:spacing w:val="-9"/>
                <w:sz w:val="18"/>
              </w:rPr>
              <w:t> </w:t>
            </w:r>
            <w:r>
              <w:rPr>
                <w:sz w:val="18"/>
              </w:rPr>
              <w:t>de</w:t>
            </w:r>
            <w:r>
              <w:rPr>
                <w:spacing w:val="-12"/>
                <w:sz w:val="18"/>
              </w:rPr>
              <w:t> </w:t>
            </w:r>
            <w:r>
              <w:rPr>
                <w:sz w:val="18"/>
              </w:rPr>
              <w:t>equipo de comunicación. 1.08.07 Mantenimiento y reparación de equipo y mobiliario de oficina.</w:t>
            </w:r>
          </w:p>
          <w:p>
            <w:pPr>
              <w:pStyle w:val="TableParagraph"/>
              <w:ind w:left="72" w:right="62"/>
              <w:rPr>
                <w:sz w:val="18"/>
              </w:rPr>
            </w:pPr>
            <w:r>
              <w:rPr>
                <w:sz w:val="18"/>
              </w:rPr>
              <w:t>1.08.08 Mantenimiento y reparación</w:t>
            </w:r>
            <w:r>
              <w:rPr>
                <w:spacing w:val="-9"/>
                <w:sz w:val="18"/>
              </w:rPr>
              <w:t> </w:t>
            </w:r>
            <w:r>
              <w:rPr>
                <w:sz w:val="18"/>
              </w:rPr>
              <w:t>de</w:t>
            </w:r>
            <w:r>
              <w:rPr>
                <w:spacing w:val="-5"/>
                <w:sz w:val="18"/>
              </w:rPr>
              <w:t> </w:t>
            </w:r>
            <w:r>
              <w:rPr>
                <w:sz w:val="18"/>
              </w:rPr>
              <w:t>equipo</w:t>
            </w:r>
            <w:r>
              <w:rPr>
                <w:spacing w:val="-6"/>
                <w:sz w:val="18"/>
              </w:rPr>
              <w:t> </w:t>
            </w:r>
            <w:r>
              <w:rPr>
                <w:sz w:val="18"/>
              </w:rPr>
              <w:t>de</w:t>
            </w:r>
            <w:r>
              <w:rPr>
                <w:spacing w:val="-5"/>
                <w:sz w:val="18"/>
              </w:rPr>
              <w:t> </w:t>
            </w:r>
            <w:r>
              <w:rPr>
                <w:sz w:val="18"/>
              </w:rPr>
              <w:t>cómputo</w:t>
            </w:r>
            <w:r>
              <w:rPr>
                <w:spacing w:val="-9"/>
                <w:sz w:val="18"/>
              </w:rPr>
              <w:t> </w:t>
            </w:r>
            <w:r>
              <w:rPr>
                <w:sz w:val="18"/>
              </w:rPr>
              <w:t>y sistemas de Información. 1.08.99 Mantenimiento y reparación de otros equipos.</w:t>
            </w:r>
          </w:p>
        </w:tc>
        <w:tc>
          <w:tcPr>
            <w:tcW w:w="1560" w:type="dxa"/>
            <w:tcBorders>
              <w:top w:val="nil"/>
            </w:tcBorders>
          </w:tcPr>
          <w:p>
            <w:pPr>
              <w:pStyle w:val="TableParagraph"/>
              <w:rPr>
                <w:rFonts w:ascii="Times New Roman"/>
                <w:sz w:val="18"/>
              </w:rPr>
            </w:pPr>
          </w:p>
        </w:tc>
        <w:tc>
          <w:tcPr>
            <w:tcW w:w="1560" w:type="dxa"/>
            <w:tcBorders>
              <w:top w:val="nil"/>
            </w:tcBorders>
          </w:tcPr>
          <w:p>
            <w:pPr>
              <w:pStyle w:val="TableParagraph"/>
              <w:rPr>
                <w:rFonts w:ascii="Times New Roman"/>
                <w:sz w:val="18"/>
              </w:rPr>
            </w:pPr>
          </w:p>
        </w:tc>
        <w:tc>
          <w:tcPr>
            <w:tcW w:w="1982" w:type="dxa"/>
            <w:tcBorders>
              <w:top w:val="nil"/>
            </w:tcBorders>
          </w:tcPr>
          <w:p>
            <w:pPr>
              <w:pStyle w:val="TableParagraph"/>
              <w:rPr>
                <w:rFonts w:ascii="Times New Roman"/>
                <w:sz w:val="18"/>
              </w:rPr>
            </w:pPr>
          </w:p>
        </w:tc>
        <w:tc>
          <w:tcPr>
            <w:tcW w:w="1560" w:type="dxa"/>
            <w:tcBorders>
              <w:top w:val="nil"/>
            </w:tcBorders>
          </w:tcPr>
          <w:p>
            <w:pPr>
              <w:pStyle w:val="TableParagraph"/>
              <w:rPr>
                <w:rFonts w:ascii="Times New Roman"/>
                <w:sz w:val="18"/>
              </w:rPr>
            </w:pPr>
          </w:p>
        </w:tc>
        <w:tc>
          <w:tcPr>
            <w:tcW w:w="1416" w:type="dxa"/>
            <w:tcBorders>
              <w:top w:val="nil"/>
            </w:tcBorders>
          </w:tcPr>
          <w:p>
            <w:pPr>
              <w:pStyle w:val="TableParagraph"/>
              <w:rPr>
                <w:rFonts w:ascii="Times New Roman"/>
                <w:sz w:val="18"/>
              </w:rPr>
            </w:pPr>
          </w:p>
        </w:tc>
        <w:tc>
          <w:tcPr>
            <w:tcW w:w="1651" w:type="dxa"/>
            <w:tcBorders>
              <w:top w:val="nil"/>
            </w:tcBorders>
          </w:tcPr>
          <w:p>
            <w:pPr>
              <w:pStyle w:val="TableParagraph"/>
              <w:rPr>
                <w:rFonts w:ascii="Times New Roman"/>
                <w:sz w:val="18"/>
              </w:rPr>
            </w:pPr>
          </w:p>
        </w:tc>
        <w:tc>
          <w:tcPr>
            <w:tcW w:w="1546" w:type="dxa"/>
            <w:tcBorders>
              <w:top w:val="nil"/>
            </w:tcBorders>
          </w:tcPr>
          <w:p>
            <w:pPr>
              <w:pStyle w:val="TableParagraph"/>
              <w:rPr>
                <w:rFonts w:ascii="Times New Roman"/>
                <w:sz w:val="18"/>
              </w:rPr>
            </w:pPr>
          </w:p>
        </w:tc>
      </w:tr>
      <w:tr>
        <w:trPr>
          <w:trHeight w:val="763" w:hRule="atLeast"/>
        </w:trPr>
        <w:tc>
          <w:tcPr>
            <w:tcW w:w="14247" w:type="dxa"/>
            <w:gridSpan w:val="8"/>
            <w:shd w:val="clear" w:color="auto" w:fill="EFF8F9"/>
          </w:tcPr>
          <w:p>
            <w:pPr>
              <w:pStyle w:val="TableParagraph"/>
              <w:spacing w:line="244" w:lineRule="auto" w:before="172"/>
              <w:ind w:left="72"/>
              <w:rPr>
                <w:b/>
                <w:sz w:val="18"/>
              </w:rPr>
            </w:pPr>
            <w:r>
              <w:rPr>
                <w:b/>
                <w:sz w:val="18"/>
              </w:rPr>
              <w:t>Producto</w:t>
            </w:r>
            <w:r>
              <w:rPr>
                <w:b/>
                <w:spacing w:val="-3"/>
                <w:sz w:val="18"/>
              </w:rPr>
              <w:t> </w:t>
            </w:r>
            <w:r>
              <w:rPr>
                <w:b/>
                <w:sz w:val="18"/>
              </w:rPr>
              <w:t>PPPS</w:t>
            </w:r>
            <w:r>
              <w:rPr>
                <w:b/>
                <w:spacing w:val="-3"/>
                <w:sz w:val="18"/>
              </w:rPr>
              <w:t> </w:t>
            </w:r>
            <w:r>
              <w:rPr>
                <w:b/>
                <w:sz w:val="18"/>
              </w:rPr>
              <w:t>1.4:</w:t>
            </w:r>
            <w:r>
              <w:rPr>
                <w:b/>
                <w:spacing w:val="40"/>
                <w:sz w:val="18"/>
              </w:rPr>
              <w:t> </w:t>
            </w:r>
            <w:r>
              <w:rPr>
                <w:b/>
                <w:sz w:val="18"/>
              </w:rPr>
              <w:t>Mejora</w:t>
            </w:r>
            <w:r>
              <w:rPr>
                <w:b/>
                <w:spacing w:val="-2"/>
                <w:sz w:val="18"/>
              </w:rPr>
              <w:t> </w:t>
            </w:r>
            <w:r>
              <w:rPr>
                <w:b/>
                <w:sz w:val="18"/>
              </w:rPr>
              <w:t>en</w:t>
            </w:r>
            <w:r>
              <w:rPr>
                <w:b/>
                <w:spacing w:val="-3"/>
                <w:sz w:val="18"/>
              </w:rPr>
              <w:t> </w:t>
            </w:r>
            <w:r>
              <w:rPr>
                <w:b/>
                <w:sz w:val="18"/>
              </w:rPr>
              <w:t>la</w:t>
            </w:r>
            <w:r>
              <w:rPr>
                <w:b/>
                <w:spacing w:val="-2"/>
                <w:sz w:val="18"/>
              </w:rPr>
              <w:t> </w:t>
            </w:r>
            <w:r>
              <w:rPr>
                <w:b/>
                <w:sz w:val="18"/>
              </w:rPr>
              <w:t>atención</w:t>
            </w:r>
            <w:r>
              <w:rPr>
                <w:b/>
                <w:spacing w:val="-3"/>
                <w:sz w:val="18"/>
              </w:rPr>
              <w:t> </w:t>
            </w:r>
            <w:r>
              <w:rPr>
                <w:b/>
                <w:sz w:val="18"/>
              </w:rPr>
              <w:t>de</w:t>
            </w:r>
            <w:r>
              <w:rPr>
                <w:b/>
                <w:spacing w:val="-2"/>
                <w:sz w:val="18"/>
              </w:rPr>
              <w:t> </w:t>
            </w:r>
            <w:r>
              <w:rPr>
                <w:b/>
                <w:sz w:val="18"/>
              </w:rPr>
              <w:t>las</w:t>
            </w:r>
            <w:r>
              <w:rPr>
                <w:b/>
                <w:spacing w:val="-2"/>
                <w:sz w:val="18"/>
              </w:rPr>
              <w:t> </w:t>
            </w:r>
            <w:r>
              <w:rPr>
                <w:b/>
                <w:sz w:val="18"/>
              </w:rPr>
              <w:t>necesidades básicas de</w:t>
            </w:r>
            <w:r>
              <w:rPr>
                <w:b/>
                <w:spacing w:val="-7"/>
                <w:sz w:val="18"/>
              </w:rPr>
              <w:t> </w:t>
            </w:r>
            <w:r>
              <w:rPr>
                <w:b/>
                <w:sz w:val="18"/>
              </w:rPr>
              <w:t>los hogares en</w:t>
            </w:r>
            <w:r>
              <w:rPr>
                <w:b/>
                <w:spacing w:val="-3"/>
                <w:sz w:val="18"/>
              </w:rPr>
              <w:t> </w:t>
            </w:r>
            <w:r>
              <w:rPr>
                <w:b/>
                <w:sz w:val="18"/>
              </w:rPr>
              <w:t>situación</w:t>
            </w:r>
            <w:r>
              <w:rPr>
                <w:b/>
                <w:spacing w:val="-3"/>
                <w:sz w:val="18"/>
              </w:rPr>
              <w:t> </w:t>
            </w:r>
            <w:r>
              <w:rPr>
                <w:b/>
                <w:sz w:val="18"/>
              </w:rPr>
              <w:t>de</w:t>
            </w:r>
            <w:r>
              <w:rPr>
                <w:b/>
                <w:spacing w:val="-2"/>
                <w:sz w:val="18"/>
              </w:rPr>
              <w:t> </w:t>
            </w:r>
            <w:r>
              <w:rPr>
                <w:b/>
                <w:sz w:val="18"/>
              </w:rPr>
              <w:t>pobreza</w:t>
            </w:r>
            <w:r>
              <w:rPr>
                <w:b/>
                <w:spacing w:val="-2"/>
                <w:sz w:val="18"/>
              </w:rPr>
              <w:t> </w:t>
            </w:r>
            <w:r>
              <w:rPr>
                <w:b/>
                <w:sz w:val="18"/>
              </w:rPr>
              <w:t>mediante el acceso</w:t>
            </w:r>
            <w:r>
              <w:rPr>
                <w:b/>
                <w:spacing w:val="-3"/>
                <w:sz w:val="18"/>
              </w:rPr>
              <w:t> </w:t>
            </w:r>
            <w:r>
              <w:rPr>
                <w:b/>
                <w:sz w:val="18"/>
              </w:rPr>
              <w:t>a</w:t>
            </w:r>
            <w:r>
              <w:rPr>
                <w:b/>
                <w:spacing w:val="-2"/>
                <w:sz w:val="18"/>
              </w:rPr>
              <w:t> </w:t>
            </w:r>
            <w:r>
              <w:rPr>
                <w:b/>
                <w:sz w:val="18"/>
              </w:rPr>
              <w:t>programas</w:t>
            </w:r>
            <w:r>
              <w:rPr>
                <w:b/>
                <w:spacing w:val="-2"/>
                <w:sz w:val="18"/>
              </w:rPr>
              <w:t> </w:t>
            </w:r>
            <w:r>
              <w:rPr>
                <w:b/>
                <w:sz w:val="18"/>
              </w:rPr>
              <w:t>sociales</w:t>
            </w:r>
            <w:r>
              <w:rPr>
                <w:b/>
                <w:spacing w:val="-2"/>
                <w:sz w:val="18"/>
              </w:rPr>
              <w:t> </w:t>
            </w:r>
            <w:r>
              <w:rPr>
                <w:b/>
                <w:sz w:val="18"/>
              </w:rPr>
              <w:t>articulados con énfasis en mujeres jefas de hogar, personas con discapacidad y otros grupos sociales en situación de pobreza.</w:t>
            </w:r>
          </w:p>
        </w:tc>
      </w:tr>
      <w:tr>
        <w:trPr>
          <w:trHeight w:val="3730" w:hRule="atLeast"/>
        </w:trPr>
        <w:tc>
          <w:tcPr>
            <w:tcW w:w="2972" w:type="dxa"/>
          </w:tcPr>
          <w:p>
            <w:pPr>
              <w:pStyle w:val="TableParagraph"/>
              <w:rPr>
                <w:b/>
                <w:sz w:val="18"/>
              </w:rPr>
            </w:pPr>
          </w:p>
          <w:p>
            <w:pPr>
              <w:pStyle w:val="TableParagraph"/>
              <w:rPr>
                <w:b/>
                <w:sz w:val="18"/>
              </w:rPr>
            </w:pPr>
          </w:p>
          <w:p>
            <w:pPr>
              <w:pStyle w:val="TableParagraph"/>
              <w:spacing w:before="103"/>
              <w:rPr>
                <w:b/>
                <w:sz w:val="18"/>
              </w:rPr>
            </w:pPr>
          </w:p>
          <w:p>
            <w:pPr>
              <w:pStyle w:val="TableParagraph"/>
              <w:spacing w:line="207"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1.4.1:</w:t>
            </w:r>
          </w:p>
          <w:p>
            <w:pPr>
              <w:pStyle w:val="TableParagraph"/>
              <w:ind w:left="72" w:right="141"/>
              <w:rPr>
                <w:sz w:val="18"/>
              </w:rPr>
            </w:pPr>
            <w:r>
              <w:rPr>
                <w:sz w:val="18"/>
              </w:rPr>
              <w:t>Atención de hogares en situación de pobreza mediante su incorporación en el Modelo de Intervención</w:t>
            </w:r>
            <w:r>
              <w:rPr>
                <w:spacing w:val="-13"/>
                <w:sz w:val="18"/>
              </w:rPr>
              <w:t> </w:t>
            </w:r>
            <w:r>
              <w:rPr>
                <w:sz w:val="18"/>
              </w:rPr>
              <w:t>Institucional</w:t>
            </w:r>
            <w:r>
              <w:rPr>
                <w:spacing w:val="-10"/>
                <w:sz w:val="18"/>
              </w:rPr>
              <w:t> </w:t>
            </w:r>
            <w:r>
              <w:rPr>
                <w:sz w:val="18"/>
              </w:rPr>
              <w:t>y</w:t>
            </w:r>
            <w:r>
              <w:rPr>
                <w:spacing w:val="-13"/>
                <w:sz w:val="18"/>
              </w:rPr>
              <w:t> </w:t>
            </w:r>
            <w:r>
              <w:rPr>
                <w:sz w:val="18"/>
              </w:rPr>
              <w:t>acceso a procesos de atención integral con un Plan de Ascenso y subsidios de capacitación y emprendimientos productivos individuales </w:t>
            </w:r>
            <w:r>
              <w:rPr>
                <w:b/>
                <w:sz w:val="18"/>
              </w:rPr>
              <w:t>(vinculada a PNDIP </w:t>
            </w:r>
            <w:r>
              <w:rPr>
                <w:b/>
                <w:spacing w:val="-2"/>
                <w:sz w:val="18"/>
              </w:rPr>
              <w:t>A.3)</w:t>
            </w:r>
            <w:r>
              <w:rPr>
                <w:spacing w:val="-2"/>
                <w:sz w:val="18"/>
              </w:rPr>
              <w:t>.</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533"/>
              <w:rPr>
                <w:sz w:val="18"/>
              </w:rPr>
            </w:pPr>
            <w:r>
              <w:rPr>
                <w:spacing w:val="-2"/>
                <w:sz w:val="18"/>
              </w:rPr>
              <w:t>14151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21" w:right="14"/>
              <w:jc w:val="center"/>
              <w:rPr>
                <w:sz w:val="18"/>
              </w:rPr>
            </w:pPr>
            <w:r>
              <w:rPr>
                <w:spacing w:val="-4"/>
                <w:sz w:val="18"/>
              </w:rPr>
              <w:t>7000</w:t>
            </w:r>
          </w:p>
        </w:tc>
        <w:tc>
          <w:tcPr>
            <w:tcW w:w="1982" w:type="dxa"/>
          </w:tcPr>
          <w:p>
            <w:pPr>
              <w:pStyle w:val="TableParagraph"/>
              <w:rPr>
                <w:b/>
                <w:sz w:val="18"/>
              </w:rPr>
            </w:pPr>
          </w:p>
          <w:p>
            <w:pPr>
              <w:pStyle w:val="TableParagraph"/>
              <w:spacing w:before="103"/>
              <w:rPr>
                <w:b/>
                <w:sz w:val="18"/>
              </w:rPr>
            </w:pPr>
          </w:p>
          <w:p>
            <w:pPr>
              <w:pStyle w:val="TableParagraph"/>
              <w:ind w:left="68" w:right="154"/>
              <w:rPr>
                <w:sz w:val="18"/>
              </w:rPr>
            </w:pPr>
            <w:r>
              <w:rPr>
                <w:sz w:val="18"/>
              </w:rPr>
              <w:t>Cantidad de hogares en situación de pobreza</w:t>
            </w:r>
            <w:r>
              <w:rPr>
                <w:spacing w:val="-13"/>
                <w:sz w:val="18"/>
              </w:rPr>
              <w:t> </w:t>
            </w:r>
            <w:r>
              <w:rPr>
                <w:sz w:val="18"/>
              </w:rPr>
              <w:t>incorporados en el Modelo de </w:t>
            </w:r>
            <w:r>
              <w:rPr>
                <w:spacing w:val="-2"/>
                <w:sz w:val="18"/>
              </w:rPr>
              <w:t>Intervención </w:t>
            </w:r>
            <w:r>
              <w:rPr>
                <w:sz w:val="18"/>
              </w:rPr>
              <w:t>Institucional, con un Plan de Ascenso y subsidios de capacitación y </w:t>
            </w:r>
            <w:r>
              <w:rPr>
                <w:spacing w:val="-2"/>
                <w:sz w:val="18"/>
              </w:rPr>
              <w:t>emprendimientos productivos individuales asignados.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line="242" w:lineRule="auto"/>
              <w:ind w:left="73" w:right="108"/>
              <w:rPr>
                <w:sz w:val="18"/>
              </w:rPr>
            </w:pPr>
            <w:r>
              <w:rPr>
                <w:spacing w:val="-2"/>
                <w:sz w:val="18"/>
              </w:rPr>
              <w:t>Reportes </w:t>
            </w:r>
            <w:r>
              <w:rPr>
                <w:sz w:val="18"/>
              </w:rPr>
              <w:t>emitidos por la Dirección de Desarrollo</w:t>
            </w:r>
            <w:r>
              <w:rPr>
                <w:spacing w:val="-13"/>
                <w:sz w:val="18"/>
              </w:rPr>
              <w:t> </w:t>
            </w:r>
            <w:r>
              <w:rPr>
                <w:sz w:val="18"/>
              </w:rPr>
              <w:t>Social</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17" w:right="12"/>
              <w:jc w:val="center"/>
              <w:rPr>
                <w:sz w:val="18"/>
              </w:rPr>
            </w:pPr>
            <w:r>
              <w:rPr>
                <w:spacing w:val="-5"/>
                <w:sz w:val="18"/>
              </w:rPr>
              <w:t>DDS</w:t>
            </w:r>
          </w:p>
        </w:tc>
        <w:tc>
          <w:tcPr>
            <w:tcW w:w="1651" w:type="dxa"/>
          </w:tcPr>
          <w:p>
            <w:pPr>
              <w:pStyle w:val="TableParagraph"/>
              <w:rPr>
                <w:rFonts w:ascii="Times New Roman"/>
                <w:sz w:val="18"/>
              </w:rPr>
            </w:pPr>
          </w:p>
        </w:tc>
        <w:tc>
          <w:tcPr>
            <w:tcW w:w="1546" w:type="dxa"/>
          </w:tcPr>
          <w:p>
            <w:pPr>
              <w:pStyle w:val="TableParagraph"/>
              <w:numPr>
                <w:ilvl w:val="0"/>
                <w:numId w:val="35"/>
              </w:numPr>
              <w:tabs>
                <w:tab w:pos="131" w:val="left" w:leader="none"/>
              </w:tabs>
              <w:spacing w:line="240" w:lineRule="auto" w:before="0" w:after="0"/>
              <w:ind w:left="70" w:right="60" w:firstLine="0"/>
              <w:jc w:val="left"/>
              <w:rPr>
                <w:sz w:val="18"/>
              </w:rPr>
            </w:pPr>
            <w:r>
              <w:rPr>
                <w:spacing w:val="-2"/>
                <w:sz w:val="18"/>
              </w:rPr>
              <w:t>Limitada </w:t>
            </w:r>
            <w:r>
              <w:rPr>
                <w:sz w:val="18"/>
              </w:rPr>
              <w:t>efectividad en la </w:t>
            </w:r>
            <w:r>
              <w:rPr>
                <w:spacing w:val="-2"/>
                <w:sz w:val="18"/>
              </w:rPr>
              <w:t>articulación interinstitucional </w:t>
            </w:r>
            <w:r>
              <w:rPr>
                <w:sz w:val="18"/>
              </w:rPr>
              <w:t>que dificulta el cumplimiento del Plan de Ascenso e impide garantizar el acceso a una oferta de servicios y beneficios de protección y promoción social </w:t>
            </w:r>
            <w:r>
              <w:rPr>
                <w:spacing w:val="-2"/>
                <w:sz w:val="18"/>
              </w:rPr>
              <w:t>prioritaria, </w:t>
            </w:r>
            <w:r>
              <w:rPr>
                <w:sz w:val="18"/>
              </w:rPr>
              <w:t>oportuna,</w:t>
            </w:r>
            <w:r>
              <w:rPr>
                <w:spacing w:val="-13"/>
                <w:sz w:val="18"/>
              </w:rPr>
              <w:t> </w:t>
            </w:r>
            <w:r>
              <w:rPr>
                <w:sz w:val="18"/>
              </w:rPr>
              <w:t>integral</w:t>
            </w:r>
          </w:p>
          <w:p>
            <w:pPr>
              <w:pStyle w:val="TableParagraph"/>
              <w:spacing w:line="192" w:lineRule="exact"/>
              <w:ind w:left="70"/>
              <w:rPr>
                <w:sz w:val="18"/>
              </w:rPr>
            </w:pPr>
            <w:r>
              <w:rPr>
                <w:sz w:val="18"/>
              </w:rPr>
              <w:t>y</w:t>
            </w:r>
            <w:r>
              <w:rPr>
                <w:spacing w:val="3"/>
                <w:sz w:val="18"/>
              </w:rPr>
              <w:t> </w:t>
            </w:r>
            <w:r>
              <w:rPr>
                <w:sz w:val="18"/>
              </w:rPr>
              <w:t>de</w:t>
            </w:r>
            <w:r>
              <w:rPr>
                <w:spacing w:val="-3"/>
                <w:sz w:val="18"/>
              </w:rPr>
              <w:t> </w:t>
            </w:r>
            <w:r>
              <w:rPr>
                <w:spacing w:val="-2"/>
                <w:sz w:val="18"/>
              </w:rPr>
              <w:t>calidad.</w:t>
            </w:r>
          </w:p>
        </w:tc>
      </w:tr>
      <w:tr>
        <w:trPr>
          <w:trHeight w:val="493" w:hRule="atLeast"/>
        </w:trPr>
        <w:tc>
          <w:tcPr>
            <w:tcW w:w="14247" w:type="dxa"/>
            <w:gridSpan w:val="8"/>
            <w:shd w:val="clear" w:color="auto" w:fill="EFF8F9"/>
          </w:tcPr>
          <w:p>
            <w:pPr>
              <w:pStyle w:val="TableParagraph"/>
              <w:ind w:left="72" w:right="170"/>
              <w:rPr>
                <w:b/>
                <w:sz w:val="18"/>
              </w:rPr>
            </w:pPr>
            <w:r>
              <w:rPr>
                <w:b/>
                <w:sz w:val="18"/>
              </w:rPr>
              <w:t>Producto</w:t>
            </w:r>
            <w:r>
              <w:rPr>
                <w:b/>
                <w:spacing w:val="-4"/>
                <w:sz w:val="18"/>
              </w:rPr>
              <w:t> </w:t>
            </w:r>
            <w:r>
              <w:rPr>
                <w:b/>
                <w:sz w:val="18"/>
              </w:rPr>
              <w:t>PPPS</w:t>
            </w:r>
            <w:r>
              <w:rPr>
                <w:b/>
                <w:spacing w:val="-4"/>
                <w:sz w:val="18"/>
              </w:rPr>
              <w:t> </w:t>
            </w:r>
            <w:r>
              <w:rPr>
                <w:b/>
                <w:sz w:val="18"/>
              </w:rPr>
              <w:t>1.5:</w:t>
            </w:r>
            <w:r>
              <w:rPr>
                <w:b/>
                <w:spacing w:val="76"/>
                <w:w w:val="150"/>
                <w:sz w:val="18"/>
              </w:rPr>
              <w:t> </w:t>
            </w:r>
            <w:r>
              <w:rPr>
                <w:b/>
                <w:sz w:val="18"/>
              </w:rPr>
              <w:t>Fortalecer</w:t>
            </w:r>
            <w:r>
              <w:rPr>
                <w:b/>
                <w:spacing w:val="-6"/>
                <w:sz w:val="18"/>
              </w:rPr>
              <w:t> </w:t>
            </w:r>
            <w:r>
              <w:rPr>
                <w:b/>
                <w:sz w:val="18"/>
              </w:rPr>
              <w:t>la consolidación</w:t>
            </w:r>
            <w:r>
              <w:rPr>
                <w:b/>
                <w:spacing w:val="-4"/>
                <w:sz w:val="18"/>
              </w:rPr>
              <w:t> </w:t>
            </w:r>
            <w:r>
              <w:rPr>
                <w:b/>
                <w:sz w:val="18"/>
              </w:rPr>
              <w:t>del Sistema</w:t>
            </w:r>
            <w:r>
              <w:rPr>
                <w:b/>
                <w:spacing w:val="-3"/>
                <w:sz w:val="18"/>
              </w:rPr>
              <w:t> </w:t>
            </w:r>
            <w:r>
              <w:rPr>
                <w:b/>
                <w:sz w:val="18"/>
              </w:rPr>
              <w:t>Nacional</w:t>
            </w:r>
            <w:r>
              <w:rPr>
                <w:b/>
                <w:spacing w:val="-1"/>
                <w:sz w:val="18"/>
              </w:rPr>
              <w:t> </w:t>
            </w:r>
            <w:r>
              <w:rPr>
                <w:b/>
                <w:sz w:val="18"/>
              </w:rPr>
              <w:t>de</w:t>
            </w:r>
            <w:r>
              <w:rPr>
                <w:b/>
                <w:spacing w:val="-3"/>
                <w:sz w:val="18"/>
              </w:rPr>
              <w:t> </w:t>
            </w:r>
            <w:r>
              <w:rPr>
                <w:b/>
                <w:sz w:val="18"/>
              </w:rPr>
              <w:t>Cuidados</w:t>
            </w:r>
            <w:r>
              <w:rPr>
                <w:b/>
                <w:spacing w:val="-3"/>
                <w:sz w:val="18"/>
              </w:rPr>
              <w:t> </w:t>
            </w:r>
            <w:r>
              <w:rPr>
                <w:b/>
                <w:sz w:val="18"/>
              </w:rPr>
              <w:t>para</w:t>
            </w:r>
            <w:r>
              <w:rPr>
                <w:b/>
                <w:spacing w:val="-3"/>
                <w:sz w:val="18"/>
              </w:rPr>
              <w:t> </w:t>
            </w:r>
            <w:r>
              <w:rPr>
                <w:b/>
                <w:sz w:val="18"/>
              </w:rPr>
              <w:t>Personas</w:t>
            </w:r>
            <w:r>
              <w:rPr>
                <w:b/>
                <w:spacing w:val="-3"/>
                <w:sz w:val="18"/>
              </w:rPr>
              <w:t> </w:t>
            </w:r>
            <w:r>
              <w:rPr>
                <w:b/>
                <w:sz w:val="18"/>
              </w:rPr>
              <w:t>de</w:t>
            </w:r>
            <w:r>
              <w:rPr>
                <w:b/>
                <w:spacing w:val="-3"/>
                <w:sz w:val="18"/>
              </w:rPr>
              <w:t> </w:t>
            </w:r>
            <w:r>
              <w:rPr>
                <w:b/>
                <w:sz w:val="18"/>
              </w:rPr>
              <w:t>18 años</w:t>
            </w:r>
            <w:r>
              <w:rPr>
                <w:b/>
                <w:spacing w:val="-3"/>
                <w:sz w:val="18"/>
              </w:rPr>
              <w:t> </w:t>
            </w:r>
            <w:r>
              <w:rPr>
                <w:b/>
                <w:sz w:val="18"/>
              </w:rPr>
              <w:t>y</w:t>
            </w:r>
            <w:r>
              <w:rPr>
                <w:b/>
                <w:spacing w:val="-3"/>
                <w:sz w:val="18"/>
              </w:rPr>
              <w:t> </w:t>
            </w:r>
            <w:r>
              <w:rPr>
                <w:b/>
                <w:sz w:val="18"/>
              </w:rPr>
              <w:t>más, Personas</w:t>
            </w:r>
            <w:r>
              <w:rPr>
                <w:b/>
                <w:spacing w:val="-3"/>
                <w:sz w:val="18"/>
              </w:rPr>
              <w:t> </w:t>
            </w:r>
            <w:r>
              <w:rPr>
                <w:b/>
                <w:sz w:val="18"/>
              </w:rPr>
              <w:t>Adultas</w:t>
            </w:r>
            <w:r>
              <w:rPr>
                <w:b/>
                <w:spacing w:val="-8"/>
                <w:sz w:val="18"/>
              </w:rPr>
              <w:t> </w:t>
            </w:r>
            <w:r>
              <w:rPr>
                <w:b/>
                <w:sz w:val="18"/>
              </w:rPr>
              <w:t>Mayores,</w:t>
            </w:r>
            <w:r>
              <w:rPr>
                <w:b/>
                <w:spacing w:val="-1"/>
                <w:sz w:val="18"/>
              </w:rPr>
              <w:t> </w:t>
            </w:r>
            <w:r>
              <w:rPr>
                <w:b/>
                <w:sz w:val="18"/>
              </w:rPr>
              <w:t>con</w:t>
            </w:r>
            <w:r>
              <w:rPr>
                <w:b/>
                <w:spacing w:val="-4"/>
                <w:sz w:val="18"/>
              </w:rPr>
              <w:t> </w:t>
            </w:r>
            <w:r>
              <w:rPr>
                <w:b/>
                <w:sz w:val="18"/>
              </w:rPr>
              <w:t>discapacidad o en Situación de Dependencia, para atender las necesidades básicas y específicas a nivel nacional.</w:t>
            </w:r>
          </w:p>
        </w:tc>
      </w:tr>
    </w:tbl>
    <w:p>
      <w:pPr>
        <w:pStyle w:val="TableParagraph"/>
        <w:spacing w:after="0"/>
        <w:rPr>
          <w:b/>
          <w:sz w:val="18"/>
        </w:rPr>
        <w:sectPr>
          <w:type w:val="continuous"/>
          <w:pgSz w:w="15840" w:h="12240" w:orient="landscape"/>
          <w:pgMar w:header="0" w:footer="1806" w:top="700" w:bottom="3012"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51"/>
        <w:gridCol w:w="1546"/>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51" w:type="dxa"/>
            <w:shd w:val="clear" w:color="auto" w:fill="D9D9D9"/>
          </w:tcPr>
          <w:p>
            <w:pPr>
              <w:pStyle w:val="TableParagraph"/>
              <w:spacing w:before="104"/>
              <w:ind w:left="430" w:hanging="120"/>
              <w:rPr>
                <w:b/>
                <w:sz w:val="18"/>
              </w:rPr>
            </w:pPr>
            <w:r>
              <w:rPr>
                <w:b/>
                <w:spacing w:val="-2"/>
                <w:sz w:val="18"/>
              </w:rPr>
              <w:t>Presupuesto asignado</w:t>
            </w:r>
          </w:p>
        </w:tc>
        <w:tc>
          <w:tcPr>
            <w:tcW w:w="1546" w:type="dxa"/>
            <w:shd w:val="clear" w:color="auto" w:fill="D9D9D9"/>
          </w:tcPr>
          <w:p>
            <w:pPr>
              <w:pStyle w:val="TableParagraph"/>
              <w:spacing w:line="206" w:lineRule="exact"/>
              <w:ind w:left="14"/>
              <w:jc w:val="center"/>
              <w:rPr>
                <w:b/>
                <w:sz w:val="18"/>
              </w:rPr>
            </w:pPr>
            <w:r>
              <w:rPr>
                <w:b/>
                <w:spacing w:val="-2"/>
                <w:sz w:val="18"/>
              </w:rPr>
              <w:t>Riesgos </w:t>
            </w:r>
            <w:r>
              <w:rPr>
                <w:b/>
                <w:sz w:val="18"/>
              </w:rPr>
              <w:t>asociados al </w:t>
            </w:r>
            <w:r>
              <w:rPr>
                <w:b/>
                <w:spacing w:val="-2"/>
                <w:sz w:val="18"/>
              </w:rPr>
              <w:t>cumplimiento</w:t>
            </w:r>
          </w:p>
        </w:tc>
      </w:tr>
      <w:tr>
        <w:trPr>
          <w:trHeight w:val="4969" w:hRule="atLeast"/>
        </w:trPr>
        <w:tc>
          <w:tcPr>
            <w:tcW w:w="2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spacing w:line="207"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1.5.1:</w:t>
            </w:r>
          </w:p>
          <w:p>
            <w:pPr>
              <w:pStyle w:val="TableParagraph"/>
              <w:spacing w:line="242" w:lineRule="auto"/>
              <w:ind w:left="72" w:right="60"/>
              <w:rPr>
                <w:b/>
                <w:i/>
                <w:sz w:val="18"/>
              </w:rPr>
            </w:pPr>
            <w:r>
              <w:rPr>
                <w:sz w:val="18"/>
              </w:rPr>
              <w:t>Atención</w:t>
            </w:r>
            <w:r>
              <w:rPr>
                <w:spacing w:val="-4"/>
                <w:sz w:val="18"/>
              </w:rPr>
              <w:t> </w:t>
            </w:r>
            <w:r>
              <w:rPr>
                <w:sz w:val="18"/>
              </w:rPr>
              <w:t>de</w:t>
            </w:r>
            <w:r>
              <w:rPr>
                <w:spacing w:val="-4"/>
                <w:sz w:val="18"/>
              </w:rPr>
              <w:t> </w:t>
            </w:r>
            <w:r>
              <w:rPr>
                <w:sz w:val="18"/>
              </w:rPr>
              <w:t>personas</w:t>
            </w:r>
            <w:r>
              <w:rPr>
                <w:spacing w:val="-4"/>
                <w:sz w:val="18"/>
              </w:rPr>
              <w:t> </w:t>
            </w:r>
            <w:r>
              <w:rPr>
                <w:sz w:val="18"/>
              </w:rPr>
              <w:t>en</w:t>
            </w:r>
            <w:r>
              <w:rPr>
                <w:spacing w:val="-4"/>
                <w:sz w:val="18"/>
              </w:rPr>
              <w:t> </w:t>
            </w:r>
            <w:r>
              <w:rPr>
                <w:sz w:val="18"/>
              </w:rPr>
              <w:t>condición de</w:t>
            </w:r>
            <w:r>
              <w:rPr>
                <w:spacing w:val="-9"/>
                <w:sz w:val="18"/>
              </w:rPr>
              <w:t> </w:t>
            </w:r>
            <w:r>
              <w:rPr>
                <w:sz w:val="18"/>
              </w:rPr>
              <w:t>dependencia</w:t>
            </w:r>
            <w:r>
              <w:rPr>
                <w:spacing w:val="-13"/>
                <w:sz w:val="18"/>
              </w:rPr>
              <w:t> </w:t>
            </w:r>
            <w:r>
              <w:rPr>
                <w:sz w:val="18"/>
              </w:rPr>
              <w:t>mediante</w:t>
            </w:r>
            <w:r>
              <w:rPr>
                <w:spacing w:val="-11"/>
                <w:sz w:val="18"/>
              </w:rPr>
              <w:t> </w:t>
            </w:r>
            <w:r>
              <w:rPr>
                <w:sz w:val="18"/>
              </w:rPr>
              <w:t>servicios y apoyos estatales </w:t>
            </w:r>
            <w:r>
              <w:rPr>
                <w:b/>
                <w:i/>
                <w:sz w:val="18"/>
              </w:rPr>
              <w:t>(vinculada a</w:t>
            </w:r>
            <w:r>
              <w:rPr>
                <w:b/>
                <w:i/>
                <w:sz w:val="18"/>
              </w:rPr>
              <w:t> PNDIP Indicador Sectorial).</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spacing w:before="1"/>
              <w:ind w:left="21" w:right="6"/>
              <w:jc w:val="center"/>
              <w:rPr>
                <w:sz w:val="18"/>
              </w:rPr>
            </w:pPr>
            <w:r>
              <w:rPr>
                <w:spacing w:val="-4"/>
                <w:sz w:val="18"/>
              </w:rPr>
              <w:t>3999</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spacing w:before="1"/>
              <w:ind w:left="21" w:right="14"/>
              <w:jc w:val="center"/>
              <w:rPr>
                <w:sz w:val="18"/>
              </w:rPr>
            </w:pPr>
            <w:r>
              <w:rPr>
                <w:spacing w:val="-4"/>
                <w:sz w:val="18"/>
              </w:rPr>
              <w:t>7160</w:t>
            </w:r>
          </w:p>
        </w:tc>
        <w:tc>
          <w:tcPr>
            <w:tcW w:w="19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68" w:right="114"/>
              <w:rPr>
                <w:sz w:val="18"/>
              </w:rPr>
            </w:pPr>
            <w:r>
              <w:rPr>
                <w:sz w:val="18"/>
              </w:rPr>
              <w:t>Número de personas en situación de dependencia que cuentan</w:t>
            </w:r>
            <w:r>
              <w:rPr>
                <w:spacing w:val="-11"/>
                <w:sz w:val="18"/>
              </w:rPr>
              <w:t> </w:t>
            </w:r>
            <w:r>
              <w:rPr>
                <w:sz w:val="18"/>
              </w:rPr>
              <w:t>con</w:t>
            </w:r>
            <w:r>
              <w:rPr>
                <w:spacing w:val="-10"/>
                <w:sz w:val="18"/>
              </w:rPr>
              <w:t> </w:t>
            </w:r>
            <w:r>
              <w:rPr>
                <w:sz w:val="18"/>
              </w:rPr>
              <w:t>al</w:t>
            </w:r>
            <w:r>
              <w:rPr>
                <w:spacing w:val="-13"/>
                <w:sz w:val="18"/>
              </w:rPr>
              <w:t> </w:t>
            </w:r>
            <w:r>
              <w:rPr>
                <w:sz w:val="18"/>
              </w:rPr>
              <w:t>menos un servicio o apoyo estatal registrado en SINIRUBE</w:t>
            </w:r>
            <w:r>
              <w:rPr>
                <w:spacing w:val="-12"/>
                <w:sz w:val="18"/>
              </w:rPr>
              <w:t> </w:t>
            </w:r>
            <w:r>
              <w:rPr>
                <w:sz w:val="18"/>
              </w:rPr>
              <w:t>y</w:t>
            </w:r>
            <w:r>
              <w:rPr>
                <w:spacing w:val="-11"/>
                <w:sz w:val="18"/>
              </w:rPr>
              <w:t> </w:t>
            </w:r>
            <w:r>
              <w:rPr>
                <w:sz w:val="18"/>
              </w:rPr>
              <w:t>sistemas de información social del IMAS.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73" w:right="58"/>
              <w:rPr>
                <w:sz w:val="18"/>
              </w:rPr>
            </w:pPr>
            <w:r>
              <w:rPr>
                <w:spacing w:val="-2"/>
                <w:sz w:val="18"/>
              </w:rPr>
              <w:t>Reportes</w:t>
            </w:r>
            <w:r>
              <w:rPr>
                <w:spacing w:val="40"/>
                <w:sz w:val="18"/>
              </w:rPr>
              <w:t> </w:t>
            </w:r>
            <w:r>
              <w:rPr>
                <w:sz w:val="18"/>
              </w:rPr>
              <w:t>emitidos por el Departamento</w:t>
            </w:r>
            <w:r>
              <w:rPr>
                <w:spacing w:val="-13"/>
                <w:sz w:val="18"/>
              </w:rPr>
              <w:t> </w:t>
            </w:r>
            <w:r>
              <w:rPr>
                <w:sz w:val="18"/>
              </w:rPr>
              <w:t>de Sistemas de </w:t>
            </w:r>
            <w:r>
              <w:rPr>
                <w:spacing w:val="-2"/>
                <w:sz w:val="18"/>
              </w:rPr>
              <w:t>Información </w:t>
            </w:r>
            <w:r>
              <w:rPr>
                <w:sz w:val="18"/>
              </w:rPr>
              <w:t>Social, la secretaria</w:t>
            </w:r>
            <w:r>
              <w:rPr>
                <w:spacing w:val="-13"/>
                <w:sz w:val="18"/>
              </w:rPr>
              <w:t> </w:t>
            </w:r>
            <w:r>
              <w:rPr>
                <w:sz w:val="18"/>
              </w:rPr>
              <w:t>técnica del SINCA y </w:t>
            </w:r>
            <w:r>
              <w:rPr>
                <w:spacing w:val="-2"/>
                <w:sz w:val="18"/>
              </w:rPr>
              <w:t>SINIRUBE.</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spacing w:before="1"/>
              <w:ind w:left="17" w:right="15"/>
              <w:jc w:val="center"/>
              <w:rPr>
                <w:sz w:val="18"/>
              </w:rPr>
            </w:pPr>
            <w:r>
              <w:rPr>
                <w:spacing w:val="-2"/>
                <w:sz w:val="18"/>
              </w:rPr>
              <w:t>DASAI</w:t>
            </w:r>
          </w:p>
        </w:tc>
        <w:tc>
          <w:tcPr>
            <w:tcW w:w="1651" w:type="dxa"/>
          </w:tcPr>
          <w:p>
            <w:pPr>
              <w:pStyle w:val="TableParagraph"/>
              <w:rPr>
                <w:rFonts w:ascii="Times New Roman"/>
                <w:sz w:val="18"/>
              </w:rPr>
            </w:pPr>
          </w:p>
        </w:tc>
        <w:tc>
          <w:tcPr>
            <w:tcW w:w="1546" w:type="dxa"/>
          </w:tcPr>
          <w:p>
            <w:pPr>
              <w:pStyle w:val="TableParagraph"/>
              <w:spacing w:before="3"/>
              <w:ind w:left="70" w:right="68"/>
              <w:rPr>
                <w:sz w:val="18"/>
              </w:rPr>
            </w:pPr>
            <w:r>
              <w:rPr>
                <w:sz w:val="18"/>
              </w:rPr>
              <w:t>Errores en la identificación</w:t>
            </w:r>
            <w:r>
              <w:rPr>
                <w:spacing w:val="-13"/>
                <w:sz w:val="18"/>
              </w:rPr>
              <w:t> </w:t>
            </w:r>
            <w:r>
              <w:rPr>
                <w:sz w:val="18"/>
              </w:rPr>
              <w:t>de la población y definición del grado de </w:t>
            </w:r>
            <w:r>
              <w:rPr>
                <w:spacing w:val="-2"/>
                <w:sz w:val="18"/>
              </w:rPr>
              <w:t>dependencia.</w:t>
            </w:r>
          </w:p>
          <w:p>
            <w:pPr>
              <w:pStyle w:val="TableParagraph"/>
              <w:numPr>
                <w:ilvl w:val="0"/>
                <w:numId w:val="36"/>
              </w:numPr>
              <w:tabs>
                <w:tab w:pos="131" w:val="left" w:leader="none"/>
              </w:tabs>
              <w:spacing w:line="242" w:lineRule="auto" w:before="0" w:after="0"/>
              <w:ind w:left="70" w:right="238" w:firstLine="0"/>
              <w:jc w:val="left"/>
              <w:rPr>
                <w:sz w:val="18"/>
              </w:rPr>
            </w:pPr>
            <w:r>
              <w:rPr>
                <w:sz w:val="18"/>
              </w:rPr>
              <w:t>Atraso en la instauración</w:t>
            </w:r>
            <w:r>
              <w:rPr>
                <w:spacing w:val="-13"/>
                <w:sz w:val="18"/>
              </w:rPr>
              <w:t> </w:t>
            </w:r>
            <w:r>
              <w:rPr>
                <w:sz w:val="18"/>
              </w:rPr>
              <w:t>en SINIRUBE del</w:t>
            </w:r>
          </w:p>
          <w:p>
            <w:pPr>
              <w:pStyle w:val="TableParagraph"/>
              <w:ind w:left="70"/>
              <w:rPr>
                <w:sz w:val="18"/>
              </w:rPr>
            </w:pPr>
            <w:r>
              <w:rPr>
                <w:spacing w:val="-2"/>
                <w:sz w:val="18"/>
              </w:rPr>
              <w:t>instrumento </w:t>
            </w:r>
            <w:r>
              <w:rPr>
                <w:sz w:val="18"/>
              </w:rPr>
              <w:t>aprobado en decretos</w:t>
            </w:r>
            <w:r>
              <w:rPr>
                <w:spacing w:val="-15"/>
                <w:sz w:val="18"/>
              </w:rPr>
              <w:t> </w:t>
            </w:r>
            <w:r>
              <w:rPr>
                <w:sz w:val="18"/>
              </w:rPr>
              <w:t>44242</w:t>
            </w:r>
            <w:r>
              <w:rPr>
                <w:spacing w:val="-12"/>
                <w:sz w:val="18"/>
              </w:rPr>
              <w:t> </w:t>
            </w:r>
            <w:r>
              <w:rPr>
                <w:sz w:val="18"/>
              </w:rPr>
              <w:t>y</w:t>
            </w:r>
          </w:p>
          <w:p>
            <w:pPr>
              <w:pStyle w:val="TableParagraph"/>
              <w:spacing w:line="205" w:lineRule="exact"/>
              <w:ind w:left="70"/>
              <w:rPr>
                <w:sz w:val="18"/>
              </w:rPr>
            </w:pPr>
            <w:r>
              <w:rPr>
                <w:spacing w:val="-2"/>
                <w:sz w:val="18"/>
              </w:rPr>
              <w:t>44243.</w:t>
            </w:r>
          </w:p>
          <w:p>
            <w:pPr>
              <w:pStyle w:val="TableParagraph"/>
              <w:numPr>
                <w:ilvl w:val="0"/>
                <w:numId w:val="36"/>
              </w:numPr>
              <w:tabs>
                <w:tab w:pos="131" w:val="left" w:leader="none"/>
              </w:tabs>
              <w:spacing w:line="240" w:lineRule="auto" w:before="0" w:after="0"/>
              <w:ind w:left="70" w:right="75" w:firstLine="0"/>
              <w:jc w:val="left"/>
              <w:rPr>
                <w:sz w:val="18"/>
              </w:rPr>
            </w:pPr>
            <w:r>
              <w:rPr>
                <w:sz w:val="18"/>
              </w:rPr>
              <w:t>No</w:t>
            </w:r>
            <w:r>
              <w:rPr>
                <w:spacing w:val="-13"/>
                <w:sz w:val="18"/>
              </w:rPr>
              <w:t> </w:t>
            </w:r>
            <w:r>
              <w:rPr>
                <w:sz w:val="18"/>
              </w:rPr>
              <w:t>identificación de la población en situación de dependencia y sus cuidadores para el </w:t>
            </w:r>
            <w:r>
              <w:rPr>
                <w:spacing w:val="-2"/>
                <w:sz w:val="18"/>
              </w:rPr>
              <w:t>otorgamiento subsidios, </w:t>
            </w:r>
            <w:r>
              <w:rPr>
                <w:sz w:val="18"/>
              </w:rPr>
              <w:t>beneficios y</w:t>
            </w:r>
          </w:p>
          <w:p>
            <w:pPr>
              <w:pStyle w:val="TableParagraph"/>
              <w:spacing w:line="206" w:lineRule="exact"/>
              <w:ind w:left="70"/>
              <w:rPr>
                <w:sz w:val="18"/>
              </w:rPr>
            </w:pPr>
            <w:r>
              <w:rPr>
                <w:spacing w:val="-2"/>
                <w:sz w:val="18"/>
              </w:rPr>
              <w:t>transferencias monetarias.</w:t>
            </w:r>
          </w:p>
        </w:tc>
      </w:tr>
      <w:tr>
        <w:trPr>
          <w:trHeight w:val="448" w:hRule="atLeast"/>
        </w:trPr>
        <w:tc>
          <w:tcPr>
            <w:tcW w:w="14247" w:type="dxa"/>
            <w:gridSpan w:val="8"/>
            <w:shd w:val="clear" w:color="auto" w:fill="EFF8F9"/>
          </w:tcPr>
          <w:p>
            <w:pPr>
              <w:pStyle w:val="TableParagraph"/>
              <w:spacing w:line="200" w:lineRule="atLeast" w:before="13"/>
              <w:ind w:left="72"/>
              <w:rPr>
                <w:b/>
                <w:sz w:val="18"/>
              </w:rPr>
            </w:pPr>
            <w:r>
              <w:rPr>
                <w:b/>
                <w:sz w:val="18"/>
              </w:rPr>
              <w:t>Producto</w:t>
            </w:r>
            <w:r>
              <w:rPr>
                <w:b/>
                <w:spacing w:val="-4"/>
                <w:sz w:val="18"/>
              </w:rPr>
              <w:t> </w:t>
            </w:r>
            <w:r>
              <w:rPr>
                <w:b/>
                <w:sz w:val="18"/>
              </w:rPr>
              <w:t>PPPS</w:t>
            </w:r>
            <w:r>
              <w:rPr>
                <w:b/>
                <w:spacing w:val="-4"/>
                <w:sz w:val="18"/>
              </w:rPr>
              <w:t> </w:t>
            </w:r>
            <w:r>
              <w:rPr>
                <w:b/>
                <w:sz w:val="18"/>
              </w:rPr>
              <w:t>1.6:</w:t>
            </w:r>
            <w:r>
              <w:rPr>
                <w:b/>
                <w:spacing w:val="40"/>
                <w:sz w:val="18"/>
              </w:rPr>
              <w:t> </w:t>
            </w:r>
            <w:r>
              <w:rPr>
                <w:b/>
                <w:sz w:val="18"/>
              </w:rPr>
              <w:t>Asignación</w:t>
            </w:r>
            <w:r>
              <w:rPr>
                <w:b/>
                <w:spacing w:val="-4"/>
                <w:sz w:val="18"/>
              </w:rPr>
              <w:t> </w:t>
            </w:r>
            <w:r>
              <w:rPr>
                <w:b/>
                <w:sz w:val="18"/>
              </w:rPr>
              <w:t>de</w:t>
            </w:r>
            <w:r>
              <w:rPr>
                <w:b/>
                <w:spacing w:val="-3"/>
                <w:sz w:val="18"/>
              </w:rPr>
              <w:t> </w:t>
            </w:r>
            <w:r>
              <w:rPr>
                <w:b/>
                <w:sz w:val="18"/>
              </w:rPr>
              <w:t>subsidios</w:t>
            </w:r>
            <w:r>
              <w:rPr>
                <w:b/>
                <w:spacing w:val="-3"/>
                <w:sz w:val="18"/>
              </w:rPr>
              <w:t> </w:t>
            </w:r>
            <w:r>
              <w:rPr>
                <w:b/>
                <w:sz w:val="18"/>
              </w:rPr>
              <w:t>de</w:t>
            </w:r>
            <w:r>
              <w:rPr>
                <w:b/>
                <w:spacing w:val="-3"/>
                <w:sz w:val="18"/>
              </w:rPr>
              <w:t> </w:t>
            </w:r>
            <w:r>
              <w:rPr>
                <w:b/>
                <w:sz w:val="18"/>
              </w:rPr>
              <w:t>protección y</w:t>
            </w:r>
            <w:r>
              <w:rPr>
                <w:b/>
                <w:spacing w:val="-3"/>
                <w:sz w:val="18"/>
              </w:rPr>
              <w:t> </w:t>
            </w:r>
            <w:r>
              <w:rPr>
                <w:b/>
                <w:sz w:val="18"/>
              </w:rPr>
              <w:t>promoción</w:t>
            </w:r>
            <w:r>
              <w:rPr>
                <w:b/>
                <w:spacing w:val="-4"/>
                <w:sz w:val="18"/>
              </w:rPr>
              <w:t> </w:t>
            </w:r>
            <w:r>
              <w:rPr>
                <w:b/>
                <w:sz w:val="18"/>
              </w:rPr>
              <w:t>social, que contribuyan a</w:t>
            </w:r>
            <w:r>
              <w:rPr>
                <w:b/>
                <w:spacing w:val="-8"/>
                <w:sz w:val="18"/>
              </w:rPr>
              <w:t> </w:t>
            </w:r>
            <w:r>
              <w:rPr>
                <w:b/>
                <w:sz w:val="18"/>
              </w:rPr>
              <w:t>la superación</w:t>
            </w:r>
            <w:r>
              <w:rPr>
                <w:b/>
                <w:spacing w:val="-8"/>
                <w:sz w:val="18"/>
              </w:rPr>
              <w:t> </w:t>
            </w:r>
            <w:r>
              <w:rPr>
                <w:b/>
                <w:sz w:val="18"/>
              </w:rPr>
              <w:t>de la pobreza</w:t>
            </w:r>
            <w:r>
              <w:rPr>
                <w:b/>
                <w:spacing w:val="-3"/>
                <w:sz w:val="18"/>
              </w:rPr>
              <w:t> </w:t>
            </w:r>
            <w:r>
              <w:rPr>
                <w:b/>
                <w:sz w:val="18"/>
              </w:rPr>
              <w:t>en</w:t>
            </w:r>
            <w:r>
              <w:rPr>
                <w:b/>
                <w:spacing w:val="-4"/>
                <w:sz w:val="18"/>
              </w:rPr>
              <w:t> </w:t>
            </w:r>
            <w:r>
              <w:rPr>
                <w:b/>
                <w:sz w:val="18"/>
              </w:rPr>
              <w:t>hogares</w:t>
            </w:r>
            <w:r>
              <w:rPr>
                <w:b/>
                <w:spacing w:val="-3"/>
                <w:sz w:val="18"/>
              </w:rPr>
              <w:t> </w:t>
            </w:r>
            <w:r>
              <w:rPr>
                <w:b/>
                <w:sz w:val="18"/>
              </w:rPr>
              <w:t>en dicha</w:t>
            </w:r>
            <w:r>
              <w:rPr>
                <w:b/>
                <w:spacing w:val="-3"/>
                <w:sz w:val="18"/>
              </w:rPr>
              <w:t> </w:t>
            </w:r>
            <w:r>
              <w:rPr>
                <w:b/>
                <w:sz w:val="18"/>
              </w:rPr>
              <w:t>situación</w:t>
            </w:r>
            <w:r>
              <w:rPr>
                <w:b/>
                <w:spacing w:val="-4"/>
                <w:sz w:val="18"/>
              </w:rPr>
              <w:t> </w:t>
            </w:r>
            <w:r>
              <w:rPr>
                <w:b/>
                <w:sz w:val="18"/>
              </w:rPr>
              <w:t>de </w:t>
            </w:r>
            <w:r>
              <w:rPr>
                <w:b/>
                <w:spacing w:val="-2"/>
                <w:sz w:val="18"/>
              </w:rPr>
              <w:t>pobreza.</w:t>
            </w:r>
          </w:p>
        </w:tc>
      </w:tr>
      <w:tr>
        <w:trPr>
          <w:trHeight w:val="2073" w:hRule="atLeast"/>
        </w:trPr>
        <w:tc>
          <w:tcPr>
            <w:tcW w:w="2972" w:type="dxa"/>
          </w:tcPr>
          <w:p>
            <w:pPr>
              <w:pStyle w:val="TableParagraph"/>
              <w:spacing w:before="103"/>
              <w:rPr>
                <w:b/>
                <w:sz w:val="18"/>
              </w:rPr>
            </w:pPr>
          </w:p>
          <w:p>
            <w:pPr>
              <w:pStyle w:val="TableParagraph"/>
              <w:spacing w:before="1"/>
              <w:ind w:left="72" w:right="113"/>
              <w:rPr>
                <w:b/>
                <w:sz w:val="18"/>
              </w:rPr>
            </w:pPr>
            <w:r>
              <w:rPr>
                <w:b/>
                <w:sz w:val="18"/>
              </w:rPr>
              <w:t>Actividad PPPS 1.6.1:</w:t>
            </w:r>
            <w:r>
              <w:rPr>
                <w:b/>
                <w:spacing w:val="40"/>
                <w:sz w:val="18"/>
              </w:rPr>
              <w:t> </w:t>
            </w:r>
            <w:r>
              <w:rPr>
                <w:sz w:val="18"/>
              </w:rPr>
              <w:t>Asignación de subsidios de protección</w:t>
            </w:r>
            <w:r>
              <w:rPr>
                <w:spacing w:val="-11"/>
                <w:sz w:val="18"/>
              </w:rPr>
              <w:t> </w:t>
            </w:r>
            <w:r>
              <w:rPr>
                <w:sz w:val="18"/>
              </w:rPr>
              <w:t>y</w:t>
            </w:r>
            <w:r>
              <w:rPr>
                <w:spacing w:val="-11"/>
                <w:sz w:val="18"/>
              </w:rPr>
              <w:t> </w:t>
            </w:r>
            <w:r>
              <w:rPr>
                <w:sz w:val="18"/>
              </w:rPr>
              <w:t>promoción</w:t>
            </w:r>
            <w:r>
              <w:rPr>
                <w:spacing w:val="-11"/>
                <w:sz w:val="18"/>
              </w:rPr>
              <w:t> </w:t>
            </w:r>
            <w:r>
              <w:rPr>
                <w:sz w:val="18"/>
              </w:rPr>
              <w:t>social,</w:t>
            </w:r>
            <w:r>
              <w:rPr>
                <w:spacing w:val="-5"/>
                <w:sz w:val="18"/>
              </w:rPr>
              <w:t> </w:t>
            </w:r>
            <w:r>
              <w:rPr>
                <w:sz w:val="18"/>
              </w:rPr>
              <w:t>que contribuyan a la superación de la pobreza en hogares en dicha situación </w:t>
            </w:r>
            <w:r>
              <w:rPr>
                <w:b/>
                <w:sz w:val="18"/>
              </w:rPr>
              <w:t>(vinculada a PNDIP Indicador Sectorial).</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5"/>
              <w:jc w:val="center"/>
              <w:rPr>
                <w:sz w:val="18"/>
              </w:rPr>
            </w:pPr>
            <w:r>
              <w:rPr>
                <w:spacing w:val="-2"/>
                <w:sz w:val="18"/>
              </w:rPr>
              <w:t>8,14pp</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0"/>
              <w:jc w:val="center"/>
              <w:rPr>
                <w:sz w:val="18"/>
              </w:rPr>
            </w:pPr>
            <w:r>
              <w:rPr>
                <w:spacing w:val="-2"/>
                <w:sz w:val="18"/>
              </w:rPr>
              <w:t>12,03pp</w:t>
            </w:r>
          </w:p>
        </w:tc>
        <w:tc>
          <w:tcPr>
            <w:tcW w:w="1982" w:type="dxa"/>
          </w:tcPr>
          <w:p>
            <w:pPr>
              <w:pStyle w:val="TableParagraph"/>
              <w:spacing w:before="103"/>
              <w:rPr>
                <w:b/>
                <w:sz w:val="18"/>
              </w:rPr>
            </w:pPr>
          </w:p>
          <w:p>
            <w:pPr>
              <w:pStyle w:val="TableParagraph"/>
              <w:spacing w:before="1"/>
              <w:ind w:left="68" w:right="127"/>
              <w:rPr>
                <w:sz w:val="18"/>
              </w:rPr>
            </w:pPr>
            <w:r>
              <w:rPr>
                <w:sz w:val="18"/>
              </w:rPr>
              <w:t>Puntos</w:t>
            </w:r>
            <w:r>
              <w:rPr>
                <w:spacing w:val="-13"/>
                <w:sz w:val="18"/>
              </w:rPr>
              <w:t> </w:t>
            </w:r>
            <w:r>
              <w:rPr>
                <w:sz w:val="18"/>
              </w:rPr>
              <w:t>porcentuales de hogares en pobreza extrema atendidos</w:t>
            </w:r>
            <w:r>
              <w:rPr>
                <w:spacing w:val="-5"/>
                <w:sz w:val="18"/>
              </w:rPr>
              <w:t> </w:t>
            </w:r>
            <w:r>
              <w:rPr>
                <w:sz w:val="18"/>
              </w:rPr>
              <w:t>mediante </w:t>
            </w:r>
            <w:r>
              <w:rPr>
                <w:spacing w:val="-2"/>
                <w:sz w:val="18"/>
              </w:rPr>
              <w:t>transferencias </w:t>
            </w:r>
            <w:r>
              <w:rPr>
                <w:sz w:val="18"/>
              </w:rPr>
              <w:t>estatales según </w:t>
            </w:r>
            <w:r>
              <w:rPr>
                <w:spacing w:val="-2"/>
                <w:sz w:val="18"/>
              </w:rPr>
              <w:t>ENAHO.</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line="242" w:lineRule="auto" w:before="1"/>
              <w:ind w:left="73" w:right="58"/>
              <w:rPr>
                <w:sz w:val="18"/>
              </w:rPr>
            </w:pPr>
            <w:r>
              <w:rPr>
                <w:spacing w:val="-2"/>
                <w:sz w:val="18"/>
              </w:rPr>
              <w:t>Reportes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7" w:right="5"/>
              <w:jc w:val="center"/>
              <w:rPr>
                <w:sz w:val="18"/>
              </w:rPr>
            </w:pPr>
            <w:r>
              <w:rPr>
                <w:spacing w:val="-4"/>
                <w:sz w:val="18"/>
              </w:rPr>
              <w:t>DSIS</w:t>
            </w:r>
          </w:p>
        </w:tc>
        <w:tc>
          <w:tcPr>
            <w:tcW w:w="1651" w:type="dxa"/>
          </w:tcPr>
          <w:p>
            <w:pPr>
              <w:pStyle w:val="TableParagraph"/>
              <w:rPr>
                <w:rFonts w:ascii="Times New Roman"/>
                <w:sz w:val="18"/>
              </w:rPr>
            </w:pPr>
          </w:p>
        </w:tc>
        <w:tc>
          <w:tcPr>
            <w:tcW w:w="1546" w:type="dxa"/>
          </w:tcPr>
          <w:p>
            <w:pPr>
              <w:pStyle w:val="TableParagraph"/>
              <w:numPr>
                <w:ilvl w:val="0"/>
                <w:numId w:val="37"/>
              </w:numPr>
              <w:tabs>
                <w:tab w:pos="131" w:val="left" w:leader="none"/>
              </w:tabs>
              <w:spacing w:line="240" w:lineRule="auto" w:before="0" w:after="0"/>
              <w:ind w:left="70" w:right="57" w:firstLine="0"/>
              <w:jc w:val="left"/>
              <w:rPr>
                <w:sz w:val="18"/>
              </w:rPr>
            </w:pPr>
            <w:r>
              <w:rPr>
                <w:spacing w:val="-2"/>
                <w:sz w:val="18"/>
              </w:rPr>
              <w:t>Posibles </w:t>
            </w:r>
            <w:r>
              <w:rPr>
                <w:sz w:val="18"/>
              </w:rPr>
              <w:t>diferencias</w:t>
            </w:r>
            <w:r>
              <w:rPr>
                <w:spacing w:val="-15"/>
                <w:sz w:val="18"/>
              </w:rPr>
              <w:t> </w:t>
            </w:r>
            <w:r>
              <w:rPr>
                <w:sz w:val="18"/>
              </w:rPr>
              <w:t>en</w:t>
            </w:r>
            <w:r>
              <w:rPr>
                <w:spacing w:val="-12"/>
                <w:sz w:val="18"/>
              </w:rPr>
              <w:t> </w:t>
            </w:r>
            <w:r>
              <w:rPr>
                <w:sz w:val="18"/>
              </w:rPr>
              <w:t>los reportes de metas físicas y </w:t>
            </w:r>
            <w:r>
              <w:rPr>
                <w:spacing w:val="-2"/>
                <w:sz w:val="18"/>
              </w:rPr>
              <w:t>presupuestarias </w:t>
            </w:r>
            <w:r>
              <w:rPr>
                <w:sz w:val="18"/>
              </w:rPr>
              <w:t>de instrumentos de planificación presentados por la DDS ante el</w:t>
            </w:r>
          </w:p>
          <w:p>
            <w:pPr>
              <w:pStyle w:val="TableParagraph"/>
              <w:spacing w:line="192" w:lineRule="exact"/>
              <w:ind w:left="70"/>
              <w:rPr>
                <w:sz w:val="18"/>
              </w:rPr>
            </w:pPr>
            <w:r>
              <w:rPr>
                <w:spacing w:val="-2"/>
                <w:sz w:val="18"/>
              </w:rPr>
              <w:t>PNDIP.</w:t>
            </w:r>
          </w:p>
        </w:tc>
      </w:tr>
      <w:tr>
        <w:trPr>
          <w:trHeight w:val="480" w:hRule="atLeast"/>
        </w:trPr>
        <w:tc>
          <w:tcPr>
            <w:tcW w:w="14247" w:type="dxa"/>
            <w:gridSpan w:val="8"/>
            <w:shd w:val="clear" w:color="auto" w:fill="EFF8F9"/>
          </w:tcPr>
          <w:p>
            <w:pPr>
              <w:pStyle w:val="TableParagraph"/>
              <w:spacing w:before="33"/>
              <w:ind w:left="72" w:right="170"/>
              <w:rPr>
                <w:b/>
                <w:sz w:val="18"/>
              </w:rPr>
            </w:pPr>
            <w:r>
              <w:rPr>
                <w:b/>
                <w:sz w:val="18"/>
              </w:rPr>
              <w:t>Producto</w:t>
            </w:r>
            <w:r>
              <w:rPr>
                <w:b/>
                <w:spacing w:val="-4"/>
                <w:sz w:val="18"/>
              </w:rPr>
              <w:t> </w:t>
            </w:r>
            <w:r>
              <w:rPr>
                <w:b/>
                <w:sz w:val="18"/>
              </w:rPr>
              <w:t>PPPS</w:t>
            </w:r>
            <w:r>
              <w:rPr>
                <w:b/>
                <w:spacing w:val="-4"/>
                <w:sz w:val="18"/>
              </w:rPr>
              <w:t> </w:t>
            </w:r>
            <w:r>
              <w:rPr>
                <w:b/>
                <w:sz w:val="18"/>
              </w:rPr>
              <w:t>1.7:</w:t>
            </w:r>
            <w:r>
              <w:rPr>
                <w:b/>
                <w:spacing w:val="-1"/>
                <w:sz w:val="18"/>
              </w:rPr>
              <w:t> </w:t>
            </w:r>
            <w:r>
              <w:rPr>
                <w:b/>
                <w:sz w:val="18"/>
              </w:rPr>
              <w:t>Informe</w:t>
            </w:r>
            <w:r>
              <w:rPr>
                <w:b/>
                <w:spacing w:val="-3"/>
                <w:sz w:val="18"/>
              </w:rPr>
              <w:t> </w:t>
            </w:r>
            <w:r>
              <w:rPr>
                <w:b/>
                <w:sz w:val="18"/>
              </w:rPr>
              <w:t>de</w:t>
            </w:r>
            <w:r>
              <w:rPr>
                <w:b/>
                <w:spacing w:val="-3"/>
                <w:sz w:val="18"/>
              </w:rPr>
              <w:t> </w:t>
            </w:r>
            <w:r>
              <w:rPr>
                <w:b/>
                <w:sz w:val="18"/>
              </w:rPr>
              <w:t>metas</w:t>
            </w:r>
            <w:r>
              <w:rPr>
                <w:b/>
                <w:spacing w:val="-3"/>
                <w:sz w:val="18"/>
              </w:rPr>
              <w:t> </w:t>
            </w:r>
            <w:r>
              <w:rPr>
                <w:b/>
                <w:sz w:val="18"/>
              </w:rPr>
              <w:t>presupuestarias</w:t>
            </w:r>
            <w:r>
              <w:rPr>
                <w:b/>
                <w:spacing w:val="-3"/>
                <w:sz w:val="18"/>
              </w:rPr>
              <w:t> </w:t>
            </w:r>
            <w:r>
              <w:rPr>
                <w:b/>
                <w:sz w:val="18"/>
              </w:rPr>
              <w:t>que muestren</w:t>
            </w:r>
            <w:r>
              <w:rPr>
                <w:b/>
                <w:spacing w:val="-4"/>
                <w:sz w:val="18"/>
              </w:rPr>
              <w:t> </w:t>
            </w:r>
            <w:r>
              <w:rPr>
                <w:b/>
                <w:sz w:val="18"/>
              </w:rPr>
              <w:t>la</w:t>
            </w:r>
            <w:r>
              <w:rPr>
                <w:b/>
                <w:spacing w:val="-3"/>
                <w:sz w:val="18"/>
              </w:rPr>
              <w:t> </w:t>
            </w:r>
            <w:r>
              <w:rPr>
                <w:b/>
                <w:sz w:val="18"/>
              </w:rPr>
              <w:t>asignación</w:t>
            </w:r>
            <w:r>
              <w:rPr>
                <w:b/>
                <w:spacing w:val="-4"/>
                <w:sz w:val="18"/>
              </w:rPr>
              <w:t> </w:t>
            </w:r>
            <w:r>
              <w:rPr>
                <w:b/>
                <w:sz w:val="18"/>
              </w:rPr>
              <w:t>de</w:t>
            </w:r>
            <w:r>
              <w:rPr>
                <w:b/>
                <w:spacing w:val="-3"/>
                <w:sz w:val="18"/>
              </w:rPr>
              <w:t> </w:t>
            </w:r>
            <w:r>
              <w:rPr>
                <w:b/>
                <w:sz w:val="18"/>
              </w:rPr>
              <w:t>recursos</w:t>
            </w:r>
            <w:r>
              <w:rPr>
                <w:b/>
                <w:spacing w:val="-3"/>
                <w:sz w:val="18"/>
              </w:rPr>
              <w:t> </w:t>
            </w:r>
            <w:r>
              <w:rPr>
                <w:b/>
                <w:sz w:val="18"/>
              </w:rPr>
              <w:t>con</w:t>
            </w:r>
            <w:r>
              <w:rPr>
                <w:b/>
                <w:spacing w:val="-4"/>
                <w:sz w:val="18"/>
              </w:rPr>
              <w:t> </w:t>
            </w:r>
            <w:r>
              <w:rPr>
                <w:b/>
                <w:sz w:val="18"/>
              </w:rPr>
              <w:t>enfoque para</w:t>
            </w:r>
            <w:r>
              <w:rPr>
                <w:b/>
                <w:spacing w:val="-3"/>
                <w:sz w:val="18"/>
              </w:rPr>
              <w:t> </w:t>
            </w:r>
            <w:r>
              <w:rPr>
                <w:b/>
                <w:sz w:val="18"/>
              </w:rPr>
              <w:t>resultados y de género</w:t>
            </w:r>
            <w:r>
              <w:rPr>
                <w:b/>
                <w:spacing w:val="-4"/>
                <w:sz w:val="18"/>
              </w:rPr>
              <w:t> </w:t>
            </w:r>
            <w:r>
              <w:rPr>
                <w:b/>
                <w:sz w:val="18"/>
              </w:rPr>
              <w:t>para</w:t>
            </w:r>
            <w:r>
              <w:rPr>
                <w:b/>
                <w:spacing w:val="-8"/>
                <w:sz w:val="18"/>
              </w:rPr>
              <w:t> </w:t>
            </w:r>
            <w:r>
              <w:rPr>
                <w:b/>
                <w:sz w:val="18"/>
              </w:rPr>
              <w:t>la</w:t>
            </w:r>
            <w:r>
              <w:rPr>
                <w:b/>
                <w:spacing w:val="-3"/>
                <w:sz w:val="18"/>
              </w:rPr>
              <w:t> </w:t>
            </w:r>
            <w:r>
              <w:rPr>
                <w:b/>
                <w:sz w:val="18"/>
              </w:rPr>
              <w:t>toma de decisiones. E1 AE10 R3</w:t>
            </w:r>
          </w:p>
        </w:tc>
      </w:tr>
    </w:tbl>
    <w:p>
      <w:pPr>
        <w:pStyle w:val="TableParagraph"/>
        <w:spacing w:after="0"/>
        <w:rPr>
          <w:b/>
          <w:sz w:val="18"/>
        </w:rPr>
        <w:sectPr>
          <w:type w:val="continuous"/>
          <w:pgSz w:w="15840" w:h="12240" w:orient="landscape"/>
          <w:pgMar w:header="0" w:footer="1806" w:top="700" w:bottom="2579"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51"/>
        <w:gridCol w:w="1546"/>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51" w:type="dxa"/>
            <w:shd w:val="clear" w:color="auto" w:fill="D9D9D9"/>
          </w:tcPr>
          <w:p>
            <w:pPr>
              <w:pStyle w:val="TableParagraph"/>
              <w:spacing w:before="104"/>
              <w:ind w:left="430" w:hanging="120"/>
              <w:rPr>
                <w:b/>
                <w:sz w:val="18"/>
              </w:rPr>
            </w:pPr>
            <w:r>
              <w:rPr>
                <w:b/>
                <w:spacing w:val="-2"/>
                <w:sz w:val="18"/>
              </w:rPr>
              <w:t>Presupuesto asignado</w:t>
            </w:r>
          </w:p>
        </w:tc>
        <w:tc>
          <w:tcPr>
            <w:tcW w:w="1546" w:type="dxa"/>
            <w:shd w:val="clear" w:color="auto" w:fill="D9D9D9"/>
          </w:tcPr>
          <w:p>
            <w:pPr>
              <w:pStyle w:val="TableParagraph"/>
              <w:spacing w:line="206" w:lineRule="exact"/>
              <w:ind w:left="14"/>
              <w:jc w:val="center"/>
              <w:rPr>
                <w:b/>
                <w:sz w:val="18"/>
              </w:rPr>
            </w:pPr>
            <w:r>
              <w:rPr>
                <w:b/>
                <w:spacing w:val="-2"/>
                <w:sz w:val="18"/>
              </w:rPr>
              <w:t>Riesgos </w:t>
            </w:r>
            <w:r>
              <w:rPr>
                <w:b/>
                <w:sz w:val="18"/>
              </w:rPr>
              <w:t>asociados al </w:t>
            </w:r>
            <w:r>
              <w:rPr>
                <w:b/>
                <w:spacing w:val="-2"/>
                <w:sz w:val="18"/>
              </w:rPr>
              <w:t>cumplimiento</w:t>
            </w:r>
          </w:p>
        </w:tc>
      </w:tr>
      <w:tr>
        <w:trPr>
          <w:trHeight w:val="3106" w:hRule="atLeast"/>
        </w:trPr>
        <w:tc>
          <w:tcPr>
            <w:tcW w:w="2972"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spacing w:line="207"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1.7.1:</w:t>
            </w:r>
          </w:p>
          <w:p>
            <w:pPr>
              <w:pStyle w:val="TableParagraph"/>
              <w:ind w:left="72" w:right="105"/>
              <w:rPr>
                <w:b/>
                <w:i/>
                <w:sz w:val="18"/>
              </w:rPr>
            </w:pPr>
            <w:r>
              <w:rPr>
                <w:sz w:val="18"/>
              </w:rPr>
              <w:t>Emisión de informes semestrales de ejecución que evidencien la asignación con enfoque de resultados</w:t>
            </w:r>
            <w:r>
              <w:rPr>
                <w:spacing w:val="-10"/>
                <w:sz w:val="18"/>
              </w:rPr>
              <w:t> </w:t>
            </w:r>
            <w:r>
              <w:rPr>
                <w:sz w:val="18"/>
              </w:rPr>
              <w:t>y</w:t>
            </w:r>
            <w:r>
              <w:rPr>
                <w:spacing w:val="-10"/>
                <w:sz w:val="18"/>
              </w:rPr>
              <w:t> </w:t>
            </w:r>
            <w:r>
              <w:rPr>
                <w:sz w:val="18"/>
              </w:rPr>
              <w:t>de</w:t>
            </w:r>
            <w:r>
              <w:rPr>
                <w:spacing w:val="-7"/>
                <w:sz w:val="18"/>
              </w:rPr>
              <w:t> </w:t>
            </w:r>
            <w:r>
              <w:rPr>
                <w:sz w:val="18"/>
              </w:rPr>
              <w:t>género</w:t>
            </w:r>
            <w:r>
              <w:rPr>
                <w:spacing w:val="-9"/>
                <w:sz w:val="18"/>
              </w:rPr>
              <w:t> </w:t>
            </w:r>
            <w:r>
              <w:rPr>
                <w:b/>
                <w:i/>
                <w:sz w:val="18"/>
              </w:rPr>
              <w:t>(vinculada</w:t>
            </w:r>
            <w:r>
              <w:rPr>
                <w:b/>
                <w:i/>
                <w:sz w:val="18"/>
              </w:rPr>
              <w:t> a PEI 1.10.3 / PIEG-PLANOVI </w:t>
            </w:r>
            <w:r>
              <w:rPr>
                <w:b/>
                <w:i/>
                <w:spacing w:val="-2"/>
                <w:sz w:val="18"/>
              </w:rPr>
              <w:t>1.6.1)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21" w:right="10"/>
              <w:jc w:val="center"/>
              <w:rPr>
                <w:sz w:val="18"/>
              </w:rPr>
            </w:pPr>
            <w:r>
              <w:rPr>
                <w:spacing w:val="-10"/>
                <w:sz w:val="18"/>
              </w:rPr>
              <w:t>2</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21" w:right="18"/>
              <w:jc w:val="center"/>
              <w:rPr>
                <w:sz w:val="18"/>
              </w:rPr>
            </w:pPr>
            <w:r>
              <w:rPr>
                <w:spacing w:val="-10"/>
                <w:sz w:val="18"/>
              </w:rPr>
              <w:t>2</w:t>
            </w:r>
          </w:p>
        </w:tc>
        <w:tc>
          <w:tcPr>
            <w:tcW w:w="1982"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8" w:right="114"/>
              <w:rPr>
                <w:sz w:val="18"/>
              </w:rPr>
            </w:pPr>
            <w:r>
              <w:rPr>
                <w:sz w:val="18"/>
              </w:rPr>
              <w:t>Cantidad de informes semestrales de </w:t>
            </w:r>
            <w:r>
              <w:rPr>
                <w:spacing w:val="-2"/>
                <w:sz w:val="18"/>
              </w:rPr>
              <w:t>ejecución </w:t>
            </w:r>
            <w:r>
              <w:rPr>
                <w:sz w:val="18"/>
              </w:rPr>
              <w:t>presupuestaria que evidencian la asignación con enfoque</w:t>
            </w:r>
            <w:r>
              <w:rPr>
                <w:spacing w:val="-15"/>
                <w:sz w:val="18"/>
              </w:rPr>
              <w:t> </w:t>
            </w:r>
            <w:r>
              <w:rPr>
                <w:sz w:val="18"/>
              </w:rPr>
              <w:t>de</w:t>
            </w:r>
            <w:r>
              <w:rPr>
                <w:spacing w:val="-12"/>
                <w:sz w:val="18"/>
              </w:rPr>
              <w:t> </w:t>
            </w:r>
            <w:r>
              <w:rPr>
                <w:sz w:val="18"/>
              </w:rPr>
              <w:t>resultados y de género.</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line="242" w:lineRule="auto" w:before="1"/>
              <w:ind w:left="73" w:right="58"/>
              <w:rPr>
                <w:sz w:val="18"/>
              </w:rPr>
            </w:pPr>
            <w:r>
              <w:rPr>
                <w:sz w:val="18"/>
              </w:rPr>
              <w:t>Informes de ejecución</w:t>
            </w:r>
            <w:r>
              <w:rPr>
                <w:spacing w:val="-13"/>
                <w:sz w:val="18"/>
              </w:rPr>
              <w:t> </w:t>
            </w:r>
            <w:r>
              <w:rPr>
                <w:sz w:val="18"/>
              </w:rPr>
              <w:t>del </w:t>
            </w:r>
            <w:r>
              <w:rPr>
                <w:spacing w:val="-4"/>
                <w:sz w:val="18"/>
              </w:rPr>
              <w:t>PPPS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7" w:right="5"/>
              <w:jc w:val="center"/>
              <w:rPr>
                <w:sz w:val="18"/>
              </w:rPr>
            </w:pPr>
            <w:r>
              <w:rPr>
                <w:spacing w:val="-4"/>
                <w:sz w:val="18"/>
              </w:rPr>
              <w:t>DSIS</w:t>
            </w:r>
          </w:p>
        </w:tc>
        <w:tc>
          <w:tcPr>
            <w:tcW w:w="1651" w:type="dxa"/>
          </w:tcPr>
          <w:p>
            <w:pPr>
              <w:pStyle w:val="TableParagraph"/>
              <w:rPr>
                <w:rFonts w:ascii="Times New Roman"/>
                <w:sz w:val="18"/>
              </w:rPr>
            </w:pPr>
          </w:p>
        </w:tc>
        <w:tc>
          <w:tcPr>
            <w:tcW w:w="1546" w:type="dxa"/>
          </w:tcPr>
          <w:p>
            <w:pPr>
              <w:pStyle w:val="TableParagraph"/>
              <w:numPr>
                <w:ilvl w:val="0"/>
                <w:numId w:val="38"/>
              </w:numPr>
              <w:tabs>
                <w:tab w:pos="131" w:val="left" w:leader="none"/>
              </w:tabs>
              <w:spacing w:line="240" w:lineRule="auto" w:before="3" w:after="0"/>
              <w:ind w:left="70" w:right="229" w:firstLine="0"/>
              <w:jc w:val="left"/>
              <w:rPr>
                <w:sz w:val="18"/>
              </w:rPr>
            </w:pPr>
            <w:r>
              <w:rPr>
                <w:spacing w:val="-2"/>
                <w:sz w:val="18"/>
              </w:rPr>
              <w:t>Variables </w:t>
            </w:r>
            <w:r>
              <w:rPr>
                <w:sz w:val="18"/>
              </w:rPr>
              <w:t>incluidas</w:t>
            </w:r>
            <w:r>
              <w:rPr>
                <w:spacing w:val="-15"/>
                <w:sz w:val="18"/>
              </w:rPr>
              <w:t> </w:t>
            </w:r>
            <w:r>
              <w:rPr>
                <w:sz w:val="18"/>
              </w:rPr>
              <w:t>en</w:t>
            </w:r>
            <w:r>
              <w:rPr>
                <w:spacing w:val="-12"/>
                <w:sz w:val="18"/>
              </w:rPr>
              <w:t> </w:t>
            </w:r>
            <w:r>
              <w:rPr>
                <w:sz w:val="18"/>
              </w:rPr>
              <w:t>los </w:t>
            </w:r>
            <w:r>
              <w:rPr>
                <w:spacing w:val="-2"/>
                <w:sz w:val="18"/>
              </w:rPr>
              <w:t>reportes </w:t>
            </w:r>
            <w:r>
              <w:rPr>
                <w:sz w:val="18"/>
              </w:rPr>
              <w:t>trimestrales no </w:t>
            </w:r>
            <w:r>
              <w:rPr>
                <w:spacing w:val="-2"/>
                <w:sz w:val="18"/>
              </w:rPr>
              <w:t>consideran </w:t>
            </w:r>
            <w:r>
              <w:rPr>
                <w:sz w:val="18"/>
              </w:rPr>
              <w:t>indicadores de </w:t>
            </w:r>
            <w:r>
              <w:rPr>
                <w:spacing w:val="-2"/>
                <w:sz w:val="18"/>
              </w:rPr>
              <w:t>género.</w:t>
            </w:r>
          </w:p>
          <w:p>
            <w:pPr>
              <w:pStyle w:val="TableParagraph"/>
              <w:numPr>
                <w:ilvl w:val="0"/>
                <w:numId w:val="38"/>
              </w:numPr>
              <w:tabs>
                <w:tab w:pos="131" w:val="left" w:leader="none"/>
              </w:tabs>
              <w:spacing w:line="240" w:lineRule="auto" w:before="0" w:after="0"/>
              <w:ind w:left="70" w:right="59" w:firstLine="0"/>
              <w:jc w:val="left"/>
              <w:rPr>
                <w:sz w:val="18"/>
              </w:rPr>
            </w:pPr>
            <w:r>
              <w:rPr>
                <w:sz w:val="18"/>
              </w:rPr>
              <w:t>Variables en reporte Informe </w:t>
            </w:r>
            <w:r>
              <w:rPr>
                <w:spacing w:val="-2"/>
                <w:sz w:val="18"/>
              </w:rPr>
              <w:t>Programa </w:t>
            </w:r>
            <w:r>
              <w:rPr>
                <w:sz w:val="18"/>
              </w:rPr>
              <w:t>Protección y Promoción</w:t>
            </w:r>
            <w:r>
              <w:rPr>
                <w:spacing w:val="-13"/>
                <w:sz w:val="18"/>
              </w:rPr>
              <w:t> </w:t>
            </w:r>
            <w:r>
              <w:rPr>
                <w:sz w:val="18"/>
              </w:rPr>
              <w:t>Social no consideran</w:t>
            </w:r>
          </w:p>
          <w:p>
            <w:pPr>
              <w:pStyle w:val="TableParagraph"/>
              <w:spacing w:line="206" w:lineRule="exact"/>
              <w:ind w:left="70"/>
              <w:rPr>
                <w:sz w:val="18"/>
              </w:rPr>
            </w:pPr>
            <w:r>
              <w:rPr>
                <w:sz w:val="18"/>
              </w:rPr>
              <w:t>indicadores</w:t>
            </w:r>
            <w:r>
              <w:rPr>
                <w:spacing w:val="-13"/>
                <w:sz w:val="18"/>
              </w:rPr>
              <w:t> </w:t>
            </w:r>
            <w:r>
              <w:rPr>
                <w:sz w:val="18"/>
              </w:rPr>
              <w:t>de </w:t>
            </w:r>
            <w:r>
              <w:rPr>
                <w:spacing w:val="-2"/>
                <w:sz w:val="18"/>
              </w:rPr>
              <w:t>género.</w:t>
            </w:r>
          </w:p>
        </w:tc>
      </w:tr>
      <w:tr>
        <w:trPr>
          <w:trHeight w:val="498" w:hRule="atLeast"/>
        </w:trPr>
        <w:tc>
          <w:tcPr>
            <w:tcW w:w="14247" w:type="dxa"/>
            <w:gridSpan w:val="8"/>
            <w:shd w:val="clear" w:color="auto" w:fill="EFF8F9"/>
          </w:tcPr>
          <w:p>
            <w:pPr>
              <w:pStyle w:val="TableParagraph"/>
              <w:spacing w:before="42"/>
              <w:ind w:left="72"/>
              <w:rPr>
                <w:b/>
                <w:sz w:val="18"/>
              </w:rPr>
            </w:pPr>
            <w:r>
              <w:rPr>
                <w:b/>
                <w:sz w:val="18"/>
              </w:rPr>
              <w:t>Producto</w:t>
            </w:r>
            <w:r>
              <w:rPr>
                <w:b/>
                <w:spacing w:val="-4"/>
                <w:sz w:val="18"/>
              </w:rPr>
              <w:t> </w:t>
            </w:r>
            <w:r>
              <w:rPr>
                <w:b/>
                <w:sz w:val="18"/>
              </w:rPr>
              <w:t>PPPS</w:t>
            </w:r>
            <w:r>
              <w:rPr>
                <w:b/>
                <w:spacing w:val="-4"/>
                <w:sz w:val="18"/>
              </w:rPr>
              <w:t> </w:t>
            </w:r>
            <w:r>
              <w:rPr>
                <w:b/>
                <w:sz w:val="18"/>
              </w:rPr>
              <w:t>1.8:</w:t>
            </w:r>
            <w:r>
              <w:rPr>
                <w:b/>
                <w:spacing w:val="-1"/>
                <w:sz w:val="18"/>
              </w:rPr>
              <w:t> </w:t>
            </w:r>
            <w:r>
              <w:rPr>
                <w:b/>
                <w:sz w:val="18"/>
              </w:rPr>
              <w:t>Sistema de atención</w:t>
            </w:r>
            <w:r>
              <w:rPr>
                <w:b/>
                <w:spacing w:val="-4"/>
                <w:sz w:val="18"/>
              </w:rPr>
              <w:t> </w:t>
            </w:r>
            <w:r>
              <w:rPr>
                <w:b/>
                <w:sz w:val="18"/>
              </w:rPr>
              <w:t>omnicanal</w:t>
            </w:r>
            <w:r>
              <w:rPr>
                <w:b/>
                <w:spacing w:val="-1"/>
                <w:sz w:val="18"/>
              </w:rPr>
              <w:t> </w:t>
            </w:r>
            <w:r>
              <w:rPr>
                <w:b/>
                <w:sz w:val="18"/>
              </w:rPr>
              <w:t>diseñado e</w:t>
            </w:r>
            <w:r>
              <w:rPr>
                <w:b/>
                <w:spacing w:val="-3"/>
                <w:sz w:val="18"/>
              </w:rPr>
              <w:t> </w:t>
            </w:r>
            <w:r>
              <w:rPr>
                <w:b/>
                <w:sz w:val="18"/>
              </w:rPr>
              <w:t>implementado,</w:t>
            </w:r>
            <w:r>
              <w:rPr>
                <w:b/>
                <w:spacing w:val="-1"/>
                <w:sz w:val="18"/>
              </w:rPr>
              <w:t> </w:t>
            </w:r>
            <w:r>
              <w:rPr>
                <w:b/>
                <w:sz w:val="18"/>
              </w:rPr>
              <w:t>con</w:t>
            </w:r>
            <w:r>
              <w:rPr>
                <w:b/>
                <w:spacing w:val="-4"/>
                <w:sz w:val="18"/>
              </w:rPr>
              <w:t> </w:t>
            </w:r>
            <w:r>
              <w:rPr>
                <w:b/>
                <w:sz w:val="18"/>
              </w:rPr>
              <w:t>la</w:t>
            </w:r>
            <w:r>
              <w:rPr>
                <w:b/>
                <w:spacing w:val="-8"/>
                <w:sz w:val="18"/>
              </w:rPr>
              <w:t> </w:t>
            </w:r>
            <w:r>
              <w:rPr>
                <w:b/>
                <w:sz w:val="18"/>
              </w:rPr>
              <w:t>finalidad</w:t>
            </w:r>
            <w:r>
              <w:rPr>
                <w:b/>
                <w:spacing w:val="-4"/>
                <w:sz w:val="18"/>
              </w:rPr>
              <w:t> </w:t>
            </w:r>
            <w:r>
              <w:rPr>
                <w:b/>
                <w:sz w:val="18"/>
              </w:rPr>
              <w:t>de optimizar</w:t>
            </w:r>
            <w:r>
              <w:rPr>
                <w:b/>
                <w:spacing w:val="-2"/>
                <w:sz w:val="18"/>
              </w:rPr>
              <w:t> </w:t>
            </w:r>
            <w:r>
              <w:rPr>
                <w:b/>
                <w:sz w:val="18"/>
              </w:rPr>
              <w:t>la</w:t>
            </w:r>
            <w:r>
              <w:rPr>
                <w:b/>
                <w:spacing w:val="-3"/>
                <w:sz w:val="18"/>
              </w:rPr>
              <w:t> </w:t>
            </w:r>
            <w:r>
              <w:rPr>
                <w:b/>
                <w:sz w:val="18"/>
              </w:rPr>
              <w:t>experiencia</w:t>
            </w:r>
            <w:r>
              <w:rPr>
                <w:b/>
                <w:spacing w:val="-3"/>
                <w:sz w:val="18"/>
              </w:rPr>
              <w:t> </w:t>
            </w:r>
            <w:r>
              <w:rPr>
                <w:b/>
                <w:sz w:val="18"/>
              </w:rPr>
              <w:t>de</w:t>
            </w:r>
            <w:r>
              <w:rPr>
                <w:b/>
                <w:spacing w:val="-3"/>
                <w:sz w:val="18"/>
              </w:rPr>
              <w:t> </w:t>
            </w:r>
            <w:r>
              <w:rPr>
                <w:b/>
                <w:sz w:val="18"/>
              </w:rPr>
              <w:t>usuario</w:t>
            </w:r>
            <w:r>
              <w:rPr>
                <w:b/>
                <w:spacing w:val="-4"/>
                <w:sz w:val="18"/>
              </w:rPr>
              <w:t> </w:t>
            </w:r>
            <w:r>
              <w:rPr>
                <w:b/>
                <w:sz w:val="18"/>
              </w:rPr>
              <w:t>de</w:t>
            </w:r>
            <w:r>
              <w:rPr>
                <w:b/>
                <w:spacing w:val="-3"/>
                <w:sz w:val="18"/>
              </w:rPr>
              <w:t> </w:t>
            </w:r>
            <w:r>
              <w:rPr>
                <w:b/>
                <w:sz w:val="18"/>
              </w:rPr>
              <w:t>forma</w:t>
            </w:r>
            <w:r>
              <w:rPr>
                <w:b/>
                <w:spacing w:val="-3"/>
                <w:sz w:val="18"/>
              </w:rPr>
              <w:t> </w:t>
            </w:r>
            <w:r>
              <w:rPr>
                <w:b/>
                <w:sz w:val="18"/>
              </w:rPr>
              <w:t>integrada</w:t>
            </w:r>
            <w:r>
              <w:rPr>
                <w:b/>
                <w:spacing w:val="-3"/>
                <w:sz w:val="18"/>
              </w:rPr>
              <w:t> </w:t>
            </w:r>
            <w:r>
              <w:rPr>
                <w:b/>
                <w:sz w:val="18"/>
              </w:rPr>
              <w:t>y sincronizada. E2 AE1 R1</w:t>
            </w:r>
          </w:p>
        </w:tc>
      </w:tr>
      <w:tr>
        <w:trPr>
          <w:trHeight w:val="2481" w:hRule="atLeast"/>
        </w:trPr>
        <w:tc>
          <w:tcPr>
            <w:tcW w:w="2972"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72"/>
              <w:rPr>
                <w:b/>
                <w:i/>
                <w:sz w:val="18"/>
              </w:rPr>
            </w:pPr>
            <w:r>
              <w:rPr>
                <w:b/>
                <w:sz w:val="18"/>
              </w:rPr>
              <w:t>Actividad PPPS 1.8.1: </w:t>
            </w:r>
            <w:r>
              <w:rPr>
                <w:sz w:val="18"/>
              </w:rPr>
              <w:t>Implementación del sistema de atención</w:t>
            </w:r>
            <w:r>
              <w:rPr>
                <w:spacing w:val="-12"/>
                <w:sz w:val="18"/>
              </w:rPr>
              <w:t> </w:t>
            </w:r>
            <w:r>
              <w:rPr>
                <w:sz w:val="18"/>
              </w:rPr>
              <w:t>omnicanal</w:t>
            </w:r>
            <w:r>
              <w:rPr>
                <w:spacing w:val="-13"/>
                <w:sz w:val="18"/>
              </w:rPr>
              <w:t> </w:t>
            </w:r>
            <w:r>
              <w:rPr>
                <w:sz w:val="18"/>
              </w:rPr>
              <w:t>para</w:t>
            </w:r>
            <w:r>
              <w:rPr>
                <w:spacing w:val="-11"/>
                <w:sz w:val="18"/>
              </w:rPr>
              <w:t> </w:t>
            </w:r>
            <w:r>
              <w:rPr>
                <w:sz w:val="18"/>
              </w:rPr>
              <w:t>población usuaria </w:t>
            </w:r>
            <w:r>
              <w:rPr>
                <w:b/>
                <w:i/>
                <w:sz w:val="18"/>
              </w:rPr>
              <w:t>(vinculada a PEI 2.1.1).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16"/>
              <w:jc w:val="center"/>
              <w:rPr>
                <w:sz w:val="18"/>
              </w:rPr>
            </w:pPr>
            <w:r>
              <w:rPr>
                <w:spacing w:val="-5"/>
                <w:sz w:val="18"/>
              </w:rPr>
              <w:t>20%</w:t>
            </w:r>
          </w:p>
        </w:tc>
        <w:tc>
          <w:tcPr>
            <w:tcW w:w="1982" w:type="dxa"/>
          </w:tcPr>
          <w:p>
            <w:pPr>
              <w:pStyle w:val="TableParagraph"/>
              <w:spacing w:before="205"/>
              <w:rPr>
                <w:b/>
                <w:sz w:val="18"/>
              </w:rPr>
            </w:pPr>
          </w:p>
          <w:p>
            <w:pPr>
              <w:pStyle w:val="TableParagraph"/>
              <w:ind w:left="68" w:right="58"/>
              <w:rPr>
                <w:sz w:val="18"/>
              </w:rPr>
            </w:pPr>
            <w:r>
              <w:rPr>
                <w:sz w:val="18"/>
              </w:rPr>
              <w:t>Porcentaje</w:t>
            </w:r>
            <w:r>
              <w:rPr>
                <w:spacing w:val="-3"/>
                <w:sz w:val="18"/>
              </w:rPr>
              <w:t> </w:t>
            </w:r>
            <w:r>
              <w:rPr>
                <w:sz w:val="18"/>
              </w:rPr>
              <w:t>de</w:t>
            </w:r>
            <w:r>
              <w:rPr>
                <w:spacing w:val="-3"/>
                <w:sz w:val="18"/>
              </w:rPr>
              <w:t> </w:t>
            </w:r>
            <w:r>
              <w:rPr>
                <w:sz w:val="18"/>
              </w:rPr>
              <w:t>hogares receptores de la oferta </w:t>
            </w:r>
            <w:r>
              <w:rPr>
                <w:spacing w:val="-2"/>
                <w:sz w:val="18"/>
              </w:rPr>
              <w:t>programática </w:t>
            </w:r>
            <w:r>
              <w:rPr>
                <w:sz w:val="18"/>
              </w:rPr>
              <w:t>institucional que son atendidos con trazabilidad mediante el</w:t>
            </w:r>
            <w:r>
              <w:rPr>
                <w:spacing w:val="-13"/>
                <w:sz w:val="18"/>
              </w:rPr>
              <w:t> </w:t>
            </w:r>
            <w:r>
              <w:rPr>
                <w:sz w:val="18"/>
              </w:rPr>
              <w:t>Sistema</w:t>
            </w:r>
            <w:r>
              <w:rPr>
                <w:spacing w:val="-12"/>
                <w:sz w:val="18"/>
              </w:rPr>
              <w:t> </w:t>
            </w:r>
            <w:r>
              <w:rPr>
                <w:sz w:val="18"/>
              </w:rPr>
              <w:t>de</w:t>
            </w:r>
            <w:r>
              <w:rPr>
                <w:spacing w:val="-11"/>
                <w:sz w:val="18"/>
              </w:rPr>
              <w:t> </w:t>
            </w:r>
            <w:r>
              <w:rPr>
                <w:sz w:val="18"/>
              </w:rPr>
              <w:t>Atención </w:t>
            </w:r>
            <w:r>
              <w:rPr>
                <w:spacing w:val="-2"/>
                <w:sz w:val="18"/>
              </w:rPr>
              <w:t>Omnicanal.</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3" w:right="108"/>
              <w:rPr>
                <w:sz w:val="18"/>
              </w:rPr>
            </w:pPr>
            <w:r>
              <w:rPr>
                <w:sz w:val="18"/>
              </w:rPr>
              <w:t>Reporte de </w:t>
            </w:r>
            <w:r>
              <w:rPr>
                <w:spacing w:val="-2"/>
                <w:sz w:val="18"/>
              </w:rPr>
              <w:t>hogares atendidos </w:t>
            </w:r>
            <w:r>
              <w:rPr>
                <w:sz w:val="18"/>
              </w:rPr>
              <w:t>mediante</w:t>
            </w:r>
            <w:r>
              <w:rPr>
                <w:spacing w:val="-13"/>
                <w:sz w:val="18"/>
              </w:rPr>
              <w:t> </w:t>
            </w:r>
            <w:r>
              <w:rPr>
                <w:sz w:val="18"/>
              </w:rPr>
              <w:t>el </w:t>
            </w:r>
            <w:r>
              <w:rPr>
                <w:spacing w:val="-2"/>
                <w:sz w:val="18"/>
              </w:rPr>
              <w:t>sistema.</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7" w:right="5"/>
              <w:jc w:val="center"/>
              <w:rPr>
                <w:sz w:val="18"/>
              </w:rPr>
            </w:pPr>
            <w:r>
              <w:rPr>
                <w:spacing w:val="-4"/>
                <w:sz w:val="18"/>
              </w:rPr>
              <w:t>DSIS</w:t>
            </w:r>
          </w:p>
        </w:tc>
        <w:tc>
          <w:tcPr>
            <w:tcW w:w="165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8"/>
              <w:jc w:val="right"/>
              <w:rPr>
                <w:sz w:val="18"/>
              </w:rPr>
            </w:pPr>
            <w:r>
              <w:rPr>
                <w:spacing w:val="-10"/>
                <w:sz w:val="18"/>
              </w:rPr>
              <w:t>-</w:t>
            </w:r>
          </w:p>
        </w:tc>
        <w:tc>
          <w:tcPr>
            <w:tcW w:w="1546" w:type="dxa"/>
          </w:tcPr>
          <w:p>
            <w:pPr>
              <w:pStyle w:val="TableParagraph"/>
              <w:numPr>
                <w:ilvl w:val="0"/>
                <w:numId w:val="39"/>
              </w:numPr>
              <w:tabs>
                <w:tab w:pos="131" w:val="left" w:leader="none"/>
              </w:tabs>
              <w:spacing w:line="240" w:lineRule="auto" w:before="0" w:after="0"/>
              <w:ind w:left="70" w:right="83" w:firstLine="0"/>
              <w:jc w:val="left"/>
              <w:rPr>
                <w:sz w:val="18"/>
              </w:rPr>
            </w:pPr>
            <w:r>
              <w:rPr>
                <w:sz w:val="18"/>
              </w:rPr>
              <w:t>No</w:t>
            </w:r>
            <w:r>
              <w:rPr>
                <w:spacing w:val="-9"/>
                <w:sz w:val="18"/>
              </w:rPr>
              <w:t> </w:t>
            </w:r>
            <w:r>
              <w:rPr>
                <w:sz w:val="18"/>
              </w:rPr>
              <w:t>contar</w:t>
            </w:r>
            <w:r>
              <w:rPr>
                <w:spacing w:val="-10"/>
                <w:sz w:val="18"/>
              </w:rPr>
              <w:t> </w:t>
            </w:r>
            <w:r>
              <w:rPr>
                <w:sz w:val="18"/>
              </w:rPr>
              <w:t>con</w:t>
            </w:r>
            <w:r>
              <w:rPr>
                <w:spacing w:val="-11"/>
                <w:sz w:val="18"/>
              </w:rPr>
              <w:t> </w:t>
            </w:r>
            <w:r>
              <w:rPr>
                <w:sz w:val="18"/>
              </w:rPr>
              <w:t>el sistema de </w:t>
            </w:r>
            <w:r>
              <w:rPr>
                <w:spacing w:val="-2"/>
                <w:sz w:val="18"/>
              </w:rPr>
              <w:t>atención omnicanal oportunamente.</w:t>
            </w:r>
          </w:p>
          <w:p>
            <w:pPr>
              <w:pStyle w:val="TableParagraph"/>
              <w:numPr>
                <w:ilvl w:val="0"/>
                <w:numId w:val="39"/>
              </w:numPr>
              <w:tabs>
                <w:tab w:pos="131" w:val="left" w:leader="none"/>
              </w:tabs>
              <w:spacing w:line="240" w:lineRule="auto" w:before="0" w:after="0"/>
              <w:ind w:left="70" w:right="205" w:firstLine="0"/>
              <w:jc w:val="left"/>
              <w:rPr>
                <w:sz w:val="18"/>
              </w:rPr>
            </w:pPr>
            <w:r>
              <w:rPr>
                <w:sz w:val="18"/>
              </w:rPr>
              <w:t>Que TI no pueda cumplir con los </w:t>
            </w:r>
            <w:r>
              <w:rPr>
                <w:spacing w:val="-2"/>
                <w:sz w:val="18"/>
              </w:rPr>
              <w:t>requerimientos </w:t>
            </w:r>
            <w:r>
              <w:rPr>
                <w:sz w:val="18"/>
              </w:rPr>
              <w:t>establecidos</w:t>
            </w:r>
            <w:r>
              <w:rPr>
                <w:spacing w:val="-13"/>
                <w:sz w:val="18"/>
              </w:rPr>
              <w:t> </w:t>
            </w:r>
            <w:r>
              <w:rPr>
                <w:sz w:val="18"/>
              </w:rPr>
              <w:t>en</w:t>
            </w:r>
          </w:p>
          <w:p>
            <w:pPr>
              <w:pStyle w:val="TableParagraph"/>
              <w:spacing w:line="206" w:lineRule="exact"/>
              <w:ind w:left="70"/>
              <w:rPr>
                <w:sz w:val="18"/>
              </w:rPr>
            </w:pPr>
            <w:r>
              <w:rPr>
                <w:sz w:val="18"/>
              </w:rPr>
              <w:t>el diseño </w:t>
            </w:r>
            <w:r>
              <w:rPr>
                <w:spacing w:val="-2"/>
                <w:sz w:val="18"/>
              </w:rPr>
              <w:t>conceptual.</w:t>
            </w:r>
          </w:p>
        </w:tc>
      </w:tr>
      <w:tr>
        <w:trPr>
          <w:trHeight w:val="513" w:hRule="atLeast"/>
        </w:trPr>
        <w:tc>
          <w:tcPr>
            <w:tcW w:w="14247" w:type="dxa"/>
            <w:gridSpan w:val="8"/>
            <w:shd w:val="clear" w:color="auto" w:fill="EFF8F9"/>
          </w:tcPr>
          <w:p>
            <w:pPr>
              <w:pStyle w:val="TableParagraph"/>
              <w:spacing w:before="47"/>
              <w:ind w:left="72" w:right="170"/>
              <w:rPr>
                <w:b/>
                <w:sz w:val="18"/>
              </w:rPr>
            </w:pPr>
            <w:r>
              <w:rPr>
                <w:b/>
                <w:sz w:val="18"/>
              </w:rPr>
              <w:t>Producto</w:t>
            </w:r>
            <w:r>
              <w:rPr>
                <w:b/>
                <w:spacing w:val="-4"/>
                <w:sz w:val="18"/>
              </w:rPr>
              <w:t> </w:t>
            </w:r>
            <w:r>
              <w:rPr>
                <w:b/>
                <w:sz w:val="18"/>
              </w:rPr>
              <w:t>PPPS</w:t>
            </w:r>
            <w:r>
              <w:rPr>
                <w:b/>
                <w:spacing w:val="-4"/>
                <w:sz w:val="18"/>
              </w:rPr>
              <w:t> </w:t>
            </w:r>
            <w:r>
              <w:rPr>
                <w:b/>
                <w:sz w:val="18"/>
              </w:rPr>
              <w:t>1.9:</w:t>
            </w:r>
            <w:r>
              <w:rPr>
                <w:b/>
                <w:spacing w:val="-1"/>
                <w:sz w:val="18"/>
              </w:rPr>
              <w:t> </w:t>
            </w:r>
            <w:r>
              <w:rPr>
                <w:b/>
                <w:sz w:val="18"/>
              </w:rPr>
              <w:t>Estrategia</w:t>
            </w:r>
            <w:r>
              <w:rPr>
                <w:b/>
                <w:spacing w:val="-3"/>
                <w:sz w:val="18"/>
              </w:rPr>
              <w:t> </w:t>
            </w:r>
            <w:r>
              <w:rPr>
                <w:b/>
                <w:sz w:val="18"/>
              </w:rPr>
              <w:t>de</w:t>
            </w:r>
            <w:r>
              <w:rPr>
                <w:b/>
                <w:spacing w:val="-3"/>
                <w:sz w:val="18"/>
              </w:rPr>
              <w:t> </w:t>
            </w:r>
            <w:r>
              <w:rPr>
                <w:b/>
                <w:sz w:val="18"/>
              </w:rPr>
              <w:t>atención</w:t>
            </w:r>
            <w:r>
              <w:rPr>
                <w:b/>
                <w:spacing w:val="-8"/>
                <w:sz w:val="18"/>
              </w:rPr>
              <w:t> </w:t>
            </w:r>
            <w:r>
              <w:rPr>
                <w:b/>
                <w:sz w:val="18"/>
              </w:rPr>
              <w:t>itinerante</w:t>
            </w:r>
            <w:r>
              <w:rPr>
                <w:b/>
                <w:spacing w:val="-3"/>
                <w:sz w:val="18"/>
              </w:rPr>
              <w:t> </w:t>
            </w:r>
            <w:r>
              <w:rPr>
                <w:b/>
                <w:sz w:val="18"/>
              </w:rPr>
              <w:t>diseñada e</w:t>
            </w:r>
            <w:r>
              <w:rPr>
                <w:b/>
                <w:spacing w:val="-8"/>
                <w:sz w:val="18"/>
              </w:rPr>
              <w:t> </w:t>
            </w:r>
            <w:r>
              <w:rPr>
                <w:b/>
                <w:sz w:val="18"/>
              </w:rPr>
              <w:t>implementada</w:t>
            </w:r>
            <w:r>
              <w:rPr>
                <w:b/>
                <w:spacing w:val="-3"/>
                <w:sz w:val="18"/>
              </w:rPr>
              <w:t> </w:t>
            </w:r>
            <w:r>
              <w:rPr>
                <w:b/>
                <w:sz w:val="18"/>
              </w:rPr>
              <w:t>con perspectiva</w:t>
            </w:r>
            <w:r>
              <w:rPr>
                <w:b/>
                <w:spacing w:val="-3"/>
                <w:sz w:val="18"/>
              </w:rPr>
              <w:t> </w:t>
            </w:r>
            <w:r>
              <w:rPr>
                <w:b/>
                <w:sz w:val="18"/>
              </w:rPr>
              <w:t>de</w:t>
            </w:r>
            <w:r>
              <w:rPr>
                <w:b/>
                <w:spacing w:val="-3"/>
                <w:sz w:val="18"/>
              </w:rPr>
              <w:t> </w:t>
            </w:r>
            <w:r>
              <w:rPr>
                <w:b/>
                <w:sz w:val="18"/>
              </w:rPr>
              <w:t>territorialidad</w:t>
            </w:r>
            <w:r>
              <w:rPr>
                <w:b/>
                <w:spacing w:val="-4"/>
                <w:sz w:val="18"/>
              </w:rPr>
              <w:t> </w:t>
            </w:r>
            <w:r>
              <w:rPr>
                <w:b/>
                <w:sz w:val="18"/>
              </w:rPr>
              <w:t>e intersectorialidad, que contribuya a</w:t>
            </w:r>
            <w:r>
              <w:rPr>
                <w:b/>
                <w:spacing w:val="-8"/>
                <w:sz w:val="18"/>
              </w:rPr>
              <w:t> </w:t>
            </w:r>
            <w:r>
              <w:rPr>
                <w:b/>
                <w:sz w:val="18"/>
              </w:rPr>
              <w:t>la atención de poblaciones con limitaciones de acceso. E2 AE1 R2</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51"/>
        <w:gridCol w:w="1546"/>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51" w:type="dxa"/>
            <w:shd w:val="clear" w:color="auto" w:fill="D9D9D9"/>
          </w:tcPr>
          <w:p>
            <w:pPr>
              <w:pStyle w:val="TableParagraph"/>
              <w:spacing w:before="104"/>
              <w:ind w:left="430" w:hanging="120"/>
              <w:rPr>
                <w:b/>
                <w:sz w:val="18"/>
              </w:rPr>
            </w:pPr>
            <w:r>
              <w:rPr>
                <w:b/>
                <w:spacing w:val="-2"/>
                <w:sz w:val="18"/>
              </w:rPr>
              <w:t>Presupuesto asignado</w:t>
            </w:r>
          </w:p>
        </w:tc>
        <w:tc>
          <w:tcPr>
            <w:tcW w:w="1546" w:type="dxa"/>
            <w:shd w:val="clear" w:color="auto" w:fill="D9D9D9"/>
          </w:tcPr>
          <w:p>
            <w:pPr>
              <w:pStyle w:val="TableParagraph"/>
              <w:spacing w:line="206" w:lineRule="exact"/>
              <w:ind w:left="14"/>
              <w:jc w:val="center"/>
              <w:rPr>
                <w:b/>
                <w:sz w:val="18"/>
              </w:rPr>
            </w:pPr>
            <w:r>
              <w:rPr>
                <w:b/>
                <w:spacing w:val="-2"/>
                <w:sz w:val="18"/>
              </w:rPr>
              <w:t>Riesgos </w:t>
            </w:r>
            <w:r>
              <w:rPr>
                <w:b/>
                <w:sz w:val="18"/>
              </w:rPr>
              <w:t>asociados al </w:t>
            </w:r>
            <w:r>
              <w:rPr>
                <w:b/>
                <w:spacing w:val="-2"/>
                <w:sz w:val="18"/>
              </w:rPr>
              <w:t>cumplimiento</w:t>
            </w:r>
          </w:p>
        </w:tc>
      </w:tr>
      <w:tr>
        <w:trPr>
          <w:trHeight w:val="2900" w:hRule="atLeast"/>
        </w:trPr>
        <w:tc>
          <w:tcPr>
            <w:tcW w:w="2972" w:type="dxa"/>
          </w:tcPr>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72"/>
              <w:rPr>
                <w:b/>
                <w:i/>
                <w:sz w:val="18"/>
              </w:rPr>
            </w:pPr>
            <w:r>
              <w:rPr>
                <w:b/>
                <w:sz w:val="18"/>
              </w:rPr>
              <w:t>Actividad PPPS 1.9.1: </w:t>
            </w:r>
            <w:r>
              <w:rPr>
                <w:sz w:val="18"/>
              </w:rPr>
              <w:t>Implementación</w:t>
            </w:r>
            <w:r>
              <w:rPr>
                <w:spacing w:val="-10"/>
                <w:sz w:val="18"/>
              </w:rPr>
              <w:t> </w:t>
            </w:r>
            <w:r>
              <w:rPr>
                <w:sz w:val="18"/>
              </w:rPr>
              <w:t>de</w:t>
            </w:r>
            <w:r>
              <w:rPr>
                <w:spacing w:val="-10"/>
                <w:sz w:val="18"/>
              </w:rPr>
              <w:t> </w:t>
            </w:r>
            <w:r>
              <w:rPr>
                <w:sz w:val="18"/>
              </w:rPr>
              <w:t>la</w:t>
            </w:r>
            <w:r>
              <w:rPr>
                <w:spacing w:val="-7"/>
                <w:sz w:val="18"/>
              </w:rPr>
              <w:t> </w:t>
            </w:r>
            <w:r>
              <w:rPr>
                <w:sz w:val="18"/>
              </w:rPr>
              <w:t>estrategia</w:t>
            </w:r>
            <w:r>
              <w:rPr>
                <w:spacing w:val="-7"/>
                <w:sz w:val="18"/>
              </w:rPr>
              <w:t> </w:t>
            </w:r>
            <w:r>
              <w:rPr>
                <w:sz w:val="18"/>
              </w:rPr>
              <w:t>de atención itinerante en distritos identificados </w:t>
            </w:r>
            <w:r>
              <w:rPr>
                <w:b/>
                <w:i/>
                <w:sz w:val="18"/>
              </w:rPr>
              <w:t>(vinculada a PEI</w:t>
            </w:r>
            <w:r>
              <w:rPr>
                <w:b/>
                <w:i/>
                <w:sz w:val="18"/>
              </w:rPr>
              <w:t> </w:t>
            </w:r>
            <w:r>
              <w:rPr>
                <w:b/>
                <w:i/>
                <w:spacing w:val="-2"/>
                <w:sz w:val="18"/>
              </w:rPr>
              <w:t>2.1.2).</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21" w:right="16"/>
              <w:jc w:val="center"/>
              <w:rPr>
                <w:sz w:val="18"/>
              </w:rPr>
            </w:pPr>
            <w:r>
              <w:rPr>
                <w:spacing w:val="-5"/>
                <w:sz w:val="18"/>
              </w:rPr>
              <w:t>30%</w:t>
            </w:r>
          </w:p>
        </w:tc>
        <w:tc>
          <w:tcPr>
            <w:tcW w:w="1982"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8" w:right="72"/>
              <w:rPr>
                <w:sz w:val="18"/>
              </w:rPr>
            </w:pPr>
            <w:r>
              <w:rPr>
                <w:sz w:val="18"/>
              </w:rPr>
              <w:t>Porcentaje de distritos que fueron identificados con limitaciones</w:t>
            </w:r>
            <w:r>
              <w:rPr>
                <w:spacing w:val="-13"/>
                <w:sz w:val="18"/>
              </w:rPr>
              <w:t> </w:t>
            </w:r>
            <w:r>
              <w:rPr>
                <w:sz w:val="18"/>
              </w:rPr>
              <w:t>de</w:t>
            </w:r>
            <w:r>
              <w:rPr>
                <w:spacing w:val="-12"/>
                <w:sz w:val="18"/>
              </w:rPr>
              <w:t> </w:t>
            </w:r>
            <w:r>
              <w:rPr>
                <w:sz w:val="18"/>
              </w:rPr>
              <w:t>acceso y que cuentan con al menos</w:t>
            </w:r>
            <w:r>
              <w:rPr>
                <w:spacing w:val="-15"/>
                <w:sz w:val="18"/>
              </w:rPr>
              <w:t> </w:t>
            </w:r>
            <w:r>
              <w:rPr>
                <w:sz w:val="18"/>
              </w:rPr>
              <w:t>una</w:t>
            </w:r>
            <w:r>
              <w:rPr>
                <w:spacing w:val="-12"/>
                <w:sz w:val="18"/>
              </w:rPr>
              <w:t> </w:t>
            </w:r>
            <w:r>
              <w:rPr>
                <w:sz w:val="18"/>
              </w:rPr>
              <w:t>comunidad con</w:t>
            </w:r>
            <w:r>
              <w:rPr>
                <w:spacing w:val="-12"/>
                <w:sz w:val="18"/>
              </w:rPr>
              <w:t> </w:t>
            </w:r>
            <w:r>
              <w:rPr>
                <w:sz w:val="18"/>
              </w:rPr>
              <w:t>atención</w:t>
            </w:r>
            <w:r>
              <w:rPr>
                <w:spacing w:val="-13"/>
                <w:sz w:val="18"/>
              </w:rPr>
              <w:t> </w:t>
            </w:r>
            <w:r>
              <w:rPr>
                <w:sz w:val="18"/>
              </w:rPr>
              <w:t>itinerante por parte del IMAS.</w:t>
            </w:r>
          </w:p>
        </w:tc>
        <w:tc>
          <w:tcPr>
            <w:tcW w:w="1560" w:type="dxa"/>
          </w:tcPr>
          <w:p>
            <w:pPr>
              <w:pStyle w:val="TableParagraph"/>
              <w:spacing w:before="3"/>
              <w:ind w:left="73" w:right="108"/>
              <w:rPr>
                <w:sz w:val="18"/>
              </w:rPr>
            </w:pPr>
            <w:r>
              <w:rPr>
                <w:sz w:val="18"/>
              </w:rPr>
              <w:t>Documento que contiene el informe de distritos que </w:t>
            </w:r>
            <w:r>
              <w:rPr>
                <w:spacing w:val="-2"/>
                <w:sz w:val="18"/>
              </w:rPr>
              <w:t>fueron </w:t>
            </w:r>
            <w:r>
              <w:rPr>
                <w:sz w:val="18"/>
              </w:rPr>
              <w:t>identificados</w:t>
            </w:r>
            <w:r>
              <w:rPr>
                <w:spacing w:val="-13"/>
                <w:sz w:val="18"/>
              </w:rPr>
              <w:t> </w:t>
            </w:r>
            <w:r>
              <w:rPr>
                <w:sz w:val="18"/>
              </w:rPr>
              <w:t>con limitaciones de acceso y que cuentan con al menos una comunidad con </w:t>
            </w:r>
            <w:r>
              <w:rPr>
                <w:spacing w:val="-2"/>
                <w:sz w:val="18"/>
              </w:rPr>
              <w:t>atención </w:t>
            </w:r>
            <w:r>
              <w:rPr>
                <w:sz w:val="18"/>
              </w:rPr>
              <w:t>itinerante por</w:t>
            </w:r>
          </w:p>
          <w:p>
            <w:pPr>
              <w:pStyle w:val="TableParagraph"/>
              <w:spacing w:line="186" w:lineRule="exact"/>
              <w:ind w:left="73"/>
              <w:rPr>
                <w:sz w:val="18"/>
              </w:rPr>
            </w:pPr>
            <w:r>
              <w:rPr>
                <w:sz w:val="18"/>
              </w:rPr>
              <w:t>parte</w:t>
            </w:r>
            <w:r>
              <w:rPr>
                <w:spacing w:val="1"/>
                <w:sz w:val="18"/>
              </w:rPr>
              <w:t> </w:t>
            </w:r>
            <w:r>
              <w:rPr>
                <w:sz w:val="18"/>
              </w:rPr>
              <w:t>del</w:t>
            </w:r>
            <w:r>
              <w:rPr>
                <w:spacing w:val="-5"/>
                <w:sz w:val="18"/>
              </w:rPr>
              <w:t> </w:t>
            </w:r>
            <w:r>
              <w:rPr>
                <w:spacing w:val="-2"/>
                <w:sz w:val="18"/>
              </w:rPr>
              <w:t>IMAS.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17" w:right="5"/>
              <w:jc w:val="center"/>
              <w:rPr>
                <w:sz w:val="18"/>
              </w:rPr>
            </w:pPr>
            <w:r>
              <w:rPr>
                <w:spacing w:val="-4"/>
                <w:sz w:val="18"/>
              </w:rPr>
              <w:t>DSIS</w:t>
            </w:r>
          </w:p>
        </w:tc>
        <w:tc>
          <w:tcPr>
            <w:tcW w:w="1651" w:type="dxa"/>
          </w:tcPr>
          <w:p>
            <w:pPr>
              <w:pStyle w:val="TableParagraph"/>
              <w:rPr>
                <w:rFonts w:ascii="Times New Roman"/>
                <w:sz w:val="18"/>
              </w:rPr>
            </w:pPr>
          </w:p>
        </w:tc>
        <w:tc>
          <w:tcPr>
            <w:tcW w:w="1546" w:type="dxa"/>
          </w:tcPr>
          <w:p>
            <w:pPr>
              <w:pStyle w:val="TableParagraph"/>
              <w:rPr>
                <w:b/>
                <w:sz w:val="18"/>
              </w:rPr>
            </w:pPr>
          </w:p>
          <w:p>
            <w:pPr>
              <w:pStyle w:val="TableParagraph"/>
              <w:spacing w:before="104"/>
              <w:rPr>
                <w:b/>
                <w:sz w:val="18"/>
              </w:rPr>
            </w:pPr>
          </w:p>
          <w:p>
            <w:pPr>
              <w:pStyle w:val="TableParagraph"/>
              <w:numPr>
                <w:ilvl w:val="0"/>
                <w:numId w:val="40"/>
              </w:numPr>
              <w:tabs>
                <w:tab w:pos="131" w:val="left" w:leader="none"/>
              </w:tabs>
              <w:spacing w:line="240" w:lineRule="auto" w:before="0" w:after="0"/>
              <w:ind w:left="70" w:right="167" w:firstLine="0"/>
              <w:jc w:val="left"/>
              <w:rPr>
                <w:sz w:val="18"/>
              </w:rPr>
            </w:pPr>
            <w:r>
              <w:rPr>
                <w:sz w:val="18"/>
              </w:rPr>
              <w:t>ARDS no </w:t>
            </w:r>
            <w:r>
              <w:rPr>
                <w:spacing w:val="-2"/>
                <w:sz w:val="18"/>
              </w:rPr>
              <w:t>tengan </w:t>
            </w:r>
            <w:r>
              <w:rPr>
                <w:sz w:val="18"/>
              </w:rPr>
              <w:t>identificadas</w:t>
            </w:r>
            <w:r>
              <w:rPr>
                <w:spacing w:val="-13"/>
                <w:sz w:val="18"/>
              </w:rPr>
              <w:t> </w:t>
            </w:r>
            <w:r>
              <w:rPr>
                <w:sz w:val="18"/>
              </w:rPr>
              <w:t>las </w:t>
            </w:r>
            <w:r>
              <w:rPr>
                <w:spacing w:val="-2"/>
                <w:sz w:val="18"/>
              </w:rPr>
              <w:t>comunidades </w:t>
            </w:r>
            <w:r>
              <w:rPr>
                <w:sz w:val="18"/>
              </w:rPr>
              <w:t>con</w:t>
            </w:r>
            <w:r>
              <w:rPr>
                <w:spacing w:val="-13"/>
                <w:sz w:val="18"/>
              </w:rPr>
              <w:t> </w:t>
            </w:r>
            <w:r>
              <w:rPr>
                <w:sz w:val="18"/>
              </w:rPr>
              <w:t>limitaciones de acceso al IMAS</w:t>
            </w:r>
            <w:r>
              <w:rPr>
                <w:spacing w:val="-9"/>
                <w:sz w:val="18"/>
              </w:rPr>
              <w:t> </w:t>
            </w:r>
            <w:r>
              <w:rPr>
                <w:sz w:val="18"/>
              </w:rPr>
              <w:t>mediante los</w:t>
            </w:r>
            <w:r>
              <w:rPr>
                <w:spacing w:val="-13"/>
                <w:sz w:val="18"/>
              </w:rPr>
              <w:t> </w:t>
            </w:r>
            <w:r>
              <w:rPr>
                <w:sz w:val="18"/>
              </w:rPr>
              <w:t>mecanismos </w:t>
            </w:r>
            <w:r>
              <w:rPr>
                <w:spacing w:val="-2"/>
                <w:sz w:val="18"/>
              </w:rPr>
              <w:t>ordinarios.</w:t>
            </w:r>
          </w:p>
        </w:tc>
      </w:tr>
      <w:tr>
        <w:trPr>
          <w:trHeight w:val="494" w:hRule="atLeast"/>
        </w:trPr>
        <w:tc>
          <w:tcPr>
            <w:tcW w:w="14247" w:type="dxa"/>
            <w:gridSpan w:val="8"/>
            <w:shd w:val="clear" w:color="auto" w:fill="EFF8F9"/>
          </w:tcPr>
          <w:p>
            <w:pPr>
              <w:pStyle w:val="TableParagraph"/>
              <w:spacing w:before="42"/>
              <w:ind w:left="72"/>
              <w:rPr>
                <w:b/>
                <w:sz w:val="18"/>
              </w:rPr>
            </w:pPr>
            <w:r>
              <w:rPr>
                <w:b/>
                <w:sz w:val="18"/>
              </w:rPr>
              <w:t>Producto</w:t>
            </w:r>
            <w:r>
              <w:rPr>
                <w:b/>
                <w:spacing w:val="-3"/>
                <w:sz w:val="18"/>
              </w:rPr>
              <w:t> </w:t>
            </w:r>
            <w:r>
              <w:rPr>
                <w:b/>
                <w:sz w:val="18"/>
              </w:rPr>
              <w:t>PPPS</w:t>
            </w:r>
            <w:r>
              <w:rPr>
                <w:b/>
                <w:spacing w:val="-3"/>
                <w:sz w:val="18"/>
              </w:rPr>
              <w:t> </w:t>
            </w:r>
            <w:r>
              <w:rPr>
                <w:b/>
                <w:sz w:val="18"/>
              </w:rPr>
              <w:t>1.10:</w:t>
            </w:r>
            <w:r>
              <w:rPr>
                <w:b/>
                <w:spacing w:val="-5"/>
                <w:sz w:val="18"/>
              </w:rPr>
              <w:t> </w:t>
            </w:r>
            <w:r>
              <w:rPr>
                <w:b/>
                <w:sz w:val="18"/>
              </w:rPr>
              <w:t>Oferta</w:t>
            </w:r>
            <w:r>
              <w:rPr>
                <w:b/>
                <w:spacing w:val="-2"/>
                <w:sz w:val="18"/>
              </w:rPr>
              <w:t> </w:t>
            </w:r>
            <w:r>
              <w:rPr>
                <w:b/>
                <w:sz w:val="18"/>
              </w:rPr>
              <w:t>programática</w:t>
            </w:r>
            <w:r>
              <w:rPr>
                <w:b/>
                <w:spacing w:val="-2"/>
                <w:sz w:val="18"/>
              </w:rPr>
              <w:t> </w:t>
            </w:r>
            <w:r>
              <w:rPr>
                <w:b/>
                <w:sz w:val="18"/>
              </w:rPr>
              <w:t>institucional a</w:t>
            </w:r>
            <w:r>
              <w:rPr>
                <w:b/>
                <w:spacing w:val="-2"/>
                <w:sz w:val="18"/>
              </w:rPr>
              <w:t> </w:t>
            </w:r>
            <w:r>
              <w:rPr>
                <w:b/>
                <w:sz w:val="18"/>
              </w:rPr>
              <w:t>nivel de</w:t>
            </w:r>
            <w:r>
              <w:rPr>
                <w:b/>
                <w:spacing w:val="-2"/>
                <w:sz w:val="18"/>
              </w:rPr>
              <w:t> </w:t>
            </w:r>
            <w:r>
              <w:rPr>
                <w:b/>
                <w:sz w:val="18"/>
              </w:rPr>
              <w:t>protección</w:t>
            </w:r>
            <w:r>
              <w:rPr>
                <w:b/>
                <w:spacing w:val="-3"/>
                <w:sz w:val="18"/>
              </w:rPr>
              <w:t> </w:t>
            </w:r>
            <w:r>
              <w:rPr>
                <w:b/>
                <w:sz w:val="18"/>
              </w:rPr>
              <w:t>social analizada, que</w:t>
            </w:r>
            <w:r>
              <w:rPr>
                <w:b/>
                <w:spacing w:val="-2"/>
                <w:sz w:val="18"/>
              </w:rPr>
              <w:t> </w:t>
            </w:r>
            <w:r>
              <w:rPr>
                <w:b/>
                <w:sz w:val="18"/>
              </w:rPr>
              <w:t>permita</w:t>
            </w:r>
            <w:r>
              <w:rPr>
                <w:b/>
                <w:spacing w:val="-2"/>
                <w:sz w:val="18"/>
              </w:rPr>
              <w:t> </w:t>
            </w:r>
            <w:r>
              <w:rPr>
                <w:b/>
                <w:sz w:val="18"/>
              </w:rPr>
              <w:t>la</w:t>
            </w:r>
            <w:r>
              <w:rPr>
                <w:b/>
                <w:spacing w:val="-7"/>
                <w:sz w:val="18"/>
              </w:rPr>
              <w:t> </w:t>
            </w:r>
            <w:r>
              <w:rPr>
                <w:b/>
                <w:sz w:val="18"/>
              </w:rPr>
              <w:t>identificación</w:t>
            </w:r>
            <w:r>
              <w:rPr>
                <w:b/>
                <w:spacing w:val="-3"/>
                <w:sz w:val="18"/>
              </w:rPr>
              <w:t> </w:t>
            </w:r>
            <w:r>
              <w:rPr>
                <w:b/>
                <w:sz w:val="18"/>
              </w:rPr>
              <w:t>de</w:t>
            </w:r>
            <w:r>
              <w:rPr>
                <w:b/>
                <w:spacing w:val="-2"/>
                <w:sz w:val="18"/>
              </w:rPr>
              <w:t> </w:t>
            </w:r>
            <w:r>
              <w:rPr>
                <w:b/>
                <w:sz w:val="18"/>
              </w:rPr>
              <w:t>líneas</w:t>
            </w:r>
            <w:r>
              <w:rPr>
                <w:b/>
                <w:spacing w:val="-2"/>
                <w:sz w:val="18"/>
              </w:rPr>
              <w:t> </w:t>
            </w:r>
            <w:r>
              <w:rPr>
                <w:b/>
                <w:sz w:val="18"/>
              </w:rPr>
              <w:t>y</w:t>
            </w:r>
            <w:r>
              <w:rPr>
                <w:b/>
                <w:spacing w:val="-2"/>
                <w:sz w:val="18"/>
              </w:rPr>
              <w:t> </w:t>
            </w:r>
            <w:r>
              <w:rPr>
                <w:b/>
                <w:sz w:val="18"/>
              </w:rPr>
              <w:t>propuestas de</w:t>
            </w:r>
            <w:r>
              <w:rPr>
                <w:b/>
                <w:spacing w:val="-7"/>
                <w:sz w:val="18"/>
              </w:rPr>
              <w:t> </w:t>
            </w:r>
            <w:r>
              <w:rPr>
                <w:b/>
                <w:sz w:val="18"/>
              </w:rPr>
              <w:t>mejora</w:t>
            </w:r>
            <w:r>
              <w:rPr>
                <w:b/>
                <w:spacing w:val="-2"/>
                <w:sz w:val="18"/>
              </w:rPr>
              <w:t> </w:t>
            </w:r>
            <w:r>
              <w:rPr>
                <w:b/>
                <w:sz w:val="18"/>
              </w:rPr>
              <w:t>bajo</w:t>
            </w:r>
            <w:r>
              <w:rPr>
                <w:b/>
                <w:spacing w:val="-3"/>
                <w:sz w:val="18"/>
              </w:rPr>
              <w:t> </w:t>
            </w:r>
            <w:r>
              <w:rPr>
                <w:b/>
                <w:sz w:val="18"/>
              </w:rPr>
              <w:t>la metodología de GpRD y el Modelo de Intervención Institucional. E2 AE2 R1</w:t>
            </w:r>
          </w:p>
        </w:tc>
      </w:tr>
      <w:tr>
        <w:trPr>
          <w:trHeight w:val="1656" w:hRule="atLeast"/>
        </w:trPr>
        <w:tc>
          <w:tcPr>
            <w:tcW w:w="2972" w:type="dxa"/>
          </w:tcPr>
          <w:p>
            <w:pPr>
              <w:pStyle w:val="TableParagraph"/>
              <w:spacing w:line="207" w:lineRule="exact" w:before="3"/>
              <w:ind w:left="72"/>
              <w:rPr>
                <w:b/>
                <w:sz w:val="18"/>
              </w:rPr>
            </w:pPr>
            <w:r>
              <w:rPr>
                <w:b/>
                <w:sz w:val="18"/>
              </w:rPr>
              <w:t>Actividad</w:t>
            </w:r>
            <w:r>
              <w:rPr>
                <w:b/>
                <w:spacing w:val="-6"/>
                <w:sz w:val="18"/>
              </w:rPr>
              <w:t> </w:t>
            </w:r>
            <w:r>
              <w:rPr>
                <w:b/>
                <w:sz w:val="18"/>
              </w:rPr>
              <w:t>PPPS</w:t>
            </w:r>
            <w:r>
              <w:rPr>
                <w:b/>
                <w:spacing w:val="-6"/>
                <w:sz w:val="18"/>
              </w:rPr>
              <w:t> </w:t>
            </w:r>
            <w:r>
              <w:rPr>
                <w:b/>
                <w:spacing w:val="-2"/>
                <w:sz w:val="18"/>
              </w:rPr>
              <w:t>1.10.1:</w:t>
            </w:r>
          </w:p>
          <w:p>
            <w:pPr>
              <w:pStyle w:val="TableParagraph"/>
              <w:ind w:left="72" w:right="105"/>
              <w:rPr>
                <w:sz w:val="18"/>
              </w:rPr>
            </w:pPr>
            <w:r>
              <w:rPr>
                <w:sz w:val="18"/>
              </w:rPr>
              <w:t>Análisis e identificación de líneas de mejora en subsidios y transferencias monetarias de la oferta</w:t>
            </w:r>
            <w:r>
              <w:rPr>
                <w:spacing w:val="-13"/>
                <w:sz w:val="18"/>
              </w:rPr>
              <w:t> </w:t>
            </w:r>
            <w:r>
              <w:rPr>
                <w:sz w:val="18"/>
              </w:rPr>
              <w:t>programática</w:t>
            </w:r>
            <w:r>
              <w:rPr>
                <w:spacing w:val="-10"/>
                <w:sz w:val="18"/>
              </w:rPr>
              <w:t> </w:t>
            </w:r>
            <w:r>
              <w:rPr>
                <w:sz w:val="18"/>
              </w:rPr>
              <w:t>institucional</w:t>
            </w:r>
            <w:r>
              <w:rPr>
                <w:spacing w:val="-11"/>
                <w:sz w:val="18"/>
              </w:rPr>
              <w:t> </w:t>
            </w:r>
            <w:r>
              <w:rPr>
                <w:sz w:val="18"/>
              </w:rPr>
              <w:t>a nivel de protección social</w:t>
            </w:r>
          </w:p>
          <w:p>
            <w:pPr>
              <w:pStyle w:val="TableParagraph"/>
              <w:spacing w:line="206" w:lineRule="exact"/>
              <w:ind w:left="72" w:right="105"/>
              <w:rPr>
                <w:b/>
                <w:sz w:val="18"/>
              </w:rPr>
            </w:pPr>
            <w:r>
              <w:rPr>
                <w:b/>
                <w:sz w:val="18"/>
              </w:rPr>
              <w:t>(vinculado a PEI 2.2.1 / Estrategia</w:t>
            </w:r>
            <w:r>
              <w:rPr>
                <w:b/>
                <w:spacing w:val="-15"/>
                <w:sz w:val="18"/>
              </w:rPr>
              <w:t> </w:t>
            </w:r>
            <w:r>
              <w:rPr>
                <w:b/>
                <w:sz w:val="18"/>
              </w:rPr>
              <w:t>GpRD</w:t>
            </w:r>
            <w:r>
              <w:rPr>
                <w:b/>
                <w:spacing w:val="-12"/>
                <w:sz w:val="18"/>
              </w:rPr>
              <w:t> </w:t>
            </w:r>
            <w:r>
              <w:rPr>
                <w:b/>
                <w:sz w:val="18"/>
              </w:rPr>
              <w:t>5.6.1).</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8"/>
              <w:jc w:val="center"/>
              <w:rPr>
                <w:sz w:val="18"/>
              </w:rPr>
            </w:pPr>
            <w:r>
              <w:rPr>
                <w:spacing w:val="-10"/>
                <w:sz w:val="18"/>
              </w:rPr>
              <w:t>6</w:t>
            </w:r>
          </w:p>
        </w:tc>
        <w:tc>
          <w:tcPr>
            <w:tcW w:w="1982" w:type="dxa"/>
          </w:tcPr>
          <w:p>
            <w:pPr>
              <w:pStyle w:val="TableParagraph"/>
              <w:spacing w:before="104"/>
              <w:ind w:left="68" w:right="95"/>
              <w:rPr>
                <w:sz w:val="18"/>
              </w:rPr>
            </w:pPr>
            <w:r>
              <w:rPr>
                <w:sz w:val="18"/>
              </w:rPr>
              <w:t>Cantidad de beneficios,</w:t>
            </w:r>
            <w:r>
              <w:rPr>
                <w:spacing w:val="-15"/>
                <w:sz w:val="18"/>
              </w:rPr>
              <w:t> </w:t>
            </w:r>
            <w:r>
              <w:rPr>
                <w:sz w:val="18"/>
              </w:rPr>
              <w:t>subsidios</w:t>
            </w:r>
            <w:r>
              <w:rPr>
                <w:spacing w:val="-12"/>
                <w:sz w:val="18"/>
              </w:rPr>
              <w:t> </w:t>
            </w:r>
            <w:r>
              <w:rPr>
                <w:sz w:val="18"/>
              </w:rPr>
              <w:t>y </w:t>
            </w:r>
            <w:r>
              <w:rPr>
                <w:spacing w:val="-2"/>
                <w:sz w:val="18"/>
              </w:rPr>
              <w:t>transferencias </w:t>
            </w:r>
            <w:r>
              <w:rPr>
                <w:sz w:val="18"/>
              </w:rPr>
              <w:t>monetarias de protección social que cuenta con líneas y propuestas</w:t>
            </w:r>
            <w:r>
              <w:rPr>
                <w:spacing w:val="-11"/>
                <w:sz w:val="18"/>
              </w:rPr>
              <w:t> </w:t>
            </w:r>
            <w:r>
              <w:rPr>
                <w:sz w:val="18"/>
              </w:rPr>
              <w:t>de</w:t>
            </w:r>
            <w:r>
              <w:rPr>
                <w:spacing w:val="-13"/>
                <w:sz w:val="18"/>
              </w:rPr>
              <w:t> </w:t>
            </w:r>
            <w:r>
              <w:rPr>
                <w:sz w:val="18"/>
              </w:rPr>
              <w:t>mejora.</w:t>
            </w:r>
          </w:p>
        </w:tc>
        <w:tc>
          <w:tcPr>
            <w:tcW w:w="1560" w:type="dxa"/>
          </w:tcPr>
          <w:p>
            <w:pPr>
              <w:pStyle w:val="TableParagraph"/>
              <w:rPr>
                <w:b/>
                <w:sz w:val="18"/>
              </w:rPr>
            </w:pPr>
          </w:p>
          <w:p>
            <w:pPr>
              <w:pStyle w:val="TableParagraph"/>
              <w:spacing w:before="3"/>
              <w:rPr>
                <w:b/>
                <w:sz w:val="18"/>
              </w:rPr>
            </w:pPr>
          </w:p>
          <w:p>
            <w:pPr>
              <w:pStyle w:val="TableParagraph"/>
              <w:ind w:left="73" w:right="58"/>
              <w:rPr>
                <w:sz w:val="18"/>
              </w:rPr>
            </w:pPr>
            <w:r>
              <w:rPr>
                <w:sz w:val="18"/>
              </w:rPr>
              <w:t>Documento</w:t>
            </w:r>
            <w:r>
              <w:rPr>
                <w:spacing w:val="-13"/>
                <w:sz w:val="18"/>
              </w:rPr>
              <w:t> </w:t>
            </w:r>
            <w:r>
              <w:rPr>
                <w:sz w:val="18"/>
              </w:rPr>
              <w:t>de </w:t>
            </w:r>
            <w:r>
              <w:rPr>
                <w:spacing w:val="-2"/>
                <w:sz w:val="18"/>
              </w:rPr>
              <w:t>análisis.</w:t>
            </w:r>
          </w:p>
          <w:p>
            <w:pPr>
              <w:pStyle w:val="TableParagraph"/>
              <w:ind w:left="73" w:right="58"/>
              <w:rPr>
                <w:sz w:val="18"/>
              </w:rPr>
            </w:pPr>
            <w:r>
              <w:rPr>
                <w:sz w:val="18"/>
              </w:rPr>
              <w:t>Propuesta</w:t>
            </w:r>
            <w:r>
              <w:rPr>
                <w:spacing w:val="-13"/>
                <w:sz w:val="18"/>
              </w:rPr>
              <w:t> </w:t>
            </w:r>
            <w:r>
              <w:rPr>
                <w:sz w:val="18"/>
              </w:rPr>
              <w:t>de </w:t>
            </w:r>
            <w:r>
              <w:rPr>
                <w:spacing w:val="-2"/>
                <w:sz w:val="18"/>
              </w:rPr>
              <w:t>mejora.</w:t>
            </w:r>
          </w:p>
        </w:tc>
        <w:tc>
          <w:tcPr>
            <w:tcW w:w="141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7" w:right="10"/>
              <w:jc w:val="center"/>
              <w:rPr>
                <w:sz w:val="18"/>
              </w:rPr>
            </w:pPr>
            <w:r>
              <w:rPr>
                <w:spacing w:val="-5"/>
                <w:sz w:val="18"/>
              </w:rPr>
              <w:t>DBF</w:t>
            </w:r>
          </w:p>
        </w:tc>
        <w:tc>
          <w:tcPr>
            <w:tcW w:w="1651" w:type="dxa"/>
          </w:tcPr>
          <w:p>
            <w:pPr>
              <w:pStyle w:val="TableParagraph"/>
              <w:rPr>
                <w:rFonts w:ascii="Times New Roman"/>
                <w:sz w:val="18"/>
              </w:rPr>
            </w:pPr>
          </w:p>
        </w:tc>
        <w:tc>
          <w:tcPr>
            <w:tcW w:w="1546" w:type="dxa"/>
          </w:tcPr>
          <w:p>
            <w:pPr>
              <w:pStyle w:val="TableParagraph"/>
              <w:numPr>
                <w:ilvl w:val="0"/>
                <w:numId w:val="41"/>
              </w:numPr>
              <w:tabs>
                <w:tab w:pos="131" w:val="left" w:leader="none"/>
              </w:tabs>
              <w:spacing w:line="240" w:lineRule="auto" w:before="104" w:after="0"/>
              <w:ind w:left="70" w:right="195" w:firstLine="0"/>
              <w:jc w:val="left"/>
              <w:rPr>
                <w:sz w:val="18"/>
              </w:rPr>
            </w:pPr>
            <w:r>
              <w:rPr>
                <w:spacing w:val="-2"/>
                <w:sz w:val="18"/>
              </w:rPr>
              <w:t>Oferta programática </w:t>
            </w:r>
            <w:r>
              <w:rPr>
                <w:sz w:val="18"/>
              </w:rPr>
              <w:t>institucional</w:t>
            </w:r>
            <w:r>
              <w:rPr>
                <w:spacing w:val="-1"/>
                <w:sz w:val="18"/>
              </w:rPr>
              <w:t> </w:t>
            </w:r>
            <w:r>
              <w:rPr>
                <w:sz w:val="18"/>
              </w:rPr>
              <w:t>a nivel</w:t>
            </w:r>
            <w:r>
              <w:rPr>
                <w:spacing w:val="-13"/>
                <w:sz w:val="18"/>
              </w:rPr>
              <w:t> </w:t>
            </w:r>
            <w:r>
              <w:rPr>
                <w:sz w:val="18"/>
              </w:rPr>
              <w:t>protección social no sea analizada</w:t>
            </w:r>
            <w:r>
              <w:rPr>
                <w:spacing w:val="-15"/>
                <w:sz w:val="18"/>
              </w:rPr>
              <w:t> </w:t>
            </w:r>
            <w:r>
              <w:rPr>
                <w:sz w:val="18"/>
              </w:rPr>
              <w:t>en</w:t>
            </w:r>
            <w:r>
              <w:rPr>
                <w:spacing w:val="-12"/>
                <w:sz w:val="18"/>
              </w:rPr>
              <w:t> </w:t>
            </w:r>
            <w:r>
              <w:rPr>
                <w:sz w:val="18"/>
              </w:rPr>
              <w:t>su </w:t>
            </w:r>
            <w:r>
              <w:rPr>
                <w:spacing w:val="-2"/>
                <w:sz w:val="18"/>
              </w:rPr>
              <w:t>totalidad.</w:t>
            </w:r>
          </w:p>
        </w:tc>
      </w:tr>
      <w:tr>
        <w:trPr>
          <w:trHeight w:val="483" w:hRule="atLeast"/>
        </w:trPr>
        <w:tc>
          <w:tcPr>
            <w:tcW w:w="14247" w:type="dxa"/>
            <w:gridSpan w:val="8"/>
            <w:shd w:val="clear" w:color="auto" w:fill="EFF8F9"/>
          </w:tcPr>
          <w:p>
            <w:pPr>
              <w:pStyle w:val="TableParagraph"/>
              <w:spacing w:line="244" w:lineRule="auto" w:before="32"/>
              <w:ind w:left="72"/>
              <w:rPr>
                <w:b/>
                <w:sz w:val="18"/>
              </w:rPr>
            </w:pPr>
            <w:r>
              <w:rPr>
                <w:b/>
                <w:sz w:val="18"/>
              </w:rPr>
              <w:t>Producto</w:t>
            </w:r>
            <w:r>
              <w:rPr>
                <w:b/>
                <w:spacing w:val="-4"/>
                <w:sz w:val="18"/>
              </w:rPr>
              <w:t> </w:t>
            </w:r>
            <w:r>
              <w:rPr>
                <w:b/>
                <w:sz w:val="18"/>
              </w:rPr>
              <w:t>PPPS</w:t>
            </w:r>
            <w:r>
              <w:rPr>
                <w:b/>
                <w:spacing w:val="-4"/>
                <w:sz w:val="18"/>
              </w:rPr>
              <w:t> </w:t>
            </w:r>
            <w:r>
              <w:rPr>
                <w:b/>
                <w:sz w:val="18"/>
              </w:rPr>
              <w:t>1.11:</w:t>
            </w:r>
            <w:r>
              <w:rPr>
                <w:b/>
                <w:spacing w:val="-6"/>
                <w:sz w:val="18"/>
              </w:rPr>
              <w:t> </w:t>
            </w:r>
            <w:r>
              <w:rPr>
                <w:b/>
                <w:sz w:val="18"/>
              </w:rPr>
              <w:t>Oferta</w:t>
            </w:r>
            <w:r>
              <w:rPr>
                <w:b/>
                <w:spacing w:val="-3"/>
                <w:sz w:val="18"/>
              </w:rPr>
              <w:t> </w:t>
            </w:r>
            <w:r>
              <w:rPr>
                <w:b/>
                <w:sz w:val="18"/>
              </w:rPr>
              <w:t>programática</w:t>
            </w:r>
            <w:r>
              <w:rPr>
                <w:b/>
                <w:spacing w:val="-3"/>
                <w:sz w:val="18"/>
              </w:rPr>
              <w:t> </w:t>
            </w:r>
            <w:r>
              <w:rPr>
                <w:b/>
                <w:sz w:val="18"/>
              </w:rPr>
              <w:t>institucional</w:t>
            </w:r>
            <w:r>
              <w:rPr>
                <w:b/>
                <w:spacing w:val="-1"/>
                <w:sz w:val="18"/>
              </w:rPr>
              <w:t> </w:t>
            </w:r>
            <w:r>
              <w:rPr>
                <w:b/>
                <w:sz w:val="18"/>
              </w:rPr>
              <w:t>a</w:t>
            </w:r>
            <w:r>
              <w:rPr>
                <w:b/>
                <w:spacing w:val="-3"/>
                <w:sz w:val="18"/>
              </w:rPr>
              <w:t> </w:t>
            </w:r>
            <w:r>
              <w:rPr>
                <w:b/>
                <w:sz w:val="18"/>
              </w:rPr>
              <w:t>nivel de</w:t>
            </w:r>
            <w:r>
              <w:rPr>
                <w:b/>
                <w:spacing w:val="-3"/>
                <w:sz w:val="18"/>
              </w:rPr>
              <w:t> </w:t>
            </w:r>
            <w:r>
              <w:rPr>
                <w:b/>
                <w:sz w:val="18"/>
              </w:rPr>
              <w:t>promoción</w:t>
            </w:r>
            <w:r>
              <w:rPr>
                <w:b/>
                <w:spacing w:val="-4"/>
                <w:sz w:val="18"/>
              </w:rPr>
              <w:t> </w:t>
            </w:r>
            <w:r>
              <w:rPr>
                <w:b/>
                <w:sz w:val="18"/>
              </w:rPr>
              <w:t>social analizada,</w:t>
            </w:r>
            <w:r>
              <w:rPr>
                <w:b/>
                <w:spacing w:val="-1"/>
                <w:sz w:val="18"/>
              </w:rPr>
              <w:t> </w:t>
            </w:r>
            <w:r>
              <w:rPr>
                <w:b/>
                <w:sz w:val="18"/>
              </w:rPr>
              <w:t>que</w:t>
            </w:r>
            <w:r>
              <w:rPr>
                <w:b/>
                <w:spacing w:val="-3"/>
                <w:sz w:val="18"/>
              </w:rPr>
              <w:t> </w:t>
            </w:r>
            <w:r>
              <w:rPr>
                <w:b/>
                <w:sz w:val="18"/>
              </w:rPr>
              <w:t>permita</w:t>
            </w:r>
            <w:r>
              <w:rPr>
                <w:b/>
                <w:spacing w:val="-3"/>
                <w:sz w:val="18"/>
              </w:rPr>
              <w:t> </w:t>
            </w:r>
            <w:r>
              <w:rPr>
                <w:b/>
                <w:sz w:val="18"/>
              </w:rPr>
              <w:t>la</w:t>
            </w:r>
            <w:r>
              <w:rPr>
                <w:b/>
                <w:spacing w:val="-3"/>
                <w:sz w:val="18"/>
              </w:rPr>
              <w:t> </w:t>
            </w:r>
            <w:r>
              <w:rPr>
                <w:b/>
                <w:sz w:val="18"/>
              </w:rPr>
              <w:t>identificación</w:t>
            </w:r>
            <w:r>
              <w:rPr>
                <w:b/>
                <w:spacing w:val="-4"/>
                <w:sz w:val="18"/>
              </w:rPr>
              <w:t> </w:t>
            </w:r>
            <w:r>
              <w:rPr>
                <w:b/>
                <w:sz w:val="18"/>
              </w:rPr>
              <w:t>de líneas</w:t>
            </w:r>
            <w:r>
              <w:rPr>
                <w:b/>
                <w:spacing w:val="-3"/>
                <w:sz w:val="18"/>
              </w:rPr>
              <w:t> </w:t>
            </w:r>
            <w:r>
              <w:rPr>
                <w:b/>
                <w:sz w:val="18"/>
              </w:rPr>
              <w:t>y propuestas</w:t>
            </w:r>
            <w:r>
              <w:rPr>
                <w:b/>
                <w:spacing w:val="-3"/>
                <w:sz w:val="18"/>
              </w:rPr>
              <w:t> </w:t>
            </w:r>
            <w:r>
              <w:rPr>
                <w:b/>
                <w:sz w:val="18"/>
              </w:rPr>
              <w:t>de</w:t>
            </w:r>
            <w:r>
              <w:rPr>
                <w:b/>
                <w:spacing w:val="-3"/>
                <w:sz w:val="18"/>
              </w:rPr>
              <w:t> </w:t>
            </w:r>
            <w:r>
              <w:rPr>
                <w:b/>
                <w:sz w:val="18"/>
              </w:rPr>
              <w:t>mejora bajo</w:t>
            </w:r>
            <w:r>
              <w:rPr>
                <w:b/>
                <w:spacing w:val="-4"/>
                <w:sz w:val="18"/>
              </w:rPr>
              <w:t> </w:t>
            </w:r>
            <w:r>
              <w:rPr>
                <w:b/>
                <w:sz w:val="18"/>
              </w:rPr>
              <w:t>la metodología de GpRD y el Modelo de Intervención Institucional. E2 AE2 R2</w:t>
            </w:r>
          </w:p>
        </w:tc>
      </w:tr>
      <w:tr>
        <w:trPr>
          <w:trHeight w:val="1656" w:hRule="atLeast"/>
        </w:trPr>
        <w:tc>
          <w:tcPr>
            <w:tcW w:w="2972" w:type="dxa"/>
          </w:tcPr>
          <w:p>
            <w:pPr>
              <w:pStyle w:val="TableParagraph"/>
              <w:spacing w:line="206"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1.11.1:</w:t>
            </w:r>
          </w:p>
          <w:p>
            <w:pPr>
              <w:pStyle w:val="TableParagraph"/>
              <w:ind w:left="72" w:right="105"/>
              <w:rPr>
                <w:b/>
                <w:sz w:val="18"/>
              </w:rPr>
            </w:pPr>
            <w:r>
              <w:rPr>
                <w:sz w:val="18"/>
              </w:rPr>
              <w:t>Análisis e identificación de líneas de mejora en subsidios y transferencias monetarias de la oferta</w:t>
            </w:r>
            <w:r>
              <w:rPr>
                <w:spacing w:val="-13"/>
                <w:sz w:val="18"/>
              </w:rPr>
              <w:t> </w:t>
            </w:r>
            <w:r>
              <w:rPr>
                <w:sz w:val="18"/>
              </w:rPr>
              <w:t>programática</w:t>
            </w:r>
            <w:r>
              <w:rPr>
                <w:spacing w:val="-10"/>
                <w:sz w:val="18"/>
              </w:rPr>
              <w:t> </w:t>
            </w:r>
            <w:r>
              <w:rPr>
                <w:sz w:val="18"/>
              </w:rPr>
              <w:t>institucional</w:t>
            </w:r>
            <w:r>
              <w:rPr>
                <w:spacing w:val="-11"/>
                <w:sz w:val="18"/>
              </w:rPr>
              <w:t> </w:t>
            </w:r>
            <w:r>
              <w:rPr>
                <w:sz w:val="18"/>
              </w:rPr>
              <w:t>a nivel de promoción social </w:t>
            </w:r>
            <w:r>
              <w:rPr>
                <w:b/>
                <w:sz w:val="18"/>
              </w:rPr>
              <w:t>(vinculada a PEI 2.2.2 /</w:t>
            </w:r>
          </w:p>
          <w:p>
            <w:pPr>
              <w:pStyle w:val="TableParagraph"/>
              <w:spacing w:line="187" w:lineRule="exact" w:before="1"/>
              <w:ind w:left="72"/>
              <w:rPr>
                <w:b/>
                <w:sz w:val="18"/>
              </w:rPr>
            </w:pPr>
            <w:r>
              <w:rPr>
                <w:b/>
                <w:sz w:val="18"/>
              </w:rPr>
              <w:t>Estrategia</w:t>
            </w:r>
            <w:r>
              <w:rPr>
                <w:b/>
                <w:spacing w:val="-5"/>
                <w:sz w:val="18"/>
              </w:rPr>
              <w:t> </w:t>
            </w:r>
            <w:r>
              <w:rPr>
                <w:b/>
                <w:sz w:val="18"/>
              </w:rPr>
              <w:t>GpRD</w:t>
            </w:r>
            <w:r>
              <w:rPr>
                <w:b/>
                <w:spacing w:val="-7"/>
                <w:sz w:val="18"/>
              </w:rPr>
              <w:t> </w:t>
            </w:r>
            <w:r>
              <w:rPr>
                <w:b/>
                <w:spacing w:val="-2"/>
                <w:sz w:val="18"/>
              </w:rPr>
              <w:t>5.6.1).</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8"/>
              <w:jc w:val="center"/>
              <w:rPr>
                <w:sz w:val="18"/>
              </w:rPr>
            </w:pPr>
            <w:r>
              <w:rPr>
                <w:spacing w:val="-10"/>
                <w:sz w:val="18"/>
              </w:rPr>
              <w:t>4</w:t>
            </w:r>
          </w:p>
        </w:tc>
        <w:tc>
          <w:tcPr>
            <w:tcW w:w="1982" w:type="dxa"/>
          </w:tcPr>
          <w:p>
            <w:pPr>
              <w:pStyle w:val="TableParagraph"/>
              <w:spacing w:before="99"/>
              <w:ind w:left="68" w:right="95"/>
              <w:rPr>
                <w:sz w:val="18"/>
              </w:rPr>
            </w:pPr>
            <w:r>
              <w:rPr>
                <w:sz w:val="18"/>
              </w:rPr>
              <w:t>Cantidad de beneficios,</w:t>
            </w:r>
            <w:r>
              <w:rPr>
                <w:spacing w:val="-15"/>
                <w:sz w:val="18"/>
              </w:rPr>
              <w:t> </w:t>
            </w:r>
            <w:r>
              <w:rPr>
                <w:sz w:val="18"/>
              </w:rPr>
              <w:t>subsidios</w:t>
            </w:r>
            <w:r>
              <w:rPr>
                <w:spacing w:val="-12"/>
                <w:sz w:val="18"/>
              </w:rPr>
              <w:t> </w:t>
            </w:r>
            <w:r>
              <w:rPr>
                <w:sz w:val="18"/>
              </w:rPr>
              <w:t>y </w:t>
            </w:r>
            <w:r>
              <w:rPr>
                <w:spacing w:val="-2"/>
                <w:sz w:val="18"/>
              </w:rPr>
              <w:t>transferencias </w:t>
            </w:r>
            <w:r>
              <w:rPr>
                <w:sz w:val="18"/>
              </w:rPr>
              <w:t>monetarias dé promoción social que cuenta con líneas y propuestas de mejora</w:t>
            </w:r>
          </w:p>
        </w:tc>
        <w:tc>
          <w:tcPr>
            <w:tcW w:w="1560" w:type="dxa"/>
          </w:tcPr>
          <w:p>
            <w:pPr>
              <w:pStyle w:val="TableParagraph"/>
              <w:spacing w:before="204"/>
              <w:rPr>
                <w:b/>
                <w:sz w:val="18"/>
              </w:rPr>
            </w:pPr>
          </w:p>
          <w:p>
            <w:pPr>
              <w:pStyle w:val="TableParagraph"/>
              <w:ind w:left="73" w:right="58"/>
              <w:rPr>
                <w:sz w:val="18"/>
              </w:rPr>
            </w:pPr>
            <w:r>
              <w:rPr>
                <w:sz w:val="18"/>
              </w:rPr>
              <w:t>Documento</w:t>
            </w:r>
            <w:r>
              <w:rPr>
                <w:spacing w:val="-13"/>
                <w:sz w:val="18"/>
              </w:rPr>
              <w:t> </w:t>
            </w:r>
            <w:r>
              <w:rPr>
                <w:sz w:val="18"/>
              </w:rPr>
              <w:t>de </w:t>
            </w:r>
            <w:r>
              <w:rPr>
                <w:spacing w:val="-2"/>
                <w:sz w:val="18"/>
              </w:rPr>
              <w:t>análisis.</w:t>
            </w:r>
          </w:p>
          <w:p>
            <w:pPr>
              <w:pStyle w:val="TableParagraph"/>
              <w:ind w:left="73" w:right="58"/>
              <w:rPr>
                <w:sz w:val="18"/>
              </w:rPr>
            </w:pPr>
            <w:r>
              <w:rPr>
                <w:sz w:val="18"/>
              </w:rPr>
              <w:t>Propuesta</w:t>
            </w:r>
            <w:r>
              <w:rPr>
                <w:spacing w:val="-13"/>
                <w:sz w:val="18"/>
              </w:rPr>
              <w:t> </w:t>
            </w:r>
            <w:r>
              <w:rPr>
                <w:sz w:val="18"/>
              </w:rPr>
              <w:t>de </w:t>
            </w:r>
            <w:r>
              <w:rPr>
                <w:spacing w:val="-2"/>
                <w:sz w:val="18"/>
              </w:rPr>
              <w:t>mejora.</w:t>
            </w:r>
          </w:p>
        </w:tc>
        <w:tc>
          <w:tcPr>
            <w:tcW w:w="141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7" w:right="10"/>
              <w:jc w:val="center"/>
              <w:rPr>
                <w:sz w:val="18"/>
              </w:rPr>
            </w:pPr>
            <w:r>
              <w:rPr>
                <w:spacing w:val="-2"/>
                <w:sz w:val="18"/>
              </w:rPr>
              <w:t>DDSPC</w:t>
            </w:r>
          </w:p>
        </w:tc>
        <w:tc>
          <w:tcPr>
            <w:tcW w:w="1651" w:type="dxa"/>
          </w:tcPr>
          <w:p>
            <w:pPr>
              <w:pStyle w:val="TableParagraph"/>
              <w:rPr>
                <w:rFonts w:ascii="Times New Roman"/>
                <w:sz w:val="18"/>
              </w:rPr>
            </w:pPr>
          </w:p>
        </w:tc>
        <w:tc>
          <w:tcPr>
            <w:tcW w:w="1546" w:type="dxa"/>
          </w:tcPr>
          <w:p>
            <w:pPr>
              <w:pStyle w:val="TableParagraph"/>
              <w:numPr>
                <w:ilvl w:val="0"/>
                <w:numId w:val="42"/>
              </w:numPr>
              <w:tabs>
                <w:tab w:pos="131" w:val="left" w:leader="none"/>
              </w:tabs>
              <w:spacing w:line="240" w:lineRule="auto" w:before="205" w:after="0"/>
              <w:ind w:left="70" w:right="176" w:firstLine="0"/>
              <w:jc w:val="left"/>
              <w:rPr>
                <w:sz w:val="18"/>
              </w:rPr>
            </w:pPr>
            <w:r>
              <w:rPr>
                <w:sz w:val="18"/>
              </w:rPr>
              <w:t>Cambios o </w:t>
            </w:r>
            <w:r>
              <w:rPr>
                <w:spacing w:val="-2"/>
                <w:sz w:val="18"/>
              </w:rPr>
              <w:t>modificaciones </w:t>
            </w:r>
            <w:r>
              <w:rPr>
                <w:sz w:val="18"/>
              </w:rPr>
              <w:t>en</w:t>
            </w:r>
            <w:r>
              <w:rPr>
                <w:spacing w:val="-15"/>
                <w:sz w:val="18"/>
              </w:rPr>
              <w:t> </w:t>
            </w:r>
            <w:r>
              <w:rPr>
                <w:sz w:val="18"/>
              </w:rPr>
              <w:t>la</w:t>
            </w:r>
            <w:r>
              <w:rPr>
                <w:spacing w:val="-12"/>
                <w:sz w:val="18"/>
              </w:rPr>
              <w:t> </w:t>
            </w:r>
            <w:r>
              <w:rPr>
                <w:sz w:val="18"/>
              </w:rPr>
              <w:t>legislación y normativa aplicable a la </w:t>
            </w:r>
            <w:r>
              <w:rPr>
                <w:spacing w:val="-2"/>
                <w:sz w:val="18"/>
              </w:rPr>
              <w:t>Institución.</w:t>
            </w:r>
          </w:p>
        </w:tc>
      </w:tr>
      <w:tr>
        <w:trPr>
          <w:trHeight w:val="494" w:hRule="atLeast"/>
        </w:trPr>
        <w:tc>
          <w:tcPr>
            <w:tcW w:w="14247" w:type="dxa"/>
            <w:gridSpan w:val="8"/>
            <w:shd w:val="clear" w:color="auto" w:fill="EFF8F9"/>
          </w:tcPr>
          <w:p>
            <w:pPr>
              <w:pStyle w:val="TableParagraph"/>
              <w:spacing w:before="37"/>
              <w:ind w:left="72"/>
              <w:rPr>
                <w:b/>
                <w:sz w:val="18"/>
              </w:rPr>
            </w:pPr>
            <w:r>
              <w:rPr>
                <w:b/>
                <w:sz w:val="18"/>
              </w:rPr>
              <w:t>Producto</w:t>
            </w:r>
            <w:r>
              <w:rPr>
                <w:b/>
                <w:spacing w:val="-5"/>
                <w:sz w:val="18"/>
              </w:rPr>
              <w:t> </w:t>
            </w:r>
            <w:r>
              <w:rPr>
                <w:b/>
                <w:sz w:val="18"/>
              </w:rPr>
              <w:t>PPPS</w:t>
            </w:r>
            <w:r>
              <w:rPr>
                <w:b/>
                <w:spacing w:val="-5"/>
                <w:sz w:val="18"/>
              </w:rPr>
              <w:t> </w:t>
            </w:r>
            <w:r>
              <w:rPr>
                <w:b/>
                <w:sz w:val="18"/>
              </w:rPr>
              <w:t>1.12:</w:t>
            </w:r>
            <w:r>
              <w:rPr>
                <w:b/>
                <w:spacing w:val="-7"/>
                <w:sz w:val="18"/>
              </w:rPr>
              <w:t> </w:t>
            </w:r>
            <w:r>
              <w:rPr>
                <w:b/>
                <w:sz w:val="18"/>
              </w:rPr>
              <w:t>Oferta</w:t>
            </w:r>
            <w:r>
              <w:rPr>
                <w:b/>
                <w:spacing w:val="-4"/>
                <w:sz w:val="18"/>
              </w:rPr>
              <w:t> </w:t>
            </w:r>
            <w:r>
              <w:rPr>
                <w:b/>
                <w:sz w:val="18"/>
              </w:rPr>
              <w:t>programática</w:t>
            </w:r>
            <w:r>
              <w:rPr>
                <w:b/>
                <w:spacing w:val="-4"/>
                <w:sz w:val="18"/>
              </w:rPr>
              <w:t> </w:t>
            </w:r>
            <w:r>
              <w:rPr>
                <w:b/>
                <w:sz w:val="18"/>
              </w:rPr>
              <w:t>institucional</w:t>
            </w:r>
            <w:r>
              <w:rPr>
                <w:b/>
                <w:spacing w:val="-2"/>
                <w:sz w:val="18"/>
              </w:rPr>
              <w:t> </w:t>
            </w:r>
            <w:r>
              <w:rPr>
                <w:b/>
                <w:sz w:val="18"/>
              </w:rPr>
              <w:t>reestructurada,</w:t>
            </w:r>
            <w:r>
              <w:rPr>
                <w:b/>
                <w:spacing w:val="-2"/>
                <w:sz w:val="18"/>
              </w:rPr>
              <w:t> </w:t>
            </w:r>
            <w:r>
              <w:rPr>
                <w:b/>
                <w:sz w:val="18"/>
              </w:rPr>
              <w:t>aprobada</w:t>
            </w:r>
            <w:r>
              <w:rPr>
                <w:b/>
                <w:spacing w:val="-4"/>
                <w:sz w:val="18"/>
              </w:rPr>
              <w:t> </w:t>
            </w:r>
            <w:r>
              <w:rPr>
                <w:b/>
                <w:sz w:val="18"/>
              </w:rPr>
              <w:t>y</w:t>
            </w:r>
            <w:r>
              <w:rPr>
                <w:b/>
                <w:spacing w:val="-4"/>
                <w:sz w:val="18"/>
              </w:rPr>
              <w:t> </w:t>
            </w:r>
            <w:r>
              <w:rPr>
                <w:b/>
                <w:sz w:val="18"/>
              </w:rPr>
              <w:t>oficializada,</w:t>
            </w:r>
            <w:r>
              <w:rPr>
                <w:b/>
                <w:spacing w:val="-2"/>
                <w:sz w:val="18"/>
              </w:rPr>
              <w:t> </w:t>
            </w:r>
            <w:r>
              <w:rPr>
                <w:b/>
                <w:sz w:val="18"/>
              </w:rPr>
              <w:t>que</w:t>
            </w:r>
            <w:r>
              <w:rPr>
                <w:b/>
                <w:spacing w:val="-4"/>
                <w:sz w:val="18"/>
              </w:rPr>
              <w:t> </w:t>
            </w:r>
            <w:r>
              <w:rPr>
                <w:b/>
                <w:sz w:val="18"/>
              </w:rPr>
              <w:t>contribuya</w:t>
            </w:r>
            <w:r>
              <w:rPr>
                <w:b/>
                <w:spacing w:val="-4"/>
                <w:sz w:val="18"/>
              </w:rPr>
              <w:t> </w:t>
            </w:r>
            <w:r>
              <w:rPr>
                <w:b/>
                <w:sz w:val="18"/>
              </w:rPr>
              <w:t>a</w:t>
            </w:r>
            <w:r>
              <w:rPr>
                <w:b/>
                <w:spacing w:val="-4"/>
                <w:sz w:val="18"/>
              </w:rPr>
              <w:t> </w:t>
            </w:r>
            <w:r>
              <w:rPr>
                <w:b/>
                <w:sz w:val="18"/>
              </w:rPr>
              <w:t>la</w:t>
            </w:r>
            <w:r>
              <w:rPr>
                <w:b/>
                <w:spacing w:val="-4"/>
                <w:sz w:val="18"/>
              </w:rPr>
              <w:t> </w:t>
            </w:r>
            <w:r>
              <w:rPr>
                <w:b/>
                <w:sz w:val="18"/>
              </w:rPr>
              <w:t>generación de</w:t>
            </w:r>
            <w:r>
              <w:rPr>
                <w:b/>
                <w:spacing w:val="-4"/>
                <w:sz w:val="18"/>
              </w:rPr>
              <w:t> </w:t>
            </w:r>
            <w:r>
              <w:rPr>
                <w:b/>
                <w:sz w:val="18"/>
              </w:rPr>
              <w:t>valor</w:t>
            </w:r>
            <w:r>
              <w:rPr>
                <w:b/>
                <w:spacing w:val="-3"/>
                <w:sz w:val="18"/>
              </w:rPr>
              <w:t> </w:t>
            </w:r>
            <w:r>
              <w:rPr>
                <w:b/>
                <w:sz w:val="18"/>
              </w:rPr>
              <w:t>público desde</w:t>
            </w:r>
            <w:r>
              <w:rPr>
                <w:b/>
                <w:spacing w:val="-4"/>
                <w:sz w:val="18"/>
              </w:rPr>
              <w:t> </w:t>
            </w:r>
            <w:r>
              <w:rPr>
                <w:b/>
                <w:sz w:val="18"/>
              </w:rPr>
              <w:t>el</w:t>
            </w:r>
            <w:r>
              <w:rPr>
                <w:b/>
                <w:spacing w:val="-2"/>
                <w:sz w:val="18"/>
              </w:rPr>
              <w:t> </w:t>
            </w:r>
            <w:r>
              <w:rPr>
                <w:b/>
                <w:sz w:val="18"/>
              </w:rPr>
              <w:t>accionar del IMAS en el marco del Modelo de Intervención Institucional. E2 AE2 R3</w:t>
            </w:r>
          </w:p>
        </w:tc>
      </w:tr>
    </w:tbl>
    <w:p>
      <w:pPr>
        <w:pStyle w:val="TableParagraph"/>
        <w:spacing w:after="0"/>
        <w:rPr>
          <w:b/>
          <w:sz w:val="18"/>
        </w:rPr>
        <w:sectPr>
          <w:pgSz w:w="15840" w:h="12240" w:orient="landscape"/>
          <w:pgMar w:header="0" w:footer="1806" w:top="700" w:bottom="2848"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51"/>
        <w:gridCol w:w="1546"/>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51" w:type="dxa"/>
            <w:shd w:val="clear" w:color="auto" w:fill="D9D9D9"/>
          </w:tcPr>
          <w:p>
            <w:pPr>
              <w:pStyle w:val="TableParagraph"/>
              <w:spacing w:before="104"/>
              <w:ind w:left="430" w:hanging="120"/>
              <w:rPr>
                <w:b/>
                <w:sz w:val="18"/>
              </w:rPr>
            </w:pPr>
            <w:r>
              <w:rPr>
                <w:b/>
                <w:spacing w:val="-2"/>
                <w:sz w:val="18"/>
              </w:rPr>
              <w:t>Presupuesto asignado</w:t>
            </w:r>
          </w:p>
        </w:tc>
        <w:tc>
          <w:tcPr>
            <w:tcW w:w="1546" w:type="dxa"/>
            <w:shd w:val="clear" w:color="auto" w:fill="D9D9D9"/>
          </w:tcPr>
          <w:p>
            <w:pPr>
              <w:pStyle w:val="TableParagraph"/>
              <w:spacing w:line="206" w:lineRule="exact"/>
              <w:ind w:left="14"/>
              <w:jc w:val="center"/>
              <w:rPr>
                <w:b/>
                <w:sz w:val="18"/>
              </w:rPr>
            </w:pPr>
            <w:r>
              <w:rPr>
                <w:b/>
                <w:spacing w:val="-2"/>
                <w:sz w:val="18"/>
              </w:rPr>
              <w:t>Riesgos </w:t>
            </w:r>
            <w:r>
              <w:rPr>
                <w:b/>
                <w:sz w:val="18"/>
              </w:rPr>
              <w:t>asociados al </w:t>
            </w:r>
            <w:r>
              <w:rPr>
                <w:b/>
                <w:spacing w:val="-2"/>
                <w:sz w:val="18"/>
              </w:rPr>
              <w:t>cumplimiento</w:t>
            </w:r>
          </w:p>
        </w:tc>
      </w:tr>
      <w:tr>
        <w:trPr>
          <w:trHeight w:val="1449" w:hRule="atLeast"/>
        </w:trPr>
        <w:tc>
          <w:tcPr>
            <w:tcW w:w="2972" w:type="dxa"/>
          </w:tcPr>
          <w:p>
            <w:pPr>
              <w:pStyle w:val="TableParagraph"/>
              <w:spacing w:before="104"/>
              <w:ind w:left="72"/>
              <w:rPr>
                <w:b/>
                <w:sz w:val="18"/>
              </w:rPr>
            </w:pPr>
            <w:r>
              <w:rPr>
                <w:b/>
                <w:sz w:val="18"/>
              </w:rPr>
              <w:t>Actividad</w:t>
            </w:r>
            <w:r>
              <w:rPr>
                <w:b/>
                <w:spacing w:val="-6"/>
                <w:sz w:val="18"/>
              </w:rPr>
              <w:t> </w:t>
            </w:r>
            <w:r>
              <w:rPr>
                <w:b/>
                <w:sz w:val="18"/>
              </w:rPr>
              <w:t>PPPS</w:t>
            </w:r>
            <w:r>
              <w:rPr>
                <w:b/>
                <w:spacing w:val="-6"/>
                <w:sz w:val="18"/>
              </w:rPr>
              <w:t> </w:t>
            </w:r>
            <w:r>
              <w:rPr>
                <w:b/>
                <w:spacing w:val="-2"/>
                <w:sz w:val="18"/>
              </w:rPr>
              <w:t>1.12.1:</w:t>
            </w:r>
          </w:p>
          <w:p>
            <w:pPr>
              <w:pStyle w:val="TableParagraph"/>
              <w:ind w:left="72" w:right="105"/>
              <w:rPr>
                <w:b/>
                <w:sz w:val="18"/>
              </w:rPr>
            </w:pPr>
            <w:r>
              <w:rPr>
                <w:sz w:val="18"/>
              </w:rPr>
              <w:t>Ajuste de la oferta programática institucional según líneas de mejora</w:t>
            </w:r>
            <w:r>
              <w:rPr>
                <w:spacing w:val="-13"/>
                <w:sz w:val="18"/>
              </w:rPr>
              <w:t> </w:t>
            </w:r>
            <w:r>
              <w:rPr>
                <w:sz w:val="18"/>
              </w:rPr>
              <w:t>identificadas</w:t>
            </w:r>
            <w:r>
              <w:rPr>
                <w:spacing w:val="-11"/>
                <w:sz w:val="18"/>
              </w:rPr>
              <w:t> </w:t>
            </w:r>
            <w:r>
              <w:rPr>
                <w:b/>
                <w:sz w:val="18"/>
              </w:rPr>
              <w:t>(vinculado</w:t>
            </w:r>
            <w:r>
              <w:rPr>
                <w:b/>
                <w:spacing w:val="-9"/>
                <w:sz w:val="18"/>
              </w:rPr>
              <w:t> </w:t>
            </w:r>
            <w:r>
              <w:rPr>
                <w:b/>
                <w:sz w:val="18"/>
              </w:rPr>
              <w:t>a PEI 2.2.3 / Estrategia GpRD </w:t>
            </w:r>
            <w:r>
              <w:rPr>
                <w:b/>
                <w:spacing w:val="-2"/>
                <w:sz w:val="18"/>
              </w:rPr>
              <w:t>5.6.2).</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6"/>
              <w:jc w:val="center"/>
              <w:rPr>
                <w:sz w:val="18"/>
              </w:rPr>
            </w:pPr>
            <w:r>
              <w:rPr>
                <w:spacing w:val="-5"/>
                <w:sz w:val="18"/>
              </w:rPr>
              <w:t>50%</w:t>
            </w:r>
          </w:p>
        </w:tc>
        <w:tc>
          <w:tcPr>
            <w:tcW w:w="1982" w:type="dxa"/>
          </w:tcPr>
          <w:p>
            <w:pPr>
              <w:pStyle w:val="TableParagraph"/>
              <w:spacing w:before="3"/>
              <w:rPr>
                <w:b/>
                <w:sz w:val="18"/>
              </w:rPr>
            </w:pPr>
          </w:p>
          <w:p>
            <w:pPr>
              <w:pStyle w:val="TableParagraph"/>
              <w:ind w:left="68"/>
              <w:rPr>
                <w:sz w:val="18"/>
              </w:rPr>
            </w:pPr>
            <w:r>
              <w:rPr>
                <w:sz w:val="18"/>
              </w:rPr>
              <w:t>Porcentaje</w:t>
            </w:r>
            <w:r>
              <w:rPr>
                <w:spacing w:val="-13"/>
                <w:sz w:val="18"/>
              </w:rPr>
              <w:t> </w:t>
            </w:r>
            <w:r>
              <w:rPr>
                <w:sz w:val="18"/>
              </w:rPr>
              <w:t>de</w:t>
            </w:r>
            <w:r>
              <w:rPr>
                <w:spacing w:val="-10"/>
                <w:sz w:val="18"/>
              </w:rPr>
              <w:t> </w:t>
            </w:r>
            <w:r>
              <w:rPr>
                <w:sz w:val="18"/>
              </w:rPr>
              <w:t>la</w:t>
            </w:r>
            <w:r>
              <w:rPr>
                <w:spacing w:val="-13"/>
                <w:sz w:val="18"/>
              </w:rPr>
              <w:t> </w:t>
            </w:r>
            <w:r>
              <w:rPr>
                <w:sz w:val="18"/>
              </w:rPr>
              <w:t>oferta </w:t>
            </w:r>
            <w:r>
              <w:rPr>
                <w:spacing w:val="-2"/>
                <w:sz w:val="18"/>
              </w:rPr>
              <w:t>programática institucional </w:t>
            </w:r>
            <w:r>
              <w:rPr>
                <w:sz w:val="18"/>
              </w:rPr>
              <w:t>reestructurada y en </w:t>
            </w:r>
            <w:r>
              <w:rPr>
                <w:spacing w:val="-2"/>
                <w:sz w:val="18"/>
              </w:rPr>
              <w:t>ejecución.</w:t>
            </w:r>
          </w:p>
        </w:tc>
        <w:tc>
          <w:tcPr>
            <w:tcW w:w="1560" w:type="dxa"/>
          </w:tcPr>
          <w:p>
            <w:pPr>
              <w:pStyle w:val="TableParagraph"/>
              <w:spacing w:before="3"/>
              <w:rPr>
                <w:b/>
                <w:sz w:val="18"/>
              </w:rPr>
            </w:pPr>
          </w:p>
          <w:p>
            <w:pPr>
              <w:pStyle w:val="TableParagraph"/>
              <w:ind w:left="73" w:right="130"/>
              <w:rPr>
                <w:sz w:val="18"/>
              </w:rPr>
            </w:pPr>
            <w:r>
              <w:rPr>
                <w:sz w:val="18"/>
              </w:rPr>
              <w:t>Informe de </w:t>
            </w:r>
            <w:r>
              <w:rPr>
                <w:spacing w:val="-2"/>
                <w:sz w:val="18"/>
              </w:rPr>
              <w:t>reestructuración </w:t>
            </w:r>
            <w:r>
              <w:rPr>
                <w:sz w:val="18"/>
              </w:rPr>
              <w:t>y</w:t>
            </w:r>
            <w:r>
              <w:rPr>
                <w:spacing w:val="-10"/>
                <w:sz w:val="18"/>
              </w:rPr>
              <w:t> </w:t>
            </w:r>
            <w:r>
              <w:rPr>
                <w:sz w:val="18"/>
              </w:rPr>
              <w:t>ejecución</w:t>
            </w:r>
            <w:r>
              <w:rPr>
                <w:spacing w:val="-13"/>
                <w:sz w:val="18"/>
              </w:rPr>
              <w:t> </w:t>
            </w:r>
            <w:r>
              <w:rPr>
                <w:sz w:val="18"/>
              </w:rPr>
              <w:t>de</w:t>
            </w:r>
            <w:r>
              <w:rPr>
                <w:spacing w:val="-12"/>
                <w:sz w:val="18"/>
              </w:rPr>
              <w:t> </w:t>
            </w:r>
            <w:r>
              <w:rPr>
                <w:sz w:val="18"/>
              </w:rPr>
              <w:t>la </w:t>
            </w:r>
            <w:r>
              <w:rPr>
                <w:spacing w:val="-2"/>
                <w:sz w:val="18"/>
              </w:rPr>
              <w:t>oferta programática</w:t>
            </w:r>
          </w:p>
        </w:tc>
        <w:tc>
          <w:tcPr>
            <w:tcW w:w="141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7" w:right="10"/>
              <w:jc w:val="center"/>
              <w:rPr>
                <w:sz w:val="18"/>
              </w:rPr>
            </w:pPr>
            <w:r>
              <w:rPr>
                <w:spacing w:val="-5"/>
                <w:sz w:val="18"/>
              </w:rPr>
              <w:t>DBF</w:t>
            </w:r>
          </w:p>
        </w:tc>
        <w:tc>
          <w:tcPr>
            <w:tcW w:w="1651" w:type="dxa"/>
          </w:tcPr>
          <w:p>
            <w:pPr>
              <w:pStyle w:val="TableParagraph"/>
              <w:rPr>
                <w:rFonts w:ascii="Times New Roman"/>
                <w:sz w:val="18"/>
              </w:rPr>
            </w:pPr>
          </w:p>
        </w:tc>
        <w:tc>
          <w:tcPr>
            <w:tcW w:w="1546" w:type="dxa"/>
          </w:tcPr>
          <w:p>
            <w:pPr>
              <w:pStyle w:val="TableParagraph"/>
              <w:numPr>
                <w:ilvl w:val="0"/>
                <w:numId w:val="43"/>
              </w:numPr>
              <w:tabs>
                <w:tab w:pos="131" w:val="left" w:leader="none"/>
              </w:tabs>
              <w:spacing w:line="240" w:lineRule="auto" w:before="3" w:after="0"/>
              <w:ind w:left="70" w:right="56" w:firstLine="0"/>
              <w:jc w:val="left"/>
              <w:rPr>
                <w:sz w:val="18"/>
              </w:rPr>
            </w:pPr>
            <w:r>
              <w:rPr>
                <w:spacing w:val="-2"/>
                <w:sz w:val="18"/>
              </w:rPr>
              <w:t>Oferta programática </w:t>
            </w:r>
            <w:r>
              <w:rPr>
                <w:sz w:val="18"/>
              </w:rPr>
              <w:t>institucional</w:t>
            </w:r>
            <w:r>
              <w:rPr>
                <w:spacing w:val="-1"/>
                <w:sz w:val="18"/>
              </w:rPr>
              <w:t> </w:t>
            </w:r>
            <w:r>
              <w:rPr>
                <w:sz w:val="18"/>
              </w:rPr>
              <w:t>a nivel</w:t>
            </w:r>
            <w:r>
              <w:rPr>
                <w:spacing w:val="-15"/>
                <w:sz w:val="18"/>
              </w:rPr>
              <w:t> </w:t>
            </w:r>
            <w:r>
              <w:rPr>
                <w:sz w:val="18"/>
              </w:rPr>
              <w:t>a</w:t>
            </w:r>
            <w:r>
              <w:rPr>
                <w:spacing w:val="-12"/>
                <w:sz w:val="18"/>
              </w:rPr>
              <w:t> </w:t>
            </w:r>
            <w:r>
              <w:rPr>
                <w:sz w:val="18"/>
              </w:rPr>
              <w:t>protección social no sea </w:t>
            </w:r>
            <w:r>
              <w:rPr>
                <w:spacing w:val="-2"/>
                <w:sz w:val="18"/>
              </w:rPr>
              <w:t>reestructurada</w:t>
            </w:r>
          </w:p>
          <w:p>
            <w:pPr>
              <w:pStyle w:val="TableParagraph"/>
              <w:spacing w:line="184" w:lineRule="exact"/>
              <w:ind w:left="70"/>
              <w:rPr>
                <w:sz w:val="18"/>
              </w:rPr>
            </w:pPr>
            <w:r>
              <w:rPr>
                <w:sz w:val="18"/>
              </w:rPr>
              <w:t>en</w:t>
            </w:r>
            <w:r>
              <w:rPr>
                <w:spacing w:val="2"/>
                <w:sz w:val="18"/>
              </w:rPr>
              <w:t> </w:t>
            </w:r>
            <w:r>
              <w:rPr>
                <w:sz w:val="18"/>
              </w:rPr>
              <w:t>su</w:t>
            </w:r>
            <w:r>
              <w:rPr>
                <w:spacing w:val="-3"/>
                <w:sz w:val="18"/>
              </w:rPr>
              <w:t> </w:t>
            </w:r>
            <w:r>
              <w:rPr>
                <w:spacing w:val="-2"/>
                <w:sz w:val="18"/>
              </w:rPr>
              <w:t>totalidad.</w:t>
            </w:r>
          </w:p>
        </w:tc>
      </w:tr>
      <w:tr>
        <w:trPr>
          <w:trHeight w:val="513" w:hRule="atLeast"/>
        </w:trPr>
        <w:tc>
          <w:tcPr>
            <w:tcW w:w="14247" w:type="dxa"/>
            <w:gridSpan w:val="8"/>
            <w:shd w:val="clear" w:color="auto" w:fill="EFF8F9"/>
          </w:tcPr>
          <w:p>
            <w:pPr>
              <w:pStyle w:val="TableParagraph"/>
              <w:spacing w:line="244" w:lineRule="auto" w:before="47"/>
              <w:ind w:left="72"/>
              <w:rPr>
                <w:b/>
                <w:sz w:val="18"/>
              </w:rPr>
            </w:pPr>
            <w:r>
              <w:rPr>
                <w:b/>
                <w:sz w:val="18"/>
              </w:rPr>
              <w:t>Producto</w:t>
            </w:r>
            <w:r>
              <w:rPr>
                <w:b/>
                <w:spacing w:val="-4"/>
                <w:sz w:val="18"/>
              </w:rPr>
              <w:t> </w:t>
            </w:r>
            <w:r>
              <w:rPr>
                <w:b/>
                <w:sz w:val="18"/>
              </w:rPr>
              <w:t>PPPS</w:t>
            </w:r>
            <w:r>
              <w:rPr>
                <w:b/>
                <w:spacing w:val="-4"/>
                <w:sz w:val="18"/>
              </w:rPr>
              <w:t> </w:t>
            </w:r>
            <w:r>
              <w:rPr>
                <w:b/>
                <w:sz w:val="18"/>
              </w:rPr>
              <w:t>1.13:</w:t>
            </w:r>
            <w:r>
              <w:rPr>
                <w:b/>
                <w:spacing w:val="-1"/>
                <w:sz w:val="18"/>
              </w:rPr>
              <w:t> </w:t>
            </w:r>
            <w:r>
              <w:rPr>
                <w:b/>
                <w:sz w:val="18"/>
              </w:rPr>
              <w:t>Estándares de</w:t>
            </w:r>
            <w:r>
              <w:rPr>
                <w:b/>
                <w:spacing w:val="-3"/>
                <w:sz w:val="18"/>
              </w:rPr>
              <w:t> </w:t>
            </w:r>
            <w:r>
              <w:rPr>
                <w:b/>
                <w:sz w:val="18"/>
              </w:rPr>
              <w:t>calidad de</w:t>
            </w:r>
            <w:r>
              <w:rPr>
                <w:b/>
                <w:spacing w:val="-3"/>
                <w:sz w:val="18"/>
              </w:rPr>
              <w:t> </w:t>
            </w:r>
            <w:r>
              <w:rPr>
                <w:b/>
                <w:sz w:val="18"/>
              </w:rPr>
              <w:t>la</w:t>
            </w:r>
            <w:r>
              <w:rPr>
                <w:b/>
                <w:spacing w:val="-3"/>
                <w:sz w:val="18"/>
              </w:rPr>
              <w:t> </w:t>
            </w:r>
            <w:r>
              <w:rPr>
                <w:b/>
                <w:sz w:val="18"/>
              </w:rPr>
              <w:t>oferta</w:t>
            </w:r>
            <w:r>
              <w:rPr>
                <w:b/>
                <w:spacing w:val="-3"/>
                <w:sz w:val="18"/>
              </w:rPr>
              <w:t> </w:t>
            </w:r>
            <w:r>
              <w:rPr>
                <w:b/>
                <w:sz w:val="18"/>
              </w:rPr>
              <w:t>programática</w:t>
            </w:r>
            <w:r>
              <w:rPr>
                <w:b/>
                <w:spacing w:val="-8"/>
                <w:sz w:val="18"/>
              </w:rPr>
              <w:t> </w:t>
            </w:r>
            <w:r>
              <w:rPr>
                <w:b/>
                <w:sz w:val="18"/>
              </w:rPr>
              <w:t>institucional</w:t>
            </w:r>
            <w:r>
              <w:rPr>
                <w:b/>
                <w:spacing w:val="-1"/>
                <w:sz w:val="18"/>
              </w:rPr>
              <w:t> </w:t>
            </w:r>
            <w:r>
              <w:rPr>
                <w:b/>
                <w:sz w:val="18"/>
              </w:rPr>
              <w:t>diseñados,</w:t>
            </w:r>
            <w:r>
              <w:rPr>
                <w:b/>
                <w:spacing w:val="-1"/>
                <w:sz w:val="18"/>
              </w:rPr>
              <w:t> </w:t>
            </w:r>
            <w:r>
              <w:rPr>
                <w:b/>
                <w:sz w:val="18"/>
              </w:rPr>
              <w:t>que permitan</w:t>
            </w:r>
            <w:r>
              <w:rPr>
                <w:b/>
                <w:spacing w:val="-4"/>
                <w:sz w:val="18"/>
              </w:rPr>
              <w:t> </w:t>
            </w:r>
            <w:r>
              <w:rPr>
                <w:b/>
                <w:sz w:val="18"/>
              </w:rPr>
              <w:t>el</w:t>
            </w:r>
            <w:r>
              <w:rPr>
                <w:b/>
                <w:spacing w:val="-1"/>
                <w:sz w:val="18"/>
              </w:rPr>
              <w:t> </w:t>
            </w:r>
            <w:r>
              <w:rPr>
                <w:b/>
                <w:sz w:val="18"/>
              </w:rPr>
              <w:t>desarrollo</w:t>
            </w:r>
            <w:r>
              <w:rPr>
                <w:b/>
                <w:spacing w:val="-4"/>
                <w:sz w:val="18"/>
              </w:rPr>
              <w:t> </w:t>
            </w:r>
            <w:r>
              <w:rPr>
                <w:b/>
                <w:sz w:val="18"/>
              </w:rPr>
              <w:t>de</w:t>
            </w:r>
            <w:r>
              <w:rPr>
                <w:b/>
                <w:spacing w:val="-3"/>
                <w:sz w:val="18"/>
              </w:rPr>
              <w:t> </w:t>
            </w:r>
            <w:r>
              <w:rPr>
                <w:b/>
                <w:sz w:val="18"/>
              </w:rPr>
              <w:t>un sistema</w:t>
            </w:r>
            <w:r>
              <w:rPr>
                <w:b/>
                <w:spacing w:val="-3"/>
                <w:sz w:val="18"/>
              </w:rPr>
              <w:t> </w:t>
            </w:r>
            <w:r>
              <w:rPr>
                <w:b/>
                <w:sz w:val="18"/>
              </w:rPr>
              <w:t>de seguimiento</w:t>
            </w:r>
            <w:r>
              <w:rPr>
                <w:b/>
                <w:spacing w:val="-4"/>
                <w:sz w:val="18"/>
              </w:rPr>
              <w:t> </w:t>
            </w:r>
            <w:r>
              <w:rPr>
                <w:b/>
                <w:sz w:val="18"/>
              </w:rPr>
              <w:t>y</w:t>
            </w:r>
            <w:r>
              <w:rPr>
                <w:b/>
                <w:spacing w:val="-3"/>
                <w:sz w:val="18"/>
              </w:rPr>
              <w:t> </w:t>
            </w:r>
            <w:r>
              <w:rPr>
                <w:b/>
                <w:sz w:val="18"/>
              </w:rPr>
              <w:t>control.</w:t>
            </w:r>
            <w:r>
              <w:rPr>
                <w:b/>
                <w:spacing w:val="-1"/>
                <w:sz w:val="18"/>
              </w:rPr>
              <w:t> </w:t>
            </w:r>
            <w:r>
              <w:rPr>
                <w:b/>
                <w:sz w:val="18"/>
              </w:rPr>
              <w:t>E2 AE3 R1</w:t>
            </w:r>
          </w:p>
        </w:tc>
      </w:tr>
      <w:tr>
        <w:trPr>
          <w:trHeight w:val="3725" w:hRule="atLeast"/>
        </w:trPr>
        <w:tc>
          <w:tcPr>
            <w:tcW w:w="2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spacing w:line="207"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1.13.1:</w:t>
            </w:r>
          </w:p>
          <w:p>
            <w:pPr>
              <w:pStyle w:val="TableParagraph"/>
              <w:spacing w:line="242" w:lineRule="auto"/>
              <w:ind w:left="72" w:right="141"/>
              <w:rPr>
                <w:sz w:val="18"/>
              </w:rPr>
            </w:pPr>
            <w:r>
              <w:rPr>
                <w:sz w:val="18"/>
              </w:rPr>
              <w:t>Diseño</w:t>
            </w:r>
            <w:r>
              <w:rPr>
                <w:spacing w:val="-6"/>
                <w:sz w:val="18"/>
              </w:rPr>
              <w:t> </w:t>
            </w:r>
            <w:r>
              <w:rPr>
                <w:sz w:val="18"/>
              </w:rPr>
              <w:t>de</w:t>
            </w:r>
            <w:r>
              <w:rPr>
                <w:spacing w:val="-10"/>
                <w:sz w:val="18"/>
              </w:rPr>
              <w:t> </w:t>
            </w:r>
            <w:r>
              <w:rPr>
                <w:sz w:val="18"/>
              </w:rPr>
              <w:t>estándares</w:t>
            </w:r>
            <w:r>
              <w:rPr>
                <w:spacing w:val="-10"/>
                <w:sz w:val="18"/>
              </w:rPr>
              <w:t> </w:t>
            </w:r>
            <w:r>
              <w:rPr>
                <w:sz w:val="18"/>
              </w:rPr>
              <w:t>de</w:t>
            </w:r>
            <w:r>
              <w:rPr>
                <w:spacing w:val="-10"/>
                <w:sz w:val="18"/>
              </w:rPr>
              <w:t> </w:t>
            </w:r>
            <w:r>
              <w:rPr>
                <w:sz w:val="18"/>
              </w:rPr>
              <w:t>calidad de la oferta programática instituciona</w:t>
            </w:r>
            <w:r>
              <w:rPr>
                <w:b/>
                <w:sz w:val="18"/>
              </w:rPr>
              <w:t>l (vinculado a PEI 2.3.1 / Estrategia GpRD 5.5.1)</w:t>
            </w:r>
            <w:r>
              <w:rPr>
                <w:sz w:val="18"/>
              </w:rPr>
              <w:t>.</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0"/>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0"/>
              <w:rPr>
                <w:b/>
                <w:sz w:val="18"/>
              </w:rPr>
            </w:pPr>
          </w:p>
          <w:p>
            <w:pPr>
              <w:pStyle w:val="TableParagraph"/>
              <w:ind w:left="21" w:right="12"/>
              <w:jc w:val="center"/>
              <w:rPr>
                <w:sz w:val="18"/>
              </w:rPr>
            </w:pPr>
            <w:r>
              <w:rPr>
                <w:spacing w:val="-4"/>
                <w:sz w:val="18"/>
              </w:rPr>
              <w:t>100%</w:t>
            </w:r>
          </w:p>
        </w:tc>
        <w:tc>
          <w:tcPr>
            <w:tcW w:w="19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68" w:right="135"/>
              <w:rPr>
                <w:sz w:val="18"/>
              </w:rPr>
            </w:pPr>
            <w:r>
              <w:rPr>
                <w:sz w:val="18"/>
              </w:rPr>
              <w:t>Porcentaje de estándares</w:t>
            </w:r>
            <w:r>
              <w:rPr>
                <w:spacing w:val="-15"/>
                <w:sz w:val="18"/>
              </w:rPr>
              <w:t> </w:t>
            </w:r>
            <w:r>
              <w:rPr>
                <w:sz w:val="18"/>
              </w:rPr>
              <w:t>de</w:t>
            </w:r>
            <w:r>
              <w:rPr>
                <w:spacing w:val="-12"/>
                <w:sz w:val="18"/>
              </w:rPr>
              <w:t> </w:t>
            </w:r>
            <w:r>
              <w:rPr>
                <w:sz w:val="18"/>
              </w:rPr>
              <w:t>calidad de la oferta </w:t>
            </w:r>
            <w:r>
              <w:rPr>
                <w:spacing w:val="-2"/>
                <w:sz w:val="18"/>
              </w:rPr>
              <w:t>programática institucional diseñados.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3" w:right="108"/>
              <w:rPr>
                <w:sz w:val="18"/>
              </w:rPr>
            </w:pPr>
            <w:r>
              <w:rPr>
                <w:sz w:val="18"/>
              </w:rPr>
              <w:t>Documento</w:t>
            </w:r>
            <w:r>
              <w:rPr>
                <w:spacing w:val="-13"/>
                <w:sz w:val="18"/>
              </w:rPr>
              <w:t> </w:t>
            </w:r>
            <w:r>
              <w:rPr>
                <w:sz w:val="18"/>
              </w:rPr>
              <w:t>que contiene el diseño de los estándares de calidad de la </w:t>
            </w:r>
            <w:r>
              <w:rPr>
                <w:spacing w:val="-2"/>
                <w:sz w:val="18"/>
              </w:rPr>
              <w:t>oferta programática.</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0"/>
              <w:rPr>
                <w:b/>
                <w:sz w:val="18"/>
              </w:rPr>
            </w:pPr>
          </w:p>
          <w:p>
            <w:pPr>
              <w:pStyle w:val="TableParagraph"/>
              <w:ind w:left="17" w:right="5"/>
              <w:jc w:val="center"/>
              <w:rPr>
                <w:sz w:val="18"/>
              </w:rPr>
            </w:pPr>
            <w:r>
              <w:rPr>
                <w:spacing w:val="-4"/>
                <w:sz w:val="18"/>
              </w:rPr>
              <w:t>DSIS</w:t>
            </w:r>
          </w:p>
        </w:tc>
        <w:tc>
          <w:tcPr>
            <w:tcW w:w="1651" w:type="dxa"/>
          </w:tcPr>
          <w:p>
            <w:pPr>
              <w:pStyle w:val="TableParagraph"/>
              <w:rPr>
                <w:rFonts w:ascii="Times New Roman"/>
                <w:sz w:val="18"/>
              </w:rPr>
            </w:pPr>
          </w:p>
        </w:tc>
        <w:tc>
          <w:tcPr>
            <w:tcW w:w="1546" w:type="dxa"/>
          </w:tcPr>
          <w:p>
            <w:pPr>
              <w:pStyle w:val="TableParagraph"/>
              <w:numPr>
                <w:ilvl w:val="0"/>
                <w:numId w:val="44"/>
              </w:numPr>
              <w:tabs>
                <w:tab w:pos="131" w:val="left" w:leader="none"/>
              </w:tabs>
              <w:spacing w:line="240" w:lineRule="auto" w:before="0" w:after="0"/>
              <w:ind w:left="70" w:right="66" w:firstLine="0"/>
              <w:jc w:val="left"/>
              <w:rPr>
                <w:sz w:val="18"/>
              </w:rPr>
            </w:pPr>
            <w:r>
              <w:rPr>
                <w:sz w:val="18"/>
              </w:rPr>
              <w:t>Limitaciones en la determinación de los</w:t>
            </w:r>
            <w:r>
              <w:rPr>
                <w:spacing w:val="-3"/>
                <w:sz w:val="18"/>
              </w:rPr>
              <w:t> </w:t>
            </w:r>
            <w:r>
              <w:rPr>
                <w:sz w:val="18"/>
              </w:rPr>
              <w:t>elementos de calidad y oportunidad</w:t>
            </w:r>
            <w:r>
              <w:rPr>
                <w:spacing w:val="-15"/>
                <w:sz w:val="18"/>
              </w:rPr>
              <w:t> </w:t>
            </w:r>
            <w:r>
              <w:rPr>
                <w:sz w:val="18"/>
              </w:rPr>
              <w:t>de</w:t>
            </w:r>
            <w:r>
              <w:rPr>
                <w:spacing w:val="-12"/>
                <w:sz w:val="18"/>
              </w:rPr>
              <w:t> </w:t>
            </w:r>
            <w:r>
              <w:rPr>
                <w:sz w:val="18"/>
              </w:rPr>
              <w:t>la </w:t>
            </w:r>
            <w:r>
              <w:rPr>
                <w:spacing w:val="-2"/>
                <w:sz w:val="18"/>
              </w:rPr>
              <w:t>oferta programática institucional.</w:t>
            </w:r>
          </w:p>
          <w:p>
            <w:pPr>
              <w:pStyle w:val="TableParagraph"/>
              <w:numPr>
                <w:ilvl w:val="0"/>
                <w:numId w:val="44"/>
              </w:numPr>
              <w:tabs>
                <w:tab w:pos="131" w:val="left" w:leader="none"/>
              </w:tabs>
              <w:spacing w:line="240" w:lineRule="auto" w:before="0" w:after="0"/>
              <w:ind w:left="70" w:right="128" w:firstLine="0"/>
              <w:jc w:val="left"/>
              <w:rPr>
                <w:sz w:val="18"/>
              </w:rPr>
            </w:pPr>
            <w:r>
              <w:rPr>
                <w:spacing w:val="-2"/>
                <w:sz w:val="18"/>
              </w:rPr>
              <w:t>Departamentos </w:t>
            </w:r>
            <w:r>
              <w:rPr>
                <w:sz w:val="18"/>
              </w:rPr>
              <w:t>técnicos no generen los </w:t>
            </w:r>
            <w:r>
              <w:rPr>
                <w:spacing w:val="-2"/>
                <w:sz w:val="18"/>
              </w:rPr>
              <w:t>insumos necesarios </w:t>
            </w:r>
            <w:r>
              <w:rPr>
                <w:sz w:val="18"/>
              </w:rPr>
              <w:t>(teorías de los programas)</w:t>
            </w:r>
            <w:r>
              <w:rPr>
                <w:spacing w:val="-13"/>
                <w:sz w:val="18"/>
              </w:rPr>
              <w:t> </w:t>
            </w:r>
            <w:r>
              <w:rPr>
                <w:sz w:val="18"/>
              </w:rPr>
              <w:t>para establecer los</w:t>
            </w:r>
          </w:p>
          <w:p>
            <w:pPr>
              <w:pStyle w:val="TableParagraph"/>
              <w:spacing w:line="206" w:lineRule="exact"/>
              <w:ind w:left="70"/>
              <w:rPr>
                <w:sz w:val="18"/>
              </w:rPr>
            </w:pPr>
            <w:r>
              <w:rPr>
                <w:sz w:val="18"/>
              </w:rPr>
              <w:t>estándares</w:t>
            </w:r>
            <w:r>
              <w:rPr>
                <w:spacing w:val="-13"/>
                <w:sz w:val="18"/>
              </w:rPr>
              <w:t> </w:t>
            </w:r>
            <w:r>
              <w:rPr>
                <w:sz w:val="18"/>
              </w:rPr>
              <w:t>de </w:t>
            </w:r>
            <w:r>
              <w:rPr>
                <w:spacing w:val="-2"/>
                <w:sz w:val="18"/>
              </w:rPr>
              <w:t>calidad.</w:t>
            </w:r>
          </w:p>
        </w:tc>
      </w:tr>
      <w:tr>
        <w:trPr>
          <w:trHeight w:val="691" w:hRule="atLeast"/>
        </w:trPr>
        <w:tc>
          <w:tcPr>
            <w:tcW w:w="14247" w:type="dxa"/>
            <w:gridSpan w:val="8"/>
            <w:shd w:val="clear" w:color="auto" w:fill="EFF8F9"/>
          </w:tcPr>
          <w:p>
            <w:pPr>
              <w:pStyle w:val="TableParagraph"/>
              <w:spacing w:before="138"/>
              <w:ind w:left="72"/>
              <w:rPr>
                <w:b/>
                <w:sz w:val="18"/>
              </w:rPr>
            </w:pPr>
            <w:r>
              <w:rPr>
                <w:b/>
                <w:sz w:val="18"/>
              </w:rPr>
              <w:t>Producto</w:t>
            </w:r>
            <w:r>
              <w:rPr>
                <w:b/>
                <w:spacing w:val="-5"/>
                <w:sz w:val="18"/>
              </w:rPr>
              <w:t> </w:t>
            </w:r>
            <w:r>
              <w:rPr>
                <w:b/>
                <w:sz w:val="18"/>
              </w:rPr>
              <w:t>PPPS</w:t>
            </w:r>
            <w:r>
              <w:rPr>
                <w:b/>
                <w:spacing w:val="-5"/>
                <w:sz w:val="18"/>
              </w:rPr>
              <w:t> </w:t>
            </w:r>
            <w:r>
              <w:rPr>
                <w:b/>
                <w:sz w:val="18"/>
              </w:rPr>
              <w:t>1.14:</w:t>
            </w:r>
            <w:r>
              <w:rPr>
                <w:b/>
                <w:spacing w:val="-2"/>
                <w:sz w:val="18"/>
              </w:rPr>
              <w:t> </w:t>
            </w:r>
            <w:r>
              <w:rPr>
                <w:b/>
                <w:sz w:val="18"/>
              </w:rPr>
              <w:t>Sistema</w:t>
            </w:r>
            <w:r>
              <w:rPr>
                <w:b/>
                <w:spacing w:val="-4"/>
                <w:sz w:val="18"/>
              </w:rPr>
              <w:t> </w:t>
            </w:r>
            <w:r>
              <w:rPr>
                <w:b/>
                <w:sz w:val="18"/>
              </w:rPr>
              <w:t>de seguimiento</w:t>
            </w:r>
            <w:r>
              <w:rPr>
                <w:b/>
                <w:spacing w:val="-5"/>
                <w:sz w:val="18"/>
              </w:rPr>
              <w:t> </w:t>
            </w:r>
            <w:r>
              <w:rPr>
                <w:b/>
                <w:sz w:val="18"/>
              </w:rPr>
              <w:t>de</w:t>
            </w:r>
            <w:r>
              <w:rPr>
                <w:b/>
                <w:spacing w:val="-4"/>
                <w:sz w:val="18"/>
              </w:rPr>
              <w:t> </w:t>
            </w:r>
            <w:r>
              <w:rPr>
                <w:b/>
                <w:sz w:val="18"/>
              </w:rPr>
              <w:t>la calidad de</w:t>
            </w:r>
            <w:r>
              <w:rPr>
                <w:b/>
                <w:spacing w:val="-4"/>
                <w:sz w:val="18"/>
              </w:rPr>
              <w:t> </w:t>
            </w:r>
            <w:r>
              <w:rPr>
                <w:b/>
                <w:sz w:val="18"/>
              </w:rPr>
              <w:t>la</w:t>
            </w:r>
            <w:r>
              <w:rPr>
                <w:b/>
                <w:spacing w:val="-4"/>
                <w:sz w:val="18"/>
              </w:rPr>
              <w:t> </w:t>
            </w:r>
            <w:r>
              <w:rPr>
                <w:b/>
                <w:sz w:val="18"/>
              </w:rPr>
              <w:t>oferta programática</w:t>
            </w:r>
            <w:r>
              <w:rPr>
                <w:b/>
                <w:spacing w:val="-4"/>
                <w:sz w:val="18"/>
              </w:rPr>
              <w:t> </w:t>
            </w:r>
            <w:r>
              <w:rPr>
                <w:b/>
                <w:sz w:val="18"/>
              </w:rPr>
              <w:t>institucional</w:t>
            </w:r>
            <w:r>
              <w:rPr>
                <w:b/>
                <w:spacing w:val="-2"/>
                <w:sz w:val="18"/>
              </w:rPr>
              <w:t> </w:t>
            </w:r>
            <w:r>
              <w:rPr>
                <w:b/>
                <w:sz w:val="18"/>
              </w:rPr>
              <w:t>diseñado</w:t>
            </w:r>
            <w:r>
              <w:rPr>
                <w:b/>
                <w:spacing w:val="-5"/>
                <w:sz w:val="18"/>
              </w:rPr>
              <w:t> </w:t>
            </w:r>
            <w:r>
              <w:rPr>
                <w:b/>
                <w:sz w:val="18"/>
              </w:rPr>
              <w:t>e</w:t>
            </w:r>
            <w:r>
              <w:rPr>
                <w:b/>
                <w:spacing w:val="-4"/>
                <w:sz w:val="18"/>
              </w:rPr>
              <w:t> </w:t>
            </w:r>
            <w:r>
              <w:rPr>
                <w:b/>
                <w:sz w:val="18"/>
              </w:rPr>
              <w:t>implementado,</w:t>
            </w:r>
            <w:r>
              <w:rPr>
                <w:b/>
                <w:spacing w:val="-2"/>
                <w:sz w:val="18"/>
              </w:rPr>
              <w:t> </w:t>
            </w:r>
            <w:r>
              <w:rPr>
                <w:b/>
                <w:sz w:val="18"/>
              </w:rPr>
              <w:t>con el</w:t>
            </w:r>
            <w:r>
              <w:rPr>
                <w:b/>
                <w:spacing w:val="-2"/>
                <w:sz w:val="18"/>
              </w:rPr>
              <w:t> </w:t>
            </w:r>
            <w:r>
              <w:rPr>
                <w:b/>
                <w:sz w:val="18"/>
              </w:rPr>
              <w:t>fin de</w:t>
            </w:r>
            <w:r>
              <w:rPr>
                <w:b/>
                <w:spacing w:val="-4"/>
                <w:sz w:val="18"/>
              </w:rPr>
              <w:t> </w:t>
            </w:r>
            <w:r>
              <w:rPr>
                <w:b/>
                <w:sz w:val="18"/>
              </w:rPr>
              <w:t>determinar</w:t>
            </w:r>
            <w:r>
              <w:rPr>
                <w:b/>
                <w:spacing w:val="-3"/>
                <w:sz w:val="18"/>
              </w:rPr>
              <w:t> </w:t>
            </w:r>
            <w:r>
              <w:rPr>
                <w:b/>
                <w:sz w:val="18"/>
              </w:rPr>
              <w:t>la</w:t>
            </w:r>
            <w:r>
              <w:rPr>
                <w:b/>
                <w:spacing w:val="-4"/>
                <w:sz w:val="18"/>
              </w:rPr>
              <w:t> </w:t>
            </w:r>
            <w:r>
              <w:rPr>
                <w:b/>
                <w:sz w:val="18"/>
              </w:rPr>
              <w:t>continuidad y/o requerimientos de ajuste de dicha oferta conforme a los estándares de calidad establecidos institucionalmente. E2 AE3 R2</w:t>
            </w:r>
          </w:p>
        </w:tc>
      </w:tr>
      <w:tr>
        <w:trPr>
          <w:trHeight w:val="1449" w:hRule="atLeast"/>
        </w:trPr>
        <w:tc>
          <w:tcPr>
            <w:tcW w:w="2972" w:type="dxa"/>
          </w:tcPr>
          <w:p>
            <w:pPr>
              <w:pStyle w:val="TableParagraph"/>
              <w:spacing w:before="99"/>
              <w:ind w:left="72" w:right="333"/>
              <w:rPr>
                <w:b/>
                <w:sz w:val="18"/>
              </w:rPr>
            </w:pPr>
            <w:r>
              <w:rPr>
                <w:b/>
                <w:sz w:val="18"/>
              </w:rPr>
              <w:t>Actividad PPPS 1.14.1:</w:t>
            </w:r>
            <w:r>
              <w:rPr>
                <w:b/>
                <w:spacing w:val="40"/>
                <w:sz w:val="18"/>
              </w:rPr>
              <w:t> </w:t>
            </w:r>
            <w:r>
              <w:rPr>
                <w:sz w:val="18"/>
              </w:rPr>
              <w:t>Diseño del Sistema de Seguimiento</w:t>
            </w:r>
            <w:r>
              <w:rPr>
                <w:spacing w:val="-3"/>
                <w:sz w:val="18"/>
              </w:rPr>
              <w:t> </w:t>
            </w:r>
            <w:r>
              <w:rPr>
                <w:sz w:val="18"/>
              </w:rPr>
              <w:t>de</w:t>
            </w:r>
            <w:r>
              <w:rPr>
                <w:spacing w:val="-7"/>
                <w:sz w:val="18"/>
              </w:rPr>
              <w:t> </w:t>
            </w:r>
            <w:r>
              <w:rPr>
                <w:sz w:val="18"/>
              </w:rPr>
              <w:t>la</w:t>
            </w:r>
            <w:r>
              <w:rPr>
                <w:spacing w:val="-3"/>
                <w:sz w:val="18"/>
              </w:rPr>
              <w:t> </w:t>
            </w:r>
            <w:r>
              <w:rPr>
                <w:sz w:val="18"/>
              </w:rPr>
              <w:t>Calidad</w:t>
            </w:r>
            <w:r>
              <w:rPr>
                <w:spacing w:val="-7"/>
                <w:sz w:val="18"/>
              </w:rPr>
              <w:t> </w:t>
            </w:r>
            <w:r>
              <w:rPr>
                <w:sz w:val="18"/>
              </w:rPr>
              <w:t>de</w:t>
            </w:r>
            <w:r>
              <w:rPr>
                <w:spacing w:val="-7"/>
                <w:sz w:val="18"/>
              </w:rPr>
              <w:t> </w:t>
            </w:r>
            <w:r>
              <w:rPr>
                <w:sz w:val="18"/>
              </w:rPr>
              <w:t>la oferta</w:t>
            </w:r>
            <w:r>
              <w:rPr>
                <w:spacing w:val="-15"/>
                <w:sz w:val="18"/>
              </w:rPr>
              <w:t> </w:t>
            </w:r>
            <w:r>
              <w:rPr>
                <w:sz w:val="18"/>
              </w:rPr>
              <w:t>programática</w:t>
            </w:r>
            <w:r>
              <w:rPr>
                <w:spacing w:val="-12"/>
                <w:sz w:val="18"/>
              </w:rPr>
              <w:t> </w:t>
            </w:r>
            <w:r>
              <w:rPr>
                <w:sz w:val="18"/>
              </w:rPr>
              <w:t>institucional </w:t>
            </w:r>
            <w:r>
              <w:rPr>
                <w:b/>
                <w:sz w:val="18"/>
              </w:rPr>
              <w:t>(vinculada a PEI 2.3.2 / Estrategia GpRD 5.5.2).</w:t>
            </w:r>
          </w:p>
        </w:tc>
        <w:tc>
          <w:tcPr>
            <w:tcW w:w="1560" w:type="dxa"/>
          </w:tcPr>
          <w:p>
            <w:pPr>
              <w:pStyle w:val="TableParagraph"/>
              <w:rPr>
                <w:b/>
                <w:sz w:val="18"/>
              </w:rPr>
            </w:pPr>
          </w:p>
          <w:p>
            <w:pPr>
              <w:pStyle w:val="TableParagraph"/>
              <w:spacing w:before="204"/>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204"/>
              <w:rPr>
                <w:b/>
                <w:sz w:val="18"/>
              </w:rPr>
            </w:pPr>
          </w:p>
          <w:p>
            <w:pPr>
              <w:pStyle w:val="TableParagraph"/>
              <w:ind w:left="21" w:right="12"/>
              <w:jc w:val="center"/>
              <w:rPr>
                <w:sz w:val="18"/>
              </w:rPr>
            </w:pPr>
            <w:r>
              <w:rPr>
                <w:spacing w:val="-4"/>
                <w:sz w:val="18"/>
              </w:rPr>
              <w:t>100%</w:t>
            </w:r>
          </w:p>
        </w:tc>
        <w:tc>
          <w:tcPr>
            <w:tcW w:w="1982" w:type="dxa"/>
          </w:tcPr>
          <w:p>
            <w:pPr>
              <w:pStyle w:val="TableParagraph"/>
              <w:ind w:left="68" w:right="114"/>
              <w:rPr>
                <w:sz w:val="18"/>
              </w:rPr>
            </w:pPr>
            <w:r>
              <w:rPr>
                <w:sz w:val="18"/>
              </w:rPr>
              <w:t>Porcentaje</w:t>
            </w:r>
            <w:r>
              <w:rPr>
                <w:spacing w:val="-15"/>
                <w:sz w:val="18"/>
              </w:rPr>
              <w:t> </w:t>
            </w:r>
            <w:r>
              <w:rPr>
                <w:sz w:val="18"/>
              </w:rPr>
              <w:t>de</w:t>
            </w:r>
            <w:r>
              <w:rPr>
                <w:spacing w:val="-12"/>
                <w:sz w:val="18"/>
              </w:rPr>
              <w:t> </w:t>
            </w:r>
            <w:r>
              <w:rPr>
                <w:sz w:val="18"/>
              </w:rPr>
              <w:t>avance en el diseño del Sistema de Seguimiento de la Calidad de la oferta </w:t>
            </w:r>
            <w:r>
              <w:rPr>
                <w:spacing w:val="-2"/>
                <w:sz w:val="18"/>
              </w:rPr>
              <w:t>programática</w:t>
            </w:r>
          </w:p>
          <w:p>
            <w:pPr>
              <w:pStyle w:val="TableParagraph"/>
              <w:spacing w:line="187" w:lineRule="exact"/>
              <w:ind w:left="68"/>
              <w:rPr>
                <w:sz w:val="18"/>
              </w:rPr>
            </w:pPr>
            <w:r>
              <w:rPr>
                <w:spacing w:val="-2"/>
                <w:sz w:val="18"/>
              </w:rPr>
              <w:t>institucional.</w:t>
            </w:r>
          </w:p>
        </w:tc>
        <w:tc>
          <w:tcPr>
            <w:tcW w:w="1560" w:type="dxa"/>
          </w:tcPr>
          <w:p>
            <w:pPr>
              <w:pStyle w:val="TableParagraph"/>
              <w:spacing w:before="99"/>
              <w:ind w:left="73" w:right="130"/>
              <w:rPr>
                <w:sz w:val="18"/>
              </w:rPr>
            </w:pPr>
            <w:r>
              <w:rPr>
                <w:sz w:val="18"/>
              </w:rPr>
              <w:t>Documento</w:t>
            </w:r>
            <w:r>
              <w:rPr>
                <w:spacing w:val="-13"/>
                <w:sz w:val="18"/>
              </w:rPr>
              <w:t> </w:t>
            </w:r>
            <w:r>
              <w:rPr>
                <w:sz w:val="18"/>
              </w:rPr>
              <w:t>que contiene el diseño del Sistema de Seguimiento</w:t>
            </w:r>
            <w:r>
              <w:rPr>
                <w:spacing w:val="-12"/>
                <w:sz w:val="18"/>
              </w:rPr>
              <w:t> </w:t>
            </w:r>
            <w:r>
              <w:rPr>
                <w:sz w:val="18"/>
              </w:rPr>
              <w:t>de la Calidad.</w:t>
            </w:r>
          </w:p>
        </w:tc>
        <w:tc>
          <w:tcPr>
            <w:tcW w:w="1416" w:type="dxa"/>
          </w:tcPr>
          <w:p>
            <w:pPr>
              <w:pStyle w:val="TableParagraph"/>
              <w:rPr>
                <w:b/>
                <w:sz w:val="18"/>
              </w:rPr>
            </w:pPr>
          </w:p>
          <w:p>
            <w:pPr>
              <w:pStyle w:val="TableParagraph"/>
              <w:spacing w:before="204"/>
              <w:rPr>
                <w:b/>
                <w:sz w:val="18"/>
              </w:rPr>
            </w:pPr>
          </w:p>
          <w:p>
            <w:pPr>
              <w:pStyle w:val="TableParagraph"/>
              <w:ind w:left="17" w:right="5"/>
              <w:jc w:val="center"/>
              <w:rPr>
                <w:sz w:val="18"/>
              </w:rPr>
            </w:pPr>
            <w:r>
              <w:rPr>
                <w:spacing w:val="-4"/>
                <w:sz w:val="18"/>
              </w:rPr>
              <w:t>DSIS</w:t>
            </w:r>
          </w:p>
        </w:tc>
        <w:tc>
          <w:tcPr>
            <w:tcW w:w="1651" w:type="dxa"/>
          </w:tcPr>
          <w:p>
            <w:pPr>
              <w:pStyle w:val="TableParagraph"/>
              <w:rPr>
                <w:rFonts w:ascii="Times New Roman"/>
                <w:sz w:val="18"/>
              </w:rPr>
            </w:pPr>
          </w:p>
        </w:tc>
        <w:tc>
          <w:tcPr>
            <w:tcW w:w="1546" w:type="dxa"/>
          </w:tcPr>
          <w:p>
            <w:pPr>
              <w:pStyle w:val="TableParagraph"/>
              <w:numPr>
                <w:ilvl w:val="0"/>
                <w:numId w:val="45"/>
              </w:numPr>
              <w:tabs>
                <w:tab w:pos="131" w:val="left" w:leader="none"/>
              </w:tabs>
              <w:spacing w:line="240" w:lineRule="auto" w:before="99" w:after="0"/>
              <w:ind w:left="70" w:right="76" w:firstLine="0"/>
              <w:jc w:val="left"/>
              <w:rPr>
                <w:sz w:val="18"/>
              </w:rPr>
            </w:pPr>
            <w:r>
              <w:rPr>
                <w:sz w:val="18"/>
              </w:rPr>
              <w:t>Posibles</w:t>
            </w:r>
            <w:r>
              <w:rPr>
                <w:spacing w:val="-13"/>
                <w:sz w:val="18"/>
              </w:rPr>
              <w:t> </w:t>
            </w:r>
            <w:r>
              <w:rPr>
                <w:sz w:val="18"/>
              </w:rPr>
              <w:t>atrasos en la propuesta de diseño del sistema de seguimiento de</w:t>
            </w:r>
            <w:r>
              <w:rPr>
                <w:spacing w:val="40"/>
                <w:sz w:val="18"/>
              </w:rPr>
              <w:t> </w:t>
            </w:r>
            <w:r>
              <w:rPr>
                <w:sz w:val="18"/>
              </w:rPr>
              <w:t>la calidad de la</w:t>
            </w:r>
          </w:p>
        </w:tc>
      </w:tr>
    </w:tbl>
    <w:p>
      <w:pPr>
        <w:pStyle w:val="TableParagraph"/>
        <w:spacing w:after="0" w:line="240" w:lineRule="auto"/>
        <w:jc w:val="left"/>
        <w:rPr>
          <w:sz w:val="18"/>
        </w:rPr>
        <w:sectPr>
          <w:type w:val="continuous"/>
          <w:pgSz w:w="15840" w:h="12240" w:orient="landscape"/>
          <w:pgMar w:header="0" w:footer="1806" w:top="700" w:bottom="2715"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51"/>
        <w:gridCol w:w="1546"/>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51" w:type="dxa"/>
            <w:shd w:val="clear" w:color="auto" w:fill="D9D9D9"/>
          </w:tcPr>
          <w:p>
            <w:pPr>
              <w:pStyle w:val="TableParagraph"/>
              <w:spacing w:before="104"/>
              <w:ind w:left="430" w:hanging="120"/>
              <w:rPr>
                <w:b/>
                <w:sz w:val="18"/>
              </w:rPr>
            </w:pPr>
            <w:r>
              <w:rPr>
                <w:b/>
                <w:spacing w:val="-2"/>
                <w:sz w:val="18"/>
              </w:rPr>
              <w:t>Presupuesto asignado</w:t>
            </w:r>
          </w:p>
        </w:tc>
        <w:tc>
          <w:tcPr>
            <w:tcW w:w="1546" w:type="dxa"/>
            <w:tcBorders>
              <w:bottom w:val="nil"/>
            </w:tcBorders>
            <w:shd w:val="clear" w:color="auto" w:fill="D9D9D9"/>
          </w:tcPr>
          <w:p>
            <w:pPr>
              <w:pStyle w:val="TableParagraph"/>
              <w:spacing w:line="206" w:lineRule="exact"/>
              <w:ind w:left="14"/>
              <w:jc w:val="center"/>
              <w:rPr>
                <w:b/>
                <w:sz w:val="18"/>
              </w:rPr>
            </w:pPr>
            <w:r>
              <w:rPr>
                <w:b/>
                <w:spacing w:val="-2"/>
                <w:sz w:val="18"/>
              </w:rPr>
              <w:t>Riesgos </w:t>
            </w:r>
            <w:r>
              <w:rPr>
                <w:b/>
                <w:sz w:val="18"/>
              </w:rPr>
              <w:t>asociados al </w:t>
            </w:r>
            <w:r>
              <w:rPr>
                <w:b/>
                <w:spacing w:val="-2"/>
                <w:sz w:val="18"/>
              </w:rPr>
              <w:t>cumplimiento</w:t>
            </w:r>
          </w:p>
        </w:tc>
      </w:tr>
      <w:tr>
        <w:trPr>
          <w:trHeight w:val="1036" w:hRule="atLeast"/>
        </w:trPr>
        <w:tc>
          <w:tcPr>
            <w:tcW w:w="2972" w:type="dxa"/>
          </w:tcPr>
          <w:p>
            <w:pPr>
              <w:pStyle w:val="TableParagraph"/>
              <w:spacing w:before="3"/>
              <w:ind w:left="72" w:right="141"/>
              <w:rPr>
                <w:sz w:val="18"/>
              </w:rPr>
            </w:pPr>
            <w:r>
              <w:rPr>
                <w:b/>
                <w:sz w:val="18"/>
              </w:rPr>
              <w:t>Actividad PPPS 1.14.2: </w:t>
            </w:r>
            <w:r>
              <w:rPr>
                <w:sz w:val="18"/>
              </w:rPr>
              <w:t>Aplicación del sistema de seguimiento de la calidad a la oferta</w:t>
            </w:r>
            <w:r>
              <w:rPr>
                <w:spacing w:val="-15"/>
                <w:sz w:val="18"/>
              </w:rPr>
              <w:t> </w:t>
            </w:r>
            <w:r>
              <w:rPr>
                <w:sz w:val="18"/>
              </w:rPr>
              <w:t>programática</w:t>
            </w:r>
            <w:r>
              <w:rPr>
                <w:spacing w:val="-12"/>
                <w:sz w:val="18"/>
              </w:rPr>
              <w:t> </w:t>
            </w:r>
            <w:r>
              <w:rPr>
                <w:sz w:val="18"/>
              </w:rPr>
              <w:t>institucional</w:t>
            </w:r>
          </w:p>
          <w:p>
            <w:pPr>
              <w:pStyle w:val="TableParagraph"/>
              <w:spacing w:line="185" w:lineRule="exact"/>
              <w:ind w:left="72"/>
              <w:rPr>
                <w:b/>
                <w:sz w:val="18"/>
              </w:rPr>
            </w:pPr>
            <w:r>
              <w:rPr>
                <w:b/>
                <w:sz w:val="18"/>
              </w:rPr>
              <w:t>(vinculada</w:t>
            </w:r>
            <w:r>
              <w:rPr>
                <w:b/>
                <w:spacing w:val="-2"/>
                <w:sz w:val="18"/>
              </w:rPr>
              <w:t> </w:t>
            </w:r>
            <w:r>
              <w:rPr>
                <w:b/>
                <w:sz w:val="18"/>
              </w:rPr>
              <w:t>a</w:t>
            </w:r>
            <w:r>
              <w:rPr>
                <w:b/>
                <w:spacing w:val="-5"/>
                <w:sz w:val="18"/>
              </w:rPr>
              <w:t> </w:t>
            </w:r>
            <w:r>
              <w:rPr>
                <w:b/>
                <w:sz w:val="18"/>
              </w:rPr>
              <w:t>PEI</w:t>
            </w:r>
            <w:r>
              <w:rPr>
                <w:b/>
                <w:spacing w:val="-3"/>
                <w:sz w:val="18"/>
              </w:rPr>
              <w:t> </w:t>
            </w:r>
            <w:r>
              <w:rPr>
                <w:b/>
                <w:spacing w:val="-2"/>
                <w:sz w:val="18"/>
              </w:rPr>
              <w:t>2.3.2).</w:t>
            </w:r>
          </w:p>
        </w:tc>
        <w:tc>
          <w:tcPr>
            <w:tcW w:w="1560" w:type="dxa"/>
          </w:tcPr>
          <w:p>
            <w:pPr>
              <w:pStyle w:val="TableParagraph"/>
              <w:rPr>
                <w:b/>
                <w:sz w:val="18"/>
              </w:rPr>
            </w:pPr>
          </w:p>
          <w:p>
            <w:pPr>
              <w:pStyle w:val="TableParagraph"/>
              <w:spacing w:before="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3"/>
              <w:rPr>
                <w:b/>
                <w:sz w:val="18"/>
              </w:rPr>
            </w:pPr>
          </w:p>
          <w:p>
            <w:pPr>
              <w:pStyle w:val="TableParagraph"/>
              <w:ind w:left="21" w:right="16"/>
              <w:jc w:val="center"/>
              <w:rPr>
                <w:sz w:val="18"/>
              </w:rPr>
            </w:pPr>
            <w:r>
              <w:rPr>
                <w:spacing w:val="-5"/>
                <w:sz w:val="18"/>
              </w:rPr>
              <w:t>25%</w:t>
            </w:r>
          </w:p>
        </w:tc>
        <w:tc>
          <w:tcPr>
            <w:tcW w:w="1982" w:type="dxa"/>
          </w:tcPr>
          <w:p>
            <w:pPr>
              <w:pStyle w:val="TableParagraph"/>
              <w:spacing w:before="3"/>
              <w:ind w:left="68" w:right="88"/>
              <w:rPr>
                <w:sz w:val="18"/>
              </w:rPr>
            </w:pPr>
            <w:r>
              <w:rPr>
                <w:sz w:val="18"/>
              </w:rPr>
              <w:t>Porcentaje</w:t>
            </w:r>
            <w:r>
              <w:rPr>
                <w:spacing w:val="-13"/>
                <w:sz w:val="18"/>
              </w:rPr>
              <w:t> </w:t>
            </w:r>
            <w:r>
              <w:rPr>
                <w:sz w:val="18"/>
              </w:rPr>
              <w:t>de</w:t>
            </w:r>
            <w:r>
              <w:rPr>
                <w:spacing w:val="-10"/>
                <w:sz w:val="18"/>
              </w:rPr>
              <w:t> </w:t>
            </w:r>
            <w:r>
              <w:rPr>
                <w:sz w:val="18"/>
              </w:rPr>
              <w:t>la</w:t>
            </w:r>
            <w:r>
              <w:rPr>
                <w:spacing w:val="-13"/>
                <w:sz w:val="18"/>
              </w:rPr>
              <w:t> </w:t>
            </w:r>
            <w:r>
              <w:rPr>
                <w:sz w:val="18"/>
              </w:rPr>
              <w:t>oferta </w:t>
            </w:r>
            <w:r>
              <w:rPr>
                <w:spacing w:val="-2"/>
                <w:sz w:val="18"/>
              </w:rPr>
              <w:t>programática </w:t>
            </w:r>
            <w:r>
              <w:rPr>
                <w:sz w:val="18"/>
              </w:rPr>
              <w:t>institucional a la que se</w:t>
            </w:r>
            <w:r>
              <w:rPr>
                <w:spacing w:val="-3"/>
                <w:sz w:val="18"/>
              </w:rPr>
              <w:t> </w:t>
            </w:r>
            <w:r>
              <w:rPr>
                <w:sz w:val="18"/>
              </w:rPr>
              <w:t>le</w:t>
            </w:r>
            <w:r>
              <w:rPr>
                <w:spacing w:val="-7"/>
                <w:sz w:val="18"/>
              </w:rPr>
              <w:t> </w:t>
            </w:r>
            <w:r>
              <w:rPr>
                <w:sz w:val="18"/>
              </w:rPr>
              <w:t>aplica</w:t>
            </w:r>
            <w:r>
              <w:rPr>
                <w:spacing w:val="-3"/>
                <w:sz w:val="18"/>
              </w:rPr>
              <w:t> </w:t>
            </w:r>
            <w:r>
              <w:rPr>
                <w:sz w:val="18"/>
              </w:rPr>
              <w:t>el</w:t>
            </w:r>
            <w:r>
              <w:rPr>
                <w:spacing w:val="-4"/>
                <w:sz w:val="18"/>
              </w:rPr>
              <w:t> </w:t>
            </w:r>
            <w:r>
              <w:rPr>
                <w:sz w:val="18"/>
              </w:rPr>
              <w:t>Sistema</w:t>
            </w:r>
          </w:p>
          <w:p>
            <w:pPr>
              <w:pStyle w:val="TableParagraph"/>
              <w:spacing w:line="185" w:lineRule="exact"/>
              <w:ind w:left="68"/>
              <w:rPr>
                <w:sz w:val="18"/>
              </w:rPr>
            </w:pPr>
            <w:r>
              <w:rPr>
                <w:sz w:val="18"/>
              </w:rPr>
              <w:t>de</w:t>
            </w:r>
            <w:r>
              <w:rPr>
                <w:spacing w:val="2"/>
                <w:sz w:val="18"/>
              </w:rPr>
              <w:t> </w:t>
            </w:r>
            <w:r>
              <w:rPr>
                <w:spacing w:val="-2"/>
                <w:sz w:val="18"/>
              </w:rPr>
              <w:t>Seguimiento.</w:t>
            </w:r>
          </w:p>
        </w:tc>
        <w:tc>
          <w:tcPr>
            <w:tcW w:w="1560" w:type="dxa"/>
          </w:tcPr>
          <w:p>
            <w:pPr>
              <w:pStyle w:val="TableParagraph"/>
              <w:spacing w:before="104"/>
              <w:ind w:left="73" w:right="58"/>
              <w:rPr>
                <w:sz w:val="18"/>
              </w:rPr>
            </w:pPr>
            <w:r>
              <w:rPr>
                <w:sz w:val="18"/>
              </w:rPr>
              <w:t>Reporte de aplicación</w:t>
            </w:r>
            <w:r>
              <w:rPr>
                <w:spacing w:val="-13"/>
                <w:sz w:val="18"/>
              </w:rPr>
              <w:t> </w:t>
            </w:r>
            <w:r>
              <w:rPr>
                <w:sz w:val="18"/>
              </w:rPr>
              <w:t>del sistema de </w:t>
            </w:r>
            <w:r>
              <w:rPr>
                <w:spacing w:val="-2"/>
                <w:sz w:val="18"/>
              </w:rPr>
              <w:t>seguimiento.</w:t>
            </w:r>
          </w:p>
        </w:tc>
        <w:tc>
          <w:tcPr>
            <w:tcW w:w="1416" w:type="dxa"/>
          </w:tcPr>
          <w:p>
            <w:pPr>
              <w:pStyle w:val="TableParagraph"/>
              <w:rPr>
                <w:b/>
                <w:sz w:val="18"/>
              </w:rPr>
            </w:pPr>
          </w:p>
          <w:p>
            <w:pPr>
              <w:pStyle w:val="TableParagraph"/>
              <w:spacing w:before="3"/>
              <w:rPr>
                <w:b/>
                <w:sz w:val="18"/>
              </w:rPr>
            </w:pPr>
          </w:p>
          <w:p>
            <w:pPr>
              <w:pStyle w:val="TableParagraph"/>
              <w:ind w:left="17" w:right="5"/>
              <w:jc w:val="center"/>
              <w:rPr>
                <w:sz w:val="18"/>
              </w:rPr>
            </w:pPr>
            <w:r>
              <w:rPr>
                <w:spacing w:val="-4"/>
                <w:sz w:val="18"/>
              </w:rPr>
              <w:t>DSIS</w:t>
            </w:r>
          </w:p>
        </w:tc>
        <w:tc>
          <w:tcPr>
            <w:tcW w:w="1651" w:type="dxa"/>
          </w:tcPr>
          <w:p>
            <w:pPr>
              <w:pStyle w:val="TableParagraph"/>
              <w:rPr>
                <w:rFonts w:ascii="Times New Roman"/>
                <w:sz w:val="18"/>
              </w:rPr>
            </w:pPr>
          </w:p>
        </w:tc>
        <w:tc>
          <w:tcPr>
            <w:tcW w:w="1546" w:type="dxa"/>
            <w:tcBorders>
              <w:top w:val="nil"/>
            </w:tcBorders>
          </w:tcPr>
          <w:p>
            <w:pPr>
              <w:pStyle w:val="TableParagraph"/>
              <w:spacing w:before="3"/>
              <w:ind w:left="70"/>
              <w:rPr>
                <w:sz w:val="18"/>
              </w:rPr>
            </w:pPr>
            <w:r>
              <w:rPr>
                <w:spacing w:val="-2"/>
                <w:sz w:val="18"/>
              </w:rPr>
              <w:t>oferta programática.</w:t>
            </w:r>
          </w:p>
        </w:tc>
      </w:tr>
      <w:tr>
        <w:trPr>
          <w:trHeight w:val="493" w:hRule="atLeast"/>
        </w:trPr>
        <w:tc>
          <w:tcPr>
            <w:tcW w:w="14247" w:type="dxa"/>
            <w:gridSpan w:val="8"/>
            <w:shd w:val="clear" w:color="auto" w:fill="EFF8F9"/>
          </w:tcPr>
          <w:p>
            <w:pPr>
              <w:pStyle w:val="TableParagraph"/>
              <w:spacing w:before="42"/>
              <w:ind w:left="72"/>
              <w:rPr>
                <w:b/>
                <w:sz w:val="18"/>
              </w:rPr>
            </w:pPr>
            <w:r>
              <w:rPr>
                <w:b/>
                <w:sz w:val="18"/>
              </w:rPr>
              <w:t>Producto</w:t>
            </w:r>
            <w:r>
              <w:rPr>
                <w:b/>
                <w:spacing w:val="-3"/>
                <w:sz w:val="18"/>
              </w:rPr>
              <w:t> </w:t>
            </w:r>
            <w:r>
              <w:rPr>
                <w:b/>
                <w:sz w:val="18"/>
              </w:rPr>
              <w:t>PPPS</w:t>
            </w:r>
            <w:r>
              <w:rPr>
                <w:b/>
                <w:spacing w:val="-3"/>
                <w:sz w:val="18"/>
              </w:rPr>
              <w:t> </w:t>
            </w:r>
            <w:r>
              <w:rPr>
                <w:b/>
                <w:sz w:val="18"/>
              </w:rPr>
              <w:t>1.15:</w:t>
            </w:r>
            <w:r>
              <w:rPr>
                <w:b/>
                <w:spacing w:val="40"/>
                <w:sz w:val="18"/>
              </w:rPr>
              <w:t> </w:t>
            </w:r>
            <w:r>
              <w:rPr>
                <w:b/>
                <w:sz w:val="18"/>
              </w:rPr>
              <w:t>Estrategia</w:t>
            </w:r>
            <w:r>
              <w:rPr>
                <w:b/>
                <w:spacing w:val="-2"/>
                <w:sz w:val="18"/>
              </w:rPr>
              <w:t> </w:t>
            </w:r>
            <w:r>
              <w:rPr>
                <w:b/>
                <w:sz w:val="18"/>
              </w:rPr>
              <w:t>de</w:t>
            </w:r>
            <w:r>
              <w:rPr>
                <w:b/>
                <w:spacing w:val="-2"/>
                <w:sz w:val="18"/>
              </w:rPr>
              <w:t> </w:t>
            </w:r>
            <w:r>
              <w:rPr>
                <w:b/>
                <w:sz w:val="18"/>
              </w:rPr>
              <w:t>intervención</w:t>
            </w:r>
            <w:r>
              <w:rPr>
                <w:b/>
                <w:spacing w:val="-3"/>
                <w:sz w:val="18"/>
              </w:rPr>
              <w:t> </w:t>
            </w:r>
            <w:r>
              <w:rPr>
                <w:b/>
                <w:sz w:val="18"/>
              </w:rPr>
              <w:t>diferenciada</w:t>
            </w:r>
            <w:r>
              <w:rPr>
                <w:b/>
                <w:spacing w:val="-2"/>
                <w:sz w:val="18"/>
              </w:rPr>
              <w:t> </w:t>
            </w:r>
            <w:r>
              <w:rPr>
                <w:b/>
                <w:sz w:val="18"/>
              </w:rPr>
              <w:t>para</w:t>
            </w:r>
            <w:r>
              <w:rPr>
                <w:b/>
                <w:spacing w:val="-7"/>
                <w:sz w:val="18"/>
              </w:rPr>
              <w:t> </w:t>
            </w:r>
            <w:r>
              <w:rPr>
                <w:b/>
                <w:sz w:val="18"/>
              </w:rPr>
              <w:t>los</w:t>
            </w:r>
            <w:r>
              <w:rPr>
                <w:b/>
                <w:spacing w:val="-2"/>
                <w:sz w:val="18"/>
              </w:rPr>
              <w:t> </w:t>
            </w:r>
            <w:r>
              <w:rPr>
                <w:b/>
                <w:sz w:val="18"/>
              </w:rPr>
              <w:t>territorios</w:t>
            </w:r>
            <w:r>
              <w:rPr>
                <w:b/>
                <w:spacing w:val="-2"/>
                <w:sz w:val="18"/>
              </w:rPr>
              <w:t> </w:t>
            </w:r>
            <w:r>
              <w:rPr>
                <w:b/>
                <w:sz w:val="18"/>
              </w:rPr>
              <w:t>indígenas</w:t>
            </w:r>
            <w:r>
              <w:rPr>
                <w:b/>
                <w:spacing w:val="-2"/>
                <w:sz w:val="18"/>
              </w:rPr>
              <w:t> </w:t>
            </w:r>
            <w:r>
              <w:rPr>
                <w:b/>
                <w:sz w:val="18"/>
              </w:rPr>
              <w:t>según</w:t>
            </w:r>
            <w:r>
              <w:rPr>
                <w:b/>
                <w:spacing w:val="-3"/>
                <w:sz w:val="18"/>
              </w:rPr>
              <w:t> </w:t>
            </w:r>
            <w:r>
              <w:rPr>
                <w:b/>
                <w:sz w:val="18"/>
              </w:rPr>
              <w:t>lo</w:t>
            </w:r>
            <w:r>
              <w:rPr>
                <w:b/>
                <w:spacing w:val="-3"/>
                <w:sz w:val="18"/>
              </w:rPr>
              <w:t> </w:t>
            </w:r>
            <w:r>
              <w:rPr>
                <w:b/>
                <w:sz w:val="18"/>
              </w:rPr>
              <w:t>establecidos</w:t>
            </w:r>
            <w:r>
              <w:rPr>
                <w:b/>
                <w:spacing w:val="-2"/>
                <w:sz w:val="18"/>
              </w:rPr>
              <w:t> </w:t>
            </w:r>
            <w:r>
              <w:rPr>
                <w:b/>
                <w:sz w:val="18"/>
              </w:rPr>
              <w:t>en el Modelo</w:t>
            </w:r>
            <w:r>
              <w:rPr>
                <w:b/>
                <w:spacing w:val="-3"/>
                <w:sz w:val="18"/>
              </w:rPr>
              <w:t> </w:t>
            </w:r>
            <w:r>
              <w:rPr>
                <w:b/>
                <w:sz w:val="18"/>
              </w:rPr>
              <w:t>Intercultural para</w:t>
            </w:r>
            <w:r>
              <w:rPr>
                <w:b/>
                <w:spacing w:val="-2"/>
                <w:sz w:val="18"/>
              </w:rPr>
              <w:t> </w:t>
            </w:r>
            <w:r>
              <w:rPr>
                <w:b/>
                <w:sz w:val="18"/>
              </w:rPr>
              <w:t>la Prestación</w:t>
            </w:r>
            <w:r>
              <w:rPr>
                <w:b/>
                <w:spacing w:val="-3"/>
                <w:sz w:val="18"/>
              </w:rPr>
              <w:t> </w:t>
            </w:r>
            <w:r>
              <w:rPr>
                <w:b/>
                <w:sz w:val="18"/>
              </w:rPr>
              <w:t>de Servicios y Beneficios en Territorios Indígenas Eje estratégico de acceso territorial. E2 A4 R1</w:t>
            </w:r>
          </w:p>
        </w:tc>
      </w:tr>
      <w:tr>
        <w:trPr>
          <w:trHeight w:val="2487" w:hRule="atLeast"/>
        </w:trPr>
        <w:tc>
          <w:tcPr>
            <w:tcW w:w="2972" w:type="dxa"/>
          </w:tcPr>
          <w:p>
            <w:pPr>
              <w:pStyle w:val="TableParagraph"/>
              <w:rPr>
                <w:b/>
                <w:sz w:val="18"/>
              </w:rPr>
            </w:pPr>
          </w:p>
          <w:p>
            <w:pPr>
              <w:pStyle w:val="TableParagraph"/>
              <w:spacing w:before="3"/>
              <w:rPr>
                <w:b/>
                <w:sz w:val="18"/>
              </w:rPr>
            </w:pPr>
          </w:p>
          <w:p>
            <w:pPr>
              <w:pStyle w:val="TableParagraph"/>
              <w:spacing w:line="207"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1.15.1:</w:t>
            </w:r>
          </w:p>
          <w:p>
            <w:pPr>
              <w:pStyle w:val="TableParagraph"/>
              <w:ind w:left="72" w:right="104"/>
              <w:rPr>
                <w:b/>
                <w:sz w:val="18"/>
              </w:rPr>
            </w:pPr>
            <w:r>
              <w:rPr>
                <w:sz w:val="18"/>
              </w:rPr>
              <w:t>Atención institucional diferenciada en territorios indígenas según el Modelo Intercultural para la Prestación de Servicios y Beneficios</w:t>
            </w:r>
            <w:r>
              <w:rPr>
                <w:spacing w:val="-12"/>
                <w:sz w:val="18"/>
              </w:rPr>
              <w:t> </w:t>
            </w:r>
            <w:r>
              <w:rPr>
                <w:sz w:val="18"/>
              </w:rPr>
              <w:t>en</w:t>
            </w:r>
            <w:r>
              <w:rPr>
                <w:spacing w:val="-12"/>
                <w:sz w:val="18"/>
              </w:rPr>
              <w:t> </w:t>
            </w:r>
            <w:r>
              <w:rPr>
                <w:sz w:val="18"/>
              </w:rPr>
              <w:t>Territorios</w:t>
            </w:r>
            <w:r>
              <w:rPr>
                <w:spacing w:val="-12"/>
                <w:sz w:val="18"/>
              </w:rPr>
              <w:t> </w:t>
            </w:r>
            <w:r>
              <w:rPr>
                <w:sz w:val="18"/>
              </w:rPr>
              <w:t>Indígenas </w:t>
            </w:r>
            <w:r>
              <w:rPr>
                <w:b/>
                <w:sz w:val="18"/>
              </w:rPr>
              <w:t>(vinculada a PEI 2.4.1 / Estrategia GpRD 2.1.1).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21" w:right="16"/>
              <w:jc w:val="center"/>
              <w:rPr>
                <w:sz w:val="18"/>
              </w:rPr>
            </w:pPr>
            <w:r>
              <w:rPr>
                <w:spacing w:val="-5"/>
                <w:sz w:val="18"/>
              </w:rPr>
              <w:t>50%</w:t>
            </w:r>
          </w:p>
        </w:tc>
        <w:tc>
          <w:tcPr>
            <w:tcW w:w="1982" w:type="dxa"/>
          </w:tcPr>
          <w:p>
            <w:pPr>
              <w:pStyle w:val="TableParagraph"/>
              <w:ind w:left="68" w:right="53"/>
              <w:rPr>
                <w:sz w:val="18"/>
              </w:rPr>
            </w:pPr>
            <w:r>
              <w:rPr>
                <w:sz w:val="18"/>
              </w:rPr>
              <w:t>Cantidad de territorios indígenas</w:t>
            </w:r>
            <w:r>
              <w:rPr>
                <w:spacing w:val="-15"/>
                <w:sz w:val="18"/>
              </w:rPr>
              <w:t> </w:t>
            </w:r>
            <w:r>
              <w:rPr>
                <w:sz w:val="18"/>
              </w:rPr>
              <w:t>que</w:t>
            </w:r>
            <w:r>
              <w:rPr>
                <w:spacing w:val="-12"/>
                <w:sz w:val="18"/>
              </w:rPr>
              <w:t> </w:t>
            </w:r>
            <w:r>
              <w:rPr>
                <w:sz w:val="18"/>
              </w:rPr>
              <w:t>cuentan con atención </w:t>
            </w:r>
            <w:r>
              <w:rPr>
                <w:spacing w:val="-2"/>
                <w:sz w:val="18"/>
              </w:rPr>
              <w:t>institucional </w:t>
            </w:r>
            <w:r>
              <w:rPr>
                <w:sz w:val="18"/>
              </w:rPr>
              <w:t>diferenciada como resultado de la implementación del Modelo Intercultural para la Prestación de Servicios y</w:t>
            </w:r>
          </w:p>
          <w:p>
            <w:pPr>
              <w:pStyle w:val="TableParagraph"/>
              <w:spacing w:line="200" w:lineRule="atLeast"/>
              <w:ind w:left="68" w:right="114"/>
              <w:rPr>
                <w:sz w:val="18"/>
              </w:rPr>
            </w:pPr>
            <w:r>
              <w:rPr>
                <w:sz w:val="18"/>
              </w:rPr>
              <w:t>Beneficios en Territorios</w:t>
            </w:r>
            <w:r>
              <w:rPr>
                <w:spacing w:val="-13"/>
                <w:sz w:val="18"/>
              </w:rPr>
              <w:t> </w:t>
            </w:r>
            <w:r>
              <w:rPr>
                <w:sz w:val="18"/>
              </w:rPr>
              <w:t>Indígenas</w:t>
            </w:r>
          </w:p>
        </w:tc>
        <w:tc>
          <w:tcPr>
            <w:tcW w:w="1560" w:type="dxa"/>
          </w:tcPr>
          <w:p>
            <w:pPr>
              <w:pStyle w:val="TableParagraph"/>
              <w:spacing w:before="104"/>
              <w:rPr>
                <w:b/>
                <w:sz w:val="18"/>
              </w:rPr>
            </w:pPr>
          </w:p>
          <w:p>
            <w:pPr>
              <w:pStyle w:val="TableParagraph"/>
              <w:ind w:left="73" w:right="58"/>
              <w:rPr>
                <w:sz w:val="18"/>
              </w:rPr>
            </w:pPr>
            <w:r>
              <w:rPr>
                <w:sz w:val="18"/>
              </w:rPr>
              <w:t>Documento que contiene la estrategia de </w:t>
            </w:r>
            <w:r>
              <w:rPr>
                <w:spacing w:val="-2"/>
                <w:sz w:val="18"/>
              </w:rPr>
              <w:t>intervención </w:t>
            </w:r>
            <w:r>
              <w:rPr>
                <w:sz w:val="18"/>
              </w:rPr>
              <w:t>diferenciada</w:t>
            </w:r>
            <w:r>
              <w:rPr>
                <w:spacing w:val="-13"/>
                <w:sz w:val="18"/>
              </w:rPr>
              <w:t> </w:t>
            </w:r>
            <w:r>
              <w:rPr>
                <w:sz w:val="18"/>
              </w:rPr>
              <w:t>para </w:t>
            </w:r>
            <w:r>
              <w:rPr>
                <w:spacing w:val="-2"/>
                <w:sz w:val="18"/>
              </w:rPr>
              <w:t>territorios </w:t>
            </w:r>
            <w:r>
              <w:rPr>
                <w:sz w:val="18"/>
              </w:rPr>
              <w:t>indígenas y el resultado de su </w:t>
            </w:r>
            <w:r>
              <w:rPr>
                <w:spacing w:val="-2"/>
                <w:sz w:val="18"/>
              </w:rPr>
              <w:t>aplicación.</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17" w:right="10"/>
              <w:jc w:val="center"/>
              <w:rPr>
                <w:sz w:val="18"/>
              </w:rPr>
            </w:pPr>
            <w:r>
              <w:rPr>
                <w:spacing w:val="-2"/>
                <w:sz w:val="18"/>
              </w:rPr>
              <w:t>DDSPC</w:t>
            </w:r>
          </w:p>
        </w:tc>
        <w:tc>
          <w:tcPr>
            <w:tcW w:w="1651" w:type="dxa"/>
          </w:tcPr>
          <w:p>
            <w:pPr>
              <w:pStyle w:val="TableParagraph"/>
              <w:rPr>
                <w:rFonts w:ascii="Times New Roman"/>
                <w:sz w:val="18"/>
              </w:rPr>
            </w:pPr>
          </w:p>
        </w:tc>
        <w:tc>
          <w:tcPr>
            <w:tcW w:w="1546" w:type="dxa"/>
          </w:tcPr>
          <w:p>
            <w:pPr>
              <w:pStyle w:val="TableParagraph"/>
              <w:spacing w:before="3"/>
              <w:rPr>
                <w:b/>
                <w:sz w:val="18"/>
              </w:rPr>
            </w:pPr>
          </w:p>
          <w:p>
            <w:pPr>
              <w:pStyle w:val="TableParagraph"/>
              <w:numPr>
                <w:ilvl w:val="0"/>
                <w:numId w:val="46"/>
              </w:numPr>
              <w:tabs>
                <w:tab w:pos="131" w:val="left" w:leader="none"/>
              </w:tabs>
              <w:spacing w:line="240" w:lineRule="auto" w:before="0" w:after="0"/>
              <w:ind w:left="70" w:right="85" w:firstLine="0"/>
              <w:jc w:val="left"/>
              <w:rPr>
                <w:sz w:val="18"/>
              </w:rPr>
            </w:pPr>
            <w:r>
              <w:rPr>
                <w:sz w:val="18"/>
              </w:rPr>
              <w:t>No lograr el perfilamiento de las zonas indígenas</w:t>
            </w:r>
            <w:r>
              <w:rPr>
                <w:spacing w:val="-15"/>
                <w:sz w:val="18"/>
              </w:rPr>
              <w:t> </w:t>
            </w:r>
            <w:r>
              <w:rPr>
                <w:sz w:val="18"/>
              </w:rPr>
              <w:t>que</w:t>
            </w:r>
            <w:r>
              <w:rPr>
                <w:spacing w:val="-12"/>
                <w:sz w:val="18"/>
              </w:rPr>
              <w:t> </w:t>
            </w:r>
            <w:r>
              <w:rPr>
                <w:sz w:val="18"/>
              </w:rPr>
              <w:t>se puedan incluir dentro del modelo de </w:t>
            </w:r>
            <w:r>
              <w:rPr>
                <w:spacing w:val="-2"/>
                <w:sz w:val="18"/>
              </w:rPr>
              <w:t>intervención institucional actual.</w:t>
            </w:r>
          </w:p>
        </w:tc>
      </w:tr>
      <w:tr>
        <w:trPr>
          <w:trHeight w:val="450" w:hRule="atLeast"/>
        </w:trPr>
        <w:tc>
          <w:tcPr>
            <w:tcW w:w="14247" w:type="dxa"/>
            <w:gridSpan w:val="8"/>
            <w:shd w:val="clear" w:color="auto" w:fill="EFF8F9"/>
          </w:tcPr>
          <w:p>
            <w:pPr>
              <w:pStyle w:val="TableParagraph"/>
              <w:spacing w:line="206" w:lineRule="exact" w:before="19"/>
              <w:ind w:left="72"/>
              <w:rPr>
                <w:b/>
                <w:sz w:val="18"/>
              </w:rPr>
            </w:pPr>
            <w:r>
              <w:rPr>
                <w:b/>
                <w:sz w:val="18"/>
              </w:rPr>
              <w:t>Producto</w:t>
            </w:r>
            <w:r>
              <w:rPr>
                <w:b/>
                <w:spacing w:val="-4"/>
                <w:sz w:val="18"/>
              </w:rPr>
              <w:t> </w:t>
            </w:r>
            <w:r>
              <w:rPr>
                <w:b/>
                <w:sz w:val="18"/>
              </w:rPr>
              <w:t>PPPS</w:t>
            </w:r>
            <w:r>
              <w:rPr>
                <w:b/>
                <w:spacing w:val="-4"/>
                <w:sz w:val="18"/>
              </w:rPr>
              <w:t> </w:t>
            </w:r>
            <w:r>
              <w:rPr>
                <w:b/>
                <w:sz w:val="18"/>
              </w:rPr>
              <w:t>1.16:</w:t>
            </w:r>
            <w:r>
              <w:rPr>
                <w:b/>
                <w:spacing w:val="-1"/>
                <w:sz w:val="18"/>
              </w:rPr>
              <w:t> </w:t>
            </w:r>
            <w:r>
              <w:rPr>
                <w:b/>
                <w:sz w:val="18"/>
              </w:rPr>
              <w:t>Mecanismos de</w:t>
            </w:r>
            <w:r>
              <w:rPr>
                <w:b/>
                <w:spacing w:val="-3"/>
                <w:sz w:val="18"/>
              </w:rPr>
              <w:t> </w:t>
            </w:r>
            <w:r>
              <w:rPr>
                <w:b/>
                <w:sz w:val="18"/>
              </w:rPr>
              <w:t>articulación</w:t>
            </w:r>
            <w:r>
              <w:rPr>
                <w:b/>
                <w:spacing w:val="-4"/>
                <w:sz w:val="18"/>
              </w:rPr>
              <w:t> </w:t>
            </w:r>
            <w:r>
              <w:rPr>
                <w:b/>
                <w:sz w:val="18"/>
              </w:rPr>
              <w:t>interinstitucional creados</w:t>
            </w:r>
            <w:r>
              <w:rPr>
                <w:b/>
                <w:spacing w:val="-3"/>
                <w:sz w:val="18"/>
              </w:rPr>
              <w:t> </w:t>
            </w:r>
            <w:r>
              <w:rPr>
                <w:b/>
                <w:sz w:val="18"/>
              </w:rPr>
              <w:t>y</w:t>
            </w:r>
            <w:r>
              <w:rPr>
                <w:b/>
                <w:spacing w:val="-3"/>
                <w:sz w:val="18"/>
              </w:rPr>
              <w:t> </w:t>
            </w:r>
            <w:r>
              <w:rPr>
                <w:b/>
                <w:sz w:val="18"/>
              </w:rPr>
              <w:t>fortalecidos</w:t>
            </w:r>
            <w:r>
              <w:rPr>
                <w:b/>
                <w:spacing w:val="-3"/>
                <w:sz w:val="18"/>
              </w:rPr>
              <w:t> </w:t>
            </w:r>
            <w:r>
              <w:rPr>
                <w:b/>
                <w:sz w:val="18"/>
              </w:rPr>
              <w:t>que</w:t>
            </w:r>
            <w:r>
              <w:rPr>
                <w:b/>
                <w:spacing w:val="-3"/>
                <w:sz w:val="18"/>
              </w:rPr>
              <w:t> </w:t>
            </w:r>
            <w:r>
              <w:rPr>
                <w:b/>
                <w:sz w:val="18"/>
              </w:rPr>
              <w:t>posibiliten</w:t>
            </w:r>
            <w:r>
              <w:rPr>
                <w:b/>
                <w:spacing w:val="-4"/>
                <w:sz w:val="18"/>
              </w:rPr>
              <w:t> </w:t>
            </w:r>
            <w:r>
              <w:rPr>
                <w:b/>
                <w:sz w:val="18"/>
              </w:rPr>
              <w:t>la</w:t>
            </w:r>
            <w:r>
              <w:rPr>
                <w:b/>
                <w:spacing w:val="-8"/>
                <w:sz w:val="18"/>
              </w:rPr>
              <w:t> </w:t>
            </w:r>
            <w:r>
              <w:rPr>
                <w:b/>
                <w:sz w:val="18"/>
              </w:rPr>
              <w:t>intervención</w:t>
            </w:r>
            <w:r>
              <w:rPr>
                <w:b/>
                <w:spacing w:val="-4"/>
                <w:sz w:val="18"/>
              </w:rPr>
              <w:t> </w:t>
            </w:r>
            <w:r>
              <w:rPr>
                <w:b/>
                <w:sz w:val="18"/>
              </w:rPr>
              <w:t>diferenciada</w:t>
            </w:r>
            <w:r>
              <w:rPr>
                <w:b/>
                <w:spacing w:val="-3"/>
                <w:sz w:val="18"/>
              </w:rPr>
              <w:t> </w:t>
            </w:r>
            <w:r>
              <w:rPr>
                <w:b/>
                <w:sz w:val="18"/>
              </w:rPr>
              <w:t>en</w:t>
            </w:r>
            <w:r>
              <w:rPr>
                <w:b/>
                <w:spacing w:val="-4"/>
                <w:sz w:val="18"/>
              </w:rPr>
              <w:t> </w:t>
            </w:r>
            <w:r>
              <w:rPr>
                <w:b/>
                <w:sz w:val="18"/>
              </w:rPr>
              <w:t>territorios</w:t>
            </w:r>
            <w:r>
              <w:rPr>
                <w:b/>
                <w:spacing w:val="-8"/>
                <w:sz w:val="18"/>
              </w:rPr>
              <w:t> </w:t>
            </w:r>
            <w:r>
              <w:rPr>
                <w:b/>
                <w:sz w:val="18"/>
              </w:rPr>
              <w:t>indígenas. E2</w:t>
            </w:r>
            <w:r>
              <w:rPr>
                <w:b/>
                <w:spacing w:val="-3"/>
                <w:sz w:val="18"/>
              </w:rPr>
              <w:t> </w:t>
            </w:r>
            <w:r>
              <w:rPr>
                <w:b/>
                <w:sz w:val="18"/>
              </w:rPr>
              <w:t>A4 R2 (2027)</w:t>
            </w:r>
          </w:p>
        </w:tc>
      </w:tr>
      <w:tr>
        <w:trPr>
          <w:trHeight w:val="2069" w:hRule="atLeast"/>
        </w:trPr>
        <w:tc>
          <w:tcPr>
            <w:tcW w:w="2972" w:type="dxa"/>
          </w:tcPr>
          <w:p>
            <w:pPr>
              <w:pStyle w:val="TableParagraph"/>
              <w:rPr>
                <w:b/>
                <w:sz w:val="18"/>
              </w:rPr>
            </w:pPr>
          </w:p>
          <w:p>
            <w:pPr>
              <w:pStyle w:val="TableParagraph"/>
              <w:spacing w:before="103"/>
              <w:rPr>
                <w:b/>
                <w:sz w:val="18"/>
              </w:rPr>
            </w:pPr>
          </w:p>
          <w:p>
            <w:pPr>
              <w:pStyle w:val="TableParagraph"/>
              <w:ind w:left="72" w:right="128"/>
              <w:rPr>
                <w:sz w:val="18"/>
              </w:rPr>
            </w:pPr>
            <w:r>
              <w:rPr>
                <w:b/>
                <w:sz w:val="18"/>
              </w:rPr>
              <w:t>Actividad PPPS 1.16.1:</w:t>
            </w:r>
            <w:r>
              <w:rPr>
                <w:b/>
                <w:spacing w:val="40"/>
                <w:sz w:val="18"/>
              </w:rPr>
              <w:t> </w:t>
            </w:r>
            <w:r>
              <w:rPr>
                <w:sz w:val="18"/>
              </w:rPr>
              <w:t>Definición de mecanismos de articulación interinstitucional para la intervención en territorios indígenas</w:t>
            </w:r>
            <w:r>
              <w:rPr>
                <w:spacing w:val="-8"/>
                <w:sz w:val="18"/>
              </w:rPr>
              <w:t> </w:t>
            </w:r>
            <w:r>
              <w:rPr>
                <w:b/>
                <w:sz w:val="18"/>
              </w:rPr>
              <w:t>(vinculada</w:t>
            </w:r>
            <w:r>
              <w:rPr>
                <w:b/>
                <w:spacing w:val="-8"/>
                <w:sz w:val="18"/>
              </w:rPr>
              <w:t> </w:t>
            </w:r>
            <w:r>
              <w:rPr>
                <w:b/>
                <w:sz w:val="18"/>
              </w:rPr>
              <w:t>a</w:t>
            </w:r>
            <w:r>
              <w:rPr>
                <w:b/>
                <w:spacing w:val="-12"/>
                <w:sz w:val="18"/>
              </w:rPr>
              <w:t> </w:t>
            </w:r>
            <w:r>
              <w:rPr>
                <w:b/>
                <w:sz w:val="18"/>
              </w:rPr>
              <w:t>PEI</w:t>
            </w:r>
            <w:r>
              <w:rPr>
                <w:b/>
                <w:spacing w:val="-10"/>
                <w:sz w:val="18"/>
              </w:rPr>
              <w:t> </w:t>
            </w:r>
            <w:r>
              <w:rPr>
                <w:b/>
                <w:sz w:val="18"/>
              </w:rPr>
              <w:t>2.4.2)</w:t>
            </w:r>
            <w:r>
              <w:rPr>
                <w:sz w:val="18"/>
              </w:rPr>
              <w:t>.</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12"/>
              <w:jc w:val="center"/>
              <w:rPr>
                <w:sz w:val="18"/>
              </w:rPr>
            </w:pPr>
            <w:r>
              <w:rPr>
                <w:spacing w:val="-4"/>
                <w:sz w:val="18"/>
              </w:rPr>
              <w:t>100%</w:t>
            </w:r>
          </w:p>
        </w:tc>
        <w:tc>
          <w:tcPr>
            <w:tcW w:w="1982" w:type="dxa"/>
          </w:tcPr>
          <w:p>
            <w:pPr>
              <w:pStyle w:val="TableParagraph"/>
              <w:spacing w:before="99"/>
              <w:rPr>
                <w:b/>
                <w:sz w:val="18"/>
              </w:rPr>
            </w:pPr>
          </w:p>
          <w:p>
            <w:pPr>
              <w:pStyle w:val="TableParagraph"/>
              <w:ind w:left="68" w:right="114"/>
              <w:rPr>
                <w:sz w:val="18"/>
              </w:rPr>
            </w:pPr>
            <w:r>
              <w:rPr>
                <w:sz w:val="18"/>
              </w:rPr>
              <w:t>Porcentaje</w:t>
            </w:r>
            <w:r>
              <w:rPr>
                <w:spacing w:val="-15"/>
                <w:sz w:val="18"/>
              </w:rPr>
              <w:t> </w:t>
            </w:r>
            <w:r>
              <w:rPr>
                <w:sz w:val="18"/>
              </w:rPr>
              <w:t>de</w:t>
            </w:r>
            <w:r>
              <w:rPr>
                <w:spacing w:val="-12"/>
                <w:sz w:val="18"/>
              </w:rPr>
              <w:t> </w:t>
            </w:r>
            <w:r>
              <w:rPr>
                <w:sz w:val="18"/>
              </w:rPr>
              <w:t>avance en la definición de mecanismos de </w:t>
            </w:r>
            <w:r>
              <w:rPr>
                <w:spacing w:val="-2"/>
                <w:sz w:val="18"/>
              </w:rPr>
              <w:t>articulación </w:t>
            </w:r>
            <w:r>
              <w:rPr>
                <w:sz w:val="18"/>
              </w:rPr>
              <w:t>interinstitucional</w:t>
            </w:r>
            <w:r>
              <w:rPr>
                <w:spacing w:val="-1"/>
                <w:sz w:val="18"/>
              </w:rPr>
              <w:t> </w:t>
            </w:r>
            <w:r>
              <w:rPr>
                <w:sz w:val="18"/>
              </w:rPr>
              <w:t>para la intervención en territorios indígenas.</w:t>
            </w:r>
          </w:p>
        </w:tc>
        <w:tc>
          <w:tcPr>
            <w:tcW w:w="1560" w:type="dxa"/>
          </w:tcPr>
          <w:p>
            <w:pPr>
              <w:pStyle w:val="TableParagraph"/>
              <w:rPr>
                <w:b/>
                <w:sz w:val="18"/>
              </w:rPr>
            </w:pPr>
          </w:p>
          <w:p>
            <w:pPr>
              <w:pStyle w:val="TableParagraph"/>
              <w:spacing w:before="103"/>
              <w:rPr>
                <w:b/>
                <w:sz w:val="18"/>
              </w:rPr>
            </w:pPr>
          </w:p>
          <w:p>
            <w:pPr>
              <w:pStyle w:val="TableParagraph"/>
              <w:ind w:left="73" w:right="108"/>
              <w:rPr>
                <w:sz w:val="18"/>
              </w:rPr>
            </w:pPr>
            <w:r>
              <w:rPr>
                <w:sz w:val="18"/>
              </w:rPr>
              <w:t>Documento</w:t>
            </w:r>
            <w:r>
              <w:rPr>
                <w:spacing w:val="-13"/>
                <w:sz w:val="18"/>
              </w:rPr>
              <w:t> </w:t>
            </w:r>
            <w:r>
              <w:rPr>
                <w:sz w:val="18"/>
              </w:rPr>
              <w:t>que contiene el detalle de los </w:t>
            </w:r>
            <w:r>
              <w:rPr>
                <w:spacing w:val="-2"/>
                <w:sz w:val="18"/>
              </w:rPr>
              <w:t>mecanismos definidos.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7" w:right="10"/>
              <w:jc w:val="center"/>
              <w:rPr>
                <w:sz w:val="18"/>
              </w:rPr>
            </w:pPr>
            <w:r>
              <w:rPr>
                <w:spacing w:val="-2"/>
                <w:sz w:val="18"/>
              </w:rPr>
              <w:t>DDSPC</w:t>
            </w:r>
          </w:p>
        </w:tc>
        <w:tc>
          <w:tcPr>
            <w:tcW w:w="1651" w:type="dxa"/>
          </w:tcPr>
          <w:p>
            <w:pPr>
              <w:pStyle w:val="TableParagraph"/>
              <w:rPr>
                <w:rFonts w:ascii="Times New Roman"/>
                <w:sz w:val="18"/>
              </w:rPr>
            </w:pPr>
          </w:p>
        </w:tc>
        <w:tc>
          <w:tcPr>
            <w:tcW w:w="1546" w:type="dxa"/>
          </w:tcPr>
          <w:p>
            <w:pPr>
              <w:pStyle w:val="TableParagraph"/>
              <w:numPr>
                <w:ilvl w:val="0"/>
                <w:numId w:val="47"/>
              </w:numPr>
              <w:tabs>
                <w:tab w:pos="131" w:val="left" w:leader="none"/>
              </w:tabs>
              <w:spacing w:line="240" w:lineRule="auto" w:before="0" w:after="0"/>
              <w:ind w:left="70" w:right="85" w:firstLine="0"/>
              <w:jc w:val="left"/>
              <w:rPr>
                <w:sz w:val="18"/>
              </w:rPr>
            </w:pPr>
            <w:r>
              <w:rPr>
                <w:sz w:val="18"/>
              </w:rPr>
              <w:t>No lograr el perfilamiento de las zonas indígenas</w:t>
            </w:r>
            <w:r>
              <w:rPr>
                <w:spacing w:val="-15"/>
                <w:sz w:val="18"/>
              </w:rPr>
              <w:t> </w:t>
            </w:r>
            <w:r>
              <w:rPr>
                <w:sz w:val="18"/>
              </w:rPr>
              <w:t>que</w:t>
            </w:r>
            <w:r>
              <w:rPr>
                <w:spacing w:val="-12"/>
                <w:sz w:val="18"/>
              </w:rPr>
              <w:t> </w:t>
            </w:r>
            <w:r>
              <w:rPr>
                <w:sz w:val="18"/>
              </w:rPr>
              <w:t>se puedan incluir dentro del modelo de </w:t>
            </w:r>
            <w:r>
              <w:rPr>
                <w:spacing w:val="-2"/>
                <w:sz w:val="18"/>
              </w:rPr>
              <w:t>intervención institucional</w:t>
            </w:r>
          </w:p>
          <w:p>
            <w:pPr>
              <w:pStyle w:val="TableParagraph"/>
              <w:spacing w:line="187" w:lineRule="exact"/>
              <w:ind w:left="70"/>
              <w:rPr>
                <w:sz w:val="18"/>
              </w:rPr>
            </w:pPr>
            <w:r>
              <w:rPr>
                <w:spacing w:val="-2"/>
                <w:sz w:val="18"/>
              </w:rPr>
              <w:t>actual.</w:t>
            </w:r>
          </w:p>
        </w:tc>
      </w:tr>
      <w:tr>
        <w:trPr>
          <w:trHeight w:val="690" w:hRule="atLeast"/>
        </w:trPr>
        <w:tc>
          <w:tcPr>
            <w:tcW w:w="14247" w:type="dxa"/>
            <w:gridSpan w:val="8"/>
            <w:shd w:val="clear" w:color="auto" w:fill="EFF8F9"/>
          </w:tcPr>
          <w:p>
            <w:pPr>
              <w:pStyle w:val="TableParagraph"/>
              <w:spacing w:before="138"/>
              <w:ind w:left="72"/>
              <w:rPr>
                <w:b/>
                <w:sz w:val="18"/>
              </w:rPr>
            </w:pPr>
            <w:r>
              <w:rPr>
                <w:b/>
                <w:sz w:val="18"/>
              </w:rPr>
              <w:t>Producto</w:t>
            </w:r>
            <w:r>
              <w:rPr>
                <w:b/>
                <w:spacing w:val="-4"/>
                <w:sz w:val="18"/>
              </w:rPr>
              <w:t> </w:t>
            </w:r>
            <w:r>
              <w:rPr>
                <w:b/>
                <w:sz w:val="18"/>
              </w:rPr>
              <w:t>PPPS</w:t>
            </w:r>
            <w:r>
              <w:rPr>
                <w:b/>
                <w:spacing w:val="-4"/>
                <w:sz w:val="18"/>
              </w:rPr>
              <w:t> </w:t>
            </w:r>
            <w:r>
              <w:rPr>
                <w:b/>
                <w:sz w:val="18"/>
              </w:rPr>
              <w:t>1.17:</w:t>
            </w:r>
            <w:r>
              <w:rPr>
                <w:b/>
                <w:spacing w:val="-1"/>
                <w:sz w:val="18"/>
              </w:rPr>
              <w:t> </w:t>
            </w:r>
            <w:r>
              <w:rPr>
                <w:b/>
                <w:sz w:val="18"/>
              </w:rPr>
              <w:t>Modelo</w:t>
            </w:r>
            <w:r>
              <w:rPr>
                <w:b/>
                <w:spacing w:val="-4"/>
                <w:sz w:val="18"/>
              </w:rPr>
              <w:t> </w:t>
            </w:r>
            <w:r>
              <w:rPr>
                <w:b/>
                <w:sz w:val="18"/>
              </w:rPr>
              <w:t>de</w:t>
            </w:r>
            <w:r>
              <w:rPr>
                <w:b/>
                <w:spacing w:val="-3"/>
                <w:sz w:val="18"/>
              </w:rPr>
              <w:t> </w:t>
            </w:r>
            <w:r>
              <w:rPr>
                <w:b/>
                <w:sz w:val="18"/>
              </w:rPr>
              <w:t>Intervención</w:t>
            </w:r>
            <w:r>
              <w:rPr>
                <w:b/>
                <w:spacing w:val="-4"/>
                <w:sz w:val="18"/>
              </w:rPr>
              <w:t> </w:t>
            </w:r>
            <w:r>
              <w:rPr>
                <w:b/>
                <w:sz w:val="18"/>
              </w:rPr>
              <w:t>Institucional construido</w:t>
            </w:r>
            <w:r>
              <w:rPr>
                <w:b/>
                <w:spacing w:val="-4"/>
                <w:sz w:val="18"/>
              </w:rPr>
              <w:t> </w:t>
            </w:r>
            <w:r>
              <w:rPr>
                <w:b/>
                <w:sz w:val="18"/>
              </w:rPr>
              <w:t>e</w:t>
            </w:r>
            <w:r>
              <w:rPr>
                <w:b/>
                <w:spacing w:val="-3"/>
                <w:sz w:val="18"/>
              </w:rPr>
              <w:t> </w:t>
            </w:r>
            <w:r>
              <w:rPr>
                <w:b/>
                <w:sz w:val="18"/>
              </w:rPr>
              <w:t>implementado que contemple</w:t>
            </w:r>
            <w:r>
              <w:rPr>
                <w:b/>
                <w:spacing w:val="-3"/>
                <w:sz w:val="18"/>
              </w:rPr>
              <w:t> </w:t>
            </w:r>
            <w:r>
              <w:rPr>
                <w:b/>
                <w:sz w:val="18"/>
              </w:rPr>
              <w:t>modalidades de</w:t>
            </w:r>
            <w:r>
              <w:rPr>
                <w:b/>
                <w:spacing w:val="-3"/>
                <w:sz w:val="18"/>
              </w:rPr>
              <w:t> </w:t>
            </w:r>
            <w:r>
              <w:rPr>
                <w:b/>
                <w:sz w:val="18"/>
              </w:rPr>
              <w:t>atención</w:t>
            </w:r>
            <w:r>
              <w:rPr>
                <w:b/>
                <w:spacing w:val="-4"/>
                <w:sz w:val="18"/>
              </w:rPr>
              <w:t> </w:t>
            </w:r>
            <w:r>
              <w:rPr>
                <w:b/>
                <w:sz w:val="18"/>
              </w:rPr>
              <w:t>diferenciadas</w:t>
            </w:r>
            <w:r>
              <w:rPr>
                <w:b/>
                <w:spacing w:val="-3"/>
                <w:sz w:val="18"/>
              </w:rPr>
              <w:t> </w:t>
            </w:r>
            <w:r>
              <w:rPr>
                <w:b/>
                <w:sz w:val="18"/>
              </w:rPr>
              <w:t>según</w:t>
            </w:r>
            <w:r>
              <w:rPr>
                <w:b/>
                <w:spacing w:val="-4"/>
                <w:sz w:val="18"/>
              </w:rPr>
              <w:t> </w:t>
            </w:r>
            <w:r>
              <w:rPr>
                <w:b/>
                <w:sz w:val="18"/>
              </w:rPr>
              <w:t>segmentos poblacionales, a fin de brindar una atención integral enfocada en Protección y Promoción Social. E2 AE5 R1</w:t>
            </w:r>
          </w:p>
        </w:tc>
      </w:tr>
    </w:tbl>
    <w:p>
      <w:pPr>
        <w:pStyle w:val="TableParagraph"/>
        <w:spacing w:after="0"/>
        <w:rPr>
          <w:b/>
          <w:sz w:val="18"/>
        </w:rPr>
        <w:sectPr>
          <w:type w:val="continuous"/>
          <w:pgSz w:w="15840" w:h="12240" w:orient="landscape"/>
          <w:pgMar w:header="0" w:footer="1806" w:top="700" w:bottom="3307"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9"/>
        <w:gridCol w:w="1548"/>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9" w:type="dxa"/>
            <w:shd w:val="clear" w:color="auto" w:fill="D9D9D9"/>
          </w:tcPr>
          <w:p>
            <w:pPr>
              <w:pStyle w:val="TableParagraph"/>
              <w:spacing w:before="104"/>
              <w:ind w:left="430" w:hanging="120"/>
              <w:rPr>
                <w:b/>
                <w:sz w:val="18"/>
              </w:rPr>
            </w:pPr>
            <w:r>
              <w:rPr>
                <w:b/>
                <w:spacing w:val="-2"/>
                <w:sz w:val="18"/>
              </w:rPr>
              <w:t>Presupuesto asignado</w:t>
            </w:r>
          </w:p>
        </w:tc>
        <w:tc>
          <w:tcPr>
            <w:tcW w:w="1548" w:type="dxa"/>
            <w:shd w:val="clear" w:color="auto" w:fill="D9D9D9"/>
          </w:tcPr>
          <w:p>
            <w:pPr>
              <w:pStyle w:val="TableParagraph"/>
              <w:spacing w:line="206" w:lineRule="exact"/>
              <w:ind w:left="16"/>
              <w:jc w:val="center"/>
              <w:rPr>
                <w:b/>
                <w:sz w:val="18"/>
              </w:rPr>
            </w:pPr>
            <w:r>
              <w:rPr>
                <w:b/>
                <w:spacing w:val="-2"/>
                <w:sz w:val="18"/>
              </w:rPr>
              <w:t>Riesgos </w:t>
            </w:r>
            <w:r>
              <w:rPr>
                <w:b/>
                <w:sz w:val="18"/>
              </w:rPr>
              <w:t>asociados al </w:t>
            </w:r>
            <w:r>
              <w:rPr>
                <w:b/>
                <w:spacing w:val="-2"/>
                <w:sz w:val="18"/>
              </w:rPr>
              <w:t>cumplimiento</w:t>
            </w:r>
          </w:p>
        </w:tc>
      </w:tr>
      <w:tr>
        <w:trPr>
          <w:trHeight w:val="1867" w:hRule="atLeast"/>
        </w:trPr>
        <w:tc>
          <w:tcPr>
            <w:tcW w:w="2972" w:type="dxa"/>
          </w:tcPr>
          <w:p>
            <w:pPr>
              <w:pStyle w:val="TableParagraph"/>
              <w:spacing w:before="104"/>
              <w:rPr>
                <w:b/>
                <w:sz w:val="18"/>
              </w:rPr>
            </w:pPr>
          </w:p>
          <w:p>
            <w:pPr>
              <w:pStyle w:val="TableParagraph"/>
              <w:ind w:left="72" w:right="252"/>
              <w:rPr>
                <w:sz w:val="18"/>
              </w:rPr>
            </w:pPr>
            <w:r>
              <w:rPr>
                <w:b/>
                <w:sz w:val="18"/>
              </w:rPr>
              <w:t>Actividad PPPS 1.17.1: </w:t>
            </w:r>
            <w:r>
              <w:rPr>
                <w:sz w:val="18"/>
              </w:rPr>
              <w:t>Atención y perfilamiento de personas</w:t>
            </w:r>
            <w:r>
              <w:rPr>
                <w:spacing w:val="-12"/>
                <w:sz w:val="18"/>
              </w:rPr>
              <w:t> </w:t>
            </w:r>
            <w:r>
              <w:rPr>
                <w:sz w:val="18"/>
              </w:rPr>
              <w:t>según</w:t>
            </w:r>
            <w:r>
              <w:rPr>
                <w:spacing w:val="-12"/>
                <w:sz w:val="18"/>
              </w:rPr>
              <w:t> </w:t>
            </w:r>
            <w:r>
              <w:rPr>
                <w:sz w:val="18"/>
              </w:rPr>
              <w:t>las</w:t>
            </w:r>
            <w:r>
              <w:rPr>
                <w:spacing w:val="-12"/>
                <w:sz w:val="18"/>
              </w:rPr>
              <w:t> </w:t>
            </w:r>
            <w:r>
              <w:rPr>
                <w:sz w:val="18"/>
              </w:rPr>
              <w:t>modalidades de atención del Modelo de Intervención Institucional </w:t>
            </w:r>
            <w:r>
              <w:rPr>
                <w:b/>
                <w:sz w:val="18"/>
              </w:rPr>
              <w:t>(vinculada a PEI 2.5.1)</w:t>
            </w:r>
            <w:r>
              <w:rPr>
                <w:sz w:val="18"/>
              </w:rPr>
              <w:t>.</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1" w:right="12"/>
              <w:jc w:val="center"/>
              <w:rPr>
                <w:sz w:val="18"/>
              </w:rPr>
            </w:pPr>
            <w:r>
              <w:rPr>
                <w:spacing w:val="-4"/>
                <w:sz w:val="18"/>
              </w:rPr>
              <w:t>100%</w:t>
            </w:r>
          </w:p>
        </w:tc>
        <w:tc>
          <w:tcPr>
            <w:tcW w:w="1982" w:type="dxa"/>
          </w:tcPr>
          <w:p>
            <w:pPr>
              <w:pStyle w:val="TableParagraph"/>
              <w:spacing w:before="104"/>
              <w:ind w:left="68" w:right="114"/>
              <w:rPr>
                <w:sz w:val="18"/>
              </w:rPr>
            </w:pPr>
            <w:r>
              <w:rPr>
                <w:sz w:val="18"/>
              </w:rPr>
              <w:t>Porcentaje de población</w:t>
            </w:r>
            <w:r>
              <w:rPr>
                <w:spacing w:val="-15"/>
                <w:sz w:val="18"/>
              </w:rPr>
              <w:t> </w:t>
            </w:r>
            <w:r>
              <w:rPr>
                <w:sz w:val="18"/>
              </w:rPr>
              <w:t>atendida</w:t>
            </w:r>
            <w:r>
              <w:rPr>
                <w:spacing w:val="-12"/>
                <w:sz w:val="18"/>
              </w:rPr>
              <w:t> </w:t>
            </w:r>
            <w:r>
              <w:rPr>
                <w:sz w:val="18"/>
              </w:rPr>
              <w:t>y perfilada que es incorporada en las modalidades de atención del Modelo de Intervención </w:t>
            </w:r>
            <w:r>
              <w:rPr>
                <w:spacing w:val="-2"/>
                <w:sz w:val="18"/>
              </w:rPr>
              <w:t>Institucional.</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3" w:right="58"/>
              <w:rPr>
                <w:sz w:val="18"/>
              </w:rPr>
            </w:pPr>
            <w:r>
              <w:rPr>
                <w:sz w:val="18"/>
              </w:rPr>
              <w:t>Reportes e informes de </w:t>
            </w:r>
            <w:r>
              <w:rPr>
                <w:spacing w:val="-2"/>
                <w:sz w:val="18"/>
              </w:rPr>
              <w:t>cumplimiento</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17" w:right="12"/>
              <w:jc w:val="center"/>
              <w:rPr>
                <w:sz w:val="18"/>
              </w:rPr>
            </w:pPr>
            <w:r>
              <w:rPr>
                <w:spacing w:val="-5"/>
                <w:sz w:val="18"/>
              </w:rPr>
              <w:t>DDS</w:t>
            </w:r>
          </w:p>
        </w:tc>
        <w:tc>
          <w:tcPr>
            <w:tcW w:w="1649" w:type="dxa"/>
          </w:tcPr>
          <w:p>
            <w:pPr>
              <w:pStyle w:val="TableParagraph"/>
              <w:rPr>
                <w:rFonts w:ascii="Times New Roman"/>
                <w:sz w:val="18"/>
              </w:rPr>
            </w:pPr>
          </w:p>
        </w:tc>
        <w:tc>
          <w:tcPr>
            <w:tcW w:w="1548" w:type="dxa"/>
          </w:tcPr>
          <w:p>
            <w:pPr>
              <w:pStyle w:val="TableParagraph"/>
              <w:numPr>
                <w:ilvl w:val="0"/>
                <w:numId w:val="48"/>
              </w:numPr>
              <w:tabs>
                <w:tab w:pos="133" w:val="left" w:leader="none"/>
              </w:tabs>
              <w:spacing w:line="240" w:lineRule="auto" w:before="3" w:after="0"/>
              <w:ind w:left="72" w:right="107" w:firstLine="0"/>
              <w:jc w:val="left"/>
              <w:rPr>
                <w:sz w:val="18"/>
              </w:rPr>
            </w:pPr>
            <w:r>
              <w:rPr>
                <w:spacing w:val="-2"/>
                <w:sz w:val="18"/>
              </w:rPr>
              <w:t>Perfilamientos </w:t>
            </w:r>
            <w:r>
              <w:rPr>
                <w:sz w:val="18"/>
              </w:rPr>
              <w:t>de población </w:t>
            </w:r>
            <w:r>
              <w:rPr>
                <w:spacing w:val="-2"/>
                <w:sz w:val="18"/>
              </w:rPr>
              <w:t>objetivo incongruentes </w:t>
            </w:r>
            <w:r>
              <w:rPr>
                <w:sz w:val="18"/>
              </w:rPr>
              <w:t>según lo establecido</w:t>
            </w:r>
            <w:r>
              <w:rPr>
                <w:spacing w:val="-15"/>
                <w:sz w:val="18"/>
              </w:rPr>
              <w:t> </w:t>
            </w:r>
            <w:r>
              <w:rPr>
                <w:sz w:val="18"/>
              </w:rPr>
              <w:t>en</w:t>
            </w:r>
            <w:r>
              <w:rPr>
                <w:spacing w:val="-12"/>
                <w:sz w:val="18"/>
              </w:rPr>
              <w:t> </w:t>
            </w:r>
            <w:r>
              <w:rPr>
                <w:sz w:val="18"/>
              </w:rPr>
              <w:t>el Modelo de </w:t>
            </w:r>
            <w:r>
              <w:rPr>
                <w:spacing w:val="-2"/>
                <w:sz w:val="18"/>
              </w:rPr>
              <w:t>Intervención</w:t>
            </w:r>
          </w:p>
          <w:p>
            <w:pPr>
              <w:pStyle w:val="TableParagraph"/>
              <w:spacing w:line="187" w:lineRule="exact" w:before="2"/>
              <w:ind w:left="72"/>
              <w:rPr>
                <w:sz w:val="18"/>
              </w:rPr>
            </w:pPr>
            <w:r>
              <w:rPr>
                <w:spacing w:val="-2"/>
                <w:sz w:val="18"/>
              </w:rPr>
              <w:t>Institucional.</w:t>
            </w:r>
          </w:p>
        </w:tc>
      </w:tr>
      <w:tr>
        <w:trPr>
          <w:trHeight w:val="493" w:hRule="atLeast"/>
        </w:trPr>
        <w:tc>
          <w:tcPr>
            <w:tcW w:w="14247" w:type="dxa"/>
            <w:gridSpan w:val="8"/>
            <w:shd w:val="clear" w:color="auto" w:fill="EFF8F9"/>
          </w:tcPr>
          <w:p>
            <w:pPr>
              <w:pStyle w:val="TableParagraph"/>
              <w:ind w:left="72" w:right="98"/>
              <w:rPr>
                <w:b/>
                <w:sz w:val="18"/>
              </w:rPr>
            </w:pPr>
            <w:r>
              <w:rPr>
                <w:b/>
                <w:sz w:val="18"/>
              </w:rPr>
              <w:t>Producto</w:t>
            </w:r>
            <w:r>
              <w:rPr>
                <w:b/>
                <w:spacing w:val="-4"/>
                <w:sz w:val="18"/>
              </w:rPr>
              <w:t> </w:t>
            </w:r>
            <w:r>
              <w:rPr>
                <w:b/>
                <w:sz w:val="18"/>
              </w:rPr>
              <w:t>PPPS</w:t>
            </w:r>
            <w:r>
              <w:rPr>
                <w:b/>
                <w:spacing w:val="-4"/>
                <w:sz w:val="18"/>
              </w:rPr>
              <w:t> </w:t>
            </w:r>
            <w:r>
              <w:rPr>
                <w:b/>
                <w:sz w:val="18"/>
              </w:rPr>
              <w:t>1.18:</w:t>
            </w:r>
            <w:r>
              <w:rPr>
                <w:b/>
                <w:spacing w:val="-1"/>
                <w:sz w:val="18"/>
              </w:rPr>
              <w:t> </w:t>
            </w:r>
            <w:r>
              <w:rPr>
                <w:b/>
                <w:sz w:val="18"/>
              </w:rPr>
              <w:t>Mecanismos de</w:t>
            </w:r>
            <w:r>
              <w:rPr>
                <w:b/>
                <w:spacing w:val="-3"/>
                <w:sz w:val="18"/>
              </w:rPr>
              <w:t> </w:t>
            </w:r>
            <w:r>
              <w:rPr>
                <w:b/>
                <w:sz w:val="18"/>
              </w:rPr>
              <w:t>articulación definidos y</w:t>
            </w:r>
            <w:r>
              <w:rPr>
                <w:b/>
                <w:spacing w:val="-3"/>
                <w:sz w:val="18"/>
              </w:rPr>
              <w:t> </w:t>
            </w:r>
            <w:r>
              <w:rPr>
                <w:b/>
                <w:sz w:val="18"/>
              </w:rPr>
              <w:t>en</w:t>
            </w:r>
            <w:r>
              <w:rPr>
                <w:b/>
                <w:spacing w:val="-4"/>
                <w:sz w:val="18"/>
              </w:rPr>
              <w:t> </w:t>
            </w:r>
            <w:r>
              <w:rPr>
                <w:b/>
                <w:sz w:val="18"/>
              </w:rPr>
              <w:t>ejecución</w:t>
            </w:r>
            <w:r>
              <w:rPr>
                <w:b/>
                <w:spacing w:val="-4"/>
                <w:sz w:val="18"/>
              </w:rPr>
              <w:t> </w:t>
            </w:r>
            <w:r>
              <w:rPr>
                <w:b/>
                <w:sz w:val="18"/>
              </w:rPr>
              <w:t>con</w:t>
            </w:r>
            <w:r>
              <w:rPr>
                <w:b/>
                <w:spacing w:val="-4"/>
                <w:sz w:val="18"/>
              </w:rPr>
              <w:t> </w:t>
            </w:r>
            <w:r>
              <w:rPr>
                <w:b/>
                <w:sz w:val="18"/>
              </w:rPr>
              <w:t>el</w:t>
            </w:r>
            <w:r>
              <w:rPr>
                <w:b/>
                <w:spacing w:val="-1"/>
                <w:sz w:val="18"/>
              </w:rPr>
              <w:t> </w:t>
            </w:r>
            <w:r>
              <w:rPr>
                <w:b/>
                <w:sz w:val="18"/>
              </w:rPr>
              <w:t>fin</w:t>
            </w:r>
            <w:r>
              <w:rPr>
                <w:b/>
                <w:spacing w:val="-4"/>
                <w:sz w:val="18"/>
              </w:rPr>
              <w:t> </w:t>
            </w:r>
            <w:r>
              <w:rPr>
                <w:b/>
                <w:sz w:val="18"/>
              </w:rPr>
              <w:t>de</w:t>
            </w:r>
            <w:r>
              <w:rPr>
                <w:b/>
                <w:spacing w:val="-3"/>
                <w:sz w:val="18"/>
              </w:rPr>
              <w:t> </w:t>
            </w:r>
            <w:r>
              <w:rPr>
                <w:b/>
                <w:sz w:val="18"/>
              </w:rPr>
              <w:t>contar</w:t>
            </w:r>
            <w:r>
              <w:rPr>
                <w:b/>
                <w:spacing w:val="-2"/>
                <w:sz w:val="18"/>
              </w:rPr>
              <w:t> </w:t>
            </w:r>
            <w:r>
              <w:rPr>
                <w:b/>
                <w:sz w:val="18"/>
              </w:rPr>
              <w:t>con</w:t>
            </w:r>
            <w:r>
              <w:rPr>
                <w:b/>
                <w:spacing w:val="-4"/>
                <w:sz w:val="18"/>
              </w:rPr>
              <w:t> </w:t>
            </w:r>
            <w:r>
              <w:rPr>
                <w:b/>
                <w:sz w:val="18"/>
              </w:rPr>
              <w:t>una</w:t>
            </w:r>
            <w:r>
              <w:rPr>
                <w:b/>
                <w:spacing w:val="-3"/>
                <w:sz w:val="18"/>
              </w:rPr>
              <w:t> </w:t>
            </w:r>
            <w:r>
              <w:rPr>
                <w:b/>
                <w:sz w:val="18"/>
              </w:rPr>
              <w:t>oferta programática</w:t>
            </w:r>
            <w:r>
              <w:rPr>
                <w:b/>
                <w:spacing w:val="-3"/>
                <w:sz w:val="18"/>
              </w:rPr>
              <w:t> </w:t>
            </w:r>
            <w:r>
              <w:rPr>
                <w:b/>
                <w:sz w:val="18"/>
              </w:rPr>
              <w:t>intrainstitucional</w:t>
            </w:r>
            <w:r>
              <w:rPr>
                <w:b/>
                <w:spacing w:val="-1"/>
                <w:sz w:val="18"/>
              </w:rPr>
              <w:t> </w:t>
            </w:r>
            <w:r>
              <w:rPr>
                <w:b/>
                <w:sz w:val="18"/>
              </w:rPr>
              <w:t>de</w:t>
            </w:r>
            <w:r>
              <w:rPr>
                <w:b/>
                <w:spacing w:val="-3"/>
                <w:sz w:val="18"/>
              </w:rPr>
              <w:t> </w:t>
            </w:r>
            <w:r>
              <w:rPr>
                <w:b/>
                <w:sz w:val="18"/>
              </w:rPr>
              <w:t>Protección</w:t>
            </w:r>
            <w:r>
              <w:rPr>
                <w:b/>
                <w:spacing w:val="-4"/>
                <w:sz w:val="18"/>
              </w:rPr>
              <w:t> </w:t>
            </w:r>
            <w:r>
              <w:rPr>
                <w:b/>
                <w:sz w:val="18"/>
              </w:rPr>
              <w:t>y Promoción Social articulada que propicie la atención integral de la población objetivo. E2 AE5 R2</w:t>
            </w:r>
          </w:p>
        </w:tc>
      </w:tr>
      <w:tr>
        <w:trPr>
          <w:trHeight w:val="1656" w:hRule="atLeast"/>
        </w:trPr>
        <w:tc>
          <w:tcPr>
            <w:tcW w:w="2972" w:type="dxa"/>
          </w:tcPr>
          <w:p>
            <w:pPr>
              <w:pStyle w:val="TableParagraph"/>
              <w:ind w:left="72" w:right="168"/>
              <w:rPr>
                <w:b/>
                <w:sz w:val="18"/>
              </w:rPr>
            </w:pPr>
            <w:r>
              <w:rPr>
                <w:b/>
                <w:sz w:val="18"/>
              </w:rPr>
              <w:t>Actividad PPPS 1.18.1: </w:t>
            </w:r>
            <w:r>
              <w:rPr>
                <w:sz w:val="18"/>
              </w:rPr>
              <w:t>Definición de mecanismos articuladores de la oferta de programas y servicios interinstitucionales</w:t>
            </w:r>
            <w:r>
              <w:rPr>
                <w:spacing w:val="-2"/>
                <w:sz w:val="18"/>
              </w:rPr>
              <w:t> </w:t>
            </w:r>
            <w:r>
              <w:rPr>
                <w:sz w:val="18"/>
              </w:rPr>
              <w:t>en</w:t>
            </w:r>
            <w:r>
              <w:rPr>
                <w:spacing w:val="-12"/>
                <w:sz w:val="18"/>
              </w:rPr>
              <w:t> </w:t>
            </w:r>
            <w:r>
              <w:rPr>
                <w:sz w:val="18"/>
              </w:rPr>
              <w:t>función</w:t>
            </w:r>
            <w:r>
              <w:rPr>
                <w:spacing w:val="-7"/>
                <w:sz w:val="18"/>
              </w:rPr>
              <w:t> </w:t>
            </w:r>
            <w:r>
              <w:rPr>
                <w:sz w:val="18"/>
              </w:rPr>
              <w:t>a</w:t>
            </w:r>
            <w:r>
              <w:rPr>
                <w:spacing w:val="-3"/>
                <w:sz w:val="18"/>
              </w:rPr>
              <w:t> </w:t>
            </w:r>
            <w:r>
              <w:rPr>
                <w:sz w:val="18"/>
              </w:rPr>
              <w:t>la atención</w:t>
            </w:r>
            <w:r>
              <w:rPr>
                <w:spacing w:val="-8"/>
                <w:sz w:val="18"/>
              </w:rPr>
              <w:t> </w:t>
            </w:r>
            <w:r>
              <w:rPr>
                <w:sz w:val="18"/>
              </w:rPr>
              <w:t>de</w:t>
            </w:r>
            <w:r>
              <w:rPr>
                <w:spacing w:val="-8"/>
                <w:sz w:val="18"/>
              </w:rPr>
              <w:t> </w:t>
            </w:r>
            <w:r>
              <w:rPr>
                <w:sz w:val="18"/>
              </w:rPr>
              <w:t>las</w:t>
            </w:r>
            <w:r>
              <w:rPr>
                <w:spacing w:val="-8"/>
                <w:sz w:val="18"/>
              </w:rPr>
              <w:t> </w:t>
            </w:r>
            <w:r>
              <w:rPr>
                <w:sz w:val="18"/>
              </w:rPr>
              <w:t>necesidades</w:t>
            </w:r>
            <w:r>
              <w:rPr>
                <w:spacing w:val="-8"/>
                <w:sz w:val="18"/>
              </w:rPr>
              <w:t> </w:t>
            </w:r>
            <w:r>
              <w:rPr>
                <w:sz w:val="18"/>
              </w:rPr>
              <w:t>de</w:t>
            </w:r>
            <w:r>
              <w:rPr>
                <w:spacing w:val="-4"/>
                <w:sz w:val="18"/>
              </w:rPr>
              <w:t> </w:t>
            </w:r>
            <w:r>
              <w:rPr>
                <w:sz w:val="18"/>
              </w:rPr>
              <w:t>la población objetivo </w:t>
            </w:r>
            <w:r>
              <w:rPr>
                <w:b/>
                <w:sz w:val="18"/>
              </w:rPr>
              <w:t>(vinculada a</w:t>
            </w:r>
          </w:p>
          <w:p>
            <w:pPr>
              <w:pStyle w:val="TableParagraph"/>
              <w:spacing w:line="187" w:lineRule="exact"/>
              <w:ind w:left="72"/>
              <w:rPr>
                <w:b/>
                <w:sz w:val="18"/>
              </w:rPr>
            </w:pPr>
            <w:r>
              <w:rPr>
                <w:b/>
                <w:sz w:val="18"/>
              </w:rPr>
              <w:t>PEI</w:t>
            </w:r>
            <w:r>
              <w:rPr>
                <w:b/>
                <w:spacing w:val="2"/>
                <w:sz w:val="18"/>
              </w:rPr>
              <w:t> </w:t>
            </w:r>
            <w:r>
              <w:rPr>
                <w:b/>
                <w:spacing w:val="-2"/>
                <w:sz w:val="18"/>
              </w:rPr>
              <w:t>2.5.2).</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2"/>
              <w:jc w:val="center"/>
              <w:rPr>
                <w:sz w:val="18"/>
              </w:rPr>
            </w:pPr>
            <w:r>
              <w:rPr>
                <w:spacing w:val="-4"/>
                <w:sz w:val="18"/>
              </w:rPr>
              <w:t>100%</w:t>
            </w:r>
          </w:p>
        </w:tc>
        <w:tc>
          <w:tcPr>
            <w:tcW w:w="1982" w:type="dxa"/>
          </w:tcPr>
          <w:p>
            <w:pPr>
              <w:pStyle w:val="TableParagraph"/>
              <w:spacing w:before="205"/>
              <w:ind w:left="68" w:right="114"/>
              <w:rPr>
                <w:sz w:val="18"/>
              </w:rPr>
            </w:pPr>
            <w:r>
              <w:rPr>
                <w:sz w:val="18"/>
              </w:rPr>
              <w:t>Porcentaje</w:t>
            </w:r>
            <w:r>
              <w:rPr>
                <w:spacing w:val="-15"/>
                <w:sz w:val="18"/>
              </w:rPr>
              <w:t> </w:t>
            </w:r>
            <w:r>
              <w:rPr>
                <w:sz w:val="18"/>
              </w:rPr>
              <w:t>de</w:t>
            </w:r>
            <w:r>
              <w:rPr>
                <w:spacing w:val="-12"/>
                <w:sz w:val="18"/>
              </w:rPr>
              <w:t> </w:t>
            </w:r>
            <w:r>
              <w:rPr>
                <w:sz w:val="18"/>
              </w:rPr>
              <w:t>avance en la definición </w:t>
            </w:r>
            <w:r>
              <w:rPr>
                <w:spacing w:val="-2"/>
                <w:sz w:val="18"/>
              </w:rPr>
              <w:t>mecanismos </w:t>
            </w:r>
            <w:r>
              <w:rPr>
                <w:sz w:val="18"/>
              </w:rPr>
              <w:t>articuladores de la oferta programática </w:t>
            </w:r>
            <w:r>
              <w:rPr>
                <w:spacing w:val="-2"/>
                <w:sz w:val="18"/>
              </w:rPr>
              <w:t>interinstitucional.</w:t>
            </w:r>
          </w:p>
        </w:tc>
        <w:tc>
          <w:tcPr>
            <w:tcW w:w="1560" w:type="dxa"/>
          </w:tcPr>
          <w:p>
            <w:pPr>
              <w:pStyle w:val="TableParagraph"/>
              <w:spacing w:before="205"/>
              <w:rPr>
                <w:b/>
                <w:sz w:val="18"/>
              </w:rPr>
            </w:pPr>
          </w:p>
          <w:p>
            <w:pPr>
              <w:pStyle w:val="TableParagraph"/>
              <w:ind w:left="73" w:right="58"/>
              <w:rPr>
                <w:sz w:val="18"/>
              </w:rPr>
            </w:pPr>
            <w:r>
              <w:rPr>
                <w:sz w:val="18"/>
              </w:rPr>
              <w:t>Documento</w:t>
            </w:r>
            <w:r>
              <w:rPr>
                <w:spacing w:val="-13"/>
                <w:sz w:val="18"/>
              </w:rPr>
              <w:t> </w:t>
            </w:r>
            <w:r>
              <w:rPr>
                <w:sz w:val="18"/>
              </w:rPr>
              <w:t>que contiene los mecanismos</w:t>
            </w:r>
            <w:r>
              <w:rPr>
                <w:spacing w:val="-13"/>
                <w:sz w:val="18"/>
              </w:rPr>
              <w:t> </w:t>
            </w:r>
            <w:r>
              <w:rPr>
                <w:sz w:val="18"/>
              </w:rPr>
              <w:t>de </w:t>
            </w:r>
            <w:r>
              <w:rPr>
                <w:spacing w:val="-2"/>
                <w:sz w:val="18"/>
              </w:rPr>
              <w:t>articulación.</w:t>
            </w:r>
          </w:p>
        </w:tc>
        <w:tc>
          <w:tcPr>
            <w:tcW w:w="141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7" w:right="12"/>
              <w:jc w:val="center"/>
              <w:rPr>
                <w:sz w:val="18"/>
              </w:rPr>
            </w:pPr>
            <w:r>
              <w:rPr>
                <w:spacing w:val="-5"/>
                <w:sz w:val="18"/>
              </w:rPr>
              <w:t>DDS</w:t>
            </w:r>
          </w:p>
        </w:tc>
        <w:tc>
          <w:tcPr>
            <w:tcW w:w="1649" w:type="dxa"/>
          </w:tcPr>
          <w:p>
            <w:pPr>
              <w:pStyle w:val="TableParagraph"/>
              <w:rPr>
                <w:rFonts w:ascii="Times New Roman"/>
                <w:sz w:val="18"/>
              </w:rPr>
            </w:pPr>
          </w:p>
        </w:tc>
        <w:tc>
          <w:tcPr>
            <w:tcW w:w="1548"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numPr>
                <w:ilvl w:val="0"/>
                <w:numId w:val="49"/>
              </w:numPr>
              <w:tabs>
                <w:tab w:pos="133" w:val="left" w:leader="none"/>
              </w:tabs>
              <w:spacing w:line="240" w:lineRule="auto" w:before="0" w:after="0"/>
              <w:ind w:left="72" w:right="104" w:firstLine="0"/>
              <w:jc w:val="left"/>
              <w:rPr>
                <w:sz w:val="18"/>
              </w:rPr>
            </w:pPr>
            <w:r>
              <w:rPr>
                <w:sz w:val="18"/>
              </w:rPr>
              <w:t>No</w:t>
            </w:r>
            <w:r>
              <w:rPr>
                <w:spacing w:val="-15"/>
                <w:sz w:val="18"/>
              </w:rPr>
              <w:t> </w:t>
            </w:r>
            <w:r>
              <w:rPr>
                <w:sz w:val="18"/>
              </w:rPr>
              <w:t>definición</w:t>
            </w:r>
            <w:r>
              <w:rPr>
                <w:spacing w:val="-12"/>
                <w:sz w:val="18"/>
              </w:rPr>
              <w:t> </w:t>
            </w:r>
            <w:r>
              <w:rPr>
                <w:sz w:val="18"/>
              </w:rPr>
              <w:t>de un mecanismo de articulación </w:t>
            </w:r>
            <w:r>
              <w:rPr>
                <w:spacing w:val="-2"/>
                <w:sz w:val="18"/>
              </w:rPr>
              <w:t>interinstitucional vinculante.</w:t>
            </w:r>
          </w:p>
        </w:tc>
      </w:tr>
      <w:tr>
        <w:trPr>
          <w:trHeight w:val="1656" w:hRule="atLeast"/>
        </w:trPr>
        <w:tc>
          <w:tcPr>
            <w:tcW w:w="2972" w:type="dxa"/>
          </w:tcPr>
          <w:p>
            <w:pPr>
              <w:pStyle w:val="TableParagraph"/>
              <w:spacing w:before="103"/>
              <w:rPr>
                <w:b/>
                <w:sz w:val="18"/>
              </w:rPr>
            </w:pPr>
          </w:p>
          <w:p>
            <w:pPr>
              <w:pStyle w:val="TableParagraph"/>
              <w:spacing w:before="1"/>
              <w:ind w:left="72" w:right="301"/>
              <w:rPr>
                <w:sz w:val="18"/>
              </w:rPr>
            </w:pPr>
            <w:r>
              <w:rPr>
                <w:b/>
                <w:sz w:val="18"/>
              </w:rPr>
              <w:t>Actividad PPPS 1.18.2: </w:t>
            </w:r>
            <w:r>
              <w:rPr>
                <w:sz w:val="18"/>
              </w:rPr>
              <w:t>Atención</w:t>
            </w:r>
            <w:r>
              <w:rPr>
                <w:spacing w:val="-8"/>
                <w:sz w:val="18"/>
              </w:rPr>
              <w:t> </w:t>
            </w:r>
            <w:r>
              <w:rPr>
                <w:sz w:val="18"/>
              </w:rPr>
              <w:t>de</w:t>
            </w:r>
            <w:r>
              <w:rPr>
                <w:spacing w:val="-8"/>
                <w:sz w:val="18"/>
              </w:rPr>
              <w:t> </w:t>
            </w:r>
            <w:r>
              <w:rPr>
                <w:sz w:val="18"/>
              </w:rPr>
              <w:t>población</w:t>
            </w:r>
            <w:r>
              <w:rPr>
                <w:spacing w:val="-8"/>
                <w:sz w:val="18"/>
              </w:rPr>
              <w:t> </w:t>
            </w:r>
            <w:r>
              <w:rPr>
                <w:sz w:val="18"/>
              </w:rPr>
              <w:t>mediante mecanismos de articulación interinstitucionales</w:t>
            </w:r>
            <w:r>
              <w:rPr>
                <w:spacing w:val="-15"/>
                <w:sz w:val="18"/>
              </w:rPr>
              <w:t> </w:t>
            </w:r>
            <w:r>
              <w:rPr>
                <w:b/>
                <w:sz w:val="18"/>
              </w:rPr>
              <w:t>(vinculada</w:t>
            </w:r>
            <w:r>
              <w:rPr>
                <w:b/>
                <w:spacing w:val="-12"/>
                <w:sz w:val="18"/>
              </w:rPr>
              <w:t> </w:t>
            </w:r>
            <w:r>
              <w:rPr>
                <w:b/>
                <w:sz w:val="18"/>
              </w:rPr>
              <w:t>a PEI 2.5.2)</w:t>
            </w:r>
            <w:r>
              <w:rPr>
                <w:sz w:val="18"/>
              </w:rPr>
              <w:t>.</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6"/>
              <w:jc w:val="center"/>
              <w:rPr>
                <w:sz w:val="18"/>
              </w:rPr>
            </w:pPr>
            <w:r>
              <w:rPr>
                <w:spacing w:val="-5"/>
                <w:sz w:val="18"/>
              </w:rPr>
              <w:t>30%</w:t>
            </w:r>
          </w:p>
        </w:tc>
        <w:tc>
          <w:tcPr>
            <w:tcW w:w="1982" w:type="dxa"/>
          </w:tcPr>
          <w:p>
            <w:pPr>
              <w:pStyle w:val="TableParagraph"/>
              <w:spacing w:before="205"/>
              <w:ind w:left="68" w:right="114"/>
              <w:rPr>
                <w:sz w:val="18"/>
              </w:rPr>
            </w:pPr>
            <w:r>
              <w:rPr>
                <w:sz w:val="18"/>
              </w:rPr>
              <w:t>Porcentaje de población</w:t>
            </w:r>
            <w:r>
              <w:rPr>
                <w:spacing w:val="-13"/>
                <w:sz w:val="18"/>
              </w:rPr>
              <w:t> </w:t>
            </w:r>
            <w:r>
              <w:rPr>
                <w:sz w:val="18"/>
              </w:rPr>
              <w:t>objetivo-atendida</w:t>
            </w:r>
            <w:r>
              <w:rPr>
                <w:spacing w:val="-13"/>
                <w:sz w:val="18"/>
              </w:rPr>
              <w:t> </w:t>
            </w:r>
            <w:r>
              <w:rPr>
                <w:sz w:val="18"/>
              </w:rPr>
              <w:t>mediante mecanismos de </w:t>
            </w:r>
            <w:r>
              <w:rPr>
                <w:spacing w:val="-2"/>
                <w:sz w:val="18"/>
              </w:rPr>
              <w:t>articulación interinstitucionales</w:t>
            </w:r>
          </w:p>
        </w:tc>
        <w:tc>
          <w:tcPr>
            <w:tcW w:w="1560" w:type="dxa"/>
          </w:tcPr>
          <w:p>
            <w:pPr>
              <w:pStyle w:val="TableParagraph"/>
              <w:ind w:left="73" w:right="87"/>
              <w:rPr>
                <w:sz w:val="18"/>
              </w:rPr>
            </w:pPr>
            <w:r>
              <w:rPr>
                <w:sz w:val="18"/>
              </w:rPr>
              <w:t>Informe</w:t>
            </w:r>
            <w:r>
              <w:rPr>
                <w:spacing w:val="-15"/>
                <w:sz w:val="18"/>
              </w:rPr>
              <w:t> </w:t>
            </w:r>
            <w:r>
              <w:rPr>
                <w:sz w:val="18"/>
              </w:rPr>
              <w:t>o</w:t>
            </w:r>
            <w:r>
              <w:rPr>
                <w:spacing w:val="-12"/>
                <w:sz w:val="18"/>
              </w:rPr>
              <w:t> </w:t>
            </w:r>
            <w:r>
              <w:rPr>
                <w:sz w:val="18"/>
              </w:rPr>
              <w:t>reporte de</w:t>
            </w:r>
            <w:r>
              <w:rPr>
                <w:spacing w:val="-10"/>
                <w:sz w:val="18"/>
              </w:rPr>
              <w:t> </w:t>
            </w:r>
            <w:r>
              <w:rPr>
                <w:sz w:val="18"/>
              </w:rPr>
              <w:t>población</w:t>
            </w:r>
            <w:r>
              <w:rPr>
                <w:spacing w:val="-13"/>
                <w:sz w:val="18"/>
              </w:rPr>
              <w:t> </w:t>
            </w:r>
            <w:r>
              <w:rPr>
                <w:sz w:val="18"/>
              </w:rPr>
              <w:t>que requiere y/o es </w:t>
            </w:r>
            <w:r>
              <w:rPr>
                <w:spacing w:val="-2"/>
                <w:sz w:val="18"/>
              </w:rPr>
              <w:t>atendida mediante </w:t>
            </w:r>
            <w:r>
              <w:rPr>
                <w:sz w:val="18"/>
              </w:rPr>
              <w:t>mecanismos de </w:t>
            </w:r>
            <w:r>
              <w:rPr>
                <w:spacing w:val="-2"/>
                <w:sz w:val="18"/>
              </w:rPr>
              <w:t>articulación</w:t>
            </w:r>
          </w:p>
          <w:p>
            <w:pPr>
              <w:pStyle w:val="TableParagraph"/>
              <w:spacing w:line="187" w:lineRule="exact"/>
              <w:ind w:left="73"/>
              <w:rPr>
                <w:sz w:val="18"/>
              </w:rPr>
            </w:pPr>
            <w:r>
              <w:rPr>
                <w:spacing w:val="-2"/>
                <w:sz w:val="18"/>
              </w:rPr>
              <w:t>interinstitucional.</w:t>
            </w:r>
          </w:p>
        </w:tc>
        <w:tc>
          <w:tcPr>
            <w:tcW w:w="141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7" w:right="12"/>
              <w:jc w:val="center"/>
              <w:rPr>
                <w:sz w:val="18"/>
              </w:rPr>
            </w:pPr>
            <w:r>
              <w:rPr>
                <w:spacing w:val="-5"/>
                <w:sz w:val="18"/>
              </w:rPr>
              <w:t>DDS</w:t>
            </w:r>
          </w:p>
        </w:tc>
        <w:tc>
          <w:tcPr>
            <w:tcW w:w="1649" w:type="dxa"/>
          </w:tcPr>
          <w:p>
            <w:pPr>
              <w:pStyle w:val="TableParagraph"/>
              <w:rPr>
                <w:rFonts w:ascii="Times New Roman"/>
                <w:sz w:val="18"/>
              </w:rPr>
            </w:pPr>
          </w:p>
        </w:tc>
        <w:tc>
          <w:tcPr>
            <w:tcW w:w="1548" w:type="dxa"/>
            <w:vMerge/>
            <w:tcBorders>
              <w:top w:val="nil"/>
            </w:tcBorders>
          </w:tcPr>
          <w:p>
            <w:pPr>
              <w:rPr>
                <w:sz w:val="2"/>
                <w:szCs w:val="2"/>
              </w:rPr>
            </w:pPr>
          </w:p>
        </w:tc>
      </w:tr>
      <w:tr>
        <w:trPr>
          <w:trHeight w:val="705" w:hRule="atLeast"/>
        </w:trPr>
        <w:tc>
          <w:tcPr>
            <w:tcW w:w="14247" w:type="dxa"/>
            <w:gridSpan w:val="8"/>
            <w:shd w:val="clear" w:color="auto" w:fill="EFF8F9"/>
          </w:tcPr>
          <w:p>
            <w:pPr>
              <w:pStyle w:val="TableParagraph"/>
              <w:spacing w:before="143"/>
              <w:ind w:left="72" w:right="98"/>
              <w:rPr>
                <w:b/>
                <w:sz w:val="18"/>
              </w:rPr>
            </w:pPr>
            <w:r>
              <w:rPr>
                <w:b/>
                <w:sz w:val="18"/>
              </w:rPr>
              <w:t>Producto</w:t>
            </w:r>
            <w:r>
              <w:rPr>
                <w:b/>
                <w:spacing w:val="-3"/>
                <w:sz w:val="18"/>
              </w:rPr>
              <w:t> </w:t>
            </w:r>
            <w:r>
              <w:rPr>
                <w:b/>
                <w:sz w:val="18"/>
              </w:rPr>
              <w:t>PPPS</w:t>
            </w:r>
            <w:r>
              <w:rPr>
                <w:b/>
                <w:spacing w:val="-3"/>
                <w:sz w:val="18"/>
              </w:rPr>
              <w:t> </w:t>
            </w:r>
            <w:r>
              <w:rPr>
                <w:b/>
                <w:sz w:val="18"/>
              </w:rPr>
              <w:t>1.19: Normativa</w:t>
            </w:r>
            <w:r>
              <w:rPr>
                <w:b/>
                <w:spacing w:val="-2"/>
                <w:sz w:val="18"/>
              </w:rPr>
              <w:t> </w:t>
            </w:r>
            <w:r>
              <w:rPr>
                <w:b/>
                <w:sz w:val="18"/>
              </w:rPr>
              <w:t>y/o</w:t>
            </w:r>
            <w:r>
              <w:rPr>
                <w:b/>
                <w:spacing w:val="-3"/>
                <w:sz w:val="18"/>
              </w:rPr>
              <w:t> </w:t>
            </w:r>
            <w:r>
              <w:rPr>
                <w:b/>
                <w:sz w:val="18"/>
              </w:rPr>
              <w:t>lineamientos</w:t>
            </w:r>
            <w:r>
              <w:rPr>
                <w:b/>
                <w:spacing w:val="-2"/>
                <w:sz w:val="18"/>
              </w:rPr>
              <w:t> </w:t>
            </w:r>
            <w:r>
              <w:rPr>
                <w:b/>
                <w:sz w:val="18"/>
              </w:rPr>
              <w:t>en</w:t>
            </w:r>
            <w:r>
              <w:rPr>
                <w:b/>
                <w:spacing w:val="-3"/>
                <w:sz w:val="18"/>
              </w:rPr>
              <w:t> </w:t>
            </w:r>
            <w:r>
              <w:rPr>
                <w:b/>
                <w:sz w:val="18"/>
              </w:rPr>
              <w:t>materia</w:t>
            </w:r>
            <w:r>
              <w:rPr>
                <w:b/>
                <w:spacing w:val="-2"/>
                <w:sz w:val="18"/>
              </w:rPr>
              <w:t> </w:t>
            </w:r>
            <w:r>
              <w:rPr>
                <w:b/>
                <w:sz w:val="18"/>
              </w:rPr>
              <w:t>de</w:t>
            </w:r>
            <w:r>
              <w:rPr>
                <w:b/>
                <w:spacing w:val="-2"/>
                <w:sz w:val="18"/>
              </w:rPr>
              <w:t> </w:t>
            </w:r>
            <w:r>
              <w:rPr>
                <w:b/>
                <w:sz w:val="18"/>
              </w:rPr>
              <w:t>personas</w:t>
            </w:r>
            <w:r>
              <w:rPr>
                <w:b/>
                <w:spacing w:val="-2"/>
                <w:sz w:val="18"/>
              </w:rPr>
              <w:t> </w:t>
            </w:r>
            <w:r>
              <w:rPr>
                <w:b/>
                <w:sz w:val="18"/>
              </w:rPr>
              <w:t>adultas</w:t>
            </w:r>
            <w:r>
              <w:rPr>
                <w:b/>
                <w:spacing w:val="-2"/>
                <w:sz w:val="18"/>
              </w:rPr>
              <w:t> </w:t>
            </w:r>
            <w:r>
              <w:rPr>
                <w:b/>
                <w:sz w:val="18"/>
              </w:rPr>
              <w:t>en</w:t>
            </w:r>
            <w:r>
              <w:rPr>
                <w:b/>
                <w:spacing w:val="-3"/>
                <w:sz w:val="18"/>
              </w:rPr>
              <w:t> </w:t>
            </w:r>
            <w:r>
              <w:rPr>
                <w:b/>
                <w:sz w:val="18"/>
              </w:rPr>
              <w:t>situación</w:t>
            </w:r>
            <w:r>
              <w:rPr>
                <w:b/>
                <w:spacing w:val="-3"/>
                <w:sz w:val="18"/>
              </w:rPr>
              <w:t> </w:t>
            </w:r>
            <w:r>
              <w:rPr>
                <w:b/>
                <w:sz w:val="18"/>
              </w:rPr>
              <w:t>de dependencia</w:t>
            </w:r>
            <w:r>
              <w:rPr>
                <w:b/>
                <w:spacing w:val="-2"/>
                <w:sz w:val="18"/>
              </w:rPr>
              <w:t> </w:t>
            </w:r>
            <w:r>
              <w:rPr>
                <w:b/>
                <w:sz w:val="18"/>
              </w:rPr>
              <w:t>diseñados e</w:t>
            </w:r>
            <w:r>
              <w:rPr>
                <w:b/>
                <w:spacing w:val="-7"/>
                <w:sz w:val="18"/>
              </w:rPr>
              <w:t> </w:t>
            </w:r>
            <w:r>
              <w:rPr>
                <w:b/>
                <w:sz w:val="18"/>
              </w:rPr>
              <w:t>implementados</w:t>
            </w:r>
            <w:r>
              <w:rPr>
                <w:b/>
                <w:spacing w:val="-2"/>
                <w:sz w:val="18"/>
              </w:rPr>
              <w:t> </w:t>
            </w:r>
            <w:r>
              <w:rPr>
                <w:b/>
                <w:sz w:val="18"/>
              </w:rPr>
              <w:t>en</w:t>
            </w:r>
            <w:r>
              <w:rPr>
                <w:b/>
                <w:spacing w:val="-3"/>
                <w:sz w:val="18"/>
              </w:rPr>
              <w:t> </w:t>
            </w:r>
            <w:r>
              <w:rPr>
                <w:b/>
                <w:sz w:val="18"/>
              </w:rPr>
              <w:t>la</w:t>
            </w:r>
            <w:r>
              <w:rPr>
                <w:b/>
                <w:spacing w:val="-2"/>
                <w:sz w:val="18"/>
              </w:rPr>
              <w:t> </w:t>
            </w:r>
            <w:r>
              <w:rPr>
                <w:b/>
                <w:sz w:val="18"/>
              </w:rPr>
              <w:t>institución, a</w:t>
            </w:r>
            <w:r>
              <w:rPr>
                <w:b/>
                <w:spacing w:val="-2"/>
                <w:sz w:val="18"/>
              </w:rPr>
              <w:t> </w:t>
            </w:r>
            <w:r>
              <w:rPr>
                <w:b/>
                <w:sz w:val="18"/>
              </w:rPr>
              <w:t>fin</w:t>
            </w:r>
            <w:r>
              <w:rPr>
                <w:b/>
                <w:spacing w:val="-3"/>
                <w:sz w:val="18"/>
              </w:rPr>
              <w:t> </w:t>
            </w:r>
            <w:r>
              <w:rPr>
                <w:b/>
                <w:sz w:val="18"/>
              </w:rPr>
              <w:t>de dar cumplimiento a la política en materia de cuidados y apoyos de</w:t>
            </w:r>
            <w:r>
              <w:rPr>
                <w:b/>
                <w:spacing w:val="-3"/>
                <w:sz w:val="18"/>
              </w:rPr>
              <w:t> </w:t>
            </w:r>
            <w:r>
              <w:rPr>
                <w:b/>
                <w:sz w:val="18"/>
              </w:rPr>
              <w:t>las personas adultas en situación de dependencia. E2 AE6 R1</w:t>
            </w:r>
          </w:p>
        </w:tc>
      </w:tr>
      <w:tr>
        <w:trPr>
          <w:trHeight w:val="1862" w:hRule="atLeast"/>
        </w:trPr>
        <w:tc>
          <w:tcPr>
            <w:tcW w:w="2972" w:type="dxa"/>
          </w:tcPr>
          <w:p>
            <w:pPr>
              <w:pStyle w:val="TableParagraph"/>
              <w:ind w:left="72" w:right="141"/>
              <w:rPr>
                <w:sz w:val="18"/>
              </w:rPr>
            </w:pPr>
            <w:r>
              <w:rPr>
                <w:b/>
                <w:sz w:val="18"/>
              </w:rPr>
              <w:t>Actividad PPPS 1.19.1: </w:t>
            </w:r>
            <w:r>
              <w:rPr>
                <w:sz w:val="18"/>
              </w:rPr>
              <w:t>Normativa diseñada e implementada, a nivel del Reglamento</w:t>
            </w:r>
            <w:r>
              <w:rPr>
                <w:spacing w:val="-10"/>
                <w:sz w:val="18"/>
              </w:rPr>
              <w:t> </w:t>
            </w:r>
            <w:r>
              <w:rPr>
                <w:sz w:val="18"/>
              </w:rPr>
              <w:t>para</w:t>
            </w:r>
            <w:r>
              <w:rPr>
                <w:spacing w:val="-10"/>
                <w:sz w:val="18"/>
              </w:rPr>
              <w:t> </w:t>
            </w:r>
            <w:r>
              <w:rPr>
                <w:sz w:val="18"/>
              </w:rPr>
              <w:t>la</w:t>
            </w:r>
            <w:r>
              <w:rPr>
                <w:spacing w:val="-6"/>
                <w:sz w:val="18"/>
              </w:rPr>
              <w:t> </w:t>
            </w:r>
            <w:r>
              <w:rPr>
                <w:sz w:val="18"/>
              </w:rPr>
              <w:t>Prestación</w:t>
            </w:r>
            <w:r>
              <w:rPr>
                <w:spacing w:val="-10"/>
                <w:sz w:val="18"/>
              </w:rPr>
              <w:t> </w:t>
            </w:r>
            <w:r>
              <w:rPr>
                <w:sz w:val="18"/>
              </w:rPr>
              <w:t>de Servicios y el Otorgamiento de Beneficios del IMAS, y el Manual de procedimientos para la aplicación del BAREMO</w:t>
            </w:r>
          </w:p>
          <w:p>
            <w:pPr>
              <w:pStyle w:val="TableParagraph"/>
              <w:spacing w:line="187" w:lineRule="exact"/>
              <w:ind w:left="72"/>
              <w:rPr>
                <w:b/>
                <w:sz w:val="18"/>
              </w:rPr>
            </w:pPr>
            <w:r>
              <w:rPr>
                <w:b/>
                <w:sz w:val="18"/>
              </w:rPr>
              <w:t>(vinculada</w:t>
            </w:r>
            <w:r>
              <w:rPr>
                <w:b/>
                <w:spacing w:val="-2"/>
                <w:sz w:val="18"/>
              </w:rPr>
              <w:t> </w:t>
            </w:r>
            <w:r>
              <w:rPr>
                <w:b/>
                <w:sz w:val="18"/>
              </w:rPr>
              <w:t>a</w:t>
            </w:r>
            <w:r>
              <w:rPr>
                <w:b/>
                <w:spacing w:val="-5"/>
                <w:sz w:val="18"/>
              </w:rPr>
              <w:t> </w:t>
            </w:r>
            <w:r>
              <w:rPr>
                <w:b/>
                <w:sz w:val="18"/>
              </w:rPr>
              <w:t>PEI</w:t>
            </w:r>
            <w:r>
              <w:rPr>
                <w:b/>
                <w:spacing w:val="-3"/>
                <w:sz w:val="18"/>
              </w:rPr>
              <w:t> </w:t>
            </w:r>
            <w:r>
              <w:rPr>
                <w:b/>
                <w:spacing w:val="-2"/>
                <w:sz w:val="18"/>
              </w:rPr>
              <w:t>2.6.1).</w:t>
            </w:r>
          </w:p>
        </w:tc>
        <w:tc>
          <w:tcPr>
            <w:tcW w:w="1560" w:type="dxa"/>
          </w:tcPr>
          <w:p>
            <w:pPr>
              <w:pStyle w:val="TableParagraph"/>
              <w:rPr>
                <w:b/>
                <w:sz w:val="18"/>
              </w:rPr>
            </w:pPr>
          </w:p>
          <w:p>
            <w:pPr>
              <w:pStyle w:val="TableParagraph"/>
              <w:rPr>
                <w:b/>
                <w:sz w:val="18"/>
              </w:rPr>
            </w:pPr>
          </w:p>
          <w:p>
            <w:pPr>
              <w:pStyle w:val="TableParagraph"/>
              <w:spacing w:before="203"/>
              <w:rPr>
                <w:b/>
                <w:sz w:val="18"/>
              </w:rPr>
            </w:pPr>
          </w:p>
          <w:p>
            <w:pPr>
              <w:pStyle w:val="TableParagraph"/>
              <w:ind w:left="21" w:right="3"/>
              <w:jc w:val="center"/>
              <w:rPr>
                <w:sz w:val="18"/>
              </w:rPr>
            </w:pPr>
            <w:r>
              <w:rPr>
                <w:spacing w:val="-4"/>
                <w:sz w:val="18"/>
              </w:rPr>
              <w:t>100%</w:t>
            </w:r>
          </w:p>
        </w:tc>
        <w:tc>
          <w:tcPr>
            <w:tcW w:w="1560" w:type="dxa"/>
          </w:tcPr>
          <w:p>
            <w:pPr>
              <w:pStyle w:val="TableParagraph"/>
              <w:rPr>
                <w:b/>
                <w:sz w:val="18"/>
              </w:rPr>
            </w:pPr>
          </w:p>
          <w:p>
            <w:pPr>
              <w:pStyle w:val="TableParagraph"/>
              <w:rPr>
                <w:b/>
                <w:sz w:val="18"/>
              </w:rPr>
            </w:pPr>
          </w:p>
          <w:p>
            <w:pPr>
              <w:pStyle w:val="TableParagraph"/>
              <w:spacing w:before="203"/>
              <w:rPr>
                <w:b/>
                <w:sz w:val="18"/>
              </w:rPr>
            </w:pPr>
          </w:p>
          <w:p>
            <w:pPr>
              <w:pStyle w:val="TableParagraph"/>
              <w:ind w:left="21" w:right="12"/>
              <w:jc w:val="center"/>
              <w:rPr>
                <w:sz w:val="18"/>
              </w:rPr>
            </w:pPr>
            <w:r>
              <w:rPr>
                <w:spacing w:val="-4"/>
                <w:sz w:val="18"/>
              </w:rPr>
              <w:t>100%</w:t>
            </w:r>
          </w:p>
        </w:tc>
        <w:tc>
          <w:tcPr>
            <w:tcW w:w="1982" w:type="dxa"/>
          </w:tcPr>
          <w:p>
            <w:pPr>
              <w:pStyle w:val="TableParagraph"/>
              <w:rPr>
                <w:b/>
                <w:sz w:val="18"/>
              </w:rPr>
            </w:pPr>
          </w:p>
          <w:p>
            <w:pPr>
              <w:pStyle w:val="TableParagraph"/>
              <w:spacing w:before="103"/>
              <w:rPr>
                <w:b/>
                <w:sz w:val="18"/>
              </w:rPr>
            </w:pPr>
          </w:p>
          <w:p>
            <w:pPr>
              <w:pStyle w:val="TableParagraph"/>
              <w:ind w:left="68" w:right="114"/>
              <w:rPr>
                <w:sz w:val="18"/>
              </w:rPr>
            </w:pPr>
            <w:r>
              <w:rPr>
                <w:sz w:val="18"/>
              </w:rPr>
              <w:t>Porcentaje</w:t>
            </w:r>
            <w:r>
              <w:rPr>
                <w:spacing w:val="-15"/>
                <w:sz w:val="18"/>
              </w:rPr>
              <w:t> </w:t>
            </w:r>
            <w:r>
              <w:rPr>
                <w:sz w:val="18"/>
              </w:rPr>
              <w:t>de</w:t>
            </w:r>
            <w:r>
              <w:rPr>
                <w:spacing w:val="-12"/>
                <w:sz w:val="18"/>
              </w:rPr>
              <w:t> </w:t>
            </w:r>
            <w:r>
              <w:rPr>
                <w:sz w:val="18"/>
              </w:rPr>
              <w:t>avance en el diseño e implementación de </w:t>
            </w:r>
            <w:r>
              <w:rPr>
                <w:spacing w:val="-2"/>
                <w:sz w:val="18"/>
              </w:rPr>
              <w:t>normativa.</w:t>
            </w:r>
          </w:p>
        </w:tc>
        <w:tc>
          <w:tcPr>
            <w:tcW w:w="1560" w:type="dxa"/>
          </w:tcPr>
          <w:p>
            <w:pPr>
              <w:pStyle w:val="TableParagraph"/>
              <w:rPr>
                <w:b/>
                <w:sz w:val="18"/>
              </w:rPr>
            </w:pPr>
          </w:p>
          <w:p>
            <w:pPr>
              <w:pStyle w:val="TableParagraph"/>
              <w:spacing w:before="103"/>
              <w:rPr>
                <w:b/>
                <w:sz w:val="18"/>
              </w:rPr>
            </w:pPr>
          </w:p>
          <w:p>
            <w:pPr>
              <w:pStyle w:val="TableParagraph"/>
              <w:ind w:left="73" w:right="58"/>
              <w:rPr>
                <w:sz w:val="18"/>
              </w:rPr>
            </w:pPr>
            <w:r>
              <w:rPr>
                <w:spacing w:val="-2"/>
                <w:sz w:val="18"/>
              </w:rPr>
              <w:t>Procedimiento </w:t>
            </w:r>
            <w:r>
              <w:rPr>
                <w:sz w:val="18"/>
              </w:rPr>
              <w:t>vinculado a la gestión de </w:t>
            </w:r>
            <w:r>
              <w:rPr>
                <w:spacing w:val="-2"/>
                <w:sz w:val="18"/>
              </w:rPr>
              <w:t>referencias</w:t>
            </w:r>
          </w:p>
        </w:tc>
        <w:tc>
          <w:tcPr>
            <w:tcW w:w="1416" w:type="dxa"/>
          </w:tcPr>
          <w:p>
            <w:pPr>
              <w:pStyle w:val="TableParagraph"/>
              <w:rPr>
                <w:b/>
                <w:sz w:val="18"/>
              </w:rPr>
            </w:pPr>
          </w:p>
          <w:p>
            <w:pPr>
              <w:pStyle w:val="TableParagraph"/>
              <w:rPr>
                <w:b/>
                <w:sz w:val="18"/>
              </w:rPr>
            </w:pPr>
          </w:p>
          <w:p>
            <w:pPr>
              <w:pStyle w:val="TableParagraph"/>
              <w:spacing w:before="203"/>
              <w:rPr>
                <w:b/>
                <w:sz w:val="18"/>
              </w:rPr>
            </w:pPr>
          </w:p>
          <w:p>
            <w:pPr>
              <w:pStyle w:val="TableParagraph"/>
              <w:ind w:left="17" w:right="15"/>
              <w:jc w:val="center"/>
              <w:rPr>
                <w:sz w:val="18"/>
              </w:rPr>
            </w:pPr>
            <w:r>
              <w:rPr>
                <w:spacing w:val="-2"/>
                <w:sz w:val="18"/>
              </w:rPr>
              <w:t>DASAI</w:t>
            </w:r>
          </w:p>
        </w:tc>
        <w:tc>
          <w:tcPr>
            <w:tcW w:w="1649" w:type="dxa"/>
          </w:tcPr>
          <w:p>
            <w:pPr>
              <w:pStyle w:val="TableParagraph"/>
              <w:rPr>
                <w:rFonts w:ascii="Times New Roman"/>
                <w:sz w:val="18"/>
              </w:rPr>
            </w:pPr>
          </w:p>
        </w:tc>
        <w:tc>
          <w:tcPr>
            <w:tcW w:w="1548" w:type="dxa"/>
          </w:tcPr>
          <w:p>
            <w:pPr>
              <w:pStyle w:val="TableParagraph"/>
              <w:spacing w:before="103"/>
              <w:rPr>
                <w:b/>
                <w:sz w:val="18"/>
              </w:rPr>
            </w:pPr>
          </w:p>
          <w:p>
            <w:pPr>
              <w:pStyle w:val="TableParagraph"/>
              <w:numPr>
                <w:ilvl w:val="0"/>
                <w:numId w:val="50"/>
              </w:numPr>
              <w:tabs>
                <w:tab w:pos="133" w:val="left" w:leader="none"/>
              </w:tabs>
              <w:spacing w:line="240" w:lineRule="auto" w:before="1" w:after="0"/>
              <w:ind w:left="72" w:right="166" w:firstLine="0"/>
              <w:jc w:val="left"/>
              <w:rPr>
                <w:sz w:val="18"/>
              </w:rPr>
            </w:pPr>
            <w:r>
              <w:rPr>
                <w:sz w:val="18"/>
              </w:rPr>
              <w:t>Errores en la identificación</w:t>
            </w:r>
            <w:r>
              <w:rPr>
                <w:spacing w:val="-13"/>
                <w:sz w:val="18"/>
              </w:rPr>
              <w:t> </w:t>
            </w:r>
            <w:r>
              <w:rPr>
                <w:sz w:val="18"/>
              </w:rPr>
              <w:t>de la población y definición del grado de </w:t>
            </w:r>
            <w:r>
              <w:rPr>
                <w:spacing w:val="-2"/>
                <w:sz w:val="18"/>
              </w:rPr>
              <w:t>dependencia.</w:t>
            </w:r>
          </w:p>
        </w:tc>
      </w:tr>
    </w:tbl>
    <w:p>
      <w:pPr>
        <w:pStyle w:val="TableParagraph"/>
        <w:spacing w:after="0" w:line="240" w:lineRule="auto"/>
        <w:jc w:val="left"/>
        <w:rPr>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9"/>
        <w:gridCol w:w="1548"/>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9" w:type="dxa"/>
            <w:shd w:val="clear" w:color="auto" w:fill="D9D9D9"/>
          </w:tcPr>
          <w:p>
            <w:pPr>
              <w:pStyle w:val="TableParagraph"/>
              <w:spacing w:before="104"/>
              <w:ind w:left="430" w:hanging="120"/>
              <w:rPr>
                <w:b/>
                <w:sz w:val="18"/>
              </w:rPr>
            </w:pPr>
            <w:r>
              <w:rPr>
                <w:b/>
                <w:spacing w:val="-2"/>
                <w:sz w:val="18"/>
              </w:rPr>
              <w:t>Presupuesto asignado</w:t>
            </w:r>
          </w:p>
        </w:tc>
        <w:tc>
          <w:tcPr>
            <w:tcW w:w="1548" w:type="dxa"/>
            <w:shd w:val="clear" w:color="auto" w:fill="D9D9D9"/>
          </w:tcPr>
          <w:p>
            <w:pPr>
              <w:pStyle w:val="TableParagraph"/>
              <w:spacing w:line="206" w:lineRule="exact"/>
              <w:ind w:left="16"/>
              <w:jc w:val="center"/>
              <w:rPr>
                <w:b/>
                <w:sz w:val="18"/>
              </w:rPr>
            </w:pPr>
            <w:r>
              <w:rPr>
                <w:b/>
                <w:spacing w:val="-2"/>
                <w:sz w:val="18"/>
              </w:rPr>
              <w:t>Riesgos </w:t>
            </w:r>
            <w:r>
              <w:rPr>
                <w:b/>
                <w:sz w:val="18"/>
              </w:rPr>
              <w:t>asociados al </w:t>
            </w:r>
            <w:r>
              <w:rPr>
                <w:b/>
                <w:spacing w:val="-2"/>
                <w:sz w:val="18"/>
              </w:rPr>
              <w:t>cumplimiento</w:t>
            </w:r>
          </w:p>
        </w:tc>
      </w:tr>
      <w:tr>
        <w:trPr>
          <w:trHeight w:val="528" w:hRule="atLeast"/>
        </w:trPr>
        <w:tc>
          <w:tcPr>
            <w:tcW w:w="14247" w:type="dxa"/>
            <w:gridSpan w:val="8"/>
            <w:shd w:val="clear" w:color="auto" w:fill="EFF8F9"/>
          </w:tcPr>
          <w:p>
            <w:pPr>
              <w:pStyle w:val="TableParagraph"/>
              <w:spacing w:before="56"/>
              <w:ind w:left="72" w:right="98"/>
              <w:rPr>
                <w:b/>
                <w:sz w:val="18"/>
              </w:rPr>
            </w:pPr>
            <w:r>
              <w:rPr>
                <w:b/>
                <w:sz w:val="18"/>
              </w:rPr>
              <w:t>Producto</w:t>
            </w:r>
            <w:r>
              <w:rPr>
                <w:b/>
                <w:spacing w:val="-4"/>
                <w:sz w:val="18"/>
              </w:rPr>
              <w:t> </w:t>
            </w:r>
            <w:r>
              <w:rPr>
                <w:b/>
                <w:sz w:val="18"/>
              </w:rPr>
              <w:t>PPPS</w:t>
            </w:r>
            <w:r>
              <w:rPr>
                <w:b/>
                <w:spacing w:val="-4"/>
                <w:sz w:val="18"/>
              </w:rPr>
              <w:t> </w:t>
            </w:r>
            <w:r>
              <w:rPr>
                <w:b/>
                <w:sz w:val="18"/>
              </w:rPr>
              <w:t>1.20:</w:t>
            </w:r>
            <w:r>
              <w:rPr>
                <w:b/>
                <w:spacing w:val="-1"/>
                <w:sz w:val="18"/>
              </w:rPr>
              <w:t> </w:t>
            </w:r>
            <w:r>
              <w:rPr>
                <w:b/>
                <w:sz w:val="18"/>
              </w:rPr>
              <w:t>Instrumento</w:t>
            </w:r>
            <w:r>
              <w:rPr>
                <w:b/>
                <w:spacing w:val="-4"/>
                <w:sz w:val="18"/>
              </w:rPr>
              <w:t> </w:t>
            </w:r>
            <w:r>
              <w:rPr>
                <w:b/>
                <w:sz w:val="18"/>
              </w:rPr>
              <w:t>del</w:t>
            </w:r>
            <w:r>
              <w:rPr>
                <w:b/>
                <w:spacing w:val="-1"/>
                <w:sz w:val="18"/>
              </w:rPr>
              <w:t> </w:t>
            </w:r>
            <w:r>
              <w:rPr>
                <w:b/>
                <w:sz w:val="18"/>
              </w:rPr>
              <w:t>Baremo</w:t>
            </w:r>
            <w:r>
              <w:rPr>
                <w:b/>
                <w:spacing w:val="-4"/>
                <w:sz w:val="18"/>
              </w:rPr>
              <w:t> </w:t>
            </w:r>
            <w:r>
              <w:rPr>
                <w:b/>
                <w:sz w:val="18"/>
              </w:rPr>
              <w:t>de</w:t>
            </w:r>
            <w:r>
              <w:rPr>
                <w:b/>
                <w:spacing w:val="-3"/>
                <w:sz w:val="18"/>
              </w:rPr>
              <w:t> </w:t>
            </w:r>
            <w:r>
              <w:rPr>
                <w:b/>
                <w:sz w:val="18"/>
              </w:rPr>
              <w:t>Valoración de</w:t>
            </w:r>
            <w:r>
              <w:rPr>
                <w:b/>
                <w:spacing w:val="-3"/>
                <w:sz w:val="18"/>
              </w:rPr>
              <w:t> </w:t>
            </w:r>
            <w:r>
              <w:rPr>
                <w:b/>
                <w:sz w:val="18"/>
              </w:rPr>
              <w:t>la</w:t>
            </w:r>
            <w:r>
              <w:rPr>
                <w:b/>
                <w:spacing w:val="-3"/>
                <w:sz w:val="18"/>
              </w:rPr>
              <w:t> </w:t>
            </w:r>
            <w:r>
              <w:rPr>
                <w:b/>
                <w:sz w:val="18"/>
              </w:rPr>
              <w:t>Dependencia diseñado,</w:t>
            </w:r>
            <w:r>
              <w:rPr>
                <w:b/>
                <w:spacing w:val="-1"/>
                <w:sz w:val="18"/>
              </w:rPr>
              <w:t> </w:t>
            </w:r>
            <w:r>
              <w:rPr>
                <w:b/>
                <w:sz w:val="18"/>
              </w:rPr>
              <w:t>aprobado</w:t>
            </w:r>
            <w:r>
              <w:rPr>
                <w:b/>
                <w:spacing w:val="-4"/>
                <w:sz w:val="18"/>
              </w:rPr>
              <w:t> </w:t>
            </w:r>
            <w:r>
              <w:rPr>
                <w:b/>
                <w:sz w:val="18"/>
              </w:rPr>
              <w:t>e</w:t>
            </w:r>
            <w:r>
              <w:rPr>
                <w:b/>
                <w:spacing w:val="-3"/>
                <w:sz w:val="18"/>
              </w:rPr>
              <w:t> </w:t>
            </w:r>
            <w:r>
              <w:rPr>
                <w:b/>
                <w:sz w:val="18"/>
              </w:rPr>
              <w:t>implementado,</w:t>
            </w:r>
            <w:r>
              <w:rPr>
                <w:b/>
                <w:spacing w:val="-1"/>
                <w:sz w:val="18"/>
              </w:rPr>
              <w:t> </w:t>
            </w:r>
            <w:r>
              <w:rPr>
                <w:b/>
                <w:sz w:val="18"/>
              </w:rPr>
              <w:t>a</w:t>
            </w:r>
            <w:r>
              <w:rPr>
                <w:b/>
                <w:spacing w:val="-3"/>
                <w:sz w:val="18"/>
              </w:rPr>
              <w:t> </w:t>
            </w:r>
            <w:r>
              <w:rPr>
                <w:b/>
                <w:sz w:val="18"/>
              </w:rPr>
              <w:t>fin</w:t>
            </w:r>
            <w:r>
              <w:rPr>
                <w:b/>
                <w:spacing w:val="-4"/>
                <w:sz w:val="18"/>
              </w:rPr>
              <w:t> </w:t>
            </w:r>
            <w:r>
              <w:rPr>
                <w:b/>
                <w:sz w:val="18"/>
              </w:rPr>
              <w:t>de</w:t>
            </w:r>
            <w:r>
              <w:rPr>
                <w:b/>
                <w:spacing w:val="-3"/>
                <w:sz w:val="18"/>
              </w:rPr>
              <w:t> </w:t>
            </w:r>
            <w:r>
              <w:rPr>
                <w:b/>
                <w:sz w:val="18"/>
              </w:rPr>
              <w:t>medir</w:t>
            </w:r>
            <w:r>
              <w:rPr>
                <w:b/>
                <w:spacing w:val="15"/>
                <w:sz w:val="18"/>
              </w:rPr>
              <w:t> </w:t>
            </w:r>
            <w:r>
              <w:rPr>
                <w:b/>
                <w:sz w:val="18"/>
              </w:rPr>
              <w:t>el</w:t>
            </w:r>
            <w:r>
              <w:rPr>
                <w:b/>
                <w:spacing w:val="-1"/>
                <w:sz w:val="18"/>
              </w:rPr>
              <w:t> </w:t>
            </w:r>
            <w:r>
              <w:rPr>
                <w:b/>
                <w:sz w:val="18"/>
              </w:rPr>
              <w:t>nivel</w:t>
            </w:r>
            <w:r>
              <w:rPr>
                <w:b/>
                <w:spacing w:val="-1"/>
                <w:sz w:val="18"/>
              </w:rPr>
              <w:t> </w:t>
            </w:r>
            <w:r>
              <w:rPr>
                <w:b/>
                <w:sz w:val="18"/>
              </w:rPr>
              <w:t>de</w:t>
            </w:r>
            <w:r>
              <w:rPr>
                <w:b/>
                <w:spacing w:val="-3"/>
                <w:sz w:val="18"/>
              </w:rPr>
              <w:t> </w:t>
            </w:r>
            <w:r>
              <w:rPr>
                <w:b/>
                <w:sz w:val="18"/>
              </w:rPr>
              <w:t>dependencia</w:t>
            </w:r>
            <w:r>
              <w:rPr>
                <w:b/>
                <w:spacing w:val="-3"/>
                <w:sz w:val="18"/>
              </w:rPr>
              <w:t> </w:t>
            </w:r>
            <w:r>
              <w:rPr>
                <w:b/>
                <w:sz w:val="18"/>
              </w:rPr>
              <w:t>de personas adultas de manera homogenizada. E2 AE6 R2</w:t>
            </w:r>
          </w:p>
        </w:tc>
      </w:tr>
      <w:tr>
        <w:trPr>
          <w:trHeight w:val="1449" w:hRule="atLeast"/>
        </w:trPr>
        <w:tc>
          <w:tcPr>
            <w:tcW w:w="2972" w:type="dxa"/>
          </w:tcPr>
          <w:p>
            <w:pPr>
              <w:pStyle w:val="TableParagraph"/>
              <w:spacing w:before="205"/>
              <w:ind w:left="72" w:right="141"/>
              <w:rPr>
                <w:b/>
                <w:sz w:val="18"/>
              </w:rPr>
            </w:pPr>
            <w:r>
              <w:rPr>
                <w:b/>
                <w:sz w:val="18"/>
              </w:rPr>
              <w:t>Actividad PPPS 1.20.1: </w:t>
            </w:r>
            <w:r>
              <w:rPr>
                <w:sz w:val="18"/>
              </w:rPr>
              <w:t>Aplicación del instrumento BAREMO</w:t>
            </w:r>
            <w:r>
              <w:rPr>
                <w:spacing w:val="-5"/>
                <w:sz w:val="18"/>
              </w:rPr>
              <w:t> </w:t>
            </w:r>
            <w:r>
              <w:rPr>
                <w:sz w:val="18"/>
              </w:rPr>
              <w:t>a</w:t>
            </w:r>
            <w:r>
              <w:rPr>
                <w:spacing w:val="-11"/>
                <w:sz w:val="18"/>
              </w:rPr>
              <w:t> </w:t>
            </w:r>
            <w:r>
              <w:rPr>
                <w:sz w:val="18"/>
              </w:rPr>
              <w:t>personas</w:t>
            </w:r>
            <w:r>
              <w:rPr>
                <w:spacing w:val="-7"/>
                <w:sz w:val="18"/>
              </w:rPr>
              <w:t> </w:t>
            </w:r>
            <w:r>
              <w:rPr>
                <w:sz w:val="18"/>
              </w:rPr>
              <w:t>usuarias</w:t>
            </w:r>
            <w:r>
              <w:rPr>
                <w:spacing w:val="-11"/>
                <w:sz w:val="18"/>
              </w:rPr>
              <w:t> </w:t>
            </w:r>
            <w:r>
              <w:rPr>
                <w:sz w:val="18"/>
              </w:rPr>
              <w:t>de los servicios institucionales </w:t>
            </w:r>
            <w:r>
              <w:rPr>
                <w:b/>
                <w:sz w:val="18"/>
              </w:rPr>
              <w:t>(vinculada a PEI 2.6.2).</w:t>
            </w:r>
          </w:p>
        </w:tc>
        <w:tc>
          <w:tcPr>
            <w:tcW w:w="1560" w:type="dxa"/>
          </w:tcPr>
          <w:p>
            <w:pPr>
              <w:pStyle w:val="TableParagraph"/>
              <w:rPr>
                <w:b/>
                <w:sz w:val="18"/>
              </w:rPr>
            </w:pPr>
          </w:p>
          <w:p>
            <w:pPr>
              <w:pStyle w:val="TableParagraph"/>
              <w:spacing w:before="204"/>
              <w:rPr>
                <w:b/>
                <w:sz w:val="18"/>
              </w:rPr>
            </w:pPr>
          </w:p>
          <w:p>
            <w:pPr>
              <w:pStyle w:val="TableParagraph"/>
              <w:ind w:left="21" w:right="6"/>
              <w:jc w:val="center"/>
              <w:rPr>
                <w:sz w:val="18"/>
              </w:rPr>
            </w:pPr>
            <w:r>
              <w:rPr>
                <w:spacing w:val="-4"/>
                <w:sz w:val="18"/>
              </w:rPr>
              <w:t>5728</w:t>
            </w:r>
          </w:p>
        </w:tc>
        <w:tc>
          <w:tcPr>
            <w:tcW w:w="1560" w:type="dxa"/>
          </w:tcPr>
          <w:p>
            <w:pPr>
              <w:pStyle w:val="TableParagraph"/>
              <w:rPr>
                <w:b/>
                <w:sz w:val="18"/>
              </w:rPr>
            </w:pPr>
          </w:p>
          <w:p>
            <w:pPr>
              <w:pStyle w:val="TableParagraph"/>
              <w:spacing w:before="204"/>
              <w:rPr>
                <w:b/>
                <w:sz w:val="18"/>
              </w:rPr>
            </w:pPr>
          </w:p>
          <w:p>
            <w:pPr>
              <w:pStyle w:val="TableParagraph"/>
              <w:ind w:left="21" w:right="14"/>
              <w:jc w:val="center"/>
              <w:rPr>
                <w:sz w:val="18"/>
              </w:rPr>
            </w:pPr>
            <w:r>
              <w:rPr>
                <w:spacing w:val="-4"/>
                <w:sz w:val="18"/>
              </w:rPr>
              <w:t>6000</w:t>
            </w:r>
          </w:p>
        </w:tc>
        <w:tc>
          <w:tcPr>
            <w:tcW w:w="1982" w:type="dxa"/>
          </w:tcPr>
          <w:p>
            <w:pPr>
              <w:pStyle w:val="TableParagraph"/>
              <w:spacing w:before="104"/>
              <w:ind w:left="68" w:right="114"/>
              <w:rPr>
                <w:sz w:val="18"/>
              </w:rPr>
            </w:pPr>
            <w:r>
              <w:rPr>
                <w:sz w:val="18"/>
              </w:rPr>
              <w:t>Cantidad</w:t>
            </w:r>
            <w:r>
              <w:rPr>
                <w:spacing w:val="-15"/>
                <w:sz w:val="18"/>
              </w:rPr>
              <w:t> </w:t>
            </w:r>
            <w:r>
              <w:rPr>
                <w:sz w:val="18"/>
              </w:rPr>
              <w:t>de</w:t>
            </w:r>
            <w:r>
              <w:rPr>
                <w:spacing w:val="-12"/>
                <w:sz w:val="18"/>
              </w:rPr>
              <w:t> </w:t>
            </w:r>
            <w:r>
              <w:rPr>
                <w:sz w:val="18"/>
              </w:rPr>
              <w:t>personas usuarias de los </w:t>
            </w:r>
            <w:r>
              <w:rPr>
                <w:spacing w:val="-2"/>
                <w:sz w:val="18"/>
              </w:rPr>
              <w:t>servicios </w:t>
            </w:r>
            <w:r>
              <w:rPr>
                <w:sz w:val="18"/>
              </w:rPr>
              <w:t>institucionales a las que se les aplica el </w:t>
            </w:r>
            <w:r>
              <w:rPr>
                <w:spacing w:val="-2"/>
                <w:sz w:val="18"/>
              </w:rPr>
              <w:t>BAREMO.</w:t>
            </w:r>
          </w:p>
        </w:tc>
        <w:tc>
          <w:tcPr>
            <w:tcW w:w="1560" w:type="dxa"/>
          </w:tcPr>
          <w:p>
            <w:pPr>
              <w:pStyle w:val="TableParagraph"/>
              <w:spacing w:before="204"/>
              <w:rPr>
                <w:b/>
                <w:sz w:val="18"/>
              </w:rPr>
            </w:pPr>
          </w:p>
          <w:p>
            <w:pPr>
              <w:pStyle w:val="TableParagraph"/>
              <w:ind w:left="73" w:right="58"/>
              <w:rPr>
                <w:sz w:val="18"/>
              </w:rPr>
            </w:pPr>
            <w:r>
              <w:rPr>
                <w:sz w:val="18"/>
              </w:rPr>
              <w:t>Reporte de cumplimiento</w:t>
            </w:r>
            <w:r>
              <w:rPr>
                <w:spacing w:val="-13"/>
                <w:sz w:val="18"/>
              </w:rPr>
              <w:t> </w:t>
            </w:r>
            <w:r>
              <w:rPr>
                <w:sz w:val="18"/>
              </w:rPr>
              <w:t>de </w:t>
            </w:r>
            <w:r>
              <w:rPr>
                <w:spacing w:val="-2"/>
                <w:sz w:val="18"/>
              </w:rPr>
              <w:t>metas</w:t>
            </w:r>
          </w:p>
        </w:tc>
        <w:tc>
          <w:tcPr>
            <w:tcW w:w="1416" w:type="dxa"/>
          </w:tcPr>
          <w:p>
            <w:pPr>
              <w:pStyle w:val="TableParagraph"/>
              <w:rPr>
                <w:b/>
                <w:sz w:val="18"/>
              </w:rPr>
            </w:pPr>
          </w:p>
          <w:p>
            <w:pPr>
              <w:pStyle w:val="TableParagraph"/>
              <w:spacing w:before="204"/>
              <w:rPr>
                <w:b/>
                <w:sz w:val="18"/>
              </w:rPr>
            </w:pPr>
          </w:p>
          <w:p>
            <w:pPr>
              <w:pStyle w:val="TableParagraph"/>
              <w:ind w:left="17" w:right="15"/>
              <w:jc w:val="center"/>
              <w:rPr>
                <w:sz w:val="18"/>
              </w:rPr>
            </w:pPr>
            <w:r>
              <w:rPr>
                <w:spacing w:val="-2"/>
                <w:sz w:val="18"/>
              </w:rPr>
              <w:t>DASAI</w:t>
            </w:r>
          </w:p>
        </w:tc>
        <w:tc>
          <w:tcPr>
            <w:tcW w:w="1649" w:type="dxa"/>
          </w:tcPr>
          <w:p>
            <w:pPr>
              <w:pStyle w:val="TableParagraph"/>
              <w:rPr>
                <w:rFonts w:ascii="Times New Roman"/>
                <w:sz w:val="18"/>
              </w:rPr>
            </w:pPr>
          </w:p>
        </w:tc>
        <w:tc>
          <w:tcPr>
            <w:tcW w:w="1548" w:type="dxa"/>
          </w:tcPr>
          <w:p>
            <w:pPr>
              <w:pStyle w:val="TableParagraph"/>
              <w:numPr>
                <w:ilvl w:val="0"/>
                <w:numId w:val="51"/>
              </w:numPr>
              <w:tabs>
                <w:tab w:pos="133" w:val="left" w:leader="none"/>
              </w:tabs>
              <w:spacing w:line="240" w:lineRule="auto" w:before="0" w:after="0"/>
              <w:ind w:left="72" w:right="238" w:firstLine="0"/>
              <w:jc w:val="left"/>
              <w:rPr>
                <w:sz w:val="18"/>
              </w:rPr>
            </w:pPr>
            <w:r>
              <w:rPr>
                <w:sz w:val="18"/>
              </w:rPr>
              <w:t>Atraso en la instauración</w:t>
            </w:r>
            <w:r>
              <w:rPr>
                <w:spacing w:val="-13"/>
                <w:sz w:val="18"/>
              </w:rPr>
              <w:t> </w:t>
            </w:r>
            <w:r>
              <w:rPr>
                <w:sz w:val="18"/>
              </w:rPr>
              <w:t>en SINIRUBE del</w:t>
            </w:r>
          </w:p>
          <w:p>
            <w:pPr>
              <w:pStyle w:val="TableParagraph"/>
              <w:spacing w:line="242" w:lineRule="auto"/>
              <w:ind w:left="72"/>
              <w:rPr>
                <w:sz w:val="18"/>
              </w:rPr>
            </w:pPr>
            <w:r>
              <w:rPr>
                <w:spacing w:val="-2"/>
                <w:sz w:val="18"/>
              </w:rPr>
              <w:t>instrumento </w:t>
            </w:r>
            <w:r>
              <w:rPr>
                <w:sz w:val="18"/>
              </w:rPr>
              <w:t>aprobado en decretos</w:t>
            </w:r>
            <w:r>
              <w:rPr>
                <w:spacing w:val="-15"/>
                <w:sz w:val="18"/>
              </w:rPr>
              <w:t> </w:t>
            </w:r>
            <w:r>
              <w:rPr>
                <w:sz w:val="18"/>
              </w:rPr>
              <w:t>44242</w:t>
            </w:r>
            <w:r>
              <w:rPr>
                <w:spacing w:val="-12"/>
                <w:sz w:val="18"/>
              </w:rPr>
              <w:t> </w:t>
            </w:r>
            <w:r>
              <w:rPr>
                <w:sz w:val="18"/>
              </w:rPr>
              <w:t>y</w:t>
            </w:r>
          </w:p>
          <w:p>
            <w:pPr>
              <w:pStyle w:val="TableParagraph"/>
              <w:spacing w:line="184" w:lineRule="exact"/>
              <w:ind w:left="72"/>
              <w:rPr>
                <w:sz w:val="18"/>
              </w:rPr>
            </w:pPr>
            <w:r>
              <w:rPr>
                <w:spacing w:val="-2"/>
                <w:sz w:val="18"/>
              </w:rPr>
              <w:t>44243.</w:t>
            </w:r>
          </w:p>
        </w:tc>
      </w:tr>
      <w:tr>
        <w:trPr>
          <w:trHeight w:val="465" w:hRule="atLeast"/>
        </w:trPr>
        <w:tc>
          <w:tcPr>
            <w:tcW w:w="14247" w:type="dxa"/>
            <w:gridSpan w:val="8"/>
            <w:shd w:val="clear" w:color="auto" w:fill="EFF8F9"/>
          </w:tcPr>
          <w:p>
            <w:pPr>
              <w:pStyle w:val="TableParagraph"/>
              <w:spacing w:before="23"/>
              <w:ind w:left="72" w:right="98"/>
              <w:rPr>
                <w:b/>
                <w:sz w:val="18"/>
              </w:rPr>
            </w:pPr>
            <w:r>
              <w:rPr>
                <w:b/>
                <w:sz w:val="18"/>
              </w:rPr>
              <w:t>Producto</w:t>
            </w:r>
            <w:r>
              <w:rPr>
                <w:b/>
                <w:spacing w:val="-3"/>
                <w:sz w:val="18"/>
              </w:rPr>
              <w:t> </w:t>
            </w:r>
            <w:r>
              <w:rPr>
                <w:b/>
                <w:sz w:val="18"/>
              </w:rPr>
              <w:t>PPPS</w:t>
            </w:r>
            <w:r>
              <w:rPr>
                <w:b/>
                <w:spacing w:val="-3"/>
                <w:sz w:val="18"/>
              </w:rPr>
              <w:t> </w:t>
            </w:r>
            <w:r>
              <w:rPr>
                <w:b/>
                <w:sz w:val="18"/>
              </w:rPr>
              <w:t>1.21:</w:t>
            </w:r>
            <w:r>
              <w:rPr>
                <w:b/>
                <w:spacing w:val="-5"/>
                <w:sz w:val="18"/>
              </w:rPr>
              <w:t> </w:t>
            </w:r>
            <w:r>
              <w:rPr>
                <w:b/>
                <w:sz w:val="18"/>
              </w:rPr>
              <w:t>Oferta</w:t>
            </w:r>
            <w:r>
              <w:rPr>
                <w:b/>
                <w:spacing w:val="-2"/>
                <w:sz w:val="18"/>
              </w:rPr>
              <w:t> </w:t>
            </w:r>
            <w:r>
              <w:rPr>
                <w:b/>
                <w:sz w:val="18"/>
              </w:rPr>
              <w:t>programática</w:t>
            </w:r>
            <w:r>
              <w:rPr>
                <w:b/>
                <w:spacing w:val="-2"/>
                <w:sz w:val="18"/>
              </w:rPr>
              <w:t> </w:t>
            </w:r>
            <w:r>
              <w:rPr>
                <w:b/>
                <w:sz w:val="18"/>
              </w:rPr>
              <w:t>institucional articulada</w:t>
            </w:r>
            <w:r>
              <w:rPr>
                <w:b/>
                <w:spacing w:val="-2"/>
                <w:sz w:val="18"/>
              </w:rPr>
              <w:t> </w:t>
            </w:r>
            <w:r>
              <w:rPr>
                <w:b/>
                <w:sz w:val="18"/>
              </w:rPr>
              <w:t>que</w:t>
            </w:r>
            <w:r>
              <w:rPr>
                <w:b/>
                <w:spacing w:val="-2"/>
                <w:sz w:val="18"/>
              </w:rPr>
              <w:t> </w:t>
            </w:r>
            <w:r>
              <w:rPr>
                <w:b/>
                <w:sz w:val="18"/>
              </w:rPr>
              <w:t>contribuya</w:t>
            </w:r>
            <w:r>
              <w:rPr>
                <w:b/>
                <w:spacing w:val="-2"/>
                <w:sz w:val="18"/>
              </w:rPr>
              <w:t> </w:t>
            </w:r>
            <w:r>
              <w:rPr>
                <w:b/>
                <w:sz w:val="18"/>
              </w:rPr>
              <w:t>en</w:t>
            </w:r>
            <w:r>
              <w:rPr>
                <w:b/>
                <w:spacing w:val="-3"/>
                <w:sz w:val="18"/>
              </w:rPr>
              <w:t> </w:t>
            </w:r>
            <w:r>
              <w:rPr>
                <w:b/>
                <w:sz w:val="18"/>
              </w:rPr>
              <w:t>la</w:t>
            </w:r>
            <w:r>
              <w:rPr>
                <w:b/>
                <w:spacing w:val="-2"/>
                <w:sz w:val="18"/>
              </w:rPr>
              <w:t> </w:t>
            </w:r>
            <w:r>
              <w:rPr>
                <w:b/>
                <w:sz w:val="18"/>
              </w:rPr>
              <w:t>calidad de vida</w:t>
            </w:r>
            <w:r>
              <w:rPr>
                <w:b/>
                <w:spacing w:val="-2"/>
                <w:sz w:val="18"/>
              </w:rPr>
              <w:t> </w:t>
            </w:r>
            <w:r>
              <w:rPr>
                <w:b/>
                <w:sz w:val="18"/>
              </w:rPr>
              <w:t>de</w:t>
            </w:r>
            <w:r>
              <w:rPr>
                <w:b/>
                <w:spacing w:val="-2"/>
                <w:sz w:val="18"/>
              </w:rPr>
              <w:t> </w:t>
            </w:r>
            <w:r>
              <w:rPr>
                <w:b/>
                <w:sz w:val="18"/>
              </w:rPr>
              <w:t>la</w:t>
            </w:r>
            <w:r>
              <w:rPr>
                <w:b/>
                <w:spacing w:val="-2"/>
                <w:sz w:val="18"/>
              </w:rPr>
              <w:t> </w:t>
            </w:r>
            <w:r>
              <w:rPr>
                <w:b/>
                <w:sz w:val="18"/>
              </w:rPr>
              <w:t>población</w:t>
            </w:r>
            <w:r>
              <w:rPr>
                <w:b/>
                <w:spacing w:val="-3"/>
                <w:sz w:val="18"/>
              </w:rPr>
              <w:t> </w:t>
            </w:r>
            <w:r>
              <w:rPr>
                <w:b/>
                <w:sz w:val="18"/>
              </w:rPr>
              <w:t>cuidadora</w:t>
            </w:r>
            <w:r>
              <w:rPr>
                <w:b/>
                <w:spacing w:val="-2"/>
                <w:sz w:val="18"/>
              </w:rPr>
              <w:t> </w:t>
            </w:r>
            <w:r>
              <w:rPr>
                <w:b/>
                <w:sz w:val="18"/>
              </w:rPr>
              <w:t>y</w:t>
            </w:r>
            <w:r>
              <w:rPr>
                <w:b/>
                <w:spacing w:val="-2"/>
                <w:sz w:val="18"/>
              </w:rPr>
              <w:t> </w:t>
            </w:r>
            <w:r>
              <w:rPr>
                <w:b/>
                <w:sz w:val="18"/>
              </w:rPr>
              <w:t>población</w:t>
            </w:r>
            <w:r>
              <w:rPr>
                <w:b/>
                <w:spacing w:val="-3"/>
                <w:sz w:val="18"/>
              </w:rPr>
              <w:t> </w:t>
            </w:r>
            <w:r>
              <w:rPr>
                <w:b/>
                <w:sz w:val="18"/>
              </w:rPr>
              <w:t>adulta en</w:t>
            </w:r>
            <w:r>
              <w:rPr>
                <w:b/>
                <w:spacing w:val="-3"/>
                <w:sz w:val="18"/>
              </w:rPr>
              <w:t> </w:t>
            </w:r>
            <w:r>
              <w:rPr>
                <w:b/>
                <w:sz w:val="18"/>
              </w:rPr>
              <w:t>situación</w:t>
            </w:r>
            <w:r>
              <w:rPr>
                <w:b/>
                <w:spacing w:val="-3"/>
                <w:sz w:val="18"/>
              </w:rPr>
              <w:t> </w:t>
            </w:r>
            <w:r>
              <w:rPr>
                <w:b/>
                <w:sz w:val="18"/>
              </w:rPr>
              <w:t>de dependencia. E2 AE6 R3</w:t>
            </w:r>
          </w:p>
        </w:tc>
      </w:tr>
      <w:tr>
        <w:trPr>
          <w:trHeight w:val="2275" w:hRule="atLeast"/>
        </w:trPr>
        <w:tc>
          <w:tcPr>
            <w:tcW w:w="2972" w:type="dxa"/>
          </w:tcPr>
          <w:p>
            <w:pPr>
              <w:pStyle w:val="TableParagraph"/>
              <w:spacing w:before="205"/>
              <w:rPr>
                <w:b/>
                <w:sz w:val="18"/>
              </w:rPr>
            </w:pPr>
          </w:p>
          <w:p>
            <w:pPr>
              <w:pStyle w:val="TableParagraph"/>
              <w:spacing w:line="207"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1.21.1:</w:t>
            </w:r>
          </w:p>
          <w:p>
            <w:pPr>
              <w:pStyle w:val="TableParagraph"/>
              <w:ind w:left="72" w:right="60"/>
              <w:rPr>
                <w:b/>
                <w:sz w:val="18"/>
              </w:rPr>
            </w:pPr>
            <w:r>
              <w:rPr>
                <w:sz w:val="18"/>
              </w:rPr>
              <w:t>Acceso articulado a la oferta programática</w:t>
            </w:r>
            <w:r>
              <w:rPr>
                <w:spacing w:val="-11"/>
                <w:sz w:val="18"/>
              </w:rPr>
              <w:t> </w:t>
            </w:r>
            <w:r>
              <w:rPr>
                <w:sz w:val="18"/>
              </w:rPr>
              <w:t>institucional</w:t>
            </w:r>
            <w:r>
              <w:rPr>
                <w:spacing w:val="-13"/>
                <w:sz w:val="18"/>
              </w:rPr>
              <w:t> </w:t>
            </w:r>
            <w:r>
              <w:rPr>
                <w:sz w:val="18"/>
              </w:rPr>
              <w:t>por</w:t>
            </w:r>
            <w:r>
              <w:rPr>
                <w:spacing w:val="-9"/>
                <w:sz w:val="18"/>
              </w:rPr>
              <w:t> </w:t>
            </w:r>
            <w:r>
              <w:rPr>
                <w:sz w:val="18"/>
              </w:rPr>
              <w:t>parte de hogares con población cuidadora y población adulta en situación de dependencia </w:t>
            </w:r>
            <w:r>
              <w:rPr>
                <w:b/>
                <w:sz w:val="18"/>
              </w:rPr>
              <w:t>(vinculado a PEI 2.6.3).</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1" w:right="14"/>
              <w:jc w:val="center"/>
              <w:rPr>
                <w:sz w:val="18"/>
              </w:rPr>
            </w:pPr>
            <w:r>
              <w:rPr>
                <w:spacing w:val="-4"/>
                <w:sz w:val="18"/>
              </w:rPr>
              <w:t>6000</w:t>
            </w:r>
          </w:p>
        </w:tc>
        <w:tc>
          <w:tcPr>
            <w:tcW w:w="1982" w:type="dxa"/>
          </w:tcPr>
          <w:p>
            <w:pPr>
              <w:pStyle w:val="TableParagraph"/>
              <w:spacing w:before="104"/>
              <w:rPr>
                <w:b/>
                <w:sz w:val="18"/>
              </w:rPr>
            </w:pPr>
          </w:p>
          <w:p>
            <w:pPr>
              <w:pStyle w:val="TableParagraph"/>
              <w:ind w:left="68" w:right="114"/>
              <w:rPr>
                <w:sz w:val="18"/>
              </w:rPr>
            </w:pPr>
            <w:r>
              <w:rPr>
                <w:sz w:val="18"/>
              </w:rPr>
              <w:t>Cantidad de hogares con población cuidadora</w:t>
            </w:r>
            <w:r>
              <w:rPr>
                <w:spacing w:val="-7"/>
                <w:sz w:val="18"/>
              </w:rPr>
              <w:t> </w:t>
            </w:r>
            <w:r>
              <w:rPr>
                <w:sz w:val="18"/>
              </w:rPr>
              <w:t>y</w:t>
            </w:r>
            <w:r>
              <w:rPr>
                <w:spacing w:val="-7"/>
                <w:sz w:val="18"/>
              </w:rPr>
              <w:t> </w:t>
            </w:r>
            <w:r>
              <w:rPr>
                <w:sz w:val="18"/>
              </w:rPr>
              <w:t>población adulta</w:t>
            </w:r>
            <w:r>
              <w:rPr>
                <w:spacing w:val="-5"/>
                <w:sz w:val="18"/>
              </w:rPr>
              <w:t> </w:t>
            </w:r>
            <w:r>
              <w:rPr>
                <w:sz w:val="18"/>
              </w:rPr>
              <w:t>en</w:t>
            </w:r>
            <w:r>
              <w:rPr>
                <w:spacing w:val="-5"/>
                <w:sz w:val="18"/>
              </w:rPr>
              <w:t> </w:t>
            </w:r>
            <w:r>
              <w:rPr>
                <w:sz w:val="18"/>
              </w:rPr>
              <w:t>situación</w:t>
            </w:r>
            <w:r>
              <w:rPr>
                <w:spacing w:val="-5"/>
                <w:sz w:val="18"/>
              </w:rPr>
              <w:t> </w:t>
            </w:r>
            <w:r>
              <w:rPr>
                <w:sz w:val="18"/>
              </w:rPr>
              <w:t>de dependencia que acceden a una oferta </w:t>
            </w:r>
            <w:r>
              <w:rPr>
                <w:spacing w:val="-2"/>
                <w:sz w:val="18"/>
              </w:rPr>
              <w:t>programática </w:t>
            </w:r>
            <w:r>
              <w:rPr>
                <w:sz w:val="18"/>
              </w:rPr>
              <w:t>institucional</w:t>
            </w:r>
            <w:r>
              <w:rPr>
                <w:spacing w:val="-13"/>
                <w:sz w:val="18"/>
              </w:rPr>
              <w:t> </w:t>
            </w:r>
            <w:r>
              <w:rPr>
                <w:sz w:val="18"/>
              </w:rPr>
              <w:t>articulada</w:t>
            </w:r>
          </w:p>
        </w:tc>
        <w:tc>
          <w:tcPr>
            <w:tcW w:w="1560" w:type="dxa"/>
          </w:tcPr>
          <w:p>
            <w:pPr>
              <w:pStyle w:val="TableParagraph"/>
              <w:spacing w:before="205"/>
              <w:rPr>
                <w:b/>
                <w:sz w:val="18"/>
              </w:rPr>
            </w:pPr>
          </w:p>
          <w:p>
            <w:pPr>
              <w:pStyle w:val="TableParagraph"/>
              <w:ind w:left="73" w:right="67"/>
              <w:rPr>
                <w:sz w:val="18"/>
              </w:rPr>
            </w:pPr>
            <w:r>
              <w:rPr>
                <w:sz w:val="18"/>
              </w:rPr>
              <w:t>Reporte sobre el acceso</w:t>
            </w:r>
            <w:r>
              <w:rPr>
                <w:spacing w:val="-13"/>
                <w:sz w:val="18"/>
              </w:rPr>
              <w:t> </w:t>
            </w:r>
            <w:r>
              <w:rPr>
                <w:sz w:val="18"/>
              </w:rPr>
              <w:t>articulado de la población objetivo a la </w:t>
            </w:r>
            <w:r>
              <w:rPr>
                <w:spacing w:val="-2"/>
                <w:sz w:val="18"/>
              </w:rPr>
              <w:t>oferta programática institucional.</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17" w:right="10"/>
              <w:jc w:val="center"/>
              <w:rPr>
                <w:sz w:val="18"/>
              </w:rPr>
            </w:pPr>
            <w:r>
              <w:rPr>
                <w:spacing w:val="-5"/>
                <w:sz w:val="18"/>
              </w:rPr>
              <w:t>DBF</w:t>
            </w:r>
          </w:p>
        </w:tc>
        <w:tc>
          <w:tcPr>
            <w:tcW w:w="1649" w:type="dxa"/>
          </w:tcPr>
          <w:p>
            <w:pPr>
              <w:pStyle w:val="TableParagraph"/>
              <w:rPr>
                <w:rFonts w:ascii="Times New Roman"/>
                <w:sz w:val="18"/>
              </w:rPr>
            </w:pPr>
          </w:p>
        </w:tc>
        <w:tc>
          <w:tcPr>
            <w:tcW w:w="1548" w:type="dxa"/>
          </w:tcPr>
          <w:p>
            <w:pPr>
              <w:pStyle w:val="TableParagraph"/>
              <w:numPr>
                <w:ilvl w:val="0"/>
                <w:numId w:val="52"/>
              </w:numPr>
              <w:tabs>
                <w:tab w:pos="133" w:val="left" w:leader="none"/>
              </w:tabs>
              <w:spacing w:line="240" w:lineRule="auto" w:before="0" w:after="0"/>
              <w:ind w:left="72" w:right="75" w:firstLine="0"/>
              <w:jc w:val="left"/>
              <w:rPr>
                <w:sz w:val="18"/>
              </w:rPr>
            </w:pPr>
            <w:r>
              <w:rPr>
                <w:sz w:val="18"/>
              </w:rPr>
              <w:t>No</w:t>
            </w:r>
            <w:r>
              <w:rPr>
                <w:spacing w:val="-13"/>
                <w:sz w:val="18"/>
              </w:rPr>
              <w:t> </w:t>
            </w:r>
            <w:r>
              <w:rPr>
                <w:sz w:val="18"/>
              </w:rPr>
              <w:t>identificación de la población en situación de dependencia y sus cuidadores para el </w:t>
            </w:r>
            <w:r>
              <w:rPr>
                <w:spacing w:val="-2"/>
                <w:sz w:val="18"/>
              </w:rPr>
              <w:t>otorgamiento subsidios, </w:t>
            </w:r>
            <w:r>
              <w:rPr>
                <w:sz w:val="18"/>
              </w:rPr>
              <w:t>beneficios y</w:t>
            </w:r>
          </w:p>
          <w:p>
            <w:pPr>
              <w:pStyle w:val="TableParagraph"/>
              <w:spacing w:line="206" w:lineRule="exact"/>
              <w:ind w:left="72"/>
              <w:rPr>
                <w:sz w:val="18"/>
              </w:rPr>
            </w:pPr>
            <w:r>
              <w:rPr>
                <w:spacing w:val="-2"/>
                <w:sz w:val="18"/>
              </w:rPr>
              <w:t>transferencias monetarias.</w:t>
            </w:r>
          </w:p>
        </w:tc>
      </w:tr>
      <w:tr>
        <w:trPr>
          <w:trHeight w:val="451" w:hRule="atLeast"/>
        </w:trPr>
        <w:tc>
          <w:tcPr>
            <w:tcW w:w="14247" w:type="dxa"/>
            <w:gridSpan w:val="8"/>
            <w:shd w:val="clear" w:color="auto" w:fill="EFF8F9"/>
          </w:tcPr>
          <w:p>
            <w:pPr>
              <w:pStyle w:val="TableParagraph"/>
              <w:spacing w:before="123"/>
              <w:ind w:left="72"/>
              <w:rPr>
                <w:b/>
                <w:sz w:val="18"/>
              </w:rPr>
            </w:pPr>
            <w:r>
              <w:rPr>
                <w:b/>
                <w:sz w:val="18"/>
              </w:rPr>
              <w:t>Producto</w:t>
            </w:r>
            <w:r>
              <w:rPr>
                <w:b/>
                <w:spacing w:val="-8"/>
                <w:sz w:val="18"/>
              </w:rPr>
              <w:t> </w:t>
            </w:r>
            <w:r>
              <w:rPr>
                <w:b/>
                <w:sz w:val="18"/>
              </w:rPr>
              <w:t>PPPS</w:t>
            </w:r>
            <w:r>
              <w:rPr>
                <w:b/>
                <w:spacing w:val="-7"/>
                <w:sz w:val="18"/>
              </w:rPr>
              <w:t> </w:t>
            </w:r>
            <w:r>
              <w:rPr>
                <w:b/>
                <w:sz w:val="18"/>
              </w:rPr>
              <w:t>1.22:</w:t>
            </w:r>
            <w:r>
              <w:rPr>
                <w:b/>
                <w:spacing w:val="43"/>
                <w:sz w:val="18"/>
              </w:rPr>
              <w:t> </w:t>
            </w:r>
            <w:r>
              <w:rPr>
                <w:b/>
                <w:sz w:val="18"/>
              </w:rPr>
              <w:t>Sistema</w:t>
            </w:r>
            <w:r>
              <w:rPr>
                <w:b/>
                <w:spacing w:val="-7"/>
                <w:sz w:val="18"/>
              </w:rPr>
              <w:t> </w:t>
            </w:r>
            <w:r>
              <w:rPr>
                <w:b/>
                <w:sz w:val="18"/>
              </w:rPr>
              <w:t>Nacional de</w:t>
            </w:r>
            <w:r>
              <w:rPr>
                <w:b/>
                <w:spacing w:val="-3"/>
                <w:sz w:val="18"/>
              </w:rPr>
              <w:t> </w:t>
            </w:r>
            <w:r>
              <w:rPr>
                <w:b/>
                <w:sz w:val="18"/>
              </w:rPr>
              <w:t>Cuidados</w:t>
            </w:r>
            <w:r>
              <w:rPr>
                <w:b/>
                <w:spacing w:val="-6"/>
                <w:sz w:val="18"/>
              </w:rPr>
              <w:t> </w:t>
            </w:r>
            <w:r>
              <w:rPr>
                <w:b/>
                <w:sz w:val="18"/>
              </w:rPr>
              <w:t>articulando</w:t>
            </w:r>
            <w:r>
              <w:rPr>
                <w:b/>
                <w:spacing w:val="-8"/>
                <w:sz w:val="18"/>
              </w:rPr>
              <w:t> </w:t>
            </w:r>
            <w:r>
              <w:rPr>
                <w:b/>
                <w:sz w:val="18"/>
              </w:rPr>
              <w:t>y</w:t>
            </w:r>
            <w:r>
              <w:rPr>
                <w:b/>
                <w:spacing w:val="-6"/>
                <w:sz w:val="18"/>
              </w:rPr>
              <w:t> </w:t>
            </w:r>
            <w:r>
              <w:rPr>
                <w:b/>
                <w:sz w:val="18"/>
              </w:rPr>
              <w:t>gestionando</w:t>
            </w:r>
            <w:r>
              <w:rPr>
                <w:b/>
                <w:spacing w:val="-3"/>
                <w:sz w:val="18"/>
              </w:rPr>
              <w:t> </w:t>
            </w:r>
            <w:r>
              <w:rPr>
                <w:b/>
                <w:sz w:val="18"/>
              </w:rPr>
              <w:t>espacios</w:t>
            </w:r>
            <w:r>
              <w:rPr>
                <w:b/>
                <w:spacing w:val="-3"/>
                <w:sz w:val="18"/>
              </w:rPr>
              <w:t> </w:t>
            </w:r>
            <w:r>
              <w:rPr>
                <w:b/>
                <w:sz w:val="18"/>
              </w:rPr>
              <w:t>para</w:t>
            </w:r>
            <w:r>
              <w:rPr>
                <w:b/>
                <w:spacing w:val="-7"/>
                <w:sz w:val="18"/>
              </w:rPr>
              <w:t> </w:t>
            </w:r>
            <w:r>
              <w:rPr>
                <w:b/>
                <w:sz w:val="18"/>
              </w:rPr>
              <w:t>la</w:t>
            </w:r>
            <w:r>
              <w:rPr>
                <w:b/>
                <w:spacing w:val="-6"/>
                <w:sz w:val="18"/>
              </w:rPr>
              <w:t> </w:t>
            </w:r>
            <w:r>
              <w:rPr>
                <w:b/>
                <w:sz w:val="18"/>
              </w:rPr>
              <w:t>promoción</w:t>
            </w:r>
            <w:r>
              <w:rPr>
                <w:b/>
                <w:spacing w:val="-8"/>
                <w:sz w:val="18"/>
              </w:rPr>
              <w:t> </w:t>
            </w:r>
            <w:r>
              <w:rPr>
                <w:b/>
                <w:sz w:val="18"/>
              </w:rPr>
              <w:t>del</w:t>
            </w:r>
            <w:r>
              <w:rPr>
                <w:b/>
                <w:spacing w:val="-4"/>
                <w:sz w:val="18"/>
              </w:rPr>
              <w:t> </w:t>
            </w:r>
            <w:r>
              <w:rPr>
                <w:b/>
                <w:sz w:val="18"/>
              </w:rPr>
              <w:t>empleo</w:t>
            </w:r>
            <w:r>
              <w:rPr>
                <w:b/>
                <w:spacing w:val="-8"/>
                <w:sz w:val="18"/>
              </w:rPr>
              <w:t> </w:t>
            </w:r>
            <w:r>
              <w:rPr>
                <w:b/>
                <w:sz w:val="18"/>
              </w:rPr>
              <w:t>femenino.</w:t>
            </w:r>
            <w:r>
              <w:rPr>
                <w:b/>
                <w:spacing w:val="-5"/>
                <w:sz w:val="18"/>
              </w:rPr>
              <w:t> </w:t>
            </w:r>
            <w:r>
              <w:rPr>
                <w:b/>
                <w:sz w:val="18"/>
              </w:rPr>
              <w:t>E2</w:t>
            </w:r>
            <w:r>
              <w:rPr>
                <w:b/>
                <w:spacing w:val="-3"/>
                <w:sz w:val="18"/>
              </w:rPr>
              <w:t> </w:t>
            </w:r>
            <w:r>
              <w:rPr>
                <w:b/>
                <w:sz w:val="18"/>
              </w:rPr>
              <w:t>AE6</w:t>
            </w:r>
            <w:r>
              <w:rPr>
                <w:b/>
                <w:spacing w:val="-6"/>
                <w:sz w:val="18"/>
              </w:rPr>
              <w:t> </w:t>
            </w:r>
            <w:r>
              <w:rPr>
                <w:b/>
                <w:spacing w:val="-5"/>
                <w:sz w:val="18"/>
              </w:rPr>
              <w:t>R4</w:t>
            </w:r>
          </w:p>
        </w:tc>
      </w:tr>
      <w:tr>
        <w:trPr>
          <w:trHeight w:val="1243" w:hRule="atLeast"/>
        </w:trPr>
        <w:tc>
          <w:tcPr>
            <w:tcW w:w="2972" w:type="dxa"/>
          </w:tcPr>
          <w:p>
            <w:pPr>
              <w:pStyle w:val="TableParagraph"/>
              <w:spacing w:line="207" w:lineRule="exact" w:before="104"/>
              <w:ind w:left="72"/>
              <w:rPr>
                <w:b/>
                <w:sz w:val="18"/>
              </w:rPr>
            </w:pPr>
            <w:r>
              <w:rPr>
                <w:b/>
                <w:sz w:val="18"/>
              </w:rPr>
              <w:t>Actividad</w:t>
            </w:r>
            <w:r>
              <w:rPr>
                <w:b/>
                <w:spacing w:val="-6"/>
                <w:sz w:val="18"/>
              </w:rPr>
              <w:t> </w:t>
            </w:r>
            <w:r>
              <w:rPr>
                <w:b/>
                <w:sz w:val="18"/>
              </w:rPr>
              <w:t>PPPS</w:t>
            </w:r>
            <w:r>
              <w:rPr>
                <w:b/>
                <w:spacing w:val="-6"/>
                <w:sz w:val="18"/>
              </w:rPr>
              <w:t> </w:t>
            </w:r>
            <w:r>
              <w:rPr>
                <w:b/>
                <w:spacing w:val="-2"/>
                <w:sz w:val="18"/>
              </w:rPr>
              <w:t>1.22.1:</w:t>
            </w:r>
          </w:p>
          <w:p>
            <w:pPr>
              <w:pStyle w:val="TableParagraph"/>
              <w:ind w:left="72"/>
              <w:rPr>
                <w:b/>
                <w:sz w:val="18"/>
              </w:rPr>
            </w:pPr>
            <w:r>
              <w:rPr>
                <w:sz w:val="18"/>
              </w:rPr>
              <w:t>Creación de mecanismos de referencia</w:t>
            </w:r>
            <w:r>
              <w:rPr>
                <w:spacing w:val="-1"/>
                <w:sz w:val="18"/>
              </w:rPr>
              <w:t> </w:t>
            </w:r>
            <w:r>
              <w:rPr>
                <w:sz w:val="18"/>
              </w:rPr>
              <w:t>miento de</w:t>
            </w:r>
            <w:r>
              <w:rPr>
                <w:spacing w:val="-1"/>
                <w:sz w:val="18"/>
              </w:rPr>
              <w:t> </w:t>
            </w:r>
            <w:r>
              <w:rPr>
                <w:sz w:val="18"/>
              </w:rPr>
              <w:t>mujeres en el marco</w:t>
            </w:r>
            <w:r>
              <w:rPr>
                <w:spacing w:val="-9"/>
                <w:sz w:val="18"/>
              </w:rPr>
              <w:t> </w:t>
            </w:r>
            <w:r>
              <w:rPr>
                <w:sz w:val="18"/>
              </w:rPr>
              <w:t>del</w:t>
            </w:r>
            <w:r>
              <w:rPr>
                <w:spacing w:val="-7"/>
                <w:sz w:val="18"/>
              </w:rPr>
              <w:t> </w:t>
            </w:r>
            <w:r>
              <w:rPr>
                <w:sz w:val="18"/>
              </w:rPr>
              <w:t>SINCA</w:t>
            </w:r>
            <w:r>
              <w:rPr>
                <w:spacing w:val="-6"/>
                <w:sz w:val="18"/>
              </w:rPr>
              <w:t> </w:t>
            </w:r>
            <w:r>
              <w:rPr>
                <w:b/>
                <w:sz w:val="18"/>
              </w:rPr>
              <w:t>(vinculada</w:t>
            </w:r>
            <w:r>
              <w:rPr>
                <w:b/>
                <w:spacing w:val="-6"/>
                <w:sz w:val="18"/>
              </w:rPr>
              <w:t> </w:t>
            </w:r>
            <w:r>
              <w:rPr>
                <w:b/>
                <w:sz w:val="18"/>
              </w:rPr>
              <w:t>a</w:t>
            </w:r>
            <w:r>
              <w:rPr>
                <w:b/>
                <w:spacing w:val="-9"/>
                <w:sz w:val="18"/>
              </w:rPr>
              <w:t> </w:t>
            </w:r>
            <w:r>
              <w:rPr>
                <w:b/>
                <w:sz w:val="18"/>
              </w:rPr>
              <w:t>PEI </w:t>
            </w:r>
            <w:r>
              <w:rPr>
                <w:b/>
                <w:spacing w:val="-2"/>
                <w:sz w:val="18"/>
              </w:rPr>
              <w:t>2.6.4).</w:t>
            </w:r>
          </w:p>
        </w:tc>
        <w:tc>
          <w:tcPr>
            <w:tcW w:w="1560" w:type="dxa"/>
          </w:tcPr>
          <w:p>
            <w:pPr>
              <w:pStyle w:val="TableParagraph"/>
              <w:rPr>
                <w:b/>
                <w:sz w:val="18"/>
              </w:rPr>
            </w:pPr>
          </w:p>
          <w:p>
            <w:pPr>
              <w:pStyle w:val="TableParagraph"/>
              <w:spacing w:before="1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103"/>
              <w:rPr>
                <w:b/>
                <w:sz w:val="18"/>
              </w:rPr>
            </w:pPr>
          </w:p>
          <w:p>
            <w:pPr>
              <w:pStyle w:val="TableParagraph"/>
              <w:ind w:left="21" w:right="12"/>
              <w:jc w:val="center"/>
              <w:rPr>
                <w:sz w:val="18"/>
              </w:rPr>
            </w:pPr>
            <w:r>
              <w:rPr>
                <w:spacing w:val="-4"/>
                <w:sz w:val="18"/>
              </w:rPr>
              <w:t>100%</w:t>
            </w:r>
          </w:p>
        </w:tc>
        <w:tc>
          <w:tcPr>
            <w:tcW w:w="1982" w:type="dxa"/>
          </w:tcPr>
          <w:p>
            <w:pPr>
              <w:pStyle w:val="TableParagraph"/>
              <w:ind w:left="68" w:right="114"/>
              <w:rPr>
                <w:sz w:val="18"/>
              </w:rPr>
            </w:pPr>
            <w:r>
              <w:rPr>
                <w:sz w:val="18"/>
              </w:rPr>
              <w:t>Porcentaje</w:t>
            </w:r>
            <w:r>
              <w:rPr>
                <w:spacing w:val="-15"/>
                <w:sz w:val="18"/>
              </w:rPr>
              <w:t> </w:t>
            </w:r>
            <w:r>
              <w:rPr>
                <w:sz w:val="18"/>
              </w:rPr>
              <w:t>de</w:t>
            </w:r>
            <w:r>
              <w:rPr>
                <w:spacing w:val="-12"/>
                <w:sz w:val="18"/>
              </w:rPr>
              <w:t> </w:t>
            </w:r>
            <w:r>
              <w:rPr>
                <w:sz w:val="18"/>
              </w:rPr>
              <w:t>avance en la creación de mecanismos de referencia miento de mujeres en el marco</w:t>
            </w:r>
          </w:p>
          <w:p>
            <w:pPr>
              <w:pStyle w:val="TableParagraph"/>
              <w:spacing w:line="187" w:lineRule="exact" w:before="1"/>
              <w:ind w:left="68"/>
              <w:rPr>
                <w:sz w:val="18"/>
              </w:rPr>
            </w:pPr>
            <w:r>
              <w:rPr>
                <w:sz w:val="18"/>
              </w:rPr>
              <w:t>del </w:t>
            </w:r>
            <w:r>
              <w:rPr>
                <w:spacing w:val="-2"/>
                <w:sz w:val="18"/>
              </w:rPr>
              <w:t>SINCA.</w:t>
            </w:r>
          </w:p>
        </w:tc>
        <w:tc>
          <w:tcPr>
            <w:tcW w:w="1560" w:type="dxa"/>
          </w:tcPr>
          <w:p>
            <w:pPr>
              <w:pStyle w:val="TableParagraph"/>
              <w:spacing w:before="104"/>
              <w:ind w:left="73" w:right="58"/>
              <w:rPr>
                <w:sz w:val="18"/>
              </w:rPr>
            </w:pPr>
            <w:r>
              <w:rPr>
                <w:sz w:val="18"/>
              </w:rPr>
              <w:t>Documento que contiene los mecanismos de referencia</w:t>
            </w:r>
            <w:r>
              <w:rPr>
                <w:spacing w:val="-13"/>
                <w:sz w:val="18"/>
              </w:rPr>
              <w:t> </w:t>
            </w:r>
            <w:r>
              <w:rPr>
                <w:sz w:val="18"/>
              </w:rPr>
              <w:t>miento </w:t>
            </w:r>
            <w:r>
              <w:rPr>
                <w:spacing w:val="-2"/>
                <w:sz w:val="18"/>
              </w:rPr>
              <w:t>definidos.</w:t>
            </w:r>
          </w:p>
        </w:tc>
        <w:tc>
          <w:tcPr>
            <w:tcW w:w="1416" w:type="dxa"/>
          </w:tcPr>
          <w:p>
            <w:pPr>
              <w:pStyle w:val="TableParagraph"/>
              <w:rPr>
                <w:b/>
                <w:sz w:val="18"/>
              </w:rPr>
            </w:pPr>
          </w:p>
          <w:p>
            <w:pPr>
              <w:pStyle w:val="TableParagraph"/>
              <w:spacing w:before="103"/>
              <w:rPr>
                <w:b/>
                <w:sz w:val="18"/>
              </w:rPr>
            </w:pPr>
          </w:p>
          <w:p>
            <w:pPr>
              <w:pStyle w:val="TableParagraph"/>
              <w:ind w:left="17" w:right="15"/>
              <w:jc w:val="center"/>
              <w:rPr>
                <w:sz w:val="18"/>
              </w:rPr>
            </w:pPr>
            <w:r>
              <w:rPr>
                <w:spacing w:val="-2"/>
                <w:sz w:val="18"/>
              </w:rPr>
              <w:t>DASAI</w:t>
            </w:r>
          </w:p>
        </w:tc>
        <w:tc>
          <w:tcPr>
            <w:tcW w:w="1649" w:type="dxa"/>
          </w:tcPr>
          <w:p>
            <w:pPr>
              <w:pStyle w:val="TableParagraph"/>
              <w:rPr>
                <w:rFonts w:ascii="Times New Roman"/>
                <w:sz w:val="18"/>
              </w:rPr>
            </w:pPr>
          </w:p>
        </w:tc>
        <w:tc>
          <w:tcPr>
            <w:tcW w:w="1548" w:type="dxa"/>
            <w:vMerge w:val="restart"/>
          </w:tcPr>
          <w:p>
            <w:pPr>
              <w:pStyle w:val="TableParagraph"/>
              <w:numPr>
                <w:ilvl w:val="0"/>
                <w:numId w:val="53"/>
              </w:numPr>
              <w:tabs>
                <w:tab w:pos="133" w:val="left" w:leader="none"/>
              </w:tabs>
              <w:spacing w:line="240" w:lineRule="auto" w:before="109" w:after="0"/>
              <w:ind w:left="72" w:right="56" w:firstLine="0"/>
              <w:jc w:val="left"/>
              <w:rPr>
                <w:sz w:val="18"/>
              </w:rPr>
            </w:pPr>
            <w:r>
              <w:rPr>
                <w:sz w:val="18"/>
              </w:rPr>
              <w:t>La ausencia de mecanismos de </w:t>
            </w:r>
            <w:r>
              <w:rPr>
                <w:spacing w:val="-2"/>
                <w:sz w:val="18"/>
              </w:rPr>
              <w:t>articulación </w:t>
            </w:r>
            <w:r>
              <w:rPr>
                <w:sz w:val="18"/>
              </w:rPr>
              <w:t>ratificados con </w:t>
            </w:r>
            <w:r>
              <w:rPr>
                <w:spacing w:val="-2"/>
                <w:sz w:val="18"/>
              </w:rPr>
              <w:t>otras</w:t>
            </w:r>
            <w:r>
              <w:rPr>
                <w:spacing w:val="40"/>
                <w:sz w:val="18"/>
              </w:rPr>
              <w:t> </w:t>
            </w:r>
            <w:r>
              <w:rPr>
                <w:sz w:val="18"/>
              </w:rPr>
              <w:t>instituciones</w:t>
            </w:r>
            <w:r>
              <w:rPr>
                <w:spacing w:val="-13"/>
                <w:sz w:val="18"/>
              </w:rPr>
              <w:t> </w:t>
            </w:r>
            <w:r>
              <w:rPr>
                <w:sz w:val="18"/>
              </w:rPr>
              <w:t>para la referencia miento de las mujeres en el marco del</w:t>
            </w:r>
            <w:r>
              <w:rPr>
                <w:spacing w:val="40"/>
                <w:sz w:val="18"/>
              </w:rPr>
              <w:t> </w:t>
            </w:r>
            <w:r>
              <w:rPr>
                <w:spacing w:val="-2"/>
                <w:sz w:val="18"/>
              </w:rPr>
              <w:t>SINCA.</w:t>
            </w:r>
          </w:p>
        </w:tc>
      </w:tr>
      <w:tr>
        <w:trPr>
          <w:trHeight w:val="1243" w:hRule="atLeast"/>
        </w:trPr>
        <w:tc>
          <w:tcPr>
            <w:tcW w:w="2972" w:type="dxa"/>
          </w:tcPr>
          <w:p>
            <w:pPr>
              <w:pStyle w:val="TableParagraph"/>
              <w:spacing w:before="104"/>
              <w:ind w:left="72" w:right="105"/>
              <w:rPr>
                <w:b/>
                <w:sz w:val="18"/>
              </w:rPr>
            </w:pPr>
            <w:r>
              <w:rPr>
                <w:b/>
                <w:sz w:val="18"/>
              </w:rPr>
              <w:t>Actividad PPPS 1.22.2: </w:t>
            </w:r>
            <w:r>
              <w:rPr>
                <w:sz w:val="18"/>
              </w:rPr>
              <w:t>Referencia</w:t>
            </w:r>
            <w:r>
              <w:rPr>
                <w:spacing w:val="-10"/>
                <w:sz w:val="18"/>
              </w:rPr>
              <w:t> </w:t>
            </w:r>
            <w:r>
              <w:rPr>
                <w:sz w:val="18"/>
              </w:rPr>
              <w:t>miento</w:t>
            </w:r>
            <w:r>
              <w:rPr>
                <w:spacing w:val="-6"/>
                <w:sz w:val="18"/>
              </w:rPr>
              <w:t> </w:t>
            </w:r>
            <w:r>
              <w:rPr>
                <w:sz w:val="18"/>
              </w:rPr>
              <w:t>de</w:t>
            </w:r>
            <w:r>
              <w:rPr>
                <w:spacing w:val="-10"/>
                <w:sz w:val="18"/>
              </w:rPr>
              <w:t> </w:t>
            </w:r>
            <w:r>
              <w:rPr>
                <w:sz w:val="18"/>
              </w:rPr>
              <w:t>mujeres</w:t>
            </w:r>
            <w:r>
              <w:rPr>
                <w:spacing w:val="-10"/>
                <w:sz w:val="18"/>
              </w:rPr>
              <w:t> </w:t>
            </w:r>
            <w:r>
              <w:rPr>
                <w:sz w:val="18"/>
              </w:rPr>
              <w:t>por medio del SINCA a espacios de promoción del empleo femenino </w:t>
            </w:r>
            <w:r>
              <w:rPr>
                <w:b/>
                <w:sz w:val="18"/>
              </w:rPr>
              <w:t>(vinculada a PEI 2.6.4).</w:t>
            </w:r>
          </w:p>
        </w:tc>
        <w:tc>
          <w:tcPr>
            <w:tcW w:w="1560" w:type="dxa"/>
          </w:tcPr>
          <w:p>
            <w:pPr>
              <w:pStyle w:val="TableParagraph"/>
              <w:rPr>
                <w:b/>
                <w:sz w:val="18"/>
              </w:rPr>
            </w:pPr>
          </w:p>
          <w:p>
            <w:pPr>
              <w:pStyle w:val="TableParagraph"/>
              <w:spacing w:before="103"/>
              <w:rPr>
                <w:b/>
                <w:sz w:val="18"/>
              </w:rPr>
            </w:pPr>
          </w:p>
          <w:p>
            <w:pPr>
              <w:pStyle w:val="TableParagraph"/>
              <w:ind w:left="21" w:right="8"/>
              <w:jc w:val="center"/>
              <w:rPr>
                <w:sz w:val="18"/>
              </w:rPr>
            </w:pPr>
            <w:r>
              <w:rPr>
                <w:spacing w:val="-5"/>
                <w:sz w:val="18"/>
              </w:rPr>
              <w:t>40%</w:t>
            </w:r>
          </w:p>
        </w:tc>
        <w:tc>
          <w:tcPr>
            <w:tcW w:w="1560" w:type="dxa"/>
          </w:tcPr>
          <w:p>
            <w:pPr>
              <w:pStyle w:val="TableParagraph"/>
              <w:rPr>
                <w:b/>
                <w:sz w:val="18"/>
              </w:rPr>
            </w:pPr>
          </w:p>
          <w:p>
            <w:pPr>
              <w:pStyle w:val="TableParagraph"/>
              <w:spacing w:before="103"/>
              <w:rPr>
                <w:b/>
                <w:sz w:val="18"/>
              </w:rPr>
            </w:pPr>
          </w:p>
          <w:p>
            <w:pPr>
              <w:pStyle w:val="TableParagraph"/>
              <w:ind w:left="21" w:right="16"/>
              <w:jc w:val="center"/>
              <w:rPr>
                <w:sz w:val="18"/>
              </w:rPr>
            </w:pPr>
            <w:r>
              <w:rPr>
                <w:spacing w:val="-5"/>
                <w:sz w:val="18"/>
              </w:rPr>
              <w:t>50%</w:t>
            </w:r>
          </w:p>
        </w:tc>
        <w:tc>
          <w:tcPr>
            <w:tcW w:w="1982" w:type="dxa"/>
          </w:tcPr>
          <w:p>
            <w:pPr>
              <w:pStyle w:val="TableParagraph"/>
              <w:ind w:left="68" w:right="80"/>
              <w:rPr>
                <w:sz w:val="18"/>
              </w:rPr>
            </w:pPr>
            <w:r>
              <w:rPr>
                <w:sz w:val="18"/>
              </w:rPr>
              <w:t>Porcentaje de mujeres que son referenciadas por</w:t>
            </w:r>
            <w:r>
              <w:rPr>
                <w:spacing w:val="-8"/>
                <w:sz w:val="18"/>
              </w:rPr>
              <w:t> </w:t>
            </w:r>
            <w:r>
              <w:rPr>
                <w:sz w:val="18"/>
              </w:rPr>
              <w:t>medio</w:t>
            </w:r>
            <w:r>
              <w:rPr>
                <w:spacing w:val="-10"/>
                <w:sz w:val="18"/>
              </w:rPr>
              <w:t> </w:t>
            </w:r>
            <w:r>
              <w:rPr>
                <w:sz w:val="18"/>
              </w:rPr>
              <w:t>del</w:t>
            </w:r>
            <w:r>
              <w:rPr>
                <w:spacing w:val="-8"/>
                <w:sz w:val="18"/>
              </w:rPr>
              <w:t> </w:t>
            </w:r>
            <w:r>
              <w:rPr>
                <w:sz w:val="18"/>
              </w:rPr>
              <w:t>SINCA</w:t>
            </w:r>
            <w:r>
              <w:rPr>
                <w:spacing w:val="-11"/>
                <w:sz w:val="18"/>
              </w:rPr>
              <w:t> </w:t>
            </w:r>
            <w:r>
              <w:rPr>
                <w:sz w:val="18"/>
              </w:rPr>
              <w:t>a espacios de</w:t>
            </w:r>
            <w:r>
              <w:rPr>
                <w:spacing w:val="40"/>
                <w:sz w:val="18"/>
              </w:rPr>
              <w:t> </w:t>
            </w:r>
            <w:r>
              <w:rPr>
                <w:sz w:val="18"/>
              </w:rPr>
              <w:t>promoción del empleo</w:t>
            </w:r>
          </w:p>
          <w:p>
            <w:pPr>
              <w:pStyle w:val="TableParagraph"/>
              <w:spacing w:line="187" w:lineRule="exact" w:before="1"/>
              <w:ind w:left="68"/>
              <w:rPr>
                <w:sz w:val="18"/>
              </w:rPr>
            </w:pPr>
            <w:r>
              <w:rPr>
                <w:spacing w:val="-2"/>
                <w:sz w:val="18"/>
              </w:rPr>
              <w:t>femenino.</w:t>
            </w:r>
          </w:p>
        </w:tc>
        <w:tc>
          <w:tcPr>
            <w:tcW w:w="1560" w:type="dxa"/>
          </w:tcPr>
          <w:p>
            <w:pPr>
              <w:pStyle w:val="TableParagraph"/>
              <w:spacing w:before="103"/>
              <w:rPr>
                <w:b/>
                <w:sz w:val="18"/>
              </w:rPr>
            </w:pPr>
          </w:p>
          <w:p>
            <w:pPr>
              <w:pStyle w:val="TableParagraph"/>
              <w:spacing w:before="1"/>
              <w:ind w:left="73" w:right="58"/>
              <w:rPr>
                <w:sz w:val="18"/>
              </w:rPr>
            </w:pPr>
            <w:r>
              <w:rPr>
                <w:sz w:val="18"/>
              </w:rPr>
              <w:t>Reporte de referencia</w:t>
            </w:r>
            <w:r>
              <w:rPr>
                <w:spacing w:val="-13"/>
                <w:sz w:val="18"/>
              </w:rPr>
              <w:t> </w:t>
            </w:r>
            <w:r>
              <w:rPr>
                <w:sz w:val="18"/>
              </w:rPr>
              <w:t>de </w:t>
            </w:r>
            <w:r>
              <w:rPr>
                <w:spacing w:val="-2"/>
                <w:sz w:val="18"/>
              </w:rPr>
              <w:t>mujeres</w:t>
            </w:r>
          </w:p>
        </w:tc>
        <w:tc>
          <w:tcPr>
            <w:tcW w:w="1416" w:type="dxa"/>
          </w:tcPr>
          <w:p>
            <w:pPr>
              <w:pStyle w:val="TableParagraph"/>
              <w:rPr>
                <w:b/>
                <w:sz w:val="18"/>
              </w:rPr>
            </w:pPr>
          </w:p>
          <w:p>
            <w:pPr>
              <w:pStyle w:val="TableParagraph"/>
              <w:spacing w:before="103"/>
              <w:rPr>
                <w:b/>
                <w:sz w:val="18"/>
              </w:rPr>
            </w:pPr>
          </w:p>
          <w:p>
            <w:pPr>
              <w:pStyle w:val="TableParagraph"/>
              <w:ind w:left="17" w:right="15"/>
              <w:jc w:val="center"/>
              <w:rPr>
                <w:sz w:val="18"/>
              </w:rPr>
            </w:pPr>
            <w:r>
              <w:rPr>
                <w:spacing w:val="-2"/>
                <w:sz w:val="18"/>
              </w:rPr>
              <w:t>DASAI</w:t>
            </w:r>
          </w:p>
        </w:tc>
        <w:tc>
          <w:tcPr>
            <w:tcW w:w="1649" w:type="dxa"/>
          </w:tcPr>
          <w:p>
            <w:pPr>
              <w:pStyle w:val="TableParagraph"/>
              <w:rPr>
                <w:rFonts w:ascii="Times New Roman"/>
                <w:sz w:val="18"/>
              </w:rPr>
            </w:pPr>
          </w:p>
        </w:tc>
        <w:tc>
          <w:tcPr>
            <w:tcW w:w="1548" w:type="dxa"/>
            <w:vMerge/>
            <w:tcBorders>
              <w:top w:val="nil"/>
            </w:tcBorders>
          </w:tcPr>
          <w:p>
            <w:pPr>
              <w:rPr>
                <w:sz w:val="2"/>
                <w:szCs w:val="2"/>
              </w:rPr>
            </w:pPr>
          </w:p>
        </w:tc>
      </w:tr>
      <w:tr>
        <w:trPr>
          <w:trHeight w:val="657" w:hRule="atLeast"/>
        </w:trPr>
        <w:tc>
          <w:tcPr>
            <w:tcW w:w="14247" w:type="dxa"/>
            <w:gridSpan w:val="8"/>
            <w:shd w:val="clear" w:color="auto" w:fill="EFF8F9"/>
          </w:tcPr>
          <w:p>
            <w:pPr>
              <w:pStyle w:val="TableParagraph"/>
              <w:spacing w:line="244" w:lineRule="auto" w:before="119"/>
              <w:ind w:left="72" w:right="98"/>
              <w:rPr>
                <w:b/>
                <w:sz w:val="18"/>
              </w:rPr>
            </w:pPr>
            <w:r>
              <w:rPr>
                <w:b/>
                <w:sz w:val="18"/>
              </w:rPr>
              <w:t>Producto</w:t>
            </w:r>
            <w:r>
              <w:rPr>
                <w:b/>
                <w:spacing w:val="-5"/>
                <w:sz w:val="18"/>
              </w:rPr>
              <w:t> </w:t>
            </w:r>
            <w:r>
              <w:rPr>
                <w:b/>
                <w:sz w:val="18"/>
              </w:rPr>
              <w:t>PPPS</w:t>
            </w:r>
            <w:r>
              <w:rPr>
                <w:b/>
                <w:spacing w:val="-5"/>
                <w:sz w:val="18"/>
              </w:rPr>
              <w:t> </w:t>
            </w:r>
            <w:r>
              <w:rPr>
                <w:b/>
                <w:sz w:val="18"/>
              </w:rPr>
              <w:t>1.23:</w:t>
            </w:r>
            <w:r>
              <w:rPr>
                <w:b/>
                <w:spacing w:val="-2"/>
                <w:sz w:val="18"/>
              </w:rPr>
              <w:t> </w:t>
            </w:r>
            <w:r>
              <w:rPr>
                <w:b/>
                <w:sz w:val="18"/>
              </w:rPr>
              <w:t>Sistema</w:t>
            </w:r>
            <w:r>
              <w:rPr>
                <w:b/>
                <w:spacing w:val="-4"/>
                <w:sz w:val="18"/>
              </w:rPr>
              <w:t> </w:t>
            </w:r>
            <w:r>
              <w:rPr>
                <w:b/>
                <w:sz w:val="18"/>
              </w:rPr>
              <w:t>de georeferenciación</w:t>
            </w:r>
            <w:r>
              <w:rPr>
                <w:b/>
                <w:spacing w:val="-5"/>
                <w:sz w:val="18"/>
              </w:rPr>
              <w:t> </w:t>
            </w:r>
            <w:r>
              <w:rPr>
                <w:b/>
                <w:sz w:val="18"/>
              </w:rPr>
              <w:t>de</w:t>
            </w:r>
            <w:r>
              <w:rPr>
                <w:b/>
                <w:spacing w:val="-4"/>
                <w:sz w:val="18"/>
              </w:rPr>
              <w:t> </w:t>
            </w:r>
            <w:r>
              <w:rPr>
                <w:b/>
                <w:sz w:val="18"/>
              </w:rPr>
              <w:t>organizaciones públicas</w:t>
            </w:r>
            <w:r>
              <w:rPr>
                <w:b/>
                <w:spacing w:val="-4"/>
                <w:sz w:val="18"/>
              </w:rPr>
              <w:t> </w:t>
            </w:r>
            <w:r>
              <w:rPr>
                <w:b/>
                <w:sz w:val="18"/>
              </w:rPr>
              <w:t>y privadas</w:t>
            </w:r>
            <w:r>
              <w:rPr>
                <w:b/>
                <w:spacing w:val="-4"/>
                <w:sz w:val="18"/>
              </w:rPr>
              <w:t> </w:t>
            </w:r>
            <w:r>
              <w:rPr>
                <w:b/>
                <w:sz w:val="18"/>
              </w:rPr>
              <w:t>vinculadas</w:t>
            </w:r>
            <w:r>
              <w:rPr>
                <w:b/>
                <w:spacing w:val="-4"/>
                <w:sz w:val="18"/>
              </w:rPr>
              <w:t> </w:t>
            </w:r>
            <w:r>
              <w:rPr>
                <w:b/>
                <w:sz w:val="18"/>
              </w:rPr>
              <w:t>con</w:t>
            </w:r>
            <w:r>
              <w:rPr>
                <w:b/>
                <w:spacing w:val="-5"/>
                <w:sz w:val="18"/>
              </w:rPr>
              <w:t> </w:t>
            </w:r>
            <w:r>
              <w:rPr>
                <w:b/>
                <w:sz w:val="18"/>
              </w:rPr>
              <w:t>la</w:t>
            </w:r>
            <w:r>
              <w:rPr>
                <w:b/>
                <w:spacing w:val="-4"/>
                <w:sz w:val="18"/>
              </w:rPr>
              <w:t> </w:t>
            </w:r>
            <w:r>
              <w:rPr>
                <w:b/>
                <w:sz w:val="18"/>
              </w:rPr>
              <w:t>oferta programática institucional</w:t>
            </w:r>
            <w:r>
              <w:rPr>
                <w:b/>
                <w:spacing w:val="-2"/>
                <w:sz w:val="18"/>
              </w:rPr>
              <w:t> </w:t>
            </w:r>
            <w:r>
              <w:rPr>
                <w:b/>
                <w:sz w:val="18"/>
              </w:rPr>
              <w:t>creado e implementado para determinar la priorización de acciones de intervención institucional. E2 AE6 R5</w:t>
            </w:r>
          </w:p>
        </w:tc>
      </w:tr>
    </w:tbl>
    <w:p>
      <w:pPr>
        <w:pStyle w:val="TableParagraph"/>
        <w:spacing w:after="0" w:line="244" w:lineRule="auto"/>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51"/>
        <w:gridCol w:w="1546"/>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51" w:type="dxa"/>
            <w:shd w:val="clear" w:color="auto" w:fill="D9D9D9"/>
          </w:tcPr>
          <w:p>
            <w:pPr>
              <w:pStyle w:val="TableParagraph"/>
              <w:spacing w:before="104"/>
              <w:ind w:left="430" w:hanging="120"/>
              <w:rPr>
                <w:b/>
                <w:sz w:val="18"/>
              </w:rPr>
            </w:pPr>
            <w:r>
              <w:rPr>
                <w:b/>
                <w:spacing w:val="-2"/>
                <w:sz w:val="18"/>
              </w:rPr>
              <w:t>Presupuesto asignado</w:t>
            </w:r>
          </w:p>
        </w:tc>
        <w:tc>
          <w:tcPr>
            <w:tcW w:w="1546" w:type="dxa"/>
            <w:shd w:val="clear" w:color="auto" w:fill="D9D9D9"/>
          </w:tcPr>
          <w:p>
            <w:pPr>
              <w:pStyle w:val="TableParagraph"/>
              <w:spacing w:line="206" w:lineRule="exact"/>
              <w:ind w:left="14"/>
              <w:jc w:val="center"/>
              <w:rPr>
                <w:b/>
                <w:sz w:val="18"/>
              </w:rPr>
            </w:pPr>
            <w:r>
              <w:rPr>
                <w:b/>
                <w:spacing w:val="-2"/>
                <w:sz w:val="18"/>
              </w:rPr>
              <w:t>Riesgos </w:t>
            </w:r>
            <w:r>
              <w:rPr>
                <w:b/>
                <w:sz w:val="18"/>
              </w:rPr>
              <w:t>asociados al </w:t>
            </w:r>
            <w:r>
              <w:rPr>
                <w:b/>
                <w:spacing w:val="-2"/>
                <w:sz w:val="18"/>
              </w:rPr>
              <w:t>cumplimiento</w:t>
            </w:r>
          </w:p>
        </w:tc>
      </w:tr>
      <w:tr>
        <w:trPr>
          <w:trHeight w:val="4556" w:hRule="atLeast"/>
        </w:trPr>
        <w:tc>
          <w:tcPr>
            <w:tcW w:w="2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72" w:right="105"/>
              <w:rPr>
                <w:b/>
                <w:sz w:val="18"/>
              </w:rPr>
            </w:pPr>
            <w:r>
              <w:rPr>
                <w:b/>
                <w:sz w:val="18"/>
              </w:rPr>
              <w:t>Actividad PPPS 1.23.1: </w:t>
            </w:r>
            <w:r>
              <w:rPr>
                <w:sz w:val="18"/>
              </w:rPr>
              <w:t>Vinculación de organizaciones mediante el Sistema de georreferenciación</w:t>
            </w:r>
            <w:r>
              <w:rPr>
                <w:spacing w:val="-15"/>
                <w:sz w:val="18"/>
              </w:rPr>
              <w:t> </w:t>
            </w:r>
            <w:r>
              <w:rPr>
                <w:b/>
                <w:sz w:val="18"/>
              </w:rPr>
              <w:t>(vinculada</w:t>
            </w:r>
            <w:r>
              <w:rPr>
                <w:b/>
                <w:spacing w:val="-12"/>
                <w:sz w:val="18"/>
              </w:rPr>
              <w:t> </w:t>
            </w:r>
            <w:r>
              <w:rPr>
                <w:b/>
                <w:sz w:val="18"/>
              </w:rPr>
              <w:t>a PEI 2.6.5).</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21" w:right="16"/>
              <w:jc w:val="center"/>
              <w:rPr>
                <w:sz w:val="18"/>
              </w:rPr>
            </w:pPr>
            <w:r>
              <w:rPr>
                <w:spacing w:val="-5"/>
                <w:sz w:val="18"/>
              </w:rPr>
              <w:t>30%</w:t>
            </w:r>
          </w:p>
        </w:tc>
        <w:tc>
          <w:tcPr>
            <w:tcW w:w="19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68" w:right="127"/>
              <w:rPr>
                <w:sz w:val="18"/>
              </w:rPr>
            </w:pPr>
            <w:r>
              <w:rPr>
                <w:sz w:val="18"/>
              </w:rPr>
              <w:t>Porcentaje de </w:t>
            </w:r>
            <w:r>
              <w:rPr>
                <w:spacing w:val="-2"/>
                <w:sz w:val="18"/>
              </w:rPr>
              <w:t>organizaciones </w:t>
            </w:r>
            <w:r>
              <w:rPr>
                <w:sz w:val="18"/>
              </w:rPr>
              <w:t>vinculadas a la ejecución priorizada de la oferta </w:t>
            </w:r>
            <w:r>
              <w:rPr>
                <w:spacing w:val="-2"/>
                <w:sz w:val="18"/>
              </w:rPr>
              <w:t>programática </w:t>
            </w:r>
            <w:r>
              <w:rPr>
                <w:sz w:val="18"/>
              </w:rPr>
              <w:t>institucional que se encuentran</w:t>
            </w:r>
            <w:r>
              <w:rPr>
                <w:spacing w:val="-13"/>
                <w:sz w:val="18"/>
              </w:rPr>
              <w:t> </w:t>
            </w:r>
            <w:r>
              <w:rPr>
                <w:sz w:val="18"/>
              </w:rPr>
              <w:t>incluidas en el Sistema de </w:t>
            </w:r>
            <w:r>
              <w:rPr>
                <w:spacing w:val="-2"/>
                <w:sz w:val="18"/>
              </w:rPr>
              <w:t>georreferenciación</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73" w:right="56"/>
              <w:rPr>
                <w:sz w:val="18"/>
              </w:rPr>
            </w:pPr>
            <w:r>
              <w:rPr>
                <w:sz w:val="18"/>
              </w:rPr>
              <w:t>Informe de uso del sistema de </w:t>
            </w:r>
            <w:r>
              <w:rPr>
                <w:spacing w:val="-2"/>
                <w:sz w:val="18"/>
              </w:rPr>
              <w:t>georreferenciació </w:t>
            </w:r>
            <w:r>
              <w:rPr>
                <w:sz w:val="18"/>
              </w:rPr>
              <w:t>n</w:t>
            </w:r>
            <w:r>
              <w:rPr>
                <w:spacing w:val="-10"/>
                <w:sz w:val="18"/>
              </w:rPr>
              <w:t> </w:t>
            </w:r>
            <w:r>
              <w:rPr>
                <w:sz w:val="18"/>
              </w:rPr>
              <w:t>y</w:t>
            </w:r>
            <w:r>
              <w:rPr>
                <w:spacing w:val="-13"/>
                <w:sz w:val="18"/>
              </w:rPr>
              <w:t> </w:t>
            </w:r>
            <w:r>
              <w:rPr>
                <w:sz w:val="18"/>
              </w:rPr>
              <w:t>resultados</w:t>
            </w:r>
            <w:r>
              <w:rPr>
                <w:spacing w:val="-8"/>
                <w:sz w:val="18"/>
              </w:rPr>
              <w:t> </w:t>
            </w:r>
            <w:r>
              <w:rPr>
                <w:sz w:val="18"/>
              </w:rPr>
              <w:t>del proceso aplicado a organizaciones vinculadas a la </w:t>
            </w:r>
            <w:r>
              <w:rPr>
                <w:spacing w:val="-2"/>
                <w:sz w:val="18"/>
              </w:rPr>
              <w:t>ejecución </w:t>
            </w:r>
            <w:r>
              <w:rPr>
                <w:sz w:val="18"/>
              </w:rPr>
              <w:t>priorizada de la </w:t>
            </w:r>
            <w:r>
              <w:rPr>
                <w:spacing w:val="-2"/>
                <w:sz w:val="18"/>
              </w:rPr>
              <w:t>oferta programática.</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7" w:right="15"/>
              <w:jc w:val="center"/>
              <w:rPr>
                <w:sz w:val="18"/>
              </w:rPr>
            </w:pPr>
            <w:r>
              <w:rPr>
                <w:spacing w:val="-2"/>
                <w:sz w:val="18"/>
              </w:rPr>
              <w:t>DASAI</w:t>
            </w:r>
          </w:p>
        </w:tc>
        <w:tc>
          <w:tcPr>
            <w:tcW w:w="1651" w:type="dxa"/>
          </w:tcPr>
          <w:p>
            <w:pPr>
              <w:pStyle w:val="TableParagraph"/>
              <w:rPr>
                <w:rFonts w:ascii="Times New Roman"/>
                <w:sz w:val="18"/>
              </w:rPr>
            </w:pPr>
          </w:p>
        </w:tc>
        <w:tc>
          <w:tcPr>
            <w:tcW w:w="1546" w:type="dxa"/>
          </w:tcPr>
          <w:p>
            <w:pPr>
              <w:pStyle w:val="TableParagraph"/>
              <w:numPr>
                <w:ilvl w:val="0"/>
                <w:numId w:val="54"/>
              </w:numPr>
              <w:tabs>
                <w:tab w:pos="131" w:val="left" w:leader="none"/>
              </w:tabs>
              <w:spacing w:line="240" w:lineRule="auto" w:before="3" w:after="0"/>
              <w:ind w:left="70" w:right="65" w:firstLine="0"/>
              <w:jc w:val="left"/>
              <w:rPr>
                <w:sz w:val="18"/>
              </w:rPr>
            </w:pPr>
            <w:r>
              <w:rPr>
                <w:sz w:val="18"/>
              </w:rPr>
              <w:t>El Sistema Nacional de Cuidados y Apoyos para personas</w:t>
            </w:r>
            <w:r>
              <w:rPr>
                <w:spacing w:val="-11"/>
                <w:sz w:val="18"/>
              </w:rPr>
              <w:t> </w:t>
            </w:r>
            <w:r>
              <w:rPr>
                <w:sz w:val="18"/>
              </w:rPr>
              <w:t>adultas y personas adultas mayores en situación de dependencia no atiende de forma oportuna las </w:t>
            </w:r>
            <w:r>
              <w:rPr>
                <w:spacing w:val="-2"/>
                <w:sz w:val="18"/>
              </w:rPr>
              <w:t>necesidades </w:t>
            </w:r>
            <w:r>
              <w:rPr>
                <w:sz w:val="18"/>
              </w:rPr>
              <w:t>básicas y específicas de</w:t>
            </w:r>
            <w:r>
              <w:rPr>
                <w:spacing w:val="40"/>
                <w:sz w:val="18"/>
              </w:rPr>
              <w:t> </w:t>
            </w:r>
            <w:r>
              <w:rPr>
                <w:sz w:val="18"/>
              </w:rPr>
              <w:t>las personas adultas</w:t>
            </w:r>
            <w:r>
              <w:rPr>
                <w:spacing w:val="-10"/>
                <w:sz w:val="18"/>
              </w:rPr>
              <w:t> </w:t>
            </w:r>
            <w:r>
              <w:rPr>
                <w:sz w:val="18"/>
              </w:rPr>
              <w:t>mayores, personas</w:t>
            </w:r>
            <w:r>
              <w:rPr>
                <w:spacing w:val="-11"/>
                <w:sz w:val="18"/>
              </w:rPr>
              <w:t> </w:t>
            </w:r>
            <w:r>
              <w:rPr>
                <w:sz w:val="18"/>
              </w:rPr>
              <w:t>adultas con</w:t>
            </w:r>
            <w:r>
              <w:rPr>
                <w:spacing w:val="-13"/>
                <w:sz w:val="18"/>
              </w:rPr>
              <w:t> </w:t>
            </w:r>
            <w:r>
              <w:rPr>
                <w:sz w:val="18"/>
              </w:rPr>
              <w:t>discapacidad o personas adultas en situación de</w:t>
            </w:r>
          </w:p>
          <w:p>
            <w:pPr>
              <w:pStyle w:val="TableParagraph"/>
              <w:spacing w:line="186" w:lineRule="exact"/>
              <w:ind w:left="70"/>
              <w:rPr>
                <w:sz w:val="18"/>
              </w:rPr>
            </w:pPr>
            <w:r>
              <w:rPr>
                <w:spacing w:val="-2"/>
                <w:sz w:val="18"/>
              </w:rPr>
              <w:t>dependencia.</w:t>
            </w:r>
          </w:p>
        </w:tc>
      </w:tr>
      <w:tr>
        <w:trPr>
          <w:trHeight w:val="450" w:hRule="atLeast"/>
        </w:trPr>
        <w:tc>
          <w:tcPr>
            <w:tcW w:w="14247" w:type="dxa"/>
            <w:gridSpan w:val="8"/>
            <w:shd w:val="clear" w:color="auto" w:fill="EFF8F9"/>
          </w:tcPr>
          <w:p>
            <w:pPr>
              <w:pStyle w:val="TableParagraph"/>
              <w:spacing w:line="206" w:lineRule="exact" w:before="18"/>
              <w:ind w:left="72"/>
              <w:rPr>
                <w:b/>
                <w:sz w:val="18"/>
              </w:rPr>
            </w:pPr>
            <w:r>
              <w:rPr>
                <w:b/>
                <w:sz w:val="18"/>
              </w:rPr>
              <w:t>Producto</w:t>
            </w:r>
            <w:r>
              <w:rPr>
                <w:b/>
                <w:spacing w:val="-4"/>
                <w:sz w:val="18"/>
              </w:rPr>
              <w:t> </w:t>
            </w:r>
            <w:r>
              <w:rPr>
                <w:b/>
                <w:sz w:val="18"/>
              </w:rPr>
              <w:t>PPPS</w:t>
            </w:r>
            <w:r>
              <w:rPr>
                <w:b/>
                <w:spacing w:val="-4"/>
                <w:sz w:val="18"/>
              </w:rPr>
              <w:t> </w:t>
            </w:r>
            <w:r>
              <w:rPr>
                <w:b/>
                <w:sz w:val="18"/>
              </w:rPr>
              <w:t>1.24:</w:t>
            </w:r>
            <w:r>
              <w:rPr>
                <w:b/>
                <w:spacing w:val="-1"/>
                <w:sz w:val="18"/>
              </w:rPr>
              <w:t> </w:t>
            </w:r>
            <w:r>
              <w:rPr>
                <w:b/>
                <w:sz w:val="18"/>
              </w:rPr>
              <w:t>Mecanismo de</w:t>
            </w:r>
            <w:r>
              <w:rPr>
                <w:b/>
                <w:spacing w:val="-3"/>
                <w:sz w:val="18"/>
              </w:rPr>
              <w:t> </w:t>
            </w:r>
            <w:r>
              <w:rPr>
                <w:b/>
                <w:sz w:val="18"/>
              </w:rPr>
              <w:t>interconectividad</w:t>
            </w:r>
            <w:r>
              <w:rPr>
                <w:b/>
                <w:spacing w:val="-4"/>
                <w:sz w:val="18"/>
              </w:rPr>
              <w:t> </w:t>
            </w:r>
            <w:r>
              <w:rPr>
                <w:b/>
                <w:sz w:val="18"/>
              </w:rPr>
              <w:t>entre</w:t>
            </w:r>
            <w:r>
              <w:rPr>
                <w:b/>
                <w:spacing w:val="-3"/>
                <w:sz w:val="18"/>
              </w:rPr>
              <w:t> </w:t>
            </w:r>
            <w:r>
              <w:rPr>
                <w:b/>
                <w:sz w:val="18"/>
              </w:rPr>
              <w:t>SINIRUBE e</w:t>
            </w:r>
            <w:r>
              <w:rPr>
                <w:b/>
                <w:spacing w:val="-3"/>
                <w:sz w:val="18"/>
              </w:rPr>
              <w:t> </w:t>
            </w:r>
            <w:r>
              <w:rPr>
                <w:b/>
                <w:sz w:val="18"/>
              </w:rPr>
              <w:t>IMAS</w:t>
            </w:r>
            <w:r>
              <w:rPr>
                <w:b/>
                <w:spacing w:val="-4"/>
                <w:sz w:val="18"/>
              </w:rPr>
              <w:t> </w:t>
            </w:r>
            <w:r>
              <w:rPr>
                <w:b/>
                <w:sz w:val="18"/>
              </w:rPr>
              <w:t>diseñado</w:t>
            </w:r>
            <w:r>
              <w:rPr>
                <w:b/>
                <w:spacing w:val="-4"/>
                <w:sz w:val="18"/>
              </w:rPr>
              <w:t> </w:t>
            </w:r>
            <w:r>
              <w:rPr>
                <w:b/>
                <w:sz w:val="18"/>
              </w:rPr>
              <w:t>e</w:t>
            </w:r>
            <w:r>
              <w:rPr>
                <w:b/>
                <w:spacing w:val="-3"/>
                <w:sz w:val="18"/>
              </w:rPr>
              <w:t> </w:t>
            </w:r>
            <w:r>
              <w:rPr>
                <w:b/>
                <w:sz w:val="18"/>
              </w:rPr>
              <w:t>implementado, que permita</w:t>
            </w:r>
            <w:r>
              <w:rPr>
                <w:b/>
                <w:spacing w:val="-3"/>
                <w:sz w:val="18"/>
              </w:rPr>
              <w:t> </w:t>
            </w:r>
            <w:r>
              <w:rPr>
                <w:b/>
                <w:sz w:val="18"/>
              </w:rPr>
              <w:t>el</w:t>
            </w:r>
            <w:r>
              <w:rPr>
                <w:b/>
                <w:spacing w:val="-1"/>
                <w:sz w:val="18"/>
              </w:rPr>
              <w:t> </w:t>
            </w:r>
            <w:r>
              <w:rPr>
                <w:b/>
                <w:sz w:val="18"/>
              </w:rPr>
              <w:t>acceso efectivo a</w:t>
            </w:r>
            <w:r>
              <w:rPr>
                <w:b/>
                <w:spacing w:val="-3"/>
                <w:sz w:val="18"/>
              </w:rPr>
              <w:t> </w:t>
            </w:r>
            <w:r>
              <w:rPr>
                <w:b/>
                <w:sz w:val="18"/>
              </w:rPr>
              <w:t>información</w:t>
            </w:r>
            <w:r>
              <w:rPr>
                <w:b/>
                <w:spacing w:val="-4"/>
                <w:sz w:val="18"/>
              </w:rPr>
              <w:t> </w:t>
            </w:r>
            <w:r>
              <w:rPr>
                <w:b/>
                <w:sz w:val="18"/>
              </w:rPr>
              <w:t>actualizada requerida para la intervención social inteligente a nivel institucional. E2 AE7 R2</w:t>
            </w:r>
          </w:p>
        </w:tc>
      </w:tr>
      <w:tr>
        <w:trPr>
          <w:trHeight w:val="1450" w:hRule="atLeast"/>
        </w:trPr>
        <w:tc>
          <w:tcPr>
            <w:tcW w:w="2972" w:type="dxa"/>
          </w:tcPr>
          <w:p>
            <w:pPr>
              <w:pStyle w:val="TableParagraph"/>
              <w:spacing w:before="104"/>
              <w:rPr>
                <w:b/>
                <w:sz w:val="18"/>
              </w:rPr>
            </w:pPr>
          </w:p>
          <w:p>
            <w:pPr>
              <w:pStyle w:val="TableParagraph"/>
              <w:ind w:left="72" w:right="60"/>
              <w:rPr>
                <w:b/>
                <w:sz w:val="18"/>
              </w:rPr>
            </w:pPr>
            <w:r>
              <w:rPr>
                <w:b/>
                <w:sz w:val="18"/>
              </w:rPr>
              <w:t>Actividad PPPS 1.24.1: </w:t>
            </w:r>
            <w:r>
              <w:rPr>
                <w:sz w:val="18"/>
              </w:rPr>
              <w:t>Interconexión</w:t>
            </w:r>
            <w:r>
              <w:rPr>
                <w:spacing w:val="-5"/>
                <w:sz w:val="18"/>
              </w:rPr>
              <w:t> </w:t>
            </w:r>
            <w:r>
              <w:rPr>
                <w:sz w:val="18"/>
              </w:rPr>
              <w:t>de</w:t>
            </w:r>
            <w:r>
              <w:rPr>
                <w:spacing w:val="-1"/>
                <w:sz w:val="18"/>
              </w:rPr>
              <w:t> </w:t>
            </w:r>
            <w:r>
              <w:rPr>
                <w:sz w:val="18"/>
              </w:rPr>
              <w:t>información</w:t>
            </w:r>
            <w:r>
              <w:rPr>
                <w:spacing w:val="-1"/>
                <w:sz w:val="18"/>
              </w:rPr>
              <w:t> </w:t>
            </w:r>
            <w:r>
              <w:rPr>
                <w:sz w:val="18"/>
              </w:rPr>
              <w:t>entre el</w:t>
            </w:r>
            <w:r>
              <w:rPr>
                <w:spacing w:val="-6"/>
                <w:sz w:val="18"/>
              </w:rPr>
              <w:t> </w:t>
            </w:r>
            <w:r>
              <w:rPr>
                <w:sz w:val="18"/>
              </w:rPr>
              <w:t>IMAS</w:t>
            </w:r>
            <w:r>
              <w:rPr>
                <w:spacing w:val="-9"/>
                <w:sz w:val="18"/>
              </w:rPr>
              <w:t> </w:t>
            </w:r>
            <w:r>
              <w:rPr>
                <w:sz w:val="18"/>
              </w:rPr>
              <w:t>y</w:t>
            </w:r>
            <w:r>
              <w:rPr>
                <w:spacing w:val="-4"/>
                <w:sz w:val="18"/>
              </w:rPr>
              <w:t> </w:t>
            </w:r>
            <w:r>
              <w:rPr>
                <w:sz w:val="18"/>
              </w:rPr>
              <w:t>el</w:t>
            </w:r>
            <w:r>
              <w:rPr>
                <w:spacing w:val="-10"/>
                <w:sz w:val="18"/>
              </w:rPr>
              <w:t> </w:t>
            </w:r>
            <w:r>
              <w:rPr>
                <w:sz w:val="18"/>
              </w:rPr>
              <w:t>SINIRUBE</w:t>
            </w:r>
            <w:r>
              <w:rPr>
                <w:spacing w:val="-7"/>
                <w:sz w:val="18"/>
              </w:rPr>
              <w:t> </w:t>
            </w:r>
            <w:r>
              <w:rPr>
                <w:b/>
                <w:sz w:val="18"/>
              </w:rPr>
              <w:t>(vinculada a PEI 2.7.2).</w:t>
            </w:r>
          </w:p>
        </w:tc>
        <w:tc>
          <w:tcPr>
            <w:tcW w:w="1560" w:type="dxa"/>
          </w:tcPr>
          <w:p>
            <w:pPr>
              <w:pStyle w:val="TableParagraph"/>
              <w:rPr>
                <w:b/>
                <w:sz w:val="18"/>
              </w:rPr>
            </w:pPr>
          </w:p>
          <w:p>
            <w:pPr>
              <w:pStyle w:val="TableParagraph"/>
              <w:spacing w:before="204"/>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204"/>
              <w:rPr>
                <w:b/>
                <w:sz w:val="18"/>
              </w:rPr>
            </w:pPr>
          </w:p>
          <w:p>
            <w:pPr>
              <w:pStyle w:val="TableParagraph"/>
              <w:ind w:left="21" w:right="12"/>
              <w:jc w:val="center"/>
              <w:rPr>
                <w:sz w:val="18"/>
              </w:rPr>
            </w:pPr>
            <w:r>
              <w:rPr>
                <w:spacing w:val="-4"/>
                <w:sz w:val="18"/>
              </w:rPr>
              <w:t>100%</w:t>
            </w:r>
          </w:p>
        </w:tc>
        <w:tc>
          <w:tcPr>
            <w:tcW w:w="1982" w:type="dxa"/>
          </w:tcPr>
          <w:p>
            <w:pPr>
              <w:pStyle w:val="TableParagraph"/>
              <w:spacing w:before="104"/>
              <w:rPr>
                <w:b/>
                <w:sz w:val="18"/>
              </w:rPr>
            </w:pPr>
          </w:p>
          <w:p>
            <w:pPr>
              <w:pStyle w:val="TableParagraph"/>
              <w:ind w:left="68"/>
              <w:rPr>
                <w:sz w:val="18"/>
              </w:rPr>
            </w:pPr>
            <w:r>
              <w:rPr>
                <w:sz w:val="18"/>
              </w:rPr>
              <w:t>Porcentaje de </w:t>
            </w:r>
            <w:r>
              <w:rPr>
                <w:spacing w:val="-2"/>
                <w:sz w:val="18"/>
              </w:rPr>
              <w:t>información </w:t>
            </w:r>
            <w:r>
              <w:rPr>
                <w:sz w:val="18"/>
              </w:rPr>
              <w:t>interconectada</w:t>
            </w:r>
            <w:r>
              <w:rPr>
                <w:spacing w:val="-15"/>
                <w:sz w:val="18"/>
              </w:rPr>
              <w:t> </w:t>
            </w:r>
            <w:r>
              <w:rPr>
                <w:sz w:val="18"/>
              </w:rPr>
              <w:t>entre</w:t>
            </w:r>
            <w:r>
              <w:rPr>
                <w:spacing w:val="-12"/>
                <w:sz w:val="18"/>
              </w:rPr>
              <w:t> </w:t>
            </w:r>
            <w:r>
              <w:rPr>
                <w:sz w:val="18"/>
              </w:rPr>
              <w:t>el IMAS y el SINIRUBE.</w:t>
            </w:r>
          </w:p>
        </w:tc>
        <w:tc>
          <w:tcPr>
            <w:tcW w:w="1560" w:type="dxa"/>
          </w:tcPr>
          <w:p>
            <w:pPr>
              <w:pStyle w:val="TableParagraph"/>
              <w:spacing w:before="205"/>
              <w:ind w:left="73" w:right="58"/>
              <w:rPr>
                <w:sz w:val="18"/>
              </w:rPr>
            </w:pPr>
            <w:r>
              <w:rPr>
                <w:spacing w:val="-2"/>
                <w:sz w:val="18"/>
              </w:rPr>
              <w:t>Reporte/informe </w:t>
            </w:r>
            <w:r>
              <w:rPr>
                <w:sz w:val="18"/>
              </w:rPr>
              <w:t>emitido por el DSIS sobre </w:t>
            </w:r>
            <w:r>
              <w:rPr>
                <w:spacing w:val="-2"/>
                <w:sz w:val="18"/>
              </w:rPr>
              <w:t>información interconectada.</w:t>
            </w:r>
          </w:p>
        </w:tc>
        <w:tc>
          <w:tcPr>
            <w:tcW w:w="1416" w:type="dxa"/>
          </w:tcPr>
          <w:p>
            <w:pPr>
              <w:pStyle w:val="TableParagraph"/>
              <w:rPr>
                <w:b/>
                <w:sz w:val="18"/>
              </w:rPr>
            </w:pPr>
          </w:p>
          <w:p>
            <w:pPr>
              <w:pStyle w:val="TableParagraph"/>
              <w:spacing w:before="204"/>
              <w:rPr>
                <w:b/>
                <w:sz w:val="18"/>
              </w:rPr>
            </w:pPr>
          </w:p>
          <w:p>
            <w:pPr>
              <w:pStyle w:val="TableParagraph"/>
              <w:ind w:left="17" w:right="5"/>
              <w:jc w:val="center"/>
              <w:rPr>
                <w:sz w:val="18"/>
              </w:rPr>
            </w:pPr>
            <w:r>
              <w:rPr>
                <w:spacing w:val="-4"/>
                <w:sz w:val="18"/>
              </w:rPr>
              <w:t>DSIS</w:t>
            </w:r>
          </w:p>
        </w:tc>
        <w:tc>
          <w:tcPr>
            <w:tcW w:w="1651" w:type="dxa"/>
          </w:tcPr>
          <w:p>
            <w:pPr>
              <w:pStyle w:val="TableParagraph"/>
              <w:rPr>
                <w:rFonts w:ascii="Times New Roman"/>
                <w:sz w:val="18"/>
              </w:rPr>
            </w:pPr>
          </w:p>
        </w:tc>
        <w:tc>
          <w:tcPr>
            <w:tcW w:w="1546" w:type="dxa"/>
          </w:tcPr>
          <w:p>
            <w:pPr>
              <w:pStyle w:val="TableParagraph"/>
              <w:numPr>
                <w:ilvl w:val="0"/>
                <w:numId w:val="55"/>
              </w:numPr>
              <w:tabs>
                <w:tab w:pos="131" w:val="left" w:leader="none"/>
              </w:tabs>
              <w:spacing w:line="240" w:lineRule="auto" w:before="0" w:after="0"/>
              <w:ind w:left="70" w:right="76" w:firstLine="0"/>
              <w:jc w:val="left"/>
              <w:rPr>
                <w:sz w:val="18"/>
              </w:rPr>
            </w:pPr>
            <w:r>
              <w:rPr>
                <w:sz w:val="18"/>
              </w:rPr>
              <w:t>Posibles</w:t>
            </w:r>
            <w:r>
              <w:rPr>
                <w:spacing w:val="-13"/>
                <w:sz w:val="18"/>
              </w:rPr>
              <w:t> </w:t>
            </w:r>
            <w:r>
              <w:rPr>
                <w:sz w:val="18"/>
              </w:rPr>
              <w:t>atrasos en la propuesta del mecanismo </w:t>
            </w:r>
            <w:r>
              <w:rPr>
                <w:spacing w:val="-6"/>
                <w:sz w:val="18"/>
              </w:rPr>
              <w:t>de </w:t>
            </w:r>
            <w:r>
              <w:rPr>
                <w:spacing w:val="-2"/>
                <w:sz w:val="18"/>
              </w:rPr>
              <w:t>interconectividad </w:t>
            </w:r>
            <w:r>
              <w:rPr>
                <w:sz w:val="18"/>
              </w:rPr>
              <w:t>entre IMAS y</w:t>
            </w:r>
          </w:p>
          <w:p>
            <w:pPr>
              <w:pStyle w:val="TableParagraph"/>
              <w:spacing w:line="187" w:lineRule="exact" w:before="1"/>
              <w:ind w:left="70"/>
              <w:rPr>
                <w:sz w:val="18"/>
              </w:rPr>
            </w:pPr>
            <w:r>
              <w:rPr>
                <w:spacing w:val="-2"/>
                <w:sz w:val="18"/>
              </w:rPr>
              <w:t>SINIRUBE.</w:t>
            </w:r>
          </w:p>
        </w:tc>
      </w:tr>
      <w:tr>
        <w:trPr>
          <w:trHeight w:val="556" w:hRule="atLeast"/>
        </w:trPr>
        <w:tc>
          <w:tcPr>
            <w:tcW w:w="14247" w:type="dxa"/>
            <w:gridSpan w:val="8"/>
            <w:shd w:val="clear" w:color="auto" w:fill="EFF8F9"/>
          </w:tcPr>
          <w:p>
            <w:pPr>
              <w:pStyle w:val="TableParagraph"/>
              <w:spacing w:before="71"/>
              <w:ind w:left="72"/>
              <w:rPr>
                <w:b/>
                <w:sz w:val="18"/>
              </w:rPr>
            </w:pPr>
            <w:r>
              <w:rPr>
                <w:b/>
                <w:sz w:val="18"/>
              </w:rPr>
              <w:t>Producto</w:t>
            </w:r>
            <w:r>
              <w:rPr>
                <w:b/>
                <w:spacing w:val="-4"/>
                <w:sz w:val="18"/>
              </w:rPr>
              <w:t> </w:t>
            </w:r>
            <w:r>
              <w:rPr>
                <w:b/>
                <w:sz w:val="18"/>
              </w:rPr>
              <w:t>PPPS</w:t>
            </w:r>
            <w:r>
              <w:rPr>
                <w:b/>
                <w:spacing w:val="-4"/>
                <w:sz w:val="18"/>
              </w:rPr>
              <w:t> </w:t>
            </w:r>
            <w:r>
              <w:rPr>
                <w:b/>
                <w:sz w:val="18"/>
              </w:rPr>
              <w:t>1.25:</w:t>
            </w:r>
            <w:r>
              <w:rPr>
                <w:b/>
                <w:spacing w:val="-1"/>
                <w:sz w:val="18"/>
              </w:rPr>
              <w:t> </w:t>
            </w:r>
            <w:r>
              <w:rPr>
                <w:b/>
                <w:sz w:val="18"/>
              </w:rPr>
              <w:t>Perfiles</w:t>
            </w:r>
            <w:r>
              <w:rPr>
                <w:b/>
                <w:spacing w:val="-3"/>
                <w:sz w:val="18"/>
              </w:rPr>
              <w:t> </w:t>
            </w:r>
            <w:r>
              <w:rPr>
                <w:b/>
                <w:sz w:val="18"/>
              </w:rPr>
              <w:t>de</w:t>
            </w:r>
            <w:r>
              <w:rPr>
                <w:b/>
                <w:spacing w:val="-3"/>
                <w:sz w:val="18"/>
              </w:rPr>
              <w:t> </w:t>
            </w:r>
            <w:r>
              <w:rPr>
                <w:b/>
                <w:sz w:val="18"/>
              </w:rPr>
              <w:t>entrada</w:t>
            </w:r>
            <w:r>
              <w:rPr>
                <w:b/>
                <w:spacing w:val="-3"/>
                <w:sz w:val="18"/>
              </w:rPr>
              <w:t> </w:t>
            </w:r>
            <w:r>
              <w:rPr>
                <w:b/>
                <w:sz w:val="18"/>
              </w:rPr>
              <w:t>y</w:t>
            </w:r>
            <w:r>
              <w:rPr>
                <w:b/>
                <w:spacing w:val="-3"/>
                <w:sz w:val="18"/>
              </w:rPr>
              <w:t> </w:t>
            </w:r>
            <w:r>
              <w:rPr>
                <w:b/>
                <w:sz w:val="18"/>
              </w:rPr>
              <w:t>salida</w:t>
            </w:r>
            <w:r>
              <w:rPr>
                <w:b/>
                <w:spacing w:val="-3"/>
                <w:sz w:val="18"/>
              </w:rPr>
              <w:t> </w:t>
            </w:r>
            <w:r>
              <w:rPr>
                <w:b/>
                <w:sz w:val="18"/>
              </w:rPr>
              <w:t>de</w:t>
            </w:r>
            <w:r>
              <w:rPr>
                <w:b/>
                <w:spacing w:val="-3"/>
                <w:sz w:val="18"/>
              </w:rPr>
              <w:t> </w:t>
            </w:r>
            <w:r>
              <w:rPr>
                <w:b/>
                <w:sz w:val="18"/>
              </w:rPr>
              <w:t>la</w:t>
            </w:r>
            <w:r>
              <w:rPr>
                <w:b/>
                <w:spacing w:val="-3"/>
                <w:sz w:val="18"/>
              </w:rPr>
              <w:t> </w:t>
            </w:r>
            <w:r>
              <w:rPr>
                <w:b/>
                <w:sz w:val="18"/>
              </w:rPr>
              <w:t>población objetivo diseñados e</w:t>
            </w:r>
            <w:r>
              <w:rPr>
                <w:b/>
                <w:spacing w:val="-8"/>
                <w:sz w:val="18"/>
              </w:rPr>
              <w:t> </w:t>
            </w:r>
            <w:r>
              <w:rPr>
                <w:b/>
                <w:sz w:val="18"/>
              </w:rPr>
              <w:t>implementados</w:t>
            </w:r>
            <w:r>
              <w:rPr>
                <w:b/>
                <w:spacing w:val="-3"/>
                <w:sz w:val="18"/>
              </w:rPr>
              <w:t> </w:t>
            </w:r>
            <w:r>
              <w:rPr>
                <w:b/>
                <w:sz w:val="18"/>
              </w:rPr>
              <w:t>en</w:t>
            </w:r>
            <w:r>
              <w:rPr>
                <w:b/>
                <w:spacing w:val="-4"/>
                <w:sz w:val="18"/>
              </w:rPr>
              <w:t> </w:t>
            </w:r>
            <w:r>
              <w:rPr>
                <w:b/>
                <w:sz w:val="18"/>
              </w:rPr>
              <w:t>el</w:t>
            </w:r>
            <w:r>
              <w:rPr>
                <w:b/>
                <w:spacing w:val="-1"/>
                <w:sz w:val="18"/>
              </w:rPr>
              <w:t> </w:t>
            </w:r>
            <w:r>
              <w:rPr>
                <w:b/>
                <w:sz w:val="18"/>
              </w:rPr>
              <w:t>marco</w:t>
            </w:r>
            <w:r>
              <w:rPr>
                <w:b/>
                <w:spacing w:val="-4"/>
                <w:sz w:val="18"/>
              </w:rPr>
              <w:t> </w:t>
            </w:r>
            <w:r>
              <w:rPr>
                <w:b/>
                <w:sz w:val="18"/>
              </w:rPr>
              <w:t>del</w:t>
            </w:r>
            <w:r>
              <w:rPr>
                <w:b/>
                <w:spacing w:val="-5"/>
                <w:sz w:val="18"/>
              </w:rPr>
              <w:t> </w:t>
            </w:r>
            <w:r>
              <w:rPr>
                <w:b/>
                <w:sz w:val="18"/>
              </w:rPr>
              <w:t>Modelo de Intervención</w:t>
            </w:r>
            <w:r>
              <w:rPr>
                <w:b/>
                <w:spacing w:val="-4"/>
                <w:sz w:val="18"/>
              </w:rPr>
              <w:t> </w:t>
            </w:r>
            <w:r>
              <w:rPr>
                <w:b/>
                <w:sz w:val="18"/>
              </w:rPr>
              <w:t>Institucional, que permitan la priorización para la atención e intervención de los hogares. E2 AE8 R1</w:t>
            </w:r>
          </w:p>
        </w:tc>
      </w:tr>
      <w:tr>
        <w:trPr>
          <w:trHeight w:val="1032" w:hRule="atLeast"/>
        </w:trPr>
        <w:tc>
          <w:tcPr>
            <w:tcW w:w="2972" w:type="dxa"/>
          </w:tcPr>
          <w:p>
            <w:pPr>
              <w:pStyle w:val="TableParagraph"/>
              <w:spacing w:line="242" w:lineRule="auto" w:before="99"/>
              <w:ind w:left="72"/>
              <w:rPr>
                <w:b/>
                <w:sz w:val="18"/>
              </w:rPr>
            </w:pPr>
            <w:r>
              <w:rPr>
                <w:b/>
                <w:sz w:val="18"/>
              </w:rPr>
              <w:t>Actividad PPPS 1.25.1: </w:t>
            </w:r>
            <w:r>
              <w:rPr>
                <w:sz w:val="18"/>
              </w:rPr>
              <w:t>Implementación</w:t>
            </w:r>
            <w:r>
              <w:rPr>
                <w:spacing w:val="-5"/>
                <w:sz w:val="18"/>
              </w:rPr>
              <w:t> </w:t>
            </w:r>
            <w:r>
              <w:rPr>
                <w:sz w:val="18"/>
              </w:rPr>
              <w:t>de</w:t>
            </w:r>
            <w:r>
              <w:rPr>
                <w:spacing w:val="-5"/>
                <w:sz w:val="18"/>
              </w:rPr>
              <w:t> </w:t>
            </w:r>
            <w:r>
              <w:rPr>
                <w:sz w:val="18"/>
              </w:rPr>
              <w:t>los</w:t>
            </w:r>
            <w:r>
              <w:rPr>
                <w:spacing w:val="-5"/>
                <w:sz w:val="18"/>
              </w:rPr>
              <w:t> </w:t>
            </w:r>
            <w:r>
              <w:rPr>
                <w:sz w:val="18"/>
              </w:rPr>
              <w:t>perfiles</w:t>
            </w:r>
            <w:r>
              <w:rPr>
                <w:spacing w:val="-1"/>
                <w:sz w:val="18"/>
              </w:rPr>
              <w:t> </w:t>
            </w:r>
            <w:r>
              <w:rPr>
                <w:sz w:val="18"/>
              </w:rPr>
              <w:t>de entrada</w:t>
            </w:r>
            <w:r>
              <w:rPr>
                <w:spacing w:val="-8"/>
                <w:sz w:val="18"/>
              </w:rPr>
              <w:t> </w:t>
            </w:r>
            <w:r>
              <w:rPr>
                <w:sz w:val="18"/>
              </w:rPr>
              <w:t>y</w:t>
            </w:r>
            <w:r>
              <w:rPr>
                <w:spacing w:val="-8"/>
                <w:sz w:val="18"/>
              </w:rPr>
              <w:t> </w:t>
            </w:r>
            <w:r>
              <w:rPr>
                <w:sz w:val="18"/>
              </w:rPr>
              <w:t>salida</w:t>
            </w:r>
            <w:r>
              <w:rPr>
                <w:spacing w:val="-5"/>
                <w:sz w:val="18"/>
              </w:rPr>
              <w:t> </w:t>
            </w:r>
            <w:r>
              <w:rPr>
                <w:b/>
                <w:sz w:val="18"/>
              </w:rPr>
              <w:t>(vinculada</w:t>
            </w:r>
            <w:r>
              <w:rPr>
                <w:b/>
                <w:spacing w:val="-8"/>
                <w:sz w:val="18"/>
              </w:rPr>
              <w:t> </w:t>
            </w:r>
            <w:r>
              <w:rPr>
                <w:b/>
                <w:sz w:val="18"/>
              </w:rPr>
              <w:t>a</w:t>
            </w:r>
            <w:r>
              <w:rPr>
                <w:b/>
                <w:spacing w:val="-8"/>
                <w:sz w:val="18"/>
              </w:rPr>
              <w:t> </w:t>
            </w:r>
            <w:r>
              <w:rPr>
                <w:b/>
                <w:sz w:val="18"/>
              </w:rPr>
              <w:t>PEI 2.8.1 / Estrategia GpRD 2.1.2).</w:t>
            </w:r>
          </w:p>
        </w:tc>
        <w:tc>
          <w:tcPr>
            <w:tcW w:w="1560" w:type="dxa"/>
          </w:tcPr>
          <w:p>
            <w:pPr>
              <w:pStyle w:val="TableParagraph"/>
              <w:spacing w:before="205"/>
              <w:rPr>
                <w:b/>
                <w:sz w:val="18"/>
              </w:rPr>
            </w:pPr>
          </w:p>
          <w:p>
            <w:pPr>
              <w:pStyle w:val="TableParagraph"/>
              <w:ind w:left="21" w:right="10"/>
              <w:jc w:val="center"/>
              <w:rPr>
                <w:sz w:val="18"/>
              </w:rPr>
            </w:pPr>
            <w:r>
              <w:rPr>
                <w:spacing w:val="-10"/>
                <w:sz w:val="18"/>
              </w:rPr>
              <w:t>0</w:t>
            </w:r>
          </w:p>
        </w:tc>
        <w:tc>
          <w:tcPr>
            <w:tcW w:w="1560" w:type="dxa"/>
          </w:tcPr>
          <w:p>
            <w:pPr>
              <w:pStyle w:val="TableParagraph"/>
              <w:spacing w:before="205"/>
              <w:rPr>
                <w:b/>
                <w:sz w:val="18"/>
              </w:rPr>
            </w:pPr>
          </w:p>
          <w:p>
            <w:pPr>
              <w:pStyle w:val="TableParagraph"/>
              <w:ind w:left="21" w:right="12"/>
              <w:jc w:val="center"/>
              <w:rPr>
                <w:sz w:val="18"/>
              </w:rPr>
            </w:pPr>
            <w:r>
              <w:rPr>
                <w:spacing w:val="-4"/>
                <w:sz w:val="18"/>
              </w:rPr>
              <w:t>100%</w:t>
            </w:r>
          </w:p>
        </w:tc>
        <w:tc>
          <w:tcPr>
            <w:tcW w:w="1982" w:type="dxa"/>
          </w:tcPr>
          <w:p>
            <w:pPr>
              <w:pStyle w:val="TableParagraph"/>
              <w:spacing w:line="242" w:lineRule="auto" w:before="99"/>
              <w:ind w:left="68" w:right="154"/>
              <w:jc w:val="both"/>
              <w:rPr>
                <w:sz w:val="18"/>
              </w:rPr>
            </w:pPr>
            <w:r>
              <w:rPr>
                <w:sz w:val="18"/>
              </w:rPr>
              <w:t>Porcentaje</w:t>
            </w:r>
            <w:r>
              <w:rPr>
                <w:spacing w:val="-15"/>
                <w:sz w:val="18"/>
              </w:rPr>
              <w:t> </w:t>
            </w:r>
            <w:r>
              <w:rPr>
                <w:sz w:val="18"/>
              </w:rPr>
              <w:t>de</w:t>
            </w:r>
            <w:r>
              <w:rPr>
                <w:spacing w:val="-12"/>
                <w:sz w:val="18"/>
              </w:rPr>
              <w:t> </w:t>
            </w:r>
            <w:r>
              <w:rPr>
                <w:sz w:val="18"/>
              </w:rPr>
              <w:t>avance en la implementación de</w:t>
            </w:r>
            <w:r>
              <w:rPr>
                <w:spacing w:val="-9"/>
                <w:sz w:val="18"/>
              </w:rPr>
              <w:t> </w:t>
            </w:r>
            <w:r>
              <w:rPr>
                <w:sz w:val="18"/>
              </w:rPr>
              <w:t>perfiles</w:t>
            </w:r>
            <w:r>
              <w:rPr>
                <w:spacing w:val="-12"/>
                <w:sz w:val="18"/>
              </w:rPr>
              <w:t> </w:t>
            </w:r>
            <w:r>
              <w:rPr>
                <w:sz w:val="18"/>
              </w:rPr>
              <w:t>de</w:t>
            </w:r>
            <w:r>
              <w:rPr>
                <w:spacing w:val="-12"/>
                <w:sz w:val="18"/>
              </w:rPr>
              <w:t> </w:t>
            </w:r>
            <w:r>
              <w:rPr>
                <w:sz w:val="18"/>
              </w:rPr>
              <w:t>entrada y salida.</w:t>
            </w:r>
          </w:p>
        </w:tc>
        <w:tc>
          <w:tcPr>
            <w:tcW w:w="1560" w:type="dxa"/>
          </w:tcPr>
          <w:p>
            <w:pPr>
              <w:pStyle w:val="TableParagraph"/>
              <w:spacing w:line="242" w:lineRule="auto" w:before="99"/>
              <w:ind w:left="73" w:right="108"/>
              <w:rPr>
                <w:sz w:val="18"/>
              </w:rPr>
            </w:pPr>
            <w:r>
              <w:rPr>
                <w:sz w:val="18"/>
              </w:rPr>
              <w:t>Reporte de avance de </w:t>
            </w:r>
            <w:r>
              <w:rPr>
                <w:spacing w:val="-2"/>
                <w:sz w:val="18"/>
              </w:rPr>
              <w:t>implementación </w:t>
            </w:r>
            <w:r>
              <w:rPr>
                <w:sz w:val="18"/>
              </w:rPr>
              <w:t>de los perfiles.</w:t>
            </w:r>
          </w:p>
        </w:tc>
        <w:tc>
          <w:tcPr>
            <w:tcW w:w="1416" w:type="dxa"/>
          </w:tcPr>
          <w:p>
            <w:pPr>
              <w:pStyle w:val="TableParagraph"/>
              <w:spacing w:before="205"/>
              <w:rPr>
                <w:b/>
                <w:sz w:val="18"/>
              </w:rPr>
            </w:pPr>
          </w:p>
          <w:p>
            <w:pPr>
              <w:pStyle w:val="TableParagraph"/>
              <w:ind w:left="17" w:right="6"/>
              <w:jc w:val="center"/>
              <w:rPr>
                <w:sz w:val="18"/>
              </w:rPr>
            </w:pPr>
            <w:r>
              <w:rPr>
                <w:spacing w:val="-4"/>
                <w:sz w:val="18"/>
              </w:rPr>
              <w:t>DDSE</w:t>
            </w:r>
          </w:p>
        </w:tc>
        <w:tc>
          <w:tcPr>
            <w:tcW w:w="1651" w:type="dxa"/>
          </w:tcPr>
          <w:p>
            <w:pPr>
              <w:pStyle w:val="TableParagraph"/>
              <w:rPr>
                <w:rFonts w:ascii="Times New Roman"/>
                <w:sz w:val="18"/>
              </w:rPr>
            </w:pPr>
          </w:p>
        </w:tc>
        <w:tc>
          <w:tcPr>
            <w:tcW w:w="1546" w:type="dxa"/>
          </w:tcPr>
          <w:p>
            <w:pPr>
              <w:pStyle w:val="TableParagraph"/>
              <w:numPr>
                <w:ilvl w:val="0"/>
                <w:numId w:val="56"/>
              </w:numPr>
              <w:tabs>
                <w:tab w:pos="131" w:val="left" w:leader="none"/>
              </w:tabs>
              <w:spacing w:line="240" w:lineRule="auto" w:before="0" w:after="0"/>
              <w:ind w:left="70" w:right="137" w:firstLine="0"/>
              <w:jc w:val="left"/>
              <w:rPr>
                <w:sz w:val="18"/>
              </w:rPr>
            </w:pPr>
            <w:r>
              <w:rPr>
                <w:sz w:val="18"/>
              </w:rPr>
              <w:t>Dificultad en el </w:t>
            </w:r>
            <w:r>
              <w:rPr>
                <w:spacing w:val="-2"/>
                <w:sz w:val="18"/>
              </w:rPr>
              <w:t>establecimiento </w:t>
            </w:r>
            <w:r>
              <w:rPr>
                <w:sz w:val="18"/>
              </w:rPr>
              <w:t>consensuado</w:t>
            </w:r>
            <w:r>
              <w:rPr>
                <w:spacing w:val="-13"/>
                <w:sz w:val="18"/>
              </w:rPr>
              <w:t> </w:t>
            </w:r>
            <w:r>
              <w:rPr>
                <w:sz w:val="18"/>
              </w:rPr>
              <w:t>de perfiles de</w:t>
            </w:r>
          </w:p>
          <w:p>
            <w:pPr>
              <w:pStyle w:val="TableParagraph"/>
              <w:spacing w:line="185" w:lineRule="exact"/>
              <w:ind w:left="70"/>
              <w:rPr>
                <w:sz w:val="18"/>
              </w:rPr>
            </w:pPr>
            <w:r>
              <w:rPr>
                <w:sz w:val="18"/>
              </w:rPr>
              <w:t>entrada</w:t>
            </w:r>
            <w:r>
              <w:rPr>
                <w:spacing w:val="-3"/>
                <w:sz w:val="18"/>
              </w:rPr>
              <w:t> </w:t>
            </w:r>
            <w:r>
              <w:rPr>
                <w:sz w:val="18"/>
              </w:rPr>
              <w:t>y</w:t>
            </w:r>
            <w:r>
              <w:rPr>
                <w:spacing w:val="-3"/>
                <w:sz w:val="18"/>
              </w:rPr>
              <w:t> </w:t>
            </w:r>
            <w:r>
              <w:rPr>
                <w:spacing w:val="-2"/>
                <w:sz w:val="18"/>
              </w:rPr>
              <w:t>salida.</w:t>
            </w:r>
          </w:p>
        </w:tc>
      </w:tr>
    </w:tbl>
    <w:p>
      <w:pPr>
        <w:pStyle w:val="TableParagraph"/>
        <w:spacing w:after="0" w:line="185" w:lineRule="exact"/>
        <w:rPr>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7"/>
        <w:gridCol w:w="1550"/>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7" w:type="dxa"/>
            <w:shd w:val="clear" w:color="auto" w:fill="D9D9D9"/>
          </w:tcPr>
          <w:p>
            <w:pPr>
              <w:pStyle w:val="TableParagraph"/>
              <w:spacing w:before="104"/>
              <w:ind w:left="430" w:hanging="120"/>
              <w:rPr>
                <w:b/>
                <w:sz w:val="18"/>
              </w:rPr>
            </w:pPr>
            <w:r>
              <w:rPr>
                <w:b/>
                <w:spacing w:val="-2"/>
                <w:sz w:val="18"/>
              </w:rPr>
              <w:t>Presupuesto asignado</w:t>
            </w:r>
          </w:p>
        </w:tc>
        <w:tc>
          <w:tcPr>
            <w:tcW w:w="1550" w:type="dxa"/>
            <w:shd w:val="clear" w:color="auto" w:fill="D9D9D9"/>
          </w:tcPr>
          <w:p>
            <w:pPr>
              <w:pStyle w:val="TableParagraph"/>
              <w:spacing w:line="206" w:lineRule="exact"/>
              <w:ind w:left="21" w:right="3"/>
              <w:jc w:val="center"/>
              <w:rPr>
                <w:b/>
                <w:sz w:val="18"/>
              </w:rPr>
            </w:pPr>
            <w:r>
              <w:rPr>
                <w:b/>
                <w:spacing w:val="-2"/>
                <w:sz w:val="18"/>
              </w:rPr>
              <w:t>Riesgos </w:t>
            </w:r>
            <w:r>
              <w:rPr>
                <w:b/>
                <w:sz w:val="18"/>
              </w:rPr>
              <w:t>asociados al </w:t>
            </w:r>
            <w:r>
              <w:rPr>
                <w:b/>
                <w:spacing w:val="-2"/>
                <w:sz w:val="18"/>
              </w:rPr>
              <w:t>cumplimiento</w:t>
            </w:r>
          </w:p>
        </w:tc>
      </w:tr>
      <w:tr>
        <w:trPr>
          <w:trHeight w:val="451" w:hRule="atLeast"/>
        </w:trPr>
        <w:tc>
          <w:tcPr>
            <w:tcW w:w="14247" w:type="dxa"/>
            <w:gridSpan w:val="8"/>
            <w:shd w:val="clear" w:color="auto" w:fill="EFF8F9"/>
          </w:tcPr>
          <w:p>
            <w:pPr>
              <w:pStyle w:val="TableParagraph"/>
              <w:spacing w:line="206" w:lineRule="exact" w:before="19"/>
              <w:ind w:left="72" w:right="161"/>
              <w:rPr>
                <w:b/>
                <w:sz w:val="18"/>
              </w:rPr>
            </w:pPr>
            <w:r>
              <w:rPr>
                <w:b/>
                <w:sz w:val="18"/>
              </w:rPr>
              <w:t>Producto</w:t>
            </w:r>
            <w:r>
              <w:rPr>
                <w:b/>
                <w:spacing w:val="-4"/>
                <w:sz w:val="18"/>
              </w:rPr>
              <w:t> </w:t>
            </w:r>
            <w:r>
              <w:rPr>
                <w:b/>
                <w:sz w:val="18"/>
              </w:rPr>
              <w:t>PPPS</w:t>
            </w:r>
            <w:r>
              <w:rPr>
                <w:b/>
                <w:spacing w:val="-4"/>
                <w:sz w:val="18"/>
              </w:rPr>
              <w:t> </w:t>
            </w:r>
            <w:r>
              <w:rPr>
                <w:b/>
                <w:sz w:val="18"/>
              </w:rPr>
              <w:t>1.26:</w:t>
            </w:r>
            <w:r>
              <w:rPr>
                <w:b/>
                <w:spacing w:val="-1"/>
                <w:sz w:val="18"/>
              </w:rPr>
              <w:t> </w:t>
            </w:r>
            <w:r>
              <w:rPr>
                <w:b/>
                <w:sz w:val="18"/>
              </w:rPr>
              <w:t>Indicador</w:t>
            </w:r>
            <w:r>
              <w:rPr>
                <w:b/>
                <w:spacing w:val="-2"/>
                <w:sz w:val="18"/>
              </w:rPr>
              <w:t> </w:t>
            </w:r>
            <w:r>
              <w:rPr>
                <w:b/>
                <w:sz w:val="18"/>
              </w:rPr>
              <w:t>de</w:t>
            </w:r>
            <w:r>
              <w:rPr>
                <w:b/>
                <w:spacing w:val="-3"/>
                <w:sz w:val="18"/>
              </w:rPr>
              <w:t> </w:t>
            </w:r>
            <w:r>
              <w:rPr>
                <w:b/>
                <w:sz w:val="18"/>
              </w:rPr>
              <w:t>trayectoria diseñado e</w:t>
            </w:r>
            <w:r>
              <w:rPr>
                <w:b/>
                <w:spacing w:val="-8"/>
                <w:sz w:val="18"/>
              </w:rPr>
              <w:t> </w:t>
            </w:r>
            <w:r>
              <w:rPr>
                <w:b/>
                <w:sz w:val="18"/>
              </w:rPr>
              <w:t>implementado</w:t>
            </w:r>
            <w:r>
              <w:rPr>
                <w:b/>
                <w:spacing w:val="-4"/>
                <w:sz w:val="18"/>
              </w:rPr>
              <w:t> </w:t>
            </w:r>
            <w:r>
              <w:rPr>
                <w:b/>
                <w:sz w:val="18"/>
              </w:rPr>
              <w:t>que permita</w:t>
            </w:r>
            <w:r>
              <w:rPr>
                <w:b/>
                <w:spacing w:val="-3"/>
                <w:sz w:val="18"/>
              </w:rPr>
              <w:t> </w:t>
            </w:r>
            <w:r>
              <w:rPr>
                <w:b/>
                <w:sz w:val="18"/>
              </w:rPr>
              <w:t>brindar</w:t>
            </w:r>
            <w:r>
              <w:rPr>
                <w:b/>
                <w:spacing w:val="-2"/>
                <w:sz w:val="18"/>
              </w:rPr>
              <w:t> </w:t>
            </w:r>
            <w:r>
              <w:rPr>
                <w:b/>
                <w:sz w:val="18"/>
              </w:rPr>
              <w:t>seguimiento</w:t>
            </w:r>
            <w:r>
              <w:rPr>
                <w:b/>
                <w:spacing w:val="-4"/>
                <w:sz w:val="18"/>
              </w:rPr>
              <w:t> </w:t>
            </w:r>
            <w:r>
              <w:rPr>
                <w:b/>
                <w:sz w:val="18"/>
              </w:rPr>
              <w:t>y</w:t>
            </w:r>
            <w:r>
              <w:rPr>
                <w:b/>
                <w:spacing w:val="-3"/>
                <w:sz w:val="18"/>
              </w:rPr>
              <w:t> </w:t>
            </w:r>
            <w:r>
              <w:rPr>
                <w:b/>
                <w:sz w:val="18"/>
              </w:rPr>
              <w:t>trazabilidad</w:t>
            </w:r>
            <w:r>
              <w:rPr>
                <w:b/>
                <w:spacing w:val="-4"/>
                <w:sz w:val="18"/>
              </w:rPr>
              <w:t> </w:t>
            </w:r>
            <w:r>
              <w:rPr>
                <w:b/>
                <w:sz w:val="18"/>
              </w:rPr>
              <w:t>a</w:t>
            </w:r>
            <w:r>
              <w:rPr>
                <w:b/>
                <w:spacing w:val="-3"/>
                <w:sz w:val="18"/>
              </w:rPr>
              <w:t> </w:t>
            </w:r>
            <w:r>
              <w:rPr>
                <w:b/>
                <w:sz w:val="18"/>
              </w:rPr>
              <w:t>los</w:t>
            </w:r>
            <w:r>
              <w:rPr>
                <w:b/>
                <w:spacing w:val="-3"/>
                <w:sz w:val="18"/>
              </w:rPr>
              <w:t> </w:t>
            </w:r>
            <w:r>
              <w:rPr>
                <w:b/>
                <w:sz w:val="18"/>
              </w:rPr>
              <w:t>hogares</w:t>
            </w:r>
            <w:r>
              <w:rPr>
                <w:b/>
                <w:spacing w:val="-3"/>
                <w:sz w:val="18"/>
              </w:rPr>
              <w:t> </w:t>
            </w:r>
            <w:r>
              <w:rPr>
                <w:b/>
                <w:sz w:val="18"/>
              </w:rPr>
              <w:t>conforme a</w:t>
            </w:r>
            <w:r>
              <w:rPr>
                <w:b/>
                <w:spacing w:val="-3"/>
                <w:sz w:val="18"/>
              </w:rPr>
              <w:t> </w:t>
            </w:r>
            <w:r>
              <w:rPr>
                <w:b/>
                <w:sz w:val="18"/>
              </w:rPr>
              <w:t>su</w:t>
            </w:r>
            <w:r>
              <w:rPr>
                <w:b/>
                <w:spacing w:val="-4"/>
                <w:sz w:val="18"/>
              </w:rPr>
              <w:t> </w:t>
            </w:r>
            <w:r>
              <w:rPr>
                <w:b/>
                <w:sz w:val="18"/>
              </w:rPr>
              <w:t>perfil. E2</w:t>
            </w:r>
            <w:r>
              <w:rPr>
                <w:b/>
                <w:spacing w:val="-3"/>
                <w:sz w:val="18"/>
              </w:rPr>
              <w:t> </w:t>
            </w:r>
            <w:r>
              <w:rPr>
                <w:b/>
                <w:sz w:val="18"/>
              </w:rPr>
              <w:t>AE8 </w:t>
            </w:r>
            <w:r>
              <w:rPr>
                <w:b/>
                <w:spacing w:val="-6"/>
                <w:sz w:val="18"/>
              </w:rPr>
              <w:t>R2</w:t>
            </w:r>
          </w:p>
        </w:tc>
      </w:tr>
      <w:tr>
        <w:trPr>
          <w:trHeight w:val="1036" w:hRule="atLeast"/>
        </w:trPr>
        <w:tc>
          <w:tcPr>
            <w:tcW w:w="2972" w:type="dxa"/>
          </w:tcPr>
          <w:p>
            <w:pPr>
              <w:pStyle w:val="TableParagraph"/>
              <w:spacing w:line="207" w:lineRule="exact" w:before="104"/>
              <w:ind w:left="72"/>
              <w:rPr>
                <w:b/>
                <w:sz w:val="18"/>
              </w:rPr>
            </w:pPr>
            <w:r>
              <w:rPr>
                <w:b/>
                <w:sz w:val="18"/>
              </w:rPr>
              <w:t>Actividad</w:t>
            </w:r>
            <w:r>
              <w:rPr>
                <w:b/>
                <w:spacing w:val="-6"/>
                <w:sz w:val="18"/>
              </w:rPr>
              <w:t> </w:t>
            </w:r>
            <w:r>
              <w:rPr>
                <w:b/>
                <w:sz w:val="18"/>
              </w:rPr>
              <w:t>PPPS</w:t>
            </w:r>
            <w:r>
              <w:rPr>
                <w:b/>
                <w:spacing w:val="-6"/>
                <w:sz w:val="18"/>
              </w:rPr>
              <w:t> </w:t>
            </w:r>
            <w:r>
              <w:rPr>
                <w:b/>
                <w:spacing w:val="-2"/>
                <w:sz w:val="18"/>
              </w:rPr>
              <w:t>1.26.1:</w:t>
            </w:r>
          </w:p>
          <w:p>
            <w:pPr>
              <w:pStyle w:val="TableParagraph"/>
              <w:ind w:left="72" w:right="113"/>
              <w:rPr>
                <w:b/>
                <w:sz w:val="18"/>
              </w:rPr>
            </w:pPr>
            <w:r>
              <w:rPr>
                <w:sz w:val="18"/>
              </w:rPr>
              <w:t>Diseño</w:t>
            </w:r>
            <w:r>
              <w:rPr>
                <w:spacing w:val="-8"/>
                <w:sz w:val="18"/>
              </w:rPr>
              <w:t> </w:t>
            </w:r>
            <w:r>
              <w:rPr>
                <w:sz w:val="18"/>
              </w:rPr>
              <w:t>del</w:t>
            </w:r>
            <w:r>
              <w:rPr>
                <w:spacing w:val="-9"/>
                <w:sz w:val="18"/>
              </w:rPr>
              <w:t> </w:t>
            </w:r>
            <w:r>
              <w:rPr>
                <w:sz w:val="18"/>
              </w:rPr>
              <w:t>indicador</w:t>
            </w:r>
            <w:r>
              <w:rPr>
                <w:spacing w:val="-9"/>
                <w:sz w:val="18"/>
              </w:rPr>
              <w:t> </w:t>
            </w:r>
            <w:r>
              <w:rPr>
                <w:sz w:val="18"/>
              </w:rPr>
              <w:t>de</w:t>
            </w:r>
            <w:r>
              <w:rPr>
                <w:spacing w:val="-11"/>
                <w:sz w:val="18"/>
              </w:rPr>
              <w:t> </w:t>
            </w:r>
            <w:r>
              <w:rPr>
                <w:sz w:val="18"/>
              </w:rPr>
              <w:t>trayectoria </w:t>
            </w:r>
            <w:r>
              <w:rPr>
                <w:b/>
                <w:sz w:val="18"/>
              </w:rPr>
              <w:t>(vinculada a PEI 2.8.2 / Estrategia GpRD 2.2.2).</w:t>
            </w:r>
          </w:p>
        </w:tc>
        <w:tc>
          <w:tcPr>
            <w:tcW w:w="1560" w:type="dxa"/>
          </w:tcPr>
          <w:p>
            <w:pPr>
              <w:pStyle w:val="TableParagraph"/>
              <w:rPr>
                <w:b/>
                <w:sz w:val="18"/>
              </w:rPr>
            </w:pPr>
          </w:p>
          <w:p>
            <w:pPr>
              <w:pStyle w:val="TableParagraph"/>
              <w:spacing w:before="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2"/>
              <w:rPr>
                <w:b/>
                <w:sz w:val="18"/>
              </w:rPr>
            </w:pPr>
          </w:p>
          <w:p>
            <w:pPr>
              <w:pStyle w:val="TableParagraph"/>
              <w:ind w:left="21" w:right="12"/>
              <w:jc w:val="center"/>
              <w:rPr>
                <w:sz w:val="18"/>
              </w:rPr>
            </w:pPr>
            <w:r>
              <w:rPr>
                <w:spacing w:val="-4"/>
                <w:sz w:val="18"/>
              </w:rPr>
              <w:t>100%</w:t>
            </w:r>
          </w:p>
        </w:tc>
        <w:tc>
          <w:tcPr>
            <w:tcW w:w="1982" w:type="dxa"/>
          </w:tcPr>
          <w:p>
            <w:pPr>
              <w:pStyle w:val="TableParagraph"/>
              <w:spacing w:before="104"/>
              <w:ind w:left="68" w:right="114"/>
              <w:rPr>
                <w:sz w:val="18"/>
              </w:rPr>
            </w:pPr>
            <w:r>
              <w:rPr>
                <w:sz w:val="18"/>
              </w:rPr>
              <w:t>Porcentaje</w:t>
            </w:r>
            <w:r>
              <w:rPr>
                <w:spacing w:val="-15"/>
                <w:sz w:val="18"/>
              </w:rPr>
              <w:t> </w:t>
            </w:r>
            <w:r>
              <w:rPr>
                <w:sz w:val="18"/>
              </w:rPr>
              <w:t>de</w:t>
            </w:r>
            <w:r>
              <w:rPr>
                <w:spacing w:val="-12"/>
                <w:sz w:val="18"/>
              </w:rPr>
              <w:t> </w:t>
            </w:r>
            <w:r>
              <w:rPr>
                <w:sz w:val="18"/>
              </w:rPr>
              <w:t>avance en el diseño del indicador de </w:t>
            </w:r>
            <w:r>
              <w:rPr>
                <w:spacing w:val="-2"/>
                <w:sz w:val="18"/>
              </w:rPr>
              <w:t>trayectoria.</w:t>
            </w:r>
          </w:p>
        </w:tc>
        <w:tc>
          <w:tcPr>
            <w:tcW w:w="1560" w:type="dxa"/>
          </w:tcPr>
          <w:p>
            <w:pPr>
              <w:pStyle w:val="TableParagraph"/>
              <w:spacing w:line="242" w:lineRule="auto"/>
              <w:ind w:left="73" w:right="108"/>
              <w:rPr>
                <w:sz w:val="18"/>
              </w:rPr>
            </w:pPr>
            <w:r>
              <w:rPr>
                <w:sz w:val="18"/>
              </w:rPr>
              <w:t>Documento</w:t>
            </w:r>
            <w:r>
              <w:rPr>
                <w:spacing w:val="-13"/>
                <w:sz w:val="18"/>
              </w:rPr>
              <w:t> </w:t>
            </w:r>
            <w:r>
              <w:rPr>
                <w:sz w:val="18"/>
              </w:rPr>
              <w:t>que contiene el diseño de los</w:t>
            </w:r>
          </w:p>
          <w:p>
            <w:pPr>
              <w:pStyle w:val="TableParagraph"/>
              <w:spacing w:line="206" w:lineRule="exact"/>
              <w:ind w:left="73" w:right="58"/>
              <w:rPr>
                <w:sz w:val="18"/>
              </w:rPr>
            </w:pPr>
            <w:r>
              <w:rPr>
                <w:sz w:val="18"/>
              </w:rPr>
              <w:t>perfiles de entrada</w:t>
            </w:r>
            <w:r>
              <w:rPr>
                <w:spacing w:val="-15"/>
                <w:sz w:val="18"/>
              </w:rPr>
              <w:t> </w:t>
            </w:r>
            <w:r>
              <w:rPr>
                <w:sz w:val="18"/>
              </w:rPr>
              <w:t>y</w:t>
            </w:r>
            <w:r>
              <w:rPr>
                <w:spacing w:val="-12"/>
                <w:sz w:val="18"/>
              </w:rPr>
              <w:t> </w:t>
            </w:r>
            <w:r>
              <w:rPr>
                <w:sz w:val="18"/>
              </w:rPr>
              <w:t>salida.</w:t>
            </w:r>
          </w:p>
        </w:tc>
        <w:tc>
          <w:tcPr>
            <w:tcW w:w="1416" w:type="dxa"/>
          </w:tcPr>
          <w:p>
            <w:pPr>
              <w:pStyle w:val="TableParagraph"/>
              <w:rPr>
                <w:b/>
                <w:sz w:val="18"/>
              </w:rPr>
            </w:pPr>
          </w:p>
          <w:p>
            <w:pPr>
              <w:pStyle w:val="TableParagraph"/>
              <w:spacing w:before="2"/>
              <w:rPr>
                <w:b/>
                <w:sz w:val="18"/>
              </w:rPr>
            </w:pPr>
          </w:p>
          <w:p>
            <w:pPr>
              <w:pStyle w:val="TableParagraph"/>
              <w:ind w:left="17" w:right="12"/>
              <w:jc w:val="center"/>
              <w:rPr>
                <w:sz w:val="18"/>
              </w:rPr>
            </w:pPr>
            <w:r>
              <w:rPr>
                <w:spacing w:val="-5"/>
                <w:sz w:val="18"/>
              </w:rPr>
              <w:t>DDS</w:t>
            </w:r>
          </w:p>
        </w:tc>
        <w:tc>
          <w:tcPr>
            <w:tcW w:w="1647" w:type="dxa"/>
          </w:tcPr>
          <w:p>
            <w:pPr>
              <w:pStyle w:val="TableParagraph"/>
              <w:rPr>
                <w:rFonts w:ascii="Times New Roman"/>
                <w:sz w:val="18"/>
              </w:rPr>
            </w:pPr>
          </w:p>
        </w:tc>
        <w:tc>
          <w:tcPr>
            <w:tcW w:w="1550"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2"/>
              <w:rPr>
                <w:b/>
                <w:sz w:val="18"/>
              </w:rPr>
            </w:pPr>
          </w:p>
          <w:p>
            <w:pPr>
              <w:pStyle w:val="TableParagraph"/>
              <w:numPr>
                <w:ilvl w:val="0"/>
                <w:numId w:val="57"/>
              </w:numPr>
              <w:tabs>
                <w:tab w:pos="135" w:val="left" w:leader="none"/>
              </w:tabs>
              <w:spacing w:line="240" w:lineRule="auto" w:before="0" w:after="0"/>
              <w:ind w:left="74" w:right="94" w:firstLine="0"/>
              <w:jc w:val="left"/>
              <w:rPr>
                <w:sz w:val="18"/>
              </w:rPr>
            </w:pPr>
            <w:r>
              <w:rPr>
                <w:sz w:val="18"/>
              </w:rPr>
              <w:t>Imposibilidad</w:t>
            </w:r>
            <w:r>
              <w:rPr>
                <w:spacing w:val="-13"/>
                <w:sz w:val="18"/>
              </w:rPr>
              <w:t> </w:t>
            </w:r>
            <w:r>
              <w:rPr>
                <w:sz w:val="18"/>
              </w:rPr>
              <w:t>de realizar un proceso de seguimiento y trazabilidad de los hogares atendidos, de acuerdo con su </w:t>
            </w:r>
            <w:r>
              <w:rPr>
                <w:spacing w:val="-2"/>
                <w:sz w:val="18"/>
              </w:rPr>
              <w:t>perfil.</w:t>
            </w:r>
          </w:p>
        </w:tc>
      </w:tr>
      <w:tr>
        <w:trPr>
          <w:trHeight w:val="1033" w:hRule="atLeast"/>
        </w:trPr>
        <w:tc>
          <w:tcPr>
            <w:tcW w:w="2972" w:type="dxa"/>
          </w:tcPr>
          <w:p>
            <w:pPr>
              <w:pStyle w:val="TableParagraph"/>
              <w:ind w:left="72" w:right="105"/>
              <w:rPr>
                <w:b/>
                <w:sz w:val="18"/>
              </w:rPr>
            </w:pPr>
            <w:r>
              <w:rPr>
                <w:b/>
                <w:sz w:val="18"/>
              </w:rPr>
              <w:t>Actividad PPPS 1.26.2: </w:t>
            </w:r>
            <w:r>
              <w:rPr>
                <w:sz w:val="18"/>
              </w:rPr>
              <w:t>Elaboración de requerimientos a nivel de sistemas informáticos y traslado</w:t>
            </w:r>
            <w:r>
              <w:rPr>
                <w:spacing w:val="-5"/>
                <w:sz w:val="18"/>
              </w:rPr>
              <w:t> </w:t>
            </w:r>
            <w:r>
              <w:rPr>
                <w:sz w:val="18"/>
              </w:rPr>
              <w:t>al</w:t>
            </w:r>
            <w:r>
              <w:rPr>
                <w:spacing w:val="-10"/>
                <w:sz w:val="18"/>
              </w:rPr>
              <w:t> </w:t>
            </w:r>
            <w:r>
              <w:rPr>
                <w:sz w:val="18"/>
              </w:rPr>
              <w:t>DSIS</w:t>
            </w:r>
            <w:r>
              <w:rPr>
                <w:spacing w:val="-8"/>
                <w:sz w:val="18"/>
              </w:rPr>
              <w:t> </w:t>
            </w:r>
            <w:r>
              <w:rPr>
                <w:b/>
                <w:sz w:val="18"/>
              </w:rPr>
              <w:t>(vinculada</w:t>
            </w:r>
            <w:r>
              <w:rPr>
                <w:b/>
                <w:spacing w:val="-8"/>
                <w:sz w:val="18"/>
              </w:rPr>
              <w:t> </w:t>
            </w:r>
            <w:r>
              <w:rPr>
                <w:b/>
                <w:sz w:val="18"/>
              </w:rPr>
              <w:t>a</w:t>
            </w:r>
            <w:r>
              <w:rPr>
                <w:b/>
                <w:spacing w:val="-8"/>
                <w:sz w:val="18"/>
              </w:rPr>
              <w:t> </w:t>
            </w:r>
            <w:r>
              <w:rPr>
                <w:b/>
                <w:sz w:val="18"/>
              </w:rPr>
              <w:t>PEI</w:t>
            </w:r>
          </w:p>
          <w:p>
            <w:pPr>
              <w:pStyle w:val="TableParagraph"/>
              <w:spacing w:line="187" w:lineRule="exact"/>
              <w:ind w:left="72"/>
              <w:rPr>
                <w:b/>
                <w:sz w:val="18"/>
              </w:rPr>
            </w:pPr>
            <w:r>
              <w:rPr>
                <w:b/>
                <w:spacing w:val="-2"/>
                <w:sz w:val="18"/>
              </w:rPr>
              <w:t>2.8.2).</w:t>
            </w:r>
          </w:p>
        </w:tc>
        <w:tc>
          <w:tcPr>
            <w:tcW w:w="1560" w:type="dxa"/>
          </w:tcPr>
          <w:p>
            <w:pPr>
              <w:pStyle w:val="TableParagraph"/>
              <w:spacing w:before="202"/>
              <w:rPr>
                <w:b/>
                <w:sz w:val="18"/>
              </w:rPr>
            </w:pPr>
          </w:p>
          <w:p>
            <w:pPr>
              <w:pStyle w:val="TableParagraph"/>
              <w:ind w:left="21" w:right="10"/>
              <w:jc w:val="center"/>
              <w:rPr>
                <w:sz w:val="18"/>
              </w:rPr>
            </w:pPr>
            <w:r>
              <w:rPr>
                <w:spacing w:val="-10"/>
                <w:sz w:val="18"/>
              </w:rPr>
              <w:t>0</w:t>
            </w:r>
          </w:p>
        </w:tc>
        <w:tc>
          <w:tcPr>
            <w:tcW w:w="1560" w:type="dxa"/>
          </w:tcPr>
          <w:p>
            <w:pPr>
              <w:pStyle w:val="TableParagraph"/>
              <w:spacing w:before="202"/>
              <w:rPr>
                <w:b/>
                <w:sz w:val="18"/>
              </w:rPr>
            </w:pPr>
          </w:p>
          <w:p>
            <w:pPr>
              <w:pStyle w:val="TableParagraph"/>
              <w:ind w:left="21" w:right="12"/>
              <w:jc w:val="center"/>
              <w:rPr>
                <w:sz w:val="18"/>
              </w:rPr>
            </w:pPr>
            <w:r>
              <w:rPr>
                <w:spacing w:val="-4"/>
                <w:sz w:val="18"/>
              </w:rPr>
              <w:t>100%</w:t>
            </w:r>
          </w:p>
        </w:tc>
        <w:tc>
          <w:tcPr>
            <w:tcW w:w="1982" w:type="dxa"/>
          </w:tcPr>
          <w:p>
            <w:pPr>
              <w:pStyle w:val="TableParagraph"/>
              <w:spacing w:before="102"/>
              <w:ind w:left="68" w:right="114"/>
              <w:rPr>
                <w:sz w:val="18"/>
              </w:rPr>
            </w:pPr>
            <w:r>
              <w:rPr>
                <w:sz w:val="18"/>
              </w:rPr>
              <w:t>Porcentaje</w:t>
            </w:r>
            <w:r>
              <w:rPr>
                <w:spacing w:val="-15"/>
                <w:sz w:val="18"/>
              </w:rPr>
              <w:t> </w:t>
            </w:r>
            <w:r>
              <w:rPr>
                <w:sz w:val="18"/>
              </w:rPr>
              <w:t>de</w:t>
            </w:r>
            <w:r>
              <w:rPr>
                <w:spacing w:val="-12"/>
                <w:sz w:val="18"/>
              </w:rPr>
              <w:t> </w:t>
            </w:r>
            <w:r>
              <w:rPr>
                <w:sz w:val="18"/>
              </w:rPr>
              <w:t>avance en la elaboración y traslado de </w:t>
            </w:r>
            <w:r>
              <w:rPr>
                <w:spacing w:val="-2"/>
                <w:sz w:val="18"/>
              </w:rPr>
              <w:t>requerimientos.</w:t>
            </w:r>
          </w:p>
        </w:tc>
        <w:tc>
          <w:tcPr>
            <w:tcW w:w="1560" w:type="dxa"/>
          </w:tcPr>
          <w:p>
            <w:pPr>
              <w:pStyle w:val="TableParagraph"/>
              <w:ind w:left="73" w:right="58"/>
              <w:rPr>
                <w:sz w:val="18"/>
              </w:rPr>
            </w:pPr>
            <w:r>
              <w:rPr>
                <w:sz w:val="18"/>
              </w:rPr>
              <w:t>Reporte de </w:t>
            </w:r>
            <w:r>
              <w:rPr>
                <w:spacing w:val="-2"/>
                <w:sz w:val="18"/>
              </w:rPr>
              <w:t>requerimientos </w:t>
            </w:r>
            <w:r>
              <w:rPr>
                <w:sz w:val="18"/>
              </w:rPr>
              <w:t>elaborados y trasladados al</w:t>
            </w:r>
          </w:p>
          <w:p>
            <w:pPr>
              <w:pStyle w:val="TableParagraph"/>
              <w:spacing w:line="187" w:lineRule="exact"/>
              <w:ind w:left="73"/>
              <w:rPr>
                <w:sz w:val="18"/>
              </w:rPr>
            </w:pPr>
            <w:r>
              <w:rPr>
                <w:spacing w:val="-2"/>
                <w:sz w:val="18"/>
              </w:rPr>
              <w:t>DSIS.</w:t>
            </w:r>
          </w:p>
        </w:tc>
        <w:tc>
          <w:tcPr>
            <w:tcW w:w="1416" w:type="dxa"/>
          </w:tcPr>
          <w:p>
            <w:pPr>
              <w:pStyle w:val="TableParagraph"/>
              <w:spacing w:before="202"/>
              <w:rPr>
                <w:b/>
                <w:sz w:val="18"/>
              </w:rPr>
            </w:pPr>
          </w:p>
          <w:p>
            <w:pPr>
              <w:pStyle w:val="TableParagraph"/>
              <w:ind w:left="17" w:right="12"/>
              <w:jc w:val="center"/>
              <w:rPr>
                <w:sz w:val="18"/>
              </w:rPr>
            </w:pPr>
            <w:r>
              <w:rPr>
                <w:spacing w:val="-5"/>
                <w:sz w:val="18"/>
              </w:rPr>
              <w:t>DDS</w:t>
            </w:r>
          </w:p>
        </w:tc>
        <w:tc>
          <w:tcPr>
            <w:tcW w:w="1647" w:type="dxa"/>
          </w:tcPr>
          <w:p>
            <w:pPr>
              <w:pStyle w:val="TableParagraph"/>
              <w:rPr>
                <w:rFonts w:ascii="Times New Roman"/>
                <w:sz w:val="18"/>
              </w:rPr>
            </w:pPr>
          </w:p>
        </w:tc>
        <w:tc>
          <w:tcPr>
            <w:tcW w:w="1550" w:type="dxa"/>
            <w:vMerge/>
            <w:tcBorders>
              <w:top w:val="nil"/>
            </w:tcBorders>
          </w:tcPr>
          <w:p>
            <w:pPr>
              <w:rPr>
                <w:sz w:val="2"/>
                <w:szCs w:val="2"/>
              </w:rPr>
            </w:pPr>
          </w:p>
        </w:tc>
      </w:tr>
      <w:tr>
        <w:trPr>
          <w:trHeight w:val="1032" w:hRule="atLeast"/>
        </w:trPr>
        <w:tc>
          <w:tcPr>
            <w:tcW w:w="2972" w:type="dxa"/>
          </w:tcPr>
          <w:p>
            <w:pPr>
              <w:pStyle w:val="TableParagraph"/>
              <w:spacing w:line="206"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1.26.3:</w:t>
            </w:r>
          </w:p>
          <w:p>
            <w:pPr>
              <w:pStyle w:val="TableParagraph"/>
              <w:spacing w:line="206" w:lineRule="exact"/>
              <w:ind w:left="72" w:right="113"/>
              <w:rPr>
                <w:b/>
                <w:sz w:val="18"/>
              </w:rPr>
            </w:pPr>
            <w:r>
              <w:rPr>
                <w:sz w:val="18"/>
              </w:rPr>
              <w:t>Revisión y ajuste de requerimientos</w:t>
            </w:r>
            <w:r>
              <w:rPr>
                <w:spacing w:val="-11"/>
                <w:sz w:val="18"/>
              </w:rPr>
              <w:t> </w:t>
            </w:r>
            <w:r>
              <w:rPr>
                <w:sz w:val="18"/>
              </w:rPr>
              <w:t>a</w:t>
            </w:r>
            <w:r>
              <w:rPr>
                <w:spacing w:val="-7"/>
                <w:sz w:val="18"/>
              </w:rPr>
              <w:t> </w:t>
            </w:r>
            <w:r>
              <w:rPr>
                <w:sz w:val="18"/>
              </w:rPr>
              <w:t>nivel</w:t>
            </w:r>
            <w:r>
              <w:rPr>
                <w:spacing w:val="-8"/>
                <w:sz w:val="18"/>
              </w:rPr>
              <w:t> </w:t>
            </w:r>
            <w:r>
              <w:rPr>
                <w:sz w:val="18"/>
              </w:rPr>
              <w:t>de</w:t>
            </w:r>
            <w:r>
              <w:rPr>
                <w:spacing w:val="-11"/>
                <w:sz w:val="18"/>
              </w:rPr>
              <w:t> </w:t>
            </w:r>
            <w:r>
              <w:rPr>
                <w:sz w:val="18"/>
              </w:rPr>
              <w:t>sistemas informáticos por parte del DSIS </w:t>
            </w:r>
            <w:r>
              <w:rPr>
                <w:b/>
                <w:sz w:val="18"/>
              </w:rPr>
              <w:t>(vinculada a PEI 2.8.2).</w:t>
            </w:r>
          </w:p>
        </w:tc>
        <w:tc>
          <w:tcPr>
            <w:tcW w:w="1560" w:type="dxa"/>
          </w:tcPr>
          <w:p>
            <w:pPr>
              <w:pStyle w:val="TableParagraph"/>
              <w:spacing w:before="205"/>
              <w:rPr>
                <w:b/>
                <w:sz w:val="18"/>
              </w:rPr>
            </w:pPr>
          </w:p>
          <w:p>
            <w:pPr>
              <w:pStyle w:val="TableParagraph"/>
              <w:ind w:left="21" w:right="10"/>
              <w:jc w:val="center"/>
              <w:rPr>
                <w:sz w:val="18"/>
              </w:rPr>
            </w:pPr>
            <w:r>
              <w:rPr>
                <w:spacing w:val="-10"/>
                <w:sz w:val="18"/>
              </w:rPr>
              <w:t>0</w:t>
            </w:r>
          </w:p>
        </w:tc>
        <w:tc>
          <w:tcPr>
            <w:tcW w:w="1560" w:type="dxa"/>
          </w:tcPr>
          <w:p>
            <w:pPr>
              <w:pStyle w:val="TableParagraph"/>
              <w:spacing w:before="205"/>
              <w:rPr>
                <w:b/>
                <w:sz w:val="18"/>
              </w:rPr>
            </w:pPr>
          </w:p>
          <w:p>
            <w:pPr>
              <w:pStyle w:val="TableParagraph"/>
              <w:ind w:left="21" w:right="12"/>
              <w:jc w:val="center"/>
              <w:rPr>
                <w:sz w:val="18"/>
              </w:rPr>
            </w:pPr>
            <w:r>
              <w:rPr>
                <w:spacing w:val="-4"/>
                <w:sz w:val="18"/>
              </w:rPr>
              <w:t>100%</w:t>
            </w:r>
          </w:p>
        </w:tc>
        <w:tc>
          <w:tcPr>
            <w:tcW w:w="1982" w:type="dxa"/>
          </w:tcPr>
          <w:p>
            <w:pPr>
              <w:pStyle w:val="TableParagraph"/>
              <w:spacing w:before="206"/>
              <w:ind w:left="68" w:right="155"/>
              <w:jc w:val="both"/>
              <w:rPr>
                <w:sz w:val="18"/>
              </w:rPr>
            </w:pPr>
            <w:r>
              <w:rPr>
                <w:sz w:val="18"/>
              </w:rPr>
              <w:t>Porcentaje</w:t>
            </w:r>
            <w:r>
              <w:rPr>
                <w:spacing w:val="-15"/>
                <w:sz w:val="18"/>
              </w:rPr>
              <w:t> </w:t>
            </w:r>
            <w:r>
              <w:rPr>
                <w:sz w:val="18"/>
              </w:rPr>
              <w:t>de</w:t>
            </w:r>
            <w:r>
              <w:rPr>
                <w:spacing w:val="-12"/>
                <w:sz w:val="18"/>
              </w:rPr>
              <w:t> </w:t>
            </w:r>
            <w:r>
              <w:rPr>
                <w:sz w:val="18"/>
              </w:rPr>
              <w:t>avance en</w:t>
            </w:r>
            <w:r>
              <w:rPr>
                <w:spacing w:val="-3"/>
                <w:sz w:val="18"/>
              </w:rPr>
              <w:t> </w:t>
            </w:r>
            <w:r>
              <w:rPr>
                <w:sz w:val="18"/>
              </w:rPr>
              <w:t>la</w:t>
            </w:r>
            <w:r>
              <w:rPr>
                <w:spacing w:val="-7"/>
                <w:sz w:val="18"/>
              </w:rPr>
              <w:t> </w:t>
            </w:r>
            <w:r>
              <w:rPr>
                <w:sz w:val="18"/>
              </w:rPr>
              <w:t>revisión</w:t>
            </w:r>
            <w:r>
              <w:rPr>
                <w:spacing w:val="-7"/>
                <w:sz w:val="18"/>
              </w:rPr>
              <w:t> </w:t>
            </w:r>
            <w:r>
              <w:rPr>
                <w:sz w:val="18"/>
              </w:rPr>
              <w:t>y</w:t>
            </w:r>
            <w:r>
              <w:rPr>
                <w:spacing w:val="-7"/>
                <w:sz w:val="18"/>
              </w:rPr>
              <w:t> </w:t>
            </w:r>
            <w:r>
              <w:rPr>
                <w:sz w:val="18"/>
              </w:rPr>
              <w:t>ajuste de requerimientos.</w:t>
            </w:r>
          </w:p>
        </w:tc>
        <w:tc>
          <w:tcPr>
            <w:tcW w:w="1560" w:type="dxa"/>
          </w:tcPr>
          <w:p>
            <w:pPr>
              <w:pStyle w:val="TableParagraph"/>
              <w:spacing w:before="99"/>
              <w:rPr>
                <w:b/>
                <w:sz w:val="18"/>
              </w:rPr>
            </w:pPr>
          </w:p>
          <w:p>
            <w:pPr>
              <w:pStyle w:val="TableParagraph"/>
              <w:spacing w:line="244" w:lineRule="auto"/>
              <w:ind w:left="73" w:right="109"/>
              <w:rPr>
                <w:sz w:val="18"/>
              </w:rPr>
            </w:pPr>
            <w:r>
              <w:rPr>
                <w:spacing w:val="-2"/>
                <w:sz w:val="18"/>
              </w:rPr>
              <w:t>Reporte/informe </w:t>
            </w:r>
            <w:r>
              <w:rPr>
                <w:sz w:val="18"/>
              </w:rPr>
              <w:t>de</w:t>
            </w:r>
            <w:r>
              <w:rPr>
                <w:spacing w:val="-13"/>
                <w:sz w:val="18"/>
              </w:rPr>
              <w:t> </w:t>
            </w:r>
            <w:r>
              <w:rPr>
                <w:sz w:val="18"/>
              </w:rPr>
              <w:t>cumplimiento.</w:t>
            </w:r>
          </w:p>
        </w:tc>
        <w:tc>
          <w:tcPr>
            <w:tcW w:w="1416" w:type="dxa"/>
          </w:tcPr>
          <w:p>
            <w:pPr>
              <w:pStyle w:val="TableParagraph"/>
              <w:spacing w:before="205"/>
              <w:rPr>
                <w:b/>
                <w:sz w:val="18"/>
              </w:rPr>
            </w:pPr>
          </w:p>
          <w:p>
            <w:pPr>
              <w:pStyle w:val="TableParagraph"/>
              <w:ind w:left="17" w:right="12"/>
              <w:jc w:val="center"/>
              <w:rPr>
                <w:sz w:val="18"/>
              </w:rPr>
            </w:pPr>
            <w:r>
              <w:rPr>
                <w:spacing w:val="-5"/>
                <w:sz w:val="18"/>
              </w:rPr>
              <w:t>DDS</w:t>
            </w:r>
          </w:p>
        </w:tc>
        <w:tc>
          <w:tcPr>
            <w:tcW w:w="1647" w:type="dxa"/>
          </w:tcPr>
          <w:p>
            <w:pPr>
              <w:pStyle w:val="TableParagraph"/>
              <w:rPr>
                <w:rFonts w:ascii="Times New Roman"/>
                <w:sz w:val="18"/>
              </w:rPr>
            </w:pPr>
          </w:p>
        </w:tc>
        <w:tc>
          <w:tcPr>
            <w:tcW w:w="1550" w:type="dxa"/>
            <w:vMerge/>
            <w:tcBorders>
              <w:top w:val="nil"/>
            </w:tcBorders>
          </w:tcPr>
          <w:p>
            <w:pPr>
              <w:rPr>
                <w:sz w:val="2"/>
                <w:szCs w:val="2"/>
              </w:rPr>
            </w:pPr>
          </w:p>
        </w:tc>
      </w:tr>
      <w:tr>
        <w:trPr>
          <w:trHeight w:val="1036" w:hRule="atLeast"/>
        </w:trPr>
        <w:tc>
          <w:tcPr>
            <w:tcW w:w="2972" w:type="dxa"/>
          </w:tcPr>
          <w:p>
            <w:pPr>
              <w:pStyle w:val="TableParagraph"/>
              <w:spacing w:before="3"/>
              <w:rPr>
                <w:b/>
                <w:sz w:val="18"/>
              </w:rPr>
            </w:pPr>
          </w:p>
          <w:p>
            <w:pPr>
              <w:pStyle w:val="TableParagraph"/>
              <w:ind w:left="72" w:right="141"/>
              <w:rPr>
                <w:b/>
                <w:sz w:val="18"/>
              </w:rPr>
            </w:pPr>
            <w:r>
              <w:rPr>
                <w:b/>
                <w:sz w:val="18"/>
              </w:rPr>
              <w:t>Actividad PPPS 1.26.4: </w:t>
            </w:r>
            <w:r>
              <w:rPr>
                <w:sz w:val="18"/>
              </w:rPr>
              <w:t>Desarrollo</w:t>
            </w:r>
            <w:r>
              <w:rPr>
                <w:spacing w:val="-9"/>
                <w:sz w:val="18"/>
              </w:rPr>
              <w:t> </w:t>
            </w:r>
            <w:r>
              <w:rPr>
                <w:sz w:val="18"/>
              </w:rPr>
              <w:t>del</w:t>
            </w:r>
            <w:r>
              <w:rPr>
                <w:spacing w:val="-13"/>
                <w:sz w:val="18"/>
              </w:rPr>
              <w:t> </w:t>
            </w:r>
            <w:r>
              <w:rPr>
                <w:sz w:val="18"/>
              </w:rPr>
              <w:t>sistema</w:t>
            </w:r>
            <w:r>
              <w:rPr>
                <w:spacing w:val="-11"/>
                <w:sz w:val="18"/>
              </w:rPr>
              <w:t> </w:t>
            </w:r>
            <w:r>
              <w:rPr>
                <w:sz w:val="18"/>
              </w:rPr>
              <w:t>informático </w:t>
            </w:r>
            <w:r>
              <w:rPr>
                <w:b/>
                <w:sz w:val="18"/>
              </w:rPr>
              <w:t>(vinculada a PEI 2.8.2).</w:t>
            </w:r>
          </w:p>
        </w:tc>
        <w:tc>
          <w:tcPr>
            <w:tcW w:w="1560" w:type="dxa"/>
          </w:tcPr>
          <w:p>
            <w:pPr>
              <w:pStyle w:val="TableParagraph"/>
              <w:rPr>
                <w:b/>
                <w:sz w:val="18"/>
              </w:rPr>
            </w:pPr>
          </w:p>
          <w:p>
            <w:pPr>
              <w:pStyle w:val="TableParagraph"/>
              <w:spacing w:before="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3"/>
              <w:rPr>
                <w:b/>
                <w:sz w:val="18"/>
              </w:rPr>
            </w:pPr>
          </w:p>
          <w:p>
            <w:pPr>
              <w:pStyle w:val="TableParagraph"/>
              <w:ind w:left="21" w:right="12"/>
              <w:jc w:val="center"/>
              <w:rPr>
                <w:sz w:val="18"/>
              </w:rPr>
            </w:pPr>
            <w:r>
              <w:rPr>
                <w:spacing w:val="-4"/>
                <w:sz w:val="18"/>
              </w:rPr>
              <w:t>100%</w:t>
            </w:r>
          </w:p>
        </w:tc>
        <w:tc>
          <w:tcPr>
            <w:tcW w:w="1982" w:type="dxa"/>
          </w:tcPr>
          <w:p>
            <w:pPr>
              <w:pStyle w:val="TableParagraph"/>
              <w:spacing w:line="242" w:lineRule="auto"/>
              <w:ind w:left="68" w:right="114"/>
              <w:rPr>
                <w:sz w:val="18"/>
              </w:rPr>
            </w:pPr>
            <w:r>
              <w:rPr>
                <w:sz w:val="18"/>
              </w:rPr>
              <w:t>Porcentaje</w:t>
            </w:r>
            <w:r>
              <w:rPr>
                <w:spacing w:val="-15"/>
                <w:sz w:val="18"/>
              </w:rPr>
              <w:t> </w:t>
            </w:r>
            <w:r>
              <w:rPr>
                <w:sz w:val="18"/>
              </w:rPr>
              <w:t>de</w:t>
            </w:r>
            <w:r>
              <w:rPr>
                <w:spacing w:val="-12"/>
                <w:sz w:val="18"/>
              </w:rPr>
              <w:t> </w:t>
            </w:r>
            <w:r>
              <w:rPr>
                <w:sz w:val="18"/>
              </w:rPr>
              <w:t>avance en el desarrollo del sistema informático</w:t>
            </w:r>
          </w:p>
          <w:p>
            <w:pPr>
              <w:pStyle w:val="TableParagraph"/>
              <w:spacing w:line="206" w:lineRule="exact"/>
              <w:ind w:left="68" w:right="114"/>
              <w:rPr>
                <w:sz w:val="18"/>
              </w:rPr>
            </w:pPr>
            <w:r>
              <w:rPr>
                <w:sz w:val="18"/>
              </w:rPr>
              <w:t>vinculado</w:t>
            </w:r>
            <w:r>
              <w:rPr>
                <w:spacing w:val="-15"/>
                <w:sz w:val="18"/>
              </w:rPr>
              <w:t> </w:t>
            </w:r>
            <w:r>
              <w:rPr>
                <w:sz w:val="18"/>
              </w:rPr>
              <w:t>al</w:t>
            </w:r>
            <w:r>
              <w:rPr>
                <w:spacing w:val="-12"/>
                <w:sz w:val="18"/>
              </w:rPr>
              <w:t> </w:t>
            </w:r>
            <w:r>
              <w:rPr>
                <w:sz w:val="18"/>
              </w:rPr>
              <w:t>indicador de trayectoria.</w:t>
            </w:r>
          </w:p>
        </w:tc>
        <w:tc>
          <w:tcPr>
            <w:tcW w:w="1560" w:type="dxa"/>
          </w:tcPr>
          <w:p>
            <w:pPr>
              <w:pStyle w:val="TableParagraph"/>
              <w:spacing w:before="104"/>
              <w:rPr>
                <w:b/>
                <w:sz w:val="18"/>
              </w:rPr>
            </w:pPr>
          </w:p>
          <w:p>
            <w:pPr>
              <w:pStyle w:val="TableParagraph"/>
              <w:ind w:left="73" w:right="109"/>
              <w:rPr>
                <w:sz w:val="18"/>
              </w:rPr>
            </w:pPr>
            <w:r>
              <w:rPr>
                <w:spacing w:val="-2"/>
                <w:sz w:val="18"/>
              </w:rPr>
              <w:t>Reporte/informe </w:t>
            </w:r>
            <w:r>
              <w:rPr>
                <w:sz w:val="18"/>
              </w:rPr>
              <w:t>de</w:t>
            </w:r>
            <w:r>
              <w:rPr>
                <w:spacing w:val="-13"/>
                <w:sz w:val="18"/>
              </w:rPr>
              <w:t> </w:t>
            </w:r>
            <w:r>
              <w:rPr>
                <w:sz w:val="18"/>
              </w:rPr>
              <w:t>cumplimiento.</w:t>
            </w:r>
          </w:p>
        </w:tc>
        <w:tc>
          <w:tcPr>
            <w:tcW w:w="1416" w:type="dxa"/>
          </w:tcPr>
          <w:p>
            <w:pPr>
              <w:pStyle w:val="TableParagraph"/>
              <w:rPr>
                <w:b/>
                <w:sz w:val="18"/>
              </w:rPr>
            </w:pPr>
          </w:p>
          <w:p>
            <w:pPr>
              <w:pStyle w:val="TableParagraph"/>
              <w:spacing w:before="3"/>
              <w:rPr>
                <w:b/>
                <w:sz w:val="18"/>
              </w:rPr>
            </w:pPr>
          </w:p>
          <w:p>
            <w:pPr>
              <w:pStyle w:val="TableParagraph"/>
              <w:ind w:left="17" w:right="12"/>
              <w:jc w:val="center"/>
              <w:rPr>
                <w:sz w:val="18"/>
              </w:rPr>
            </w:pPr>
            <w:r>
              <w:rPr>
                <w:spacing w:val="-5"/>
                <w:sz w:val="18"/>
              </w:rPr>
              <w:t>DDS</w:t>
            </w:r>
          </w:p>
        </w:tc>
        <w:tc>
          <w:tcPr>
            <w:tcW w:w="1647" w:type="dxa"/>
          </w:tcPr>
          <w:p>
            <w:pPr>
              <w:pStyle w:val="TableParagraph"/>
              <w:rPr>
                <w:rFonts w:ascii="Times New Roman"/>
                <w:sz w:val="18"/>
              </w:rPr>
            </w:pPr>
          </w:p>
        </w:tc>
        <w:tc>
          <w:tcPr>
            <w:tcW w:w="1550" w:type="dxa"/>
            <w:vMerge/>
            <w:tcBorders>
              <w:top w:val="nil"/>
            </w:tcBorders>
          </w:tcPr>
          <w:p>
            <w:pPr>
              <w:rPr>
                <w:sz w:val="2"/>
                <w:szCs w:val="2"/>
              </w:rPr>
            </w:pPr>
          </w:p>
        </w:tc>
      </w:tr>
      <w:tr>
        <w:trPr>
          <w:trHeight w:val="1860" w:hRule="atLeast"/>
        </w:trPr>
        <w:tc>
          <w:tcPr>
            <w:tcW w:w="2972" w:type="dxa"/>
          </w:tcPr>
          <w:p>
            <w:pPr>
              <w:pStyle w:val="TableParagraph"/>
              <w:spacing w:before="101"/>
              <w:rPr>
                <w:b/>
                <w:sz w:val="18"/>
              </w:rPr>
            </w:pPr>
          </w:p>
          <w:p>
            <w:pPr>
              <w:pStyle w:val="TableParagraph"/>
              <w:ind w:left="72"/>
              <w:rPr>
                <w:b/>
                <w:sz w:val="18"/>
              </w:rPr>
            </w:pPr>
            <w:r>
              <w:rPr>
                <w:b/>
                <w:sz w:val="18"/>
              </w:rPr>
              <w:t>Actividad PPPS 1.26.5: </w:t>
            </w:r>
            <w:r>
              <w:rPr>
                <w:sz w:val="18"/>
              </w:rPr>
              <w:t>Seguimiento y trazabilidad de hogares</w:t>
            </w:r>
            <w:r>
              <w:rPr>
                <w:spacing w:val="-11"/>
                <w:sz w:val="18"/>
              </w:rPr>
              <w:t> </w:t>
            </w:r>
            <w:r>
              <w:rPr>
                <w:sz w:val="18"/>
              </w:rPr>
              <w:t>seleccionados</w:t>
            </w:r>
            <w:r>
              <w:rPr>
                <w:spacing w:val="-13"/>
                <w:sz w:val="18"/>
              </w:rPr>
              <w:t> </w:t>
            </w:r>
            <w:r>
              <w:rPr>
                <w:sz w:val="18"/>
              </w:rPr>
              <w:t>mediante</w:t>
            </w:r>
            <w:r>
              <w:rPr>
                <w:spacing w:val="-9"/>
                <w:sz w:val="18"/>
              </w:rPr>
              <w:t> </w:t>
            </w:r>
            <w:r>
              <w:rPr>
                <w:sz w:val="18"/>
              </w:rPr>
              <w:t>la aplicación del indicador de trayectoria</w:t>
            </w:r>
            <w:r>
              <w:rPr>
                <w:spacing w:val="-8"/>
                <w:sz w:val="18"/>
              </w:rPr>
              <w:t> </w:t>
            </w:r>
            <w:r>
              <w:rPr>
                <w:b/>
                <w:sz w:val="18"/>
              </w:rPr>
              <w:t>(vinculada</w:t>
            </w:r>
            <w:r>
              <w:rPr>
                <w:b/>
                <w:spacing w:val="-8"/>
                <w:sz w:val="18"/>
              </w:rPr>
              <w:t> </w:t>
            </w:r>
            <w:r>
              <w:rPr>
                <w:b/>
                <w:sz w:val="18"/>
              </w:rPr>
              <w:t>a</w:t>
            </w:r>
            <w:r>
              <w:rPr>
                <w:b/>
                <w:spacing w:val="-4"/>
                <w:sz w:val="18"/>
              </w:rPr>
              <w:t> </w:t>
            </w:r>
            <w:r>
              <w:rPr>
                <w:b/>
                <w:sz w:val="18"/>
              </w:rPr>
              <w:t>PEI</w:t>
            </w:r>
            <w:r>
              <w:rPr>
                <w:b/>
                <w:spacing w:val="-6"/>
                <w:sz w:val="18"/>
              </w:rPr>
              <w:t> </w:t>
            </w:r>
            <w:r>
              <w:rPr>
                <w:b/>
                <w:sz w:val="18"/>
              </w:rPr>
              <w:t>2.8.2</w:t>
            </w:r>
            <w:r>
              <w:rPr>
                <w:b/>
                <w:spacing w:val="-8"/>
                <w:sz w:val="18"/>
              </w:rPr>
              <w:t> </w:t>
            </w:r>
            <w:r>
              <w:rPr>
                <w:b/>
                <w:sz w:val="18"/>
              </w:rPr>
              <w:t>/ Estrategia GpRD 2.2.2).</w:t>
            </w:r>
          </w:p>
        </w:tc>
        <w:tc>
          <w:tcPr>
            <w:tcW w:w="1560"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21" w:right="16"/>
              <w:jc w:val="center"/>
              <w:rPr>
                <w:sz w:val="18"/>
              </w:rPr>
            </w:pPr>
            <w:r>
              <w:rPr>
                <w:spacing w:val="-5"/>
                <w:sz w:val="18"/>
              </w:rPr>
              <w:t>50%</w:t>
            </w:r>
          </w:p>
        </w:tc>
        <w:tc>
          <w:tcPr>
            <w:tcW w:w="1982" w:type="dxa"/>
          </w:tcPr>
          <w:p>
            <w:pPr>
              <w:pStyle w:val="TableParagraph"/>
              <w:ind w:left="68" w:right="72"/>
              <w:rPr>
                <w:sz w:val="18"/>
              </w:rPr>
            </w:pPr>
            <w:r>
              <w:rPr>
                <w:sz w:val="18"/>
              </w:rPr>
              <w:t>Porcentaje</w:t>
            </w:r>
            <w:r>
              <w:rPr>
                <w:spacing w:val="-15"/>
                <w:sz w:val="18"/>
              </w:rPr>
              <w:t> </w:t>
            </w:r>
            <w:r>
              <w:rPr>
                <w:sz w:val="18"/>
              </w:rPr>
              <w:t>de</w:t>
            </w:r>
            <w:r>
              <w:rPr>
                <w:spacing w:val="-12"/>
                <w:sz w:val="18"/>
              </w:rPr>
              <w:t> </w:t>
            </w:r>
            <w:r>
              <w:rPr>
                <w:sz w:val="18"/>
              </w:rPr>
              <w:t>hogares receptores</w:t>
            </w:r>
            <w:r>
              <w:rPr>
                <w:spacing w:val="-10"/>
                <w:sz w:val="18"/>
              </w:rPr>
              <w:t> </w:t>
            </w:r>
            <w:r>
              <w:rPr>
                <w:sz w:val="18"/>
              </w:rPr>
              <w:t>de</w:t>
            </w:r>
            <w:r>
              <w:rPr>
                <w:spacing w:val="-7"/>
                <w:sz w:val="18"/>
              </w:rPr>
              <w:t> </w:t>
            </w:r>
            <w:r>
              <w:rPr>
                <w:sz w:val="18"/>
              </w:rPr>
              <w:t>la</w:t>
            </w:r>
            <w:r>
              <w:rPr>
                <w:spacing w:val="-10"/>
                <w:sz w:val="18"/>
              </w:rPr>
              <w:t> </w:t>
            </w:r>
            <w:r>
              <w:rPr>
                <w:sz w:val="18"/>
              </w:rPr>
              <w:t>oferta </w:t>
            </w:r>
            <w:r>
              <w:rPr>
                <w:spacing w:val="-2"/>
                <w:sz w:val="18"/>
              </w:rPr>
              <w:t>programática institucional </w:t>
            </w:r>
            <w:r>
              <w:rPr>
                <w:sz w:val="18"/>
              </w:rPr>
              <w:t>seleccionada, con seguimiento y trazabilidad mediante el indicador de</w:t>
            </w:r>
          </w:p>
          <w:p>
            <w:pPr>
              <w:pStyle w:val="TableParagraph"/>
              <w:spacing w:line="187" w:lineRule="exact"/>
              <w:ind w:left="68"/>
              <w:rPr>
                <w:sz w:val="18"/>
              </w:rPr>
            </w:pPr>
            <w:r>
              <w:rPr>
                <w:spacing w:val="-2"/>
                <w:sz w:val="18"/>
              </w:rPr>
              <w:t>trayectoria</w:t>
            </w:r>
          </w:p>
        </w:tc>
        <w:tc>
          <w:tcPr>
            <w:tcW w:w="1560" w:type="dxa"/>
          </w:tcPr>
          <w:p>
            <w:pPr>
              <w:pStyle w:val="TableParagraph"/>
              <w:spacing w:before="202"/>
              <w:rPr>
                <w:b/>
                <w:sz w:val="18"/>
              </w:rPr>
            </w:pPr>
          </w:p>
          <w:p>
            <w:pPr>
              <w:pStyle w:val="TableParagraph"/>
              <w:spacing w:before="1"/>
              <w:ind w:left="73" w:right="58"/>
              <w:rPr>
                <w:sz w:val="18"/>
              </w:rPr>
            </w:pPr>
            <w:r>
              <w:rPr>
                <w:sz w:val="18"/>
              </w:rPr>
              <w:t>Informe de resultados</w:t>
            </w:r>
            <w:r>
              <w:rPr>
                <w:spacing w:val="-15"/>
                <w:sz w:val="18"/>
              </w:rPr>
              <w:t> </w:t>
            </w:r>
            <w:r>
              <w:rPr>
                <w:sz w:val="18"/>
              </w:rPr>
              <w:t>de</w:t>
            </w:r>
            <w:r>
              <w:rPr>
                <w:spacing w:val="-12"/>
                <w:sz w:val="18"/>
              </w:rPr>
              <w:t> </w:t>
            </w:r>
            <w:r>
              <w:rPr>
                <w:sz w:val="18"/>
              </w:rPr>
              <w:t>la aplicación del indicador de </w:t>
            </w:r>
            <w:r>
              <w:rPr>
                <w:spacing w:val="-2"/>
                <w:sz w:val="18"/>
              </w:rPr>
              <w:t>trayectoria.</w:t>
            </w:r>
          </w:p>
        </w:tc>
        <w:tc>
          <w:tcPr>
            <w:tcW w:w="141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7" w:right="12"/>
              <w:jc w:val="center"/>
              <w:rPr>
                <w:sz w:val="18"/>
              </w:rPr>
            </w:pPr>
            <w:r>
              <w:rPr>
                <w:spacing w:val="-5"/>
                <w:sz w:val="18"/>
              </w:rPr>
              <w:t>DDS</w:t>
            </w:r>
          </w:p>
        </w:tc>
        <w:tc>
          <w:tcPr>
            <w:tcW w:w="1647" w:type="dxa"/>
          </w:tcPr>
          <w:p>
            <w:pPr>
              <w:pStyle w:val="TableParagraph"/>
              <w:rPr>
                <w:rFonts w:ascii="Times New Roman"/>
                <w:sz w:val="18"/>
              </w:rPr>
            </w:pPr>
          </w:p>
        </w:tc>
        <w:tc>
          <w:tcPr>
            <w:tcW w:w="1550" w:type="dxa"/>
            <w:vMerge/>
            <w:tcBorders>
              <w:top w:val="nil"/>
            </w:tcBorders>
          </w:tcPr>
          <w:p>
            <w:pPr>
              <w:rPr>
                <w:sz w:val="2"/>
                <w:szCs w:val="2"/>
              </w:rPr>
            </w:pPr>
          </w:p>
        </w:tc>
      </w:tr>
      <w:tr>
        <w:trPr>
          <w:trHeight w:val="450" w:hRule="atLeast"/>
        </w:trPr>
        <w:tc>
          <w:tcPr>
            <w:tcW w:w="14247" w:type="dxa"/>
            <w:gridSpan w:val="8"/>
            <w:shd w:val="clear" w:color="auto" w:fill="EFF8F9"/>
          </w:tcPr>
          <w:p>
            <w:pPr>
              <w:pStyle w:val="TableParagraph"/>
              <w:spacing w:line="206" w:lineRule="exact" w:before="18"/>
              <w:ind w:left="72" w:right="98"/>
              <w:rPr>
                <w:b/>
                <w:sz w:val="18"/>
              </w:rPr>
            </w:pPr>
            <w:r>
              <w:rPr>
                <w:b/>
                <w:sz w:val="18"/>
              </w:rPr>
              <w:t>Producto</w:t>
            </w:r>
            <w:r>
              <w:rPr>
                <w:b/>
                <w:spacing w:val="-3"/>
                <w:sz w:val="18"/>
              </w:rPr>
              <w:t> </w:t>
            </w:r>
            <w:r>
              <w:rPr>
                <w:b/>
                <w:sz w:val="18"/>
              </w:rPr>
              <w:t>PPPS</w:t>
            </w:r>
            <w:r>
              <w:rPr>
                <w:b/>
                <w:spacing w:val="-3"/>
                <w:sz w:val="18"/>
              </w:rPr>
              <w:t> </w:t>
            </w:r>
            <w:r>
              <w:rPr>
                <w:b/>
                <w:sz w:val="18"/>
              </w:rPr>
              <w:t>1.27: Estrategia</w:t>
            </w:r>
            <w:r>
              <w:rPr>
                <w:b/>
                <w:spacing w:val="-2"/>
                <w:sz w:val="18"/>
              </w:rPr>
              <w:t> </w:t>
            </w:r>
            <w:r>
              <w:rPr>
                <w:b/>
                <w:sz w:val="18"/>
              </w:rPr>
              <w:t>de</w:t>
            </w:r>
            <w:r>
              <w:rPr>
                <w:b/>
                <w:spacing w:val="-2"/>
                <w:sz w:val="18"/>
              </w:rPr>
              <w:t> </w:t>
            </w:r>
            <w:r>
              <w:rPr>
                <w:b/>
                <w:sz w:val="18"/>
              </w:rPr>
              <w:t>intervención</w:t>
            </w:r>
            <w:r>
              <w:rPr>
                <w:b/>
                <w:spacing w:val="-3"/>
                <w:sz w:val="18"/>
              </w:rPr>
              <w:t> </w:t>
            </w:r>
            <w:r>
              <w:rPr>
                <w:b/>
                <w:sz w:val="18"/>
              </w:rPr>
              <w:t>diseñada</w:t>
            </w:r>
            <w:r>
              <w:rPr>
                <w:b/>
                <w:spacing w:val="-2"/>
                <w:sz w:val="18"/>
              </w:rPr>
              <w:t> </w:t>
            </w:r>
            <w:r>
              <w:rPr>
                <w:b/>
                <w:sz w:val="18"/>
              </w:rPr>
              <w:t>e</w:t>
            </w:r>
            <w:r>
              <w:rPr>
                <w:b/>
                <w:spacing w:val="-2"/>
                <w:sz w:val="18"/>
              </w:rPr>
              <w:t> </w:t>
            </w:r>
            <w:r>
              <w:rPr>
                <w:b/>
                <w:sz w:val="18"/>
              </w:rPr>
              <w:t>implementada</w:t>
            </w:r>
            <w:r>
              <w:rPr>
                <w:b/>
                <w:spacing w:val="-2"/>
                <w:sz w:val="18"/>
              </w:rPr>
              <w:t> </w:t>
            </w:r>
            <w:r>
              <w:rPr>
                <w:b/>
                <w:sz w:val="18"/>
              </w:rPr>
              <w:t>que</w:t>
            </w:r>
            <w:r>
              <w:rPr>
                <w:b/>
                <w:spacing w:val="-2"/>
                <w:sz w:val="18"/>
              </w:rPr>
              <w:t> </w:t>
            </w:r>
            <w:r>
              <w:rPr>
                <w:b/>
                <w:sz w:val="18"/>
              </w:rPr>
              <w:t>permita</w:t>
            </w:r>
            <w:r>
              <w:rPr>
                <w:b/>
                <w:spacing w:val="-2"/>
                <w:sz w:val="18"/>
              </w:rPr>
              <w:t> </w:t>
            </w:r>
            <w:r>
              <w:rPr>
                <w:b/>
                <w:sz w:val="18"/>
              </w:rPr>
              <w:t>orientar</w:t>
            </w:r>
            <w:r>
              <w:rPr>
                <w:b/>
                <w:spacing w:val="-1"/>
                <w:sz w:val="18"/>
              </w:rPr>
              <w:t> </w:t>
            </w:r>
            <w:r>
              <w:rPr>
                <w:b/>
                <w:sz w:val="18"/>
              </w:rPr>
              <w:t>el accionar</w:t>
            </w:r>
            <w:r>
              <w:rPr>
                <w:b/>
                <w:spacing w:val="-1"/>
                <w:sz w:val="18"/>
              </w:rPr>
              <w:t> </w:t>
            </w:r>
            <w:r>
              <w:rPr>
                <w:b/>
                <w:sz w:val="18"/>
              </w:rPr>
              <w:t>del</w:t>
            </w:r>
            <w:r>
              <w:rPr>
                <w:b/>
                <w:spacing w:val="-4"/>
                <w:sz w:val="18"/>
              </w:rPr>
              <w:t> </w:t>
            </w:r>
            <w:r>
              <w:rPr>
                <w:b/>
                <w:sz w:val="18"/>
              </w:rPr>
              <w:t>IMAS hacia</w:t>
            </w:r>
            <w:r>
              <w:rPr>
                <w:b/>
                <w:spacing w:val="-2"/>
                <w:sz w:val="18"/>
              </w:rPr>
              <w:t> </w:t>
            </w:r>
            <w:r>
              <w:rPr>
                <w:b/>
                <w:sz w:val="18"/>
              </w:rPr>
              <w:t>los</w:t>
            </w:r>
            <w:r>
              <w:rPr>
                <w:b/>
                <w:spacing w:val="-2"/>
                <w:sz w:val="18"/>
              </w:rPr>
              <w:t> </w:t>
            </w:r>
            <w:r>
              <w:rPr>
                <w:b/>
                <w:sz w:val="18"/>
              </w:rPr>
              <w:t>hogares</w:t>
            </w:r>
            <w:r>
              <w:rPr>
                <w:b/>
                <w:spacing w:val="-2"/>
                <w:sz w:val="18"/>
              </w:rPr>
              <w:t> </w:t>
            </w:r>
            <w:r>
              <w:rPr>
                <w:b/>
                <w:sz w:val="18"/>
              </w:rPr>
              <w:t>priorizados</w:t>
            </w:r>
            <w:r>
              <w:rPr>
                <w:b/>
                <w:spacing w:val="-7"/>
                <w:sz w:val="18"/>
              </w:rPr>
              <w:t> </w:t>
            </w:r>
            <w:r>
              <w:rPr>
                <w:b/>
                <w:sz w:val="18"/>
              </w:rPr>
              <w:t>mediante</w:t>
            </w:r>
            <w:r>
              <w:rPr>
                <w:b/>
                <w:spacing w:val="-2"/>
                <w:sz w:val="18"/>
              </w:rPr>
              <w:t> </w:t>
            </w:r>
            <w:r>
              <w:rPr>
                <w:b/>
                <w:sz w:val="18"/>
              </w:rPr>
              <w:t>la aplicación del indicador de trayectoria. E2 A8 R3 (2027)</w:t>
            </w:r>
          </w:p>
        </w:tc>
      </w:tr>
      <w:tr>
        <w:trPr>
          <w:trHeight w:val="1243" w:hRule="atLeast"/>
        </w:trPr>
        <w:tc>
          <w:tcPr>
            <w:tcW w:w="2972" w:type="dxa"/>
          </w:tcPr>
          <w:p>
            <w:pPr>
              <w:pStyle w:val="TableParagraph"/>
              <w:ind w:left="72" w:right="105"/>
              <w:rPr>
                <w:b/>
                <w:sz w:val="18"/>
              </w:rPr>
            </w:pPr>
            <w:r>
              <w:rPr>
                <w:b/>
                <w:sz w:val="18"/>
              </w:rPr>
              <w:t>Actividad PPPS 1.27.1: </w:t>
            </w:r>
            <w:r>
              <w:rPr>
                <w:sz w:val="18"/>
              </w:rPr>
              <w:t>Establecimiento</w:t>
            </w:r>
            <w:r>
              <w:rPr>
                <w:spacing w:val="-11"/>
                <w:sz w:val="18"/>
              </w:rPr>
              <w:t> </w:t>
            </w:r>
            <w:r>
              <w:rPr>
                <w:sz w:val="18"/>
              </w:rPr>
              <w:t>de</w:t>
            </w:r>
            <w:r>
              <w:rPr>
                <w:spacing w:val="-11"/>
                <w:sz w:val="18"/>
              </w:rPr>
              <w:t> </w:t>
            </w:r>
            <w:r>
              <w:rPr>
                <w:sz w:val="18"/>
              </w:rPr>
              <w:t>una</w:t>
            </w:r>
            <w:r>
              <w:rPr>
                <w:spacing w:val="-11"/>
                <w:sz w:val="18"/>
              </w:rPr>
              <w:t> </w:t>
            </w:r>
            <w:r>
              <w:rPr>
                <w:sz w:val="18"/>
              </w:rPr>
              <w:t>estrategia de intervención para los hogares priorizados con el indicador de trayectoria </w:t>
            </w:r>
            <w:r>
              <w:rPr>
                <w:b/>
                <w:sz w:val="18"/>
              </w:rPr>
              <w:t>(vinculada a PEI</w:t>
            </w:r>
          </w:p>
          <w:p>
            <w:pPr>
              <w:pStyle w:val="TableParagraph"/>
              <w:spacing w:line="187" w:lineRule="exact" w:before="1"/>
              <w:ind w:left="72"/>
              <w:rPr>
                <w:b/>
                <w:sz w:val="18"/>
              </w:rPr>
            </w:pPr>
            <w:r>
              <w:rPr>
                <w:b/>
                <w:spacing w:val="-2"/>
                <w:sz w:val="18"/>
              </w:rPr>
              <w:t>2.8.3).</w:t>
            </w:r>
          </w:p>
        </w:tc>
        <w:tc>
          <w:tcPr>
            <w:tcW w:w="1560" w:type="dxa"/>
          </w:tcPr>
          <w:p>
            <w:pPr>
              <w:pStyle w:val="TableParagraph"/>
              <w:rPr>
                <w:b/>
                <w:sz w:val="18"/>
              </w:rPr>
            </w:pPr>
          </w:p>
          <w:p>
            <w:pPr>
              <w:pStyle w:val="TableParagraph"/>
              <w:spacing w:before="1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103"/>
              <w:rPr>
                <w:b/>
                <w:sz w:val="18"/>
              </w:rPr>
            </w:pPr>
          </w:p>
          <w:p>
            <w:pPr>
              <w:pStyle w:val="TableParagraph"/>
              <w:ind w:left="21" w:right="12"/>
              <w:jc w:val="center"/>
              <w:rPr>
                <w:sz w:val="18"/>
              </w:rPr>
            </w:pPr>
            <w:r>
              <w:rPr>
                <w:spacing w:val="-4"/>
                <w:sz w:val="18"/>
              </w:rPr>
              <w:t>100%</w:t>
            </w:r>
          </w:p>
        </w:tc>
        <w:tc>
          <w:tcPr>
            <w:tcW w:w="1982" w:type="dxa"/>
          </w:tcPr>
          <w:p>
            <w:pPr>
              <w:pStyle w:val="TableParagraph"/>
              <w:spacing w:before="104"/>
              <w:ind w:left="68" w:right="114"/>
              <w:rPr>
                <w:sz w:val="18"/>
              </w:rPr>
            </w:pPr>
            <w:r>
              <w:rPr>
                <w:sz w:val="18"/>
              </w:rPr>
              <w:t>Porcentaje</w:t>
            </w:r>
            <w:r>
              <w:rPr>
                <w:spacing w:val="-15"/>
                <w:sz w:val="18"/>
              </w:rPr>
              <w:t> </w:t>
            </w:r>
            <w:r>
              <w:rPr>
                <w:sz w:val="18"/>
              </w:rPr>
              <w:t>de</w:t>
            </w:r>
            <w:r>
              <w:rPr>
                <w:spacing w:val="-12"/>
                <w:sz w:val="18"/>
              </w:rPr>
              <w:t> </w:t>
            </w:r>
            <w:r>
              <w:rPr>
                <w:sz w:val="18"/>
              </w:rPr>
              <w:t>avance en el establecimiento de la estrategia de intervención para los hogares priorizados</w:t>
            </w:r>
          </w:p>
        </w:tc>
        <w:tc>
          <w:tcPr>
            <w:tcW w:w="1560" w:type="dxa"/>
          </w:tcPr>
          <w:p>
            <w:pPr>
              <w:pStyle w:val="TableParagraph"/>
              <w:spacing w:line="242" w:lineRule="auto" w:before="205"/>
              <w:ind w:left="73" w:right="58"/>
              <w:rPr>
                <w:sz w:val="18"/>
              </w:rPr>
            </w:pPr>
            <w:r>
              <w:rPr>
                <w:sz w:val="18"/>
              </w:rPr>
              <w:t>Documento</w:t>
            </w:r>
            <w:r>
              <w:rPr>
                <w:spacing w:val="-13"/>
                <w:sz w:val="18"/>
              </w:rPr>
              <w:t> </w:t>
            </w:r>
            <w:r>
              <w:rPr>
                <w:sz w:val="18"/>
              </w:rPr>
              <w:t>que contienen la estrategia de </w:t>
            </w:r>
            <w:r>
              <w:rPr>
                <w:spacing w:val="-2"/>
                <w:sz w:val="18"/>
              </w:rPr>
              <w:t>intervención</w:t>
            </w:r>
          </w:p>
        </w:tc>
        <w:tc>
          <w:tcPr>
            <w:tcW w:w="1416" w:type="dxa"/>
          </w:tcPr>
          <w:p>
            <w:pPr>
              <w:pStyle w:val="TableParagraph"/>
              <w:rPr>
                <w:b/>
                <w:sz w:val="18"/>
              </w:rPr>
            </w:pPr>
          </w:p>
          <w:p>
            <w:pPr>
              <w:pStyle w:val="TableParagraph"/>
              <w:spacing w:before="103"/>
              <w:rPr>
                <w:b/>
                <w:sz w:val="18"/>
              </w:rPr>
            </w:pPr>
          </w:p>
          <w:p>
            <w:pPr>
              <w:pStyle w:val="TableParagraph"/>
              <w:ind w:left="17" w:right="12"/>
              <w:jc w:val="center"/>
              <w:rPr>
                <w:sz w:val="18"/>
              </w:rPr>
            </w:pPr>
            <w:r>
              <w:rPr>
                <w:spacing w:val="-5"/>
                <w:sz w:val="18"/>
              </w:rPr>
              <w:t>DDS</w:t>
            </w:r>
          </w:p>
        </w:tc>
        <w:tc>
          <w:tcPr>
            <w:tcW w:w="1647" w:type="dxa"/>
          </w:tcPr>
          <w:p>
            <w:pPr>
              <w:pStyle w:val="TableParagraph"/>
              <w:rPr>
                <w:rFonts w:ascii="Times New Roman"/>
                <w:sz w:val="18"/>
              </w:rPr>
            </w:pPr>
          </w:p>
        </w:tc>
        <w:tc>
          <w:tcPr>
            <w:tcW w:w="1550"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9"/>
        <w:gridCol w:w="1548"/>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9" w:type="dxa"/>
            <w:shd w:val="clear" w:color="auto" w:fill="D9D9D9"/>
          </w:tcPr>
          <w:p>
            <w:pPr>
              <w:pStyle w:val="TableParagraph"/>
              <w:spacing w:before="104"/>
              <w:ind w:left="430" w:hanging="120"/>
              <w:rPr>
                <w:b/>
                <w:sz w:val="18"/>
              </w:rPr>
            </w:pPr>
            <w:r>
              <w:rPr>
                <w:b/>
                <w:spacing w:val="-2"/>
                <w:sz w:val="18"/>
              </w:rPr>
              <w:t>Presupuesto asignado</w:t>
            </w:r>
          </w:p>
        </w:tc>
        <w:tc>
          <w:tcPr>
            <w:tcW w:w="1548" w:type="dxa"/>
            <w:shd w:val="clear" w:color="auto" w:fill="D9D9D9"/>
          </w:tcPr>
          <w:p>
            <w:pPr>
              <w:pStyle w:val="TableParagraph"/>
              <w:spacing w:line="206" w:lineRule="exact"/>
              <w:ind w:left="16"/>
              <w:jc w:val="center"/>
              <w:rPr>
                <w:b/>
                <w:sz w:val="18"/>
              </w:rPr>
            </w:pPr>
            <w:r>
              <w:rPr>
                <w:b/>
                <w:spacing w:val="-2"/>
                <w:sz w:val="18"/>
              </w:rPr>
              <w:t>Riesgos </w:t>
            </w:r>
            <w:r>
              <w:rPr>
                <w:b/>
                <w:sz w:val="18"/>
              </w:rPr>
              <w:t>asociados al </w:t>
            </w:r>
            <w:r>
              <w:rPr>
                <w:b/>
                <w:spacing w:val="-2"/>
                <w:sz w:val="18"/>
              </w:rPr>
              <w:t>cumplimiento</w:t>
            </w:r>
          </w:p>
        </w:tc>
      </w:tr>
      <w:tr>
        <w:trPr>
          <w:trHeight w:val="485" w:hRule="atLeast"/>
        </w:trPr>
        <w:tc>
          <w:tcPr>
            <w:tcW w:w="14247" w:type="dxa"/>
            <w:gridSpan w:val="8"/>
            <w:shd w:val="clear" w:color="auto" w:fill="EFF8F9"/>
          </w:tcPr>
          <w:p>
            <w:pPr>
              <w:pStyle w:val="TableParagraph"/>
              <w:spacing w:before="3"/>
              <w:ind w:left="72" w:right="98"/>
              <w:rPr>
                <w:b/>
                <w:sz w:val="18"/>
              </w:rPr>
            </w:pPr>
            <w:r>
              <w:rPr>
                <w:b/>
                <w:sz w:val="18"/>
              </w:rPr>
              <w:t>Producto</w:t>
            </w:r>
            <w:r>
              <w:rPr>
                <w:b/>
                <w:spacing w:val="-3"/>
                <w:sz w:val="18"/>
              </w:rPr>
              <w:t> </w:t>
            </w:r>
            <w:r>
              <w:rPr>
                <w:b/>
                <w:sz w:val="18"/>
              </w:rPr>
              <w:t>PPPS</w:t>
            </w:r>
            <w:r>
              <w:rPr>
                <w:b/>
                <w:spacing w:val="-3"/>
                <w:sz w:val="18"/>
              </w:rPr>
              <w:t> </w:t>
            </w:r>
            <w:r>
              <w:rPr>
                <w:b/>
                <w:sz w:val="18"/>
              </w:rPr>
              <w:t>1.28:</w:t>
            </w:r>
            <w:r>
              <w:rPr>
                <w:b/>
                <w:spacing w:val="40"/>
                <w:sz w:val="18"/>
              </w:rPr>
              <w:t> </w:t>
            </w:r>
            <w:r>
              <w:rPr>
                <w:b/>
                <w:sz w:val="18"/>
              </w:rPr>
              <w:t>Mapeo de</w:t>
            </w:r>
            <w:r>
              <w:rPr>
                <w:b/>
                <w:spacing w:val="-2"/>
                <w:sz w:val="18"/>
              </w:rPr>
              <w:t> </w:t>
            </w:r>
            <w:r>
              <w:rPr>
                <w:b/>
                <w:sz w:val="18"/>
              </w:rPr>
              <w:t>necesidades</w:t>
            </w:r>
            <w:r>
              <w:rPr>
                <w:b/>
                <w:spacing w:val="-2"/>
                <w:sz w:val="18"/>
              </w:rPr>
              <w:t> </w:t>
            </w:r>
            <w:r>
              <w:rPr>
                <w:b/>
                <w:sz w:val="18"/>
              </w:rPr>
              <w:t>y</w:t>
            </w:r>
            <w:r>
              <w:rPr>
                <w:b/>
                <w:spacing w:val="-2"/>
                <w:sz w:val="18"/>
              </w:rPr>
              <w:t> </w:t>
            </w:r>
            <w:r>
              <w:rPr>
                <w:b/>
                <w:sz w:val="18"/>
              </w:rPr>
              <w:t>requerimientos</w:t>
            </w:r>
            <w:r>
              <w:rPr>
                <w:b/>
                <w:spacing w:val="-2"/>
                <w:sz w:val="18"/>
              </w:rPr>
              <w:t> </w:t>
            </w:r>
            <w:r>
              <w:rPr>
                <w:b/>
                <w:sz w:val="18"/>
              </w:rPr>
              <w:t>identificados</w:t>
            </w:r>
            <w:r>
              <w:rPr>
                <w:b/>
                <w:spacing w:val="-2"/>
                <w:sz w:val="18"/>
              </w:rPr>
              <w:t> </w:t>
            </w:r>
            <w:r>
              <w:rPr>
                <w:b/>
                <w:sz w:val="18"/>
              </w:rPr>
              <w:t>desde</w:t>
            </w:r>
            <w:r>
              <w:rPr>
                <w:b/>
                <w:spacing w:val="-2"/>
                <w:sz w:val="18"/>
              </w:rPr>
              <w:t> </w:t>
            </w:r>
            <w:r>
              <w:rPr>
                <w:b/>
                <w:sz w:val="18"/>
              </w:rPr>
              <w:t>la</w:t>
            </w:r>
            <w:r>
              <w:rPr>
                <w:b/>
                <w:spacing w:val="-2"/>
                <w:sz w:val="18"/>
              </w:rPr>
              <w:t> </w:t>
            </w:r>
            <w:r>
              <w:rPr>
                <w:b/>
                <w:sz w:val="18"/>
              </w:rPr>
              <w:t>población</w:t>
            </w:r>
            <w:r>
              <w:rPr>
                <w:b/>
                <w:spacing w:val="-3"/>
                <w:sz w:val="18"/>
              </w:rPr>
              <w:t> </w:t>
            </w:r>
            <w:r>
              <w:rPr>
                <w:b/>
                <w:sz w:val="18"/>
              </w:rPr>
              <w:t>objetivo</w:t>
            </w:r>
            <w:r>
              <w:rPr>
                <w:b/>
                <w:spacing w:val="-3"/>
                <w:sz w:val="18"/>
              </w:rPr>
              <w:t> </w:t>
            </w:r>
            <w:r>
              <w:rPr>
                <w:b/>
                <w:sz w:val="18"/>
              </w:rPr>
              <w:t>y</w:t>
            </w:r>
            <w:r>
              <w:rPr>
                <w:b/>
                <w:spacing w:val="-2"/>
                <w:sz w:val="18"/>
              </w:rPr>
              <w:t> </w:t>
            </w:r>
            <w:r>
              <w:rPr>
                <w:b/>
                <w:sz w:val="18"/>
              </w:rPr>
              <w:t>la</w:t>
            </w:r>
            <w:r>
              <w:rPr>
                <w:b/>
                <w:spacing w:val="-2"/>
                <w:sz w:val="18"/>
              </w:rPr>
              <w:t> </w:t>
            </w:r>
            <w:r>
              <w:rPr>
                <w:b/>
                <w:sz w:val="18"/>
              </w:rPr>
              <w:t>territorialidad, que</w:t>
            </w:r>
            <w:r>
              <w:rPr>
                <w:b/>
                <w:spacing w:val="-2"/>
                <w:sz w:val="18"/>
              </w:rPr>
              <w:t> </w:t>
            </w:r>
            <w:r>
              <w:rPr>
                <w:b/>
                <w:sz w:val="18"/>
              </w:rPr>
              <w:t>promuevan acciones</w:t>
            </w:r>
            <w:r>
              <w:rPr>
                <w:b/>
                <w:spacing w:val="-2"/>
                <w:sz w:val="18"/>
              </w:rPr>
              <w:t> </w:t>
            </w:r>
            <w:r>
              <w:rPr>
                <w:b/>
                <w:sz w:val="18"/>
              </w:rPr>
              <w:t>para</w:t>
            </w:r>
            <w:r>
              <w:rPr>
                <w:b/>
                <w:spacing w:val="-2"/>
                <w:sz w:val="18"/>
              </w:rPr>
              <w:t> </w:t>
            </w:r>
            <w:r>
              <w:rPr>
                <w:b/>
                <w:sz w:val="18"/>
              </w:rPr>
              <w:t>la empleabilidad, la empresariedad y</w:t>
            </w:r>
            <w:r>
              <w:rPr>
                <w:b/>
                <w:spacing w:val="-2"/>
                <w:sz w:val="18"/>
              </w:rPr>
              <w:t> </w:t>
            </w:r>
            <w:r>
              <w:rPr>
                <w:b/>
                <w:sz w:val="18"/>
              </w:rPr>
              <w:t>la implementación de entornos propicios para el desarrollo económico y social. E2 AE9 R1</w:t>
            </w:r>
          </w:p>
        </w:tc>
      </w:tr>
      <w:tr>
        <w:trPr>
          <w:trHeight w:val="2068" w:hRule="atLeast"/>
        </w:trPr>
        <w:tc>
          <w:tcPr>
            <w:tcW w:w="2972" w:type="dxa"/>
          </w:tcPr>
          <w:p>
            <w:pPr>
              <w:pStyle w:val="TableParagraph"/>
              <w:rPr>
                <w:b/>
                <w:sz w:val="18"/>
              </w:rPr>
            </w:pPr>
          </w:p>
          <w:p>
            <w:pPr>
              <w:pStyle w:val="TableParagraph"/>
              <w:spacing w:before="98"/>
              <w:rPr>
                <w:b/>
                <w:sz w:val="18"/>
              </w:rPr>
            </w:pPr>
          </w:p>
          <w:p>
            <w:pPr>
              <w:pStyle w:val="TableParagraph"/>
              <w:ind w:left="72" w:right="408"/>
              <w:rPr>
                <w:b/>
                <w:sz w:val="18"/>
              </w:rPr>
            </w:pPr>
            <w:r>
              <w:rPr>
                <w:b/>
                <w:sz w:val="18"/>
              </w:rPr>
              <mc:AlternateContent>
                <mc:Choice Requires="wps">
                  <w:drawing>
                    <wp:anchor distT="0" distB="0" distL="0" distR="0" allowOverlap="1" layoutInCell="1" locked="0" behindDoc="1" simplePos="0" relativeHeight="459706368">
                      <wp:simplePos x="0" y="0"/>
                      <wp:positionH relativeFrom="column">
                        <wp:posOffset>238048</wp:posOffset>
                      </wp:positionH>
                      <wp:positionV relativeFrom="paragraph">
                        <wp:posOffset>473226</wp:posOffset>
                      </wp:positionV>
                      <wp:extent cx="40005" cy="6350"/>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40005" cy="6350"/>
                                <a:chExt cx="40005" cy="6350"/>
                              </a:xfrm>
                            </wpg:grpSpPr>
                            <wps:wsp>
                              <wps:cNvPr id="93" name="Graphic 93"/>
                              <wps:cNvSpPr/>
                              <wps:spPr>
                                <a:xfrm>
                                  <a:off x="0" y="0"/>
                                  <a:ext cx="40005" cy="6350"/>
                                </a:xfrm>
                                <a:custGeom>
                                  <a:avLst/>
                                  <a:gdLst/>
                                  <a:ahLst/>
                                  <a:cxnLst/>
                                  <a:rect l="l" t="t" r="r" b="b"/>
                                  <a:pathLst>
                                    <a:path w="40005" h="6350">
                                      <a:moveTo>
                                        <a:pt x="39623" y="0"/>
                                      </a:moveTo>
                                      <a:lnTo>
                                        <a:pt x="0" y="0"/>
                                      </a:lnTo>
                                      <a:lnTo>
                                        <a:pt x="0" y="6096"/>
                                      </a:lnTo>
                                      <a:lnTo>
                                        <a:pt x="39623" y="6096"/>
                                      </a:lnTo>
                                      <a:lnTo>
                                        <a:pt x="396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8.743999pt;margin-top:37.261894pt;width:3.15pt;height:.5pt;mso-position-horizontal-relative:column;mso-position-vertical-relative:paragraph;z-index:-43610112" id="docshapegroup70" coordorigin="375,745" coordsize="63,10">
                      <v:rect style="position:absolute;left:374;top:745;width:63;height:10" id="docshape71" filled="true" fillcolor="#000000" stroked="false">
                        <v:fill type="solid"/>
                      </v:rect>
                      <w10:wrap type="none"/>
                    </v:group>
                  </w:pict>
                </mc:Fallback>
              </mc:AlternateContent>
            </w:r>
            <w:r>
              <w:rPr>
                <w:b/>
                <w:sz w:val="18"/>
              </w:rPr>
              <w:t>Actividad PPPS 1.28.1: </w:t>
            </w:r>
            <w:r>
              <w:rPr>
                <w:sz w:val="18"/>
              </w:rPr>
              <w:t>Mapeo de necesidades y requerimientos</w:t>
            </w:r>
            <w:r>
              <w:rPr>
                <w:spacing w:val="-15"/>
                <w:sz w:val="18"/>
              </w:rPr>
              <w:t> </w:t>
            </w:r>
            <w:r>
              <w:rPr>
                <w:sz w:val="18"/>
              </w:rPr>
              <w:t>en</w:t>
            </w:r>
            <w:r>
              <w:rPr>
                <w:spacing w:val="-12"/>
                <w:sz w:val="18"/>
              </w:rPr>
              <w:t> </w:t>
            </w:r>
            <w:r>
              <w:rPr>
                <w:sz w:val="18"/>
              </w:rPr>
              <w:t>territorios pri</w:t>
            </w:r>
            <w:r>
              <w:rPr>
                <w:sz w:val="18"/>
                <w:u w:val="single"/>
              </w:rPr>
              <w:t>o</w:t>
            </w:r>
            <w:r>
              <w:rPr>
                <w:sz w:val="18"/>
                <w:u w:val="none"/>
              </w:rPr>
              <w:t>rizados por las ARDS </w:t>
            </w:r>
            <w:r>
              <w:rPr>
                <w:b/>
                <w:sz w:val="18"/>
                <w:u w:val="none"/>
              </w:rPr>
              <w:t>(vinculada a PEI 2.9.1).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18"/>
              <w:jc w:val="center"/>
              <w:rPr>
                <w:sz w:val="18"/>
              </w:rPr>
            </w:pPr>
            <w:r>
              <w:rPr>
                <w:spacing w:val="-10"/>
                <w:sz w:val="18"/>
              </w:rPr>
              <w:t>5</w:t>
            </w:r>
          </w:p>
        </w:tc>
        <w:tc>
          <w:tcPr>
            <w:tcW w:w="1982" w:type="dxa"/>
          </w:tcPr>
          <w:p>
            <w:pPr>
              <w:pStyle w:val="TableParagraph"/>
              <w:spacing w:before="205"/>
              <w:ind w:left="68" w:right="114"/>
              <w:rPr>
                <w:sz w:val="18"/>
              </w:rPr>
            </w:pPr>
            <w:r>
              <w:rPr>
                <w:sz w:val="18"/>
              </w:rPr>
              <w:t>Cantidad</w:t>
            </w:r>
            <w:r>
              <w:rPr>
                <w:spacing w:val="-15"/>
                <w:sz w:val="18"/>
              </w:rPr>
              <w:t> </w:t>
            </w:r>
            <w:r>
              <w:rPr>
                <w:sz w:val="18"/>
              </w:rPr>
              <w:t>de</w:t>
            </w:r>
            <w:r>
              <w:rPr>
                <w:spacing w:val="-12"/>
                <w:sz w:val="18"/>
              </w:rPr>
              <w:t> </w:t>
            </w:r>
            <w:r>
              <w:rPr>
                <w:sz w:val="18"/>
              </w:rPr>
              <w:t>territorios priorizados por las ARDS que cuentan con mapeo de necesidades y </w:t>
            </w:r>
            <w:r>
              <w:rPr>
                <w:spacing w:val="-2"/>
                <w:sz w:val="18"/>
              </w:rPr>
              <w:t>requerimientos </w:t>
            </w:r>
            <w:r>
              <w:rPr>
                <w:sz w:val="18"/>
              </w:rPr>
              <w:t>identificados desde la población objetivo</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3" w:right="99"/>
              <w:rPr>
                <w:sz w:val="18"/>
              </w:rPr>
            </w:pPr>
            <w:r>
              <w:rPr>
                <w:sz w:val="18"/>
              </w:rPr>
              <w:t>Informe de sistematización</w:t>
            </w:r>
            <w:r>
              <w:rPr>
                <w:spacing w:val="-13"/>
                <w:sz w:val="18"/>
              </w:rPr>
              <w:t> </w:t>
            </w:r>
            <w:r>
              <w:rPr>
                <w:sz w:val="18"/>
              </w:rPr>
              <w:t>y </w:t>
            </w:r>
            <w:r>
              <w:rPr>
                <w:spacing w:val="-2"/>
                <w:sz w:val="18"/>
              </w:rPr>
              <w:t>cumplimiento.</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7" w:right="10"/>
              <w:jc w:val="center"/>
              <w:rPr>
                <w:sz w:val="18"/>
              </w:rPr>
            </w:pPr>
            <w:r>
              <w:rPr>
                <w:spacing w:val="-2"/>
                <w:sz w:val="18"/>
              </w:rPr>
              <w:t>DDSPC</w:t>
            </w:r>
          </w:p>
        </w:tc>
        <w:tc>
          <w:tcPr>
            <w:tcW w:w="1649" w:type="dxa"/>
          </w:tcPr>
          <w:p>
            <w:pPr>
              <w:pStyle w:val="TableParagraph"/>
              <w:rPr>
                <w:rFonts w:ascii="Times New Roman"/>
                <w:sz w:val="18"/>
              </w:rPr>
            </w:pPr>
          </w:p>
        </w:tc>
        <w:tc>
          <w:tcPr>
            <w:tcW w:w="1548" w:type="dxa"/>
          </w:tcPr>
          <w:p>
            <w:pPr>
              <w:pStyle w:val="TableParagraph"/>
              <w:numPr>
                <w:ilvl w:val="0"/>
                <w:numId w:val="58"/>
              </w:numPr>
              <w:tabs>
                <w:tab w:pos="133" w:val="left" w:leader="none"/>
              </w:tabs>
              <w:spacing w:line="240" w:lineRule="auto" w:before="0" w:after="0"/>
              <w:ind w:left="72" w:right="268" w:firstLine="0"/>
              <w:jc w:val="left"/>
              <w:rPr>
                <w:sz w:val="18"/>
              </w:rPr>
            </w:pPr>
            <w:r>
              <w:rPr>
                <w:sz w:val="18"/>
              </w:rPr>
              <w:t>Atraso en el desarrollo del mapeo de necesidades y </w:t>
            </w:r>
            <w:r>
              <w:rPr>
                <w:spacing w:val="-2"/>
                <w:sz w:val="18"/>
              </w:rPr>
              <w:t>requerimientos identificados </w:t>
            </w:r>
            <w:r>
              <w:rPr>
                <w:sz w:val="18"/>
              </w:rPr>
              <w:t>desde la </w:t>
            </w:r>
            <w:r>
              <w:rPr>
                <w:spacing w:val="-2"/>
                <w:sz w:val="18"/>
              </w:rPr>
              <w:t>población </w:t>
            </w:r>
            <w:r>
              <w:rPr>
                <w:sz w:val="18"/>
              </w:rPr>
              <w:t>objetivo y la</w:t>
            </w:r>
          </w:p>
          <w:p>
            <w:pPr>
              <w:pStyle w:val="TableParagraph"/>
              <w:spacing w:line="187" w:lineRule="exact"/>
              <w:ind w:left="72"/>
              <w:rPr>
                <w:sz w:val="18"/>
              </w:rPr>
            </w:pPr>
            <w:r>
              <w:rPr>
                <w:spacing w:val="-2"/>
                <w:sz w:val="18"/>
              </w:rPr>
              <w:t>territorialidad.</w:t>
            </w:r>
          </w:p>
        </w:tc>
      </w:tr>
      <w:tr>
        <w:trPr>
          <w:trHeight w:val="657" w:hRule="atLeast"/>
        </w:trPr>
        <w:tc>
          <w:tcPr>
            <w:tcW w:w="14247" w:type="dxa"/>
            <w:gridSpan w:val="8"/>
            <w:shd w:val="clear" w:color="auto" w:fill="EFF8F9"/>
          </w:tcPr>
          <w:p>
            <w:pPr>
              <w:pStyle w:val="TableParagraph"/>
              <w:spacing w:before="124"/>
              <w:ind w:left="72" w:right="98"/>
              <w:rPr>
                <w:b/>
                <w:sz w:val="18"/>
              </w:rPr>
            </w:pPr>
            <w:r>
              <w:rPr>
                <w:b/>
                <w:sz w:val="18"/>
              </w:rPr>
              <w:t>Producto</w:t>
            </w:r>
            <w:r>
              <w:rPr>
                <w:b/>
                <w:spacing w:val="-5"/>
                <w:sz w:val="18"/>
              </w:rPr>
              <w:t> </w:t>
            </w:r>
            <w:r>
              <w:rPr>
                <w:b/>
                <w:sz w:val="18"/>
              </w:rPr>
              <w:t>PPPS</w:t>
            </w:r>
            <w:r>
              <w:rPr>
                <w:b/>
                <w:spacing w:val="-5"/>
                <w:sz w:val="18"/>
              </w:rPr>
              <w:t> </w:t>
            </w:r>
            <w:r>
              <w:rPr>
                <w:b/>
                <w:sz w:val="18"/>
              </w:rPr>
              <w:t>1.29:</w:t>
            </w:r>
            <w:r>
              <w:rPr>
                <w:b/>
                <w:spacing w:val="-2"/>
                <w:sz w:val="18"/>
              </w:rPr>
              <w:t> </w:t>
            </w:r>
            <w:r>
              <w:rPr>
                <w:b/>
                <w:sz w:val="18"/>
              </w:rPr>
              <w:t>Normativa</w:t>
            </w:r>
            <w:r>
              <w:rPr>
                <w:b/>
                <w:spacing w:val="-4"/>
                <w:sz w:val="18"/>
              </w:rPr>
              <w:t> </w:t>
            </w:r>
            <w:r>
              <w:rPr>
                <w:b/>
                <w:sz w:val="18"/>
              </w:rPr>
              <w:t>y</w:t>
            </w:r>
            <w:r>
              <w:rPr>
                <w:b/>
                <w:spacing w:val="-4"/>
                <w:sz w:val="18"/>
              </w:rPr>
              <w:t> </w:t>
            </w:r>
            <w:r>
              <w:rPr>
                <w:b/>
                <w:sz w:val="18"/>
              </w:rPr>
              <w:t>lineamientos</w:t>
            </w:r>
            <w:r>
              <w:rPr>
                <w:b/>
                <w:spacing w:val="-9"/>
                <w:sz w:val="18"/>
              </w:rPr>
              <w:t> </w:t>
            </w:r>
            <w:r>
              <w:rPr>
                <w:b/>
                <w:sz w:val="18"/>
              </w:rPr>
              <w:t>institucionales</w:t>
            </w:r>
            <w:r>
              <w:rPr>
                <w:b/>
                <w:spacing w:val="-4"/>
                <w:sz w:val="18"/>
              </w:rPr>
              <w:t> </w:t>
            </w:r>
            <w:r>
              <w:rPr>
                <w:b/>
                <w:sz w:val="18"/>
              </w:rPr>
              <w:t>ajustados con</w:t>
            </w:r>
            <w:r>
              <w:rPr>
                <w:b/>
                <w:spacing w:val="-5"/>
                <w:sz w:val="18"/>
              </w:rPr>
              <w:t> </w:t>
            </w:r>
            <w:r>
              <w:rPr>
                <w:b/>
                <w:sz w:val="18"/>
              </w:rPr>
              <w:t>metodologías</w:t>
            </w:r>
            <w:r>
              <w:rPr>
                <w:b/>
                <w:spacing w:val="-4"/>
                <w:sz w:val="18"/>
              </w:rPr>
              <w:t> </w:t>
            </w:r>
            <w:r>
              <w:rPr>
                <w:b/>
                <w:sz w:val="18"/>
              </w:rPr>
              <w:t>de</w:t>
            </w:r>
            <w:r>
              <w:rPr>
                <w:b/>
                <w:spacing w:val="-4"/>
                <w:sz w:val="18"/>
              </w:rPr>
              <w:t> </w:t>
            </w:r>
            <w:r>
              <w:rPr>
                <w:b/>
                <w:sz w:val="18"/>
              </w:rPr>
              <w:t>gestión de</w:t>
            </w:r>
            <w:r>
              <w:rPr>
                <w:b/>
                <w:spacing w:val="-4"/>
                <w:sz w:val="18"/>
              </w:rPr>
              <w:t> </w:t>
            </w:r>
            <w:r>
              <w:rPr>
                <w:b/>
                <w:sz w:val="18"/>
              </w:rPr>
              <w:t>proyectos comprobadas,</w:t>
            </w:r>
            <w:r>
              <w:rPr>
                <w:b/>
                <w:spacing w:val="14"/>
                <w:sz w:val="18"/>
              </w:rPr>
              <w:t> </w:t>
            </w:r>
            <w:r>
              <w:rPr>
                <w:b/>
                <w:sz w:val="18"/>
              </w:rPr>
              <w:t>que</w:t>
            </w:r>
            <w:r>
              <w:rPr>
                <w:b/>
                <w:spacing w:val="-4"/>
                <w:sz w:val="18"/>
              </w:rPr>
              <w:t> </w:t>
            </w:r>
            <w:r>
              <w:rPr>
                <w:b/>
                <w:sz w:val="18"/>
              </w:rPr>
              <w:t>promuevan</w:t>
            </w:r>
            <w:r>
              <w:rPr>
                <w:b/>
                <w:spacing w:val="-5"/>
                <w:sz w:val="18"/>
              </w:rPr>
              <w:t> </w:t>
            </w:r>
            <w:r>
              <w:rPr>
                <w:b/>
                <w:sz w:val="18"/>
              </w:rPr>
              <w:t>oportunidades para la empleabilidad, la empresariedad y que facilite la implementación de entornos propicios para el</w:t>
            </w:r>
            <w:r>
              <w:rPr>
                <w:b/>
                <w:spacing w:val="23"/>
                <w:sz w:val="18"/>
              </w:rPr>
              <w:t> </w:t>
            </w:r>
            <w:r>
              <w:rPr>
                <w:b/>
                <w:sz w:val="18"/>
              </w:rPr>
              <w:t>desarrollo económico y social. E2 AE9 R2</w:t>
            </w:r>
          </w:p>
        </w:tc>
      </w:tr>
      <w:tr>
        <w:trPr>
          <w:trHeight w:val="1867" w:hRule="atLeast"/>
        </w:trPr>
        <w:tc>
          <w:tcPr>
            <w:tcW w:w="2972" w:type="dxa"/>
          </w:tcPr>
          <w:p>
            <w:pPr>
              <w:pStyle w:val="TableParagraph"/>
              <w:spacing w:line="242" w:lineRule="auto"/>
              <w:ind w:left="72" w:right="301"/>
              <w:rPr>
                <w:sz w:val="18"/>
              </w:rPr>
            </w:pPr>
            <w:r>
              <w:rPr>
                <w:b/>
                <w:sz w:val="18"/>
              </w:rPr>
              <w:t>Actividad PPPS 1.29.1:</w:t>
            </w:r>
            <w:r>
              <w:rPr>
                <w:b/>
                <w:spacing w:val="40"/>
                <w:sz w:val="18"/>
              </w:rPr>
              <w:t> </w:t>
            </w:r>
            <w:r>
              <w:rPr>
                <w:sz w:val="18"/>
              </w:rPr>
              <w:t>Ajustes</w:t>
            </w:r>
            <w:r>
              <w:rPr>
                <w:spacing w:val="-9"/>
                <w:sz w:val="18"/>
              </w:rPr>
              <w:t> </w:t>
            </w:r>
            <w:r>
              <w:rPr>
                <w:sz w:val="18"/>
              </w:rPr>
              <w:t>normativos</w:t>
            </w:r>
            <w:r>
              <w:rPr>
                <w:spacing w:val="-9"/>
                <w:sz w:val="18"/>
              </w:rPr>
              <w:t> </w:t>
            </w:r>
            <w:r>
              <w:rPr>
                <w:sz w:val="18"/>
              </w:rPr>
              <w:t>y</w:t>
            </w:r>
            <w:r>
              <w:rPr>
                <w:spacing w:val="-9"/>
                <w:sz w:val="18"/>
              </w:rPr>
              <w:t> </w:t>
            </w:r>
            <w:r>
              <w:rPr>
                <w:sz w:val="18"/>
              </w:rPr>
              <w:t>emisión</w:t>
            </w:r>
            <w:r>
              <w:rPr>
                <w:spacing w:val="-6"/>
                <w:sz w:val="18"/>
              </w:rPr>
              <w:t> </w:t>
            </w:r>
            <w:r>
              <w:rPr>
                <w:sz w:val="18"/>
              </w:rPr>
              <w:t>de lineamientos y procedimientos vinculados a la aplicación de</w:t>
            </w:r>
          </w:p>
          <w:p>
            <w:pPr>
              <w:pStyle w:val="TableParagraph"/>
              <w:ind w:left="72" w:right="60"/>
              <w:rPr>
                <w:b/>
                <w:sz w:val="18"/>
              </w:rPr>
            </w:pPr>
            <w:r>
              <w:rPr>
                <w:sz w:val="18"/>
              </w:rPr>
              <w:t>metodologías</w:t>
            </w:r>
            <w:r>
              <w:rPr>
                <w:spacing w:val="-13"/>
                <w:sz w:val="18"/>
              </w:rPr>
              <w:t> </w:t>
            </w:r>
            <w:r>
              <w:rPr>
                <w:sz w:val="18"/>
              </w:rPr>
              <w:t>de</w:t>
            </w:r>
            <w:r>
              <w:rPr>
                <w:spacing w:val="-9"/>
                <w:sz w:val="18"/>
              </w:rPr>
              <w:t> </w:t>
            </w:r>
            <w:r>
              <w:rPr>
                <w:sz w:val="18"/>
              </w:rPr>
              <w:t>administración</w:t>
            </w:r>
            <w:r>
              <w:rPr>
                <w:spacing w:val="-9"/>
                <w:sz w:val="18"/>
              </w:rPr>
              <w:t> </w:t>
            </w:r>
            <w:r>
              <w:rPr>
                <w:sz w:val="18"/>
              </w:rPr>
              <w:t>de proyectos comprobadas a los procesos grupales </w:t>
            </w:r>
            <w:r>
              <w:rPr>
                <w:b/>
                <w:sz w:val="18"/>
              </w:rPr>
              <w:t>(vinculada a PEI 2.9.2</w:t>
            </w:r>
            <w:r>
              <w:rPr>
                <w:b/>
                <w:spacing w:val="-4"/>
                <w:sz w:val="18"/>
              </w:rPr>
              <w:t> </w:t>
            </w:r>
            <w:r>
              <w:rPr>
                <w:b/>
                <w:sz w:val="18"/>
              </w:rPr>
              <w:t>/</w:t>
            </w:r>
            <w:r>
              <w:rPr>
                <w:b/>
                <w:spacing w:val="-2"/>
                <w:sz w:val="18"/>
              </w:rPr>
              <w:t> </w:t>
            </w:r>
            <w:r>
              <w:rPr>
                <w:b/>
                <w:sz w:val="18"/>
              </w:rPr>
              <w:t>Estrategia</w:t>
            </w:r>
            <w:r>
              <w:rPr>
                <w:b/>
                <w:spacing w:val="-9"/>
                <w:sz w:val="18"/>
              </w:rPr>
              <w:t> </w:t>
            </w:r>
            <w:r>
              <w:rPr>
                <w:b/>
                <w:sz w:val="18"/>
              </w:rPr>
              <w:t>GpRD</w:t>
            </w:r>
            <w:r>
              <w:rPr>
                <w:b/>
                <w:spacing w:val="-1"/>
                <w:sz w:val="18"/>
              </w:rPr>
              <w:t> </w:t>
            </w:r>
            <w:r>
              <w:rPr>
                <w:b/>
                <w:sz w:val="18"/>
              </w:rPr>
              <w:t>5.1.1</w:t>
            </w:r>
          </w:p>
          <w:p>
            <w:pPr>
              <w:pStyle w:val="TableParagraph"/>
              <w:spacing w:line="190" w:lineRule="exact"/>
              <w:ind w:left="72"/>
              <w:rPr>
                <w:b/>
                <w:sz w:val="18"/>
              </w:rPr>
            </w:pPr>
            <w:r>
              <w:rPr>
                <w:b/>
                <w:sz w:val="18"/>
              </w:rPr>
              <w:t>/</w:t>
            </w:r>
            <w:r>
              <w:rPr>
                <w:b/>
                <w:spacing w:val="1"/>
                <w:sz w:val="18"/>
              </w:rPr>
              <w:t> </w:t>
            </w:r>
            <w:r>
              <w:rPr>
                <w:b/>
                <w:sz w:val="18"/>
              </w:rPr>
              <w:t>Estrategia</w:t>
            </w:r>
            <w:r>
              <w:rPr>
                <w:b/>
                <w:spacing w:val="-6"/>
                <w:sz w:val="18"/>
              </w:rPr>
              <w:t> </w:t>
            </w:r>
            <w:r>
              <w:rPr>
                <w:b/>
                <w:sz w:val="18"/>
              </w:rPr>
              <w:t>GpRD</w:t>
            </w:r>
            <w:r>
              <w:rPr>
                <w:b/>
                <w:spacing w:val="-7"/>
                <w:sz w:val="18"/>
              </w:rPr>
              <w:t> </w:t>
            </w:r>
            <w:r>
              <w:rPr>
                <w:b/>
                <w:spacing w:val="-2"/>
                <w:sz w:val="18"/>
              </w:rPr>
              <w:t>5.1.2).</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21" w:right="12"/>
              <w:jc w:val="center"/>
              <w:rPr>
                <w:sz w:val="18"/>
              </w:rPr>
            </w:pPr>
            <w:r>
              <w:rPr>
                <w:spacing w:val="-4"/>
                <w:sz w:val="18"/>
              </w:rPr>
              <w:t>100%</w:t>
            </w:r>
          </w:p>
        </w:tc>
        <w:tc>
          <w:tcPr>
            <w:tcW w:w="1982" w:type="dxa"/>
          </w:tcPr>
          <w:p>
            <w:pPr>
              <w:pStyle w:val="TableParagraph"/>
              <w:rPr>
                <w:b/>
                <w:sz w:val="18"/>
              </w:rPr>
            </w:pPr>
          </w:p>
          <w:p>
            <w:pPr>
              <w:pStyle w:val="TableParagraph"/>
              <w:spacing w:before="2"/>
              <w:rPr>
                <w:b/>
                <w:sz w:val="18"/>
              </w:rPr>
            </w:pPr>
          </w:p>
          <w:p>
            <w:pPr>
              <w:pStyle w:val="TableParagraph"/>
              <w:ind w:left="68" w:right="114"/>
              <w:rPr>
                <w:sz w:val="18"/>
              </w:rPr>
            </w:pPr>
            <w:r>
              <w:rPr>
                <w:sz w:val="18"/>
              </w:rPr>
              <w:t>Porcentaje</w:t>
            </w:r>
            <w:r>
              <w:rPr>
                <w:spacing w:val="-15"/>
                <w:sz w:val="18"/>
              </w:rPr>
              <w:t> </w:t>
            </w:r>
            <w:r>
              <w:rPr>
                <w:sz w:val="18"/>
              </w:rPr>
              <w:t>de</w:t>
            </w:r>
            <w:r>
              <w:rPr>
                <w:spacing w:val="-12"/>
                <w:sz w:val="18"/>
              </w:rPr>
              <w:t> </w:t>
            </w:r>
            <w:r>
              <w:rPr>
                <w:sz w:val="18"/>
              </w:rPr>
              <w:t>avance en la aplicación de ajustes normativos y emisión de </w:t>
            </w:r>
            <w:r>
              <w:rPr>
                <w:spacing w:val="-2"/>
                <w:sz w:val="18"/>
              </w:rPr>
              <w:t>lineamientos.</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spacing w:line="244" w:lineRule="auto"/>
              <w:ind w:left="73" w:right="58"/>
              <w:rPr>
                <w:sz w:val="18"/>
              </w:rPr>
            </w:pPr>
            <w:r>
              <w:rPr>
                <w:sz w:val="18"/>
              </w:rPr>
              <w:t>Informe de </w:t>
            </w:r>
            <w:r>
              <w:rPr>
                <w:spacing w:val="-2"/>
                <w:sz w:val="18"/>
              </w:rPr>
              <w:t>cumplimiento.</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17" w:right="10"/>
              <w:jc w:val="center"/>
              <w:rPr>
                <w:sz w:val="18"/>
              </w:rPr>
            </w:pPr>
            <w:r>
              <w:rPr>
                <w:spacing w:val="-2"/>
                <w:sz w:val="18"/>
              </w:rPr>
              <w:t>DDSPC</w:t>
            </w:r>
          </w:p>
        </w:tc>
        <w:tc>
          <w:tcPr>
            <w:tcW w:w="1649" w:type="dxa"/>
          </w:tcPr>
          <w:p>
            <w:pPr>
              <w:pStyle w:val="TableParagraph"/>
              <w:rPr>
                <w:rFonts w:ascii="Times New Roman"/>
                <w:sz w:val="18"/>
              </w:rPr>
            </w:pPr>
          </w:p>
        </w:tc>
        <w:tc>
          <w:tcPr>
            <w:tcW w:w="1548"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
              <w:rPr>
                <w:b/>
                <w:sz w:val="18"/>
              </w:rPr>
            </w:pPr>
          </w:p>
          <w:p>
            <w:pPr>
              <w:pStyle w:val="TableParagraph"/>
              <w:numPr>
                <w:ilvl w:val="0"/>
                <w:numId w:val="59"/>
              </w:numPr>
              <w:tabs>
                <w:tab w:pos="133" w:val="left" w:leader="none"/>
              </w:tabs>
              <w:spacing w:line="240" w:lineRule="auto" w:before="0" w:after="0"/>
              <w:ind w:left="72" w:right="176" w:firstLine="0"/>
              <w:jc w:val="left"/>
              <w:rPr>
                <w:sz w:val="18"/>
              </w:rPr>
            </w:pPr>
            <w:r>
              <w:rPr>
                <w:sz w:val="18"/>
              </w:rPr>
              <w:t>Cambios o </w:t>
            </w:r>
            <w:r>
              <w:rPr>
                <w:spacing w:val="-2"/>
                <w:sz w:val="18"/>
              </w:rPr>
              <w:t>modificaciones </w:t>
            </w:r>
            <w:r>
              <w:rPr>
                <w:sz w:val="18"/>
              </w:rPr>
              <w:t>en</w:t>
            </w:r>
            <w:r>
              <w:rPr>
                <w:spacing w:val="-15"/>
                <w:sz w:val="18"/>
              </w:rPr>
              <w:t> </w:t>
            </w:r>
            <w:r>
              <w:rPr>
                <w:sz w:val="18"/>
              </w:rPr>
              <w:t>la</w:t>
            </w:r>
            <w:r>
              <w:rPr>
                <w:spacing w:val="-12"/>
                <w:sz w:val="18"/>
              </w:rPr>
              <w:t> </w:t>
            </w:r>
            <w:r>
              <w:rPr>
                <w:sz w:val="18"/>
              </w:rPr>
              <w:t>legislación y normativa aplicable a la </w:t>
            </w:r>
            <w:r>
              <w:rPr>
                <w:spacing w:val="-2"/>
                <w:sz w:val="18"/>
              </w:rPr>
              <w:t>Institución.</w:t>
            </w:r>
          </w:p>
        </w:tc>
      </w:tr>
      <w:tr>
        <w:trPr>
          <w:trHeight w:val="1863" w:hRule="atLeast"/>
        </w:trPr>
        <w:tc>
          <w:tcPr>
            <w:tcW w:w="2972" w:type="dxa"/>
          </w:tcPr>
          <w:p>
            <w:pPr>
              <w:pStyle w:val="TableParagraph"/>
              <w:spacing w:line="206"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1.29.2:</w:t>
            </w:r>
          </w:p>
          <w:p>
            <w:pPr>
              <w:pStyle w:val="TableParagraph"/>
              <w:ind w:left="72" w:right="88"/>
              <w:rPr>
                <w:b/>
                <w:sz w:val="18"/>
              </w:rPr>
            </w:pPr>
            <w:r>
              <w:rPr>
                <w:sz w:val="18"/>
              </w:rPr>
              <w:t>Gestión de proyectos conforme a metodologías</w:t>
            </w:r>
            <w:r>
              <w:rPr>
                <w:spacing w:val="-13"/>
                <w:sz w:val="18"/>
              </w:rPr>
              <w:t> </w:t>
            </w:r>
            <w:r>
              <w:rPr>
                <w:sz w:val="18"/>
              </w:rPr>
              <w:t>de</w:t>
            </w:r>
            <w:r>
              <w:rPr>
                <w:spacing w:val="-9"/>
                <w:sz w:val="18"/>
              </w:rPr>
              <w:t> </w:t>
            </w:r>
            <w:r>
              <w:rPr>
                <w:sz w:val="18"/>
              </w:rPr>
              <w:t>administración</w:t>
            </w:r>
            <w:r>
              <w:rPr>
                <w:spacing w:val="-9"/>
                <w:sz w:val="18"/>
              </w:rPr>
              <w:t> </w:t>
            </w:r>
            <w:r>
              <w:rPr>
                <w:sz w:val="18"/>
              </w:rPr>
              <w:t>de proyectos comprobadas </w:t>
            </w:r>
            <w:r>
              <w:rPr>
                <w:b/>
                <w:sz w:val="18"/>
              </w:rPr>
              <w:t>(vinculada a PEI 2.9.2 / Estrategia GpRD 5.2.1 / Estrategia GpRD 5.2.2 / Estrategia GpRD 5.3.1 /</w:t>
            </w:r>
          </w:p>
          <w:p>
            <w:pPr>
              <w:pStyle w:val="TableParagraph"/>
              <w:spacing w:line="187" w:lineRule="exact" w:before="1"/>
              <w:ind w:left="72"/>
              <w:rPr>
                <w:b/>
                <w:sz w:val="18"/>
              </w:rPr>
            </w:pPr>
            <w:r>
              <w:rPr>
                <w:b/>
                <w:sz w:val="18"/>
              </w:rPr>
              <w:t>Estrategia</w:t>
            </w:r>
            <w:r>
              <w:rPr>
                <w:b/>
                <w:spacing w:val="-5"/>
                <w:sz w:val="18"/>
              </w:rPr>
              <w:t> </w:t>
            </w:r>
            <w:r>
              <w:rPr>
                <w:b/>
                <w:sz w:val="18"/>
              </w:rPr>
              <w:t>GpRD</w:t>
            </w:r>
            <w:r>
              <w:rPr>
                <w:b/>
                <w:spacing w:val="-7"/>
                <w:sz w:val="18"/>
              </w:rPr>
              <w:t> </w:t>
            </w:r>
            <w:r>
              <w:rPr>
                <w:b/>
                <w:spacing w:val="-2"/>
                <w:sz w:val="18"/>
              </w:rPr>
              <w:t>5.3.2).</w:t>
            </w:r>
          </w:p>
        </w:tc>
        <w:tc>
          <w:tcPr>
            <w:tcW w:w="156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1" w:right="16"/>
              <w:jc w:val="center"/>
              <w:rPr>
                <w:sz w:val="18"/>
              </w:rPr>
            </w:pPr>
            <w:r>
              <w:rPr>
                <w:spacing w:val="-5"/>
                <w:sz w:val="18"/>
              </w:rPr>
              <w:t>50%</w:t>
            </w:r>
          </w:p>
        </w:tc>
        <w:tc>
          <w:tcPr>
            <w:tcW w:w="1982" w:type="dxa"/>
          </w:tcPr>
          <w:p>
            <w:pPr>
              <w:pStyle w:val="TableParagraph"/>
              <w:spacing w:before="205"/>
              <w:ind w:left="68" w:right="95"/>
              <w:rPr>
                <w:sz w:val="18"/>
              </w:rPr>
            </w:pPr>
            <w:r>
              <w:rPr>
                <w:sz w:val="18"/>
              </w:rPr>
              <w:t>Porcentaje de proyectos</w:t>
            </w:r>
            <w:r>
              <w:rPr>
                <w:spacing w:val="-13"/>
                <w:sz w:val="18"/>
              </w:rPr>
              <w:t> </w:t>
            </w:r>
            <w:r>
              <w:rPr>
                <w:sz w:val="18"/>
              </w:rPr>
              <w:t>gestionados conforme a metodologías de administración de </w:t>
            </w:r>
            <w:r>
              <w:rPr>
                <w:spacing w:val="-2"/>
                <w:sz w:val="18"/>
              </w:rPr>
              <w:t>proyectos comprobadas.</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3" w:right="58"/>
              <w:rPr>
                <w:sz w:val="18"/>
              </w:rPr>
            </w:pPr>
            <w:r>
              <w:rPr>
                <w:sz w:val="18"/>
              </w:rPr>
              <w:t>Informe de </w:t>
            </w:r>
            <w:r>
              <w:rPr>
                <w:spacing w:val="-2"/>
                <w:sz w:val="18"/>
              </w:rPr>
              <w:t>cumplimiento.</w:t>
            </w:r>
          </w:p>
        </w:tc>
        <w:tc>
          <w:tcPr>
            <w:tcW w:w="1416"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17" w:right="10"/>
              <w:jc w:val="center"/>
              <w:rPr>
                <w:sz w:val="18"/>
              </w:rPr>
            </w:pPr>
            <w:r>
              <w:rPr>
                <w:spacing w:val="-2"/>
                <w:sz w:val="18"/>
              </w:rPr>
              <w:t>DDSPC</w:t>
            </w:r>
          </w:p>
        </w:tc>
        <w:tc>
          <w:tcPr>
            <w:tcW w:w="1649" w:type="dxa"/>
          </w:tcPr>
          <w:p>
            <w:pPr>
              <w:pStyle w:val="TableParagraph"/>
              <w:rPr>
                <w:rFonts w:ascii="Times New Roman"/>
                <w:sz w:val="18"/>
              </w:rPr>
            </w:pPr>
          </w:p>
        </w:tc>
        <w:tc>
          <w:tcPr>
            <w:tcW w:w="1548" w:type="dxa"/>
            <w:vMerge/>
            <w:tcBorders>
              <w:top w:val="nil"/>
            </w:tcBorders>
          </w:tcPr>
          <w:p>
            <w:pPr>
              <w:rPr>
                <w:sz w:val="2"/>
                <w:szCs w:val="2"/>
              </w:rPr>
            </w:pPr>
          </w:p>
        </w:tc>
      </w:tr>
      <w:tr>
        <w:trPr>
          <w:trHeight w:val="450" w:hRule="atLeast"/>
        </w:trPr>
        <w:tc>
          <w:tcPr>
            <w:tcW w:w="14247" w:type="dxa"/>
            <w:gridSpan w:val="8"/>
            <w:shd w:val="clear" w:color="auto" w:fill="EFF8F9"/>
          </w:tcPr>
          <w:p>
            <w:pPr>
              <w:pStyle w:val="TableParagraph"/>
              <w:spacing w:line="206" w:lineRule="exact" w:before="19"/>
              <w:ind w:left="72" w:right="98"/>
              <w:rPr>
                <w:b/>
                <w:sz w:val="18"/>
              </w:rPr>
            </w:pPr>
            <w:r>
              <w:rPr>
                <w:b/>
                <w:sz w:val="18"/>
              </w:rPr>
              <w:t>Producto</w:t>
            </w:r>
            <w:r>
              <w:rPr>
                <w:b/>
                <w:spacing w:val="-4"/>
                <w:sz w:val="18"/>
              </w:rPr>
              <w:t> </w:t>
            </w:r>
            <w:r>
              <w:rPr>
                <w:b/>
                <w:sz w:val="18"/>
              </w:rPr>
              <w:t>PPPS</w:t>
            </w:r>
            <w:r>
              <w:rPr>
                <w:b/>
                <w:spacing w:val="-4"/>
                <w:sz w:val="18"/>
              </w:rPr>
              <w:t> </w:t>
            </w:r>
            <w:r>
              <w:rPr>
                <w:b/>
                <w:sz w:val="18"/>
              </w:rPr>
              <w:t>1.30:</w:t>
            </w:r>
            <w:r>
              <w:rPr>
                <w:b/>
                <w:spacing w:val="-1"/>
                <w:sz w:val="18"/>
              </w:rPr>
              <w:t> </w:t>
            </w:r>
            <w:r>
              <w:rPr>
                <w:b/>
                <w:sz w:val="18"/>
              </w:rPr>
              <w:t>Estrategia</w:t>
            </w:r>
            <w:r>
              <w:rPr>
                <w:b/>
                <w:spacing w:val="-3"/>
                <w:sz w:val="18"/>
              </w:rPr>
              <w:t> </w:t>
            </w:r>
            <w:r>
              <w:rPr>
                <w:b/>
                <w:sz w:val="18"/>
              </w:rPr>
              <w:t>de</w:t>
            </w:r>
            <w:r>
              <w:rPr>
                <w:b/>
                <w:spacing w:val="-3"/>
                <w:sz w:val="18"/>
              </w:rPr>
              <w:t> </w:t>
            </w:r>
            <w:r>
              <w:rPr>
                <w:b/>
                <w:sz w:val="18"/>
              </w:rPr>
              <w:t>participación</w:t>
            </w:r>
            <w:r>
              <w:rPr>
                <w:b/>
                <w:spacing w:val="-4"/>
                <w:sz w:val="18"/>
              </w:rPr>
              <w:t> </w:t>
            </w:r>
            <w:r>
              <w:rPr>
                <w:b/>
                <w:sz w:val="18"/>
              </w:rPr>
              <w:t>ciudadana diseñada,</w:t>
            </w:r>
            <w:r>
              <w:rPr>
                <w:b/>
                <w:spacing w:val="-1"/>
                <w:sz w:val="18"/>
              </w:rPr>
              <w:t> </w:t>
            </w:r>
            <w:r>
              <w:rPr>
                <w:b/>
                <w:sz w:val="18"/>
              </w:rPr>
              <w:t>homologada y</w:t>
            </w:r>
            <w:r>
              <w:rPr>
                <w:b/>
                <w:spacing w:val="-3"/>
                <w:sz w:val="18"/>
              </w:rPr>
              <w:t> </w:t>
            </w:r>
            <w:r>
              <w:rPr>
                <w:b/>
                <w:sz w:val="18"/>
              </w:rPr>
              <w:t>oficializada que</w:t>
            </w:r>
            <w:r>
              <w:rPr>
                <w:b/>
                <w:spacing w:val="-3"/>
                <w:sz w:val="18"/>
              </w:rPr>
              <w:t> </w:t>
            </w:r>
            <w:r>
              <w:rPr>
                <w:b/>
                <w:sz w:val="18"/>
              </w:rPr>
              <w:t>implique</w:t>
            </w:r>
            <w:r>
              <w:rPr>
                <w:b/>
                <w:spacing w:val="-3"/>
                <w:sz w:val="18"/>
              </w:rPr>
              <w:t> </w:t>
            </w:r>
            <w:r>
              <w:rPr>
                <w:b/>
                <w:sz w:val="18"/>
              </w:rPr>
              <w:t>la</w:t>
            </w:r>
            <w:r>
              <w:rPr>
                <w:b/>
                <w:spacing w:val="-3"/>
                <w:sz w:val="18"/>
              </w:rPr>
              <w:t> </w:t>
            </w:r>
            <w:r>
              <w:rPr>
                <w:b/>
                <w:sz w:val="18"/>
              </w:rPr>
              <w:t>rendición</w:t>
            </w:r>
            <w:r>
              <w:rPr>
                <w:b/>
                <w:spacing w:val="-4"/>
                <w:sz w:val="18"/>
              </w:rPr>
              <w:t> </w:t>
            </w:r>
            <w:r>
              <w:rPr>
                <w:b/>
                <w:sz w:val="18"/>
              </w:rPr>
              <w:t>de cuentas y</w:t>
            </w:r>
            <w:r>
              <w:rPr>
                <w:b/>
                <w:spacing w:val="-3"/>
                <w:sz w:val="18"/>
              </w:rPr>
              <w:t> </w:t>
            </w:r>
            <w:r>
              <w:rPr>
                <w:b/>
                <w:sz w:val="18"/>
              </w:rPr>
              <w:t>consulta a</w:t>
            </w:r>
            <w:r>
              <w:rPr>
                <w:b/>
                <w:spacing w:val="-8"/>
                <w:sz w:val="18"/>
              </w:rPr>
              <w:t> </w:t>
            </w:r>
            <w:r>
              <w:rPr>
                <w:b/>
                <w:sz w:val="18"/>
              </w:rPr>
              <w:t>la población objetivo a fin de procurar la transparencia en la gestión institucional. E3 AE1 R1</w:t>
            </w:r>
          </w:p>
        </w:tc>
      </w:tr>
      <w:tr>
        <w:trPr>
          <w:trHeight w:val="825" w:hRule="atLeast"/>
        </w:trPr>
        <w:tc>
          <w:tcPr>
            <w:tcW w:w="2972" w:type="dxa"/>
          </w:tcPr>
          <w:p>
            <w:pPr>
              <w:pStyle w:val="TableParagraph"/>
              <w:spacing w:line="206" w:lineRule="exact"/>
              <w:ind w:left="72" w:right="105"/>
              <w:rPr>
                <w:b/>
                <w:sz w:val="18"/>
              </w:rPr>
            </w:pPr>
            <w:r>
              <w:rPr>
                <w:b/>
                <w:sz w:val="18"/>
              </w:rPr>
              <w:t>Actividad PPPS 1.30.1: </w:t>
            </w:r>
            <w:r>
              <w:rPr>
                <w:sz w:val="18"/>
              </w:rPr>
              <w:t>Elaboración y aprobación de estrategia</w:t>
            </w:r>
            <w:r>
              <w:rPr>
                <w:spacing w:val="-7"/>
                <w:sz w:val="18"/>
              </w:rPr>
              <w:t> </w:t>
            </w:r>
            <w:r>
              <w:rPr>
                <w:sz w:val="18"/>
              </w:rPr>
              <w:t>de</w:t>
            </w:r>
            <w:r>
              <w:rPr>
                <w:spacing w:val="-10"/>
                <w:sz w:val="18"/>
              </w:rPr>
              <w:t> </w:t>
            </w:r>
            <w:r>
              <w:rPr>
                <w:sz w:val="18"/>
              </w:rPr>
              <w:t>consulta</w:t>
            </w:r>
            <w:r>
              <w:rPr>
                <w:spacing w:val="-10"/>
                <w:sz w:val="18"/>
              </w:rPr>
              <w:t> </w:t>
            </w:r>
            <w:r>
              <w:rPr>
                <w:sz w:val="18"/>
              </w:rPr>
              <w:t>ciudadana</w:t>
            </w:r>
            <w:r>
              <w:rPr>
                <w:spacing w:val="-10"/>
                <w:sz w:val="18"/>
              </w:rPr>
              <w:t> </w:t>
            </w:r>
            <w:r>
              <w:rPr>
                <w:sz w:val="18"/>
              </w:rPr>
              <w:t>y rendición</w:t>
            </w:r>
            <w:r>
              <w:rPr>
                <w:spacing w:val="-6"/>
                <w:sz w:val="18"/>
              </w:rPr>
              <w:t> </w:t>
            </w:r>
            <w:r>
              <w:rPr>
                <w:sz w:val="18"/>
              </w:rPr>
              <w:t>de</w:t>
            </w:r>
            <w:r>
              <w:rPr>
                <w:spacing w:val="-6"/>
                <w:sz w:val="18"/>
              </w:rPr>
              <w:t> </w:t>
            </w:r>
            <w:r>
              <w:rPr>
                <w:sz w:val="18"/>
              </w:rPr>
              <w:t>cuentas</w:t>
            </w:r>
            <w:r>
              <w:rPr>
                <w:spacing w:val="-4"/>
                <w:sz w:val="18"/>
              </w:rPr>
              <w:t> </w:t>
            </w:r>
            <w:r>
              <w:rPr>
                <w:b/>
                <w:sz w:val="18"/>
              </w:rPr>
              <w:t>(vinculado</w:t>
            </w:r>
            <w:r>
              <w:rPr>
                <w:b/>
                <w:spacing w:val="-7"/>
                <w:sz w:val="18"/>
              </w:rPr>
              <w:t> </w:t>
            </w:r>
            <w:r>
              <w:rPr>
                <w:b/>
                <w:spacing w:val="-10"/>
                <w:sz w:val="18"/>
              </w:rPr>
              <w:t>a</w:t>
            </w:r>
          </w:p>
        </w:tc>
        <w:tc>
          <w:tcPr>
            <w:tcW w:w="1560" w:type="dxa"/>
          </w:tcPr>
          <w:p>
            <w:pPr>
              <w:pStyle w:val="TableParagraph"/>
              <w:spacing w:before="99"/>
              <w:rPr>
                <w:b/>
                <w:sz w:val="18"/>
              </w:rPr>
            </w:pPr>
          </w:p>
          <w:p>
            <w:pPr>
              <w:pStyle w:val="TableParagraph"/>
              <w:ind w:left="21" w:right="10"/>
              <w:jc w:val="center"/>
              <w:rPr>
                <w:sz w:val="18"/>
              </w:rPr>
            </w:pPr>
            <w:r>
              <w:rPr>
                <w:spacing w:val="-10"/>
                <w:sz w:val="18"/>
              </w:rPr>
              <w:t>0</w:t>
            </w:r>
          </w:p>
        </w:tc>
        <w:tc>
          <w:tcPr>
            <w:tcW w:w="1560" w:type="dxa"/>
          </w:tcPr>
          <w:p>
            <w:pPr>
              <w:pStyle w:val="TableParagraph"/>
              <w:spacing w:before="99"/>
              <w:rPr>
                <w:b/>
                <w:sz w:val="18"/>
              </w:rPr>
            </w:pPr>
          </w:p>
          <w:p>
            <w:pPr>
              <w:pStyle w:val="TableParagraph"/>
              <w:ind w:left="21" w:right="12"/>
              <w:jc w:val="center"/>
              <w:rPr>
                <w:sz w:val="18"/>
              </w:rPr>
            </w:pPr>
            <w:r>
              <w:rPr>
                <w:spacing w:val="-4"/>
                <w:sz w:val="18"/>
              </w:rPr>
              <w:t>100%</w:t>
            </w:r>
          </w:p>
        </w:tc>
        <w:tc>
          <w:tcPr>
            <w:tcW w:w="1982" w:type="dxa"/>
          </w:tcPr>
          <w:p>
            <w:pPr>
              <w:pStyle w:val="TableParagraph"/>
              <w:spacing w:before="100"/>
              <w:ind w:left="68" w:right="114"/>
              <w:rPr>
                <w:sz w:val="18"/>
              </w:rPr>
            </w:pPr>
            <w:r>
              <w:rPr>
                <w:sz w:val="18"/>
              </w:rPr>
              <w:t>Porcentaje</w:t>
            </w:r>
            <w:r>
              <w:rPr>
                <w:spacing w:val="-15"/>
                <w:sz w:val="18"/>
              </w:rPr>
              <w:t> </w:t>
            </w:r>
            <w:r>
              <w:rPr>
                <w:sz w:val="18"/>
              </w:rPr>
              <w:t>de</w:t>
            </w:r>
            <w:r>
              <w:rPr>
                <w:spacing w:val="-12"/>
                <w:sz w:val="18"/>
              </w:rPr>
              <w:t> </w:t>
            </w:r>
            <w:r>
              <w:rPr>
                <w:sz w:val="18"/>
              </w:rPr>
              <w:t>avance en la elaboración de una estrategia de</w:t>
            </w:r>
          </w:p>
        </w:tc>
        <w:tc>
          <w:tcPr>
            <w:tcW w:w="1560" w:type="dxa"/>
          </w:tcPr>
          <w:p>
            <w:pPr>
              <w:pStyle w:val="TableParagraph"/>
              <w:spacing w:before="205"/>
              <w:ind w:left="73" w:right="58"/>
              <w:rPr>
                <w:sz w:val="18"/>
              </w:rPr>
            </w:pPr>
            <w:r>
              <w:rPr>
                <w:sz w:val="18"/>
              </w:rPr>
              <w:t>Documento</w:t>
            </w:r>
            <w:r>
              <w:rPr>
                <w:spacing w:val="-13"/>
                <w:sz w:val="18"/>
              </w:rPr>
              <w:t> </w:t>
            </w:r>
            <w:r>
              <w:rPr>
                <w:sz w:val="18"/>
              </w:rPr>
              <w:t>de </w:t>
            </w:r>
            <w:r>
              <w:rPr>
                <w:spacing w:val="-2"/>
                <w:sz w:val="18"/>
              </w:rPr>
              <w:t>estrategia</w:t>
            </w:r>
          </w:p>
        </w:tc>
        <w:tc>
          <w:tcPr>
            <w:tcW w:w="1416" w:type="dxa"/>
          </w:tcPr>
          <w:p>
            <w:pPr>
              <w:pStyle w:val="TableParagraph"/>
              <w:spacing w:before="99"/>
              <w:rPr>
                <w:b/>
                <w:sz w:val="18"/>
              </w:rPr>
            </w:pPr>
          </w:p>
          <w:p>
            <w:pPr>
              <w:pStyle w:val="TableParagraph"/>
              <w:ind w:left="17" w:right="12"/>
              <w:jc w:val="center"/>
              <w:rPr>
                <w:sz w:val="18"/>
              </w:rPr>
            </w:pPr>
            <w:r>
              <w:rPr>
                <w:spacing w:val="-5"/>
                <w:sz w:val="18"/>
              </w:rPr>
              <w:t>DDS</w:t>
            </w:r>
          </w:p>
        </w:tc>
        <w:tc>
          <w:tcPr>
            <w:tcW w:w="1649" w:type="dxa"/>
          </w:tcPr>
          <w:p>
            <w:pPr>
              <w:pStyle w:val="TableParagraph"/>
              <w:rPr>
                <w:rFonts w:ascii="Times New Roman"/>
                <w:sz w:val="18"/>
              </w:rPr>
            </w:pPr>
          </w:p>
        </w:tc>
        <w:tc>
          <w:tcPr>
            <w:tcW w:w="1548" w:type="dxa"/>
          </w:tcPr>
          <w:p>
            <w:pPr>
              <w:pStyle w:val="TableParagraph"/>
              <w:numPr>
                <w:ilvl w:val="0"/>
                <w:numId w:val="60"/>
              </w:numPr>
              <w:tabs>
                <w:tab w:pos="133" w:val="left" w:leader="none"/>
              </w:tabs>
              <w:spacing w:line="206" w:lineRule="exact" w:before="0" w:after="0"/>
              <w:ind w:left="72" w:right="104" w:firstLine="0"/>
              <w:jc w:val="left"/>
              <w:rPr>
                <w:sz w:val="18"/>
              </w:rPr>
            </w:pPr>
            <w:r>
              <w:rPr>
                <w:sz w:val="18"/>
              </w:rPr>
              <w:t>No</w:t>
            </w:r>
            <w:r>
              <w:rPr>
                <w:spacing w:val="-8"/>
                <w:sz w:val="18"/>
              </w:rPr>
              <w:t> </w:t>
            </w:r>
            <w:r>
              <w:rPr>
                <w:sz w:val="18"/>
              </w:rPr>
              <w:t>se</w:t>
            </w:r>
            <w:r>
              <w:rPr>
                <w:spacing w:val="-12"/>
                <w:sz w:val="18"/>
              </w:rPr>
              <w:t> </w:t>
            </w:r>
            <w:r>
              <w:rPr>
                <w:sz w:val="18"/>
              </w:rPr>
              <w:t>alcance</w:t>
            </w:r>
            <w:r>
              <w:rPr>
                <w:spacing w:val="-12"/>
                <w:sz w:val="18"/>
              </w:rPr>
              <w:t> </w:t>
            </w:r>
            <w:r>
              <w:rPr>
                <w:sz w:val="18"/>
              </w:rPr>
              <w:t>a implementar la estrategia de </w:t>
            </w:r>
            <w:r>
              <w:rPr>
                <w:spacing w:val="-2"/>
                <w:sz w:val="18"/>
              </w:rPr>
              <w:t>participación</w:t>
            </w:r>
          </w:p>
        </w:tc>
      </w:tr>
    </w:tbl>
    <w:p>
      <w:pPr>
        <w:pStyle w:val="TableParagraph"/>
        <w:spacing w:after="0" w:line="206" w:lineRule="exact"/>
        <w:jc w:val="left"/>
        <w:rPr>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7"/>
        <w:gridCol w:w="1549"/>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7" w:type="dxa"/>
            <w:shd w:val="clear" w:color="auto" w:fill="D9D9D9"/>
          </w:tcPr>
          <w:p>
            <w:pPr>
              <w:pStyle w:val="TableParagraph"/>
              <w:spacing w:before="104"/>
              <w:ind w:left="430" w:hanging="120"/>
              <w:rPr>
                <w:b/>
                <w:sz w:val="18"/>
              </w:rPr>
            </w:pPr>
            <w:r>
              <w:rPr>
                <w:b/>
                <w:spacing w:val="-2"/>
                <w:sz w:val="18"/>
              </w:rPr>
              <w:t>Presupuesto asignado</w:t>
            </w:r>
          </w:p>
        </w:tc>
        <w:tc>
          <w:tcPr>
            <w:tcW w:w="1549" w:type="dxa"/>
            <w:shd w:val="clear" w:color="auto" w:fill="D9D9D9"/>
          </w:tcPr>
          <w:p>
            <w:pPr>
              <w:pStyle w:val="TableParagraph"/>
              <w:spacing w:line="206" w:lineRule="exact"/>
              <w:ind w:left="23" w:right="4"/>
              <w:jc w:val="center"/>
              <w:rPr>
                <w:b/>
                <w:sz w:val="18"/>
              </w:rPr>
            </w:pPr>
            <w:r>
              <w:rPr>
                <w:b/>
                <w:spacing w:val="-2"/>
                <w:sz w:val="18"/>
              </w:rPr>
              <w:t>Riesgos </w:t>
            </w:r>
            <w:r>
              <w:rPr>
                <w:b/>
                <w:sz w:val="18"/>
              </w:rPr>
              <w:t>asociados al </w:t>
            </w:r>
            <w:r>
              <w:rPr>
                <w:b/>
                <w:spacing w:val="-2"/>
                <w:sz w:val="18"/>
              </w:rPr>
              <w:t>cumplimiento</w:t>
            </w:r>
          </w:p>
        </w:tc>
      </w:tr>
      <w:tr>
        <w:trPr>
          <w:trHeight w:val="489" w:hRule="atLeast"/>
        </w:trPr>
        <w:tc>
          <w:tcPr>
            <w:tcW w:w="2972" w:type="dxa"/>
          </w:tcPr>
          <w:p>
            <w:pPr>
              <w:pStyle w:val="TableParagraph"/>
              <w:spacing w:before="3"/>
              <w:ind w:left="72" w:right="333"/>
              <w:rPr>
                <w:b/>
                <w:sz w:val="18"/>
              </w:rPr>
            </w:pPr>
            <w:r>
              <w:rPr>
                <w:b/>
                <w:sz w:val="18"/>
              </w:rPr>
              <w:t>PEI</w:t>
            </w:r>
            <w:r>
              <w:rPr>
                <w:b/>
                <w:spacing w:val="-5"/>
                <w:sz w:val="18"/>
              </w:rPr>
              <w:t> </w:t>
            </w:r>
            <w:r>
              <w:rPr>
                <w:b/>
                <w:sz w:val="18"/>
              </w:rPr>
              <w:t>3.1.1</w:t>
            </w:r>
            <w:r>
              <w:rPr>
                <w:b/>
                <w:spacing w:val="-10"/>
                <w:sz w:val="18"/>
              </w:rPr>
              <w:t> </w:t>
            </w:r>
            <w:r>
              <w:rPr>
                <w:b/>
                <w:sz w:val="18"/>
              </w:rPr>
              <w:t>/</w:t>
            </w:r>
            <w:r>
              <w:rPr>
                <w:b/>
                <w:spacing w:val="-7"/>
                <w:sz w:val="18"/>
              </w:rPr>
              <w:t> </w:t>
            </w:r>
            <w:r>
              <w:rPr>
                <w:b/>
                <w:sz w:val="18"/>
              </w:rPr>
              <w:t>Estrategia</w:t>
            </w:r>
            <w:r>
              <w:rPr>
                <w:b/>
                <w:spacing w:val="-13"/>
                <w:sz w:val="18"/>
              </w:rPr>
              <w:t> </w:t>
            </w:r>
            <w:r>
              <w:rPr>
                <w:b/>
                <w:sz w:val="18"/>
              </w:rPr>
              <w:t>GpRD </w:t>
            </w:r>
            <w:r>
              <w:rPr>
                <w:b/>
                <w:spacing w:val="-2"/>
                <w:sz w:val="18"/>
              </w:rPr>
              <w:t>2.6.4)</w:t>
            </w:r>
          </w:p>
        </w:tc>
        <w:tc>
          <w:tcPr>
            <w:tcW w:w="1560" w:type="dxa"/>
          </w:tcPr>
          <w:p>
            <w:pPr>
              <w:pStyle w:val="TableParagraph"/>
              <w:rPr>
                <w:rFonts w:ascii="Times New Roman"/>
                <w:sz w:val="18"/>
              </w:rPr>
            </w:pPr>
          </w:p>
        </w:tc>
        <w:tc>
          <w:tcPr>
            <w:tcW w:w="1560" w:type="dxa"/>
          </w:tcPr>
          <w:p>
            <w:pPr>
              <w:pStyle w:val="TableParagraph"/>
              <w:rPr>
                <w:rFonts w:ascii="Times New Roman"/>
                <w:sz w:val="18"/>
              </w:rPr>
            </w:pPr>
          </w:p>
        </w:tc>
        <w:tc>
          <w:tcPr>
            <w:tcW w:w="1982" w:type="dxa"/>
          </w:tcPr>
          <w:p>
            <w:pPr>
              <w:pStyle w:val="TableParagraph"/>
              <w:spacing w:before="3"/>
              <w:ind w:left="68"/>
              <w:rPr>
                <w:sz w:val="18"/>
              </w:rPr>
            </w:pPr>
            <w:r>
              <w:rPr>
                <w:sz w:val="18"/>
              </w:rPr>
              <w:t>consulta</w:t>
            </w:r>
            <w:r>
              <w:rPr>
                <w:spacing w:val="-15"/>
                <w:sz w:val="18"/>
              </w:rPr>
              <w:t> </w:t>
            </w:r>
            <w:r>
              <w:rPr>
                <w:sz w:val="18"/>
              </w:rPr>
              <w:t>ciudadana</w:t>
            </w:r>
            <w:r>
              <w:rPr>
                <w:spacing w:val="-12"/>
                <w:sz w:val="18"/>
              </w:rPr>
              <w:t> </w:t>
            </w:r>
            <w:r>
              <w:rPr>
                <w:sz w:val="18"/>
              </w:rPr>
              <w:t>y rendición</w:t>
            </w:r>
            <w:r>
              <w:rPr>
                <w:spacing w:val="-4"/>
                <w:sz w:val="18"/>
              </w:rPr>
              <w:t> </w:t>
            </w:r>
            <w:r>
              <w:rPr>
                <w:sz w:val="18"/>
              </w:rPr>
              <w:t>de</w:t>
            </w:r>
            <w:r>
              <w:rPr>
                <w:spacing w:val="-4"/>
                <w:sz w:val="18"/>
              </w:rPr>
              <w:t> </w:t>
            </w:r>
            <w:r>
              <w:rPr>
                <w:spacing w:val="-2"/>
                <w:sz w:val="18"/>
              </w:rPr>
              <w:t>cuentas</w:t>
            </w:r>
          </w:p>
        </w:tc>
        <w:tc>
          <w:tcPr>
            <w:tcW w:w="1560" w:type="dxa"/>
          </w:tcPr>
          <w:p>
            <w:pPr>
              <w:pStyle w:val="TableParagraph"/>
              <w:rPr>
                <w:rFonts w:ascii="Times New Roman"/>
                <w:sz w:val="18"/>
              </w:rPr>
            </w:pPr>
          </w:p>
        </w:tc>
        <w:tc>
          <w:tcPr>
            <w:tcW w:w="1416" w:type="dxa"/>
          </w:tcPr>
          <w:p>
            <w:pPr>
              <w:pStyle w:val="TableParagraph"/>
              <w:rPr>
                <w:rFonts w:ascii="Times New Roman"/>
                <w:sz w:val="18"/>
              </w:rPr>
            </w:pPr>
          </w:p>
        </w:tc>
        <w:tc>
          <w:tcPr>
            <w:tcW w:w="1647" w:type="dxa"/>
          </w:tcPr>
          <w:p>
            <w:pPr>
              <w:pStyle w:val="TableParagraph"/>
              <w:rPr>
                <w:rFonts w:ascii="Times New Roman"/>
                <w:sz w:val="18"/>
              </w:rPr>
            </w:pPr>
          </w:p>
        </w:tc>
        <w:tc>
          <w:tcPr>
            <w:tcW w:w="1549" w:type="dxa"/>
            <w:vMerge w:val="restart"/>
          </w:tcPr>
          <w:p>
            <w:pPr>
              <w:pStyle w:val="TableParagraph"/>
              <w:spacing w:before="3"/>
              <w:ind w:left="74" w:right="44"/>
              <w:rPr>
                <w:sz w:val="18"/>
              </w:rPr>
            </w:pPr>
            <w:r>
              <w:rPr>
                <w:sz w:val="18"/>
              </w:rPr>
              <w:t>ciudadana por parte de las ARDS</w:t>
            </w:r>
            <w:r>
              <w:rPr>
                <w:spacing w:val="-15"/>
                <w:sz w:val="18"/>
              </w:rPr>
              <w:t> </w:t>
            </w:r>
            <w:r>
              <w:rPr>
                <w:sz w:val="18"/>
              </w:rPr>
              <w:t>durante</w:t>
            </w:r>
            <w:r>
              <w:rPr>
                <w:spacing w:val="-12"/>
                <w:sz w:val="18"/>
              </w:rPr>
              <w:t> </w:t>
            </w:r>
            <w:r>
              <w:rPr>
                <w:sz w:val="18"/>
              </w:rPr>
              <w:t>el </w:t>
            </w:r>
            <w:r>
              <w:rPr>
                <w:spacing w:val="-2"/>
                <w:sz w:val="18"/>
              </w:rPr>
              <w:t>2025.</w:t>
            </w:r>
          </w:p>
        </w:tc>
      </w:tr>
      <w:tr>
        <w:trPr>
          <w:trHeight w:val="1036" w:hRule="atLeast"/>
        </w:trPr>
        <w:tc>
          <w:tcPr>
            <w:tcW w:w="2972" w:type="dxa"/>
          </w:tcPr>
          <w:p>
            <w:pPr>
              <w:pStyle w:val="TableParagraph"/>
              <w:ind w:left="72" w:right="123"/>
              <w:rPr>
                <w:b/>
                <w:sz w:val="18"/>
              </w:rPr>
            </w:pPr>
            <w:r>
              <w:rPr>
                <w:b/>
                <w:sz w:val="18"/>
              </w:rPr>
              <w:t>Actividad PPPS 1.30.2: </w:t>
            </w:r>
            <w:r>
              <w:rPr>
                <w:sz w:val="18"/>
              </w:rPr>
              <w:t>Aplicación de estrategia de consulta ciudadana y sesiones de rendición</w:t>
            </w:r>
            <w:r>
              <w:rPr>
                <w:spacing w:val="-9"/>
                <w:sz w:val="18"/>
              </w:rPr>
              <w:t> </w:t>
            </w:r>
            <w:r>
              <w:rPr>
                <w:sz w:val="18"/>
              </w:rPr>
              <w:t>de</w:t>
            </w:r>
            <w:r>
              <w:rPr>
                <w:spacing w:val="-9"/>
                <w:sz w:val="18"/>
              </w:rPr>
              <w:t> </w:t>
            </w:r>
            <w:r>
              <w:rPr>
                <w:sz w:val="18"/>
              </w:rPr>
              <w:t>cuentas</w:t>
            </w:r>
            <w:r>
              <w:rPr>
                <w:spacing w:val="-8"/>
                <w:sz w:val="18"/>
              </w:rPr>
              <w:t> </w:t>
            </w:r>
            <w:r>
              <w:rPr>
                <w:b/>
                <w:sz w:val="18"/>
              </w:rPr>
              <w:t>(vinculado</w:t>
            </w:r>
            <w:r>
              <w:rPr>
                <w:b/>
                <w:spacing w:val="-10"/>
                <w:sz w:val="18"/>
              </w:rPr>
              <w:t> </w:t>
            </w:r>
            <w:r>
              <w:rPr>
                <w:b/>
                <w:sz w:val="18"/>
              </w:rPr>
              <w:t>a</w:t>
            </w:r>
          </w:p>
          <w:p>
            <w:pPr>
              <w:pStyle w:val="TableParagraph"/>
              <w:spacing w:line="187" w:lineRule="exact" w:before="1"/>
              <w:ind w:left="72"/>
              <w:rPr>
                <w:b/>
                <w:sz w:val="18"/>
              </w:rPr>
            </w:pPr>
            <w:r>
              <w:rPr>
                <w:b/>
                <w:sz w:val="18"/>
              </w:rPr>
              <w:t>PEI</w:t>
            </w:r>
            <w:r>
              <w:rPr>
                <w:b/>
                <w:spacing w:val="2"/>
                <w:sz w:val="18"/>
              </w:rPr>
              <w:t> </w:t>
            </w:r>
            <w:r>
              <w:rPr>
                <w:b/>
                <w:spacing w:val="-2"/>
                <w:sz w:val="18"/>
              </w:rPr>
              <w:t>3.1.1)</w:t>
            </w:r>
          </w:p>
        </w:tc>
        <w:tc>
          <w:tcPr>
            <w:tcW w:w="1560" w:type="dxa"/>
          </w:tcPr>
          <w:p>
            <w:pPr>
              <w:pStyle w:val="TableParagraph"/>
              <w:rPr>
                <w:b/>
                <w:sz w:val="18"/>
              </w:rPr>
            </w:pPr>
          </w:p>
          <w:p>
            <w:pPr>
              <w:pStyle w:val="TableParagraph"/>
              <w:spacing w:before="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2"/>
              <w:rPr>
                <w:b/>
                <w:sz w:val="18"/>
              </w:rPr>
            </w:pPr>
          </w:p>
          <w:p>
            <w:pPr>
              <w:pStyle w:val="TableParagraph"/>
              <w:ind w:left="21" w:right="16"/>
              <w:jc w:val="center"/>
              <w:rPr>
                <w:sz w:val="18"/>
              </w:rPr>
            </w:pPr>
            <w:r>
              <w:rPr>
                <w:spacing w:val="-5"/>
                <w:sz w:val="18"/>
              </w:rPr>
              <w:t>60%</w:t>
            </w:r>
          </w:p>
        </w:tc>
        <w:tc>
          <w:tcPr>
            <w:tcW w:w="1982" w:type="dxa"/>
          </w:tcPr>
          <w:p>
            <w:pPr>
              <w:pStyle w:val="TableParagraph"/>
              <w:ind w:left="68" w:right="114"/>
              <w:rPr>
                <w:sz w:val="18"/>
              </w:rPr>
            </w:pPr>
            <w:r>
              <w:rPr>
                <w:sz w:val="18"/>
              </w:rPr>
              <w:t>Porcentaje de población</w:t>
            </w:r>
            <w:r>
              <w:rPr>
                <w:spacing w:val="-15"/>
                <w:sz w:val="18"/>
              </w:rPr>
              <w:t> </w:t>
            </w:r>
            <w:r>
              <w:rPr>
                <w:sz w:val="18"/>
              </w:rPr>
              <w:t>objetivo</w:t>
            </w:r>
            <w:r>
              <w:rPr>
                <w:spacing w:val="-12"/>
                <w:sz w:val="18"/>
              </w:rPr>
              <w:t> </w:t>
            </w:r>
            <w:r>
              <w:rPr>
                <w:sz w:val="18"/>
              </w:rPr>
              <w:t>por Área Regional que participa dentro de la</w:t>
            </w:r>
          </w:p>
          <w:p>
            <w:pPr>
              <w:pStyle w:val="TableParagraph"/>
              <w:spacing w:line="187" w:lineRule="exact" w:before="1"/>
              <w:ind w:left="68"/>
              <w:rPr>
                <w:sz w:val="18"/>
              </w:rPr>
            </w:pPr>
            <w:r>
              <w:rPr>
                <w:sz w:val="18"/>
              </w:rPr>
              <w:t>estrategia</w:t>
            </w:r>
            <w:r>
              <w:rPr>
                <w:spacing w:val="-6"/>
                <w:sz w:val="18"/>
              </w:rPr>
              <w:t> </w:t>
            </w:r>
            <w:r>
              <w:rPr>
                <w:spacing w:val="-2"/>
                <w:sz w:val="18"/>
              </w:rPr>
              <w:t>institucional</w:t>
            </w:r>
          </w:p>
        </w:tc>
        <w:tc>
          <w:tcPr>
            <w:tcW w:w="1560" w:type="dxa"/>
          </w:tcPr>
          <w:p>
            <w:pPr>
              <w:pStyle w:val="TableParagraph"/>
              <w:spacing w:line="242" w:lineRule="auto" w:before="205"/>
              <w:ind w:left="73" w:right="489"/>
              <w:jc w:val="both"/>
              <w:rPr>
                <w:sz w:val="18"/>
              </w:rPr>
            </w:pPr>
            <w:r>
              <w:rPr>
                <w:sz w:val="18"/>
              </w:rPr>
              <w:t>Reportes</w:t>
            </w:r>
            <w:r>
              <w:rPr>
                <w:spacing w:val="-13"/>
                <w:sz w:val="18"/>
              </w:rPr>
              <w:t> </w:t>
            </w:r>
            <w:r>
              <w:rPr>
                <w:sz w:val="18"/>
              </w:rPr>
              <w:t>de asistencia</w:t>
            </w:r>
            <w:r>
              <w:rPr>
                <w:spacing w:val="-3"/>
                <w:sz w:val="18"/>
              </w:rPr>
              <w:t> </w:t>
            </w:r>
            <w:r>
              <w:rPr>
                <w:sz w:val="18"/>
              </w:rPr>
              <w:t>a </w:t>
            </w:r>
            <w:r>
              <w:rPr>
                <w:spacing w:val="-2"/>
                <w:sz w:val="18"/>
              </w:rPr>
              <w:t>sesiones</w:t>
            </w:r>
          </w:p>
        </w:tc>
        <w:tc>
          <w:tcPr>
            <w:tcW w:w="1416" w:type="dxa"/>
          </w:tcPr>
          <w:p>
            <w:pPr>
              <w:pStyle w:val="TableParagraph"/>
              <w:rPr>
                <w:b/>
                <w:sz w:val="18"/>
              </w:rPr>
            </w:pPr>
          </w:p>
          <w:p>
            <w:pPr>
              <w:pStyle w:val="TableParagraph"/>
              <w:spacing w:before="2"/>
              <w:rPr>
                <w:b/>
                <w:sz w:val="18"/>
              </w:rPr>
            </w:pPr>
          </w:p>
          <w:p>
            <w:pPr>
              <w:pStyle w:val="TableParagraph"/>
              <w:ind w:left="17" w:right="6"/>
              <w:jc w:val="center"/>
              <w:rPr>
                <w:sz w:val="18"/>
              </w:rPr>
            </w:pPr>
            <w:r>
              <w:rPr>
                <w:spacing w:val="-4"/>
                <w:sz w:val="18"/>
              </w:rPr>
              <w:t>ARDS</w:t>
            </w:r>
          </w:p>
        </w:tc>
        <w:tc>
          <w:tcPr>
            <w:tcW w:w="1647" w:type="dxa"/>
          </w:tcPr>
          <w:p>
            <w:pPr>
              <w:pStyle w:val="TableParagraph"/>
              <w:rPr>
                <w:rFonts w:ascii="Times New Roman"/>
                <w:sz w:val="18"/>
              </w:rPr>
            </w:pPr>
          </w:p>
        </w:tc>
        <w:tc>
          <w:tcPr>
            <w:tcW w:w="1549" w:type="dxa"/>
            <w:vMerge/>
            <w:tcBorders>
              <w:top w:val="nil"/>
            </w:tcBorders>
          </w:tcPr>
          <w:p>
            <w:pPr>
              <w:rPr>
                <w:sz w:val="2"/>
                <w:szCs w:val="2"/>
              </w:rPr>
            </w:pPr>
          </w:p>
        </w:tc>
      </w:tr>
      <w:tr>
        <w:trPr>
          <w:trHeight w:val="451" w:hRule="atLeast"/>
        </w:trPr>
        <w:tc>
          <w:tcPr>
            <w:tcW w:w="14246" w:type="dxa"/>
            <w:gridSpan w:val="8"/>
            <w:shd w:val="clear" w:color="auto" w:fill="EFF8F9"/>
          </w:tcPr>
          <w:p>
            <w:pPr>
              <w:pStyle w:val="TableParagraph"/>
              <w:spacing w:line="206" w:lineRule="exact" w:before="19"/>
              <w:ind w:left="72" w:right="60"/>
              <w:rPr>
                <w:b/>
                <w:sz w:val="18"/>
              </w:rPr>
            </w:pPr>
            <w:r>
              <w:rPr>
                <w:b/>
                <w:sz w:val="18"/>
              </w:rPr>
              <w:t>Producto</w:t>
            </w:r>
            <w:r>
              <w:rPr>
                <w:b/>
                <w:spacing w:val="-4"/>
                <w:sz w:val="18"/>
              </w:rPr>
              <w:t> </w:t>
            </w:r>
            <w:r>
              <w:rPr>
                <w:b/>
                <w:sz w:val="18"/>
              </w:rPr>
              <w:t>PPPS</w:t>
            </w:r>
            <w:r>
              <w:rPr>
                <w:b/>
                <w:spacing w:val="-4"/>
                <w:sz w:val="18"/>
              </w:rPr>
              <w:t> </w:t>
            </w:r>
            <w:r>
              <w:rPr>
                <w:b/>
                <w:sz w:val="18"/>
              </w:rPr>
              <w:t>1.31:</w:t>
            </w:r>
            <w:r>
              <w:rPr>
                <w:b/>
                <w:spacing w:val="-1"/>
                <w:sz w:val="18"/>
              </w:rPr>
              <w:t> </w:t>
            </w:r>
            <w:r>
              <w:rPr>
                <w:b/>
                <w:sz w:val="18"/>
              </w:rPr>
              <w:t>Planes</w:t>
            </w:r>
            <w:r>
              <w:rPr>
                <w:b/>
                <w:spacing w:val="-3"/>
                <w:sz w:val="18"/>
              </w:rPr>
              <w:t> </w:t>
            </w:r>
            <w:r>
              <w:rPr>
                <w:b/>
                <w:sz w:val="18"/>
              </w:rPr>
              <w:t>institucionales</w:t>
            </w:r>
            <w:r>
              <w:rPr>
                <w:b/>
                <w:spacing w:val="-3"/>
                <w:sz w:val="18"/>
              </w:rPr>
              <w:t> </w:t>
            </w:r>
            <w:r>
              <w:rPr>
                <w:b/>
                <w:sz w:val="18"/>
              </w:rPr>
              <w:t>de</w:t>
            </w:r>
            <w:r>
              <w:rPr>
                <w:b/>
                <w:spacing w:val="-3"/>
                <w:sz w:val="18"/>
              </w:rPr>
              <w:t> </w:t>
            </w:r>
            <w:r>
              <w:rPr>
                <w:b/>
                <w:sz w:val="18"/>
              </w:rPr>
              <w:t>la</w:t>
            </w:r>
            <w:r>
              <w:rPr>
                <w:b/>
                <w:spacing w:val="-3"/>
                <w:sz w:val="18"/>
              </w:rPr>
              <w:t> </w:t>
            </w:r>
            <w:r>
              <w:rPr>
                <w:b/>
                <w:sz w:val="18"/>
              </w:rPr>
              <w:t>DDS</w:t>
            </w:r>
            <w:r>
              <w:rPr>
                <w:b/>
                <w:spacing w:val="-4"/>
                <w:sz w:val="18"/>
              </w:rPr>
              <w:t> </w:t>
            </w:r>
            <w:r>
              <w:rPr>
                <w:b/>
                <w:sz w:val="18"/>
              </w:rPr>
              <w:t>formulados</w:t>
            </w:r>
            <w:r>
              <w:rPr>
                <w:b/>
                <w:spacing w:val="-3"/>
                <w:sz w:val="18"/>
              </w:rPr>
              <w:t> </w:t>
            </w:r>
            <w:r>
              <w:rPr>
                <w:b/>
                <w:sz w:val="18"/>
              </w:rPr>
              <w:t>considerando</w:t>
            </w:r>
            <w:r>
              <w:rPr>
                <w:b/>
                <w:spacing w:val="-4"/>
                <w:sz w:val="18"/>
              </w:rPr>
              <w:t> </w:t>
            </w:r>
            <w:r>
              <w:rPr>
                <w:b/>
                <w:sz w:val="18"/>
              </w:rPr>
              <w:t>los</w:t>
            </w:r>
            <w:r>
              <w:rPr>
                <w:b/>
                <w:spacing w:val="-3"/>
                <w:sz w:val="18"/>
              </w:rPr>
              <w:t> </w:t>
            </w:r>
            <w:r>
              <w:rPr>
                <w:b/>
                <w:sz w:val="18"/>
              </w:rPr>
              <w:t>insumos</w:t>
            </w:r>
            <w:r>
              <w:rPr>
                <w:b/>
                <w:spacing w:val="-3"/>
                <w:sz w:val="18"/>
              </w:rPr>
              <w:t> </w:t>
            </w:r>
            <w:r>
              <w:rPr>
                <w:b/>
                <w:sz w:val="18"/>
              </w:rPr>
              <w:t>de</w:t>
            </w:r>
            <w:r>
              <w:rPr>
                <w:b/>
                <w:spacing w:val="-3"/>
                <w:sz w:val="18"/>
              </w:rPr>
              <w:t> </w:t>
            </w:r>
            <w:r>
              <w:rPr>
                <w:b/>
                <w:sz w:val="18"/>
              </w:rPr>
              <w:t>las</w:t>
            </w:r>
            <w:r>
              <w:rPr>
                <w:b/>
                <w:spacing w:val="-3"/>
                <w:sz w:val="18"/>
              </w:rPr>
              <w:t> </w:t>
            </w:r>
            <w:r>
              <w:rPr>
                <w:b/>
                <w:sz w:val="18"/>
              </w:rPr>
              <w:t>rendiciones</w:t>
            </w:r>
            <w:r>
              <w:rPr>
                <w:b/>
                <w:spacing w:val="-3"/>
                <w:sz w:val="18"/>
              </w:rPr>
              <w:t> </w:t>
            </w:r>
            <w:r>
              <w:rPr>
                <w:b/>
                <w:sz w:val="18"/>
              </w:rPr>
              <w:t>de cuenta</w:t>
            </w:r>
            <w:r>
              <w:rPr>
                <w:b/>
                <w:spacing w:val="-3"/>
                <w:sz w:val="18"/>
              </w:rPr>
              <w:t> </w:t>
            </w:r>
            <w:r>
              <w:rPr>
                <w:b/>
                <w:sz w:val="18"/>
              </w:rPr>
              <w:t>y consultas</w:t>
            </w:r>
            <w:r>
              <w:rPr>
                <w:b/>
                <w:spacing w:val="-3"/>
                <w:sz w:val="18"/>
              </w:rPr>
              <w:t> </w:t>
            </w:r>
            <w:r>
              <w:rPr>
                <w:b/>
                <w:sz w:val="18"/>
              </w:rPr>
              <w:t>a</w:t>
            </w:r>
            <w:r>
              <w:rPr>
                <w:b/>
                <w:spacing w:val="-3"/>
                <w:sz w:val="18"/>
              </w:rPr>
              <w:t> </w:t>
            </w:r>
            <w:r>
              <w:rPr>
                <w:b/>
                <w:sz w:val="18"/>
              </w:rPr>
              <w:t>la</w:t>
            </w:r>
            <w:r>
              <w:rPr>
                <w:b/>
                <w:spacing w:val="-3"/>
                <w:sz w:val="18"/>
              </w:rPr>
              <w:t> </w:t>
            </w:r>
            <w:r>
              <w:rPr>
                <w:b/>
                <w:sz w:val="18"/>
              </w:rPr>
              <w:t>población objetivo.</w:t>
            </w:r>
            <w:r>
              <w:rPr>
                <w:b/>
                <w:spacing w:val="-1"/>
                <w:sz w:val="18"/>
              </w:rPr>
              <w:t> </w:t>
            </w:r>
            <w:r>
              <w:rPr>
                <w:b/>
                <w:sz w:val="18"/>
              </w:rPr>
              <w:t>E3 AE1 R2</w:t>
            </w:r>
          </w:p>
        </w:tc>
      </w:tr>
      <w:tr>
        <w:trPr>
          <w:trHeight w:val="2069" w:hRule="atLeast"/>
        </w:trPr>
        <w:tc>
          <w:tcPr>
            <w:tcW w:w="2972" w:type="dxa"/>
          </w:tcPr>
          <w:p>
            <w:pPr>
              <w:pStyle w:val="TableParagraph"/>
              <w:spacing w:before="99"/>
              <w:rPr>
                <w:b/>
                <w:sz w:val="18"/>
              </w:rPr>
            </w:pPr>
          </w:p>
          <w:p>
            <w:pPr>
              <w:pStyle w:val="TableParagraph"/>
              <w:ind w:left="72" w:right="105"/>
              <w:rPr>
                <w:b/>
                <w:sz w:val="18"/>
              </w:rPr>
            </w:pPr>
            <w:r>
              <w:rPr>
                <w:b/>
                <w:sz w:val="18"/>
              </w:rPr>
              <w:t>Actividad PPPS 1.31.1: </w:t>
            </w:r>
            <w:r>
              <w:rPr>
                <w:sz w:val="18"/>
              </w:rPr>
              <w:t>Elaboración de estrategia para la creación de planes institucionales que</w:t>
            </w:r>
            <w:r>
              <w:rPr>
                <w:spacing w:val="-5"/>
                <w:sz w:val="18"/>
              </w:rPr>
              <w:t> </w:t>
            </w:r>
            <w:r>
              <w:rPr>
                <w:sz w:val="18"/>
              </w:rPr>
              <w:t>consideren</w:t>
            </w:r>
            <w:r>
              <w:rPr>
                <w:spacing w:val="-5"/>
                <w:sz w:val="18"/>
              </w:rPr>
              <w:t> </w:t>
            </w:r>
            <w:r>
              <w:rPr>
                <w:sz w:val="18"/>
              </w:rPr>
              <w:t>los</w:t>
            </w:r>
            <w:r>
              <w:rPr>
                <w:spacing w:val="-9"/>
                <w:sz w:val="18"/>
              </w:rPr>
              <w:t> </w:t>
            </w:r>
            <w:r>
              <w:rPr>
                <w:sz w:val="18"/>
              </w:rPr>
              <w:t>insumos</w:t>
            </w:r>
            <w:r>
              <w:rPr>
                <w:spacing w:val="-9"/>
                <w:sz w:val="18"/>
              </w:rPr>
              <w:t> </w:t>
            </w:r>
            <w:r>
              <w:rPr>
                <w:sz w:val="18"/>
              </w:rPr>
              <w:t>de</w:t>
            </w:r>
            <w:r>
              <w:rPr>
                <w:spacing w:val="-9"/>
                <w:sz w:val="18"/>
              </w:rPr>
              <w:t> </w:t>
            </w:r>
            <w:r>
              <w:rPr>
                <w:sz w:val="18"/>
              </w:rPr>
              <w:t>las rendiciones de cuenta y consultas a</w:t>
            </w:r>
            <w:r>
              <w:rPr>
                <w:spacing w:val="-1"/>
                <w:sz w:val="18"/>
              </w:rPr>
              <w:t> </w:t>
            </w:r>
            <w:r>
              <w:rPr>
                <w:sz w:val="18"/>
              </w:rPr>
              <w:t>la</w:t>
            </w:r>
            <w:r>
              <w:rPr>
                <w:spacing w:val="-1"/>
                <w:sz w:val="18"/>
              </w:rPr>
              <w:t> </w:t>
            </w:r>
            <w:r>
              <w:rPr>
                <w:sz w:val="18"/>
              </w:rPr>
              <w:t>población</w:t>
            </w:r>
            <w:r>
              <w:rPr>
                <w:spacing w:val="-1"/>
                <w:sz w:val="18"/>
              </w:rPr>
              <w:t> </w:t>
            </w:r>
            <w:r>
              <w:rPr>
                <w:sz w:val="18"/>
              </w:rPr>
              <w:t>objetivo</w:t>
            </w:r>
            <w:r>
              <w:rPr>
                <w:spacing w:val="-4"/>
                <w:sz w:val="18"/>
              </w:rPr>
              <w:t> </w:t>
            </w:r>
            <w:r>
              <w:rPr>
                <w:b/>
                <w:sz w:val="18"/>
              </w:rPr>
              <w:t>(vinculado a PEI 3.1.2)</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2"/>
              <w:jc w:val="center"/>
              <w:rPr>
                <w:sz w:val="18"/>
              </w:rPr>
            </w:pPr>
            <w:r>
              <w:rPr>
                <w:spacing w:val="-4"/>
                <w:sz w:val="18"/>
              </w:rPr>
              <w:t>100%</w:t>
            </w:r>
          </w:p>
        </w:tc>
        <w:tc>
          <w:tcPr>
            <w:tcW w:w="1982" w:type="dxa"/>
          </w:tcPr>
          <w:p>
            <w:pPr>
              <w:pStyle w:val="TableParagraph"/>
              <w:ind w:left="68" w:right="88"/>
              <w:rPr>
                <w:sz w:val="18"/>
              </w:rPr>
            </w:pPr>
            <w:r>
              <w:rPr>
                <w:sz w:val="18"/>
              </w:rPr>
              <w:t>Porcentaje de avance en</w:t>
            </w:r>
            <w:r>
              <w:rPr>
                <w:spacing w:val="-7"/>
                <w:sz w:val="18"/>
              </w:rPr>
              <w:t> </w:t>
            </w:r>
            <w:r>
              <w:rPr>
                <w:sz w:val="18"/>
              </w:rPr>
              <w:t>la</w:t>
            </w:r>
            <w:r>
              <w:rPr>
                <w:spacing w:val="-7"/>
                <w:sz w:val="18"/>
              </w:rPr>
              <w:t> </w:t>
            </w:r>
            <w:r>
              <w:rPr>
                <w:sz w:val="18"/>
              </w:rPr>
              <w:t>elaboración</w:t>
            </w:r>
            <w:r>
              <w:rPr>
                <w:spacing w:val="-11"/>
                <w:sz w:val="18"/>
              </w:rPr>
              <w:t> </w:t>
            </w:r>
            <w:r>
              <w:rPr>
                <w:sz w:val="18"/>
              </w:rPr>
              <w:t>de</w:t>
            </w:r>
            <w:r>
              <w:rPr>
                <w:spacing w:val="-11"/>
                <w:sz w:val="18"/>
              </w:rPr>
              <w:t> </w:t>
            </w:r>
            <w:r>
              <w:rPr>
                <w:sz w:val="18"/>
              </w:rPr>
              <w:t>la estrategia</w:t>
            </w:r>
            <w:r>
              <w:rPr>
                <w:spacing w:val="-6"/>
                <w:sz w:val="18"/>
              </w:rPr>
              <w:t> </w:t>
            </w:r>
            <w:r>
              <w:rPr>
                <w:sz w:val="18"/>
              </w:rPr>
              <w:t>para</w:t>
            </w:r>
            <w:r>
              <w:rPr>
                <w:spacing w:val="-10"/>
                <w:sz w:val="18"/>
              </w:rPr>
              <w:t> </w:t>
            </w:r>
            <w:r>
              <w:rPr>
                <w:sz w:val="18"/>
              </w:rPr>
              <w:t>para</w:t>
            </w:r>
            <w:r>
              <w:rPr>
                <w:spacing w:val="-10"/>
                <w:sz w:val="18"/>
              </w:rPr>
              <w:t> </w:t>
            </w:r>
            <w:r>
              <w:rPr>
                <w:sz w:val="18"/>
              </w:rPr>
              <w:t>la creación de planes institucionales que consideren los insumos de las rendiciones de cuenta y consultas a la</w:t>
            </w:r>
          </w:p>
          <w:p>
            <w:pPr>
              <w:pStyle w:val="TableParagraph"/>
              <w:spacing w:line="187" w:lineRule="exact"/>
              <w:ind w:left="68"/>
              <w:rPr>
                <w:sz w:val="18"/>
              </w:rPr>
            </w:pPr>
            <w:r>
              <w:rPr>
                <w:sz w:val="18"/>
              </w:rPr>
              <w:t>población</w:t>
            </w:r>
            <w:r>
              <w:rPr>
                <w:spacing w:val="-4"/>
                <w:sz w:val="18"/>
              </w:rPr>
              <w:t> </w:t>
            </w:r>
            <w:r>
              <w:rPr>
                <w:spacing w:val="-2"/>
                <w:sz w:val="18"/>
              </w:rPr>
              <w:t>objetivo.</w:t>
            </w:r>
          </w:p>
        </w:tc>
        <w:tc>
          <w:tcPr>
            <w:tcW w:w="156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73" w:right="58"/>
              <w:rPr>
                <w:sz w:val="18"/>
              </w:rPr>
            </w:pPr>
            <w:r>
              <w:rPr>
                <w:sz w:val="18"/>
              </w:rPr>
              <w:t>Documento</w:t>
            </w:r>
            <w:r>
              <w:rPr>
                <w:spacing w:val="-13"/>
                <w:sz w:val="18"/>
              </w:rPr>
              <w:t> </w:t>
            </w:r>
            <w:r>
              <w:rPr>
                <w:sz w:val="18"/>
              </w:rPr>
              <w:t>de </w:t>
            </w:r>
            <w:r>
              <w:rPr>
                <w:spacing w:val="-2"/>
                <w:sz w:val="18"/>
              </w:rPr>
              <w:t>estrategia</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7" w:right="12"/>
              <w:jc w:val="center"/>
              <w:rPr>
                <w:sz w:val="18"/>
              </w:rPr>
            </w:pPr>
            <w:r>
              <w:rPr>
                <w:spacing w:val="-5"/>
                <w:sz w:val="18"/>
              </w:rPr>
              <w:t>DDS</w:t>
            </w:r>
          </w:p>
        </w:tc>
        <w:tc>
          <w:tcPr>
            <w:tcW w:w="1647" w:type="dxa"/>
          </w:tcPr>
          <w:p>
            <w:pPr>
              <w:pStyle w:val="TableParagraph"/>
              <w:rPr>
                <w:rFonts w:ascii="Times New Roman"/>
                <w:sz w:val="18"/>
              </w:rPr>
            </w:pPr>
          </w:p>
        </w:tc>
        <w:tc>
          <w:tcPr>
            <w:tcW w:w="1549"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
              <w:rPr>
                <w:b/>
                <w:sz w:val="18"/>
              </w:rPr>
            </w:pPr>
          </w:p>
          <w:p>
            <w:pPr>
              <w:pStyle w:val="TableParagraph"/>
              <w:numPr>
                <w:ilvl w:val="0"/>
                <w:numId w:val="61"/>
              </w:numPr>
              <w:tabs>
                <w:tab w:pos="135" w:val="left" w:leader="none"/>
              </w:tabs>
              <w:spacing w:line="240" w:lineRule="auto" w:before="0" w:after="0"/>
              <w:ind w:left="74" w:right="127" w:firstLine="0"/>
              <w:jc w:val="left"/>
              <w:rPr>
                <w:sz w:val="18"/>
              </w:rPr>
            </w:pPr>
            <w:r>
              <w:rPr>
                <w:sz w:val="18"/>
              </w:rPr>
              <w:t>No contar con </w:t>
            </w:r>
            <w:r>
              <w:rPr>
                <w:spacing w:val="-2"/>
                <w:sz w:val="18"/>
              </w:rPr>
              <w:t>insumos </w:t>
            </w:r>
            <w:r>
              <w:rPr>
                <w:sz w:val="18"/>
              </w:rPr>
              <w:t>oportunos y pertinentes</w:t>
            </w:r>
            <w:r>
              <w:rPr>
                <w:spacing w:val="-4"/>
                <w:sz w:val="18"/>
              </w:rPr>
              <w:t> </w:t>
            </w:r>
            <w:r>
              <w:rPr>
                <w:sz w:val="18"/>
              </w:rPr>
              <w:t>para la</w:t>
            </w:r>
            <w:r>
              <w:rPr>
                <w:spacing w:val="-15"/>
                <w:sz w:val="18"/>
              </w:rPr>
              <w:t> </w:t>
            </w:r>
            <w:r>
              <w:rPr>
                <w:sz w:val="18"/>
              </w:rPr>
              <w:t>generación</w:t>
            </w:r>
            <w:r>
              <w:rPr>
                <w:spacing w:val="-12"/>
                <w:sz w:val="18"/>
              </w:rPr>
              <w:t> </w:t>
            </w:r>
            <w:r>
              <w:rPr>
                <w:sz w:val="18"/>
              </w:rPr>
              <w:t>de valor público </w:t>
            </w:r>
            <w:r>
              <w:rPr>
                <w:spacing w:val="-2"/>
                <w:sz w:val="18"/>
              </w:rPr>
              <w:t>institucional.</w:t>
            </w:r>
          </w:p>
        </w:tc>
      </w:tr>
      <w:tr>
        <w:trPr>
          <w:trHeight w:val="1862" w:hRule="atLeast"/>
        </w:trPr>
        <w:tc>
          <w:tcPr>
            <w:tcW w:w="2972" w:type="dxa"/>
          </w:tcPr>
          <w:p>
            <w:pPr>
              <w:pStyle w:val="TableParagraph"/>
              <w:spacing w:before="205"/>
              <w:ind w:left="72" w:right="141"/>
              <w:rPr>
                <w:b/>
                <w:sz w:val="18"/>
              </w:rPr>
            </w:pPr>
            <w:r>
              <w:rPr>
                <w:b/>
                <w:sz w:val="18"/>
              </w:rPr>
              <w:t>Actividad PPPS 1.31.2: </w:t>
            </w:r>
            <w:r>
              <w:rPr>
                <w:sz w:val="18"/>
              </w:rPr>
              <w:t>Elaboración de planes institucionales</w:t>
            </w:r>
            <w:r>
              <w:rPr>
                <w:spacing w:val="-1"/>
                <w:sz w:val="18"/>
              </w:rPr>
              <w:t> </w:t>
            </w:r>
            <w:r>
              <w:rPr>
                <w:sz w:val="18"/>
              </w:rPr>
              <w:t>que consideren los insumos derivados de las rendiciones</w:t>
            </w:r>
            <w:r>
              <w:rPr>
                <w:spacing w:val="-3"/>
                <w:sz w:val="18"/>
              </w:rPr>
              <w:t> </w:t>
            </w:r>
            <w:r>
              <w:rPr>
                <w:sz w:val="18"/>
              </w:rPr>
              <w:t>de</w:t>
            </w:r>
            <w:r>
              <w:rPr>
                <w:spacing w:val="-3"/>
                <w:sz w:val="18"/>
              </w:rPr>
              <w:t> </w:t>
            </w:r>
            <w:r>
              <w:rPr>
                <w:sz w:val="18"/>
              </w:rPr>
              <w:t>cuenta</w:t>
            </w:r>
            <w:r>
              <w:rPr>
                <w:spacing w:val="-3"/>
                <w:sz w:val="18"/>
              </w:rPr>
              <w:t> </w:t>
            </w:r>
            <w:r>
              <w:rPr>
                <w:sz w:val="18"/>
              </w:rPr>
              <w:t>y</w:t>
            </w:r>
            <w:r>
              <w:rPr>
                <w:spacing w:val="-3"/>
                <w:sz w:val="18"/>
              </w:rPr>
              <w:t> </w:t>
            </w:r>
            <w:r>
              <w:rPr>
                <w:sz w:val="18"/>
              </w:rPr>
              <w:t>consultas a</w:t>
            </w:r>
            <w:r>
              <w:rPr>
                <w:spacing w:val="-8"/>
                <w:sz w:val="18"/>
              </w:rPr>
              <w:t> </w:t>
            </w:r>
            <w:r>
              <w:rPr>
                <w:sz w:val="18"/>
              </w:rPr>
              <w:t>la</w:t>
            </w:r>
            <w:r>
              <w:rPr>
                <w:spacing w:val="-8"/>
                <w:sz w:val="18"/>
              </w:rPr>
              <w:t> </w:t>
            </w:r>
            <w:r>
              <w:rPr>
                <w:sz w:val="18"/>
              </w:rPr>
              <w:t>población</w:t>
            </w:r>
            <w:r>
              <w:rPr>
                <w:spacing w:val="-8"/>
                <w:sz w:val="18"/>
              </w:rPr>
              <w:t> </w:t>
            </w:r>
            <w:r>
              <w:rPr>
                <w:sz w:val="18"/>
              </w:rPr>
              <w:t>objetivo</w:t>
            </w:r>
            <w:r>
              <w:rPr>
                <w:spacing w:val="-11"/>
                <w:sz w:val="18"/>
              </w:rPr>
              <w:t> </w:t>
            </w:r>
            <w:r>
              <w:rPr>
                <w:sz w:val="18"/>
              </w:rPr>
              <w:t>(</w:t>
            </w:r>
            <w:r>
              <w:rPr>
                <w:b/>
                <w:sz w:val="18"/>
              </w:rPr>
              <w:t>vinculado a PEI 3.1.2)</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1" w:right="16"/>
              <w:jc w:val="center"/>
              <w:rPr>
                <w:sz w:val="18"/>
              </w:rPr>
            </w:pPr>
            <w:r>
              <w:rPr>
                <w:spacing w:val="-5"/>
                <w:sz w:val="18"/>
              </w:rPr>
              <w:t>60%</w:t>
            </w:r>
          </w:p>
        </w:tc>
        <w:tc>
          <w:tcPr>
            <w:tcW w:w="1982" w:type="dxa"/>
          </w:tcPr>
          <w:p>
            <w:pPr>
              <w:pStyle w:val="TableParagraph"/>
              <w:ind w:left="68" w:right="89"/>
              <w:rPr>
                <w:sz w:val="18"/>
              </w:rPr>
            </w:pPr>
            <w:r>
              <w:rPr>
                <w:sz w:val="18"/>
              </w:rPr>
              <w:t>Porcentaje de planes institucionales de la DDS con resultados</w:t>
            </w:r>
            <w:r>
              <w:rPr>
                <w:spacing w:val="40"/>
                <w:sz w:val="18"/>
              </w:rPr>
              <w:t> </w:t>
            </w:r>
            <w:r>
              <w:rPr>
                <w:sz w:val="18"/>
              </w:rPr>
              <w:t>de la estrategia de </w:t>
            </w:r>
            <w:r>
              <w:rPr>
                <w:spacing w:val="-2"/>
                <w:sz w:val="18"/>
              </w:rPr>
              <w:t>participación</w:t>
            </w:r>
            <w:r>
              <w:rPr>
                <w:spacing w:val="40"/>
                <w:sz w:val="18"/>
              </w:rPr>
              <w:t> </w:t>
            </w:r>
            <w:r>
              <w:rPr>
                <w:spacing w:val="-2"/>
                <w:sz w:val="18"/>
              </w:rPr>
              <w:t>ciudadana </w:t>
            </w:r>
            <w:r>
              <w:rPr>
                <w:sz w:val="18"/>
              </w:rPr>
              <w:t>incorporados, que permitan</w:t>
            </w:r>
            <w:r>
              <w:rPr>
                <w:spacing w:val="-15"/>
                <w:sz w:val="18"/>
              </w:rPr>
              <w:t> </w:t>
            </w:r>
            <w:r>
              <w:rPr>
                <w:sz w:val="18"/>
              </w:rPr>
              <w:t>generar</w:t>
            </w:r>
            <w:r>
              <w:rPr>
                <w:spacing w:val="-12"/>
                <w:sz w:val="18"/>
              </w:rPr>
              <w:t> </w:t>
            </w:r>
            <w:r>
              <w:rPr>
                <w:sz w:val="18"/>
              </w:rPr>
              <w:t>valor</w:t>
            </w:r>
          </w:p>
          <w:p>
            <w:pPr>
              <w:pStyle w:val="TableParagraph"/>
              <w:spacing w:line="187" w:lineRule="exact"/>
              <w:ind w:left="68"/>
              <w:rPr>
                <w:sz w:val="18"/>
              </w:rPr>
            </w:pPr>
            <w:r>
              <w:rPr>
                <w:spacing w:val="-2"/>
                <w:sz w:val="18"/>
              </w:rPr>
              <w:t>público</w:t>
            </w:r>
          </w:p>
        </w:tc>
        <w:tc>
          <w:tcPr>
            <w:tcW w:w="1560" w:type="dxa"/>
          </w:tcPr>
          <w:p>
            <w:pPr>
              <w:pStyle w:val="TableParagraph"/>
              <w:spacing w:before="205"/>
              <w:ind w:left="73" w:right="58"/>
              <w:rPr>
                <w:sz w:val="18"/>
              </w:rPr>
            </w:pPr>
            <w:r>
              <w:rPr>
                <w:sz w:val="18"/>
              </w:rPr>
              <w:t>Documentos</w:t>
            </w:r>
            <w:r>
              <w:rPr>
                <w:spacing w:val="-13"/>
                <w:sz w:val="18"/>
              </w:rPr>
              <w:t> </w:t>
            </w:r>
            <w:r>
              <w:rPr>
                <w:sz w:val="18"/>
              </w:rPr>
              <w:t>de planes que </w:t>
            </w:r>
            <w:r>
              <w:rPr>
                <w:spacing w:val="-2"/>
                <w:sz w:val="18"/>
              </w:rPr>
              <w:t>incorporan </w:t>
            </w:r>
            <w:r>
              <w:rPr>
                <w:sz w:val="18"/>
              </w:rPr>
              <w:t>resultados</w:t>
            </w:r>
            <w:r>
              <w:rPr>
                <w:spacing w:val="-15"/>
                <w:sz w:val="18"/>
              </w:rPr>
              <w:t> </w:t>
            </w:r>
            <w:r>
              <w:rPr>
                <w:sz w:val="18"/>
              </w:rPr>
              <w:t>de</w:t>
            </w:r>
            <w:r>
              <w:rPr>
                <w:spacing w:val="-12"/>
                <w:sz w:val="18"/>
              </w:rPr>
              <w:t> </w:t>
            </w:r>
            <w:r>
              <w:rPr>
                <w:sz w:val="18"/>
              </w:rPr>
              <w:t>la estrategia de </w:t>
            </w:r>
            <w:r>
              <w:rPr>
                <w:spacing w:val="-2"/>
                <w:sz w:val="18"/>
              </w:rPr>
              <w:t>participación ciudadana</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7" w:right="12"/>
              <w:jc w:val="center"/>
              <w:rPr>
                <w:sz w:val="18"/>
              </w:rPr>
            </w:pPr>
            <w:r>
              <w:rPr>
                <w:spacing w:val="-5"/>
                <w:sz w:val="18"/>
              </w:rPr>
              <w:t>DDS</w:t>
            </w:r>
          </w:p>
        </w:tc>
        <w:tc>
          <w:tcPr>
            <w:tcW w:w="1647" w:type="dxa"/>
          </w:tcPr>
          <w:p>
            <w:pPr>
              <w:pStyle w:val="TableParagraph"/>
              <w:rPr>
                <w:rFonts w:ascii="Times New Roman"/>
                <w:sz w:val="18"/>
              </w:rPr>
            </w:pPr>
          </w:p>
        </w:tc>
        <w:tc>
          <w:tcPr>
            <w:tcW w:w="1549" w:type="dxa"/>
            <w:vMerge/>
            <w:tcBorders>
              <w:top w:val="nil"/>
            </w:tcBorders>
          </w:tcPr>
          <w:p>
            <w:pPr>
              <w:rPr>
                <w:sz w:val="2"/>
                <w:szCs w:val="2"/>
              </w:rPr>
            </w:pPr>
          </w:p>
        </w:tc>
      </w:tr>
      <w:tr>
        <w:trPr>
          <w:trHeight w:val="421" w:hRule="atLeast"/>
        </w:trPr>
        <w:tc>
          <w:tcPr>
            <w:tcW w:w="14246" w:type="dxa"/>
            <w:gridSpan w:val="8"/>
            <w:shd w:val="clear" w:color="auto" w:fill="EFF8F9"/>
          </w:tcPr>
          <w:p>
            <w:pPr>
              <w:pStyle w:val="TableParagraph"/>
              <w:spacing w:before="104"/>
              <w:ind w:left="72"/>
              <w:rPr>
                <w:b/>
                <w:sz w:val="18"/>
              </w:rPr>
            </w:pPr>
            <w:r>
              <w:rPr>
                <w:b/>
                <w:sz w:val="18"/>
              </w:rPr>
              <w:t>Producto</w:t>
            </w:r>
            <w:r>
              <w:rPr>
                <w:b/>
                <w:spacing w:val="-7"/>
                <w:sz w:val="18"/>
              </w:rPr>
              <w:t> </w:t>
            </w:r>
            <w:r>
              <w:rPr>
                <w:b/>
                <w:sz w:val="18"/>
              </w:rPr>
              <w:t>PPPS</w:t>
            </w:r>
            <w:r>
              <w:rPr>
                <w:b/>
                <w:spacing w:val="-6"/>
                <w:sz w:val="18"/>
              </w:rPr>
              <w:t> </w:t>
            </w:r>
            <w:r>
              <w:rPr>
                <w:b/>
                <w:sz w:val="18"/>
              </w:rPr>
              <w:t>1.32:</w:t>
            </w:r>
            <w:r>
              <w:rPr>
                <w:b/>
                <w:spacing w:val="-4"/>
                <w:sz w:val="18"/>
              </w:rPr>
              <w:t> </w:t>
            </w:r>
            <w:r>
              <w:rPr>
                <w:b/>
                <w:sz w:val="18"/>
              </w:rPr>
              <w:t>Población</w:t>
            </w:r>
            <w:r>
              <w:rPr>
                <w:b/>
                <w:spacing w:val="-1"/>
                <w:sz w:val="18"/>
              </w:rPr>
              <w:t> </w:t>
            </w:r>
            <w:r>
              <w:rPr>
                <w:b/>
                <w:sz w:val="18"/>
              </w:rPr>
              <w:t>en</w:t>
            </w:r>
            <w:r>
              <w:rPr>
                <w:b/>
                <w:spacing w:val="-6"/>
                <w:sz w:val="18"/>
              </w:rPr>
              <w:t> </w:t>
            </w:r>
            <w:r>
              <w:rPr>
                <w:b/>
                <w:sz w:val="18"/>
              </w:rPr>
              <w:t>situación</w:t>
            </w:r>
            <w:r>
              <w:rPr>
                <w:b/>
                <w:spacing w:val="-7"/>
                <w:sz w:val="18"/>
              </w:rPr>
              <w:t> </w:t>
            </w:r>
            <w:r>
              <w:rPr>
                <w:b/>
                <w:sz w:val="18"/>
              </w:rPr>
              <w:t>de</w:t>
            </w:r>
            <w:r>
              <w:rPr>
                <w:b/>
                <w:spacing w:val="-5"/>
                <w:sz w:val="18"/>
              </w:rPr>
              <w:t> </w:t>
            </w:r>
            <w:r>
              <w:rPr>
                <w:b/>
                <w:sz w:val="18"/>
              </w:rPr>
              <w:t>pobreza</w:t>
            </w:r>
            <w:r>
              <w:rPr>
                <w:b/>
                <w:spacing w:val="-10"/>
                <w:sz w:val="18"/>
              </w:rPr>
              <w:t> </w:t>
            </w:r>
            <w:r>
              <w:rPr>
                <w:b/>
                <w:sz w:val="18"/>
              </w:rPr>
              <w:t>y</w:t>
            </w:r>
            <w:r>
              <w:rPr>
                <w:b/>
                <w:spacing w:val="-2"/>
                <w:sz w:val="18"/>
              </w:rPr>
              <w:t> </w:t>
            </w:r>
            <w:r>
              <w:rPr>
                <w:b/>
                <w:sz w:val="18"/>
              </w:rPr>
              <w:t>pobreza</w:t>
            </w:r>
            <w:r>
              <w:rPr>
                <w:b/>
                <w:spacing w:val="-5"/>
                <w:sz w:val="18"/>
              </w:rPr>
              <w:t> </w:t>
            </w:r>
            <w:r>
              <w:rPr>
                <w:b/>
                <w:sz w:val="18"/>
              </w:rPr>
              <w:t>extrema</w:t>
            </w:r>
            <w:r>
              <w:rPr>
                <w:b/>
                <w:spacing w:val="-2"/>
                <w:sz w:val="18"/>
              </w:rPr>
              <w:t> </w:t>
            </w:r>
            <w:r>
              <w:rPr>
                <w:b/>
                <w:sz w:val="18"/>
              </w:rPr>
              <w:t>con</w:t>
            </w:r>
            <w:r>
              <w:rPr>
                <w:b/>
                <w:spacing w:val="-6"/>
                <w:sz w:val="18"/>
              </w:rPr>
              <w:t> </w:t>
            </w:r>
            <w:r>
              <w:rPr>
                <w:b/>
                <w:sz w:val="18"/>
              </w:rPr>
              <w:t>limitaciones</w:t>
            </w:r>
            <w:r>
              <w:rPr>
                <w:b/>
                <w:spacing w:val="-2"/>
                <w:sz w:val="18"/>
              </w:rPr>
              <w:t> </w:t>
            </w:r>
            <w:r>
              <w:rPr>
                <w:b/>
                <w:sz w:val="18"/>
              </w:rPr>
              <w:t>de</w:t>
            </w:r>
            <w:r>
              <w:rPr>
                <w:b/>
                <w:spacing w:val="-5"/>
                <w:sz w:val="18"/>
              </w:rPr>
              <w:t> </w:t>
            </w:r>
            <w:r>
              <w:rPr>
                <w:b/>
                <w:sz w:val="18"/>
              </w:rPr>
              <w:t>acceso</w:t>
            </w:r>
            <w:r>
              <w:rPr>
                <w:b/>
                <w:spacing w:val="-6"/>
                <w:sz w:val="18"/>
              </w:rPr>
              <w:t> </w:t>
            </w:r>
            <w:r>
              <w:rPr>
                <w:b/>
                <w:sz w:val="18"/>
              </w:rPr>
              <w:t>a</w:t>
            </w:r>
            <w:r>
              <w:rPr>
                <w:b/>
                <w:spacing w:val="-6"/>
                <w:sz w:val="18"/>
              </w:rPr>
              <w:t> </w:t>
            </w:r>
            <w:r>
              <w:rPr>
                <w:b/>
                <w:sz w:val="18"/>
              </w:rPr>
              <w:t>la</w:t>
            </w:r>
            <w:r>
              <w:rPr>
                <w:b/>
                <w:spacing w:val="-5"/>
                <w:sz w:val="18"/>
              </w:rPr>
              <w:t> </w:t>
            </w:r>
            <w:r>
              <w:rPr>
                <w:b/>
                <w:sz w:val="18"/>
              </w:rPr>
              <w:t>tecnología</w:t>
            </w:r>
            <w:r>
              <w:rPr>
                <w:b/>
                <w:spacing w:val="-5"/>
                <w:sz w:val="18"/>
              </w:rPr>
              <w:t> </w:t>
            </w:r>
            <w:r>
              <w:rPr>
                <w:b/>
                <w:sz w:val="18"/>
              </w:rPr>
              <w:t>y</w:t>
            </w:r>
            <w:r>
              <w:rPr>
                <w:b/>
                <w:spacing w:val="-2"/>
                <w:sz w:val="18"/>
              </w:rPr>
              <w:t> </w:t>
            </w:r>
            <w:r>
              <w:rPr>
                <w:b/>
                <w:sz w:val="18"/>
              </w:rPr>
              <w:t>brecha</w:t>
            </w:r>
            <w:r>
              <w:rPr>
                <w:b/>
                <w:spacing w:val="-5"/>
                <w:sz w:val="18"/>
              </w:rPr>
              <w:t> </w:t>
            </w:r>
            <w:r>
              <w:rPr>
                <w:b/>
                <w:sz w:val="18"/>
              </w:rPr>
              <w:t>digital</w:t>
            </w:r>
            <w:r>
              <w:rPr>
                <w:b/>
                <w:spacing w:val="-7"/>
                <w:sz w:val="18"/>
              </w:rPr>
              <w:t> </w:t>
            </w:r>
            <w:r>
              <w:rPr>
                <w:b/>
                <w:sz w:val="18"/>
              </w:rPr>
              <w:t>identificada.</w:t>
            </w:r>
            <w:r>
              <w:rPr>
                <w:b/>
                <w:spacing w:val="-4"/>
                <w:sz w:val="18"/>
              </w:rPr>
              <w:t> </w:t>
            </w:r>
            <w:r>
              <w:rPr>
                <w:b/>
                <w:sz w:val="18"/>
              </w:rPr>
              <w:t>E3</w:t>
            </w:r>
            <w:r>
              <w:rPr>
                <w:b/>
                <w:spacing w:val="-5"/>
                <w:sz w:val="18"/>
              </w:rPr>
              <w:t> </w:t>
            </w:r>
            <w:r>
              <w:rPr>
                <w:b/>
                <w:sz w:val="18"/>
              </w:rPr>
              <w:t>A2</w:t>
            </w:r>
            <w:r>
              <w:rPr>
                <w:b/>
                <w:spacing w:val="-2"/>
                <w:sz w:val="18"/>
              </w:rPr>
              <w:t> </w:t>
            </w:r>
            <w:r>
              <w:rPr>
                <w:b/>
                <w:spacing w:val="-5"/>
                <w:sz w:val="18"/>
              </w:rPr>
              <w:t>R1</w:t>
            </w:r>
          </w:p>
        </w:tc>
      </w:tr>
      <w:tr>
        <w:trPr>
          <w:trHeight w:val="1862" w:hRule="atLeast"/>
        </w:trPr>
        <w:tc>
          <w:tcPr>
            <w:tcW w:w="2972" w:type="dxa"/>
          </w:tcPr>
          <w:p>
            <w:pPr>
              <w:pStyle w:val="TableParagraph"/>
              <w:spacing w:before="100"/>
              <w:ind w:left="72" w:right="71"/>
              <w:rPr>
                <w:b/>
                <w:sz w:val="18"/>
              </w:rPr>
            </w:pPr>
            <w:r>
              <w:rPr>
                <w:b/>
                <w:sz w:val="18"/>
              </w:rPr>
              <w:t>Actividad PPPS 1.32.1: </w:t>
            </w:r>
            <w:r>
              <w:rPr>
                <w:sz w:val="18"/>
              </w:rPr>
              <w:t>Elaboración de lineamientos que orienten la elaboración del mapeo de</w:t>
            </w:r>
            <w:r>
              <w:rPr>
                <w:spacing w:val="-4"/>
                <w:sz w:val="18"/>
              </w:rPr>
              <w:t> </w:t>
            </w:r>
            <w:r>
              <w:rPr>
                <w:sz w:val="18"/>
              </w:rPr>
              <w:t>población</w:t>
            </w:r>
            <w:r>
              <w:rPr>
                <w:spacing w:val="-8"/>
                <w:sz w:val="18"/>
              </w:rPr>
              <w:t> </w:t>
            </w:r>
            <w:r>
              <w:rPr>
                <w:sz w:val="18"/>
              </w:rPr>
              <w:t>en</w:t>
            </w:r>
            <w:r>
              <w:rPr>
                <w:spacing w:val="-8"/>
                <w:sz w:val="18"/>
              </w:rPr>
              <w:t> </w:t>
            </w:r>
            <w:r>
              <w:rPr>
                <w:sz w:val="18"/>
              </w:rPr>
              <w:t>pobreza</w:t>
            </w:r>
            <w:r>
              <w:rPr>
                <w:spacing w:val="-8"/>
                <w:sz w:val="18"/>
              </w:rPr>
              <w:t> </w:t>
            </w:r>
            <w:r>
              <w:rPr>
                <w:sz w:val="18"/>
              </w:rPr>
              <w:t>extrema</w:t>
            </w:r>
            <w:r>
              <w:rPr>
                <w:spacing w:val="-8"/>
                <w:sz w:val="18"/>
              </w:rPr>
              <w:t> </w:t>
            </w:r>
            <w:r>
              <w:rPr>
                <w:sz w:val="18"/>
              </w:rPr>
              <w:t>y pobreza que poseen limitaciones en torno al acceso a tecnología y brecha digital </w:t>
            </w:r>
            <w:r>
              <w:rPr>
                <w:b/>
                <w:sz w:val="18"/>
              </w:rPr>
              <w:t>(vinculado a PEI </w:t>
            </w:r>
            <w:r>
              <w:rPr>
                <w:b/>
                <w:spacing w:val="-2"/>
                <w:sz w:val="18"/>
              </w:rPr>
              <w:t>3.2.1).</w:t>
            </w:r>
          </w:p>
        </w:tc>
        <w:tc>
          <w:tcPr>
            <w:tcW w:w="156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1" w:right="12"/>
              <w:jc w:val="center"/>
              <w:rPr>
                <w:sz w:val="18"/>
              </w:rPr>
            </w:pPr>
            <w:r>
              <w:rPr>
                <w:spacing w:val="-4"/>
                <w:sz w:val="18"/>
              </w:rPr>
              <w:t>100%</w:t>
            </w:r>
          </w:p>
        </w:tc>
        <w:tc>
          <w:tcPr>
            <w:tcW w:w="1982" w:type="dxa"/>
          </w:tcPr>
          <w:p>
            <w:pPr>
              <w:pStyle w:val="TableParagraph"/>
              <w:ind w:left="68" w:right="66"/>
              <w:rPr>
                <w:sz w:val="18"/>
              </w:rPr>
            </w:pPr>
            <w:r>
              <w:rPr>
                <w:sz w:val="18"/>
              </w:rPr>
              <w:t>Porcentaje de avance en la elaboración de lineamientos que orienten</w:t>
            </w:r>
            <w:r>
              <w:rPr>
                <w:spacing w:val="-15"/>
                <w:sz w:val="18"/>
              </w:rPr>
              <w:t> </w:t>
            </w:r>
            <w:r>
              <w:rPr>
                <w:sz w:val="18"/>
              </w:rPr>
              <w:t>la</w:t>
            </w:r>
            <w:r>
              <w:rPr>
                <w:spacing w:val="-12"/>
                <w:sz w:val="18"/>
              </w:rPr>
              <w:t> </w:t>
            </w:r>
            <w:r>
              <w:rPr>
                <w:sz w:val="18"/>
              </w:rPr>
              <w:t>elaboración del mapeo de población en pobreza extrema</w:t>
            </w:r>
            <w:r>
              <w:rPr>
                <w:spacing w:val="-11"/>
                <w:sz w:val="18"/>
              </w:rPr>
              <w:t> </w:t>
            </w:r>
            <w:r>
              <w:rPr>
                <w:sz w:val="18"/>
              </w:rPr>
              <w:t>y</w:t>
            </w:r>
            <w:r>
              <w:rPr>
                <w:spacing w:val="-12"/>
                <w:sz w:val="18"/>
              </w:rPr>
              <w:t> </w:t>
            </w:r>
            <w:r>
              <w:rPr>
                <w:sz w:val="18"/>
              </w:rPr>
              <w:t>pobreza</w:t>
            </w:r>
            <w:r>
              <w:rPr>
                <w:spacing w:val="-13"/>
                <w:sz w:val="18"/>
              </w:rPr>
              <w:t> </w:t>
            </w:r>
            <w:r>
              <w:rPr>
                <w:sz w:val="18"/>
              </w:rPr>
              <w:t>con limitaciones</w:t>
            </w:r>
            <w:r>
              <w:rPr>
                <w:spacing w:val="-6"/>
                <w:sz w:val="18"/>
              </w:rPr>
              <w:t> </w:t>
            </w:r>
            <w:r>
              <w:rPr>
                <w:sz w:val="18"/>
              </w:rPr>
              <w:t>de</w:t>
            </w:r>
            <w:r>
              <w:rPr>
                <w:spacing w:val="-5"/>
                <w:sz w:val="18"/>
              </w:rPr>
              <w:t> </w:t>
            </w:r>
            <w:r>
              <w:rPr>
                <w:spacing w:val="-2"/>
                <w:sz w:val="18"/>
              </w:rPr>
              <w:t>acceso</w:t>
            </w:r>
          </w:p>
          <w:p>
            <w:pPr>
              <w:pStyle w:val="TableParagraph"/>
              <w:spacing w:line="187" w:lineRule="exact"/>
              <w:ind w:left="68"/>
              <w:rPr>
                <w:sz w:val="18"/>
              </w:rPr>
            </w:pPr>
            <w:r>
              <w:rPr>
                <w:sz w:val="18"/>
              </w:rPr>
              <w:t>a</w:t>
            </w:r>
            <w:r>
              <w:rPr>
                <w:spacing w:val="-1"/>
                <w:sz w:val="18"/>
              </w:rPr>
              <w:t> </w:t>
            </w:r>
            <w:r>
              <w:rPr>
                <w:sz w:val="18"/>
              </w:rPr>
              <w:t>la</w:t>
            </w:r>
            <w:r>
              <w:rPr>
                <w:spacing w:val="-4"/>
                <w:sz w:val="18"/>
              </w:rPr>
              <w:t> </w:t>
            </w:r>
            <w:r>
              <w:rPr>
                <w:sz w:val="18"/>
              </w:rPr>
              <w:t>tecnología</w:t>
            </w:r>
            <w:r>
              <w:rPr>
                <w:spacing w:val="-4"/>
                <w:sz w:val="18"/>
              </w:rPr>
              <w:t> </w:t>
            </w:r>
            <w:r>
              <w:rPr>
                <w:spacing w:val="-10"/>
                <w:sz w:val="18"/>
              </w:rPr>
              <w:t>y</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3" w:right="58"/>
              <w:rPr>
                <w:sz w:val="18"/>
              </w:rPr>
            </w:pPr>
            <w:r>
              <w:rPr>
                <w:sz w:val="18"/>
              </w:rPr>
              <w:t>Documento</w:t>
            </w:r>
            <w:r>
              <w:rPr>
                <w:spacing w:val="-13"/>
                <w:sz w:val="18"/>
              </w:rPr>
              <w:t> </w:t>
            </w:r>
            <w:r>
              <w:rPr>
                <w:sz w:val="18"/>
              </w:rPr>
              <w:t>de </w:t>
            </w:r>
            <w:r>
              <w:rPr>
                <w:spacing w:val="-2"/>
                <w:sz w:val="18"/>
              </w:rPr>
              <w:t>lineamientos</w:t>
            </w:r>
          </w:p>
        </w:tc>
        <w:tc>
          <w:tcPr>
            <w:tcW w:w="1416"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17" w:right="6"/>
              <w:jc w:val="center"/>
              <w:rPr>
                <w:sz w:val="18"/>
              </w:rPr>
            </w:pPr>
            <w:r>
              <w:rPr>
                <w:spacing w:val="-2"/>
                <w:sz w:val="18"/>
              </w:rPr>
              <w:t>DDS/DSIS</w:t>
            </w:r>
          </w:p>
        </w:tc>
        <w:tc>
          <w:tcPr>
            <w:tcW w:w="1647" w:type="dxa"/>
          </w:tcPr>
          <w:p>
            <w:pPr>
              <w:pStyle w:val="TableParagraph"/>
              <w:rPr>
                <w:rFonts w:ascii="Times New Roman"/>
                <w:sz w:val="18"/>
              </w:rPr>
            </w:pPr>
          </w:p>
        </w:tc>
        <w:tc>
          <w:tcPr>
            <w:tcW w:w="1549" w:type="dxa"/>
          </w:tcPr>
          <w:p>
            <w:pPr>
              <w:pStyle w:val="TableParagraph"/>
              <w:numPr>
                <w:ilvl w:val="0"/>
                <w:numId w:val="62"/>
              </w:numPr>
              <w:tabs>
                <w:tab w:pos="135" w:val="left" w:leader="none"/>
              </w:tabs>
              <w:spacing w:line="240" w:lineRule="auto" w:before="0" w:after="0"/>
              <w:ind w:left="74" w:right="74" w:firstLine="0"/>
              <w:jc w:val="left"/>
              <w:rPr>
                <w:sz w:val="18"/>
              </w:rPr>
            </w:pPr>
            <w:r>
              <w:rPr>
                <w:sz w:val="18"/>
              </w:rPr>
              <w:t>No</w:t>
            </w:r>
            <w:r>
              <w:rPr>
                <w:spacing w:val="-13"/>
                <w:sz w:val="18"/>
              </w:rPr>
              <w:t> </w:t>
            </w:r>
            <w:r>
              <w:rPr>
                <w:sz w:val="18"/>
              </w:rPr>
              <w:t>identificación de población en situación de pobreza y pobreza extrema con limitaciones de acceso a la tecnología y</w:t>
            </w:r>
          </w:p>
          <w:p>
            <w:pPr>
              <w:pStyle w:val="TableParagraph"/>
              <w:spacing w:line="187" w:lineRule="exact"/>
              <w:ind w:left="74"/>
              <w:rPr>
                <w:sz w:val="18"/>
              </w:rPr>
            </w:pPr>
            <w:r>
              <w:rPr>
                <w:sz w:val="18"/>
              </w:rPr>
              <w:t>brecha</w:t>
            </w:r>
            <w:r>
              <w:rPr>
                <w:spacing w:val="-1"/>
                <w:sz w:val="18"/>
              </w:rPr>
              <w:t> </w:t>
            </w:r>
            <w:r>
              <w:rPr>
                <w:spacing w:val="-2"/>
                <w:sz w:val="18"/>
              </w:rPr>
              <w:t>digital.</w:t>
            </w:r>
          </w:p>
        </w:tc>
      </w:tr>
    </w:tbl>
    <w:p>
      <w:pPr>
        <w:pStyle w:val="TableParagraph"/>
        <w:spacing w:after="0" w:line="187" w:lineRule="exact"/>
        <w:rPr>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7"/>
        <w:gridCol w:w="1549"/>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7" w:type="dxa"/>
            <w:shd w:val="clear" w:color="auto" w:fill="D9D9D9"/>
          </w:tcPr>
          <w:p>
            <w:pPr>
              <w:pStyle w:val="TableParagraph"/>
              <w:spacing w:before="104"/>
              <w:ind w:left="430" w:hanging="120"/>
              <w:rPr>
                <w:b/>
                <w:sz w:val="18"/>
              </w:rPr>
            </w:pPr>
            <w:r>
              <w:rPr>
                <w:b/>
                <w:spacing w:val="-2"/>
                <w:sz w:val="18"/>
              </w:rPr>
              <w:t>Presupuesto asignado</w:t>
            </w:r>
          </w:p>
        </w:tc>
        <w:tc>
          <w:tcPr>
            <w:tcW w:w="1549" w:type="dxa"/>
            <w:shd w:val="clear" w:color="auto" w:fill="D9D9D9"/>
          </w:tcPr>
          <w:p>
            <w:pPr>
              <w:pStyle w:val="TableParagraph"/>
              <w:spacing w:line="206" w:lineRule="exact"/>
              <w:ind w:left="23" w:right="4"/>
              <w:jc w:val="center"/>
              <w:rPr>
                <w:b/>
                <w:sz w:val="18"/>
              </w:rPr>
            </w:pPr>
            <w:r>
              <w:rPr>
                <w:b/>
                <w:spacing w:val="-2"/>
                <w:sz w:val="18"/>
              </w:rPr>
              <w:t>Riesgos </w:t>
            </w:r>
            <w:r>
              <w:rPr>
                <w:b/>
                <w:sz w:val="18"/>
              </w:rPr>
              <w:t>asociados al </w:t>
            </w:r>
            <w:r>
              <w:rPr>
                <w:b/>
                <w:spacing w:val="-2"/>
                <w:sz w:val="18"/>
              </w:rPr>
              <w:t>cumplimiento</w:t>
            </w:r>
          </w:p>
        </w:tc>
      </w:tr>
      <w:tr>
        <w:trPr>
          <w:trHeight w:val="417" w:hRule="atLeast"/>
        </w:trPr>
        <w:tc>
          <w:tcPr>
            <w:tcW w:w="2972" w:type="dxa"/>
          </w:tcPr>
          <w:p>
            <w:pPr>
              <w:pStyle w:val="TableParagraph"/>
              <w:rPr>
                <w:rFonts w:ascii="Times New Roman"/>
                <w:sz w:val="18"/>
              </w:rPr>
            </w:pPr>
          </w:p>
        </w:tc>
        <w:tc>
          <w:tcPr>
            <w:tcW w:w="1560" w:type="dxa"/>
          </w:tcPr>
          <w:p>
            <w:pPr>
              <w:pStyle w:val="TableParagraph"/>
              <w:rPr>
                <w:rFonts w:ascii="Times New Roman"/>
                <w:sz w:val="18"/>
              </w:rPr>
            </w:pPr>
          </w:p>
        </w:tc>
        <w:tc>
          <w:tcPr>
            <w:tcW w:w="1560" w:type="dxa"/>
          </w:tcPr>
          <w:p>
            <w:pPr>
              <w:pStyle w:val="TableParagraph"/>
              <w:rPr>
                <w:rFonts w:ascii="Times New Roman"/>
                <w:sz w:val="18"/>
              </w:rPr>
            </w:pPr>
          </w:p>
        </w:tc>
        <w:tc>
          <w:tcPr>
            <w:tcW w:w="1982" w:type="dxa"/>
          </w:tcPr>
          <w:p>
            <w:pPr>
              <w:pStyle w:val="TableParagraph"/>
              <w:spacing w:line="206" w:lineRule="exact"/>
              <w:ind w:left="68"/>
              <w:rPr>
                <w:sz w:val="18"/>
              </w:rPr>
            </w:pPr>
            <w:r>
              <w:rPr>
                <w:sz w:val="18"/>
              </w:rPr>
              <w:t>brecha</w:t>
            </w:r>
            <w:r>
              <w:rPr>
                <w:spacing w:val="-13"/>
                <w:sz w:val="18"/>
              </w:rPr>
              <w:t> </w:t>
            </w:r>
            <w:r>
              <w:rPr>
                <w:sz w:val="18"/>
              </w:rPr>
              <w:t>digital </w:t>
            </w:r>
            <w:r>
              <w:rPr>
                <w:spacing w:val="-2"/>
                <w:sz w:val="18"/>
              </w:rPr>
              <w:t>identificada.</w:t>
            </w:r>
          </w:p>
        </w:tc>
        <w:tc>
          <w:tcPr>
            <w:tcW w:w="1560" w:type="dxa"/>
          </w:tcPr>
          <w:p>
            <w:pPr>
              <w:pStyle w:val="TableParagraph"/>
              <w:rPr>
                <w:rFonts w:ascii="Times New Roman"/>
                <w:sz w:val="18"/>
              </w:rPr>
            </w:pPr>
          </w:p>
        </w:tc>
        <w:tc>
          <w:tcPr>
            <w:tcW w:w="1416" w:type="dxa"/>
          </w:tcPr>
          <w:p>
            <w:pPr>
              <w:pStyle w:val="TableParagraph"/>
              <w:rPr>
                <w:rFonts w:ascii="Times New Roman"/>
                <w:sz w:val="18"/>
              </w:rPr>
            </w:pPr>
          </w:p>
        </w:tc>
        <w:tc>
          <w:tcPr>
            <w:tcW w:w="1647" w:type="dxa"/>
          </w:tcPr>
          <w:p>
            <w:pPr>
              <w:pStyle w:val="TableParagraph"/>
              <w:rPr>
                <w:rFonts w:ascii="Times New Roman"/>
                <w:sz w:val="18"/>
              </w:rPr>
            </w:pPr>
          </w:p>
        </w:tc>
        <w:tc>
          <w:tcPr>
            <w:tcW w:w="1549" w:type="dxa"/>
            <w:vMerge w:val="restart"/>
          </w:tcPr>
          <w:p>
            <w:pPr>
              <w:pStyle w:val="TableParagraph"/>
              <w:rPr>
                <w:rFonts w:ascii="Times New Roman"/>
                <w:sz w:val="18"/>
              </w:rPr>
            </w:pPr>
          </w:p>
        </w:tc>
      </w:tr>
      <w:tr>
        <w:trPr>
          <w:trHeight w:val="1862" w:hRule="atLeast"/>
        </w:trPr>
        <w:tc>
          <w:tcPr>
            <w:tcW w:w="2972" w:type="dxa"/>
          </w:tcPr>
          <w:p>
            <w:pPr>
              <w:pStyle w:val="TableParagraph"/>
              <w:spacing w:before="205"/>
              <w:ind w:left="72" w:right="141"/>
              <w:rPr>
                <w:b/>
                <w:sz w:val="18"/>
              </w:rPr>
            </w:pPr>
            <w:r>
              <w:rPr>
                <w:b/>
                <w:sz w:val="18"/>
              </w:rPr>
              <w:t>Actividad PPPS 1.32.2: </w:t>
            </w:r>
            <w:r>
              <w:rPr>
                <w:sz w:val="18"/>
              </w:rPr>
              <w:t>Realización de mapeo de población</w:t>
            </w:r>
            <w:r>
              <w:rPr>
                <w:spacing w:val="-7"/>
                <w:sz w:val="18"/>
              </w:rPr>
              <w:t> </w:t>
            </w:r>
            <w:r>
              <w:rPr>
                <w:sz w:val="18"/>
              </w:rPr>
              <w:t>en</w:t>
            </w:r>
            <w:r>
              <w:rPr>
                <w:spacing w:val="-10"/>
                <w:sz w:val="18"/>
              </w:rPr>
              <w:t> </w:t>
            </w:r>
            <w:r>
              <w:rPr>
                <w:sz w:val="18"/>
              </w:rPr>
              <w:t>pobreza</w:t>
            </w:r>
            <w:r>
              <w:rPr>
                <w:spacing w:val="-10"/>
                <w:sz w:val="18"/>
              </w:rPr>
              <w:t> </w:t>
            </w:r>
            <w:r>
              <w:rPr>
                <w:sz w:val="18"/>
              </w:rPr>
              <w:t>extrema</w:t>
            </w:r>
            <w:r>
              <w:rPr>
                <w:spacing w:val="-7"/>
                <w:sz w:val="18"/>
              </w:rPr>
              <w:t> </w:t>
            </w:r>
            <w:r>
              <w:rPr>
                <w:sz w:val="18"/>
              </w:rPr>
              <w:t>y pobreza que identifique limitaciones de acceso a la tecnología y brecha digital </w:t>
            </w:r>
            <w:r>
              <w:rPr>
                <w:b/>
                <w:sz w:val="18"/>
              </w:rPr>
              <w:t>(vinculado a PEI 3.2.1).</w:t>
            </w:r>
          </w:p>
        </w:tc>
        <w:tc>
          <w:tcPr>
            <w:tcW w:w="1560" w:type="dxa"/>
          </w:tcPr>
          <w:p>
            <w:pPr>
              <w:pStyle w:val="TableParagraph"/>
              <w:rPr>
                <w:b/>
                <w:sz w:val="18"/>
              </w:rPr>
            </w:pPr>
          </w:p>
          <w:p>
            <w:pPr>
              <w:pStyle w:val="TableParagraph"/>
              <w:rPr>
                <w:b/>
                <w:sz w:val="18"/>
              </w:rPr>
            </w:pPr>
          </w:p>
          <w:p>
            <w:pPr>
              <w:pStyle w:val="TableParagraph"/>
              <w:spacing w:before="2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203"/>
              <w:rPr>
                <w:b/>
                <w:sz w:val="18"/>
              </w:rPr>
            </w:pPr>
          </w:p>
          <w:p>
            <w:pPr>
              <w:pStyle w:val="TableParagraph"/>
              <w:ind w:left="21" w:right="16"/>
              <w:jc w:val="center"/>
              <w:rPr>
                <w:sz w:val="18"/>
              </w:rPr>
            </w:pPr>
            <w:r>
              <w:rPr>
                <w:spacing w:val="-5"/>
                <w:sz w:val="18"/>
              </w:rPr>
              <w:t>60%</w:t>
            </w:r>
          </w:p>
        </w:tc>
        <w:tc>
          <w:tcPr>
            <w:tcW w:w="1982" w:type="dxa"/>
          </w:tcPr>
          <w:p>
            <w:pPr>
              <w:pStyle w:val="TableParagraph"/>
              <w:ind w:left="68" w:right="72"/>
              <w:rPr>
                <w:sz w:val="18"/>
              </w:rPr>
            </w:pPr>
            <w:r>
              <w:rPr>
                <w:sz w:val="18"/>
              </w:rPr>
              <w:t>Porcentaje</w:t>
            </w:r>
            <w:r>
              <w:rPr>
                <w:spacing w:val="-15"/>
                <w:sz w:val="18"/>
              </w:rPr>
              <w:t> </w:t>
            </w:r>
            <w:r>
              <w:rPr>
                <w:sz w:val="18"/>
              </w:rPr>
              <w:t>de</w:t>
            </w:r>
            <w:r>
              <w:rPr>
                <w:spacing w:val="-12"/>
                <w:sz w:val="18"/>
              </w:rPr>
              <w:t> </w:t>
            </w:r>
            <w:r>
              <w:rPr>
                <w:sz w:val="18"/>
              </w:rPr>
              <w:t>hogares en situación de pobreza</w:t>
            </w:r>
            <w:r>
              <w:rPr>
                <w:spacing w:val="-13"/>
                <w:sz w:val="18"/>
              </w:rPr>
              <w:t> </w:t>
            </w:r>
            <w:r>
              <w:rPr>
                <w:sz w:val="18"/>
              </w:rPr>
              <w:t>receptores</w:t>
            </w:r>
            <w:r>
              <w:rPr>
                <w:spacing w:val="-12"/>
                <w:sz w:val="18"/>
              </w:rPr>
              <w:t> </w:t>
            </w:r>
            <w:r>
              <w:rPr>
                <w:sz w:val="18"/>
              </w:rPr>
              <w:t>de la oferta programática institucional</w:t>
            </w:r>
            <w:r>
              <w:rPr>
                <w:spacing w:val="-1"/>
                <w:sz w:val="18"/>
              </w:rPr>
              <w:t> </w:t>
            </w:r>
            <w:r>
              <w:rPr>
                <w:sz w:val="18"/>
              </w:rPr>
              <w:t>con limitaciones</w:t>
            </w:r>
            <w:r>
              <w:rPr>
                <w:spacing w:val="-15"/>
                <w:sz w:val="18"/>
              </w:rPr>
              <w:t> </w:t>
            </w:r>
            <w:r>
              <w:rPr>
                <w:sz w:val="18"/>
              </w:rPr>
              <w:t>de</w:t>
            </w:r>
            <w:r>
              <w:rPr>
                <w:spacing w:val="-12"/>
                <w:sz w:val="18"/>
              </w:rPr>
              <w:t> </w:t>
            </w:r>
            <w:r>
              <w:rPr>
                <w:sz w:val="18"/>
              </w:rPr>
              <w:t>acceso a la tecnología y</w:t>
            </w:r>
          </w:p>
          <w:p>
            <w:pPr>
              <w:pStyle w:val="TableParagraph"/>
              <w:spacing w:line="206" w:lineRule="exact"/>
              <w:ind w:left="68"/>
              <w:rPr>
                <w:sz w:val="18"/>
              </w:rPr>
            </w:pPr>
            <w:r>
              <w:rPr>
                <w:sz w:val="18"/>
              </w:rPr>
              <w:t>brecha</w:t>
            </w:r>
            <w:r>
              <w:rPr>
                <w:spacing w:val="-13"/>
                <w:sz w:val="18"/>
              </w:rPr>
              <w:t> </w:t>
            </w:r>
            <w:r>
              <w:rPr>
                <w:sz w:val="18"/>
              </w:rPr>
              <w:t>digital </w:t>
            </w:r>
            <w:r>
              <w:rPr>
                <w:spacing w:val="-2"/>
                <w:sz w:val="18"/>
              </w:rPr>
              <w:t>identificada</w:t>
            </w:r>
          </w:p>
        </w:tc>
        <w:tc>
          <w:tcPr>
            <w:tcW w:w="1560" w:type="dxa"/>
          </w:tcPr>
          <w:p>
            <w:pPr>
              <w:pStyle w:val="TableParagraph"/>
              <w:rPr>
                <w:b/>
                <w:sz w:val="18"/>
              </w:rPr>
            </w:pPr>
          </w:p>
          <w:p>
            <w:pPr>
              <w:pStyle w:val="TableParagraph"/>
              <w:spacing w:before="103"/>
              <w:rPr>
                <w:b/>
                <w:sz w:val="18"/>
              </w:rPr>
            </w:pPr>
          </w:p>
          <w:p>
            <w:pPr>
              <w:pStyle w:val="TableParagraph"/>
              <w:ind w:left="73" w:right="469"/>
              <w:rPr>
                <w:sz w:val="18"/>
              </w:rPr>
            </w:pPr>
            <w:r>
              <w:rPr>
                <w:sz w:val="18"/>
              </w:rPr>
              <w:t>Reportes</w:t>
            </w:r>
            <w:r>
              <w:rPr>
                <w:spacing w:val="-13"/>
                <w:sz w:val="18"/>
              </w:rPr>
              <w:t> </w:t>
            </w:r>
            <w:r>
              <w:rPr>
                <w:sz w:val="18"/>
              </w:rPr>
              <w:t>de ARDS</w:t>
            </w:r>
            <w:r>
              <w:rPr>
                <w:spacing w:val="-13"/>
                <w:sz w:val="18"/>
              </w:rPr>
              <w:t> </w:t>
            </w:r>
            <w:r>
              <w:rPr>
                <w:sz w:val="18"/>
              </w:rPr>
              <w:t>sobre </w:t>
            </w:r>
            <w:r>
              <w:rPr>
                <w:spacing w:val="-2"/>
                <w:sz w:val="18"/>
              </w:rPr>
              <w:t>población identificada</w:t>
            </w:r>
          </w:p>
        </w:tc>
        <w:tc>
          <w:tcPr>
            <w:tcW w:w="1416" w:type="dxa"/>
          </w:tcPr>
          <w:p>
            <w:pPr>
              <w:pStyle w:val="TableParagraph"/>
              <w:rPr>
                <w:b/>
                <w:sz w:val="18"/>
              </w:rPr>
            </w:pPr>
          </w:p>
          <w:p>
            <w:pPr>
              <w:pStyle w:val="TableParagraph"/>
              <w:rPr>
                <w:b/>
                <w:sz w:val="18"/>
              </w:rPr>
            </w:pPr>
          </w:p>
          <w:p>
            <w:pPr>
              <w:pStyle w:val="TableParagraph"/>
              <w:spacing w:before="203"/>
              <w:rPr>
                <w:b/>
                <w:sz w:val="18"/>
              </w:rPr>
            </w:pPr>
          </w:p>
          <w:p>
            <w:pPr>
              <w:pStyle w:val="TableParagraph"/>
              <w:ind w:left="17" w:right="6"/>
              <w:jc w:val="center"/>
              <w:rPr>
                <w:sz w:val="18"/>
              </w:rPr>
            </w:pPr>
            <w:r>
              <w:rPr>
                <w:spacing w:val="-4"/>
                <w:sz w:val="18"/>
              </w:rPr>
              <w:t>ARDS</w:t>
            </w:r>
          </w:p>
        </w:tc>
        <w:tc>
          <w:tcPr>
            <w:tcW w:w="1647" w:type="dxa"/>
          </w:tcPr>
          <w:p>
            <w:pPr>
              <w:pStyle w:val="TableParagraph"/>
              <w:rPr>
                <w:rFonts w:ascii="Times New Roman"/>
                <w:sz w:val="18"/>
              </w:rPr>
            </w:pPr>
          </w:p>
        </w:tc>
        <w:tc>
          <w:tcPr>
            <w:tcW w:w="1549" w:type="dxa"/>
            <w:vMerge/>
            <w:tcBorders>
              <w:top w:val="nil"/>
            </w:tcBorders>
          </w:tcPr>
          <w:p>
            <w:pPr>
              <w:rPr>
                <w:sz w:val="2"/>
                <w:szCs w:val="2"/>
              </w:rPr>
            </w:pPr>
          </w:p>
        </w:tc>
      </w:tr>
      <w:tr>
        <w:trPr>
          <w:trHeight w:val="494" w:hRule="atLeast"/>
        </w:trPr>
        <w:tc>
          <w:tcPr>
            <w:tcW w:w="14246" w:type="dxa"/>
            <w:gridSpan w:val="8"/>
            <w:shd w:val="clear" w:color="auto" w:fill="EFF8F9"/>
          </w:tcPr>
          <w:p>
            <w:pPr>
              <w:pStyle w:val="TableParagraph"/>
              <w:spacing w:line="244" w:lineRule="auto" w:before="37"/>
              <w:ind w:left="72" w:right="60"/>
              <w:rPr>
                <w:b/>
                <w:sz w:val="18"/>
              </w:rPr>
            </w:pPr>
            <w:r>
              <w:rPr>
                <w:b/>
                <w:sz w:val="18"/>
              </w:rPr>
              <w:t>Producto</w:t>
            </w:r>
            <w:r>
              <w:rPr>
                <w:b/>
                <w:spacing w:val="-3"/>
                <w:sz w:val="18"/>
              </w:rPr>
              <w:t> </w:t>
            </w:r>
            <w:r>
              <w:rPr>
                <w:b/>
                <w:sz w:val="18"/>
              </w:rPr>
              <w:t>PPPS</w:t>
            </w:r>
            <w:r>
              <w:rPr>
                <w:b/>
                <w:spacing w:val="-3"/>
                <w:sz w:val="18"/>
              </w:rPr>
              <w:t> </w:t>
            </w:r>
            <w:r>
              <w:rPr>
                <w:b/>
                <w:sz w:val="18"/>
              </w:rPr>
              <w:t>1.33: Mecanismos diseñados</w:t>
            </w:r>
            <w:r>
              <w:rPr>
                <w:b/>
                <w:spacing w:val="-2"/>
                <w:sz w:val="18"/>
              </w:rPr>
              <w:t> </w:t>
            </w:r>
            <w:r>
              <w:rPr>
                <w:b/>
                <w:sz w:val="18"/>
              </w:rPr>
              <w:t>e</w:t>
            </w:r>
            <w:r>
              <w:rPr>
                <w:b/>
                <w:spacing w:val="-2"/>
                <w:sz w:val="18"/>
              </w:rPr>
              <w:t> </w:t>
            </w:r>
            <w:r>
              <w:rPr>
                <w:b/>
                <w:sz w:val="18"/>
              </w:rPr>
              <w:t>implementados</w:t>
            </w:r>
            <w:r>
              <w:rPr>
                <w:b/>
                <w:spacing w:val="-2"/>
                <w:sz w:val="18"/>
              </w:rPr>
              <w:t> </w:t>
            </w:r>
            <w:r>
              <w:rPr>
                <w:b/>
                <w:sz w:val="18"/>
              </w:rPr>
              <w:t>para</w:t>
            </w:r>
            <w:r>
              <w:rPr>
                <w:b/>
                <w:spacing w:val="-8"/>
                <w:sz w:val="18"/>
              </w:rPr>
              <w:t> </w:t>
            </w:r>
            <w:r>
              <w:rPr>
                <w:b/>
                <w:sz w:val="18"/>
              </w:rPr>
              <w:t>la atención</w:t>
            </w:r>
            <w:r>
              <w:rPr>
                <w:b/>
                <w:spacing w:val="-3"/>
                <w:sz w:val="18"/>
              </w:rPr>
              <w:t> </w:t>
            </w:r>
            <w:r>
              <w:rPr>
                <w:b/>
                <w:sz w:val="18"/>
              </w:rPr>
              <w:t>itinerante</w:t>
            </w:r>
            <w:r>
              <w:rPr>
                <w:b/>
                <w:spacing w:val="-2"/>
                <w:sz w:val="18"/>
              </w:rPr>
              <w:t> </w:t>
            </w:r>
            <w:r>
              <w:rPr>
                <w:b/>
                <w:sz w:val="18"/>
              </w:rPr>
              <w:t>a</w:t>
            </w:r>
            <w:r>
              <w:rPr>
                <w:b/>
                <w:spacing w:val="-2"/>
                <w:sz w:val="18"/>
              </w:rPr>
              <w:t> </w:t>
            </w:r>
            <w:r>
              <w:rPr>
                <w:b/>
                <w:sz w:val="18"/>
              </w:rPr>
              <w:t>la</w:t>
            </w:r>
            <w:r>
              <w:rPr>
                <w:b/>
                <w:spacing w:val="-2"/>
                <w:sz w:val="18"/>
              </w:rPr>
              <w:t> </w:t>
            </w:r>
            <w:r>
              <w:rPr>
                <w:b/>
                <w:sz w:val="18"/>
              </w:rPr>
              <w:t>población cuya brecha digital o</w:t>
            </w:r>
            <w:r>
              <w:rPr>
                <w:b/>
                <w:spacing w:val="-3"/>
                <w:sz w:val="18"/>
              </w:rPr>
              <w:t> </w:t>
            </w:r>
            <w:r>
              <w:rPr>
                <w:b/>
                <w:sz w:val="18"/>
              </w:rPr>
              <w:t>limitaciones</w:t>
            </w:r>
            <w:r>
              <w:rPr>
                <w:b/>
                <w:spacing w:val="-2"/>
                <w:sz w:val="18"/>
              </w:rPr>
              <w:t> </w:t>
            </w:r>
            <w:r>
              <w:rPr>
                <w:b/>
                <w:sz w:val="18"/>
              </w:rPr>
              <w:t>de</w:t>
            </w:r>
            <w:r>
              <w:rPr>
                <w:b/>
                <w:spacing w:val="-2"/>
                <w:sz w:val="18"/>
              </w:rPr>
              <w:t> </w:t>
            </w:r>
            <w:r>
              <w:rPr>
                <w:b/>
                <w:sz w:val="18"/>
              </w:rPr>
              <w:t>acceso</w:t>
            </w:r>
            <w:r>
              <w:rPr>
                <w:b/>
                <w:spacing w:val="-3"/>
                <w:sz w:val="18"/>
              </w:rPr>
              <w:t> </w:t>
            </w:r>
            <w:r>
              <w:rPr>
                <w:b/>
                <w:sz w:val="18"/>
              </w:rPr>
              <w:t>a</w:t>
            </w:r>
            <w:r>
              <w:rPr>
                <w:b/>
                <w:spacing w:val="-2"/>
                <w:sz w:val="18"/>
              </w:rPr>
              <w:t> </w:t>
            </w:r>
            <w:r>
              <w:rPr>
                <w:b/>
                <w:sz w:val="18"/>
              </w:rPr>
              <w:t>la</w:t>
            </w:r>
            <w:r>
              <w:rPr>
                <w:b/>
                <w:spacing w:val="-2"/>
                <w:sz w:val="18"/>
              </w:rPr>
              <w:t> </w:t>
            </w:r>
            <w:r>
              <w:rPr>
                <w:b/>
                <w:sz w:val="18"/>
              </w:rPr>
              <w:t>tecnología les dificulta la atención oportuna del IMAS. E3 A2 R2</w:t>
            </w:r>
          </w:p>
        </w:tc>
      </w:tr>
      <w:tr>
        <w:trPr>
          <w:trHeight w:val="2693" w:hRule="atLeast"/>
        </w:trPr>
        <w:tc>
          <w:tcPr>
            <w:tcW w:w="2972" w:type="dxa"/>
          </w:tcPr>
          <w:p>
            <w:pPr>
              <w:pStyle w:val="TableParagraph"/>
              <w:spacing w:before="205"/>
              <w:rPr>
                <w:b/>
                <w:sz w:val="18"/>
              </w:rPr>
            </w:pPr>
          </w:p>
          <w:p>
            <w:pPr>
              <w:pStyle w:val="TableParagraph"/>
              <w:ind w:left="72" w:right="105"/>
              <w:rPr>
                <w:b/>
                <w:sz w:val="18"/>
              </w:rPr>
            </w:pPr>
            <w:r>
              <w:rPr>
                <w:b/>
                <w:sz w:val="18"/>
              </w:rPr>
              <w:t>Actividad PPPS 1.33.1: </w:t>
            </w:r>
            <w:r>
              <w:rPr>
                <w:sz w:val="18"/>
              </w:rPr>
              <w:t>Elaboración de lineamientos que permitan orientar la construcción de mecanismos para la atención itinerante a la población cuya brecha digital o limitaciones de acceso</w:t>
            </w:r>
            <w:r>
              <w:rPr>
                <w:spacing w:val="-10"/>
                <w:sz w:val="18"/>
              </w:rPr>
              <w:t> </w:t>
            </w:r>
            <w:r>
              <w:rPr>
                <w:sz w:val="18"/>
              </w:rPr>
              <w:t>a</w:t>
            </w:r>
            <w:r>
              <w:rPr>
                <w:spacing w:val="-10"/>
                <w:sz w:val="18"/>
              </w:rPr>
              <w:t> </w:t>
            </w:r>
            <w:r>
              <w:rPr>
                <w:sz w:val="18"/>
              </w:rPr>
              <w:t>la</w:t>
            </w:r>
            <w:r>
              <w:rPr>
                <w:spacing w:val="-6"/>
                <w:sz w:val="18"/>
              </w:rPr>
              <w:t> </w:t>
            </w:r>
            <w:r>
              <w:rPr>
                <w:sz w:val="18"/>
              </w:rPr>
              <w:t>tecnología</w:t>
            </w:r>
            <w:r>
              <w:rPr>
                <w:spacing w:val="-6"/>
                <w:sz w:val="18"/>
              </w:rPr>
              <w:t> </w:t>
            </w:r>
            <w:r>
              <w:rPr>
                <w:sz w:val="18"/>
              </w:rPr>
              <w:t>les</w:t>
            </w:r>
            <w:r>
              <w:rPr>
                <w:spacing w:val="-5"/>
                <w:sz w:val="18"/>
              </w:rPr>
              <w:t> </w:t>
            </w:r>
            <w:r>
              <w:rPr>
                <w:sz w:val="18"/>
              </w:rPr>
              <w:t>dificulta la atención oportuna del IMAS </w:t>
            </w:r>
            <w:r>
              <w:rPr>
                <w:b/>
                <w:sz w:val="18"/>
              </w:rPr>
              <w:t>(vinculado a PEI 3.2.2).</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21" w:right="12"/>
              <w:jc w:val="center"/>
              <w:rPr>
                <w:sz w:val="18"/>
              </w:rPr>
            </w:pPr>
            <w:r>
              <w:rPr>
                <w:spacing w:val="-4"/>
                <w:sz w:val="18"/>
              </w:rPr>
              <w:t>100%</w:t>
            </w:r>
          </w:p>
        </w:tc>
        <w:tc>
          <w:tcPr>
            <w:tcW w:w="1982" w:type="dxa"/>
          </w:tcPr>
          <w:p>
            <w:pPr>
              <w:pStyle w:val="TableParagraph"/>
              <w:ind w:left="68" w:right="96"/>
              <w:rPr>
                <w:sz w:val="18"/>
              </w:rPr>
            </w:pPr>
            <w:r>
              <w:rPr>
                <w:sz w:val="18"/>
              </w:rPr>
              <w:t>Porcentaje de avance en la construcción de lineamientos que permitan orientar la construcción de mecanismos para la atención itinerante de población</w:t>
            </w:r>
            <w:r>
              <w:rPr>
                <w:spacing w:val="-15"/>
                <w:sz w:val="18"/>
              </w:rPr>
              <w:t> </w:t>
            </w:r>
            <w:r>
              <w:rPr>
                <w:sz w:val="18"/>
              </w:rPr>
              <w:t>cuya</w:t>
            </w:r>
            <w:r>
              <w:rPr>
                <w:spacing w:val="-12"/>
                <w:sz w:val="18"/>
              </w:rPr>
              <w:t> </w:t>
            </w:r>
            <w:r>
              <w:rPr>
                <w:sz w:val="18"/>
              </w:rPr>
              <w:t>brecha digital o limitaciones de acceso a la tecnología</w:t>
            </w:r>
            <w:r>
              <w:rPr>
                <w:spacing w:val="-5"/>
                <w:sz w:val="18"/>
              </w:rPr>
              <w:t> </w:t>
            </w:r>
            <w:r>
              <w:rPr>
                <w:sz w:val="18"/>
              </w:rPr>
              <w:t>les dificulta la atención oportuna</w:t>
            </w:r>
          </w:p>
          <w:p>
            <w:pPr>
              <w:pStyle w:val="TableParagraph"/>
              <w:spacing w:line="187" w:lineRule="exact" w:before="2"/>
              <w:ind w:left="68"/>
              <w:rPr>
                <w:sz w:val="18"/>
              </w:rPr>
            </w:pPr>
            <w:r>
              <w:rPr>
                <w:sz w:val="18"/>
              </w:rPr>
              <w:t>del </w:t>
            </w:r>
            <w:r>
              <w:rPr>
                <w:spacing w:val="-4"/>
                <w:sz w:val="18"/>
              </w:rPr>
              <w:t>IMAS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line="244" w:lineRule="auto"/>
              <w:ind w:left="73" w:right="58"/>
              <w:rPr>
                <w:sz w:val="18"/>
              </w:rPr>
            </w:pPr>
            <w:r>
              <w:rPr>
                <w:sz w:val="18"/>
              </w:rPr>
              <w:t>Documento</w:t>
            </w:r>
            <w:r>
              <w:rPr>
                <w:spacing w:val="-13"/>
                <w:sz w:val="18"/>
              </w:rPr>
              <w:t> </w:t>
            </w:r>
            <w:r>
              <w:rPr>
                <w:sz w:val="18"/>
              </w:rPr>
              <w:t>de </w:t>
            </w:r>
            <w:r>
              <w:rPr>
                <w:spacing w:val="-2"/>
                <w:sz w:val="18"/>
              </w:rPr>
              <w:t>lineamientos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17" w:right="6"/>
              <w:jc w:val="center"/>
              <w:rPr>
                <w:sz w:val="18"/>
              </w:rPr>
            </w:pPr>
            <w:r>
              <w:rPr>
                <w:spacing w:val="-2"/>
                <w:sz w:val="18"/>
              </w:rPr>
              <w:t>DDS/DSIS</w:t>
            </w:r>
          </w:p>
        </w:tc>
        <w:tc>
          <w:tcPr>
            <w:tcW w:w="1647" w:type="dxa"/>
          </w:tcPr>
          <w:p>
            <w:pPr>
              <w:pStyle w:val="TableParagraph"/>
              <w:rPr>
                <w:rFonts w:ascii="Times New Roman"/>
                <w:sz w:val="18"/>
              </w:rPr>
            </w:pPr>
          </w:p>
        </w:tc>
        <w:tc>
          <w:tcPr>
            <w:tcW w:w="1549" w:type="dxa"/>
            <w:vMerge w:val="restart"/>
          </w:tcPr>
          <w:p>
            <w:pPr>
              <w:pStyle w:val="TableParagraph"/>
              <w:rPr>
                <w:b/>
                <w:sz w:val="18"/>
              </w:rPr>
            </w:pPr>
          </w:p>
          <w:p>
            <w:pPr>
              <w:pStyle w:val="TableParagraph"/>
              <w:rPr>
                <w:b/>
                <w:sz w:val="18"/>
              </w:rPr>
            </w:pPr>
          </w:p>
          <w:p>
            <w:pPr>
              <w:pStyle w:val="TableParagraph"/>
              <w:spacing w:before="107"/>
              <w:rPr>
                <w:b/>
                <w:sz w:val="18"/>
              </w:rPr>
            </w:pPr>
          </w:p>
          <w:p>
            <w:pPr>
              <w:pStyle w:val="TableParagraph"/>
              <w:numPr>
                <w:ilvl w:val="0"/>
                <w:numId w:val="63"/>
              </w:numPr>
              <w:tabs>
                <w:tab w:pos="135" w:val="left" w:leader="none"/>
              </w:tabs>
              <w:spacing w:line="240" w:lineRule="auto" w:before="1" w:after="0"/>
              <w:ind w:left="74" w:right="137" w:firstLine="0"/>
              <w:jc w:val="left"/>
              <w:rPr>
                <w:sz w:val="18"/>
              </w:rPr>
            </w:pPr>
            <w:r>
              <w:rPr>
                <w:spacing w:val="-2"/>
                <w:sz w:val="18"/>
              </w:rPr>
              <w:t>Estrategias </w:t>
            </w:r>
            <w:r>
              <w:rPr>
                <w:sz w:val="18"/>
              </w:rPr>
              <w:t>diferenciadas</w:t>
            </w:r>
            <w:r>
              <w:rPr>
                <w:spacing w:val="-13"/>
                <w:sz w:val="18"/>
              </w:rPr>
              <w:t> </w:t>
            </w:r>
            <w:r>
              <w:rPr>
                <w:sz w:val="18"/>
              </w:rPr>
              <w:t>de atención a nivel regional y local para la atención de las </w:t>
            </w:r>
            <w:r>
              <w:rPr>
                <w:spacing w:val="-2"/>
                <w:sz w:val="18"/>
              </w:rPr>
              <w:t>particularidades identificadas.</w:t>
            </w:r>
          </w:p>
          <w:p>
            <w:pPr>
              <w:pStyle w:val="TableParagraph"/>
              <w:numPr>
                <w:ilvl w:val="0"/>
                <w:numId w:val="63"/>
              </w:numPr>
              <w:tabs>
                <w:tab w:pos="135" w:val="left" w:leader="none"/>
              </w:tabs>
              <w:spacing w:line="240" w:lineRule="auto" w:before="0" w:after="0"/>
              <w:ind w:left="74" w:right="65" w:firstLine="0"/>
              <w:jc w:val="left"/>
              <w:rPr>
                <w:sz w:val="18"/>
              </w:rPr>
            </w:pPr>
            <w:r>
              <w:rPr>
                <w:spacing w:val="-2"/>
                <w:sz w:val="18"/>
              </w:rPr>
              <w:t>Limitaciones </w:t>
            </w:r>
            <w:r>
              <w:rPr>
                <w:sz w:val="18"/>
              </w:rPr>
              <w:t>administrativas y operativas para</w:t>
            </w:r>
            <w:r>
              <w:rPr>
                <w:spacing w:val="40"/>
                <w:sz w:val="18"/>
              </w:rPr>
              <w:t> </w:t>
            </w:r>
            <w:r>
              <w:rPr>
                <w:sz w:val="18"/>
              </w:rPr>
              <w:t>la atención itinerante</w:t>
            </w:r>
            <w:r>
              <w:rPr>
                <w:spacing w:val="-15"/>
                <w:sz w:val="18"/>
              </w:rPr>
              <w:t> </w:t>
            </w:r>
            <w:r>
              <w:rPr>
                <w:sz w:val="18"/>
              </w:rPr>
              <w:t>de</w:t>
            </w:r>
            <w:r>
              <w:rPr>
                <w:spacing w:val="-12"/>
                <w:sz w:val="18"/>
              </w:rPr>
              <w:t> </w:t>
            </w:r>
            <w:r>
              <w:rPr>
                <w:sz w:val="18"/>
              </w:rPr>
              <w:t>toda la población </w:t>
            </w:r>
            <w:r>
              <w:rPr>
                <w:spacing w:val="-2"/>
                <w:sz w:val="18"/>
              </w:rPr>
              <w:t>usuaria identificada.</w:t>
            </w:r>
          </w:p>
        </w:tc>
      </w:tr>
      <w:tr>
        <w:trPr>
          <w:trHeight w:val="2069" w:hRule="atLeast"/>
        </w:trPr>
        <w:tc>
          <w:tcPr>
            <w:tcW w:w="2972" w:type="dxa"/>
          </w:tcPr>
          <w:p>
            <w:pPr>
              <w:pStyle w:val="TableParagraph"/>
              <w:spacing w:before="103"/>
              <w:rPr>
                <w:b/>
                <w:sz w:val="18"/>
              </w:rPr>
            </w:pPr>
          </w:p>
          <w:p>
            <w:pPr>
              <w:pStyle w:val="TableParagraph"/>
              <w:spacing w:line="207" w:lineRule="exact" w:before="1"/>
              <w:ind w:left="72"/>
              <w:rPr>
                <w:b/>
                <w:sz w:val="18"/>
              </w:rPr>
            </w:pPr>
            <w:r>
              <w:rPr>
                <w:b/>
                <w:sz w:val="18"/>
              </w:rPr>
              <w:t>Actividad</w:t>
            </w:r>
            <w:r>
              <w:rPr>
                <w:b/>
                <w:spacing w:val="-6"/>
                <w:sz w:val="18"/>
              </w:rPr>
              <w:t> </w:t>
            </w:r>
            <w:r>
              <w:rPr>
                <w:b/>
                <w:sz w:val="18"/>
              </w:rPr>
              <w:t>PPPS</w:t>
            </w:r>
            <w:r>
              <w:rPr>
                <w:b/>
                <w:spacing w:val="-6"/>
                <w:sz w:val="18"/>
              </w:rPr>
              <w:t> </w:t>
            </w:r>
            <w:r>
              <w:rPr>
                <w:b/>
                <w:spacing w:val="-2"/>
                <w:sz w:val="18"/>
              </w:rPr>
              <w:t>1.33.2:</w:t>
            </w:r>
          </w:p>
          <w:p>
            <w:pPr>
              <w:pStyle w:val="TableParagraph"/>
              <w:ind w:left="72" w:right="141"/>
              <w:rPr>
                <w:b/>
                <w:sz w:val="18"/>
              </w:rPr>
            </w:pPr>
            <w:r>
              <w:rPr>
                <w:sz w:val="18"/>
              </w:rPr>
              <w:t>Diseño de mecanismos para la atención</w:t>
            </w:r>
            <w:r>
              <w:rPr>
                <w:spacing w:val="-9"/>
                <w:sz w:val="18"/>
              </w:rPr>
              <w:t> </w:t>
            </w:r>
            <w:r>
              <w:rPr>
                <w:sz w:val="18"/>
              </w:rPr>
              <w:t>itinerante</w:t>
            </w:r>
            <w:r>
              <w:rPr>
                <w:spacing w:val="-5"/>
                <w:sz w:val="18"/>
              </w:rPr>
              <w:t> </w:t>
            </w:r>
            <w:r>
              <w:rPr>
                <w:sz w:val="18"/>
              </w:rPr>
              <w:t>a</w:t>
            </w:r>
            <w:r>
              <w:rPr>
                <w:spacing w:val="-9"/>
                <w:sz w:val="18"/>
              </w:rPr>
              <w:t> </w:t>
            </w:r>
            <w:r>
              <w:rPr>
                <w:sz w:val="18"/>
              </w:rPr>
              <w:t>la</w:t>
            </w:r>
            <w:r>
              <w:rPr>
                <w:spacing w:val="-5"/>
                <w:sz w:val="18"/>
              </w:rPr>
              <w:t> </w:t>
            </w:r>
            <w:r>
              <w:rPr>
                <w:sz w:val="18"/>
              </w:rPr>
              <w:t>población cuya</w:t>
            </w:r>
            <w:r>
              <w:rPr>
                <w:spacing w:val="-11"/>
                <w:sz w:val="18"/>
              </w:rPr>
              <w:t> </w:t>
            </w:r>
            <w:r>
              <w:rPr>
                <w:sz w:val="18"/>
              </w:rPr>
              <w:t>brecha</w:t>
            </w:r>
            <w:r>
              <w:rPr>
                <w:spacing w:val="-7"/>
                <w:sz w:val="18"/>
              </w:rPr>
              <w:t> </w:t>
            </w:r>
            <w:r>
              <w:rPr>
                <w:sz w:val="18"/>
              </w:rPr>
              <w:t>digital</w:t>
            </w:r>
            <w:r>
              <w:rPr>
                <w:spacing w:val="-8"/>
                <w:sz w:val="18"/>
              </w:rPr>
              <w:t> </w:t>
            </w:r>
            <w:r>
              <w:rPr>
                <w:sz w:val="18"/>
              </w:rPr>
              <w:t>o</w:t>
            </w:r>
            <w:r>
              <w:rPr>
                <w:spacing w:val="-11"/>
                <w:sz w:val="18"/>
              </w:rPr>
              <w:t> </w:t>
            </w:r>
            <w:r>
              <w:rPr>
                <w:sz w:val="18"/>
              </w:rPr>
              <w:t>limitaciones de acceso a la tecnología les dificulta la atención oportuna del IMAS </w:t>
            </w:r>
            <w:r>
              <w:rPr>
                <w:b/>
                <w:sz w:val="18"/>
              </w:rPr>
              <w:t>(vinculado a PEI 3.2.2).</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2"/>
              <w:jc w:val="center"/>
              <w:rPr>
                <w:sz w:val="18"/>
              </w:rPr>
            </w:pPr>
            <w:r>
              <w:rPr>
                <w:spacing w:val="-4"/>
                <w:sz w:val="18"/>
              </w:rPr>
              <w:t>100%</w:t>
            </w:r>
          </w:p>
        </w:tc>
        <w:tc>
          <w:tcPr>
            <w:tcW w:w="1982" w:type="dxa"/>
          </w:tcPr>
          <w:p>
            <w:pPr>
              <w:pStyle w:val="TableParagraph"/>
              <w:ind w:left="68" w:right="86"/>
              <w:rPr>
                <w:sz w:val="18"/>
              </w:rPr>
            </w:pPr>
            <w:r>
              <w:rPr>
                <w:sz w:val="18"/>
              </w:rPr>
              <w:t>Porcentaje de avance en la construcción de mecanismos para la atención</w:t>
            </w:r>
            <w:r>
              <w:rPr>
                <w:spacing w:val="-13"/>
                <w:sz w:val="18"/>
              </w:rPr>
              <w:t> </w:t>
            </w:r>
            <w:r>
              <w:rPr>
                <w:sz w:val="18"/>
              </w:rPr>
              <w:t>itinerante</w:t>
            </w:r>
            <w:r>
              <w:rPr>
                <w:spacing w:val="-8"/>
                <w:sz w:val="18"/>
              </w:rPr>
              <w:t> </w:t>
            </w:r>
            <w:r>
              <w:rPr>
                <w:sz w:val="18"/>
              </w:rPr>
              <w:t>a</w:t>
            </w:r>
            <w:r>
              <w:rPr>
                <w:spacing w:val="-13"/>
                <w:sz w:val="18"/>
              </w:rPr>
              <w:t> </w:t>
            </w:r>
            <w:r>
              <w:rPr>
                <w:sz w:val="18"/>
              </w:rPr>
              <w:t>la población</w:t>
            </w:r>
            <w:r>
              <w:rPr>
                <w:spacing w:val="-11"/>
                <w:sz w:val="18"/>
              </w:rPr>
              <w:t> </w:t>
            </w:r>
            <w:r>
              <w:rPr>
                <w:sz w:val="18"/>
              </w:rPr>
              <w:t>cuya</w:t>
            </w:r>
            <w:r>
              <w:rPr>
                <w:spacing w:val="-13"/>
                <w:sz w:val="18"/>
              </w:rPr>
              <w:t> </w:t>
            </w:r>
            <w:r>
              <w:rPr>
                <w:sz w:val="18"/>
              </w:rPr>
              <w:t>brecha digital o limitaciones de acceso a la tecnología les dificulta</w:t>
            </w:r>
          </w:p>
          <w:p>
            <w:pPr>
              <w:pStyle w:val="TableParagraph"/>
              <w:spacing w:line="206" w:lineRule="exact"/>
              <w:ind w:left="68" w:right="114"/>
              <w:rPr>
                <w:sz w:val="18"/>
              </w:rPr>
            </w:pPr>
            <w:r>
              <w:rPr>
                <w:sz w:val="18"/>
              </w:rPr>
              <w:t>la</w:t>
            </w:r>
            <w:r>
              <w:rPr>
                <w:spacing w:val="-15"/>
                <w:sz w:val="18"/>
              </w:rPr>
              <w:t> </w:t>
            </w:r>
            <w:r>
              <w:rPr>
                <w:sz w:val="18"/>
              </w:rPr>
              <w:t>atención</w:t>
            </w:r>
            <w:r>
              <w:rPr>
                <w:spacing w:val="-12"/>
                <w:sz w:val="18"/>
              </w:rPr>
              <w:t> </w:t>
            </w:r>
            <w:r>
              <w:rPr>
                <w:sz w:val="18"/>
              </w:rPr>
              <w:t>oportuna del IMAS</w:t>
            </w:r>
          </w:p>
        </w:tc>
        <w:tc>
          <w:tcPr>
            <w:tcW w:w="1560" w:type="dxa"/>
          </w:tcPr>
          <w:p>
            <w:pPr>
              <w:pStyle w:val="TableParagraph"/>
              <w:spacing w:before="205"/>
              <w:ind w:left="73" w:right="58"/>
              <w:rPr>
                <w:sz w:val="18"/>
              </w:rPr>
            </w:pPr>
            <w:r>
              <w:rPr>
                <w:sz w:val="18"/>
              </w:rPr>
              <w:t>Documento</w:t>
            </w:r>
            <w:r>
              <w:rPr>
                <w:spacing w:val="-2"/>
                <w:sz w:val="18"/>
              </w:rPr>
              <w:t> </w:t>
            </w:r>
            <w:r>
              <w:rPr>
                <w:sz w:val="18"/>
              </w:rPr>
              <w:t>con los</w:t>
            </w:r>
            <w:r>
              <w:rPr>
                <w:spacing w:val="-13"/>
                <w:sz w:val="18"/>
              </w:rPr>
              <w:t> </w:t>
            </w:r>
            <w:r>
              <w:rPr>
                <w:sz w:val="18"/>
              </w:rPr>
              <w:t>mecanismos para</w:t>
            </w:r>
            <w:r>
              <w:rPr>
                <w:spacing w:val="-13"/>
                <w:sz w:val="18"/>
              </w:rPr>
              <w:t> </w:t>
            </w:r>
            <w:r>
              <w:rPr>
                <w:sz w:val="18"/>
              </w:rPr>
              <w:t>la</w:t>
            </w:r>
            <w:r>
              <w:rPr>
                <w:spacing w:val="-10"/>
                <w:sz w:val="18"/>
              </w:rPr>
              <w:t> </w:t>
            </w:r>
            <w:r>
              <w:rPr>
                <w:sz w:val="18"/>
              </w:rPr>
              <w:t>atención itinerante a la población con limitaciones de acceso a la </w:t>
            </w:r>
            <w:r>
              <w:rPr>
                <w:spacing w:val="-2"/>
                <w:sz w:val="18"/>
              </w:rPr>
              <w:t>tecnología.</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7" w:right="6"/>
              <w:jc w:val="center"/>
              <w:rPr>
                <w:sz w:val="18"/>
              </w:rPr>
            </w:pPr>
            <w:r>
              <w:rPr>
                <w:spacing w:val="-4"/>
                <w:sz w:val="18"/>
              </w:rPr>
              <w:t>ARDS</w:t>
            </w:r>
          </w:p>
        </w:tc>
        <w:tc>
          <w:tcPr>
            <w:tcW w:w="1647" w:type="dxa"/>
          </w:tcPr>
          <w:p>
            <w:pPr>
              <w:pStyle w:val="TableParagraph"/>
              <w:rPr>
                <w:rFonts w:ascii="Times New Roman"/>
                <w:sz w:val="18"/>
              </w:rPr>
            </w:pPr>
          </w:p>
        </w:tc>
        <w:tc>
          <w:tcPr>
            <w:tcW w:w="1549" w:type="dxa"/>
            <w:vMerge/>
            <w:tcBorders>
              <w:top w:val="nil"/>
            </w:tcBorders>
          </w:tcPr>
          <w:p>
            <w:pPr>
              <w:rPr>
                <w:sz w:val="2"/>
                <w:szCs w:val="2"/>
              </w:rPr>
            </w:pPr>
          </w:p>
        </w:tc>
      </w:tr>
      <w:tr>
        <w:trPr>
          <w:trHeight w:val="720" w:hRule="atLeast"/>
        </w:trPr>
        <w:tc>
          <w:tcPr>
            <w:tcW w:w="14246" w:type="dxa"/>
            <w:gridSpan w:val="8"/>
            <w:shd w:val="clear" w:color="auto" w:fill="EFF8F9"/>
          </w:tcPr>
          <w:p>
            <w:pPr>
              <w:pStyle w:val="TableParagraph"/>
              <w:spacing w:before="153"/>
              <w:ind w:left="72" w:right="60"/>
              <w:rPr>
                <w:b/>
                <w:sz w:val="18"/>
              </w:rPr>
            </w:pPr>
            <w:r>
              <w:rPr>
                <w:b/>
                <w:sz w:val="18"/>
              </w:rPr>
              <w:t>Producto</w:t>
            </w:r>
            <w:r>
              <w:rPr>
                <w:b/>
                <w:spacing w:val="-3"/>
                <w:sz w:val="18"/>
              </w:rPr>
              <w:t> </w:t>
            </w:r>
            <w:r>
              <w:rPr>
                <w:b/>
                <w:sz w:val="18"/>
              </w:rPr>
              <w:t>PPPS</w:t>
            </w:r>
            <w:r>
              <w:rPr>
                <w:b/>
                <w:spacing w:val="-3"/>
                <w:sz w:val="18"/>
              </w:rPr>
              <w:t> </w:t>
            </w:r>
            <w:r>
              <w:rPr>
                <w:b/>
                <w:sz w:val="18"/>
              </w:rPr>
              <w:t>1.34:</w:t>
            </w:r>
            <w:r>
              <w:rPr>
                <w:b/>
                <w:spacing w:val="80"/>
                <w:sz w:val="18"/>
              </w:rPr>
              <w:t> </w:t>
            </w:r>
            <w:r>
              <w:rPr>
                <w:b/>
                <w:sz w:val="18"/>
              </w:rPr>
              <w:t>Atención</w:t>
            </w:r>
            <w:r>
              <w:rPr>
                <w:b/>
                <w:spacing w:val="-7"/>
                <w:sz w:val="18"/>
              </w:rPr>
              <w:t> </w:t>
            </w:r>
            <w:r>
              <w:rPr>
                <w:b/>
                <w:sz w:val="18"/>
              </w:rPr>
              <w:t>integral institucional ajustada</w:t>
            </w:r>
            <w:r>
              <w:rPr>
                <w:b/>
                <w:spacing w:val="-2"/>
                <w:sz w:val="18"/>
              </w:rPr>
              <w:t> </w:t>
            </w:r>
            <w:r>
              <w:rPr>
                <w:b/>
                <w:sz w:val="18"/>
              </w:rPr>
              <w:t>a</w:t>
            </w:r>
            <w:r>
              <w:rPr>
                <w:b/>
                <w:spacing w:val="-2"/>
                <w:sz w:val="18"/>
              </w:rPr>
              <w:t> </w:t>
            </w:r>
            <w:r>
              <w:rPr>
                <w:b/>
                <w:sz w:val="18"/>
              </w:rPr>
              <w:t>requerimientos y</w:t>
            </w:r>
            <w:r>
              <w:rPr>
                <w:b/>
                <w:spacing w:val="-2"/>
                <w:sz w:val="18"/>
              </w:rPr>
              <w:t> </w:t>
            </w:r>
            <w:r>
              <w:rPr>
                <w:b/>
                <w:sz w:val="18"/>
              </w:rPr>
              <w:t>necesidades de</w:t>
            </w:r>
            <w:r>
              <w:rPr>
                <w:b/>
                <w:spacing w:val="-2"/>
                <w:sz w:val="18"/>
              </w:rPr>
              <w:t> </w:t>
            </w:r>
            <w:r>
              <w:rPr>
                <w:b/>
                <w:sz w:val="18"/>
              </w:rPr>
              <w:t>la</w:t>
            </w:r>
            <w:r>
              <w:rPr>
                <w:b/>
                <w:spacing w:val="-2"/>
                <w:sz w:val="18"/>
              </w:rPr>
              <w:t> </w:t>
            </w:r>
            <w:r>
              <w:rPr>
                <w:b/>
                <w:sz w:val="18"/>
              </w:rPr>
              <w:t>población</w:t>
            </w:r>
            <w:r>
              <w:rPr>
                <w:b/>
                <w:spacing w:val="-7"/>
                <w:sz w:val="18"/>
              </w:rPr>
              <w:t> </w:t>
            </w:r>
            <w:r>
              <w:rPr>
                <w:b/>
                <w:sz w:val="18"/>
              </w:rPr>
              <w:t>infantil y</w:t>
            </w:r>
            <w:r>
              <w:rPr>
                <w:b/>
                <w:spacing w:val="-2"/>
                <w:sz w:val="18"/>
              </w:rPr>
              <w:t> </w:t>
            </w:r>
            <w:r>
              <w:rPr>
                <w:b/>
                <w:sz w:val="18"/>
              </w:rPr>
              <w:t>juvenil con</w:t>
            </w:r>
            <w:r>
              <w:rPr>
                <w:b/>
                <w:spacing w:val="-7"/>
                <w:sz w:val="18"/>
              </w:rPr>
              <w:t> </w:t>
            </w:r>
            <w:r>
              <w:rPr>
                <w:b/>
                <w:sz w:val="18"/>
              </w:rPr>
              <w:t>la</w:t>
            </w:r>
            <w:r>
              <w:rPr>
                <w:b/>
                <w:spacing w:val="-2"/>
                <w:sz w:val="18"/>
              </w:rPr>
              <w:t> </w:t>
            </w:r>
            <w:r>
              <w:rPr>
                <w:b/>
                <w:sz w:val="18"/>
              </w:rPr>
              <w:t>finalidad</w:t>
            </w:r>
            <w:r>
              <w:rPr>
                <w:b/>
                <w:spacing w:val="-3"/>
                <w:sz w:val="18"/>
              </w:rPr>
              <w:t> </w:t>
            </w:r>
            <w:r>
              <w:rPr>
                <w:b/>
                <w:sz w:val="18"/>
              </w:rPr>
              <w:t>de</w:t>
            </w:r>
            <w:r>
              <w:rPr>
                <w:b/>
                <w:spacing w:val="-2"/>
                <w:sz w:val="18"/>
              </w:rPr>
              <w:t> </w:t>
            </w:r>
            <w:r>
              <w:rPr>
                <w:b/>
                <w:sz w:val="18"/>
              </w:rPr>
              <w:t>que</w:t>
            </w:r>
            <w:r>
              <w:rPr>
                <w:b/>
                <w:spacing w:val="-2"/>
                <w:sz w:val="18"/>
              </w:rPr>
              <w:t> </w:t>
            </w:r>
            <w:r>
              <w:rPr>
                <w:b/>
                <w:sz w:val="18"/>
              </w:rPr>
              <w:t>se promuevan condiciones de promoción social para estas poblaciones. E3 AE3 R1</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9"/>
        <w:gridCol w:w="1548"/>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9" w:type="dxa"/>
            <w:shd w:val="clear" w:color="auto" w:fill="D9D9D9"/>
          </w:tcPr>
          <w:p>
            <w:pPr>
              <w:pStyle w:val="TableParagraph"/>
              <w:spacing w:before="104"/>
              <w:ind w:left="430" w:hanging="120"/>
              <w:rPr>
                <w:b/>
                <w:sz w:val="18"/>
              </w:rPr>
            </w:pPr>
            <w:r>
              <w:rPr>
                <w:b/>
                <w:spacing w:val="-2"/>
                <w:sz w:val="18"/>
              </w:rPr>
              <w:t>Presupuesto asignado</w:t>
            </w:r>
          </w:p>
        </w:tc>
        <w:tc>
          <w:tcPr>
            <w:tcW w:w="1548" w:type="dxa"/>
            <w:shd w:val="clear" w:color="auto" w:fill="D9D9D9"/>
          </w:tcPr>
          <w:p>
            <w:pPr>
              <w:pStyle w:val="TableParagraph"/>
              <w:spacing w:line="206" w:lineRule="exact"/>
              <w:ind w:left="16"/>
              <w:jc w:val="center"/>
              <w:rPr>
                <w:b/>
                <w:sz w:val="18"/>
              </w:rPr>
            </w:pPr>
            <w:r>
              <w:rPr>
                <w:b/>
                <w:spacing w:val="-2"/>
                <w:sz w:val="18"/>
              </w:rPr>
              <w:t>Riesgos </w:t>
            </w:r>
            <w:r>
              <w:rPr>
                <w:b/>
                <w:sz w:val="18"/>
              </w:rPr>
              <w:t>asociados al </w:t>
            </w:r>
            <w:r>
              <w:rPr>
                <w:b/>
                <w:spacing w:val="-2"/>
                <w:sz w:val="18"/>
              </w:rPr>
              <w:t>cumplimiento</w:t>
            </w:r>
          </w:p>
        </w:tc>
      </w:tr>
      <w:tr>
        <w:trPr>
          <w:trHeight w:val="1685" w:hRule="atLeast"/>
        </w:trPr>
        <w:tc>
          <w:tcPr>
            <w:tcW w:w="2972" w:type="dxa"/>
          </w:tcPr>
          <w:p>
            <w:pPr>
              <w:pStyle w:val="TableParagraph"/>
              <w:spacing w:before="118"/>
              <w:rPr>
                <w:b/>
                <w:sz w:val="18"/>
              </w:rPr>
            </w:pPr>
          </w:p>
          <w:p>
            <w:pPr>
              <w:pStyle w:val="TableParagraph"/>
              <w:spacing w:before="1"/>
              <w:ind w:left="72" w:right="178"/>
              <w:rPr>
                <w:b/>
                <w:sz w:val="18"/>
              </w:rPr>
            </w:pPr>
            <w:r>
              <w:rPr>
                <w:b/>
                <w:sz w:val="18"/>
              </w:rPr>
              <w:t>Actividad PPPS 1.34.1: </w:t>
            </w:r>
            <w:r>
              <w:rPr>
                <w:sz w:val="18"/>
              </w:rPr>
              <w:t>Ejecución de actividades de promoción social con población infantil</w:t>
            </w:r>
            <w:r>
              <w:rPr>
                <w:spacing w:val="-5"/>
                <w:sz w:val="18"/>
              </w:rPr>
              <w:t> </w:t>
            </w:r>
            <w:r>
              <w:rPr>
                <w:sz w:val="18"/>
              </w:rPr>
              <w:t>y</w:t>
            </w:r>
            <w:r>
              <w:rPr>
                <w:spacing w:val="-12"/>
                <w:sz w:val="18"/>
              </w:rPr>
              <w:t> </w:t>
            </w:r>
            <w:r>
              <w:rPr>
                <w:sz w:val="18"/>
              </w:rPr>
              <w:t>juvenil</w:t>
            </w:r>
            <w:r>
              <w:rPr>
                <w:spacing w:val="-9"/>
                <w:sz w:val="18"/>
              </w:rPr>
              <w:t> </w:t>
            </w:r>
            <w:r>
              <w:rPr>
                <w:b/>
                <w:sz w:val="18"/>
              </w:rPr>
              <w:t>(vinculado</w:t>
            </w:r>
            <w:r>
              <w:rPr>
                <w:b/>
                <w:spacing w:val="-9"/>
                <w:sz w:val="18"/>
              </w:rPr>
              <w:t> </w:t>
            </w:r>
            <w:r>
              <w:rPr>
                <w:b/>
                <w:sz w:val="18"/>
              </w:rPr>
              <w:t>a</w:t>
            </w:r>
            <w:r>
              <w:rPr>
                <w:b/>
                <w:spacing w:val="-4"/>
                <w:sz w:val="18"/>
              </w:rPr>
              <w:t> </w:t>
            </w:r>
            <w:r>
              <w:rPr>
                <w:b/>
                <w:sz w:val="18"/>
              </w:rPr>
              <w:t>PEI </w:t>
            </w:r>
            <w:r>
              <w:rPr>
                <w:b/>
                <w:spacing w:val="-2"/>
                <w:sz w:val="18"/>
              </w:rPr>
              <w:t>3.3.1).</w:t>
            </w:r>
          </w:p>
        </w:tc>
        <w:tc>
          <w:tcPr>
            <w:tcW w:w="1560" w:type="dxa"/>
          </w:tcPr>
          <w:p>
            <w:pPr>
              <w:pStyle w:val="TableParagraph"/>
              <w:rPr>
                <w:b/>
                <w:sz w:val="18"/>
              </w:rPr>
            </w:pPr>
          </w:p>
          <w:p>
            <w:pPr>
              <w:pStyle w:val="TableParagraph"/>
              <w:rPr>
                <w:b/>
                <w:sz w:val="18"/>
              </w:rPr>
            </w:pPr>
          </w:p>
          <w:p>
            <w:pPr>
              <w:pStyle w:val="TableParagraph"/>
              <w:spacing w:before="117"/>
              <w:rPr>
                <w:b/>
                <w:sz w:val="18"/>
              </w:rPr>
            </w:pPr>
          </w:p>
          <w:p>
            <w:pPr>
              <w:pStyle w:val="TableParagraph"/>
              <w:spacing w:before="1"/>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117"/>
              <w:rPr>
                <w:b/>
                <w:sz w:val="18"/>
              </w:rPr>
            </w:pPr>
          </w:p>
          <w:p>
            <w:pPr>
              <w:pStyle w:val="TableParagraph"/>
              <w:spacing w:before="1"/>
              <w:ind w:left="21" w:right="16"/>
              <w:jc w:val="center"/>
              <w:rPr>
                <w:sz w:val="18"/>
              </w:rPr>
            </w:pPr>
            <w:r>
              <w:rPr>
                <w:spacing w:val="-5"/>
                <w:sz w:val="18"/>
              </w:rPr>
              <w:t>60%</w:t>
            </w:r>
          </w:p>
        </w:tc>
        <w:tc>
          <w:tcPr>
            <w:tcW w:w="1982" w:type="dxa"/>
          </w:tcPr>
          <w:p>
            <w:pPr>
              <w:pStyle w:val="TableParagraph"/>
              <w:spacing w:before="119"/>
              <w:ind w:left="68" w:right="114"/>
              <w:rPr>
                <w:sz w:val="18"/>
              </w:rPr>
            </w:pPr>
            <w:r>
              <w:rPr>
                <w:sz w:val="18"/>
              </w:rPr>
              <w:t>Porcentaje de población infantil y juvenil</w:t>
            </w:r>
            <w:r>
              <w:rPr>
                <w:spacing w:val="-13"/>
                <w:sz w:val="18"/>
              </w:rPr>
              <w:t> </w:t>
            </w:r>
            <w:r>
              <w:rPr>
                <w:sz w:val="18"/>
              </w:rPr>
              <w:t>en</w:t>
            </w:r>
            <w:r>
              <w:rPr>
                <w:spacing w:val="-11"/>
                <w:sz w:val="18"/>
              </w:rPr>
              <w:t> </w:t>
            </w:r>
            <w:r>
              <w:rPr>
                <w:sz w:val="18"/>
              </w:rPr>
              <w:t>pobreza</w:t>
            </w:r>
            <w:r>
              <w:rPr>
                <w:spacing w:val="-13"/>
                <w:sz w:val="18"/>
              </w:rPr>
              <w:t> </w:t>
            </w:r>
            <w:r>
              <w:rPr>
                <w:sz w:val="18"/>
              </w:rPr>
              <w:t>y pobreza extrema incorporada en procesos de promoción social</w:t>
            </w:r>
          </w:p>
        </w:tc>
        <w:tc>
          <w:tcPr>
            <w:tcW w:w="1560" w:type="dxa"/>
          </w:tcPr>
          <w:p>
            <w:pPr>
              <w:pStyle w:val="TableParagraph"/>
              <w:spacing w:before="13"/>
              <w:ind w:left="73" w:right="109"/>
              <w:rPr>
                <w:sz w:val="18"/>
              </w:rPr>
            </w:pPr>
            <w:r>
              <w:rPr>
                <w:sz w:val="18"/>
              </w:rPr>
              <w:t>Documentos</w:t>
            </w:r>
            <w:r>
              <w:rPr>
                <w:spacing w:val="-13"/>
                <w:sz w:val="18"/>
              </w:rPr>
              <w:t> </w:t>
            </w:r>
            <w:r>
              <w:rPr>
                <w:sz w:val="18"/>
              </w:rPr>
              <w:t>que respaldan la vinculación</w:t>
            </w:r>
            <w:r>
              <w:rPr>
                <w:spacing w:val="-1"/>
                <w:sz w:val="18"/>
              </w:rPr>
              <w:t> </w:t>
            </w:r>
            <w:r>
              <w:rPr>
                <w:sz w:val="18"/>
              </w:rPr>
              <w:t>de</w:t>
            </w:r>
            <w:r>
              <w:rPr>
                <w:spacing w:val="-4"/>
                <w:sz w:val="18"/>
              </w:rPr>
              <w:t> </w:t>
            </w:r>
            <w:r>
              <w:rPr>
                <w:sz w:val="18"/>
              </w:rPr>
              <w:t>la población</w:t>
            </w:r>
            <w:r>
              <w:rPr>
                <w:spacing w:val="-13"/>
                <w:sz w:val="18"/>
              </w:rPr>
              <w:t> </w:t>
            </w:r>
            <w:r>
              <w:rPr>
                <w:sz w:val="18"/>
              </w:rPr>
              <w:t>infantil y juvenil en pobreza a procesos de</w:t>
            </w:r>
          </w:p>
          <w:p>
            <w:pPr>
              <w:pStyle w:val="TableParagraph"/>
              <w:spacing w:line="201" w:lineRule="exact" w:before="2"/>
              <w:ind w:left="73"/>
              <w:rPr>
                <w:sz w:val="18"/>
              </w:rPr>
            </w:pPr>
            <w:r>
              <w:rPr>
                <w:sz w:val="18"/>
              </w:rPr>
              <w:t>promoción</w:t>
            </w:r>
            <w:r>
              <w:rPr>
                <w:spacing w:val="-6"/>
                <w:sz w:val="18"/>
              </w:rPr>
              <w:t> </w:t>
            </w:r>
            <w:r>
              <w:rPr>
                <w:spacing w:val="-2"/>
                <w:sz w:val="18"/>
              </w:rPr>
              <w:t>social</w:t>
            </w:r>
          </w:p>
        </w:tc>
        <w:tc>
          <w:tcPr>
            <w:tcW w:w="1416" w:type="dxa"/>
          </w:tcPr>
          <w:p>
            <w:pPr>
              <w:pStyle w:val="TableParagraph"/>
              <w:rPr>
                <w:b/>
                <w:sz w:val="18"/>
              </w:rPr>
            </w:pPr>
          </w:p>
          <w:p>
            <w:pPr>
              <w:pStyle w:val="TableParagraph"/>
              <w:rPr>
                <w:b/>
                <w:sz w:val="18"/>
              </w:rPr>
            </w:pPr>
          </w:p>
          <w:p>
            <w:pPr>
              <w:pStyle w:val="TableParagraph"/>
              <w:spacing w:before="117"/>
              <w:rPr>
                <w:b/>
                <w:sz w:val="18"/>
              </w:rPr>
            </w:pPr>
          </w:p>
          <w:p>
            <w:pPr>
              <w:pStyle w:val="TableParagraph"/>
              <w:spacing w:before="1"/>
              <w:ind w:left="17" w:right="6"/>
              <w:jc w:val="center"/>
              <w:rPr>
                <w:sz w:val="18"/>
              </w:rPr>
            </w:pPr>
            <w:r>
              <w:rPr>
                <w:spacing w:val="-4"/>
                <w:sz w:val="18"/>
              </w:rPr>
              <w:t>DDSE</w:t>
            </w:r>
          </w:p>
        </w:tc>
        <w:tc>
          <w:tcPr>
            <w:tcW w:w="1649" w:type="dxa"/>
          </w:tcPr>
          <w:p>
            <w:pPr>
              <w:pStyle w:val="TableParagraph"/>
              <w:rPr>
                <w:rFonts w:ascii="Times New Roman"/>
                <w:sz w:val="18"/>
              </w:rPr>
            </w:pPr>
          </w:p>
        </w:tc>
        <w:tc>
          <w:tcPr>
            <w:tcW w:w="1548" w:type="dxa"/>
          </w:tcPr>
          <w:p>
            <w:pPr>
              <w:pStyle w:val="TableParagraph"/>
              <w:numPr>
                <w:ilvl w:val="0"/>
                <w:numId w:val="64"/>
              </w:numPr>
              <w:tabs>
                <w:tab w:pos="133" w:val="left" w:leader="none"/>
              </w:tabs>
              <w:spacing w:line="240" w:lineRule="auto" w:before="119" w:after="0"/>
              <w:ind w:left="72" w:right="55" w:firstLine="0"/>
              <w:jc w:val="left"/>
              <w:rPr>
                <w:sz w:val="18"/>
              </w:rPr>
            </w:pPr>
            <w:r>
              <w:rPr>
                <w:sz w:val="18"/>
              </w:rPr>
              <w:t>Atención</w:t>
            </w:r>
            <w:r>
              <w:rPr>
                <w:spacing w:val="-13"/>
                <w:sz w:val="18"/>
              </w:rPr>
              <w:t> </w:t>
            </w:r>
            <w:r>
              <w:rPr>
                <w:sz w:val="18"/>
              </w:rPr>
              <w:t>integral institucional</w:t>
            </w:r>
            <w:r>
              <w:rPr>
                <w:spacing w:val="-1"/>
                <w:sz w:val="18"/>
              </w:rPr>
              <w:t> </w:t>
            </w:r>
            <w:r>
              <w:rPr>
                <w:sz w:val="18"/>
              </w:rPr>
              <w:t>no ajustada a requerimientos y necesidades de</w:t>
            </w:r>
            <w:r>
              <w:rPr>
                <w:spacing w:val="40"/>
                <w:sz w:val="18"/>
              </w:rPr>
              <w:t> </w:t>
            </w:r>
            <w:r>
              <w:rPr>
                <w:sz w:val="18"/>
              </w:rPr>
              <w:t>la población infantil y juvenil.</w:t>
            </w:r>
          </w:p>
        </w:tc>
      </w:tr>
      <w:tr>
        <w:trPr>
          <w:trHeight w:val="479" w:hRule="atLeast"/>
        </w:trPr>
        <w:tc>
          <w:tcPr>
            <w:tcW w:w="14247" w:type="dxa"/>
            <w:gridSpan w:val="8"/>
            <w:shd w:val="clear" w:color="auto" w:fill="EFF8F9"/>
          </w:tcPr>
          <w:p>
            <w:pPr>
              <w:pStyle w:val="TableParagraph"/>
              <w:ind w:left="72" w:right="98"/>
              <w:rPr>
                <w:b/>
                <w:sz w:val="18"/>
              </w:rPr>
            </w:pPr>
            <w:r>
              <w:rPr>
                <w:b/>
                <w:sz w:val="18"/>
              </w:rPr>
              <w:t>Producto</w:t>
            </w:r>
            <w:r>
              <w:rPr>
                <w:b/>
                <w:spacing w:val="-4"/>
                <w:sz w:val="18"/>
              </w:rPr>
              <w:t> </w:t>
            </w:r>
            <w:r>
              <w:rPr>
                <w:b/>
                <w:sz w:val="18"/>
              </w:rPr>
              <w:t>PPPS</w:t>
            </w:r>
            <w:r>
              <w:rPr>
                <w:b/>
                <w:spacing w:val="-4"/>
                <w:sz w:val="18"/>
              </w:rPr>
              <w:t> </w:t>
            </w:r>
            <w:r>
              <w:rPr>
                <w:b/>
                <w:sz w:val="18"/>
              </w:rPr>
              <w:t>1.35:</w:t>
            </w:r>
            <w:r>
              <w:rPr>
                <w:b/>
                <w:spacing w:val="40"/>
                <w:sz w:val="18"/>
              </w:rPr>
              <w:t> </w:t>
            </w:r>
            <w:r>
              <w:rPr>
                <w:b/>
                <w:sz w:val="18"/>
              </w:rPr>
              <w:t>Mecanismos</w:t>
            </w:r>
            <w:r>
              <w:rPr>
                <w:b/>
                <w:spacing w:val="-3"/>
                <w:sz w:val="18"/>
              </w:rPr>
              <w:t> </w:t>
            </w:r>
            <w:r>
              <w:rPr>
                <w:b/>
                <w:sz w:val="18"/>
              </w:rPr>
              <w:t>de</w:t>
            </w:r>
            <w:r>
              <w:rPr>
                <w:b/>
                <w:spacing w:val="-3"/>
                <w:sz w:val="18"/>
              </w:rPr>
              <w:t> </w:t>
            </w:r>
            <w:r>
              <w:rPr>
                <w:b/>
                <w:sz w:val="18"/>
              </w:rPr>
              <w:t>articulación</w:t>
            </w:r>
            <w:r>
              <w:rPr>
                <w:b/>
                <w:spacing w:val="-4"/>
                <w:sz w:val="18"/>
              </w:rPr>
              <w:t> </w:t>
            </w:r>
            <w:r>
              <w:rPr>
                <w:b/>
                <w:sz w:val="18"/>
              </w:rPr>
              <w:t>interinstitucional diseñados e</w:t>
            </w:r>
            <w:r>
              <w:rPr>
                <w:b/>
                <w:spacing w:val="-8"/>
                <w:sz w:val="18"/>
              </w:rPr>
              <w:t> </w:t>
            </w:r>
            <w:r>
              <w:rPr>
                <w:b/>
                <w:sz w:val="18"/>
              </w:rPr>
              <w:t>implementados</w:t>
            </w:r>
            <w:r>
              <w:rPr>
                <w:b/>
                <w:spacing w:val="-3"/>
                <w:sz w:val="18"/>
              </w:rPr>
              <w:t> </w:t>
            </w:r>
            <w:r>
              <w:rPr>
                <w:b/>
                <w:sz w:val="18"/>
              </w:rPr>
              <w:t>que</w:t>
            </w:r>
            <w:r>
              <w:rPr>
                <w:b/>
                <w:spacing w:val="-3"/>
                <w:sz w:val="18"/>
              </w:rPr>
              <w:t> </w:t>
            </w:r>
            <w:r>
              <w:rPr>
                <w:b/>
                <w:sz w:val="18"/>
              </w:rPr>
              <w:t>promuevan</w:t>
            </w:r>
            <w:r>
              <w:rPr>
                <w:b/>
                <w:spacing w:val="-8"/>
                <w:sz w:val="18"/>
              </w:rPr>
              <w:t> </w:t>
            </w:r>
            <w:r>
              <w:rPr>
                <w:b/>
                <w:sz w:val="18"/>
              </w:rPr>
              <w:t>la formación</w:t>
            </w:r>
            <w:r>
              <w:rPr>
                <w:b/>
                <w:spacing w:val="-8"/>
                <w:sz w:val="18"/>
              </w:rPr>
              <w:t> </w:t>
            </w:r>
            <w:r>
              <w:rPr>
                <w:b/>
                <w:sz w:val="18"/>
              </w:rPr>
              <w:t>integral dirigida</w:t>
            </w:r>
            <w:r>
              <w:rPr>
                <w:b/>
                <w:spacing w:val="-3"/>
                <w:sz w:val="18"/>
              </w:rPr>
              <w:t> </w:t>
            </w:r>
            <w:r>
              <w:rPr>
                <w:b/>
                <w:sz w:val="18"/>
              </w:rPr>
              <w:t>a</w:t>
            </w:r>
            <w:r>
              <w:rPr>
                <w:b/>
                <w:spacing w:val="-3"/>
                <w:sz w:val="18"/>
              </w:rPr>
              <w:t> </w:t>
            </w:r>
            <w:r>
              <w:rPr>
                <w:b/>
                <w:sz w:val="18"/>
              </w:rPr>
              <w:t>la</w:t>
            </w:r>
            <w:r>
              <w:rPr>
                <w:b/>
                <w:spacing w:val="-3"/>
                <w:sz w:val="18"/>
              </w:rPr>
              <w:t> </w:t>
            </w:r>
            <w:r>
              <w:rPr>
                <w:b/>
                <w:sz w:val="18"/>
              </w:rPr>
              <w:t>niñez y</w:t>
            </w:r>
            <w:r>
              <w:rPr>
                <w:b/>
                <w:spacing w:val="-8"/>
                <w:sz w:val="18"/>
              </w:rPr>
              <w:t> </w:t>
            </w:r>
            <w:r>
              <w:rPr>
                <w:b/>
                <w:sz w:val="18"/>
              </w:rPr>
              <w:t>juventud en situación de pobreza, con</w:t>
            </w:r>
            <w:r>
              <w:rPr>
                <w:b/>
                <w:spacing w:val="-1"/>
                <w:sz w:val="18"/>
              </w:rPr>
              <w:t> </w:t>
            </w:r>
            <w:r>
              <w:rPr>
                <w:b/>
                <w:sz w:val="18"/>
              </w:rPr>
              <w:t>la finalidad de crear condiciones de promoción social en estas poblaciones. E3 AE3 R2</w:t>
            </w:r>
          </w:p>
        </w:tc>
      </w:tr>
      <w:tr>
        <w:trPr>
          <w:trHeight w:val="1238" w:hRule="atLeast"/>
        </w:trPr>
        <w:tc>
          <w:tcPr>
            <w:tcW w:w="2972" w:type="dxa"/>
          </w:tcPr>
          <w:p>
            <w:pPr>
              <w:pStyle w:val="TableParagraph"/>
              <w:spacing w:before="99"/>
              <w:ind w:left="72" w:right="333"/>
              <w:rPr>
                <w:b/>
                <w:sz w:val="18"/>
              </w:rPr>
            </w:pPr>
            <w:r>
              <w:rPr>
                <w:b/>
                <w:sz w:val="18"/>
              </w:rPr>
              <w:t>Actividad PPPS 1.35.1: </w:t>
            </w:r>
            <w:r>
              <w:rPr>
                <w:sz w:val="18"/>
              </w:rPr>
              <w:t>Definición de mecanismos de articulación</w:t>
            </w:r>
            <w:r>
              <w:rPr>
                <w:spacing w:val="-12"/>
                <w:sz w:val="18"/>
              </w:rPr>
              <w:t> </w:t>
            </w:r>
            <w:r>
              <w:rPr>
                <w:sz w:val="18"/>
              </w:rPr>
              <w:t>para</w:t>
            </w:r>
            <w:r>
              <w:rPr>
                <w:spacing w:val="-12"/>
                <w:sz w:val="18"/>
              </w:rPr>
              <w:t> </w:t>
            </w:r>
            <w:r>
              <w:rPr>
                <w:sz w:val="18"/>
              </w:rPr>
              <w:t>cada</w:t>
            </w:r>
            <w:r>
              <w:rPr>
                <w:spacing w:val="-12"/>
                <w:sz w:val="18"/>
              </w:rPr>
              <w:t> </w:t>
            </w:r>
            <w:r>
              <w:rPr>
                <w:sz w:val="18"/>
              </w:rPr>
              <w:t>instancia identificada </w:t>
            </w:r>
            <w:r>
              <w:rPr>
                <w:b/>
                <w:sz w:val="18"/>
              </w:rPr>
              <w:t>(vinculado a PEI </w:t>
            </w:r>
            <w:r>
              <w:rPr>
                <w:b/>
                <w:spacing w:val="-2"/>
                <w:sz w:val="18"/>
              </w:rPr>
              <w:t>3.3.2).</w:t>
            </w:r>
          </w:p>
        </w:tc>
        <w:tc>
          <w:tcPr>
            <w:tcW w:w="1560" w:type="dxa"/>
          </w:tcPr>
          <w:p>
            <w:pPr>
              <w:pStyle w:val="TableParagraph"/>
              <w:rPr>
                <w:b/>
                <w:sz w:val="18"/>
              </w:rPr>
            </w:pPr>
          </w:p>
          <w:p>
            <w:pPr>
              <w:pStyle w:val="TableParagraph"/>
              <w:spacing w:before="104"/>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104"/>
              <w:rPr>
                <w:b/>
                <w:sz w:val="18"/>
              </w:rPr>
            </w:pPr>
          </w:p>
          <w:p>
            <w:pPr>
              <w:pStyle w:val="TableParagraph"/>
              <w:ind w:left="21" w:right="12"/>
              <w:jc w:val="center"/>
              <w:rPr>
                <w:sz w:val="18"/>
              </w:rPr>
            </w:pPr>
            <w:r>
              <w:rPr>
                <w:spacing w:val="-4"/>
                <w:sz w:val="18"/>
              </w:rPr>
              <w:t>100%</w:t>
            </w:r>
          </w:p>
        </w:tc>
        <w:tc>
          <w:tcPr>
            <w:tcW w:w="1982" w:type="dxa"/>
          </w:tcPr>
          <w:p>
            <w:pPr>
              <w:pStyle w:val="TableParagraph"/>
              <w:spacing w:before="99"/>
              <w:ind w:left="68"/>
              <w:rPr>
                <w:sz w:val="18"/>
              </w:rPr>
            </w:pPr>
            <w:r>
              <w:rPr>
                <w:sz w:val="18"/>
              </w:rPr>
              <w:t>Porcentaje</w:t>
            </w:r>
            <w:r>
              <w:rPr>
                <w:spacing w:val="-7"/>
                <w:sz w:val="18"/>
              </w:rPr>
              <w:t> </w:t>
            </w:r>
            <w:r>
              <w:rPr>
                <w:sz w:val="18"/>
              </w:rPr>
              <w:t>de</w:t>
            </w:r>
            <w:r>
              <w:rPr>
                <w:spacing w:val="-7"/>
                <w:sz w:val="18"/>
              </w:rPr>
              <w:t> </w:t>
            </w:r>
            <w:r>
              <w:rPr>
                <w:sz w:val="18"/>
              </w:rPr>
              <w:t>avance en la definición de mecanismos de articulación</w:t>
            </w:r>
            <w:r>
              <w:rPr>
                <w:spacing w:val="-15"/>
                <w:sz w:val="18"/>
              </w:rPr>
              <w:t> </w:t>
            </w:r>
            <w:r>
              <w:rPr>
                <w:sz w:val="18"/>
              </w:rPr>
              <w:t>para</w:t>
            </w:r>
            <w:r>
              <w:rPr>
                <w:spacing w:val="-12"/>
                <w:sz w:val="18"/>
              </w:rPr>
              <w:t> </w:t>
            </w:r>
            <w:r>
              <w:rPr>
                <w:sz w:val="18"/>
              </w:rPr>
              <w:t>cada instancia identificada.</w:t>
            </w:r>
          </w:p>
        </w:tc>
        <w:tc>
          <w:tcPr>
            <w:tcW w:w="1560" w:type="dxa"/>
          </w:tcPr>
          <w:p>
            <w:pPr>
              <w:pStyle w:val="TableParagraph"/>
              <w:ind w:left="73" w:right="58"/>
              <w:rPr>
                <w:sz w:val="18"/>
              </w:rPr>
            </w:pPr>
            <w:r>
              <w:rPr>
                <w:sz w:val="18"/>
              </w:rPr>
              <w:t>Documento</w:t>
            </w:r>
            <w:r>
              <w:rPr>
                <w:spacing w:val="-13"/>
                <w:sz w:val="18"/>
              </w:rPr>
              <w:t> </w:t>
            </w:r>
            <w:r>
              <w:rPr>
                <w:sz w:val="18"/>
              </w:rPr>
              <w:t>que contiene los mecanismos</w:t>
            </w:r>
            <w:r>
              <w:rPr>
                <w:spacing w:val="-13"/>
                <w:sz w:val="18"/>
              </w:rPr>
              <w:t> </w:t>
            </w:r>
            <w:r>
              <w:rPr>
                <w:sz w:val="18"/>
              </w:rPr>
              <w:t>de </w:t>
            </w:r>
            <w:r>
              <w:rPr>
                <w:spacing w:val="-2"/>
                <w:sz w:val="18"/>
              </w:rPr>
              <w:t>articulación </w:t>
            </w:r>
            <w:r>
              <w:rPr>
                <w:sz w:val="18"/>
              </w:rPr>
              <w:t>definidos</w:t>
            </w:r>
            <w:r>
              <w:rPr>
                <w:spacing w:val="-13"/>
                <w:sz w:val="18"/>
              </w:rPr>
              <w:t> </w:t>
            </w:r>
            <w:r>
              <w:rPr>
                <w:sz w:val="18"/>
              </w:rPr>
              <w:t>según</w:t>
            </w:r>
          </w:p>
          <w:p>
            <w:pPr>
              <w:pStyle w:val="TableParagraph"/>
              <w:spacing w:line="185" w:lineRule="exact"/>
              <w:ind w:left="73"/>
              <w:rPr>
                <w:sz w:val="18"/>
              </w:rPr>
            </w:pPr>
            <w:r>
              <w:rPr>
                <w:spacing w:val="-2"/>
                <w:sz w:val="18"/>
              </w:rPr>
              <w:t>instancias.</w:t>
            </w:r>
          </w:p>
        </w:tc>
        <w:tc>
          <w:tcPr>
            <w:tcW w:w="1416" w:type="dxa"/>
          </w:tcPr>
          <w:p>
            <w:pPr>
              <w:pStyle w:val="TableParagraph"/>
              <w:rPr>
                <w:b/>
                <w:sz w:val="18"/>
              </w:rPr>
            </w:pPr>
          </w:p>
          <w:p>
            <w:pPr>
              <w:pStyle w:val="TableParagraph"/>
              <w:spacing w:before="104"/>
              <w:rPr>
                <w:b/>
                <w:sz w:val="18"/>
              </w:rPr>
            </w:pPr>
          </w:p>
          <w:p>
            <w:pPr>
              <w:pStyle w:val="TableParagraph"/>
              <w:ind w:left="17" w:right="6"/>
              <w:jc w:val="center"/>
              <w:rPr>
                <w:sz w:val="18"/>
              </w:rPr>
            </w:pPr>
            <w:r>
              <w:rPr>
                <w:spacing w:val="-4"/>
                <w:sz w:val="18"/>
              </w:rPr>
              <w:t>DDSE</w:t>
            </w:r>
          </w:p>
        </w:tc>
        <w:tc>
          <w:tcPr>
            <w:tcW w:w="1649" w:type="dxa"/>
          </w:tcPr>
          <w:p>
            <w:pPr>
              <w:pStyle w:val="TableParagraph"/>
              <w:rPr>
                <w:rFonts w:ascii="Times New Roman"/>
                <w:sz w:val="18"/>
              </w:rPr>
            </w:pPr>
          </w:p>
        </w:tc>
        <w:tc>
          <w:tcPr>
            <w:tcW w:w="1548" w:type="dxa"/>
            <w:vMerge w:val="restart"/>
          </w:tcPr>
          <w:p>
            <w:pPr>
              <w:pStyle w:val="TableParagraph"/>
              <w:rPr>
                <w:b/>
                <w:sz w:val="18"/>
              </w:rPr>
            </w:pPr>
          </w:p>
          <w:p>
            <w:pPr>
              <w:pStyle w:val="TableParagraph"/>
              <w:rPr>
                <w:b/>
                <w:sz w:val="18"/>
              </w:rPr>
            </w:pPr>
          </w:p>
          <w:p>
            <w:pPr>
              <w:pStyle w:val="TableParagraph"/>
              <w:spacing w:before="2"/>
              <w:rPr>
                <w:b/>
                <w:sz w:val="18"/>
              </w:rPr>
            </w:pPr>
          </w:p>
          <w:p>
            <w:pPr>
              <w:pStyle w:val="TableParagraph"/>
              <w:numPr>
                <w:ilvl w:val="0"/>
                <w:numId w:val="65"/>
              </w:numPr>
              <w:tabs>
                <w:tab w:pos="133" w:val="left" w:leader="none"/>
              </w:tabs>
              <w:spacing w:line="240" w:lineRule="auto" w:before="0" w:after="0"/>
              <w:ind w:left="72" w:right="85" w:firstLine="0"/>
              <w:jc w:val="left"/>
              <w:rPr>
                <w:sz w:val="18"/>
              </w:rPr>
            </w:pPr>
            <w:r>
              <w:rPr>
                <w:spacing w:val="-2"/>
                <w:sz w:val="18"/>
              </w:rPr>
              <w:t>Articulación interinstitucional </w:t>
            </w:r>
            <w:r>
              <w:rPr>
                <w:sz w:val="18"/>
              </w:rPr>
              <w:t>limitada para promover la </w:t>
            </w:r>
            <w:r>
              <w:rPr>
                <w:spacing w:val="-2"/>
                <w:sz w:val="18"/>
              </w:rPr>
              <w:t>formación</w:t>
            </w:r>
            <w:r>
              <w:rPr>
                <w:spacing w:val="40"/>
                <w:sz w:val="18"/>
              </w:rPr>
              <w:t> </w:t>
            </w:r>
            <w:r>
              <w:rPr>
                <w:sz w:val="18"/>
              </w:rPr>
              <w:t>integral</w:t>
            </w:r>
            <w:r>
              <w:rPr>
                <w:spacing w:val="-15"/>
                <w:sz w:val="18"/>
              </w:rPr>
              <w:t> </w:t>
            </w:r>
            <w:r>
              <w:rPr>
                <w:sz w:val="18"/>
              </w:rPr>
              <w:t>dirigida</w:t>
            </w:r>
            <w:r>
              <w:rPr>
                <w:spacing w:val="-12"/>
                <w:sz w:val="18"/>
              </w:rPr>
              <w:t> </w:t>
            </w:r>
            <w:r>
              <w:rPr>
                <w:sz w:val="18"/>
              </w:rPr>
              <w:t>a la niñez y </w:t>
            </w:r>
            <w:r>
              <w:rPr>
                <w:spacing w:val="-2"/>
                <w:sz w:val="18"/>
              </w:rPr>
              <w:t>juventud</w:t>
            </w:r>
          </w:p>
        </w:tc>
      </w:tr>
      <w:tr>
        <w:trPr>
          <w:trHeight w:val="1655" w:hRule="atLeast"/>
        </w:trPr>
        <w:tc>
          <w:tcPr>
            <w:tcW w:w="2972" w:type="dxa"/>
          </w:tcPr>
          <w:p>
            <w:pPr>
              <w:pStyle w:val="TableParagraph"/>
              <w:spacing w:before="103"/>
              <w:rPr>
                <w:b/>
                <w:sz w:val="18"/>
              </w:rPr>
            </w:pPr>
          </w:p>
          <w:p>
            <w:pPr>
              <w:pStyle w:val="TableParagraph"/>
              <w:spacing w:before="1"/>
              <w:ind w:left="72" w:right="138"/>
              <w:rPr>
                <w:b/>
                <w:sz w:val="18"/>
              </w:rPr>
            </w:pPr>
            <w:r>
              <w:rPr>
                <w:b/>
                <w:sz w:val="18"/>
              </w:rPr>
              <w:t>Actividad PPPS 1.35.2:</w:t>
            </w:r>
            <w:r>
              <w:rPr>
                <w:b/>
                <w:spacing w:val="40"/>
                <w:sz w:val="18"/>
              </w:rPr>
              <w:t> </w:t>
            </w:r>
            <w:r>
              <w:rPr>
                <w:sz w:val="18"/>
              </w:rPr>
              <w:t>Ejecución</w:t>
            </w:r>
            <w:r>
              <w:rPr>
                <w:spacing w:val="-10"/>
                <w:sz w:val="18"/>
              </w:rPr>
              <w:t> </w:t>
            </w:r>
            <w:r>
              <w:rPr>
                <w:sz w:val="18"/>
              </w:rPr>
              <w:t>de</w:t>
            </w:r>
            <w:r>
              <w:rPr>
                <w:spacing w:val="-10"/>
                <w:sz w:val="18"/>
              </w:rPr>
              <w:t> </w:t>
            </w:r>
            <w:r>
              <w:rPr>
                <w:sz w:val="18"/>
              </w:rPr>
              <w:t>talleres</w:t>
            </w:r>
            <w:r>
              <w:rPr>
                <w:spacing w:val="-10"/>
                <w:sz w:val="18"/>
              </w:rPr>
              <w:t> </w:t>
            </w:r>
            <w:r>
              <w:rPr>
                <w:sz w:val="18"/>
              </w:rPr>
              <w:t>o</w:t>
            </w:r>
            <w:r>
              <w:rPr>
                <w:spacing w:val="-7"/>
                <w:sz w:val="18"/>
              </w:rPr>
              <w:t> </w:t>
            </w:r>
            <w:r>
              <w:rPr>
                <w:sz w:val="18"/>
              </w:rPr>
              <w:t>actividades con población infantil y juvenil, articulados interinstitucionalmente </w:t>
            </w:r>
            <w:r>
              <w:rPr>
                <w:b/>
                <w:sz w:val="18"/>
              </w:rPr>
              <w:t>(vinculado a PEI 3.3.2).</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6"/>
              <w:jc w:val="center"/>
              <w:rPr>
                <w:sz w:val="18"/>
              </w:rPr>
            </w:pPr>
            <w:r>
              <w:rPr>
                <w:spacing w:val="-5"/>
                <w:sz w:val="18"/>
              </w:rPr>
              <w:t>60%</w:t>
            </w:r>
          </w:p>
        </w:tc>
        <w:tc>
          <w:tcPr>
            <w:tcW w:w="1982" w:type="dxa"/>
          </w:tcPr>
          <w:p>
            <w:pPr>
              <w:pStyle w:val="TableParagraph"/>
              <w:spacing w:before="3"/>
              <w:ind w:left="68" w:right="114"/>
              <w:rPr>
                <w:sz w:val="18"/>
              </w:rPr>
            </w:pPr>
            <w:r>
              <w:rPr>
                <w:sz w:val="18"/>
              </w:rPr>
              <w:t>Porcentaje de población infantil y juvenil</w:t>
            </w:r>
            <w:r>
              <w:rPr>
                <w:spacing w:val="-13"/>
                <w:sz w:val="18"/>
              </w:rPr>
              <w:t> </w:t>
            </w:r>
            <w:r>
              <w:rPr>
                <w:sz w:val="18"/>
              </w:rPr>
              <w:t>en</w:t>
            </w:r>
            <w:r>
              <w:rPr>
                <w:spacing w:val="-11"/>
                <w:sz w:val="18"/>
              </w:rPr>
              <w:t> </w:t>
            </w:r>
            <w:r>
              <w:rPr>
                <w:sz w:val="18"/>
              </w:rPr>
              <w:t>pobreza</w:t>
            </w:r>
            <w:r>
              <w:rPr>
                <w:spacing w:val="-13"/>
                <w:sz w:val="18"/>
              </w:rPr>
              <w:t> </w:t>
            </w:r>
            <w:r>
              <w:rPr>
                <w:sz w:val="18"/>
              </w:rPr>
              <w:t>y pobreza extrema atendida mediante mecanismos de </w:t>
            </w:r>
            <w:r>
              <w:rPr>
                <w:spacing w:val="-2"/>
                <w:sz w:val="18"/>
              </w:rPr>
              <w:t>articulación</w:t>
            </w:r>
          </w:p>
          <w:p>
            <w:pPr>
              <w:pStyle w:val="TableParagraph"/>
              <w:spacing w:line="183" w:lineRule="exact"/>
              <w:ind w:left="68"/>
              <w:rPr>
                <w:sz w:val="18"/>
              </w:rPr>
            </w:pPr>
            <w:r>
              <w:rPr>
                <w:spacing w:val="-2"/>
                <w:sz w:val="18"/>
              </w:rPr>
              <w:t>interinstitucional</w:t>
            </w:r>
          </w:p>
        </w:tc>
        <w:tc>
          <w:tcPr>
            <w:tcW w:w="1560" w:type="dxa"/>
          </w:tcPr>
          <w:p>
            <w:pPr>
              <w:pStyle w:val="TableParagraph"/>
              <w:rPr>
                <w:b/>
                <w:sz w:val="18"/>
              </w:rPr>
            </w:pPr>
          </w:p>
          <w:p>
            <w:pPr>
              <w:pStyle w:val="TableParagraph"/>
              <w:spacing w:before="103"/>
              <w:rPr>
                <w:b/>
                <w:sz w:val="18"/>
              </w:rPr>
            </w:pPr>
          </w:p>
          <w:p>
            <w:pPr>
              <w:pStyle w:val="TableParagraph"/>
              <w:spacing w:line="242" w:lineRule="auto"/>
              <w:ind w:left="73" w:right="489"/>
              <w:jc w:val="both"/>
              <w:rPr>
                <w:sz w:val="18"/>
              </w:rPr>
            </w:pPr>
            <w:r>
              <w:rPr>
                <w:sz w:val="18"/>
              </w:rPr>
              <w:t>Reportes</w:t>
            </w:r>
            <w:r>
              <w:rPr>
                <w:spacing w:val="-13"/>
                <w:sz w:val="18"/>
              </w:rPr>
              <w:t> </w:t>
            </w:r>
            <w:r>
              <w:rPr>
                <w:sz w:val="18"/>
              </w:rPr>
              <w:t>de asistencia</w:t>
            </w:r>
            <w:r>
              <w:rPr>
                <w:spacing w:val="-3"/>
                <w:sz w:val="18"/>
              </w:rPr>
              <w:t> </w:t>
            </w:r>
            <w:r>
              <w:rPr>
                <w:sz w:val="18"/>
              </w:rPr>
              <w:t>a </w:t>
            </w:r>
            <w:r>
              <w:rPr>
                <w:spacing w:val="-2"/>
                <w:sz w:val="18"/>
              </w:rPr>
              <w:t>procesos</w:t>
            </w:r>
          </w:p>
        </w:tc>
        <w:tc>
          <w:tcPr>
            <w:tcW w:w="141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7" w:right="6"/>
              <w:jc w:val="center"/>
              <w:rPr>
                <w:sz w:val="18"/>
              </w:rPr>
            </w:pPr>
            <w:r>
              <w:rPr>
                <w:spacing w:val="-4"/>
                <w:sz w:val="18"/>
              </w:rPr>
              <w:t>DDSE</w:t>
            </w:r>
          </w:p>
        </w:tc>
        <w:tc>
          <w:tcPr>
            <w:tcW w:w="1649"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51"/>
              <w:jc w:val="right"/>
              <w:rPr>
                <w:sz w:val="18"/>
              </w:rPr>
            </w:pPr>
            <w:r>
              <w:rPr>
                <w:spacing w:val="-10"/>
                <w:sz w:val="18"/>
              </w:rPr>
              <w:t>-</w:t>
            </w:r>
          </w:p>
        </w:tc>
        <w:tc>
          <w:tcPr>
            <w:tcW w:w="1548" w:type="dxa"/>
            <w:vMerge/>
            <w:tcBorders>
              <w:top w:val="nil"/>
            </w:tcBorders>
          </w:tcPr>
          <w:p>
            <w:pPr>
              <w:rPr>
                <w:sz w:val="2"/>
                <w:szCs w:val="2"/>
              </w:rPr>
            </w:pPr>
          </w:p>
        </w:tc>
      </w:tr>
      <w:tr>
        <w:trPr>
          <w:trHeight w:val="484" w:hRule="atLeast"/>
        </w:trPr>
        <w:tc>
          <w:tcPr>
            <w:tcW w:w="14247" w:type="dxa"/>
            <w:gridSpan w:val="8"/>
            <w:shd w:val="clear" w:color="auto" w:fill="EFF8F9"/>
          </w:tcPr>
          <w:p>
            <w:pPr>
              <w:pStyle w:val="TableParagraph"/>
              <w:spacing w:line="244" w:lineRule="auto" w:before="33"/>
              <w:ind w:left="72" w:right="98"/>
              <w:rPr>
                <w:b/>
                <w:sz w:val="18"/>
              </w:rPr>
            </w:pPr>
            <w:r>
              <w:rPr>
                <w:b/>
                <w:sz w:val="18"/>
              </w:rPr>
              <w:t>Producto</w:t>
            </w:r>
            <w:r>
              <w:rPr>
                <w:b/>
                <w:spacing w:val="-4"/>
                <w:sz w:val="18"/>
              </w:rPr>
              <w:t> </w:t>
            </w:r>
            <w:r>
              <w:rPr>
                <w:b/>
                <w:sz w:val="18"/>
              </w:rPr>
              <w:t>PPPS</w:t>
            </w:r>
            <w:r>
              <w:rPr>
                <w:b/>
                <w:spacing w:val="-4"/>
                <w:sz w:val="18"/>
              </w:rPr>
              <w:t> </w:t>
            </w:r>
            <w:r>
              <w:rPr>
                <w:b/>
                <w:sz w:val="18"/>
              </w:rPr>
              <w:t>1.36: Estrategia</w:t>
            </w:r>
            <w:r>
              <w:rPr>
                <w:b/>
                <w:spacing w:val="-2"/>
                <w:sz w:val="18"/>
              </w:rPr>
              <w:t> </w:t>
            </w:r>
            <w:r>
              <w:rPr>
                <w:b/>
                <w:sz w:val="18"/>
              </w:rPr>
              <w:t>de</w:t>
            </w:r>
            <w:r>
              <w:rPr>
                <w:b/>
                <w:spacing w:val="-3"/>
                <w:sz w:val="18"/>
              </w:rPr>
              <w:t> </w:t>
            </w:r>
            <w:r>
              <w:rPr>
                <w:b/>
                <w:sz w:val="18"/>
              </w:rPr>
              <w:t>campo</w:t>
            </w:r>
            <w:r>
              <w:rPr>
                <w:b/>
                <w:spacing w:val="-4"/>
                <w:sz w:val="18"/>
              </w:rPr>
              <w:t> </w:t>
            </w:r>
            <w:r>
              <w:rPr>
                <w:b/>
                <w:sz w:val="18"/>
              </w:rPr>
              <w:t>para</w:t>
            </w:r>
            <w:r>
              <w:rPr>
                <w:b/>
                <w:spacing w:val="-8"/>
                <w:sz w:val="18"/>
              </w:rPr>
              <w:t> </w:t>
            </w:r>
            <w:r>
              <w:rPr>
                <w:b/>
                <w:sz w:val="18"/>
              </w:rPr>
              <w:t>la</w:t>
            </w:r>
            <w:r>
              <w:rPr>
                <w:b/>
                <w:spacing w:val="-2"/>
                <w:sz w:val="18"/>
              </w:rPr>
              <w:t> </w:t>
            </w:r>
            <w:r>
              <w:rPr>
                <w:b/>
                <w:sz w:val="18"/>
              </w:rPr>
              <w:t>identificación</w:t>
            </w:r>
            <w:r>
              <w:rPr>
                <w:b/>
                <w:spacing w:val="-4"/>
                <w:sz w:val="18"/>
              </w:rPr>
              <w:t> </w:t>
            </w:r>
            <w:r>
              <w:rPr>
                <w:b/>
                <w:sz w:val="18"/>
              </w:rPr>
              <w:t>de</w:t>
            </w:r>
            <w:r>
              <w:rPr>
                <w:b/>
                <w:spacing w:val="-2"/>
                <w:sz w:val="18"/>
              </w:rPr>
              <w:t> </w:t>
            </w:r>
            <w:r>
              <w:rPr>
                <w:b/>
                <w:sz w:val="18"/>
              </w:rPr>
              <w:t>población estudiantil diseñada y</w:t>
            </w:r>
            <w:r>
              <w:rPr>
                <w:b/>
                <w:spacing w:val="-2"/>
                <w:sz w:val="18"/>
              </w:rPr>
              <w:t> </w:t>
            </w:r>
            <w:r>
              <w:rPr>
                <w:b/>
                <w:sz w:val="18"/>
              </w:rPr>
              <w:t>ejecutándose</w:t>
            </w:r>
            <w:r>
              <w:rPr>
                <w:b/>
                <w:spacing w:val="-8"/>
                <w:sz w:val="18"/>
              </w:rPr>
              <w:t> </w:t>
            </w:r>
            <w:r>
              <w:rPr>
                <w:b/>
                <w:sz w:val="18"/>
              </w:rPr>
              <w:t>que permita</w:t>
            </w:r>
            <w:r>
              <w:rPr>
                <w:b/>
                <w:spacing w:val="-2"/>
                <w:sz w:val="18"/>
              </w:rPr>
              <w:t> </w:t>
            </w:r>
            <w:r>
              <w:rPr>
                <w:b/>
                <w:sz w:val="18"/>
              </w:rPr>
              <w:t>el acceso</w:t>
            </w:r>
            <w:r>
              <w:rPr>
                <w:b/>
                <w:spacing w:val="-4"/>
                <w:sz w:val="18"/>
              </w:rPr>
              <w:t> </w:t>
            </w:r>
            <w:r>
              <w:rPr>
                <w:b/>
                <w:sz w:val="18"/>
              </w:rPr>
              <w:t>priorizado de</w:t>
            </w:r>
            <w:r>
              <w:rPr>
                <w:b/>
                <w:spacing w:val="-2"/>
                <w:sz w:val="18"/>
              </w:rPr>
              <w:t> </w:t>
            </w:r>
            <w:r>
              <w:rPr>
                <w:b/>
                <w:sz w:val="18"/>
              </w:rPr>
              <w:t>población</w:t>
            </w:r>
            <w:r>
              <w:rPr>
                <w:b/>
                <w:spacing w:val="-4"/>
                <w:sz w:val="18"/>
              </w:rPr>
              <w:t> </w:t>
            </w:r>
            <w:r>
              <w:rPr>
                <w:b/>
                <w:sz w:val="18"/>
              </w:rPr>
              <w:t>en pobreza extrema con factores de exclusión social. E3 AE4 R2</w:t>
            </w:r>
          </w:p>
        </w:tc>
      </w:tr>
      <w:tr>
        <w:trPr>
          <w:trHeight w:val="2275" w:hRule="atLeast"/>
        </w:trPr>
        <w:tc>
          <w:tcPr>
            <w:tcW w:w="2972" w:type="dxa"/>
          </w:tcPr>
          <w:p>
            <w:pPr>
              <w:pStyle w:val="TableParagraph"/>
              <w:rPr>
                <w:b/>
                <w:sz w:val="18"/>
              </w:rPr>
            </w:pPr>
          </w:p>
          <w:p>
            <w:pPr>
              <w:pStyle w:val="TableParagraph"/>
              <w:spacing w:before="204"/>
              <w:rPr>
                <w:b/>
                <w:sz w:val="18"/>
              </w:rPr>
            </w:pPr>
          </w:p>
          <w:p>
            <w:pPr>
              <w:pStyle w:val="TableParagraph"/>
              <w:ind w:left="72"/>
              <w:rPr>
                <w:b/>
                <w:sz w:val="18"/>
              </w:rPr>
            </w:pPr>
            <w:r>
              <w:rPr>
                <w:b/>
                <w:sz w:val="18"/>
              </w:rPr>
              <w:t>Actividad PPPS 1.36.1: </w:t>
            </w:r>
            <w:r>
              <w:rPr>
                <w:sz w:val="18"/>
              </w:rPr>
              <w:t>Identificación y priorización de población estudiantil en pobreza extrema</w:t>
            </w:r>
            <w:r>
              <w:rPr>
                <w:spacing w:val="-6"/>
                <w:sz w:val="18"/>
              </w:rPr>
              <w:t> </w:t>
            </w:r>
            <w:r>
              <w:rPr>
                <w:sz w:val="18"/>
              </w:rPr>
              <w:t>con</w:t>
            </w:r>
            <w:r>
              <w:rPr>
                <w:spacing w:val="-10"/>
                <w:sz w:val="18"/>
              </w:rPr>
              <w:t> </w:t>
            </w:r>
            <w:r>
              <w:rPr>
                <w:sz w:val="18"/>
              </w:rPr>
              <w:t>factores</w:t>
            </w:r>
            <w:r>
              <w:rPr>
                <w:spacing w:val="-10"/>
                <w:sz w:val="18"/>
              </w:rPr>
              <w:t> </w:t>
            </w:r>
            <w:r>
              <w:rPr>
                <w:sz w:val="18"/>
              </w:rPr>
              <w:t>de</w:t>
            </w:r>
            <w:r>
              <w:rPr>
                <w:spacing w:val="-10"/>
                <w:sz w:val="18"/>
              </w:rPr>
              <w:t> </w:t>
            </w:r>
            <w:r>
              <w:rPr>
                <w:sz w:val="18"/>
              </w:rPr>
              <w:t>exclusión social </w:t>
            </w:r>
            <w:r>
              <w:rPr>
                <w:b/>
                <w:sz w:val="18"/>
              </w:rPr>
              <w:t>(vinculado a PEI 3.4.2).</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1" w:right="16"/>
              <w:jc w:val="center"/>
              <w:rPr>
                <w:sz w:val="18"/>
              </w:rPr>
            </w:pPr>
            <w:r>
              <w:rPr>
                <w:spacing w:val="-5"/>
                <w:sz w:val="18"/>
              </w:rPr>
              <w:t>60%</w:t>
            </w:r>
          </w:p>
        </w:tc>
        <w:tc>
          <w:tcPr>
            <w:tcW w:w="1982" w:type="dxa"/>
          </w:tcPr>
          <w:p>
            <w:pPr>
              <w:pStyle w:val="TableParagraph"/>
              <w:ind w:left="68" w:right="114"/>
              <w:rPr>
                <w:sz w:val="18"/>
              </w:rPr>
            </w:pPr>
            <w:r>
              <w:rPr>
                <w:sz w:val="18"/>
              </w:rPr>
              <w:t>Porcentaje de población estudiantil en pobreza extrema identificada con factores</w:t>
            </w:r>
            <w:r>
              <w:rPr>
                <w:spacing w:val="-15"/>
                <w:sz w:val="18"/>
              </w:rPr>
              <w:t> </w:t>
            </w:r>
            <w:r>
              <w:rPr>
                <w:sz w:val="18"/>
              </w:rPr>
              <w:t>de</w:t>
            </w:r>
            <w:r>
              <w:rPr>
                <w:spacing w:val="-12"/>
                <w:sz w:val="18"/>
              </w:rPr>
              <w:t> </w:t>
            </w:r>
            <w:r>
              <w:rPr>
                <w:sz w:val="18"/>
              </w:rPr>
              <w:t>exclusión social priorizada, mediante una estrategia de búsqueda activa, atendida y con</w:t>
            </w:r>
          </w:p>
          <w:p>
            <w:pPr>
              <w:pStyle w:val="TableParagraph"/>
              <w:spacing w:line="187" w:lineRule="exact"/>
              <w:ind w:left="68"/>
              <w:rPr>
                <w:sz w:val="18"/>
              </w:rPr>
            </w:pPr>
            <w:r>
              <w:rPr>
                <w:sz w:val="18"/>
              </w:rPr>
              <w:t>beneficio</w:t>
            </w:r>
            <w:r>
              <w:rPr>
                <w:spacing w:val="-6"/>
                <w:sz w:val="18"/>
              </w:rPr>
              <w:t> </w:t>
            </w:r>
            <w:r>
              <w:rPr>
                <w:spacing w:val="-2"/>
                <w:sz w:val="18"/>
              </w:rPr>
              <w:t>aprobado</w:t>
            </w:r>
          </w:p>
        </w:tc>
        <w:tc>
          <w:tcPr>
            <w:tcW w:w="156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73" w:right="239"/>
              <w:rPr>
                <w:sz w:val="18"/>
              </w:rPr>
            </w:pPr>
            <w:r>
              <w:rPr>
                <w:sz w:val="18"/>
              </w:rPr>
              <w:t>Reportes</w:t>
            </w:r>
            <w:r>
              <w:rPr>
                <w:spacing w:val="-13"/>
                <w:sz w:val="18"/>
              </w:rPr>
              <w:t> </w:t>
            </w:r>
            <w:r>
              <w:rPr>
                <w:sz w:val="18"/>
              </w:rPr>
              <w:t>sobre </w:t>
            </w:r>
            <w:r>
              <w:rPr>
                <w:spacing w:val="-2"/>
                <w:sz w:val="18"/>
              </w:rPr>
              <w:t>población identificada</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17" w:right="6"/>
              <w:jc w:val="center"/>
              <w:rPr>
                <w:sz w:val="18"/>
              </w:rPr>
            </w:pPr>
            <w:r>
              <w:rPr>
                <w:spacing w:val="-4"/>
                <w:sz w:val="18"/>
              </w:rPr>
              <w:t>DDSE</w:t>
            </w:r>
          </w:p>
        </w:tc>
        <w:tc>
          <w:tcPr>
            <w:tcW w:w="1649" w:type="dxa"/>
          </w:tcPr>
          <w:p>
            <w:pPr>
              <w:pStyle w:val="TableParagraph"/>
              <w:spacing w:line="206" w:lineRule="exact"/>
              <w:ind w:right="51"/>
              <w:jc w:val="right"/>
              <w:rPr>
                <w:sz w:val="18"/>
              </w:rPr>
            </w:pPr>
            <w:r>
              <w:rPr>
                <w:spacing w:val="-10"/>
                <w:sz w:val="18"/>
              </w:rPr>
              <w:t>-</w:t>
            </w:r>
          </w:p>
        </w:tc>
        <w:tc>
          <w:tcPr>
            <w:tcW w:w="1548" w:type="dxa"/>
          </w:tcPr>
          <w:p>
            <w:pPr>
              <w:pStyle w:val="TableParagraph"/>
              <w:spacing w:before="99"/>
              <w:rPr>
                <w:b/>
                <w:sz w:val="18"/>
              </w:rPr>
            </w:pPr>
          </w:p>
          <w:p>
            <w:pPr>
              <w:pStyle w:val="TableParagraph"/>
              <w:numPr>
                <w:ilvl w:val="0"/>
                <w:numId w:val="66"/>
              </w:numPr>
              <w:tabs>
                <w:tab w:pos="133" w:val="left" w:leader="none"/>
              </w:tabs>
              <w:spacing w:line="240" w:lineRule="auto" w:before="0" w:after="0"/>
              <w:ind w:left="72" w:right="149" w:firstLine="0"/>
              <w:jc w:val="left"/>
              <w:rPr>
                <w:sz w:val="18"/>
              </w:rPr>
            </w:pPr>
            <w:r>
              <w:rPr>
                <w:spacing w:val="-6"/>
                <w:sz w:val="18"/>
              </w:rPr>
              <w:t>No </w:t>
            </w:r>
            <w:r>
              <w:rPr>
                <w:spacing w:val="-2"/>
                <w:sz w:val="18"/>
              </w:rPr>
              <w:t>implementación </w:t>
            </w:r>
            <w:r>
              <w:rPr>
                <w:sz w:val="18"/>
              </w:rPr>
              <w:t>de</w:t>
            </w:r>
            <w:r>
              <w:rPr>
                <w:spacing w:val="-3"/>
                <w:sz w:val="18"/>
              </w:rPr>
              <w:t> </w:t>
            </w:r>
            <w:r>
              <w:rPr>
                <w:sz w:val="18"/>
              </w:rPr>
              <w:t>la</w:t>
            </w:r>
            <w:r>
              <w:rPr>
                <w:spacing w:val="-3"/>
                <w:sz w:val="18"/>
              </w:rPr>
              <w:t> </w:t>
            </w:r>
            <w:r>
              <w:rPr>
                <w:sz w:val="18"/>
              </w:rPr>
              <w:t>estrategia, orientado a la población con factores de riesgo de exclusión</w:t>
            </w:r>
            <w:r>
              <w:rPr>
                <w:spacing w:val="-13"/>
                <w:sz w:val="18"/>
              </w:rPr>
              <w:t> </w:t>
            </w:r>
            <w:r>
              <w:rPr>
                <w:sz w:val="18"/>
              </w:rPr>
              <w:t>social.</w:t>
            </w:r>
          </w:p>
        </w:tc>
      </w:tr>
      <w:tr>
        <w:trPr>
          <w:trHeight w:val="465" w:hRule="atLeast"/>
        </w:trPr>
        <w:tc>
          <w:tcPr>
            <w:tcW w:w="14247" w:type="dxa"/>
            <w:gridSpan w:val="8"/>
            <w:shd w:val="clear" w:color="auto" w:fill="EFF8F9"/>
          </w:tcPr>
          <w:p>
            <w:pPr>
              <w:pStyle w:val="TableParagraph"/>
              <w:ind w:left="72" w:right="98"/>
              <w:rPr>
                <w:b/>
                <w:sz w:val="18"/>
              </w:rPr>
            </w:pPr>
            <w:r>
              <w:rPr>
                <w:b/>
                <w:sz w:val="18"/>
              </w:rPr>
              <w:t>Producto</w:t>
            </w:r>
            <w:r>
              <w:rPr>
                <w:b/>
                <w:spacing w:val="-5"/>
                <w:sz w:val="18"/>
              </w:rPr>
              <w:t> </w:t>
            </w:r>
            <w:r>
              <w:rPr>
                <w:b/>
                <w:sz w:val="18"/>
              </w:rPr>
              <w:t>PPPS</w:t>
            </w:r>
            <w:r>
              <w:rPr>
                <w:b/>
                <w:spacing w:val="-5"/>
                <w:sz w:val="18"/>
              </w:rPr>
              <w:t> </w:t>
            </w:r>
            <w:r>
              <w:rPr>
                <w:b/>
                <w:sz w:val="18"/>
              </w:rPr>
              <w:t>1.37:</w:t>
            </w:r>
            <w:r>
              <w:rPr>
                <w:b/>
                <w:spacing w:val="-2"/>
                <w:sz w:val="18"/>
              </w:rPr>
              <w:t> </w:t>
            </w:r>
            <w:r>
              <w:rPr>
                <w:b/>
                <w:sz w:val="18"/>
              </w:rPr>
              <w:t>Estrategia</w:t>
            </w:r>
            <w:r>
              <w:rPr>
                <w:b/>
                <w:spacing w:val="-4"/>
                <w:sz w:val="18"/>
              </w:rPr>
              <w:t> </w:t>
            </w:r>
            <w:r>
              <w:rPr>
                <w:b/>
                <w:sz w:val="18"/>
              </w:rPr>
              <w:t>de</w:t>
            </w:r>
            <w:r>
              <w:rPr>
                <w:b/>
                <w:spacing w:val="-4"/>
                <w:sz w:val="18"/>
              </w:rPr>
              <w:t> </w:t>
            </w:r>
            <w:r>
              <w:rPr>
                <w:b/>
                <w:sz w:val="18"/>
              </w:rPr>
              <w:t>desarrollo sociolaboral con enfoque</w:t>
            </w:r>
            <w:r>
              <w:rPr>
                <w:b/>
                <w:spacing w:val="-4"/>
                <w:sz w:val="18"/>
              </w:rPr>
              <w:t> </w:t>
            </w:r>
            <w:r>
              <w:rPr>
                <w:b/>
                <w:sz w:val="18"/>
              </w:rPr>
              <w:t>prospectivo y</w:t>
            </w:r>
            <w:r>
              <w:rPr>
                <w:b/>
                <w:spacing w:val="-4"/>
                <w:sz w:val="18"/>
              </w:rPr>
              <w:t> </w:t>
            </w:r>
            <w:r>
              <w:rPr>
                <w:b/>
                <w:sz w:val="18"/>
              </w:rPr>
              <w:t>territorial</w:t>
            </w:r>
            <w:r>
              <w:rPr>
                <w:b/>
                <w:spacing w:val="-2"/>
                <w:sz w:val="18"/>
              </w:rPr>
              <w:t> </w:t>
            </w:r>
            <w:r>
              <w:rPr>
                <w:b/>
                <w:sz w:val="18"/>
              </w:rPr>
              <w:t>diseñada,</w:t>
            </w:r>
            <w:r>
              <w:rPr>
                <w:b/>
                <w:spacing w:val="-2"/>
                <w:sz w:val="18"/>
              </w:rPr>
              <w:t> </w:t>
            </w:r>
            <w:r>
              <w:rPr>
                <w:b/>
                <w:sz w:val="18"/>
              </w:rPr>
              <w:t>implementada</w:t>
            </w:r>
            <w:r>
              <w:rPr>
                <w:b/>
                <w:spacing w:val="-4"/>
                <w:sz w:val="18"/>
              </w:rPr>
              <w:t> </w:t>
            </w:r>
            <w:r>
              <w:rPr>
                <w:b/>
                <w:sz w:val="18"/>
              </w:rPr>
              <w:t>y</w:t>
            </w:r>
            <w:r>
              <w:rPr>
                <w:b/>
                <w:spacing w:val="-4"/>
                <w:sz w:val="18"/>
              </w:rPr>
              <w:t> </w:t>
            </w:r>
            <w:r>
              <w:rPr>
                <w:b/>
                <w:sz w:val="18"/>
              </w:rPr>
              <w:t>articulada,</w:t>
            </w:r>
            <w:r>
              <w:rPr>
                <w:b/>
                <w:spacing w:val="-2"/>
                <w:sz w:val="18"/>
              </w:rPr>
              <w:t> </w:t>
            </w:r>
            <w:r>
              <w:rPr>
                <w:b/>
                <w:sz w:val="18"/>
              </w:rPr>
              <w:t>para</w:t>
            </w:r>
            <w:r>
              <w:rPr>
                <w:b/>
                <w:spacing w:val="-4"/>
                <w:sz w:val="18"/>
              </w:rPr>
              <w:t> </w:t>
            </w:r>
            <w:r>
              <w:rPr>
                <w:b/>
                <w:sz w:val="18"/>
              </w:rPr>
              <w:t>crear</w:t>
            </w:r>
            <w:r>
              <w:rPr>
                <w:b/>
                <w:spacing w:val="-3"/>
                <w:sz w:val="18"/>
              </w:rPr>
              <w:t> </w:t>
            </w:r>
            <w:r>
              <w:rPr>
                <w:b/>
                <w:sz w:val="18"/>
              </w:rPr>
              <w:t>condiciones</w:t>
            </w:r>
            <w:r>
              <w:rPr>
                <w:b/>
                <w:spacing w:val="-4"/>
                <w:sz w:val="18"/>
              </w:rPr>
              <w:t> </w:t>
            </w:r>
            <w:r>
              <w:rPr>
                <w:b/>
                <w:sz w:val="18"/>
              </w:rPr>
              <w:t>que favorezcan el empleo y autoempleo de la población en situación de pobreza. E3 AE5 R1</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1486"/>
        <w:gridCol w:w="1560"/>
        <w:gridCol w:w="1560"/>
        <w:gridCol w:w="1982"/>
        <w:gridCol w:w="1560"/>
        <w:gridCol w:w="1416"/>
        <w:gridCol w:w="1651"/>
        <w:gridCol w:w="1546"/>
      </w:tblGrid>
      <w:tr>
        <w:trPr>
          <w:trHeight w:val="618" w:hRule="atLeast"/>
        </w:trPr>
        <w:tc>
          <w:tcPr>
            <w:tcW w:w="2972" w:type="dxa"/>
            <w:gridSpan w:val="2"/>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51" w:type="dxa"/>
            <w:shd w:val="clear" w:color="auto" w:fill="D9D9D9"/>
          </w:tcPr>
          <w:p>
            <w:pPr>
              <w:pStyle w:val="TableParagraph"/>
              <w:spacing w:before="104"/>
              <w:ind w:left="430" w:hanging="120"/>
              <w:rPr>
                <w:b/>
                <w:sz w:val="18"/>
              </w:rPr>
            </w:pPr>
            <w:r>
              <w:rPr>
                <w:b/>
                <w:spacing w:val="-2"/>
                <w:sz w:val="18"/>
              </w:rPr>
              <w:t>Presupuesto asignado</w:t>
            </w:r>
          </w:p>
        </w:tc>
        <w:tc>
          <w:tcPr>
            <w:tcW w:w="1546" w:type="dxa"/>
            <w:shd w:val="clear" w:color="auto" w:fill="D9D9D9"/>
          </w:tcPr>
          <w:p>
            <w:pPr>
              <w:pStyle w:val="TableParagraph"/>
              <w:spacing w:line="206" w:lineRule="exact"/>
              <w:ind w:left="14"/>
              <w:jc w:val="center"/>
              <w:rPr>
                <w:b/>
                <w:sz w:val="18"/>
              </w:rPr>
            </w:pPr>
            <w:r>
              <w:rPr>
                <w:b/>
                <w:spacing w:val="-2"/>
                <w:sz w:val="18"/>
              </w:rPr>
              <w:t>Riesgos </w:t>
            </w:r>
            <w:r>
              <w:rPr>
                <w:b/>
                <w:sz w:val="18"/>
              </w:rPr>
              <w:t>asociados al </w:t>
            </w:r>
            <w:r>
              <w:rPr>
                <w:b/>
                <w:spacing w:val="-2"/>
                <w:sz w:val="18"/>
              </w:rPr>
              <w:t>cumplimiento</w:t>
            </w:r>
          </w:p>
        </w:tc>
      </w:tr>
      <w:tr>
        <w:trPr>
          <w:trHeight w:val="2900" w:hRule="atLeast"/>
        </w:trPr>
        <w:tc>
          <w:tcPr>
            <w:tcW w:w="2972" w:type="dxa"/>
            <w:gridSpan w:val="2"/>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72" w:right="333"/>
              <w:rPr>
                <w:b/>
                <w:sz w:val="18"/>
              </w:rPr>
            </w:pPr>
            <w:r>
              <w:rPr>
                <w:b/>
                <w:sz w:val="18"/>
              </w:rPr>
              <w:t>Actividad PPPS 1.37.1: </w:t>
            </w:r>
            <w:r>
              <w:rPr>
                <w:sz w:val="18"/>
              </w:rPr>
              <w:t>Ejecución de servicios y/o productos definidos en la estrategia de desarrollo sociolaboral</w:t>
            </w:r>
            <w:r>
              <w:rPr>
                <w:spacing w:val="-13"/>
                <w:sz w:val="18"/>
              </w:rPr>
              <w:t> </w:t>
            </w:r>
            <w:r>
              <w:rPr>
                <w:b/>
                <w:sz w:val="18"/>
              </w:rPr>
              <w:t>(vinculado</w:t>
            </w:r>
            <w:r>
              <w:rPr>
                <w:b/>
                <w:spacing w:val="-12"/>
                <w:sz w:val="18"/>
              </w:rPr>
              <w:t> </w:t>
            </w:r>
            <w:r>
              <w:rPr>
                <w:b/>
                <w:sz w:val="18"/>
              </w:rPr>
              <w:t>a</w:t>
            </w:r>
            <w:r>
              <w:rPr>
                <w:b/>
                <w:spacing w:val="-13"/>
                <w:sz w:val="18"/>
              </w:rPr>
              <w:t> </w:t>
            </w:r>
            <w:r>
              <w:rPr>
                <w:b/>
                <w:sz w:val="18"/>
              </w:rPr>
              <w:t>PEI </w:t>
            </w:r>
            <w:r>
              <w:rPr>
                <w:b/>
                <w:spacing w:val="-2"/>
                <w:sz w:val="18"/>
              </w:rPr>
              <w:t>3.5.1).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21" w:right="16"/>
              <w:jc w:val="center"/>
              <w:rPr>
                <w:sz w:val="18"/>
              </w:rPr>
            </w:pPr>
            <w:r>
              <w:rPr>
                <w:spacing w:val="-5"/>
                <w:sz w:val="18"/>
              </w:rPr>
              <w:t>60%</w:t>
            </w:r>
          </w:p>
        </w:tc>
        <w:tc>
          <w:tcPr>
            <w:tcW w:w="1982" w:type="dxa"/>
          </w:tcPr>
          <w:p>
            <w:pPr>
              <w:pStyle w:val="TableParagraph"/>
              <w:rPr>
                <w:b/>
                <w:sz w:val="18"/>
              </w:rPr>
            </w:pPr>
          </w:p>
          <w:p>
            <w:pPr>
              <w:pStyle w:val="TableParagraph"/>
              <w:spacing w:before="3"/>
              <w:rPr>
                <w:b/>
                <w:sz w:val="18"/>
              </w:rPr>
            </w:pPr>
          </w:p>
          <w:p>
            <w:pPr>
              <w:pStyle w:val="TableParagraph"/>
              <w:ind w:left="68" w:right="99"/>
              <w:rPr>
                <w:sz w:val="18"/>
              </w:rPr>
            </w:pPr>
            <w:r>
              <w:rPr>
                <w:sz w:val="18"/>
              </w:rPr>
              <w:t>Porcentaje de población solicitante de intervención institucional a nivel de promoción laboral con acceso a servicios y/o productos</w:t>
            </w:r>
            <w:r>
              <w:rPr>
                <w:spacing w:val="-15"/>
                <w:sz w:val="18"/>
              </w:rPr>
              <w:t> </w:t>
            </w:r>
            <w:r>
              <w:rPr>
                <w:sz w:val="18"/>
              </w:rPr>
              <w:t>definidos</w:t>
            </w:r>
            <w:r>
              <w:rPr>
                <w:spacing w:val="-12"/>
                <w:sz w:val="18"/>
              </w:rPr>
              <w:t> </w:t>
            </w:r>
            <w:r>
              <w:rPr>
                <w:sz w:val="18"/>
              </w:rPr>
              <w:t>en la estrategia de </w:t>
            </w:r>
            <w:r>
              <w:rPr>
                <w:spacing w:val="-2"/>
                <w:sz w:val="18"/>
              </w:rPr>
              <w:t>desarrollo</w:t>
            </w:r>
            <w:r>
              <w:rPr>
                <w:spacing w:val="80"/>
                <w:sz w:val="18"/>
              </w:rPr>
              <w:t> </w:t>
            </w:r>
            <w:r>
              <w:rPr>
                <w:spacing w:val="-2"/>
                <w:sz w:val="18"/>
              </w:rPr>
              <w:t>sociolaboral.</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line="242" w:lineRule="auto"/>
              <w:ind w:left="73" w:right="75"/>
              <w:rPr>
                <w:sz w:val="18"/>
              </w:rPr>
            </w:pPr>
            <w:r>
              <w:rPr>
                <w:sz w:val="18"/>
              </w:rPr>
              <w:t>Reportes sobre </w:t>
            </w:r>
            <w:r>
              <w:rPr>
                <w:spacing w:val="-2"/>
                <w:sz w:val="18"/>
              </w:rPr>
              <w:t>población atendida </w:t>
            </w:r>
            <w:r>
              <w:rPr>
                <w:sz w:val="18"/>
              </w:rPr>
              <w:t>Reportes</w:t>
            </w:r>
            <w:r>
              <w:rPr>
                <w:spacing w:val="-13"/>
                <w:sz w:val="18"/>
              </w:rPr>
              <w:t> </w:t>
            </w:r>
            <w:r>
              <w:rPr>
                <w:sz w:val="18"/>
              </w:rPr>
              <w:t>SABEN</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17" w:right="10"/>
              <w:jc w:val="center"/>
              <w:rPr>
                <w:sz w:val="18"/>
              </w:rPr>
            </w:pPr>
            <w:r>
              <w:rPr>
                <w:spacing w:val="-2"/>
                <w:sz w:val="18"/>
              </w:rPr>
              <w:t>DDSPC</w:t>
            </w:r>
          </w:p>
        </w:tc>
        <w:tc>
          <w:tcPr>
            <w:tcW w:w="1651" w:type="dxa"/>
          </w:tcPr>
          <w:p>
            <w:pPr>
              <w:pStyle w:val="TableParagraph"/>
              <w:rPr>
                <w:rFonts w:ascii="Times New Roman"/>
                <w:sz w:val="18"/>
              </w:rPr>
            </w:pPr>
          </w:p>
        </w:tc>
        <w:tc>
          <w:tcPr>
            <w:tcW w:w="1546" w:type="dxa"/>
          </w:tcPr>
          <w:p>
            <w:pPr>
              <w:pStyle w:val="TableParagraph"/>
              <w:numPr>
                <w:ilvl w:val="0"/>
                <w:numId w:val="67"/>
              </w:numPr>
              <w:tabs>
                <w:tab w:pos="131" w:val="left" w:leader="none"/>
              </w:tabs>
              <w:spacing w:line="240" w:lineRule="auto" w:before="3" w:after="0"/>
              <w:ind w:left="70" w:right="80" w:firstLine="0"/>
              <w:jc w:val="left"/>
              <w:rPr>
                <w:sz w:val="18"/>
              </w:rPr>
            </w:pPr>
            <w:r>
              <w:rPr>
                <w:spacing w:val="-2"/>
                <w:sz w:val="18"/>
              </w:rPr>
              <w:t>Incumplimiento </w:t>
            </w:r>
            <w:r>
              <w:rPr>
                <w:sz w:val="18"/>
              </w:rPr>
              <w:t>en los periodos </w:t>
            </w:r>
            <w:r>
              <w:rPr>
                <w:spacing w:val="-2"/>
                <w:sz w:val="18"/>
              </w:rPr>
              <w:t>establecidos</w:t>
            </w:r>
            <w:r>
              <w:rPr>
                <w:spacing w:val="40"/>
                <w:sz w:val="18"/>
              </w:rPr>
              <w:t> </w:t>
            </w:r>
            <w:r>
              <w:rPr>
                <w:sz w:val="18"/>
              </w:rPr>
              <w:t>para la entrega de los productos solicitados, para </w:t>
            </w:r>
            <w:r>
              <w:rPr>
                <w:spacing w:val="-2"/>
                <w:sz w:val="18"/>
              </w:rPr>
              <w:t>crear</w:t>
            </w:r>
            <w:r>
              <w:rPr>
                <w:spacing w:val="40"/>
                <w:sz w:val="18"/>
              </w:rPr>
              <w:t> </w:t>
            </w:r>
            <w:r>
              <w:rPr>
                <w:sz w:val="18"/>
              </w:rPr>
              <w:t>condiciones que favorezcan el empleo y autoempleo</w:t>
            </w:r>
            <w:r>
              <w:rPr>
                <w:spacing w:val="-15"/>
                <w:sz w:val="18"/>
              </w:rPr>
              <w:t> </w:t>
            </w:r>
            <w:r>
              <w:rPr>
                <w:sz w:val="18"/>
              </w:rPr>
              <w:t>de</w:t>
            </w:r>
            <w:r>
              <w:rPr>
                <w:spacing w:val="-12"/>
                <w:sz w:val="18"/>
              </w:rPr>
              <w:t> </w:t>
            </w:r>
            <w:r>
              <w:rPr>
                <w:sz w:val="18"/>
              </w:rPr>
              <w:t>la población en situación de</w:t>
            </w:r>
          </w:p>
          <w:p>
            <w:pPr>
              <w:pStyle w:val="TableParagraph"/>
              <w:spacing w:line="186" w:lineRule="exact"/>
              <w:ind w:left="70"/>
              <w:rPr>
                <w:sz w:val="18"/>
              </w:rPr>
            </w:pPr>
            <w:r>
              <w:rPr>
                <w:spacing w:val="-2"/>
                <w:sz w:val="18"/>
              </w:rPr>
              <w:t>pobreza.</w:t>
            </w:r>
          </w:p>
        </w:tc>
      </w:tr>
      <w:tr>
        <w:trPr>
          <w:trHeight w:val="465" w:hRule="atLeast"/>
        </w:trPr>
        <w:tc>
          <w:tcPr>
            <w:tcW w:w="14247" w:type="dxa"/>
            <w:gridSpan w:val="9"/>
            <w:shd w:val="clear" w:color="auto" w:fill="EFF8F9"/>
          </w:tcPr>
          <w:p>
            <w:pPr>
              <w:pStyle w:val="TableParagraph"/>
              <w:spacing w:before="128"/>
              <w:ind w:left="72"/>
              <w:rPr>
                <w:b/>
                <w:sz w:val="18"/>
              </w:rPr>
            </w:pPr>
            <w:r>
              <w:rPr>
                <w:b/>
                <w:sz w:val="18"/>
              </w:rPr>
              <w:t>Producto</w:t>
            </w:r>
            <w:r>
              <w:rPr>
                <w:b/>
                <w:spacing w:val="-9"/>
                <w:sz w:val="18"/>
              </w:rPr>
              <w:t> </w:t>
            </w:r>
            <w:r>
              <w:rPr>
                <w:b/>
                <w:sz w:val="18"/>
              </w:rPr>
              <w:t>PPPS</w:t>
            </w:r>
            <w:r>
              <w:rPr>
                <w:b/>
                <w:spacing w:val="-8"/>
                <w:sz w:val="18"/>
              </w:rPr>
              <w:t> </w:t>
            </w:r>
            <w:r>
              <w:rPr>
                <w:b/>
                <w:sz w:val="18"/>
              </w:rPr>
              <w:t>1.38:</w:t>
            </w:r>
            <w:r>
              <w:rPr>
                <w:b/>
                <w:spacing w:val="41"/>
                <w:sz w:val="18"/>
              </w:rPr>
              <w:t> </w:t>
            </w:r>
            <w:r>
              <w:rPr>
                <w:b/>
                <w:sz w:val="18"/>
              </w:rPr>
              <w:t>Actividades</w:t>
            </w:r>
            <w:r>
              <w:rPr>
                <w:b/>
                <w:spacing w:val="-7"/>
                <w:sz w:val="18"/>
              </w:rPr>
              <w:t> </w:t>
            </w:r>
            <w:r>
              <w:rPr>
                <w:b/>
                <w:sz w:val="18"/>
              </w:rPr>
              <w:t>económicas</w:t>
            </w:r>
            <w:r>
              <w:rPr>
                <w:b/>
                <w:spacing w:val="-4"/>
                <w:sz w:val="18"/>
              </w:rPr>
              <w:t> </w:t>
            </w:r>
            <w:r>
              <w:rPr>
                <w:b/>
                <w:sz w:val="18"/>
              </w:rPr>
              <w:t>con</w:t>
            </w:r>
            <w:r>
              <w:rPr>
                <w:b/>
                <w:spacing w:val="-4"/>
                <w:sz w:val="18"/>
              </w:rPr>
              <w:t> </w:t>
            </w:r>
            <w:r>
              <w:rPr>
                <w:b/>
                <w:sz w:val="18"/>
              </w:rPr>
              <w:t>encadenamientos</w:t>
            </w:r>
            <w:r>
              <w:rPr>
                <w:b/>
                <w:spacing w:val="-4"/>
                <w:sz w:val="18"/>
              </w:rPr>
              <w:t> </w:t>
            </w:r>
            <w:r>
              <w:rPr>
                <w:b/>
                <w:sz w:val="18"/>
              </w:rPr>
              <w:t>primarios</w:t>
            </w:r>
            <w:r>
              <w:rPr>
                <w:b/>
                <w:spacing w:val="-7"/>
                <w:sz w:val="18"/>
              </w:rPr>
              <w:t> </w:t>
            </w:r>
            <w:r>
              <w:rPr>
                <w:b/>
                <w:sz w:val="18"/>
              </w:rPr>
              <w:t>y</w:t>
            </w:r>
            <w:r>
              <w:rPr>
                <w:b/>
                <w:spacing w:val="-8"/>
                <w:sz w:val="18"/>
              </w:rPr>
              <w:t> </w:t>
            </w:r>
            <w:r>
              <w:rPr>
                <w:b/>
                <w:sz w:val="18"/>
              </w:rPr>
              <w:t>secundarios</w:t>
            </w:r>
            <w:r>
              <w:rPr>
                <w:b/>
                <w:spacing w:val="-7"/>
                <w:sz w:val="18"/>
              </w:rPr>
              <w:t> </w:t>
            </w:r>
            <w:r>
              <w:rPr>
                <w:b/>
                <w:sz w:val="18"/>
              </w:rPr>
              <w:t>operando</w:t>
            </w:r>
            <w:r>
              <w:rPr>
                <w:b/>
                <w:spacing w:val="-4"/>
                <w:sz w:val="18"/>
              </w:rPr>
              <w:t> </w:t>
            </w:r>
            <w:r>
              <w:rPr>
                <w:b/>
                <w:sz w:val="18"/>
              </w:rPr>
              <w:t>para</w:t>
            </w:r>
            <w:r>
              <w:rPr>
                <w:b/>
                <w:spacing w:val="-8"/>
                <w:sz w:val="18"/>
              </w:rPr>
              <w:t> </w:t>
            </w:r>
            <w:r>
              <w:rPr>
                <w:b/>
                <w:sz w:val="18"/>
              </w:rPr>
              <w:t>la</w:t>
            </w:r>
            <w:r>
              <w:rPr>
                <w:b/>
                <w:spacing w:val="-7"/>
                <w:sz w:val="18"/>
              </w:rPr>
              <w:t> </w:t>
            </w:r>
            <w:r>
              <w:rPr>
                <w:b/>
                <w:sz w:val="18"/>
              </w:rPr>
              <w:t>generación</w:t>
            </w:r>
            <w:r>
              <w:rPr>
                <w:b/>
                <w:spacing w:val="-9"/>
                <w:sz w:val="18"/>
              </w:rPr>
              <w:t> </w:t>
            </w:r>
            <w:r>
              <w:rPr>
                <w:b/>
                <w:sz w:val="18"/>
              </w:rPr>
              <w:t>de</w:t>
            </w:r>
            <w:r>
              <w:rPr>
                <w:b/>
                <w:spacing w:val="-3"/>
                <w:sz w:val="18"/>
              </w:rPr>
              <w:t> </w:t>
            </w:r>
            <w:r>
              <w:rPr>
                <w:b/>
                <w:sz w:val="18"/>
              </w:rPr>
              <w:t>empleo</w:t>
            </w:r>
            <w:r>
              <w:rPr>
                <w:b/>
                <w:spacing w:val="1"/>
                <w:sz w:val="18"/>
              </w:rPr>
              <w:t> </w:t>
            </w:r>
            <w:r>
              <w:rPr>
                <w:b/>
                <w:sz w:val="18"/>
              </w:rPr>
              <w:t>y</w:t>
            </w:r>
            <w:r>
              <w:rPr>
                <w:b/>
                <w:spacing w:val="-4"/>
                <w:sz w:val="18"/>
              </w:rPr>
              <w:t> </w:t>
            </w:r>
            <w:r>
              <w:rPr>
                <w:b/>
                <w:sz w:val="18"/>
              </w:rPr>
              <w:t>autoempleo.</w:t>
            </w:r>
            <w:r>
              <w:rPr>
                <w:b/>
                <w:spacing w:val="-1"/>
                <w:sz w:val="18"/>
              </w:rPr>
              <w:t> </w:t>
            </w:r>
            <w:r>
              <w:rPr>
                <w:b/>
                <w:sz w:val="18"/>
              </w:rPr>
              <w:t>E3</w:t>
            </w:r>
            <w:r>
              <w:rPr>
                <w:b/>
                <w:spacing w:val="-7"/>
                <w:sz w:val="18"/>
              </w:rPr>
              <w:t> </w:t>
            </w:r>
            <w:r>
              <w:rPr>
                <w:b/>
                <w:sz w:val="18"/>
              </w:rPr>
              <w:t>AE5</w:t>
            </w:r>
            <w:r>
              <w:rPr>
                <w:b/>
                <w:spacing w:val="-4"/>
                <w:sz w:val="18"/>
              </w:rPr>
              <w:t> </w:t>
            </w:r>
            <w:r>
              <w:rPr>
                <w:b/>
                <w:spacing w:val="-5"/>
                <w:sz w:val="18"/>
              </w:rPr>
              <w:t>R2</w:t>
            </w:r>
          </w:p>
        </w:tc>
      </w:tr>
      <w:tr>
        <w:trPr>
          <w:trHeight w:val="2486" w:hRule="atLeast"/>
        </w:trPr>
        <w:tc>
          <w:tcPr>
            <w:tcW w:w="2972" w:type="dxa"/>
            <w:gridSpan w:val="2"/>
          </w:tcPr>
          <w:p>
            <w:pPr>
              <w:pStyle w:val="TableParagraph"/>
              <w:rPr>
                <w:b/>
                <w:sz w:val="18"/>
              </w:rPr>
            </w:pPr>
          </w:p>
          <w:p>
            <w:pPr>
              <w:pStyle w:val="TableParagraph"/>
              <w:spacing w:before="2"/>
              <w:rPr>
                <w:b/>
                <w:sz w:val="18"/>
              </w:rPr>
            </w:pPr>
          </w:p>
          <w:p>
            <w:pPr>
              <w:pStyle w:val="TableParagraph"/>
              <w:ind w:left="72" w:right="60"/>
              <w:rPr>
                <w:b/>
                <w:sz w:val="18"/>
              </w:rPr>
            </w:pPr>
            <w:r>
              <w:rPr>
                <w:b/>
                <w:sz w:val="18"/>
              </w:rPr>
              <w:t>Actividad PPPS 1.38.1: </w:t>
            </w:r>
            <w:r>
              <w:rPr>
                <w:sz w:val="18"/>
              </w:rPr>
              <w:t>Implementación</w:t>
            </w:r>
            <w:r>
              <w:rPr>
                <w:spacing w:val="-10"/>
                <w:sz w:val="18"/>
              </w:rPr>
              <w:t> </w:t>
            </w:r>
            <w:r>
              <w:rPr>
                <w:sz w:val="18"/>
              </w:rPr>
              <w:t>de</w:t>
            </w:r>
            <w:r>
              <w:rPr>
                <w:spacing w:val="-10"/>
                <w:sz w:val="18"/>
              </w:rPr>
              <w:t> </w:t>
            </w:r>
            <w:r>
              <w:rPr>
                <w:sz w:val="18"/>
              </w:rPr>
              <w:t>la</w:t>
            </w:r>
            <w:r>
              <w:rPr>
                <w:spacing w:val="-7"/>
                <w:sz w:val="18"/>
              </w:rPr>
              <w:t> </w:t>
            </w:r>
            <w:r>
              <w:rPr>
                <w:sz w:val="18"/>
              </w:rPr>
              <w:t>estrategia</w:t>
            </w:r>
            <w:r>
              <w:rPr>
                <w:spacing w:val="-7"/>
                <w:sz w:val="18"/>
              </w:rPr>
              <w:t> </w:t>
            </w:r>
            <w:r>
              <w:rPr>
                <w:sz w:val="18"/>
              </w:rPr>
              <w:t>de emprendimientos individuales con encadenamientos primarios y secundarios operando para la generación de empleo y autoempleo </w:t>
            </w:r>
            <w:r>
              <w:rPr>
                <w:b/>
                <w:sz w:val="18"/>
              </w:rPr>
              <w:t>(vinculado a PEI </w:t>
            </w:r>
            <w:r>
              <w:rPr>
                <w:b/>
                <w:spacing w:val="-2"/>
                <w:sz w:val="18"/>
              </w:rPr>
              <w:t>3.5.2).</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16"/>
              <w:jc w:val="center"/>
              <w:rPr>
                <w:sz w:val="18"/>
              </w:rPr>
            </w:pPr>
            <w:r>
              <w:rPr>
                <w:spacing w:val="-5"/>
                <w:sz w:val="18"/>
              </w:rPr>
              <w:t>60%</w:t>
            </w:r>
          </w:p>
        </w:tc>
        <w:tc>
          <w:tcPr>
            <w:tcW w:w="1982" w:type="dxa"/>
          </w:tcPr>
          <w:p>
            <w:pPr>
              <w:pStyle w:val="TableParagraph"/>
              <w:ind w:left="68" w:right="95"/>
              <w:rPr>
                <w:sz w:val="18"/>
              </w:rPr>
            </w:pPr>
            <w:r>
              <w:rPr>
                <w:sz w:val="18"/>
              </w:rPr>
              <w:t>Porcentaje de personas</w:t>
            </w:r>
            <w:r>
              <w:rPr>
                <w:spacing w:val="-13"/>
                <w:sz w:val="18"/>
              </w:rPr>
              <w:t> </w:t>
            </w:r>
            <w:r>
              <w:rPr>
                <w:sz w:val="18"/>
              </w:rPr>
              <w:t>beneficiarias del subsidio de </w:t>
            </w:r>
            <w:r>
              <w:rPr>
                <w:spacing w:val="-2"/>
                <w:sz w:val="18"/>
              </w:rPr>
              <w:t>Emprendimientos Productivos </w:t>
            </w:r>
            <w:r>
              <w:rPr>
                <w:sz w:val="18"/>
              </w:rPr>
              <w:t>Individuales que cuentan con </w:t>
            </w:r>
            <w:r>
              <w:rPr>
                <w:spacing w:val="-2"/>
                <w:sz w:val="18"/>
              </w:rPr>
              <w:t>actividades </w:t>
            </w:r>
            <w:r>
              <w:rPr>
                <w:sz w:val="18"/>
              </w:rPr>
              <w:t>económicas en </w:t>
            </w:r>
            <w:r>
              <w:rPr>
                <w:spacing w:val="-2"/>
                <w:sz w:val="18"/>
              </w:rPr>
              <w:t>encadenamientos </w:t>
            </w:r>
            <w:r>
              <w:rPr>
                <w:sz w:val="18"/>
              </w:rPr>
              <w:t>primarios y</w:t>
            </w:r>
          </w:p>
          <w:p>
            <w:pPr>
              <w:pStyle w:val="TableParagraph"/>
              <w:spacing w:line="187" w:lineRule="exact" w:before="3"/>
              <w:ind w:left="68"/>
              <w:rPr>
                <w:sz w:val="18"/>
              </w:rPr>
            </w:pPr>
            <w:r>
              <w:rPr>
                <w:spacing w:val="-2"/>
                <w:sz w:val="18"/>
              </w:rPr>
              <w:t>secundarios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line="242" w:lineRule="auto"/>
              <w:ind w:left="73" w:right="130"/>
              <w:rPr>
                <w:sz w:val="18"/>
              </w:rPr>
            </w:pPr>
            <w:r>
              <w:rPr>
                <w:sz w:val="18"/>
              </w:rPr>
              <w:t>Reporte de </w:t>
            </w:r>
            <w:r>
              <w:rPr>
                <w:spacing w:val="-2"/>
                <w:sz w:val="18"/>
              </w:rPr>
              <w:t>ejecución </w:t>
            </w:r>
            <w:r>
              <w:rPr>
                <w:sz w:val="18"/>
              </w:rPr>
              <w:t>DDSPC</w:t>
            </w:r>
            <w:r>
              <w:rPr>
                <w:spacing w:val="-15"/>
                <w:sz w:val="18"/>
              </w:rPr>
              <w:t> </w:t>
            </w:r>
            <w:r>
              <w:rPr>
                <w:sz w:val="18"/>
              </w:rPr>
              <w:t>o</w:t>
            </w:r>
            <w:r>
              <w:rPr>
                <w:spacing w:val="-12"/>
                <w:sz w:val="18"/>
              </w:rPr>
              <w:t> </w:t>
            </w:r>
            <w:r>
              <w:rPr>
                <w:sz w:val="18"/>
              </w:rPr>
              <w:t>DSIS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7" w:right="10"/>
              <w:jc w:val="center"/>
              <w:rPr>
                <w:sz w:val="18"/>
              </w:rPr>
            </w:pPr>
            <w:r>
              <w:rPr>
                <w:spacing w:val="-2"/>
                <w:sz w:val="18"/>
              </w:rPr>
              <w:t>DDSPC</w:t>
            </w:r>
          </w:p>
        </w:tc>
        <w:tc>
          <w:tcPr>
            <w:tcW w:w="1651" w:type="dxa"/>
          </w:tcPr>
          <w:p>
            <w:pPr>
              <w:pStyle w:val="TableParagraph"/>
              <w:rPr>
                <w:rFonts w:ascii="Times New Roman"/>
                <w:sz w:val="18"/>
              </w:rPr>
            </w:pPr>
          </w:p>
        </w:tc>
        <w:tc>
          <w:tcPr>
            <w:tcW w:w="1546" w:type="dxa"/>
          </w:tcPr>
          <w:p>
            <w:pPr>
              <w:pStyle w:val="TableParagraph"/>
              <w:numPr>
                <w:ilvl w:val="0"/>
                <w:numId w:val="68"/>
              </w:numPr>
              <w:tabs>
                <w:tab w:pos="131" w:val="left" w:leader="none"/>
              </w:tabs>
              <w:spacing w:line="240" w:lineRule="auto" w:before="0" w:after="0"/>
              <w:ind w:left="70" w:right="128" w:firstLine="0"/>
              <w:jc w:val="left"/>
              <w:rPr>
                <w:sz w:val="18"/>
              </w:rPr>
            </w:pPr>
            <w:r>
              <w:rPr>
                <w:spacing w:val="-2"/>
                <w:sz w:val="18"/>
              </w:rPr>
              <w:t>Incumplimiento </w:t>
            </w:r>
            <w:r>
              <w:rPr>
                <w:sz w:val="18"/>
              </w:rPr>
              <w:t>con los plazos </w:t>
            </w:r>
            <w:r>
              <w:rPr>
                <w:spacing w:val="-2"/>
                <w:sz w:val="18"/>
              </w:rPr>
              <w:t>máximos establecidos </w:t>
            </w:r>
            <w:r>
              <w:rPr>
                <w:sz w:val="18"/>
              </w:rPr>
              <w:t>para el trámite </w:t>
            </w:r>
            <w:r>
              <w:rPr>
                <w:spacing w:val="-4"/>
                <w:sz w:val="18"/>
              </w:rPr>
              <w:t>del </w:t>
            </w:r>
            <w:r>
              <w:rPr>
                <w:spacing w:val="-2"/>
                <w:sz w:val="18"/>
              </w:rPr>
              <w:t>financiamiento </w:t>
            </w:r>
            <w:r>
              <w:rPr>
                <w:sz w:val="18"/>
              </w:rPr>
              <w:t>de actividades </w:t>
            </w:r>
            <w:r>
              <w:rPr>
                <w:spacing w:val="-4"/>
                <w:sz w:val="18"/>
              </w:rPr>
              <w:t>con </w:t>
            </w:r>
            <w:r>
              <w:rPr>
                <w:spacing w:val="-2"/>
                <w:sz w:val="18"/>
              </w:rPr>
              <w:t>encadenamiento </w:t>
            </w:r>
            <w:r>
              <w:rPr>
                <w:sz w:val="18"/>
              </w:rPr>
              <w:t>primarios y</w:t>
            </w:r>
          </w:p>
          <w:p>
            <w:pPr>
              <w:pStyle w:val="TableParagraph"/>
              <w:spacing w:line="187" w:lineRule="exact" w:before="3"/>
              <w:ind w:left="70"/>
              <w:rPr>
                <w:sz w:val="18"/>
              </w:rPr>
            </w:pPr>
            <w:r>
              <w:rPr>
                <w:spacing w:val="-2"/>
                <w:sz w:val="18"/>
              </w:rPr>
              <w:t>secundarios.</w:t>
            </w:r>
          </w:p>
        </w:tc>
      </w:tr>
      <w:tr>
        <w:trPr>
          <w:trHeight w:val="705" w:hRule="atLeast"/>
        </w:trPr>
        <w:tc>
          <w:tcPr>
            <w:tcW w:w="14247" w:type="dxa"/>
            <w:gridSpan w:val="9"/>
            <w:shd w:val="clear" w:color="auto" w:fill="EFF8F9"/>
          </w:tcPr>
          <w:p>
            <w:pPr>
              <w:pStyle w:val="TableParagraph"/>
              <w:spacing w:before="143"/>
              <w:ind w:left="72"/>
              <w:rPr>
                <w:b/>
                <w:sz w:val="18"/>
              </w:rPr>
            </w:pPr>
            <w:r>
              <w:rPr>
                <w:b/>
                <w:sz w:val="18"/>
              </w:rPr>
              <w:t>Producto</w:t>
            </w:r>
            <w:r>
              <w:rPr>
                <w:b/>
                <w:spacing w:val="-4"/>
                <w:sz w:val="18"/>
              </w:rPr>
              <w:t> </w:t>
            </w:r>
            <w:r>
              <w:rPr>
                <w:b/>
                <w:sz w:val="18"/>
              </w:rPr>
              <w:t>PPPS</w:t>
            </w:r>
            <w:r>
              <w:rPr>
                <w:b/>
                <w:spacing w:val="-4"/>
                <w:sz w:val="18"/>
              </w:rPr>
              <w:t> </w:t>
            </w:r>
            <w:r>
              <w:rPr>
                <w:b/>
                <w:sz w:val="18"/>
              </w:rPr>
              <w:t>1.39:</w:t>
            </w:r>
            <w:r>
              <w:rPr>
                <w:b/>
                <w:spacing w:val="-1"/>
                <w:sz w:val="18"/>
              </w:rPr>
              <w:t> </w:t>
            </w:r>
            <w:r>
              <w:rPr>
                <w:b/>
                <w:sz w:val="18"/>
              </w:rPr>
              <w:t>Plan de</w:t>
            </w:r>
            <w:r>
              <w:rPr>
                <w:b/>
                <w:spacing w:val="-3"/>
                <w:sz w:val="18"/>
              </w:rPr>
              <w:t> </w:t>
            </w:r>
            <w:r>
              <w:rPr>
                <w:b/>
                <w:sz w:val="18"/>
              </w:rPr>
              <w:t>acción</w:t>
            </w:r>
            <w:r>
              <w:rPr>
                <w:b/>
                <w:spacing w:val="-4"/>
                <w:sz w:val="18"/>
              </w:rPr>
              <w:t> </w:t>
            </w:r>
            <w:r>
              <w:rPr>
                <w:b/>
                <w:sz w:val="18"/>
              </w:rPr>
              <w:t>diseñado</w:t>
            </w:r>
            <w:r>
              <w:rPr>
                <w:b/>
                <w:spacing w:val="-4"/>
                <w:sz w:val="18"/>
              </w:rPr>
              <w:t> </w:t>
            </w:r>
            <w:r>
              <w:rPr>
                <w:b/>
                <w:sz w:val="18"/>
              </w:rPr>
              <w:t>e</w:t>
            </w:r>
            <w:r>
              <w:rPr>
                <w:b/>
                <w:spacing w:val="-3"/>
                <w:sz w:val="18"/>
              </w:rPr>
              <w:t> </w:t>
            </w:r>
            <w:r>
              <w:rPr>
                <w:b/>
                <w:sz w:val="18"/>
              </w:rPr>
              <w:t>implementado</w:t>
            </w:r>
            <w:r>
              <w:rPr>
                <w:b/>
                <w:spacing w:val="-4"/>
                <w:sz w:val="18"/>
              </w:rPr>
              <w:t> </w:t>
            </w:r>
            <w:r>
              <w:rPr>
                <w:b/>
                <w:sz w:val="18"/>
              </w:rPr>
              <w:t>para</w:t>
            </w:r>
            <w:r>
              <w:rPr>
                <w:b/>
                <w:spacing w:val="-3"/>
                <w:sz w:val="18"/>
              </w:rPr>
              <w:t> </w:t>
            </w:r>
            <w:r>
              <w:rPr>
                <w:b/>
                <w:sz w:val="18"/>
              </w:rPr>
              <w:t>el desarrollo</w:t>
            </w:r>
            <w:r>
              <w:rPr>
                <w:b/>
                <w:spacing w:val="-4"/>
                <w:sz w:val="18"/>
              </w:rPr>
              <w:t> </w:t>
            </w:r>
            <w:r>
              <w:rPr>
                <w:b/>
                <w:sz w:val="18"/>
              </w:rPr>
              <w:t>de</w:t>
            </w:r>
            <w:r>
              <w:rPr>
                <w:b/>
                <w:spacing w:val="-3"/>
                <w:sz w:val="18"/>
              </w:rPr>
              <w:t> </w:t>
            </w:r>
            <w:r>
              <w:rPr>
                <w:b/>
                <w:sz w:val="18"/>
              </w:rPr>
              <w:t>competencias</w:t>
            </w:r>
            <w:r>
              <w:rPr>
                <w:b/>
                <w:spacing w:val="-3"/>
                <w:sz w:val="18"/>
              </w:rPr>
              <w:t> </w:t>
            </w:r>
            <w:r>
              <w:rPr>
                <w:b/>
                <w:sz w:val="18"/>
              </w:rPr>
              <w:t>y</w:t>
            </w:r>
            <w:r>
              <w:rPr>
                <w:b/>
                <w:spacing w:val="-3"/>
                <w:sz w:val="18"/>
              </w:rPr>
              <w:t> </w:t>
            </w:r>
            <w:r>
              <w:rPr>
                <w:b/>
                <w:sz w:val="18"/>
              </w:rPr>
              <w:t>condiciones,</w:t>
            </w:r>
            <w:r>
              <w:rPr>
                <w:b/>
                <w:spacing w:val="-5"/>
                <w:sz w:val="18"/>
              </w:rPr>
              <w:t> </w:t>
            </w:r>
            <w:r>
              <w:rPr>
                <w:b/>
                <w:sz w:val="18"/>
              </w:rPr>
              <w:t>que contemple</w:t>
            </w:r>
            <w:r>
              <w:rPr>
                <w:b/>
                <w:spacing w:val="-3"/>
                <w:sz w:val="18"/>
              </w:rPr>
              <w:t> </w:t>
            </w:r>
            <w:r>
              <w:rPr>
                <w:b/>
                <w:sz w:val="18"/>
              </w:rPr>
              <w:t>un sistema</w:t>
            </w:r>
            <w:r>
              <w:rPr>
                <w:b/>
                <w:spacing w:val="-3"/>
                <w:sz w:val="18"/>
              </w:rPr>
              <w:t> </w:t>
            </w:r>
            <w:r>
              <w:rPr>
                <w:b/>
                <w:sz w:val="18"/>
              </w:rPr>
              <w:t>de</w:t>
            </w:r>
            <w:r>
              <w:rPr>
                <w:b/>
                <w:spacing w:val="-3"/>
                <w:sz w:val="18"/>
              </w:rPr>
              <w:t> </w:t>
            </w:r>
            <w:r>
              <w:rPr>
                <w:b/>
                <w:sz w:val="18"/>
              </w:rPr>
              <w:t>apoyo</w:t>
            </w:r>
            <w:r>
              <w:rPr>
                <w:b/>
                <w:spacing w:val="-4"/>
                <w:sz w:val="18"/>
              </w:rPr>
              <w:t> </w:t>
            </w:r>
            <w:r>
              <w:rPr>
                <w:b/>
                <w:sz w:val="18"/>
              </w:rPr>
              <w:t>financiero reembolsable y no reembolsable, a fin de lograr la inclusión de la población en pobreza en proyectos de economía azul. E3 AE6 R1</w:t>
            </w:r>
          </w:p>
        </w:tc>
      </w:tr>
      <w:tr>
        <w:trPr>
          <w:trHeight w:val="1853" w:hRule="atLeast"/>
        </w:trPr>
        <w:tc>
          <w:tcPr>
            <w:tcW w:w="2972" w:type="dxa"/>
            <w:gridSpan w:val="2"/>
            <w:tcBorders>
              <w:bottom w:val="nil"/>
            </w:tcBorders>
          </w:tcPr>
          <w:p>
            <w:pPr>
              <w:pStyle w:val="TableParagraph"/>
              <w:spacing w:before="99"/>
              <w:rPr>
                <w:b/>
                <w:sz w:val="18"/>
              </w:rPr>
            </w:pPr>
          </w:p>
          <w:p>
            <w:pPr>
              <w:pStyle w:val="TableParagraph"/>
              <w:ind w:left="72"/>
              <w:rPr>
                <w:b/>
                <w:sz w:val="18"/>
              </w:rPr>
            </w:pPr>
            <w:r>
              <w:rPr>
                <w:b/>
                <w:sz w:val="18"/>
              </w:rPr>
              <w:t>Actividad PPPS 1.39.1: </w:t>
            </w:r>
            <w:r>
              <w:rPr>
                <w:sz w:val="18"/>
              </w:rPr>
              <w:t>Financiamiento de proyectos vinculados a la economía azul financiados con fondos reembolsables</w:t>
            </w:r>
            <w:r>
              <w:rPr>
                <w:spacing w:val="-12"/>
                <w:sz w:val="18"/>
              </w:rPr>
              <w:t> </w:t>
            </w:r>
            <w:r>
              <w:rPr>
                <w:sz w:val="18"/>
              </w:rPr>
              <w:t>y</w:t>
            </w:r>
            <w:r>
              <w:rPr>
                <w:spacing w:val="-12"/>
                <w:sz w:val="18"/>
              </w:rPr>
              <w:t> </w:t>
            </w:r>
            <w:r>
              <w:rPr>
                <w:sz w:val="18"/>
              </w:rPr>
              <w:t>no</w:t>
            </w:r>
            <w:r>
              <w:rPr>
                <w:spacing w:val="-12"/>
                <w:sz w:val="18"/>
              </w:rPr>
              <w:t> </w:t>
            </w:r>
            <w:r>
              <w:rPr>
                <w:sz w:val="18"/>
              </w:rPr>
              <w:t>reembolsables </w:t>
            </w:r>
            <w:r>
              <w:rPr>
                <w:b/>
                <w:sz w:val="18"/>
              </w:rPr>
              <w:t>(vinculado a PEI 3.6.1).</w:t>
            </w:r>
          </w:p>
        </w:tc>
        <w:tc>
          <w:tcPr>
            <w:tcW w:w="1560" w:type="dxa"/>
            <w:tcBorders>
              <w:bottom w:val="single" w:sz="4" w:space="0" w:color="808080"/>
            </w:tcBorders>
          </w:tcPr>
          <w:p>
            <w:pPr>
              <w:pStyle w:val="TableParagraph"/>
              <w:rPr>
                <w:b/>
                <w:sz w:val="18"/>
              </w:rPr>
            </w:pPr>
          </w:p>
          <w:p>
            <w:pPr>
              <w:pStyle w:val="TableParagraph"/>
              <w:rPr>
                <w:b/>
                <w:sz w:val="18"/>
              </w:rPr>
            </w:pPr>
          </w:p>
          <w:p>
            <w:pPr>
              <w:pStyle w:val="TableParagraph"/>
              <w:spacing w:before="203"/>
              <w:rPr>
                <w:b/>
                <w:sz w:val="18"/>
              </w:rPr>
            </w:pPr>
          </w:p>
          <w:p>
            <w:pPr>
              <w:pStyle w:val="TableParagraph"/>
              <w:ind w:left="21" w:right="10"/>
              <w:jc w:val="center"/>
              <w:rPr>
                <w:sz w:val="18"/>
              </w:rPr>
            </w:pPr>
            <w:r>
              <w:rPr>
                <w:spacing w:val="-10"/>
                <w:sz w:val="18"/>
              </w:rPr>
              <w:t>0</w:t>
            </w:r>
          </w:p>
        </w:tc>
        <w:tc>
          <w:tcPr>
            <w:tcW w:w="1560" w:type="dxa"/>
            <w:tcBorders>
              <w:bottom w:val="single" w:sz="4" w:space="0" w:color="808080"/>
            </w:tcBorders>
          </w:tcPr>
          <w:p>
            <w:pPr>
              <w:pStyle w:val="TableParagraph"/>
              <w:rPr>
                <w:b/>
                <w:sz w:val="18"/>
              </w:rPr>
            </w:pPr>
          </w:p>
          <w:p>
            <w:pPr>
              <w:pStyle w:val="TableParagraph"/>
              <w:rPr>
                <w:b/>
                <w:sz w:val="18"/>
              </w:rPr>
            </w:pPr>
          </w:p>
          <w:p>
            <w:pPr>
              <w:pStyle w:val="TableParagraph"/>
              <w:spacing w:before="203"/>
              <w:rPr>
                <w:b/>
                <w:sz w:val="18"/>
              </w:rPr>
            </w:pPr>
          </w:p>
          <w:p>
            <w:pPr>
              <w:pStyle w:val="TableParagraph"/>
              <w:ind w:left="21" w:right="16"/>
              <w:jc w:val="center"/>
              <w:rPr>
                <w:sz w:val="18"/>
              </w:rPr>
            </w:pPr>
            <w:r>
              <w:rPr>
                <w:spacing w:val="-5"/>
                <w:sz w:val="18"/>
              </w:rPr>
              <w:t>60%</w:t>
            </w:r>
          </w:p>
        </w:tc>
        <w:tc>
          <w:tcPr>
            <w:tcW w:w="1982" w:type="dxa"/>
            <w:tcBorders>
              <w:bottom w:val="single" w:sz="4" w:space="0" w:color="808080"/>
            </w:tcBorders>
          </w:tcPr>
          <w:p>
            <w:pPr>
              <w:pStyle w:val="TableParagraph"/>
              <w:spacing w:before="99"/>
              <w:rPr>
                <w:b/>
                <w:sz w:val="18"/>
              </w:rPr>
            </w:pPr>
          </w:p>
          <w:p>
            <w:pPr>
              <w:pStyle w:val="TableParagraph"/>
              <w:ind w:left="68" w:right="53"/>
              <w:rPr>
                <w:sz w:val="18"/>
              </w:rPr>
            </w:pPr>
            <w:r>
              <w:rPr>
                <w:sz w:val="18"/>
              </w:rPr>
              <w:t>Porcentaje de proyectos</w:t>
            </w:r>
            <w:r>
              <w:rPr>
                <w:spacing w:val="-11"/>
                <w:sz w:val="18"/>
              </w:rPr>
              <w:t> </w:t>
            </w:r>
            <w:r>
              <w:rPr>
                <w:sz w:val="18"/>
              </w:rPr>
              <w:t>vinculados</w:t>
            </w:r>
            <w:r>
              <w:rPr>
                <w:spacing w:val="-11"/>
                <w:sz w:val="18"/>
              </w:rPr>
              <w:t> </w:t>
            </w:r>
            <w:r>
              <w:rPr>
                <w:sz w:val="18"/>
              </w:rPr>
              <w:t>a la economía azul financiados</w:t>
            </w:r>
            <w:r>
              <w:rPr>
                <w:spacing w:val="-15"/>
                <w:sz w:val="18"/>
              </w:rPr>
              <w:t> </w:t>
            </w:r>
            <w:r>
              <w:rPr>
                <w:sz w:val="18"/>
              </w:rPr>
              <w:t>con</w:t>
            </w:r>
            <w:r>
              <w:rPr>
                <w:spacing w:val="-12"/>
                <w:sz w:val="18"/>
              </w:rPr>
              <w:t> </w:t>
            </w:r>
            <w:r>
              <w:rPr>
                <w:sz w:val="18"/>
              </w:rPr>
              <w:t>fondos reembolsables y no </w:t>
            </w:r>
            <w:r>
              <w:rPr>
                <w:spacing w:val="-2"/>
                <w:sz w:val="18"/>
              </w:rPr>
              <w:t>reembolsables</w:t>
            </w:r>
          </w:p>
        </w:tc>
        <w:tc>
          <w:tcPr>
            <w:tcW w:w="1560" w:type="dxa"/>
            <w:tcBorders>
              <w:bottom w:val="single" w:sz="4" w:space="0" w:color="808080"/>
            </w:tcBorders>
          </w:tcPr>
          <w:p>
            <w:pPr>
              <w:pStyle w:val="TableParagraph"/>
              <w:rPr>
                <w:b/>
                <w:sz w:val="18"/>
              </w:rPr>
            </w:pPr>
          </w:p>
          <w:p>
            <w:pPr>
              <w:pStyle w:val="TableParagraph"/>
              <w:spacing w:before="204"/>
              <w:rPr>
                <w:b/>
                <w:sz w:val="18"/>
              </w:rPr>
            </w:pPr>
          </w:p>
          <w:p>
            <w:pPr>
              <w:pStyle w:val="TableParagraph"/>
              <w:ind w:left="73" w:right="130"/>
              <w:rPr>
                <w:sz w:val="18"/>
              </w:rPr>
            </w:pPr>
            <w:r>
              <w:rPr>
                <w:sz w:val="18"/>
              </w:rPr>
              <w:t>Reporte de </w:t>
            </w:r>
            <w:r>
              <w:rPr>
                <w:spacing w:val="-2"/>
                <w:sz w:val="18"/>
              </w:rPr>
              <w:t>ejecución </w:t>
            </w:r>
            <w:r>
              <w:rPr>
                <w:sz w:val="18"/>
              </w:rPr>
              <w:t>DDSPC</w:t>
            </w:r>
            <w:r>
              <w:rPr>
                <w:spacing w:val="-15"/>
                <w:sz w:val="18"/>
              </w:rPr>
              <w:t> </w:t>
            </w:r>
            <w:r>
              <w:rPr>
                <w:sz w:val="18"/>
              </w:rPr>
              <w:t>o</w:t>
            </w:r>
            <w:r>
              <w:rPr>
                <w:spacing w:val="-12"/>
                <w:sz w:val="18"/>
              </w:rPr>
              <w:t> </w:t>
            </w:r>
            <w:r>
              <w:rPr>
                <w:sz w:val="18"/>
              </w:rPr>
              <w:t>DSIS</w:t>
            </w:r>
          </w:p>
        </w:tc>
        <w:tc>
          <w:tcPr>
            <w:tcW w:w="1416" w:type="dxa"/>
            <w:tcBorders>
              <w:bottom w:val="single" w:sz="4" w:space="0" w:color="808080"/>
            </w:tcBorders>
          </w:tcPr>
          <w:p>
            <w:pPr>
              <w:pStyle w:val="TableParagraph"/>
              <w:rPr>
                <w:b/>
                <w:sz w:val="18"/>
              </w:rPr>
            </w:pPr>
          </w:p>
          <w:p>
            <w:pPr>
              <w:pStyle w:val="TableParagraph"/>
              <w:rPr>
                <w:b/>
                <w:sz w:val="18"/>
              </w:rPr>
            </w:pPr>
          </w:p>
          <w:p>
            <w:pPr>
              <w:pStyle w:val="TableParagraph"/>
              <w:spacing w:before="203"/>
              <w:rPr>
                <w:b/>
                <w:sz w:val="18"/>
              </w:rPr>
            </w:pPr>
          </w:p>
          <w:p>
            <w:pPr>
              <w:pStyle w:val="TableParagraph"/>
              <w:ind w:left="17" w:right="10"/>
              <w:jc w:val="center"/>
              <w:rPr>
                <w:sz w:val="18"/>
              </w:rPr>
            </w:pPr>
            <w:r>
              <w:rPr>
                <w:spacing w:val="-2"/>
                <w:sz w:val="18"/>
              </w:rPr>
              <w:t>DDSPC</w:t>
            </w:r>
          </w:p>
        </w:tc>
        <w:tc>
          <w:tcPr>
            <w:tcW w:w="1651" w:type="dxa"/>
            <w:tcBorders>
              <w:bottom w:val="single" w:sz="4" w:space="0" w:color="808080"/>
            </w:tcBorders>
          </w:tcPr>
          <w:p>
            <w:pPr>
              <w:pStyle w:val="TableParagraph"/>
              <w:rPr>
                <w:rFonts w:ascii="Times New Roman"/>
                <w:sz w:val="18"/>
              </w:rPr>
            </w:pPr>
          </w:p>
        </w:tc>
        <w:tc>
          <w:tcPr>
            <w:tcW w:w="1546" w:type="dxa"/>
            <w:tcBorders>
              <w:bottom w:val="single" w:sz="4" w:space="0" w:color="808080"/>
            </w:tcBorders>
          </w:tcPr>
          <w:p>
            <w:pPr>
              <w:pStyle w:val="TableParagraph"/>
              <w:numPr>
                <w:ilvl w:val="0"/>
                <w:numId w:val="69"/>
              </w:numPr>
              <w:tabs>
                <w:tab w:pos="131" w:val="left" w:leader="none"/>
              </w:tabs>
              <w:spacing w:line="240" w:lineRule="auto" w:before="0" w:after="0"/>
              <w:ind w:left="70" w:right="176" w:firstLine="0"/>
              <w:jc w:val="left"/>
              <w:rPr>
                <w:sz w:val="18"/>
              </w:rPr>
            </w:pPr>
            <w:r>
              <w:rPr>
                <w:spacing w:val="-2"/>
                <w:sz w:val="18"/>
              </w:rPr>
              <w:t>Incumplimiento </w:t>
            </w:r>
            <w:r>
              <w:rPr>
                <w:sz w:val="18"/>
              </w:rPr>
              <w:t>con los plazos </w:t>
            </w:r>
            <w:r>
              <w:rPr>
                <w:spacing w:val="-2"/>
                <w:sz w:val="18"/>
              </w:rPr>
              <w:t>máximos establecidos </w:t>
            </w:r>
            <w:r>
              <w:rPr>
                <w:sz w:val="18"/>
              </w:rPr>
              <w:t>para el trámite </w:t>
            </w:r>
            <w:r>
              <w:rPr>
                <w:spacing w:val="-4"/>
                <w:sz w:val="18"/>
              </w:rPr>
              <w:t>del </w:t>
            </w:r>
            <w:r>
              <w:rPr>
                <w:spacing w:val="-2"/>
                <w:sz w:val="18"/>
              </w:rPr>
              <w:t>financiamiento</w:t>
            </w:r>
          </w:p>
          <w:p>
            <w:pPr>
              <w:pStyle w:val="TableParagraph"/>
              <w:spacing w:line="206" w:lineRule="exact"/>
              <w:ind w:left="70"/>
              <w:rPr>
                <w:sz w:val="18"/>
              </w:rPr>
            </w:pPr>
            <w:r>
              <w:rPr>
                <w:sz w:val="18"/>
              </w:rPr>
              <w:t>de</w:t>
            </w:r>
            <w:r>
              <w:rPr>
                <w:spacing w:val="-15"/>
                <w:sz w:val="18"/>
              </w:rPr>
              <w:t> </w:t>
            </w:r>
            <w:r>
              <w:rPr>
                <w:sz w:val="18"/>
              </w:rPr>
              <w:t>proyectos</w:t>
            </w:r>
            <w:r>
              <w:rPr>
                <w:spacing w:val="-12"/>
                <w:sz w:val="18"/>
              </w:rPr>
              <w:t> </w:t>
            </w:r>
            <w:r>
              <w:rPr>
                <w:sz w:val="18"/>
              </w:rPr>
              <w:t>de economía azul.</w:t>
            </w:r>
          </w:p>
        </w:tc>
      </w:tr>
      <w:tr>
        <w:trPr>
          <w:trHeight w:val="1367" w:hRule="atLeast"/>
        </w:trPr>
        <w:tc>
          <w:tcPr>
            <w:tcW w:w="1486" w:type="dxa"/>
            <w:tcBorders>
              <w:top w:val="thinThickMediumGap" w:sz="9" w:space="0" w:color="808080"/>
              <w:left w:val="nil"/>
              <w:bottom w:val="nil"/>
              <w:right w:val="single" w:sz="18" w:space="0" w:color="808080"/>
            </w:tcBorders>
          </w:tcPr>
          <w:p>
            <w:pPr>
              <w:pStyle w:val="TableParagraph"/>
              <w:spacing w:line="261" w:lineRule="exact"/>
              <w:ind w:left="106"/>
              <w:rPr>
                <w:b/>
                <w:sz w:val="24"/>
              </w:rPr>
            </w:pPr>
            <w:r>
              <w:rPr>
                <w:b/>
                <w:spacing w:val="-5"/>
                <w:sz w:val="24"/>
              </w:rPr>
              <w:t>126</w:t>
            </w:r>
          </w:p>
        </w:tc>
        <w:tc>
          <w:tcPr>
            <w:tcW w:w="12761" w:type="dxa"/>
            <w:gridSpan w:val="8"/>
            <w:tcBorders>
              <w:top w:val="single" w:sz="4" w:space="0" w:color="808080"/>
              <w:left w:val="single" w:sz="18" w:space="0" w:color="808080"/>
              <w:bottom w:val="nil"/>
              <w:right w:val="nil"/>
            </w:tcBorders>
          </w:tcPr>
          <w:p>
            <w:pPr>
              <w:pStyle w:val="TableParagraph"/>
              <w:spacing w:line="261" w:lineRule="exact"/>
              <w:ind w:left="95"/>
              <w:rPr>
                <w:b/>
                <w:i/>
                <w:sz w:val="24"/>
              </w:rPr>
            </w:pPr>
            <w:r>
              <w:rPr>
                <w:b/>
                <w:i/>
                <w:sz w:val="24"/>
              </w:rPr>
              <mc:AlternateContent>
                <mc:Choice Requires="wps">
                  <w:drawing>
                    <wp:anchor distT="0" distB="0" distL="0" distR="0" allowOverlap="1" layoutInCell="1" locked="0" behindDoc="1" simplePos="0" relativeHeight="459706880">
                      <wp:simplePos x="0" y="0"/>
                      <wp:positionH relativeFrom="column">
                        <wp:posOffset>13716</wp:posOffset>
                      </wp:positionH>
                      <wp:positionV relativeFrom="paragraph">
                        <wp:posOffset>-37386</wp:posOffset>
                      </wp:positionV>
                      <wp:extent cx="8186420" cy="27940"/>
                      <wp:effectExtent l="0" t="0" r="0" b="0"/>
                      <wp:wrapNone/>
                      <wp:docPr id="94" name="Group 94"/>
                      <wp:cNvGraphicFramePr>
                        <a:graphicFrameLocks/>
                      </wp:cNvGraphicFramePr>
                      <a:graphic>
                        <a:graphicData uri="http://schemas.microsoft.com/office/word/2010/wordprocessingGroup">
                          <wpg:wgp>
                            <wpg:cNvPr id="94" name="Group 94"/>
                            <wpg:cNvGrpSpPr/>
                            <wpg:grpSpPr>
                              <a:xfrm>
                                <a:off x="0" y="0"/>
                                <a:ext cx="8186420" cy="27940"/>
                                <a:chExt cx="8186420" cy="27940"/>
                              </a:xfrm>
                            </wpg:grpSpPr>
                            <wps:wsp>
                              <wps:cNvPr id="95" name="Graphic 95"/>
                              <wps:cNvSpPr/>
                              <wps:spPr>
                                <a:xfrm>
                                  <a:off x="0" y="0"/>
                                  <a:ext cx="8186420" cy="27940"/>
                                </a:xfrm>
                                <a:custGeom>
                                  <a:avLst/>
                                  <a:gdLst/>
                                  <a:ahLst/>
                                  <a:cxnLst/>
                                  <a:rect l="l" t="t" r="r" b="b"/>
                                  <a:pathLst>
                                    <a:path w="8186420" h="27940">
                                      <a:moveTo>
                                        <a:pt x="8186293" y="0"/>
                                      </a:moveTo>
                                      <a:lnTo>
                                        <a:pt x="0" y="0"/>
                                      </a:lnTo>
                                      <a:lnTo>
                                        <a:pt x="0" y="27431"/>
                                      </a:lnTo>
                                      <a:lnTo>
                                        <a:pt x="8186293" y="27431"/>
                                      </a:lnTo>
                                      <a:lnTo>
                                        <a:pt x="8186293"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w:pict>
                    <v:group style="position:absolute;margin-left:1.08pt;margin-top:-2.943858pt;width:644.6pt;height:2.2pt;mso-position-horizontal-relative:column;mso-position-vertical-relative:paragraph;z-index:-43609600" id="docshapegroup72" coordorigin="22,-59" coordsize="12892,44">
                      <v:rect style="position:absolute;left:21;top:-59;width:12892;height:44" id="docshape73" filled="true" fillcolor="#808080" stroked="false">
                        <v:fill type="solid"/>
                      </v:rect>
                      <w10:wrap type="none"/>
                    </v:group>
                  </w:pict>
                </mc:Fallback>
              </mc:AlternateContent>
            </w:r>
            <w:r>
              <w:rPr>
                <w:b/>
                <w:i/>
                <w:sz w:val="24"/>
              </w:rPr>
              <w:t>IMAS:</w:t>
            </w:r>
            <w:r>
              <w:rPr>
                <w:b/>
                <w:i/>
                <w:spacing w:val="-2"/>
                <w:sz w:val="24"/>
              </w:rPr>
              <w:t> </w:t>
            </w:r>
            <w:r>
              <w:rPr>
                <w:b/>
                <w:i/>
                <w:sz w:val="24"/>
              </w:rPr>
              <w:t>Plan</w:t>
            </w:r>
            <w:r>
              <w:rPr>
                <w:b/>
                <w:i/>
                <w:spacing w:val="-3"/>
                <w:sz w:val="24"/>
              </w:rPr>
              <w:t> </w:t>
            </w:r>
            <w:r>
              <w:rPr>
                <w:b/>
                <w:i/>
                <w:sz w:val="24"/>
              </w:rPr>
              <w:t>Operativo </w:t>
            </w:r>
            <w:r>
              <w:rPr>
                <w:b/>
                <w:i/>
                <w:spacing w:val="-2"/>
                <w:sz w:val="24"/>
              </w:rPr>
              <w:t>Gerencial</w:t>
            </w:r>
          </w:p>
          <w:p>
            <w:pPr>
              <w:pStyle w:val="TableParagraph"/>
              <w:spacing w:before="3"/>
              <w:ind w:left="95"/>
              <w:rPr>
                <w:b/>
                <w:i/>
                <w:sz w:val="24"/>
              </w:rPr>
            </w:pPr>
            <w:r>
              <w:rPr>
                <w:b/>
                <w:i/>
                <w:spacing w:val="-4"/>
                <w:sz w:val="24"/>
              </w:rPr>
              <w:t>2026</w:t>
            </w:r>
          </w:p>
        </w:tc>
      </w:tr>
    </w:tbl>
    <w:p>
      <w:pPr>
        <w:pStyle w:val="TableParagraph"/>
        <w:spacing w:after="0"/>
        <w:rPr>
          <w:b/>
          <w:i/>
          <w:sz w:val="24"/>
        </w:rPr>
        <w:sectPr>
          <w:footerReference w:type="default" r:id="rId61"/>
          <w:pgSz w:w="15840" w:h="12240" w:orient="landscape"/>
          <w:pgMar w:header="0" w:footer="0" w:top="700" w:bottom="2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9"/>
        <w:gridCol w:w="1548"/>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9" w:type="dxa"/>
            <w:shd w:val="clear" w:color="auto" w:fill="D9D9D9"/>
          </w:tcPr>
          <w:p>
            <w:pPr>
              <w:pStyle w:val="TableParagraph"/>
              <w:spacing w:before="104"/>
              <w:ind w:left="430" w:hanging="120"/>
              <w:rPr>
                <w:b/>
                <w:sz w:val="18"/>
              </w:rPr>
            </w:pPr>
            <w:r>
              <w:rPr>
                <w:b/>
                <w:spacing w:val="-2"/>
                <w:sz w:val="18"/>
              </w:rPr>
              <w:t>Presupuesto asignado</w:t>
            </w:r>
          </w:p>
        </w:tc>
        <w:tc>
          <w:tcPr>
            <w:tcW w:w="1548" w:type="dxa"/>
            <w:shd w:val="clear" w:color="auto" w:fill="D9D9D9"/>
          </w:tcPr>
          <w:p>
            <w:pPr>
              <w:pStyle w:val="TableParagraph"/>
              <w:spacing w:line="206" w:lineRule="exact"/>
              <w:ind w:left="16"/>
              <w:jc w:val="center"/>
              <w:rPr>
                <w:b/>
                <w:sz w:val="18"/>
              </w:rPr>
            </w:pPr>
            <w:r>
              <w:rPr>
                <w:b/>
                <w:spacing w:val="-2"/>
                <w:sz w:val="18"/>
              </w:rPr>
              <w:t>Riesgos </w:t>
            </w:r>
            <w:r>
              <w:rPr>
                <w:b/>
                <w:sz w:val="18"/>
              </w:rPr>
              <w:t>asociados al </w:t>
            </w:r>
            <w:r>
              <w:rPr>
                <w:b/>
                <w:spacing w:val="-2"/>
                <w:sz w:val="18"/>
              </w:rPr>
              <w:t>cumplimiento</w:t>
            </w:r>
          </w:p>
        </w:tc>
      </w:tr>
      <w:tr>
        <w:trPr>
          <w:trHeight w:val="513" w:hRule="atLeast"/>
        </w:trPr>
        <w:tc>
          <w:tcPr>
            <w:tcW w:w="14247" w:type="dxa"/>
            <w:gridSpan w:val="8"/>
            <w:shd w:val="clear" w:color="auto" w:fill="EFF8F9"/>
          </w:tcPr>
          <w:p>
            <w:pPr>
              <w:pStyle w:val="TableParagraph"/>
              <w:spacing w:before="51"/>
              <w:ind w:left="72" w:right="98"/>
              <w:rPr>
                <w:b/>
                <w:sz w:val="18"/>
              </w:rPr>
            </w:pPr>
            <w:r>
              <w:rPr>
                <w:b/>
                <w:sz w:val="18"/>
              </w:rPr>
              <w:t>Producto</w:t>
            </w:r>
            <w:r>
              <w:rPr>
                <w:b/>
                <w:spacing w:val="-4"/>
                <w:sz w:val="18"/>
              </w:rPr>
              <w:t> </w:t>
            </w:r>
            <w:r>
              <w:rPr>
                <w:b/>
                <w:sz w:val="18"/>
              </w:rPr>
              <w:t>PPPS</w:t>
            </w:r>
            <w:r>
              <w:rPr>
                <w:b/>
                <w:spacing w:val="-4"/>
                <w:sz w:val="18"/>
              </w:rPr>
              <w:t> </w:t>
            </w:r>
            <w:r>
              <w:rPr>
                <w:b/>
                <w:sz w:val="18"/>
              </w:rPr>
              <w:t>1.40:</w:t>
            </w:r>
            <w:r>
              <w:rPr>
                <w:b/>
                <w:spacing w:val="40"/>
                <w:sz w:val="18"/>
              </w:rPr>
              <w:t> </w:t>
            </w:r>
            <w:r>
              <w:rPr>
                <w:b/>
                <w:sz w:val="18"/>
              </w:rPr>
              <w:t>Mecanismos</w:t>
            </w:r>
            <w:r>
              <w:rPr>
                <w:b/>
                <w:spacing w:val="-3"/>
                <w:sz w:val="18"/>
              </w:rPr>
              <w:t> </w:t>
            </w:r>
            <w:r>
              <w:rPr>
                <w:b/>
                <w:sz w:val="18"/>
              </w:rPr>
              <w:t>de</w:t>
            </w:r>
            <w:r>
              <w:rPr>
                <w:b/>
                <w:spacing w:val="-3"/>
                <w:sz w:val="18"/>
              </w:rPr>
              <w:t> </w:t>
            </w:r>
            <w:r>
              <w:rPr>
                <w:b/>
                <w:sz w:val="18"/>
              </w:rPr>
              <w:t>articulación</w:t>
            </w:r>
            <w:r>
              <w:rPr>
                <w:b/>
                <w:spacing w:val="-4"/>
                <w:sz w:val="18"/>
              </w:rPr>
              <w:t> </w:t>
            </w:r>
            <w:r>
              <w:rPr>
                <w:b/>
                <w:sz w:val="18"/>
              </w:rPr>
              <w:t>interinstitucional diseñados e</w:t>
            </w:r>
            <w:r>
              <w:rPr>
                <w:b/>
                <w:spacing w:val="-8"/>
                <w:sz w:val="18"/>
              </w:rPr>
              <w:t> </w:t>
            </w:r>
            <w:r>
              <w:rPr>
                <w:b/>
                <w:sz w:val="18"/>
              </w:rPr>
              <w:t>implementados</w:t>
            </w:r>
            <w:r>
              <w:rPr>
                <w:b/>
                <w:spacing w:val="-3"/>
                <w:sz w:val="18"/>
              </w:rPr>
              <w:t> </w:t>
            </w:r>
            <w:r>
              <w:rPr>
                <w:b/>
                <w:sz w:val="18"/>
              </w:rPr>
              <w:t>que</w:t>
            </w:r>
            <w:r>
              <w:rPr>
                <w:b/>
                <w:spacing w:val="-3"/>
                <w:sz w:val="18"/>
              </w:rPr>
              <w:t> </w:t>
            </w:r>
            <w:r>
              <w:rPr>
                <w:b/>
                <w:sz w:val="18"/>
              </w:rPr>
              <w:t>permitan</w:t>
            </w:r>
            <w:r>
              <w:rPr>
                <w:b/>
                <w:spacing w:val="-4"/>
                <w:sz w:val="18"/>
              </w:rPr>
              <w:t> </w:t>
            </w:r>
            <w:r>
              <w:rPr>
                <w:b/>
                <w:sz w:val="18"/>
              </w:rPr>
              <w:t>generar</w:t>
            </w:r>
            <w:r>
              <w:rPr>
                <w:b/>
                <w:spacing w:val="-2"/>
                <w:sz w:val="18"/>
              </w:rPr>
              <w:t> </w:t>
            </w:r>
            <w:r>
              <w:rPr>
                <w:b/>
                <w:sz w:val="18"/>
              </w:rPr>
              <w:t>las condiciones</w:t>
            </w:r>
            <w:r>
              <w:rPr>
                <w:b/>
                <w:spacing w:val="-3"/>
                <w:sz w:val="18"/>
              </w:rPr>
              <w:t> </w:t>
            </w:r>
            <w:r>
              <w:rPr>
                <w:b/>
                <w:sz w:val="18"/>
              </w:rPr>
              <w:t>y</w:t>
            </w:r>
            <w:r>
              <w:rPr>
                <w:b/>
                <w:spacing w:val="-3"/>
                <w:sz w:val="18"/>
              </w:rPr>
              <w:t> </w:t>
            </w:r>
            <w:r>
              <w:rPr>
                <w:b/>
                <w:sz w:val="18"/>
              </w:rPr>
              <w:t>competencias para</w:t>
            </w:r>
            <w:r>
              <w:rPr>
                <w:b/>
                <w:spacing w:val="-3"/>
                <w:sz w:val="18"/>
              </w:rPr>
              <w:t> </w:t>
            </w:r>
            <w:r>
              <w:rPr>
                <w:b/>
                <w:sz w:val="18"/>
              </w:rPr>
              <w:t>la población en condición de pobreza en proyectos de economía azul. E3 AE6 R2</w:t>
            </w:r>
          </w:p>
        </w:tc>
      </w:tr>
      <w:tr>
        <w:trPr>
          <w:trHeight w:val="1243" w:hRule="atLeast"/>
        </w:trPr>
        <w:tc>
          <w:tcPr>
            <w:tcW w:w="2972" w:type="dxa"/>
          </w:tcPr>
          <w:p>
            <w:pPr>
              <w:pStyle w:val="TableParagraph"/>
              <w:spacing w:before="99"/>
              <w:ind w:left="72" w:right="333"/>
              <w:rPr>
                <w:b/>
                <w:sz w:val="18"/>
              </w:rPr>
            </w:pPr>
            <w:r>
              <w:rPr>
                <w:b/>
                <w:sz w:val="18"/>
              </w:rPr>
              <w:t>Actividad PPPS 1.40.1: </w:t>
            </w:r>
            <w:r>
              <w:rPr>
                <w:sz w:val="18"/>
              </w:rPr>
              <w:t>Definición de mecanismos de articulación</w:t>
            </w:r>
            <w:r>
              <w:rPr>
                <w:spacing w:val="-12"/>
                <w:sz w:val="18"/>
              </w:rPr>
              <w:t> </w:t>
            </w:r>
            <w:r>
              <w:rPr>
                <w:sz w:val="18"/>
              </w:rPr>
              <w:t>para</w:t>
            </w:r>
            <w:r>
              <w:rPr>
                <w:spacing w:val="-12"/>
                <w:sz w:val="18"/>
              </w:rPr>
              <w:t> </w:t>
            </w:r>
            <w:r>
              <w:rPr>
                <w:sz w:val="18"/>
              </w:rPr>
              <w:t>cada</w:t>
            </w:r>
            <w:r>
              <w:rPr>
                <w:spacing w:val="-12"/>
                <w:sz w:val="18"/>
              </w:rPr>
              <w:t> </w:t>
            </w:r>
            <w:r>
              <w:rPr>
                <w:sz w:val="18"/>
              </w:rPr>
              <w:t>instancia identificada </w:t>
            </w:r>
            <w:r>
              <w:rPr>
                <w:b/>
                <w:sz w:val="18"/>
              </w:rPr>
              <w:t>(vinculado a PEI </w:t>
            </w:r>
            <w:r>
              <w:rPr>
                <w:b/>
                <w:spacing w:val="-2"/>
                <w:sz w:val="18"/>
              </w:rPr>
              <w:t>3.6.2).</w:t>
            </w:r>
          </w:p>
        </w:tc>
        <w:tc>
          <w:tcPr>
            <w:tcW w:w="1560" w:type="dxa"/>
          </w:tcPr>
          <w:p>
            <w:pPr>
              <w:pStyle w:val="TableParagraph"/>
              <w:rPr>
                <w:b/>
                <w:sz w:val="18"/>
              </w:rPr>
            </w:pPr>
          </w:p>
          <w:p>
            <w:pPr>
              <w:pStyle w:val="TableParagraph"/>
              <w:spacing w:before="1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103"/>
              <w:rPr>
                <w:b/>
                <w:sz w:val="18"/>
              </w:rPr>
            </w:pPr>
          </w:p>
          <w:p>
            <w:pPr>
              <w:pStyle w:val="TableParagraph"/>
              <w:ind w:left="21" w:right="12"/>
              <w:jc w:val="center"/>
              <w:rPr>
                <w:sz w:val="18"/>
              </w:rPr>
            </w:pPr>
            <w:r>
              <w:rPr>
                <w:spacing w:val="-4"/>
                <w:sz w:val="18"/>
              </w:rPr>
              <w:t>100%</w:t>
            </w:r>
          </w:p>
        </w:tc>
        <w:tc>
          <w:tcPr>
            <w:tcW w:w="1982" w:type="dxa"/>
          </w:tcPr>
          <w:p>
            <w:pPr>
              <w:pStyle w:val="TableParagraph"/>
              <w:spacing w:before="99"/>
              <w:ind w:left="68"/>
              <w:rPr>
                <w:sz w:val="18"/>
              </w:rPr>
            </w:pPr>
            <w:r>
              <w:rPr>
                <w:sz w:val="18"/>
              </w:rPr>
              <w:t>Porcentaje</w:t>
            </w:r>
            <w:r>
              <w:rPr>
                <w:spacing w:val="-7"/>
                <w:sz w:val="18"/>
              </w:rPr>
              <w:t> </w:t>
            </w:r>
            <w:r>
              <w:rPr>
                <w:sz w:val="18"/>
              </w:rPr>
              <w:t>de</w:t>
            </w:r>
            <w:r>
              <w:rPr>
                <w:spacing w:val="-7"/>
                <w:sz w:val="18"/>
              </w:rPr>
              <w:t> </w:t>
            </w:r>
            <w:r>
              <w:rPr>
                <w:sz w:val="18"/>
              </w:rPr>
              <w:t>avance en la definición de mecanismos de articulación</w:t>
            </w:r>
            <w:r>
              <w:rPr>
                <w:spacing w:val="-15"/>
                <w:sz w:val="18"/>
              </w:rPr>
              <w:t> </w:t>
            </w:r>
            <w:r>
              <w:rPr>
                <w:sz w:val="18"/>
              </w:rPr>
              <w:t>para</w:t>
            </w:r>
            <w:r>
              <w:rPr>
                <w:spacing w:val="-12"/>
                <w:sz w:val="18"/>
              </w:rPr>
              <w:t> </w:t>
            </w:r>
            <w:r>
              <w:rPr>
                <w:sz w:val="18"/>
              </w:rPr>
              <w:t>cada instancia identificada.</w:t>
            </w:r>
          </w:p>
        </w:tc>
        <w:tc>
          <w:tcPr>
            <w:tcW w:w="1560" w:type="dxa"/>
          </w:tcPr>
          <w:p>
            <w:pPr>
              <w:pStyle w:val="TableParagraph"/>
              <w:ind w:left="73" w:right="58"/>
              <w:rPr>
                <w:sz w:val="18"/>
              </w:rPr>
            </w:pPr>
            <w:r>
              <w:rPr>
                <w:sz w:val="18"/>
              </w:rPr>
              <w:t>Documento</w:t>
            </w:r>
            <w:r>
              <w:rPr>
                <w:spacing w:val="-13"/>
                <w:sz w:val="18"/>
              </w:rPr>
              <w:t> </w:t>
            </w:r>
            <w:r>
              <w:rPr>
                <w:sz w:val="18"/>
              </w:rPr>
              <w:t>que contiene los mecanismos</w:t>
            </w:r>
            <w:r>
              <w:rPr>
                <w:spacing w:val="-13"/>
                <w:sz w:val="18"/>
              </w:rPr>
              <w:t> </w:t>
            </w:r>
            <w:r>
              <w:rPr>
                <w:sz w:val="18"/>
              </w:rPr>
              <w:t>de </w:t>
            </w:r>
            <w:r>
              <w:rPr>
                <w:spacing w:val="-2"/>
                <w:sz w:val="18"/>
              </w:rPr>
              <w:t>articulación </w:t>
            </w:r>
            <w:r>
              <w:rPr>
                <w:sz w:val="18"/>
              </w:rPr>
              <w:t>definidos</w:t>
            </w:r>
            <w:r>
              <w:rPr>
                <w:spacing w:val="-13"/>
                <w:sz w:val="18"/>
              </w:rPr>
              <w:t> </w:t>
            </w:r>
            <w:r>
              <w:rPr>
                <w:sz w:val="18"/>
              </w:rPr>
              <w:t>según</w:t>
            </w:r>
          </w:p>
          <w:p>
            <w:pPr>
              <w:pStyle w:val="TableParagraph"/>
              <w:spacing w:line="189" w:lineRule="exact"/>
              <w:ind w:left="73"/>
              <w:rPr>
                <w:sz w:val="18"/>
              </w:rPr>
            </w:pPr>
            <w:r>
              <w:rPr>
                <w:spacing w:val="-2"/>
                <w:sz w:val="18"/>
              </w:rPr>
              <w:t>instancias.</w:t>
            </w:r>
          </w:p>
        </w:tc>
        <w:tc>
          <w:tcPr>
            <w:tcW w:w="1416" w:type="dxa"/>
          </w:tcPr>
          <w:p>
            <w:pPr>
              <w:pStyle w:val="TableParagraph"/>
              <w:rPr>
                <w:b/>
                <w:sz w:val="18"/>
              </w:rPr>
            </w:pPr>
          </w:p>
          <w:p>
            <w:pPr>
              <w:pStyle w:val="TableParagraph"/>
              <w:spacing w:before="103"/>
              <w:rPr>
                <w:b/>
                <w:sz w:val="18"/>
              </w:rPr>
            </w:pPr>
          </w:p>
          <w:p>
            <w:pPr>
              <w:pStyle w:val="TableParagraph"/>
              <w:ind w:left="17" w:right="10"/>
              <w:jc w:val="center"/>
              <w:rPr>
                <w:sz w:val="18"/>
              </w:rPr>
            </w:pPr>
            <w:r>
              <w:rPr>
                <w:spacing w:val="-2"/>
                <w:sz w:val="18"/>
              </w:rPr>
              <w:t>DDSPC</w:t>
            </w:r>
          </w:p>
        </w:tc>
        <w:tc>
          <w:tcPr>
            <w:tcW w:w="1649" w:type="dxa"/>
          </w:tcPr>
          <w:p>
            <w:pPr>
              <w:pStyle w:val="TableParagraph"/>
              <w:rPr>
                <w:rFonts w:ascii="Times New Roman"/>
                <w:sz w:val="18"/>
              </w:rPr>
            </w:pPr>
          </w:p>
        </w:tc>
        <w:tc>
          <w:tcPr>
            <w:tcW w:w="1548" w:type="dxa"/>
            <w:vMerge w:val="restart"/>
          </w:tcPr>
          <w:p>
            <w:pPr>
              <w:pStyle w:val="TableParagraph"/>
              <w:spacing w:before="108"/>
              <w:rPr>
                <w:b/>
                <w:sz w:val="18"/>
              </w:rPr>
            </w:pPr>
          </w:p>
          <w:p>
            <w:pPr>
              <w:pStyle w:val="TableParagraph"/>
              <w:numPr>
                <w:ilvl w:val="0"/>
                <w:numId w:val="70"/>
              </w:numPr>
              <w:tabs>
                <w:tab w:pos="133" w:val="left" w:leader="none"/>
              </w:tabs>
              <w:spacing w:line="240" w:lineRule="auto" w:before="0" w:after="0"/>
              <w:ind w:left="72" w:right="119" w:firstLine="0"/>
              <w:jc w:val="left"/>
              <w:rPr>
                <w:sz w:val="18"/>
              </w:rPr>
            </w:pPr>
            <w:r>
              <w:rPr>
                <w:sz w:val="18"/>
              </w:rPr>
              <w:t>Mecanismos</w:t>
            </w:r>
            <w:r>
              <w:rPr>
                <w:spacing w:val="-13"/>
                <w:sz w:val="18"/>
              </w:rPr>
              <w:t> </w:t>
            </w:r>
            <w:r>
              <w:rPr>
                <w:sz w:val="18"/>
              </w:rPr>
              <w:t>de </w:t>
            </w:r>
            <w:r>
              <w:rPr>
                <w:spacing w:val="-2"/>
                <w:sz w:val="18"/>
              </w:rPr>
              <w:t>articulación interinstitucional </w:t>
            </w:r>
            <w:r>
              <w:rPr>
                <w:sz w:val="18"/>
              </w:rPr>
              <w:t>no consideren </w:t>
            </w:r>
            <w:r>
              <w:rPr>
                <w:spacing w:val="-4"/>
                <w:sz w:val="18"/>
              </w:rPr>
              <w:t>las </w:t>
            </w:r>
            <w:r>
              <w:rPr>
                <w:spacing w:val="-2"/>
                <w:sz w:val="18"/>
              </w:rPr>
              <w:t>particularidades </w:t>
            </w:r>
            <w:r>
              <w:rPr>
                <w:sz w:val="18"/>
              </w:rPr>
              <w:t>de las instituciones</w:t>
            </w:r>
            <w:r>
              <w:rPr>
                <w:spacing w:val="-13"/>
                <w:sz w:val="18"/>
              </w:rPr>
              <w:t> </w:t>
            </w:r>
            <w:r>
              <w:rPr>
                <w:sz w:val="18"/>
              </w:rPr>
              <w:t>que atienden la </w:t>
            </w:r>
            <w:r>
              <w:rPr>
                <w:spacing w:val="-2"/>
                <w:sz w:val="18"/>
              </w:rPr>
              <w:t>población </w:t>
            </w:r>
            <w:r>
              <w:rPr>
                <w:sz w:val="18"/>
              </w:rPr>
              <w:t>relacionada a economía azul.</w:t>
            </w:r>
          </w:p>
        </w:tc>
      </w:tr>
      <w:tr>
        <w:trPr>
          <w:trHeight w:val="1862" w:hRule="atLeast"/>
        </w:trPr>
        <w:tc>
          <w:tcPr>
            <w:tcW w:w="2972" w:type="dxa"/>
          </w:tcPr>
          <w:p>
            <w:pPr>
              <w:pStyle w:val="TableParagraph"/>
              <w:spacing w:before="99"/>
              <w:rPr>
                <w:b/>
                <w:sz w:val="18"/>
              </w:rPr>
            </w:pPr>
          </w:p>
          <w:p>
            <w:pPr>
              <w:pStyle w:val="TableParagraph"/>
              <w:spacing w:line="207"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1.40.2:</w:t>
            </w:r>
          </w:p>
          <w:p>
            <w:pPr>
              <w:pStyle w:val="TableParagraph"/>
              <w:ind w:left="72"/>
              <w:rPr>
                <w:b/>
                <w:sz w:val="18"/>
              </w:rPr>
            </w:pPr>
            <w:r>
              <w:rPr>
                <w:sz w:val="18"/>
              </w:rPr>
              <w:t>Personas</w:t>
            </w:r>
            <w:r>
              <w:rPr>
                <w:spacing w:val="-8"/>
                <w:sz w:val="18"/>
              </w:rPr>
              <w:t> </w:t>
            </w:r>
            <w:r>
              <w:rPr>
                <w:sz w:val="18"/>
              </w:rPr>
              <w:t>en</w:t>
            </w:r>
            <w:r>
              <w:rPr>
                <w:spacing w:val="-12"/>
                <w:sz w:val="18"/>
              </w:rPr>
              <w:t> </w:t>
            </w:r>
            <w:r>
              <w:rPr>
                <w:sz w:val="18"/>
              </w:rPr>
              <w:t>condición</w:t>
            </w:r>
            <w:r>
              <w:rPr>
                <w:spacing w:val="-9"/>
                <w:sz w:val="18"/>
              </w:rPr>
              <w:t> </w:t>
            </w:r>
            <w:r>
              <w:rPr>
                <w:sz w:val="18"/>
              </w:rPr>
              <w:t>de</w:t>
            </w:r>
            <w:r>
              <w:rPr>
                <w:spacing w:val="-9"/>
                <w:sz w:val="18"/>
              </w:rPr>
              <w:t> </w:t>
            </w:r>
            <w:r>
              <w:rPr>
                <w:sz w:val="18"/>
              </w:rPr>
              <w:t>pobreza con proyectos de economía azul financiados que cuentan con seguimiento interinstitucional </w:t>
            </w:r>
            <w:r>
              <w:rPr>
                <w:b/>
                <w:sz w:val="18"/>
              </w:rPr>
              <w:t>(vinculado a PEI 3.6.2).</w:t>
            </w:r>
          </w:p>
        </w:tc>
        <w:tc>
          <w:tcPr>
            <w:tcW w:w="1560" w:type="dxa"/>
          </w:tcPr>
          <w:p>
            <w:pPr>
              <w:pStyle w:val="TableParagraph"/>
              <w:rPr>
                <w:b/>
                <w:sz w:val="18"/>
              </w:rPr>
            </w:pPr>
          </w:p>
          <w:p>
            <w:pPr>
              <w:pStyle w:val="TableParagraph"/>
              <w:rPr>
                <w:b/>
                <w:sz w:val="18"/>
              </w:rPr>
            </w:pPr>
          </w:p>
          <w:p>
            <w:pPr>
              <w:pStyle w:val="TableParagraph"/>
              <w:spacing w:before="2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203"/>
              <w:rPr>
                <w:b/>
                <w:sz w:val="18"/>
              </w:rPr>
            </w:pPr>
          </w:p>
          <w:p>
            <w:pPr>
              <w:pStyle w:val="TableParagraph"/>
              <w:ind w:left="21" w:right="16"/>
              <w:jc w:val="center"/>
              <w:rPr>
                <w:sz w:val="18"/>
              </w:rPr>
            </w:pPr>
            <w:r>
              <w:rPr>
                <w:spacing w:val="-5"/>
                <w:sz w:val="18"/>
              </w:rPr>
              <w:t>60%</w:t>
            </w:r>
          </w:p>
        </w:tc>
        <w:tc>
          <w:tcPr>
            <w:tcW w:w="1982" w:type="dxa"/>
          </w:tcPr>
          <w:p>
            <w:pPr>
              <w:pStyle w:val="TableParagraph"/>
              <w:ind w:left="68" w:right="96"/>
              <w:rPr>
                <w:sz w:val="18"/>
              </w:rPr>
            </w:pPr>
            <w:r>
              <w:rPr>
                <w:sz w:val="18"/>
              </w:rPr>
              <w:t>Porcentaje de personas</w:t>
            </w:r>
            <w:r>
              <w:rPr>
                <w:spacing w:val="-15"/>
                <w:sz w:val="18"/>
              </w:rPr>
              <w:t> </w:t>
            </w:r>
            <w:r>
              <w:rPr>
                <w:sz w:val="18"/>
              </w:rPr>
              <w:t>en</w:t>
            </w:r>
            <w:r>
              <w:rPr>
                <w:spacing w:val="-12"/>
                <w:sz w:val="18"/>
              </w:rPr>
              <w:t> </w:t>
            </w:r>
            <w:r>
              <w:rPr>
                <w:sz w:val="18"/>
              </w:rPr>
              <w:t>condición de pobreza con proyectos de economía azul financiados que cuentan con</w:t>
            </w:r>
          </w:p>
          <w:p>
            <w:pPr>
              <w:pStyle w:val="TableParagraph"/>
              <w:spacing w:line="206" w:lineRule="exact"/>
              <w:ind w:left="68"/>
              <w:rPr>
                <w:sz w:val="18"/>
              </w:rPr>
            </w:pPr>
            <w:r>
              <w:rPr>
                <w:spacing w:val="-2"/>
                <w:sz w:val="18"/>
              </w:rPr>
              <w:t>seguimiento interinstitucional</w:t>
            </w:r>
          </w:p>
        </w:tc>
        <w:tc>
          <w:tcPr>
            <w:tcW w:w="1560" w:type="dxa"/>
          </w:tcPr>
          <w:p>
            <w:pPr>
              <w:pStyle w:val="TableParagraph"/>
              <w:spacing w:before="204"/>
              <w:rPr>
                <w:b/>
                <w:sz w:val="18"/>
              </w:rPr>
            </w:pPr>
          </w:p>
          <w:p>
            <w:pPr>
              <w:pStyle w:val="TableParagraph"/>
              <w:ind w:left="73" w:right="469"/>
              <w:rPr>
                <w:sz w:val="18"/>
              </w:rPr>
            </w:pPr>
            <w:r>
              <w:rPr>
                <w:sz w:val="18"/>
              </w:rPr>
              <w:t>Reportes</w:t>
            </w:r>
            <w:r>
              <w:rPr>
                <w:spacing w:val="-13"/>
                <w:sz w:val="18"/>
              </w:rPr>
              <w:t> </w:t>
            </w:r>
            <w:r>
              <w:rPr>
                <w:sz w:val="18"/>
              </w:rPr>
              <w:t>de </w:t>
            </w:r>
            <w:r>
              <w:rPr>
                <w:spacing w:val="-2"/>
                <w:sz w:val="18"/>
              </w:rPr>
              <w:t>seguimiento </w:t>
            </w:r>
            <w:r>
              <w:rPr>
                <w:sz w:val="18"/>
              </w:rPr>
              <w:t>DDSPC O FIDEIMAS</w:t>
            </w:r>
            <w:r>
              <w:rPr>
                <w:spacing w:val="-13"/>
                <w:sz w:val="18"/>
              </w:rPr>
              <w:t> </w:t>
            </w:r>
            <w:r>
              <w:rPr>
                <w:sz w:val="18"/>
              </w:rPr>
              <w:t>o </w:t>
            </w:r>
            <w:r>
              <w:rPr>
                <w:spacing w:val="-4"/>
                <w:sz w:val="18"/>
              </w:rPr>
              <w:t>ARDS</w:t>
            </w:r>
          </w:p>
        </w:tc>
        <w:tc>
          <w:tcPr>
            <w:tcW w:w="1416" w:type="dxa"/>
          </w:tcPr>
          <w:p>
            <w:pPr>
              <w:pStyle w:val="TableParagraph"/>
              <w:rPr>
                <w:b/>
                <w:sz w:val="18"/>
              </w:rPr>
            </w:pPr>
          </w:p>
          <w:p>
            <w:pPr>
              <w:pStyle w:val="TableParagraph"/>
              <w:rPr>
                <w:b/>
                <w:sz w:val="18"/>
              </w:rPr>
            </w:pPr>
          </w:p>
          <w:p>
            <w:pPr>
              <w:pStyle w:val="TableParagraph"/>
              <w:spacing w:before="203"/>
              <w:rPr>
                <w:b/>
                <w:sz w:val="18"/>
              </w:rPr>
            </w:pPr>
          </w:p>
          <w:p>
            <w:pPr>
              <w:pStyle w:val="TableParagraph"/>
              <w:ind w:left="17" w:right="10"/>
              <w:jc w:val="center"/>
              <w:rPr>
                <w:sz w:val="18"/>
              </w:rPr>
            </w:pPr>
            <w:r>
              <w:rPr>
                <w:spacing w:val="-2"/>
                <w:sz w:val="18"/>
              </w:rPr>
              <w:t>DDSPC</w:t>
            </w:r>
          </w:p>
        </w:tc>
        <w:tc>
          <w:tcPr>
            <w:tcW w:w="1649" w:type="dxa"/>
          </w:tcPr>
          <w:p>
            <w:pPr>
              <w:pStyle w:val="TableParagraph"/>
              <w:rPr>
                <w:rFonts w:ascii="Times New Roman"/>
                <w:sz w:val="18"/>
              </w:rPr>
            </w:pPr>
          </w:p>
        </w:tc>
        <w:tc>
          <w:tcPr>
            <w:tcW w:w="1548" w:type="dxa"/>
            <w:vMerge/>
            <w:tcBorders>
              <w:top w:val="nil"/>
            </w:tcBorders>
          </w:tcPr>
          <w:p>
            <w:pPr>
              <w:rPr>
                <w:sz w:val="2"/>
                <w:szCs w:val="2"/>
              </w:rPr>
            </w:pPr>
          </w:p>
        </w:tc>
      </w:tr>
      <w:tr>
        <w:trPr>
          <w:trHeight w:val="465" w:hRule="atLeast"/>
        </w:trPr>
        <w:tc>
          <w:tcPr>
            <w:tcW w:w="14247" w:type="dxa"/>
            <w:gridSpan w:val="8"/>
            <w:shd w:val="clear" w:color="auto" w:fill="EFF8F9"/>
          </w:tcPr>
          <w:p>
            <w:pPr>
              <w:pStyle w:val="TableParagraph"/>
              <w:spacing w:before="23"/>
              <w:ind w:left="72" w:right="161"/>
              <w:rPr>
                <w:b/>
                <w:sz w:val="18"/>
              </w:rPr>
            </w:pPr>
            <w:r>
              <w:rPr>
                <w:b/>
                <w:sz w:val="18"/>
              </w:rPr>
              <w:t>Producto</w:t>
            </w:r>
            <w:r>
              <w:rPr>
                <w:b/>
                <w:spacing w:val="-4"/>
                <w:sz w:val="18"/>
              </w:rPr>
              <w:t> </w:t>
            </w:r>
            <w:r>
              <w:rPr>
                <w:b/>
                <w:sz w:val="18"/>
              </w:rPr>
              <w:t>PPPS</w:t>
            </w:r>
            <w:r>
              <w:rPr>
                <w:b/>
                <w:spacing w:val="-4"/>
                <w:sz w:val="18"/>
              </w:rPr>
              <w:t> </w:t>
            </w:r>
            <w:r>
              <w:rPr>
                <w:b/>
                <w:sz w:val="18"/>
              </w:rPr>
              <w:t>1.41:</w:t>
            </w:r>
            <w:r>
              <w:rPr>
                <w:b/>
                <w:spacing w:val="-1"/>
                <w:sz w:val="18"/>
              </w:rPr>
              <w:t> </w:t>
            </w:r>
            <w:r>
              <w:rPr>
                <w:b/>
                <w:sz w:val="18"/>
              </w:rPr>
              <w:t>Identificación</w:t>
            </w:r>
            <w:r>
              <w:rPr>
                <w:b/>
                <w:spacing w:val="-4"/>
                <w:sz w:val="18"/>
              </w:rPr>
              <w:t> </w:t>
            </w:r>
            <w:r>
              <w:rPr>
                <w:b/>
                <w:sz w:val="18"/>
              </w:rPr>
              <w:t>de</w:t>
            </w:r>
            <w:r>
              <w:rPr>
                <w:b/>
                <w:spacing w:val="-3"/>
                <w:sz w:val="18"/>
              </w:rPr>
              <w:t> </w:t>
            </w:r>
            <w:r>
              <w:rPr>
                <w:b/>
                <w:sz w:val="18"/>
              </w:rPr>
              <w:t>necesidades</w:t>
            </w:r>
            <w:r>
              <w:rPr>
                <w:b/>
                <w:spacing w:val="-3"/>
                <w:sz w:val="18"/>
              </w:rPr>
              <w:t> </w:t>
            </w:r>
            <w:r>
              <w:rPr>
                <w:b/>
                <w:sz w:val="18"/>
              </w:rPr>
              <w:t>de</w:t>
            </w:r>
            <w:r>
              <w:rPr>
                <w:b/>
                <w:spacing w:val="-3"/>
                <w:sz w:val="18"/>
              </w:rPr>
              <w:t> </w:t>
            </w:r>
            <w:r>
              <w:rPr>
                <w:b/>
                <w:sz w:val="18"/>
              </w:rPr>
              <w:t>infraestructura</w:t>
            </w:r>
            <w:r>
              <w:rPr>
                <w:b/>
                <w:spacing w:val="-3"/>
                <w:sz w:val="18"/>
              </w:rPr>
              <w:t> </w:t>
            </w:r>
            <w:r>
              <w:rPr>
                <w:b/>
                <w:sz w:val="18"/>
              </w:rPr>
              <w:t>de</w:t>
            </w:r>
            <w:r>
              <w:rPr>
                <w:b/>
                <w:spacing w:val="-3"/>
                <w:sz w:val="18"/>
              </w:rPr>
              <w:t> </w:t>
            </w:r>
            <w:r>
              <w:rPr>
                <w:b/>
                <w:sz w:val="18"/>
              </w:rPr>
              <w:t>los</w:t>
            </w:r>
            <w:r>
              <w:rPr>
                <w:b/>
                <w:spacing w:val="-8"/>
                <w:sz w:val="18"/>
              </w:rPr>
              <w:t> </w:t>
            </w:r>
            <w:r>
              <w:rPr>
                <w:b/>
                <w:sz w:val="18"/>
              </w:rPr>
              <w:t>territorios</w:t>
            </w:r>
            <w:r>
              <w:rPr>
                <w:b/>
                <w:spacing w:val="-3"/>
                <w:sz w:val="18"/>
              </w:rPr>
              <w:t> </w:t>
            </w:r>
            <w:r>
              <w:rPr>
                <w:b/>
                <w:sz w:val="18"/>
              </w:rPr>
              <w:t>indígenas</w:t>
            </w:r>
            <w:r>
              <w:rPr>
                <w:b/>
                <w:spacing w:val="-3"/>
                <w:sz w:val="18"/>
              </w:rPr>
              <w:t> </w:t>
            </w:r>
            <w:r>
              <w:rPr>
                <w:b/>
                <w:sz w:val="18"/>
              </w:rPr>
              <w:t>diseñada y</w:t>
            </w:r>
            <w:r>
              <w:rPr>
                <w:b/>
                <w:spacing w:val="-3"/>
                <w:sz w:val="18"/>
              </w:rPr>
              <w:t> </w:t>
            </w:r>
            <w:r>
              <w:rPr>
                <w:b/>
                <w:sz w:val="18"/>
              </w:rPr>
              <w:t>articulada, sobre</w:t>
            </w:r>
            <w:r>
              <w:rPr>
                <w:b/>
                <w:spacing w:val="-3"/>
                <w:sz w:val="18"/>
              </w:rPr>
              <w:t> </w:t>
            </w:r>
            <w:r>
              <w:rPr>
                <w:b/>
                <w:sz w:val="18"/>
              </w:rPr>
              <w:t>la</w:t>
            </w:r>
            <w:r>
              <w:rPr>
                <w:b/>
                <w:spacing w:val="-3"/>
                <w:sz w:val="18"/>
              </w:rPr>
              <w:t> </w:t>
            </w:r>
            <w:r>
              <w:rPr>
                <w:b/>
                <w:sz w:val="18"/>
              </w:rPr>
              <w:t>base de</w:t>
            </w:r>
            <w:r>
              <w:rPr>
                <w:b/>
                <w:spacing w:val="-8"/>
                <w:sz w:val="18"/>
              </w:rPr>
              <w:t> </w:t>
            </w:r>
            <w:r>
              <w:rPr>
                <w:b/>
                <w:sz w:val="18"/>
              </w:rPr>
              <w:t>los procesos de consulta de las poblaciones indígenas para la promoción del desarrollo de sus territorios. E3 AE7 R1</w:t>
            </w:r>
          </w:p>
        </w:tc>
      </w:tr>
      <w:tr>
        <w:trPr>
          <w:trHeight w:val="2068" w:hRule="atLeast"/>
        </w:trPr>
        <w:tc>
          <w:tcPr>
            <w:tcW w:w="2972" w:type="dxa"/>
          </w:tcPr>
          <w:p>
            <w:pPr>
              <w:pStyle w:val="TableParagraph"/>
              <w:rPr>
                <w:b/>
                <w:sz w:val="18"/>
              </w:rPr>
            </w:pPr>
          </w:p>
          <w:p>
            <w:pPr>
              <w:pStyle w:val="TableParagraph"/>
              <w:spacing w:before="204"/>
              <w:rPr>
                <w:b/>
                <w:sz w:val="18"/>
              </w:rPr>
            </w:pPr>
          </w:p>
          <w:p>
            <w:pPr>
              <w:pStyle w:val="TableParagraph"/>
              <w:spacing w:line="242" w:lineRule="auto"/>
              <w:ind w:left="72"/>
              <w:rPr>
                <w:b/>
                <w:sz w:val="18"/>
              </w:rPr>
            </w:pPr>
            <w:r>
              <w:rPr>
                <w:b/>
                <w:sz w:val="18"/>
              </w:rPr>
              <w:t>Actividad PPPS 1.41.1: </w:t>
            </w:r>
            <w:r>
              <w:rPr>
                <w:sz w:val="18"/>
              </w:rPr>
              <w:t>Identificación de necesidades de infraestructura de los territorios indígenas</w:t>
            </w:r>
            <w:r>
              <w:rPr>
                <w:spacing w:val="-7"/>
                <w:sz w:val="18"/>
              </w:rPr>
              <w:t> </w:t>
            </w:r>
            <w:r>
              <w:rPr>
                <w:b/>
                <w:sz w:val="18"/>
              </w:rPr>
              <w:t>(vinculado</w:t>
            </w:r>
            <w:r>
              <w:rPr>
                <w:b/>
                <w:spacing w:val="-12"/>
                <w:sz w:val="18"/>
              </w:rPr>
              <w:t> </w:t>
            </w:r>
            <w:r>
              <w:rPr>
                <w:b/>
                <w:sz w:val="18"/>
              </w:rPr>
              <w:t>a</w:t>
            </w:r>
            <w:r>
              <w:rPr>
                <w:b/>
                <w:spacing w:val="-11"/>
                <w:sz w:val="18"/>
              </w:rPr>
              <w:t> </w:t>
            </w:r>
            <w:r>
              <w:rPr>
                <w:b/>
                <w:sz w:val="18"/>
              </w:rPr>
              <w:t>PEI</w:t>
            </w:r>
            <w:r>
              <w:rPr>
                <w:b/>
                <w:spacing w:val="-10"/>
                <w:sz w:val="18"/>
              </w:rPr>
              <w:t> </w:t>
            </w:r>
            <w:r>
              <w:rPr>
                <w:b/>
                <w:sz w:val="18"/>
              </w:rPr>
              <w:t>3.7.1).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16"/>
              <w:jc w:val="center"/>
              <w:rPr>
                <w:sz w:val="18"/>
              </w:rPr>
            </w:pPr>
            <w:r>
              <w:rPr>
                <w:spacing w:val="-5"/>
                <w:sz w:val="18"/>
              </w:rPr>
              <w:t>60%</w:t>
            </w:r>
          </w:p>
        </w:tc>
        <w:tc>
          <w:tcPr>
            <w:tcW w:w="1982" w:type="dxa"/>
          </w:tcPr>
          <w:p>
            <w:pPr>
              <w:pStyle w:val="TableParagraph"/>
              <w:rPr>
                <w:b/>
                <w:sz w:val="18"/>
              </w:rPr>
            </w:pPr>
          </w:p>
          <w:p>
            <w:pPr>
              <w:pStyle w:val="TableParagraph"/>
              <w:spacing w:before="103"/>
              <w:rPr>
                <w:b/>
                <w:sz w:val="18"/>
              </w:rPr>
            </w:pPr>
          </w:p>
          <w:p>
            <w:pPr>
              <w:pStyle w:val="TableParagraph"/>
              <w:ind w:left="68" w:right="114"/>
              <w:rPr>
                <w:sz w:val="18"/>
              </w:rPr>
            </w:pPr>
            <w:r>
              <w:rPr>
                <w:sz w:val="18"/>
              </w:rPr>
              <w:t>Porcentaje de territorios</w:t>
            </w:r>
            <w:r>
              <w:rPr>
                <w:spacing w:val="-12"/>
                <w:sz w:val="18"/>
              </w:rPr>
              <w:t> </w:t>
            </w:r>
            <w:r>
              <w:rPr>
                <w:sz w:val="18"/>
              </w:rPr>
              <w:t>indígenas con</w:t>
            </w:r>
            <w:r>
              <w:rPr>
                <w:spacing w:val="-15"/>
                <w:sz w:val="18"/>
              </w:rPr>
              <w:t> </w:t>
            </w:r>
            <w:r>
              <w:rPr>
                <w:sz w:val="18"/>
              </w:rPr>
              <w:t>necesidades</w:t>
            </w:r>
            <w:r>
              <w:rPr>
                <w:spacing w:val="-12"/>
                <w:sz w:val="18"/>
              </w:rPr>
              <w:t> </w:t>
            </w:r>
            <w:r>
              <w:rPr>
                <w:sz w:val="18"/>
              </w:rPr>
              <w:t>de </w:t>
            </w:r>
            <w:r>
              <w:rPr>
                <w:spacing w:val="-2"/>
                <w:sz w:val="18"/>
              </w:rPr>
              <w:t>infraestructura identificadas</w:t>
            </w:r>
          </w:p>
        </w:tc>
        <w:tc>
          <w:tcPr>
            <w:tcW w:w="1560" w:type="dxa"/>
          </w:tcPr>
          <w:p>
            <w:pPr>
              <w:pStyle w:val="TableParagraph"/>
              <w:spacing w:before="204"/>
              <w:rPr>
                <w:b/>
                <w:sz w:val="18"/>
              </w:rPr>
            </w:pPr>
          </w:p>
          <w:p>
            <w:pPr>
              <w:pStyle w:val="TableParagraph"/>
              <w:ind w:left="73" w:right="58"/>
              <w:rPr>
                <w:sz w:val="18"/>
              </w:rPr>
            </w:pPr>
            <w:r>
              <w:rPr>
                <w:sz w:val="18"/>
              </w:rPr>
              <w:t>Documentos de identificación de necesidades de infraestructura</w:t>
            </w:r>
            <w:r>
              <w:rPr>
                <w:spacing w:val="-13"/>
                <w:sz w:val="18"/>
              </w:rPr>
              <w:t> </w:t>
            </w:r>
            <w:r>
              <w:rPr>
                <w:sz w:val="18"/>
              </w:rPr>
              <w:t>de cada territorio </w:t>
            </w:r>
            <w:r>
              <w:rPr>
                <w:spacing w:val="-2"/>
                <w:sz w:val="18"/>
              </w:rPr>
              <w:t>indígena</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7" w:right="10"/>
              <w:jc w:val="center"/>
              <w:rPr>
                <w:sz w:val="18"/>
              </w:rPr>
            </w:pPr>
            <w:r>
              <w:rPr>
                <w:spacing w:val="-2"/>
                <w:sz w:val="18"/>
              </w:rPr>
              <w:t>DDSPC</w:t>
            </w:r>
          </w:p>
        </w:tc>
        <w:tc>
          <w:tcPr>
            <w:tcW w:w="1649" w:type="dxa"/>
          </w:tcPr>
          <w:p>
            <w:pPr>
              <w:pStyle w:val="TableParagraph"/>
              <w:rPr>
                <w:rFonts w:ascii="Times New Roman"/>
                <w:sz w:val="18"/>
              </w:rPr>
            </w:pPr>
          </w:p>
        </w:tc>
        <w:tc>
          <w:tcPr>
            <w:tcW w:w="1548" w:type="dxa"/>
          </w:tcPr>
          <w:p>
            <w:pPr>
              <w:pStyle w:val="TableParagraph"/>
              <w:numPr>
                <w:ilvl w:val="0"/>
                <w:numId w:val="71"/>
              </w:numPr>
              <w:tabs>
                <w:tab w:pos="133" w:val="left" w:leader="none"/>
              </w:tabs>
              <w:spacing w:line="240" w:lineRule="auto" w:before="0" w:after="0"/>
              <w:ind w:left="72" w:right="57" w:firstLine="0"/>
              <w:jc w:val="left"/>
              <w:rPr>
                <w:sz w:val="18"/>
              </w:rPr>
            </w:pPr>
            <w:r>
              <w:rPr>
                <w:spacing w:val="-2"/>
                <w:sz w:val="18"/>
              </w:rPr>
              <w:t>Incumplimiento </w:t>
            </w:r>
            <w:r>
              <w:rPr>
                <w:sz w:val="18"/>
              </w:rPr>
              <w:t>y/o atrasos de</w:t>
            </w:r>
            <w:r>
              <w:rPr>
                <w:spacing w:val="40"/>
                <w:sz w:val="18"/>
              </w:rPr>
              <w:t> </w:t>
            </w:r>
            <w:r>
              <w:rPr>
                <w:sz w:val="18"/>
              </w:rPr>
              <w:t>los plazos </w:t>
            </w:r>
            <w:r>
              <w:rPr>
                <w:spacing w:val="-2"/>
                <w:sz w:val="18"/>
              </w:rPr>
              <w:t>establecidos</w:t>
            </w:r>
            <w:r>
              <w:rPr>
                <w:spacing w:val="80"/>
                <w:sz w:val="18"/>
              </w:rPr>
              <w:t> </w:t>
            </w:r>
            <w:r>
              <w:rPr>
                <w:sz w:val="18"/>
              </w:rPr>
              <w:t>para la identificación de necesidades de infraestructura</w:t>
            </w:r>
            <w:r>
              <w:rPr>
                <w:spacing w:val="-13"/>
                <w:sz w:val="18"/>
              </w:rPr>
              <w:t> </w:t>
            </w:r>
            <w:r>
              <w:rPr>
                <w:sz w:val="18"/>
              </w:rPr>
              <w:t>de los territorios</w:t>
            </w:r>
          </w:p>
          <w:p>
            <w:pPr>
              <w:pStyle w:val="TableParagraph"/>
              <w:spacing w:line="187" w:lineRule="exact"/>
              <w:ind w:left="72"/>
              <w:rPr>
                <w:sz w:val="18"/>
              </w:rPr>
            </w:pPr>
            <w:r>
              <w:rPr>
                <w:spacing w:val="-2"/>
                <w:sz w:val="18"/>
              </w:rPr>
              <w:t>indígenas.</w:t>
            </w:r>
          </w:p>
        </w:tc>
      </w:tr>
      <w:tr>
        <w:trPr>
          <w:trHeight w:val="465" w:hRule="atLeast"/>
        </w:trPr>
        <w:tc>
          <w:tcPr>
            <w:tcW w:w="14247" w:type="dxa"/>
            <w:gridSpan w:val="8"/>
            <w:shd w:val="clear" w:color="auto" w:fill="EFF8F9"/>
          </w:tcPr>
          <w:p>
            <w:pPr>
              <w:pStyle w:val="TableParagraph"/>
              <w:spacing w:line="210" w:lineRule="atLeast" w:before="20"/>
              <w:ind w:left="72" w:right="98"/>
              <w:rPr>
                <w:b/>
                <w:sz w:val="18"/>
              </w:rPr>
            </w:pPr>
            <w:r>
              <w:rPr>
                <w:b/>
                <w:sz w:val="18"/>
              </w:rPr>
              <w:t>Producto</w:t>
            </w:r>
            <w:r>
              <w:rPr>
                <w:b/>
                <w:spacing w:val="-4"/>
                <w:sz w:val="18"/>
              </w:rPr>
              <w:t> </w:t>
            </w:r>
            <w:r>
              <w:rPr>
                <w:b/>
                <w:sz w:val="18"/>
              </w:rPr>
              <w:t>PPPS</w:t>
            </w:r>
            <w:r>
              <w:rPr>
                <w:b/>
                <w:spacing w:val="-4"/>
                <w:sz w:val="18"/>
              </w:rPr>
              <w:t> </w:t>
            </w:r>
            <w:r>
              <w:rPr>
                <w:b/>
                <w:sz w:val="18"/>
              </w:rPr>
              <w:t>1.42:</w:t>
            </w:r>
            <w:r>
              <w:rPr>
                <w:b/>
                <w:spacing w:val="-1"/>
                <w:sz w:val="18"/>
              </w:rPr>
              <w:t> </w:t>
            </w:r>
            <w:r>
              <w:rPr>
                <w:b/>
                <w:sz w:val="18"/>
              </w:rPr>
              <w:t>Estrategia</w:t>
            </w:r>
            <w:r>
              <w:rPr>
                <w:b/>
                <w:spacing w:val="-3"/>
                <w:sz w:val="18"/>
              </w:rPr>
              <w:t> </w:t>
            </w:r>
            <w:r>
              <w:rPr>
                <w:b/>
                <w:sz w:val="18"/>
              </w:rPr>
              <w:t>para</w:t>
            </w:r>
            <w:r>
              <w:rPr>
                <w:b/>
                <w:spacing w:val="-3"/>
                <w:sz w:val="18"/>
              </w:rPr>
              <w:t> </w:t>
            </w:r>
            <w:r>
              <w:rPr>
                <w:b/>
                <w:sz w:val="18"/>
              </w:rPr>
              <w:t>el</w:t>
            </w:r>
            <w:r>
              <w:rPr>
                <w:b/>
                <w:spacing w:val="-1"/>
                <w:sz w:val="18"/>
              </w:rPr>
              <w:t> </w:t>
            </w:r>
            <w:r>
              <w:rPr>
                <w:b/>
                <w:sz w:val="18"/>
              </w:rPr>
              <w:t>desarrollo</w:t>
            </w:r>
            <w:r>
              <w:rPr>
                <w:b/>
                <w:spacing w:val="-4"/>
                <w:sz w:val="18"/>
              </w:rPr>
              <w:t> </w:t>
            </w:r>
            <w:r>
              <w:rPr>
                <w:b/>
                <w:sz w:val="18"/>
              </w:rPr>
              <w:t>de</w:t>
            </w:r>
            <w:r>
              <w:rPr>
                <w:b/>
                <w:spacing w:val="-3"/>
                <w:sz w:val="18"/>
              </w:rPr>
              <w:t> </w:t>
            </w:r>
            <w:r>
              <w:rPr>
                <w:b/>
                <w:sz w:val="18"/>
              </w:rPr>
              <w:t>competencias de</w:t>
            </w:r>
            <w:r>
              <w:rPr>
                <w:b/>
                <w:spacing w:val="-3"/>
                <w:sz w:val="18"/>
              </w:rPr>
              <w:t> </w:t>
            </w:r>
            <w:r>
              <w:rPr>
                <w:b/>
                <w:sz w:val="18"/>
              </w:rPr>
              <w:t>la</w:t>
            </w:r>
            <w:r>
              <w:rPr>
                <w:b/>
                <w:spacing w:val="-3"/>
                <w:sz w:val="18"/>
              </w:rPr>
              <w:t> </w:t>
            </w:r>
            <w:r>
              <w:rPr>
                <w:b/>
                <w:sz w:val="18"/>
              </w:rPr>
              <w:t>población</w:t>
            </w:r>
            <w:r>
              <w:rPr>
                <w:b/>
                <w:spacing w:val="-8"/>
                <w:sz w:val="18"/>
              </w:rPr>
              <w:t> </w:t>
            </w:r>
            <w:r>
              <w:rPr>
                <w:b/>
                <w:sz w:val="18"/>
              </w:rPr>
              <w:t>indígena diseñada</w:t>
            </w:r>
            <w:r>
              <w:rPr>
                <w:b/>
                <w:spacing w:val="-3"/>
                <w:sz w:val="18"/>
              </w:rPr>
              <w:t> </w:t>
            </w:r>
            <w:r>
              <w:rPr>
                <w:b/>
                <w:sz w:val="18"/>
              </w:rPr>
              <w:t>e</w:t>
            </w:r>
            <w:r>
              <w:rPr>
                <w:b/>
                <w:spacing w:val="-3"/>
                <w:sz w:val="18"/>
              </w:rPr>
              <w:t> </w:t>
            </w:r>
            <w:r>
              <w:rPr>
                <w:b/>
                <w:sz w:val="18"/>
              </w:rPr>
              <w:t>implementada</w:t>
            </w:r>
            <w:r>
              <w:rPr>
                <w:b/>
                <w:spacing w:val="-3"/>
                <w:sz w:val="18"/>
              </w:rPr>
              <w:t> </w:t>
            </w:r>
            <w:r>
              <w:rPr>
                <w:b/>
                <w:sz w:val="18"/>
              </w:rPr>
              <w:t>para</w:t>
            </w:r>
            <w:r>
              <w:rPr>
                <w:b/>
                <w:spacing w:val="-3"/>
                <w:sz w:val="18"/>
              </w:rPr>
              <w:t> </w:t>
            </w:r>
            <w:r>
              <w:rPr>
                <w:b/>
                <w:sz w:val="18"/>
              </w:rPr>
              <w:t>autogestionar</w:t>
            </w:r>
            <w:r>
              <w:rPr>
                <w:b/>
                <w:spacing w:val="-2"/>
                <w:sz w:val="18"/>
              </w:rPr>
              <w:t> </w:t>
            </w:r>
            <w:r>
              <w:rPr>
                <w:b/>
                <w:sz w:val="18"/>
              </w:rPr>
              <w:t>las necesidades</w:t>
            </w:r>
            <w:r>
              <w:rPr>
                <w:b/>
                <w:spacing w:val="-3"/>
                <w:sz w:val="18"/>
              </w:rPr>
              <w:t> </w:t>
            </w:r>
            <w:r>
              <w:rPr>
                <w:b/>
                <w:sz w:val="18"/>
              </w:rPr>
              <w:t>de infraestructura identificadas. E3 AE7 R2</w:t>
            </w:r>
          </w:p>
        </w:tc>
      </w:tr>
      <w:tr>
        <w:trPr>
          <w:trHeight w:val="1656" w:hRule="atLeast"/>
        </w:trPr>
        <w:tc>
          <w:tcPr>
            <w:tcW w:w="2972" w:type="dxa"/>
          </w:tcPr>
          <w:p>
            <w:pPr>
              <w:pStyle w:val="TableParagraph"/>
              <w:spacing w:line="207" w:lineRule="exact" w:before="205"/>
              <w:ind w:left="72"/>
              <w:rPr>
                <w:b/>
                <w:sz w:val="18"/>
              </w:rPr>
            </w:pPr>
            <w:r>
              <w:rPr>
                <w:b/>
                <w:sz w:val="18"/>
              </w:rPr>
              <w:t>Actividad</w:t>
            </w:r>
            <w:r>
              <w:rPr>
                <w:b/>
                <w:spacing w:val="-6"/>
                <w:sz w:val="18"/>
              </w:rPr>
              <w:t> </w:t>
            </w:r>
            <w:r>
              <w:rPr>
                <w:b/>
                <w:sz w:val="18"/>
              </w:rPr>
              <w:t>PPPS</w:t>
            </w:r>
            <w:r>
              <w:rPr>
                <w:b/>
                <w:spacing w:val="-6"/>
                <w:sz w:val="18"/>
              </w:rPr>
              <w:t> </w:t>
            </w:r>
            <w:r>
              <w:rPr>
                <w:b/>
                <w:spacing w:val="-2"/>
                <w:sz w:val="18"/>
              </w:rPr>
              <w:t>1.42.1:</w:t>
            </w:r>
          </w:p>
          <w:p>
            <w:pPr>
              <w:pStyle w:val="TableParagraph"/>
              <w:ind w:left="72"/>
              <w:rPr>
                <w:b/>
                <w:sz w:val="18"/>
              </w:rPr>
            </w:pPr>
            <w:r>
              <w:rPr>
                <w:sz w:val="18"/>
              </w:rPr>
              <w:t>Territorios indígenas que cuentan con</w:t>
            </w:r>
            <w:r>
              <w:rPr>
                <w:spacing w:val="-6"/>
                <w:sz w:val="18"/>
              </w:rPr>
              <w:t> </w:t>
            </w:r>
            <w:r>
              <w:rPr>
                <w:sz w:val="18"/>
              </w:rPr>
              <w:t>capacitación</w:t>
            </w:r>
            <w:r>
              <w:rPr>
                <w:spacing w:val="-6"/>
                <w:sz w:val="18"/>
              </w:rPr>
              <w:t> </w:t>
            </w:r>
            <w:r>
              <w:rPr>
                <w:sz w:val="18"/>
              </w:rPr>
              <w:t>para</w:t>
            </w:r>
            <w:r>
              <w:rPr>
                <w:spacing w:val="-9"/>
                <w:sz w:val="18"/>
              </w:rPr>
              <w:t> </w:t>
            </w:r>
            <w:r>
              <w:rPr>
                <w:sz w:val="18"/>
              </w:rPr>
              <w:t>la</w:t>
            </w:r>
            <w:r>
              <w:rPr>
                <w:spacing w:val="-6"/>
                <w:sz w:val="18"/>
              </w:rPr>
              <w:t> </w:t>
            </w:r>
            <w:r>
              <w:rPr>
                <w:sz w:val="18"/>
              </w:rPr>
              <w:t>gestión</w:t>
            </w:r>
            <w:r>
              <w:rPr>
                <w:spacing w:val="-9"/>
                <w:sz w:val="18"/>
              </w:rPr>
              <w:t> </w:t>
            </w:r>
            <w:r>
              <w:rPr>
                <w:sz w:val="18"/>
              </w:rPr>
              <w:t>de las necesidades de infraestructura identificadas </w:t>
            </w:r>
            <w:r>
              <w:rPr>
                <w:b/>
                <w:sz w:val="18"/>
              </w:rPr>
              <w:t>(vinculado a PEI </w:t>
            </w:r>
            <w:r>
              <w:rPr>
                <w:b/>
                <w:spacing w:val="-2"/>
                <w:sz w:val="18"/>
              </w:rPr>
              <w:t>3.7.2).</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6"/>
              <w:jc w:val="center"/>
              <w:rPr>
                <w:sz w:val="18"/>
              </w:rPr>
            </w:pPr>
            <w:r>
              <w:rPr>
                <w:spacing w:val="-5"/>
                <w:sz w:val="18"/>
              </w:rPr>
              <w:t>40%</w:t>
            </w:r>
          </w:p>
        </w:tc>
        <w:tc>
          <w:tcPr>
            <w:tcW w:w="1982" w:type="dxa"/>
          </w:tcPr>
          <w:p>
            <w:pPr>
              <w:pStyle w:val="TableParagraph"/>
              <w:spacing w:before="205"/>
              <w:ind w:left="68" w:right="316"/>
              <w:rPr>
                <w:sz w:val="18"/>
              </w:rPr>
            </w:pPr>
            <w:r>
              <w:rPr>
                <w:sz w:val="18"/>
              </w:rPr>
              <w:t>Porcentaje de territorios</w:t>
            </w:r>
            <w:r>
              <w:rPr>
                <w:spacing w:val="-13"/>
                <w:sz w:val="18"/>
              </w:rPr>
              <w:t> </w:t>
            </w:r>
            <w:r>
              <w:rPr>
                <w:sz w:val="18"/>
              </w:rPr>
              <w:t>indígenas capacitados</w:t>
            </w:r>
            <w:r>
              <w:rPr>
                <w:spacing w:val="-8"/>
                <w:sz w:val="18"/>
              </w:rPr>
              <w:t> </w:t>
            </w:r>
            <w:r>
              <w:rPr>
                <w:sz w:val="18"/>
              </w:rPr>
              <w:t>para</w:t>
            </w:r>
            <w:r>
              <w:rPr>
                <w:spacing w:val="-8"/>
                <w:sz w:val="18"/>
              </w:rPr>
              <w:t> </w:t>
            </w:r>
            <w:r>
              <w:rPr>
                <w:sz w:val="18"/>
              </w:rPr>
              <w:t>la gestión de las necesidades de </w:t>
            </w:r>
            <w:r>
              <w:rPr>
                <w:spacing w:val="-2"/>
                <w:sz w:val="18"/>
              </w:rPr>
              <w:t>infraestructura</w:t>
            </w:r>
          </w:p>
        </w:tc>
        <w:tc>
          <w:tcPr>
            <w:tcW w:w="1560" w:type="dxa"/>
          </w:tcPr>
          <w:p>
            <w:pPr>
              <w:pStyle w:val="TableParagraph"/>
              <w:spacing w:before="103"/>
              <w:rPr>
                <w:b/>
                <w:sz w:val="18"/>
              </w:rPr>
            </w:pPr>
          </w:p>
          <w:p>
            <w:pPr>
              <w:pStyle w:val="TableParagraph"/>
              <w:spacing w:before="1"/>
              <w:ind w:left="73" w:right="58"/>
              <w:rPr>
                <w:sz w:val="18"/>
              </w:rPr>
            </w:pPr>
            <w:r>
              <w:rPr>
                <w:sz w:val="18"/>
              </w:rPr>
              <w:t>Listas de </w:t>
            </w:r>
            <w:r>
              <w:rPr>
                <w:spacing w:val="-2"/>
                <w:sz w:val="18"/>
              </w:rPr>
              <w:t>asistencia, </w:t>
            </w:r>
            <w:r>
              <w:rPr>
                <w:sz w:val="18"/>
              </w:rPr>
              <w:t>minutas de </w:t>
            </w:r>
            <w:r>
              <w:rPr>
                <w:spacing w:val="-2"/>
                <w:sz w:val="18"/>
              </w:rPr>
              <w:t>capacitaciones realizadas</w:t>
            </w:r>
          </w:p>
        </w:tc>
        <w:tc>
          <w:tcPr>
            <w:tcW w:w="141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7" w:right="10"/>
              <w:jc w:val="center"/>
              <w:rPr>
                <w:sz w:val="18"/>
              </w:rPr>
            </w:pPr>
            <w:r>
              <w:rPr>
                <w:spacing w:val="-2"/>
                <w:sz w:val="18"/>
              </w:rPr>
              <w:t>DDSPC</w:t>
            </w:r>
          </w:p>
        </w:tc>
        <w:tc>
          <w:tcPr>
            <w:tcW w:w="1649" w:type="dxa"/>
          </w:tcPr>
          <w:p>
            <w:pPr>
              <w:pStyle w:val="TableParagraph"/>
              <w:rPr>
                <w:rFonts w:ascii="Times New Roman"/>
                <w:sz w:val="18"/>
              </w:rPr>
            </w:pPr>
          </w:p>
        </w:tc>
        <w:tc>
          <w:tcPr>
            <w:tcW w:w="1548" w:type="dxa"/>
          </w:tcPr>
          <w:p>
            <w:pPr>
              <w:pStyle w:val="TableParagraph"/>
              <w:numPr>
                <w:ilvl w:val="0"/>
                <w:numId w:val="72"/>
              </w:numPr>
              <w:tabs>
                <w:tab w:pos="133" w:val="left" w:leader="none"/>
              </w:tabs>
              <w:spacing w:line="240" w:lineRule="auto" w:before="0" w:after="0"/>
              <w:ind w:left="72" w:right="80" w:firstLine="0"/>
              <w:jc w:val="left"/>
              <w:rPr>
                <w:sz w:val="18"/>
              </w:rPr>
            </w:pPr>
            <w:r>
              <w:rPr>
                <w:spacing w:val="-2"/>
                <w:sz w:val="18"/>
              </w:rPr>
              <w:t>Incumplimiento </w:t>
            </w:r>
            <w:r>
              <w:rPr>
                <w:sz w:val="18"/>
              </w:rPr>
              <w:t>de los plazos </w:t>
            </w:r>
            <w:r>
              <w:rPr>
                <w:spacing w:val="-2"/>
                <w:sz w:val="18"/>
              </w:rPr>
              <w:t>establecidos</w:t>
            </w:r>
            <w:r>
              <w:rPr>
                <w:spacing w:val="40"/>
                <w:sz w:val="18"/>
              </w:rPr>
              <w:t> </w:t>
            </w:r>
            <w:r>
              <w:rPr>
                <w:sz w:val="18"/>
              </w:rPr>
              <w:t>para la capacitación de las poblaciones indígenas</w:t>
            </w:r>
            <w:r>
              <w:rPr>
                <w:spacing w:val="-15"/>
                <w:sz w:val="18"/>
              </w:rPr>
              <w:t> </w:t>
            </w:r>
            <w:r>
              <w:rPr>
                <w:sz w:val="18"/>
              </w:rPr>
              <w:t>para</w:t>
            </w:r>
            <w:r>
              <w:rPr>
                <w:spacing w:val="-12"/>
                <w:sz w:val="18"/>
              </w:rPr>
              <w:t> </w:t>
            </w:r>
            <w:r>
              <w:rPr>
                <w:sz w:val="18"/>
              </w:rPr>
              <w:t>la</w:t>
            </w:r>
          </w:p>
          <w:p>
            <w:pPr>
              <w:pStyle w:val="TableParagraph"/>
              <w:spacing w:line="187" w:lineRule="exact"/>
              <w:ind w:left="72"/>
              <w:rPr>
                <w:sz w:val="18"/>
              </w:rPr>
            </w:pPr>
            <w:r>
              <w:rPr>
                <w:sz w:val="18"/>
              </w:rPr>
              <w:t>autogestión</w:t>
            </w:r>
            <w:r>
              <w:rPr>
                <w:spacing w:val="-6"/>
                <w:sz w:val="18"/>
              </w:rPr>
              <w:t> </w:t>
            </w:r>
            <w:r>
              <w:rPr>
                <w:spacing w:val="-5"/>
                <w:sz w:val="18"/>
              </w:rPr>
              <w:t>de</w:t>
            </w:r>
          </w:p>
        </w:tc>
      </w:tr>
    </w:tbl>
    <w:p>
      <w:pPr>
        <w:pStyle w:val="TableParagraph"/>
        <w:spacing w:after="0" w:line="187" w:lineRule="exact"/>
        <w:rPr>
          <w:sz w:val="18"/>
        </w:rPr>
        <w:sectPr>
          <w:footerReference w:type="default" r:id="rId62"/>
          <w:pgSz w:w="15840" w:h="12240" w:orient="landscape"/>
          <w:pgMar w:header="0" w:footer="1806" w:top="700" w:bottom="2250" w:left="360" w:right="360"/>
          <w:pgNumType w:start="127"/>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9"/>
        <w:gridCol w:w="1548"/>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9" w:type="dxa"/>
            <w:shd w:val="clear" w:color="auto" w:fill="D9D9D9"/>
          </w:tcPr>
          <w:p>
            <w:pPr>
              <w:pStyle w:val="TableParagraph"/>
              <w:spacing w:before="104"/>
              <w:ind w:left="430" w:hanging="120"/>
              <w:rPr>
                <w:b/>
                <w:sz w:val="18"/>
              </w:rPr>
            </w:pPr>
            <w:r>
              <w:rPr>
                <w:b/>
                <w:spacing w:val="-2"/>
                <w:sz w:val="18"/>
              </w:rPr>
              <w:t>Presupuesto asignado</w:t>
            </w:r>
          </w:p>
        </w:tc>
        <w:tc>
          <w:tcPr>
            <w:tcW w:w="1548" w:type="dxa"/>
            <w:shd w:val="clear" w:color="auto" w:fill="D9D9D9"/>
          </w:tcPr>
          <w:p>
            <w:pPr>
              <w:pStyle w:val="TableParagraph"/>
              <w:spacing w:line="206" w:lineRule="exact"/>
              <w:ind w:left="16"/>
              <w:jc w:val="center"/>
              <w:rPr>
                <w:b/>
                <w:sz w:val="18"/>
              </w:rPr>
            </w:pPr>
            <w:r>
              <w:rPr>
                <w:b/>
                <w:spacing w:val="-2"/>
                <w:sz w:val="18"/>
              </w:rPr>
              <w:t>Riesgos </w:t>
            </w:r>
            <w:r>
              <w:rPr>
                <w:b/>
                <w:sz w:val="18"/>
              </w:rPr>
              <w:t>asociados al </w:t>
            </w:r>
            <w:r>
              <w:rPr>
                <w:b/>
                <w:spacing w:val="-2"/>
                <w:sz w:val="18"/>
              </w:rPr>
              <w:t>cumplimiento</w:t>
            </w:r>
          </w:p>
        </w:tc>
      </w:tr>
      <w:tr>
        <w:trPr>
          <w:trHeight w:val="964" w:hRule="atLeast"/>
        </w:trPr>
        <w:tc>
          <w:tcPr>
            <w:tcW w:w="2972" w:type="dxa"/>
          </w:tcPr>
          <w:p>
            <w:pPr>
              <w:pStyle w:val="TableParagraph"/>
              <w:rPr>
                <w:rFonts w:ascii="Times New Roman"/>
                <w:sz w:val="18"/>
              </w:rPr>
            </w:pPr>
          </w:p>
        </w:tc>
        <w:tc>
          <w:tcPr>
            <w:tcW w:w="1560" w:type="dxa"/>
          </w:tcPr>
          <w:p>
            <w:pPr>
              <w:pStyle w:val="TableParagraph"/>
              <w:rPr>
                <w:rFonts w:ascii="Times New Roman"/>
                <w:sz w:val="18"/>
              </w:rPr>
            </w:pPr>
          </w:p>
        </w:tc>
        <w:tc>
          <w:tcPr>
            <w:tcW w:w="1560" w:type="dxa"/>
          </w:tcPr>
          <w:p>
            <w:pPr>
              <w:pStyle w:val="TableParagraph"/>
              <w:rPr>
                <w:rFonts w:ascii="Times New Roman"/>
                <w:sz w:val="18"/>
              </w:rPr>
            </w:pPr>
          </w:p>
        </w:tc>
        <w:tc>
          <w:tcPr>
            <w:tcW w:w="1982" w:type="dxa"/>
          </w:tcPr>
          <w:p>
            <w:pPr>
              <w:pStyle w:val="TableParagraph"/>
              <w:rPr>
                <w:rFonts w:ascii="Times New Roman"/>
                <w:sz w:val="18"/>
              </w:rPr>
            </w:pPr>
          </w:p>
        </w:tc>
        <w:tc>
          <w:tcPr>
            <w:tcW w:w="1560" w:type="dxa"/>
          </w:tcPr>
          <w:p>
            <w:pPr>
              <w:pStyle w:val="TableParagraph"/>
              <w:rPr>
                <w:rFonts w:ascii="Times New Roman"/>
                <w:sz w:val="18"/>
              </w:rPr>
            </w:pPr>
          </w:p>
        </w:tc>
        <w:tc>
          <w:tcPr>
            <w:tcW w:w="1416" w:type="dxa"/>
          </w:tcPr>
          <w:p>
            <w:pPr>
              <w:pStyle w:val="TableParagraph"/>
              <w:rPr>
                <w:rFonts w:ascii="Times New Roman"/>
                <w:sz w:val="18"/>
              </w:rPr>
            </w:pPr>
          </w:p>
        </w:tc>
        <w:tc>
          <w:tcPr>
            <w:tcW w:w="1649" w:type="dxa"/>
          </w:tcPr>
          <w:p>
            <w:pPr>
              <w:pStyle w:val="TableParagraph"/>
              <w:rPr>
                <w:rFonts w:ascii="Times New Roman"/>
                <w:sz w:val="18"/>
              </w:rPr>
            </w:pPr>
          </w:p>
        </w:tc>
        <w:tc>
          <w:tcPr>
            <w:tcW w:w="1548" w:type="dxa"/>
          </w:tcPr>
          <w:p>
            <w:pPr>
              <w:pStyle w:val="TableParagraph"/>
              <w:spacing w:before="3"/>
              <w:ind w:left="72" w:right="129"/>
              <w:rPr>
                <w:sz w:val="18"/>
              </w:rPr>
            </w:pPr>
            <w:r>
              <w:rPr>
                <w:sz w:val="18"/>
              </w:rPr>
              <w:t>las</w:t>
            </w:r>
            <w:r>
              <w:rPr>
                <w:spacing w:val="-13"/>
                <w:sz w:val="18"/>
              </w:rPr>
              <w:t> </w:t>
            </w:r>
            <w:r>
              <w:rPr>
                <w:sz w:val="18"/>
              </w:rPr>
              <w:t>necesidades </w:t>
            </w:r>
            <w:r>
              <w:rPr>
                <w:spacing w:val="-6"/>
                <w:sz w:val="18"/>
              </w:rPr>
              <w:t>de </w:t>
            </w:r>
            <w:r>
              <w:rPr>
                <w:spacing w:val="-2"/>
                <w:sz w:val="18"/>
              </w:rPr>
              <w:t>infraestructura.</w:t>
            </w:r>
          </w:p>
        </w:tc>
      </w:tr>
      <w:tr>
        <w:trPr>
          <w:trHeight w:val="522" w:hRule="atLeast"/>
        </w:trPr>
        <w:tc>
          <w:tcPr>
            <w:tcW w:w="14247" w:type="dxa"/>
            <w:gridSpan w:val="8"/>
            <w:shd w:val="clear" w:color="auto" w:fill="EFF8F9"/>
          </w:tcPr>
          <w:p>
            <w:pPr>
              <w:pStyle w:val="TableParagraph"/>
              <w:spacing w:before="51"/>
              <w:ind w:left="72" w:right="98"/>
              <w:rPr>
                <w:b/>
                <w:sz w:val="18"/>
              </w:rPr>
            </w:pPr>
            <w:r>
              <w:rPr>
                <w:b/>
                <w:sz w:val="18"/>
              </w:rPr>
              <w:t>Producto</w:t>
            </w:r>
            <w:r>
              <w:rPr>
                <w:b/>
                <w:spacing w:val="-4"/>
                <w:sz w:val="18"/>
              </w:rPr>
              <w:t> </w:t>
            </w:r>
            <w:r>
              <w:rPr>
                <w:b/>
                <w:sz w:val="18"/>
              </w:rPr>
              <w:t>PPPS</w:t>
            </w:r>
            <w:r>
              <w:rPr>
                <w:b/>
                <w:spacing w:val="-4"/>
                <w:sz w:val="18"/>
              </w:rPr>
              <w:t> </w:t>
            </w:r>
            <w:r>
              <w:rPr>
                <w:b/>
                <w:sz w:val="18"/>
              </w:rPr>
              <w:t>1.43:</w:t>
            </w:r>
            <w:r>
              <w:rPr>
                <w:b/>
                <w:spacing w:val="-1"/>
                <w:sz w:val="18"/>
              </w:rPr>
              <w:t> </w:t>
            </w:r>
            <w:r>
              <w:rPr>
                <w:b/>
                <w:sz w:val="18"/>
              </w:rPr>
              <w:t>Unidades</w:t>
            </w:r>
            <w:r>
              <w:rPr>
                <w:b/>
                <w:spacing w:val="-3"/>
                <w:sz w:val="18"/>
              </w:rPr>
              <w:t> </w:t>
            </w:r>
            <w:r>
              <w:rPr>
                <w:b/>
                <w:sz w:val="18"/>
              </w:rPr>
              <w:t>de</w:t>
            </w:r>
            <w:r>
              <w:rPr>
                <w:b/>
                <w:spacing w:val="-3"/>
                <w:sz w:val="18"/>
              </w:rPr>
              <w:t> </w:t>
            </w:r>
            <w:r>
              <w:rPr>
                <w:b/>
                <w:sz w:val="18"/>
              </w:rPr>
              <w:t>investigación,</w:t>
            </w:r>
            <w:r>
              <w:rPr>
                <w:b/>
                <w:spacing w:val="-1"/>
                <w:sz w:val="18"/>
              </w:rPr>
              <w:t> </w:t>
            </w:r>
            <w:r>
              <w:rPr>
                <w:b/>
                <w:sz w:val="18"/>
              </w:rPr>
              <w:t>planificación</w:t>
            </w:r>
            <w:r>
              <w:rPr>
                <w:b/>
                <w:spacing w:val="-4"/>
                <w:sz w:val="18"/>
              </w:rPr>
              <w:t> </w:t>
            </w:r>
            <w:r>
              <w:rPr>
                <w:b/>
                <w:sz w:val="18"/>
              </w:rPr>
              <w:t>y</w:t>
            </w:r>
            <w:r>
              <w:rPr>
                <w:b/>
                <w:spacing w:val="-3"/>
                <w:sz w:val="18"/>
              </w:rPr>
              <w:t> </w:t>
            </w:r>
            <w:r>
              <w:rPr>
                <w:b/>
                <w:sz w:val="18"/>
              </w:rPr>
              <w:t>evaluación</w:t>
            </w:r>
            <w:r>
              <w:rPr>
                <w:b/>
                <w:spacing w:val="-4"/>
                <w:sz w:val="18"/>
              </w:rPr>
              <w:t> </w:t>
            </w:r>
            <w:r>
              <w:rPr>
                <w:b/>
                <w:sz w:val="18"/>
              </w:rPr>
              <w:t>fortalecidas y</w:t>
            </w:r>
            <w:r>
              <w:rPr>
                <w:b/>
                <w:spacing w:val="-3"/>
                <w:sz w:val="18"/>
              </w:rPr>
              <w:t> </w:t>
            </w:r>
            <w:r>
              <w:rPr>
                <w:b/>
                <w:sz w:val="18"/>
              </w:rPr>
              <w:t>con</w:t>
            </w:r>
            <w:r>
              <w:rPr>
                <w:b/>
                <w:spacing w:val="-4"/>
                <w:sz w:val="18"/>
              </w:rPr>
              <w:t> </w:t>
            </w:r>
            <w:r>
              <w:rPr>
                <w:b/>
                <w:sz w:val="18"/>
              </w:rPr>
              <w:t>normativa actualizada para desarrollar</w:t>
            </w:r>
            <w:r>
              <w:rPr>
                <w:b/>
                <w:spacing w:val="-2"/>
                <w:sz w:val="18"/>
              </w:rPr>
              <w:t> </w:t>
            </w:r>
            <w:r>
              <w:rPr>
                <w:b/>
                <w:sz w:val="18"/>
              </w:rPr>
              <w:t>estrategias</w:t>
            </w:r>
            <w:r>
              <w:rPr>
                <w:b/>
                <w:spacing w:val="-3"/>
                <w:sz w:val="18"/>
              </w:rPr>
              <w:t> </w:t>
            </w:r>
            <w:r>
              <w:rPr>
                <w:b/>
                <w:sz w:val="18"/>
              </w:rPr>
              <w:t>integrales</w:t>
            </w:r>
            <w:r>
              <w:rPr>
                <w:b/>
                <w:spacing w:val="-3"/>
                <w:sz w:val="18"/>
              </w:rPr>
              <w:t> </w:t>
            </w:r>
            <w:r>
              <w:rPr>
                <w:b/>
                <w:sz w:val="18"/>
              </w:rPr>
              <w:t>a</w:t>
            </w:r>
            <w:r>
              <w:rPr>
                <w:b/>
                <w:spacing w:val="-3"/>
                <w:sz w:val="18"/>
              </w:rPr>
              <w:t> </w:t>
            </w:r>
            <w:r>
              <w:rPr>
                <w:b/>
                <w:sz w:val="18"/>
              </w:rPr>
              <w:t>nivel regional y territorial. E3 AE8 R1</w:t>
            </w:r>
          </w:p>
        </w:tc>
      </w:tr>
      <w:tr>
        <w:trPr>
          <w:trHeight w:val="830" w:hRule="atLeast"/>
        </w:trPr>
        <w:tc>
          <w:tcPr>
            <w:tcW w:w="2972" w:type="dxa"/>
          </w:tcPr>
          <w:p>
            <w:pPr>
              <w:pStyle w:val="TableParagraph"/>
              <w:spacing w:line="206" w:lineRule="exact"/>
              <w:ind w:left="72" w:right="141"/>
              <w:rPr>
                <w:b/>
                <w:sz w:val="18"/>
              </w:rPr>
            </w:pPr>
            <w:r>
              <w:rPr>
                <w:b/>
                <w:sz w:val="18"/>
              </w:rPr>
              <w:t>Actividad PPPS 1.43.1: </w:t>
            </w:r>
            <w:r>
              <w:rPr>
                <w:sz w:val="18"/>
              </w:rPr>
              <w:t>Elaboración de plan de mejora para el fortalecimiento de las UIPER</w:t>
            </w:r>
            <w:r>
              <w:rPr>
                <w:spacing w:val="-12"/>
                <w:sz w:val="18"/>
              </w:rPr>
              <w:t> </w:t>
            </w:r>
            <w:r>
              <w:rPr>
                <w:b/>
                <w:sz w:val="18"/>
              </w:rPr>
              <w:t>(vinculado</w:t>
            </w:r>
            <w:r>
              <w:rPr>
                <w:b/>
                <w:spacing w:val="-8"/>
                <w:sz w:val="18"/>
              </w:rPr>
              <w:t> </w:t>
            </w:r>
            <w:r>
              <w:rPr>
                <w:b/>
                <w:sz w:val="18"/>
              </w:rPr>
              <w:t>a</w:t>
            </w:r>
            <w:r>
              <w:rPr>
                <w:b/>
                <w:spacing w:val="-11"/>
                <w:sz w:val="18"/>
              </w:rPr>
              <w:t> </w:t>
            </w:r>
            <w:r>
              <w:rPr>
                <w:b/>
                <w:sz w:val="18"/>
              </w:rPr>
              <w:t>PEI</w:t>
            </w:r>
            <w:r>
              <w:rPr>
                <w:b/>
                <w:spacing w:val="-10"/>
                <w:sz w:val="18"/>
              </w:rPr>
              <w:t> </w:t>
            </w:r>
            <w:r>
              <w:rPr>
                <w:b/>
                <w:sz w:val="18"/>
              </w:rPr>
              <w:t>3.8.1).</w:t>
            </w:r>
          </w:p>
        </w:tc>
        <w:tc>
          <w:tcPr>
            <w:tcW w:w="1560" w:type="dxa"/>
          </w:tcPr>
          <w:p>
            <w:pPr>
              <w:pStyle w:val="TableParagraph"/>
              <w:spacing w:before="104"/>
              <w:rPr>
                <w:b/>
                <w:sz w:val="18"/>
              </w:rPr>
            </w:pPr>
          </w:p>
          <w:p>
            <w:pPr>
              <w:pStyle w:val="TableParagraph"/>
              <w:ind w:left="21" w:right="10"/>
              <w:jc w:val="center"/>
              <w:rPr>
                <w:sz w:val="18"/>
              </w:rPr>
            </w:pPr>
            <w:r>
              <w:rPr>
                <w:spacing w:val="-10"/>
                <w:sz w:val="18"/>
              </w:rPr>
              <w:t>0</w:t>
            </w:r>
          </w:p>
        </w:tc>
        <w:tc>
          <w:tcPr>
            <w:tcW w:w="1560" w:type="dxa"/>
          </w:tcPr>
          <w:p>
            <w:pPr>
              <w:pStyle w:val="TableParagraph"/>
              <w:spacing w:before="104"/>
              <w:rPr>
                <w:b/>
                <w:sz w:val="18"/>
              </w:rPr>
            </w:pPr>
          </w:p>
          <w:p>
            <w:pPr>
              <w:pStyle w:val="TableParagraph"/>
              <w:ind w:left="21" w:right="18"/>
              <w:jc w:val="center"/>
              <w:rPr>
                <w:sz w:val="18"/>
              </w:rPr>
            </w:pPr>
            <w:r>
              <w:rPr>
                <w:spacing w:val="-10"/>
                <w:sz w:val="18"/>
              </w:rPr>
              <w:t>1</w:t>
            </w:r>
          </w:p>
        </w:tc>
        <w:tc>
          <w:tcPr>
            <w:tcW w:w="1982" w:type="dxa"/>
          </w:tcPr>
          <w:p>
            <w:pPr>
              <w:pStyle w:val="TableParagraph"/>
              <w:spacing w:before="205"/>
              <w:ind w:left="68"/>
              <w:rPr>
                <w:sz w:val="18"/>
              </w:rPr>
            </w:pPr>
            <w:r>
              <w:rPr>
                <w:sz w:val="18"/>
              </w:rPr>
              <w:t>Cantidad</w:t>
            </w:r>
            <w:r>
              <w:rPr>
                <w:spacing w:val="-11"/>
                <w:sz w:val="18"/>
              </w:rPr>
              <w:t> </w:t>
            </w:r>
            <w:r>
              <w:rPr>
                <w:sz w:val="18"/>
              </w:rPr>
              <w:t>de</w:t>
            </w:r>
            <w:r>
              <w:rPr>
                <w:spacing w:val="-11"/>
                <w:sz w:val="18"/>
              </w:rPr>
              <w:t> </w:t>
            </w:r>
            <w:r>
              <w:rPr>
                <w:sz w:val="18"/>
              </w:rPr>
              <w:t>planes</w:t>
            </w:r>
            <w:r>
              <w:rPr>
                <w:spacing w:val="-11"/>
                <w:sz w:val="18"/>
              </w:rPr>
              <w:t> </w:t>
            </w:r>
            <w:r>
              <w:rPr>
                <w:sz w:val="18"/>
              </w:rPr>
              <w:t>de mejora elaborados</w:t>
            </w:r>
          </w:p>
        </w:tc>
        <w:tc>
          <w:tcPr>
            <w:tcW w:w="1560" w:type="dxa"/>
          </w:tcPr>
          <w:p>
            <w:pPr>
              <w:pStyle w:val="TableParagraph"/>
              <w:spacing w:before="205"/>
              <w:ind w:left="73" w:right="58"/>
              <w:rPr>
                <w:sz w:val="18"/>
              </w:rPr>
            </w:pPr>
            <w:r>
              <w:rPr>
                <w:sz w:val="18"/>
              </w:rPr>
              <w:t>Documento</w:t>
            </w:r>
            <w:r>
              <w:rPr>
                <w:spacing w:val="-13"/>
                <w:sz w:val="18"/>
              </w:rPr>
              <w:t> </w:t>
            </w:r>
            <w:r>
              <w:rPr>
                <w:sz w:val="18"/>
              </w:rPr>
              <w:t>de plan de</w:t>
            </w:r>
            <w:r>
              <w:rPr>
                <w:spacing w:val="-3"/>
                <w:sz w:val="18"/>
              </w:rPr>
              <w:t> </w:t>
            </w:r>
            <w:r>
              <w:rPr>
                <w:spacing w:val="-2"/>
                <w:sz w:val="18"/>
              </w:rPr>
              <w:t>mejora</w:t>
            </w:r>
          </w:p>
        </w:tc>
        <w:tc>
          <w:tcPr>
            <w:tcW w:w="1416" w:type="dxa"/>
          </w:tcPr>
          <w:p>
            <w:pPr>
              <w:pStyle w:val="TableParagraph"/>
              <w:spacing w:before="104"/>
              <w:rPr>
                <w:b/>
                <w:sz w:val="18"/>
              </w:rPr>
            </w:pPr>
          </w:p>
          <w:p>
            <w:pPr>
              <w:pStyle w:val="TableParagraph"/>
              <w:ind w:left="17" w:right="12"/>
              <w:jc w:val="center"/>
              <w:rPr>
                <w:sz w:val="18"/>
              </w:rPr>
            </w:pPr>
            <w:r>
              <w:rPr>
                <w:spacing w:val="-5"/>
                <w:sz w:val="18"/>
              </w:rPr>
              <w:t>DDS</w:t>
            </w:r>
          </w:p>
        </w:tc>
        <w:tc>
          <w:tcPr>
            <w:tcW w:w="1649" w:type="dxa"/>
          </w:tcPr>
          <w:p>
            <w:pPr>
              <w:pStyle w:val="TableParagraph"/>
              <w:rPr>
                <w:rFonts w:ascii="Times New Roman"/>
                <w:sz w:val="18"/>
              </w:rPr>
            </w:pPr>
          </w:p>
        </w:tc>
        <w:tc>
          <w:tcPr>
            <w:tcW w:w="1548" w:type="dxa"/>
            <w:vMerge w:val="restart"/>
          </w:tcPr>
          <w:p>
            <w:pPr>
              <w:pStyle w:val="TableParagraph"/>
              <w:spacing w:before="3"/>
              <w:rPr>
                <w:b/>
                <w:sz w:val="18"/>
              </w:rPr>
            </w:pPr>
          </w:p>
          <w:p>
            <w:pPr>
              <w:pStyle w:val="TableParagraph"/>
              <w:numPr>
                <w:ilvl w:val="0"/>
                <w:numId w:val="73"/>
              </w:numPr>
              <w:tabs>
                <w:tab w:pos="133" w:val="left" w:leader="none"/>
              </w:tabs>
              <w:spacing w:line="240" w:lineRule="auto" w:before="0" w:after="0"/>
              <w:ind w:left="72" w:right="189" w:firstLine="0"/>
              <w:jc w:val="left"/>
              <w:rPr>
                <w:sz w:val="18"/>
              </w:rPr>
            </w:pPr>
            <w:r>
              <w:rPr>
                <w:sz w:val="18"/>
              </w:rPr>
              <w:t>UIPER no cuenten con insumos</w:t>
            </w:r>
            <w:r>
              <w:rPr>
                <w:spacing w:val="-15"/>
                <w:sz w:val="18"/>
              </w:rPr>
              <w:t> </w:t>
            </w:r>
            <w:r>
              <w:rPr>
                <w:sz w:val="18"/>
              </w:rPr>
              <w:t>para</w:t>
            </w:r>
            <w:r>
              <w:rPr>
                <w:spacing w:val="-12"/>
                <w:sz w:val="18"/>
              </w:rPr>
              <w:t> </w:t>
            </w:r>
            <w:r>
              <w:rPr>
                <w:sz w:val="18"/>
              </w:rPr>
              <w:t>el desarrollo de estrategias de </w:t>
            </w:r>
            <w:r>
              <w:rPr>
                <w:spacing w:val="-2"/>
                <w:sz w:val="18"/>
              </w:rPr>
              <w:t>intervención </w:t>
            </w:r>
            <w:r>
              <w:rPr>
                <w:sz w:val="18"/>
              </w:rPr>
              <w:t>regional y </w:t>
            </w:r>
            <w:r>
              <w:rPr>
                <w:spacing w:val="-2"/>
                <w:sz w:val="18"/>
              </w:rPr>
              <w:t>territorial.</w:t>
            </w:r>
          </w:p>
        </w:tc>
      </w:tr>
      <w:tr>
        <w:trPr>
          <w:trHeight w:val="1238" w:hRule="atLeast"/>
        </w:trPr>
        <w:tc>
          <w:tcPr>
            <w:tcW w:w="2972" w:type="dxa"/>
          </w:tcPr>
          <w:p>
            <w:pPr>
              <w:pStyle w:val="TableParagraph"/>
              <w:ind w:left="72" w:right="105"/>
              <w:rPr>
                <w:sz w:val="18"/>
              </w:rPr>
            </w:pPr>
            <w:r>
              <w:rPr>
                <w:b/>
                <w:sz w:val="18"/>
              </w:rPr>
              <w:t>Actividad PPPS 1.43.2: </w:t>
            </w:r>
            <w:r>
              <w:rPr>
                <w:sz w:val="18"/>
              </w:rPr>
              <w:t>Elaboración de informes de ejecución</w:t>
            </w:r>
            <w:r>
              <w:rPr>
                <w:spacing w:val="-7"/>
                <w:sz w:val="18"/>
              </w:rPr>
              <w:t> </w:t>
            </w:r>
            <w:r>
              <w:rPr>
                <w:sz w:val="18"/>
              </w:rPr>
              <w:t>con</w:t>
            </w:r>
            <w:r>
              <w:rPr>
                <w:spacing w:val="-7"/>
                <w:sz w:val="18"/>
              </w:rPr>
              <w:t> </w:t>
            </w:r>
            <w:r>
              <w:rPr>
                <w:sz w:val="18"/>
              </w:rPr>
              <w:t>el</w:t>
            </w:r>
            <w:r>
              <w:rPr>
                <w:spacing w:val="-12"/>
                <w:sz w:val="18"/>
              </w:rPr>
              <w:t> </w:t>
            </w:r>
            <w:r>
              <w:rPr>
                <w:sz w:val="18"/>
              </w:rPr>
              <w:t>levantamiento</w:t>
            </w:r>
            <w:r>
              <w:rPr>
                <w:spacing w:val="-10"/>
                <w:sz w:val="18"/>
              </w:rPr>
              <w:t> </w:t>
            </w:r>
            <w:r>
              <w:rPr>
                <w:sz w:val="18"/>
              </w:rPr>
              <w:t>de los planes de mejora para el fortalecimiento de las UIPER</w:t>
            </w:r>
          </w:p>
          <w:p>
            <w:pPr>
              <w:pStyle w:val="TableParagraph"/>
              <w:spacing w:line="185" w:lineRule="exact"/>
              <w:ind w:left="72"/>
              <w:rPr>
                <w:b/>
                <w:sz w:val="18"/>
              </w:rPr>
            </w:pPr>
            <w:r>
              <w:rPr>
                <w:b/>
                <w:sz w:val="18"/>
              </w:rPr>
              <w:t>(vinculado</w:t>
            </w:r>
            <w:r>
              <w:rPr>
                <w:b/>
                <w:spacing w:val="-2"/>
                <w:sz w:val="18"/>
              </w:rPr>
              <w:t> </w:t>
            </w:r>
            <w:r>
              <w:rPr>
                <w:b/>
                <w:sz w:val="18"/>
              </w:rPr>
              <w:t>a</w:t>
            </w:r>
            <w:r>
              <w:rPr>
                <w:b/>
                <w:spacing w:val="-5"/>
                <w:sz w:val="18"/>
              </w:rPr>
              <w:t> </w:t>
            </w:r>
            <w:r>
              <w:rPr>
                <w:b/>
                <w:sz w:val="18"/>
              </w:rPr>
              <w:t>PEI</w:t>
            </w:r>
            <w:r>
              <w:rPr>
                <w:b/>
                <w:spacing w:val="-3"/>
                <w:sz w:val="18"/>
              </w:rPr>
              <w:t> </w:t>
            </w:r>
            <w:r>
              <w:rPr>
                <w:b/>
                <w:spacing w:val="-2"/>
                <w:sz w:val="18"/>
              </w:rPr>
              <w:t>3.8.1).</w:t>
            </w:r>
          </w:p>
        </w:tc>
        <w:tc>
          <w:tcPr>
            <w:tcW w:w="1560" w:type="dxa"/>
          </w:tcPr>
          <w:p>
            <w:pPr>
              <w:pStyle w:val="TableParagraph"/>
              <w:rPr>
                <w:b/>
                <w:sz w:val="18"/>
              </w:rPr>
            </w:pPr>
          </w:p>
          <w:p>
            <w:pPr>
              <w:pStyle w:val="TableParagraph"/>
              <w:spacing w:before="99"/>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99"/>
              <w:rPr>
                <w:b/>
                <w:sz w:val="18"/>
              </w:rPr>
            </w:pPr>
          </w:p>
          <w:p>
            <w:pPr>
              <w:pStyle w:val="TableParagraph"/>
              <w:ind w:left="21" w:right="12"/>
              <w:jc w:val="center"/>
              <w:rPr>
                <w:sz w:val="18"/>
              </w:rPr>
            </w:pPr>
            <w:r>
              <w:rPr>
                <w:spacing w:val="-4"/>
                <w:sz w:val="18"/>
              </w:rPr>
              <w:t>100%</w:t>
            </w:r>
          </w:p>
        </w:tc>
        <w:tc>
          <w:tcPr>
            <w:tcW w:w="1982" w:type="dxa"/>
          </w:tcPr>
          <w:p>
            <w:pPr>
              <w:pStyle w:val="TableParagraph"/>
              <w:spacing w:before="205"/>
              <w:rPr>
                <w:b/>
                <w:sz w:val="18"/>
              </w:rPr>
            </w:pPr>
          </w:p>
          <w:p>
            <w:pPr>
              <w:pStyle w:val="TableParagraph"/>
              <w:ind w:left="68"/>
              <w:rPr>
                <w:sz w:val="18"/>
              </w:rPr>
            </w:pPr>
            <w:r>
              <w:rPr>
                <w:sz w:val="18"/>
              </w:rPr>
              <w:t>Cantidad</w:t>
            </w:r>
            <w:r>
              <w:rPr>
                <w:spacing w:val="-15"/>
                <w:sz w:val="18"/>
              </w:rPr>
              <w:t> </w:t>
            </w:r>
            <w:r>
              <w:rPr>
                <w:sz w:val="18"/>
              </w:rPr>
              <w:t>de</w:t>
            </w:r>
            <w:r>
              <w:rPr>
                <w:spacing w:val="-12"/>
                <w:sz w:val="18"/>
              </w:rPr>
              <w:t> </w:t>
            </w:r>
            <w:r>
              <w:rPr>
                <w:sz w:val="18"/>
              </w:rPr>
              <w:t>UIPER </w:t>
            </w:r>
            <w:r>
              <w:rPr>
                <w:spacing w:val="-2"/>
                <w:sz w:val="18"/>
              </w:rPr>
              <w:t>fortalecidas</w:t>
            </w:r>
          </w:p>
        </w:tc>
        <w:tc>
          <w:tcPr>
            <w:tcW w:w="1560" w:type="dxa"/>
          </w:tcPr>
          <w:p>
            <w:pPr>
              <w:pStyle w:val="TableParagraph"/>
              <w:spacing w:before="99"/>
              <w:rPr>
                <w:b/>
                <w:sz w:val="18"/>
              </w:rPr>
            </w:pPr>
          </w:p>
          <w:p>
            <w:pPr>
              <w:pStyle w:val="TableParagraph"/>
              <w:spacing w:line="242" w:lineRule="auto"/>
              <w:ind w:left="73" w:right="108"/>
              <w:rPr>
                <w:sz w:val="18"/>
              </w:rPr>
            </w:pPr>
            <w:r>
              <w:rPr>
                <w:sz w:val="18"/>
              </w:rPr>
              <w:t>Informe de ejecución del plan</w:t>
            </w:r>
            <w:r>
              <w:rPr>
                <w:spacing w:val="-15"/>
                <w:sz w:val="18"/>
              </w:rPr>
              <w:t> </w:t>
            </w:r>
            <w:r>
              <w:rPr>
                <w:sz w:val="18"/>
              </w:rPr>
              <w:t>de</w:t>
            </w:r>
            <w:r>
              <w:rPr>
                <w:spacing w:val="-12"/>
                <w:sz w:val="18"/>
              </w:rPr>
              <w:t> </w:t>
            </w:r>
            <w:r>
              <w:rPr>
                <w:sz w:val="18"/>
              </w:rPr>
              <w:t>mejora</w:t>
            </w:r>
          </w:p>
        </w:tc>
        <w:tc>
          <w:tcPr>
            <w:tcW w:w="1416" w:type="dxa"/>
          </w:tcPr>
          <w:p>
            <w:pPr>
              <w:pStyle w:val="TableParagraph"/>
              <w:rPr>
                <w:b/>
                <w:sz w:val="18"/>
              </w:rPr>
            </w:pPr>
          </w:p>
          <w:p>
            <w:pPr>
              <w:pStyle w:val="TableParagraph"/>
              <w:spacing w:before="99"/>
              <w:rPr>
                <w:b/>
                <w:sz w:val="18"/>
              </w:rPr>
            </w:pPr>
          </w:p>
          <w:p>
            <w:pPr>
              <w:pStyle w:val="TableParagraph"/>
              <w:ind w:left="17" w:right="12"/>
              <w:jc w:val="center"/>
              <w:rPr>
                <w:sz w:val="18"/>
              </w:rPr>
            </w:pPr>
            <w:r>
              <w:rPr>
                <w:spacing w:val="-5"/>
                <w:sz w:val="18"/>
              </w:rPr>
              <w:t>DDS</w:t>
            </w:r>
          </w:p>
        </w:tc>
        <w:tc>
          <w:tcPr>
            <w:tcW w:w="1649" w:type="dxa"/>
          </w:tcPr>
          <w:p>
            <w:pPr>
              <w:pStyle w:val="TableParagraph"/>
              <w:rPr>
                <w:rFonts w:ascii="Times New Roman"/>
                <w:sz w:val="18"/>
              </w:rPr>
            </w:pPr>
          </w:p>
        </w:tc>
        <w:tc>
          <w:tcPr>
            <w:tcW w:w="1548" w:type="dxa"/>
            <w:vMerge/>
            <w:tcBorders>
              <w:top w:val="nil"/>
            </w:tcBorders>
          </w:tcPr>
          <w:p>
            <w:pPr>
              <w:rPr>
                <w:sz w:val="2"/>
                <w:szCs w:val="2"/>
              </w:rPr>
            </w:pPr>
          </w:p>
        </w:tc>
      </w:tr>
      <w:tr>
        <w:trPr>
          <w:trHeight w:val="451" w:hRule="atLeast"/>
        </w:trPr>
        <w:tc>
          <w:tcPr>
            <w:tcW w:w="14247" w:type="dxa"/>
            <w:gridSpan w:val="8"/>
            <w:shd w:val="clear" w:color="auto" w:fill="EFF8F9"/>
          </w:tcPr>
          <w:p>
            <w:pPr>
              <w:pStyle w:val="TableParagraph"/>
              <w:spacing w:line="206" w:lineRule="exact" w:before="19"/>
              <w:ind w:left="72" w:right="98"/>
              <w:rPr>
                <w:b/>
                <w:sz w:val="18"/>
              </w:rPr>
            </w:pPr>
            <w:r>
              <w:rPr>
                <w:b/>
                <w:sz w:val="18"/>
              </w:rPr>
              <w:t>Producto</w:t>
            </w:r>
            <w:r>
              <w:rPr>
                <w:b/>
                <w:spacing w:val="-5"/>
                <w:sz w:val="18"/>
              </w:rPr>
              <w:t> </w:t>
            </w:r>
            <w:r>
              <w:rPr>
                <w:b/>
                <w:sz w:val="18"/>
              </w:rPr>
              <w:t>PPPS</w:t>
            </w:r>
            <w:r>
              <w:rPr>
                <w:b/>
                <w:spacing w:val="-5"/>
                <w:sz w:val="18"/>
              </w:rPr>
              <w:t> </w:t>
            </w:r>
            <w:r>
              <w:rPr>
                <w:b/>
                <w:sz w:val="18"/>
              </w:rPr>
              <w:t>1.44:</w:t>
            </w:r>
            <w:r>
              <w:rPr>
                <w:b/>
                <w:spacing w:val="40"/>
                <w:sz w:val="18"/>
              </w:rPr>
              <w:t> </w:t>
            </w:r>
            <w:r>
              <w:rPr>
                <w:b/>
                <w:sz w:val="18"/>
              </w:rPr>
              <w:t>Unidades de</w:t>
            </w:r>
            <w:r>
              <w:rPr>
                <w:b/>
                <w:spacing w:val="-9"/>
                <w:sz w:val="18"/>
              </w:rPr>
              <w:t> </w:t>
            </w:r>
            <w:r>
              <w:rPr>
                <w:b/>
                <w:sz w:val="18"/>
              </w:rPr>
              <w:t>Investigación, Planificación</w:t>
            </w:r>
            <w:r>
              <w:rPr>
                <w:b/>
                <w:spacing w:val="-5"/>
                <w:sz w:val="18"/>
              </w:rPr>
              <w:t> </w:t>
            </w:r>
            <w:r>
              <w:rPr>
                <w:b/>
                <w:sz w:val="18"/>
              </w:rPr>
              <w:t>y Evaluación</w:t>
            </w:r>
            <w:r>
              <w:rPr>
                <w:b/>
                <w:spacing w:val="-5"/>
                <w:sz w:val="18"/>
              </w:rPr>
              <w:t> </w:t>
            </w:r>
            <w:r>
              <w:rPr>
                <w:b/>
                <w:sz w:val="18"/>
              </w:rPr>
              <w:t>regional</w:t>
            </w:r>
            <w:r>
              <w:rPr>
                <w:b/>
                <w:spacing w:val="-2"/>
                <w:sz w:val="18"/>
              </w:rPr>
              <w:t> </w:t>
            </w:r>
            <w:r>
              <w:rPr>
                <w:b/>
                <w:sz w:val="18"/>
              </w:rPr>
              <w:t>capacitadas</w:t>
            </w:r>
            <w:r>
              <w:rPr>
                <w:b/>
                <w:spacing w:val="-4"/>
                <w:sz w:val="18"/>
              </w:rPr>
              <w:t> </w:t>
            </w:r>
            <w:r>
              <w:rPr>
                <w:b/>
                <w:sz w:val="18"/>
              </w:rPr>
              <w:t>para</w:t>
            </w:r>
            <w:r>
              <w:rPr>
                <w:b/>
                <w:spacing w:val="-4"/>
                <w:sz w:val="18"/>
              </w:rPr>
              <w:t> </w:t>
            </w:r>
            <w:r>
              <w:rPr>
                <w:b/>
                <w:sz w:val="18"/>
              </w:rPr>
              <w:t>desarrollar</w:t>
            </w:r>
            <w:r>
              <w:rPr>
                <w:b/>
                <w:spacing w:val="-7"/>
                <w:sz w:val="18"/>
              </w:rPr>
              <w:t> </w:t>
            </w:r>
            <w:r>
              <w:rPr>
                <w:b/>
                <w:sz w:val="18"/>
              </w:rPr>
              <w:t>estrategias integrales</w:t>
            </w:r>
            <w:r>
              <w:rPr>
                <w:b/>
                <w:spacing w:val="-4"/>
                <w:sz w:val="18"/>
              </w:rPr>
              <w:t> </w:t>
            </w:r>
            <w:r>
              <w:rPr>
                <w:b/>
                <w:sz w:val="18"/>
              </w:rPr>
              <w:t>a</w:t>
            </w:r>
            <w:r>
              <w:rPr>
                <w:b/>
                <w:spacing w:val="-4"/>
                <w:sz w:val="18"/>
              </w:rPr>
              <w:t> </w:t>
            </w:r>
            <w:r>
              <w:rPr>
                <w:b/>
                <w:sz w:val="18"/>
              </w:rPr>
              <w:t>nivel</w:t>
            </w:r>
            <w:r>
              <w:rPr>
                <w:b/>
                <w:spacing w:val="-2"/>
                <w:sz w:val="18"/>
              </w:rPr>
              <w:t> </w:t>
            </w:r>
            <w:r>
              <w:rPr>
                <w:b/>
                <w:sz w:val="18"/>
              </w:rPr>
              <w:t>regional</w:t>
            </w:r>
            <w:r>
              <w:rPr>
                <w:b/>
                <w:spacing w:val="-2"/>
                <w:sz w:val="18"/>
              </w:rPr>
              <w:t> </w:t>
            </w:r>
            <w:r>
              <w:rPr>
                <w:b/>
                <w:sz w:val="18"/>
              </w:rPr>
              <w:t>y</w:t>
            </w:r>
            <w:r>
              <w:rPr>
                <w:b/>
                <w:spacing w:val="-4"/>
                <w:sz w:val="18"/>
              </w:rPr>
              <w:t> </w:t>
            </w:r>
            <w:r>
              <w:rPr>
                <w:b/>
                <w:sz w:val="18"/>
              </w:rPr>
              <w:t>territorial. E3 AE8 R2</w:t>
            </w:r>
          </w:p>
        </w:tc>
      </w:tr>
      <w:tr>
        <w:trPr>
          <w:trHeight w:val="1243" w:hRule="atLeast"/>
        </w:trPr>
        <w:tc>
          <w:tcPr>
            <w:tcW w:w="2972" w:type="dxa"/>
          </w:tcPr>
          <w:p>
            <w:pPr>
              <w:pStyle w:val="TableParagraph"/>
              <w:ind w:left="72"/>
              <w:rPr>
                <w:sz w:val="18"/>
              </w:rPr>
            </w:pPr>
            <w:r>
              <w:rPr>
                <w:b/>
                <w:sz w:val="18"/>
              </w:rPr>
              <w:t>Actividad PPPS 1.44.1: </w:t>
            </w:r>
            <w:r>
              <w:rPr>
                <w:sz w:val="18"/>
              </w:rPr>
              <w:t>Implementación del plan de capacitación</w:t>
            </w:r>
            <w:r>
              <w:rPr>
                <w:spacing w:val="-8"/>
                <w:sz w:val="18"/>
              </w:rPr>
              <w:t> </w:t>
            </w:r>
            <w:r>
              <w:rPr>
                <w:sz w:val="18"/>
              </w:rPr>
              <w:t>dirigido</w:t>
            </w:r>
            <w:r>
              <w:rPr>
                <w:spacing w:val="-11"/>
                <w:sz w:val="18"/>
              </w:rPr>
              <w:t> </w:t>
            </w:r>
            <w:r>
              <w:rPr>
                <w:sz w:val="18"/>
              </w:rPr>
              <w:t>a</w:t>
            </w:r>
            <w:r>
              <w:rPr>
                <w:spacing w:val="-11"/>
                <w:sz w:val="18"/>
              </w:rPr>
              <w:t> </w:t>
            </w:r>
            <w:r>
              <w:rPr>
                <w:sz w:val="18"/>
              </w:rPr>
              <w:t>las</w:t>
            </w:r>
            <w:r>
              <w:rPr>
                <w:spacing w:val="-7"/>
                <w:sz w:val="18"/>
              </w:rPr>
              <w:t> </w:t>
            </w:r>
            <w:r>
              <w:rPr>
                <w:sz w:val="18"/>
              </w:rPr>
              <w:t>UIPER, para el desarrollo de estrategias integrales a nivel regional y</w:t>
            </w:r>
          </w:p>
          <w:p>
            <w:pPr>
              <w:pStyle w:val="TableParagraph"/>
              <w:spacing w:line="187" w:lineRule="exact" w:before="1"/>
              <w:ind w:left="72"/>
              <w:rPr>
                <w:b/>
                <w:sz w:val="18"/>
              </w:rPr>
            </w:pPr>
            <w:r>
              <w:rPr>
                <w:sz w:val="18"/>
              </w:rPr>
              <w:t>territorial</w:t>
            </w:r>
            <w:r>
              <w:rPr>
                <w:spacing w:val="-3"/>
                <w:sz w:val="18"/>
              </w:rPr>
              <w:t> </w:t>
            </w:r>
            <w:r>
              <w:rPr>
                <w:b/>
                <w:sz w:val="18"/>
              </w:rPr>
              <w:t>(vinculado</w:t>
            </w:r>
            <w:r>
              <w:rPr>
                <w:b/>
                <w:spacing w:val="-7"/>
                <w:sz w:val="18"/>
              </w:rPr>
              <w:t> </w:t>
            </w:r>
            <w:r>
              <w:rPr>
                <w:b/>
                <w:sz w:val="18"/>
              </w:rPr>
              <w:t>a</w:t>
            </w:r>
            <w:r>
              <w:rPr>
                <w:b/>
                <w:spacing w:val="-6"/>
                <w:sz w:val="18"/>
              </w:rPr>
              <w:t> </w:t>
            </w:r>
            <w:r>
              <w:rPr>
                <w:b/>
                <w:sz w:val="18"/>
              </w:rPr>
              <w:t>PEI</w:t>
            </w:r>
            <w:r>
              <w:rPr>
                <w:b/>
                <w:spacing w:val="-5"/>
                <w:sz w:val="18"/>
              </w:rPr>
              <w:t> </w:t>
            </w:r>
            <w:r>
              <w:rPr>
                <w:b/>
                <w:spacing w:val="-2"/>
                <w:sz w:val="18"/>
              </w:rPr>
              <w:t>3.8.2).</w:t>
            </w:r>
          </w:p>
        </w:tc>
        <w:tc>
          <w:tcPr>
            <w:tcW w:w="1560" w:type="dxa"/>
          </w:tcPr>
          <w:p>
            <w:pPr>
              <w:pStyle w:val="TableParagraph"/>
              <w:rPr>
                <w:b/>
                <w:sz w:val="18"/>
              </w:rPr>
            </w:pPr>
          </w:p>
          <w:p>
            <w:pPr>
              <w:pStyle w:val="TableParagraph"/>
              <w:spacing w:before="1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103"/>
              <w:rPr>
                <w:b/>
                <w:sz w:val="18"/>
              </w:rPr>
            </w:pPr>
          </w:p>
          <w:p>
            <w:pPr>
              <w:pStyle w:val="TableParagraph"/>
              <w:ind w:left="21" w:right="16"/>
              <w:jc w:val="center"/>
              <w:rPr>
                <w:sz w:val="18"/>
              </w:rPr>
            </w:pPr>
            <w:r>
              <w:rPr>
                <w:spacing w:val="-5"/>
                <w:sz w:val="18"/>
              </w:rPr>
              <w:t>50%</w:t>
            </w:r>
          </w:p>
        </w:tc>
        <w:tc>
          <w:tcPr>
            <w:tcW w:w="1982" w:type="dxa"/>
          </w:tcPr>
          <w:p>
            <w:pPr>
              <w:pStyle w:val="TableParagraph"/>
              <w:spacing w:before="104"/>
              <w:ind w:left="68"/>
              <w:rPr>
                <w:sz w:val="18"/>
              </w:rPr>
            </w:pPr>
            <w:r>
              <w:rPr>
                <w:sz w:val="18"/>
              </w:rPr>
              <w:t>Porcentaje de UIPER capacitadas para desarrollar</w:t>
            </w:r>
            <w:r>
              <w:rPr>
                <w:spacing w:val="-13"/>
                <w:sz w:val="18"/>
              </w:rPr>
              <w:t> </w:t>
            </w:r>
            <w:r>
              <w:rPr>
                <w:sz w:val="18"/>
              </w:rPr>
              <w:t>estrategias integrales a nivel regional y territorial</w:t>
            </w:r>
          </w:p>
        </w:tc>
        <w:tc>
          <w:tcPr>
            <w:tcW w:w="1560" w:type="dxa"/>
          </w:tcPr>
          <w:p>
            <w:pPr>
              <w:pStyle w:val="TableParagraph"/>
              <w:spacing w:before="205"/>
              <w:ind w:left="73" w:right="58"/>
              <w:rPr>
                <w:sz w:val="18"/>
              </w:rPr>
            </w:pPr>
            <w:r>
              <w:rPr>
                <w:sz w:val="18"/>
              </w:rPr>
              <w:t>Informe de cumplimiento</w:t>
            </w:r>
            <w:r>
              <w:rPr>
                <w:spacing w:val="-13"/>
                <w:sz w:val="18"/>
              </w:rPr>
              <w:t> </w:t>
            </w:r>
            <w:r>
              <w:rPr>
                <w:sz w:val="18"/>
              </w:rPr>
              <w:t>del plan de </w:t>
            </w:r>
            <w:r>
              <w:rPr>
                <w:spacing w:val="-2"/>
                <w:sz w:val="18"/>
              </w:rPr>
              <w:t>capacitación</w:t>
            </w:r>
          </w:p>
        </w:tc>
        <w:tc>
          <w:tcPr>
            <w:tcW w:w="1416" w:type="dxa"/>
          </w:tcPr>
          <w:p>
            <w:pPr>
              <w:pStyle w:val="TableParagraph"/>
              <w:rPr>
                <w:b/>
                <w:sz w:val="18"/>
              </w:rPr>
            </w:pPr>
          </w:p>
          <w:p>
            <w:pPr>
              <w:pStyle w:val="TableParagraph"/>
              <w:spacing w:before="103"/>
              <w:rPr>
                <w:b/>
                <w:sz w:val="18"/>
              </w:rPr>
            </w:pPr>
          </w:p>
          <w:p>
            <w:pPr>
              <w:pStyle w:val="TableParagraph"/>
              <w:ind w:left="17" w:right="5"/>
              <w:jc w:val="center"/>
              <w:rPr>
                <w:sz w:val="18"/>
              </w:rPr>
            </w:pPr>
            <w:r>
              <w:rPr>
                <w:spacing w:val="-4"/>
                <w:sz w:val="18"/>
              </w:rPr>
              <w:t>DSIS</w:t>
            </w:r>
          </w:p>
        </w:tc>
        <w:tc>
          <w:tcPr>
            <w:tcW w:w="1649" w:type="dxa"/>
          </w:tcPr>
          <w:p>
            <w:pPr>
              <w:pStyle w:val="TableParagraph"/>
              <w:rPr>
                <w:rFonts w:ascii="Times New Roman"/>
                <w:sz w:val="18"/>
              </w:rPr>
            </w:pPr>
          </w:p>
        </w:tc>
        <w:tc>
          <w:tcPr>
            <w:tcW w:w="1548" w:type="dxa"/>
          </w:tcPr>
          <w:p>
            <w:pPr>
              <w:pStyle w:val="TableParagraph"/>
              <w:numPr>
                <w:ilvl w:val="0"/>
                <w:numId w:val="74"/>
              </w:numPr>
              <w:tabs>
                <w:tab w:pos="133" w:val="left" w:leader="none"/>
              </w:tabs>
              <w:spacing w:line="242" w:lineRule="auto" w:before="0" w:after="0"/>
              <w:ind w:left="72" w:right="160" w:firstLine="0"/>
              <w:jc w:val="left"/>
              <w:rPr>
                <w:sz w:val="18"/>
              </w:rPr>
            </w:pPr>
            <w:r>
              <w:rPr>
                <w:sz w:val="18"/>
              </w:rPr>
              <w:t>UIPER no concrete</w:t>
            </w:r>
            <w:r>
              <w:rPr>
                <w:spacing w:val="-4"/>
                <w:sz w:val="18"/>
              </w:rPr>
              <w:t> </w:t>
            </w:r>
            <w:r>
              <w:rPr>
                <w:sz w:val="18"/>
              </w:rPr>
              <w:t>el</w:t>
            </w:r>
            <w:r>
              <w:rPr>
                <w:spacing w:val="-2"/>
                <w:sz w:val="18"/>
              </w:rPr>
              <w:t> </w:t>
            </w:r>
            <w:r>
              <w:rPr>
                <w:sz w:val="18"/>
              </w:rPr>
              <w:t>plan de</w:t>
            </w:r>
            <w:r>
              <w:rPr>
                <w:spacing w:val="2"/>
                <w:sz w:val="18"/>
              </w:rPr>
              <w:t> </w:t>
            </w:r>
            <w:r>
              <w:rPr>
                <w:spacing w:val="-2"/>
                <w:sz w:val="18"/>
              </w:rPr>
              <w:t>capacitación.</w:t>
            </w:r>
          </w:p>
        </w:tc>
      </w:tr>
      <w:tr>
        <w:trPr>
          <w:trHeight w:val="479" w:hRule="atLeast"/>
        </w:trPr>
        <w:tc>
          <w:tcPr>
            <w:tcW w:w="14247" w:type="dxa"/>
            <w:gridSpan w:val="8"/>
            <w:shd w:val="clear" w:color="auto" w:fill="EFF8F9"/>
          </w:tcPr>
          <w:p>
            <w:pPr>
              <w:pStyle w:val="TableParagraph"/>
              <w:spacing w:before="32"/>
              <w:ind w:left="72" w:right="98"/>
              <w:rPr>
                <w:b/>
                <w:sz w:val="18"/>
              </w:rPr>
            </w:pPr>
            <w:r>
              <w:rPr>
                <w:b/>
                <w:sz w:val="18"/>
              </w:rPr>
              <w:t>Producto</w:t>
            </w:r>
            <w:r>
              <w:rPr>
                <w:b/>
                <w:spacing w:val="-3"/>
                <w:sz w:val="18"/>
              </w:rPr>
              <w:t> </w:t>
            </w:r>
            <w:r>
              <w:rPr>
                <w:b/>
                <w:sz w:val="18"/>
              </w:rPr>
              <w:t>PPPS</w:t>
            </w:r>
            <w:r>
              <w:rPr>
                <w:b/>
                <w:spacing w:val="-3"/>
                <w:sz w:val="18"/>
              </w:rPr>
              <w:t> </w:t>
            </w:r>
            <w:r>
              <w:rPr>
                <w:b/>
                <w:sz w:val="18"/>
              </w:rPr>
              <w:t>1.45: UIPER</w:t>
            </w:r>
            <w:r>
              <w:rPr>
                <w:b/>
                <w:spacing w:val="-4"/>
                <w:sz w:val="18"/>
              </w:rPr>
              <w:t> </w:t>
            </w:r>
            <w:r>
              <w:rPr>
                <w:b/>
                <w:sz w:val="18"/>
              </w:rPr>
              <w:t>posicionadas</w:t>
            </w:r>
            <w:r>
              <w:rPr>
                <w:b/>
                <w:spacing w:val="-2"/>
                <w:sz w:val="18"/>
              </w:rPr>
              <w:t> </w:t>
            </w:r>
            <w:r>
              <w:rPr>
                <w:b/>
                <w:sz w:val="18"/>
              </w:rPr>
              <w:t>como entes</w:t>
            </w:r>
            <w:r>
              <w:rPr>
                <w:b/>
                <w:spacing w:val="-2"/>
                <w:sz w:val="18"/>
              </w:rPr>
              <w:t> </w:t>
            </w:r>
            <w:r>
              <w:rPr>
                <w:b/>
                <w:sz w:val="18"/>
              </w:rPr>
              <w:t>especializados</w:t>
            </w:r>
            <w:r>
              <w:rPr>
                <w:b/>
                <w:spacing w:val="-2"/>
                <w:sz w:val="18"/>
              </w:rPr>
              <w:t> </w:t>
            </w:r>
            <w:r>
              <w:rPr>
                <w:b/>
                <w:sz w:val="18"/>
              </w:rPr>
              <w:t>para</w:t>
            </w:r>
            <w:r>
              <w:rPr>
                <w:b/>
                <w:spacing w:val="-7"/>
                <w:sz w:val="18"/>
              </w:rPr>
              <w:t> </w:t>
            </w:r>
            <w:r>
              <w:rPr>
                <w:b/>
                <w:sz w:val="18"/>
              </w:rPr>
              <w:t>la articulación</w:t>
            </w:r>
            <w:r>
              <w:rPr>
                <w:b/>
                <w:spacing w:val="-3"/>
                <w:sz w:val="18"/>
              </w:rPr>
              <w:t> </w:t>
            </w:r>
            <w:r>
              <w:rPr>
                <w:b/>
                <w:sz w:val="18"/>
              </w:rPr>
              <w:t>en espacios</w:t>
            </w:r>
            <w:r>
              <w:rPr>
                <w:b/>
                <w:spacing w:val="-2"/>
                <w:sz w:val="18"/>
              </w:rPr>
              <w:t> </w:t>
            </w:r>
            <w:r>
              <w:rPr>
                <w:b/>
                <w:sz w:val="18"/>
              </w:rPr>
              <w:t>regionales</w:t>
            </w:r>
            <w:r>
              <w:rPr>
                <w:b/>
                <w:spacing w:val="-2"/>
                <w:sz w:val="18"/>
              </w:rPr>
              <w:t> </w:t>
            </w:r>
            <w:r>
              <w:rPr>
                <w:b/>
                <w:sz w:val="18"/>
              </w:rPr>
              <w:t>y locales, que</w:t>
            </w:r>
            <w:r>
              <w:rPr>
                <w:b/>
                <w:spacing w:val="-2"/>
                <w:sz w:val="18"/>
              </w:rPr>
              <w:t> </w:t>
            </w:r>
            <w:r>
              <w:rPr>
                <w:b/>
                <w:sz w:val="18"/>
              </w:rPr>
              <w:t>promuevan</w:t>
            </w:r>
            <w:r>
              <w:rPr>
                <w:b/>
                <w:spacing w:val="-3"/>
                <w:sz w:val="18"/>
              </w:rPr>
              <w:t> </w:t>
            </w:r>
            <w:r>
              <w:rPr>
                <w:b/>
                <w:sz w:val="18"/>
              </w:rPr>
              <w:t>la</w:t>
            </w:r>
            <w:r>
              <w:rPr>
                <w:b/>
                <w:spacing w:val="-2"/>
                <w:sz w:val="18"/>
              </w:rPr>
              <w:t> </w:t>
            </w:r>
            <w:r>
              <w:rPr>
                <w:b/>
                <w:sz w:val="18"/>
              </w:rPr>
              <w:t>inclusión</w:t>
            </w:r>
            <w:r>
              <w:rPr>
                <w:b/>
                <w:spacing w:val="-3"/>
                <w:sz w:val="18"/>
              </w:rPr>
              <w:t> </w:t>
            </w:r>
            <w:r>
              <w:rPr>
                <w:b/>
                <w:sz w:val="18"/>
              </w:rPr>
              <w:t>social de</w:t>
            </w:r>
            <w:r>
              <w:rPr>
                <w:b/>
                <w:spacing w:val="-2"/>
                <w:sz w:val="18"/>
              </w:rPr>
              <w:t> </w:t>
            </w:r>
            <w:r>
              <w:rPr>
                <w:b/>
                <w:sz w:val="18"/>
              </w:rPr>
              <w:t>la población en situación de pobreza. E3 AE9 R1</w:t>
            </w:r>
          </w:p>
        </w:tc>
      </w:tr>
      <w:tr>
        <w:trPr>
          <w:trHeight w:val="1449" w:hRule="atLeast"/>
        </w:trPr>
        <w:tc>
          <w:tcPr>
            <w:tcW w:w="2972" w:type="dxa"/>
          </w:tcPr>
          <w:p>
            <w:pPr>
              <w:pStyle w:val="TableParagraph"/>
              <w:spacing w:before="104"/>
              <w:ind w:left="72" w:right="105"/>
              <w:rPr>
                <w:b/>
                <w:sz w:val="18"/>
              </w:rPr>
            </w:pPr>
            <w:r>
              <w:rPr>
                <w:b/>
                <w:sz w:val="18"/>
              </w:rPr>
              <w:t>Actividad PPPS 1.45.1: </w:t>
            </w:r>
            <w:r>
              <w:rPr>
                <w:sz w:val="18"/>
              </w:rPr>
              <w:t>Lineamiento por parte de la DDS para</w:t>
            </w:r>
            <w:r>
              <w:rPr>
                <w:spacing w:val="-8"/>
                <w:sz w:val="18"/>
              </w:rPr>
              <w:t> </w:t>
            </w:r>
            <w:r>
              <w:rPr>
                <w:sz w:val="18"/>
              </w:rPr>
              <w:t>la</w:t>
            </w:r>
            <w:r>
              <w:rPr>
                <w:spacing w:val="-4"/>
                <w:sz w:val="18"/>
              </w:rPr>
              <w:t> </w:t>
            </w:r>
            <w:r>
              <w:rPr>
                <w:sz w:val="18"/>
              </w:rPr>
              <w:t>participación</w:t>
            </w:r>
            <w:r>
              <w:rPr>
                <w:spacing w:val="-8"/>
                <w:sz w:val="18"/>
              </w:rPr>
              <w:t> </w:t>
            </w:r>
            <w:r>
              <w:rPr>
                <w:sz w:val="18"/>
              </w:rPr>
              <w:t>de</w:t>
            </w:r>
            <w:r>
              <w:rPr>
                <w:spacing w:val="-8"/>
                <w:sz w:val="18"/>
              </w:rPr>
              <w:t> </w:t>
            </w:r>
            <w:r>
              <w:rPr>
                <w:sz w:val="18"/>
              </w:rPr>
              <w:t>las</w:t>
            </w:r>
            <w:r>
              <w:rPr>
                <w:spacing w:val="-8"/>
                <w:sz w:val="18"/>
              </w:rPr>
              <w:t> </w:t>
            </w:r>
            <w:r>
              <w:rPr>
                <w:sz w:val="18"/>
              </w:rPr>
              <w:t>UIPER en espacios regionales y territoriales </w:t>
            </w:r>
            <w:r>
              <w:rPr>
                <w:b/>
                <w:sz w:val="18"/>
              </w:rPr>
              <w:t>(vinculado a PEI </w:t>
            </w:r>
            <w:r>
              <w:rPr>
                <w:b/>
                <w:spacing w:val="-2"/>
                <w:sz w:val="18"/>
              </w:rPr>
              <w:t>3.9.1).</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2"/>
              <w:jc w:val="center"/>
              <w:rPr>
                <w:sz w:val="18"/>
              </w:rPr>
            </w:pPr>
            <w:r>
              <w:rPr>
                <w:spacing w:val="-4"/>
                <w:sz w:val="18"/>
              </w:rPr>
              <w:t>100%</w:t>
            </w:r>
          </w:p>
        </w:tc>
        <w:tc>
          <w:tcPr>
            <w:tcW w:w="1982" w:type="dxa"/>
          </w:tcPr>
          <w:p>
            <w:pPr>
              <w:pStyle w:val="TableParagraph"/>
              <w:ind w:left="68" w:right="114"/>
              <w:rPr>
                <w:sz w:val="18"/>
              </w:rPr>
            </w:pPr>
            <w:r>
              <w:rPr>
                <w:sz w:val="18"/>
              </w:rPr>
              <w:t>Porcentaje</w:t>
            </w:r>
            <w:r>
              <w:rPr>
                <w:spacing w:val="-15"/>
                <w:sz w:val="18"/>
              </w:rPr>
              <w:t> </w:t>
            </w:r>
            <w:r>
              <w:rPr>
                <w:sz w:val="18"/>
              </w:rPr>
              <w:t>de</w:t>
            </w:r>
            <w:r>
              <w:rPr>
                <w:spacing w:val="-12"/>
                <w:sz w:val="18"/>
              </w:rPr>
              <w:t> </w:t>
            </w:r>
            <w:r>
              <w:rPr>
                <w:sz w:val="18"/>
              </w:rPr>
              <w:t>avance del diseño del lineamiento para la participación de UIPER en espacios regionales y</w:t>
            </w:r>
          </w:p>
          <w:p>
            <w:pPr>
              <w:pStyle w:val="TableParagraph"/>
              <w:spacing w:line="187" w:lineRule="exact" w:before="1"/>
              <w:ind w:left="68"/>
              <w:rPr>
                <w:sz w:val="18"/>
              </w:rPr>
            </w:pPr>
            <w:r>
              <w:rPr>
                <w:spacing w:val="-2"/>
                <w:sz w:val="18"/>
              </w:rPr>
              <w:t>territoriales.</w:t>
            </w:r>
          </w:p>
        </w:tc>
        <w:tc>
          <w:tcPr>
            <w:tcW w:w="1560" w:type="dxa"/>
          </w:tcPr>
          <w:p>
            <w:pPr>
              <w:pStyle w:val="TableParagraph"/>
              <w:ind w:left="73" w:right="130"/>
              <w:rPr>
                <w:sz w:val="18"/>
              </w:rPr>
            </w:pPr>
            <w:r>
              <w:rPr>
                <w:sz w:val="18"/>
              </w:rPr>
              <w:t>Documento</w:t>
            </w:r>
            <w:r>
              <w:rPr>
                <w:spacing w:val="-13"/>
                <w:sz w:val="18"/>
              </w:rPr>
              <w:t> </w:t>
            </w:r>
            <w:r>
              <w:rPr>
                <w:sz w:val="18"/>
              </w:rPr>
              <w:t>con el lineamiento para la participación</w:t>
            </w:r>
            <w:r>
              <w:rPr>
                <w:spacing w:val="-13"/>
                <w:sz w:val="18"/>
              </w:rPr>
              <w:t> </w:t>
            </w:r>
            <w:r>
              <w:rPr>
                <w:sz w:val="18"/>
              </w:rPr>
              <w:t>en </w:t>
            </w:r>
            <w:r>
              <w:rPr>
                <w:spacing w:val="-2"/>
                <w:sz w:val="18"/>
              </w:rPr>
              <w:t>espacios </w:t>
            </w:r>
            <w:r>
              <w:rPr>
                <w:sz w:val="18"/>
              </w:rPr>
              <w:t>regionales y</w:t>
            </w:r>
          </w:p>
          <w:p>
            <w:pPr>
              <w:pStyle w:val="TableParagraph"/>
              <w:spacing w:line="187" w:lineRule="exact" w:before="1"/>
              <w:ind w:left="73"/>
              <w:rPr>
                <w:sz w:val="18"/>
              </w:rPr>
            </w:pPr>
            <w:r>
              <w:rPr>
                <w:spacing w:val="-2"/>
                <w:sz w:val="18"/>
              </w:rPr>
              <w:t>territoriales.</w:t>
            </w:r>
          </w:p>
        </w:tc>
        <w:tc>
          <w:tcPr>
            <w:tcW w:w="141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7" w:right="12"/>
              <w:jc w:val="center"/>
              <w:rPr>
                <w:sz w:val="18"/>
              </w:rPr>
            </w:pPr>
            <w:r>
              <w:rPr>
                <w:spacing w:val="-5"/>
                <w:sz w:val="18"/>
              </w:rPr>
              <w:t>DDS</w:t>
            </w:r>
          </w:p>
        </w:tc>
        <w:tc>
          <w:tcPr>
            <w:tcW w:w="1649" w:type="dxa"/>
          </w:tcPr>
          <w:p>
            <w:pPr>
              <w:pStyle w:val="TableParagraph"/>
              <w:rPr>
                <w:rFonts w:ascii="Times New Roman"/>
                <w:sz w:val="18"/>
              </w:rPr>
            </w:pPr>
          </w:p>
        </w:tc>
        <w:tc>
          <w:tcPr>
            <w:tcW w:w="1548" w:type="dxa"/>
          </w:tcPr>
          <w:p>
            <w:pPr>
              <w:pStyle w:val="TableParagraph"/>
              <w:numPr>
                <w:ilvl w:val="0"/>
                <w:numId w:val="75"/>
              </w:numPr>
              <w:tabs>
                <w:tab w:pos="133" w:val="left" w:leader="none"/>
              </w:tabs>
              <w:spacing w:line="240" w:lineRule="auto" w:before="0" w:after="0"/>
              <w:ind w:left="72" w:right="128" w:firstLine="0"/>
              <w:jc w:val="left"/>
              <w:rPr>
                <w:sz w:val="18"/>
              </w:rPr>
            </w:pPr>
            <w:r>
              <w:rPr>
                <w:spacing w:val="-2"/>
                <w:sz w:val="18"/>
              </w:rPr>
              <w:t>Limitado posicionamiento </w:t>
            </w:r>
            <w:r>
              <w:rPr>
                <w:sz w:val="18"/>
              </w:rPr>
              <w:t>de</w:t>
            </w:r>
            <w:r>
              <w:rPr>
                <w:spacing w:val="-9"/>
                <w:sz w:val="18"/>
              </w:rPr>
              <w:t> </w:t>
            </w:r>
            <w:r>
              <w:rPr>
                <w:sz w:val="18"/>
              </w:rPr>
              <w:t>las</w:t>
            </w:r>
            <w:r>
              <w:rPr>
                <w:spacing w:val="-12"/>
                <w:sz w:val="18"/>
              </w:rPr>
              <w:t> </w:t>
            </w:r>
            <w:r>
              <w:rPr>
                <w:sz w:val="18"/>
              </w:rPr>
              <w:t>UIPER</w:t>
            </w:r>
            <w:r>
              <w:rPr>
                <w:spacing w:val="-13"/>
                <w:sz w:val="18"/>
              </w:rPr>
              <w:t> </w:t>
            </w:r>
            <w:r>
              <w:rPr>
                <w:sz w:val="18"/>
              </w:rPr>
              <w:t>en los distintos espacios de </w:t>
            </w:r>
            <w:r>
              <w:rPr>
                <w:spacing w:val="-2"/>
                <w:sz w:val="18"/>
              </w:rPr>
              <w:t>articulación</w:t>
            </w:r>
          </w:p>
          <w:p>
            <w:pPr>
              <w:pStyle w:val="TableParagraph"/>
              <w:spacing w:line="187" w:lineRule="exact" w:before="1"/>
              <w:ind w:left="72"/>
              <w:rPr>
                <w:sz w:val="18"/>
              </w:rPr>
            </w:pPr>
            <w:r>
              <w:rPr>
                <w:sz w:val="18"/>
              </w:rPr>
              <w:t>regionales</w:t>
            </w:r>
            <w:r>
              <w:rPr>
                <w:spacing w:val="-6"/>
                <w:sz w:val="18"/>
              </w:rPr>
              <w:t> </w:t>
            </w:r>
            <w:r>
              <w:rPr>
                <w:spacing w:val="-10"/>
                <w:sz w:val="18"/>
              </w:rPr>
              <w:t>y</w:t>
            </w:r>
          </w:p>
        </w:tc>
      </w:tr>
    </w:tbl>
    <w:p>
      <w:pPr>
        <w:pStyle w:val="TableParagraph"/>
        <w:spacing w:after="0" w:line="187" w:lineRule="exact"/>
        <w:rPr>
          <w:sz w:val="18"/>
        </w:rPr>
        <w:sectPr>
          <w:type w:val="continuous"/>
          <w:pgSz w:w="15840" w:h="12240" w:orient="landscape"/>
          <w:pgMar w:header="0" w:footer="1806" w:top="700" w:bottom="3336"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7"/>
        <w:gridCol w:w="1549"/>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7" w:type="dxa"/>
            <w:shd w:val="clear" w:color="auto" w:fill="D9D9D9"/>
          </w:tcPr>
          <w:p>
            <w:pPr>
              <w:pStyle w:val="TableParagraph"/>
              <w:spacing w:before="104"/>
              <w:ind w:left="430" w:hanging="120"/>
              <w:rPr>
                <w:b/>
                <w:sz w:val="18"/>
              </w:rPr>
            </w:pPr>
            <w:r>
              <w:rPr>
                <w:b/>
                <w:spacing w:val="-2"/>
                <w:sz w:val="18"/>
              </w:rPr>
              <w:t>Presupuesto asignado</w:t>
            </w:r>
          </w:p>
        </w:tc>
        <w:tc>
          <w:tcPr>
            <w:tcW w:w="1549" w:type="dxa"/>
            <w:tcBorders>
              <w:bottom w:val="nil"/>
            </w:tcBorders>
            <w:shd w:val="clear" w:color="auto" w:fill="D9D9D9"/>
          </w:tcPr>
          <w:p>
            <w:pPr>
              <w:pStyle w:val="TableParagraph"/>
              <w:spacing w:line="206" w:lineRule="exact"/>
              <w:ind w:left="23" w:right="4"/>
              <w:jc w:val="center"/>
              <w:rPr>
                <w:b/>
                <w:sz w:val="18"/>
              </w:rPr>
            </w:pPr>
            <w:r>
              <w:rPr>
                <w:b/>
                <w:spacing w:val="-2"/>
                <w:sz w:val="18"/>
              </w:rPr>
              <w:t>Riesgos </w:t>
            </w:r>
            <w:r>
              <w:rPr>
                <w:b/>
                <w:sz w:val="18"/>
              </w:rPr>
              <w:t>asociados al </w:t>
            </w:r>
            <w:r>
              <w:rPr>
                <w:b/>
                <w:spacing w:val="-2"/>
                <w:sz w:val="18"/>
              </w:rPr>
              <w:t>cumplimiento</w:t>
            </w:r>
          </w:p>
        </w:tc>
      </w:tr>
      <w:tr>
        <w:trPr>
          <w:trHeight w:val="1661" w:hRule="atLeast"/>
        </w:trPr>
        <w:tc>
          <w:tcPr>
            <w:tcW w:w="2972" w:type="dxa"/>
          </w:tcPr>
          <w:p>
            <w:pPr>
              <w:pStyle w:val="TableParagraph"/>
              <w:spacing w:line="207" w:lineRule="exact" w:before="3"/>
              <w:ind w:left="72"/>
              <w:rPr>
                <w:b/>
                <w:sz w:val="18"/>
              </w:rPr>
            </w:pPr>
            <w:r>
              <w:rPr>
                <w:b/>
                <w:sz w:val="18"/>
              </w:rPr>
              <w:t>Actividad</w:t>
            </w:r>
            <w:r>
              <w:rPr>
                <w:b/>
                <w:spacing w:val="-6"/>
                <w:sz w:val="18"/>
              </w:rPr>
              <w:t> </w:t>
            </w:r>
            <w:r>
              <w:rPr>
                <w:b/>
                <w:sz w:val="18"/>
              </w:rPr>
              <w:t>PPPS</w:t>
            </w:r>
            <w:r>
              <w:rPr>
                <w:b/>
                <w:spacing w:val="-6"/>
                <w:sz w:val="18"/>
              </w:rPr>
              <w:t> </w:t>
            </w:r>
            <w:r>
              <w:rPr>
                <w:b/>
                <w:spacing w:val="-2"/>
                <w:sz w:val="18"/>
              </w:rPr>
              <w:t>1.45.2:</w:t>
            </w:r>
          </w:p>
          <w:p>
            <w:pPr>
              <w:pStyle w:val="TableParagraph"/>
              <w:ind w:left="72" w:right="105"/>
              <w:rPr>
                <w:sz w:val="18"/>
              </w:rPr>
            </w:pPr>
            <w:r>
              <w:rPr>
                <w:sz w:val="18"/>
              </w:rPr>
              <w:t>UIPER posicionadas a nivel regional y territorial a partir de su participación en espacios de articulación que propicien la inclusión social</w:t>
            </w:r>
            <w:r>
              <w:rPr>
                <w:spacing w:val="-3"/>
                <w:sz w:val="18"/>
              </w:rPr>
              <w:t> </w:t>
            </w:r>
            <w:r>
              <w:rPr>
                <w:sz w:val="18"/>
              </w:rPr>
              <w:t>de la</w:t>
            </w:r>
            <w:r>
              <w:rPr>
                <w:spacing w:val="-1"/>
                <w:sz w:val="18"/>
              </w:rPr>
              <w:t> </w:t>
            </w:r>
            <w:r>
              <w:rPr>
                <w:sz w:val="18"/>
              </w:rPr>
              <w:t>población</w:t>
            </w:r>
            <w:r>
              <w:rPr>
                <w:spacing w:val="-1"/>
                <w:sz w:val="18"/>
              </w:rPr>
              <w:t> </w:t>
            </w:r>
            <w:r>
              <w:rPr>
                <w:sz w:val="18"/>
              </w:rPr>
              <w:t>en</w:t>
            </w:r>
          </w:p>
          <w:p>
            <w:pPr>
              <w:pStyle w:val="TableParagraph"/>
              <w:spacing w:line="206" w:lineRule="exact"/>
              <w:ind w:left="72"/>
              <w:rPr>
                <w:b/>
                <w:sz w:val="18"/>
              </w:rPr>
            </w:pPr>
            <w:r>
              <w:rPr>
                <w:sz w:val="18"/>
              </w:rPr>
              <w:t>situación</w:t>
            </w:r>
            <w:r>
              <w:rPr>
                <w:spacing w:val="-9"/>
                <w:sz w:val="18"/>
              </w:rPr>
              <w:t> </w:t>
            </w:r>
            <w:r>
              <w:rPr>
                <w:sz w:val="18"/>
              </w:rPr>
              <w:t>de</w:t>
            </w:r>
            <w:r>
              <w:rPr>
                <w:spacing w:val="-9"/>
                <w:sz w:val="18"/>
              </w:rPr>
              <w:t> </w:t>
            </w:r>
            <w:r>
              <w:rPr>
                <w:sz w:val="18"/>
              </w:rPr>
              <w:t>pobreza</w:t>
            </w:r>
            <w:r>
              <w:rPr>
                <w:spacing w:val="-9"/>
                <w:sz w:val="18"/>
              </w:rPr>
              <w:t> </w:t>
            </w:r>
            <w:r>
              <w:rPr>
                <w:sz w:val="18"/>
              </w:rPr>
              <w:t>(</w:t>
            </w:r>
            <w:r>
              <w:rPr>
                <w:b/>
                <w:sz w:val="18"/>
              </w:rPr>
              <w:t>vinculado</w:t>
            </w:r>
            <w:r>
              <w:rPr>
                <w:b/>
                <w:spacing w:val="-10"/>
                <w:sz w:val="18"/>
              </w:rPr>
              <w:t> </w:t>
            </w:r>
            <w:r>
              <w:rPr>
                <w:b/>
                <w:sz w:val="18"/>
              </w:rPr>
              <w:t>a PEI 3.9.1).</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2"/>
              <w:jc w:val="center"/>
              <w:rPr>
                <w:sz w:val="18"/>
              </w:rPr>
            </w:pPr>
            <w:r>
              <w:rPr>
                <w:spacing w:val="-4"/>
                <w:sz w:val="18"/>
              </w:rPr>
              <w:t>100%</w:t>
            </w:r>
          </w:p>
        </w:tc>
        <w:tc>
          <w:tcPr>
            <w:tcW w:w="1982" w:type="dxa"/>
          </w:tcPr>
          <w:p>
            <w:pPr>
              <w:pStyle w:val="TableParagraph"/>
              <w:spacing w:before="3"/>
              <w:ind w:left="68"/>
              <w:rPr>
                <w:sz w:val="18"/>
              </w:rPr>
            </w:pPr>
            <w:r>
              <w:rPr>
                <w:sz w:val="18"/>
              </w:rPr>
              <w:t>Porcentaje</w:t>
            </w:r>
            <w:r>
              <w:rPr>
                <w:spacing w:val="-6"/>
                <w:sz w:val="18"/>
              </w:rPr>
              <w:t> </w:t>
            </w:r>
            <w:r>
              <w:rPr>
                <w:sz w:val="18"/>
              </w:rPr>
              <w:t>de</w:t>
            </w:r>
            <w:r>
              <w:rPr>
                <w:spacing w:val="-6"/>
                <w:sz w:val="18"/>
              </w:rPr>
              <w:t> </w:t>
            </w:r>
            <w:r>
              <w:rPr>
                <w:sz w:val="18"/>
              </w:rPr>
              <w:t>UIPER participando en espacios</w:t>
            </w:r>
            <w:r>
              <w:rPr>
                <w:spacing w:val="-15"/>
                <w:sz w:val="18"/>
              </w:rPr>
              <w:t> </w:t>
            </w:r>
            <w:r>
              <w:rPr>
                <w:sz w:val="18"/>
              </w:rPr>
              <w:t>regionales</w:t>
            </w:r>
            <w:r>
              <w:rPr>
                <w:spacing w:val="-12"/>
                <w:sz w:val="18"/>
              </w:rPr>
              <w:t> </w:t>
            </w:r>
            <w:r>
              <w:rPr>
                <w:sz w:val="18"/>
              </w:rPr>
              <w:t>y territoriales</w:t>
            </w:r>
            <w:r>
              <w:rPr>
                <w:spacing w:val="-15"/>
                <w:sz w:val="18"/>
              </w:rPr>
              <w:t> </w:t>
            </w:r>
            <w:r>
              <w:rPr>
                <w:sz w:val="18"/>
              </w:rPr>
              <w:t>oficiales</w:t>
            </w:r>
            <w:r>
              <w:rPr>
                <w:spacing w:val="-12"/>
                <w:sz w:val="18"/>
              </w:rPr>
              <w:t> </w:t>
            </w:r>
            <w:r>
              <w:rPr>
                <w:sz w:val="18"/>
              </w:rPr>
              <w:t>y que logran articular acciones para la inclusión social de la</w:t>
            </w:r>
          </w:p>
          <w:p>
            <w:pPr>
              <w:pStyle w:val="TableParagraph"/>
              <w:spacing w:line="189" w:lineRule="exact"/>
              <w:ind w:left="68"/>
              <w:rPr>
                <w:sz w:val="18"/>
              </w:rPr>
            </w:pPr>
            <w:r>
              <w:rPr>
                <w:sz w:val="18"/>
              </w:rPr>
              <w:t>población</w:t>
            </w:r>
            <w:r>
              <w:rPr>
                <w:spacing w:val="-4"/>
                <w:sz w:val="18"/>
              </w:rPr>
              <w:t> </w:t>
            </w:r>
            <w:r>
              <w:rPr>
                <w:spacing w:val="-2"/>
                <w:sz w:val="18"/>
              </w:rPr>
              <w:t>objetivo.</w:t>
            </w:r>
          </w:p>
        </w:tc>
        <w:tc>
          <w:tcPr>
            <w:tcW w:w="1560" w:type="dxa"/>
          </w:tcPr>
          <w:p>
            <w:pPr>
              <w:pStyle w:val="TableParagraph"/>
              <w:spacing w:before="3"/>
              <w:rPr>
                <w:b/>
                <w:sz w:val="18"/>
              </w:rPr>
            </w:pPr>
          </w:p>
          <w:p>
            <w:pPr>
              <w:pStyle w:val="TableParagraph"/>
              <w:ind w:left="73" w:right="58"/>
              <w:rPr>
                <w:sz w:val="18"/>
              </w:rPr>
            </w:pPr>
            <w:r>
              <w:rPr>
                <w:sz w:val="18"/>
              </w:rPr>
              <w:t>Informe de participación</w:t>
            </w:r>
            <w:r>
              <w:rPr>
                <w:spacing w:val="-13"/>
                <w:sz w:val="18"/>
              </w:rPr>
              <w:t> </w:t>
            </w:r>
            <w:r>
              <w:rPr>
                <w:sz w:val="18"/>
              </w:rPr>
              <w:t>de las UIPER en </w:t>
            </w:r>
            <w:r>
              <w:rPr>
                <w:spacing w:val="-2"/>
                <w:sz w:val="18"/>
              </w:rPr>
              <w:t>espacios </w:t>
            </w:r>
            <w:r>
              <w:rPr>
                <w:sz w:val="18"/>
              </w:rPr>
              <w:t>regionales y </w:t>
            </w:r>
            <w:r>
              <w:rPr>
                <w:spacing w:val="-2"/>
                <w:sz w:val="18"/>
              </w:rPr>
              <w:t>locales.</w:t>
            </w:r>
          </w:p>
        </w:tc>
        <w:tc>
          <w:tcPr>
            <w:tcW w:w="141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7" w:right="12"/>
              <w:jc w:val="center"/>
              <w:rPr>
                <w:sz w:val="18"/>
              </w:rPr>
            </w:pPr>
            <w:r>
              <w:rPr>
                <w:spacing w:val="-5"/>
                <w:sz w:val="18"/>
              </w:rPr>
              <w:t>DDS</w:t>
            </w:r>
          </w:p>
        </w:tc>
        <w:tc>
          <w:tcPr>
            <w:tcW w:w="1647" w:type="dxa"/>
          </w:tcPr>
          <w:p>
            <w:pPr>
              <w:pStyle w:val="TableParagraph"/>
              <w:rPr>
                <w:rFonts w:ascii="Times New Roman"/>
                <w:sz w:val="18"/>
              </w:rPr>
            </w:pPr>
          </w:p>
        </w:tc>
        <w:tc>
          <w:tcPr>
            <w:tcW w:w="1549" w:type="dxa"/>
            <w:tcBorders>
              <w:top w:val="nil"/>
            </w:tcBorders>
          </w:tcPr>
          <w:p>
            <w:pPr>
              <w:pStyle w:val="TableParagraph"/>
              <w:spacing w:before="3"/>
              <w:ind w:left="74" w:right="108"/>
              <w:rPr>
                <w:sz w:val="18"/>
              </w:rPr>
            </w:pPr>
            <w:r>
              <w:rPr>
                <w:sz w:val="18"/>
              </w:rPr>
              <w:t>locales para el </w:t>
            </w:r>
            <w:r>
              <w:rPr>
                <w:spacing w:val="-2"/>
                <w:sz w:val="18"/>
              </w:rPr>
              <w:t>posicionamiento </w:t>
            </w:r>
            <w:r>
              <w:rPr>
                <w:sz w:val="18"/>
              </w:rPr>
              <w:t>de acciones </w:t>
            </w:r>
            <w:r>
              <w:rPr>
                <w:spacing w:val="-2"/>
                <w:sz w:val="18"/>
              </w:rPr>
              <w:t>estratégicas </w:t>
            </w:r>
            <w:r>
              <w:rPr>
                <w:sz w:val="18"/>
              </w:rPr>
              <w:t>vinculadas a la </w:t>
            </w:r>
            <w:r>
              <w:rPr>
                <w:spacing w:val="-2"/>
                <w:sz w:val="18"/>
              </w:rPr>
              <w:t>población usuaria.</w:t>
            </w:r>
          </w:p>
        </w:tc>
      </w:tr>
      <w:tr>
        <w:trPr>
          <w:trHeight w:val="537" w:hRule="atLeast"/>
        </w:trPr>
        <w:tc>
          <w:tcPr>
            <w:tcW w:w="14246" w:type="dxa"/>
            <w:gridSpan w:val="8"/>
            <w:shd w:val="clear" w:color="auto" w:fill="EFF8F9"/>
          </w:tcPr>
          <w:p>
            <w:pPr>
              <w:pStyle w:val="TableParagraph"/>
              <w:spacing w:before="162"/>
              <w:ind w:left="72"/>
              <w:rPr>
                <w:b/>
                <w:sz w:val="18"/>
              </w:rPr>
            </w:pPr>
            <w:r>
              <w:rPr>
                <w:b/>
                <w:sz w:val="18"/>
              </w:rPr>
              <w:t>Producto</w:t>
            </w:r>
            <w:r>
              <w:rPr>
                <w:b/>
                <w:spacing w:val="-7"/>
                <w:sz w:val="18"/>
              </w:rPr>
              <w:t> </w:t>
            </w:r>
            <w:r>
              <w:rPr>
                <w:b/>
                <w:sz w:val="18"/>
              </w:rPr>
              <w:t>PPPS</w:t>
            </w:r>
            <w:r>
              <w:rPr>
                <w:b/>
                <w:spacing w:val="-7"/>
                <w:sz w:val="18"/>
              </w:rPr>
              <w:t> </w:t>
            </w:r>
            <w:r>
              <w:rPr>
                <w:b/>
                <w:sz w:val="18"/>
              </w:rPr>
              <w:t>1.46:</w:t>
            </w:r>
            <w:r>
              <w:rPr>
                <w:b/>
                <w:spacing w:val="46"/>
                <w:sz w:val="18"/>
              </w:rPr>
              <w:t> </w:t>
            </w:r>
            <w:r>
              <w:rPr>
                <w:b/>
                <w:sz w:val="18"/>
              </w:rPr>
              <w:t>Evaluar</w:t>
            </w:r>
            <w:r>
              <w:rPr>
                <w:b/>
                <w:spacing w:val="-5"/>
                <w:sz w:val="18"/>
              </w:rPr>
              <w:t> </w:t>
            </w:r>
            <w:r>
              <w:rPr>
                <w:b/>
                <w:sz w:val="18"/>
              </w:rPr>
              <w:t>los</w:t>
            </w:r>
            <w:r>
              <w:rPr>
                <w:b/>
                <w:spacing w:val="-5"/>
                <w:sz w:val="18"/>
              </w:rPr>
              <w:t> </w:t>
            </w:r>
            <w:r>
              <w:rPr>
                <w:b/>
                <w:sz w:val="18"/>
              </w:rPr>
              <w:t>resultados</w:t>
            </w:r>
            <w:r>
              <w:rPr>
                <w:b/>
                <w:spacing w:val="-6"/>
                <w:sz w:val="18"/>
              </w:rPr>
              <w:t> </w:t>
            </w:r>
            <w:r>
              <w:rPr>
                <w:b/>
                <w:sz w:val="18"/>
              </w:rPr>
              <w:t>de</w:t>
            </w:r>
            <w:r>
              <w:rPr>
                <w:b/>
                <w:spacing w:val="-5"/>
                <w:sz w:val="18"/>
              </w:rPr>
              <w:t> </w:t>
            </w:r>
            <w:r>
              <w:rPr>
                <w:b/>
                <w:sz w:val="18"/>
              </w:rPr>
              <w:t>la</w:t>
            </w:r>
            <w:r>
              <w:rPr>
                <w:b/>
                <w:spacing w:val="-6"/>
                <w:sz w:val="18"/>
              </w:rPr>
              <w:t> </w:t>
            </w:r>
            <w:r>
              <w:rPr>
                <w:b/>
                <w:sz w:val="18"/>
              </w:rPr>
              <w:t>coordinación</w:t>
            </w:r>
            <w:r>
              <w:rPr>
                <w:b/>
                <w:spacing w:val="-7"/>
                <w:sz w:val="18"/>
              </w:rPr>
              <w:t> </w:t>
            </w:r>
            <w:r>
              <w:rPr>
                <w:b/>
                <w:sz w:val="18"/>
              </w:rPr>
              <w:t>de</w:t>
            </w:r>
            <w:r>
              <w:rPr>
                <w:b/>
                <w:spacing w:val="-5"/>
                <w:sz w:val="18"/>
              </w:rPr>
              <w:t> </w:t>
            </w:r>
            <w:r>
              <w:rPr>
                <w:b/>
                <w:sz w:val="18"/>
              </w:rPr>
              <w:t>las</w:t>
            </w:r>
            <w:r>
              <w:rPr>
                <w:b/>
                <w:spacing w:val="-6"/>
                <w:sz w:val="18"/>
              </w:rPr>
              <w:t> </w:t>
            </w:r>
            <w:r>
              <w:rPr>
                <w:b/>
                <w:sz w:val="18"/>
              </w:rPr>
              <w:t>UIPER</w:t>
            </w:r>
            <w:r>
              <w:rPr>
                <w:b/>
                <w:spacing w:val="-3"/>
                <w:sz w:val="18"/>
              </w:rPr>
              <w:t> </w:t>
            </w:r>
            <w:r>
              <w:rPr>
                <w:b/>
                <w:sz w:val="18"/>
              </w:rPr>
              <w:t>para</w:t>
            </w:r>
            <w:r>
              <w:rPr>
                <w:b/>
                <w:spacing w:val="-5"/>
                <w:sz w:val="18"/>
              </w:rPr>
              <w:t> </w:t>
            </w:r>
            <w:r>
              <w:rPr>
                <w:b/>
                <w:sz w:val="18"/>
              </w:rPr>
              <w:t>identificar</w:t>
            </w:r>
            <w:r>
              <w:rPr>
                <w:b/>
                <w:spacing w:val="-5"/>
                <w:sz w:val="18"/>
              </w:rPr>
              <w:t> </w:t>
            </w:r>
            <w:r>
              <w:rPr>
                <w:b/>
                <w:sz w:val="18"/>
              </w:rPr>
              <w:t>oportunidades</w:t>
            </w:r>
            <w:r>
              <w:rPr>
                <w:b/>
                <w:spacing w:val="-5"/>
                <w:sz w:val="18"/>
              </w:rPr>
              <w:t> </w:t>
            </w:r>
            <w:r>
              <w:rPr>
                <w:b/>
                <w:sz w:val="18"/>
              </w:rPr>
              <w:t>de</w:t>
            </w:r>
            <w:r>
              <w:rPr>
                <w:b/>
                <w:spacing w:val="-11"/>
                <w:sz w:val="18"/>
              </w:rPr>
              <w:t> </w:t>
            </w:r>
            <w:r>
              <w:rPr>
                <w:b/>
                <w:sz w:val="18"/>
              </w:rPr>
              <w:t>mejora.</w:t>
            </w:r>
            <w:r>
              <w:rPr>
                <w:b/>
                <w:spacing w:val="-3"/>
                <w:sz w:val="18"/>
              </w:rPr>
              <w:t> </w:t>
            </w:r>
            <w:r>
              <w:rPr>
                <w:b/>
                <w:sz w:val="18"/>
              </w:rPr>
              <w:t>E3</w:t>
            </w:r>
            <w:r>
              <w:rPr>
                <w:b/>
                <w:spacing w:val="-2"/>
                <w:sz w:val="18"/>
              </w:rPr>
              <w:t> </w:t>
            </w:r>
            <w:r>
              <w:rPr>
                <w:b/>
                <w:sz w:val="18"/>
              </w:rPr>
              <w:t>AE9</w:t>
            </w:r>
            <w:r>
              <w:rPr>
                <w:b/>
                <w:spacing w:val="6"/>
                <w:sz w:val="18"/>
              </w:rPr>
              <w:t> </w:t>
            </w:r>
            <w:r>
              <w:rPr>
                <w:b/>
                <w:spacing w:val="-5"/>
                <w:sz w:val="18"/>
              </w:rPr>
              <w:t>R2</w:t>
            </w:r>
          </w:p>
        </w:tc>
      </w:tr>
      <w:tr>
        <w:trPr>
          <w:trHeight w:val="1449" w:hRule="atLeast"/>
        </w:trPr>
        <w:tc>
          <w:tcPr>
            <w:tcW w:w="2972" w:type="dxa"/>
          </w:tcPr>
          <w:p>
            <w:pPr>
              <w:pStyle w:val="TableParagraph"/>
              <w:spacing w:line="206"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1.46.1:</w:t>
            </w:r>
          </w:p>
          <w:p>
            <w:pPr>
              <w:pStyle w:val="TableParagraph"/>
              <w:ind w:left="72" w:right="141"/>
              <w:rPr>
                <w:sz w:val="18"/>
              </w:rPr>
            </w:pPr>
            <w:r>
              <w:rPr>
                <w:sz w:val="18"/>
              </w:rPr>
              <w:t>Diseño</w:t>
            </w:r>
            <w:r>
              <w:rPr>
                <w:spacing w:val="-5"/>
                <w:sz w:val="18"/>
              </w:rPr>
              <w:t> </w:t>
            </w:r>
            <w:r>
              <w:rPr>
                <w:sz w:val="18"/>
              </w:rPr>
              <w:t>del</w:t>
            </w:r>
            <w:r>
              <w:rPr>
                <w:spacing w:val="-10"/>
                <w:sz w:val="18"/>
              </w:rPr>
              <w:t> </w:t>
            </w:r>
            <w:r>
              <w:rPr>
                <w:sz w:val="18"/>
              </w:rPr>
              <w:t>proceso</w:t>
            </w:r>
            <w:r>
              <w:rPr>
                <w:spacing w:val="-9"/>
                <w:sz w:val="18"/>
              </w:rPr>
              <w:t> </w:t>
            </w:r>
            <w:r>
              <w:rPr>
                <w:sz w:val="18"/>
              </w:rPr>
              <w:t>de</w:t>
            </w:r>
            <w:r>
              <w:rPr>
                <w:spacing w:val="-9"/>
                <w:sz w:val="18"/>
              </w:rPr>
              <w:t> </w:t>
            </w:r>
            <w:r>
              <w:rPr>
                <w:sz w:val="18"/>
              </w:rPr>
              <w:t>evaluación a implementarse para la identificación</w:t>
            </w:r>
            <w:r>
              <w:rPr>
                <w:spacing w:val="-8"/>
                <w:sz w:val="18"/>
              </w:rPr>
              <w:t> </w:t>
            </w:r>
            <w:r>
              <w:rPr>
                <w:sz w:val="18"/>
              </w:rPr>
              <w:t>de</w:t>
            </w:r>
            <w:r>
              <w:rPr>
                <w:spacing w:val="-8"/>
                <w:sz w:val="18"/>
              </w:rPr>
              <w:t> </w:t>
            </w:r>
            <w:r>
              <w:rPr>
                <w:sz w:val="18"/>
              </w:rPr>
              <w:t>los</w:t>
            </w:r>
            <w:r>
              <w:rPr>
                <w:spacing w:val="-8"/>
                <w:sz w:val="18"/>
              </w:rPr>
              <w:t> </w:t>
            </w:r>
            <w:r>
              <w:rPr>
                <w:sz w:val="18"/>
              </w:rPr>
              <w:t>resultados</w:t>
            </w:r>
            <w:r>
              <w:rPr>
                <w:spacing w:val="-8"/>
                <w:sz w:val="18"/>
              </w:rPr>
              <w:t> </w:t>
            </w:r>
            <w:r>
              <w:rPr>
                <w:sz w:val="18"/>
              </w:rPr>
              <w:t>de los procesos de coordinación desarrollados por las UIPER</w:t>
            </w:r>
          </w:p>
          <w:p>
            <w:pPr>
              <w:pStyle w:val="TableParagraph"/>
              <w:spacing w:line="187" w:lineRule="exact" w:before="2"/>
              <w:ind w:left="72"/>
              <w:rPr>
                <w:b/>
                <w:sz w:val="18"/>
              </w:rPr>
            </w:pPr>
            <w:r>
              <w:rPr>
                <w:b/>
                <w:sz w:val="18"/>
              </w:rPr>
              <w:t>(vinculado</w:t>
            </w:r>
            <w:r>
              <w:rPr>
                <w:b/>
                <w:spacing w:val="-2"/>
                <w:sz w:val="18"/>
              </w:rPr>
              <w:t> </w:t>
            </w:r>
            <w:r>
              <w:rPr>
                <w:b/>
                <w:sz w:val="18"/>
              </w:rPr>
              <w:t>a</w:t>
            </w:r>
            <w:r>
              <w:rPr>
                <w:b/>
                <w:spacing w:val="-5"/>
                <w:sz w:val="18"/>
              </w:rPr>
              <w:t> </w:t>
            </w:r>
            <w:r>
              <w:rPr>
                <w:b/>
                <w:sz w:val="18"/>
              </w:rPr>
              <w:t>PEI</w:t>
            </w:r>
            <w:r>
              <w:rPr>
                <w:b/>
                <w:spacing w:val="-3"/>
                <w:sz w:val="18"/>
              </w:rPr>
              <w:t> </w:t>
            </w:r>
            <w:r>
              <w:rPr>
                <w:b/>
                <w:spacing w:val="-2"/>
                <w:sz w:val="18"/>
              </w:rPr>
              <w:t>3.9.2).</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2"/>
              <w:jc w:val="center"/>
              <w:rPr>
                <w:sz w:val="18"/>
              </w:rPr>
            </w:pPr>
            <w:r>
              <w:rPr>
                <w:spacing w:val="-4"/>
                <w:sz w:val="18"/>
              </w:rPr>
              <w:t>100%</w:t>
            </w:r>
          </w:p>
        </w:tc>
        <w:tc>
          <w:tcPr>
            <w:tcW w:w="1982" w:type="dxa"/>
          </w:tcPr>
          <w:p>
            <w:pPr>
              <w:pStyle w:val="TableParagraph"/>
              <w:spacing w:before="205"/>
              <w:rPr>
                <w:b/>
                <w:sz w:val="18"/>
              </w:rPr>
            </w:pPr>
          </w:p>
          <w:p>
            <w:pPr>
              <w:pStyle w:val="TableParagraph"/>
              <w:spacing w:line="242" w:lineRule="auto"/>
              <w:ind w:left="68" w:right="114"/>
              <w:rPr>
                <w:sz w:val="18"/>
              </w:rPr>
            </w:pPr>
            <w:r>
              <w:rPr>
                <w:sz w:val="18"/>
              </w:rPr>
              <w:t>Cantidad de </w:t>
            </w:r>
            <w:r>
              <w:rPr>
                <w:spacing w:val="-2"/>
                <w:sz w:val="18"/>
              </w:rPr>
              <w:t>evaluaciones realizadas</w:t>
            </w:r>
          </w:p>
        </w:tc>
        <w:tc>
          <w:tcPr>
            <w:tcW w:w="1560" w:type="dxa"/>
          </w:tcPr>
          <w:p>
            <w:pPr>
              <w:pStyle w:val="TableParagraph"/>
              <w:spacing w:before="104"/>
              <w:ind w:left="73" w:right="58"/>
              <w:rPr>
                <w:sz w:val="18"/>
              </w:rPr>
            </w:pPr>
            <w:r>
              <w:rPr>
                <w:sz w:val="18"/>
              </w:rPr>
              <w:t>Informe de participación</w:t>
            </w:r>
            <w:r>
              <w:rPr>
                <w:spacing w:val="-13"/>
                <w:sz w:val="18"/>
              </w:rPr>
              <w:t> </w:t>
            </w:r>
            <w:r>
              <w:rPr>
                <w:sz w:val="18"/>
              </w:rPr>
              <w:t>de las UIPER en </w:t>
            </w:r>
            <w:r>
              <w:rPr>
                <w:spacing w:val="-2"/>
                <w:sz w:val="18"/>
              </w:rPr>
              <w:t>espacios </w:t>
            </w:r>
            <w:r>
              <w:rPr>
                <w:sz w:val="18"/>
              </w:rPr>
              <w:t>regionales y </w:t>
            </w:r>
            <w:r>
              <w:rPr>
                <w:spacing w:val="-2"/>
                <w:sz w:val="18"/>
              </w:rPr>
              <w:t>locales.</w:t>
            </w:r>
          </w:p>
        </w:tc>
        <w:tc>
          <w:tcPr>
            <w:tcW w:w="141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7" w:right="10"/>
              <w:jc w:val="center"/>
              <w:rPr>
                <w:sz w:val="18"/>
              </w:rPr>
            </w:pPr>
            <w:r>
              <w:rPr>
                <w:spacing w:val="-5"/>
                <w:sz w:val="18"/>
              </w:rPr>
              <w:t>PI</w:t>
            </w:r>
          </w:p>
        </w:tc>
        <w:tc>
          <w:tcPr>
            <w:tcW w:w="1647" w:type="dxa"/>
          </w:tcPr>
          <w:p>
            <w:pPr>
              <w:pStyle w:val="TableParagraph"/>
              <w:rPr>
                <w:rFonts w:ascii="Times New Roman"/>
                <w:sz w:val="18"/>
              </w:rPr>
            </w:pPr>
          </w:p>
        </w:tc>
        <w:tc>
          <w:tcPr>
            <w:tcW w:w="1549" w:type="dxa"/>
            <w:vMerge w:val="restart"/>
          </w:tcPr>
          <w:p>
            <w:pPr>
              <w:pStyle w:val="TableParagraph"/>
              <w:rPr>
                <w:b/>
                <w:sz w:val="18"/>
              </w:rPr>
            </w:pPr>
          </w:p>
          <w:p>
            <w:pPr>
              <w:pStyle w:val="TableParagraph"/>
              <w:rPr>
                <w:b/>
                <w:sz w:val="18"/>
              </w:rPr>
            </w:pPr>
          </w:p>
          <w:p>
            <w:pPr>
              <w:pStyle w:val="TableParagraph"/>
              <w:spacing w:before="7"/>
              <w:rPr>
                <w:b/>
                <w:sz w:val="18"/>
              </w:rPr>
            </w:pPr>
          </w:p>
          <w:p>
            <w:pPr>
              <w:pStyle w:val="TableParagraph"/>
              <w:numPr>
                <w:ilvl w:val="0"/>
                <w:numId w:val="76"/>
              </w:numPr>
              <w:tabs>
                <w:tab w:pos="135" w:val="left" w:leader="none"/>
              </w:tabs>
              <w:spacing w:line="240" w:lineRule="auto" w:before="0" w:after="0"/>
              <w:ind w:left="74" w:right="188" w:firstLine="0"/>
              <w:jc w:val="left"/>
              <w:rPr>
                <w:sz w:val="18"/>
              </w:rPr>
            </w:pPr>
            <w:r>
              <w:rPr>
                <w:sz w:val="18"/>
              </w:rPr>
              <w:t>UIPER no cuenten con insumos</w:t>
            </w:r>
            <w:r>
              <w:rPr>
                <w:spacing w:val="-15"/>
                <w:sz w:val="18"/>
              </w:rPr>
              <w:t> </w:t>
            </w:r>
            <w:r>
              <w:rPr>
                <w:sz w:val="18"/>
              </w:rPr>
              <w:t>para</w:t>
            </w:r>
            <w:r>
              <w:rPr>
                <w:spacing w:val="-12"/>
                <w:sz w:val="18"/>
              </w:rPr>
              <w:t> </w:t>
            </w:r>
            <w:r>
              <w:rPr>
                <w:sz w:val="18"/>
              </w:rPr>
              <w:t>el desarrollo de estrategias de </w:t>
            </w:r>
            <w:r>
              <w:rPr>
                <w:spacing w:val="-2"/>
                <w:sz w:val="18"/>
              </w:rPr>
              <w:t>intervención </w:t>
            </w:r>
            <w:r>
              <w:rPr>
                <w:sz w:val="18"/>
              </w:rPr>
              <w:t>regional y </w:t>
            </w:r>
            <w:r>
              <w:rPr>
                <w:spacing w:val="-2"/>
                <w:sz w:val="18"/>
              </w:rPr>
              <w:t>territorial.</w:t>
            </w:r>
          </w:p>
        </w:tc>
      </w:tr>
      <w:tr>
        <w:trPr>
          <w:trHeight w:val="1449" w:hRule="atLeast"/>
        </w:trPr>
        <w:tc>
          <w:tcPr>
            <w:tcW w:w="2972" w:type="dxa"/>
          </w:tcPr>
          <w:p>
            <w:pPr>
              <w:pStyle w:val="TableParagraph"/>
              <w:ind w:left="72" w:right="105"/>
              <w:rPr>
                <w:sz w:val="18"/>
              </w:rPr>
            </w:pPr>
            <w:r>
              <w:rPr>
                <w:b/>
                <w:sz w:val="18"/>
              </w:rPr>
              <w:t>Actividad PPPS 1.46.2: </w:t>
            </w:r>
            <w:r>
              <w:rPr>
                <w:sz w:val="18"/>
              </w:rPr>
              <w:t>Implementación de proceso de evaluación</w:t>
            </w:r>
            <w:r>
              <w:rPr>
                <w:spacing w:val="-5"/>
                <w:sz w:val="18"/>
              </w:rPr>
              <w:t> </w:t>
            </w:r>
            <w:r>
              <w:rPr>
                <w:sz w:val="18"/>
              </w:rPr>
              <w:t>a</w:t>
            </w:r>
            <w:r>
              <w:rPr>
                <w:spacing w:val="-13"/>
                <w:sz w:val="18"/>
              </w:rPr>
              <w:t> </w:t>
            </w:r>
            <w:r>
              <w:rPr>
                <w:sz w:val="18"/>
              </w:rPr>
              <w:t>fin</w:t>
            </w:r>
            <w:r>
              <w:rPr>
                <w:spacing w:val="-5"/>
                <w:sz w:val="18"/>
              </w:rPr>
              <w:t> </w:t>
            </w:r>
            <w:r>
              <w:rPr>
                <w:sz w:val="18"/>
              </w:rPr>
              <w:t>de</w:t>
            </w:r>
            <w:r>
              <w:rPr>
                <w:spacing w:val="-9"/>
                <w:sz w:val="18"/>
              </w:rPr>
              <w:t> </w:t>
            </w:r>
            <w:r>
              <w:rPr>
                <w:sz w:val="18"/>
              </w:rPr>
              <w:t>determinar</w:t>
            </w:r>
            <w:r>
              <w:rPr>
                <w:spacing w:val="-3"/>
                <w:sz w:val="18"/>
              </w:rPr>
              <w:t> </w:t>
            </w:r>
            <w:r>
              <w:rPr>
                <w:sz w:val="18"/>
              </w:rPr>
              <w:t>los resultados de la coordinación de las UIPER para identificar oportunidades de mejora</w:t>
            </w:r>
          </w:p>
          <w:p>
            <w:pPr>
              <w:pStyle w:val="TableParagraph"/>
              <w:spacing w:line="187" w:lineRule="exact"/>
              <w:ind w:left="72"/>
              <w:rPr>
                <w:b/>
                <w:sz w:val="18"/>
              </w:rPr>
            </w:pPr>
            <w:r>
              <w:rPr>
                <w:b/>
                <w:sz w:val="18"/>
              </w:rPr>
              <w:t>(vinculado</w:t>
            </w:r>
            <w:r>
              <w:rPr>
                <w:b/>
                <w:spacing w:val="-2"/>
                <w:sz w:val="18"/>
              </w:rPr>
              <w:t> </w:t>
            </w:r>
            <w:r>
              <w:rPr>
                <w:b/>
                <w:sz w:val="18"/>
              </w:rPr>
              <w:t>a</w:t>
            </w:r>
            <w:r>
              <w:rPr>
                <w:b/>
                <w:spacing w:val="-5"/>
                <w:sz w:val="18"/>
              </w:rPr>
              <w:t> </w:t>
            </w:r>
            <w:r>
              <w:rPr>
                <w:b/>
                <w:sz w:val="18"/>
              </w:rPr>
              <w:t>PEI</w:t>
            </w:r>
            <w:r>
              <w:rPr>
                <w:b/>
                <w:spacing w:val="-3"/>
                <w:sz w:val="18"/>
              </w:rPr>
              <w:t> </w:t>
            </w:r>
            <w:r>
              <w:rPr>
                <w:b/>
                <w:spacing w:val="-2"/>
                <w:sz w:val="18"/>
              </w:rPr>
              <w:t>3.9.2).</w:t>
            </w:r>
          </w:p>
        </w:tc>
        <w:tc>
          <w:tcPr>
            <w:tcW w:w="1560" w:type="dxa"/>
          </w:tcPr>
          <w:p>
            <w:pPr>
              <w:pStyle w:val="TableParagraph"/>
              <w:rPr>
                <w:b/>
                <w:sz w:val="18"/>
              </w:rPr>
            </w:pPr>
          </w:p>
          <w:p>
            <w:pPr>
              <w:pStyle w:val="TableParagraph"/>
              <w:spacing w:before="204"/>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204"/>
              <w:rPr>
                <w:b/>
                <w:sz w:val="18"/>
              </w:rPr>
            </w:pPr>
          </w:p>
          <w:p>
            <w:pPr>
              <w:pStyle w:val="TableParagraph"/>
              <w:ind w:left="21" w:right="18"/>
              <w:jc w:val="center"/>
              <w:rPr>
                <w:sz w:val="18"/>
              </w:rPr>
            </w:pPr>
            <w:r>
              <w:rPr>
                <w:spacing w:val="-10"/>
                <w:sz w:val="18"/>
              </w:rPr>
              <w:t>9</w:t>
            </w:r>
          </w:p>
        </w:tc>
        <w:tc>
          <w:tcPr>
            <w:tcW w:w="1982" w:type="dxa"/>
          </w:tcPr>
          <w:p>
            <w:pPr>
              <w:pStyle w:val="TableParagraph"/>
              <w:spacing w:before="205"/>
              <w:rPr>
                <w:b/>
                <w:sz w:val="18"/>
              </w:rPr>
            </w:pPr>
          </w:p>
          <w:p>
            <w:pPr>
              <w:pStyle w:val="TableParagraph"/>
              <w:spacing w:line="242" w:lineRule="auto"/>
              <w:ind w:left="68" w:right="114"/>
              <w:rPr>
                <w:sz w:val="18"/>
              </w:rPr>
            </w:pPr>
            <w:r>
              <w:rPr>
                <w:sz w:val="18"/>
              </w:rPr>
              <w:t>Cantidad de </w:t>
            </w:r>
            <w:r>
              <w:rPr>
                <w:spacing w:val="-2"/>
                <w:sz w:val="18"/>
              </w:rPr>
              <w:t>evaluaciones realizadas</w:t>
            </w:r>
          </w:p>
        </w:tc>
        <w:tc>
          <w:tcPr>
            <w:tcW w:w="1560" w:type="dxa"/>
          </w:tcPr>
          <w:p>
            <w:pPr>
              <w:pStyle w:val="TableParagraph"/>
              <w:spacing w:before="104"/>
              <w:ind w:left="73" w:right="58"/>
              <w:rPr>
                <w:sz w:val="18"/>
              </w:rPr>
            </w:pPr>
            <w:r>
              <w:rPr>
                <w:sz w:val="18"/>
              </w:rPr>
              <w:t>Informe de participación</w:t>
            </w:r>
            <w:r>
              <w:rPr>
                <w:spacing w:val="-13"/>
                <w:sz w:val="18"/>
              </w:rPr>
              <w:t> </w:t>
            </w:r>
            <w:r>
              <w:rPr>
                <w:sz w:val="18"/>
              </w:rPr>
              <w:t>de las UIPER en </w:t>
            </w:r>
            <w:r>
              <w:rPr>
                <w:spacing w:val="-2"/>
                <w:sz w:val="18"/>
              </w:rPr>
              <w:t>espacios </w:t>
            </w:r>
            <w:r>
              <w:rPr>
                <w:sz w:val="18"/>
              </w:rPr>
              <w:t>regionales y </w:t>
            </w:r>
            <w:r>
              <w:rPr>
                <w:spacing w:val="-2"/>
                <w:sz w:val="18"/>
              </w:rPr>
              <w:t>locales.</w:t>
            </w:r>
          </w:p>
        </w:tc>
        <w:tc>
          <w:tcPr>
            <w:tcW w:w="1416" w:type="dxa"/>
          </w:tcPr>
          <w:p>
            <w:pPr>
              <w:pStyle w:val="TableParagraph"/>
              <w:rPr>
                <w:b/>
                <w:sz w:val="18"/>
              </w:rPr>
            </w:pPr>
          </w:p>
          <w:p>
            <w:pPr>
              <w:pStyle w:val="TableParagraph"/>
              <w:spacing w:before="204"/>
              <w:rPr>
                <w:b/>
                <w:sz w:val="18"/>
              </w:rPr>
            </w:pPr>
          </w:p>
          <w:p>
            <w:pPr>
              <w:pStyle w:val="TableParagraph"/>
              <w:ind w:left="17" w:right="10"/>
              <w:jc w:val="center"/>
              <w:rPr>
                <w:sz w:val="18"/>
              </w:rPr>
            </w:pPr>
            <w:r>
              <w:rPr>
                <w:spacing w:val="-5"/>
                <w:sz w:val="18"/>
              </w:rPr>
              <w:t>PI</w:t>
            </w:r>
          </w:p>
        </w:tc>
        <w:tc>
          <w:tcPr>
            <w:tcW w:w="1647" w:type="dxa"/>
          </w:tcPr>
          <w:p>
            <w:pPr>
              <w:pStyle w:val="TableParagraph"/>
              <w:rPr>
                <w:rFonts w:ascii="Times New Roman"/>
                <w:sz w:val="18"/>
              </w:rPr>
            </w:pPr>
          </w:p>
        </w:tc>
        <w:tc>
          <w:tcPr>
            <w:tcW w:w="1549" w:type="dxa"/>
            <w:vMerge/>
            <w:tcBorders>
              <w:top w:val="nil"/>
            </w:tcBorders>
          </w:tcPr>
          <w:p>
            <w:pPr>
              <w:rPr>
                <w:sz w:val="2"/>
                <w:szCs w:val="2"/>
              </w:rPr>
            </w:pPr>
          </w:p>
        </w:tc>
      </w:tr>
      <w:tr>
        <w:trPr>
          <w:trHeight w:val="465" w:hRule="atLeast"/>
        </w:trPr>
        <w:tc>
          <w:tcPr>
            <w:tcW w:w="14246" w:type="dxa"/>
            <w:gridSpan w:val="8"/>
            <w:shd w:val="clear" w:color="auto" w:fill="EFF8F9"/>
          </w:tcPr>
          <w:p>
            <w:pPr>
              <w:pStyle w:val="TableParagraph"/>
              <w:spacing w:before="23"/>
              <w:ind w:left="72" w:right="107"/>
              <w:rPr>
                <w:b/>
                <w:sz w:val="18"/>
              </w:rPr>
            </w:pPr>
            <w:r>
              <w:rPr>
                <w:b/>
                <w:sz w:val="18"/>
              </w:rPr>
              <w:t>Producto</w:t>
            </w:r>
            <w:r>
              <w:rPr>
                <w:b/>
                <w:spacing w:val="-4"/>
                <w:sz w:val="18"/>
              </w:rPr>
              <w:t> </w:t>
            </w:r>
            <w:r>
              <w:rPr>
                <w:b/>
                <w:sz w:val="18"/>
              </w:rPr>
              <w:t>PPPS</w:t>
            </w:r>
            <w:r>
              <w:rPr>
                <w:b/>
                <w:spacing w:val="-4"/>
                <w:sz w:val="18"/>
              </w:rPr>
              <w:t> </w:t>
            </w:r>
            <w:r>
              <w:rPr>
                <w:b/>
                <w:sz w:val="18"/>
              </w:rPr>
              <w:t>1.47:</w:t>
            </w:r>
            <w:r>
              <w:rPr>
                <w:b/>
                <w:spacing w:val="40"/>
                <w:sz w:val="18"/>
              </w:rPr>
              <w:t> </w:t>
            </w:r>
            <w:r>
              <w:rPr>
                <w:b/>
                <w:sz w:val="18"/>
              </w:rPr>
              <w:t>Metodología elaborada</w:t>
            </w:r>
            <w:r>
              <w:rPr>
                <w:b/>
                <w:spacing w:val="-3"/>
                <w:sz w:val="18"/>
              </w:rPr>
              <w:t> </w:t>
            </w:r>
            <w:r>
              <w:rPr>
                <w:b/>
                <w:sz w:val="18"/>
              </w:rPr>
              <w:t>para</w:t>
            </w:r>
            <w:r>
              <w:rPr>
                <w:b/>
                <w:spacing w:val="-3"/>
                <w:sz w:val="18"/>
              </w:rPr>
              <w:t> </w:t>
            </w:r>
            <w:r>
              <w:rPr>
                <w:b/>
                <w:sz w:val="18"/>
              </w:rPr>
              <w:t>el desarrollo</w:t>
            </w:r>
            <w:r>
              <w:rPr>
                <w:b/>
                <w:spacing w:val="-4"/>
                <w:sz w:val="18"/>
              </w:rPr>
              <w:t> </w:t>
            </w:r>
            <w:r>
              <w:rPr>
                <w:b/>
                <w:sz w:val="18"/>
              </w:rPr>
              <w:t>de</w:t>
            </w:r>
            <w:r>
              <w:rPr>
                <w:b/>
                <w:spacing w:val="-3"/>
                <w:sz w:val="18"/>
              </w:rPr>
              <w:t> </w:t>
            </w:r>
            <w:r>
              <w:rPr>
                <w:b/>
                <w:sz w:val="18"/>
              </w:rPr>
              <w:t>estudios de</w:t>
            </w:r>
            <w:r>
              <w:rPr>
                <w:b/>
                <w:spacing w:val="-8"/>
                <w:sz w:val="18"/>
              </w:rPr>
              <w:t> </w:t>
            </w:r>
            <w:r>
              <w:rPr>
                <w:b/>
                <w:sz w:val="18"/>
              </w:rPr>
              <w:t>la</w:t>
            </w:r>
            <w:r>
              <w:rPr>
                <w:b/>
                <w:spacing w:val="-3"/>
                <w:sz w:val="18"/>
              </w:rPr>
              <w:t> </w:t>
            </w:r>
            <w:r>
              <w:rPr>
                <w:b/>
                <w:sz w:val="18"/>
              </w:rPr>
              <w:t>realidad social,</w:t>
            </w:r>
            <w:r>
              <w:rPr>
                <w:b/>
                <w:spacing w:val="-1"/>
                <w:sz w:val="18"/>
              </w:rPr>
              <w:t> </w:t>
            </w:r>
            <w:r>
              <w:rPr>
                <w:b/>
                <w:sz w:val="18"/>
              </w:rPr>
              <w:t>económica,</w:t>
            </w:r>
            <w:r>
              <w:rPr>
                <w:b/>
                <w:spacing w:val="-1"/>
                <w:sz w:val="18"/>
              </w:rPr>
              <w:t> </w:t>
            </w:r>
            <w:r>
              <w:rPr>
                <w:b/>
                <w:sz w:val="18"/>
              </w:rPr>
              <w:t>regional</w:t>
            </w:r>
            <w:r>
              <w:rPr>
                <w:b/>
                <w:spacing w:val="-1"/>
                <w:sz w:val="18"/>
              </w:rPr>
              <w:t> </w:t>
            </w:r>
            <w:r>
              <w:rPr>
                <w:b/>
                <w:sz w:val="18"/>
              </w:rPr>
              <w:t>y</w:t>
            </w:r>
            <w:r>
              <w:rPr>
                <w:b/>
                <w:spacing w:val="-3"/>
                <w:sz w:val="18"/>
              </w:rPr>
              <w:t> </w:t>
            </w:r>
            <w:r>
              <w:rPr>
                <w:b/>
                <w:sz w:val="18"/>
              </w:rPr>
              <w:t>territorial,</w:t>
            </w:r>
            <w:r>
              <w:rPr>
                <w:b/>
                <w:spacing w:val="-1"/>
                <w:sz w:val="18"/>
              </w:rPr>
              <w:t> </w:t>
            </w:r>
            <w:r>
              <w:rPr>
                <w:b/>
                <w:sz w:val="18"/>
              </w:rPr>
              <w:t>que</w:t>
            </w:r>
            <w:r>
              <w:rPr>
                <w:b/>
                <w:spacing w:val="-3"/>
                <w:sz w:val="18"/>
              </w:rPr>
              <w:t> </w:t>
            </w:r>
            <w:r>
              <w:rPr>
                <w:b/>
                <w:sz w:val="18"/>
              </w:rPr>
              <w:t>genere</w:t>
            </w:r>
            <w:r>
              <w:rPr>
                <w:b/>
                <w:spacing w:val="-3"/>
                <w:sz w:val="18"/>
              </w:rPr>
              <w:t> </w:t>
            </w:r>
            <w:r>
              <w:rPr>
                <w:b/>
                <w:sz w:val="18"/>
              </w:rPr>
              <w:t>los</w:t>
            </w:r>
            <w:r>
              <w:rPr>
                <w:b/>
                <w:spacing w:val="-3"/>
                <w:sz w:val="18"/>
              </w:rPr>
              <w:t> </w:t>
            </w:r>
            <w:r>
              <w:rPr>
                <w:b/>
                <w:sz w:val="18"/>
              </w:rPr>
              <w:t>insumos necesarios para</w:t>
            </w:r>
            <w:r>
              <w:rPr>
                <w:b/>
                <w:spacing w:val="-1"/>
                <w:sz w:val="18"/>
              </w:rPr>
              <w:t> </w:t>
            </w:r>
            <w:r>
              <w:rPr>
                <w:b/>
                <w:sz w:val="18"/>
              </w:rPr>
              <w:t>facilitar la orientación de la inversión y el desarrollo de la oferta programática. E3 AE10 R1</w:t>
            </w:r>
          </w:p>
        </w:tc>
      </w:tr>
      <w:tr>
        <w:trPr>
          <w:trHeight w:val="1036" w:hRule="atLeast"/>
        </w:trPr>
        <w:tc>
          <w:tcPr>
            <w:tcW w:w="2972" w:type="dxa"/>
          </w:tcPr>
          <w:p>
            <w:pPr>
              <w:pStyle w:val="TableParagraph"/>
              <w:ind w:left="72" w:right="105"/>
              <w:rPr>
                <w:b/>
                <w:sz w:val="18"/>
              </w:rPr>
            </w:pPr>
            <w:r>
              <w:rPr>
                <w:b/>
                <w:sz w:val="18"/>
              </w:rPr>
              <w:t>Actividad PPPS 1.47.1: </w:t>
            </w:r>
            <w:r>
              <w:rPr>
                <w:sz w:val="18"/>
              </w:rPr>
              <w:t>Elaboración de estudios de la realidad social, económica, regional</w:t>
            </w:r>
            <w:r>
              <w:rPr>
                <w:spacing w:val="-7"/>
                <w:sz w:val="18"/>
              </w:rPr>
              <w:t> </w:t>
            </w:r>
            <w:r>
              <w:rPr>
                <w:sz w:val="18"/>
              </w:rPr>
              <w:t>y</w:t>
            </w:r>
            <w:r>
              <w:rPr>
                <w:spacing w:val="-13"/>
                <w:sz w:val="18"/>
              </w:rPr>
              <w:t> </w:t>
            </w:r>
            <w:r>
              <w:rPr>
                <w:sz w:val="18"/>
              </w:rPr>
              <w:t>territorial</w:t>
            </w:r>
            <w:r>
              <w:rPr>
                <w:spacing w:val="-5"/>
                <w:sz w:val="18"/>
              </w:rPr>
              <w:t> </w:t>
            </w:r>
            <w:r>
              <w:rPr>
                <w:b/>
                <w:sz w:val="18"/>
              </w:rPr>
              <w:t>(vinculado</w:t>
            </w:r>
            <w:r>
              <w:rPr>
                <w:b/>
                <w:spacing w:val="-10"/>
                <w:sz w:val="18"/>
              </w:rPr>
              <w:t> </w:t>
            </w:r>
            <w:r>
              <w:rPr>
                <w:b/>
                <w:sz w:val="18"/>
              </w:rPr>
              <w:t>a</w:t>
            </w:r>
          </w:p>
          <w:p>
            <w:pPr>
              <w:pStyle w:val="TableParagraph"/>
              <w:spacing w:line="190" w:lineRule="exact"/>
              <w:ind w:left="72"/>
              <w:rPr>
                <w:b/>
                <w:sz w:val="18"/>
              </w:rPr>
            </w:pPr>
            <w:r>
              <w:rPr>
                <w:b/>
                <w:sz w:val="18"/>
              </w:rPr>
              <w:t>PEI</w:t>
            </w:r>
            <w:r>
              <w:rPr>
                <w:b/>
                <w:spacing w:val="2"/>
                <w:sz w:val="18"/>
              </w:rPr>
              <w:t> </w:t>
            </w:r>
            <w:r>
              <w:rPr>
                <w:b/>
                <w:spacing w:val="-2"/>
                <w:sz w:val="18"/>
              </w:rPr>
              <w:t>3.10.1).</w:t>
            </w:r>
          </w:p>
        </w:tc>
        <w:tc>
          <w:tcPr>
            <w:tcW w:w="1560" w:type="dxa"/>
          </w:tcPr>
          <w:p>
            <w:pPr>
              <w:pStyle w:val="TableParagraph"/>
              <w:spacing w:before="204"/>
              <w:rPr>
                <w:b/>
                <w:sz w:val="18"/>
              </w:rPr>
            </w:pPr>
          </w:p>
          <w:p>
            <w:pPr>
              <w:pStyle w:val="TableParagraph"/>
              <w:ind w:left="21" w:right="10"/>
              <w:jc w:val="center"/>
              <w:rPr>
                <w:sz w:val="18"/>
              </w:rPr>
            </w:pPr>
            <w:r>
              <w:rPr>
                <w:spacing w:val="-10"/>
                <w:sz w:val="18"/>
              </w:rPr>
              <w:t>0</w:t>
            </w:r>
          </w:p>
        </w:tc>
        <w:tc>
          <w:tcPr>
            <w:tcW w:w="1560" w:type="dxa"/>
          </w:tcPr>
          <w:p>
            <w:pPr>
              <w:pStyle w:val="TableParagraph"/>
              <w:spacing w:before="204"/>
              <w:rPr>
                <w:b/>
                <w:sz w:val="18"/>
              </w:rPr>
            </w:pPr>
          </w:p>
          <w:p>
            <w:pPr>
              <w:pStyle w:val="TableParagraph"/>
              <w:ind w:left="21" w:right="18"/>
              <w:jc w:val="center"/>
              <w:rPr>
                <w:sz w:val="18"/>
              </w:rPr>
            </w:pPr>
            <w:r>
              <w:rPr>
                <w:spacing w:val="-10"/>
                <w:sz w:val="18"/>
              </w:rPr>
              <w:t>9</w:t>
            </w:r>
          </w:p>
        </w:tc>
        <w:tc>
          <w:tcPr>
            <w:tcW w:w="1982" w:type="dxa"/>
          </w:tcPr>
          <w:p>
            <w:pPr>
              <w:pStyle w:val="TableParagraph"/>
              <w:spacing w:before="205"/>
              <w:ind w:left="68" w:right="114"/>
              <w:rPr>
                <w:sz w:val="18"/>
              </w:rPr>
            </w:pPr>
            <w:r>
              <w:rPr>
                <w:sz w:val="18"/>
              </w:rPr>
              <w:t>Cantidad</w:t>
            </w:r>
            <w:r>
              <w:rPr>
                <w:spacing w:val="-15"/>
                <w:sz w:val="18"/>
              </w:rPr>
              <w:t> </w:t>
            </w:r>
            <w:r>
              <w:rPr>
                <w:sz w:val="18"/>
              </w:rPr>
              <w:t>de</w:t>
            </w:r>
            <w:r>
              <w:rPr>
                <w:spacing w:val="-12"/>
                <w:sz w:val="18"/>
              </w:rPr>
              <w:t> </w:t>
            </w:r>
            <w:r>
              <w:rPr>
                <w:sz w:val="18"/>
              </w:rPr>
              <w:t>UIPER que aplican la </w:t>
            </w:r>
            <w:r>
              <w:rPr>
                <w:spacing w:val="-2"/>
                <w:sz w:val="18"/>
              </w:rPr>
              <w:t>metodología</w:t>
            </w:r>
          </w:p>
        </w:tc>
        <w:tc>
          <w:tcPr>
            <w:tcW w:w="1560" w:type="dxa"/>
          </w:tcPr>
          <w:p>
            <w:pPr>
              <w:pStyle w:val="TableParagraph"/>
              <w:spacing w:before="205"/>
              <w:ind w:left="73" w:right="58"/>
              <w:rPr>
                <w:sz w:val="18"/>
              </w:rPr>
            </w:pPr>
            <w:r>
              <w:rPr>
                <w:sz w:val="18"/>
              </w:rPr>
              <w:t>Documentos</w:t>
            </w:r>
            <w:r>
              <w:rPr>
                <w:spacing w:val="-13"/>
                <w:sz w:val="18"/>
              </w:rPr>
              <w:t> </w:t>
            </w:r>
            <w:r>
              <w:rPr>
                <w:sz w:val="18"/>
              </w:rPr>
              <w:t>de </w:t>
            </w:r>
            <w:r>
              <w:rPr>
                <w:spacing w:val="-2"/>
                <w:sz w:val="18"/>
              </w:rPr>
              <w:t>estudios elaborados</w:t>
            </w:r>
          </w:p>
        </w:tc>
        <w:tc>
          <w:tcPr>
            <w:tcW w:w="1416" w:type="dxa"/>
          </w:tcPr>
          <w:p>
            <w:pPr>
              <w:pStyle w:val="TableParagraph"/>
              <w:spacing w:before="204"/>
              <w:rPr>
                <w:b/>
                <w:sz w:val="18"/>
              </w:rPr>
            </w:pPr>
          </w:p>
          <w:p>
            <w:pPr>
              <w:pStyle w:val="TableParagraph"/>
              <w:ind w:left="17" w:right="11"/>
              <w:jc w:val="center"/>
              <w:rPr>
                <w:sz w:val="18"/>
              </w:rPr>
            </w:pPr>
            <w:r>
              <w:rPr>
                <w:spacing w:val="-2"/>
                <w:sz w:val="18"/>
              </w:rPr>
              <w:t>UIPER</w:t>
            </w:r>
          </w:p>
        </w:tc>
        <w:tc>
          <w:tcPr>
            <w:tcW w:w="1647" w:type="dxa"/>
          </w:tcPr>
          <w:p>
            <w:pPr>
              <w:pStyle w:val="TableParagraph"/>
              <w:rPr>
                <w:rFonts w:ascii="Times New Roman"/>
                <w:sz w:val="18"/>
              </w:rPr>
            </w:pPr>
          </w:p>
        </w:tc>
        <w:tc>
          <w:tcPr>
            <w:tcW w:w="1549" w:type="dxa"/>
            <w:vMerge w:val="restart"/>
          </w:tcPr>
          <w:p>
            <w:pPr>
              <w:pStyle w:val="TableParagraph"/>
              <w:spacing w:before="3"/>
              <w:rPr>
                <w:b/>
                <w:sz w:val="18"/>
              </w:rPr>
            </w:pPr>
          </w:p>
          <w:p>
            <w:pPr>
              <w:pStyle w:val="TableParagraph"/>
              <w:numPr>
                <w:ilvl w:val="0"/>
                <w:numId w:val="77"/>
              </w:numPr>
              <w:tabs>
                <w:tab w:pos="135" w:val="left" w:leader="none"/>
              </w:tabs>
              <w:spacing w:line="240" w:lineRule="auto" w:before="0" w:after="0"/>
              <w:ind w:left="74" w:right="188" w:firstLine="0"/>
              <w:jc w:val="left"/>
              <w:rPr>
                <w:sz w:val="18"/>
              </w:rPr>
            </w:pPr>
            <w:r>
              <w:rPr>
                <w:sz w:val="18"/>
              </w:rPr>
              <w:t>UIPER no cuenten con insumos</w:t>
            </w:r>
            <w:r>
              <w:rPr>
                <w:spacing w:val="-15"/>
                <w:sz w:val="18"/>
              </w:rPr>
              <w:t> </w:t>
            </w:r>
            <w:r>
              <w:rPr>
                <w:sz w:val="18"/>
              </w:rPr>
              <w:t>para</w:t>
            </w:r>
            <w:r>
              <w:rPr>
                <w:spacing w:val="-12"/>
                <w:sz w:val="18"/>
              </w:rPr>
              <w:t> </w:t>
            </w:r>
            <w:r>
              <w:rPr>
                <w:sz w:val="18"/>
              </w:rPr>
              <w:t>el desarrollo de estrategias de </w:t>
            </w:r>
            <w:r>
              <w:rPr>
                <w:spacing w:val="-2"/>
                <w:sz w:val="18"/>
              </w:rPr>
              <w:t>intervención </w:t>
            </w:r>
            <w:r>
              <w:rPr>
                <w:sz w:val="18"/>
              </w:rPr>
              <w:t>regional y </w:t>
            </w:r>
            <w:r>
              <w:rPr>
                <w:spacing w:val="-2"/>
                <w:sz w:val="18"/>
              </w:rPr>
              <w:t>territorial.</w:t>
            </w:r>
          </w:p>
        </w:tc>
      </w:tr>
      <w:tr>
        <w:trPr>
          <w:trHeight w:val="1032" w:hRule="atLeast"/>
        </w:trPr>
        <w:tc>
          <w:tcPr>
            <w:tcW w:w="2972" w:type="dxa"/>
          </w:tcPr>
          <w:p>
            <w:pPr>
              <w:pStyle w:val="TableParagraph"/>
              <w:ind w:left="72" w:right="105"/>
              <w:rPr>
                <w:sz w:val="18"/>
              </w:rPr>
            </w:pPr>
            <w:r>
              <w:rPr>
                <w:b/>
                <w:sz w:val="18"/>
              </w:rPr>
              <w:t>Actividad PPPS 1.47.2: </w:t>
            </w:r>
            <w:r>
              <w:rPr>
                <w:sz w:val="18"/>
              </w:rPr>
              <w:t>Socialización de estudios realizados</w:t>
            </w:r>
            <w:r>
              <w:rPr>
                <w:spacing w:val="-11"/>
                <w:sz w:val="18"/>
              </w:rPr>
              <w:t> </w:t>
            </w:r>
            <w:r>
              <w:rPr>
                <w:sz w:val="18"/>
              </w:rPr>
              <w:t>de</w:t>
            </w:r>
            <w:r>
              <w:rPr>
                <w:spacing w:val="-11"/>
                <w:sz w:val="18"/>
              </w:rPr>
              <w:t> </w:t>
            </w:r>
            <w:r>
              <w:rPr>
                <w:sz w:val="18"/>
              </w:rPr>
              <w:t>la</w:t>
            </w:r>
            <w:r>
              <w:rPr>
                <w:spacing w:val="-8"/>
                <w:sz w:val="18"/>
              </w:rPr>
              <w:t> </w:t>
            </w:r>
            <w:r>
              <w:rPr>
                <w:sz w:val="18"/>
              </w:rPr>
              <w:t>realidad</w:t>
            </w:r>
            <w:r>
              <w:rPr>
                <w:spacing w:val="-8"/>
                <w:sz w:val="18"/>
              </w:rPr>
              <w:t> </w:t>
            </w:r>
            <w:r>
              <w:rPr>
                <w:sz w:val="18"/>
              </w:rPr>
              <w:t>social, económica,</w:t>
            </w:r>
            <w:r>
              <w:rPr>
                <w:spacing w:val="-5"/>
                <w:sz w:val="18"/>
              </w:rPr>
              <w:t> </w:t>
            </w:r>
            <w:r>
              <w:rPr>
                <w:sz w:val="18"/>
              </w:rPr>
              <w:t>regional</w:t>
            </w:r>
            <w:r>
              <w:rPr>
                <w:spacing w:val="-3"/>
                <w:sz w:val="18"/>
              </w:rPr>
              <w:t> </w:t>
            </w:r>
            <w:r>
              <w:rPr>
                <w:sz w:val="18"/>
              </w:rPr>
              <w:t>y</w:t>
            </w:r>
            <w:r>
              <w:rPr>
                <w:spacing w:val="-6"/>
                <w:sz w:val="18"/>
              </w:rPr>
              <w:t> </w:t>
            </w:r>
            <w:r>
              <w:rPr>
                <w:spacing w:val="-2"/>
                <w:sz w:val="18"/>
              </w:rPr>
              <w:t>territorial</w:t>
            </w:r>
          </w:p>
          <w:p>
            <w:pPr>
              <w:pStyle w:val="TableParagraph"/>
              <w:spacing w:line="185" w:lineRule="exact"/>
              <w:ind w:left="72"/>
              <w:rPr>
                <w:b/>
                <w:sz w:val="18"/>
              </w:rPr>
            </w:pPr>
            <w:r>
              <w:rPr>
                <w:b/>
                <w:sz w:val="18"/>
              </w:rPr>
              <w:t>(vinculado</w:t>
            </w:r>
            <w:r>
              <w:rPr>
                <w:b/>
                <w:spacing w:val="-2"/>
                <w:sz w:val="18"/>
              </w:rPr>
              <w:t> </w:t>
            </w:r>
            <w:r>
              <w:rPr>
                <w:b/>
                <w:sz w:val="18"/>
              </w:rPr>
              <w:t>a</w:t>
            </w:r>
            <w:r>
              <w:rPr>
                <w:b/>
                <w:spacing w:val="-5"/>
                <w:sz w:val="18"/>
              </w:rPr>
              <w:t> </w:t>
            </w:r>
            <w:r>
              <w:rPr>
                <w:b/>
                <w:sz w:val="18"/>
              </w:rPr>
              <w:t>PEI</w:t>
            </w:r>
            <w:r>
              <w:rPr>
                <w:b/>
                <w:spacing w:val="-3"/>
                <w:sz w:val="18"/>
              </w:rPr>
              <w:t> </w:t>
            </w:r>
            <w:r>
              <w:rPr>
                <w:b/>
                <w:spacing w:val="-2"/>
                <w:sz w:val="18"/>
              </w:rPr>
              <w:t>3.10.1).</w:t>
            </w:r>
          </w:p>
        </w:tc>
        <w:tc>
          <w:tcPr>
            <w:tcW w:w="1560" w:type="dxa"/>
          </w:tcPr>
          <w:p>
            <w:pPr>
              <w:pStyle w:val="TableParagraph"/>
              <w:spacing w:before="204"/>
              <w:rPr>
                <w:b/>
                <w:sz w:val="18"/>
              </w:rPr>
            </w:pPr>
          </w:p>
          <w:p>
            <w:pPr>
              <w:pStyle w:val="TableParagraph"/>
              <w:ind w:left="21" w:right="10"/>
              <w:jc w:val="center"/>
              <w:rPr>
                <w:sz w:val="18"/>
              </w:rPr>
            </w:pPr>
            <w:r>
              <w:rPr>
                <w:spacing w:val="-10"/>
                <w:sz w:val="18"/>
              </w:rPr>
              <w:t>0</w:t>
            </w:r>
          </w:p>
        </w:tc>
        <w:tc>
          <w:tcPr>
            <w:tcW w:w="1560" w:type="dxa"/>
          </w:tcPr>
          <w:p>
            <w:pPr>
              <w:pStyle w:val="TableParagraph"/>
              <w:spacing w:before="204"/>
              <w:rPr>
                <w:b/>
                <w:sz w:val="18"/>
              </w:rPr>
            </w:pPr>
          </w:p>
          <w:p>
            <w:pPr>
              <w:pStyle w:val="TableParagraph"/>
              <w:ind w:left="21" w:right="18"/>
              <w:jc w:val="center"/>
              <w:rPr>
                <w:sz w:val="18"/>
              </w:rPr>
            </w:pPr>
            <w:r>
              <w:rPr>
                <w:spacing w:val="-10"/>
                <w:sz w:val="18"/>
              </w:rPr>
              <w:t>9</w:t>
            </w:r>
          </w:p>
        </w:tc>
        <w:tc>
          <w:tcPr>
            <w:tcW w:w="1982" w:type="dxa"/>
          </w:tcPr>
          <w:p>
            <w:pPr>
              <w:pStyle w:val="TableParagraph"/>
              <w:spacing w:before="205"/>
              <w:ind w:left="68" w:right="317"/>
              <w:jc w:val="both"/>
              <w:rPr>
                <w:sz w:val="18"/>
              </w:rPr>
            </w:pPr>
            <w:r>
              <w:rPr>
                <w:sz w:val="18"/>
              </w:rPr>
              <w:t>Cantidad</w:t>
            </w:r>
            <w:r>
              <w:rPr>
                <w:spacing w:val="-13"/>
                <w:sz w:val="18"/>
              </w:rPr>
              <w:t> </w:t>
            </w:r>
            <w:r>
              <w:rPr>
                <w:sz w:val="18"/>
              </w:rPr>
              <w:t>de</w:t>
            </w:r>
            <w:r>
              <w:rPr>
                <w:spacing w:val="-12"/>
                <w:sz w:val="18"/>
              </w:rPr>
              <w:t> </w:t>
            </w:r>
            <w:r>
              <w:rPr>
                <w:sz w:val="18"/>
              </w:rPr>
              <w:t>UIPER que</w:t>
            </w:r>
            <w:r>
              <w:rPr>
                <w:spacing w:val="-15"/>
                <w:sz w:val="18"/>
              </w:rPr>
              <w:t> </w:t>
            </w:r>
            <w:r>
              <w:rPr>
                <w:sz w:val="18"/>
              </w:rPr>
              <w:t>socializaron</w:t>
            </w:r>
            <w:r>
              <w:rPr>
                <w:spacing w:val="-12"/>
                <w:sz w:val="18"/>
              </w:rPr>
              <w:t> </w:t>
            </w:r>
            <w:r>
              <w:rPr>
                <w:sz w:val="18"/>
              </w:rPr>
              <w:t>los estudios realizados</w:t>
            </w:r>
          </w:p>
        </w:tc>
        <w:tc>
          <w:tcPr>
            <w:tcW w:w="1560" w:type="dxa"/>
          </w:tcPr>
          <w:p>
            <w:pPr>
              <w:pStyle w:val="TableParagraph"/>
              <w:spacing w:before="99"/>
              <w:rPr>
                <w:b/>
                <w:sz w:val="18"/>
              </w:rPr>
            </w:pPr>
          </w:p>
          <w:p>
            <w:pPr>
              <w:pStyle w:val="TableParagraph"/>
              <w:ind w:left="73" w:right="58"/>
              <w:rPr>
                <w:sz w:val="18"/>
              </w:rPr>
            </w:pPr>
            <w:r>
              <w:rPr>
                <w:sz w:val="18"/>
              </w:rPr>
              <w:t>Listas de </w:t>
            </w:r>
            <w:r>
              <w:rPr>
                <w:spacing w:val="-2"/>
                <w:sz w:val="18"/>
              </w:rPr>
              <w:t>asistencia</w:t>
            </w:r>
          </w:p>
        </w:tc>
        <w:tc>
          <w:tcPr>
            <w:tcW w:w="1416" w:type="dxa"/>
          </w:tcPr>
          <w:p>
            <w:pPr>
              <w:pStyle w:val="TableParagraph"/>
              <w:spacing w:before="204"/>
              <w:rPr>
                <w:b/>
                <w:sz w:val="18"/>
              </w:rPr>
            </w:pPr>
          </w:p>
          <w:p>
            <w:pPr>
              <w:pStyle w:val="TableParagraph"/>
              <w:ind w:left="17" w:right="11"/>
              <w:jc w:val="center"/>
              <w:rPr>
                <w:sz w:val="18"/>
              </w:rPr>
            </w:pPr>
            <w:r>
              <w:rPr>
                <w:spacing w:val="-2"/>
                <w:sz w:val="18"/>
              </w:rPr>
              <w:t>UIPER</w:t>
            </w:r>
          </w:p>
        </w:tc>
        <w:tc>
          <w:tcPr>
            <w:tcW w:w="1647" w:type="dxa"/>
          </w:tcPr>
          <w:p>
            <w:pPr>
              <w:pStyle w:val="TableParagraph"/>
              <w:rPr>
                <w:rFonts w:ascii="Times New Roman"/>
                <w:sz w:val="18"/>
              </w:rPr>
            </w:pPr>
          </w:p>
        </w:tc>
        <w:tc>
          <w:tcPr>
            <w:tcW w:w="1549"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893"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7"/>
        <w:gridCol w:w="1549"/>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7" w:type="dxa"/>
            <w:shd w:val="clear" w:color="auto" w:fill="D9D9D9"/>
          </w:tcPr>
          <w:p>
            <w:pPr>
              <w:pStyle w:val="TableParagraph"/>
              <w:spacing w:before="104"/>
              <w:ind w:left="430" w:hanging="120"/>
              <w:rPr>
                <w:b/>
                <w:sz w:val="18"/>
              </w:rPr>
            </w:pPr>
            <w:r>
              <w:rPr>
                <w:b/>
                <w:spacing w:val="-2"/>
                <w:sz w:val="18"/>
              </w:rPr>
              <w:t>Presupuesto asignado</w:t>
            </w:r>
          </w:p>
        </w:tc>
        <w:tc>
          <w:tcPr>
            <w:tcW w:w="1549" w:type="dxa"/>
            <w:tcBorders>
              <w:bottom w:val="nil"/>
            </w:tcBorders>
            <w:shd w:val="clear" w:color="auto" w:fill="D9D9D9"/>
          </w:tcPr>
          <w:p>
            <w:pPr>
              <w:pStyle w:val="TableParagraph"/>
              <w:spacing w:line="206" w:lineRule="exact"/>
              <w:ind w:left="23" w:right="4"/>
              <w:jc w:val="center"/>
              <w:rPr>
                <w:b/>
                <w:sz w:val="18"/>
              </w:rPr>
            </w:pPr>
            <w:r>
              <w:rPr>
                <w:b/>
                <w:spacing w:val="-2"/>
                <w:sz w:val="18"/>
              </w:rPr>
              <w:t>Riesgos </w:t>
            </w:r>
            <w:r>
              <w:rPr>
                <w:b/>
                <w:sz w:val="18"/>
              </w:rPr>
              <w:t>asociados al </w:t>
            </w:r>
            <w:r>
              <w:rPr>
                <w:b/>
                <w:spacing w:val="-2"/>
                <w:sz w:val="18"/>
              </w:rPr>
              <w:t>cumplimiento</w:t>
            </w:r>
          </w:p>
        </w:tc>
      </w:tr>
      <w:tr>
        <w:trPr>
          <w:trHeight w:val="1661" w:hRule="atLeast"/>
        </w:trPr>
        <w:tc>
          <w:tcPr>
            <w:tcW w:w="2972" w:type="dxa"/>
          </w:tcPr>
          <w:p>
            <w:pPr>
              <w:pStyle w:val="TableParagraph"/>
              <w:spacing w:before="3"/>
              <w:ind w:left="72" w:right="105"/>
              <w:rPr>
                <w:b/>
                <w:sz w:val="18"/>
              </w:rPr>
            </w:pPr>
            <w:r>
              <w:rPr>
                <w:b/>
                <w:sz w:val="18"/>
              </w:rPr>
              <w:t>Actividad PPPS 1.47.3: </w:t>
            </w:r>
            <w:r>
              <w:rPr>
                <w:sz w:val="18"/>
              </w:rPr>
              <w:t>Elaboración de informe de resultados de la aplicación de la metodología</w:t>
            </w:r>
            <w:r>
              <w:rPr>
                <w:spacing w:val="-11"/>
                <w:sz w:val="18"/>
              </w:rPr>
              <w:t> </w:t>
            </w:r>
            <w:r>
              <w:rPr>
                <w:sz w:val="18"/>
              </w:rPr>
              <w:t>implementada</w:t>
            </w:r>
            <w:r>
              <w:rPr>
                <w:spacing w:val="-10"/>
                <w:sz w:val="18"/>
              </w:rPr>
              <w:t> </w:t>
            </w:r>
            <w:r>
              <w:rPr>
                <w:sz w:val="18"/>
              </w:rPr>
              <w:t>para</w:t>
            </w:r>
            <w:r>
              <w:rPr>
                <w:spacing w:val="-13"/>
                <w:sz w:val="18"/>
              </w:rPr>
              <w:t> </w:t>
            </w:r>
            <w:r>
              <w:rPr>
                <w:sz w:val="18"/>
              </w:rPr>
              <w:t>el desarrollo de estudios de la realidad social, económica, regional y territorial </w:t>
            </w:r>
            <w:r>
              <w:rPr>
                <w:b/>
                <w:sz w:val="18"/>
              </w:rPr>
              <w:t>(vinculado a</w:t>
            </w:r>
          </w:p>
          <w:p>
            <w:pPr>
              <w:pStyle w:val="TableParagraph"/>
              <w:spacing w:line="189" w:lineRule="exact"/>
              <w:ind w:left="72"/>
              <w:rPr>
                <w:b/>
                <w:sz w:val="18"/>
              </w:rPr>
            </w:pPr>
            <w:r>
              <w:rPr>
                <w:b/>
                <w:sz w:val="18"/>
              </w:rPr>
              <w:t>PEI</w:t>
            </w:r>
            <w:r>
              <w:rPr>
                <w:b/>
                <w:spacing w:val="2"/>
                <w:sz w:val="18"/>
              </w:rPr>
              <w:t> </w:t>
            </w:r>
            <w:r>
              <w:rPr>
                <w:b/>
                <w:spacing w:val="-2"/>
                <w:sz w:val="18"/>
              </w:rPr>
              <w:t>3.10.1).</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2"/>
              <w:jc w:val="center"/>
              <w:rPr>
                <w:sz w:val="18"/>
              </w:rPr>
            </w:pPr>
            <w:r>
              <w:rPr>
                <w:spacing w:val="-4"/>
                <w:sz w:val="18"/>
              </w:rPr>
              <w:t>100%</w:t>
            </w:r>
          </w:p>
        </w:tc>
        <w:tc>
          <w:tcPr>
            <w:tcW w:w="1982" w:type="dxa"/>
          </w:tcPr>
          <w:p>
            <w:pPr>
              <w:pStyle w:val="TableParagraph"/>
              <w:spacing w:before="104"/>
              <w:ind w:left="68" w:right="66"/>
              <w:rPr>
                <w:sz w:val="18"/>
              </w:rPr>
            </w:pPr>
            <w:r>
              <w:rPr>
                <w:sz w:val="18"/>
              </w:rPr>
              <w:t>Porcentaje</w:t>
            </w:r>
            <w:r>
              <w:rPr>
                <w:spacing w:val="-15"/>
                <w:sz w:val="18"/>
              </w:rPr>
              <w:t> </w:t>
            </w:r>
            <w:r>
              <w:rPr>
                <w:sz w:val="18"/>
              </w:rPr>
              <w:t>de</w:t>
            </w:r>
            <w:r>
              <w:rPr>
                <w:spacing w:val="-12"/>
                <w:sz w:val="18"/>
              </w:rPr>
              <w:t> </w:t>
            </w:r>
            <w:r>
              <w:rPr>
                <w:sz w:val="18"/>
              </w:rPr>
              <w:t>estudios regionales y territoriales</w:t>
            </w:r>
            <w:r>
              <w:rPr>
                <w:spacing w:val="-13"/>
                <w:sz w:val="18"/>
              </w:rPr>
              <w:t> </w:t>
            </w:r>
            <w:r>
              <w:rPr>
                <w:sz w:val="18"/>
              </w:rPr>
              <w:t>elaborados por las UIPER para la inversión y el desarrollo de la oferta </w:t>
            </w:r>
            <w:r>
              <w:rPr>
                <w:spacing w:val="-2"/>
                <w:sz w:val="18"/>
              </w:rPr>
              <w:t>programática</w:t>
            </w:r>
          </w:p>
        </w:tc>
        <w:tc>
          <w:tcPr>
            <w:tcW w:w="1560" w:type="dxa"/>
          </w:tcPr>
          <w:p>
            <w:pPr>
              <w:pStyle w:val="TableParagraph"/>
              <w:rPr>
                <w:b/>
                <w:sz w:val="18"/>
              </w:rPr>
            </w:pPr>
          </w:p>
          <w:p>
            <w:pPr>
              <w:pStyle w:val="TableParagraph"/>
              <w:spacing w:before="3"/>
              <w:rPr>
                <w:b/>
                <w:sz w:val="18"/>
              </w:rPr>
            </w:pPr>
          </w:p>
          <w:p>
            <w:pPr>
              <w:pStyle w:val="TableParagraph"/>
              <w:ind w:left="73" w:right="58"/>
              <w:rPr>
                <w:sz w:val="18"/>
              </w:rPr>
            </w:pPr>
            <w:r>
              <w:rPr>
                <w:sz w:val="18"/>
              </w:rPr>
              <w:t>Informe de resultados de aplicación</w:t>
            </w:r>
            <w:r>
              <w:rPr>
                <w:spacing w:val="-15"/>
                <w:sz w:val="18"/>
              </w:rPr>
              <w:t> </w:t>
            </w:r>
            <w:r>
              <w:rPr>
                <w:sz w:val="18"/>
              </w:rPr>
              <w:t>de</w:t>
            </w:r>
            <w:r>
              <w:rPr>
                <w:spacing w:val="-12"/>
                <w:sz w:val="18"/>
              </w:rPr>
              <w:t> </w:t>
            </w:r>
            <w:r>
              <w:rPr>
                <w:sz w:val="18"/>
              </w:rPr>
              <w:t>la </w:t>
            </w:r>
            <w:r>
              <w:rPr>
                <w:spacing w:val="-2"/>
                <w:sz w:val="18"/>
              </w:rPr>
              <w:t>metodología</w:t>
            </w:r>
          </w:p>
        </w:tc>
        <w:tc>
          <w:tcPr>
            <w:tcW w:w="141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7" w:right="10"/>
              <w:jc w:val="center"/>
              <w:rPr>
                <w:sz w:val="18"/>
              </w:rPr>
            </w:pPr>
            <w:r>
              <w:rPr>
                <w:spacing w:val="-5"/>
                <w:sz w:val="18"/>
              </w:rPr>
              <w:t>PI</w:t>
            </w:r>
          </w:p>
        </w:tc>
        <w:tc>
          <w:tcPr>
            <w:tcW w:w="1647" w:type="dxa"/>
          </w:tcPr>
          <w:p>
            <w:pPr>
              <w:pStyle w:val="TableParagraph"/>
              <w:rPr>
                <w:rFonts w:ascii="Times New Roman"/>
                <w:sz w:val="18"/>
              </w:rPr>
            </w:pPr>
          </w:p>
        </w:tc>
        <w:tc>
          <w:tcPr>
            <w:tcW w:w="1549" w:type="dxa"/>
            <w:tcBorders>
              <w:top w:val="nil"/>
            </w:tcBorders>
          </w:tcPr>
          <w:p>
            <w:pPr>
              <w:pStyle w:val="TableParagraph"/>
              <w:rPr>
                <w:rFonts w:ascii="Times New Roman"/>
                <w:sz w:val="18"/>
              </w:rPr>
            </w:pPr>
          </w:p>
        </w:tc>
      </w:tr>
      <w:tr>
        <w:trPr>
          <w:trHeight w:val="537" w:hRule="atLeast"/>
        </w:trPr>
        <w:tc>
          <w:tcPr>
            <w:tcW w:w="14246" w:type="dxa"/>
            <w:gridSpan w:val="8"/>
            <w:shd w:val="clear" w:color="auto" w:fill="EFF8F9"/>
          </w:tcPr>
          <w:p>
            <w:pPr>
              <w:pStyle w:val="TableParagraph"/>
              <w:spacing w:before="162"/>
              <w:ind w:left="72"/>
              <w:rPr>
                <w:b/>
                <w:sz w:val="18"/>
              </w:rPr>
            </w:pPr>
            <w:r>
              <w:rPr>
                <w:b/>
                <w:sz w:val="18"/>
              </w:rPr>
              <w:t>Producto</w:t>
            </w:r>
            <w:r>
              <w:rPr>
                <w:b/>
                <w:spacing w:val="-7"/>
                <w:sz w:val="18"/>
              </w:rPr>
              <w:t> </w:t>
            </w:r>
            <w:r>
              <w:rPr>
                <w:b/>
                <w:sz w:val="18"/>
              </w:rPr>
              <w:t>PPPS</w:t>
            </w:r>
            <w:r>
              <w:rPr>
                <w:b/>
                <w:spacing w:val="-7"/>
                <w:sz w:val="18"/>
              </w:rPr>
              <w:t> </w:t>
            </w:r>
            <w:r>
              <w:rPr>
                <w:b/>
                <w:sz w:val="18"/>
              </w:rPr>
              <w:t>1.48:</w:t>
            </w:r>
            <w:r>
              <w:rPr>
                <w:b/>
                <w:spacing w:val="-3"/>
                <w:sz w:val="18"/>
              </w:rPr>
              <w:t> </w:t>
            </w:r>
            <w:r>
              <w:rPr>
                <w:b/>
                <w:sz w:val="18"/>
              </w:rPr>
              <w:t>Estudios</w:t>
            </w:r>
            <w:r>
              <w:rPr>
                <w:b/>
                <w:spacing w:val="-6"/>
                <w:sz w:val="18"/>
              </w:rPr>
              <w:t> </w:t>
            </w:r>
            <w:r>
              <w:rPr>
                <w:b/>
                <w:sz w:val="18"/>
              </w:rPr>
              <w:t>regionales</w:t>
            </w:r>
            <w:r>
              <w:rPr>
                <w:b/>
                <w:spacing w:val="-10"/>
                <w:sz w:val="18"/>
              </w:rPr>
              <w:t> </w:t>
            </w:r>
            <w:r>
              <w:rPr>
                <w:b/>
                <w:sz w:val="18"/>
              </w:rPr>
              <w:t>monitoreados</w:t>
            </w:r>
            <w:r>
              <w:rPr>
                <w:b/>
                <w:spacing w:val="-11"/>
                <w:sz w:val="18"/>
              </w:rPr>
              <w:t> </w:t>
            </w:r>
            <w:r>
              <w:rPr>
                <w:b/>
                <w:sz w:val="18"/>
              </w:rPr>
              <w:t>por</w:t>
            </w:r>
            <w:r>
              <w:rPr>
                <w:b/>
                <w:spacing w:val="-4"/>
                <w:sz w:val="18"/>
              </w:rPr>
              <w:t> </w:t>
            </w:r>
            <w:r>
              <w:rPr>
                <w:b/>
                <w:sz w:val="18"/>
              </w:rPr>
              <w:t>las</w:t>
            </w:r>
            <w:r>
              <w:rPr>
                <w:b/>
                <w:spacing w:val="-6"/>
                <w:sz w:val="18"/>
              </w:rPr>
              <w:t> </w:t>
            </w:r>
            <w:r>
              <w:rPr>
                <w:b/>
                <w:sz w:val="18"/>
              </w:rPr>
              <w:t>UIPER</w:t>
            </w:r>
            <w:r>
              <w:rPr>
                <w:b/>
                <w:spacing w:val="-7"/>
                <w:sz w:val="18"/>
              </w:rPr>
              <w:t> </w:t>
            </w:r>
            <w:r>
              <w:rPr>
                <w:b/>
                <w:sz w:val="18"/>
              </w:rPr>
              <w:t>para</w:t>
            </w:r>
            <w:r>
              <w:rPr>
                <w:b/>
                <w:spacing w:val="-11"/>
                <w:sz w:val="18"/>
              </w:rPr>
              <w:t> </w:t>
            </w:r>
            <w:r>
              <w:rPr>
                <w:b/>
                <w:sz w:val="18"/>
              </w:rPr>
              <w:t>la</w:t>
            </w:r>
            <w:r>
              <w:rPr>
                <w:b/>
                <w:spacing w:val="-5"/>
                <w:sz w:val="18"/>
              </w:rPr>
              <w:t> </w:t>
            </w:r>
            <w:r>
              <w:rPr>
                <w:b/>
                <w:sz w:val="18"/>
              </w:rPr>
              <w:t>intervención</w:t>
            </w:r>
            <w:r>
              <w:rPr>
                <w:b/>
                <w:spacing w:val="-11"/>
                <w:sz w:val="18"/>
              </w:rPr>
              <w:t> </w:t>
            </w:r>
            <w:r>
              <w:rPr>
                <w:b/>
                <w:sz w:val="18"/>
              </w:rPr>
              <w:t>integral</w:t>
            </w:r>
            <w:r>
              <w:rPr>
                <w:b/>
                <w:spacing w:val="1"/>
                <w:sz w:val="18"/>
              </w:rPr>
              <w:t> </w:t>
            </w:r>
            <w:r>
              <w:rPr>
                <w:b/>
                <w:sz w:val="18"/>
              </w:rPr>
              <w:t>por parte</w:t>
            </w:r>
            <w:r>
              <w:rPr>
                <w:b/>
                <w:spacing w:val="-1"/>
                <w:sz w:val="18"/>
              </w:rPr>
              <w:t> </w:t>
            </w:r>
            <w:r>
              <w:rPr>
                <w:b/>
                <w:sz w:val="18"/>
              </w:rPr>
              <w:t>de</w:t>
            </w:r>
            <w:r>
              <w:rPr>
                <w:b/>
                <w:spacing w:val="-11"/>
                <w:sz w:val="18"/>
              </w:rPr>
              <w:t> </w:t>
            </w:r>
            <w:r>
              <w:rPr>
                <w:b/>
                <w:sz w:val="18"/>
              </w:rPr>
              <w:t>la</w:t>
            </w:r>
            <w:r>
              <w:rPr>
                <w:b/>
                <w:spacing w:val="-2"/>
                <w:sz w:val="18"/>
              </w:rPr>
              <w:t> </w:t>
            </w:r>
            <w:r>
              <w:rPr>
                <w:b/>
                <w:sz w:val="18"/>
              </w:rPr>
              <w:t>institución.</w:t>
            </w:r>
            <w:r>
              <w:rPr>
                <w:b/>
                <w:spacing w:val="13"/>
                <w:sz w:val="18"/>
              </w:rPr>
              <w:t> </w:t>
            </w:r>
            <w:r>
              <w:rPr>
                <w:b/>
                <w:sz w:val="18"/>
              </w:rPr>
              <w:t>E3</w:t>
            </w:r>
            <w:r>
              <w:rPr>
                <w:b/>
                <w:spacing w:val="-6"/>
                <w:sz w:val="18"/>
              </w:rPr>
              <w:t> </w:t>
            </w:r>
            <w:r>
              <w:rPr>
                <w:b/>
                <w:sz w:val="18"/>
              </w:rPr>
              <w:t>AE10</w:t>
            </w:r>
            <w:r>
              <w:rPr>
                <w:b/>
                <w:spacing w:val="-6"/>
                <w:sz w:val="18"/>
              </w:rPr>
              <w:t> </w:t>
            </w:r>
            <w:r>
              <w:rPr>
                <w:b/>
                <w:spacing w:val="-5"/>
                <w:sz w:val="18"/>
              </w:rPr>
              <w:t>R2</w:t>
            </w:r>
          </w:p>
        </w:tc>
      </w:tr>
      <w:tr>
        <w:trPr>
          <w:trHeight w:val="1243" w:hRule="atLeast"/>
        </w:trPr>
        <w:tc>
          <w:tcPr>
            <w:tcW w:w="2972" w:type="dxa"/>
          </w:tcPr>
          <w:p>
            <w:pPr>
              <w:pStyle w:val="TableParagraph"/>
              <w:spacing w:before="104"/>
              <w:ind w:left="72" w:right="105"/>
              <w:rPr>
                <w:b/>
                <w:sz w:val="18"/>
              </w:rPr>
            </w:pPr>
            <w:r>
              <w:rPr>
                <w:b/>
                <w:sz w:val="18"/>
              </w:rPr>
              <w:t>Actividad PPPS 1.48.1: </w:t>
            </w:r>
            <w:r>
              <w:rPr>
                <w:sz w:val="18"/>
              </w:rPr>
              <w:t>Elaboración</w:t>
            </w:r>
            <w:r>
              <w:rPr>
                <w:spacing w:val="-13"/>
                <w:sz w:val="18"/>
              </w:rPr>
              <w:t> </w:t>
            </w:r>
            <w:r>
              <w:rPr>
                <w:sz w:val="18"/>
              </w:rPr>
              <w:t>de</w:t>
            </w:r>
            <w:r>
              <w:rPr>
                <w:spacing w:val="-9"/>
                <w:sz w:val="18"/>
              </w:rPr>
              <w:t> </w:t>
            </w:r>
            <w:r>
              <w:rPr>
                <w:sz w:val="18"/>
              </w:rPr>
              <w:t>lineamientos</w:t>
            </w:r>
            <w:r>
              <w:rPr>
                <w:spacing w:val="-13"/>
                <w:sz w:val="18"/>
              </w:rPr>
              <w:t> </w:t>
            </w:r>
            <w:r>
              <w:rPr>
                <w:sz w:val="18"/>
              </w:rPr>
              <w:t>sobre proceso de monitoreo de los estudios regionales </w:t>
            </w:r>
            <w:r>
              <w:rPr>
                <w:b/>
                <w:sz w:val="18"/>
              </w:rPr>
              <w:t>(vinculado a PEI 3.10.2).</w:t>
            </w:r>
          </w:p>
        </w:tc>
        <w:tc>
          <w:tcPr>
            <w:tcW w:w="1560" w:type="dxa"/>
          </w:tcPr>
          <w:p>
            <w:pPr>
              <w:pStyle w:val="TableParagraph"/>
              <w:rPr>
                <w:b/>
                <w:sz w:val="18"/>
              </w:rPr>
            </w:pPr>
          </w:p>
          <w:p>
            <w:pPr>
              <w:pStyle w:val="TableParagraph"/>
              <w:spacing w:before="104"/>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104"/>
              <w:rPr>
                <w:b/>
                <w:sz w:val="18"/>
              </w:rPr>
            </w:pPr>
          </w:p>
          <w:p>
            <w:pPr>
              <w:pStyle w:val="TableParagraph"/>
              <w:ind w:left="21" w:right="12"/>
              <w:jc w:val="center"/>
              <w:rPr>
                <w:sz w:val="18"/>
              </w:rPr>
            </w:pPr>
            <w:r>
              <w:rPr>
                <w:spacing w:val="-4"/>
                <w:sz w:val="18"/>
              </w:rPr>
              <w:t>100%</w:t>
            </w:r>
          </w:p>
        </w:tc>
        <w:tc>
          <w:tcPr>
            <w:tcW w:w="1982" w:type="dxa"/>
          </w:tcPr>
          <w:p>
            <w:pPr>
              <w:pStyle w:val="TableParagraph"/>
              <w:ind w:left="68" w:right="154"/>
              <w:jc w:val="both"/>
              <w:rPr>
                <w:sz w:val="18"/>
              </w:rPr>
            </w:pPr>
            <w:r>
              <w:rPr>
                <w:sz w:val="18"/>
              </w:rPr>
              <w:t>Porcentaje</w:t>
            </w:r>
            <w:r>
              <w:rPr>
                <w:spacing w:val="-15"/>
                <w:sz w:val="18"/>
              </w:rPr>
              <w:t> </w:t>
            </w:r>
            <w:r>
              <w:rPr>
                <w:sz w:val="18"/>
              </w:rPr>
              <w:t>de</w:t>
            </w:r>
            <w:r>
              <w:rPr>
                <w:spacing w:val="-12"/>
                <w:sz w:val="18"/>
              </w:rPr>
              <w:t> </w:t>
            </w:r>
            <w:r>
              <w:rPr>
                <w:sz w:val="18"/>
              </w:rPr>
              <w:t>avance en la construcción de lineamientos sobre el proceso</w:t>
            </w:r>
            <w:r>
              <w:rPr>
                <w:spacing w:val="-15"/>
                <w:sz w:val="18"/>
              </w:rPr>
              <w:t> </w:t>
            </w:r>
            <w:r>
              <w:rPr>
                <w:sz w:val="18"/>
              </w:rPr>
              <w:t>de</w:t>
            </w:r>
            <w:r>
              <w:rPr>
                <w:spacing w:val="-12"/>
                <w:sz w:val="18"/>
              </w:rPr>
              <w:t> </w:t>
            </w:r>
            <w:r>
              <w:rPr>
                <w:sz w:val="18"/>
              </w:rPr>
              <w:t>monitoreo de los estudios</w:t>
            </w:r>
          </w:p>
          <w:p>
            <w:pPr>
              <w:pStyle w:val="TableParagraph"/>
              <w:spacing w:line="187" w:lineRule="exact" w:before="1"/>
              <w:ind w:left="68"/>
              <w:rPr>
                <w:sz w:val="18"/>
              </w:rPr>
            </w:pPr>
            <w:r>
              <w:rPr>
                <w:spacing w:val="-2"/>
                <w:sz w:val="18"/>
              </w:rPr>
              <w:t>regionales</w:t>
            </w:r>
          </w:p>
        </w:tc>
        <w:tc>
          <w:tcPr>
            <w:tcW w:w="1560" w:type="dxa"/>
          </w:tcPr>
          <w:p>
            <w:pPr>
              <w:pStyle w:val="TableParagraph"/>
              <w:spacing w:before="205"/>
              <w:rPr>
                <w:b/>
                <w:sz w:val="18"/>
              </w:rPr>
            </w:pPr>
          </w:p>
          <w:p>
            <w:pPr>
              <w:pStyle w:val="TableParagraph"/>
              <w:spacing w:line="244" w:lineRule="auto"/>
              <w:ind w:left="73" w:right="58"/>
              <w:rPr>
                <w:sz w:val="18"/>
              </w:rPr>
            </w:pPr>
            <w:r>
              <w:rPr>
                <w:sz w:val="18"/>
              </w:rPr>
              <w:t>Documento</w:t>
            </w:r>
            <w:r>
              <w:rPr>
                <w:spacing w:val="-13"/>
                <w:sz w:val="18"/>
              </w:rPr>
              <w:t> </w:t>
            </w:r>
            <w:r>
              <w:rPr>
                <w:sz w:val="18"/>
              </w:rPr>
              <w:t>de </w:t>
            </w:r>
            <w:r>
              <w:rPr>
                <w:spacing w:val="-2"/>
                <w:sz w:val="18"/>
              </w:rPr>
              <w:t>lineamientos</w:t>
            </w:r>
          </w:p>
        </w:tc>
        <w:tc>
          <w:tcPr>
            <w:tcW w:w="1416" w:type="dxa"/>
          </w:tcPr>
          <w:p>
            <w:pPr>
              <w:pStyle w:val="TableParagraph"/>
              <w:rPr>
                <w:b/>
                <w:sz w:val="18"/>
              </w:rPr>
            </w:pPr>
          </w:p>
          <w:p>
            <w:pPr>
              <w:pStyle w:val="TableParagraph"/>
              <w:spacing w:before="104"/>
              <w:rPr>
                <w:b/>
                <w:sz w:val="18"/>
              </w:rPr>
            </w:pPr>
          </w:p>
          <w:p>
            <w:pPr>
              <w:pStyle w:val="TableParagraph"/>
              <w:ind w:left="17" w:right="10"/>
              <w:jc w:val="center"/>
              <w:rPr>
                <w:sz w:val="18"/>
              </w:rPr>
            </w:pPr>
            <w:r>
              <w:rPr>
                <w:spacing w:val="-5"/>
                <w:sz w:val="18"/>
              </w:rPr>
              <w:t>PI</w:t>
            </w:r>
          </w:p>
        </w:tc>
        <w:tc>
          <w:tcPr>
            <w:tcW w:w="1647" w:type="dxa"/>
          </w:tcPr>
          <w:p>
            <w:pPr>
              <w:pStyle w:val="TableParagraph"/>
              <w:rPr>
                <w:rFonts w:ascii="Times New Roman"/>
                <w:sz w:val="18"/>
              </w:rPr>
            </w:pPr>
          </w:p>
        </w:tc>
        <w:tc>
          <w:tcPr>
            <w:tcW w:w="1549" w:type="dxa"/>
            <w:vMerge w:val="restart"/>
          </w:tcPr>
          <w:p>
            <w:pPr>
              <w:pStyle w:val="TableParagraph"/>
              <w:spacing w:before="108"/>
              <w:rPr>
                <w:b/>
                <w:sz w:val="18"/>
              </w:rPr>
            </w:pPr>
          </w:p>
          <w:p>
            <w:pPr>
              <w:pStyle w:val="TableParagraph"/>
              <w:numPr>
                <w:ilvl w:val="0"/>
                <w:numId w:val="78"/>
              </w:numPr>
              <w:tabs>
                <w:tab w:pos="135" w:val="left" w:leader="none"/>
              </w:tabs>
              <w:spacing w:line="240" w:lineRule="auto" w:before="0" w:after="0"/>
              <w:ind w:left="74" w:right="55" w:firstLine="0"/>
              <w:jc w:val="left"/>
              <w:rPr>
                <w:sz w:val="18"/>
              </w:rPr>
            </w:pPr>
            <w:r>
              <w:rPr>
                <w:spacing w:val="-2"/>
                <w:sz w:val="18"/>
              </w:rPr>
              <w:t>Estudios </w:t>
            </w:r>
            <w:r>
              <w:rPr>
                <w:sz w:val="18"/>
              </w:rPr>
              <w:t>regionales y territoriales con </w:t>
            </w:r>
            <w:r>
              <w:rPr>
                <w:spacing w:val="-2"/>
                <w:sz w:val="18"/>
              </w:rPr>
              <w:t>insumos </w:t>
            </w:r>
            <w:r>
              <w:rPr>
                <w:sz w:val="18"/>
              </w:rPr>
              <w:t>insuficientes</w:t>
            </w:r>
            <w:r>
              <w:rPr>
                <w:spacing w:val="-13"/>
                <w:sz w:val="18"/>
              </w:rPr>
              <w:t> </w:t>
            </w:r>
            <w:r>
              <w:rPr>
                <w:sz w:val="18"/>
              </w:rPr>
              <w:t>para la toma de decisiones a</w:t>
            </w:r>
            <w:r>
              <w:rPr>
                <w:spacing w:val="40"/>
                <w:sz w:val="18"/>
              </w:rPr>
              <w:t> </w:t>
            </w:r>
            <w:r>
              <w:rPr>
                <w:sz w:val="18"/>
              </w:rPr>
              <w:t>nivel regional y </w:t>
            </w:r>
            <w:r>
              <w:rPr>
                <w:spacing w:val="-2"/>
                <w:sz w:val="18"/>
              </w:rPr>
              <w:t>local.</w:t>
            </w:r>
          </w:p>
        </w:tc>
      </w:tr>
      <w:tr>
        <w:trPr>
          <w:trHeight w:val="1243" w:hRule="atLeast"/>
        </w:trPr>
        <w:tc>
          <w:tcPr>
            <w:tcW w:w="2972" w:type="dxa"/>
          </w:tcPr>
          <w:p>
            <w:pPr>
              <w:pStyle w:val="TableParagraph"/>
              <w:spacing w:before="104"/>
              <w:ind w:left="72" w:right="141"/>
              <w:rPr>
                <w:b/>
                <w:sz w:val="18"/>
              </w:rPr>
            </w:pPr>
            <w:r>
              <w:rPr>
                <w:b/>
                <w:sz w:val="18"/>
              </w:rPr>
              <w:t>Actividad PPPS 1.48.2: </w:t>
            </w:r>
            <w:r>
              <w:rPr>
                <w:sz w:val="18"/>
              </w:rPr>
              <w:t>Desarrollo de proceso de monitoreo de los estudios regionales</w:t>
            </w:r>
            <w:r>
              <w:rPr>
                <w:spacing w:val="-13"/>
                <w:sz w:val="18"/>
              </w:rPr>
              <w:t> </w:t>
            </w:r>
            <w:r>
              <w:rPr>
                <w:b/>
                <w:sz w:val="18"/>
              </w:rPr>
              <w:t>(vinculado</w:t>
            </w:r>
            <w:r>
              <w:rPr>
                <w:b/>
                <w:spacing w:val="-12"/>
                <w:sz w:val="18"/>
              </w:rPr>
              <w:t> </w:t>
            </w:r>
            <w:r>
              <w:rPr>
                <w:b/>
                <w:sz w:val="18"/>
              </w:rPr>
              <w:t>a</w:t>
            </w:r>
            <w:r>
              <w:rPr>
                <w:b/>
                <w:spacing w:val="-12"/>
                <w:sz w:val="18"/>
              </w:rPr>
              <w:t> </w:t>
            </w:r>
            <w:r>
              <w:rPr>
                <w:b/>
                <w:sz w:val="18"/>
              </w:rPr>
              <w:t>PEI </w:t>
            </w:r>
            <w:r>
              <w:rPr>
                <w:b/>
                <w:spacing w:val="-2"/>
                <w:sz w:val="18"/>
              </w:rPr>
              <w:t>3.10.2).</w:t>
            </w:r>
          </w:p>
        </w:tc>
        <w:tc>
          <w:tcPr>
            <w:tcW w:w="1560" w:type="dxa"/>
          </w:tcPr>
          <w:p>
            <w:pPr>
              <w:pStyle w:val="TableParagraph"/>
              <w:rPr>
                <w:b/>
                <w:sz w:val="18"/>
              </w:rPr>
            </w:pPr>
          </w:p>
          <w:p>
            <w:pPr>
              <w:pStyle w:val="TableParagraph"/>
              <w:spacing w:before="1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103"/>
              <w:rPr>
                <w:b/>
                <w:sz w:val="18"/>
              </w:rPr>
            </w:pPr>
          </w:p>
          <w:p>
            <w:pPr>
              <w:pStyle w:val="TableParagraph"/>
              <w:ind w:left="21" w:right="16"/>
              <w:jc w:val="center"/>
              <w:rPr>
                <w:sz w:val="18"/>
              </w:rPr>
            </w:pPr>
            <w:r>
              <w:rPr>
                <w:spacing w:val="-5"/>
                <w:sz w:val="18"/>
              </w:rPr>
              <w:t>25%</w:t>
            </w:r>
          </w:p>
        </w:tc>
        <w:tc>
          <w:tcPr>
            <w:tcW w:w="1982" w:type="dxa"/>
          </w:tcPr>
          <w:p>
            <w:pPr>
              <w:pStyle w:val="TableParagraph"/>
              <w:ind w:left="68" w:right="114"/>
              <w:rPr>
                <w:sz w:val="18"/>
              </w:rPr>
            </w:pPr>
            <w:r>
              <w:rPr>
                <w:sz w:val="18"/>
              </w:rPr>
              <w:t>Porcentaje</w:t>
            </w:r>
            <w:r>
              <w:rPr>
                <w:spacing w:val="-15"/>
                <w:sz w:val="18"/>
              </w:rPr>
              <w:t> </w:t>
            </w:r>
            <w:r>
              <w:rPr>
                <w:sz w:val="18"/>
              </w:rPr>
              <w:t>de</w:t>
            </w:r>
            <w:r>
              <w:rPr>
                <w:spacing w:val="-12"/>
                <w:sz w:val="18"/>
              </w:rPr>
              <w:t> </w:t>
            </w:r>
            <w:r>
              <w:rPr>
                <w:sz w:val="18"/>
              </w:rPr>
              <w:t>avance de los estudios regionales y </w:t>
            </w:r>
            <w:r>
              <w:rPr>
                <w:spacing w:val="-2"/>
                <w:sz w:val="18"/>
              </w:rPr>
              <w:t>territoriales </w:t>
            </w:r>
            <w:r>
              <w:rPr>
                <w:sz w:val="18"/>
              </w:rPr>
              <w:t>monitoreados por la</w:t>
            </w:r>
          </w:p>
          <w:p>
            <w:pPr>
              <w:pStyle w:val="TableParagraph"/>
              <w:spacing w:line="187" w:lineRule="exact" w:before="1"/>
              <w:ind w:left="68"/>
              <w:rPr>
                <w:sz w:val="18"/>
              </w:rPr>
            </w:pPr>
            <w:r>
              <w:rPr>
                <w:spacing w:val="-2"/>
                <w:sz w:val="18"/>
              </w:rPr>
              <w:t>UIPER</w:t>
            </w:r>
          </w:p>
        </w:tc>
        <w:tc>
          <w:tcPr>
            <w:tcW w:w="1560" w:type="dxa"/>
          </w:tcPr>
          <w:p>
            <w:pPr>
              <w:pStyle w:val="TableParagraph"/>
              <w:ind w:left="73" w:right="58"/>
              <w:rPr>
                <w:sz w:val="18"/>
              </w:rPr>
            </w:pPr>
            <w:r>
              <w:rPr>
                <w:sz w:val="18"/>
              </w:rPr>
              <w:t>Informe de resultados</w:t>
            </w:r>
            <w:r>
              <w:rPr>
                <w:spacing w:val="-13"/>
                <w:sz w:val="18"/>
              </w:rPr>
              <w:t> </w:t>
            </w:r>
            <w:r>
              <w:rPr>
                <w:sz w:val="18"/>
              </w:rPr>
              <w:t>del proceso de </w:t>
            </w:r>
            <w:r>
              <w:rPr>
                <w:spacing w:val="-2"/>
                <w:sz w:val="18"/>
              </w:rPr>
              <w:t>monitoreo </w:t>
            </w:r>
            <w:r>
              <w:rPr>
                <w:sz w:val="18"/>
              </w:rPr>
              <w:t>realizado por</w:t>
            </w:r>
          </w:p>
          <w:p>
            <w:pPr>
              <w:pStyle w:val="TableParagraph"/>
              <w:spacing w:line="187" w:lineRule="exact" w:before="1"/>
              <w:ind w:left="73"/>
              <w:rPr>
                <w:sz w:val="18"/>
              </w:rPr>
            </w:pPr>
            <w:r>
              <w:rPr>
                <w:sz w:val="18"/>
              </w:rPr>
              <w:t>cada</w:t>
            </w:r>
            <w:r>
              <w:rPr>
                <w:spacing w:val="1"/>
                <w:sz w:val="18"/>
              </w:rPr>
              <w:t> </w:t>
            </w:r>
            <w:r>
              <w:rPr>
                <w:spacing w:val="-2"/>
                <w:sz w:val="18"/>
              </w:rPr>
              <w:t>UIPER</w:t>
            </w:r>
          </w:p>
        </w:tc>
        <w:tc>
          <w:tcPr>
            <w:tcW w:w="1416" w:type="dxa"/>
          </w:tcPr>
          <w:p>
            <w:pPr>
              <w:pStyle w:val="TableParagraph"/>
              <w:rPr>
                <w:b/>
                <w:sz w:val="18"/>
              </w:rPr>
            </w:pPr>
          </w:p>
          <w:p>
            <w:pPr>
              <w:pStyle w:val="TableParagraph"/>
              <w:spacing w:before="103"/>
              <w:rPr>
                <w:b/>
                <w:sz w:val="18"/>
              </w:rPr>
            </w:pPr>
          </w:p>
          <w:p>
            <w:pPr>
              <w:pStyle w:val="TableParagraph"/>
              <w:ind w:left="17" w:right="11"/>
              <w:jc w:val="center"/>
              <w:rPr>
                <w:sz w:val="18"/>
              </w:rPr>
            </w:pPr>
            <w:r>
              <w:rPr>
                <w:spacing w:val="-2"/>
                <w:sz w:val="18"/>
              </w:rPr>
              <w:t>UIPER</w:t>
            </w:r>
          </w:p>
        </w:tc>
        <w:tc>
          <w:tcPr>
            <w:tcW w:w="1647" w:type="dxa"/>
          </w:tcPr>
          <w:p>
            <w:pPr>
              <w:pStyle w:val="TableParagraph"/>
              <w:rPr>
                <w:rFonts w:ascii="Times New Roman"/>
                <w:sz w:val="18"/>
              </w:rPr>
            </w:pPr>
          </w:p>
        </w:tc>
        <w:tc>
          <w:tcPr>
            <w:tcW w:w="1549" w:type="dxa"/>
            <w:vMerge/>
            <w:tcBorders>
              <w:top w:val="nil"/>
            </w:tcBorders>
          </w:tcPr>
          <w:p>
            <w:pPr>
              <w:rPr>
                <w:sz w:val="2"/>
                <w:szCs w:val="2"/>
              </w:rPr>
            </w:pPr>
          </w:p>
        </w:tc>
      </w:tr>
      <w:tr>
        <w:trPr>
          <w:trHeight w:val="450" w:hRule="atLeast"/>
        </w:trPr>
        <w:tc>
          <w:tcPr>
            <w:tcW w:w="14246" w:type="dxa"/>
            <w:gridSpan w:val="8"/>
            <w:shd w:val="clear" w:color="auto" w:fill="EFF8F9"/>
          </w:tcPr>
          <w:p>
            <w:pPr>
              <w:pStyle w:val="TableParagraph"/>
              <w:spacing w:line="206" w:lineRule="exact" w:before="19"/>
              <w:ind w:left="72" w:right="60"/>
              <w:rPr>
                <w:b/>
                <w:sz w:val="18"/>
              </w:rPr>
            </w:pPr>
            <w:r>
              <w:rPr>
                <w:b/>
                <w:sz w:val="18"/>
              </w:rPr>
              <w:t>Producto</w:t>
            </w:r>
            <w:r>
              <w:rPr>
                <w:b/>
                <w:spacing w:val="-4"/>
                <w:sz w:val="18"/>
              </w:rPr>
              <w:t> </w:t>
            </w:r>
            <w:r>
              <w:rPr>
                <w:b/>
                <w:sz w:val="18"/>
              </w:rPr>
              <w:t>PPPS</w:t>
            </w:r>
            <w:r>
              <w:rPr>
                <w:b/>
                <w:spacing w:val="-4"/>
                <w:sz w:val="18"/>
              </w:rPr>
              <w:t> </w:t>
            </w:r>
            <w:r>
              <w:rPr>
                <w:b/>
                <w:sz w:val="18"/>
              </w:rPr>
              <w:t>1.49:</w:t>
            </w:r>
            <w:r>
              <w:rPr>
                <w:b/>
                <w:spacing w:val="40"/>
                <w:sz w:val="18"/>
              </w:rPr>
              <w:t> </w:t>
            </w:r>
            <w:r>
              <w:rPr>
                <w:b/>
                <w:sz w:val="18"/>
              </w:rPr>
              <w:t>Áreas</w:t>
            </w:r>
            <w:r>
              <w:rPr>
                <w:b/>
                <w:spacing w:val="-3"/>
                <w:sz w:val="18"/>
              </w:rPr>
              <w:t> </w:t>
            </w:r>
            <w:r>
              <w:rPr>
                <w:b/>
                <w:sz w:val="18"/>
              </w:rPr>
              <w:t>Regionales con equipamiento tecnológico</w:t>
            </w:r>
            <w:r>
              <w:rPr>
                <w:b/>
                <w:spacing w:val="-4"/>
                <w:sz w:val="18"/>
              </w:rPr>
              <w:t> </w:t>
            </w:r>
            <w:r>
              <w:rPr>
                <w:b/>
                <w:sz w:val="18"/>
              </w:rPr>
              <w:t>que</w:t>
            </w:r>
            <w:r>
              <w:rPr>
                <w:b/>
                <w:spacing w:val="-3"/>
                <w:sz w:val="18"/>
              </w:rPr>
              <w:t> </w:t>
            </w:r>
            <w:r>
              <w:rPr>
                <w:b/>
                <w:sz w:val="18"/>
              </w:rPr>
              <w:t>responda a</w:t>
            </w:r>
            <w:r>
              <w:rPr>
                <w:b/>
                <w:spacing w:val="-3"/>
                <w:sz w:val="18"/>
              </w:rPr>
              <w:t> </w:t>
            </w:r>
            <w:r>
              <w:rPr>
                <w:b/>
                <w:sz w:val="18"/>
              </w:rPr>
              <w:t>las</w:t>
            </w:r>
            <w:r>
              <w:rPr>
                <w:b/>
                <w:spacing w:val="-3"/>
                <w:sz w:val="18"/>
              </w:rPr>
              <w:t> </w:t>
            </w:r>
            <w:r>
              <w:rPr>
                <w:b/>
                <w:sz w:val="18"/>
              </w:rPr>
              <w:t>necesidades que demandan</w:t>
            </w:r>
            <w:r>
              <w:rPr>
                <w:b/>
                <w:spacing w:val="-4"/>
                <w:sz w:val="18"/>
              </w:rPr>
              <w:t> </w:t>
            </w:r>
            <w:r>
              <w:rPr>
                <w:b/>
                <w:sz w:val="18"/>
              </w:rPr>
              <w:t>los</w:t>
            </w:r>
            <w:r>
              <w:rPr>
                <w:b/>
                <w:spacing w:val="-3"/>
                <w:sz w:val="18"/>
              </w:rPr>
              <w:t> </w:t>
            </w:r>
            <w:r>
              <w:rPr>
                <w:b/>
                <w:sz w:val="18"/>
              </w:rPr>
              <w:t>nuevos</w:t>
            </w:r>
            <w:r>
              <w:rPr>
                <w:b/>
                <w:spacing w:val="-3"/>
                <w:sz w:val="18"/>
              </w:rPr>
              <w:t> </w:t>
            </w:r>
            <w:r>
              <w:rPr>
                <w:b/>
                <w:sz w:val="18"/>
              </w:rPr>
              <w:t>procesos</w:t>
            </w:r>
            <w:r>
              <w:rPr>
                <w:b/>
                <w:spacing w:val="-3"/>
                <w:sz w:val="18"/>
              </w:rPr>
              <w:t> </w:t>
            </w:r>
            <w:r>
              <w:rPr>
                <w:b/>
                <w:sz w:val="18"/>
              </w:rPr>
              <w:t>de</w:t>
            </w:r>
            <w:r>
              <w:rPr>
                <w:b/>
                <w:spacing w:val="-3"/>
                <w:sz w:val="18"/>
              </w:rPr>
              <w:t> </w:t>
            </w:r>
            <w:r>
              <w:rPr>
                <w:b/>
                <w:sz w:val="18"/>
              </w:rPr>
              <w:t>atención</w:t>
            </w:r>
            <w:r>
              <w:rPr>
                <w:b/>
                <w:spacing w:val="-4"/>
                <w:sz w:val="18"/>
              </w:rPr>
              <w:t> </w:t>
            </w:r>
            <w:r>
              <w:rPr>
                <w:b/>
                <w:sz w:val="18"/>
              </w:rPr>
              <w:t>en</w:t>
            </w:r>
            <w:r>
              <w:rPr>
                <w:b/>
                <w:spacing w:val="-4"/>
                <w:sz w:val="18"/>
              </w:rPr>
              <w:t> </w:t>
            </w:r>
            <w:r>
              <w:rPr>
                <w:b/>
                <w:sz w:val="18"/>
              </w:rPr>
              <w:t>los territorios. E3 AE11 R1</w:t>
            </w:r>
          </w:p>
        </w:tc>
      </w:tr>
      <w:tr>
        <w:trPr>
          <w:trHeight w:val="1445" w:hRule="atLeast"/>
        </w:trPr>
        <w:tc>
          <w:tcPr>
            <w:tcW w:w="2972" w:type="dxa"/>
          </w:tcPr>
          <w:p>
            <w:pPr>
              <w:pStyle w:val="TableParagraph"/>
              <w:ind w:left="72" w:right="105"/>
              <w:rPr>
                <w:b/>
                <w:sz w:val="18"/>
              </w:rPr>
            </w:pPr>
            <w:r>
              <w:rPr>
                <w:b/>
                <w:sz w:val="18"/>
              </w:rPr>
              <w:t>Actividad PPPS 1.49.1: </w:t>
            </w:r>
            <w:r>
              <w:rPr>
                <w:sz w:val="18"/>
              </w:rPr>
              <w:t>Diagnóstico</w:t>
            </w:r>
            <w:r>
              <w:rPr>
                <w:spacing w:val="-11"/>
                <w:sz w:val="18"/>
              </w:rPr>
              <w:t> </w:t>
            </w:r>
            <w:r>
              <w:rPr>
                <w:sz w:val="18"/>
              </w:rPr>
              <w:t>de</w:t>
            </w:r>
            <w:r>
              <w:rPr>
                <w:spacing w:val="-11"/>
                <w:sz w:val="18"/>
              </w:rPr>
              <w:t> </w:t>
            </w:r>
            <w:r>
              <w:rPr>
                <w:sz w:val="18"/>
              </w:rPr>
              <w:t>equipo</w:t>
            </w:r>
            <w:r>
              <w:rPr>
                <w:spacing w:val="-11"/>
                <w:sz w:val="18"/>
              </w:rPr>
              <w:t> </w:t>
            </w:r>
            <w:r>
              <w:rPr>
                <w:sz w:val="18"/>
              </w:rPr>
              <w:t>tecnológico con que cuentan las ARDS, con relación a</w:t>
            </w:r>
            <w:r>
              <w:rPr>
                <w:spacing w:val="-2"/>
                <w:sz w:val="18"/>
              </w:rPr>
              <w:t> </w:t>
            </w:r>
            <w:r>
              <w:rPr>
                <w:sz w:val="18"/>
              </w:rPr>
              <w:t>las</w:t>
            </w:r>
            <w:r>
              <w:rPr>
                <w:spacing w:val="-2"/>
                <w:sz w:val="18"/>
              </w:rPr>
              <w:t> </w:t>
            </w:r>
            <w:r>
              <w:rPr>
                <w:sz w:val="18"/>
              </w:rPr>
              <w:t>necesidades</w:t>
            </w:r>
            <w:r>
              <w:rPr>
                <w:spacing w:val="-2"/>
                <w:sz w:val="18"/>
              </w:rPr>
              <w:t> </w:t>
            </w:r>
            <w:r>
              <w:rPr>
                <w:sz w:val="18"/>
              </w:rPr>
              <w:t>que</w:t>
            </w:r>
            <w:r>
              <w:rPr>
                <w:spacing w:val="-2"/>
                <w:sz w:val="18"/>
              </w:rPr>
              <w:t> </w:t>
            </w:r>
            <w:r>
              <w:rPr>
                <w:sz w:val="18"/>
              </w:rPr>
              <w:t>se presentan en la atención en territorios </w:t>
            </w:r>
            <w:r>
              <w:rPr>
                <w:b/>
                <w:sz w:val="18"/>
              </w:rPr>
              <w:t>(vinculada a PEI</w:t>
            </w:r>
          </w:p>
          <w:p>
            <w:pPr>
              <w:pStyle w:val="TableParagraph"/>
              <w:spacing w:line="184" w:lineRule="exact"/>
              <w:ind w:left="72"/>
              <w:rPr>
                <w:b/>
                <w:sz w:val="18"/>
              </w:rPr>
            </w:pPr>
            <w:r>
              <w:rPr>
                <w:b/>
                <w:spacing w:val="-2"/>
                <w:sz w:val="18"/>
              </w:rPr>
              <w:t>3.11.1).</w:t>
            </w:r>
          </w:p>
        </w:tc>
        <w:tc>
          <w:tcPr>
            <w:tcW w:w="1560" w:type="dxa"/>
          </w:tcPr>
          <w:p>
            <w:pPr>
              <w:pStyle w:val="TableParagraph"/>
              <w:rPr>
                <w:b/>
                <w:sz w:val="18"/>
              </w:rPr>
            </w:pPr>
          </w:p>
          <w:p>
            <w:pPr>
              <w:pStyle w:val="TableParagraph"/>
              <w:spacing w:before="204"/>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204"/>
              <w:rPr>
                <w:b/>
                <w:sz w:val="18"/>
              </w:rPr>
            </w:pPr>
          </w:p>
          <w:p>
            <w:pPr>
              <w:pStyle w:val="TableParagraph"/>
              <w:ind w:left="21" w:right="18"/>
              <w:jc w:val="center"/>
              <w:rPr>
                <w:sz w:val="18"/>
              </w:rPr>
            </w:pPr>
            <w:r>
              <w:rPr>
                <w:spacing w:val="-10"/>
                <w:sz w:val="18"/>
              </w:rPr>
              <w:t>1</w:t>
            </w:r>
          </w:p>
        </w:tc>
        <w:tc>
          <w:tcPr>
            <w:tcW w:w="1982" w:type="dxa"/>
          </w:tcPr>
          <w:p>
            <w:pPr>
              <w:pStyle w:val="TableParagraph"/>
              <w:spacing w:before="205"/>
              <w:rPr>
                <w:b/>
                <w:sz w:val="18"/>
              </w:rPr>
            </w:pPr>
          </w:p>
          <w:p>
            <w:pPr>
              <w:pStyle w:val="TableParagraph"/>
              <w:ind w:left="68" w:right="898"/>
              <w:jc w:val="both"/>
              <w:rPr>
                <w:sz w:val="18"/>
              </w:rPr>
            </w:pPr>
            <w:r>
              <w:rPr>
                <w:sz w:val="18"/>
              </w:rPr>
              <w:t>Cantidad</w:t>
            </w:r>
            <w:r>
              <w:rPr>
                <w:spacing w:val="-5"/>
                <w:sz w:val="18"/>
              </w:rPr>
              <w:t> </w:t>
            </w:r>
            <w:r>
              <w:rPr>
                <w:sz w:val="18"/>
              </w:rPr>
              <w:t>de </w:t>
            </w:r>
            <w:r>
              <w:rPr>
                <w:spacing w:val="-2"/>
                <w:sz w:val="18"/>
              </w:rPr>
              <w:t>diagnósticos realizados</w:t>
            </w:r>
          </w:p>
        </w:tc>
        <w:tc>
          <w:tcPr>
            <w:tcW w:w="1560" w:type="dxa"/>
          </w:tcPr>
          <w:p>
            <w:pPr>
              <w:pStyle w:val="TableParagraph"/>
              <w:rPr>
                <w:b/>
                <w:sz w:val="18"/>
              </w:rPr>
            </w:pPr>
          </w:p>
          <w:p>
            <w:pPr>
              <w:pStyle w:val="TableParagraph"/>
              <w:spacing w:before="99"/>
              <w:rPr>
                <w:b/>
                <w:sz w:val="18"/>
              </w:rPr>
            </w:pPr>
          </w:p>
          <w:p>
            <w:pPr>
              <w:pStyle w:val="TableParagraph"/>
              <w:spacing w:line="244" w:lineRule="auto"/>
              <w:ind w:left="73" w:right="58"/>
              <w:rPr>
                <w:sz w:val="18"/>
              </w:rPr>
            </w:pPr>
            <w:r>
              <w:rPr>
                <w:sz w:val="18"/>
              </w:rPr>
              <w:t>Documento</w:t>
            </w:r>
            <w:r>
              <w:rPr>
                <w:spacing w:val="-13"/>
                <w:sz w:val="18"/>
              </w:rPr>
              <w:t> </w:t>
            </w:r>
            <w:r>
              <w:rPr>
                <w:sz w:val="18"/>
              </w:rPr>
              <w:t>de </w:t>
            </w:r>
            <w:r>
              <w:rPr>
                <w:spacing w:val="-2"/>
                <w:sz w:val="18"/>
              </w:rPr>
              <w:t>diagnóstico</w:t>
            </w:r>
          </w:p>
        </w:tc>
        <w:tc>
          <w:tcPr>
            <w:tcW w:w="1416" w:type="dxa"/>
          </w:tcPr>
          <w:p>
            <w:pPr>
              <w:pStyle w:val="TableParagraph"/>
              <w:rPr>
                <w:b/>
                <w:sz w:val="18"/>
              </w:rPr>
            </w:pPr>
          </w:p>
          <w:p>
            <w:pPr>
              <w:pStyle w:val="TableParagraph"/>
              <w:spacing w:before="204"/>
              <w:rPr>
                <w:b/>
                <w:sz w:val="18"/>
              </w:rPr>
            </w:pPr>
          </w:p>
          <w:p>
            <w:pPr>
              <w:pStyle w:val="TableParagraph"/>
              <w:ind w:left="17" w:right="12"/>
              <w:jc w:val="center"/>
              <w:rPr>
                <w:sz w:val="18"/>
              </w:rPr>
            </w:pPr>
            <w:r>
              <w:rPr>
                <w:spacing w:val="-5"/>
                <w:sz w:val="18"/>
              </w:rPr>
              <w:t>DDS</w:t>
            </w:r>
          </w:p>
        </w:tc>
        <w:tc>
          <w:tcPr>
            <w:tcW w:w="1647" w:type="dxa"/>
          </w:tcPr>
          <w:p>
            <w:pPr>
              <w:pStyle w:val="TableParagraph"/>
              <w:rPr>
                <w:rFonts w:ascii="Times New Roman"/>
                <w:sz w:val="18"/>
              </w:rPr>
            </w:pPr>
          </w:p>
        </w:tc>
        <w:tc>
          <w:tcPr>
            <w:tcW w:w="1549" w:type="dxa"/>
            <w:vMerge w:val="restart"/>
          </w:tcPr>
          <w:p>
            <w:pPr>
              <w:pStyle w:val="TableParagraph"/>
              <w:rPr>
                <w:b/>
                <w:sz w:val="18"/>
              </w:rPr>
            </w:pPr>
          </w:p>
          <w:p>
            <w:pPr>
              <w:pStyle w:val="TableParagraph"/>
              <w:rPr>
                <w:b/>
                <w:sz w:val="18"/>
              </w:rPr>
            </w:pPr>
          </w:p>
          <w:p>
            <w:pPr>
              <w:pStyle w:val="TableParagraph"/>
              <w:spacing w:before="2"/>
              <w:rPr>
                <w:b/>
                <w:sz w:val="18"/>
              </w:rPr>
            </w:pPr>
          </w:p>
          <w:p>
            <w:pPr>
              <w:pStyle w:val="TableParagraph"/>
              <w:numPr>
                <w:ilvl w:val="0"/>
                <w:numId w:val="79"/>
              </w:numPr>
              <w:tabs>
                <w:tab w:pos="135" w:val="left" w:leader="none"/>
              </w:tabs>
              <w:spacing w:line="240" w:lineRule="auto" w:before="0" w:after="0"/>
              <w:ind w:left="74" w:right="175" w:firstLine="0"/>
              <w:jc w:val="left"/>
              <w:rPr>
                <w:sz w:val="18"/>
              </w:rPr>
            </w:pPr>
            <w:r>
              <w:rPr>
                <w:spacing w:val="-2"/>
                <w:sz w:val="18"/>
              </w:rPr>
              <w:t>Limitaciones presupuestarias </w:t>
            </w:r>
            <w:r>
              <w:rPr>
                <w:sz w:val="18"/>
              </w:rPr>
              <w:t>para cubrir los </w:t>
            </w:r>
            <w:r>
              <w:rPr>
                <w:spacing w:val="-2"/>
                <w:sz w:val="18"/>
              </w:rPr>
              <w:t>requerimientos </w:t>
            </w:r>
            <w:r>
              <w:rPr>
                <w:sz w:val="18"/>
              </w:rPr>
              <w:t>derivados del diagnóstico de </w:t>
            </w:r>
            <w:r>
              <w:rPr>
                <w:spacing w:val="-2"/>
                <w:sz w:val="18"/>
              </w:rPr>
              <w:t>necesidades tecnológicas.</w:t>
            </w:r>
          </w:p>
        </w:tc>
      </w:tr>
      <w:tr>
        <w:trPr>
          <w:trHeight w:val="1449" w:hRule="atLeast"/>
        </w:trPr>
        <w:tc>
          <w:tcPr>
            <w:tcW w:w="2972" w:type="dxa"/>
          </w:tcPr>
          <w:p>
            <w:pPr>
              <w:pStyle w:val="TableParagraph"/>
              <w:spacing w:before="104"/>
              <w:ind w:left="72" w:right="60"/>
              <w:rPr>
                <w:b/>
                <w:sz w:val="18"/>
              </w:rPr>
            </w:pPr>
            <w:r>
              <w:rPr>
                <w:b/>
                <w:sz w:val="18"/>
              </w:rPr>
              <w:t>Actividad PPPS 1.49.2: </w:t>
            </w:r>
            <w:r>
              <w:rPr>
                <w:sz w:val="18"/>
              </w:rPr>
              <w:t>Asignación de equipo tecnológico</w:t>
            </w:r>
            <w:r>
              <w:rPr>
                <w:spacing w:val="40"/>
                <w:sz w:val="18"/>
              </w:rPr>
              <w:t> </w:t>
            </w:r>
            <w:r>
              <w:rPr>
                <w:sz w:val="18"/>
              </w:rPr>
              <w:t>a</w:t>
            </w:r>
            <w:r>
              <w:rPr>
                <w:spacing w:val="-7"/>
                <w:sz w:val="18"/>
              </w:rPr>
              <w:t> </w:t>
            </w:r>
            <w:r>
              <w:rPr>
                <w:sz w:val="18"/>
              </w:rPr>
              <w:t>personal</w:t>
            </w:r>
            <w:r>
              <w:rPr>
                <w:spacing w:val="-8"/>
                <w:sz w:val="18"/>
              </w:rPr>
              <w:t> </w:t>
            </w:r>
            <w:r>
              <w:rPr>
                <w:sz w:val="18"/>
              </w:rPr>
              <w:t>institucional</w:t>
            </w:r>
            <w:r>
              <w:rPr>
                <w:spacing w:val="-8"/>
                <w:sz w:val="18"/>
              </w:rPr>
              <w:t> </w:t>
            </w:r>
            <w:r>
              <w:rPr>
                <w:sz w:val="18"/>
              </w:rPr>
              <w:t>adecuado</w:t>
            </w:r>
            <w:r>
              <w:rPr>
                <w:spacing w:val="-11"/>
                <w:sz w:val="18"/>
              </w:rPr>
              <w:t> </w:t>
            </w:r>
            <w:r>
              <w:rPr>
                <w:sz w:val="18"/>
              </w:rPr>
              <w:t>a los procesos de atención en los territorios </w:t>
            </w:r>
            <w:r>
              <w:rPr>
                <w:b/>
                <w:sz w:val="18"/>
              </w:rPr>
              <w:t>(vinculada a PEI</w:t>
            </w:r>
            <w:r>
              <w:rPr>
                <w:b/>
                <w:spacing w:val="80"/>
                <w:sz w:val="18"/>
              </w:rPr>
              <w:t> </w:t>
            </w:r>
            <w:r>
              <w:rPr>
                <w:b/>
                <w:spacing w:val="-2"/>
                <w:sz w:val="18"/>
              </w:rPr>
              <w:t>3.11.1).</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2"/>
              <w:jc w:val="center"/>
              <w:rPr>
                <w:sz w:val="18"/>
              </w:rPr>
            </w:pPr>
            <w:r>
              <w:rPr>
                <w:spacing w:val="-4"/>
                <w:sz w:val="18"/>
              </w:rPr>
              <w:t>100%</w:t>
            </w:r>
          </w:p>
        </w:tc>
        <w:tc>
          <w:tcPr>
            <w:tcW w:w="1982" w:type="dxa"/>
          </w:tcPr>
          <w:p>
            <w:pPr>
              <w:pStyle w:val="TableParagraph"/>
              <w:spacing w:before="3"/>
              <w:ind w:left="68" w:right="53"/>
              <w:rPr>
                <w:sz w:val="18"/>
              </w:rPr>
            </w:pPr>
            <w:r>
              <w:rPr>
                <w:sz w:val="18"/>
              </w:rPr>
              <w:t>Porcentaje de</w:t>
            </w:r>
            <w:r>
              <w:rPr>
                <w:spacing w:val="40"/>
                <w:sz w:val="18"/>
              </w:rPr>
              <w:t> </w:t>
            </w:r>
            <w:r>
              <w:rPr>
                <w:sz w:val="18"/>
              </w:rPr>
              <w:t>personal</w:t>
            </w:r>
            <w:r>
              <w:rPr>
                <w:spacing w:val="-10"/>
                <w:sz w:val="18"/>
              </w:rPr>
              <w:t> </w:t>
            </w:r>
            <w:r>
              <w:rPr>
                <w:sz w:val="18"/>
              </w:rPr>
              <w:t>en</w:t>
            </w:r>
            <w:r>
              <w:rPr>
                <w:spacing w:val="-12"/>
                <w:sz w:val="18"/>
              </w:rPr>
              <w:t> </w:t>
            </w:r>
            <w:r>
              <w:rPr>
                <w:sz w:val="18"/>
              </w:rPr>
              <w:t>ARDS</w:t>
            </w:r>
            <w:r>
              <w:rPr>
                <w:spacing w:val="-10"/>
                <w:sz w:val="18"/>
              </w:rPr>
              <w:t> </w:t>
            </w:r>
            <w:r>
              <w:rPr>
                <w:sz w:val="18"/>
              </w:rPr>
              <w:t>que cuentan con equipo tecnológico adecuado a los procesos de</w:t>
            </w:r>
          </w:p>
          <w:p>
            <w:pPr>
              <w:pStyle w:val="TableParagraph"/>
              <w:spacing w:line="206" w:lineRule="exact"/>
              <w:ind w:left="68" w:right="114"/>
              <w:rPr>
                <w:sz w:val="18"/>
              </w:rPr>
            </w:pPr>
            <w:r>
              <w:rPr>
                <w:sz w:val="18"/>
              </w:rPr>
              <w:t>atención</w:t>
            </w:r>
            <w:r>
              <w:rPr>
                <w:spacing w:val="-15"/>
                <w:sz w:val="18"/>
              </w:rPr>
              <w:t> </w:t>
            </w:r>
            <w:r>
              <w:rPr>
                <w:sz w:val="18"/>
              </w:rPr>
              <w:t>de</w:t>
            </w:r>
            <w:r>
              <w:rPr>
                <w:spacing w:val="-12"/>
                <w:sz w:val="18"/>
              </w:rPr>
              <w:t> </w:t>
            </w:r>
            <w:r>
              <w:rPr>
                <w:sz w:val="18"/>
              </w:rPr>
              <w:t>los </w:t>
            </w:r>
            <w:r>
              <w:rPr>
                <w:spacing w:val="-2"/>
                <w:sz w:val="18"/>
              </w:rPr>
              <w:t>territorios</w:t>
            </w:r>
          </w:p>
        </w:tc>
        <w:tc>
          <w:tcPr>
            <w:tcW w:w="1560" w:type="dxa"/>
          </w:tcPr>
          <w:p>
            <w:pPr>
              <w:pStyle w:val="TableParagraph"/>
              <w:spacing w:before="103"/>
              <w:rPr>
                <w:b/>
                <w:sz w:val="18"/>
              </w:rPr>
            </w:pPr>
          </w:p>
          <w:p>
            <w:pPr>
              <w:pStyle w:val="TableParagraph"/>
              <w:spacing w:line="242" w:lineRule="auto" w:before="1"/>
              <w:ind w:left="73" w:right="108"/>
              <w:rPr>
                <w:sz w:val="18"/>
              </w:rPr>
            </w:pPr>
            <w:r>
              <w:rPr>
                <w:sz w:val="18"/>
              </w:rPr>
              <w:t>Informe de asignación</w:t>
            </w:r>
            <w:r>
              <w:rPr>
                <w:spacing w:val="-13"/>
                <w:sz w:val="18"/>
              </w:rPr>
              <w:t> </w:t>
            </w:r>
            <w:r>
              <w:rPr>
                <w:sz w:val="18"/>
              </w:rPr>
              <w:t>de </w:t>
            </w:r>
            <w:r>
              <w:rPr>
                <w:spacing w:val="-2"/>
                <w:sz w:val="18"/>
              </w:rPr>
              <w:t>equipo tecnológico</w:t>
            </w:r>
          </w:p>
        </w:tc>
        <w:tc>
          <w:tcPr>
            <w:tcW w:w="141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7" w:right="12"/>
              <w:jc w:val="center"/>
              <w:rPr>
                <w:sz w:val="18"/>
              </w:rPr>
            </w:pPr>
            <w:r>
              <w:rPr>
                <w:spacing w:val="-5"/>
                <w:sz w:val="18"/>
              </w:rPr>
              <w:t>DDS</w:t>
            </w:r>
          </w:p>
        </w:tc>
        <w:tc>
          <w:tcPr>
            <w:tcW w:w="1647" w:type="dxa"/>
          </w:tcPr>
          <w:p>
            <w:pPr>
              <w:pStyle w:val="TableParagraph"/>
              <w:rPr>
                <w:rFonts w:ascii="Times New Roman"/>
                <w:sz w:val="18"/>
              </w:rPr>
            </w:pPr>
          </w:p>
        </w:tc>
        <w:tc>
          <w:tcPr>
            <w:tcW w:w="1549"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5"/>
        <w:gridCol w:w="1558"/>
        <w:gridCol w:w="1561"/>
        <w:gridCol w:w="1983"/>
        <w:gridCol w:w="1561"/>
        <w:gridCol w:w="1417"/>
        <w:gridCol w:w="1648"/>
        <w:gridCol w:w="1550"/>
      </w:tblGrid>
      <w:tr>
        <w:trPr>
          <w:trHeight w:val="618" w:hRule="atLeast"/>
        </w:trPr>
        <w:tc>
          <w:tcPr>
            <w:tcW w:w="2975"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58" w:type="dxa"/>
            <w:shd w:val="clear" w:color="auto" w:fill="D9D9D9"/>
          </w:tcPr>
          <w:p>
            <w:pPr>
              <w:pStyle w:val="TableParagraph"/>
              <w:spacing w:before="104"/>
              <w:ind w:left="520" w:hanging="217"/>
              <w:rPr>
                <w:b/>
                <w:sz w:val="18"/>
              </w:rPr>
            </w:pPr>
            <w:r>
              <w:rPr>
                <w:b/>
                <w:sz w:val="18"/>
              </w:rPr>
              <w:t>Línea</w:t>
            </w:r>
            <w:r>
              <w:rPr>
                <w:b/>
                <w:spacing w:val="-13"/>
                <w:sz w:val="18"/>
              </w:rPr>
              <w:t> </w:t>
            </w:r>
            <w:r>
              <w:rPr>
                <w:b/>
                <w:sz w:val="18"/>
              </w:rPr>
              <w:t>Base </w:t>
            </w:r>
            <w:r>
              <w:rPr>
                <w:b/>
                <w:spacing w:val="-2"/>
                <w:sz w:val="18"/>
              </w:rPr>
              <w:t>(2024)</w:t>
            </w:r>
          </w:p>
        </w:tc>
        <w:tc>
          <w:tcPr>
            <w:tcW w:w="1561" w:type="dxa"/>
            <w:shd w:val="clear" w:color="auto" w:fill="D9D9D9"/>
          </w:tcPr>
          <w:p>
            <w:pPr>
              <w:pStyle w:val="TableParagraph"/>
              <w:spacing w:line="206" w:lineRule="exact"/>
              <w:ind w:left="253" w:right="248" w:firstLine="1"/>
              <w:jc w:val="center"/>
              <w:rPr>
                <w:b/>
                <w:sz w:val="18"/>
              </w:rPr>
            </w:pPr>
            <w:r>
              <w:rPr>
                <w:b/>
                <w:spacing w:val="-4"/>
                <w:sz w:val="18"/>
              </w:rPr>
              <w:t>Meta </w:t>
            </w:r>
            <w:r>
              <w:rPr>
                <w:b/>
                <w:spacing w:val="-2"/>
                <w:sz w:val="18"/>
              </w:rPr>
              <w:t>programada </w:t>
            </w:r>
            <w:r>
              <w:rPr>
                <w:b/>
                <w:spacing w:val="-4"/>
                <w:sz w:val="18"/>
              </w:rPr>
              <w:t>2025</w:t>
            </w:r>
          </w:p>
        </w:tc>
        <w:tc>
          <w:tcPr>
            <w:tcW w:w="1983" w:type="dxa"/>
            <w:shd w:val="clear" w:color="auto" w:fill="D9D9D9"/>
          </w:tcPr>
          <w:p>
            <w:pPr>
              <w:pStyle w:val="TableParagraph"/>
              <w:spacing w:before="205"/>
              <w:ind w:left="579"/>
              <w:rPr>
                <w:b/>
                <w:sz w:val="18"/>
              </w:rPr>
            </w:pPr>
            <w:r>
              <w:rPr>
                <w:b/>
                <w:spacing w:val="-2"/>
                <w:sz w:val="18"/>
              </w:rPr>
              <w:t>Indicador</w:t>
            </w:r>
          </w:p>
        </w:tc>
        <w:tc>
          <w:tcPr>
            <w:tcW w:w="1561" w:type="dxa"/>
            <w:shd w:val="clear" w:color="auto" w:fill="D9D9D9"/>
          </w:tcPr>
          <w:p>
            <w:pPr>
              <w:pStyle w:val="TableParagraph"/>
              <w:spacing w:before="104"/>
              <w:ind w:left="281" w:firstLine="57"/>
              <w:rPr>
                <w:b/>
                <w:sz w:val="18"/>
              </w:rPr>
            </w:pPr>
            <w:r>
              <w:rPr>
                <w:b/>
                <w:sz w:val="18"/>
              </w:rPr>
              <w:t>Medios de </w:t>
            </w:r>
            <w:r>
              <w:rPr>
                <w:b/>
                <w:spacing w:val="-2"/>
                <w:sz w:val="18"/>
              </w:rPr>
              <w:t>verificación</w:t>
            </w:r>
          </w:p>
        </w:tc>
        <w:tc>
          <w:tcPr>
            <w:tcW w:w="1417" w:type="dxa"/>
            <w:shd w:val="clear" w:color="auto" w:fill="D9D9D9"/>
          </w:tcPr>
          <w:p>
            <w:pPr>
              <w:pStyle w:val="TableParagraph"/>
              <w:spacing w:before="205"/>
              <w:ind w:left="9" w:right="8"/>
              <w:jc w:val="center"/>
              <w:rPr>
                <w:b/>
                <w:sz w:val="18"/>
              </w:rPr>
            </w:pPr>
            <w:r>
              <w:rPr>
                <w:b/>
                <w:spacing w:val="-2"/>
                <w:sz w:val="18"/>
              </w:rPr>
              <w:t>Responsable</w:t>
            </w:r>
          </w:p>
        </w:tc>
        <w:tc>
          <w:tcPr>
            <w:tcW w:w="1648" w:type="dxa"/>
            <w:shd w:val="clear" w:color="auto" w:fill="D9D9D9"/>
          </w:tcPr>
          <w:p>
            <w:pPr>
              <w:pStyle w:val="TableParagraph"/>
              <w:spacing w:before="104"/>
              <w:ind w:left="425" w:hanging="120"/>
              <w:rPr>
                <w:b/>
                <w:sz w:val="18"/>
              </w:rPr>
            </w:pPr>
            <w:r>
              <w:rPr>
                <w:b/>
                <w:spacing w:val="-2"/>
                <w:sz w:val="18"/>
              </w:rPr>
              <w:t>Presupuesto asignado</w:t>
            </w:r>
          </w:p>
        </w:tc>
        <w:tc>
          <w:tcPr>
            <w:tcW w:w="1550" w:type="dxa"/>
            <w:shd w:val="clear" w:color="auto" w:fill="D9D9D9"/>
          </w:tcPr>
          <w:p>
            <w:pPr>
              <w:pStyle w:val="TableParagraph"/>
              <w:spacing w:line="206" w:lineRule="exact"/>
              <w:ind w:left="20" w:right="14"/>
              <w:jc w:val="center"/>
              <w:rPr>
                <w:b/>
                <w:sz w:val="18"/>
              </w:rPr>
            </w:pPr>
            <w:r>
              <w:rPr>
                <w:b/>
                <w:spacing w:val="-2"/>
                <w:sz w:val="18"/>
              </w:rPr>
              <w:t>Riesgos </w:t>
            </w:r>
            <w:r>
              <w:rPr>
                <w:b/>
                <w:sz w:val="18"/>
              </w:rPr>
              <w:t>asociados al </w:t>
            </w:r>
            <w:r>
              <w:rPr>
                <w:b/>
                <w:spacing w:val="-2"/>
                <w:sz w:val="18"/>
              </w:rPr>
              <w:t>cumplimiento</w:t>
            </w:r>
          </w:p>
        </w:tc>
      </w:tr>
      <w:tr>
        <w:trPr>
          <w:trHeight w:val="451" w:hRule="atLeast"/>
        </w:trPr>
        <w:tc>
          <w:tcPr>
            <w:tcW w:w="14253" w:type="dxa"/>
            <w:gridSpan w:val="8"/>
            <w:shd w:val="clear" w:color="auto" w:fill="EFF8F9"/>
          </w:tcPr>
          <w:p>
            <w:pPr>
              <w:pStyle w:val="TableParagraph"/>
              <w:spacing w:line="206" w:lineRule="exact" w:before="19"/>
              <w:ind w:left="72" w:right="78"/>
              <w:rPr>
                <w:b/>
                <w:sz w:val="18"/>
              </w:rPr>
            </w:pPr>
            <w:r>
              <w:rPr>
                <w:b/>
                <w:sz w:val="18"/>
              </w:rPr>
              <w:t>Producto</w:t>
            </w:r>
            <w:r>
              <w:rPr>
                <w:b/>
                <w:spacing w:val="-4"/>
                <w:sz w:val="18"/>
              </w:rPr>
              <w:t> </w:t>
            </w:r>
            <w:r>
              <w:rPr>
                <w:b/>
                <w:sz w:val="18"/>
              </w:rPr>
              <w:t>PPPS</w:t>
            </w:r>
            <w:r>
              <w:rPr>
                <w:b/>
                <w:spacing w:val="-4"/>
                <w:sz w:val="18"/>
              </w:rPr>
              <w:t> </w:t>
            </w:r>
            <w:r>
              <w:rPr>
                <w:b/>
                <w:sz w:val="18"/>
              </w:rPr>
              <w:t>1.50:</w:t>
            </w:r>
            <w:r>
              <w:rPr>
                <w:b/>
                <w:spacing w:val="-1"/>
                <w:sz w:val="18"/>
              </w:rPr>
              <w:t> </w:t>
            </w:r>
            <w:r>
              <w:rPr>
                <w:b/>
                <w:sz w:val="18"/>
              </w:rPr>
              <w:t>Sistemas</w:t>
            </w:r>
            <w:r>
              <w:rPr>
                <w:b/>
                <w:spacing w:val="-3"/>
                <w:sz w:val="18"/>
              </w:rPr>
              <w:t> </w:t>
            </w:r>
            <w:r>
              <w:rPr>
                <w:b/>
                <w:sz w:val="18"/>
              </w:rPr>
              <w:t>de</w:t>
            </w:r>
            <w:r>
              <w:rPr>
                <w:b/>
                <w:spacing w:val="-3"/>
                <w:sz w:val="18"/>
              </w:rPr>
              <w:t> </w:t>
            </w:r>
            <w:r>
              <w:rPr>
                <w:b/>
                <w:sz w:val="18"/>
              </w:rPr>
              <w:t>información</w:t>
            </w:r>
            <w:r>
              <w:rPr>
                <w:b/>
                <w:spacing w:val="-4"/>
                <w:sz w:val="18"/>
              </w:rPr>
              <w:t> </w:t>
            </w:r>
            <w:r>
              <w:rPr>
                <w:b/>
                <w:sz w:val="18"/>
              </w:rPr>
              <w:t>utilizados</w:t>
            </w:r>
            <w:r>
              <w:rPr>
                <w:b/>
                <w:spacing w:val="-3"/>
                <w:sz w:val="18"/>
              </w:rPr>
              <w:t> </w:t>
            </w:r>
            <w:r>
              <w:rPr>
                <w:b/>
                <w:sz w:val="18"/>
              </w:rPr>
              <w:t>en la atención</w:t>
            </w:r>
            <w:r>
              <w:rPr>
                <w:b/>
                <w:spacing w:val="-4"/>
                <w:sz w:val="18"/>
              </w:rPr>
              <w:t> </w:t>
            </w:r>
            <w:r>
              <w:rPr>
                <w:b/>
                <w:sz w:val="18"/>
              </w:rPr>
              <w:t>de</w:t>
            </w:r>
            <w:r>
              <w:rPr>
                <w:b/>
                <w:spacing w:val="-2"/>
                <w:sz w:val="18"/>
              </w:rPr>
              <w:t> </w:t>
            </w:r>
            <w:r>
              <w:rPr>
                <w:b/>
                <w:sz w:val="18"/>
              </w:rPr>
              <w:t>la</w:t>
            </w:r>
            <w:r>
              <w:rPr>
                <w:b/>
                <w:spacing w:val="-3"/>
                <w:sz w:val="18"/>
              </w:rPr>
              <w:t> </w:t>
            </w:r>
            <w:r>
              <w:rPr>
                <w:b/>
                <w:sz w:val="18"/>
              </w:rPr>
              <w:t>población objetivo,</w:t>
            </w:r>
            <w:r>
              <w:rPr>
                <w:b/>
                <w:spacing w:val="-1"/>
                <w:sz w:val="18"/>
              </w:rPr>
              <w:t> </w:t>
            </w:r>
            <w:r>
              <w:rPr>
                <w:b/>
                <w:sz w:val="18"/>
              </w:rPr>
              <w:t>adaptados</w:t>
            </w:r>
            <w:r>
              <w:rPr>
                <w:b/>
                <w:spacing w:val="-3"/>
                <w:sz w:val="18"/>
              </w:rPr>
              <w:t> </w:t>
            </w:r>
            <w:r>
              <w:rPr>
                <w:b/>
                <w:sz w:val="18"/>
              </w:rPr>
              <w:t>para</w:t>
            </w:r>
            <w:r>
              <w:rPr>
                <w:b/>
                <w:spacing w:val="-3"/>
                <w:sz w:val="18"/>
              </w:rPr>
              <w:t> </w:t>
            </w:r>
            <w:r>
              <w:rPr>
                <w:b/>
                <w:sz w:val="18"/>
              </w:rPr>
              <w:t>realizar</w:t>
            </w:r>
            <w:r>
              <w:rPr>
                <w:b/>
                <w:spacing w:val="-2"/>
                <w:sz w:val="18"/>
              </w:rPr>
              <w:t> </w:t>
            </w:r>
            <w:r>
              <w:rPr>
                <w:b/>
                <w:sz w:val="18"/>
              </w:rPr>
              <w:t>atención</w:t>
            </w:r>
            <w:r>
              <w:rPr>
                <w:b/>
                <w:spacing w:val="-4"/>
                <w:sz w:val="18"/>
              </w:rPr>
              <w:t> </w:t>
            </w:r>
            <w:r>
              <w:rPr>
                <w:b/>
                <w:sz w:val="18"/>
              </w:rPr>
              <w:t>itinerante en</w:t>
            </w:r>
            <w:r>
              <w:rPr>
                <w:b/>
                <w:spacing w:val="-4"/>
                <w:sz w:val="18"/>
              </w:rPr>
              <w:t> </w:t>
            </w:r>
            <w:r>
              <w:rPr>
                <w:b/>
                <w:sz w:val="18"/>
              </w:rPr>
              <w:t>territorios</w:t>
            </w:r>
            <w:r>
              <w:rPr>
                <w:b/>
                <w:spacing w:val="-3"/>
                <w:sz w:val="18"/>
              </w:rPr>
              <w:t> </w:t>
            </w:r>
            <w:r>
              <w:rPr>
                <w:b/>
                <w:sz w:val="18"/>
              </w:rPr>
              <w:t>sin conectividad. E3 AE11 R2</w:t>
            </w:r>
          </w:p>
        </w:tc>
      </w:tr>
      <w:tr>
        <w:trPr>
          <w:trHeight w:val="2073" w:hRule="atLeast"/>
        </w:trPr>
        <w:tc>
          <w:tcPr>
            <w:tcW w:w="2975" w:type="dxa"/>
          </w:tcPr>
          <w:p>
            <w:pPr>
              <w:pStyle w:val="TableParagraph"/>
              <w:rPr>
                <w:b/>
                <w:sz w:val="18"/>
              </w:rPr>
            </w:pPr>
          </w:p>
          <w:p>
            <w:pPr>
              <w:pStyle w:val="TableParagraph"/>
              <w:spacing w:before="103"/>
              <w:rPr>
                <w:b/>
                <w:sz w:val="18"/>
              </w:rPr>
            </w:pPr>
          </w:p>
          <w:p>
            <w:pPr>
              <w:pStyle w:val="TableParagraph"/>
              <w:ind w:left="72" w:right="221"/>
              <w:rPr>
                <w:b/>
                <w:sz w:val="18"/>
              </w:rPr>
            </w:pPr>
            <w:r>
              <w:rPr>
                <w:b/>
                <w:sz w:val="18"/>
              </w:rPr>
              <w:t>Actividad PPPS 1.50.1: </w:t>
            </w:r>
            <w:r>
              <w:rPr>
                <w:sz w:val="18"/>
              </w:rPr>
              <w:t>Sistemas de información adaptados</w:t>
            </w:r>
            <w:r>
              <w:rPr>
                <w:spacing w:val="-15"/>
                <w:sz w:val="18"/>
              </w:rPr>
              <w:t> </w:t>
            </w:r>
            <w:r>
              <w:rPr>
                <w:sz w:val="18"/>
              </w:rPr>
              <w:t>según</w:t>
            </w:r>
            <w:r>
              <w:rPr>
                <w:spacing w:val="-12"/>
                <w:sz w:val="18"/>
              </w:rPr>
              <w:t> </w:t>
            </w:r>
            <w:r>
              <w:rPr>
                <w:sz w:val="18"/>
              </w:rPr>
              <w:t>requerimientos identificados </w:t>
            </w:r>
            <w:r>
              <w:rPr>
                <w:b/>
                <w:sz w:val="18"/>
              </w:rPr>
              <w:t>(vinculada a PEI </w:t>
            </w:r>
            <w:r>
              <w:rPr>
                <w:b/>
                <w:spacing w:val="-2"/>
                <w:sz w:val="18"/>
              </w:rPr>
              <w:t>3.11.2).</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4" w:right="7"/>
              <w:jc w:val="center"/>
              <w:rPr>
                <w:sz w:val="18"/>
              </w:rPr>
            </w:pPr>
            <w:r>
              <w:rPr>
                <w:spacing w:val="-10"/>
                <w:sz w:val="18"/>
              </w:rPr>
              <w:t>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96" w:right="94"/>
              <w:jc w:val="center"/>
              <w:rPr>
                <w:sz w:val="18"/>
              </w:rPr>
            </w:pPr>
            <w:r>
              <w:rPr>
                <w:spacing w:val="-5"/>
                <w:sz w:val="18"/>
              </w:rPr>
              <w:t>75%</w:t>
            </w:r>
          </w:p>
        </w:tc>
        <w:tc>
          <w:tcPr>
            <w:tcW w:w="1983" w:type="dxa"/>
          </w:tcPr>
          <w:p>
            <w:pPr>
              <w:pStyle w:val="TableParagraph"/>
              <w:spacing w:before="205"/>
              <w:ind w:left="66" w:right="169"/>
              <w:rPr>
                <w:sz w:val="18"/>
              </w:rPr>
            </w:pPr>
            <w:r>
              <w:rPr>
                <w:sz w:val="18"/>
              </w:rPr>
              <w:t>Porcentaje de sistemas de información</w:t>
            </w:r>
            <w:r>
              <w:rPr>
                <w:spacing w:val="-13"/>
                <w:sz w:val="18"/>
              </w:rPr>
              <w:t> </w:t>
            </w:r>
            <w:r>
              <w:rPr>
                <w:sz w:val="18"/>
              </w:rPr>
              <w:t>utilizados en la atención de la población objetivo, adaptados, según la viabilidad técnica de los sistemas.</w:t>
            </w:r>
          </w:p>
        </w:tc>
        <w:tc>
          <w:tcPr>
            <w:tcW w:w="156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0"/>
              <w:rPr>
                <w:sz w:val="18"/>
              </w:rPr>
            </w:pPr>
            <w:r>
              <w:rPr>
                <w:sz w:val="18"/>
              </w:rPr>
              <w:t>Evidencia de adaptación</w:t>
            </w:r>
            <w:r>
              <w:rPr>
                <w:spacing w:val="-15"/>
                <w:sz w:val="18"/>
              </w:rPr>
              <w:t> </w:t>
            </w:r>
            <w:r>
              <w:rPr>
                <w:sz w:val="18"/>
              </w:rPr>
              <w:t>de</w:t>
            </w:r>
            <w:r>
              <w:rPr>
                <w:spacing w:val="-12"/>
                <w:sz w:val="18"/>
              </w:rPr>
              <w:t> </w:t>
            </w:r>
            <w:r>
              <w:rPr>
                <w:sz w:val="18"/>
              </w:rPr>
              <w:t>los sistemas de </w:t>
            </w:r>
            <w:r>
              <w:rPr>
                <w:spacing w:val="-2"/>
                <w:sz w:val="18"/>
              </w:rPr>
              <w:t>información</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9" w:right="6"/>
              <w:jc w:val="center"/>
              <w:rPr>
                <w:sz w:val="18"/>
              </w:rPr>
            </w:pPr>
            <w:r>
              <w:rPr>
                <w:spacing w:val="-4"/>
                <w:sz w:val="18"/>
              </w:rPr>
              <w:t>DSIS</w:t>
            </w:r>
          </w:p>
        </w:tc>
        <w:tc>
          <w:tcPr>
            <w:tcW w:w="1648" w:type="dxa"/>
          </w:tcPr>
          <w:p>
            <w:pPr>
              <w:pStyle w:val="TableParagraph"/>
              <w:rPr>
                <w:rFonts w:ascii="Times New Roman"/>
                <w:sz w:val="18"/>
              </w:rPr>
            </w:pPr>
          </w:p>
        </w:tc>
        <w:tc>
          <w:tcPr>
            <w:tcW w:w="1550" w:type="dxa"/>
          </w:tcPr>
          <w:p>
            <w:pPr>
              <w:pStyle w:val="TableParagraph"/>
              <w:numPr>
                <w:ilvl w:val="0"/>
                <w:numId w:val="80"/>
              </w:numPr>
              <w:tabs>
                <w:tab w:pos="129" w:val="left" w:leader="none"/>
              </w:tabs>
              <w:spacing w:line="240" w:lineRule="auto" w:before="0" w:after="0"/>
              <w:ind w:left="68" w:right="193" w:firstLine="0"/>
              <w:jc w:val="left"/>
              <w:rPr>
                <w:sz w:val="18"/>
              </w:rPr>
            </w:pPr>
            <w:r>
              <w:rPr>
                <w:sz w:val="18"/>
              </w:rPr>
              <w:t>Sistemas de información no se encuentren adaptados</w:t>
            </w:r>
            <w:r>
              <w:rPr>
                <w:spacing w:val="-13"/>
                <w:sz w:val="18"/>
              </w:rPr>
              <w:t> </w:t>
            </w:r>
            <w:r>
              <w:rPr>
                <w:sz w:val="18"/>
              </w:rPr>
              <w:t>para funcionar fuera de línea para</w:t>
            </w:r>
            <w:r>
              <w:rPr>
                <w:spacing w:val="-4"/>
                <w:sz w:val="18"/>
              </w:rPr>
              <w:t> </w:t>
            </w:r>
            <w:r>
              <w:rPr>
                <w:sz w:val="18"/>
              </w:rPr>
              <w:t>la </w:t>
            </w:r>
            <w:r>
              <w:rPr>
                <w:spacing w:val="-2"/>
                <w:sz w:val="18"/>
              </w:rPr>
              <w:t>atención </w:t>
            </w:r>
            <w:r>
              <w:rPr>
                <w:sz w:val="18"/>
              </w:rPr>
              <w:t>itinerante</w:t>
            </w:r>
            <w:r>
              <w:rPr>
                <w:spacing w:val="-15"/>
                <w:sz w:val="18"/>
              </w:rPr>
              <w:t> </w:t>
            </w:r>
            <w:r>
              <w:rPr>
                <w:sz w:val="18"/>
              </w:rPr>
              <w:t>en</w:t>
            </w:r>
            <w:r>
              <w:rPr>
                <w:spacing w:val="-12"/>
                <w:sz w:val="18"/>
              </w:rPr>
              <w:t> </w:t>
            </w:r>
            <w:r>
              <w:rPr>
                <w:sz w:val="18"/>
              </w:rPr>
              <w:t>los</w:t>
            </w:r>
          </w:p>
          <w:p>
            <w:pPr>
              <w:pStyle w:val="TableParagraph"/>
              <w:spacing w:line="206" w:lineRule="exact"/>
              <w:ind w:left="68"/>
              <w:rPr>
                <w:sz w:val="18"/>
              </w:rPr>
            </w:pPr>
            <w:r>
              <w:rPr>
                <w:sz w:val="18"/>
              </w:rPr>
              <w:t>territorios</w:t>
            </w:r>
            <w:r>
              <w:rPr>
                <w:spacing w:val="-13"/>
                <w:sz w:val="18"/>
              </w:rPr>
              <w:t> </w:t>
            </w:r>
            <w:r>
              <w:rPr>
                <w:sz w:val="18"/>
              </w:rPr>
              <w:t>sin </w:t>
            </w:r>
            <w:r>
              <w:rPr>
                <w:spacing w:val="-2"/>
                <w:sz w:val="18"/>
              </w:rPr>
              <w:t>conectividad.</w:t>
            </w:r>
          </w:p>
        </w:tc>
      </w:tr>
      <w:tr>
        <w:trPr>
          <w:trHeight w:val="508" w:hRule="atLeast"/>
        </w:trPr>
        <w:tc>
          <w:tcPr>
            <w:tcW w:w="14253" w:type="dxa"/>
            <w:gridSpan w:val="8"/>
            <w:shd w:val="clear" w:color="auto" w:fill="EFF8F9"/>
          </w:tcPr>
          <w:p>
            <w:pPr>
              <w:pStyle w:val="TableParagraph"/>
              <w:spacing w:before="47"/>
              <w:ind w:left="72" w:right="78"/>
              <w:rPr>
                <w:b/>
                <w:sz w:val="18"/>
              </w:rPr>
            </w:pPr>
            <w:r>
              <w:rPr>
                <w:b/>
                <w:sz w:val="18"/>
              </w:rPr>
              <w:t>Producto</w:t>
            </w:r>
            <w:r>
              <w:rPr>
                <w:b/>
                <w:spacing w:val="-4"/>
                <w:sz w:val="18"/>
              </w:rPr>
              <w:t> </w:t>
            </w:r>
            <w:r>
              <w:rPr>
                <w:b/>
                <w:sz w:val="18"/>
              </w:rPr>
              <w:t>PPPS</w:t>
            </w:r>
            <w:r>
              <w:rPr>
                <w:b/>
                <w:spacing w:val="-4"/>
                <w:sz w:val="18"/>
              </w:rPr>
              <w:t> </w:t>
            </w:r>
            <w:r>
              <w:rPr>
                <w:b/>
                <w:sz w:val="18"/>
              </w:rPr>
              <w:t>1.51: Acciones</w:t>
            </w:r>
            <w:r>
              <w:rPr>
                <w:b/>
                <w:spacing w:val="-3"/>
                <w:sz w:val="18"/>
              </w:rPr>
              <w:t> </w:t>
            </w:r>
            <w:r>
              <w:rPr>
                <w:b/>
                <w:sz w:val="18"/>
              </w:rPr>
              <w:t>de</w:t>
            </w:r>
            <w:r>
              <w:rPr>
                <w:b/>
                <w:spacing w:val="-3"/>
                <w:sz w:val="18"/>
              </w:rPr>
              <w:t> </w:t>
            </w:r>
            <w:r>
              <w:rPr>
                <w:b/>
                <w:sz w:val="18"/>
              </w:rPr>
              <w:t>promoción dirigidas</w:t>
            </w:r>
            <w:r>
              <w:rPr>
                <w:b/>
                <w:spacing w:val="-3"/>
                <w:sz w:val="18"/>
              </w:rPr>
              <w:t> </w:t>
            </w:r>
            <w:r>
              <w:rPr>
                <w:b/>
                <w:sz w:val="18"/>
              </w:rPr>
              <w:t>hacia</w:t>
            </w:r>
            <w:r>
              <w:rPr>
                <w:b/>
                <w:spacing w:val="-3"/>
                <w:sz w:val="18"/>
              </w:rPr>
              <w:t> </w:t>
            </w:r>
            <w:r>
              <w:rPr>
                <w:b/>
                <w:sz w:val="18"/>
              </w:rPr>
              <w:t>la</w:t>
            </w:r>
            <w:r>
              <w:rPr>
                <w:b/>
                <w:spacing w:val="-8"/>
                <w:sz w:val="18"/>
              </w:rPr>
              <w:t> </w:t>
            </w:r>
            <w:r>
              <w:rPr>
                <w:b/>
                <w:sz w:val="18"/>
              </w:rPr>
              <w:t>igualdad</w:t>
            </w:r>
            <w:r>
              <w:rPr>
                <w:b/>
                <w:spacing w:val="-4"/>
                <w:sz w:val="18"/>
              </w:rPr>
              <w:t> </w:t>
            </w:r>
            <w:r>
              <w:rPr>
                <w:b/>
                <w:sz w:val="18"/>
              </w:rPr>
              <w:t>y equidad</w:t>
            </w:r>
            <w:r>
              <w:rPr>
                <w:b/>
                <w:spacing w:val="-4"/>
                <w:sz w:val="18"/>
              </w:rPr>
              <w:t> </w:t>
            </w:r>
            <w:r>
              <w:rPr>
                <w:b/>
                <w:sz w:val="18"/>
              </w:rPr>
              <w:t>en</w:t>
            </w:r>
            <w:r>
              <w:rPr>
                <w:b/>
                <w:spacing w:val="-4"/>
                <w:sz w:val="18"/>
              </w:rPr>
              <w:t> </w:t>
            </w:r>
            <w:r>
              <w:rPr>
                <w:b/>
                <w:sz w:val="18"/>
              </w:rPr>
              <w:t>los procesos</w:t>
            </w:r>
            <w:r>
              <w:rPr>
                <w:b/>
                <w:spacing w:val="-3"/>
                <w:sz w:val="18"/>
              </w:rPr>
              <w:t> </w:t>
            </w:r>
            <w:r>
              <w:rPr>
                <w:b/>
                <w:sz w:val="18"/>
              </w:rPr>
              <w:t>de</w:t>
            </w:r>
            <w:r>
              <w:rPr>
                <w:b/>
                <w:spacing w:val="-3"/>
                <w:sz w:val="18"/>
              </w:rPr>
              <w:t> </w:t>
            </w:r>
            <w:r>
              <w:rPr>
                <w:b/>
                <w:sz w:val="18"/>
              </w:rPr>
              <w:t>atención e</w:t>
            </w:r>
            <w:r>
              <w:rPr>
                <w:b/>
                <w:spacing w:val="-8"/>
                <w:sz w:val="18"/>
              </w:rPr>
              <w:t> </w:t>
            </w:r>
            <w:r>
              <w:rPr>
                <w:b/>
                <w:sz w:val="18"/>
              </w:rPr>
              <w:t>intervención</w:t>
            </w:r>
            <w:r>
              <w:rPr>
                <w:b/>
                <w:spacing w:val="-4"/>
                <w:sz w:val="18"/>
              </w:rPr>
              <w:t> </w:t>
            </w:r>
            <w:r>
              <w:rPr>
                <w:b/>
                <w:sz w:val="18"/>
              </w:rPr>
              <w:t>institucional con diversos</w:t>
            </w:r>
            <w:r>
              <w:rPr>
                <w:b/>
                <w:spacing w:val="-3"/>
                <w:sz w:val="18"/>
              </w:rPr>
              <w:t> </w:t>
            </w:r>
            <w:r>
              <w:rPr>
                <w:b/>
                <w:sz w:val="18"/>
              </w:rPr>
              <w:t>segmentos y perfiles poblacionales.</w:t>
            </w:r>
          </w:p>
        </w:tc>
      </w:tr>
      <w:tr>
        <w:trPr>
          <w:trHeight w:val="1574" w:hRule="atLeast"/>
        </w:trPr>
        <w:tc>
          <w:tcPr>
            <w:tcW w:w="2975" w:type="dxa"/>
            <w:vMerge w:val="restart"/>
          </w:tcPr>
          <w:p>
            <w:pPr>
              <w:pStyle w:val="TableParagraph"/>
              <w:rPr>
                <w:b/>
                <w:sz w:val="18"/>
              </w:rPr>
            </w:pPr>
          </w:p>
          <w:p>
            <w:pPr>
              <w:pStyle w:val="TableParagraph"/>
              <w:spacing w:before="170"/>
              <w:rPr>
                <w:b/>
                <w:sz w:val="18"/>
              </w:rPr>
            </w:pPr>
          </w:p>
          <w:p>
            <w:pPr>
              <w:pStyle w:val="TableParagraph"/>
              <w:ind w:left="72"/>
              <w:rPr>
                <w:b/>
                <w:sz w:val="18"/>
              </w:rPr>
            </w:pPr>
            <w:r>
              <w:rPr>
                <w:b/>
                <w:sz w:val="18"/>
              </w:rPr>
              <w:t>Actividad</w:t>
            </w:r>
            <w:r>
              <w:rPr>
                <w:b/>
                <w:spacing w:val="-6"/>
                <w:sz w:val="18"/>
              </w:rPr>
              <w:t> </w:t>
            </w:r>
            <w:r>
              <w:rPr>
                <w:b/>
                <w:sz w:val="18"/>
              </w:rPr>
              <w:t>PPPS</w:t>
            </w:r>
            <w:r>
              <w:rPr>
                <w:b/>
                <w:spacing w:val="-6"/>
                <w:sz w:val="18"/>
              </w:rPr>
              <w:t> </w:t>
            </w:r>
            <w:r>
              <w:rPr>
                <w:b/>
                <w:spacing w:val="-2"/>
                <w:sz w:val="18"/>
              </w:rPr>
              <w:t>1.51.1:</w:t>
            </w:r>
          </w:p>
          <w:p>
            <w:pPr>
              <w:pStyle w:val="TableParagraph"/>
              <w:ind w:left="72" w:right="95"/>
              <w:rPr>
                <w:b/>
                <w:i/>
                <w:sz w:val="18"/>
              </w:rPr>
            </w:pPr>
            <w:r>
              <w:rPr>
                <w:sz w:val="18"/>
              </w:rPr>
              <w:t>Contar</w:t>
            </w:r>
            <w:r>
              <w:rPr>
                <w:spacing w:val="-8"/>
                <w:sz w:val="18"/>
              </w:rPr>
              <w:t> </w:t>
            </w:r>
            <w:r>
              <w:rPr>
                <w:sz w:val="18"/>
              </w:rPr>
              <w:t>con</w:t>
            </w:r>
            <w:r>
              <w:rPr>
                <w:spacing w:val="-6"/>
                <w:sz w:val="18"/>
              </w:rPr>
              <w:t> </w:t>
            </w:r>
            <w:r>
              <w:rPr>
                <w:sz w:val="18"/>
              </w:rPr>
              <w:t>una</w:t>
            </w:r>
            <w:r>
              <w:rPr>
                <w:spacing w:val="-6"/>
                <w:sz w:val="18"/>
              </w:rPr>
              <w:t> </w:t>
            </w:r>
            <w:r>
              <w:rPr>
                <w:sz w:val="18"/>
              </w:rPr>
              <w:t>oferta</w:t>
            </w:r>
            <w:r>
              <w:rPr>
                <w:spacing w:val="-9"/>
                <w:sz w:val="18"/>
              </w:rPr>
              <w:t> </w:t>
            </w:r>
            <w:r>
              <w:rPr>
                <w:sz w:val="18"/>
              </w:rPr>
              <w:t>de</w:t>
            </w:r>
            <w:r>
              <w:rPr>
                <w:spacing w:val="-9"/>
                <w:sz w:val="18"/>
              </w:rPr>
              <w:t> </w:t>
            </w:r>
            <w:r>
              <w:rPr>
                <w:sz w:val="18"/>
              </w:rPr>
              <w:t>servicios de cuidados de calidad que incorpore nuevas</w:t>
            </w:r>
            <w:r>
              <w:rPr>
                <w:spacing w:val="-4"/>
                <w:sz w:val="18"/>
              </w:rPr>
              <w:t> </w:t>
            </w:r>
            <w:r>
              <w:rPr>
                <w:sz w:val="18"/>
              </w:rPr>
              <w:t>modalidades de atención</w:t>
            </w:r>
            <w:r>
              <w:rPr>
                <w:spacing w:val="-6"/>
                <w:sz w:val="18"/>
              </w:rPr>
              <w:t> </w:t>
            </w:r>
            <w:r>
              <w:rPr>
                <w:sz w:val="18"/>
              </w:rPr>
              <w:t>según</w:t>
            </w:r>
            <w:r>
              <w:rPr>
                <w:spacing w:val="-2"/>
                <w:sz w:val="18"/>
              </w:rPr>
              <w:t> </w:t>
            </w:r>
            <w:r>
              <w:rPr>
                <w:sz w:val="18"/>
              </w:rPr>
              <w:t>poblaciones</w:t>
            </w:r>
            <w:r>
              <w:rPr>
                <w:spacing w:val="-6"/>
                <w:sz w:val="18"/>
              </w:rPr>
              <w:t> </w:t>
            </w:r>
            <w:r>
              <w:rPr>
                <w:sz w:val="18"/>
              </w:rPr>
              <w:t>y</w:t>
            </w:r>
            <w:r>
              <w:rPr>
                <w:spacing w:val="-6"/>
                <w:sz w:val="18"/>
              </w:rPr>
              <w:t> </w:t>
            </w:r>
            <w:r>
              <w:rPr>
                <w:sz w:val="18"/>
              </w:rPr>
              <w:t>que esté integrada en el SINIRUBE </w:t>
            </w:r>
            <w:r>
              <w:rPr>
                <w:b/>
                <w:i/>
                <w:sz w:val="18"/>
              </w:rPr>
              <w:t>(vinculada a la PIEG 2.1.1 y</w:t>
            </w:r>
            <w:r>
              <w:rPr>
                <w:b/>
                <w:i/>
                <w:sz w:val="18"/>
              </w:rPr>
              <w:t> </w:t>
            </w:r>
            <w:r>
              <w:rPr>
                <w:b/>
                <w:i/>
                <w:spacing w:val="-2"/>
                <w:sz w:val="18"/>
              </w:rPr>
              <w:t>2.1.2).</w:t>
            </w:r>
          </w:p>
        </w:tc>
        <w:tc>
          <w:tcPr>
            <w:tcW w:w="1558" w:type="dxa"/>
          </w:tcPr>
          <w:p>
            <w:pPr>
              <w:pStyle w:val="TableParagraph"/>
              <w:rPr>
                <w:b/>
                <w:sz w:val="18"/>
              </w:rPr>
            </w:pPr>
          </w:p>
          <w:p>
            <w:pPr>
              <w:pStyle w:val="TableParagraph"/>
              <w:rPr>
                <w:b/>
                <w:sz w:val="18"/>
              </w:rPr>
            </w:pPr>
          </w:p>
          <w:p>
            <w:pPr>
              <w:pStyle w:val="TableParagraph"/>
              <w:spacing w:before="59"/>
              <w:rPr>
                <w:b/>
                <w:sz w:val="18"/>
              </w:rPr>
            </w:pPr>
          </w:p>
          <w:p>
            <w:pPr>
              <w:pStyle w:val="TableParagraph"/>
              <w:ind w:left="14" w:right="7"/>
              <w:jc w:val="center"/>
              <w:rPr>
                <w:sz w:val="18"/>
              </w:rPr>
            </w:pPr>
            <w:r>
              <w:rPr>
                <w:spacing w:val="-10"/>
                <w:sz w:val="18"/>
              </w:rPr>
              <w:t>0</w:t>
            </w:r>
          </w:p>
        </w:tc>
        <w:tc>
          <w:tcPr>
            <w:tcW w:w="1561" w:type="dxa"/>
          </w:tcPr>
          <w:p>
            <w:pPr>
              <w:pStyle w:val="TableParagraph"/>
              <w:rPr>
                <w:b/>
                <w:sz w:val="18"/>
              </w:rPr>
            </w:pPr>
          </w:p>
          <w:p>
            <w:pPr>
              <w:pStyle w:val="TableParagraph"/>
              <w:rPr>
                <w:b/>
                <w:sz w:val="18"/>
              </w:rPr>
            </w:pPr>
          </w:p>
          <w:p>
            <w:pPr>
              <w:pStyle w:val="TableParagraph"/>
              <w:spacing w:before="59"/>
              <w:rPr>
                <w:b/>
                <w:sz w:val="18"/>
              </w:rPr>
            </w:pPr>
          </w:p>
          <w:p>
            <w:pPr>
              <w:pStyle w:val="TableParagraph"/>
              <w:ind w:left="96" w:right="96"/>
              <w:jc w:val="center"/>
              <w:rPr>
                <w:sz w:val="18"/>
              </w:rPr>
            </w:pPr>
            <w:r>
              <w:rPr>
                <w:spacing w:val="-10"/>
                <w:sz w:val="18"/>
              </w:rPr>
              <w:t>1</w:t>
            </w:r>
          </w:p>
        </w:tc>
        <w:tc>
          <w:tcPr>
            <w:tcW w:w="1983" w:type="dxa"/>
          </w:tcPr>
          <w:p>
            <w:pPr>
              <w:pStyle w:val="TableParagraph"/>
              <w:spacing w:before="60"/>
              <w:rPr>
                <w:b/>
                <w:sz w:val="18"/>
              </w:rPr>
            </w:pPr>
          </w:p>
          <w:p>
            <w:pPr>
              <w:pStyle w:val="TableParagraph"/>
              <w:ind w:left="66" w:right="60"/>
              <w:rPr>
                <w:sz w:val="18"/>
              </w:rPr>
            </w:pPr>
            <w:r>
              <w:rPr>
                <w:sz w:val="18"/>
              </w:rPr>
              <w:t>Número de servicios de</w:t>
            </w:r>
            <w:r>
              <w:rPr>
                <w:spacing w:val="-10"/>
                <w:sz w:val="18"/>
              </w:rPr>
              <w:t> </w:t>
            </w:r>
            <w:r>
              <w:rPr>
                <w:sz w:val="18"/>
              </w:rPr>
              <w:t>cuidados</w:t>
            </w:r>
            <w:r>
              <w:rPr>
                <w:spacing w:val="-13"/>
                <w:sz w:val="18"/>
              </w:rPr>
              <w:t> </w:t>
            </w:r>
            <w:r>
              <w:rPr>
                <w:sz w:val="18"/>
              </w:rPr>
              <w:t>de</w:t>
            </w:r>
            <w:r>
              <w:rPr>
                <w:spacing w:val="-12"/>
                <w:sz w:val="18"/>
              </w:rPr>
              <w:t> </w:t>
            </w:r>
            <w:r>
              <w:rPr>
                <w:sz w:val="18"/>
              </w:rPr>
              <w:t>calidad que</w:t>
            </w:r>
            <w:r>
              <w:rPr>
                <w:spacing w:val="-12"/>
                <w:sz w:val="18"/>
              </w:rPr>
              <w:t> </w:t>
            </w:r>
            <w:r>
              <w:rPr>
                <w:sz w:val="18"/>
              </w:rPr>
              <w:t>incorporan</w:t>
            </w:r>
            <w:r>
              <w:rPr>
                <w:spacing w:val="-13"/>
                <w:sz w:val="18"/>
              </w:rPr>
              <w:t> </w:t>
            </w:r>
            <w:r>
              <w:rPr>
                <w:sz w:val="18"/>
              </w:rPr>
              <w:t>nuevas modalidades según </w:t>
            </w:r>
            <w:r>
              <w:rPr>
                <w:spacing w:val="-2"/>
                <w:sz w:val="18"/>
              </w:rPr>
              <w:t>poblaciones.</w:t>
            </w:r>
          </w:p>
        </w:tc>
        <w:tc>
          <w:tcPr>
            <w:tcW w:w="1561" w:type="dxa"/>
          </w:tcPr>
          <w:p>
            <w:pPr>
              <w:pStyle w:val="TableParagraph"/>
              <w:spacing w:before="60"/>
              <w:rPr>
                <w:b/>
                <w:sz w:val="18"/>
              </w:rPr>
            </w:pPr>
          </w:p>
          <w:p>
            <w:pPr>
              <w:pStyle w:val="TableParagraph"/>
              <w:ind w:left="70" w:right="90"/>
              <w:rPr>
                <w:sz w:val="18"/>
              </w:rPr>
            </w:pPr>
            <w:r>
              <w:rPr>
                <w:sz w:val="18"/>
              </w:rPr>
              <w:t>Documento</w:t>
            </w:r>
            <w:r>
              <w:rPr>
                <w:spacing w:val="-13"/>
                <w:sz w:val="18"/>
              </w:rPr>
              <w:t> </w:t>
            </w:r>
            <w:r>
              <w:rPr>
                <w:sz w:val="18"/>
              </w:rPr>
              <w:t>de oferta de servicios de </w:t>
            </w:r>
            <w:r>
              <w:rPr>
                <w:spacing w:val="-2"/>
                <w:sz w:val="18"/>
              </w:rPr>
              <w:t>cuidados actualizada.</w:t>
            </w:r>
          </w:p>
        </w:tc>
        <w:tc>
          <w:tcPr>
            <w:tcW w:w="1417" w:type="dxa"/>
          </w:tcPr>
          <w:p>
            <w:pPr>
              <w:pStyle w:val="TableParagraph"/>
              <w:rPr>
                <w:b/>
                <w:sz w:val="18"/>
              </w:rPr>
            </w:pPr>
          </w:p>
          <w:p>
            <w:pPr>
              <w:pStyle w:val="TableParagraph"/>
              <w:rPr>
                <w:b/>
                <w:sz w:val="18"/>
              </w:rPr>
            </w:pPr>
          </w:p>
          <w:p>
            <w:pPr>
              <w:pStyle w:val="TableParagraph"/>
              <w:spacing w:before="59"/>
              <w:rPr>
                <w:b/>
                <w:sz w:val="18"/>
              </w:rPr>
            </w:pPr>
          </w:p>
          <w:p>
            <w:pPr>
              <w:pStyle w:val="TableParagraph"/>
              <w:ind w:left="9" w:right="13"/>
              <w:jc w:val="center"/>
              <w:rPr>
                <w:sz w:val="18"/>
              </w:rPr>
            </w:pPr>
            <w:r>
              <w:rPr>
                <w:spacing w:val="-2"/>
                <w:sz w:val="18"/>
              </w:rPr>
              <w:t>DASAI</w:t>
            </w:r>
          </w:p>
        </w:tc>
        <w:tc>
          <w:tcPr>
            <w:tcW w:w="1648" w:type="dxa"/>
          </w:tcPr>
          <w:p>
            <w:pPr>
              <w:pStyle w:val="TableParagraph"/>
              <w:rPr>
                <w:rFonts w:ascii="Times New Roman"/>
                <w:sz w:val="18"/>
              </w:rPr>
            </w:pPr>
          </w:p>
        </w:tc>
        <w:tc>
          <w:tcPr>
            <w:tcW w:w="1550" w:type="dxa"/>
            <w:vMerge w:val="restart"/>
          </w:tcPr>
          <w:p>
            <w:pPr>
              <w:pStyle w:val="TableParagraph"/>
              <w:numPr>
                <w:ilvl w:val="0"/>
                <w:numId w:val="81"/>
              </w:numPr>
              <w:tabs>
                <w:tab w:pos="129" w:val="left" w:leader="none"/>
              </w:tabs>
              <w:spacing w:line="240" w:lineRule="auto" w:before="143" w:after="0"/>
              <w:ind w:left="68" w:right="172" w:firstLine="0"/>
              <w:jc w:val="left"/>
              <w:rPr>
                <w:sz w:val="18"/>
              </w:rPr>
            </w:pPr>
            <w:r>
              <w:rPr>
                <w:sz w:val="18"/>
              </w:rPr>
              <w:t>Errores en la identificación</w:t>
            </w:r>
            <w:r>
              <w:rPr>
                <w:spacing w:val="-13"/>
                <w:sz w:val="18"/>
              </w:rPr>
              <w:t> </w:t>
            </w:r>
            <w:r>
              <w:rPr>
                <w:sz w:val="18"/>
              </w:rPr>
              <w:t>de la población y definición del grado de </w:t>
            </w:r>
            <w:r>
              <w:rPr>
                <w:spacing w:val="-2"/>
                <w:sz w:val="18"/>
              </w:rPr>
              <w:t>dependencia.</w:t>
            </w:r>
          </w:p>
          <w:p>
            <w:pPr>
              <w:pStyle w:val="TableParagraph"/>
              <w:numPr>
                <w:ilvl w:val="0"/>
                <w:numId w:val="81"/>
              </w:numPr>
              <w:tabs>
                <w:tab w:pos="129" w:val="left" w:leader="none"/>
              </w:tabs>
              <w:spacing w:line="240" w:lineRule="auto" w:before="1" w:after="0"/>
              <w:ind w:left="68" w:right="244" w:firstLine="0"/>
              <w:jc w:val="left"/>
              <w:rPr>
                <w:sz w:val="18"/>
              </w:rPr>
            </w:pPr>
            <w:r>
              <w:rPr>
                <w:sz w:val="18"/>
              </w:rPr>
              <w:t>Atraso en la instauración</w:t>
            </w:r>
            <w:r>
              <w:rPr>
                <w:spacing w:val="-13"/>
                <w:sz w:val="18"/>
              </w:rPr>
              <w:t> </w:t>
            </w:r>
            <w:r>
              <w:rPr>
                <w:sz w:val="18"/>
              </w:rPr>
              <w:t>en SINIRUBE del</w:t>
            </w:r>
          </w:p>
          <w:p>
            <w:pPr>
              <w:pStyle w:val="TableParagraph"/>
              <w:spacing w:before="4"/>
              <w:ind w:left="68"/>
              <w:rPr>
                <w:sz w:val="18"/>
              </w:rPr>
            </w:pPr>
            <w:r>
              <w:rPr>
                <w:spacing w:val="-2"/>
                <w:sz w:val="18"/>
              </w:rPr>
              <w:t>instrumento </w:t>
            </w:r>
            <w:r>
              <w:rPr>
                <w:sz w:val="18"/>
              </w:rPr>
              <w:t>aprobado en decretos</w:t>
            </w:r>
            <w:r>
              <w:rPr>
                <w:spacing w:val="-15"/>
                <w:sz w:val="18"/>
              </w:rPr>
              <w:t> </w:t>
            </w:r>
            <w:r>
              <w:rPr>
                <w:sz w:val="18"/>
              </w:rPr>
              <w:t>44242</w:t>
            </w:r>
            <w:r>
              <w:rPr>
                <w:spacing w:val="-12"/>
                <w:sz w:val="18"/>
              </w:rPr>
              <w:t> </w:t>
            </w:r>
            <w:r>
              <w:rPr>
                <w:sz w:val="18"/>
              </w:rPr>
              <w:t>y</w:t>
            </w:r>
          </w:p>
          <w:p>
            <w:pPr>
              <w:pStyle w:val="TableParagraph"/>
              <w:spacing w:line="205" w:lineRule="exact"/>
              <w:ind w:left="68"/>
              <w:rPr>
                <w:sz w:val="18"/>
              </w:rPr>
            </w:pPr>
            <w:r>
              <w:rPr>
                <w:spacing w:val="-2"/>
                <w:sz w:val="18"/>
              </w:rPr>
              <w:t>44243.</w:t>
            </w:r>
          </w:p>
          <w:p>
            <w:pPr>
              <w:pStyle w:val="TableParagraph"/>
              <w:numPr>
                <w:ilvl w:val="0"/>
                <w:numId w:val="81"/>
              </w:numPr>
              <w:tabs>
                <w:tab w:pos="129" w:val="left" w:leader="none"/>
              </w:tabs>
              <w:spacing w:line="240" w:lineRule="auto" w:before="0" w:after="0"/>
              <w:ind w:left="68" w:right="81" w:firstLine="0"/>
              <w:jc w:val="left"/>
              <w:rPr>
                <w:sz w:val="18"/>
              </w:rPr>
            </w:pPr>
            <w:r>
              <w:rPr>
                <w:sz w:val="18"/>
              </w:rPr>
              <w:t>No</w:t>
            </w:r>
            <w:r>
              <w:rPr>
                <w:spacing w:val="-13"/>
                <w:sz w:val="18"/>
              </w:rPr>
              <w:t> </w:t>
            </w:r>
            <w:r>
              <w:rPr>
                <w:sz w:val="18"/>
              </w:rPr>
              <w:t>identificación de la población en situación de</w:t>
            </w:r>
          </w:p>
          <w:p>
            <w:pPr>
              <w:pStyle w:val="TableParagraph"/>
              <w:spacing w:line="206" w:lineRule="exact"/>
              <w:ind w:left="68" w:right="128"/>
              <w:rPr>
                <w:sz w:val="18"/>
              </w:rPr>
            </w:pPr>
            <w:r>
              <w:rPr>
                <w:sz w:val="18"/>
              </w:rPr>
              <w:t>dependencia y sus</w:t>
            </w:r>
            <w:r>
              <w:rPr>
                <w:spacing w:val="2"/>
                <w:sz w:val="18"/>
              </w:rPr>
              <w:t> </w:t>
            </w:r>
            <w:r>
              <w:rPr>
                <w:spacing w:val="-2"/>
                <w:sz w:val="18"/>
              </w:rPr>
              <w:t>cuidadores</w:t>
            </w:r>
          </w:p>
        </w:tc>
      </w:tr>
      <w:tr>
        <w:trPr>
          <w:trHeight w:val="1243" w:hRule="atLeast"/>
        </w:trPr>
        <w:tc>
          <w:tcPr>
            <w:tcW w:w="2975" w:type="dxa"/>
            <w:vMerge/>
            <w:tcBorders>
              <w:top w:val="nil"/>
            </w:tcBorders>
          </w:tcPr>
          <w:p>
            <w:pPr>
              <w:rPr>
                <w:sz w:val="2"/>
                <w:szCs w:val="2"/>
              </w:rPr>
            </w:pPr>
          </w:p>
        </w:tc>
        <w:tc>
          <w:tcPr>
            <w:tcW w:w="1558" w:type="dxa"/>
          </w:tcPr>
          <w:p>
            <w:pPr>
              <w:pStyle w:val="TableParagraph"/>
              <w:rPr>
                <w:b/>
                <w:sz w:val="18"/>
              </w:rPr>
            </w:pPr>
          </w:p>
          <w:p>
            <w:pPr>
              <w:pStyle w:val="TableParagraph"/>
              <w:spacing w:before="103"/>
              <w:rPr>
                <w:b/>
                <w:sz w:val="18"/>
              </w:rPr>
            </w:pPr>
          </w:p>
          <w:p>
            <w:pPr>
              <w:pStyle w:val="TableParagraph"/>
              <w:ind w:left="14"/>
              <w:jc w:val="center"/>
              <w:rPr>
                <w:sz w:val="18"/>
              </w:rPr>
            </w:pPr>
            <w:r>
              <w:rPr>
                <w:spacing w:val="-5"/>
                <w:sz w:val="18"/>
              </w:rPr>
              <w:t>0%</w:t>
            </w:r>
          </w:p>
        </w:tc>
        <w:tc>
          <w:tcPr>
            <w:tcW w:w="1561" w:type="dxa"/>
          </w:tcPr>
          <w:p>
            <w:pPr>
              <w:pStyle w:val="TableParagraph"/>
              <w:rPr>
                <w:b/>
                <w:sz w:val="18"/>
              </w:rPr>
            </w:pPr>
          </w:p>
          <w:p>
            <w:pPr>
              <w:pStyle w:val="TableParagraph"/>
              <w:spacing w:before="103"/>
              <w:rPr>
                <w:b/>
                <w:sz w:val="18"/>
              </w:rPr>
            </w:pPr>
          </w:p>
          <w:p>
            <w:pPr>
              <w:pStyle w:val="TableParagraph"/>
              <w:ind w:left="97" w:right="91"/>
              <w:jc w:val="center"/>
              <w:rPr>
                <w:sz w:val="18"/>
              </w:rPr>
            </w:pPr>
            <w:r>
              <w:rPr>
                <w:spacing w:val="-4"/>
                <w:sz w:val="18"/>
              </w:rPr>
              <w:t>100%</w:t>
            </w:r>
          </w:p>
        </w:tc>
        <w:tc>
          <w:tcPr>
            <w:tcW w:w="1983" w:type="dxa"/>
          </w:tcPr>
          <w:p>
            <w:pPr>
              <w:pStyle w:val="TableParagraph"/>
              <w:ind w:left="66" w:right="86"/>
              <w:rPr>
                <w:sz w:val="18"/>
              </w:rPr>
            </w:pPr>
            <w:r>
              <w:rPr>
                <w:sz w:val="18"/>
              </w:rPr>
              <w:t>Porcentaje</w:t>
            </w:r>
            <w:r>
              <w:rPr>
                <w:spacing w:val="-2"/>
                <w:sz w:val="18"/>
              </w:rPr>
              <w:t> </w:t>
            </w:r>
            <w:r>
              <w:rPr>
                <w:sz w:val="18"/>
              </w:rPr>
              <w:t>de</w:t>
            </w:r>
            <w:r>
              <w:rPr>
                <w:spacing w:val="-2"/>
                <w:sz w:val="18"/>
              </w:rPr>
              <w:t> </w:t>
            </w:r>
            <w:r>
              <w:rPr>
                <w:sz w:val="18"/>
              </w:rPr>
              <w:t>avance en</w:t>
            </w:r>
            <w:r>
              <w:rPr>
                <w:spacing w:val="-9"/>
                <w:sz w:val="18"/>
              </w:rPr>
              <w:t> </w:t>
            </w:r>
            <w:r>
              <w:rPr>
                <w:sz w:val="18"/>
              </w:rPr>
              <w:t>la</w:t>
            </w:r>
            <w:r>
              <w:rPr>
                <w:spacing w:val="-12"/>
                <w:sz w:val="18"/>
              </w:rPr>
              <w:t> </w:t>
            </w:r>
            <w:r>
              <w:rPr>
                <w:sz w:val="18"/>
              </w:rPr>
              <w:t>conformación</w:t>
            </w:r>
            <w:r>
              <w:rPr>
                <w:spacing w:val="-12"/>
                <w:sz w:val="18"/>
              </w:rPr>
              <w:t> </w:t>
            </w:r>
            <w:r>
              <w:rPr>
                <w:sz w:val="18"/>
              </w:rPr>
              <w:t>de la oferta de servicios de cuidados, que incorporan nuevas</w:t>
            </w:r>
          </w:p>
          <w:p>
            <w:pPr>
              <w:pStyle w:val="TableParagraph"/>
              <w:spacing w:line="187" w:lineRule="exact" w:before="1"/>
              <w:ind w:left="66"/>
              <w:rPr>
                <w:sz w:val="18"/>
              </w:rPr>
            </w:pPr>
            <w:r>
              <w:rPr>
                <w:spacing w:val="-2"/>
                <w:sz w:val="18"/>
              </w:rPr>
              <w:t>modalidades</w:t>
            </w:r>
          </w:p>
        </w:tc>
        <w:tc>
          <w:tcPr>
            <w:tcW w:w="1561" w:type="dxa"/>
          </w:tcPr>
          <w:p>
            <w:pPr>
              <w:pStyle w:val="TableParagraph"/>
              <w:spacing w:before="103"/>
              <w:rPr>
                <w:b/>
                <w:sz w:val="18"/>
              </w:rPr>
            </w:pPr>
          </w:p>
          <w:p>
            <w:pPr>
              <w:pStyle w:val="TableParagraph"/>
              <w:spacing w:before="1"/>
              <w:ind w:left="70"/>
              <w:rPr>
                <w:sz w:val="18"/>
              </w:rPr>
            </w:pPr>
            <w:r>
              <w:rPr>
                <w:sz w:val="18"/>
              </w:rPr>
              <w:t>Documento con detalle</w:t>
            </w:r>
            <w:r>
              <w:rPr>
                <w:spacing w:val="-15"/>
                <w:sz w:val="18"/>
              </w:rPr>
              <w:t> </w:t>
            </w:r>
            <w:r>
              <w:rPr>
                <w:sz w:val="18"/>
              </w:rPr>
              <w:t>de</w:t>
            </w:r>
            <w:r>
              <w:rPr>
                <w:spacing w:val="-12"/>
                <w:sz w:val="18"/>
              </w:rPr>
              <w:t> </w:t>
            </w:r>
            <w:r>
              <w:rPr>
                <w:sz w:val="18"/>
              </w:rPr>
              <w:t>avance de cumplimiento.</w:t>
            </w:r>
          </w:p>
        </w:tc>
        <w:tc>
          <w:tcPr>
            <w:tcW w:w="1417" w:type="dxa"/>
          </w:tcPr>
          <w:p>
            <w:pPr>
              <w:pStyle w:val="TableParagraph"/>
              <w:rPr>
                <w:b/>
                <w:sz w:val="18"/>
              </w:rPr>
            </w:pPr>
          </w:p>
          <w:p>
            <w:pPr>
              <w:pStyle w:val="TableParagraph"/>
              <w:spacing w:before="103"/>
              <w:rPr>
                <w:b/>
                <w:sz w:val="18"/>
              </w:rPr>
            </w:pPr>
          </w:p>
          <w:p>
            <w:pPr>
              <w:pStyle w:val="TableParagraph"/>
              <w:ind w:left="9" w:right="13"/>
              <w:jc w:val="center"/>
              <w:rPr>
                <w:sz w:val="18"/>
              </w:rPr>
            </w:pPr>
            <w:r>
              <w:rPr>
                <w:spacing w:val="-2"/>
                <w:sz w:val="18"/>
              </w:rPr>
              <w:t>DASAI</w:t>
            </w:r>
          </w:p>
        </w:tc>
        <w:tc>
          <w:tcPr>
            <w:tcW w:w="1648" w:type="dxa"/>
          </w:tcPr>
          <w:p>
            <w:pPr>
              <w:pStyle w:val="TableParagraph"/>
              <w:rPr>
                <w:rFonts w:ascii="Times New Roman"/>
                <w:sz w:val="18"/>
              </w:rPr>
            </w:pPr>
          </w:p>
        </w:tc>
        <w:tc>
          <w:tcPr>
            <w:tcW w:w="1550" w:type="dxa"/>
            <w:vMerge/>
            <w:tcBorders>
              <w:top w:val="nil"/>
            </w:tcBorders>
          </w:tcPr>
          <w:p>
            <w:pPr>
              <w:rPr>
                <w:sz w:val="2"/>
                <w:szCs w:val="2"/>
              </w:rPr>
            </w:pPr>
          </w:p>
        </w:tc>
      </w:tr>
      <w:tr>
        <w:trPr>
          <w:trHeight w:val="1037" w:hRule="atLeast"/>
        </w:trPr>
        <w:tc>
          <w:tcPr>
            <w:tcW w:w="2975" w:type="dxa"/>
          </w:tcPr>
          <w:p>
            <w:pPr>
              <w:pStyle w:val="TableParagraph"/>
              <w:spacing w:line="206"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1.51.2:</w:t>
            </w:r>
          </w:p>
          <w:p>
            <w:pPr>
              <w:pStyle w:val="TableParagraph"/>
              <w:ind w:left="72"/>
              <w:rPr>
                <w:sz w:val="18"/>
              </w:rPr>
            </w:pPr>
            <w:r>
              <w:rPr>
                <w:sz w:val="18"/>
              </w:rPr>
              <w:t>Diseño e implementación de un modelo</w:t>
            </w:r>
            <w:r>
              <w:rPr>
                <w:spacing w:val="-7"/>
                <w:sz w:val="18"/>
              </w:rPr>
              <w:t> </w:t>
            </w:r>
            <w:r>
              <w:rPr>
                <w:sz w:val="18"/>
              </w:rPr>
              <w:t>de</w:t>
            </w:r>
            <w:r>
              <w:rPr>
                <w:spacing w:val="-7"/>
                <w:sz w:val="18"/>
              </w:rPr>
              <w:t> </w:t>
            </w:r>
            <w:r>
              <w:rPr>
                <w:sz w:val="18"/>
              </w:rPr>
              <w:t>copagos</w:t>
            </w:r>
            <w:r>
              <w:rPr>
                <w:spacing w:val="-7"/>
                <w:sz w:val="18"/>
              </w:rPr>
              <w:t> </w:t>
            </w:r>
            <w:r>
              <w:rPr>
                <w:sz w:val="18"/>
              </w:rPr>
              <w:t>vinculado</w:t>
            </w:r>
            <w:r>
              <w:rPr>
                <w:spacing w:val="-7"/>
                <w:sz w:val="18"/>
              </w:rPr>
              <w:t> </w:t>
            </w:r>
            <w:r>
              <w:rPr>
                <w:sz w:val="18"/>
              </w:rPr>
              <w:t>a</w:t>
            </w:r>
            <w:r>
              <w:rPr>
                <w:spacing w:val="-4"/>
                <w:sz w:val="18"/>
              </w:rPr>
              <w:t> </w:t>
            </w:r>
            <w:r>
              <w:rPr>
                <w:sz w:val="18"/>
              </w:rPr>
              <w:t>los</w:t>
            </w:r>
          </w:p>
          <w:p>
            <w:pPr>
              <w:pStyle w:val="TableParagraph"/>
              <w:spacing w:line="206" w:lineRule="exact"/>
              <w:ind w:left="72"/>
              <w:rPr>
                <w:sz w:val="18"/>
              </w:rPr>
            </w:pPr>
            <w:r>
              <w:rPr>
                <w:sz w:val="18"/>
              </w:rPr>
              <w:t>servicios</w:t>
            </w:r>
            <w:r>
              <w:rPr>
                <w:spacing w:val="-10"/>
                <w:sz w:val="18"/>
              </w:rPr>
              <w:t> </w:t>
            </w:r>
            <w:r>
              <w:rPr>
                <w:sz w:val="18"/>
              </w:rPr>
              <w:t>de</w:t>
            </w:r>
            <w:r>
              <w:rPr>
                <w:spacing w:val="-10"/>
                <w:sz w:val="18"/>
              </w:rPr>
              <w:t> </w:t>
            </w:r>
            <w:r>
              <w:rPr>
                <w:sz w:val="18"/>
              </w:rPr>
              <w:t>cuidados</w:t>
            </w:r>
            <w:r>
              <w:rPr>
                <w:spacing w:val="-6"/>
                <w:sz w:val="18"/>
              </w:rPr>
              <w:t> </w:t>
            </w:r>
            <w:r>
              <w:rPr>
                <w:sz w:val="18"/>
              </w:rPr>
              <w:t>de</w:t>
            </w:r>
            <w:r>
              <w:rPr>
                <w:spacing w:val="-10"/>
                <w:sz w:val="18"/>
              </w:rPr>
              <w:t> </w:t>
            </w:r>
            <w:r>
              <w:rPr>
                <w:sz w:val="18"/>
              </w:rPr>
              <w:t>personas en situación de dependencia</w:t>
            </w:r>
          </w:p>
        </w:tc>
        <w:tc>
          <w:tcPr>
            <w:tcW w:w="1558" w:type="dxa"/>
          </w:tcPr>
          <w:p>
            <w:pPr>
              <w:pStyle w:val="TableParagraph"/>
              <w:spacing w:before="205"/>
              <w:rPr>
                <w:b/>
                <w:sz w:val="18"/>
              </w:rPr>
            </w:pPr>
          </w:p>
          <w:p>
            <w:pPr>
              <w:pStyle w:val="TableParagraph"/>
              <w:ind w:left="14"/>
              <w:jc w:val="center"/>
              <w:rPr>
                <w:sz w:val="18"/>
              </w:rPr>
            </w:pPr>
            <w:r>
              <w:rPr>
                <w:spacing w:val="-5"/>
                <w:sz w:val="18"/>
              </w:rPr>
              <w:t>0%</w:t>
            </w:r>
          </w:p>
        </w:tc>
        <w:tc>
          <w:tcPr>
            <w:tcW w:w="1561" w:type="dxa"/>
          </w:tcPr>
          <w:p>
            <w:pPr>
              <w:pStyle w:val="TableParagraph"/>
              <w:spacing w:before="205"/>
              <w:rPr>
                <w:b/>
                <w:sz w:val="18"/>
              </w:rPr>
            </w:pPr>
          </w:p>
          <w:p>
            <w:pPr>
              <w:pStyle w:val="TableParagraph"/>
              <w:ind w:left="97" w:right="91"/>
              <w:jc w:val="center"/>
              <w:rPr>
                <w:sz w:val="18"/>
              </w:rPr>
            </w:pPr>
            <w:r>
              <w:rPr>
                <w:spacing w:val="-4"/>
                <w:sz w:val="18"/>
              </w:rPr>
              <w:t>100%</w:t>
            </w:r>
          </w:p>
        </w:tc>
        <w:tc>
          <w:tcPr>
            <w:tcW w:w="1983" w:type="dxa"/>
          </w:tcPr>
          <w:p>
            <w:pPr>
              <w:pStyle w:val="TableParagraph"/>
              <w:ind w:left="66" w:right="86"/>
              <w:rPr>
                <w:sz w:val="18"/>
              </w:rPr>
            </w:pPr>
            <w:r>
              <w:rPr>
                <w:sz w:val="18"/>
              </w:rPr>
              <w:t>Porcentaje</w:t>
            </w:r>
            <w:r>
              <w:rPr>
                <w:spacing w:val="-15"/>
                <w:sz w:val="18"/>
              </w:rPr>
              <w:t> </w:t>
            </w:r>
            <w:r>
              <w:rPr>
                <w:sz w:val="18"/>
              </w:rPr>
              <w:t>de</w:t>
            </w:r>
            <w:r>
              <w:rPr>
                <w:spacing w:val="-12"/>
                <w:sz w:val="18"/>
              </w:rPr>
              <w:t> </w:t>
            </w:r>
            <w:r>
              <w:rPr>
                <w:sz w:val="18"/>
              </w:rPr>
              <w:t>avance en la aplicación del esquema de copago</w:t>
            </w:r>
          </w:p>
          <w:p>
            <w:pPr>
              <w:pStyle w:val="TableParagraph"/>
              <w:spacing w:line="206" w:lineRule="exact"/>
              <w:ind w:left="66"/>
              <w:rPr>
                <w:sz w:val="18"/>
              </w:rPr>
            </w:pPr>
            <w:r>
              <w:rPr>
                <w:sz w:val="18"/>
              </w:rPr>
              <w:t>(diseñado</w:t>
            </w:r>
            <w:r>
              <w:rPr>
                <w:spacing w:val="-15"/>
                <w:sz w:val="18"/>
              </w:rPr>
              <w:t> </w:t>
            </w:r>
            <w:r>
              <w:rPr>
                <w:sz w:val="18"/>
              </w:rPr>
              <w:t>y</w:t>
            </w:r>
            <w:r>
              <w:rPr>
                <w:spacing w:val="-12"/>
                <w:sz w:val="18"/>
              </w:rPr>
              <w:t> </w:t>
            </w:r>
            <w:r>
              <w:rPr>
                <w:sz w:val="18"/>
              </w:rPr>
              <w:t>en </w:t>
            </w:r>
            <w:r>
              <w:rPr>
                <w:spacing w:val="-2"/>
                <w:sz w:val="18"/>
              </w:rPr>
              <w:t>aplicación).</w:t>
            </w:r>
          </w:p>
        </w:tc>
        <w:tc>
          <w:tcPr>
            <w:tcW w:w="1561" w:type="dxa"/>
          </w:tcPr>
          <w:p>
            <w:pPr>
              <w:pStyle w:val="TableParagraph"/>
              <w:spacing w:before="205"/>
              <w:ind w:left="70"/>
              <w:rPr>
                <w:sz w:val="18"/>
              </w:rPr>
            </w:pPr>
            <w:r>
              <w:rPr>
                <w:sz w:val="18"/>
              </w:rPr>
              <w:t>Documento con detalle</w:t>
            </w:r>
            <w:r>
              <w:rPr>
                <w:spacing w:val="-15"/>
                <w:sz w:val="18"/>
              </w:rPr>
              <w:t> </w:t>
            </w:r>
            <w:r>
              <w:rPr>
                <w:sz w:val="18"/>
              </w:rPr>
              <w:t>de</w:t>
            </w:r>
            <w:r>
              <w:rPr>
                <w:spacing w:val="-12"/>
                <w:sz w:val="18"/>
              </w:rPr>
              <w:t> </w:t>
            </w:r>
            <w:r>
              <w:rPr>
                <w:sz w:val="18"/>
              </w:rPr>
              <w:t>avance de cumplimiento.</w:t>
            </w:r>
          </w:p>
        </w:tc>
        <w:tc>
          <w:tcPr>
            <w:tcW w:w="1417" w:type="dxa"/>
          </w:tcPr>
          <w:p>
            <w:pPr>
              <w:pStyle w:val="TableParagraph"/>
              <w:spacing w:before="205"/>
              <w:rPr>
                <w:b/>
                <w:sz w:val="18"/>
              </w:rPr>
            </w:pPr>
          </w:p>
          <w:p>
            <w:pPr>
              <w:pStyle w:val="TableParagraph"/>
              <w:ind w:left="9" w:right="13"/>
              <w:jc w:val="center"/>
              <w:rPr>
                <w:sz w:val="18"/>
              </w:rPr>
            </w:pPr>
            <w:r>
              <w:rPr>
                <w:spacing w:val="-2"/>
                <w:sz w:val="18"/>
              </w:rPr>
              <w:t>DASAI</w:t>
            </w:r>
          </w:p>
        </w:tc>
        <w:tc>
          <w:tcPr>
            <w:tcW w:w="1648" w:type="dxa"/>
          </w:tcPr>
          <w:p>
            <w:pPr>
              <w:pStyle w:val="TableParagraph"/>
              <w:rPr>
                <w:rFonts w:ascii="Times New Roman"/>
                <w:sz w:val="18"/>
              </w:rPr>
            </w:pPr>
          </w:p>
        </w:tc>
        <w:tc>
          <w:tcPr>
            <w:tcW w:w="1550"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1486"/>
        <w:gridCol w:w="1560"/>
        <w:gridCol w:w="1560"/>
        <w:gridCol w:w="1982"/>
        <w:gridCol w:w="1560"/>
        <w:gridCol w:w="1416"/>
        <w:gridCol w:w="1651"/>
        <w:gridCol w:w="1546"/>
      </w:tblGrid>
      <w:tr>
        <w:trPr>
          <w:trHeight w:val="618" w:hRule="atLeast"/>
        </w:trPr>
        <w:tc>
          <w:tcPr>
            <w:tcW w:w="2972" w:type="dxa"/>
            <w:gridSpan w:val="2"/>
            <w:tcBorders>
              <w:bottom w:val="nil"/>
            </w:tcBorders>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51" w:type="dxa"/>
            <w:shd w:val="clear" w:color="auto" w:fill="D9D9D9"/>
          </w:tcPr>
          <w:p>
            <w:pPr>
              <w:pStyle w:val="TableParagraph"/>
              <w:spacing w:before="104"/>
              <w:ind w:left="430" w:hanging="120"/>
              <w:rPr>
                <w:b/>
                <w:sz w:val="18"/>
              </w:rPr>
            </w:pPr>
            <w:r>
              <w:rPr>
                <w:b/>
                <w:spacing w:val="-2"/>
                <w:sz w:val="18"/>
              </w:rPr>
              <w:t>Presupuesto asignado</w:t>
            </w:r>
          </w:p>
        </w:tc>
        <w:tc>
          <w:tcPr>
            <w:tcW w:w="1546" w:type="dxa"/>
            <w:tcBorders>
              <w:bottom w:val="nil"/>
            </w:tcBorders>
            <w:shd w:val="clear" w:color="auto" w:fill="D9D9D9"/>
          </w:tcPr>
          <w:p>
            <w:pPr>
              <w:pStyle w:val="TableParagraph"/>
              <w:spacing w:line="206" w:lineRule="exact"/>
              <w:ind w:left="14"/>
              <w:jc w:val="center"/>
              <w:rPr>
                <w:b/>
                <w:sz w:val="18"/>
              </w:rPr>
            </w:pPr>
            <w:r>
              <w:rPr>
                <w:b/>
                <w:spacing w:val="-2"/>
                <w:sz w:val="18"/>
              </w:rPr>
              <w:t>Riesgos </w:t>
            </w:r>
            <w:r>
              <w:rPr>
                <w:b/>
                <w:sz w:val="18"/>
              </w:rPr>
              <w:t>asociados al </w:t>
            </w:r>
            <w:r>
              <w:rPr>
                <w:b/>
                <w:spacing w:val="-2"/>
                <w:sz w:val="18"/>
              </w:rPr>
              <w:t>cumplimiento</w:t>
            </w:r>
          </w:p>
        </w:tc>
      </w:tr>
      <w:tr>
        <w:trPr>
          <w:trHeight w:val="2074" w:hRule="atLeast"/>
        </w:trPr>
        <w:tc>
          <w:tcPr>
            <w:tcW w:w="2972" w:type="dxa"/>
            <w:gridSpan w:val="2"/>
            <w:tcBorders>
              <w:top w:val="nil"/>
            </w:tcBorders>
          </w:tcPr>
          <w:p>
            <w:pPr>
              <w:pStyle w:val="TableParagraph"/>
              <w:spacing w:before="3"/>
              <w:ind w:left="72" w:right="141"/>
              <w:rPr>
                <w:sz w:val="18"/>
              </w:rPr>
            </w:pPr>
            <w:r>
              <w:rPr>
                <w:b/>
                <w:i/>
                <w:sz w:val="18"/>
              </w:rPr>
              <w:t>(vinculada</w:t>
            </w:r>
            <w:r>
              <w:rPr>
                <w:b/>
                <w:i/>
                <w:spacing w:val="-7"/>
                <w:sz w:val="18"/>
              </w:rPr>
              <w:t> </w:t>
            </w:r>
            <w:r>
              <w:rPr>
                <w:b/>
                <w:i/>
                <w:sz w:val="18"/>
              </w:rPr>
              <w:t>a</w:t>
            </w:r>
            <w:r>
              <w:rPr>
                <w:b/>
                <w:i/>
                <w:spacing w:val="-11"/>
                <w:sz w:val="18"/>
              </w:rPr>
              <w:t> </w:t>
            </w:r>
            <w:r>
              <w:rPr>
                <w:b/>
                <w:i/>
                <w:sz w:val="18"/>
              </w:rPr>
              <w:t>la</w:t>
            </w:r>
            <w:r>
              <w:rPr>
                <w:b/>
                <w:i/>
                <w:spacing w:val="-7"/>
                <w:sz w:val="18"/>
              </w:rPr>
              <w:t> </w:t>
            </w:r>
            <w:r>
              <w:rPr>
                <w:b/>
                <w:i/>
                <w:sz w:val="18"/>
              </w:rPr>
              <w:t>PIEG</w:t>
            </w:r>
            <w:r>
              <w:rPr>
                <w:b/>
                <w:i/>
                <w:spacing w:val="-5"/>
                <w:sz w:val="18"/>
              </w:rPr>
              <w:t> </w:t>
            </w:r>
            <w:r>
              <w:rPr>
                <w:b/>
                <w:i/>
                <w:sz w:val="18"/>
              </w:rPr>
              <w:t>2.2.1</w:t>
            </w:r>
            <w:r>
              <w:rPr>
                <w:b/>
                <w:i/>
                <w:spacing w:val="-11"/>
                <w:sz w:val="18"/>
              </w:rPr>
              <w:t> </w:t>
            </w:r>
            <w:r>
              <w:rPr>
                <w:b/>
                <w:i/>
                <w:sz w:val="18"/>
              </w:rPr>
              <w:t>y</w:t>
            </w:r>
            <w:r>
              <w:rPr>
                <w:b/>
                <w:i/>
                <w:sz w:val="18"/>
              </w:rPr>
              <w:t> </w:t>
            </w:r>
            <w:r>
              <w:rPr>
                <w:b/>
                <w:i/>
                <w:spacing w:val="-2"/>
                <w:sz w:val="18"/>
              </w:rPr>
              <w:t>2.2.2)</w:t>
            </w:r>
            <w:r>
              <w:rPr>
                <w:spacing w:val="-2"/>
                <w:sz w:val="18"/>
              </w:rPr>
              <w:t>.</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21" w:right="14"/>
              <w:jc w:val="center"/>
              <w:rPr>
                <w:sz w:val="18"/>
              </w:rPr>
            </w:pPr>
            <w:r>
              <w:rPr>
                <w:spacing w:val="-5"/>
                <w:sz w:val="18"/>
              </w:rPr>
              <w:t>50</w:t>
            </w:r>
          </w:p>
        </w:tc>
        <w:tc>
          <w:tcPr>
            <w:tcW w:w="1982" w:type="dxa"/>
          </w:tcPr>
          <w:p>
            <w:pPr>
              <w:pStyle w:val="TableParagraph"/>
              <w:spacing w:before="3"/>
              <w:ind w:left="68" w:right="114"/>
              <w:rPr>
                <w:sz w:val="18"/>
              </w:rPr>
            </w:pPr>
            <w:r>
              <w:rPr>
                <w:sz w:val="18"/>
              </w:rPr>
              <w:t>Número de personas en situaciones de dependencia que acceden a los servicios</w:t>
            </w:r>
            <w:r>
              <w:rPr>
                <w:spacing w:val="-7"/>
                <w:sz w:val="18"/>
              </w:rPr>
              <w:t> </w:t>
            </w:r>
            <w:r>
              <w:rPr>
                <w:sz w:val="18"/>
              </w:rPr>
              <w:t>de</w:t>
            </w:r>
            <w:r>
              <w:rPr>
                <w:spacing w:val="-7"/>
                <w:sz w:val="18"/>
              </w:rPr>
              <w:t> </w:t>
            </w:r>
            <w:r>
              <w:rPr>
                <w:sz w:val="18"/>
              </w:rPr>
              <w:t>cuidados mediante</w:t>
            </w:r>
            <w:r>
              <w:rPr>
                <w:spacing w:val="-2"/>
                <w:sz w:val="18"/>
              </w:rPr>
              <w:t> </w:t>
            </w:r>
            <w:r>
              <w:rPr>
                <w:sz w:val="18"/>
              </w:rPr>
              <w:t>mecanismo de copago según sexo, etnia, grupo etario,</w:t>
            </w:r>
            <w:r>
              <w:rPr>
                <w:spacing w:val="-15"/>
                <w:sz w:val="18"/>
              </w:rPr>
              <w:t> </w:t>
            </w:r>
            <w:r>
              <w:rPr>
                <w:sz w:val="18"/>
              </w:rPr>
              <w:t>discapacidad</w:t>
            </w:r>
            <w:r>
              <w:rPr>
                <w:spacing w:val="-12"/>
                <w:sz w:val="18"/>
              </w:rPr>
              <w:t> </w:t>
            </w:r>
            <w:r>
              <w:rPr>
                <w:sz w:val="18"/>
              </w:rPr>
              <w:t>y</w:t>
            </w:r>
          </w:p>
          <w:p>
            <w:pPr>
              <w:pStyle w:val="TableParagraph"/>
              <w:spacing w:line="187" w:lineRule="exact" w:before="1"/>
              <w:ind w:left="68"/>
              <w:rPr>
                <w:sz w:val="18"/>
              </w:rPr>
            </w:pPr>
            <w:r>
              <w:rPr>
                <w:spacing w:val="-2"/>
                <w:sz w:val="18"/>
              </w:rPr>
              <w:t>región.</w:t>
            </w:r>
          </w:p>
        </w:tc>
        <w:tc>
          <w:tcPr>
            <w:tcW w:w="1560" w:type="dxa"/>
          </w:tcPr>
          <w:p>
            <w:pPr>
              <w:pStyle w:val="TableParagraph"/>
              <w:rPr>
                <w:b/>
                <w:sz w:val="18"/>
              </w:rPr>
            </w:pPr>
          </w:p>
          <w:p>
            <w:pPr>
              <w:pStyle w:val="TableParagraph"/>
              <w:spacing w:before="104"/>
              <w:rPr>
                <w:b/>
                <w:sz w:val="18"/>
              </w:rPr>
            </w:pPr>
          </w:p>
          <w:p>
            <w:pPr>
              <w:pStyle w:val="TableParagraph"/>
              <w:ind w:left="73" w:right="108"/>
              <w:rPr>
                <w:sz w:val="18"/>
              </w:rPr>
            </w:pPr>
            <w:r>
              <w:rPr>
                <w:sz w:val="18"/>
              </w:rPr>
              <w:t>Reporte con datos</w:t>
            </w:r>
            <w:r>
              <w:rPr>
                <w:spacing w:val="-15"/>
                <w:sz w:val="18"/>
              </w:rPr>
              <w:t> </w:t>
            </w:r>
            <w:r>
              <w:rPr>
                <w:sz w:val="18"/>
              </w:rPr>
              <w:t>sobre</w:t>
            </w:r>
            <w:r>
              <w:rPr>
                <w:spacing w:val="-12"/>
                <w:sz w:val="18"/>
              </w:rPr>
              <w:t> </w:t>
            </w:r>
            <w:r>
              <w:rPr>
                <w:sz w:val="18"/>
              </w:rPr>
              <w:t>el alcance en la aplicación del </w:t>
            </w:r>
            <w:r>
              <w:rPr>
                <w:spacing w:val="-2"/>
                <w:sz w:val="18"/>
              </w:rPr>
              <w:t>copago.</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17" w:right="15"/>
              <w:jc w:val="center"/>
              <w:rPr>
                <w:sz w:val="18"/>
              </w:rPr>
            </w:pPr>
            <w:r>
              <w:rPr>
                <w:spacing w:val="-2"/>
                <w:sz w:val="18"/>
              </w:rPr>
              <w:t>DASAI</w:t>
            </w:r>
          </w:p>
        </w:tc>
        <w:tc>
          <w:tcPr>
            <w:tcW w:w="1651" w:type="dxa"/>
          </w:tcPr>
          <w:p>
            <w:pPr>
              <w:pStyle w:val="TableParagraph"/>
              <w:rPr>
                <w:rFonts w:ascii="Times New Roman"/>
                <w:sz w:val="18"/>
              </w:rPr>
            </w:pPr>
          </w:p>
        </w:tc>
        <w:tc>
          <w:tcPr>
            <w:tcW w:w="1546" w:type="dxa"/>
            <w:vMerge w:val="restart"/>
            <w:tcBorders>
              <w:top w:val="nil"/>
            </w:tcBorders>
          </w:tcPr>
          <w:p>
            <w:pPr>
              <w:pStyle w:val="TableParagraph"/>
              <w:spacing w:before="3"/>
              <w:ind w:left="70"/>
              <w:rPr>
                <w:sz w:val="18"/>
              </w:rPr>
            </w:pPr>
            <w:r>
              <w:rPr>
                <w:sz w:val="18"/>
              </w:rPr>
              <w:t>para el </w:t>
            </w:r>
            <w:r>
              <w:rPr>
                <w:spacing w:val="-2"/>
                <w:sz w:val="18"/>
              </w:rPr>
              <w:t>otorgamiento subsidios, </w:t>
            </w:r>
            <w:r>
              <w:rPr>
                <w:sz w:val="18"/>
              </w:rPr>
              <w:t>beneficios y </w:t>
            </w:r>
            <w:r>
              <w:rPr>
                <w:spacing w:val="-2"/>
                <w:sz w:val="18"/>
              </w:rPr>
              <w:t>transferencias monetarias.</w:t>
            </w:r>
          </w:p>
        </w:tc>
      </w:tr>
      <w:tr>
        <w:trPr>
          <w:trHeight w:val="1243" w:hRule="atLeast"/>
        </w:trPr>
        <w:tc>
          <w:tcPr>
            <w:tcW w:w="2972" w:type="dxa"/>
            <w:gridSpan w:val="2"/>
            <w:vMerge w:val="restart"/>
          </w:tcPr>
          <w:p>
            <w:pPr>
              <w:pStyle w:val="TableParagraph"/>
              <w:rPr>
                <w:b/>
                <w:sz w:val="18"/>
              </w:rPr>
            </w:pPr>
          </w:p>
          <w:p>
            <w:pPr>
              <w:pStyle w:val="TableParagraph"/>
              <w:spacing w:before="108"/>
              <w:rPr>
                <w:b/>
                <w:sz w:val="18"/>
              </w:rPr>
            </w:pPr>
          </w:p>
          <w:p>
            <w:pPr>
              <w:pStyle w:val="TableParagraph"/>
              <w:ind w:left="72" w:right="69"/>
              <w:rPr>
                <w:b/>
                <w:i/>
                <w:sz w:val="18"/>
              </w:rPr>
            </w:pPr>
            <w:r>
              <w:rPr>
                <w:b/>
                <w:sz w:val="18"/>
              </w:rPr>
              <w:t>Actividad PPPS 1.51.3: </w:t>
            </w:r>
            <w:r>
              <w:rPr>
                <w:sz w:val="18"/>
              </w:rPr>
              <w:t>Implementación del Baremo de Valoración de la Dependencia como mecanismo de entrada a los servicios</w:t>
            </w:r>
            <w:r>
              <w:rPr>
                <w:spacing w:val="-9"/>
                <w:sz w:val="18"/>
              </w:rPr>
              <w:t> </w:t>
            </w:r>
            <w:r>
              <w:rPr>
                <w:sz w:val="18"/>
              </w:rPr>
              <w:t>de</w:t>
            </w:r>
            <w:r>
              <w:rPr>
                <w:spacing w:val="-9"/>
                <w:sz w:val="18"/>
              </w:rPr>
              <w:t> </w:t>
            </w:r>
            <w:r>
              <w:rPr>
                <w:sz w:val="18"/>
              </w:rPr>
              <w:t>cuidados</w:t>
            </w:r>
            <w:r>
              <w:rPr>
                <w:spacing w:val="-8"/>
                <w:sz w:val="18"/>
              </w:rPr>
              <w:t> </w:t>
            </w:r>
            <w:r>
              <w:rPr>
                <w:b/>
                <w:i/>
                <w:sz w:val="18"/>
              </w:rPr>
              <w:t>(vinculada</w:t>
            </w:r>
            <w:r>
              <w:rPr>
                <w:b/>
                <w:i/>
                <w:spacing w:val="-6"/>
                <w:sz w:val="18"/>
              </w:rPr>
              <w:t> </w:t>
            </w:r>
            <w:r>
              <w:rPr>
                <w:b/>
                <w:i/>
                <w:sz w:val="18"/>
              </w:rPr>
              <w:t>a</w:t>
            </w:r>
            <w:r>
              <w:rPr>
                <w:b/>
                <w:i/>
                <w:sz w:val="18"/>
              </w:rPr>
              <w:t> la PIEG 2.3.1).</w:t>
            </w:r>
          </w:p>
        </w:tc>
        <w:tc>
          <w:tcPr>
            <w:tcW w:w="1560" w:type="dxa"/>
          </w:tcPr>
          <w:p>
            <w:pPr>
              <w:pStyle w:val="TableParagraph"/>
              <w:rPr>
                <w:b/>
                <w:sz w:val="18"/>
              </w:rPr>
            </w:pPr>
          </w:p>
          <w:p>
            <w:pPr>
              <w:pStyle w:val="TableParagraph"/>
              <w:spacing w:before="103"/>
              <w:rPr>
                <w:b/>
                <w:sz w:val="18"/>
              </w:rPr>
            </w:pPr>
          </w:p>
          <w:p>
            <w:pPr>
              <w:pStyle w:val="TableParagraph"/>
              <w:ind w:left="21" w:right="3"/>
              <w:jc w:val="center"/>
              <w:rPr>
                <w:sz w:val="18"/>
              </w:rPr>
            </w:pPr>
            <w:r>
              <w:rPr>
                <w:spacing w:val="-4"/>
                <w:sz w:val="18"/>
              </w:rPr>
              <w:t>100%</w:t>
            </w:r>
          </w:p>
        </w:tc>
        <w:tc>
          <w:tcPr>
            <w:tcW w:w="1560" w:type="dxa"/>
          </w:tcPr>
          <w:p>
            <w:pPr>
              <w:pStyle w:val="TableParagraph"/>
              <w:rPr>
                <w:b/>
                <w:sz w:val="18"/>
              </w:rPr>
            </w:pPr>
          </w:p>
          <w:p>
            <w:pPr>
              <w:pStyle w:val="TableParagraph"/>
              <w:spacing w:before="103"/>
              <w:rPr>
                <w:b/>
                <w:sz w:val="18"/>
              </w:rPr>
            </w:pPr>
          </w:p>
          <w:p>
            <w:pPr>
              <w:pStyle w:val="TableParagraph"/>
              <w:ind w:left="21" w:right="12"/>
              <w:jc w:val="center"/>
              <w:rPr>
                <w:sz w:val="18"/>
              </w:rPr>
            </w:pPr>
            <w:r>
              <w:rPr>
                <w:spacing w:val="-4"/>
                <w:sz w:val="18"/>
              </w:rPr>
              <w:t>100%</w:t>
            </w:r>
          </w:p>
        </w:tc>
        <w:tc>
          <w:tcPr>
            <w:tcW w:w="1982" w:type="dxa"/>
          </w:tcPr>
          <w:p>
            <w:pPr>
              <w:pStyle w:val="TableParagraph"/>
              <w:ind w:left="68" w:right="154"/>
              <w:rPr>
                <w:sz w:val="18"/>
              </w:rPr>
            </w:pPr>
            <w:r>
              <w:rPr>
                <w:sz w:val="18"/>
              </w:rPr>
              <w:t>Porcentaje</w:t>
            </w:r>
            <w:r>
              <w:rPr>
                <w:spacing w:val="-15"/>
                <w:sz w:val="18"/>
              </w:rPr>
              <w:t> </w:t>
            </w:r>
            <w:r>
              <w:rPr>
                <w:sz w:val="18"/>
              </w:rPr>
              <w:t>de</w:t>
            </w:r>
            <w:r>
              <w:rPr>
                <w:spacing w:val="-12"/>
                <w:sz w:val="18"/>
              </w:rPr>
              <w:t> </w:t>
            </w:r>
            <w:r>
              <w:rPr>
                <w:sz w:val="18"/>
              </w:rPr>
              <w:t>avance en la aplicación de la escala de </w:t>
            </w:r>
            <w:r>
              <w:rPr>
                <w:spacing w:val="-2"/>
                <w:sz w:val="18"/>
              </w:rPr>
              <w:t>dependencia </w:t>
            </w:r>
            <w:r>
              <w:rPr>
                <w:sz w:val="18"/>
              </w:rPr>
              <w:t>(diseñada y en</w:t>
            </w:r>
          </w:p>
          <w:p>
            <w:pPr>
              <w:pStyle w:val="TableParagraph"/>
              <w:spacing w:line="190" w:lineRule="exact"/>
              <w:ind w:left="68"/>
              <w:rPr>
                <w:sz w:val="18"/>
              </w:rPr>
            </w:pPr>
            <w:r>
              <w:rPr>
                <w:spacing w:val="-2"/>
                <w:sz w:val="18"/>
              </w:rPr>
              <w:t>aplicación).</w:t>
            </w:r>
          </w:p>
        </w:tc>
        <w:tc>
          <w:tcPr>
            <w:tcW w:w="1560" w:type="dxa"/>
          </w:tcPr>
          <w:p>
            <w:pPr>
              <w:pStyle w:val="TableParagraph"/>
              <w:spacing w:before="99"/>
              <w:ind w:left="73" w:right="108"/>
              <w:rPr>
                <w:sz w:val="18"/>
              </w:rPr>
            </w:pPr>
            <w:r>
              <w:rPr>
                <w:sz w:val="18"/>
              </w:rPr>
              <w:t>Reporte con datos</w:t>
            </w:r>
            <w:r>
              <w:rPr>
                <w:spacing w:val="-15"/>
                <w:sz w:val="18"/>
              </w:rPr>
              <w:t> </w:t>
            </w:r>
            <w:r>
              <w:rPr>
                <w:sz w:val="18"/>
              </w:rPr>
              <w:t>sobre</w:t>
            </w:r>
            <w:r>
              <w:rPr>
                <w:spacing w:val="-12"/>
                <w:sz w:val="18"/>
              </w:rPr>
              <w:t> </w:t>
            </w:r>
            <w:r>
              <w:rPr>
                <w:sz w:val="18"/>
              </w:rPr>
              <w:t>el avance en la aplicación del </w:t>
            </w:r>
            <w:r>
              <w:rPr>
                <w:spacing w:val="-2"/>
                <w:sz w:val="18"/>
              </w:rPr>
              <w:t>Baremo.</w:t>
            </w:r>
          </w:p>
        </w:tc>
        <w:tc>
          <w:tcPr>
            <w:tcW w:w="1416" w:type="dxa"/>
          </w:tcPr>
          <w:p>
            <w:pPr>
              <w:pStyle w:val="TableParagraph"/>
              <w:rPr>
                <w:b/>
                <w:sz w:val="18"/>
              </w:rPr>
            </w:pPr>
          </w:p>
          <w:p>
            <w:pPr>
              <w:pStyle w:val="TableParagraph"/>
              <w:spacing w:before="103"/>
              <w:rPr>
                <w:b/>
                <w:sz w:val="18"/>
              </w:rPr>
            </w:pPr>
          </w:p>
          <w:p>
            <w:pPr>
              <w:pStyle w:val="TableParagraph"/>
              <w:ind w:left="17" w:right="15"/>
              <w:jc w:val="center"/>
              <w:rPr>
                <w:sz w:val="18"/>
              </w:rPr>
            </w:pPr>
            <w:r>
              <w:rPr>
                <w:spacing w:val="-2"/>
                <w:sz w:val="18"/>
              </w:rPr>
              <w:t>DASAI</w:t>
            </w:r>
          </w:p>
        </w:tc>
        <w:tc>
          <w:tcPr>
            <w:tcW w:w="1651" w:type="dxa"/>
          </w:tcPr>
          <w:p>
            <w:pPr>
              <w:pStyle w:val="TableParagraph"/>
              <w:rPr>
                <w:rFonts w:ascii="Times New Roman"/>
                <w:sz w:val="18"/>
              </w:rPr>
            </w:pPr>
          </w:p>
        </w:tc>
        <w:tc>
          <w:tcPr>
            <w:tcW w:w="1546" w:type="dxa"/>
            <w:vMerge/>
            <w:tcBorders>
              <w:top w:val="nil"/>
            </w:tcBorders>
          </w:tcPr>
          <w:p>
            <w:pPr>
              <w:rPr>
                <w:sz w:val="2"/>
                <w:szCs w:val="2"/>
              </w:rPr>
            </w:pPr>
          </w:p>
        </w:tc>
      </w:tr>
      <w:tr>
        <w:trPr>
          <w:trHeight w:val="1032" w:hRule="atLeast"/>
        </w:trPr>
        <w:tc>
          <w:tcPr>
            <w:tcW w:w="2972" w:type="dxa"/>
            <w:gridSpan w:val="2"/>
            <w:vMerge/>
            <w:tcBorders>
              <w:top w:val="nil"/>
            </w:tcBorders>
          </w:tcPr>
          <w:p>
            <w:pPr>
              <w:rPr>
                <w:sz w:val="2"/>
                <w:szCs w:val="2"/>
              </w:rPr>
            </w:pPr>
          </w:p>
        </w:tc>
        <w:tc>
          <w:tcPr>
            <w:tcW w:w="1560" w:type="dxa"/>
          </w:tcPr>
          <w:p>
            <w:pPr>
              <w:pStyle w:val="TableParagraph"/>
              <w:spacing w:before="204"/>
              <w:rPr>
                <w:b/>
                <w:sz w:val="18"/>
              </w:rPr>
            </w:pPr>
          </w:p>
          <w:p>
            <w:pPr>
              <w:pStyle w:val="TableParagraph"/>
              <w:ind w:left="21" w:right="6"/>
              <w:jc w:val="center"/>
              <w:rPr>
                <w:sz w:val="18"/>
              </w:rPr>
            </w:pPr>
            <w:r>
              <w:rPr>
                <w:spacing w:val="-4"/>
                <w:sz w:val="18"/>
              </w:rPr>
              <w:t>2788</w:t>
            </w:r>
          </w:p>
        </w:tc>
        <w:tc>
          <w:tcPr>
            <w:tcW w:w="1560" w:type="dxa"/>
          </w:tcPr>
          <w:p>
            <w:pPr>
              <w:pStyle w:val="TableParagraph"/>
              <w:spacing w:before="204"/>
              <w:rPr>
                <w:b/>
                <w:sz w:val="18"/>
              </w:rPr>
            </w:pPr>
          </w:p>
          <w:p>
            <w:pPr>
              <w:pStyle w:val="TableParagraph"/>
              <w:ind w:left="21" w:right="14"/>
              <w:jc w:val="center"/>
              <w:rPr>
                <w:sz w:val="18"/>
              </w:rPr>
            </w:pPr>
            <w:r>
              <w:rPr>
                <w:spacing w:val="-4"/>
                <w:sz w:val="18"/>
              </w:rPr>
              <w:t>3000</w:t>
            </w:r>
          </w:p>
        </w:tc>
        <w:tc>
          <w:tcPr>
            <w:tcW w:w="1982" w:type="dxa"/>
          </w:tcPr>
          <w:p>
            <w:pPr>
              <w:pStyle w:val="TableParagraph"/>
              <w:spacing w:line="242" w:lineRule="auto" w:before="99"/>
              <w:ind w:left="68" w:right="114"/>
              <w:rPr>
                <w:sz w:val="18"/>
              </w:rPr>
            </w:pPr>
            <w:r>
              <w:rPr>
                <w:sz w:val="18"/>
              </w:rPr>
              <w:t>Cantidad</w:t>
            </w:r>
            <w:r>
              <w:rPr>
                <w:spacing w:val="-15"/>
                <w:sz w:val="18"/>
              </w:rPr>
              <w:t> </w:t>
            </w:r>
            <w:r>
              <w:rPr>
                <w:sz w:val="18"/>
              </w:rPr>
              <w:t>de</w:t>
            </w:r>
            <w:r>
              <w:rPr>
                <w:spacing w:val="-12"/>
                <w:sz w:val="18"/>
              </w:rPr>
              <w:t> </w:t>
            </w:r>
            <w:r>
              <w:rPr>
                <w:sz w:val="18"/>
              </w:rPr>
              <w:t>personas baremadas para nuevos casos de los servicios</w:t>
            </w:r>
            <w:r>
              <w:rPr>
                <w:spacing w:val="-15"/>
                <w:sz w:val="18"/>
              </w:rPr>
              <w:t> </w:t>
            </w:r>
            <w:r>
              <w:rPr>
                <w:sz w:val="18"/>
              </w:rPr>
              <w:t>de</w:t>
            </w:r>
            <w:r>
              <w:rPr>
                <w:spacing w:val="-12"/>
                <w:sz w:val="18"/>
              </w:rPr>
              <w:t> </w:t>
            </w:r>
            <w:r>
              <w:rPr>
                <w:sz w:val="18"/>
              </w:rPr>
              <w:t>cuidados.</w:t>
            </w:r>
          </w:p>
        </w:tc>
        <w:tc>
          <w:tcPr>
            <w:tcW w:w="1560" w:type="dxa"/>
          </w:tcPr>
          <w:p>
            <w:pPr>
              <w:pStyle w:val="TableParagraph"/>
              <w:ind w:left="73" w:right="108"/>
              <w:rPr>
                <w:sz w:val="18"/>
              </w:rPr>
            </w:pPr>
            <w:r>
              <w:rPr>
                <w:sz w:val="18"/>
              </w:rPr>
              <w:t>Reporte con datos</w:t>
            </w:r>
            <w:r>
              <w:rPr>
                <w:spacing w:val="-15"/>
                <w:sz w:val="18"/>
              </w:rPr>
              <w:t> </w:t>
            </w:r>
            <w:r>
              <w:rPr>
                <w:sz w:val="18"/>
              </w:rPr>
              <w:t>sobre</w:t>
            </w:r>
            <w:r>
              <w:rPr>
                <w:spacing w:val="-12"/>
                <w:sz w:val="18"/>
              </w:rPr>
              <w:t> </w:t>
            </w:r>
            <w:r>
              <w:rPr>
                <w:sz w:val="18"/>
              </w:rPr>
              <w:t>la cantidad de</w:t>
            </w:r>
          </w:p>
          <w:p>
            <w:pPr>
              <w:pStyle w:val="TableParagraph"/>
              <w:spacing w:line="206" w:lineRule="exact"/>
              <w:ind w:left="73" w:right="69"/>
              <w:rPr>
                <w:sz w:val="18"/>
              </w:rPr>
            </w:pPr>
            <w:r>
              <w:rPr>
                <w:sz w:val="18"/>
              </w:rPr>
              <w:t>personas con Baremo</w:t>
            </w:r>
            <w:r>
              <w:rPr>
                <w:spacing w:val="-13"/>
                <w:sz w:val="18"/>
              </w:rPr>
              <w:t> </w:t>
            </w:r>
            <w:r>
              <w:rPr>
                <w:sz w:val="18"/>
              </w:rPr>
              <w:t>aplicado.</w:t>
            </w:r>
          </w:p>
        </w:tc>
        <w:tc>
          <w:tcPr>
            <w:tcW w:w="1416" w:type="dxa"/>
          </w:tcPr>
          <w:p>
            <w:pPr>
              <w:pStyle w:val="TableParagraph"/>
              <w:spacing w:before="204"/>
              <w:rPr>
                <w:b/>
                <w:sz w:val="18"/>
              </w:rPr>
            </w:pPr>
          </w:p>
          <w:p>
            <w:pPr>
              <w:pStyle w:val="TableParagraph"/>
              <w:ind w:left="17" w:right="15"/>
              <w:jc w:val="center"/>
              <w:rPr>
                <w:sz w:val="18"/>
              </w:rPr>
            </w:pPr>
            <w:r>
              <w:rPr>
                <w:spacing w:val="-2"/>
                <w:sz w:val="18"/>
              </w:rPr>
              <w:t>DASAI</w:t>
            </w:r>
          </w:p>
        </w:tc>
        <w:tc>
          <w:tcPr>
            <w:tcW w:w="1651" w:type="dxa"/>
          </w:tcPr>
          <w:p>
            <w:pPr>
              <w:pStyle w:val="TableParagraph"/>
              <w:rPr>
                <w:rFonts w:ascii="Times New Roman"/>
                <w:sz w:val="18"/>
              </w:rPr>
            </w:pPr>
          </w:p>
        </w:tc>
        <w:tc>
          <w:tcPr>
            <w:tcW w:w="1546" w:type="dxa"/>
            <w:vMerge/>
            <w:tcBorders>
              <w:top w:val="nil"/>
            </w:tcBorders>
          </w:tcPr>
          <w:p>
            <w:pPr>
              <w:rPr>
                <w:sz w:val="2"/>
                <w:szCs w:val="2"/>
              </w:rPr>
            </w:pPr>
          </w:p>
        </w:tc>
      </w:tr>
      <w:tr>
        <w:trPr>
          <w:trHeight w:val="1654" w:hRule="atLeast"/>
        </w:trPr>
        <w:tc>
          <w:tcPr>
            <w:tcW w:w="2972" w:type="dxa"/>
            <w:gridSpan w:val="2"/>
          </w:tcPr>
          <w:p>
            <w:pPr>
              <w:pStyle w:val="TableParagraph"/>
              <w:spacing w:before="204"/>
              <w:ind w:left="72"/>
              <w:rPr>
                <w:b/>
                <w:sz w:val="18"/>
              </w:rPr>
            </w:pPr>
            <w:r>
              <w:rPr>
                <w:b/>
                <w:sz w:val="18"/>
              </w:rPr>
              <w:t>Actividad</w:t>
            </w:r>
            <w:r>
              <w:rPr>
                <w:b/>
                <w:spacing w:val="-6"/>
                <w:sz w:val="18"/>
              </w:rPr>
              <w:t> </w:t>
            </w:r>
            <w:r>
              <w:rPr>
                <w:b/>
                <w:sz w:val="18"/>
              </w:rPr>
              <w:t>PPPS</w:t>
            </w:r>
            <w:r>
              <w:rPr>
                <w:b/>
                <w:spacing w:val="-6"/>
                <w:sz w:val="18"/>
              </w:rPr>
              <w:t> </w:t>
            </w:r>
            <w:r>
              <w:rPr>
                <w:b/>
                <w:spacing w:val="-2"/>
                <w:sz w:val="18"/>
              </w:rPr>
              <w:t>1.51.4:</w:t>
            </w:r>
          </w:p>
          <w:p>
            <w:pPr>
              <w:pStyle w:val="TableParagraph"/>
              <w:spacing w:before="4"/>
              <w:ind w:left="72" w:right="141"/>
              <w:rPr>
                <w:b/>
                <w:i/>
                <w:sz w:val="18"/>
              </w:rPr>
            </w:pPr>
            <w:r>
              <w:rPr>
                <w:sz w:val="18"/>
              </w:rPr>
              <w:t>Ajustes en los sistemas de información</w:t>
            </w:r>
            <w:r>
              <w:rPr>
                <w:spacing w:val="-9"/>
                <w:sz w:val="18"/>
              </w:rPr>
              <w:t> </w:t>
            </w:r>
            <w:r>
              <w:rPr>
                <w:sz w:val="18"/>
              </w:rPr>
              <w:t>social</w:t>
            </w:r>
            <w:r>
              <w:rPr>
                <w:spacing w:val="-10"/>
                <w:sz w:val="18"/>
              </w:rPr>
              <w:t> </w:t>
            </w:r>
            <w:r>
              <w:rPr>
                <w:sz w:val="18"/>
              </w:rPr>
              <w:t>para</w:t>
            </w:r>
            <w:r>
              <w:rPr>
                <w:spacing w:val="-9"/>
                <w:sz w:val="18"/>
              </w:rPr>
              <w:t> </w:t>
            </w:r>
            <w:r>
              <w:rPr>
                <w:sz w:val="18"/>
              </w:rPr>
              <w:t>el</w:t>
            </w:r>
            <w:r>
              <w:rPr>
                <w:spacing w:val="-10"/>
                <w:sz w:val="18"/>
              </w:rPr>
              <w:t> </w:t>
            </w:r>
            <w:r>
              <w:rPr>
                <w:sz w:val="18"/>
              </w:rPr>
              <w:t>registro, monitoreo y seguimiento de poblaciones específicas </w:t>
            </w:r>
            <w:r>
              <w:rPr>
                <w:b/>
                <w:i/>
                <w:sz w:val="18"/>
              </w:rPr>
              <w:t>(vinculada a PLANOVI 3.1.1.2 ).</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ind w:left="21" w:right="18"/>
              <w:jc w:val="center"/>
              <w:rPr>
                <w:sz w:val="18"/>
              </w:rPr>
            </w:pPr>
            <w:r>
              <w:rPr>
                <w:spacing w:val="-10"/>
                <w:sz w:val="18"/>
              </w:rPr>
              <w:t>1</w:t>
            </w:r>
          </w:p>
        </w:tc>
        <w:tc>
          <w:tcPr>
            <w:tcW w:w="1982" w:type="dxa"/>
          </w:tcPr>
          <w:p>
            <w:pPr>
              <w:pStyle w:val="TableParagraph"/>
              <w:ind w:left="68" w:right="52"/>
              <w:jc w:val="both"/>
              <w:rPr>
                <w:sz w:val="18"/>
              </w:rPr>
            </w:pPr>
            <w:r>
              <w:rPr>
                <w:sz w:val="18"/>
              </w:rPr>
              <w:t>Sumatoria de ajustes realizados al sistema de información para el registro, monitoreo y seguimiento de la ruta de atención a niñas, adolescentes</w:t>
            </w:r>
            <w:r>
              <w:rPr>
                <w:spacing w:val="73"/>
                <w:sz w:val="18"/>
              </w:rPr>
              <w:t> </w:t>
            </w:r>
            <w:r>
              <w:rPr>
                <w:spacing w:val="-2"/>
                <w:sz w:val="18"/>
              </w:rPr>
              <w:t>madres,</w:t>
            </w:r>
          </w:p>
          <w:p>
            <w:pPr>
              <w:pStyle w:val="TableParagraph"/>
              <w:spacing w:line="187" w:lineRule="exact"/>
              <w:ind w:left="68"/>
              <w:jc w:val="both"/>
              <w:rPr>
                <w:sz w:val="18"/>
              </w:rPr>
            </w:pPr>
            <w:r>
              <w:rPr>
                <w:sz w:val="18"/>
              </w:rPr>
              <w:t>y</w:t>
            </w:r>
            <w:r>
              <w:rPr>
                <w:spacing w:val="1"/>
                <w:sz w:val="18"/>
              </w:rPr>
              <w:t> </w:t>
            </w:r>
            <w:r>
              <w:rPr>
                <w:sz w:val="18"/>
              </w:rPr>
              <w:t>sus</w:t>
            </w:r>
            <w:r>
              <w:rPr>
                <w:spacing w:val="-3"/>
                <w:sz w:val="18"/>
              </w:rPr>
              <w:t> </w:t>
            </w:r>
            <w:r>
              <w:rPr>
                <w:sz w:val="18"/>
              </w:rPr>
              <w:t>hijos</w:t>
            </w:r>
            <w:r>
              <w:rPr>
                <w:spacing w:val="-3"/>
                <w:sz w:val="18"/>
              </w:rPr>
              <w:t> </w:t>
            </w:r>
            <w:r>
              <w:rPr>
                <w:sz w:val="18"/>
              </w:rPr>
              <w:t>e</w:t>
            </w:r>
            <w:r>
              <w:rPr>
                <w:spacing w:val="1"/>
                <w:sz w:val="18"/>
              </w:rPr>
              <w:t> </w:t>
            </w:r>
            <w:r>
              <w:rPr>
                <w:spacing w:val="-2"/>
                <w:sz w:val="18"/>
              </w:rPr>
              <w:t>hijas.</w:t>
            </w:r>
          </w:p>
        </w:tc>
        <w:tc>
          <w:tcPr>
            <w:tcW w:w="1560" w:type="dxa"/>
          </w:tcPr>
          <w:p>
            <w:pPr>
              <w:pStyle w:val="TableParagraph"/>
              <w:rPr>
                <w:b/>
                <w:sz w:val="18"/>
              </w:rPr>
            </w:pPr>
          </w:p>
          <w:p>
            <w:pPr>
              <w:pStyle w:val="TableParagraph"/>
              <w:spacing w:before="102"/>
              <w:rPr>
                <w:b/>
                <w:sz w:val="18"/>
              </w:rPr>
            </w:pPr>
          </w:p>
          <w:p>
            <w:pPr>
              <w:pStyle w:val="TableParagraph"/>
              <w:ind w:left="73" w:right="108"/>
              <w:rPr>
                <w:sz w:val="18"/>
              </w:rPr>
            </w:pPr>
            <w:r>
              <w:rPr>
                <w:spacing w:val="-2"/>
                <w:sz w:val="18"/>
              </w:rPr>
              <w:t>Registros administrativos </w:t>
            </w:r>
            <w:r>
              <w:rPr>
                <w:sz w:val="18"/>
              </w:rPr>
              <w:t>del DSIS</w:t>
            </w:r>
          </w:p>
        </w:tc>
        <w:tc>
          <w:tcPr>
            <w:tcW w:w="1416" w:type="dxa"/>
          </w:tcPr>
          <w:p>
            <w:pPr>
              <w:pStyle w:val="TableParagraph"/>
              <w:rPr>
                <w:b/>
                <w:sz w:val="18"/>
              </w:rPr>
            </w:pPr>
          </w:p>
          <w:p>
            <w:pPr>
              <w:pStyle w:val="TableParagraph"/>
              <w:rPr>
                <w:b/>
                <w:sz w:val="18"/>
              </w:rPr>
            </w:pPr>
          </w:p>
          <w:p>
            <w:pPr>
              <w:pStyle w:val="TableParagraph"/>
              <w:spacing w:before="102"/>
              <w:rPr>
                <w:b/>
                <w:sz w:val="18"/>
              </w:rPr>
            </w:pPr>
          </w:p>
          <w:p>
            <w:pPr>
              <w:pStyle w:val="TableParagraph"/>
              <w:ind w:left="17" w:right="5"/>
              <w:jc w:val="center"/>
              <w:rPr>
                <w:sz w:val="18"/>
              </w:rPr>
            </w:pPr>
            <w:r>
              <w:rPr>
                <w:spacing w:val="-4"/>
                <w:sz w:val="18"/>
              </w:rPr>
              <w:t>DSIS</w:t>
            </w:r>
          </w:p>
        </w:tc>
        <w:tc>
          <w:tcPr>
            <w:tcW w:w="1651" w:type="dxa"/>
          </w:tcPr>
          <w:p>
            <w:pPr>
              <w:pStyle w:val="TableParagraph"/>
              <w:rPr>
                <w:rFonts w:ascii="Times New Roman"/>
                <w:sz w:val="18"/>
              </w:rPr>
            </w:pPr>
          </w:p>
        </w:tc>
        <w:tc>
          <w:tcPr>
            <w:tcW w:w="1546" w:type="dxa"/>
            <w:vMerge w:val="restart"/>
            <w:tcBorders>
              <w:bottom w:val="single" w:sz="4" w:space="0" w:color="808080"/>
            </w:tcBorders>
          </w:tcPr>
          <w:p>
            <w:pPr>
              <w:pStyle w:val="TableParagraph"/>
              <w:rPr>
                <w:b/>
                <w:sz w:val="18"/>
              </w:rPr>
            </w:pPr>
          </w:p>
          <w:p>
            <w:pPr>
              <w:pStyle w:val="TableParagraph"/>
              <w:rPr>
                <w:b/>
                <w:sz w:val="18"/>
              </w:rPr>
            </w:pPr>
          </w:p>
          <w:p>
            <w:pPr>
              <w:pStyle w:val="TableParagraph"/>
              <w:rPr>
                <w:b/>
                <w:sz w:val="18"/>
              </w:rPr>
            </w:pPr>
          </w:p>
          <w:p>
            <w:pPr>
              <w:pStyle w:val="TableParagraph"/>
              <w:spacing w:before="135"/>
              <w:rPr>
                <w:b/>
                <w:sz w:val="18"/>
              </w:rPr>
            </w:pPr>
          </w:p>
          <w:p>
            <w:pPr>
              <w:pStyle w:val="TableParagraph"/>
              <w:numPr>
                <w:ilvl w:val="0"/>
                <w:numId w:val="82"/>
              </w:numPr>
              <w:tabs>
                <w:tab w:pos="131" w:val="left" w:leader="none"/>
              </w:tabs>
              <w:spacing w:line="240" w:lineRule="auto" w:before="0" w:after="0"/>
              <w:ind w:left="70" w:right="59" w:firstLine="0"/>
              <w:jc w:val="left"/>
              <w:rPr>
                <w:sz w:val="18"/>
              </w:rPr>
            </w:pPr>
            <w:r>
              <w:rPr>
                <w:sz w:val="18"/>
              </w:rPr>
              <w:t>Variables en reportes</w:t>
            </w:r>
            <w:r>
              <w:rPr>
                <w:spacing w:val="-5"/>
                <w:sz w:val="18"/>
              </w:rPr>
              <w:t> </w:t>
            </w:r>
            <w:r>
              <w:rPr>
                <w:sz w:val="18"/>
              </w:rPr>
              <w:t>Informe </w:t>
            </w:r>
            <w:r>
              <w:rPr>
                <w:spacing w:val="-2"/>
                <w:sz w:val="18"/>
              </w:rPr>
              <w:t>Programa </w:t>
            </w:r>
            <w:r>
              <w:rPr>
                <w:sz w:val="18"/>
              </w:rPr>
              <w:t>Protección y Promoción</w:t>
            </w:r>
            <w:r>
              <w:rPr>
                <w:spacing w:val="-13"/>
                <w:sz w:val="18"/>
              </w:rPr>
              <w:t> </w:t>
            </w:r>
            <w:r>
              <w:rPr>
                <w:sz w:val="18"/>
              </w:rPr>
              <w:t>Social no consideran indicadores de </w:t>
            </w:r>
            <w:r>
              <w:rPr>
                <w:spacing w:val="-2"/>
                <w:sz w:val="18"/>
              </w:rPr>
              <w:t>género.</w:t>
            </w:r>
          </w:p>
          <w:p>
            <w:pPr>
              <w:pStyle w:val="TableParagraph"/>
              <w:numPr>
                <w:ilvl w:val="0"/>
                <w:numId w:val="82"/>
              </w:numPr>
              <w:tabs>
                <w:tab w:pos="131" w:val="left" w:leader="none"/>
              </w:tabs>
              <w:spacing w:line="240" w:lineRule="auto" w:before="1" w:after="0"/>
              <w:ind w:left="70" w:right="55" w:firstLine="0"/>
              <w:jc w:val="left"/>
              <w:rPr>
                <w:sz w:val="18"/>
              </w:rPr>
            </w:pPr>
            <w:r>
              <w:rPr>
                <w:sz w:val="18"/>
              </w:rPr>
              <w:t>Atención</w:t>
            </w:r>
            <w:r>
              <w:rPr>
                <w:spacing w:val="-13"/>
                <w:sz w:val="18"/>
              </w:rPr>
              <w:t> </w:t>
            </w:r>
            <w:r>
              <w:rPr>
                <w:sz w:val="18"/>
              </w:rPr>
              <w:t>integral institucional</w:t>
            </w:r>
            <w:r>
              <w:rPr>
                <w:spacing w:val="-1"/>
                <w:sz w:val="18"/>
              </w:rPr>
              <w:t> </w:t>
            </w:r>
            <w:r>
              <w:rPr>
                <w:sz w:val="18"/>
              </w:rPr>
              <w:t>no ajustada a requerimientos y necesidades de</w:t>
            </w:r>
            <w:r>
              <w:rPr>
                <w:spacing w:val="40"/>
                <w:sz w:val="18"/>
              </w:rPr>
              <w:t> </w:t>
            </w:r>
            <w:r>
              <w:rPr>
                <w:sz w:val="18"/>
              </w:rPr>
              <w:t>la población</w:t>
            </w:r>
          </w:p>
          <w:p>
            <w:pPr>
              <w:pStyle w:val="TableParagraph"/>
              <w:spacing w:line="183" w:lineRule="exact"/>
              <w:ind w:left="70"/>
              <w:rPr>
                <w:sz w:val="18"/>
              </w:rPr>
            </w:pPr>
            <w:r>
              <w:rPr>
                <w:sz w:val="18"/>
              </w:rPr>
              <w:t>infantil</w:t>
            </w:r>
            <w:r>
              <w:rPr>
                <w:spacing w:val="-1"/>
                <w:sz w:val="18"/>
              </w:rPr>
              <w:t> </w:t>
            </w:r>
            <w:r>
              <w:rPr>
                <w:sz w:val="18"/>
              </w:rPr>
              <w:t>y</w:t>
            </w:r>
            <w:r>
              <w:rPr>
                <w:spacing w:val="-7"/>
                <w:sz w:val="18"/>
              </w:rPr>
              <w:t> </w:t>
            </w:r>
            <w:r>
              <w:rPr>
                <w:spacing w:val="-2"/>
                <w:sz w:val="18"/>
              </w:rPr>
              <w:t>juvenil.</w:t>
            </w:r>
          </w:p>
        </w:tc>
      </w:tr>
      <w:tr>
        <w:trPr>
          <w:trHeight w:val="2399" w:hRule="atLeast"/>
        </w:trPr>
        <w:tc>
          <w:tcPr>
            <w:tcW w:w="2972" w:type="dxa"/>
            <w:gridSpan w:val="2"/>
            <w:tcBorders>
              <w:bottom w:val="nil"/>
            </w:tcBorders>
          </w:tcPr>
          <w:p>
            <w:pPr>
              <w:pStyle w:val="TableParagraph"/>
              <w:spacing w:before="167"/>
              <w:ind w:left="72" w:right="105"/>
              <w:rPr>
                <w:b/>
                <w:i/>
                <w:sz w:val="18"/>
              </w:rPr>
            </w:pPr>
            <w:r>
              <w:rPr>
                <w:b/>
                <w:sz w:val="18"/>
              </w:rPr>
              <w:t>Actividad PPPS 1.51.5: </w:t>
            </w:r>
            <w:r>
              <w:rPr>
                <w:sz w:val="18"/>
              </w:rPr>
              <w:t>Identificación, registro, atención integral y seguimiento a cada una de las niñas y adolescentes madres y/o embarazadas en función de los lineamientos generados</w:t>
            </w:r>
            <w:r>
              <w:rPr>
                <w:spacing w:val="-10"/>
                <w:sz w:val="18"/>
              </w:rPr>
              <w:t> </w:t>
            </w:r>
            <w:r>
              <w:rPr>
                <w:sz w:val="18"/>
              </w:rPr>
              <w:t>a</w:t>
            </w:r>
            <w:r>
              <w:rPr>
                <w:spacing w:val="-6"/>
                <w:sz w:val="18"/>
              </w:rPr>
              <w:t> </w:t>
            </w:r>
            <w:r>
              <w:rPr>
                <w:sz w:val="18"/>
              </w:rPr>
              <w:t>partir</w:t>
            </w:r>
            <w:r>
              <w:rPr>
                <w:spacing w:val="-5"/>
                <w:sz w:val="18"/>
              </w:rPr>
              <w:t> </w:t>
            </w:r>
            <w:r>
              <w:rPr>
                <w:sz w:val="18"/>
              </w:rPr>
              <w:t>de</w:t>
            </w:r>
            <w:r>
              <w:rPr>
                <w:spacing w:val="-5"/>
                <w:sz w:val="18"/>
              </w:rPr>
              <w:t> </w:t>
            </w:r>
            <w:r>
              <w:rPr>
                <w:sz w:val="18"/>
              </w:rPr>
              <w:t>la</w:t>
            </w:r>
            <w:r>
              <w:rPr>
                <w:spacing w:val="-10"/>
                <w:sz w:val="18"/>
              </w:rPr>
              <w:t> </w:t>
            </w:r>
            <w:r>
              <w:rPr>
                <w:sz w:val="18"/>
              </w:rPr>
              <w:t>estrategia nacional de gestión Inter programas. </w:t>
            </w:r>
            <w:r>
              <w:rPr>
                <w:b/>
                <w:i/>
                <w:sz w:val="18"/>
              </w:rPr>
              <w:t>(vinculada al</w:t>
            </w:r>
            <w:r>
              <w:rPr>
                <w:b/>
                <w:i/>
                <w:sz w:val="18"/>
              </w:rPr>
              <w:t> PLANOVI 3.2.1).</w:t>
            </w:r>
          </w:p>
        </w:tc>
        <w:tc>
          <w:tcPr>
            <w:tcW w:w="1560" w:type="dxa"/>
            <w:tcBorders>
              <w:bottom w:val="single" w:sz="4" w:space="0" w:color="80808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3"/>
              <w:rPr>
                <w:b/>
                <w:sz w:val="18"/>
              </w:rPr>
            </w:pPr>
          </w:p>
          <w:p>
            <w:pPr>
              <w:pStyle w:val="TableParagraph"/>
              <w:spacing w:before="1"/>
              <w:ind w:left="21" w:right="6"/>
              <w:jc w:val="center"/>
              <w:rPr>
                <w:sz w:val="18"/>
              </w:rPr>
            </w:pPr>
            <w:r>
              <w:rPr>
                <w:sz w:val="18"/>
              </w:rPr>
              <w:t>No </w:t>
            </w:r>
            <w:r>
              <w:rPr>
                <w:spacing w:val="-2"/>
                <w:sz w:val="18"/>
              </w:rPr>
              <w:t>disponible</w:t>
            </w:r>
          </w:p>
        </w:tc>
        <w:tc>
          <w:tcPr>
            <w:tcW w:w="1560" w:type="dxa"/>
            <w:tcBorders>
              <w:bottom w:val="single" w:sz="4" w:space="0" w:color="80808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3"/>
              <w:rPr>
                <w:b/>
                <w:sz w:val="18"/>
              </w:rPr>
            </w:pPr>
          </w:p>
          <w:p>
            <w:pPr>
              <w:pStyle w:val="TableParagraph"/>
              <w:spacing w:before="1"/>
              <w:ind w:left="21" w:right="12"/>
              <w:jc w:val="center"/>
              <w:rPr>
                <w:sz w:val="18"/>
              </w:rPr>
            </w:pPr>
            <w:r>
              <w:rPr>
                <w:spacing w:val="-4"/>
                <w:sz w:val="18"/>
              </w:rPr>
              <w:t>100%</w:t>
            </w:r>
          </w:p>
        </w:tc>
        <w:tc>
          <w:tcPr>
            <w:tcW w:w="1982" w:type="dxa"/>
            <w:tcBorders>
              <w:bottom w:val="single" w:sz="4" w:space="0" w:color="808080"/>
            </w:tcBorders>
          </w:tcPr>
          <w:p>
            <w:pPr>
              <w:pStyle w:val="TableParagraph"/>
              <w:spacing w:before="61"/>
              <w:ind w:left="68" w:right="53"/>
              <w:rPr>
                <w:sz w:val="18"/>
              </w:rPr>
            </w:pPr>
            <w:r>
              <w:rPr>
                <w:sz w:val="18"/>
              </w:rPr>
              <w:t>Porcentaje de niñas y adolescentes usuarias atendidas y con seguimiento en la estrategia nacional de gestión Inter programas,</w:t>
            </w:r>
            <w:r>
              <w:rPr>
                <w:spacing w:val="-15"/>
                <w:sz w:val="18"/>
              </w:rPr>
              <w:t> </w:t>
            </w:r>
            <w:r>
              <w:rPr>
                <w:sz w:val="18"/>
              </w:rPr>
              <w:t>en</w:t>
            </w:r>
            <w:r>
              <w:rPr>
                <w:spacing w:val="-12"/>
                <w:sz w:val="18"/>
              </w:rPr>
              <w:t> </w:t>
            </w:r>
            <w:r>
              <w:rPr>
                <w:sz w:val="18"/>
              </w:rPr>
              <w:t>relación con la cantidad de usuarias referidas, desagregado por institución, situación</w:t>
            </w:r>
          </w:p>
        </w:tc>
        <w:tc>
          <w:tcPr>
            <w:tcW w:w="1560" w:type="dxa"/>
            <w:tcBorders>
              <w:bottom w:val="single" w:sz="4" w:space="0" w:color="808080"/>
            </w:tcBorders>
          </w:tcPr>
          <w:p>
            <w:pPr>
              <w:pStyle w:val="TableParagraph"/>
              <w:rPr>
                <w:b/>
                <w:sz w:val="18"/>
              </w:rPr>
            </w:pPr>
          </w:p>
          <w:p>
            <w:pPr>
              <w:pStyle w:val="TableParagraph"/>
              <w:rPr>
                <w:b/>
                <w:sz w:val="18"/>
              </w:rPr>
            </w:pPr>
          </w:p>
          <w:p>
            <w:pPr>
              <w:pStyle w:val="TableParagraph"/>
              <w:rPr>
                <w:b/>
                <w:sz w:val="18"/>
              </w:rPr>
            </w:pPr>
          </w:p>
          <w:p>
            <w:pPr>
              <w:pStyle w:val="TableParagraph"/>
              <w:spacing w:before="165"/>
              <w:rPr>
                <w:b/>
                <w:sz w:val="18"/>
              </w:rPr>
            </w:pPr>
          </w:p>
          <w:p>
            <w:pPr>
              <w:pStyle w:val="TableParagraph"/>
              <w:ind w:left="73" w:right="58"/>
              <w:rPr>
                <w:sz w:val="18"/>
              </w:rPr>
            </w:pPr>
            <w:r>
              <w:rPr>
                <w:sz w:val="18"/>
              </w:rPr>
              <w:t>Reportes de </w:t>
            </w:r>
            <w:r>
              <w:rPr>
                <w:spacing w:val="-2"/>
                <w:sz w:val="18"/>
              </w:rPr>
              <w:t>cumplimiento.</w:t>
            </w:r>
          </w:p>
        </w:tc>
        <w:tc>
          <w:tcPr>
            <w:tcW w:w="1416" w:type="dxa"/>
            <w:tcBorders>
              <w:bottom w:val="single" w:sz="4" w:space="0" w:color="80808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3"/>
              <w:rPr>
                <w:b/>
                <w:sz w:val="18"/>
              </w:rPr>
            </w:pPr>
          </w:p>
          <w:p>
            <w:pPr>
              <w:pStyle w:val="TableParagraph"/>
              <w:spacing w:before="1"/>
              <w:ind w:left="17" w:right="12"/>
              <w:jc w:val="center"/>
              <w:rPr>
                <w:sz w:val="18"/>
              </w:rPr>
            </w:pPr>
            <w:r>
              <w:rPr>
                <w:spacing w:val="-5"/>
                <w:sz w:val="18"/>
              </w:rPr>
              <w:t>DDS</w:t>
            </w:r>
          </w:p>
        </w:tc>
        <w:tc>
          <w:tcPr>
            <w:tcW w:w="1651" w:type="dxa"/>
            <w:tcBorders>
              <w:bottom w:val="single" w:sz="4" w:space="0" w:color="808080"/>
            </w:tcBorders>
          </w:tcPr>
          <w:p>
            <w:pPr>
              <w:pStyle w:val="TableParagraph"/>
              <w:rPr>
                <w:rFonts w:ascii="Times New Roman"/>
                <w:sz w:val="18"/>
              </w:rPr>
            </w:pPr>
          </w:p>
        </w:tc>
        <w:tc>
          <w:tcPr>
            <w:tcW w:w="1546" w:type="dxa"/>
            <w:vMerge/>
            <w:tcBorders>
              <w:top w:val="nil"/>
              <w:bottom w:val="single" w:sz="4" w:space="0" w:color="808080"/>
            </w:tcBorders>
          </w:tcPr>
          <w:p>
            <w:pPr>
              <w:rPr>
                <w:sz w:val="2"/>
                <w:szCs w:val="2"/>
              </w:rPr>
            </w:pPr>
          </w:p>
        </w:tc>
      </w:tr>
      <w:tr>
        <w:trPr>
          <w:trHeight w:val="1381" w:hRule="atLeast"/>
        </w:trPr>
        <w:tc>
          <w:tcPr>
            <w:tcW w:w="1486" w:type="dxa"/>
            <w:tcBorders>
              <w:top w:val="thinThickMediumGap" w:sz="9" w:space="0" w:color="808080"/>
              <w:left w:val="nil"/>
              <w:bottom w:val="nil"/>
              <w:right w:val="single" w:sz="18" w:space="0" w:color="808080"/>
            </w:tcBorders>
          </w:tcPr>
          <w:p>
            <w:pPr>
              <w:pStyle w:val="TableParagraph"/>
              <w:spacing w:line="275" w:lineRule="exact"/>
              <w:ind w:left="106"/>
              <w:rPr>
                <w:b/>
                <w:sz w:val="24"/>
              </w:rPr>
            </w:pPr>
            <w:r>
              <w:rPr>
                <w:b/>
                <w:spacing w:val="-5"/>
                <w:sz w:val="24"/>
              </w:rPr>
              <w:t>132</w:t>
            </w:r>
          </w:p>
        </w:tc>
        <w:tc>
          <w:tcPr>
            <w:tcW w:w="12761" w:type="dxa"/>
            <w:gridSpan w:val="8"/>
            <w:tcBorders>
              <w:top w:val="single" w:sz="4" w:space="0" w:color="808080"/>
              <w:left w:val="single" w:sz="18" w:space="0" w:color="808080"/>
              <w:bottom w:val="nil"/>
              <w:right w:val="nil"/>
            </w:tcBorders>
          </w:tcPr>
          <w:p>
            <w:pPr>
              <w:pStyle w:val="TableParagraph"/>
              <w:spacing w:line="242" w:lineRule="auto"/>
              <w:ind w:left="95" w:right="8580"/>
              <w:rPr>
                <w:b/>
                <w:i/>
                <w:sz w:val="24"/>
              </w:rPr>
            </w:pPr>
            <w:r>
              <w:rPr>
                <w:b/>
                <w:i/>
                <w:sz w:val="24"/>
              </w:rPr>
              <mc:AlternateContent>
                <mc:Choice Requires="wps">
                  <w:drawing>
                    <wp:anchor distT="0" distB="0" distL="0" distR="0" allowOverlap="1" layoutInCell="1" locked="0" behindDoc="1" simplePos="0" relativeHeight="459707392">
                      <wp:simplePos x="0" y="0"/>
                      <wp:positionH relativeFrom="column">
                        <wp:posOffset>13716</wp:posOffset>
                      </wp:positionH>
                      <wp:positionV relativeFrom="paragraph">
                        <wp:posOffset>-27738</wp:posOffset>
                      </wp:positionV>
                      <wp:extent cx="8186420" cy="27940"/>
                      <wp:effectExtent l="0" t="0" r="0" b="0"/>
                      <wp:wrapNone/>
                      <wp:docPr id="99" name="Group 99"/>
                      <wp:cNvGraphicFramePr>
                        <a:graphicFrameLocks/>
                      </wp:cNvGraphicFramePr>
                      <a:graphic>
                        <a:graphicData uri="http://schemas.microsoft.com/office/word/2010/wordprocessingGroup">
                          <wpg:wgp>
                            <wpg:cNvPr id="99" name="Group 99"/>
                            <wpg:cNvGrpSpPr/>
                            <wpg:grpSpPr>
                              <a:xfrm>
                                <a:off x="0" y="0"/>
                                <a:ext cx="8186420" cy="27940"/>
                                <a:chExt cx="8186420" cy="27940"/>
                              </a:xfrm>
                            </wpg:grpSpPr>
                            <wps:wsp>
                              <wps:cNvPr id="100" name="Graphic 100"/>
                              <wps:cNvSpPr/>
                              <wps:spPr>
                                <a:xfrm>
                                  <a:off x="0" y="0"/>
                                  <a:ext cx="8186420" cy="27940"/>
                                </a:xfrm>
                                <a:custGeom>
                                  <a:avLst/>
                                  <a:gdLst/>
                                  <a:ahLst/>
                                  <a:cxnLst/>
                                  <a:rect l="l" t="t" r="r" b="b"/>
                                  <a:pathLst>
                                    <a:path w="8186420" h="27940">
                                      <a:moveTo>
                                        <a:pt x="8186293" y="0"/>
                                      </a:moveTo>
                                      <a:lnTo>
                                        <a:pt x="0" y="0"/>
                                      </a:lnTo>
                                      <a:lnTo>
                                        <a:pt x="0" y="27431"/>
                                      </a:lnTo>
                                      <a:lnTo>
                                        <a:pt x="8186293" y="27431"/>
                                      </a:lnTo>
                                      <a:lnTo>
                                        <a:pt x="8186293"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w:pict>
                    <v:group style="position:absolute;margin-left:1.08pt;margin-top:-2.184142pt;width:644.6pt;height:2.2pt;mso-position-horizontal-relative:column;mso-position-vertical-relative:paragraph;z-index:-43609088" id="docshapegroup77" coordorigin="22,-44" coordsize="12892,44">
                      <v:rect style="position:absolute;left:21;top:-44;width:12892;height:44" id="docshape78" filled="true" fillcolor="#808080" stroked="false">
                        <v:fill type="solid"/>
                      </v:rect>
                      <w10:wrap type="none"/>
                    </v:group>
                  </w:pict>
                </mc:Fallback>
              </mc:AlternateContent>
            </w: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63"/>
          <w:pgSz w:w="15840" w:h="12240" w:orient="landscape"/>
          <w:pgMar w:header="0" w:footer="0" w:top="700" w:bottom="28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1486"/>
        <w:gridCol w:w="1560"/>
        <w:gridCol w:w="1560"/>
        <w:gridCol w:w="1982"/>
        <w:gridCol w:w="1560"/>
        <w:gridCol w:w="1416"/>
        <w:gridCol w:w="1651"/>
        <w:gridCol w:w="1546"/>
      </w:tblGrid>
      <w:tr>
        <w:trPr>
          <w:trHeight w:val="618" w:hRule="atLeast"/>
        </w:trPr>
        <w:tc>
          <w:tcPr>
            <w:tcW w:w="2972" w:type="dxa"/>
            <w:gridSpan w:val="2"/>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51" w:type="dxa"/>
            <w:shd w:val="clear" w:color="auto" w:fill="D9D9D9"/>
          </w:tcPr>
          <w:p>
            <w:pPr>
              <w:pStyle w:val="TableParagraph"/>
              <w:spacing w:before="104"/>
              <w:ind w:left="430" w:hanging="120"/>
              <w:rPr>
                <w:b/>
                <w:sz w:val="18"/>
              </w:rPr>
            </w:pPr>
            <w:r>
              <w:rPr>
                <w:b/>
                <w:spacing w:val="-2"/>
                <w:sz w:val="18"/>
              </w:rPr>
              <w:t>Presupuesto asignado</w:t>
            </w:r>
          </w:p>
        </w:tc>
        <w:tc>
          <w:tcPr>
            <w:tcW w:w="1546" w:type="dxa"/>
            <w:tcBorders>
              <w:bottom w:val="nil"/>
            </w:tcBorders>
            <w:shd w:val="clear" w:color="auto" w:fill="D9D9D9"/>
          </w:tcPr>
          <w:p>
            <w:pPr>
              <w:pStyle w:val="TableParagraph"/>
              <w:spacing w:line="206" w:lineRule="exact"/>
              <w:ind w:left="14"/>
              <w:jc w:val="center"/>
              <w:rPr>
                <w:b/>
                <w:sz w:val="18"/>
              </w:rPr>
            </w:pPr>
            <w:r>
              <w:rPr>
                <w:b/>
                <w:spacing w:val="-2"/>
                <w:sz w:val="18"/>
              </w:rPr>
              <w:t>Riesgos </w:t>
            </w:r>
            <w:r>
              <w:rPr>
                <w:b/>
                <w:sz w:val="18"/>
              </w:rPr>
              <w:t>asociados al </w:t>
            </w:r>
            <w:r>
              <w:rPr>
                <w:b/>
                <w:spacing w:val="-2"/>
                <w:sz w:val="18"/>
              </w:rPr>
              <w:t>cumplimiento</w:t>
            </w:r>
          </w:p>
        </w:tc>
      </w:tr>
      <w:tr>
        <w:trPr>
          <w:trHeight w:val="2405" w:hRule="atLeast"/>
        </w:trPr>
        <w:tc>
          <w:tcPr>
            <w:tcW w:w="2972" w:type="dxa"/>
            <w:gridSpan w:val="2"/>
          </w:tcPr>
          <w:p>
            <w:pPr>
              <w:pStyle w:val="TableParagraph"/>
              <w:rPr>
                <w:rFonts w:ascii="Times New Roman"/>
                <w:sz w:val="18"/>
              </w:rPr>
            </w:pPr>
          </w:p>
        </w:tc>
        <w:tc>
          <w:tcPr>
            <w:tcW w:w="1560" w:type="dxa"/>
          </w:tcPr>
          <w:p>
            <w:pPr>
              <w:pStyle w:val="TableParagraph"/>
              <w:rPr>
                <w:rFonts w:ascii="Times New Roman"/>
                <w:sz w:val="18"/>
              </w:rPr>
            </w:pPr>
          </w:p>
        </w:tc>
        <w:tc>
          <w:tcPr>
            <w:tcW w:w="1560" w:type="dxa"/>
          </w:tcPr>
          <w:p>
            <w:pPr>
              <w:pStyle w:val="TableParagraph"/>
              <w:rPr>
                <w:rFonts w:ascii="Times New Roman"/>
                <w:sz w:val="18"/>
              </w:rPr>
            </w:pPr>
          </w:p>
        </w:tc>
        <w:tc>
          <w:tcPr>
            <w:tcW w:w="1982" w:type="dxa"/>
          </w:tcPr>
          <w:p>
            <w:pPr>
              <w:pStyle w:val="TableParagraph"/>
              <w:spacing w:before="3"/>
              <w:ind w:left="68"/>
              <w:rPr>
                <w:sz w:val="18"/>
              </w:rPr>
            </w:pPr>
            <w:r>
              <w:rPr>
                <w:sz w:val="18"/>
              </w:rPr>
              <w:t>de</w:t>
            </w:r>
            <w:r>
              <w:rPr>
                <w:spacing w:val="-15"/>
                <w:sz w:val="18"/>
              </w:rPr>
              <w:t> </w:t>
            </w:r>
            <w:r>
              <w:rPr>
                <w:sz w:val="18"/>
              </w:rPr>
              <w:t>discapacidad,</w:t>
            </w:r>
            <w:r>
              <w:rPr>
                <w:spacing w:val="-12"/>
                <w:sz w:val="18"/>
              </w:rPr>
              <w:t> </w:t>
            </w:r>
            <w:r>
              <w:rPr>
                <w:sz w:val="18"/>
              </w:rPr>
              <w:t>etnia, condición migratoria, edad, cantidad de hijos/as y cantón</w:t>
            </w:r>
          </w:p>
        </w:tc>
        <w:tc>
          <w:tcPr>
            <w:tcW w:w="1560" w:type="dxa"/>
          </w:tcPr>
          <w:p>
            <w:pPr>
              <w:pStyle w:val="TableParagraph"/>
              <w:rPr>
                <w:rFonts w:ascii="Times New Roman"/>
                <w:sz w:val="18"/>
              </w:rPr>
            </w:pPr>
          </w:p>
        </w:tc>
        <w:tc>
          <w:tcPr>
            <w:tcW w:w="1416" w:type="dxa"/>
          </w:tcPr>
          <w:p>
            <w:pPr>
              <w:pStyle w:val="TableParagraph"/>
              <w:rPr>
                <w:rFonts w:ascii="Times New Roman"/>
                <w:sz w:val="18"/>
              </w:rPr>
            </w:pPr>
          </w:p>
        </w:tc>
        <w:tc>
          <w:tcPr>
            <w:tcW w:w="1651" w:type="dxa"/>
          </w:tcPr>
          <w:p>
            <w:pPr>
              <w:pStyle w:val="TableParagraph"/>
              <w:rPr>
                <w:rFonts w:ascii="Times New Roman"/>
                <w:sz w:val="18"/>
              </w:rPr>
            </w:pPr>
          </w:p>
        </w:tc>
        <w:tc>
          <w:tcPr>
            <w:tcW w:w="1546" w:type="dxa"/>
            <w:tcBorders>
              <w:top w:val="nil"/>
            </w:tcBorders>
          </w:tcPr>
          <w:p>
            <w:pPr>
              <w:pStyle w:val="TableParagraph"/>
              <w:rPr>
                <w:rFonts w:ascii="Times New Roman"/>
                <w:sz w:val="18"/>
              </w:rPr>
            </w:pPr>
          </w:p>
        </w:tc>
      </w:tr>
      <w:tr>
        <w:trPr>
          <w:trHeight w:val="2069" w:hRule="atLeast"/>
        </w:trPr>
        <w:tc>
          <w:tcPr>
            <w:tcW w:w="2972" w:type="dxa"/>
            <w:gridSpan w:val="2"/>
          </w:tcPr>
          <w:p>
            <w:pPr>
              <w:pStyle w:val="TableParagraph"/>
              <w:ind w:left="72" w:right="69"/>
              <w:rPr>
                <w:b/>
                <w:i/>
                <w:sz w:val="18"/>
              </w:rPr>
            </w:pPr>
            <w:r>
              <w:rPr>
                <w:b/>
                <w:sz w:val="18"/>
              </w:rPr>
              <w:t>Actividad PPPS 1.51.6: </w:t>
            </w:r>
            <w:r>
              <w:rPr>
                <w:sz w:val="18"/>
              </w:rPr>
              <w:t>Implementación de acciones en correspondencia</w:t>
            </w:r>
            <w:r>
              <w:rPr>
                <w:spacing w:val="-9"/>
                <w:sz w:val="18"/>
              </w:rPr>
              <w:t> </w:t>
            </w:r>
            <w:r>
              <w:rPr>
                <w:sz w:val="18"/>
              </w:rPr>
              <w:t>con</w:t>
            </w:r>
            <w:r>
              <w:rPr>
                <w:spacing w:val="-9"/>
                <w:sz w:val="18"/>
              </w:rPr>
              <w:t> </w:t>
            </w:r>
            <w:r>
              <w:rPr>
                <w:sz w:val="18"/>
              </w:rPr>
              <w:t>el</w:t>
            </w:r>
            <w:r>
              <w:rPr>
                <w:spacing w:val="-6"/>
                <w:sz w:val="18"/>
              </w:rPr>
              <w:t> </w:t>
            </w:r>
            <w:r>
              <w:rPr>
                <w:sz w:val="18"/>
              </w:rPr>
              <w:t>enfoque</w:t>
            </w:r>
            <w:r>
              <w:rPr>
                <w:spacing w:val="-9"/>
                <w:sz w:val="18"/>
              </w:rPr>
              <w:t> </w:t>
            </w:r>
            <w:r>
              <w:rPr>
                <w:sz w:val="18"/>
              </w:rPr>
              <w:t>de interseccionalidad en la atención prioritaria de mujeres migrantes y refugiadas y LBTI, niñas, indígenas, con discapacidad y adultas mayores, afectadas por la violencia </w:t>
            </w:r>
            <w:r>
              <w:rPr>
                <w:b/>
                <w:i/>
                <w:sz w:val="18"/>
              </w:rPr>
              <w:t>(vinculada al PLANOVI</w:t>
            </w:r>
          </w:p>
          <w:p>
            <w:pPr>
              <w:pStyle w:val="TableParagraph"/>
              <w:spacing w:line="187" w:lineRule="exact"/>
              <w:ind w:left="72"/>
              <w:rPr>
                <w:b/>
                <w:i/>
                <w:sz w:val="18"/>
              </w:rPr>
            </w:pPr>
            <w:r>
              <w:rPr>
                <w:b/>
                <w:i/>
                <w:spacing w:val="-2"/>
                <w:sz w:val="18"/>
              </w:rPr>
              <w:t>4.7.1).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8"/>
              <w:jc w:val="center"/>
              <w:rPr>
                <w:sz w:val="18"/>
              </w:rPr>
            </w:pPr>
            <w:r>
              <w:rPr>
                <w:spacing w:val="-10"/>
                <w:sz w:val="18"/>
              </w:rPr>
              <w:t>1</w:t>
            </w:r>
          </w:p>
        </w:tc>
        <w:tc>
          <w:tcPr>
            <w:tcW w:w="1982" w:type="dxa"/>
          </w:tcPr>
          <w:p>
            <w:pPr>
              <w:pStyle w:val="TableParagraph"/>
              <w:spacing w:before="205"/>
              <w:ind w:left="68" w:right="96"/>
              <w:rPr>
                <w:sz w:val="18"/>
              </w:rPr>
            </w:pPr>
            <w:r>
              <w:rPr>
                <w:sz w:val="18"/>
              </w:rPr>
              <w:t>Número</w:t>
            </w:r>
            <w:r>
              <w:rPr>
                <w:spacing w:val="-15"/>
                <w:sz w:val="18"/>
              </w:rPr>
              <w:t> </w:t>
            </w:r>
            <w:r>
              <w:rPr>
                <w:sz w:val="18"/>
              </w:rPr>
              <w:t>de</w:t>
            </w:r>
            <w:r>
              <w:rPr>
                <w:spacing w:val="-12"/>
                <w:sz w:val="18"/>
              </w:rPr>
              <w:t> </w:t>
            </w:r>
            <w:r>
              <w:rPr>
                <w:sz w:val="18"/>
              </w:rPr>
              <w:t>programas de prevención y atención que incorporan el enfoque de interseccionalidad, según población, cantón y tipo de </w:t>
            </w:r>
            <w:r>
              <w:rPr>
                <w:spacing w:val="-2"/>
                <w:sz w:val="18"/>
              </w:rPr>
              <w:t>acción.</w:t>
            </w:r>
          </w:p>
        </w:tc>
        <w:tc>
          <w:tcPr>
            <w:tcW w:w="156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73" w:right="58"/>
              <w:rPr>
                <w:sz w:val="18"/>
              </w:rPr>
            </w:pPr>
            <w:r>
              <w:rPr>
                <w:sz w:val="18"/>
              </w:rPr>
              <w:t>Reportes de </w:t>
            </w:r>
            <w:r>
              <w:rPr>
                <w:spacing w:val="-2"/>
                <w:sz w:val="18"/>
              </w:rPr>
              <w:t>cumplimiento</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7" w:right="10"/>
              <w:jc w:val="center"/>
              <w:rPr>
                <w:sz w:val="18"/>
              </w:rPr>
            </w:pPr>
            <w:r>
              <w:rPr>
                <w:spacing w:val="-5"/>
                <w:sz w:val="18"/>
              </w:rPr>
              <w:t>DBF</w:t>
            </w:r>
          </w:p>
        </w:tc>
        <w:tc>
          <w:tcPr>
            <w:tcW w:w="1651" w:type="dxa"/>
          </w:tcPr>
          <w:p>
            <w:pPr>
              <w:pStyle w:val="TableParagraph"/>
              <w:rPr>
                <w:rFonts w:ascii="Times New Roman"/>
                <w:sz w:val="18"/>
              </w:rPr>
            </w:pPr>
          </w:p>
        </w:tc>
        <w:tc>
          <w:tcPr>
            <w:tcW w:w="1546" w:type="dxa"/>
            <w:vMerge w:val="restart"/>
            <w:tcBorders>
              <w:bottom w:val="single" w:sz="4" w:space="0" w:color="808080"/>
            </w:tcBorders>
          </w:tcPr>
          <w:p>
            <w:pPr>
              <w:pStyle w:val="TableParagraph"/>
              <w:numPr>
                <w:ilvl w:val="0"/>
                <w:numId w:val="83"/>
              </w:numPr>
              <w:tabs>
                <w:tab w:pos="131" w:val="left" w:leader="none"/>
              </w:tabs>
              <w:spacing w:line="240" w:lineRule="auto" w:before="18" w:after="0"/>
              <w:ind w:left="70" w:right="75" w:firstLine="0"/>
              <w:jc w:val="left"/>
              <w:rPr>
                <w:sz w:val="18"/>
              </w:rPr>
            </w:pPr>
            <w:r>
              <w:rPr>
                <w:sz w:val="18"/>
              </w:rPr>
              <w:t>No</w:t>
            </w:r>
            <w:r>
              <w:rPr>
                <w:spacing w:val="-13"/>
                <w:sz w:val="18"/>
              </w:rPr>
              <w:t> </w:t>
            </w:r>
            <w:r>
              <w:rPr>
                <w:sz w:val="18"/>
              </w:rPr>
              <w:t>identificación de la población en situación de violencia y sus </w:t>
            </w:r>
            <w:r>
              <w:rPr>
                <w:spacing w:val="-2"/>
                <w:sz w:val="18"/>
              </w:rPr>
              <w:t>dependientes </w:t>
            </w:r>
            <w:r>
              <w:rPr>
                <w:sz w:val="18"/>
              </w:rPr>
              <w:t>para el otorgamiento de </w:t>
            </w:r>
            <w:r>
              <w:rPr>
                <w:spacing w:val="-2"/>
                <w:sz w:val="18"/>
              </w:rPr>
              <w:t>subsidios, </w:t>
            </w:r>
            <w:r>
              <w:rPr>
                <w:sz w:val="18"/>
              </w:rPr>
              <w:t>beneficios y </w:t>
            </w:r>
            <w:r>
              <w:rPr>
                <w:spacing w:val="-2"/>
                <w:sz w:val="18"/>
              </w:rPr>
              <w:t>transferencias monetarias.</w:t>
            </w:r>
          </w:p>
          <w:p>
            <w:pPr>
              <w:pStyle w:val="TableParagraph"/>
              <w:numPr>
                <w:ilvl w:val="0"/>
                <w:numId w:val="83"/>
              </w:numPr>
              <w:tabs>
                <w:tab w:pos="131" w:val="left" w:leader="none"/>
              </w:tabs>
              <w:spacing w:line="240" w:lineRule="auto" w:before="0" w:after="0"/>
              <w:ind w:left="70" w:right="166" w:firstLine="0"/>
              <w:jc w:val="left"/>
              <w:rPr>
                <w:sz w:val="18"/>
              </w:rPr>
            </w:pPr>
            <w:r>
              <w:rPr>
                <w:sz w:val="18"/>
              </w:rPr>
              <w:t>Errores en la identificación</w:t>
            </w:r>
            <w:r>
              <w:rPr>
                <w:spacing w:val="-13"/>
                <w:sz w:val="18"/>
              </w:rPr>
              <w:t> </w:t>
            </w:r>
            <w:r>
              <w:rPr>
                <w:sz w:val="18"/>
              </w:rPr>
              <w:t>de la población y definición del grado de </w:t>
            </w:r>
            <w:r>
              <w:rPr>
                <w:spacing w:val="-2"/>
                <w:sz w:val="18"/>
              </w:rPr>
              <w:t>dependencia.</w:t>
            </w:r>
          </w:p>
          <w:p>
            <w:pPr>
              <w:pStyle w:val="TableParagraph"/>
              <w:numPr>
                <w:ilvl w:val="0"/>
                <w:numId w:val="83"/>
              </w:numPr>
              <w:tabs>
                <w:tab w:pos="131" w:val="left" w:leader="none"/>
              </w:tabs>
              <w:spacing w:line="240" w:lineRule="auto" w:before="1" w:after="0"/>
              <w:ind w:left="70" w:right="238" w:firstLine="0"/>
              <w:jc w:val="left"/>
              <w:rPr>
                <w:sz w:val="18"/>
              </w:rPr>
            </w:pPr>
            <w:r>
              <w:rPr>
                <w:sz w:val="18"/>
              </w:rPr>
              <w:t>Atraso en la instauración</w:t>
            </w:r>
            <w:r>
              <w:rPr>
                <w:spacing w:val="-13"/>
                <w:sz w:val="18"/>
              </w:rPr>
              <w:t> </w:t>
            </w:r>
            <w:r>
              <w:rPr>
                <w:sz w:val="18"/>
              </w:rPr>
              <w:t>en SINIRUBE del</w:t>
            </w:r>
          </w:p>
          <w:p>
            <w:pPr>
              <w:pStyle w:val="TableParagraph"/>
              <w:ind w:left="70"/>
              <w:rPr>
                <w:sz w:val="18"/>
              </w:rPr>
            </w:pPr>
            <w:r>
              <w:rPr>
                <w:spacing w:val="-2"/>
                <w:sz w:val="18"/>
              </w:rPr>
              <w:t>instrumento </w:t>
            </w:r>
            <w:r>
              <w:rPr>
                <w:sz w:val="18"/>
              </w:rPr>
              <w:t>aprobado en decretos</w:t>
            </w:r>
            <w:r>
              <w:rPr>
                <w:spacing w:val="-15"/>
                <w:sz w:val="18"/>
              </w:rPr>
              <w:t> </w:t>
            </w:r>
            <w:r>
              <w:rPr>
                <w:sz w:val="18"/>
              </w:rPr>
              <w:t>44242</w:t>
            </w:r>
            <w:r>
              <w:rPr>
                <w:spacing w:val="-12"/>
                <w:sz w:val="18"/>
              </w:rPr>
              <w:t> </w:t>
            </w:r>
            <w:r>
              <w:rPr>
                <w:sz w:val="18"/>
              </w:rPr>
              <w:t>y</w:t>
            </w:r>
          </w:p>
          <w:p>
            <w:pPr>
              <w:pStyle w:val="TableParagraph"/>
              <w:spacing w:line="207" w:lineRule="exact" w:before="2"/>
              <w:ind w:left="70"/>
              <w:rPr>
                <w:sz w:val="18"/>
              </w:rPr>
            </w:pPr>
            <w:r>
              <w:rPr>
                <w:spacing w:val="-2"/>
                <w:sz w:val="18"/>
              </w:rPr>
              <w:t>44243.</w:t>
            </w:r>
          </w:p>
          <w:p>
            <w:pPr>
              <w:pStyle w:val="TableParagraph"/>
              <w:numPr>
                <w:ilvl w:val="0"/>
                <w:numId w:val="83"/>
              </w:numPr>
              <w:tabs>
                <w:tab w:pos="131" w:val="left" w:leader="none"/>
              </w:tabs>
              <w:spacing w:line="240" w:lineRule="auto" w:before="0" w:after="0"/>
              <w:ind w:left="70" w:right="138" w:firstLine="0"/>
              <w:jc w:val="left"/>
              <w:rPr>
                <w:sz w:val="18"/>
              </w:rPr>
            </w:pPr>
            <w:r>
              <w:rPr>
                <w:sz w:val="18"/>
              </w:rPr>
              <w:t>Variables en reportes</w:t>
            </w:r>
            <w:r>
              <w:rPr>
                <w:spacing w:val="-13"/>
                <w:sz w:val="18"/>
              </w:rPr>
              <w:t> </w:t>
            </w:r>
            <w:r>
              <w:rPr>
                <w:sz w:val="18"/>
              </w:rPr>
              <w:t>Informe </w:t>
            </w:r>
            <w:r>
              <w:rPr>
                <w:spacing w:val="-2"/>
                <w:sz w:val="18"/>
              </w:rPr>
              <w:t>Programa</w:t>
            </w:r>
          </w:p>
          <w:p>
            <w:pPr>
              <w:pStyle w:val="TableParagraph"/>
              <w:spacing w:line="206" w:lineRule="exact"/>
              <w:ind w:left="70" w:right="58"/>
              <w:rPr>
                <w:sz w:val="18"/>
              </w:rPr>
            </w:pPr>
            <w:r>
              <w:rPr>
                <w:sz w:val="18"/>
              </w:rPr>
              <w:t>Protección y Promoción</w:t>
            </w:r>
            <w:r>
              <w:rPr>
                <w:spacing w:val="-13"/>
                <w:sz w:val="18"/>
              </w:rPr>
              <w:t> </w:t>
            </w:r>
            <w:r>
              <w:rPr>
                <w:sz w:val="18"/>
              </w:rPr>
              <w:t>Social</w:t>
            </w:r>
          </w:p>
        </w:tc>
      </w:tr>
      <w:tr>
        <w:trPr>
          <w:trHeight w:val="1862" w:hRule="atLeast"/>
        </w:trPr>
        <w:tc>
          <w:tcPr>
            <w:tcW w:w="2972" w:type="dxa"/>
            <w:gridSpan w:val="2"/>
          </w:tcPr>
          <w:p>
            <w:pPr>
              <w:pStyle w:val="TableParagraph"/>
              <w:spacing w:before="103"/>
              <w:rPr>
                <w:b/>
                <w:sz w:val="18"/>
              </w:rPr>
            </w:pPr>
          </w:p>
          <w:p>
            <w:pPr>
              <w:pStyle w:val="TableParagraph"/>
              <w:spacing w:line="207" w:lineRule="exact" w:before="1"/>
              <w:ind w:left="72"/>
              <w:rPr>
                <w:b/>
                <w:sz w:val="18"/>
              </w:rPr>
            </w:pPr>
            <w:r>
              <w:rPr>
                <w:b/>
                <w:sz w:val="18"/>
              </w:rPr>
              <w:t>Actividad</w:t>
            </w:r>
            <w:r>
              <w:rPr>
                <w:b/>
                <w:spacing w:val="-6"/>
                <w:sz w:val="18"/>
              </w:rPr>
              <w:t> </w:t>
            </w:r>
            <w:r>
              <w:rPr>
                <w:b/>
                <w:sz w:val="18"/>
              </w:rPr>
              <w:t>PPPS</w:t>
            </w:r>
            <w:r>
              <w:rPr>
                <w:b/>
                <w:spacing w:val="-6"/>
                <w:sz w:val="18"/>
              </w:rPr>
              <w:t> </w:t>
            </w:r>
            <w:r>
              <w:rPr>
                <w:b/>
                <w:spacing w:val="-2"/>
                <w:sz w:val="18"/>
              </w:rPr>
              <w:t>1.51.7:</w:t>
            </w:r>
          </w:p>
          <w:p>
            <w:pPr>
              <w:pStyle w:val="TableParagraph"/>
              <w:ind w:left="72"/>
              <w:rPr>
                <w:b/>
                <w:i/>
                <w:sz w:val="18"/>
              </w:rPr>
            </w:pPr>
            <w:r>
              <w:rPr>
                <w:sz w:val="18"/>
              </w:rPr>
              <w:t>Atención a mujeres afectadas por violencia</w:t>
            </w:r>
            <w:r>
              <w:rPr>
                <w:spacing w:val="-11"/>
                <w:sz w:val="18"/>
              </w:rPr>
              <w:t> </w:t>
            </w:r>
            <w:r>
              <w:rPr>
                <w:sz w:val="18"/>
              </w:rPr>
              <w:t>sexual</w:t>
            </w:r>
            <w:r>
              <w:rPr>
                <w:spacing w:val="-13"/>
                <w:sz w:val="18"/>
              </w:rPr>
              <w:t> </w:t>
            </w:r>
            <w:r>
              <w:rPr>
                <w:sz w:val="18"/>
              </w:rPr>
              <w:t>mediante</w:t>
            </w:r>
            <w:r>
              <w:rPr>
                <w:spacing w:val="-9"/>
                <w:sz w:val="18"/>
              </w:rPr>
              <w:t> </w:t>
            </w:r>
            <w:r>
              <w:rPr>
                <w:sz w:val="18"/>
              </w:rPr>
              <w:t>servicios institucionales de atención especializada </w:t>
            </w:r>
            <w:r>
              <w:rPr>
                <w:b/>
                <w:i/>
                <w:sz w:val="18"/>
              </w:rPr>
              <w:t>(vinculada a</w:t>
            </w:r>
            <w:r>
              <w:rPr>
                <w:b/>
                <w:i/>
                <w:sz w:val="18"/>
              </w:rPr>
              <w:t> PLANOVI 5.1.1).</w:t>
            </w:r>
          </w:p>
        </w:tc>
        <w:tc>
          <w:tcPr>
            <w:tcW w:w="156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1" w:right="6"/>
              <w:jc w:val="center"/>
              <w:rPr>
                <w:sz w:val="18"/>
              </w:rPr>
            </w:pPr>
            <w:r>
              <w:rPr>
                <w:spacing w:val="-5"/>
                <w:sz w:val="18"/>
              </w:rPr>
              <w:t>23</w:t>
            </w:r>
          </w:p>
        </w:tc>
        <w:tc>
          <w:tcPr>
            <w:tcW w:w="1560"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1" w:right="14"/>
              <w:jc w:val="center"/>
              <w:rPr>
                <w:sz w:val="18"/>
              </w:rPr>
            </w:pPr>
            <w:r>
              <w:rPr>
                <w:spacing w:val="-5"/>
                <w:sz w:val="18"/>
              </w:rPr>
              <w:t>10</w:t>
            </w:r>
          </w:p>
        </w:tc>
        <w:tc>
          <w:tcPr>
            <w:tcW w:w="1982" w:type="dxa"/>
          </w:tcPr>
          <w:p>
            <w:pPr>
              <w:pStyle w:val="TableParagraph"/>
              <w:tabs>
                <w:tab w:pos="941" w:val="left" w:leader="none"/>
                <w:tab w:pos="1714" w:val="left" w:leader="none"/>
              </w:tabs>
              <w:ind w:left="68" w:right="51"/>
              <w:rPr>
                <w:sz w:val="18"/>
              </w:rPr>
            </w:pPr>
            <w:r>
              <w:rPr>
                <w:sz w:val="18"/>
              </w:rPr>
              <w:t>Número</w:t>
            </w:r>
            <w:r>
              <w:rPr>
                <w:spacing w:val="80"/>
                <w:sz w:val="18"/>
              </w:rPr>
              <w:t> </w:t>
            </w:r>
            <w:r>
              <w:rPr>
                <w:sz w:val="18"/>
              </w:rPr>
              <w:t>de</w:t>
            </w:r>
            <w:r>
              <w:rPr>
                <w:spacing w:val="80"/>
                <w:sz w:val="18"/>
              </w:rPr>
              <w:t> </w:t>
            </w:r>
            <w:r>
              <w:rPr>
                <w:sz w:val="18"/>
              </w:rPr>
              <w:t>mujeres </w:t>
            </w:r>
            <w:r>
              <w:rPr>
                <w:spacing w:val="-2"/>
                <w:sz w:val="18"/>
              </w:rPr>
              <w:t>detectadas/atendidas </w:t>
            </w:r>
            <w:r>
              <w:rPr>
                <w:sz w:val="18"/>
              </w:rPr>
              <w:t>por</w:t>
            </w:r>
            <w:r>
              <w:rPr>
                <w:spacing w:val="-6"/>
                <w:sz w:val="18"/>
              </w:rPr>
              <w:t> </w:t>
            </w:r>
            <w:r>
              <w:rPr>
                <w:sz w:val="18"/>
              </w:rPr>
              <w:t>diversas</w:t>
            </w:r>
            <w:r>
              <w:rPr>
                <w:spacing w:val="-7"/>
                <w:sz w:val="18"/>
              </w:rPr>
              <w:t> </w:t>
            </w:r>
            <w:r>
              <w:rPr>
                <w:sz w:val="18"/>
              </w:rPr>
              <w:t>formas</w:t>
            </w:r>
            <w:r>
              <w:rPr>
                <w:spacing w:val="-7"/>
                <w:sz w:val="18"/>
              </w:rPr>
              <w:t> </w:t>
            </w:r>
            <w:r>
              <w:rPr>
                <w:sz w:val="18"/>
              </w:rPr>
              <w:t>de violencia</w:t>
            </w:r>
            <w:r>
              <w:rPr>
                <w:spacing w:val="40"/>
                <w:sz w:val="18"/>
              </w:rPr>
              <w:t> </w:t>
            </w:r>
            <w:r>
              <w:rPr>
                <w:sz w:val="18"/>
              </w:rPr>
              <w:t>sexual</w:t>
            </w:r>
            <w:r>
              <w:rPr>
                <w:spacing w:val="40"/>
                <w:sz w:val="18"/>
              </w:rPr>
              <w:t> </w:t>
            </w:r>
            <w:r>
              <w:rPr>
                <w:sz w:val="18"/>
              </w:rPr>
              <w:t>(con </w:t>
            </w:r>
            <w:r>
              <w:rPr>
                <w:spacing w:val="-2"/>
                <w:sz w:val="18"/>
              </w:rPr>
              <w:t>especial</w:t>
            </w:r>
            <w:r>
              <w:rPr>
                <w:sz w:val="18"/>
              </w:rPr>
              <w:tab/>
            </w:r>
            <w:r>
              <w:rPr>
                <w:spacing w:val="-2"/>
                <w:sz w:val="18"/>
              </w:rPr>
              <w:t>énfasis</w:t>
            </w:r>
            <w:r>
              <w:rPr>
                <w:sz w:val="18"/>
              </w:rPr>
              <w:tab/>
            </w:r>
            <w:r>
              <w:rPr>
                <w:spacing w:val="-6"/>
                <w:sz w:val="18"/>
              </w:rPr>
              <w:t>en </w:t>
            </w:r>
            <w:r>
              <w:rPr>
                <w:sz w:val="18"/>
              </w:rPr>
              <w:t>niñas</w:t>
            </w:r>
            <w:r>
              <w:rPr>
                <w:spacing w:val="37"/>
                <w:sz w:val="18"/>
              </w:rPr>
              <w:t> </w:t>
            </w:r>
            <w:r>
              <w:rPr>
                <w:sz w:val="18"/>
              </w:rPr>
              <w:t>y</w:t>
            </w:r>
            <w:r>
              <w:rPr>
                <w:spacing w:val="33"/>
                <w:sz w:val="18"/>
              </w:rPr>
              <w:t> </w:t>
            </w:r>
            <w:r>
              <w:rPr>
                <w:sz w:val="18"/>
              </w:rPr>
              <w:t>adolescentes) desagregado</w:t>
            </w:r>
            <w:r>
              <w:rPr>
                <w:spacing w:val="-13"/>
                <w:sz w:val="18"/>
              </w:rPr>
              <w:t> </w:t>
            </w:r>
            <w:r>
              <w:rPr>
                <w:sz w:val="18"/>
              </w:rPr>
              <w:t>por</w:t>
            </w:r>
            <w:r>
              <w:rPr>
                <w:spacing w:val="-12"/>
                <w:sz w:val="18"/>
              </w:rPr>
              <w:t> </w:t>
            </w:r>
            <w:r>
              <w:rPr>
                <w:spacing w:val="-4"/>
                <w:sz w:val="18"/>
              </w:rPr>
              <w:t>edad,</w:t>
            </w:r>
          </w:p>
          <w:p>
            <w:pPr>
              <w:pStyle w:val="TableParagraph"/>
              <w:spacing w:line="206" w:lineRule="exact"/>
              <w:ind w:left="68" w:right="51"/>
              <w:rPr>
                <w:sz w:val="18"/>
              </w:rPr>
            </w:pPr>
            <w:r>
              <w:rPr>
                <w:sz w:val="18"/>
              </w:rPr>
              <w:t>tipo</w:t>
            </w:r>
            <w:r>
              <w:rPr>
                <w:spacing w:val="-13"/>
                <w:sz w:val="18"/>
              </w:rPr>
              <w:t> </w:t>
            </w:r>
            <w:r>
              <w:rPr>
                <w:sz w:val="18"/>
              </w:rPr>
              <w:t>de</w:t>
            </w:r>
            <w:r>
              <w:rPr>
                <w:spacing w:val="-12"/>
                <w:sz w:val="18"/>
              </w:rPr>
              <w:t> </w:t>
            </w:r>
            <w:r>
              <w:rPr>
                <w:sz w:val="18"/>
              </w:rPr>
              <w:t>violencia</w:t>
            </w:r>
            <w:r>
              <w:rPr>
                <w:spacing w:val="-13"/>
                <w:sz w:val="18"/>
              </w:rPr>
              <w:t> </w:t>
            </w:r>
            <w:r>
              <w:rPr>
                <w:sz w:val="18"/>
              </w:rPr>
              <w:t>sexual y cantón.</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3" w:right="58"/>
              <w:rPr>
                <w:sz w:val="18"/>
              </w:rPr>
            </w:pPr>
            <w:r>
              <w:rPr>
                <w:sz w:val="18"/>
              </w:rPr>
              <w:t>Informes</w:t>
            </w:r>
            <w:r>
              <w:rPr>
                <w:spacing w:val="-13"/>
                <w:sz w:val="18"/>
              </w:rPr>
              <w:t> </w:t>
            </w:r>
            <w:r>
              <w:rPr>
                <w:sz w:val="18"/>
              </w:rPr>
              <w:t>de </w:t>
            </w:r>
            <w:r>
              <w:rPr>
                <w:spacing w:val="-2"/>
                <w:sz w:val="18"/>
              </w:rPr>
              <w:t>ejecución</w:t>
            </w:r>
          </w:p>
        </w:tc>
        <w:tc>
          <w:tcPr>
            <w:tcW w:w="1416"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17" w:right="10"/>
              <w:jc w:val="center"/>
              <w:rPr>
                <w:sz w:val="18"/>
              </w:rPr>
            </w:pPr>
            <w:r>
              <w:rPr>
                <w:spacing w:val="-5"/>
                <w:sz w:val="18"/>
              </w:rPr>
              <w:t>DBF</w:t>
            </w:r>
          </w:p>
        </w:tc>
        <w:tc>
          <w:tcPr>
            <w:tcW w:w="1651" w:type="dxa"/>
          </w:tcPr>
          <w:p>
            <w:pPr>
              <w:pStyle w:val="TableParagraph"/>
              <w:rPr>
                <w:rFonts w:ascii="Times New Roman"/>
                <w:sz w:val="18"/>
              </w:rPr>
            </w:pPr>
          </w:p>
        </w:tc>
        <w:tc>
          <w:tcPr>
            <w:tcW w:w="1546" w:type="dxa"/>
            <w:vMerge/>
            <w:tcBorders>
              <w:top w:val="nil"/>
              <w:bottom w:val="single" w:sz="4" w:space="0" w:color="808080"/>
            </w:tcBorders>
          </w:tcPr>
          <w:p>
            <w:pPr>
              <w:rPr>
                <w:sz w:val="2"/>
                <w:szCs w:val="2"/>
              </w:rPr>
            </w:pPr>
          </w:p>
        </w:tc>
      </w:tr>
      <w:tr>
        <w:trPr>
          <w:trHeight w:val="2072" w:hRule="atLeast"/>
        </w:trPr>
        <w:tc>
          <w:tcPr>
            <w:tcW w:w="2972" w:type="dxa"/>
            <w:gridSpan w:val="2"/>
            <w:tcBorders>
              <w:bottom w:val="nil"/>
            </w:tcBorders>
          </w:tcPr>
          <w:p>
            <w:pPr>
              <w:pStyle w:val="TableParagraph"/>
              <w:spacing w:before="105"/>
              <w:ind w:left="72" w:right="113"/>
              <w:rPr>
                <w:b/>
                <w:i/>
                <w:sz w:val="18"/>
              </w:rPr>
            </w:pPr>
            <w:r>
              <w:rPr>
                <w:b/>
                <w:sz w:val="18"/>
              </w:rPr>
              <w:t>Actividad PPPS 1.51.8: </w:t>
            </w:r>
            <w:r>
              <w:rPr>
                <w:sz w:val="18"/>
              </w:rPr>
              <w:t>Capacitación a personal institucional</w:t>
            </w:r>
            <w:r>
              <w:rPr>
                <w:spacing w:val="-2"/>
                <w:sz w:val="18"/>
              </w:rPr>
              <w:t> </w:t>
            </w:r>
            <w:r>
              <w:rPr>
                <w:sz w:val="18"/>
              </w:rPr>
              <w:t>en detección, registro y referencia de las diferentes manifestaciones de la violencia sexual, como continuación del curso virtual de Prevención de violencia contra las mujeres </w:t>
            </w:r>
            <w:r>
              <w:rPr>
                <w:b/>
                <w:i/>
                <w:sz w:val="18"/>
              </w:rPr>
              <w:t>(vinculada</w:t>
            </w:r>
            <w:r>
              <w:rPr>
                <w:b/>
                <w:i/>
                <w:spacing w:val="-13"/>
                <w:sz w:val="18"/>
              </w:rPr>
              <w:t> </w:t>
            </w:r>
            <w:r>
              <w:rPr>
                <w:b/>
                <w:i/>
                <w:sz w:val="18"/>
              </w:rPr>
              <w:t>a</w:t>
            </w:r>
            <w:r>
              <w:rPr>
                <w:b/>
                <w:i/>
                <w:spacing w:val="-12"/>
                <w:sz w:val="18"/>
              </w:rPr>
              <w:t> </w:t>
            </w:r>
            <w:r>
              <w:rPr>
                <w:b/>
                <w:i/>
                <w:sz w:val="18"/>
              </w:rPr>
              <w:t>PLANOVI</w:t>
            </w:r>
            <w:r>
              <w:rPr>
                <w:b/>
                <w:i/>
                <w:spacing w:val="-13"/>
                <w:sz w:val="18"/>
              </w:rPr>
              <w:t> </w:t>
            </w:r>
            <w:r>
              <w:rPr>
                <w:b/>
                <w:i/>
                <w:sz w:val="18"/>
              </w:rPr>
              <w:t>5.1.2.1.1).</w:t>
            </w:r>
          </w:p>
        </w:tc>
        <w:tc>
          <w:tcPr>
            <w:tcW w:w="1560" w:type="dxa"/>
            <w:tcBorders>
              <w:bottom w:val="single" w:sz="4" w:space="0" w:color="808080"/>
            </w:tcBorders>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2"/>
              <w:jc w:val="center"/>
              <w:rPr>
                <w:sz w:val="18"/>
              </w:rPr>
            </w:pPr>
            <w:r>
              <w:rPr>
                <w:spacing w:val="-2"/>
                <w:sz w:val="18"/>
              </w:rPr>
              <w:t>25,6%</w:t>
            </w:r>
          </w:p>
        </w:tc>
        <w:tc>
          <w:tcPr>
            <w:tcW w:w="1560" w:type="dxa"/>
            <w:tcBorders>
              <w:bottom w:val="single" w:sz="4" w:space="0" w:color="808080"/>
            </w:tcBorders>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6"/>
              <w:jc w:val="center"/>
              <w:rPr>
                <w:sz w:val="18"/>
              </w:rPr>
            </w:pPr>
            <w:r>
              <w:rPr>
                <w:spacing w:val="-5"/>
                <w:sz w:val="18"/>
              </w:rPr>
              <w:t>80%</w:t>
            </w:r>
          </w:p>
        </w:tc>
        <w:tc>
          <w:tcPr>
            <w:tcW w:w="1982" w:type="dxa"/>
            <w:tcBorders>
              <w:bottom w:val="single" w:sz="4" w:space="0" w:color="808080"/>
            </w:tcBorders>
          </w:tcPr>
          <w:p>
            <w:pPr>
              <w:pStyle w:val="TableParagraph"/>
              <w:tabs>
                <w:tab w:pos="1225" w:val="left" w:leader="none"/>
                <w:tab w:pos="1714" w:val="left" w:leader="none"/>
              </w:tabs>
              <w:ind w:left="68" w:right="50"/>
              <w:rPr>
                <w:sz w:val="18"/>
              </w:rPr>
            </w:pPr>
            <w:r>
              <w:rPr>
                <w:sz w:val="18"/>
              </w:rPr>
              <w:t>Porcentaje</w:t>
            </w:r>
            <w:r>
              <w:rPr>
                <w:spacing w:val="22"/>
                <w:sz w:val="18"/>
              </w:rPr>
              <w:t> </w:t>
            </w:r>
            <w:r>
              <w:rPr>
                <w:sz w:val="18"/>
              </w:rPr>
              <w:t>acumulado </w:t>
            </w:r>
            <w:r>
              <w:rPr>
                <w:spacing w:val="-4"/>
                <w:sz w:val="18"/>
              </w:rPr>
              <w:t>del</w:t>
            </w:r>
            <w:r>
              <w:rPr>
                <w:sz w:val="18"/>
              </w:rPr>
              <w:tab/>
            </w:r>
            <w:r>
              <w:rPr>
                <w:spacing w:val="-2"/>
                <w:sz w:val="18"/>
              </w:rPr>
              <w:t>personal seleccionado capacitado</w:t>
            </w:r>
            <w:r>
              <w:rPr>
                <w:sz w:val="18"/>
              </w:rPr>
              <w:tab/>
              <w:tab/>
            </w:r>
            <w:r>
              <w:rPr>
                <w:spacing w:val="-6"/>
                <w:sz w:val="18"/>
              </w:rPr>
              <w:t>en </w:t>
            </w:r>
            <w:r>
              <w:rPr>
                <w:sz w:val="18"/>
              </w:rPr>
              <w:t>detección,</w:t>
            </w:r>
            <w:r>
              <w:rPr>
                <w:spacing w:val="80"/>
                <w:sz w:val="18"/>
              </w:rPr>
              <w:t> </w:t>
            </w:r>
            <w:r>
              <w:rPr>
                <w:sz w:val="18"/>
              </w:rPr>
              <w:t>registro</w:t>
            </w:r>
            <w:r>
              <w:rPr>
                <w:spacing w:val="80"/>
                <w:sz w:val="18"/>
              </w:rPr>
              <w:t> </w:t>
            </w:r>
            <w:r>
              <w:rPr>
                <w:sz w:val="18"/>
              </w:rPr>
              <w:t>y </w:t>
            </w:r>
            <w:r>
              <w:rPr>
                <w:spacing w:val="-2"/>
                <w:sz w:val="18"/>
              </w:rPr>
              <w:t>referencia</w:t>
            </w:r>
            <w:r>
              <w:rPr>
                <w:sz w:val="18"/>
              </w:rPr>
              <w:tab/>
              <w:tab/>
            </w:r>
            <w:r>
              <w:rPr>
                <w:spacing w:val="-5"/>
                <w:sz w:val="18"/>
              </w:rPr>
              <w:t>de</w:t>
            </w:r>
          </w:p>
          <w:p>
            <w:pPr>
              <w:pStyle w:val="TableParagraph"/>
              <w:tabs>
                <w:tab w:pos="1345" w:val="left" w:leader="none"/>
                <w:tab w:pos="1714" w:val="left" w:leader="none"/>
              </w:tabs>
              <w:spacing w:line="206" w:lineRule="exact"/>
              <w:ind w:left="68" w:right="54"/>
              <w:jc w:val="both"/>
              <w:rPr>
                <w:sz w:val="18"/>
              </w:rPr>
            </w:pPr>
            <w:r>
              <w:rPr>
                <w:spacing w:val="-2"/>
                <w:sz w:val="18"/>
              </w:rPr>
              <w:t>situaciones</w:t>
            </w:r>
            <w:r>
              <w:rPr>
                <w:sz w:val="18"/>
              </w:rPr>
              <w:tab/>
              <w:tab/>
            </w:r>
            <w:r>
              <w:rPr>
                <w:spacing w:val="-6"/>
                <w:sz w:val="18"/>
              </w:rPr>
              <w:t>de </w:t>
            </w:r>
            <w:r>
              <w:rPr>
                <w:spacing w:val="-2"/>
                <w:sz w:val="18"/>
              </w:rPr>
              <w:t>violencia</w:t>
            </w:r>
            <w:r>
              <w:rPr>
                <w:sz w:val="18"/>
              </w:rPr>
              <w:tab/>
            </w:r>
            <w:r>
              <w:rPr>
                <w:spacing w:val="-2"/>
                <w:sz w:val="18"/>
              </w:rPr>
              <w:t>sexual, </w:t>
            </w:r>
            <w:r>
              <w:rPr>
                <w:sz w:val="18"/>
              </w:rPr>
              <w:t>desagregado por tipo de</w:t>
            </w:r>
            <w:r>
              <w:rPr>
                <w:spacing w:val="78"/>
                <w:w w:val="150"/>
                <w:sz w:val="18"/>
              </w:rPr>
              <w:t>   </w:t>
            </w:r>
            <w:r>
              <w:rPr>
                <w:sz w:val="18"/>
              </w:rPr>
              <w:t>acción</w:t>
            </w:r>
            <w:r>
              <w:rPr>
                <w:spacing w:val="78"/>
                <w:w w:val="150"/>
                <w:sz w:val="18"/>
              </w:rPr>
              <w:t>   </w:t>
            </w:r>
            <w:r>
              <w:rPr>
                <w:spacing w:val="-5"/>
                <w:sz w:val="18"/>
              </w:rPr>
              <w:t>de</w:t>
            </w:r>
          </w:p>
        </w:tc>
        <w:tc>
          <w:tcPr>
            <w:tcW w:w="1560" w:type="dxa"/>
            <w:tcBorders>
              <w:bottom w:val="single" w:sz="4" w:space="0" w:color="808080"/>
            </w:tcBorders>
          </w:tcPr>
          <w:p>
            <w:pPr>
              <w:pStyle w:val="TableParagraph"/>
              <w:rPr>
                <w:b/>
                <w:sz w:val="18"/>
              </w:rPr>
            </w:pPr>
          </w:p>
          <w:p>
            <w:pPr>
              <w:pStyle w:val="TableParagraph"/>
              <w:rPr>
                <w:b/>
                <w:sz w:val="18"/>
              </w:rPr>
            </w:pPr>
          </w:p>
          <w:p>
            <w:pPr>
              <w:pStyle w:val="TableParagraph"/>
              <w:spacing w:before="103"/>
              <w:rPr>
                <w:b/>
                <w:sz w:val="18"/>
              </w:rPr>
            </w:pPr>
          </w:p>
          <w:p>
            <w:pPr>
              <w:pStyle w:val="TableParagraph"/>
              <w:ind w:left="73" w:right="69"/>
              <w:rPr>
                <w:sz w:val="18"/>
              </w:rPr>
            </w:pPr>
            <w:r>
              <w:rPr>
                <w:spacing w:val="-2"/>
                <w:sz w:val="18"/>
              </w:rPr>
              <w:t>Registro </w:t>
            </w:r>
            <w:r>
              <w:rPr>
                <w:sz w:val="18"/>
              </w:rPr>
              <w:t>administrativo</w:t>
            </w:r>
            <w:r>
              <w:rPr>
                <w:spacing w:val="-13"/>
                <w:sz w:val="18"/>
              </w:rPr>
              <w:t> </w:t>
            </w:r>
            <w:r>
              <w:rPr>
                <w:sz w:val="18"/>
              </w:rPr>
              <w:t>del </w:t>
            </w:r>
            <w:r>
              <w:rPr>
                <w:spacing w:val="-4"/>
                <w:sz w:val="18"/>
              </w:rPr>
              <w:t>DBF</w:t>
            </w:r>
          </w:p>
        </w:tc>
        <w:tc>
          <w:tcPr>
            <w:tcW w:w="1416" w:type="dxa"/>
            <w:tcBorders>
              <w:bottom w:val="single" w:sz="4" w:space="0" w:color="808080"/>
            </w:tcBorders>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7" w:right="10"/>
              <w:jc w:val="center"/>
              <w:rPr>
                <w:sz w:val="18"/>
              </w:rPr>
            </w:pPr>
            <w:r>
              <w:rPr>
                <w:spacing w:val="-5"/>
                <w:sz w:val="18"/>
              </w:rPr>
              <w:t>DBF</w:t>
            </w:r>
          </w:p>
        </w:tc>
        <w:tc>
          <w:tcPr>
            <w:tcW w:w="1651" w:type="dxa"/>
            <w:tcBorders>
              <w:bottom w:val="single" w:sz="4" w:space="0" w:color="808080"/>
            </w:tcBorders>
          </w:tcPr>
          <w:p>
            <w:pPr>
              <w:pStyle w:val="TableParagraph"/>
              <w:rPr>
                <w:rFonts w:ascii="Times New Roman"/>
                <w:sz w:val="18"/>
              </w:rPr>
            </w:pPr>
          </w:p>
        </w:tc>
        <w:tc>
          <w:tcPr>
            <w:tcW w:w="1546" w:type="dxa"/>
            <w:vMerge/>
            <w:tcBorders>
              <w:top w:val="nil"/>
              <w:bottom w:val="single" w:sz="4" w:space="0" w:color="808080"/>
            </w:tcBorders>
          </w:tcPr>
          <w:p>
            <w:pPr>
              <w:rPr>
                <w:sz w:val="2"/>
                <w:szCs w:val="2"/>
              </w:rPr>
            </w:pPr>
          </w:p>
        </w:tc>
      </w:tr>
      <w:tr>
        <w:trPr>
          <w:trHeight w:val="1386" w:hRule="atLeast"/>
        </w:trPr>
        <w:tc>
          <w:tcPr>
            <w:tcW w:w="1486" w:type="dxa"/>
            <w:tcBorders>
              <w:top w:val="thinThickMediumGap" w:sz="9" w:space="0" w:color="808080"/>
              <w:left w:val="nil"/>
              <w:bottom w:val="nil"/>
              <w:right w:val="single" w:sz="18" w:space="0" w:color="808080"/>
            </w:tcBorders>
          </w:tcPr>
          <w:p>
            <w:pPr>
              <w:pStyle w:val="TableParagraph"/>
              <w:spacing w:before="3"/>
              <w:ind w:left="106"/>
              <w:rPr>
                <w:b/>
                <w:sz w:val="24"/>
              </w:rPr>
            </w:pPr>
            <w:r>
              <w:rPr>
                <w:b/>
                <w:spacing w:val="-5"/>
                <w:sz w:val="24"/>
              </w:rPr>
              <w:t>133</w:t>
            </w:r>
          </w:p>
        </w:tc>
        <w:tc>
          <w:tcPr>
            <w:tcW w:w="12761" w:type="dxa"/>
            <w:gridSpan w:val="8"/>
            <w:tcBorders>
              <w:top w:val="single" w:sz="4" w:space="0" w:color="808080"/>
              <w:left w:val="single" w:sz="18" w:space="0" w:color="808080"/>
              <w:bottom w:val="nil"/>
              <w:right w:val="nil"/>
            </w:tcBorders>
          </w:tcPr>
          <w:p>
            <w:pPr>
              <w:pStyle w:val="TableParagraph"/>
              <w:spacing w:line="242" w:lineRule="auto" w:before="3"/>
              <w:ind w:left="95" w:right="8580"/>
              <w:rPr>
                <w:b/>
                <w:i/>
                <w:sz w:val="24"/>
              </w:rPr>
            </w:pPr>
            <w:r>
              <w:rPr>
                <w:b/>
                <w:i/>
                <w:sz w:val="24"/>
              </w:rPr>
              <mc:AlternateContent>
                <mc:Choice Requires="wps">
                  <w:drawing>
                    <wp:anchor distT="0" distB="0" distL="0" distR="0" allowOverlap="1" layoutInCell="1" locked="0" behindDoc="1" simplePos="0" relativeHeight="459707904">
                      <wp:simplePos x="0" y="0"/>
                      <wp:positionH relativeFrom="column">
                        <wp:posOffset>13716</wp:posOffset>
                      </wp:positionH>
                      <wp:positionV relativeFrom="paragraph">
                        <wp:posOffset>-25833</wp:posOffset>
                      </wp:positionV>
                      <wp:extent cx="8186420" cy="27940"/>
                      <wp:effectExtent l="0" t="0" r="0" b="0"/>
                      <wp:wrapNone/>
                      <wp:docPr id="101" name="Group 101"/>
                      <wp:cNvGraphicFramePr>
                        <a:graphicFrameLocks/>
                      </wp:cNvGraphicFramePr>
                      <a:graphic>
                        <a:graphicData uri="http://schemas.microsoft.com/office/word/2010/wordprocessingGroup">
                          <wpg:wgp>
                            <wpg:cNvPr id="101" name="Group 101"/>
                            <wpg:cNvGrpSpPr/>
                            <wpg:grpSpPr>
                              <a:xfrm>
                                <a:off x="0" y="0"/>
                                <a:ext cx="8186420" cy="27940"/>
                                <a:chExt cx="8186420" cy="27940"/>
                              </a:xfrm>
                            </wpg:grpSpPr>
                            <wps:wsp>
                              <wps:cNvPr id="102" name="Graphic 102"/>
                              <wps:cNvSpPr/>
                              <wps:spPr>
                                <a:xfrm>
                                  <a:off x="0" y="0"/>
                                  <a:ext cx="8186420" cy="27940"/>
                                </a:xfrm>
                                <a:custGeom>
                                  <a:avLst/>
                                  <a:gdLst/>
                                  <a:ahLst/>
                                  <a:cxnLst/>
                                  <a:rect l="l" t="t" r="r" b="b"/>
                                  <a:pathLst>
                                    <a:path w="8186420" h="27940">
                                      <a:moveTo>
                                        <a:pt x="8186293" y="0"/>
                                      </a:moveTo>
                                      <a:lnTo>
                                        <a:pt x="0" y="0"/>
                                      </a:lnTo>
                                      <a:lnTo>
                                        <a:pt x="0" y="27431"/>
                                      </a:lnTo>
                                      <a:lnTo>
                                        <a:pt x="8186293" y="27431"/>
                                      </a:lnTo>
                                      <a:lnTo>
                                        <a:pt x="8186293"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w:pict>
                    <v:group style="position:absolute;margin-left:1.08pt;margin-top:-2.034142pt;width:644.6pt;height:2.2pt;mso-position-horizontal-relative:column;mso-position-vertical-relative:paragraph;z-index:-43608576" id="docshapegroup79" coordorigin="22,-41" coordsize="12892,44">
                      <v:rect style="position:absolute;left:21;top:-41;width:12892;height:44" id="docshape80" filled="true" fillcolor="#808080" stroked="false">
                        <v:fill type="solid"/>
                      </v:rect>
                      <w10:wrap type="none"/>
                    </v:group>
                  </w:pict>
                </mc:Fallback>
              </mc:AlternateContent>
            </w: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64"/>
          <w:pgSz w:w="15840" w:h="12240" w:orient="landscape"/>
          <w:pgMar w:header="0" w:footer="0" w:top="700" w:bottom="2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9"/>
        <w:gridCol w:w="1548"/>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9" w:type="dxa"/>
            <w:shd w:val="clear" w:color="auto" w:fill="D9D9D9"/>
          </w:tcPr>
          <w:p>
            <w:pPr>
              <w:pStyle w:val="TableParagraph"/>
              <w:spacing w:before="104"/>
              <w:ind w:left="430" w:hanging="120"/>
              <w:rPr>
                <w:b/>
                <w:sz w:val="18"/>
              </w:rPr>
            </w:pPr>
            <w:r>
              <w:rPr>
                <w:b/>
                <w:spacing w:val="-2"/>
                <w:sz w:val="18"/>
              </w:rPr>
              <w:t>Presupuesto asignado</w:t>
            </w:r>
          </w:p>
        </w:tc>
        <w:tc>
          <w:tcPr>
            <w:tcW w:w="1548" w:type="dxa"/>
            <w:tcBorders>
              <w:bottom w:val="nil"/>
            </w:tcBorders>
            <w:shd w:val="clear" w:color="auto" w:fill="D9D9D9"/>
          </w:tcPr>
          <w:p>
            <w:pPr>
              <w:pStyle w:val="TableParagraph"/>
              <w:spacing w:line="206" w:lineRule="exact"/>
              <w:ind w:left="16"/>
              <w:jc w:val="center"/>
              <w:rPr>
                <w:b/>
                <w:sz w:val="18"/>
              </w:rPr>
            </w:pPr>
            <w:r>
              <w:rPr>
                <w:b/>
                <w:spacing w:val="-2"/>
                <w:sz w:val="18"/>
              </w:rPr>
              <w:t>Riesgos </w:t>
            </w:r>
            <w:r>
              <w:rPr>
                <w:b/>
                <w:sz w:val="18"/>
              </w:rPr>
              <w:t>asociados al </w:t>
            </w:r>
            <w:r>
              <w:rPr>
                <w:b/>
                <w:spacing w:val="-2"/>
                <w:sz w:val="18"/>
              </w:rPr>
              <w:t>cumplimiento</w:t>
            </w:r>
          </w:p>
        </w:tc>
      </w:tr>
      <w:tr>
        <w:trPr>
          <w:trHeight w:val="1685" w:hRule="atLeast"/>
        </w:trPr>
        <w:tc>
          <w:tcPr>
            <w:tcW w:w="2972" w:type="dxa"/>
          </w:tcPr>
          <w:p>
            <w:pPr>
              <w:pStyle w:val="TableParagraph"/>
              <w:rPr>
                <w:rFonts w:ascii="Times New Roman"/>
                <w:sz w:val="18"/>
              </w:rPr>
            </w:pPr>
          </w:p>
        </w:tc>
        <w:tc>
          <w:tcPr>
            <w:tcW w:w="1560" w:type="dxa"/>
          </w:tcPr>
          <w:p>
            <w:pPr>
              <w:pStyle w:val="TableParagraph"/>
              <w:rPr>
                <w:rFonts w:ascii="Times New Roman"/>
                <w:sz w:val="18"/>
              </w:rPr>
            </w:pPr>
          </w:p>
        </w:tc>
        <w:tc>
          <w:tcPr>
            <w:tcW w:w="1560" w:type="dxa"/>
          </w:tcPr>
          <w:p>
            <w:pPr>
              <w:pStyle w:val="TableParagraph"/>
              <w:rPr>
                <w:rFonts w:ascii="Times New Roman"/>
                <w:sz w:val="18"/>
              </w:rPr>
            </w:pPr>
          </w:p>
        </w:tc>
        <w:tc>
          <w:tcPr>
            <w:tcW w:w="1982" w:type="dxa"/>
          </w:tcPr>
          <w:p>
            <w:pPr>
              <w:pStyle w:val="TableParagraph"/>
              <w:spacing w:before="3"/>
              <w:ind w:left="68"/>
              <w:rPr>
                <w:sz w:val="18"/>
              </w:rPr>
            </w:pPr>
            <w:r>
              <w:rPr>
                <w:sz w:val="18"/>
              </w:rPr>
              <w:t>capacitación,</w:t>
            </w:r>
            <w:r>
              <w:rPr>
                <w:spacing w:val="15"/>
                <w:sz w:val="18"/>
              </w:rPr>
              <w:t> </w:t>
            </w:r>
            <w:r>
              <w:rPr>
                <w:sz w:val="18"/>
              </w:rPr>
              <w:t>cantón</w:t>
            </w:r>
            <w:r>
              <w:rPr>
                <w:spacing w:val="13"/>
                <w:sz w:val="18"/>
              </w:rPr>
              <w:t> </w:t>
            </w:r>
            <w:r>
              <w:rPr>
                <w:sz w:val="18"/>
              </w:rPr>
              <w:t>y </w:t>
            </w:r>
            <w:r>
              <w:rPr>
                <w:spacing w:val="-4"/>
                <w:sz w:val="18"/>
              </w:rPr>
              <w:t>sexo</w:t>
            </w:r>
          </w:p>
        </w:tc>
        <w:tc>
          <w:tcPr>
            <w:tcW w:w="1560" w:type="dxa"/>
          </w:tcPr>
          <w:p>
            <w:pPr>
              <w:pStyle w:val="TableParagraph"/>
              <w:rPr>
                <w:rFonts w:ascii="Times New Roman"/>
                <w:sz w:val="18"/>
              </w:rPr>
            </w:pPr>
          </w:p>
        </w:tc>
        <w:tc>
          <w:tcPr>
            <w:tcW w:w="1416" w:type="dxa"/>
          </w:tcPr>
          <w:p>
            <w:pPr>
              <w:pStyle w:val="TableParagraph"/>
              <w:rPr>
                <w:rFonts w:ascii="Times New Roman"/>
                <w:sz w:val="18"/>
              </w:rPr>
            </w:pPr>
          </w:p>
        </w:tc>
        <w:tc>
          <w:tcPr>
            <w:tcW w:w="1649" w:type="dxa"/>
          </w:tcPr>
          <w:p>
            <w:pPr>
              <w:pStyle w:val="TableParagraph"/>
              <w:rPr>
                <w:rFonts w:ascii="Times New Roman"/>
                <w:sz w:val="18"/>
              </w:rPr>
            </w:pPr>
          </w:p>
        </w:tc>
        <w:tc>
          <w:tcPr>
            <w:tcW w:w="1548" w:type="dxa"/>
            <w:vMerge w:val="restart"/>
            <w:tcBorders>
              <w:top w:val="nil"/>
            </w:tcBorders>
          </w:tcPr>
          <w:p>
            <w:pPr>
              <w:pStyle w:val="TableParagraph"/>
              <w:spacing w:before="3"/>
              <w:ind w:left="72" w:right="286"/>
              <w:jc w:val="both"/>
              <w:rPr>
                <w:sz w:val="18"/>
              </w:rPr>
            </w:pPr>
            <w:r>
              <w:rPr>
                <w:sz w:val="18"/>
              </w:rPr>
              <w:t>no consideran indicadores</w:t>
            </w:r>
            <w:r>
              <w:rPr>
                <w:spacing w:val="-13"/>
                <w:sz w:val="18"/>
              </w:rPr>
              <w:t> </w:t>
            </w:r>
            <w:r>
              <w:rPr>
                <w:sz w:val="18"/>
              </w:rPr>
              <w:t>de </w:t>
            </w:r>
            <w:r>
              <w:rPr>
                <w:spacing w:val="-2"/>
                <w:sz w:val="18"/>
              </w:rPr>
              <w:t>género.</w:t>
            </w:r>
          </w:p>
        </w:tc>
      </w:tr>
      <w:tr>
        <w:trPr>
          <w:trHeight w:val="2275" w:hRule="atLeast"/>
        </w:trPr>
        <w:tc>
          <w:tcPr>
            <w:tcW w:w="2972" w:type="dxa"/>
          </w:tcPr>
          <w:p>
            <w:pPr>
              <w:pStyle w:val="TableParagraph"/>
              <w:ind w:left="72" w:right="72"/>
              <w:rPr>
                <w:sz w:val="18"/>
              </w:rPr>
            </w:pPr>
            <w:r>
              <w:rPr>
                <w:b/>
                <w:sz w:val="18"/>
              </w:rPr>
              <w:t>Actividad PPPS 1.51.9: </w:t>
            </w:r>
            <w:r>
              <w:rPr>
                <w:sz w:val="18"/>
              </w:rPr>
              <w:t>Elaboración del reglamento de la Ley de Reparación integral a sobrevivientes de femicidio, que permita una atención integral, interinstitucional y oportuna, a familiares de</w:t>
            </w:r>
            <w:r>
              <w:rPr>
                <w:spacing w:val="-4"/>
                <w:sz w:val="18"/>
              </w:rPr>
              <w:t> </w:t>
            </w:r>
            <w:r>
              <w:rPr>
                <w:sz w:val="18"/>
              </w:rPr>
              <w:t>víctimas de</w:t>
            </w:r>
            <w:r>
              <w:rPr>
                <w:spacing w:val="-9"/>
                <w:sz w:val="18"/>
              </w:rPr>
              <w:t> </w:t>
            </w:r>
            <w:r>
              <w:rPr>
                <w:sz w:val="18"/>
              </w:rPr>
              <w:t>femicidio, en especial a personas menores</w:t>
            </w:r>
            <w:r>
              <w:rPr>
                <w:spacing w:val="40"/>
                <w:sz w:val="18"/>
              </w:rPr>
              <w:t> </w:t>
            </w:r>
            <w:r>
              <w:rPr>
                <w:sz w:val="18"/>
              </w:rPr>
              <w:t>de edad, con discapacidad y</w:t>
            </w:r>
          </w:p>
          <w:p>
            <w:pPr>
              <w:pStyle w:val="TableParagraph"/>
              <w:spacing w:line="206" w:lineRule="exact"/>
              <w:ind w:left="72" w:right="60"/>
              <w:rPr>
                <w:b/>
                <w:i/>
                <w:sz w:val="18"/>
              </w:rPr>
            </w:pPr>
            <w:r>
              <w:rPr>
                <w:sz w:val="18"/>
              </w:rPr>
              <w:t>personas</w:t>
            </w:r>
            <w:r>
              <w:rPr>
                <w:spacing w:val="-15"/>
                <w:sz w:val="18"/>
              </w:rPr>
              <w:t> </w:t>
            </w:r>
            <w:r>
              <w:rPr>
                <w:sz w:val="18"/>
              </w:rPr>
              <w:t>dependientes</w:t>
            </w:r>
            <w:r>
              <w:rPr>
                <w:spacing w:val="-12"/>
                <w:sz w:val="18"/>
              </w:rPr>
              <w:t> </w:t>
            </w:r>
            <w:r>
              <w:rPr>
                <w:b/>
                <w:i/>
                <w:sz w:val="18"/>
              </w:rPr>
              <w:t>(vinculada</w:t>
            </w:r>
            <w:r>
              <w:rPr>
                <w:b/>
                <w:i/>
                <w:sz w:val="18"/>
              </w:rPr>
              <w:t> a PLANOVI 6.3.1).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1" w:right="3"/>
              <w:jc w:val="center"/>
              <w:rPr>
                <w:sz w:val="18"/>
              </w:rPr>
            </w:pPr>
            <w:r>
              <w:rPr>
                <w:spacing w:val="-4"/>
                <w:sz w:val="18"/>
              </w:rPr>
              <w:t>100%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1" w:right="12"/>
              <w:jc w:val="center"/>
              <w:rPr>
                <w:sz w:val="18"/>
              </w:rPr>
            </w:pPr>
            <w:r>
              <w:rPr>
                <w:spacing w:val="-4"/>
                <w:sz w:val="18"/>
              </w:rPr>
              <w:t>100%</w:t>
            </w:r>
          </w:p>
        </w:tc>
        <w:tc>
          <w:tcPr>
            <w:tcW w:w="1982" w:type="dxa"/>
          </w:tcPr>
          <w:p>
            <w:pPr>
              <w:pStyle w:val="TableParagraph"/>
              <w:tabs>
                <w:tab w:pos="1128" w:val="left" w:leader="none"/>
                <w:tab w:pos="1618" w:val="left" w:leader="none"/>
                <w:tab w:pos="1713" w:val="left" w:leader="none"/>
              </w:tabs>
              <w:spacing w:before="99"/>
              <w:ind w:left="68" w:right="52"/>
              <w:jc w:val="both"/>
              <w:rPr>
                <w:sz w:val="18"/>
              </w:rPr>
            </w:pPr>
            <w:r>
              <w:rPr>
                <w:spacing w:val="-2"/>
                <w:sz w:val="18"/>
              </w:rPr>
              <w:t>Porcentaje</w:t>
            </w:r>
            <w:r>
              <w:rPr>
                <w:sz w:val="18"/>
              </w:rPr>
              <w:tab/>
              <w:tab/>
              <w:tab/>
            </w:r>
            <w:r>
              <w:rPr>
                <w:spacing w:val="-6"/>
                <w:sz w:val="18"/>
              </w:rPr>
              <w:t>de </w:t>
            </w:r>
            <w:r>
              <w:rPr>
                <w:sz w:val="18"/>
              </w:rPr>
              <w:t>personas familiares</w:t>
            </w:r>
            <w:r>
              <w:rPr>
                <w:spacing w:val="-2"/>
                <w:sz w:val="18"/>
              </w:rPr>
              <w:t> </w:t>
            </w:r>
            <w:r>
              <w:rPr>
                <w:sz w:val="18"/>
              </w:rPr>
              <w:t>de mujeres víctimas de </w:t>
            </w:r>
            <w:r>
              <w:rPr>
                <w:spacing w:val="-2"/>
                <w:sz w:val="18"/>
              </w:rPr>
              <w:t>femicidio</w:t>
            </w:r>
            <w:r>
              <w:rPr>
                <w:sz w:val="18"/>
              </w:rPr>
              <w:tab/>
              <w:tab/>
            </w:r>
            <w:r>
              <w:rPr>
                <w:spacing w:val="-4"/>
                <w:sz w:val="18"/>
              </w:rPr>
              <w:t>que </w:t>
            </w:r>
            <w:r>
              <w:rPr>
                <w:sz w:val="18"/>
              </w:rPr>
              <w:t>recibieron atención </w:t>
            </w:r>
            <w:r>
              <w:rPr>
                <w:spacing w:val="-2"/>
                <w:sz w:val="18"/>
              </w:rPr>
              <w:t>según</w:t>
            </w:r>
            <w:r>
              <w:rPr>
                <w:sz w:val="18"/>
              </w:rPr>
              <w:tab/>
            </w:r>
            <w:r>
              <w:rPr>
                <w:spacing w:val="-2"/>
                <w:sz w:val="18"/>
              </w:rPr>
              <w:t>protocolo, </w:t>
            </w:r>
            <w:r>
              <w:rPr>
                <w:sz w:val="18"/>
              </w:rPr>
              <w:t>desagregado</w:t>
            </w:r>
            <w:r>
              <w:rPr>
                <w:spacing w:val="-15"/>
                <w:sz w:val="18"/>
              </w:rPr>
              <w:t> </w:t>
            </w:r>
            <w:r>
              <w:rPr>
                <w:sz w:val="18"/>
              </w:rPr>
              <w:t>por</w:t>
            </w:r>
            <w:r>
              <w:rPr>
                <w:spacing w:val="-12"/>
                <w:sz w:val="18"/>
              </w:rPr>
              <w:t> </w:t>
            </w:r>
            <w:r>
              <w:rPr>
                <w:sz w:val="18"/>
              </w:rPr>
              <w:t>sexo, edad, vínculo con la mujer víctima, tipo de asistencia y cantón.</w:t>
            </w:r>
          </w:p>
        </w:tc>
        <w:tc>
          <w:tcPr>
            <w:tcW w:w="1560" w:type="dxa"/>
          </w:tcPr>
          <w:p>
            <w:pPr>
              <w:pStyle w:val="TableParagraph"/>
              <w:rPr>
                <w:b/>
                <w:sz w:val="18"/>
              </w:rPr>
            </w:pPr>
          </w:p>
          <w:p>
            <w:pPr>
              <w:pStyle w:val="TableParagraph"/>
              <w:rPr>
                <w:b/>
                <w:sz w:val="18"/>
              </w:rPr>
            </w:pPr>
          </w:p>
          <w:p>
            <w:pPr>
              <w:pStyle w:val="TableParagraph"/>
              <w:spacing w:before="203"/>
              <w:rPr>
                <w:b/>
                <w:sz w:val="18"/>
              </w:rPr>
            </w:pPr>
          </w:p>
          <w:p>
            <w:pPr>
              <w:pStyle w:val="TableParagraph"/>
              <w:ind w:left="73" w:right="69"/>
              <w:rPr>
                <w:sz w:val="18"/>
              </w:rPr>
            </w:pPr>
            <w:r>
              <w:rPr>
                <w:spacing w:val="-2"/>
                <w:sz w:val="18"/>
              </w:rPr>
              <w:t>Registro </w:t>
            </w:r>
            <w:r>
              <w:rPr>
                <w:sz w:val="18"/>
              </w:rPr>
              <w:t>administrativo</w:t>
            </w:r>
            <w:r>
              <w:rPr>
                <w:spacing w:val="-13"/>
                <w:sz w:val="18"/>
              </w:rPr>
              <w:t> </w:t>
            </w:r>
            <w:r>
              <w:rPr>
                <w:sz w:val="18"/>
              </w:rPr>
              <w:t>del </w:t>
            </w:r>
            <w:r>
              <w:rPr>
                <w:spacing w:val="-4"/>
                <w:sz w:val="18"/>
              </w:rPr>
              <w:t>DBF</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17" w:right="10"/>
              <w:jc w:val="center"/>
              <w:rPr>
                <w:sz w:val="18"/>
              </w:rPr>
            </w:pPr>
            <w:r>
              <w:rPr>
                <w:spacing w:val="-5"/>
                <w:sz w:val="18"/>
              </w:rPr>
              <w:t>DBF</w:t>
            </w:r>
          </w:p>
        </w:tc>
        <w:tc>
          <w:tcPr>
            <w:tcW w:w="1649" w:type="dxa"/>
          </w:tcPr>
          <w:p>
            <w:pPr>
              <w:pStyle w:val="TableParagraph"/>
              <w:rPr>
                <w:rFonts w:ascii="Times New Roman"/>
                <w:sz w:val="18"/>
              </w:rPr>
            </w:pPr>
          </w:p>
        </w:tc>
        <w:tc>
          <w:tcPr>
            <w:tcW w:w="1548" w:type="dxa"/>
            <w:vMerge/>
            <w:tcBorders>
              <w:top w:val="nil"/>
            </w:tcBorders>
          </w:tcPr>
          <w:p>
            <w:pPr>
              <w:rPr>
                <w:sz w:val="2"/>
                <w:szCs w:val="2"/>
              </w:rPr>
            </w:pPr>
          </w:p>
        </w:tc>
      </w:tr>
      <w:tr>
        <w:trPr>
          <w:trHeight w:val="2069" w:hRule="atLeast"/>
        </w:trPr>
        <w:tc>
          <w:tcPr>
            <w:tcW w:w="2972" w:type="dxa"/>
          </w:tcPr>
          <w:p>
            <w:pPr>
              <w:pStyle w:val="TableParagraph"/>
              <w:spacing w:before="105"/>
              <w:ind w:left="72"/>
              <w:rPr>
                <w:b/>
                <w:sz w:val="18"/>
              </w:rPr>
            </w:pPr>
            <w:r>
              <w:rPr>
                <w:b/>
                <w:sz w:val="18"/>
              </w:rPr>
              <w:t>Actividad PPPS 1.51.10: </w:t>
            </w:r>
            <w:r>
              <w:rPr>
                <w:sz w:val="18"/>
              </w:rPr>
              <w:t>Establecimiento acuerdos que favorezcan la mejora en los procesos de intervención institucional</w:t>
            </w:r>
            <w:r>
              <w:rPr>
                <w:spacing w:val="-13"/>
                <w:sz w:val="18"/>
              </w:rPr>
              <w:t> </w:t>
            </w:r>
            <w:r>
              <w:rPr>
                <w:sz w:val="18"/>
              </w:rPr>
              <w:t>mediante</w:t>
            </w:r>
            <w:r>
              <w:rPr>
                <w:spacing w:val="-12"/>
                <w:sz w:val="18"/>
              </w:rPr>
              <w:t> </w:t>
            </w:r>
            <w:r>
              <w:rPr>
                <w:sz w:val="18"/>
              </w:rPr>
              <w:t>la</w:t>
            </w:r>
            <w:r>
              <w:rPr>
                <w:spacing w:val="-9"/>
                <w:sz w:val="18"/>
              </w:rPr>
              <w:t> </w:t>
            </w:r>
            <w:r>
              <w:rPr>
                <w:sz w:val="18"/>
              </w:rPr>
              <w:t>Comisión Consultiva para la mejora e innovación de los programas y servicios del IMAS </w:t>
            </w:r>
            <w:r>
              <w:rPr>
                <w:b/>
                <w:sz w:val="18"/>
              </w:rPr>
              <w:t>(vinculada a PIGI 2.1.1.3).</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6"/>
              <w:jc w:val="center"/>
              <w:rPr>
                <w:sz w:val="18"/>
              </w:rPr>
            </w:pPr>
            <w:r>
              <w:rPr>
                <w:spacing w:val="-5"/>
                <w:sz w:val="18"/>
              </w:rPr>
              <w:t>13</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18"/>
              <w:jc w:val="center"/>
              <w:rPr>
                <w:sz w:val="18"/>
              </w:rPr>
            </w:pPr>
            <w:r>
              <w:rPr>
                <w:spacing w:val="-10"/>
                <w:sz w:val="18"/>
              </w:rPr>
              <w:t>3</w:t>
            </w:r>
          </w:p>
        </w:tc>
        <w:tc>
          <w:tcPr>
            <w:tcW w:w="1982" w:type="dxa"/>
          </w:tcPr>
          <w:p>
            <w:pPr>
              <w:pStyle w:val="TableParagraph"/>
              <w:ind w:left="68" w:right="53"/>
              <w:jc w:val="both"/>
              <w:rPr>
                <w:sz w:val="18"/>
              </w:rPr>
            </w:pPr>
            <w:r>
              <w:rPr>
                <w:sz w:val="18"/>
              </w:rPr>
              <w:t>Cantidad de acuerdos tomados por </w:t>
            </w:r>
            <w:r>
              <w:rPr>
                <w:sz w:val="18"/>
              </w:rPr>
              <w:t>la Comisión Consultiva para la mejora e innovación de los programas y servicios del IMAS para la mejora</w:t>
            </w:r>
            <w:r>
              <w:rPr>
                <w:spacing w:val="-8"/>
                <w:sz w:val="18"/>
              </w:rPr>
              <w:t> </w:t>
            </w:r>
            <w:r>
              <w:rPr>
                <w:sz w:val="18"/>
              </w:rPr>
              <w:t>en</w:t>
            </w:r>
            <w:r>
              <w:rPr>
                <w:spacing w:val="-7"/>
                <w:sz w:val="18"/>
              </w:rPr>
              <w:t> </w:t>
            </w:r>
            <w:r>
              <w:rPr>
                <w:sz w:val="18"/>
              </w:rPr>
              <w:t>los</w:t>
            </w:r>
            <w:r>
              <w:rPr>
                <w:spacing w:val="-7"/>
                <w:sz w:val="18"/>
              </w:rPr>
              <w:t> </w:t>
            </w:r>
            <w:r>
              <w:rPr>
                <w:spacing w:val="-2"/>
                <w:sz w:val="18"/>
              </w:rPr>
              <w:t>procesos</w:t>
            </w:r>
          </w:p>
          <w:p>
            <w:pPr>
              <w:pStyle w:val="TableParagraph"/>
              <w:tabs>
                <w:tab w:pos="946" w:val="left" w:leader="none"/>
              </w:tabs>
              <w:spacing w:line="206" w:lineRule="exact"/>
              <w:ind w:left="68" w:right="53"/>
              <w:jc w:val="both"/>
              <w:rPr>
                <w:sz w:val="18"/>
              </w:rPr>
            </w:pPr>
            <w:r>
              <w:rPr>
                <w:spacing w:val="-6"/>
                <w:sz w:val="18"/>
              </w:rPr>
              <w:t>de</w:t>
            </w:r>
            <w:r>
              <w:rPr>
                <w:sz w:val="18"/>
              </w:rPr>
              <w:tab/>
            </w:r>
            <w:r>
              <w:rPr>
                <w:spacing w:val="-2"/>
                <w:sz w:val="18"/>
              </w:rPr>
              <w:t>intervención institucional.</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73" w:right="130"/>
              <w:rPr>
                <w:sz w:val="18"/>
              </w:rPr>
            </w:pPr>
            <w:r>
              <w:rPr>
                <w:sz w:val="18"/>
              </w:rPr>
              <w:t>Actas</w:t>
            </w:r>
            <w:r>
              <w:rPr>
                <w:spacing w:val="-13"/>
                <w:sz w:val="18"/>
              </w:rPr>
              <w:t> </w:t>
            </w:r>
            <w:r>
              <w:rPr>
                <w:sz w:val="18"/>
              </w:rPr>
              <w:t>de </w:t>
            </w:r>
            <w:r>
              <w:rPr>
                <w:spacing w:val="-2"/>
                <w:sz w:val="18"/>
              </w:rPr>
              <w:t>sesiones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7" w:right="12"/>
              <w:jc w:val="center"/>
              <w:rPr>
                <w:sz w:val="18"/>
              </w:rPr>
            </w:pPr>
            <w:r>
              <w:rPr>
                <w:spacing w:val="-5"/>
                <w:sz w:val="18"/>
              </w:rPr>
              <w:t>DDS</w:t>
            </w:r>
          </w:p>
        </w:tc>
        <w:tc>
          <w:tcPr>
            <w:tcW w:w="1649" w:type="dxa"/>
          </w:tcPr>
          <w:p>
            <w:pPr>
              <w:pStyle w:val="TableParagraph"/>
              <w:rPr>
                <w:rFonts w:ascii="Times New Roman"/>
                <w:sz w:val="18"/>
              </w:rPr>
            </w:pPr>
          </w:p>
        </w:tc>
        <w:tc>
          <w:tcPr>
            <w:tcW w:w="154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numPr>
                <w:ilvl w:val="0"/>
                <w:numId w:val="84"/>
              </w:numPr>
              <w:tabs>
                <w:tab w:pos="133" w:val="left" w:leader="none"/>
              </w:tabs>
              <w:spacing w:line="240" w:lineRule="auto" w:before="0" w:after="0"/>
              <w:ind w:left="72" w:right="185" w:firstLine="0"/>
              <w:jc w:val="left"/>
              <w:rPr>
                <w:sz w:val="18"/>
              </w:rPr>
            </w:pPr>
            <w:r>
              <w:rPr>
                <w:spacing w:val="-2"/>
                <w:sz w:val="18"/>
              </w:rPr>
              <w:t>Débil </w:t>
            </w:r>
            <w:r>
              <w:rPr>
                <w:sz w:val="18"/>
              </w:rPr>
              <w:t>coordinación</w:t>
            </w:r>
            <w:r>
              <w:rPr>
                <w:spacing w:val="-13"/>
                <w:sz w:val="18"/>
              </w:rPr>
              <w:t> </w:t>
            </w:r>
            <w:r>
              <w:rPr>
                <w:sz w:val="18"/>
              </w:rPr>
              <w:t>de </w:t>
            </w:r>
            <w:r>
              <w:rPr>
                <w:spacing w:val="-2"/>
                <w:sz w:val="18"/>
              </w:rPr>
              <w:t>procesos.</w:t>
            </w:r>
          </w:p>
        </w:tc>
      </w:tr>
      <w:tr>
        <w:trPr>
          <w:trHeight w:val="2074" w:hRule="atLeast"/>
        </w:trPr>
        <w:tc>
          <w:tcPr>
            <w:tcW w:w="2972" w:type="dxa"/>
          </w:tcPr>
          <w:p>
            <w:pPr>
              <w:pStyle w:val="TableParagraph"/>
              <w:spacing w:before="104"/>
              <w:ind w:left="72" w:right="60"/>
              <w:rPr>
                <w:b/>
                <w:i/>
                <w:sz w:val="18"/>
              </w:rPr>
            </w:pPr>
            <w:r>
              <w:rPr>
                <w:b/>
                <w:sz w:val="18"/>
              </w:rPr>
              <w:t>Actividad PPPS 1.51.11: </w:t>
            </w:r>
            <w:r>
              <w:rPr>
                <w:sz w:val="18"/>
              </w:rPr>
              <w:t>Articulación de los programas y servicios del IMAS con soluciones adicionales que estén asociadas con trabajo de cuidados (como el acceso a servicios de cuidados o las</w:t>
            </w:r>
            <w:r>
              <w:rPr>
                <w:spacing w:val="-8"/>
                <w:sz w:val="18"/>
              </w:rPr>
              <w:t> </w:t>
            </w:r>
            <w:r>
              <w:rPr>
                <w:sz w:val="18"/>
              </w:rPr>
              <w:t>transferencias</w:t>
            </w:r>
            <w:r>
              <w:rPr>
                <w:spacing w:val="-12"/>
                <w:sz w:val="18"/>
              </w:rPr>
              <w:t> </w:t>
            </w:r>
            <w:r>
              <w:rPr>
                <w:sz w:val="18"/>
              </w:rPr>
              <w:t>relacionadas</w:t>
            </w:r>
            <w:r>
              <w:rPr>
                <w:spacing w:val="-12"/>
                <w:sz w:val="18"/>
              </w:rPr>
              <w:t> </w:t>
            </w:r>
            <w:r>
              <w:rPr>
                <w:sz w:val="18"/>
              </w:rPr>
              <w:t>con este rubro) </w:t>
            </w:r>
            <w:r>
              <w:rPr>
                <w:b/>
                <w:i/>
                <w:sz w:val="18"/>
              </w:rPr>
              <w:t>(vinculada a PIGI</w:t>
            </w:r>
            <w:r>
              <w:rPr>
                <w:b/>
                <w:i/>
                <w:sz w:val="18"/>
              </w:rPr>
              <w:t> </w:t>
            </w:r>
            <w:r>
              <w:rPr>
                <w:b/>
                <w:i/>
                <w:spacing w:val="-2"/>
                <w:sz w:val="18"/>
              </w:rPr>
              <w:t>2.1.2.1).</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8"/>
              <w:jc w:val="center"/>
              <w:rPr>
                <w:sz w:val="18"/>
              </w:rPr>
            </w:pPr>
            <w:r>
              <w:rPr>
                <w:spacing w:val="-10"/>
                <w:sz w:val="18"/>
              </w:rPr>
              <w:t>1</w:t>
            </w:r>
          </w:p>
        </w:tc>
        <w:tc>
          <w:tcPr>
            <w:tcW w:w="1982" w:type="dxa"/>
          </w:tcPr>
          <w:p>
            <w:pPr>
              <w:pStyle w:val="TableParagraph"/>
              <w:tabs>
                <w:tab w:pos="1628" w:val="left" w:leader="none"/>
              </w:tabs>
              <w:ind w:left="68" w:right="52"/>
              <w:rPr>
                <w:sz w:val="18"/>
              </w:rPr>
            </w:pPr>
            <w:r>
              <w:rPr>
                <w:sz w:val="18"/>
              </w:rPr>
              <w:t>Cantidad</w:t>
            </w:r>
            <w:r>
              <w:rPr>
                <w:spacing w:val="40"/>
                <w:sz w:val="18"/>
              </w:rPr>
              <w:t> </w:t>
            </w:r>
            <w:r>
              <w:rPr>
                <w:sz w:val="18"/>
              </w:rPr>
              <w:t>de</w:t>
            </w:r>
            <w:r>
              <w:rPr>
                <w:spacing w:val="40"/>
                <w:sz w:val="18"/>
              </w:rPr>
              <w:t> </w:t>
            </w:r>
            <w:r>
              <w:rPr>
                <w:sz w:val="18"/>
              </w:rPr>
              <w:t>estudios de</w:t>
            </w:r>
            <w:r>
              <w:rPr>
                <w:spacing w:val="40"/>
                <w:sz w:val="18"/>
              </w:rPr>
              <w:t> </w:t>
            </w:r>
            <w:r>
              <w:rPr>
                <w:sz w:val="18"/>
              </w:rPr>
              <w:t>percepción</w:t>
            </w:r>
            <w:r>
              <w:rPr>
                <w:spacing w:val="40"/>
                <w:sz w:val="18"/>
              </w:rPr>
              <w:t> </w:t>
            </w:r>
            <w:r>
              <w:rPr>
                <w:sz w:val="18"/>
              </w:rPr>
              <w:t>de</w:t>
            </w:r>
            <w:r>
              <w:rPr>
                <w:spacing w:val="40"/>
                <w:sz w:val="18"/>
              </w:rPr>
              <w:t> </w:t>
            </w:r>
            <w:r>
              <w:rPr>
                <w:sz w:val="18"/>
              </w:rPr>
              <w:t>las personas</w:t>
            </w:r>
            <w:r>
              <w:rPr>
                <w:spacing w:val="40"/>
                <w:sz w:val="18"/>
              </w:rPr>
              <w:t> </w:t>
            </w:r>
            <w:r>
              <w:rPr>
                <w:sz w:val="18"/>
              </w:rPr>
              <w:t>usuarias</w:t>
            </w:r>
            <w:r>
              <w:rPr>
                <w:spacing w:val="40"/>
                <w:sz w:val="18"/>
              </w:rPr>
              <w:t> </w:t>
            </w:r>
            <w:r>
              <w:rPr>
                <w:sz w:val="18"/>
              </w:rPr>
              <w:t>de las tareas de cuidados como</w:t>
            </w:r>
            <w:r>
              <w:rPr>
                <w:spacing w:val="40"/>
                <w:sz w:val="18"/>
              </w:rPr>
              <w:t> </w:t>
            </w:r>
            <w:r>
              <w:rPr>
                <w:sz w:val="18"/>
              </w:rPr>
              <w:t>barrera</w:t>
            </w:r>
            <w:r>
              <w:rPr>
                <w:spacing w:val="40"/>
                <w:sz w:val="18"/>
              </w:rPr>
              <w:t> </w:t>
            </w:r>
            <w:r>
              <w:rPr>
                <w:sz w:val="18"/>
              </w:rPr>
              <w:t>para</w:t>
            </w:r>
            <w:r>
              <w:rPr>
                <w:spacing w:val="40"/>
                <w:sz w:val="18"/>
              </w:rPr>
              <w:t> </w:t>
            </w:r>
            <w:r>
              <w:rPr>
                <w:sz w:val="18"/>
              </w:rPr>
              <w:t>la mejora de</w:t>
            </w:r>
            <w:r>
              <w:rPr>
                <w:spacing w:val="21"/>
                <w:sz w:val="18"/>
              </w:rPr>
              <w:t> </w:t>
            </w:r>
            <w:r>
              <w:rPr>
                <w:sz w:val="18"/>
              </w:rPr>
              <w:t>la</w:t>
            </w:r>
            <w:r>
              <w:rPr>
                <w:spacing w:val="21"/>
                <w:sz w:val="18"/>
              </w:rPr>
              <w:t> </w:t>
            </w:r>
            <w:r>
              <w:rPr>
                <w:sz w:val="18"/>
              </w:rPr>
              <w:t>situación </w:t>
            </w:r>
            <w:r>
              <w:rPr>
                <w:spacing w:val="-2"/>
                <w:sz w:val="18"/>
              </w:rPr>
              <w:t>socioeconómica elaborado</w:t>
            </w:r>
            <w:r>
              <w:rPr>
                <w:sz w:val="18"/>
              </w:rPr>
              <w:tab/>
            </w:r>
            <w:r>
              <w:rPr>
                <w:spacing w:val="-5"/>
                <w:sz w:val="18"/>
              </w:rPr>
              <w:t>con</w:t>
            </w:r>
          </w:p>
          <w:p>
            <w:pPr>
              <w:pStyle w:val="TableParagraph"/>
              <w:tabs>
                <w:tab w:pos="1714" w:val="left" w:leader="none"/>
              </w:tabs>
              <w:spacing w:line="206" w:lineRule="exact"/>
              <w:ind w:left="68" w:right="53"/>
              <w:rPr>
                <w:sz w:val="18"/>
              </w:rPr>
            </w:pPr>
            <w:r>
              <w:rPr>
                <w:spacing w:val="-2"/>
                <w:sz w:val="18"/>
              </w:rPr>
              <w:t>recomendaciones</w:t>
            </w:r>
            <w:r>
              <w:rPr>
                <w:sz w:val="18"/>
              </w:rPr>
              <w:tab/>
            </w:r>
            <w:r>
              <w:rPr>
                <w:spacing w:val="-6"/>
                <w:sz w:val="18"/>
              </w:rPr>
              <w:t>en </w:t>
            </w:r>
            <w:r>
              <w:rPr>
                <w:spacing w:val="-2"/>
                <w:sz w:val="18"/>
              </w:rPr>
              <w:t>implementación.</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3" w:right="58"/>
              <w:rPr>
                <w:sz w:val="18"/>
              </w:rPr>
            </w:pPr>
            <w:r>
              <w:rPr>
                <w:spacing w:val="-2"/>
                <w:sz w:val="18"/>
              </w:rPr>
              <w:t>Documento </w:t>
            </w:r>
            <w:r>
              <w:rPr>
                <w:sz w:val="18"/>
              </w:rPr>
              <w:t>informe del estudio de </w:t>
            </w:r>
            <w:r>
              <w:rPr>
                <w:spacing w:val="-2"/>
                <w:sz w:val="18"/>
              </w:rPr>
              <w:t>percepción.</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7" w:right="10"/>
              <w:jc w:val="center"/>
              <w:rPr>
                <w:sz w:val="18"/>
              </w:rPr>
            </w:pPr>
            <w:r>
              <w:rPr>
                <w:spacing w:val="-5"/>
                <w:sz w:val="18"/>
              </w:rPr>
              <w:t>DBF</w:t>
            </w:r>
          </w:p>
        </w:tc>
        <w:tc>
          <w:tcPr>
            <w:tcW w:w="1649" w:type="dxa"/>
          </w:tcPr>
          <w:p>
            <w:pPr>
              <w:pStyle w:val="TableParagraph"/>
              <w:rPr>
                <w:rFonts w:ascii="Times New Roman"/>
                <w:sz w:val="18"/>
              </w:rPr>
            </w:pPr>
          </w:p>
        </w:tc>
        <w:tc>
          <w:tcPr>
            <w:tcW w:w="1548" w:type="dxa"/>
          </w:tcPr>
          <w:p>
            <w:pPr>
              <w:pStyle w:val="TableParagraph"/>
              <w:numPr>
                <w:ilvl w:val="0"/>
                <w:numId w:val="85"/>
              </w:numPr>
              <w:tabs>
                <w:tab w:pos="133" w:val="left" w:leader="none"/>
              </w:tabs>
              <w:spacing w:line="240" w:lineRule="auto" w:before="0" w:after="0"/>
              <w:ind w:left="72" w:right="166" w:firstLine="0"/>
              <w:jc w:val="left"/>
              <w:rPr>
                <w:sz w:val="18"/>
              </w:rPr>
            </w:pPr>
            <w:r>
              <w:rPr>
                <w:sz w:val="18"/>
              </w:rPr>
              <w:t>Errores en la identificación</w:t>
            </w:r>
            <w:r>
              <w:rPr>
                <w:spacing w:val="-13"/>
                <w:sz w:val="18"/>
              </w:rPr>
              <w:t> </w:t>
            </w:r>
            <w:r>
              <w:rPr>
                <w:sz w:val="18"/>
              </w:rPr>
              <w:t>de la población y definición del grado de </w:t>
            </w:r>
            <w:r>
              <w:rPr>
                <w:spacing w:val="-2"/>
                <w:sz w:val="18"/>
              </w:rPr>
              <w:t>dependencia.</w:t>
            </w:r>
          </w:p>
          <w:p>
            <w:pPr>
              <w:pStyle w:val="TableParagraph"/>
              <w:numPr>
                <w:ilvl w:val="0"/>
                <w:numId w:val="85"/>
              </w:numPr>
              <w:tabs>
                <w:tab w:pos="133" w:val="left" w:leader="none"/>
              </w:tabs>
              <w:spacing w:line="240" w:lineRule="auto" w:before="1" w:after="0"/>
              <w:ind w:left="72" w:right="238" w:firstLine="0"/>
              <w:jc w:val="left"/>
              <w:rPr>
                <w:sz w:val="18"/>
              </w:rPr>
            </w:pPr>
            <w:r>
              <w:rPr>
                <w:sz w:val="18"/>
              </w:rPr>
              <w:t>Atraso en la instauración</w:t>
            </w:r>
            <w:r>
              <w:rPr>
                <w:spacing w:val="-13"/>
                <w:sz w:val="18"/>
              </w:rPr>
              <w:t> </w:t>
            </w:r>
            <w:r>
              <w:rPr>
                <w:sz w:val="18"/>
              </w:rPr>
              <w:t>en SINIRUBE del</w:t>
            </w:r>
          </w:p>
          <w:p>
            <w:pPr>
              <w:pStyle w:val="TableParagraph"/>
              <w:spacing w:line="190" w:lineRule="exact"/>
              <w:ind w:left="72"/>
              <w:rPr>
                <w:sz w:val="18"/>
              </w:rPr>
            </w:pPr>
            <w:r>
              <w:rPr>
                <w:spacing w:val="-2"/>
                <w:sz w:val="18"/>
              </w:rPr>
              <w:t>instrumento</w:t>
            </w:r>
          </w:p>
        </w:tc>
      </w:tr>
    </w:tbl>
    <w:p>
      <w:pPr>
        <w:pStyle w:val="TableParagraph"/>
        <w:spacing w:after="0" w:line="190" w:lineRule="exact"/>
        <w:rPr>
          <w:sz w:val="18"/>
        </w:rPr>
        <w:sectPr>
          <w:footerReference w:type="default" r:id="rId65"/>
          <w:pgSz w:w="15840" w:h="12240" w:orient="landscape"/>
          <w:pgMar w:header="0" w:footer="1806" w:top="700" w:bottom="2449" w:left="360" w:right="360"/>
          <w:pgNumType w:start="134"/>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5"/>
        <w:gridCol w:w="1558"/>
        <w:gridCol w:w="1561"/>
        <w:gridCol w:w="1983"/>
        <w:gridCol w:w="1561"/>
        <w:gridCol w:w="1417"/>
        <w:gridCol w:w="1648"/>
        <w:gridCol w:w="1550"/>
      </w:tblGrid>
      <w:tr>
        <w:trPr>
          <w:trHeight w:val="618" w:hRule="atLeast"/>
        </w:trPr>
        <w:tc>
          <w:tcPr>
            <w:tcW w:w="2975" w:type="dxa"/>
            <w:tcBorders>
              <w:bottom w:val="nil"/>
            </w:tcBorders>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58" w:type="dxa"/>
            <w:shd w:val="clear" w:color="auto" w:fill="D9D9D9"/>
          </w:tcPr>
          <w:p>
            <w:pPr>
              <w:pStyle w:val="TableParagraph"/>
              <w:spacing w:before="104"/>
              <w:ind w:left="520" w:hanging="217"/>
              <w:rPr>
                <w:b/>
                <w:sz w:val="18"/>
              </w:rPr>
            </w:pPr>
            <w:r>
              <w:rPr>
                <w:b/>
                <w:sz w:val="18"/>
              </w:rPr>
              <w:t>Línea</w:t>
            </w:r>
            <w:r>
              <w:rPr>
                <w:b/>
                <w:spacing w:val="-13"/>
                <w:sz w:val="18"/>
              </w:rPr>
              <w:t> </w:t>
            </w:r>
            <w:r>
              <w:rPr>
                <w:b/>
                <w:sz w:val="18"/>
              </w:rPr>
              <w:t>Base </w:t>
            </w:r>
            <w:r>
              <w:rPr>
                <w:b/>
                <w:spacing w:val="-2"/>
                <w:sz w:val="18"/>
              </w:rPr>
              <w:t>(2024)</w:t>
            </w:r>
          </w:p>
        </w:tc>
        <w:tc>
          <w:tcPr>
            <w:tcW w:w="1561" w:type="dxa"/>
            <w:shd w:val="clear" w:color="auto" w:fill="D9D9D9"/>
          </w:tcPr>
          <w:p>
            <w:pPr>
              <w:pStyle w:val="TableParagraph"/>
              <w:spacing w:line="206" w:lineRule="exact"/>
              <w:ind w:left="253" w:right="248" w:firstLine="1"/>
              <w:jc w:val="center"/>
              <w:rPr>
                <w:b/>
                <w:sz w:val="18"/>
              </w:rPr>
            </w:pPr>
            <w:r>
              <w:rPr>
                <w:b/>
                <w:spacing w:val="-4"/>
                <w:sz w:val="18"/>
              </w:rPr>
              <w:t>Meta </w:t>
            </w:r>
            <w:r>
              <w:rPr>
                <w:b/>
                <w:spacing w:val="-2"/>
                <w:sz w:val="18"/>
              </w:rPr>
              <w:t>programada </w:t>
            </w:r>
            <w:r>
              <w:rPr>
                <w:b/>
                <w:spacing w:val="-4"/>
                <w:sz w:val="18"/>
              </w:rPr>
              <w:t>2025</w:t>
            </w:r>
          </w:p>
        </w:tc>
        <w:tc>
          <w:tcPr>
            <w:tcW w:w="1983" w:type="dxa"/>
            <w:shd w:val="clear" w:color="auto" w:fill="D9D9D9"/>
          </w:tcPr>
          <w:p>
            <w:pPr>
              <w:pStyle w:val="TableParagraph"/>
              <w:spacing w:before="205"/>
              <w:ind w:left="579"/>
              <w:rPr>
                <w:b/>
                <w:sz w:val="18"/>
              </w:rPr>
            </w:pPr>
            <w:r>
              <w:rPr>
                <w:b/>
                <w:spacing w:val="-2"/>
                <w:sz w:val="18"/>
              </w:rPr>
              <w:t>Indicador</w:t>
            </w:r>
          </w:p>
        </w:tc>
        <w:tc>
          <w:tcPr>
            <w:tcW w:w="1561" w:type="dxa"/>
            <w:shd w:val="clear" w:color="auto" w:fill="D9D9D9"/>
          </w:tcPr>
          <w:p>
            <w:pPr>
              <w:pStyle w:val="TableParagraph"/>
              <w:spacing w:before="104"/>
              <w:ind w:left="281" w:firstLine="57"/>
              <w:rPr>
                <w:b/>
                <w:sz w:val="18"/>
              </w:rPr>
            </w:pPr>
            <w:r>
              <w:rPr>
                <w:b/>
                <w:sz w:val="18"/>
              </w:rPr>
              <w:t>Medios de </w:t>
            </w:r>
            <w:r>
              <w:rPr>
                <w:b/>
                <w:spacing w:val="-2"/>
                <w:sz w:val="18"/>
              </w:rPr>
              <w:t>verificación</w:t>
            </w:r>
          </w:p>
        </w:tc>
        <w:tc>
          <w:tcPr>
            <w:tcW w:w="1417" w:type="dxa"/>
            <w:shd w:val="clear" w:color="auto" w:fill="D9D9D9"/>
          </w:tcPr>
          <w:p>
            <w:pPr>
              <w:pStyle w:val="TableParagraph"/>
              <w:spacing w:before="205"/>
              <w:ind w:left="9" w:right="8"/>
              <w:jc w:val="center"/>
              <w:rPr>
                <w:b/>
                <w:sz w:val="18"/>
              </w:rPr>
            </w:pPr>
            <w:r>
              <w:rPr>
                <w:b/>
                <w:spacing w:val="-2"/>
                <w:sz w:val="18"/>
              </w:rPr>
              <w:t>Responsable</w:t>
            </w:r>
          </w:p>
        </w:tc>
        <w:tc>
          <w:tcPr>
            <w:tcW w:w="1648" w:type="dxa"/>
            <w:shd w:val="clear" w:color="auto" w:fill="D9D9D9"/>
          </w:tcPr>
          <w:p>
            <w:pPr>
              <w:pStyle w:val="TableParagraph"/>
              <w:spacing w:before="104"/>
              <w:ind w:left="425" w:hanging="120"/>
              <w:rPr>
                <w:b/>
                <w:sz w:val="18"/>
              </w:rPr>
            </w:pPr>
            <w:r>
              <w:rPr>
                <w:b/>
                <w:spacing w:val="-2"/>
                <w:sz w:val="18"/>
              </w:rPr>
              <w:t>Presupuesto asignado</w:t>
            </w:r>
          </w:p>
        </w:tc>
        <w:tc>
          <w:tcPr>
            <w:tcW w:w="1550" w:type="dxa"/>
            <w:tcBorders>
              <w:bottom w:val="nil"/>
            </w:tcBorders>
            <w:shd w:val="clear" w:color="auto" w:fill="D9D9D9"/>
          </w:tcPr>
          <w:p>
            <w:pPr>
              <w:pStyle w:val="TableParagraph"/>
              <w:spacing w:line="206" w:lineRule="exact"/>
              <w:ind w:left="20" w:right="14"/>
              <w:jc w:val="center"/>
              <w:rPr>
                <w:b/>
                <w:sz w:val="18"/>
              </w:rPr>
            </w:pPr>
            <w:r>
              <w:rPr>
                <w:b/>
                <w:spacing w:val="-2"/>
                <w:sz w:val="18"/>
              </w:rPr>
              <w:t>Riesgos </w:t>
            </w:r>
            <w:r>
              <w:rPr>
                <w:b/>
                <w:sz w:val="18"/>
              </w:rPr>
              <w:t>asociados al </w:t>
            </w:r>
            <w:r>
              <w:rPr>
                <w:b/>
                <w:spacing w:val="-2"/>
                <w:sz w:val="18"/>
              </w:rPr>
              <w:t>cumplimiento</w:t>
            </w:r>
          </w:p>
        </w:tc>
      </w:tr>
      <w:tr>
        <w:trPr>
          <w:trHeight w:val="830" w:hRule="atLeast"/>
        </w:trPr>
        <w:tc>
          <w:tcPr>
            <w:tcW w:w="2975" w:type="dxa"/>
            <w:vMerge w:val="restart"/>
            <w:tcBorders>
              <w:top w:val="nil"/>
            </w:tcBorders>
          </w:tcPr>
          <w:p>
            <w:pPr>
              <w:pStyle w:val="TableParagraph"/>
              <w:rPr>
                <w:rFonts w:ascii="Times New Roman"/>
                <w:sz w:val="18"/>
              </w:rPr>
            </w:pPr>
          </w:p>
        </w:tc>
        <w:tc>
          <w:tcPr>
            <w:tcW w:w="1558" w:type="dxa"/>
          </w:tcPr>
          <w:p>
            <w:pPr>
              <w:pStyle w:val="TableParagraph"/>
              <w:spacing w:before="104"/>
              <w:rPr>
                <w:b/>
                <w:sz w:val="18"/>
              </w:rPr>
            </w:pPr>
          </w:p>
          <w:p>
            <w:pPr>
              <w:pStyle w:val="TableParagraph"/>
              <w:ind w:left="14" w:right="7"/>
              <w:jc w:val="center"/>
              <w:rPr>
                <w:sz w:val="18"/>
              </w:rPr>
            </w:pPr>
            <w:r>
              <w:rPr>
                <w:spacing w:val="-10"/>
                <w:sz w:val="18"/>
              </w:rPr>
              <w:t>0</w:t>
            </w:r>
          </w:p>
        </w:tc>
        <w:tc>
          <w:tcPr>
            <w:tcW w:w="1561" w:type="dxa"/>
          </w:tcPr>
          <w:p>
            <w:pPr>
              <w:pStyle w:val="TableParagraph"/>
              <w:spacing w:before="104"/>
              <w:rPr>
                <w:b/>
                <w:sz w:val="18"/>
              </w:rPr>
            </w:pPr>
          </w:p>
          <w:p>
            <w:pPr>
              <w:pStyle w:val="TableParagraph"/>
              <w:ind w:left="96" w:right="96"/>
              <w:jc w:val="center"/>
              <w:rPr>
                <w:sz w:val="18"/>
              </w:rPr>
            </w:pPr>
            <w:r>
              <w:rPr>
                <w:spacing w:val="-10"/>
                <w:sz w:val="18"/>
              </w:rPr>
              <w:t>2</w:t>
            </w:r>
          </w:p>
        </w:tc>
        <w:tc>
          <w:tcPr>
            <w:tcW w:w="1983" w:type="dxa"/>
          </w:tcPr>
          <w:p>
            <w:pPr>
              <w:pStyle w:val="TableParagraph"/>
              <w:spacing w:before="3"/>
              <w:rPr>
                <w:b/>
                <w:sz w:val="18"/>
              </w:rPr>
            </w:pPr>
          </w:p>
          <w:p>
            <w:pPr>
              <w:pStyle w:val="TableParagraph"/>
              <w:ind w:left="66"/>
              <w:rPr>
                <w:sz w:val="18"/>
              </w:rPr>
            </w:pPr>
            <w:r>
              <w:rPr>
                <w:sz w:val="18"/>
              </w:rPr>
              <w:t>Número</w:t>
            </w:r>
            <w:r>
              <w:rPr>
                <w:spacing w:val="-15"/>
                <w:sz w:val="18"/>
              </w:rPr>
              <w:t> </w:t>
            </w:r>
            <w:r>
              <w:rPr>
                <w:sz w:val="18"/>
              </w:rPr>
              <w:t>de</w:t>
            </w:r>
            <w:r>
              <w:rPr>
                <w:spacing w:val="-12"/>
                <w:sz w:val="18"/>
              </w:rPr>
              <w:t> </w:t>
            </w:r>
            <w:r>
              <w:rPr>
                <w:sz w:val="18"/>
              </w:rPr>
              <w:t>procesos </w:t>
            </w:r>
            <w:r>
              <w:rPr>
                <w:spacing w:val="-2"/>
                <w:sz w:val="18"/>
              </w:rPr>
              <w:t>revisados.</w:t>
            </w:r>
          </w:p>
        </w:tc>
        <w:tc>
          <w:tcPr>
            <w:tcW w:w="1561" w:type="dxa"/>
          </w:tcPr>
          <w:p>
            <w:pPr>
              <w:pStyle w:val="TableParagraph"/>
              <w:spacing w:before="3"/>
              <w:ind w:left="70"/>
              <w:rPr>
                <w:sz w:val="18"/>
              </w:rPr>
            </w:pPr>
            <w:r>
              <w:rPr>
                <w:spacing w:val="-2"/>
                <w:sz w:val="18"/>
              </w:rPr>
              <w:t>Documento </w:t>
            </w:r>
            <w:r>
              <w:rPr>
                <w:sz w:val="18"/>
              </w:rPr>
              <w:t>informe de </w:t>
            </w:r>
            <w:r>
              <w:rPr>
                <w:spacing w:val="-2"/>
                <w:sz w:val="18"/>
              </w:rPr>
              <w:t>procesos</w:t>
            </w:r>
          </w:p>
          <w:p>
            <w:pPr>
              <w:pStyle w:val="TableParagraph"/>
              <w:spacing w:line="186" w:lineRule="exact"/>
              <w:ind w:left="70"/>
              <w:rPr>
                <w:sz w:val="18"/>
              </w:rPr>
            </w:pPr>
            <w:r>
              <w:rPr>
                <w:spacing w:val="-2"/>
                <w:sz w:val="18"/>
              </w:rPr>
              <w:t>revisados.</w:t>
            </w:r>
          </w:p>
        </w:tc>
        <w:tc>
          <w:tcPr>
            <w:tcW w:w="1417" w:type="dxa"/>
          </w:tcPr>
          <w:p>
            <w:pPr>
              <w:pStyle w:val="TableParagraph"/>
              <w:spacing w:before="104"/>
              <w:rPr>
                <w:b/>
                <w:sz w:val="18"/>
              </w:rPr>
            </w:pPr>
          </w:p>
          <w:p>
            <w:pPr>
              <w:pStyle w:val="TableParagraph"/>
              <w:ind w:left="9" w:right="10"/>
              <w:jc w:val="center"/>
              <w:rPr>
                <w:sz w:val="18"/>
              </w:rPr>
            </w:pPr>
            <w:r>
              <w:rPr>
                <w:spacing w:val="-5"/>
                <w:sz w:val="18"/>
              </w:rPr>
              <w:t>DBF</w:t>
            </w:r>
          </w:p>
        </w:tc>
        <w:tc>
          <w:tcPr>
            <w:tcW w:w="1648" w:type="dxa"/>
          </w:tcPr>
          <w:p>
            <w:pPr>
              <w:pStyle w:val="TableParagraph"/>
              <w:rPr>
                <w:rFonts w:ascii="Times New Roman"/>
                <w:sz w:val="18"/>
              </w:rPr>
            </w:pPr>
          </w:p>
        </w:tc>
        <w:tc>
          <w:tcPr>
            <w:tcW w:w="1550" w:type="dxa"/>
            <w:vMerge w:val="restart"/>
            <w:tcBorders>
              <w:top w:val="nil"/>
            </w:tcBorders>
          </w:tcPr>
          <w:p>
            <w:pPr>
              <w:pStyle w:val="TableParagraph"/>
              <w:spacing w:before="3"/>
              <w:ind w:left="68"/>
              <w:rPr>
                <w:sz w:val="18"/>
              </w:rPr>
            </w:pPr>
            <w:r>
              <w:rPr>
                <w:sz w:val="18"/>
              </w:rPr>
              <w:t>aprobado en decretos</w:t>
            </w:r>
            <w:r>
              <w:rPr>
                <w:spacing w:val="-15"/>
                <w:sz w:val="18"/>
              </w:rPr>
              <w:t> </w:t>
            </w:r>
            <w:r>
              <w:rPr>
                <w:sz w:val="18"/>
              </w:rPr>
              <w:t>44242</w:t>
            </w:r>
            <w:r>
              <w:rPr>
                <w:spacing w:val="-12"/>
                <w:sz w:val="18"/>
              </w:rPr>
              <w:t> </w:t>
            </w:r>
            <w:r>
              <w:rPr>
                <w:sz w:val="18"/>
              </w:rPr>
              <w:t>y</w:t>
            </w:r>
          </w:p>
          <w:p>
            <w:pPr>
              <w:pStyle w:val="TableParagraph"/>
              <w:spacing w:line="206" w:lineRule="exact"/>
              <w:ind w:left="68"/>
              <w:rPr>
                <w:sz w:val="18"/>
              </w:rPr>
            </w:pPr>
            <w:r>
              <w:rPr>
                <w:spacing w:val="-2"/>
                <w:sz w:val="18"/>
              </w:rPr>
              <w:t>44243.</w:t>
            </w:r>
          </w:p>
          <w:p>
            <w:pPr>
              <w:pStyle w:val="TableParagraph"/>
              <w:numPr>
                <w:ilvl w:val="0"/>
                <w:numId w:val="86"/>
              </w:numPr>
              <w:tabs>
                <w:tab w:pos="129" w:val="left" w:leader="none"/>
              </w:tabs>
              <w:spacing w:line="240" w:lineRule="auto" w:before="0" w:after="0"/>
              <w:ind w:left="68" w:right="81" w:firstLine="0"/>
              <w:jc w:val="left"/>
              <w:rPr>
                <w:sz w:val="18"/>
              </w:rPr>
            </w:pPr>
            <w:r>
              <w:rPr>
                <w:sz w:val="18"/>
              </w:rPr>
              <w:t>No</w:t>
            </w:r>
            <w:r>
              <w:rPr>
                <w:spacing w:val="-13"/>
                <w:sz w:val="18"/>
              </w:rPr>
              <w:t> </w:t>
            </w:r>
            <w:r>
              <w:rPr>
                <w:sz w:val="18"/>
              </w:rPr>
              <w:t>identificación de la población en situación de dependencia y sus cuidadores para el </w:t>
            </w:r>
            <w:r>
              <w:rPr>
                <w:spacing w:val="-2"/>
                <w:sz w:val="18"/>
              </w:rPr>
              <w:t>otorgamiento subsidios, </w:t>
            </w:r>
            <w:r>
              <w:rPr>
                <w:sz w:val="18"/>
              </w:rPr>
              <w:t>beneficios y </w:t>
            </w:r>
            <w:r>
              <w:rPr>
                <w:spacing w:val="-2"/>
                <w:sz w:val="18"/>
              </w:rPr>
              <w:t>transferencias</w:t>
            </w:r>
          </w:p>
          <w:p>
            <w:pPr>
              <w:pStyle w:val="TableParagraph"/>
              <w:spacing w:line="187" w:lineRule="exact"/>
              <w:ind w:left="68"/>
              <w:rPr>
                <w:sz w:val="18"/>
              </w:rPr>
            </w:pPr>
            <w:r>
              <w:rPr>
                <w:spacing w:val="-2"/>
                <w:sz w:val="18"/>
              </w:rPr>
              <w:t>monetarias.</w:t>
            </w:r>
          </w:p>
        </w:tc>
      </w:tr>
      <w:tr>
        <w:trPr>
          <w:trHeight w:val="2059" w:hRule="atLeast"/>
        </w:trPr>
        <w:tc>
          <w:tcPr>
            <w:tcW w:w="2975" w:type="dxa"/>
            <w:vMerge/>
            <w:tcBorders>
              <w:top w:val="nil"/>
            </w:tcBorders>
          </w:tcPr>
          <w:p>
            <w:pPr>
              <w:rPr>
                <w:sz w:val="2"/>
                <w:szCs w:val="2"/>
              </w:rPr>
            </w:pP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spacing w:before="97"/>
              <w:rPr>
                <w:b/>
                <w:sz w:val="18"/>
              </w:rPr>
            </w:pPr>
          </w:p>
          <w:p>
            <w:pPr>
              <w:pStyle w:val="TableParagraph"/>
              <w:spacing w:before="1"/>
              <w:ind w:left="14" w:right="7"/>
              <w:jc w:val="center"/>
              <w:rPr>
                <w:sz w:val="18"/>
              </w:rPr>
            </w:pPr>
            <w:r>
              <w:rPr>
                <w:spacing w:val="-10"/>
                <w:sz w:val="18"/>
              </w:rPr>
              <w:t>0</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97"/>
              <w:rPr>
                <w:b/>
                <w:sz w:val="18"/>
              </w:rPr>
            </w:pPr>
          </w:p>
          <w:p>
            <w:pPr>
              <w:pStyle w:val="TableParagraph"/>
              <w:spacing w:before="1"/>
              <w:ind w:left="96" w:right="94"/>
              <w:jc w:val="center"/>
              <w:rPr>
                <w:sz w:val="18"/>
              </w:rPr>
            </w:pPr>
            <w:r>
              <w:rPr>
                <w:spacing w:val="-5"/>
                <w:sz w:val="18"/>
              </w:rPr>
              <w:t>80%</w:t>
            </w:r>
          </w:p>
        </w:tc>
        <w:tc>
          <w:tcPr>
            <w:tcW w:w="1983" w:type="dxa"/>
          </w:tcPr>
          <w:p>
            <w:pPr>
              <w:pStyle w:val="TableParagraph"/>
              <w:spacing w:before="99"/>
              <w:rPr>
                <w:b/>
                <w:sz w:val="18"/>
              </w:rPr>
            </w:pPr>
          </w:p>
          <w:p>
            <w:pPr>
              <w:pStyle w:val="TableParagraph"/>
              <w:ind w:left="66" w:right="86"/>
              <w:rPr>
                <w:sz w:val="18"/>
              </w:rPr>
            </w:pPr>
            <w:r>
              <w:rPr>
                <w:sz w:val="18"/>
              </w:rPr>
              <w:t>Porcentaje de la población</w:t>
            </w:r>
            <w:r>
              <w:rPr>
                <w:spacing w:val="-15"/>
                <w:sz w:val="18"/>
              </w:rPr>
              <w:t> </w:t>
            </w:r>
            <w:r>
              <w:rPr>
                <w:sz w:val="18"/>
              </w:rPr>
              <w:t>objetivo</w:t>
            </w:r>
            <w:r>
              <w:rPr>
                <w:spacing w:val="-12"/>
                <w:sz w:val="18"/>
              </w:rPr>
              <w:t> </w:t>
            </w:r>
            <w:r>
              <w:rPr>
                <w:sz w:val="18"/>
              </w:rPr>
              <w:t>que reporta una opinión favorable hacia el acceso a la información y la </w:t>
            </w:r>
            <w:r>
              <w:rPr>
                <w:spacing w:val="-2"/>
                <w:sz w:val="18"/>
              </w:rPr>
              <w:t>comunicación.</w:t>
            </w:r>
          </w:p>
        </w:tc>
        <w:tc>
          <w:tcPr>
            <w:tcW w:w="1561"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70" w:right="613"/>
              <w:rPr>
                <w:sz w:val="18"/>
              </w:rPr>
            </w:pPr>
            <w:r>
              <w:rPr>
                <w:sz w:val="18"/>
              </w:rPr>
              <w:t>Informe</w:t>
            </w:r>
            <w:r>
              <w:rPr>
                <w:spacing w:val="-13"/>
                <w:sz w:val="18"/>
              </w:rPr>
              <w:t> </w:t>
            </w:r>
            <w:r>
              <w:rPr>
                <w:sz w:val="18"/>
              </w:rPr>
              <w:t>de </w:t>
            </w:r>
            <w:r>
              <w:rPr>
                <w:spacing w:val="-2"/>
                <w:sz w:val="18"/>
              </w:rPr>
              <w:t>resultados</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spacing w:before="97"/>
              <w:rPr>
                <w:b/>
                <w:sz w:val="18"/>
              </w:rPr>
            </w:pPr>
          </w:p>
          <w:p>
            <w:pPr>
              <w:pStyle w:val="TableParagraph"/>
              <w:spacing w:before="1"/>
              <w:ind w:left="9" w:right="10"/>
              <w:jc w:val="center"/>
              <w:rPr>
                <w:sz w:val="18"/>
              </w:rPr>
            </w:pPr>
            <w:r>
              <w:rPr>
                <w:spacing w:val="-5"/>
                <w:sz w:val="18"/>
              </w:rPr>
              <w:t>DBF</w:t>
            </w:r>
          </w:p>
        </w:tc>
        <w:tc>
          <w:tcPr>
            <w:tcW w:w="1648" w:type="dxa"/>
          </w:tcPr>
          <w:p>
            <w:pPr>
              <w:pStyle w:val="TableParagraph"/>
              <w:rPr>
                <w:rFonts w:ascii="Times New Roman"/>
                <w:sz w:val="18"/>
              </w:rPr>
            </w:pPr>
          </w:p>
        </w:tc>
        <w:tc>
          <w:tcPr>
            <w:tcW w:w="1550" w:type="dxa"/>
            <w:vMerge/>
            <w:tcBorders>
              <w:top w:val="nil"/>
            </w:tcBorders>
          </w:tcPr>
          <w:p>
            <w:pPr>
              <w:rPr>
                <w:sz w:val="2"/>
                <w:szCs w:val="2"/>
              </w:rPr>
            </w:pPr>
          </w:p>
        </w:tc>
      </w:tr>
      <w:tr>
        <w:trPr>
          <w:trHeight w:val="2280" w:hRule="atLeast"/>
        </w:trPr>
        <w:tc>
          <w:tcPr>
            <w:tcW w:w="2975" w:type="dxa"/>
          </w:tcPr>
          <w:p>
            <w:pPr>
              <w:pStyle w:val="TableParagraph"/>
              <w:spacing w:before="205"/>
              <w:ind w:left="72" w:right="95"/>
              <w:rPr>
                <w:b/>
                <w:sz w:val="18"/>
              </w:rPr>
            </w:pPr>
            <w:r>
              <w:rPr>
                <w:b/>
                <w:sz w:val="18"/>
              </w:rPr>
              <w:t>Actividad PPPS 1.51.12: </w:t>
            </w:r>
            <w:r>
              <w:rPr>
                <w:sz w:val="18"/>
              </w:rPr>
              <w:t>Promoción</w:t>
            </w:r>
            <w:r>
              <w:rPr>
                <w:spacing w:val="-13"/>
                <w:sz w:val="18"/>
              </w:rPr>
              <w:t> </w:t>
            </w:r>
            <w:r>
              <w:rPr>
                <w:sz w:val="18"/>
              </w:rPr>
              <w:t>de</w:t>
            </w:r>
            <w:r>
              <w:rPr>
                <w:spacing w:val="-10"/>
                <w:sz w:val="18"/>
              </w:rPr>
              <w:t> </w:t>
            </w:r>
            <w:r>
              <w:rPr>
                <w:sz w:val="18"/>
              </w:rPr>
              <w:t>la</w:t>
            </w:r>
            <w:r>
              <w:rPr>
                <w:spacing w:val="-13"/>
                <w:sz w:val="18"/>
              </w:rPr>
              <w:t> </w:t>
            </w:r>
            <w:r>
              <w:rPr>
                <w:sz w:val="18"/>
              </w:rPr>
              <w:t>transversalización de la perspectiva de género interseccional en las redes interinstitucionales</w:t>
            </w:r>
            <w:r>
              <w:rPr>
                <w:spacing w:val="-3"/>
                <w:sz w:val="18"/>
              </w:rPr>
              <w:t> </w:t>
            </w:r>
            <w:r>
              <w:rPr>
                <w:sz w:val="18"/>
              </w:rPr>
              <w:t>a</w:t>
            </w:r>
            <w:r>
              <w:rPr>
                <w:spacing w:val="-8"/>
                <w:sz w:val="18"/>
              </w:rPr>
              <w:t> </w:t>
            </w:r>
            <w:r>
              <w:rPr>
                <w:sz w:val="18"/>
              </w:rPr>
              <w:t>las</w:t>
            </w:r>
            <w:r>
              <w:rPr>
                <w:spacing w:val="-8"/>
                <w:sz w:val="18"/>
              </w:rPr>
              <w:t> </w:t>
            </w:r>
            <w:r>
              <w:rPr>
                <w:sz w:val="18"/>
              </w:rPr>
              <w:t>que</w:t>
            </w:r>
            <w:r>
              <w:rPr>
                <w:spacing w:val="-8"/>
                <w:sz w:val="18"/>
              </w:rPr>
              <w:t> </w:t>
            </w:r>
            <w:r>
              <w:rPr>
                <w:sz w:val="18"/>
              </w:rPr>
              <w:t>asiste el IMAS, mediante la participación de las personas designadas como enlaces institucionales </w:t>
            </w:r>
            <w:r>
              <w:rPr>
                <w:b/>
                <w:sz w:val="18"/>
              </w:rPr>
              <w:t>(vinculada a PIGI 2.2.1.1).</w:t>
            </w: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4" w:right="7"/>
              <w:jc w:val="center"/>
              <w:rPr>
                <w:sz w:val="18"/>
              </w:rPr>
            </w:pPr>
            <w:r>
              <w:rPr>
                <w:spacing w:val="-10"/>
                <w:sz w:val="18"/>
              </w:rPr>
              <w:t>2</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96" w:right="96"/>
              <w:jc w:val="center"/>
              <w:rPr>
                <w:sz w:val="18"/>
              </w:rPr>
            </w:pPr>
            <w:r>
              <w:rPr>
                <w:spacing w:val="-10"/>
                <w:sz w:val="18"/>
              </w:rPr>
              <w:t>3</w:t>
            </w:r>
          </w:p>
        </w:tc>
        <w:tc>
          <w:tcPr>
            <w:tcW w:w="1983" w:type="dxa"/>
          </w:tcPr>
          <w:p>
            <w:pPr>
              <w:pStyle w:val="TableParagraph"/>
              <w:ind w:left="66" w:right="61"/>
              <w:rPr>
                <w:sz w:val="18"/>
              </w:rPr>
            </w:pPr>
            <w:r>
              <w:rPr>
                <w:sz w:val="18"/>
              </w:rPr>
              <w:t>Cantidad de redes interinstitucionales en las que participa el IMAS, y en las que se evidencia</w:t>
            </w:r>
            <w:r>
              <w:rPr>
                <w:spacing w:val="-15"/>
                <w:sz w:val="18"/>
              </w:rPr>
              <w:t> </w:t>
            </w:r>
            <w:r>
              <w:rPr>
                <w:sz w:val="18"/>
              </w:rPr>
              <w:t>la</w:t>
            </w:r>
            <w:r>
              <w:rPr>
                <w:spacing w:val="-12"/>
                <w:sz w:val="18"/>
              </w:rPr>
              <w:t> </w:t>
            </w:r>
            <w:r>
              <w:rPr>
                <w:sz w:val="18"/>
              </w:rPr>
              <w:t>promoción de la</w:t>
            </w:r>
            <w:r>
              <w:rPr>
                <w:spacing w:val="40"/>
                <w:sz w:val="18"/>
              </w:rPr>
              <w:t> </w:t>
            </w:r>
            <w:r>
              <w:rPr>
                <w:sz w:val="18"/>
              </w:rPr>
              <w:t>transversalización de</w:t>
            </w:r>
            <w:r>
              <w:rPr>
                <w:spacing w:val="40"/>
                <w:sz w:val="18"/>
              </w:rPr>
              <w:t> </w:t>
            </w:r>
            <w:r>
              <w:rPr>
                <w:sz w:val="18"/>
              </w:rPr>
              <w:t>la perspectiva de género interseccional en las acciones de la</w:t>
            </w:r>
          </w:p>
          <w:p>
            <w:pPr>
              <w:pStyle w:val="TableParagraph"/>
              <w:spacing w:line="187" w:lineRule="exact" w:before="3"/>
              <w:ind w:left="66"/>
              <w:rPr>
                <w:sz w:val="18"/>
              </w:rPr>
            </w:pPr>
            <w:r>
              <w:rPr>
                <w:spacing w:val="-4"/>
                <w:sz w:val="18"/>
              </w:rPr>
              <w:t>red.</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70" w:right="62"/>
              <w:rPr>
                <w:sz w:val="18"/>
              </w:rPr>
            </w:pPr>
            <w:r>
              <w:rPr>
                <w:spacing w:val="-2"/>
                <w:sz w:val="18"/>
              </w:rPr>
              <w:t>Informes</w:t>
            </w:r>
            <w:r>
              <w:rPr>
                <w:spacing w:val="80"/>
                <w:sz w:val="18"/>
              </w:rPr>
              <w:t> </w:t>
            </w:r>
            <w:r>
              <w:rPr>
                <w:sz w:val="18"/>
              </w:rPr>
              <w:t>emitidos por las personas</w:t>
            </w:r>
            <w:r>
              <w:rPr>
                <w:spacing w:val="-13"/>
                <w:sz w:val="18"/>
              </w:rPr>
              <w:t> </w:t>
            </w:r>
            <w:r>
              <w:rPr>
                <w:sz w:val="18"/>
              </w:rPr>
              <w:t>enlaces</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9" w:right="10"/>
              <w:jc w:val="center"/>
              <w:rPr>
                <w:sz w:val="18"/>
              </w:rPr>
            </w:pPr>
            <w:r>
              <w:rPr>
                <w:spacing w:val="-5"/>
                <w:sz w:val="18"/>
              </w:rPr>
              <w:t>DDS</w:t>
            </w:r>
          </w:p>
        </w:tc>
        <w:tc>
          <w:tcPr>
            <w:tcW w:w="1648" w:type="dxa"/>
          </w:tcPr>
          <w:p>
            <w:pPr>
              <w:pStyle w:val="TableParagraph"/>
              <w:rPr>
                <w:rFonts w:ascii="Times New Roman"/>
                <w:sz w:val="18"/>
              </w:rPr>
            </w:pPr>
          </w:p>
        </w:tc>
        <w:tc>
          <w:tcPr>
            <w:tcW w:w="155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numPr>
                <w:ilvl w:val="0"/>
                <w:numId w:val="87"/>
              </w:numPr>
              <w:tabs>
                <w:tab w:pos="129" w:val="left" w:leader="none"/>
              </w:tabs>
              <w:spacing w:line="240" w:lineRule="auto" w:before="0" w:after="0"/>
              <w:ind w:left="68" w:right="191" w:firstLine="0"/>
              <w:jc w:val="left"/>
              <w:rPr>
                <w:sz w:val="18"/>
              </w:rPr>
            </w:pPr>
            <w:r>
              <w:rPr>
                <w:spacing w:val="-2"/>
                <w:sz w:val="18"/>
              </w:rPr>
              <w:t>Débil </w:t>
            </w:r>
            <w:r>
              <w:rPr>
                <w:sz w:val="18"/>
              </w:rPr>
              <w:t>coordinación</w:t>
            </w:r>
            <w:r>
              <w:rPr>
                <w:spacing w:val="-13"/>
                <w:sz w:val="18"/>
              </w:rPr>
              <w:t> </w:t>
            </w:r>
            <w:r>
              <w:rPr>
                <w:sz w:val="18"/>
              </w:rPr>
              <w:t>de </w:t>
            </w:r>
            <w:r>
              <w:rPr>
                <w:spacing w:val="-2"/>
                <w:sz w:val="18"/>
              </w:rPr>
              <w:t>procesos.</w:t>
            </w:r>
          </w:p>
        </w:tc>
      </w:tr>
      <w:tr>
        <w:trPr>
          <w:trHeight w:val="465" w:hRule="atLeast"/>
        </w:trPr>
        <w:tc>
          <w:tcPr>
            <w:tcW w:w="14253" w:type="dxa"/>
            <w:gridSpan w:val="8"/>
            <w:shd w:val="clear" w:color="auto" w:fill="EFF8F9"/>
          </w:tcPr>
          <w:p>
            <w:pPr>
              <w:pStyle w:val="TableParagraph"/>
              <w:spacing w:before="23"/>
              <w:ind w:left="72" w:right="78"/>
              <w:rPr>
                <w:b/>
                <w:sz w:val="18"/>
              </w:rPr>
            </w:pPr>
            <w:r>
              <w:rPr>
                <w:b/>
                <w:sz w:val="18"/>
              </w:rPr>
              <w:t>Producto</w:t>
            </w:r>
            <w:r>
              <w:rPr>
                <w:b/>
                <w:spacing w:val="-3"/>
                <w:sz w:val="18"/>
              </w:rPr>
              <w:t> </w:t>
            </w:r>
            <w:r>
              <w:rPr>
                <w:b/>
                <w:sz w:val="18"/>
              </w:rPr>
              <w:t>PPPS</w:t>
            </w:r>
            <w:r>
              <w:rPr>
                <w:b/>
                <w:spacing w:val="-3"/>
                <w:sz w:val="18"/>
              </w:rPr>
              <w:t> </w:t>
            </w:r>
            <w:r>
              <w:rPr>
                <w:b/>
                <w:sz w:val="18"/>
              </w:rPr>
              <w:t>1.52: Aplicación</w:t>
            </w:r>
            <w:r>
              <w:rPr>
                <w:b/>
                <w:spacing w:val="-3"/>
                <w:sz w:val="18"/>
              </w:rPr>
              <w:t> </w:t>
            </w:r>
            <w:r>
              <w:rPr>
                <w:b/>
                <w:sz w:val="18"/>
              </w:rPr>
              <w:t>de</w:t>
            </w:r>
            <w:r>
              <w:rPr>
                <w:b/>
                <w:spacing w:val="-2"/>
                <w:sz w:val="18"/>
              </w:rPr>
              <w:t> </w:t>
            </w:r>
            <w:r>
              <w:rPr>
                <w:b/>
                <w:sz w:val="18"/>
              </w:rPr>
              <w:t>mecanismos</w:t>
            </w:r>
            <w:r>
              <w:rPr>
                <w:b/>
                <w:spacing w:val="-2"/>
                <w:sz w:val="18"/>
              </w:rPr>
              <w:t> </w:t>
            </w:r>
            <w:r>
              <w:rPr>
                <w:b/>
                <w:sz w:val="18"/>
              </w:rPr>
              <w:t>de</w:t>
            </w:r>
            <w:r>
              <w:rPr>
                <w:b/>
                <w:spacing w:val="-2"/>
                <w:sz w:val="18"/>
              </w:rPr>
              <w:t> </w:t>
            </w:r>
            <w:r>
              <w:rPr>
                <w:b/>
                <w:sz w:val="18"/>
              </w:rPr>
              <w:t>control parala</w:t>
            </w:r>
            <w:r>
              <w:rPr>
                <w:b/>
                <w:spacing w:val="-2"/>
                <w:sz w:val="18"/>
              </w:rPr>
              <w:t> </w:t>
            </w:r>
            <w:r>
              <w:rPr>
                <w:b/>
                <w:sz w:val="18"/>
              </w:rPr>
              <w:t>validación</w:t>
            </w:r>
            <w:r>
              <w:rPr>
                <w:b/>
                <w:spacing w:val="-3"/>
                <w:sz w:val="18"/>
              </w:rPr>
              <w:t> </w:t>
            </w:r>
            <w:r>
              <w:rPr>
                <w:b/>
                <w:sz w:val="18"/>
              </w:rPr>
              <w:t>de</w:t>
            </w:r>
            <w:r>
              <w:rPr>
                <w:b/>
                <w:spacing w:val="-2"/>
                <w:sz w:val="18"/>
              </w:rPr>
              <w:t> </w:t>
            </w:r>
            <w:r>
              <w:rPr>
                <w:b/>
                <w:sz w:val="18"/>
              </w:rPr>
              <w:t>la</w:t>
            </w:r>
            <w:r>
              <w:rPr>
                <w:b/>
                <w:spacing w:val="-2"/>
                <w:sz w:val="18"/>
              </w:rPr>
              <w:t> </w:t>
            </w:r>
            <w:r>
              <w:rPr>
                <w:b/>
                <w:sz w:val="18"/>
              </w:rPr>
              <w:t>inclusión</w:t>
            </w:r>
            <w:r>
              <w:rPr>
                <w:b/>
                <w:spacing w:val="-3"/>
                <w:sz w:val="18"/>
              </w:rPr>
              <w:t> </w:t>
            </w:r>
            <w:r>
              <w:rPr>
                <w:b/>
                <w:sz w:val="18"/>
              </w:rPr>
              <w:t>de</w:t>
            </w:r>
            <w:r>
              <w:rPr>
                <w:b/>
                <w:spacing w:val="-2"/>
                <w:sz w:val="18"/>
              </w:rPr>
              <w:t> </w:t>
            </w:r>
            <w:r>
              <w:rPr>
                <w:b/>
                <w:sz w:val="18"/>
              </w:rPr>
              <w:t>los</w:t>
            </w:r>
            <w:r>
              <w:rPr>
                <w:b/>
                <w:spacing w:val="-2"/>
                <w:sz w:val="18"/>
              </w:rPr>
              <w:t> </w:t>
            </w:r>
            <w:r>
              <w:rPr>
                <w:b/>
                <w:sz w:val="18"/>
              </w:rPr>
              <w:t>proyectos</w:t>
            </w:r>
            <w:r>
              <w:rPr>
                <w:b/>
                <w:spacing w:val="-2"/>
                <w:sz w:val="18"/>
              </w:rPr>
              <w:t> </w:t>
            </w:r>
            <w:r>
              <w:rPr>
                <w:b/>
                <w:sz w:val="18"/>
              </w:rPr>
              <w:t>en el banco</w:t>
            </w:r>
            <w:r>
              <w:rPr>
                <w:b/>
                <w:spacing w:val="-3"/>
                <w:sz w:val="18"/>
              </w:rPr>
              <w:t> </w:t>
            </w:r>
            <w:r>
              <w:rPr>
                <w:b/>
                <w:sz w:val="18"/>
              </w:rPr>
              <w:t>de</w:t>
            </w:r>
            <w:r>
              <w:rPr>
                <w:b/>
                <w:spacing w:val="-2"/>
                <w:sz w:val="18"/>
              </w:rPr>
              <w:t> </w:t>
            </w:r>
            <w:r>
              <w:rPr>
                <w:b/>
                <w:sz w:val="18"/>
              </w:rPr>
              <w:t>MIDEPLAN</w:t>
            </w:r>
            <w:r>
              <w:rPr>
                <w:b/>
                <w:spacing w:val="-4"/>
                <w:sz w:val="18"/>
              </w:rPr>
              <w:t> </w:t>
            </w:r>
            <w:r>
              <w:rPr>
                <w:b/>
                <w:sz w:val="18"/>
              </w:rPr>
              <w:t>e</w:t>
            </w:r>
            <w:r>
              <w:rPr>
                <w:b/>
                <w:spacing w:val="-2"/>
                <w:sz w:val="18"/>
              </w:rPr>
              <w:t> </w:t>
            </w:r>
            <w:r>
              <w:rPr>
                <w:b/>
                <w:sz w:val="18"/>
              </w:rPr>
              <w:t>instrumentos de planificación institucionales.</w:t>
            </w:r>
          </w:p>
        </w:tc>
      </w:tr>
      <w:tr>
        <w:trPr>
          <w:trHeight w:val="1449" w:hRule="atLeast"/>
        </w:trPr>
        <w:tc>
          <w:tcPr>
            <w:tcW w:w="2975" w:type="dxa"/>
          </w:tcPr>
          <w:p>
            <w:pPr>
              <w:pStyle w:val="TableParagraph"/>
              <w:spacing w:line="207" w:lineRule="exact" w:before="99"/>
              <w:ind w:left="72"/>
              <w:rPr>
                <w:b/>
                <w:sz w:val="18"/>
              </w:rPr>
            </w:pPr>
            <w:r>
              <w:rPr>
                <w:b/>
                <w:sz w:val="18"/>
              </w:rPr>
              <w:t>Actividad</w:t>
            </w:r>
            <w:r>
              <w:rPr>
                <w:b/>
                <w:spacing w:val="-6"/>
                <w:sz w:val="18"/>
              </w:rPr>
              <w:t> </w:t>
            </w:r>
            <w:r>
              <w:rPr>
                <w:b/>
                <w:sz w:val="18"/>
              </w:rPr>
              <w:t>PPPS</w:t>
            </w:r>
            <w:r>
              <w:rPr>
                <w:b/>
                <w:spacing w:val="-6"/>
                <w:sz w:val="18"/>
              </w:rPr>
              <w:t> </w:t>
            </w:r>
            <w:r>
              <w:rPr>
                <w:b/>
                <w:spacing w:val="-2"/>
                <w:sz w:val="18"/>
              </w:rPr>
              <w:t>1.52.1:</w:t>
            </w:r>
          </w:p>
          <w:p>
            <w:pPr>
              <w:pStyle w:val="TableParagraph"/>
              <w:ind w:left="72"/>
              <w:rPr>
                <w:b/>
                <w:sz w:val="18"/>
              </w:rPr>
            </w:pPr>
            <w:r>
              <w:rPr>
                <w:sz w:val="18"/>
              </w:rPr>
              <w:t>Inclusión de proyectos seleccionados</w:t>
            </w:r>
            <w:r>
              <w:rPr>
                <w:spacing w:val="-11"/>
                <w:sz w:val="18"/>
              </w:rPr>
              <w:t> </w:t>
            </w:r>
            <w:r>
              <w:rPr>
                <w:sz w:val="18"/>
              </w:rPr>
              <w:t>en</w:t>
            </w:r>
            <w:r>
              <w:rPr>
                <w:spacing w:val="-11"/>
                <w:sz w:val="18"/>
              </w:rPr>
              <w:t> </w:t>
            </w:r>
            <w:r>
              <w:rPr>
                <w:sz w:val="18"/>
              </w:rPr>
              <w:t>instrumentos</w:t>
            </w:r>
            <w:r>
              <w:rPr>
                <w:spacing w:val="-11"/>
                <w:sz w:val="18"/>
              </w:rPr>
              <w:t> </w:t>
            </w:r>
            <w:r>
              <w:rPr>
                <w:sz w:val="18"/>
              </w:rPr>
              <w:t>de planificación institucionales </w:t>
            </w:r>
            <w:r>
              <w:rPr>
                <w:b/>
                <w:sz w:val="18"/>
              </w:rPr>
              <w:t>(vinculada a Estrategia GpRD </w:t>
            </w:r>
            <w:r>
              <w:rPr>
                <w:b/>
                <w:spacing w:val="-2"/>
                <w:sz w:val="18"/>
              </w:rPr>
              <w:t>5.7.2).</w:t>
            </w:r>
          </w:p>
        </w:tc>
        <w:tc>
          <w:tcPr>
            <w:tcW w:w="1558" w:type="dxa"/>
          </w:tcPr>
          <w:p>
            <w:pPr>
              <w:pStyle w:val="TableParagraph"/>
              <w:rPr>
                <w:b/>
                <w:sz w:val="18"/>
              </w:rPr>
            </w:pPr>
          </w:p>
          <w:p>
            <w:pPr>
              <w:pStyle w:val="TableParagraph"/>
              <w:spacing w:before="204"/>
              <w:rPr>
                <w:b/>
                <w:sz w:val="18"/>
              </w:rPr>
            </w:pPr>
          </w:p>
          <w:p>
            <w:pPr>
              <w:pStyle w:val="TableParagraph"/>
              <w:ind w:left="14" w:right="7"/>
              <w:jc w:val="center"/>
              <w:rPr>
                <w:sz w:val="18"/>
              </w:rPr>
            </w:pPr>
            <w:r>
              <w:rPr>
                <w:spacing w:val="-10"/>
                <w:sz w:val="18"/>
              </w:rPr>
              <w:t>0</w:t>
            </w:r>
          </w:p>
        </w:tc>
        <w:tc>
          <w:tcPr>
            <w:tcW w:w="1561" w:type="dxa"/>
          </w:tcPr>
          <w:p>
            <w:pPr>
              <w:pStyle w:val="TableParagraph"/>
              <w:rPr>
                <w:b/>
                <w:sz w:val="18"/>
              </w:rPr>
            </w:pPr>
          </w:p>
          <w:p>
            <w:pPr>
              <w:pStyle w:val="TableParagraph"/>
              <w:spacing w:before="204"/>
              <w:rPr>
                <w:b/>
                <w:sz w:val="18"/>
              </w:rPr>
            </w:pPr>
          </w:p>
          <w:p>
            <w:pPr>
              <w:pStyle w:val="TableParagraph"/>
              <w:ind w:left="97" w:right="91"/>
              <w:jc w:val="center"/>
              <w:rPr>
                <w:sz w:val="18"/>
              </w:rPr>
            </w:pPr>
            <w:r>
              <w:rPr>
                <w:spacing w:val="-4"/>
                <w:sz w:val="18"/>
              </w:rPr>
              <w:t>100%</w:t>
            </w:r>
          </w:p>
        </w:tc>
        <w:tc>
          <w:tcPr>
            <w:tcW w:w="1983" w:type="dxa"/>
          </w:tcPr>
          <w:p>
            <w:pPr>
              <w:pStyle w:val="TableParagraph"/>
              <w:ind w:left="66" w:right="169"/>
              <w:rPr>
                <w:sz w:val="18"/>
              </w:rPr>
            </w:pPr>
            <w:r>
              <w:rPr>
                <w:sz w:val="18"/>
              </w:rPr>
              <w:t>Porcentaje de </w:t>
            </w:r>
            <w:r>
              <w:rPr>
                <w:spacing w:val="-2"/>
                <w:sz w:val="18"/>
              </w:rPr>
              <w:t>proyectos </w:t>
            </w:r>
            <w:r>
              <w:rPr>
                <w:sz w:val="18"/>
              </w:rPr>
              <w:t>seleccionados</w:t>
            </w:r>
            <w:r>
              <w:rPr>
                <w:spacing w:val="-13"/>
                <w:sz w:val="18"/>
              </w:rPr>
              <w:t> </w:t>
            </w:r>
            <w:r>
              <w:rPr>
                <w:sz w:val="18"/>
              </w:rPr>
              <w:t>e incluidos en instrumentos</w:t>
            </w:r>
            <w:r>
              <w:rPr>
                <w:spacing w:val="-13"/>
                <w:sz w:val="18"/>
              </w:rPr>
              <w:t> </w:t>
            </w:r>
            <w:r>
              <w:rPr>
                <w:sz w:val="18"/>
              </w:rPr>
              <w:t>de</w:t>
            </w:r>
          </w:p>
          <w:p>
            <w:pPr>
              <w:pStyle w:val="TableParagraph"/>
              <w:spacing w:line="206" w:lineRule="exact"/>
              <w:ind w:left="66"/>
              <w:rPr>
                <w:sz w:val="18"/>
              </w:rPr>
            </w:pPr>
            <w:r>
              <w:rPr>
                <w:spacing w:val="-2"/>
                <w:sz w:val="18"/>
              </w:rPr>
              <w:t>planificación Institucional.</w:t>
            </w:r>
          </w:p>
        </w:tc>
        <w:tc>
          <w:tcPr>
            <w:tcW w:w="1561" w:type="dxa"/>
          </w:tcPr>
          <w:p>
            <w:pPr>
              <w:pStyle w:val="TableParagraph"/>
              <w:spacing w:before="99"/>
              <w:ind w:left="70"/>
              <w:rPr>
                <w:sz w:val="18"/>
              </w:rPr>
            </w:pPr>
            <w:r>
              <w:rPr>
                <w:sz w:val="18"/>
              </w:rPr>
              <w:t>Reporte de incorporación</w:t>
            </w:r>
            <w:r>
              <w:rPr>
                <w:spacing w:val="-13"/>
                <w:sz w:val="18"/>
              </w:rPr>
              <w:t> </w:t>
            </w:r>
            <w:r>
              <w:rPr>
                <w:sz w:val="18"/>
              </w:rPr>
              <w:t>de proyectos en instrumentos de </w:t>
            </w:r>
            <w:r>
              <w:rPr>
                <w:spacing w:val="-2"/>
                <w:sz w:val="18"/>
              </w:rPr>
              <w:t>planificación institucional.</w:t>
            </w:r>
          </w:p>
        </w:tc>
        <w:tc>
          <w:tcPr>
            <w:tcW w:w="1417" w:type="dxa"/>
          </w:tcPr>
          <w:p>
            <w:pPr>
              <w:pStyle w:val="TableParagraph"/>
              <w:rPr>
                <w:b/>
                <w:sz w:val="18"/>
              </w:rPr>
            </w:pPr>
          </w:p>
          <w:p>
            <w:pPr>
              <w:pStyle w:val="TableParagraph"/>
              <w:spacing w:before="98"/>
              <w:rPr>
                <w:b/>
                <w:sz w:val="18"/>
              </w:rPr>
            </w:pPr>
          </w:p>
          <w:p>
            <w:pPr>
              <w:pStyle w:val="TableParagraph"/>
              <w:spacing w:line="244" w:lineRule="auto"/>
              <w:ind w:left="430" w:right="330" w:hanging="101"/>
              <w:rPr>
                <w:sz w:val="18"/>
              </w:rPr>
            </w:pPr>
            <w:r>
              <w:rPr>
                <w:sz w:val="18"/>
              </w:rPr>
              <w:t>DDSPC</w:t>
            </w:r>
            <w:r>
              <w:rPr>
                <w:spacing w:val="-13"/>
                <w:sz w:val="18"/>
              </w:rPr>
              <w:t> </w:t>
            </w:r>
            <w:r>
              <w:rPr>
                <w:sz w:val="18"/>
              </w:rPr>
              <w:t>- </w:t>
            </w:r>
            <w:r>
              <w:rPr>
                <w:spacing w:val="-4"/>
                <w:sz w:val="18"/>
              </w:rPr>
              <w:t>DASAI</w:t>
            </w:r>
          </w:p>
        </w:tc>
        <w:tc>
          <w:tcPr>
            <w:tcW w:w="1648" w:type="dxa"/>
          </w:tcPr>
          <w:p>
            <w:pPr>
              <w:pStyle w:val="TableParagraph"/>
              <w:rPr>
                <w:rFonts w:ascii="Times New Roman"/>
                <w:sz w:val="18"/>
              </w:rPr>
            </w:pPr>
          </w:p>
        </w:tc>
        <w:tc>
          <w:tcPr>
            <w:tcW w:w="1550" w:type="dxa"/>
            <w:vMerge w:val="restart"/>
          </w:tcPr>
          <w:p>
            <w:pPr>
              <w:pStyle w:val="TableParagraph"/>
              <w:numPr>
                <w:ilvl w:val="0"/>
                <w:numId w:val="88"/>
              </w:numPr>
              <w:tabs>
                <w:tab w:pos="129" w:val="left" w:leader="none"/>
              </w:tabs>
              <w:spacing w:line="240" w:lineRule="auto" w:before="104" w:after="0"/>
              <w:ind w:left="68" w:right="76" w:firstLine="0"/>
              <w:jc w:val="left"/>
              <w:rPr>
                <w:sz w:val="18"/>
              </w:rPr>
            </w:pPr>
            <w:r>
              <w:rPr>
                <w:spacing w:val="-2"/>
                <w:sz w:val="18"/>
              </w:rPr>
              <w:t>Incumplimiento </w:t>
            </w:r>
            <w:r>
              <w:rPr>
                <w:sz w:val="18"/>
              </w:rPr>
              <w:t>en la entrega de bienes o</w:t>
            </w:r>
            <w:r>
              <w:rPr>
                <w:spacing w:val="40"/>
                <w:sz w:val="18"/>
              </w:rPr>
              <w:t> </w:t>
            </w:r>
            <w:r>
              <w:rPr>
                <w:sz w:val="18"/>
              </w:rPr>
              <w:t>servicios para sujetos de derecho privado para</w:t>
            </w:r>
            <w:r>
              <w:rPr>
                <w:spacing w:val="-15"/>
                <w:sz w:val="18"/>
              </w:rPr>
              <w:t> </w:t>
            </w:r>
            <w:r>
              <w:rPr>
                <w:sz w:val="18"/>
              </w:rPr>
              <w:t>el</w:t>
            </w:r>
            <w:r>
              <w:rPr>
                <w:spacing w:val="-12"/>
                <w:sz w:val="18"/>
              </w:rPr>
              <w:t> </w:t>
            </w:r>
            <w:r>
              <w:rPr>
                <w:sz w:val="18"/>
              </w:rPr>
              <w:t>desarrollo o fortalecimiento de actividades </w:t>
            </w:r>
            <w:r>
              <w:rPr>
                <w:spacing w:val="-2"/>
                <w:sz w:val="18"/>
              </w:rPr>
              <w:t>productivas grupales.</w:t>
            </w:r>
          </w:p>
        </w:tc>
      </w:tr>
      <w:tr>
        <w:trPr>
          <w:trHeight w:val="1031" w:hRule="atLeast"/>
        </w:trPr>
        <w:tc>
          <w:tcPr>
            <w:tcW w:w="2975" w:type="dxa"/>
          </w:tcPr>
          <w:p>
            <w:pPr>
              <w:pStyle w:val="TableParagraph"/>
              <w:spacing w:line="206"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1.52.2:</w:t>
            </w:r>
          </w:p>
          <w:p>
            <w:pPr>
              <w:pStyle w:val="TableParagraph"/>
              <w:ind w:left="72"/>
              <w:rPr>
                <w:sz w:val="18"/>
              </w:rPr>
            </w:pPr>
            <w:r>
              <w:rPr>
                <w:sz w:val="18"/>
              </w:rPr>
              <w:t>Registrar los proyectos institucionales</w:t>
            </w:r>
            <w:r>
              <w:rPr>
                <w:spacing w:val="-9"/>
                <w:sz w:val="18"/>
              </w:rPr>
              <w:t> </w:t>
            </w:r>
            <w:r>
              <w:rPr>
                <w:sz w:val="18"/>
              </w:rPr>
              <w:t>en</w:t>
            </w:r>
            <w:r>
              <w:rPr>
                <w:spacing w:val="-9"/>
                <w:sz w:val="18"/>
              </w:rPr>
              <w:t> </w:t>
            </w:r>
            <w:r>
              <w:rPr>
                <w:sz w:val="18"/>
              </w:rPr>
              <w:t>el</w:t>
            </w:r>
            <w:r>
              <w:rPr>
                <w:spacing w:val="-6"/>
                <w:sz w:val="18"/>
              </w:rPr>
              <w:t> </w:t>
            </w:r>
            <w:r>
              <w:rPr>
                <w:sz w:val="18"/>
              </w:rPr>
              <w:t>DELPHOS</w:t>
            </w:r>
            <w:r>
              <w:rPr>
                <w:spacing w:val="-10"/>
                <w:sz w:val="18"/>
              </w:rPr>
              <w:t> </w:t>
            </w:r>
            <w:r>
              <w:rPr>
                <w:sz w:val="18"/>
              </w:rPr>
              <w:t>de</w:t>
            </w:r>
          </w:p>
          <w:p>
            <w:pPr>
              <w:pStyle w:val="TableParagraph"/>
              <w:spacing w:line="206" w:lineRule="exact"/>
              <w:ind w:left="72" w:right="221"/>
              <w:rPr>
                <w:b/>
                <w:sz w:val="18"/>
              </w:rPr>
            </w:pPr>
            <w:r>
              <w:rPr>
                <w:sz w:val="18"/>
              </w:rPr>
              <w:t>MIDEPLAN</w:t>
            </w:r>
            <w:r>
              <w:rPr>
                <w:spacing w:val="-15"/>
                <w:sz w:val="18"/>
              </w:rPr>
              <w:t> </w:t>
            </w:r>
            <w:r>
              <w:rPr>
                <w:b/>
                <w:sz w:val="18"/>
              </w:rPr>
              <w:t>(vinculado</w:t>
            </w:r>
            <w:r>
              <w:rPr>
                <w:b/>
                <w:spacing w:val="-12"/>
                <w:sz w:val="18"/>
              </w:rPr>
              <w:t> </w:t>
            </w:r>
            <w:r>
              <w:rPr>
                <w:b/>
                <w:sz w:val="18"/>
              </w:rPr>
              <w:t>a Estrategia</w:t>
            </w:r>
            <w:r>
              <w:rPr>
                <w:b/>
                <w:spacing w:val="-5"/>
                <w:sz w:val="18"/>
              </w:rPr>
              <w:t> </w:t>
            </w:r>
            <w:r>
              <w:rPr>
                <w:b/>
                <w:sz w:val="18"/>
              </w:rPr>
              <w:t>GpRD</w:t>
            </w:r>
            <w:r>
              <w:rPr>
                <w:b/>
                <w:spacing w:val="-7"/>
                <w:sz w:val="18"/>
              </w:rPr>
              <w:t> </w:t>
            </w:r>
            <w:r>
              <w:rPr>
                <w:b/>
                <w:spacing w:val="-2"/>
                <w:sz w:val="18"/>
              </w:rPr>
              <w:t>5.7.3).</w:t>
            </w:r>
          </w:p>
        </w:tc>
        <w:tc>
          <w:tcPr>
            <w:tcW w:w="1558" w:type="dxa"/>
          </w:tcPr>
          <w:p>
            <w:pPr>
              <w:pStyle w:val="TableParagraph"/>
              <w:spacing w:before="205"/>
              <w:rPr>
                <w:b/>
                <w:sz w:val="18"/>
              </w:rPr>
            </w:pPr>
          </w:p>
          <w:p>
            <w:pPr>
              <w:pStyle w:val="TableParagraph"/>
              <w:ind w:left="14" w:right="7"/>
              <w:jc w:val="center"/>
              <w:rPr>
                <w:sz w:val="18"/>
              </w:rPr>
            </w:pPr>
            <w:r>
              <w:rPr>
                <w:spacing w:val="-10"/>
                <w:sz w:val="18"/>
              </w:rPr>
              <w:t>0</w:t>
            </w:r>
          </w:p>
        </w:tc>
        <w:tc>
          <w:tcPr>
            <w:tcW w:w="1561" w:type="dxa"/>
          </w:tcPr>
          <w:p>
            <w:pPr>
              <w:pStyle w:val="TableParagraph"/>
              <w:spacing w:before="205"/>
              <w:rPr>
                <w:b/>
                <w:sz w:val="18"/>
              </w:rPr>
            </w:pPr>
          </w:p>
          <w:p>
            <w:pPr>
              <w:pStyle w:val="TableParagraph"/>
              <w:ind w:left="97" w:right="91"/>
              <w:jc w:val="center"/>
              <w:rPr>
                <w:sz w:val="18"/>
              </w:rPr>
            </w:pPr>
            <w:r>
              <w:rPr>
                <w:spacing w:val="-4"/>
                <w:sz w:val="18"/>
              </w:rPr>
              <w:t>100%</w:t>
            </w:r>
          </w:p>
        </w:tc>
        <w:tc>
          <w:tcPr>
            <w:tcW w:w="1983" w:type="dxa"/>
          </w:tcPr>
          <w:p>
            <w:pPr>
              <w:pStyle w:val="TableParagraph"/>
              <w:spacing w:line="242" w:lineRule="auto" w:before="99"/>
              <w:ind w:left="66" w:right="59" w:hanging="3"/>
              <w:jc w:val="center"/>
              <w:rPr>
                <w:sz w:val="18"/>
              </w:rPr>
            </w:pPr>
            <w:r>
              <w:rPr>
                <w:sz w:val="18"/>
              </w:rPr>
              <w:t>Porcentaje de proyectos</w:t>
            </w:r>
            <w:r>
              <w:rPr>
                <w:spacing w:val="-5"/>
                <w:sz w:val="18"/>
              </w:rPr>
              <w:t> </w:t>
            </w:r>
            <w:r>
              <w:rPr>
                <w:sz w:val="18"/>
              </w:rPr>
              <w:t>registrados</w:t>
            </w:r>
            <w:r>
              <w:rPr>
                <w:spacing w:val="40"/>
                <w:sz w:val="18"/>
              </w:rPr>
              <w:t> </w:t>
            </w:r>
            <w:r>
              <w:rPr>
                <w:sz w:val="18"/>
              </w:rPr>
              <w:t>y monitoreados en </w:t>
            </w:r>
            <w:r>
              <w:rPr>
                <w:spacing w:val="-2"/>
                <w:sz w:val="18"/>
              </w:rPr>
              <w:t>DELPHOS-MIDEPLAN</w:t>
            </w:r>
          </w:p>
        </w:tc>
        <w:tc>
          <w:tcPr>
            <w:tcW w:w="1561" w:type="dxa"/>
          </w:tcPr>
          <w:p>
            <w:pPr>
              <w:pStyle w:val="TableParagraph"/>
              <w:spacing w:before="99"/>
              <w:rPr>
                <w:b/>
                <w:sz w:val="18"/>
              </w:rPr>
            </w:pPr>
          </w:p>
          <w:p>
            <w:pPr>
              <w:pStyle w:val="TableParagraph"/>
              <w:ind w:left="248" w:firstLine="86"/>
              <w:rPr>
                <w:sz w:val="18"/>
              </w:rPr>
            </w:pPr>
            <w:r>
              <w:rPr>
                <w:sz w:val="18"/>
              </w:rPr>
              <w:t>Reporte de </w:t>
            </w:r>
            <w:r>
              <w:rPr>
                <w:spacing w:val="-2"/>
                <w:sz w:val="18"/>
              </w:rPr>
              <w:t>cumplimiento</w:t>
            </w:r>
          </w:p>
        </w:tc>
        <w:tc>
          <w:tcPr>
            <w:tcW w:w="1417" w:type="dxa"/>
          </w:tcPr>
          <w:p>
            <w:pPr>
              <w:pStyle w:val="TableParagraph"/>
              <w:spacing w:before="205"/>
              <w:rPr>
                <w:b/>
                <w:sz w:val="18"/>
              </w:rPr>
            </w:pPr>
          </w:p>
          <w:p>
            <w:pPr>
              <w:pStyle w:val="TableParagraph"/>
              <w:ind w:left="9" w:right="10"/>
              <w:jc w:val="center"/>
              <w:rPr>
                <w:sz w:val="18"/>
              </w:rPr>
            </w:pPr>
            <w:r>
              <w:rPr>
                <w:spacing w:val="-2"/>
                <w:sz w:val="18"/>
              </w:rPr>
              <w:t>DDSPC</w:t>
            </w:r>
          </w:p>
        </w:tc>
        <w:tc>
          <w:tcPr>
            <w:tcW w:w="1648" w:type="dxa"/>
          </w:tcPr>
          <w:p>
            <w:pPr>
              <w:pStyle w:val="TableParagraph"/>
              <w:rPr>
                <w:rFonts w:ascii="Times New Roman"/>
                <w:sz w:val="18"/>
              </w:rPr>
            </w:pPr>
          </w:p>
        </w:tc>
        <w:tc>
          <w:tcPr>
            <w:tcW w:w="1550"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7"/>
        <w:gridCol w:w="1549"/>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7" w:type="dxa"/>
            <w:shd w:val="clear" w:color="auto" w:fill="D9D9D9"/>
          </w:tcPr>
          <w:p>
            <w:pPr>
              <w:pStyle w:val="TableParagraph"/>
              <w:spacing w:before="104"/>
              <w:ind w:left="430" w:hanging="120"/>
              <w:rPr>
                <w:b/>
                <w:sz w:val="18"/>
              </w:rPr>
            </w:pPr>
            <w:r>
              <w:rPr>
                <w:b/>
                <w:spacing w:val="-2"/>
                <w:sz w:val="18"/>
              </w:rPr>
              <w:t>Presupuesto asignado</w:t>
            </w:r>
          </w:p>
        </w:tc>
        <w:tc>
          <w:tcPr>
            <w:tcW w:w="1549" w:type="dxa"/>
            <w:shd w:val="clear" w:color="auto" w:fill="D9D9D9"/>
          </w:tcPr>
          <w:p>
            <w:pPr>
              <w:pStyle w:val="TableParagraph"/>
              <w:spacing w:line="206" w:lineRule="exact"/>
              <w:ind w:left="23" w:right="4"/>
              <w:jc w:val="center"/>
              <w:rPr>
                <w:b/>
                <w:sz w:val="18"/>
              </w:rPr>
            </w:pPr>
            <w:r>
              <w:rPr>
                <w:b/>
                <w:spacing w:val="-2"/>
                <w:sz w:val="18"/>
              </w:rPr>
              <w:t>Riesgos </w:t>
            </w:r>
            <w:r>
              <w:rPr>
                <w:b/>
                <w:sz w:val="18"/>
              </w:rPr>
              <w:t>asociados al </w:t>
            </w:r>
            <w:r>
              <w:rPr>
                <w:b/>
                <w:spacing w:val="-2"/>
                <w:sz w:val="18"/>
              </w:rPr>
              <w:t>cumplimiento</w:t>
            </w:r>
          </w:p>
        </w:tc>
      </w:tr>
      <w:tr>
        <w:trPr>
          <w:trHeight w:val="465" w:hRule="atLeast"/>
        </w:trPr>
        <w:tc>
          <w:tcPr>
            <w:tcW w:w="14246" w:type="dxa"/>
            <w:gridSpan w:val="8"/>
            <w:shd w:val="clear" w:color="auto" w:fill="EFF8F9"/>
          </w:tcPr>
          <w:p>
            <w:pPr>
              <w:pStyle w:val="TableParagraph"/>
              <w:spacing w:before="27"/>
              <w:ind w:left="72" w:right="60"/>
              <w:rPr>
                <w:b/>
                <w:sz w:val="18"/>
              </w:rPr>
            </w:pPr>
            <w:r>
              <w:rPr>
                <w:b/>
                <w:sz w:val="18"/>
              </w:rPr>
              <w:t>Producto</w:t>
            </w:r>
            <w:r>
              <w:rPr>
                <w:b/>
                <w:spacing w:val="-4"/>
                <w:sz w:val="18"/>
              </w:rPr>
              <w:t> </w:t>
            </w:r>
            <w:r>
              <w:rPr>
                <w:b/>
                <w:sz w:val="18"/>
              </w:rPr>
              <w:t>PPPS</w:t>
            </w:r>
            <w:r>
              <w:rPr>
                <w:b/>
                <w:spacing w:val="-4"/>
                <w:sz w:val="18"/>
              </w:rPr>
              <w:t> </w:t>
            </w:r>
            <w:r>
              <w:rPr>
                <w:b/>
                <w:sz w:val="18"/>
              </w:rPr>
              <w:t>1.53:</w:t>
            </w:r>
            <w:r>
              <w:rPr>
                <w:b/>
                <w:spacing w:val="-1"/>
                <w:sz w:val="18"/>
              </w:rPr>
              <w:t> </w:t>
            </w:r>
            <w:r>
              <w:rPr>
                <w:b/>
                <w:sz w:val="18"/>
              </w:rPr>
              <w:t>Establecimiento</w:t>
            </w:r>
            <w:r>
              <w:rPr>
                <w:b/>
                <w:spacing w:val="-4"/>
                <w:sz w:val="18"/>
              </w:rPr>
              <w:t> </w:t>
            </w:r>
            <w:r>
              <w:rPr>
                <w:b/>
                <w:sz w:val="18"/>
              </w:rPr>
              <w:t>de</w:t>
            </w:r>
            <w:r>
              <w:rPr>
                <w:b/>
                <w:spacing w:val="-3"/>
                <w:sz w:val="18"/>
              </w:rPr>
              <w:t> </w:t>
            </w:r>
            <w:r>
              <w:rPr>
                <w:b/>
                <w:sz w:val="18"/>
              </w:rPr>
              <w:t>mecanismos</w:t>
            </w:r>
            <w:r>
              <w:rPr>
                <w:b/>
                <w:spacing w:val="-3"/>
                <w:sz w:val="18"/>
              </w:rPr>
              <w:t> </w:t>
            </w:r>
            <w:r>
              <w:rPr>
                <w:b/>
                <w:sz w:val="18"/>
              </w:rPr>
              <w:t>de</w:t>
            </w:r>
            <w:r>
              <w:rPr>
                <w:b/>
                <w:spacing w:val="-3"/>
                <w:sz w:val="18"/>
              </w:rPr>
              <w:t> </w:t>
            </w:r>
            <w:r>
              <w:rPr>
                <w:b/>
                <w:sz w:val="18"/>
              </w:rPr>
              <w:t>monitoreo</w:t>
            </w:r>
            <w:r>
              <w:rPr>
                <w:b/>
                <w:spacing w:val="-4"/>
                <w:sz w:val="18"/>
              </w:rPr>
              <w:t> </w:t>
            </w:r>
            <w:r>
              <w:rPr>
                <w:b/>
                <w:sz w:val="18"/>
              </w:rPr>
              <w:t>y</w:t>
            </w:r>
            <w:r>
              <w:rPr>
                <w:b/>
                <w:spacing w:val="-3"/>
                <w:sz w:val="18"/>
              </w:rPr>
              <w:t> </w:t>
            </w:r>
            <w:r>
              <w:rPr>
                <w:b/>
                <w:sz w:val="18"/>
              </w:rPr>
              <w:t>seguimiento que permitan</w:t>
            </w:r>
            <w:r>
              <w:rPr>
                <w:b/>
                <w:spacing w:val="-4"/>
                <w:sz w:val="18"/>
              </w:rPr>
              <w:t> </w:t>
            </w:r>
            <w:r>
              <w:rPr>
                <w:b/>
                <w:sz w:val="18"/>
              </w:rPr>
              <w:t>dar</w:t>
            </w:r>
            <w:r>
              <w:rPr>
                <w:b/>
                <w:spacing w:val="-2"/>
                <w:sz w:val="18"/>
              </w:rPr>
              <w:t> </w:t>
            </w:r>
            <w:r>
              <w:rPr>
                <w:b/>
                <w:sz w:val="18"/>
              </w:rPr>
              <w:t>trazabilidad</w:t>
            </w:r>
            <w:r>
              <w:rPr>
                <w:b/>
                <w:spacing w:val="-4"/>
                <w:sz w:val="18"/>
              </w:rPr>
              <w:t> </w:t>
            </w:r>
            <w:r>
              <w:rPr>
                <w:b/>
                <w:sz w:val="18"/>
              </w:rPr>
              <w:t>a</w:t>
            </w:r>
            <w:r>
              <w:rPr>
                <w:b/>
                <w:spacing w:val="-3"/>
                <w:sz w:val="18"/>
              </w:rPr>
              <w:t> </w:t>
            </w:r>
            <w:r>
              <w:rPr>
                <w:b/>
                <w:sz w:val="18"/>
              </w:rPr>
              <w:t>las</w:t>
            </w:r>
            <w:r>
              <w:rPr>
                <w:b/>
                <w:spacing w:val="-3"/>
                <w:sz w:val="18"/>
              </w:rPr>
              <w:t> </w:t>
            </w:r>
            <w:r>
              <w:rPr>
                <w:b/>
                <w:sz w:val="18"/>
              </w:rPr>
              <w:t>estrategias propuestas desde el</w:t>
            </w:r>
            <w:r>
              <w:rPr>
                <w:b/>
                <w:spacing w:val="-1"/>
                <w:sz w:val="18"/>
              </w:rPr>
              <w:t> </w:t>
            </w:r>
            <w:r>
              <w:rPr>
                <w:b/>
                <w:sz w:val="18"/>
              </w:rPr>
              <w:t>sector</w:t>
            </w:r>
            <w:r>
              <w:rPr>
                <w:b/>
                <w:spacing w:val="-2"/>
                <w:sz w:val="18"/>
              </w:rPr>
              <w:t> </w:t>
            </w:r>
            <w:r>
              <w:rPr>
                <w:b/>
                <w:sz w:val="18"/>
              </w:rPr>
              <w:t>social para la atención de la población objetivo.</w:t>
            </w:r>
          </w:p>
        </w:tc>
      </w:tr>
      <w:tr>
        <w:trPr>
          <w:trHeight w:val="1036" w:hRule="atLeast"/>
        </w:trPr>
        <w:tc>
          <w:tcPr>
            <w:tcW w:w="2972" w:type="dxa"/>
          </w:tcPr>
          <w:p>
            <w:pPr>
              <w:pStyle w:val="TableParagraph"/>
              <w:spacing w:line="206"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1.53.1:</w:t>
            </w:r>
          </w:p>
          <w:p>
            <w:pPr>
              <w:pStyle w:val="TableParagraph"/>
              <w:spacing w:line="206" w:lineRule="exact"/>
              <w:ind w:left="72"/>
              <w:rPr>
                <w:b/>
                <w:i/>
                <w:sz w:val="18"/>
              </w:rPr>
            </w:pPr>
            <w:r>
              <w:rPr>
                <w:sz w:val="18"/>
              </w:rPr>
              <w:t>Diseño y desarrollo informático en SINIRUBE</w:t>
            </w:r>
            <w:r>
              <w:rPr>
                <w:spacing w:val="-9"/>
                <w:sz w:val="18"/>
              </w:rPr>
              <w:t> </w:t>
            </w:r>
            <w:r>
              <w:rPr>
                <w:sz w:val="18"/>
              </w:rPr>
              <w:t>para</w:t>
            </w:r>
            <w:r>
              <w:rPr>
                <w:spacing w:val="-8"/>
                <w:sz w:val="18"/>
              </w:rPr>
              <w:t> </w:t>
            </w:r>
            <w:r>
              <w:rPr>
                <w:sz w:val="18"/>
              </w:rPr>
              <w:t>la</w:t>
            </w:r>
            <w:r>
              <w:rPr>
                <w:spacing w:val="-8"/>
                <w:sz w:val="18"/>
              </w:rPr>
              <w:t> </w:t>
            </w:r>
            <w:r>
              <w:rPr>
                <w:sz w:val="18"/>
              </w:rPr>
              <w:t>gestión</w:t>
            </w:r>
            <w:r>
              <w:rPr>
                <w:spacing w:val="-4"/>
                <w:sz w:val="18"/>
              </w:rPr>
              <w:t> </w:t>
            </w:r>
            <w:r>
              <w:rPr>
                <w:sz w:val="18"/>
              </w:rPr>
              <w:t>de</w:t>
            </w:r>
            <w:r>
              <w:rPr>
                <w:spacing w:val="-8"/>
                <w:sz w:val="18"/>
              </w:rPr>
              <w:t> </w:t>
            </w:r>
            <w:r>
              <w:rPr>
                <w:sz w:val="18"/>
              </w:rPr>
              <w:t>datos necesarios </w:t>
            </w:r>
            <w:r>
              <w:rPr>
                <w:b/>
                <w:i/>
                <w:sz w:val="18"/>
              </w:rPr>
              <w:t>(vinculada a PAISS</w:t>
            </w:r>
            <w:r>
              <w:rPr>
                <w:b/>
                <w:i/>
                <w:sz w:val="18"/>
              </w:rPr>
              <w:t> </w:t>
            </w:r>
            <w:r>
              <w:rPr>
                <w:b/>
                <w:i/>
                <w:spacing w:val="-2"/>
                <w:sz w:val="18"/>
              </w:rPr>
              <w:t>4.1.1).</w:t>
            </w:r>
          </w:p>
        </w:tc>
        <w:tc>
          <w:tcPr>
            <w:tcW w:w="1560" w:type="dxa"/>
          </w:tcPr>
          <w:p>
            <w:pPr>
              <w:pStyle w:val="TableParagraph"/>
              <w:rPr>
                <w:b/>
                <w:sz w:val="18"/>
              </w:rPr>
            </w:pPr>
          </w:p>
          <w:p>
            <w:pPr>
              <w:pStyle w:val="TableParagraph"/>
              <w:spacing w:before="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2"/>
              <w:rPr>
                <w:b/>
                <w:sz w:val="18"/>
              </w:rPr>
            </w:pPr>
          </w:p>
          <w:p>
            <w:pPr>
              <w:pStyle w:val="TableParagraph"/>
              <w:ind w:left="21" w:right="18"/>
              <w:jc w:val="center"/>
              <w:rPr>
                <w:sz w:val="18"/>
              </w:rPr>
            </w:pPr>
            <w:r>
              <w:rPr>
                <w:spacing w:val="-10"/>
                <w:sz w:val="18"/>
              </w:rPr>
              <w:t>1</w:t>
            </w:r>
          </w:p>
        </w:tc>
        <w:tc>
          <w:tcPr>
            <w:tcW w:w="1982" w:type="dxa"/>
          </w:tcPr>
          <w:p>
            <w:pPr>
              <w:pStyle w:val="TableParagraph"/>
              <w:spacing w:before="3"/>
              <w:rPr>
                <w:b/>
                <w:sz w:val="18"/>
              </w:rPr>
            </w:pPr>
          </w:p>
          <w:p>
            <w:pPr>
              <w:pStyle w:val="TableParagraph"/>
              <w:ind w:left="68" w:right="53"/>
              <w:rPr>
                <w:sz w:val="18"/>
              </w:rPr>
            </w:pPr>
            <w:r>
              <w:rPr>
                <w:sz w:val="18"/>
              </w:rPr>
              <w:t>Número</w:t>
            </w:r>
            <w:r>
              <w:rPr>
                <w:spacing w:val="-12"/>
                <w:sz w:val="18"/>
              </w:rPr>
              <w:t> </w:t>
            </w:r>
            <w:r>
              <w:rPr>
                <w:sz w:val="18"/>
              </w:rPr>
              <w:t>de</w:t>
            </w:r>
            <w:r>
              <w:rPr>
                <w:spacing w:val="-10"/>
                <w:sz w:val="18"/>
              </w:rPr>
              <w:t> </w:t>
            </w:r>
            <w:r>
              <w:rPr>
                <w:sz w:val="18"/>
              </w:rPr>
              <w:t>sistemas</w:t>
            </w:r>
            <w:r>
              <w:rPr>
                <w:spacing w:val="-13"/>
                <w:sz w:val="18"/>
              </w:rPr>
              <w:t> </w:t>
            </w:r>
            <w:r>
              <w:rPr>
                <w:sz w:val="18"/>
              </w:rPr>
              <w:t>o </w:t>
            </w:r>
            <w:r>
              <w:rPr>
                <w:spacing w:val="-2"/>
                <w:sz w:val="18"/>
              </w:rPr>
              <w:t>software implementados.</w:t>
            </w:r>
          </w:p>
        </w:tc>
        <w:tc>
          <w:tcPr>
            <w:tcW w:w="1560" w:type="dxa"/>
          </w:tcPr>
          <w:p>
            <w:pPr>
              <w:pStyle w:val="TableParagraph"/>
              <w:spacing w:before="104"/>
              <w:ind w:left="73" w:right="58"/>
              <w:rPr>
                <w:sz w:val="18"/>
              </w:rPr>
            </w:pPr>
            <w:r>
              <w:rPr>
                <w:sz w:val="18"/>
              </w:rPr>
              <w:t>Reporte de </w:t>
            </w:r>
            <w:r>
              <w:rPr>
                <w:spacing w:val="-2"/>
                <w:sz w:val="18"/>
              </w:rPr>
              <w:t>implementación </w:t>
            </w:r>
            <w:r>
              <w:rPr>
                <w:sz w:val="18"/>
              </w:rPr>
              <w:t>del sistema </w:t>
            </w:r>
            <w:r>
              <w:rPr>
                <w:spacing w:val="-2"/>
                <w:sz w:val="18"/>
              </w:rPr>
              <w:t>diseñado.</w:t>
            </w:r>
          </w:p>
        </w:tc>
        <w:tc>
          <w:tcPr>
            <w:tcW w:w="1416" w:type="dxa"/>
          </w:tcPr>
          <w:p>
            <w:pPr>
              <w:pStyle w:val="TableParagraph"/>
              <w:rPr>
                <w:b/>
                <w:sz w:val="18"/>
              </w:rPr>
            </w:pPr>
          </w:p>
          <w:p>
            <w:pPr>
              <w:pStyle w:val="TableParagraph"/>
              <w:spacing w:before="2"/>
              <w:rPr>
                <w:b/>
                <w:sz w:val="18"/>
              </w:rPr>
            </w:pPr>
          </w:p>
          <w:p>
            <w:pPr>
              <w:pStyle w:val="TableParagraph"/>
              <w:ind w:left="17" w:right="12"/>
              <w:jc w:val="center"/>
              <w:rPr>
                <w:sz w:val="18"/>
              </w:rPr>
            </w:pPr>
            <w:r>
              <w:rPr>
                <w:spacing w:val="-5"/>
                <w:sz w:val="18"/>
              </w:rPr>
              <w:t>DDS</w:t>
            </w:r>
          </w:p>
        </w:tc>
        <w:tc>
          <w:tcPr>
            <w:tcW w:w="1647" w:type="dxa"/>
          </w:tcPr>
          <w:p>
            <w:pPr>
              <w:pStyle w:val="TableParagraph"/>
              <w:rPr>
                <w:rFonts w:ascii="Times New Roman"/>
                <w:sz w:val="18"/>
              </w:rPr>
            </w:pPr>
          </w:p>
        </w:tc>
        <w:tc>
          <w:tcPr>
            <w:tcW w:w="1549"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
              <w:rPr>
                <w:b/>
                <w:sz w:val="18"/>
              </w:rPr>
            </w:pPr>
          </w:p>
          <w:p>
            <w:pPr>
              <w:pStyle w:val="TableParagraph"/>
              <w:numPr>
                <w:ilvl w:val="0"/>
                <w:numId w:val="89"/>
              </w:numPr>
              <w:tabs>
                <w:tab w:pos="135" w:val="left" w:leader="none"/>
              </w:tabs>
              <w:spacing w:line="240" w:lineRule="auto" w:before="0" w:after="0"/>
              <w:ind w:left="74" w:right="75" w:firstLine="0"/>
              <w:jc w:val="left"/>
              <w:rPr>
                <w:sz w:val="18"/>
              </w:rPr>
            </w:pPr>
            <w:r>
              <w:rPr>
                <w:sz w:val="18"/>
              </w:rPr>
              <w:t>Posibles</w:t>
            </w:r>
            <w:r>
              <w:rPr>
                <w:spacing w:val="-13"/>
                <w:sz w:val="18"/>
              </w:rPr>
              <w:t> </w:t>
            </w:r>
            <w:r>
              <w:rPr>
                <w:sz w:val="18"/>
              </w:rPr>
              <w:t>atrasos en la propuesta del mecanismo </w:t>
            </w:r>
            <w:r>
              <w:rPr>
                <w:spacing w:val="-6"/>
                <w:sz w:val="18"/>
              </w:rPr>
              <w:t>de </w:t>
            </w:r>
            <w:r>
              <w:rPr>
                <w:spacing w:val="-2"/>
                <w:sz w:val="18"/>
              </w:rPr>
              <w:t>interconectividad </w:t>
            </w:r>
            <w:r>
              <w:rPr>
                <w:sz w:val="18"/>
              </w:rPr>
              <w:t>entre IMAS y </w:t>
            </w:r>
            <w:r>
              <w:rPr>
                <w:spacing w:val="-2"/>
                <w:sz w:val="18"/>
              </w:rPr>
              <w:t>SINIRUBE.</w:t>
            </w:r>
          </w:p>
        </w:tc>
      </w:tr>
      <w:tr>
        <w:trPr>
          <w:trHeight w:val="1862" w:hRule="atLeast"/>
        </w:trPr>
        <w:tc>
          <w:tcPr>
            <w:tcW w:w="2972" w:type="dxa"/>
          </w:tcPr>
          <w:p>
            <w:pPr>
              <w:pStyle w:val="TableParagraph"/>
              <w:ind w:left="72" w:right="168"/>
              <w:rPr>
                <w:sz w:val="18"/>
              </w:rPr>
            </w:pPr>
            <w:r>
              <w:rPr>
                <w:b/>
                <w:sz w:val="18"/>
              </w:rPr>
              <w:t>Actividad PPPS 1.53.2: </w:t>
            </w:r>
            <w:r>
              <w:rPr>
                <w:sz w:val="18"/>
              </w:rPr>
              <w:t>Definición</w:t>
            </w:r>
            <w:r>
              <w:rPr>
                <w:spacing w:val="-9"/>
                <w:sz w:val="18"/>
              </w:rPr>
              <w:t> </w:t>
            </w:r>
            <w:r>
              <w:rPr>
                <w:sz w:val="18"/>
              </w:rPr>
              <w:t>de</w:t>
            </w:r>
            <w:r>
              <w:rPr>
                <w:spacing w:val="-12"/>
                <w:sz w:val="18"/>
              </w:rPr>
              <w:t> </w:t>
            </w:r>
            <w:r>
              <w:rPr>
                <w:sz w:val="18"/>
              </w:rPr>
              <w:t>requerimientos</w:t>
            </w:r>
            <w:r>
              <w:rPr>
                <w:spacing w:val="-12"/>
                <w:sz w:val="18"/>
              </w:rPr>
              <w:t> </w:t>
            </w:r>
            <w:r>
              <w:rPr>
                <w:sz w:val="18"/>
              </w:rPr>
              <w:t>para la captura y obtención de datos necesarios para el monitoreo de</w:t>
            </w:r>
          </w:p>
          <w:p>
            <w:pPr>
              <w:pStyle w:val="TableParagraph"/>
              <w:spacing w:before="2"/>
              <w:ind w:left="72"/>
              <w:rPr>
                <w:sz w:val="18"/>
              </w:rPr>
            </w:pPr>
            <w:r>
              <w:rPr>
                <w:sz w:val="18"/>
              </w:rPr>
              <w:t>los</w:t>
            </w:r>
            <w:r>
              <w:rPr>
                <w:spacing w:val="-2"/>
                <w:sz w:val="18"/>
              </w:rPr>
              <w:t> </w:t>
            </w:r>
            <w:r>
              <w:rPr>
                <w:sz w:val="18"/>
              </w:rPr>
              <w:t>indicadores</w:t>
            </w:r>
            <w:r>
              <w:rPr>
                <w:spacing w:val="-7"/>
                <w:sz w:val="18"/>
              </w:rPr>
              <w:t> </w:t>
            </w:r>
            <w:r>
              <w:rPr>
                <w:sz w:val="18"/>
              </w:rPr>
              <w:t>de</w:t>
            </w:r>
            <w:r>
              <w:rPr>
                <w:spacing w:val="-3"/>
                <w:sz w:val="18"/>
              </w:rPr>
              <w:t> </w:t>
            </w:r>
            <w:r>
              <w:rPr>
                <w:sz w:val="18"/>
              </w:rPr>
              <w:t>los</w:t>
            </w:r>
            <w:r>
              <w:rPr>
                <w:spacing w:val="-7"/>
                <w:sz w:val="18"/>
              </w:rPr>
              <w:t> </w:t>
            </w:r>
            <w:r>
              <w:rPr>
                <w:sz w:val="18"/>
              </w:rPr>
              <w:t>ejes</w:t>
            </w:r>
            <w:r>
              <w:rPr>
                <w:spacing w:val="-7"/>
                <w:sz w:val="18"/>
              </w:rPr>
              <w:t> </w:t>
            </w:r>
            <w:r>
              <w:rPr>
                <w:sz w:val="18"/>
              </w:rPr>
              <w:t>1, 2</w:t>
            </w:r>
            <w:r>
              <w:rPr>
                <w:spacing w:val="-7"/>
                <w:sz w:val="18"/>
              </w:rPr>
              <w:t> </w:t>
            </w:r>
            <w:r>
              <w:rPr>
                <w:sz w:val="18"/>
              </w:rPr>
              <w:t>y</w:t>
            </w:r>
            <w:r>
              <w:rPr>
                <w:spacing w:val="-7"/>
                <w:sz w:val="18"/>
              </w:rPr>
              <w:t> </w:t>
            </w:r>
            <w:r>
              <w:rPr>
                <w:sz w:val="18"/>
              </w:rPr>
              <w:t>3, que posibiliten el seguimiento y evaluación de la estrategia de</w:t>
            </w:r>
          </w:p>
          <w:p>
            <w:pPr>
              <w:pStyle w:val="TableParagraph"/>
              <w:spacing w:line="206" w:lineRule="exact"/>
              <w:ind w:left="72"/>
              <w:rPr>
                <w:b/>
                <w:i/>
                <w:sz w:val="18"/>
              </w:rPr>
            </w:pPr>
            <w:r>
              <w:rPr>
                <w:sz w:val="18"/>
              </w:rPr>
              <w:t>articulación</w:t>
            </w:r>
            <w:r>
              <w:rPr>
                <w:spacing w:val="-11"/>
                <w:sz w:val="18"/>
              </w:rPr>
              <w:t> </w:t>
            </w:r>
            <w:r>
              <w:rPr>
                <w:b/>
                <w:i/>
                <w:sz w:val="18"/>
              </w:rPr>
              <w:t>(vinculada</w:t>
            </w:r>
            <w:r>
              <w:rPr>
                <w:b/>
                <w:i/>
                <w:spacing w:val="-11"/>
                <w:sz w:val="18"/>
              </w:rPr>
              <w:t> </w:t>
            </w:r>
            <w:r>
              <w:rPr>
                <w:b/>
                <w:i/>
                <w:sz w:val="18"/>
              </w:rPr>
              <w:t>a</w:t>
            </w:r>
            <w:r>
              <w:rPr>
                <w:b/>
                <w:i/>
                <w:spacing w:val="-11"/>
                <w:sz w:val="18"/>
              </w:rPr>
              <w:t> </w:t>
            </w:r>
            <w:r>
              <w:rPr>
                <w:b/>
                <w:i/>
                <w:sz w:val="18"/>
              </w:rPr>
              <w:t>PAISS</w:t>
            </w:r>
            <w:r>
              <w:rPr>
                <w:b/>
                <w:i/>
                <w:sz w:val="18"/>
              </w:rPr>
              <w:t> </w:t>
            </w:r>
            <w:r>
              <w:rPr>
                <w:b/>
                <w:i/>
                <w:spacing w:val="-2"/>
                <w:sz w:val="18"/>
              </w:rPr>
              <w:t>4.1.2).</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21" w:right="10"/>
              <w:jc w:val="center"/>
              <w:rPr>
                <w:sz w:val="18"/>
              </w:rPr>
            </w:pPr>
            <w:r>
              <w:rPr>
                <w:spacing w:val="-10"/>
                <w:sz w:val="18"/>
              </w:rPr>
              <w:t>0</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21" w:right="18"/>
              <w:jc w:val="center"/>
              <w:rPr>
                <w:sz w:val="18"/>
              </w:rPr>
            </w:pPr>
            <w:r>
              <w:rPr>
                <w:spacing w:val="-10"/>
                <w:sz w:val="18"/>
              </w:rPr>
              <w:t>3</w:t>
            </w:r>
          </w:p>
        </w:tc>
        <w:tc>
          <w:tcPr>
            <w:tcW w:w="1982"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8" w:right="114"/>
              <w:rPr>
                <w:sz w:val="18"/>
              </w:rPr>
            </w:pPr>
            <w:r>
              <w:rPr>
                <w:sz w:val="18"/>
              </w:rPr>
              <w:t>Número de </w:t>
            </w:r>
            <w:r>
              <w:rPr>
                <w:spacing w:val="-2"/>
                <w:sz w:val="18"/>
              </w:rPr>
              <w:t>requerimientos definidos.</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3" w:right="58"/>
              <w:rPr>
                <w:sz w:val="18"/>
              </w:rPr>
            </w:pPr>
            <w:r>
              <w:rPr>
                <w:sz w:val="18"/>
              </w:rPr>
              <w:t>Reporte de </w:t>
            </w:r>
            <w:r>
              <w:rPr>
                <w:spacing w:val="-2"/>
                <w:sz w:val="18"/>
              </w:rPr>
              <w:t>requerimientos definidos.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17" w:right="12"/>
              <w:jc w:val="center"/>
              <w:rPr>
                <w:sz w:val="18"/>
              </w:rPr>
            </w:pPr>
            <w:r>
              <w:rPr>
                <w:spacing w:val="-5"/>
                <w:sz w:val="18"/>
              </w:rPr>
              <w:t>DDS</w:t>
            </w:r>
          </w:p>
        </w:tc>
        <w:tc>
          <w:tcPr>
            <w:tcW w:w="1647" w:type="dxa"/>
          </w:tcPr>
          <w:p>
            <w:pPr>
              <w:pStyle w:val="TableParagraph"/>
              <w:rPr>
                <w:rFonts w:ascii="Times New Roman"/>
                <w:sz w:val="18"/>
              </w:rPr>
            </w:pPr>
          </w:p>
        </w:tc>
        <w:tc>
          <w:tcPr>
            <w:tcW w:w="1549" w:type="dxa"/>
            <w:vMerge/>
            <w:tcBorders>
              <w:top w:val="nil"/>
            </w:tcBorders>
          </w:tcPr>
          <w:p>
            <w:pPr>
              <w:rPr>
                <w:sz w:val="2"/>
                <w:szCs w:val="2"/>
              </w:rPr>
            </w:pPr>
          </w:p>
        </w:tc>
      </w:tr>
      <w:tr>
        <w:trPr>
          <w:trHeight w:val="1036" w:hRule="atLeast"/>
        </w:trPr>
        <w:tc>
          <w:tcPr>
            <w:tcW w:w="2972" w:type="dxa"/>
          </w:tcPr>
          <w:p>
            <w:pPr>
              <w:pStyle w:val="TableParagraph"/>
              <w:spacing w:line="206"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1.53.3:</w:t>
            </w:r>
          </w:p>
          <w:p>
            <w:pPr>
              <w:pStyle w:val="TableParagraph"/>
              <w:spacing w:line="242" w:lineRule="auto"/>
              <w:ind w:left="72" w:right="105"/>
              <w:rPr>
                <w:b/>
                <w:i/>
                <w:sz w:val="18"/>
              </w:rPr>
            </w:pPr>
            <w:r>
              <w:rPr>
                <w:sz w:val="18"/>
              </w:rPr>
              <w:t>Reportes de cumplimiento de metas</w:t>
            </w:r>
            <w:r>
              <w:rPr>
                <w:spacing w:val="-13"/>
                <w:sz w:val="18"/>
              </w:rPr>
              <w:t> </w:t>
            </w:r>
            <w:r>
              <w:rPr>
                <w:sz w:val="18"/>
              </w:rPr>
              <w:t>e</w:t>
            </w:r>
            <w:r>
              <w:rPr>
                <w:spacing w:val="-10"/>
                <w:sz w:val="18"/>
              </w:rPr>
              <w:t> </w:t>
            </w:r>
            <w:r>
              <w:rPr>
                <w:sz w:val="18"/>
              </w:rPr>
              <w:t>intervenciones</w:t>
            </w:r>
            <w:r>
              <w:rPr>
                <w:spacing w:val="-13"/>
                <w:sz w:val="18"/>
              </w:rPr>
              <w:t> </w:t>
            </w:r>
            <w:r>
              <w:rPr>
                <w:sz w:val="18"/>
              </w:rPr>
              <w:t>sectoriales e intersectoriales </w:t>
            </w:r>
            <w:r>
              <w:rPr>
                <w:b/>
                <w:i/>
                <w:sz w:val="18"/>
              </w:rPr>
              <w:t>(vinculada a</w:t>
            </w:r>
          </w:p>
          <w:p>
            <w:pPr>
              <w:pStyle w:val="TableParagraph"/>
              <w:spacing w:line="184" w:lineRule="exact"/>
              <w:ind w:left="72"/>
              <w:rPr>
                <w:b/>
                <w:i/>
                <w:sz w:val="18"/>
              </w:rPr>
            </w:pPr>
            <w:r>
              <w:rPr>
                <w:b/>
                <w:i/>
                <w:sz w:val="18"/>
              </w:rPr>
              <w:t>PAISS</w:t>
            </w:r>
            <w:r>
              <w:rPr>
                <w:b/>
                <w:i/>
                <w:spacing w:val="-1"/>
                <w:sz w:val="18"/>
              </w:rPr>
              <w:t> </w:t>
            </w:r>
            <w:r>
              <w:rPr>
                <w:b/>
                <w:i/>
                <w:spacing w:val="-2"/>
                <w:sz w:val="18"/>
              </w:rPr>
              <w:t>4.2.3).</w:t>
            </w:r>
          </w:p>
        </w:tc>
        <w:tc>
          <w:tcPr>
            <w:tcW w:w="1560" w:type="dxa"/>
          </w:tcPr>
          <w:p>
            <w:pPr>
              <w:pStyle w:val="TableParagraph"/>
              <w:rPr>
                <w:b/>
                <w:sz w:val="18"/>
              </w:rPr>
            </w:pPr>
          </w:p>
          <w:p>
            <w:pPr>
              <w:pStyle w:val="TableParagraph"/>
              <w:spacing w:before="2"/>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2"/>
              <w:rPr>
                <w:b/>
                <w:sz w:val="18"/>
              </w:rPr>
            </w:pPr>
          </w:p>
          <w:p>
            <w:pPr>
              <w:pStyle w:val="TableParagraph"/>
              <w:ind w:left="21" w:right="18"/>
              <w:jc w:val="center"/>
              <w:rPr>
                <w:sz w:val="18"/>
              </w:rPr>
            </w:pPr>
            <w:r>
              <w:rPr>
                <w:spacing w:val="-10"/>
                <w:sz w:val="18"/>
              </w:rPr>
              <w:t>4</w:t>
            </w:r>
          </w:p>
        </w:tc>
        <w:tc>
          <w:tcPr>
            <w:tcW w:w="1982" w:type="dxa"/>
          </w:tcPr>
          <w:p>
            <w:pPr>
              <w:pStyle w:val="TableParagraph"/>
              <w:spacing w:before="103"/>
              <w:rPr>
                <w:b/>
                <w:sz w:val="18"/>
              </w:rPr>
            </w:pPr>
          </w:p>
          <w:p>
            <w:pPr>
              <w:pStyle w:val="TableParagraph"/>
              <w:spacing w:before="1"/>
              <w:ind w:left="68"/>
              <w:rPr>
                <w:sz w:val="18"/>
              </w:rPr>
            </w:pPr>
            <w:r>
              <w:rPr>
                <w:sz w:val="18"/>
              </w:rPr>
              <w:t>Número</w:t>
            </w:r>
            <w:r>
              <w:rPr>
                <w:spacing w:val="-15"/>
                <w:sz w:val="18"/>
              </w:rPr>
              <w:t> </w:t>
            </w:r>
            <w:r>
              <w:rPr>
                <w:sz w:val="18"/>
              </w:rPr>
              <w:t>de</w:t>
            </w:r>
            <w:r>
              <w:rPr>
                <w:spacing w:val="-12"/>
                <w:sz w:val="18"/>
              </w:rPr>
              <w:t> </w:t>
            </w:r>
            <w:r>
              <w:rPr>
                <w:sz w:val="18"/>
              </w:rPr>
              <w:t>reportes </w:t>
            </w:r>
            <w:r>
              <w:rPr>
                <w:spacing w:val="-2"/>
                <w:sz w:val="18"/>
              </w:rPr>
              <w:t>generados.</w:t>
            </w:r>
          </w:p>
        </w:tc>
        <w:tc>
          <w:tcPr>
            <w:tcW w:w="1560" w:type="dxa"/>
          </w:tcPr>
          <w:p>
            <w:pPr>
              <w:pStyle w:val="TableParagraph"/>
              <w:spacing w:before="103"/>
              <w:rPr>
                <w:b/>
                <w:sz w:val="18"/>
              </w:rPr>
            </w:pPr>
          </w:p>
          <w:p>
            <w:pPr>
              <w:pStyle w:val="TableParagraph"/>
              <w:spacing w:before="1"/>
              <w:ind w:left="73" w:right="58"/>
              <w:rPr>
                <w:sz w:val="18"/>
              </w:rPr>
            </w:pPr>
            <w:r>
              <w:rPr>
                <w:sz w:val="18"/>
              </w:rPr>
              <w:t>Reportes de </w:t>
            </w:r>
            <w:r>
              <w:rPr>
                <w:spacing w:val="-2"/>
                <w:sz w:val="18"/>
              </w:rPr>
              <w:t>cumplimiento.</w:t>
            </w:r>
          </w:p>
        </w:tc>
        <w:tc>
          <w:tcPr>
            <w:tcW w:w="1416" w:type="dxa"/>
          </w:tcPr>
          <w:p>
            <w:pPr>
              <w:pStyle w:val="TableParagraph"/>
              <w:rPr>
                <w:b/>
                <w:sz w:val="18"/>
              </w:rPr>
            </w:pPr>
          </w:p>
          <w:p>
            <w:pPr>
              <w:pStyle w:val="TableParagraph"/>
              <w:spacing w:before="2"/>
              <w:rPr>
                <w:b/>
                <w:sz w:val="18"/>
              </w:rPr>
            </w:pPr>
          </w:p>
          <w:p>
            <w:pPr>
              <w:pStyle w:val="TableParagraph"/>
              <w:ind w:left="17" w:right="12"/>
              <w:jc w:val="center"/>
              <w:rPr>
                <w:sz w:val="18"/>
              </w:rPr>
            </w:pPr>
            <w:r>
              <w:rPr>
                <w:spacing w:val="-5"/>
                <w:sz w:val="18"/>
              </w:rPr>
              <w:t>DDS</w:t>
            </w:r>
          </w:p>
        </w:tc>
        <w:tc>
          <w:tcPr>
            <w:tcW w:w="1647" w:type="dxa"/>
          </w:tcPr>
          <w:p>
            <w:pPr>
              <w:pStyle w:val="TableParagraph"/>
              <w:rPr>
                <w:rFonts w:ascii="Times New Roman"/>
                <w:sz w:val="18"/>
              </w:rPr>
            </w:pPr>
          </w:p>
        </w:tc>
        <w:tc>
          <w:tcPr>
            <w:tcW w:w="1549" w:type="dxa"/>
            <w:vMerge/>
            <w:tcBorders>
              <w:top w:val="nil"/>
            </w:tcBorders>
          </w:tcPr>
          <w:p>
            <w:pPr>
              <w:rPr>
                <w:sz w:val="2"/>
                <w:szCs w:val="2"/>
              </w:rPr>
            </w:pPr>
          </w:p>
        </w:tc>
      </w:tr>
      <w:tr>
        <w:trPr>
          <w:trHeight w:val="661" w:hRule="atLeast"/>
        </w:trPr>
        <w:tc>
          <w:tcPr>
            <w:tcW w:w="14246" w:type="dxa"/>
            <w:gridSpan w:val="8"/>
            <w:shd w:val="clear" w:color="auto" w:fill="EFF8F9"/>
          </w:tcPr>
          <w:p>
            <w:pPr>
              <w:pStyle w:val="TableParagraph"/>
              <w:spacing w:before="123"/>
              <w:ind w:left="72" w:right="60"/>
              <w:rPr>
                <w:b/>
                <w:sz w:val="18"/>
              </w:rPr>
            </w:pPr>
            <w:r>
              <w:rPr>
                <w:b/>
                <w:sz w:val="18"/>
              </w:rPr>
              <w:t>Producto</w:t>
            </w:r>
            <w:r>
              <w:rPr>
                <w:b/>
                <w:spacing w:val="-3"/>
                <w:sz w:val="18"/>
              </w:rPr>
              <w:t> </w:t>
            </w:r>
            <w:r>
              <w:rPr>
                <w:b/>
                <w:sz w:val="18"/>
              </w:rPr>
              <w:t>PPPS</w:t>
            </w:r>
            <w:r>
              <w:rPr>
                <w:b/>
                <w:spacing w:val="-4"/>
                <w:sz w:val="18"/>
              </w:rPr>
              <w:t> </w:t>
            </w:r>
            <w:r>
              <w:rPr>
                <w:b/>
                <w:sz w:val="18"/>
              </w:rPr>
              <w:t>1.54: Asignación de</w:t>
            </w:r>
            <w:r>
              <w:rPr>
                <w:b/>
                <w:spacing w:val="-2"/>
                <w:sz w:val="18"/>
              </w:rPr>
              <w:t> </w:t>
            </w:r>
            <w:r>
              <w:rPr>
                <w:b/>
                <w:sz w:val="18"/>
              </w:rPr>
              <w:t>subsidios</w:t>
            </w:r>
            <w:r>
              <w:rPr>
                <w:b/>
                <w:spacing w:val="-2"/>
                <w:sz w:val="18"/>
              </w:rPr>
              <w:t> </w:t>
            </w:r>
            <w:r>
              <w:rPr>
                <w:b/>
                <w:sz w:val="18"/>
              </w:rPr>
              <w:t>de</w:t>
            </w:r>
            <w:r>
              <w:rPr>
                <w:b/>
                <w:spacing w:val="-2"/>
                <w:sz w:val="18"/>
              </w:rPr>
              <w:t> </w:t>
            </w:r>
            <w:r>
              <w:rPr>
                <w:b/>
                <w:sz w:val="18"/>
              </w:rPr>
              <w:t>protección</w:t>
            </w:r>
            <w:r>
              <w:rPr>
                <w:b/>
                <w:spacing w:val="-3"/>
                <w:sz w:val="18"/>
              </w:rPr>
              <w:t> </w:t>
            </w:r>
            <w:r>
              <w:rPr>
                <w:b/>
                <w:sz w:val="18"/>
              </w:rPr>
              <w:t>y promoción</w:t>
            </w:r>
            <w:r>
              <w:rPr>
                <w:b/>
                <w:spacing w:val="-3"/>
                <w:sz w:val="18"/>
              </w:rPr>
              <w:t> </w:t>
            </w:r>
            <w:r>
              <w:rPr>
                <w:b/>
                <w:sz w:val="18"/>
              </w:rPr>
              <w:t>social, que</w:t>
            </w:r>
            <w:r>
              <w:rPr>
                <w:b/>
                <w:spacing w:val="-2"/>
                <w:sz w:val="18"/>
              </w:rPr>
              <w:t> </w:t>
            </w:r>
            <w:r>
              <w:rPr>
                <w:b/>
                <w:sz w:val="18"/>
              </w:rPr>
              <w:t>contribuyan</w:t>
            </w:r>
            <w:r>
              <w:rPr>
                <w:b/>
                <w:spacing w:val="-3"/>
                <w:sz w:val="18"/>
              </w:rPr>
              <w:t> </w:t>
            </w:r>
            <w:r>
              <w:rPr>
                <w:b/>
                <w:sz w:val="18"/>
              </w:rPr>
              <w:t>a</w:t>
            </w:r>
            <w:r>
              <w:rPr>
                <w:b/>
                <w:spacing w:val="-2"/>
                <w:sz w:val="18"/>
              </w:rPr>
              <w:t> </w:t>
            </w:r>
            <w:r>
              <w:rPr>
                <w:b/>
                <w:sz w:val="18"/>
              </w:rPr>
              <w:t>la</w:t>
            </w:r>
            <w:r>
              <w:rPr>
                <w:b/>
                <w:spacing w:val="-2"/>
                <w:sz w:val="18"/>
              </w:rPr>
              <w:t> </w:t>
            </w:r>
            <w:r>
              <w:rPr>
                <w:b/>
                <w:sz w:val="18"/>
              </w:rPr>
              <w:t>superación</w:t>
            </w:r>
            <w:r>
              <w:rPr>
                <w:b/>
                <w:spacing w:val="-3"/>
                <w:sz w:val="18"/>
              </w:rPr>
              <w:t> </w:t>
            </w:r>
            <w:r>
              <w:rPr>
                <w:b/>
                <w:sz w:val="18"/>
              </w:rPr>
              <w:t>de la pobreza</w:t>
            </w:r>
            <w:r>
              <w:rPr>
                <w:b/>
                <w:spacing w:val="-2"/>
                <w:sz w:val="18"/>
              </w:rPr>
              <w:t> </w:t>
            </w:r>
            <w:r>
              <w:rPr>
                <w:b/>
                <w:sz w:val="18"/>
              </w:rPr>
              <w:t>en</w:t>
            </w:r>
            <w:r>
              <w:rPr>
                <w:b/>
                <w:spacing w:val="-3"/>
                <w:sz w:val="18"/>
              </w:rPr>
              <w:t> </w:t>
            </w:r>
            <w:r>
              <w:rPr>
                <w:b/>
                <w:sz w:val="18"/>
              </w:rPr>
              <w:t>hogares</w:t>
            </w:r>
            <w:r>
              <w:rPr>
                <w:b/>
                <w:spacing w:val="-2"/>
                <w:sz w:val="18"/>
              </w:rPr>
              <w:t> </w:t>
            </w:r>
            <w:r>
              <w:rPr>
                <w:b/>
                <w:sz w:val="18"/>
              </w:rPr>
              <w:t>en dicha</w:t>
            </w:r>
            <w:r>
              <w:rPr>
                <w:b/>
                <w:spacing w:val="-2"/>
                <w:sz w:val="18"/>
              </w:rPr>
              <w:t> </w:t>
            </w:r>
            <w:r>
              <w:rPr>
                <w:b/>
                <w:sz w:val="18"/>
              </w:rPr>
              <w:t>situación</w:t>
            </w:r>
            <w:r>
              <w:rPr>
                <w:b/>
                <w:spacing w:val="-3"/>
                <w:sz w:val="18"/>
              </w:rPr>
              <w:t> </w:t>
            </w:r>
            <w:r>
              <w:rPr>
                <w:b/>
                <w:sz w:val="18"/>
              </w:rPr>
              <w:t>de </w:t>
            </w:r>
            <w:r>
              <w:rPr>
                <w:b/>
                <w:spacing w:val="-2"/>
                <w:sz w:val="18"/>
              </w:rPr>
              <w:t>pobreza.</w:t>
            </w:r>
          </w:p>
        </w:tc>
      </w:tr>
      <w:tr>
        <w:trPr>
          <w:trHeight w:val="2069" w:hRule="atLeast"/>
        </w:trPr>
        <w:tc>
          <w:tcPr>
            <w:tcW w:w="2972" w:type="dxa"/>
          </w:tcPr>
          <w:p>
            <w:pPr>
              <w:pStyle w:val="TableParagraph"/>
              <w:spacing w:before="99"/>
              <w:rPr>
                <w:b/>
                <w:sz w:val="18"/>
              </w:rPr>
            </w:pPr>
          </w:p>
          <w:p>
            <w:pPr>
              <w:pStyle w:val="TableParagraph"/>
              <w:ind w:left="72" w:right="105"/>
              <w:rPr>
                <w:b/>
                <w:sz w:val="18"/>
              </w:rPr>
            </w:pPr>
            <w:r>
              <w:rPr>
                <w:b/>
                <w:sz w:val="18"/>
              </w:rPr>
              <w:t>Actividad PPPS 1.54.1: </w:t>
            </w:r>
            <w:r>
              <w:rPr>
                <w:sz w:val="18"/>
              </w:rPr>
              <w:t>Asignación de subsidios de protección</w:t>
            </w:r>
            <w:r>
              <w:rPr>
                <w:spacing w:val="-11"/>
                <w:sz w:val="18"/>
              </w:rPr>
              <w:t> </w:t>
            </w:r>
            <w:r>
              <w:rPr>
                <w:sz w:val="18"/>
              </w:rPr>
              <w:t>y</w:t>
            </w:r>
            <w:r>
              <w:rPr>
                <w:spacing w:val="-11"/>
                <w:sz w:val="18"/>
              </w:rPr>
              <w:t> </w:t>
            </w:r>
            <w:r>
              <w:rPr>
                <w:sz w:val="18"/>
              </w:rPr>
              <w:t>promoción</w:t>
            </w:r>
            <w:r>
              <w:rPr>
                <w:spacing w:val="-11"/>
                <w:sz w:val="18"/>
              </w:rPr>
              <w:t> </w:t>
            </w:r>
            <w:r>
              <w:rPr>
                <w:sz w:val="18"/>
              </w:rPr>
              <w:t>social,</w:t>
            </w:r>
            <w:r>
              <w:rPr>
                <w:spacing w:val="-5"/>
                <w:sz w:val="18"/>
              </w:rPr>
              <w:t> </w:t>
            </w:r>
            <w:r>
              <w:rPr>
                <w:sz w:val="18"/>
              </w:rPr>
              <w:t>que contribuyan a la superación de la pobreza en hogares en dicha situación </w:t>
            </w:r>
            <w:r>
              <w:rPr>
                <w:b/>
                <w:sz w:val="18"/>
              </w:rPr>
              <w:t>(vinculada a PEN Intervención Pública 1023).</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6"/>
              <w:jc w:val="center"/>
              <w:rPr>
                <w:sz w:val="18"/>
              </w:rPr>
            </w:pPr>
            <w:r>
              <w:rPr>
                <w:spacing w:val="-4"/>
                <w:sz w:val="18"/>
              </w:rPr>
              <w:t>3645</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14"/>
              <w:jc w:val="center"/>
              <w:rPr>
                <w:sz w:val="18"/>
              </w:rPr>
            </w:pPr>
            <w:r>
              <w:rPr>
                <w:spacing w:val="-4"/>
                <w:sz w:val="18"/>
              </w:rPr>
              <w:t>3645</w:t>
            </w:r>
          </w:p>
        </w:tc>
        <w:tc>
          <w:tcPr>
            <w:tcW w:w="1982" w:type="dxa"/>
          </w:tcPr>
          <w:p>
            <w:pPr>
              <w:pStyle w:val="TableParagraph"/>
              <w:ind w:left="68" w:right="53"/>
              <w:rPr>
                <w:sz w:val="18"/>
              </w:rPr>
            </w:pPr>
            <w:r>
              <w:rPr>
                <w:sz w:val="18"/>
              </w:rPr>
              <w:t>Número</w:t>
            </w:r>
            <w:r>
              <w:rPr>
                <w:spacing w:val="-11"/>
                <w:sz w:val="18"/>
              </w:rPr>
              <w:t> </w:t>
            </w:r>
            <w:r>
              <w:rPr>
                <w:sz w:val="18"/>
              </w:rPr>
              <w:t>de</w:t>
            </w:r>
            <w:r>
              <w:rPr>
                <w:spacing w:val="-11"/>
                <w:sz w:val="18"/>
              </w:rPr>
              <w:t> </w:t>
            </w:r>
            <w:r>
              <w:rPr>
                <w:sz w:val="18"/>
              </w:rPr>
              <w:t>hogares</w:t>
            </w:r>
            <w:r>
              <w:rPr>
                <w:spacing w:val="-10"/>
                <w:sz w:val="18"/>
              </w:rPr>
              <w:t> </w:t>
            </w:r>
            <w:r>
              <w:rPr>
                <w:sz w:val="18"/>
              </w:rPr>
              <w:t>en situación de pobreza que residen en Florencia, Aguas Zarcas y Cutris y cuentan con al menos un subsidio del Programa de Protección y</w:t>
            </w:r>
          </w:p>
          <w:p>
            <w:pPr>
              <w:pStyle w:val="TableParagraph"/>
              <w:spacing w:line="187" w:lineRule="exact"/>
              <w:ind w:left="68"/>
              <w:rPr>
                <w:sz w:val="18"/>
              </w:rPr>
            </w:pPr>
            <w:r>
              <w:rPr>
                <w:sz w:val="18"/>
              </w:rPr>
              <w:t>Promoción</w:t>
            </w:r>
            <w:r>
              <w:rPr>
                <w:spacing w:val="-3"/>
                <w:sz w:val="18"/>
              </w:rPr>
              <w:t> </w:t>
            </w:r>
            <w:r>
              <w:rPr>
                <w:spacing w:val="-2"/>
                <w:sz w:val="18"/>
              </w:rPr>
              <w:t>Social.</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3" w:right="58"/>
              <w:rPr>
                <w:sz w:val="18"/>
              </w:rPr>
            </w:pPr>
            <w:r>
              <w:rPr>
                <w:spacing w:val="-2"/>
                <w:sz w:val="18"/>
              </w:rPr>
              <w:t>Reportes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7" w:right="5"/>
              <w:jc w:val="center"/>
              <w:rPr>
                <w:sz w:val="18"/>
              </w:rPr>
            </w:pPr>
            <w:r>
              <w:rPr>
                <w:spacing w:val="-4"/>
                <w:sz w:val="18"/>
              </w:rPr>
              <w:t>DSIS</w:t>
            </w:r>
          </w:p>
        </w:tc>
        <w:tc>
          <w:tcPr>
            <w:tcW w:w="1647" w:type="dxa"/>
          </w:tcPr>
          <w:p>
            <w:pPr>
              <w:pStyle w:val="TableParagraph"/>
              <w:rPr>
                <w:rFonts w:ascii="Times New Roman"/>
                <w:sz w:val="18"/>
              </w:rPr>
            </w:pPr>
          </w:p>
        </w:tc>
        <w:tc>
          <w:tcPr>
            <w:tcW w:w="1549" w:type="dxa"/>
          </w:tcPr>
          <w:p>
            <w:pPr>
              <w:pStyle w:val="TableParagraph"/>
              <w:numPr>
                <w:ilvl w:val="0"/>
                <w:numId w:val="90"/>
              </w:numPr>
              <w:tabs>
                <w:tab w:pos="135" w:val="left" w:leader="none"/>
              </w:tabs>
              <w:spacing w:line="240" w:lineRule="auto" w:before="0" w:after="0"/>
              <w:ind w:left="74" w:right="56" w:firstLine="0"/>
              <w:jc w:val="left"/>
              <w:rPr>
                <w:sz w:val="18"/>
              </w:rPr>
            </w:pPr>
            <w:r>
              <w:rPr>
                <w:spacing w:val="-2"/>
                <w:sz w:val="18"/>
              </w:rPr>
              <w:t>Posibles </w:t>
            </w:r>
            <w:r>
              <w:rPr>
                <w:sz w:val="18"/>
              </w:rPr>
              <w:t>diferencias</w:t>
            </w:r>
            <w:r>
              <w:rPr>
                <w:spacing w:val="-15"/>
                <w:sz w:val="18"/>
              </w:rPr>
              <w:t> </w:t>
            </w:r>
            <w:r>
              <w:rPr>
                <w:sz w:val="18"/>
              </w:rPr>
              <w:t>en</w:t>
            </w:r>
            <w:r>
              <w:rPr>
                <w:spacing w:val="-12"/>
                <w:sz w:val="18"/>
              </w:rPr>
              <w:t> </w:t>
            </w:r>
            <w:r>
              <w:rPr>
                <w:sz w:val="18"/>
              </w:rPr>
              <w:t>los reportes de metas físicas y </w:t>
            </w:r>
            <w:r>
              <w:rPr>
                <w:spacing w:val="-2"/>
                <w:sz w:val="18"/>
              </w:rPr>
              <w:t>presupuestarias </w:t>
            </w:r>
            <w:r>
              <w:rPr>
                <w:sz w:val="18"/>
              </w:rPr>
              <w:t>de instrumentos de planificación presentados por la DDS ante el</w:t>
            </w:r>
          </w:p>
          <w:p>
            <w:pPr>
              <w:pStyle w:val="TableParagraph"/>
              <w:spacing w:line="187" w:lineRule="exact"/>
              <w:ind w:left="74"/>
              <w:rPr>
                <w:sz w:val="18"/>
              </w:rPr>
            </w:pPr>
            <w:r>
              <w:rPr>
                <w:spacing w:val="-2"/>
                <w:sz w:val="18"/>
              </w:rPr>
              <w:t>PNDIP.</w:t>
            </w:r>
          </w:p>
        </w:tc>
      </w:tr>
    </w:tbl>
    <w:p>
      <w:pPr>
        <w:pStyle w:val="TableParagraph"/>
        <w:spacing w:after="0" w:line="187" w:lineRule="exact"/>
        <w:rPr>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5"/>
        <w:gridCol w:w="1558"/>
        <w:gridCol w:w="1561"/>
        <w:gridCol w:w="1983"/>
        <w:gridCol w:w="1561"/>
        <w:gridCol w:w="1417"/>
        <w:gridCol w:w="1650"/>
        <w:gridCol w:w="1549"/>
      </w:tblGrid>
      <w:tr>
        <w:trPr>
          <w:trHeight w:val="618" w:hRule="atLeast"/>
        </w:trPr>
        <w:tc>
          <w:tcPr>
            <w:tcW w:w="2975" w:type="dxa"/>
            <w:tcBorders>
              <w:bottom w:val="nil"/>
            </w:tcBorders>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58" w:type="dxa"/>
            <w:shd w:val="clear" w:color="auto" w:fill="D9D9D9"/>
          </w:tcPr>
          <w:p>
            <w:pPr>
              <w:pStyle w:val="TableParagraph"/>
              <w:spacing w:before="104"/>
              <w:ind w:left="520" w:hanging="217"/>
              <w:rPr>
                <w:b/>
                <w:sz w:val="18"/>
              </w:rPr>
            </w:pPr>
            <w:r>
              <w:rPr>
                <w:b/>
                <w:sz w:val="18"/>
              </w:rPr>
              <w:t>Línea</w:t>
            </w:r>
            <w:r>
              <w:rPr>
                <w:b/>
                <w:spacing w:val="-13"/>
                <w:sz w:val="18"/>
              </w:rPr>
              <w:t> </w:t>
            </w:r>
            <w:r>
              <w:rPr>
                <w:b/>
                <w:sz w:val="18"/>
              </w:rPr>
              <w:t>Base </w:t>
            </w:r>
            <w:r>
              <w:rPr>
                <w:b/>
                <w:spacing w:val="-2"/>
                <w:sz w:val="18"/>
              </w:rPr>
              <w:t>(2024)</w:t>
            </w:r>
          </w:p>
        </w:tc>
        <w:tc>
          <w:tcPr>
            <w:tcW w:w="1561" w:type="dxa"/>
            <w:shd w:val="clear" w:color="auto" w:fill="D9D9D9"/>
          </w:tcPr>
          <w:p>
            <w:pPr>
              <w:pStyle w:val="TableParagraph"/>
              <w:spacing w:line="206" w:lineRule="exact"/>
              <w:ind w:left="253" w:right="248" w:firstLine="1"/>
              <w:jc w:val="center"/>
              <w:rPr>
                <w:b/>
                <w:sz w:val="18"/>
              </w:rPr>
            </w:pPr>
            <w:r>
              <w:rPr>
                <w:b/>
                <w:spacing w:val="-4"/>
                <w:sz w:val="18"/>
              </w:rPr>
              <w:t>Meta </w:t>
            </w:r>
            <w:r>
              <w:rPr>
                <w:b/>
                <w:spacing w:val="-2"/>
                <w:sz w:val="18"/>
              </w:rPr>
              <w:t>programada </w:t>
            </w:r>
            <w:r>
              <w:rPr>
                <w:b/>
                <w:spacing w:val="-4"/>
                <w:sz w:val="18"/>
              </w:rPr>
              <w:t>2025</w:t>
            </w:r>
          </w:p>
        </w:tc>
        <w:tc>
          <w:tcPr>
            <w:tcW w:w="1983" w:type="dxa"/>
            <w:shd w:val="clear" w:color="auto" w:fill="D9D9D9"/>
          </w:tcPr>
          <w:p>
            <w:pPr>
              <w:pStyle w:val="TableParagraph"/>
              <w:spacing w:before="205"/>
              <w:ind w:left="579"/>
              <w:rPr>
                <w:b/>
                <w:sz w:val="18"/>
              </w:rPr>
            </w:pPr>
            <w:r>
              <w:rPr>
                <w:b/>
                <w:spacing w:val="-2"/>
                <w:sz w:val="18"/>
              </w:rPr>
              <w:t>Indicador</w:t>
            </w:r>
          </w:p>
        </w:tc>
        <w:tc>
          <w:tcPr>
            <w:tcW w:w="1561" w:type="dxa"/>
            <w:shd w:val="clear" w:color="auto" w:fill="D9D9D9"/>
          </w:tcPr>
          <w:p>
            <w:pPr>
              <w:pStyle w:val="TableParagraph"/>
              <w:spacing w:before="104"/>
              <w:ind w:left="281" w:firstLine="57"/>
              <w:rPr>
                <w:b/>
                <w:sz w:val="18"/>
              </w:rPr>
            </w:pPr>
            <w:r>
              <w:rPr>
                <w:b/>
                <w:sz w:val="18"/>
              </w:rPr>
              <w:t>Medios de </w:t>
            </w:r>
            <w:r>
              <w:rPr>
                <w:b/>
                <w:spacing w:val="-2"/>
                <w:sz w:val="18"/>
              </w:rPr>
              <w:t>verificación</w:t>
            </w:r>
          </w:p>
        </w:tc>
        <w:tc>
          <w:tcPr>
            <w:tcW w:w="1417" w:type="dxa"/>
            <w:shd w:val="clear" w:color="auto" w:fill="D9D9D9"/>
          </w:tcPr>
          <w:p>
            <w:pPr>
              <w:pStyle w:val="TableParagraph"/>
              <w:spacing w:before="205"/>
              <w:ind w:left="9" w:right="8"/>
              <w:jc w:val="center"/>
              <w:rPr>
                <w:b/>
                <w:sz w:val="18"/>
              </w:rPr>
            </w:pPr>
            <w:r>
              <w:rPr>
                <w:b/>
                <w:spacing w:val="-2"/>
                <w:sz w:val="18"/>
              </w:rPr>
              <w:t>Responsable</w:t>
            </w:r>
          </w:p>
        </w:tc>
        <w:tc>
          <w:tcPr>
            <w:tcW w:w="1650" w:type="dxa"/>
            <w:shd w:val="clear" w:color="auto" w:fill="D9D9D9"/>
          </w:tcPr>
          <w:p>
            <w:pPr>
              <w:pStyle w:val="TableParagraph"/>
              <w:spacing w:before="104"/>
              <w:ind w:left="425" w:right="237" w:hanging="120"/>
              <w:rPr>
                <w:b/>
                <w:sz w:val="18"/>
              </w:rPr>
            </w:pPr>
            <w:r>
              <w:rPr>
                <w:b/>
                <w:spacing w:val="-2"/>
                <w:sz w:val="18"/>
              </w:rPr>
              <w:t>Presupuesto asignado</w:t>
            </w:r>
          </w:p>
        </w:tc>
        <w:tc>
          <w:tcPr>
            <w:tcW w:w="1549" w:type="dxa"/>
            <w:tcBorders>
              <w:bottom w:val="nil"/>
            </w:tcBorders>
            <w:shd w:val="clear" w:color="auto" w:fill="D9D9D9"/>
          </w:tcPr>
          <w:p>
            <w:pPr>
              <w:pStyle w:val="TableParagraph"/>
              <w:spacing w:line="206" w:lineRule="exact"/>
              <w:ind w:left="19" w:right="16"/>
              <w:jc w:val="center"/>
              <w:rPr>
                <w:b/>
                <w:sz w:val="18"/>
              </w:rPr>
            </w:pPr>
            <w:r>
              <w:rPr>
                <w:b/>
                <w:spacing w:val="-2"/>
                <w:sz w:val="18"/>
              </w:rPr>
              <w:t>Riesgos </w:t>
            </w:r>
            <w:r>
              <w:rPr>
                <w:b/>
                <w:sz w:val="18"/>
              </w:rPr>
              <w:t>asociados al </w:t>
            </w:r>
            <w:r>
              <w:rPr>
                <w:b/>
                <w:spacing w:val="-2"/>
                <w:sz w:val="18"/>
              </w:rPr>
              <w:t>cumplimiento</w:t>
            </w:r>
          </w:p>
        </w:tc>
      </w:tr>
      <w:tr>
        <w:trPr>
          <w:trHeight w:val="1925" w:hRule="atLeast"/>
        </w:trPr>
        <w:tc>
          <w:tcPr>
            <w:tcW w:w="2975" w:type="dxa"/>
            <w:vMerge w:val="restart"/>
            <w:tcBorders>
              <w:top w:val="nil"/>
            </w:tcBorders>
          </w:tcPr>
          <w:p>
            <w:pPr>
              <w:pStyle w:val="TableParagraph"/>
              <w:rPr>
                <w:rFonts w:ascii="Times New Roman"/>
                <w:sz w:val="18"/>
              </w:rPr>
            </w:pPr>
          </w:p>
        </w:tc>
        <w:tc>
          <w:tcPr>
            <w:tcW w:w="1558" w:type="dxa"/>
          </w:tcPr>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spacing w:before="1"/>
              <w:ind w:left="14" w:right="3"/>
              <w:jc w:val="center"/>
              <w:rPr>
                <w:sz w:val="18"/>
              </w:rPr>
            </w:pPr>
            <w:r>
              <w:rPr>
                <w:spacing w:val="-4"/>
                <w:sz w:val="18"/>
              </w:rPr>
              <w:t>8476</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spacing w:before="1"/>
              <w:ind w:left="96" w:right="92"/>
              <w:jc w:val="center"/>
              <w:rPr>
                <w:sz w:val="18"/>
              </w:rPr>
            </w:pPr>
            <w:r>
              <w:rPr>
                <w:spacing w:val="-4"/>
                <w:sz w:val="18"/>
              </w:rPr>
              <w:t>8476</w:t>
            </w:r>
          </w:p>
        </w:tc>
        <w:tc>
          <w:tcPr>
            <w:tcW w:w="1983" w:type="dxa"/>
          </w:tcPr>
          <w:p>
            <w:pPr>
              <w:pStyle w:val="TableParagraph"/>
              <w:spacing w:before="27"/>
              <w:ind w:left="66" w:right="56"/>
              <w:rPr>
                <w:sz w:val="18"/>
              </w:rPr>
            </w:pPr>
            <w:r>
              <w:rPr>
                <w:sz w:val="18"/>
              </w:rPr>
              <w:t>Número</w:t>
            </w:r>
            <w:r>
              <w:rPr>
                <w:spacing w:val="-11"/>
                <w:sz w:val="18"/>
              </w:rPr>
              <w:t> </w:t>
            </w:r>
            <w:r>
              <w:rPr>
                <w:sz w:val="18"/>
              </w:rPr>
              <w:t>de</w:t>
            </w:r>
            <w:r>
              <w:rPr>
                <w:spacing w:val="-11"/>
                <w:sz w:val="18"/>
              </w:rPr>
              <w:t> </w:t>
            </w:r>
            <w:r>
              <w:rPr>
                <w:sz w:val="18"/>
              </w:rPr>
              <w:t>hogares</w:t>
            </w:r>
            <w:r>
              <w:rPr>
                <w:spacing w:val="-10"/>
                <w:sz w:val="18"/>
              </w:rPr>
              <w:t> </w:t>
            </w:r>
            <w:r>
              <w:rPr>
                <w:sz w:val="18"/>
              </w:rPr>
              <w:t>en situación de pobreza que residen en Roxana, Rita y Horquetas, y cuentan con al menos un subsidio del Programa de Protección y Promoción Social.</w:t>
            </w:r>
          </w:p>
        </w:tc>
        <w:tc>
          <w:tcPr>
            <w:tcW w:w="1561" w:type="dxa"/>
          </w:tcPr>
          <w:p>
            <w:pPr>
              <w:pStyle w:val="TableParagraph"/>
              <w:rPr>
                <w:b/>
                <w:sz w:val="18"/>
              </w:rPr>
            </w:pPr>
          </w:p>
          <w:p>
            <w:pPr>
              <w:pStyle w:val="TableParagraph"/>
              <w:rPr>
                <w:b/>
                <w:sz w:val="18"/>
              </w:rPr>
            </w:pPr>
          </w:p>
          <w:p>
            <w:pPr>
              <w:pStyle w:val="TableParagraph"/>
              <w:spacing w:before="31"/>
              <w:rPr>
                <w:b/>
                <w:sz w:val="18"/>
              </w:rPr>
            </w:pPr>
          </w:p>
          <w:p>
            <w:pPr>
              <w:pStyle w:val="TableParagraph"/>
              <w:ind w:left="70"/>
              <w:rPr>
                <w:sz w:val="18"/>
              </w:rPr>
            </w:pPr>
            <w:r>
              <w:rPr>
                <w:spacing w:val="-2"/>
                <w:sz w:val="18"/>
              </w:rPr>
              <w:t>Reportes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spacing w:before="1"/>
              <w:ind w:left="9" w:right="6"/>
              <w:jc w:val="center"/>
              <w:rPr>
                <w:sz w:val="18"/>
              </w:rPr>
            </w:pPr>
            <w:r>
              <w:rPr>
                <w:spacing w:val="-4"/>
                <w:sz w:val="18"/>
              </w:rPr>
              <w:t>DSIS</w:t>
            </w:r>
          </w:p>
        </w:tc>
        <w:tc>
          <w:tcPr>
            <w:tcW w:w="1650" w:type="dxa"/>
          </w:tcPr>
          <w:p>
            <w:pPr>
              <w:pStyle w:val="TableParagraph"/>
              <w:rPr>
                <w:rFonts w:ascii="Times New Roman"/>
                <w:sz w:val="18"/>
              </w:rPr>
            </w:pPr>
          </w:p>
        </w:tc>
        <w:tc>
          <w:tcPr>
            <w:tcW w:w="1549" w:type="dxa"/>
            <w:vMerge w:val="restart"/>
            <w:tcBorders>
              <w:top w:val="nil"/>
            </w:tcBorders>
          </w:tcPr>
          <w:p>
            <w:pPr>
              <w:pStyle w:val="TableParagraph"/>
              <w:rPr>
                <w:rFonts w:ascii="Times New Roman"/>
                <w:sz w:val="18"/>
              </w:rPr>
            </w:pPr>
          </w:p>
        </w:tc>
      </w:tr>
      <w:tr>
        <w:trPr>
          <w:trHeight w:val="1862" w:hRule="atLeast"/>
        </w:trPr>
        <w:tc>
          <w:tcPr>
            <w:tcW w:w="2975" w:type="dxa"/>
            <w:vMerge/>
            <w:tcBorders>
              <w:top w:val="nil"/>
            </w:tcBorders>
          </w:tcPr>
          <w:p>
            <w:pPr>
              <w:rPr>
                <w:sz w:val="2"/>
                <w:szCs w:val="2"/>
              </w:rPr>
            </w:pPr>
          </w:p>
        </w:tc>
        <w:tc>
          <w:tcPr>
            <w:tcW w:w="1558"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14" w:right="3"/>
              <w:jc w:val="center"/>
              <w:rPr>
                <w:sz w:val="18"/>
              </w:rPr>
            </w:pPr>
            <w:r>
              <w:rPr>
                <w:spacing w:val="-4"/>
                <w:sz w:val="18"/>
              </w:rPr>
              <w:t>3247</w:t>
            </w:r>
          </w:p>
        </w:tc>
        <w:tc>
          <w:tcPr>
            <w:tcW w:w="1561"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96" w:right="92"/>
              <w:jc w:val="center"/>
              <w:rPr>
                <w:sz w:val="18"/>
              </w:rPr>
            </w:pPr>
            <w:r>
              <w:rPr>
                <w:spacing w:val="-4"/>
                <w:sz w:val="18"/>
              </w:rPr>
              <w:t>3247</w:t>
            </w:r>
          </w:p>
        </w:tc>
        <w:tc>
          <w:tcPr>
            <w:tcW w:w="1983" w:type="dxa"/>
          </w:tcPr>
          <w:p>
            <w:pPr>
              <w:pStyle w:val="TableParagraph"/>
              <w:ind w:left="66" w:right="56"/>
              <w:rPr>
                <w:sz w:val="18"/>
              </w:rPr>
            </w:pPr>
            <w:r>
              <w:rPr>
                <w:sz w:val="18"/>
              </w:rPr>
              <w:t>Número</w:t>
            </w:r>
            <w:r>
              <w:rPr>
                <w:spacing w:val="-11"/>
                <w:sz w:val="18"/>
              </w:rPr>
              <w:t> </w:t>
            </w:r>
            <w:r>
              <w:rPr>
                <w:sz w:val="18"/>
              </w:rPr>
              <w:t>de</w:t>
            </w:r>
            <w:r>
              <w:rPr>
                <w:spacing w:val="-11"/>
                <w:sz w:val="18"/>
              </w:rPr>
              <w:t> </w:t>
            </w:r>
            <w:r>
              <w:rPr>
                <w:sz w:val="18"/>
              </w:rPr>
              <w:t>hogares</w:t>
            </w:r>
            <w:r>
              <w:rPr>
                <w:spacing w:val="-10"/>
                <w:sz w:val="18"/>
              </w:rPr>
              <w:t> </w:t>
            </w:r>
            <w:r>
              <w:rPr>
                <w:sz w:val="18"/>
              </w:rPr>
              <w:t>en situación de pobreza que residen en Río Blanco, Carrandí y Matina, y cuentan con al menos un subsidio del Programa de Protección y</w:t>
            </w:r>
          </w:p>
          <w:p>
            <w:pPr>
              <w:pStyle w:val="TableParagraph"/>
              <w:spacing w:line="187" w:lineRule="exact"/>
              <w:ind w:left="66"/>
              <w:rPr>
                <w:sz w:val="18"/>
              </w:rPr>
            </w:pPr>
            <w:r>
              <w:rPr>
                <w:sz w:val="18"/>
              </w:rPr>
              <w:t>Promoción</w:t>
            </w:r>
            <w:r>
              <w:rPr>
                <w:spacing w:val="-3"/>
                <w:sz w:val="18"/>
              </w:rPr>
              <w:t> </w:t>
            </w:r>
            <w:r>
              <w:rPr>
                <w:spacing w:val="-2"/>
                <w:sz w:val="18"/>
              </w:rPr>
              <w:t>Social.</w:t>
            </w:r>
          </w:p>
        </w:tc>
        <w:tc>
          <w:tcPr>
            <w:tcW w:w="1561" w:type="dxa"/>
          </w:tcPr>
          <w:p>
            <w:pPr>
              <w:pStyle w:val="TableParagraph"/>
              <w:rPr>
                <w:b/>
                <w:sz w:val="18"/>
              </w:rPr>
            </w:pPr>
          </w:p>
          <w:p>
            <w:pPr>
              <w:pStyle w:val="TableParagraph"/>
              <w:spacing w:before="204"/>
              <w:rPr>
                <w:b/>
                <w:sz w:val="18"/>
              </w:rPr>
            </w:pPr>
          </w:p>
          <w:p>
            <w:pPr>
              <w:pStyle w:val="TableParagraph"/>
              <w:ind w:left="70"/>
              <w:rPr>
                <w:sz w:val="18"/>
              </w:rPr>
            </w:pPr>
            <w:r>
              <w:rPr>
                <w:spacing w:val="-2"/>
                <w:sz w:val="18"/>
              </w:rPr>
              <w:t>Reportes </w:t>
            </w:r>
            <w:r>
              <w:rPr>
                <w:sz w:val="18"/>
              </w:rPr>
              <w:t>elaborados</w:t>
            </w:r>
            <w:r>
              <w:rPr>
                <w:spacing w:val="-15"/>
                <w:sz w:val="18"/>
              </w:rPr>
              <w:t> </w:t>
            </w:r>
            <w:r>
              <w:rPr>
                <w:sz w:val="18"/>
              </w:rPr>
              <w:t>por</w:t>
            </w:r>
            <w:r>
              <w:rPr>
                <w:spacing w:val="-12"/>
                <w:sz w:val="18"/>
              </w:rPr>
              <w:t> </w:t>
            </w:r>
            <w:r>
              <w:rPr>
                <w:sz w:val="18"/>
              </w:rPr>
              <w:t>el </w:t>
            </w:r>
            <w:r>
              <w:rPr>
                <w:spacing w:val="-2"/>
                <w:sz w:val="18"/>
              </w:rPr>
              <w:t>DSIS.</w:t>
            </w:r>
          </w:p>
        </w:tc>
        <w:tc>
          <w:tcPr>
            <w:tcW w:w="1417"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9" w:right="6"/>
              <w:jc w:val="center"/>
              <w:rPr>
                <w:sz w:val="18"/>
              </w:rPr>
            </w:pPr>
            <w:r>
              <w:rPr>
                <w:spacing w:val="-4"/>
                <w:sz w:val="18"/>
              </w:rPr>
              <w:t>DSIS</w:t>
            </w:r>
          </w:p>
        </w:tc>
        <w:tc>
          <w:tcPr>
            <w:tcW w:w="1650" w:type="dxa"/>
          </w:tcPr>
          <w:p>
            <w:pPr>
              <w:pStyle w:val="TableParagraph"/>
              <w:rPr>
                <w:rFonts w:ascii="Times New Roman"/>
                <w:sz w:val="18"/>
              </w:rPr>
            </w:pPr>
          </w:p>
        </w:tc>
        <w:tc>
          <w:tcPr>
            <w:tcW w:w="1549" w:type="dxa"/>
            <w:vMerge/>
            <w:tcBorders>
              <w:top w:val="nil"/>
            </w:tcBorders>
          </w:tcPr>
          <w:p>
            <w:pPr>
              <w:rPr>
                <w:sz w:val="2"/>
                <w:szCs w:val="2"/>
              </w:rPr>
            </w:pPr>
          </w:p>
        </w:tc>
      </w:tr>
      <w:tr>
        <w:trPr>
          <w:trHeight w:val="705" w:hRule="atLeast"/>
        </w:trPr>
        <w:tc>
          <w:tcPr>
            <w:tcW w:w="14254" w:type="dxa"/>
            <w:gridSpan w:val="8"/>
            <w:shd w:val="clear" w:color="auto" w:fill="EFF8F9"/>
          </w:tcPr>
          <w:p>
            <w:pPr>
              <w:pStyle w:val="TableParagraph"/>
              <w:spacing w:before="143"/>
              <w:ind w:left="72" w:right="72"/>
              <w:rPr>
                <w:b/>
                <w:sz w:val="18"/>
              </w:rPr>
            </w:pPr>
            <w:r>
              <w:rPr>
                <w:b/>
                <w:sz w:val="18"/>
              </w:rPr>
              <w:t>Producto PPPS 1.55:</w:t>
            </w:r>
            <w:r>
              <w:rPr>
                <w:b/>
                <w:spacing w:val="40"/>
                <w:sz w:val="18"/>
              </w:rPr>
              <w:t> </w:t>
            </w:r>
            <w:r>
              <w:rPr>
                <w:b/>
                <w:sz w:val="18"/>
              </w:rPr>
              <w:t>Implementación de acciones de monitoreo y seguimiento que contribuyen al alcance de las</w:t>
            </w:r>
            <w:r>
              <w:rPr>
                <w:b/>
                <w:spacing w:val="-4"/>
                <w:sz w:val="18"/>
              </w:rPr>
              <w:t> </w:t>
            </w:r>
            <w:r>
              <w:rPr>
                <w:b/>
                <w:sz w:val="18"/>
              </w:rPr>
              <w:t>metas institucionales y de la DDS y al cumplimiento</w:t>
            </w:r>
            <w:r>
              <w:rPr>
                <w:b/>
                <w:spacing w:val="-4"/>
                <w:sz w:val="18"/>
              </w:rPr>
              <w:t> </w:t>
            </w:r>
            <w:r>
              <w:rPr>
                <w:b/>
                <w:sz w:val="18"/>
              </w:rPr>
              <w:t>de</w:t>
            </w:r>
            <w:r>
              <w:rPr>
                <w:b/>
                <w:spacing w:val="-3"/>
                <w:sz w:val="18"/>
              </w:rPr>
              <w:t> </w:t>
            </w:r>
            <w:r>
              <w:rPr>
                <w:b/>
                <w:sz w:val="18"/>
              </w:rPr>
              <w:t>acuerdos</w:t>
            </w:r>
            <w:r>
              <w:rPr>
                <w:b/>
                <w:spacing w:val="-3"/>
                <w:sz w:val="18"/>
              </w:rPr>
              <w:t> </w:t>
            </w:r>
            <w:r>
              <w:rPr>
                <w:b/>
                <w:sz w:val="18"/>
              </w:rPr>
              <w:t>y</w:t>
            </w:r>
            <w:r>
              <w:rPr>
                <w:b/>
                <w:spacing w:val="-3"/>
                <w:sz w:val="18"/>
              </w:rPr>
              <w:t> </w:t>
            </w:r>
            <w:r>
              <w:rPr>
                <w:b/>
                <w:sz w:val="18"/>
              </w:rPr>
              <w:t>recomendaciones,</w:t>
            </w:r>
            <w:r>
              <w:rPr>
                <w:b/>
                <w:spacing w:val="-1"/>
                <w:sz w:val="18"/>
              </w:rPr>
              <w:t> </w:t>
            </w:r>
            <w:r>
              <w:rPr>
                <w:b/>
                <w:sz w:val="18"/>
              </w:rPr>
              <w:t>mediante</w:t>
            </w:r>
            <w:r>
              <w:rPr>
                <w:b/>
                <w:spacing w:val="-3"/>
                <w:sz w:val="18"/>
              </w:rPr>
              <w:t> </w:t>
            </w:r>
            <w:r>
              <w:rPr>
                <w:b/>
                <w:sz w:val="18"/>
              </w:rPr>
              <w:t>la</w:t>
            </w:r>
            <w:r>
              <w:rPr>
                <w:b/>
                <w:spacing w:val="-3"/>
                <w:sz w:val="18"/>
              </w:rPr>
              <w:t> </w:t>
            </w:r>
            <w:r>
              <w:rPr>
                <w:b/>
                <w:sz w:val="18"/>
              </w:rPr>
              <w:t>generación</w:t>
            </w:r>
            <w:r>
              <w:rPr>
                <w:b/>
                <w:spacing w:val="-4"/>
                <w:sz w:val="18"/>
              </w:rPr>
              <w:t> </w:t>
            </w:r>
            <w:r>
              <w:rPr>
                <w:b/>
                <w:sz w:val="18"/>
              </w:rPr>
              <w:t>de</w:t>
            </w:r>
            <w:r>
              <w:rPr>
                <w:b/>
                <w:spacing w:val="-3"/>
                <w:sz w:val="18"/>
              </w:rPr>
              <w:t> </w:t>
            </w:r>
            <w:r>
              <w:rPr>
                <w:b/>
                <w:sz w:val="18"/>
              </w:rPr>
              <w:t>información para</w:t>
            </w:r>
            <w:r>
              <w:rPr>
                <w:b/>
                <w:spacing w:val="-3"/>
                <w:sz w:val="18"/>
              </w:rPr>
              <w:t> </w:t>
            </w:r>
            <w:r>
              <w:rPr>
                <w:b/>
                <w:sz w:val="18"/>
              </w:rPr>
              <w:t>la</w:t>
            </w:r>
            <w:r>
              <w:rPr>
                <w:b/>
                <w:spacing w:val="-8"/>
                <w:sz w:val="18"/>
              </w:rPr>
              <w:t> </w:t>
            </w:r>
            <w:r>
              <w:rPr>
                <w:b/>
                <w:sz w:val="18"/>
              </w:rPr>
              <w:t>toma</w:t>
            </w:r>
            <w:r>
              <w:rPr>
                <w:b/>
                <w:spacing w:val="-3"/>
                <w:sz w:val="18"/>
              </w:rPr>
              <w:t> </w:t>
            </w:r>
            <w:r>
              <w:rPr>
                <w:b/>
                <w:sz w:val="18"/>
              </w:rPr>
              <w:t>de</w:t>
            </w:r>
            <w:r>
              <w:rPr>
                <w:b/>
                <w:spacing w:val="-3"/>
                <w:sz w:val="18"/>
              </w:rPr>
              <w:t> </w:t>
            </w:r>
            <w:r>
              <w:rPr>
                <w:b/>
                <w:sz w:val="18"/>
              </w:rPr>
              <w:t>decisiones en</w:t>
            </w:r>
            <w:r>
              <w:rPr>
                <w:b/>
                <w:spacing w:val="-4"/>
                <w:sz w:val="18"/>
              </w:rPr>
              <w:t> </w:t>
            </w:r>
            <w:r>
              <w:rPr>
                <w:b/>
                <w:sz w:val="18"/>
              </w:rPr>
              <w:t>el</w:t>
            </w:r>
            <w:r>
              <w:rPr>
                <w:b/>
                <w:spacing w:val="-1"/>
                <w:sz w:val="18"/>
              </w:rPr>
              <w:t> </w:t>
            </w:r>
            <w:r>
              <w:rPr>
                <w:b/>
                <w:sz w:val="18"/>
              </w:rPr>
              <w:t>marco</w:t>
            </w:r>
            <w:r>
              <w:rPr>
                <w:b/>
                <w:spacing w:val="-4"/>
                <w:sz w:val="18"/>
              </w:rPr>
              <w:t> </w:t>
            </w:r>
            <w:r>
              <w:rPr>
                <w:b/>
                <w:sz w:val="18"/>
              </w:rPr>
              <w:t>de</w:t>
            </w:r>
            <w:r>
              <w:rPr>
                <w:b/>
                <w:spacing w:val="-3"/>
                <w:sz w:val="18"/>
              </w:rPr>
              <w:t> </w:t>
            </w:r>
            <w:r>
              <w:rPr>
                <w:b/>
                <w:sz w:val="18"/>
              </w:rPr>
              <w:t>procesos</w:t>
            </w:r>
            <w:r>
              <w:rPr>
                <w:b/>
                <w:spacing w:val="-3"/>
                <w:sz w:val="18"/>
              </w:rPr>
              <w:t> </w:t>
            </w:r>
            <w:r>
              <w:rPr>
                <w:b/>
                <w:sz w:val="18"/>
              </w:rPr>
              <w:t>de</w:t>
            </w:r>
            <w:r>
              <w:rPr>
                <w:b/>
                <w:spacing w:val="-3"/>
                <w:sz w:val="18"/>
              </w:rPr>
              <w:t> </w:t>
            </w:r>
            <w:r>
              <w:rPr>
                <w:b/>
                <w:sz w:val="18"/>
              </w:rPr>
              <w:t>mejora</w:t>
            </w:r>
            <w:r>
              <w:rPr>
                <w:b/>
                <w:spacing w:val="-3"/>
                <w:sz w:val="18"/>
              </w:rPr>
              <w:t> </w:t>
            </w:r>
            <w:r>
              <w:rPr>
                <w:b/>
                <w:sz w:val="18"/>
              </w:rPr>
              <w:t>continua.</w:t>
            </w:r>
          </w:p>
        </w:tc>
      </w:tr>
      <w:tr>
        <w:trPr>
          <w:trHeight w:val="1238" w:hRule="atLeast"/>
        </w:trPr>
        <w:tc>
          <w:tcPr>
            <w:tcW w:w="2975" w:type="dxa"/>
          </w:tcPr>
          <w:p>
            <w:pPr>
              <w:pStyle w:val="TableParagraph"/>
              <w:ind w:left="72"/>
              <w:rPr>
                <w:sz w:val="18"/>
              </w:rPr>
            </w:pPr>
            <w:r>
              <w:rPr>
                <w:b/>
                <w:sz w:val="18"/>
              </w:rPr>
              <w:t>Actividad PPPS 1.55.1: </w:t>
            </w:r>
            <w:r>
              <w:rPr>
                <w:sz w:val="18"/>
              </w:rPr>
              <w:t>Seguimiento</w:t>
            </w:r>
            <w:r>
              <w:rPr>
                <w:spacing w:val="-7"/>
                <w:sz w:val="18"/>
              </w:rPr>
              <w:t> </w:t>
            </w:r>
            <w:r>
              <w:rPr>
                <w:sz w:val="18"/>
              </w:rPr>
              <w:t>a</w:t>
            </w:r>
            <w:r>
              <w:rPr>
                <w:spacing w:val="-10"/>
                <w:sz w:val="18"/>
              </w:rPr>
              <w:t> </w:t>
            </w:r>
            <w:r>
              <w:rPr>
                <w:sz w:val="18"/>
              </w:rPr>
              <w:t>la</w:t>
            </w:r>
            <w:r>
              <w:rPr>
                <w:spacing w:val="-7"/>
                <w:sz w:val="18"/>
              </w:rPr>
              <w:t> </w:t>
            </w:r>
            <w:r>
              <w:rPr>
                <w:sz w:val="18"/>
              </w:rPr>
              <w:t>inversión</w:t>
            </w:r>
            <w:r>
              <w:rPr>
                <w:spacing w:val="-10"/>
                <w:sz w:val="18"/>
              </w:rPr>
              <w:t> </w:t>
            </w:r>
            <w:r>
              <w:rPr>
                <w:sz w:val="18"/>
              </w:rPr>
              <w:t>social realizada en el PPPS y a las principales acciones de la DDS, mediante la generación de</w:t>
            </w:r>
          </w:p>
          <w:p>
            <w:pPr>
              <w:pStyle w:val="TableParagraph"/>
              <w:spacing w:line="185" w:lineRule="exact"/>
              <w:ind w:left="72"/>
              <w:rPr>
                <w:sz w:val="18"/>
              </w:rPr>
            </w:pPr>
            <w:r>
              <w:rPr>
                <w:sz w:val="18"/>
              </w:rPr>
              <w:t>informes</w:t>
            </w:r>
            <w:r>
              <w:rPr>
                <w:spacing w:val="-5"/>
                <w:sz w:val="18"/>
              </w:rPr>
              <w:t> </w:t>
            </w:r>
            <w:r>
              <w:rPr>
                <w:spacing w:val="-2"/>
                <w:sz w:val="18"/>
              </w:rPr>
              <w:t>trimestrales.</w:t>
            </w:r>
          </w:p>
        </w:tc>
        <w:tc>
          <w:tcPr>
            <w:tcW w:w="1558" w:type="dxa"/>
          </w:tcPr>
          <w:p>
            <w:pPr>
              <w:pStyle w:val="TableParagraph"/>
              <w:rPr>
                <w:b/>
                <w:sz w:val="18"/>
              </w:rPr>
            </w:pPr>
          </w:p>
          <w:p>
            <w:pPr>
              <w:pStyle w:val="TableParagraph"/>
              <w:spacing w:before="103"/>
              <w:rPr>
                <w:b/>
                <w:sz w:val="18"/>
              </w:rPr>
            </w:pPr>
          </w:p>
          <w:p>
            <w:pPr>
              <w:pStyle w:val="TableParagraph"/>
              <w:ind w:left="14" w:right="7"/>
              <w:jc w:val="center"/>
              <w:rPr>
                <w:sz w:val="18"/>
              </w:rPr>
            </w:pPr>
            <w:r>
              <w:rPr>
                <w:spacing w:val="-10"/>
                <w:sz w:val="18"/>
              </w:rPr>
              <w:t>4</w:t>
            </w:r>
          </w:p>
        </w:tc>
        <w:tc>
          <w:tcPr>
            <w:tcW w:w="1561" w:type="dxa"/>
          </w:tcPr>
          <w:p>
            <w:pPr>
              <w:pStyle w:val="TableParagraph"/>
              <w:rPr>
                <w:b/>
                <w:sz w:val="18"/>
              </w:rPr>
            </w:pPr>
          </w:p>
          <w:p>
            <w:pPr>
              <w:pStyle w:val="TableParagraph"/>
              <w:spacing w:before="103"/>
              <w:rPr>
                <w:b/>
                <w:sz w:val="18"/>
              </w:rPr>
            </w:pPr>
          </w:p>
          <w:p>
            <w:pPr>
              <w:pStyle w:val="TableParagraph"/>
              <w:ind w:left="96" w:right="96"/>
              <w:jc w:val="center"/>
              <w:rPr>
                <w:sz w:val="18"/>
              </w:rPr>
            </w:pPr>
            <w:r>
              <w:rPr>
                <w:spacing w:val="-10"/>
                <w:sz w:val="18"/>
              </w:rPr>
              <w:t>4</w:t>
            </w:r>
          </w:p>
        </w:tc>
        <w:tc>
          <w:tcPr>
            <w:tcW w:w="1983" w:type="dxa"/>
          </w:tcPr>
          <w:p>
            <w:pPr>
              <w:pStyle w:val="TableParagraph"/>
              <w:tabs>
                <w:tab w:pos="1453" w:val="left" w:leader="none"/>
              </w:tabs>
              <w:ind w:left="66" w:right="54"/>
              <w:jc w:val="both"/>
              <w:rPr>
                <w:sz w:val="18"/>
              </w:rPr>
            </w:pPr>
            <w:r>
              <w:rPr>
                <w:sz w:val="18"/>
              </w:rPr>
              <w:t>Cantidad de informes de seguimiento a la </w:t>
            </w:r>
            <w:r>
              <w:rPr>
                <w:spacing w:val="-2"/>
                <w:sz w:val="18"/>
              </w:rPr>
              <w:t>inversión</w:t>
            </w:r>
            <w:r>
              <w:rPr>
                <w:sz w:val="18"/>
              </w:rPr>
              <w:tab/>
            </w:r>
            <w:r>
              <w:rPr>
                <w:spacing w:val="-2"/>
                <w:sz w:val="18"/>
              </w:rPr>
              <w:t>social </w:t>
            </w:r>
            <w:r>
              <w:rPr>
                <w:sz w:val="18"/>
              </w:rPr>
              <w:t>realizada</w:t>
            </w:r>
            <w:r>
              <w:rPr>
                <w:spacing w:val="-6"/>
                <w:sz w:val="18"/>
              </w:rPr>
              <w:t> </w:t>
            </w:r>
            <w:r>
              <w:rPr>
                <w:sz w:val="18"/>
              </w:rPr>
              <w:t>en</w:t>
            </w:r>
            <w:r>
              <w:rPr>
                <w:spacing w:val="-6"/>
                <w:sz w:val="18"/>
              </w:rPr>
              <w:t> </w:t>
            </w:r>
            <w:r>
              <w:rPr>
                <w:sz w:val="18"/>
              </w:rPr>
              <w:t>el</w:t>
            </w:r>
            <w:r>
              <w:rPr>
                <w:spacing w:val="-7"/>
                <w:sz w:val="18"/>
              </w:rPr>
              <w:t> </w:t>
            </w:r>
            <w:r>
              <w:rPr>
                <w:sz w:val="18"/>
              </w:rPr>
              <w:t>PPPS</w:t>
            </w:r>
            <w:r>
              <w:rPr>
                <w:spacing w:val="-11"/>
                <w:sz w:val="18"/>
              </w:rPr>
              <w:t> </w:t>
            </w:r>
            <w:r>
              <w:rPr>
                <w:sz w:val="18"/>
              </w:rPr>
              <w:t>y a</w:t>
            </w:r>
            <w:r>
              <w:rPr>
                <w:spacing w:val="59"/>
                <w:sz w:val="18"/>
              </w:rPr>
              <w:t>   </w:t>
            </w:r>
            <w:r>
              <w:rPr>
                <w:sz w:val="18"/>
              </w:rPr>
              <w:t>las</w:t>
            </w:r>
            <w:r>
              <w:rPr>
                <w:spacing w:val="59"/>
                <w:sz w:val="18"/>
              </w:rPr>
              <w:t>   </w:t>
            </w:r>
            <w:r>
              <w:rPr>
                <w:spacing w:val="-2"/>
                <w:sz w:val="18"/>
              </w:rPr>
              <w:t>principales</w:t>
            </w:r>
          </w:p>
          <w:p>
            <w:pPr>
              <w:pStyle w:val="TableParagraph"/>
              <w:spacing w:line="185" w:lineRule="exact"/>
              <w:ind w:left="66"/>
              <w:jc w:val="both"/>
              <w:rPr>
                <w:sz w:val="18"/>
              </w:rPr>
            </w:pPr>
            <w:r>
              <w:rPr>
                <w:sz w:val="18"/>
              </w:rPr>
              <w:t>acciones</w:t>
            </w:r>
            <w:r>
              <w:rPr>
                <w:spacing w:val="-4"/>
                <w:sz w:val="18"/>
              </w:rPr>
              <w:t> </w:t>
            </w:r>
            <w:r>
              <w:rPr>
                <w:sz w:val="18"/>
              </w:rPr>
              <w:t>de la</w:t>
            </w:r>
            <w:r>
              <w:rPr>
                <w:spacing w:val="-4"/>
                <w:sz w:val="18"/>
              </w:rPr>
              <w:t> DDS.</w:t>
            </w:r>
          </w:p>
        </w:tc>
        <w:tc>
          <w:tcPr>
            <w:tcW w:w="1561" w:type="dxa"/>
          </w:tcPr>
          <w:p>
            <w:pPr>
              <w:pStyle w:val="TableParagraph"/>
              <w:spacing w:before="205"/>
              <w:ind w:left="70" w:right="112"/>
              <w:rPr>
                <w:sz w:val="18"/>
              </w:rPr>
            </w:pPr>
            <w:r>
              <w:rPr>
                <w:spacing w:val="-2"/>
                <w:sz w:val="18"/>
              </w:rPr>
              <w:t>Informes</w:t>
            </w:r>
            <w:r>
              <w:rPr>
                <w:spacing w:val="40"/>
                <w:sz w:val="18"/>
              </w:rPr>
              <w:t> </w:t>
            </w:r>
            <w:r>
              <w:rPr>
                <w:sz w:val="18"/>
              </w:rPr>
              <w:t>emitidos por la Dirección de Desarrollo</w:t>
            </w:r>
            <w:r>
              <w:rPr>
                <w:spacing w:val="-13"/>
                <w:sz w:val="18"/>
              </w:rPr>
              <w:t> </w:t>
            </w:r>
            <w:r>
              <w:rPr>
                <w:sz w:val="18"/>
              </w:rPr>
              <w:t>Social</w:t>
            </w:r>
          </w:p>
        </w:tc>
        <w:tc>
          <w:tcPr>
            <w:tcW w:w="1417" w:type="dxa"/>
          </w:tcPr>
          <w:p>
            <w:pPr>
              <w:pStyle w:val="TableParagraph"/>
              <w:rPr>
                <w:b/>
                <w:sz w:val="18"/>
              </w:rPr>
            </w:pPr>
          </w:p>
          <w:p>
            <w:pPr>
              <w:pStyle w:val="TableParagraph"/>
              <w:spacing w:before="103"/>
              <w:rPr>
                <w:b/>
                <w:sz w:val="18"/>
              </w:rPr>
            </w:pPr>
          </w:p>
          <w:p>
            <w:pPr>
              <w:pStyle w:val="TableParagraph"/>
              <w:ind w:left="9" w:right="10"/>
              <w:jc w:val="center"/>
              <w:rPr>
                <w:sz w:val="18"/>
              </w:rPr>
            </w:pPr>
            <w:r>
              <w:rPr>
                <w:spacing w:val="-5"/>
                <w:sz w:val="18"/>
              </w:rPr>
              <w:t>DDS</w:t>
            </w:r>
          </w:p>
        </w:tc>
        <w:tc>
          <w:tcPr>
            <w:tcW w:w="1650" w:type="dxa"/>
          </w:tcPr>
          <w:p>
            <w:pPr>
              <w:pStyle w:val="TableParagraph"/>
              <w:rPr>
                <w:rFonts w:ascii="Times New Roman"/>
                <w:sz w:val="18"/>
              </w:rPr>
            </w:pPr>
          </w:p>
        </w:tc>
        <w:tc>
          <w:tcPr>
            <w:tcW w:w="1549" w:type="dxa"/>
          </w:tcPr>
          <w:p>
            <w:pPr>
              <w:pStyle w:val="TableParagraph"/>
              <w:rPr>
                <w:rFonts w:ascii="Times New Roman"/>
                <w:sz w:val="18"/>
              </w:rPr>
            </w:pPr>
          </w:p>
        </w:tc>
      </w:tr>
      <w:tr>
        <w:trPr>
          <w:trHeight w:val="1037" w:hRule="atLeast"/>
        </w:trPr>
        <w:tc>
          <w:tcPr>
            <w:tcW w:w="2975" w:type="dxa"/>
          </w:tcPr>
          <w:p>
            <w:pPr>
              <w:pStyle w:val="TableParagraph"/>
              <w:spacing w:before="3"/>
              <w:ind w:left="72"/>
              <w:rPr>
                <w:sz w:val="18"/>
              </w:rPr>
            </w:pPr>
            <w:r>
              <w:rPr>
                <w:b/>
                <w:sz w:val="18"/>
              </w:rPr>
              <w:t>Actividad PPPS 1.55.2: </w:t>
            </w:r>
            <w:r>
              <w:rPr>
                <w:sz w:val="18"/>
              </w:rPr>
              <w:t>Seguimiento al cumplimiento de acuerdos</w:t>
            </w:r>
            <w:r>
              <w:rPr>
                <w:spacing w:val="-8"/>
                <w:sz w:val="18"/>
              </w:rPr>
              <w:t> </w:t>
            </w:r>
            <w:r>
              <w:rPr>
                <w:sz w:val="18"/>
              </w:rPr>
              <w:t>emitidos</w:t>
            </w:r>
            <w:r>
              <w:rPr>
                <w:spacing w:val="-8"/>
                <w:sz w:val="18"/>
              </w:rPr>
              <w:t> </w:t>
            </w:r>
            <w:r>
              <w:rPr>
                <w:sz w:val="18"/>
              </w:rPr>
              <w:t>por</w:t>
            </w:r>
            <w:r>
              <w:rPr>
                <w:spacing w:val="-11"/>
                <w:sz w:val="18"/>
              </w:rPr>
              <w:t> </w:t>
            </w:r>
            <w:r>
              <w:rPr>
                <w:sz w:val="18"/>
              </w:rPr>
              <w:t>el</w:t>
            </w:r>
            <w:r>
              <w:rPr>
                <w:spacing w:val="-10"/>
                <w:sz w:val="18"/>
              </w:rPr>
              <w:t> </w:t>
            </w:r>
            <w:r>
              <w:rPr>
                <w:sz w:val="18"/>
              </w:rPr>
              <w:t>Consejo Directivo,</w:t>
            </w:r>
            <w:r>
              <w:rPr>
                <w:spacing w:val="-5"/>
                <w:sz w:val="18"/>
              </w:rPr>
              <w:t> </w:t>
            </w:r>
            <w:r>
              <w:rPr>
                <w:sz w:val="18"/>
              </w:rPr>
              <w:t>mediante</w:t>
            </w:r>
            <w:r>
              <w:rPr>
                <w:spacing w:val="-7"/>
                <w:sz w:val="18"/>
              </w:rPr>
              <w:t> </w:t>
            </w:r>
            <w:r>
              <w:rPr>
                <w:sz w:val="18"/>
              </w:rPr>
              <w:t>la</w:t>
            </w:r>
            <w:r>
              <w:rPr>
                <w:spacing w:val="-3"/>
                <w:sz w:val="18"/>
              </w:rPr>
              <w:t> </w:t>
            </w:r>
            <w:r>
              <w:rPr>
                <w:spacing w:val="-2"/>
                <w:sz w:val="18"/>
              </w:rPr>
              <w:t>generación</w:t>
            </w:r>
          </w:p>
          <w:p>
            <w:pPr>
              <w:pStyle w:val="TableParagraph"/>
              <w:spacing w:line="185" w:lineRule="exact"/>
              <w:ind w:left="72"/>
              <w:rPr>
                <w:sz w:val="18"/>
              </w:rPr>
            </w:pPr>
            <w:r>
              <w:rPr>
                <w:sz w:val="18"/>
              </w:rPr>
              <w:t>de</w:t>
            </w:r>
            <w:r>
              <w:rPr>
                <w:spacing w:val="2"/>
                <w:sz w:val="18"/>
              </w:rPr>
              <w:t> </w:t>
            </w:r>
            <w:r>
              <w:rPr>
                <w:spacing w:val="-2"/>
                <w:sz w:val="18"/>
              </w:rPr>
              <w:t>informes.</w:t>
            </w:r>
          </w:p>
        </w:tc>
        <w:tc>
          <w:tcPr>
            <w:tcW w:w="1558" w:type="dxa"/>
          </w:tcPr>
          <w:p>
            <w:pPr>
              <w:pStyle w:val="TableParagraph"/>
              <w:rPr>
                <w:b/>
                <w:sz w:val="18"/>
              </w:rPr>
            </w:pPr>
          </w:p>
          <w:p>
            <w:pPr>
              <w:pStyle w:val="TableParagraph"/>
              <w:spacing w:before="2"/>
              <w:rPr>
                <w:b/>
                <w:sz w:val="18"/>
              </w:rPr>
            </w:pPr>
          </w:p>
          <w:p>
            <w:pPr>
              <w:pStyle w:val="TableParagraph"/>
              <w:ind w:left="14" w:right="3"/>
              <w:jc w:val="center"/>
              <w:rPr>
                <w:sz w:val="18"/>
              </w:rPr>
            </w:pPr>
            <w:r>
              <w:rPr>
                <w:spacing w:val="-5"/>
                <w:sz w:val="18"/>
              </w:rPr>
              <w:t>12</w:t>
            </w:r>
          </w:p>
        </w:tc>
        <w:tc>
          <w:tcPr>
            <w:tcW w:w="1561" w:type="dxa"/>
          </w:tcPr>
          <w:p>
            <w:pPr>
              <w:pStyle w:val="TableParagraph"/>
              <w:rPr>
                <w:b/>
                <w:sz w:val="18"/>
              </w:rPr>
            </w:pPr>
          </w:p>
          <w:p>
            <w:pPr>
              <w:pStyle w:val="TableParagraph"/>
              <w:spacing w:before="2"/>
              <w:rPr>
                <w:b/>
                <w:sz w:val="18"/>
              </w:rPr>
            </w:pPr>
          </w:p>
          <w:p>
            <w:pPr>
              <w:pStyle w:val="TableParagraph"/>
              <w:ind w:left="96" w:right="92"/>
              <w:jc w:val="center"/>
              <w:rPr>
                <w:sz w:val="18"/>
              </w:rPr>
            </w:pPr>
            <w:r>
              <w:rPr>
                <w:spacing w:val="-5"/>
                <w:sz w:val="18"/>
              </w:rPr>
              <w:t>12</w:t>
            </w:r>
          </w:p>
        </w:tc>
        <w:tc>
          <w:tcPr>
            <w:tcW w:w="1983" w:type="dxa"/>
          </w:tcPr>
          <w:p>
            <w:pPr>
              <w:pStyle w:val="TableParagraph"/>
              <w:tabs>
                <w:tab w:pos="1712" w:val="left" w:leader="none"/>
              </w:tabs>
              <w:spacing w:before="3"/>
              <w:ind w:left="66" w:right="54"/>
              <w:jc w:val="both"/>
              <w:rPr>
                <w:sz w:val="18"/>
              </w:rPr>
            </w:pPr>
            <w:r>
              <w:rPr>
                <w:sz w:val="18"/>
              </w:rPr>
              <w:t>Cantidad de informes de seguimiento </w:t>
            </w:r>
            <w:r>
              <w:rPr>
                <w:sz w:val="18"/>
              </w:rPr>
              <w:t>al </w:t>
            </w:r>
            <w:r>
              <w:rPr>
                <w:spacing w:val="-2"/>
                <w:sz w:val="18"/>
              </w:rPr>
              <w:t>cumplimiento</w:t>
            </w:r>
            <w:r>
              <w:rPr>
                <w:sz w:val="18"/>
              </w:rPr>
              <w:tab/>
            </w:r>
            <w:r>
              <w:rPr>
                <w:spacing w:val="-6"/>
                <w:sz w:val="18"/>
              </w:rPr>
              <w:t>de </w:t>
            </w:r>
            <w:r>
              <w:rPr>
                <w:sz w:val="18"/>
              </w:rPr>
              <w:t>acuerdos</w:t>
            </w:r>
            <w:r>
              <w:rPr>
                <w:spacing w:val="56"/>
                <w:sz w:val="18"/>
              </w:rPr>
              <w:t>  </w:t>
            </w:r>
            <w:r>
              <w:rPr>
                <w:spacing w:val="-2"/>
                <w:sz w:val="18"/>
              </w:rPr>
              <w:t>elaborados</w:t>
            </w:r>
          </w:p>
          <w:p>
            <w:pPr>
              <w:pStyle w:val="TableParagraph"/>
              <w:spacing w:line="185" w:lineRule="exact"/>
              <w:ind w:left="66"/>
              <w:jc w:val="both"/>
              <w:rPr>
                <w:sz w:val="18"/>
              </w:rPr>
            </w:pPr>
            <w:r>
              <w:rPr>
                <w:sz w:val="18"/>
              </w:rPr>
              <w:t>por</w:t>
            </w:r>
            <w:r>
              <w:rPr>
                <w:spacing w:val="2"/>
                <w:sz w:val="18"/>
              </w:rPr>
              <w:t> </w:t>
            </w:r>
            <w:r>
              <w:rPr>
                <w:sz w:val="18"/>
              </w:rPr>
              <w:t>la</w:t>
            </w:r>
            <w:r>
              <w:rPr>
                <w:spacing w:val="-3"/>
                <w:sz w:val="18"/>
              </w:rPr>
              <w:t> </w:t>
            </w:r>
            <w:r>
              <w:rPr>
                <w:spacing w:val="-4"/>
                <w:sz w:val="18"/>
              </w:rPr>
              <w:t>DDS.</w:t>
            </w:r>
          </w:p>
        </w:tc>
        <w:tc>
          <w:tcPr>
            <w:tcW w:w="1561" w:type="dxa"/>
          </w:tcPr>
          <w:p>
            <w:pPr>
              <w:pStyle w:val="TableParagraph"/>
              <w:spacing w:before="3"/>
              <w:rPr>
                <w:b/>
                <w:sz w:val="18"/>
              </w:rPr>
            </w:pPr>
          </w:p>
          <w:p>
            <w:pPr>
              <w:pStyle w:val="TableParagraph"/>
              <w:ind w:left="70"/>
              <w:rPr>
                <w:sz w:val="18"/>
              </w:rPr>
            </w:pPr>
            <w:r>
              <w:rPr>
                <w:sz w:val="18"/>
              </w:rPr>
              <w:t>Informes de acuerdos del Consejo</w:t>
            </w:r>
            <w:r>
              <w:rPr>
                <w:spacing w:val="-13"/>
                <w:sz w:val="18"/>
              </w:rPr>
              <w:t> </w:t>
            </w:r>
            <w:r>
              <w:rPr>
                <w:sz w:val="18"/>
              </w:rPr>
              <w:t>Directivo</w:t>
            </w:r>
          </w:p>
        </w:tc>
        <w:tc>
          <w:tcPr>
            <w:tcW w:w="1417" w:type="dxa"/>
          </w:tcPr>
          <w:p>
            <w:pPr>
              <w:pStyle w:val="TableParagraph"/>
              <w:rPr>
                <w:b/>
                <w:sz w:val="18"/>
              </w:rPr>
            </w:pPr>
          </w:p>
          <w:p>
            <w:pPr>
              <w:pStyle w:val="TableParagraph"/>
              <w:spacing w:before="2"/>
              <w:rPr>
                <w:b/>
                <w:sz w:val="18"/>
              </w:rPr>
            </w:pPr>
          </w:p>
          <w:p>
            <w:pPr>
              <w:pStyle w:val="TableParagraph"/>
              <w:ind w:left="9" w:right="10"/>
              <w:jc w:val="center"/>
              <w:rPr>
                <w:sz w:val="18"/>
              </w:rPr>
            </w:pPr>
            <w:r>
              <w:rPr>
                <w:spacing w:val="-5"/>
                <w:sz w:val="18"/>
              </w:rPr>
              <w:t>DDS</w:t>
            </w:r>
          </w:p>
        </w:tc>
        <w:tc>
          <w:tcPr>
            <w:tcW w:w="1650" w:type="dxa"/>
          </w:tcPr>
          <w:p>
            <w:pPr>
              <w:pStyle w:val="TableParagraph"/>
              <w:rPr>
                <w:rFonts w:ascii="Times New Roman"/>
                <w:sz w:val="18"/>
              </w:rPr>
            </w:pPr>
          </w:p>
        </w:tc>
        <w:tc>
          <w:tcPr>
            <w:tcW w:w="1549" w:type="dxa"/>
          </w:tcPr>
          <w:p>
            <w:pPr>
              <w:pStyle w:val="TableParagraph"/>
              <w:rPr>
                <w:rFonts w:ascii="Times New Roman"/>
                <w:sz w:val="18"/>
              </w:rPr>
            </w:pPr>
          </w:p>
        </w:tc>
      </w:tr>
      <w:tr>
        <w:trPr>
          <w:trHeight w:val="1243" w:hRule="atLeast"/>
        </w:trPr>
        <w:tc>
          <w:tcPr>
            <w:tcW w:w="2975" w:type="dxa"/>
          </w:tcPr>
          <w:p>
            <w:pPr>
              <w:pStyle w:val="TableParagraph"/>
              <w:ind w:left="72"/>
              <w:rPr>
                <w:sz w:val="18"/>
              </w:rPr>
            </w:pPr>
            <w:r>
              <w:rPr>
                <w:b/>
                <w:sz w:val="18"/>
              </w:rPr>
              <w:t>Actividad PPPS 1.55.3: </w:t>
            </w:r>
            <w:r>
              <w:rPr>
                <w:sz w:val="18"/>
              </w:rPr>
              <w:t>Seguimiento y análisis para la justificación sobre la ejecución según</w:t>
            </w:r>
            <w:r>
              <w:rPr>
                <w:spacing w:val="-12"/>
                <w:sz w:val="18"/>
              </w:rPr>
              <w:t> </w:t>
            </w:r>
            <w:r>
              <w:rPr>
                <w:sz w:val="18"/>
              </w:rPr>
              <w:t>partidas</w:t>
            </w:r>
            <w:r>
              <w:rPr>
                <w:spacing w:val="-12"/>
                <w:sz w:val="18"/>
              </w:rPr>
              <w:t> </w:t>
            </w:r>
            <w:r>
              <w:rPr>
                <w:sz w:val="18"/>
              </w:rPr>
              <w:t>presupuestarias</w:t>
            </w:r>
            <w:r>
              <w:rPr>
                <w:spacing w:val="-12"/>
                <w:sz w:val="18"/>
              </w:rPr>
              <w:t> </w:t>
            </w:r>
            <w:r>
              <w:rPr>
                <w:sz w:val="18"/>
              </w:rPr>
              <w:t>del PPPS, mediante la generación de</w:t>
            </w:r>
          </w:p>
          <w:p>
            <w:pPr>
              <w:pStyle w:val="TableParagraph"/>
              <w:spacing w:line="187" w:lineRule="exact" w:before="1"/>
              <w:ind w:left="72"/>
              <w:rPr>
                <w:sz w:val="18"/>
              </w:rPr>
            </w:pPr>
            <w:r>
              <w:rPr>
                <w:spacing w:val="-2"/>
                <w:sz w:val="18"/>
              </w:rPr>
              <w:t>informes.</w:t>
            </w:r>
          </w:p>
        </w:tc>
        <w:tc>
          <w:tcPr>
            <w:tcW w:w="1558" w:type="dxa"/>
          </w:tcPr>
          <w:p>
            <w:pPr>
              <w:pStyle w:val="TableParagraph"/>
              <w:rPr>
                <w:b/>
                <w:sz w:val="18"/>
              </w:rPr>
            </w:pPr>
          </w:p>
          <w:p>
            <w:pPr>
              <w:pStyle w:val="TableParagraph"/>
              <w:spacing w:before="103"/>
              <w:rPr>
                <w:b/>
                <w:sz w:val="18"/>
              </w:rPr>
            </w:pPr>
          </w:p>
          <w:p>
            <w:pPr>
              <w:pStyle w:val="TableParagraph"/>
              <w:ind w:left="14" w:right="7"/>
              <w:jc w:val="center"/>
              <w:rPr>
                <w:sz w:val="18"/>
              </w:rPr>
            </w:pPr>
            <w:r>
              <w:rPr>
                <w:spacing w:val="-10"/>
                <w:sz w:val="18"/>
              </w:rPr>
              <w:t>0</w:t>
            </w:r>
          </w:p>
        </w:tc>
        <w:tc>
          <w:tcPr>
            <w:tcW w:w="1561" w:type="dxa"/>
          </w:tcPr>
          <w:p>
            <w:pPr>
              <w:pStyle w:val="TableParagraph"/>
              <w:rPr>
                <w:b/>
                <w:sz w:val="18"/>
              </w:rPr>
            </w:pPr>
          </w:p>
          <w:p>
            <w:pPr>
              <w:pStyle w:val="TableParagraph"/>
              <w:spacing w:before="103"/>
              <w:rPr>
                <w:b/>
                <w:sz w:val="18"/>
              </w:rPr>
            </w:pPr>
          </w:p>
          <w:p>
            <w:pPr>
              <w:pStyle w:val="TableParagraph"/>
              <w:ind w:left="96" w:right="96"/>
              <w:jc w:val="center"/>
              <w:rPr>
                <w:sz w:val="18"/>
              </w:rPr>
            </w:pPr>
            <w:r>
              <w:rPr>
                <w:spacing w:val="-10"/>
                <w:sz w:val="18"/>
              </w:rPr>
              <w:t>2</w:t>
            </w:r>
          </w:p>
        </w:tc>
        <w:tc>
          <w:tcPr>
            <w:tcW w:w="1983" w:type="dxa"/>
          </w:tcPr>
          <w:p>
            <w:pPr>
              <w:pStyle w:val="TableParagraph"/>
              <w:spacing w:line="242" w:lineRule="auto" w:before="205"/>
              <w:ind w:left="66" w:right="86"/>
              <w:rPr>
                <w:sz w:val="18"/>
              </w:rPr>
            </w:pPr>
            <w:r>
              <w:rPr>
                <w:sz w:val="18"/>
              </w:rPr>
              <w:t>Cantidad de informes de seguimiento y ejecución</w:t>
            </w:r>
            <w:r>
              <w:rPr>
                <w:spacing w:val="-15"/>
                <w:sz w:val="18"/>
              </w:rPr>
              <w:t> </w:t>
            </w:r>
            <w:r>
              <w:rPr>
                <w:sz w:val="18"/>
              </w:rPr>
              <w:t>emitidos</w:t>
            </w:r>
            <w:r>
              <w:rPr>
                <w:spacing w:val="-12"/>
                <w:sz w:val="18"/>
              </w:rPr>
              <w:t> </w:t>
            </w:r>
            <w:r>
              <w:rPr>
                <w:sz w:val="18"/>
              </w:rPr>
              <w:t>por la DDS.</w:t>
            </w:r>
          </w:p>
        </w:tc>
        <w:tc>
          <w:tcPr>
            <w:tcW w:w="1561" w:type="dxa"/>
          </w:tcPr>
          <w:p>
            <w:pPr>
              <w:pStyle w:val="TableParagraph"/>
              <w:spacing w:before="204"/>
              <w:rPr>
                <w:b/>
                <w:sz w:val="18"/>
              </w:rPr>
            </w:pPr>
          </w:p>
          <w:p>
            <w:pPr>
              <w:pStyle w:val="TableParagraph"/>
              <w:spacing w:line="244" w:lineRule="auto"/>
              <w:ind w:left="70"/>
              <w:rPr>
                <w:sz w:val="18"/>
              </w:rPr>
            </w:pPr>
            <w:r>
              <w:rPr>
                <w:sz w:val="18"/>
              </w:rPr>
              <w:t>Oficios</w:t>
            </w:r>
            <w:r>
              <w:rPr>
                <w:spacing w:val="-15"/>
                <w:sz w:val="18"/>
              </w:rPr>
              <w:t> </w:t>
            </w:r>
            <w:r>
              <w:rPr>
                <w:sz w:val="18"/>
              </w:rPr>
              <w:t>o</w:t>
            </w:r>
            <w:r>
              <w:rPr>
                <w:spacing w:val="-12"/>
                <w:sz w:val="18"/>
              </w:rPr>
              <w:t> </w:t>
            </w:r>
            <w:r>
              <w:rPr>
                <w:sz w:val="18"/>
              </w:rPr>
              <w:t>correos </w:t>
            </w:r>
            <w:r>
              <w:rPr>
                <w:spacing w:val="-2"/>
                <w:sz w:val="18"/>
              </w:rPr>
              <w:t>electrónicos</w:t>
            </w:r>
          </w:p>
        </w:tc>
        <w:tc>
          <w:tcPr>
            <w:tcW w:w="1417" w:type="dxa"/>
          </w:tcPr>
          <w:p>
            <w:pPr>
              <w:pStyle w:val="TableParagraph"/>
              <w:rPr>
                <w:b/>
                <w:sz w:val="18"/>
              </w:rPr>
            </w:pPr>
          </w:p>
          <w:p>
            <w:pPr>
              <w:pStyle w:val="TableParagraph"/>
              <w:spacing w:before="103"/>
              <w:rPr>
                <w:b/>
                <w:sz w:val="18"/>
              </w:rPr>
            </w:pPr>
          </w:p>
          <w:p>
            <w:pPr>
              <w:pStyle w:val="TableParagraph"/>
              <w:ind w:left="9" w:right="10"/>
              <w:jc w:val="center"/>
              <w:rPr>
                <w:sz w:val="18"/>
              </w:rPr>
            </w:pPr>
            <w:r>
              <w:rPr>
                <w:spacing w:val="-5"/>
                <w:sz w:val="18"/>
              </w:rPr>
              <w:t>DDS</w:t>
            </w:r>
          </w:p>
        </w:tc>
        <w:tc>
          <w:tcPr>
            <w:tcW w:w="1650" w:type="dxa"/>
          </w:tcPr>
          <w:p>
            <w:pPr>
              <w:pStyle w:val="TableParagraph"/>
              <w:rPr>
                <w:rFonts w:ascii="Times New Roman"/>
                <w:sz w:val="18"/>
              </w:rPr>
            </w:pPr>
          </w:p>
        </w:tc>
        <w:tc>
          <w:tcPr>
            <w:tcW w:w="1549"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700" w:bottom="2522"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9"/>
        <w:gridCol w:w="1548"/>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9" w:type="dxa"/>
            <w:shd w:val="clear" w:color="auto" w:fill="D9D9D9"/>
          </w:tcPr>
          <w:p>
            <w:pPr>
              <w:pStyle w:val="TableParagraph"/>
              <w:spacing w:before="104"/>
              <w:ind w:left="430" w:hanging="120"/>
              <w:rPr>
                <w:b/>
                <w:sz w:val="18"/>
              </w:rPr>
            </w:pPr>
            <w:r>
              <w:rPr>
                <w:b/>
                <w:spacing w:val="-2"/>
                <w:sz w:val="18"/>
              </w:rPr>
              <w:t>Presupuesto asignado</w:t>
            </w:r>
          </w:p>
        </w:tc>
        <w:tc>
          <w:tcPr>
            <w:tcW w:w="1548" w:type="dxa"/>
            <w:shd w:val="clear" w:color="auto" w:fill="D9D9D9"/>
          </w:tcPr>
          <w:p>
            <w:pPr>
              <w:pStyle w:val="TableParagraph"/>
              <w:spacing w:line="206" w:lineRule="exact"/>
              <w:ind w:left="16"/>
              <w:jc w:val="center"/>
              <w:rPr>
                <w:b/>
                <w:sz w:val="18"/>
              </w:rPr>
            </w:pPr>
            <w:r>
              <w:rPr>
                <w:b/>
                <w:spacing w:val="-2"/>
                <w:sz w:val="18"/>
              </w:rPr>
              <w:t>Riesgos </w:t>
            </w:r>
            <w:r>
              <w:rPr>
                <w:b/>
                <w:sz w:val="18"/>
              </w:rPr>
              <w:t>asociados al </w:t>
            </w:r>
            <w:r>
              <w:rPr>
                <w:b/>
                <w:spacing w:val="-2"/>
                <w:sz w:val="18"/>
              </w:rPr>
              <w:t>cumplimiento</w:t>
            </w:r>
          </w:p>
        </w:tc>
      </w:tr>
      <w:tr>
        <w:trPr>
          <w:trHeight w:val="1243" w:hRule="atLeast"/>
        </w:trPr>
        <w:tc>
          <w:tcPr>
            <w:tcW w:w="2972" w:type="dxa"/>
          </w:tcPr>
          <w:p>
            <w:pPr>
              <w:pStyle w:val="TableParagraph"/>
              <w:spacing w:before="3"/>
              <w:ind w:left="72" w:right="60"/>
              <w:rPr>
                <w:sz w:val="18"/>
              </w:rPr>
            </w:pPr>
            <w:r>
              <w:rPr>
                <w:b/>
                <w:sz w:val="18"/>
              </w:rPr>
              <w:t>Actividad PPPS 1.55.4: </w:t>
            </w:r>
            <w:r>
              <w:rPr>
                <w:sz w:val="18"/>
              </w:rPr>
              <w:t>Seguimiento a las recomendaciones y planes de trabajo</w:t>
            </w:r>
            <w:r>
              <w:rPr>
                <w:spacing w:val="-11"/>
                <w:sz w:val="18"/>
              </w:rPr>
              <w:t> </w:t>
            </w:r>
            <w:r>
              <w:rPr>
                <w:sz w:val="18"/>
              </w:rPr>
              <w:t>vinculados</w:t>
            </w:r>
            <w:r>
              <w:rPr>
                <w:spacing w:val="-11"/>
                <w:sz w:val="18"/>
              </w:rPr>
              <w:t> </w:t>
            </w:r>
            <w:r>
              <w:rPr>
                <w:sz w:val="18"/>
              </w:rPr>
              <w:t>a</w:t>
            </w:r>
            <w:r>
              <w:rPr>
                <w:spacing w:val="-7"/>
                <w:sz w:val="18"/>
              </w:rPr>
              <w:t> </w:t>
            </w:r>
            <w:r>
              <w:rPr>
                <w:sz w:val="18"/>
              </w:rPr>
              <w:t>advertencias</w:t>
            </w:r>
            <w:r>
              <w:rPr>
                <w:spacing w:val="-6"/>
                <w:sz w:val="18"/>
              </w:rPr>
              <w:t> </w:t>
            </w:r>
            <w:r>
              <w:rPr>
                <w:sz w:val="18"/>
              </w:rPr>
              <w:t>y</w:t>
            </w:r>
          </w:p>
          <w:p>
            <w:pPr>
              <w:pStyle w:val="TableParagraph"/>
              <w:spacing w:line="206" w:lineRule="exact"/>
              <w:ind w:left="72"/>
              <w:rPr>
                <w:sz w:val="18"/>
              </w:rPr>
            </w:pPr>
            <w:r>
              <w:rPr>
                <w:sz w:val="18"/>
              </w:rPr>
              <w:t>recomendaciones</w:t>
            </w:r>
            <w:r>
              <w:rPr>
                <w:spacing w:val="-15"/>
                <w:sz w:val="18"/>
              </w:rPr>
              <w:t> </w:t>
            </w:r>
            <w:r>
              <w:rPr>
                <w:sz w:val="18"/>
              </w:rPr>
              <w:t>emitidas</w:t>
            </w:r>
            <w:r>
              <w:rPr>
                <w:spacing w:val="-12"/>
                <w:sz w:val="18"/>
              </w:rPr>
              <w:t> </w:t>
            </w:r>
            <w:r>
              <w:rPr>
                <w:sz w:val="18"/>
              </w:rPr>
              <w:t>por instancias externas.</w:t>
            </w:r>
          </w:p>
        </w:tc>
        <w:tc>
          <w:tcPr>
            <w:tcW w:w="1560" w:type="dxa"/>
          </w:tcPr>
          <w:p>
            <w:pPr>
              <w:pStyle w:val="TableParagraph"/>
              <w:rPr>
                <w:b/>
                <w:sz w:val="18"/>
              </w:rPr>
            </w:pPr>
          </w:p>
          <w:p>
            <w:pPr>
              <w:pStyle w:val="TableParagraph"/>
              <w:spacing w:before="104"/>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104"/>
              <w:rPr>
                <w:b/>
                <w:sz w:val="18"/>
              </w:rPr>
            </w:pPr>
          </w:p>
          <w:p>
            <w:pPr>
              <w:pStyle w:val="TableParagraph"/>
              <w:ind w:left="21" w:right="18"/>
              <w:jc w:val="center"/>
              <w:rPr>
                <w:sz w:val="18"/>
              </w:rPr>
            </w:pPr>
            <w:r>
              <w:rPr>
                <w:spacing w:val="-10"/>
                <w:sz w:val="18"/>
              </w:rPr>
              <w:t>4</w:t>
            </w:r>
          </w:p>
        </w:tc>
        <w:tc>
          <w:tcPr>
            <w:tcW w:w="1982" w:type="dxa"/>
          </w:tcPr>
          <w:p>
            <w:pPr>
              <w:pStyle w:val="TableParagraph"/>
              <w:spacing w:before="3"/>
              <w:rPr>
                <w:b/>
                <w:sz w:val="18"/>
              </w:rPr>
            </w:pPr>
          </w:p>
          <w:p>
            <w:pPr>
              <w:pStyle w:val="TableParagraph"/>
              <w:ind w:left="68" w:right="127"/>
              <w:rPr>
                <w:sz w:val="18"/>
              </w:rPr>
            </w:pPr>
            <w:r>
              <w:rPr>
                <w:sz w:val="18"/>
              </w:rPr>
              <w:t>Cantidad</w:t>
            </w:r>
            <w:r>
              <w:rPr>
                <w:spacing w:val="-15"/>
                <w:sz w:val="18"/>
              </w:rPr>
              <w:t> </w:t>
            </w:r>
            <w:r>
              <w:rPr>
                <w:sz w:val="18"/>
              </w:rPr>
              <w:t>de</w:t>
            </w:r>
            <w:r>
              <w:rPr>
                <w:spacing w:val="-12"/>
                <w:sz w:val="18"/>
              </w:rPr>
              <w:t> </w:t>
            </w:r>
            <w:r>
              <w:rPr>
                <w:sz w:val="18"/>
              </w:rPr>
              <w:t>informes de seguimiento elaborados por la </w:t>
            </w:r>
            <w:r>
              <w:rPr>
                <w:spacing w:val="-4"/>
                <w:sz w:val="18"/>
              </w:rPr>
              <w:t>DDS.</w:t>
            </w:r>
          </w:p>
        </w:tc>
        <w:tc>
          <w:tcPr>
            <w:tcW w:w="1560" w:type="dxa"/>
          </w:tcPr>
          <w:p>
            <w:pPr>
              <w:pStyle w:val="TableParagraph"/>
              <w:rPr>
                <w:b/>
                <w:sz w:val="18"/>
              </w:rPr>
            </w:pPr>
          </w:p>
          <w:p>
            <w:pPr>
              <w:pStyle w:val="TableParagraph"/>
              <w:spacing w:before="3"/>
              <w:rPr>
                <w:b/>
                <w:sz w:val="18"/>
              </w:rPr>
            </w:pPr>
          </w:p>
          <w:p>
            <w:pPr>
              <w:pStyle w:val="TableParagraph"/>
              <w:ind w:left="73" w:right="58"/>
              <w:rPr>
                <w:sz w:val="18"/>
              </w:rPr>
            </w:pPr>
            <w:r>
              <w:rPr>
                <w:sz w:val="18"/>
              </w:rPr>
              <w:t>Informes</w:t>
            </w:r>
            <w:r>
              <w:rPr>
                <w:spacing w:val="-13"/>
                <w:sz w:val="18"/>
              </w:rPr>
              <w:t> </w:t>
            </w:r>
            <w:r>
              <w:rPr>
                <w:sz w:val="18"/>
              </w:rPr>
              <w:t>de </w:t>
            </w:r>
            <w:r>
              <w:rPr>
                <w:spacing w:val="-2"/>
                <w:sz w:val="18"/>
              </w:rPr>
              <w:t>seguimiento</w:t>
            </w:r>
          </w:p>
        </w:tc>
        <w:tc>
          <w:tcPr>
            <w:tcW w:w="1416" w:type="dxa"/>
          </w:tcPr>
          <w:p>
            <w:pPr>
              <w:pStyle w:val="TableParagraph"/>
              <w:rPr>
                <w:b/>
                <w:sz w:val="18"/>
              </w:rPr>
            </w:pPr>
          </w:p>
          <w:p>
            <w:pPr>
              <w:pStyle w:val="TableParagraph"/>
              <w:spacing w:before="104"/>
              <w:rPr>
                <w:b/>
                <w:sz w:val="18"/>
              </w:rPr>
            </w:pPr>
          </w:p>
          <w:p>
            <w:pPr>
              <w:pStyle w:val="TableParagraph"/>
              <w:ind w:left="17" w:right="12"/>
              <w:jc w:val="center"/>
              <w:rPr>
                <w:sz w:val="18"/>
              </w:rPr>
            </w:pPr>
            <w:r>
              <w:rPr>
                <w:spacing w:val="-5"/>
                <w:sz w:val="18"/>
              </w:rPr>
              <w:t>DDS</w:t>
            </w:r>
          </w:p>
        </w:tc>
        <w:tc>
          <w:tcPr>
            <w:tcW w:w="1649" w:type="dxa"/>
          </w:tcPr>
          <w:p>
            <w:pPr>
              <w:pStyle w:val="TableParagraph"/>
              <w:rPr>
                <w:rFonts w:ascii="Times New Roman"/>
                <w:sz w:val="18"/>
              </w:rPr>
            </w:pPr>
          </w:p>
        </w:tc>
        <w:tc>
          <w:tcPr>
            <w:tcW w:w="1548" w:type="dxa"/>
          </w:tcPr>
          <w:p>
            <w:pPr>
              <w:pStyle w:val="TableParagraph"/>
              <w:rPr>
                <w:rFonts w:ascii="Times New Roman"/>
                <w:sz w:val="18"/>
              </w:rPr>
            </w:pPr>
          </w:p>
        </w:tc>
      </w:tr>
      <w:tr>
        <w:trPr>
          <w:trHeight w:val="1243" w:hRule="atLeast"/>
        </w:trPr>
        <w:tc>
          <w:tcPr>
            <w:tcW w:w="2972" w:type="dxa"/>
          </w:tcPr>
          <w:p>
            <w:pPr>
              <w:pStyle w:val="TableParagraph"/>
              <w:ind w:left="72"/>
              <w:rPr>
                <w:sz w:val="18"/>
              </w:rPr>
            </w:pPr>
            <w:r>
              <w:rPr>
                <w:b/>
                <w:sz w:val="18"/>
              </w:rPr>
              <w:t>Actividad PPPS 1.55.5: </w:t>
            </w:r>
            <w:r>
              <w:rPr>
                <w:sz w:val="18"/>
              </w:rPr>
              <w:t>Seguimiento al cumplimiento de compromisos de la DDS en instrumentos de planificación en materia</w:t>
            </w:r>
            <w:r>
              <w:rPr>
                <w:spacing w:val="-10"/>
                <w:sz w:val="18"/>
              </w:rPr>
              <w:t> </w:t>
            </w:r>
            <w:r>
              <w:rPr>
                <w:sz w:val="18"/>
              </w:rPr>
              <w:t>de</w:t>
            </w:r>
            <w:r>
              <w:rPr>
                <w:spacing w:val="-6"/>
                <w:sz w:val="18"/>
              </w:rPr>
              <w:t> </w:t>
            </w:r>
            <w:r>
              <w:rPr>
                <w:sz w:val="18"/>
              </w:rPr>
              <w:t>igualdad</w:t>
            </w:r>
            <w:r>
              <w:rPr>
                <w:spacing w:val="-6"/>
                <w:sz w:val="18"/>
              </w:rPr>
              <w:t> </w:t>
            </w:r>
            <w:r>
              <w:rPr>
                <w:sz w:val="18"/>
              </w:rPr>
              <w:t>y</w:t>
            </w:r>
            <w:r>
              <w:rPr>
                <w:spacing w:val="-10"/>
                <w:sz w:val="18"/>
              </w:rPr>
              <w:t> </w:t>
            </w:r>
            <w:r>
              <w:rPr>
                <w:sz w:val="18"/>
              </w:rPr>
              <w:t>equidad</w:t>
            </w:r>
            <w:r>
              <w:rPr>
                <w:spacing w:val="-6"/>
                <w:sz w:val="18"/>
              </w:rPr>
              <w:t> </w:t>
            </w:r>
            <w:r>
              <w:rPr>
                <w:sz w:val="18"/>
              </w:rPr>
              <w:t>de</w:t>
            </w:r>
          </w:p>
          <w:p>
            <w:pPr>
              <w:pStyle w:val="TableParagraph"/>
              <w:spacing w:line="187" w:lineRule="exact" w:before="1"/>
              <w:ind w:left="72"/>
              <w:rPr>
                <w:sz w:val="18"/>
              </w:rPr>
            </w:pPr>
            <w:r>
              <w:rPr>
                <w:spacing w:val="-2"/>
                <w:sz w:val="18"/>
              </w:rPr>
              <w:t>género.</w:t>
            </w:r>
          </w:p>
        </w:tc>
        <w:tc>
          <w:tcPr>
            <w:tcW w:w="1560" w:type="dxa"/>
          </w:tcPr>
          <w:p>
            <w:pPr>
              <w:pStyle w:val="TableParagraph"/>
              <w:rPr>
                <w:b/>
                <w:sz w:val="18"/>
              </w:rPr>
            </w:pPr>
          </w:p>
          <w:p>
            <w:pPr>
              <w:pStyle w:val="TableParagraph"/>
              <w:spacing w:before="103"/>
              <w:rPr>
                <w:b/>
                <w:sz w:val="18"/>
              </w:rPr>
            </w:pPr>
          </w:p>
          <w:p>
            <w:pPr>
              <w:pStyle w:val="TableParagraph"/>
              <w:ind w:left="21" w:right="10"/>
              <w:jc w:val="center"/>
              <w:rPr>
                <w:sz w:val="18"/>
              </w:rPr>
            </w:pPr>
            <w:r>
              <w:rPr>
                <w:spacing w:val="-10"/>
                <w:sz w:val="18"/>
              </w:rPr>
              <w:t>1</w:t>
            </w:r>
          </w:p>
        </w:tc>
        <w:tc>
          <w:tcPr>
            <w:tcW w:w="1560" w:type="dxa"/>
          </w:tcPr>
          <w:p>
            <w:pPr>
              <w:pStyle w:val="TableParagraph"/>
              <w:rPr>
                <w:b/>
                <w:sz w:val="18"/>
              </w:rPr>
            </w:pPr>
          </w:p>
          <w:p>
            <w:pPr>
              <w:pStyle w:val="TableParagraph"/>
              <w:spacing w:before="103"/>
              <w:rPr>
                <w:b/>
                <w:sz w:val="18"/>
              </w:rPr>
            </w:pPr>
          </w:p>
          <w:p>
            <w:pPr>
              <w:pStyle w:val="TableParagraph"/>
              <w:ind w:left="21" w:right="18"/>
              <w:jc w:val="center"/>
              <w:rPr>
                <w:sz w:val="18"/>
              </w:rPr>
            </w:pPr>
            <w:r>
              <w:rPr>
                <w:spacing w:val="-10"/>
                <w:sz w:val="18"/>
              </w:rPr>
              <w:t>1</w:t>
            </w:r>
          </w:p>
        </w:tc>
        <w:tc>
          <w:tcPr>
            <w:tcW w:w="1982" w:type="dxa"/>
          </w:tcPr>
          <w:p>
            <w:pPr>
              <w:pStyle w:val="TableParagraph"/>
              <w:spacing w:before="205"/>
              <w:ind w:left="68" w:right="127"/>
              <w:rPr>
                <w:sz w:val="18"/>
              </w:rPr>
            </w:pPr>
            <w:r>
              <w:rPr>
                <w:sz w:val="18"/>
              </w:rPr>
              <w:t>Cantidad</w:t>
            </w:r>
            <w:r>
              <w:rPr>
                <w:spacing w:val="-15"/>
                <w:sz w:val="18"/>
              </w:rPr>
              <w:t> </w:t>
            </w:r>
            <w:r>
              <w:rPr>
                <w:sz w:val="18"/>
              </w:rPr>
              <w:t>de</w:t>
            </w:r>
            <w:r>
              <w:rPr>
                <w:spacing w:val="-12"/>
                <w:sz w:val="18"/>
              </w:rPr>
              <w:t> </w:t>
            </w:r>
            <w:r>
              <w:rPr>
                <w:sz w:val="18"/>
              </w:rPr>
              <w:t>informes de seguimiento elaborados por la </w:t>
            </w:r>
            <w:r>
              <w:rPr>
                <w:spacing w:val="-4"/>
                <w:sz w:val="18"/>
              </w:rPr>
              <w:t>DDS.</w:t>
            </w:r>
          </w:p>
        </w:tc>
        <w:tc>
          <w:tcPr>
            <w:tcW w:w="1560" w:type="dxa"/>
          </w:tcPr>
          <w:p>
            <w:pPr>
              <w:pStyle w:val="TableParagraph"/>
              <w:rPr>
                <w:b/>
                <w:sz w:val="18"/>
              </w:rPr>
            </w:pPr>
          </w:p>
          <w:p>
            <w:pPr>
              <w:pStyle w:val="TableParagraph"/>
              <w:spacing w:before="3"/>
              <w:rPr>
                <w:b/>
                <w:sz w:val="18"/>
              </w:rPr>
            </w:pPr>
          </w:p>
          <w:p>
            <w:pPr>
              <w:pStyle w:val="TableParagraph"/>
              <w:ind w:left="73" w:right="58"/>
              <w:rPr>
                <w:sz w:val="18"/>
              </w:rPr>
            </w:pPr>
            <w:r>
              <w:rPr>
                <w:sz w:val="18"/>
              </w:rPr>
              <w:t>Informes</w:t>
            </w:r>
            <w:r>
              <w:rPr>
                <w:spacing w:val="-13"/>
                <w:sz w:val="18"/>
              </w:rPr>
              <w:t> </w:t>
            </w:r>
            <w:r>
              <w:rPr>
                <w:sz w:val="18"/>
              </w:rPr>
              <w:t>de </w:t>
            </w:r>
            <w:r>
              <w:rPr>
                <w:spacing w:val="-2"/>
                <w:sz w:val="18"/>
              </w:rPr>
              <w:t>seguimiento</w:t>
            </w:r>
          </w:p>
        </w:tc>
        <w:tc>
          <w:tcPr>
            <w:tcW w:w="1416" w:type="dxa"/>
          </w:tcPr>
          <w:p>
            <w:pPr>
              <w:pStyle w:val="TableParagraph"/>
              <w:rPr>
                <w:b/>
                <w:sz w:val="18"/>
              </w:rPr>
            </w:pPr>
          </w:p>
          <w:p>
            <w:pPr>
              <w:pStyle w:val="TableParagraph"/>
              <w:spacing w:before="103"/>
              <w:rPr>
                <w:b/>
                <w:sz w:val="18"/>
              </w:rPr>
            </w:pPr>
          </w:p>
          <w:p>
            <w:pPr>
              <w:pStyle w:val="TableParagraph"/>
              <w:ind w:left="17" w:right="12"/>
              <w:jc w:val="center"/>
              <w:rPr>
                <w:sz w:val="18"/>
              </w:rPr>
            </w:pPr>
            <w:r>
              <w:rPr>
                <w:spacing w:val="-5"/>
                <w:sz w:val="18"/>
              </w:rPr>
              <w:t>DDS</w:t>
            </w:r>
          </w:p>
        </w:tc>
        <w:tc>
          <w:tcPr>
            <w:tcW w:w="1649" w:type="dxa"/>
          </w:tcPr>
          <w:p>
            <w:pPr>
              <w:pStyle w:val="TableParagraph"/>
              <w:rPr>
                <w:rFonts w:ascii="Times New Roman"/>
                <w:sz w:val="18"/>
              </w:rPr>
            </w:pPr>
          </w:p>
        </w:tc>
        <w:tc>
          <w:tcPr>
            <w:tcW w:w="1548" w:type="dxa"/>
          </w:tcPr>
          <w:p>
            <w:pPr>
              <w:pStyle w:val="TableParagraph"/>
              <w:rPr>
                <w:rFonts w:ascii="Times New Roman"/>
                <w:sz w:val="18"/>
              </w:rPr>
            </w:pPr>
          </w:p>
        </w:tc>
      </w:tr>
      <w:tr>
        <w:trPr>
          <w:trHeight w:val="1243" w:hRule="atLeast"/>
        </w:trPr>
        <w:tc>
          <w:tcPr>
            <w:tcW w:w="2972" w:type="dxa"/>
          </w:tcPr>
          <w:p>
            <w:pPr>
              <w:pStyle w:val="TableParagraph"/>
              <w:ind w:left="72" w:right="141"/>
              <w:rPr>
                <w:sz w:val="18"/>
              </w:rPr>
            </w:pPr>
            <w:r>
              <w:rPr>
                <w:b/>
                <w:sz w:val="18"/>
              </w:rPr>
              <w:t>Actividad PPPS 1.55.6: </w:t>
            </w:r>
            <w:r>
              <w:rPr>
                <w:sz w:val="18"/>
              </w:rPr>
              <w:t>Seguimiento al cumplimiento de las acciones planteadas en la Estrategia Nacional de Empleabilidad</w:t>
            </w:r>
            <w:r>
              <w:rPr>
                <w:spacing w:val="-12"/>
                <w:sz w:val="18"/>
              </w:rPr>
              <w:t> </w:t>
            </w:r>
            <w:r>
              <w:rPr>
                <w:sz w:val="18"/>
              </w:rPr>
              <w:t>y</w:t>
            </w:r>
            <w:r>
              <w:rPr>
                <w:spacing w:val="-13"/>
                <w:sz w:val="18"/>
              </w:rPr>
              <w:t> </w:t>
            </w:r>
            <w:r>
              <w:rPr>
                <w:sz w:val="18"/>
              </w:rPr>
              <w:t>Talento</w:t>
            </w:r>
            <w:r>
              <w:rPr>
                <w:spacing w:val="-10"/>
                <w:sz w:val="18"/>
              </w:rPr>
              <w:t> </w:t>
            </w:r>
            <w:r>
              <w:rPr>
                <w:sz w:val="18"/>
              </w:rPr>
              <w:t>Humano</w:t>
            </w:r>
          </w:p>
          <w:p>
            <w:pPr>
              <w:pStyle w:val="TableParagraph"/>
              <w:spacing w:line="187" w:lineRule="exact" w:before="1"/>
              <w:ind w:left="72"/>
              <w:rPr>
                <w:sz w:val="18"/>
              </w:rPr>
            </w:pPr>
            <w:r>
              <w:rPr>
                <w:sz w:val="18"/>
              </w:rPr>
              <w:t>de</w:t>
            </w:r>
            <w:r>
              <w:rPr>
                <w:spacing w:val="-1"/>
                <w:sz w:val="18"/>
              </w:rPr>
              <w:t> </w:t>
            </w:r>
            <w:r>
              <w:rPr>
                <w:sz w:val="18"/>
              </w:rPr>
              <w:t>CR</w:t>
            </w:r>
            <w:r>
              <w:rPr>
                <w:spacing w:val="-7"/>
                <w:sz w:val="18"/>
              </w:rPr>
              <w:t> </w:t>
            </w:r>
            <w:r>
              <w:rPr>
                <w:sz w:val="18"/>
              </w:rPr>
              <w:t>(Estrategia</w:t>
            </w:r>
            <w:r>
              <w:rPr>
                <w:spacing w:val="-4"/>
                <w:sz w:val="18"/>
              </w:rPr>
              <w:t> </w:t>
            </w:r>
            <w:r>
              <w:rPr>
                <w:spacing w:val="-2"/>
                <w:sz w:val="18"/>
              </w:rPr>
              <w:t>Brete).</w:t>
            </w:r>
          </w:p>
        </w:tc>
        <w:tc>
          <w:tcPr>
            <w:tcW w:w="1560" w:type="dxa"/>
          </w:tcPr>
          <w:p>
            <w:pPr>
              <w:pStyle w:val="TableParagraph"/>
              <w:rPr>
                <w:b/>
                <w:sz w:val="18"/>
              </w:rPr>
            </w:pPr>
          </w:p>
          <w:p>
            <w:pPr>
              <w:pStyle w:val="TableParagraph"/>
              <w:spacing w:before="104"/>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104"/>
              <w:rPr>
                <w:b/>
                <w:sz w:val="18"/>
              </w:rPr>
            </w:pPr>
          </w:p>
          <w:p>
            <w:pPr>
              <w:pStyle w:val="TableParagraph"/>
              <w:ind w:left="21" w:right="18"/>
              <w:jc w:val="center"/>
              <w:rPr>
                <w:sz w:val="18"/>
              </w:rPr>
            </w:pPr>
            <w:r>
              <w:rPr>
                <w:spacing w:val="-10"/>
                <w:sz w:val="18"/>
              </w:rPr>
              <w:t>2</w:t>
            </w:r>
          </w:p>
        </w:tc>
        <w:tc>
          <w:tcPr>
            <w:tcW w:w="1982" w:type="dxa"/>
          </w:tcPr>
          <w:p>
            <w:pPr>
              <w:pStyle w:val="TableParagraph"/>
              <w:ind w:left="68" w:right="53"/>
              <w:rPr>
                <w:sz w:val="18"/>
              </w:rPr>
            </w:pPr>
            <w:r>
              <w:rPr>
                <w:sz w:val="18"/>
              </w:rPr>
              <w:t>Cantidad de informes de seguimiento a la Estrategia</w:t>
            </w:r>
            <w:r>
              <w:rPr>
                <w:spacing w:val="-15"/>
                <w:sz w:val="18"/>
              </w:rPr>
              <w:t> </w:t>
            </w:r>
            <w:r>
              <w:rPr>
                <w:sz w:val="18"/>
              </w:rPr>
              <w:t>Nacional</w:t>
            </w:r>
            <w:r>
              <w:rPr>
                <w:spacing w:val="-12"/>
                <w:sz w:val="18"/>
              </w:rPr>
              <w:t> </w:t>
            </w:r>
            <w:r>
              <w:rPr>
                <w:sz w:val="18"/>
              </w:rPr>
              <w:t>de Empleabilidad y Talento Humano de</w:t>
            </w:r>
          </w:p>
          <w:p>
            <w:pPr>
              <w:pStyle w:val="TableParagraph"/>
              <w:spacing w:line="187" w:lineRule="exact" w:before="1"/>
              <w:ind w:left="68"/>
              <w:rPr>
                <w:sz w:val="18"/>
              </w:rPr>
            </w:pPr>
            <w:r>
              <w:rPr>
                <w:sz w:val="18"/>
              </w:rPr>
              <w:t>CR</w:t>
            </w:r>
            <w:r>
              <w:rPr>
                <w:spacing w:val="-3"/>
                <w:sz w:val="18"/>
              </w:rPr>
              <w:t> </w:t>
            </w:r>
            <w:r>
              <w:rPr>
                <w:sz w:val="18"/>
              </w:rPr>
              <w:t>(Estrategia</w:t>
            </w:r>
            <w:r>
              <w:rPr>
                <w:spacing w:val="-6"/>
                <w:sz w:val="18"/>
              </w:rPr>
              <w:t> </w:t>
            </w:r>
            <w:r>
              <w:rPr>
                <w:spacing w:val="-2"/>
                <w:sz w:val="18"/>
              </w:rPr>
              <w:t>Brete).</w:t>
            </w:r>
          </w:p>
        </w:tc>
        <w:tc>
          <w:tcPr>
            <w:tcW w:w="1560" w:type="dxa"/>
          </w:tcPr>
          <w:p>
            <w:pPr>
              <w:pStyle w:val="TableParagraph"/>
              <w:spacing w:before="205"/>
              <w:rPr>
                <w:b/>
                <w:sz w:val="18"/>
              </w:rPr>
            </w:pPr>
          </w:p>
          <w:p>
            <w:pPr>
              <w:pStyle w:val="TableParagraph"/>
              <w:spacing w:line="244" w:lineRule="auto"/>
              <w:ind w:left="73" w:right="58"/>
              <w:rPr>
                <w:sz w:val="18"/>
              </w:rPr>
            </w:pPr>
            <w:r>
              <w:rPr>
                <w:sz w:val="18"/>
              </w:rPr>
              <w:t>Informes</w:t>
            </w:r>
            <w:r>
              <w:rPr>
                <w:spacing w:val="-13"/>
                <w:sz w:val="18"/>
              </w:rPr>
              <w:t> </w:t>
            </w:r>
            <w:r>
              <w:rPr>
                <w:sz w:val="18"/>
              </w:rPr>
              <w:t>de </w:t>
            </w:r>
            <w:r>
              <w:rPr>
                <w:spacing w:val="-2"/>
                <w:sz w:val="18"/>
              </w:rPr>
              <w:t>seguimiento</w:t>
            </w:r>
          </w:p>
        </w:tc>
        <w:tc>
          <w:tcPr>
            <w:tcW w:w="1416" w:type="dxa"/>
          </w:tcPr>
          <w:p>
            <w:pPr>
              <w:pStyle w:val="TableParagraph"/>
              <w:rPr>
                <w:b/>
                <w:sz w:val="18"/>
              </w:rPr>
            </w:pPr>
          </w:p>
          <w:p>
            <w:pPr>
              <w:pStyle w:val="TableParagraph"/>
              <w:spacing w:before="104"/>
              <w:rPr>
                <w:b/>
                <w:sz w:val="18"/>
              </w:rPr>
            </w:pPr>
          </w:p>
          <w:p>
            <w:pPr>
              <w:pStyle w:val="TableParagraph"/>
              <w:ind w:left="17" w:right="12"/>
              <w:jc w:val="center"/>
              <w:rPr>
                <w:sz w:val="18"/>
              </w:rPr>
            </w:pPr>
            <w:r>
              <w:rPr>
                <w:spacing w:val="-5"/>
                <w:sz w:val="18"/>
              </w:rPr>
              <w:t>DDS</w:t>
            </w:r>
          </w:p>
        </w:tc>
        <w:tc>
          <w:tcPr>
            <w:tcW w:w="1649" w:type="dxa"/>
          </w:tcPr>
          <w:p>
            <w:pPr>
              <w:pStyle w:val="TableParagraph"/>
              <w:rPr>
                <w:rFonts w:ascii="Times New Roman"/>
                <w:sz w:val="18"/>
              </w:rPr>
            </w:pPr>
          </w:p>
        </w:tc>
        <w:tc>
          <w:tcPr>
            <w:tcW w:w="1548" w:type="dxa"/>
          </w:tcPr>
          <w:p>
            <w:pPr>
              <w:pStyle w:val="TableParagraph"/>
              <w:rPr>
                <w:rFonts w:ascii="Times New Roman"/>
                <w:sz w:val="18"/>
              </w:rPr>
            </w:pPr>
          </w:p>
        </w:tc>
      </w:tr>
      <w:tr>
        <w:trPr>
          <w:trHeight w:val="1243" w:hRule="atLeast"/>
        </w:trPr>
        <w:tc>
          <w:tcPr>
            <w:tcW w:w="2972" w:type="dxa"/>
          </w:tcPr>
          <w:p>
            <w:pPr>
              <w:pStyle w:val="TableParagraph"/>
              <w:spacing w:before="205"/>
              <w:ind w:left="72" w:right="105"/>
              <w:rPr>
                <w:sz w:val="18"/>
              </w:rPr>
            </w:pPr>
            <w:r>
              <w:rPr>
                <w:b/>
                <w:sz w:val="18"/>
              </w:rPr>
              <w:t>Actividad PPPS 1.55.7: </w:t>
            </w:r>
            <w:r>
              <w:rPr>
                <w:sz w:val="18"/>
              </w:rPr>
              <w:t>Seguimiento</w:t>
            </w:r>
            <w:r>
              <w:rPr>
                <w:spacing w:val="-12"/>
                <w:sz w:val="18"/>
              </w:rPr>
              <w:t> </w:t>
            </w:r>
            <w:r>
              <w:rPr>
                <w:sz w:val="18"/>
              </w:rPr>
              <w:t>a</w:t>
            </w:r>
            <w:r>
              <w:rPr>
                <w:spacing w:val="-13"/>
                <w:sz w:val="18"/>
              </w:rPr>
              <w:t> </w:t>
            </w:r>
            <w:r>
              <w:rPr>
                <w:sz w:val="18"/>
              </w:rPr>
              <w:t>la</w:t>
            </w:r>
            <w:r>
              <w:rPr>
                <w:spacing w:val="-10"/>
                <w:sz w:val="18"/>
              </w:rPr>
              <w:t> </w:t>
            </w:r>
            <w:r>
              <w:rPr>
                <w:sz w:val="18"/>
              </w:rPr>
              <w:t>implementación del Modelo de Intervención Institucional IMAS Impulsa</w:t>
            </w:r>
          </w:p>
        </w:tc>
        <w:tc>
          <w:tcPr>
            <w:tcW w:w="1560" w:type="dxa"/>
          </w:tcPr>
          <w:p>
            <w:pPr>
              <w:pStyle w:val="TableParagraph"/>
              <w:rPr>
                <w:b/>
                <w:sz w:val="18"/>
              </w:rPr>
            </w:pPr>
          </w:p>
          <w:p>
            <w:pPr>
              <w:pStyle w:val="TableParagraph"/>
              <w:spacing w:before="103"/>
              <w:rPr>
                <w:b/>
                <w:sz w:val="18"/>
              </w:rPr>
            </w:pPr>
          </w:p>
          <w:p>
            <w:pPr>
              <w:pStyle w:val="TableParagraph"/>
              <w:ind w:left="21" w:right="10"/>
              <w:jc w:val="center"/>
              <w:rPr>
                <w:sz w:val="18"/>
              </w:rPr>
            </w:pPr>
            <w:r>
              <w:rPr>
                <w:spacing w:val="-10"/>
                <w:sz w:val="18"/>
              </w:rPr>
              <w:t>0</w:t>
            </w:r>
          </w:p>
        </w:tc>
        <w:tc>
          <w:tcPr>
            <w:tcW w:w="1560" w:type="dxa"/>
          </w:tcPr>
          <w:p>
            <w:pPr>
              <w:pStyle w:val="TableParagraph"/>
              <w:rPr>
                <w:b/>
                <w:sz w:val="18"/>
              </w:rPr>
            </w:pPr>
          </w:p>
          <w:p>
            <w:pPr>
              <w:pStyle w:val="TableParagraph"/>
              <w:spacing w:before="103"/>
              <w:rPr>
                <w:b/>
                <w:sz w:val="18"/>
              </w:rPr>
            </w:pPr>
          </w:p>
          <w:p>
            <w:pPr>
              <w:pStyle w:val="TableParagraph"/>
              <w:ind w:left="21" w:right="18"/>
              <w:jc w:val="center"/>
              <w:rPr>
                <w:sz w:val="18"/>
              </w:rPr>
            </w:pPr>
            <w:r>
              <w:rPr>
                <w:spacing w:val="-10"/>
                <w:sz w:val="18"/>
              </w:rPr>
              <w:t>1</w:t>
            </w:r>
          </w:p>
        </w:tc>
        <w:tc>
          <w:tcPr>
            <w:tcW w:w="1982" w:type="dxa"/>
          </w:tcPr>
          <w:p>
            <w:pPr>
              <w:pStyle w:val="TableParagraph"/>
              <w:ind w:left="68" w:right="53"/>
              <w:rPr>
                <w:sz w:val="18"/>
              </w:rPr>
            </w:pPr>
            <w:r>
              <w:rPr>
                <w:sz w:val="18"/>
              </w:rPr>
              <w:t>Cantidad de Informes de ejecución y evaluación</w:t>
            </w:r>
            <w:r>
              <w:rPr>
                <w:spacing w:val="-15"/>
                <w:sz w:val="18"/>
              </w:rPr>
              <w:t> </w:t>
            </w:r>
            <w:r>
              <w:rPr>
                <w:sz w:val="18"/>
              </w:rPr>
              <w:t>del</w:t>
            </w:r>
            <w:r>
              <w:rPr>
                <w:spacing w:val="-12"/>
                <w:sz w:val="18"/>
              </w:rPr>
              <w:t> </w:t>
            </w:r>
            <w:r>
              <w:rPr>
                <w:sz w:val="18"/>
              </w:rPr>
              <w:t>Modelo de Intervención Institucional</w:t>
            </w:r>
            <w:r>
              <w:rPr>
                <w:spacing w:val="-1"/>
                <w:sz w:val="18"/>
              </w:rPr>
              <w:t> </w:t>
            </w:r>
            <w:r>
              <w:rPr>
                <w:sz w:val="18"/>
              </w:rPr>
              <w:t>IMAS</w:t>
            </w:r>
          </w:p>
          <w:p>
            <w:pPr>
              <w:pStyle w:val="TableParagraph"/>
              <w:spacing w:line="187" w:lineRule="exact" w:before="1"/>
              <w:ind w:left="68"/>
              <w:rPr>
                <w:sz w:val="18"/>
              </w:rPr>
            </w:pPr>
            <w:r>
              <w:rPr>
                <w:spacing w:val="-2"/>
                <w:sz w:val="18"/>
              </w:rPr>
              <w:t>Impulsa</w:t>
            </w:r>
          </w:p>
        </w:tc>
        <w:tc>
          <w:tcPr>
            <w:tcW w:w="1560" w:type="dxa"/>
          </w:tcPr>
          <w:p>
            <w:pPr>
              <w:pStyle w:val="TableParagraph"/>
              <w:spacing w:before="104"/>
              <w:rPr>
                <w:b/>
                <w:sz w:val="18"/>
              </w:rPr>
            </w:pPr>
          </w:p>
          <w:p>
            <w:pPr>
              <w:pStyle w:val="TableParagraph"/>
              <w:ind w:left="73" w:right="519"/>
              <w:jc w:val="both"/>
              <w:rPr>
                <w:sz w:val="18"/>
              </w:rPr>
            </w:pPr>
            <w:r>
              <w:rPr>
                <w:sz w:val="18"/>
              </w:rPr>
              <w:t>Informes</w:t>
            </w:r>
            <w:r>
              <w:rPr>
                <w:spacing w:val="-13"/>
                <w:sz w:val="18"/>
              </w:rPr>
              <w:t> </w:t>
            </w:r>
            <w:r>
              <w:rPr>
                <w:sz w:val="18"/>
              </w:rPr>
              <w:t>de ejecución y </w:t>
            </w:r>
            <w:r>
              <w:rPr>
                <w:spacing w:val="-2"/>
                <w:sz w:val="18"/>
              </w:rPr>
              <w:t>evaluación</w:t>
            </w:r>
          </w:p>
        </w:tc>
        <w:tc>
          <w:tcPr>
            <w:tcW w:w="1416" w:type="dxa"/>
          </w:tcPr>
          <w:p>
            <w:pPr>
              <w:pStyle w:val="TableParagraph"/>
              <w:rPr>
                <w:b/>
                <w:sz w:val="18"/>
              </w:rPr>
            </w:pPr>
          </w:p>
          <w:p>
            <w:pPr>
              <w:pStyle w:val="TableParagraph"/>
              <w:spacing w:before="103"/>
              <w:rPr>
                <w:b/>
                <w:sz w:val="18"/>
              </w:rPr>
            </w:pPr>
          </w:p>
          <w:p>
            <w:pPr>
              <w:pStyle w:val="TableParagraph"/>
              <w:ind w:left="17" w:right="12"/>
              <w:jc w:val="center"/>
              <w:rPr>
                <w:sz w:val="18"/>
              </w:rPr>
            </w:pPr>
            <w:r>
              <w:rPr>
                <w:spacing w:val="-5"/>
                <w:sz w:val="18"/>
              </w:rPr>
              <w:t>DDS</w:t>
            </w:r>
          </w:p>
        </w:tc>
        <w:tc>
          <w:tcPr>
            <w:tcW w:w="1649" w:type="dxa"/>
          </w:tcPr>
          <w:p>
            <w:pPr>
              <w:pStyle w:val="TableParagraph"/>
              <w:rPr>
                <w:rFonts w:ascii="Times New Roman"/>
                <w:sz w:val="18"/>
              </w:rPr>
            </w:pPr>
          </w:p>
        </w:tc>
        <w:tc>
          <w:tcPr>
            <w:tcW w:w="1548" w:type="dxa"/>
          </w:tcPr>
          <w:p>
            <w:pPr>
              <w:pStyle w:val="TableParagraph"/>
              <w:rPr>
                <w:rFonts w:ascii="Times New Roman"/>
                <w:sz w:val="18"/>
              </w:rPr>
            </w:pPr>
          </w:p>
        </w:tc>
      </w:tr>
      <w:tr>
        <w:trPr>
          <w:trHeight w:val="671" w:hRule="atLeast"/>
        </w:trPr>
        <w:tc>
          <w:tcPr>
            <w:tcW w:w="14247" w:type="dxa"/>
            <w:gridSpan w:val="8"/>
            <w:shd w:val="clear" w:color="auto" w:fill="EFF8F9"/>
          </w:tcPr>
          <w:p>
            <w:pPr>
              <w:pStyle w:val="TableParagraph"/>
              <w:spacing w:before="27"/>
              <w:rPr>
                <w:b/>
                <w:sz w:val="18"/>
              </w:rPr>
            </w:pPr>
          </w:p>
          <w:p>
            <w:pPr>
              <w:pStyle w:val="TableParagraph"/>
              <w:ind w:left="72"/>
              <w:rPr>
                <w:b/>
                <w:sz w:val="18"/>
              </w:rPr>
            </w:pPr>
            <w:r>
              <w:rPr>
                <w:b/>
                <w:sz w:val="18"/>
              </w:rPr>
              <w:t>Producto</w:t>
            </w:r>
            <w:r>
              <w:rPr>
                <w:b/>
                <w:spacing w:val="-9"/>
                <w:sz w:val="18"/>
              </w:rPr>
              <w:t> </w:t>
            </w:r>
            <w:r>
              <w:rPr>
                <w:b/>
                <w:sz w:val="18"/>
              </w:rPr>
              <w:t>PPPS</w:t>
            </w:r>
            <w:r>
              <w:rPr>
                <w:b/>
                <w:spacing w:val="-9"/>
                <w:sz w:val="18"/>
              </w:rPr>
              <w:t> </w:t>
            </w:r>
            <w:r>
              <w:rPr>
                <w:b/>
                <w:sz w:val="18"/>
              </w:rPr>
              <w:t>1.56:</w:t>
            </w:r>
            <w:r>
              <w:rPr>
                <w:b/>
                <w:spacing w:val="-6"/>
                <w:sz w:val="18"/>
              </w:rPr>
              <w:t> </w:t>
            </w:r>
            <w:r>
              <w:rPr>
                <w:b/>
                <w:sz w:val="18"/>
              </w:rPr>
              <w:t>Asesoría,</w:t>
            </w:r>
            <w:r>
              <w:rPr>
                <w:b/>
                <w:spacing w:val="-6"/>
                <w:sz w:val="18"/>
              </w:rPr>
              <w:t> </w:t>
            </w:r>
            <w:r>
              <w:rPr>
                <w:b/>
                <w:sz w:val="18"/>
              </w:rPr>
              <w:t>dirección</w:t>
            </w:r>
            <w:r>
              <w:rPr>
                <w:b/>
                <w:spacing w:val="-9"/>
                <w:sz w:val="18"/>
              </w:rPr>
              <w:t> </w:t>
            </w:r>
            <w:r>
              <w:rPr>
                <w:b/>
                <w:sz w:val="18"/>
              </w:rPr>
              <w:t>técnica,</w:t>
            </w:r>
            <w:r>
              <w:rPr>
                <w:b/>
                <w:spacing w:val="-2"/>
                <w:sz w:val="18"/>
              </w:rPr>
              <w:t> </w:t>
            </w:r>
            <w:r>
              <w:rPr>
                <w:b/>
                <w:sz w:val="18"/>
              </w:rPr>
              <w:t>supervisión</w:t>
            </w:r>
            <w:r>
              <w:rPr>
                <w:b/>
                <w:spacing w:val="-9"/>
                <w:sz w:val="18"/>
              </w:rPr>
              <w:t> </w:t>
            </w:r>
            <w:r>
              <w:rPr>
                <w:b/>
                <w:sz w:val="18"/>
              </w:rPr>
              <w:t>y</w:t>
            </w:r>
            <w:r>
              <w:rPr>
                <w:b/>
                <w:spacing w:val="-8"/>
                <w:sz w:val="18"/>
              </w:rPr>
              <w:t> </w:t>
            </w:r>
            <w:r>
              <w:rPr>
                <w:b/>
                <w:sz w:val="18"/>
              </w:rPr>
              <w:t>fiscalización</w:t>
            </w:r>
            <w:r>
              <w:rPr>
                <w:b/>
                <w:spacing w:val="-8"/>
                <w:sz w:val="18"/>
              </w:rPr>
              <w:t> </w:t>
            </w:r>
            <w:r>
              <w:rPr>
                <w:b/>
                <w:sz w:val="18"/>
              </w:rPr>
              <w:t>oportuna</w:t>
            </w:r>
            <w:r>
              <w:rPr>
                <w:b/>
                <w:spacing w:val="-8"/>
                <w:sz w:val="18"/>
              </w:rPr>
              <w:t> </w:t>
            </w:r>
            <w:r>
              <w:rPr>
                <w:b/>
                <w:sz w:val="18"/>
              </w:rPr>
              <w:t>a</w:t>
            </w:r>
            <w:r>
              <w:rPr>
                <w:b/>
                <w:spacing w:val="-8"/>
                <w:sz w:val="18"/>
              </w:rPr>
              <w:t> </w:t>
            </w:r>
            <w:r>
              <w:rPr>
                <w:b/>
                <w:sz w:val="18"/>
              </w:rPr>
              <w:t>organizaciones</w:t>
            </w:r>
            <w:r>
              <w:rPr>
                <w:b/>
                <w:spacing w:val="-5"/>
                <w:sz w:val="18"/>
              </w:rPr>
              <w:t> </w:t>
            </w:r>
            <w:r>
              <w:rPr>
                <w:b/>
                <w:sz w:val="18"/>
              </w:rPr>
              <w:t>de</w:t>
            </w:r>
            <w:r>
              <w:rPr>
                <w:b/>
                <w:spacing w:val="-4"/>
                <w:sz w:val="18"/>
              </w:rPr>
              <w:t> </w:t>
            </w:r>
            <w:r>
              <w:rPr>
                <w:b/>
                <w:sz w:val="18"/>
              </w:rPr>
              <w:t>bienestar</w:t>
            </w:r>
            <w:r>
              <w:rPr>
                <w:b/>
                <w:spacing w:val="-7"/>
                <w:sz w:val="18"/>
              </w:rPr>
              <w:t> </w:t>
            </w:r>
            <w:r>
              <w:rPr>
                <w:b/>
                <w:spacing w:val="-2"/>
                <w:sz w:val="18"/>
              </w:rPr>
              <w:t>social.</w:t>
            </w:r>
          </w:p>
        </w:tc>
      </w:tr>
      <w:tr>
        <w:trPr>
          <w:trHeight w:val="1449" w:hRule="atLeast"/>
        </w:trPr>
        <w:tc>
          <w:tcPr>
            <w:tcW w:w="2972" w:type="dxa"/>
          </w:tcPr>
          <w:p>
            <w:pPr>
              <w:pStyle w:val="TableParagraph"/>
              <w:spacing w:before="103"/>
              <w:rPr>
                <w:b/>
                <w:sz w:val="18"/>
              </w:rPr>
            </w:pPr>
          </w:p>
          <w:p>
            <w:pPr>
              <w:pStyle w:val="TableParagraph"/>
              <w:spacing w:line="242" w:lineRule="auto" w:before="1"/>
              <w:ind w:left="72" w:right="252"/>
              <w:rPr>
                <w:sz w:val="18"/>
              </w:rPr>
            </w:pPr>
            <w:r>
              <w:rPr>
                <w:b/>
                <w:sz w:val="18"/>
              </w:rPr>
              <w:t>Actividad PPPS 1.56.1: </w:t>
            </w:r>
            <w:r>
              <w:rPr>
                <w:sz w:val="18"/>
              </w:rPr>
              <w:t>Dirección</w:t>
            </w:r>
            <w:r>
              <w:rPr>
                <w:spacing w:val="-10"/>
                <w:sz w:val="18"/>
              </w:rPr>
              <w:t> </w:t>
            </w:r>
            <w:r>
              <w:rPr>
                <w:sz w:val="18"/>
              </w:rPr>
              <w:t>técnica</w:t>
            </w:r>
            <w:r>
              <w:rPr>
                <w:spacing w:val="-6"/>
                <w:sz w:val="18"/>
              </w:rPr>
              <w:t> </w:t>
            </w:r>
            <w:r>
              <w:rPr>
                <w:sz w:val="18"/>
              </w:rPr>
              <w:t>y</w:t>
            </w:r>
            <w:r>
              <w:rPr>
                <w:spacing w:val="-10"/>
                <w:sz w:val="18"/>
              </w:rPr>
              <w:t> </w:t>
            </w:r>
            <w:r>
              <w:rPr>
                <w:sz w:val="18"/>
              </w:rPr>
              <w:t>supervisión</w:t>
            </w:r>
            <w:r>
              <w:rPr>
                <w:spacing w:val="-10"/>
                <w:sz w:val="18"/>
              </w:rPr>
              <w:t> </w:t>
            </w:r>
            <w:r>
              <w:rPr>
                <w:sz w:val="18"/>
              </w:rPr>
              <w:t>a las organizaciones de bienestar social con proyectos aprobados.</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3"/>
              <w:jc w:val="center"/>
              <w:rPr>
                <w:sz w:val="18"/>
              </w:rPr>
            </w:pPr>
            <w:r>
              <w:rPr>
                <w:spacing w:val="-4"/>
                <w:sz w:val="18"/>
              </w:rPr>
              <w:t>100%</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2"/>
              <w:jc w:val="center"/>
              <w:rPr>
                <w:sz w:val="18"/>
              </w:rPr>
            </w:pPr>
            <w:r>
              <w:rPr>
                <w:spacing w:val="-4"/>
                <w:sz w:val="18"/>
              </w:rPr>
              <w:t>100%</w:t>
            </w:r>
          </w:p>
        </w:tc>
        <w:tc>
          <w:tcPr>
            <w:tcW w:w="1982" w:type="dxa"/>
          </w:tcPr>
          <w:p>
            <w:pPr>
              <w:pStyle w:val="TableParagraph"/>
              <w:ind w:left="68"/>
              <w:rPr>
                <w:sz w:val="18"/>
              </w:rPr>
            </w:pPr>
            <w:r>
              <w:rPr>
                <w:sz w:val="18"/>
              </w:rPr>
              <w:t>Porcentaje de organizaciones de bienestar social financiadas</w:t>
            </w:r>
            <w:r>
              <w:rPr>
                <w:spacing w:val="-7"/>
                <w:sz w:val="18"/>
              </w:rPr>
              <w:t> </w:t>
            </w:r>
            <w:r>
              <w:rPr>
                <w:sz w:val="18"/>
              </w:rPr>
              <w:t>en</w:t>
            </w:r>
            <w:r>
              <w:rPr>
                <w:spacing w:val="-7"/>
                <w:sz w:val="18"/>
              </w:rPr>
              <w:t> </w:t>
            </w:r>
            <w:r>
              <w:rPr>
                <w:sz w:val="18"/>
              </w:rPr>
              <w:t>el</w:t>
            </w:r>
            <w:r>
              <w:rPr>
                <w:spacing w:val="-4"/>
                <w:sz w:val="18"/>
              </w:rPr>
              <w:t> </w:t>
            </w:r>
            <w:r>
              <w:rPr>
                <w:sz w:val="18"/>
              </w:rPr>
              <w:t>2025 con</w:t>
            </w:r>
            <w:r>
              <w:rPr>
                <w:spacing w:val="-4"/>
                <w:sz w:val="18"/>
              </w:rPr>
              <w:t> </w:t>
            </w:r>
            <w:r>
              <w:rPr>
                <w:sz w:val="18"/>
              </w:rPr>
              <w:t>dirección</w:t>
            </w:r>
            <w:r>
              <w:rPr>
                <w:spacing w:val="-7"/>
                <w:sz w:val="18"/>
              </w:rPr>
              <w:t> </w:t>
            </w:r>
            <w:r>
              <w:rPr>
                <w:sz w:val="18"/>
              </w:rPr>
              <w:t>técnica</w:t>
            </w:r>
            <w:r>
              <w:rPr>
                <w:spacing w:val="-7"/>
                <w:sz w:val="18"/>
              </w:rPr>
              <w:t> </w:t>
            </w:r>
            <w:r>
              <w:rPr>
                <w:spacing w:val="-10"/>
                <w:sz w:val="18"/>
              </w:rPr>
              <w:t>y</w:t>
            </w:r>
          </w:p>
          <w:p>
            <w:pPr>
              <w:pStyle w:val="TableParagraph"/>
              <w:spacing w:line="206" w:lineRule="exact"/>
              <w:ind w:left="68"/>
              <w:rPr>
                <w:sz w:val="18"/>
              </w:rPr>
            </w:pPr>
            <w:r>
              <w:rPr>
                <w:sz w:val="18"/>
              </w:rPr>
              <w:t>supervisión</w:t>
            </w:r>
            <w:r>
              <w:rPr>
                <w:spacing w:val="-15"/>
                <w:sz w:val="18"/>
              </w:rPr>
              <w:t> </w:t>
            </w:r>
            <w:r>
              <w:rPr>
                <w:sz w:val="18"/>
              </w:rPr>
              <w:t>realiza</w:t>
            </w:r>
            <w:r>
              <w:rPr>
                <w:spacing w:val="-12"/>
                <w:sz w:val="18"/>
              </w:rPr>
              <w:t> </w:t>
            </w:r>
            <w:r>
              <w:rPr>
                <w:sz w:val="18"/>
              </w:rPr>
              <w:t>por parte del DASAI.</w:t>
            </w:r>
          </w:p>
        </w:tc>
        <w:tc>
          <w:tcPr>
            <w:tcW w:w="1560" w:type="dxa"/>
          </w:tcPr>
          <w:p>
            <w:pPr>
              <w:pStyle w:val="TableParagraph"/>
              <w:spacing w:before="103"/>
              <w:rPr>
                <w:b/>
                <w:sz w:val="18"/>
              </w:rPr>
            </w:pPr>
          </w:p>
          <w:p>
            <w:pPr>
              <w:pStyle w:val="TableParagraph"/>
              <w:spacing w:line="242" w:lineRule="auto" w:before="1"/>
              <w:ind w:left="73" w:right="129"/>
              <w:rPr>
                <w:sz w:val="18"/>
              </w:rPr>
            </w:pPr>
            <w:r>
              <w:rPr>
                <w:sz w:val="18"/>
              </w:rPr>
              <w:t>Reporte e informes de dirección</w:t>
            </w:r>
            <w:r>
              <w:rPr>
                <w:spacing w:val="-13"/>
                <w:sz w:val="18"/>
              </w:rPr>
              <w:t> </w:t>
            </w:r>
            <w:r>
              <w:rPr>
                <w:sz w:val="18"/>
              </w:rPr>
              <w:t>técnica y supervisión</w:t>
            </w:r>
          </w:p>
        </w:tc>
        <w:tc>
          <w:tcPr>
            <w:tcW w:w="141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7" w:right="15"/>
              <w:jc w:val="center"/>
              <w:rPr>
                <w:sz w:val="18"/>
              </w:rPr>
            </w:pPr>
            <w:r>
              <w:rPr>
                <w:spacing w:val="-2"/>
                <w:sz w:val="18"/>
              </w:rPr>
              <w:t>DASAI</w:t>
            </w:r>
          </w:p>
        </w:tc>
        <w:tc>
          <w:tcPr>
            <w:tcW w:w="1649" w:type="dxa"/>
          </w:tcPr>
          <w:p>
            <w:pPr>
              <w:pStyle w:val="TableParagraph"/>
              <w:rPr>
                <w:rFonts w:ascii="Times New Roman"/>
                <w:sz w:val="18"/>
              </w:rPr>
            </w:pPr>
          </w:p>
        </w:tc>
        <w:tc>
          <w:tcPr>
            <w:tcW w:w="1548" w:type="dxa"/>
            <w:vMerge w:val="restart"/>
          </w:tcPr>
          <w:p>
            <w:pPr>
              <w:pStyle w:val="TableParagraph"/>
              <w:numPr>
                <w:ilvl w:val="0"/>
                <w:numId w:val="91"/>
              </w:numPr>
              <w:tabs>
                <w:tab w:pos="133" w:val="left" w:leader="none"/>
              </w:tabs>
              <w:spacing w:line="240" w:lineRule="auto" w:before="8" w:after="0"/>
              <w:ind w:left="72" w:right="296" w:firstLine="0"/>
              <w:jc w:val="left"/>
              <w:rPr>
                <w:sz w:val="18"/>
              </w:rPr>
            </w:pPr>
            <w:r>
              <w:rPr>
                <w:spacing w:val="-2"/>
                <w:sz w:val="18"/>
              </w:rPr>
              <w:t>Posibles </w:t>
            </w:r>
            <w:r>
              <w:rPr>
                <w:sz w:val="18"/>
              </w:rPr>
              <w:t>omisiones de </w:t>
            </w:r>
            <w:r>
              <w:rPr>
                <w:spacing w:val="-2"/>
                <w:sz w:val="18"/>
              </w:rPr>
              <w:t>normativa </w:t>
            </w:r>
            <w:r>
              <w:rPr>
                <w:sz w:val="18"/>
              </w:rPr>
              <w:t>respecto a </w:t>
            </w:r>
            <w:r>
              <w:rPr>
                <w:spacing w:val="-2"/>
                <w:sz w:val="18"/>
              </w:rPr>
              <w:t>fiscalización </w:t>
            </w:r>
            <w:r>
              <w:rPr>
                <w:sz w:val="18"/>
              </w:rPr>
              <w:t>económica y supervisión</w:t>
            </w:r>
            <w:r>
              <w:rPr>
                <w:spacing w:val="-13"/>
                <w:sz w:val="18"/>
              </w:rPr>
              <w:t> </w:t>
            </w:r>
            <w:r>
              <w:rPr>
                <w:sz w:val="18"/>
              </w:rPr>
              <w:t>en beneficio</w:t>
            </w:r>
            <w:r>
              <w:rPr>
                <w:spacing w:val="-15"/>
                <w:sz w:val="18"/>
              </w:rPr>
              <w:t> </w:t>
            </w:r>
            <w:r>
              <w:rPr>
                <w:sz w:val="18"/>
              </w:rPr>
              <w:t>de</w:t>
            </w:r>
            <w:r>
              <w:rPr>
                <w:spacing w:val="-12"/>
                <w:sz w:val="18"/>
              </w:rPr>
              <w:t> </w:t>
            </w:r>
            <w:r>
              <w:rPr>
                <w:sz w:val="18"/>
              </w:rPr>
              <w:t>la </w:t>
            </w:r>
            <w:r>
              <w:rPr>
                <w:spacing w:val="-2"/>
                <w:sz w:val="18"/>
              </w:rPr>
              <w:t>organización.</w:t>
            </w:r>
          </w:p>
          <w:p>
            <w:pPr>
              <w:pStyle w:val="TableParagraph"/>
              <w:numPr>
                <w:ilvl w:val="0"/>
                <w:numId w:val="91"/>
              </w:numPr>
              <w:tabs>
                <w:tab w:pos="133" w:val="left" w:leader="none"/>
              </w:tabs>
              <w:spacing w:line="206" w:lineRule="exact" w:before="0" w:after="0"/>
              <w:ind w:left="72" w:right="87" w:firstLine="0"/>
              <w:jc w:val="left"/>
              <w:rPr>
                <w:sz w:val="18"/>
              </w:rPr>
            </w:pPr>
            <w:r>
              <w:rPr>
                <w:spacing w:val="-2"/>
                <w:sz w:val="18"/>
              </w:rPr>
              <w:t>Organizaciones </w:t>
            </w:r>
            <w:r>
              <w:rPr>
                <w:sz w:val="18"/>
              </w:rPr>
              <w:t>no</w:t>
            </w:r>
            <w:r>
              <w:rPr>
                <w:spacing w:val="-15"/>
                <w:sz w:val="18"/>
              </w:rPr>
              <w:t> </w:t>
            </w:r>
            <w:r>
              <w:rPr>
                <w:sz w:val="18"/>
              </w:rPr>
              <w:t>puedan</w:t>
            </w:r>
            <w:r>
              <w:rPr>
                <w:spacing w:val="-12"/>
                <w:sz w:val="18"/>
              </w:rPr>
              <w:t> </w:t>
            </w:r>
            <w:r>
              <w:rPr>
                <w:sz w:val="18"/>
              </w:rPr>
              <w:t>iniciar el proceso de</w:t>
            </w:r>
          </w:p>
        </w:tc>
      </w:tr>
      <w:tr>
        <w:trPr>
          <w:trHeight w:val="1036" w:hRule="atLeast"/>
        </w:trPr>
        <w:tc>
          <w:tcPr>
            <w:tcW w:w="2972" w:type="dxa"/>
          </w:tcPr>
          <w:p>
            <w:pPr>
              <w:pStyle w:val="TableParagraph"/>
              <w:spacing w:before="3"/>
              <w:rPr>
                <w:b/>
                <w:sz w:val="18"/>
              </w:rPr>
            </w:pPr>
          </w:p>
          <w:p>
            <w:pPr>
              <w:pStyle w:val="TableParagraph"/>
              <w:ind w:left="72" w:right="141"/>
              <w:rPr>
                <w:sz w:val="18"/>
              </w:rPr>
            </w:pPr>
            <w:r>
              <w:rPr>
                <w:b/>
                <w:sz w:val="18"/>
              </w:rPr>
              <w:t>Actividad PPPS 1.56.2: </w:t>
            </w:r>
            <w:r>
              <w:rPr>
                <w:sz w:val="18"/>
              </w:rPr>
              <w:t>Supervisión</w:t>
            </w:r>
            <w:r>
              <w:rPr>
                <w:spacing w:val="-13"/>
                <w:sz w:val="18"/>
              </w:rPr>
              <w:t> </w:t>
            </w:r>
            <w:r>
              <w:rPr>
                <w:sz w:val="18"/>
              </w:rPr>
              <w:t>a</w:t>
            </w:r>
            <w:r>
              <w:rPr>
                <w:spacing w:val="-9"/>
                <w:sz w:val="18"/>
              </w:rPr>
              <w:t> </w:t>
            </w:r>
            <w:r>
              <w:rPr>
                <w:sz w:val="18"/>
              </w:rPr>
              <w:t>las</w:t>
            </w:r>
            <w:r>
              <w:rPr>
                <w:spacing w:val="-13"/>
                <w:sz w:val="18"/>
              </w:rPr>
              <w:t> </w:t>
            </w:r>
            <w:r>
              <w:rPr>
                <w:sz w:val="18"/>
              </w:rPr>
              <w:t>organizaciones de bienestar social inscritas.</w:t>
            </w:r>
          </w:p>
        </w:tc>
        <w:tc>
          <w:tcPr>
            <w:tcW w:w="1560" w:type="dxa"/>
          </w:tcPr>
          <w:p>
            <w:pPr>
              <w:pStyle w:val="TableParagraph"/>
              <w:rPr>
                <w:b/>
                <w:sz w:val="18"/>
              </w:rPr>
            </w:pPr>
          </w:p>
          <w:p>
            <w:pPr>
              <w:pStyle w:val="TableParagraph"/>
              <w:spacing w:before="3"/>
              <w:rPr>
                <w:b/>
                <w:sz w:val="18"/>
              </w:rPr>
            </w:pPr>
          </w:p>
          <w:p>
            <w:pPr>
              <w:pStyle w:val="TableParagraph"/>
              <w:ind w:left="21" w:right="3"/>
              <w:jc w:val="center"/>
              <w:rPr>
                <w:sz w:val="18"/>
              </w:rPr>
            </w:pPr>
            <w:r>
              <w:rPr>
                <w:spacing w:val="-4"/>
                <w:sz w:val="18"/>
              </w:rPr>
              <w:t>100%</w:t>
            </w:r>
          </w:p>
        </w:tc>
        <w:tc>
          <w:tcPr>
            <w:tcW w:w="1560" w:type="dxa"/>
          </w:tcPr>
          <w:p>
            <w:pPr>
              <w:pStyle w:val="TableParagraph"/>
              <w:rPr>
                <w:b/>
                <w:sz w:val="18"/>
              </w:rPr>
            </w:pPr>
          </w:p>
          <w:p>
            <w:pPr>
              <w:pStyle w:val="TableParagraph"/>
              <w:spacing w:before="3"/>
              <w:rPr>
                <w:b/>
                <w:sz w:val="18"/>
              </w:rPr>
            </w:pPr>
          </w:p>
          <w:p>
            <w:pPr>
              <w:pStyle w:val="TableParagraph"/>
              <w:ind w:left="21" w:right="12"/>
              <w:jc w:val="center"/>
              <w:rPr>
                <w:sz w:val="18"/>
              </w:rPr>
            </w:pPr>
            <w:r>
              <w:rPr>
                <w:spacing w:val="-4"/>
                <w:sz w:val="18"/>
              </w:rPr>
              <w:t>100%</w:t>
            </w:r>
          </w:p>
        </w:tc>
        <w:tc>
          <w:tcPr>
            <w:tcW w:w="1982" w:type="dxa"/>
          </w:tcPr>
          <w:p>
            <w:pPr>
              <w:pStyle w:val="TableParagraph"/>
              <w:spacing w:line="242" w:lineRule="auto"/>
              <w:ind w:left="68"/>
              <w:rPr>
                <w:sz w:val="18"/>
              </w:rPr>
            </w:pPr>
            <w:r>
              <w:rPr>
                <w:sz w:val="18"/>
              </w:rPr>
              <w:t>Porcentaje de organizaciones de bienestar social</w:t>
            </w:r>
          </w:p>
          <w:p>
            <w:pPr>
              <w:pStyle w:val="TableParagraph"/>
              <w:spacing w:line="206" w:lineRule="exact"/>
              <w:ind w:left="68"/>
              <w:rPr>
                <w:sz w:val="18"/>
              </w:rPr>
            </w:pPr>
            <w:r>
              <w:rPr>
                <w:sz w:val="18"/>
              </w:rPr>
              <w:t>supervisadas</w:t>
            </w:r>
            <w:r>
              <w:rPr>
                <w:spacing w:val="-15"/>
                <w:sz w:val="18"/>
              </w:rPr>
              <w:t> </w:t>
            </w:r>
            <w:r>
              <w:rPr>
                <w:sz w:val="18"/>
              </w:rPr>
              <w:t>por</w:t>
            </w:r>
            <w:r>
              <w:rPr>
                <w:spacing w:val="-12"/>
                <w:sz w:val="18"/>
              </w:rPr>
              <w:t> </w:t>
            </w:r>
            <w:r>
              <w:rPr>
                <w:sz w:val="18"/>
              </w:rPr>
              <w:t>parte del DASAI.</w:t>
            </w:r>
          </w:p>
        </w:tc>
        <w:tc>
          <w:tcPr>
            <w:tcW w:w="1560" w:type="dxa"/>
          </w:tcPr>
          <w:p>
            <w:pPr>
              <w:pStyle w:val="TableParagraph"/>
              <w:spacing w:before="3"/>
              <w:rPr>
                <w:b/>
                <w:sz w:val="18"/>
              </w:rPr>
            </w:pPr>
          </w:p>
          <w:p>
            <w:pPr>
              <w:pStyle w:val="TableParagraph"/>
              <w:ind w:left="73" w:right="58"/>
              <w:rPr>
                <w:sz w:val="18"/>
              </w:rPr>
            </w:pPr>
            <w:r>
              <w:rPr>
                <w:sz w:val="18"/>
              </w:rPr>
              <w:t>Reporte e informes</w:t>
            </w:r>
            <w:r>
              <w:rPr>
                <w:spacing w:val="-13"/>
                <w:sz w:val="18"/>
              </w:rPr>
              <w:t> </w:t>
            </w:r>
            <w:r>
              <w:rPr>
                <w:sz w:val="18"/>
              </w:rPr>
              <w:t>de </w:t>
            </w:r>
            <w:r>
              <w:rPr>
                <w:spacing w:val="-2"/>
                <w:sz w:val="18"/>
              </w:rPr>
              <w:t>supervisión.</w:t>
            </w:r>
          </w:p>
        </w:tc>
        <w:tc>
          <w:tcPr>
            <w:tcW w:w="1416" w:type="dxa"/>
          </w:tcPr>
          <w:p>
            <w:pPr>
              <w:pStyle w:val="TableParagraph"/>
              <w:rPr>
                <w:b/>
                <w:sz w:val="18"/>
              </w:rPr>
            </w:pPr>
          </w:p>
          <w:p>
            <w:pPr>
              <w:pStyle w:val="TableParagraph"/>
              <w:spacing w:before="3"/>
              <w:rPr>
                <w:b/>
                <w:sz w:val="18"/>
              </w:rPr>
            </w:pPr>
          </w:p>
          <w:p>
            <w:pPr>
              <w:pStyle w:val="TableParagraph"/>
              <w:ind w:left="17" w:right="15"/>
              <w:jc w:val="center"/>
              <w:rPr>
                <w:sz w:val="18"/>
              </w:rPr>
            </w:pPr>
            <w:r>
              <w:rPr>
                <w:spacing w:val="-2"/>
                <w:sz w:val="18"/>
              </w:rPr>
              <w:t>DASAI</w:t>
            </w:r>
          </w:p>
        </w:tc>
        <w:tc>
          <w:tcPr>
            <w:tcW w:w="1649" w:type="dxa"/>
          </w:tcPr>
          <w:p>
            <w:pPr>
              <w:pStyle w:val="TableParagraph"/>
              <w:rPr>
                <w:rFonts w:ascii="Times New Roman"/>
                <w:sz w:val="18"/>
              </w:rPr>
            </w:pPr>
          </w:p>
        </w:tc>
        <w:tc>
          <w:tcPr>
            <w:tcW w:w="1548"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9"/>
        <w:gridCol w:w="1548"/>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9" w:type="dxa"/>
            <w:shd w:val="clear" w:color="auto" w:fill="D9D9D9"/>
          </w:tcPr>
          <w:p>
            <w:pPr>
              <w:pStyle w:val="TableParagraph"/>
              <w:spacing w:before="104"/>
              <w:ind w:left="430" w:hanging="120"/>
              <w:rPr>
                <w:b/>
                <w:sz w:val="18"/>
              </w:rPr>
            </w:pPr>
            <w:r>
              <w:rPr>
                <w:b/>
                <w:spacing w:val="-2"/>
                <w:sz w:val="18"/>
              </w:rPr>
              <w:t>Presupuesto asignado</w:t>
            </w:r>
          </w:p>
        </w:tc>
        <w:tc>
          <w:tcPr>
            <w:tcW w:w="1548" w:type="dxa"/>
            <w:tcBorders>
              <w:bottom w:val="nil"/>
            </w:tcBorders>
            <w:shd w:val="clear" w:color="auto" w:fill="D9D9D9"/>
          </w:tcPr>
          <w:p>
            <w:pPr>
              <w:pStyle w:val="TableParagraph"/>
              <w:spacing w:line="206" w:lineRule="exact"/>
              <w:ind w:left="16"/>
              <w:jc w:val="center"/>
              <w:rPr>
                <w:b/>
                <w:sz w:val="18"/>
              </w:rPr>
            </w:pPr>
            <w:r>
              <w:rPr>
                <w:b/>
                <w:spacing w:val="-2"/>
                <w:sz w:val="18"/>
              </w:rPr>
              <w:t>Riesgos </w:t>
            </w:r>
            <w:r>
              <w:rPr>
                <w:b/>
                <w:sz w:val="18"/>
              </w:rPr>
              <w:t>asociados al </w:t>
            </w:r>
            <w:r>
              <w:rPr>
                <w:b/>
                <w:spacing w:val="-2"/>
                <w:sz w:val="18"/>
              </w:rPr>
              <w:t>cumplimiento</w:t>
            </w:r>
          </w:p>
        </w:tc>
      </w:tr>
      <w:tr>
        <w:trPr>
          <w:trHeight w:val="1661" w:hRule="atLeast"/>
        </w:trPr>
        <w:tc>
          <w:tcPr>
            <w:tcW w:w="2972" w:type="dxa"/>
          </w:tcPr>
          <w:p>
            <w:pPr>
              <w:pStyle w:val="TableParagraph"/>
              <w:rPr>
                <w:b/>
                <w:sz w:val="18"/>
              </w:rPr>
            </w:pPr>
          </w:p>
          <w:p>
            <w:pPr>
              <w:pStyle w:val="TableParagraph"/>
              <w:spacing w:before="3"/>
              <w:rPr>
                <w:b/>
                <w:sz w:val="18"/>
              </w:rPr>
            </w:pPr>
          </w:p>
          <w:p>
            <w:pPr>
              <w:pStyle w:val="TableParagraph"/>
              <w:ind w:left="72"/>
              <w:rPr>
                <w:sz w:val="18"/>
              </w:rPr>
            </w:pPr>
            <w:r>
              <w:rPr>
                <w:b/>
                <w:sz w:val="18"/>
              </w:rPr>
              <w:t>Actividad PPPS 1.56.3: </w:t>
            </w:r>
            <w:r>
              <w:rPr>
                <w:sz w:val="18"/>
              </w:rPr>
              <w:t>Fiscalización económica a las organizaciones</w:t>
            </w:r>
            <w:r>
              <w:rPr>
                <w:spacing w:val="-13"/>
                <w:sz w:val="18"/>
              </w:rPr>
              <w:t> </w:t>
            </w:r>
            <w:r>
              <w:rPr>
                <w:sz w:val="18"/>
              </w:rPr>
              <w:t>de</w:t>
            </w:r>
            <w:r>
              <w:rPr>
                <w:spacing w:val="-12"/>
                <w:sz w:val="18"/>
              </w:rPr>
              <w:t> </w:t>
            </w:r>
            <w:r>
              <w:rPr>
                <w:sz w:val="18"/>
              </w:rPr>
              <w:t>Bienestar</w:t>
            </w:r>
            <w:r>
              <w:rPr>
                <w:spacing w:val="-9"/>
                <w:sz w:val="18"/>
              </w:rPr>
              <w:t> </w:t>
            </w:r>
            <w:r>
              <w:rPr>
                <w:sz w:val="18"/>
              </w:rPr>
              <w:t>Social con proyectos aprobados.</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3"/>
              <w:jc w:val="center"/>
              <w:rPr>
                <w:sz w:val="18"/>
              </w:rPr>
            </w:pPr>
            <w:r>
              <w:rPr>
                <w:spacing w:val="-4"/>
                <w:sz w:val="18"/>
              </w:rPr>
              <w:t>100%</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2"/>
              <w:jc w:val="center"/>
              <w:rPr>
                <w:sz w:val="18"/>
              </w:rPr>
            </w:pPr>
            <w:r>
              <w:rPr>
                <w:spacing w:val="-4"/>
                <w:sz w:val="18"/>
              </w:rPr>
              <w:t>100%</w:t>
            </w:r>
          </w:p>
        </w:tc>
        <w:tc>
          <w:tcPr>
            <w:tcW w:w="1982" w:type="dxa"/>
          </w:tcPr>
          <w:p>
            <w:pPr>
              <w:pStyle w:val="TableParagraph"/>
              <w:spacing w:before="3"/>
              <w:ind w:left="68" w:right="82"/>
              <w:rPr>
                <w:sz w:val="18"/>
              </w:rPr>
            </w:pPr>
            <w:r>
              <w:rPr>
                <w:sz w:val="18"/>
              </w:rPr>
              <w:t>Porcentaje de organizaciones de bienestar social financiadas en el</w:t>
            </w:r>
            <w:r>
              <w:rPr>
                <w:spacing w:val="40"/>
                <w:sz w:val="18"/>
              </w:rPr>
              <w:t> </w:t>
            </w:r>
            <w:r>
              <w:rPr>
                <w:sz w:val="18"/>
              </w:rPr>
              <w:t>2025,</w:t>
            </w:r>
            <w:r>
              <w:rPr>
                <w:spacing w:val="-10"/>
                <w:sz w:val="18"/>
              </w:rPr>
              <w:t> </w:t>
            </w:r>
            <w:r>
              <w:rPr>
                <w:sz w:val="18"/>
              </w:rPr>
              <w:t>que</w:t>
            </w:r>
            <w:r>
              <w:rPr>
                <w:spacing w:val="-11"/>
                <w:sz w:val="18"/>
              </w:rPr>
              <w:t> </w:t>
            </w:r>
            <w:r>
              <w:rPr>
                <w:sz w:val="18"/>
              </w:rPr>
              <w:t>cuentan</w:t>
            </w:r>
            <w:r>
              <w:rPr>
                <w:spacing w:val="-11"/>
                <w:sz w:val="18"/>
              </w:rPr>
              <w:t> </w:t>
            </w:r>
            <w:r>
              <w:rPr>
                <w:sz w:val="18"/>
              </w:rPr>
              <w:t>con </w:t>
            </w:r>
            <w:r>
              <w:rPr>
                <w:spacing w:val="-2"/>
                <w:sz w:val="18"/>
              </w:rPr>
              <w:t>fiscalización</w:t>
            </w:r>
            <w:r>
              <w:rPr>
                <w:spacing w:val="40"/>
                <w:sz w:val="18"/>
              </w:rPr>
              <w:t> </w:t>
            </w:r>
            <w:r>
              <w:rPr>
                <w:sz w:val="18"/>
              </w:rPr>
              <w:t>económica realizada</w:t>
            </w:r>
          </w:p>
          <w:p>
            <w:pPr>
              <w:pStyle w:val="TableParagraph"/>
              <w:spacing w:line="189" w:lineRule="exact"/>
              <w:ind w:left="68"/>
              <w:rPr>
                <w:sz w:val="18"/>
              </w:rPr>
            </w:pPr>
            <w:r>
              <w:rPr>
                <w:sz w:val="18"/>
              </w:rPr>
              <w:t>por</w:t>
            </w:r>
            <w:r>
              <w:rPr>
                <w:spacing w:val="-1"/>
                <w:sz w:val="18"/>
              </w:rPr>
              <w:t> </w:t>
            </w:r>
            <w:r>
              <w:rPr>
                <w:sz w:val="18"/>
              </w:rPr>
              <w:t>el</w:t>
            </w:r>
            <w:r>
              <w:rPr>
                <w:spacing w:val="1"/>
                <w:sz w:val="18"/>
              </w:rPr>
              <w:t> </w:t>
            </w:r>
            <w:r>
              <w:rPr>
                <w:spacing w:val="-2"/>
                <w:sz w:val="18"/>
              </w:rPr>
              <w:t>DASAI.</w:t>
            </w:r>
          </w:p>
        </w:tc>
        <w:tc>
          <w:tcPr>
            <w:tcW w:w="1560" w:type="dxa"/>
          </w:tcPr>
          <w:p>
            <w:pPr>
              <w:pStyle w:val="TableParagraph"/>
              <w:rPr>
                <w:b/>
                <w:sz w:val="18"/>
              </w:rPr>
            </w:pPr>
          </w:p>
          <w:p>
            <w:pPr>
              <w:pStyle w:val="TableParagraph"/>
              <w:spacing w:before="3"/>
              <w:rPr>
                <w:b/>
                <w:sz w:val="18"/>
              </w:rPr>
            </w:pPr>
          </w:p>
          <w:p>
            <w:pPr>
              <w:pStyle w:val="TableParagraph"/>
              <w:ind w:left="73" w:right="58"/>
              <w:rPr>
                <w:sz w:val="18"/>
              </w:rPr>
            </w:pPr>
            <w:r>
              <w:rPr>
                <w:sz w:val="18"/>
              </w:rPr>
              <w:t>Reporte e informes</w:t>
            </w:r>
            <w:r>
              <w:rPr>
                <w:spacing w:val="-4"/>
                <w:sz w:val="18"/>
              </w:rPr>
              <w:t> </w:t>
            </w:r>
            <w:r>
              <w:rPr>
                <w:sz w:val="18"/>
              </w:rPr>
              <w:t>de </w:t>
            </w:r>
            <w:r>
              <w:rPr>
                <w:spacing w:val="-2"/>
                <w:sz w:val="18"/>
              </w:rPr>
              <w:t>fiscalización económica.</w:t>
            </w:r>
          </w:p>
        </w:tc>
        <w:tc>
          <w:tcPr>
            <w:tcW w:w="141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7" w:right="15"/>
              <w:jc w:val="center"/>
              <w:rPr>
                <w:sz w:val="18"/>
              </w:rPr>
            </w:pPr>
            <w:r>
              <w:rPr>
                <w:spacing w:val="-2"/>
                <w:sz w:val="18"/>
              </w:rPr>
              <w:t>DASAI</w:t>
            </w:r>
          </w:p>
        </w:tc>
        <w:tc>
          <w:tcPr>
            <w:tcW w:w="1649" w:type="dxa"/>
          </w:tcPr>
          <w:p>
            <w:pPr>
              <w:pStyle w:val="TableParagraph"/>
              <w:rPr>
                <w:rFonts w:ascii="Times New Roman"/>
                <w:sz w:val="18"/>
              </w:rPr>
            </w:pPr>
          </w:p>
        </w:tc>
        <w:tc>
          <w:tcPr>
            <w:tcW w:w="1548" w:type="dxa"/>
            <w:tcBorders>
              <w:top w:val="nil"/>
            </w:tcBorders>
          </w:tcPr>
          <w:p>
            <w:pPr>
              <w:pStyle w:val="TableParagraph"/>
              <w:spacing w:before="3"/>
              <w:ind w:left="72"/>
              <w:rPr>
                <w:sz w:val="18"/>
              </w:rPr>
            </w:pPr>
            <w:r>
              <w:rPr>
                <w:sz w:val="18"/>
              </w:rPr>
              <w:t>solicitud de recursos</w:t>
            </w:r>
            <w:r>
              <w:rPr>
                <w:spacing w:val="-15"/>
                <w:sz w:val="18"/>
              </w:rPr>
              <w:t> </w:t>
            </w:r>
            <w:r>
              <w:rPr>
                <w:sz w:val="18"/>
              </w:rPr>
              <w:t>ante</w:t>
            </w:r>
            <w:r>
              <w:rPr>
                <w:spacing w:val="-12"/>
                <w:sz w:val="18"/>
              </w:rPr>
              <w:t> </w:t>
            </w:r>
            <w:r>
              <w:rPr>
                <w:sz w:val="18"/>
              </w:rPr>
              <w:t>el </w:t>
            </w:r>
            <w:r>
              <w:rPr>
                <w:spacing w:val="-2"/>
                <w:sz w:val="18"/>
              </w:rPr>
              <w:t>IMAS.</w:t>
            </w:r>
          </w:p>
        </w:tc>
      </w:tr>
      <w:tr>
        <w:trPr>
          <w:trHeight w:val="1238" w:hRule="atLeast"/>
        </w:trPr>
        <w:tc>
          <w:tcPr>
            <w:tcW w:w="2972" w:type="dxa"/>
          </w:tcPr>
          <w:p>
            <w:pPr>
              <w:pStyle w:val="TableParagraph"/>
              <w:spacing w:before="99"/>
              <w:rPr>
                <w:b/>
                <w:sz w:val="18"/>
              </w:rPr>
            </w:pPr>
          </w:p>
          <w:p>
            <w:pPr>
              <w:pStyle w:val="TableParagraph"/>
              <w:spacing w:line="242" w:lineRule="auto"/>
              <w:ind w:left="72" w:right="333"/>
              <w:rPr>
                <w:sz w:val="18"/>
              </w:rPr>
            </w:pPr>
            <w:r>
              <w:rPr>
                <w:b/>
                <w:sz w:val="18"/>
              </w:rPr>
              <w:t>Actividad PPPS 1.56.4: </w:t>
            </w:r>
            <w:r>
              <w:rPr>
                <w:sz w:val="18"/>
              </w:rPr>
              <w:t>Asesoría</w:t>
            </w:r>
            <w:r>
              <w:rPr>
                <w:spacing w:val="-12"/>
                <w:sz w:val="18"/>
              </w:rPr>
              <w:t> </w:t>
            </w:r>
            <w:r>
              <w:rPr>
                <w:sz w:val="18"/>
              </w:rPr>
              <w:t>a</w:t>
            </w:r>
            <w:r>
              <w:rPr>
                <w:spacing w:val="-9"/>
                <w:sz w:val="18"/>
              </w:rPr>
              <w:t> </w:t>
            </w:r>
            <w:r>
              <w:rPr>
                <w:sz w:val="18"/>
              </w:rPr>
              <w:t>organizaciones</w:t>
            </w:r>
            <w:r>
              <w:rPr>
                <w:spacing w:val="-12"/>
                <w:sz w:val="18"/>
              </w:rPr>
              <w:t> </w:t>
            </w:r>
            <w:r>
              <w:rPr>
                <w:sz w:val="18"/>
              </w:rPr>
              <w:t>en proceso de inscripción.</w:t>
            </w:r>
          </w:p>
        </w:tc>
        <w:tc>
          <w:tcPr>
            <w:tcW w:w="1560" w:type="dxa"/>
          </w:tcPr>
          <w:p>
            <w:pPr>
              <w:pStyle w:val="TableParagraph"/>
              <w:rPr>
                <w:b/>
                <w:sz w:val="18"/>
              </w:rPr>
            </w:pPr>
          </w:p>
          <w:p>
            <w:pPr>
              <w:pStyle w:val="TableParagraph"/>
              <w:spacing w:before="98"/>
              <w:rPr>
                <w:b/>
                <w:sz w:val="18"/>
              </w:rPr>
            </w:pPr>
          </w:p>
          <w:p>
            <w:pPr>
              <w:pStyle w:val="TableParagraph"/>
              <w:ind w:left="21" w:right="3"/>
              <w:jc w:val="center"/>
              <w:rPr>
                <w:sz w:val="18"/>
              </w:rPr>
            </w:pPr>
            <w:r>
              <w:rPr>
                <w:spacing w:val="-4"/>
                <w:sz w:val="18"/>
              </w:rPr>
              <w:t>100%</w:t>
            </w:r>
          </w:p>
        </w:tc>
        <w:tc>
          <w:tcPr>
            <w:tcW w:w="1560" w:type="dxa"/>
          </w:tcPr>
          <w:p>
            <w:pPr>
              <w:pStyle w:val="TableParagraph"/>
              <w:rPr>
                <w:b/>
                <w:sz w:val="18"/>
              </w:rPr>
            </w:pPr>
          </w:p>
          <w:p>
            <w:pPr>
              <w:pStyle w:val="TableParagraph"/>
              <w:spacing w:before="98"/>
              <w:rPr>
                <w:b/>
                <w:sz w:val="18"/>
              </w:rPr>
            </w:pPr>
          </w:p>
          <w:p>
            <w:pPr>
              <w:pStyle w:val="TableParagraph"/>
              <w:ind w:left="21" w:right="12"/>
              <w:jc w:val="center"/>
              <w:rPr>
                <w:sz w:val="18"/>
              </w:rPr>
            </w:pPr>
            <w:r>
              <w:rPr>
                <w:spacing w:val="-4"/>
                <w:sz w:val="18"/>
              </w:rPr>
              <w:t>100%</w:t>
            </w:r>
          </w:p>
        </w:tc>
        <w:tc>
          <w:tcPr>
            <w:tcW w:w="1982" w:type="dxa"/>
          </w:tcPr>
          <w:p>
            <w:pPr>
              <w:pStyle w:val="TableParagraph"/>
              <w:ind w:left="68" w:right="53"/>
              <w:rPr>
                <w:sz w:val="18"/>
              </w:rPr>
            </w:pPr>
            <w:r>
              <w:rPr>
                <w:sz w:val="18"/>
              </w:rPr>
              <w:t>Porcentaje de organizaciones en proceso</w:t>
            </w:r>
            <w:r>
              <w:rPr>
                <w:spacing w:val="-15"/>
                <w:sz w:val="18"/>
              </w:rPr>
              <w:t> </w:t>
            </w:r>
            <w:r>
              <w:rPr>
                <w:sz w:val="18"/>
              </w:rPr>
              <w:t>de</w:t>
            </w:r>
            <w:r>
              <w:rPr>
                <w:spacing w:val="-12"/>
                <w:sz w:val="18"/>
              </w:rPr>
              <w:t> </w:t>
            </w:r>
            <w:r>
              <w:rPr>
                <w:sz w:val="18"/>
              </w:rPr>
              <w:t>inscripción como organizaciones de bienestar social,</w:t>
            </w:r>
          </w:p>
          <w:p>
            <w:pPr>
              <w:pStyle w:val="TableParagraph"/>
              <w:spacing w:line="185" w:lineRule="exact"/>
              <w:ind w:left="68"/>
              <w:rPr>
                <w:sz w:val="18"/>
              </w:rPr>
            </w:pPr>
            <w:r>
              <w:rPr>
                <w:sz w:val="18"/>
              </w:rPr>
              <w:t>que</w:t>
            </w:r>
            <w:r>
              <w:rPr>
                <w:spacing w:val="-3"/>
                <w:sz w:val="18"/>
              </w:rPr>
              <w:t> </w:t>
            </w:r>
            <w:r>
              <w:rPr>
                <w:sz w:val="18"/>
              </w:rPr>
              <w:t>reciben</w:t>
            </w:r>
            <w:r>
              <w:rPr>
                <w:spacing w:val="-3"/>
                <w:sz w:val="18"/>
              </w:rPr>
              <w:t> </w:t>
            </w:r>
            <w:r>
              <w:rPr>
                <w:spacing w:val="-2"/>
                <w:sz w:val="18"/>
              </w:rPr>
              <w:t>asesoría.</w:t>
            </w:r>
          </w:p>
        </w:tc>
        <w:tc>
          <w:tcPr>
            <w:tcW w:w="1560" w:type="dxa"/>
          </w:tcPr>
          <w:p>
            <w:pPr>
              <w:pStyle w:val="TableParagraph"/>
              <w:spacing w:before="204"/>
              <w:rPr>
                <w:b/>
                <w:sz w:val="18"/>
              </w:rPr>
            </w:pPr>
          </w:p>
          <w:p>
            <w:pPr>
              <w:pStyle w:val="TableParagraph"/>
              <w:ind w:left="73" w:right="58"/>
              <w:rPr>
                <w:sz w:val="18"/>
              </w:rPr>
            </w:pPr>
            <w:r>
              <w:rPr>
                <w:sz w:val="18"/>
              </w:rPr>
              <w:t>Reportes</w:t>
            </w:r>
            <w:r>
              <w:rPr>
                <w:spacing w:val="-13"/>
                <w:sz w:val="18"/>
              </w:rPr>
              <w:t> </w:t>
            </w:r>
            <w:r>
              <w:rPr>
                <w:sz w:val="18"/>
              </w:rPr>
              <w:t>de </w:t>
            </w:r>
            <w:r>
              <w:rPr>
                <w:spacing w:val="-2"/>
                <w:sz w:val="18"/>
              </w:rPr>
              <w:t>asesoría.</w:t>
            </w:r>
          </w:p>
        </w:tc>
        <w:tc>
          <w:tcPr>
            <w:tcW w:w="1416" w:type="dxa"/>
          </w:tcPr>
          <w:p>
            <w:pPr>
              <w:pStyle w:val="TableParagraph"/>
              <w:rPr>
                <w:b/>
                <w:sz w:val="18"/>
              </w:rPr>
            </w:pPr>
          </w:p>
          <w:p>
            <w:pPr>
              <w:pStyle w:val="TableParagraph"/>
              <w:spacing w:before="98"/>
              <w:rPr>
                <w:b/>
                <w:sz w:val="18"/>
              </w:rPr>
            </w:pPr>
          </w:p>
          <w:p>
            <w:pPr>
              <w:pStyle w:val="TableParagraph"/>
              <w:ind w:left="17" w:right="15"/>
              <w:jc w:val="center"/>
              <w:rPr>
                <w:sz w:val="18"/>
              </w:rPr>
            </w:pPr>
            <w:r>
              <w:rPr>
                <w:spacing w:val="-2"/>
                <w:sz w:val="18"/>
              </w:rPr>
              <w:t>DASAI</w:t>
            </w:r>
          </w:p>
        </w:tc>
        <w:tc>
          <w:tcPr>
            <w:tcW w:w="1649" w:type="dxa"/>
          </w:tcPr>
          <w:p>
            <w:pPr>
              <w:pStyle w:val="TableParagraph"/>
              <w:rPr>
                <w:rFonts w:ascii="Times New Roman"/>
                <w:sz w:val="18"/>
              </w:rPr>
            </w:pPr>
          </w:p>
        </w:tc>
        <w:tc>
          <w:tcPr>
            <w:tcW w:w="1548" w:type="dxa"/>
          </w:tcPr>
          <w:p>
            <w:pPr>
              <w:pStyle w:val="TableParagraph"/>
              <w:numPr>
                <w:ilvl w:val="0"/>
                <w:numId w:val="92"/>
              </w:numPr>
              <w:tabs>
                <w:tab w:pos="133" w:val="left" w:leader="none"/>
              </w:tabs>
              <w:spacing w:line="240" w:lineRule="auto" w:before="99" w:after="0"/>
              <w:ind w:left="72" w:right="143" w:firstLine="0"/>
              <w:jc w:val="left"/>
              <w:rPr>
                <w:sz w:val="18"/>
              </w:rPr>
            </w:pPr>
            <w:r>
              <w:rPr>
                <w:spacing w:val="-2"/>
                <w:sz w:val="18"/>
              </w:rPr>
              <w:t>Organizaciones </w:t>
            </w:r>
            <w:r>
              <w:rPr>
                <w:sz w:val="18"/>
              </w:rPr>
              <w:t>que no cuenten con el carácter de bienestar </w:t>
            </w:r>
            <w:r>
              <w:rPr>
                <w:spacing w:val="-2"/>
                <w:sz w:val="18"/>
              </w:rPr>
              <w:t>social.</w:t>
            </w:r>
          </w:p>
        </w:tc>
      </w:tr>
      <w:tr>
        <w:trPr>
          <w:trHeight w:val="1656" w:hRule="atLeast"/>
        </w:trPr>
        <w:tc>
          <w:tcPr>
            <w:tcW w:w="2972" w:type="dxa"/>
          </w:tcPr>
          <w:p>
            <w:pPr>
              <w:pStyle w:val="TableParagraph"/>
              <w:rPr>
                <w:b/>
                <w:sz w:val="18"/>
              </w:rPr>
            </w:pPr>
          </w:p>
          <w:p>
            <w:pPr>
              <w:pStyle w:val="TableParagraph"/>
              <w:spacing w:before="2"/>
              <w:rPr>
                <w:b/>
                <w:sz w:val="18"/>
              </w:rPr>
            </w:pPr>
          </w:p>
          <w:p>
            <w:pPr>
              <w:pStyle w:val="TableParagraph"/>
              <w:spacing w:line="207" w:lineRule="exact"/>
              <w:ind w:left="72"/>
              <w:rPr>
                <w:b/>
                <w:sz w:val="18"/>
              </w:rPr>
            </w:pPr>
            <w:r>
              <w:rPr>
                <w:b/>
                <w:sz w:val="18"/>
              </w:rPr>
              <w:t>Actividad</w:t>
            </w:r>
            <w:r>
              <w:rPr>
                <w:b/>
                <w:spacing w:val="-6"/>
                <w:sz w:val="18"/>
              </w:rPr>
              <w:t> </w:t>
            </w:r>
            <w:r>
              <w:rPr>
                <w:b/>
                <w:sz w:val="18"/>
              </w:rPr>
              <w:t>PPPS</w:t>
            </w:r>
            <w:r>
              <w:rPr>
                <w:b/>
                <w:spacing w:val="-6"/>
                <w:sz w:val="18"/>
              </w:rPr>
              <w:t> </w:t>
            </w:r>
            <w:r>
              <w:rPr>
                <w:b/>
                <w:spacing w:val="-2"/>
                <w:sz w:val="18"/>
              </w:rPr>
              <w:t>1.56.5:</w:t>
            </w:r>
          </w:p>
          <w:p>
            <w:pPr>
              <w:pStyle w:val="TableParagraph"/>
              <w:ind w:left="72"/>
              <w:rPr>
                <w:sz w:val="18"/>
              </w:rPr>
            </w:pPr>
            <w:r>
              <w:rPr>
                <w:sz w:val="18"/>
              </w:rPr>
              <w:t>Emisión de certificaciones de Bienestar</w:t>
            </w:r>
            <w:r>
              <w:rPr>
                <w:spacing w:val="-9"/>
                <w:sz w:val="18"/>
              </w:rPr>
              <w:t> </w:t>
            </w:r>
            <w:r>
              <w:rPr>
                <w:sz w:val="18"/>
              </w:rPr>
              <w:t>Social</w:t>
            </w:r>
            <w:r>
              <w:rPr>
                <w:spacing w:val="-11"/>
                <w:sz w:val="18"/>
              </w:rPr>
              <w:t> </w:t>
            </w:r>
            <w:r>
              <w:rPr>
                <w:sz w:val="18"/>
              </w:rPr>
              <w:t>a</w:t>
            </w:r>
            <w:r>
              <w:rPr>
                <w:spacing w:val="-13"/>
                <w:sz w:val="18"/>
              </w:rPr>
              <w:t> </w:t>
            </w:r>
            <w:r>
              <w:rPr>
                <w:sz w:val="18"/>
              </w:rPr>
              <w:t>organizaciones </w:t>
            </w:r>
            <w:r>
              <w:rPr>
                <w:spacing w:val="-2"/>
                <w:sz w:val="18"/>
              </w:rPr>
              <w:t>inscritas.</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3"/>
              <w:jc w:val="center"/>
              <w:rPr>
                <w:sz w:val="18"/>
              </w:rPr>
            </w:pPr>
            <w:r>
              <w:rPr>
                <w:spacing w:val="-4"/>
                <w:sz w:val="18"/>
              </w:rPr>
              <w:t>100%</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2"/>
              <w:jc w:val="center"/>
              <w:rPr>
                <w:sz w:val="18"/>
              </w:rPr>
            </w:pPr>
            <w:r>
              <w:rPr>
                <w:spacing w:val="-4"/>
                <w:sz w:val="18"/>
              </w:rPr>
              <w:t>100%</w:t>
            </w:r>
          </w:p>
        </w:tc>
        <w:tc>
          <w:tcPr>
            <w:tcW w:w="1982" w:type="dxa"/>
          </w:tcPr>
          <w:p>
            <w:pPr>
              <w:pStyle w:val="TableParagraph"/>
              <w:ind w:left="68" w:right="53"/>
              <w:rPr>
                <w:sz w:val="18"/>
              </w:rPr>
            </w:pPr>
            <w:r>
              <w:rPr>
                <w:sz w:val="18"/>
              </w:rPr>
              <w:t>Porcentaje de organizaciones de bienestar social que cumplen</w:t>
            </w:r>
            <w:r>
              <w:rPr>
                <w:spacing w:val="-15"/>
                <w:sz w:val="18"/>
              </w:rPr>
              <w:t> </w:t>
            </w:r>
            <w:r>
              <w:rPr>
                <w:sz w:val="18"/>
              </w:rPr>
              <w:t>con</w:t>
            </w:r>
            <w:r>
              <w:rPr>
                <w:spacing w:val="-12"/>
                <w:sz w:val="18"/>
              </w:rPr>
              <w:t> </w:t>
            </w:r>
            <w:r>
              <w:rPr>
                <w:sz w:val="18"/>
              </w:rPr>
              <w:t>requisitos y a las cuales se les emite la certificación</w:t>
            </w:r>
          </w:p>
          <w:p>
            <w:pPr>
              <w:pStyle w:val="TableParagraph"/>
              <w:spacing w:line="206" w:lineRule="exact"/>
              <w:ind w:left="68" w:right="596"/>
              <w:rPr>
                <w:sz w:val="18"/>
              </w:rPr>
            </w:pPr>
            <w:r>
              <w:rPr>
                <w:sz w:val="18"/>
              </w:rPr>
              <w:t>del carácter de bienestar</w:t>
            </w:r>
            <w:r>
              <w:rPr>
                <w:spacing w:val="-13"/>
                <w:sz w:val="18"/>
              </w:rPr>
              <w:t> </w:t>
            </w:r>
            <w:r>
              <w:rPr>
                <w:sz w:val="18"/>
              </w:rPr>
              <w:t>social.</w:t>
            </w:r>
          </w:p>
        </w:tc>
        <w:tc>
          <w:tcPr>
            <w:tcW w:w="1560" w:type="dxa"/>
          </w:tcPr>
          <w:p>
            <w:pPr>
              <w:pStyle w:val="TableParagraph"/>
              <w:rPr>
                <w:b/>
                <w:sz w:val="18"/>
              </w:rPr>
            </w:pPr>
          </w:p>
          <w:p>
            <w:pPr>
              <w:pStyle w:val="TableParagraph"/>
              <w:spacing w:before="103"/>
              <w:rPr>
                <w:b/>
                <w:sz w:val="18"/>
              </w:rPr>
            </w:pPr>
          </w:p>
          <w:p>
            <w:pPr>
              <w:pStyle w:val="TableParagraph"/>
              <w:ind w:left="73" w:right="58"/>
              <w:rPr>
                <w:sz w:val="18"/>
              </w:rPr>
            </w:pPr>
            <w:r>
              <w:rPr>
                <w:sz w:val="18"/>
              </w:rPr>
              <w:t>Reporte de </w:t>
            </w:r>
            <w:r>
              <w:rPr>
                <w:spacing w:val="-2"/>
                <w:sz w:val="18"/>
              </w:rPr>
              <w:t>certificaciones emitidas.</w:t>
            </w:r>
          </w:p>
        </w:tc>
        <w:tc>
          <w:tcPr>
            <w:tcW w:w="141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7" w:right="15"/>
              <w:jc w:val="center"/>
              <w:rPr>
                <w:sz w:val="18"/>
              </w:rPr>
            </w:pPr>
            <w:r>
              <w:rPr>
                <w:spacing w:val="-2"/>
                <w:sz w:val="18"/>
              </w:rPr>
              <w:t>DASAI</w:t>
            </w:r>
          </w:p>
        </w:tc>
        <w:tc>
          <w:tcPr>
            <w:tcW w:w="1649" w:type="dxa"/>
          </w:tcPr>
          <w:p>
            <w:pPr>
              <w:pStyle w:val="TableParagraph"/>
              <w:rPr>
                <w:rFonts w:ascii="Times New Roman"/>
                <w:sz w:val="18"/>
              </w:rPr>
            </w:pPr>
          </w:p>
        </w:tc>
        <w:tc>
          <w:tcPr>
            <w:tcW w:w="1548" w:type="dxa"/>
          </w:tcPr>
          <w:p>
            <w:pPr>
              <w:pStyle w:val="TableParagraph"/>
              <w:rPr>
                <w:b/>
                <w:sz w:val="18"/>
              </w:rPr>
            </w:pPr>
          </w:p>
          <w:p>
            <w:pPr>
              <w:pStyle w:val="TableParagraph"/>
              <w:spacing w:before="2"/>
              <w:rPr>
                <w:b/>
                <w:sz w:val="18"/>
              </w:rPr>
            </w:pPr>
          </w:p>
          <w:p>
            <w:pPr>
              <w:pStyle w:val="TableParagraph"/>
              <w:numPr>
                <w:ilvl w:val="0"/>
                <w:numId w:val="93"/>
              </w:numPr>
              <w:tabs>
                <w:tab w:pos="133" w:val="left" w:leader="none"/>
              </w:tabs>
              <w:spacing w:line="240" w:lineRule="auto" w:before="0" w:after="0"/>
              <w:ind w:left="72" w:right="130" w:firstLine="0"/>
              <w:jc w:val="left"/>
              <w:rPr>
                <w:sz w:val="18"/>
              </w:rPr>
            </w:pPr>
            <w:r>
              <w:rPr>
                <w:spacing w:val="-2"/>
                <w:sz w:val="18"/>
              </w:rPr>
              <w:t>Incumplimiento </w:t>
            </w:r>
            <w:r>
              <w:rPr>
                <w:sz w:val="18"/>
              </w:rPr>
              <w:t>de</w:t>
            </w:r>
            <w:r>
              <w:rPr>
                <w:spacing w:val="-15"/>
                <w:sz w:val="18"/>
              </w:rPr>
              <w:t> </w:t>
            </w:r>
            <w:r>
              <w:rPr>
                <w:sz w:val="18"/>
              </w:rPr>
              <w:t>requisitos</w:t>
            </w:r>
            <w:r>
              <w:rPr>
                <w:spacing w:val="-12"/>
                <w:sz w:val="18"/>
              </w:rPr>
              <w:t> </w:t>
            </w:r>
            <w:r>
              <w:rPr>
                <w:sz w:val="18"/>
              </w:rPr>
              <w:t>por parte de las </w:t>
            </w:r>
            <w:r>
              <w:rPr>
                <w:spacing w:val="-2"/>
                <w:sz w:val="18"/>
              </w:rPr>
              <w:t>organizaciones.</w:t>
            </w:r>
          </w:p>
        </w:tc>
      </w:tr>
      <w:tr>
        <w:trPr>
          <w:trHeight w:val="585" w:hRule="atLeast"/>
        </w:trPr>
        <w:tc>
          <w:tcPr>
            <w:tcW w:w="14247" w:type="dxa"/>
            <w:gridSpan w:val="8"/>
            <w:shd w:val="clear" w:color="auto" w:fill="EFF8F9"/>
          </w:tcPr>
          <w:p>
            <w:pPr>
              <w:pStyle w:val="TableParagraph"/>
              <w:spacing w:before="191"/>
              <w:ind w:left="72"/>
              <w:rPr>
                <w:b/>
                <w:sz w:val="18"/>
              </w:rPr>
            </w:pPr>
            <w:r>
              <w:rPr>
                <w:b/>
                <w:sz w:val="18"/>
              </w:rPr>
              <w:t>Producto</w:t>
            </w:r>
            <w:r>
              <w:rPr>
                <w:b/>
                <w:spacing w:val="-7"/>
                <w:sz w:val="18"/>
              </w:rPr>
              <w:t> </w:t>
            </w:r>
            <w:r>
              <w:rPr>
                <w:b/>
                <w:sz w:val="18"/>
              </w:rPr>
              <w:t>PPPS</w:t>
            </w:r>
            <w:r>
              <w:rPr>
                <w:b/>
                <w:spacing w:val="-6"/>
                <w:sz w:val="18"/>
              </w:rPr>
              <w:t> </w:t>
            </w:r>
            <w:r>
              <w:rPr>
                <w:b/>
                <w:sz w:val="18"/>
              </w:rPr>
              <w:t>1.57:</w:t>
            </w:r>
            <w:r>
              <w:rPr>
                <w:b/>
                <w:spacing w:val="-4"/>
                <w:sz w:val="18"/>
              </w:rPr>
              <w:t> </w:t>
            </w:r>
            <w:r>
              <w:rPr>
                <w:b/>
                <w:sz w:val="18"/>
              </w:rPr>
              <w:t>Acciones</w:t>
            </w:r>
            <w:r>
              <w:rPr>
                <w:b/>
                <w:spacing w:val="-6"/>
                <w:sz w:val="18"/>
              </w:rPr>
              <w:t> </w:t>
            </w:r>
            <w:r>
              <w:rPr>
                <w:b/>
                <w:sz w:val="18"/>
              </w:rPr>
              <w:t>de</w:t>
            </w:r>
            <w:r>
              <w:rPr>
                <w:b/>
                <w:spacing w:val="-5"/>
                <w:sz w:val="18"/>
              </w:rPr>
              <w:t> </w:t>
            </w:r>
            <w:r>
              <w:rPr>
                <w:b/>
                <w:sz w:val="18"/>
              </w:rPr>
              <w:t>seguimiento</w:t>
            </w:r>
            <w:r>
              <w:rPr>
                <w:b/>
                <w:spacing w:val="-2"/>
                <w:sz w:val="18"/>
              </w:rPr>
              <w:t> </w:t>
            </w:r>
            <w:r>
              <w:rPr>
                <w:b/>
                <w:sz w:val="18"/>
              </w:rPr>
              <w:t>y</w:t>
            </w:r>
            <w:r>
              <w:rPr>
                <w:b/>
                <w:spacing w:val="-10"/>
                <w:sz w:val="18"/>
              </w:rPr>
              <w:t> </w:t>
            </w:r>
            <w:r>
              <w:rPr>
                <w:b/>
                <w:sz w:val="18"/>
              </w:rPr>
              <w:t>monitoreo</w:t>
            </w:r>
            <w:r>
              <w:rPr>
                <w:b/>
                <w:spacing w:val="-2"/>
                <w:sz w:val="18"/>
              </w:rPr>
              <w:t> </w:t>
            </w:r>
            <w:r>
              <w:rPr>
                <w:b/>
                <w:sz w:val="18"/>
              </w:rPr>
              <w:t>a</w:t>
            </w:r>
            <w:r>
              <w:rPr>
                <w:b/>
                <w:spacing w:val="-5"/>
                <w:sz w:val="18"/>
              </w:rPr>
              <w:t> </w:t>
            </w:r>
            <w:r>
              <w:rPr>
                <w:b/>
                <w:sz w:val="18"/>
              </w:rPr>
              <w:t>la</w:t>
            </w:r>
            <w:r>
              <w:rPr>
                <w:b/>
                <w:spacing w:val="-6"/>
                <w:sz w:val="18"/>
              </w:rPr>
              <w:t> </w:t>
            </w:r>
            <w:r>
              <w:rPr>
                <w:b/>
                <w:sz w:val="18"/>
              </w:rPr>
              <w:t>implementación</w:t>
            </w:r>
            <w:r>
              <w:rPr>
                <w:b/>
                <w:spacing w:val="-6"/>
                <w:sz w:val="18"/>
              </w:rPr>
              <w:t> </w:t>
            </w:r>
            <w:r>
              <w:rPr>
                <w:b/>
                <w:sz w:val="18"/>
              </w:rPr>
              <w:t>del</w:t>
            </w:r>
            <w:r>
              <w:rPr>
                <w:b/>
                <w:spacing w:val="-4"/>
                <w:sz w:val="18"/>
              </w:rPr>
              <w:t> </w:t>
            </w:r>
            <w:r>
              <w:rPr>
                <w:b/>
                <w:sz w:val="18"/>
              </w:rPr>
              <w:t>Modelo</w:t>
            </w:r>
            <w:r>
              <w:rPr>
                <w:b/>
                <w:spacing w:val="-6"/>
                <w:sz w:val="18"/>
              </w:rPr>
              <w:t> </w:t>
            </w:r>
            <w:r>
              <w:rPr>
                <w:b/>
                <w:sz w:val="18"/>
              </w:rPr>
              <w:t>de</w:t>
            </w:r>
            <w:r>
              <w:rPr>
                <w:b/>
                <w:spacing w:val="-6"/>
                <w:sz w:val="18"/>
              </w:rPr>
              <w:t> </w:t>
            </w:r>
            <w:r>
              <w:rPr>
                <w:b/>
                <w:sz w:val="18"/>
              </w:rPr>
              <w:t>Intervención</w:t>
            </w:r>
            <w:r>
              <w:rPr>
                <w:b/>
                <w:spacing w:val="-6"/>
                <w:sz w:val="18"/>
              </w:rPr>
              <w:t> </w:t>
            </w:r>
            <w:r>
              <w:rPr>
                <w:b/>
                <w:sz w:val="18"/>
              </w:rPr>
              <w:t>Institucional</w:t>
            </w:r>
            <w:r>
              <w:rPr>
                <w:b/>
                <w:spacing w:val="1"/>
                <w:sz w:val="18"/>
              </w:rPr>
              <w:t> </w:t>
            </w:r>
            <w:r>
              <w:rPr>
                <w:b/>
                <w:sz w:val="18"/>
              </w:rPr>
              <w:t>y</w:t>
            </w:r>
            <w:r>
              <w:rPr>
                <w:b/>
                <w:spacing w:val="-6"/>
                <w:sz w:val="18"/>
              </w:rPr>
              <w:t> </w:t>
            </w:r>
            <w:r>
              <w:rPr>
                <w:b/>
                <w:sz w:val="18"/>
              </w:rPr>
              <w:t>sus</w:t>
            </w:r>
            <w:r>
              <w:rPr>
                <w:b/>
                <w:spacing w:val="-5"/>
                <w:sz w:val="18"/>
              </w:rPr>
              <w:t> </w:t>
            </w:r>
            <w:r>
              <w:rPr>
                <w:b/>
                <w:sz w:val="18"/>
              </w:rPr>
              <w:t>efectos</w:t>
            </w:r>
            <w:r>
              <w:rPr>
                <w:b/>
                <w:spacing w:val="-2"/>
                <w:sz w:val="18"/>
              </w:rPr>
              <w:t> </w:t>
            </w:r>
            <w:r>
              <w:rPr>
                <w:b/>
                <w:sz w:val="18"/>
              </w:rPr>
              <w:t>en</w:t>
            </w:r>
            <w:r>
              <w:rPr>
                <w:b/>
                <w:spacing w:val="-6"/>
                <w:sz w:val="18"/>
              </w:rPr>
              <w:t> </w:t>
            </w:r>
            <w:r>
              <w:rPr>
                <w:b/>
                <w:sz w:val="18"/>
              </w:rPr>
              <w:t>la</w:t>
            </w:r>
            <w:r>
              <w:rPr>
                <w:b/>
                <w:spacing w:val="-6"/>
                <w:sz w:val="18"/>
              </w:rPr>
              <w:t> </w:t>
            </w:r>
            <w:r>
              <w:rPr>
                <w:b/>
                <w:sz w:val="18"/>
              </w:rPr>
              <w:t>población</w:t>
            </w:r>
            <w:r>
              <w:rPr>
                <w:b/>
                <w:spacing w:val="-10"/>
                <w:sz w:val="18"/>
              </w:rPr>
              <w:t> </w:t>
            </w:r>
            <w:r>
              <w:rPr>
                <w:b/>
                <w:spacing w:val="-2"/>
                <w:sz w:val="18"/>
              </w:rPr>
              <w:t>meta.</w:t>
            </w:r>
          </w:p>
        </w:tc>
      </w:tr>
      <w:tr>
        <w:trPr>
          <w:trHeight w:val="1243" w:hRule="atLeast"/>
        </w:trPr>
        <w:tc>
          <w:tcPr>
            <w:tcW w:w="2972" w:type="dxa"/>
          </w:tcPr>
          <w:p>
            <w:pPr>
              <w:pStyle w:val="TableParagraph"/>
              <w:spacing w:before="3"/>
              <w:rPr>
                <w:b/>
                <w:sz w:val="18"/>
              </w:rPr>
            </w:pPr>
          </w:p>
          <w:p>
            <w:pPr>
              <w:pStyle w:val="TableParagraph"/>
              <w:ind w:left="72"/>
              <w:rPr>
                <w:sz w:val="18"/>
              </w:rPr>
            </w:pPr>
            <w:r>
              <w:rPr>
                <w:b/>
                <w:sz w:val="18"/>
              </w:rPr>
              <w:t>Actividad PPPS 1.57.1: </w:t>
            </w:r>
            <w:r>
              <w:rPr>
                <w:sz w:val="18"/>
              </w:rPr>
              <w:t>Implementar</w:t>
            </w:r>
            <w:r>
              <w:rPr>
                <w:spacing w:val="-9"/>
                <w:sz w:val="18"/>
              </w:rPr>
              <w:t> </w:t>
            </w:r>
            <w:r>
              <w:rPr>
                <w:sz w:val="18"/>
              </w:rPr>
              <w:t>el</w:t>
            </w:r>
            <w:r>
              <w:rPr>
                <w:spacing w:val="-13"/>
                <w:sz w:val="18"/>
              </w:rPr>
              <w:t> </w:t>
            </w:r>
            <w:r>
              <w:rPr>
                <w:sz w:val="18"/>
              </w:rPr>
              <w:t>perfilamiento</w:t>
            </w:r>
            <w:r>
              <w:rPr>
                <w:spacing w:val="-12"/>
                <w:sz w:val="18"/>
              </w:rPr>
              <w:t> </w:t>
            </w:r>
            <w:r>
              <w:rPr>
                <w:sz w:val="18"/>
              </w:rPr>
              <w:t>según rutas del Modelo de Intervención </w:t>
            </w:r>
            <w:r>
              <w:rPr>
                <w:spacing w:val="-2"/>
                <w:sz w:val="18"/>
              </w:rPr>
              <w:t>Institucional.</w:t>
            </w:r>
          </w:p>
        </w:tc>
        <w:tc>
          <w:tcPr>
            <w:tcW w:w="1560" w:type="dxa"/>
          </w:tcPr>
          <w:p>
            <w:pPr>
              <w:pStyle w:val="TableParagraph"/>
              <w:rPr>
                <w:b/>
                <w:sz w:val="18"/>
              </w:rPr>
            </w:pPr>
          </w:p>
          <w:p>
            <w:pPr>
              <w:pStyle w:val="TableParagraph"/>
              <w:spacing w:before="103"/>
              <w:rPr>
                <w:b/>
                <w:sz w:val="18"/>
              </w:rPr>
            </w:pPr>
          </w:p>
          <w:p>
            <w:pPr>
              <w:pStyle w:val="TableParagraph"/>
              <w:ind w:left="21" w:right="6"/>
              <w:jc w:val="center"/>
              <w:rPr>
                <w:sz w:val="18"/>
              </w:rPr>
            </w:pPr>
            <w:r>
              <w:rPr>
                <w:spacing w:val="-5"/>
                <w:sz w:val="18"/>
              </w:rPr>
              <w:t>NA</w:t>
            </w:r>
          </w:p>
        </w:tc>
        <w:tc>
          <w:tcPr>
            <w:tcW w:w="1560" w:type="dxa"/>
          </w:tcPr>
          <w:p>
            <w:pPr>
              <w:pStyle w:val="TableParagraph"/>
              <w:rPr>
                <w:b/>
                <w:sz w:val="18"/>
              </w:rPr>
            </w:pPr>
          </w:p>
          <w:p>
            <w:pPr>
              <w:pStyle w:val="TableParagraph"/>
              <w:spacing w:before="103"/>
              <w:rPr>
                <w:b/>
                <w:sz w:val="18"/>
              </w:rPr>
            </w:pPr>
          </w:p>
          <w:p>
            <w:pPr>
              <w:pStyle w:val="TableParagraph"/>
              <w:ind w:left="21" w:right="16"/>
              <w:jc w:val="center"/>
              <w:rPr>
                <w:sz w:val="18"/>
              </w:rPr>
            </w:pPr>
            <w:r>
              <w:rPr>
                <w:spacing w:val="-5"/>
                <w:sz w:val="18"/>
              </w:rPr>
              <w:t>60%</w:t>
            </w:r>
          </w:p>
        </w:tc>
        <w:tc>
          <w:tcPr>
            <w:tcW w:w="1982" w:type="dxa"/>
          </w:tcPr>
          <w:p>
            <w:pPr>
              <w:pStyle w:val="TableParagraph"/>
              <w:ind w:left="68" w:right="62"/>
              <w:rPr>
                <w:sz w:val="18"/>
              </w:rPr>
            </w:pPr>
            <w:r>
              <w:rPr>
                <w:sz w:val="18"/>
              </w:rPr>
              <w:t>Porcentaje</w:t>
            </w:r>
            <w:r>
              <w:rPr>
                <w:spacing w:val="-1"/>
                <w:sz w:val="18"/>
              </w:rPr>
              <w:t> </w:t>
            </w:r>
            <w:r>
              <w:rPr>
                <w:sz w:val="18"/>
              </w:rPr>
              <w:t>de</w:t>
            </w:r>
            <w:r>
              <w:rPr>
                <w:spacing w:val="-1"/>
                <w:sz w:val="18"/>
              </w:rPr>
              <w:t> </w:t>
            </w:r>
            <w:r>
              <w:rPr>
                <w:sz w:val="18"/>
              </w:rPr>
              <w:t>hogares con</w:t>
            </w:r>
            <w:r>
              <w:rPr>
                <w:spacing w:val="-15"/>
                <w:sz w:val="18"/>
              </w:rPr>
              <w:t> </w:t>
            </w:r>
            <w:r>
              <w:rPr>
                <w:sz w:val="18"/>
              </w:rPr>
              <w:t>establecimiento</w:t>
            </w:r>
            <w:r>
              <w:rPr>
                <w:spacing w:val="-12"/>
                <w:sz w:val="18"/>
              </w:rPr>
              <w:t> </w:t>
            </w:r>
            <w:r>
              <w:rPr>
                <w:sz w:val="18"/>
              </w:rPr>
              <w:t>de condicionalidades en</w:t>
            </w:r>
            <w:r>
              <w:rPr>
                <w:spacing w:val="40"/>
                <w:sz w:val="18"/>
              </w:rPr>
              <w:t> </w:t>
            </w:r>
            <w:r>
              <w:rPr>
                <w:sz w:val="18"/>
              </w:rPr>
              <w:t>el marco del Modelo</w:t>
            </w:r>
          </w:p>
          <w:p>
            <w:pPr>
              <w:pStyle w:val="TableParagraph"/>
              <w:spacing w:line="206" w:lineRule="exact"/>
              <w:ind w:left="68" w:right="266"/>
              <w:rPr>
                <w:sz w:val="18"/>
              </w:rPr>
            </w:pPr>
            <w:r>
              <w:rPr>
                <w:sz w:val="18"/>
              </w:rPr>
              <w:t>de Intervención Institucional</w:t>
            </w:r>
            <w:r>
              <w:rPr>
                <w:spacing w:val="-13"/>
                <w:sz w:val="18"/>
              </w:rPr>
              <w:t> </w:t>
            </w:r>
            <w:r>
              <w:rPr>
                <w:sz w:val="18"/>
              </w:rPr>
              <w:t>vigente.</w:t>
            </w:r>
          </w:p>
        </w:tc>
        <w:tc>
          <w:tcPr>
            <w:tcW w:w="1560" w:type="dxa"/>
          </w:tcPr>
          <w:p>
            <w:pPr>
              <w:pStyle w:val="TableParagraph"/>
              <w:rPr>
                <w:b/>
                <w:sz w:val="18"/>
              </w:rPr>
            </w:pPr>
          </w:p>
          <w:p>
            <w:pPr>
              <w:pStyle w:val="TableParagraph"/>
              <w:spacing w:before="3"/>
              <w:rPr>
                <w:b/>
                <w:sz w:val="18"/>
              </w:rPr>
            </w:pPr>
          </w:p>
          <w:p>
            <w:pPr>
              <w:pStyle w:val="TableParagraph"/>
              <w:ind w:left="477" w:right="58" w:hanging="121"/>
              <w:rPr>
                <w:sz w:val="18"/>
              </w:rPr>
            </w:pPr>
            <w:r>
              <w:rPr>
                <w:spacing w:val="-2"/>
                <w:sz w:val="18"/>
              </w:rPr>
              <w:t>Reportería SABEN</w:t>
            </w:r>
          </w:p>
        </w:tc>
        <w:tc>
          <w:tcPr>
            <w:tcW w:w="1416" w:type="dxa"/>
          </w:tcPr>
          <w:p>
            <w:pPr>
              <w:pStyle w:val="TableParagraph"/>
              <w:rPr>
                <w:b/>
                <w:sz w:val="18"/>
              </w:rPr>
            </w:pPr>
          </w:p>
          <w:p>
            <w:pPr>
              <w:pStyle w:val="TableParagraph"/>
              <w:spacing w:before="103"/>
              <w:rPr>
                <w:b/>
                <w:sz w:val="18"/>
              </w:rPr>
            </w:pPr>
          </w:p>
          <w:p>
            <w:pPr>
              <w:pStyle w:val="TableParagraph"/>
              <w:ind w:left="17" w:right="10"/>
              <w:jc w:val="center"/>
              <w:rPr>
                <w:sz w:val="18"/>
              </w:rPr>
            </w:pPr>
            <w:r>
              <w:rPr>
                <w:spacing w:val="-5"/>
                <w:sz w:val="18"/>
              </w:rPr>
              <w:t>DDS</w:t>
            </w:r>
          </w:p>
        </w:tc>
        <w:tc>
          <w:tcPr>
            <w:tcW w:w="1649" w:type="dxa"/>
          </w:tcPr>
          <w:p>
            <w:pPr>
              <w:pStyle w:val="TableParagraph"/>
              <w:rPr>
                <w:rFonts w:ascii="Times New Roman"/>
                <w:sz w:val="18"/>
              </w:rPr>
            </w:pPr>
          </w:p>
        </w:tc>
        <w:tc>
          <w:tcPr>
            <w:tcW w:w="1548" w:type="dxa"/>
            <w:vMerge w:val="restart"/>
          </w:tcPr>
          <w:p>
            <w:pPr>
              <w:pStyle w:val="TableParagraph"/>
              <w:numPr>
                <w:ilvl w:val="0"/>
                <w:numId w:val="94"/>
              </w:numPr>
              <w:tabs>
                <w:tab w:pos="133" w:val="left" w:leader="none"/>
              </w:tabs>
              <w:spacing w:line="240" w:lineRule="auto" w:before="0" w:after="0"/>
              <w:ind w:left="72" w:right="108" w:firstLine="0"/>
              <w:jc w:val="left"/>
              <w:rPr>
                <w:sz w:val="18"/>
              </w:rPr>
            </w:pPr>
            <w:r>
              <w:rPr>
                <w:spacing w:val="-2"/>
                <w:sz w:val="18"/>
              </w:rPr>
              <w:t>Limitada </w:t>
            </w:r>
            <w:r>
              <w:rPr>
                <w:sz w:val="18"/>
              </w:rPr>
              <w:t>efectividad en la </w:t>
            </w:r>
            <w:r>
              <w:rPr>
                <w:spacing w:val="-2"/>
                <w:sz w:val="18"/>
              </w:rPr>
              <w:t>articulación interinstitucional </w:t>
            </w:r>
            <w:r>
              <w:rPr>
                <w:sz w:val="18"/>
              </w:rPr>
              <w:t>que dificulta el cumplimiento</w:t>
            </w:r>
            <w:r>
              <w:rPr>
                <w:spacing w:val="-13"/>
                <w:sz w:val="18"/>
              </w:rPr>
              <w:t> </w:t>
            </w:r>
            <w:r>
              <w:rPr>
                <w:sz w:val="18"/>
              </w:rPr>
              <w:t>del Plan</w:t>
            </w:r>
            <w:r>
              <w:rPr>
                <w:spacing w:val="-15"/>
                <w:sz w:val="18"/>
              </w:rPr>
              <w:t> </w:t>
            </w:r>
            <w:r>
              <w:rPr>
                <w:sz w:val="18"/>
              </w:rPr>
              <w:t>de</w:t>
            </w:r>
            <w:r>
              <w:rPr>
                <w:spacing w:val="-12"/>
                <w:sz w:val="18"/>
              </w:rPr>
              <w:t> </w:t>
            </w:r>
            <w:r>
              <w:rPr>
                <w:sz w:val="18"/>
              </w:rPr>
              <w:t>Ascenso e impide garantizar el acceso a una oferta de servicios y beneficios de protección y</w:t>
            </w:r>
          </w:p>
        </w:tc>
      </w:tr>
      <w:tr>
        <w:trPr>
          <w:trHeight w:val="1679" w:hRule="atLeast"/>
        </w:trPr>
        <w:tc>
          <w:tcPr>
            <w:tcW w:w="2972" w:type="dxa"/>
          </w:tcPr>
          <w:p>
            <w:pPr>
              <w:pStyle w:val="TableParagraph"/>
              <w:rPr>
                <w:b/>
                <w:sz w:val="18"/>
              </w:rPr>
            </w:pPr>
          </w:p>
          <w:p>
            <w:pPr>
              <w:pStyle w:val="TableParagraph"/>
              <w:spacing w:before="12"/>
              <w:rPr>
                <w:b/>
                <w:sz w:val="18"/>
              </w:rPr>
            </w:pPr>
          </w:p>
          <w:p>
            <w:pPr>
              <w:pStyle w:val="TableParagraph"/>
              <w:ind w:left="72" w:right="105"/>
              <w:rPr>
                <w:sz w:val="18"/>
              </w:rPr>
            </w:pPr>
            <w:r>
              <w:rPr>
                <w:b/>
                <w:sz w:val="18"/>
              </w:rPr>
              <w:t>Actividad PPPS 1.57.2: </w:t>
            </w:r>
            <w:r>
              <w:rPr>
                <w:sz w:val="18"/>
              </w:rPr>
              <w:t>Implementar el plan de ascenso como</w:t>
            </w:r>
            <w:r>
              <w:rPr>
                <w:spacing w:val="-11"/>
                <w:sz w:val="18"/>
              </w:rPr>
              <w:t> </w:t>
            </w:r>
            <w:r>
              <w:rPr>
                <w:sz w:val="18"/>
              </w:rPr>
              <w:t>medio</w:t>
            </w:r>
            <w:r>
              <w:rPr>
                <w:spacing w:val="-7"/>
                <w:sz w:val="18"/>
              </w:rPr>
              <w:t> </w:t>
            </w:r>
            <w:r>
              <w:rPr>
                <w:sz w:val="18"/>
              </w:rPr>
              <w:t>para</w:t>
            </w:r>
            <w:r>
              <w:rPr>
                <w:spacing w:val="-7"/>
                <w:sz w:val="18"/>
              </w:rPr>
              <w:t> </w:t>
            </w:r>
            <w:r>
              <w:rPr>
                <w:sz w:val="18"/>
              </w:rPr>
              <w:t>la</w:t>
            </w:r>
            <w:r>
              <w:rPr>
                <w:spacing w:val="-3"/>
                <w:sz w:val="18"/>
              </w:rPr>
              <w:t> </w:t>
            </w:r>
            <w:r>
              <w:rPr>
                <w:sz w:val="18"/>
              </w:rPr>
              <w:t>promoción</w:t>
            </w:r>
            <w:r>
              <w:rPr>
                <w:spacing w:val="-7"/>
                <w:sz w:val="18"/>
              </w:rPr>
              <w:t> </w:t>
            </w:r>
            <w:r>
              <w:rPr>
                <w:sz w:val="18"/>
              </w:rPr>
              <w:t>de la movilidad social.</w:t>
            </w:r>
          </w:p>
        </w:tc>
        <w:tc>
          <w:tcPr>
            <w:tcW w:w="1560"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21" w:right="6"/>
              <w:jc w:val="center"/>
              <w:rPr>
                <w:sz w:val="18"/>
              </w:rPr>
            </w:pPr>
            <w:r>
              <w:rPr>
                <w:spacing w:val="-5"/>
                <w:sz w:val="18"/>
              </w:rPr>
              <w:t>NA</w:t>
            </w:r>
          </w:p>
        </w:tc>
        <w:tc>
          <w:tcPr>
            <w:tcW w:w="1560"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21" w:right="16"/>
              <w:jc w:val="center"/>
              <w:rPr>
                <w:sz w:val="18"/>
              </w:rPr>
            </w:pPr>
            <w:r>
              <w:rPr>
                <w:spacing w:val="-5"/>
                <w:sz w:val="18"/>
              </w:rPr>
              <w:t>25%</w:t>
            </w:r>
          </w:p>
        </w:tc>
        <w:tc>
          <w:tcPr>
            <w:tcW w:w="1982" w:type="dxa"/>
          </w:tcPr>
          <w:p>
            <w:pPr>
              <w:pStyle w:val="TableParagraph"/>
              <w:spacing w:before="13"/>
              <w:ind w:left="68" w:right="82"/>
              <w:rPr>
                <w:sz w:val="18"/>
              </w:rPr>
            </w:pPr>
            <w:r>
              <w:rPr>
                <w:sz w:val="18"/>
              </w:rPr>
              <w:t>Tasa de cumplimiento satisfactorio de logros establecidos</w:t>
            </w:r>
            <w:r>
              <w:rPr>
                <w:spacing w:val="-10"/>
                <w:sz w:val="18"/>
              </w:rPr>
              <w:t> </w:t>
            </w:r>
            <w:r>
              <w:rPr>
                <w:sz w:val="18"/>
              </w:rPr>
              <w:t>en</w:t>
            </w:r>
            <w:r>
              <w:rPr>
                <w:spacing w:val="-12"/>
                <w:sz w:val="18"/>
              </w:rPr>
              <w:t> </w:t>
            </w:r>
            <w:r>
              <w:rPr>
                <w:sz w:val="18"/>
              </w:rPr>
              <w:t>el</w:t>
            </w:r>
            <w:r>
              <w:rPr>
                <w:spacing w:val="-13"/>
                <w:sz w:val="18"/>
              </w:rPr>
              <w:t> </w:t>
            </w:r>
            <w:r>
              <w:rPr>
                <w:sz w:val="18"/>
              </w:rPr>
              <w:t>plan de ascenso de una muestra de hogares</w:t>
            </w:r>
            <w:r>
              <w:rPr>
                <w:spacing w:val="40"/>
                <w:sz w:val="18"/>
              </w:rPr>
              <w:t> </w:t>
            </w:r>
            <w:r>
              <w:rPr>
                <w:sz w:val="18"/>
              </w:rPr>
              <w:t>en</w:t>
            </w:r>
            <w:r>
              <w:rPr>
                <w:spacing w:val="-10"/>
                <w:sz w:val="18"/>
              </w:rPr>
              <w:t> </w:t>
            </w:r>
            <w:r>
              <w:rPr>
                <w:sz w:val="18"/>
              </w:rPr>
              <w:t>ruta</w:t>
            </w:r>
            <w:r>
              <w:rPr>
                <w:spacing w:val="-13"/>
                <w:sz w:val="18"/>
              </w:rPr>
              <w:t> </w:t>
            </w:r>
            <w:r>
              <w:rPr>
                <w:sz w:val="18"/>
              </w:rPr>
              <w:t>de</w:t>
            </w:r>
            <w:r>
              <w:rPr>
                <w:spacing w:val="-12"/>
                <w:sz w:val="18"/>
              </w:rPr>
              <w:t> </w:t>
            </w:r>
            <w:r>
              <w:rPr>
                <w:sz w:val="18"/>
              </w:rPr>
              <w:t>intervención </w:t>
            </w:r>
            <w:r>
              <w:rPr>
                <w:spacing w:val="-2"/>
                <w:sz w:val="18"/>
              </w:rPr>
              <w:t>condicionada</w:t>
            </w:r>
          </w:p>
          <w:p>
            <w:pPr>
              <w:pStyle w:val="TableParagraph"/>
              <w:spacing w:line="197" w:lineRule="exact" w:before="1"/>
              <w:ind w:left="68"/>
              <w:rPr>
                <w:sz w:val="18"/>
              </w:rPr>
            </w:pPr>
            <w:r>
              <w:rPr>
                <w:sz w:val="18"/>
              </w:rPr>
              <w:t>ingresados</w:t>
            </w:r>
            <w:r>
              <w:rPr>
                <w:spacing w:val="-1"/>
                <w:sz w:val="18"/>
              </w:rPr>
              <w:t> </w:t>
            </w:r>
            <w:r>
              <w:rPr>
                <w:sz w:val="18"/>
              </w:rPr>
              <w:t>en</w:t>
            </w:r>
            <w:r>
              <w:rPr>
                <w:spacing w:val="-5"/>
                <w:sz w:val="18"/>
              </w:rPr>
              <w:t> </w:t>
            </w:r>
            <w:r>
              <w:rPr>
                <w:spacing w:val="-2"/>
                <w:sz w:val="18"/>
              </w:rPr>
              <w:t>2025.</w:t>
            </w:r>
          </w:p>
        </w:tc>
        <w:tc>
          <w:tcPr>
            <w:tcW w:w="1560" w:type="dxa"/>
          </w:tcPr>
          <w:p>
            <w:pPr>
              <w:pStyle w:val="TableParagraph"/>
              <w:rPr>
                <w:b/>
                <w:sz w:val="18"/>
              </w:rPr>
            </w:pPr>
          </w:p>
          <w:p>
            <w:pPr>
              <w:pStyle w:val="TableParagraph"/>
              <w:rPr>
                <w:b/>
                <w:sz w:val="18"/>
              </w:rPr>
            </w:pPr>
          </w:p>
          <w:p>
            <w:pPr>
              <w:pStyle w:val="TableParagraph"/>
              <w:spacing w:before="11"/>
              <w:rPr>
                <w:b/>
                <w:sz w:val="18"/>
              </w:rPr>
            </w:pPr>
          </w:p>
          <w:p>
            <w:pPr>
              <w:pStyle w:val="TableParagraph"/>
              <w:ind w:left="477" w:right="58" w:hanging="121"/>
              <w:rPr>
                <w:sz w:val="18"/>
              </w:rPr>
            </w:pPr>
            <w:r>
              <w:rPr>
                <w:spacing w:val="-2"/>
                <w:sz w:val="18"/>
              </w:rPr>
              <w:t>Reportería SABEN</w:t>
            </w:r>
          </w:p>
        </w:tc>
        <w:tc>
          <w:tcPr>
            <w:tcW w:w="1416"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17" w:right="10"/>
              <w:jc w:val="center"/>
              <w:rPr>
                <w:sz w:val="18"/>
              </w:rPr>
            </w:pPr>
            <w:r>
              <w:rPr>
                <w:spacing w:val="-5"/>
                <w:sz w:val="18"/>
              </w:rPr>
              <w:t>DDS</w:t>
            </w:r>
          </w:p>
        </w:tc>
        <w:tc>
          <w:tcPr>
            <w:tcW w:w="1649" w:type="dxa"/>
          </w:tcPr>
          <w:p>
            <w:pPr>
              <w:pStyle w:val="TableParagraph"/>
              <w:rPr>
                <w:rFonts w:ascii="Times New Roman"/>
                <w:sz w:val="18"/>
              </w:rPr>
            </w:pPr>
          </w:p>
        </w:tc>
        <w:tc>
          <w:tcPr>
            <w:tcW w:w="1548"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7"/>
        <w:gridCol w:w="1550"/>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7" w:type="dxa"/>
            <w:shd w:val="clear" w:color="auto" w:fill="D9D9D9"/>
          </w:tcPr>
          <w:p>
            <w:pPr>
              <w:pStyle w:val="TableParagraph"/>
              <w:spacing w:before="104"/>
              <w:ind w:left="430" w:hanging="120"/>
              <w:rPr>
                <w:b/>
                <w:sz w:val="18"/>
              </w:rPr>
            </w:pPr>
            <w:r>
              <w:rPr>
                <w:b/>
                <w:spacing w:val="-2"/>
                <w:sz w:val="18"/>
              </w:rPr>
              <w:t>Presupuesto asignado</w:t>
            </w:r>
          </w:p>
        </w:tc>
        <w:tc>
          <w:tcPr>
            <w:tcW w:w="1550" w:type="dxa"/>
            <w:tcBorders>
              <w:bottom w:val="nil"/>
            </w:tcBorders>
            <w:shd w:val="clear" w:color="auto" w:fill="D9D9D9"/>
          </w:tcPr>
          <w:p>
            <w:pPr>
              <w:pStyle w:val="TableParagraph"/>
              <w:spacing w:line="206" w:lineRule="exact"/>
              <w:ind w:left="21" w:right="3"/>
              <w:jc w:val="center"/>
              <w:rPr>
                <w:b/>
                <w:sz w:val="18"/>
              </w:rPr>
            </w:pPr>
            <w:r>
              <w:rPr>
                <w:b/>
                <w:spacing w:val="-2"/>
                <w:sz w:val="18"/>
              </w:rPr>
              <w:t>Riesgos </w:t>
            </w:r>
            <w:r>
              <w:rPr>
                <w:b/>
                <w:sz w:val="18"/>
              </w:rPr>
              <w:t>asociados al </w:t>
            </w:r>
            <w:r>
              <w:rPr>
                <w:b/>
                <w:spacing w:val="-2"/>
                <w:sz w:val="18"/>
              </w:rPr>
              <w:t>cumplimiento</w:t>
            </w:r>
          </w:p>
        </w:tc>
      </w:tr>
      <w:tr>
        <w:trPr>
          <w:trHeight w:val="1449" w:hRule="atLeast"/>
        </w:trPr>
        <w:tc>
          <w:tcPr>
            <w:tcW w:w="2972" w:type="dxa"/>
          </w:tcPr>
          <w:p>
            <w:pPr>
              <w:pStyle w:val="TableParagraph"/>
              <w:spacing w:before="104"/>
              <w:rPr>
                <w:b/>
                <w:sz w:val="18"/>
              </w:rPr>
            </w:pPr>
          </w:p>
          <w:p>
            <w:pPr>
              <w:pStyle w:val="TableParagraph"/>
              <w:ind w:left="72" w:right="105"/>
              <w:rPr>
                <w:sz w:val="18"/>
              </w:rPr>
            </w:pPr>
            <w:r>
              <w:rPr>
                <w:b/>
                <w:sz w:val="18"/>
              </w:rPr>
              <w:t>Actividad PPPS 1.57.3: </w:t>
            </w:r>
            <w:r>
              <w:rPr>
                <w:sz w:val="18"/>
              </w:rPr>
              <w:t>Implementar el plan de ascenso como</w:t>
            </w:r>
            <w:r>
              <w:rPr>
                <w:spacing w:val="-11"/>
                <w:sz w:val="18"/>
              </w:rPr>
              <w:t> </w:t>
            </w:r>
            <w:r>
              <w:rPr>
                <w:sz w:val="18"/>
              </w:rPr>
              <w:t>medio</w:t>
            </w:r>
            <w:r>
              <w:rPr>
                <w:spacing w:val="-7"/>
                <w:sz w:val="18"/>
              </w:rPr>
              <w:t> </w:t>
            </w:r>
            <w:r>
              <w:rPr>
                <w:sz w:val="18"/>
              </w:rPr>
              <w:t>para</w:t>
            </w:r>
            <w:r>
              <w:rPr>
                <w:spacing w:val="-7"/>
                <w:sz w:val="18"/>
              </w:rPr>
              <w:t> </w:t>
            </w:r>
            <w:r>
              <w:rPr>
                <w:sz w:val="18"/>
              </w:rPr>
              <w:t>la</w:t>
            </w:r>
            <w:r>
              <w:rPr>
                <w:spacing w:val="-3"/>
                <w:sz w:val="18"/>
              </w:rPr>
              <w:t> </w:t>
            </w:r>
            <w:r>
              <w:rPr>
                <w:sz w:val="18"/>
              </w:rPr>
              <w:t>promoción</w:t>
            </w:r>
            <w:r>
              <w:rPr>
                <w:spacing w:val="-7"/>
                <w:sz w:val="18"/>
              </w:rPr>
              <w:t> </w:t>
            </w:r>
            <w:r>
              <w:rPr>
                <w:sz w:val="18"/>
              </w:rPr>
              <w:t>de la movilidad social.</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6"/>
              <w:jc w:val="center"/>
              <w:rPr>
                <w:sz w:val="18"/>
              </w:rPr>
            </w:pPr>
            <w:r>
              <w:rPr>
                <w:spacing w:val="-5"/>
                <w:sz w:val="18"/>
              </w:rPr>
              <w:t>NA</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6"/>
              <w:jc w:val="center"/>
              <w:rPr>
                <w:sz w:val="18"/>
              </w:rPr>
            </w:pPr>
            <w:r>
              <w:rPr>
                <w:spacing w:val="-5"/>
                <w:sz w:val="18"/>
              </w:rPr>
              <w:t>15%</w:t>
            </w:r>
          </w:p>
        </w:tc>
        <w:tc>
          <w:tcPr>
            <w:tcW w:w="1982" w:type="dxa"/>
          </w:tcPr>
          <w:p>
            <w:pPr>
              <w:pStyle w:val="TableParagraph"/>
              <w:spacing w:before="3"/>
              <w:ind w:left="68" w:right="88"/>
              <w:rPr>
                <w:sz w:val="18"/>
              </w:rPr>
            </w:pPr>
            <w:r>
              <w:rPr>
                <w:sz w:val="18"/>
              </w:rPr>
              <w:t>Tasa de </w:t>
            </w:r>
            <w:r>
              <w:rPr>
                <w:spacing w:val="-2"/>
                <w:sz w:val="18"/>
              </w:rPr>
              <w:t>incumplimiento </w:t>
            </w:r>
            <w:r>
              <w:rPr>
                <w:sz w:val="18"/>
              </w:rPr>
              <w:t>injustificado y manifiesto</w:t>
            </w:r>
            <w:r>
              <w:rPr>
                <w:spacing w:val="-11"/>
                <w:sz w:val="18"/>
              </w:rPr>
              <w:t> </w:t>
            </w:r>
            <w:r>
              <w:rPr>
                <w:sz w:val="18"/>
              </w:rPr>
              <w:t>en</w:t>
            </w:r>
            <w:r>
              <w:rPr>
                <w:spacing w:val="-11"/>
                <w:sz w:val="18"/>
              </w:rPr>
              <w:t> </w:t>
            </w:r>
            <w:r>
              <w:rPr>
                <w:sz w:val="18"/>
              </w:rPr>
              <w:t>el</w:t>
            </w:r>
            <w:r>
              <w:rPr>
                <w:spacing w:val="-13"/>
                <w:sz w:val="18"/>
              </w:rPr>
              <w:t> </w:t>
            </w:r>
            <w:r>
              <w:rPr>
                <w:sz w:val="18"/>
              </w:rPr>
              <w:t>marco del Modelo de </w:t>
            </w:r>
            <w:r>
              <w:rPr>
                <w:spacing w:val="-2"/>
                <w:sz w:val="18"/>
              </w:rPr>
              <w:t>Intervención</w:t>
            </w:r>
          </w:p>
          <w:p>
            <w:pPr>
              <w:pStyle w:val="TableParagraph"/>
              <w:spacing w:line="184" w:lineRule="exact"/>
              <w:ind w:left="68"/>
              <w:rPr>
                <w:sz w:val="18"/>
              </w:rPr>
            </w:pPr>
            <w:r>
              <w:rPr>
                <w:spacing w:val="-2"/>
                <w:sz w:val="18"/>
              </w:rPr>
              <w:t>Institucional.</w:t>
            </w:r>
          </w:p>
        </w:tc>
        <w:tc>
          <w:tcPr>
            <w:tcW w:w="1560" w:type="dxa"/>
          </w:tcPr>
          <w:p>
            <w:pPr>
              <w:pStyle w:val="TableParagraph"/>
              <w:rPr>
                <w:b/>
                <w:sz w:val="18"/>
              </w:rPr>
            </w:pPr>
          </w:p>
          <w:p>
            <w:pPr>
              <w:pStyle w:val="TableParagraph"/>
              <w:spacing w:before="104"/>
              <w:rPr>
                <w:b/>
                <w:sz w:val="18"/>
              </w:rPr>
            </w:pPr>
          </w:p>
          <w:p>
            <w:pPr>
              <w:pStyle w:val="TableParagraph"/>
              <w:ind w:left="477" w:right="58" w:hanging="121"/>
              <w:rPr>
                <w:sz w:val="18"/>
              </w:rPr>
            </w:pPr>
            <w:r>
              <w:rPr>
                <w:spacing w:val="-2"/>
                <w:sz w:val="18"/>
              </w:rPr>
              <w:t>Reportería SABEN</w:t>
            </w:r>
          </w:p>
        </w:tc>
        <w:tc>
          <w:tcPr>
            <w:tcW w:w="141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7" w:right="10"/>
              <w:jc w:val="center"/>
              <w:rPr>
                <w:sz w:val="18"/>
              </w:rPr>
            </w:pPr>
            <w:r>
              <w:rPr>
                <w:spacing w:val="-5"/>
                <w:sz w:val="18"/>
              </w:rPr>
              <w:t>DDS</w:t>
            </w:r>
          </w:p>
        </w:tc>
        <w:tc>
          <w:tcPr>
            <w:tcW w:w="1647" w:type="dxa"/>
          </w:tcPr>
          <w:p>
            <w:pPr>
              <w:pStyle w:val="TableParagraph"/>
              <w:rPr>
                <w:rFonts w:ascii="Times New Roman"/>
                <w:sz w:val="18"/>
              </w:rPr>
            </w:pPr>
          </w:p>
        </w:tc>
        <w:tc>
          <w:tcPr>
            <w:tcW w:w="1550" w:type="dxa"/>
            <w:vMerge w:val="restart"/>
            <w:tcBorders>
              <w:top w:val="nil"/>
            </w:tcBorders>
          </w:tcPr>
          <w:p>
            <w:pPr>
              <w:pStyle w:val="TableParagraph"/>
              <w:spacing w:before="3"/>
              <w:ind w:left="74" w:right="58"/>
              <w:rPr>
                <w:sz w:val="18"/>
              </w:rPr>
            </w:pPr>
            <w:r>
              <w:rPr>
                <w:sz w:val="18"/>
              </w:rPr>
              <w:t>promoción social </w:t>
            </w:r>
            <w:r>
              <w:rPr>
                <w:spacing w:val="-2"/>
                <w:sz w:val="18"/>
              </w:rPr>
              <w:t>prioritaria, </w:t>
            </w:r>
            <w:r>
              <w:rPr>
                <w:sz w:val="18"/>
              </w:rPr>
              <w:t>oportuna,</w:t>
            </w:r>
            <w:r>
              <w:rPr>
                <w:spacing w:val="-13"/>
                <w:sz w:val="18"/>
              </w:rPr>
              <w:t> </w:t>
            </w:r>
            <w:r>
              <w:rPr>
                <w:sz w:val="18"/>
              </w:rPr>
              <w:t>integral y de calidad.</w:t>
            </w:r>
          </w:p>
          <w:p>
            <w:pPr>
              <w:pStyle w:val="TableParagraph"/>
              <w:numPr>
                <w:ilvl w:val="0"/>
                <w:numId w:val="95"/>
              </w:numPr>
              <w:tabs>
                <w:tab w:pos="135" w:val="left" w:leader="none"/>
              </w:tabs>
              <w:spacing w:line="240" w:lineRule="auto" w:before="0" w:after="0"/>
              <w:ind w:left="74" w:right="94" w:firstLine="0"/>
              <w:jc w:val="left"/>
              <w:rPr>
                <w:sz w:val="18"/>
              </w:rPr>
            </w:pPr>
            <w:r>
              <w:rPr>
                <w:sz w:val="18"/>
              </w:rPr>
              <w:t>Imposibilidad</w:t>
            </w:r>
            <w:r>
              <w:rPr>
                <w:spacing w:val="-13"/>
                <w:sz w:val="18"/>
              </w:rPr>
              <w:t> </w:t>
            </w:r>
            <w:r>
              <w:rPr>
                <w:sz w:val="18"/>
              </w:rPr>
              <w:t>de realizar un proceso de seguimiento y trazabilidad de los hogares atendidos, de acuerdo con su </w:t>
            </w:r>
            <w:r>
              <w:rPr>
                <w:spacing w:val="-2"/>
                <w:sz w:val="18"/>
              </w:rPr>
              <w:t>perfil.</w:t>
            </w:r>
          </w:p>
        </w:tc>
      </w:tr>
      <w:tr>
        <w:trPr>
          <w:trHeight w:val="2486" w:hRule="atLeast"/>
        </w:trPr>
        <w:tc>
          <w:tcPr>
            <w:tcW w:w="2972"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2" w:right="123"/>
              <w:rPr>
                <w:sz w:val="18"/>
              </w:rPr>
            </w:pPr>
            <w:r>
              <w:rPr>
                <w:b/>
                <w:sz w:val="18"/>
              </w:rPr>
              <w:t>Actividad PPPS 1.57.4: </w:t>
            </w:r>
            <w:r>
              <w:rPr>
                <w:sz w:val="18"/>
              </w:rPr>
              <w:t>Desarrollo de procesos de seguimiento para el cumplimiento de logros establecidos en el plan de</w:t>
            </w:r>
            <w:r>
              <w:rPr>
                <w:spacing w:val="-4"/>
                <w:sz w:val="18"/>
              </w:rPr>
              <w:t> </w:t>
            </w:r>
            <w:r>
              <w:rPr>
                <w:sz w:val="18"/>
              </w:rPr>
              <w:t>ascenso</w:t>
            </w:r>
            <w:r>
              <w:rPr>
                <w:spacing w:val="-8"/>
                <w:sz w:val="18"/>
              </w:rPr>
              <w:t> </w:t>
            </w:r>
            <w:r>
              <w:rPr>
                <w:sz w:val="18"/>
              </w:rPr>
              <w:t>de</w:t>
            </w:r>
            <w:r>
              <w:rPr>
                <w:spacing w:val="-8"/>
                <w:sz w:val="18"/>
              </w:rPr>
              <w:t> </w:t>
            </w:r>
            <w:r>
              <w:rPr>
                <w:sz w:val="18"/>
              </w:rPr>
              <w:t>los</w:t>
            </w:r>
            <w:r>
              <w:rPr>
                <w:spacing w:val="-3"/>
                <w:sz w:val="18"/>
              </w:rPr>
              <w:t> </w:t>
            </w:r>
            <w:r>
              <w:rPr>
                <w:sz w:val="18"/>
              </w:rPr>
              <w:t>hogares</w:t>
            </w:r>
            <w:r>
              <w:rPr>
                <w:spacing w:val="-8"/>
                <w:sz w:val="18"/>
              </w:rPr>
              <w:t> </w:t>
            </w:r>
            <w:r>
              <w:rPr>
                <w:sz w:val="18"/>
              </w:rPr>
              <w:t>en</w:t>
            </w:r>
            <w:r>
              <w:rPr>
                <w:spacing w:val="-8"/>
                <w:sz w:val="18"/>
              </w:rPr>
              <w:t> </w:t>
            </w:r>
            <w:r>
              <w:rPr>
                <w:sz w:val="18"/>
              </w:rPr>
              <w:t>ruta de intervención condicionada.</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spacing w:before="1"/>
              <w:ind w:left="21" w:right="6"/>
              <w:jc w:val="center"/>
              <w:rPr>
                <w:sz w:val="18"/>
              </w:rPr>
            </w:pPr>
            <w:r>
              <w:rPr>
                <w:spacing w:val="-5"/>
                <w:sz w:val="18"/>
              </w:rPr>
              <w:t>NA</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spacing w:before="1"/>
              <w:ind w:left="21" w:right="16"/>
              <w:jc w:val="center"/>
              <w:rPr>
                <w:sz w:val="18"/>
              </w:rPr>
            </w:pPr>
            <w:r>
              <w:rPr>
                <w:spacing w:val="-5"/>
                <w:sz w:val="18"/>
              </w:rPr>
              <w:t>70%</w:t>
            </w:r>
          </w:p>
        </w:tc>
        <w:tc>
          <w:tcPr>
            <w:tcW w:w="1982" w:type="dxa"/>
          </w:tcPr>
          <w:p>
            <w:pPr>
              <w:pStyle w:val="TableParagraph"/>
              <w:ind w:left="68" w:right="127"/>
              <w:rPr>
                <w:sz w:val="18"/>
              </w:rPr>
            </w:pPr>
            <w:r>
              <w:rPr>
                <w:sz w:val="18"/>
              </w:rPr>
              <w:t>Porcentaje de personas</w:t>
            </w:r>
            <w:r>
              <w:rPr>
                <w:spacing w:val="-15"/>
                <w:sz w:val="18"/>
              </w:rPr>
              <w:t> </w:t>
            </w:r>
            <w:r>
              <w:rPr>
                <w:sz w:val="18"/>
              </w:rPr>
              <w:t>menores</w:t>
            </w:r>
            <w:r>
              <w:rPr>
                <w:spacing w:val="-12"/>
                <w:sz w:val="18"/>
              </w:rPr>
              <w:t> </w:t>
            </w:r>
            <w:r>
              <w:rPr>
                <w:sz w:val="18"/>
              </w:rPr>
              <w:t>de edad vinculadas al Modelo de </w:t>
            </w:r>
            <w:r>
              <w:rPr>
                <w:spacing w:val="-2"/>
                <w:sz w:val="18"/>
              </w:rPr>
              <w:t>Intervención </w:t>
            </w:r>
            <w:r>
              <w:rPr>
                <w:sz w:val="18"/>
              </w:rPr>
              <w:t>Institucional</w:t>
            </w:r>
            <w:r>
              <w:rPr>
                <w:spacing w:val="-1"/>
                <w:sz w:val="18"/>
              </w:rPr>
              <w:t> </w:t>
            </w:r>
            <w:r>
              <w:rPr>
                <w:sz w:val="18"/>
              </w:rPr>
              <w:t>con inclusión y/o permanencia en el sistema educativo formal</w:t>
            </w:r>
            <w:r>
              <w:rPr>
                <w:spacing w:val="-1"/>
                <w:sz w:val="18"/>
              </w:rPr>
              <w:t> </w:t>
            </w:r>
            <w:r>
              <w:rPr>
                <w:sz w:val="18"/>
              </w:rPr>
              <w:t>(educación</w:t>
            </w:r>
          </w:p>
          <w:p>
            <w:pPr>
              <w:pStyle w:val="TableParagraph"/>
              <w:spacing w:line="206" w:lineRule="exact"/>
              <w:ind w:left="68"/>
              <w:rPr>
                <w:sz w:val="18"/>
              </w:rPr>
            </w:pPr>
            <w:r>
              <w:rPr>
                <w:sz w:val="18"/>
              </w:rPr>
              <w:t>preescolar</w:t>
            </w:r>
            <w:r>
              <w:rPr>
                <w:spacing w:val="-15"/>
                <w:sz w:val="18"/>
              </w:rPr>
              <w:t> </w:t>
            </w:r>
            <w:r>
              <w:rPr>
                <w:sz w:val="18"/>
              </w:rPr>
              <w:t>y</w:t>
            </w:r>
            <w:r>
              <w:rPr>
                <w:spacing w:val="-12"/>
                <w:sz w:val="18"/>
              </w:rPr>
              <w:t> </w:t>
            </w:r>
            <w:r>
              <w:rPr>
                <w:sz w:val="18"/>
              </w:rPr>
              <w:t>general </w:t>
            </w:r>
            <w:r>
              <w:rPr>
                <w:spacing w:val="-2"/>
                <w:sz w:val="18"/>
              </w:rPr>
              <w:t>básica).</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477" w:right="58" w:hanging="121"/>
              <w:rPr>
                <w:sz w:val="18"/>
              </w:rPr>
            </w:pPr>
            <w:r>
              <w:rPr>
                <w:spacing w:val="-2"/>
                <w:sz w:val="18"/>
              </w:rPr>
              <w:t>Reportería SABEN</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spacing w:before="1"/>
              <w:ind w:left="17" w:right="6"/>
              <w:jc w:val="center"/>
              <w:rPr>
                <w:sz w:val="18"/>
              </w:rPr>
            </w:pPr>
            <w:r>
              <w:rPr>
                <w:spacing w:val="-4"/>
                <w:sz w:val="18"/>
              </w:rPr>
              <w:t>DDSE</w:t>
            </w:r>
          </w:p>
        </w:tc>
        <w:tc>
          <w:tcPr>
            <w:tcW w:w="1647" w:type="dxa"/>
          </w:tcPr>
          <w:p>
            <w:pPr>
              <w:pStyle w:val="TableParagraph"/>
              <w:rPr>
                <w:rFonts w:ascii="Times New Roman"/>
                <w:sz w:val="18"/>
              </w:rPr>
            </w:pPr>
          </w:p>
        </w:tc>
        <w:tc>
          <w:tcPr>
            <w:tcW w:w="1550" w:type="dxa"/>
            <w:vMerge/>
            <w:tcBorders>
              <w:top w:val="nil"/>
            </w:tcBorders>
          </w:tcPr>
          <w:p>
            <w:pPr>
              <w:rPr>
                <w:sz w:val="2"/>
                <w:szCs w:val="2"/>
              </w:rPr>
            </w:pPr>
          </w:p>
        </w:tc>
      </w:tr>
      <w:tr>
        <w:trPr>
          <w:trHeight w:val="2069" w:hRule="atLeast"/>
        </w:trPr>
        <w:tc>
          <w:tcPr>
            <w:tcW w:w="2972" w:type="dxa"/>
          </w:tcPr>
          <w:p>
            <w:pPr>
              <w:pStyle w:val="TableParagraph"/>
              <w:spacing w:before="205"/>
              <w:rPr>
                <w:b/>
                <w:sz w:val="18"/>
              </w:rPr>
            </w:pPr>
          </w:p>
          <w:p>
            <w:pPr>
              <w:pStyle w:val="TableParagraph"/>
              <w:ind w:left="72" w:right="123"/>
              <w:rPr>
                <w:sz w:val="18"/>
              </w:rPr>
            </w:pPr>
            <w:r>
              <w:rPr>
                <w:b/>
                <w:sz w:val="18"/>
              </w:rPr>
              <w:t>Actividad PPPS 1.57.5: </w:t>
            </w:r>
            <w:r>
              <w:rPr>
                <w:sz w:val="18"/>
              </w:rPr>
              <w:t>Desarrollo de procesos de seguimiento para el cumplimiento de logros establecidos en el plan de</w:t>
            </w:r>
            <w:r>
              <w:rPr>
                <w:spacing w:val="-4"/>
                <w:sz w:val="18"/>
              </w:rPr>
              <w:t> </w:t>
            </w:r>
            <w:r>
              <w:rPr>
                <w:sz w:val="18"/>
              </w:rPr>
              <w:t>ascenso</w:t>
            </w:r>
            <w:r>
              <w:rPr>
                <w:spacing w:val="-8"/>
                <w:sz w:val="18"/>
              </w:rPr>
              <w:t> </w:t>
            </w:r>
            <w:r>
              <w:rPr>
                <w:sz w:val="18"/>
              </w:rPr>
              <w:t>de</w:t>
            </w:r>
            <w:r>
              <w:rPr>
                <w:spacing w:val="-8"/>
                <w:sz w:val="18"/>
              </w:rPr>
              <w:t> </w:t>
            </w:r>
            <w:r>
              <w:rPr>
                <w:sz w:val="18"/>
              </w:rPr>
              <w:t>los</w:t>
            </w:r>
            <w:r>
              <w:rPr>
                <w:spacing w:val="-3"/>
                <w:sz w:val="18"/>
              </w:rPr>
              <w:t> </w:t>
            </w:r>
            <w:r>
              <w:rPr>
                <w:sz w:val="18"/>
              </w:rPr>
              <w:t>hogares</w:t>
            </w:r>
            <w:r>
              <w:rPr>
                <w:spacing w:val="-8"/>
                <w:sz w:val="18"/>
              </w:rPr>
              <w:t> </w:t>
            </w:r>
            <w:r>
              <w:rPr>
                <w:sz w:val="18"/>
              </w:rPr>
              <w:t>en</w:t>
            </w:r>
            <w:r>
              <w:rPr>
                <w:spacing w:val="-8"/>
                <w:sz w:val="18"/>
              </w:rPr>
              <w:t> </w:t>
            </w:r>
            <w:r>
              <w:rPr>
                <w:sz w:val="18"/>
              </w:rPr>
              <w:t>ruta de intervención condicionada.</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6"/>
              <w:jc w:val="center"/>
              <w:rPr>
                <w:sz w:val="18"/>
              </w:rPr>
            </w:pPr>
            <w:r>
              <w:rPr>
                <w:spacing w:val="-5"/>
                <w:sz w:val="18"/>
              </w:rPr>
              <w:t>NA</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1" w:right="16"/>
              <w:jc w:val="center"/>
              <w:rPr>
                <w:sz w:val="18"/>
              </w:rPr>
            </w:pPr>
            <w:r>
              <w:rPr>
                <w:spacing w:val="-5"/>
                <w:sz w:val="18"/>
              </w:rPr>
              <w:t>15%</w:t>
            </w:r>
          </w:p>
        </w:tc>
        <w:tc>
          <w:tcPr>
            <w:tcW w:w="1982" w:type="dxa"/>
          </w:tcPr>
          <w:p>
            <w:pPr>
              <w:pStyle w:val="TableParagraph"/>
              <w:ind w:left="68" w:right="57"/>
              <w:rPr>
                <w:sz w:val="18"/>
              </w:rPr>
            </w:pPr>
            <w:r>
              <w:rPr>
                <w:sz w:val="18"/>
              </w:rPr>
              <w:t>Tasa de personas mayores de edad incorporadas en el Modelo de</w:t>
            </w:r>
            <w:r>
              <w:rPr>
                <w:spacing w:val="80"/>
                <w:sz w:val="18"/>
              </w:rPr>
              <w:t> </w:t>
            </w:r>
            <w:r>
              <w:rPr>
                <w:spacing w:val="-2"/>
                <w:sz w:val="18"/>
              </w:rPr>
              <w:t>Intervención </w:t>
            </w:r>
            <w:r>
              <w:rPr>
                <w:sz w:val="18"/>
              </w:rPr>
              <w:t>Institucional</w:t>
            </w:r>
            <w:r>
              <w:rPr>
                <w:spacing w:val="-1"/>
                <w:sz w:val="18"/>
              </w:rPr>
              <w:t> </w:t>
            </w:r>
            <w:r>
              <w:rPr>
                <w:sz w:val="18"/>
              </w:rPr>
              <w:t>que</w:t>
            </w:r>
            <w:r>
              <w:rPr>
                <w:spacing w:val="40"/>
                <w:sz w:val="18"/>
              </w:rPr>
              <w:t> </w:t>
            </w:r>
            <w:r>
              <w:rPr>
                <w:sz w:val="18"/>
              </w:rPr>
              <w:t>logran</w:t>
            </w:r>
            <w:r>
              <w:rPr>
                <w:spacing w:val="-12"/>
                <w:sz w:val="18"/>
              </w:rPr>
              <w:t> </w:t>
            </w:r>
            <w:r>
              <w:rPr>
                <w:sz w:val="18"/>
              </w:rPr>
              <w:t>mejorar</w:t>
            </w:r>
            <w:r>
              <w:rPr>
                <w:spacing w:val="-11"/>
                <w:sz w:val="18"/>
              </w:rPr>
              <w:t> </w:t>
            </w:r>
            <w:r>
              <w:rPr>
                <w:sz w:val="18"/>
              </w:rPr>
              <w:t>su</w:t>
            </w:r>
            <w:r>
              <w:rPr>
                <w:spacing w:val="-12"/>
                <w:sz w:val="18"/>
              </w:rPr>
              <w:t> </w:t>
            </w:r>
            <w:r>
              <w:rPr>
                <w:sz w:val="18"/>
              </w:rPr>
              <w:t>perfil empleable mediante procesos de</w:t>
            </w:r>
          </w:p>
          <w:p>
            <w:pPr>
              <w:pStyle w:val="TableParagraph"/>
              <w:spacing w:line="187" w:lineRule="exact"/>
              <w:ind w:left="68"/>
              <w:rPr>
                <w:sz w:val="18"/>
              </w:rPr>
            </w:pPr>
            <w:r>
              <w:rPr>
                <w:spacing w:val="-2"/>
                <w:sz w:val="18"/>
              </w:rPr>
              <w:t>capacitación.</w:t>
            </w:r>
          </w:p>
        </w:tc>
        <w:tc>
          <w:tcPr>
            <w:tcW w:w="1560" w:type="dxa"/>
          </w:tcPr>
          <w:p>
            <w:pPr>
              <w:pStyle w:val="TableParagraph"/>
              <w:rPr>
                <w:b/>
                <w:sz w:val="18"/>
              </w:rPr>
            </w:pPr>
          </w:p>
          <w:p>
            <w:pPr>
              <w:pStyle w:val="TableParagraph"/>
              <w:rPr>
                <w:b/>
                <w:sz w:val="18"/>
              </w:rPr>
            </w:pPr>
          </w:p>
          <w:p>
            <w:pPr>
              <w:pStyle w:val="TableParagraph"/>
              <w:spacing w:before="204"/>
              <w:rPr>
                <w:b/>
                <w:sz w:val="18"/>
              </w:rPr>
            </w:pPr>
          </w:p>
          <w:p>
            <w:pPr>
              <w:pStyle w:val="TableParagraph"/>
              <w:spacing w:line="244" w:lineRule="auto"/>
              <w:ind w:left="477" w:right="58" w:hanging="121"/>
              <w:rPr>
                <w:sz w:val="18"/>
              </w:rPr>
            </w:pPr>
            <w:r>
              <w:rPr>
                <w:spacing w:val="-2"/>
                <w:sz w:val="18"/>
              </w:rPr>
              <w:t>Reportería SABEN</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7" w:right="10"/>
              <w:jc w:val="center"/>
              <w:rPr>
                <w:sz w:val="18"/>
              </w:rPr>
            </w:pPr>
            <w:r>
              <w:rPr>
                <w:spacing w:val="-2"/>
                <w:sz w:val="18"/>
              </w:rPr>
              <w:t>DDSPC</w:t>
            </w:r>
          </w:p>
        </w:tc>
        <w:tc>
          <w:tcPr>
            <w:tcW w:w="1647" w:type="dxa"/>
          </w:tcPr>
          <w:p>
            <w:pPr>
              <w:pStyle w:val="TableParagraph"/>
              <w:rPr>
                <w:rFonts w:ascii="Times New Roman"/>
                <w:sz w:val="18"/>
              </w:rPr>
            </w:pPr>
          </w:p>
        </w:tc>
        <w:tc>
          <w:tcPr>
            <w:tcW w:w="1550" w:type="dxa"/>
            <w:vMerge/>
            <w:tcBorders>
              <w:top w:val="nil"/>
            </w:tcBorders>
          </w:tcPr>
          <w:p>
            <w:pPr>
              <w:rPr>
                <w:sz w:val="2"/>
                <w:szCs w:val="2"/>
              </w:rPr>
            </w:pPr>
          </w:p>
        </w:tc>
      </w:tr>
      <w:tr>
        <w:trPr>
          <w:trHeight w:val="1656" w:hRule="atLeast"/>
        </w:trPr>
        <w:tc>
          <w:tcPr>
            <w:tcW w:w="2972" w:type="dxa"/>
          </w:tcPr>
          <w:p>
            <w:pPr>
              <w:pStyle w:val="TableParagraph"/>
              <w:spacing w:before="206"/>
              <w:ind w:left="72" w:right="123"/>
              <w:rPr>
                <w:sz w:val="18"/>
              </w:rPr>
            </w:pPr>
            <w:r>
              <w:rPr>
                <w:b/>
                <w:sz w:val="18"/>
              </w:rPr>
              <w:t>Actividad PPPS 1.57.6: </w:t>
            </w:r>
            <w:r>
              <w:rPr>
                <w:sz w:val="18"/>
              </w:rPr>
              <w:t>Desarrollo de procesos de seguimiento para el cumplimiento de logros establecidos en el plan de</w:t>
            </w:r>
            <w:r>
              <w:rPr>
                <w:spacing w:val="-4"/>
                <w:sz w:val="18"/>
              </w:rPr>
              <w:t> </w:t>
            </w:r>
            <w:r>
              <w:rPr>
                <w:sz w:val="18"/>
              </w:rPr>
              <w:t>ascenso</w:t>
            </w:r>
            <w:r>
              <w:rPr>
                <w:spacing w:val="-8"/>
                <w:sz w:val="18"/>
              </w:rPr>
              <w:t> </w:t>
            </w:r>
            <w:r>
              <w:rPr>
                <w:sz w:val="18"/>
              </w:rPr>
              <w:t>de</w:t>
            </w:r>
            <w:r>
              <w:rPr>
                <w:spacing w:val="-8"/>
                <w:sz w:val="18"/>
              </w:rPr>
              <w:t> </w:t>
            </w:r>
            <w:r>
              <w:rPr>
                <w:sz w:val="18"/>
              </w:rPr>
              <w:t>los</w:t>
            </w:r>
            <w:r>
              <w:rPr>
                <w:spacing w:val="-3"/>
                <w:sz w:val="18"/>
              </w:rPr>
              <w:t> </w:t>
            </w:r>
            <w:r>
              <w:rPr>
                <w:sz w:val="18"/>
              </w:rPr>
              <w:t>hogares</w:t>
            </w:r>
            <w:r>
              <w:rPr>
                <w:spacing w:val="-8"/>
                <w:sz w:val="18"/>
              </w:rPr>
              <w:t> </w:t>
            </w:r>
            <w:r>
              <w:rPr>
                <w:sz w:val="18"/>
              </w:rPr>
              <w:t>en</w:t>
            </w:r>
            <w:r>
              <w:rPr>
                <w:spacing w:val="-8"/>
                <w:sz w:val="18"/>
              </w:rPr>
              <w:t> </w:t>
            </w:r>
            <w:r>
              <w:rPr>
                <w:sz w:val="18"/>
              </w:rPr>
              <w:t>ruta de intervención condicionada.</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6"/>
              <w:jc w:val="center"/>
              <w:rPr>
                <w:sz w:val="18"/>
              </w:rPr>
            </w:pPr>
            <w:r>
              <w:rPr>
                <w:spacing w:val="-5"/>
                <w:sz w:val="18"/>
              </w:rPr>
              <w:t>NA</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6"/>
              <w:jc w:val="center"/>
              <w:rPr>
                <w:sz w:val="18"/>
              </w:rPr>
            </w:pPr>
            <w:r>
              <w:rPr>
                <w:spacing w:val="-5"/>
                <w:sz w:val="18"/>
              </w:rPr>
              <w:t>15%</w:t>
            </w:r>
          </w:p>
        </w:tc>
        <w:tc>
          <w:tcPr>
            <w:tcW w:w="1982" w:type="dxa"/>
          </w:tcPr>
          <w:p>
            <w:pPr>
              <w:pStyle w:val="TableParagraph"/>
              <w:ind w:left="68" w:right="114"/>
              <w:rPr>
                <w:sz w:val="18"/>
              </w:rPr>
            </w:pPr>
            <w:r>
              <w:rPr>
                <w:sz w:val="18"/>
              </w:rPr>
              <w:t>Tasa de personas mayores</w:t>
            </w:r>
            <w:r>
              <w:rPr>
                <w:spacing w:val="-11"/>
                <w:sz w:val="18"/>
              </w:rPr>
              <w:t> </w:t>
            </w:r>
            <w:r>
              <w:rPr>
                <w:sz w:val="18"/>
              </w:rPr>
              <w:t>de</w:t>
            </w:r>
            <w:r>
              <w:rPr>
                <w:spacing w:val="-11"/>
                <w:sz w:val="18"/>
              </w:rPr>
              <w:t> </w:t>
            </w:r>
            <w:r>
              <w:rPr>
                <w:sz w:val="18"/>
              </w:rPr>
              <w:t>edad</w:t>
            </w:r>
            <w:r>
              <w:rPr>
                <w:spacing w:val="-11"/>
                <w:sz w:val="18"/>
              </w:rPr>
              <w:t> </w:t>
            </w:r>
            <w:r>
              <w:rPr>
                <w:sz w:val="18"/>
              </w:rPr>
              <w:t>con perfil de empresariedad con acceso a financiamiento, que</w:t>
            </w:r>
          </w:p>
          <w:p>
            <w:pPr>
              <w:pStyle w:val="TableParagraph"/>
              <w:spacing w:line="200" w:lineRule="atLeast"/>
              <w:ind w:left="68" w:right="114"/>
              <w:rPr>
                <w:sz w:val="18"/>
              </w:rPr>
            </w:pPr>
            <w:r>
              <w:rPr>
                <w:sz w:val="18"/>
              </w:rPr>
              <w:t>logran</w:t>
            </w:r>
            <w:r>
              <w:rPr>
                <w:spacing w:val="-12"/>
                <w:sz w:val="18"/>
              </w:rPr>
              <w:t> </w:t>
            </w:r>
            <w:r>
              <w:rPr>
                <w:sz w:val="18"/>
              </w:rPr>
              <w:t>una</w:t>
            </w:r>
            <w:r>
              <w:rPr>
                <w:spacing w:val="-12"/>
                <w:sz w:val="18"/>
              </w:rPr>
              <w:t> </w:t>
            </w:r>
            <w:r>
              <w:rPr>
                <w:sz w:val="18"/>
              </w:rPr>
              <w:t>mejora</w:t>
            </w:r>
            <w:r>
              <w:rPr>
                <w:spacing w:val="-12"/>
                <w:sz w:val="18"/>
              </w:rPr>
              <w:t> </w:t>
            </w:r>
            <w:r>
              <w:rPr>
                <w:sz w:val="18"/>
              </w:rPr>
              <w:t>en su emprendimiento.</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477" w:right="58" w:hanging="121"/>
              <w:rPr>
                <w:sz w:val="18"/>
              </w:rPr>
            </w:pPr>
            <w:r>
              <w:rPr>
                <w:spacing w:val="-2"/>
                <w:sz w:val="18"/>
              </w:rPr>
              <w:t>Reportería SABEN</w:t>
            </w:r>
          </w:p>
        </w:tc>
        <w:tc>
          <w:tcPr>
            <w:tcW w:w="141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7" w:right="10"/>
              <w:jc w:val="center"/>
              <w:rPr>
                <w:sz w:val="18"/>
              </w:rPr>
            </w:pPr>
            <w:r>
              <w:rPr>
                <w:spacing w:val="-2"/>
                <w:sz w:val="18"/>
              </w:rPr>
              <w:t>DDSPC</w:t>
            </w:r>
          </w:p>
        </w:tc>
        <w:tc>
          <w:tcPr>
            <w:tcW w:w="1647" w:type="dxa"/>
          </w:tcPr>
          <w:p>
            <w:pPr>
              <w:pStyle w:val="TableParagraph"/>
              <w:rPr>
                <w:rFonts w:ascii="Times New Roman"/>
                <w:sz w:val="18"/>
              </w:rPr>
            </w:pPr>
          </w:p>
        </w:tc>
        <w:tc>
          <w:tcPr>
            <w:tcW w:w="1550"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892"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560"/>
        <w:gridCol w:w="1560"/>
        <w:gridCol w:w="1982"/>
        <w:gridCol w:w="1560"/>
        <w:gridCol w:w="1416"/>
        <w:gridCol w:w="1649"/>
        <w:gridCol w:w="1548"/>
      </w:tblGrid>
      <w:tr>
        <w:trPr>
          <w:trHeight w:val="618" w:hRule="atLeast"/>
        </w:trPr>
        <w:tc>
          <w:tcPr>
            <w:tcW w:w="2972" w:type="dxa"/>
            <w:shd w:val="clear" w:color="auto" w:fill="D9D9D9"/>
          </w:tcPr>
          <w:p>
            <w:pPr>
              <w:pStyle w:val="TableParagraph"/>
              <w:spacing w:before="205"/>
              <w:ind w:left="518"/>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9D9D9"/>
          </w:tcPr>
          <w:p>
            <w:pPr>
              <w:pStyle w:val="TableParagraph"/>
              <w:spacing w:before="104"/>
              <w:ind w:left="523" w:right="58" w:hanging="217"/>
              <w:rPr>
                <w:b/>
                <w:sz w:val="18"/>
              </w:rPr>
            </w:pPr>
            <w:r>
              <w:rPr>
                <w:b/>
                <w:sz w:val="18"/>
              </w:rPr>
              <w:t>Línea</w:t>
            </w:r>
            <w:r>
              <w:rPr>
                <w:b/>
                <w:spacing w:val="-13"/>
                <w:sz w:val="18"/>
              </w:rPr>
              <w:t> </w:t>
            </w:r>
            <w:r>
              <w:rPr>
                <w:b/>
                <w:sz w:val="18"/>
              </w:rPr>
              <w:t>Base </w:t>
            </w:r>
            <w:r>
              <w:rPr>
                <w:b/>
                <w:spacing w:val="-2"/>
                <w:sz w:val="18"/>
              </w:rPr>
              <w:t>(2024)</w:t>
            </w:r>
          </w:p>
        </w:tc>
        <w:tc>
          <w:tcPr>
            <w:tcW w:w="1560" w:type="dxa"/>
            <w:shd w:val="clear" w:color="auto" w:fill="D9D9D9"/>
          </w:tcPr>
          <w:p>
            <w:pPr>
              <w:pStyle w:val="TableParagraph"/>
              <w:spacing w:line="206" w:lineRule="exact"/>
              <w:ind w:left="254" w:right="246" w:firstLine="1"/>
              <w:jc w:val="center"/>
              <w:rPr>
                <w:b/>
                <w:sz w:val="18"/>
              </w:rPr>
            </w:pPr>
            <w:r>
              <w:rPr>
                <w:b/>
                <w:spacing w:val="-4"/>
                <w:sz w:val="18"/>
              </w:rPr>
              <w:t>Meta </w:t>
            </w:r>
            <w:r>
              <w:rPr>
                <w:b/>
                <w:spacing w:val="-2"/>
                <w:sz w:val="18"/>
              </w:rPr>
              <w:t>programada </w:t>
            </w:r>
            <w:r>
              <w:rPr>
                <w:b/>
                <w:spacing w:val="-4"/>
                <w:sz w:val="18"/>
              </w:rPr>
              <w:t>2025</w:t>
            </w:r>
          </w:p>
        </w:tc>
        <w:tc>
          <w:tcPr>
            <w:tcW w:w="1982" w:type="dxa"/>
            <w:shd w:val="clear" w:color="auto" w:fill="D9D9D9"/>
          </w:tcPr>
          <w:p>
            <w:pPr>
              <w:pStyle w:val="TableParagraph"/>
              <w:spacing w:before="205"/>
              <w:ind w:left="581"/>
              <w:rPr>
                <w:b/>
                <w:sz w:val="18"/>
              </w:rPr>
            </w:pPr>
            <w:r>
              <w:rPr>
                <w:b/>
                <w:spacing w:val="-2"/>
                <w:sz w:val="18"/>
              </w:rPr>
              <w:t>Indicador</w:t>
            </w:r>
          </w:p>
        </w:tc>
        <w:tc>
          <w:tcPr>
            <w:tcW w:w="1560" w:type="dxa"/>
            <w:shd w:val="clear" w:color="auto" w:fill="D9D9D9"/>
          </w:tcPr>
          <w:p>
            <w:pPr>
              <w:pStyle w:val="TableParagraph"/>
              <w:spacing w:before="104"/>
              <w:ind w:left="284" w:right="58" w:firstLine="57"/>
              <w:rPr>
                <w:b/>
                <w:sz w:val="18"/>
              </w:rPr>
            </w:pPr>
            <w:r>
              <w:rPr>
                <w:b/>
                <w:sz w:val="18"/>
              </w:rPr>
              <w:t>Medios de </w:t>
            </w:r>
            <w:r>
              <w:rPr>
                <w:b/>
                <w:spacing w:val="-2"/>
                <w:sz w:val="18"/>
              </w:rPr>
              <w:t>verificación</w:t>
            </w:r>
          </w:p>
        </w:tc>
        <w:tc>
          <w:tcPr>
            <w:tcW w:w="1416" w:type="dxa"/>
            <w:shd w:val="clear" w:color="auto" w:fill="D9D9D9"/>
          </w:tcPr>
          <w:p>
            <w:pPr>
              <w:pStyle w:val="TableParagraph"/>
              <w:spacing w:before="205"/>
              <w:ind w:left="17" w:right="7"/>
              <w:jc w:val="center"/>
              <w:rPr>
                <w:b/>
                <w:sz w:val="18"/>
              </w:rPr>
            </w:pPr>
            <w:r>
              <w:rPr>
                <w:b/>
                <w:spacing w:val="-2"/>
                <w:sz w:val="18"/>
              </w:rPr>
              <w:t>Responsable</w:t>
            </w:r>
          </w:p>
        </w:tc>
        <w:tc>
          <w:tcPr>
            <w:tcW w:w="1649" w:type="dxa"/>
            <w:shd w:val="clear" w:color="auto" w:fill="D9D9D9"/>
          </w:tcPr>
          <w:p>
            <w:pPr>
              <w:pStyle w:val="TableParagraph"/>
              <w:spacing w:before="104"/>
              <w:ind w:left="430" w:hanging="120"/>
              <w:rPr>
                <w:b/>
                <w:sz w:val="18"/>
              </w:rPr>
            </w:pPr>
            <w:r>
              <w:rPr>
                <w:b/>
                <w:spacing w:val="-2"/>
                <w:sz w:val="18"/>
              </w:rPr>
              <w:t>Presupuesto asignado</w:t>
            </w:r>
          </w:p>
        </w:tc>
        <w:tc>
          <w:tcPr>
            <w:tcW w:w="1548" w:type="dxa"/>
            <w:tcBorders>
              <w:bottom w:val="nil"/>
            </w:tcBorders>
            <w:shd w:val="clear" w:color="auto" w:fill="D9D9D9"/>
          </w:tcPr>
          <w:p>
            <w:pPr>
              <w:pStyle w:val="TableParagraph"/>
              <w:spacing w:line="206" w:lineRule="exact"/>
              <w:ind w:left="16"/>
              <w:jc w:val="center"/>
              <w:rPr>
                <w:b/>
                <w:sz w:val="18"/>
              </w:rPr>
            </w:pPr>
            <w:r>
              <w:rPr>
                <w:b/>
                <w:spacing w:val="-2"/>
                <w:sz w:val="18"/>
              </w:rPr>
              <w:t>Riesgos </w:t>
            </w:r>
            <w:r>
              <w:rPr>
                <w:b/>
                <w:sz w:val="18"/>
              </w:rPr>
              <w:t>asociados al </w:t>
            </w:r>
            <w:r>
              <w:rPr>
                <w:b/>
                <w:spacing w:val="-2"/>
                <w:sz w:val="18"/>
              </w:rPr>
              <w:t>cumplimiento</w:t>
            </w:r>
          </w:p>
        </w:tc>
      </w:tr>
      <w:tr>
        <w:trPr>
          <w:trHeight w:val="1867" w:hRule="atLeast"/>
        </w:trPr>
        <w:tc>
          <w:tcPr>
            <w:tcW w:w="2972" w:type="dxa"/>
          </w:tcPr>
          <w:p>
            <w:pPr>
              <w:pStyle w:val="TableParagraph"/>
              <w:spacing w:before="104"/>
              <w:rPr>
                <w:b/>
                <w:sz w:val="18"/>
              </w:rPr>
            </w:pPr>
          </w:p>
          <w:p>
            <w:pPr>
              <w:pStyle w:val="TableParagraph"/>
              <w:ind w:left="72" w:right="123"/>
              <w:rPr>
                <w:sz w:val="18"/>
              </w:rPr>
            </w:pPr>
            <w:r>
              <w:rPr>
                <w:b/>
                <w:sz w:val="18"/>
              </w:rPr>
              <w:t>Actividad PPPS 1.57.7: </w:t>
            </w:r>
            <w:r>
              <w:rPr>
                <w:sz w:val="18"/>
              </w:rPr>
              <w:t>Desarrollo de procesos de seguimiento para el cumplimiento de logros establecidos en el plan de</w:t>
            </w:r>
            <w:r>
              <w:rPr>
                <w:spacing w:val="-4"/>
                <w:sz w:val="18"/>
              </w:rPr>
              <w:t> </w:t>
            </w:r>
            <w:r>
              <w:rPr>
                <w:sz w:val="18"/>
              </w:rPr>
              <w:t>ascenso</w:t>
            </w:r>
            <w:r>
              <w:rPr>
                <w:spacing w:val="-8"/>
                <w:sz w:val="18"/>
              </w:rPr>
              <w:t> </w:t>
            </w:r>
            <w:r>
              <w:rPr>
                <w:sz w:val="18"/>
              </w:rPr>
              <w:t>de</w:t>
            </w:r>
            <w:r>
              <w:rPr>
                <w:spacing w:val="-8"/>
                <w:sz w:val="18"/>
              </w:rPr>
              <w:t> </w:t>
            </w:r>
            <w:r>
              <w:rPr>
                <w:sz w:val="18"/>
              </w:rPr>
              <w:t>los</w:t>
            </w:r>
            <w:r>
              <w:rPr>
                <w:spacing w:val="-3"/>
                <w:sz w:val="18"/>
              </w:rPr>
              <w:t> </w:t>
            </w:r>
            <w:r>
              <w:rPr>
                <w:sz w:val="18"/>
              </w:rPr>
              <w:t>hogares</w:t>
            </w:r>
            <w:r>
              <w:rPr>
                <w:spacing w:val="-8"/>
                <w:sz w:val="18"/>
              </w:rPr>
              <w:t> </w:t>
            </w:r>
            <w:r>
              <w:rPr>
                <w:sz w:val="18"/>
              </w:rPr>
              <w:t>en</w:t>
            </w:r>
            <w:r>
              <w:rPr>
                <w:spacing w:val="-8"/>
                <w:sz w:val="18"/>
              </w:rPr>
              <w:t> </w:t>
            </w:r>
            <w:r>
              <w:rPr>
                <w:sz w:val="18"/>
              </w:rPr>
              <w:t>ruta de intervención condicionada.</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1" w:right="6"/>
              <w:jc w:val="center"/>
              <w:rPr>
                <w:sz w:val="18"/>
              </w:rPr>
            </w:pPr>
            <w:r>
              <w:rPr>
                <w:spacing w:val="-5"/>
                <w:sz w:val="18"/>
              </w:rPr>
              <w:t>NA</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1" w:right="16"/>
              <w:jc w:val="center"/>
              <w:rPr>
                <w:sz w:val="18"/>
              </w:rPr>
            </w:pPr>
            <w:r>
              <w:rPr>
                <w:spacing w:val="-5"/>
                <w:sz w:val="18"/>
              </w:rPr>
              <w:t>15%</w:t>
            </w:r>
          </w:p>
        </w:tc>
        <w:tc>
          <w:tcPr>
            <w:tcW w:w="1982" w:type="dxa"/>
          </w:tcPr>
          <w:p>
            <w:pPr>
              <w:pStyle w:val="TableParagraph"/>
              <w:spacing w:before="3"/>
              <w:ind w:left="68" w:right="53"/>
              <w:rPr>
                <w:sz w:val="18"/>
              </w:rPr>
            </w:pPr>
            <w:r>
              <w:rPr>
                <w:sz w:val="18"/>
              </w:rPr>
              <w:t>Tasa de participación en procesos sociolaborales para la inclusión</w:t>
            </w:r>
            <w:r>
              <w:rPr>
                <w:spacing w:val="-10"/>
                <w:sz w:val="18"/>
              </w:rPr>
              <w:t> </w:t>
            </w:r>
            <w:r>
              <w:rPr>
                <w:sz w:val="18"/>
              </w:rPr>
              <w:t>laboral</w:t>
            </w:r>
            <w:r>
              <w:rPr>
                <w:spacing w:val="-13"/>
                <w:sz w:val="18"/>
              </w:rPr>
              <w:t> </w:t>
            </w:r>
            <w:r>
              <w:rPr>
                <w:sz w:val="18"/>
              </w:rPr>
              <w:t>de</w:t>
            </w:r>
            <w:r>
              <w:rPr>
                <w:spacing w:val="-12"/>
                <w:sz w:val="18"/>
              </w:rPr>
              <w:t> </w:t>
            </w:r>
            <w:r>
              <w:rPr>
                <w:sz w:val="18"/>
              </w:rPr>
              <w:t>las personas mayores de 18 años que en el marco del Modelo de </w:t>
            </w:r>
            <w:r>
              <w:rPr>
                <w:spacing w:val="-2"/>
                <w:sz w:val="18"/>
              </w:rPr>
              <w:t>Intervención</w:t>
            </w:r>
          </w:p>
          <w:p>
            <w:pPr>
              <w:pStyle w:val="TableParagraph"/>
              <w:spacing w:line="187" w:lineRule="exact" w:before="2"/>
              <w:ind w:left="68"/>
              <w:rPr>
                <w:sz w:val="18"/>
              </w:rPr>
            </w:pPr>
            <w:r>
              <w:rPr>
                <w:spacing w:val="-2"/>
                <w:sz w:val="18"/>
              </w:rPr>
              <w:t>Institucional.</w:t>
            </w:r>
          </w:p>
        </w:tc>
        <w:tc>
          <w:tcPr>
            <w:tcW w:w="1560" w:type="dxa"/>
          </w:tcPr>
          <w:p>
            <w:pPr>
              <w:pStyle w:val="TableParagraph"/>
              <w:rPr>
                <w:b/>
                <w:sz w:val="18"/>
              </w:rPr>
            </w:pPr>
          </w:p>
          <w:p>
            <w:pPr>
              <w:pStyle w:val="TableParagraph"/>
              <w:rPr>
                <w:b/>
                <w:sz w:val="18"/>
              </w:rPr>
            </w:pPr>
          </w:p>
          <w:p>
            <w:pPr>
              <w:pStyle w:val="TableParagraph"/>
              <w:spacing w:before="103"/>
              <w:rPr>
                <w:b/>
                <w:sz w:val="18"/>
              </w:rPr>
            </w:pPr>
          </w:p>
          <w:p>
            <w:pPr>
              <w:pStyle w:val="TableParagraph"/>
              <w:spacing w:line="244" w:lineRule="auto"/>
              <w:ind w:left="477" w:right="58" w:hanging="121"/>
              <w:rPr>
                <w:sz w:val="18"/>
              </w:rPr>
            </w:pPr>
            <w:r>
              <w:rPr>
                <w:spacing w:val="-2"/>
                <w:sz w:val="18"/>
              </w:rPr>
              <w:t>Reportería SABEN</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17" w:right="10"/>
              <w:jc w:val="center"/>
              <w:rPr>
                <w:sz w:val="18"/>
              </w:rPr>
            </w:pPr>
            <w:r>
              <w:rPr>
                <w:spacing w:val="-2"/>
                <w:sz w:val="18"/>
              </w:rPr>
              <w:t>DDSPC</w:t>
            </w:r>
          </w:p>
        </w:tc>
        <w:tc>
          <w:tcPr>
            <w:tcW w:w="1649" w:type="dxa"/>
          </w:tcPr>
          <w:p>
            <w:pPr>
              <w:pStyle w:val="TableParagraph"/>
              <w:rPr>
                <w:rFonts w:ascii="Times New Roman"/>
                <w:sz w:val="18"/>
              </w:rPr>
            </w:pPr>
          </w:p>
        </w:tc>
        <w:tc>
          <w:tcPr>
            <w:tcW w:w="1548" w:type="dxa"/>
            <w:vMerge w:val="restart"/>
            <w:tcBorders>
              <w:top w:val="nil"/>
            </w:tcBorders>
          </w:tcPr>
          <w:p>
            <w:pPr>
              <w:pStyle w:val="TableParagraph"/>
              <w:rPr>
                <w:rFonts w:ascii="Times New Roman"/>
                <w:sz w:val="18"/>
              </w:rPr>
            </w:pPr>
          </w:p>
        </w:tc>
      </w:tr>
      <w:tr>
        <w:trPr>
          <w:trHeight w:val="1243" w:hRule="atLeast"/>
        </w:trPr>
        <w:tc>
          <w:tcPr>
            <w:tcW w:w="2972" w:type="dxa"/>
          </w:tcPr>
          <w:p>
            <w:pPr>
              <w:pStyle w:val="TableParagraph"/>
              <w:ind w:left="72" w:right="123"/>
              <w:rPr>
                <w:sz w:val="18"/>
              </w:rPr>
            </w:pPr>
            <w:r>
              <w:rPr>
                <w:b/>
                <w:sz w:val="18"/>
              </w:rPr>
              <w:t>Actividad PPPS 1.57.8: </w:t>
            </w:r>
            <w:r>
              <w:rPr>
                <w:sz w:val="18"/>
              </w:rPr>
              <w:t>Desarrollo de procesos de seguimiento para el cumplimiento de logros establecidos en el plan de</w:t>
            </w:r>
            <w:r>
              <w:rPr>
                <w:spacing w:val="-4"/>
                <w:sz w:val="18"/>
              </w:rPr>
              <w:t> </w:t>
            </w:r>
            <w:r>
              <w:rPr>
                <w:sz w:val="18"/>
              </w:rPr>
              <w:t>ascenso</w:t>
            </w:r>
            <w:r>
              <w:rPr>
                <w:spacing w:val="-8"/>
                <w:sz w:val="18"/>
              </w:rPr>
              <w:t> </w:t>
            </w:r>
            <w:r>
              <w:rPr>
                <w:sz w:val="18"/>
              </w:rPr>
              <w:t>de</w:t>
            </w:r>
            <w:r>
              <w:rPr>
                <w:spacing w:val="-8"/>
                <w:sz w:val="18"/>
              </w:rPr>
              <w:t> </w:t>
            </w:r>
            <w:r>
              <w:rPr>
                <w:sz w:val="18"/>
              </w:rPr>
              <w:t>los</w:t>
            </w:r>
            <w:r>
              <w:rPr>
                <w:spacing w:val="-3"/>
                <w:sz w:val="18"/>
              </w:rPr>
              <w:t> </w:t>
            </w:r>
            <w:r>
              <w:rPr>
                <w:sz w:val="18"/>
              </w:rPr>
              <w:t>hogares</w:t>
            </w:r>
            <w:r>
              <w:rPr>
                <w:spacing w:val="-8"/>
                <w:sz w:val="18"/>
              </w:rPr>
              <w:t> </w:t>
            </w:r>
            <w:r>
              <w:rPr>
                <w:sz w:val="18"/>
              </w:rPr>
              <w:t>en</w:t>
            </w:r>
            <w:r>
              <w:rPr>
                <w:spacing w:val="-8"/>
                <w:sz w:val="18"/>
              </w:rPr>
              <w:t> </w:t>
            </w:r>
            <w:r>
              <w:rPr>
                <w:sz w:val="18"/>
              </w:rPr>
              <w:t>ruta</w:t>
            </w:r>
          </w:p>
          <w:p>
            <w:pPr>
              <w:pStyle w:val="TableParagraph"/>
              <w:spacing w:line="190" w:lineRule="exact"/>
              <w:ind w:left="72"/>
              <w:rPr>
                <w:sz w:val="18"/>
              </w:rPr>
            </w:pPr>
            <w:r>
              <w:rPr>
                <w:sz w:val="18"/>
              </w:rPr>
              <w:t>de</w:t>
            </w:r>
            <w:r>
              <w:rPr>
                <w:spacing w:val="-5"/>
                <w:sz w:val="18"/>
              </w:rPr>
              <w:t> </w:t>
            </w:r>
            <w:r>
              <w:rPr>
                <w:sz w:val="18"/>
              </w:rPr>
              <w:t>intervención</w:t>
            </w:r>
            <w:r>
              <w:rPr>
                <w:spacing w:val="-8"/>
                <w:sz w:val="18"/>
              </w:rPr>
              <w:t> </w:t>
            </w:r>
            <w:r>
              <w:rPr>
                <w:spacing w:val="-2"/>
                <w:sz w:val="18"/>
              </w:rPr>
              <w:t>condicionada.</w:t>
            </w:r>
          </w:p>
        </w:tc>
        <w:tc>
          <w:tcPr>
            <w:tcW w:w="1560" w:type="dxa"/>
          </w:tcPr>
          <w:p>
            <w:pPr>
              <w:pStyle w:val="TableParagraph"/>
              <w:rPr>
                <w:b/>
                <w:sz w:val="18"/>
              </w:rPr>
            </w:pPr>
          </w:p>
          <w:p>
            <w:pPr>
              <w:pStyle w:val="TableParagraph"/>
              <w:spacing w:before="103"/>
              <w:rPr>
                <w:b/>
                <w:sz w:val="18"/>
              </w:rPr>
            </w:pPr>
          </w:p>
          <w:p>
            <w:pPr>
              <w:pStyle w:val="TableParagraph"/>
              <w:ind w:left="21" w:right="6"/>
              <w:jc w:val="center"/>
              <w:rPr>
                <w:sz w:val="18"/>
              </w:rPr>
            </w:pPr>
            <w:r>
              <w:rPr>
                <w:spacing w:val="-5"/>
                <w:sz w:val="18"/>
              </w:rPr>
              <w:t>NA</w:t>
            </w:r>
          </w:p>
        </w:tc>
        <w:tc>
          <w:tcPr>
            <w:tcW w:w="1560" w:type="dxa"/>
          </w:tcPr>
          <w:p>
            <w:pPr>
              <w:pStyle w:val="TableParagraph"/>
              <w:rPr>
                <w:b/>
                <w:sz w:val="18"/>
              </w:rPr>
            </w:pPr>
          </w:p>
          <w:p>
            <w:pPr>
              <w:pStyle w:val="TableParagraph"/>
              <w:spacing w:before="103"/>
              <w:rPr>
                <w:b/>
                <w:sz w:val="18"/>
              </w:rPr>
            </w:pPr>
          </w:p>
          <w:p>
            <w:pPr>
              <w:pStyle w:val="TableParagraph"/>
              <w:ind w:left="21" w:right="16"/>
              <w:jc w:val="center"/>
              <w:rPr>
                <w:sz w:val="18"/>
              </w:rPr>
            </w:pPr>
            <w:r>
              <w:rPr>
                <w:spacing w:val="-5"/>
                <w:sz w:val="18"/>
              </w:rPr>
              <w:t>15%</w:t>
            </w:r>
          </w:p>
        </w:tc>
        <w:tc>
          <w:tcPr>
            <w:tcW w:w="1982" w:type="dxa"/>
          </w:tcPr>
          <w:p>
            <w:pPr>
              <w:pStyle w:val="TableParagraph"/>
              <w:ind w:left="68" w:right="114"/>
              <w:rPr>
                <w:sz w:val="18"/>
              </w:rPr>
            </w:pPr>
            <w:r>
              <w:rPr>
                <w:sz w:val="18"/>
              </w:rPr>
              <w:t>Tasa de inclusión laboral</w:t>
            </w:r>
            <w:r>
              <w:rPr>
                <w:spacing w:val="-9"/>
                <w:sz w:val="18"/>
              </w:rPr>
              <w:t> </w:t>
            </w:r>
            <w:r>
              <w:rPr>
                <w:sz w:val="18"/>
              </w:rPr>
              <w:t>de</w:t>
            </w:r>
            <w:r>
              <w:rPr>
                <w:spacing w:val="-13"/>
                <w:sz w:val="18"/>
              </w:rPr>
              <w:t> </w:t>
            </w:r>
            <w:r>
              <w:rPr>
                <w:sz w:val="18"/>
              </w:rPr>
              <w:t>muestra</w:t>
            </w:r>
            <w:r>
              <w:rPr>
                <w:spacing w:val="-10"/>
                <w:sz w:val="18"/>
              </w:rPr>
              <w:t> </w:t>
            </w:r>
            <w:r>
              <w:rPr>
                <w:sz w:val="18"/>
              </w:rPr>
              <w:t>de personas</w:t>
            </w:r>
            <w:r>
              <w:rPr>
                <w:spacing w:val="-13"/>
                <w:sz w:val="18"/>
              </w:rPr>
              <w:t> </w:t>
            </w:r>
            <w:r>
              <w:rPr>
                <w:sz w:val="18"/>
              </w:rPr>
              <w:t>mayores</w:t>
            </w:r>
            <w:r>
              <w:rPr>
                <w:spacing w:val="-9"/>
                <w:sz w:val="18"/>
              </w:rPr>
              <w:t> </w:t>
            </w:r>
            <w:r>
              <w:rPr>
                <w:sz w:val="18"/>
              </w:rPr>
              <w:t>de 18</w:t>
            </w:r>
            <w:r>
              <w:rPr>
                <w:spacing w:val="-5"/>
                <w:sz w:val="18"/>
              </w:rPr>
              <w:t> </w:t>
            </w:r>
            <w:r>
              <w:rPr>
                <w:sz w:val="18"/>
              </w:rPr>
              <w:t>años</w:t>
            </w:r>
            <w:r>
              <w:rPr>
                <w:spacing w:val="-4"/>
                <w:sz w:val="18"/>
              </w:rPr>
              <w:t> </w:t>
            </w:r>
            <w:r>
              <w:rPr>
                <w:sz w:val="18"/>
              </w:rPr>
              <w:t>perfiladas</w:t>
            </w:r>
            <w:r>
              <w:rPr>
                <w:spacing w:val="-4"/>
                <w:sz w:val="18"/>
              </w:rPr>
              <w:t> </w:t>
            </w:r>
            <w:r>
              <w:rPr>
                <w:sz w:val="18"/>
              </w:rPr>
              <w:t>en empleabilidad y</w:t>
            </w:r>
          </w:p>
          <w:p>
            <w:pPr>
              <w:pStyle w:val="TableParagraph"/>
              <w:spacing w:line="190" w:lineRule="exact"/>
              <w:ind w:left="68"/>
              <w:rPr>
                <w:sz w:val="18"/>
              </w:rPr>
            </w:pPr>
            <w:r>
              <w:rPr>
                <w:spacing w:val="-2"/>
                <w:sz w:val="18"/>
              </w:rPr>
              <w:t>oficios.</w:t>
            </w:r>
          </w:p>
        </w:tc>
        <w:tc>
          <w:tcPr>
            <w:tcW w:w="1560" w:type="dxa"/>
          </w:tcPr>
          <w:p>
            <w:pPr>
              <w:pStyle w:val="TableParagraph"/>
              <w:spacing w:before="204"/>
              <w:rPr>
                <w:b/>
                <w:sz w:val="18"/>
              </w:rPr>
            </w:pPr>
          </w:p>
          <w:p>
            <w:pPr>
              <w:pStyle w:val="TableParagraph"/>
              <w:ind w:left="332" w:right="58" w:hanging="221"/>
              <w:rPr>
                <w:sz w:val="18"/>
              </w:rPr>
            </w:pPr>
            <w:r>
              <w:rPr>
                <w:sz w:val="18"/>
              </w:rPr>
              <w:t>Reportería</w:t>
            </w:r>
            <w:r>
              <w:rPr>
                <w:spacing w:val="-15"/>
                <w:sz w:val="18"/>
              </w:rPr>
              <w:t> </w:t>
            </w:r>
            <w:r>
              <w:rPr>
                <w:sz w:val="18"/>
              </w:rPr>
              <w:t>de</w:t>
            </w:r>
            <w:r>
              <w:rPr>
                <w:spacing w:val="-12"/>
                <w:sz w:val="18"/>
              </w:rPr>
              <w:t> </w:t>
            </w:r>
            <w:r>
              <w:rPr>
                <w:sz w:val="18"/>
              </w:rPr>
              <w:t>Mi </w:t>
            </w:r>
            <w:r>
              <w:rPr>
                <w:spacing w:val="-2"/>
                <w:sz w:val="18"/>
              </w:rPr>
              <w:t>Expediente</w:t>
            </w:r>
          </w:p>
        </w:tc>
        <w:tc>
          <w:tcPr>
            <w:tcW w:w="1416" w:type="dxa"/>
          </w:tcPr>
          <w:p>
            <w:pPr>
              <w:pStyle w:val="TableParagraph"/>
              <w:rPr>
                <w:b/>
                <w:sz w:val="18"/>
              </w:rPr>
            </w:pPr>
          </w:p>
          <w:p>
            <w:pPr>
              <w:pStyle w:val="TableParagraph"/>
              <w:spacing w:before="103"/>
              <w:rPr>
                <w:b/>
                <w:sz w:val="18"/>
              </w:rPr>
            </w:pPr>
          </w:p>
          <w:p>
            <w:pPr>
              <w:pStyle w:val="TableParagraph"/>
              <w:ind w:left="17" w:right="12"/>
              <w:jc w:val="center"/>
              <w:rPr>
                <w:sz w:val="18"/>
              </w:rPr>
            </w:pPr>
            <w:r>
              <w:rPr>
                <w:spacing w:val="-5"/>
                <w:sz w:val="18"/>
              </w:rPr>
              <w:t>DDS</w:t>
            </w:r>
          </w:p>
        </w:tc>
        <w:tc>
          <w:tcPr>
            <w:tcW w:w="1649" w:type="dxa"/>
          </w:tcPr>
          <w:p>
            <w:pPr>
              <w:pStyle w:val="TableParagraph"/>
              <w:rPr>
                <w:rFonts w:ascii="Times New Roman"/>
                <w:sz w:val="18"/>
              </w:rPr>
            </w:pPr>
          </w:p>
        </w:tc>
        <w:tc>
          <w:tcPr>
            <w:tcW w:w="1548"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p>
      <w:pPr>
        <w:pStyle w:val="BodyText"/>
        <w:rPr>
          <w:b/>
          <w:sz w:val="24"/>
        </w:rPr>
      </w:pPr>
    </w:p>
    <w:p>
      <w:pPr>
        <w:pStyle w:val="BodyText"/>
        <w:rPr>
          <w:b/>
          <w:sz w:val="24"/>
        </w:rPr>
      </w:pPr>
    </w:p>
    <w:p>
      <w:pPr>
        <w:pStyle w:val="BodyText"/>
        <w:spacing w:before="169"/>
        <w:rPr>
          <w:b/>
          <w:sz w:val="24"/>
        </w:rPr>
      </w:pPr>
    </w:p>
    <w:p>
      <w:pPr>
        <w:pStyle w:val="Heading1"/>
        <w:numPr>
          <w:ilvl w:val="1"/>
          <w:numId w:val="5"/>
        </w:numPr>
        <w:tabs>
          <w:tab w:pos="1624" w:val="left" w:leader="none"/>
        </w:tabs>
        <w:spacing w:line="240" w:lineRule="auto" w:before="0" w:after="0"/>
        <w:ind w:left="1624" w:right="0" w:hanging="400"/>
        <w:jc w:val="left"/>
      </w:pPr>
      <w:bookmarkStart w:name="_bookmark62" w:id="63"/>
      <w:bookmarkEnd w:id="63"/>
      <w:r>
        <w:rPr>
          <w:b w:val="0"/>
        </w:rPr>
      </w:r>
      <w:r>
        <w:rPr/>
        <w:t>Matriz</w:t>
      </w:r>
      <w:r>
        <w:rPr>
          <w:spacing w:val="-5"/>
        </w:rPr>
        <w:t> </w:t>
      </w:r>
      <w:r>
        <w:rPr/>
        <w:t>de</w:t>
      </w:r>
      <w:r>
        <w:rPr>
          <w:spacing w:val="-8"/>
        </w:rPr>
        <w:t> </w:t>
      </w:r>
      <w:r>
        <w:rPr/>
        <w:t>Trimestralización</w:t>
      </w:r>
      <w:r>
        <w:rPr>
          <w:spacing w:val="-3"/>
        </w:rPr>
        <w:t> </w:t>
      </w:r>
      <w:r>
        <w:rPr/>
        <w:t>del</w:t>
      </w:r>
      <w:r>
        <w:rPr>
          <w:spacing w:val="-5"/>
        </w:rPr>
        <w:t> </w:t>
      </w:r>
      <w:r>
        <w:rPr/>
        <w:t>Programa</w:t>
      </w:r>
      <w:r>
        <w:rPr>
          <w:spacing w:val="-4"/>
        </w:rPr>
        <w:t> </w:t>
      </w:r>
      <w:r>
        <w:rPr/>
        <w:t>Protección</w:t>
      </w:r>
      <w:r>
        <w:rPr>
          <w:spacing w:val="-8"/>
        </w:rPr>
        <w:t> </w:t>
      </w:r>
      <w:r>
        <w:rPr/>
        <w:t>y</w:t>
      </w:r>
      <w:r>
        <w:rPr>
          <w:spacing w:val="-8"/>
        </w:rPr>
        <w:t> </w:t>
      </w:r>
      <w:r>
        <w:rPr/>
        <w:t>Promoción</w:t>
      </w:r>
      <w:r>
        <w:rPr>
          <w:spacing w:val="-2"/>
        </w:rPr>
        <w:t> Social</w:t>
      </w:r>
    </w:p>
    <w:p>
      <w:pPr>
        <w:pStyle w:val="BodyText"/>
        <w:rPr>
          <w:b/>
          <w:sz w:val="20"/>
        </w:rPr>
      </w:pPr>
    </w:p>
    <w:p>
      <w:pPr>
        <w:pStyle w:val="BodyText"/>
        <w:spacing w:before="90"/>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80"/>
        <w:gridCol w:w="1275"/>
        <w:gridCol w:w="1561"/>
        <w:gridCol w:w="1134"/>
        <w:gridCol w:w="1561"/>
        <w:gridCol w:w="1277"/>
        <w:gridCol w:w="1700"/>
        <w:gridCol w:w="1345"/>
        <w:gridCol w:w="1494"/>
      </w:tblGrid>
      <w:tr>
        <w:trPr>
          <w:trHeight w:val="321" w:hRule="atLeast"/>
        </w:trPr>
        <w:tc>
          <w:tcPr>
            <w:tcW w:w="1695" w:type="dxa"/>
            <w:vMerge w:val="restart"/>
            <w:shd w:val="clear" w:color="auto" w:fill="F1F1F1"/>
          </w:tcPr>
          <w:p>
            <w:pPr>
              <w:pStyle w:val="TableParagraph"/>
              <w:spacing w:before="3"/>
              <w:ind w:left="417" w:firstLine="24"/>
              <w:rPr>
                <w:b/>
                <w:sz w:val="16"/>
              </w:rPr>
            </w:pPr>
            <w:r>
              <w:rPr>
                <w:b/>
                <w:sz w:val="16"/>
              </w:rPr>
              <w:t>Objetivos</w:t>
            </w:r>
            <w:r>
              <w:rPr>
                <w:b/>
                <w:spacing w:val="-12"/>
                <w:sz w:val="16"/>
              </w:rPr>
              <w:t> </w:t>
            </w:r>
            <w:r>
              <w:rPr>
                <w:b/>
                <w:sz w:val="16"/>
              </w:rPr>
              <w:t>/ </w:t>
            </w:r>
            <w:r>
              <w:rPr>
                <w:b/>
                <w:spacing w:val="-2"/>
                <w:sz w:val="16"/>
              </w:rPr>
              <w:t>Resultados</w:t>
            </w:r>
          </w:p>
        </w:tc>
        <w:tc>
          <w:tcPr>
            <w:tcW w:w="1280" w:type="dxa"/>
            <w:vMerge w:val="restart"/>
            <w:shd w:val="clear" w:color="auto" w:fill="F1F1F1"/>
          </w:tcPr>
          <w:p>
            <w:pPr>
              <w:pStyle w:val="TableParagraph"/>
              <w:spacing w:before="3"/>
              <w:ind w:left="278"/>
              <w:rPr>
                <w:b/>
                <w:sz w:val="16"/>
              </w:rPr>
            </w:pPr>
            <w:r>
              <w:rPr>
                <w:b/>
                <w:spacing w:val="-2"/>
                <w:sz w:val="16"/>
              </w:rPr>
              <w:t>Indicador</w:t>
            </w:r>
          </w:p>
        </w:tc>
        <w:tc>
          <w:tcPr>
            <w:tcW w:w="2836" w:type="dxa"/>
            <w:gridSpan w:val="2"/>
            <w:shd w:val="clear" w:color="auto" w:fill="F1F1F1"/>
          </w:tcPr>
          <w:p>
            <w:pPr>
              <w:pStyle w:val="TableParagraph"/>
              <w:spacing w:before="3"/>
              <w:ind w:left="6"/>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before="3"/>
              <w:ind w:left="2"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before="3"/>
              <w:ind w:left="2"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before="3"/>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80" w:type="dxa"/>
            <w:vMerge/>
            <w:tcBorders>
              <w:top w:val="nil"/>
            </w:tcBorders>
            <w:shd w:val="clear" w:color="auto" w:fill="F1F1F1"/>
          </w:tcPr>
          <w:p>
            <w:pPr>
              <w:rPr>
                <w:sz w:val="2"/>
                <w:szCs w:val="2"/>
              </w:rPr>
            </w:pPr>
          </w:p>
        </w:tc>
        <w:tc>
          <w:tcPr>
            <w:tcW w:w="1275" w:type="dxa"/>
            <w:shd w:val="clear" w:color="auto" w:fill="F1F1F1"/>
          </w:tcPr>
          <w:p>
            <w:pPr>
              <w:pStyle w:val="TableParagraph"/>
              <w:spacing w:line="180" w:lineRule="atLeast" w:before="163"/>
              <w:ind w:left="174"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81"/>
              <w:ind w:left="96" w:right="99"/>
              <w:jc w:val="center"/>
              <w:rPr>
                <w:b/>
                <w:sz w:val="16"/>
              </w:rPr>
            </w:pPr>
            <w:r>
              <w:rPr>
                <w:b/>
                <w:spacing w:val="-10"/>
                <w:sz w:val="16"/>
              </w:rPr>
              <w:t>¢</w:t>
            </w:r>
          </w:p>
        </w:tc>
        <w:tc>
          <w:tcPr>
            <w:tcW w:w="1134" w:type="dxa"/>
            <w:shd w:val="clear" w:color="auto" w:fill="F1F1F1"/>
          </w:tcPr>
          <w:p>
            <w:pPr>
              <w:pStyle w:val="TableParagraph"/>
              <w:spacing w:line="180" w:lineRule="atLeast" w:before="163"/>
              <w:ind w:left="99"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81"/>
              <w:ind w:left="96" w:right="101"/>
              <w:jc w:val="center"/>
              <w:rPr>
                <w:b/>
                <w:sz w:val="16"/>
              </w:rPr>
            </w:pPr>
            <w:r>
              <w:rPr>
                <w:b/>
                <w:spacing w:val="-10"/>
                <w:sz w:val="16"/>
              </w:rPr>
              <w:t>¢</w:t>
            </w:r>
          </w:p>
        </w:tc>
        <w:tc>
          <w:tcPr>
            <w:tcW w:w="1277" w:type="dxa"/>
            <w:shd w:val="clear" w:color="auto" w:fill="F1F1F1"/>
          </w:tcPr>
          <w:p>
            <w:pPr>
              <w:pStyle w:val="TableParagraph"/>
              <w:spacing w:line="180" w:lineRule="atLeast" w:before="163"/>
              <w:ind w:left="170"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5"/>
              <w:jc w:val="center"/>
              <w:rPr>
                <w:b/>
                <w:sz w:val="16"/>
              </w:rPr>
            </w:pPr>
            <w:r>
              <w:rPr>
                <w:b/>
                <w:spacing w:val="-10"/>
                <w:sz w:val="16"/>
              </w:rPr>
              <w:t>¢</w:t>
            </w:r>
          </w:p>
        </w:tc>
        <w:tc>
          <w:tcPr>
            <w:tcW w:w="1345" w:type="dxa"/>
            <w:shd w:val="clear" w:color="auto" w:fill="F1F1F1"/>
          </w:tcPr>
          <w:p>
            <w:pPr>
              <w:pStyle w:val="TableParagraph"/>
              <w:spacing w:line="180" w:lineRule="atLeast" w:before="163"/>
              <w:ind w:left="208"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left="2" w:right="9"/>
              <w:jc w:val="center"/>
              <w:rPr>
                <w:b/>
                <w:sz w:val="16"/>
              </w:rPr>
            </w:pPr>
            <w:r>
              <w:rPr>
                <w:b/>
                <w:spacing w:val="-10"/>
                <w:sz w:val="16"/>
              </w:rPr>
              <w:t>¢</w:t>
            </w:r>
          </w:p>
        </w:tc>
      </w:tr>
      <w:tr>
        <w:trPr>
          <w:trHeight w:val="494" w:hRule="atLeast"/>
        </w:trPr>
        <w:tc>
          <w:tcPr>
            <w:tcW w:w="14322" w:type="dxa"/>
            <w:gridSpan w:val="10"/>
            <w:shd w:val="clear" w:color="auto" w:fill="F1F1F1"/>
          </w:tcPr>
          <w:p>
            <w:pPr>
              <w:pStyle w:val="TableParagraph"/>
              <w:ind w:left="72" w:right="99"/>
              <w:rPr>
                <w:b/>
                <w:sz w:val="16"/>
              </w:rPr>
            </w:pPr>
            <w:r>
              <w:rPr>
                <w:b/>
                <w:sz w:val="16"/>
              </w:rPr>
              <w:t>Efecto:</w:t>
            </w:r>
            <w:r>
              <w:rPr>
                <w:b/>
                <w:spacing w:val="-4"/>
                <w:sz w:val="16"/>
              </w:rPr>
              <w:t> </w:t>
            </w:r>
            <w:r>
              <w:rPr>
                <w:b/>
                <w:sz w:val="16"/>
              </w:rPr>
              <w:t>Implementar acciones</w:t>
            </w:r>
            <w:r>
              <w:rPr>
                <w:b/>
                <w:spacing w:val="-1"/>
                <w:sz w:val="16"/>
              </w:rPr>
              <w:t> </w:t>
            </w:r>
            <w:r>
              <w:rPr>
                <w:b/>
                <w:sz w:val="16"/>
              </w:rPr>
              <w:t>de</w:t>
            </w:r>
            <w:r>
              <w:rPr>
                <w:b/>
                <w:spacing w:val="-1"/>
                <w:sz w:val="16"/>
              </w:rPr>
              <w:t> </w:t>
            </w:r>
            <w:r>
              <w:rPr>
                <w:b/>
                <w:sz w:val="16"/>
              </w:rPr>
              <w:t>protección y</w:t>
            </w:r>
            <w:r>
              <w:rPr>
                <w:b/>
                <w:spacing w:val="-5"/>
                <w:sz w:val="16"/>
              </w:rPr>
              <w:t> </w:t>
            </w:r>
            <w:r>
              <w:rPr>
                <w:b/>
                <w:sz w:val="16"/>
              </w:rPr>
              <w:t>promoción social dirigidas</w:t>
            </w:r>
            <w:r>
              <w:rPr>
                <w:b/>
                <w:spacing w:val="-1"/>
                <w:sz w:val="16"/>
              </w:rPr>
              <w:t> </w:t>
            </w:r>
            <w:r>
              <w:rPr>
                <w:b/>
                <w:sz w:val="16"/>
              </w:rPr>
              <w:t>a</w:t>
            </w:r>
            <w:r>
              <w:rPr>
                <w:b/>
                <w:spacing w:val="-5"/>
                <w:sz w:val="16"/>
              </w:rPr>
              <w:t> </w:t>
            </w:r>
            <w:r>
              <w:rPr>
                <w:b/>
                <w:sz w:val="16"/>
              </w:rPr>
              <w:t>personas, hogares</w:t>
            </w:r>
            <w:r>
              <w:rPr>
                <w:b/>
                <w:spacing w:val="-1"/>
                <w:sz w:val="16"/>
              </w:rPr>
              <w:t> </w:t>
            </w:r>
            <w:r>
              <w:rPr>
                <w:b/>
                <w:sz w:val="16"/>
              </w:rPr>
              <w:t>y</w:t>
            </w:r>
            <w:r>
              <w:rPr>
                <w:b/>
                <w:spacing w:val="-1"/>
                <w:sz w:val="16"/>
              </w:rPr>
              <w:t> </w:t>
            </w:r>
            <w:r>
              <w:rPr>
                <w:b/>
                <w:sz w:val="16"/>
              </w:rPr>
              <w:t>organizaciones, mediante</w:t>
            </w:r>
            <w:r>
              <w:rPr>
                <w:b/>
                <w:spacing w:val="-5"/>
                <w:sz w:val="16"/>
              </w:rPr>
              <w:t> </w:t>
            </w:r>
            <w:r>
              <w:rPr>
                <w:b/>
                <w:sz w:val="16"/>
              </w:rPr>
              <w:t>procesos</w:t>
            </w:r>
            <w:r>
              <w:rPr>
                <w:b/>
                <w:spacing w:val="-1"/>
                <w:sz w:val="16"/>
              </w:rPr>
              <w:t> </w:t>
            </w:r>
            <w:r>
              <w:rPr>
                <w:b/>
                <w:sz w:val="16"/>
              </w:rPr>
              <w:t>de</w:t>
            </w:r>
            <w:r>
              <w:rPr>
                <w:b/>
                <w:spacing w:val="-5"/>
                <w:sz w:val="16"/>
              </w:rPr>
              <w:t> </w:t>
            </w:r>
            <w:r>
              <w:rPr>
                <w:b/>
                <w:sz w:val="16"/>
              </w:rPr>
              <w:t>atención</w:t>
            </w:r>
            <w:r>
              <w:rPr>
                <w:b/>
                <w:spacing w:val="-4"/>
                <w:sz w:val="16"/>
              </w:rPr>
              <w:t> </w:t>
            </w:r>
            <w:r>
              <w:rPr>
                <w:b/>
                <w:sz w:val="16"/>
              </w:rPr>
              <w:t>integral,</w:t>
            </w:r>
            <w:r>
              <w:rPr>
                <w:b/>
                <w:spacing w:val="-4"/>
                <w:sz w:val="16"/>
              </w:rPr>
              <w:t> </w:t>
            </w:r>
            <w:r>
              <w:rPr>
                <w:b/>
                <w:sz w:val="16"/>
              </w:rPr>
              <w:t>gestión</w:t>
            </w:r>
            <w:r>
              <w:rPr>
                <w:b/>
                <w:spacing w:val="-4"/>
                <w:sz w:val="16"/>
              </w:rPr>
              <w:t> </w:t>
            </w:r>
            <w:r>
              <w:rPr>
                <w:b/>
                <w:sz w:val="16"/>
              </w:rPr>
              <w:t>de</w:t>
            </w:r>
            <w:r>
              <w:rPr>
                <w:b/>
                <w:spacing w:val="-5"/>
                <w:sz w:val="16"/>
              </w:rPr>
              <w:t> </w:t>
            </w:r>
            <w:r>
              <w:rPr>
                <w:b/>
                <w:sz w:val="16"/>
              </w:rPr>
              <w:t>procesos</w:t>
            </w:r>
            <w:r>
              <w:rPr>
                <w:b/>
                <w:spacing w:val="-1"/>
                <w:sz w:val="16"/>
              </w:rPr>
              <w:t> </w:t>
            </w:r>
            <w:r>
              <w:rPr>
                <w:b/>
                <w:sz w:val="16"/>
              </w:rPr>
              <w:t>y proyectos, y otorgamiento de recursos que contribuyan a la disminución de la pobreza en costa rica.</w:t>
            </w:r>
          </w:p>
        </w:tc>
      </w:tr>
      <w:tr>
        <w:trPr>
          <w:trHeight w:val="493" w:hRule="atLeast"/>
        </w:trPr>
        <w:tc>
          <w:tcPr>
            <w:tcW w:w="14322" w:type="dxa"/>
            <w:gridSpan w:val="10"/>
            <w:shd w:val="clear" w:color="auto" w:fill="EFF8F9"/>
          </w:tcPr>
          <w:p>
            <w:pPr>
              <w:pStyle w:val="TableParagraph"/>
              <w:spacing w:line="182" w:lineRule="exact" w:before="110"/>
              <w:ind w:left="72" w:right="99"/>
              <w:rPr>
                <w:b/>
                <w:sz w:val="16"/>
              </w:rPr>
            </w:pPr>
            <w:r>
              <w:rPr>
                <w:b/>
                <w:sz w:val="16"/>
              </w:rPr>
              <w:t>Producto</w:t>
            </w:r>
            <w:r>
              <w:rPr>
                <w:b/>
                <w:spacing w:val="-1"/>
                <w:sz w:val="16"/>
              </w:rPr>
              <w:t> </w:t>
            </w:r>
            <w:r>
              <w:rPr>
                <w:b/>
                <w:sz w:val="16"/>
              </w:rPr>
              <w:t>PPPS 1.1:</w:t>
            </w:r>
            <w:r>
              <w:rPr>
                <w:b/>
                <w:spacing w:val="-5"/>
                <w:sz w:val="16"/>
              </w:rPr>
              <w:t> </w:t>
            </w:r>
            <w:r>
              <w:rPr>
                <w:b/>
                <w:sz w:val="16"/>
              </w:rPr>
              <w:t>Oferta</w:t>
            </w:r>
            <w:r>
              <w:rPr>
                <w:b/>
                <w:spacing w:val="-6"/>
                <w:sz w:val="16"/>
              </w:rPr>
              <w:t> </w:t>
            </w:r>
            <w:r>
              <w:rPr>
                <w:b/>
                <w:sz w:val="16"/>
              </w:rPr>
              <w:t>programática</w:t>
            </w:r>
            <w:r>
              <w:rPr>
                <w:b/>
                <w:spacing w:val="-6"/>
                <w:sz w:val="16"/>
              </w:rPr>
              <w:t> </w:t>
            </w:r>
            <w:r>
              <w:rPr>
                <w:b/>
                <w:sz w:val="16"/>
              </w:rPr>
              <w:t>institucional</w:t>
            </w:r>
            <w:r>
              <w:rPr>
                <w:b/>
                <w:spacing w:val="-1"/>
                <w:sz w:val="16"/>
              </w:rPr>
              <w:t> </w:t>
            </w:r>
            <w:r>
              <w:rPr>
                <w:b/>
                <w:sz w:val="16"/>
              </w:rPr>
              <w:t>en</w:t>
            </w:r>
            <w:r>
              <w:rPr>
                <w:b/>
                <w:spacing w:val="-5"/>
                <w:sz w:val="16"/>
              </w:rPr>
              <w:t> </w:t>
            </w:r>
            <w:r>
              <w:rPr>
                <w:b/>
                <w:sz w:val="16"/>
              </w:rPr>
              <w:t>protección</w:t>
            </w:r>
            <w:r>
              <w:rPr>
                <w:b/>
                <w:spacing w:val="-1"/>
                <w:sz w:val="16"/>
              </w:rPr>
              <w:t> </w:t>
            </w:r>
            <w:r>
              <w:rPr>
                <w:b/>
                <w:sz w:val="16"/>
              </w:rPr>
              <w:t>social</w:t>
            </w:r>
            <w:r>
              <w:rPr>
                <w:b/>
                <w:spacing w:val="-5"/>
                <w:sz w:val="16"/>
              </w:rPr>
              <w:t> </w:t>
            </w:r>
            <w:r>
              <w:rPr>
                <w:b/>
                <w:sz w:val="16"/>
              </w:rPr>
              <w:t>que</w:t>
            </w:r>
            <w:r>
              <w:rPr>
                <w:b/>
                <w:spacing w:val="-2"/>
                <w:sz w:val="16"/>
              </w:rPr>
              <w:t> </w:t>
            </w:r>
            <w:r>
              <w:rPr>
                <w:b/>
                <w:sz w:val="16"/>
              </w:rPr>
              <w:t>contribuye</w:t>
            </w:r>
            <w:r>
              <w:rPr>
                <w:b/>
                <w:spacing w:val="-2"/>
                <w:sz w:val="16"/>
              </w:rPr>
              <w:t> </w:t>
            </w:r>
            <w:r>
              <w:rPr>
                <w:b/>
                <w:sz w:val="16"/>
              </w:rPr>
              <w:t>a</w:t>
            </w:r>
            <w:r>
              <w:rPr>
                <w:b/>
                <w:spacing w:val="-6"/>
                <w:sz w:val="16"/>
              </w:rPr>
              <w:t> </w:t>
            </w:r>
            <w:r>
              <w:rPr>
                <w:b/>
                <w:sz w:val="16"/>
              </w:rPr>
              <w:t>la</w:t>
            </w:r>
            <w:r>
              <w:rPr>
                <w:b/>
                <w:spacing w:val="-2"/>
                <w:sz w:val="16"/>
              </w:rPr>
              <w:t> </w:t>
            </w:r>
            <w:r>
              <w:rPr>
                <w:b/>
                <w:sz w:val="16"/>
              </w:rPr>
              <w:t>satisfacción</w:t>
            </w:r>
            <w:r>
              <w:rPr>
                <w:b/>
                <w:spacing w:val="-5"/>
                <w:sz w:val="16"/>
              </w:rPr>
              <w:t> </w:t>
            </w:r>
            <w:r>
              <w:rPr>
                <w:b/>
                <w:sz w:val="16"/>
              </w:rPr>
              <w:t>de</w:t>
            </w:r>
            <w:r>
              <w:rPr>
                <w:b/>
                <w:spacing w:val="-6"/>
                <w:sz w:val="16"/>
              </w:rPr>
              <w:t> </w:t>
            </w:r>
            <w:r>
              <w:rPr>
                <w:b/>
                <w:sz w:val="16"/>
              </w:rPr>
              <w:t>las</w:t>
            </w:r>
            <w:r>
              <w:rPr>
                <w:b/>
                <w:spacing w:val="-2"/>
                <w:sz w:val="16"/>
              </w:rPr>
              <w:t> </w:t>
            </w:r>
            <w:r>
              <w:rPr>
                <w:b/>
                <w:sz w:val="16"/>
              </w:rPr>
              <w:t>necesidades básicas</w:t>
            </w:r>
            <w:r>
              <w:rPr>
                <w:b/>
                <w:spacing w:val="-2"/>
                <w:sz w:val="16"/>
              </w:rPr>
              <w:t> </w:t>
            </w:r>
            <w:r>
              <w:rPr>
                <w:b/>
                <w:sz w:val="16"/>
              </w:rPr>
              <w:t>de</w:t>
            </w:r>
            <w:r>
              <w:rPr>
                <w:b/>
                <w:spacing w:val="-2"/>
                <w:sz w:val="16"/>
              </w:rPr>
              <w:t> </w:t>
            </w:r>
            <w:r>
              <w:rPr>
                <w:b/>
                <w:sz w:val="16"/>
              </w:rPr>
              <w:t>personas</w:t>
            </w:r>
            <w:r>
              <w:rPr>
                <w:b/>
                <w:spacing w:val="-6"/>
                <w:sz w:val="16"/>
              </w:rPr>
              <w:t> </w:t>
            </w:r>
            <w:r>
              <w:rPr>
                <w:b/>
                <w:sz w:val="16"/>
              </w:rPr>
              <w:t>y</w:t>
            </w:r>
            <w:r>
              <w:rPr>
                <w:b/>
                <w:spacing w:val="-2"/>
                <w:sz w:val="16"/>
              </w:rPr>
              <w:t> </w:t>
            </w:r>
            <w:r>
              <w:rPr>
                <w:b/>
                <w:sz w:val="16"/>
              </w:rPr>
              <w:t>hogares</w:t>
            </w:r>
            <w:r>
              <w:rPr>
                <w:b/>
                <w:spacing w:val="-2"/>
                <w:sz w:val="16"/>
              </w:rPr>
              <w:t> </w:t>
            </w:r>
            <w:r>
              <w:rPr>
                <w:b/>
                <w:sz w:val="16"/>
              </w:rPr>
              <w:t>en</w:t>
            </w:r>
            <w:r>
              <w:rPr>
                <w:b/>
                <w:spacing w:val="-1"/>
                <w:sz w:val="16"/>
              </w:rPr>
              <w:t> </w:t>
            </w:r>
            <w:r>
              <w:rPr>
                <w:b/>
                <w:sz w:val="16"/>
              </w:rPr>
              <w:t>situación</w:t>
            </w:r>
            <w:r>
              <w:rPr>
                <w:b/>
                <w:spacing w:val="-1"/>
                <w:sz w:val="16"/>
              </w:rPr>
              <w:t> </w:t>
            </w:r>
            <w:r>
              <w:rPr>
                <w:b/>
                <w:sz w:val="16"/>
              </w:rPr>
              <w:t>de</w:t>
            </w:r>
            <w:r>
              <w:rPr>
                <w:b/>
                <w:spacing w:val="-2"/>
                <w:sz w:val="16"/>
              </w:rPr>
              <w:t> </w:t>
            </w:r>
            <w:r>
              <w:rPr>
                <w:b/>
                <w:sz w:val="16"/>
              </w:rPr>
              <w:t>pobreza,</w:t>
            </w:r>
            <w:r>
              <w:rPr>
                <w:b/>
                <w:spacing w:val="-1"/>
                <w:sz w:val="16"/>
              </w:rPr>
              <w:t> </w:t>
            </w:r>
            <w:r>
              <w:rPr>
                <w:b/>
                <w:sz w:val="16"/>
              </w:rPr>
              <w:t>u organizaciones que atienden poblaciones en dicha situación.</w:t>
            </w:r>
          </w:p>
        </w:tc>
      </w:tr>
      <w:tr>
        <w:trPr>
          <w:trHeight w:val="2760" w:hRule="atLeast"/>
        </w:trPr>
        <w:tc>
          <w:tcPr>
            <w:tcW w:w="1695" w:type="dxa"/>
          </w:tcPr>
          <w:p>
            <w:pPr>
              <w:pStyle w:val="TableParagraph"/>
              <w:spacing w:line="183" w:lineRule="exact"/>
              <w:ind w:left="72"/>
              <w:rPr>
                <w:b/>
                <w:sz w:val="16"/>
              </w:rPr>
            </w:pPr>
            <w:r>
              <w:rPr>
                <w:b/>
                <w:sz w:val="16"/>
              </w:rPr>
              <w:t>Actividad</w:t>
            </w:r>
            <w:r>
              <w:rPr>
                <w:b/>
                <w:spacing w:val="-11"/>
                <w:sz w:val="16"/>
              </w:rPr>
              <w:t> </w:t>
            </w:r>
            <w:r>
              <w:rPr>
                <w:b/>
                <w:spacing w:val="-4"/>
                <w:sz w:val="16"/>
              </w:rPr>
              <w:t>PPPS</w:t>
            </w:r>
          </w:p>
          <w:p>
            <w:pPr>
              <w:pStyle w:val="TableParagraph"/>
              <w:spacing w:before="3"/>
              <w:ind w:left="72" w:right="103"/>
              <w:rPr>
                <w:sz w:val="16"/>
              </w:rPr>
            </w:pPr>
            <w:r>
              <w:rPr>
                <w:b/>
                <w:sz w:val="16"/>
              </w:rPr>
              <w:t>1.1.1: </w:t>
            </w:r>
            <w:r>
              <w:rPr>
                <w:sz w:val="16"/>
              </w:rPr>
              <w:t>Otorgamiento del</w:t>
            </w:r>
            <w:r>
              <w:rPr>
                <w:spacing w:val="-12"/>
                <w:sz w:val="16"/>
              </w:rPr>
              <w:t> </w:t>
            </w:r>
            <w:r>
              <w:rPr>
                <w:sz w:val="16"/>
              </w:rPr>
              <w:t>subsidio</w:t>
            </w:r>
            <w:r>
              <w:rPr>
                <w:spacing w:val="-11"/>
                <w:sz w:val="16"/>
              </w:rPr>
              <w:t> </w:t>
            </w:r>
            <w:r>
              <w:rPr>
                <w:sz w:val="16"/>
              </w:rPr>
              <w:t>Atención a</w:t>
            </w:r>
            <w:r>
              <w:rPr>
                <w:spacing w:val="-8"/>
                <w:sz w:val="16"/>
              </w:rPr>
              <w:t> </w:t>
            </w:r>
            <w:r>
              <w:rPr>
                <w:sz w:val="16"/>
              </w:rPr>
              <w:t>Familias</w:t>
            </w:r>
            <w:r>
              <w:rPr>
                <w:spacing w:val="-1"/>
                <w:sz w:val="16"/>
              </w:rPr>
              <w:t> </w:t>
            </w:r>
            <w:r>
              <w:rPr>
                <w:sz w:val="16"/>
              </w:rPr>
              <w:t>a</w:t>
            </w:r>
            <w:r>
              <w:rPr>
                <w:spacing w:val="-8"/>
                <w:sz w:val="16"/>
              </w:rPr>
              <w:t> </w:t>
            </w:r>
            <w:r>
              <w:rPr>
                <w:sz w:val="16"/>
              </w:rPr>
              <w:t>hogares en situación de pobreza, como un aporte</w:t>
            </w:r>
            <w:r>
              <w:rPr>
                <w:spacing w:val="-2"/>
                <w:sz w:val="16"/>
              </w:rPr>
              <w:t> </w:t>
            </w:r>
            <w:r>
              <w:rPr>
                <w:sz w:val="16"/>
              </w:rPr>
              <w:t>económico temporal para la satisfacción de sus necesidades</w:t>
            </w:r>
            <w:r>
              <w:rPr>
                <w:spacing w:val="-12"/>
                <w:sz w:val="16"/>
              </w:rPr>
              <w:t> </w:t>
            </w:r>
            <w:r>
              <w:rPr>
                <w:sz w:val="16"/>
              </w:rPr>
              <w:t>básicas (vinculación</w:t>
            </w:r>
            <w:r>
              <w:rPr>
                <w:spacing w:val="-2"/>
                <w:sz w:val="16"/>
              </w:rPr>
              <w:t> </w:t>
            </w:r>
            <w:r>
              <w:rPr>
                <w:sz w:val="16"/>
              </w:rPr>
              <w:t>con PNDIP 2023-2026</w:t>
            </w:r>
          </w:p>
          <w:p>
            <w:pPr>
              <w:pStyle w:val="TableParagraph"/>
              <w:spacing w:line="181" w:lineRule="exact"/>
              <w:ind w:left="72"/>
              <w:rPr>
                <w:sz w:val="16"/>
              </w:rPr>
            </w:pPr>
            <w:r>
              <w:rPr>
                <w:sz w:val="16"/>
              </w:rPr>
              <w:t>A.2</w:t>
            </w:r>
            <w:r>
              <w:rPr>
                <w:spacing w:val="-4"/>
                <w:sz w:val="16"/>
              </w:rPr>
              <w:t> </w:t>
            </w:r>
            <w:r>
              <w:rPr>
                <w:sz w:val="16"/>
              </w:rPr>
              <w:t>y B.3 /</w:t>
            </w:r>
            <w:r>
              <w:rPr>
                <w:spacing w:val="-2"/>
                <w:sz w:val="16"/>
              </w:rPr>
              <w:t> </w:t>
            </w:r>
            <w:r>
              <w:rPr>
                <w:sz w:val="16"/>
              </w:rPr>
              <w:t>PEN</w:t>
            </w:r>
            <w:r>
              <w:rPr>
                <w:spacing w:val="-2"/>
                <w:sz w:val="16"/>
              </w:rPr>
              <w:t> </w:t>
            </w:r>
            <w:r>
              <w:rPr>
                <w:spacing w:val="-10"/>
                <w:sz w:val="16"/>
              </w:rPr>
              <w:t>/</w:t>
            </w:r>
          </w:p>
          <w:p>
            <w:pPr>
              <w:pStyle w:val="TableParagraph"/>
              <w:spacing w:line="182" w:lineRule="exact"/>
              <w:ind w:left="72"/>
              <w:rPr>
                <w:sz w:val="16"/>
              </w:rPr>
            </w:pPr>
            <w:r>
              <w:rPr>
                <w:sz w:val="16"/>
              </w:rPr>
              <w:t>PIEG</w:t>
            </w:r>
            <w:r>
              <w:rPr>
                <w:spacing w:val="-12"/>
                <w:sz w:val="16"/>
              </w:rPr>
              <w:t> </w:t>
            </w:r>
            <w:r>
              <w:rPr>
                <w:sz w:val="16"/>
              </w:rPr>
              <w:t>2.3.2</w:t>
            </w:r>
            <w:r>
              <w:rPr>
                <w:spacing w:val="-11"/>
                <w:sz w:val="16"/>
              </w:rPr>
              <w:t> </w:t>
            </w:r>
            <w:r>
              <w:rPr>
                <w:sz w:val="16"/>
              </w:rPr>
              <w:t>/</w:t>
            </w:r>
            <w:r>
              <w:rPr>
                <w:spacing w:val="-11"/>
                <w:sz w:val="16"/>
              </w:rPr>
              <w:t> </w:t>
            </w:r>
            <w:r>
              <w:rPr>
                <w:sz w:val="16"/>
              </w:rPr>
              <w:t>PIEG </w:t>
            </w:r>
            <w:r>
              <w:rPr>
                <w:spacing w:val="-2"/>
                <w:sz w:val="16"/>
              </w:rPr>
              <w:t>2.6.1).</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72"/>
              <w:rPr>
                <w:sz w:val="16"/>
              </w:rPr>
            </w:pPr>
            <w:r>
              <w:rPr>
                <w:sz w:val="16"/>
              </w:rPr>
              <w:t>Cantidad</w:t>
            </w:r>
            <w:r>
              <w:rPr>
                <w:spacing w:val="-12"/>
                <w:sz w:val="16"/>
              </w:rPr>
              <w:t> </w:t>
            </w:r>
            <w:r>
              <w:rPr>
                <w:sz w:val="16"/>
              </w:rPr>
              <w:t>de </w:t>
            </w:r>
            <w:r>
              <w:rPr>
                <w:spacing w:val="-2"/>
                <w:sz w:val="16"/>
              </w:rPr>
              <w:t>hogares</w:t>
            </w:r>
            <w:r>
              <w:rPr>
                <w:spacing w:val="-10"/>
                <w:sz w:val="16"/>
              </w:rPr>
              <w:t> </w:t>
            </w:r>
            <w:r>
              <w:rPr>
                <w:spacing w:val="-2"/>
                <w:sz w:val="16"/>
              </w:rPr>
              <w:t>que </w:t>
            </w:r>
            <w:r>
              <w:rPr>
                <w:sz w:val="16"/>
              </w:rPr>
              <w:t>reciben el subsidio de atención a </w:t>
            </w:r>
            <w:r>
              <w:rPr>
                <w:spacing w:val="-2"/>
                <w:sz w:val="16"/>
              </w:rPr>
              <w:t>familias.</w:t>
            </w:r>
          </w:p>
        </w:tc>
        <w:tc>
          <w:tcPr>
            <w:tcW w:w="127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59"/>
              <w:jc w:val="right"/>
              <w:rPr>
                <w:sz w:val="16"/>
              </w:rPr>
            </w:pPr>
            <w:r>
              <w:rPr>
                <w:sz w:val="16"/>
              </w:rPr>
              <w:t>26</w:t>
            </w:r>
            <w:r>
              <w:rPr>
                <w:spacing w:val="-3"/>
                <w:sz w:val="16"/>
              </w:rPr>
              <w:t> </w:t>
            </w:r>
            <w:r>
              <w:rPr>
                <w:spacing w:val="-5"/>
                <w:sz w:val="16"/>
              </w:rPr>
              <w:t>120</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5"/>
              <w:jc w:val="right"/>
              <w:rPr>
                <w:sz w:val="16"/>
              </w:rPr>
            </w:pPr>
            <w:r>
              <w:rPr>
                <w:sz w:val="16"/>
              </w:rPr>
              <w:t>₡5</w:t>
            </w:r>
            <w:r>
              <w:rPr>
                <w:spacing w:val="-6"/>
                <w:sz w:val="16"/>
              </w:rPr>
              <w:t> </w:t>
            </w:r>
            <w:r>
              <w:rPr>
                <w:sz w:val="16"/>
              </w:rPr>
              <w:t>860</w:t>
            </w:r>
            <w:r>
              <w:rPr>
                <w:spacing w:val="-1"/>
                <w:sz w:val="16"/>
              </w:rPr>
              <w:t> </w:t>
            </w:r>
            <w:r>
              <w:rPr>
                <w:sz w:val="16"/>
              </w:rPr>
              <w:t>000</w:t>
            </w:r>
            <w:r>
              <w:rPr>
                <w:spacing w:val="-2"/>
                <w:sz w:val="16"/>
              </w:rPr>
              <w:t> </w:t>
            </w:r>
            <w:r>
              <w:rPr>
                <w:spacing w:val="-5"/>
                <w:sz w:val="16"/>
              </w:rPr>
              <w:t>000</w:t>
            </w: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6"/>
              <w:jc w:val="right"/>
              <w:rPr>
                <w:sz w:val="16"/>
              </w:rPr>
            </w:pPr>
            <w:r>
              <w:rPr>
                <w:sz w:val="16"/>
              </w:rPr>
              <w:t>59</w:t>
            </w:r>
            <w:r>
              <w:rPr>
                <w:spacing w:val="-3"/>
                <w:sz w:val="16"/>
              </w:rPr>
              <w:t> </w:t>
            </w:r>
            <w:r>
              <w:rPr>
                <w:spacing w:val="-5"/>
                <w:sz w:val="16"/>
              </w:rPr>
              <w:t>000</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7"/>
              <w:jc w:val="right"/>
              <w:rPr>
                <w:sz w:val="16"/>
              </w:rPr>
            </w:pPr>
            <w:r>
              <w:rPr>
                <w:sz w:val="16"/>
              </w:rPr>
              <w:t>₡12</w:t>
            </w:r>
            <w:r>
              <w:rPr>
                <w:spacing w:val="-3"/>
                <w:sz w:val="16"/>
              </w:rPr>
              <w:t> </w:t>
            </w:r>
            <w:r>
              <w:rPr>
                <w:sz w:val="16"/>
              </w:rPr>
              <w:t>680</w:t>
            </w:r>
            <w:r>
              <w:rPr>
                <w:spacing w:val="-2"/>
                <w:sz w:val="16"/>
              </w:rPr>
              <w:t> </w:t>
            </w:r>
            <w:r>
              <w:rPr>
                <w:sz w:val="16"/>
              </w:rPr>
              <w:t>000</w:t>
            </w:r>
            <w:r>
              <w:rPr>
                <w:spacing w:val="-3"/>
                <w:sz w:val="16"/>
              </w:rPr>
              <w:t> </w:t>
            </w:r>
            <w:r>
              <w:rPr>
                <w:spacing w:val="-5"/>
                <w:sz w:val="16"/>
              </w:rPr>
              <w:t>000</w:t>
            </w: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6"/>
              <w:jc w:val="right"/>
              <w:rPr>
                <w:sz w:val="16"/>
              </w:rPr>
            </w:pPr>
            <w:r>
              <w:rPr>
                <w:sz w:val="16"/>
              </w:rPr>
              <w:t>59</w:t>
            </w:r>
            <w:r>
              <w:rPr>
                <w:spacing w:val="-3"/>
                <w:sz w:val="16"/>
              </w:rPr>
              <w:t> </w:t>
            </w:r>
            <w:r>
              <w:rPr>
                <w:spacing w:val="-5"/>
                <w:sz w:val="16"/>
              </w:rPr>
              <w:t>000</w:t>
            </w:r>
          </w:p>
        </w:tc>
        <w:tc>
          <w:tcPr>
            <w:tcW w:w="17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7"/>
              <w:jc w:val="right"/>
              <w:rPr>
                <w:sz w:val="16"/>
              </w:rPr>
            </w:pPr>
            <w:r>
              <w:rPr>
                <w:sz w:val="16"/>
              </w:rPr>
              <w:t>₡20</w:t>
            </w:r>
            <w:r>
              <w:rPr>
                <w:spacing w:val="-3"/>
                <w:sz w:val="16"/>
              </w:rPr>
              <w:t> </w:t>
            </w:r>
            <w:r>
              <w:rPr>
                <w:sz w:val="16"/>
              </w:rPr>
              <w:t>560</w:t>
            </w:r>
            <w:r>
              <w:rPr>
                <w:spacing w:val="-2"/>
                <w:sz w:val="16"/>
              </w:rPr>
              <w:t> </w:t>
            </w:r>
            <w:r>
              <w:rPr>
                <w:sz w:val="16"/>
              </w:rPr>
              <w:t>000</w:t>
            </w:r>
            <w:r>
              <w:rPr>
                <w:spacing w:val="-3"/>
                <w:sz w:val="16"/>
              </w:rPr>
              <w:t> </w:t>
            </w:r>
            <w:r>
              <w:rPr>
                <w:spacing w:val="-5"/>
                <w:sz w:val="16"/>
              </w:rPr>
              <w:t>000</w:t>
            </w: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2"/>
              <w:jc w:val="right"/>
              <w:rPr>
                <w:sz w:val="16"/>
              </w:rPr>
            </w:pPr>
            <w:r>
              <w:rPr>
                <w:sz w:val="16"/>
              </w:rPr>
              <w:t>87</w:t>
            </w:r>
            <w:r>
              <w:rPr>
                <w:spacing w:val="-3"/>
                <w:sz w:val="16"/>
              </w:rPr>
              <w:t> </w:t>
            </w:r>
            <w:r>
              <w:rPr>
                <w:spacing w:val="-5"/>
                <w:sz w:val="16"/>
              </w:rPr>
              <w:t>815</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72"/>
              <w:jc w:val="right"/>
              <w:rPr>
                <w:sz w:val="16"/>
              </w:rPr>
            </w:pPr>
            <w:r>
              <w:rPr>
                <w:sz w:val="16"/>
              </w:rPr>
              <w:t>₡25</w:t>
            </w:r>
            <w:r>
              <w:rPr>
                <w:spacing w:val="-3"/>
                <w:sz w:val="16"/>
              </w:rPr>
              <w:t> </w:t>
            </w:r>
            <w:r>
              <w:rPr>
                <w:sz w:val="16"/>
              </w:rPr>
              <w:t>694</w:t>
            </w:r>
            <w:r>
              <w:rPr>
                <w:spacing w:val="-2"/>
                <w:sz w:val="16"/>
              </w:rPr>
              <w:t> </w:t>
            </w:r>
            <w:r>
              <w:rPr>
                <w:sz w:val="16"/>
              </w:rPr>
              <w:t>506</w:t>
            </w:r>
            <w:r>
              <w:rPr>
                <w:spacing w:val="-1"/>
                <w:sz w:val="16"/>
              </w:rPr>
              <w:t> </w:t>
            </w:r>
            <w:r>
              <w:rPr>
                <w:spacing w:val="-5"/>
                <w:sz w:val="16"/>
              </w:rPr>
              <w:t>425</w:t>
            </w:r>
          </w:p>
        </w:tc>
      </w:tr>
      <w:tr>
        <w:trPr>
          <w:trHeight w:val="633" w:hRule="atLeast"/>
        </w:trPr>
        <w:tc>
          <w:tcPr>
            <w:tcW w:w="1695" w:type="dxa"/>
          </w:tcPr>
          <w:p>
            <w:pPr>
              <w:pStyle w:val="TableParagraph"/>
              <w:spacing w:line="183" w:lineRule="exact" w:before="41"/>
              <w:ind w:left="72"/>
              <w:rPr>
                <w:b/>
                <w:sz w:val="16"/>
              </w:rPr>
            </w:pPr>
            <w:r>
              <w:rPr>
                <w:b/>
                <w:sz w:val="16"/>
              </w:rPr>
              <w:t>Actividad</w:t>
            </w:r>
            <w:r>
              <w:rPr>
                <w:b/>
                <w:spacing w:val="-11"/>
                <w:sz w:val="16"/>
              </w:rPr>
              <w:t> </w:t>
            </w:r>
            <w:r>
              <w:rPr>
                <w:b/>
                <w:spacing w:val="-4"/>
                <w:sz w:val="16"/>
              </w:rPr>
              <w:t>PPPS</w:t>
            </w:r>
          </w:p>
          <w:p>
            <w:pPr>
              <w:pStyle w:val="TableParagraph"/>
              <w:ind w:left="72" w:right="103"/>
              <w:rPr>
                <w:sz w:val="16"/>
              </w:rPr>
            </w:pPr>
            <w:r>
              <w:rPr>
                <w:b/>
                <w:spacing w:val="-2"/>
                <w:sz w:val="16"/>
              </w:rPr>
              <w:t>1.1.2:</w:t>
            </w:r>
            <w:r>
              <w:rPr>
                <w:b/>
                <w:spacing w:val="-8"/>
                <w:sz w:val="16"/>
              </w:rPr>
              <w:t> </w:t>
            </w:r>
            <w:r>
              <w:rPr>
                <w:spacing w:val="-2"/>
                <w:sz w:val="16"/>
              </w:rPr>
              <w:t>Otorgamiento </w:t>
            </w:r>
            <w:r>
              <w:rPr>
                <w:sz w:val="16"/>
              </w:rPr>
              <w:t>de transferencias</w:t>
            </w:r>
          </w:p>
        </w:tc>
        <w:tc>
          <w:tcPr>
            <w:tcW w:w="1280" w:type="dxa"/>
          </w:tcPr>
          <w:p>
            <w:pPr>
              <w:pStyle w:val="TableParagraph"/>
              <w:spacing w:before="41"/>
              <w:ind w:left="72"/>
              <w:rPr>
                <w:sz w:val="16"/>
              </w:rPr>
            </w:pPr>
            <w:r>
              <w:rPr>
                <w:sz w:val="16"/>
              </w:rPr>
              <w:t>Cantidad</w:t>
            </w:r>
            <w:r>
              <w:rPr>
                <w:spacing w:val="-12"/>
                <w:sz w:val="16"/>
              </w:rPr>
              <w:t> </w:t>
            </w:r>
            <w:r>
              <w:rPr>
                <w:sz w:val="16"/>
              </w:rPr>
              <w:t>de </w:t>
            </w:r>
            <w:r>
              <w:rPr>
                <w:spacing w:val="-2"/>
                <w:sz w:val="16"/>
              </w:rPr>
              <w:t>personas trabajadoras</w:t>
            </w:r>
          </w:p>
        </w:tc>
        <w:tc>
          <w:tcPr>
            <w:tcW w:w="1275" w:type="dxa"/>
          </w:tcPr>
          <w:p>
            <w:pPr>
              <w:pStyle w:val="TableParagraph"/>
              <w:spacing w:before="40"/>
              <w:rPr>
                <w:b/>
                <w:sz w:val="16"/>
              </w:rPr>
            </w:pPr>
          </w:p>
          <w:p>
            <w:pPr>
              <w:pStyle w:val="TableParagraph"/>
              <w:ind w:right="59"/>
              <w:jc w:val="right"/>
              <w:rPr>
                <w:sz w:val="16"/>
              </w:rPr>
            </w:pPr>
            <w:r>
              <w:rPr>
                <w:sz w:val="16"/>
              </w:rPr>
              <w:t>2</w:t>
            </w:r>
            <w:r>
              <w:rPr>
                <w:spacing w:val="-4"/>
                <w:sz w:val="16"/>
              </w:rPr>
              <w:t> </w:t>
            </w:r>
            <w:r>
              <w:rPr>
                <w:spacing w:val="-5"/>
                <w:sz w:val="16"/>
              </w:rPr>
              <w:t>000</w:t>
            </w:r>
          </w:p>
        </w:tc>
        <w:tc>
          <w:tcPr>
            <w:tcW w:w="1561" w:type="dxa"/>
          </w:tcPr>
          <w:p>
            <w:pPr>
              <w:pStyle w:val="TableParagraph"/>
              <w:spacing w:before="40"/>
              <w:rPr>
                <w:b/>
                <w:sz w:val="16"/>
              </w:rPr>
            </w:pPr>
          </w:p>
          <w:p>
            <w:pPr>
              <w:pStyle w:val="TableParagraph"/>
              <w:ind w:right="65"/>
              <w:jc w:val="right"/>
              <w:rPr>
                <w:sz w:val="16"/>
              </w:rPr>
            </w:pPr>
            <w:r>
              <w:rPr>
                <w:sz w:val="16"/>
              </w:rPr>
              <w:t>₡600</w:t>
            </w:r>
            <w:r>
              <w:rPr>
                <w:spacing w:val="-5"/>
                <w:sz w:val="16"/>
              </w:rPr>
              <w:t> </w:t>
            </w:r>
            <w:r>
              <w:rPr>
                <w:sz w:val="16"/>
              </w:rPr>
              <w:t>000</w:t>
            </w:r>
            <w:r>
              <w:rPr>
                <w:spacing w:val="-4"/>
                <w:sz w:val="16"/>
              </w:rPr>
              <w:t> </w:t>
            </w:r>
            <w:r>
              <w:rPr>
                <w:spacing w:val="-5"/>
                <w:sz w:val="16"/>
              </w:rPr>
              <w:t>000</w:t>
            </w:r>
          </w:p>
        </w:tc>
        <w:tc>
          <w:tcPr>
            <w:tcW w:w="1134" w:type="dxa"/>
          </w:tcPr>
          <w:p>
            <w:pPr>
              <w:pStyle w:val="TableParagraph"/>
              <w:spacing w:before="40"/>
              <w:rPr>
                <w:b/>
                <w:sz w:val="16"/>
              </w:rPr>
            </w:pPr>
          </w:p>
          <w:p>
            <w:pPr>
              <w:pStyle w:val="TableParagraph"/>
              <w:ind w:right="65"/>
              <w:jc w:val="right"/>
              <w:rPr>
                <w:sz w:val="16"/>
              </w:rPr>
            </w:pPr>
            <w:r>
              <w:rPr>
                <w:sz w:val="16"/>
              </w:rPr>
              <w:t>2</w:t>
            </w:r>
            <w:r>
              <w:rPr>
                <w:spacing w:val="-4"/>
                <w:sz w:val="16"/>
              </w:rPr>
              <w:t> </w:t>
            </w:r>
            <w:r>
              <w:rPr>
                <w:spacing w:val="-5"/>
                <w:sz w:val="16"/>
              </w:rPr>
              <w:t>544</w:t>
            </w:r>
          </w:p>
        </w:tc>
        <w:tc>
          <w:tcPr>
            <w:tcW w:w="1561" w:type="dxa"/>
          </w:tcPr>
          <w:p>
            <w:pPr>
              <w:pStyle w:val="TableParagraph"/>
              <w:spacing w:before="40"/>
              <w:rPr>
                <w:b/>
                <w:sz w:val="16"/>
              </w:rPr>
            </w:pPr>
          </w:p>
          <w:p>
            <w:pPr>
              <w:pStyle w:val="TableParagraph"/>
              <w:ind w:right="67"/>
              <w:jc w:val="right"/>
              <w:rPr>
                <w:sz w:val="16"/>
              </w:rPr>
            </w:pPr>
            <w:r>
              <w:rPr>
                <w:sz w:val="16"/>
              </w:rPr>
              <w:t>₡1</w:t>
            </w:r>
            <w:r>
              <w:rPr>
                <w:spacing w:val="-6"/>
                <w:sz w:val="16"/>
              </w:rPr>
              <w:t> </w:t>
            </w:r>
            <w:r>
              <w:rPr>
                <w:sz w:val="16"/>
              </w:rPr>
              <w:t>363</w:t>
            </w:r>
            <w:r>
              <w:rPr>
                <w:spacing w:val="-1"/>
                <w:sz w:val="16"/>
              </w:rPr>
              <w:t> </w:t>
            </w:r>
            <w:r>
              <w:rPr>
                <w:sz w:val="16"/>
              </w:rPr>
              <w:t>200</w:t>
            </w:r>
            <w:r>
              <w:rPr>
                <w:spacing w:val="-2"/>
                <w:sz w:val="16"/>
              </w:rPr>
              <w:t> </w:t>
            </w:r>
            <w:r>
              <w:rPr>
                <w:spacing w:val="-5"/>
                <w:sz w:val="16"/>
              </w:rPr>
              <w:t>000</w:t>
            </w:r>
          </w:p>
        </w:tc>
        <w:tc>
          <w:tcPr>
            <w:tcW w:w="1277" w:type="dxa"/>
          </w:tcPr>
          <w:p>
            <w:pPr>
              <w:pStyle w:val="TableParagraph"/>
              <w:spacing w:before="40"/>
              <w:rPr>
                <w:b/>
                <w:sz w:val="16"/>
              </w:rPr>
            </w:pPr>
          </w:p>
          <w:p>
            <w:pPr>
              <w:pStyle w:val="TableParagraph"/>
              <w:ind w:right="66"/>
              <w:jc w:val="right"/>
              <w:rPr>
                <w:sz w:val="16"/>
              </w:rPr>
            </w:pPr>
            <w:r>
              <w:rPr>
                <w:sz w:val="16"/>
              </w:rPr>
              <w:t>2</w:t>
            </w:r>
            <w:r>
              <w:rPr>
                <w:spacing w:val="-4"/>
                <w:sz w:val="16"/>
              </w:rPr>
              <w:t> </w:t>
            </w:r>
            <w:r>
              <w:rPr>
                <w:spacing w:val="-5"/>
                <w:sz w:val="16"/>
              </w:rPr>
              <w:t>544</w:t>
            </w:r>
          </w:p>
        </w:tc>
        <w:tc>
          <w:tcPr>
            <w:tcW w:w="1700" w:type="dxa"/>
          </w:tcPr>
          <w:p>
            <w:pPr>
              <w:pStyle w:val="TableParagraph"/>
              <w:spacing w:before="40"/>
              <w:rPr>
                <w:b/>
                <w:sz w:val="16"/>
              </w:rPr>
            </w:pPr>
          </w:p>
          <w:p>
            <w:pPr>
              <w:pStyle w:val="TableParagraph"/>
              <w:ind w:right="67"/>
              <w:jc w:val="right"/>
              <w:rPr>
                <w:sz w:val="16"/>
              </w:rPr>
            </w:pPr>
            <w:r>
              <w:rPr>
                <w:sz w:val="16"/>
              </w:rPr>
              <w:t>₡2</w:t>
            </w:r>
            <w:r>
              <w:rPr>
                <w:spacing w:val="-6"/>
                <w:sz w:val="16"/>
              </w:rPr>
              <w:t> </w:t>
            </w:r>
            <w:r>
              <w:rPr>
                <w:sz w:val="16"/>
              </w:rPr>
              <w:t>126</w:t>
            </w:r>
            <w:r>
              <w:rPr>
                <w:spacing w:val="-1"/>
                <w:sz w:val="16"/>
              </w:rPr>
              <w:t> </w:t>
            </w:r>
            <w:r>
              <w:rPr>
                <w:sz w:val="16"/>
              </w:rPr>
              <w:t>400</w:t>
            </w:r>
            <w:r>
              <w:rPr>
                <w:spacing w:val="-2"/>
                <w:sz w:val="16"/>
              </w:rPr>
              <w:t> </w:t>
            </w:r>
            <w:r>
              <w:rPr>
                <w:spacing w:val="-5"/>
                <w:sz w:val="16"/>
              </w:rPr>
              <w:t>000</w:t>
            </w:r>
          </w:p>
        </w:tc>
        <w:tc>
          <w:tcPr>
            <w:tcW w:w="1345" w:type="dxa"/>
          </w:tcPr>
          <w:p>
            <w:pPr>
              <w:pStyle w:val="TableParagraph"/>
              <w:spacing w:before="40"/>
              <w:rPr>
                <w:b/>
                <w:sz w:val="16"/>
              </w:rPr>
            </w:pPr>
          </w:p>
          <w:p>
            <w:pPr>
              <w:pStyle w:val="TableParagraph"/>
              <w:ind w:right="62"/>
              <w:jc w:val="right"/>
              <w:rPr>
                <w:sz w:val="16"/>
              </w:rPr>
            </w:pPr>
            <w:r>
              <w:rPr>
                <w:sz w:val="16"/>
              </w:rPr>
              <w:t>2</w:t>
            </w:r>
            <w:r>
              <w:rPr>
                <w:spacing w:val="-4"/>
                <w:sz w:val="16"/>
              </w:rPr>
              <w:t> </w:t>
            </w:r>
            <w:r>
              <w:rPr>
                <w:spacing w:val="-5"/>
                <w:sz w:val="16"/>
              </w:rPr>
              <w:t>560</w:t>
            </w:r>
          </w:p>
        </w:tc>
        <w:tc>
          <w:tcPr>
            <w:tcW w:w="1494" w:type="dxa"/>
          </w:tcPr>
          <w:p>
            <w:pPr>
              <w:pStyle w:val="TableParagraph"/>
              <w:spacing w:before="40"/>
              <w:rPr>
                <w:b/>
                <w:sz w:val="16"/>
              </w:rPr>
            </w:pPr>
          </w:p>
          <w:p>
            <w:pPr>
              <w:pStyle w:val="TableParagraph"/>
              <w:ind w:right="73"/>
              <w:jc w:val="right"/>
              <w:rPr>
                <w:sz w:val="16"/>
              </w:rPr>
            </w:pPr>
            <w:r>
              <w:rPr>
                <w:sz w:val="16"/>
              </w:rPr>
              <w:t>₡3</w:t>
            </w:r>
            <w:r>
              <w:rPr>
                <w:spacing w:val="-6"/>
                <w:sz w:val="16"/>
              </w:rPr>
              <w:t> </w:t>
            </w:r>
            <w:r>
              <w:rPr>
                <w:sz w:val="16"/>
              </w:rPr>
              <w:t>054</w:t>
            </w:r>
            <w:r>
              <w:rPr>
                <w:spacing w:val="-1"/>
                <w:sz w:val="16"/>
              </w:rPr>
              <w:t> </w:t>
            </w:r>
            <w:r>
              <w:rPr>
                <w:sz w:val="16"/>
              </w:rPr>
              <w:t>978</w:t>
            </w:r>
            <w:r>
              <w:rPr>
                <w:spacing w:val="-2"/>
                <w:sz w:val="16"/>
              </w:rPr>
              <w:t> </w:t>
            </w:r>
            <w:r>
              <w:rPr>
                <w:spacing w:val="-5"/>
                <w:sz w:val="16"/>
              </w:rPr>
              <w:t>795</w:t>
            </w:r>
          </w:p>
        </w:tc>
      </w:tr>
    </w:tbl>
    <w:p>
      <w:pPr>
        <w:pStyle w:val="TableParagraph"/>
        <w:spacing w:after="0"/>
        <w:jc w:val="right"/>
        <w:rPr>
          <w:sz w:val="16"/>
        </w:rPr>
        <w:sectPr>
          <w:pgSz w:w="15840" w:h="12240" w:orient="landscape"/>
          <w:pgMar w:header="0" w:footer="1806" w:top="138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80"/>
        <w:gridCol w:w="1275"/>
        <w:gridCol w:w="1561"/>
        <w:gridCol w:w="1134"/>
        <w:gridCol w:w="1561"/>
        <w:gridCol w:w="1277"/>
        <w:gridCol w:w="1700"/>
        <w:gridCol w:w="1345"/>
        <w:gridCol w:w="1494"/>
      </w:tblGrid>
      <w:tr>
        <w:trPr>
          <w:trHeight w:val="316" w:hRule="atLeast"/>
        </w:trPr>
        <w:tc>
          <w:tcPr>
            <w:tcW w:w="1695" w:type="dxa"/>
            <w:vMerge w:val="restart"/>
            <w:tcBorders>
              <w:bottom w:val="nil"/>
            </w:tcBorders>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80" w:type="dxa"/>
            <w:vMerge w:val="restart"/>
            <w:tcBorders>
              <w:bottom w:val="nil"/>
            </w:tcBorders>
            <w:shd w:val="clear" w:color="auto" w:fill="F1F1F1"/>
          </w:tcPr>
          <w:p>
            <w:pPr>
              <w:pStyle w:val="TableParagraph"/>
              <w:spacing w:line="183" w:lineRule="exact"/>
              <w:ind w:left="278"/>
              <w:rPr>
                <w:b/>
                <w:sz w:val="16"/>
              </w:rPr>
            </w:pPr>
            <w:r>
              <w:rPr>
                <w:b/>
                <w:spacing w:val="-2"/>
                <w:sz w:val="16"/>
              </w:rPr>
              <w:t>Indicador</w:t>
            </w:r>
          </w:p>
        </w:tc>
        <w:tc>
          <w:tcPr>
            <w:tcW w:w="2836" w:type="dxa"/>
            <w:gridSpan w:val="2"/>
            <w:shd w:val="clear" w:color="auto" w:fill="F1F1F1"/>
          </w:tcPr>
          <w:p>
            <w:pPr>
              <w:pStyle w:val="TableParagraph"/>
              <w:spacing w:line="183" w:lineRule="exact"/>
              <w:ind w:left="6"/>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left="2"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left="2"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bottom w:val="nil"/>
            </w:tcBorders>
            <w:shd w:val="clear" w:color="auto" w:fill="F1F1F1"/>
          </w:tcPr>
          <w:p>
            <w:pPr>
              <w:rPr>
                <w:sz w:val="2"/>
                <w:szCs w:val="2"/>
              </w:rPr>
            </w:pPr>
          </w:p>
        </w:tc>
        <w:tc>
          <w:tcPr>
            <w:tcW w:w="1280" w:type="dxa"/>
            <w:vMerge/>
            <w:tcBorders>
              <w:top w:val="nil"/>
              <w:bottom w:val="nil"/>
            </w:tcBorders>
            <w:shd w:val="clear" w:color="auto" w:fill="F1F1F1"/>
          </w:tcPr>
          <w:p>
            <w:pPr>
              <w:rPr>
                <w:sz w:val="2"/>
                <w:szCs w:val="2"/>
              </w:rPr>
            </w:pPr>
          </w:p>
        </w:tc>
        <w:tc>
          <w:tcPr>
            <w:tcW w:w="1275" w:type="dxa"/>
            <w:shd w:val="clear" w:color="auto" w:fill="F1F1F1"/>
          </w:tcPr>
          <w:p>
            <w:pPr>
              <w:pStyle w:val="TableParagraph"/>
              <w:spacing w:line="182" w:lineRule="exact" w:before="167"/>
              <w:ind w:left="174"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99"/>
              <w:jc w:val="center"/>
              <w:rPr>
                <w:b/>
                <w:sz w:val="16"/>
              </w:rPr>
            </w:pPr>
            <w:r>
              <w:rPr>
                <w:b/>
                <w:spacing w:val="-10"/>
                <w:sz w:val="16"/>
              </w:rPr>
              <w:t>¢</w:t>
            </w:r>
          </w:p>
        </w:tc>
        <w:tc>
          <w:tcPr>
            <w:tcW w:w="1134" w:type="dxa"/>
            <w:shd w:val="clear" w:color="auto" w:fill="F1F1F1"/>
          </w:tcPr>
          <w:p>
            <w:pPr>
              <w:pStyle w:val="TableParagraph"/>
              <w:spacing w:line="182" w:lineRule="exact" w:before="167"/>
              <w:ind w:left="99"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277" w:type="dxa"/>
            <w:shd w:val="clear" w:color="auto" w:fill="F1F1F1"/>
          </w:tcPr>
          <w:p>
            <w:pPr>
              <w:pStyle w:val="TableParagraph"/>
              <w:spacing w:line="182" w:lineRule="exact" w:before="167"/>
              <w:ind w:left="170"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5"/>
              <w:jc w:val="center"/>
              <w:rPr>
                <w:b/>
                <w:sz w:val="16"/>
              </w:rPr>
            </w:pPr>
            <w:r>
              <w:rPr>
                <w:b/>
                <w:spacing w:val="-10"/>
                <w:sz w:val="16"/>
              </w:rPr>
              <w:t>¢</w:t>
            </w:r>
          </w:p>
        </w:tc>
        <w:tc>
          <w:tcPr>
            <w:tcW w:w="1345" w:type="dxa"/>
            <w:shd w:val="clear" w:color="auto" w:fill="F1F1F1"/>
          </w:tcPr>
          <w:p>
            <w:pPr>
              <w:pStyle w:val="TableParagraph"/>
              <w:spacing w:line="182" w:lineRule="exact" w:before="167"/>
              <w:ind w:left="208"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left="2" w:right="9"/>
              <w:jc w:val="center"/>
              <w:rPr>
                <w:b/>
                <w:sz w:val="16"/>
              </w:rPr>
            </w:pPr>
            <w:r>
              <w:rPr>
                <w:b/>
                <w:spacing w:val="-10"/>
                <w:sz w:val="16"/>
              </w:rPr>
              <w:t>¢</w:t>
            </w:r>
          </w:p>
        </w:tc>
      </w:tr>
      <w:tr>
        <w:trPr>
          <w:trHeight w:val="2026" w:hRule="atLeast"/>
        </w:trPr>
        <w:tc>
          <w:tcPr>
            <w:tcW w:w="1695" w:type="dxa"/>
            <w:tcBorders>
              <w:top w:val="nil"/>
            </w:tcBorders>
          </w:tcPr>
          <w:p>
            <w:pPr>
              <w:pStyle w:val="TableParagraph"/>
              <w:ind w:left="72" w:right="103"/>
              <w:rPr>
                <w:sz w:val="16"/>
              </w:rPr>
            </w:pPr>
            <w:r>
              <w:rPr>
                <w:sz w:val="16"/>
              </w:rPr>
              <w:t>económicas a </w:t>
            </w:r>
            <w:r>
              <w:rPr>
                <w:spacing w:val="-2"/>
                <w:sz w:val="16"/>
              </w:rPr>
              <w:t>personas </w:t>
            </w:r>
            <w:r>
              <w:rPr>
                <w:sz w:val="16"/>
              </w:rPr>
              <w:t>trabajadoras con bajos</w:t>
            </w:r>
            <w:r>
              <w:rPr>
                <w:spacing w:val="-12"/>
                <w:sz w:val="16"/>
              </w:rPr>
              <w:t> </w:t>
            </w:r>
            <w:r>
              <w:rPr>
                <w:sz w:val="16"/>
              </w:rPr>
              <w:t>ingresos</w:t>
            </w:r>
            <w:r>
              <w:rPr>
                <w:spacing w:val="-11"/>
                <w:sz w:val="16"/>
              </w:rPr>
              <w:t> </w:t>
            </w:r>
            <w:r>
              <w:rPr>
                <w:sz w:val="16"/>
              </w:rPr>
              <w:t>que tengan a su cargo personas con </w:t>
            </w:r>
            <w:r>
              <w:rPr>
                <w:spacing w:val="-2"/>
                <w:sz w:val="16"/>
              </w:rPr>
              <w:t>discapacidad permanente.</w:t>
            </w:r>
          </w:p>
        </w:tc>
        <w:tc>
          <w:tcPr>
            <w:tcW w:w="1280" w:type="dxa"/>
            <w:tcBorders>
              <w:top w:val="nil"/>
            </w:tcBorders>
          </w:tcPr>
          <w:p>
            <w:pPr>
              <w:pStyle w:val="TableParagraph"/>
              <w:ind w:left="72" w:right="96"/>
              <w:rPr>
                <w:sz w:val="16"/>
              </w:rPr>
            </w:pPr>
            <w:r>
              <w:rPr>
                <w:sz w:val="16"/>
              </w:rPr>
              <w:t>con bajos ingresos que tengan a su </w:t>
            </w:r>
            <w:r>
              <w:rPr>
                <w:spacing w:val="-2"/>
                <w:sz w:val="16"/>
              </w:rPr>
              <w:t>cargo</w:t>
            </w:r>
            <w:r>
              <w:rPr>
                <w:spacing w:val="-10"/>
                <w:sz w:val="16"/>
              </w:rPr>
              <w:t> </w:t>
            </w:r>
            <w:r>
              <w:rPr>
                <w:spacing w:val="-2"/>
                <w:sz w:val="16"/>
              </w:rPr>
              <w:t>personas </w:t>
            </w:r>
            <w:r>
              <w:rPr>
                <w:spacing w:val="-4"/>
                <w:sz w:val="16"/>
              </w:rPr>
              <w:t>con </w:t>
            </w:r>
            <w:r>
              <w:rPr>
                <w:spacing w:val="-2"/>
                <w:sz w:val="16"/>
              </w:rPr>
              <w:t>discapacidad </w:t>
            </w:r>
            <w:r>
              <w:rPr>
                <w:sz w:val="16"/>
              </w:rPr>
              <w:t>permanente</w:t>
            </w:r>
            <w:r>
              <w:rPr>
                <w:spacing w:val="-2"/>
                <w:sz w:val="16"/>
              </w:rPr>
              <w:t> </w:t>
            </w:r>
            <w:r>
              <w:rPr>
                <w:sz w:val="16"/>
              </w:rPr>
              <w:t>y que reciben el subsidio de </w:t>
            </w:r>
            <w:r>
              <w:rPr>
                <w:spacing w:val="-2"/>
                <w:sz w:val="16"/>
              </w:rPr>
              <w:t>Asignación</w:t>
            </w:r>
          </w:p>
          <w:p>
            <w:pPr>
              <w:pStyle w:val="TableParagraph"/>
              <w:spacing w:line="163" w:lineRule="exact" w:before="3"/>
              <w:ind w:left="72"/>
              <w:rPr>
                <w:sz w:val="16"/>
              </w:rPr>
            </w:pPr>
            <w:r>
              <w:rPr>
                <w:spacing w:val="-2"/>
                <w:sz w:val="16"/>
              </w:rPr>
              <w:t>Familiar.</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rFonts w:ascii="Times New Roman"/>
                <w:sz w:val="16"/>
              </w:rPr>
            </w:pPr>
          </w:p>
        </w:tc>
        <w:tc>
          <w:tcPr>
            <w:tcW w:w="1494" w:type="dxa"/>
          </w:tcPr>
          <w:p>
            <w:pPr>
              <w:pStyle w:val="TableParagraph"/>
              <w:rPr>
                <w:rFonts w:ascii="Times New Roman"/>
                <w:sz w:val="16"/>
              </w:rPr>
            </w:pPr>
          </w:p>
        </w:tc>
      </w:tr>
      <w:tr>
        <w:trPr>
          <w:trHeight w:val="2760" w:hRule="atLeast"/>
        </w:trPr>
        <w:tc>
          <w:tcPr>
            <w:tcW w:w="1695" w:type="dxa"/>
          </w:tcPr>
          <w:p>
            <w:pPr>
              <w:pStyle w:val="TableParagraph"/>
              <w:spacing w:line="183" w:lineRule="exact"/>
              <w:ind w:left="72"/>
              <w:rPr>
                <w:b/>
                <w:sz w:val="16"/>
              </w:rPr>
            </w:pPr>
            <w:r>
              <w:rPr>
                <w:b/>
                <w:sz w:val="16"/>
              </w:rPr>
              <w:t>Actividad</w:t>
            </w:r>
            <w:r>
              <w:rPr>
                <w:b/>
                <w:spacing w:val="-11"/>
                <w:sz w:val="16"/>
              </w:rPr>
              <w:t> </w:t>
            </w:r>
            <w:r>
              <w:rPr>
                <w:b/>
                <w:spacing w:val="-4"/>
                <w:sz w:val="16"/>
              </w:rPr>
              <w:t>PPPS</w:t>
            </w:r>
          </w:p>
          <w:p>
            <w:pPr>
              <w:pStyle w:val="TableParagraph"/>
              <w:spacing w:before="3"/>
              <w:ind w:left="72" w:right="103"/>
              <w:rPr>
                <w:sz w:val="16"/>
              </w:rPr>
            </w:pPr>
            <w:r>
              <w:rPr>
                <w:b/>
                <w:sz w:val="16"/>
              </w:rPr>
              <w:t>1.1.3: </w:t>
            </w:r>
            <w:r>
              <w:rPr>
                <w:sz w:val="16"/>
              </w:rPr>
              <w:t>Otorgamiento de transferencias económicas a personas</w:t>
            </w:r>
            <w:r>
              <w:rPr>
                <w:spacing w:val="-4"/>
                <w:sz w:val="16"/>
              </w:rPr>
              <w:t> </w:t>
            </w:r>
            <w:r>
              <w:rPr>
                <w:sz w:val="16"/>
              </w:rPr>
              <w:t>jóvenes</w:t>
            </w:r>
            <w:r>
              <w:rPr>
                <w:spacing w:val="-8"/>
                <w:sz w:val="16"/>
              </w:rPr>
              <w:t> </w:t>
            </w:r>
            <w:r>
              <w:rPr>
                <w:sz w:val="16"/>
              </w:rPr>
              <w:t>de 18 a 25 años que egresan del Sistema Nacional</w:t>
            </w:r>
            <w:r>
              <w:rPr>
                <w:spacing w:val="-2"/>
                <w:sz w:val="16"/>
              </w:rPr>
              <w:t> </w:t>
            </w:r>
            <w:r>
              <w:rPr>
                <w:sz w:val="16"/>
              </w:rPr>
              <w:t>de Protección Especial del</w:t>
            </w:r>
            <w:r>
              <w:rPr>
                <w:spacing w:val="-9"/>
                <w:sz w:val="16"/>
              </w:rPr>
              <w:t> </w:t>
            </w:r>
            <w:r>
              <w:rPr>
                <w:sz w:val="16"/>
              </w:rPr>
              <w:t>PANI,</w:t>
            </w:r>
            <w:r>
              <w:rPr>
                <w:spacing w:val="-9"/>
                <w:sz w:val="16"/>
              </w:rPr>
              <w:t> </w:t>
            </w:r>
            <w:r>
              <w:rPr>
                <w:sz w:val="16"/>
              </w:rPr>
              <w:t>así</w:t>
            </w:r>
            <w:r>
              <w:rPr>
                <w:spacing w:val="-12"/>
                <w:sz w:val="16"/>
              </w:rPr>
              <w:t> </w:t>
            </w:r>
            <w:r>
              <w:rPr>
                <w:sz w:val="16"/>
              </w:rPr>
              <w:t>como</w:t>
            </w:r>
            <w:r>
              <w:rPr>
                <w:spacing w:val="-8"/>
                <w:sz w:val="16"/>
              </w:rPr>
              <w:t> </w:t>
            </w:r>
            <w:r>
              <w:rPr>
                <w:sz w:val="16"/>
              </w:rPr>
              <w:t>a personas con condición de </w:t>
            </w:r>
            <w:r>
              <w:rPr>
                <w:spacing w:val="-2"/>
                <w:sz w:val="16"/>
              </w:rPr>
              <w:t>discapacidad </w:t>
            </w:r>
            <w:r>
              <w:rPr>
                <w:sz w:val="16"/>
              </w:rPr>
              <w:t>permanente</w:t>
            </w:r>
            <w:r>
              <w:rPr>
                <w:spacing w:val="-12"/>
                <w:sz w:val="16"/>
              </w:rPr>
              <w:t> </w:t>
            </w:r>
            <w:r>
              <w:rPr>
                <w:sz w:val="16"/>
              </w:rPr>
              <w:t>entre</w:t>
            </w:r>
            <w:r>
              <w:rPr>
                <w:spacing w:val="-11"/>
                <w:sz w:val="16"/>
              </w:rPr>
              <w:t> </w:t>
            </w:r>
            <w:r>
              <w:rPr>
                <w:sz w:val="16"/>
              </w:rPr>
              <w:t>los</w:t>
            </w:r>
          </w:p>
          <w:p>
            <w:pPr>
              <w:pStyle w:val="TableParagraph"/>
              <w:spacing w:line="163" w:lineRule="exact"/>
              <w:ind w:left="72"/>
              <w:rPr>
                <w:sz w:val="16"/>
              </w:rPr>
            </w:pPr>
            <w:r>
              <w:rPr>
                <w:sz w:val="16"/>
              </w:rPr>
              <w:t>18</w:t>
            </w:r>
            <w:r>
              <w:rPr>
                <w:spacing w:val="-7"/>
                <w:sz w:val="16"/>
              </w:rPr>
              <w:t> </w:t>
            </w:r>
            <w:r>
              <w:rPr>
                <w:sz w:val="16"/>
              </w:rPr>
              <w:t>y</w:t>
            </w:r>
            <w:r>
              <w:rPr>
                <w:spacing w:val="1"/>
                <w:sz w:val="16"/>
              </w:rPr>
              <w:t> </w:t>
            </w:r>
            <w:r>
              <w:rPr>
                <w:sz w:val="16"/>
              </w:rPr>
              <w:t>los</w:t>
            </w:r>
            <w:r>
              <w:rPr>
                <w:spacing w:val="2"/>
                <w:sz w:val="16"/>
              </w:rPr>
              <w:t> </w:t>
            </w:r>
            <w:r>
              <w:rPr>
                <w:sz w:val="16"/>
              </w:rPr>
              <w:t>25</w:t>
            </w:r>
            <w:r>
              <w:rPr>
                <w:spacing w:val="-3"/>
                <w:sz w:val="16"/>
              </w:rPr>
              <w:t> </w:t>
            </w:r>
            <w:r>
              <w:rPr>
                <w:spacing w:val="-2"/>
                <w:sz w:val="16"/>
              </w:rPr>
              <w:t>años.</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72"/>
              <w:rPr>
                <w:sz w:val="16"/>
              </w:rPr>
            </w:pPr>
            <w:r>
              <w:rPr>
                <w:sz w:val="16"/>
              </w:rPr>
              <w:t>Cantidad de </w:t>
            </w:r>
            <w:r>
              <w:rPr>
                <w:spacing w:val="-2"/>
                <w:sz w:val="16"/>
              </w:rPr>
              <w:t>personas</w:t>
            </w:r>
            <w:r>
              <w:rPr>
                <w:spacing w:val="-10"/>
                <w:sz w:val="16"/>
              </w:rPr>
              <w:t> </w:t>
            </w:r>
            <w:r>
              <w:rPr>
                <w:spacing w:val="-2"/>
                <w:sz w:val="16"/>
              </w:rPr>
              <w:t>que </w:t>
            </w:r>
            <w:r>
              <w:rPr>
                <w:sz w:val="16"/>
              </w:rPr>
              <w:t>reciben el subsidio de </w:t>
            </w:r>
            <w:r>
              <w:rPr>
                <w:spacing w:val="-2"/>
                <w:sz w:val="16"/>
              </w:rPr>
              <w:t>Prestación Alimentaria.</w:t>
            </w:r>
          </w:p>
        </w:tc>
        <w:tc>
          <w:tcPr>
            <w:tcW w:w="127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59"/>
              <w:jc w:val="right"/>
              <w:rPr>
                <w:sz w:val="16"/>
              </w:rPr>
            </w:pPr>
            <w:r>
              <w:rPr>
                <w:spacing w:val="-5"/>
                <w:sz w:val="16"/>
              </w:rPr>
              <w:t>150</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6"/>
              <w:jc w:val="right"/>
              <w:rPr>
                <w:sz w:val="16"/>
              </w:rPr>
            </w:pPr>
            <w:r>
              <w:rPr>
                <w:sz w:val="16"/>
              </w:rPr>
              <w:t>₡74</w:t>
            </w:r>
            <w:r>
              <w:rPr>
                <w:spacing w:val="-3"/>
                <w:sz w:val="16"/>
              </w:rPr>
              <w:t> </w:t>
            </w:r>
            <w:r>
              <w:rPr>
                <w:sz w:val="16"/>
              </w:rPr>
              <w:t>041</w:t>
            </w:r>
            <w:r>
              <w:rPr>
                <w:spacing w:val="-3"/>
                <w:sz w:val="16"/>
              </w:rPr>
              <w:t> </w:t>
            </w:r>
            <w:r>
              <w:rPr>
                <w:spacing w:val="-5"/>
                <w:sz w:val="16"/>
              </w:rPr>
              <w:t>153</w:t>
            </w: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5"/>
              <w:jc w:val="right"/>
              <w:rPr>
                <w:sz w:val="16"/>
              </w:rPr>
            </w:pPr>
            <w:r>
              <w:rPr>
                <w:spacing w:val="-5"/>
                <w:sz w:val="16"/>
              </w:rPr>
              <w:t>336</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6"/>
              <w:jc w:val="right"/>
              <w:rPr>
                <w:sz w:val="16"/>
              </w:rPr>
            </w:pPr>
            <w:r>
              <w:rPr>
                <w:sz w:val="16"/>
              </w:rPr>
              <w:t>₡287</w:t>
            </w:r>
            <w:r>
              <w:rPr>
                <w:spacing w:val="-5"/>
                <w:sz w:val="16"/>
              </w:rPr>
              <w:t> </w:t>
            </w:r>
            <w:r>
              <w:rPr>
                <w:sz w:val="16"/>
              </w:rPr>
              <w:t>007</w:t>
            </w:r>
            <w:r>
              <w:rPr>
                <w:spacing w:val="-4"/>
                <w:sz w:val="16"/>
              </w:rPr>
              <w:t> </w:t>
            </w:r>
            <w:r>
              <w:rPr>
                <w:spacing w:val="-5"/>
                <w:sz w:val="16"/>
              </w:rPr>
              <w:t>796</w:t>
            </w: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6"/>
              <w:jc w:val="right"/>
              <w:rPr>
                <w:sz w:val="16"/>
              </w:rPr>
            </w:pPr>
            <w:r>
              <w:rPr>
                <w:spacing w:val="-5"/>
                <w:sz w:val="16"/>
              </w:rPr>
              <w:t>431</w:t>
            </w:r>
          </w:p>
        </w:tc>
        <w:tc>
          <w:tcPr>
            <w:tcW w:w="17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6"/>
              <w:jc w:val="right"/>
              <w:rPr>
                <w:sz w:val="16"/>
              </w:rPr>
            </w:pPr>
            <w:r>
              <w:rPr>
                <w:sz w:val="16"/>
              </w:rPr>
              <w:t>₡548</w:t>
            </w:r>
            <w:r>
              <w:rPr>
                <w:spacing w:val="-5"/>
                <w:sz w:val="16"/>
              </w:rPr>
              <w:t> </w:t>
            </w:r>
            <w:r>
              <w:rPr>
                <w:sz w:val="16"/>
              </w:rPr>
              <w:t>018</w:t>
            </w:r>
            <w:r>
              <w:rPr>
                <w:spacing w:val="-4"/>
                <w:sz w:val="16"/>
              </w:rPr>
              <w:t> </w:t>
            </w:r>
            <w:r>
              <w:rPr>
                <w:spacing w:val="-5"/>
                <w:sz w:val="16"/>
              </w:rPr>
              <w:t>460</w:t>
            </w: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2"/>
              <w:jc w:val="right"/>
              <w:rPr>
                <w:sz w:val="16"/>
              </w:rPr>
            </w:pPr>
            <w:r>
              <w:rPr>
                <w:sz w:val="16"/>
              </w:rPr>
              <w:t>1</w:t>
            </w:r>
            <w:r>
              <w:rPr>
                <w:spacing w:val="-4"/>
                <w:sz w:val="16"/>
              </w:rPr>
              <w:t> </w:t>
            </w:r>
            <w:r>
              <w:rPr>
                <w:spacing w:val="-5"/>
                <w:sz w:val="16"/>
              </w:rPr>
              <w:t>360</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73"/>
              <w:jc w:val="right"/>
              <w:rPr>
                <w:sz w:val="16"/>
              </w:rPr>
            </w:pPr>
            <w:r>
              <w:rPr>
                <w:sz w:val="16"/>
              </w:rPr>
              <w:t>₡2</w:t>
            </w:r>
            <w:r>
              <w:rPr>
                <w:spacing w:val="-6"/>
                <w:sz w:val="16"/>
              </w:rPr>
              <w:t> </w:t>
            </w:r>
            <w:r>
              <w:rPr>
                <w:sz w:val="16"/>
              </w:rPr>
              <w:t>254</w:t>
            </w:r>
            <w:r>
              <w:rPr>
                <w:spacing w:val="-1"/>
                <w:sz w:val="16"/>
              </w:rPr>
              <w:t> </w:t>
            </w:r>
            <w:r>
              <w:rPr>
                <w:sz w:val="16"/>
              </w:rPr>
              <w:t>978</w:t>
            </w:r>
            <w:r>
              <w:rPr>
                <w:spacing w:val="-2"/>
                <w:sz w:val="16"/>
              </w:rPr>
              <w:t> </w:t>
            </w:r>
            <w:r>
              <w:rPr>
                <w:spacing w:val="-5"/>
                <w:sz w:val="16"/>
              </w:rPr>
              <w:t>795</w:t>
            </w:r>
          </w:p>
        </w:tc>
      </w:tr>
      <w:tr>
        <w:trPr>
          <w:trHeight w:val="2948" w:hRule="atLeast"/>
        </w:trPr>
        <w:tc>
          <w:tcPr>
            <w:tcW w:w="1695" w:type="dxa"/>
          </w:tcPr>
          <w:p>
            <w:pPr>
              <w:pStyle w:val="TableParagraph"/>
              <w:spacing w:line="183" w:lineRule="exact"/>
              <w:ind w:left="72"/>
              <w:rPr>
                <w:b/>
                <w:sz w:val="16"/>
              </w:rPr>
            </w:pPr>
            <w:r>
              <w:rPr>
                <w:b/>
                <w:sz w:val="16"/>
              </w:rPr>
              <w:t>Actividad</w:t>
            </w:r>
            <w:r>
              <w:rPr>
                <w:b/>
                <w:spacing w:val="-11"/>
                <w:sz w:val="16"/>
              </w:rPr>
              <w:t> </w:t>
            </w:r>
            <w:r>
              <w:rPr>
                <w:b/>
                <w:spacing w:val="-4"/>
                <w:sz w:val="16"/>
              </w:rPr>
              <w:t>PPPS</w:t>
            </w:r>
          </w:p>
          <w:p>
            <w:pPr>
              <w:pStyle w:val="TableParagraph"/>
              <w:spacing w:before="3"/>
              <w:ind w:left="72" w:right="94"/>
              <w:rPr>
                <w:sz w:val="16"/>
              </w:rPr>
            </w:pPr>
            <w:r>
              <w:rPr>
                <w:b/>
                <w:sz w:val="16"/>
              </w:rPr>
              <w:t>1.1.4: </w:t>
            </w:r>
            <w:r>
              <w:rPr>
                <w:sz w:val="16"/>
              </w:rPr>
              <w:t>Otorgamiento de transferencias económicas como aporte al cuido de niños</w:t>
            </w:r>
            <w:r>
              <w:rPr>
                <w:spacing w:val="-8"/>
                <w:sz w:val="16"/>
              </w:rPr>
              <w:t> </w:t>
            </w:r>
            <w:r>
              <w:rPr>
                <w:sz w:val="16"/>
              </w:rPr>
              <w:t>de</w:t>
            </w:r>
            <w:r>
              <w:rPr>
                <w:spacing w:val="-8"/>
                <w:sz w:val="16"/>
              </w:rPr>
              <w:t> </w:t>
            </w:r>
            <w:r>
              <w:rPr>
                <w:sz w:val="16"/>
              </w:rPr>
              <w:t>0</w:t>
            </w:r>
            <w:r>
              <w:rPr>
                <w:spacing w:val="-11"/>
                <w:sz w:val="16"/>
              </w:rPr>
              <w:t> </w:t>
            </w:r>
            <w:r>
              <w:rPr>
                <w:sz w:val="16"/>
              </w:rPr>
              <w:t>y</w:t>
            </w:r>
            <w:r>
              <w:rPr>
                <w:spacing w:val="-5"/>
                <w:sz w:val="16"/>
              </w:rPr>
              <w:t> </w:t>
            </w:r>
            <w:r>
              <w:rPr>
                <w:sz w:val="16"/>
              </w:rPr>
              <w:t>hasta</w:t>
            </w:r>
            <w:r>
              <w:rPr>
                <w:spacing w:val="-11"/>
                <w:sz w:val="16"/>
              </w:rPr>
              <w:t> </w:t>
            </w:r>
            <w:r>
              <w:rPr>
                <w:sz w:val="16"/>
              </w:rPr>
              <w:t>1</w:t>
            </w:r>
            <w:r>
              <w:rPr>
                <w:sz w:val="16"/>
              </w:rPr>
              <w:t>2</w:t>
            </w:r>
            <w:r>
              <w:rPr>
                <w:sz w:val="16"/>
              </w:rPr>
              <w:t> años y 364 días cumplidos, y personas con condición de </w:t>
            </w:r>
            <w:r>
              <w:rPr>
                <w:spacing w:val="-2"/>
                <w:sz w:val="16"/>
              </w:rPr>
              <w:t>discapacidad </w:t>
            </w:r>
            <w:r>
              <w:rPr>
                <w:sz w:val="16"/>
              </w:rPr>
              <w:t>menores de 18 años (vinculación</w:t>
            </w:r>
            <w:r>
              <w:rPr>
                <w:spacing w:val="-2"/>
                <w:sz w:val="16"/>
              </w:rPr>
              <w:t> </w:t>
            </w:r>
            <w:r>
              <w:rPr>
                <w:sz w:val="16"/>
              </w:rPr>
              <w:t>con PNDIP 2023-2026</w:t>
            </w:r>
          </w:p>
          <w:p>
            <w:pPr>
              <w:pStyle w:val="TableParagraph"/>
              <w:spacing w:line="183" w:lineRule="exact"/>
              <w:ind w:left="72"/>
              <w:rPr>
                <w:sz w:val="16"/>
              </w:rPr>
            </w:pPr>
            <w:r>
              <w:rPr>
                <w:sz w:val="16"/>
              </w:rPr>
              <w:t>B.2</w:t>
            </w:r>
            <w:r>
              <w:rPr>
                <w:spacing w:val="-2"/>
                <w:sz w:val="16"/>
              </w:rPr>
              <w:t> </w:t>
            </w:r>
            <w:r>
              <w:rPr>
                <w:sz w:val="16"/>
              </w:rPr>
              <w:t>/</w:t>
            </w:r>
            <w:r>
              <w:rPr>
                <w:spacing w:val="-5"/>
                <w:sz w:val="16"/>
              </w:rPr>
              <w:t> </w:t>
            </w:r>
            <w:r>
              <w:rPr>
                <w:sz w:val="16"/>
              </w:rPr>
              <w:t>PLANOVI</w:t>
            </w:r>
            <w:r>
              <w:rPr>
                <w:spacing w:val="-1"/>
                <w:sz w:val="16"/>
              </w:rPr>
              <w:t> </w:t>
            </w:r>
            <w:r>
              <w:rPr>
                <w:spacing w:val="-4"/>
                <w:sz w:val="16"/>
              </w:rPr>
              <w:t>3.3.1</w:t>
            </w:r>
          </w:p>
          <w:p>
            <w:pPr>
              <w:pStyle w:val="TableParagraph"/>
              <w:spacing w:line="167" w:lineRule="exact"/>
              <w:ind w:left="72"/>
              <w:rPr>
                <w:sz w:val="16"/>
              </w:rPr>
            </w:pPr>
            <w:r>
              <w:rPr>
                <w:spacing w:val="-5"/>
                <w:sz w:val="16"/>
              </w:rPr>
              <w:t>).</w:t>
            </w:r>
          </w:p>
        </w:tc>
        <w:tc>
          <w:tcPr>
            <w:tcW w:w="1280"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72" w:right="96"/>
              <w:rPr>
                <w:sz w:val="16"/>
              </w:rPr>
            </w:pPr>
            <w:r>
              <w:rPr>
                <w:sz w:val="16"/>
              </w:rPr>
              <w:t>Cantidad de </w:t>
            </w:r>
            <w:r>
              <w:rPr>
                <w:spacing w:val="-2"/>
                <w:sz w:val="16"/>
              </w:rPr>
              <w:t>personas </w:t>
            </w:r>
            <w:r>
              <w:rPr>
                <w:sz w:val="16"/>
              </w:rPr>
              <w:t>receptoras de la</w:t>
            </w:r>
            <w:r>
              <w:rPr>
                <w:spacing w:val="-12"/>
                <w:sz w:val="16"/>
              </w:rPr>
              <w:t> </w:t>
            </w:r>
            <w:r>
              <w:rPr>
                <w:sz w:val="16"/>
              </w:rPr>
              <w:t>transferencia </w:t>
            </w:r>
            <w:r>
              <w:rPr>
                <w:spacing w:val="-2"/>
                <w:sz w:val="16"/>
              </w:rPr>
              <w:t>monetaria condicionada </w:t>
            </w:r>
            <w:r>
              <w:rPr>
                <w:sz w:val="16"/>
              </w:rPr>
              <w:t>Cuidado</w:t>
            </w:r>
            <w:r>
              <w:rPr>
                <w:spacing w:val="-2"/>
                <w:sz w:val="16"/>
              </w:rPr>
              <w:t> </w:t>
            </w:r>
            <w:r>
              <w:rPr>
                <w:sz w:val="16"/>
              </w:rPr>
              <w:t>y </w:t>
            </w:r>
            <w:r>
              <w:rPr>
                <w:spacing w:val="-2"/>
                <w:sz w:val="16"/>
              </w:rPr>
              <w:t>Desarrollo Infantil.</w:t>
            </w:r>
          </w:p>
        </w:tc>
        <w:tc>
          <w:tcPr>
            <w:tcW w:w="127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right="59"/>
              <w:jc w:val="right"/>
              <w:rPr>
                <w:sz w:val="16"/>
              </w:rPr>
            </w:pPr>
            <w:r>
              <w:rPr>
                <w:sz w:val="16"/>
              </w:rPr>
              <w:t>25</w:t>
            </w:r>
            <w:r>
              <w:rPr>
                <w:spacing w:val="-3"/>
                <w:sz w:val="16"/>
              </w:rPr>
              <w:t> </w:t>
            </w:r>
            <w:r>
              <w:rPr>
                <w:spacing w:val="-5"/>
                <w:sz w:val="16"/>
              </w:rPr>
              <w:t>539</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right="66"/>
              <w:jc w:val="right"/>
              <w:rPr>
                <w:sz w:val="16"/>
              </w:rPr>
            </w:pPr>
            <w:r>
              <w:rPr>
                <w:sz w:val="16"/>
              </w:rPr>
              <w:t>₡10</w:t>
            </w:r>
            <w:r>
              <w:rPr>
                <w:spacing w:val="-3"/>
                <w:sz w:val="16"/>
              </w:rPr>
              <w:t> </w:t>
            </w:r>
            <w:r>
              <w:rPr>
                <w:sz w:val="16"/>
              </w:rPr>
              <w:t>373</w:t>
            </w:r>
            <w:r>
              <w:rPr>
                <w:spacing w:val="-2"/>
                <w:sz w:val="16"/>
              </w:rPr>
              <w:t> </w:t>
            </w:r>
            <w:r>
              <w:rPr>
                <w:sz w:val="16"/>
              </w:rPr>
              <w:t>517</w:t>
            </w:r>
            <w:r>
              <w:rPr>
                <w:spacing w:val="-3"/>
                <w:sz w:val="16"/>
              </w:rPr>
              <w:t> </w:t>
            </w:r>
            <w:r>
              <w:rPr>
                <w:spacing w:val="-5"/>
                <w:sz w:val="16"/>
              </w:rPr>
              <w:t>906</w:t>
            </w: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right="66"/>
              <w:jc w:val="right"/>
              <w:rPr>
                <w:sz w:val="16"/>
              </w:rPr>
            </w:pPr>
            <w:r>
              <w:rPr>
                <w:sz w:val="16"/>
              </w:rPr>
              <w:t>25</w:t>
            </w:r>
            <w:r>
              <w:rPr>
                <w:spacing w:val="-3"/>
                <w:sz w:val="16"/>
              </w:rPr>
              <w:t> </w:t>
            </w:r>
            <w:r>
              <w:rPr>
                <w:spacing w:val="-5"/>
                <w:sz w:val="16"/>
              </w:rPr>
              <w:t>539</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right="67"/>
              <w:jc w:val="right"/>
              <w:rPr>
                <w:sz w:val="16"/>
              </w:rPr>
            </w:pPr>
            <w:r>
              <w:rPr>
                <w:sz w:val="16"/>
              </w:rPr>
              <w:t>₡20</w:t>
            </w:r>
            <w:r>
              <w:rPr>
                <w:spacing w:val="-3"/>
                <w:sz w:val="16"/>
              </w:rPr>
              <w:t> </w:t>
            </w:r>
            <w:r>
              <w:rPr>
                <w:sz w:val="16"/>
              </w:rPr>
              <w:t>607</w:t>
            </w:r>
            <w:r>
              <w:rPr>
                <w:spacing w:val="-2"/>
                <w:sz w:val="16"/>
              </w:rPr>
              <w:t> </w:t>
            </w:r>
            <w:r>
              <w:rPr>
                <w:sz w:val="16"/>
              </w:rPr>
              <w:t>612</w:t>
            </w:r>
            <w:r>
              <w:rPr>
                <w:spacing w:val="-3"/>
                <w:sz w:val="16"/>
              </w:rPr>
              <w:t> </w:t>
            </w:r>
            <w:r>
              <w:rPr>
                <w:spacing w:val="-5"/>
                <w:sz w:val="16"/>
              </w:rPr>
              <w:t>449</w:t>
            </w: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right="66"/>
              <w:jc w:val="right"/>
              <w:rPr>
                <w:sz w:val="16"/>
              </w:rPr>
            </w:pPr>
            <w:r>
              <w:rPr>
                <w:sz w:val="16"/>
              </w:rPr>
              <w:t>30</w:t>
            </w:r>
            <w:r>
              <w:rPr>
                <w:spacing w:val="-3"/>
                <w:sz w:val="16"/>
              </w:rPr>
              <w:t> </w:t>
            </w:r>
            <w:r>
              <w:rPr>
                <w:spacing w:val="-5"/>
                <w:sz w:val="16"/>
              </w:rPr>
              <w:t>000</w:t>
            </w:r>
          </w:p>
        </w:tc>
        <w:tc>
          <w:tcPr>
            <w:tcW w:w="17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right="67"/>
              <w:jc w:val="right"/>
              <w:rPr>
                <w:sz w:val="16"/>
              </w:rPr>
            </w:pPr>
            <w:r>
              <w:rPr>
                <w:sz w:val="16"/>
              </w:rPr>
              <w:t>₡31</w:t>
            </w:r>
            <w:r>
              <w:rPr>
                <w:spacing w:val="-3"/>
                <w:sz w:val="16"/>
              </w:rPr>
              <w:t> </w:t>
            </w:r>
            <w:r>
              <w:rPr>
                <w:sz w:val="16"/>
              </w:rPr>
              <w:t>046</w:t>
            </w:r>
            <w:r>
              <w:rPr>
                <w:spacing w:val="-2"/>
                <w:sz w:val="16"/>
              </w:rPr>
              <w:t> </w:t>
            </w:r>
            <w:r>
              <w:rPr>
                <w:sz w:val="16"/>
              </w:rPr>
              <w:t>696</w:t>
            </w:r>
            <w:r>
              <w:rPr>
                <w:spacing w:val="-3"/>
                <w:sz w:val="16"/>
              </w:rPr>
              <w:t> </w:t>
            </w:r>
            <w:r>
              <w:rPr>
                <w:spacing w:val="-5"/>
                <w:sz w:val="16"/>
              </w:rPr>
              <w:t>548</w:t>
            </w: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right="62"/>
              <w:jc w:val="right"/>
              <w:rPr>
                <w:sz w:val="16"/>
              </w:rPr>
            </w:pPr>
            <w:r>
              <w:rPr>
                <w:sz w:val="16"/>
              </w:rPr>
              <w:t>35</w:t>
            </w:r>
            <w:r>
              <w:rPr>
                <w:spacing w:val="-3"/>
                <w:sz w:val="16"/>
              </w:rPr>
              <w:t> </w:t>
            </w:r>
            <w:r>
              <w:rPr>
                <w:spacing w:val="-5"/>
                <w:sz w:val="16"/>
              </w:rPr>
              <w:t>000</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right="74"/>
              <w:jc w:val="right"/>
              <w:rPr>
                <w:sz w:val="16"/>
              </w:rPr>
            </w:pPr>
            <w:r>
              <w:rPr>
                <w:sz w:val="16"/>
              </w:rPr>
              <w:t>₡41</w:t>
            </w:r>
            <w:r>
              <w:rPr>
                <w:spacing w:val="-3"/>
                <w:sz w:val="16"/>
              </w:rPr>
              <w:t> </w:t>
            </w:r>
            <w:r>
              <w:rPr>
                <w:sz w:val="16"/>
              </w:rPr>
              <w:t>879</w:t>
            </w:r>
            <w:r>
              <w:rPr>
                <w:spacing w:val="-2"/>
                <w:sz w:val="16"/>
              </w:rPr>
              <w:t> </w:t>
            </w:r>
            <w:r>
              <w:rPr>
                <w:sz w:val="16"/>
              </w:rPr>
              <w:t>660</w:t>
            </w:r>
            <w:r>
              <w:rPr>
                <w:spacing w:val="-3"/>
                <w:sz w:val="16"/>
              </w:rPr>
              <w:t> </w:t>
            </w:r>
            <w:r>
              <w:rPr>
                <w:spacing w:val="-5"/>
                <w:sz w:val="16"/>
              </w:rPr>
              <w:t>720</w:t>
            </w:r>
          </w:p>
        </w:tc>
      </w:tr>
    </w:tbl>
    <w:p>
      <w:pPr>
        <w:pStyle w:val="TableParagraph"/>
        <w:spacing w:after="0"/>
        <w:jc w:val="right"/>
        <w:rPr>
          <w:sz w:val="16"/>
        </w:rPr>
        <w:sectPr>
          <w:pgSz w:w="15840" w:h="12240" w:orient="landscape"/>
          <w:pgMar w:header="0" w:footer="1806" w:top="700" w:bottom="232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209"/>
        <w:gridCol w:w="1280"/>
        <w:gridCol w:w="1275"/>
        <w:gridCol w:w="1561"/>
        <w:gridCol w:w="1134"/>
        <w:gridCol w:w="1561"/>
        <w:gridCol w:w="1277"/>
        <w:gridCol w:w="1700"/>
        <w:gridCol w:w="1345"/>
        <w:gridCol w:w="1494"/>
      </w:tblGrid>
      <w:tr>
        <w:trPr>
          <w:trHeight w:val="316" w:hRule="atLeast"/>
        </w:trPr>
        <w:tc>
          <w:tcPr>
            <w:tcW w:w="1695" w:type="dxa"/>
            <w:gridSpan w:val="2"/>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80" w:type="dxa"/>
            <w:vMerge w:val="restart"/>
            <w:shd w:val="clear" w:color="auto" w:fill="F1F1F1"/>
          </w:tcPr>
          <w:p>
            <w:pPr>
              <w:pStyle w:val="TableParagraph"/>
              <w:spacing w:line="183" w:lineRule="exact"/>
              <w:ind w:left="278"/>
              <w:rPr>
                <w:b/>
                <w:sz w:val="16"/>
              </w:rPr>
            </w:pPr>
            <w:r>
              <w:rPr>
                <w:b/>
                <w:spacing w:val="-2"/>
                <w:sz w:val="16"/>
              </w:rPr>
              <w:t>Indicador</w:t>
            </w:r>
          </w:p>
        </w:tc>
        <w:tc>
          <w:tcPr>
            <w:tcW w:w="2836" w:type="dxa"/>
            <w:gridSpan w:val="2"/>
            <w:shd w:val="clear" w:color="auto" w:fill="F1F1F1"/>
          </w:tcPr>
          <w:p>
            <w:pPr>
              <w:pStyle w:val="TableParagraph"/>
              <w:spacing w:line="183" w:lineRule="exact"/>
              <w:ind w:left="6"/>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left="2"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left="2"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gridSpan w:val="2"/>
            <w:vMerge/>
            <w:tcBorders>
              <w:top w:val="nil"/>
            </w:tcBorders>
            <w:shd w:val="clear" w:color="auto" w:fill="F1F1F1"/>
          </w:tcPr>
          <w:p>
            <w:pPr>
              <w:rPr>
                <w:sz w:val="2"/>
                <w:szCs w:val="2"/>
              </w:rPr>
            </w:pPr>
          </w:p>
        </w:tc>
        <w:tc>
          <w:tcPr>
            <w:tcW w:w="1280" w:type="dxa"/>
            <w:vMerge/>
            <w:tcBorders>
              <w:top w:val="nil"/>
            </w:tcBorders>
            <w:shd w:val="clear" w:color="auto" w:fill="F1F1F1"/>
          </w:tcPr>
          <w:p>
            <w:pPr>
              <w:rPr>
                <w:sz w:val="2"/>
                <w:szCs w:val="2"/>
              </w:rPr>
            </w:pPr>
          </w:p>
        </w:tc>
        <w:tc>
          <w:tcPr>
            <w:tcW w:w="1275" w:type="dxa"/>
            <w:shd w:val="clear" w:color="auto" w:fill="F1F1F1"/>
          </w:tcPr>
          <w:p>
            <w:pPr>
              <w:pStyle w:val="TableParagraph"/>
              <w:spacing w:line="182" w:lineRule="exact" w:before="167"/>
              <w:ind w:left="174"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99"/>
              <w:jc w:val="center"/>
              <w:rPr>
                <w:b/>
                <w:sz w:val="16"/>
              </w:rPr>
            </w:pPr>
            <w:r>
              <w:rPr>
                <w:b/>
                <w:spacing w:val="-10"/>
                <w:sz w:val="16"/>
              </w:rPr>
              <w:t>¢</w:t>
            </w:r>
          </w:p>
        </w:tc>
        <w:tc>
          <w:tcPr>
            <w:tcW w:w="1134" w:type="dxa"/>
            <w:shd w:val="clear" w:color="auto" w:fill="F1F1F1"/>
          </w:tcPr>
          <w:p>
            <w:pPr>
              <w:pStyle w:val="TableParagraph"/>
              <w:spacing w:line="182" w:lineRule="exact" w:before="167"/>
              <w:ind w:left="99"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277" w:type="dxa"/>
            <w:shd w:val="clear" w:color="auto" w:fill="F1F1F1"/>
          </w:tcPr>
          <w:p>
            <w:pPr>
              <w:pStyle w:val="TableParagraph"/>
              <w:spacing w:line="182" w:lineRule="exact" w:before="167"/>
              <w:ind w:left="170"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5"/>
              <w:jc w:val="center"/>
              <w:rPr>
                <w:b/>
                <w:sz w:val="16"/>
              </w:rPr>
            </w:pPr>
            <w:r>
              <w:rPr>
                <w:b/>
                <w:spacing w:val="-10"/>
                <w:sz w:val="16"/>
              </w:rPr>
              <w:t>¢</w:t>
            </w:r>
          </w:p>
        </w:tc>
        <w:tc>
          <w:tcPr>
            <w:tcW w:w="1345" w:type="dxa"/>
            <w:shd w:val="clear" w:color="auto" w:fill="F1F1F1"/>
          </w:tcPr>
          <w:p>
            <w:pPr>
              <w:pStyle w:val="TableParagraph"/>
              <w:spacing w:line="182" w:lineRule="exact" w:before="167"/>
              <w:ind w:left="208"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left="2" w:right="9"/>
              <w:jc w:val="center"/>
              <w:rPr>
                <w:b/>
                <w:sz w:val="16"/>
              </w:rPr>
            </w:pPr>
            <w:r>
              <w:rPr>
                <w:b/>
                <w:spacing w:val="-10"/>
                <w:sz w:val="16"/>
              </w:rPr>
              <w:t>¢</w:t>
            </w:r>
          </w:p>
        </w:tc>
      </w:tr>
      <w:tr>
        <w:trPr>
          <w:trHeight w:val="2395" w:hRule="atLeast"/>
        </w:trPr>
        <w:tc>
          <w:tcPr>
            <w:tcW w:w="1695" w:type="dxa"/>
            <w:gridSpan w:val="2"/>
          </w:tcPr>
          <w:p>
            <w:pPr>
              <w:pStyle w:val="TableParagraph"/>
              <w:spacing w:line="183" w:lineRule="exact"/>
              <w:ind w:left="72"/>
              <w:rPr>
                <w:b/>
                <w:sz w:val="16"/>
              </w:rPr>
            </w:pPr>
            <w:r>
              <w:rPr>
                <w:b/>
                <w:sz w:val="16"/>
              </w:rPr>
              <w:t>Actividad</w:t>
            </w:r>
            <w:r>
              <w:rPr>
                <w:b/>
                <w:spacing w:val="-11"/>
                <w:sz w:val="16"/>
              </w:rPr>
              <w:t> </w:t>
            </w:r>
            <w:r>
              <w:rPr>
                <w:b/>
                <w:spacing w:val="-4"/>
                <w:sz w:val="16"/>
              </w:rPr>
              <w:t>PPPS</w:t>
            </w:r>
          </w:p>
          <w:p>
            <w:pPr>
              <w:pStyle w:val="TableParagraph"/>
              <w:spacing w:before="3"/>
              <w:ind w:left="72" w:right="94"/>
              <w:rPr>
                <w:sz w:val="16"/>
              </w:rPr>
            </w:pPr>
            <w:r>
              <w:rPr>
                <w:b/>
                <w:sz w:val="16"/>
              </w:rPr>
              <w:t>1.1.5: </w:t>
            </w:r>
            <w:r>
              <w:rPr>
                <w:sz w:val="16"/>
              </w:rPr>
              <w:t>Otorgamiento de transferencias económicas a hogares que </w:t>
            </w:r>
            <w:r>
              <w:rPr>
                <w:spacing w:val="-2"/>
                <w:sz w:val="16"/>
              </w:rPr>
              <w:t>enfrentan</w:t>
            </w:r>
            <w:r>
              <w:rPr>
                <w:spacing w:val="-6"/>
                <w:sz w:val="16"/>
              </w:rPr>
              <w:t> </w:t>
            </w:r>
            <w:r>
              <w:rPr>
                <w:spacing w:val="-2"/>
                <w:sz w:val="16"/>
              </w:rPr>
              <w:t>situaciones </w:t>
            </w:r>
            <w:r>
              <w:rPr>
                <w:sz w:val="16"/>
              </w:rPr>
              <w:t>de</w:t>
            </w:r>
            <w:r>
              <w:rPr>
                <w:spacing w:val="-2"/>
                <w:sz w:val="16"/>
              </w:rPr>
              <w:t> </w:t>
            </w:r>
            <w:r>
              <w:rPr>
                <w:sz w:val="16"/>
              </w:rPr>
              <w:t>violencia intrafamiliar y violencia</w:t>
            </w:r>
            <w:r>
              <w:rPr>
                <w:spacing w:val="-2"/>
                <w:sz w:val="16"/>
              </w:rPr>
              <w:t> </w:t>
            </w:r>
            <w:r>
              <w:rPr>
                <w:sz w:val="16"/>
              </w:rPr>
              <w:t>de</w:t>
            </w:r>
          </w:p>
          <w:p>
            <w:pPr>
              <w:pStyle w:val="TableParagraph"/>
              <w:spacing w:line="244" w:lineRule="auto"/>
              <w:ind w:left="72" w:right="103"/>
              <w:rPr>
                <w:sz w:val="16"/>
              </w:rPr>
            </w:pPr>
            <w:r>
              <w:rPr>
                <w:spacing w:val="-2"/>
                <w:sz w:val="16"/>
              </w:rPr>
              <w:t>género</w:t>
            </w:r>
            <w:r>
              <w:rPr>
                <w:spacing w:val="-7"/>
                <w:sz w:val="16"/>
              </w:rPr>
              <w:t> </w:t>
            </w:r>
            <w:r>
              <w:rPr>
                <w:spacing w:val="-2"/>
                <w:sz w:val="16"/>
              </w:rPr>
              <w:t>(vinculación </w:t>
            </w:r>
            <w:r>
              <w:rPr>
                <w:sz w:val="16"/>
              </w:rPr>
              <w:t>con</w:t>
            </w:r>
            <w:r>
              <w:rPr>
                <w:spacing w:val="-2"/>
                <w:sz w:val="16"/>
              </w:rPr>
              <w:t> </w:t>
            </w:r>
            <w:r>
              <w:rPr>
                <w:sz w:val="16"/>
              </w:rPr>
              <w:t>PLANOVI</w:t>
            </w:r>
          </w:p>
          <w:p>
            <w:pPr>
              <w:pStyle w:val="TableParagraph"/>
              <w:spacing w:line="177" w:lineRule="exact"/>
              <w:ind w:left="72"/>
              <w:rPr>
                <w:sz w:val="16"/>
              </w:rPr>
            </w:pPr>
            <w:r>
              <w:rPr>
                <w:sz w:val="16"/>
              </w:rPr>
              <w:t>4.2.1.1.1</w:t>
            </w:r>
            <w:r>
              <w:rPr>
                <w:spacing w:val="-7"/>
                <w:sz w:val="16"/>
              </w:rPr>
              <w:t> </w:t>
            </w:r>
            <w:r>
              <w:rPr>
                <w:sz w:val="16"/>
              </w:rPr>
              <w:t>/</w:t>
            </w:r>
            <w:r>
              <w:rPr>
                <w:spacing w:val="-1"/>
                <w:sz w:val="16"/>
              </w:rPr>
              <w:t> </w:t>
            </w:r>
            <w:r>
              <w:rPr>
                <w:spacing w:val="-2"/>
                <w:sz w:val="16"/>
              </w:rPr>
              <w:t>PLANOVI</w:t>
            </w:r>
          </w:p>
          <w:p>
            <w:pPr>
              <w:pStyle w:val="TableParagraph"/>
              <w:spacing w:line="167" w:lineRule="exact"/>
              <w:ind w:left="72"/>
              <w:rPr>
                <w:sz w:val="16"/>
              </w:rPr>
            </w:pPr>
            <w:r>
              <w:rPr>
                <w:spacing w:val="-2"/>
                <w:sz w:val="16"/>
              </w:rPr>
              <w:t>4.7.2).</w:t>
            </w:r>
          </w:p>
        </w:tc>
        <w:tc>
          <w:tcPr>
            <w:tcW w:w="1280" w:type="dxa"/>
          </w:tcPr>
          <w:p>
            <w:pPr>
              <w:pStyle w:val="TableParagraph"/>
              <w:rPr>
                <w:b/>
                <w:sz w:val="16"/>
              </w:rPr>
            </w:pPr>
          </w:p>
          <w:p>
            <w:pPr>
              <w:pStyle w:val="TableParagraph"/>
              <w:spacing w:before="183"/>
              <w:rPr>
                <w:b/>
                <w:sz w:val="16"/>
              </w:rPr>
            </w:pPr>
          </w:p>
          <w:p>
            <w:pPr>
              <w:pStyle w:val="TableParagraph"/>
              <w:ind w:left="72" w:right="140"/>
              <w:rPr>
                <w:sz w:val="16"/>
              </w:rPr>
            </w:pPr>
            <w:r>
              <w:rPr>
                <w:sz w:val="16"/>
              </w:rPr>
              <w:t>Cantidad de hogares que reciben el </w:t>
            </w:r>
            <w:r>
              <w:rPr>
                <w:spacing w:val="-2"/>
                <w:sz w:val="16"/>
              </w:rPr>
              <w:t>subsidio </w:t>
            </w:r>
            <w:r>
              <w:rPr>
                <w:sz w:val="16"/>
              </w:rPr>
              <w:t>Atención</w:t>
            </w:r>
            <w:r>
              <w:rPr>
                <w:spacing w:val="-2"/>
                <w:sz w:val="16"/>
              </w:rPr>
              <w:t> </w:t>
            </w:r>
            <w:r>
              <w:rPr>
                <w:sz w:val="16"/>
              </w:rPr>
              <w:t>de Situaciones</w:t>
            </w:r>
            <w:r>
              <w:rPr>
                <w:spacing w:val="-12"/>
                <w:sz w:val="16"/>
              </w:rPr>
              <w:t> </w:t>
            </w:r>
            <w:r>
              <w:rPr>
                <w:sz w:val="16"/>
              </w:rPr>
              <w:t>de </w:t>
            </w:r>
            <w:r>
              <w:rPr>
                <w:spacing w:val="-2"/>
                <w:sz w:val="16"/>
              </w:rPr>
              <w:t>Violencia.</w:t>
            </w:r>
          </w:p>
        </w:tc>
        <w:tc>
          <w:tcPr>
            <w:tcW w:w="1275" w:type="dxa"/>
          </w:tcPr>
          <w:p>
            <w:pPr>
              <w:pStyle w:val="TableParagraph"/>
              <w:rPr>
                <w:rFonts w:ascii="Times New Roman"/>
                <w:sz w:val="16"/>
              </w:rPr>
            </w:pP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483"/>
              <w:rPr>
                <w:sz w:val="16"/>
              </w:rPr>
            </w:pPr>
            <w:r>
              <w:rPr>
                <w:sz w:val="16"/>
              </w:rPr>
              <w:t>₡225</w:t>
            </w:r>
            <w:r>
              <w:rPr>
                <w:spacing w:val="-5"/>
                <w:sz w:val="16"/>
              </w:rPr>
              <w:t> </w:t>
            </w:r>
            <w:r>
              <w:rPr>
                <w:sz w:val="16"/>
              </w:rPr>
              <w:t>000</w:t>
            </w:r>
            <w:r>
              <w:rPr>
                <w:spacing w:val="-4"/>
                <w:sz w:val="16"/>
              </w:rPr>
              <w:t> </w:t>
            </w:r>
            <w:r>
              <w:rPr>
                <w:spacing w:val="-5"/>
                <w:sz w:val="16"/>
              </w:rPr>
              <w:t>000</w:t>
            </w:r>
          </w:p>
        </w:tc>
        <w:tc>
          <w:tcPr>
            <w:tcW w:w="1134" w:type="dxa"/>
          </w:tcPr>
          <w:p>
            <w:pPr>
              <w:pStyle w:val="TableParagraph"/>
              <w:rPr>
                <w:rFonts w:ascii="Times New Roman"/>
                <w:sz w:val="16"/>
              </w:rPr>
            </w:pP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right="66"/>
              <w:jc w:val="right"/>
              <w:rPr>
                <w:sz w:val="16"/>
              </w:rPr>
            </w:pPr>
            <w:r>
              <w:rPr>
                <w:sz w:val="16"/>
              </w:rPr>
              <w:t>₡825</w:t>
            </w:r>
            <w:r>
              <w:rPr>
                <w:spacing w:val="-5"/>
                <w:sz w:val="16"/>
              </w:rPr>
              <w:t> </w:t>
            </w:r>
            <w:r>
              <w:rPr>
                <w:sz w:val="16"/>
              </w:rPr>
              <w:t>801</w:t>
            </w:r>
            <w:r>
              <w:rPr>
                <w:spacing w:val="-4"/>
                <w:sz w:val="16"/>
              </w:rPr>
              <w:t> </w:t>
            </w:r>
            <w:r>
              <w:rPr>
                <w:spacing w:val="-5"/>
                <w:sz w:val="16"/>
              </w:rPr>
              <w:t>748</w:t>
            </w:r>
          </w:p>
        </w:tc>
        <w:tc>
          <w:tcPr>
            <w:tcW w:w="1277" w:type="dxa"/>
          </w:tcPr>
          <w:p>
            <w:pPr>
              <w:pStyle w:val="TableParagraph"/>
              <w:rPr>
                <w:rFonts w:ascii="Times New Roman"/>
                <w:sz w:val="16"/>
              </w:rPr>
            </w:pPr>
          </w:p>
        </w:tc>
        <w:tc>
          <w:tcPr>
            <w:tcW w:w="17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right="67"/>
              <w:jc w:val="right"/>
              <w:rPr>
                <w:sz w:val="16"/>
              </w:rPr>
            </w:pPr>
            <w:r>
              <w:rPr>
                <w:sz w:val="16"/>
              </w:rPr>
              <w:t>₡1</w:t>
            </w:r>
            <w:r>
              <w:rPr>
                <w:spacing w:val="-6"/>
                <w:sz w:val="16"/>
              </w:rPr>
              <w:t> </w:t>
            </w:r>
            <w:r>
              <w:rPr>
                <w:sz w:val="16"/>
              </w:rPr>
              <w:t>612</w:t>
            </w:r>
            <w:r>
              <w:rPr>
                <w:spacing w:val="-1"/>
                <w:sz w:val="16"/>
              </w:rPr>
              <w:t> </w:t>
            </w:r>
            <w:r>
              <w:rPr>
                <w:sz w:val="16"/>
              </w:rPr>
              <w:t>482</w:t>
            </w:r>
            <w:r>
              <w:rPr>
                <w:spacing w:val="-2"/>
                <w:sz w:val="16"/>
              </w:rPr>
              <w:t> </w:t>
            </w:r>
            <w:r>
              <w:rPr>
                <w:spacing w:val="-5"/>
                <w:sz w:val="16"/>
              </w:rPr>
              <w:t>858</w:t>
            </w:r>
          </w:p>
        </w:tc>
        <w:tc>
          <w:tcPr>
            <w:tcW w:w="1345" w:type="dxa"/>
          </w:tcPr>
          <w:p>
            <w:pPr>
              <w:pStyle w:val="TableParagraph"/>
              <w:rPr>
                <w:rFonts w:ascii="Times New Roman"/>
                <w:sz w:val="16"/>
              </w:rPr>
            </w:pP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right="73"/>
              <w:jc w:val="right"/>
              <w:rPr>
                <w:sz w:val="16"/>
              </w:rPr>
            </w:pPr>
            <w:r>
              <w:rPr>
                <w:sz w:val="16"/>
              </w:rPr>
              <w:t>₡2</w:t>
            </w:r>
            <w:r>
              <w:rPr>
                <w:spacing w:val="-6"/>
                <w:sz w:val="16"/>
              </w:rPr>
              <w:t> </w:t>
            </w:r>
            <w:r>
              <w:rPr>
                <w:sz w:val="16"/>
              </w:rPr>
              <w:t>500</w:t>
            </w:r>
            <w:r>
              <w:rPr>
                <w:spacing w:val="-1"/>
                <w:sz w:val="16"/>
              </w:rPr>
              <w:t> </w:t>
            </w:r>
            <w:r>
              <w:rPr>
                <w:sz w:val="16"/>
              </w:rPr>
              <w:t>000</w:t>
            </w:r>
            <w:r>
              <w:rPr>
                <w:spacing w:val="-2"/>
                <w:sz w:val="16"/>
              </w:rPr>
              <w:t> </w:t>
            </w:r>
            <w:r>
              <w:rPr>
                <w:spacing w:val="-5"/>
                <w:sz w:val="16"/>
              </w:rPr>
              <w:t>000</w:t>
            </w:r>
          </w:p>
        </w:tc>
      </w:tr>
      <w:tr>
        <w:trPr>
          <w:trHeight w:val="2208" w:hRule="atLeast"/>
        </w:trPr>
        <w:tc>
          <w:tcPr>
            <w:tcW w:w="1695" w:type="dxa"/>
            <w:gridSpan w:val="2"/>
          </w:tcPr>
          <w:p>
            <w:pPr>
              <w:pStyle w:val="TableParagraph"/>
              <w:spacing w:line="182" w:lineRule="exact"/>
              <w:ind w:left="72"/>
              <w:rPr>
                <w:b/>
                <w:sz w:val="16"/>
              </w:rPr>
            </w:pPr>
            <w:r>
              <w:rPr>
                <w:b/>
                <w:sz w:val="16"/>
              </w:rPr>
              <w:t>Actividad</w:t>
            </w:r>
            <w:r>
              <w:rPr>
                <w:b/>
                <w:spacing w:val="-11"/>
                <w:sz w:val="16"/>
              </w:rPr>
              <w:t> </w:t>
            </w:r>
            <w:r>
              <w:rPr>
                <w:b/>
                <w:spacing w:val="-4"/>
                <w:sz w:val="16"/>
              </w:rPr>
              <w:t>PPPS</w:t>
            </w:r>
          </w:p>
          <w:p>
            <w:pPr>
              <w:pStyle w:val="TableParagraph"/>
              <w:ind w:left="72" w:right="128"/>
              <w:rPr>
                <w:sz w:val="16"/>
              </w:rPr>
            </w:pPr>
            <w:r>
              <w:rPr>
                <w:b/>
                <w:sz w:val="16"/>
              </w:rPr>
              <w:t>1.1.6: </w:t>
            </w:r>
            <w:r>
              <w:rPr>
                <w:sz w:val="16"/>
              </w:rPr>
              <w:t>Otorgamiento de</w:t>
            </w:r>
            <w:r>
              <w:rPr>
                <w:spacing w:val="-12"/>
                <w:sz w:val="16"/>
              </w:rPr>
              <w:t> </w:t>
            </w:r>
            <w:r>
              <w:rPr>
                <w:sz w:val="16"/>
              </w:rPr>
              <w:t>las</w:t>
            </w:r>
            <w:r>
              <w:rPr>
                <w:spacing w:val="-11"/>
                <w:sz w:val="16"/>
              </w:rPr>
              <w:t> </w:t>
            </w:r>
            <w:r>
              <w:rPr>
                <w:sz w:val="16"/>
              </w:rPr>
              <w:t>transferencias económicas como aporte a la satisfacción de </w:t>
            </w:r>
            <w:r>
              <w:rPr>
                <w:spacing w:val="-2"/>
                <w:sz w:val="16"/>
              </w:rPr>
              <w:t>necesidades</w:t>
            </w:r>
            <w:r>
              <w:rPr>
                <w:spacing w:val="-9"/>
                <w:sz w:val="16"/>
              </w:rPr>
              <w:t> </w:t>
            </w:r>
            <w:r>
              <w:rPr>
                <w:spacing w:val="-2"/>
                <w:sz w:val="16"/>
              </w:rPr>
              <w:t>básica</w:t>
            </w:r>
            <w:r>
              <w:rPr>
                <w:spacing w:val="-2"/>
                <w:sz w:val="16"/>
              </w:rPr>
              <w:t>s</w:t>
            </w:r>
            <w:r>
              <w:rPr>
                <w:spacing w:val="-2"/>
                <w:sz w:val="16"/>
              </w:rPr>
              <w:t> </w:t>
            </w:r>
            <w:r>
              <w:rPr>
                <w:sz w:val="16"/>
              </w:rPr>
              <w:t>de personas pescadoras y sus ayudantes</w:t>
            </w:r>
            <w:r>
              <w:rPr>
                <w:spacing w:val="-12"/>
                <w:sz w:val="16"/>
              </w:rPr>
              <w:t> </w:t>
            </w:r>
            <w:r>
              <w:rPr>
                <w:sz w:val="16"/>
              </w:rPr>
              <w:t>afectados</w:t>
            </w:r>
          </w:p>
          <w:p>
            <w:pPr>
              <w:pStyle w:val="TableParagraph"/>
              <w:spacing w:line="182" w:lineRule="exact"/>
              <w:ind w:left="72" w:right="192"/>
              <w:rPr>
                <w:sz w:val="16"/>
              </w:rPr>
            </w:pPr>
            <w:r>
              <w:rPr>
                <w:sz w:val="16"/>
              </w:rPr>
              <w:t>por</w:t>
            </w:r>
            <w:r>
              <w:rPr>
                <w:spacing w:val="-12"/>
                <w:sz w:val="16"/>
              </w:rPr>
              <w:t> </w:t>
            </w:r>
            <w:r>
              <w:rPr>
                <w:sz w:val="16"/>
              </w:rPr>
              <w:t>la</w:t>
            </w:r>
            <w:r>
              <w:rPr>
                <w:spacing w:val="-11"/>
                <w:sz w:val="16"/>
              </w:rPr>
              <w:t> </w:t>
            </w:r>
            <w:r>
              <w:rPr>
                <w:sz w:val="16"/>
              </w:rPr>
              <w:t>veda </w:t>
            </w:r>
            <w:r>
              <w:rPr>
                <w:spacing w:val="-2"/>
                <w:sz w:val="16"/>
              </w:rPr>
              <w:t>pesquera.</w:t>
            </w:r>
          </w:p>
        </w:tc>
        <w:tc>
          <w:tcPr>
            <w:tcW w:w="1280"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72" w:right="96"/>
              <w:rPr>
                <w:sz w:val="16"/>
              </w:rPr>
            </w:pPr>
            <w:r>
              <w:rPr>
                <w:sz w:val="16"/>
              </w:rPr>
              <w:t>Cantidad de </w:t>
            </w:r>
            <w:r>
              <w:rPr>
                <w:spacing w:val="-2"/>
                <w:sz w:val="16"/>
              </w:rPr>
              <w:t>personas</w:t>
            </w:r>
            <w:r>
              <w:rPr>
                <w:spacing w:val="-10"/>
                <w:sz w:val="16"/>
              </w:rPr>
              <w:t> </w:t>
            </w:r>
            <w:r>
              <w:rPr>
                <w:spacing w:val="-2"/>
                <w:sz w:val="16"/>
              </w:rPr>
              <w:t>que </w:t>
            </w:r>
            <w:r>
              <w:rPr>
                <w:sz w:val="16"/>
              </w:rPr>
              <w:t>reciben el subsidio de </w:t>
            </w:r>
            <w:r>
              <w:rPr>
                <w:spacing w:val="-2"/>
                <w:sz w:val="16"/>
              </w:rPr>
              <w:t>Veda.</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661"/>
              <w:rPr>
                <w:sz w:val="16"/>
              </w:rPr>
            </w:pPr>
            <w:r>
              <w:rPr>
                <w:sz w:val="16"/>
              </w:rPr>
              <w:t>1</w:t>
            </w:r>
            <w:r>
              <w:rPr>
                <w:spacing w:val="-4"/>
                <w:sz w:val="16"/>
              </w:rPr>
              <w:t> </w:t>
            </w:r>
            <w:r>
              <w:rPr>
                <w:spacing w:val="-5"/>
                <w:sz w:val="16"/>
              </w:rPr>
              <w:t>145</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66"/>
              <w:jc w:val="right"/>
              <w:rPr>
                <w:sz w:val="16"/>
              </w:rPr>
            </w:pPr>
            <w:r>
              <w:rPr>
                <w:sz w:val="16"/>
              </w:rPr>
              <w:t>333</w:t>
            </w:r>
            <w:r>
              <w:rPr>
                <w:spacing w:val="-6"/>
                <w:sz w:val="16"/>
              </w:rPr>
              <w:t> </w:t>
            </w:r>
            <w:r>
              <w:rPr>
                <w:sz w:val="16"/>
              </w:rPr>
              <w:t>787</w:t>
            </w:r>
            <w:r>
              <w:rPr>
                <w:spacing w:val="-2"/>
                <w:sz w:val="16"/>
              </w:rPr>
              <w:t> </w:t>
            </w:r>
            <w:r>
              <w:rPr>
                <w:spacing w:val="-5"/>
                <w:sz w:val="16"/>
              </w:rPr>
              <w:t>837</w:t>
            </w: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66"/>
              <w:jc w:val="right"/>
              <w:rPr>
                <w:sz w:val="16"/>
              </w:rPr>
            </w:pPr>
            <w:r>
              <w:rPr>
                <w:sz w:val="16"/>
              </w:rPr>
              <w:t>1</w:t>
            </w:r>
            <w:r>
              <w:rPr>
                <w:spacing w:val="-4"/>
                <w:sz w:val="16"/>
              </w:rPr>
              <w:t> </w:t>
            </w:r>
            <w:r>
              <w:rPr>
                <w:spacing w:val="-5"/>
                <w:sz w:val="16"/>
              </w:rPr>
              <w:t>150</w:t>
            </w:r>
          </w:p>
        </w:tc>
        <w:tc>
          <w:tcPr>
            <w:tcW w:w="17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66"/>
              <w:jc w:val="right"/>
              <w:rPr>
                <w:sz w:val="16"/>
              </w:rPr>
            </w:pPr>
            <w:r>
              <w:rPr>
                <w:sz w:val="16"/>
              </w:rPr>
              <w:t>414</w:t>
            </w:r>
            <w:r>
              <w:rPr>
                <w:spacing w:val="-6"/>
                <w:sz w:val="16"/>
              </w:rPr>
              <w:t> </w:t>
            </w:r>
            <w:r>
              <w:rPr>
                <w:sz w:val="16"/>
              </w:rPr>
              <w:t>941</w:t>
            </w:r>
            <w:r>
              <w:rPr>
                <w:spacing w:val="-2"/>
                <w:sz w:val="16"/>
              </w:rPr>
              <w:t> </w:t>
            </w:r>
            <w:r>
              <w:rPr>
                <w:spacing w:val="-5"/>
                <w:sz w:val="16"/>
              </w:rPr>
              <w:t>667</w:t>
            </w: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62"/>
              <w:jc w:val="right"/>
              <w:rPr>
                <w:sz w:val="16"/>
              </w:rPr>
            </w:pPr>
            <w:r>
              <w:rPr>
                <w:sz w:val="16"/>
              </w:rPr>
              <w:t>1</w:t>
            </w:r>
            <w:r>
              <w:rPr>
                <w:spacing w:val="-4"/>
                <w:sz w:val="16"/>
              </w:rPr>
              <w:t> </w:t>
            </w:r>
            <w:r>
              <w:rPr>
                <w:spacing w:val="-5"/>
                <w:sz w:val="16"/>
              </w:rPr>
              <w:t>200</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73"/>
              <w:jc w:val="right"/>
              <w:rPr>
                <w:sz w:val="16"/>
              </w:rPr>
            </w:pPr>
            <w:r>
              <w:rPr>
                <w:sz w:val="16"/>
              </w:rPr>
              <w:t>₡520</w:t>
            </w:r>
            <w:r>
              <w:rPr>
                <w:spacing w:val="-5"/>
                <w:sz w:val="16"/>
              </w:rPr>
              <w:t> </w:t>
            </w:r>
            <w:r>
              <w:rPr>
                <w:sz w:val="16"/>
              </w:rPr>
              <w:t>000</w:t>
            </w:r>
            <w:r>
              <w:rPr>
                <w:spacing w:val="-4"/>
                <w:sz w:val="16"/>
              </w:rPr>
              <w:t> </w:t>
            </w:r>
            <w:r>
              <w:rPr>
                <w:spacing w:val="-5"/>
                <w:sz w:val="16"/>
              </w:rPr>
              <w:t>000</w:t>
            </w:r>
          </w:p>
        </w:tc>
      </w:tr>
      <w:tr>
        <w:trPr>
          <w:trHeight w:val="2208" w:hRule="atLeast"/>
        </w:trPr>
        <w:tc>
          <w:tcPr>
            <w:tcW w:w="1695" w:type="dxa"/>
            <w:gridSpan w:val="2"/>
          </w:tcPr>
          <w:p>
            <w:pPr>
              <w:pStyle w:val="TableParagraph"/>
              <w:spacing w:line="182" w:lineRule="exact"/>
              <w:ind w:left="72"/>
              <w:rPr>
                <w:b/>
                <w:sz w:val="16"/>
              </w:rPr>
            </w:pPr>
            <w:r>
              <w:rPr>
                <w:b/>
                <w:sz w:val="16"/>
              </w:rPr>
              <w:t>Actividad</w:t>
            </w:r>
            <w:r>
              <w:rPr>
                <w:b/>
                <w:spacing w:val="-11"/>
                <w:sz w:val="16"/>
              </w:rPr>
              <w:t> </w:t>
            </w:r>
            <w:r>
              <w:rPr>
                <w:b/>
                <w:spacing w:val="-4"/>
                <w:sz w:val="16"/>
              </w:rPr>
              <w:t>PPPS</w:t>
            </w:r>
          </w:p>
          <w:p>
            <w:pPr>
              <w:pStyle w:val="TableParagraph"/>
              <w:ind w:left="72" w:right="77"/>
              <w:rPr>
                <w:sz w:val="16"/>
              </w:rPr>
            </w:pPr>
            <w:r>
              <w:rPr>
                <w:b/>
                <w:sz w:val="16"/>
              </w:rPr>
              <w:t>1.1.7: </w:t>
            </w:r>
            <w:r>
              <w:rPr>
                <w:sz w:val="16"/>
              </w:rPr>
              <w:t>Otorgamiento de transferencias económicas como aporte a la satisfacción de necesidades básicas de</w:t>
            </w:r>
            <w:r>
              <w:rPr>
                <w:spacing w:val="-12"/>
                <w:sz w:val="16"/>
              </w:rPr>
              <w:t> </w:t>
            </w:r>
            <w:r>
              <w:rPr>
                <w:sz w:val="16"/>
              </w:rPr>
              <w:t>hogares</w:t>
            </w:r>
            <w:r>
              <w:rPr>
                <w:spacing w:val="-11"/>
                <w:sz w:val="16"/>
              </w:rPr>
              <w:t> </w:t>
            </w:r>
            <w:r>
              <w:rPr>
                <w:sz w:val="16"/>
              </w:rPr>
              <w:t>afectados por situaciones de </w:t>
            </w:r>
            <w:r>
              <w:rPr>
                <w:spacing w:val="-2"/>
                <w:sz w:val="16"/>
              </w:rPr>
              <w:t>emergencia </w:t>
            </w:r>
            <w:r>
              <w:rPr>
                <w:sz w:val="16"/>
              </w:rPr>
              <w:t>(vinculación</w:t>
            </w:r>
            <w:r>
              <w:rPr>
                <w:spacing w:val="-2"/>
                <w:sz w:val="16"/>
              </w:rPr>
              <w:t> </w:t>
            </w:r>
            <w:r>
              <w:rPr>
                <w:sz w:val="16"/>
              </w:rPr>
              <w:t>con</w:t>
            </w:r>
          </w:p>
          <w:p>
            <w:pPr>
              <w:pStyle w:val="TableParagraph"/>
              <w:spacing w:line="163" w:lineRule="exact" w:before="3"/>
              <w:ind w:left="72"/>
              <w:rPr>
                <w:sz w:val="16"/>
              </w:rPr>
            </w:pPr>
            <w:r>
              <w:rPr>
                <w:sz w:val="16"/>
              </w:rPr>
              <w:t>PGCC</w:t>
            </w:r>
            <w:r>
              <w:rPr>
                <w:spacing w:val="-5"/>
                <w:sz w:val="16"/>
              </w:rPr>
              <w:t> </w:t>
            </w:r>
            <w:r>
              <w:rPr>
                <w:spacing w:val="-2"/>
                <w:sz w:val="16"/>
              </w:rPr>
              <w:t>4.3).</w:t>
            </w:r>
          </w:p>
        </w:tc>
        <w:tc>
          <w:tcPr>
            <w:tcW w:w="1280"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72"/>
              <w:rPr>
                <w:sz w:val="16"/>
              </w:rPr>
            </w:pPr>
            <w:r>
              <w:rPr>
                <w:sz w:val="16"/>
              </w:rPr>
              <w:t>Cantidad de hogares que reciben el </w:t>
            </w:r>
            <w:r>
              <w:rPr>
                <w:spacing w:val="-2"/>
                <w:sz w:val="16"/>
              </w:rPr>
              <w:t>subsidio Emergencias.</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66"/>
              <w:jc w:val="right"/>
              <w:rPr>
                <w:sz w:val="16"/>
              </w:rPr>
            </w:pPr>
            <w:r>
              <w:rPr>
                <w:sz w:val="16"/>
              </w:rPr>
              <w:t>₡200</w:t>
            </w:r>
            <w:r>
              <w:rPr>
                <w:spacing w:val="-5"/>
                <w:sz w:val="16"/>
              </w:rPr>
              <w:t> </w:t>
            </w:r>
            <w:r>
              <w:rPr>
                <w:sz w:val="16"/>
              </w:rPr>
              <w:t>000</w:t>
            </w:r>
            <w:r>
              <w:rPr>
                <w:spacing w:val="-4"/>
                <w:sz w:val="16"/>
              </w:rPr>
              <w:t> </w:t>
            </w:r>
            <w:r>
              <w:rPr>
                <w:spacing w:val="-5"/>
                <w:sz w:val="16"/>
              </w:rPr>
              <w:t>000</w:t>
            </w: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65"/>
              <w:jc w:val="right"/>
              <w:rPr>
                <w:sz w:val="16"/>
              </w:rPr>
            </w:pPr>
            <w:r>
              <w:rPr>
                <w:spacing w:val="-10"/>
                <w:sz w:val="16"/>
              </w:rPr>
              <w:t>0</w:t>
            </w:r>
          </w:p>
        </w:tc>
        <w:tc>
          <w:tcPr>
            <w:tcW w:w="17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66"/>
              <w:jc w:val="right"/>
              <w:rPr>
                <w:sz w:val="16"/>
              </w:rPr>
            </w:pPr>
            <w:r>
              <w:rPr>
                <w:sz w:val="16"/>
              </w:rPr>
              <w:t>₡450</w:t>
            </w:r>
            <w:r>
              <w:rPr>
                <w:spacing w:val="-5"/>
                <w:sz w:val="16"/>
              </w:rPr>
              <w:t> </w:t>
            </w:r>
            <w:r>
              <w:rPr>
                <w:sz w:val="16"/>
              </w:rPr>
              <w:t>000</w:t>
            </w:r>
            <w:r>
              <w:rPr>
                <w:spacing w:val="-4"/>
                <w:sz w:val="16"/>
              </w:rPr>
              <w:t> </w:t>
            </w:r>
            <w:r>
              <w:rPr>
                <w:spacing w:val="-5"/>
                <w:sz w:val="16"/>
              </w:rPr>
              <w:t>000</w:t>
            </w: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61"/>
              <w:jc w:val="right"/>
              <w:rPr>
                <w:sz w:val="16"/>
              </w:rPr>
            </w:pPr>
            <w:r>
              <w:rPr>
                <w:spacing w:val="-10"/>
                <w:sz w:val="16"/>
              </w:rPr>
              <w:t>0</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73"/>
              <w:jc w:val="right"/>
              <w:rPr>
                <w:sz w:val="16"/>
              </w:rPr>
            </w:pPr>
            <w:r>
              <w:rPr>
                <w:sz w:val="16"/>
              </w:rPr>
              <w:t>₡1</w:t>
            </w:r>
            <w:r>
              <w:rPr>
                <w:spacing w:val="-6"/>
                <w:sz w:val="16"/>
              </w:rPr>
              <w:t> </w:t>
            </w:r>
            <w:r>
              <w:rPr>
                <w:sz w:val="16"/>
              </w:rPr>
              <w:t>900</w:t>
            </w:r>
            <w:r>
              <w:rPr>
                <w:spacing w:val="-1"/>
                <w:sz w:val="16"/>
              </w:rPr>
              <w:t> </w:t>
            </w:r>
            <w:r>
              <w:rPr>
                <w:sz w:val="16"/>
              </w:rPr>
              <w:t>000</w:t>
            </w:r>
            <w:r>
              <w:rPr>
                <w:spacing w:val="-2"/>
                <w:sz w:val="16"/>
              </w:rPr>
              <w:t> </w:t>
            </w:r>
            <w:r>
              <w:rPr>
                <w:spacing w:val="-5"/>
                <w:sz w:val="16"/>
              </w:rPr>
              <w:t>000</w:t>
            </w:r>
          </w:p>
        </w:tc>
      </w:tr>
      <w:tr>
        <w:trPr>
          <w:trHeight w:val="1349" w:hRule="atLeast"/>
        </w:trPr>
        <w:tc>
          <w:tcPr>
            <w:tcW w:w="1695" w:type="dxa"/>
            <w:gridSpan w:val="2"/>
            <w:tcBorders>
              <w:bottom w:val="nil"/>
            </w:tcBorders>
          </w:tcPr>
          <w:p>
            <w:pPr>
              <w:pStyle w:val="TableParagraph"/>
              <w:spacing w:before="32"/>
              <w:ind w:left="72"/>
              <w:rPr>
                <w:b/>
                <w:sz w:val="16"/>
              </w:rPr>
            </w:pPr>
            <w:r>
              <w:rPr>
                <w:b/>
                <w:sz w:val="16"/>
              </w:rPr>
              <w:t>Actividad</w:t>
            </w:r>
            <w:r>
              <w:rPr>
                <w:b/>
                <w:spacing w:val="-11"/>
                <w:sz w:val="16"/>
              </w:rPr>
              <w:t> </w:t>
            </w:r>
            <w:r>
              <w:rPr>
                <w:b/>
                <w:spacing w:val="-4"/>
                <w:sz w:val="16"/>
              </w:rPr>
              <w:t>PPPS</w:t>
            </w:r>
          </w:p>
          <w:p>
            <w:pPr>
              <w:pStyle w:val="TableParagraph"/>
              <w:spacing w:before="3"/>
              <w:ind w:left="72" w:right="77"/>
              <w:rPr>
                <w:sz w:val="16"/>
              </w:rPr>
            </w:pPr>
            <w:r>
              <w:rPr>
                <w:b/>
                <w:sz w:val="16"/>
              </w:rPr>
              <w:t>1.1.8: </w:t>
            </w:r>
            <w:r>
              <w:rPr>
                <w:sz w:val="16"/>
              </w:rPr>
              <w:t>Otorgamiento del</w:t>
            </w:r>
            <w:r>
              <w:rPr>
                <w:spacing w:val="-12"/>
                <w:sz w:val="16"/>
              </w:rPr>
              <w:t> </w:t>
            </w:r>
            <w:r>
              <w:rPr>
                <w:sz w:val="16"/>
              </w:rPr>
              <w:t>subsidio</w:t>
            </w:r>
            <w:r>
              <w:rPr>
                <w:spacing w:val="-11"/>
                <w:sz w:val="16"/>
              </w:rPr>
              <w:t> </w:t>
            </w:r>
            <w:r>
              <w:rPr>
                <w:sz w:val="16"/>
              </w:rPr>
              <w:t>Costo</w:t>
            </w:r>
            <w:r>
              <w:rPr>
                <w:spacing w:val="-11"/>
                <w:sz w:val="16"/>
              </w:rPr>
              <w:t> </w:t>
            </w:r>
            <w:r>
              <w:rPr>
                <w:sz w:val="16"/>
              </w:rPr>
              <w:t>de Atención</w:t>
            </w:r>
            <w:r>
              <w:rPr>
                <w:spacing w:val="-2"/>
                <w:sz w:val="16"/>
              </w:rPr>
              <w:t> </w:t>
            </w:r>
            <w:r>
              <w:rPr>
                <w:sz w:val="16"/>
              </w:rPr>
              <w:t>a organizaciones de bienestar social para la atención de</w:t>
            </w:r>
          </w:p>
        </w:tc>
        <w:tc>
          <w:tcPr>
            <w:tcW w:w="1280" w:type="dxa"/>
            <w:tcBorders>
              <w:bottom w:val="single" w:sz="4" w:space="0" w:color="808080"/>
            </w:tcBorders>
          </w:tcPr>
          <w:p>
            <w:pPr>
              <w:pStyle w:val="TableParagraph"/>
              <w:spacing w:before="128"/>
              <w:ind w:left="72"/>
              <w:rPr>
                <w:sz w:val="16"/>
              </w:rPr>
            </w:pPr>
            <w:r>
              <w:rPr>
                <w:sz w:val="16"/>
              </w:rPr>
              <w:t>Cantidad de subsidios de Costo de </w:t>
            </w:r>
            <w:r>
              <w:rPr>
                <w:spacing w:val="-2"/>
                <w:sz w:val="16"/>
              </w:rPr>
              <w:t>atención </w:t>
            </w:r>
            <w:r>
              <w:rPr>
                <w:sz w:val="16"/>
              </w:rPr>
              <w:t>otorgados a </w:t>
            </w:r>
            <w:r>
              <w:rPr>
                <w:spacing w:val="-2"/>
                <w:sz w:val="16"/>
              </w:rPr>
              <w:t>organizaciones</w:t>
            </w:r>
          </w:p>
        </w:tc>
        <w:tc>
          <w:tcPr>
            <w:tcW w:w="1275" w:type="dxa"/>
            <w:tcBorders>
              <w:bottom w:val="single" w:sz="4" w:space="0" w:color="808080"/>
            </w:tcBorders>
          </w:tcPr>
          <w:p>
            <w:pPr>
              <w:pStyle w:val="TableParagraph"/>
              <w:rPr>
                <w:rFonts w:ascii="Times New Roman"/>
                <w:sz w:val="16"/>
              </w:rPr>
            </w:pPr>
          </w:p>
        </w:tc>
        <w:tc>
          <w:tcPr>
            <w:tcW w:w="1561" w:type="dxa"/>
            <w:tcBorders>
              <w:bottom w:val="single" w:sz="4" w:space="0" w:color="808080"/>
            </w:tcBorders>
          </w:tcPr>
          <w:p>
            <w:pPr>
              <w:pStyle w:val="TableParagraph"/>
              <w:rPr>
                <w:rFonts w:ascii="Times New Roman"/>
                <w:sz w:val="16"/>
              </w:rPr>
            </w:pPr>
          </w:p>
        </w:tc>
        <w:tc>
          <w:tcPr>
            <w:tcW w:w="1134" w:type="dxa"/>
            <w:tcBorders>
              <w:bottom w:val="single" w:sz="4" w:space="0" w:color="808080"/>
            </w:tcBorders>
          </w:tcPr>
          <w:p>
            <w:pPr>
              <w:pStyle w:val="TableParagraph"/>
              <w:rPr>
                <w:rFonts w:ascii="Times New Roman"/>
                <w:sz w:val="16"/>
              </w:rPr>
            </w:pPr>
          </w:p>
        </w:tc>
        <w:tc>
          <w:tcPr>
            <w:tcW w:w="1561" w:type="dxa"/>
            <w:tcBorders>
              <w:bottom w:val="single" w:sz="4" w:space="0" w:color="808080"/>
            </w:tcBorders>
          </w:tcPr>
          <w:p>
            <w:pPr>
              <w:pStyle w:val="TableParagraph"/>
              <w:rPr>
                <w:rFonts w:ascii="Times New Roman"/>
                <w:sz w:val="16"/>
              </w:rPr>
            </w:pPr>
          </w:p>
        </w:tc>
        <w:tc>
          <w:tcPr>
            <w:tcW w:w="1277" w:type="dxa"/>
            <w:tcBorders>
              <w:bottom w:val="single" w:sz="4" w:space="0" w:color="808080"/>
            </w:tcBorders>
          </w:tcPr>
          <w:p>
            <w:pPr>
              <w:pStyle w:val="TableParagraph"/>
              <w:rPr>
                <w:b/>
                <w:sz w:val="16"/>
              </w:rPr>
            </w:pPr>
          </w:p>
          <w:p>
            <w:pPr>
              <w:pStyle w:val="TableParagraph"/>
              <w:rPr>
                <w:b/>
                <w:sz w:val="16"/>
              </w:rPr>
            </w:pPr>
          </w:p>
          <w:p>
            <w:pPr>
              <w:pStyle w:val="TableParagraph"/>
              <w:spacing w:before="32"/>
              <w:rPr>
                <w:b/>
                <w:sz w:val="16"/>
              </w:rPr>
            </w:pPr>
          </w:p>
          <w:p>
            <w:pPr>
              <w:pStyle w:val="TableParagraph"/>
              <w:ind w:right="67"/>
              <w:jc w:val="right"/>
              <w:rPr>
                <w:sz w:val="16"/>
              </w:rPr>
            </w:pPr>
            <w:r>
              <w:rPr>
                <w:spacing w:val="-5"/>
                <w:sz w:val="16"/>
              </w:rPr>
              <w:t>30</w:t>
            </w:r>
          </w:p>
        </w:tc>
        <w:tc>
          <w:tcPr>
            <w:tcW w:w="1700" w:type="dxa"/>
            <w:tcBorders>
              <w:bottom w:val="single" w:sz="4" w:space="0" w:color="808080"/>
            </w:tcBorders>
          </w:tcPr>
          <w:p>
            <w:pPr>
              <w:pStyle w:val="TableParagraph"/>
              <w:rPr>
                <w:b/>
                <w:sz w:val="16"/>
              </w:rPr>
            </w:pPr>
          </w:p>
          <w:p>
            <w:pPr>
              <w:pStyle w:val="TableParagraph"/>
              <w:rPr>
                <w:b/>
                <w:sz w:val="16"/>
              </w:rPr>
            </w:pPr>
          </w:p>
          <w:p>
            <w:pPr>
              <w:pStyle w:val="TableParagraph"/>
              <w:spacing w:before="32"/>
              <w:rPr>
                <w:b/>
                <w:sz w:val="16"/>
              </w:rPr>
            </w:pPr>
          </w:p>
          <w:p>
            <w:pPr>
              <w:pStyle w:val="TableParagraph"/>
              <w:ind w:right="66"/>
              <w:jc w:val="right"/>
              <w:rPr>
                <w:sz w:val="16"/>
              </w:rPr>
            </w:pPr>
            <w:r>
              <w:rPr>
                <w:sz w:val="16"/>
              </w:rPr>
              <w:t>₡900</w:t>
            </w:r>
            <w:r>
              <w:rPr>
                <w:spacing w:val="-5"/>
                <w:sz w:val="16"/>
              </w:rPr>
              <w:t> </w:t>
            </w:r>
            <w:r>
              <w:rPr>
                <w:sz w:val="16"/>
              </w:rPr>
              <w:t>735</w:t>
            </w:r>
            <w:r>
              <w:rPr>
                <w:spacing w:val="-4"/>
                <w:sz w:val="16"/>
              </w:rPr>
              <w:t> </w:t>
            </w:r>
            <w:r>
              <w:rPr>
                <w:spacing w:val="-5"/>
                <w:sz w:val="16"/>
              </w:rPr>
              <w:t>279</w:t>
            </w:r>
          </w:p>
        </w:tc>
        <w:tc>
          <w:tcPr>
            <w:tcW w:w="1345" w:type="dxa"/>
            <w:tcBorders>
              <w:bottom w:val="single" w:sz="4" w:space="0" w:color="808080"/>
            </w:tcBorders>
          </w:tcPr>
          <w:p>
            <w:pPr>
              <w:pStyle w:val="TableParagraph"/>
              <w:rPr>
                <w:b/>
                <w:sz w:val="16"/>
              </w:rPr>
            </w:pPr>
          </w:p>
          <w:p>
            <w:pPr>
              <w:pStyle w:val="TableParagraph"/>
              <w:rPr>
                <w:b/>
                <w:sz w:val="16"/>
              </w:rPr>
            </w:pPr>
          </w:p>
          <w:p>
            <w:pPr>
              <w:pStyle w:val="TableParagraph"/>
              <w:spacing w:before="32"/>
              <w:rPr>
                <w:b/>
                <w:sz w:val="16"/>
              </w:rPr>
            </w:pPr>
          </w:p>
          <w:p>
            <w:pPr>
              <w:pStyle w:val="TableParagraph"/>
              <w:ind w:right="63"/>
              <w:jc w:val="right"/>
              <w:rPr>
                <w:sz w:val="16"/>
              </w:rPr>
            </w:pPr>
            <w:r>
              <w:rPr>
                <w:spacing w:val="-5"/>
                <w:sz w:val="16"/>
              </w:rPr>
              <w:t>30</w:t>
            </w:r>
          </w:p>
        </w:tc>
        <w:tc>
          <w:tcPr>
            <w:tcW w:w="1494" w:type="dxa"/>
            <w:tcBorders>
              <w:bottom w:val="single" w:sz="4" w:space="0" w:color="808080"/>
            </w:tcBorders>
          </w:tcPr>
          <w:p>
            <w:pPr>
              <w:pStyle w:val="TableParagraph"/>
              <w:rPr>
                <w:b/>
                <w:sz w:val="16"/>
              </w:rPr>
            </w:pPr>
          </w:p>
          <w:p>
            <w:pPr>
              <w:pStyle w:val="TableParagraph"/>
              <w:rPr>
                <w:b/>
                <w:sz w:val="16"/>
              </w:rPr>
            </w:pPr>
          </w:p>
          <w:p>
            <w:pPr>
              <w:pStyle w:val="TableParagraph"/>
              <w:spacing w:before="32"/>
              <w:rPr>
                <w:b/>
                <w:sz w:val="16"/>
              </w:rPr>
            </w:pPr>
          </w:p>
          <w:p>
            <w:pPr>
              <w:pStyle w:val="TableParagraph"/>
              <w:ind w:right="73"/>
              <w:jc w:val="right"/>
              <w:rPr>
                <w:sz w:val="16"/>
              </w:rPr>
            </w:pPr>
            <w:r>
              <w:rPr>
                <w:sz w:val="16"/>
              </w:rPr>
              <w:t>₡900</w:t>
            </w:r>
            <w:r>
              <w:rPr>
                <w:spacing w:val="-5"/>
                <w:sz w:val="16"/>
              </w:rPr>
              <w:t> </w:t>
            </w:r>
            <w:r>
              <w:rPr>
                <w:sz w:val="16"/>
              </w:rPr>
              <w:t>735</w:t>
            </w:r>
            <w:r>
              <w:rPr>
                <w:spacing w:val="-4"/>
                <w:sz w:val="16"/>
              </w:rPr>
              <w:t> </w:t>
            </w:r>
            <w:r>
              <w:rPr>
                <w:spacing w:val="-5"/>
                <w:sz w:val="16"/>
              </w:rPr>
              <w:t>279</w:t>
            </w:r>
          </w:p>
        </w:tc>
      </w:tr>
      <w:tr>
        <w:trPr>
          <w:trHeight w:val="1374" w:hRule="atLeast"/>
        </w:trPr>
        <w:tc>
          <w:tcPr>
            <w:tcW w:w="1486" w:type="dxa"/>
            <w:tcBorders>
              <w:top w:val="thinThickMediumGap" w:sz="9" w:space="0" w:color="808080"/>
              <w:left w:val="nil"/>
              <w:bottom w:val="nil"/>
              <w:right w:val="single" w:sz="18" w:space="0" w:color="808080"/>
            </w:tcBorders>
          </w:tcPr>
          <w:p>
            <w:pPr>
              <w:pStyle w:val="TableParagraph"/>
              <w:spacing w:line="268" w:lineRule="exact"/>
              <w:ind w:left="106"/>
              <w:rPr>
                <w:b/>
                <w:sz w:val="24"/>
              </w:rPr>
            </w:pPr>
            <w:r>
              <w:rPr>
                <w:b/>
                <w:spacing w:val="-5"/>
                <w:sz w:val="24"/>
              </w:rPr>
              <w:t>144</w:t>
            </w:r>
          </w:p>
        </w:tc>
        <w:tc>
          <w:tcPr>
            <w:tcW w:w="12836" w:type="dxa"/>
            <w:gridSpan w:val="10"/>
            <w:tcBorders>
              <w:top w:val="single" w:sz="4" w:space="0" w:color="808080"/>
              <w:left w:val="single" w:sz="18" w:space="0" w:color="808080"/>
              <w:bottom w:val="nil"/>
              <w:right w:val="nil"/>
            </w:tcBorders>
          </w:tcPr>
          <w:p>
            <w:pPr>
              <w:pStyle w:val="TableParagraph"/>
              <w:spacing w:line="242" w:lineRule="auto"/>
              <w:ind w:left="95" w:right="9112"/>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66"/>
          <w:pgSz w:w="15840" w:h="12240" w:orient="landscape"/>
          <w:pgMar w:header="0" w:footer="0" w:top="700" w:bottom="2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80"/>
        <w:gridCol w:w="1275"/>
        <w:gridCol w:w="1561"/>
        <w:gridCol w:w="1134"/>
        <w:gridCol w:w="1561"/>
        <w:gridCol w:w="1277"/>
        <w:gridCol w:w="1700"/>
        <w:gridCol w:w="1345"/>
        <w:gridCol w:w="1494"/>
      </w:tblGrid>
      <w:tr>
        <w:trPr>
          <w:trHeight w:val="316" w:hRule="atLeast"/>
        </w:trPr>
        <w:tc>
          <w:tcPr>
            <w:tcW w:w="1695" w:type="dxa"/>
            <w:vMerge w:val="restart"/>
            <w:tcBorders>
              <w:bottom w:val="nil"/>
            </w:tcBorders>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80" w:type="dxa"/>
            <w:vMerge w:val="restart"/>
            <w:tcBorders>
              <w:bottom w:val="nil"/>
            </w:tcBorders>
            <w:shd w:val="clear" w:color="auto" w:fill="F1F1F1"/>
          </w:tcPr>
          <w:p>
            <w:pPr>
              <w:pStyle w:val="TableParagraph"/>
              <w:spacing w:line="183" w:lineRule="exact"/>
              <w:ind w:left="278"/>
              <w:rPr>
                <w:b/>
                <w:sz w:val="16"/>
              </w:rPr>
            </w:pPr>
            <w:r>
              <w:rPr>
                <w:b/>
                <w:spacing w:val="-2"/>
                <w:sz w:val="16"/>
              </w:rPr>
              <w:t>Indicador</w:t>
            </w:r>
          </w:p>
        </w:tc>
        <w:tc>
          <w:tcPr>
            <w:tcW w:w="2836" w:type="dxa"/>
            <w:gridSpan w:val="2"/>
            <w:shd w:val="clear" w:color="auto" w:fill="F1F1F1"/>
          </w:tcPr>
          <w:p>
            <w:pPr>
              <w:pStyle w:val="TableParagraph"/>
              <w:spacing w:line="183" w:lineRule="exact"/>
              <w:ind w:left="6"/>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left="2"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left="2"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bottom w:val="nil"/>
            </w:tcBorders>
            <w:shd w:val="clear" w:color="auto" w:fill="F1F1F1"/>
          </w:tcPr>
          <w:p>
            <w:pPr>
              <w:rPr>
                <w:sz w:val="2"/>
                <w:szCs w:val="2"/>
              </w:rPr>
            </w:pPr>
          </w:p>
        </w:tc>
        <w:tc>
          <w:tcPr>
            <w:tcW w:w="1280" w:type="dxa"/>
            <w:vMerge/>
            <w:tcBorders>
              <w:top w:val="nil"/>
              <w:bottom w:val="nil"/>
            </w:tcBorders>
            <w:shd w:val="clear" w:color="auto" w:fill="F1F1F1"/>
          </w:tcPr>
          <w:p>
            <w:pPr>
              <w:rPr>
                <w:sz w:val="2"/>
                <w:szCs w:val="2"/>
              </w:rPr>
            </w:pPr>
          </w:p>
        </w:tc>
        <w:tc>
          <w:tcPr>
            <w:tcW w:w="1275" w:type="dxa"/>
            <w:shd w:val="clear" w:color="auto" w:fill="F1F1F1"/>
          </w:tcPr>
          <w:p>
            <w:pPr>
              <w:pStyle w:val="TableParagraph"/>
              <w:spacing w:line="182" w:lineRule="exact" w:before="167"/>
              <w:ind w:left="174"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99"/>
              <w:jc w:val="center"/>
              <w:rPr>
                <w:b/>
                <w:sz w:val="16"/>
              </w:rPr>
            </w:pPr>
            <w:r>
              <w:rPr>
                <w:b/>
                <w:spacing w:val="-10"/>
                <w:sz w:val="16"/>
              </w:rPr>
              <w:t>¢</w:t>
            </w:r>
          </w:p>
        </w:tc>
        <w:tc>
          <w:tcPr>
            <w:tcW w:w="1134" w:type="dxa"/>
            <w:shd w:val="clear" w:color="auto" w:fill="F1F1F1"/>
          </w:tcPr>
          <w:p>
            <w:pPr>
              <w:pStyle w:val="TableParagraph"/>
              <w:spacing w:line="182" w:lineRule="exact" w:before="167"/>
              <w:ind w:left="99"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277" w:type="dxa"/>
            <w:shd w:val="clear" w:color="auto" w:fill="F1F1F1"/>
          </w:tcPr>
          <w:p>
            <w:pPr>
              <w:pStyle w:val="TableParagraph"/>
              <w:spacing w:line="182" w:lineRule="exact" w:before="167"/>
              <w:ind w:left="170"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5"/>
              <w:jc w:val="center"/>
              <w:rPr>
                <w:b/>
                <w:sz w:val="16"/>
              </w:rPr>
            </w:pPr>
            <w:r>
              <w:rPr>
                <w:b/>
                <w:spacing w:val="-10"/>
                <w:sz w:val="16"/>
              </w:rPr>
              <w:t>¢</w:t>
            </w:r>
          </w:p>
        </w:tc>
        <w:tc>
          <w:tcPr>
            <w:tcW w:w="1345" w:type="dxa"/>
            <w:shd w:val="clear" w:color="auto" w:fill="F1F1F1"/>
          </w:tcPr>
          <w:p>
            <w:pPr>
              <w:pStyle w:val="TableParagraph"/>
              <w:spacing w:line="182" w:lineRule="exact" w:before="167"/>
              <w:ind w:left="208"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left="2" w:right="9"/>
              <w:jc w:val="center"/>
              <w:rPr>
                <w:b/>
                <w:sz w:val="16"/>
              </w:rPr>
            </w:pPr>
            <w:r>
              <w:rPr>
                <w:b/>
                <w:spacing w:val="-10"/>
                <w:sz w:val="16"/>
              </w:rPr>
              <w:t>¢</w:t>
            </w:r>
          </w:p>
        </w:tc>
      </w:tr>
      <w:tr>
        <w:trPr>
          <w:trHeight w:val="849" w:hRule="atLeast"/>
        </w:trPr>
        <w:tc>
          <w:tcPr>
            <w:tcW w:w="1695" w:type="dxa"/>
            <w:tcBorders>
              <w:top w:val="nil"/>
            </w:tcBorders>
          </w:tcPr>
          <w:p>
            <w:pPr>
              <w:pStyle w:val="TableParagraph"/>
              <w:spacing w:line="173" w:lineRule="exact"/>
              <w:ind w:left="72"/>
              <w:rPr>
                <w:sz w:val="16"/>
              </w:rPr>
            </w:pPr>
            <w:r>
              <w:rPr>
                <w:sz w:val="16"/>
              </w:rPr>
              <w:t>personas</w:t>
            </w:r>
            <w:r>
              <w:rPr>
                <w:spacing w:val="-6"/>
                <w:sz w:val="16"/>
              </w:rPr>
              <w:t> </w:t>
            </w:r>
            <w:r>
              <w:rPr>
                <w:spacing w:val="-5"/>
                <w:sz w:val="16"/>
              </w:rPr>
              <w:t>en</w:t>
            </w:r>
          </w:p>
          <w:p>
            <w:pPr>
              <w:pStyle w:val="TableParagraph"/>
              <w:spacing w:before="4"/>
              <w:ind w:left="72"/>
              <w:rPr>
                <w:sz w:val="16"/>
              </w:rPr>
            </w:pPr>
            <w:r>
              <w:rPr>
                <w:sz w:val="16"/>
              </w:rPr>
              <w:t>situación</w:t>
            </w:r>
            <w:r>
              <w:rPr>
                <w:spacing w:val="-6"/>
                <w:sz w:val="16"/>
              </w:rPr>
              <w:t> </w:t>
            </w:r>
            <w:r>
              <w:rPr>
                <w:sz w:val="16"/>
              </w:rPr>
              <w:t>de</w:t>
            </w:r>
            <w:r>
              <w:rPr>
                <w:spacing w:val="-2"/>
                <w:sz w:val="16"/>
              </w:rPr>
              <w:t> pobreza.</w:t>
            </w:r>
          </w:p>
        </w:tc>
        <w:tc>
          <w:tcPr>
            <w:tcW w:w="1280" w:type="dxa"/>
            <w:tcBorders>
              <w:top w:val="nil"/>
            </w:tcBorders>
          </w:tcPr>
          <w:p>
            <w:pPr>
              <w:pStyle w:val="TableParagraph"/>
              <w:spacing w:line="173" w:lineRule="exact"/>
              <w:ind w:left="72"/>
              <w:rPr>
                <w:sz w:val="16"/>
              </w:rPr>
            </w:pPr>
            <w:r>
              <w:rPr>
                <w:sz w:val="16"/>
              </w:rPr>
              <w:t>de</w:t>
            </w:r>
            <w:r>
              <w:rPr>
                <w:spacing w:val="-3"/>
                <w:sz w:val="16"/>
              </w:rPr>
              <w:t> </w:t>
            </w:r>
            <w:r>
              <w:rPr>
                <w:spacing w:val="-2"/>
                <w:sz w:val="16"/>
              </w:rPr>
              <w:t>bienestar</w:t>
            </w:r>
          </w:p>
          <w:p>
            <w:pPr>
              <w:pStyle w:val="TableParagraph"/>
              <w:spacing w:before="4"/>
              <w:ind w:left="72"/>
              <w:rPr>
                <w:sz w:val="16"/>
              </w:rPr>
            </w:pPr>
            <w:r>
              <w:rPr>
                <w:spacing w:val="-2"/>
                <w:sz w:val="16"/>
              </w:rPr>
              <w:t>social</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rFonts w:ascii="Times New Roman"/>
                <w:sz w:val="16"/>
              </w:rPr>
            </w:pPr>
          </w:p>
        </w:tc>
        <w:tc>
          <w:tcPr>
            <w:tcW w:w="1494" w:type="dxa"/>
          </w:tcPr>
          <w:p>
            <w:pPr>
              <w:pStyle w:val="TableParagraph"/>
              <w:rPr>
                <w:rFonts w:ascii="Times New Roman"/>
                <w:sz w:val="16"/>
              </w:rPr>
            </w:pPr>
          </w:p>
        </w:tc>
      </w:tr>
      <w:tr>
        <w:trPr>
          <w:trHeight w:val="3312" w:hRule="atLeast"/>
        </w:trPr>
        <w:tc>
          <w:tcPr>
            <w:tcW w:w="1695" w:type="dxa"/>
          </w:tcPr>
          <w:p>
            <w:pPr>
              <w:pStyle w:val="TableParagraph"/>
              <w:spacing w:line="182" w:lineRule="exact"/>
              <w:ind w:left="72"/>
              <w:rPr>
                <w:b/>
                <w:sz w:val="16"/>
              </w:rPr>
            </w:pPr>
            <w:r>
              <w:rPr>
                <w:b/>
                <w:sz w:val="16"/>
              </w:rPr>
              <w:t>Actividad</w:t>
            </w:r>
            <w:r>
              <w:rPr>
                <w:b/>
                <w:spacing w:val="-11"/>
                <w:sz w:val="16"/>
              </w:rPr>
              <w:t> </w:t>
            </w:r>
            <w:r>
              <w:rPr>
                <w:b/>
                <w:spacing w:val="-4"/>
                <w:sz w:val="16"/>
              </w:rPr>
              <w:t>PPPS</w:t>
            </w:r>
          </w:p>
          <w:p>
            <w:pPr>
              <w:pStyle w:val="TableParagraph"/>
              <w:ind w:left="72" w:right="103"/>
              <w:rPr>
                <w:sz w:val="16"/>
              </w:rPr>
            </w:pPr>
            <w:r>
              <w:rPr>
                <w:b/>
                <w:sz w:val="16"/>
              </w:rPr>
              <w:t>1.1.9: </w:t>
            </w:r>
            <w:r>
              <w:rPr>
                <w:sz w:val="16"/>
              </w:rPr>
              <w:t>Otorgamiento de subsidios a hogares</w:t>
            </w:r>
            <w:r>
              <w:rPr>
                <w:spacing w:val="-7"/>
                <w:sz w:val="16"/>
              </w:rPr>
              <w:t> </w:t>
            </w:r>
            <w:r>
              <w:rPr>
                <w:sz w:val="16"/>
              </w:rPr>
              <w:t>en</w:t>
            </w:r>
            <w:r>
              <w:rPr>
                <w:spacing w:val="-11"/>
                <w:sz w:val="16"/>
              </w:rPr>
              <w:t> </w:t>
            </w:r>
            <w:r>
              <w:rPr>
                <w:sz w:val="16"/>
              </w:rPr>
              <w:t>situación de pobreza, para el mejoramiento de las </w:t>
            </w:r>
            <w:r>
              <w:rPr>
                <w:spacing w:val="-2"/>
                <w:sz w:val="16"/>
              </w:rPr>
              <w:t>condiciones </w:t>
            </w:r>
            <w:r>
              <w:rPr>
                <w:sz w:val="16"/>
              </w:rPr>
              <w:t>habitacionales y de </w:t>
            </w:r>
            <w:r>
              <w:rPr>
                <w:spacing w:val="-2"/>
                <w:sz w:val="16"/>
              </w:rPr>
              <w:t>accesibilidad, </w:t>
            </w:r>
            <w:r>
              <w:rPr>
                <w:sz w:val="16"/>
              </w:rPr>
              <w:t>incluyendo hogares afectados por situaciones de emergencia, así como</w:t>
            </w:r>
            <w:r>
              <w:rPr>
                <w:spacing w:val="-12"/>
                <w:sz w:val="16"/>
              </w:rPr>
              <w:t> </w:t>
            </w:r>
            <w:r>
              <w:rPr>
                <w:sz w:val="16"/>
              </w:rPr>
              <w:t>la</w:t>
            </w:r>
            <w:r>
              <w:rPr>
                <w:spacing w:val="-11"/>
                <w:sz w:val="16"/>
              </w:rPr>
              <w:t> </w:t>
            </w:r>
            <w:r>
              <w:rPr>
                <w:sz w:val="16"/>
              </w:rPr>
              <w:t>construcción de viviendas en territorios indígenas</w:t>
            </w:r>
          </w:p>
          <w:p>
            <w:pPr>
              <w:pStyle w:val="TableParagraph"/>
              <w:spacing w:line="182" w:lineRule="exact"/>
              <w:ind w:left="72" w:right="103"/>
              <w:rPr>
                <w:sz w:val="16"/>
              </w:rPr>
            </w:pPr>
            <w:r>
              <w:rPr>
                <w:spacing w:val="-2"/>
                <w:sz w:val="16"/>
              </w:rPr>
              <w:t>(vinculación</w:t>
            </w:r>
            <w:r>
              <w:rPr>
                <w:spacing w:val="-10"/>
                <w:sz w:val="16"/>
              </w:rPr>
              <w:t> </w:t>
            </w:r>
            <w:r>
              <w:rPr>
                <w:spacing w:val="-2"/>
                <w:sz w:val="16"/>
              </w:rPr>
              <w:t>con </w:t>
            </w:r>
            <w:r>
              <w:rPr>
                <w:sz w:val="16"/>
              </w:rPr>
              <w:t>PGCC 4.3).</w:t>
            </w:r>
          </w:p>
        </w:tc>
        <w:tc>
          <w:tcPr>
            <w:tcW w:w="1280" w:type="dxa"/>
          </w:tcPr>
          <w:p>
            <w:pPr>
              <w:pStyle w:val="TableParagraph"/>
              <w:rPr>
                <w:b/>
                <w:sz w:val="16"/>
              </w:rPr>
            </w:pPr>
          </w:p>
          <w:p>
            <w:pPr>
              <w:pStyle w:val="TableParagraph"/>
              <w:spacing w:before="182"/>
              <w:rPr>
                <w:b/>
                <w:sz w:val="16"/>
              </w:rPr>
            </w:pPr>
          </w:p>
          <w:p>
            <w:pPr>
              <w:pStyle w:val="TableParagraph"/>
              <w:spacing w:before="1"/>
              <w:ind w:left="72" w:right="81"/>
              <w:rPr>
                <w:sz w:val="16"/>
              </w:rPr>
            </w:pPr>
            <w:r>
              <w:rPr>
                <w:sz w:val="16"/>
              </w:rPr>
              <w:t>Cantidad de hogares que reciben un subsidio</w:t>
            </w:r>
            <w:r>
              <w:rPr>
                <w:spacing w:val="-12"/>
                <w:sz w:val="16"/>
              </w:rPr>
              <w:t> </w:t>
            </w:r>
            <w:r>
              <w:rPr>
                <w:sz w:val="16"/>
              </w:rPr>
              <w:t>para</w:t>
            </w:r>
            <w:r>
              <w:rPr>
                <w:spacing w:val="-11"/>
                <w:sz w:val="16"/>
              </w:rPr>
              <w:t> </w:t>
            </w:r>
            <w:r>
              <w:rPr>
                <w:sz w:val="16"/>
              </w:rPr>
              <w:t>el </w:t>
            </w:r>
            <w:r>
              <w:rPr>
                <w:spacing w:val="-2"/>
                <w:sz w:val="16"/>
              </w:rPr>
              <w:t>mejoramiento </w:t>
            </w:r>
            <w:r>
              <w:rPr>
                <w:sz w:val="16"/>
              </w:rPr>
              <w:t>de las </w:t>
            </w:r>
            <w:r>
              <w:rPr>
                <w:spacing w:val="-2"/>
                <w:sz w:val="16"/>
              </w:rPr>
              <w:t>condiciones habitacionales</w:t>
            </w:r>
            <w:r>
              <w:rPr>
                <w:spacing w:val="40"/>
                <w:sz w:val="16"/>
              </w:rPr>
              <w:t> </w:t>
            </w:r>
            <w:r>
              <w:rPr>
                <w:sz w:val="16"/>
              </w:rPr>
              <w:t>y de </w:t>
            </w:r>
            <w:r>
              <w:rPr>
                <w:spacing w:val="-2"/>
                <w:sz w:val="16"/>
              </w:rPr>
              <w:t>accesibilidad</w:t>
            </w:r>
            <w:r>
              <w:rPr>
                <w:spacing w:val="80"/>
                <w:sz w:val="16"/>
              </w:rPr>
              <w:t> </w:t>
            </w:r>
            <w:r>
              <w:rPr>
                <w:sz w:val="16"/>
              </w:rPr>
              <w:t>de</w:t>
            </w:r>
            <w:r>
              <w:rPr>
                <w:spacing w:val="-2"/>
                <w:sz w:val="16"/>
              </w:rPr>
              <w:t> </w:t>
            </w:r>
            <w:r>
              <w:rPr>
                <w:sz w:val="16"/>
              </w:rPr>
              <w:t>sus </w:t>
            </w:r>
            <w:r>
              <w:rPr>
                <w:spacing w:val="-2"/>
                <w:sz w:val="16"/>
              </w:rPr>
              <w:t>viviendas.</w:t>
            </w:r>
          </w:p>
        </w:tc>
        <w:tc>
          <w:tcPr>
            <w:tcW w:w="127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right="59"/>
              <w:jc w:val="right"/>
              <w:rPr>
                <w:sz w:val="16"/>
              </w:rPr>
            </w:pPr>
            <w:r>
              <w:rPr>
                <w:spacing w:val="-10"/>
                <w:sz w:val="16"/>
              </w:rPr>
              <w:t>4</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right="66"/>
              <w:jc w:val="right"/>
              <w:rPr>
                <w:sz w:val="16"/>
              </w:rPr>
            </w:pPr>
            <w:r>
              <w:rPr>
                <w:sz w:val="16"/>
              </w:rPr>
              <w:t>₡20</w:t>
            </w:r>
            <w:r>
              <w:rPr>
                <w:spacing w:val="-3"/>
                <w:sz w:val="16"/>
              </w:rPr>
              <w:t> </w:t>
            </w:r>
            <w:r>
              <w:rPr>
                <w:sz w:val="16"/>
              </w:rPr>
              <w:t>000</w:t>
            </w:r>
            <w:r>
              <w:rPr>
                <w:spacing w:val="-3"/>
                <w:sz w:val="16"/>
              </w:rPr>
              <w:t> </w:t>
            </w:r>
            <w:r>
              <w:rPr>
                <w:spacing w:val="-5"/>
                <w:sz w:val="16"/>
              </w:rPr>
              <w:t>000</w:t>
            </w: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right="67"/>
              <w:jc w:val="right"/>
              <w:rPr>
                <w:sz w:val="16"/>
              </w:rPr>
            </w:pPr>
            <w:r>
              <w:rPr>
                <w:spacing w:val="-5"/>
                <w:sz w:val="16"/>
              </w:rPr>
              <w:t>27</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right="66"/>
              <w:jc w:val="right"/>
              <w:rPr>
                <w:sz w:val="16"/>
              </w:rPr>
            </w:pPr>
            <w:r>
              <w:rPr>
                <w:sz w:val="16"/>
              </w:rPr>
              <w:t>₡135</w:t>
            </w:r>
            <w:r>
              <w:rPr>
                <w:spacing w:val="-5"/>
                <w:sz w:val="16"/>
              </w:rPr>
              <w:t> </w:t>
            </w:r>
            <w:r>
              <w:rPr>
                <w:sz w:val="16"/>
              </w:rPr>
              <w:t>000</w:t>
            </w:r>
            <w:r>
              <w:rPr>
                <w:spacing w:val="-4"/>
                <w:sz w:val="16"/>
              </w:rPr>
              <w:t> </w:t>
            </w:r>
            <w:r>
              <w:rPr>
                <w:spacing w:val="-5"/>
                <w:sz w:val="16"/>
              </w:rPr>
              <w:t>000</w:t>
            </w: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right="67"/>
              <w:jc w:val="right"/>
              <w:rPr>
                <w:sz w:val="16"/>
              </w:rPr>
            </w:pPr>
            <w:r>
              <w:rPr>
                <w:spacing w:val="-5"/>
                <w:sz w:val="16"/>
              </w:rPr>
              <w:t>83</w:t>
            </w:r>
          </w:p>
        </w:tc>
        <w:tc>
          <w:tcPr>
            <w:tcW w:w="17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right="66"/>
              <w:jc w:val="right"/>
              <w:rPr>
                <w:sz w:val="16"/>
              </w:rPr>
            </w:pPr>
            <w:r>
              <w:rPr>
                <w:sz w:val="16"/>
              </w:rPr>
              <w:t>₡415</w:t>
            </w:r>
            <w:r>
              <w:rPr>
                <w:spacing w:val="-5"/>
                <w:sz w:val="16"/>
              </w:rPr>
              <w:t> </w:t>
            </w:r>
            <w:r>
              <w:rPr>
                <w:sz w:val="16"/>
              </w:rPr>
              <w:t>000</w:t>
            </w:r>
            <w:r>
              <w:rPr>
                <w:spacing w:val="-4"/>
                <w:sz w:val="16"/>
              </w:rPr>
              <w:t> </w:t>
            </w:r>
            <w:r>
              <w:rPr>
                <w:spacing w:val="-5"/>
                <w:sz w:val="16"/>
              </w:rPr>
              <w:t>000</w:t>
            </w: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right="62"/>
              <w:jc w:val="right"/>
              <w:rPr>
                <w:sz w:val="16"/>
              </w:rPr>
            </w:pPr>
            <w:r>
              <w:rPr>
                <w:spacing w:val="-5"/>
                <w:sz w:val="16"/>
              </w:rPr>
              <w:t>149</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right="73"/>
              <w:jc w:val="right"/>
              <w:rPr>
                <w:sz w:val="16"/>
              </w:rPr>
            </w:pPr>
            <w:r>
              <w:rPr>
                <w:sz w:val="16"/>
              </w:rPr>
              <w:t>₡743</w:t>
            </w:r>
            <w:r>
              <w:rPr>
                <w:spacing w:val="-5"/>
                <w:sz w:val="16"/>
              </w:rPr>
              <w:t> </w:t>
            </w:r>
            <w:r>
              <w:rPr>
                <w:sz w:val="16"/>
              </w:rPr>
              <w:t>194</w:t>
            </w:r>
            <w:r>
              <w:rPr>
                <w:spacing w:val="-4"/>
                <w:sz w:val="16"/>
              </w:rPr>
              <w:t> </w:t>
            </w:r>
            <w:r>
              <w:rPr>
                <w:spacing w:val="-5"/>
                <w:sz w:val="16"/>
              </w:rPr>
              <w:t>911</w:t>
            </w:r>
          </w:p>
        </w:tc>
      </w:tr>
      <w:tr>
        <w:trPr>
          <w:trHeight w:val="2208" w:hRule="atLeast"/>
        </w:trPr>
        <w:tc>
          <w:tcPr>
            <w:tcW w:w="1695" w:type="dxa"/>
          </w:tcPr>
          <w:p>
            <w:pPr>
              <w:pStyle w:val="TableParagraph"/>
              <w:ind w:left="72" w:right="68"/>
              <w:rPr>
                <w:sz w:val="16"/>
              </w:rPr>
            </w:pPr>
            <w:r>
              <w:rPr>
                <w:b/>
                <w:sz w:val="16"/>
              </w:rPr>
              <w:t>Actividad PPPS 1.1.10:</w:t>
            </w:r>
            <w:r>
              <w:rPr>
                <w:b/>
                <w:spacing w:val="-9"/>
                <w:sz w:val="16"/>
              </w:rPr>
              <w:t> </w:t>
            </w:r>
            <w:r>
              <w:rPr>
                <w:b/>
                <w:sz w:val="16"/>
              </w:rPr>
              <w:t>O</w:t>
            </w:r>
            <w:r>
              <w:rPr>
                <w:sz w:val="16"/>
              </w:rPr>
              <w:t>torgamiento del beneficio de Titulación para que personas y hogares que habitan terrenos del IMAS y sujetos públicos</w:t>
            </w:r>
            <w:r>
              <w:rPr>
                <w:spacing w:val="-12"/>
                <w:sz w:val="16"/>
              </w:rPr>
              <w:t> </w:t>
            </w:r>
            <w:r>
              <w:rPr>
                <w:sz w:val="16"/>
              </w:rPr>
              <w:t>reciban</w:t>
            </w:r>
            <w:r>
              <w:rPr>
                <w:spacing w:val="-11"/>
                <w:sz w:val="16"/>
              </w:rPr>
              <w:t> </w:t>
            </w:r>
            <w:r>
              <w:rPr>
                <w:sz w:val="16"/>
              </w:rPr>
              <w:t>título de propiedad a su nombre</w:t>
            </w:r>
            <w:r>
              <w:rPr>
                <w:spacing w:val="-2"/>
                <w:sz w:val="16"/>
              </w:rPr>
              <w:t> </w:t>
            </w:r>
            <w:r>
              <w:rPr>
                <w:sz w:val="16"/>
              </w:rPr>
              <w:t>(vinculación con PNDIP 2023-</w:t>
            </w:r>
          </w:p>
          <w:p>
            <w:pPr>
              <w:pStyle w:val="TableParagraph"/>
              <w:spacing w:line="166" w:lineRule="exact"/>
              <w:ind w:left="72"/>
              <w:rPr>
                <w:sz w:val="16"/>
              </w:rPr>
            </w:pPr>
            <w:r>
              <w:rPr>
                <w:sz w:val="16"/>
              </w:rPr>
              <w:t>2026</w:t>
            </w:r>
            <w:r>
              <w:rPr>
                <w:spacing w:val="-9"/>
                <w:sz w:val="16"/>
              </w:rPr>
              <w:t> </w:t>
            </w:r>
            <w:r>
              <w:rPr>
                <w:spacing w:val="-2"/>
                <w:sz w:val="16"/>
              </w:rPr>
              <w:t>D.2).</w:t>
            </w:r>
          </w:p>
        </w:tc>
        <w:tc>
          <w:tcPr>
            <w:tcW w:w="1280" w:type="dxa"/>
          </w:tcPr>
          <w:p>
            <w:pPr>
              <w:pStyle w:val="TableParagraph"/>
              <w:spacing w:before="179"/>
              <w:rPr>
                <w:b/>
                <w:sz w:val="16"/>
              </w:rPr>
            </w:pPr>
          </w:p>
          <w:p>
            <w:pPr>
              <w:pStyle w:val="TableParagraph"/>
              <w:ind w:left="72" w:right="140"/>
              <w:rPr>
                <w:sz w:val="16"/>
              </w:rPr>
            </w:pPr>
            <w:r>
              <w:rPr>
                <w:sz w:val="16"/>
              </w:rPr>
              <w:t>Cantidad de </w:t>
            </w:r>
            <w:r>
              <w:rPr>
                <w:spacing w:val="-2"/>
                <w:sz w:val="16"/>
              </w:rPr>
              <w:t>titulaciones</w:t>
            </w:r>
            <w:r>
              <w:rPr>
                <w:spacing w:val="-10"/>
                <w:sz w:val="16"/>
              </w:rPr>
              <w:t> </w:t>
            </w:r>
            <w:r>
              <w:rPr>
                <w:spacing w:val="-2"/>
                <w:sz w:val="16"/>
              </w:rPr>
              <w:t>de terrenos</w:t>
            </w:r>
            <w:r>
              <w:rPr>
                <w:spacing w:val="-10"/>
                <w:sz w:val="16"/>
              </w:rPr>
              <w:t> </w:t>
            </w:r>
            <w:r>
              <w:rPr>
                <w:spacing w:val="-2"/>
                <w:sz w:val="16"/>
              </w:rPr>
              <w:t>IMAS </w:t>
            </w:r>
            <w:r>
              <w:rPr>
                <w:sz w:val="16"/>
              </w:rPr>
              <w:t>realizadas a nombre de hogares y </w:t>
            </w:r>
            <w:r>
              <w:rPr>
                <w:spacing w:val="-2"/>
                <w:sz w:val="16"/>
              </w:rPr>
              <w:t>sujetos públicos.</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right="62"/>
              <w:jc w:val="right"/>
              <w:rPr>
                <w:sz w:val="16"/>
              </w:rPr>
            </w:pPr>
            <w:r>
              <w:rPr>
                <w:spacing w:val="-5"/>
                <w:sz w:val="16"/>
              </w:rPr>
              <w:t>500</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7"/>
              <w:rPr>
                <w:b/>
                <w:sz w:val="16"/>
              </w:rPr>
            </w:pPr>
          </w:p>
          <w:p>
            <w:pPr>
              <w:pStyle w:val="TableParagraph"/>
              <w:ind w:right="73"/>
              <w:jc w:val="right"/>
              <w:rPr>
                <w:sz w:val="16"/>
              </w:rPr>
            </w:pPr>
            <w:r>
              <w:rPr>
                <w:sz w:val="16"/>
              </w:rPr>
              <w:t>₡433</w:t>
            </w:r>
            <w:r>
              <w:rPr>
                <w:spacing w:val="-5"/>
                <w:sz w:val="16"/>
              </w:rPr>
              <w:t> </w:t>
            </w:r>
            <w:r>
              <w:rPr>
                <w:sz w:val="16"/>
              </w:rPr>
              <w:t>000</w:t>
            </w:r>
            <w:r>
              <w:rPr>
                <w:spacing w:val="-4"/>
                <w:sz w:val="16"/>
              </w:rPr>
              <w:t> </w:t>
            </w:r>
            <w:r>
              <w:rPr>
                <w:spacing w:val="-5"/>
                <w:sz w:val="16"/>
              </w:rPr>
              <w:t>000</w:t>
            </w:r>
          </w:p>
        </w:tc>
      </w:tr>
      <w:tr>
        <w:trPr>
          <w:trHeight w:val="671" w:hRule="atLeast"/>
        </w:trPr>
        <w:tc>
          <w:tcPr>
            <w:tcW w:w="14322" w:type="dxa"/>
            <w:gridSpan w:val="10"/>
            <w:shd w:val="clear" w:color="auto" w:fill="EFF8F9"/>
          </w:tcPr>
          <w:p>
            <w:pPr>
              <w:pStyle w:val="TableParagraph"/>
              <w:ind w:left="72" w:right="99"/>
              <w:rPr>
                <w:b/>
                <w:sz w:val="16"/>
              </w:rPr>
            </w:pPr>
            <w:r>
              <w:rPr>
                <w:b/>
                <w:sz w:val="16"/>
              </w:rPr>
              <w:t>Producto PPPS 1.2:</w:t>
            </w:r>
            <w:r>
              <w:rPr>
                <w:b/>
                <w:spacing w:val="-4"/>
                <w:sz w:val="16"/>
              </w:rPr>
              <w:t> </w:t>
            </w:r>
            <w:r>
              <w:rPr>
                <w:b/>
                <w:sz w:val="16"/>
              </w:rPr>
              <w:t>Oferta</w:t>
            </w:r>
            <w:r>
              <w:rPr>
                <w:b/>
                <w:spacing w:val="-5"/>
                <w:sz w:val="16"/>
              </w:rPr>
              <w:t> </w:t>
            </w:r>
            <w:r>
              <w:rPr>
                <w:b/>
                <w:sz w:val="16"/>
              </w:rPr>
              <w:t>programática</w:t>
            </w:r>
            <w:r>
              <w:rPr>
                <w:b/>
                <w:spacing w:val="-5"/>
                <w:sz w:val="16"/>
              </w:rPr>
              <w:t> </w:t>
            </w:r>
            <w:r>
              <w:rPr>
                <w:b/>
                <w:sz w:val="16"/>
              </w:rPr>
              <w:t>institucional en</w:t>
            </w:r>
            <w:r>
              <w:rPr>
                <w:b/>
                <w:spacing w:val="-4"/>
                <w:sz w:val="16"/>
              </w:rPr>
              <w:t> </w:t>
            </w:r>
            <w:r>
              <w:rPr>
                <w:b/>
                <w:sz w:val="16"/>
              </w:rPr>
              <w:t>promoción</w:t>
            </w:r>
            <w:r>
              <w:rPr>
                <w:b/>
                <w:spacing w:val="-4"/>
                <w:sz w:val="16"/>
              </w:rPr>
              <w:t> </w:t>
            </w:r>
            <w:r>
              <w:rPr>
                <w:b/>
                <w:sz w:val="16"/>
              </w:rPr>
              <w:t>social que</w:t>
            </w:r>
            <w:r>
              <w:rPr>
                <w:b/>
                <w:spacing w:val="-1"/>
                <w:sz w:val="16"/>
              </w:rPr>
              <w:t> </w:t>
            </w:r>
            <w:r>
              <w:rPr>
                <w:b/>
                <w:sz w:val="16"/>
              </w:rPr>
              <w:t>contribuye</w:t>
            </w:r>
            <w:r>
              <w:rPr>
                <w:b/>
                <w:spacing w:val="-1"/>
                <w:sz w:val="16"/>
              </w:rPr>
              <w:t> </w:t>
            </w:r>
            <w:r>
              <w:rPr>
                <w:b/>
                <w:sz w:val="16"/>
              </w:rPr>
              <w:t>a</w:t>
            </w:r>
            <w:r>
              <w:rPr>
                <w:b/>
                <w:spacing w:val="-1"/>
                <w:sz w:val="16"/>
              </w:rPr>
              <w:t> </w:t>
            </w:r>
            <w:r>
              <w:rPr>
                <w:b/>
                <w:sz w:val="16"/>
              </w:rPr>
              <w:t>la</w:t>
            </w:r>
            <w:r>
              <w:rPr>
                <w:b/>
                <w:spacing w:val="-1"/>
                <w:sz w:val="16"/>
              </w:rPr>
              <w:t> </w:t>
            </w:r>
            <w:r>
              <w:rPr>
                <w:b/>
                <w:sz w:val="16"/>
              </w:rPr>
              <w:t>movilidad social</w:t>
            </w:r>
            <w:r>
              <w:rPr>
                <w:b/>
                <w:spacing w:val="-4"/>
                <w:sz w:val="16"/>
              </w:rPr>
              <w:t> </w:t>
            </w:r>
            <w:r>
              <w:rPr>
                <w:b/>
                <w:sz w:val="16"/>
              </w:rPr>
              <w:t>de</w:t>
            </w:r>
            <w:r>
              <w:rPr>
                <w:b/>
                <w:spacing w:val="-5"/>
                <w:sz w:val="16"/>
              </w:rPr>
              <w:t> </w:t>
            </w:r>
            <w:r>
              <w:rPr>
                <w:b/>
                <w:sz w:val="16"/>
              </w:rPr>
              <w:t>las</w:t>
            </w:r>
            <w:r>
              <w:rPr>
                <w:b/>
                <w:spacing w:val="-5"/>
                <w:sz w:val="16"/>
              </w:rPr>
              <w:t> </w:t>
            </w:r>
            <w:r>
              <w:rPr>
                <w:b/>
                <w:sz w:val="16"/>
              </w:rPr>
              <w:t>personas y</w:t>
            </w:r>
            <w:r>
              <w:rPr>
                <w:b/>
                <w:spacing w:val="-5"/>
                <w:sz w:val="16"/>
              </w:rPr>
              <w:t> </w:t>
            </w:r>
            <w:r>
              <w:rPr>
                <w:b/>
                <w:sz w:val="16"/>
              </w:rPr>
              <w:t>hogares</w:t>
            </w:r>
            <w:r>
              <w:rPr>
                <w:b/>
                <w:spacing w:val="-1"/>
                <w:sz w:val="16"/>
              </w:rPr>
              <w:t> </w:t>
            </w:r>
            <w:r>
              <w:rPr>
                <w:b/>
                <w:sz w:val="16"/>
              </w:rPr>
              <w:t>en situación de</w:t>
            </w:r>
            <w:r>
              <w:rPr>
                <w:b/>
                <w:spacing w:val="-5"/>
                <w:sz w:val="16"/>
              </w:rPr>
              <w:t> </w:t>
            </w:r>
            <w:r>
              <w:rPr>
                <w:b/>
                <w:sz w:val="16"/>
              </w:rPr>
              <w:t>pobreza,</w:t>
            </w:r>
            <w:r>
              <w:rPr>
                <w:b/>
                <w:spacing w:val="-4"/>
                <w:sz w:val="16"/>
              </w:rPr>
              <w:t> </w:t>
            </w:r>
            <w:r>
              <w:rPr>
                <w:b/>
                <w:sz w:val="16"/>
              </w:rPr>
              <w:t>u organizaciones</w:t>
            </w:r>
            <w:r>
              <w:rPr>
                <w:b/>
                <w:spacing w:val="-1"/>
                <w:sz w:val="16"/>
              </w:rPr>
              <w:t> </w:t>
            </w:r>
            <w:r>
              <w:rPr>
                <w:b/>
                <w:sz w:val="16"/>
              </w:rPr>
              <w:t>que atienden poblaciones en dicha situación.</w:t>
            </w:r>
          </w:p>
        </w:tc>
      </w:tr>
      <w:tr>
        <w:trPr>
          <w:trHeight w:val="379" w:hRule="atLeast"/>
        </w:trPr>
        <w:tc>
          <w:tcPr>
            <w:tcW w:w="1695" w:type="dxa"/>
          </w:tcPr>
          <w:p>
            <w:pPr>
              <w:pStyle w:val="TableParagraph"/>
              <w:spacing w:before="3"/>
              <w:ind w:left="72"/>
              <w:rPr>
                <w:b/>
                <w:sz w:val="16"/>
              </w:rPr>
            </w:pPr>
            <w:r>
              <w:rPr>
                <w:b/>
                <w:sz w:val="16"/>
              </w:rPr>
              <w:t>Actividad</w:t>
            </w:r>
            <w:r>
              <w:rPr>
                <w:b/>
                <w:spacing w:val="-11"/>
                <w:sz w:val="16"/>
              </w:rPr>
              <w:t> </w:t>
            </w:r>
            <w:r>
              <w:rPr>
                <w:b/>
                <w:spacing w:val="-4"/>
                <w:sz w:val="16"/>
              </w:rPr>
              <w:t>PPPS</w:t>
            </w:r>
          </w:p>
          <w:p>
            <w:pPr>
              <w:pStyle w:val="TableParagraph"/>
              <w:spacing w:line="168" w:lineRule="exact" w:before="4"/>
              <w:ind w:left="72"/>
              <w:rPr>
                <w:sz w:val="16"/>
              </w:rPr>
            </w:pPr>
            <w:r>
              <w:rPr>
                <w:b/>
                <w:sz w:val="16"/>
              </w:rPr>
              <w:t>1.2.1:</w:t>
            </w:r>
            <w:r>
              <w:rPr>
                <w:b/>
                <w:spacing w:val="-11"/>
                <w:sz w:val="16"/>
              </w:rPr>
              <w:t> </w:t>
            </w:r>
            <w:r>
              <w:rPr>
                <w:spacing w:val="-2"/>
                <w:sz w:val="16"/>
              </w:rPr>
              <w:t>Otorgamiento</w:t>
            </w:r>
          </w:p>
        </w:tc>
        <w:tc>
          <w:tcPr>
            <w:tcW w:w="1280" w:type="dxa"/>
          </w:tcPr>
          <w:p>
            <w:pPr>
              <w:pStyle w:val="TableParagraph"/>
              <w:spacing w:line="188" w:lineRule="exact"/>
              <w:ind w:left="72" w:right="327"/>
              <w:rPr>
                <w:sz w:val="16"/>
              </w:rPr>
            </w:pPr>
            <w:r>
              <w:rPr>
                <w:sz w:val="16"/>
              </w:rPr>
              <w:t>Cantidad</w:t>
            </w:r>
            <w:r>
              <w:rPr>
                <w:spacing w:val="-12"/>
                <w:sz w:val="16"/>
              </w:rPr>
              <w:t> </w:t>
            </w:r>
            <w:r>
              <w:rPr>
                <w:sz w:val="16"/>
              </w:rPr>
              <w:t>de </w:t>
            </w:r>
            <w:r>
              <w:rPr>
                <w:spacing w:val="-2"/>
                <w:sz w:val="16"/>
              </w:rPr>
              <w:t>personas</w:t>
            </w:r>
          </w:p>
        </w:tc>
        <w:tc>
          <w:tcPr>
            <w:tcW w:w="1275" w:type="dxa"/>
          </w:tcPr>
          <w:p>
            <w:pPr>
              <w:pStyle w:val="TableParagraph"/>
              <w:spacing w:before="99"/>
              <w:ind w:right="59"/>
              <w:jc w:val="right"/>
              <w:rPr>
                <w:sz w:val="16"/>
              </w:rPr>
            </w:pPr>
            <w:r>
              <w:rPr>
                <w:sz w:val="16"/>
              </w:rPr>
              <w:t>251</w:t>
            </w:r>
            <w:r>
              <w:rPr>
                <w:spacing w:val="-6"/>
                <w:sz w:val="16"/>
              </w:rPr>
              <w:t> </w:t>
            </w:r>
            <w:r>
              <w:rPr>
                <w:spacing w:val="-5"/>
                <w:sz w:val="16"/>
              </w:rPr>
              <w:t>877</w:t>
            </w:r>
          </w:p>
        </w:tc>
        <w:tc>
          <w:tcPr>
            <w:tcW w:w="1561" w:type="dxa"/>
          </w:tcPr>
          <w:p>
            <w:pPr>
              <w:pStyle w:val="TableParagraph"/>
              <w:spacing w:before="99"/>
              <w:ind w:right="66"/>
              <w:jc w:val="right"/>
              <w:rPr>
                <w:sz w:val="16"/>
              </w:rPr>
            </w:pPr>
            <w:r>
              <w:rPr>
                <w:sz w:val="16"/>
              </w:rPr>
              <w:t>₡20</w:t>
            </w:r>
            <w:r>
              <w:rPr>
                <w:spacing w:val="-3"/>
                <w:sz w:val="16"/>
              </w:rPr>
              <w:t> </w:t>
            </w:r>
            <w:r>
              <w:rPr>
                <w:sz w:val="16"/>
              </w:rPr>
              <w:t>090</w:t>
            </w:r>
            <w:r>
              <w:rPr>
                <w:spacing w:val="-2"/>
                <w:sz w:val="16"/>
              </w:rPr>
              <w:t> </w:t>
            </w:r>
            <w:r>
              <w:rPr>
                <w:sz w:val="16"/>
              </w:rPr>
              <w:t>214</w:t>
            </w:r>
            <w:r>
              <w:rPr>
                <w:spacing w:val="-3"/>
                <w:sz w:val="16"/>
              </w:rPr>
              <w:t> </w:t>
            </w:r>
            <w:r>
              <w:rPr>
                <w:spacing w:val="-5"/>
                <w:sz w:val="16"/>
              </w:rPr>
              <w:t>000</w:t>
            </w:r>
          </w:p>
        </w:tc>
        <w:tc>
          <w:tcPr>
            <w:tcW w:w="1134" w:type="dxa"/>
          </w:tcPr>
          <w:p>
            <w:pPr>
              <w:pStyle w:val="TableParagraph"/>
              <w:spacing w:before="99"/>
              <w:ind w:right="65"/>
              <w:jc w:val="right"/>
              <w:rPr>
                <w:sz w:val="16"/>
              </w:rPr>
            </w:pPr>
            <w:r>
              <w:rPr>
                <w:sz w:val="16"/>
              </w:rPr>
              <w:t>266</w:t>
            </w:r>
            <w:r>
              <w:rPr>
                <w:spacing w:val="-6"/>
                <w:sz w:val="16"/>
              </w:rPr>
              <w:t> </w:t>
            </w:r>
            <w:r>
              <w:rPr>
                <w:spacing w:val="-5"/>
                <w:sz w:val="16"/>
              </w:rPr>
              <w:t>877</w:t>
            </w:r>
          </w:p>
        </w:tc>
        <w:tc>
          <w:tcPr>
            <w:tcW w:w="1561" w:type="dxa"/>
          </w:tcPr>
          <w:p>
            <w:pPr>
              <w:pStyle w:val="TableParagraph"/>
              <w:spacing w:before="99"/>
              <w:ind w:right="67"/>
              <w:jc w:val="right"/>
              <w:rPr>
                <w:sz w:val="16"/>
              </w:rPr>
            </w:pPr>
            <w:r>
              <w:rPr>
                <w:sz w:val="16"/>
              </w:rPr>
              <w:t>₡41</w:t>
            </w:r>
            <w:r>
              <w:rPr>
                <w:spacing w:val="-3"/>
                <w:sz w:val="16"/>
              </w:rPr>
              <w:t> </w:t>
            </w:r>
            <w:r>
              <w:rPr>
                <w:sz w:val="16"/>
              </w:rPr>
              <w:t>492</w:t>
            </w:r>
            <w:r>
              <w:rPr>
                <w:spacing w:val="-2"/>
                <w:sz w:val="16"/>
              </w:rPr>
              <w:t> </w:t>
            </w:r>
            <w:r>
              <w:rPr>
                <w:sz w:val="16"/>
              </w:rPr>
              <w:t>928</w:t>
            </w:r>
            <w:r>
              <w:rPr>
                <w:spacing w:val="-3"/>
                <w:sz w:val="16"/>
              </w:rPr>
              <w:t> </w:t>
            </w:r>
            <w:r>
              <w:rPr>
                <w:spacing w:val="-5"/>
                <w:sz w:val="16"/>
              </w:rPr>
              <w:t>000</w:t>
            </w:r>
          </w:p>
        </w:tc>
        <w:tc>
          <w:tcPr>
            <w:tcW w:w="1277" w:type="dxa"/>
          </w:tcPr>
          <w:p>
            <w:pPr>
              <w:pStyle w:val="TableParagraph"/>
              <w:spacing w:before="99"/>
              <w:ind w:right="66"/>
              <w:jc w:val="right"/>
              <w:rPr>
                <w:sz w:val="16"/>
              </w:rPr>
            </w:pPr>
            <w:r>
              <w:rPr>
                <w:sz w:val="16"/>
              </w:rPr>
              <w:t>271</w:t>
            </w:r>
            <w:r>
              <w:rPr>
                <w:spacing w:val="-6"/>
                <w:sz w:val="16"/>
              </w:rPr>
              <w:t> </w:t>
            </w:r>
            <w:r>
              <w:rPr>
                <w:spacing w:val="-5"/>
                <w:sz w:val="16"/>
              </w:rPr>
              <w:t>877</w:t>
            </w:r>
          </w:p>
        </w:tc>
        <w:tc>
          <w:tcPr>
            <w:tcW w:w="1700" w:type="dxa"/>
          </w:tcPr>
          <w:p>
            <w:pPr>
              <w:pStyle w:val="TableParagraph"/>
              <w:spacing w:before="99"/>
              <w:ind w:right="67"/>
              <w:jc w:val="right"/>
              <w:rPr>
                <w:sz w:val="16"/>
              </w:rPr>
            </w:pPr>
            <w:r>
              <w:rPr>
                <w:sz w:val="16"/>
              </w:rPr>
              <w:t>₡63</w:t>
            </w:r>
            <w:r>
              <w:rPr>
                <w:spacing w:val="-3"/>
                <w:sz w:val="16"/>
              </w:rPr>
              <w:t> </w:t>
            </w:r>
            <w:r>
              <w:rPr>
                <w:sz w:val="16"/>
              </w:rPr>
              <w:t>683</w:t>
            </w:r>
            <w:r>
              <w:rPr>
                <w:spacing w:val="-2"/>
                <w:sz w:val="16"/>
              </w:rPr>
              <w:t> </w:t>
            </w:r>
            <w:r>
              <w:rPr>
                <w:sz w:val="16"/>
              </w:rPr>
              <w:t>142</w:t>
            </w:r>
            <w:r>
              <w:rPr>
                <w:spacing w:val="-3"/>
                <w:sz w:val="16"/>
              </w:rPr>
              <w:t> </w:t>
            </w:r>
            <w:r>
              <w:rPr>
                <w:spacing w:val="-5"/>
                <w:sz w:val="16"/>
              </w:rPr>
              <w:t>000</w:t>
            </w:r>
          </w:p>
        </w:tc>
        <w:tc>
          <w:tcPr>
            <w:tcW w:w="1345" w:type="dxa"/>
          </w:tcPr>
          <w:p>
            <w:pPr>
              <w:pStyle w:val="TableParagraph"/>
              <w:spacing w:before="99"/>
              <w:ind w:right="62"/>
              <w:jc w:val="right"/>
              <w:rPr>
                <w:sz w:val="16"/>
              </w:rPr>
            </w:pPr>
            <w:r>
              <w:rPr>
                <w:sz w:val="16"/>
              </w:rPr>
              <w:t>274</w:t>
            </w:r>
            <w:r>
              <w:rPr>
                <w:spacing w:val="-6"/>
                <w:sz w:val="16"/>
              </w:rPr>
              <w:t> </w:t>
            </w:r>
            <w:r>
              <w:rPr>
                <w:spacing w:val="-5"/>
                <w:sz w:val="16"/>
              </w:rPr>
              <w:t>000</w:t>
            </w:r>
          </w:p>
        </w:tc>
        <w:tc>
          <w:tcPr>
            <w:tcW w:w="1494" w:type="dxa"/>
          </w:tcPr>
          <w:p>
            <w:pPr>
              <w:pStyle w:val="TableParagraph"/>
              <w:spacing w:before="99"/>
              <w:ind w:right="74"/>
              <w:jc w:val="right"/>
              <w:rPr>
                <w:sz w:val="16"/>
              </w:rPr>
            </w:pPr>
            <w:r>
              <w:rPr>
                <w:sz w:val="16"/>
              </w:rPr>
              <w:t>₡89</w:t>
            </w:r>
            <w:r>
              <w:rPr>
                <w:spacing w:val="-3"/>
                <w:sz w:val="16"/>
              </w:rPr>
              <w:t> </w:t>
            </w:r>
            <w:r>
              <w:rPr>
                <w:sz w:val="16"/>
              </w:rPr>
              <w:t>667</w:t>
            </w:r>
            <w:r>
              <w:rPr>
                <w:spacing w:val="-2"/>
                <w:sz w:val="16"/>
              </w:rPr>
              <w:t> </w:t>
            </w:r>
            <w:r>
              <w:rPr>
                <w:sz w:val="16"/>
              </w:rPr>
              <w:t>265</w:t>
            </w:r>
            <w:r>
              <w:rPr>
                <w:spacing w:val="-3"/>
                <w:sz w:val="16"/>
              </w:rPr>
              <w:t> </w:t>
            </w:r>
            <w:r>
              <w:rPr>
                <w:spacing w:val="-5"/>
                <w:sz w:val="16"/>
              </w:rPr>
              <w:t>966</w:t>
            </w:r>
          </w:p>
        </w:tc>
      </w:tr>
    </w:tbl>
    <w:p>
      <w:pPr>
        <w:pStyle w:val="TableParagraph"/>
        <w:spacing w:after="0"/>
        <w:jc w:val="right"/>
        <w:rPr>
          <w:sz w:val="16"/>
        </w:rPr>
        <w:sectPr>
          <w:footerReference w:type="default" r:id="rId67"/>
          <w:pgSz w:w="15840" w:h="12240" w:orient="landscape"/>
          <w:pgMar w:header="0" w:footer="1806" w:top="700" w:bottom="3015" w:left="360" w:right="360"/>
          <w:pgNumType w:start="145"/>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80"/>
        <w:gridCol w:w="1275"/>
        <w:gridCol w:w="1561"/>
        <w:gridCol w:w="1134"/>
        <w:gridCol w:w="1561"/>
        <w:gridCol w:w="1277"/>
        <w:gridCol w:w="1700"/>
        <w:gridCol w:w="1345"/>
        <w:gridCol w:w="1494"/>
      </w:tblGrid>
      <w:tr>
        <w:trPr>
          <w:trHeight w:val="316" w:hRule="atLeast"/>
        </w:trPr>
        <w:tc>
          <w:tcPr>
            <w:tcW w:w="1695" w:type="dxa"/>
            <w:vMerge w:val="restart"/>
            <w:tcBorders>
              <w:bottom w:val="nil"/>
            </w:tcBorders>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80" w:type="dxa"/>
            <w:vMerge w:val="restart"/>
            <w:tcBorders>
              <w:bottom w:val="nil"/>
            </w:tcBorders>
            <w:shd w:val="clear" w:color="auto" w:fill="F1F1F1"/>
          </w:tcPr>
          <w:p>
            <w:pPr>
              <w:pStyle w:val="TableParagraph"/>
              <w:spacing w:line="183" w:lineRule="exact"/>
              <w:ind w:left="278"/>
              <w:rPr>
                <w:b/>
                <w:sz w:val="16"/>
              </w:rPr>
            </w:pPr>
            <w:r>
              <w:rPr>
                <w:b/>
                <w:spacing w:val="-2"/>
                <w:sz w:val="16"/>
              </w:rPr>
              <w:t>Indicador</w:t>
            </w:r>
          </w:p>
        </w:tc>
        <w:tc>
          <w:tcPr>
            <w:tcW w:w="2836" w:type="dxa"/>
            <w:gridSpan w:val="2"/>
            <w:shd w:val="clear" w:color="auto" w:fill="F1F1F1"/>
          </w:tcPr>
          <w:p>
            <w:pPr>
              <w:pStyle w:val="TableParagraph"/>
              <w:spacing w:line="183" w:lineRule="exact"/>
              <w:ind w:left="6"/>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left="2"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left="2"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bottom w:val="nil"/>
            </w:tcBorders>
            <w:shd w:val="clear" w:color="auto" w:fill="F1F1F1"/>
          </w:tcPr>
          <w:p>
            <w:pPr>
              <w:rPr>
                <w:sz w:val="2"/>
                <w:szCs w:val="2"/>
              </w:rPr>
            </w:pPr>
          </w:p>
        </w:tc>
        <w:tc>
          <w:tcPr>
            <w:tcW w:w="1280" w:type="dxa"/>
            <w:vMerge/>
            <w:tcBorders>
              <w:top w:val="nil"/>
              <w:bottom w:val="nil"/>
            </w:tcBorders>
            <w:shd w:val="clear" w:color="auto" w:fill="F1F1F1"/>
          </w:tcPr>
          <w:p>
            <w:pPr>
              <w:rPr>
                <w:sz w:val="2"/>
                <w:szCs w:val="2"/>
              </w:rPr>
            </w:pPr>
          </w:p>
        </w:tc>
        <w:tc>
          <w:tcPr>
            <w:tcW w:w="1275" w:type="dxa"/>
            <w:shd w:val="clear" w:color="auto" w:fill="F1F1F1"/>
          </w:tcPr>
          <w:p>
            <w:pPr>
              <w:pStyle w:val="TableParagraph"/>
              <w:spacing w:line="182" w:lineRule="exact" w:before="167"/>
              <w:ind w:left="174"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99"/>
              <w:jc w:val="center"/>
              <w:rPr>
                <w:b/>
                <w:sz w:val="16"/>
              </w:rPr>
            </w:pPr>
            <w:r>
              <w:rPr>
                <w:b/>
                <w:spacing w:val="-10"/>
                <w:sz w:val="16"/>
              </w:rPr>
              <w:t>¢</w:t>
            </w:r>
          </w:p>
        </w:tc>
        <w:tc>
          <w:tcPr>
            <w:tcW w:w="1134" w:type="dxa"/>
            <w:shd w:val="clear" w:color="auto" w:fill="F1F1F1"/>
          </w:tcPr>
          <w:p>
            <w:pPr>
              <w:pStyle w:val="TableParagraph"/>
              <w:spacing w:line="182" w:lineRule="exact" w:before="167"/>
              <w:ind w:left="99"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277" w:type="dxa"/>
            <w:shd w:val="clear" w:color="auto" w:fill="F1F1F1"/>
          </w:tcPr>
          <w:p>
            <w:pPr>
              <w:pStyle w:val="TableParagraph"/>
              <w:spacing w:line="182" w:lineRule="exact" w:before="167"/>
              <w:ind w:left="170"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5"/>
              <w:jc w:val="center"/>
              <w:rPr>
                <w:b/>
                <w:sz w:val="16"/>
              </w:rPr>
            </w:pPr>
            <w:r>
              <w:rPr>
                <w:b/>
                <w:spacing w:val="-10"/>
                <w:sz w:val="16"/>
              </w:rPr>
              <w:t>¢</w:t>
            </w:r>
          </w:p>
        </w:tc>
        <w:tc>
          <w:tcPr>
            <w:tcW w:w="1345" w:type="dxa"/>
            <w:shd w:val="clear" w:color="auto" w:fill="F1F1F1"/>
          </w:tcPr>
          <w:p>
            <w:pPr>
              <w:pStyle w:val="TableParagraph"/>
              <w:spacing w:line="182" w:lineRule="exact" w:before="167"/>
              <w:ind w:left="208"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left="2" w:right="9"/>
              <w:jc w:val="center"/>
              <w:rPr>
                <w:b/>
                <w:sz w:val="16"/>
              </w:rPr>
            </w:pPr>
            <w:r>
              <w:rPr>
                <w:b/>
                <w:spacing w:val="-10"/>
                <w:sz w:val="16"/>
              </w:rPr>
              <w:t>¢</w:t>
            </w:r>
          </w:p>
        </w:tc>
      </w:tr>
      <w:tr>
        <w:trPr>
          <w:trHeight w:val="3130" w:hRule="atLeast"/>
        </w:trPr>
        <w:tc>
          <w:tcPr>
            <w:tcW w:w="1695" w:type="dxa"/>
            <w:tcBorders>
              <w:top w:val="nil"/>
            </w:tcBorders>
          </w:tcPr>
          <w:p>
            <w:pPr>
              <w:pStyle w:val="TableParagraph"/>
              <w:ind w:left="72" w:right="98"/>
              <w:rPr>
                <w:sz w:val="16"/>
              </w:rPr>
            </w:pPr>
            <w:r>
              <w:rPr>
                <w:sz w:val="16"/>
              </w:rPr>
              <w:t>de transferencias </w:t>
            </w:r>
            <w:r>
              <w:rPr>
                <w:spacing w:val="-2"/>
                <w:sz w:val="16"/>
              </w:rPr>
              <w:t>monetarias condicionadas </w:t>
            </w:r>
            <w:r>
              <w:rPr>
                <w:sz w:val="16"/>
              </w:rPr>
              <w:t>Avancemos a </w:t>
            </w:r>
            <w:r>
              <w:rPr>
                <w:spacing w:val="-2"/>
                <w:sz w:val="16"/>
              </w:rPr>
              <w:t>personas</w:t>
            </w:r>
            <w:r>
              <w:rPr>
                <w:spacing w:val="-9"/>
                <w:sz w:val="16"/>
              </w:rPr>
              <w:t> </w:t>
            </w:r>
            <w:r>
              <w:rPr>
                <w:spacing w:val="-2"/>
                <w:sz w:val="16"/>
              </w:rPr>
              <w:t>estudiantes </w:t>
            </w:r>
            <w:r>
              <w:rPr>
                <w:sz w:val="16"/>
              </w:rPr>
              <w:t>de primaria y secundaria con el objetivo de coadyuvar con la inclusión, la permanencia, la asistencia y la reincorporación al sistema educativo (vinculación</w:t>
            </w:r>
            <w:r>
              <w:rPr>
                <w:spacing w:val="-2"/>
                <w:sz w:val="16"/>
              </w:rPr>
              <w:t> </w:t>
            </w:r>
            <w:r>
              <w:rPr>
                <w:sz w:val="16"/>
              </w:rPr>
              <w:t>con PNDIP 2023-2026</w:t>
            </w:r>
          </w:p>
          <w:p>
            <w:pPr>
              <w:pStyle w:val="TableParagraph"/>
              <w:spacing w:line="163" w:lineRule="exact" w:before="3"/>
              <w:ind w:left="72"/>
              <w:rPr>
                <w:sz w:val="16"/>
              </w:rPr>
            </w:pPr>
            <w:r>
              <w:rPr>
                <w:spacing w:val="-2"/>
                <w:sz w:val="16"/>
              </w:rPr>
              <w:t>A.1).</w:t>
            </w:r>
          </w:p>
        </w:tc>
        <w:tc>
          <w:tcPr>
            <w:tcW w:w="1280" w:type="dxa"/>
            <w:tcBorders>
              <w:top w:val="nil"/>
            </w:tcBorders>
          </w:tcPr>
          <w:p>
            <w:pPr>
              <w:pStyle w:val="TableParagraph"/>
              <w:ind w:left="72"/>
              <w:rPr>
                <w:sz w:val="16"/>
              </w:rPr>
            </w:pPr>
            <w:r>
              <w:rPr>
                <w:sz w:val="16"/>
              </w:rPr>
              <w:t>estudiantes de primaria y </w:t>
            </w:r>
            <w:r>
              <w:rPr>
                <w:spacing w:val="-2"/>
                <w:sz w:val="16"/>
              </w:rPr>
              <w:t>secundaria</w:t>
            </w:r>
            <w:r>
              <w:rPr>
                <w:spacing w:val="-10"/>
                <w:sz w:val="16"/>
              </w:rPr>
              <w:t> </w:t>
            </w:r>
            <w:r>
              <w:rPr>
                <w:spacing w:val="-2"/>
                <w:sz w:val="16"/>
              </w:rPr>
              <w:t>que </w:t>
            </w:r>
            <w:r>
              <w:rPr>
                <w:sz w:val="16"/>
              </w:rPr>
              <w:t>reciben la </w:t>
            </w:r>
            <w:r>
              <w:rPr>
                <w:spacing w:val="-2"/>
                <w:sz w:val="16"/>
              </w:rPr>
              <w:t>transferencia monetaria condicionada Avancemos.</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rFonts w:ascii="Times New Roman"/>
                <w:sz w:val="16"/>
              </w:rPr>
            </w:pPr>
          </w:p>
        </w:tc>
        <w:tc>
          <w:tcPr>
            <w:tcW w:w="1494" w:type="dxa"/>
          </w:tcPr>
          <w:p>
            <w:pPr>
              <w:pStyle w:val="TableParagraph"/>
              <w:rPr>
                <w:rFonts w:ascii="Times New Roman"/>
                <w:sz w:val="16"/>
              </w:rPr>
            </w:pPr>
          </w:p>
        </w:tc>
      </w:tr>
      <w:tr>
        <w:trPr>
          <w:trHeight w:val="2942" w:hRule="atLeast"/>
        </w:trPr>
        <w:tc>
          <w:tcPr>
            <w:tcW w:w="1695" w:type="dxa"/>
          </w:tcPr>
          <w:p>
            <w:pPr>
              <w:pStyle w:val="TableParagraph"/>
              <w:spacing w:line="183" w:lineRule="exact"/>
              <w:ind w:left="72"/>
              <w:rPr>
                <w:b/>
                <w:sz w:val="16"/>
              </w:rPr>
            </w:pPr>
            <w:r>
              <w:rPr>
                <w:b/>
                <w:sz w:val="16"/>
              </w:rPr>
              <w:t>Actividad</w:t>
            </w:r>
            <w:r>
              <w:rPr>
                <w:b/>
                <w:spacing w:val="-11"/>
                <w:sz w:val="16"/>
              </w:rPr>
              <w:t> </w:t>
            </w:r>
            <w:r>
              <w:rPr>
                <w:b/>
                <w:spacing w:val="-4"/>
                <w:sz w:val="16"/>
              </w:rPr>
              <w:t>PPPS</w:t>
            </w:r>
          </w:p>
          <w:p>
            <w:pPr>
              <w:pStyle w:val="TableParagraph"/>
              <w:spacing w:before="3"/>
              <w:ind w:left="72" w:right="69"/>
              <w:rPr>
                <w:sz w:val="16"/>
              </w:rPr>
            </w:pPr>
            <w:r>
              <w:rPr>
                <w:b/>
                <w:sz w:val="16"/>
              </w:rPr>
              <w:t>1.2.2: </w:t>
            </w:r>
            <w:r>
              <w:rPr>
                <w:sz w:val="16"/>
              </w:rPr>
              <w:t>Otorgamiento de subsidios para la inclusión</w:t>
            </w:r>
            <w:r>
              <w:rPr>
                <w:spacing w:val="-12"/>
                <w:sz w:val="16"/>
              </w:rPr>
              <w:t> </w:t>
            </w:r>
            <w:r>
              <w:rPr>
                <w:sz w:val="16"/>
              </w:rPr>
              <w:t>de</w:t>
            </w:r>
            <w:r>
              <w:rPr>
                <w:spacing w:val="-11"/>
                <w:sz w:val="16"/>
              </w:rPr>
              <w:t> </w:t>
            </w:r>
            <w:r>
              <w:rPr>
                <w:sz w:val="16"/>
              </w:rPr>
              <w:t>persona</w:t>
            </w:r>
            <w:r>
              <w:rPr>
                <w:sz w:val="16"/>
              </w:rPr>
              <w:t>s</w:t>
            </w:r>
            <w:r>
              <w:rPr>
                <w:sz w:val="16"/>
              </w:rPr>
              <w:t> en procesos formativos para el fortalecimiento</w:t>
            </w:r>
            <w:r>
              <w:rPr>
                <w:spacing w:val="-2"/>
                <w:sz w:val="16"/>
              </w:rPr>
              <w:t> </w:t>
            </w:r>
            <w:r>
              <w:rPr>
                <w:sz w:val="16"/>
              </w:rPr>
              <w:t>y desarrollo de capacidades de formación personal que contribuyan al desarrollo integral (vinculación</w:t>
            </w:r>
            <w:r>
              <w:rPr>
                <w:spacing w:val="-2"/>
                <w:sz w:val="16"/>
              </w:rPr>
              <w:t> </w:t>
            </w:r>
            <w:r>
              <w:rPr>
                <w:sz w:val="16"/>
              </w:rPr>
              <w:t>con PIEG-PLANOVI</w:t>
            </w:r>
            <w:r>
              <w:rPr>
                <w:spacing w:val="-12"/>
                <w:sz w:val="16"/>
              </w:rPr>
              <w:t> </w:t>
            </w:r>
            <w:r>
              <w:rPr>
                <w:sz w:val="16"/>
              </w:rPr>
              <w:t>1.1.3</w:t>
            </w:r>
          </w:p>
          <w:p>
            <w:pPr>
              <w:pStyle w:val="TableParagraph"/>
              <w:spacing w:line="182" w:lineRule="exact"/>
              <w:ind w:left="72" w:right="103"/>
              <w:rPr>
                <w:sz w:val="16"/>
              </w:rPr>
            </w:pPr>
            <w:r>
              <w:rPr>
                <w:spacing w:val="-2"/>
                <w:sz w:val="16"/>
              </w:rPr>
              <w:t>/</w:t>
            </w:r>
            <w:r>
              <w:rPr>
                <w:spacing w:val="-10"/>
                <w:sz w:val="16"/>
              </w:rPr>
              <w:t> </w:t>
            </w:r>
            <w:r>
              <w:rPr>
                <w:spacing w:val="-2"/>
                <w:sz w:val="16"/>
              </w:rPr>
              <w:t>PIEG-</w:t>
            </w:r>
            <w:r>
              <w:rPr>
                <w:spacing w:val="-2"/>
                <w:sz w:val="16"/>
              </w:rPr>
              <w:t>PLANOVI 1.1.4).</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72"/>
              <w:rPr>
                <w:sz w:val="16"/>
              </w:rPr>
            </w:pPr>
            <w:r>
              <w:rPr>
                <w:sz w:val="16"/>
              </w:rPr>
              <w:t>Cantidad de </w:t>
            </w:r>
            <w:r>
              <w:rPr>
                <w:spacing w:val="-2"/>
                <w:sz w:val="16"/>
              </w:rPr>
              <w:t>personas</w:t>
            </w:r>
            <w:r>
              <w:rPr>
                <w:spacing w:val="-10"/>
                <w:sz w:val="16"/>
              </w:rPr>
              <w:t> </w:t>
            </w:r>
            <w:r>
              <w:rPr>
                <w:spacing w:val="-2"/>
                <w:sz w:val="16"/>
              </w:rPr>
              <w:t>que </w:t>
            </w:r>
            <w:r>
              <w:rPr>
                <w:sz w:val="16"/>
              </w:rPr>
              <w:t>reciben el subsidio de </w:t>
            </w:r>
            <w:r>
              <w:rPr>
                <w:spacing w:val="-2"/>
                <w:sz w:val="16"/>
              </w:rPr>
              <w:t>procesos formativos.</w:t>
            </w:r>
          </w:p>
        </w:tc>
        <w:tc>
          <w:tcPr>
            <w:tcW w:w="127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59"/>
              <w:jc w:val="right"/>
              <w:rPr>
                <w:sz w:val="16"/>
              </w:rPr>
            </w:pPr>
            <w:r>
              <w:rPr>
                <w:sz w:val="16"/>
              </w:rPr>
              <w:t>5</w:t>
            </w:r>
            <w:r>
              <w:rPr>
                <w:spacing w:val="-4"/>
                <w:sz w:val="16"/>
              </w:rPr>
              <w:t> </w:t>
            </w:r>
            <w:r>
              <w:rPr>
                <w:spacing w:val="-5"/>
                <w:sz w:val="16"/>
              </w:rPr>
              <w:t>687</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5"/>
              <w:jc w:val="right"/>
              <w:rPr>
                <w:sz w:val="16"/>
              </w:rPr>
            </w:pPr>
            <w:r>
              <w:rPr>
                <w:sz w:val="16"/>
              </w:rPr>
              <w:t>₡426</w:t>
            </w:r>
            <w:r>
              <w:rPr>
                <w:spacing w:val="-5"/>
                <w:sz w:val="16"/>
              </w:rPr>
              <w:t> </w:t>
            </w:r>
            <w:r>
              <w:rPr>
                <w:sz w:val="16"/>
              </w:rPr>
              <w:t>525</w:t>
            </w:r>
            <w:r>
              <w:rPr>
                <w:spacing w:val="-4"/>
                <w:sz w:val="16"/>
              </w:rPr>
              <w:t> </w:t>
            </w:r>
            <w:r>
              <w:rPr>
                <w:spacing w:val="-5"/>
                <w:sz w:val="16"/>
              </w:rPr>
              <w:t>000</w:t>
            </w: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5"/>
              <w:jc w:val="right"/>
              <w:rPr>
                <w:sz w:val="16"/>
              </w:rPr>
            </w:pPr>
            <w:r>
              <w:rPr>
                <w:sz w:val="16"/>
              </w:rPr>
              <w:t>5</w:t>
            </w:r>
            <w:r>
              <w:rPr>
                <w:spacing w:val="-4"/>
                <w:sz w:val="16"/>
              </w:rPr>
              <w:t> </w:t>
            </w:r>
            <w:r>
              <w:rPr>
                <w:spacing w:val="-5"/>
                <w:sz w:val="16"/>
              </w:rPr>
              <w:t>687</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7"/>
              <w:jc w:val="right"/>
              <w:rPr>
                <w:sz w:val="16"/>
              </w:rPr>
            </w:pPr>
            <w:r>
              <w:rPr>
                <w:sz w:val="16"/>
              </w:rPr>
              <w:t>₡1</w:t>
            </w:r>
            <w:r>
              <w:rPr>
                <w:spacing w:val="-6"/>
                <w:sz w:val="16"/>
              </w:rPr>
              <w:t> </w:t>
            </w:r>
            <w:r>
              <w:rPr>
                <w:sz w:val="16"/>
              </w:rPr>
              <w:t>706</w:t>
            </w:r>
            <w:r>
              <w:rPr>
                <w:spacing w:val="-1"/>
                <w:sz w:val="16"/>
              </w:rPr>
              <w:t> </w:t>
            </w:r>
            <w:r>
              <w:rPr>
                <w:sz w:val="16"/>
              </w:rPr>
              <w:t>100</w:t>
            </w:r>
            <w:r>
              <w:rPr>
                <w:spacing w:val="-2"/>
                <w:sz w:val="16"/>
              </w:rPr>
              <w:t> </w:t>
            </w:r>
            <w:r>
              <w:rPr>
                <w:spacing w:val="-5"/>
                <w:sz w:val="16"/>
              </w:rPr>
              <w:t>000</w:t>
            </w: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6"/>
              <w:jc w:val="right"/>
              <w:rPr>
                <w:sz w:val="16"/>
              </w:rPr>
            </w:pPr>
            <w:r>
              <w:rPr>
                <w:sz w:val="16"/>
              </w:rPr>
              <w:t>11</w:t>
            </w:r>
            <w:r>
              <w:rPr>
                <w:spacing w:val="-3"/>
                <w:sz w:val="16"/>
              </w:rPr>
              <w:t> </w:t>
            </w:r>
            <w:r>
              <w:rPr>
                <w:spacing w:val="-5"/>
                <w:sz w:val="16"/>
              </w:rPr>
              <w:t>373</w:t>
            </w:r>
          </w:p>
        </w:tc>
        <w:tc>
          <w:tcPr>
            <w:tcW w:w="17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7"/>
              <w:jc w:val="right"/>
              <w:rPr>
                <w:sz w:val="16"/>
              </w:rPr>
            </w:pPr>
            <w:r>
              <w:rPr>
                <w:sz w:val="16"/>
              </w:rPr>
              <w:t>₡2</w:t>
            </w:r>
            <w:r>
              <w:rPr>
                <w:spacing w:val="-6"/>
                <w:sz w:val="16"/>
              </w:rPr>
              <w:t> </w:t>
            </w:r>
            <w:r>
              <w:rPr>
                <w:sz w:val="16"/>
              </w:rPr>
              <w:t>559</w:t>
            </w:r>
            <w:r>
              <w:rPr>
                <w:spacing w:val="-1"/>
                <w:sz w:val="16"/>
              </w:rPr>
              <w:t> </w:t>
            </w:r>
            <w:r>
              <w:rPr>
                <w:sz w:val="16"/>
              </w:rPr>
              <w:t>000</w:t>
            </w:r>
            <w:r>
              <w:rPr>
                <w:spacing w:val="-2"/>
                <w:sz w:val="16"/>
              </w:rPr>
              <w:t> </w:t>
            </w:r>
            <w:r>
              <w:rPr>
                <w:spacing w:val="-5"/>
                <w:sz w:val="16"/>
              </w:rPr>
              <w:t>000</w:t>
            </w: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2"/>
              <w:jc w:val="right"/>
              <w:rPr>
                <w:sz w:val="16"/>
              </w:rPr>
            </w:pPr>
            <w:r>
              <w:rPr>
                <w:sz w:val="16"/>
              </w:rPr>
              <w:t>11</w:t>
            </w:r>
            <w:r>
              <w:rPr>
                <w:spacing w:val="-3"/>
                <w:sz w:val="16"/>
              </w:rPr>
              <w:t> </w:t>
            </w:r>
            <w:r>
              <w:rPr>
                <w:spacing w:val="-5"/>
                <w:sz w:val="16"/>
              </w:rPr>
              <w:t>373</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73"/>
              <w:jc w:val="right"/>
              <w:rPr>
                <w:sz w:val="16"/>
              </w:rPr>
            </w:pPr>
            <w:r>
              <w:rPr>
                <w:sz w:val="16"/>
              </w:rPr>
              <w:t>₡3</w:t>
            </w:r>
            <w:r>
              <w:rPr>
                <w:spacing w:val="-6"/>
                <w:sz w:val="16"/>
              </w:rPr>
              <w:t> </w:t>
            </w:r>
            <w:r>
              <w:rPr>
                <w:sz w:val="16"/>
              </w:rPr>
              <w:t>412</w:t>
            </w:r>
            <w:r>
              <w:rPr>
                <w:spacing w:val="-1"/>
                <w:sz w:val="16"/>
              </w:rPr>
              <w:t> </w:t>
            </w:r>
            <w:r>
              <w:rPr>
                <w:sz w:val="16"/>
              </w:rPr>
              <w:t>000</w:t>
            </w:r>
            <w:r>
              <w:rPr>
                <w:spacing w:val="-2"/>
                <w:sz w:val="16"/>
              </w:rPr>
              <w:t> </w:t>
            </w:r>
            <w:r>
              <w:rPr>
                <w:spacing w:val="-5"/>
                <w:sz w:val="16"/>
              </w:rPr>
              <w:t>000</w:t>
            </w:r>
          </w:p>
        </w:tc>
      </w:tr>
      <w:tr>
        <w:trPr>
          <w:trHeight w:val="499" w:hRule="atLeast"/>
        </w:trPr>
        <w:tc>
          <w:tcPr>
            <w:tcW w:w="1695" w:type="dxa"/>
          </w:tcPr>
          <w:p>
            <w:pPr>
              <w:pStyle w:val="TableParagraph"/>
              <w:spacing w:line="183" w:lineRule="exact" w:before="66"/>
              <w:ind w:left="72"/>
              <w:rPr>
                <w:b/>
                <w:sz w:val="16"/>
              </w:rPr>
            </w:pPr>
            <w:r>
              <w:rPr>
                <w:b/>
                <w:sz w:val="16"/>
              </w:rPr>
              <w:t>Actividad</w:t>
            </w:r>
            <w:r>
              <w:rPr>
                <w:b/>
                <w:spacing w:val="-11"/>
                <w:sz w:val="16"/>
              </w:rPr>
              <w:t> </w:t>
            </w:r>
            <w:r>
              <w:rPr>
                <w:b/>
                <w:spacing w:val="-4"/>
                <w:sz w:val="16"/>
              </w:rPr>
              <w:t>PPPS</w:t>
            </w:r>
          </w:p>
          <w:p>
            <w:pPr>
              <w:pStyle w:val="TableParagraph"/>
              <w:spacing w:line="183" w:lineRule="exact"/>
              <w:ind w:left="72"/>
              <w:rPr>
                <w:sz w:val="16"/>
              </w:rPr>
            </w:pPr>
            <w:r>
              <w:rPr>
                <w:b/>
                <w:sz w:val="16"/>
              </w:rPr>
              <w:t>1.2.3:</w:t>
            </w:r>
            <w:r>
              <w:rPr>
                <w:b/>
                <w:spacing w:val="-11"/>
                <w:sz w:val="16"/>
              </w:rPr>
              <w:t> </w:t>
            </w:r>
            <w:r>
              <w:rPr>
                <w:spacing w:val="-2"/>
                <w:sz w:val="16"/>
              </w:rPr>
              <w:t>Otorgamiento</w:t>
            </w:r>
          </w:p>
        </w:tc>
        <w:tc>
          <w:tcPr>
            <w:tcW w:w="1280" w:type="dxa"/>
          </w:tcPr>
          <w:p>
            <w:pPr>
              <w:pStyle w:val="TableParagraph"/>
              <w:spacing w:before="66"/>
              <w:ind w:left="72"/>
              <w:rPr>
                <w:sz w:val="16"/>
              </w:rPr>
            </w:pPr>
            <w:r>
              <w:rPr>
                <w:sz w:val="16"/>
              </w:rPr>
              <w:t>Cantidad de </w:t>
            </w:r>
            <w:r>
              <w:rPr>
                <w:spacing w:val="-2"/>
                <w:sz w:val="16"/>
              </w:rPr>
              <w:t>personas</w:t>
            </w:r>
            <w:r>
              <w:rPr>
                <w:spacing w:val="-10"/>
                <w:sz w:val="16"/>
              </w:rPr>
              <w:t> </w:t>
            </w:r>
            <w:r>
              <w:rPr>
                <w:spacing w:val="-2"/>
                <w:sz w:val="16"/>
              </w:rPr>
              <w:t>que</w:t>
            </w:r>
          </w:p>
        </w:tc>
        <w:tc>
          <w:tcPr>
            <w:tcW w:w="1275" w:type="dxa"/>
          </w:tcPr>
          <w:p>
            <w:pPr>
              <w:pStyle w:val="TableParagraph"/>
              <w:spacing w:before="157"/>
              <w:ind w:right="59"/>
              <w:jc w:val="right"/>
              <w:rPr>
                <w:sz w:val="16"/>
              </w:rPr>
            </w:pPr>
            <w:r>
              <w:rPr>
                <w:spacing w:val="-5"/>
                <w:sz w:val="16"/>
              </w:rPr>
              <w:t>577</w:t>
            </w:r>
          </w:p>
        </w:tc>
        <w:tc>
          <w:tcPr>
            <w:tcW w:w="1561" w:type="dxa"/>
          </w:tcPr>
          <w:p>
            <w:pPr>
              <w:pStyle w:val="TableParagraph"/>
              <w:spacing w:before="157"/>
              <w:ind w:right="65"/>
              <w:jc w:val="right"/>
              <w:rPr>
                <w:sz w:val="16"/>
              </w:rPr>
            </w:pPr>
            <w:r>
              <w:rPr>
                <w:sz w:val="16"/>
              </w:rPr>
              <w:t>₡288</w:t>
            </w:r>
            <w:r>
              <w:rPr>
                <w:spacing w:val="-5"/>
                <w:sz w:val="16"/>
              </w:rPr>
              <w:t> </w:t>
            </w:r>
            <w:r>
              <w:rPr>
                <w:sz w:val="16"/>
              </w:rPr>
              <w:t>000</w:t>
            </w:r>
            <w:r>
              <w:rPr>
                <w:spacing w:val="-4"/>
                <w:sz w:val="16"/>
              </w:rPr>
              <w:t> </w:t>
            </w:r>
            <w:r>
              <w:rPr>
                <w:spacing w:val="-5"/>
                <w:sz w:val="16"/>
              </w:rPr>
              <w:t>000</w:t>
            </w:r>
          </w:p>
        </w:tc>
        <w:tc>
          <w:tcPr>
            <w:tcW w:w="1134" w:type="dxa"/>
          </w:tcPr>
          <w:p>
            <w:pPr>
              <w:pStyle w:val="TableParagraph"/>
              <w:spacing w:before="157"/>
              <w:ind w:right="65"/>
              <w:jc w:val="right"/>
              <w:rPr>
                <w:sz w:val="16"/>
              </w:rPr>
            </w:pPr>
            <w:r>
              <w:rPr>
                <w:sz w:val="16"/>
              </w:rPr>
              <w:t>5</w:t>
            </w:r>
            <w:r>
              <w:rPr>
                <w:spacing w:val="-4"/>
                <w:sz w:val="16"/>
              </w:rPr>
              <w:t> </w:t>
            </w:r>
            <w:r>
              <w:rPr>
                <w:spacing w:val="-5"/>
                <w:sz w:val="16"/>
              </w:rPr>
              <w:t>760</w:t>
            </w:r>
          </w:p>
        </w:tc>
        <w:tc>
          <w:tcPr>
            <w:tcW w:w="1561" w:type="dxa"/>
          </w:tcPr>
          <w:p>
            <w:pPr>
              <w:pStyle w:val="TableParagraph"/>
              <w:spacing w:before="157"/>
              <w:ind w:right="67"/>
              <w:jc w:val="right"/>
              <w:rPr>
                <w:sz w:val="16"/>
              </w:rPr>
            </w:pPr>
            <w:r>
              <w:rPr>
                <w:sz w:val="16"/>
              </w:rPr>
              <w:t>₡2</w:t>
            </w:r>
            <w:r>
              <w:rPr>
                <w:spacing w:val="-6"/>
                <w:sz w:val="16"/>
              </w:rPr>
              <w:t> </w:t>
            </w:r>
            <w:r>
              <w:rPr>
                <w:sz w:val="16"/>
              </w:rPr>
              <w:t>900</w:t>
            </w:r>
            <w:r>
              <w:rPr>
                <w:spacing w:val="-1"/>
                <w:sz w:val="16"/>
              </w:rPr>
              <w:t> </w:t>
            </w:r>
            <w:r>
              <w:rPr>
                <w:sz w:val="16"/>
              </w:rPr>
              <w:t>000</w:t>
            </w:r>
            <w:r>
              <w:rPr>
                <w:spacing w:val="-2"/>
                <w:sz w:val="16"/>
              </w:rPr>
              <w:t> </w:t>
            </w:r>
            <w:r>
              <w:rPr>
                <w:spacing w:val="-5"/>
                <w:sz w:val="16"/>
              </w:rPr>
              <w:t>000</w:t>
            </w:r>
          </w:p>
        </w:tc>
        <w:tc>
          <w:tcPr>
            <w:tcW w:w="1277" w:type="dxa"/>
          </w:tcPr>
          <w:p>
            <w:pPr>
              <w:pStyle w:val="TableParagraph"/>
              <w:spacing w:before="157"/>
              <w:ind w:right="66"/>
              <w:jc w:val="right"/>
              <w:rPr>
                <w:sz w:val="16"/>
              </w:rPr>
            </w:pPr>
            <w:r>
              <w:rPr>
                <w:sz w:val="16"/>
              </w:rPr>
              <w:t>9</w:t>
            </w:r>
            <w:r>
              <w:rPr>
                <w:spacing w:val="-4"/>
                <w:sz w:val="16"/>
              </w:rPr>
              <w:t> </w:t>
            </w:r>
            <w:r>
              <w:rPr>
                <w:spacing w:val="-5"/>
                <w:sz w:val="16"/>
              </w:rPr>
              <w:t>600</w:t>
            </w:r>
          </w:p>
        </w:tc>
        <w:tc>
          <w:tcPr>
            <w:tcW w:w="1700" w:type="dxa"/>
          </w:tcPr>
          <w:p>
            <w:pPr>
              <w:pStyle w:val="TableParagraph"/>
              <w:spacing w:before="157"/>
              <w:ind w:right="67"/>
              <w:jc w:val="right"/>
              <w:rPr>
                <w:sz w:val="16"/>
              </w:rPr>
            </w:pPr>
            <w:r>
              <w:rPr>
                <w:sz w:val="16"/>
              </w:rPr>
              <w:t>₡4</w:t>
            </w:r>
            <w:r>
              <w:rPr>
                <w:spacing w:val="-6"/>
                <w:sz w:val="16"/>
              </w:rPr>
              <w:t> </w:t>
            </w:r>
            <w:r>
              <w:rPr>
                <w:sz w:val="16"/>
              </w:rPr>
              <w:t>800</w:t>
            </w:r>
            <w:r>
              <w:rPr>
                <w:spacing w:val="-1"/>
                <w:sz w:val="16"/>
              </w:rPr>
              <w:t> </w:t>
            </w:r>
            <w:r>
              <w:rPr>
                <w:sz w:val="16"/>
              </w:rPr>
              <w:t>000</w:t>
            </w:r>
            <w:r>
              <w:rPr>
                <w:spacing w:val="-2"/>
                <w:sz w:val="16"/>
              </w:rPr>
              <w:t> </w:t>
            </w:r>
            <w:r>
              <w:rPr>
                <w:spacing w:val="-5"/>
                <w:sz w:val="16"/>
              </w:rPr>
              <w:t>000</w:t>
            </w:r>
          </w:p>
        </w:tc>
        <w:tc>
          <w:tcPr>
            <w:tcW w:w="1345" w:type="dxa"/>
          </w:tcPr>
          <w:p>
            <w:pPr>
              <w:pStyle w:val="TableParagraph"/>
              <w:spacing w:before="157"/>
              <w:ind w:right="62"/>
              <w:jc w:val="right"/>
              <w:rPr>
                <w:sz w:val="16"/>
              </w:rPr>
            </w:pPr>
            <w:r>
              <w:rPr>
                <w:sz w:val="16"/>
              </w:rPr>
              <w:t>12</w:t>
            </w:r>
            <w:r>
              <w:rPr>
                <w:spacing w:val="-3"/>
                <w:sz w:val="16"/>
              </w:rPr>
              <w:t> </w:t>
            </w:r>
            <w:r>
              <w:rPr>
                <w:spacing w:val="-5"/>
                <w:sz w:val="16"/>
              </w:rPr>
              <w:t>000</w:t>
            </w:r>
          </w:p>
        </w:tc>
        <w:tc>
          <w:tcPr>
            <w:tcW w:w="1494" w:type="dxa"/>
          </w:tcPr>
          <w:p>
            <w:pPr>
              <w:pStyle w:val="TableParagraph"/>
              <w:spacing w:before="157"/>
              <w:ind w:right="73"/>
              <w:jc w:val="right"/>
              <w:rPr>
                <w:sz w:val="16"/>
              </w:rPr>
            </w:pPr>
            <w:r>
              <w:rPr>
                <w:sz w:val="16"/>
              </w:rPr>
              <w:t>₡6</w:t>
            </w:r>
            <w:r>
              <w:rPr>
                <w:spacing w:val="-6"/>
                <w:sz w:val="16"/>
              </w:rPr>
              <w:t> </w:t>
            </w:r>
            <w:r>
              <w:rPr>
                <w:sz w:val="16"/>
              </w:rPr>
              <w:t>000</w:t>
            </w:r>
            <w:r>
              <w:rPr>
                <w:spacing w:val="-1"/>
                <w:sz w:val="16"/>
              </w:rPr>
              <w:t> </w:t>
            </w:r>
            <w:r>
              <w:rPr>
                <w:sz w:val="16"/>
              </w:rPr>
              <w:t>000</w:t>
            </w:r>
            <w:r>
              <w:rPr>
                <w:spacing w:val="-2"/>
                <w:sz w:val="16"/>
              </w:rPr>
              <w:t> </w:t>
            </w:r>
            <w:r>
              <w:rPr>
                <w:spacing w:val="-5"/>
                <w:sz w:val="16"/>
              </w:rPr>
              <w:t>000</w:t>
            </w:r>
          </w:p>
        </w:tc>
      </w:tr>
    </w:tbl>
    <w:p>
      <w:pPr>
        <w:pStyle w:val="TableParagraph"/>
        <w:spacing w:after="0"/>
        <w:jc w:val="right"/>
        <w:rPr>
          <w:sz w:val="16"/>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80"/>
        <w:gridCol w:w="1275"/>
        <w:gridCol w:w="1561"/>
        <w:gridCol w:w="1134"/>
        <w:gridCol w:w="1561"/>
        <w:gridCol w:w="1277"/>
        <w:gridCol w:w="1700"/>
        <w:gridCol w:w="1345"/>
        <w:gridCol w:w="1494"/>
      </w:tblGrid>
      <w:tr>
        <w:trPr>
          <w:trHeight w:val="316" w:hRule="atLeast"/>
        </w:trPr>
        <w:tc>
          <w:tcPr>
            <w:tcW w:w="1695" w:type="dxa"/>
            <w:vMerge w:val="restart"/>
            <w:tcBorders>
              <w:bottom w:val="nil"/>
            </w:tcBorders>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80" w:type="dxa"/>
            <w:vMerge w:val="restart"/>
            <w:tcBorders>
              <w:bottom w:val="nil"/>
            </w:tcBorders>
            <w:shd w:val="clear" w:color="auto" w:fill="F1F1F1"/>
          </w:tcPr>
          <w:p>
            <w:pPr>
              <w:pStyle w:val="TableParagraph"/>
              <w:spacing w:line="183" w:lineRule="exact"/>
              <w:ind w:left="278"/>
              <w:rPr>
                <w:b/>
                <w:sz w:val="16"/>
              </w:rPr>
            </w:pPr>
            <w:r>
              <w:rPr>
                <w:b/>
                <w:spacing w:val="-2"/>
                <w:sz w:val="16"/>
              </w:rPr>
              <w:t>Indicador</w:t>
            </w:r>
          </w:p>
        </w:tc>
        <w:tc>
          <w:tcPr>
            <w:tcW w:w="2836" w:type="dxa"/>
            <w:gridSpan w:val="2"/>
            <w:shd w:val="clear" w:color="auto" w:fill="F1F1F1"/>
          </w:tcPr>
          <w:p>
            <w:pPr>
              <w:pStyle w:val="TableParagraph"/>
              <w:spacing w:line="183" w:lineRule="exact"/>
              <w:ind w:left="6"/>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left="2"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left="2"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bottom w:val="nil"/>
            </w:tcBorders>
            <w:shd w:val="clear" w:color="auto" w:fill="F1F1F1"/>
          </w:tcPr>
          <w:p>
            <w:pPr>
              <w:rPr>
                <w:sz w:val="2"/>
                <w:szCs w:val="2"/>
              </w:rPr>
            </w:pPr>
          </w:p>
        </w:tc>
        <w:tc>
          <w:tcPr>
            <w:tcW w:w="1280" w:type="dxa"/>
            <w:vMerge/>
            <w:tcBorders>
              <w:top w:val="nil"/>
              <w:bottom w:val="nil"/>
            </w:tcBorders>
            <w:shd w:val="clear" w:color="auto" w:fill="F1F1F1"/>
          </w:tcPr>
          <w:p>
            <w:pPr>
              <w:rPr>
                <w:sz w:val="2"/>
                <w:szCs w:val="2"/>
              </w:rPr>
            </w:pPr>
          </w:p>
        </w:tc>
        <w:tc>
          <w:tcPr>
            <w:tcW w:w="1275" w:type="dxa"/>
            <w:shd w:val="clear" w:color="auto" w:fill="F1F1F1"/>
          </w:tcPr>
          <w:p>
            <w:pPr>
              <w:pStyle w:val="TableParagraph"/>
              <w:spacing w:line="182" w:lineRule="exact" w:before="167"/>
              <w:ind w:left="174"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99"/>
              <w:jc w:val="center"/>
              <w:rPr>
                <w:b/>
                <w:sz w:val="16"/>
              </w:rPr>
            </w:pPr>
            <w:r>
              <w:rPr>
                <w:b/>
                <w:spacing w:val="-10"/>
                <w:sz w:val="16"/>
              </w:rPr>
              <w:t>¢</w:t>
            </w:r>
          </w:p>
        </w:tc>
        <w:tc>
          <w:tcPr>
            <w:tcW w:w="1134" w:type="dxa"/>
            <w:shd w:val="clear" w:color="auto" w:fill="F1F1F1"/>
          </w:tcPr>
          <w:p>
            <w:pPr>
              <w:pStyle w:val="TableParagraph"/>
              <w:spacing w:line="182" w:lineRule="exact" w:before="167"/>
              <w:ind w:left="99"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277" w:type="dxa"/>
            <w:shd w:val="clear" w:color="auto" w:fill="F1F1F1"/>
          </w:tcPr>
          <w:p>
            <w:pPr>
              <w:pStyle w:val="TableParagraph"/>
              <w:spacing w:line="182" w:lineRule="exact" w:before="167"/>
              <w:ind w:left="170"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5"/>
              <w:jc w:val="center"/>
              <w:rPr>
                <w:b/>
                <w:sz w:val="16"/>
              </w:rPr>
            </w:pPr>
            <w:r>
              <w:rPr>
                <w:b/>
                <w:spacing w:val="-10"/>
                <w:sz w:val="16"/>
              </w:rPr>
              <w:t>¢</w:t>
            </w:r>
          </w:p>
        </w:tc>
        <w:tc>
          <w:tcPr>
            <w:tcW w:w="1345" w:type="dxa"/>
            <w:shd w:val="clear" w:color="auto" w:fill="F1F1F1"/>
          </w:tcPr>
          <w:p>
            <w:pPr>
              <w:pStyle w:val="TableParagraph"/>
              <w:spacing w:line="182" w:lineRule="exact" w:before="167"/>
              <w:ind w:left="208"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left="2" w:right="9"/>
              <w:jc w:val="center"/>
              <w:rPr>
                <w:b/>
                <w:sz w:val="16"/>
              </w:rPr>
            </w:pPr>
            <w:r>
              <w:rPr>
                <w:b/>
                <w:spacing w:val="-10"/>
                <w:sz w:val="16"/>
              </w:rPr>
              <w:t>¢</w:t>
            </w:r>
          </w:p>
        </w:tc>
      </w:tr>
      <w:tr>
        <w:trPr>
          <w:trHeight w:val="3130" w:hRule="atLeast"/>
        </w:trPr>
        <w:tc>
          <w:tcPr>
            <w:tcW w:w="1695" w:type="dxa"/>
            <w:tcBorders>
              <w:top w:val="nil"/>
            </w:tcBorders>
          </w:tcPr>
          <w:p>
            <w:pPr>
              <w:pStyle w:val="TableParagraph"/>
              <w:ind w:left="72" w:right="72"/>
              <w:rPr>
                <w:sz w:val="16"/>
              </w:rPr>
            </w:pPr>
            <w:r>
              <w:rPr>
                <w:sz w:val="16"/>
              </w:rPr>
              <w:t>del subsidio de capacitación a personas que requieren</w:t>
            </w:r>
            <w:r>
              <w:rPr>
                <w:spacing w:val="-2"/>
                <w:sz w:val="16"/>
              </w:rPr>
              <w:t> </w:t>
            </w:r>
            <w:r>
              <w:rPr>
                <w:sz w:val="16"/>
              </w:rPr>
              <w:t>fortalecer sus capacidades mediante la capacitación técnica</w:t>
            </w:r>
            <w:r>
              <w:rPr>
                <w:spacing w:val="40"/>
                <w:sz w:val="16"/>
              </w:rPr>
              <w:t> </w:t>
            </w:r>
            <w:r>
              <w:rPr>
                <w:sz w:val="16"/>
              </w:rPr>
              <w:t>y microempresarial para facilitar el acceso</w:t>
            </w:r>
            <w:r>
              <w:rPr>
                <w:spacing w:val="-12"/>
                <w:sz w:val="16"/>
              </w:rPr>
              <w:t> </w:t>
            </w:r>
            <w:r>
              <w:rPr>
                <w:sz w:val="16"/>
              </w:rPr>
              <w:t>al</w:t>
            </w:r>
            <w:r>
              <w:rPr>
                <w:spacing w:val="-11"/>
                <w:sz w:val="16"/>
              </w:rPr>
              <w:t> </w:t>
            </w:r>
            <w:r>
              <w:rPr>
                <w:sz w:val="16"/>
              </w:rPr>
              <w:t>empleo,</w:t>
            </w:r>
            <w:r>
              <w:rPr>
                <w:spacing w:val="-11"/>
                <w:sz w:val="16"/>
              </w:rPr>
              <w:t> </w:t>
            </w:r>
            <w:r>
              <w:rPr>
                <w:sz w:val="16"/>
              </w:rPr>
              <w:t>así como el desarrollo o mejora en la ejecución de </w:t>
            </w:r>
            <w:r>
              <w:rPr>
                <w:spacing w:val="-2"/>
                <w:sz w:val="16"/>
              </w:rPr>
              <w:t>emprendimientos productivos </w:t>
            </w:r>
            <w:r>
              <w:rPr>
                <w:sz w:val="16"/>
              </w:rPr>
              <w:t>(vinculación</w:t>
            </w:r>
            <w:r>
              <w:rPr>
                <w:spacing w:val="-2"/>
                <w:sz w:val="16"/>
              </w:rPr>
              <w:t> </w:t>
            </w:r>
            <w:r>
              <w:rPr>
                <w:sz w:val="16"/>
              </w:rPr>
              <w:t>con</w:t>
            </w:r>
          </w:p>
          <w:p>
            <w:pPr>
              <w:pStyle w:val="TableParagraph"/>
              <w:spacing w:line="163" w:lineRule="exact" w:before="3"/>
              <w:ind w:left="72"/>
              <w:rPr>
                <w:sz w:val="16"/>
              </w:rPr>
            </w:pPr>
            <w:r>
              <w:rPr>
                <w:spacing w:val="-4"/>
                <w:sz w:val="16"/>
              </w:rPr>
              <w:t>PEN)</w:t>
            </w:r>
          </w:p>
        </w:tc>
        <w:tc>
          <w:tcPr>
            <w:tcW w:w="1280" w:type="dxa"/>
            <w:tcBorders>
              <w:top w:val="nil"/>
            </w:tcBorders>
          </w:tcPr>
          <w:p>
            <w:pPr>
              <w:pStyle w:val="TableParagraph"/>
              <w:ind w:left="72" w:right="96"/>
              <w:rPr>
                <w:sz w:val="16"/>
              </w:rPr>
            </w:pPr>
            <w:r>
              <w:rPr>
                <w:sz w:val="16"/>
              </w:rPr>
              <w:t>reciben un subsidio para cubrir los </w:t>
            </w:r>
            <w:r>
              <w:rPr>
                <w:spacing w:val="-2"/>
                <w:sz w:val="16"/>
              </w:rPr>
              <w:t>costos </w:t>
            </w:r>
            <w:r>
              <w:rPr>
                <w:sz w:val="16"/>
              </w:rPr>
              <w:t>asociados a la </w:t>
            </w:r>
            <w:r>
              <w:rPr>
                <w:spacing w:val="-2"/>
                <w:sz w:val="16"/>
              </w:rPr>
              <w:t>capacitación </w:t>
            </w:r>
            <w:r>
              <w:rPr>
                <w:sz w:val="16"/>
              </w:rPr>
              <w:t>técnica</w:t>
            </w:r>
            <w:r>
              <w:rPr>
                <w:spacing w:val="-2"/>
                <w:sz w:val="16"/>
              </w:rPr>
              <w:t> </w:t>
            </w:r>
            <w:r>
              <w:rPr>
                <w:sz w:val="16"/>
              </w:rPr>
              <w:t>y </w:t>
            </w:r>
            <w:r>
              <w:rPr>
                <w:spacing w:val="-2"/>
                <w:sz w:val="16"/>
              </w:rPr>
              <w:t>microempresari </w:t>
            </w:r>
            <w:r>
              <w:rPr>
                <w:spacing w:val="-4"/>
                <w:sz w:val="16"/>
              </w:rPr>
              <w:t>al.</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rFonts w:ascii="Times New Roman"/>
                <w:sz w:val="16"/>
              </w:rPr>
            </w:pPr>
          </w:p>
        </w:tc>
        <w:tc>
          <w:tcPr>
            <w:tcW w:w="1494" w:type="dxa"/>
          </w:tcPr>
          <w:p>
            <w:pPr>
              <w:pStyle w:val="TableParagraph"/>
              <w:rPr>
                <w:rFonts w:ascii="Times New Roman"/>
                <w:sz w:val="16"/>
              </w:rPr>
            </w:pPr>
          </w:p>
        </w:tc>
      </w:tr>
      <w:tr>
        <w:trPr>
          <w:trHeight w:val="3312" w:hRule="atLeast"/>
        </w:trPr>
        <w:tc>
          <w:tcPr>
            <w:tcW w:w="1695" w:type="dxa"/>
          </w:tcPr>
          <w:p>
            <w:pPr>
              <w:pStyle w:val="TableParagraph"/>
              <w:spacing w:line="183" w:lineRule="exact"/>
              <w:ind w:left="72"/>
              <w:rPr>
                <w:b/>
                <w:sz w:val="16"/>
              </w:rPr>
            </w:pPr>
            <w:r>
              <w:rPr>
                <w:b/>
                <w:sz w:val="16"/>
              </w:rPr>
              <w:t>Actividad</w:t>
            </w:r>
            <w:r>
              <w:rPr>
                <w:b/>
                <w:spacing w:val="-11"/>
                <w:sz w:val="16"/>
              </w:rPr>
              <w:t> </w:t>
            </w:r>
            <w:r>
              <w:rPr>
                <w:b/>
                <w:spacing w:val="-4"/>
                <w:sz w:val="16"/>
              </w:rPr>
              <w:t>PPPS</w:t>
            </w:r>
          </w:p>
          <w:p>
            <w:pPr>
              <w:pStyle w:val="TableParagraph"/>
              <w:spacing w:before="3"/>
              <w:ind w:left="72" w:right="94"/>
              <w:rPr>
                <w:sz w:val="16"/>
              </w:rPr>
            </w:pPr>
            <w:r>
              <w:rPr>
                <w:b/>
                <w:sz w:val="16"/>
              </w:rPr>
              <w:t>1.2.4: </w:t>
            </w:r>
            <w:r>
              <w:rPr>
                <w:sz w:val="16"/>
              </w:rPr>
              <w:t>Otorgamiento del subsidio de </w:t>
            </w:r>
            <w:r>
              <w:rPr>
                <w:spacing w:val="-2"/>
                <w:sz w:val="16"/>
              </w:rPr>
              <w:t>emprendimiento </w:t>
            </w:r>
            <w:r>
              <w:rPr>
                <w:sz w:val="16"/>
              </w:rPr>
              <w:t>productivo</w:t>
            </w:r>
            <w:r>
              <w:rPr>
                <w:spacing w:val="-2"/>
                <w:sz w:val="16"/>
              </w:rPr>
              <w:t> </w:t>
            </w:r>
            <w:r>
              <w:rPr>
                <w:sz w:val="16"/>
              </w:rPr>
              <w:t>individual a personas en situación</w:t>
            </w:r>
            <w:r>
              <w:rPr>
                <w:spacing w:val="-12"/>
                <w:sz w:val="16"/>
              </w:rPr>
              <w:t> </w:t>
            </w:r>
            <w:r>
              <w:rPr>
                <w:sz w:val="16"/>
              </w:rPr>
              <w:t>de</w:t>
            </w:r>
            <w:r>
              <w:rPr>
                <w:spacing w:val="-11"/>
                <w:sz w:val="16"/>
              </w:rPr>
              <w:t> </w:t>
            </w:r>
            <w:r>
              <w:rPr>
                <w:sz w:val="16"/>
              </w:rPr>
              <w:t>pobreza, para la creación y fortalecimiento de </w:t>
            </w:r>
            <w:r>
              <w:rPr>
                <w:spacing w:val="-2"/>
                <w:sz w:val="16"/>
              </w:rPr>
              <w:t>emprendimientos </w:t>
            </w:r>
            <w:r>
              <w:rPr>
                <w:sz w:val="16"/>
              </w:rPr>
              <w:t>productivos lícitos, para estimular e </w:t>
            </w:r>
            <w:r>
              <w:rPr>
                <w:spacing w:val="-2"/>
                <w:sz w:val="16"/>
              </w:rPr>
              <w:t>impulsar, </w:t>
            </w:r>
            <w:r>
              <w:rPr>
                <w:sz w:val="16"/>
              </w:rPr>
              <w:t>primeramente, la generación del autoempleo y el empleo (vinculación</w:t>
            </w:r>
          </w:p>
          <w:p>
            <w:pPr>
              <w:pStyle w:val="TableParagraph"/>
              <w:spacing w:line="163" w:lineRule="exact"/>
              <w:ind w:left="72"/>
              <w:rPr>
                <w:sz w:val="16"/>
              </w:rPr>
            </w:pPr>
            <w:r>
              <w:rPr>
                <w:sz w:val="16"/>
              </w:rPr>
              <w:t>con</w:t>
            </w:r>
            <w:r>
              <w:rPr>
                <w:spacing w:val="-6"/>
                <w:sz w:val="16"/>
              </w:rPr>
              <w:t> </w:t>
            </w:r>
            <w:r>
              <w:rPr>
                <w:spacing w:val="-2"/>
                <w:sz w:val="16"/>
              </w:rPr>
              <w:t>PEN).</w:t>
            </w:r>
          </w:p>
        </w:tc>
        <w:tc>
          <w:tcPr>
            <w:tcW w:w="128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72" w:right="96"/>
              <w:rPr>
                <w:sz w:val="16"/>
              </w:rPr>
            </w:pPr>
            <w:r>
              <w:rPr>
                <w:sz w:val="16"/>
              </w:rPr>
              <w:t>Cantidad de personas con </w:t>
            </w:r>
            <w:r>
              <w:rPr>
                <w:spacing w:val="-2"/>
                <w:sz w:val="16"/>
              </w:rPr>
              <w:t>subsidio emprendimient </w:t>
            </w:r>
            <w:r>
              <w:rPr>
                <w:sz w:val="16"/>
              </w:rPr>
              <w:t>os</w:t>
            </w:r>
            <w:r>
              <w:rPr>
                <w:spacing w:val="-12"/>
                <w:sz w:val="16"/>
              </w:rPr>
              <w:t> </w:t>
            </w:r>
            <w:r>
              <w:rPr>
                <w:sz w:val="16"/>
              </w:rPr>
              <w:t>productivos </w:t>
            </w:r>
            <w:r>
              <w:rPr>
                <w:spacing w:val="-2"/>
                <w:sz w:val="16"/>
              </w:rPr>
              <w:t>individuales</w:t>
            </w:r>
          </w:p>
        </w:tc>
        <w:tc>
          <w:tcPr>
            <w:tcW w:w="127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spacing w:before="1"/>
              <w:ind w:right="60"/>
              <w:jc w:val="right"/>
              <w:rPr>
                <w:sz w:val="16"/>
              </w:rPr>
            </w:pPr>
            <w:r>
              <w:rPr>
                <w:spacing w:val="-5"/>
                <w:sz w:val="16"/>
              </w:rPr>
              <w:t>48</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spacing w:before="1"/>
              <w:ind w:left="570"/>
              <w:rPr>
                <w:sz w:val="16"/>
              </w:rPr>
            </w:pPr>
            <w:r>
              <w:rPr>
                <w:sz w:val="16"/>
              </w:rPr>
              <w:t>₡96</w:t>
            </w:r>
            <w:r>
              <w:rPr>
                <w:spacing w:val="-3"/>
                <w:sz w:val="16"/>
              </w:rPr>
              <w:t> </w:t>
            </w:r>
            <w:r>
              <w:rPr>
                <w:sz w:val="16"/>
              </w:rPr>
              <w:t>000</w:t>
            </w:r>
            <w:r>
              <w:rPr>
                <w:spacing w:val="-3"/>
                <w:sz w:val="16"/>
              </w:rPr>
              <w:t> </w:t>
            </w:r>
            <w:r>
              <w:rPr>
                <w:spacing w:val="-5"/>
                <w:sz w:val="16"/>
              </w:rPr>
              <w:t>000</w:t>
            </w: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spacing w:before="1"/>
              <w:ind w:right="65"/>
              <w:jc w:val="right"/>
              <w:rPr>
                <w:sz w:val="16"/>
              </w:rPr>
            </w:pPr>
            <w:r>
              <w:rPr>
                <w:spacing w:val="-5"/>
                <w:sz w:val="16"/>
              </w:rPr>
              <w:t>351</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spacing w:before="1"/>
              <w:ind w:left="482"/>
              <w:rPr>
                <w:sz w:val="16"/>
              </w:rPr>
            </w:pPr>
            <w:r>
              <w:rPr>
                <w:sz w:val="16"/>
              </w:rPr>
              <w:t>₡702</w:t>
            </w:r>
            <w:r>
              <w:rPr>
                <w:spacing w:val="-5"/>
                <w:sz w:val="16"/>
              </w:rPr>
              <w:t> </w:t>
            </w:r>
            <w:r>
              <w:rPr>
                <w:sz w:val="16"/>
              </w:rPr>
              <w:t>000</w:t>
            </w:r>
            <w:r>
              <w:rPr>
                <w:spacing w:val="-4"/>
                <w:sz w:val="16"/>
              </w:rPr>
              <w:t> </w:t>
            </w:r>
            <w:r>
              <w:rPr>
                <w:spacing w:val="-5"/>
                <w:sz w:val="16"/>
              </w:rPr>
              <w:t>000</w:t>
            </w: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spacing w:before="1"/>
              <w:ind w:right="66"/>
              <w:jc w:val="right"/>
              <w:rPr>
                <w:sz w:val="16"/>
              </w:rPr>
            </w:pPr>
            <w:r>
              <w:rPr>
                <w:spacing w:val="-5"/>
                <w:sz w:val="16"/>
              </w:rPr>
              <w:t>816</w:t>
            </w:r>
          </w:p>
        </w:tc>
        <w:tc>
          <w:tcPr>
            <w:tcW w:w="17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spacing w:before="1"/>
              <w:ind w:left="487"/>
              <w:rPr>
                <w:sz w:val="16"/>
              </w:rPr>
            </w:pPr>
            <w:r>
              <w:rPr>
                <w:sz w:val="16"/>
              </w:rPr>
              <w:t>₡1</w:t>
            </w:r>
            <w:r>
              <w:rPr>
                <w:spacing w:val="-6"/>
                <w:sz w:val="16"/>
              </w:rPr>
              <w:t> </w:t>
            </w:r>
            <w:r>
              <w:rPr>
                <w:sz w:val="16"/>
              </w:rPr>
              <w:t>632</w:t>
            </w:r>
            <w:r>
              <w:rPr>
                <w:spacing w:val="-1"/>
                <w:sz w:val="16"/>
              </w:rPr>
              <w:t> </w:t>
            </w:r>
            <w:r>
              <w:rPr>
                <w:sz w:val="16"/>
              </w:rPr>
              <w:t>000</w:t>
            </w:r>
            <w:r>
              <w:rPr>
                <w:spacing w:val="-2"/>
                <w:sz w:val="16"/>
              </w:rPr>
              <w:t> </w:t>
            </w:r>
            <w:r>
              <w:rPr>
                <w:spacing w:val="-5"/>
                <w:sz w:val="16"/>
              </w:rPr>
              <w:t>000</w:t>
            </w: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spacing w:before="1"/>
              <w:ind w:right="62"/>
              <w:jc w:val="right"/>
              <w:rPr>
                <w:sz w:val="16"/>
              </w:rPr>
            </w:pPr>
            <w:r>
              <w:rPr>
                <w:spacing w:val="-4"/>
                <w:sz w:val="16"/>
              </w:rPr>
              <w:t>1600</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spacing w:before="1"/>
              <w:ind w:right="73"/>
              <w:jc w:val="right"/>
              <w:rPr>
                <w:sz w:val="16"/>
              </w:rPr>
            </w:pPr>
            <w:r>
              <w:rPr>
                <w:sz w:val="16"/>
              </w:rPr>
              <w:t>₡3</w:t>
            </w:r>
            <w:r>
              <w:rPr>
                <w:spacing w:val="-6"/>
                <w:sz w:val="16"/>
              </w:rPr>
              <w:t> </w:t>
            </w:r>
            <w:r>
              <w:rPr>
                <w:sz w:val="16"/>
              </w:rPr>
              <w:t>200</w:t>
            </w:r>
            <w:r>
              <w:rPr>
                <w:spacing w:val="-1"/>
                <w:sz w:val="16"/>
              </w:rPr>
              <w:t> </w:t>
            </w:r>
            <w:r>
              <w:rPr>
                <w:sz w:val="16"/>
              </w:rPr>
              <w:t>000</w:t>
            </w:r>
            <w:r>
              <w:rPr>
                <w:spacing w:val="-2"/>
                <w:sz w:val="16"/>
              </w:rPr>
              <w:t> </w:t>
            </w:r>
            <w:r>
              <w:rPr>
                <w:spacing w:val="-5"/>
                <w:sz w:val="16"/>
              </w:rPr>
              <w:t>000</w:t>
            </w:r>
          </w:p>
        </w:tc>
      </w:tr>
      <w:tr>
        <w:trPr>
          <w:trHeight w:val="494" w:hRule="atLeast"/>
        </w:trPr>
        <w:tc>
          <w:tcPr>
            <w:tcW w:w="1695" w:type="dxa"/>
          </w:tcPr>
          <w:p>
            <w:pPr>
              <w:pStyle w:val="TableParagraph"/>
              <w:spacing w:before="61"/>
              <w:ind w:left="72"/>
              <w:rPr>
                <w:b/>
                <w:sz w:val="16"/>
              </w:rPr>
            </w:pPr>
            <w:r>
              <w:rPr>
                <w:b/>
                <w:sz w:val="16"/>
              </w:rPr>
              <w:t>Actividad</w:t>
            </w:r>
            <w:r>
              <w:rPr>
                <w:b/>
                <w:spacing w:val="-11"/>
                <w:sz w:val="16"/>
              </w:rPr>
              <w:t> </w:t>
            </w:r>
            <w:r>
              <w:rPr>
                <w:b/>
                <w:spacing w:val="-4"/>
                <w:sz w:val="16"/>
              </w:rPr>
              <w:t>PPPS</w:t>
            </w:r>
          </w:p>
          <w:p>
            <w:pPr>
              <w:pStyle w:val="TableParagraph"/>
              <w:spacing w:before="3"/>
              <w:ind w:left="72"/>
              <w:rPr>
                <w:sz w:val="16"/>
              </w:rPr>
            </w:pPr>
            <w:r>
              <w:rPr>
                <w:b/>
                <w:sz w:val="16"/>
              </w:rPr>
              <w:t>1.2.5:</w:t>
            </w:r>
            <w:r>
              <w:rPr>
                <w:b/>
                <w:spacing w:val="-11"/>
                <w:sz w:val="16"/>
              </w:rPr>
              <w:t> </w:t>
            </w:r>
            <w:r>
              <w:rPr>
                <w:spacing w:val="-2"/>
                <w:sz w:val="16"/>
              </w:rPr>
              <w:t>Otorgamiento</w:t>
            </w:r>
          </w:p>
        </w:tc>
        <w:tc>
          <w:tcPr>
            <w:tcW w:w="1280" w:type="dxa"/>
          </w:tcPr>
          <w:p>
            <w:pPr>
              <w:pStyle w:val="TableParagraph"/>
              <w:spacing w:line="244" w:lineRule="auto" w:before="61"/>
              <w:ind w:left="72" w:right="327"/>
              <w:rPr>
                <w:sz w:val="16"/>
              </w:rPr>
            </w:pPr>
            <w:r>
              <w:rPr>
                <w:sz w:val="16"/>
              </w:rPr>
              <w:t>Cantidad</w:t>
            </w:r>
            <w:r>
              <w:rPr>
                <w:spacing w:val="-12"/>
                <w:sz w:val="16"/>
              </w:rPr>
              <w:t> </w:t>
            </w:r>
            <w:r>
              <w:rPr>
                <w:sz w:val="16"/>
              </w:rPr>
              <w:t>de </w:t>
            </w:r>
            <w:r>
              <w:rPr>
                <w:spacing w:val="-2"/>
                <w:sz w:val="16"/>
              </w:rPr>
              <w:t>sujetos</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spacing w:before="157"/>
              <w:ind w:right="61"/>
              <w:jc w:val="right"/>
              <w:rPr>
                <w:sz w:val="16"/>
              </w:rPr>
            </w:pPr>
            <w:r>
              <w:rPr>
                <w:spacing w:val="-10"/>
                <w:sz w:val="16"/>
              </w:rPr>
              <w:t>6</w:t>
            </w:r>
          </w:p>
        </w:tc>
        <w:tc>
          <w:tcPr>
            <w:tcW w:w="1494" w:type="dxa"/>
          </w:tcPr>
          <w:p>
            <w:pPr>
              <w:pStyle w:val="TableParagraph"/>
              <w:spacing w:before="157"/>
              <w:ind w:right="73"/>
              <w:jc w:val="right"/>
              <w:rPr>
                <w:sz w:val="16"/>
              </w:rPr>
            </w:pPr>
            <w:r>
              <w:rPr>
                <w:sz w:val="16"/>
              </w:rPr>
              <w:t>₡413</w:t>
            </w:r>
            <w:r>
              <w:rPr>
                <w:spacing w:val="-5"/>
                <w:sz w:val="16"/>
              </w:rPr>
              <w:t> </w:t>
            </w:r>
            <w:r>
              <w:rPr>
                <w:sz w:val="16"/>
              </w:rPr>
              <w:t>142</w:t>
            </w:r>
            <w:r>
              <w:rPr>
                <w:spacing w:val="-4"/>
                <w:sz w:val="16"/>
              </w:rPr>
              <w:t> </w:t>
            </w:r>
            <w:r>
              <w:rPr>
                <w:spacing w:val="-5"/>
                <w:sz w:val="16"/>
              </w:rPr>
              <w:t>595</w:t>
            </w:r>
          </w:p>
        </w:tc>
      </w:tr>
    </w:tbl>
    <w:p>
      <w:pPr>
        <w:pStyle w:val="TableParagraph"/>
        <w:spacing w:after="0"/>
        <w:jc w:val="right"/>
        <w:rPr>
          <w:sz w:val="16"/>
        </w:rPr>
        <w:sectPr>
          <w:pgSz w:w="15840" w:h="12240" w:orient="landscape"/>
          <w:pgMar w:header="0" w:footer="1806" w:top="700" w:bottom="3518"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80"/>
        <w:gridCol w:w="1275"/>
        <w:gridCol w:w="1561"/>
        <w:gridCol w:w="1134"/>
        <w:gridCol w:w="1561"/>
        <w:gridCol w:w="1277"/>
        <w:gridCol w:w="1700"/>
        <w:gridCol w:w="1345"/>
        <w:gridCol w:w="1494"/>
      </w:tblGrid>
      <w:tr>
        <w:trPr>
          <w:trHeight w:val="316" w:hRule="atLeast"/>
        </w:trPr>
        <w:tc>
          <w:tcPr>
            <w:tcW w:w="1695" w:type="dxa"/>
            <w:vMerge w:val="restart"/>
            <w:tcBorders>
              <w:bottom w:val="nil"/>
            </w:tcBorders>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80" w:type="dxa"/>
            <w:vMerge w:val="restart"/>
            <w:tcBorders>
              <w:bottom w:val="nil"/>
            </w:tcBorders>
            <w:shd w:val="clear" w:color="auto" w:fill="F1F1F1"/>
          </w:tcPr>
          <w:p>
            <w:pPr>
              <w:pStyle w:val="TableParagraph"/>
              <w:spacing w:line="183" w:lineRule="exact"/>
              <w:ind w:left="278"/>
              <w:rPr>
                <w:b/>
                <w:sz w:val="16"/>
              </w:rPr>
            </w:pPr>
            <w:r>
              <w:rPr>
                <w:b/>
                <w:spacing w:val="-2"/>
                <w:sz w:val="16"/>
              </w:rPr>
              <w:t>Indicador</w:t>
            </w:r>
          </w:p>
        </w:tc>
        <w:tc>
          <w:tcPr>
            <w:tcW w:w="2836" w:type="dxa"/>
            <w:gridSpan w:val="2"/>
            <w:shd w:val="clear" w:color="auto" w:fill="F1F1F1"/>
          </w:tcPr>
          <w:p>
            <w:pPr>
              <w:pStyle w:val="TableParagraph"/>
              <w:spacing w:line="183" w:lineRule="exact"/>
              <w:ind w:left="6"/>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left="2"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left="2"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bottom w:val="nil"/>
            </w:tcBorders>
            <w:shd w:val="clear" w:color="auto" w:fill="F1F1F1"/>
          </w:tcPr>
          <w:p>
            <w:pPr>
              <w:rPr>
                <w:sz w:val="2"/>
                <w:szCs w:val="2"/>
              </w:rPr>
            </w:pPr>
          </w:p>
        </w:tc>
        <w:tc>
          <w:tcPr>
            <w:tcW w:w="1280" w:type="dxa"/>
            <w:vMerge/>
            <w:tcBorders>
              <w:top w:val="nil"/>
              <w:bottom w:val="nil"/>
            </w:tcBorders>
            <w:shd w:val="clear" w:color="auto" w:fill="F1F1F1"/>
          </w:tcPr>
          <w:p>
            <w:pPr>
              <w:rPr>
                <w:sz w:val="2"/>
                <w:szCs w:val="2"/>
              </w:rPr>
            </w:pPr>
          </w:p>
        </w:tc>
        <w:tc>
          <w:tcPr>
            <w:tcW w:w="1275" w:type="dxa"/>
            <w:shd w:val="clear" w:color="auto" w:fill="F1F1F1"/>
          </w:tcPr>
          <w:p>
            <w:pPr>
              <w:pStyle w:val="TableParagraph"/>
              <w:spacing w:line="182" w:lineRule="exact" w:before="167"/>
              <w:ind w:left="174"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99"/>
              <w:jc w:val="center"/>
              <w:rPr>
                <w:b/>
                <w:sz w:val="16"/>
              </w:rPr>
            </w:pPr>
            <w:r>
              <w:rPr>
                <w:b/>
                <w:spacing w:val="-10"/>
                <w:sz w:val="16"/>
              </w:rPr>
              <w:t>¢</w:t>
            </w:r>
          </w:p>
        </w:tc>
        <w:tc>
          <w:tcPr>
            <w:tcW w:w="1134" w:type="dxa"/>
            <w:shd w:val="clear" w:color="auto" w:fill="F1F1F1"/>
          </w:tcPr>
          <w:p>
            <w:pPr>
              <w:pStyle w:val="TableParagraph"/>
              <w:spacing w:line="182" w:lineRule="exact" w:before="167"/>
              <w:ind w:left="99"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277" w:type="dxa"/>
            <w:shd w:val="clear" w:color="auto" w:fill="F1F1F1"/>
          </w:tcPr>
          <w:p>
            <w:pPr>
              <w:pStyle w:val="TableParagraph"/>
              <w:spacing w:line="182" w:lineRule="exact" w:before="167"/>
              <w:ind w:left="170"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5"/>
              <w:jc w:val="center"/>
              <w:rPr>
                <w:b/>
                <w:sz w:val="16"/>
              </w:rPr>
            </w:pPr>
            <w:r>
              <w:rPr>
                <w:b/>
                <w:spacing w:val="-10"/>
                <w:sz w:val="16"/>
              </w:rPr>
              <w:t>¢</w:t>
            </w:r>
          </w:p>
        </w:tc>
        <w:tc>
          <w:tcPr>
            <w:tcW w:w="1345" w:type="dxa"/>
            <w:shd w:val="clear" w:color="auto" w:fill="F1F1F1"/>
          </w:tcPr>
          <w:p>
            <w:pPr>
              <w:pStyle w:val="TableParagraph"/>
              <w:spacing w:line="182" w:lineRule="exact" w:before="167"/>
              <w:ind w:left="208"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left="2" w:right="9"/>
              <w:jc w:val="center"/>
              <w:rPr>
                <w:b/>
                <w:sz w:val="16"/>
              </w:rPr>
            </w:pPr>
            <w:r>
              <w:rPr>
                <w:b/>
                <w:spacing w:val="-10"/>
                <w:sz w:val="16"/>
              </w:rPr>
              <w:t>¢</w:t>
            </w:r>
          </w:p>
        </w:tc>
      </w:tr>
      <w:tr>
        <w:trPr>
          <w:trHeight w:val="1656" w:hRule="atLeast"/>
        </w:trPr>
        <w:tc>
          <w:tcPr>
            <w:tcW w:w="1695" w:type="dxa"/>
            <w:tcBorders>
              <w:top w:val="nil"/>
            </w:tcBorders>
          </w:tcPr>
          <w:p>
            <w:pPr>
              <w:pStyle w:val="TableParagraph"/>
              <w:ind w:left="72"/>
              <w:rPr>
                <w:sz w:val="16"/>
              </w:rPr>
            </w:pPr>
            <w:r>
              <w:rPr>
                <w:sz w:val="16"/>
              </w:rPr>
              <w:t>del subsidio de Proyectos Socio Productivos para sujetos</w:t>
            </w:r>
            <w:r>
              <w:rPr>
                <w:spacing w:val="-12"/>
                <w:sz w:val="16"/>
              </w:rPr>
              <w:t> </w:t>
            </w:r>
            <w:r>
              <w:rPr>
                <w:sz w:val="16"/>
              </w:rPr>
              <w:t>de</w:t>
            </w:r>
            <w:r>
              <w:rPr>
                <w:spacing w:val="-11"/>
                <w:sz w:val="16"/>
              </w:rPr>
              <w:t> </w:t>
            </w:r>
            <w:r>
              <w:rPr>
                <w:sz w:val="16"/>
              </w:rPr>
              <w:t>derecho privado para el desarrollo o fortalecimiento de</w:t>
            </w:r>
          </w:p>
          <w:p>
            <w:pPr>
              <w:pStyle w:val="TableParagraph"/>
              <w:spacing w:line="182" w:lineRule="exact"/>
              <w:ind w:left="72" w:right="94"/>
              <w:rPr>
                <w:sz w:val="16"/>
              </w:rPr>
            </w:pPr>
            <w:r>
              <w:rPr>
                <w:spacing w:val="-2"/>
                <w:sz w:val="16"/>
              </w:rPr>
              <w:t>actividades productivas</w:t>
            </w:r>
            <w:r>
              <w:rPr>
                <w:spacing w:val="-4"/>
                <w:sz w:val="16"/>
              </w:rPr>
              <w:t> </w:t>
            </w:r>
            <w:r>
              <w:rPr>
                <w:spacing w:val="-2"/>
                <w:sz w:val="16"/>
              </w:rPr>
              <w:t>grupales.</w:t>
            </w:r>
          </w:p>
        </w:tc>
        <w:tc>
          <w:tcPr>
            <w:tcW w:w="1280" w:type="dxa"/>
            <w:tcBorders>
              <w:top w:val="nil"/>
            </w:tcBorders>
          </w:tcPr>
          <w:p>
            <w:pPr>
              <w:pStyle w:val="TableParagraph"/>
              <w:ind w:left="72" w:right="80"/>
              <w:rPr>
                <w:sz w:val="16"/>
              </w:rPr>
            </w:pPr>
            <w:r>
              <w:rPr>
                <w:sz w:val="16"/>
              </w:rPr>
              <w:t>privados con subsidio</w:t>
            </w:r>
            <w:r>
              <w:rPr>
                <w:spacing w:val="-12"/>
                <w:sz w:val="16"/>
              </w:rPr>
              <w:t> </w:t>
            </w:r>
            <w:r>
              <w:rPr>
                <w:sz w:val="16"/>
              </w:rPr>
              <w:t>para</w:t>
            </w:r>
            <w:r>
              <w:rPr>
                <w:spacing w:val="-11"/>
                <w:sz w:val="16"/>
              </w:rPr>
              <w:t> </w:t>
            </w:r>
            <w:r>
              <w:rPr>
                <w:sz w:val="16"/>
              </w:rPr>
              <w:t>el desarrollo o </w:t>
            </w:r>
            <w:r>
              <w:rPr>
                <w:spacing w:val="-2"/>
                <w:sz w:val="16"/>
              </w:rPr>
              <w:t>fortalecimiento </w:t>
            </w:r>
            <w:r>
              <w:rPr>
                <w:sz w:val="16"/>
              </w:rPr>
              <w:t>de actividades </w:t>
            </w:r>
            <w:r>
              <w:rPr>
                <w:spacing w:val="-2"/>
                <w:sz w:val="16"/>
              </w:rPr>
              <w:t>productivas grupales.</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rFonts w:ascii="Times New Roman"/>
                <w:sz w:val="16"/>
              </w:rPr>
            </w:pPr>
          </w:p>
        </w:tc>
        <w:tc>
          <w:tcPr>
            <w:tcW w:w="1494" w:type="dxa"/>
          </w:tcPr>
          <w:p>
            <w:pPr>
              <w:pStyle w:val="TableParagraph"/>
              <w:rPr>
                <w:rFonts w:ascii="Times New Roman"/>
                <w:sz w:val="16"/>
              </w:rPr>
            </w:pPr>
          </w:p>
        </w:tc>
      </w:tr>
      <w:tr>
        <w:trPr>
          <w:trHeight w:val="498" w:hRule="atLeast"/>
        </w:trPr>
        <w:tc>
          <w:tcPr>
            <w:tcW w:w="14322" w:type="dxa"/>
            <w:gridSpan w:val="10"/>
            <w:shd w:val="clear" w:color="auto" w:fill="EFF8F9"/>
          </w:tcPr>
          <w:p>
            <w:pPr>
              <w:pStyle w:val="TableParagraph"/>
              <w:spacing w:before="3"/>
              <w:ind w:left="72" w:right="99"/>
              <w:rPr>
                <w:b/>
                <w:sz w:val="16"/>
              </w:rPr>
            </w:pPr>
            <w:r>
              <w:rPr>
                <w:b/>
                <w:sz w:val="16"/>
              </w:rPr>
              <w:t>Producto</w:t>
            </w:r>
            <w:r>
              <w:rPr>
                <w:b/>
                <w:spacing w:val="-1"/>
                <w:sz w:val="16"/>
              </w:rPr>
              <w:t> </w:t>
            </w:r>
            <w:r>
              <w:rPr>
                <w:b/>
                <w:sz w:val="16"/>
              </w:rPr>
              <w:t>PPPS 1.3: Eficiente</w:t>
            </w:r>
            <w:r>
              <w:rPr>
                <w:b/>
                <w:spacing w:val="-2"/>
                <w:sz w:val="16"/>
              </w:rPr>
              <w:t> </w:t>
            </w:r>
            <w:r>
              <w:rPr>
                <w:b/>
                <w:sz w:val="16"/>
              </w:rPr>
              <w:t>administración</w:t>
            </w:r>
            <w:r>
              <w:rPr>
                <w:b/>
                <w:spacing w:val="-5"/>
                <w:sz w:val="16"/>
              </w:rPr>
              <w:t> </w:t>
            </w:r>
            <w:r>
              <w:rPr>
                <w:b/>
                <w:sz w:val="16"/>
              </w:rPr>
              <w:t>de</w:t>
            </w:r>
            <w:r>
              <w:rPr>
                <w:b/>
                <w:spacing w:val="-6"/>
                <w:sz w:val="16"/>
              </w:rPr>
              <w:t> </w:t>
            </w:r>
            <w:r>
              <w:rPr>
                <w:b/>
                <w:sz w:val="16"/>
              </w:rPr>
              <w:t>los</w:t>
            </w:r>
            <w:r>
              <w:rPr>
                <w:b/>
                <w:spacing w:val="-6"/>
                <w:sz w:val="16"/>
              </w:rPr>
              <w:t> </w:t>
            </w:r>
            <w:r>
              <w:rPr>
                <w:b/>
                <w:sz w:val="16"/>
              </w:rPr>
              <w:t>recursos</w:t>
            </w:r>
            <w:r>
              <w:rPr>
                <w:b/>
                <w:spacing w:val="-2"/>
                <w:sz w:val="16"/>
              </w:rPr>
              <w:t> </w:t>
            </w:r>
            <w:r>
              <w:rPr>
                <w:b/>
                <w:sz w:val="16"/>
              </w:rPr>
              <w:t>del</w:t>
            </w:r>
            <w:r>
              <w:rPr>
                <w:b/>
                <w:spacing w:val="-1"/>
                <w:sz w:val="16"/>
              </w:rPr>
              <w:t> </w:t>
            </w:r>
            <w:r>
              <w:rPr>
                <w:b/>
                <w:sz w:val="16"/>
              </w:rPr>
              <w:t>gasto</w:t>
            </w:r>
            <w:r>
              <w:rPr>
                <w:b/>
                <w:spacing w:val="-1"/>
                <w:sz w:val="16"/>
              </w:rPr>
              <w:t> </w:t>
            </w:r>
            <w:r>
              <w:rPr>
                <w:b/>
                <w:sz w:val="16"/>
              </w:rPr>
              <w:t>administrativo</w:t>
            </w:r>
            <w:r>
              <w:rPr>
                <w:b/>
                <w:spacing w:val="-1"/>
                <w:sz w:val="16"/>
              </w:rPr>
              <w:t> </w:t>
            </w:r>
            <w:r>
              <w:rPr>
                <w:b/>
                <w:sz w:val="16"/>
              </w:rPr>
              <w:t>operativo</w:t>
            </w:r>
            <w:r>
              <w:rPr>
                <w:b/>
                <w:spacing w:val="-1"/>
                <w:sz w:val="16"/>
              </w:rPr>
              <w:t> </w:t>
            </w:r>
            <w:r>
              <w:rPr>
                <w:b/>
                <w:sz w:val="16"/>
              </w:rPr>
              <w:t>que</w:t>
            </w:r>
            <w:r>
              <w:rPr>
                <w:b/>
                <w:spacing w:val="-2"/>
                <w:sz w:val="16"/>
              </w:rPr>
              <w:t> </w:t>
            </w:r>
            <w:r>
              <w:rPr>
                <w:b/>
                <w:sz w:val="16"/>
              </w:rPr>
              <w:t>contribuya</w:t>
            </w:r>
            <w:r>
              <w:rPr>
                <w:b/>
                <w:spacing w:val="-6"/>
                <w:sz w:val="16"/>
              </w:rPr>
              <w:t> </w:t>
            </w:r>
            <w:r>
              <w:rPr>
                <w:b/>
                <w:sz w:val="16"/>
              </w:rPr>
              <w:t>a</w:t>
            </w:r>
            <w:r>
              <w:rPr>
                <w:b/>
                <w:spacing w:val="-2"/>
                <w:sz w:val="16"/>
              </w:rPr>
              <w:t> </w:t>
            </w:r>
            <w:r>
              <w:rPr>
                <w:b/>
                <w:sz w:val="16"/>
              </w:rPr>
              <w:t>solventar</w:t>
            </w:r>
            <w:r>
              <w:rPr>
                <w:b/>
                <w:spacing w:val="-4"/>
                <w:sz w:val="16"/>
              </w:rPr>
              <w:t> </w:t>
            </w:r>
            <w:r>
              <w:rPr>
                <w:b/>
                <w:sz w:val="16"/>
              </w:rPr>
              <w:t>necesidades</w:t>
            </w:r>
            <w:r>
              <w:rPr>
                <w:b/>
                <w:spacing w:val="-2"/>
                <w:sz w:val="16"/>
              </w:rPr>
              <w:t> </w:t>
            </w:r>
            <w:r>
              <w:rPr>
                <w:b/>
                <w:sz w:val="16"/>
              </w:rPr>
              <w:t>administrativas,</w:t>
            </w:r>
            <w:r>
              <w:rPr>
                <w:b/>
                <w:spacing w:val="-1"/>
                <w:sz w:val="16"/>
              </w:rPr>
              <w:t> </w:t>
            </w:r>
            <w:r>
              <w:rPr>
                <w:b/>
                <w:sz w:val="16"/>
              </w:rPr>
              <w:t>de</w:t>
            </w:r>
            <w:r>
              <w:rPr>
                <w:b/>
                <w:spacing w:val="-2"/>
                <w:sz w:val="16"/>
              </w:rPr>
              <w:t> </w:t>
            </w:r>
            <w:r>
              <w:rPr>
                <w:b/>
                <w:sz w:val="16"/>
              </w:rPr>
              <w:t>espacio</w:t>
            </w:r>
            <w:r>
              <w:rPr>
                <w:b/>
                <w:spacing w:val="-5"/>
                <w:sz w:val="16"/>
              </w:rPr>
              <w:t> </w:t>
            </w:r>
            <w:r>
              <w:rPr>
                <w:b/>
                <w:sz w:val="16"/>
              </w:rPr>
              <w:t>y</w:t>
            </w:r>
            <w:r>
              <w:rPr>
                <w:b/>
                <w:spacing w:val="-2"/>
                <w:sz w:val="16"/>
              </w:rPr>
              <w:t> </w:t>
            </w:r>
            <w:r>
              <w:rPr>
                <w:b/>
                <w:sz w:val="16"/>
              </w:rPr>
              <w:t>otros requerimientos del programa Protección y Promoción Social.</w:t>
            </w:r>
          </w:p>
        </w:tc>
      </w:tr>
      <w:tr>
        <w:trPr>
          <w:trHeight w:val="2208" w:hRule="atLeast"/>
        </w:trPr>
        <w:tc>
          <w:tcPr>
            <w:tcW w:w="1695" w:type="dxa"/>
          </w:tcPr>
          <w:p>
            <w:pPr>
              <w:pStyle w:val="TableParagraph"/>
              <w:spacing w:line="182" w:lineRule="exact"/>
              <w:ind w:left="72"/>
              <w:rPr>
                <w:b/>
                <w:sz w:val="16"/>
              </w:rPr>
            </w:pPr>
            <w:r>
              <w:rPr>
                <w:b/>
                <w:sz w:val="16"/>
              </w:rPr>
              <w:t>Actividad</w:t>
            </w:r>
            <w:r>
              <w:rPr>
                <w:b/>
                <w:spacing w:val="-11"/>
                <w:sz w:val="16"/>
              </w:rPr>
              <w:t> </w:t>
            </w:r>
            <w:r>
              <w:rPr>
                <w:b/>
                <w:spacing w:val="-4"/>
                <w:sz w:val="16"/>
              </w:rPr>
              <w:t>PPPS</w:t>
            </w:r>
          </w:p>
          <w:p>
            <w:pPr>
              <w:pStyle w:val="TableParagraph"/>
              <w:ind w:left="72" w:right="128"/>
              <w:rPr>
                <w:sz w:val="16"/>
              </w:rPr>
            </w:pPr>
            <w:r>
              <w:rPr>
                <w:b/>
                <w:sz w:val="16"/>
              </w:rPr>
              <w:t>1.3.1: </w:t>
            </w:r>
            <w:r>
              <w:rPr>
                <w:sz w:val="16"/>
              </w:rPr>
              <w:t>Financiar las llamadas</w:t>
            </w:r>
            <w:r>
              <w:rPr>
                <w:spacing w:val="-9"/>
                <w:sz w:val="16"/>
              </w:rPr>
              <w:t> </w:t>
            </w:r>
            <w:r>
              <w:rPr>
                <w:sz w:val="16"/>
              </w:rPr>
              <w:t>telefónicas que realizan las personas usuarias</w:t>
            </w:r>
            <w:r>
              <w:rPr>
                <w:spacing w:val="-2"/>
                <w:sz w:val="16"/>
              </w:rPr>
              <w:t> </w:t>
            </w:r>
            <w:r>
              <w:rPr>
                <w:sz w:val="16"/>
              </w:rPr>
              <w:t>a través</w:t>
            </w:r>
            <w:r>
              <w:rPr>
                <w:spacing w:val="-12"/>
                <w:sz w:val="16"/>
              </w:rPr>
              <w:t> </w:t>
            </w:r>
            <w:r>
              <w:rPr>
                <w:sz w:val="16"/>
              </w:rPr>
              <w:t>de</w:t>
            </w:r>
            <w:r>
              <w:rPr>
                <w:spacing w:val="-11"/>
                <w:sz w:val="16"/>
              </w:rPr>
              <w:t> </w:t>
            </w:r>
            <w:r>
              <w:rPr>
                <w:sz w:val="16"/>
              </w:rPr>
              <w:t>la</w:t>
            </w:r>
            <w:r>
              <w:rPr>
                <w:spacing w:val="-11"/>
                <w:sz w:val="16"/>
              </w:rPr>
              <w:t> </w:t>
            </w:r>
            <w:r>
              <w:rPr>
                <w:sz w:val="16"/>
              </w:rPr>
              <w:t>Mesa</w:t>
            </w:r>
            <w:r>
              <w:rPr>
                <w:spacing w:val="-11"/>
                <w:sz w:val="16"/>
              </w:rPr>
              <w:t> </w:t>
            </w:r>
            <w:r>
              <w:rPr>
                <w:sz w:val="16"/>
              </w:rPr>
              <w:t>d</w:t>
            </w:r>
            <w:r>
              <w:rPr>
                <w:sz w:val="16"/>
              </w:rPr>
              <w:t>e</w:t>
            </w:r>
            <w:r>
              <w:rPr>
                <w:sz w:val="16"/>
              </w:rPr>
              <w:t> Ayuda del SACI, en el marco del acceso gratuito de la plataforma virtual,</w:t>
            </w:r>
          </w:p>
          <w:p>
            <w:pPr>
              <w:pStyle w:val="TableParagraph"/>
              <w:spacing w:line="182" w:lineRule="exact"/>
              <w:ind w:left="72" w:right="192"/>
              <w:rPr>
                <w:sz w:val="16"/>
              </w:rPr>
            </w:pPr>
            <w:r>
              <w:rPr>
                <w:spacing w:val="-2"/>
                <w:sz w:val="16"/>
              </w:rPr>
              <w:t>centralizada</w:t>
            </w:r>
            <w:r>
              <w:rPr>
                <w:spacing w:val="-10"/>
                <w:sz w:val="16"/>
              </w:rPr>
              <w:t> </w:t>
            </w:r>
            <w:r>
              <w:rPr>
                <w:spacing w:val="-2"/>
                <w:sz w:val="16"/>
              </w:rPr>
              <w:t>y remota.</w:t>
            </w:r>
          </w:p>
        </w:tc>
        <w:tc>
          <w:tcPr>
            <w:tcW w:w="1280"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72" w:right="96"/>
              <w:rPr>
                <w:sz w:val="16"/>
              </w:rPr>
            </w:pPr>
            <w:r>
              <w:rPr>
                <w:sz w:val="16"/>
              </w:rPr>
              <w:t>Porcentaje de </w:t>
            </w:r>
            <w:r>
              <w:rPr>
                <w:spacing w:val="-2"/>
                <w:sz w:val="16"/>
              </w:rPr>
              <w:t>llamadas telefónicas financiadas</w:t>
            </w:r>
            <w:r>
              <w:rPr>
                <w:spacing w:val="-10"/>
                <w:sz w:val="16"/>
              </w:rPr>
              <w:t> </w:t>
            </w:r>
            <w:r>
              <w:rPr>
                <w:spacing w:val="-2"/>
                <w:sz w:val="16"/>
              </w:rPr>
              <w:t>por </w:t>
            </w:r>
            <w:r>
              <w:rPr>
                <w:sz w:val="16"/>
              </w:rPr>
              <w:t>el</w:t>
            </w:r>
            <w:r>
              <w:rPr>
                <w:spacing w:val="-2"/>
                <w:sz w:val="16"/>
              </w:rPr>
              <w:t> </w:t>
            </w:r>
            <w:r>
              <w:rPr>
                <w:sz w:val="16"/>
              </w:rPr>
              <w:t>IMAS.</w:t>
            </w:r>
          </w:p>
        </w:tc>
        <w:tc>
          <w:tcPr>
            <w:tcW w:w="127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59"/>
              <w:jc w:val="right"/>
              <w:rPr>
                <w:sz w:val="16"/>
              </w:rPr>
            </w:pPr>
            <w:r>
              <w:rPr>
                <w:spacing w:val="-4"/>
                <w:sz w:val="16"/>
              </w:rPr>
              <w:t>100%</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66"/>
              <w:jc w:val="right"/>
              <w:rPr>
                <w:sz w:val="16"/>
              </w:rPr>
            </w:pPr>
            <w:r>
              <w:rPr>
                <w:sz w:val="16"/>
              </w:rPr>
              <w:t>₡15</w:t>
            </w:r>
            <w:r>
              <w:rPr>
                <w:spacing w:val="-3"/>
                <w:sz w:val="16"/>
              </w:rPr>
              <w:t> </w:t>
            </w:r>
            <w:r>
              <w:rPr>
                <w:sz w:val="16"/>
              </w:rPr>
              <w:t>000</w:t>
            </w:r>
            <w:r>
              <w:rPr>
                <w:spacing w:val="-3"/>
                <w:sz w:val="16"/>
              </w:rPr>
              <w:t> </w:t>
            </w:r>
            <w:r>
              <w:rPr>
                <w:spacing w:val="-5"/>
                <w:sz w:val="16"/>
              </w:rPr>
              <w:t>000</w:t>
            </w: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65"/>
              <w:jc w:val="right"/>
              <w:rPr>
                <w:sz w:val="16"/>
              </w:rPr>
            </w:pPr>
            <w:r>
              <w:rPr>
                <w:spacing w:val="-4"/>
                <w:sz w:val="16"/>
              </w:rPr>
              <w:t>100%</w:t>
            </w:r>
          </w:p>
        </w:tc>
        <w:tc>
          <w:tcPr>
            <w:tcW w:w="156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67"/>
              <w:jc w:val="right"/>
              <w:rPr>
                <w:sz w:val="16"/>
              </w:rPr>
            </w:pPr>
            <w:r>
              <w:rPr>
                <w:sz w:val="16"/>
              </w:rPr>
              <w:t>₡30</w:t>
            </w:r>
            <w:r>
              <w:rPr>
                <w:spacing w:val="-3"/>
                <w:sz w:val="16"/>
              </w:rPr>
              <w:t> </w:t>
            </w:r>
            <w:r>
              <w:rPr>
                <w:sz w:val="16"/>
              </w:rPr>
              <w:t>000</w:t>
            </w:r>
            <w:r>
              <w:rPr>
                <w:spacing w:val="-3"/>
                <w:sz w:val="16"/>
              </w:rPr>
              <w:t> </w:t>
            </w:r>
            <w:r>
              <w:rPr>
                <w:spacing w:val="-5"/>
                <w:sz w:val="16"/>
              </w:rPr>
              <w:t>000</w:t>
            </w: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66"/>
              <w:jc w:val="right"/>
              <w:rPr>
                <w:sz w:val="16"/>
              </w:rPr>
            </w:pPr>
            <w:r>
              <w:rPr>
                <w:spacing w:val="-4"/>
                <w:sz w:val="16"/>
              </w:rPr>
              <w:t>100%</w:t>
            </w:r>
          </w:p>
        </w:tc>
        <w:tc>
          <w:tcPr>
            <w:tcW w:w="1700"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67"/>
              <w:jc w:val="right"/>
              <w:rPr>
                <w:sz w:val="16"/>
              </w:rPr>
            </w:pPr>
            <w:r>
              <w:rPr>
                <w:sz w:val="16"/>
              </w:rPr>
              <w:t>₡45</w:t>
            </w:r>
            <w:r>
              <w:rPr>
                <w:spacing w:val="-3"/>
                <w:sz w:val="16"/>
              </w:rPr>
              <w:t> </w:t>
            </w:r>
            <w:r>
              <w:rPr>
                <w:sz w:val="16"/>
              </w:rPr>
              <w:t>000</w:t>
            </w:r>
            <w:r>
              <w:rPr>
                <w:spacing w:val="-3"/>
                <w:sz w:val="16"/>
              </w:rPr>
              <w:t> </w:t>
            </w:r>
            <w:r>
              <w:rPr>
                <w:spacing w:val="-5"/>
                <w:sz w:val="16"/>
              </w:rPr>
              <w:t>000</w:t>
            </w: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62"/>
              <w:jc w:val="right"/>
              <w:rPr>
                <w:sz w:val="16"/>
              </w:rPr>
            </w:pPr>
            <w:r>
              <w:rPr>
                <w:spacing w:val="-4"/>
                <w:sz w:val="16"/>
              </w:rPr>
              <w:t>100%</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73"/>
              <w:jc w:val="right"/>
              <w:rPr>
                <w:sz w:val="16"/>
              </w:rPr>
            </w:pPr>
            <w:r>
              <w:rPr>
                <w:sz w:val="16"/>
              </w:rPr>
              <w:t>₡60</w:t>
            </w:r>
            <w:r>
              <w:rPr>
                <w:spacing w:val="-3"/>
                <w:sz w:val="16"/>
              </w:rPr>
              <w:t> </w:t>
            </w:r>
            <w:r>
              <w:rPr>
                <w:sz w:val="16"/>
              </w:rPr>
              <w:t>000</w:t>
            </w:r>
            <w:r>
              <w:rPr>
                <w:spacing w:val="-3"/>
                <w:sz w:val="16"/>
              </w:rPr>
              <w:t> </w:t>
            </w:r>
            <w:r>
              <w:rPr>
                <w:spacing w:val="-5"/>
                <w:sz w:val="16"/>
              </w:rPr>
              <w:t>000</w:t>
            </w:r>
          </w:p>
        </w:tc>
      </w:tr>
      <w:tr>
        <w:trPr>
          <w:trHeight w:val="1468" w:hRule="atLeast"/>
        </w:trPr>
        <w:tc>
          <w:tcPr>
            <w:tcW w:w="1695" w:type="dxa"/>
          </w:tcPr>
          <w:p>
            <w:pPr>
              <w:pStyle w:val="TableParagraph"/>
              <w:ind w:left="72" w:right="425"/>
              <w:jc w:val="both"/>
              <w:rPr>
                <w:b/>
                <w:sz w:val="16"/>
              </w:rPr>
            </w:pPr>
            <w:r>
              <w:rPr>
                <w:b/>
                <w:spacing w:val="-2"/>
                <w:sz w:val="16"/>
              </w:rPr>
              <w:t>Actividad</w:t>
            </w:r>
            <w:r>
              <w:rPr>
                <w:b/>
                <w:spacing w:val="-10"/>
                <w:sz w:val="16"/>
              </w:rPr>
              <w:t> </w:t>
            </w:r>
            <w:r>
              <w:rPr>
                <w:b/>
                <w:spacing w:val="-2"/>
                <w:sz w:val="16"/>
              </w:rPr>
              <w:t>PPPS 1.3.2:</w:t>
            </w:r>
          </w:p>
          <w:p>
            <w:pPr>
              <w:pStyle w:val="TableParagraph"/>
              <w:ind w:left="72" w:right="246"/>
              <w:jc w:val="both"/>
              <w:rPr>
                <w:sz w:val="16"/>
              </w:rPr>
            </w:pPr>
            <w:r>
              <w:rPr>
                <w:sz w:val="16"/>
              </w:rPr>
              <w:t>Implementación</w:t>
            </w:r>
            <w:r>
              <w:rPr>
                <w:spacing w:val="-12"/>
                <w:sz w:val="16"/>
              </w:rPr>
              <w:t> </w:t>
            </w:r>
            <w:r>
              <w:rPr>
                <w:sz w:val="16"/>
              </w:rPr>
              <w:t>de un</w:t>
            </w:r>
            <w:r>
              <w:rPr>
                <w:spacing w:val="-12"/>
                <w:sz w:val="16"/>
              </w:rPr>
              <w:t> </w:t>
            </w:r>
            <w:r>
              <w:rPr>
                <w:sz w:val="16"/>
              </w:rPr>
              <w:t>sistema</w:t>
            </w:r>
            <w:r>
              <w:rPr>
                <w:spacing w:val="-11"/>
                <w:sz w:val="16"/>
              </w:rPr>
              <w:t> </w:t>
            </w:r>
            <w:r>
              <w:rPr>
                <w:sz w:val="16"/>
              </w:rPr>
              <w:t>de</w:t>
            </w:r>
            <w:r>
              <w:rPr>
                <w:spacing w:val="-11"/>
                <w:sz w:val="16"/>
              </w:rPr>
              <w:t> </w:t>
            </w:r>
            <w:r>
              <w:rPr>
                <w:sz w:val="16"/>
              </w:rPr>
              <w:t>citas </w:t>
            </w:r>
            <w:r>
              <w:rPr>
                <w:spacing w:val="-2"/>
                <w:sz w:val="16"/>
              </w:rPr>
              <w:t>integrado</w:t>
            </w:r>
            <w:r>
              <w:rPr>
                <w:spacing w:val="-10"/>
                <w:sz w:val="16"/>
              </w:rPr>
              <w:t> </w:t>
            </w:r>
            <w:r>
              <w:rPr>
                <w:spacing w:val="-2"/>
                <w:sz w:val="16"/>
              </w:rPr>
              <w:t>mediante </w:t>
            </w:r>
            <w:r>
              <w:rPr>
                <w:sz w:val="16"/>
              </w:rPr>
              <w:t>un</w:t>
            </w:r>
            <w:r>
              <w:rPr>
                <w:spacing w:val="-2"/>
                <w:sz w:val="16"/>
              </w:rPr>
              <w:t> </w:t>
            </w:r>
            <w:r>
              <w:rPr>
                <w:sz w:val="16"/>
              </w:rPr>
              <w:t>servicio</w:t>
            </w:r>
          </w:p>
          <w:p>
            <w:pPr>
              <w:pStyle w:val="TableParagraph"/>
              <w:spacing w:line="182" w:lineRule="exact"/>
              <w:ind w:left="72" w:right="439"/>
              <w:jc w:val="both"/>
              <w:rPr>
                <w:sz w:val="16"/>
              </w:rPr>
            </w:pPr>
            <w:r>
              <w:rPr>
                <w:sz w:val="16"/>
              </w:rPr>
              <w:t>informático</w:t>
            </w:r>
            <w:r>
              <w:rPr>
                <w:spacing w:val="-12"/>
                <w:sz w:val="16"/>
              </w:rPr>
              <w:t> </w:t>
            </w:r>
            <w:r>
              <w:rPr>
                <w:sz w:val="16"/>
              </w:rPr>
              <w:t>en</w:t>
            </w:r>
            <w:r>
              <w:rPr>
                <w:spacing w:val="-11"/>
                <w:sz w:val="16"/>
              </w:rPr>
              <w:t> </w:t>
            </w:r>
            <w:r>
              <w:rPr>
                <w:sz w:val="16"/>
              </w:rPr>
              <w:t>la </w:t>
            </w:r>
            <w:r>
              <w:rPr>
                <w:spacing w:val="-2"/>
                <w:sz w:val="16"/>
              </w:rPr>
              <w:t>nube.</w:t>
            </w:r>
          </w:p>
        </w:tc>
        <w:tc>
          <w:tcPr>
            <w:tcW w:w="1280" w:type="dxa"/>
          </w:tcPr>
          <w:p>
            <w:pPr>
              <w:pStyle w:val="TableParagraph"/>
              <w:spacing w:before="181"/>
              <w:ind w:left="72" w:right="96"/>
              <w:rPr>
                <w:sz w:val="16"/>
              </w:rPr>
            </w:pPr>
            <w:r>
              <w:rPr>
                <w:sz w:val="16"/>
              </w:rPr>
              <w:t>Porcentaje de </w:t>
            </w:r>
            <w:r>
              <w:rPr>
                <w:spacing w:val="-2"/>
                <w:sz w:val="16"/>
              </w:rPr>
              <w:t>citas</w:t>
            </w:r>
            <w:r>
              <w:rPr>
                <w:spacing w:val="-10"/>
                <w:sz w:val="16"/>
              </w:rPr>
              <w:t> </w:t>
            </w:r>
            <w:r>
              <w:rPr>
                <w:spacing w:val="-2"/>
                <w:sz w:val="16"/>
              </w:rPr>
              <w:t>asignadas </w:t>
            </w:r>
            <w:r>
              <w:rPr>
                <w:sz w:val="16"/>
              </w:rPr>
              <w:t>mediante el Sistema de </w:t>
            </w:r>
            <w:r>
              <w:rPr>
                <w:spacing w:val="-2"/>
                <w:sz w:val="16"/>
              </w:rPr>
              <w:t>Citas institucional.</w:t>
            </w:r>
          </w:p>
        </w:tc>
        <w:tc>
          <w:tcPr>
            <w:tcW w:w="1275" w:type="dxa"/>
          </w:tcPr>
          <w:p>
            <w:pPr>
              <w:pStyle w:val="TableParagraph"/>
              <w:rPr>
                <w:b/>
                <w:sz w:val="16"/>
              </w:rPr>
            </w:pPr>
          </w:p>
          <w:p>
            <w:pPr>
              <w:pStyle w:val="TableParagraph"/>
              <w:rPr>
                <w:b/>
                <w:sz w:val="16"/>
              </w:rPr>
            </w:pPr>
          </w:p>
          <w:p>
            <w:pPr>
              <w:pStyle w:val="TableParagraph"/>
              <w:spacing w:before="90"/>
              <w:rPr>
                <w:b/>
                <w:sz w:val="16"/>
              </w:rPr>
            </w:pPr>
          </w:p>
          <w:p>
            <w:pPr>
              <w:pStyle w:val="TableParagraph"/>
              <w:ind w:right="59"/>
              <w:jc w:val="right"/>
              <w:rPr>
                <w:sz w:val="16"/>
              </w:rPr>
            </w:pPr>
            <w:r>
              <w:rPr>
                <w:spacing w:val="-4"/>
                <w:sz w:val="16"/>
              </w:rPr>
              <w:t>100%</w:t>
            </w:r>
          </w:p>
        </w:tc>
        <w:tc>
          <w:tcPr>
            <w:tcW w:w="1561" w:type="dxa"/>
          </w:tcPr>
          <w:p>
            <w:pPr>
              <w:pStyle w:val="TableParagraph"/>
              <w:rPr>
                <w:b/>
                <w:sz w:val="16"/>
              </w:rPr>
            </w:pPr>
          </w:p>
          <w:p>
            <w:pPr>
              <w:pStyle w:val="TableParagraph"/>
              <w:rPr>
                <w:b/>
                <w:sz w:val="16"/>
              </w:rPr>
            </w:pPr>
          </w:p>
          <w:p>
            <w:pPr>
              <w:pStyle w:val="TableParagraph"/>
              <w:spacing w:before="90"/>
              <w:rPr>
                <w:b/>
                <w:sz w:val="16"/>
              </w:rPr>
            </w:pPr>
          </w:p>
          <w:p>
            <w:pPr>
              <w:pStyle w:val="TableParagraph"/>
              <w:ind w:right="66"/>
              <w:jc w:val="right"/>
              <w:rPr>
                <w:sz w:val="16"/>
              </w:rPr>
            </w:pPr>
            <w:r>
              <w:rPr>
                <w:sz w:val="16"/>
              </w:rPr>
              <w:t>₡10</w:t>
            </w:r>
            <w:r>
              <w:rPr>
                <w:spacing w:val="-3"/>
                <w:sz w:val="16"/>
              </w:rPr>
              <w:t> </w:t>
            </w:r>
            <w:r>
              <w:rPr>
                <w:sz w:val="16"/>
              </w:rPr>
              <w:t>000</w:t>
            </w:r>
            <w:r>
              <w:rPr>
                <w:spacing w:val="-3"/>
                <w:sz w:val="16"/>
              </w:rPr>
              <w:t> </w:t>
            </w:r>
            <w:r>
              <w:rPr>
                <w:spacing w:val="-5"/>
                <w:sz w:val="16"/>
              </w:rPr>
              <w:t>000</w:t>
            </w:r>
          </w:p>
        </w:tc>
        <w:tc>
          <w:tcPr>
            <w:tcW w:w="1134" w:type="dxa"/>
          </w:tcPr>
          <w:p>
            <w:pPr>
              <w:pStyle w:val="TableParagraph"/>
              <w:rPr>
                <w:b/>
                <w:sz w:val="16"/>
              </w:rPr>
            </w:pPr>
          </w:p>
          <w:p>
            <w:pPr>
              <w:pStyle w:val="TableParagraph"/>
              <w:rPr>
                <w:b/>
                <w:sz w:val="16"/>
              </w:rPr>
            </w:pPr>
          </w:p>
          <w:p>
            <w:pPr>
              <w:pStyle w:val="TableParagraph"/>
              <w:spacing w:before="90"/>
              <w:rPr>
                <w:b/>
                <w:sz w:val="16"/>
              </w:rPr>
            </w:pPr>
          </w:p>
          <w:p>
            <w:pPr>
              <w:pStyle w:val="TableParagraph"/>
              <w:ind w:right="65"/>
              <w:jc w:val="right"/>
              <w:rPr>
                <w:sz w:val="16"/>
              </w:rPr>
            </w:pPr>
            <w:r>
              <w:rPr>
                <w:spacing w:val="-4"/>
                <w:sz w:val="16"/>
              </w:rPr>
              <w:t>100%</w:t>
            </w:r>
          </w:p>
        </w:tc>
        <w:tc>
          <w:tcPr>
            <w:tcW w:w="1561" w:type="dxa"/>
          </w:tcPr>
          <w:p>
            <w:pPr>
              <w:pStyle w:val="TableParagraph"/>
              <w:rPr>
                <w:b/>
                <w:sz w:val="16"/>
              </w:rPr>
            </w:pPr>
          </w:p>
          <w:p>
            <w:pPr>
              <w:pStyle w:val="TableParagraph"/>
              <w:rPr>
                <w:b/>
                <w:sz w:val="16"/>
              </w:rPr>
            </w:pPr>
          </w:p>
          <w:p>
            <w:pPr>
              <w:pStyle w:val="TableParagraph"/>
              <w:spacing w:before="90"/>
              <w:rPr>
                <w:b/>
                <w:sz w:val="16"/>
              </w:rPr>
            </w:pPr>
          </w:p>
          <w:p>
            <w:pPr>
              <w:pStyle w:val="TableParagraph"/>
              <w:ind w:right="67"/>
              <w:jc w:val="right"/>
              <w:rPr>
                <w:sz w:val="16"/>
              </w:rPr>
            </w:pPr>
            <w:r>
              <w:rPr>
                <w:sz w:val="16"/>
              </w:rPr>
              <w:t>₡20</w:t>
            </w:r>
            <w:r>
              <w:rPr>
                <w:spacing w:val="-3"/>
                <w:sz w:val="16"/>
              </w:rPr>
              <w:t> </w:t>
            </w:r>
            <w:r>
              <w:rPr>
                <w:sz w:val="16"/>
              </w:rPr>
              <w:t>000</w:t>
            </w:r>
            <w:r>
              <w:rPr>
                <w:spacing w:val="-3"/>
                <w:sz w:val="16"/>
              </w:rPr>
              <w:t> </w:t>
            </w:r>
            <w:r>
              <w:rPr>
                <w:spacing w:val="-5"/>
                <w:sz w:val="16"/>
              </w:rPr>
              <w:t>000</w:t>
            </w:r>
          </w:p>
        </w:tc>
        <w:tc>
          <w:tcPr>
            <w:tcW w:w="1277" w:type="dxa"/>
          </w:tcPr>
          <w:p>
            <w:pPr>
              <w:pStyle w:val="TableParagraph"/>
              <w:rPr>
                <w:b/>
                <w:sz w:val="16"/>
              </w:rPr>
            </w:pPr>
          </w:p>
          <w:p>
            <w:pPr>
              <w:pStyle w:val="TableParagraph"/>
              <w:rPr>
                <w:b/>
                <w:sz w:val="16"/>
              </w:rPr>
            </w:pPr>
          </w:p>
          <w:p>
            <w:pPr>
              <w:pStyle w:val="TableParagraph"/>
              <w:spacing w:before="90"/>
              <w:rPr>
                <w:b/>
                <w:sz w:val="16"/>
              </w:rPr>
            </w:pPr>
          </w:p>
          <w:p>
            <w:pPr>
              <w:pStyle w:val="TableParagraph"/>
              <w:ind w:right="66"/>
              <w:jc w:val="right"/>
              <w:rPr>
                <w:sz w:val="16"/>
              </w:rPr>
            </w:pPr>
            <w:r>
              <w:rPr>
                <w:spacing w:val="-4"/>
                <w:sz w:val="16"/>
              </w:rPr>
              <w:t>100%</w:t>
            </w:r>
          </w:p>
        </w:tc>
        <w:tc>
          <w:tcPr>
            <w:tcW w:w="1700" w:type="dxa"/>
          </w:tcPr>
          <w:p>
            <w:pPr>
              <w:pStyle w:val="TableParagraph"/>
              <w:rPr>
                <w:b/>
                <w:sz w:val="16"/>
              </w:rPr>
            </w:pPr>
          </w:p>
          <w:p>
            <w:pPr>
              <w:pStyle w:val="TableParagraph"/>
              <w:rPr>
                <w:b/>
                <w:sz w:val="16"/>
              </w:rPr>
            </w:pPr>
          </w:p>
          <w:p>
            <w:pPr>
              <w:pStyle w:val="TableParagraph"/>
              <w:spacing w:before="90"/>
              <w:rPr>
                <w:b/>
                <w:sz w:val="16"/>
              </w:rPr>
            </w:pPr>
          </w:p>
          <w:p>
            <w:pPr>
              <w:pStyle w:val="TableParagraph"/>
              <w:ind w:right="67"/>
              <w:jc w:val="right"/>
              <w:rPr>
                <w:sz w:val="16"/>
              </w:rPr>
            </w:pPr>
            <w:r>
              <w:rPr>
                <w:sz w:val="16"/>
              </w:rPr>
              <w:t>₡30</w:t>
            </w:r>
            <w:r>
              <w:rPr>
                <w:spacing w:val="-3"/>
                <w:sz w:val="16"/>
              </w:rPr>
              <w:t> </w:t>
            </w:r>
            <w:r>
              <w:rPr>
                <w:sz w:val="16"/>
              </w:rPr>
              <w:t>000</w:t>
            </w:r>
            <w:r>
              <w:rPr>
                <w:spacing w:val="-3"/>
                <w:sz w:val="16"/>
              </w:rPr>
              <w:t> </w:t>
            </w:r>
            <w:r>
              <w:rPr>
                <w:spacing w:val="-5"/>
                <w:sz w:val="16"/>
              </w:rPr>
              <w:t>000</w:t>
            </w:r>
          </w:p>
        </w:tc>
        <w:tc>
          <w:tcPr>
            <w:tcW w:w="1345" w:type="dxa"/>
          </w:tcPr>
          <w:p>
            <w:pPr>
              <w:pStyle w:val="TableParagraph"/>
              <w:rPr>
                <w:b/>
                <w:sz w:val="16"/>
              </w:rPr>
            </w:pPr>
          </w:p>
          <w:p>
            <w:pPr>
              <w:pStyle w:val="TableParagraph"/>
              <w:rPr>
                <w:b/>
                <w:sz w:val="16"/>
              </w:rPr>
            </w:pPr>
          </w:p>
          <w:p>
            <w:pPr>
              <w:pStyle w:val="TableParagraph"/>
              <w:spacing w:before="90"/>
              <w:rPr>
                <w:b/>
                <w:sz w:val="16"/>
              </w:rPr>
            </w:pPr>
          </w:p>
          <w:p>
            <w:pPr>
              <w:pStyle w:val="TableParagraph"/>
              <w:ind w:right="62"/>
              <w:jc w:val="right"/>
              <w:rPr>
                <w:sz w:val="16"/>
              </w:rPr>
            </w:pPr>
            <w:r>
              <w:rPr>
                <w:spacing w:val="-4"/>
                <w:sz w:val="16"/>
              </w:rPr>
              <w:t>100%</w:t>
            </w:r>
          </w:p>
        </w:tc>
        <w:tc>
          <w:tcPr>
            <w:tcW w:w="1494" w:type="dxa"/>
          </w:tcPr>
          <w:p>
            <w:pPr>
              <w:pStyle w:val="TableParagraph"/>
              <w:rPr>
                <w:b/>
                <w:sz w:val="16"/>
              </w:rPr>
            </w:pPr>
          </w:p>
          <w:p>
            <w:pPr>
              <w:pStyle w:val="TableParagraph"/>
              <w:rPr>
                <w:b/>
                <w:sz w:val="16"/>
              </w:rPr>
            </w:pPr>
          </w:p>
          <w:p>
            <w:pPr>
              <w:pStyle w:val="TableParagraph"/>
              <w:spacing w:before="90"/>
              <w:rPr>
                <w:b/>
                <w:sz w:val="16"/>
              </w:rPr>
            </w:pPr>
          </w:p>
          <w:p>
            <w:pPr>
              <w:pStyle w:val="TableParagraph"/>
              <w:ind w:right="73"/>
              <w:jc w:val="right"/>
              <w:rPr>
                <w:sz w:val="16"/>
              </w:rPr>
            </w:pPr>
            <w:r>
              <w:rPr>
                <w:sz w:val="16"/>
              </w:rPr>
              <w:t>₡40</w:t>
            </w:r>
            <w:r>
              <w:rPr>
                <w:spacing w:val="-3"/>
                <w:sz w:val="16"/>
              </w:rPr>
              <w:t> </w:t>
            </w:r>
            <w:r>
              <w:rPr>
                <w:sz w:val="16"/>
              </w:rPr>
              <w:t>000</w:t>
            </w:r>
            <w:r>
              <w:rPr>
                <w:spacing w:val="-3"/>
                <w:sz w:val="16"/>
              </w:rPr>
              <w:t> </w:t>
            </w:r>
            <w:r>
              <w:rPr>
                <w:spacing w:val="-5"/>
                <w:sz w:val="16"/>
              </w:rPr>
              <w:t>000</w:t>
            </w:r>
          </w:p>
        </w:tc>
      </w:tr>
      <w:tr>
        <w:trPr>
          <w:trHeight w:val="1656" w:hRule="atLeast"/>
        </w:trPr>
        <w:tc>
          <w:tcPr>
            <w:tcW w:w="1695" w:type="dxa"/>
          </w:tcPr>
          <w:p>
            <w:pPr>
              <w:pStyle w:val="TableParagraph"/>
              <w:spacing w:line="183" w:lineRule="exact" w:before="3"/>
              <w:ind w:left="72"/>
              <w:rPr>
                <w:b/>
                <w:sz w:val="16"/>
              </w:rPr>
            </w:pPr>
            <w:r>
              <w:rPr>
                <w:b/>
                <w:sz w:val="16"/>
              </w:rPr>
              <w:t>Actividad</w:t>
            </w:r>
            <w:r>
              <w:rPr>
                <w:b/>
                <w:spacing w:val="-11"/>
                <w:sz w:val="16"/>
              </w:rPr>
              <w:t> </w:t>
            </w:r>
            <w:r>
              <w:rPr>
                <w:b/>
                <w:spacing w:val="-4"/>
                <w:sz w:val="16"/>
              </w:rPr>
              <w:t>PPPS</w:t>
            </w:r>
          </w:p>
          <w:p>
            <w:pPr>
              <w:pStyle w:val="TableParagraph"/>
              <w:ind w:left="72" w:right="103"/>
              <w:rPr>
                <w:sz w:val="16"/>
              </w:rPr>
            </w:pPr>
            <w:r>
              <w:rPr>
                <w:b/>
                <w:sz w:val="16"/>
              </w:rPr>
              <w:t>1.3.3: P</w:t>
            </w:r>
            <w:r>
              <w:rPr>
                <w:sz w:val="16"/>
              </w:rPr>
              <w:t>ago de </w:t>
            </w:r>
            <w:r>
              <w:rPr>
                <w:spacing w:val="-2"/>
                <w:sz w:val="16"/>
              </w:rPr>
              <w:t>servicios </w:t>
            </w:r>
            <w:r>
              <w:rPr>
                <w:sz w:val="16"/>
              </w:rPr>
              <w:t>profesionales y </w:t>
            </w:r>
            <w:r>
              <w:rPr>
                <w:spacing w:val="-2"/>
                <w:sz w:val="16"/>
              </w:rPr>
              <w:t>técnicos</w:t>
            </w:r>
            <w:r>
              <w:rPr>
                <w:spacing w:val="-10"/>
                <w:sz w:val="16"/>
              </w:rPr>
              <w:t> </w:t>
            </w:r>
            <w:r>
              <w:rPr>
                <w:spacing w:val="-2"/>
                <w:sz w:val="16"/>
              </w:rPr>
              <w:t>requeridos </w:t>
            </w:r>
            <w:r>
              <w:rPr>
                <w:sz w:val="16"/>
              </w:rPr>
              <w:t>para</w:t>
            </w:r>
            <w:r>
              <w:rPr>
                <w:spacing w:val="-2"/>
                <w:sz w:val="16"/>
              </w:rPr>
              <w:t> </w:t>
            </w:r>
            <w:r>
              <w:rPr>
                <w:sz w:val="16"/>
              </w:rPr>
              <w:t>solventar necesidades de </w:t>
            </w:r>
            <w:r>
              <w:rPr>
                <w:spacing w:val="-2"/>
                <w:sz w:val="16"/>
              </w:rPr>
              <w:t>infraestructura</w:t>
            </w:r>
          </w:p>
          <w:p>
            <w:pPr>
              <w:pStyle w:val="TableParagraph"/>
              <w:spacing w:line="162" w:lineRule="exact"/>
              <w:ind w:left="72"/>
              <w:rPr>
                <w:sz w:val="16"/>
              </w:rPr>
            </w:pPr>
            <w:r>
              <w:rPr>
                <w:spacing w:val="-2"/>
                <w:sz w:val="16"/>
              </w:rPr>
              <w:t>(1.04.03).</w:t>
            </w:r>
          </w:p>
        </w:tc>
        <w:tc>
          <w:tcPr>
            <w:tcW w:w="1280" w:type="dxa"/>
          </w:tcPr>
          <w:p>
            <w:pPr>
              <w:pStyle w:val="TableParagraph"/>
              <w:spacing w:before="2"/>
              <w:rPr>
                <w:b/>
                <w:sz w:val="16"/>
              </w:rPr>
            </w:pPr>
          </w:p>
          <w:p>
            <w:pPr>
              <w:pStyle w:val="TableParagraph"/>
              <w:ind w:left="72" w:right="140"/>
              <w:rPr>
                <w:sz w:val="16"/>
              </w:rPr>
            </w:pPr>
            <w:r>
              <w:rPr>
                <w:sz w:val="16"/>
              </w:rPr>
              <w:t>Porcentaje de </w:t>
            </w:r>
            <w:r>
              <w:rPr>
                <w:spacing w:val="-2"/>
                <w:sz w:val="16"/>
              </w:rPr>
              <w:t>presupuesto programado </w:t>
            </w:r>
            <w:r>
              <w:rPr>
                <w:sz w:val="16"/>
              </w:rPr>
              <w:t>que</w:t>
            </w:r>
            <w:r>
              <w:rPr>
                <w:spacing w:val="-12"/>
                <w:sz w:val="16"/>
              </w:rPr>
              <w:t> </w:t>
            </w:r>
            <w:r>
              <w:rPr>
                <w:sz w:val="16"/>
              </w:rPr>
              <w:t>se</w:t>
            </w:r>
            <w:r>
              <w:rPr>
                <w:spacing w:val="-11"/>
                <w:sz w:val="16"/>
              </w:rPr>
              <w:t> </w:t>
            </w:r>
            <w:r>
              <w:rPr>
                <w:sz w:val="16"/>
              </w:rPr>
              <w:t>invierte en el pago de servicios de </w:t>
            </w:r>
            <w:r>
              <w:rPr>
                <w:spacing w:val="-2"/>
                <w:sz w:val="16"/>
              </w:rPr>
              <w:t>ingeniería.</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2"/>
              <w:jc w:val="right"/>
              <w:rPr>
                <w:sz w:val="16"/>
              </w:rPr>
            </w:pPr>
            <w:r>
              <w:rPr>
                <w:spacing w:val="-4"/>
                <w:sz w:val="16"/>
              </w:rPr>
              <w:t>100%</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73"/>
              <w:jc w:val="right"/>
              <w:rPr>
                <w:sz w:val="16"/>
              </w:rPr>
            </w:pPr>
            <w:r>
              <w:rPr>
                <w:sz w:val="16"/>
              </w:rPr>
              <w:t>₡523</w:t>
            </w:r>
            <w:r>
              <w:rPr>
                <w:spacing w:val="-5"/>
                <w:sz w:val="16"/>
              </w:rPr>
              <w:t> </w:t>
            </w:r>
            <w:r>
              <w:rPr>
                <w:sz w:val="16"/>
              </w:rPr>
              <w:t>641</w:t>
            </w:r>
            <w:r>
              <w:rPr>
                <w:spacing w:val="-4"/>
                <w:sz w:val="16"/>
              </w:rPr>
              <w:t> </w:t>
            </w:r>
            <w:r>
              <w:rPr>
                <w:spacing w:val="-5"/>
                <w:sz w:val="16"/>
              </w:rPr>
              <w:t>984</w:t>
            </w:r>
          </w:p>
        </w:tc>
      </w:tr>
      <w:tr>
        <w:trPr>
          <w:trHeight w:val="498" w:hRule="atLeast"/>
        </w:trPr>
        <w:tc>
          <w:tcPr>
            <w:tcW w:w="1695" w:type="dxa"/>
          </w:tcPr>
          <w:p>
            <w:pPr>
              <w:pStyle w:val="TableParagraph"/>
              <w:spacing w:line="183" w:lineRule="exact" w:before="65"/>
              <w:ind w:left="72"/>
              <w:rPr>
                <w:b/>
                <w:sz w:val="16"/>
              </w:rPr>
            </w:pPr>
            <w:r>
              <w:rPr>
                <w:b/>
                <w:sz w:val="16"/>
              </w:rPr>
              <w:t>Actividad</w:t>
            </w:r>
            <w:r>
              <w:rPr>
                <w:b/>
                <w:spacing w:val="-11"/>
                <w:sz w:val="16"/>
              </w:rPr>
              <w:t> </w:t>
            </w:r>
            <w:r>
              <w:rPr>
                <w:b/>
                <w:spacing w:val="-4"/>
                <w:sz w:val="16"/>
              </w:rPr>
              <w:t>PPPS</w:t>
            </w:r>
          </w:p>
          <w:p>
            <w:pPr>
              <w:pStyle w:val="TableParagraph"/>
              <w:spacing w:line="183" w:lineRule="exact"/>
              <w:ind w:left="72"/>
              <w:rPr>
                <w:sz w:val="16"/>
              </w:rPr>
            </w:pPr>
            <w:r>
              <w:rPr>
                <w:b/>
                <w:sz w:val="16"/>
              </w:rPr>
              <w:t>1.3.4:</w:t>
            </w:r>
            <w:r>
              <w:rPr>
                <w:b/>
                <w:spacing w:val="-6"/>
                <w:sz w:val="16"/>
              </w:rPr>
              <w:t> </w:t>
            </w:r>
            <w:r>
              <w:rPr>
                <w:spacing w:val="-2"/>
                <w:sz w:val="16"/>
              </w:rPr>
              <w:t>Construcción</w:t>
            </w:r>
          </w:p>
        </w:tc>
        <w:tc>
          <w:tcPr>
            <w:tcW w:w="1280" w:type="dxa"/>
          </w:tcPr>
          <w:p>
            <w:pPr>
              <w:pStyle w:val="TableParagraph"/>
              <w:spacing w:before="65"/>
              <w:ind w:left="72" w:right="202"/>
              <w:rPr>
                <w:sz w:val="16"/>
              </w:rPr>
            </w:pPr>
            <w:r>
              <w:rPr>
                <w:sz w:val="16"/>
              </w:rPr>
              <w:t>Porcentaje</w:t>
            </w:r>
            <w:r>
              <w:rPr>
                <w:spacing w:val="-12"/>
                <w:sz w:val="16"/>
              </w:rPr>
              <w:t> </w:t>
            </w:r>
            <w:r>
              <w:rPr>
                <w:sz w:val="16"/>
              </w:rPr>
              <w:t>de </w:t>
            </w:r>
            <w:r>
              <w:rPr>
                <w:spacing w:val="-2"/>
                <w:sz w:val="16"/>
              </w:rPr>
              <w:t>presupuesto</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spacing w:before="157"/>
              <w:ind w:right="62"/>
              <w:jc w:val="right"/>
              <w:rPr>
                <w:sz w:val="16"/>
              </w:rPr>
            </w:pPr>
            <w:r>
              <w:rPr>
                <w:spacing w:val="-4"/>
                <w:sz w:val="16"/>
              </w:rPr>
              <w:t>100%</w:t>
            </w:r>
          </w:p>
        </w:tc>
        <w:tc>
          <w:tcPr>
            <w:tcW w:w="1494" w:type="dxa"/>
          </w:tcPr>
          <w:p>
            <w:pPr>
              <w:pStyle w:val="TableParagraph"/>
              <w:spacing w:before="157"/>
              <w:ind w:right="73"/>
              <w:jc w:val="right"/>
              <w:rPr>
                <w:sz w:val="16"/>
              </w:rPr>
            </w:pPr>
            <w:r>
              <w:rPr>
                <w:sz w:val="16"/>
              </w:rPr>
              <w:t>₡625</w:t>
            </w:r>
            <w:r>
              <w:rPr>
                <w:spacing w:val="-5"/>
                <w:sz w:val="16"/>
              </w:rPr>
              <w:t> </w:t>
            </w:r>
            <w:r>
              <w:rPr>
                <w:sz w:val="16"/>
              </w:rPr>
              <w:t>509</w:t>
            </w:r>
            <w:r>
              <w:rPr>
                <w:spacing w:val="-4"/>
                <w:sz w:val="16"/>
              </w:rPr>
              <w:t> </w:t>
            </w:r>
            <w:r>
              <w:rPr>
                <w:spacing w:val="-5"/>
                <w:sz w:val="16"/>
              </w:rPr>
              <w:t>783</w:t>
            </w:r>
          </w:p>
        </w:tc>
      </w:tr>
    </w:tbl>
    <w:p>
      <w:pPr>
        <w:pStyle w:val="TableParagraph"/>
        <w:spacing w:after="0"/>
        <w:jc w:val="right"/>
        <w:rPr>
          <w:sz w:val="16"/>
        </w:rPr>
        <w:sectPr>
          <w:type w:val="continuous"/>
          <w:pgSz w:w="15840" w:h="12240" w:orient="landscape"/>
          <w:pgMar w:header="0" w:footer="1806" w:top="700" w:bottom="244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80"/>
        <w:gridCol w:w="1275"/>
        <w:gridCol w:w="1561"/>
        <w:gridCol w:w="1134"/>
        <w:gridCol w:w="1561"/>
        <w:gridCol w:w="1277"/>
        <w:gridCol w:w="1700"/>
        <w:gridCol w:w="1345"/>
        <w:gridCol w:w="1494"/>
      </w:tblGrid>
      <w:tr>
        <w:trPr>
          <w:trHeight w:val="316" w:hRule="atLeast"/>
        </w:trPr>
        <w:tc>
          <w:tcPr>
            <w:tcW w:w="1695" w:type="dxa"/>
            <w:vMerge w:val="restart"/>
            <w:tcBorders>
              <w:bottom w:val="nil"/>
            </w:tcBorders>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80" w:type="dxa"/>
            <w:vMerge w:val="restart"/>
            <w:tcBorders>
              <w:bottom w:val="nil"/>
            </w:tcBorders>
            <w:shd w:val="clear" w:color="auto" w:fill="F1F1F1"/>
          </w:tcPr>
          <w:p>
            <w:pPr>
              <w:pStyle w:val="TableParagraph"/>
              <w:spacing w:line="183" w:lineRule="exact"/>
              <w:ind w:left="278"/>
              <w:rPr>
                <w:b/>
                <w:sz w:val="16"/>
              </w:rPr>
            </w:pPr>
            <w:r>
              <w:rPr>
                <w:b/>
                <w:spacing w:val="-2"/>
                <w:sz w:val="16"/>
              </w:rPr>
              <w:t>Indicador</w:t>
            </w:r>
          </w:p>
        </w:tc>
        <w:tc>
          <w:tcPr>
            <w:tcW w:w="2836" w:type="dxa"/>
            <w:gridSpan w:val="2"/>
            <w:shd w:val="clear" w:color="auto" w:fill="F1F1F1"/>
          </w:tcPr>
          <w:p>
            <w:pPr>
              <w:pStyle w:val="TableParagraph"/>
              <w:spacing w:line="183" w:lineRule="exact"/>
              <w:ind w:left="6"/>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left="2"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left="2"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bottom w:val="nil"/>
            </w:tcBorders>
            <w:shd w:val="clear" w:color="auto" w:fill="F1F1F1"/>
          </w:tcPr>
          <w:p>
            <w:pPr>
              <w:rPr>
                <w:sz w:val="2"/>
                <w:szCs w:val="2"/>
              </w:rPr>
            </w:pPr>
          </w:p>
        </w:tc>
        <w:tc>
          <w:tcPr>
            <w:tcW w:w="1280" w:type="dxa"/>
            <w:vMerge/>
            <w:tcBorders>
              <w:top w:val="nil"/>
              <w:bottom w:val="nil"/>
            </w:tcBorders>
            <w:shd w:val="clear" w:color="auto" w:fill="F1F1F1"/>
          </w:tcPr>
          <w:p>
            <w:pPr>
              <w:rPr>
                <w:sz w:val="2"/>
                <w:szCs w:val="2"/>
              </w:rPr>
            </w:pPr>
          </w:p>
        </w:tc>
        <w:tc>
          <w:tcPr>
            <w:tcW w:w="1275" w:type="dxa"/>
            <w:shd w:val="clear" w:color="auto" w:fill="F1F1F1"/>
          </w:tcPr>
          <w:p>
            <w:pPr>
              <w:pStyle w:val="TableParagraph"/>
              <w:spacing w:line="182" w:lineRule="exact" w:before="167"/>
              <w:ind w:left="174"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99"/>
              <w:jc w:val="center"/>
              <w:rPr>
                <w:b/>
                <w:sz w:val="16"/>
              </w:rPr>
            </w:pPr>
            <w:r>
              <w:rPr>
                <w:b/>
                <w:spacing w:val="-10"/>
                <w:sz w:val="16"/>
              </w:rPr>
              <w:t>¢</w:t>
            </w:r>
          </w:p>
        </w:tc>
        <w:tc>
          <w:tcPr>
            <w:tcW w:w="1134" w:type="dxa"/>
            <w:shd w:val="clear" w:color="auto" w:fill="F1F1F1"/>
          </w:tcPr>
          <w:p>
            <w:pPr>
              <w:pStyle w:val="TableParagraph"/>
              <w:spacing w:line="182" w:lineRule="exact" w:before="167"/>
              <w:ind w:left="99"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277" w:type="dxa"/>
            <w:shd w:val="clear" w:color="auto" w:fill="F1F1F1"/>
          </w:tcPr>
          <w:p>
            <w:pPr>
              <w:pStyle w:val="TableParagraph"/>
              <w:spacing w:line="182" w:lineRule="exact" w:before="167"/>
              <w:ind w:left="170"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5"/>
              <w:jc w:val="center"/>
              <w:rPr>
                <w:b/>
                <w:sz w:val="16"/>
              </w:rPr>
            </w:pPr>
            <w:r>
              <w:rPr>
                <w:b/>
                <w:spacing w:val="-10"/>
                <w:sz w:val="16"/>
              </w:rPr>
              <w:t>¢</w:t>
            </w:r>
          </w:p>
        </w:tc>
        <w:tc>
          <w:tcPr>
            <w:tcW w:w="1345" w:type="dxa"/>
            <w:shd w:val="clear" w:color="auto" w:fill="F1F1F1"/>
          </w:tcPr>
          <w:p>
            <w:pPr>
              <w:pStyle w:val="TableParagraph"/>
              <w:spacing w:line="182" w:lineRule="exact" w:before="167"/>
              <w:ind w:left="208"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left="2" w:right="9"/>
              <w:jc w:val="center"/>
              <w:rPr>
                <w:b/>
                <w:sz w:val="16"/>
              </w:rPr>
            </w:pPr>
            <w:r>
              <w:rPr>
                <w:b/>
                <w:spacing w:val="-10"/>
                <w:sz w:val="16"/>
              </w:rPr>
              <w:t>¢</w:t>
            </w:r>
          </w:p>
        </w:tc>
      </w:tr>
      <w:tr>
        <w:trPr>
          <w:trHeight w:val="1291" w:hRule="atLeast"/>
        </w:trPr>
        <w:tc>
          <w:tcPr>
            <w:tcW w:w="1695" w:type="dxa"/>
            <w:tcBorders>
              <w:top w:val="nil"/>
            </w:tcBorders>
          </w:tcPr>
          <w:p>
            <w:pPr>
              <w:pStyle w:val="TableParagraph"/>
              <w:ind w:left="72" w:right="128"/>
              <w:rPr>
                <w:sz w:val="16"/>
              </w:rPr>
            </w:pPr>
            <w:r>
              <w:rPr>
                <w:sz w:val="16"/>
              </w:rPr>
              <w:t>de nuevo edificio para</w:t>
            </w:r>
            <w:r>
              <w:rPr>
                <w:spacing w:val="-12"/>
                <w:sz w:val="16"/>
              </w:rPr>
              <w:t> </w:t>
            </w:r>
            <w:r>
              <w:rPr>
                <w:sz w:val="16"/>
              </w:rPr>
              <w:t>la</w:t>
            </w:r>
            <w:r>
              <w:rPr>
                <w:spacing w:val="-11"/>
                <w:sz w:val="16"/>
              </w:rPr>
              <w:t> </w:t>
            </w:r>
            <w:r>
              <w:rPr>
                <w:sz w:val="16"/>
              </w:rPr>
              <w:t>ULDS</w:t>
            </w:r>
            <w:r>
              <w:rPr>
                <w:spacing w:val="-11"/>
                <w:sz w:val="16"/>
              </w:rPr>
              <w:t> </w:t>
            </w:r>
            <w:r>
              <w:rPr>
                <w:sz w:val="16"/>
              </w:rPr>
              <w:t>Los </w:t>
            </w:r>
            <w:r>
              <w:rPr>
                <w:spacing w:val="-2"/>
                <w:sz w:val="16"/>
              </w:rPr>
              <w:t>Chiles.</w:t>
            </w:r>
          </w:p>
        </w:tc>
        <w:tc>
          <w:tcPr>
            <w:tcW w:w="1280" w:type="dxa"/>
            <w:tcBorders>
              <w:top w:val="nil"/>
            </w:tcBorders>
          </w:tcPr>
          <w:p>
            <w:pPr>
              <w:pStyle w:val="TableParagraph"/>
              <w:ind w:left="72" w:right="140"/>
              <w:rPr>
                <w:sz w:val="16"/>
              </w:rPr>
            </w:pPr>
            <w:r>
              <w:rPr>
                <w:spacing w:val="-2"/>
                <w:sz w:val="16"/>
              </w:rPr>
              <w:t>programado </w:t>
            </w:r>
            <w:r>
              <w:rPr>
                <w:sz w:val="16"/>
              </w:rPr>
              <w:t>que</w:t>
            </w:r>
            <w:r>
              <w:rPr>
                <w:spacing w:val="-12"/>
                <w:sz w:val="16"/>
              </w:rPr>
              <w:t> </w:t>
            </w:r>
            <w:r>
              <w:rPr>
                <w:sz w:val="16"/>
              </w:rPr>
              <w:t>se</w:t>
            </w:r>
            <w:r>
              <w:rPr>
                <w:spacing w:val="-11"/>
                <w:sz w:val="16"/>
              </w:rPr>
              <w:t> </w:t>
            </w:r>
            <w:r>
              <w:rPr>
                <w:sz w:val="16"/>
              </w:rPr>
              <w:t>invierte en la </w:t>
            </w:r>
            <w:r>
              <w:rPr>
                <w:spacing w:val="-2"/>
                <w:sz w:val="16"/>
              </w:rPr>
              <w:t>construcción </w:t>
            </w:r>
            <w:r>
              <w:rPr>
                <w:sz w:val="16"/>
              </w:rPr>
              <w:t>del edificio de</w:t>
            </w:r>
          </w:p>
          <w:p>
            <w:pPr>
              <w:pStyle w:val="TableParagraph"/>
              <w:spacing w:line="182" w:lineRule="exact"/>
              <w:ind w:left="72" w:right="302"/>
              <w:rPr>
                <w:sz w:val="16"/>
              </w:rPr>
            </w:pPr>
            <w:r>
              <w:rPr>
                <w:sz w:val="16"/>
              </w:rPr>
              <w:t>la</w:t>
            </w:r>
            <w:r>
              <w:rPr>
                <w:spacing w:val="-12"/>
                <w:sz w:val="16"/>
              </w:rPr>
              <w:t> </w:t>
            </w:r>
            <w:r>
              <w:rPr>
                <w:sz w:val="16"/>
              </w:rPr>
              <w:t>ULDS</w:t>
            </w:r>
            <w:r>
              <w:rPr>
                <w:spacing w:val="-11"/>
                <w:sz w:val="16"/>
              </w:rPr>
              <w:t> </w:t>
            </w:r>
            <w:r>
              <w:rPr>
                <w:sz w:val="16"/>
              </w:rPr>
              <w:t>Los </w:t>
            </w:r>
            <w:r>
              <w:rPr>
                <w:spacing w:val="-2"/>
                <w:sz w:val="16"/>
              </w:rPr>
              <w:t>Chiles.</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rFonts w:ascii="Times New Roman"/>
                <w:sz w:val="16"/>
              </w:rPr>
            </w:pPr>
          </w:p>
        </w:tc>
        <w:tc>
          <w:tcPr>
            <w:tcW w:w="1494" w:type="dxa"/>
          </w:tcPr>
          <w:p>
            <w:pPr>
              <w:pStyle w:val="TableParagraph"/>
              <w:rPr>
                <w:rFonts w:ascii="Times New Roman"/>
                <w:sz w:val="16"/>
              </w:rPr>
            </w:pPr>
          </w:p>
        </w:tc>
      </w:tr>
      <w:tr>
        <w:trPr>
          <w:trHeight w:val="1838" w:hRule="atLeast"/>
        </w:trPr>
        <w:tc>
          <w:tcPr>
            <w:tcW w:w="1695" w:type="dxa"/>
          </w:tcPr>
          <w:p>
            <w:pPr>
              <w:pStyle w:val="TableParagraph"/>
              <w:rPr>
                <w:b/>
                <w:sz w:val="16"/>
              </w:rPr>
            </w:pPr>
          </w:p>
          <w:p>
            <w:pPr>
              <w:pStyle w:val="TableParagraph"/>
              <w:rPr>
                <w:b/>
                <w:sz w:val="16"/>
              </w:rPr>
            </w:pPr>
          </w:p>
          <w:p>
            <w:pPr>
              <w:pStyle w:val="TableParagraph"/>
              <w:spacing w:line="183" w:lineRule="exact"/>
              <w:ind w:left="72"/>
              <w:rPr>
                <w:b/>
                <w:sz w:val="16"/>
              </w:rPr>
            </w:pPr>
            <w:r>
              <w:rPr>
                <w:b/>
                <w:sz w:val="16"/>
              </w:rPr>
              <w:t>Actividad</w:t>
            </w:r>
            <w:r>
              <w:rPr>
                <w:b/>
                <w:spacing w:val="-11"/>
                <w:sz w:val="16"/>
              </w:rPr>
              <w:t> </w:t>
            </w:r>
            <w:r>
              <w:rPr>
                <w:b/>
                <w:spacing w:val="-4"/>
                <w:sz w:val="16"/>
              </w:rPr>
              <w:t>PPPS</w:t>
            </w:r>
          </w:p>
          <w:p>
            <w:pPr>
              <w:pStyle w:val="TableParagraph"/>
              <w:ind w:left="72" w:right="128"/>
              <w:rPr>
                <w:sz w:val="16"/>
              </w:rPr>
            </w:pPr>
            <w:r>
              <w:rPr>
                <w:b/>
                <w:spacing w:val="-2"/>
                <w:sz w:val="16"/>
              </w:rPr>
              <w:t>1.3.5:</w:t>
            </w:r>
            <w:r>
              <w:rPr>
                <w:b/>
                <w:spacing w:val="-6"/>
                <w:sz w:val="16"/>
              </w:rPr>
              <w:t> </w:t>
            </w:r>
            <w:r>
              <w:rPr>
                <w:spacing w:val="-2"/>
                <w:sz w:val="16"/>
              </w:rPr>
              <w:t>Construcción </w:t>
            </w:r>
            <w:r>
              <w:rPr>
                <w:sz w:val="16"/>
              </w:rPr>
              <w:t>de nuevo edificio para ARDS Huetar Caribe y ULDS </w:t>
            </w:r>
            <w:r>
              <w:rPr>
                <w:spacing w:val="-2"/>
                <w:sz w:val="16"/>
              </w:rPr>
              <w:t>Limón.</w:t>
            </w:r>
          </w:p>
        </w:tc>
        <w:tc>
          <w:tcPr>
            <w:tcW w:w="1280" w:type="dxa"/>
          </w:tcPr>
          <w:p>
            <w:pPr>
              <w:pStyle w:val="TableParagraph"/>
              <w:ind w:left="72" w:right="133"/>
              <w:rPr>
                <w:sz w:val="16"/>
              </w:rPr>
            </w:pPr>
            <w:r>
              <w:rPr>
                <w:sz w:val="16"/>
              </w:rPr>
              <w:t>Porcentaje de </w:t>
            </w:r>
            <w:r>
              <w:rPr>
                <w:spacing w:val="-2"/>
                <w:sz w:val="16"/>
              </w:rPr>
              <w:t>presupuesto programado </w:t>
            </w:r>
            <w:r>
              <w:rPr>
                <w:sz w:val="16"/>
              </w:rPr>
              <w:t>que</w:t>
            </w:r>
            <w:r>
              <w:rPr>
                <w:spacing w:val="-11"/>
                <w:sz w:val="16"/>
              </w:rPr>
              <w:t> </w:t>
            </w:r>
            <w:r>
              <w:rPr>
                <w:sz w:val="16"/>
              </w:rPr>
              <w:t>se</w:t>
            </w:r>
            <w:r>
              <w:rPr>
                <w:spacing w:val="-8"/>
                <w:sz w:val="16"/>
              </w:rPr>
              <w:t> </w:t>
            </w:r>
            <w:r>
              <w:rPr>
                <w:sz w:val="16"/>
              </w:rPr>
              <w:t>invierte en la </w:t>
            </w:r>
            <w:r>
              <w:rPr>
                <w:spacing w:val="-2"/>
                <w:sz w:val="16"/>
              </w:rPr>
              <w:t>construcción </w:t>
            </w:r>
            <w:r>
              <w:rPr>
                <w:sz w:val="16"/>
              </w:rPr>
              <w:t>del edificio del ARDS Huetar Caribe</w:t>
            </w:r>
            <w:r>
              <w:rPr>
                <w:spacing w:val="-12"/>
                <w:sz w:val="16"/>
              </w:rPr>
              <w:t> </w:t>
            </w:r>
            <w:r>
              <w:rPr>
                <w:sz w:val="16"/>
              </w:rPr>
              <w:t>y</w:t>
            </w:r>
            <w:r>
              <w:rPr>
                <w:spacing w:val="-11"/>
                <w:sz w:val="16"/>
              </w:rPr>
              <w:t> </w:t>
            </w:r>
            <w:r>
              <w:rPr>
                <w:sz w:val="16"/>
              </w:rPr>
              <w:t>ULDS</w:t>
            </w:r>
          </w:p>
          <w:p>
            <w:pPr>
              <w:pStyle w:val="TableParagraph"/>
              <w:spacing w:line="163" w:lineRule="exact"/>
              <w:ind w:left="72"/>
              <w:rPr>
                <w:sz w:val="16"/>
              </w:rPr>
            </w:pPr>
            <w:r>
              <w:rPr>
                <w:spacing w:val="-2"/>
                <w:sz w:val="16"/>
              </w:rPr>
              <w:t>Limón.</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right="62"/>
              <w:jc w:val="right"/>
              <w:rPr>
                <w:sz w:val="16"/>
              </w:rPr>
            </w:pPr>
            <w:r>
              <w:rPr>
                <w:spacing w:val="-4"/>
                <w:sz w:val="16"/>
              </w:rPr>
              <w:t>100%</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right="73"/>
              <w:jc w:val="right"/>
              <w:rPr>
                <w:sz w:val="16"/>
              </w:rPr>
            </w:pPr>
            <w:r>
              <w:rPr>
                <w:sz w:val="16"/>
              </w:rPr>
              <w:t>₡475</w:t>
            </w:r>
            <w:r>
              <w:rPr>
                <w:spacing w:val="-5"/>
                <w:sz w:val="16"/>
              </w:rPr>
              <w:t> </w:t>
            </w:r>
            <w:r>
              <w:rPr>
                <w:sz w:val="16"/>
              </w:rPr>
              <w:t>000</w:t>
            </w:r>
            <w:r>
              <w:rPr>
                <w:spacing w:val="-4"/>
                <w:sz w:val="16"/>
              </w:rPr>
              <w:t> </w:t>
            </w:r>
            <w:r>
              <w:rPr>
                <w:spacing w:val="-5"/>
                <w:sz w:val="16"/>
              </w:rPr>
              <w:t>000</w:t>
            </w:r>
          </w:p>
        </w:tc>
      </w:tr>
      <w:tr>
        <w:trPr>
          <w:trHeight w:val="1843" w:hRule="atLeast"/>
        </w:trPr>
        <w:tc>
          <w:tcPr>
            <w:tcW w:w="1695" w:type="dxa"/>
          </w:tcPr>
          <w:p>
            <w:pPr>
              <w:pStyle w:val="TableParagraph"/>
              <w:rPr>
                <w:b/>
                <w:sz w:val="16"/>
              </w:rPr>
            </w:pPr>
          </w:p>
          <w:p>
            <w:pPr>
              <w:pStyle w:val="TableParagraph"/>
              <w:spacing w:before="91"/>
              <w:rPr>
                <w:b/>
                <w:sz w:val="16"/>
              </w:rPr>
            </w:pPr>
          </w:p>
          <w:p>
            <w:pPr>
              <w:pStyle w:val="TableParagraph"/>
              <w:spacing w:line="183" w:lineRule="exact"/>
              <w:ind w:left="72"/>
              <w:rPr>
                <w:b/>
                <w:sz w:val="16"/>
              </w:rPr>
            </w:pPr>
            <w:r>
              <w:rPr>
                <w:b/>
                <w:sz w:val="16"/>
              </w:rPr>
              <w:t>Actividad</w:t>
            </w:r>
            <w:r>
              <w:rPr>
                <w:b/>
                <w:spacing w:val="-11"/>
                <w:sz w:val="16"/>
              </w:rPr>
              <w:t> </w:t>
            </w:r>
            <w:r>
              <w:rPr>
                <w:b/>
                <w:spacing w:val="-4"/>
                <w:sz w:val="16"/>
              </w:rPr>
              <w:t>PPPS</w:t>
            </w:r>
          </w:p>
          <w:p>
            <w:pPr>
              <w:pStyle w:val="TableParagraph"/>
              <w:ind w:left="72" w:right="128"/>
              <w:rPr>
                <w:sz w:val="16"/>
              </w:rPr>
            </w:pPr>
            <w:r>
              <w:rPr>
                <w:b/>
                <w:sz w:val="16"/>
              </w:rPr>
              <w:t>1.3.6:</w:t>
            </w:r>
            <w:r>
              <w:rPr>
                <w:b/>
                <w:spacing w:val="-12"/>
                <w:sz w:val="16"/>
              </w:rPr>
              <w:t> </w:t>
            </w:r>
            <w:r>
              <w:rPr>
                <w:sz w:val="16"/>
              </w:rPr>
              <w:t>Construcción de nuevo edificio para</w:t>
            </w:r>
            <w:r>
              <w:rPr>
                <w:spacing w:val="-12"/>
                <w:sz w:val="16"/>
              </w:rPr>
              <w:t> </w:t>
            </w:r>
            <w:r>
              <w:rPr>
                <w:sz w:val="16"/>
              </w:rPr>
              <w:t>ARDS</w:t>
            </w:r>
            <w:r>
              <w:rPr>
                <w:spacing w:val="-11"/>
                <w:sz w:val="16"/>
              </w:rPr>
              <w:t> </w:t>
            </w:r>
            <w:r>
              <w:rPr>
                <w:sz w:val="16"/>
              </w:rPr>
              <w:t>y</w:t>
            </w:r>
            <w:r>
              <w:rPr>
                <w:spacing w:val="-11"/>
                <w:sz w:val="16"/>
              </w:rPr>
              <w:t> </w:t>
            </w:r>
            <w:r>
              <w:rPr>
                <w:sz w:val="16"/>
              </w:rPr>
              <w:t>ULD</w:t>
            </w:r>
            <w:r>
              <w:rPr>
                <w:sz w:val="16"/>
              </w:rPr>
              <w:t>S</w:t>
            </w:r>
            <w:r>
              <w:rPr>
                <w:sz w:val="16"/>
              </w:rPr>
              <w:t> </w:t>
            </w:r>
            <w:r>
              <w:rPr>
                <w:spacing w:val="-2"/>
                <w:sz w:val="16"/>
              </w:rPr>
              <w:t>Alajuela.</w:t>
            </w:r>
          </w:p>
        </w:tc>
        <w:tc>
          <w:tcPr>
            <w:tcW w:w="1280" w:type="dxa"/>
          </w:tcPr>
          <w:p>
            <w:pPr>
              <w:pStyle w:val="TableParagraph"/>
              <w:ind w:left="72" w:right="140"/>
              <w:rPr>
                <w:sz w:val="16"/>
              </w:rPr>
            </w:pPr>
            <w:r>
              <w:rPr>
                <w:sz w:val="16"/>
              </w:rPr>
              <w:t>Porcentaje de </w:t>
            </w:r>
            <w:r>
              <w:rPr>
                <w:spacing w:val="-2"/>
                <w:sz w:val="16"/>
              </w:rPr>
              <w:t>presupuesto programado </w:t>
            </w:r>
            <w:r>
              <w:rPr>
                <w:sz w:val="16"/>
              </w:rPr>
              <w:t>que</w:t>
            </w:r>
            <w:r>
              <w:rPr>
                <w:spacing w:val="-12"/>
                <w:sz w:val="16"/>
              </w:rPr>
              <w:t> </w:t>
            </w:r>
            <w:r>
              <w:rPr>
                <w:sz w:val="16"/>
              </w:rPr>
              <w:t>se</w:t>
            </w:r>
            <w:r>
              <w:rPr>
                <w:spacing w:val="-11"/>
                <w:sz w:val="16"/>
              </w:rPr>
              <w:t> </w:t>
            </w:r>
            <w:r>
              <w:rPr>
                <w:sz w:val="16"/>
              </w:rPr>
              <w:t>invierte en la </w:t>
            </w:r>
            <w:r>
              <w:rPr>
                <w:spacing w:val="-2"/>
                <w:sz w:val="16"/>
              </w:rPr>
              <w:t>construcción </w:t>
            </w:r>
            <w:r>
              <w:rPr>
                <w:sz w:val="16"/>
              </w:rPr>
              <w:t>del</w:t>
            </w:r>
            <w:r>
              <w:rPr>
                <w:spacing w:val="-1"/>
                <w:sz w:val="16"/>
              </w:rPr>
              <w:t> </w:t>
            </w:r>
            <w:r>
              <w:rPr>
                <w:sz w:val="16"/>
              </w:rPr>
              <w:t>edificio</w:t>
            </w:r>
            <w:r>
              <w:rPr>
                <w:spacing w:val="-1"/>
                <w:sz w:val="16"/>
              </w:rPr>
              <w:t> </w:t>
            </w:r>
            <w:r>
              <w:rPr>
                <w:sz w:val="16"/>
              </w:rPr>
              <w:t>del </w:t>
            </w:r>
            <w:r>
              <w:rPr>
                <w:spacing w:val="-2"/>
                <w:sz w:val="16"/>
              </w:rPr>
              <w:t>ARDS</w:t>
            </w:r>
            <w:r>
              <w:rPr>
                <w:spacing w:val="-10"/>
                <w:sz w:val="16"/>
              </w:rPr>
              <w:t> </w:t>
            </w:r>
            <w:r>
              <w:rPr>
                <w:spacing w:val="-2"/>
                <w:sz w:val="16"/>
              </w:rPr>
              <w:t>Alajuela </w:t>
            </w:r>
            <w:r>
              <w:rPr>
                <w:sz w:val="16"/>
              </w:rPr>
              <w:t>y ULDS</w:t>
            </w:r>
          </w:p>
          <w:p>
            <w:pPr>
              <w:pStyle w:val="TableParagraph"/>
              <w:spacing w:line="168" w:lineRule="exact"/>
              <w:ind w:left="72"/>
              <w:rPr>
                <w:sz w:val="16"/>
              </w:rPr>
            </w:pPr>
            <w:r>
              <w:rPr>
                <w:spacing w:val="-2"/>
                <w:sz w:val="16"/>
              </w:rPr>
              <w:t>Alajuela.</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2"/>
              <w:jc w:val="right"/>
              <w:rPr>
                <w:sz w:val="16"/>
              </w:rPr>
            </w:pPr>
            <w:r>
              <w:rPr>
                <w:spacing w:val="-4"/>
                <w:sz w:val="16"/>
              </w:rPr>
              <w:t>100%</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73"/>
              <w:jc w:val="right"/>
              <w:rPr>
                <w:sz w:val="16"/>
              </w:rPr>
            </w:pPr>
            <w:r>
              <w:rPr>
                <w:sz w:val="16"/>
              </w:rPr>
              <w:t>₡2</w:t>
            </w:r>
            <w:r>
              <w:rPr>
                <w:spacing w:val="-6"/>
                <w:sz w:val="16"/>
              </w:rPr>
              <w:t> </w:t>
            </w:r>
            <w:r>
              <w:rPr>
                <w:sz w:val="16"/>
              </w:rPr>
              <w:t>800</w:t>
            </w:r>
            <w:r>
              <w:rPr>
                <w:spacing w:val="-1"/>
                <w:sz w:val="16"/>
              </w:rPr>
              <w:t> </w:t>
            </w:r>
            <w:r>
              <w:rPr>
                <w:sz w:val="16"/>
              </w:rPr>
              <w:t>000</w:t>
            </w:r>
            <w:r>
              <w:rPr>
                <w:spacing w:val="-2"/>
                <w:sz w:val="16"/>
              </w:rPr>
              <w:t> </w:t>
            </w:r>
            <w:r>
              <w:rPr>
                <w:spacing w:val="-5"/>
                <w:sz w:val="16"/>
              </w:rPr>
              <w:t>000</w:t>
            </w:r>
          </w:p>
        </w:tc>
      </w:tr>
      <w:tr>
        <w:trPr>
          <w:trHeight w:val="1656" w:hRule="atLeast"/>
        </w:trPr>
        <w:tc>
          <w:tcPr>
            <w:tcW w:w="1695" w:type="dxa"/>
          </w:tcPr>
          <w:p>
            <w:pPr>
              <w:pStyle w:val="TableParagraph"/>
              <w:spacing w:line="183" w:lineRule="exact" w:before="89"/>
              <w:ind w:left="72"/>
              <w:rPr>
                <w:b/>
                <w:sz w:val="16"/>
              </w:rPr>
            </w:pPr>
            <w:r>
              <w:rPr>
                <w:b/>
                <w:sz w:val="16"/>
              </w:rPr>
              <w:t>Actividad</w:t>
            </w:r>
            <w:r>
              <w:rPr>
                <w:b/>
                <w:spacing w:val="-11"/>
                <w:sz w:val="16"/>
              </w:rPr>
              <w:t> </w:t>
            </w:r>
            <w:r>
              <w:rPr>
                <w:b/>
                <w:spacing w:val="-4"/>
                <w:sz w:val="16"/>
              </w:rPr>
              <w:t>PPPS</w:t>
            </w:r>
          </w:p>
          <w:p>
            <w:pPr>
              <w:pStyle w:val="TableParagraph"/>
              <w:ind w:left="72" w:right="103"/>
              <w:rPr>
                <w:sz w:val="16"/>
              </w:rPr>
            </w:pPr>
            <w:r>
              <w:rPr>
                <w:b/>
                <w:sz w:val="16"/>
              </w:rPr>
              <w:t>1.3.7: </w:t>
            </w:r>
            <w:r>
              <w:rPr>
                <w:sz w:val="16"/>
              </w:rPr>
              <w:t>Gestionar las compras de equipo de</w:t>
            </w:r>
            <w:r>
              <w:rPr>
                <w:spacing w:val="-2"/>
                <w:sz w:val="16"/>
              </w:rPr>
              <w:t> </w:t>
            </w:r>
            <w:r>
              <w:rPr>
                <w:sz w:val="16"/>
              </w:rPr>
              <w:t>comunicación subpartida</w:t>
            </w:r>
            <w:r>
              <w:rPr>
                <w:spacing w:val="-2"/>
                <w:sz w:val="16"/>
              </w:rPr>
              <w:t> </w:t>
            </w:r>
            <w:r>
              <w:rPr>
                <w:sz w:val="16"/>
              </w:rPr>
              <w:t>5.01.03 programadas en el Plan</w:t>
            </w:r>
            <w:r>
              <w:rPr>
                <w:spacing w:val="-12"/>
                <w:sz w:val="16"/>
              </w:rPr>
              <w:t> </w:t>
            </w:r>
            <w:r>
              <w:rPr>
                <w:sz w:val="16"/>
              </w:rPr>
              <w:t>de</w:t>
            </w:r>
            <w:r>
              <w:rPr>
                <w:spacing w:val="-11"/>
                <w:sz w:val="16"/>
              </w:rPr>
              <w:t> </w:t>
            </w:r>
            <w:r>
              <w:rPr>
                <w:sz w:val="16"/>
              </w:rPr>
              <w:t>Compras</w:t>
            </w:r>
            <w:r>
              <w:rPr>
                <w:spacing w:val="-11"/>
                <w:sz w:val="16"/>
              </w:rPr>
              <w:t> </w:t>
            </w:r>
            <w:r>
              <w:rPr>
                <w:sz w:val="16"/>
              </w:rPr>
              <w:t>por parte del PPPS.</w:t>
            </w:r>
          </w:p>
        </w:tc>
        <w:tc>
          <w:tcPr>
            <w:tcW w:w="1280" w:type="dxa"/>
          </w:tcPr>
          <w:p>
            <w:pPr>
              <w:pStyle w:val="TableParagraph"/>
              <w:ind w:left="72" w:right="105"/>
              <w:rPr>
                <w:sz w:val="16"/>
              </w:rPr>
            </w:pPr>
            <w:r>
              <w:rPr>
                <w:sz w:val="16"/>
              </w:rPr>
              <w:t>Porcentaje de ejecución de las</w:t>
            </w:r>
            <w:r>
              <w:rPr>
                <w:spacing w:val="-12"/>
                <w:sz w:val="16"/>
              </w:rPr>
              <w:t> </w:t>
            </w:r>
            <w:r>
              <w:rPr>
                <w:sz w:val="16"/>
              </w:rPr>
              <w:t>compras</w:t>
            </w:r>
            <w:r>
              <w:rPr>
                <w:spacing w:val="-11"/>
                <w:sz w:val="16"/>
              </w:rPr>
              <w:t> </w:t>
            </w:r>
            <w:r>
              <w:rPr>
                <w:sz w:val="16"/>
              </w:rPr>
              <w:t>de equipo de </w:t>
            </w:r>
            <w:r>
              <w:rPr>
                <w:spacing w:val="-2"/>
                <w:sz w:val="16"/>
              </w:rPr>
              <w:t>comunicación programadas </w:t>
            </w:r>
            <w:r>
              <w:rPr>
                <w:sz w:val="16"/>
              </w:rPr>
              <w:t>en el Plan de Compras</w:t>
            </w:r>
            <w:r>
              <w:rPr>
                <w:spacing w:val="-12"/>
                <w:sz w:val="16"/>
              </w:rPr>
              <w:t> </w:t>
            </w:r>
            <w:r>
              <w:rPr>
                <w:sz w:val="16"/>
              </w:rPr>
              <w:t>por</w:t>
            </w:r>
            <w:r>
              <w:rPr>
                <w:spacing w:val="-11"/>
                <w:sz w:val="16"/>
              </w:rPr>
              <w:t> </w:t>
            </w:r>
            <w:r>
              <w:rPr>
                <w:sz w:val="16"/>
              </w:rPr>
              <w:t>el</w:t>
            </w:r>
          </w:p>
          <w:p>
            <w:pPr>
              <w:pStyle w:val="TableParagraph"/>
              <w:spacing w:line="166" w:lineRule="exact"/>
              <w:ind w:left="72"/>
              <w:rPr>
                <w:sz w:val="16"/>
              </w:rPr>
            </w:pPr>
            <w:r>
              <w:rPr>
                <w:spacing w:val="-2"/>
                <w:sz w:val="16"/>
              </w:rPr>
              <w:t>PPPS.</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180"/>
              <w:rPr>
                <w:b/>
                <w:sz w:val="16"/>
              </w:rPr>
            </w:pPr>
          </w:p>
          <w:p>
            <w:pPr>
              <w:pStyle w:val="TableParagraph"/>
              <w:spacing w:before="1"/>
              <w:ind w:right="62"/>
              <w:jc w:val="right"/>
              <w:rPr>
                <w:sz w:val="16"/>
              </w:rPr>
            </w:pPr>
            <w:r>
              <w:rPr>
                <w:spacing w:val="-4"/>
                <w:sz w:val="16"/>
              </w:rPr>
              <w:t>100%</w:t>
            </w:r>
          </w:p>
        </w:tc>
        <w:tc>
          <w:tcPr>
            <w:tcW w:w="1494" w:type="dxa"/>
          </w:tcPr>
          <w:p>
            <w:pPr>
              <w:pStyle w:val="TableParagraph"/>
              <w:rPr>
                <w:b/>
                <w:sz w:val="16"/>
              </w:rPr>
            </w:pPr>
          </w:p>
          <w:p>
            <w:pPr>
              <w:pStyle w:val="TableParagraph"/>
              <w:rPr>
                <w:b/>
                <w:sz w:val="16"/>
              </w:rPr>
            </w:pPr>
          </w:p>
          <w:p>
            <w:pPr>
              <w:pStyle w:val="TableParagraph"/>
              <w:spacing w:before="180"/>
              <w:rPr>
                <w:b/>
                <w:sz w:val="16"/>
              </w:rPr>
            </w:pPr>
          </w:p>
          <w:p>
            <w:pPr>
              <w:pStyle w:val="TableParagraph"/>
              <w:spacing w:before="1"/>
              <w:ind w:right="73"/>
              <w:jc w:val="right"/>
              <w:rPr>
                <w:sz w:val="16"/>
              </w:rPr>
            </w:pPr>
            <w:r>
              <w:rPr>
                <w:sz w:val="16"/>
              </w:rPr>
              <w:t>₡27</w:t>
            </w:r>
            <w:r>
              <w:rPr>
                <w:spacing w:val="-3"/>
                <w:sz w:val="16"/>
              </w:rPr>
              <w:t> </w:t>
            </w:r>
            <w:r>
              <w:rPr>
                <w:sz w:val="16"/>
              </w:rPr>
              <w:t>694</w:t>
            </w:r>
            <w:r>
              <w:rPr>
                <w:spacing w:val="-3"/>
                <w:sz w:val="16"/>
              </w:rPr>
              <w:t> </w:t>
            </w:r>
            <w:r>
              <w:rPr>
                <w:spacing w:val="-5"/>
                <w:sz w:val="16"/>
              </w:rPr>
              <w:t>478</w:t>
            </w:r>
          </w:p>
        </w:tc>
      </w:tr>
      <w:tr>
        <w:trPr>
          <w:trHeight w:val="493" w:hRule="atLeast"/>
        </w:trPr>
        <w:tc>
          <w:tcPr>
            <w:tcW w:w="1695" w:type="dxa"/>
          </w:tcPr>
          <w:p>
            <w:pPr>
              <w:pStyle w:val="TableParagraph"/>
              <w:spacing w:line="183" w:lineRule="exact" w:before="61"/>
              <w:ind w:left="72"/>
              <w:rPr>
                <w:b/>
                <w:sz w:val="16"/>
              </w:rPr>
            </w:pPr>
            <w:r>
              <w:rPr>
                <w:b/>
                <w:sz w:val="16"/>
              </w:rPr>
              <w:t>Actividad</w:t>
            </w:r>
            <w:r>
              <w:rPr>
                <w:b/>
                <w:spacing w:val="-11"/>
                <w:sz w:val="16"/>
              </w:rPr>
              <w:t> </w:t>
            </w:r>
            <w:r>
              <w:rPr>
                <w:b/>
                <w:spacing w:val="-4"/>
                <w:sz w:val="16"/>
              </w:rPr>
              <w:t>PPPS</w:t>
            </w:r>
          </w:p>
          <w:p>
            <w:pPr>
              <w:pStyle w:val="TableParagraph"/>
              <w:spacing w:line="183" w:lineRule="exact"/>
              <w:ind w:left="72"/>
              <w:rPr>
                <w:sz w:val="16"/>
              </w:rPr>
            </w:pPr>
            <w:r>
              <w:rPr>
                <w:b/>
                <w:sz w:val="16"/>
              </w:rPr>
              <w:t>1.3.8:</w:t>
            </w:r>
            <w:r>
              <w:rPr>
                <w:b/>
                <w:spacing w:val="-7"/>
                <w:sz w:val="16"/>
              </w:rPr>
              <w:t> </w:t>
            </w:r>
            <w:r>
              <w:rPr>
                <w:sz w:val="16"/>
              </w:rPr>
              <w:t>Gestionar</w:t>
            </w:r>
            <w:r>
              <w:rPr>
                <w:spacing w:val="-3"/>
                <w:sz w:val="16"/>
              </w:rPr>
              <w:t> </w:t>
            </w:r>
            <w:r>
              <w:rPr>
                <w:spacing w:val="-5"/>
                <w:sz w:val="16"/>
              </w:rPr>
              <w:t>las</w:t>
            </w:r>
          </w:p>
        </w:tc>
        <w:tc>
          <w:tcPr>
            <w:tcW w:w="1280" w:type="dxa"/>
          </w:tcPr>
          <w:p>
            <w:pPr>
              <w:pStyle w:val="TableParagraph"/>
              <w:spacing w:before="61"/>
              <w:ind w:left="72" w:right="202"/>
              <w:rPr>
                <w:sz w:val="16"/>
              </w:rPr>
            </w:pPr>
            <w:r>
              <w:rPr>
                <w:sz w:val="16"/>
              </w:rPr>
              <w:t>Porcentaje</w:t>
            </w:r>
            <w:r>
              <w:rPr>
                <w:spacing w:val="-12"/>
                <w:sz w:val="16"/>
              </w:rPr>
              <w:t> </w:t>
            </w:r>
            <w:r>
              <w:rPr>
                <w:sz w:val="16"/>
              </w:rPr>
              <w:t>de ejecución de</w:t>
            </w:r>
          </w:p>
        </w:tc>
        <w:tc>
          <w:tcPr>
            <w:tcW w:w="1275"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spacing w:before="152"/>
              <w:ind w:right="62"/>
              <w:jc w:val="right"/>
              <w:rPr>
                <w:sz w:val="16"/>
              </w:rPr>
            </w:pPr>
            <w:r>
              <w:rPr>
                <w:spacing w:val="-4"/>
                <w:sz w:val="16"/>
              </w:rPr>
              <w:t>100%</w:t>
            </w:r>
          </w:p>
        </w:tc>
        <w:tc>
          <w:tcPr>
            <w:tcW w:w="1494" w:type="dxa"/>
          </w:tcPr>
          <w:p>
            <w:pPr>
              <w:pStyle w:val="TableParagraph"/>
              <w:spacing w:before="152"/>
              <w:ind w:right="72"/>
              <w:jc w:val="right"/>
              <w:rPr>
                <w:sz w:val="16"/>
              </w:rPr>
            </w:pPr>
            <w:r>
              <w:rPr>
                <w:sz w:val="16"/>
              </w:rPr>
              <w:t>₡510</w:t>
            </w:r>
            <w:r>
              <w:rPr>
                <w:spacing w:val="-7"/>
                <w:sz w:val="16"/>
              </w:rPr>
              <w:t> </w:t>
            </w:r>
            <w:r>
              <w:rPr>
                <w:spacing w:val="-5"/>
                <w:sz w:val="16"/>
              </w:rPr>
              <w:t>000</w:t>
            </w:r>
          </w:p>
        </w:tc>
      </w:tr>
    </w:tbl>
    <w:p>
      <w:pPr>
        <w:pStyle w:val="TableParagraph"/>
        <w:spacing w:after="0"/>
        <w:jc w:val="right"/>
        <w:rPr>
          <w:sz w:val="16"/>
        </w:rPr>
        <w:sectPr>
          <w:type w:val="continuous"/>
          <w:pgSz w:w="15840" w:h="12240" w:orient="landscape"/>
          <w:pgMar w:header="0" w:footer="1806" w:top="700" w:bottom="3313"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tcBorders>
              <w:bottom w:val="nil"/>
            </w:tcBorders>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tcBorders>
              <w:bottom w:val="nil"/>
            </w:tcBorders>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bottom w:val="nil"/>
            </w:tcBorders>
            <w:shd w:val="clear" w:color="auto" w:fill="F1F1F1"/>
          </w:tcPr>
          <w:p>
            <w:pPr>
              <w:rPr>
                <w:sz w:val="2"/>
                <w:szCs w:val="2"/>
              </w:rPr>
            </w:pPr>
          </w:p>
        </w:tc>
        <w:tc>
          <w:tcPr>
            <w:tcW w:w="1278" w:type="dxa"/>
            <w:vMerge/>
            <w:tcBorders>
              <w:top w:val="nil"/>
              <w:bottom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1291" w:hRule="atLeast"/>
        </w:trPr>
        <w:tc>
          <w:tcPr>
            <w:tcW w:w="1695" w:type="dxa"/>
            <w:tcBorders>
              <w:top w:val="nil"/>
            </w:tcBorders>
          </w:tcPr>
          <w:p>
            <w:pPr>
              <w:pStyle w:val="TableParagraph"/>
              <w:ind w:left="72" w:right="103"/>
              <w:rPr>
                <w:sz w:val="16"/>
              </w:rPr>
            </w:pPr>
            <w:r>
              <w:rPr>
                <w:sz w:val="16"/>
              </w:rPr>
              <w:t>compras de Maquinaria y equipo de producción subpartida</w:t>
            </w:r>
            <w:r>
              <w:rPr>
                <w:spacing w:val="-2"/>
                <w:sz w:val="16"/>
              </w:rPr>
              <w:t> </w:t>
            </w:r>
            <w:r>
              <w:rPr>
                <w:sz w:val="16"/>
              </w:rPr>
              <w:t>5.01.01 programadas en el</w:t>
            </w:r>
          </w:p>
          <w:p>
            <w:pPr>
              <w:pStyle w:val="TableParagraph"/>
              <w:spacing w:line="182" w:lineRule="exact"/>
              <w:ind w:left="72"/>
              <w:rPr>
                <w:b/>
                <w:sz w:val="16"/>
              </w:rPr>
            </w:pPr>
            <w:r>
              <w:rPr>
                <w:sz w:val="16"/>
              </w:rPr>
              <w:t>Plan</w:t>
            </w:r>
            <w:r>
              <w:rPr>
                <w:spacing w:val="-12"/>
                <w:sz w:val="16"/>
              </w:rPr>
              <w:t> </w:t>
            </w:r>
            <w:r>
              <w:rPr>
                <w:sz w:val="16"/>
              </w:rPr>
              <w:t>de</w:t>
            </w:r>
            <w:r>
              <w:rPr>
                <w:spacing w:val="-11"/>
                <w:sz w:val="16"/>
              </w:rPr>
              <w:t> </w:t>
            </w:r>
            <w:r>
              <w:rPr>
                <w:sz w:val="16"/>
              </w:rPr>
              <w:t>Compras</w:t>
            </w:r>
            <w:r>
              <w:rPr>
                <w:spacing w:val="-11"/>
                <w:sz w:val="16"/>
              </w:rPr>
              <w:t> </w:t>
            </w:r>
            <w:r>
              <w:rPr>
                <w:sz w:val="16"/>
              </w:rPr>
              <w:t>por parte del PPPS</w:t>
            </w:r>
            <w:r>
              <w:rPr>
                <w:b/>
                <w:sz w:val="16"/>
              </w:rPr>
              <w:t>.</w:t>
            </w:r>
          </w:p>
        </w:tc>
        <w:tc>
          <w:tcPr>
            <w:tcW w:w="1278" w:type="dxa"/>
            <w:tcBorders>
              <w:top w:val="nil"/>
            </w:tcBorders>
          </w:tcPr>
          <w:p>
            <w:pPr>
              <w:pStyle w:val="TableParagraph"/>
              <w:ind w:left="72" w:right="103"/>
              <w:rPr>
                <w:sz w:val="16"/>
              </w:rPr>
            </w:pPr>
            <w:r>
              <w:rPr>
                <w:sz w:val="16"/>
              </w:rPr>
              <w:t>las</w:t>
            </w:r>
            <w:r>
              <w:rPr>
                <w:spacing w:val="-12"/>
                <w:sz w:val="16"/>
              </w:rPr>
              <w:t> </w:t>
            </w:r>
            <w:r>
              <w:rPr>
                <w:sz w:val="16"/>
              </w:rPr>
              <w:t>compras</w:t>
            </w:r>
            <w:r>
              <w:rPr>
                <w:spacing w:val="-11"/>
                <w:sz w:val="16"/>
              </w:rPr>
              <w:t> </w:t>
            </w:r>
            <w:r>
              <w:rPr>
                <w:sz w:val="16"/>
              </w:rPr>
              <w:t>de maquinaria</w:t>
            </w:r>
            <w:r>
              <w:rPr>
                <w:spacing w:val="-2"/>
                <w:sz w:val="16"/>
              </w:rPr>
              <w:t> </w:t>
            </w:r>
            <w:r>
              <w:rPr>
                <w:sz w:val="16"/>
              </w:rPr>
              <w:t>y </w:t>
            </w:r>
            <w:r>
              <w:rPr>
                <w:spacing w:val="-2"/>
                <w:sz w:val="16"/>
              </w:rPr>
              <w:t>equipo programadas </w:t>
            </w:r>
            <w:r>
              <w:rPr>
                <w:sz w:val="16"/>
              </w:rPr>
              <w:t>en el Plan de</w:t>
            </w:r>
          </w:p>
          <w:p>
            <w:pPr>
              <w:pStyle w:val="TableParagraph"/>
              <w:spacing w:line="182" w:lineRule="exact"/>
              <w:ind w:left="72"/>
              <w:rPr>
                <w:sz w:val="16"/>
              </w:rPr>
            </w:pPr>
            <w:r>
              <w:rPr>
                <w:sz w:val="16"/>
              </w:rPr>
              <w:t>Compras</w:t>
            </w:r>
            <w:r>
              <w:rPr>
                <w:spacing w:val="-12"/>
                <w:sz w:val="16"/>
              </w:rPr>
              <w:t> </w:t>
            </w:r>
            <w:r>
              <w:rPr>
                <w:sz w:val="16"/>
              </w:rPr>
              <w:t>por</w:t>
            </w:r>
            <w:r>
              <w:rPr>
                <w:spacing w:val="-11"/>
                <w:sz w:val="16"/>
              </w:rPr>
              <w:t> </w:t>
            </w:r>
            <w:r>
              <w:rPr>
                <w:sz w:val="16"/>
              </w:rPr>
              <w:t>el </w:t>
            </w:r>
            <w:r>
              <w:rPr>
                <w:spacing w:val="-2"/>
                <w:sz w:val="16"/>
              </w:rPr>
              <w:t>PPPS.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rFonts w:ascii="Times New Roman"/>
                <w:sz w:val="16"/>
              </w:rPr>
            </w:pPr>
          </w:p>
        </w:tc>
        <w:tc>
          <w:tcPr>
            <w:tcW w:w="1494" w:type="dxa"/>
          </w:tcPr>
          <w:p>
            <w:pPr>
              <w:pStyle w:val="TableParagraph"/>
              <w:rPr>
                <w:rFonts w:ascii="Times New Roman"/>
                <w:sz w:val="16"/>
              </w:rPr>
            </w:pPr>
          </w:p>
        </w:tc>
      </w:tr>
      <w:tr>
        <w:trPr>
          <w:trHeight w:val="6626" w:hRule="atLeast"/>
        </w:trPr>
        <w:tc>
          <w:tcPr>
            <w:tcW w:w="1695" w:type="dxa"/>
          </w:tcPr>
          <w:p>
            <w:pPr>
              <w:pStyle w:val="TableParagraph"/>
              <w:spacing w:line="182" w:lineRule="exact"/>
              <w:ind w:left="72"/>
              <w:rPr>
                <w:b/>
                <w:sz w:val="16"/>
              </w:rPr>
            </w:pPr>
            <w:r>
              <w:rPr>
                <w:b/>
                <w:sz w:val="16"/>
              </w:rPr>
              <w:t>Actividad</w:t>
            </w:r>
            <w:r>
              <w:rPr>
                <w:b/>
                <w:spacing w:val="-11"/>
                <w:sz w:val="16"/>
              </w:rPr>
              <w:t> </w:t>
            </w:r>
            <w:r>
              <w:rPr>
                <w:b/>
                <w:spacing w:val="-4"/>
                <w:sz w:val="16"/>
              </w:rPr>
              <w:t>PPPS</w:t>
            </w:r>
          </w:p>
          <w:p>
            <w:pPr>
              <w:pStyle w:val="TableParagraph"/>
              <w:ind w:left="72" w:right="128"/>
              <w:rPr>
                <w:sz w:val="16"/>
              </w:rPr>
            </w:pPr>
            <w:r>
              <w:rPr>
                <w:b/>
                <w:sz w:val="16"/>
              </w:rPr>
              <w:t>1.3.9: </w:t>
            </w:r>
            <w:r>
              <w:rPr>
                <w:sz w:val="16"/>
              </w:rPr>
              <w:t>Pago de servicios de </w:t>
            </w:r>
            <w:r>
              <w:rPr>
                <w:spacing w:val="-2"/>
                <w:sz w:val="16"/>
              </w:rPr>
              <w:t>mantenimiento </w:t>
            </w:r>
            <w:r>
              <w:rPr>
                <w:sz w:val="16"/>
              </w:rPr>
              <w:t>requeridos para </w:t>
            </w:r>
            <w:r>
              <w:rPr>
                <w:spacing w:val="-2"/>
                <w:sz w:val="16"/>
              </w:rPr>
              <w:t>solventar necesidades institucionales (subpartidas</w:t>
            </w:r>
            <w:r>
              <w:rPr>
                <w:spacing w:val="-4"/>
                <w:sz w:val="16"/>
              </w:rPr>
              <w:t> </w:t>
            </w:r>
            <w:r>
              <w:rPr>
                <w:spacing w:val="-2"/>
                <w:sz w:val="16"/>
              </w:rPr>
              <w:t>1.08.01 </w:t>
            </w:r>
            <w:r>
              <w:rPr>
                <w:sz w:val="16"/>
              </w:rPr>
              <w:t>Mantenimiento</w:t>
            </w:r>
            <w:r>
              <w:rPr>
                <w:spacing w:val="-2"/>
                <w:sz w:val="16"/>
              </w:rPr>
              <w:t> </w:t>
            </w:r>
            <w:r>
              <w:rPr>
                <w:sz w:val="16"/>
              </w:rPr>
              <w:t>de edificios, locales y terrenos,</w:t>
            </w:r>
            <w:r>
              <w:rPr>
                <w:spacing w:val="-7"/>
                <w:sz w:val="16"/>
              </w:rPr>
              <w:t> </w:t>
            </w:r>
            <w:r>
              <w:rPr>
                <w:sz w:val="16"/>
              </w:rPr>
              <w:t>subpartida </w:t>
            </w:r>
            <w:r>
              <w:rPr>
                <w:spacing w:val="-2"/>
                <w:sz w:val="16"/>
              </w:rPr>
              <w:t>1.08.03</w:t>
            </w:r>
          </w:p>
          <w:p>
            <w:pPr>
              <w:pStyle w:val="TableParagraph"/>
              <w:ind w:left="72" w:right="157"/>
              <w:rPr>
                <w:sz w:val="16"/>
              </w:rPr>
            </w:pPr>
            <w:r>
              <w:rPr>
                <w:sz w:val="16"/>
              </w:rPr>
              <w:t>Mantenimiento</w:t>
            </w:r>
            <w:r>
              <w:rPr>
                <w:spacing w:val="-2"/>
                <w:sz w:val="16"/>
              </w:rPr>
              <w:t> </w:t>
            </w:r>
            <w:r>
              <w:rPr>
                <w:sz w:val="16"/>
              </w:rPr>
              <w:t>de Instalaciones</w:t>
            </w:r>
            <w:r>
              <w:rPr>
                <w:spacing w:val="-12"/>
                <w:sz w:val="16"/>
              </w:rPr>
              <w:t> </w:t>
            </w:r>
            <w:r>
              <w:rPr>
                <w:sz w:val="16"/>
              </w:rPr>
              <w:t>y</w:t>
            </w:r>
            <w:r>
              <w:rPr>
                <w:spacing w:val="-11"/>
                <w:sz w:val="16"/>
              </w:rPr>
              <w:t> </w:t>
            </w:r>
            <w:r>
              <w:rPr>
                <w:sz w:val="16"/>
              </w:rPr>
              <w:t>otras obras, 1.08.04 Mantenimiento</w:t>
            </w:r>
            <w:r>
              <w:rPr>
                <w:spacing w:val="-2"/>
                <w:sz w:val="16"/>
              </w:rPr>
              <w:t> </w:t>
            </w:r>
            <w:r>
              <w:rPr>
                <w:sz w:val="16"/>
              </w:rPr>
              <w:t>y reparación de maquinaria</w:t>
            </w:r>
            <w:r>
              <w:rPr>
                <w:spacing w:val="-12"/>
                <w:sz w:val="16"/>
              </w:rPr>
              <w:t> </w:t>
            </w:r>
            <w:r>
              <w:rPr>
                <w:sz w:val="16"/>
              </w:rPr>
              <w:t>y</w:t>
            </w:r>
            <w:r>
              <w:rPr>
                <w:spacing w:val="-11"/>
                <w:sz w:val="16"/>
              </w:rPr>
              <w:t> </w:t>
            </w:r>
            <w:r>
              <w:rPr>
                <w:sz w:val="16"/>
              </w:rPr>
              <w:t>equipo producción. 1.08.06 Mantenimiento</w:t>
            </w:r>
            <w:r>
              <w:rPr>
                <w:spacing w:val="-2"/>
                <w:sz w:val="16"/>
              </w:rPr>
              <w:t> </w:t>
            </w:r>
            <w:r>
              <w:rPr>
                <w:sz w:val="16"/>
              </w:rPr>
              <w:t>de equipo de </w:t>
            </w:r>
            <w:r>
              <w:rPr>
                <w:spacing w:val="-2"/>
                <w:sz w:val="16"/>
              </w:rPr>
              <w:t>comunicación.</w:t>
            </w:r>
          </w:p>
          <w:p>
            <w:pPr>
              <w:pStyle w:val="TableParagraph"/>
              <w:spacing w:line="183" w:lineRule="exact"/>
              <w:ind w:left="72"/>
              <w:rPr>
                <w:sz w:val="16"/>
              </w:rPr>
            </w:pPr>
            <w:r>
              <w:rPr>
                <w:spacing w:val="-2"/>
                <w:sz w:val="16"/>
              </w:rPr>
              <w:t>1.08.07</w:t>
            </w:r>
          </w:p>
          <w:p>
            <w:pPr>
              <w:pStyle w:val="TableParagraph"/>
              <w:spacing w:before="3"/>
              <w:ind w:left="72" w:right="112"/>
              <w:rPr>
                <w:sz w:val="16"/>
              </w:rPr>
            </w:pPr>
            <w:r>
              <w:rPr>
                <w:sz w:val="16"/>
              </w:rPr>
              <w:t>Mantenimiento</w:t>
            </w:r>
            <w:r>
              <w:rPr>
                <w:spacing w:val="-2"/>
                <w:sz w:val="16"/>
              </w:rPr>
              <w:t> </w:t>
            </w:r>
            <w:r>
              <w:rPr>
                <w:sz w:val="16"/>
              </w:rPr>
              <w:t>y reparación</w:t>
            </w:r>
            <w:r>
              <w:rPr>
                <w:spacing w:val="-12"/>
                <w:sz w:val="16"/>
              </w:rPr>
              <w:t> </w:t>
            </w:r>
            <w:r>
              <w:rPr>
                <w:sz w:val="16"/>
              </w:rPr>
              <w:t>de</w:t>
            </w:r>
            <w:r>
              <w:rPr>
                <w:spacing w:val="-11"/>
                <w:sz w:val="16"/>
              </w:rPr>
              <w:t> </w:t>
            </w:r>
            <w:r>
              <w:rPr>
                <w:sz w:val="16"/>
              </w:rPr>
              <w:t>equipo y mobiliario de oficina. 1.08.08 Mantenimiento</w:t>
            </w:r>
            <w:r>
              <w:rPr>
                <w:spacing w:val="-2"/>
                <w:sz w:val="16"/>
              </w:rPr>
              <w:t> </w:t>
            </w:r>
            <w:r>
              <w:rPr>
                <w:sz w:val="16"/>
              </w:rPr>
              <w:t>y reparación</w:t>
            </w:r>
            <w:r>
              <w:rPr>
                <w:spacing w:val="-12"/>
                <w:sz w:val="16"/>
              </w:rPr>
              <w:t> </w:t>
            </w:r>
            <w:r>
              <w:rPr>
                <w:sz w:val="16"/>
              </w:rPr>
              <w:t>de</w:t>
            </w:r>
            <w:r>
              <w:rPr>
                <w:spacing w:val="-11"/>
                <w:sz w:val="16"/>
              </w:rPr>
              <w:t> </w:t>
            </w:r>
            <w:r>
              <w:rPr>
                <w:sz w:val="16"/>
              </w:rPr>
              <w:t>equipo de cómputo y sistemas de Información. 1.08.99 Mantenimiento</w:t>
            </w:r>
            <w:r>
              <w:rPr>
                <w:spacing w:val="-2"/>
                <w:sz w:val="16"/>
              </w:rPr>
              <w:t> </w:t>
            </w:r>
            <w:r>
              <w:rPr>
                <w:sz w:val="16"/>
              </w:rPr>
              <w:t>y reparación de otros</w:t>
            </w:r>
          </w:p>
          <w:p>
            <w:pPr>
              <w:pStyle w:val="TableParagraph"/>
              <w:spacing w:line="166" w:lineRule="exact"/>
              <w:ind w:left="72"/>
              <w:rPr>
                <w:sz w:val="16"/>
              </w:rPr>
            </w:pPr>
            <w:r>
              <w:rPr>
                <w:spacing w:val="-2"/>
                <w:sz w:val="16"/>
              </w:rPr>
              <w:t>equipos.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left="72" w:right="104"/>
              <w:rPr>
                <w:sz w:val="16"/>
              </w:rPr>
            </w:pPr>
            <w:r>
              <w:rPr>
                <w:sz w:val="16"/>
              </w:rPr>
              <w:t>Porcentaje de </w:t>
            </w:r>
            <w:r>
              <w:rPr>
                <w:spacing w:val="-2"/>
                <w:sz w:val="16"/>
              </w:rPr>
              <w:t>presupuesto programado </w:t>
            </w:r>
            <w:r>
              <w:rPr>
                <w:sz w:val="16"/>
              </w:rPr>
              <w:t>que se invierte en el pago de servicios de </w:t>
            </w:r>
            <w:r>
              <w:rPr>
                <w:spacing w:val="-2"/>
                <w:sz w:val="16"/>
              </w:rPr>
              <w:t>mantenimiento.</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left="865"/>
              <w:rPr>
                <w:sz w:val="16"/>
              </w:rPr>
            </w:pPr>
            <w:r>
              <w:rPr>
                <w:spacing w:val="-4"/>
                <w:sz w:val="16"/>
              </w:rPr>
              <w:t>100%</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left="408"/>
              <w:rPr>
                <w:sz w:val="16"/>
              </w:rPr>
            </w:pPr>
            <w:r>
              <w:rPr>
                <w:sz w:val="16"/>
              </w:rPr>
              <w:t>₡382</w:t>
            </w:r>
            <w:r>
              <w:rPr>
                <w:spacing w:val="-5"/>
                <w:sz w:val="16"/>
              </w:rPr>
              <w:t> </w:t>
            </w:r>
            <w:r>
              <w:rPr>
                <w:sz w:val="16"/>
              </w:rPr>
              <w:t>853</w:t>
            </w:r>
            <w:r>
              <w:rPr>
                <w:spacing w:val="-4"/>
                <w:sz w:val="16"/>
              </w:rPr>
              <w:t> </w:t>
            </w:r>
            <w:r>
              <w:rPr>
                <w:spacing w:val="-5"/>
                <w:sz w:val="16"/>
              </w:rPr>
              <w:t>058</w:t>
            </w:r>
          </w:p>
        </w:tc>
      </w:tr>
    </w:tbl>
    <w:p>
      <w:pPr>
        <w:pStyle w:val="TableParagraph"/>
        <w:spacing w:after="0"/>
        <w:rPr>
          <w:sz w:val="16"/>
        </w:rPr>
        <w:sectPr>
          <w:type w:val="continuous"/>
          <w:pgSz w:w="15840" w:h="12240" w:orient="landscape"/>
          <w:pgMar w:header="0" w:footer="1806" w:top="700" w:bottom="2547"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691" w:hRule="atLeast"/>
        </w:trPr>
        <w:tc>
          <w:tcPr>
            <w:tcW w:w="14323" w:type="dxa"/>
            <w:gridSpan w:val="10"/>
            <w:shd w:val="clear" w:color="auto" w:fill="EFF8F9"/>
          </w:tcPr>
          <w:p>
            <w:pPr>
              <w:pStyle w:val="TableParagraph"/>
              <w:spacing w:before="162"/>
              <w:ind w:left="72" w:right="95"/>
              <w:rPr>
                <w:b/>
                <w:sz w:val="16"/>
              </w:rPr>
            </w:pPr>
            <w:r>
              <w:rPr>
                <w:b/>
                <w:sz w:val="16"/>
              </w:rPr>
              <w:t>Producto</w:t>
            </w:r>
            <w:r>
              <w:rPr>
                <w:b/>
                <w:spacing w:val="-1"/>
                <w:sz w:val="16"/>
              </w:rPr>
              <w:t> </w:t>
            </w:r>
            <w:r>
              <w:rPr>
                <w:b/>
                <w:sz w:val="16"/>
              </w:rPr>
              <w:t>PPPS 1.4:</w:t>
            </w:r>
            <w:r>
              <w:rPr>
                <w:b/>
                <w:spacing w:val="40"/>
                <w:sz w:val="16"/>
              </w:rPr>
              <w:t> </w:t>
            </w:r>
            <w:r>
              <w:rPr>
                <w:b/>
                <w:sz w:val="16"/>
              </w:rPr>
              <w:t>Mejora</w:t>
            </w:r>
            <w:r>
              <w:rPr>
                <w:b/>
                <w:spacing w:val="-2"/>
                <w:sz w:val="16"/>
              </w:rPr>
              <w:t> </w:t>
            </w:r>
            <w:r>
              <w:rPr>
                <w:b/>
                <w:sz w:val="16"/>
              </w:rPr>
              <w:t>en</w:t>
            </w:r>
            <w:r>
              <w:rPr>
                <w:b/>
                <w:spacing w:val="-1"/>
                <w:sz w:val="16"/>
              </w:rPr>
              <w:t> </w:t>
            </w:r>
            <w:r>
              <w:rPr>
                <w:b/>
                <w:sz w:val="16"/>
              </w:rPr>
              <w:t>la</w:t>
            </w:r>
            <w:r>
              <w:rPr>
                <w:b/>
                <w:spacing w:val="-2"/>
                <w:sz w:val="16"/>
              </w:rPr>
              <w:t> </w:t>
            </w:r>
            <w:r>
              <w:rPr>
                <w:b/>
                <w:sz w:val="16"/>
              </w:rPr>
              <w:t>atención</w:t>
            </w:r>
            <w:r>
              <w:rPr>
                <w:b/>
                <w:spacing w:val="-4"/>
                <w:sz w:val="16"/>
              </w:rPr>
              <w:t> </w:t>
            </w:r>
            <w:r>
              <w:rPr>
                <w:b/>
                <w:sz w:val="16"/>
              </w:rPr>
              <w:t>de</w:t>
            </w:r>
            <w:r>
              <w:rPr>
                <w:b/>
                <w:spacing w:val="-5"/>
                <w:sz w:val="16"/>
              </w:rPr>
              <w:t> </w:t>
            </w:r>
            <w:r>
              <w:rPr>
                <w:b/>
                <w:sz w:val="16"/>
              </w:rPr>
              <w:t>las</w:t>
            </w:r>
            <w:r>
              <w:rPr>
                <w:b/>
                <w:spacing w:val="-2"/>
                <w:sz w:val="16"/>
              </w:rPr>
              <w:t> </w:t>
            </w:r>
            <w:r>
              <w:rPr>
                <w:b/>
                <w:sz w:val="16"/>
              </w:rPr>
              <w:t>necesidades</w:t>
            </w:r>
            <w:r>
              <w:rPr>
                <w:b/>
                <w:spacing w:val="-5"/>
                <w:sz w:val="16"/>
              </w:rPr>
              <w:t> </w:t>
            </w:r>
            <w:r>
              <w:rPr>
                <w:b/>
                <w:sz w:val="16"/>
              </w:rPr>
              <w:t>básicas</w:t>
            </w:r>
            <w:r>
              <w:rPr>
                <w:b/>
                <w:spacing w:val="-2"/>
                <w:sz w:val="16"/>
              </w:rPr>
              <w:t> </w:t>
            </w:r>
            <w:r>
              <w:rPr>
                <w:b/>
                <w:sz w:val="16"/>
              </w:rPr>
              <w:t>de</w:t>
            </w:r>
            <w:r>
              <w:rPr>
                <w:b/>
                <w:spacing w:val="-2"/>
                <w:sz w:val="16"/>
              </w:rPr>
              <w:t> </w:t>
            </w:r>
            <w:r>
              <w:rPr>
                <w:b/>
                <w:sz w:val="16"/>
              </w:rPr>
              <w:t>los</w:t>
            </w:r>
            <w:r>
              <w:rPr>
                <w:b/>
                <w:spacing w:val="-5"/>
                <w:sz w:val="16"/>
              </w:rPr>
              <w:t> </w:t>
            </w:r>
            <w:r>
              <w:rPr>
                <w:b/>
                <w:sz w:val="16"/>
              </w:rPr>
              <w:t>hogares</w:t>
            </w:r>
            <w:r>
              <w:rPr>
                <w:b/>
                <w:spacing w:val="-2"/>
                <w:sz w:val="16"/>
              </w:rPr>
              <w:t> </w:t>
            </w:r>
            <w:r>
              <w:rPr>
                <w:b/>
                <w:sz w:val="16"/>
              </w:rPr>
              <w:t>en</w:t>
            </w:r>
            <w:r>
              <w:rPr>
                <w:b/>
                <w:spacing w:val="-4"/>
                <w:sz w:val="16"/>
              </w:rPr>
              <w:t> </w:t>
            </w:r>
            <w:r>
              <w:rPr>
                <w:b/>
                <w:sz w:val="16"/>
              </w:rPr>
              <w:t>situación</w:t>
            </w:r>
            <w:r>
              <w:rPr>
                <w:b/>
                <w:spacing w:val="-1"/>
                <w:sz w:val="16"/>
              </w:rPr>
              <w:t> </w:t>
            </w:r>
            <w:r>
              <w:rPr>
                <w:b/>
                <w:sz w:val="16"/>
              </w:rPr>
              <w:t>de</w:t>
            </w:r>
            <w:r>
              <w:rPr>
                <w:b/>
                <w:spacing w:val="-2"/>
                <w:sz w:val="16"/>
              </w:rPr>
              <w:t> </w:t>
            </w:r>
            <w:r>
              <w:rPr>
                <w:b/>
                <w:sz w:val="16"/>
              </w:rPr>
              <w:t>pobreza</w:t>
            </w:r>
            <w:r>
              <w:rPr>
                <w:b/>
                <w:spacing w:val="-2"/>
                <w:sz w:val="16"/>
              </w:rPr>
              <w:t> </w:t>
            </w:r>
            <w:r>
              <w:rPr>
                <w:b/>
                <w:sz w:val="16"/>
              </w:rPr>
              <w:t>mediante</w:t>
            </w:r>
            <w:r>
              <w:rPr>
                <w:b/>
                <w:spacing w:val="-2"/>
                <w:sz w:val="16"/>
              </w:rPr>
              <w:t> </w:t>
            </w:r>
            <w:r>
              <w:rPr>
                <w:b/>
                <w:sz w:val="16"/>
              </w:rPr>
              <w:t>el</w:t>
            </w:r>
            <w:r>
              <w:rPr>
                <w:b/>
                <w:spacing w:val="-1"/>
                <w:sz w:val="16"/>
              </w:rPr>
              <w:t> </w:t>
            </w:r>
            <w:r>
              <w:rPr>
                <w:b/>
                <w:sz w:val="16"/>
              </w:rPr>
              <w:t>acceso</w:t>
            </w:r>
            <w:r>
              <w:rPr>
                <w:b/>
                <w:spacing w:val="-1"/>
                <w:sz w:val="16"/>
              </w:rPr>
              <w:t> </w:t>
            </w:r>
            <w:r>
              <w:rPr>
                <w:b/>
                <w:sz w:val="16"/>
              </w:rPr>
              <w:t>a</w:t>
            </w:r>
            <w:r>
              <w:rPr>
                <w:b/>
                <w:spacing w:val="-5"/>
                <w:sz w:val="16"/>
              </w:rPr>
              <w:t> </w:t>
            </w:r>
            <w:r>
              <w:rPr>
                <w:b/>
                <w:sz w:val="16"/>
              </w:rPr>
              <w:t>programas</w:t>
            </w:r>
            <w:r>
              <w:rPr>
                <w:b/>
                <w:spacing w:val="-2"/>
                <w:sz w:val="16"/>
              </w:rPr>
              <w:t> </w:t>
            </w:r>
            <w:r>
              <w:rPr>
                <w:b/>
                <w:sz w:val="16"/>
              </w:rPr>
              <w:t>sociales</w:t>
            </w:r>
            <w:r>
              <w:rPr>
                <w:b/>
                <w:spacing w:val="-2"/>
                <w:sz w:val="16"/>
              </w:rPr>
              <w:t> </w:t>
            </w:r>
            <w:r>
              <w:rPr>
                <w:b/>
                <w:sz w:val="16"/>
              </w:rPr>
              <w:t>articulados</w:t>
            </w:r>
            <w:r>
              <w:rPr>
                <w:b/>
                <w:spacing w:val="-2"/>
                <w:sz w:val="16"/>
              </w:rPr>
              <w:t> </w:t>
            </w:r>
            <w:r>
              <w:rPr>
                <w:b/>
                <w:sz w:val="16"/>
              </w:rPr>
              <w:t>con</w:t>
            </w:r>
            <w:r>
              <w:rPr>
                <w:b/>
                <w:spacing w:val="-4"/>
                <w:sz w:val="16"/>
              </w:rPr>
              <w:t> </w:t>
            </w:r>
            <w:r>
              <w:rPr>
                <w:b/>
                <w:sz w:val="16"/>
              </w:rPr>
              <w:t>énfasis</w:t>
            </w:r>
            <w:r>
              <w:rPr>
                <w:b/>
                <w:spacing w:val="-2"/>
                <w:sz w:val="16"/>
              </w:rPr>
              <w:t> </w:t>
            </w:r>
            <w:r>
              <w:rPr>
                <w:b/>
                <w:sz w:val="16"/>
              </w:rPr>
              <w:t>en mujeres jefas de hogar, personas con discapacidad y otros grupos sociales en situación de pobreza.</w:t>
            </w:r>
          </w:p>
        </w:tc>
      </w:tr>
      <w:tr>
        <w:trPr>
          <w:trHeight w:val="3500" w:hRule="atLeast"/>
        </w:trPr>
        <w:tc>
          <w:tcPr>
            <w:tcW w:w="1695" w:type="dxa"/>
          </w:tcPr>
          <w:p>
            <w:pPr>
              <w:pStyle w:val="TableParagraph"/>
              <w:spacing w:line="244" w:lineRule="auto"/>
              <w:ind w:left="72" w:right="103"/>
              <w:rPr>
                <w:b/>
                <w:sz w:val="16"/>
              </w:rPr>
            </w:pPr>
            <w:r>
              <w:rPr>
                <w:b/>
                <w:spacing w:val="-2"/>
                <w:sz w:val="16"/>
              </w:rPr>
              <w:t>Actividad</w:t>
            </w:r>
            <w:r>
              <w:rPr>
                <w:b/>
                <w:spacing w:val="-10"/>
                <w:sz w:val="16"/>
              </w:rPr>
              <w:t> </w:t>
            </w:r>
            <w:r>
              <w:rPr>
                <w:b/>
                <w:spacing w:val="-2"/>
                <w:sz w:val="16"/>
              </w:rPr>
              <w:t>PPPS 1.4.1:</w:t>
            </w:r>
          </w:p>
          <w:p>
            <w:pPr>
              <w:pStyle w:val="TableParagraph"/>
              <w:ind w:left="72" w:right="68"/>
              <w:rPr>
                <w:sz w:val="16"/>
              </w:rPr>
            </w:pPr>
            <w:r>
              <w:rPr>
                <w:sz w:val="16"/>
              </w:rPr>
              <w:t>Atención de hogares en situación de pobreza mediante su incorporación en el Modelo de </w:t>
            </w:r>
            <w:r>
              <w:rPr>
                <w:spacing w:val="-2"/>
                <w:sz w:val="16"/>
              </w:rPr>
              <w:t>Intervención </w:t>
            </w:r>
            <w:r>
              <w:rPr>
                <w:sz w:val="16"/>
              </w:rPr>
              <w:t>Institucional</w:t>
            </w:r>
            <w:r>
              <w:rPr>
                <w:spacing w:val="-12"/>
                <w:sz w:val="16"/>
              </w:rPr>
              <w:t> </w:t>
            </w:r>
            <w:r>
              <w:rPr>
                <w:sz w:val="16"/>
              </w:rPr>
              <w:t>y</w:t>
            </w:r>
            <w:r>
              <w:rPr>
                <w:spacing w:val="-5"/>
                <w:sz w:val="16"/>
              </w:rPr>
              <w:t> </w:t>
            </w:r>
            <w:r>
              <w:rPr>
                <w:sz w:val="16"/>
              </w:rPr>
              <w:t>acceso a procesos de atención integral con un</w:t>
            </w:r>
            <w:r>
              <w:rPr>
                <w:spacing w:val="-11"/>
                <w:sz w:val="16"/>
              </w:rPr>
              <w:t> </w:t>
            </w:r>
            <w:r>
              <w:rPr>
                <w:sz w:val="16"/>
              </w:rPr>
              <w:t>Plan</w:t>
            </w:r>
            <w:r>
              <w:rPr>
                <w:spacing w:val="-11"/>
                <w:sz w:val="16"/>
              </w:rPr>
              <w:t> </w:t>
            </w:r>
            <w:r>
              <w:rPr>
                <w:sz w:val="16"/>
              </w:rPr>
              <w:t>de</w:t>
            </w:r>
            <w:r>
              <w:rPr>
                <w:spacing w:val="-11"/>
                <w:sz w:val="16"/>
              </w:rPr>
              <w:t> </w:t>
            </w:r>
            <w:r>
              <w:rPr>
                <w:sz w:val="16"/>
              </w:rPr>
              <w:t>Ascenso</w:t>
            </w:r>
            <w:r>
              <w:rPr>
                <w:spacing w:val="-11"/>
                <w:sz w:val="16"/>
              </w:rPr>
              <w:t> </w:t>
            </w:r>
            <w:r>
              <w:rPr>
                <w:sz w:val="16"/>
              </w:rPr>
              <w:t>y subsidios de capacitación y </w:t>
            </w:r>
            <w:r>
              <w:rPr>
                <w:spacing w:val="-2"/>
                <w:sz w:val="16"/>
              </w:rPr>
              <w:t>emprendimientos productivos individuales</w:t>
            </w:r>
          </w:p>
          <w:p>
            <w:pPr>
              <w:pStyle w:val="TableParagraph"/>
              <w:spacing w:line="182" w:lineRule="exact"/>
              <w:ind w:left="72"/>
              <w:rPr>
                <w:sz w:val="16"/>
              </w:rPr>
            </w:pPr>
            <w:r>
              <w:rPr>
                <w:sz w:val="16"/>
              </w:rPr>
              <w:t>(vinculada</w:t>
            </w:r>
            <w:r>
              <w:rPr>
                <w:spacing w:val="-12"/>
                <w:sz w:val="16"/>
              </w:rPr>
              <w:t> </w:t>
            </w:r>
            <w:r>
              <w:rPr>
                <w:sz w:val="16"/>
              </w:rPr>
              <w:t>a</w:t>
            </w:r>
            <w:r>
              <w:rPr>
                <w:spacing w:val="-11"/>
                <w:sz w:val="16"/>
              </w:rPr>
              <w:t> </w:t>
            </w:r>
            <w:r>
              <w:rPr>
                <w:sz w:val="16"/>
              </w:rPr>
              <w:t>PNDIP </w:t>
            </w:r>
            <w:r>
              <w:rPr>
                <w:spacing w:val="-2"/>
                <w:sz w:val="16"/>
              </w:rPr>
              <w:t>A.3).</w:t>
            </w:r>
          </w:p>
        </w:tc>
        <w:tc>
          <w:tcPr>
            <w:tcW w:w="1278" w:type="dxa"/>
          </w:tcPr>
          <w:p>
            <w:pPr>
              <w:pStyle w:val="TableParagraph"/>
              <w:spacing w:before="92"/>
              <w:rPr>
                <w:b/>
                <w:sz w:val="16"/>
              </w:rPr>
            </w:pPr>
          </w:p>
          <w:p>
            <w:pPr>
              <w:pStyle w:val="TableParagraph"/>
              <w:spacing w:before="1"/>
              <w:ind w:left="72" w:right="103"/>
              <w:rPr>
                <w:sz w:val="16"/>
              </w:rPr>
            </w:pPr>
            <w:r>
              <w:rPr>
                <w:sz w:val="16"/>
              </w:rPr>
              <w:t>Cantidad de hogares en situación</w:t>
            </w:r>
            <w:r>
              <w:rPr>
                <w:spacing w:val="-2"/>
                <w:sz w:val="16"/>
              </w:rPr>
              <w:t> </w:t>
            </w:r>
            <w:r>
              <w:rPr>
                <w:sz w:val="16"/>
              </w:rPr>
              <w:t>de </w:t>
            </w:r>
            <w:r>
              <w:rPr>
                <w:spacing w:val="-2"/>
                <w:sz w:val="16"/>
              </w:rPr>
              <w:t>pobreza incorporados</w:t>
            </w:r>
            <w:r>
              <w:rPr>
                <w:spacing w:val="40"/>
                <w:sz w:val="16"/>
              </w:rPr>
              <w:t> </w:t>
            </w:r>
            <w:r>
              <w:rPr>
                <w:sz w:val="16"/>
              </w:rPr>
              <w:t>en el Modelo de</w:t>
            </w:r>
            <w:r>
              <w:rPr>
                <w:spacing w:val="-12"/>
                <w:sz w:val="16"/>
              </w:rPr>
              <w:t> </w:t>
            </w:r>
            <w:r>
              <w:rPr>
                <w:sz w:val="16"/>
              </w:rPr>
              <w:t>Intervención </w:t>
            </w:r>
            <w:r>
              <w:rPr>
                <w:spacing w:val="-2"/>
                <w:sz w:val="16"/>
              </w:rPr>
              <w:t>Institucional, </w:t>
            </w:r>
            <w:r>
              <w:rPr>
                <w:sz w:val="16"/>
              </w:rPr>
              <w:t>con</w:t>
            </w:r>
            <w:r>
              <w:rPr>
                <w:spacing w:val="-5"/>
                <w:sz w:val="16"/>
              </w:rPr>
              <w:t> </w:t>
            </w:r>
            <w:r>
              <w:rPr>
                <w:sz w:val="16"/>
              </w:rPr>
              <w:t>un</w:t>
            </w:r>
            <w:r>
              <w:rPr>
                <w:spacing w:val="-5"/>
                <w:sz w:val="16"/>
              </w:rPr>
              <w:t> </w:t>
            </w:r>
            <w:r>
              <w:rPr>
                <w:sz w:val="16"/>
              </w:rPr>
              <w:t>Plan</w:t>
            </w:r>
            <w:r>
              <w:rPr>
                <w:spacing w:val="-5"/>
                <w:sz w:val="16"/>
              </w:rPr>
              <w:t> </w:t>
            </w:r>
            <w:r>
              <w:rPr>
                <w:sz w:val="16"/>
              </w:rPr>
              <w:t>de Ascenso</w:t>
            </w:r>
            <w:r>
              <w:rPr>
                <w:spacing w:val="-2"/>
                <w:sz w:val="16"/>
              </w:rPr>
              <w:t> </w:t>
            </w:r>
            <w:r>
              <w:rPr>
                <w:sz w:val="16"/>
              </w:rPr>
              <w:t>y subsidios de capacitación y </w:t>
            </w:r>
            <w:r>
              <w:rPr>
                <w:spacing w:val="-2"/>
                <w:sz w:val="16"/>
              </w:rPr>
              <w:t>emprendimient </w:t>
            </w:r>
            <w:r>
              <w:rPr>
                <w:sz w:val="16"/>
              </w:rPr>
              <w:t>os productivos </w:t>
            </w:r>
            <w:r>
              <w:rPr>
                <w:spacing w:val="-2"/>
                <w:sz w:val="16"/>
              </w:rPr>
              <w:t>individuales asignados.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21" w:right="17"/>
              <w:jc w:val="center"/>
              <w:rPr>
                <w:sz w:val="16"/>
              </w:rPr>
            </w:pPr>
            <w:r>
              <w:rPr>
                <w:spacing w:val="-5"/>
                <w:sz w:val="16"/>
              </w:rPr>
              <w:t>500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right="388"/>
              <w:jc w:val="right"/>
              <w:rPr>
                <w:sz w:val="16"/>
              </w:rPr>
            </w:pPr>
            <w:r>
              <w:rPr>
                <w:spacing w:val="-4"/>
                <w:sz w:val="16"/>
              </w:rPr>
              <w:t>2500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16" w:right="24"/>
              <w:jc w:val="center"/>
              <w:rPr>
                <w:sz w:val="16"/>
              </w:rPr>
            </w:pPr>
            <w:r>
              <w:rPr>
                <w:spacing w:val="-4"/>
                <w:sz w:val="16"/>
              </w:rPr>
              <w:t>6000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3" w:right="4"/>
              <w:jc w:val="center"/>
              <w:rPr>
                <w:sz w:val="16"/>
              </w:rPr>
            </w:pPr>
            <w:r>
              <w:rPr>
                <w:spacing w:val="-4"/>
                <w:sz w:val="16"/>
              </w:rPr>
              <w:t>7000</w:t>
            </w:r>
          </w:p>
        </w:tc>
        <w:tc>
          <w:tcPr>
            <w:tcW w:w="1494" w:type="dxa"/>
          </w:tcPr>
          <w:p>
            <w:pPr>
              <w:pStyle w:val="TableParagraph"/>
              <w:rPr>
                <w:rFonts w:ascii="Times New Roman"/>
                <w:sz w:val="16"/>
              </w:rPr>
            </w:pPr>
          </w:p>
        </w:tc>
      </w:tr>
      <w:tr>
        <w:trPr>
          <w:trHeight w:val="494" w:hRule="atLeast"/>
        </w:trPr>
        <w:tc>
          <w:tcPr>
            <w:tcW w:w="14323" w:type="dxa"/>
            <w:gridSpan w:val="10"/>
            <w:shd w:val="clear" w:color="auto" w:fill="EFF8F9"/>
          </w:tcPr>
          <w:p>
            <w:pPr>
              <w:pStyle w:val="TableParagraph"/>
              <w:ind w:left="72" w:right="95"/>
              <w:rPr>
                <w:b/>
                <w:sz w:val="16"/>
              </w:rPr>
            </w:pPr>
            <w:r>
              <w:rPr>
                <w:b/>
                <w:sz w:val="16"/>
              </w:rPr>
              <w:t>Producto</w:t>
            </w:r>
            <w:r>
              <w:rPr>
                <w:b/>
                <w:spacing w:val="-1"/>
                <w:sz w:val="16"/>
              </w:rPr>
              <w:t> </w:t>
            </w:r>
            <w:r>
              <w:rPr>
                <w:b/>
                <w:sz w:val="16"/>
              </w:rPr>
              <w:t>PPPS 1.5:</w:t>
            </w:r>
            <w:r>
              <w:rPr>
                <w:b/>
                <w:spacing w:val="80"/>
                <w:sz w:val="16"/>
              </w:rPr>
              <w:t> </w:t>
            </w:r>
            <w:r>
              <w:rPr>
                <w:b/>
                <w:sz w:val="16"/>
              </w:rPr>
              <w:t>Fortalecer la</w:t>
            </w:r>
            <w:r>
              <w:rPr>
                <w:b/>
                <w:spacing w:val="-1"/>
                <w:sz w:val="16"/>
              </w:rPr>
              <w:t> </w:t>
            </w:r>
            <w:r>
              <w:rPr>
                <w:b/>
                <w:sz w:val="16"/>
              </w:rPr>
              <w:t>consolidación</w:t>
            </w:r>
            <w:r>
              <w:rPr>
                <w:b/>
                <w:spacing w:val="-1"/>
                <w:sz w:val="16"/>
              </w:rPr>
              <w:t> </w:t>
            </w:r>
            <w:r>
              <w:rPr>
                <w:b/>
                <w:sz w:val="16"/>
              </w:rPr>
              <w:t>del</w:t>
            </w:r>
            <w:r>
              <w:rPr>
                <w:b/>
                <w:spacing w:val="-4"/>
                <w:sz w:val="16"/>
              </w:rPr>
              <w:t> </w:t>
            </w:r>
            <w:r>
              <w:rPr>
                <w:b/>
                <w:sz w:val="16"/>
              </w:rPr>
              <w:t>Sistema</w:t>
            </w:r>
            <w:r>
              <w:rPr>
                <w:b/>
                <w:spacing w:val="-5"/>
                <w:sz w:val="16"/>
              </w:rPr>
              <w:t> </w:t>
            </w:r>
            <w:r>
              <w:rPr>
                <w:b/>
                <w:sz w:val="16"/>
              </w:rPr>
              <w:t>Nacional</w:t>
            </w:r>
            <w:r>
              <w:rPr>
                <w:b/>
                <w:spacing w:val="-1"/>
                <w:sz w:val="16"/>
              </w:rPr>
              <w:t> </w:t>
            </w:r>
            <w:r>
              <w:rPr>
                <w:b/>
                <w:sz w:val="16"/>
              </w:rPr>
              <w:t>de</w:t>
            </w:r>
            <w:r>
              <w:rPr>
                <w:b/>
                <w:spacing w:val="-1"/>
                <w:sz w:val="16"/>
              </w:rPr>
              <w:t> </w:t>
            </w:r>
            <w:r>
              <w:rPr>
                <w:b/>
                <w:sz w:val="16"/>
              </w:rPr>
              <w:t>Cuidados</w:t>
            </w:r>
            <w:r>
              <w:rPr>
                <w:b/>
                <w:spacing w:val="-5"/>
                <w:sz w:val="16"/>
              </w:rPr>
              <w:t> </w:t>
            </w:r>
            <w:r>
              <w:rPr>
                <w:b/>
                <w:sz w:val="16"/>
              </w:rPr>
              <w:t>para</w:t>
            </w:r>
            <w:r>
              <w:rPr>
                <w:b/>
                <w:spacing w:val="-1"/>
                <w:sz w:val="16"/>
              </w:rPr>
              <w:t> </w:t>
            </w:r>
            <w:r>
              <w:rPr>
                <w:b/>
                <w:sz w:val="16"/>
              </w:rPr>
              <w:t>Personas</w:t>
            </w:r>
            <w:r>
              <w:rPr>
                <w:b/>
                <w:spacing w:val="-5"/>
                <w:sz w:val="16"/>
              </w:rPr>
              <w:t> </w:t>
            </w:r>
            <w:r>
              <w:rPr>
                <w:b/>
                <w:sz w:val="16"/>
              </w:rPr>
              <w:t>de</w:t>
            </w:r>
            <w:r>
              <w:rPr>
                <w:b/>
                <w:spacing w:val="-5"/>
                <w:sz w:val="16"/>
              </w:rPr>
              <w:t> </w:t>
            </w:r>
            <w:r>
              <w:rPr>
                <w:b/>
                <w:sz w:val="16"/>
              </w:rPr>
              <w:t>18</w:t>
            </w:r>
            <w:r>
              <w:rPr>
                <w:b/>
                <w:spacing w:val="-1"/>
                <w:sz w:val="16"/>
              </w:rPr>
              <w:t> </w:t>
            </w:r>
            <w:r>
              <w:rPr>
                <w:b/>
                <w:sz w:val="16"/>
              </w:rPr>
              <w:t>años</w:t>
            </w:r>
            <w:r>
              <w:rPr>
                <w:b/>
                <w:spacing w:val="-1"/>
                <w:sz w:val="16"/>
              </w:rPr>
              <w:t> </w:t>
            </w:r>
            <w:r>
              <w:rPr>
                <w:b/>
                <w:sz w:val="16"/>
              </w:rPr>
              <w:t>y</w:t>
            </w:r>
            <w:r>
              <w:rPr>
                <w:b/>
                <w:spacing w:val="-1"/>
                <w:sz w:val="16"/>
              </w:rPr>
              <w:t> </w:t>
            </w:r>
            <w:r>
              <w:rPr>
                <w:b/>
                <w:sz w:val="16"/>
              </w:rPr>
              <w:t>más,</w:t>
            </w:r>
            <w:r>
              <w:rPr>
                <w:b/>
                <w:spacing w:val="-1"/>
                <w:sz w:val="16"/>
              </w:rPr>
              <w:t> </w:t>
            </w:r>
            <w:r>
              <w:rPr>
                <w:b/>
                <w:sz w:val="16"/>
              </w:rPr>
              <w:t>Personas Adultas</w:t>
            </w:r>
            <w:r>
              <w:rPr>
                <w:b/>
                <w:spacing w:val="-5"/>
                <w:sz w:val="16"/>
              </w:rPr>
              <w:t> </w:t>
            </w:r>
            <w:r>
              <w:rPr>
                <w:b/>
                <w:sz w:val="16"/>
              </w:rPr>
              <w:t>Mayores,</w:t>
            </w:r>
            <w:r>
              <w:rPr>
                <w:b/>
                <w:spacing w:val="-1"/>
                <w:sz w:val="16"/>
              </w:rPr>
              <w:t> </w:t>
            </w:r>
            <w:r>
              <w:rPr>
                <w:b/>
                <w:sz w:val="16"/>
              </w:rPr>
              <w:t>con</w:t>
            </w:r>
            <w:r>
              <w:rPr>
                <w:b/>
                <w:spacing w:val="-1"/>
                <w:sz w:val="16"/>
              </w:rPr>
              <w:t> </w:t>
            </w:r>
            <w:r>
              <w:rPr>
                <w:b/>
                <w:sz w:val="16"/>
              </w:rPr>
              <w:t>discapacidad</w:t>
            </w:r>
            <w:r>
              <w:rPr>
                <w:b/>
                <w:spacing w:val="-1"/>
                <w:sz w:val="16"/>
              </w:rPr>
              <w:t> </w:t>
            </w:r>
            <w:r>
              <w:rPr>
                <w:b/>
                <w:sz w:val="16"/>
              </w:rPr>
              <w:t>o</w:t>
            </w:r>
            <w:r>
              <w:rPr>
                <w:b/>
                <w:spacing w:val="-4"/>
                <w:sz w:val="16"/>
              </w:rPr>
              <w:t> </w:t>
            </w:r>
            <w:r>
              <w:rPr>
                <w:b/>
                <w:sz w:val="16"/>
              </w:rPr>
              <w:t>en</w:t>
            </w:r>
            <w:r>
              <w:rPr>
                <w:b/>
                <w:spacing w:val="-4"/>
                <w:sz w:val="16"/>
              </w:rPr>
              <w:t> </w:t>
            </w:r>
            <w:r>
              <w:rPr>
                <w:b/>
                <w:sz w:val="16"/>
              </w:rPr>
              <w:t>Situación</w:t>
            </w:r>
            <w:r>
              <w:rPr>
                <w:b/>
                <w:spacing w:val="-1"/>
                <w:sz w:val="16"/>
              </w:rPr>
              <w:t> </w:t>
            </w:r>
            <w:r>
              <w:rPr>
                <w:b/>
                <w:sz w:val="16"/>
              </w:rPr>
              <w:t>de Dependencia, para atender las necesidades básicas y específicas a nivel nacional.</w:t>
            </w:r>
          </w:p>
        </w:tc>
      </w:tr>
      <w:tr>
        <w:trPr>
          <w:trHeight w:val="2578" w:hRule="atLeast"/>
        </w:trPr>
        <w:tc>
          <w:tcPr>
            <w:tcW w:w="1695" w:type="dxa"/>
          </w:tcPr>
          <w:p>
            <w:pPr>
              <w:pStyle w:val="TableParagraph"/>
              <w:rPr>
                <w:b/>
                <w:sz w:val="16"/>
              </w:rPr>
            </w:pPr>
          </w:p>
          <w:p>
            <w:pPr>
              <w:pStyle w:val="TableParagraph"/>
              <w:spacing w:before="91"/>
              <w:rPr>
                <w:b/>
                <w:sz w:val="16"/>
              </w:rPr>
            </w:pPr>
          </w:p>
          <w:p>
            <w:pPr>
              <w:pStyle w:val="TableParagraph"/>
              <w:ind w:left="72" w:right="103"/>
              <w:rPr>
                <w:b/>
                <w:sz w:val="16"/>
              </w:rPr>
            </w:pPr>
            <w:r>
              <w:rPr>
                <w:b/>
                <w:spacing w:val="-2"/>
                <w:sz w:val="16"/>
              </w:rPr>
              <w:t>Actividad</w:t>
            </w:r>
            <w:r>
              <w:rPr>
                <w:b/>
                <w:spacing w:val="-10"/>
                <w:sz w:val="16"/>
              </w:rPr>
              <w:t> </w:t>
            </w:r>
            <w:r>
              <w:rPr>
                <w:b/>
                <w:spacing w:val="-2"/>
                <w:sz w:val="16"/>
              </w:rPr>
              <w:t>PPPS 1.5.1:</w:t>
            </w:r>
          </w:p>
          <w:p>
            <w:pPr>
              <w:pStyle w:val="TableParagraph"/>
              <w:ind w:left="72" w:right="68"/>
              <w:rPr>
                <w:sz w:val="16"/>
              </w:rPr>
            </w:pPr>
            <w:r>
              <w:rPr>
                <w:sz w:val="16"/>
              </w:rPr>
              <w:t>Atención</w:t>
            </w:r>
            <w:r>
              <w:rPr>
                <w:spacing w:val="-12"/>
                <w:sz w:val="16"/>
              </w:rPr>
              <w:t> </w:t>
            </w:r>
            <w:r>
              <w:rPr>
                <w:sz w:val="16"/>
              </w:rPr>
              <w:t>de</w:t>
            </w:r>
            <w:r>
              <w:rPr>
                <w:spacing w:val="-11"/>
                <w:sz w:val="16"/>
              </w:rPr>
              <w:t> </w:t>
            </w:r>
            <w:r>
              <w:rPr>
                <w:sz w:val="16"/>
              </w:rPr>
              <w:t>personas en condición de </w:t>
            </w:r>
            <w:r>
              <w:rPr>
                <w:spacing w:val="-2"/>
                <w:sz w:val="16"/>
              </w:rPr>
              <w:t>dependencia </w:t>
            </w:r>
            <w:r>
              <w:rPr>
                <w:sz w:val="16"/>
              </w:rPr>
              <w:t>mediante servicios y apoyos estatales (vinculada a PNDIP Indicador Sectorial).</w:t>
            </w:r>
          </w:p>
        </w:tc>
        <w:tc>
          <w:tcPr>
            <w:tcW w:w="1278" w:type="dxa"/>
          </w:tcPr>
          <w:p>
            <w:pPr>
              <w:pStyle w:val="TableParagraph"/>
              <w:ind w:left="72" w:right="142"/>
              <w:rPr>
                <w:sz w:val="16"/>
              </w:rPr>
            </w:pPr>
            <w:r>
              <w:rPr>
                <w:sz w:val="16"/>
              </w:rPr>
              <w:t>Número</w:t>
            </w:r>
            <w:r>
              <w:rPr>
                <w:spacing w:val="-2"/>
                <w:sz w:val="16"/>
              </w:rPr>
              <w:t> </w:t>
            </w:r>
            <w:r>
              <w:rPr>
                <w:sz w:val="16"/>
              </w:rPr>
              <w:t>de personas en situación</w:t>
            </w:r>
            <w:r>
              <w:rPr>
                <w:spacing w:val="-2"/>
                <w:sz w:val="16"/>
              </w:rPr>
              <w:t> </w:t>
            </w:r>
            <w:r>
              <w:rPr>
                <w:sz w:val="16"/>
              </w:rPr>
              <w:t>de </w:t>
            </w:r>
            <w:r>
              <w:rPr>
                <w:spacing w:val="-2"/>
                <w:sz w:val="16"/>
              </w:rPr>
              <w:t>dependencia </w:t>
            </w:r>
            <w:r>
              <w:rPr>
                <w:sz w:val="16"/>
              </w:rPr>
              <w:t>que</w:t>
            </w:r>
            <w:r>
              <w:rPr>
                <w:spacing w:val="-2"/>
                <w:sz w:val="16"/>
              </w:rPr>
              <w:t> </w:t>
            </w:r>
            <w:r>
              <w:rPr>
                <w:sz w:val="16"/>
              </w:rPr>
              <w:t>cuentan con</w:t>
            </w:r>
            <w:r>
              <w:rPr>
                <w:spacing w:val="-12"/>
                <w:sz w:val="16"/>
              </w:rPr>
              <w:t> </w:t>
            </w:r>
            <w:r>
              <w:rPr>
                <w:sz w:val="16"/>
              </w:rPr>
              <w:t>al</w:t>
            </w:r>
            <w:r>
              <w:rPr>
                <w:spacing w:val="-11"/>
                <w:sz w:val="16"/>
              </w:rPr>
              <w:t> </w:t>
            </w:r>
            <w:r>
              <w:rPr>
                <w:sz w:val="16"/>
              </w:rPr>
              <w:t>menos un servicio o </w:t>
            </w:r>
            <w:r>
              <w:rPr>
                <w:spacing w:val="-2"/>
                <w:sz w:val="16"/>
              </w:rPr>
              <w:t>apoyo</w:t>
            </w:r>
            <w:r>
              <w:rPr>
                <w:spacing w:val="-10"/>
                <w:sz w:val="16"/>
              </w:rPr>
              <w:t> </w:t>
            </w:r>
            <w:r>
              <w:rPr>
                <w:spacing w:val="-2"/>
                <w:sz w:val="16"/>
              </w:rPr>
              <w:t>estatal </w:t>
            </w:r>
            <w:r>
              <w:rPr>
                <w:sz w:val="16"/>
              </w:rPr>
              <w:t>registrado</w:t>
            </w:r>
            <w:r>
              <w:rPr>
                <w:spacing w:val="-12"/>
                <w:sz w:val="16"/>
              </w:rPr>
              <w:t> </w:t>
            </w:r>
            <w:r>
              <w:rPr>
                <w:sz w:val="16"/>
              </w:rPr>
              <w:t>en SINIRUBE y</w:t>
            </w:r>
          </w:p>
          <w:p>
            <w:pPr>
              <w:pStyle w:val="TableParagraph"/>
              <w:ind w:left="72" w:right="343"/>
              <w:jc w:val="both"/>
              <w:rPr>
                <w:sz w:val="16"/>
              </w:rPr>
            </w:pPr>
            <w:r>
              <w:rPr>
                <w:sz w:val="16"/>
              </w:rPr>
              <w:t>sistemas</w:t>
            </w:r>
            <w:r>
              <w:rPr>
                <w:spacing w:val="-12"/>
                <w:sz w:val="16"/>
              </w:rPr>
              <w:t> </w:t>
            </w:r>
            <w:r>
              <w:rPr>
                <w:sz w:val="16"/>
              </w:rPr>
              <w:t>de </w:t>
            </w:r>
            <w:r>
              <w:rPr>
                <w:spacing w:val="-2"/>
                <w:sz w:val="16"/>
              </w:rPr>
              <w:t>información </w:t>
            </w:r>
            <w:r>
              <w:rPr>
                <w:sz w:val="16"/>
              </w:rPr>
              <w:t>social del</w:t>
            </w:r>
          </w:p>
          <w:p>
            <w:pPr>
              <w:pStyle w:val="TableParagraph"/>
              <w:spacing w:line="168" w:lineRule="exact"/>
              <w:ind w:left="72"/>
              <w:rPr>
                <w:sz w:val="16"/>
              </w:rPr>
            </w:pPr>
            <w:r>
              <w:rPr>
                <w:spacing w:val="-2"/>
                <w:sz w:val="16"/>
              </w:rPr>
              <w:t>IMAS.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ind w:left="21" w:right="17"/>
              <w:jc w:val="center"/>
              <w:rPr>
                <w:sz w:val="16"/>
              </w:rPr>
            </w:pPr>
            <w:r>
              <w:rPr>
                <w:spacing w:val="-5"/>
                <w:sz w:val="16"/>
              </w:rPr>
              <w:t>265</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ind w:right="431"/>
              <w:jc w:val="right"/>
              <w:rPr>
                <w:sz w:val="16"/>
              </w:rPr>
            </w:pPr>
            <w:r>
              <w:rPr>
                <w:spacing w:val="-5"/>
                <w:sz w:val="16"/>
              </w:rPr>
              <w:t>530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ind w:left="16" w:right="24"/>
              <w:jc w:val="center"/>
              <w:rPr>
                <w:sz w:val="16"/>
              </w:rPr>
            </w:pPr>
            <w:r>
              <w:rPr>
                <w:spacing w:val="-5"/>
                <w:sz w:val="16"/>
              </w:rPr>
              <w:t>795</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ind w:left="3" w:right="4"/>
              <w:jc w:val="center"/>
              <w:rPr>
                <w:sz w:val="16"/>
              </w:rPr>
            </w:pPr>
            <w:r>
              <w:rPr>
                <w:spacing w:val="-4"/>
                <w:sz w:val="16"/>
              </w:rPr>
              <w:t>7160</w:t>
            </w:r>
          </w:p>
        </w:tc>
        <w:tc>
          <w:tcPr>
            <w:tcW w:w="1494" w:type="dxa"/>
          </w:tcPr>
          <w:p>
            <w:pPr>
              <w:pStyle w:val="TableParagraph"/>
              <w:rPr>
                <w:rFonts w:ascii="Times New Roman"/>
                <w:sz w:val="16"/>
              </w:rPr>
            </w:pPr>
          </w:p>
        </w:tc>
      </w:tr>
      <w:tr>
        <w:trPr>
          <w:trHeight w:val="671" w:hRule="atLeast"/>
        </w:trPr>
        <w:tc>
          <w:tcPr>
            <w:tcW w:w="14323" w:type="dxa"/>
            <w:gridSpan w:val="10"/>
            <w:shd w:val="clear" w:color="auto" w:fill="EFF8F9"/>
          </w:tcPr>
          <w:p>
            <w:pPr>
              <w:pStyle w:val="TableParagraph"/>
              <w:spacing w:before="59"/>
              <w:rPr>
                <w:b/>
                <w:sz w:val="16"/>
              </w:rPr>
            </w:pPr>
          </w:p>
          <w:p>
            <w:pPr>
              <w:pStyle w:val="TableParagraph"/>
              <w:ind w:left="72"/>
              <w:rPr>
                <w:b/>
                <w:sz w:val="16"/>
              </w:rPr>
            </w:pPr>
            <w:r>
              <w:rPr>
                <w:b/>
                <w:sz w:val="16"/>
              </w:rPr>
              <w:t>Producto</w:t>
            </w:r>
            <w:r>
              <w:rPr>
                <w:b/>
                <w:spacing w:val="-2"/>
                <w:sz w:val="16"/>
              </w:rPr>
              <w:t> </w:t>
            </w:r>
            <w:r>
              <w:rPr>
                <w:b/>
                <w:sz w:val="16"/>
              </w:rPr>
              <w:t>PPPS</w:t>
            </w:r>
            <w:r>
              <w:rPr>
                <w:b/>
                <w:spacing w:val="-1"/>
                <w:sz w:val="16"/>
              </w:rPr>
              <w:t> </w:t>
            </w:r>
            <w:r>
              <w:rPr>
                <w:b/>
                <w:sz w:val="16"/>
              </w:rPr>
              <w:t>1.6:</w:t>
            </w:r>
            <w:r>
              <w:rPr>
                <w:b/>
                <w:spacing w:val="39"/>
                <w:sz w:val="16"/>
              </w:rPr>
              <w:t> </w:t>
            </w:r>
            <w:r>
              <w:rPr>
                <w:b/>
                <w:sz w:val="16"/>
              </w:rPr>
              <w:t>Asignación</w:t>
            </w:r>
            <w:r>
              <w:rPr>
                <w:b/>
                <w:spacing w:val="-1"/>
                <w:sz w:val="16"/>
              </w:rPr>
              <w:t> </w:t>
            </w:r>
            <w:r>
              <w:rPr>
                <w:b/>
                <w:sz w:val="16"/>
              </w:rPr>
              <w:t>de</w:t>
            </w:r>
            <w:r>
              <w:rPr>
                <w:b/>
                <w:spacing w:val="-3"/>
                <w:sz w:val="16"/>
              </w:rPr>
              <w:t> </w:t>
            </w:r>
            <w:r>
              <w:rPr>
                <w:b/>
                <w:sz w:val="16"/>
              </w:rPr>
              <w:t>subsidios</w:t>
            </w:r>
            <w:r>
              <w:rPr>
                <w:b/>
                <w:spacing w:val="-2"/>
                <w:sz w:val="16"/>
              </w:rPr>
              <w:t> </w:t>
            </w:r>
            <w:r>
              <w:rPr>
                <w:b/>
                <w:sz w:val="16"/>
              </w:rPr>
              <w:t>de</w:t>
            </w:r>
            <w:r>
              <w:rPr>
                <w:b/>
                <w:spacing w:val="-3"/>
                <w:sz w:val="16"/>
              </w:rPr>
              <w:t> </w:t>
            </w:r>
            <w:r>
              <w:rPr>
                <w:b/>
                <w:sz w:val="16"/>
              </w:rPr>
              <w:t>protección</w:t>
            </w:r>
            <w:r>
              <w:rPr>
                <w:b/>
                <w:spacing w:val="-1"/>
                <w:sz w:val="16"/>
              </w:rPr>
              <w:t> </w:t>
            </w:r>
            <w:r>
              <w:rPr>
                <w:b/>
                <w:sz w:val="16"/>
              </w:rPr>
              <w:t>y</w:t>
            </w:r>
            <w:r>
              <w:rPr>
                <w:b/>
                <w:spacing w:val="-6"/>
                <w:sz w:val="16"/>
              </w:rPr>
              <w:t> </w:t>
            </w:r>
            <w:r>
              <w:rPr>
                <w:b/>
                <w:sz w:val="16"/>
              </w:rPr>
              <w:t>promoción</w:t>
            </w:r>
            <w:r>
              <w:rPr>
                <w:b/>
                <w:spacing w:val="-2"/>
                <w:sz w:val="16"/>
              </w:rPr>
              <w:t> </w:t>
            </w:r>
            <w:r>
              <w:rPr>
                <w:b/>
                <w:sz w:val="16"/>
              </w:rPr>
              <w:t>social,</w:t>
            </w:r>
            <w:r>
              <w:rPr>
                <w:b/>
                <w:spacing w:val="-5"/>
                <w:sz w:val="16"/>
              </w:rPr>
              <w:t> </w:t>
            </w:r>
            <w:r>
              <w:rPr>
                <w:b/>
                <w:sz w:val="16"/>
              </w:rPr>
              <w:t>que</w:t>
            </w:r>
            <w:r>
              <w:rPr>
                <w:b/>
                <w:spacing w:val="-3"/>
                <w:sz w:val="16"/>
              </w:rPr>
              <w:t> </w:t>
            </w:r>
            <w:r>
              <w:rPr>
                <w:b/>
                <w:sz w:val="16"/>
              </w:rPr>
              <w:t>contribuyan</w:t>
            </w:r>
            <w:r>
              <w:rPr>
                <w:b/>
                <w:spacing w:val="-1"/>
                <w:sz w:val="16"/>
              </w:rPr>
              <w:t> </w:t>
            </w:r>
            <w:r>
              <w:rPr>
                <w:b/>
                <w:sz w:val="16"/>
              </w:rPr>
              <w:t>a</w:t>
            </w:r>
            <w:r>
              <w:rPr>
                <w:b/>
                <w:spacing w:val="-3"/>
                <w:sz w:val="16"/>
              </w:rPr>
              <w:t> </w:t>
            </w:r>
            <w:r>
              <w:rPr>
                <w:b/>
                <w:sz w:val="16"/>
              </w:rPr>
              <w:t>la</w:t>
            </w:r>
            <w:r>
              <w:rPr>
                <w:b/>
                <w:spacing w:val="-2"/>
                <w:sz w:val="16"/>
              </w:rPr>
              <w:t> </w:t>
            </w:r>
            <w:r>
              <w:rPr>
                <w:b/>
                <w:sz w:val="16"/>
              </w:rPr>
              <w:t>superación</w:t>
            </w:r>
            <w:r>
              <w:rPr>
                <w:b/>
                <w:spacing w:val="-2"/>
                <w:sz w:val="16"/>
              </w:rPr>
              <w:t> </w:t>
            </w:r>
            <w:r>
              <w:rPr>
                <w:b/>
                <w:sz w:val="16"/>
              </w:rPr>
              <w:t>de</w:t>
            </w:r>
            <w:r>
              <w:rPr>
                <w:b/>
                <w:spacing w:val="-2"/>
                <w:sz w:val="16"/>
              </w:rPr>
              <w:t> </w:t>
            </w:r>
            <w:r>
              <w:rPr>
                <w:b/>
                <w:sz w:val="16"/>
              </w:rPr>
              <w:t>la</w:t>
            </w:r>
            <w:r>
              <w:rPr>
                <w:b/>
                <w:spacing w:val="-3"/>
                <w:sz w:val="16"/>
              </w:rPr>
              <w:t> </w:t>
            </w:r>
            <w:r>
              <w:rPr>
                <w:b/>
                <w:sz w:val="16"/>
              </w:rPr>
              <w:t>pobreza</w:t>
            </w:r>
            <w:r>
              <w:rPr>
                <w:b/>
                <w:spacing w:val="-6"/>
                <w:sz w:val="16"/>
              </w:rPr>
              <w:t> </w:t>
            </w:r>
            <w:r>
              <w:rPr>
                <w:b/>
                <w:sz w:val="16"/>
              </w:rPr>
              <w:t>en</w:t>
            </w:r>
            <w:r>
              <w:rPr>
                <w:b/>
                <w:spacing w:val="-5"/>
                <w:sz w:val="16"/>
              </w:rPr>
              <w:t> </w:t>
            </w:r>
            <w:r>
              <w:rPr>
                <w:b/>
                <w:sz w:val="16"/>
              </w:rPr>
              <w:t>hogares</w:t>
            </w:r>
            <w:r>
              <w:rPr>
                <w:b/>
                <w:spacing w:val="-3"/>
                <w:sz w:val="16"/>
              </w:rPr>
              <w:t> </w:t>
            </w:r>
            <w:r>
              <w:rPr>
                <w:b/>
                <w:sz w:val="16"/>
              </w:rPr>
              <w:t>en</w:t>
            </w:r>
            <w:r>
              <w:rPr>
                <w:b/>
                <w:spacing w:val="-1"/>
                <w:sz w:val="16"/>
              </w:rPr>
              <w:t> </w:t>
            </w:r>
            <w:r>
              <w:rPr>
                <w:b/>
                <w:sz w:val="16"/>
              </w:rPr>
              <w:t>dicha</w:t>
            </w:r>
            <w:r>
              <w:rPr>
                <w:b/>
                <w:spacing w:val="-3"/>
                <w:sz w:val="16"/>
              </w:rPr>
              <w:t> </w:t>
            </w:r>
            <w:r>
              <w:rPr>
                <w:b/>
                <w:sz w:val="16"/>
              </w:rPr>
              <w:t>situación</w:t>
            </w:r>
            <w:r>
              <w:rPr>
                <w:b/>
                <w:spacing w:val="-1"/>
                <w:sz w:val="16"/>
              </w:rPr>
              <w:t> </w:t>
            </w:r>
            <w:r>
              <w:rPr>
                <w:b/>
                <w:sz w:val="16"/>
              </w:rPr>
              <w:t>de</w:t>
            </w:r>
            <w:r>
              <w:rPr>
                <w:b/>
                <w:spacing w:val="-3"/>
                <w:sz w:val="16"/>
              </w:rPr>
              <w:t> </w:t>
            </w:r>
            <w:r>
              <w:rPr>
                <w:b/>
                <w:spacing w:val="-2"/>
                <w:sz w:val="16"/>
              </w:rPr>
              <w:t>pobreza.</w:t>
            </w:r>
          </w:p>
        </w:tc>
      </w:tr>
    </w:tbl>
    <w:p>
      <w:pPr>
        <w:pStyle w:val="TableParagraph"/>
        <w:spacing w:after="0"/>
        <w:rPr>
          <w:b/>
          <w:sz w:val="16"/>
        </w:rPr>
        <w:sectPr>
          <w:type w:val="continuous"/>
          <w:pgSz w:w="15840" w:h="12240" w:orient="landscape"/>
          <w:pgMar w:header="0" w:footer="1806" w:top="700" w:bottom="250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2208" w:hRule="atLeast"/>
        </w:trPr>
        <w:tc>
          <w:tcPr>
            <w:tcW w:w="1695" w:type="dxa"/>
          </w:tcPr>
          <w:p>
            <w:pPr>
              <w:pStyle w:val="TableParagraph"/>
              <w:spacing w:line="244" w:lineRule="auto"/>
              <w:ind w:left="72" w:right="103"/>
              <w:rPr>
                <w:b/>
                <w:sz w:val="16"/>
              </w:rPr>
            </w:pPr>
            <w:r>
              <w:rPr>
                <w:b/>
                <w:spacing w:val="-2"/>
                <w:sz w:val="16"/>
              </w:rPr>
              <w:t>Actividad</w:t>
            </w:r>
            <w:r>
              <w:rPr>
                <w:b/>
                <w:spacing w:val="-10"/>
                <w:sz w:val="16"/>
              </w:rPr>
              <w:t> </w:t>
            </w:r>
            <w:r>
              <w:rPr>
                <w:b/>
                <w:spacing w:val="-2"/>
                <w:sz w:val="16"/>
              </w:rPr>
              <w:t>PPPS 1.6.1:</w:t>
            </w:r>
          </w:p>
          <w:p>
            <w:pPr>
              <w:pStyle w:val="TableParagraph"/>
              <w:ind w:left="72" w:right="128"/>
              <w:rPr>
                <w:sz w:val="16"/>
              </w:rPr>
            </w:pPr>
            <w:r>
              <w:rPr>
                <w:sz w:val="16"/>
              </w:rPr>
              <w:t>Asignación de subsidios de protección</w:t>
            </w:r>
            <w:r>
              <w:rPr>
                <w:spacing w:val="-2"/>
                <w:sz w:val="16"/>
              </w:rPr>
              <w:t> </w:t>
            </w:r>
            <w:r>
              <w:rPr>
                <w:sz w:val="16"/>
              </w:rPr>
              <w:t>y promoción</w:t>
            </w:r>
            <w:r>
              <w:rPr>
                <w:spacing w:val="-2"/>
                <w:sz w:val="16"/>
              </w:rPr>
              <w:t> </w:t>
            </w:r>
            <w:r>
              <w:rPr>
                <w:sz w:val="16"/>
              </w:rPr>
              <w:t>social, que</w:t>
            </w:r>
            <w:r>
              <w:rPr>
                <w:spacing w:val="-12"/>
                <w:sz w:val="16"/>
              </w:rPr>
              <w:t> </w:t>
            </w:r>
            <w:r>
              <w:rPr>
                <w:sz w:val="16"/>
              </w:rPr>
              <w:t>contribuyan</w:t>
            </w:r>
            <w:r>
              <w:rPr>
                <w:spacing w:val="-11"/>
                <w:sz w:val="16"/>
              </w:rPr>
              <w:t> </w:t>
            </w:r>
            <w:r>
              <w:rPr>
                <w:sz w:val="16"/>
              </w:rPr>
              <w:t>a</w:t>
            </w:r>
            <w:r>
              <w:rPr>
                <w:spacing w:val="-11"/>
                <w:sz w:val="16"/>
              </w:rPr>
              <w:t> </w:t>
            </w:r>
            <w:r>
              <w:rPr>
                <w:sz w:val="16"/>
              </w:rPr>
              <w:t>la superación de la pobreza</w:t>
            </w:r>
            <w:r>
              <w:rPr>
                <w:spacing w:val="-12"/>
                <w:sz w:val="16"/>
              </w:rPr>
              <w:t> </w:t>
            </w:r>
            <w:r>
              <w:rPr>
                <w:sz w:val="16"/>
              </w:rPr>
              <w:t>en</w:t>
            </w:r>
            <w:r>
              <w:rPr>
                <w:spacing w:val="-11"/>
                <w:sz w:val="16"/>
              </w:rPr>
              <w:t> </w:t>
            </w:r>
            <w:r>
              <w:rPr>
                <w:sz w:val="16"/>
              </w:rPr>
              <w:t>hogares en dicha situación (vinculada a</w:t>
            </w:r>
            <w:r>
              <w:rPr>
                <w:spacing w:val="-2"/>
                <w:sz w:val="16"/>
              </w:rPr>
              <w:t> </w:t>
            </w:r>
            <w:r>
              <w:rPr>
                <w:sz w:val="16"/>
              </w:rPr>
              <w:t>PNDIP</w:t>
            </w:r>
          </w:p>
          <w:p>
            <w:pPr>
              <w:pStyle w:val="TableParagraph"/>
              <w:spacing w:line="163" w:lineRule="exact"/>
              <w:ind w:left="72"/>
              <w:rPr>
                <w:sz w:val="16"/>
              </w:rPr>
            </w:pPr>
            <w:r>
              <w:rPr>
                <w:sz w:val="16"/>
              </w:rPr>
              <w:t>Indicador</w:t>
            </w:r>
            <w:r>
              <w:rPr>
                <w:spacing w:val="-7"/>
                <w:sz w:val="16"/>
              </w:rPr>
              <w:t> </w:t>
            </w:r>
            <w:r>
              <w:rPr>
                <w:spacing w:val="-2"/>
                <w:sz w:val="16"/>
              </w:rPr>
              <w:t>Sectorial).</w:t>
            </w:r>
          </w:p>
        </w:tc>
        <w:tc>
          <w:tcPr>
            <w:tcW w:w="1278" w:type="dxa"/>
          </w:tcPr>
          <w:p>
            <w:pPr>
              <w:pStyle w:val="TableParagraph"/>
              <w:spacing w:before="2"/>
              <w:rPr>
                <w:b/>
                <w:sz w:val="16"/>
              </w:rPr>
            </w:pPr>
          </w:p>
          <w:p>
            <w:pPr>
              <w:pStyle w:val="TableParagraph"/>
              <w:ind w:left="72" w:right="79"/>
              <w:rPr>
                <w:sz w:val="16"/>
              </w:rPr>
            </w:pPr>
            <w:r>
              <w:rPr>
                <w:spacing w:val="-2"/>
                <w:sz w:val="16"/>
              </w:rPr>
              <w:t>Puntos porcentuales</w:t>
            </w:r>
            <w:r>
              <w:rPr>
                <w:spacing w:val="80"/>
                <w:sz w:val="16"/>
              </w:rPr>
              <w:t> </w:t>
            </w:r>
            <w:r>
              <w:rPr>
                <w:sz w:val="16"/>
              </w:rPr>
              <w:t>de hogares en </w:t>
            </w:r>
            <w:r>
              <w:rPr>
                <w:spacing w:val="-2"/>
                <w:sz w:val="16"/>
              </w:rPr>
              <w:t>pobreza extrema atendidos mediante transferencias estatales</w:t>
            </w:r>
            <w:r>
              <w:rPr>
                <w:spacing w:val="-10"/>
                <w:sz w:val="16"/>
              </w:rPr>
              <w:t> </w:t>
            </w:r>
            <w:r>
              <w:rPr>
                <w:spacing w:val="-2"/>
                <w:sz w:val="16"/>
              </w:rPr>
              <w:t>según ENAHO.</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3" w:right="4"/>
              <w:jc w:val="center"/>
              <w:rPr>
                <w:sz w:val="16"/>
              </w:rPr>
            </w:pPr>
            <w:r>
              <w:rPr>
                <w:spacing w:val="-2"/>
                <w:sz w:val="16"/>
              </w:rPr>
              <w:t>12,03pp</w:t>
            </w:r>
          </w:p>
        </w:tc>
        <w:tc>
          <w:tcPr>
            <w:tcW w:w="1494" w:type="dxa"/>
          </w:tcPr>
          <w:p>
            <w:pPr>
              <w:pStyle w:val="TableParagraph"/>
              <w:rPr>
                <w:rFonts w:ascii="Times New Roman"/>
                <w:sz w:val="16"/>
              </w:rPr>
            </w:pPr>
          </w:p>
        </w:tc>
      </w:tr>
      <w:tr>
        <w:trPr>
          <w:trHeight w:val="633" w:hRule="atLeast"/>
        </w:trPr>
        <w:tc>
          <w:tcPr>
            <w:tcW w:w="14323" w:type="dxa"/>
            <w:gridSpan w:val="10"/>
            <w:shd w:val="clear" w:color="auto" w:fill="EFF8F9"/>
          </w:tcPr>
          <w:p>
            <w:pPr>
              <w:pStyle w:val="TableParagraph"/>
              <w:spacing w:before="40"/>
              <w:rPr>
                <w:b/>
                <w:sz w:val="16"/>
              </w:rPr>
            </w:pPr>
          </w:p>
          <w:p>
            <w:pPr>
              <w:pStyle w:val="TableParagraph"/>
              <w:ind w:left="72"/>
              <w:rPr>
                <w:b/>
                <w:sz w:val="16"/>
              </w:rPr>
            </w:pPr>
            <w:r>
              <w:rPr>
                <w:b/>
                <w:sz w:val="16"/>
              </w:rPr>
              <w:t>Producto</w:t>
            </w:r>
            <w:r>
              <w:rPr>
                <w:b/>
                <w:spacing w:val="-2"/>
                <w:sz w:val="16"/>
              </w:rPr>
              <w:t> </w:t>
            </w:r>
            <w:r>
              <w:rPr>
                <w:b/>
                <w:sz w:val="16"/>
              </w:rPr>
              <w:t>PPPS 1.7: Informe</w:t>
            </w:r>
            <w:r>
              <w:rPr>
                <w:b/>
                <w:spacing w:val="-5"/>
                <w:sz w:val="16"/>
              </w:rPr>
              <w:t> </w:t>
            </w:r>
            <w:r>
              <w:rPr>
                <w:b/>
                <w:sz w:val="16"/>
              </w:rPr>
              <w:t>de</w:t>
            </w:r>
            <w:r>
              <w:rPr>
                <w:b/>
                <w:spacing w:val="-2"/>
                <w:sz w:val="16"/>
              </w:rPr>
              <w:t> </w:t>
            </w:r>
            <w:r>
              <w:rPr>
                <w:b/>
                <w:sz w:val="16"/>
              </w:rPr>
              <w:t>metas</w:t>
            </w:r>
            <w:r>
              <w:rPr>
                <w:b/>
                <w:spacing w:val="-2"/>
                <w:sz w:val="16"/>
              </w:rPr>
              <w:t> </w:t>
            </w:r>
            <w:r>
              <w:rPr>
                <w:b/>
                <w:sz w:val="16"/>
              </w:rPr>
              <w:t>presupuestarias</w:t>
            </w:r>
            <w:r>
              <w:rPr>
                <w:b/>
                <w:spacing w:val="-2"/>
                <w:sz w:val="16"/>
              </w:rPr>
              <w:t> </w:t>
            </w:r>
            <w:r>
              <w:rPr>
                <w:b/>
                <w:sz w:val="16"/>
              </w:rPr>
              <w:t>que</w:t>
            </w:r>
            <w:r>
              <w:rPr>
                <w:b/>
                <w:spacing w:val="-2"/>
                <w:sz w:val="16"/>
              </w:rPr>
              <w:t> </w:t>
            </w:r>
            <w:r>
              <w:rPr>
                <w:b/>
                <w:sz w:val="16"/>
              </w:rPr>
              <w:t>muestren</w:t>
            </w:r>
            <w:r>
              <w:rPr>
                <w:b/>
                <w:spacing w:val="-1"/>
                <w:sz w:val="16"/>
              </w:rPr>
              <w:t> </w:t>
            </w:r>
            <w:r>
              <w:rPr>
                <w:b/>
                <w:sz w:val="16"/>
              </w:rPr>
              <w:t>la</w:t>
            </w:r>
            <w:r>
              <w:rPr>
                <w:b/>
                <w:spacing w:val="-6"/>
                <w:sz w:val="16"/>
              </w:rPr>
              <w:t> </w:t>
            </w:r>
            <w:r>
              <w:rPr>
                <w:b/>
                <w:sz w:val="16"/>
              </w:rPr>
              <w:t>asignación</w:t>
            </w:r>
            <w:r>
              <w:rPr>
                <w:b/>
                <w:spacing w:val="-1"/>
                <w:sz w:val="16"/>
              </w:rPr>
              <w:t> </w:t>
            </w:r>
            <w:r>
              <w:rPr>
                <w:b/>
                <w:sz w:val="16"/>
              </w:rPr>
              <w:t>de</w:t>
            </w:r>
            <w:r>
              <w:rPr>
                <w:b/>
                <w:spacing w:val="-6"/>
                <w:sz w:val="16"/>
              </w:rPr>
              <w:t> </w:t>
            </w:r>
            <w:r>
              <w:rPr>
                <w:b/>
                <w:sz w:val="16"/>
              </w:rPr>
              <w:t>recursos</w:t>
            </w:r>
            <w:r>
              <w:rPr>
                <w:b/>
                <w:spacing w:val="-2"/>
                <w:sz w:val="16"/>
              </w:rPr>
              <w:t> </w:t>
            </w:r>
            <w:r>
              <w:rPr>
                <w:b/>
                <w:sz w:val="16"/>
              </w:rPr>
              <w:t>con</w:t>
            </w:r>
            <w:r>
              <w:rPr>
                <w:b/>
                <w:spacing w:val="-5"/>
                <w:sz w:val="16"/>
              </w:rPr>
              <w:t> </w:t>
            </w:r>
            <w:r>
              <w:rPr>
                <w:b/>
                <w:sz w:val="16"/>
              </w:rPr>
              <w:t>enfoque</w:t>
            </w:r>
            <w:r>
              <w:rPr>
                <w:b/>
                <w:spacing w:val="-2"/>
                <w:sz w:val="16"/>
              </w:rPr>
              <w:t> </w:t>
            </w:r>
            <w:r>
              <w:rPr>
                <w:b/>
                <w:sz w:val="16"/>
              </w:rPr>
              <w:t>para</w:t>
            </w:r>
            <w:r>
              <w:rPr>
                <w:b/>
                <w:spacing w:val="-5"/>
                <w:sz w:val="16"/>
              </w:rPr>
              <w:t> </w:t>
            </w:r>
            <w:r>
              <w:rPr>
                <w:b/>
                <w:sz w:val="16"/>
              </w:rPr>
              <w:t>resultados</w:t>
            </w:r>
            <w:r>
              <w:rPr>
                <w:b/>
                <w:spacing w:val="9"/>
                <w:sz w:val="16"/>
              </w:rPr>
              <w:t> </w:t>
            </w:r>
            <w:r>
              <w:rPr>
                <w:b/>
                <w:sz w:val="16"/>
              </w:rPr>
              <w:t>y</w:t>
            </w:r>
            <w:r>
              <w:rPr>
                <w:b/>
                <w:spacing w:val="-6"/>
                <w:sz w:val="16"/>
              </w:rPr>
              <w:t> </w:t>
            </w:r>
            <w:r>
              <w:rPr>
                <w:b/>
                <w:sz w:val="16"/>
              </w:rPr>
              <w:t>de</w:t>
            </w:r>
            <w:r>
              <w:rPr>
                <w:b/>
                <w:spacing w:val="-6"/>
                <w:sz w:val="16"/>
              </w:rPr>
              <w:t> </w:t>
            </w:r>
            <w:r>
              <w:rPr>
                <w:b/>
                <w:sz w:val="16"/>
              </w:rPr>
              <w:t>género</w:t>
            </w:r>
            <w:r>
              <w:rPr>
                <w:b/>
                <w:spacing w:val="-1"/>
                <w:sz w:val="16"/>
              </w:rPr>
              <w:t> </w:t>
            </w:r>
            <w:r>
              <w:rPr>
                <w:b/>
                <w:sz w:val="16"/>
              </w:rPr>
              <w:t>para</w:t>
            </w:r>
            <w:r>
              <w:rPr>
                <w:b/>
                <w:spacing w:val="-5"/>
                <w:sz w:val="16"/>
              </w:rPr>
              <w:t> </w:t>
            </w:r>
            <w:r>
              <w:rPr>
                <w:b/>
                <w:sz w:val="16"/>
              </w:rPr>
              <w:t>la</w:t>
            </w:r>
            <w:r>
              <w:rPr>
                <w:b/>
                <w:spacing w:val="-6"/>
                <w:sz w:val="16"/>
              </w:rPr>
              <w:t> </w:t>
            </w:r>
            <w:r>
              <w:rPr>
                <w:b/>
                <w:sz w:val="16"/>
              </w:rPr>
              <w:t>toma</w:t>
            </w:r>
            <w:r>
              <w:rPr>
                <w:b/>
                <w:spacing w:val="-6"/>
                <w:sz w:val="16"/>
              </w:rPr>
              <w:t> </w:t>
            </w:r>
            <w:r>
              <w:rPr>
                <w:b/>
                <w:sz w:val="16"/>
              </w:rPr>
              <w:t>de</w:t>
            </w:r>
            <w:r>
              <w:rPr>
                <w:b/>
                <w:spacing w:val="-6"/>
                <w:sz w:val="16"/>
              </w:rPr>
              <w:t> </w:t>
            </w:r>
            <w:r>
              <w:rPr>
                <w:b/>
                <w:sz w:val="16"/>
              </w:rPr>
              <w:t>decisiones.</w:t>
            </w:r>
            <w:r>
              <w:rPr>
                <w:b/>
                <w:spacing w:val="-1"/>
                <w:sz w:val="16"/>
              </w:rPr>
              <w:t> </w:t>
            </w:r>
            <w:r>
              <w:rPr>
                <w:b/>
                <w:sz w:val="16"/>
              </w:rPr>
              <w:t>E1</w:t>
            </w:r>
            <w:r>
              <w:rPr>
                <w:b/>
                <w:spacing w:val="-2"/>
                <w:sz w:val="16"/>
              </w:rPr>
              <w:t> </w:t>
            </w:r>
            <w:r>
              <w:rPr>
                <w:b/>
                <w:sz w:val="16"/>
              </w:rPr>
              <w:t>AE10</w:t>
            </w:r>
            <w:r>
              <w:rPr>
                <w:b/>
                <w:spacing w:val="-5"/>
                <w:sz w:val="16"/>
              </w:rPr>
              <w:t> R3</w:t>
            </w:r>
          </w:p>
        </w:tc>
      </w:tr>
      <w:tr>
        <w:trPr>
          <w:trHeight w:val="2208" w:hRule="atLeast"/>
        </w:trPr>
        <w:tc>
          <w:tcPr>
            <w:tcW w:w="1695" w:type="dxa"/>
          </w:tcPr>
          <w:p>
            <w:pPr>
              <w:pStyle w:val="TableParagraph"/>
              <w:ind w:left="72" w:right="103"/>
              <w:rPr>
                <w:b/>
                <w:sz w:val="16"/>
              </w:rPr>
            </w:pPr>
            <w:r>
              <w:rPr>
                <w:b/>
                <w:spacing w:val="-2"/>
                <w:sz w:val="16"/>
              </w:rPr>
              <w:t>Actividad</w:t>
            </w:r>
            <w:r>
              <w:rPr>
                <w:b/>
                <w:spacing w:val="-10"/>
                <w:sz w:val="16"/>
              </w:rPr>
              <w:t> </w:t>
            </w:r>
            <w:r>
              <w:rPr>
                <w:b/>
                <w:spacing w:val="-2"/>
                <w:sz w:val="16"/>
              </w:rPr>
              <w:t>PPPS 1.7.1:</w:t>
            </w:r>
          </w:p>
          <w:p>
            <w:pPr>
              <w:pStyle w:val="TableParagraph"/>
              <w:ind w:left="72" w:right="166"/>
              <w:rPr>
                <w:sz w:val="16"/>
              </w:rPr>
            </w:pPr>
            <w:r>
              <w:rPr>
                <w:sz w:val="16"/>
              </w:rPr>
              <w:t>Emisión</w:t>
            </w:r>
            <w:r>
              <w:rPr>
                <w:spacing w:val="-12"/>
                <w:sz w:val="16"/>
              </w:rPr>
              <w:t> </w:t>
            </w:r>
            <w:r>
              <w:rPr>
                <w:sz w:val="16"/>
              </w:rPr>
              <w:t>de</w:t>
            </w:r>
            <w:r>
              <w:rPr>
                <w:spacing w:val="-11"/>
                <w:sz w:val="16"/>
              </w:rPr>
              <w:t> </w:t>
            </w:r>
            <w:r>
              <w:rPr>
                <w:sz w:val="16"/>
              </w:rPr>
              <w:t>informes semestrales de ejecución que evidencien la asignación con enfoque de resultados y de género</w:t>
            </w:r>
            <w:r>
              <w:rPr>
                <w:spacing w:val="-3"/>
                <w:sz w:val="16"/>
              </w:rPr>
              <w:t> </w:t>
            </w:r>
            <w:r>
              <w:rPr>
                <w:sz w:val="16"/>
              </w:rPr>
              <w:t>(vinculada a PEI 1.10.3 / PIEG-</w:t>
            </w:r>
          </w:p>
          <w:p>
            <w:pPr>
              <w:pStyle w:val="TableParagraph"/>
              <w:spacing w:line="164" w:lineRule="exact"/>
              <w:ind w:left="72"/>
              <w:rPr>
                <w:sz w:val="16"/>
              </w:rPr>
            </w:pPr>
            <w:r>
              <w:rPr>
                <w:sz w:val="16"/>
              </w:rPr>
              <w:t>PLANOVI</w:t>
            </w:r>
            <w:r>
              <w:rPr>
                <w:spacing w:val="-8"/>
                <w:sz w:val="16"/>
              </w:rPr>
              <w:t> </w:t>
            </w:r>
            <w:r>
              <w:rPr>
                <w:spacing w:val="-2"/>
                <w:sz w:val="16"/>
              </w:rPr>
              <w:t>1.6.1)</w:t>
            </w:r>
          </w:p>
        </w:tc>
        <w:tc>
          <w:tcPr>
            <w:tcW w:w="1278" w:type="dxa"/>
          </w:tcPr>
          <w:p>
            <w:pPr>
              <w:pStyle w:val="TableParagraph"/>
              <w:spacing w:before="181"/>
              <w:ind w:left="72" w:right="79"/>
              <w:rPr>
                <w:sz w:val="16"/>
              </w:rPr>
            </w:pPr>
            <w:r>
              <w:rPr>
                <w:sz w:val="16"/>
              </w:rPr>
              <w:t>Cantidad de </w:t>
            </w:r>
            <w:r>
              <w:rPr>
                <w:spacing w:val="-2"/>
                <w:sz w:val="16"/>
              </w:rPr>
              <w:t>informes </w:t>
            </w:r>
            <w:r>
              <w:rPr>
                <w:sz w:val="16"/>
              </w:rPr>
              <w:t>semestrales</w:t>
            </w:r>
            <w:r>
              <w:rPr>
                <w:spacing w:val="-12"/>
                <w:sz w:val="16"/>
              </w:rPr>
              <w:t> </w:t>
            </w:r>
            <w:r>
              <w:rPr>
                <w:sz w:val="16"/>
              </w:rPr>
              <w:t>de </w:t>
            </w:r>
            <w:r>
              <w:rPr>
                <w:spacing w:val="-2"/>
                <w:sz w:val="16"/>
              </w:rPr>
              <w:t>ejecución presupuestaria </w:t>
            </w:r>
            <w:r>
              <w:rPr>
                <w:sz w:val="16"/>
              </w:rPr>
              <w:t>que</w:t>
            </w:r>
            <w:r>
              <w:rPr>
                <w:spacing w:val="-12"/>
                <w:sz w:val="16"/>
              </w:rPr>
              <w:t> </w:t>
            </w:r>
            <w:r>
              <w:rPr>
                <w:sz w:val="16"/>
              </w:rPr>
              <w:t>evidencian la asignación con</w:t>
            </w:r>
            <w:r>
              <w:rPr>
                <w:spacing w:val="-12"/>
                <w:sz w:val="16"/>
              </w:rPr>
              <w:t> </w:t>
            </w:r>
            <w:r>
              <w:rPr>
                <w:sz w:val="16"/>
              </w:rPr>
              <w:t>enfoque</w:t>
            </w:r>
            <w:r>
              <w:rPr>
                <w:spacing w:val="-11"/>
                <w:sz w:val="16"/>
              </w:rPr>
              <w:t> </w:t>
            </w:r>
            <w:r>
              <w:rPr>
                <w:sz w:val="16"/>
              </w:rPr>
              <w:t>de resultados</w:t>
            </w:r>
            <w:r>
              <w:rPr>
                <w:spacing w:val="-12"/>
                <w:sz w:val="16"/>
              </w:rPr>
              <w:t> </w:t>
            </w:r>
            <w:r>
              <w:rPr>
                <w:sz w:val="16"/>
              </w:rPr>
              <w:t>y</w:t>
            </w:r>
            <w:r>
              <w:rPr>
                <w:spacing w:val="-11"/>
                <w:sz w:val="16"/>
              </w:rPr>
              <w:t> </w:t>
            </w:r>
            <w:r>
              <w:rPr>
                <w:sz w:val="16"/>
              </w:rPr>
              <w:t>de </w:t>
            </w:r>
            <w:r>
              <w:rPr>
                <w:spacing w:val="-2"/>
                <w:sz w:val="16"/>
              </w:rPr>
              <w:t>género.</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spacing w:before="1"/>
              <w:ind w:right="1"/>
              <w:jc w:val="center"/>
              <w:rPr>
                <w:sz w:val="16"/>
              </w:rPr>
            </w:pPr>
            <w:r>
              <w:rPr>
                <w:spacing w:val="-10"/>
                <w:sz w:val="16"/>
              </w:rPr>
              <w:t>1</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spacing w:before="1"/>
              <w:ind w:left="16" w:right="19"/>
              <w:jc w:val="center"/>
              <w:rPr>
                <w:sz w:val="16"/>
              </w:rPr>
            </w:pPr>
            <w:r>
              <w:rPr>
                <w:spacing w:val="-10"/>
                <w:sz w:val="16"/>
              </w:rPr>
              <w:t>1</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spacing w:before="1"/>
              <w:ind w:left="4" w:right="1"/>
              <w:jc w:val="center"/>
              <w:rPr>
                <w:sz w:val="16"/>
              </w:rPr>
            </w:pPr>
            <w:r>
              <w:rPr>
                <w:spacing w:val="-10"/>
                <w:sz w:val="16"/>
              </w:rPr>
              <w:t>2</w:t>
            </w:r>
          </w:p>
        </w:tc>
        <w:tc>
          <w:tcPr>
            <w:tcW w:w="1494" w:type="dxa"/>
          </w:tcPr>
          <w:p>
            <w:pPr>
              <w:pStyle w:val="TableParagraph"/>
              <w:rPr>
                <w:rFonts w:ascii="Times New Roman"/>
                <w:sz w:val="16"/>
              </w:rPr>
            </w:pPr>
          </w:p>
        </w:tc>
      </w:tr>
      <w:tr>
        <w:trPr>
          <w:trHeight w:val="436" w:hRule="atLeast"/>
        </w:trPr>
        <w:tc>
          <w:tcPr>
            <w:tcW w:w="14323" w:type="dxa"/>
            <w:gridSpan w:val="10"/>
            <w:shd w:val="clear" w:color="auto" w:fill="EFF8F9"/>
          </w:tcPr>
          <w:p>
            <w:pPr>
              <w:pStyle w:val="TableParagraph"/>
              <w:spacing w:before="123"/>
              <w:ind w:left="72"/>
              <w:rPr>
                <w:b/>
                <w:sz w:val="16"/>
              </w:rPr>
            </w:pPr>
            <w:r>
              <w:rPr>
                <w:b/>
                <w:sz w:val="16"/>
              </w:rPr>
              <w:t>Producto</w:t>
            </w:r>
            <w:r>
              <w:rPr>
                <w:b/>
                <w:spacing w:val="-2"/>
                <w:sz w:val="16"/>
              </w:rPr>
              <w:t> </w:t>
            </w:r>
            <w:r>
              <w:rPr>
                <w:b/>
                <w:sz w:val="16"/>
              </w:rPr>
              <w:t>PPPS 1.8:</w:t>
            </w:r>
            <w:r>
              <w:rPr>
                <w:b/>
                <w:spacing w:val="-1"/>
                <w:sz w:val="16"/>
              </w:rPr>
              <w:t> </w:t>
            </w:r>
            <w:r>
              <w:rPr>
                <w:b/>
                <w:sz w:val="16"/>
              </w:rPr>
              <w:t>Sistema</w:t>
            </w:r>
            <w:r>
              <w:rPr>
                <w:b/>
                <w:spacing w:val="-2"/>
                <w:sz w:val="16"/>
              </w:rPr>
              <w:t> </w:t>
            </w:r>
            <w:r>
              <w:rPr>
                <w:b/>
                <w:sz w:val="16"/>
              </w:rPr>
              <w:t>de</w:t>
            </w:r>
            <w:r>
              <w:rPr>
                <w:b/>
                <w:spacing w:val="-2"/>
                <w:sz w:val="16"/>
              </w:rPr>
              <w:t> </w:t>
            </w:r>
            <w:r>
              <w:rPr>
                <w:b/>
                <w:sz w:val="16"/>
              </w:rPr>
              <w:t>atención</w:t>
            </w:r>
            <w:r>
              <w:rPr>
                <w:b/>
                <w:spacing w:val="-5"/>
                <w:sz w:val="16"/>
              </w:rPr>
              <w:t> </w:t>
            </w:r>
            <w:r>
              <w:rPr>
                <w:b/>
                <w:sz w:val="16"/>
              </w:rPr>
              <w:t>omnicanal</w:t>
            </w:r>
            <w:r>
              <w:rPr>
                <w:b/>
                <w:spacing w:val="-5"/>
                <w:sz w:val="16"/>
              </w:rPr>
              <w:t> </w:t>
            </w:r>
            <w:r>
              <w:rPr>
                <w:b/>
                <w:sz w:val="16"/>
              </w:rPr>
              <w:t>diseñado</w:t>
            </w:r>
            <w:r>
              <w:rPr>
                <w:b/>
                <w:spacing w:val="-2"/>
                <w:sz w:val="16"/>
              </w:rPr>
              <w:t> </w:t>
            </w:r>
            <w:r>
              <w:rPr>
                <w:b/>
                <w:sz w:val="16"/>
              </w:rPr>
              <w:t>e</w:t>
            </w:r>
            <w:r>
              <w:rPr>
                <w:b/>
                <w:spacing w:val="-2"/>
                <w:sz w:val="16"/>
              </w:rPr>
              <w:t> </w:t>
            </w:r>
            <w:r>
              <w:rPr>
                <w:b/>
                <w:sz w:val="16"/>
              </w:rPr>
              <w:t>implementado,</w:t>
            </w:r>
            <w:r>
              <w:rPr>
                <w:b/>
                <w:spacing w:val="-1"/>
                <w:sz w:val="16"/>
              </w:rPr>
              <w:t> </w:t>
            </w:r>
            <w:r>
              <w:rPr>
                <w:b/>
                <w:sz w:val="16"/>
              </w:rPr>
              <w:t>con</w:t>
            </w:r>
            <w:r>
              <w:rPr>
                <w:b/>
                <w:spacing w:val="-2"/>
                <w:sz w:val="16"/>
              </w:rPr>
              <w:t> </w:t>
            </w:r>
            <w:r>
              <w:rPr>
                <w:b/>
                <w:sz w:val="16"/>
              </w:rPr>
              <w:t>la</w:t>
            </w:r>
            <w:r>
              <w:rPr>
                <w:b/>
                <w:spacing w:val="-2"/>
                <w:sz w:val="16"/>
              </w:rPr>
              <w:t> </w:t>
            </w:r>
            <w:r>
              <w:rPr>
                <w:b/>
                <w:sz w:val="16"/>
              </w:rPr>
              <w:t>finalidad</w:t>
            </w:r>
            <w:r>
              <w:rPr>
                <w:b/>
                <w:spacing w:val="-5"/>
                <w:sz w:val="16"/>
              </w:rPr>
              <w:t> </w:t>
            </w:r>
            <w:r>
              <w:rPr>
                <w:b/>
                <w:sz w:val="16"/>
              </w:rPr>
              <w:t>de</w:t>
            </w:r>
            <w:r>
              <w:rPr>
                <w:b/>
                <w:spacing w:val="-2"/>
                <w:sz w:val="16"/>
              </w:rPr>
              <w:t> </w:t>
            </w:r>
            <w:r>
              <w:rPr>
                <w:b/>
                <w:sz w:val="16"/>
              </w:rPr>
              <w:t>optimizar la</w:t>
            </w:r>
            <w:r>
              <w:rPr>
                <w:b/>
                <w:spacing w:val="-2"/>
                <w:sz w:val="16"/>
              </w:rPr>
              <w:t> </w:t>
            </w:r>
            <w:r>
              <w:rPr>
                <w:b/>
                <w:sz w:val="16"/>
              </w:rPr>
              <w:t>experiencia</w:t>
            </w:r>
            <w:r>
              <w:rPr>
                <w:b/>
                <w:spacing w:val="-2"/>
                <w:sz w:val="16"/>
              </w:rPr>
              <w:t> </w:t>
            </w:r>
            <w:r>
              <w:rPr>
                <w:b/>
                <w:sz w:val="16"/>
              </w:rPr>
              <w:t>de</w:t>
            </w:r>
            <w:r>
              <w:rPr>
                <w:b/>
                <w:spacing w:val="-3"/>
                <w:sz w:val="16"/>
              </w:rPr>
              <w:t> </w:t>
            </w:r>
            <w:r>
              <w:rPr>
                <w:b/>
                <w:sz w:val="16"/>
              </w:rPr>
              <w:t>usuario</w:t>
            </w:r>
            <w:r>
              <w:rPr>
                <w:b/>
                <w:spacing w:val="-1"/>
                <w:sz w:val="16"/>
              </w:rPr>
              <w:t> </w:t>
            </w:r>
            <w:r>
              <w:rPr>
                <w:b/>
                <w:sz w:val="16"/>
              </w:rPr>
              <w:t>de</w:t>
            </w:r>
            <w:r>
              <w:rPr>
                <w:b/>
                <w:spacing w:val="-6"/>
                <w:sz w:val="16"/>
              </w:rPr>
              <w:t> </w:t>
            </w:r>
            <w:r>
              <w:rPr>
                <w:b/>
                <w:sz w:val="16"/>
              </w:rPr>
              <w:t>forma</w:t>
            </w:r>
            <w:r>
              <w:rPr>
                <w:b/>
                <w:spacing w:val="-2"/>
                <w:sz w:val="16"/>
              </w:rPr>
              <w:t> </w:t>
            </w:r>
            <w:r>
              <w:rPr>
                <w:b/>
                <w:sz w:val="16"/>
              </w:rPr>
              <w:t>integrada</w:t>
            </w:r>
            <w:r>
              <w:rPr>
                <w:b/>
                <w:spacing w:val="-2"/>
                <w:sz w:val="16"/>
              </w:rPr>
              <w:t> </w:t>
            </w:r>
            <w:r>
              <w:rPr>
                <w:b/>
                <w:sz w:val="16"/>
              </w:rPr>
              <w:t>y</w:t>
            </w:r>
            <w:r>
              <w:rPr>
                <w:b/>
                <w:spacing w:val="-6"/>
                <w:sz w:val="16"/>
              </w:rPr>
              <w:t> </w:t>
            </w:r>
            <w:r>
              <w:rPr>
                <w:b/>
                <w:sz w:val="16"/>
              </w:rPr>
              <w:t>sincronizada.</w:t>
            </w:r>
            <w:r>
              <w:rPr>
                <w:b/>
                <w:spacing w:val="-5"/>
                <w:sz w:val="16"/>
              </w:rPr>
              <w:t> </w:t>
            </w:r>
            <w:r>
              <w:rPr>
                <w:b/>
                <w:sz w:val="16"/>
              </w:rPr>
              <w:t>E2</w:t>
            </w:r>
            <w:r>
              <w:rPr>
                <w:b/>
                <w:spacing w:val="-6"/>
                <w:sz w:val="16"/>
              </w:rPr>
              <w:t> </w:t>
            </w:r>
            <w:r>
              <w:rPr>
                <w:b/>
                <w:sz w:val="16"/>
              </w:rPr>
              <w:t>AE1</w:t>
            </w:r>
            <w:r>
              <w:rPr>
                <w:b/>
                <w:spacing w:val="-6"/>
                <w:sz w:val="16"/>
              </w:rPr>
              <w:t> </w:t>
            </w:r>
            <w:r>
              <w:rPr>
                <w:b/>
                <w:spacing w:val="-5"/>
                <w:sz w:val="16"/>
              </w:rPr>
              <w:t>R1</w:t>
            </w:r>
          </w:p>
        </w:tc>
      </w:tr>
      <w:tr>
        <w:trPr>
          <w:trHeight w:val="2391" w:hRule="atLeast"/>
        </w:trPr>
        <w:tc>
          <w:tcPr>
            <w:tcW w:w="1695" w:type="dxa"/>
          </w:tcPr>
          <w:p>
            <w:pPr>
              <w:pStyle w:val="TableParagraph"/>
              <w:rPr>
                <w:b/>
                <w:sz w:val="16"/>
              </w:rPr>
            </w:pPr>
          </w:p>
          <w:p>
            <w:pPr>
              <w:pStyle w:val="TableParagraph"/>
              <w:spacing w:before="86"/>
              <w:rPr>
                <w:b/>
                <w:sz w:val="16"/>
              </w:rPr>
            </w:pPr>
          </w:p>
          <w:p>
            <w:pPr>
              <w:pStyle w:val="TableParagraph"/>
              <w:spacing w:line="244" w:lineRule="auto"/>
              <w:ind w:left="72" w:right="103"/>
              <w:rPr>
                <w:b/>
                <w:sz w:val="16"/>
              </w:rPr>
            </w:pPr>
            <w:r>
              <w:rPr>
                <w:b/>
                <w:spacing w:val="-2"/>
                <w:sz w:val="16"/>
              </w:rPr>
              <w:t>Actividad</w:t>
            </w:r>
            <w:r>
              <w:rPr>
                <w:b/>
                <w:spacing w:val="-10"/>
                <w:sz w:val="16"/>
              </w:rPr>
              <w:t> </w:t>
            </w:r>
            <w:r>
              <w:rPr>
                <w:b/>
                <w:spacing w:val="-2"/>
                <w:sz w:val="16"/>
              </w:rPr>
              <w:t>PPPS 1.8.1:</w:t>
            </w:r>
          </w:p>
          <w:p>
            <w:pPr>
              <w:pStyle w:val="TableParagraph"/>
              <w:ind w:left="72" w:right="192"/>
              <w:rPr>
                <w:sz w:val="16"/>
              </w:rPr>
            </w:pPr>
            <w:r>
              <w:rPr>
                <w:sz w:val="16"/>
              </w:rPr>
              <w:t>Implementación</w:t>
            </w:r>
            <w:r>
              <w:rPr>
                <w:spacing w:val="-10"/>
                <w:sz w:val="16"/>
              </w:rPr>
              <w:t> </w:t>
            </w:r>
            <w:r>
              <w:rPr>
                <w:sz w:val="16"/>
              </w:rPr>
              <w:t>del sistema</w:t>
            </w:r>
            <w:r>
              <w:rPr>
                <w:spacing w:val="-12"/>
                <w:sz w:val="16"/>
              </w:rPr>
              <w:t> </w:t>
            </w:r>
            <w:r>
              <w:rPr>
                <w:sz w:val="16"/>
              </w:rPr>
              <w:t>de</w:t>
            </w:r>
            <w:r>
              <w:rPr>
                <w:spacing w:val="-11"/>
                <w:sz w:val="16"/>
              </w:rPr>
              <w:t> </w:t>
            </w:r>
            <w:r>
              <w:rPr>
                <w:sz w:val="16"/>
              </w:rPr>
              <w:t>atención omnicanal para población</w:t>
            </w:r>
            <w:r>
              <w:rPr>
                <w:spacing w:val="-2"/>
                <w:sz w:val="16"/>
              </w:rPr>
              <w:t> </w:t>
            </w:r>
            <w:r>
              <w:rPr>
                <w:sz w:val="16"/>
              </w:rPr>
              <w:t>usuaria (vinculada a PEI </w:t>
            </w:r>
            <w:r>
              <w:rPr>
                <w:spacing w:val="-2"/>
                <w:sz w:val="16"/>
              </w:rPr>
              <w:t>2.1.1).</w:t>
            </w:r>
          </w:p>
        </w:tc>
        <w:tc>
          <w:tcPr>
            <w:tcW w:w="1278" w:type="dxa"/>
          </w:tcPr>
          <w:p>
            <w:pPr>
              <w:pStyle w:val="TableParagraph"/>
              <w:ind w:left="72" w:right="191"/>
              <w:rPr>
                <w:sz w:val="16"/>
              </w:rPr>
            </w:pPr>
            <w:r>
              <w:rPr>
                <w:sz w:val="16"/>
              </w:rPr>
              <w:t>Porcentaje</w:t>
            </w:r>
            <w:r>
              <w:rPr>
                <w:spacing w:val="-12"/>
                <w:sz w:val="16"/>
              </w:rPr>
              <w:t> </w:t>
            </w:r>
            <w:r>
              <w:rPr>
                <w:sz w:val="16"/>
              </w:rPr>
              <w:t>de </w:t>
            </w:r>
            <w:r>
              <w:rPr>
                <w:spacing w:val="-2"/>
                <w:sz w:val="16"/>
              </w:rPr>
              <w:t>hogares </w:t>
            </w:r>
            <w:r>
              <w:rPr>
                <w:sz w:val="16"/>
              </w:rPr>
              <w:t>receptores</w:t>
            </w:r>
            <w:r>
              <w:rPr>
                <w:spacing w:val="-12"/>
                <w:sz w:val="16"/>
              </w:rPr>
              <w:t> </w:t>
            </w:r>
            <w:r>
              <w:rPr>
                <w:sz w:val="16"/>
              </w:rPr>
              <w:t>de la oferta </w:t>
            </w:r>
            <w:r>
              <w:rPr>
                <w:spacing w:val="-2"/>
                <w:sz w:val="16"/>
              </w:rPr>
              <w:t>programática institucional </w:t>
            </w:r>
            <w:r>
              <w:rPr>
                <w:sz w:val="16"/>
              </w:rPr>
              <w:t>que</w:t>
            </w:r>
            <w:r>
              <w:rPr>
                <w:spacing w:val="-2"/>
                <w:sz w:val="16"/>
              </w:rPr>
              <w:t> </w:t>
            </w:r>
            <w:r>
              <w:rPr>
                <w:sz w:val="16"/>
              </w:rPr>
              <w:t>son atendidos</w:t>
            </w:r>
            <w:r>
              <w:rPr>
                <w:spacing w:val="-12"/>
                <w:sz w:val="16"/>
              </w:rPr>
              <w:t> </w:t>
            </w:r>
            <w:r>
              <w:rPr>
                <w:sz w:val="16"/>
              </w:rPr>
              <w:t>con </w:t>
            </w:r>
            <w:r>
              <w:rPr>
                <w:spacing w:val="-2"/>
                <w:sz w:val="16"/>
              </w:rPr>
              <w:t>trazabilidad </w:t>
            </w:r>
            <w:r>
              <w:rPr>
                <w:sz w:val="16"/>
              </w:rPr>
              <w:t>mediante el Sistema de </w:t>
            </w:r>
            <w:r>
              <w:rPr>
                <w:spacing w:val="-2"/>
                <w:sz w:val="16"/>
              </w:rPr>
              <w:t>Atención</w:t>
            </w:r>
          </w:p>
          <w:p>
            <w:pPr>
              <w:pStyle w:val="TableParagraph"/>
              <w:spacing w:line="163" w:lineRule="exact"/>
              <w:ind w:left="72"/>
              <w:rPr>
                <w:sz w:val="16"/>
              </w:rPr>
            </w:pPr>
            <w:r>
              <w:rPr>
                <w:spacing w:val="-2"/>
                <w:sz w:val="16"/>
              </w:rPr>
              <w:t>Omnicanal.</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16" w:right="19"/>
              <w:jc w:val="center"/>
              <w:rPr>
                <w:sz w:val="16"/>
              </w:rPr>
            </w:pPr>
            <w:r>
              <w:rPr>
                <w:spacing w:val="-5"/>
                <w:sz w:val="16"/>
              </w:rPr>
              <w:t>10%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4" w:right="1"/>
              <w:jc w:val="center"/>
              <w:rPr>
                <w:sz w:val="16"/>
              </w:rPr>
            </w:pPr>
            <w:r>
              <w:rPr>
                <w:spacing w:val="-5"/>
                <w:sz w:val="16"/>
              </w:rPr>
              <w:t>20%</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558"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451" w:hRule="atLeast"/>
        </w:trPr>
        <w:tc>
          <w:tcPr>
            <w:tcW w:w="14323" w:type="dxa"/>
            <w:gridSpan w:val="10"/>
            <w:shd w:val="clear" w:color="auto" w:fill="EFF8F9"/>
          </w:tcPr>
          <w:p>
            <w:pPr>
              <w:pStyle w:val="TableParagraph"/>
              <w:spacing w:before="42"/>
              <w:ind w:left="72" w:right="95"/>
              <w:rPr>
                <w:b/>
                <w:sz w:val="16"/>
              </w:rPr>
            </w:pPr>
            <w:r>
              <w:rPr>
                <w:b/>
                <w:sz w:val="16"/>
              </w:rPr>
              <w:t>Producto</w:t>
            </w:r>
            <w:r>
              <w:rPr>
                <w:b/>
                <w:spacing w:val="-1"/>
                <w:sz w:val="16"/>
              </w:rPr>
              <w:t> </w:t>
            </w:r>
            <w:r>
              <w:rPr>
                <w:b/>
                <w:sz w:val="16"/>
              </w:rPr>
              <w:t>PPPS 1.9: Estrategia</w:t>
            </w:r>
            <w:r>
              <w:rPr>
                <w:b/>
                <w:spacing w:val="-6"/>
                <w:sz w:val="16"/>
              </w:rPr>
              <w:t> </w:t>
            </w:r>
            <w:r>
              <w:rPr>
                <w:b/>
                <w:sz w:val="16"/>
              </w:rPr>
              <w:t>de</w:t>
            </w:r>
            <w:r>
              <w:rPr>
                <w:b/>
                <w:spacing w:val="-6"/>
                <w:sz w:val="16"/>
              </w:rPr>
              <w:t> </w:t>
            </w:r>
            <w:r>
              <w:rPr>
                <w:b/>
                <w:sz w:val="16"/>
              </w:rPr>
              <w:t>atención</w:t>
            </w:r>
            <w:r>
              <w:rPr>
                <w:b/>
                <w:spacing w:val="-1"/>
                <w:sz w:val="16"/>
              </w:rPr>
              <w:t> </w:t>
            </w:r>
            <w:r>
              <w:rPr>
                <w:b/>
                <w:sz w:val="16"/>
              </w:rPr>
              <w:t>itinerante</w:t>
            </w:r>
            <w:r>
              <w:rPr>
                <w:b/>
                <w:spacing w:val="-2"/>
                <w:sz w:val="16"/>
              </w:rPr>
              <w:t> </w:t>
            </w:r>
            <w:r>
              <w:rPr>
                <w:b/>
                <w:sz w:val="16"/>
              </w:rPr>
              <w:t>diseñada</w:t>
            </w:r>
            <w:r>
              <w:rPr>
                <w:b/>
                <w:spacing w:val="-2"/>
                <w:sz w:val="16"/>
              </w:rPr>
              <w:t> </w:t>
            </w:r>
            <w:r>
              <w:rPr>
                <w:b/>
                <w:sz w:val="16"/>
              </w:rPr>
              <w:t>e</w:t>
            </w:r>
            <w:r>
              <w:rPr>
                <w:b/>
                <w:spacing w:val="-2"/>
                <w:sz w:val="16"/>
              </w:rPr>
              <w:t> </w:t>
            </w:r>
            <w:r>
              <w:rPr>
                <w:b/>
                <w:sz w:val="16"/>
              </w:rPr>
              <w:t>implementada</w:t>
            </w:r>
            <w:r>
              <w:rPr>
                <w:b/>
                <w:spacing w:val="-2"/>
                <w:sz w:val="16"/>
              </w:rPr>
              <w:t> </w:t>
            </w:r>
            <w:r>
              <w:rPr>
                <w:b/>
                <w:sz w:val="16"/>
              </w:rPr>
              <w:t>con</w:t>
            </w:r>
            <w:r>
              <w:rPr>
                <w:b/>
                <w:spacing w:val="-5"/>
                <w:sz w:val="16"/>
              </w:rPr>
              <w:t> </w:t>
            </w:r>
            <w:r>
              <w:rPr>
                <w:b/>
                <w:sz w:val="16"/>
              </w:rPr>
              <w:t>perspectiva</w:t>
            </w:r>
            <w:r>
              <w:rPr>
                <w:b/>
                <w:spacing w:val="-2"/>
                <w:sz w:val="16"/>
              </w:rPr>
              <w:t> </w:t>
            </w:r>
            <w:r>
              <w:rPr>
                <w:b/>
                <w:sz w:val="16"/>
              </w:rPr>
              <w:t>de</w:t>
            </w:r>
            <w:r>
              <w:rPr>
                <w:b/>
                <w:spacing w:val="-6"/>
                <w:sz w:val="16"/>
              </w:rPr>
              <w:t> </w:t>
            </w:r>
            <w:r>
              <w:rPr>
                <w:b/>
                <w:sz w:val="16"/>
              </w:rPr>
              <w:t>territorialidad</w:t>
            </w:r>
            <w:r>
              <w:rPr>
                <w:b/>
                <w:spacing w:val="-5"/>
                <w:sz w:val="16"/>
              </w:rPr>
              <w:t> </w:t>
            </w:r>
            <w:r>
              <w:rPr>
                <w:b/>
                <w:sz w:val="16"/>
              </w:rPr>
              <w:t>e</w:t>
            </w:r>
            <w:r>
              <w:rPr>
                <w:b/>
                <w:spacing w:val="-2"/>
                <w:sz w:val="16"/>
              </w:rPr>
              <w:t> </w:t>
            </w:r>
            <w:r>
              <w:rPr>
                <w:b/>
                <w:sz w:val="16"/>
              </w:rPr>
              <w:t>intersectorialidad,</w:t>
            </w:r>
            <w:r>
              <w:rPr>
                <w:b/>
                <w:spacing w:val="-5"/>
                <w:sz w:val="16"/>
              </w:rPr>
              <w:t> </w:t>
            </w:r>
            <w:r>
              <w:rPr>
                <w:b/>
                <w:sz w:val="16"/>
              </w:rPr>
              <w:t>que</w:t>
            </w:r>
            <w:r>
              <w:rPr>
                <w:b/>
                <w:spacing w:val="-2"/>
                <w:sz w:val="16"/>
              </w:rPr>
              <w:t> </w:t>
            </w:r>
            <w:r>
              <w:rPr>
                <w:b/>
                <w:sz w:val="16"/>
              </w:rPr>
              <w:t>contribuya</w:t>
            </w:r>
            <w:r>
              <w:rPr>
                <w:b/>
                <w:spacing w:val="-2"/>
                <w:sz w:val="16"/>
              </w:rPr>
              <w:t> </w:t>
            </w:r>
            <w:r>
              <w:rPr>
                <w:b/>
                <w:sz w:val="16"/>
              </w:rPr>
              <w:t>a</w:t>
            </w:r>
            <w:r>
              <w:rPr>
                <w:b/>
                <w:spacing w:val="-6"/>
                <w:sz w:val="16"/>
              </w:rPr>
              <w:t> </w:t>
            </w:r>
            <w:r>
              <w:rPr>
                <w:b/>
                <w:sz w:val="16"/>
              </w:rPr>
              <w:t>la</w:t>
            </w:r>
            <w:r>
              <w:rPr>
                <w:b/>
                <w:spacing w:val="-2"/>
                <w:sz w:val="16"/>
              </w:rPr>
              <w:t> </w:t>
            </w:r>
            <w:r>
              <w:rPr>
                <w:b/>
                <w:sz w:val="16"/>
              </w:rPr>
              <w:t>atención</w:t>
            </w:r>
            <w:r>
              <w:rPr>
                <w:b/>
                <w:spacing w:val="-1"/>
                <w:sz w:val="16"/>
              </w:rPr>
              <w:t> </w:t>
            </w:r>
            <w:r>
              <w:rPr>
                <w:b/>
                <w:sz w:val="16"/>
              </w:rPr>
              <w:t>de</w:t>
            </w:r>
            <w:r>
              <w:rPr>
                <w:b/>
                <w:spacing w:val="-2"/>
                <w:sz w:val="16"/>
              </w:rPr>
              <w:t> </w:t>
            </w:r>
            <w:r>
              <w:rPr>
                <w:b/>
                <w:sz w:val="16"/>
              </w:rPr>
              <w:t>poblaciones</w:t>
            </w:r>
            <w:r>
              <w:rPr>
                <w:b/>
                <w:spacing w:val="-2"/>
                <w:sz w:val="16"/>
              </w:rPr>
              <w:t> </w:t>
            </w:r>
            <w:r>
              <w:rPr>
                <w:b/>
                <w:sz w:val="16"/>
              </w:rPr>
              <w:t>con limitaciones de acceso. E2 AE1 R2</w:t>
            </w:r>
          </w:p>
        </w:tc>
      </w:tr>
      <w:tr>
        <w:trPr>
          <w:trHeight w:val="2395" w:hRule="atLeast"/>
        </w:trPr>
        <w:tc>
          <w:tcPr>
            <w:tcW w:w="1695" w:type="dxa"/>
          </w:tcPr>
          <w:p>
            <w:pPr>
              <w:pStyle w:val="TableParagraph"/>
              <w:rPr>
                <w:b/>
                <w:sz w:val="16"/>
              </w:rPr>
            </w:pPr>
          </w:p>
          <w:p>
            <w:pPr>
              <w:pStyle w:val="TableParagraph"/>
              <w:spacing w:before="91"/>
              <w:rPr>
                <w:b/>
                <w:sz w:val="16"/>
              </w:rPr>
            </w:pPr>
          </w:p>
          <w:p>
            <w:pPr>
              <w:pStyle w:val="TableParagraph"/>
              <w:ind w:left="72" w:right="103"/>
              <w:rPr>
                <w:b/>
                <w:sz w:val="16"/>
              </w:rPr>
            </w:pPr>
            <w:r>
              <w:rPr>
                <w:b/>
                <w:spacing w:val="-2"/>
                <w:sz w:val="16"/>
              </w:rPr>
              <w:t>Actividad</w:t>
            </w:r>
            <w:r>
              <w:rPr>
                <w:b/>
                <w:spacing w:val="-10"/>
                <w:sz w:val="16"/>
              </w:rPr>
              <w:t> </w:t>
            </w:r>
            <w:r>
              <w:rPr>
                <w:b/>
                <w:spacing w:val="-2"/>
                <w:sz w:val="16"/>
              </w:rPr>
              <w:t>PPPS 1.9.1:</w:t>
            </w:r>
          </w:p>
          <w:p>
            <w:pPr>
              <w:pStyle w:val="TableParagraph"/>
              <w:spacing w:before="2"/>
              <w:ind w:left="72" w:right="84"/>
              <w:rPr>
                <w:sz w:val="16"/>
              </w:rPr>
            </w:pPr>
            <w:r>
              <w:rPr>
                <w:sz w:val="16"/>
              </w:rPr>
              <w:t>Implementación</w:t>
            </w:r>
            <w:r>
              <w:rPr>
                <w:spacing w:val="-12"/>
                <w:sz w:val="16"/>
              </w:rPr>
              <w:t> </w:t>
            </w:r>
            <w:r>
              <w:rPr>
                <w:sz w:val="16"/>
              </w:rPr>
              <w:t>de</w:t>
            </w:r>
            <w:r>
              <w:rPr>
                <w:spacing w:val="-11"/>
                <w:sz w:val="16"/>
              </w:rPr>
              <w:t> </w:t>
            </w:r>
            <w:r>
              <w:rPr>
                <w:sz w:val="16"/>
              </w:rPr>
              <w:t>la estrategia de atención</w:t>
            </w:r>
            <w:r>
              <w:rPr>
                <w:spacing w:val="-12"/>
                <w:sz w:val="16"/>
              </w:rPr>
              <w:t> </w:t>
            </w:r>
            <w:r>
              <w:rPr>
                <w:sz w:val="16"/>
              </w:rPr>
              <w:t>itinerante</w:t>
            </w:r>
            <w:r>
              <w:rPr>
                <w:spacing w:val="-11"/>
                <w:sz w:val="16"/>
              </w:rPr>
              <w:t> </w:t>
            </w:r>
            <w:r>
              <w:rPr>
                <w:sz w:val="16"/>
              </w:rPr>
              <w:t>en distritos identificados (vinculada a PEI </w:t>
            </w:r>
            <w:r>
              <w:rPr>
                <w:spacing w:val="-2"/>
                <w:sz w:val="16"/>
              </w:rPr>
              <w:t>2.1.2).</w:t>
            </w:r>
          </w:p>
        </w:tc>
        <w:tc>
          <w:tcPr>
            <w:tcW w:w="1278" w:type="dxa"/>
          </w:tcPr>
          <w:p>
            <w:pPr>
              <w:pStyle w:val="TableParagraph"/>
              <w:ind w:left="72" w:right="113"/>
              <w:rPr>
                <w:sz w:val="16"/>
              </w:rPr>
            </w:pPr>
            <w:r>
              <w:rPr>
                <w:sz w:val="16"/>
              </w:rPr>
              <w:t>Porcentaje de distritos que </w:t>
            </w:r>
            <w:r>
              <w:rPr>
                <w:spacing w:val="-2"/>
                <w:sz w:val="16"/>
              </w:rPr>
              <w:t>fueron identificados </w:t>
            </w:r>
            <w:r>
              <w:rPr>
                <w:spacing w:val="-4"/>
                <w:sz w:val="16"/>
              </w:rPr>
              <w:t>con</w:t>
            </w:r>
            <w:r>
              <w:rPr>
                <w:sz w:val="16"/>
              </w:rPr>
              <w:t> limitaciones</w:t>
            </w:r>
            <w:r>
              <w:rPr>
                <w:spacing w:val="-12"/>
                <w:sz w:val="16"/>
              </w:rPr>
              <w:t> </w:t>
            </w:r>
            <w:r>
              <w:rPr>
                <w:sz w:val="16"/>
              </w:rPr>
              <w:t>de acceso y que cuentan con al menos una </w:t>
            </w:r>
            <w:r>
              <w:rPr>
                <w:spacing w:val="-2"/>
                <w:sz w:val="16"/>
              </w:rPr>
              <w:t>comunidad</w:t>
            </w:r>
            <w:r>
              <w:rPr>
                <w:spacing w:val="-10"/>
                <w:sz w:val="16"/>
              </w:rPr>
              <w:t> </w:t>
            </w:r>
            <w:r>
              <w:rPr>
                <w:spacing w:val="-2"/>
                <w:sz w:val="16"/>
              </w:rPr>
              <w:t>con atención</w:t>
            </w:r>
          </w:p>
          <w:p>
            <w:pPr>
              <w:pStyle w:val="TableParagraph"/>
              <w:spacing w:line="182" w:lineRule="exact"/>
              <w:ind w:left="72"/>
              <w:rPr>
                <w:sz w:val="16"/>
              </w:rPr>
            </w:pPr>
            <w:r>
              <w:rPr>
                <w:sz w:val="16"/>
              </w:rPr>
              <w:t>itinerante por parte</w:t>
            </w:r>
            <w:r>
              <w:rPr>
                <w:spacing w:val="-12"/>
                <w:sz w:val="16"/>
              </w:rPr>
              <w:t> </w:t>
            </w:r>
            <w:r>
              <w:rPr>
                <w:sz w:val="16"/>
              </w:rPr>
              <w:t>del</w:t>
            </w:r>
            <w:r>
              <w:rPr>
                <w:spacing w:val="-11"/>
                <w:sz w:val="16"/>
              </w:rPr>
              <w:t> </w:t>
            </w:r>
            <w:r>
              <w:rPr>
                <w:sz w:val="16"/>
              </w:rPr>
              <w:t>IMAS.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4" w:right="1"/>
              <w:jc w:val="center"/>
              <w:rPr>
                <w:sz w:val="16"/>
              </w:rPr>
            </w:pPr>
            <w:r>
              <w:rPr>
                <w:spacing w:val="-5"/>
                <w:sz w:val="16"/>
              </w:rPr>
              <w:t>30%</w:t>
            </w:r>
          </w:p>
        </w:tc>
        <w:tc>
          <w:tcPr>
            <w:tcW w:w="1494" w:type="dxa"/>
          </w:tcPr>
          <w:p>
            <w:pPr>
              <w:pStyle w:val="TableParagraph"/>
              <w:rPr>
                <w:rFonts w:ascii="Times New Roman"/>
                <w:sz w:val="16"/>
              </w:rPr>
            </w:pPr>
          </w:p>
        </w:tc>
      </w:tr>
      <w:tr>
        <w:trPr>
          <w:trHeight w:val="493" w:hRule="atLeast"/>
        </w:trPr>
        <w:tc>
          <w:tcPr>
            <w:tcW w:w="14323" w:type="dxa"/>
            <w:gridSpan w:val="10"/>
            <w:shd w:val="clear" w:color="auto" w:fill="EFF8F9"/>
          </w:tcPr>
          <w:p>
            <w:pPr>
              <w:pStyle w:val="TableParagraph"/>
              <w:spacing w:before="61"/>
              <w:ind w:left="72" w:right="95"/>
              <w:rPr>
                <w:b/>
                <w:sz w:val="16"/>
              </w:rPr>
            </w:pPr>
            <w:r>
              <w:rPr>
                <w:b/>
                <w:sz w:val="16"/>
              </w:rPr>
              <w:t>Producto PPPS 1.10:</w:t>
            </w:r>
            <w:r>
              <w:rPr>
                <w:b/>
                <w:spacing w:val="-4"/>
                <w:sz w:val="16"/>
              </w:rPr>
              <w:t> </w:t>
            </w:r>
            <w:r>
              <w:rPr>
                <w:b/>
                <w:sz w:val="16"/>
              </w:rPr>
              <w:t>Oferta</w:t>
            </w:r>
            <w:r>
              <w:rPr>
                <w:b/>
                <w:spacing w:val="-1"/>
                <w:sz w:val="16"/>
              </w:rPr>
              <w:t> </w:t>
            </w:r>
            <w:r>
              <w:rPr>
                <w:b/>
                <w:sz w:val="16"/>
              </w:rPr>
              <w:t>programática</w:t>
            </w:r>
            <w:r>
              <w:rPr>
                <w:b/>
                <w:spacing w:val="-1"/>
                <w:sz w:val="16"/>
              </w:rPr>
              <w:t> </w:t>
            </w:r>
            <w:r>
              <w:rPr>
                <w:b/>
                <w:sz w:val="16"/>
              </w:rPr>
              <w:t>institucional a</w:t>
            </w:r>
            <w:r>
              <w:rPr>
                <w:b/>
                <w:spacing w:val="-5"/>
                <w:sz w:val="16"/>
              </w:rPr>
              <w:t> </w:t>
            </w:r>
            <w:r>
              <w:rPr>
                <w:b/>
                <w:sz w:val="16"/>
              </w:rPr>
              <w:t>nivel de</w:t>
            </w:r>
            <w:r>
              <w:rPr>
                <w:b/>
                <w:spacing w:val="-5"/>
                <w:sz w:val="16"/>
              </w:rPr>
              <w:t> </w:t>
            </w:r>
            <w:r>
              <w:rPr>
                <w:b/>
                <w:sz w:val="16"/>
              </w:rPr>
              <w:t>protección social analizada, que</w:t>
            </w:r>
            <w:r>
              <w:rPr>
                <w:b/>
                <w:spacing w:val="-1"/>
                <w:sz w:val="16"/>
              </w:rPr>
              <w:t> </w:t>
            </w:r>
            <w:r>
              <w:rPr>
                <w:b/>
                <w:sz w:val="16"/>
              </w:rPr>
              <w:t>permita</w:t>
            </w:r>
            <w:r>
              <w:rPr>
                <w:b/>
                <w:spacing w:val="-5"/>
                <w:sz w:val="16"/>
              </w:rPr>
              <w:t> </w:t>
            </w:r>
            <w:r>
              <w:rPr>
                <w:b/>
                <w:sz w:val="16"/>
              </w:rPr>
              <w:t>la</w:t>
            </w:r>
            <w:r>
              <w:rPr>
                <w:b/>
                <w:spacing w:val="-5"/>
                <w:sz w:val="16"/>
              </w:rPr>
              <w:t> </w:t>
            </w:r>
            <w:r>
              <w:rPr>
                <w:b/>
                <w:sz w:val="16"/>
              </w:rPr>
              <w:t>identificación</w:t>
            </w:r>
            <w:r>
              <w:rPr>
                <w:b/>
                <w:spacing w:val="-4"/>
                <w:sz w:val="16"/>
              </w:rPr>
              <w:t> </w:t>
            </w:r>
            <w:r>
              <w:rPr>
                <w:b/>
                <w:sz w:val="16"/>
              </w:rPr>
              <w:t>de</w:t>
            </w:r>
            <w:r>
              <w:rPr>
                <w:b/>
                <w:spacing w:val="-5"/>
                <w:sz w:val="16"/>
              </w:rPr>
              <w:t> </w:t>
            </w:r>
            <w:r>
              <w:rPr>
                <w:b/>
                <w:sz w:val="16"/>
              </w:rPr>
              <w:t>líneas</w:t>
            </w:r>
            <w:r>
              <w:rPr>
                <w:b/>
                <w:spacing w:val="-1"/>
                <w:sz w:val="16"/>
              </w:rPr>
              <w:t> </w:t>
            </w:r>
            <w:r>
              <w:rPr>
                <w:b/>
                <w:sz w:val="16"/>
              </w:rPr>
              <w:t>y</w:t>
            </w:r>
            <w:r>
              <w:rPr>
                <w:b/>
                <w:spacing w:val="-5"/>
                <w:sz w:val="16"/>
              </w:rPr>
              <w:t> </w:t>
            </w:r>
            <w:r>
              <w:rPr>
                <w:b/>
                <w:sz w:val="16"/>
              </w:rPr>
              <w:t>propuestas</w:t>
            </w:r>
            <w:r>
              <w:rPr>
                <w:b/>
                <w:spacing w:val="-5"/>
                <w:sz w:val="16"/>
              </w:rPr>
              <w:t> </w:t>
            </w:r>
            <w:r>
              <w:rPr>
                <w:b/>
                <w:sz w:val="16"/>
              </w:rPr>
              <w:t>de</w:t>
            </w:r>
            <w:r>
              <w:rPr>
                <w:b/>
                <w:spacing w:val="-1"/>
                <w:sz w:val="16"/>
              </w:rPr>
              <w:t> </w:t>
            </w:r>
            <w:r>
              <w:rPr>
                <w:b/>
                <w:sz w:val="16"/>
              </w:rPr>
              <w:t>mejora</w:t>
            </w:r>
            <w:r>
              <w:rPr>
                <w:b/>
                <w:spacing w:val="-1"/>
                <w:sz w:val="16"/>
              </w:rPr>
              <w:t> </w:t>
            </w:r>
            <w:r>
              <w:rPr>
                <w:b/>
                <w:sz w:val="16"/>
              </w:rPr>
              <w:t>bajo la</w:t>
            </w:r>
            <w:r>
              <w:rPr>
                <w:b/>
                <w:spacing w:val="-1"/>
                <w:sz w:val="16"/>
              </w:rPr>
              <w:t> </w:t>
            </w:r>
            <w:r>
              <w:rPr>
                <w:b/>
                <w:sz w:val="16"/>
              </w:rPr>
              <w:t>metodología</w:t>
            </w:r>
            <w:r>
              <w:rPr>
                <w:b/>
                <w:spacing w:val="-5"/>
                <w:sz w:val="16"/>
              </w:rPr>
              <w:t> </w:t>
            </w:r>
            <w:r>
              <w:rPr>
                <w:b/>
                <w:sz w:val="16"/>
              </w:rPr>
              <w:t>de</w:t>
            </w:r>
            <w:r>
              <w:rPr>
                <w:b/>
                <w:spacing w:val="-5"/>
                <w:sz w:val="16"/>
              </w:rPr>
              <w:t> </w:t>
            </w:r>
            <w:r>
              <w:rPr>
                <w:b/>
                <w:sz w:val="16"/>
              </w:rPr>
              <w:t>GpRD y el Modelo de Intervención Institucional. E2 AE2 R1</w:t>
            </w:r>
          </w:p>
        </w:tc>
      </w:tr>
      <w:tr>
        <w:trPr>
          <w:trHeight w:val="2578"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1.10.1:</w:t>
            </w:r>
          </w:p>
          <w:p>
            <w:pPr>
              <w:pStyle w:val="TableParagraph"/>
              <w:ind w:left="72" w:right="128"/>
              <w:rPr>
                <w:sz w:val="16"/>
              </w:rPr>
            </w:pPr>
            <w:r>
              <w:rPr>
                <w:sz w:val="16"/>
              </w:rPr>
              <w:t>Análisis e identificación</w:t>
            </w:r>
            <w:r>
              <w:rPr>
                <w:spacing w:val="-2"/>
                <w:sz w:val="16"/>
              </w:rPr>
              <w:t> </w:t>
            </w:r>
            <w:r>
              <w:rPr>
                <w:sz w:val="16"/>
              </w:rPr>
              <w:t>de líneas</w:t>
            </w:r>
            <w:r>
              <w:rPr>
                <w:spacing w:val="-10"/>
                <w:sz w:val="16"/>
              </w:rPr>
              <w:t> </w:t>
            </w:r>
            <w:r>
              <w:rPr>
                <w:sz w:val="16"/>
              </w:rPr>
              <w:t>de</w:t>
            </w:r>
            <w:r>
              <w:rPr>
                <w:spacing w:val="-11"/>
                <w:sz w:val="16"/>
              </w:rPr>
              <w:t> </w:t>
            </w:r>
            <w:r>
              <w:rPr>
                <w:sz w:val="16"/>
              </w:rPr>
              <w:t>mejora</w:t>
            </w:r>
            <w:r>
              <w:rPr>
                <w:spacing w:val="-11"/>
                <w:sz w:val="16"/>
              </w:rPr>
              <w:t> </w:t>
            </w:r>
            <w:r>
              <w:rPr>
                <w:sz w:val="16"/>
              </w:rPr>
              <w:t>en subsidios y </w:t>
            </w:r>
            <w:r>
              <w:rPr>
                <w:spacing w:val="-2"/>
                <w:sz w:val="16"/>
              </w:rPr>
              <w:t>transferencias </w:t>
            </w:r>
            <w:r>
              <w:rPr>
                <w:sz w:val="16"/>
              </w:rPr>
              <w:t>monetarias de la oferta</w:t>
            </w:r>
            <w:r>
              <w:rPr>
                <w:spacing w:val="-12"/>
                <w:sz w:val="16"/>
              </w:rPr>
              <w:t> </w:t>
            </w:r>
            <w:r>
              <w:rPr>
                <w:sz w:val="16"/>
              </w:rPr>
              <w:t>programática institucional a nivel de</w:t>
            </w:r>
            <w:r>
              <w:rPr>
                <w:spacing w:val="-12"/>
                <w:sz w:val="16"/>
              </w:rPr>
              <w:t> </w:t>
            </w:r>
            <w:r>
              <w:rPr>
                <w:sz w:val="16"/>
              </w:rPr>
              <w:t>protección</w:t>
            </w:r>
            <w:r>
              <w:rPr>
                <w:spacing w:val="-11"/>
                <w:sz w:val="16"/>
              </w:rPr>
              <w:t> </w:t>
            </w:r>
            <w:r>
              <w:rPr>
                <w:sz w:val="16"/>
              </w:rPr>
              <w:t>social (vinculado a PEI</w:t>
            </w:r>
          </w:p>
          <w:p>
            <w:pPr>
              <w:pStyle w:val="TableParagraph"/>
              <w:spacing w:line="182" w:lineRule="exact"/>
              <w:ind w:left="72"/>
              <w:rPr>
                <w:sz w:val="16"/>
              </w:rPr>
            </w:pPr>
            <w:r>
              <w:rPr>
                <w:sz w:val="16"/>
              </w:rPr>
              <w:t>2.2.1</w:t>
            </w:r>
            <w:r>
              <w:rPr>
                <w:spacing w:val="-5"/>
                <w:sz w:val="16"/>
              </w:rPr>
              <w:t> </w:t>
            </w:r>
            <w:r>
              <w:rPr>
                <w:sz w:val="16"/>
              </w:rPr>
              <w:t>/</w:t>
            </w:r>
            <w:r>
              <w:rPr>
                <w:spacing w:val="-4"/>
                <w:sz w:val="16"/>
              </w:rPr>
              <w:t> </w:t>
            </w:r>
            <w:r>
              <w:rPr>
                <w:spacing w:val="-2"/>
                <w:sz w:val="16"/>
              </w:rPr>
              <w:t>Estrategia</w:t>
            </w:r>
          </w:p>
          <w:p>
            <w:pPr>
              <w:pStyle w:val="TableParagraph"/>
              <w:spacing w:line="167" w:lineRule="exact"/>
              <w:ind w:left="72"/>
              <w:rPr>
                <w:sz w:val="16"/>
              </w:rPr>
            </w:pPr>
            <w:r>
              <w:rPr>
                <w:sz w:val="16"/>
              </w:rPr>
              <w:t>GpRD</w:t>
            </w:r>
            <w:r>
              <w:rPr>
                <w:spacing w:val="-7"/>
                <w:sz w:val="16"/>
              </w:rPr>
              <w:t> </w:t>
            </w:r>
            <w:r>
              <w:rPr>
                <w:spacing w:val="-2"/>
                <w:sz w:val="16"/>
              </w:rPr>
              <w:t>5.6.1).</w:t>
            </w:r>
          </w:p>
        </w:tc>
        <w:tc>
          <w:tcPr>
            <w:tcW w:w="1278" w:type="dxa"/>
          </w:tcPr>
          <w:p>
            <w:pPr>
              <w:pStyle w:val="TableParagraph"/>
              <w:spacing w:before="88"/>
              <w:rPr>
                <w:b/>
                <w:sz w:val="16"/>
              </w:rPr>
            </w:pPr>
          </w:p>
          <w:p>
            <w:pPr>
              <w:pStyle w:val="TableParagraph"/>
              <w:ind w:left="72" w:right="103"/>
              <w:rPr>
                <w:sz w:val="16"/>
              </w:rPr>
            </w:pPr>
            <w:r>
              <w:rPr>
                <w:sz w:val="16"/>
              </w:rPr>
              <w:t>Cantidad de </w:t>
            </w:r>
            <w:r>
              <w:rPr>
                <w:spacing w:val="-2"/>
                <w:sz w:val="16"/>
              </w:rPr>
              <w:t>beneficios, </w:t>
            </w:r>
            <w:r>
              <w:rPr>
                <w:sz w:val="16"/>
              </w:rPr>
              <w:t>subsidios y </w:t>
            </w:r>
            <w:r>
              <w:rPr>
                <w:spacing w:val="-2"/>
                <w:sz w:val="16"/>
              </w:rPr>
              <w:t>transferencias monetarias</w:t>
            </w:r>
            <w:r>
              <w:rPr>
                <w:spacing w:val="-10"/>
                <w:sz w:val="16"/>
              </w:rPr>
              <w:t> </w:t>
            </w:r>
            <w:r>
              <w:rPr>
                <w:spacing w:val="-2"/>
                <w:sz w:val="16"/>
              </w:rPr>
              <w:t>de protección </w:t>
            </w:r>
            <w:r>
              <w:rPr>
                <w:sz w:val="16"/>
              </w:rPr>
              <w:t>social que cuenta</w:t>
            </w:r>
            <w:r>
              <w:rPr>
                <w:spacing w:val="-2"/>
                <w:sz w:val="16"/>
              </w:rPr>
              <w:t> </w:t>
            </w:r>
            <w:r>
              <w:rPr>
                <w:sz w:val="16"/>
              </w:rPr>
              <w:t>con líneas y </w:t>
            </w:r>
            <w:r>
              <w:rPr>
                <w:spacing w:val="-2"/>
                <w:sz w:val="16"/>
              </w:rPr>
              <w:t>propuestas</w:t>
            </w:r>
            <w:r>
              <w:rPr>
                <w:spacing w:val="-10"/>
                <w:sz w:val="16"/>
              </w:rPr>
              <w:t> </w:t>
            </w:r>
            <w:r>
              <w:rPr>
                <w:spacing w:val="-2"/>
                <w:sz w:val="16"/>
              </w:rPr>
              <w:t>de mejora.</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ind w:left="4" w:right="1"/>
              <w:jc w:val="center"/>
              <w:rPr>
                <w:sz w:val="16"/>
              </w:rPr>
            </w:pPr>
            <w:r>
              <w:rPr>
                <w:spacing w:val="-10"/>
                <w:sz w:val="16"/>
              </w:rPr>
              <w:t>6</w:t>
            </w:r>
          </w:p>
        </w:tc>
        <w:tc>
          <w:tcPr>
            <w:tcW w:w="1494" w:type="dxa"/>
          </w:tcPr>
          <w:p>
            <w:pPr>
              <w:pStyle w:val="TableParagraph"/>
              <w:rPr>
                <w:rFonts w:ascii="Times New Roman"/>
                <w:sz w:val="16"/>
              </w:rPr>
            </w:pPr>
          </w:p>
        </w:tc>
      </w:tr>
      <w:tr>
        <w:trPr>
          <w:trHeight w:val="480" w:hRule="atLeast"/>
        </w:trPr>
        <w:tc>
          <w:tcPr>
            <w:tcW w:w="14323" w:type="dxa"/>
            <w:gridSpan w:val="10"/>
            <w:shd w:val="clear" w:color="auto" w:fill="EFF8F9"/>
          </w:tcPr>
          <w:p>
            <w:pPr>
              <w:pStyle w:val="TableParagraph"/>
              <w:spacing w:line="244" w:lineRule="auto" w:before="52"/>
              <w:ind w:left="72" w:right="95"/>
              <w:rPr>
                <w:b/>
                <w:sz w:val="16"/>
              </w:rPr>
            </w:pPr>
            <w:r>
              <w:rPr>
                <w:b/>
                <w:sz w:val="16"/>
              </w:rPr>
              <w:t>Producto PPPS 1.11:</w:t>
            </w:r>
            <w:r>
              <w:rPr>
                <w:b/>
                <w:spacing w:val="-4"/>
                <w:sz w:val="16"/>
              </w:rPr>
              <w:t> </w:t>
            </w:r>
            <w:r>
              <w:rPr>
                <w:b/>
                <w:sz w:val="16"/>
              </w:rPr>
              <w:t>Oferta</w:t>
            </w:r>
            <w:r>
              <w:rPr>
                <w:b/>
                <w:spacing w:val="-1"/>
                <w:sz w:val="16"/>
              </w:rPr>
              <w:t> </w:t>
            </w:r>
            <w:r>
              <w:rPr>
                <w:b/>
                <w:sz w:val="16"/>
              </w:rPr>
              <w:t>programática</w:t>
            </w:r>
            <w:r>
              <w:rPr>
                <w:b/>
                <w:spacing w:val="-1"/>
                <w:sz w:val="16"/>
              </w:rPr>
              <w:t> </w:t>
            </w:r>
            <w:r>
              <w:rPr>
                <w:b/>
                <w:sz w:val="16"/>
              </w:rPr>
              <w:t>institucional a</w:t>
            </w:r>
            <w:r>
              <w:rPr>
                <w:b/>
                <w:spacing w:val="-5"/>
                <w:sz w:val="16"/>
              </w:rPr>
              <w:t> </w:t>
            </w:r>
            <w:r>
              <w:rPr>
                <w:b/>
                <w:sz w:val="16"/>
              </w:rPr>
              <w:t>nivel de</w:t>
            </w:r>
            <w:r>
              <w:rPr>
                <w:b/>
                <w:spacing w:val="-5"/>
                <w:sz w:val="16"/>
              </w:rPr>
              <w:t> </w:t>
            </w:r>
            <w:r>
              <w:rPr>
                <w:b/>
                <w:sz w:val="16"/>
              </w:rPr>
              <w:t>promoción social analizada, que</w:t>
            </w:r>
            <w:r>
              <w:rPr>
                <w:b/>
                <w:spacing w:val="-5"/>
                <w:sz w:val="16"/>
              </w:rPr>
              <w:t> </w:t>
            </w:r>
            <w:r>
              <w:rPr>
                <w:b/>
                <w:sz w:val="16"/>
              </w:rPr>
              <w:t>permita</w:t>
            </w:r>
            <w:r>
              <w:rPr>
                <w:b/>
                <w:spacing w:val="-1"/>
                <w:sz w:val="16"/>
              </w:rPr>
              <w:t> </w:t>
            </w:r>
            <w:r>
              <w:rPr>
                <w:b/>
                <w:sz w:val="16"/>
              </w:rPr>
              <w:t>la</w:t>
            </w:r>
            <w:r>
              <w:rPr>
                <w:b/>
                <w:spacing w:val="-5"/>
                <w:sz w:val="16"/>
              </w:rPr>
              <w:t> </w:t>
            </w:r>
            <w:r>
              <w:rPr>
                <w:b/>
                <w:sz w:val="16"/>
              </w:rPr>
              <w:t>identificación</w:t>
            </w:r>
            <w:r>
              <w:rPr>
                <w:b/>
                <w:spacing w:val="-4"/>
                <w:sz w:val="16"/>
              </w:rPr>
              <w:t> </w:t>
            </w:r>
            <w:r>
              <w:rPr>
                <w:b/>
                <w:sz w:val="16"/>
              </w:rPr>
              <w:t>de líneas</w:t>
            </w:r>
            <w:r>
              <w:rPr>
                <w:b/>
                <w:spacing w:val="-1"/>
                <w:sz w:val="16"/>
              </w:rPr>
              <w:t> </w:t>
            </w:r>
            <w:r>
              <w:rPr>
                <w:b/>
                <w:sz w:val="16"/>
              </w:rPr>
              <w:t>y</w:t>
            </w:r>
            <w:r>
              <w:rPr>
                <w:b/>
                <w:spacing w:val="-5"/>
                <w:sz w:val="16"/>
              </w:rPr>
              <w:t> </w:t>
            </w:r>
            <w:r>
              <w:rPr>
                <w:b/>
                <w:sz w:val="16"/>
              </w:rPr>
              <w:t>propuestas</w:t>
            </w:r>
            <w:r>
              <w:rPr>
                <w:b/>
                <w:spacing w:val="-5"/>
                <w:sz w:val="16"/>
              </w:rPr>
              <w:t> </w:t>
            </w:r>
            <w:r>
              <w:rPr>
                <w:b/>
                <w:sz w:val="16"/>
              </w:rPr>
              <w:t>de</w:t>
            </w:r>
            <w:r>
              <w:rPr>
                <w:b/>
                <w:spacing w:val="-1"/>
                <w:sz w:val="16"/>
              </w:rPr>
              <w:t> </w:t>
            </w:r>
            <w:r>
              <w:rPr>
                <w:b/>
                <w:sz w:val="16"/>
              </w:rPr>
              <w:t>mejora</w:t>
            </w:r>
            <w:r>
              <w:rPr>
                <w:b/>
                <w:spacing w:val="-1"/>
                <w:sz w:val="16"/>
              </w:rPr>
              <w:t> </w:t>
            </w:r>
            <w:r>
              <w:rPr>
                <w:b/>
                <w:sz w:val="16"/>
              </w:rPr>
              <w:t>bajo la</w:t>
            </w:r>
            <w:r>
              <w:rPr>
                <w:b/>
                <w:spacing w:val="-1"/>
                <w:sz w:val="16"/>
              </w:rPr>
              <w:t> </w:t>
            </w:r>
            <w:r>
              <w:rPr>
                <w:b/>
                <w:sz w:val="16"/>
              </w:rPr>
              <w:t>metodología</w:t>
            </w:r>
            <w:r>
              <w:rPr>
                <w:b/>
                <w:spacing w:val="-5"/>
                <w:sz w:val="16"/>
              </w:rPr>
              <w:t> </w:t>
            </w:r>
            <w:r>
              <w:rPr>
                <w:b/>
                <w:sz w:val="16"/>
              </w:rPr>
              <w:t>de</w:t>
            </w:r>
            <w:r>
              <w:rPr>
                <w:b/>
                <w:spacing w:val="-5"/>
                <w:sz w:val="16"/>
              </w:rPr>
              <w:t> </w:t>
            </w:r>
            <w:r>
              <w:rPr>
                <w:b/>
                <w:sz w:val="16"/>
              </w:rPr>
              <w:t>GpRD y el Modelo de Intervención Institucional. E2 AE2 R2</w:t>
            </w:r>
          </w:p>
        </w:tc>
      </w:tr>
      <w:tr>
        <w:trPr>
          <w:trHeight w:val="1656"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1.11.1:</w:t>
            </w:r>
          </w:p>
          <w:p>
            <w:pPr>
              <w:pStyle w:val="TableParagraph"/>
              <w:ind w:left="72" w:right="103"/>
              <w:rPr>
                <w:sz w:val="16"/>
              </w:rPr>
            </w:pPr>
            <w:r>
              <w:rPr>
                <w:sz w:val="16"/>
              </w:rPr>
              <w:t>Análisis e identificación</w:t>
            </w:r>
            <w:r>
              <w:rPr>
                <w:spacing w:val="-2"/>
                <w:sz w:val="16"/>
              </w:rPr>
              <w:t> </w:t>
            </w:r>
            <w:r>
              <w:rPr>
                <w:sz w:val="16"/>
              </w:rPr>
              <w:t>de líneas</w:t>
            </w:r>
            <w:r>
              <w:rPr>
                <w:spacing w:val="-12"/>
                <w:sz w:val="16"/>
              </w:rPr>
              <w:t> </w:t>
            </w:r>
            <w:r>
              <w:rPr>
                <w:sz w:val="16"/>
              </w:rPr>
              <w:t>de</w:t>
            </w:r>
            <w:r>
              <w:rPr>
                <w:spacing w:val="-11"/>
                <w:sz w:val="16"/>
              </w:rPr>
              <w:t> </w:t>
            </w:r>
            <w:r>
              <w:rPr>
                <w:sz w:val="16"/>
              </w:rPr>
              <w:t>mejora</w:t>
            </w:r>
            <w:r>
              <w:rPr>
                <w:spacing w:val="-11"/>
                <w:sz w:val="16"/>
              </w:rPr>
              <w:t> </w:t>
            </w:r>
            <w:r>
              <w:rPr>
                <w:sz w:val="16"/>
              </w:rPr>
              <w:t>en subsidios y </w:t>
            </w:r>
            <w:r>
              <w:rPr>
                <w:spacing w:val="-2"/>
                <w:sz w:val="16"/>
              </w:rPr>
              <w:t>transferencias</w:t>
            </w:r>
          </w:p>
          <w:p>
            <w:pPr>
              <w:pStyle w:val="TableParagraph"/>
              <w:spacing w:line="182" w:lineRule="exact"/>
              <w:ind w:left="72" w:right="103"/>
              <w:rPr>
                <w:sz w:val="16"/>
              </w:rPr>
            </w:pPr>
            <w:r>
              <w:rPr>
                <w:sz w:val="16"/>
              </w:rPr>
              <w:t>monetarias de la </w:t>
            </w:r>
            <w:r>
              <w:rPr>
                <w:spacing w:val="-2"/>
                <w:sz w:val="16"/>
              </w:rPr>
              <w:t>oferta</w:t>
            </w:r>
            <w:r>
              <w:rPr>
                <w:spacing w:val="-7"/>
                <w:sz w:val="16"/>
              </w:rPr>
              <w:t> </w:t>
            </w:r>
            <w:r>
              <w:rPr>
                <w:spacing w:val="-2"/>
                <w:sz w:val="16"/>
              </w:rPr>
              <w:t>programática</w:t>
            </w:r>
          </w:p>
        </w:tc>
        <w:tc>
          <w:tcPr>
            <w:tcW w:w="1278" w:type="dxa"/>
          </w:tcPr>
          <w:p>
            <w:pPr>
              <w:pStyle w:val="TableParagraph"/>
              <w:ind w:left="72" w:right="103"/>
              <w:rPr>
                <w:sz w:val="16"/>
              </w:rPr>
            </w:pPr>
            <w:r>
              <w:rPr>
                <w:sz w:val="16"/>
              </w:rPr>
              <w:t>Cantidad de </w:t>
            </w:r>
            <w:r>
              <w:rPr>
                <w:spacing w:val="-2"/>
                <w:sz w:val="16"/>
              </w:rPr>
              <w:t>beneficios, </w:t>
            </w:r>
            <w:r>
              <w:rPr>
                <w:sz w:val="16"/>
              </w:rPr>
              <w:t>subsidios y </w:t>
            </w:r>
            <w:r>
              <w:rPr>
                <w:spacing w:val="-2"/>
                <w:sz w:val="16"/>
              </w:rPr>
              <w:t>transferencias monetarias</w:t>
            </w:r>
            <w:r>
              <w:rPr>
                <w:spacing w:val="-10"/>
                <w:sz w:val="16"/>
              </w:rPr>
              <w:t> </w:t>
            </w:r>
            <w:r>
              <w:rPr>
                <w:spacing w:val="-2"/>
                <w:sz w:val="16"/>
              </w:rPr>
              <w:t>de promoción </w:t>
            </w:r>
            <w:r>
              <w:rPr>
                <w:sz w:val="16"/>
              </w:rPr>
              <w:t>social que cuenta</w:t>
            </w:r>
            <w:r>
              <w:rPr>
                <w:spacing w:val="-2"/>
                <w:sz w:val="16"/>
              </w:rPr>
              <w:t> </w:t>
            </w:r>
            <w:r>
              <w:rPr>
                <w:sz w:val="16"/>
              </w:rPr>
              <w:t>con</w:t>
            </w:r>
          </w:p>
          <w:p>
            <w:pPr>
              <w:pStyle w:val="TableParagraph"/>
              <w:spacing w:line="166" w:lineRule="exact"/>
              <w:ind w:left="72"/>
              <w:rPr>
                <w:sz w:val="16"/>
              </w:rPr>
            </w:pPr>
            <w:r>
              <w:rPr>
                <w:sz w:val="16"/>
              </w:rPr>
              <w:t>líneas</w:t>
            </w:r>
            <w:r>
              <w:rPr>
                <w:spacing w:val="-9"/>
                <w:sz w:val="16"/>
              </w:rPr>
              <w:t> </w:t>
            </w:r>
            <w:r>
              <w:rPr>
                <w:spacing w:val="-10"/>
                <w:sz w:val="16"/>
              </w:rPr>
              <w:t>y</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180"/>
              <w:rPr>
                <w:b/>
                <w:sz w:val="16"/>
              </w:rPr>
            </w:pPr>
          </w:p>
          <w:p>
            <w:pPr>
              <w:pStyle w:val="TableParagraph"/>
              <w:spacing w:before="1"/>
              <w:ind w:left="4" w:right="1"/>
              <w:jc w:val="center"/>
              <w:rPr>
                <w:sz w:val="16"/>
              </w:rPr>
            </w:pPr>
            <w:r>
              <w:rPr>
                <w:spacing w:val="-10"/>
                <w:sz w:val="16"/>
              </w:rPr>
              <w:t>4</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912" w:hRule="atLeast"/>
        </w:trPr>
        <w:tc>
          <w:tcPr>
            <w:tcW w:w="1695" w:type="dxa"/>
          </w:tcPr>
          <w:p>
            <w:pPr>
              <w:pStyle w:val="TableParagraph"/>
              <w:spacing w:line="173" w:lineRule="exact"/>
              <w:ind w:left="72"/>
              <w:rPr>
                <w:sz w:val="16"/>
              </w:rPr>
            </w:pPr>
            <w:r>
              <w:rPr>
                <w:sz w:val="16"/>
              </w:rPr>
              <w:t>institucional</w:t>
            </w:r>
            <w:r>
              <w:rPr>
                <w:spacing w:val="-5"/>
                <w:sz w:val="16"/>
              </w:rPr>
              <w:t> </w:t>
            </w:r>
            <w:r>
              <w:rPr>
                <w:sz w:val="16"/>
              </w:rPr>
              <w:t>a</w:t>
            </w:r>
            <w:r>
              <w:rPr>
                <w:spacing w:val="-5"/>
                <w:sz w:val="16"/>
              </w:rPr>
              <w:t> </w:t>
            </w:r>
            <w:r>
              <w:rPr>
                <w:spacing w:val="-2"/>
                <w:sz w:val="16"/>
              </w:rPr>
              <w:t>nivel</w:t>
            </w:r>
          </w:p>
          <w:p>
            <w:pPr>
              <w:pStyle w:val="TableParagraph"/>
              <w:spacing w:before="4"/>
              <w:ind w:left="72" w:right="193"/>
              <w:rPr>
                <w:sz w:val="16"/>
              </w:rPr>
            </w:pPr>
            <w:r>
              <w:rPr>
                <w:sz w:val="16"/>
              </w:rPr>
              <w:t>de</w:t>
            </w:r>
            <w:r>
              <w:rPr>
                <w:spacing w:val="-12"/>
                <w:sz w:val="16"/>
              </w:rPr>
              <w:t> </w:t>
            </w:r>
            <w:r>
              <w:rPr>
                <w:sz w:val="16"/>
              </w:rPr>
              <w:t>promoción</w:t>
            </w:r>
            <w:r>
              <w:rPr>
                <w:spacing w:val="-11"/>
                <w:sz w:val="16"/>
              </w:rPr>
              <w:t> </w:t>
            </w:r>
            <w:r>
              <w:rPr>
                <w:sz w:val="16"/>
              </w:rPr>
              <w:t>social (vinculada a PEI</w:t>
            </w:r>
          </w:p>
          <w:p>
            <w:pPr>
              <w:pStyle w:val="TableParagraph"/>
              <w:spacing w:line="181" w:lineRule="exact"/>
              <w:ind w:left="72"/>
              <w:rPr>
                <w:sz w:val="16"/>
              </w:rPr>
            </w:pPr>
            <w:r>
              <w:rPr>
                <w:sz w:val="16"/>
              </w:rPr>
              <w:t>2.2.2</w:t>
            </w:r>
            <w:r>
              <w:rPr>
                <w:spacing w:val="-5"/>
                <w:sz w:val="16"/>
              </w:rPr>
              <w:t> </w:t>
            </w:r>
            <w:r>
              <w:rPr>
                <w:sz w:val="16"/>
              </w:rPr>
              <w:t>/</w:t>
            </w:r>
            <w:r>
              <w:rPr>
                <w:spacing w:val="-4"/>
                <w:sz w:val="16"/>
              </w:rPr>
              <w:t> </w:t>
            </w:r>
            <w:r>
              <w:rPr>
                <w:spacing w:val="-2"/>
                <w:sz w:val="16"/>
              </w:rPr>
              <w:t>Estrategia</w:t>
            </w:r>
          </w:p>
          <w:p>
            <w:pPr>
              <w:pStyle w:val="TableParagraph"/>
              <w:spacing w:line="163" w:lineRule="exact" w:before="3"/>
              <w:ind w:left="72"/>
              <w:rPr>
                <w:sz w:val="16"/>
              </w:rPr>
            </w:pPr>
            <w:r>
              <w:rPr>
                <w:sz w:val="16"/>
              </w:rPr>
              <w:t>GpRD</w:t>
            </w:r>
            <w:r>
              <w:rPr>
                <w:spacing w:val="-7"/>
                <w:sz w:val="16"/>
              </w:rPr>
              <w:t> </w:t>
            </w:r>
            <w:r>
              <w:rPr>
                <w:spacing w:val="-2"/>
                <w:sz w:val="16"/>
              </w:rPr>
              <w:t>5.6.1).</w:t>
            </w:r>
          </w:p>
        </w:tc>
        <w:tc>
          <w:tcPr>
            <w:tcW w:w="1278" w:type="dxa"/>
          </w:tcPr>
          <w:p>
            <w:pPr>
              <w:pStyle w:val="TableParagraph"/>
              <w:spacing w:line="173" w:lineRule="exact"/>
              <w:ind w:left="72"/>
              <w:rPr>
                <w:sz w:val="16"/>
              </w:rPr>
            </w:pPr>
            <w:r>
              <w:rPr>
                <w:sz w:val="16"/>
              </w:rPr>
              <w:t>propuestas</w:t>
            </w:r>
            <w:r>
              <w:rPr>
                <w:spacing w:val="-7"/>
                <w:sz w:val="16"/>
              </w:rPr>
              <w:t> </w:t>
            </w:r>
            <w:r>
              <w:rPr>
                <w:spacing w:val="-5"/>
                <w:sz w:val="16"/>
              </w:rPr>
              <w:t>de</w:t>
            </w:r>
          </w:p>
          <w:p>
            <w:pPr>
              <w:pStyle w:val="TableParagraph"/>
              <w:spacing w:before="4"/>
              <w:ind w:left="72"/>
              <w:rPr>
                <w:sz w:val="16"/>
              </w:rPr>
            </w:pPr>
            <w:r>
              <w:rPr>
                <w:spacing w:val="-2"/>
                <w:sz w:val="16"/>
              </w:rPr>
              <w:t>mejora</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rFonts w:ascii="Times New Roman"/>
                <w:sz w:val="16"/>
              </w:rPr>
            </w:pPr>
          </w:p>
        </w:tc>
        <w:tc>
          <w:tcPr>
            <w:tcW w:w="1494" w:type="dxa"/>
          </w:tcPr>
          <w:p>
            <w:pPr>
              <w:pStyle w:val="TableParagraph"/>
              <w:rPr>
                <w:rFonts w:ascii="Times New Roman"/>
                <w:sz w:val="16"/>
              </w:rPr>
            </w:pPr>
          </w:p>
        </w:tc>
      </w:tr>
      <w:tr>
        <w:trPr>
          <w:trHeight w:val="465" w:hRule="atLeast"/>
        </w:trPr>
        <w:tc>
          <w:tcPr>
            <w:tcW w:w="14323" w:type="dxa"/>
            <w:gridSpan w:val="10"/>
            <w:shd w:val="clear" w:color="auto" w:fill="EFF8F9"/>
          </w:tcPr>
          <w:p>
            <w:pPr>
              <w:pStyle w:val="TableParagraph"/>
              <w:ind w:left="72" w:right="182"/>
              <w:rPr>
                <w:b/>
                <w:sz w:val="16"/>
              </w:rPr>
            </w:pPr>
            <w:r>
              <w:rPr>
                <w:b/>
                <w:sz w:val="16"/>
              </w:rPr>
              <w:t>Producto</w:t>
            </w:r>
            <w:r>
              <w:rPr>
                <w:b/>
                <w:spacing w:val="-2"/>
                <w:sz w:val="16"/>
              </w:rPr>
              <w:t> </w:t>
            </w:r>
            <w:r>
              <w:rPr>
                <w:b/>
                <w:sz w:val="16"/>
              </w:rPr>
              <w:t>PPPS</w:t>
            </w:r>
            <w:r>
              <w:rPr>
                <w:b/>
                <w:spacing w:val="-1"/>
                <w:sz w:val="16"/>
              </w:rPr>
              <w:t> </w:t>
            </w:r>
            <w:r>
              <w:rPr>
                <w:b/>
                <w:sz w:val="16"/>
              </w:rPr>
              <w:t>1.12:</w:t>
            </w:r>
            <w:r>
              <w:rPr>
                <w:b/>
                <w:spacing w:val="-6"/>
                <w:sz w:val="16"/>
              </w:rPr>
              <w:t> </w:t>
            </w:r>
            <w:r>
              <w:rPr>
                <w:b/>
                <w:sz w:val="16"/>
              </w:rPr>
              <w:t>Oferta</w:t>
            </w:r>
            <w:r>
              <w:rPr>
                <w:b/>
                <w:spacing w:val="-3"/>
                <w:sz w:val="16"/>
              </w:rPr>
              <w:t> </w:t>
            </w:r>
            <w:r>
              <w:rPr>
                <w:b/>
                <w:sz w:val="16"/>
              </w:rPr>
              <w:t>programática</w:t>
            </w:r>
            <w:r>
              <w:rPr>
                <w:b/>
                <w:spacing w:val="-3"/>
                <w:sz w:val="16"/>
              </w:rPr>
              <w:t> </w:t>
            </w:r>
            <w:r>
              <w:rPr>
                <w:b/>
                <w:sz w:val="16"/>
              </w:rPr>
              <w:t>institucional</w:t>
            </w:r>
            <w:r>
              <w:rPr>
                <w:b/>
                <w:spacing w:val="-6"/>
                <w:sz w:val="16"/>
              </w:rPr>
              <w:t> </w:t>
            </w:r>
            <w:r>
              <w:rPr>
                <w:b/>
                <w:sz w:val="16"/>
              </w:rPr>
              <w:t>reestructurada,</w:t>
            </w:r>
            <w:r>
              <w:rPr>
                <w:b/>
                <w:spacing w:val="-2"/>
                <w:sz w:val="16"/>
              </w:rPr>
              <w:t> </w:t>
            </w:r>
            <w:r>
              <w:rPr>
                <w:b/>
                <w:sz w:val="16"/>
              </w:rPr>
              <w:t>aprobada</w:t>
            </w:r>
            <w:r>
              <w:rPr>
                <w:b/>
                <w:spacing w:val="-3"/>
                <w:sz w:val="16"/>
              </w:rPr>
              <w:t> </w:t>
            </w:r>
            <w:r>
              <w:rPr>
                <w:b/>
                <w:sz w:val="16"/>
              </w:rPr>
              <w:t>y</w:t>
            </w:r>
            <w:r>
              <w:rPr>
                <w:b/>
                <w:spacing w:val="-3"/>
                <w:sz w:val="16"/>
              </w:rPr>
              <w:t> </w:t>
            </w:r>
            <w:r>
              <w:rPr>
                <w:b/>
                <w:sz w:val="16"/>
              </w:rPr>
              <w:t>oficializada,</w:t>
            </w:r>
            <w:r>
              <w:rPr>
                <w:b/>
                <w:spacing w:val="-2"/>
                <w:sz w:val="16"/>
              </w:rPr>
              <w:t> </w:t>
            </w:r>
            <w:r>
              <w:rPr>
                <w:b/>
                <w:sz w:val="16"/>
              </w:rPr>
              <w:t>que</w:t>
            </w:r>
            <w:r>
              <w:rPr>
                <w:b/>
                <w:spacing w:val="-3"/>
                <w:sz w:val="16"/>
              </w:rPr>
              <w:t> </w:t>
            </w:r>
            <w:r>
              <w:rPr>
                <w:b/>
                <w:sz w:val="16"/>
              </w:rPr>
              <w:t>contribuya</w:t>
            </w:r>
            <w:r>
              <w:rPr>
                <w:b/>
                <w:spacing w:val="-3"/>
                <w:sz w:val="16"/>
              </w:rPr>
              <w:t> </w:t>
            </w:r>
            <w:r>
              <w:rPr>
                <w:b/>
                <w:sz w:val="16"/>
              </w:rPr>
              <w:t>a</w:t>
            </w:r>
            <w:r>
              <w:rPr>
                <w:b/>
                <w:spacing w:val="-3"/>
                <w:sz w:val="16"/>
              </w:rPr>
              <w:t> </w:t>
            </w:r>
            <w:r>
              <w:rPr>
                <w:b/>
                <w:sz w:val="16"/>
              </w:rPr>
              <w:t>la</w:t>
            </w:r>
            <w:r>
              <w:rPr>
                <w:b/>
                <w:spacing w:val="-3"/>
                <w:sz w:val="16"/>
              </w:rPr>
              <w:t> </w:t>
            </w:r>
            <w:r>
              <w:rPr>
                <w:b/>
                <w:sz w:val="16"/>
              </w:rPr>
              <w:t>generación de</w:t>
            </w:r>
            <w:r>
              <w:rPr>
                <w:b/>
                <w:spacing w:val="-7"/>
                <w:sz w:val="16"/>
              </w:rPr>
              <w:t> </w:t>
            </w:r>
            <w:r>
              <w:rPr>
                <w:b/>
                <w:sz w:val="16"/>
              </w:rPr>
              <w:t>valor público</w:t>
            </w:r>
            <w:r>
              <w:rPr>
                <w:b/>
                <w:spacing w:val="-2"/>
                <w:sz w:val="16"/>
              </w:rPr>
              <w:t> </w:t>
            </w:r>
            <w:r>
              <w:rPr>
                <w:b/>
                <w:sz w:val="16"/>
              </w:rPr>
              <w:t>desde</w:t>
            </w:r>
            <w:r>
              <w:rPr>
                <w:b/>
                <w:spacing w:val="-3"/>
                <w:sz w:val="16"/>
              </w:rPr>
              <w:t> </w:t>
            </w:r>
            <w:r>
              <w:rPr>
                <w:b/>
                <w:sz w:val="16"/>
              </w:rPr>
              <w:t>el</w:t>
            </w:r>
            <w:r>
              <w:rPr>
                <w:b/>
                <w:spacing w:val="-2"/>
                <w:sz w:val="16"/>
              </w:rPr>
              <w:t> </w:t>
            </w:r>
            <w:r>
              <w:rPr>
                <w:b/>
                <w:sz w:val="16"/>
              </w:rPr>
              <w:t>accionar del</w:t>
            </w:r>
            <w:r>
              <w:rPr>
                <w:b/>
                <w:spacing w:val="-6"/>
                <w:sz w:val="16"/>
              </w:rPr>
              <w:t> </w:t>
            </w:r>
            <w:r>
              <w:rPr>
                <w:b/>
                <w:sz w:val="16"/>
              </w:rPr>
              <w:t>IMAS</w:t>
            </w:r>
            <w:r>
              <w:rPr>
                <w:b/>
                <w:spacing w:val="-1"/>
                <w:sz w:val="16"/>
              </w:rPr>
              <w:t> </w:t>
            </w:r>
            <w:r>
              <w:rPr>
                <w:b/>
                <w:sz w:val="16"/>
              </w:rPr>
              <w:t>en</w:t>
            </w:r>
            <w:r>
              <w:rPr>
                <w:b/>
                <w:spacing w:val="-2"/>
                <w:sz w:val="16"/>
              </w:rPr>
              <w:t> </w:t>
            </w:r>
            <w:r>
              <w:rPr>
                <w:b/>
                <w:sz w:val="16"/>
              </w:rPr>
              <w:t>el</w:t>
            </w:r>
            <w:r>
              <w:rPr>
                <w:b/>
                <w:spacing w:val="-2"/>
                <w:sz w:val="16"/>
              </w:rPr>
              <w:t> </w:t>
            </w:r>
            <w:r>
              <w:rPr>
                <w:b/>
                <w:sz w:val="16"/>
              </w:rPr>
              <w:t>marco del Modelo de Intervención Institucional. E2 AE2 R3</w:t>
            </w:r>
          </w:p>
        </w:tc>
      </w:tr>
      <w:tr>
        <w:trPr>
          <w:trHeight w:val="1838"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1.12.1:</w:t>
            </w:r>
          </w:p>
          <w:p>
            <w:pPr>
              <w:pStyle w:val="TableParagraph"/>
              <w:ind w:left="72" w:right="103"/>
              <w:rPr>
                <w:sz w:val="16"/>
              </w:rPr>
            </w:pPr>
            <w:r>
              <w:rPr>
                <w:sz w:val="16"/>
              </w:rPr>
              <w:t>Ajuste</w:t>
            </w:r>
            <w:r>
              <w:rPr>
                <w:spacing w:val="-8"/>
                <w:sz w:val="16"/>
              </w:rPr>
              <w:t> </w:t>
            </w:r>
            <w:r>
              <w:rPr>
                <w:sz w:val="16"/>
              </w:rPr>
              <w:t>de</w:t>
            </w:r>
            <w:r>
              <w:rPr>
                <w:spacing w:val="-5"/>
                <w:sz w:val="16"/>
              </w:rPr>
              <w:t> </w:t>
            </w:r>
            <w:r>
              <w:rPr>
                <w:sz w:val="16"/>
              </w:rPr>
              <w:t>la</w:t>
            </w:r>
            <w:r>
              <w:rPr>
                <w:spacing w:val="-5"/>
                <w:sz w:val="16"/>
              </w:rPr>
              <w:t> </w:t>
            </w:r>
            <w:r>
              <w:rPr>
                <w:sz w:val="16"/>
              </w:rPr>
              <w:t>oferta </w:t>
            </w:r>
            <w:r>
              <w:rPr>
                <w:spacing w:val="-2"/>
                <w:sz w:val="16"/>
              </w:rPr>
              <w:t>programática institucional</w:t>
            </w:r>
            <w:r>
              <w:rPr>
                <w:spacing w:val="-8"/>
                <w:sz w:val="16"/>
              </w:rPr>
              <w:t> </w:t>
            </w:r>
            <w:r>
              <w:rPr>
                <w:spacing w:val="-2"/>
                <w:sz w:val="16"/>
              </w:rPr>
              <w:t>según </w:t>
            </w:r>
            <w:r>
              <w:rPr>
                <w:sz w:val="16"/>
              </w:rPr>
              <w:t>líneas de mejora </w:t>
            </w:r>
            <w:r>
              <w:rPr>
                <w:spacing w:val="-2"/>
                <w:sz w:val="16"/>
              </w:rPr>
              <w:t>identificadas </w:t>
            </w:r>
            <w:r>
              <w:rPr>
                <w:sz w:val="16"/>
              </w:rPr>
              <w:t>(vinculado a PEI</w:t>
            </w:r>
          </w:p>
          <w:p>
            <w:pPr>
              <w:pStyle w:val="TableParagraph"/>
              <w:spacing w:line="183" w:lineRule="exact" w:before="1"/>
              <w:ind w:left="72"/>
              <w:rPr>
                <w:sz w:val="16"/>
              </w:rPr>
            </w:pPr>
            <w:r>
              <w:rPr>
                <w:sz w:val="16"/>
              </w:rPr>
              <w:t>2.2.3</w:t>
            </w:r>
            <w:r>
              <w:rPr>
                <w:spacing w:val="-5"/>
                <w:sz w:val="16"/>
              </w:rPr>
              <w:t> </w:t>
            </w:r>
            <w:r>
              <w:rPr>
                <w:sz w:val="16"/>
              </w:rPr>
              <w:t>/</w:t>
            </w:r>
            <w:r>
              <w:rPr>
                <w:spacing w:val="-4"/>
                <w:sz w:val="16"/>
              </w:rPr>
              <w:t> </w:t>
            </w:r>
            <w:r>
              <w:rPr>
                <w:spacing w:val="-2"/>
                <w:sz w:val="16"/>
              </w:rPr>
              <w:t>Estrategia</w:t>
            </w:r>
          </w:p>
          <w:p>
            <w:pPr>
              <w:pStyle w:val="TableParagraph"/>
              <w:spacing w:line="163" w:lineRule="exact"/>
              <w:ind w:left="72"/>
              <w:rPr>
                <w:sz w:val="16"/>
              </w:rPr>
            </w:pPr>
            <w:r>
              <w:rPr>
                <w:sz w:val="16"/>
              </w:rPr>
              <w:t>GpRD</w:t>
            </w:r>
            <w:r>
              <w:rPr>
                <w:spacing w:val="-7"/>
                <w:sz w:val="16"/>
              </w:rPr>
              <w:t> </w:t>
            </w:r>
            <w:r>
              <w:rPr>
                <w:spacing w:val="-2"/>
                <w:sz w:val="16"/>
              </w:rPr>
              <w:t>5.6.2).</w:t>
            </w:r>
          </w:p>
        </w:tc>
        <w:tc>
          <w:tcPr>
            <w:tcW w:w="1278" w:type="dxa"/>
          </w:tcPr>
          <w:p>
            <w:pPr>
              <w:pStyle w:val="TableParagraph"/>
              <w:rPr>
                <w:b/>
                <w:sz w:val="16"/>
              </w:rPr>
            </w:pPr>
          </w:p>
          <w:p>
            <w:pPr>
              <w:pStyle w:val="TableParagraph"/>
              <w:rPr>
                <w:b/>
                <w:sz w:val="16"/>
              </w:rPr>
            </w:pPr>
          </w:p>
          <w:p>
            <w:pPr>
              <w:pStyle w:val="TableParagraph"/>
              <w:ind w:left="72" w:right="131"/>
              <w:rPr>
                <w:sz w:val="16"/>
              </w:rPr>
            </w:pPr>
            <w:r>
              <w:rPr>
                <w:sz w:val="16"/>
              </w:rPr>
              <w:t>Porcentaje de la oferta </w:t>
            </w:r>
            <w:r>
              <w:rPr>
                <w:spacing w:val="-2"/>
                <w:sz w:val="16"/>
              </w:rPr>
              <w:t>programática institucional reestructurada </w:t>
            </w:r>
            <w:r>
              <w:rPr>
                <w:sz w:val="16"/>
              </w:rPr>
              <w:t>y</w:t>
            </w:r>
            <w:r>
              <w:rPr>
                <w:spacing w:val="-2"/>
                <w:sz w:val="16"/>
              </w:rPr>
              <w:t> </w:t>
            </w:r>
            <w:r>
              <w:rPr>
                <w:sz w:val="16"/>
              </w:rPr>
              <w:t>en</w:t>
            </w:r>
            <w:r>
              <w:rPr>
                <w:spacing w:val="-1"/>
                <w:sz w:val="16"/>
              </w:rPr>
              <w:t> </w:t>
            </w:r>
            <w:r>
              <w:rPr>
                <w:spacing w:val="-2"/>
                <w:sz w:val="16"/>
              </w:rPr>
              <w:t>ejecución.</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left="4" w:right="1"/>
              <w:jc w:val="center"/>
              <w:rPr>
                <w:sz w:val="16"/>
              </w:rPr>
            </w:pPr>
            <w:r>
              <w:rPr>
                <w:spacing w:val="-5"/>
                <w:sz w:val="16"/>
              </w:rPr>
              <w:t>50%</w:t>
            </w:r>
          </w:p>
        </w:tc>
        <w:tc>
          <w:tcPr>
            <w:tcW w:w="1494" w:type="dxa"/>
          </w:tcPr>
          <w:p>
            <w:pPr>
              <w:pStyle w:val="TableParagraph"/>
              <w:rPr>
                <w:rFonts w:ascii="Times New Roman"/>
                <w:sz w:val="16"/>
              </w:rPr>
            </w:pPr>
          </w:p>
        </w:tc>
      </w:tr>
      <w:tr>
        <w:trPr>
          <w:trHeight w:val="398" w:hRule="atLeast"/>
        </w:trPr>
        <w:tc>
          <w:tcPr>
            <w:tcW w:w="14323" w:type="dxa"/>
            <w:gridSpan w:val="10"/>
            <w:shd w:val="clear" w:color="auto" w:fill="EFF8F9"/>
          </w:tcPr>
          <w:p>
            <w:pPr>
              <w:pStyle w:val="TableParagraph"/>
              <w:spacing w:before="109"/>
              <w:ind w:left="72"/>
              <w:rPr>
                <w:b/>
                <w:sz w:val="16"/>
              </w:rPr>
            </w:pPr>
            <w:r>
              <w:rPr>
                <w:b/>
                <w:sz w:val="16"/>
              </w:rPr>
              <w:t>Producto</w:t>
            </w:r>
            <w:r>
              <w:rPr>
                <w:b/>
                <w:spacing w:val="-2"/>
                <w:sz w:val="16"/>
              </w:rPr>
              <w:t> </w:t>
            </w:r>
            <w:r>
              <w:rPr>
                <w:b/>
                <w:sz w:val="16"/>
              </w:rPr>
              <w:t>PPPS</w:t>
            </w:r>
            <w:r>
              <w:rPr>
                <w:b/>
                <w:spacing w:val="-1"/>
                <w:sz w:val="16"/>
              </w:rPr>
              <w:t> </w:t>
            </w:r>
            <w:r>
              <w:rPr>
                <w:b/>
                <w:sz w:val="16"/>
              </w:rPr>
              <w:t>1.13:</w:t>
            </w:r>
            <w:r>
              <w:rPr>
                <w:b/>
                <w:spacing w:val="-5"/>
                <w:sz w:val="16"/>
              </w:rPr>
              <w:t> </w:t>
            </w:r>
            <w:r>
              <w:rPr>
                <w:b/>
                <w:sz w:val="16"/>
              </w:rPr>
              <w:t>Estándares</w:t>
            </w:r>
            <w:r>
              <w:rPr>
                <w:b/>
                <w:spacing w:val="-6"/>
                <w:sz w:val="16"/>
              </w:rPr>
              <w:t> </w:t>
            </w:r>
            <w:r>
              <w:rPr>
                <w:b/>
                <w:sz w:val="16"/>
              </w:rPr>
              <w:t>de</w:t>
            </w:r>
            <w:r>
              <w:rPr>
                <w:b/>
                <w:spacing w:val="-3"/>
                <w:sz w:val="16"/>
              </w:rPr>
              <w:t> </w:t>
            </w:r>
            <w:r>
              <w:rPr>
                <w:b/>
                <w:sz w:val="16"/>
              </w:rPr>
              <w:t>calidad</w:t>
            </w:r>
            <w:r>
              <w:rPr>
                <w:b/>
                <w:spacing w:val="-5"/>
                <w:sz w:val="16"/>
              </w:rPr>
              <w:t> </w:t>
            </w:r>
            <w:r>
              <w:rPr>
                <w:b/>
                <w:sz w:val="16"/>
              </w:rPr>
              <w:t>de</w:t>
            </w:r>
            <w:r>
              <w:rPr>
                <w:b/>
                <w:spacing w:val="-2"/>
                <w:sz w:val="16"/>
              </w:rPr>
              <w:t> </w:t>
            </w:r>
            <w:r>
              <w:rPr>
                <w:b/>
                <w:sz w:val="16"/>
              </w:rPr>
              <w:t>la</w:t>
            </w:r>
            <w:r>
              <w:rPr>
                <w:b/>
                <w:spacing w:val="-3"/>
                <w:sz w:val="16"/>
              </w:rPr>
              <w:t> </w:t>
            </w:r>
            <w:r>
              <w:rPr>
                <w:b/>
                <w:sz w:val="16"/>
              </w:rPr>
              <w:t>oferta</w:t>
            </w:r>
            <w:r>
              <w:rPr>
                <w:b/>
                <w:spacing w:val="-2"/>
                <w:sz w:val="16"/>
              </w:rPr>
              <w:t> </w:t>
            </w:r>
            <w:r>
              <w:rPr>
                <w:b/>
                <w:sz w:val="16"/>
              </w:rPr>
              <w:t>programática</w:t>
            </w:r>
            <w:r>
              <w:rPr>
                <w:b/>
                <w:spacing w:val="-7"/>
                <w:sz w:val="16"/>
              </w:rPr>
              <w:t> </w:t>
            </w:r>
            <w:r>
              <w:rPr>
                <w:b/>
                <w:sz w:val="16"/>
              </w:rPr>
              <w:t>institucional</w:t>
            </w:r>
            <w:r>
              <w:rPr>
                <w:b/>
                <w:spacing w:val="-1"/>
                <w:sz w:val="16"/>
              </w:rPr>
              <w:t> </w:t>
            </w:r>
            <w:r>
              <w:rPr>
                <w:b/>
                <w:sz w:val="16"/>
              </w:rPr>
              <w:t>diseñados,</w:t>
            </w:r>
            <w:r>
              <w:rPr>
                <w:b/>
                <w:spacing w:val="-5"/>
                <w:sz w:val="16"/>
              </w:rPr>
              <w:t> </w:t>
            </w:r>
            <w:r>
              <w:rPr>
                <w:b/>
                <w:sz w:val="16"/>
              </w:rPr>
              <w:t>que</w:t>
            </w:r>
            <w:r>
              <w:rPr>
                <w:b/>
                <w:spacing w:val="-3"/>
                <w:sz w:val="16"/>
              </w:rPr>
              <w:t> </w:t>
            </w:r>
            <w:r>
              <w:rPr>
                <w:b/>
                <w:sz w:val="16"/>
              </w:rPr>
              <w:t>permitan</w:t>
            </w:r>
            <w:r>
              <w:rPr>
                <w:b/>
                <w:spacing w:val="-1"/>
                <w:sz w:val="16"/>
              </w:rPr>
              <w:t> </w:t>
            </w:r>
            <w:r>
              <w:rPr>
                <w:b/>
                <w:sz w:val="16"/>
              </w:rPr>
              <w:t>el</w:t>
            </w:r>
            <w:r>
              <w:rPr>
                <w:b/>
                <w:spacing w:val="-2"/>
                <w:sz w:val="16"/>
              </w:rPr>
              <w:t> </w:t>
            </w:r>
            <w:r>
              <w:rPr>
                <w:b/>
                <w:sz w:val="16"/>
              </w:rPr>
              <w:t>desarrollo</w:t>
            </w:r>
            <w:r>
              <w:rPr>
                <w:b/>
                <w:spacing w:val="-5"/>
                <w:sz w:val="16"/>
              </w:rPr>
              <w:t> </w:t>
            </w:r>
            <w:r>
              <w:rPr>
                <w:b/>
                <w:sz w:val="16"/>
              </w:rPr>
              <w:t>de</w:t>
            </w:r>
            <w:r>
              <w:rPr>
                <w:b/>
                <w:spacing w:val="-3"/>
                <w:sz w:val="16"/>
              </w:rPr>
              <w:t> </w:t>
            </w:r>
            <w:r>
              <w:rPr>
                <w:b/>
                <w:sz w:val="16"/>
              </w:rPr>
              <w:t>un</w:t>
            </w:r>
            <w:r>
              <w:rPr>
                <w:b/>
                <w:spacing w:val="10"/>
                <w:sz w:val="16"/>
              </w:rPr>
              <w:t> </w:t>
            </w:r>
            <w:r>
              <w:rPr>
                <w:b/>
                <w:sz w:val="16"/>
              </w:rPr>
              <w:t>sistema</w:t>
            </w:r>
            <w:r>
              <w:rPr>
                <w:b/>
                <w:spacing w:val="-6"/>
                <w:sz w:val="16"/>
              </w:rPr>
              <w:t> </w:t>
            </w:r>
            <w:r>
              <w:rPr>
                <w:b/>
                <w:sz w:val="16"/>
              </w:rPr>
              <w:t>de</w:t>
            </w:r>
            <w:r>
              <w:rPr>
                <w:b/>
                <w:spacing w:val="-3"/>
                <w:sz w:val="16"/>
              </w:rPr>
              <w:t> </w:t>
            </w:r>
            <w:r>
              <w:rPr>
                <w:b/>
                <w:sz w:val="16"/>
              </w:rPr>
              <w:t>seguimiento</w:t>
            </w:r>
            <w:r>
              <w:rPr>
                <w:b/>
                <w:spacing w:val="-1"/>
                <w:sz w:val="16"/>
              </w:rPr>
              <w:t> </w:t>
            </w:r>
            <w:r>
              <w:rPr>
                <w:b/>
                <w:sz w:val="16"/>
              </w:rPr>
              <w:t>y</w:t>
            </w:r>
            <w:r>
              <w:rPr>
                <w:b/>
                <w:spacing w:val="-3"/>
                <w:sz w:val="16"/>
              </w:rPr>
              <w:t> </w:t>
            </w:r>
            <w:r>
              <w:rPr>
                <w:b/>
                <w:sz w:val="16"/>
              </w:rPr>
              <w:t>control.</w:t>
            </w:r>
            <w:r>
              <w:rPr>
                <w:b/>
                <w:spacing w:val="-5"/>
                <w:sz w:val="16"/>
              </w:rPr>
              <w:t> </w:t>
            </w:r>
            <w:r>
              <w:rPr>
                <w:b/>
                <w:sz w:val="16"/>
              </w:rPr>
              <w:t>E2</w:t>
            </w:r>
            <w:r>
              <w:rPr>
                <w:b/>
                <w:spacing w:val="-6"/>
                <w:sz w:val="16"/>
              </w:rPr>
              <w:t> </w:t>
            </w:r>
            <w:r>
              <w:rPr>
                <w:b/>
                <w:sz w:val="16"/>
              </w:rPr>
              <w:t>AE3</w:t>
            </w:r>
            <w:r>
              <w:rPr>
                <w:b/>
                <w:spacing w:val="-7"/>
                <w:sz w:val="16"/>
              </w:rPr>
              <w:t> </w:t>
            </w:r>
            <w:r>
              <w:rPr>
                <w:b/>
                <w:spacing w:val="-5"/>
                <w:sz w:val="16"/>
              </w:rPr>
              <w:t>R1</w:t>
            </w:r>
          </w:p>
        </w:tc>
      </w:tr>
      <w:tr>
        <w:trPr>
          <w:trHeight w:val="1843"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1.13.1:</w:t>
            </w:r>
          </w:p>
          <w:p>
            <w:pPr>
              <w:pStyle w:val="TableParagraph"/>
              <w:ind w:left="72" w:right="128"/>
              <w:rPr>
                <w:sz w:val="16"/>
              </w:rPr>
            </w:pPr>
            <w:r>
              <w:rPr>
                <w:sz w:val="16"/>
              </w:rPr>
              <w:t>Diseño de estándares de calidad</w:t>
            </w:r>
            <w:r>
              <w:rPr>
                <w:spacing w:val="-12"/>
                <w:sz w:val="16"/>
              </w:rPr>
              <w:t> </w:t>
            </w:r>
            <w:r>
              <w:rPr>
                <w:sz w:val="16"/>
              </w:rPr>
              <w:t>de</w:t>
            </w:r>
            <w:r>
              <w:rPr>
                <w:spacing w:val="-11"/>
                <w:sz w:val="16"/>
              </w:rPr>
              <w:t> </w:t>
            </w:r>
            <w:r>
              <w:rPr>
                <w:sz w:val="16"/>
              </w:rPr>
              <w:t>la</w:t>
            </w:r>
            <w:r>
              <w:rPr>
                <w:spacing w:val="-11"/>
                <w:sz w:val="16"/>
              </w:rPr>
              <w:t> </w:t>
            </w:r>
            <w:r>
              <w:rPr>
                <w:sz w:val="16"/>
              </w:rPr>
              <w:t>oferta </w:t>
            </w:r>
            <w:r>
              <w:rPr>
                <w:spacing w:val="-2"/>
                <w:sz w:val="16"/>
              </w:rPr>
              <w:t>programática institucional </w:t>
            </w:r>
            <w:r>
              <w:rPr>
                <w:sz w:val="16"/>
              </w:rPr>
              <w:t>(vinculado a PEI</w:t>
            </w:r>
          </w:p>
          <w:p>
            <w:pPr>
              <w:pStyle w:val="TableParagraph"/>
              <w:spacing w:line="183" w:lineRule="exact"/>
              <w:ind w:left="72"/>
              <w:rPr>
                <w:sz w:val="16"/>
              </w:rPr>
            </w:pPr>
            <w:r>
              <w:rPr>
                <w:sz w:val="16"/>
              </w:rPr>
              <w:t>2.3.1</w:t>
            </w:r>
            <w:r>
              <w:rPr>
                <w:spacing w:val="-5"/>
                <w:sz w:val="16"/>
              </w:rPr>
              <w:t> </w:t>
            </w:r>
            <w:r>
              <w:rPr>
                <w:sz w:val="16"/>
              </w:rPr>
              <w:t>/</w:t>
            </w:r>
            <w:r>
              <w:rPr>
                <w:spacing w:val="-4"/>
                <w:sz w:val="16"/>
              </w:rPr>
              <w:t> </w:t>
            </w:r>
            <w:r>
              <w:rPr>
                <w:spacing w:val="-2"/>
                <w:sz w:val="16"/>
              </w:rPr>
              <w:t>Estrategia</w:t>
            </w:r>
          </w:p>
          <w:p>
            <w:pPr>
              <w:pStyle w:val="TableParagraph"/>
              <w:spacing w:line="167" w:lineRule="exact"/>
              <w:ind w:left="72"/>
              <w:rPr>
                <w:sz w:val="16"/>
              </w:rPr>
            </w:pPr>
            <w:r>
              <w:rPr>
                <w:sz w:val="16"/>
              </w:rPr>
              <w:t>GpRD</w:t>
            </w:r>
            <w:r>
              <w:rPr>
                <w:spacing w:val="-7"/>
                <w:sz w:val="16"/>
              </w:rPr>
              <w:t> </w:t>
            </w:r>
            <w:r>
              <w:rPr>
                <w:spacing w:val="-2"/>
                <w:sz w:val="16"/>
              </w:rPr>
              <w:t>5.5.1).</w:t>
            </w:r>
          </w:p>
        </w:tc>
        <w:tc>
          <w:tcPr>
            <w:tcW w:w="1278" w:type="dxa"/>
          </w:tcPr>
          <w:p>
            <w:pPr>
              <w:pStyle w:val="TableParagraph"/>
              <w:spacing w:before="93"/>
              <w:rPr>
                <w:b/>
                <w:sz w:val="16"/>
              </w:rPr>
            </w:pPr>
          </w:p>
          <w:p>
            <w:pPr>
              <w:pStyle w:val="TableParagraph"/>
              <w:ind w:left="72"/>
              <w:rPr>
                <w:sz w:val="16"/>
              </w:rPr>
            </w:pPr>
            <w:r>
              <w:rPr>
                <w:sz w:val="16"/>
              </w:rPr>
              <w:t>Porcentaje</w:t>
            </w:r>
            <w:r>
              <w:rPr>
                <w:spacing w:val="-12"/>
                <w:sz w:val="16"/>
              </w:rPr>
              <w:t> </w:t>
            </w:r>
            <w:r>
              <w:rPr>
                <w:sz w:val="16"/>
              </w:rPr>
              <w:t>de </w:t>
            </w:r>
            <w:r>
              <w:rPr>
                <w:spacing w:val="-2"/>
                <w:sz w:val="16"/>
              </w:rPr>
              <w:t>estándares</w:t>
            </w:r>
            <w:r>
              <w:rPr>
                <w:spacing w:val="-10"/>
                <w:sz w:val="16"/>
              </w:rPr>
              <w:t> </w:t>
            </w:r>
            <w:r>
              <w:rPr>
                <w:spacing w:val="-2"/>
                <w:sz w:val="16"/>
              </w:rPr>
              <w:t>de </w:t>
            </w:r>
            <w:r>
              <w:rPr>
                <w:sz w:val="16"/>
              </w:rPr>
              <w:t>calidad de la </w:t>
            </w:r>
            <w:r>
              <w:rPr>
                <w:spacing w:val="-2"/>
                <w:sz w:val="16"/>
              </w:rPr>
              <w:t>oferta programática institucional diseñados.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21" w:right="19"/>
              <w:jc w:val="center"/>
              <w:rPr>
                <w:sz w:val="16"/>
              </w:rPr>
            </w:pPr>
            <w:r>
              <w:rPr>
                <w:spacing w:val="-5"/>
                <w:sz w:val="16"/>
              </w:rPr>
              <w:t>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494" w:hRule="atLeast"/>
        </w:trPr>
        <w:tc>
          <w:tcPr>
            <w:tcW w:w="14323" w:type="dxa"/>
            <w:gridSpan w:val="10"/>
            <w:shd w:val="clear" w:color="auto" w:fill="EFF8F9"/>
          </w:tcPr>
          <w:p>
            <w:pPr>
              <w:pStyle w:val="TableParagraph"/>
              <w:ind w:left="72" w:right="95"/>
              <w:rPr>
                <w:b/>
                <w:sz w:val="16"/>
              </w:rPr>
            </w:pPr>
            <w:r>
              <w:rPr>
                <w:b/>
                <w:sz w:val="16"/>
              </w:rPr>
              <w:t>Producto PPPS 1.14:</w:t>
            </w:r>
            <w:r>
              <w:rPr>
                <w:b/>
                <w:spacing w:val="-4"/>
                <w:sz w:val="16"/>
              </w:rPr>
              <w:t> </w:t>
            </w:r>
            <w:r>
              <w:rPr>
                <w:b/>
                <w:sz w:val="16"/>
              </w:rPr>
              <w:t>Sistema</w:t>
            </w:r>
            <w:r>
              <w:rPr>
                <w:b/>
                <w:spacing w:val="-5"/>
                <w:sz w:val="16"/>
              </w:rPr>
              <w:t> </w:t>
            </w:r>
            <w:r>
              <w:rPr>
                <w:b/>
                <w:sz w:val="16"/>
              </w:rPr>
              <w:t>de</w:t>
            </w:r>
            <w:r>
              <w:rPr>
                <w:b/>
                <w:spacing w:val="-1"/>
                <w:sz w:val="16"/>
              </w:rPr>
              <w:t> </w:t>
            </w:r>
            <w:r>
              <w:rPr>
                <w:b/>
                <w:sz w:val="16"/>
              </w:rPr>
              <w:t>seguimiento de</w:t>
            </w:r>
            <w:r>
              <w:rPr>
                <w:b/>
                <w:spacing w:val="-5"/>
                <w:sz w:val="16"/>
              </w:rPr>
              <w:t> </w:t>
            </w:r>
            <w:r>
              <w:rPr>
                <w:b/>
                <w:sz w:val="16"/>
              </w:rPr>
              <w:t>la</w:t>
            </w:r>
            <w:r>
              <w:rPr>
                <w:b/>
                <w:spacing w:val="-5"/>
                <w:sz w:val="16"/>
              </w:rPr>
              <w:t> </w:t>
            </w:r>
            <w:r>
              <w:rPr>
                <w:b/>
                <w:sz w:val="16"/>
              </w:rPr>
              <w:t>calidad</w:t>
            </w:r>
            <w:r>
              <w:rPr>
                <w:b/>
                <w:spacing w:val="-4"/>
                <w:sz w:val="16"/>
              </w:rPr>
              <w:t> </w:t>
            </w:r>
            <w:r>
              <w:rPr>
                <w:b/>
                <w:sz w:val="16"/>
              </w:rPr>
              <w:t>de</w:t>
            </w:r>
            <w:r>
              <w:rPr>
                <w:b/>
                <w:spacing w:val="-5"/>
                <w:sz w:val="16"/>
              </w:rPr>
              <w:t> </w:t>
            </w:r>
            <w:r>
              <w:rPr>
                <w:b/>
                <w:sz w:val="16"/>
              </w:rPr>
              <w:t>la</w:t>
            </w:r>
            <w:r>
              <w:rPr>
                <w:b/>
                <w:spacing w:val="-1"/>
                <w:sz w:val="16"/>
              </w:rPr>
              <w:t> </w:t>
            </w:r>
            <w:r>
              <w:rPr>
                <w:b/>
                <w:sz w:val="16"/>
              </w:rPr>
              <w:t>oferta</w:t>
            </w:r>
            <w:r>
              <w:rPr>
                <w:b/>
                <w:spacing w:val="-5"/>
                <w:sz w:val="16"/>
              </w:rPr>
              <w:t> </w:t>
            </w:r>
            <w:r>
              <w:rPr>
                <w:b/>
                <w:sz w:val="16"/>
              </w:rPr>
              <w:t>programática</w:t>
            </w:r>
            <w:r>
              <w:rPr>
                <w:b/>
                <w:spacing w:val="-1"/>
                <w:sz w:val="16"/>
              </w:rPr>
              <w:t> </w:t>
            </w:r>
            <w:r>
              <w:rPr>
                <w:b/>
                <w:sz w:val="16"/>
              </w:rPr>
              <w:t>institucional</w:t>
            </w:r>
            <w:r>
              <w:rPr>
                <w:b/>
                <w:spacing w:val="-4"/>
                <w:sz w:val="16"/>
              </w:rPr>
              <w:t> </w:t>
            </w:r>
            <w:r>
              <w:rPr>
                <w:b/>
                <w:sz w:val="16"/>
              </w:rPr>
              <w:t>diseñado e</w:t>
            </w:r>
            <w:r>
              <w:rPr>
                <w:b/>
                <w:spacing w:val="-1"/>
                <w:sz w:val="16"/>
              </w:rPr>
              <w:t> </w:t>
            </w:r>
            <w:r>
              <w:rPr>
                <w:b/>
                <w:sz w:val="16"/>
              </w:rPr>
              <w:t>implementado,</w:t>
            </w:r>
            <w:r>
              <w:rPr>
                <w:b/>
                <w:spacing w:val="-4"/>
                <w:sz w:val="16"/>
              </w:rPr>
              <w:t> </w:t>
            </w:r>
            <w:r>
              <w:rPr>
                <w:b/>
                <w:sz w:val="16"/>
              </w:rPr>
              <w:t>con el fin de</w:t>
            </w:r>
            <w:r>
              <w:rPr>
                <w:b/>
                <w:spacing w:val="-5"/>
                <w:sz w:val="16"/>
              </w:rPr>
              <w:t> </w:t>
            </w:r>
            <w:r>
              <w:rPr>
                <w:b/>
                <w:sz w:val="16"/>
              </w:rPr>
              <w:t>determinar la</w:t>
            </w:r>
            <w:r>
              <w:rPr>
                <w:b/>
                <w:spacing w:val="-1"/>
                <w:sz w:val="16"/>
              </w:rPr>
              <w:t> </w:t>
            </w:r>
            <w:r>
              <w:rPr>
                <w:b/>
                <w:sz w:val="16"/>
              </w:rPr>
              <w:t>continuidad y/o</w:t>
            </w:r>
            <w:r>
              <w:rPr>
                <w:b/>
                <w:spacing w:val="-4"/>
                <w:sz w:val="16"/>
              </w:rPr>
              <w:t> </w:t>
            </w:r>
            <w:r>
              <w:rPr>
                <w:b/>
                <w:sz w:val="16"/>
              </w:rPr>
              <w:t>requerimientos</w:t>
            </w:r>
            <w:r>
              <w:rPr>
                <w:b/>
                <w:spacing w:val="-5"/>
                <w:sz w:val="16"/>
              </w:rPr>
              <w:t> </w:t>
            </w:r>
            <w:r>
              <w:rPr>
                <w:b/>
                <w:sz w:val="16"/>
              </w:rPr>
              <w:t>de ajuste de dicha oferta conforme a los estándares de calidad establecidos institucionalmente. E2 AE3 R2</w:t>
            </w:r>
          </w:p>
        </w:tc>
      </w:tr>
      <w:tr>
        <w:trPr>
          <w:trHeight w:val="1838"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1.14.1:</w:t>
            </w:r>
          </w:p>
          <w:p>
            <w:pPr>
              <w:pStyle w:val="TableParagraph"/>
              <w:ind w:left="72" w:right="103"/>
              <w:rPr>
                <w:sz w:val="16"/>
              </w:rPr>
            </w:pPr>
            <w:r>
              <w:rPr>
                <w:sz w:val="16"/>
              </w:rPr>
              <w:t>Diseño del Sistema de</w:t>
            </w:r>
            <w:r>
              <w:rPr>
                <w:spacing w:val="-12"/>
                <w:sz w:val="16"/>
              </w:rPr>
              <w:t> </w:t>
            </w:r>
            <w:r>
              <w:rPr>
                <w:sz w:val="16"/>
              </w:rPr>
              <w:t>Seguimiento</w:t>
            </w:r>
            <w:r>
              <w:rPr>
                <w:spacing w:val="-11"/>
                <w:sz w:val="16"/>
              </w:rPr>
              <w:t> </w:t>
            </w:r>
            <w:r>
              <w:rPr>
                <w:sz w:val="16"/>
              </w:rPr>
              <w:t>de</w:t>
            </w:r>
            <w:r>
              <w:rPr>
                <w:spacing w:val="-11"/>
                <w:sz w:val="16"/>
              </w:rPr>
              <w:t> </w:t>
            </w:r>
            <w:r>
              <w:rPr>
                <w:sz w:val="16"/>
              </w:rPr>
              <w:t>la Calidad de la oferta </w:t>
            </w:r>
            <w:r>
              <w:rPr>
                <w:spacing w:val="-2"/>
                <w:sz w:val="16"/>
              </w:rPr>
              <w:t>programática institucional </w:t>
            </w:r>
            <w:r>
              <w:rPr>
                <w:sz w:val="16"/>
              </w:rPr>
              <w:t>(vinculada a PEI</w:t>
            </w:r>
          </w:p>
          <w:p>
            <w:pPr>
              <w:pStyle w:val="TableParagraph"/>
              <w:spacing w:line="183" w:lineRule="exact" w:before="1"/>
              <w:ind w:left="72"/>
              <w:rPr>
                <w:sz w:val="16"/>
              </w:rPr>
            </w:pPr>
            <w:r>
              <w:rPr>
                <w:sz w:val="16"/>
              </w:rPr>
              <w:t>2.3.2</w:t>
            </w:r>
            <w:r>
              <w:rPr>
                <w:spacing w:val="-5"/>
                <w:sz w:val="16"/>
              </w:rPr>
              <w:t> </w:t>
            </w:r>
            <w:r>
              <w:rPr>
                <w:sz w:val="16"/>
              </w:rPr>
              <w:t>/</w:t>
            </w:r>
            <w:r>
              <w:rPr>
                <w:spacing w:val="-4"/>
                <w:sz w:val="16"/>
              </w:rPr>
              <w:t> </w:t>
            </w:r>
            <w:r>
              <w:rPr>
                <w:spacing w:val="-2"/>
                <w:sz w:val="16"/>
              </w:rPr>
              <w:t>Estrategia</w:t>
            </w:r>
          </w:p>
          <w:p>
            <w:pPr>
              <w:pStyle w:val="TableParagraph"/>
              <w:spacing w:line="163" w:lineRule="exact"/>
              <w:ind w:left="72"/>
              <w:rPr>
                <w:sz w:val="16"/>
              </w:rPr>
            </w:pPr>
            <w:r>
              <w:rPr>
                <w:sz w:val="16"/>
              </w:rPr>
              <w:t>GpRD</w:t>
            </w:r>
            <w:r>
              <w:rPr>
                <w:spacing w:val="-7"/>
                <w:sz w:val="16"/>
              </w:rPr>
              <w:t> </w:t>
            </w:r>
            <w:r>
              <w:rPr>
                <w:spacing w:val="-2"/>
                <w:sz w:val="16"/>
              </w:rPr>
              <w:t>5.5.2).</w:t>
            </w:r>
          </w:p>
        </w:tc>
        <w:tc>
          <w:tcPr>
            <w:tcW w:w="1278" w:type="dxa"/>
          </w:tcPr>
          <w:p>
            <w:pPr>
              <w:pStyle w:val="TableParagraph"/>
              <w:spacing w:before="90"/>
              <w:ind w:left="72" w:right="76"/>
              <w:rPr>
                <w:sz w:val="16"/>
              </w:rPr>
            </w:pPr>
            <w:r>
              <w:rPr>
                <w:sz w:val="16"/>
              </w:rPr>
              <w:t>Porcentaje de avance en el diseño del Sistema de Seguimiento</w:t>
            </w:r>
            <w:r>
              <w:rPr>
                <w:spacing w:val="-12"/>
                <w:sz w:val="16"/>
              </w:rPr>
              <w:t> </w:t>
            </w:r>
            <w:r>
              <w:rPr>
                <w:sz w:val="16"/>
              </w:rPr>
              <w:t>de la</w:t>
            </w:r>
            <w:r>
              <w:rPr>
                <w:spacing w:val="-12"/>
                <w:sz w:val="16"/>
              </w:rPr>
              <w:t> </w:t>
            </w:r>
            <w:r>
              <w:rPr>
                <w:sz w:val="16"/>
              </w:rPr>
              <w:t>Calidad</w:t>
            </w:r>
            <w:r>
              <w:rPr>
                <w:spacing w:val="-9"/>
                <w:sz w:val="16"/>
              </w:rPr>
              <w:t> </w:t>
            </w:r>
            <w:r>
              <w:rPr>
                <w:sz w:val="16"/>
              </w:rPr>
              <w:t>de</w:t>
            </w:r>
            <w:r>
              <w:rPr>
                <w:spacing w:val="-11"/>
                <w:sz w:val="16"/>
              </w:rPr>
              <w:t> </w:t>
            </w:r>
            <w:r>
              <w:rPr>
                <w:sz w:val="16"/>
              </w:rPr>
              <w:t>la </w:t>
            </w:r>
            <w:r>
              <w:rPr>
                <w:spacing w:val="-2"/>
                <w:sz w:val="16"/>
              </w:rPr>
              <w:t>oferta programática institucional.</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626"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1843"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1.14.2:</w:t>
            </w:r>
          </w:p>
          <w:p>
            <w:pPr>
              <w:pStyle w:val="TableParagraph"/>
              <w:ind w:left="72" w:right="103"/>
              <w:rPr>
                <w:sz w:val="16"/>
              </w:rPr>
            </w:pPr>
            <w:r>
              <w:rPr>
                <w:sz w:val="16"/>
              </w:rPr>
              <w:t>Aplicación del sistema de seguimiento</w:t>
            </w:r>
            <w:r>
              <w:rPr>
                <w:spacing w:val="-12"/>
                <w:sz w:val="16"/>
              </w:rPr>
              <w:t> </w:t>
            </w:r>
            <w:r>
              <w:rPr>
                <w:sz w:val="16"/>
              </w:rPr>
              <w:t>de</w:t>
            </w:r>
            <w:r>
              <w:rPr>
                <w:spacing w:val="-11"/>
                <w:sz w:val="16"/>
              </w:rPr>
              <w:t> </w:t>
            </w:r>
            <w:r>
              <w:rPr>
                <w:sz w:val="16"/>
              </w:rPr>
              <w:t>la calidad</w:t>
            </w:r>
            <w:r>
              <w:rPr>
                <w:spacing w:val="-12"/>
                <w:sz w:val="16"/>
              </w:rPr>
              <w:t> </w:t>
            </w:r>
            <w:r>
              <w:rPr>
                <w:sz w:val="16"/>
              </w:rPr>
              <w:t>a</w:t>
            </w:r>
            <w:r>
              <w:rPr>
                <w:spacing w:val="-11"/>
                <w:sz w:val="16"/>
              </w:rPr>
              <w:t> </w:t>
            </w:r>
            <w:r>
              <w:rPr>
                <w:sz w:val="16"/>
              </w:rPr>
              <w:t>la</w:t>
            </w:r>
            <w:r>
              <w:rPr>
                <w:spacing w:val="-11"/>
                <w:sz w:val="16"/>
              </w:rPr>
              <w:t> </w:t>
            </w:r>
            <w:r>
              <w:rPr>
                <w:sz w:val="16"/>
              </w:rPr>
              <w:t>oferta </w:t>
            </w:r>
            <w:r>
              <w:rPr>
                <w:spacing w:val="-2"/>
                <w:sz w:val="16"/>
              </w:rPr>
              <w:t>programática institucional </w:t>
            </w:r>
            <w:r>
              <w:rPr>
                <w:sz w:val="16"/>
              </w:rPr>
              <w:t>(vinculada a PEI</w:t>
            </w:r>
          </w:p>
          <w:p>
            <w:pPr>
              <w:pStyle w:val="TableParagraph"/>
              <w:spacing w:line="167" w:lineRule="exact"/>
              <w:ind w:left="72"/>
              <w:rPr>
                <w:sz w:val="16"/>
              </w:rPr>
            </w:pPr>
            <w:r>
              <w:rPr>
                <w:spacing w:val="-2"/>
                <w:sz w:val="16"/>
              </w:rPr>
              <w:t>2.3.2).</w:t>
            </w:r>
          </w:p>
        </w:tc>
        <w:tc>
          <w:tcPr>
            <w:tcW w:w="1278" w:type="dxa"/>
          </w:tcPr>
          <w:p>
            <w:pPr>
              <w:pStyle w:val="TableParagraph"/>
              <w:spacing w:before="2"/>
              <w:rPr>
                <w:b/>
                <w:sz w:val="16"/>
              </w:rPr>
            </w:pPr>
          </w:p>
          <w:p>
            <w:pPr>
              <w:pStyle w:val="TableParagraph"/>
              <w:ind w:left="72" w:right="200"/>
              <w:rPr>
                <w:sz w:val="16"/>
              </w:rPr>
            </w:pPr>
            <w:r>
              <w:rPr>
                <w:sz w:val="16"/>
              </w:rPr>
              <w:t>Porcentaje</w:t>
            </w:r>
            <w:r>
              <w:rPr>
                <w:spacing w:val="-12"/>
                <w:sz w:val="16"/>
              </w:rPr>
              <w:t> </w:t>
            </w:r>
            <w:r>
              <w:rPr>
                <w:sz w:val="16"/>
              </w:rPr>
              <w:t>de la oferta </w:t>
            </w:r>
            <w:r>
              <w:rPr>
                <w:spacing w:val="-2"/>
                <w:sz w:val="16"/>
              </w:rPr>
              <w:t>programática </w:t>
            </w:r>
            <w:r>
              <w:rPr>
                <w:sz w:val="16"/>
              </w:rPr>
              <w:t>institucional</w:t>
            </w:r>
            <w:r>
              <w:rPr>
                <w:spacing w:val="-12"/>
                <w:sz w:val="16"/>
              </w:rPr>
              <w:t> </w:t>
            </w:r>
            <w:r>
              <w:rPr>
                <w:sz w:val="16"/>
              </w:rPr>
              <w:t>a la que se le aplica el Sistema de </w:t>
            </w:r>
            <w:r>
              <w:rPr>
                <w:spacing w:val="-2"/>
                <w:sz w:val="16"/>
              </w:rPr>
              <w:t>Seguimiento.</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4" w:right="1"/>
              <w:jc w:val="center"/>
              <w:rPr>
                <w:sz w:val="16"/>
              </w:rPr>
            </w:pPr>
            <w:r>
              <w:rPr>
                <w:spacing w:val="-5"/>
                <w:sz w:val="16"/>
              </w:rPr>
              <w:t>25%</w:t>
            </w:r>
          </w:p>
        </w:tc>
        <w:tc>
          <w:tcPr>
            <w:tcW w:w="1494" w:type="dxa"/>
          </w:tcPr>
          <w:p>
            <w:pPr>
              <w:pStyle w:val="TableParagraph"/>
              <w:rPr>
                <w:rFonts w:ascii="Times New Roman"/>
                <w:sz w:val="16"/>
              </w:rPr>
            </w:pPr>
          </w:p>
        </w:tc>
      </w:tr>
      <w:tr>
        <w:trPr>
          <w:trHeight w:val="465" w:hRule="atLeast"/>
        </w:trPr>
        <w:tc>
          <w:tcPr>
            <w:tcW w:w="14323" w:type="dxa"/>
            <w:gridSpan w:val="10"/>
            <w:shd w:val="clear" w:color="auto" w:fill="EFF8F9"/>
          </w:tcPr>
          <w:p>
            <w:pPr>
              <w:pStyle w:val="TableParagraph"/>
              <w:ind w:left="72" w:right="182"/>
              <w:rPr>
                <w:b/>
                <w:sz w:val="16"/>
              </w:rPr>
            </w:pPr>
            <w:r>
              <w:rPr>
                <w:b/>
                <w:sz w:val="16"/>
              </w:rPr>
              <w:t>Producto PPPS 1.15:</w:t>
            </w:r>
            <w:r>
              <w:rPr>
                <w:b/>
                <w:spacing w:val="38"/>
                <w:sz w:val="16"/>
              </w:rPr>
              <w:t> </w:t>
            </w:r>
            <w:r>
              <w:rPr>
                <w:b/>
                <w:sz w:val="16"/>
              </w:rPr>
              <w:t>Estrategia</w:t>
            </w:r>
            <w:r>
              <w:rPr>
                <w:b/>
                <w:spacing w:val="-1"/>
                <w:sz w:val="16"/>
              </w:rPr>
              <w:t> </w:t>
            </w:r>
            <w:r>
              <w:rPr>
                <w:b/>
                <w:sz w:val="16"/>
              </w:rPr>
              <w:t>de</w:t>
            </w:r>
            <w:r>
              <w:rPr>
                <w:b/>
                <w:spacing w:val="-1"/>
                <w:sz w:val="16"/>
              </w:rPr>
              <w:t> </w:t>
            </w:r>
            <w:r>
              <w:rPr>
                <w:b/>
                <w:sz w:val="16"/>
              </w:rPr>
              <w:t>intervención diferenciada</w:t>
            </w:r>
            <w:r>
              <w:rPr>
                <w:b/>
                <w:spacing w:val="-5"/>
                <w:sz w:val="16"/>
              </w:rPr>
              <w:t> </w:t>
            </w:r>
            <w:r>
              <w:rPr>
                <w:b/>
                <w:sz w:val="16"/>
              </w:rPr>
              <w:t>para</w:t>
            </w:r>
            <w:r>
              <w:rPr>
                <w:b/>
                <w:spacing w:val="-5"/>
                <w:sz w:val="16"/>
              </w:rPr>
              <w:t> </w:t>
            </w:r>
            <w:r>
              <w:rPr>
                <w:b/>
                <w:sz w:val="16"/>
              </w:rPr>
              <w:t>los</w:t>
            </w:r>
            <w:r>
              <w:rPr>
                <w:b/>
                <w:spacing w:val="-5"/>
                <w:sz w:val="16"/>
              </w:rPr>
              <w:t> </w:t>
            </w:r>
            <w:r>
              <w:rPr>
                <w:b/>
                <w:sz w:val="16"/>
              </w:rPr>
              <w:t>territorios</w:t>
            </w:r>
            <w:r>
              <w:rPr>
                <w:b/>
                <w:spacing w:val="-5"/>
                <w:sz w:val="16"/>
              </w:rPr>
              <w:t> </w:t>
            </w:r>
            <w:r>
              <w:rPr>
                <w:b/>
                <w:sz w:val="16"/>
              </w:rPr>
              <w:t>indígenas</w:t>
            </w:r>
            <w:r>
              <w:rPr>
                <w:b/>
                <w:spacing w:val="-1"/>
                <w:sz w:val="16"/>
              </w:rPr>
              <w:t> </w:t>
            </w:r>
            <w:r>
              <w:rPr>
                <w:b/>
                <w:sz w:val="16"/>
              </w:rPr>
              <w:t>según</w:t>
            </w:r>
            <w:r>
              <w:rPr>
                <w:b/>
                <w:spacing w:val="-4"/>
                <w:sz w:val="16"/>
              </w:rPr>
              <w:t> </w:t>
            </w:r>
            <w:r>
              <w:rPr>
                <w:b/>
                <w:sz w:val="16"/>
              </w:rPr>
              <w:t>lo</w:t>
            </w:r>
            <w:r>
              <w:rPr>
                <w:b/>
                <w:spacing w:val="-4"/>
                <w:sz w:val="16"/>
              </w:rPr>
              <w:t> </w:t>
            </w:r>
            <w:r>
              <w:rPr>
                <w:b/>
                <w:sz w:val="16"/>
              </w:rPr>
              <w:t>establecidos</w:t>
            </w:r>
            <w:r>
              <w:rPr>
                <w:b/>
                <w:spacing w:val="-1"/>
                <w:sz w:val="16"/>
              </w:rPr>
              <w:t> </w:t>
            </w:r>
            <w:r>
              <w:rPr>
                <w:b/>
                <w:sz w:val="16"/>
              </w:rPr>
              <w:t>en el</w:t>
            </w:r>
            <w:r>
              <w:rPr>
                <w:b/>
                <w:spacing w:val="-4"/>
                <w:sz w:val="16"/>
              </w:rPr>
              <w:t> </w:t>
            </w:r>
            <w:r>
              <w:rPr>
                <w:b/>
                <w:sz w:val="16"/>
              </w:rPr>
              <w:t>Modelo</w:t>
            </w:r>
            <w:r>
              <w:rPr>
                <w:b/>
                <w:spacing w:val="-4"/>
                <w:sz w:val="16"/>
              </w:rPr>
              <w:t> </w:t>
            </w:r>
            <w:r>
              <w:rPr>
                <w:b/>
                <w:sz w:val="16"/>
              </w:rPr>
              <w:t>Intercultural para</w:t>
            </w:r>
            <w:r>
              <w:rPr>
                <w:b/>
                <w:spacing w:val="-1"/>
                <w:sz w:val="16"/>
              </w:rPr>
              <w:t> </w:t>
            </w:r>
            <w:r>
              <w:rPr>
                <w:b/>
                <w:sz w:val="16"/>
              </w:rPr>
              <w:t>la</w:t>
            </w:r>
            <w:r>
              <w:rPr>
                <w:b/>
                <w:spacing w:val="-1"/>
                <w:sz w:val="16"/>
              </w:rPr>
              <w:t> </w:t>
            </w:r>
            <w:r>
              <w:rPr>
                <w:b/>
                <w:sz w:val="16"/>
              </w:rPr>
              <w:t>Prestación</w:t>
            </w:r>
            <w:r>
              <w:rPr>
                <w:b/>
                <w:spacing w:val="-4"/>
                <w:sz w:val="16"/>
              </w:rPr>
              <w:t> </w:t>
            </w:r>
            <w:r>
              <w:rPr>
                <w:b/>
                <w:sz w:val="16"/>
              </w:rPr>
              <w:t>de</w:t>
            </w:r>
            <w:r>
              <w:rPr>
                <w:b/>
                <w:spacing w:val="-5"/>
                <w:sz w:val="16"/>
              </w:rPr>
              <w:t> </w:t>
            </w:r>
            <w:r>
              <w:rPr>
                <w:b/>
                <w:sz w:val="16"/>
              </w:rPr>
              <w:t>Servicios</w:t>
            </w:r>
            <w:r>
              <w:rPr>
                <w:b/>
                <w:spacing w:val="-1"/>
                <w:sz w:val="16"/>
              </w:rPr>
              <w:t> </w:t>
            </w:r>
            <w:r>
              <w:rPr>
                <w:b/>
                <w:sz w:val="16"/>
              </w:rPr>
              <w:t>y</w:t>
            </w:r>
            <w:r>
              <w:rPr>
                <w:b/>
                <w:spacing w:val="-5"/>
                <w:sz w:val="16"/>
              </w:rPr>
              <w:t> </w:t>
            </w:r>
            <w:r>
              <w:rPr>
                <w:b/>
                <w:sz w:val="16"/>
              </w:rPr>
              <w:t>Beneficios en Territorios Indígenas Eje estratégico de acceso territorial. E2 A4 R1</w:t>
            </w:r>
          </w:p>
        </w:tc>
      </w:tr>
      <w:tr>
        <w:trPr>
          <w:trHeight w:val="3313" w:hRule="atLeast"/>
        </w:trPr>
        <w:tc>
          <w:tcPr>
            <w:tcW w:w="1695" w:type="dxa"/>
          </w:tcPr>
          <w:p>
            <w:pPr>
              <w:pStyle w:val="TableParagraph"/>
              <w:spacing w:before="179"/>
              <w:rPr>
                <w:b/>
                <w:sz w:val="16"/>
              </w:rPr>
            </w:pPr>
          </w:p>
          <w:p>
            <w:pPr>
              <w:pStyle w:val="TableParagraph"/>
              <w:spacing w:line="244" w:lineRule="auto" w:before="1"/>
              <w:ind w:left="72"/>
              <w:rPr>
                <w:b/>
                <w:sz w:val="16"/>
              </w:rPr>
            </w:pPr>
            <w:r>
              <w:rPr>
                <w:b/>
                <w:spacing w:val="-2"/>
                <w:sz w:val="16"/>
              </w:rPr>
              <w:t>Actividad</w:t>
            </w:r>
            <w:r>
              <w:rPr>
                <w:b/>
                <w:spacing w:val="-10"/>
                <w:sz w:val="16"/>
              </w:rPr>
              <w:t> </w:t>
            </w:r>
            <w:r>
              <w:rPr>
                <w:b/>
                <w:spacing w:val="-2"/>
                <w:sz w:val="16"/>
              </w:rPr>
              <w:t>PPPS 1.15.1:</w:t>
            </w:r>
          </w:p>
          <w:p>
            <w:pPr>
              <w:pStyle w:val="TableParagraph"/>
              <w:ind w:left="72" w:right="113"/>
              <w:rPr>
                <w:sz w:val="16"/>
              </w:rPr>
            </w:pPr>
            <w:r>
              <w:rPr>
                <w:spacing w:val="-2"/>
                <w:sz w:val="16"/>
              </w:rPr>
              <w:t>Atención institucional </w:t>
            </w:r>
            <w:r>
              <w:rPr>
                <w:sz w:val="16"/>
              </w:rPr>
              <w:t>diferenciada</w:t>
            </w:r>
            <w:r>
              <w:rPr>
                <w:spacing w:val="-2"/>
                <w:sz w:val="16"/>
              </w:rPr>
              <w:t> </w:t>
            </w:r>
            <w:r>
              <w:rPr>
                <w:sz w:val="16"/>
              </w:rPr>
              <w:t>en territorios indígenas según el Modelo Intercultural para la Prestación de Servicios y Beneficios en Territorios</w:t>
            </w:r>
            <w:r>
              <w:rPr>
                <w:spacing w:val="-8"/>
                <w:sz w:val="16"/>
              </w:rPr>
              <w:t> </w:t>
            </w:r>
            <w:r>
              <w:rPr>
                <w:sz w:val="16"/>
              </w:rPr>
              <w:t>Indígenas (vinculada a PEI</w:t>
            </w:r>
          </w:p>
          <w:p>
            <w:pPr>
              <w:pStyle w:val="TableParagraph"/>
              <w:spacing w:line="183" w:lineRule="exact"/>
              <w:ind w:left="72"/>
              <w:rPr>
                <w:sz w:val="16"/>
              </w:rPr>
            </w:pPr>
            <w:r>
              <w:rPr>
                <w:sz w:val="16"/>
              </w:rPr>
              <w:t>2.4.1</w:t>
            </w:r>
            <w:r>
              <w:rPr>
                <w:spacing w:val="-5"/>
                <w:sz w:val="16"/>
              </w:rPr>
              <w:t> </w:t>
            </w:r>
            <w:r>
              <w:rPr>
                <w:sz w:val="16"/>
              </w:rPr>
              <w:t>/</w:t>
            </w:r>
            <w:r>
              <w:rPr>
                <w:spacing w:val="-4"/>
                <w:sz w:val="16"/>
              </w:rPr>
              <w:t> </w:t>
            </w:r>
            <w:r>
              <w:rPr>
                <w:spacing w:val="-2"/>
                <w:sz w:val="16"/>
              </w:rPr>
              <w:t>Estrategia</w:t>
            </w:r>
          </w:p>
          <w:p>
            <w:pPr>
              <w:pStyle w:val="TableParagraph"/>
              <w:ind w:left="72"/>
              <w:rPr>
                <w:sz w:val="16"/>
              </w:rPr>
            </w:pPr>
            <w:r>
              <w:rPr>
                <w:sz w:val="16"/>
              </w:rPr>
              <w:t>GpRD</w:t>
            </w:r>
            <w:r>
              <w:rPr>
                <w:spacing w:val="-7"/>
                <w:sz w:val="16"/>
              </w:rPr>
              <w:t> </w:t>
            </w:r>
            <w:r>
              <w:rPr>
                <w:spacing w:val="-2"/>
                <w:sz w:val="16"/>
              </w:rPr>
              <w:t>2.1.1).</w:t>
            </w:r>
          </w:p>
        </w:tc>
        <w:tc>
          <w:tcPr>
            <w:tcW w:w="1278" w:type="dxa"/>
          </w:tcPr>
          <w:p>
            <w:pPr>
              <w:pStyle w:val="TableParagraph"/>
              <w:ind w:left="72" w:right="80"/>
              <w:rPr>
                <w:sz w:val="16"/>
              </w:rPr>
            </w:pPr>
            <w:r>
              <w:rPr>
                <w:sz w:val="16"/>
              </w:rPr>
              <w:t>Cantidad de </w:t>
            </w:r>
            <w:r>
              <w:rPr>
                <w:spacing w:val="-2"/>
                <w:sz w:val="16"/>
              </w:rPr>
              <w:t>territorios </w:t>
            </w:r>
            <w:r>
              <w:rPr>
                <w:sz w:val="16"/>
              </w:rPr>
              <w:t>indígenas que cuentan</w:t>
            </w:r>
            <w:r>
              <w:rPr>
                <w:spacing w:val="-2"/>
                <w:sz w:val="16"/>
              </w:rPr>
              <w:t> </w:t>
            </w:r>
            <w:r>
              <w:rPr>
                <w:sz w:val="16"/>
              </w:rPr>
              <w:t>con </w:t>
            </w:r>
            <w:r>
              <w:rPr>
                <w:spacing w:val="-2"/>
                <w:sz w:val="16"/>
              </w:rPr>
              <w:t>atención institucional diferenciada </w:t>
            </w:r>
            <w:r>
              <w:rPr>
                <w:sz w:val="16"/>
              </w:rPr>
              <w:t>como</w:t>
            </w:r>
            <w:r>
              <w:rPr>
                <w:spacing w:val="-12"/>
                <w:sz w:val="16"/>
              </w:rPr>
              <w:t> </w:t>
            </w:r>
            <w:r>
              <w:rPr>
                <w:sz w:val="16"/>
              </w:rPr>
              <w:t>resultado de la </w:t>
            </w:r>
            <w:r>
              <w:rPr>
                <w:spacing w:val="-2"/>
                <w:sz w:val="16"/>
              </w:rPr>
              <w:t>implementación </w:t>
            </w:r>
            <w:r>
              <w:rPr>
                <w:sz w:val="16"/>
              </w:rPr>
              <w:t>del Modelo </w:t>
            </w:r>
            <w:r>
              <w:rPr>
                <w:spacing w:val="-2"/>
                <w:sz w:val="16"/>
              </w:rPr>
              <w:t>Intercultural </w:t>
            </w:r>
            <w:r>
              <w:rPr>
                <w:sz w:val="16"/>
              </w:rPr>
              <w:t>para</w:t>
            </w:r>
            <w:r>
              <w:rPr>
                <w:spacing w:val="-2"/>
                <w:sz w:val="16"/>
              </w:rPr>
              <w:t> </w:t>
            </w:r>
            <w:r>
              <w:rPr>
                <w:sz w:val="16"/>
              </w:rPr>
              <w:t>la Prestación de Servicios y Beneficios en</w:t>
            </w:r>
          </w:p>
          <w:p>
            <w:pPr>
              <w:pStyle w:val="TableParagraph"/>
              <w:spacing w:line="182" w:lineRule="exact"/>
              <w:ind w:left="72" w:right="477"/>
              <w:rPr>
                <w:sz w:val="16"/>
              </w:rPr>
            </w:pPr>
            <w:r>
              <w:rPr>
                <w:spacing w:val="-2"/>
                <w:sz w:val="16"/>
              </w:rPr>
              <w:t>Territorios Indígenas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1"/>
              <w:jc w:val="center"/>
              <w:rPr>
                <w:sz w:val="16"/>
              </w:rPr>
            </w:pPr>
            <w:r>
              <w:rPr>
                <w:spacing w:val="-5"/>
                <w:sz w:val="16"/>
              </w:rPr>
              <w:t>50%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16" w:right="19"/>
              <w:jc w:val="center"/>
              <w:rPr>
                <w:sz w:val="16"/>
              </w:rPr>
            </w:pPr>
            <w:r>
              <w:rPr>
                <w:spacing w:val="-5"/>
                <w:sz w:val="16"/>
              </w:rPr>
              <w:t>50%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4" w:right="1"/>
              <w:jc w:val="center"/>
              <w:rPr>
                <w:sz w:val="16"/>
              </w:rPr>
            </w:pPr>
            <w:r>
              <w:rPr>
                <w:spacing w:val="-5"/>
                <w:sz w:val="16"/>
              </w:rPr>
              <w:t>50%</w:t>
            </w:r>
          </w:p>
        </w:tc>
        <w:tc>
          <w:tcPr>
            <w:tcW w:w="1494" w:type="dxa"/>
          </w:tcPr>
          <w:p>
            <w:pPr>
              <w:pStyle w:val="TableParagraph"/>
              <w:rPr>
                <w:rFonts w:ascii="Times New Roman"/>
                <w:sz w:val="16"/>
              </w:rPr>
            </w:pPr>
          </w:p>
        </w:tc>
      </w:tr>
      <w:tr>
        <w:trPr>
          <w:trHeight w:val="239" w:hRule="atLeast"/>
        </w:trPr>
        <w:tc>
          <w:tcPr>
            <w:tcW w:w="14323" w:type="dxa"/>
            <w:gridSpan w:val="10"/>
            <w:shd w:val="clear" w:color="auto" w:fill="EFF8F9"/>
          </w:tcPr>
          <w:p>
            <w:pPr>
              <w:pStyle w:val="TableParagraph"/>
              <w:spacing w:line="183" w:lineRule="exact"/>
              <w:ind w:left="72"/>
              <w:rPr>
                <w:b/>
                <w:sz w:val="16"/>
              </w:rPr>
            </w:pPr>
            <w:r>
              <w:rPr>
                <w:b/>
                <w:sz w:val="16"/>
              </w:rPr>
              <w:t>Producto</w:t>
            </w:r>
            <w:r>
              <w:rPr>
                <w:b/>
                <w:spacing w:val="-2"/>
                <w:sz w:val="16"/>
              </w:rPr>
              <w:t> </w:t>
            </w:r>
            <w:r>
              <w:rPr>
                <w:b/>
                <w:sz w:val="16"/>
              </w:rPr>
              <w:t>PPPS</w:t>
            </w:r>
            <w:r>
              <w:rPr>
                <w:b/>
                <w:spacing w:val="-2"/>
                <w:sz w:val="16"/>
              </w:rPr>
              <w:t> </w:t>
            </w:r>
            <w:r>
              <w:rPr>
                <w:b/>
                <w:sz w:val="16"/>
              </w:rPr>
              <w:t>1.16:</w:t>
            </w:r>
            <w:r>
              <w:rPr>
                <w:b/>
                <w:spacing w:val="-5"/>
                <w:sz w:val="16"/>
              </w:rPr>
              <w:t> </w:t>
            </w:r>
            <w:r>
              <w:rPr>
                <w:b/>
                <w:sz w:val="16"/>
              </w:rPr>
              <w:t>Mecanismos</w:t>
            </w:r>
            <w:r>
              <w:rPr>
                <w:b/>
                <w:spacing w:val="-3"/>
                <w:sz w:val="16"/>
              </w:rPr>
              <w:t> </w:t>
            </w:r>
            <w:r>
              <w:rPr>
                <w:b/>
                <w:sz w:val="16"/>
              </w:rPr>
              <w:t>de</w:t>
            </w:r>
            <w:r>
              <w:rPr>
                <w:b/>
                <w:spacing w:val="-3"/>
                <w:sz w:val="16"/>
              </w:rPr>
              <w:t> </w:t>
            </w:r>
            <w:r>
              <w:rPr>
                <w:b/>
                <w:sz w:val="16"/>
              </w:rPr>
              <w:t>articulación</w:t>
            </w:r>
            <w:r>
              <w:rPr>
                <w:b/>
                <w:spacing w:val="-2"/>
                <w:sz w:val="16"/>
              </w:rPr>
              <w:t> </w:t>
            </w:r>
            <w:r>
              <w:rPr>
                <w:b/>
                <w:sz w:val="16"/>
              </w:rPr>
              <w:t>interinstitucional</w:t>
            </w:r>
            <w:r>
              <w:rPr>
                <w:b/>
                <w:spacing w:val="-2"/>
                <w:sz w:val="16"/>
              </w:rPr>
              <w:t> </w:t>
            </w:r>
            <w:r>
              <w:rPr>
                <w:b/>
                <w:sz w:val="16"/>
              </w:rPr>
              <w:t>creados</w:t>
            </w:r>
            <w:r>
              <w:rPr>
                <w:b/>
                <w:spacing w:val="-3"/>
                <w:sz w:val="16"/>
              </w:rPr>
              <w:t> </w:t>
            </w:r>
            <w:r>
              <w:rPr>
                <w:b/>
                <w:sz w:val="16"/>
              </w:rPr>
              <w:t>y</w:t>
            </w:r>
            <w:r>
              <w:rPr>
                <w:b/>
                <w:spacing w:val="-6"/>
                <w:sz w:val="16"/>
              </w:rPr>
              <w:t> </w:t>
            </w:r>
            <w:r>
              <w:rPr>
                <w:b/>
                <w:sz w:val="16"/>
              </w:rPr>
              <w:t>fortalecidos</w:t>
            </w:r>
            <w:r>
              <w:rPr>
                <w:b/>
                <w:spacing w:val="-3"/>
                <w:sz w:val="16"/>
              </w:rPr>
              <w:t> </w:t>
            </w:r>
            <w:r>
              <w:rPr>
                <w:b/>
                <w:sz w:val="16"/>
              </w:rPr>
              <w:t>que</w:t>
            </w:r>
            <w:r>
              <w:rPr>
                <w:b/>
                <w:spacing w:val="-7"/>
                <w:sz w:val="16"/>
              </w:rPr>
              <w:t> </w:t>
            </w:r>
            <w:r>
              <w:rPr>
                <w:b/>
                <w:sz w:val="16"/>
              </w:rPr>
              <w:t>posibiliten</w:t>
            </w:r>
            <w:r>
              <w:rPr>
                <w:b/>
                <w:spacing w:val="-5"/>
                <w:sz w:val="16"/>
              </w:rPr>
              <w:t> </w:t>
            </w:r>
            <w:r>
              <w:rPr>
                <w:b/>
                <w:sz w:val="16"/>
              </w:rPr>
              <w:t>la</w:t>
            </w:r>
            <w:r>
              <w:rPr>
                <w:b/>
                <w:spacing w:val="-7"/>
                <w:sz w:val="16"/>
              </w:rPr>
              <w:t> </w:t>
            </w:r>
            <w:r>
              <w:rPr>
                <w:b/>
                <w:sz w:val="16"/>
              </w:rPr>
              <w:t>intervención</w:t>
            </w:r>
            <w:r>
              <w:rPr>
                <w:b/>
                <w:spacing w:val="-2"/>
                <w:sz w:val="16"/>
              </w:rPr>
              <w:t> </w:t>
            </w:r>
            <w:r>
              <w:rPr>
                <w:b/>
                <w:sz w:val="16"/>
              </w:rPr>
              <w:t>diferenciada</w:t>
            </w:r>
            <w:r>
              <w:rPr>
                <w:b/>
                <w:spacing w:val="-3"/>
                <w:sz w:val="16"/>
              </w:rPr>
              <w:t> </w:t>
            </w:r>
            <w:r>
              <w:rPr>
                <w:b/>
                <w:sz w:val="16"/>
              </w:rPr>
              <w:t>en</w:t>
            </w:r>
            <w:r>
              <w:rPr>
                <w:b/>
                <w:spacing w:val="-2"/>
                <w:sz w:val="16"/>
              </w:rPr>
              <w:t> </w:t>
            </w:r>
            <w:r>
              <w:rPr>
                <w:b/>
                <w:sz w:val="16"/>
              </w:rPr>
              <w:t>territorios</w:t>
            </w:r>
            <w:r>
              <w:rPr>
                <w:b/>
                <w:spacing w:val="-3"/>
                <w:sz w:val="16"/>
              </w:rPr>
              <w:t> </w:t>
            </w:r>
            <w:r>
              <w:rPr>
                <w:b/>
                <w:sz w:val="16"/>
              </w:rPr>
              <w:t>indígenas.</w:t>
            </w:r>
            <w:r>
              <w:rPr>
                <w:b/>
                <w:spacing w:val="-2"/>
                <w:sz w:val="16"/>
              </w:rPr>
              <w:t> </w:t>
            </w:r>
            <w:r>
              <w:rPr>
                <w:b/>
                <w:sz w:val="16"/>
              </w:rPr>
              <w:t>E2</w:t>
            </w:r>
            <w:r>
              <w:rPr>
                <w:b/>
                <w:spacing w:val="-6"/>
                <w:sz w:val="16"/>
              </w:rPr>
              <w:t> </w:t>
            </w:r>
            <w:r>
              <w:rPr>
                <w:b/>
                <w:sz w:val="16"/>
              </w:rPr>
              <w:t>A4</w:t>
            </w:r>
            <w:r>
              <w:rPr>
                <w:b/>
                <w:spacing w:val="-7"/>
                <w:sz w:val="16"/>
              </w:rPr>
              <w:t> </w:t>
            </w:r>
            <w:r>
              <w:rPr>
                <w:b/>
                <w:sz w:val="16"/>
              </w:rPr>
              <w:t>R2</w:t>
            </w:r>
            <w:r>
              <w:rPr>
                <w:b/>
                <w:spacing w:val="-6"/>
                <w:sz w:val="16"/>
              </w:rPr>
              <w:t> </w:t>
            </w:r>
            <w:r>
              <w:rPr>
                <w:b/>
                <w:spacing w:val="-2"/>
                <w:sz w:val="16"/>
              </w:rPr>
              <w:t>(2027)</w:t>
            </w:r>
          </w:p>
        </w:tc>
      </w:tr>
      <w:tr>
        <w:trPr>
          <w:trHeight w:val="1839"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1.16.1:</w:t>
            </w:r>
          </w:p>
          <w:p>
            <w:pPr>
              <w:pStyle w:val="TableParagraph"/>
              <w:ind w:left="72" w:right="103"/>
              <w:rPr>
                <w:sz w:val="16"/>
              </w:rPr>
            </w:pPr>
            <w:r>
              <w:rPr>
                <w:sz w:val="16"/>
              </w:rPr>
              <w:t>Definición de mecanismos de </w:t>
            </w:r>
            <w:r>
              <w:rPr>
                <w:spacing w:val="-2"/>
                <w:sz w:val="16"/>
              </w:rPr>
              <w:t>articulación interinstitucional para </w:t>
            </w:r>
            <w:r>
              <w:rPr>
                <w:sz w:val="16"/>
              </w:rPr>
              <w:t>la intervención en territorios indígenas (vinculada a PEI</w:t>
            </w:r>
          </w:p>
          <w:p>
            <w:pPr>
              <w:pStyle w:val="TableParagraph"/>
              <w:spacing w:line="162" w:lineRule="exact"/>
              <w:ind w:left="72"/>
              <w:rPr>
                <w:sz w:val="16"/>
              </w:rPr>
            </w:pPr>
            <w:r>
              <w:rPr>
                <w:spacing w:val="-2"/>
                <w:sz w:val="16"/>
              </w:rPr>
              <w:t>2.4.2).</w:t>
            </w:r>
          </w:p>
        </w:tc>
        <w:tc>
          <w:tcPr>
            <w:tcW w:w="1278" w:type="dxa"/>
          </w:tcPr>
          <w:p>
            <w:pPr>
              <w:pStyle w:val="TableParagraph"/>
              <w:ind w:left="72" w:right="79"/>
              <w:rPr>
                <w:sz w:val="16"/>
              </w:rPr>
            </w:pPr>
            <w:r>
              <w:rPr>
                <w:sz w:val="16"/>
              </w:rPr>
              <w:t>Porcentaje de avance en la definición de </w:t>
            </w:r>
            <w:r>
              <w:rPr>
                <w:spacing w:val="-2"/>
                <w:sz w:val="16"/>
              </w:rPr>
              <w:t>mecanismos</w:t>
            </w:r>
            <w:r>
              <w:rPr>
                <w:spacing w:val="-10"/>
                <w:sz w:val="16"/>
              </w:rPr>
              <w:t> </w:t>
            </w:r>
            <w:r>
              <w:rPr>
                <w:spacing w:val="-2"/>
                <w:sz w:val="16"/>
              </w:rPr>
              <w:t>de articulación interinstituciona</w:t>
            </w:r>
            <w:r>
              <w:rPr>
                <w:sz w:val="16"/>
              </w:rPr>
              <w:t> l para la intervención</w:t>
            </w:r>
            <w:r>
              <w:rPr>
                <w:spacing w:val="-9"/>
                <w:sz w:val="16"/>
              </w:rPr>
              <w:t> </w:t>
            </w:r>
            <w:r>
              <w:rPr>
                <w:sz w:val="16"/>
              </w:rPr>
              <w:t>en</w:t>
            </w:r>
          </w:p>
          <w:p>
            <w:pPr>
              <w:pStyle w:val="TableParagraph"/>
              <w:spacing w:line="182" w:lineRule="exact"/>
              <w:ind w:left="72" w:right="457"/>
              <w:rPr>
                <w:sz w:val="16"/>
              </w:rPr>
            </w:pPr>
            <w:r>
              <w:rPr>
                <w:spacing w:val="-2"/>
                <w:sz w:val="16"/>
              </w:rPr>
              <w:t>territorios indígenas.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16" w:right="19"/>
              <w:jc w:val="center"/>
              <w:rPr>
                <w:sz w:val="16"/>
              </w:rPr>
            </w:pPr>
            <w:r>
              <w:rPr>
                <w:spacing w:val="-5"/>
                <w:sz w:val="16"/>
              </w:rPr>
              <w:t>50%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735"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480" w:hRule="atLeast"/>
        </w:trPr>
        <w:tc>
          <w:tcPr>
            <w:tcW w:w="14323" w:type="dxa"/>
            <w:gridSpan w:val="10"/>
            <w:shd w:val="clear" w:color="auto" w:fill="EFF8F9"/>
          </w:tcPr>
          <w:p>
            <w:pPr>
              <w:pStyle w:val="TableParagraph"/>
              <w:spacing w:line="244" w:lineRule="auto"/>
              <w:ind w:left="72" w:right="95"/>
              <w:rPr>
                <w:b/>
                <w:sz w:val="16"/>
              </w:rPr>
            </w:pPr>
            <w:r>
              <w:rPr>
                <w:b/>
                <w:sz w:val="16"/>
              </w:rPr>
              <w:t>Producto</w:t>
            </w:r>
            <w:r>
              <w:rPr>
                <w:b/>
                <w:spacing w:val="-1"/>
                <w:sz w:val="16"/>
              </w:rPr>
              <w:t> </w:t>
            </w:r>
            <w:r>
              <w:rPr>
                <w:b/>
                <w:sz w:val="16"/>
              </w:rPr>
              <w:t>PPPS 1.17:</w:t>
            </w:r>
            <w:r>
              <w:rPr>
                <w:b/>
                <w:spacing w:val="-5"/>
                <w:sz w:val="16"/>
              </w:rPr>
              <w:t> </w:t>
            </w:r>
            <w:r>
              <w:rPr>
                <w:b/>
                <w:sz w:val="16"/>
              </w:rPr>
              <w:t>Modelo</w:t>
            </w:r>
            <w:r>
              <w:rPr>
                <w:b/>
                <w:spacing w:val="-5"/>
                <w:sz w:val="16"/>
              </w:rPr>
              <w:t> </w:t>
            </w:r>
            <w:r>
              <w:rPr>
                <w:b/>
                <w:sz w:val="16"/>
              </w:rPr>
              <w:t>de</w:t>
            </w:r>
            <w:r>
              <w:rPr>
                <w:b/>
                <w:spacing w:val="-6"/>
                <w:sz w:val="16"/>
              </w:rPr>
              <w:t> </w:t>
            </w:r>
            <w:r>
              <w:rPr>
                <w:b/>
                <w:sz w:val="16"/>
              </w:rPr>
              <w:t>Intervención</w:t>
            </w:r>
            <w:r>
              <w:rPr>
                <w:b/>
                <w:spacing w:val="-1"/>
                <w:sz w:val="16"/>
              </w:rPr>
              <w:t> </w:t>
            </w:r>
            <w:r>
              <w:rPr>
                <w:b/>
                <w:sz w:val="16"/>
              </w:rPr>
              <w:t>Institucional</w:t>
            </w:r>
            <w:r>
              <w:rPr>
                <w:b/>
                <w:spacing w:val="-5"/>
                <w:sz w:val="16"/>
              </w:rPr>
              <w:t> </w:t>
            </w:r>
            <w:r>
              <w:rPr>
                <w:b/>
                <w:sz w:val="16"/>
              </w:rPr>
              <w:t>construido</w:t>
            </w:r>
            <w:r>
              <w:rPr>
                <w:b/>
                <w:spacing w:val="-1"/>
                <w:sz w:val="16"/>
              </w:rPr>
              <w:t> </w:t>
            </w:r>
            <w:r>
              <w:rPr>
                <w:b/>
                <w:sz w:val="16"/>
              </w:rPr>
              <w:t>e</w:t>
            </w:r>
            <w:r>
              <w:rPr>
                <w:b/>
                <w:spacing w:val="-2"/>
                <w:sz w:val="16"/>
              </w:rPr>
              <w:t> </w:t>
            </w:r>
            <w:r>
              <w:rPr>
                <w:b/>
                <w:sz w:val="16"/>
              </w:rPr>
              <w:t>implementado</w:t>
            </w:r>
            <w:r>
              <w:rPr>
                <w:b/>
                <w:spacing w:val="-1"/>
                <w:sz w:val="16"/>
              </w:rPr>
              <w:t> </w:t>
            </w:r>
            <w:r>
              <w:rPr>
                <w:b/>
                <w:sz w:val="16"/>
              </w:rPr>
              <w:t>que</w:t>
            </w:r>
            <w:r>
              <w:rPr>
                <w:b/>
                <w:spacing w:val="-2"/>
                <w:sz w:val="16"/>
              </w:rPr>
              <w:t> </w:t>
            </w:r>
            <w:r>
              <w:rPr>
                <w:b/>
                <w:sz w:val="16"/>
              </w:rPr>
              <w:t>contemple</w:t>
            </w:r>
            <w:r>
              <w:rPr>
                <w:b/>
                <w:spacing w:val="-2"/>
                <w:sz w:val="16"/>
              </w:rPr>
              <w:t> </w:t>
            </w:r>
            <w:r>
              <w:rPr>
                <w:b/>
                <w:sz w:val="16"/>
              </w:rPr>
              <w:t>modalidades</w:t>
            </w:r>
            <w:r>
              <w:rPr>
                <w:b/>
                <w:spacing w:val="-6"/>
                <w:sz w:val="16"/>
              </w:rPr>
              <w:t> </w:t>
            </w:r>
            <w:r>
              <w:rPr>
                <w:b/>
                <w:sz w:val="16"/>
              </w:rPr>
              <w:t>de</w:t>
            </w:r>
            <w:r>
              <w:rPr>
                <w:b/>
                <w:spacing w:val="-2"/>
                <w:sz w:val="16"/>
              </w:rPr>
              <w:t> </w:t>
            </w:r>
            <w:r>
              <w:rPr>
                <w:b/>
                <w:sz w:val="16"/>
              </w:rPr>
              <w:t>atención</w:t>
            </w:r>
            <w:r>
              <w:rPr>
                <w:b/>
                <w:spacing w:val="-1"/>
                <w:sz w:val="16"/>
              </w:rPr>
              <w:t> </w:t>
            </w:r>
            <w:r>
              <w:rPr>
                <w:b/>
                <w:sz w:val="16"/>
              </w:rPr>
              <w:t>diferenciadas</w:t>
            </w:r>
            <w:r>
              <w:rPr>
                <w:b/>
                <w:spacing w:val="-2"/>
                <w:sz w:val="16"/>
              </w:rPr>
              <w:t> </w:t>
            </w:r>
            <w:r>
              <w:rPr>
                <w:b/>
                <w:sz w:val="16"/>
              </w:rPr>
              <w:t>según</w:t>
            </w:r>
            <w:r>
              <w:rPr>
                <w:b/>
                <w:spacing w:val="-1"/>
                <w:sz w:val="16"/>
              </w:rPr>
              <w:t> </w:t>
            </w:r>
            <w:r>
              <w:rPr>
                <w:b/>
                <w:sz w:val="16"/>
              </w:rPr>
              <w:t>segmentos</w:t>
            </w:r>
            <w:r>
              <w:rPr>
                <w:b/>
                <w:spacing w:val="-2"/>
                <w:sz w:val="16"/>
              </w:rPr>
              <w:t> </w:t>
            </w:r>
            <w:r>
              <w:rPr>
                <w:b/>
                <w:sz w:val="16"/>
              </w:rPr>
              <w:t>poblacionales,</w:t>
            </w:r>
            <w:r>
              <w:rPr>
                <w:b/>
                <w:spacing w:val="-1"/>
                <w:sz w:val="16"/>
              </w:rPr>
              <w:t> </w:t>
            </w:r>
            <w:r>
              <w:rPr>
                <w:b/>
                <w:sz w:val="16"/>
              </w:rPr>
              <w:t>a</w:t>
            </w:r>
            <w:r>
              <w:rPr>
                <w:b/>
                <w:spacing w:val="-6"/>
                <w:sz w:val="16"/>
              </w:rPr>
              <w:t> </w:t>
            </w:r>
            <w:r>
              <w:rPr>
                <w:b/>
                <w:sz w:val="16"/>
              </w:rPr>
              <w:t>fin</w:t>
            </w:r>
            <w:r>
              <w:rPr>
                <w:b/>
                <w:spacing w:val="-1"/>
                <w:sz w:val="16"/>
              </w:rPr>
              <w:t> </w:t>
            </w:r>
            <w:r>
              <w:rPr>
                <w:b/>
                <w:sz w:val="16"/>
              </w:rPr>
              <w:t>de brindar una atención integral enfocada en Protección y Promoción Social. E2 AE5 R1</w:t>
            </w:r>
          </w:p>
        </w:tc>
      </w:tr>
      <w:tr>
        <w:trPr>
          <w:trHeight w:val="2025" w:hRule="atLeast"/>
        </w:trPr>
        <w:tc>
          <w:tcPr>
            <w:tcW w:w="1695" w:type="dxa"/>
          </w:tcPr>
          <w:p>
            <w:pPr>
              <w:pStyle w:val="TableParagraph"/>
              <w:spacing w:before="3"/>
              <w:ind w:left="72"/>
              <w:rPr>
                <w:b/>
                <w:sz w:val="16"/>
              </w:rPr>
            </w:pPr>
            <w:r>
              <w:rPr>
                <w:b/>
                <w:spacing w:val="-2"/>
                <w:sz w:val="16"/>
              </w:rPr>
              <w:t>Actividad</w:t>
            </w:r>
            <w:r>
              <w:rPr>
                <w:b/>
                <w:spacing w:val="-10"/>
                <w:sz w:val="16"/>
              </w:rPr>
              <w:t> </w:t>
            </w:r>
            <w:r>
              <w:rPr>
                <w:b/>
                <w:spacing w:val="-2"/>
                <w:sz w:val="16"/>
              </w:rPr>
              <w:t>PPPS 1.17.1:</w:t>
            </w:r>
          </w:p>
          <w:p>
            <w:pPr>
              <w:pStyle w:val="TableParagraph"/>
              <w:ind w:left="72" w:right="183"/>
              <w:rPr>
                <w:sz w:val="16"/>
              </w:rPr>
            </w:pPr>
            <w:r>
              <w:rPr>
                <w:sz w:val="16"/>
              </w:rPr>
              <w:t>Atención</w:t>
            </w:r>
            <w:r>
              <w:rPr>
                <w:spacing w:val="-2"/>
                <w:sz w:val="16"/>
              </w:rPr>
              <w:t> </w:t>
            </w:r>
            <w:r>
              <w:rPr>
                <w:sz w:val="16"/>
              </w:rPr>
              <w:t>y perfilamiento de personas según las modalidades de atención</w:t>
            </w:r>
            <w:r>
              <w:rPr>
                <w:spacing w:val="-12"/>
                <w:sz w:val="16"/>
              </w:rPr>
              <w:t> </w:t>
            </w:r>
            <w:r>
              <w:rPr>
                <w:sz w:val="16"/>
              </w:rPr>
              <w:t>del</w:t>
            </w:r>
            <w:r>
              <w:rPr>
                <w:spacing w:val="-11"/>
                <w:sz w:val="16"/>
              </w:rPr>
              <w:t> </w:t>
            </w:r>
            <w:r>
              <w:rPr>
                <w:sz w:val="16"/>
              </w:rPr>
              <w:t>Modelo de Intervención </w:t>
            </w:r>
            <w:r>
              <w:rPr>
                <w:spacing w:val="-2"/>
                <w:sz w:val="16"/>
              </w:rPr>
              <w:t>Institucional</w:t>
            </w:r>
          </w:p>
          <w:p>
            <w:pPr>
              <w:pStyle w:val="TableParagraph"/>
              <w:spacing w:line="182" w:lineRule="exact"/>
              <w:ind w:left="72" w:right="103"/>
              <w:rPr>
                <w:sz w:val="16"/>
              </w:rPr>
            </w:pPr>
            <w:r>
              <w:rPr>
                <w:sz w:val="16"/>
              </w:rPr>
              <w:t>(vinculada</w:t>
            </w:r>
            <w:r>
              <w:rPr>
                <w:spacing w:val="-12"/>
                <w:sz w:val="16"/>
              </w:rPr>
              <w:t> </w:t>
            </w:r>
            <w:r>
              <w:rPr>
                <w:sz w:val="16"/>
              </w:rPr>
              <w:t>a</w:t>
            </w:r>
            <w:r>
              <w:rPr>
                <w:spacing w:val="-11"/>
                <w:sz w:val="16"/>
              </w:rPr>
              <w:t> </w:t>
            </w:r>
            <w:r>
              <w:rPr>
                <w:sz w:val="16"/>
              </w:rPr>
              <w:t>PEI </w:t>
            </w:r>
            <w:r>
              <w:rPr>
                <w:spacing w:val="-2"/>
                <w:sz w:val="16"/>
              </w:rPr>
              <w:t>2.5.1).</w:t>
            </w:r>
          </w:p>
        </w:tc>
        <w:tc>
          <w:tcPr>
            <w:tcW w:w="1278" w:type="dxa"/>
          </w:tcPr>
          <w:p>
            <w:pPr>
              <w:pStyle w:val="TableParagraph"/>
              <w:spacing w:before="3"/>
              <w:ind w:left="72" w:right="81"/>
              <w:rPr>
                <w:sz w:val="16"/>
              </w:rPr>
            </w:pPr>
            <w:r>
              <w:rPr>
                <w:sz w:val="16"/>
              </w:rPr>
              <w:t>Porcentaje de </w:t>
            </w:r>
            <w:r>
              <w:rPr>
                <w:spacing w:val="-2"/>
                <w:sz w:val="16"/>
              </w:rPr>
              <w:t>población </w:t>
            </w:r>
            <w:r>
              <w:rPr>
                <w:sz w:val="16"/>
              </w:rPr>
              <w:t>atendida</w:t>
            </w:r>
            <w:r>
              <w:rPr>
                <w:spacing w:val="-2"/>
                <w:sz w:val="16"/>
              </w:rPr>
              <w:t> </w:t>
            </w:r>
            <w:r>
              <w:rPr>
                <w:sz w:val="16"/>
              </w:rPr>
              <w:t>y perfilada que</w:t>
            </w:r>
            <w:r>
              <w:rPr>
                <w:spacing w:val="40"/>
                <w:sz w:val="16"/>
              </w:rPr>
              <w:t> </w:t>
            </w:r>
            <w:r>
              <w:rPr>
                <w:sz w:val="16"/>
              </w:rPr>
              <w:t>es incorporada en las </w:t>
            </w:r>
            <w:r>
              <w:rPr>
                <w:spacing w:val="-2"/>
                <w:sz w:val="16"/>
              </w:rPr>
              <w:t>modalidades</w:t>
            </w:r>
            <w:r>
              <w:rPr>
                <w:spacing w:val="-10"/>
                <w:sz w:val="16"/>
              </w:rPr>
              <w:t> </w:t>
            </w:r>
            <w:r>
              <w:rPr>
                <w:spacing w:val="-2"/>
                <w:sz w:val="16"/>
              </w:rPr>
              <w:t>de </w:t>
            </w:r>
            <w:r>
              <w:rPr>
                <w:sz w:val="16"/>
              </w:rPr>
              <w:t>atención del Modelo de </w:t>
            </w:r>
            <w:r>
              <w:rPr>
                <w:spacing w:val="-2"/>
                <w:sz w:val="16"/>
              </w:rPr>
              <w:t>Intervención</w:t>
            </w:r>
          </w:p>
          <w:p>
            <w:pPr>
              <w:pStyle w:val="TableParagraph"/>
              <w:spacing w:line="162" w:lineRule="exact"/>
              <w:ind w:left="72"/>
              <w:rPr>
                <w:sz w:val="16"/>
              </w:rPr>
            </w:pPr>
            <w:r>
              <w:rPr>
                <w:spacing w:val="-2"/>
                <w:sz w:val="16"/>
              </w:rPr>
              <w:t>Institucional.</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21" w:right="12"/>
              <w:jc w:val="center"/>
              <w:rPr>
                <w:sz w:val="16"/>
              </w:rPr>
            </w:pPr>
            <w:r>
              <w:rPr>
                <w:spacing w:val="-5"/>
                <w:sz w:val="16"/>
              </w:rPr>
              <w:t>25%</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right="1"/>
              <w:jc w:val="center"/>
              <w:rPr>
                <w:sz w:val="16"/>
              </w:rPr>
            </w:pPr>
            <w:r>
              <w:rPr>
                <w:spacing w:val="-5"/>
                <w:sz w:val="16"/>
              </w:rPr>
              <w:t>50%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16" w:right="19"/>
              <w:jc w:val="center"/>
              <w:rPr>
                <w:sz w:val="16"/>
              </w:rPr>
            </w:pPr>
            <w:r>
              <w:rPr>
                <w:spacing w:val="-5"/>
                <w:sz w:val="16"/>
              </w:rPr>
              <w:t>75%</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513" w:hRule="atLeast"/>
        </w:trPr>
        <w:tc>
          <w:tcPr>
            <w:tcW w:w="14323" w:type="dxa"/>
            <w:gridSpan w:val="10"/>
            <w:shd w:val="clear" w:color="auto" w:fill="EFF8F9"/>
          </w:tcPr>
          <w:p>
            <w:pPr>
              <w:pStyle w:val="TableParagraph"/>
              <w:spacing w:line="244" w:lineRule="auto"/>
              <w:ind w:left="72" w:right="95"/>
              <w:rPr>
                <w:b/>
                <w:sz w:val="16"/>
              </w:rPr>
            </w:pPr>
            <w:r>
              <w:rPr>
                <w:b/>
                <w:sz w:val="16"/>
              </w:rPr>
              <w:t>Producto</w:t>
            </w:r>
            <w:r>
              <w:rPr>
                <w:b/>
                <w:spacing w:val="-2"/>
                <w:sz w:val="16"/>
              </w:rPr>
              <w:t> </w:t>
            </w:r>
            <w:r>
              <w:rPr>
                <w:b/>
                <w:sz w:val="16"/>
              </w:rPr>
              <w:t>PPPS 1.18:</w:t>
            </w:r>
            <w:r>
              <w:rPr>
                <w:b/>
                <w:spacing w:val="-5"/>
                <w:sz w:val="16"/>
              </w:rPr>
              <w:t> </w:t>
            </w:r>
            <w:r>
              <w:rPr>
                <w:b/>
                <w:sz w:val="16"/>
              </w:rPr>
              <w:t>Mecanismos</w:t>
            </w:r>
            <w:r>
              <w:rPr>
                <w:b/>
                <w:spacing w:val="-2"/>
                <w:sz w:val="16"/>
              </w:rPr>
              <w:t> </w:t>
            </w:r>
            <w:r>
              <w:rPr>
                <w:b/>
                <w:sz w:val="16"/>
              </w:rPr>
              <w:t>de</w:t>
            </w:r>
            <w:r>
              <w:rPr>
                <w:b/>
                <w:spacing w:val="-2"/>
                <w:sz w:val="16"/>
              </w:rPr>
              <w:t> </w:t>
            </w:r>
            <w:r>
              <w:rPr>
                <w:b/>
                <w:sz w:val="16"/>
              </w:rPr>
              <w:t>articulación</w:t>
            </w:r>
            <w:r>
              <w:rPr>
                <w:b/>
                <w:spacing w:val="-1"/>
                <w:sz w:val="16"/>
              </w:rPr>
              <w:t> </w:t>
            </w:r>
            <w:r>
              <w:rPr>
                <w:b/>
                <w:sz w:val="16"/>
              </w:rPr>
              <w:t>definidos</w:t>
            </w:r>
            <w:r>
              <w:rPr>
                <w:b/>
                <w:spacing w:val="-2"/>
                <w:sz w:val="16"/>
              </w:rPr>
              <w:t> </w:t>
            </w:r>
            <w:r>
              <w:rPr>
                <w:b/>
                <w:sz w:val="16"/>
              </w:rPr>
              <w:t>y</w:t>
            </w:r>
            <w:r>
              <w:rPr>
                <w:b/>
                <w:spacing w:val="-6"/>
                <w:sz w:val="16"/>
              </w:rPr>
              <w:t> </w:t>
            </w:r>
            <w:r>
              <w:rPr>
                <w:b/>
                <w:sz w:val="16"/>
              </w:rPr>
              <w:t>en</w:t>
            </w:r>
            <w:r>
              <w:rPr>
                <w:b/>
                <w:spacing w:val="-1"/>
                <w:sz w:val="16"/>
              </w:rPr>
              <w:t> </w:t>
            </w:r>
            <w:r>
              <w:rPr>
                <w:b/>
                <w:sz w:val="16"/>
              </w:rPr>
              <w:t>ejecución</w:t>
            </w:r>
            <w:r>
              <w:rPr>
                <w:b/>
                <w:spacing w:val="-1"/>
                <w:sz w:val="16"/>
              </w:rPr>
              <w:t> </w:t>
            </w:r>
            <w:r>
              <w:rPr>
                <w:b/>
                <w:sz w:val="16"/>
              </w:rPr>
              <w:t>con</w:t>
            </w:r>
            <w:r>
              <w:rPr>
                <w:b/>
                <w:spacing w:val="-5"/>
                <w:sz w:val="16"/>
              </w:rPr>
              <w:t> </w:t>
            </w:r>
            <w:r>
              <w:rPr>
                <w:b/>
                <w:sz w:val="16"/>
              </w:rPr>
              <w:t>el</w:t>
            </w:r>
            <w:r>
              <w:rPr>
                <w:b/>
                <w:spacing w:val="-5"/>
                <w:sz w:val="16"/>
              </w:rPr>
              <w:t> </w:t>
            </w:r>
            <w:r>
              <w:rPr>
                <w:b/>
                <w:sz w:val="16"/>
              </w:rPr>
              <w:t>fin</w:t>
            </w:r>
            <w:r>
              <w:rPr>
                <w:b/>
                <w:spacing w:val="-5"/>
                <w:sz w:val="16"/>
              </w:rPr>
              <w:t> </w:t>
            </w:r>
            <w:r>
              <w:rPr>
                <w:b/>
                <w:sz w:val="16"/>
              </w:rPr>
              <w:t>de</w:t>
            </w:r>
            <w:r>
              <w:rPr>
                <w:b/>
                <w:spacing w:val="-6"/>
                <w:sz w:val="16"/>
              </w:rPr>
              <w:t> </w:t>
            </w:r>
            <w:r>
              <w:rPr>
                <w:b/>
                <w:sz w:val="16"/>
              </w:rPr>
              <w:t>contar con</w:t>
            </w:r>
            <w:r>
              <w:rPr>
                <w:b/>
                <w:spacing w:val="-1"/>
                <w:sz w:val="16"/>
              </w:rPr>
              <w:t> </w:t>
            </w:r>
            <w:r>
              <w:rPr>
                <w:b/>
                <w:sz w:val="16"/>
              </w:rPr>
              <w:t>una</w:t>
            </w:r>
            <w:r>
              <w:rPr>
                <w:b/>
                <w:spacing w:val="-6"/>
                <w:sz w:val="16"/>
              </w:rPr>
              <w:t> </w:t>
            </w:r>
            <w:r>
              <w:rPr>
                <w:b/>
                <w:sz w:val="16"/>
              </w:rPr>
              <w:t>oferta</w:t>
            </w:r>
            <w:r>
              <w:rPr>
                <w:b/>
                <w:spacing w:val="-6"/>
                <w:sz w:val="16"/>
              </w:rPr>
              <w:t> </w:t>
            </w:r>
            <w:r>
              <w:rPr>
                <w:b/>
                <w:sz w:val="16"/>
              </w:rPr>
              <w:t>programática</w:t>
            </w:r>
            <w:r>
              <w:rPr>
                <w:b/>
                <w:spacing w:val="-2"/>
                <w:sz w:val="16"/>
              </w:rPr>
              <w:t> </w:t>
            </w:r>
            <w:r>
              <w:rPr>
                <w:b/>
                <w:sz w:val="16"/>
              </w:rPr>
              <w:t>intr</w:t>
            </w:r>
            <w:r>
              <w:rPr>
                <w:b/>
                <w:spacing w:val="-28"/>
                <w:sz w:val="16"/>
              </w:rPr>
              <w:t> </w:t>
            </w:r>
            <w:r>
              <w:rPr>
                <w:b/>
                <w:sz w:val="16"/>
              </w:rPr>
              <w:t>ainstitucional</w:t>
            </w:r>
            <w:r>
              <w:rPr>
                <w:b/>
                <w:spacing w:val="-1"/>
                <w:sz w:val="16"/>
              </w:rPr>
              <w:t> </w:t>
            </w:r>
            <w:r>
              <w:rPr>
                <w:b/>
                <w:sz w:val="16"/>
              </w:rPr>
              <w:t>de</w:t>
            </w:r>
            <w:r>
              <w:rPr>
                <w:b/>
                <w:spacing w:val="-2"/>
                <w:sz w:val="16"/>
              </w:rPr>
              <w:t> </w:t>
            </w:r>
            <w:r>
              <w:rPr>
                <w:b/>
                <w:sz w:val="16"/>
              </w:rPr>
              <w:t>Protección</w:t>
            </w:r>
            <w:r>
              <w:rPr>
                <w:b/>
                <w:spacing w:val="-1"/>
                <w:sz w:val="16"/>
              </w:rPr>
              <w:t> </w:t>
            </w:r>
            <w:r>
              <w:rPr>
                <w:b/>
                <w:sz w:val="16"/>
              </w:rPr>
              <w:t>y</w:t>
            </w:r>
            <w:r>
              <w:rPr>
                <w:b/>
                <w:spacing w:val="-6"/>
                <w:sz w:val="16"/>
              </w:rPr>
              <w:t> </w:t>
            </w:r>
            <w:r>
              <w:rPr>
                <w:b/>
                <w:sz w:val="16"/>
              </w:rPr>
              <w:t>Promoción</w:t>
            </w:r>
            <w:r>
              <w:rPr>
                <w:b/>
                <w:spacing w:val="-1"/>
                <w:sz w:val="16"/>
              </w:rPr>
              <w:t> </w:t>
            </w:r>
            <w:r>
              <w:rPr>
                <w:b/>
                <w:sz w:val="16"/>
              </w:rPr>
              <w:t>Social</w:t>
            </w:r>
            <w:r>
              <w:rPr>
                <w:b/>
                <w:spacing w:val="-1"/>
                <w:sz w:val="16"/>
              </w:rPr>
              <w:t> </w:t>
            </w:r>
            <w:r>
              <w:rPr>
                <w:b/>
                <w:sz w:val="16"/>
              </w:rPr>
              <w:t>articulada que propicie la atención integral de la población objetivo. E2 AE5 R2</w:t>
            </w:r>
          </w:p>
        </w:tc>
      </w:tr>
      <w:tr>
        <w:trPr>
          <w:trHeight w:val="2390"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1.18.1:</w:t>
            </w:r>
          </w:p>
          <w:p>
            <w:pPr>
              <w:pStyle w:val="TableParagraph"/>
              <w:ind w:left="72" w:right="75"/>
              <w:rPr>
                <w:sz w:val="16"/>
              </w:rPr>
            </w:pPr>
            <w:r>
              <w:rPr>
                <w:sz w:val="16"/>
              </w:rPr>
              <w:t>Definición de </w:t>
            </w:r>
            <w:r>
              <w:rPr>
                <w:spacing w:val="-2"/>
                <w:sz w:val="16"/>
              </w:rPr>
              <w:t>mecanismos </w:t>
            </w:r>
            <w:r>
              <w:rPr>
                <w:sz w:val="16"/>
              </w:rPr>
              <w:t>articuladores de la oferta de programas</w:t>
            </w:r>
            <w:r>
              <w:rPr>
                <w:spacing w:val="40"/>
                <w:sz w:val="16"/>
              </w:rPr>
              <w:t> </w:t>
            </w:r>
            <w:r>
              <w:rPr>
                <w:sz w:val="16"/>
              </w:rPr>
              <w:t>y servicios interinstitucionales</w:t>
            </w:r>
            <w:r>
              <w:rPr>
                <w:spacing w:val="-12"/>
                <w:sz w:val="16"/>
              </w:rPr>
              <w:t> </w:t>
            </w:r>
            <w:r>
              <w:rPr>
                <w:sz w:val="16"/>
              </w:rPr>
              <w:t>en función a la atención de las necesidades de la población</w:t>
            </w:r>
          </w:p>
          <w:p>
            <w:pPr>
              <w:pStyle w:val="TableParagraph"/>
              <w:spacing w:line="188" w:lineRule="exact"/>
              <w:ind w:left="72"/>
              <w:rPr>
                <w:sz w:val="16"/>
              </w:rPr>
            </w:pPr>
            <w:r>
              <w:rPr>
                <w:sz w:val="16"/>
              </w:rPr>
              <w:t>objetivo</w:t>
            </w:r>
            <w:r>
              <w:rPr>
                <w:spacing w:val="-12"/>
                <w:sz w:val="16"/>
              </w:rPr>
              <w:t> </w:t>
            </w:r>
            <w:r>
              <w:rPr>
                <w:sz w:val="16"/>
              </w:rPr>
              <w:t>(vinculada</w:t>
            </w:r>
            <w:r>
              <w:rPr>
                <w:spacing w:val="-11"/>
                <w:sz w:val="16"/>
              </w:rPr>
              <w:t> </w:t>
            </w:r>
            <w:r>
              <w:rPr>
                <w:sz w:val="16"/>
              </w:rPr>
              <w:t>a PEI 2.5.2).</w:t>
            </w:r>
          </w:p>
        </w:tc>
        <w:tc>
          <w:tcPr>
            <w:tcW w:w="1278" w:type="dxa"/>
          </w:tcPr>
          <w:p>
            <w:pPr>
              <w:pStyle w:val="TableParagraph"/>
              <w:spacing w:before="179"/>
              <w:rPr>
                <w:b/>
                <w:sz w:val="16"/>
              </w:rPr>
            </w:pPr>
          </w:p>
          <w:p>
            <w:pPr>
              <w:pStyle w:val="TableParagraph"/>
              <w:ind w:left="72" w:right="84"/>
              <w:rPr>
                <w:sz w:val="16"/>
              </w:rPr>
            </w:pPr>
            <w:r>
              <w:rPr>
                <w:sz w:val="16"/>
              </w:rPr>
              <w:t>Porcentaje de avance en la </w:t>
            </w:r>
            <w:r>
              <w:rPr>
                <w:spacing w:val="-2"/>
                <w:sz w:val="16"/>
              </w:rPr>
              <w:t>definición mecanismos articuladores</w:t>
            </w:r>
            <w:r>
              <w:rPr>
                <w:spacing w:val="40"/>
                <w:sz w:val="16"/>
              </w:rPr>
              <w:t> </w:t>
            </w:r>
            <w:r>
              <w:rPr>
                <w:sz w:val="16"/>
              </w:rPr>
              <w:t>de la oferta </w:t>
            </w:r>
            <w:r>
              <w:rPr>
                <w:spacing w:val="-2"/>
                <w:sz w:val="16"/>
              </w:rPr>
              <w:t>programática interinstituciona </w:t>
            </w:r>
            <w:r>
              <w:rPr>
                <w:spacing w:val="-6"/>
                <w:sz w:val="16"/>
              </w:rPr>
              <w:t>l.</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21" w:right="12"/>
              <w:jc w:val="center"/>
              <w:rPr>
                <w:sz w:val="16"/>
              </w:rPr>
            </w:pPr>
            <w:r>
              <w:rPr>
                <w:spacing w:val="-5"/>
                <w:sz w:val="16"/>
              </w:rPr>
              <w:t>25%</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right="1"/>
              <w:jc w:val="center"/>
              <w:rPr>
                <w:sz w:val="16"/>
              </w:rPr>
            </w:pPr>
            <w:r>
              <w:rPr>
                <w:spacing w:val="-5"/>
                <w:sz w:val="16"/>
              </w:rPr>
              <w:t>50%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16" w:right="19"/>
              <w:jc w:val="center"/>
              <w:rPr>
                <w:sz w:val="16"/>
              </w:rPr>
            </w:pPr>
            <w:r>
              <w:rPr>
                <w:spacing w:val="-5"/>
                <w:sz w:val="16"/>
              </w:rPr>
              <w:t>75%</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1647" w:hRule="atLeast"/>
        </w:trPr>
        <w:tc>
          <w:tcPr>
            <w:tcW w:w="1695" w:type="dxa"/>
          </w:tcPr>
          <w:p>
            <w:pPr>
              <w:pStyle w:val="TableParagraph"/>
              <w:spacing w:line="237" w:lineRule="auto"/>
              <w:ind w:left="72"/>
              <w:rPr>
                <w:b/>
                <w:sz w:val="16"/>
              </w:rPr>
            </w:pPr>
            <w:r>
              <w:rPr>
                <w:b/>
                <w:spacing w:val="-2"/>
                <w:sz w:val="16"/>
              </w:rPr>
              <w:t>Actividad</w:t>
            </w:r>
            <w:r>
              <w:rPr>
                <w:b/>
                <w:spacing w:val="-10"/>
                <w:sz w:val="16"/>
              </w:rPr>
              <w:t> </w:t>
            </w:r>
            <w:r>
              <w:rPr>
                <w:b/>
                <w:spacing w:val="-2"/>
                <w:sz w:val="16"/>
              </w:rPr>
              <w:t>PPPS 1.18.2:</w:t>
            </w:r>
          </w:p>
          <w:p>
            <w:pPr>
              <w:pStyle w:val="TableParagraph"/>
              <w:ind w:left="72" w:right="128"/>
              <w:rPr>
                <w:sz w:val="16"/>
              </w:rPr>
            </w:pPr>
            <w:r>
              <w:rPr>
                <w:sz w:val="16"/>
              </w:rPr>
              <w:t>Atención</w:t>
            </w:r>
            <w:r>
              <w:rPr>
                <w:spacing w:val="-2"/>
                <w:sz w:val="16"/>
              </w:rPr>
              <w:t> </w:t>
            </w:r>
            <w:r>
              <w:rPr>
                <w:sz w:val="16"/>
              </w:rPr>
              <w:t>de </w:t>
            </w:r>
            <w:r>
              <w:rPr>
                <w:spacing w:val="-2"/>
                <w:sz w:val="16"/>
              </w:rPr>
              <w:t>población</w:t>
            </w:r>
            <w:r>
              <w:rPr>
                <w:spacing w:val="-9"/>
                <w:sz w:val="16"/>
              </w:rPr>
              <w:t> </w:t>
            </w:r>
            <w:r>
              <w:rPr>
                <w:spacing w:val="-2"/>
                <w:sz w:val="16"/>
              </w:rPr>
              <w:t>mediante </w:t>
            </w:r>
            <w:r>
              <w:rPr>
                <w:sz w:val="16"/>
              </w:rPr>
              <w:t>mecanismos de </w:t>
            </w:r>
            <w:r>
              <w:rPr>
                <w:spacing w:val="-2"/>
                <w:sz w:val="16"/>
              </w:rPr>
              <w:t>articulación interinstitucionales </w:t>
            </w:r>
            <w:r>
              <w:rPr>
                <w:sz w:val="16"/>
              </w:rPr>
              <w:t>(vinculada a PEI</w:t>
            </w:r>
          </w:p>
          <w:p>
            <w:pPr>
              <w:pStyle w:val="TableParagraph"/>
              <w:spacing w:line="163" w:lineRule="exact"/>
              <w:ind w:left="72"/>
              <w:rPr>
                <w:sz w:val="16"/>
              </w:rPr>
            </w:pPr>
            <w:r>
              <w:rPr>
                <w:spacing w:val="-2"/>
                <w:sz w:val="16"/>
              </w:rPr>
              <w:t>2.5.2).</w:t>
            </w:r>
          </w:p>
        </w:tc>
        <w:tc>
          <w:tcPr>
            <w:tcW w:w="1278" w:type="dxa"/>
          </w:tcPr>
          <w:p>
            <w:pPr>
              <w:pStyle w:val="TableParagraph"/>
              <w:spacing w:line="237" w:lineRule="auto"/>
              <w:ind w:left="72" w:right="200"/>
              <w:rPr>
                <w:sz w:val="16"/>
              </w:rPr>
            </w:pPr>
            <w:r>
              <w:rPr>
                <w:sz w:val="16"/>
              </w:rPr>
              <w:t>Porcentaje</w:t>
            </w:r>
            <w:r>
              <w:rPr>
                <w:spacing w:val="-12"/>
                <w:sz w:val="16"/>
              </w:rPr>
              <w:t> </w:t>
            </w:r>
            <w:r>
              <w:rPr>
                <w:sz w:val="16"/>
              </w:rPr>
              <w:t>de </w:t>
            </w:r>
            <w:r>
              <w:rPr>
                <w:spacing w:val="-2"/>
                <w:sz w:val="16"/>
              </w:rPr>
              <w:t>población</w:t>
            </w:r>
          </w:p>
          <w:p>
            <w:pPr>
              <w:pStyle w:val="TableParagraph"/>
              <w:ind w:left="72" w:right="79"/>
              <w:rPr>
                <w:sz w:val="16"/>
              </w:rPr>
            </w:pPr>
            <w:r>
              <w:rPr>
                <w:spacing w:val="-2"/>
                <w:sz w:val="16"/>
              </w:rPr>
              <w:t>objetivo-atendida mediante mecanismos</w:t>
            </w:r>
            <w:r>
              <w:rPr>
                <w:spacing w:val="-10"/>
                <w:sz w:val="16"/>
              </w:rPr>
              <w:t> </w:t>
            </w:r>
            <w:r>
              <w:rPr>
                <w:spacing w:val="-2"/>
                <w:sz w:val="16"/>
              </w:rPr>
              <w:t>de articulación interinstituciona</w:t>
            </w:r>
          </w:p>
          <w:p>
            <w:pPr>
              <w:pStyle w:val="TableParagraph"/>
              <w:spacing w:line="163" w:lineRule="exact"/>
              <w:ind w:left="72"/>
              <w:rPr>
                <w:sz w:val="16"/>
              </w:rPr>
            </w:pPr>
            <w:r>
              <w:rPr>
                <w:spacing w:val="-5"/>
                <w:sz w:val="16"/>
              </w:rPr>
              <w:t>les</w:t>
            </w:r>
          </w:p>
        </w:tc>
        <w:tc>
          <w:tcPr>
            <w:tcW w:w="1278" w:type="dxa"/>
          </w:tcPr>
          <w:p>
            <w:pPr>
              <w:pStyle w:val="TableParagraph"/>
              <w:rPr>
                <w:b/>
                <w:sz w:val="16"/>
              </w:rPr>
            </w:pPr>
          </w:p>
          <w:p>
            <w:pPr>
              <w:pStyle w:val="TableParagraph"/>
              <w:rPr>
                <w:b/>
                <w:sz w:val="16"/>
              </w:rPr>
            </w:pPr>
          </w:p>
          <w:p>
            <w:pPr>
              <w:pStyle w:val="TableParagraph"/>
              <w:spacing w:before="172"/>
              <w:rPr>
                <w:b/>
                <w:sz w:val="16"/>
              </w:rPr>
            </w:pPr>
          </w:p>
          <w:p>
            <w:pPr>
              <w:pStyle w:val="TableParagraph"/>
              <w:ind w:left="21" w:right="12"/>
              <w:jc w:val="center"/>
              <w:rPr>
                <w:sz w:val="16"/>
              </w:rPr>
            </w:pPr>
            <w:r>
              <w:rPr>
                <w:spacing w:val="-5"/>
                <w:sz w:val="16"/>
              </w:rPr>
              <w:t>25%</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spacing w:before="172"/>
              <w:rPr>
                <w:b/>
                <w:sz w:val="16"/>
              </w:rPr>
            </w:pPr>
          </w:p>
          <w:p>
            <w:pPr>
              <w:pStyle w:val="TableParagraph"/>
              <w:ind w:right="1"/>
              <w:jc w:val="center"/>
              <w:rPr>
                <w:sz w:val="16"/>
              </w:rPr>
            </w:pPr>
            <w:r>
              <w:rPr>
                <w:spacing w:val="-5"/>
                <w:sz w:val="16"/>
              </w:rPr>
              <w:t>50%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spacing w:before="172"/>
              <w:rPr>
                <w:b/>
                <w:sz w:val="16"/>
              </w:rPr>
            </w:pPr>
          </w:p>
          <w:p>
            <w:pPr>
              <w:pStyle w:val="TableParagraph"/>
              <w:ind w:left="16" w:right="19"/>
              <w:jc w:val="center"/>
              <w:rPr>
                <w:sz w:val="16"/>
              </w:rPr>
            </w:pPr>
            <w:r>
              <w:rPr>
                <w:spacing w:val="-5"/>
                <w:sz w:val="16"/>
              </w:rPr>
              <w:t>75%</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172"/>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480" w:hRule="atLeast"/>
        </w:trPr>
        <w:tc>
          <w:tcPr>
            <w:tcW w:w="14323" w:type="dxa"/>
            <w:gridSpan w:val="10"/>
            <w:shd w:val="clear" w:color="auto" w:fill="EFF8F9"/>
          </w:tcPr>
          <w:p>
            <w:pPr>
              <w:pStyle w:val="TableParagraph"/>
              <w:ind w:left="72" w:right="95"/>
              <w:rPr>
                <w:b/>
                <w:sz w:val="16"/>
              </w:rPr>
            </w:pPr>
            <w:r>
              <w:rPr>
                <w:b/>
                <w:sz w:val="16"/>
              </w:rPr>
              <w:t>Producto</w:t>
            </w:r>
            <w:r>
              <w:rPr>
                <w:b/>
                <w:spacing w:val="-1"/>
                <w:sz w:val="16"/>
              </w:rPr>
              <w:t> </w:t>
            </w:r>
            <w:r>
              <w:rPr>
                <w:b/>
                <w:sz w:val="16"/>
              </w:rPr>
              <w:t>PPPS 1.19:</w:t>
            </w:r>
            <w:r>
              <w:rPr>
                <w:b/>
                <w:spacing w:val="-5"/>
                <w:sz w:val="16"/>
              </w:rPr>
              <w:t> </w:t>
            </w:r>
            <w:r>
              <w:rPr>
                <w:b/>
                <w:sz w:val="16"/>
              </w:rPr>
              <w:t>Normativa</w:t>
            </w:r>
            <w:r>
              <w:rPr>
                <w:b/>
                <w:spacing w:val="-2"/>
                <w:sz w:val="16"/>
              </w:rPr>
              <w:t> </w:t>
            </w:r>
            <w:r>
              <w:rPr>
                <w:b/>
                <w:sz w:val="16"/>
              </w:rPr>
              <w:t>y/o</w:t>
            </w:r>
            <w:r>
              <w:rPr>
                <w:b/>
                <w:spacing w:val="-1"/>
                <w:sz w:val="16"/>
              </w:rPr>
              <w:t> </w:t>
            </w:r>
            <w:r>
              <w:rPr>
                <w:b/>
                <w:sz w:val="16"/>
              </w:rPr>
              <w:t>lineamientos</w:t>
            </w:r>
            <w:r>
              <w:rPr>
                <w:b/>
                <w:spacing w:val="-2"/>
                <w:sz w:val="16"/>
              </w:rPr>
              <w:t> </w:t>
            </w:r>
            <w:r>
              <w:rPr>
                <w:b/>
                <w:sz w:val="16"/>
              </w:rPr>
              <w:t>en</w:t>
            </w:r>
            <w:r>
              <w:rPr>
                <w:b/>
                <w:spacing w:val="-1"/>
                <w:sz w:val="16"/>
              </w:rPr>
              <w:t> </w:t>
            </w:r>
            <w:r>
              <w:rPr>
                <w:b/>
                <w:sz w:val="16"/>
              </w:rPr>
              <w:t>materia</w:t>
            </w:r>
            <w:r>
              <w:rPr>
                <w:b/>
                <w:spacing w:val="-2"/>
                <w:sz w:val="16"/>
              </w:rPr>
              <w:t> </w:t>
            </w:r>
            <w:r>
              <w:rPr>
                <w:b/>
                <w:sz w:val="16"/>
              </w:rPr>
              <w:t>de personas</w:t>
            </w:r>
            <w:r>
              <w:rPr>
                <w:b/>
                <w:spacing w:val="-2"/>
                <w:sz w:val="16"/>
              </w:rPr>
              <w:t> </w:t>
            </w:r>
            <w:r>
              <w:rPr>
                <w:b/>
                <w:sz w:val="16"/>
              </w:rPr>
              <w:t>adultas</w:t>
            </w:r>
            <w:r>
              <w:rPr>
                <w:b/>
                <w:spacing w:val="-2"/>
                <w:sz w:val="16"/>
              </w:rPr>
              <w:t> </w:t>
            </w:r>
            <w:r>
              <w:rPr>
                <w:b/>
                <w:sz w:val="16"/>
              </w:rPr>
              <w:t>en</w:t>
            </w:r>
            <w:r>
              <w:rPr>
                <w:b/>
                <w:spacing w:val="-1"/>
                <w:sz w:val="16"/>
              </w:rPr>
              <w:t> </w:t>
            </w:r>
            <w:r>
              <w:rPr>
                <w:b/>
                <w:sz w:val="16"/>
              </w:rPr>
              <w:t>situación</w:t>
            </w:r>
            <w:r>
              <w:rPr>
                <w:b/>
                <w:spacing w:val="-5"/>
                <w:sz w:val="16"/>
              </w:rPr>
              <w:t> </w:t>
            </w:r>
            <w:r>
              <w:rPr>
                <w:b/>
                <w:sz w:val="16"/>
              </w:rPr>
              <w:t>de</w:t>
            </w:r>
            <w:r>
              <w:rPr>
                <w:b/>
                <w:spacing w:val="-2"/>
                <w:sz w:val="16"/>
              </w:rPr>
              <w:t> </w:t>
            </w:r>
            <w:r>
              <w:rPr>
                <w:b/>
                <w:sz w:val="16"/>
              </w:rPr>
              <w:t>dependencia</w:t>
            </w:r>
            <w:r>
              <w:rPr>
                <w:b/>
                <w:spacing w:val="-2"/>
                <w:sz w:val="16"/>
              </w:rPr>
              <w:t> </w:t>
            </w:r>
            <w:r>
              <w:rPr>
                <w:b/>
                <w:sz w:val="16"/>
              </w:rPr>
              <w:t>diseñados</w:t>
            </w:r>
            <w:r>
              <w:rPr>
                <w:b/>
                <w:spacing w:val="-2"/>
                <w:sz w:val="16"/>
              </w:rPr>
              <w:t> </w:t>
            </w:r>
            <w:r>
              <w:rPr>
                <w:b/>
                <w:sz w:val="16"/>
              </w:rPr>
              <w:t>e</w:t>
            </w:r>
            <w:r>
              <w:rPr>
                <w:b/>
                <w:spacing w:val="-6"/>
                <w:sz w:val="16"/>
              </w:rPr>
              <w:t> </w:t>
            </w:r>
            <w:r>
              <w:rPr>
                <w:b/>
                <w:sz w:val="16"/>
              </w:rPr>
              <w:t>implementados</w:t>
            </w:r>
            <w:r>
              <w:rPr>
                <w:b/>
                <w:spacing w:val="-2"/>
                <w:sz w:val="16"/>
              </w:rPr>
              <w:t> </w:t>
            </w:r>
            <w:r>
              <w:rPr>
                <w:b/>
                <w:sz w:val="16"/>
              </w:rPr>
              <w:t>en</w:t>
            </w:r>
            <w:r>
              <w:rPr>
                <w:b/>
                <w:spacing w:val="-1"/>
                <w:sz w:val="16"/>
              </w:rPr>
              <w:t> </w:t>
            </w:r>
            <w:r>
              <w:rPr>
                <w:b/>
                <w:sz w:val="16"/>
              </w:rPr>
              <w:t>la</w:t>
            </w:r>
            <w:r>
              <w:rPr>
                <w:b/>
                <w:spacing w:val="-2"/>
                <w:sz w:val="16"/>
              </w:rPr>
              <w:t> </w:t>
            </w:r>
            <w:r>
              <w:rPr>
                <w:b/>
                <w:sz w:val="16"/>
              </w:rPr>
              <w:t>institución,</w:t>
            </w:r>
            <w:r>
              <w:rPr>
                <w:b/>
                <w:spacing w:val="-1"/>
                <w:sz w:val="16"/>
              </w:rPr>
              <w:t> </w:t>
            </w:r>
            <w:r>
              <w:rPr>
                <w:b/>
                <w:sz w:val="16"/>
              </w:rPr>
              <w:t>a</w:t>
            </w:r>
            <w:r>
              <w:rPr>
                <w:b/>
                <w:spacing w:val="-6"/>
                <w:sz w:val="16"/>
              </w:rPr>
              <w:t> </w:t>
            </w:r>
            <w:r>
              <w:rPr>
                <w:b/>
                <w:sz w:val="16"/>
              </w:rPr>
              <w:t>fin</w:t>
            </w:r>
            <w:r>
              <w:rPr>
                <w:b/>
                <w:spacing w:val="-1"/>
                <w:sz w:val="16"/>
              </w:rPr>
              <w:t> </w:t>
            </w:r>
            <w:r>
              <w:rPr>
                <w:b/>
                <w:sz w:val="16"/>
              </w:rPr>
              <w:t>de</w:t>
            </w:r>
            <w:r>
              <w:rPr>
                <w:b/>
                <w:spacing w:val="-2"/>
                <w:sz w:val="16"/>
              </w:rPr>
              <w:t> </w:t>
            </w:r>
            <w:r>
              <w:rPr>
                <w:b/>
                <w:sz w:val="16"/>
              </w:rPr>
              <w:t>dar cumplimiento</w:t>
            </w:r>
            <w:r>
              <w:rPr>
                <w:b/>
                <w:spacing w:val="-1"/>
                <w:sz w:val="16"/>
              </w:rPr>
              <w:t> </w:t>
            </w:r>
            <w:r>
              <w:rPr>
                <w:b/>
                <w:sz w:val="16"/>
              </w:rPr>
              <w:t>a</w:t>
            </w:r>
            <w:r>
              <w:rPr>
                <w:b/>
                <w:spacing w:val="-6"/>
                <w:sz w:val="16"/>
              </w:rPr>
              <w:t> </w:t>
            </w:r>
            <w:r>
              <w:rPr>
                <w:b/>
                <w:sz w:val="16"/>
              </w:rPr>
              <w:t>la política en materia de cuidados y apoyos de las personas adultas en situación de dependencia. E2 AE6 R1</w:t>
            </w:r>
          </w:p>
        </w:tc>
      </w:tr>
    </w:tbl>
    <w:p>
      <w:pPr>
        <w:pStyle w:val="TableParagraph"/>
        <w:spacing w:after="0"/>
        <w:rPr>
          <w:b/>
          <w:sz w:val="16"/>
        </w:rPr>
        <w:sectPr>
          <w:type w:val="continuous"/>
          <w:pgSz w:w="15840" w:h="12240" w:orient="landscape"/>
          <w:pgMar w:header="0" w:footer="1806" w:top="700" w:bottom="28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2578"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1.19.1:</w:t>
            </w:r>
          </w:p>
          <w:p>
            <w:pPr>
              <w:pStyle w:val="TableParagraph"/>
              <w:ind w:left="72" w:right="103"/>
              <w:rPr>
                <w:sz w:val="16"/>
              </w:rPr>
            </w:pPr>
            <w:r>
              <w:rPr>
                <w:sz w:val="16"/>
              </w:rPr>
              <w:t>Normativa diseñada e implementada, a nivel</w:t>
            </w:r>
            <w:r>
              <w:rPr>
                <w:spacing w:val="-12"/>
                <w:sz w:val="16"/>
              </w:rPr>
              <w:t> </w:t>
            </w:r>
            <w:r>
              <w:rPr>
                <w:sz w:val="16"/>
              </w:rPr>
              <w:t>del</w:t>
            </w:r>
            <w:r>
              <w:rPr>
                <w:spacing w:val="-11"/>
                <w:sz w:val="16"/>
              </w:rPr>
              <w:t> </w:t>
            </w:r>
            <w:r>
              <w:rPr>
                <w:sz w:val="16"/>
              </w:rPr>
              <w:t>Reglamento para</w:t>
            </w:r>
            <w:r>
              <w:rPr>
                <w:spacing w:val="-12"/>
                <w:sz w:val="16"/>
              </w:rPr>
              <w:t> </w:t>
            </w:r>
            <w:r>
              <w:rPr>
                <w:sz w:val="16"/>
              </w:rPr>
              <w:t>la</w:t>
            </w:r>
            <w:r>
              <w:rPr>
                <w:spacing w:val="-11"/>
                <w:sz w:val="16"/>
              </w:rPr>
              <w:t> </w:t>
            </w:r>
            <w:r>
              <w:rPr>
                <w:sz w:val="16"/>
              </w:rPr>
              <w:t>Prestación</w:t>
            </w:r>
            <w:r>
              <w:rPr>
                <w:spacing w:val="-11"/>
                <w:sz w:val="16"/>
              </w:rPr>
              <w:t> </w:t>
            </w:r>
            <w:r>
              <w:rPr>
                <w:sz w:val="16"/>
              </w:rPr>
              <w:t>de Servicios y el Otorgamiento de Beneficios del</w:t>
            </w:r>
            <w:r>
              <w:rPr>
                <w:spacing w:val="-7"/>
                <w:sz w:val="16"/>
              </w:rPr>
              <w:t> </w:t>
            </w:r>
            <w:r>
              <w:rPr>
                <w:sz w:val="16"/>
              </w:rPr>
              <w:t>IMAS, y el Manual de procedimientos para la aplicación del BAREMO (vinculada</w:t>
            </w:r>
          </w:p>
          <w:p>
            <w:pPr>
              <w:pStyle w:val="TableParagraph"/>
              <w:spacing w:line="163" w:lineRule="exact"/>
              <w:ind w:left="72"/>
              <w:rPr>
                <w:sz w:val="16"/>
              </w:rPr>
            </w:pPr>
            <w:r>
              <w:rPr>
                <w:sz w:val="16"/>
              </w:rPr>
              <w:t>a</w:t>
            </w:r>
            <w:r>
              <w:rPr>
                <w:spacing w:val="-3"/>
                <w:sz w:val="16"/>
              </w:rPr>
              <w:t> </w:t>
            </w:r>
            <w:r>
              <w:rPr>
                <w:sz w:val="16"/>
              </w:rPr>
              <w:t>PEI</w:t>
            </w:r>
            <w:r>
              <w:rPr>
                <w:spacing w:val="-2"/>
                <w:sz w:val="16"/>
              </w:rPr>
              <w:t> 2.6.1).</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72"/>
              <w:rPr>
                <w:sz w:val="16"/>
              </w:rPr>
            </w:pPr>
            <w:r>
              <w:rPr>
                <w:sz w:val="16"/>
              </w:rPr>
              <w:t>Porcentaje de avance en el diseño e </w:t>
            </w:r>
            <w:r>
              <w:rPr>
                <w:spacing w:val="-2"/>
                <w:sz w:val="16"/>
              </w:rPr>
              <w:t>implementación </w:t>
            </w:r>
            <w:r>
              <w:rPr>
                <w:sz w:val="16"/>
              </w:rPr>
              <w:t>de normativa.</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21" w:right="13"/>
              <w:jc w:val="center"/>
              <w:rPr>
                <w:sz w:val="16"/>
              </w:rPr>
            </w:pPr>
            <w:r>
              <w:rPr>
                <w:spacing w:val="-4"/>
                <w:sz w:val="16"/>
              </w:rPr>
              <w:t>100%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494" w:hRule="atLeast"/>
        </w:trPr>
        <w:tc>
          <w:tcPr>
            <w:tcW w:w="14323" w:type="dxa"/>
            <w:gridSpan w:val="10"/>
            <w:shd w:val="clear" w:color="auto" w:fill="EFF8F9"/>
          </w:tcPr>
          <w:p>
            <w:pPr>
              <w:pStyle w:val="TableParagraph"/>
              <w:spacing w:line="244" w:lineRule="auto" w:before="61"/>
              <w:ind w:left="72" w:right="182"/>
              <w:rPr>
                <w:b/>
                <w:sz w:val="16"/>
              </w:rPr>
            </w:pPr>
            <w:r>
              <w:rPr>
                <w:b/>
                <w:sz w:val="16"/>
              </w:rPr>
              <w:t>Producto</w:t>
            </w:r>
            <w:r>
              <w:rPr>
                <w:b/>
                <w:spacing w:val="-1"/>
                <w:sz w:val="16"/>
              </w:rPr>
              <w:t> </w:t>
            </w:r>
            <w:r>
              <w:rPr>
                <w:b/>
                <w:sz w:val="16"/>
              </w:rPr>
              <w:t>PPPS 1.20:</w:t>
            </w:r>
            <w:r>
              <w:rPr>
                <w:b/>
                <w:spacing w:val="-4"/>
                <w:sz w:val="16"/>
              </w:rPr>
              <w:t> </w:t>
            </w:r>
            <w:r>
              <w:rPr>
                <w:b/>
                <w:sz w:val="16"/>
              </w:rPr>
              <w:t>Instrumento</w:t>
            </w:r>
            <w:r>
              <w:rPr>
                <w:b/>
                <w:spacing w:val="-1"/>
                <w:sz w:val="16"/>
              </w:rPr>
              <w:t> </w:t>
            </w:r>
            <w:r>
              <w:rPr>
                <w:b/>
                <w:sz w:val="16"/>
              </w:rPr>
              <w:t>del</w:t>
            </w:r>
            <w:r>
              <w:rPr>
                <w:b/>
                <w:spacing w:val="-4"/>
                <w:sz w:val="16"/>
              </w:rPr>
              <w:t> </w:t>
            </w:r>
            <w:r>
              <w:rPr>
                <w:b/>
                <w:sz w:val="16"/>
              </w:rPr>
              <w:t>Baremo</w:t>
            </w:r>
            <w:r>
              <w:rPr>
                <w:b/>
                <w:spacing w:val="-1"/>
                <w:sz w:val="16"/>
              </w:rPr>
              <w:t> </w:t>
            </w:r>
            <w:r>
              <w:rPr>
                <w:b/>
                <w:sz w:val="16"/>
              </w:rPr>
              <w:t>de</w:t>
            </w:r>
            <w:r>
              <w:rPr>
                <w:b/>
                <w:spacing w:val="-2"/>
                <w:sz w:val="16"/>
              </w:rPr>
              <w:t> </w:t>
            </w:r>
            <w:r>
              <w:rPr>
                <w:b/>
                <w:sz w:val="16"/>
              </w:rPr>
              <w:t>Valoración</w:t>
            </w:r>
            <w:r>
              <w:rPr>
                <w:b/>
                <w:spacing w:val="-1"/>
                <w:sz w:val="16"/>
              </w:rPr>
              <w:t> </w:t>
            </w:r>
            <w:r>
              <w:rPr>
                <w:b/>
                <w:sz w:val="16"/>
              </w:rPr>
              <w:t>de</w:t>
            </w:r>
            <w:r>
              <w:rPr>
                <w:b/>
                <w:spacing w:val="-2"/>
                <w:sz w:val="16"/>
              </w:rPr>
              <w:t> </w:t>
            </w:r>
            <w:r>
              <w:rPr>
                <w:b/>
                <w:sz w:val="16"/>
              </w:rPr>
              <w:t>la</w:t>
            </w:r>
            <w:r>
              <w:rPr>
                <w:b/>
                <w:spacing w:val="-5"/>
                <w:sz w:val="16"/>
              </w:rPr>
              <w:t> </w:t>
            </w:r>
            <w:r>
              <w:rPr>
                <w:b/>
                <w:sz w:val="16"/>
              </w:rPr>
              <w:t>Dependencia</w:t>
            </w:r>
            <w:r>
              <w:rPr>
                <w:b/>
                <w:spacing w:val="-2"/>
                <w:sz w:val="16"/>
              </w:rPr>
              <w:t> </w:t>
            </w:r>
            <w:r>
              <w:rPr>
                <w:b/>
                <w:sz w:val="16"/>
              </w:rPr>
              <w:t>diseñado,</w:t>
            </w:r>
            <w:r>
              <w:rPr>
                <w:b/>
                <w:spacing w:val="-1"/>
                <w:sz w:val="16"/>
              </w:rPr>
              <w:t> </w:t>
            </w:r>
            <w:r>
              <w:rPr>
                <w:b/>
                <w:sz w:val="16"/>
              </w:rPr>
              <w:t>aprobado</w:t>
            </w:r>
            <w:r>
              <w:rPr>
                <w:b/>
                <w:spacing w:val="-1"/>
                <w:sz w:val="16"/>
              </w:rPr>
              <w:t> </w:t>
            </w:r>
            <w:r>
              <w:rPr>
                <w:b/>
                <w:sz w:val="16"/>
              </w:rPr>
              <w:t>e</w:t>
            </w:r>
            <w:r>
              <w:rPr>
                <w:b/>
                <w:spacing w:val="-5"/>
                <w:sz w:val="16"/>
              </w:rPr>
              <w:t> </w:t>
            </w:r>
            <w:r>
              <w:rPr>
                <w:b/>
                <w:sz w:val="16"/>
              </w:rPr>
              <w:t>implementado,</w:t>
            </w:r>
            <w:r>
              <w:rPr>
                <w:b/>
                <w:spacing w:val="-1"/>
                <w:sz w:val="16"/>
              </w:rPr>
              <w:t> </w:t>
            </w:r>
            <w:r>
              <w:rPr>
                <w:b/>
                <w:sz w:val="16"/>
              </w:rPr>
              <w:t>a</w:t>
            </w:r>
            <w:r>
              <w:rPr>
                <w:b/>
                <w:spacing w:val="-2"/>
                <w:sz w:val="16"/>
              </w:rPr>
              <w:t> </w:t>
            </w:r>
            <w:r>
              <w:rPr>
                <w:b/>
                <w:sz w:val="16"/>
              </w:rPr>
              <w:t>fin</w:t>
            </w:r>
            <w:r>
              <w:rPr>
                <w:b/>
                <w:spacing w:val="-1"/>
                <w:sz w:val="16"/>
              </w:rPr>
              <w:t> </w:t>
            </w:r>
            <w:r>
              <w:rPr>
                <w:b/>
                <w:sz w:val="16"/>
              </w:rPr>
              <w:t>de</w:t>
            </w:r>
            <w:r>
              <w:rPr>
                <w:b/>
                <w:spacing w:val="-2"/>
                <w:sz w:val="16"/>
              </w:rPr>
              <w:t> </w:t>
            </w:r>
            <w:r>
              <w:rPr>
                <w:b/>
                <w:sz w:val="16"/>
              </w:rPr>
              <w:t>medir el</w:t>
            </w:r>
            <w:r>
              <w:rPr>
                <w:b/>
                <w:spacing w:val="-4"/>
                <w:sz w:val="16"/>
              </w:rPr>
              <w:t> </w:t>
            </w:r>
            <w:r>
              <w:rPr>
                <w:b/>
                <w:sz w:val="16"/>
              </w:rPr>
              <w:t>nivel</w:t>
            </w:r>
            <w:r>
              <w:rPr>
                <w:b/>
                <w:spacing w:val="-5"/>
                <w:sz w:val="16"/>
              </w:rPr>
              <w:t> </w:t>
            </w:r>
            <w:r>
              <w:rPr>
                <w:b/>
                <w:sz w:val="16"/>
              </w:rPr>
              <w:t>de</w:t>
            </w:r>
            <w:r>
              <w:rPr>
                <w:b/>
                <w:spacing w:val="-2"/>
                <w:sz w:val="16"/>
              </w:rPr>
              <w:t> </w:t>
            </w:r>
            <w:r>
              <w:rPr>
                <w:b/>
                <w:sz w:val="16"/>
              </w:rPr>
              <w:t>dependencia</w:t>
            </w:r>
            <w:r>
              <w:rPr>
                <w:b/>
                <w:spacing w:val="-2"/>
                <w:sz w:val="16"/>
              </w:rPr>
              <w:t> </w:t>
            </w:r>
            <w:r>
              <w:rPr>
                <w:b/>
                <w:sz w:val="16"/>
              </w:rPr>
              <w:t>de</w:t>
            </w:r>
            <w:r>
              <w:rPr>
                <w:b/>
                <w:spacing w:val="-2"/>
                <w:sz w:val="16"/>
              </w:rPr>
              <w:t> </w:t>
            </w:r>
            <w:r>
              <w:rPr>
                <w:b/>
                <w:sz w:val="16"/>
              </w:rPr>
              <w:t>personas</w:t>
            </w:r>
            <w:r>
              <w:rPr>
                <w:b/>
                <w:spacing w:val="-5"/>
                <w:sz w:val="16"/>
              </w:rPr>
              <w:t> </w:t>
            </w:r>
            <w:r>
              <w:rPr>
                <w:b/>
                <w:sz w:val="16"/>
              </w:rPr>
              <w:t>adultas</w:t>
            </w:r>
            <w:r>
              <w:rPr>
                <w:b/>
                <w:spacing w:val="-5"/>
                <w:sz w:val="16"/>
              </w:rPr>
              <w:t> </w:t>
            </w:r>
            <w:r>
              <w:rPr>
                <w:b/>
                <w:sz w:val="16"/>
              </w:rPr>
              <w:t>de manera homogenizada. E2 AE6 R2</w:t>
            </w:r>
          </w:p>
        </w:tc>
      </w:tr>
      <w:tr>
        <w:trPr>
          <w:trHeight w:val="1843"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1.20.1:</w:t>
            </w:r>
          </w:p>
          <w:p>
            <w:pPr>
              <w:pStyle w:val="TableParagraph"/>
              <w:ind w:left="72" w:right="88"/>
              <w:rPr>
                <w:sz w:val="16"/>
              </w:rPr>
            </w:pPr>
            <w:r>
              <w:rPr>
                <w:sz w:val="16"/>
              </w:rPr>
              <w:t>Aplicación del </w:t>
            </w:r>
            <w:r>
              <w:rPr>
                <w:spacing w:val="-2"/>
                <w:sz w:val="16"/>
              </w:rPr>
              <w:t>instrumento</w:t>
            </w:r>
            <w:r>
              <w:rPr>
                <w:spacing w:val="40"/>
                <w:sz w:val="16"/>
              </w:rPr>
              <w:t> </w:t>
            </w:r>
            <w:r>
              <w:rPr>
                <w:sz w:val="16"/>
              </w:rPr>
              <w:t>BAREMO</w:t>
            </w:r>
            <w:r>
              <w:rPr>
                <w:spacing w:val="-12"/>
                <w:sz w:val="16"/>
              </w:rPr>
              <w:t> </w:t>
            </w:r>
            <w:r>
              <w:rPr>
                <w:sz w:val="16"/>
              </w:rPr>
              <w:t>a</w:t>
            </w:r>
            <w:r>
              <w:rPr>
                <w:spacing w:val="-11"/>
                <w:sz w:val="16"/>
              </w:rPr>
              <w:t> </w:t>
            </w:r>
            <w:r>
              <w:rPr>
                <w:sz w:val="16"/>
              </w:rPr>
              <w:t>personas usuarias de los </w:t>
            </w:r>
            <w:r>
              <w:rPr>
                <w:spacing w:val="-2"/>
                <w:sz w:val="16"/>
              </w:rPr>
              <w:t>servicios institucionales</w:t>
            </w:r>
          </w:p>
          <w:p>
            <w:pPr>
              <w:pStyle w:val="TableParagraph"/>
              <w:spacing w:line="182" w:lineRule="exact"/>
              <w:ind w:left="72" w:right="103"/>
              <w:rPr>
                <w:sz w:val="16"/>
              </w:rPr>
            </w:pPr>
            <w:r>
              <w:rPr>
                <w:sz w:val="16"/>
              </w:rPr>
              <w:t>(vinculada</w:t>
            </w:r>
            <w:r>
              <w:rPr>
                <w:spacing w:val="-12"/>
                <w:sz w:val="16"/>
              </w:rPr>
              <w:t> </w:t>
            </w:r>
            <w:r>
              <w:rPr>
                <w:sz w:val="16"/>
              </w:rPr>
              <w:t>a</w:t>
            </w:r>
            <w:r>
              <w:rPr>
                <w:spacing w:val="-11"/>
                <w:sz w:val="16"/>
              </w:rPr>
              <w:t> </w:t>
            </w:r>
            <w:r>
              <w:rPr>
                <w:sz w:val="16"/>
              </w:rPr>
              <w:t>PEI </w:t>
            </w:r>
            <w:r>
              <w:rPr>
                <w:spacing w:val="-2"/>
                <w:sz w:val="16"/>
              </w:rPr>
              <w:t>2.6.2).</w:t>
            </w:r>
          </w:p>
        </w:tc>
        <w:tc>
          <w:tcPr>
            <w:tcW w:w="1278" w:type="dxa"/>
          </w:tcPr>
          <w:p>
            <w:pPr>
              <w:pStyle w:val="TableParagraph"/>
              <w:spacing w:before="1"/>
              <w:rPr>
                <w:b/>
                <w:sz w:val="16"/>
              </w:rPr>
            </w:pPr>
          </w:p>
          <w:p>
            <w:pPr>
              <w:pStyle w:val="TableParagraph"/>
              <w:ind w:left="72" w:right="88"/>
              <w:rPr>
                <w:sz w:val="16"/>
              </w:rPr>
            </w:pPr>
            <w:r>
              <w:rPr>
                <w:sz w:val="16"/>
              </w:rPr>
              <w:t>Cantidad de </w:t>
            </w:r>
            <w:r>
              <w:rPr>
                <w:spacing w:val="-2"/>
                <w:sz w:val="16"/>
              </w:rPr>
              <w:t>personas </w:t>
            </w:r>
            <w:r>
              <w:rPr>
                <w:sz w:val="16"/>
              </w:rPr>
              <w:t>usuarias</w:t>
            </w:r>
            <w:r>
              <w:rPr>
                <w:spacing w:val="-3"/>
                <w:sz w:val="16"/>
              </w:rPr>
              <w:t> </w:t>
            </w:r>
            <w:r>
              <w:rPr>
                <w:sz w:val="16"/>
              </w:rPr>
              <w:t>de</w:t>
            </w:r>
            <w:r>
              <w:rPr>
                <w:spacing w:val="-6"/>
                <w:sz w:val="16"/>
              </w:rPr>
              <w:t> </w:t>
            </w:r>
            <w:r>
              <w:rPr>
                <w:sz w:val="16"/>
              </w:rPr>
              <w:t>los </w:t>
            </w:r>
            <w:r>
              <w:rPr>
                <w:spacing w:val="-2"/>
                <w:sz w:val="16"/>
              </w:rPr>
              <w:t>servicios institucionales</w:t>
            </w:r>
            <w:r>
              <w:rPr>
                <w:spacing w:val="40"/>
                <w:sz w:val="16"/>
              </w:rPr>
              <w:t> </w:t>
            </w:r>
            <w:r>
              <w:rPr>
                <w:sz w:val="16"/>
              </w:rPr>
              <w:t>a</w:t>
            </w:r>
            <w:r>
              <w:rPr>
                <w:spacing w:val="-12"/>
                <w:sz w:val="16"/>
              </w:rPr>
              <w:t> </w:t>
            </w:r>
            <w:r>
              <w:rPr>
                <w:sz w:val="16"/>
              </w:rPr>
              <w:t>las</w:t>
            </w:r>
            <w:r>
              <w:rPr>
                <w:spacing w:val="-11"/>
                <w:sz w:val="16"/>
              </w:rPr>
              <w:t> </w:t>
            </w:r>
            <w:r>
              <w:rPr>
                <w:sz w:val="16"/>
              </w:rPr>
              <w:t>que</w:t>
            </w:r>
            <w:r>
              <w:rPr>
                <w:spacing w:val="-10"/>
                <w:sz w:val="16"/>
              </w:rPr>
              <w:t> </w:t>
            </w:r>
            <w:r>
              <w:rPr>
                <w:sz w:val="16"/>
              </w:rPr>
              <w:t>se</w:t>
            </w:r>
            <w:r>
              <w:rPr>
                <w:spacing w:val="-11"/>
                <w:sz w:val="16"/>
              </w:rPr>
              <w:t> </w:t>
            </w:r>
            <w:r>
              <w:rPr>
                <w:sz w:val="16"/>
              </w:rPr>
              <w:t>les aplica el </w:t>
            </w:r>
            <w:r>
              <w:rPr>
                <w:spacing w:val="-2"/>
                <w:sz w:val="16"/>
              </w:rPr>
              <w:t>BAREMO.</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21" w:right="17"/>
              <w:jc w:val="center"/>
              <w:rPr>
                <w:sz w:val="16"/>
              </w:rPr>
            </w:pPr>
            <w:r>
              <w:rPr>
                <w:spacing w:val="-5"/>
                <w:sz w:val="16"/>
              </w:rPr>
              <w:t>255</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6"/>
              <w:jc w:val="center"/>
              <w:rPr>
                <w:sz w:val="16"/>
              </w:rPr>
            </w:pPr>
            <w:r>
              <w:rPr>
                <w:spacing w:val="-5"/>
                <w:sz w:val="16"/>
              </w:rPr>
              <w:t>510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16" w:right="24"/>
              <w:jc w:val="center"/>
              <w:rPr>
                <w:sz w:val="16"/>
              </w:rPr>
            </w:pPr>
            <w:r>
              <w:rPr>
                <w:spacing w:val="-5"/>
                <w:sz w:val="16"/>
              </w:rPr>
              <w:t>765</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3" w:right="4"/>
              <w:jc w:val="center"/>
              <w:rPr>
                <w:sz w:val="16"/>
              </w:rPr>
            </w:pPr>
            <w:r>
              <w:rPr>
                <w:spacing w:val="-4"/>
                <w:sz w:val="16"/>
              </w:rPr>
              <w:t>6000</w:t>
            </w:r>
          </w:p>
        </w:tc>
        <w:tc>
          <w:tcPr>
            <w:tcW w:w="1494" w:type="dxa"/>
          </w:tcPr>
          <w:p>
            <w:pPr>
              <w:pStyle w:val="TableParagraph"/>
              <w:rPr>
                <w:rFonts w:ascii="Times New Roman"/>
                <w:sz w:val="16"/>
              </w:rPr>
            </w:pPr>
          </w:p>
        </w:tc>
      </w:tr>
      <w:tr>
        <w:trPr>
          <w:trHeight w:val="643" w:hRule="atLeast"/>
        </w:trPr>
        <w:tc>
          <w:tcPr>
            <w:tcW w:w="14323" w:type="dxa"/>
            <w:gridSpan w:val="10"/>
            <w:shd w:val="clear" w:color="auto" w:fill="EFF8F9"/>
          </w:tcPr>
          <w:p>
            <w:pPr>
              <w:pStyle w:val="TableParagraph"/>
              <w:spacing w:before="138"/>
              <w:ind w:left="72" w:right="95"/>
              <w:rPr>
                <w:b/>
                <w:sz w:val="16"/>
              </w:rPr>
            </w:pPr>
            <w:r>
              <w:rPr>
                <w:b/>
                <w:sz w:val="16"/>
              </w:rPr>
              <w:t>Producto PPPS 1.21:</w:t>
            </w:r>
            <w:r>
              <w:rPr>
                <w:b/>
                <w:spacing w:val="-4"/>
                <w:sz w:val="16"/>
              </w:rPr>
              <w:t> </w:t>
            </w:r>
            <w:r>
              <w:rPr>
                <w:b/>
                <w:sz w:val="16"/>
              </w:rPr>
              <w:t>Oferta</w:t>
            </w:r>
            <w:r>
              <w:rPr>
                <w:b/>
                <w:spacing w:val="-1"/>
                <w:sz w:val="16"/>
              </w:rPr>
              <w:t> </w:t>
            </w:r>
            <w:r>
              <w:rPr>
                <w:b/>
                <w:sz w:val="16"/>
              </w:rPr>
              <w:t>programática</w:t>
            </w:r>
            <w:r>
              <w:rPr>
                <w:b/>
                <w:spacing w:val="-1"/>
                <w:sz w:val="16"/>
              </w:rPr>
              <w:t> </w:t>
            </w:r>
            <w:r>
              <w:rPr>
                <w:b/>
                <w:sz w:val="16"/>
              </w:rPr>
              <w:t>institucional articulada</w:t>
            </w:r>
            <w:r>
              <w:rPr>
                <w:b/>
                <w:spacing w:val="-5"/>
                <w:sz w:val="16"/>
              </w:rPr>
              <w:t> </w:t>
            </w:r>
            <w:r>
              <w:rPr>
                <w:b/>
                <w:sz w:val="16"/>
              </w:rPr>
              <w:t>que</w:t>
            </w:r>
            <w:r>
              <w:rPr>
                <w:b/>
                <w:spacing w:val="-1"/>
                <w:sz w:val="16"/>
              </w:rPr>
              <w:t> </w:t>
            </w:r>
            <w:r>
              <w:rPr>
                <w:b/>
                <w:sz w:val="16"/>
              </w:rPr>
              <w:t>contribuya</w:t>
            </w:r>
            <w:r>
              <w:rPr>
                <w:b/>
                <w:spacing w:val="-5"/>
                <w:sz w:val="16"/>
              </w:rPr>
              <w:t> </w:t>
            </w:r>
            <w:r>
              <w:rPr>
                <w:b/>
                <w:sz w:val="16"/>
              </w:rPr>
              <w:t>en</w:t>
            </w:r>
            <w:r>
              <w:rPr>
                <w:b/>
                <w:spacing w:val="-4"/>
                <w:sz w:val="16"/>
              </w:rPr>
              <w:t> </w:t>
            </w:r>
            <w:r>
              <w:rPr>
                <w:b/>
                <w:sz w:val="16"/>
              </w:rPr>
              <w:t>la</w:t>
            </w:r>
            <w:r>
              <w:rPr>
                <w:b/>
                <w:spacing w:val="-1"/>
                <w:sz w:val="16"/>
              </w:rPr>
              <w:t> </w:t>
            </w:r>
            <w:r>
              <w:rPr>
                <w:b/>
                <w:sz w:val="16"/>
              </w:rPr>
              <w:t>calidad de</w:t>
            </w:r>
            <w:r>
              <w:rPr>
                <w:b/>
                <w:spacing w:val="-1"/>
                <w:sz w:val="16"/>
              </w:rPr>
              <w:t> </w:t>
            </w:r>
            <w:r>
              <w:rPr>
                <w:b/>
                <w:sz w:val="16"/>
              </w:rPr>
              <w:t>vida</w:t>
            </w:r>
            <w:r>
              <w:rPr>
                <w:b/>
                <w:spacing w:val="-1"/>
                <w:sz w:val="16"/>
              </w:rPr>
              <w:t> </w:t>
            </w:r>
            <w:r>
              <w:rPr>
                <w:b/>
                <w:sz w:val="16"/>
              </w:rPr>
              <w:t>de</w:t>
            </w:r>
            <w:r>
              <w:rPr>
                <w:b/>
                <w:spacing w:val="-1"/>
                <w:sz w:val="16"/>
              </w:rPr>
              <w:t> </w:t>
            </w:r>
            <w:r>
              <w:rPr>
                <w:b/>
                <w:sz w:val="16"/>
              </w:rPr>
              <w:t>la</w:t>
            </w:r>
            <w:r>
              <w:rPr>
                <w:b/>
                <w:spacing w:val="-1"/>
                <w:sz w:val="16"/>
              </w:rPr>
              <w:t> </w:t>
            </w:r>
            <w:r>
              <w:rPr>
                <w:b/>
                <w:sz w:val="16"/>
              </w:rPr>
              <w:t>población cuidadora</w:t>
            </w:r>
            <w:r>
              <w:rPr>
                <w:b/>
                <w:spacing w:val="-1"/>
                <w:sz w:val="16"/>
              </w:rPr>
              <w:t> </w:t>
            </w:r>
            <w:r>
              <w:rPr>
                <w:b/>
                <w:sz w:val="16"/>
              </w:rPr>
              <w:t>y</w:t>
            </w:r>
            <w:r>
              <w:rPr>
                <w:b/>
                <w:spacing w:val="-5"/>
                <w:sz w:val="16"/>
              </w:rPr>
              <w:t> </w:t>
            </w:r>
            <w:r>
              <w:rPr>
                <w:b/>
                <w:sz w:val="16"/>
              </w:rPr>
              <w:t>población adulta</w:t>
            </w:r>
            <w:r>
              <w:rPr>
                <w:b/>
                <w:spacing w:val="-1"/>
                <w:sz w:val="16"/>
              </w:rPr>
              <w:t> </w:t>
            </w:r>
            <w:r>
              <w:rPr>
                <w:b/>
                <w:sz w:val="16"/>
              </w:rPr>
              <w:t>en situación</w:t>
            </w:r>
            <w:r>
              <w:rPr>
                <w:b/>
                <w:spacing w:val="-4"/>
                <w:sz w:val="16"/>
              </w:rPr>
              <w:t> </w:t>
            </w:r>
            <w:r>
              <w:rPr>
                <w:b/>
                <w:sz w:val="16"/>
              </w:rPr>
              <w:t>de</w:t>
            </w:r>
            <w:r>
              <w:rPr>
                <w:b/>
                <w:spacing w:val="-5"/>
                <w:sz w:val="16"/>
              </w:rPr>
              <w:t> </w:t>
            </w:r>
            <w:r>
              <w:rPr>
                <w:b/>
                <w:sz w:val="16"/>
              </w:rPr>
              <w:t>dependencia.</w:t>
            </w:r>
            <w:r>
              <w:rPr>
                <w:b/>
                <w:spacing w:val="-4"/>
                <w:sz w:val="16"/>
              </w:rPr>
              <w:t> </w:t>
            </w:r>
            <w:r>
              <w:rPr>
                <w:b/>
                <w:sz w:val="16"/>
              </w:rPr>
              <w:t>E2</w:t>
            </w:r>
            <w:r>
              <w:rPr>
                <w:b/>
                <w:spacing w:val="-5"/>
                <w:sz w:val="16"/>
              </w:rPr>
              <w:t> </w:t>
            </w:r>
            <w:r>
              <w:rPr>
                <w:b/>
                <w:sz w:val="16"/>
              </w:rPr>
              <w:t>AE6 </w:t>
            </w:r>
            <w:r>
              <w:rPr>
                <w:b/>
                <w:spacing w:val="-6"/>
                <w:sz w:val="16"/>
              </w:rPr>
              <w:t>R3</w:t>
            </w:r>
          </w:p>
        </w:tc>
      </w:tr>
      <w:tr>
        <w:trPr>
          <w:trHeight w:val="2395"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1.21.1:</w:t>
            </w:r>
          </w:p>
          <w:p>
            <w:pPr>
              <w:pStyle w:val="TableParagraph"/>
              <w:ind w:left="72" w:right="94"/>
              <w:rPr>
                <w:sz w:val="16"/>
              </w:rPr>
            </w:pPr>
            <w:r>
              <w:rPr>
                <w:sz w:val="16"/>
              </w:rPr>
              <w:t>Acceso articulado a la oferta</w:t>
            </w:r>
            <w:r>
              <w:rPr>
                <w:spacing w:val="40"/>
                <w:sz w:val="16"/>
              </w:rPr>
              <w:t> </w:t>
            </w:r>
            <w:r>
              <w:rPr>
                <w:spacing w:val="-2"/>
                <w:sz w:val="16"/>
              </w:rPr>
              <w:t>programática </w:t>
            </w:r>
            <w:r>
              <w:rPr>
                <w:sz w:val="16"/>
              </w:rPr>
              <w:t>institucional</w:t>
            </w:r>
            <w:r>
              <w:rPr>
                <w:spacing w:val="-12"/>
                <w:sz w:val="16"/>
              </w:rPr>
              <w:t> </w:t>
            </w:r>
            <w:r>
              <w:rPr>
                <w:sz w:val="16"/>
              </w:rPr>
              <w:t>por</w:t>
            </w:r>
            <w:r>
              <w:rPr>
                <w:spacing w:val="-11"/>
                <w:sz w:val="16"/>
              </w:rPr>
              <w:t> </w:t>
            </w:r>
            <w:r>
              <w:rPr>
                <w:sz w:val="16"/>
              </w:rPr>
              <w:t>parte de hogares con población</w:t>
            </w:r>
            <w:r>
              <w:rPr>
                <w:spacing w:val="-2"/>
                <w:sz w:val="16"/>
              </w:rPr>
              <w:t> </w:t>
            </w:r>
            <w:r>
              <w:rPr>
                <w:sz w:val="16"/>
              </w:rPr>
              <w:t>cuidadora</w:t>
            </w:r>
            <w:r>
              <w:rPr>
                <w:spacing w:val="40"/>
                <w:sz w:val="16"/>
              </w:rPr>
              <w:t> </w:t>
            </w:r>
            <w:r>
              <w:rPr>
                <w:sz w:val="16"/>
              </w:rPr>
              <w:t>y</w:t>
            </w:r>
            <w:r>
              <w:rPr>
                <w:spacing w:val="-12"/>
                <w:sz w:val="16"/>
              </w:rPr>
              <w:t> </w:t>
            </w:r>
            <w:r>
              <w:rPr>
                <w:sz w:val="16"/>
              </w:rPr>
              <w:t>población</w:t>
            </w:r>
            <w:r>
              <w:rPr>
                <w:spacing w:val="-11"/>
                <w:sz w:val="16"/>
              </w:rPr>
              <w:t> </w:t>
            </w:r>
            <w:r>
              <w:rPr>
                <w:sz w:val="16"/>
              </w:rPr>
              <w:t>adulta</w:t>
            </w:r>
            <w:r>
              <w:rPr>
                <w:spacing w:val="-11"/>
                <w:sz w:val="16"/>
              </w:rPr>
              <w:t> </w:t>
            </w:r>
            <w:r>
              <w:rPr>
                <w:sz w:val="16"/>
              </w:rPr>
              <w:t>en situación</w:t>
            </w:r>
            <w:r>
              <w:rPr>
                <w:spacing w:val="-2"/>
                <w:sz w:val="16"/>
              </w:rPr>
              <w:t> </w:t>
            </w:r>
            <w:r>
              <w:rPr>
                <w:sz w:val="16"/>
              </w:rPr>
              <w:t>de </w:t>
            </w:r>
            <w:r>
              <w:rPr>
                <w:spacing w:val="-2"/>
                <w:sz w:val="16"/>
              </w:rPr>
              <w:t>dependencia</w:t>
            </w:r>
          </w:p>
          <w:p>
            <w:pPr>
              <w:pStyle w:val="TableParagraph"/>
              <w:spacing w:line="182" w:lineRule="exact"/>
              <w:ind w:left="72" w:right="103"/>
              <w:rPr>
                <w:sz w:val="16"/>
              </w:rPr>
            </w:pPr>
            <w:r>
              <w:rPr>
                <w:sz w:val="16"/>
              </w:rPr>
              <w:t>(vinculado</w:t>
            </w:r>
            <w:r>
              <w:rPr>
                <w:spacing w:val="-12"/>
                <w:sz w:val="16"/>
              </w:rPr>
              <w:t> </w:t>
            </w:r>
            <w:r>
              <w:rPr>
                <w:sz w:val="16"/>
              </w:rPr>
              <w:t>a</w:t>
            </w:r>
            <w:r>
              <w:rPr>
                <w:spacing w:val="-11"/>
                <w:sz w:val="16"/>
              </w:rPr>
              <w:t> </w:t>
            </w:r>
            <w:r>
              <w:rPr>
                <w:sz w:val="16"/>
              </w:rPr>
              <w:t>PEI </w:t>
            </w:r>
            <w:r>
              <w:rPr>
                <w:spacing w:val="-2"/>
                <w:sz w:val="16"/>
              </w:rPr>
              <w:t>2.6.3).</w:t>
            </w:r>
          </w:p>
        </w:tc>
        <w:tc>
          <w:tcPr>
            <w:tcW w:w="1278" w:type="dxa"/>
          </w:tcPr>
          <w:p>
            <w:pPr>
              <w:pStyle w:val="TableParagraph"/>
              <w:ind w:left="72" w:right="131"/>
              <w:rPr>
                <w:sz w:val="16"/>
              </w:rPr>
            </w:pPr>
            <w:r>
              <w:rPr>
                <w:sz w:val="16"/>
              </w:rPr>
              <w:t>Cantidad de hogares con </w:t>
            </w:r>
            <w:r>
              <w:rPr>
                <w:spacing w:val="-2"/>
                <w:sz w:val="16"/>
              </w:rPr>
              <w:t>población </w:t>
            </w:r>
            <w:r>
              <w:rPr>
                <w:sz w:val="16"/>
              </w:rPr>
              <w:t>cuidadora y </w:t>
            </w:r>
            <w:r>
              <w:rPr>
                <w:spacing w:val="-2"/>
                <w:sz w:val="16"/>
              </w:rPr>
              <w:t>población </w:t>
            </w:r>
            <w:r>
              <w:rPr>
                <w:sz w:val="16"/>
              </w:rPr>
              <w:t>adulta en situación</w:t>
            </w:r>
            <w:r>
              <w:rPr>
                <w:spacing w:val="-2"/>
                <w:sz w:val="16"/>
              </w:rPr>
              <w:t> </w:t>
            </w:r>
            <w:r>
              <w:rPr>
                <w:sz w:val="16"/>
              </w:rPr>
              <w:t>de </w:t>
            </w:r>
            <w:r>
              <w:rPr>
                <w:spacing w:val="-2"/>
                <w:sz w:val="16"/>
              </w:rPr>
              <w:t>dependencia </w:t>
            </w:r>
            <w:r>
              <w:rPr>
                <w:sz w:val="16"/>
              </w:rPr>
              <w:t>que</w:t>
            </w:r>
            <w:r>
              <w:rPr>
                <w:spacing w:val="-12"/>
                <w:sz w:val="16"/>
              </w:rPr>
              <w:t> </w:t>
            </w:r>
            <w:r>
              <w:rPr>
                <w:sz w:val="16"/>
              </w:rPr>
              <w:t>acceden</w:t>
            </w:r>
            <w:r>
              <w:rPr>
                <w:spacing w:val="-11"/>
                <w:sz w:val="16"/>
              </w:rPr>
              <w:t> </w:t>
            </w:r>
            <w:r>
              <w:rPr>
                <w:sz w:val="16"/>
              </w:rPr>
              <w:t>a una</w:t>
            </w:r>
            <w:r>
              <w:rPr>
                <w:spacing w:val="-2"/>
                <w:sz w:val="16"/>
              </w:rPr>
              <w:t> </w:t>
            </w:r>
            <w:r>
              <w:rPr>
                <w:sz w:val="16"/>
              </w:rPr>
              <w:t>oferta </w:t>
            </w:r>
            <w:r>
              <w:rPr>
                <w:spacing w:val="-2"/>
                <w:sz w:val="16"/>
              </w:rPr>
              <w:t>programática</w:t>
            </w:r>
          </w:p>
          <w:p>
            <w:pPr>
              <w:pStyle w:val="TableParagraph"/>
              <w:spacing w:line="182" w:lineRule="exact"/>
              <w:ind w:left="72"/>
              <w:rPr>
                <w:sz w:val="16"/>
              </w:rPr>
            </w:pPr>
            <w:r>
              <w:rPr>
                <w:spacing w:val="-2"/>
                <w:sz w:val="16"/>
              </w:rPr>
              <w:t>institucional articulada</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3" w:right="4"/>
              <w:jc w:val="center"/>
              <w:rPr>
                <w:sz w:val="16"/>
              </w:rPr>
            </w:pPr>
            <w:r>
              <w:rPr>
                <w:spacing w:val="-4"/>
                <w:sz w:val="16"/>
              </w:rPr>
              <w:t>6000</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481"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662" w:hRule="atLeast"/>
        </w:trPr>
        <w:tc>
          <w:tcPr>
            <w:tcW w:w="14323" w:type="dxa"/>
            <w:gridSpan w:val="10"/>
            <w:shd w:val="clear" w:color="auto" w:fill="EFF8F9"/>
          </w:tcPr>
          <w:p>
            <w:pPr>
              <w:pStyle w:val="TableParagraph"/>
              <w:spacing w:before="55"/>
              <w:rPr>
                <w:b/>
                <w:sz w:val="16"/>
              </w:rPr>
            </w:pPr>
          </w:p>
          <w:p>
            <w:pPr>
              <w:pStyle w:val="TableParagraph"/>
              <w:ind w:left="72"/>
              <w:rPr>
                <w:b/>
                <w:sz w:val="16"/>
              </w:rPr>
            </w:pPr>
            <w:r>
              <w:rPr>
                <w:b/>
                <w:sz w:val="16"/>
              </w:rPr>
              <w:t>Producto</w:t>
            </w:r>
            <w:r>
              <w:rPr>
                <w:b/>
                <w:spacing w:val="-3"/>
                <w:sz w:val="16"/>
              </w:rPr>
              <w:t> </w:t>
            </w:r>
            <w:r>
              <w:rPr>
                <w:b/>
                <w:sz w:val="16"/>
              </w:rPr>
              <w:t>PPPS 1.22:</w:t>
            </w:r>
            <w:r>
              <w:rPr>
                <w:b/>
                <w:spacing w:val="36"/>
                <w:sz w:val="16"/>
              </w:rPr>
              <w:t> </w:t>
            </w:r>
            <w:r>
              <w:rPr>
                <w:b/>
                <w:sz w:val="16"/>
              </w:rPr>
              <w:t>Sistema</w:t>
            </w:r>
            <w:r>
              <w:rPr>
                <w:b/>
                <w:spacing w:val="-6"/>
                <w:sz w:val="16"/>
              </w:rPr>
              <w:t> </w:t>
            </w:r>
            <w:r>
              <w:rPr>
                <w:b/>
                <w:sz w:val="16"/>
              </w:rPr>
              <w:t>Nacional</w:t>
            </w:r>
            <w:r>
              <w:rPr>
                <w:b/>
                <w:spacing w:val="-1"/>
                <w:sz w:val="16"/>
              </w:rPr>
              <w:t> </w:t>
            </w:r>
            <w:r>
              <w:rPr>
                <w:b/>
                <w:sz w:val="16"/>
              </w:rPr>
              <w:t>de</w:t>
            </w:r>
            <w:r>
              <w:rPr>
                <w:b/>
                <w:spacing w:val="-2"/>
                <w:sz w:val="16"/>
              </w:rPr>
              <w:t> </w:t>
            </w:r>
            <w:r>
              <w:rPr>
                <w:b/>
                <w:sz w:val="16"/>
              </w:rPr>
              <w:t>Cuidados</w:t>
            </w:r>
            <w:r>
              <w:rPr>
                <w:b/>
                <w:spacing w:val="-2"/>
                <w:sz w:val="16"/>
              </w:rPr>
              <w:t> </w:t>
            </w:r>
            <w:r>
              <w:rPr>
                <w:b/>
                <w:sz w:val="16"/>
              </w:rPr>
              <w:t>articulando</w:t>
            </w:r>
            <w:r>
              <w:rPr>
                <w:b/>
                <w:spacing w:val="-1"/>
                <w:sz w:val="16"/>
              </w:rPr>
              <w:t> </w:t>
            </w:r>
            <w:r>
              <w:rPr>
                <w:b/>
                <w:sz w:val="16"/>
              </w:rPr>
              <w:t>y</w:t>
            </w:r>
            <w:r>
              <w:rPr>
                <w:b/>
                <w:spacing w:val="-6"/>
                <w:sz w:val="16"/>
              </w:rPr>
              <w:t> </w:t>
            </w:r>
            <w:r>
              <w:rPr>
                <w:b/>
                <w:sz w:val="16"/>
              </w:rPr>
              <w:t>gestionando</w:t>
            </w:r>
            <w:r>
              <w:rPr>
                <w:b/>
                <w:spacing w:val="-1"/>
                <w:sz w:val="16"/>
              </w:rPr>
              <w:t> </w:t>
            </w:r>
            <w:r>
              <w:rPr>
                <w:b/>
                <w:sz w:val="16"/>
              </w:rPr>
              <w:t>espacios</w:t>
            </w:r>
            <w:r>
              <w:rPr>
                <w:b/>
                <w:spacing w:val="-2"/>
                <w:sz w:val="16"/>
              </w:rPr>
              <w:t> </w:t>
            </w:r>
            <w:r>
              <w:rPr>
                <w:b/>
                <w:sz w:val="16"/>
              </w:rPr>
              <w:t>para</w:t>
            </w:r>
            <w:r>
              <w:rPr>
                <w:b/>
                <w:spacing w:val="-6"/>
                <w:sz w:val="16"/>
              </w:rPr>
              <w:t> </w:t>
            </w:r>
            <w:r>
              <w:rPr>
                <w:b/>
                <w:sz w:val="16"/>
              </w:rPr>
              <w:t>la</w:t>
            </w:r>
            <w:r>
              <w:rPr>
                <w:b/>
                <w:spacing w:val="-6"/>
                <w:sz w:val="16"/>
              </w:rPr>
              <w:t> </w:t>
            </w:r>
            <w:r>
              <w:rPr>
                <w:b/>
                <w:sz w:val="16"/>
              </w:rPr>
              <w:t>promoción</w:t>
            </w:r>
            <w:r>
              <w:rPr>
                <w:b/>
                <w:spacing w:val="-1"/>
                <w:sz w:val="16"/>
              </w:rPr>
              <w:t> </w:t>
            </w:r>
            <w:r>
              <w:rPr>
                <w:b/>
                <w:sz w:val="16"/>
              </w:rPr>
              <w:t>del</w:t>
            </w:r>
            <w:r>
              <w:rPr>
                <w:b/>
                <w:spacing w:val="-5"/>
                <w:sz w:val="16"/>
              </w:rPr>
              <w:t> </w:t>
            </w:r>
            <w:r>
              <w:rPr>
                <w:b/>
                <w:sz w:val="16"/>
              </w:rPr>
              <w:t>empleo</w:t>
            </w:r>
            <w:r>
              <w:rPr>
                <w:b/>
                <w:spacing w:val="-4"/>
                <w:sz w:val="16"/>
              </w:rPr>
              <w:t> </w:t>
            </w:r>
            <w:r>
              <w:rPr>
                <w:b/>
                <w:sz w:val="16"/>
              </w:rPr>
              <w:t>femenino.</w:t>
            </w:r>
            <w:r>
              <w:rPr>
                <w:b/>
                <w:spacing w:val="-5"/>
                <w:sz w:val="16"/>
              </w:rPr>
              <w:t> </w:t>
            </w:r>
            <w:r>
              <w:rPr>
                <w:b/>
                <w:sz w:val="16"/>
              </w:rPr>
              <w:t>E</w:t>
            </w:r>
            <w:r>
              <w:rPr>
                <w:b/>
                <w:spacing w:val="-30"/>
                <w:sz w:val="16"/>
              </w:rPr>
              <w:t> </w:t>
            </w:r>
            <w:r>
              <w:rPr>
                <w:b/>
                <w:sz w:val="16"/>
              </w:rPr>
              <w:t>2</w:t>
            </w:r>
            <w:r>
              <w:rPr>
                <w:b/>
                <w:spacing w:val="-6"/>
                <w:sz w:val="16"/>
              </w:rPr>
              <w:t> </w:t>
            </w:r>
            <w:r>
              <w:rPr>
                <w:b/>
                <w:sz w:val="16"/>
              </w:rPr>
              <w:t>AE6</w:t>
            </w:r>
            <w:r>
              <w:rPr>
                <w:b/>
                <w:spacing w:val="-6"/>
                <w:sz w:val="16"/>
              </w:rPr>
              <w:t> </w:t>
            </w:r>
            <w:r>
              <w:rPr>
                <w:b/>
                <w:spacing w:val="-5"/>
                <w:sz w:val="16"/>
              </w:rPr>
              <w:t>R4</w:t>
            </w:r>
          </w:p>
        </w:tc>
      </w:tr>
      <w:tr>
        <w:trPr>
          <w:trHeight w:val="1843" w:hRule="atLeast"/>
        </w:trPr>
        <w:tc>
          <w:tcPr>
            <w:tcW w:w="1695" w:type="dxa"/>
          </w:tcPr>
          <w:p>
            <w:pPr>
              <w:pStyle w:val="TableParagraph"/>
              <w:spacing w:before="1"/>
              <w:rPr>
                <w:b/>
                <w:sz w:val="16"/>
              </w:rPr>
            </w:pPr>
          </w:p>
          <w:p>
            <w:pPr>
              <w:pStyle w:val="TableParagraph"/>
              <w:ind w:left="72"/>
              <w:rPr>
                <w:b/>
                <w:sz w:val="16"/>
              </w:rPr>
            </w:pPr>
            <w:r>
              <w:rPr>
                <w:b/>
                <w:spacing w:val="-2"/>
                <w:sz w:val="16"/>
              </w:rPr>
              <w:t>Actividad</w:t>
            </w:r>
            <w:r>
              <w:rPr>
                <w:b/>
                <w:spacing w:val="-10"/>
                <w:sz w:val="16"/>
              </w:rPr>
              <w:t> </w:t>
            </w:r>
            <w:r>
              <w:rPr>
                <w:b/>
                <w:spacing w:val="-2"/>
                <w:sz w:val="16"/>
              </w:rPr>
              <w:t>PPPS 1.22.1:</w:t>
            </w:r>
          </w:p>
          <w:p>
            <w:pPr>
              <w:pStyle w:val="TableParagraph"/>
              <w:spacing w:before="2"/>
              <w:ind w:left="72" w:right="94"/>
              <w:rPr>
                <w:sz w:val="16"/>
              </w:rPr>
            </w:pPr>
            <w:r>
              <w:rPr>
                <w:sz w:val="16"/>
              </w:rPr>
              <w:t>Creación de mecanismos de referencia miento de mujeres en el marco del</w:t>
            </w:r>
            <w:r>
              <w:rPr>
                <w:spacing w:val="-12"/>
                <w:sz w:val="16"/>
              </w:rPr>
              <w:t> </w:t>
            </w:r>
            <w:r>
              <w:rPr>
                <w:sz w:val="16"/>
              </w:rPr>
              <w:t>SINCA</w:t>
            </w:r>
            <w:r>
              <w:rPr>
                <w:spacing w:val="-11"/>
                <w:sz w:val="16"/>
              </w:rPr>
              <w:t> </w:t>
            </w:r>
            <w:r>
              <w:rPr>
                <w:sz w:val="16"/>
              </w:rPr>
              <w:t>(vinculada a PEI 2.6.4).</w:t>
            </w:r>
          </w:p>
        </w:tc>
        <w:tc>
          <w:tcPr>
            <w:tcW w:w="1278" w:type="dxa"/>
          </w:tcPr>
          <w:p>
            <w:pPr>
              <w:pStyle w:val="TableParagraph"/>
              <w:spacing w:before="1"/>
              <w:rPr>
                <w:b/>
                <w:sz w:val="16"/>
              </w:rPr>
            </w:pPr>
          </w:p>
          <w:p>
            <w:pPr>
              <w:pStyle w:val="TableParagraph"/>
              <w:ind w:left="72" w:right="79"/>
              <w:rPr>
                <w:sz w:val="16"/>
              </w:rPr>
            </w:pPr>
            <w:r>
              <w:rPr>
                <w:sz w:val="16"/>
              </w:rPr>
              <w:t>Porcentaje de avance en la creación de </w:t>
            </w:r>
            <w:r>
              <w:rPr>
                <w:spacing w:val="-2"/>
                <w:sz w:val="16"/>
              </w:rPr>
              <w:t>mecanismos</w:t>
            </w:r>
            <w:r>
              <w:rPr>
                <w:spacing w:val="-10"/>
                <w:sz w:val="16"/>
              </w:rPr>
              <w:t> </w:t>
            </w:r>
            <w:r>
              <w:rPr>
                <w:spacing w:val="-2"/>
                <w:sz w:val="16"/>
              </w:rPr>
              <w:t>de referenciamient </w:t>
            </w:r>
            <w:r>
              <w:rPr>
                <w:sz w:val="16"/>
              </w:rPr>
              <w:t>o de mujeres</w:t>
            </w:r>
            <w:r>
              <w:rPr>
                <w:spacing w:val="40"/>
                <w:sz w:val="16"/>
              </w:rPr>
              <w:t> </w:t>
            </w:r>
            <w:r>
              <w:rPr>
                <w:sz w:val="16"/>
              </w:rPr>
              <w:t>en</w:t>
            </w:r>
            <w:r>
              <w:rPr>
                <w:spacing w:val="-7"/>
                <w:sz w:val="16"/>
              </w:rPr>
              <w:t> </w:t>
            </w:r>
            <w:r>
              <w:rPr>
                <w:sz w:val="16"/>
              </w:rPr>
              <w:t>el</w:t>
            </w:r>
            <w:r>
              <w:rPr>
                <w:spacing w:val="-6"/>
                <w:sz w:val="16"/>
              </w:rPr>
              <w:t> </w:t>
            </w:r>
            <w:r>
              <w:rPr>
                <w:sz w:val="16"/>
              </w:rPr>
              <w:t>marco</w:t>
            </w:r>
            <w:r>
              <w:rPr>
                <w:spacing w:val="-6"/>
                <w:sz w:val="16"/>
              </w:rPr>
              <w:t> </w:t>
            </w:r>
            <w:r>
              <w:rPr>
                <w:sz w:val="16"/>
              </w:rPr>
              <w:t>del </w:t>
            </w:r>
            <w:r>
              <w:rPr>
                <w:spacing w:val="-2"/>
                <w:sz w:val="16"/>
              </w:rPr>
              <w:t>SINCA.</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21" w:right="13"/>
              <w:jc w:val="center"/>
              <w:rPr>
                <w:sz w:val="16"/>
              </w:rPr>
            </w:pPr>
            <w:r>
              <w:rPr>
                <w:spacing w:val="-4"/>
                <w:sz w:val="16"/>
              </w:rPr>
              <w:t>100%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1843" w:hRule="atLeast"/>
        </w:trPr>
        <w:tc>
          <w:tcPr>
            <w:tcW w:w="1695" w:type="dxa"/>
          </w:tcPr>
          <w:p>
            <w:pPr>
              <w:pStyle w:val="TableParagraph"/>
              <w:spacing w:before="4"/>
              <w:ind w:left="72"/>
              <w:rPr>
                <w:b/>
                <w:sz w:val="16"/>
              </w:rPr>
            </w:pPr>
            <w:r>
              <w:rPr>
                <w:b/>
                <w:spacing w:val="-2"/>
                <w:sz w:val="16"/>
              </w:rPr>
              <w:t>Actividad</w:t>
            </w:r>
            <w:r>
              <w:rPr>
                <w:b/>
                <w:spacing w:val="-10"/>
                <w:sz w:val="16"/>
              </w:rPr>
              <w:t> </w:t>
            </w:r>
            <w:r>
              <w:rPr>
                <w:b/>
                <w:spacing w:val="-2"/>
                <w:sz w:val="16"/>
              </w:rPr>
              <w:t>PPPS 1.22.2:</w:t>
            </w:r>
          </w:p>
          <w:p>
            <w:pPr>
              <w:pStyle w:val="TableParagraph"/>
              <w:ind w:left="72" w:right="128"/>
              <w:rPr>
                <w:sz w:val="16"/>
              </w:rPr>
            </w:pPr>
            <w:r>
              <w:rPr>
                <w:sz w:val="16"/>
              </w:rPr>
              <w:t>Referenciamiento</w:t>
            </w:r>
            <w:r>
              <w:rPr>
                <w:spacing w:val="-12"/>
                <w:sz w:val="16"/>
              </w:rPr>
              <w:t> </w:t>
            </w:r>
            <w:r>
              <w:rPr>
                <w:sz w:val="16"/>
              </w:rPr>
              <w:t>de mujeres por medio del SINCA a espacios de promoción</w:t>
            </w:r>
            <w:r>
              <w:rPr>
                <w:spacing w:val="-2"/>
                <w:sz w:val="16"/>
              </w:rPr>
              <w:t> </w:t>
            </w:r>
            <w:r>
              <w:rPr>
                <w:sz w:val="16"/>
              </w:rPr>
              <w:t>del empleo femenino (vinculada a PEI</w:t>
            </w:r>
          </w:p>
          <w:p>
            <w:pPr>
              <w:pStyle w:val="TableParagraph"/>
              <w:spacing w:line="163" w:lineRule="exact"/>
              <w:ind w:left="72"/>
              <w:rPr>
                <w:sz w:val="16"/>
              </w:rPr>
            </w:pPr>
            <w:r>
              <w:rPr>
                <w:spacing w:val="-2"/>
                <w:sz w:val="16"/>
              </w:rPr>
              <w:t>2.6.4).</w:t>
            </w:r>
          </w:p>
        </w:tc>
        <w:tc>
          <w:tcPr>
            <w:tcW w:w="1278" w:type="dxa"/>
          </w:tcPr>
          <w:p>
            <w:pPr>
              <w:pStyle w:val="TableParagraph"/>
              <w:spacing w:before="4"/>
              <w:ind w:left="72" w:right="200"/>
              <w:rPr>
                <w:sz w:val="16"/>
              </w:rPr>
            </w:pPr>
            <w:r>
              <w:rPr>
                <w:sz w:val="16"/>
              </w:rPr>
              <w:t>Porcentaje</w:t>
            </w:r>
            <w:r>
              <w:rPr>
                <w:spacing w:val="-12"/>
                <w:sz w:val="16"/>
              </w:rPr>
              <w:t> </w:t>
            </w:r>
            <w:r>
              <w:rPr>
                <w:sz w:val="16"/>
              </w:rPr>
              <w:t>de mujeres que </w:t>
            </w:r>
            <w:r>
              <w:rPr>
                <w:spacing w:val="-4"/>
                <w:sz w:val="16"/>
              </w:rPr>
              <w:t>son </w:t>
            </w:r>
            <w:r>
              <w:rPr>
                <w:spacing w:val="-2"/>
                <w:sz w:val="16"/>
              </w:rPr>
              <w:t>referenciadas </w:t>
            </w:r>
            <w:r>
              <w:rPr>
                <w:sz w:val="16"/>
              </w:rPr>
              <w:t>por</w:t>
            </w:r>
            <w:r>
              <w:rPr>
                <w:spacing w:val="-11"/>
                <w:sz w:val="16"/>
              </w:rPr>
              <w:t> </w:t>
            </w:r>
            <w:r>
              <w:rPr>
                <w:sz w:val="16"/>
              </w:rPr>
              <w:t>medio</w:t>
            </w:r>
            <w:r>
              <w:rPr>
                <w:spacing w:val="-11"/>
                <w:sz w:val="16"/>
              </w:rPr>
              <w:t> </w:t>
            </w:r>
            <w:r>
              <w:rPr>
                <w:sz w:val="16"/>
              </w:rPr>
              <w:t>del SINCA a</w:t>
            </w:r>
          </w:p>
          <w:p>
            <w:pPr>
              <w:pStyle w:val="TableParagraph"/>
              <w:ind w:left="72"/>
              <w:rPr>
                <w:sz w:val="16"/>
              </w:rPr>
            </w:pPr>
            <w:r>
              <w:rPr>
                <w:sz w:val="16"/>
              </w:rPr>
              <w:t>espacios de </w:t>
            </w:r>
            <w:r>
              <w:rPr>
                <w:spacing w:val="-2"/>
                <w:sz w:val="16"/>
              </w:rPr>
              <w:t>promoción</w:t>
            </w:r>
            <w:r>
              <w:rPr>
                <w:spacing w:val="-10"/>
                <w:sz w:val="16"/>
              </w:rPr>
              <w:t> </w:t>
            </w:r>
            <w:r>
              <w:rPr>
                <w:spacing w:val="-2"/>
                <w:sz w:val="16"/>
              </w:rPr>
              <w:t>del empleo</w:t>
            </w:r>
          </w:p>
          <w:p>
            <w:pPr>
              <w:pStyle w:val="TableParagraph"/>
              <w:spacing w:line="163" w:lineRule="exact"/>
              <w:ind w:left="72"/>
              <w:rPr>
                <w:sz w:val="16"/>
              </w:rPr>
            </w:pPr>
            <w:r>
              <w:rPr>
                <w:spacing w:val="-2"/>
                <w:sz w:val="16"/>
              </w:rPr>
              <w:t>femenino.</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21" w:right="12"/>
              <w:jc w:val="center"/>
              <w:rPr>
                <w:sz w:val="16"/>
              </w:rPr>
            </w:pPr>
            <w:r>
              <w:rPr>
                <w:spacing w:val="-5"/>
                <w:sz w:val="16"/>
              </w:rPr>
              <w:t>10%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1"/>
              <w:jc w:val="center"/>
              <w:rPr>
                <w:sz w:val="16"/>
              </w:rPr>
            </w:pPr>
            <w:r>
              <w:rPr>
                <w:spacing w:val="-5"/>
                <w:sz w:val="16"/>
              </w:rPr>
              <w:t>20%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16" w:right="19"/>
              <w:jc w:val="center"/>
              <w:rPr>
                <w:sz w:val="16"/>
              </w:rPr>
            </w:pPr>
            <w:r>
              <w:rPr>
                <w:spacing w:val="-5"/>
                <w:sz w:val="16"/>
              </w:rPr>
              <w:t>30%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4" w:right="1"/>
              <w:jc w:val="center"/>
              <w:rPr>
                <w:sz w:val="16"/>
              </w:rPr>
            </w:pPr>
            <w:r>
              <w:rPr>
                <w:spacing w:val="-5"/>
                <w:sz w:val="16"/>
              </w:rPr>
              <w:t>50%</w:t>
            </w:r>
          </w:p>
        </w:tc>
        <w:tc>
          <w:tcPr>
            <w:tcW w:w="1494" w:type="dxa"/>
          </w:tcPr>
          <w:p>
            <w:pPr>
              <w:pStyle w:val="TableParagraph"/>
              <w:rPr>
                <w:rFonts w:ascii="Times New Roman"/>
                <w:sz w:val="16"/>
              </w:rPr>
            </w:pPr>
          </w:p>
        </w:tc>
      </w:tr>
      <w:tr>
        <w:trPr>
          <w:trHeight w:val="479" w:hRule="atLeast"/>
        </w:trPr>
        <w:tc>
          <w:tcPr>
            <w:tcW w:w="14323" w:type="dxa"/>
            <w:gridSpan w:val="10"/>
            <w:shd w:val="clear" w:color="auto" w:fill="EFF8F9"/>
          </w:tcPr>
          <w:p>
            <w:pPr>
              <w:pStyle w:val="TableParagraph"/>
              <w:ind w:left="72" w:right="95"/>
              <w:rPr>
                <w:b/>
                <w:sz w:val="16"/>
              </w:rPr>
            </w:pPr>
            <w:r>
              <w:rPr>
                <w:b/>
                <w:sz w:val="16"/>
              </w:rPr>
              <w:t>Producto</w:t>
            </w:r>
            <w:r>
              <w:rPr>
                <w:b/>
                <w:spacing w:val="-1"/>
                <w:sz w:val="16"/>
              </w:rPr>
              <w:t> </w:t>
            </w:r>
            <w:r>
              <w:rPr>
                <w:b/>
                <w:sz w:val="16"/>
              </w:rPr>
              <w:t>PPPS 1.23:</w:t>
            </w:r>
            <w:r>
              <w:rPr>
                <w:b/>
                <w:spacing w:val="-5"/>
                <w:sz w:val="16"/>
              </w:rPr>
              <w:t> </w:t>
            </w:r>
            <w:r>
              <w:rPr>
                <w:b/>
                <w:sz w:val="16"/>
              </w:rPr>
              <w:t>Sistema</w:t>
            </w:r>
            <w:r>
              <w:rPr>
                <w:b/>
                <w:spacing w:val="-6"/>
                <w:sz w:val="16"/>
              </w:rPr>
              <w:t> </w:t>
            </w:r>
            <w:r>
              <w:rPr>
                <w:b/>
                <w:sz w:val="16"/>
              </w:rPr>
              <w:t>de</w:t>
            </w:r>
            <w:r>
              <w:rPr>
                <w:b/>
                <w:spacing w:val="-2"/>
                <w:sz w:val="16"/>
              </w:rPr>
              <w:t> </w:t>
            </w:r>
            <w:r>
              <w:rPr>
                <w:b/>
                <w:sz w:val="16"/>
              </w:rPr>
              <w:t>georeferenciación</w:t>
            </w:r>
            <w:r>
              <w:rPr>
                <w:b/>
                <w:spacing w:val="-1"/>
                <w:sz w:val="16"/>
              </w:rPr>
              <w:t> </w:t>
            </w:r>
            <w:r>
              <w:rPr>
                <w:b/>
                <w:sz w:val="16"/>
              </w:rPr>
              <w:t>de</w:t>
            </w:r>
            <w:r>
              <w:rPr>
                <w:b/>
                <w:spacing w:val="-2"/>
                <w:sz w:val="16"/>
              </w:rPr>
              <w:t> </w:t>
            </w:r>
            <w:r>
              <w:rPr>
                <w:b/>
                <w:sz w:val="16"/>
              </w:rPr>
              <w:t>organizaciones</w:t>
            </w:r>
            <w:r>
              <w:rPr>
                <w:b/>
                <w:spacing w:val="-6"/>
                <w:sz w:val="16"/>
              </w:rPr>
              <w:t> </w:t>
            </w:r>
            <w:r>
              <w:rPr>
                <w:b/>
                <w:sz w:val="16"/>
              </w:rPr>
              <w:t>públicas</w:t>
            </w:r>
            <w:r>
              <w:rPr>
                <w:b/>
                <w:spacing w:val="-2"/>
                <w:sz w:val="16"/>
              </w:rPr>
              <w:t> </w:t>
            </w:r>
            <w:r>
              <w:rPr>
                <w:b/>
                <w:sz w:val="16"/>
              </w:rPr>
              <w:t>y</w:t>
            </w:r>
            <w:r>
              <w:rPr>
                <w:b/>
                <w:spacing w:val="-6"/>
                <w:sz w:val="16"/>
              </w:rPr>
              <w:t> </w:t>
            </w:r>
            <w:r>
              <w:rPr>
                <w:b/>
                <w:sz w:val="16"/>
              </w:rPr>
              <w:t>privadas</w:t>
            </w:r>
            <w:r>
              <w:rPr>
                <w:b/>
                <w:spacing w:val="-2"/>
                <w:sz w:val="16"/>
              </w:rPr>
              <w:t> </w:t>
            </w:r>
            <w:r>
              <w:rPr>
                <w:b/>
                <w:sz w:val="16"/>
              </w:rPr>
              <w:t>vinculadas</w:t>
            </w:r>
            <w:r>
              <w:rPr>
                <w:b/>
                <w:spacing w:val="-2"/>
                <w:sz w:val="16"/>
              </w:rPr>
              <w:t> </w:t>
            </w:r>
            <w:r>
              <w:rPr>
                <w:b/>
                <w:sz w:val="16"/>
              </w:rPr>
              <w:t>con</w:t>
            </w:r>
            <w:r>
              <w:rPr>
                <w:b/>
                <w:spacing w:val="-1"/>
                <w:sz w:val="16"/>
              </w:rPr>
              <w:t> </w:t>
            </w:r>
            <w:r>
              <w:rPr>
                <w:b/>
                <w:sz w:val="16"/>
              </w:rPr>
              <w:t>la</w:t>
            </w:r>
            <w:r>
              <w:rPr>
                <w:b/>
                <w:spacing w:val="-2"/>
                <w:sz w:val="16"/>
              </w:rPr>
              <w:t> </w:t>
            </w:r>
            <w:r>
              <w:rPr>
                <w:b/>
                <w:sz w:val="16"/>
              </w:rPr>
              <w:t>oferta</w:t>
            </w:r>
            <w:r>
              <w:rPr>
                <w:b/>
                <w:spacing w:val="-2"/>
                <w:sz w:val="16"/>
              </w:rPr>
              <w:t> </w:t>
            </w:r>
            <w:r>
              <w:rPr>
                <w:b/>
                <w:sz w:val="16"/>
              </w:rPr>
              <w:t>programática institucional</w:t>
            </w:r>
            <w:r>
              <w:rPr>
                <w:b/>
                <w:spacing w:val="-1"/>
                <w:sz w:val="16"/>
              </w:rPr>
              <w:t> </w:t>
            </w:r>
            <w:r>
              <w:rPr>
                <w:b/>
                <w:sz w:val="16"/>
              </w:rPr>
              <w:t>creado</w:t>
            </w:r>
            <w:r>
              <w:rPr>
                <w:b/>
                <w:spacing w:val="-5"/>
                <w:sz w:val="16"/>
              </w:rPr>
              <w:t> </w:t>
            </w:r>
            <w:r>
              <w:rPr>
                <w:b/>
                <w:sz w:val="16"/>
              </w:rPr>
              <w:t>e</w:t>
            </w:r>
            <w:r>
              <w:rPr>
                <w:b/>
                <w:spacing w:val="-2"/>
                <w:sz w:val="16"/>
              </w:rPr>
              <w:t> </w:t>
            </w:r>
            <w:r>
              <w:rPr>
                <w:b/>
                <w:sz w:val="16"/>
              </w:rPr>
              <w:t>implementado</w:t>
            </w:r>
            <w:r>
              <w:rPr>
                <w:b/>
                <w:spacing w:val="-5"/>
                <w:sz w:val="16"/>
              </w:rPr>
              <w:t> </w:t>
            </w:r>
            <w:r>
              <w:rPr>
                <w:b/>
                <w:sz w:val="16"/>
              </w:rPr>
              <w:t>para</w:t>
            </w:r>
            <w:r>
              <w:rPr>
                <w:b/>
                <w:spacing w:val="-2"/>
                <w:sz w:val="16"/>
              </w:rPr>
              <w:t> </w:t>
            </w:r>
            <w:r>
              <w:rPr>
                <w:b/>
                <w:sz w:val="16"/>
              </w:rPr>
              <w:t>determinar</w:t>
            </w:r>
            <w:r>
              <w:rPr>
                <w:b/>
                <w:spacing w:val="-4"/>
                <w:sz w:val="16"/>
              </w:rPr>
              <w:t> </w:t>
            </w:r>
            <w:r>
              <w:rPr>
                <w:b/>
                <w:sz w:val="16"/>
              </w:rPr>
              <w:t>la priorización de acciones de intervención institucional. E2 AE6 R5</w:t>
            </w:r>
          </w:p>
        </w:tc>
      </w:tr>
      <w:tr>
        <w:trPr>
          <w:trHeight w:val="2578" w:hRule="atLeast"/>
        </w:trPr>
        <w:tc>
          <w:tcPr>
            <w:tcW w:w="1695" w:type="dxa"/>
          </w:tcPr>
          <w:p>
            <w:pPr>
              <w:pStyle w:val="TableParagraph"/>
              <w:rPr>
                <w:b/>
                <w:sz w:val="16"/>
              </w:rPr>
            </w:pPr>
          </w:p>
          <w:p>
            <w:pPr>
              <w:pStyle w:val="TableParagraph"/>
              <w:spacing w:before="182"/>
              <w:rPr>
                <w:b/>
                <w:sz w:val="16"/>
              </w:rPr>
            </w:pPr>
          </w:p>
          <w:p>
            <w:pPr>
              <w:pStyle w:val="TableParagraph"/>
              <w:spacing w:before="1"/>
              <w:ind w:left="72"/>
              <w:rPr>
                <w:b/>
                <w:sz w:val="16"/>
              </w:rPr>
            </w:pPr>
            <w:r>
              <w:rPr>
                <w:b/>
                <w:spacing w:val="-2"/>
                <w:sz w:val="16"/>
              </w:rPr>
              <w:t>Actividad</w:t>
            </w:r>
            <w:r>
              <w:rPr>
                <w:b/>
                <w:spacing w:val="-10"/>
                <w:sz w:val="16"/>
              </w:rPr>
              <w:t> </w:t>
            </w:r>
            <w:r>
              <w:rPr>
                <w:b/>
                <w:spacing w:val="-2"/>
                <w:sz w:val="16"/>
              </w:rPr>
              <w:t>PPPS 1.23.1:</w:t>
            </w:r>
          </w:p>
          <w:p>
            <w:pPr>
              <w:pStyle w:val="TableParagraph"/>
              <w:spacing w:before="1"/>
              <w:ind w:left="72" w:right="68"/>
              <w:rPr>
                <w:sz w:val="16"/>
              </w:rPr>
            </w:pPr>
            <w:r>
              <w:rPr>
                <w:sz w:val="16"/>
              </w:rPr>
              <w:t>Vinculación de </w:t>
            </w:r>
            <w:r>
              <w:rPr>
                <w:spacing w:val="-2"/>
                <w:sz w:val="16"/>
              </w:rPr>
              <w:t>organizaciones </w:t>
            </w:r>
            <w:r>
              <w:rPr>
                <w:sz w:val="16"/>
              </w:rPr>
              <w:t>mediante el Sistema </w:t>
            </w:r>
            <w:r>
              <w:rPr>
                <w:spacing w:val="-2"/>
                <w:sz w:val="16"/>
              </w:rPr>
              <w:t>de</w:t>
            </w:r>
            <w:r>
              <w:rPr>
                <w:spacing w:val="-5"/>
                <w:sz w:val="16"/>
              </w:rPr>
              <w:t> </w:t>
            </w:r>
            <w:r>
              <w:rPr>
                <w:spacing w:val="-2"/>
                <w:sz w:val="16"/>
              </w:rPr>
              <w:t>georreferenciación </w:t>
            </w:r>
            <w:r>
              <w:rPr>
                <w:sz w:val="16"/>
              </w:rPr>
              <w:t>(vinculada a PEI </w:t>
            </w:r>
            <w:r>
              <w:rPr>
                <w:spacing w:val="-2"/>
                <w:sz w:val="16"/>
              </w:rPr>
              <w:t>2.6.5).</w:t>
            </w:r>
          </w:p>
        </w:tc>
        <w:tc>
          <w:tcPr>
            <w:tcW w:w="1278" w:type="dxa"/>
          </w:tcPr>
          <w:p>
            <w:pPr>
              <w:pStyle w:val="TableParagraph"/>
              <w:ind w:left="72" w:right="88"/>
              <w:rPr>
                <w:sz w:val="16"/>
              </w:rPr>
            </w:pPr>
            <w:r>
              <w:rPr>
                <w:sz w:val="16"/>
              </w:rPr>
              <w:t>Porcentaje de </w:t>
            </w:r>
            <w:r>
              <w:rPr>
                <w:spacing w:val="-2"/>
                <w:sz w:val="16"/>
              </w:rPr>
              <w:t>organizaciones </w:t>
            </w:r>
            <w:r>
              <w:rPr>
                <w:sz w:val="16"/>
              </w:rPr>
              <w:t>vinculadas a la </w:t>
            </w:r>
            <w:r>
              <w:rPr>
                <w:spacing w:val="-2"/>
                <w:sz w:val="16"/>
              </w:rPr>
              <w:t>ejecución </w:t>
            </w:r>
            <w:r>
              <w:rPr>
                <w:sz w:val="16"/>
              </w:rPr>
              <w:t>priorizada</w:t>
            </w:r>
            <w:r>
              <w:rPr>
                <w:spacing w:val="-12"/>
                <w:sz w:val="16"/>
              </w:rPr>
              <w:t> </w:t>
            </w:r>
            <w:r>
              <w:rPr>
                <w:sz w:val="16"/>
              </w:rPr>
              <w:t>de</w:t>
            </w:r>
            <w:r>
              <w:rPr>
                <w:spacing w:val="-11"/>
                <w:sz w:val="16"/>
              </w:rPr>
              <w:t> </w:t>
            </w:r>
            <w:r>
              <w:rPr>
                <w:sz w:val="16"/>
              </w:rPr>
              <w:t>la </w:t>
            </w:r>
            <w:r>
              <w:rPr>
                <w:spacing w:val="-2"/>
                <w:sz w:val="16"/>
              </w:rPr>
              <w:t>oferta programática institucional</w:t>
            </w:r>
            <w:r>
              <w:rPr>
                <w:spacing w:val="40"/>
                <w:sz w:val="16"/>
              </w:rPr>
              <w:t> </w:t>
            </w:r>
            <w:r>
              <w:rPr>
                <w:sz w:val="16"/>
              </w:rPr>
              <w:t>que</w:t>
            </w:r>
            <w:r>
              <w:rPr>
                <w:spacing w:val="-2"/>
                <w:sz w:val="16"/>
              </w:rPr>
              <w:t> </w:t>
            </w:r>
            <w:r>
              <w:rPr>
                <w:sz w:val="16"/>
              </w:rPr>
              <w:t>se </w:t>
            </w:r>
            <w:r>
              <w:rPr>
                <w:spacing w:val="-2"/>
                <w:sz w:val="16"/>
              </w:rPr>
              <w:t>encuentran </w:t>
            </w:r>
            <w:r>
              <w:rPr>
                <w:sz w:val="16"/>
              </w:rPr>
              <w:t>incluidas en el Sistema de </w:t>
            </w:r>
            <w:r>
              <w:rPr>
                <w:spacing w:val="-2"/>
                <w:sz w:val="16"/>
              </w:rPr>
              <w:t>georreferenciac</w:t>
            </w:r>
          </w:p>
          <w:p>
            <w:pPr>
              <w:pStyle w:val="TableParagraph"/>
              <w:spacing w:line="168" w:lineRule="exact"/>
              <w:ind w:left="72"/>
              <w:rPr>
                <w:sz w:val="16"/>
              </w:rPr>
            </w:pPr>
            <w:r>
              <w:rPr>
                <w:spacing w:val="-5"/>
                <w:sz w:val="16"/>
              </w:rPr>
              <w:t>ión</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spacing w:before="1"/>
              <w:ind w:left="4" w:right="1"/>
              <w:jc w:val="center"/>
              <w:rPr>
                <w:sz w:val="16"/>
              </w:rPr>
            </w:pPr>
            <w:r>
              <w:rPr>
                <w:spacing w:val="-5"/>
                <w:sz w:val="16"/>
              </w:rPr>
              <w:t>30%</w:t>
            </w:r>
          </w:p>
        </w:tc>
        <w:tc>
          <w:tcPr>
            <w:tcW w:w="1494" w:type="dxa"/>
          </w:tcPr>
          <w:p>
            <w:pPr>
              <w:pStyle w:val="TableParagraph"/>
              <w:rPr>
                <w:rFonts w:ascii="Times New Roman"/>
                <w:sz w:val="16"/>
              </w:rPr>
            </w:pPr>
          </w:p>
        </w:tc>
      </w:tr>
      <w:tr>
        <w:trPr>
          <w:trHeight w:val="465" w:hRule="atLeast"/>
        </w:trPr>
        <w:tc>
          <w:tcPr>
            <w:tcW w:w="14323" w:type="dxa"/>
            <w:gridSpan w:val="10"/>
            <w:shd w:val="clear" w:color="auto" w:fill="EFF8F9"/>
          </w:tcPr>
          <w:p>
            <w:pPr>
              <w:pStyle w:val="TableParagraph"/>
              <w:ind w:left="72" w:right="95"/>
              <w:rPr>
                <w:b/>
                <w:sz w:val="16"/>
              </w:rPr>
            </w:pPr>
            <w:r>
              <w:rPr>
                <w:b/>
                <w:sz w:val="16"/>
              </w:rPr>
              <w:t>Producto PPPS 1.24:</w:t>
            </w:r>
            <w:r>
              <w:rPr>
                <w:b/>
                <w:spacing w:val="-4"/>
                <w:sz w:val="16"/>
              </w:rPr>
              <w:t> </w:t>
            </w:r>
            <w:r>
              <w:rPr>
                <w:b/>
                <w:sz w:val="16"/>
              </w:rPr>
              <w:t>Mecanismo de</w:t>
            </w:r>
            <w:r>
              <w:rPr>
                <w:b/>
                <w:spacing w:val="-5"/>
                <w:sz w:val="16"/>
              </w:rPr>
              <w:t> </w:t>
            </w:r>
            <w:r>
              <w:rPr>
                <w:b/>
                <w:sz w:val="16"/>
              </w:rPr>
              <w:t>interconectividad entre</w:t>
            </w:r>
            <w:r>
              <w:rPr>
                <w:b/>
                <w:spacing w:val="-5"/>
                <w:sz w:val="16"/>
              </w:rPr>
              <w:t> </w:t>
            </w:r>
            <w:r>
              <w:rPr>
                <w:b/>
                <w:sz w:val="16"/>
              </w:rPr>
              <w:t>SINIRUBE</w:t>
            </w:r>
            <w:r>
              <w:rPr>
                <w:b/>
                <w:spacing w:val="-4"/>
                <w:sz w:val="16"/>
              </w:rPr>
              <w:t> </w:t>
            </w:r>
            <w:r>
              <w:rPr>
                <w:b/>
                <w:sz w:val="16"/>
              </w:rPr>
              <w:t>e</w:t>
            </w:r>
            <w:r>
              <w:rPr>
                <w:b/>
                <w:spacing w:val="-1"/>
                <w:sz w:val="16"/>
              </w:rPr>
              <w:t> </w:t>
            </w:r>
            <w:r>
              <w:rPr>
                <w:b/>
                <w:sz w:val="16"/>
              </w:rPr>
              <w:t>IMAS</w:t>
            </w:r>
            <w:r>
              <w:rPr>
                <w:b/>
                <w:spacing w:val="-4"/>
                <w:sz w:val="16"/>
              </w:rPr>
              <w:t> </w:t>
            </w:r>
            <w:r>
              <w:rPr>
                <w:b/>
                <w:sz w:val="16"/>
              </w:rPr>
              <w:t>diseñado e</w:t>
            </w:r>
            <w:r>
              <w:rPr>
                <w:b/>
                <w:spacing w:val="-1"/>
                <w:sz w:val="16"/>
              </w:rPr>
              <w:t> </w:t>
            </w:r>
            <w:r>
              <w:rPr>
                <w:b/>
                <w:sz w:val="16"/>
              </w:rPr>
              <w:t>implementado,</w:t>
            </w:r>
            <w:r>
              <w:rPr>
                <w:b/>
                <w:spacing w:val="-4"/>
                <w:sz w:val="16"/>
              </w:rPr>
              <w:t> </w:t>
            </w:r>
            <w:r>
              <w:rPr>
                <w:b/>
                <w:sz w:val="16"/>
              </w:rPr>
              <w:t>que</w:t>
            </w:r>
            <w:r>
              <w:rPr>
                <w:b/>
                <w:spacing w:val="-1"/>
                <w:sz w:val="16"/>
              </w:rPr>
              <w:t> </w:t>
            </w:r>
            <w:r>
              <w:rPr>
                <w:b/>
                <w:sz w:val="16"/>
              </w:rPr>
              <w:t>permita</w:t>
            </w:r>
            <w:r>
              <w:rPr>
                <w:b/>
                <w:spacing w:val="-1"/>
                <w:sz w:val="16"/>
              </w:rPr>
              <w:t> </w:t>
            </w:r>
            <w:r>
              <w:rPr>
                <w:b/>
                <w:sz w:val="16"/>
              </w:rPr>
              <w:t>el acceso efectivo a</w:t>
            </w:r>
            <w:r>
              <w:rPr>
                <w:b/>
                <w:spacing w:val="-5"/>
                <w:sz w:val="16"/>
              </w:rPr>
              <w:t> </w:t>
            </w:r>
            <w:r>
              <w:rPr>
                <w:b/>
                <w:sz w:val="16"/>
              </w:rPr>
              <w:t>información actualizada</w:t>
            </w:r>
            <w:r>
              <w:rPr>
                <w:b/>
                <w:spacing w:val="-5"/>
                <w:sz w:val="16"/>
              </w:rPr>
              <w:t> </w:t>
            </w:r>
            <w:r>
              <w:rPr>
                <w:b/>
                <w:sz w:val="16"/>
              </w:rPr>
              <w:t>requerida</w:t>
            </w:r>
            <w:r>
              <w:rPr>
                <w:b/>
                <w:spacing w:val="-5"/>
                <w:sz w:val="16"/>
              </w:rPr>
              <w:t> </w:t>
            </w:r>
            <w:r>
              <w:rPr>
                <w:b/>
                <w:sz w:val="16"/>
              </w:rPr>
              <w:t>para</w:t>
            </w:r>
            <w:r>
              <w:rPr>
                <w:b/>
                <w:spacing w:val="-1"/>
                <w:sz w:val="16"/>
              </w:rPr>
              <w:t> </w:t>
            </w:r>
            <w:r>
              <w:rPr>
                <w:b/>
                <w:sz w:val="16"/>
              </w:rPr>
              <w:t>la intervención social inteligente a nivel institucional. E2 AE7 R2</w:t>
            </w:r>
          </w:p>
        </w:tc>
      </w:tr>
    </w:tbl>
    <w:p>
      <w:pPr>
        <w:pStyle w:val="TableParagraph"/>
        <w:spacing w:after="0"/>
        <w:rPr>
          <w:b/>
          <w:sz w:val="16"/>
        </w:rPr>
        <w:sectPr>
          <w:type w:val="continuous"/>
          <w:pgSz w:w="15840" w:h="12240" w:orient="landscape"/>
          <w:pgMar w:header="0" w:footer="1806" w:top="700" w:bottom="232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209"/>
        <w:gridCol w:w="1278"/>
        <w:gridCol w:w="1278"/>
        <w:gridCol w:w="1561"/>
        <w:gridCol w:w="1134"/>
        <w:gridCol w:w="1561"/>
        <w:gridCol w:w="1277"/>
        <w:gridCol w:w="1700"/>
        <w:gridCol w:w="1345"/>
        <w:gridCol w:w="1494"/>
      </w:tblGrid>
      <w:tr>
        <w:trPr>
          <w:trHeight w:val="316" w:hRule="atLeast"/>
        </w:trPr>
        <w:tc>
          <w:tcPr>
            <w:tcW w:w="1695" w:type="dxa"/>
            <w:gridSpan w:val="2"/>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gridSpan w:val="2"/>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1291" w:hRule="atLeast"/>
        </w:trPr>
        <w:tc>
          <w:tcPr>
            <w:tcW w:w="1695" w:type="dxa"/>
            <w:gridSpan w:val="2"/>
          </w:tcPr>
          <w:p>
            <w:pPr>
              <w:pStyle w:val="TableParagraph"/>
              <w:spacing w:line="244" w:lineRule="auto"/>
              <w:ind w:left="72"/>
              <w:rPr>
                <w:b/>
                <w:sz w:val="16"/>
              </w:rPr>
            </w:pPr>
            <w:r>
              <w:rPr>
                <w:b/>
                <w:spacing w:val="-2"/>
                <w:sz w:val="16"/>
              </w:rPr>
              <w:t>Actividad</w:t>
            </w:r>
            <w:r>
              <w:rPr>
                <w:b/>
                <w:spacing w:val="-10"/>
                <w:sz w:val="16"/>
              </w:rPr>
              <w:t> </w:t>
            </w:r>
            <w:r>
              <w:rPr>
                <w:b/>
                <w:spacing w:val="-2"/>
                <w:sz w:val="16"/>
              </w:rPr>
              <w:t>PPPS 1.24.1:</w:t>
            </w:r>
          </w:p>
          <w:p>
            <w:pPr>
              <w:pStyle w:val="TableParagraph"/>
              <w:ind w:left="72" w:right="131"/>
              <w:rPr>
                <w:sz w:val="16"/>
              </w:rPr>
            </w:pPr>
            <w:r>
              <w:rPr>
                <w:sz w:val="16"/>
              </w:rPr>
              <w:t>Interconexión de información entre el IMAS</w:t>
            </w:r>
            <w:r>
              <w:rPr>
                <w:spacing w:val="-3"/>
                <w:sz w:val="16"/>
              </w:rPr>
              <w:t> </w:t>
            </w:r>
            <w:r>
              <w:rPr>
                <w:sz w:val="16"/>
              </w:rPr>
              <w:t>y el</w:t>
            </w:r>
            <w:r>
              <w:rPr>
                <w:spacing w:val="-4"/>
                <w:sz w:val="16"/>
              </w:rPr>
              <w:t> </w:t>
            </w:r>
            <w:r>
              <w:rPr>
                <w:spacing w:val="-2"/>
                <w:sz w:val="16"/>
              </w:rPr>
              <w:t>SINIRUBE</w:t>
            </w:r>
          </w:p>
          <w:p>
            <w:pPr>
              <w:pStyle w:val="TableParagraph"/>
              <w:spacing w:line="182" w:lineRule="exact"/>
              <w:ind w:left="72" w:right="103"/>
              <w:rPr>
                <w:sz w:val="16"/>
              </w:rPr>
            </w:pPr>
            <w:r>
              <w:rPr>
                <w:sz w:val="16"/>
              </w:rPr>
              <w:t>(vinculada</w:t>
            </w:r>
            <w:r>
              <w:rPr>
                <w:spacing w:val="-12"/>
                <w:sz w:val="16"/>
              </w:rPr>
              <w:t> </w:t>
            </w:r>
            <w:r>
              <w:rPr>
                <w:sz w:val="16"/>
              </w:rPr>
              <w:t>a</w:t>
            </w:r>
            <w:r>
              <w:rPr>
                <w:spacing w:val="-11"/>
                <w:sz w:val="16"/>
              </w:rPr>
              <w:t> </w:t>
            </w:r>
            <w:r>
              <w:rPr>
                <w:sz w:val="16"/>
              </w:rPr>
              <w:t>PEI </w:t>
            </w:r>
            <w:r>
              <w:rPr>
                <w:spacing w:val="-2"/>
                <w:sz w:val="16"/>
              </w:rPr>
              <w:t>2.7.2).</w:t>
            </w:r>
          </w:p>
        </w:tc>
        <w:tc>
          <w:tcPr>
            <w:tcW w:w="1278" w:type="dxa"/>
          </w:tcPr>
          <w:p>
            <w:pPr>
              <w:pStyle w:val="TableParagraph"/>
              <w:spacing w:before="2"/>
              <w:rPr>
                <w:b/>
                <w:sz w:val="16"/>
              </w:rPr>
            </w:pPr>
          </w:p>
          <w:p>
            <w:pPr>
              <w:pStyle w:val="TableParagraph"/>
              <w:ind w:left="72" w:right="103"/>
              <w:rPr>
                <w:sz w:val="16"/>
              </w:rPr>
            </w:pPr>
            <w:r>
              <w:rPr>
                <w:sz w:val="16"/>
              </w:rPr>
              <w:t>Porcentaje de </w:t>
            </w:r>
            <w:r>
              <w:rPr>
                <w:spacing w:val="-2"/>
                <w:sz w:val="16"/>
              </w:rPr>
              <w:t>información interconectada </w:t>
            </w:r>
            <w:r>
              <w:rPr>
                <w:sz w:val="16"/>
              </w:rPr>
              <w:t>entre</w:t>
            </w:r>
            <w:r>
              <w:rPr>
                <w:spacing w:val="-12"/>
                <w:sz w:val="16"/>
              </w:rPr>
              <w:t> </w:t>
            </w:r>
            <w:r>
              <w:rPr>
                <w:sz w:val="16"/>
              </w:rPr>
              <w:t>el</w:t>
            </w:r>
            <w:r>
              <w:rPr>
                <w:spacing w:val="-11"/>
                <w:sz w:val="16"/>
              </w:rPr>
              <w:t> </w:t>
            </w:r>
            <w:r>
              <w:rPr>
                <w:sz w:val="16"/>
              </w:rPr>
              <w:t>IMAS</w:t>
            </w:r>
            <w:r>
              <w:rPr>
                <w:spacing w:val="-11"/>
                <w:sz w:val="16"/>
              </w:rPr>
              <w:t> </w:t>
            </w:r>
            <w:r>
              <w:rPr>
                <w:sz w:val="16"/>
              </w:rPr>
              <w:t>y el</w:t>
            </w:r>
            <w:r>
              <w:rPr>
                <w:spacing w:val="-2"/>
                <w:sz w:val="16"/>
              </w:rPr>
              <w:t> </w:t>
            </w:r>
            <w:r>
              <w:rPr>
                <w:sz w:val="16"/>
              </w:rPr>
              <w:t>SINIRUBE.</w:t>
            </w:r>
          </w:p>
        </w:tc>
        <w:tc>
          <w:tcPr>
            <w:tcW w:w="1278" w:type="dxa"/>
          </w:tcPr>
          <w:p>
            <w:pPr>
              <w:pStyle w:val="TableParagraph"/>
              <w:rPr>
                <w:b/>
                <w:sz w:val="16"/>
              </w:rPr>
            </w:pPr>
          </w:p>
          <w:p>
            <w:pPr>
              <w:pStyle w:val="TableParagraph"/>
              <w:spacing w:before="183"/>
              <w:rPr>
                <w:b/>
                <w:sz w:val="16"/>
              </w:rPr>
            </w:pPr>
          </w:p>
          <w:p>
            <w:pPr>
              <w:pStyle w:val="TableParagraph"/>
              <w:ind w:left="21" w:right="12"/>
              <w:jc w:val="center"/>
              <w:rPr>
                <w:sz w:val="16"/>
              </w:rPr>
            </w:pPr>
            <w:r>
              <w:rPr>
                <w:spacing w:val="-5"/>
                <w:sz w:val="16"/>
              </w:rPr>
              <w:t>50%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spacing w:before="183"/>
              <w:rPr>
                <w:b/>
                <w:sz w:val="16"/>
              </w:rPr>
            </w:pPr>
          </w:p>
          <w:p>
            <w:pPr>
              <w:pStyle w:val="TableParagraph"/>
              <w:ind w:right="1"/>
              <w:jc w:val="center"/>
              <w:rPr>
                <w:sz w:val="16"/>
              </w:rPr>
            </w:pPr>
            <w:r>
              <w:rPr>
                <w:spacing w:val="-5"/>
                <w:sz w:val="16"/>
              </w:rPr>
              <w:t>50%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spacing w:before="183"/>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spacing w:before="183"/>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451" w:hRule="atLeast"/>
        </w:trPr>
        <w:tc>
          <w:tcPr>
            <w:tcW w:w="14323" w:type="dxa"/>
            <w:gridSpan w:val="11"/>
            <w:shd w:val="clear" w:color="auto" w:fill="EFF8F9"/>
          </w:tcPr>
          <w:p>
            <w:pPr>
              <w:pStyle w:val="TableParagraph"/>
              <w:ind w:left="72" w:right="95"/>
              <w:rPr>
                <w:b/>
                <w:sz w:val="16"/>
              </w:rPr>
            </w:pPr>
            <w:r>
              <w:rPr>
                <w:b/>
                <w:sz w:val="16"/>
              </w:rPr>
              <w:t>Producto</w:t>
            </w:r>
            <w:r>
              <w:rPr>
                <w:b/>
                <w:spacing w:val="-1"/>
                <w:sz w:val="16"/>
              </w:rPr>
              <w:t> </w:t>
            </w:r>
            <w:r>
              <w:rPr>
                <w:b/>
                <w:sz w:val="16"/>
              </w:rPr>
              <w:t>PPPS 1.25:</w:t>
            </w:r>
            <w:r>
              <w:rPr>
                <w:b/>
                <w:spacing w:val="-4"/>
                <w:sz w:val="16"/>
              </w:rPr>
              <w:t> </w:t>
            </w:r>
            <w:r>
              <w:rPr>
                <w:b/>
                <w:sz w:val="16"/>
              </w:rPr>
              <w:t>Perfiles</w:t>
            </w:r>
            <w:r>
              <w:rPr>
                <w:b/>
                <w:spacing w:val="-2"/>
                <w:sz w:val="16"/>
              </w:rPr>
              <w:t> </w:t>
            </w:r>
            <w:r>
              <w:rPr>
                <w:b/>
                <w:sz w:val="16"/>
              </w:rPr>
              <w:t>de</w:t>
            </w:r>
            <w:r>
              <w:rPr>
                <w:b/>
                <w:spacing w:val="-5"/>
                <w:sz w:val="16"/>
              </w:rPr>
              <w:t> </w:t>
            </w:r>
            <w:r>
              <w:rPr>
                <w:b/>
                <w:sz w:val="16"/>
              </w:rPr>
              <w:t>entrada</w:t>
            </w:r>
            <w:r>
              <w:rPr>
                <w:b/>
                <w:spacing w:val="-2"/>
                <w:sz w:val="16"/>
              </w:rPr>
              <w:t> </w:t>
            </w:r>
            <w:r>
              <w:rPr>
                <w:b/>
                <w:sz w:val="16"/>
              </w:rPr>
              <w:t>y</w:t>
            </w:r>
            <w:r>
              <w:rPr>
                <w:b/>
                <w:spacing w:val="-2"/>
                <w:sz w:val="16"/>
              </w:rPr>
              <w:t> </w:t>
            </w:r>
            <w:r>
              <w:rPr>
                <w:b/>
                <w:sz w:val="16"/>
              </w:rPr>
              <w:t>salida</w:t>
            </w:r>
            <w:r>
              <w:rPr>
                <w:b/>
                <w:spacing w:val="-5"/>
                <w:sz w:val="16"/>
              </w:rPr>
              <w:t> </w:t>
            </w:r>
            <w:r>
              <w:rPr>
                <w:b/>
                <w:sz w:val="16"/>
              </w:rPr>
              <w:t>de</w:t>
            </w:r>
            <w:r>
              <w:rPr>
                <w:b/>
                <w:spacing w:val="-5"/>
                <w:sz w:val="16"/>
              </w:rPr>
              <w:t> </w:t>
            </w:r>
            <w:r>
              <w:rPr>
                <w:b/>
                <w:sz w:val="16"/>
              </w:rPr>
              <w:t>la</w:t>
            </w:r>
            <w:r>
              <w:rPr>
                <w:b/>
                <w:spacing w:val="-2"/>
                <w:sz w:val="16"/>
              </w:rPr>
              <w:t> </w:t>
            </w:r>
            <w:r>
              <w:rPr>
                <w:b/>
                <w:sz w:val="16"/>
              </w:rPr>
              <w:t>población</w:t>
            </w:r>
            <w:r>
              <w:rPr>
                <w:b/>
                <w:spacing w:val="-1"/>
                <w:sz w:val="16"/>
              </w:rPr>
              <w:t> </w:t>
            </w:r>
            <w:r>
              <w:rPr>
                <w:b/>
                <w:sz w:val="16"/>
              </w:rPr>
              <w:t>objetivo</w:t>
            </w:r>
            <w:r>
              <w:rPr>
                <w:b/>
                <w:spacing w:val="-1"/>
                <w:sz w:val="16"/>
              </w:rPr>
              <w:t> </w:t>
            </w:r>
            <w:r>
              <w:rPr>
                <w:b/>
                <w:sz w:val="16"/>
              </w:rPr>
              <w:t>diseñados</w:t>
            </w:r>
            <w:r>
              <w:rPr>
                <w:b/>
                <w:spacing w:val="-2"/>
                <w:sz w:val="16"/>
              </w:rPr>
              <w:t> </w:t>
            </w:r>
            <w:r>
              <w:rPr>
                <w:b/>
                <w:sz w:val="16"/>
              </w:rPr>
              <w:t>e</w:t>
            </w:r>
            <w:r>
              <w:rPr>
                <w:b/>
                <w:spacing w:val="-5"/>
                <w:sz w:val="16"/>
              </w:rPr>
              <w:t> </w:t>
            </w:r>
            <w:r>
              <w:rPr>
                <w:b/>
                <w:sz w:val="16"/>
              </w:rPr>
              <w:t>implementados</w:t>
            </w:r>
            <w:r>
              <w:rPr>
                <w:b/>
                <w:spacing w:val="-5"/>
                <w:sz w:val="16"/>
              </w:rPr>
              <w:t> </w:t>
            </w:r>
            <w:r>
              <w:rPr>
                <w:b/>
                <w:sz w:val="16"/>
              </w:rPr>
              <w:t>en</w:t>
            </w:r>
            <w:r>
              <w:rPr>
                <w:b/>
                <w:spacing w:val="-1"/>
                <w:sz w:val="16"/>
              </w:rPr>
              <w:t> </w:t>
            </w:r>
            <w:r>
              <w:rPr>
                <w:b/>
                <w:sz w:val="16"/>
              </w:rPr>
              <w:t>el</w:t>
            </w:r>
            <w:r>
              <w:rPr>
                <w:b/>
                <w:spacing w:val="-1"/>
                <w:sz w:val="16"/>
              </w:rPr>
              <w:t> </w:t>
            </w:r>
            <w:r>
              <w:rPr>
                <w:b/>
                <w:sz w:val="16"/>
              </w:rPr>
              <w:t>marco</w:t>
            </w:r>
            <w:r>
              <w:rPr>
                <w:b/>
                <w:spacing w:val="-1"/>
                <w:sz w:val="16"/>
              </w:rPr>
              <w:t> </w:t>
            </w:r>
            <w:r>
              <w:rPr>
                <w:b/>
                <w:sz w:val="16"/>
              </w:rPr>
              <w:t>del</w:t>
            </w:r>
            <w:r>
              <w:rPr>
                <w:b/>
                <w:spacing w:val="-4"/>
                <w:sz w:val="16"/>
              </w:rPr>
              <w:t> </w:t>
            </w:r>
            <w:r>
              <w:rPr>
                <w:b/>
                <w:sz w:val="16"/>
              </w:rPr>
              <w:t>Modelo</w:t>
            </w:r>
            <w:r>
              <w:rPr>
                <w:b/>
                <w:spacing w:val="-1"/>
                <w:sz w:val="16"/>
              </w:rPr>
              <w:t> </w:t>
            </w:r>
            <w:r>
              <w:rPr>
                <w:b/>
                <w:sz w:val="16"/>
              </w:rPr>
              <w:t>de Intervención</w:t>
            </w:r>
            <w:r>
              <w:rPr>
                <w:b/>
                <w:spacing w:val="-1"/>
                <w:sz w:val="16"/>
              </w:rPr>
              <w:t> </w:t>
            </w:r>
            <w:r>
              <w:rPr>
                <w:b/>
                <w:sz w:val="16"/>
              </w:rPr>
              <w:t>Institucional,</w:t>
            </w:r>
            <w:r>
              <w:rPr>
                <w:b/>
                <w:spacing w:val="-1"/>
                <w:sz w:val="16"/>
              </w:rPr>
              <w:t> </w:t>
            </w:r>
            <w:r>
              <w:rPr>
                <w:b/>
                <w:sz w:val="16"/>
              </w:rPr>
              <w:t>que</w:t>
            </w:r>
            <w:r>
              <w:rPr>
                <w:b/>
                <w:spacing w:val="-5"/>
                <w:sz w:val="16"/>
              </w:rPr>
              <w:t> </w:t>
            </w:r>
            <w:r>
              <w:rPr>
                <w:b/>
                <w:sz w:val="16"/>
              </w:rPr>
              <w:t>permitan</w:t>
            </w:r>
            <w:r>
              <w:rPr>
                <w:b/>
                <w:spacing w:val="-4"/>
                <w:sz w:val="16"/>
              </w:rPr>
              <w:t> </w:t>
            </w:r>
            <w:r>
              <w:rPr>
                <w:b/>
                <w:sz w:val="16"/>
              </w:rPr>
              <w:t>la</w:t>
            </w:r>
            <w:r>
              <w:rPr>
                <w:b/>
                <w:spacing w:val="-5"/>
                <w:sz w:val="16"/>
              </w:rPr>
              <w:t> </w:t>
            </w:r>
            <w:r>
              <w:rPr>
                <w:b/>
                <w:sz w:val="16"/>
              </w:rPr>
              <w:t>priorización para la atención e intervención de los hogares. E2 AE8 R1</w:t>
            </w:r>
          </w:p>
        </w:tc>
      </w:tr>
      <w:tr>
        <w:trPr>
          <w:trHeight w:val="1469" w:hRule="atLeast"/>
        </w:trPr>
        <w:tc>
          <w:tcPr>
            <w:tcW w:w="1695" w:type="dxa"/>
            <w:gridSpan w:val="2"/>
          </w:tcPr>
          <w:p>
            <w:pPr>
              <w:pStyle w:val="TableParagraph"/>
              <w:ind w:left="72"/>
              <w:rPr>
                <w:b/>
                <w:sz w:val="16"/>
              </w:rPr>
            </w:pPr>
            <w:r>
              <w:rPr>
                <w:b/>
                <w:spacing w:val="-2"/>
                <w:sz w:val="16"/>
              </w:rPr>
              <w:t>Actividad</w:t>
            </w:r>
            <w:r>
              <w:rPr>
                <w:b/>
                <w:spacing w:val="-10"/>
                <w:sz w:val="16"/>
              </w:rPr>
              <w:t> </w:t>
            </w:r>
            <w:r>
              <w:rPr>
                <w:b/>
                <w:spacing w:val="-2"/>
                <w:sz w:val="16"/>
              </w:rPr>
              <w:t>PPPS 1.25.1:</w:t>
            </w:r>
          </w:p>
          <w:p>
            <w:pPr>
              <w:pStyle w:val="TableParagraph"/>
              <w:ind w:left="72" w:right="253"/>
              <w:rPr>
                <w:sz w:val="16"/>
              </w:rPr>
            </w:pPr>
            <w:r>
              <w:rPr>
                <w:sz w:val="16"/>
              </w:rPr>
              <w:t>Implementación</w:t>
            </w:r>
            <w:r>
              <w:rPr>
                <w:spacing w:val="-12"/>
                <w:sz w:val="16"/>
              </w:rPr>
              <w:t> </w:t>
            </w:r>
            <w:r>
              <w:rPr>
                <w:sz w:val="16"/>
              </w:rPr>
              <w:t>de los perfiles de entrada y salida (vinculada a PEI</w:t>
            </w:r>
          </w:p>
          <w:p>
            <w:pPr>
              <w:pStyle w:val="TableParagraph"/>
              <w:spacing w:line="183" w:lineRule="exact"/>
              <w:ind w:left="72"/>
              <w:rPr>
                <w:sz w:val="16"/>
              </w:rPr>
            </w:pPr>
            <w:r>
              <w:rPr>
                <w:sz w:val="16"/>
              </w:rPr>
              <w:t>2.8.1</w:t>
            </w:r>
            <w:r>
              <w:rPr>
                <w:spacing w:val="-5"/>
                <w:sz w:val="16"/>
              </w:rPr>
              <w:t> </w:t>
            </w:r>
            <w:r>
              <w:rPr>
                <w:sz w:val="16"/>
              </w:rPr>
              <w:t>/</w:t>
            </w:r>
            <w:r>
              <w:rPr>
                <w:spacing w:val="-4"/>
                <w:sz w:val="16"/>
              </w:rPr>
              <w:t> </w:t>
            </w:r>
            <w:r>
              <w:rPr>
                <w:spacing w:val="-2"/>
                <w:sz w:val="16"/>
              </w:rPr>
              <w:t>Estrategia</w:t>
            </w:r>
          </w:p>
          <w:p>
            <w:pPr>
              <w:pStyle w:val="TableParagraph"/>
              <w:spacing w:line="163" w:lineRule="exact"/>
              <w:ind w:left="72"/>
              <w:rPr>
                <w:sz w:val="16"/>
              </w:rPr>
            </w:pPr>
            <w:r>
              <w:rPr>
                <w:sz w:val="16"/>
              </w:rPr>
              <w:t>GpRD</w:t>
            </w:r>
            <w:r>
              <w:rPr>
                <w:spacing w:val="-7"/>
                <w:sz w:val="16"/>
              </w:rPr>
              <w:t> </w:t>
            </w:r>
            <w:r>
              <w:rPr>
                <w:spacing w:val="-2"/>
                <w:sz w:val="16"/>
              </w:rPr>
              <w:t>2.1.2).</w:t>
            </w:r>
          </w:p>
        </w:tc>
        <w:tc>
          <w:tcPr>
            <w:tcW w:w="1278" w:type="dxa"/>
          </w:tcPr>
          <w:p>
            <w:pPr>
              <w:pStyle w:val="TableParagraph"/>
              <w:spacing w:before="181"/>
              <w:ind w:left="72" w:right="80"/>
              <w:rPr>
                <w:sz w:val="16"/>
              </w:rPr>
            </w:pPr>
            <w:r>
              <w:rPr>
                <w:sz w:val="16"/>
              </w:rPr>
              <w:t>Porcentaje de avance en la </w:t>
            </w:r>
            <w:r>
              <w:rPr>
                <w:spacing w:val="-2"/>
                <w:sz w:val="16"/>
              </w:rPr>
              <w:t>implementación </w:t>
            </w:r>
            <w:r>
              <w:rPr>
                <w:sz w:val="16"/>
              </w:rPr>
              <w:t>de perfiles de entrada</w:t>
            </w:r>
            <w:r>
              <w:rPr>
                <w:spacing w:val="-2"/>
                <w:sz w:val="16"/>
              </w:rPr>
              <w:t> </w:t>
            </w:r>
            <w:r>
              <w:rPr>
                <w:sz w:val="16"/>
              </w:rPr>
              <w:t>y </w:t>
            </w:r>
            <w:r>
              <w:rPr>
                <w:spacing w:val="-2"/>
                <w:sz w:val="16"/>
              </w:rPr>
              <w:t>salida.</w:t>
            </w:r>
          </w:p>
        </w:tc>
        <w:tc>
          <w:tcPr>
            <w:tcW w:w="1278"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21" w:right="12"/>
              <w:jc w:val="center"/>
              <w:rPr>
                <w:sz w:val="16"/>
              </w:rPr>
            </w:pPr>
            <w:r>
              <w:rPr>
                <w:spacing w:val="-5"/>
                <w:sz w:val="16"/>
              </w:rPr>
              <w:t>50%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spacing w:before="90"/>
              <w:rPr>
                <w:b/>
                <w:sz w:val="16"/>
              </w:rPr>
            </w:pPr>
          </w:p>
          <w:p>
            <w:pPr>
              <w:pStyle w:val="TableParagraph"/>
              <w:ind w:right="1"/>
              <w:jc w:val="center"/>
              <w:rPr>
                <w:sz w:val="16"/>
              </w:rPr>
            </w:pPr>
            <w:r>
              <w:rPr>
                <w:spacing w:val="-5"/>
                <w:sz w:val="16"/>
              </w:rPr>
              <w:t>75%</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513" w:hRule="atLeast"/>
        </w:trPr>
        <w:tc>
          <w:tcPr>
            <w:tcW w:w="14323" w:type="dxa"/>
            <w:gridSpan w:val="11"/>
            <w:shd w:val="clear" w:color="auto" w:fill="EFF8F9"/>
          </w:tcPr>
          <w:p>
            <w:pPr>
              <w:pStyle w:val="TableParagraph"/>
              <w:spacing w:before="161"/>
              <w:ind w:left="72"/>
              <w:rPr>
                <w:b/>
                <w:sz w:val="16"/>
              </w:rPr>
            </w:pPr>
            <w:r>
              <w:rPr>
                <w:b/>
                <w:sz w:val="16"/>
              </w:rPr>
              <w:t>Producto</w:t>
            </w:r>
            <w:r>
              <w:rPr>
                <w:b/>
                <w:spacing w:val="-2"/>
                <w:sz w:val="16"/>
              </w:rPr>
              <w:t> </w:t>
            </w:r>
            <w:r>
              <w:rPr>
                <w:b/>
                <w:sz w:val="16"/>
              </w:rPr>
              <w:t>PPPS</w:t>
            </w:r>
            <w:r>
              <w:rPr>
                <w:b/>
                <w:spacing w:val="-1"/>
                <w:sz w:val="16"/>
              </w:rPr>
              <w:t> </w:t>
            </w:r>
            <w:r>
              <w:rPr>
                <w:b/>
                <w:sz w:val="16"/>
              </w:rPr>
              <w:t>1.26:</w:t>
            </w:r>
            <w:r>
              <w:rPr>
                <w:b/>
                <w:spacing w:val="-5"/>
                <w:sz w:val="16"/>
              </w:rPr>
              <w:t> </w:t>
            </w:r>
            <w:r>
              <w:rPr>
                <w:b/>
                <w:sz w:val="16"/>
              </w:rPr>
              <w:t>Indicador de</w:t>
            </w:r>
            <w:r>
              <w:rPr>
                <w:b/>
                <w:spacing w:val="-7"/>
                <w:sz w:val="16"/>
              </w:rPr>
              <w:t> </w:t>
            </w:r>
            <w:r>
              <w:rPr>
                <w:b/>
                <w:sz w:val="16"/>
              </w:rPr>
              <w:t>trayectoria</w:t>
            </w:r>
            <w:r>
              <w:rPr>
                <w:b/>
                <w:spacing w:val="-6"/>
                <w:sz w:val="16"/>
              </w:rPr>
              <w:t> </w:t>
            </w:r>
            <w:r>
              <w:rPr>
                <w:b/>
                <w:sz w:val="16"/>
              </w:rPr>
              <w:t>diseñado</w:t>
            </w:r>
            <w:r>
              <w:rPr>
                <w:b/>
                <w:spacing w:val="-2"/>
                <w:sz w:val="16"/>
              </w:rPr>
              <w:t> </w:t>
            </w:r>
            <w:r>
              <w:rPr>
                <w:b/>
                <w:sz w:val="16"/>
              </w:rPr>
              <w:t>e</w:t>
            </w:r>
            <w:r>
              <w:rPr>
                <w:b/>
                <w:spacing w:val="-2"/>
                <w:sz w:val="16"/>
              </w:rPr>
              <w:t> </w:t>
            </w:r>
            <w:r>
              <w:rPr>
                <w:b/>
                <w:sz w:val="16"/>
              </w:rPr>
              <w:t>implementado</w:t>
            </w:r>
            <w:r>
              <w:rPr>
                <w:b/>
                <w:spacing w:val="-6"/>
                <w:sz w:val="16"/>
              </w:rPr>
              <w:t> </w:t>
            </w:r>
            <w:r>
              <w:rPr>
                <w:b/>
                <w:sz w:val="16"/>
              </w:rPr>
              <w:t>que</w:t>
            </w:r>
            <w:r>
              <w:rPr>
                <w:b/>
                <w:spacing w:val="-3"/>
                <w:sz w:val="16"/>
              </w:rPr>
              <w:t> </w:t>
            </w:r>
            <w:r>
              <w:rPr>
                <w:b/>
                <w:sz w:val="16"/>
              </w:rPr>
              <w:t>permita</w:t>
            </w:r>
            <w:r>
              <w:rPr>
                <w:b/>
                <w:spacing w:val="-2"/>
                <w:sz w:val="16"/>
              </w:rPr>
              <w:t> </w:t>
            </w:r>
            <w:r>
              <w:rPr>
                <w:b/>
                <w:sz w:val="16"/>
              </w:rPr>
              <w:t>brindar seguimiento</w:t>
            </w:r>
            <w:r>
              <w:rPr>
                <w:b/>
                <w:spacing w:val="-6"/>
                <w:sz w:val="16"/>
              </w:rPr>
              <w:t> </w:t>
            </w:r>
            <w:r>
              <w:rPr>
                <w:b/>
                <w:sz w:val="16"/>
              </w:rPr>
              <w:t>y</w:t>
            </w:r>
            <w:r>
              <w:rPr>
                <w:b/>
                <w:spacing w:val="-2"/>
                <w:sz w:val="16"/>
              </w:rPr>
              <w:t> </w:t>
            </w:r>
            <w:r>
              <w:rPr>
                <w:b/>
                <w:sz w:val="16"/>
              </w:rPr>
              <w:t>trazabilidad</w:t>
            </w:r>
            <w:r>
              <w:rPr>
                <w:b/>
                <w:spacing w:val="-2"/>
                <w:sz w:val="16"/>
              </w:rPr>
              <w:t> </w:t>
            </w:r>
            <w:r>
              <w:rPr>
                <w:b/>
                <w:sz w:val="16"/>
              </w:rPr>
              <w:t>a</w:t>
            </w:r>
            <w:r>
              <w:rPr>
                <w:b/>
                <w:spacing w:val="-6"/>
                <w:sz w:val="16"/>
              </w:rPr>
              <w:t> </w:t>
            </w:r>
            <w:r>
              <w:rPr>
                <w:b/>
                <w:sz w:val="16"/>
              </w:rPr>
              <w:t>los</w:t>
            </w:r>
            <w:r>
              <w:rPr>
                <w:b/>
                <w:spacing w:val="-3"/>
                <w:sz w:val="16"/>
              </w:rPr>
              <w:t> </w:t>
            </w:r>
            <w:r>
              <w:rPr>
                <w:b/>
                <w:sz w:val="16"/>
              </w:rPr>
              <w:t>hogares</w:t>
            </w:r>
            <w:r>
              <w:rPr>
                <w:b/>
                <w:spacing w:val="-3"/>
                <w:sz w:val="16"/>
              </w:rPr>
              <w:t> </w:t>
            </w:r>
            <w:r>
              <w:rPr>
                <w:b/>
                <w:sz w:val="16"/>
              </w:rPr>
              <w:t>conforme</w:t>
            </w:r>
            <w:r>
              <w:rPr>
                <w:b/>
                <w:spacing w:val="-2"/>
                <w:sz w:val="16"/>
              </w:rPr>
              <w:t> </w:t>
            </w:r>
            <w:r>
              <w:rPr>
                <w:b/>
                <w:sz w:val="16"/>
              </w:rPr>
              <w:t>a</w:t>
            </w:r>
            <w:r>
              <w:rPr>
                <w:b/>
                <w:spacing w:val="-3"/>
                <w:sz w:val="16"/>
              </w:rPr>
              <w:t> </w:t>
            </w:r>
            <w:r>
              <w:rPr>
                <w:b/>
                <w:sz w:val="16"/>
              </w:rPr>
              <w:t>su</w:t>
            </w:r>
            <w:r>
              <w:rPr>
                <w:b/>
                <w:spacing w:val="-2"/>
                <w:sz w:val="16"/>
              </w:rPr>
              <w:t> </w:t>
            </w:r>
            <w:r>
              <w:rPr>
                <w:b/>
                <w:sz w:val="16"/>
              </w:rPr>
              <w:t>perfil.</w:t>
            </w:r>
            <w:r>
              <w:rPr>
                <w:b/>
                <w:spacing w:val="-1"/>
                <w:sz w:val="16"/>
              </w:rPr>
              <w:t> </w:t>
            </w:r>
            <w:r>
              <w:rPr>
                <w:b/>
                <w:sz w:val="16"/>
              </w:rPr>
              <w:t>E2</w:t>
            </w:r>
            <w:r>
              <w:rPr>
                <w:b/>
                <w:spacing w:val="-3"/>
                <w:sz w:val="16"/>
              </w:rPr>
              <w:t> </w:t>
            </w:r>
            <w:r>
              <w:rPr>
                <w:b/>
                <w:sz w:val="16"/>
              </w:rPr>
              <w:t>AE8</w:t>
            </w:r>
            <w:r>
              <w:rPr>
                <w:b/>
                <w:spacing w:val="-3"/>
                <w:sz w:val="16"/>
              </w:rPr>
              <w:t> </w:t>
            </w:r>
            <w:r>
              <w:rPr>
                <w:b/>
                <w:spacing w:val="-5"/>
                <w:sz w:val="16"/>
              </w:rPr>
              <w:t>R2</w:t>
            </w:r>
          </w:p>
        </w:tc>
      </w:tr>
      <w:tr>
        <w:trPr>
          <w:trHeight w:val="1286" w:hRule="atLeast"/>
        </w:trPr>
        <w:tc>
          <w:tcPr>
            <w:tcW w:w="1695" w:type="dxa"/>
            <w:gridSpan w:val="2"/>
          </w:tcPr>
          <w:p>
            <w:pPr>
              <w:pStyle w:val="TableParagraph"/>
              <w:ind w:left="72"/>
              <w:rPr>
                <w:b/>
                <w:sz w:val="16"/>
              </w:rPr>
            </w:pPr>
            <w:r>
              <w:rPr>
                <w:b/>
                <w:spacing w:val="-2"/>
                <w:sz w:val="16"/>
              </w:rPr>
              <w:t>Actividad</w:t>
            </w:r>
            <w:r>
              <w:rPr>
                <w:b/>
                <w:spacing w:val="-10"/>
                <w:sz w:val="16"/>
              </w:rPr>
              <w:t> </w:t>
            </w:r>
            <w:r>
              <w:rPr>
                <w:b/>
                <w:spacing w:val="-2"/>
                <w:sz w:val="16"/>
              </w:rPr>
              <w:t>PPPS 1.26.1:</w:t>
            </w:r>
          </w:p>
          <w:p>
            <w:pPr>
              <w:pStyle w:val="TableParagraph"/>
              <w:ind w:left="72" w:right="166"/>
              <w:rPr>
                <w:sz w:val="16"/>
              </w:rPr>
            </w:pPr>
            <w:r>
              <w:rPr>
                <w:sz w:val="16"/>
              </w:rPr>
              <w:t>Diseño</w:t>
            </w:r>
            <w:r>
              <w:rPr>
                <w:spacing w:val="-12"/>
                <w:sz w:val="16"/>
              </w:rPr>
              <w:t> </w:t>
            </w:r>
            <w:r>
              <w:rPr>
                <w:sz w:val="16"/>
              </w:rPr>
              <w:t>del</w:t>
            </w:r>
            <w:r>
              <w:rPr>
                <w:spacing w:val="-11"/>
                <w:sz w:val="16"/>
              </w:rPr>
              <w:t> </w:t>
            </w:r>
            <w:r>
              <w:rPr>
                <w:sz w:val="16"/>
              </w:rPr>
              <w:t>indicador de trayectoria (vinculada a PEI</w:t>
            </w:r>
          </w:p>
          <w:p>
            <w:pPr>
              <w:pStyle w:val="TableParagraph"/>
              <w:ind w:left="72"/>
              <w:rPr>
                <w:sz w:val="16"/>
              </w:rPr>
            </w:pPr>
            <w:r>
              <w:rPr>
                <w:sz w:val="16"/>
              </w:rPr>
              <w:t>2.8.2</w:t>
            </w:r>
            <w:r>
              <w:rPr>
                <w:spacing w:val="-5"/>
                <w:sz w:val="16"/>
              </w:rPr>
              <w:t> </w:t>
            </w:r>
            <w:r>
              <w:rPr>
                <w:sz w:val="16"/>
              </w:rPr>
              <w:t>/</w:t>
            </w:r>
            <w:r>
              <w:rPr>
                <w:spacing w:val="-4"/>
                <w:sz w:val="16"/>
              </w:rPr>
              <w:t> </w:t>
            </w:r>
            <w:r>
              <w:rPr>
                <w:spacing w:val="-2"/>
                <w:sz w:val="16"/>
              </w:rPr>
              <w:t>Estrategia</w:t>
            </w:r>
          </w:p>
          <w:p>
            <w:pPr>
              <w:pStyle w:val="TableParagraph"/>
              <w:spacing w:line="163" w:lineRule="exact"/>
              <w:ind w:left="72"/>
              <w:rPr>
                <w:sz w:val="16"/>
              </w:rPr>
            </w:pPr>
            <w:r>
              <w:rPr>
                <w:sz w:val="16"/>
              </w:rPr>
              <w:t>GpRD</w:t>
            </w:r>
            <w:r>
              <w:rPr>
                <w:spacing w:val="-7"/>
                <w:sz w:val="16"/>
              </w:rPr>
              <w:t> </w:t>
            </w:r>
            <w:r>
              <w:rPr>
                <w:spacing w:val="-2"/>
                <w:sz w:val="16"/>
              </w:rPr>
              <w:t>2.2.2).</w:t>
            </w:r>
          </w:p>
        </w:tc>
        <w:tc>
          <w:tcPr>
            <w:tcW w:w="1278" w:type="dxa"/>
          </w:tcPr>
          <w:p>
            <w:pPr>
              <w:pStyle w:val="TableParagraph"/>
              <w:spacing w:before="181"/>
              <w:ind w:left="72" w:right="200"/>
              <w:rPr>
                <w:sz w:val="16"/>
              </w:rPr>
            </w:pPr>
            <w:r>
              <w:rPr>
                <w:sz w:val="16"/>
              </w:rPr>
              <w:t>Porcentaje</w:t>
            </w:r>
            <w:r>
              <w:rPr>
                <w:spacing w:val="-12"/>
                <w:sz w:val="16"/>
              </w:rPr>
              <w:t> </w:t>
            </w:r>
            <w:r>
              <w:rPr>
                <w:sz w:val="16"/>
              </w:rPr>
              <w:t>de avance en el diseño del indicador de </w:t>
            </w:r>
            <w:r>
              <w:rPr>
                <w:spacing w:val="-2"/>
                <w:sz w:val="16"/>
              </w:rPr>
              <w:t>trayectoria.</w:t>
            </w:r>
          </w:p>
        </w:tc>
        <w:tc>
          <w:tcPr>
            <w:tcW w:w="1278" w:type="dxa"/>
          </w:tcPr>
          <w:p>
            <w:pPr>
              <w:pStyle w:val="TableParagraph"/>
              <w:rPr>
                <w:b/>
                <w:sz w:val="16"/>
              </w:rPr>
            </w:pPr>
          </w:p>
          <w:p>
            <w:pPr>
              <w:pStyle w:val="TableParagraph"/>
              <w:spacing w:before="182"/>
              <w:rPr>
                <w:b/>
                <w:sz w:val="16"/>
              </w:rPr>
            </w:pPr>
          </w:p>
          <w:p>
            <w:pPr>
              <w:pStyle w:val="TableParagraph"/>
              <w:ind w:left="21" w:right="12"/>
              <w:jc w:val="center"/>
              <w:rPr>
                <w:sz w:val="16"/>
              </w:rPr>
            </w:pPr>
            <w:r>
              <w:rPr>
                <w:spacing w:val="-5"/>
                <w:sz w:val="16"/>
              </w:rPr>
              <w:t>50%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spacing w:before="182"/>
              <w:rPr>
                <w:b/>
                <w:sz w:val="16"/>
              </w:rPr>
            </w:pPr>
          </w:p>
          <w:p>
            <w:pPr>
              <w:pStyle w:val="TableParagraph"/>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spacing w:before="182"/>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spacing w:before="182"/>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1656" w:hRule="atLeast"/>
        </w:trPr>
        <w:tc>
          <w:tcPr>
            <w:tcW w:w="1695" w:type="dxa"/>
            <w:gridSpan w:val="2"/>
          </w:tcPr>
          <w:p>
            <w:pPr>
              <w:pStyle w:val="TableParagraph"/>
              <w:ind w:left="72"/>
              <w:rPr>
                <w:b/>
                <w:sz w:val="16"/>
              </w:rPr>
            </w:pPr>
            <w:r>
              <w:rPr>
                <w:b/>
                <w:spacing w:val="-2"/>
                <w:sz w:val="16"/>
              </w:rPr>
              <w:t>Actividad</w:t>
            </w:r>
            <w:r>
              <w:rPr>
                <w:b/>
                <w:spacing w:val="-10"/>
                <w:sz w:val="16"/>
              </w:rPr>
              <w:t> </w:t>
            </w:r>
            <w:r>
              <w:rPr>
                <w:b/>
                <w:spacing w:val="-2"/>
                <w:sz w:val="16"/>
              </w:rPr>
              <w:t>PPPS 1.26.2:</w:t>
            </w:r>
          </w:p>
          <w:p>
            <w:pPr>
              <w:pStyle w:val="TableParagraph"/>
              <w:ind w:left="72" w:right="388"/>
              <w:rPr>
                <w:sz w:val="16"/>
              </w:rPr>
            </w:pPr>
            <w:r>
              <w:rPr>
                <w:sz w:val="16"/>
              </w:rPr>
              <w:t>Elaboración de requerimientos</w:t>
            </w:r>
            <w:r>
              <w:rPr>
                <w:spacing w:val="-9"/>
                <w:sz w:val="16"/>
              </w:rPr>
              <w:t> </w:t>
            </w:r>
            <w:r>
              <w:rPr>
                <w:sz w:val="16"/>
              </w:rPr>
              <w:t>a nivel</w:t>
            </w:r>
            <w:r>
              <w:rPr>
                <w:spacing w:val="-12"/>
                <w:sz w:val="16"/>
              </w:rPr>
              <w:t> </w:t>
            </w:r>
            <w:r>
              <w:rPr>
                <w:sz w:val="16"/>
              </w:rPr>
              <w:t>de</w:t>
            </w:r>
            <w:r>
              <w:rPr>
                <w:spacing w:val="-11"/>
                <w:sz w:val="16"/>
              </w:rPr>
              <w:t> </w:t>
            </w:r>
            <w:r>
              <w:rPr>
                <w:sz w:val="16"/>
              </w:rPr>
              <w:t>sistemas informáticos y traslado al DSIS (vinculada a PEI</w:t>
            </w:r>
          </w:p>
          <w:p>
            <w:pPr>
              <w:pStyle w:val="TableParagraph"/>
              <w:spacing w:line="163" w:lineRule="exact" w:before="1"/>
              <w:ind w:left="72"/>
              <w:rPr>
                <w:sz w:val="16"/>
              </w:rPr>
            </w:pPr>
            <w:r>
              <w:rPr>
                <w:spacing w:val="-2"/>
                <w:sz w:val="16"/>
              </w:rPr>
              <w:t>2.8.2).</w:t>
            </w:r>
          </w:p>
        </w:tc>
        <w:tc>
          <w:tcPr>
            <w:tcW w:w="1278" w:type="dxa"/>
          </w:tcPr>
          <w:p>
            <w:pPr>
              <w:pStyle w:val="TableParagraph"/>
              <w:rPr>
                <w:b/>
                <w:sz w:val="16"/>
              </w:rPr>
            </w:pPr>
          </w:p>
          <w:p>
            <w:pPr>
              <w:pStyle w:val="TableParagraph"/>
              <w:rPr>
                <w:b/>
                <w:sz w:val="16"/>
              </w:rPr>
            </w:pPr>
          </w:p>
          <w:p>
            <w:pPr>
              <w:pStyle w:val="TableParagraph"/>
              <w:ind w:left="72"/>
              <w:rPr>
                <w:sz w:val="16"/>
              </w:rPr>
            </w:pPr>
            <w:r>
              <w:rPr>
                <w:sz w:val="16"/>
              </w:rPr>
              <w:t>Porcentaje de avance en la elaboración y traslado</w:t>
            </w:r>
            <w:r>
              <w:rPr>
                <w:spacing w:val="-2"/>
                <w:sz w:val="16"/>
              </w:rPr>
              <w:t> </w:t>
            </w:r>
            <w:r>
              <w:rPr>
                <w:sz w:val="16"/>
              </w:rPr>
              <w:t>de </w:t>
            </w:r>
            <w:r>
              <w:rPr>
                <w:spacing w:val="-2"/>
                <w:sz w:val="16"/>
              </w:rPr>
              <w:t>requerimientos.</w:t>
            </w:r>
          </w:p>
        </w:tc>
        <w:tc>
          <w:tcPr>
            <w:tcW w:w="1278" w:type="dxa"/>
          </w:tcPr>
          <w:p>
            <w:pPr>
              <w:pStyle w:val="TableParagraph"/>
              <w:rPr>
                <w:b/>
                <w:sz w:val="16"/>
              </w:rPr>
            </w:pPr>
          </w:p>
          <w:p>
            <w:pPr>
              <w:pStyle w:val="TableParagraph"/>
              <w:rPr>
                <w:b/>
                <w:sz w:val="16"/>
              </w:rPr>
            </w:pPr>
          </w:p>
          <w:p>
            <w:pPr>
              <w:pStyle w:val="TableParagraph"/>
              <w:spacing w:before="180"/>
              <w:rPr>
                <w:b/>
                <w:sz w:val="16"/>
              </w:rPr>
            </w:pPr>
          </w:p>
          <w:p>
            <w:pPr>
              <w:pStyle w:val="TableParagraph"/>
              <w:spacing w:before="1"/>
              <w:ind w:left="21" w:right="12"/>
              <w:jc w:val="center"/>
              <w:rPr>
                <w:sz w:val="16"/>
              </w:rPr>
            </w:pPr>
            <w:r>
              <w:rPr>
                <w:spacing w:val="-5"/>
                <w:sz w:val="16"/>
              </w:rPr>
              <w:t>50%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spacing w:before="180"/>
              <w:rPr>
                <w:b/>
                <w:sz w:val="16"/>
              </w:rPr>
            </w:pPr>
          </w:p>
          <w:p>
            <w:pPr>
              <w:pStyle w:val="TableParagraph"/>
              <w:spacing w:before="1"/>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spacing w:before="180"/>
              <w:rPr>
                <w:b/>
                <w:sz w:val="16"/>
              </w:rPr>
            </w:pPr>
          </w:p>
          <w:p>
            <w:pPr>
              <w:pStyle w:val="TableParagraph"/>
              <w:spacing w:before="1"/>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180"/>
              <w:rPr>
                <w:b/>
                <w:sz w:val="16"/>
              </w:rPr>
            </w:pPr>
          </w:p>
          <w:p>
            <w:pPr>
              <w:pStyle w:val="TableParagraph"/>
              <w:spacing w:before="1"/>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1465" w:hRule="atLeast"/>
        </w:trPr>
        <w:tc>
          <w:tcPr>
            <w:tcW w:w="1695" w:type="dxa"/>
            <w:gridSpan w:val="2"/>
            <w:tcBorders>
              <w:bottom w:val="nil"/>
            </w:tcBorders>
          </w:tcPr>
          <w:p>
            <w:pPr>
              <w:pStyle w:val="TableParagraph"/>
              <w:spacing w:line="244" w:lineRule="auto"/>
              <w:ind w:left="72"/>
              <w:rPr>
                <w:b/>
                <w:sz w:val="16"/>
              </w:rPr>
            </w:pPr>
            <w:r>
              <w:rPr>
                <w:b/>
                <w:spacing w:val="-2"/>
                <w:sz w:val="16"/>
              </w:rPr>
              <w:t>Actividad</w:t>
            </w:r>
            <w:r>
              <w:rPr>
                <w:b/>
                <w:spacing w:val="-10"/>
                <w:sz w:val="16"/>
              </w:rPr>
              <w:t> </w:t>
            </w:r>
            <w:r>
              <w:rPr>
                <w:b/>
                <w:spacing w:val="-2"/>
                <w:sz w:val="16"/>
              </w:rPr>
              <w:t>PPPS 1.26.3:</w:t>
            </w:r>
          </w:p>
          <w:p>
            <w:pPr>
              <w:pStyle w:val="TableParagraph"/>
              <w:ind w:left="72" w:right="69"/>
              <w:rPr>
                <w:sz w:val="16"/>
              </w:rPr>
            </w:pPr>
            <w:r>
              <w:rPr>
                <w:sz w:val="16"/>
              </w:rPr>
              <w:t>Revisión y ajuste de requerimientos a</w:t>
            </w:r>
            <w:r>
              <w:rPr>
                <w:spacing w:val="40"/>
                <w:sz w:val="16"/>
              </w:rPr>
              <w:t> </w:t>
            </w:r>
            <w:r>
              <w:rPr>
                <w:sz w:val="16"/>
              </w:rPr>
              <w:t>nivel de sistemas informáticos</w:t>
            </w:r>
            <w:r>
              <w:rPr>
                <w:spacing w:val="-12"/>
                <w:sz w:val="16"/>
              </w:rPr>
              <w:t> </w:t>
            </w:r>
            <w:r>
              <w:rPr>
                <w:sz w:val="16"/>
              </w:rPr>
              <w:t>por</w:t>
            </w:r>
            <w:r>
              <w:rPr>
                <w:spacing w:val="-11"/>
                <w:sz w:val="16"/>
              </w:rPr>
              <w:t> </w:t>
            </w:r>
            <w:r>
              <w:rPr>
                <w:sz w:val="16"/>
              </w:rPr>
              <w:t>parte del</w:t>
            </w:r>
            <w:r>
              <w:rPr>
                <w:spacing w:val="-3"/>
                <w:sz w:val="16"/>
              </w:rPr>
              <w:t> </w:t>
            </w:r>
            <w:r>
              <w:rPr>
                <w:sz w:val="16"/>
              </w:rPr>
              <w:t>DSIS</w:t>
            </w:r>
            <w:r>
              <w:rPr>
                <w:spacing w:val="-5"/>
                <w:sz w:val="16"/>
              </w:rPr>
              <w:t> </w:t>
            </w:r>
            <w:r>
              <w:rPr>
                <w:sz w:val="16"/>
              </w:rPr>
              <w:t>(vinculada</w:t>
            </w:r>
            <w:r>
              <w:rPr>
                <w:spacing w:val="-7"/>
                <w:sz w:val="16"/>
              </w:rPr>
              <w:t> </w:t>
            </w:r>
            <w:r>
              <w:rPr>
                <w:spacing w:val="-10"/>
                <w:sz w:val="16"/>
              </w:rPr>
              <w:t>a</w:t>
            </w:r>
          </w:p>
          <w:p>
            <w:pPr>
              <w:pStyle w:val="TableParagraph"/>
              <w:spacing w:line="155" w:lineRule="exact"/>
              <w:ind w:left="72"/>
              <w:rPr>
                <w:sz w:val="16"/>
              </w:rPr>
            </w:pPr>
            <w:r>
              <w:rPr>
                <w:sz w:val="16"/>
              </w:rPr>
              <w:t>PEI</w:t>
            </w:r>
            <w:r>
              <w:rPr>
                <w:spacing w:val="-1"/>
                <w:sz w:val="16"/>
              </w:rPr>
              <w:t> </w:t>
            </w:r>
            <w:r>
              <w:rPr>
                <w:spacing w:val="-2"/>
                <w:sz w:val="16"/>
              </w:rPr>
              <w:t>2.8.2).</w:t>
            </w:r>
          </w:p>
        </w:tc>
        <w:tc>
          <w:tcPr>
            <w:tcW w:w="1278" w:type="dxa"/>
            <w:tcBorders>
              <w:bottom w:val="single" w:sz="4" w:space="0" w:color="808080"/>
            </w:tcBorders>
          </w:tcPr>
          <w:p>
            <w:pPr>
              <w:pStyle w:val="TableParagraph"/>
              <w:spacing w:before="92"/>
              <w:rPr>
                <w:b/>
                <w:sz w:val="16"/>
              </w:rPr>
            </w:pPr>
          </w:p>
          <w:p>
            <w:pPr>
              <w:pStyle w:val="TableParagraph"/>
              <w:spacing w:before="1"/>
              <w:ind w:left="72" w:right="95"/>
              <w:rPr>
                <w:sz w:val="16"/>
              </w:rPr>
            </w:pPr>
            <w:r>
              <w:rPr>
                <w:sz w:val="16"/>
              </w:rPr>
              <w:t>Porcentaje de avance en la revisión</w:t>
            </w:r>
            <w:r>
              <w:rPr>
                <w:spacing w:val="-2"/>
                <w:sz w:val="16"/>
              </w:rPr>
              <w:t> </w:t>
            </w:r>
            <w:r>
              <w:rPr>
                <w:sz w:val="16"/>
              </w:rPr>
              <w:t>y ajuste de </w:t>
            </w:r>
            <w:r>
              <w:rPr>
                <w:spacing w:val="-2"/>
                <w:sz w:val="16"/>
              </w:rPr>
              <w:t>requerimientos.</w:t>
            </w:r>
          </w:p>
        </w:tc>
        <w:tc>
          <w:tcPr>
            <w:tcW w:w="1278" w:type="dxa"/>
            <w:tcBorders>
              <w:bottom w:val="single" w:sz="4" w:space="0" w:color="808080"/>
            </w:tcBorders>
          </w:tcPr>
          <w:p>
            <w:pPr>
              <w:pStyle w:val="TableParagraph"/>
              <w:rPr>
                <w:rFonts w:ascii="Times New Roman"/>
                <w:sz w:val="16"/>
              </w:rPr>
            </w:pPr>
          </w:p>
        </w:tc>
        <w:tc>
          <w:tcPr>
            <w:tcW w:w="1561" w:type="dxa"/>
            <w:tcBorders>
              <w:bottom w:val="single" w:sz="4" w:space="0" w:color="808080"/>
            </w:tcBorders>
          </w:tcPr>
          <w:p>
            <w:pPr>
              <w:pStyle w:val="TableParagraph"/>
              <w:rPr>
                <w:rFonts w:ascii="Times New Roman"/>
                <w:sz w:val="16"/>
              </w:rPr>
            </w:pPr>
          </w:p>
        </w:tc>
        <w:tc>
          <w:tcPr>
            <w:tcW w:w="1134" w:type="dxa"/>
            <w:tcBorders>
              <w:bottom w:val="single" w:sz="4" w:space="0" w:color="808080"/>
            </w:tcBorders>
          </w:tcPr>
          <w:p>
            <w:pPr>
              <w:pStyle w:val="TableParagraph"/>
              <w:rPr>
                <w:b/>
                <w:sz w:val="16"/>
              </w:rPr>
            </w:pPr>
          </w:p>
          <w:p>
            <w:pPr>
              <w:pStyle w:val="TableParagraph"/>
              <w:rPr>
                <w:b/>
                <w:sz w:val="16"/>
              </w:rPr>
            </w:pPr>
          </w:p>
          <w:p>
            <w:pPr>
              <w:pStyle w:val="TableParagraph"/>
              <w:spacing w:before="90"/>
              <w:rPr>
                <w:b/>
                <w:sz w:val="16"/>
              </w:rPr>
            </w:pPr>
          </w:p>
          <w:p>
            <w:pPr>
              <w:pStyle w:val="TableParagraph"/>
              <w:ind w:right="1"/>
              <w:jc w:val="center"/>
              <w:rPr>
                <w:sz w:val="16"/>
              </w:rPr>
            </w:pPr>
            <w:r>
              <w:rPr>
                <w:spacing w:val="-4"/>
                <w:sz w:val="16"/>
              </w:rPr>
              <w:t>100%</w:t>
            </w:r>
          </w:p>
        </w:tc>
        <w:tc>
          <w:tcPr>
            <w:tcW w:w="1561" w:type="dxa"/>
            <w:tcBorders>
              <w:bottom w:val="single" w:sz="4" w:space="0" w:color="808080"/>
            </w:tcBorders>
          </w:tcPr>
          <w:p>
            <w:pPr>
              <w:pStyle w:val="TableParagraph"/>
              <w:rPr>
                <w:rFonts w:ascii="Times New Roman"/>
                <w:sz w:val="16"/>
              </w:rPr>
            </w:pPr>
          </w:p>
        </w:tc>
        <w:tc>
          <w:tcPr>
            <w:tcW w:w="1277" w:type="dxa"/>
            <w:tcBorders>
              <w:bottom w:val="single" w:sz="4" w:space="0" w:color="808080"/>
            </w:tcBorders>
          </w:tcPr>
          <w:p>
            <w:pPr>
              <w:pStyle w:val="TableParagraph"/>
              <w:rPr>
                <w:b/>
                <w:sz w:val="16"/>
              </w:rPr>
            </w:pPr>
          </w:p>
          <w:p>
            <w:pPr>
              <w:pStyle w:val="TableParagraph"/>
              <w:rPr>
                <w:b/>
                <w:sz w:val="16"/>
              </w:rPr>
            </w:pPr>
          </w:p>
          <w:p>
            <w:pPr>
              <w:pStyle w:val="TableParagraph"/>
              <w:spacing w:before="90"/>
              <w:rPr>
                <w:b/>
                <w:sz w:val="16"/>
              </w:rPr>
            </w:pPr>
          </w:p>
          <w:p>
            <w:pPr>
              <w:pStyle w:val="TableParagraph"/>
              <w:ind w:left="16" w:right="19"/>
              <w:jc w:val="center"/>
              <w:rPr>
                <w:sz w:val="16"/>
              </w:rPr>
            </w:pPr>
            <w:r>
              <w:rPr>
                <w:spacing w:val="-4"/>
                <w:sz w:val="16"/>
              </w:rPr>
              <w:t>100%</w:t>
            </w:r>
          </w:p>
        </w:tc>
        <w:tc>
          <w:tcPr>
            <w:tcW w:w="1700" w:type="dxa"/>
            <w:tcBorders>
              <w:bottom w:val="single" w:sz="4" w:space="0" w:color="808080"/>
            </w:tcBorders>
          </w:tcPr>
          <w:p>
            <w:pPr>
              <w:pStyle w:val="TableParagraph"/>
              <w:rPr>
                <w:rFonts w:ascii="Times New Roman"/>
                <w:sz w:val="16"/>
              </w:rPr>
            </w:pPr>
          </w:p>
        </w:tc>
        <w:tc>
          <w:tcPr>
            <w:tcW w:w="1345" w:type="dxa"/>
            <w:tcBorders>
              <w:bottom w:val="single" w:sz="4" w:space="0" w:color="808080"/>
            </w:tcBorders>
          </w:tcPr>
          <w:p>
            <w:pPr>
              <w:pStyle w:val="TableParagraph"/>
              <w:rPr>
                <w:b/>
                <w:sz w:val="16"/>
              </w:rPr>
            </w:pPr>
          </w:p>
          <w:p>
            <w:pPr>
              <w:pStyle w:val="TableParagraph"/>
              <w:rPr>
                <w:b/>
                <w:sz w:val="16"/>
              </w:rPr>
            </w:pPr>
          </w:p>
          <w:p>
            <w:pPr>
              <w:pStyle w:val="TableParagraph"/>
              <w:spacing w:before="90"/>
              <w:rPr>
                <w:b/>
                <w:sz w:val="16"/>
              </w:rPr>
            </w:pPr>
          </w:p>
          <w:p>
            <w:pPr>
              <w:pStyle w:val="TableParagraph"/>
              <w:ind w:left="4" w:right="1"/>
              <w:jc w:val="center"/>
              <w:rPr>
                <w:sz w:val="16"/>
              </w:rPr>
            </w:pPr>
            <w:r>
              <w:rPr>
                <w:spacing w:val="-4"/>
                <w:sz w:val="16"/>
              </w:rPr>
              <w:t>100%</w:t>
            </w:r>
          </w:p>
        </w:tc>
        <w:tc>
          <w:tcPr>
            <w:tcW w:w="1494" w:type="dxa"/>
            <w:tcBorders>
              <w:bottom w:val="single" w:sz="4" w:space="0" w:color="808080"/>
            </w:tcBorders>
          </w:tcPr>
          <w:p>
            <w:pPr>
              <w:pStyle w:val="TableParagraph"/>
              <w:rPr>
                <w:rFonts w:ascii="Times New Roman"/>
                <w:sz w:val="16"/>
              </w:rPr>
            </w:pPr>
          </w:p>
        </w:tc>
      </w:tr>
      <w:tr>
        <w:trPr>
          <w:trHeight w:val="1374" w:hRule="atLeast"/>
        </w:trPr>
        <w:tc>
          <w:tcPr>
            <w:tcW w:w="1486" w:type="dxa"/>
            <w:tcBorders>
              <w:top w:val="thinThickMediumGap" w:sz="9" w:space="0" w:color="808080"/>
              <w:left w:val="nil"/>
              <w:bottom w:val="nil"/>
              <w:right w:val="single" w:sz="18" w:space="0" w:color="808080"/>
            </w:tcBorders>
          </w:tcPr>
          <w:p>
            <w:pPr>
              <w:pStyle w:val="TableParagraph"/>
              <w:spacing w:line="268" w:lineRule="exact"/>
              <w:ind w:left="106"/>
              <w:rPr>
                <w:b/>
                <w:sz w:val="24"/>
              </w:rPr>
            </w:pPr>
            <w:r>
              <w:rPr>
                <w:b/>
                <w:spacing w:val="-5"/>
                <w:sz w:val="24"/>
              </w:rPr>
              <w:t>159</w:t>
            </w:r>
          </w:p>
        </w:tc>
        <w:tc>
          <w:tcPr>
            <w:tcW w:w="12837" w:type="dxa"/>
            <w:gridSpan w:val="10"/>
            <w:tcBorders>
              <w:top w:val="single" w:sz="4" w:space="0" w:color="808080"/>
              <w:left w:val="single" w:sz="18" w:space="0" w:color="808080"/>
              <w:bottom w:val="nil"/>
              <w:right w:val="nil"/>
            </w:tcBorders>
          </w:tcPr>
          <w:p>
            <w:pPr>
              <w:pStyle w:val="TableParagraph"/>
              <w:spacing w:line="242" w:lineRule="auto"/>
              <w:ind w:left="95" w:right="8657"/>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68"/>
          <w:pgSz w:w="15840" w:h="12240" w:orient="landscape"/>
          <w:pgMar w:header="0" w:footer="0" w:top="700" w:bottom="2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1474" w:hRule="atLeast"/>
        </w:trPr>
        <w:tc>
          <w:tcPr>
            <w:tcW w:w="1695" w:type="dxa"/>
          </w:tcPr>
          <w:p>
            <w:pPr>
              <w:pStyle w:val="TableParagraph"/>
              <w:spacing w:before="2"/>
              <w:rPr>
                <w:b/>
                <w:sz w:val="16"/>
              </w:rPr>
            </w:pPr>
          </w:p>
          <w:p>
            <w:pPr>
              <w:pStyle w:val="TableParagraph"/>
              <w:ind w:left="72"/>
              <w:rPr>
                <w:b/>
                <w:sz w:val="16"/>
              </w:rPr>
            </w:pPr>
            <w:r>
              <w:rPr>
                <w:b/>
                <w:spacing w:val="-2"/>
                <w:sz w:val="16"/>
              </w:rPr>
              <w:t>Actividad</w:t>
            </w:r>
            <w:r>
              <w:rPr>
                <w:b/>
                <w:spacing w:val="-10"/>
                <w:sz w:val="16"/>
              </w:rPr>
              <w:t> </w:t>
            </w:r>
            <w:r>
              <w:rPr>
                <w:b/>
                <w:spacing w:val="-2"/>
                <w:sz w:val="16"/>
              </w:rPr>
              <w:t>PPPS 1.26.4:</w:t>
            </w:r>
          </w:p>
          <w:p>
            <w:pPr>
              <w:pStyle w:val="TableParagraph"/>
              <w:ind w:left="72" w:right="128"/>
              <w:rPr>
                <w:sz w:val="16"/>
              </w:rPr>
            </w:pPr>
            <w:r>
              <w:rPr>
                <w:sz w:val="16"/>
              </w:rPr>
              <w:t>Desarrollo del </w:t>
            </w:r>
            <w:r>
              <w:rPr>
                <w:spacing w:val="-2"/>
                <w:sz w:val="16"/>
              </w:rPr>
              <w:t>sistema</w:t>
            </w:r>
            <w:r>
              <w:rPr>
                <w:spacing w:val="-8"/>
                <w:sz w:val="16"/>
              </w:rPr>
              <w:t> </w:t>
            </w:r>
            <w:r>
              <w:rPr>
                <w:spacing w:val="-2"/>
                <w:sz w:val="16"/>
              </w:rPr>
              <w:t>informático </w:t>
            </w:r>
            <w:r>
              <w:rPr>
                <w:sz w:val="16"/>
              </w:rPr>
              <w:t>(vinculada a PEI </w:t>
            </w:r>
            <w:r>
              <w:rPr>
                <w:spacing w:val="-2"/>
                <w:sz w:val="16"/>
              </w:rPr>
              <w:t>2.8.2).</w:t>
            </w:r>
          </w:p>
        </w:tc>
        <w:tc>
          <w:tcPr>
            <w:tcW w:w="1278" w:type="dxa"/>
          </w:tcPr>
          <w:p>
            <w:pPr>
              <w:pStyle w:val="TableParagraph"/>
              <w:ind w:left="72" w:right="200"/>
              <w:rPr>
                <w:sz w:val="16"/>
              </w:rPr>
            </w:pPr>
            <w:r>
              <w:rPr>
                <w:sz w:val="16"/>
              </w:rPr>
              <w:t>Porcentaje</w:t>
            </w:r>
            <w:r>
              <w:rPr>
                <w:spacing w:val="-12"/>
                <w:sz w:val="16"/>
              </w:rPr>
              <w:t> </w:t>
            </w:r>
            <w:r>
              <w:rPr>
                <w:sz w:val="16"/>
              </w:rPr>
              <w:t>de avance en el desarrollo</w:t>
            </w:r>
            <w:r>
              <w:rPr>
                <w:spacing w:val="-12"/>
                <w:sz w:val="16"/>
              </w:rPr>
              <w:t> </w:t>
            </w:r>
            <w:r>
              <w:rPr>
                <w:sz w:val="16"/>
              </w:rPr>
              <w:t>del </w:t>
            </w:r>
            <w:r>
              <w:rPr>
                <w:spacing w:val="-2"/>
                <w:sz w:val="16"/>
              </w:rPr>
              <w:t>sistema informático </w:t>
            </w:r>
            <w:r>
              <w:rPr>
                <w:sz w:val="16"/>
              </w:rPr>
              <w:t>vinculado al indicador de</w:t>
            </w:r>
          </w:p>
          <w:p>
            <w:pPr>
              <w:pStyle w:val="TableParagraph"/>
              <w:spacing w:line="163" w:lineRule="exact" w:before="3"/>
              <w:ind w:left="72"/>
              <w:rPr>
                <w:sz w:val="16"/>
              </w:rPr>
            </w:pPr>
            <w:r>
              <w:rPr>
                <w:spacing w:val="-2"/>
                <w:sz w:val="16"/>
              </w:rPr>
              <w:t>trayectoria.</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spacing w:before="95"/>
              <w:rPr>
                <w:b/>
                <w:sz w:val="16"/>
              </w:rPr>
            </w:pPr>
          </w:p>
          <w:p>
            <w:pPr>
              <w:pStyle w:val="TableParagraph"/>
              <w:ind w:left="16" w:right="19"/>
              <w:jc w:val="center"/>
              <w:rPr>
                <w:sz w:val="16"/>
              </w:rPr>
            </w:pPr>
            <w:r>
              <w:rPr>
                <w:spacing w:val="-5"/>
                <w:sz w:val="16"/>
              </w:rPr>
              <w:t>50%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95"/>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2395"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1.26.5:</w:t>
            </w:r>
          </w:p>
          <w:p>
            <w:pPr>
              <w:pStyle w:val="TableParagraph"/>
              <w:ind w:left="72" w:right="94"/>
              <w:rPr>
                <w:sz w:val="16"/>
              </w:rPr>
            </w:pPr>
            <w:r>
              <w:rPr>
                <w:sz w:val="16"/>
              </w:rPr>
              <w:t>Seguimiento y trazabilidad de </w:t>
            </w:r>
            <w:r>
              <w:rPr>
                <w:spacing w:val="-2"/>
                <w:sz w:val="16"/>
              </w:rPr>
              <w:t>hogares seleccionados </w:t>
            </w:r>
            <w:r>
              <w:rPr>
                <w:sz w:val="16"/>
              </w:rPr>
              <w:t>mediante la aplicación del indicador de </w:t>
            </w:r>
            <w:r>
              <w:rPr>
                <w:spacing w:val="-2"/>
                <w:sz w:val="16"/>
              </w:rPr>
              <w:t>trayectoria (vinculada </w:t>
            </w:r>
            <w:r>
              <w:rPr>
                <w:sz w:val="16"/>
              </w:rPr>
              <w:t>a PEI 2.8.2 /</w:t>
            </w:r>
          </w:p>
          <w:p>
            <w:pPr>
              <w:pStyle w:val="TableParagraph"/>
              <w:spacing w:line="182" w:lineRule="exact"/>
              <w:ind w:left="72" w:right="103"/>
              <w:rPr>
                <w:sz w:val="16"/>
              </w:rPr>
            </w:pPr>
            <w:r>
              <w:rPr>
                <w:spacing w:val="-2"/>
                <w:sz w:val="16"/>
              </w:rPr>
              <w:t>Estrategia</w:t>
            </w:r>
            <w:r>
              <w:rPr>
                <w:spacing w:val="-10"/>
                <w:sz w:val="16"/>
              </w:rPr>
              <w:t> </w:t>
            </w:r>
            <w:r>
              <w:rPr>
                <w:spacing w:val="-2"/>
                <w:sz w:val="16"/>
              </w:rPr>
              <w:t>GpRD 2.2.2).</w:t>
            </w:r>
          </w:p>
        </w:tc>
        <w:tc>
          <w:tcPr>
            <w:tcW w:w="1278" w:type="dxa"/>
          </w:tcPr>
          <w:p>
            <w:pPr>
              <w:pStyle w:val="TableParagraph"/>
              <w:ind w:left="72" w:right="200"/>
              <w:rPr>
                <w:sz w:val="16"/>
              </w:rPr>
            </w:pPr>
            <w:r>
              <w:rPr>
                <w:sz w:val="16"/>
              </w:rPr>
              <w:t>Porcentaje</w:t>
            </w:r>
            <w:r>
              <w:rPr>
                <w:spacing w:val="-12"/>
                <w:sz w:val="16"/>
              </w:rPr>
              <w:t> </w:t>
            </w:r>
            <w:r>
              <w:rPr>
                <w:sz w:val="16"/>
              </w:rPr>
              <w:t>de </w:t>
            </w:r>
            <w:r>
              <w:rPr>
                <w:spacing w:val="-2"/>
                <w:sz w:val="16"/>
              </w:rPr>
              <w:t>hogares </w:t>
            </w:r>
            <w:r>
              <w:rPr>
                <w:sz w:val="16"/>
              </w:rPr>
              <w:t>receptores</w:t>
            </w:r>
            <w:r>
              <w:rPr>
                <w:spacing w:val="-12"/>
                <w:sz w:val="16"/>
              </w:rPr>
              <w:t> </w:t>
            </w:r>
            <w:r>
              <w:rPr>
                <w:sz w:val="16"/>
              </w:rPr>
              <w:t>de la oferta </w:t>
            </w:r>
            <w:r>
              <w:rPr>
                <w:spacing w:val="-2"/>
                <w:sz w:val="16"/>
              </w:rPr>
              <w:t>programática institucional seleccionada, </w:t>
            </w:r>
            <w:r>
              <w:rPr>
                <w:spacing w:val="-4"/>
                <w:sz w:val="16"/>
              </w:rPr>
              <w:t>con </w:t>
            </w:r>
            <w:r>
              <w:rPr>
                <w:sz w:val="16"/>
              </w:rPr>
              <w:t>seguimiento</w:t>
            </w:r>
            <w:r>
              <w:rPr>
                <w:spacing w:val="-12"/>
                <w:sz w:val="16"/>
              </w:rPr>
              <w:t> </w:t>
            </w:r>
            <w:r>
              <w:rPr>
                <w:sz w:val="16"/>
              </w:rPr>
              <w:t>y </w:t>
            </w:r>
            <w:r>
              <w:rPr>
                <w:spacing w:val="-2"/>
                <w:sz w:val="16"/>
              </w:rPr>
              <w:t>trazabilidad </w:t>
            </w:r>
            <w:r>
              <w:rPr>
                <w:sz w:val="16"/>
              </w:rPr>
              <w:t>mediante el</w:t>
            </w:r>
          </w:p>
          <w:p>
            <w:pPr>
              <w:pStyle w:val="TableParagraph"/>
              <w:spacing w:line="182" w:lineRule="exact"/>
              <w:ind w:left="72" w:right="316"/>
              <w:rPr>
                <w:sz w:val="16"/>
              </w:rPr>
            </w:pPr>
            <w:r>
              <w:rPr>
                <w:sz w:val="16"/>
              </w:rPr>
              <w:t>indicador</w:t>
            </w:r>
            <w:r>
              <w:rPr>
                <w:spacing w:val="-12"/>
                <w:sz w:val="16"/>
              </w:rPr>
              <w:t> </w:t>
            </w:r>
            <w:r>
              <w:rPr>
                <w:sz w:val="16"/>
              </w:rPr>
              <w:t>de </w:t>
            </w:r>
            <w:r>
              <w:rPr>
                <w:spacing w:val="-2"/>
                <w:sz w:val="16"/>
              </w:rPr>
              <w:t>trayectoria</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16" w:right="19"/>
              <w:jc w:val="center"/>
              <w:rPr>
                <w:sz w:val="16"/>
              </w:rPr>
            </w:pPr>
            <w:r>
              <w:rPr>
                <w:spacing w:val="-5"/>
                <w:sz w:val="16"/>
              </w:rPr>
              <w:t>25%</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4" w:right="1"/>
              <w:jc w:val="center"/>
              <w:rPr>
                <w:sz w:val="16"/>
              </w:rPr>
            </w:pPr>
            <w:r>
              <w:rPr>
                <w:spacing w:val="-5"/>
                <w:sz w:val="16"/>
              </w:rPr>
              <w:t>50%</w:t>
            </w:r>
          </w:p>
        </w:tc>
        <w:tc>
          <w:tcPr>
            <w:tcW w:w="1494" w:type="dxa"/>
          </w:tcPr>
          <w:p>
            <w:pPr>
              <w:pStyle w:val="TableParagraph"/>
              <w:rPr>
                <w:rFonts w:ascii="Times New Roman"/>
                <w:sz w:val="16"/>
              </w:rPr>
            </w:pPr>
          </w:p>
        </w:tc>
      </w:tr>
      <w:tr>
        <w:trPr>
          <w:trHeight w:val="460" w:hRule="atLeast"/>
        </w:trPr>
        <w:tc>
          <w:tcPr>
            <w:tcW w:w="14323" w:type="dxa"/>
            <w:gridSpan w:val="10"/>
            <w:shd w:val="clear" w:color="auto" w:fill="EFF8F9"/>
          </w:tcPr>
          <w:p>
            <w:pPr>
              <w:pStyle w:val="TableParagraph"/>
              <w:spacing w:before="46"/>
              <w:ind w:left="72" w:right="95"/>
              <w:rPr>
                <w:b/>
                <w:sz w:val="16"/>
              </w:rPr>
            </w:pPr>
            <w:r>
              <w:rPr>
                <w:b/>
                <w:sz w:val="16"/>
              </w:rPr>
              <w:t>Producto</w:t>
            </w:r>
            <w:r>
              <w:rPr>
                <w:b/>
                <w:spacing w:val="-1"/>
                <w:sz w:val="16"/>
              </w:rPr>
              <w:t> </w:t>
            </w:r>
            <w:r>
              <w:rPr>
                <w:b/>
                <w:sz w:val="16"/>
              </w:rPr>
              <w:t>PPPS 1.27:</w:t>
            </w:r>
            <w:r>
              <w:rPr>
                <w:b/>
                <w:spacing w:val="-5"/>
                <w:sz w:val="16"/>
              </w:rPr>
              <w:t> </w:t>
            </w:r>
            <w:r>
              <w:rPr>
                <w:b/>
                <w:sz w:val="16"/>
              </w:rPr>
              <w:t>Estrategia</w:t>
            </w:r>
            <w:r>
              <w:rPr>
                <w:b/>
                <w:spacing w:val="-2"/>
                <w:sz w:val="16"/>
              </w:rPr>
              <w:t> </w:t>
            </w:r>
            <w:r>
              <w:rPr>
                <w:b/>
                <w:sz w:val="16"/>
              </w:rPr>
              <w:t>de</w:t>
            </w:r>
            <w:r>
              <w:rPr>
                <w:b/>
                <w:spacing w:val="-2"/>
                <w:sz w:val="16"/>
              </w:rPr>
              <w:t> </w:t>
            </w:r>
            <w:r>
              <w:rPr>
                <w:b/>
                <w:sz w:val="16"/>
              </w:rPr>
              <w:t>intervención</w:t>
            </w:r>
            <w:r>
              <w:rPr>
                <w:b/>
                <w:spacing w:val="-5"/>
                <w:sz w:val="16"/>
              </w:rPr>
              <w:t> </w:t>
            </w:r>
            <w:r>
              <w:rPr>
                <w:b/>
                <w:sz w:val="16"/>
              </w:rPr>
              <w:t>diseñada</w:t>
            </w:r>
            <w:r>
              <w:rPr>
                <w:b/>
                <w:spacing w:val="-2"/>
                <w:sz w:val="16"/>
              </w:rPr>
              <w:t> </w:t>
            </w:r>
            <w:r>
              <w:rPr>
                <w:b/>
                <w:sz w:val="16"/>
              </w:rPr>
              <w:t>e</w:t>
            </w:r>
            <w:r>
              <w:rPr>
                <w:b/>
                <w:spacing w:val="-2"/>
                <w:sz w:val="16"/>
              </w:rPr>
              <w:t> </w:t>
            </w:r>
            <w:r>
              <w:rPr>
                <w:b/>
                <w:sz w:val="16"/>
              </w:rPr>
              <w:t>implementada</w:t>
            </w:r>
            <w:r>
              <w:rPr>
                <w:b/>
                <w:spacing w:val="-6"/>
                <w:sz w:val="16"/>
              </w:rPr>
              <w:t> </w:t>
            </w:r>
            <w:r>
              <w:rPr>
                <w:b/>
                <w:sz w:val="16"/>
              </w:rPr>
              <w:t>que</w:t>
            </w:r>
            <w:r>
              <w:rPr>
                <w:b/>
                <w:spacing w:val="-2"/>
                <w:sz w:val="16"/>
              </w:rPr>
              <w:t> </w:t>
            </w:r>
            <w:r>
              <w:rPr>
                <w:b/>
                <w:sz w:val="16"/>
              </w:rPr>
              <w:t>permita</w:t>
            </w:r>
            <w:r>
              <w:rPr>
                <w:b/>
                <w:spacing w:val="-6"/>
                <w:sz w:val="16"/>
              </w:rPr>
              <w:t> </w:t>
            </w:r>
            <w:r>
              <w:rPr>
                <w:b/>
                <w:sz w:val="16"/>
              </w:rPr>
              <w:t>orientar el</w:t>
            </w:r>
            <w:r>
              <w:rPr>
                <w:b/>
                <w:spacing w:val="-1"/>
                <w:sz w:val="16"/>
              </w:rPr>
              <w:t> </w:t>
            </w:r>
            <w:r>
              <w:rPr>
                <w:b/>
                <w:sz w:val="16"/>
              </w:rPr>
              <w:t>accionar</w:t>
            </w:r>
            <w:r>
              <w:rPr>
                <w:b/>
                <w:spacing w:val="-4"/>
                <w:sz w:val="16"/>
              </w:rPr>
              <w:t> </w:t>
            </w:r>
            <w:r>
              <w:rPr>
                <w:b/>
                <w:sz w:val="16"/>
              </w:rPr>
              <w:t>del</w:t>
            </w:r>
            <w:r>
              <w:rPr>
                <w:b/>
                <w:spacing w:val="-5"/>
                <w:sz w:val="16"/>
              </w:rPr>
              <w:t> </w:t>
            </w:r>
            <w:r>
              <w:rPr>
                <w:b/>
                <w:sz w:val="16"/>
              </w:rPr>
              <w:t>IMAS hacia</w:t>
            </w:r>
            <w:r>
              <w:rPr>
                <w:b/>
                <w:spacing w:val="-6"/>
                <w:sz w:val="16"/>
              </w:rPr>
              <w:t> </w:t>
            </w:r>
            <w:r>
              <w:rPr>
                <w:b/>
                <w:sz w:val="16"/>
              </w:rPr>
              <w:t>los</w:t>
            </w:r>
            <w:r>
              <w:rPr>
                <w:b/>
                <w:spacing w:val="-2"/>
                <w:sz w:val="16"/>
              </w:rPr>
              <w:t> </w:t>
            </w:r>
            <w:r>
              <w:rPr>
                <w:b/>
                <w:sz w:val="16"/>
              </w:rPr>
              <w:t>hogares</w:t>
            </w:r>
            <w:r>
              <w:rPr>
                <w:b/>
                <w:spacing w:val="-2"/>
                <w:sz w:val="16"/>
              </w:rPr>
              <w:t> </w:t>
            </w:r>
            <w:r>
              <w:rPr>
                <w:b/>
                <w:sz w:val="16"/>
              </w:rPr>
              <w:t>priorizados</w:t>
            </w:r>
            <w:r>
              <w:rPr>
                <w:b/>
                <w:spacing w:val="-2"/>
                <w:sz w:val="16"/>
              </w:rPr>
              <w:t> </w:t>
            </w:r>
            <w:r>
              <w:rPr>
                <w:b/>
                <w:sz w:val="16"/>
              </w:rPr>
              <w:t>mediante</w:t>
            </w:r>
            <w:r>
              <w:rPr>
                <w:b/>
                <w:spacing w:val="-2"/>
                <w:sz w:val="16"/>
              </w:rPr>
              <w:t> </w:t>
            </w:r>
            <w:r>
              <w:rPr>
                <w:b/>
                <w:sz w:val="16"/>
              </w:rPr>
              <w:t>la</w:t>
            </w:r>
            <w:r>
              <w:rPr>
                <w:b/>
                <w:spacing w:val="-2"/>
                <w:sz w:val="16"/>
              </w:rPr>
              <w:t> </w:t>
            </w:r>
            <w:r>
              <w:rPr>
                <w:b/>
                <w:sz w:val="16"/>
              </w:rPr>
              <w:t>aplicación</w:t>
            </w:r>
            <w:r>
              <w:rPr>
                <w:b/>
                <w:spacing w:val="-5"/>
                <w:sz w:val="16"/>
              </w:rPr>
              <w:t> </w:t>
            </w:r>
            <w:r>
              <w:rPr>
                <w:b/>
                <w:sz w:val="16"/>
              </w:rPr>
              <w:t>del</w:t>
            </w:r>
            <w:r>
              <w:rPr>
                <w:b/>
                <w:spacing w:val="-1"/>
                <w:sz w:val="16"/>
              </w:rPr>
              <w:t> </w:t>
            </w:r>
            <w:r>
              <w:rPr>
                <w:b/>
                <w:sz w:val="16"/>
              </w:rPr>
              <w:t>indicador de trayectoria. E2 A8 R3 (2027)</w:t>
            </w:r>
          </w:p>
        </w:tc>
      </w:tr>
      <w:tr>
        <w:trPr>
          <w:trHeight w:val="1660" w:hRule="atLeast"/>
        </w:trPr>
        <w:tc>
          <w:tcPr>
            <w:tcW w:w="1695" w:type="dxa"/>
          </w:tcPr>
          <w:p>
            <w:pPr>
              <w:pStyle w:val="TableParagraph"/>
              <w:spacing w:before="3"/>
              <w:ind w:left="72"/>
              <w:rPr>
                <w:b/>
                <w:sz w:val="16"/>
              </w:rPr>
            </w:pPr>
            <w:r>
              <w:rPr>
                <w:b/>
                <w:spacing w:val="-2"/>
                <w:sz w:val="16"/>
              </w:rPr>
              <w:t>Actividad</w:t>
            </w:r>
            <w:r>
              <w:rPr>
                <w:b/>
                <w:spacing w:val="-10"/>
                <w:sz w:val="16"/>
              </w:rPr>
              <w:t> </w:t>
            </w:r>
            <w:r>
              <w:rPr>
                <w:b/>
                <w:spacing w:val="-2"/>
                <w:sz w:val="16"/>
              </w:rPr>
              <w:t>PPPS 1.27.1:</w:t>
            </w:r>
          </w:p>
          <w:p>
            <w:pPr>
              <w:pStyle w:val="TableParagraph"/>
              <w:ind w:left="72" w:right="94"/>
              <w:rPr>
                <w:sz w:val="16"/>
              </w:rPr>
            </w:pPr>
            <w:r>
              <w:rPr>
                <w:sz w:val="16"/>
              </w:rPr>
              <w:t>Establecimiento de una estrategia de intervención para</w:t>
            </w:r>
            <w:r>
              <w:rPr>
                <w:spacing w:val="-1"/>
                <w:sz w:val="16"/>
              </w:rPr>
              <w:t> </w:t>
            </w:r>
            <w:r>
              <w:rPr>
                <w:sz w:val="16"/>
              </w:rPr>
              <w:t>los hogares priorizados con el indicador de</w:t>
            </w:r>
          </w:p>
          <w:p>
            <w:pPr>
              <w:pStyle w:val="TableParagraph"/>
              <w:spacing w:line="182" w:lineRule="exact"/>
              <w:ind w:left="72" w:right="94"/>
              <w:rPr>
                <w:sz w:val="16"/>
              </w:rPr>
            </w:pPr>
            <w:r>
              <w:rPr>
                <w:spacing w:val="-2"/>
                <w:sz w:val="16"/>
              </w:rPr>
              <w:t>trayectoria (vinculada </w:t>
            </w:r>
            <w:r>
              <w:rPr>
                <w:sz w:val="16"/>
              </w:rPr>
              <w:t>a PEI 2.8.3).</w:t>
            </w:r>
          </w:p>
        </w:tc>
        <w:tc>
          <w:tcPr>
            <w:tcW w:w="1278" w:type="dxa"/>
          </w:tcPr>
          <w:p>
            <w:pPr>
              <w:pStyle w:val="TableParagraph"/>
              <w:spacing w:before="94"/>
              <w:ind w:left="72" w:right="84"/>
              <w:rPr>
                <w:sz w:val="16"/>
              </w:rPr>
            </w:pPr>
            <w:r>
              <w:rPr>
                <w:sz w:val="16"/>
              </w:rPr>
              <w:t>Porcentaje de avance en el </w:t>
            </w:r>
            <w:r>
              <w:rPr>
                <w:spacing w:val="-2"/>
                <w:sz w:val="16"/>
              </w:rPr>
              <w:t>establecimiento </w:t>
            </w:r>
            <w:r>
              <w:rPr>
                <w:sz w:val="16"/>
              </w:rPr>
              <w:t>de</w:t>
            </w:r>
            <w:r>
              <w:rPr>
                <w:spacing w:val="-12"/>
                <w:sz w:val="16"/>
              </w:rPr>
              <w:t> </w:t>
            </w:r>
            <w:r>
              <w:rPr>
                <w:sz w:val="16"/>
              </w:rPr>
              <w:t>la</w:t>
            </w:r>
            <w:r>
              <w:rPr>
                <w:spacing w:val="-11"/>
                <w:sz w:val="16"/>
              </w:rPr>
              <w:t> </w:t>
            </w:r>
            <w:r>
              <w:rPr>
                <w:sz w:val="16"/>
              </w:rPr>
              <w:t>estrategia de</w:t>
            </w:r>
            <w:r>
              <w:rPr>
                <w:spacing w:val="-12"/>
                <w:sz w:val="16"/>
              </w:rPr>
              <w:t> </w:t>
            </w:r>
            <w:r>
              <w:rPr>
                <w:sz w:val="16"/>
              </w:rPr>
              <w:t>intervención para</w:t>
            </w:r>
            <w:r>
              <w:rPr>
                <w:spacing w:val="-2"/>
                <w:sz w:val="16"/>
              </w:rPr>
              <w:t> </w:t>
            </w:r>
            <w:r>
              <w:rPr>
                <w:sz w:val="16"/>
              </w:rPr>
              <w:t>los </w:t>
            </w:r>
            <w:r>
              <w:rPr>
                <w:spacing w:val="-2"/>
                <w:sz w:val="16"/>
              </w:rPr>
              <w:t>hogares priorizados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21" w:right="12"/>
              <w:jc w:val="center"/>
              <w:rPr>
                <w:sz w:val="16"/>
              </w:rPr>
            </w:pPr>
            <w:r>
              <w:rPr>
                <w:spacing w:val="-5"/>
                <w:sz w:val="16"/>
              </w:rPr>
              <w:t>50%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357"/>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523" w:hRule="atLeast"/>
        </w:trPr>
        <w:tc>
          <w:tcPr>
            <w:tcW w:w="14323" w:type="dxa"/>
            <w:gridSpan w:val="10"/>
            <w:shd w:val="clear" w:color="auto" w:fill="EFF8F9"/>
          </w:tcPr>
          <w:p>
            <w:pPr>
              <w:pStyle w:val="TableParagraph"/>
              <w:ind w:left="72" w:right="95"/>
              <w:rPr>
                <w:b/>
                <w:sz w:val="16"/>
              </w:rPr>
            </w:pPr>
            <w:r>
              <w:rPr>
                <w:b/>
                <w:sz w:val="16"/>
              </w:rPr>
              <w:t>Producto PPPS 1.28:</w:t>
            </w:r>
            <w:r>
              <w:rPr>
                <w:b/>
                <w:spacing w:val="37"/>
                <w:sz w:val="16"/>
              </w:rPr>
              <w:t> </w:t>
            </w:r>
            <w:r>
              <w:rPr>
                <w:b/>
                <w:sz w:val="16"/>
              </w:rPr>
              <w:t>Mapeo</w:t>
            </w:r>
            <w:r>
              <w:rPr>
                <w:b/>
                <w:spacing w:val="-4"/>
                <w:sz w:val="16"/>
              </w:rPr>
              <w:t> </w:t>
            </w:r>
            <w:r>
              <w:rPr>
                <w:b/>
                <w:sz w:val="16"/>
              </w:rPr>
              <w:t>de</w:t>
            </w:r>
            <w:r>
              <w:rPr>
                <w:b/>
                <w:spacing w:val="-1"/>
                <w:sz w:val="16"/>
              </w:rPr>
              <w:t> </w:t>
            </w:r>
            <w:r>
              <w:rPr>
                <w:b/>
                <w:sz w:val="16"/>
              </w:rPr>
              <w:t>necesidades</w:t>
            </w:r>
            <w:r>
              <w:rPr>
                <w:b/>
                <w:spacing w:val="-1"/>
                <w:sz w:val="16"/>
              </w:rPr>
              <w:t> </w:t>
            </w:r>
            <w:r>
              <w:rPr>
                <w:b/>
                <w:sz w:val="16"/>
              </w:rPr>
              <w:t>y</w:t>
            </w:r>
            <w:r>
              <w:rPr>
                <w:b/>
                <w:spacing w:val="-5"/>
                <w:sz w:val="16"/>
              </w:rPr>
              <w:t> </w:t>
            </w:r>
            <w:r>
              <w:rPr>
                <w:b/>
                <w:sz w:val="16"/>
              </w:rPr>
              <w:t>requerimientos</w:t>
            </w:r>
            <w:r>
              <w:rPr>
                <w:b/>
                <w:spacing w:val="-1"/>
                <w:sz w:val="16"/>
              </w:rPr>
              <w:t> </w:t>
            </w:r>
            <w:r>
              <w:rPr>
                <w:b/>
                <w:sz w:val="16"/>
              </w:rPr>
              <w:t>identificados</w:t>
            </w:r>
            <w:r>
              <w:rPr>
                <w:b/>
                <w:spacing w:val="-1"/>
                <w:sz w:val="16"/>
              </w:rPr>
              <w:t> </w:t>
            </w:r>
            <w:r>
              <w:rPr>
                <w:b/>
                <w:sz w:val="16"/>
              </w:rPr>
              <w:t>desde</w:t>
            </w:r>
            <w:r>
              <w:rPr>
                <w:b/>
                <w:spacing w:val="-5"/>
                <w:sz w:val="16"/>
              </w:rPr>
              <w:t> </w:t>
            </w:r>
            <w:r>
              <w:rPr>
                <w:b/>
                <w:sz w:val="16"/>
              </w:rPr>
              <w:t>la</w:t>
            </w:r>
            <w:r>
              <w:rPr>
                <w:b/>
                <w:spacing w:val="-1"/>
                <w:sz w:val="16"/>
              </w:rPr>
              <w:t> </w:t>
            </w:r>
            <w:r>
              <w:rPr>
                <w:b/>
                <w:sz w:val="16"/>
              </w:rPr>
              <w:t>población</w:t>
            </w:r>
            <w:r>
              <w:rPr>
                <w:b/>
                <w:spacing w:val="-4"/>
                <w:sz w:val="16"/>
              </w:rPr>
              <w:t> </w:t>
            </w:r>
            <w:r>
              <w:rPr>
                <w:b/>
                <w:sz w:val="16"/>
              </w:rPr>
              <w:t>objetivo</w:t>
            </w:r>
            <w:r>
              <w:rPr>
                <w:b/>
                <w:spacing w:val="-4"/>
                <w:sz w:val="16"/>
              </w:rPr>
              <w:t> </w:t>
            </w:r>
            <w:r>
              <w:rPr>
                <w:b/>
                <w:sz w:val="16"/>
              </w:rPr>
              <w:t>y</w:t>
            </w:r>
            <w:r>
              <w:rPr>
                <w:b/>
                <w:spacing w:val="-1"/>
                <w:sz w:val="16"/>
              </w:rPr>
              <w:t> </w:t>
            </w:r>
            <w:r>
              <w:rPr>
                <w:b/>
                <w:sz w:val="16"/>
              </w:rPr>
              <w:t>la</w:t>
            </w:r>
            <w:r>
              <w:rPr>
                <w:b/>
                <w:spacing w:val="-1"/>
                <w:sz w:val="16"/>
              </w:rPr>
              <w:t> </w:t>
            </w:r>
            <w:r>
              <w:rPr>
                <w:b/>
                <w:sz w:val="16"/>
              </w:rPr>
              <w:t>territorialidad,</w:t>
            </w:r>
            <w:r>
              <w:rPr>
                <w:b/>
                <w:spacing w:val="-4"/>
                <w:sz w:val="16"/>
              </w:rPr>
              <w:t> </w:t>
            </w:r>
            <w:r>
              <w:rPr>
                <w:b/>
                <w:sz w:val="16"/>
              </w:rPr>
              <w:t>que promuevan</w:t>
            </w:r>
            <w:r>
              <w:rPr>
                <w:b/>
                <w:spacing w:val="-4"/>
                <w:sz w:val="16"/>
              </w:rPr>
              <w:t> </w:t>
            </w:r>
            <w:r>
              <w:rPr>
                <w:b/>
                <w:sz w:val="16"/>
              </w:rPr>
              <w:t>acciones</w:t>
            </w:r>
            <w:r>
              <w:rPr>
                <w:b/>
                <w:spacing w:val="-5"/>
                <w:sz w:val="16"/>
              </w:rPr>
              <w:t> </w:t>
            </w:r>
            <w:r>
              <w:rPr>
                <w:b/>
                <w:sz w:val="16"/>
              </w:rPr>
              <w:t>para</w:t>
            </w:r>
            <w:r>
              <w:rPr>
                <w:b/>
                <w:spacing w:val="-1"/>
                <w:sz w:val="16"/>
              </w:rPr>
              <w:t> </w:t>
            </w:r>
            <w:r>
              <w:rPr>
                <w:b/>
                <w:sz w:val="16"/>
              </w:rPr>
              <w:t>la</w:t>
            </w:r>
            <w:r>
              <w:rPr>
                <w:b/>
                <w:spacing w:val="-1"/>
                <w:sz w:val="16"/>
              </w:rPr>
              <w:t> </w:t>
            </w:r>
            <w:r>
              <w:rPr>
                <w:b/>
                <w:sz w:val="16"/>
              </w:rPr>
              <w:t>empleabilidad, la empresariedad y la implementación de entornos propicios para el desarrollo económico y social. E2 AE9 R1</w:t>
            </w:r>
          </w:p>
        </w:tc>
      </w:tr>
    </w:tbl>
    <w:p>
      <w:pPr>
        <w:pStyle w:val="TableParagraph"/>
        <w:spacing w:after="0"/>
        <w:rPr>
          <w:b/>
          <w:sz w:val="16"/>
        </w:rPr>
        <w:sectPr>
          <w:footerReference w:type="default" r:id="rId69"/>
          <w:pgSz w:w="15840" w:h="12240" w:orient="landscape"/>
          <w:pgMar w:header="0" w:footer="1806" w:top="700" w:bottom="2000" w:left="360" w:right="360"/>
          <w:pgNumType w:start="1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2208" w:hRule="atLeast"/>
        </w:trPr>
        <w:tc>
          <w:tcPr>
            <w:tcW w:w="1695" w:type="dxa"/>
          </w:tcPr>
          <w:p>
            <w:pPr>
              <w:pStyle w:val="TableParagraph"/>
              <w:spacing w:before="93"/>
              <w:rPr>
                <w:b/>
                <w:sz w:val="16"/>
              </w:rPr>
            </w:pPr>
          </w:p>
          <w:p>
            <w:pPr>
              <w:pStyle w:val="TableParagraph"/>
              <w:ind w:left="72"/>
              <w:rPr>
                <w:b/>
                <w:sz w:val="16"/>
              </w:rPr>
            </w:pPr>
            <w:r>
              <w:rPr>
                <w:b/>
                <w:spacing w:val="-2"/>
                <w:sz w:val="16"/>
              </w:rPr>
              <w:t>Actividad</w:t>
            </w:r>
            <w:r>
              <w:rPr>
                <w:b/>
                <w:spacing w:val="-10"/>
                <w:sz w:val="16"/>
              </w:rPr>
              <w:t> </w:t>
            </w:r>
            <w:r>
              <w:rPr>
                <w:b/>
                <w:spacing w:val="-2"/>
                <w:sz w:val="16"/>
              </w:rPr>
              <w:t>PPPS 1.28.1:</w:t>
            </w:r>
          </w:p>
          <w:p>
            <w:pPr>
              <w:pStyle w:val="TableParagraph"/>
              <w:spacing w:before="2"/>
              <w:ind w:left="72" w:right="103"/>
              <w:rPr>
                <w:sz w:val="16"/>
              </w:rPr>
            </w:pPr>
            <w:r>
              <w:rPr>
                <w:sz w:val="16"/>
              </w:rPr>
              <w:t>Mapeo de necesidades y requerimientos en </w:t>
            </w:r>
            <w:r>
              <w:rPr>
                <w:spacing w:val="-2"/>
                <w:sz w:val="16"/>
              </w:rPr>
              <w:t>territorios priorizados </w:t>
            </w:r>
            <w:r>
              <w:rPr>
                <w:sz w:val="16"/>
              </w:rPr>
              <w:t>por las ARDS (vinculada a PEI </w:t>
            </w:r>
            <w:r>
              <w:rPr>
                <w:spacing w:val="-2"/>
                <w:sz w:val="16"/>
              </w:rPr>
              <w:t>2.9.1).</w:t>
            </w:r>
          </w:p>
        </w:tc>
        <w:tc>
          <w:tcPr>
            <w:tcW w:w="1278" w:type="dxa"/>
          </w:tcPr>
          <w:p>
            <w:pPr>
              <w:pStyle w:val="TableParagraph"/>
              <w:ind w:left="72"/>
              <w:rPr>
                <w:sz w:val="16"/>
              </w:rPr>
            </w:pPr>
            <w:r>
              <w:rPr>
                <w:sz w:val="16"/>
              </w:rPr>
              <w:t>Cantidad de </w:t>
            </w:r>
            <w:r>
              <w:rPr>
                <w:spacing w:val="-2"/>
                <w:sz w:val="16"/>
              </w:rPr>
              <w:t>territorios priorizados</w:t>
            </w:r>
            <w:r>
              <w:rPr>
                <w:spacing w:val="-10"/>
                <w:sz w:val="16"/>
              </w:rPr>
              <w:t> </w:t>
            </w:r>
            <w:r>
              <w:rPr>
                <w:spacing w:val="-2"/>
                <w:sz w:val="16"/>
              </w:rPr>
              <w:t>por </w:t>
            </w:r>
            <w:r>
              <w:rPr>
                <w:sz w:val="16"/>
              </w:rPr>
              <w:t>las ARDS que cuentan</w:t>
            </w:r>
            <w:r>
              <w:rPr>
                <w:spacing w:val="-2"/>
                <w:sz w:val="16"/>
              </w:rPr>
              <w:t> </w:t>
            </w:r>
            <w:r>
              <w:rPr>
                <w:sz w:val="16"/>
              </w:rPr>
              <w:t>con mapeo de necesidades</w:t>
            </w:r>
            <w:r>
              <w:rPr>
                <w:spacing w:val="-9"/>
                <w:sz w:val="16"/>
              </w:rPr>
              <w:t> </w:t>
            </w:r>
            <w:r>
              <w:rPr>
                <w:sz w:val="16"/>
              </w:rPr>
              <w:t>y </w:t>
            </w:r>
            <w:r>
              <w:rPr>
                <w:spacing w:val="-2"/>
                <w:sz w:val="16"/>
              </w:rPr>
              <w:t>requerimientos identificados </w:t>
            </w:r>
            <w:r>
              <w:rPr>
                <w:sz w:val="16"/>
              </w:rPr>
              <w:t>desde</w:t>
            </w:r>
            <w:r>
              <w:rPr>
                <w:spacing w:val="-2"/>
                <w:sz w:val="16"/>
              </w:rPr>
              <w:t> </w:t>
            </w:r>
            <w:r>
              <w:rPr>
                <w:sz w:val="16"/>
              </w:rPr>
              <w:t>la</w:t>
            </w:r>
          </w:p>
          <w:p>
            <w:pPr>
              <w:pStyle w:val="TableParagraph"/>
              <w:spacing w:line="182" w:lineRule="exact"/>
              <w:ind w:left="72" w:right="509"/>
              <w:rPr>
                <w:sz w:val="16"/>
              </w:rPr>
            </w:pPr>
            <w:r>
              <w:rPr>
                <w:spacing w:val="-2"/>
                <w:sz w:val="16"/>
              </w:rPr>
              <w:t>población objetivo</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1"/>
              <w:jc w:val="center"/>
              <w:rPr>
                <w:sz w:val="16"/>
              </w:rPr>
            </w:pPr>
            <w:r>
              <w:rPr>
                <w:spacing w:val="-10"/>
                <w:sz w:val="16"/>
              </w:rPr>
              <w:t>1</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16" w:right="19"/>
              <w:jc w:val="center"/>
              <w:rPr>
                <w:sz w:val="16"/>
              </w:rPr>
            </w:pPr>
            <w:r>
              <w:rPr>
                <w:spacing w:val="-10"/>
                <w:sz w:val="16"/>
              </w:rPr>
              <w:t>3</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4" w:right="1"/>
              <w:jc w:val="center"/>
              <w:rPr>
                <w:sz w:val="16"/>
              </w:rPr>
            </w:pPr>
            <w:r>
              <w:rPr>
                <w:spacing w:val="-10"/>
                <w:sz w:val="16"/>
              </w:rPr>
              <w:t>5</w:t>
            </w:r>
          </w:p>
        </w:tc>
        <w:tc>
          <w:tcPr>
            <w:tcW w:w="1494" w:type="dxa"/>
          </w:tcPr>
          <w:p>
            <w:pPr>
              <w:pStyle w:val="TableParagraph"/>
              <w:rPr>
                <w:rFonts w:ascii="Times New Roman"/>
                <w:sz w:val="16"/>
              </w:rPr>
            </w:pPr>
          </w:p>
        </w:tc>
      </w:tr>
      <w:tr>
        <w:trPr>
          <w:trHeight w:val="499" w:hRule="atLeast"/>
        </w:trPr>
        <w:tc>
          <w:tcPr>
            <w:tcW w:w="14323" w:type="dxa"/>
            <w:gridSpan w:val="10"/>
            <w:shd w:val="clear" w:color="auto" w:fill="EFF8F9"/>
          </w:tcPr>
          <w:p>
            <w:pPr>
              <w:pStyle w:val="TableParagraph"/>
              <w:spacing w:before="3"/>
              <w:ind w:left="72" w:right="182"/>
              <w:rPr>
                <w:b/>
                <w:sz w:val="16"/>
              </w:rPr>
            </w:pPr>
            <w:r>
              <w:rPr>
                <w:b/>
                <w:sz w:val="16"/>
              </w:rPr>
              <w:t>Producto</w:t>
            </w:r>
            <w:r>
              <w:rPr>
                <w:b/>
                <w:spacing w:val="-2"/>
                <w:sz w:val="16"/>
              </w:rPr>
              <w:t> </w:t>
            </w:r>
            <w:r>
              <w:rPr>
                <w:b/>
                <w:sz w:val="16"/>
              </w:rPr>
              <w:t>PPPS</w:t>
            </w:r>
            <w:r>
              <w:rPr>
                <w:b/>
                <w:spacing w:val="-1"/>
                <w:sz w:val="16"/>
              </w:rPr>
              <w:t> </w:t>
            </w:r>
            <w:r>
              <w:rPr>
                <w:b/>
                <w:sz w:val="16"/>
              </w:rPr>
              <w:t>1.29:</w:t>
            </w:r>
            <w:r>
              <w:rPr>
                <w:b/>
                <w:spacing w:val="-5"/>
                <w:sz w:val="16"/>
              </w:rPr>
              <w:t> </w:t>
            </w:r>
            <w:r>
              <w:rPr>
                <w:b/>
                <w:sz w:val="16"/>
              </w:rPr>
              <w:t>Normativa</w:t>
            </w:r>
            <w:r>
              <w:rPr>
                <w:b/>
                <w:spacing w:val="-3"/>
                <w:sz w:val="16"/>
              </w:rPr>
              <w:t> </w:t>
            </w:r>
            <w:r>
              <w:rPr>
                <w:b/>
                <w:sz w:val="16"/>
              </w:rPr>
              <w:t>y</w:t>
            </w:r>
            <w:r>
              <w:rPr>
                <w:b/>
                <w:spacing w:val="-6"/>
                <w:sz w:val="16"/>
              </w:rPr>
              <w:t> </w:t>
            </w:r>
            <w:r>
              <w:rPr>
                <w:b/>
                <w:sz w:val="16"/>
              </w:rPr>
              <w:t>lineamientos</w:t>
            </w:r>
            <w:r>
              <w:rPr>
                <w:b/>
                <w:spacing w:val="-6"/>
                <w:sz w:val="16"/>
              </w:rPr>
              <w:t> </w:t>
            </w:r>
            <w:r>
              <w:rPr>
                <w:b/>
                <w:sz w:val="16"/>
              </w:rPr>
              <w:t>institucionales</w:t>
            </w:r>
            <w:r>
              <w:rPr>
                <w:b/>
                <w:spacing w:val="-3"/>
                <w:sz w:val="16"/>
              </w:rPr>
              <w:t> </w:t>
            </w:r>
            <w:r>
              <w:rPr>
                <w:b/>
                <w:sz w:val="16"/>
              </w:rPr>
              <w:t>ajustados</w:t>
            </w:r>
            <w:r>
              <w:rPr>
                <w:b/>
                <w:spacing w:val="-3"/>
                <w:sz w:val="16"/>
              </w:rPr>
              <w:t> </w:t>
            </w:r>
            <w:r>
              <w:rPr>
                <w:b/>
                <w:sz w:val="16"/>
              </w:rPr>
              <w:t>con</w:t>
            </w:r>
            <w:r>
              <w:rPr>
                <w:b/>
                <w:spacing w:val="-2"/>
                <w:sz w:val="16"/>
              </w:rPr>
              <w:t> </w:t>
            </w:r>
            <w:r>
              <w:rPr>
                <w:b/>
                <w:sz w:val="16"/>
              </w:rPr>
              <w:t>metodologías</w:t>
            </w:r>
            <w:r>
              <w:rPr>
                <w:b/>
                <w:spacing w:val="-3"/>
                <w:sz w:val="16"/>
              </w:rPr>
              <w:t> </w:t>
            </w:r>
            <w:r>
              <w:rPr>
                <w:b/>
                <w:sz w:val="16"/>
              </w:rPr>
              <w:t>de</w:t>
            </w:r>
            <w:r>
              <w:rPr>
                <w:b/>
                <w:spacing w:val="-3"/>
                <w:sz w:val="16"/>
              </w:rPr>
              <w:t> </w:t>
            </w:r>
            <w:r>
              <w:rPr>
                <w:b/>
                <w:sz w:val="16"/>
              </w:rPr>
              <w:t>gestión</w:t>
            </w:r>
            <w:r>
              <w:rPr>
                <w:b/>
                <w:spacing w:val="-2"/>
                <w:sz w:val="16"/>
              </w:rPr>
              <w:t> </w:t>
            </w:r>
            <w:r>
              <w:rPr>
                <w:b/>
                <w:sz w:val="16"/>
              </w:rPr>
              <w:t>de</w:t>
            </w:r>
            <w:r>
              <w:rPr>
                <w:b/>
                <w:spacing w:val="-3"/>
                <w:sz w:val="16"/>
              </w:rPr>
              <w:t> </w:t>
            </w:r>
            <w:r>
              <w:rPr>
                <w:b/>
                <w:sz w:val="16"/>
              </w:rPr>
              <w:t>proyectos</w:t>
            </w:r>
            <w:r>
              <w:rPr>
                <w:b/>
                <w:spacing w:val="-3"/>
                <w:sz w:val="16"/>
              </w:rPr>
              <w:t> </w:t>
            </w:r>
            <w:r>
              <w:rPr>
                <w:b/>
                <w:sz w:val="16"/>
              </w:rPr>
              <w:t>comprobadas, que</w:t>
            </w:r>
            <w:r>
              <w:rPr>
                <w:b/>
                <w:spacing w:val="-6"/>
                <w:sz w:val="16"/>
              </w:rPr>
              <w:t> </w:t>
            </w:r>
            <w:r>
              <w:rPr>
                <w:b/>
                <w:sz w:val="16"/>
              </w:rPr>
              <w:t>promuevan</w:t>
            </w:r>
            <w:r>
              <w:rPr>
                <w:b/>
                <w:spacing w:val="-5"/>
                <w:sz w:val="16"/>
              </w:rPr>
              <w:t> </w:t>
            </w:r>
            <w:r>
              <w:rPr>
                <w:b/>
                <w:sz w:val="16"/>
              </w:rPr>
              <w:t>oportunidades</w:t>
            </w:r>
            <w:r>
              <w:rPr>
                <w:b/>
                <w:spacing w:val="-3"/>
                <w:sz w:val="16"/>
              </w:rPr>
              <w:t> </w:t>
            </w:r>
            <w:r>
              <w:rPr>
                <w:b/>
                <w:sz w:val="16"/>
              </w:rPr>
              <w:t>para</w:t>
            </w:r>
            <w:r>
              <w:rPr>
                <w:b/>
                <w:spacing w:val="-3"/>
                <w:sz w:val="16"/>
              </w:rPr>
              <w:t> </w:t>
            </w:r>
            <w:r>
              <w:rPr>
                <w:b/>
                <w:sz w:val="16"/>
              </w:rPr>
              <w:t>la</w:t>
            </w:r>
            <w:r>
              <w:rPr>
                <w:b/>
                <w:spacing w:val="-3"/>
                <w:sz w:val="16"/>
              </w:rPr>
              <w:t> </w:t>
            </w:r>
            <w:r>
              <w:rPr>
                <w:b/>
                <w:sz w:val="16"/>
              </w:rPr>
              <w:t>empleabilidad, la empresariedad y que facilite la implementación de entornos propicios para el desarrollo económico y social. E2 AE9 R2</w:t>
            </w:r>
          </w:p>
        </w:tc>
      </w:tr>
      <w:tr>
        <w:trPr>
          <w:trHeight w:val="3312"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1.29.1:</w:t>
            </w:r>
          </w:p>
          <w:p>
            <w:pPr>
              <w:pStyle w:val="TableParagraph"/>
              <w:ind w:left="72" w:right="139"/>
              <w:rPr>
                <w:sz w:val="16"/>
              </w:rPr>
            </w:pPr>
            <w:r>
              <w:rPr>
                <w:sz w:val="16"/>
              </w:rPr>
              <w:t>Ajustes</w:t>
            </w:r>
            <w:r>
              <w:rPr>
                <w:spacing w:val="-12"/>
                <w:sz w:val="16"/>
              </w:rPr>
              <w:t> </w:t>
            </w:r>
            <w:r>
              <w:rPr>
                <w:sz w:val="16"/>
              </w:rPr>
              <w:t>normativos</w:t>
            </w:r>
            <w:r>
              <w:rPr>
                <w:spacing w:val="-11"/>
                <w:sz w:val="16"/>
              </w:rPr>
              <w:t> </w:t>
            </w:r>
            <w:r>
              <w:rPr>
                <w:sz w:val="16"/>
              </w:rPr>
              <w:t>y emisión de lineamientos y </w:t>
            </w:r>
            <w:r>
              <w:rPr>
                <w:spacing w:val="-2"/>
                <w:sz w:val="16"/>
              </w:rPr>
              <w:t>procedimientos </w:t>
            </w:r>
            <w:r>
              <w:rPr>
                <w:sz w:val="16"/>
              </w:rPr>
              <w:t>vinculados a la aplicación de metodologías de administración de </w:t>
            </w:r>
            <w:r>
              <w:rPr>
                <w:spacing w:val="-2"/>
                <w:sz w:val="16"/>
              </w:rPr>
              <w:t>proyectos </w:t>
            </w:r>
            <w:r>
              <w:rPr>
                <w:sz w:val="16"/>
              </w:rPr>
              <w:t>comprobadas a los procesos grupales (vinculada a PEI</w:t>
            </w:r>
          </w:p>
          <w:p>
            <w:pPr>
              <w:pStyle w:val="TableParagraph"/>
              <w:ind w:left="72"/>
              <w:rPr>
                <w:sz w:val="16"/>
              </w:rPr>
            </w:pPr>
            <w:r>
              <w:rPr>
                <w:sz w:val="16"/>
              </w:rPr>
              <w:t>2.9.2</w:t>
            </w:r>
            <w:r>
              <w:rPr>
                <w:spacing w:val="-5"/>
                <w:sz w:val="16"/>
              </w:rPr>
              <w:t> </w:t>
            </w:r>
            <w:r>
              <w:rPr>
                <w:sz w:val="16"/>
              </w:rPr>
              <w:t>/</w:t>
            </w:r>
            <w:r>
              <w:rPr>
                <w:spacing w:val="-4"/>
                <w:sz w:val="16"/>
              </w:rPr>
              <w:t> </w:t>
            </w:r>
            <w:r>
              <w:rPr>
                <w:spacing w:val="-2"/>
                <w:sz w:val="16"/>
              </w:rPr>
              <w:t>Estrategia</w:t>
            </w:r>
          </w:p>
          <w:p>
            <w:pPr>
              <w:pStyle w:val="TableParagraph"/>
              <w:spacing w:line="183" w:lineRule="exact"/>
              <w:ind w:left="72"/>
              <w:rPr>
                <w:sz w:val="16"/>
              </w:rPr>
            </w:pPr>
            <w:r>
              <w:rPr>
                <w:sz w:val="16"/>
              </w:rPr>
              <w:t>GpRD</w:t>
            </w:r>
            <w:r>
              <w:rPr>
                <w:spacing w:val="-7"/>
                <w:sz w:val="16"/>
              </w:rPr>
              <w:t> </w:t>
            </w:r>
            <w:r>
              <w:rPr>
                <w:sz w:val="16"/>
              </w:rPr>
              <w:t>5.1.1</w:t>
            </w:r>
            <w:r>
              <w:rPr>
                <w:spacing w:val="-2"/>
                <w:sz w:val="16"/>
              </w:rPr>
              <w:t> </w:t>
            </w:r>
            <w:r>
              <w:rPr>
                <w:spacing w:val="-10"/>
                <w:sz w:val="16"/>
              </w:rPr>
              <w:t>/</w:t>
            </w:r>
          </w:p>
          <w:p>
            <w:pPr>
              <w:pStyle w:val="TableParagraph"/>
              <w:spacing w:line="182" w:lineRule="exact"/>
              <w:ind w:left="72" w:right="103"/>
              <w:rPr>
                <w:sz w:val="16"/>
              </w:rPr>
            </w:pPr>
            <w:r>
              <w:rPr>
                <w:spacing w:val="-2"/>
                <w:sz w:val="16"/>
              </w:rPr>
              <w:t>Estrategia</w:t>
            </w:r>
            <w:r>
              <w:rPr>
                <w:spacing w:val="-10"/>
                <w:sz w:val="16"/>
              </w:rPr>
              <w:t> </w:t>
            </w:r>
            <w:r>
              <w:rPr>
                <w:spacing w:val="-2"/>
                <w:sz w:val="16"/>
              </w:rPr>
              <w:t>GpRD 5.1.2).</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left="72" w:right="200"/>
              <w:rPr>
                <w:sz w:val="16"/>
              </w:rPr>
            </w:pPr>
            <w:r>
              <w:rPr>
                <w:sz w:val="16"/>
              </w:rPr>
              <w:t>Porcentaje</w:t>
            </w:r>
            <w:r>
              <w:rPr>
                <w:spacing w:val="-12"/>
                <w:sz w:val="16"/>
              </w:rPr>
              <w:t> </w:t>
            </w:r>
            <w:r>
              <w:rPr>
                <w:sz w:val="16"/>
              </w:rPr>
              <w:t>de avance en la aplicación de </w:t>
            </w:r>
            <w:r>
              <w:rPr>
                <w:spacing w:val="-2"/>
                <w:sz w:val="16"/>
              </w:rPr>
              <w:t>ajustes </w:t>
            </w:r>
            <w:r>
              <w:rPr>
                <w:sz w:val="16"/>
              </w:rPr>
              <w:t>normativos y emisión de </w:t>
            </w:r>
            <w:r>
              <w:rPr>
                <w:spacing w:val="-2"/>
                <w:sz w:val="16"/>
              </w:rPr>
              <w:t>lineamientos.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spacing w:before="1"/>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2021"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1.29.2:</w:t>
            </w:r>
          </w:p>
          <w:p>
            <w:pPr>
              <w:pStyle w:val="TableParagraph"/>
              <w:ind w:left="72" w:right="104"/>
              <w:rPr>
                <w:sz w:val="16"/>
              </w:rPr>
            </w:pPr>
            <w:r>
              <w:rPr>
                <w:sz w:val="16"/>
              </w:rPr>
              <w:t>Gestión</w:t>
            </w:r>
            <w:r>
              <w:rPr>
                <w:spacing w:val="-12"/>
                <w:sz w:val="16"/>
              </w:rPr>
              <w:t> </w:t>
            </w:r>
            <w:r>
              <w:rPr>
                <w:sz w:val="16"/>
              </w:rPr>
              <w:t>de</w:t>
            </w:r>
            <w:r>
              <w:rPr>
                <w:spacing w:val="-11"/>
                <w:sz w:val="16"/>
              </w:rPr>
              <w:t> </w:t>
            </w:r>
            <w:r>
              <w:rPr>
                <w:sz w:val="16"/>
              </w:rPr>
              <w:t>proyectos conforme a metodologías de administración de </w:t>
            </w:r>
            <w:r>
              <w:rPr>
                <w:spacing w:val="-2"/>
                <w:sz w:val="16"/>
              </w:rPr>
              <w:t>proyectos comprobadas </w:t>
            </w:r>
            <w:r>
              <w:rPr>
                <w:sz w:val="16"/>
              </w:rPr>
              <w:t>(vinculada a PEI</w:t>
            </w:r>
          </w:p>
          <w:p>
            <w:pPr>
              <w:pStyle w:val="TableParagraph"/>
              <w:spacing w:line="183" w:lineRule="exact"/>
              <w:ind w:left="72"/>
              <w:rPr>
                <w:sz w:val="16"/>
              </w:rPr>
            </w:pPr>
            <w:r>
              <w:rPr>
                <w:sz w:val="16"/>
              </w:rPr>
              <w:t>2.9.2</w:t>
            </w:r>
            <w:r>
              <w:rPr>
                <w:spacing w:val="-5"/>
                <w:sz w:val="16"/>
              </w:rPr>
              <w:t> </w:t>
            </w:r>
            <w:r>
              <w:rPr>
                <w:sz w:val="16"/>
              </w:rPr>
              <w:t>/</w:t>
            </w:r>
            <w:r>
              <w:rPr>
                <w:spacing w:val="-4"/>
                <w:sz w:val="16"/>
              </w:rPr>
              <w:t> </w:t>
            </w:r>
            <w:r>
              <w:rPr>
                <w:spacing w:val="-2"/>
                <w:sz w:val="16"/>
              </w:rPr>
              <w:t>Estrategia</w:t>
            </w:r>
          </w:p>
          <w:p>
            <w:pPr>
              <w:pStyle w:val="TableParagraph"/>
              <w:spacing w:line="163" w:lineRule="exact"/>
              <w:ind w:left="72"/>
              <w:rPr>
                <w:sz w:val="16"/>
              </w:rPr>
            </w:pPr>
            <w:r>
              <w:rPr>
                <w:sz w:val="16"/>
              </w:rPr>
              <w:t>GpRD</w:t>
            </w:r>
            <w:r>
              <w:rPr>
                <w:spacing w:val="-7"/>
                <w:sz w:val="16"/>
              </w:rPr>
              <w:t> </w:t>
            </w:r>
            <w:r>
              <w:rPr>
                <w:sz w:val="16"/>
              </w:rPr>
              <w:t>5.2.1</w:t>
            </w:r>
            <w:r>
              <w:rPr>
                <w:spacing w:val="-2"/>
                <w:sz w:val="16"/>
              </w:rPr>
              <w:t> </w:t>
            </w:r>
            <w:r>
              <w:rPr>
                <w:spacing w:val="-10"/>
                <w:sz w:val="16"/>
              </w:rPr>
              <w:t>/</w:t>
            </w:r>
          </w:p>
        </w:tc>
        <w:tc>
          <w:tcPr>
            <w:tcW w:w="1278" w:type="dxa"/>
          </w:tcPr>
          <w:p>
            <w:pPr>
              <w:pStyle w:val="TableParagraph"/>
              <w:spacing w:before="181"/>
              <w:ind w:left="72" w:right="142"/>
              <w:rPr>
                <w:sz w:val="16"/>
              </w:rPr>
            </w:pPr>
            <w:r>
              <w:rPr>
                <w:sz w:val="16"/>
              </w:rPr>
              <w:t>Porcentaje de </w:t>
            </w:r>
            <w:r>
              <w:rPr>
                <w:spacing w:val="-2"/>
                <w:sz w:val="16"/>
              </w:rPr>
              <w:t>proyectos gestionados </w:t>
            </w:r>
            <w:r>
              <w:rPr>
                <w:sz w:val="16"/>
              </w:rPr>
              <w:t>conforme a </w:t>
            </w:r>
            <w:r>
              <w:rPr>
                <w:spacing w:val="-2"/>
                <w:sz w:val="16"/>
              </w:rPr>
              <w:t>metodologías </w:t>
            </w:r>
            <w:r>
              <w:rPr>
                <w:spacing w:val="-6"/>
                <w:sz w:val="16"/>
              </w:rPr>
              <w:t>de</w:t>
            </w:r>
            <w:r>
              <w:rPr>
                <w:spacing w:val="-2"/>
                <w:sz w:val="16"/>
              </w:rPr>
              <w:t> administración </w:t>
            </w:r>
            <w:r>
              <w:rPr>
                <w:sz w:val="16"/>
              </w:rPr>
              <w:t>de proyectos </w:t>
            </w:r>
            <w:r>
              <w:rPr>
                <w:spacing w:val="-2"/>
                <w:sz w:val="16"/>
              </w:rPr>
              <w:t>comprobadas.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179"/>
              <w:rPr>
                <w:b/>
                <w:sz w:val="16"/>
              </w:rPr>
            </w:pPr>
          </w:p>
          <w:p>
            <w:pPr>
              <w:pStyle w:val="TableParagraph"/>
              <w:spacing w:before="1"/>
              <w:ind w:left="4" w:right="1"/>
              <w:jc w:val="center"/>
              <w:rPr>
                <w:sz w:val="16"/>
              </w:rPr>
            </w:pPr>
            <w:r>
              <w:rPr>
                <w:spacing w:val="-5"/>
                <w:sz w:val="16"/>
              </w:rPr>
              <w:t>50%</w:t>
            </w:r>
          </w:p>
        </w:tc>
        <w:tc>
          <w:tcPr>
            <w:tcW w:w="1494" w:type="dxa"/>
          </w:tcPr>
          <w:p>
            <w:pPr>
              <w:pStyle w:val="TableParagraph"/>
              <w:rPr>
                <w:rFonts w:ascii="Times New Roman"/>
                <w:sz w:val="16"/>
              </w:rPr>
            </w:pPr>
          </w:p>
        </w:tc>
      </w:tr>
    </w:tbl>
    <w:p>
      <w:pPr>
        <w:pStyle w:val="TableParagraph"/>
        <w:spacing w:after="0"/>
        <w:rPr>
          <w:rFonts w:ascii="Times New Roman"/>
          <w:sz w:val="16"/>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936" w:hRule="atLeast"/>
        </w:trPr>
        <w:tc>
          <w:tcPr>
            <w:tcW w:w="1695" w:type="dxa"/>
          </w:tcPr>
          <w:p>
            <w:pPr>
              <w:pStyle w:val="TableParagraph"/>
              <w:spacing w:line="173" w:lineRule="exact"/>
              <w:ind w:left="72"/>
              <w:rPr>
                <w:sz w:val="16"/>
              </w:rPr>
            </w:pPr>
            <w:r>
              <w:rPr>
                <w:spacing w:val="-2"/>
                <w:sz w:val="16"/>
              </w:rPr>
              <w:t>Estrategia</w:t>
            </w:r>
            <w:r>
              <w:rPr>
                <w:spacing w:val="8"/>
                <w:sz w:val="16"/>
              </w:rPr>
              <w:t> </w:t>
            </w:r>
            <w:r>
              <w:rPr>
                <w:spacing w:val="-4"/>
                <w:sz w:val="16"/>
              </w:rPr>
              <w:t>GpRD</w:t>
            </w:r>
          </w:p>
          <w:p>
            <w:pPr>
              <w:pStyle w:val="TableParagraph"/>
              <w:spacing w:line="183" w:lineRule="exact" w:before="4"/>
              <w:ind w:left="72"/>
              <w:rPr>
                <w:sz w:val="16"/>
              </w:rPr>
            </w:pPr>
            <w:r>
              <w:rPr>
                <w:sz w:val="16"/>
              </w:rPr>
              <w:t>5.2.2</w:t>
            </w:r>
            <w:r>
              <w:rPr>
                <w:spacing w:val="-5"/>
                <w:sz w:val="16"/>
              </w:rPr>
              <w:t> </w:t>
            </w:r>
            <w:r>
              <w:rPr>
                <w:sz w:val="16"/>
              </w:rPr>
              <w:t>/</w:t>
            </w:r>
            <w:r>
              <w:rPr>
                <w:spacing w:val="-4"/>
                <w:sz w:val="16"/>
              </w:rPr>
              <w:t> </w:t>
            </w:r>
            <w:r>
              <w:rPr>
                <w:spacing w:val="-2"/>
                <w:sz w:val="16"/>
              </w:rPr>
              <w:t>Estrategia</w:t>
            </w:r>
          </w:p>
          <w:p>
            <w:pPr>
              <w:pStyle w:val="TableParagraph"/>
              <w:spacing w:line="182" w:lineRule="exact"/>
              <w:ind w:left="72"/>
              <w:rPr>
                <w:sz w:val="16"/>
              </w:rPr>
            </w:pPr>
            <w:r>
              <w:rPr>
                <w:sz w:val="16"/>
              </w:rPr>
              <w:t>GpRD</w:t>
            </w:r>
            <w:r>
              <w:rPr>
                <w:spacing w:val="-7"/>
                <w:sz w:val="16"/>
              </w:rPr>
              <w:t> </w:t>
            </w:r>
            <w:r>
              <w:rPr>
                <w:sz w:val="16"/>
              </w:rPr>
              <w:t>5.3.1</w:t>
            </w:r>
            <w:r>
              <w:rPr>
                <w:spacing w:val="-2"/>
                <w:sz w:val="16"/>
              </w:rPr>
              <w:t> </w:t>
            </w:r>
            <w:r>
              <w:rPr>
                <w:spacing w:val="-10"/>
                <w:sz w:val="16"/>
              </w:rPr>
              <w:t>/</w:t>
            </w:r>
          </w:p>
          <w:p>
            <w:pPr>
              <w:pStyle w:val="TableParagraph"/>
              <w:spacing w:line="183" w:lineRule="exact"/>
              <w:ind w:left="72"/>
              <w:rPr>
                <w:sz w:val="16"/>
              </w:rPr>
            </w:pPr>
            <w:r>
              <w:rPr>
                <w:spacing w:val="-2"/>
                <w:sz w:val="16"/>
              </w:rPr>
              <w:t>Estrategia</w:t>
            </w:r>
            <w:r>
              <w:rPr>
                <w:spacing w:val="8"/>
                <w:sz w:val="16"/>
              </w:rPr>
              <w:t> </w:t>
            </w:r>
            <w:r>
              <w:rPr>
                <w:spacing w:val="-4"/>
                <w:sz w:val="16"/>
              </w:rPr>
              <w:t>GpRD</w:t>
            </w:r>
          </w:p>
          <w:p>
            <w:pPr>
              <w:pStyle w:val="TableParagraph"/>
              <w:spacing w:before="3"/>
              <w:ind w:left="72"/>
              <w:rPr>
                <w:sz w:val="16"/>
              </w:rPr>
            </w:pPr>
            <w:r>
              <w:rPr>
                <w:spacing w:val="-2"/>
                <w:sz w:val="16"/>
              </w:rPr>
              <w:t>5.3.2).</w:t>
            </w:r>
          </w:p>
        </w:tc>
        <w:tc>
          <w:tcPr>
            <w:tcW w:w="1278" w:type="dxa"/>
          </w:tcPr>
          <w:p>
            <w:pPr>
              <w:pStyle w:val="TableParagraph"/>
              <w:rPr>
                <w:rFonts w:ascii="Times New Roman"/>
                <w:sz w:val="16"/>
              </w:rPr>
            </w:pP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rFonts w:ascii="Times New Roman"/>
                <w:sz w:val="16"/>
              </w:rPr>
            </w:pPr>
          </w:p>
        </w:tc>
        <w:tc>
          <w:tcPr>
            <w:tcW w:w="1494" w:type="dxa"/>
          </w:tcPr>
          <w:p>
            <w:pPr>
              <w:pStyle w:val="TableParagraph"/>
              <w:rPr>
                <w:rFonts w:ascii="Times New Roman"/>
                <w:sz w:val="16"/>
              </w:rPr>
            </w:pPr>
          </w:p>
        </w:tc>
      </w:tr>
      <w:tr>
        <w:trPr>
          <w:trHeight w:val="494" w:hRule="atLeast"/>
        </w:trPr>
        <w:tc>
          <w:tcPr>
            <w:tcW w:w="14323" w:type="dxa"/>
            <w:gridSpan w:val="10"/>
            <w:shd w:val="clear" w:color="auto" w:fill="EFF8F9"/>
          </w:tcPr>
          <w:p>
            <w:pPr>
              <w:pStyle w:val="TableParagraph"/>
              <w:spacing w:line="244" w:lineRule="auto"/>
              <w:ind w:left="72" w:right="95"/>
              <w:rPr>
                <w:b/>
                <w:sz w:val="16"/>
              </w:rPr>
            </w:pPr>
            <w:r>
              <w:rPr>
                <w:b/>
                <w:sz w:val="16"/>
              </w:rPr>
              <w:t>Producto PPPS 1.30:</w:t>
            </w:r>
            <w:r>
              <w:rPr>
                <w:b/>
                <w:spacing w:val="-4"/>
                <w:sz w:val="16"/>
              </w:rPr>
              <w:t> </w:t>
            </w:r>
            <w:r>
              <w:rPr>
                <w:b/>
                <w:sz w:val="16"/>
              </w:rPr>
              <w:t>Estrategia</w:t>
            </w:r>
            <w:r>
              <w:rPr>
                <w:b/>
                <w:spacing w:val="-1"/>
                <w:sz w:val="16"/>
              </w:rPr>
              <w:t> </w:t>
            </w:r>
            <w:r>
              <w:rPr>
                <w:b/>
                <w:sz w:val="16"/>
              </w:rPr>
              <w:t>de</w:t>
            </w:r>
            <w:r>
              <w:rPr>
                <w:b/>
                <w:spacing w:val="-1"/>
                <w:sz w:val="16"/>
              </w:rPr>
              <w:t> </w:t>
            </w:r>
            <w:r>
              <w:rPr>
                <w:b/>
                <w:sz w:val="16"/>
              </w:rPr>
              <w:t>participación ciudadana</w:t>
            </w:r>
            <w:r>
              <w:rPr>
                <w:b/>
                <w:spacing w:val="-1"/>
                <w:sz w:val="16"/>
              </w:rPr>
              <w:t> </w:t>
            </w:r>
            <w:r>
              <w:rPr>
                <w:b/>
                <w:sz w:val="16"/>
              </w:rPr>
              <w:t>diseñada, homologada</w:t>
            </w:r>
            <w:r>
              <w:rPr>
                <w:b/>
                <w:spacing w:val="-1"/>
                <w:sz w:val="16"/>
              </w:rPr>
              <w:t> </w:t>
            </w:r>
            <w:r>
              <w:rPr>
                <w:b/>
                <w:sz w:val="16"/>
              </w:rPr>
              <w:t>y</w:t>
            </w:r>
            <w:r>
              <w:rPr>
                <w:b/>
                <w:spacing w:val="-1"/>
                <w:sz w:val="16"/>
              </w:rPr>
              <w:t> </w:t>
            </w:r>
            <w:r>
              <w:rPr>
                <w:b/>
                <w:sz w:val="16"/>
              </w:rPr>
              <w:t>oficializada</w:t>
            </w:r>
            <w:r>
              <w:rPr>
                <w:b/>
                <w:spacing w:val="-1"/>
                <w:sz w:val="16"/>
              </w:rPr>
              <w:t> </w:t>
            </w:r>
            <w:r>
              <w:rPr>
                <w:b/>
                <w:sz w:val="16"/>
              </w:rPr>
              <w:t>que</w:t>
            </w:r>
            <w:r>
              <w:rPr>
                <w:b/>
                <w:spacing w:val="-5"/>
                <w:sz w:val="16"/>
              </w:rPr>
              <w:t> </w:t>
            </w:r>
            <w:r>
              <w:rPr>
                <w:b/>
                <w:sz w:val="16"/>
              </w:rPr>
              <w:t>implique</w:t>
            </w:r>
            <w:r>
              <w:rPr>
                <w:b/>
                <w:spacing w:val="-5"/>
                <w:sz w:val="16"/>
              </w:rPr>
              <w:t> </w:t>
            </w:r>
            <w:r>
              <w:rPr>
                <w:b/>
                <w:sz w:val="16"/>
              </w:rPr>
              <w:t>la</w:t>
            </w:r>
            <w:r>
              <w:rPr>
                <w:b/>
                <w:spacing w:val="-5"/>
                <w:sz w:val="16"/>
              </w:rPr>
              <w:t> </w:t>
            </w:r>
            <w:r>
              <w:rPr>
                <w:b/>
                <w:sz w:val="16"/>
              </w:rPr>
              <w:t>rendición de</w:t>
            </w:r>
            <w:r>
              <w:rPr>
                <w:b/>
                <w:spacing w:val="-1"/>
                <w:sz w:val="16"/>
              </w:rPr>
              <w:t> </w:t>
            </w:r>
            <w:r>
              <w:rPr>
                <w:b/>
                <w:sz w:val="16"/>
              </w:rPr>
              <w:t>cuentas</w:t>
            </w:r>
            <w:r>
              <w:rPr>
                <w:b/>
                <w:spacing w:val="-1"/>
                <w:sz w:val="16"/>
              </w:rPr>
              <w:t> </w:t>
            </w:r>
            <w:r>
              <w:rPr>
                <w:b/>
                <w:sz w:val="16"/>
              </w:rPr>
              <w:t>y</w:t>
            </w:r>
            <w:r>
              <w:rPr>
                <w:b/>
                <w:spacing w:val="-1"/>
                <w:sz w:val="16"/>
              </w:rPr>
              <w:t> </w:t>
            </w:r>
            <w:r>
              <w:rPr>
                <w:b/>
                <w:sz w:val="16"/>
              </w:rPr>
              <w:t>consulta</w:t>
            </w:r>
            <w:r>
              <w:rPr>
                <w:b/>
                <w:spacing w:val="-1"/>
                <w:sz w:val="16"/>
              </w:rPr>
              <w:t> </w:t>
            </w:r>
            <w:r>
              <w:rPr>
                <w:b/>
                <w:sz w:val="16"/>
              </w:rPr>
              <w:t>a</w:t>
            </w:r>
            <w:r>
              <w:rPr>
                <w:b/>
                <w:spacing w:val="-5"/>
                <w:sz w:val="16"/>
              </w:rPr>
              <w:t> </w:t>
            </w:r>
            <w:r>
              <w:rPr>
                <w:b/>
                <w:sz w:val="16"/>
              </w:rPr>
              <w:t>la</w:t>
            </w:r>
            <w:r>
              <w:rPr>
                <w:b/>
                <w:spacing w:val="-1"/>
                <w:sz w:val="16"/>
              </w:rPr>
              <w:t> </w:t>
            </w:r>
            <w:r>
              <w:rPr>
                <w:b/>
                <w:sz w:val="16"/>
              </w:rPr>
              <w:t>población</w:t>
            </w:r>
            <w:r>
              <w:rPr>
                <w:b/>
                <w:spacing w:val="-4"/>
                <w:sz w:val="16"/>
              </w:rPr>
              <w:t> </w:t>
            </w:r>
            <w:r>
              <w:rPr>
                <w:b/>
                <w:sz w:val="16"/>
              </w:rPr>
              <w:t>objetivo</w:t>
            </w:r>
            <w:r>
              <w:rPr>
                <w:b/>
                <w:spacing w:val="-4"/>
                <w:sz w:val="16"/>
              </w:rPr>
              <w:t> </w:t>
            </w:r>
            <w:r>
              <w:rPr>
                <w:b/>
                <w:sz w:val="16"/>
              </w:rPr>
              <w:t>a</w:t>
            </w:r>
            <w:r>
              <w:rPr>
                <w:b/>
                <w:spacing w:val="-1"/>
                <w:sz w:val="16"/>
              </w:rPr>
              <w:t> </w:t>
            </w:r>
            <w:r>
              <w:rPr>
                <w:b/>
                <w:sz w:val="16"/>
              </w:rPr>
              <w:t>fin de</w:t>
            </w:r>
            <w:r>
              <w:rPr>
                <w:b/>
                <w:spacing w:val="-5"/>
                <w:sz w:val="16"/>
              </w:rPr>
              <w:t> </w:t>
            </w:r>
            <w:r>
              <w:rPr>
                <w:b/>
                <w:sz w:val="16"/>
              </w:rPr>
              <w:t>procurar la transparencia en la gestión institucional. E3 AE1 R1</w:t>
            </w:r>
          </w:p>
        </w:tc>
      </w:tr>
      <w:tr>
        <w:trPr>
          <w:trHeight w:val="1843" w:hRule="atLeast"/>
        </w:trPr>
        <w:tc>
          <w:tcPr>
            <w:tcW w:w="1695" w:type="dxa"/>
          </w:tcPr>
          <w:p>
            <w:pPr>
              <w:pStyle w:val="TableParagraph"/>
              <w:spacing w:before="3"/>
              <w:ind w:left="72"/>
              <w:rPr>
                <w:b/>
                <w:sz w:val="16"/>
              </w:rPr>
            </w:pPr>
            <w:r>
              <w:rPr>
                <w:b/>
                <w:spacing w:val="-2"/>
                <w:sz w:val="16"/>
              </w:rPr>
              <w:t>Actividad</w:t>
            </w:r>
            <w:r>
              <w:rPr>
                <w:b/>
                <w:spacing w:val="-10"/>
                <w:sz w:val="16"/>
              </w:rPr>
              <w:t> </w:t>
            </w:r>
            <w:r>
              <w:rPr>
                <w:b/>
                <w:spacing w:val="-2"/>
                <w:sz w:val="16"/>
              </w:rPr>
              <w:t>PPPS 1.30.1:</w:t>
            </w:r>
          </w:p>
          <w:p>
            <w:pPr>
              <w:pStyle w:val="TableParagraph"/>
              <w:ind w:left="72" w:right="112"/>
              <w:rPr>
                <w:sz w:val="16"/>
              </w:rPr>
            </w:pPr>
            <w:r>
              <w:rPr>
                <w:sz w:val="16"/>
              </w:rPr>
              <w:t>Elaboración</w:t>
            </w:r>
            <w:r>
              <w:rPr>
                <w:spacing w:val="-2"/>
                <w:sz w:val="16"/>
              </w:rPr>
              <w:t> </w:t>
            </w:r>
            <w:r>
              <w:rPr>
                <w:sz w:val="16"/>
              </w:rPr>
              <w:t>y aprobación de estrategia de consulta</w:t>
            </w:r>
            <w:r>
              <w:rPr>
                <w:spacing w:val="-12"/>
                <w:sz w:val="16"/>
              </w:rPr>
              <w:t> </w:t>
            </w:r>
            <w:r>
              <w:rPr>
                <w:sz w:val="16"/>
              </w:rPr>
              <w:t>ciudadana</w:t>
            </w:r>
            <w:r>
              <w:rPr>
                <w:spacing w:val="-11"/>
                <w:sz w:val="16"/>
              </w:rPr>
              <w:t> </w:t>
            </w:r>
            <w:r>
              <w:rPr>
                <w:sz w:val="16"/>
              </w:rPr>
              <w:t>y rendición</w:t>
            </w:r>
            <w:r>
              <w:rPr>
                <w:spacing w:val="-10"/>
                <w:sz w:val="16"/>
              </w:rPr>
              <w:t> </w:t>
            </w:r>
            <w:r>
              <w:rPr>
                <w:sz w:val="16"/>
              </w:rPr>
              <w:t>de</w:t>
            </w:r>
            <w:r>
              <w:rPr>
                <w:spacing w:val="-11"/>
                <w:sz w:val="16"/>
              </w:rPr>
              <w:t> </w:t>
            </w:r>
            <w:r>
              <w:rPr>
                <w:sz w:val="16"/>
              </w:rPr>
              <w:t>cuentas (vinculado a PEI</w:t>
            </w:r>
          </w:p>
          <w:p>
            <w:pPr>
              <w:pStyle w:val="TableParagraph"/>
              <w:ind w:left="72"/>
              <w:rPr>
                <w:sz w:val="16"/>
              </w:rPr>
            </w:pPr>
            <w:r>
              <w:rPr>
                <w:sz w:val="16"/>
              </w:rPr>
              <w:t>3.1.1</w:t>
            </w:r>
            <w:r>
              <w:rPr>
                <w:spacing w:val="-5"/>
                <w:sz w:val="16"/>
              </w:rPr>
              <w:t> </w:t>
            </w:r>
            <w:r>
              <w:rPr>
                <w:sz w:val="16"/>
              </w:rPr>
              <w:t>/</w:t>
            </w:r>
            <w:r>
              <w:rPr>
                <w:spacing w:val="-4"/>
                <w:sz w:val="16"/>
              </w:rPr>
              <w:t> </w:t>
            </w:r>
            <w:r>
              <w:rPr>
                <w:spacing w:val="-2"/>
                <w:sz w:val="16"/>
              </w:rPr>
              <w:t>Estrategia</w:t>
            </w:r>
          </w:p>
          <w:p>
            <w:pPr>
              <w:pStyle w:val="TableParagraph"/>
              <w:spacing w:line="163" w:lineRule="exact" w:before="1"/>
              <w:ind w:left="72"/>
              <w:rPr>
                <w:sz w:val="16"/>
              </w:rPr>
            </w:pPr>
            <w:r>
              <w:rPr>
                <w:sz w:val="16"/>
              </w:rPr>
              <w:t>GpRD</w:t>
            </w:r>
            <w:r>
              <w:rPr>
                <w:spacing w:val="-7"/>
                <w:sz w:val="16"/>
              </w:rPr>
              <w:t> </w:t>
            </w:r>
            <w:r>
              <w:rPr>
                <w:spacing w:val="-2"/>
                <w:sz w:val="16"/>
              </w:rPr>
              <w:t>2.6.4)</w:t>
            </w:r>
          </w:p>
        </w:tc>
        <w:tc>
          <w:tcPr>
            <w:tcW w:w="1278" w:type="dxa"/>
          </w:tcPr>
          <w:p>
            <w:pPr>
              <w:pStyle w:val="TableParagraph"/>
              <w:spacing w:before="1"/>
              <w:rPr>
                <w:b/>
                <w:sz w:val="16"/>
              </w:rPr>
            </w:pPr>
          </w:p>
          <w:p>
            <w:pPr>
              <w:pStyle w:val="TableParagraph"/>
              <w:ind w:left="72" w:right="138"/>
              <w:rPr>
                <w:sz w:val="16"/>
              </w:rPr>
            </w:pPr>
            <w:r>
              <w:rPr>
                <w:sz w:val="16"/>
              </w:rPr>
              <w:t>Porcentaje de avance en la elaboración</w:t>
            </w:r>
            <w:r>
              <w:rPr>
                <w:spacing w:val="-12"/>
                <w:sz w:val="16"/>
              </w:rPr>
              <w:t> </w:t>
            </w:r>
            <w:r>
              <w:rPr>
                <w:sz w:val="16"/>
              </w:rPr>
              <w:t>de una</w:t>
            </w:r>
            <w:r>
              <w:rPr>
                <w:spacing w:val="-5"/>
                <w:sz w:val="16"/>
              </w:rPr>
              <w:t> </w:t>
            </w:r>
            <w:r>
              <w:rPr>
                <w:sz w:val="16"/>
              </w:rPr>
              <w:t>estrategia de</w:t>
            </w:r>
            <w:r>
              <w:rPr>
                <w:spacing w:val="-2"/>
                <w:sz w:val="16"/>
              </w:rPr>
              <w:t> </w:t>
            </w:r>
            <w:r>
              <w:rPr>
                <w:sz w:val="16"/>
              </w:rPr>
              <w:t>consulta ciudadana</w:t>
            </w:r>
            <w:r>
              <w:rPr>
                <w:spacing w:val="-2"/>
                <w:sz w:val="16"/>
              </w:rPr>
              <w:t> </w:t>
            </w:r>
            <w:r>
              <w:rPr>
                <w:sz w:val="16"/>
              </w:rPr>
              <w:t>y rendición de </w:t>
            </w:r>
            <w:r>
              <w:rPr>
                <w:spacing w:val="-2"/>
                <w:sz w:val="16"/>
              </w:rPr>
              <w:t>cuentas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left="21" w:right="13"/>
              <w:jc w:val="center"/>
              <w:rPr>
                <w:sz w:val="16"/>
              </w:rPr>
            </w:pPr>
            <w:r>
              <w:rPr>
                <w:spacing w:val="-4"/>
                <w:sz w:val="16"/>
              </w:rPr>
              <w:t>100%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1656"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1.30.2:</w:t>
            </w:r>
          </w:p>
          <w:p>
            <w:pPr>
              <w:pStyle w:val="TableParagraph"/>
              <w:ind w:left="72" w:right="70"/>
              <w:rPr>
                <w:sz w:val="16"/>
              </w:rPr>
            </w:pPr>
            <w:r>
              <w:rPr>
                <w:sz w:val="16"/>
              </w:rPr>
              <w:t>Aplicación de estrategia de</w:t>
            </w:r>
            <w:r>
              <w:rPr>
                <w:spacing w:val="40"/>
                <w:sz w:val="16"/>
              </w:rPr>
              <w:t> </w:t>
            </w:r>
            <w:r>
              <w:rPr>
                <w:sz w:val="16"/>
              </w:rPr>
              <w:t>consulta</w:t>
            </w:r>
            <w:r>
              <w:rPr>
                <w:spacing w:val="-1"/>
                <w:sz w:val="16"/>
              </w:rPr>
              <w:t> </w:t>
            </w:r>
            <w:r>
              <w:rPr>
                <w:sz w:val="16"/>
              </w:rPr>
              <w:t>ciudadana</w:t>
            </w:r>
            <w:r>
              <w:rPr>
                <w:spacing w:val="-1"/>
                <w:sz w:val="16"/>
              </w:rPr>
              <w:t> </w:t>
            </w:r>
            <w:r>
              <w:rPr>
                <w:sz w:val="16"/>
              </w:rPr>
              <w:t>y sesiones</w:t>
            </w:r>
            <w:r>
              <w:rPr>
                <w:spacing w:val="-12"/>
                <w:sz w:val="16"/>
              </w:rPr>
              <w:t> </w:t>
            </w:r>
            <w:r>
              <w:rPr>
                <w:sz w:val="16"/>
              </w:rPr>
              <w:t>de</w:t>
            </w:r>
            <w:r>
              <w:rPr>
                <w:spacing w:val="-11"/>
                <w:sz w:val="16"/>
              </w:rPr>
              <w:t> </w:t>
            </w:r>
            <w:r>
              <w:rPr>
                <w:sz w:val="16"/>
              </w:rPr>
              <w:t>rendición de</w:t>
            </w:r>
            <w:r>
              <w:rPr>
                <w:spacing w:val="-2"/>
                <w:sz w:val="16"/>
              </w:rPr>
              <w:t> </w:t>
            </w:r>
            <w:r>
              <w:rPr>
                <w:sz w:val="16"/>
              </w:rPr>
              <w:t>cuentas</w:t>
            </w:r>
            <w:r>
              <w:rPr>
                <w:spacing w:val="40"/>
                <w:sz w:val="16"/>
              </w:rPr>
              <w:t> </w:t>
            </w:r>
            <w:r>
              <w:rPr>
                <w:sz w:val="16"/>
              </w:rPr>
              <w:t>(vinculado a PEI</w:t>
            </w:r>
          </w:p>
          <w:p>
            <w:pPr>
              <w:pStyle w:val="TableParagraph"/>
              <w:spacing w:line="164" w:lineRule="exact"/>
              <w:ind w:left="72"/>
              <w:rPr>
                <w:sz w:val="16"/>
              </w:rPr>
            </w:pPr>
            <w:r>
              <w:rPr>
                <w:spacing w:val="-2"/>
                <w:sz w:val="16"/>
              </w:rPr>
              <w:t>3.1.1)</w:t>
            </w:r>
          </w:p>
        </w:tc>
        <w:tc>
          <w:tcPr>
            <w:tcW w:w="1278" w:type="dxa"/>
          </w:tcPr>
          <w:p>
            <w:pPr>
              <w:pStyle w:val="TableParagraph"/>
              <w:spacing w:before="89"/>
              <w:ind w:left="72" w:right="103"/>
              <w:rPr>
                <w:sz w:val="16"/>
              </w:rPr>
            </w:pPr>
            <w:r>
              <w:rPr>
                <w:sz w:val="16"/>
              </w:rPr>
              <w:t>Porcentaje</w:t>
            </w:r>
            <w:r>
              <w:rPr>
                <w:spacing w:val="-12"/>
                <w:sz w:val="16"/>
              </w:rPr>
              <w:t> </w:t>
            </w:r>
            <w:r>
              <w:rPr>
                <w:sz w:val="16"/>
              </w:rPr>
              <w:t>de </w:t>
            </w:r>
            <w:r>
              <w:rPr>
                <w:spacing w:val="-2"/>
                <w:sz w:val="16"/>
              </w:rPr>
              <w:t>población </w:t>
            </w:r>
            <w:r>
              <w:rPr>
                <w:sz w:val="16"/>
              </w:rPr>
              <w:t>objetivo por </w:t>
            </w:r>
            <w:r>
              <w:rPr>
                <w:spacing w:val="-2"/>
                <w:sz w:val="16"/>
              </w:rPr>
              <w:t>Área</w:t>
            </w:r>
            <w:r>
              <w:rPr>
                <w:spacing w:val="-10"/>
                <w:sz w:val="16"/>
              </w:rPr>
              <w:t> </w:t>
            </w:r>
            <w:r>
              <w:rPr>
                <w:spacing w:val="-2"/>
                <w:sz w:val="16"/>
              </w:rPr>
              <w:t>Regional </w:t>
            </w:r>
            <w:r>
              <w:rPr>
                <w:sz w:val="16"/>
              </w:rPr>
              <w:t>que</w:t>
            </w:r>
            <w:r>
              <w:rPr>
                <w:spacing w:val="-2"/>
                <w:sz w:val="16"/>
              </w:rPr>
              <w:t> </w:t>
            </w:r>
            <w:r>
              <w:rPr>
                <w:sz w:val="16"/>
              </w:rPr>
              <w:t>participa dentro de la </w:t>
            </w:r>
            <w:r>
              <w:rPr>
                <w:spacing w:val="-2"/>
                <w:sz w:val="16"/>
              </w:rPr>
              <w:t>estrategia institucional</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spacing w:before="181"/>
              <w:rPr>
                <w:b/>
                <w:sz w:val="16"/>
              </w:rPr>
            </w:pPr>
          </w:p>
          <w:p>
            <w:pPr>
              <w:pStyle w:val="TableParagraph"/>
              <w:ind w:right="1"/>
              <w:jc w:val="center"/>
              <w:rPr>
                <w:sz w:val="16"/>
              </w:rPr>
            </w:pPr>
            <w:r>
              <w:rPr>
                <w:spacing w:val="-5"/>
                <w:sz w:val="16"/>
              </w:rPr>
              <w:t>30%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spacing w:before="181"/>
              <w:rPr>
                <w:b/>
                <w:sz w:val="16"/>
              </w:rPr>
            </w:pPr>
          </w:p>
          <w:p>
            <w:pPr>
              <w:pStyle w:val="TableParagraph"/>
              <w:ind w:left="16" w:right="19"/>
              <w:jc w:val="center"/>
              <w:rPr>
                <w:sz w:val="16"/>
              </w:rPr>
            </w:pPr>
            <w:r>
              <w:rPr>
                <w:spacing w:val="-5"/>
                <w:sz w:val="16"/>
              </w:rPr>
              <w:t>60%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181"/>
              <w:rPr>
                <w:b/>
                <w:sz w:val="16"/>
              </w:rPr>
            </w:pPr>
          </w:p>
          <w:p>
            <w:pPr>
              <w:pStyle w:val="TableParagraph"/>
              <w:ind w:left="4" w:right="1"/>
              <w:jc w:val="center"/>
              <w:rPr>
                <w:sz w:val="16"/>
              </w:rPr>
            </w:pPr>
            <w:r>
              <w:rPr>
                <w:spacing w:val="-5"/>
                <w:sz w:val="16"/>
              </w:rPr>
              <w:t>60%</w:t>
            </w:r>
          </w:p>
        </w:tc>
        <w:tc>
          <w:tcPr>
            <w:tcW w:w="1494" w:type="dxa"/>
          </w:tcPr>
          <w:p>
            <w:pPr>
              <w:pStyle w:val="TableParagraph"/>
              <w:rPr>
                <w:rFonts w:ascii="Times New Roman"/>
                <w:sz w:val="16"/>
              </w:rPr>
            </w:pPr>
          </w:p>
        </w:tc>
      </w:tr>
      <w:tr>
        <w:trPr>
          <w:trHeight w:val="301" w:hRule="atLeast"/>
        </w:trPr>
        <w:tc>
          <w:tcPr>
            <w:tcW w:w="14323" w:type="dxa"/>
            <w:gridSpan w:val="10"/>
            <w:shd w:val="clear" w:color="auto" w:fill="EFF8F9"/>
          </w:tcPr>
          <w:p>
            <w:pPr>
              <w:pStyle w:val="TableParagraph"/>
              <w:spacing w:before="56"/>
              <w:ind w:left="72"/>
              <w:rPr>
                <w:b/>
                <w:sz w:val="16"/>
              </w:rPr>
            </w:pPr>
            <w:r>
              <w:rPr>
                <w:b/>
                <w:sz w:val="16"/>
              </w:rPr>
              <w:t>Producto</w:t>
            </w:r>
            <w:r>
              <w:rPr>
                <w:b/>
                <w:spacing w:val="-1"/>
                <w:sz w:val="16"/>
              </w:rPr>
              <w:t> </w:t>
            </w:r>
            <w:r>
              <w:rPr>
                <w:b/>
                <w:sz w:val="16"/>
              </w:rPr>
              <w:t>PPPS 1.31:</w:t>
            </w:r>
            <w:r>
              <w:rPr>
                <w:b/>
                <w:spacing w:val="-5"/>
                <w:sz w:val="16"/>
              </w:rPr>
              <w:t> </w:t>
            </w:r>
            <w:r>
              <w:rPr>
                <w:b/>
                <w:sz w:val="16"/>
              </w:rPr>
              <w:t>Planes</w:t>
            </w:r>
            <w:r>
              <w:rPr>
                <w:b/>
                <w:spacing w:val="-2"/>
                <w:sz w:val="16"/>
              </w:rPr>
              <w:t> </w:t>
            </w:r>
            <w:r>
              <w:rPr>
                <w:b/>
                <w:sz w:val="16"/>
              </w:rPr>
              <w:t>institucionales</w:t>
            </w:r>
            <w:r>
              <w:rPr>
                <w:b/>
                <w:spacing w:val="-1"/>
                <w:sz w:val="16"/>
              </w:rPr>
              <w:t> </w:t>
            </w:r>
            <w:r>
              <w:rPr>
                <w:b/>
                <w:sz w:val="16"/>
              </w:rPr>
              <w:t>de</w:t>
            </w:r>
            <w:r>
              <w:rPr>
                <w:b/>
                <w:spacing w:val="-2"/>
                <w:sz w:val="16"/>
              </w:rPr>
              <w:t> </w:t>
            </w:r>
            <w:r>
              <w:rPr>
                <w:b/>
                <w:sz w:val="16"/>
              </w:rPr>
              <w:t>la</w:t>
            </w:r>
            <w:r>
              <w:rPr>
                <w:b/>
                <w:spacing w:val="-2"/>
                <w:sz w:val="16"/>
              </w:rPr>
              <w:t> </w:t>
            </w:r>
            <w:r>
              <w:rPr>
                <w:b/>
                <w:sz w:val="16"/>
              </w:rPr>
              <w:t>DDS</w:t>
            </w:r>
            <w:r>
              <w:rPr>
                <w:b/>
                <w:spacing w:val="-5"/>
                <w:sz w:val="16"/>
              </w:rPr>
              <w:t> </w:t>
            </w:r>
            <w:r>
              <w:rPr>
                <w:b/>
                <w:sz w:val="16"/>
              </w:rPr>
              <w:t>formulados</w:t>
            </w:r>
            <w:r>
              <w:rPr>
                <w:b/>
                <w:spacing w:val="-1"/>
                <w:sz w:val="16"/>
              </w:rPr>
              <w:t> </w:t>
            </w:r>
            <w:r>
              <w:rPr>
                <w:b/>
                <w:sz w:val="16"/>
              </w:rPr>
              <w:t>considerando</w:t>
            </w:r>
            <w:r>
              <w:rPr>
                <w:b/>
                <w:spacing w:val="-5"/>
                <w:sz w:val="16"/>
              </w:rPr>
              <w:t> </w:t>
            </w:r>
            <w:r>
              <w:rPr>
                <w:b/>
                <w:sz w:val="16"/>
              </w:rPr>
              <w:t>los</w:t>
            </w:r>
            <w:r>
              <w:rPr>
                <w:b/>
                <w:spacing w:val="-2"/>
                <w:sz w:val="16"/>
              </w:rPr>
              <w:t> </w:t>
            </w:r>
            <w:r>
              <w:rPr>
                <w:b/>
                <w:sz w:val="16"/>
              </w:rPr>
              <w:t>insumos</w:t>
            </w:r>
            <w:r>
              <w:rPr>
                <w:b/>
                <w:spacing w:val="-2"/>
                <w:sz w:val="16"/>
              </w:rPr>
              <w:t> </w:t>
            </w:r>
            <w:r>
              <w:rPr>
                <w:b/>
                <w:sz w:val="16"/>
              </w:rPr>
              <w:t>de</w:t>
            </w:r>
            <w:r>
              <w:rPr>
                <w:b/>
                <w:spacing w:val="-5"/>
                <w:sz w:val="16"/>
              </w:rPr>
              <w:t> </w:t>
            </w:r>
            <w:r>
              <w:rPr>
                <w:b/>
                <w:sz w:val="16"/>
              </w:rPr>
              <w:t>las</w:t>
            </w:r>
            <w:r>
              <w:rPr>
                <w:b/>
                <w:spacing w:val="-6"/>
                <w:sz w:val="16"/>
              </w:rPr>
              <w:t> </w:t>
            </w:r>
            <w:r>
              <w:rPr>
                <w:b/>
                <w:sz w:val="16"/>
              </w:rPr>
              <w:t>rendiciones</w:t>
            </w:r>
            <w:r>
              <w:rPr>
                <w:b/>
                <w:spacing w:val="-1"/>
                <w:sz w:val="16"/>
              </w:rPr>
              <w:t> </w:t>
            </w:r>
            <w:r>
              <w:rPr>
                <w:b/>
                <w:sz w:val="16"/>
              </w:rPr>
              <w:t>de</w:t>
            </w:r>
            <w:r>
              <w:rPr>
                <w:b/>
                <w:spacing w:val="-6"/>
                <w:sz w:val="16"/>
              </w:rPr>
              <w:t> </w:t>
            </w:r>
            <w:r>
              <w:rPr>
                <w:b/>
                <w:sz w:val="16"/>
              </w:rPr>
              <w:t>cuenta</w:t>
            </w:r>
            <w:r>
              <w:rPr>
                <w:b/>
                <w:spacing w:val="-2"/>
                <w:sz w:val="16"/>
              </w:rPr>
              <w:t> </w:t>
            </w:r>
            <w:r>
              <w:rPr>
                <w:b/>
                <w:sz w:val="16"/>
              </w:rPr>
              <w:t>y</w:t>
            </w:r>
            <w:r>
              <w:rPr>
                <w:b/>
                <w:spacing w:val="-1"/>
                <w:sz w:val="16"/>
              </w:rPr>
              <w:t> </w:t>
            </w:r>
            <w:r>
              <w:rPr>
                <w:b/>
                <w:sz w:val="16"/>
              </w:rPr>
              <w:t>consultas</w:t>
            </w:r>
            <w:r>
              <w:rPr>
                <w:b/>
                <w:spacing w:val="-6"/>
                <w:sz w:val="16"/>
              </w:rPr>
              <w:t> </w:t>
            </w:r>
            <w:r>
              <w:rPr>
                <w:b/>
                <w:sz w:val="16"/>
              </w:rPr>
              <w:t>a</w:t>
            </w:r>
            <w:r>
              <w:rPr>
                <w:b/>
                <w:spacing w:val="-2"/>
                <w:sz w:val="16"/>
              </w:rPr>
              <w:t> </w:t>
            </w:r>
            <w:r>
              <w:rPr>
                <w:b/>
                <w:sz w:val="16"/>
              </w:rPr>
              <w:t>la</w:t>
            </w:r>
            <w:r>
              <w:rPr>
                <w:b/>
                <w:spacing w:val="-5"/>
                <w:sz w:val="16"/>
              </w:rPr>
              <w:t> </w:t>
            </w:r>
            <w:r>
              <w:rPr>
                <w:b/>
                <w:sz w:val="16"/>
              </w:rPr>
              <w:t>población</w:t>
            </w:r>
            <w:r>
              <w:rPr>
                <w:b/>
                <w:spacing w:val="-1"/>
                <w:sz w:val="16"/>
              </w:rPr>
              <w:t> </w:t>
            </w:r>
            <w:r>
              <w:rPr>
                <w:b/>
                <w:sz w:val="16"/>
              </w:rPr>
              <w:t>objetivo.</w:t>
            </w:r>
            <w:r>
              <w:rPr>
                <w:b/>
                <w:spacing w:val="-1"/>
                <w:sz w:val="16"/>
              </w:rPr>
              <w:t> </w:t>
            </w:r>
            <w:r>
              <w:rPr>
                <w:b/>
                <w:sz w:val="16"/>
              </w:rPr>
              <w:t>E3</w:t>
            </w:r>
            <w:r>
              <w:rPr>
                <w:b/>
                <w:spacing w:val="-2"/>
                <w:sz w:val="16"/>
              </w:rPr>
              <w:t> </w:t>
            </w:r>
            <w:r>
              <w:rPr>
                <w:b/>
                <w:sz w:val="16"/>
              </w:rPr>
              <w:t>AE1</w:t>
            </w:r>
            <w:r>
              <w:rPr>
                <w:b/>
                <w:spacing w:val="-5"/>
                <w:sz w:val="16"/>
              </w:rPr>
              <w:t> R2</w:t>
            </w:r>
          </w:p>
        </w:tc>
      </w:tr>
      <w:tr>
        <w:trPr>
          <w:trHeight w:val="2760" w:hRule="atLeast"/>
        </w:trPr>
        <w:tc>
          <w:tcPr>
            <w:tcW w:w="1695" w:type="dxa"/>
          </w:tcPr>
          <w:p>
            <w:pPr>
              <w:pStyle w:val="TableParagraph"/>
              <w:spacing w:before="181"/>
              <w:ind w:left="72"/>
              <w:rPr>
                <w:b/>
                <w:sz w:val="16"/>
              </w:rPr>
            </w:pPr>
            <w:r>
              <w:rPr>
                <w:b/>
                <w:spacing w:val="-2"/>
                <w:sz w:val="16"/>
              </w:rPr>
              <w:t>Actividad</w:t>
            </w:r>
            <w:r>
              <w:rPr>
                <w:b/>
                <w:spacing w:val="-10"/>
                <w:sz w:val="16"/>
              </w:rPr>
              <w:t> </w:t>
            </w:r>
            <w:r>
              <w:rPr>
                <w:b/>
                <w:spacing w:val="-2"/>
                <w:sz w:val="16"/>
              </w:rPr>
              <w:t>PPPS 1.31.1:</w:t>
            </w:r>
          </w:p>
          <w:p>
            <w:pPr>
              <w:pStyle w:val="TableParagraph"/>
              <w:spacing w:before="1"/>
              <w:ind w:left="72" w:right="128"/>
              <w:rPr>
                <w:sz w:val="16"/>
              </w:rPr>
            </w:pPr>
            <w:r>
              <w:rPr>
                <w:sz w:val="16"/>
              </w:rPr>
              <w:t>Elaboración de estrategia para la creación de planes institucionales que consideren los insumos de las rendiciones de cuenta</w:t>
            </w:r>
            <w:r>
              <w:rPr>
                <w:spacing w:val="-12"/>
                <w:sz w:val="16"/>
              </w:rPr>
              <w:t> </w:t>
            </w:r>
            <w:r>
              <w:rPr>
                <w:sz w:val="16"/>
              </w:rPr>
              <w:t>y</w:t>
            </w:r>
            <w:r>
              <w:rPr>
                <w:spacing w:val="-11"/>
                <w:sz w:val="16"/>
              </w:rPr>
              <w:t> </w:t>
            </w:r>
            <w:r>
              <w:rPr>
                <w:sz w:val="16"/>
              </w:rPr>
              <w:t>consultas</w:t>
            </w:r>
            <w:r>
              <w:rPr>
                <w:spacing w:val="-11"/>
                <w:sz w:val="16"/>
              </w:rPr>
              <w:t> </w:t>
            </w:r>
            <w:r>
              <w:rPr>
                <w:sz w:val="16"/>
              </w:rPr>
              <w:t>a la</w:t>
            </w:r>
            <w:r>
              <w:rPr>
                <w:spacing w:val="-12"/>
                <w:sz w:val="16"/>
              </w:rPr>
              <w:t> </w:t>
            </w:r>
            <w:r>
              <w:rPr>
                <w:sz w:val="16"/>
              </w:rPr>
              <w:t>población</w:t>
            </w:r>
            <w:r>
              <w:rPr>
                <w:spacing w:val="-11"/>
                <w:sz w:val="16"/>
              </w:rPr>
              <w:t> </w:t>
            </w:r>
            <w:r>
              <w:rPr>
                <w:sz w:val="16"/>
              </w:rPr>
              <w:t>objetivo (vinculado a PEI </w:t>
            </w:r>
            <w:r>
              <w:rPr>
                <w:spacing w:val="-2"/>
                <w:sz w:val="16"/>
              </w:rPr>
              <w:t>3.1.2)</w:t>
            </w:r>
          </w:p>
        </w:tc>
        <w:tc>
          <w:tcPr>
            <w:tcW w:w="1278" w:type="dxa"/>
          </w:tcPr>
          <w:p>
            <w:pPr>
              <w:pStyle w:val="TableParagraph"/>
              <w:ind w:left="72" w:right="103"/>
              <w:rPr>
                <w:sz w:val="16"/>
              </w:rPr>
            </w:pPr>
            <w:r>
              <w:rPr>
                <w:sz w:val="16"/>
              </w:rPr>
              <w:t>Porcentaje de avance en la elaboración de la estrategia para para la creación de </w:t>
            </w:r>
            <w:r>
              <w:rPr>
                <w:spacing w:val="-2"/>
                <w:sz w:val="16"/>
              </w:rPr>
              <w:t>planes institucionales que</w:t>
            </w:r>
            <w:r>
              <w:rPr>
                <w:spacing w:val="-10"/>
                <w:sz w:val="16"/>
              </w:rPr>
              <w:t> </w:t>
            </w:r>
            <w:r>
              <w:rPr>
                <w:spacing w:val="-2"/>
                <w:sz w:val="16"/>
              </w:rPr>
              <w:t>consideren </w:t>
            </w:r>
            <w:r>
              <w:rPr>
                <w:sz w:val="16"/>
              </w:rPr>
              <w:t>los</w:t>
            </w:r>
            <w:r>
              <w:rPr>
                <w:spacing w:val="-9"/>
                <w:sz w:val="16"/>
              </w:rPr>
              <w:t> </w:t>
            </w:r>
            <w:r>
              <w:rPr>
                <w:sz w:val="16"/>
              </w:rPr>
              <w:t>insumos</w:t>
            </w:r>
            <w:r>
              <w:rPr>
                <w:spacing w:val="-6"/>
                <w:sz w:val="16"/>
              </w:rPr>
              <w:t> </w:t>
            </w:r>
            <w:r>
              <w:rPr>
                <w:sz w:val="16"/>
              </w:rPr>
              <w:t>de las</w:t>
            </w:r>
            <w:r>
              <w:rPr>
                <w:spacing w:val="-12"/>
                <w:sz w:val="16"/>
              </w:rPr>
              <w:t> </w:t>
            </w:r>
            <w:r>
              <w:rPr>
                <w:sz w:val="16"/>
              </w:rPr>
              <w:t>rendiciones de cuenta y consultas a la</w:t>
            </w:r>
          </w:p>
          <w:p>
            <w:pPr>
              <w:pStyle w:val="TableParagraph"/>
              <w:spacing w:line="182" w:lineRule="exact"/>
              <w:ind w:left="72" w:right="509"/>
              <w:rPr>
                <w:sz w:val="16"/>
              </w:rPr>
            </w:pPr>
            <w:r>
              <w:rPr>
                <w:spacing w:val="-2"/>
                <w:sz w:val="16"/>
              </w:rPr>
              <w:t>población objetivo.</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1"/>
              <w:rPr>
                <w:b/>
                <w:sz w:val="16"/>
              </w:rPr>
            </w:pPr>
          </w:p>
          <w:p>
            <w:pPr>
              <w:pStyle w:val="TableParagraph"/>
              <w:ind w:left="21" w:right="13"/>
              <w:jc w:val="center"/>
              <w:rPr>
                <w:sz w:val="16"/>
              </w:rPr>
            </w:pPr>
            <w:r>
              <w:rPr>
                <w:spacing w:val="-4"/>
                <w:sz w:val="16"/>
              </w:rPr>
              <w:t>100%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1"/>
              <w:rPr>
                <w:b/>
                <w:sz w:val="16"/>
              </w:rPr>
            </w:pPr>
          </w:p>
          <w:p>
            <w:pPr>
              <w:pStyle w:val="TableParagraph"/>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1"/>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1"/>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32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209"/>
        <w:gridCol w:w="1278"/>
        <w:gridCol w:w="1278"/>
        <w:gridCol w:w="1561"/>
        <w:gridCol w:w="1134"/>
        <w:gridCol w:w="1561"/>
        <w:gridCol w:w="1277"/>
        <w:gridCol w:w="1700"/>
        <w:gridCol w:w="1345"/>
        <w:gridCol w:w="1494"/>
      </w:tblGrid>
      <w:tr>
        <w:trPr>
          <w:trHeight w:val="316" w:hRule="atLeast"/>
        </w:trPr>
        <w:tc>
          <w:tcPr>
            <w:tcW w:w="1695" w:type="dxa"/>
            <w:gridSpan w:val="2"/>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gridSpan w:val="2"/>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2208" w:hRule="atLeast"/>
        </w:trPr>
        <w:tc>
          <w:tcPr>
            <w:tcW w:w="1695" w:type="dxa"/>
            <w:gridSpan w:val="2"/>
          </w:tcPr>
          <w:p>
            <w:pPr>
              <w:pStyle w:val="TableParagraph"/>
              <w:spacing w:before="95"/>
              <w:ind w:left="72"/>
              <w:rPr>
                <w:b/>
                <w:sz w:val="16"/>
              </w:rPr>
            </w:pPr>
            <w:r>
              <w:rPr>
                <w:b/>
                <w:spacing w:val="-2"/>
                <w:sz w:val="16"/>
              </w:rPr>
              <w:t>Actividad</w:t>
            </w:r>
            <w:r>
              <w:rPr>
                <w:b/>
                <w:spacing w:val="-10"/>
                <w:sz w:val="16"/>
              </w:rPr>
              <w:t> </w:t>
            </w:r>
            <w:r>
              <w:rPr>
                <w:b/>
                <w:spacing w:val="-2"/>
                <w:sz w:val="16"/>
              </w:rPr>
              <w:t>PPPS 1.31.2:</w:t>
            </w:r>
          </w:p>
          <w:p>
            <w:pPr>
              <w:pStyle w:val="TableParagraph"/>
              <w:ind w:left="72" w:right="98"/>
              <w:rPr>
                <w:sz w:val="16"/>
              </w:rPr>
            </w:pPr>
            <w:r>
              <w:rPr>
                <w:sz w:val="16"/>
              </w:rPr>
              <w:t>Elaboración de </w:t>
            </w:r>
            <w:r>
              <w:rPr>
                <w:spacing w:val="-2"/>
                <w:sz w:val="16"/>
              </w:rPr>
              <w:t>planes</w:t>
            </w:r>
            <w:r>
              <w:rPr>
                <w:spacing w:val="-5"/>
                <w:sz w:val="16"/>
              </w:rPr>
              <w:t> </w:t>
            </w:r>
            <w:r>
              <w:rPr>
                <w:spacing w:val="-2"/>
                <w:sz w:val="16"/>
              </w:rPr>
              <w:t>institucionales </w:t>
            </w:r>
            <w:r>
              <w:rPr>
                <w:sz w:val="16"/>
              </w:rPr>
              <w:t>que consideren los insumos derivados de</w:t>
            </w:r>
            <w:r>
              <w:rPr>
                <w:spacing w:val="-12"/>
                <w:sz w:val="16"/>
              </w:rPr>
              <w:t> </w:t>
            </w:r>
            <w:r>
              <w:rPr>
                <w:sz w:val="16"/>
              </w:rPr>
              <w:t>las</w:t>
            </w:r>
            <w:r>
              <w:rPr>
                <w:spacing w:val="-11"/>
                <w:sz w:val="16"/>
              </w:rPr>
              <w:t> </w:t>
            </w:r>
            <w:r>
              <w:rPr>
                <w:sz w:val="16"/>
              </w:rPr>
              <w:t>rendiciones</w:t>
            </w:r>
            <w:r>
              <w:rPr>
                <w:spacing w:val="-11"/>
                <w:sz w:val="16"/>
              </w:rPr>
              <w:t> </w:t>
            </w:r>
            <w:r>
              <w:rPr>
                <w:sz w:val="16"/>
              </w:rPr>
              <w:t>de cuenta y consultas a la población objetivo (vinculado a PEI </w:t>
            </w:r>
            <w:r>
              <w:rPr>
                <w:spacing w:val="-2"/>
                <w:sz w:val="16"/>
              </w:rPr>
              <w:t>3.1.2)</w:t>
            </w:r>
          </w:p>
        </w:tc>
        <w:tc>
          <w:tcPr>
            <w:tcW w:w="1278" w:type="dxa"/>
          </w:tcPr>
          <w:p>
            <w:pPr>
              <w:pStyle w:val="TableParagraph"/>
              <w:ind w:left="72" w:right="69"/>
              <w:rPr>
                <w:sz w:val="16"/>
              </w:rPr>
            </w:pPr>
            <w:r>
              <w:rPr>
                <w:sz w:val="16"/>
              </w:rPr>
              <w:t>Porcentaje de </w:t>
            </w:r>
            <w:r>
              <w:rPr>
                <w:spacing w:val="-2"/>
                <w:sz w:val="16"/>
              </w:rPr>
              <w:t>planes institucionales </w:t>
            </w:r>
            <w:r>
              <w:rPr>
                <w:sz w:val="16"/>
              </w:rPr>
              <w:t>de la DDS con resultados</w:t>
            </w:r>
            <w:r>
              <w:rPr>
                <w:spacing w:val="-12"/>
                <w:sz w:val="16"/>
              </w:rPr>
              <w:t> </w:t>
            </w:r>
            <w:r>
              <w:rPr>
                <w:sz w:val="16"/>
              </w:rPr>
              <w:t>de</w:t>
            </w:r>
            <w:r>
              <w:rPr>
                <w:spacing w:val="-11"/>
                <w:sz w:val="16"/>
              </w:rPr>
              <w:t> </w:t>
            </w:r>
            <w:r>
              <w:rPr>
                <w:sz w:val="16"/>
              </w:rPr>
              <w:t>la estrategia de </w:t>
            </w:r>
            <w:r>
              <w:rPr>
                <w:spacing w:val="-2"/>
                <w:sz w:val="16"/>
              </w:rPr>
              <w:t>participación ciudadana incorporados, </w:t>
            </w:r>
            <w:r>
              <w:rPr>
                <w:sz w:val="16"/>
              </w:rPr>
              <w:t>que</w:t>
            </w:r>
            <w:r>
              <w:rPr>
                <w:spacing w:val="-2"/>
                <w:sz w:val="16"/>
              </w:rPr>
              <w:t> </w:t>
            </w:r>
            <w:r>
              <w:rPr>
                <w:sz w:val="16"/>
              </w:rPr>
              <w:t>permitan</w:t>
            </w:r>
          </w:p>
          <w:p>
            <w:pPr>
              <w:pStyle w:val="TableParagraph"/>
              <w:spacing w:line="182" w:lineRule="exact"/>
              <w:ind w:left="72"/>
              <w:rPr>
                <w:sz w:val="16"/>
              </w:rPr>
            </w:pPr>
            <w:r>
              <w:rPr>
                <w:spacing w:val="-2"/>
                <w:sz w:val="16"/>
              </w:rPr>
              <w:t>generar</w:t>
            </w:r>
            <w:r>
              <w:rPr>
                <w:spacing w:val="-10"/>
                <w:sz w:val="16"/>
              </w:rPr>
              <w:t> </w:t>
            </w:r>
            <w:r>
              <w:rPr>
                <w:spacing w:val="-2"/>
                <w:sz w:val="16"/>
              </w:rPr>
              <w:t>valor público</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4" w:right="1"/>
              <w:jc w:val="center"/>
              <w:rPr>
                <w:sz w:val="16"/>
              </w:rPr>
            </w:pPr>
            <w:r>
              <w:rPr>
                <w:spacing w:val="-5"/>
                <w:sz w:val="16"/>
              </w:rPr>
              <w:t>60%</w:t>
            </w:r>
          </w:p>
        </w:tc>
        <w:tc>
          <w:tcPr>
            <w:tcW w:w="1494" w:type="dxa"/>
          </w:tcPr>
          <w:p>
            <w:pPr>
              <w:pStyle w:val="TableParagraph"/>
              <w:rPr>
                <w:rFonts w:ascii="Times New Roman"/>
                <w:sz w:val="16"/>
              </w:rPr>
            </w:pPr>
          </w:p>
        </w:tc>
      </w:tr>
      <w:tr>
        <w:trPr>
          <w:trHeight w:val="398" w:hRule="atLeast"/>
        </w:trPr>
        <w:tc>
          <w:tcPr>
            <w:tcW w:w="14323" w:type="dxa"/>
            <w:gridSpan w:val="11"/>
            <w:shd w:val="clear" w:color="auto" w:fill="EFF8F9"/>
          </w:tcPr>
          <w:p>
            <w:pPr>
              <w:pStyle w:val="TableParagraph"/>
              <w:spacing w:before="109"/>
              <w:ind w:left="72"/>
              <w:rPr>
                <w:b/>
                <w:sz w:val="16"/>
              </w:rPr>
            </w:pPr>
            <w:r>
              <w:rPr>
                <w:b/>
                <w:sz w:val="16"/>
              </w:rPr>
              <w:t>Producto</w:t>
            </w:r>
            <w:r>
              <w:rPr>
                <w:b/>
                <w:spacing w:val="-1"/>
                <w:sz w:val="16"/>
              </w:rPr>
              <w:t> </w:t>
            </w:r>
            <w:r>
              <w:rPr>
                <w:b/>
                <w:sz w:val="16"/>
              </w:rPr>
              <w:t>PPPS</w:t>
            </w:r>
            <w:r>
              <w:rPr>
                <w:b/>
                <w:spacing w:val="1"/>
                <w:sz w:val="16"/>
              </w:rPr>
              <w:t> </w:t>
            </w:r>
            <w:r>
              <w:rPr>
                <w:b/>
                <w:sz w:val="16"/>
              </w:rPr>
              <w:t>1.32:</w:t>
            </w:r>
            <w:r>
              <w:rPr>
                <w:b/>
                <w:spacing w:val="-5"/>
                <w:sz w:val="16"/>
              </w:rPr>
              <w:t> </w:t>
            </w:r>
            <w:r>
              <w:rPr>
                <w:b/>
                <w:sz w:val="16"/>
              </w:rPr>
              <w:t>Población en situación</w:t>
            </w:r>
            <w:r>
              <w:rPr>
                <w:b/>
                <w:spacing w:val="-1"/>
                <w:sz w:val="16"/>
              </w:rPr>
              <w:t> </w:t>
            </w:r>
            <w:r>
              <w:rPr>
                <w:b/>
                <w:sz w:val="16"/>
              </w:rPr>
              <w:t>de</w:t>
            </w:r>
            <w:r>
              <w:rPr>
                <w:b/>
                <w:spacing w:val="-1"/>
                <w:sz w:val="16"/>
              </w:rPr>
              <w:t> </w:t>
            </w:r>
            <w:r>
              <w:rPr>
                <w:b/>
                <w:sz w:val="16"/>
              </w:rPr>
              <w:t>pobreza</w:t>
            </w:r>
            <w:r>
              <w:rPr>
                <w:b/>
                <w:spacing w:val="-2"/>
                <w:sz w:val="16"/>
              </w:rPr>
              <w:t> </w:t>
            </w:r>
            <w:r>
              <w:rPr>
                <w:b/>
                <w:sz w:val="16"/>
              </w:rPr>
              <w:t>y</w:t>
            </w:r>
            <w:r>
              <w:rPr>
                <w:b/>
                <w:spacing w:val="-5"/>
                <w:sz w:val="16"/>
              </w:rPr>
              <w:t> </w:t>
            </w:r>
            <w:r>
              <w:rPr>
                <w:b/>
                <w:sz w:val="16"/>
              </w:rPr>
              <w:t>pobreza</w:t>
            </w:r>
            <w:r>
              <w:rPr>
                <w:b/>
                <w:spacing w:val="-5"/>
                <w:sz w:val="16"/>
              </w:rPr>
              <w:t> </w:t>
            </w:r>
            <w:r>
              <w:rPr>
                <w:b/>
                <w:sz w:val="16"/>
              </w:rPr>
              <w:t>extrema</w:t>
            </w:r>
            <w:r>
              <w:rPr>
                <w:b/>
                <w:spacing w:val="-1"/>
                <w:sz w:val="16"/>
              </w:rPr>
              <w:t> </w:t>
            </w:r>
            <w:r>
              <w:rPr>
                <w:b/>
                <w:sz w:val="16"/>
              </w:rPr>
              <w:t>con</w:t>
            </w:r>
            <w:r>
              <w:rPr>
                <w:b/>
                <w:spacing w:val="-5"/>
                <w:sz w:val="16"/>
              </w:rPr>
              <w:t> </w:t>
            </w:r>
            <w:r>
              <w:rPr>
                <w:b/>
                <w:sz w:val="16"/>
              </w:rPr>
              <w:t>limitaciones</w:t>
            </w:r>
            <w:r>
              <w:rPr>
                <w:b/>
                <w:spacing w:val="-5"/>
                <w:sz w:val="16"/>
              </w:rPr>
              <w:t> </w:t>
            </w:r>
            <w:r>
              <w:rPr>
                <w:b/>
                <w:sz w:val="16"/>
              </w:rPr>
              <w:t>de</w:t>
            </w:r>
            <w:r>
              <w:rPr>
                <w:b/>
                <w:spacing w:val="-1"/>
                <w:sz w:val="16"/>
              </w:rPr>
              <w:t> </w:t>
            </w:r>
            <w:r>
              <w:rPr>
                <w:b/>
                <w:sz w:val="16"/>
              </w:rPr>
              <w:t>acceso a</w:t>
            </w:r>
            <w:r>
              <w:rPr>
                <w:b/>
                <w:spacing w:val="-6"/>
                <w:sz w:val="16"/>
              </w:rPr>
              <w:t> </w:t>
            </w:r>
            <w:r>
              <w:rPr>
                <w:b/>
                <w:sz w:val="16"/>
              </w:rPr>
              <w:t>la</w:t>
            </w:r>
            <w:r>
              <w:rPr>
                <w:b/>
                <w:spacing w:val="-5"/>
                <w:sz w:val="16"/>
              </w:rPr>
              <w:t> </w:t>
            </w:r>
            <w:r>
              <w:rPr>
                <w:b/>
                <w:sz w:val="16"/>
              </w:rPr>
              <w:t>tecnología</w:t>
            </w:r>
            <w:r>
              <w:rPr>
                <w:b/>
                <w:spacing w:val="-1"/>
                <w:sz w:val="16"/>
              </w:rPr>
              <w:t> </w:t>
            </w:r>
            <w:r>
              <w:rPr>
                <w:b/>
                <w:sz w:val="16"/>
              </w:rPr>
              <w:t>y</w:t>
            </w:r>
            <w:r>
              <w:rPr>
                <w:b/>
                <w:spacing w:val="-5"/>
                <w:sz w:val="16"/>
              </w:rPr>
              <w:t> </w:t>
            </w:r>
            <w:r>
              <w:rPr>
                <w:b/>
                <w:sz w:val="16"/>
              </w:rPr>
              <w:t>brecha</w:t>
            </w:r>
            <w:r>
              <w:rPr>
                <w:b/>
                <w:spacing w:val="3"/>
                <w:sz w:val="16"/>
              </w:rPr>
              <w:t> </w:t>
            </w:r>
            <w:r>
              <w:rPr>
                <w:b/>
                <w:sz w:val="16"/>
              </w:rPr>
              <w:t>digital identificada.</w:t>
            </w:r>
            <w:r>
              <w:rPr>
                <w:b/>
                <w:spacing w:val="-5"/>
                <w:sz w:val="16"/>
              </w:rPr>
              <w:t> </w:t>
            </w:r>
            <w:r>
              <w:rPr>
                <w:b/>
                <w:sz w:val="16"/>
              </w:rPr>
              <w:t>E3</w:t>
            </w:r>
            <w:r>
              <w:rPr>
                <w:b/>
                <w:spacing w:val="-5"/>
                <w:sz w:val="16"/>
              </w:rPr>
              <w:t> </w:t>
            </w:r>
            <w:r>
              <w:rPr>
                <w:b/>
                <w:sz w:val="16"/>
              </w:rPr>
              <w:t>A2</w:t>
            </w:r>
            <w:r>
              <w:rPr>
                <w:b/>
                <w:spacing w:val="-5"/>
                <w:sz w:val="16"/>
              </w:rPr>
              <w:t> R1</w:t>
            </w:r>
          </w:p>
        </w:tc>
      </w:tr>
      <w:tr>
        <w:trPr>
          <w:trHeight w:val="2947" w:hRule="atLeast"/>
        </w:trPr>
        <w:tc>
          <w:tcPr>
            <w:tcW w:w="1695" w:type="dxa"/>
            <w:gridSpan w:val="2"/>
          </w:tcPr>
          <w:p>
            <w:pPr>
              <w:pStyle w:val="TableParagraph"/>
              <w:spacing w:before="1"/>
              <w:rPr>
                <w:b/>
                <w:sz w:val="16"/>
              </w:rPr>
            </w:pPr>
          </w:p>
          <w:p>
            <w:pPr>
              <w:pStyle w:val="TableParagraph"/>
              <w:ind w:left="72"/>
              <w:rPr>
                <w:b/>
                <w:sz w:val="16"/>
              </w:rPr>
            </w:pPr>
            <w:r>
              <w:rPr>
                <w:b/>
                <w:spacing w:val="-2"/>
                <w:sz w:val="16"/>
              </w:rPr>
              <w:t>Actividad</w:t>
            </w:r>
            <w:r>
              <w:rPr>
                <w:b/>
                <w:spacing w:val="-10"/>
                <w:sz w:val="16"/>
              </w:rPr>
              <w:t> </w:t>
            </w:r>
            <w:r>
              <w:rPr>
                <w:b/>
                <w:spacing w:val="-2"/>
                <w:sz w:val="16"/>
              </w:rPr>
              <w:t>PPPS 1.32.1:</w:t>
            </w:r>
          </w:p>
          <w:p>
            <w:pPr>
              <w:pStyle w:val="TableParagraph"/>
              <w:spacing w:before="2"/>
              <w:ind w:left="72" w:right="69"/>
              <w:rPr>
                <w:sz w:val="16"/>
              </w:rPr>
            </w:pPr>
            <w:r>
              <w:rPr>
                <w:sz w:val="16"/>
              </w:rPr>
              <w:t>Elaboración de lineamientos que orienten la elaboración del mapeo de población en</w:t>
            </w:r>
            <w:r>
              <w:rPr>
                <w:spacing w:val="-12"/>
                <w:sz w:val="16"/>
              </w:rPr>
              <w:t> </w:t>
            </w:r>
            <w:r>
              <w:rPr>
                <w:sz w:val="16"/>
              </w:rPr>
              <w:t>pobreza</w:t>
            </w:r>
            <w:r>
              <w:rPr>
                <w:spacing w:val="-11"/>
                <w:sz w:val="16"/>
              </w:rPr>
              <w:t> </w:t>
            </w:r>
            <w:r>
              <w:rPr>
                <w:sz w:val="16"/>
              </w:rPr>
              <w:t>extrema</w:t>
            </w:r>
            <w:r>
              <w:rPr>
                <w:spacing w:val="-11"/>
                <w:sz w:val="16"/>
              </w:rPr>
              <w:t> </w:t>
            </w:r>
            <w:r>
              <w:rPr>
                <w:sz w:val="16"/>
              </w:rPr>
              <w:t>y pobreza que poseen limitaciones en torno al acceso a tecnología y brecha digital (vinculado a PEI 3.2.1).</w:t>
            </w:r>
          </w:p>
        </w:tc>
        <w:tc>
          <w:tcPr>
            <w:tcW w:w="1278" w:type="dxa"/>
          </w:tcPr>
          <w:p>
            <w:pPr>
              <w:pStyle w:val="TableParagraph"/>
              <w:spacing w:before="3"/>
              <w:ind w:left="72" w:right="103"/>
              <w:rPr>
                <w:sz w:val="16"/>
              </w:rPr>
            </w:pPr>
            <w:r>
              <w:rPr>
                <w:sz w:val="16"/>
              </w:rPr>
              <w:t>Porcentaje de avance en la elaboración</w:t>
            </w:r>
            <w:r>
              <w:rPr>
                <w:spacing w:val="-7"/>
                <w:sz w:val="16"/>
              </w:rPr>
              <w:t> </w:t>
            </w:r>
            <w:r>
              <w:rPr>
                <w:sz w:val="16"/>
              </w:rPr>
              <w:t>de </w:t>
            </w:r>
            <w:r>
              <w:rPr>
                <w:spacing w:val="-2"/>
                <w:sz w:val="16"/>
              </w:rPr>
              <w:t>lineamientos </w:t>
            </w:r>
            <w:r>
              <w:rPr>
                <w:sz w:val="16"/>
              </w:rPr>
              <w:t>que</w:t>
            </w:r>
            <w:r>
              <w:rPr>
                <w:spacing w:val="-10"/>
                <w:sz w:val="16"/>
              </w:rPr>
              <w:t> </w:t>
            </w:r>
            <w:r>
              <w:rPr>
                <w:sz w:val="16"/>
              </w:rPr>
              <w:t>orienten</w:t>
            </w:r>
            <w:r>
              <w:rPr>
                <w:spacing w:val="-7"/>
                <w:sz w:val="16"/>
              </w:rPr>
              <w:t> </w:t>
            </w:r>
            <w:r>
              <w:rPr>
                <w:sz w:val="16"/>
              </w:rPr>
              <w:t>la </w:t>
            </w:r>
            <w:r>
              <w:rPr>
                <w:spacing w:val="-2"/>
                <w:sz w:val="16"/>
              </w:rPr>
              <w:t>elaboración</w:t>
            </w:r>
            <w:r>
              <w:rPr>
                <w:spacing w:val="-10"/>
                <w:sz w:val="16"/>
              </w:rPr>
              <w:t> </w:t>
            </w:r>
            <w:r>
              <w:rPr>
                <w:spacing w:val="-2"/>
                <w:sz w:val="16"/>
              </w:rPr>
              <w:t>del </w:t>
            </w:r>
            <w:r>
              <w:rPr>
                <w:sz w:val="16"/>
              </w:rPr>
              <w:t>mapeo de población</w:t>
            </w:r>
            <w:r>
              <w:rPr>
                <w:spacing w:val="-2"/>
                <w:sz w:val="16"/>
              </w:rPr>
              <w:t> </w:t>
            </w:r>
            <w:r>
              <w:rPr>
                <w:sz w:val="16"/>
              </w:rPr>
              <w:t>en </w:t>
            </w:r>
            <w:r>
              <w:rPr>
                <w:spacing w:val="-2"/>
                <w:sz w:val="16"/>
              </w:rPr>
              <w:t>pobreza </w:t>
            </w:r>
            <w:r>
              <w:rPr>
                <w:sz w:val="16"/>
              </w:rPr>
              <w:t>extrema y pobreza con limitaciones</w:t>
            </w:r>
            <w:r>
              <w:rPr>
                <w:spacing w:val="-12"/>
                <w:sz w:val="16"/>
              </w:rPr>
              <w:t> </w:t>
            </w:r>
            <w:r>
              <w:rPr>
                <w:sz w:val="16"/>
              </w:rPr>
              <w:t>de acceso a la tecnología</w:t>
            </w:r>
            <w:r>
              <w:rPr>
                <w:spacing w:val="-2"/>
                <w:sz w:val="16"/>
              </w:rPr>
              <w:t> </w:t>
            </w:r>
            <w:r>
              <w:rPr>
                <w:sz w:val="16"/>
              </w:rPr>
              <w:t>y brecha digital</w:t>
            </w:r>
          </w:p>
          <w:p>
            <w:pPr>
              <w:pStyle w:val="TableParagraph"/>
              <w:spacing w:line="165" w:lineRule="exact"/>
              <w:ind w:left="72"/>
              <w:rPr>
                <w:sz w:val="16"/>
              </w:rPr>
            </w:pPr>
            <w:r>
              <w:rPr>
                <w:spacing w:val="-2"/>
                <w:sz w:val="16"/>
              </w:rPr>
              <w:t>identificada.</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21" w:right="13"/>
              <w:jc w:val="center"/>
              <w:rPr>
                <w:sz w:val="16"/>
              </w:rPr>
            </w:pPr>
            <w:r>
              <w:rPr>
                <w:spacing w:val="-4"/>
                <w:sz w:val="16"/>
              </w:rPr>
              <w:t>100%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2588" w:hRule="atLeast"/>
        </w:trPr>
        <w:tc>
          <w:tcPr>
            <w:tcW w:w="1695" w:type="dxa"/>
            <w:gridSpan w:val="2"/>
            <w:tcBorders>
              <w:bottom w:val="nil"/>
            </w:tcBorders>
          </w:tcPr>
          <w:p>
            <w:pPr>
              <w:pStyle w:val="TableParagraph"/>
              <w:spacing w:line="244" w:lineRule="auto" w:before="181"/>
              <w:ind w:left="72"/>
              <w:rPr>
                <w:b/>
                <w:sz w:val="16"/>
              </w:rPr>
            </w:pPr>
            <w:r>
              <w:rPr>
                <w:b/>
                <w:spacing w:val="-2"/>
                <w:sz w:val="16"/>
              </w:rPr>
              <w:t>Actividad</w:t>
            </w:r>
            <w:r>
              <w:rPr>
                <w:b/>
                <w:spacing w:val="-10"/>
                <w:sz w:val="16"/>
              </w:rPr>
              <w:t> </w:t>
            </w:r>
            <w:r>
              <w:rPr>
                <w:b/>
                <w:spacing w:val="-2"/>
                <w:sz w:val="16"/>
              </w:rPr>
              <w:t>PPPS 1.32.2:</w:t>
            </w:r>
          </w:p>
          <w:p>
            <w:pPr>
              <w:pStyle w:val="TableParagraph"/>
              <w:ind w:left="72" w:right="69"/>
              <w:rPr>
                <w:sz w:val="16"/>
              </w:rPr>
            </w:pPr>
            <w:r>
              <w:rPr>
                <w:sz w:val="16"/>
              </w:rPr>
              <w:t>Realización de</w:t>
            </w:r>
            <w:r>
              <w:rPr>
                <w:spacing w:val="40"/>
                <w:sz w:val="16"/>
              </w:rPr>
              <w:t> </w:t>
            </w:r>
            <w:r>
              <w:rPr>
                <w:sz w:val="16"/>
              </w:rPr>
              <w:t>mapeo de población en</w:t>
            </w:r>
            <w:r>
              <w:rPr>
                <w:spacing w:val="-12"/>
                <w:sz w:val="16"/>
              </w:rPr>
              <w:t> </w:t>
            </w:r>
            <w:r>
              <w:rPr>
                <w:sz w:val="16"/>
              </w:rPr>
              <w:t>pobreza</w:t>
            </w:r>
            <w:r>
              <w:rPr>
                <w:spacing w:val="-11"/>
                <w:sz w:val="16"/>
              </w:rPr>
              <w:t> </w:t>
            </w:r>
            <w:r>
              <w:rPr>
                <w:sz w:val="16"/>
              </w:rPr>
              <w:t>extrema</w:t>
            </w:r>
            <w:r>
              <w:rPr>
                <w:spacing w:val="-11"/>
                <w:sz w:val="16"/>
              </w:rPr>
              <w:t> </w:t>
            </w:r>
            <w:r>
              <w:rPr>
                <w:sz w:val="16"/>
              </w:rPr>
              <w:t>y pobreza que </w:t>
            </w:r>
            <w:r>
              <w:rPr>
                <w:spacing w:val="-2"/>
                <w:sz w:val="16"/>
              </w:rPr>
              <w:t>identifique </w:t>
            </w:r>
            <w:r>
              <w:rPr>
                <w:sz w:val="16"/>
              </w:rPr>
              <w:t>limitaciones de acceso a la tecnología y brecha digital (vinculado a PEI 3.2.1).</w:t>
            </w:r>
          </w:p>
        </w:tc>
        <w:tc>
          <w:tcPr>
            <w:tcW w:w="1278" w:type="dxa"/>
            <w:tcBorders>
              <w:bottom w:val="single" w:sz="4" w:space="0" w:color="808080"/>
            </w:tcBorders>
          </w:tcPr>
          <w:p>
            <w:pPr>
              <w:pStyle w:val="TableParagraph"/>
              <w:ind w:left="72" w:right="142"/>
              <w:rPr>
                <w:sz w:val="16"/>
              </w:rPr>
            </w:pPr>
            <w:r>
              <w:rPr>
                <w:sz w:val="16"/>
              </w:rPr>
              <w:t>Porcentaje de hogares en situación</w:t>
            </w:r>
            <w:r>
              <w:rPr>
                <w:spacing w:val="-2"/>
                <w:sz w:val="16"/>
              </w:rPr>
              <w:t> </w:t>
            </w:r>
            <w:r>
              <w:rPr>
                <w:sz w:val="16"/>
              </w:rPr>
              <w:t>de </w:t>
            </w:r>
            <w:r>
              <w:rPr>
                <w:spacing w:val="-2"/>
                <w:sz w:val="16"/>
              </w:rPr>
              <w:t>pobreza </w:t>
            </w:r>
            <w:r>
              <w:rPr>
                <w:sz w:val="16"/>
              </w:rPr>
              <w:t>receptores de la oferta </w:t>
            </w:r>
            <w:r>
              <w:rPr>
                <w:spacing w:val="-2"/>
                <w:sz w:val="16"/>
              </w:rPr>
              <w:t>programática institucional </w:t>
            </w:r>
            <w:r>
              <w:rPr>
                <w:spacing w:val="-4"/>
                <w:sz w:val="16"/>
              </w:rPr>
              <w:t>con </w:t>
            </w:r>
            <w:r>
              <w:rPr>
                <w:spacing w:val="-2"/>
                <w:sz w:val="16"/>
              </w:rPr>
              <w:t>limitaciones</w:t>
            </w:r>
            <w:r>
              <w:rPr>
                <w:spacing w:val="-10"/>
                <w:sz w:val="16"/>
              </w:rPr>
              <w:t> </w:t>
            </w:r>
            <w:r>
              <w:rPr>
                <w:spacing w:val="-2"/>
                <w:sz w:val="16"/>
              </w:rPr>
              <w:t>de </w:t>
            </w:r>
            <w:r>
              <w:rPr>
                <w:sz w:val="16"/>
              </w:rPr>
              <w:t>acceso a la tecnología</w:t>
            </w:r>
            <w:r>
              <w:rPr>
                <w:spacing w:val="-2"/>
                <w:sz w:val="16"/>
              </w:rPr>
              <w:t> </w:t>
            </w:r>
            <w:r>
              <w:rPr>
                <w:sz w:val="16"/>
              </w:rPr>
              <w:t>y brecha digital</w:t>
            </w:r>
          </w:p>
          <w:p>
            <w:pPr>
              <w:pStyle w:val="TableParagraph"/>
              <w:spacing w:line="179" w:lineRule="exact"/>
              <w:ind w:left="72"/>
              <w:rPr>
                <w:sz w:val="16"/>
              </w:rPr>
            </w:pPr>
            <w:r>
              <w:rPr>
                <w:spacing w:val="-2"/>
                <w:sz w:val="16"/>
              </w:rPr>
              <w:t>identificada</w:t>
            </w:r>
          </w:p>
        </w:tc>
        <w:tc>
          <w:tcPr>
            <w:tcW w:w="1278" w:type="dxa"/>
            <w:tcBorders>
              <w:bottom w:val="single" w:sz="4" w:space="0" w:color="808080"/>
            </w:tcBorders>
          </w:tcPr>
          <w:p>
            <w:pPr>
              <w:pStyle w:val="TableParagraph"/>
              <w:rPr>
                <w:rFonts w:ascii="Times New Roman"/>
                <w:sz w:val="16"/>
              </w:rPr>
            </w:pPr>
          </w:p>
        </w:tc>
        <w:tc>
          <w:tcPr>
            <w:tcW w:w="1561" w:type="dxa"/>
            <w:tcBorders>
              <w:bottom w:val="single" w:sz="4" w:space="0" w:color="808080"/>
            </w:tcBorders>
          </w:tcPr>
          <w:p>
            <w:pPr>
              <w:pStyle w:val="TableParagraph"/>
              <w:rPr>
                <w:rFonts w:ascii="Times New Roman"/>
                <w:sz w:val="16"/>
              </w:rPr>
            </w:pPr>
          </w:p>
        </w:tc>
        <w:tc>
          <w:tcPr>
            <w:tcW w:w="1134" w:type="dxa"/>
            <w:tcBorders>
              <w:bottom w:val="single" w:sz="4" w:space="0" w:color="808080"/>
            </w:tcBorders>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ind w:right="1"/>
              <w:jc w:val="center"/>
              <w:rPr>
                <w:sz w:val="16"/>
              </w:rPr>
            </w:pPr>
            <w:r>
              <w:rPr>
                <w:spacing w:val="-5"/>
                <w:sz w:val="16"/>
              </w:rPr>
              <w:t>30%</w:t>
            </w:r>
          </w:p>
        </w:tc>
        <w:tc>
          <w:tcPr>
            <w:tcW w:w="1561" w:type="dxa"/>
            <w:tcBorders>
              <w:bottom w:val="single" w:sz="4" w:space="0" w:color="808080"/>
            </w:tcBorders>
          </w:tcPr>
          <w:p>
            <w:pPr>
              <w:pStyle w:val="TableParagraph"/>
              <w:rPr>
                <w:rFonts w:ascii="Times New Roman"/>
                <w:sz w:val="16"/>
              </w:rPr>
            </w:pPr>
          </w:p>
        </w:tc>
        <w:tc>
          <w:tcPr>
            <w:tcW w:w="1277" w:type="dxa"/>
            <w:tcBorders>
              <w:bottom w:val="single" w:sz="4" w:space="0" w:color="808080"/>
            </w:tcBorders>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ind w:left="16" w:right="19"/>
              <w:jc w:val="center"/>
              <w:rPr>
                <w:sz w:val="16"/>
              </w:rPr>
            </w:pPr>
            <w:r>
              <w:rPr>
                <w:spacing w:val="-5"/>
                <w:sz w:val="16"/>
              </w:rPr>
              <w:t>60%</w:t>
            </w:r>
          </w:p>
        </w:tc>
        <w:tc>
          <w:tcPr>
            <w:tcW w:w="1700" w:type="dxa"/>
            <w:tcBorders>
              <w:bottom w:val="single" w:sz="4" w:space="0" w:color="808080"/>
            </w:tcBorders>
          </w:tcPr>
          <w:p>
            <w:pPr>
              <w:pStyle w:val="TableParagraph"/>
              <w:rPr>
                <w:rFonts w:ascii="Times New Roman"/>
                <w:sz w:val="16"/>
              </w:rPr>
            </w:pPr>
          </w:p>
        </w:tc>
        <w:tc>
          <w:tcPr>
            <w:tcW w:w="1345" w:type="dxa"/>
            <w:tcBorders>
              <w:bottom w:val="single" w:sz="4" w:space="0" w:color="808080"/>
            </w:tcBorders>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ind w:left="4" w:right="1"/>
              <w:jc w:val="center"/>
              <w:rPr>
                <w:sz w:val="16"/>
              </w:rPr>
            </w:pPr>
            <w:r>
              <w:rPr>
                <w:spacing w:val="-5"/>
                <w:sz w:val="16"/>
              </w:rPr>
              <w:t>60%</w:t>
            </w:r>
          </w:p>
        </w:tc>
        <w:tc>
          <w:tcPr>
            <w:tcW w:w="1494" w:type="dxa"/>
            <w:tcBorders>
              <w:bottom w:val="single" w:sz="4" w:space="0" w:color="808080"/>
            </w:tcBorders>
          </w:tcPr>
          <w:p>
            <w:pPr>
              <w:pStyle w:val="TableParagraph"/>
              <w:rPr>
                <w:rFonts w:ascii="Times New Roman"/>
                <w:sz w:val="16"/>
              </w:rPr>
            </w:pPr>
          </w:p>
        </w:tc>
      </w:tr>
      <w:tr>
        <w:trPr>
          <w:trHeight w:val="1393" w:hRule="atLeast"/>
        </w:trPr>
        <w:tc>
          <w:tcPr>
            <w:tcW w:w="1486" w:type="dxa"/>
            <w:tcBorders>
              <w:top w:val="thinThickMediumGap" w:sz="9" w:space="0" w:color="808080"/>
              <w:left w:val="nil"/>
              <w:bottom w:val="nil"/>
              <w:right w:val="single" w:sz="18" w:space="0" w:color="808080"/>
            </w:tcBorders>
          </w:tcPr>
          <w:p>
            <w:pPr>
              <w:pStyle w:val="TableParagraph"/>
              <w:spacing w:before="11"/>
              <w:ind w:left="106"/>
              <w:rPr>
                <w:b/>
                <w:sz w:val="24"/>
              </w:rPr>
            </w:pPr>
            <w:r>
              <w:rPr>
                <w:b/>
                <w:spacing w:val="-5"/>
                <w:sz w:val="24"/>
              </w:rPr>
              <w:t>163</w:t>
            </w:r>
          </w:p>
        </w:tc>
        <w:tc>
          <w:tcPr>
            <w:tcW w:w="12837" w:type="dxa"/>
            <w:gridSpan w:val="10"/>
            <w:tcBorders>
              <w:top w:val="single" w:sz="4" w:space="0" w:color="808080"/>
              <w:left w:val="single" w:sz="18" w:space="0" w:color="808080"/>
              <w:bottom w:val="nil"/>
              <w:right w:val="nil"/>
            </w:tcBorders>
          </w:tcPr>
          <w:p>
            <w:pPr>
              <w:pStyle w:val="TableParagraph"/>
              <w:spacing w:line="242" w:lineRule="auto" w:before="11"/>
              <w:ind w:left="95" w:right="8657"/>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70"/>
          <w:pgSz w:w="15840" w:h="12240" w:orient="landscape"/>
          <w:pgMar w:header="0" w:footer="0" w:top="700" w:bottom="2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552" w:hRule="atLeast"/>
        </w:trPr>
        <w:tc>
          <w:tcPr>
            <w:tcW w:w="14323" w:type="dxa"/>
            <w:gridSpan w:val="10"/>
            <w:shd w:val="clear" w:color="auto" w:fill="EFF8F9"/>
          </w:tcPr>
          <w:p>
            <w:pPr>
              <w:pStyle w:val="TableParagraph"/>
              <w:spacing w:line="182" w:lineRule="exact" w:before="168"/>
              <w:ind w:left="72" w:right="95"/>
              <w:rPr>
                <w:b/>
                <w:sz w:val="16"/>
              </w:rPr>
            </w:pPr>
            <w:r>
              <w:rPr>
                <w:b/>
                <w:sz w:val="16"/>
              </w:rPr>
              <w:t>Producto PPPS 1.33:</w:t>
            </w:r>
            <w:r>
              <w:rPr>
                <w:b/>
                <w:spacing w:val="-4"/>
                <w:sz w:val="16"/>
              </w:rPr>
              <w:t> </w:t>
            </w:r>
            <w:r>
              <w:rPr>
                <w:b/>
                <w:sz w:val="16"/>
              </w:rPr>
              <w:t>Mecanismos</w:t>
            </w:r>
            <w:r>
              <w:rPr>
                <w:b/>
                <w:spacing w:val="-1"/>
                <w:sz w:val="16"/>
              </w:rPr>
              <w:t> </w:t>
            </w:r>
            <w:r>
              <w:rPr>
                <w:b/>
                <w:sz w:val="16"/>
              </w:rPr>
              <w:t>diseñados</w:t>
            </w:r>
            <w:r>
              <w:rPr>
                <w:b/>
                <w:spacing w:val="-1"/>
                <w:sz w:val="16"/>
              </w:rPr>
              <w:t> </w:t>
            </w:r>
            <w:r>
              <w:rPr>
                <w:b/>
                <w:sz w:val="16"/>
              </w:rPr>
              <w:t>e</w:t>
            </w:r>
            <w:r>
              <w:rPr>
                <w:b/>
                <w:spacing w:val="-5"/>
                <w:sz w:val="16"/>
              </w:rPr>
              <w:t> </w:t>
            </w:r>
            <w:r>
              <w:rPr>
                <w:b/>
                <w:sz w:val="16"/>
              </w:rPr>
              <w:t>implementados</w:t>
            </w:r>
            <w:r>
              <w:rPr>
                <w:b/>
                <w:spacing w:val="-1"/>
                <w:sz w:val="16"/>
              </w:rPr>
              <w:t> </w:t>
            </w:r>
            <w:r>
              <w:rPr>
                <w:b/>
                <w:sz w:val="16"/>
              </w:rPr>
              <w:t>para</w:t>
            </w:r>
            <w:r>
              <w:rPr>
                <w:b/>
                <w:spacing w:val="-1"/>
                <w:sz w:val="16"/>
              </w:rPr>
              <w:t> </w:t>
            </w:r>
            <w:r>
              <w:rPr>
                <w:b/>
                <w:sz w:val="16"/>
              </w:rPr>
              <w:t>la</w:t>
            </w:r>
            <w:r>
              <w:rPr>
                <w:b/>
                <w:spacing w:val="-1"/>
                <w:sz w:val="16"/>
              </w:rPr>
              <w:t> </w:t>
            </w:r>
            <w:r>
              <w:rPr>
                <w:b/>
                <w:sz w:val="16"/>
              </w:rPr>
              <w:t>atención</w:t>
            </w:r>
            <w:r>
              <w:rPr>
                <w:b/>
                <w:spacing w:val="-4"/>
                <w:sz w:val="16"/>
              </w:rPr>
              <w:t> </w:t>
            </w:r>
            <w:r>
              <w:rPr>
                <w:b/>
                <w:sz w:val="16"/>
              </w:rPr>
              <w:t>itinerante</w:t>
            </w:r>
            <w:r>
              <w:rPr>
                <w:b/>
                <w:spacing w:val="-1"/>
                <w:sz w:val="16"/>
              </w:rPr>
              <w:t> </w:t>
            </w:r>
            <w:r>
              <w:rPr>
                <w:b/>
                <w:sz w:val="16"/>
              </w:rPr>
              <w:t>a</w:t>
            </w:r>
            <w:r>
              <w:rPr>
                <w:b/>
                <w:spacing w:val="-5"/>
                <w:sz w:val="16"/>
              </w:rPr>
              <w:t> </w:t>
            </w:r>
            <w:r>
              <w:rPr>
                <w:b/>
                <w:sz w:val="16"/>
              </w:rPr>
              <w:t>la</w:t>
            </w:r>
            <w:r>
              <w:rPr>
                <w:b/>
                <w:spacing w:val="-5"/>
                <w:sz w:val="16"/>
              </w:rPr>
              <w:t> </w:t>
            </w:r>
            <w:r>
              <w:rPr>
                <w:b/>
                <w:sz w:val="16"/>
              </w:rPr>
              <w:t>población</w:t>
            </w:r>
            <w:r>
              <w:rPr>
                <w:b/>
                <w:spacing w:val="-4"/>
                <w:sz w:val="16"/>
              </w:rPr>
              <w:t> </w:t>
            </w:r>
            <w:r>
              <w:rPr>
                <w:b/>
                <w:sz w:val="16"/>
              </w:rPr>
              <w:t>cuya</w:t>
            </w:r>
            <w:r>
              <w:rPr>
                <w:b/>
                <w:spacing w:val="-5"/>
                <w:sz w:val="16"/>
              </w:rPr>
              <w:t> </w:t>
            </w:r>
            <w:r>
              <w:rPr>
                <w:b/>
                <w:sz w:val="16"/>
              </w:rPr>
              <w:t>brecha</w:t>
            </w:r>
            <w:r>
              <w:rPr>
                <w:b/>
                <w:spacing w:val="-1"/>
                <w:sz w:val="16"/>
              </w:rPr>
              <w:t> </w:t>
            </w:r>
            <w:r>
              <w:rPr>
                <w:b/>
                <w:sz w:val="16"/>
              </w:rPr>
              <w:t>digital</w:t>
            </w:r>
            <w:r>
              <w:rPr>
                <w:b/>
                <w:spacing w:val="-4"/>
                <w:sz w:val="16"/>
              </w:rPr>
              <w:t> </w:t>
            </w:r>
            <w:r>
              <w:rPr>
                <w:b/>
                <w:sz w:val="16"/>
              </w:rPr>
              <w:t>o limitaciones</w:t>
            </w:r>
            <w:r>
              <w:rPr>
                <w:b/>
                <w:spacing w:val="-1"/>
                <w:sz w:val="16"/>
              </w:rPr>
              <w:t> </w:t>
            </w:r>
            <w:r>
              <w:rPr>
                <w:b/>
                <w:sz w:val="16"/>
              </w:rPr>
              <w:t>de</w:t>
            </w:r>
            <w:r>
              <w:rPr>
                <w:b/>
                <w:spacing w:val="-1"/>
                <w:sz w:val="16"/>
              </w:rPr>
              <w:t> </w:t>
            </w:r>
            <w:r>
              <w:rPr>
                <w:b/>
                <w:sz w:val="16"/>
              </w:rPr>
              <w:t>acceso</w:t>
            </w:r>
            <w:r>
              <w:rPr>
                <w:b/>
                <w:spacing w:val="-4"/>
                <w:sz w:val="16"/>
              </w:rPr>
              <w:t> </w:t>
            </w:r>
            <w:r>
              <w:rPr>
                <w:b/>
                <w:sz w:val="16"/>
              </w:rPr>
              <w:t>a</w:t>
            </w:r>
            <w:r>
              <w:rPr>
                <w:b/>
                <w:spacing w:val="-1"/>
                <w:sz w:val="16"/>
              </w:rPr>
              <w:t> </w:t>
            </w:r>
            <w:r>
              <w:rPr>
                <w:b/>
                <w:sz w:val="16"/>
              </w:rPr>
              <w:t>la</w:t>
            </w:r>
            <w:r>
              <w:rPr>
                <w:b/>
                <w:spacing w:val="-1"/>
                <w:sz w:val="16"/>
              </w:rPr>
              <w:t> </w:t>
            </w:r>
            <w:r>
              <w:rPr>
                <w:b/>
                <w:sz w:val="16"/>
              </w:rPr>
              <w:t>tecnología</w:t>
            </w:r>
            <w:r>
              <w:rPr>
                <w:b/>
                <w:spacing w:val="-1"/>
                <w:sz w:val="16"/>
              </w:rPr>
              <w:t> </w:t>
            </w:r>
            <w:r>
              <w:rPr>
                <w:b/>
                <w:sz w:val="16"/>
              </w:rPr>
              <w:t>les</w:t>
            </w:r>
            <w:r>
              <w:rPr>
                <w:b/>
                <w:spacing w:val="-1"/>
                <w:sz w:val="16"/>
              </w:rPr>
              <w:t> </w:t>
            </w:r>
            <w:r>
              <w:rPr>
                <w:b/>
                <w:sz w:val="16"/>
              </w:rPr>
              <w:t>dificulta</w:t>
            </w:r>
            <w:r>
              <w:rPr>
                <w:b/>
                <w:spacing w:val="-5"/>
                <w:sz w:val="16"/>
              </w:rPr>
              <w:t> </w:t>
            </w:r>
            <w:r>
              <w:rPr>
                <w:b/>
                <w:sz w:val="16"/>
              </w:rPr>
              <w:t>la atención oportuna del IMAS. E3 A2 R2</w:t>
            </w:r>
          </w:p>
        </w:tc>
      </w:tr>
      <w:tr>
        <w:trPr>
          <w:trHeight w:val="3682" w:hRule="atLeast"/>
        </w:trPr>
        <w:tc>
          <w:tcPr>
            <w:tcW w:w="1695" w:type="dxa"/>
          </w:tcPr>
          <w:p>
            <w:pPr>
              <w:pStyle w:val="TableParagraph"/>
              <w:spacing w:before="92"/>
              <w:rPr>
                <w:b/>
                <w:sz w:val="16"/>
              </w:rPr>
            </w:pPr>
          </w:p>
          <w:p>
            <w:pPr>
              <w:pStyle w:val="TableParagraph"/>
              <w:spacing w:before="1"/>
              <w:ind w:left="72"/>
              <w:rPr>
                <w:b/>
                <w:sz w:val="16"/>
              </w:rPr>
            </w:pPr>
            <w:r>
              <w:rPr>
                <w:b/>
                <w:spacing w:val="-2"/>
                <w:sz w:val="16"/>
              </w:rPr>
              <w:t>Actividad</w:t>
            </w:r>
            <w:r>
              <w:rPr>
                <w:b/>
                <w:spacing w:val="-10"/>
                <w:sz w:val="16"/>
              </w:rPr>
              <w:t> </w:t>
            </w:r>
            <w:r>
              <w:rPr>
                <w:b/>
                <w:spacing w:val="-2"/>
                <w:sz w:val="16"/>
              </w:rPr>
              <w:t>PPPS 1.33.1:</w:t>
            </w:r>
          </w:p>
          <w:p>
            <w:pPr>
              <w:pStyle w:val="TableParagraph"/>
              <w:spacing w:before="2"/>
              <w:ind w:left="72" w:right="174"/>
              <w:rPr>
                <w:sz w:val="16"/>
              </w:rPr>
            </w:pPr>
            <w:r>
              <w:rPr>
                <w:sz w:val="16"/>
              </w:rPr>
              <w:t>Elaboración de lineamientos que permitan orientar la construcción de mecanismos</w:t>
            </w:r>
            <w:r>
              <w:rPr>
                <w:spacing w:val="-12"/>
                <w:sz w:val="16"/>
              </w:rPr>
              <w:t> </w:t>
            </w:r>
            <w:r>
              <w:rPr>
                <w:sz w:val="16"/>
              </w:rPr>
              <w:t>para</w:t>
            </w:r>
            <w:r>
              <w:rPr>
                <w:spacing w:val="-11"/>
                <w:sz w:val="16"/>
              </w:rPr>
              <w:t> </w:t>
            </w:r>
            <w:r>
              <w:rPr>
                <w:sz w:val="16"/>
              </w:rPr>
              <w:t>la atención</w:t>
            </w:r>
            <w:r>
              <w:rPr>
                <w:spacing w:val="-12"/>
                <w:sz w:val="16"/>
              </w:rPr>
              <w:t> </w:t>
            </w:r>
            <w:r>
              <w:rPr>
                <w:sz w:val="16"/>
              </w:rPr>
              <w:t>itinerante</w:t>
            </w:r>
            <w:r>
              <w:rPr>
                <w:spacing w:val="-11"/>
                <w:sz w:val="16"/>
              </w:rPr>
              <w:t> </w:t>
            </w:r>
            <w:r>
              <w:rPr>
                <w:sz w:val="16"/>
              </w:rPr>
              <w:t>a la población cuya brecha digital o limitaciones de acceso a la tecnología</w:t>
            </w:r>
            <w:r>
              <w:rPr>
                <w:spacing w:val="-2"/>
                <w:sz w:val="16"/>
              </w:rPr>
              <w:t> </w:t>
            </w:r>
            <w:r>
              <w:rPr>
                <w:sz w:val="16"/>
              </w:rPr>
              <w:t>les dificulta la atención oportuna del IMAS (vinculado a PEI </w:t>
            </w:r>
            <w:r>
              <w:rPr>
                <w:spacing w:val="-2"/>
                <w:sz w:val="16"/>
              </w:rPr>
              <w:t>3.2.2).</w:t>
            </w:r>
          </w:p>
        </w:tc>
        <w:tc>
          <w:tcPr>
            <w:tcW w:w="1278" w:type="dxa"/>
          </w:tcPr>
          <w:p>
            <w:pPr>
              <w:pStyle w:val="TableParagraph"/>
              <w:spacing w:before="3"/>
              <w:ind w:left="72" w:right="93"/>
              <w:rPr>
                <w:sz w:val="16"/>
              </w:rPr>
            </w:pPr>
            <w:r>
              <w:rPr>
                <w:sz w:val="16"/>
              </w:rPr>
              <w:t>Porcentaje de avance en la </w:t>
            </w:r>
            <w:r>
              <w:rPr>
                <w:spacing w:val="-2"/>
                <w:sz w:val="16"/>
              </w:rPr>
              <w:t>construcción</w:t>
            </w:r>
            <w:r>
              <w:rPr>
                <w:spacing w:val="-10"/>
                <w:sz w:val="16"/>
              </w:rPr>
              <w:t> </w:t>
            </w:r>
            <w:r>
              <w:rPr>
                <w:spacing w:val="-2"/>
                <w:sz w:val="16"/>
              </w:rPr>
              <w:t>de lineamientos </w:t>
            </w:r>
            <w:r>
              <w:rPr>
                <w:sz w:val="16"/>
              </w:rPr>
              <w:t>que</w:t>
            </w:r>
            <w:r>
              <w:rPr>
                <w:spacing w:val="-2"/>
                <w:sz w:val="16"/>
              </w:rPr>
              <w:t> </w:t>
            </w:r>
            <w:r>
              <w:rPr>
                <w:sz w:val="16"/>
              </w:rPr>
              <w:t>permitan orientar la </w:t>
            </w:r>
            <w:r>
              <w:rPr>
                <w:spacing w:val="-2"/>
                <w:sz w:val="16"/>
              </w:rPr>
              <w:t>construcción</w:t>
            </w:r>
            <w:r>
              <w:rPr>
                <w:spacing w:val="-10"/>
                <w:sz w:val="16"/>
              </w:rPr>
              <w:t> </w:t>
            </w:r>
            <w:r>
              <w:rPr>
                <w:spacing w:val="-2"/>
                <w:sz w:val="16"/>
              </w:rPr>
              <w:t>de mecanismos </w:t>
            </w:r>
            <w:r>
              <w:rPr>
                <w:sz w:val="16"/>
              </w:rPr>
              <w:t>para</w:t>
            </w:r>
            <w:r>
              <w:rPr>
                <w:spacing w:val="-2"/>
                <w:sz w:val="16"/>
              </w:rPr>
              <w:t> </w:t>
            </w:r>
            <w:r>
              <w:rPr>
                <w:sz w:val="16"/>
              </w:rPr>
              <w:t>la</w:t>
            </w:r>
            <w:r>
              <w:rPr>
                <w:spacing w:val="40"/>
                <w:sz w:val="16"/>
              </w:rPr>
              <w:t> </w:t>
            </w:r>
            <w:r>
              <w:rPr>
                <w:spacing w:val="-2"/>
                <w:sz w:val="16"/>
              </w:rPr>
              <w:t>atención </w:t>
            </w:r>
            <w:r>
              <w:rPr>
                <w:sz w:val="16"/>
              </w:rPr>
              <w:t>itinerante de población</w:t>
            </w:r>
            <w:r>
              <w:rPr>
                <w:spacing w:val="-2"/>
                <w:sz w:val="16"/>
              </w:rPr>
              <w:t> </w:t>
            </w:r>
            <w:r>
              <w:rPr>
                <w:sz w:val="16"/>
              </w:rPr>
              <w:t>cuya brecha</w:t>
            </w:r>
            <w:r>
              <w:rPr>
                <w:spacing w:val="-5"/>
                <w:sz w:val="16"/>
              </w:rPr>
              <w:t> </w:t>
            </w:r>
            <w:r>
              <w:rPr>
                <w:sz w:val="16"/>
              </w:rPr>
              <w:t>digital</w:t>
            </w:r>
            <w:r>
              <w:rPr>
                <w:spacing w:val="-5"/>
                <w:sz w:val="16"/>
              </w:rPr>
              <w:t> </w:t>
            </w:r>
            <w:r>
              <w:rPr>
                <w:sz w:val="16"/>
              </w:rPr>
              <w:t>o limitaciones de acceso a la tecnología</w:t>
            </w:r>
            <w:r>
              <w:rPr>
                <w:spacing w:val="-2"/>
                <w:sz w:val="16"/>
              </w:rPr>
              <w:t> </w:t>
            </w:r>
            <w:r>
              <w:rPr>
                <w:sz w:val="16"/>
              </w:rPr>
              <w:t>les dificulta la </w:t>
            </w:r>
            <w:r>
              <w:rPr>
                <w:spacing w:val="-2"/>
                <w:sz w:val="16"/>
              </w:rPr>
              <w:t>atención </w:t>
            </w:r>
            <w:r>
              <w:rPr>
                <w:sz w:val="16"/>
              </w:rPr>
              <w:t>oportuna</w:t>
            </w:r>
            <w:r>
              <w:rPr>
                <w:spacing w:val="-2"/>
                <w:sz w:val="16"/>
              </w:rPr>
              <w:t> </w:t>
            </w:r>
            <w:r>
              <w:rPr>
                <w:sz w:val="16"/>
              </w:rPr>
              <w:t>del</w:t>
            </w:r>
          </w:p>
          <w:p>
            <w:pPr>
              <w:pStyle w:val="TableParagraph"/>
              <w:spacing w:line="163" w:lineRule="exact"/>
              <w:ind w:left="72"/>
              <w:rPr>
                <w:sz w:val="16"/>
              </w:rPr>
            </w:pPr>
            <w:r>
              <w:rPr>
                <w:spacing w:val="-4"/>
                <w:sz w:val="16"/>
              </w:rPr>
              <w:t>IMAS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21" w:right="13"/>
              <w:jc w:val="center"/>
              <w:rPr>
                <w:sz w:val="16"/>
              </w:rPr>
            </w:pPr>
            <w:r>
              <w:rPr>
                <w:spacing w:val="-4"/>
                <w:sz w:val="16"/>
              </w:rPr>
              <w:t>100%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2947" w:hRule="atLeast"/>
        </w:trPr>
        <w:tc>
          <w:tcPr>
            <w:tcW w:w="1695" w:type="dxa"/>
          </w:tcPr>
          <w:p>
            <w:pPr>
              <w:pStyle w:val="TableParagraph"/>
              <w:spacing w:before="1"/>
              <w:rPr>
                <w:b/>
                <w:sz w:val="16"/>
              </w:rPr>
            </w:pPr>
          </w:p>
          <w:p>
            <w:pPr>
              <w:pStyle w:val="TableParagraph"/>
              <w:ind w:left="72"/>
              <w:rPr>
                <w:b/>
                <w:sz w:val="16"/>
              </w:rPr>
            </w:pPr>
            <w:r>
              <w:rPr>
                <w:b/>
                <w:spacing w:val="-2"/>
                <w:sz w:val="16"/>
              </w:rPr>
              <w:t>Actividad</w:t>
            </w:r>
            <w:r>
              <w:rPr>
                <w:b/>
                <w:spacing w:val="-10"/>
                <w:sz w:val="16"/>
              </w:rPr>
              <w:t> </w:t>
            </w:r>
            <w:r>
              <w:rPr>
                <w:b/>
                <w:spacing w:val="-2"/>
                <w:sz w:val="16"/>
              </w:rPr>
              <w:t>PPPS 1.33.2:</w:t>
            </w:r>
          </w:p>
          <w:p>
            <w:pPr>
              <w:pStyle w:val="TableParagraph"/>
              <w:ind w:left="72" w:right="128"/>
              <w:rPr>
                <w:sz w:val="16"/>
              </w:rPr>
            </w:pPr>
            <w:r>
              <w:rPr>
                <w:sz w:val="16"/>
              </w:rPr>
              <w:t>Diseño de mecanismos</w:t>
            </w:r>
            <w:r>
              <w:rPr>
                <w:spacing w:val="-12"/>
                <w:sz w:val="16"/>
              </w:rPr>
              <w:t> </w:t>
            </w:r>
            <w:r>
              <w:rPr>
                <w:sz w:val="16"/>
              </w:rPr>
              <w:t>para</w:t>
            </w:r>
            <w:r>
              <w:rPr>
                <w:spacing w:val="-11"/>
                <w:sz w:val="16"/>
              </w:rPr>
              <w:t> </w:t>
            </w:r>
            <w:r>
              <w:rPr>
                <w:sz w:val="16"/>
              </w:rPr>
              <w:t>la atención</w:t>
            </w:r>
            <w:r>
              <w:rPr>
                <w:spacing w:val="-12"/>
                <w:sz w:val="16"/>
              </w:rPr>
              <w:t> </w:t>
            </w:r>
            <w:r>
              <w:rPr>
                <w:sz w:val="16"/>
              </w:rPr>
              <w:t>itinerante</w:t>
            </w:r>
            <w:r>
              <w:rPr>
                <w:spacing w:val="-11"/>
                <w:sz w:val="16"/>
              </w:rPr>
              <w:t> </w:t>
            </w:r>
            <w:r>
              <w:rPr>
                <w:sz w:val="16"/>
              </w:rPr>
              <w:t>a la población cuya brecha digital o limitaciones de acceso a la tecnología</w:t>
            </w:r>
            <w:r>
              <w:rPr>
                <w:spacing w:val="-2"/>
                <w:sz w:val="16"/>
              </w:rPr>
              <w:t> </w:t>
            </w:r>
            <w:r>
              <w:rPr>
                <w:sz w:val="16"/>
              </w:rPr>
              <w:t>les dificulta la atención oportuna del IMAS (vinculado a PEI </w:t>
            </w:r>
            <w:r>
              <w:rPr>
                <w:spacing w:val="-2"/>
                <w:sz w:val="16"/>
              </w:rPr>
              <w:t>3.2.2).</w:t>
            </w:r>
          </w:p>
        </w:tc>
        <w:tc>
          <w:tcPr>
            <w:tcW w:w="1278" w:type="dxa"/>
          </w:tcPr>
          <w:p>
            <w:pPr>
              <w:pStyle w:val="TableParagraph"/>
              <w:ind w:left="72" w:right="93"/>
              <w:rPr>
                <w:sz w:val="16"/>
              </w:rPr>
            </w:pPr>
            <w:r>
              <w:rPr>
                <w:sz w:val="16"/>
              </w:rPr>
              <w:t>Porcentaje de avance en la </w:t>
            </w:r>
            <w:r>
              <w:rPr>
                <w:spacing w:val="-2"/>
                <w:sz w:val="16"/>
              </w:rPr>
              <w:t>construcción</w:t>
            </w:r>
            <w:r>
              <w:rPr>
                <w:spacing w:val="-10"/>
                <w:sz w:val="16"/>
              </w:rPr>
              <w:t> </w:t>
            </w:r>
            <w:r>
              <w:rPr>
                <w:spacing w:val="-2"/>
                <w:sz w:val="16"/>
              </w:rPr>
              <w:t>de mecanismos </w:t>
            </w:r>
            <w:r>
              <w:rPr>
                <w:sz w:val="16"/>
              </w:rPr>
              <w:t>para</w:t>
            </w:r>
            <w:r>
              <w:rPr>
                <w:spacing w:val="-2"/>
                <w:sz w:val="16"/>
              </w:rPr>
              <w:t> </w:t>
            </w:r>
            <w:r>
              <w:rPr>
                <w:sz w:val="16"/>
              </w:rPr>
              <w:t>la</w:t>
            </w:r>
            <w:r>
              <w:rPr>
                <w:spacing w:val="40"/>
                <w:sz w:val="16"/>
              </w:rPr>
              <w:t> </w:t>
            </w:r>
            <w:r>
              <w:rPr>
                <w:spacing w:val="-2"/>
                <w:sz w:val="16"/>
              </w:rPr>
              <w:t>atención </w:t>
            </w:r>
            <w:r>
              <w:rPr>
                <w:sz w:val="16"/>
              </w:rPr>
              <w:t>itinerante a la población</w:t>
            </w:r>
            <w:r>
              <w:rPr>
                <w:spacing w:val="-2"/>
                <w:sz w:val="16"/>
              </w:rPr>
              <w:t> </w:t>
            </w:r>
            <w:r>
              <w:rPr>
                <w:sz w:val="16"/>
              </w:rPr>
              <w:t>cuya brecha</w:t>
            </w:r>
            <w:r>
              <w:rPr>
                <w:spacing w:val="-5"/>
                <w:sz w:val="16"/>
              </w:rPr>
              <w:t> </w:t>
            </w:r>
            <w:r>
              <w:rPr>
                <w:sz w:val="16"/>
              </w:rPr>
              <w:t>digital</w:t>
            </w:r>
            <w:r>
              <w:rPr>
                <w:spacing w:val="-5"/>
                <w:sz w:val="16"/>
              </w:rPr>
              <w:t> </w:t>
            </w:r>
            <w:r>
              <w:rPr>
                <w:sz w:val="16"/>
              </w:rPr>
              <w:t>o limitaciones de acceso a la tecnología</w:t>
            </w:r>
            <w:r>
              <w:rPr>
                <w:spacing w:val="-2"/>
                <w:sz w:val="16"/>
              </w:rPr>
              <w:t> </w:t>
            </w:r>
            <w:r>
              <w:rPr>
                <w:sz w:val="16"/>
              </w:rPr>
              <w:t>les dificulta la </w:t>
            </w:r>
            <w:r>
              <w:rPr>
                <w:spacing w:val="-2"/>
                <w:sz w:val="16"/>
              </w:rPr>
              <w:t>atención</w:t>
            </w:r>
          </w:p>
          <w:p>
            <w:pPr>
              <w:pStyle w:val="TableParagraph"/>
              <w:spacing w:line="182" w:lineRule="exact"/>
              <w:ind w:left="72"/>
              <w:rPr>
                <w:sz w:val="16"/>
              </w:rPr>
            </w:pPr>
            <w:r>
              <w:rPr>
                <w:spacing w:val="-2"/>
                <w:sz w:val="16"/>
              </w:rPr>
              <w:t>oportuna</w:t>
            </w:r>
            <w:r>
              <w:rPr>
                <w:spacing w:val="-10"/>
                <w:sz w:val="16"/>
              </w:rPr>
              <w:t> </w:t>
            </w:r>
            <w:r>
              <w:rPr>
                <w:spacing w:val="-2"/>
                <w:sz w:val="16"/>
              </w:rPr>
              <w:t>del </w:t>
            </w:r>
            <w:r>
              <w:rPr>
                <w:spacing w:val="-4"/>
                <w:sz w:val="16"/>
              </w:rPr>
              <w:t>IMAS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1"/>
              <w:jc w:val="center"/>
              <w:rPr>
                <w:sz w:val="16"/>
              </w:rPr>
            </w:pPr>
            <w:r>
              <w:rPr>
                <w:spacing w:val="-5"/>
                <w:sz w:val="16"/>
              </w:rPr>
              <w:t>30%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16" w:right="19"/>
              <w:jc w:val="center"/>
              <w:rPr>
                <w:sz w:val="16"/>
              </w:rPr>
            </w:pPr>
            <w:r>
              <w:rPr>
                <w:spacing w:val="-5"/>
                <w:sz w:val="16"/>
              </w:rPr>
              <w:t>60%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537" w:hRule="atLeast"/>
        </w:trPr>
        <w:tc>
          <w:tcPr>
            <w:tcW w:w="14323" w:type="dxa"/>
            <w:gridSpan w:val="10"/>
            <w:shd w:val="clear" w:color="auto" w:fill="EFF8F9"/>
          </w:tcPr>
          <w:p>
            <w:pPr>
              <w:pStyle w:val="TableParagraph"/>
              <w:ind w:left="72" w:right="95"/>
              <w:rPr>
                <w:b/>
                <w:sz w:val="16"/>
              </w:rPr>
            </w:pPr>
            <w:r>
              <w:rPr>
                <w:b/>
                <w:sz w:val="16"/>
              </w:rPr>
              <w:t>Producto</w:t>
            </w:r>
            <w:r>
              <w:rPr>
                <w:b/>
                <w:spacing w:val="-1"/>
                <w:sz w:val="16"/>
              </w:rPr>
              <w:t> </w:t>
            </w:r>
            <w:r>
              <w:rPr>
                <w:b/>
                <w:sz w:val="16"/>
              </w:rPr>
              <w:t>PPPS 1.34:</w:t>
            </w:r>
            <w:r>
              <w:rPr>
                <w:b/>
                <w:spacing w:val="80"/>
                <w:sz w:val="16"/>
              </w:rPr>
              <w:t> </w:t>
            </w:r>
            <w:r>
              <w:rPr>
                <w:b/>
                <w:sz w:val="16"/>
              </w:rPr>
              <w:t>Atención</w:t>
            </w:r>
            <w:r>
              <w:rPr>
                <w:b/>
                <w:spacing w:val="-1"/>
                <w:sz w:val="16"/>
              </w:rPr>
              <w:t> </w:t>
            </w:r>
            <w:r>
              <w:rPr>
                <w:b/>
                <w:sz w:val="16"/>
              </w:rPr>
              <w:t>integral</w:t>
            </w:r>
            <w:r>
              <w:rPr>
                <w:b/>
                <w:spacing w:val="-4"/>
                <w:sz w:val="16"/>
              </w:rPr>
              <w:t> </w:t>
            </w:r>
            <w:r>
              <w:rPr>
                <w:b/>
                <w:sz w:val="16"/>
              </w:rPr>
              <w:t>institucional</w:t>
            </w:r>
            <w:r>
              <w:rPr>
                <w:b/>
                <w:spacing w:val="-1"/>
                <w:sz w:val="16"/>
              </w:rPr>
              <w:t> </w:t>
            </w:r>
            <w:r>
              <w:rPr>
                <w:b/>
                <w:sz w:val="16"/>
              </w:rPr>
              <w:t>ajustada</w:t>
            </w:r>
            <w:r>
              <w:rPr>
                <w:b/>
                <w:spacing w:val="-5"/>
                <w:sz w:val="16"/>
              </w:rPr>
              <w:t> </w:t>
            </w:r>
            <w:r>
              <w:rPr>
                <w:b/>
                <w:sz w:val="16"/>
              </w:rPr>
              <w:t>a requerimientos</w:t>
            </w:r>
            <w:r>
              <w:rPr>
                <w:b/>
                <w:spacing w:val="-2"/>
                <w:sz w:val="16"/>
              </w:rPr>
              <w:t> </w:t>
            </w:r>
            <w:r>
              <w:rPr>
                <w:b/>
                <w:sz w:val="16"/>
              </w:rPr>
              <w:t>y</w:t>
            </w:r>
            <w:r>
              <w:rPr>
                <w:b/>
                <w:spacing w:val="-5"/>
                <w:sz w:val="16"/>
              </w:rPr>
              <w:t> </w:t>
            </w:r>
            <w:r>
              <w:rPr>
                <w:b/>
                <w:sz w:val="16"/>
              </w:rPr>
              <w:t>necesidades</w:t>
            </w:r>
            <w:r>
              <w:rPr>
                <w:b/>
                <w:spacing w:val="-2"/>
                <w:sz w:val="16"/>
              </w:rPr>
              <w:t> </w:t>
            </w:r>
            <w:r>
              <w:rPr>
                <w:b/>
                <w:sz w:val="16"/>
              </w:rPr>
              <w:t>de</w:t>
            </w:r>
            <w:r>
              <w:rPr>
                <w:b/>
                <w:spacing w:val="-2"/>
                <w:sz w:val="16"/>
              </w:rPr>
              <w:t> </w:t>
            </w:r>
            <w:r>
              <w:rPr>
                <w:b/>
                <w:sz w:val="16"/>
              </w:rPr>
              <w:t>la</w:t>
            </w:r>
            <w:r>
              <w:rPr>
                <w:b/>
                <w:spacing w:val="-2"/>
                <w:sz w:val="16"/>
              </w:rPr>
              <w:t> </w:t>
            </w:r>
            <w:r>
              <w:rPr>
                <w:b/>
                <w:sz w:val="16"/>
              </w:rPr>
              <w:t>población</w:t>
            </w:r>
            <w:r>
              <w:rPr>
                <w:b/>
                <w:spacing w:val="-4"/>
                <w:sz w:val="16"/>
              </w:rPr>
              <w:t> </w:t>
            </w:r>
            <w:r>
              <w:rPr>
                <w:b/>
                <w:sz w:val="16"/>
              </w:rPr>
              <w:t>infantil</w:t>
            </w:r>
            <w:r>
              <w:rPr>
                <w:b/>
                <w:spacing w:val="-1"/>
                <w:sz w:val="16"/>
              </w:rPr>
              <w:t> </w:t>
            </w:r>
            <w:r>
              <w:rPr>
                <w:b/>
                <w:sz w:val="16"/>
              </w:rPr>
              <w:t>y</w:t>
            </w:r>
            <w:r>
              <w:rPr>
                <w:b/>
                <w:spacing w:val="-2"/>
                <w:sz w:val="16"/>
              </w:rPr>
              <w:t> </w:t>
            </w:r>
            <w:r>
              <w:rPr>
                <w:b/>
                <w:sz w:val="16"/>
              </w:rPr>
              <w:t>juvenil</w:t>
            </w:r>
            <w:r>
              <w:rPr>
                <w:b/>
                <w:spacing w:val="-1"/>
                <w:sz w:val="16"/>
              </w:rPr>
              <w:t> </w:t>
            </w:r>
            <w:r>
              <w:rPr>
                <w:b/>
                <w:sz w:val="16"/>
              </w:rPr>
              <w:t>con</w:t>
            </w:r>
            <w:r>
              <w:rPr>
                <w:b/>
                <w:spacing w:val="-4"/>
                <w:sz w:val="16"/>
              </w:rPr>
              <w:t> </w:t>
            </w:r>
            <w:r>
              <w:rPr>
                <w:b/>
                <w:sz w:val="16"/>
              </w:rPr>
              <w:t>la</w:t>
            </w:r>
            <w:r>
              <w:rPr>
                <w:b/>
                <w:spacing w:val="-5"/>
                <w:sz w:val="16"/>
              </w:rPr>
              <w:t> </w:t>
            </w:r>
            <w:r>
              <w:rPr>
                <w:b/>
                <w:sz w:val="16"/>
              </w:rPr>
              <w:t>finalidad</w:t>
            </w:r>
            <w:r>
              <w:rPr>
                <w:b/>
                <w:spacing w:val="-1"/>
                <w:sz w:val="16"/>
              </w:rPr>
              <w:t> </w:t>
            </w:r>
            <w:r>
              <w:rPr>
                <w:b/>
                <w:sz w:val="16"/>
              </w:rPr>
              <w:t>de</w:t>
            </w:r>
            <w:r>
              <w:rPr>
                <w:b/>
                <w:spacing w:val="-2"/>
                <w:sz w:val="16"/>
              </w:rPr>
              <w:t> </w:t>
            </w:r>
            <w:r>
              <w:rPr>
                <w:b/>
                <w:sz w:val="16"/>
              </w:rPr>
              <w:t>que</w:t>
            </w:r>
            <w:r>
              <w:rPr>
                <w:b/>
                <w:spacing w:val="-2"/>
                <w:sz w:val="16"/>
              </w:rPr>
              <w:t> </w:t>
            </w:r>
            <w:r>
              <w:rPr>
                <w:b/>
                <w:sz w:val="16"/>
              </w:rPr>
              <w:t>se</w:t>
            </w:r>
            <w:r>
              <w:rPr>
                <w:b/>
                <w:spacing w:val="-2"/>
                <w:sz w:val="16"/>
              </w:rPr>
              <w:t> </w:t>
            </w:r>
            <w:r>
              <w:rPr>
                <w:b/>
                <w:sz w:val="16"/>
              </w:rPr>
              <w:t>promuevan</w:t>
            </w:r>
            <w:r>
              <w:rPr>
                <w:b/>
                <w:spacing w:val="-1"/>
                <w:sz w:val="16"/>
              </w:rPr>
              <w:t> </w:t>
            </w:r>
            <w:r>
              <w:rPr>
                <w:b/>
                <w:sz w:val="16"/>
              </w:rPr>
              <w:t>condiciones</w:t>
            </w:r>
            <w:r>
              <w:rPr>
                <w:b/>
                <w:spacing w:val="-5"/>
                <w:sz w:val="16"/>
              </w:rPr>
              <w:t> </w:t>
            </w:r>
            <w:r>
              <w:rPr>
                <w:b/>
                <w:sz w:val="16"/>
              </w:rPr>
              <w:t>de promoción social para estas poblaciones. E3 AE3 R1</w:t>
            </w:r>
          </w:p>
        </w:tc>
      </w:tr>
    </w:tbl>
    <w:p>
      <w:pPr>
        <w:pStyle w:val="TableParagraph"/>
        <w:spacing w:after="0"/>
        <w:rPr>
          <w:b/>
          <w:sz w:val="16"/>
        </w:rPr>
        <w:sectPr>
          <w:footerReference w:type="default" r:id="rId71"/>
          <w:pgSz w:w="15840" w:h="12240" w:orient="landscape"/>
          <w:pgMar w:header="0" w:footer="1806" w:top="700" w:bottom="2726" w:left="360" w:right="360"/>
          <w:pgNumType w:start="164"/>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1843" w:hRule="atLeast"/>
        </w:trPr>
        <w:tc>
          <w:tcPr>
            <w:tcW w:w="1695" w:type="dxa"/>
          </w:tcPr>
          <w:p>
            <w:pPr>
              <w:pStyle w:val="TableParagraph"/>
              <w:spacing w:before="2"/>
              <w:rPr>
                <w:b/>
                <w:sz w:val="16"/>
              </w:rPr>
            </w:pPr>
          </w:p>
          <w:p>
            <w:pPr>
              <w:pStyle w:val="TableParagraph"/>
              <w:ind w:left="72"/>
              <w:rPr>
                <w:b/>
                <w:sz w:val="16"/>
              </w:rPr>
            </w:pPr>
            <w:r>
              <w:rPr>
                <w:b/>
                <w:spacing w:val="-2"/>
                <w:sz w:val="16"/>
              </w:rPr>
              <w:t>Actividad</w:t>
            </w:r>
            <w:r>
              <w:rPr>
                <w:b/>
                <w:spacing w:val="-10"/>
                <w:sz w:val="16"/>
              </w:rPr>
              <w:t> </w:t>
            </w:r>
            <w:r>
              <w:rPr>
                <w:b/>
                <w:spacing w:val="-2"/>
                <w:sz w:val="16"/>
              </w:rPr>
              <w:t>PPPS 1.34.1:</w:t>
            </w:r>
          </w:p>
          <w:p>
            <w:pPr>
              <w:pStyle w:val="TableParagraph"/>
              <w:ind w:left="72" w:right="103"/>
              <w:rPr>
                <w:sz w:val="16"/>
              </w:rPr>
            </w:pPr>
            <w:r>
              <w:rPr>
                <w:sz w:val="16"/>
              </w:rPr>
              <w:t>Ejecución</w:t>
            </w:r>
            <w:r>
              <w:rPr>
                <w:spacing w:val="-2"/>
                <w:sz w:val="16"/>
              </w:rPr>
              <w:t> </w:t>
            </w:r>
            <w:r>
              <w:rPr>
                <w:sz w:val="16"/>
              </w:rPr>
              <w:t>de actividades de promoción</w:t>
            </w:r>
            <w:r>
              <w:rPr>
                <w:spacing w:val="-12"/>
                <w:sz w:val="16"/>
              </w:rPr>
              <w:t> </w:t>
            </w:r>
            <w:r>
              <w:rPr>
                <w:sz w:val="16"/>
              </w:rPr>
              <w:t>social</w:t>
            </w:r>
            <w:r>
              <w:rPr>
                <w:spacing w:val="-11"/>
                <w:sz w:val="16"/>
              </w:rPr>
              <w:t> </w:t>
            </w:r>
            <w:r>
              <w:rPr>
                <w:sz w:val="16"/>
              </w:rPr>
              <w:t>con población infantil y juvenil (vinculado a PEI 3.3.1).</w:t>
            </w:r>
          </w:p>
        </w:tc>
        <w:tc>
          <w:tcPr>
            <w:tcW w:w="1278" w:type="dxa"/>
          </w:tcPr>
          <w:p>
            <w:pPr>
              <w:pStyle w:val="TableParagraph"/>
              <w:ind w:left="72" w:right="103"/>
              <w:rPr>
                <w:sz w:val="16"/>
              </w:rPr>
            </w:pPr>
            <w:r>
              <w:rPr>
                <w:sz w:val="16"/>
              </w:rPr>
              <w:t>Porcentaje de </w:t>
            </w:r>
            <w:r>
              <w:rPr>
                <w:spacing w:val="-2"/>
                <w:sz w:val="16"/>
              </w:rPr>
              <w:t>población </w:t>
            </w:r>
            <w:r>
              <w:rPr>
                <w:sz w:val="16"/>
              </w:rPr>
              <w:t>infantil</w:t>
            </w:r>
            <w:r>
              <w:rPr>
                <w:spacing w:val="-12"/>
                <w:sz w:val="16"/>
              </w:rPr>
              <w:t> </w:t>
            </w:r>
            <w:r>
              <w:rPr>
                <w:sz w:val="16"/>
              </w:rPr>
              <w:t>y</w:t>
            </w:r>
            <w:r>
              <w:rPr>
                <w:spacing w:val="-11"/>
                <w:sz w:val="16"/>
              </w:rPr>
              <w:t> </w:t>
            </w:r>
            <w:r>
              <w:rPr>
                <w:sz w:val="16"/>
              </w:rPr>
              <w:t>juvenil en pobreza y </w:t>
            </w:r>
            <w:r>
              <w:rPr>
                <w:spacing w:val="-2"/>
                <w:sz w:val="16"/>
              </w:rPr>
              <w:t>pobreza extrema </w:t>
            </w:r>
            <w:r>
              <w:rPr>
                <w:sz w:val="16"/>
              </w:rPr>
              <w:t>incorporada</w:t>
            </w:r>
            <w:r>
              <w:rPr>
                <w:spacing w:val="-12"/>
                <w:sz w:val="16"/>
              </w:rPr>
              <w:t> </w:t>
            </w:r>
            <w:r>
              <w:rPr>
                <w:sz w:val="16"/>
              </w:rPr>
              <w:t>en procesos de</w:t>
            </w:r>
          </w:p>
          <w:p>
            <w:pPr>
              <w:pStyle w:val="TableParagraph"/>
              <w:spacing w:line="182" w:lineRule="exact"/>
              <w:ind w:left="72" w:right="446"/>
              <w:rPr>
                <w:sz w:val="16"/>
              </w:rPr>
            </w:pPr>
            <w:r>
              <w:rPr>
                <w:spacing w:val="-2"/>
                <w:sz w:val="16"/>
              </w:rPr>
              <w:t>promoción social</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4" w:right="1"/>
              <w:jc w:val="center"/>
              <w:rPr>
                <w:sz w:val="16"/>
              </w:rPr>
            </w:pPr>
            <w:r>
              <w:rPr>
                <w:spacing w:val="-5"/>
                <w:sz w:val="16"/>
              </w:rPr>
              <w:t>60%</w:t>
            </w:r>
          </w:p>
        </w:tc>
        <w:tc>
          <w:tcPr>
            <w:tcW w:w="1494" w:type="dxa"/>
          </w:tcPr>
          <w:p>
            <w:pPr>
              <w:pStyle w:val="TableParagraph"/>
              <w:rPr>
                <w:rFonts w:ascii="Times New Roman"/>
                <w:sz w:val="16"/>
              </w:rPr>
            </w:pPr>
          </w:p>
        </w:tc>
      </w:tr>
      <w:tr>
        <w:trPr>
          <w:trHeight w:val="508" w:hRule="atLeast"/>
        </w:trPr>
        <w:tc>
          <w:tcPr>
            <w:tcW w:w="14323" w:type="dxa"/>
            <w:gridSpan w:val="10"/>
            <w:shd w:val="clear" w:color="auto" w:fill="EFF8F9"/>
          </w:tcPr>
          <w:p>
            <w:pPr>
              <w:pStyle w:val="TableParagraph"/>
              <w:ind w:left="72" w:right="95"/>
              <w:rPr>
                <w:b/>
                <w:sz w:val="16"/>
              </w:rPr>
            </w:pPr>
            <w:r>
              <w:rPr>
                <w:b/>
                <w:sz w:val="16"/>
              </w:rPr>
              <w:t>Producto</w:t>
            </w:r>
            <w:r>
              <w:rPr>
                <w:b/>
                <w:spacing w:val="-1"/>
                <w:sz w:val="16"/>
              </w:rPr>
              <w:t> </w:t>
            </w:r>
            <w:r>
              <w:rPr>
                <w:b/>
                <w:sz w:val="16"/>
              </w:rPr>
              <w:t>PPPS 1.35:</w:t>
            </w:r>
            <w:r>
              <w:rPr>
                <w:b/>
                <w:spacing w:val="36"/>
                <w:sz w:val="16"/>
              </w:rPr>
              <w:t> </w:t>
            </w:r>
            <w:r>
              <w:rPr>
                <w:b/>
                <w:sz w:val="16"/>
              </w:rPr>
              <w:t>Mecanismos</w:t>
            </w:r>
            <w:r>
              <w:rPr>
                <w:b/>
                <w:spacing w:val="-2"/>
                <w:sz w:val="16"/>
              </w:rPr>
              <w:t> </w:t>
            </w:r>
            <w:r>
              <w:rPr>
                <w:b/>
                <w:sz w:val="16"/>
              </w:rPr>
              <w:t>de</w:t>
            </w:r>
            <w:r>
              <w:rPr>
                <w:b/>
                <w:spacing w:val="-2"/>
                <w:sz w:val="16"/>
              </w:rPr>
              <w:t> </w:t>
            </w:r>
            <w:r>
              <w:rPr>
                <w:b/>
                <w:sz w:val="16"/>
              </w:rPr>
              <w:t>articulación</w:t>
            </w:r>
            <w:r>
              <w:rPr>
                <w:b/>
                <w:spacing w:val="-5"/>
                <w:sz w:val="16"/>
              </w:rPr>
              <w:t> </w:t>
            </w:r>
            <w:r>
              <w:rPr>
                <w:b/>
                <w:sz w:val="16"/>
              </w:rPr>
              <w:t>interinstitucional</w:t>
            </w:r>
            <w:r>
              <w:rPr>
                <w:b/>
                <w:spacing w:val="-1"/>
                <w:sz w:val="16"/>
              </w:rPr>
              <w:t> </w:t>
            </w:r>
            <w:r>
              <w:rPr>
                <w:b/>
                <w:sz w:val="16"/>
              </w:rPr>
              <w:t>diseñados</w:t>
            </w:r>
            <w:r>
              <w:rPr>
                <w:b/>
                <w:spacing w:val="-2"/>
                <w:sz w:val="16"/>
              </w:rPr>
              <w:t> </w:t>
            </w:r>
            <w:r>
              <w:rPr>
                <w:b/>
                <w:sz w:val="16"/>
              </w:rPr>
              <w:t>e</w:t>
            </w:r>
            <w:r>
              <w:rPr>
                <w:b/>
                <w:spacing w:val="-2"/>
                <w:sz w:val="16"/>
              </w:rPr>
              <w:t> </w:t>
            </w:r>
            <w:r>
              <w:rPr>
                <w:b/>
                <w:sz w:val="16"/>
              </w:rPr>
              <w:t>implementados</w:t>
            </w:r>
            <w:r>
              <w:rPr>
                <w:b/>
                <w:spacing w:val="-6"/>
                <w:sz w:val="16"/>
              </w:rPr>
              <w:t> </w:t>
            </w:r>
            <w:r>
              <w:rPr>
                <w:b/>
                <w:sz w:val="16"/>
              </w:rPr>
              <w:t>que</w:t>
            </w:r>
            <w:r>
              <w:rPr>
                <w:b/>
                <w:spacing w:val="-2"/>
                <w:sz w:val="16"/>
              </w:rPr>
              <w:t> </w:t>
            </w:r>
            <w:r>
              <w:rPr>
                <w:b/>
                <w:sz w:val="16"/>
              </w:rPr>
              <w:t>promuevan</w:t>
            </w:r>
            <w:r>
              <w:rPr>
                <w:b/>
                <w:spacing w:val="-1"/>
                <w:sz w:val="16"/>
              </w:rPr>
              <w:t> </w:t>
            </w:r>
            <w:r>
              <w:rPr>
                <w:b/>
                <w:sz w:val="16"/>
              </w:rPr>
              <w:t>la</w:t>
            </w:r>
            <w:r>
              <w:rPr>
                <w:b/>
                <w:spacing w:val="-2"/>
                <w:sz w:val="16"/>
              </w:rPr>
              <w:t> </w:t>
            </w:r>
            <w:r>
              <w:rPr>
                <w:b/>
                <w:sz w:val="16"/>
              </w:rPr>
              <w:t>formación</w:t>
            </w:r>
            <w:r>
              <w:rPr>
                <w:b/>
                <w:spacing w:val="-5"/>
                <w:sz w:val="16"/>
              </w:rPr>
              <w:t> </w:t>
            </w:r>
            <w:r>
              <w:rPr>
                <w:b/>
                <w:sz w:val="16"/>
              </w:rPr>
              <w:t>integral</w:t>
            </w:r>
            <w:r>
              <w:rPr>
                <w:b/>
                <w:spacing w:val="-5"/>
                <w:sz w:val="16"/>
              </w:rPr>
              <w:t> </w:t>
            </w:r>
            <w:r>
              <w:rPr>
                <w:b/>
                <w:sz w:val="16"/>
              </w:rPr>
              <w:t>dirigida</w:t>
            </w:r>
            <w:r>
              <w:rPr>
                <w:b/>
                <w:spacing w:val="-2"/>
                <w:sz w:val="16"/>
              </w:rPr>
              <w:t> </w:t>
            </w:r>
            <w:r>
              <w:rPr>
                <w:b/>
                <w:sz w:val="16"/>
              </w:rPr>
              <w:t>a</w:t>
            </w:r>
            <w:r>
              <w:rPr>
                <w:b/>
                <w:spacing w:val="-2"/>
                <w:sz w:val="16"/>
              </w:rPr>
              <w:t> </w:t>
            </w:r>
            <w:r>
              <w:rPr>
                <w:b/>
                <w:sz w:val="16"/>
              </w:rPr>
              <w:t>la</w:t>
            </w:r>
            <w:r>
              <w:rPr>
                <w:b/>
                <w:spacing w:val="-2"/>
                <w:sz w:val="16"/>
              </w:rPr>
              <w:t> </w:t>
            </w:r>
            <w:r>
              <w:rPr>
                <w:b/>
                <w:sz w:val="16"/>
              </w:rPr>
              <w:t>niñez</w:t>
            </w:r>
            <w:r>
              <w:rPr>
                <w:b/>
                <w:spacing w:val="-2"/>
                <w:sz w:val="16"/>
              </w:rPr>
              <w:t> </w:t>
            </w:r>
            <w:r>
              <w:rPr>
                <w:b/>
                <w:sz w:val="16"/>
              </w:rPr>
              <w:t>y</w:t>
            </w:r>
            <w:r>
              <w:rPr>
                <w:b/>
                <w:spacing w:val="-2"/>
                <w:sz w:val="16"/>
              </w:rPr>
              <w:t> </w:t>
            </w:r>
            <w:r>
              <w:rPr>
                <w:b/>
                <w:sz w:val="16"/>
              </w:rPr>
              <w:t>juventud</w:t>
            </w:r>
            <w:r>
              <w:rPr>
                <w:b/>
                <w:spacing w:val="-1"/>
                <w:sz w:val="16"/>
              </w:rPr>
              <w:t> </w:t>
            </w:r>
            <w:r>
              <w:rPr>
                <w:b/>
                <w:sz w:val="16"/>
              </w:rPr>
              <w:t>en</w:t>
            </w:r>
            <w:r>
              <w:rPr>
                <w:b/>
                <w:spacing w:val="-5"/>
                <w:sz w:val="16"/>
              </w:rPr>
              <w:t> </w:t>
            </w:r>
            <w:r>
              <w:rPr>
                <w:b/>
                <w:sz w:val="16"/>
              </w:rPr>
              <w:t>situación</w:t>
            </w:r>
            <w:r>
              <w:rPr>
                <w:b/>
                <w:spacing w:val="-1"/>
                <w:sz w:val="16"/>
              </w:rPr>
              <w:t> </w:t>
            </w:r>
            <w:r>
              <w:rPr>
                <w:b/>
                <w:sz w:val="16"/>
              </w:rPr>
              <w:t>de pobreza, con la finalidad de crear condiciones de promoción social en estas poblaciones. E3 AE3 R2</w:t>
            </w:r>
          </w:p>
        </w:tc>
      </w:tr>
      <w:tr>
        <w:trPr>
          <w:trHeight w:val="1656"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1.35.1:</w:t>
            </w:r>
          </w:p>
          <w:p>
            <w:pPr>
              <w:pStyle w:val="TableParagraph"/>
              <w:ind w:left="72" w:right="431"/>
              <w:rPr>
                <w:sz w:val="16"/>
              </w:rPr>
            </w:pPr>
            <w:r>
              <w:rPr>
                <w:sz w:val="16"/>
              </w:rPr>
              <w:t>Definición de mecanismos de articulación</w:t>
            </w:r>
            <w:r>
              <w:rPr>
                <w:spacing w:val="-12"/>
                <w:sz w:val="16"/>
              </w:rPr>
              <w:t> </w:t>
            </w:r>
            <w:r>
              <w:rPr>
                <w:sz w:val="16"/>
              </w:rPr>
              <w:t>para cada instancia </w:t>
            </w:r>
            <w:r>
              <w:rPr>
                <w:spacing w:val="-2"/>
                <w:sz w:val="16"/>
              </w:rPr>
              <w:t>identificada </w:t>
            </w:r>
            <w:r>
              <w:rPr>
                <w:sz w:val="16"/>
              </w:rPr>
              <w:t>(vinculado</w:t>
            </w:r>
            <w:r>
              <w:rPr>
                <w:spacing w:val="-12"/>
                <w:sz w:val="16"/>
              </w:rPr>
              <w:t> </w:t>
            </w:r>
            <w:r>
              <w:rPr>
                <w:sz w:val="16"/>
              </w:rPr>
              <w:t>a</w:t>
            </w:r>
            <w:r>
              <w:rPr>
                <w:spacing w:val="-11"/>
                <w:sz w:val="16"/>
              </w:rPr>
              <w:t> </w:t>
            </w:r>
            <w:r>
              <w:rPr>
                <w:sz w:val="16"/>
              </w:rPr>
              <w:t>PEI</w:t>
            </w:r>
          </w:p>
          <w:p>
            <w:pPr>
              <w:pStyle w:val="TableParagraph"/>
              <w:spacing w:line="163" w:lineRule="exact"/>
              <w:ind w:left="72"/>
              <w:rPr>
                <w:sz w:val="16"/>
              </w:rPr>
            </w:pPr>
            <w:r>
              <w:rPr>
                <w:spacing w:val="-2"/>
                <w:sz w:val="16"/>
              </w:rPr>
              <w:t>3.3.2).</w:t>
            </w:r>
          </w:p>
        </w:tc>
        <w:tc>
          <w:tcPr>
            <w:tcW w:w="1278" w:type="dxa"/>
          </w:tcPr>
          <w:p>
            <w:pPr>
              <w:pStyle w:val="TableParagraph"/>
              <w:spacing w:before="90"/>
              <w:ind w:left="72" w:right="78"/>
              <w:rPr>
                <w:sz w:val="16"/>
              </w:rPr>
            </w:pPr>
            <w:r>
              <w:rPr>
                <w:sz w:val="16"/>
              </w:rPr>
              <w:t>Porcentaje de avance en la definición de </w:t>
            </w:r>
            <w:r>
              <w:rPr>
                <w:spacing w:val="-2"/>
                <w:sz w:val="16"/>
              </w:rPr>
              <w:t>mecanismos</w:t>
            </w:r>
            <w:r>
              <w:rPr>
                <w:spacing w:val="-10"/>
                <w:sz w:val="16"/>
              </w:rPr>
              <w:t> </w:t>
            </w:r>
            <w:r>
              <w:rPr>
                <w:spacing w:val="-2"/>
                <w:sz w:val="16"/>
              </w:rPr>
              <w:t>de articulación</w:t>
            </w:r>
            <w:r>
              <w:rPr>
                <w:spacing w:val="40"/>
                <w:sz w:val="16"/>
              </w:rPr>
              <w:t> </w:t>
            </w:r>
            <w:r>
              <w:rPr>
                <w:sz w:val="16"/>
              </w:rPr>
              <w:t>para</w:t>
            </w:r>
            <w:r>
              <w:rPr>
                <w:spacing w:val="-2"/>
                <w:sz w:val="16"/>
              </w:rPr>
              <w:t> </w:t>
            </w:r>
            <w:r>
              <w:rPr>
                <w:sz w:val="16"/>
              </w:rPr>
              <w:t>cada </w:t>
            </w:r>
            <w:r>
              <w:rPr>
                <w:spacing w:val="-2"/>
                <w:sz w:val="16"/>
              </w:rPr>
              <w:t>instancia identificada.</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21" w:right="12"/>
              <w:jc w:val="center"/>
              <w:rPr>
                <w:sz w:val="16"/>
              </w:rPr>
            </w:pPr>
            <w:r>
              <w:rPr>
                <w:spacing w:val="-5"/>
                <w:sz w:val="16"/>
              </w:rPr>
              <w:t>25%</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1"/>
              <w:jc w:val="center"/>
              <w:rPr>
                <w:sz w:val="16"/>
              </w:rPr>
            </w:pPr>
            <w:r>
              <w:rPr>
                <w:spacing w:val="-5"/>
                <w:sz w:val="16"/>
              </w:rPr>
              <w:t>50%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16" w:right="19"/>
              <w:jc w:val="center"/>
              <w:rPr>
                <w:sz w:val="16"/>
              </w:rPr>
            </w:pPr>
            <w:r>
              <w:rPr>
                <w:spacing w:val="-5"/>
                <w:sz w:val="16"/>
              </w:rPr>
              <w:t>75%</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2208" w:hRule="atLeast"/>
        </w:trPr>
        <w:tc>
          <w:tcPr>
            <w:tcW w:w="1695" w:type="dxa"/>
          </w:tcPr>
          <w:p>
            <w:pPr>
              <w:pStyle w:val="TableParagraph"/>
              <w:spacing w:before="92"/>
              <w:rPr>
                <w:b/>
                <w:sz w:val="16"/>
              </w:rPr>
            </w:pPr>
          </w:p>
          <w:p>
            <w:pPr>
              <w:pStyle w:val="TableParagraph"/>
              <w:spacing w:before="1"/>
              <w:ind w:left="72"/>
              <w:rPr>
                <w:b/>
                <w:sz w:val="16"/>
              </w:rPr>
            </w:pPr>
            <w:r>
              <w:rPr>
                <w:b/>
                <w:spacing w:val="-2"/>
                <w:sz w:val="16"/>
              </w:rPr>
              <w:t>Actividad</w:t>
            </w:r>
            <w:r>
              <w:rPr>
                <w:b/>
                <w:spacing w:val="-10"/>
                <w:sz w:val="16"/>
              </w:rPr>
              <w:t> </w:t>
            </w:r>
            <w:r>
              <w:rPr>
                <w:b/>
                <w:spacing w:val="-2"/>
                <w:sz w:val="16"/>
              </w:rPr>
              <w:t>PPPS 1.35.2:</w:t>
            </w:r>
          </w:p>
          <w:p>
            <w:pPr>
              <w:pStyle w:val="TableParagraph"/>
              <w:ind w:left="72" w:right="103"/>
              <w:rPr>
                <w:sz w:val="16"/>
              </w:rPr>
            </w:pPr>
            <w:r>
              <w:rPr>
                <w:sz w:val="16"/>
              </w:rPr>
              <w:t>Ejecución</w:t>
            </w:r>
            <w:r>
              <w:rPr>
                <w:spacing w:val="-9"/>
                <w:sz w:val="16"/>
              </w:rPr>
              <w:t> </w:t>
            </w:r>
            <w:r>
              <w:rPr>
                <w:sz w:val="16"/>
              </w:rPr>
              <w:t>de</w:t>
            </w:r>
            <w:r>
              <w:rPr>
                <w:spacing w:val="-9"/>
                <w:sz w:val="16"/>
              </w:rPr>
              <w:t> </w:t>
            </w:r>
            <w:r>
              <w:rPr>
                <w:sz w:val="16"/>
              </w:rPr>
              <w:t>talleres o actividades con población infantil y juvenil, articulados </w:t>
            </w:r>
            <w:r>
              <w:rPr>
                <w:spacing w:val="-2"/>
                <w:sz w:val="16"/>
              </w:rPr>
              <w:t>interinstitucionalment </w:t>
            </w:r>
            <w:r>
              <w:rPr>
                <w:sz w:val="16"/>
              </w:rPr>
              <w:t>e (vinculado a PEI </w:t>
            </w:r>
            <w:r>
              <w:rPr>
                <w:spacing w:val="-2"/>
                <w:sz w:val="16"/>
              </w:rPr>
              <w:t>3.3.2).</w:t>
            </w:r>
          </w:p>
        </w:tc>
        <w:tc>
          <w:tcPr>
            <w:tcW w:w="1278" w:type="dxa"/>
          </w:tcPr>
          <w:p>
            <w:pPr>
              <w:pStyle w:val="TableParagraph"/>
              <w:ind w:left="72" w:right="79"/>
              <w:rPr>
                <w:sz w:val="16"/>
              </w:rPr>
            </w:pPr>
            <w:r>
              <w:rPr>
                <w:sz w:val="16"/>
              </w:rPr>
              <w:t>Porcentaje de </w:t>
            </w:r>
            <w:r>
              <w:rPr>
                <w:spacing w:val="-2"/>
                <w:sz w:val="16"/>
              </w:rPr>
              <w:t>población </w:t>
            </w:r>
            <w:r>
              <w:rPr>
                <w:sz w:val="16"/>
              </w:rPr>
              <w:t>infantil</w:t>
            </w:r>
            <w:r>
              <w:rPr>
                <w:spacing w:val="-5"/>
                <w:sz w:val="16"/>
              </w:rPr>
              <w:t> </w:t>
            </w:r>
            <w:r>
              <w:rPr>
                <w:sz w:val="16"/>
              </w:rPr>
              <w:t>y</w:t>
            </w:r>
            <w:r>
              <w:rPr>
                <w:spacing w:val="-5"/>
                <w:sz w:val="16"/>
              </w:rPr>
              <w:t> </w:t>
            </w:r>
            <w:r>
              <w:rPr>
                <w:sz w:val="16"/>
              </w:rPr>
              <w:t>juvenil en pobreza y </w:t>
            </w:r>
            <w:r>
              <w:rPr>
                <w:spacing w:val="-2"/>
                <w:sz w:val="16"/>
              </w:rPr>
              <w:t>pobreza extrema atendida mediante mecanismos</w:t>
            </w:r>
            <w:r>
              <w:rPr>
                <w:spacing w:val="-10"/>
                <w:sz w:val="16"/>
              </w:rPr>
              <w:t> </w:t>
            </w:r>
            <w:r>
              <w:rPr>
                <w:spacing w:val="-2"/>
                <w:sz w:val="16"/>
              </w:rPr>
              <w:t>de articulación</w:t>
            </w:r>
          </w:p>
          <w:p>
            <w:pPr>
              <w:pStyle w:val="TableParagraph"/>
              <w:spacing w:line="182" w:lineRule="exact"/>
              <w:ind w:left="72" w:right="84"/>
              <w:rPr>
                <w:sz w:val="16"/>
              </w:rPr>
            </w:pPr>
            <w:r>
              <w:rPr>
                <w:spacing w:val="-2"/>
                <w:sz w:val="16"/>
              </w:rPr>
              <w:t>interinstituciona</w:t>
            </w:r>
            <w:r>
              <w:rPr>
                <w:spacing w:val="40"/>
                <w:sz w:val="16"/>
              </w:rPr>
              <w:t> </w:t>
            </w:r>
            <w:r>
              <w:rPr>
                <w:spacing w:val="-10"/>
                <w:sz w:val="16"/>
              </w:rPr>
              <w:t>l</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left="4" w:right="1"/>
              <w:jc w:val="center"/>
              <w:rPr>
                <w:sz w:val="16"/>
              </w:rPr>
            </w:pPr>
            <w:r>
              <w:rPr>
                <w:spacing w:val="-5"/>
                <w:sz w:val="16"/>
              </w:rPr>
              <w:t>60%</w:t>
            </w:r>
          </w:p>
        </w:tc>
        <w:tc>
          <w:tcPr>
            <w:tcW w:w="1494" w:type="dxa"/>
          </w:tcPr>
          <w:p>
            <w:pPr>
              <w:pStyle w:val="TableParagraph"/>
              <w:rPr>
                <w:rFonts w:ascii="Times New Roman"/>
                <w:sz w:val="16"/>
              </w:rPr>
            </w:pPr>
          </w:p>
        </w:tc>
      </w:tr>
      <w:tr>
        <w:trPr>
          <w:trHeight w:val="541" w:hRule="atLeast"/>
        </w:trPr>
        <w:tc>
          <w:tcPr>
            <w:tcW w:w="14323" w:type="dxa"/>
            <w:gridSpan w:val="10"/>
            <w:shd w:val="clear" w:color="auto" w:fill="EFF8F9"/>
          </w:tcPr>
          <w:p>
            <w:pPr>
              <w:pStyle w:val="TableParagraph"/>
              <w:spacing w:line="244" w:lineRule="auto" w:before="85"/>
              <w:ind w:left="72" w:right="95"/>
              <w:rPr>
                <w:b/>
                <w:sz w:val="16"/>
              </w:rPr>
            </w:pPr>
            <w:r>
              <w:rPr>
                <w:b/>
                <w:sz w:val="16"/>
              </w:rPr>
              <w:t>Producto</w:t>
            </w:r>
            <w:r>
              <w:rPr>
                <w:b/>
                <w:spacing w:val="-1"/>
                <w:sz w:val="16"/>
              </w:rPr>
              <w:t> </w:t>
            </w:r>
            <w:r>
              <w:rPr>
                <w:b/>
                <w:sz w:val="16"/>
              </w:rPr>
              <w:t>PPPS 1.36:</w:t>
            </w:r>
            <w:r>
              <w:rPr>
                <w:b/>
                <w:spacing w:val="-4"/>
                <w:sz w:val="16"/>
              </w:rPr>
              <w:t> </w:t>
            </w:r>
            <w:r>
              <w:rPr>
                <w:b/>
                <w:sz w:val="16"/>
              </w:rPr>
              <w:t>Estrategia</w:t>
            </w:r>
            <w:r>
              <w:rPr>
                <w:b/>
                <w:spacing w:val="-2"/>
                <w:sz w:val="16"/>
              </w:rPr>
              <w:t> </w:t>
            </w:r>
            <w:r>
              <w:rPr>
                <w:b/>
                <w:sz w:val="16"/>
              </w:rPr>
              <w:t>de</w:t>
            </w:r>
            <w:r>
              <w:rPr>
                <w:b/>
                <w:spacing w:val="-2"/>
                <w:sz w:val="16"/>
              </w:rPr>
              <w:t> </w:t>
            </w:r>
            <w:r>
              <w:rPr>
                <w:b/>
                <w:sz w:val="16"/>
              </w:rPr>
              <w:t>campo</w:t>
            </w:r>
            <w:r>
              <w:rPr>
                <w:b/>
                <w:spacing w:val="-1"/>
                <w:sz w:val="16"/>
              </w:rPr>
              <w:t> </w:t>
            </w:r>
            <w:r>
              <w:rPr>
                <w:b/>
                <w:sz w:val="16"/>
              </w:rPr>
              <w:t>para</w:t>
            </w:r>
            <w:r>
              <w:rPr>
                <w:b/>
                <w:spacing w:val="-5"/>
                <w:sz w:val="16"/>
              </w:rPr>
              <w:t> </w:t>
            </w:r>
            <w:r>
              <w:rPr>
                <w:b/>
                <w:sz w:val="16"/>
              </w:rPr>
              <w:t>la</w:t>
            </w:r>
            <w:r>
              <w:rPr>
                <w:b/>
                <w:spacing w:val="-5"/>
                <w:sz w:val="16"/>
              </w:rPr>
              <w:t> </w:t>
            </w:r>
            <w:r>
              <w:rPr>
                <w:b/>
                <w:sz w:val="16"/>
              </w:rPr>
              <w:t>identificación</w:t>
            </w:r>
            <w:r>
              <w:rPr>
                <w:b/>
                <w:spacing w:val="-1"/>
                <w:sz w:val="16"/>
              </w:rPr>
              <w:t> </w:t>
            </w:r>
            <w:r>
              <w:rPr>
                <w:b/>
                <w:sz w:val="16"/>
              </w:rPr>
              <w:t>de</w:t>
            </w:r>
            <w:r>
              <w:rPr>
                <w:b/>
                <w:spacing w:val="-2"/>
                <w:sz w:val="16"/>
              </w:rPr>
              <w:t> </w:t>
            </w:r>
            <w:r>
              <w:rPr>
                <w:b/>
                <w:sz w:val="16"/>
              </w:rPr>
              <w:t>población</w:t>
            </w:r>
            <w:r>
              <w:rPr>
                <w:b/>
                <w:spacing w:val="-4"/>
                <w:sz w:val="16"/>
              </w:rPr>
              <w:t> </w:t>
            </w:r>
            <w:r>
              <w:rPr>
                <w:b/>
                <w:sz w:val="16"/>
              </w:rPr>
              <w:t>estudiantil</w:t>
            </w:r>
            <w:r>
              <w:rPr>
                <w:b/>
                <w:spacing w:val="-1"/>
                <w:sz w:val="16"/>
              </w:rPr>
              <w:t> </w:t>
            </w:r>
            <w:r>
              <w:rPr>
                <w:b/>
                <w:sz w:val="16"/>
              </w:rPr>
              <w:t>diseñada</w:t>
            </w:r>
            <w:r>
              <w:rPr>
                <w:b/>
                <w:spacing w:val="-2"/>
                <w:sz w:val="16"/>
              </w:rPr>
              <w:t> </w:t>
            </w:r>
            <w:r>
              <w:rPr>
                <w:b/>
                <w:sz w:val="16"/>
              </w:rPr>
              <w:t>y</w:t>
            </w:r>
            <w:r>
              <w:rPr>
                <w:b/>
                <w:spacing w:val="-2"/>
                <w:sz w:val="16"/>
              </w:rPr>
              <w:t> </w:t>
            </w:r>
            <w:r>
              <w:rPr>
                <w:b/>
                <w:sz w:val="16"/>
              </w:rPr>
              <w:t>ejecutándose</w:t>
            </w:r>
            <w:r>
              <w:rPr>
                <w:b/>
                <w:spacing w:val="-2"/>
                <w:sz w:val="16"/>
              </w:rPr>
              <w:t> </w:t>
            </w:r>
            <w:r>
              <w:rPr>
                <w:b/>
                <w:sz w:val="16"/>
              </w:rPr>
              <w:t>que</w:t>
            </w:r>
            <w:r>
              <w:rPr>
                <w:b/>
                <w:spacing w:val="-5"/>
                <w:sz w:val="16"/>
              </w:rPr>
              <w:t> </w:t>
            </w:r>
            <w:r>
              <w:rPr>
                <w:b/>
                <w:sz w:val="16"/>
              </w:rPr>
              <w:t>permita</w:t>
            </w:r>
            <w:r>
              <w:rPr>
                <w:b/>
                <w:spacing w:val="-2"/>
                <w:sz w:val="16"/>
              </w:rPr>
              <w:t> </w:t>
            </w:r>
            <w:r>
              <w:rPr>
                <w:b/>
                <w:sz w:val="16"/>
              </w:rPr>
              <w:t>el</w:t>
            </w:r>
            <w:r>
              <w:rPr>
                <w:b/>
                <w:spacing w:val="-1"/>
                <w:sz w:val="16"/>
              </w:rPr>
              <w:t> </w:t>
            </w:r>
            <w:r>
              <w:rPr>
                <w:b/>
                <w:sz w:val="16"/>
              </w:rPr>
              <w:t>acceso</w:t>
            </w:r>
            <w:r>
              <w:rPr>
                <w:b/>
                <w:spacing w:val="-1"/>
                <w:sz w:val="16"/>
              </w:rPr>
              <w:t> </w:t>
            </w:r>
            <w:r>
              <w:rPr>
                <w:b/>
                <w:sz w:val="16"/>
              </w:rPr>
              <w:t>priorizado</w:t>
            </w:r>
            <w:r>
              <w:rPr>
                <w:b/>
                <w:spacing w:val="-4"/>
                <w:sz w:val="16"/>
              </w:rPr>
              <w:t> </w:t>
            </w:r>
            <w:r>
              <w:rPr>
                <w:b/>
                <w:sz w:val="16"/>
              </w:rPr>
              <w:t>de</w:t>
            </w:r>
            <w:r>
              <w:rPr>
                <w:b/>
                <w:spacing w:val="-5"/>
                <w:sz w:val="16"/>
              </w:rPr>
              <w:t> </w:t>
            </w:r>
            <w:r>
              <w:rPr>
                <w:b/>
                <w:sz w:val="16"/>
              </w:rPr>
              <w:t>población</w:t>
            </w:r>
            <w:r>
              <w:rPr>
                <w:b/>
                <w:spacing w:val="-1"/>
                <w:sz w:val="16"/>
              </w:rPr>
              <w:t> </w:t>
            </w:r>
            <w:r>
              <w:rPr>
                <w:b/>
                <w:sz w:val="16"/>
              </w:rPr>
              <w:t>en</w:t>
            </w:r>
            <w:r>
              <w:rPr>
                <w:b/>
                <w:spacing w:val="-4"/>
                <w:sz w:val="16"/>
              </w:rPr>
              <w:t> </w:t>
            </w:r>
            <w:r>
              <w:rPr>
                <w:b/>
                <w:sz w:val="16"/>
              </w:rPr>
              <w:t>pobreza</w:t>
            </w:r>
            <w:r>
              <w:rPr>
                <w:b/>
                <w:spacing w:val="-5"/>
                <w:sz w:val="16"/>
              </w:rPr>
              <w:t> </w:t>
            </w:r>
            <w:r>
              <w:rPr>
                <w:b/>
                <w:sz w:val="16"/>
              </w:rPr>
              <w:t>extrema</w:t>
            </w:r>
            <w:r>
              <w:rPr>
                <w:b/>
                <w:spacing w:val="-2"/>
                <w:sz w:val="16"/>
              </w:rPr>
              <w:t> </w:t>
            </w:r>
            <w:r>
              <w:rPr>
                <w:b/>
                <w:sz w:val="16"/>
              </w:rPr>
              <w:t>con factores de exclusión social. E3 AE4 R2</w:t>
            </w:r>
          </w:p>
        </w:tc>
      </w:tr>
    </w:tbl>
    <w:p>
      <w:pPr>
        <w:pStyle w:val="TableParagraph"/>
        <w:spacing w:after="0" w:line="244" w:lineRule="auto"/>
        <w:rPr>
          <w:b/>
          <w:sz w:val="16"/>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2761" w:hRule="atLeast"/>
        </w:trPr>
        <w:tc>
          <w:tcPr>
            <w:tcW w:w="1695" w:type="dxa"/>
          </w:tcPr>
          <w:p>
            <w:pPr>
              <w:pStyle w:val="TableParagraph"/>
              <w:rPr>
                <w:b/>
                <w:sz w:val="16"/>
              </w:rPr>
            </w:pPr>
          </w:p>
          <w:p>
            <w:pPr>
              <w:pStyle w:val="TableParagraph"/>
              <w:spacing w:before="183"/>
              <w:rPr>
                <w:b/>
                <w:sz w:val="16"/>
              </w:rPr>
            </w:pPr>
          </w:p>
          <w:p>
            <w:pPr>
              <w:pStyle w:val="TableParagraph"/>
              <w:ind w:left="72"/>
              <w:rPr>
                <w:b/>
                <w:sz w:val="16"/>
              </w:rPr>
            </w:pPr>
            <w:r>
              <w:rPr>
                <w:b/>
                <w:sz w:val="16"/>
              </w:rPr>
              <w:t>Actividad</w:t>
            </w:r>
            <w:r>
              <w:rPr>
                <w:b/>
                <w:spacing w:val="-11"/>
                <w:sz w:val="16"/>
              </w:rPr>
              <w:t> </w:t>
            </w:r>
            <w:r>
              <w:rPr>
                <w:b/>
                <w:spacing w:val="-4"/>
                <w:sz w:val="16"/>
              </w:rPr>
              <w:t>PPPS</w:t>
            </w:r>
          </w:p>
          <w:p>
            <w:pPr>
              <w:pStyle w:val="TableParagraph"/>
              <w:spacing w:before="3"/>
              <w:ind w:left="72" w:right="137"/>
              <w:rPr>
                <w:sz w:val="16"/>
              </w:rPr>
            </w:pPr>
            <w:r>
              <w:rPr>
                <w:b/>
                <w:sz w:val="16"/>
              </w:rPr>
              <w:t>1.36.1</w:t>
            </w:r>
            <w:r>
              <w:rPr>
                <w:sz w:val="16"/>
              </w:rPr>
              <w:t>:</w:t>
            </w:r>
            <w:r>
              <w:rPr>
                <w:spacing w:val="-12"/>
                <w:sz w:val="16"/>
              </w:rPr>
              <w:t> </w:t>
            </w:r>
            <w:r>
              <w:rPr>
                <w:sz w:val="16"/>
              </w:rPr>
              <w:t>Identificación y priorización de población</w:t>
            </w:r>
            <w:r>
              <w:rPr>
                <w:spacing w:val="-12"/>
                <w:sz w:val="16"/>
              </w:rPr>
              <w:t> </w:t>
            </w:r>
            <w:r>
              <w:rPr>
                <w:sz w:val="16"/>
              </w:rPr>
              <w:t>estudiantil en pobreza extrema con factores de exclusión</w:t>
            </w:r>
            <w:r>
              <w:rPr>
                <w:spacing w:val="-2"/>
                <w:sz w:val="16"/>
              </w:rPr>
              <w:t> </w:t>
            </w:r>
            <w:r>
              <w:rPr>
                <w:sz w:val="16"/>
              </w:rPr>
              <w:t>social (vinculado a PEI </w:t>
            </w:r>
            <w:r>
              <w:rPr>
                <w:spacing w:val="-2"/>
                <w:sz w:val="16"/>
              </w:rPr>
              <w:t>3.4.2).</w:t>
            </w:r>
          </w:p>
        </w:tc>
        <w:tc>
          <w:tcPr>
            <w:tcW w:w="1278" w:type="dxa"/>
          </w:tcPr>
          <w:p>
            <w:pPr>
              <w:pStyle w:val="TableParagraph"/>
              <w:ind w:left="72" w:right="76"/>
              <w:rPr>
                <w:sz w:val="16"/>
              </w:rPr>
            </w:pPr>
            <w:r>
              <w:rPr>
                <w:sz w:val="16"/>
              </w:rPr>
              <w:t>Porcentaje de </w:t>
            </w:r>
            <w:r>
              <w:rPr>
                <w:spacing w:val="-2"/>
                <w:sz w:val="16"/>
              </w:rPr>
              <w:t>población </w:t>
            </w:r>
            <w:r>
              <w:rPr>
                <w:sz w:val="16"/>
              </w:rPr>
              <w:t>estudiantil en </w:t>
            </w:r>
            <w:r>
              <w:rPr>
                <w:spacing w:val="-2"/>
                <w:sz w:val="16"/>
              </w:rPr>
              <w:t>pobreza extrema </w:t>
            </w:r>
            <w:r>
              <w:rPr>
                <w:sz w:val="16"/>
              </w:rPr>
              <w:t>identificada</w:t>
            </w:r>
            <w:r>
              <w:rPr>
                <w:spacing w:val="-12"/>
                <w:sz w:val="16"/>
              </w:rPr>
              <w:t> </w:t>
            </w:r>
            <w:r>
              <w:rPr>
                <w:sz w:val="16"/>
              </w:rPr>
              <w:t>con factores de </w:t>
            </w:r>
            <w:r>
              <w:rPr>
                <w:spacing w:val="-2"/>
                <w:sz w:val="16"/>
              </w:rPr>
              <w:t>exclusión</w:t>
            </w:r>
            <w:r>
              <w:rPr>
                <w:spacing w:val="-10"/>
                <w:sz w:val="16"/>
              </w:rPr>
              <w:t> </w:t>
            </w:r>
            <w:r>
              <w:rPr>
                <w:spacing w:val="-2"/>
                <w:sz w:val="16"/>
              </w:rPr>
              <w:t>social priorizada, </w:t>
            </w:r>
            <w:r>
              <w:rPr>
                <w:sz w:val="16"/>
              </w:rPr>
              <w:t>mediante una estrategia de </w:t>
            </w:r>
            <w:r>
              <w:rPr>
                <w:spacing w:val="-2"/>
                <w:sz w:val="16"/>
              </w:rPr>
              <w:t>búsqueda activa,</w:t>
            </w:r>
            <w:r>
              <w:rPr>
                <w:spacing w:val="-10"/>
                <w:sz w:val="16"/>
              </w:rPr>
              <w:t> </w:t>
            </w:r>
            <w:r>
              <w:rPr>
                <w:spacing w:val="-2"/>
                <w:sz w:val="16"/>
              </w:rPr>
              <w:t>atendida</w:t>
            </w:r>
          </w:p>
          <w:p>
            <w:pPr>
              <w:pStyle w:val="TableParagraph"/>
              <w:spacing w:line="182" w:lineRule="exact"/>
              <w:ind w:left="72" w:right="131"/>
              <w:rPr>
                <w:sz w:val="16"/>
              </w:rPr>
            </w:pPr>
            <w:r>
              <w:rPr>
                <w:sz w:val="16"/>
              </w:rPr>
              <w:t>y</w:t>
            </w:r>
            <w:r>
              <w:rPr>
                <w:spacing w:val="-12"/>
                <w:sz w:val="16"/>
              </w:rPr>
              <w:t> </w:t>
            </w:r>
            <w:r>
              <w:rPr>
                <w:sz w:val="16"/>
              </w:rPr>
              <w:t>con</w:t>
            </w:r>
            <w:r>
              <w:rPr>
                <w:spacing w:val="-11"/>
                <w:sz w:val="16"/>
              </w:rPr>
              <w:t> </w:t>
            </w:r>
            <w:r>
              <w:rPr>
                <w:sz w:val="16"/>
              </w:rPr>
              <w:t>beneficio </w:t>
            </w:r>
            <w:r>
              <w:rPr>
                <w:spacing w:val="-2"/>
                <w:sz w:val="16"/>
              </w:rPr>
              <w:t>aprobado</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spacing w:before="1"/>
              <w:ind w:left="4" w:right="1"/>
              <w:jc w:val="center"/>
              <w:rPr>
                <w:sz w:val="16"/>
              </w:rPr>
            </w:pPr>
            <w:r>
              <w:rPr>
                <w:spacing w:val="-5"/>
                <w:sz w:val="16"/>
              </w:rPr>
              <w:t>60%</w:t>
            </w:r>
          </w:p>
        </w:tc>
        <w:tc>
          <w:tcPr>
            <w:tcW w:w="1494" w:type="dxa"/>
          </w:tcPr>
          <w:p>
            <w:pPr>
              <w:pStyle w:val="TableParagraph"/>
              <w:rPr>
                <w:rFonts w:ascii="Times New Roman"/>
                <w:sz w:val="16"/>
              </w:rPr>
            </w:pPr>
          </w:p>
        </w:tc>
      </w:tr>
      <w:tr>
        <w:trPr>
          <w:trHeight w:val="484" w:hRule="atLeast"/>
        </w:trPr>
        <w:tc>
          <w:tcPr>
            <w:tcW w:w="14323" w:type="dxa"/>
            <w:gridSpan w:val="10"/>
            <w:shd w:val="clear" w:color="auto" w:fill="EFF8F9"/>
          </w:tcPr>
          <w:p>
            <w:pPr>
              <w:pStyle w:val="TableParagraph"/>
              <w:spacing w:before="3"/>
              <w:ind w:left="72" w:right="95"/>
              <w:rPr>
                <w:b/>
                <w:sz w:val="16"/>
              </w:rPr>
            </w:pPr>
            <w:r>
              <w:rPr>
                <w:b/>
                <w:sz w:val="16"/>
              </w:rPr>
              <w:t>Producto</w:t>
            </w:r>
            <w:r>
              <w:rPr>
                <w:b/>
                <w:spacing w:val="-1"/>
                <w:sz w:val="16"/>
              </w:rPr>
              <w:t> </w:t>
            </w:r>
            <w:r>
              <w:rPr>
                <w:b/>
                <w:sz w:val="16"/>
              </w:rPr>
              <w:t>PPPS 1.37:</w:t>
            </w:r>
            <w:r>
              <w:rPr>
                <w:b/>
                <w:spacing w:val="-5"/>
                <w:sz w:val="16"/>
              </w:rPr>
              <w:t> </w:t>
            </w:r>
            <w:r>
              <w:rPr>
                <w:b/>
                <w:sz w:val="16"/>
              </w:rPr>
              <w:t>Estrategia</w:t>
            </w:r>
            <w:r>
              <w:rPr>
                <w:b/>
                <w:spacing w:val="-2"/>
                <w:sz w:val="16"/>
              </w:rPr>
              <w:t> </w:t>
            </w:r>
            <w:r>
              <w:rPr>
                <w:b/>
                <w:sz w:val="16"/>
              </w:rPr>
              <w:t>de</w:t>
            </w:r>
            <w:r>
              <w:rPr>
                <w:b/>
                <w:spacing w:val="-2"/>
                <w:sz w:val="16"/>
              </w:rPr>
              <w:t> </w:t>
            </w:r>
            <w:r>
              <w:rPr>
                <w:b/>
                <w:sz w:val="16"/>
              </w:rPr>
              <w:t>desarrollo</w:t>
            </w:r>
            <w:r>
              <w:rPr>
                <w:b/>
                <w:spacing w:val="-5"/>
                <w:sz w:val="16"/>
              </w:rPr>
              <w:t> </w:t>
            </w:r>
            <w:r>
              <w:rPr>
                <w:b/>
                <w:sz w:val="16"/>
              </w:rPr>
              <w:t>sociolaboral</w:t>
            </w:r>
            <w:r>
              <w:rPr>
                <w:b/>
                <w:spacing w:val="-1"/>
                <w:sz w:val="16"/>
              </w:rPr>
              <w:t> </w:t>
            </w:r>
            <w:r>
              <w:rPr>
                <w:b/>
                <w:sz w:val="16"/>
              </w:rPr>
              <w:t>con</w:t>
            </w:r>
            <w:r>
              <w:rPr>
                <w:b/>
                <w:spacing w:val="-1"/>
                <w:sz w:val="16"/>
              </w:rPr>
              <w:t> </w:t>
            </w:r>
            <w:r>
              <w:rPr>
                <w:b/>
                <w:sz w:val="16"/>
              </w:rPr>
              <w:t>enfoque</w:t>
            </w:r>
            <w:r>
              <w:rPr>
                <w:b/>
                <w:spacing w:val="-2"/>
                <w:sz w:val="16"/>
              </w:rPr>
              <w:t> </w:t>
            </w:r>
            <w:r>
              <w:rPr>
                <w:b/>
                <w:sz w:val="16"/>
              </w:rPr>
              <w:t>prospectivo</w:t>
            </w:r>
            <w:r>
              <w:rPr>
                <w:b/>
                <w:spacing w:val="-1"/>
                <w:sz w:val="16"/>
              </w:rPr>
              <w:t> </w:t>
            </w:r>
            <w:r>
              <w:rPr>
                <w:b/>
                <w:sz w:val="16"/>
              </w:rPr>
              <w:t>y</w:t>
            </w:r>
            <w:r>
              <w:rPr>
                <w:b/>
                <w:spacing w:val="-6"/>
                <w:sz w:val="16"/>
              </w:rPr>
              <w:t> </w:t>
            </w:r>
            <w:r>
              <w:rPr>
                <w:b/>
                <w:sz w:val="16"/>
              </w:rPr>
              <w:t>territorial</w:t>
            </w:r>
            <w:r>
              <w:rPr>
                <w:b/>
                <w:spacing w:val="-5"/>
                <w:sz w:val="16"/>
              </w:rPr>
              <w:t> </w:t>
            </w:r>
            <w:r>
              <w:rPr>
                <w:b/>
                <w:sz w:val="16"/>
              </w:rPr>
              <w:t>diseñada,</w:t>
            </w:r>
            <w:r>
              <w:rPr>
                <w:b/>
                <w:spacing w:val="-5"/>
                <w:sz w:val="16"/>
              </w:rPr>
              <w:t> </w:t>
            </w:r>
            <w:r>
              <w:rPr>
                <w:b/>
                <w:sz w:val="16"/>
              </w:rPr>
              <w:t>implementada</w:t>
            </w:r>
            <w:r>
              <w:rPr>
                <w:b/>
                <w:spacing w:val="-2"/>
                <w:sz w:val="16"/>
              </w:rPr>
              <w:t> </w:t>
            </w:r>
            <w:r>
              <w:rPr>
                <w:b/>
                <w:sz w:val="16"/>
              </w:rPr>
              <w:t>y</w:t>
            </w:r>
            <w:r>
              <w:rPr>
                <w:b/>
                <w:spacing w:val="-2"/>
                <w:sz w:val="16"/>
              </w:rPr>
              <w:t> </w:t>
            </w:r>
            <w:r>
              <w:rPr>
                <w:b/>
                <w:sz w:val="16"/>
              </w:rPr>
              <w:t>articulada,</w:t>
            </w:r>
            <w:r>
              <w:rPr>
                <w:b/>
                <w:spacing w:val="-1"/>
                <w:sz w:val="16"/>
              </w:rPr>
              <w:t> </w:t>
            </w:r>
            <w:r>
              <w:rPr>
                <w:b/>
                <w:sz w:val="16"/>
              </w:rPr>
              <w:t>para</w:t>
            </w:r>
            <w:r>
              <w:rPr>
                <w:b/>
                <w:spacing w:val="-6"/>
                <w:sz w:val="16"/>
              </w:rPr>
              <w:t> </w:t>
            </w:r>
            <w:r>
              <w:rPr>
                <w:b/>
                <w:sz w:val="16"/>
              </w:rPr>
              <w:t>crear condiciones</w:t>
            </w:r>
            <w:r>
              <w:rPr>
                <w:b/>
                <w:spacing w:val="-2"/>
                <w:sz w:val="16"/>
              </w:rPr>
              <w:t> </w:t>
            </w:r>
            <w:r>
              <w:rPr>
                <w:b/>
                <w:sz w:val="16"/>
              </w:rPr>
              <w:t>que</w:t>
            </w:r>
            <w:r>
              <w:rPr>
                <w:b/>
                <w:spacing w:val="-6"/>
                <w:sz w:val="16"/>
              </w:rPr>
              <w:t> </w:t>
            </w:r>
            <w:r>
              <w:rPr>
                <w:b/>
                <w:sz w:val="16"/>
              </w:rPr>
              <w:t>favorezcan</w:t>
            </w:r>
            <w:r>
              <w:rPr>
                <w:b/>
                <w:spacing w:val="-1"/>
                <w:sz w:val="16"/>
              </w:rPr>
              <w:t> </w:t>
            </w:r>
            <w:r>
              <w:rPr>
                <w:b/>
                <w:sz w:val="16"/>
              </w:rPr>
              <w:t>el</w:t>
            </w:r>
            <w:r>
              <w:rPr>
                <w:b/>
                <w:spacing w:val="-1"/>
                <w:sz w:val="16"/>
              </w:rPr>
              <w:t> </w:t>
            </w:r>
            <w:r>
              <w:rPr>
                <w:b/>
                <w:sz w:val="16"/>
              </w:rPr>
              <w:t>empleo</w:t>
            </w:r>
            <w:r>
              <w:rPr>
                <w:b/>
                <w:spacing w:val="-1"/>
                <w:sz w:val="16"/>
              </w:rPr>
              <w:t> </w:t>
            </w:r>
            <w:r>
              <w:rPr>
                <w:b/>
                <w:sz w:val="16"/>
              </w:rPr>
              <w:t>y autoempleo de la población en situación de pobreza. E3 AE5 R1</w:t>
            </w:r>
          </w:p>
        </w:tc>
      </w:tr>
      <w:tr>
        <w:trPr>
          <w:trHeight w:val="2760" w:hRule="atLeast"/>
        </w:trPr>
        <w:tc>
          <w:tcPr>
            <w:tcW w:w="1695" w:type="dxa"/>
          </w:tcPr>
          <w:p>
            <w:pPr>
              <w:pStyle w:val="TableParagraph"/>
              <w:rPr>
                <w:b/>
                <w:sz w:val="16"/>
              </w:rPr>
            </w:pPr>
          </w:p>
          <w:p>
            <w:pPr>
              <w:pStyle w:val="TableParagraph"/>
              <w:spacing w:before="86"/>
              <w:rPr>
                <w:b/>
                <w:sz w:val="16"/>
              </w:rPr>
            </w:pPr>
          </w:p>
          <w:p>
            <w:pPr>
              <w:pStyle w:val="TableParagraph"/>
              <w:spacing w:line="244" w:lineRule="auto" w:before="1"/>
              <w:ind w:left="72"/>
              <w:rPr>
                <w:b/>
                <w:sz w:val="16"/>
              </w:rPr>
            </w:pPr>
            <w:r>
              <w:rPr>
                <w:b/>
                <w:spacing w:val="-2"/>
                <w:sz w:val="16"/>
              </w:rPr>
              <w:t>Actividad</w:t>
            </w:r>
            <w:r>
              <w:rPr>
                <w:b/>
                <w:spacing w:val="-10"/>
                <w:sz w:val="16"/>
              </w:rPr>
              <w:t> </w:t>
            </w:r>
            <w:r>
              <w:rPr>
                <w:b/>
                <w:spacing w:val="-2"/>
                <w:sz w:val="16"/>
              </w:rPr>
              <w:t>PPPS 1.37.1:</w:t>
            </w:r>
          </w:p>
          <w:p>
            <w:pPr>
              <w:pStyle w:val="TableParagraph"/>
              <w:ind w:left="72" w:right="128"/>
              <w:rPr>
                <w:sz w:val="16"/>
              </w:rPr>
            </w:pPr>
            <w:r>
              <w:rPr>
                <w:sz w:val="16"/>
              </w:rPr>
              <w:t>Ejecución</w:t>
            </w:r>
            <w:r>
              <w:rPr>
                <w:spacing w:val="-2"/>
                <w:sz w:val="16"/>
              </w:rPr>
              <w:t> </w:t>
            </w:r>
            <w:r>
              <w:rPr>
                <w:sz w:val="16"/>
              </w:rPr>
              <w:t>de servicios y/o </w:t>
            </w:r>
            <w:r>
              <w:rPr>
                <w:spacing w:val="-2"/>
                <w:sz w:val="16"/>
              </w:rPr>
              <w:t>productos</w:t>
            </w:r>
            <w:r>
              <w:rPr>
                <w:spacing w:val="-10"/>
                <w:sz w:val="16"/>
              </w:rPr>
              <w:t> </w:t>
            </w:r>
            <w:r>
              <w:rPr>
                <w:spacing w:val="-2"/>
                <w:sz w:val="16"/>
              </w:rPr>
              <w:t>definidos </w:t>
            </w:r>
            <w:r>
              <w:rPr>
                <w:sz w:val="16"/>
              </w:rPr>
              <w:t>en la estrategia de </w:t>
            </w:r>
            <w:r>
              <w:rPr>
                <w:spacing w:val="-2"/>
                <w:sz w:val="16"/>
              </w:rPr>
              <w:t>desarrollo sociolaboral </w:t>
            </w:r>
            <w:r>
              <w:rPr>
                <w:sz w:val="16"/>
              </w:rPr>
              <w:t>(vinculado a PEI </w:t>
            </w:r>
            <w:r>
              <w:rPr>
                <w:spacing w:val="-2"/>
                <w:sz w:val="16"/>
              </w:rPr>
              <w:t>3.5.1).</w:t>
            </w:r>
          </w:p>
        </w:tc>
        <w:tc>
          <w:tcPr>
            <w:tcW w:w="1278" w:type="dxa"/>
          </w:tcPr>
          <w:p>
            <w:pPr>
              <w:pStyle w:val="TableParagraph"/>
              <w:ind w:left="72" w:right="142"/>
              <w:rPr>
                <w:sz w:val="16"/>
              </w:rPr>
            </w:pPr>
            <w:r>
              <w:rPr>
                <w:sz w:val="16"/>
              </w:rPr>
              <w:t>Porcentaje de </w:t>
            </w:r>
            <w:r>
              <w:rPr>
                <w:spacing w:val="-2"/>
                <w:sz w:val="16"/>
              </w:rPr>
              <w:t>población </w:t>
            </w:r>
            <w:r>
              <w:rPr>
                <w:sz w:val="16"/>
              </w:rPr>
              <w:t>solicitante de </w:t>
            </w:r>
            <w:r>
              <w:rPr>
                <w:spacing w:val="-2"/>
                <w:sz w:val="16"/>
              </w:rPr>
              <w:t>intervención </w:t>
            </w:r>
            <w:r>
              <w:rPr>
                <w:sz w:val="16"/>
              </w:rPr>
              <w:t>institucional a nivel</w:t>
            </w:r>
            <w:r>
              <w:rPr>
                <w:spacing w:val="-2"/>
                <w:sz w:val="16"/>
              </w:rPr>
              <w:t> </w:t>
            </w:r>
            <w:r>
              <w:rPr>
                <w:sz w:val="16"/>
              </w:rPr>
              <w:t>de </w:t>
            </w:r>
            <w:r>
              <w:rPr>
                <w:spacing w:val="-2"/>
                <w:sz w:val="16"/>
              </w:rPr>
              <w:t>promoción </w:t>
            </w:r>
            <w:r>
              <w:rPr>
                <w:sz w:val="16"/>
              </w:rPr>
              <w:t>laboral</w:t>
            </w:r>
            <w:r>
              <w:rPr>
                <w:spacing w:val="-2"/>
                <w:sz w:val="16"/>
              </w:rPr>
              <w:t> </w:t>
            </w:r>
            <w:r>
              <w:rPr>
                <w:sz w:val="16"/>
              </w:rPr>
              <w:t>con acceso</w:t>
            </w:r>
            <w:r>
              <w:rPr>
                <w:spacing w:val="-2"/>
                <w:sz w:val="16"/>
              </w:rPr>
              <w:t> </w:t>
            </w:r>
            <w:r>
              <w:rPr>
                <w:sz w:val="16"/>
              </w:rPr>
              <w:t>a servicios y/o </w:t>
            </w:r>
            <w:r>
              <w:rPr>
                <w:spacing w:val="-2"/>
                <w:sz w:val="16"/>
              </w:rPr>
              <w:t>productos </w:t>
            </w:r>
            <w:r>
              <w:rPr>
                <w:sz w:val="16"/>
              </w:rPr>
              <w:t>definidos</w:t>
            </w:r>
            <w:r>
              <w:rPr>
                <w:spacing w:val="-12"/>
                <w:sz w:val="16"/>
              </w:rPr>
              <w:t> </w:t>
            </w:r>
            <w:r>
              <w:rPr>
                <w:sz w:val="16"/>
              </w:rPr>
              <w:t>en</w:t>
            </w:r>
            <w:r>
              <w:rPr>
                <w:spacing w:val="-11"/>
                <w:sz w:val="16"/>
              </w:rPr>
              <w:t> </w:t>
            </w:r>
            <w:r>
              <w:rPr>
                <w:sz w:val="16"/>
              </w:rPr>
              <w:t>la estrategia de </w:t>
            </w:r>
            <w:r>
              <w:rPr>
                <w:spacing w:val="-2"/>
                <w:sz w:val="16"/>
              </w:rPr>
              <w:t>desarrollo</w:t>
            </w:r>
          </w:p>
          <w:p>
            <w:pPr>
              <w:pStyle w:val="TableParagraph"/>
              <w:spacing w:line="166" w:lineRule="exact"/>
              <w:ind w:left="72"/>
              <w:rPr>
                <w:sz w:val="16"/>
              </w:rPr>
            </w:pPr>
            <w:r>
              <w:rPr>
                <w:spacing w:val="-2"/>
                <w:sz w:val="16"/>
              </w:rPr>
              <w:t>sociolaboral.</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1"/>
              <w:rPr>
                <w:b/>
                <w:sz w:val="16"/>
              </w:rPr>
            </w:pPr>
          </w:p>
          <w:p>
            <w:pPr>
              <w:pStyle w:val="TableParagraph"/>
              <w:ind w:left="4" w:right="1"/>
              <w:jc w:val="center"/>
              <w:rPr>
                <w:sz w:val="16"/>
              </w:rPr>
            </w:pPr>
            <w:r>
              <w:rPr>
                <w:spacing w:val="-5"/>
                <w:sz w:val="16"/>
              </w:rPr>
              <w:t>60%</w:t>
            </w:r>
          </w:p>
        </w:tc>
        <w:tc>
          <w:tcPr>
            <w:tcW w:w="1494" w:type="dxa"/>
          </w:tcPr>
          <w:p>
            <w:pPr>
              <w:pStyle w:val="TableParagraph"/>
              <w:rPr>
                <w:rFonts w:ascii="Times New Roman"/>
                <w:sz w:val="16"/>
              </w:rPr>
            </w:pPr>
          </w:p>
        </w:tc>
      </w:tr>
      <w:tr>
        <w:trPr>
          <w:trHeight w:val="297" w:hRule="atLeast"/>
        </w:trPr>
        <w:tc>
          <w:tcPr>
            <w:tcW w:w="14323" w:type="dxa"/>
            <w:gridSpan w:val="10"/>
            <w:shd w:val="clear" w:color="auto" w:fill="EFF8F9"/>
          </w:tcPr>
          <w:p>
            <w:pPr>
              <w:pStyle w:val="TableParagraph"/>
              <w:spacing w:before="56"/>
              <w:ind w:left="72"/>
              <w:rPr>
                <w:b/>
                <w:sz w:val="16"/>
              </w:rPr>
            </w:pPr>
            <w:r>
              <w:rPr>
                <w:b/>
                <w:sz w:val="16"/>
              </w:rPr>
              <w:t>Producto</w:t>
            </w:r>
            <w:r>
              <w:rPr>
                <w:b/>
                <w:spacing w:val="-3"/>
                <w:sz w:val="16"/>
              </w:rPr>
              <w:t> </w:t>
            </w:r>
            <w:r>
              <w:rPr>
                <w:b/>
                <w:sz w:val="16"/>
              </w:rPr>
              <w:t>PPPS</w:t>
            </w:r>
            <w:r>
              <w:rPr>
                <w:b/>
                <w:spacing w:val="-1"/>
                <w:sz w:val="16"/>
              </w:rPr>
              <w:t> </w:t>
            </w:r>
            <w:r>
              <w:rPr>
                <w:b/>
                <w:sz w:val="16"/>
              </w:rPr>
              <w:t>1.38:</w:t>
            </w:r>
            <w:r>
              <w:rPr>
                <w:b/>
                <w:spacing w:val="33"/>
                <w:sz w:val="16"/>
              </w:rPr>
              <w:t> </w:t>
            </w:r>
            <w:r>
              <w:rPr>
                <w:b/>
                <w:sz w:val="16"/>
              </w:rPr>
              <w:t>Actividades</w:t>
            </w:r>
            <w:r>
              <w:rPr>
                <w:b/>
                <w:spacing w:val="-3"/>
                <w:sz w:val="16"/>
              </w:rPr>
              <w:t> </w:t>
            </w:r>
            <w:r>
              <w:rPr>
                <w:b/>
                <w:sz w:val="16"/>
              </w:rPr>
              <w:t>económicas</w:t>
            </w:r>
            <w:r>
              <w:rPr>
                <w:b/>
                <w:spacing w:val="-3"/>
                <w:sz w:val="16"/>
              </w:rPr>
              <w:t> </w:t>
            </w:r>
            <w:r>
              <w:rPr>
                <w:b/>
                <w:sz w:val="16"/>
              </w:rPr>
              <w:t>con</w:t>
            </w:r>
            <w:r>
              <w:rPr>
                <w:b/>
                <w:spacing w:val="-6"/>
                <w:sz w:val="16"/>
              </w:rPr>
              <w:t> </w:t>
            </w:r>
            <w:r>
              <w:rPr>
                <w:b/>
                <w:sz w:val="16"/>
              </w:rPr>
              <w:t>encadenamientos</w:t>
            </w:r>
            <w:r>
              <w:rPr>
                <w:b/>
                <w:spacing w:val="-3"/>
                <w:sz w:val="16"/>
              </w:rPr>
              <w:t> </w:t>
            </w:r>
            <w:r>
              <w:rPr>
                <w:b/>
                <w:sz w:val="16"/>
              </w:rPr>
              <w:t>primarios</w:t>
            </w:r>
            <w:r>
              <w:rPr>
                <w:b/>
                <w:spacing w:val="-3"/>
                <w:sz w:val="16"/>
              </w:rPr>
              <w:t> </w:t>
            </w:r>
            <w:r>
              <w:rPr>
                <w:b/>
                <w:sz w:val="16"/>
              </w:rPr>
              <w:t>y</w:t>
            </w:r>
            <w:r>
              <w:rPr>
                <w:b/>
                <w:spacing w:val="-3"/>
                <w:sz w:val="16"/>
              </w:rPr>
              <w:t> </w:t>
            </w:r>
            <w:r>
              <w:rPr>
                <w:b/>
                <w:sz w:val="16"/>
              </w:rPr>
              <w:t>secundarios</w:t>
            </w:r>
            <w:r>
              <w:rPr>
                <w:b/>
                <w:spacing w:val="-3"/>
                <w:sz w:val="16"/>
              </w:rPr>
              <w:t> </w:t>
            </w:r>
            <w:r>
              <w:rPr>
                <w:b/>
                <w:sz w:val="16"/>
              </w:rPr>
              <w:t>operando</w:t>
            </w:r>
            <w:r>
              <w:rPr>
                <w:b/>
                <w:spacing w:val="-6"/>
                <w:sz w:val="16"/>
              </w:rPr>
              <w:t> </w:t>
            </w:r>
            <w:r>
              <w:rPr>
                <w:b/>
                <w:sz w:val="16"/>
              </w:rPr>
              <w:t>para</w:t>
            </w:r>
            <w:r>
              <w:rPr>
                <w:b/>
                <w:spacing w:val="-3"/>
                <w:sz w:val="16"/>
              </w:rPr>
              <w:t> </w:t>
            </w:r>
            <w:r>
              <w:rPr>
                <w:b/>
                <w:sz w:val="16"/>
              </w:rPr>
              <w:t>la</w:t>
            </w:r>
            <w:r>
              <w:rPr>
                <w:b/>
                <w:spacing w:val="-3"/>
                <w:sz w:val="16"/>
              </w:rPr>
              <w:t> </w:t>
            </w:r>
            <w:r>
              <w:rPr>
                <w:b/>
                <w:sz w:val="16"/>
              </w:rPr>
              <w:t>generación</w:t>
            </w:r>
            <w:r>
              <w:rPr>
                <w:b/>
                <w:spacing w:val="-2"/>
                <w:sz w:val="16"/>
              </w:rPr>
              <w:t> </w:t>
            </w:r>
            <w:r>
              <w:rPr>
                <w:b/>
                <w:sz w:val="16"/>
              </w:rPr>
              <w:t>de</w:t>
            </w:r>
            <w:r>
              <w:rPr>
                <w:b/>
                <w:spacing w:val="2"/>
                <w:sz w:val="16"/>
              </w:rPr>
              <w:t> </w:t>
            </w:r>
            <w:r>
              <w:rPr>
                <w:b/>
                <w:sz w:val="16"/>
              </w:rPr>
              <w:t>empleo</w:t>
            </w:r>
            <w:r>
              <w:rPr>
                <w:b/>
                <w:spacing w:val="5"/>
                <w:sz w:val="16"/>
              </w:rPr>
              <w:t> </w:t>
            </w:r>
            <w:r>
              <w:rPr>
                <w:b/>
                <w:sz w:val="16"/>
              </w:rPr>
              <w:t>y</w:t>
            </w:r>
            <w:r>
              <w:rPr>
                <w:b/>
                <w:spacing w:val="-3"/>
                <w:sz w:val="16"/>
              </w:rPr>
              <w:t> </w:t>
            </w:r>
            <w:r>
              <w:rPr>
                <w:b/>
                <w:sz w:val="16"/>
              </w:rPr>
              <w:t>autoempleo.</w:t>
            </w:r>
            <w:r>
              <w:rPr>
                <w:b/>
                <w:spacing w:val="-3"/>
                <w:sz w:val="16"/>
              </w:rPr>
              <w:t> </w:t>
            </w:r>
            <w:r>
              <w:rPr>
                <w:b/>
                <w:sz w:val="16"/>
              </w:rPr>
              <w:t>E3</w:t>
            </w:r>
            <w:r>
              <w:rPr>
                <w:b/>
                <w:spacing w:val="-6"/>
                <w:sz w:val="16"/>
              </w:rPr>
              <w:t> </w:t>
            </w:r>
            <w:r>
              <w:rPr>
                <w:b/>
                <w:sz w:val="16"/>
              </w:rPr>
              <w:t>AE5</w:t>
            </w:r>
            <w:r>
              <w:rPr>
                <w:b/>
                <w:spacing w:val="-7"/>
                <w:sz w:val="16"/>
              </w:rPr>
              <w:t> </w:t>
            </w:r>
            <w:r>
              <w:rPr>
                <w:b/>
                <w:spacing w:val="-5"/>
                <w:sz w:val="16"/>
              </w:rPr>
              <w:t>R2</w:t>
            </w:r>
          </w:p>
        </w:tc>
      </w:tr>
    </w:tbl>
    <w:p>
      <w:pPr>
        <w:pStyle w:val="TableParagraph"/>
        <w:spacing w:after="0"/>
        <w:rPr>
          <w:b/>
          <w:sz w:val="16"/>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2578"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1.38.1:</w:t>
            </w:r>
          </w:p>
          <w:p>
            <w:pPr>
              <w:pStyle w:val="TableParagraph"/>
              <w:ind w:left="72" w:right="83"/>
              <w:rPr>
                <w:sz w:val="16"/>
              </w:rPr>
            </w:pPr>
            <w:r>
              <w:rPr>
                <w:sz w:val="16"/>
              </w:rPr>
              <w:t>Implementación</w:t>
            </w:r>
            <w:r>
              <w:rPr>
                <w:spacing w:val="-12"/>
                <w:sz w:val="16"/>
              </w:rPr>
              <w:t> </w:t>
            </w:r>
            <w:r>
              <w:rPr>
                <w:sz w:val="16"/>
              </w:rPr>
              <w:t>de</w:t>
            </w:r>
            <w:r>
              <w:rPr>
                <w:spacing w:val="-11"/>
                <w:sz w:val="16"/>
              </w:rPr>
              <w:t> </w:t>
            </w:r>
            <w:r>
              <w:rPr>
                <w:sz w:val="16"/>
              </w:rPr>
              <w:t>la estrategia de </w:t>
            </w:r>
            <w:r>
              <w:rPr>
                <w:spacing w:val="-2"/>
                <w:sz w:val="16"/>
              </w:rPr>
              <w:t>emprendimientos </w:t>
            </w:r>
            <w:r>
              <w:rPr>
                <w:sz w:val="16"/>
              </w:rPr>
              <w:t>individuales con </w:t>
            </w:r>
            <w:r>
              <w:rPr>
                <w:spacing w:val="-2"/>
                <w:sz w:val="16"/>
              </w:rPr>
              <w:t>encadenamientos </w:t>
            </w:r>
            <w:r>
              <w:rPr>
                <w:sz w:val="16"/>
              </w:rPr>
              <w:t>primarios y </w:t>
            </w:r>
            <w:r>
              <w:rPr>
                <w:spacing w:val="-2"/>
                <w:sz w:val="16"/>
              </w:rPr>
              <w:t>secundarios</w:t>
            </w:r>
            <w:r>
              <w:rPr>
                <w:spacing w:val="40"/>
                <w:sz w:val="16"/>
              </w:rPr>
              <w:t> </w:t>
            </w:r>
            <w:r>
              <w:rPr>
                <w:sz w:val="16"/>
              </w:rPr>
              <w:t>operando para la generación de empleo</w:t>
            </w:r>
            <w:r>
              <w:rPr>
                <w:spacing w:val="-12"/>
                <w:sz w:val="16"/>
              </w:rPr>
              <w:t> </w:t>
            </w:r>
            <w:r>
              <w:rPr>
                <w:sz w:val="16"/>
              </w:rPr>
              <w:t>y</w:t>
            </w:r>
            <w:r>
              <w:rPr>
                <w:spacing w:val="-11"/>
                <w:sz w:val="16"/>
              </w:rPr>
              <w:t> </w:t>
            </w:r>
            <w:r>
              <w:rPr>
                <w:sz w:val="16"/>
              </w:rPr>
              <w:t>autoempleo (vinculado a PEI</w:t>
            </w:r>
          </w:p>
          <w:p>
            <w:pPr>
              <w:pStyle w:val="TableParagraph"/>
              <w:spacing w:line="163" w:lineRule="exact"/>
              <w:ind w:left="72"/>
              <w:rPr>
                <w:sz w:val="16"/>
              </w:rPr>
            </w:pPr>
            <w:r>
              <w:rPr>
                <w:spacing w:val="-2"/>
                <w:sz w:val="16"/>
              </w:rPr>
              <w:t>3.5.2).</w:t>
            </w:r>
          </w:p>
        </w:tc>
        <w:tc>
          <w:tcPr>
            <w:tcW w:w="1278" w:type="dxa"/>
          </w:tcPr>
          <w:p>
            <w:pPr>
              <w:pStyle w:val="TableParagraph"/>
              <w:spacing w:before="95"/>
              <w:ind w:left="72" w:right="98"/>
              <w:rPr>
                <w:sz w:val="16"/>
              </w:rPr>
            </w:pPr>
            <w:r>
              <w:rPr>
                <w:sz w:val="16"/>
              </w:rPr>
              <w:t>Porcentaje de </w:t>
            </w:r>
            <w:r>
              <w:rPr>
                <w:spacing w:val="-2"/>
                <w:sz w:val="16"/>
              </w:rPr>
              <w:t>personas beneficiarias</w:t>
            </w:r>
            <w:r>
              <w:rPr>
                <w:spacing w:val="40"/>
                <w:sz w:val="16"/>
              </w:rPr>
              <w:t> </w:t>
            </w:r>
            <w:r>
              <w:rPr>
                <w:sz w:val="16"/>
              </w:rPr>
              <w:t>del</w:t>
            </w:r>
            <w:r>
              <w:rPr>
                <w:spacing w:val="-5"/>
                <w:sz w:val="16"/>
              </w:rPr>
              <w:t> </w:t>
            </w:r>
            <w:r>
              <w:rPr>
                <w:sz w:val="16"/>
              </w:rPr>
              <w:t>subsidio</w:t>
            </w:r>
            <w:r>
              <w:rPr>
                <w:spacing w:val="-5"/>
                <w:sz w:val="16"/>
              </w:rPr>
              <w:t> </w:t>
            </w:r>
            <w:r>
              <w:rPr>
                <w:sz w:val="16"/>
              </w:rPr>
              <w:t>de </w:t>
            </w:r>
            <w:r>
              <w:rPr>
                <w:spacing w:val="-2"/>
                <w:sz w:val="16"/>
              </w:rPr>
              <w:t>Emprendimient </w:t>
            </w:r>
            <w:r>
              <w:rPr>
                <w:sz w:val="16"/>
              </w:rPr>
              <w:t>os Productivos </w:t>
            </w:r>
            <w:r>
              <w:rPr>
                <w:spacing w:val="-2"/>
                <w:sz w:val="16"/>
              </w:rPr>
              <w:t>Individuales</w:t>
            </w:r>
            <w:r>
              <w:rPr>
                <w:spacing w:val="40"/>
                <w:sz w:val="16"/>
              </w:rPr>
              <w:t> </w:t>
            </w:r>
            <w:r>
              <w:rPr>
                <w:sz w:val="16"/>
              </w:rPr>
              <w:t>que</w:t>
            </w:r>
            <w:r>
              <w:rPr>
                <w:spacing w:val="-2"/>
                <w:sz w:val="16"/>
              </w:rPr>
              <w:t> </w:t>
            </w:r>
            <w:r>
              <w:rPr>
                <w:sz w:val="16"/>
              </w:rPr>
              <w:t>cuentan </w:t>
            </w:r>
            <w:r>
              <w:rPr>
                <w:spacing w:val="-2"/>
                <w:sz w:val="16"/>
              </w:rPr>
              <w:t>con</w:t>
            </w:r>
            <w:r>
              <w:rPr>
                <w:spacing w:val="-10"/>
                <w:sz w:val="16"/>
              </w:rPr>
              <w:t> </w:t>
            </w:r>
            <w:r>
              <w:rPr>
                <w:spacing w:val="-2"/>
                <w:sz w:val="16"/>
              </w:rPr>
              <w:t>actividades </w:t>
            </w:r>
            <w:r>
              <w:rPr>
                <w:sz w:val="16"/>
              </w:rPr>
              <w:t>económicas</w:t>
            </w:r>
            <w:r>
              <w:rPr>
                <w:spacing w:val="-12"/>
                <w:sz w:val="16"/>
              </w:rPr>
              <w:t> </w:t>
            </w:r>
            <w:r>
              <w:rPr>
                <w:sz w:val="16"/>
              </w:rPr>
              <w:t>en </w:t>
            </w:r>
            <w:r>
              <w:rPr>
                <w:spacing w:val="-2"/>
                <w:sz w:val="16"/>
              </w:rPr>
              <w:t>encadenamient </w:t>
            </w:r>
            <w:r>
              <w:rPr>
                <w:sz w:val="16"/>
              </w:rPr>
              <w:t>os primarios y </w:t>
            </w:r>
            <w:r>
              <w:rPr>
                <w:spacing w:val="-2"/>
                <w:sz w:val="16"/>
              </w:rPr>
              <w:t>secundarios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4" w:right="1"/>
              <w:jc w:val="center"/>
              <w:rPr>
                <w:sz w:val="16"/>
              </w:rPr>
            </w:pPr>
            <w:r>
              <w:rPr>
                <w:spacing w:val="-5"/>
                <w:sz w:val="16"/>
              </w:rPr>
              <w:t>60%</w:t>
            </w:r>
          </w:p>
        </w:tc>
        <w:tc>
          <w:tcPr>
            <w:tcW w:w="1494" w:type="dxa"/>
          </w:tcPr>
          <w:p>
            <w:pPr>
              <w:pStyle w:val="TableParagraph"/>
              <w:rPr>
                <w:rFonts w:ascii="Times New Roman"/>
                <w:sz w:val="16"/>
              </w:rPr>
            </w:pPr>
          </w:p>
        </w:tc>
      </w:tr>
      <w:tr>
        <w:trPr>
          <w:trHeight w:val="585" w:hRule="atLeast"/>
        </w:trPr>
        <w:tc>
          <w:tcPr>
            <w:tcW w:w="14323" w:type="dxa"/>
            <w:gridSpan w:val="10"/>
            <w:shd w:val="clear" w:color="auto" w:fill="EFF8F9"/>
          </w:tcPr>
          <w:p>
            <w:pPr>
              <w:pStyle w:val="TableParagraph"/>
              <w:spacing w:before="109"/>
              <w:ind w:left="72" w:right="95"/>
              <w:rPr>
                <w:b/>
                <w:sz w:val="16"/>
              </w:rPr>
            </w:pPr>
            <w:r>
              <w:rPr>
                <w:b/>
                <w:sz w:val="16"/>
              </w:rPr>
              <w:t>Producto</w:t>
            </w:r>
            <w:r>
              <w:rPr>
                <w:b/>
                <w:spacing w:val="-1"/>
                <w:sz w:val="16"/>
              </w:rPr>
              <w:t> </w:t>
            </w:r>
            <w:r>
              <w:rPr>
                <w:b/>
                <w:sz w:val="16"/>
              </w:rPr>
              <w:t>PPPS</w:t>
            </w:r>
            <w:r>
              <w:rPr>
                <w:b/>
                <w:spacing w:val="-1"/>
                <w:sz w:val="16"/>
              </w:rPr>
              <w:t> </w:t>
            </w:r>
            <w:r>
              <w:rPr>
                <w:b/>
                <w:sz w:val="16"/>
              </w:rPr>
              <w:t>1.39:</w:t>
            </w:r>
            <w:r>
              <w:rPr>
                <w:b/>
                <w:spacing w:val="-5"/>
                <w:sz w:val="16"/>
              </w:rPr>
              <w:t> </w:t>
            </w:r>
            <w:r>
              <w:rPr>
                <w:b/>
                <w:sz w:val="16"/>
              </w:rPr>
              <w:t>Plan</w:t>
            </w:r>
            <w:r>
              <w:rPr>
                <w:b/>
                <w:spacing w:val="-1"/>
                <w:sz w:val="16"/>
              </w:rPr>
              <w:t> </w:t>
            </w:r>
            <w:r>
              <w:rPr>
                <w:b/>
                <w:sz w:val="16"/>
              </w:rPr>
              <w:t>de</w:t>
            </w:r>
            <w:r>
              <w:rPr>
                <w:b/>
                <w:spacing w:val="-2"/>
                <w:sz w:val="16"/>
              </w:rPr>
              <w:t> </w:t>
            </w:r>
            <w:r>
              <w:rPr>
                <w:b/>
                <w:sz w:val="16"/>
              </w:rPr>
              <w:t>acción</w:t>
            </w:r>
            <w:r>
              <w:rPr>
                <w:b/>
                <w:spacing w:val="-1"/>
                <w:sz w:val="16"/>
              </w:rPr>
              <w:t> </w:t>
            </w:r>
            <w:r>
              <w:rPr>
                <w:b/>
                <w:sz w:val="16"/>
              </w:rPr>
              <w:t>diseñado</w:t>
            </w:r>
            <w:r>
              <w:rPr>
                <w:b/>
                <w:spacing w:val="-1"/>
                <w:sz w:val="16"/>
              </w:rPr>
              <w:t> </w:t>
            </w:r>
            <w:r>
              <w:rPr>
                <w:b/>
                <w:sz w:val="16"/>
              </w:rPr>
              <w:t>e</w:t>
            </w:r>
            <w:r>
              <w:rPr>
                <w:b/>
                <w:spacing w:val="-6"/>
                <w:sz w:val="16"/>
              </w:rPr>
              <w:t> </w:t>
            </w:r>
            <w:r>
              <w:rPr>
                <w:b/>
                <w:sz w:val="16"/>
              </w:rPr>
              <w:t>implementado</w:t>
            </w:r>
            <w:r>
              <w:rPr>
                <w:b/>
                <w:spacing w:val="-5"/>
                <w:sz w:val="16"/>
              </w:rPr>
              <w:t> </w:t>
            </w:r>
            <w:r>
              <w:rPr>
                <w:b/>
                <w:sz w:val="16"/>
              </w:rPr>
              <w:t>para</w:t>
            </w:r>
            <w:r>
              <w:rPr>
                <w:b/>
                <w:spacing w:val="-2"/>
                <w:sz w:val="16"/>
              </w:rPr>
              <w:t> </w:t>
            </w:r>
            <w:r>
              <w:rPr>
                <w:b/>
                <w:sz w:val="16"/>
              </w:rPr>
              <w:t>el</w:t>
            </w:r>
            <w:r>
              <w:rPr>
                <w:b/>
                <w:spacing w:val="-1"/>
                <w:sz w:val="16"/>
              </w:rPr>
              <w:t> </w:t>
            </w:r>
            <w:r>
              <w:rPr>
                <w:b/>
                <w:sz w:val="16"/>
              </w:rPr>
              <w:t>desarrollo</w:t>
            </w:r>
            <w:r>
              <w:rPr>
                <w:b/>
                <w:spacing w:val="-1"/>
                <w:sz w:val="16"/>
              </w:rPr>
              <w:t> </w:t>
            </w:r>
            <w:r>
              <w:rPr>
                <w:b/>
                <w:sz w:val="16"/>
              </w:rPr>
              <w:t>de</w:t>
            </w:r>
            <w:r>
              <w:rPr>
                <w:b/>
                <w:spacing w:val="-6"/>
                <w:sz w:val="16"/>
              </w:rPr>
              <w:t> </w:t>
            </w:r>
            <w:r>
              <w:rPr>
                <w:b/>
                <w:sz w:val="16"/>
              </w:rPr>
              <w:t>competencias</w:t>
            </w:r>
            <w:r>
              <w:rPr>
                <w:b/>
                <w:spacing w:val="-2"/>
                <w:sz w:val="16"/>
              </w:rPr>
              <w:t> </w:t>
            </w:r>
            <w:r>
              <w:rPr>
                <w:b/>
                <w:sz w:val="16"/>
              </w:rPr>
              <w:t>y</w:t>
            </w:r>
            <w:r>
              <w:rPr>
                <w:b/>
                <w:spacing w:val="-2"/>
                <w:sz w:val="16"/>
              </w:rPr>
              <w:t> </w:t>
            </w:r>
            <w:r>
              <w:rPr>
                <w:b/>
                <w:sz w:val="16"/>
              </w:rPr>
              <w:t>condiciones,</w:t>
            </w:r>
            <w:r>
              <w:rPr>
                <w:b/>
                <w:spacing w:val="-1"/>
                <w:sz w:val="16"/>
              </w:rPr>
              <w:t> </w:t>
            </w:r>
            <w:r>
              <w:rPr>
                <w:b/>
                <w:sz w:val="16"/>
              </w:rPr>
              <w:t>que</w:t>
            </w:r>
            <w:r>
              <w:rPr>
                <w:b/>
                <w:spacing w:val="-2"/>
                <w:sz w:val="16"/>
              </w:rPr>
              <w:t> </w:t>
            </w:r>
            <w:r>
              <w:rPr>
                <w:b/>
                <w:sz w:val="16"/>
              </w:rPr>
              <w:t>contemple</w:t>
            </w:r>
            <w:r>
              <w:rPr>
                <w:b/>
                <w:spacing w:val="-2"/>
                <w:sz w:val="16"/>
              </w:rPr>
              <w:t> </w:t>
            </w:r>
            <w:r>
              <w:rPr>
                <w:b/>
                <w:sz w:val="16"/>
              </w:rPr>
              <w:t>un sistema</w:t>
            </w:r>
            <w:r>
              <w:rPr>
                <w:b/>
                <w:spacing w:val="-2"/>
                <w:sz w:val="16"/>
              </w:rPr>
              <w:t> </w:t>
            </w:r>
            <w:r>
              <w:rPr>
                <w:b/>
                <w:sz w:val="16"/>
              </w:rPr>
              <w:t>de</w:t>
            </w:r>
            <w:r>
              <w:rPr>
                <w:b/>
                <w:spacing w:val="-6"/>
                <w:sz w:val="16"/>
              </w:rPr>
              <w:t> </w:t>
            </w:r>
            <w:r>
              <w:rPr>
                <w:b/>
                <w:sz w:val="16"/>
              </w:rPr>
              <w:t>apoyo</w:t>
            </w:r>
            <w:r>
              <w:rPr>
                <w:b/>
                <w:spacing w:val="-5"/>
                <w:sz w:val="16"/>
              </w:rPr>
              <w:t> </w:t>
            </w:r>
            <w:r>
              <w:rPr>
                <w:b/>
                <w:sz w:val="16"/>
              </w:rPr>
              <w:t>financiero</w:t>
            </w:r>
            <w:r>
              <w:rPr>
                <w:b/>
                <w:spacing w:val="-1"/>
                <w:sz w:val="16"/>
              </w:rPr>
              <w:t> </w:t>
            </w:r>
            <w:r>
              <w:rPr>
                <w:b/>
                <w:sz w:val="16"/>
              </w:rPr>
              <w:t>reembolsable</w:t>
            </w:r>
            <w:r>
              <w:rPr>
                <w:b/>
                <w:spacing w:val="-6"/>
                <w:sz w:val="16"/>
              </w:rPr>
              <w:t> </w:t>
            </w:r>
            <w:r>
              <w:rPr>
                <w:b/>
                <w:sz w:val="16"/>
              </w:rPr>
              <w:t>y</w:t>
            </w:r>
            <w:r>
              <w:rPr>
                <w:b/>
                <w:spacing w:val="-2"/>
                <w:sz w:val="16"/>
              </w:rPr>
              <w:t> </w:t>
            </w:r>
            <w:r>
              <w:rPr>
                <w:b/>
                <w:sz w:val="16"/>
              </w:rPr>
              <w:t>no reembolsable, a fin de lograr la inclusión de la población en pobreza en proyectos de economía azul. E3 AE6 R1</w:t>
            </w:r>
          </w:p>
        </w:tc>
      </w:tr>
      <w:tr>
        <w:trPr>
          <w:trHeight w:val="2026"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1.39.1:</w:t>
            </w:r>
          </w:p>
          <w:p>
            <w:pPr>
              <w:pStyle w:val="TableParagraph"/>
              <w:ind w:left="72" w:right="122"/>
              <w:rPr>
                <w:sz w:val="16"/>
              </w:rPr>
            </w:pPr>
            <w:r>
              <w:rPr>
                <w:sz w:val="16"/>
              </w:rPr>
              <w:t>Financiamiento de </w:t>
            </w:r>
            <w:r>
              <w:rPr>
                <w:spacing w:val="-2"/>
                <w:sz w:val="16"/>
              </w:rPr>
              <w:t>proyectos</w:t>
            </w:r>
            <w:r>
              <w:rPr>
                <w:spacing w:val="-6"/>
                <w:sz w:val="16"/>
              </w:rPr>
              <w:t> </w:t>
            </w:r>
            <w:r>
              <w:rPr>
                <w:spacing w:val="-2"/>
                <w:sz w:val="16"/>
              </w:rPr>
              <w:t>vinculados </w:t>
            </w:r>
            <w:r>
              <w:rPr>
                <w:sz w:val="16"/>
              </w:rPr>
              <w:t>a la economía azul financiados con </w:t>
            </w:r>
            <w:r>
              <w:rPr>
                <w:spacing w:val="-2"/>
                <w:sz w:val="16"/>
              </w:rPr>
              <w:t>fondos </w:t>
            </w:r>
            <w:r>
              <w:rPr>
                <w:sz w:val="16"/>
              </w:rPr>
              <w:t>reembolsables y no </w:t>
            </w:r>
            <w:r>
              <w:rPr>
                <w:spacing w:val="-2"/>
                <w:sz w:val="16"/>
              </w:rPr>
              <w:t>reembolsables</w:t>
            </w:r>
          </w:p>
          <w:p>
            <w:pPr>
              <w:pStyle w:val="TableParagraph"/>
              <w:spacing w:line="182" w:lineRule="exact"/>
              <w:ind w:left="72" w:right="103"/>
              <w:rPr>
                <w:sz w:val="16"/>
              </w:rPr>
            </w:pPr>
            <w:r>
              <w:rPr>
                <w:sz w:val="16"/>
              </w:rPr>
              <w:t>(vinculado</w:t>
            </w:r>
            <w:r>
              <w:rPr>
                <w:spacing w:val="-12"/>
                <w:sz w:val="16"/>
              </w:rPr>
              <w:t> </w:t>
            </w:r>
            <w:r>
              <w:rPr>
                <w:sz w:val="16"/>
              </w:rPr>
              <w:t>a</w:t>
            </w:r>
            <w:r>
              <w:rPr>
                <w:spacing w:val="-11"/>
                <w:sz w:val="16"/>
              </w:rPr>
              <w:t> </w:t>
            </w:r>
            <w:r>
              <w:rPr>
                <w:sz w:val="16"/>
              </w:rPr>
              <w:t>PEI </w:t>
            </w:r>
            <w:r>
              <w:rPr>
                <w:spacing w:val="-2"/>
                <w:sz w:val="16"/>
              </w:rPr>
              <w:t>3.6.1).</w:t>
            </w:r>
          </w:p>
        </w:tc>
        <w:tc>
          <w:tcPr>
            <w:tcW w:w="1278" w:type="dxa"/>
          </w:tcPr>
          <w:p>
            <w:pPr>
              <w:pStyle w:val="TableParagraph"/>
              <w:spacing w:before="181"/>
              <w:ind w:left="72" w:right="84"/>
              <w:rPr>
                <w:sz w:val="16"/>
              </w:rPr>
            </w:pPr>
            <w:r>
              <w:rPr>
                <w:sz w:val="16"/>
              </w:rPr>
              <w:t>Porcentaje de </w:t>
            </w:r>
            <w:r>
              <w:rPr>
                <w:spacing w:val="-2"/>
                <w:sz w:val="16"/>
              </w:rPr>
              <w:t>proyectos </w:t>
            </w:r>
            <w:r>
              <w:rPr>
                <w:sz w:val="16"/>
              </w:rPr>
              <w:t>vinculados a la economía azul financiados</w:t>
            </w:r>
            <w:r>
              <w:rPr>
                <w:spacing w:val="-12"/>
                <w:sz w:val="16"/>
              </w:rPr>
              <w:t> </w:t>
            </w:r>
            <w:r>
              <w:rPr>
                <w:sz w:val="16"/>
              </w:rPr>
              <w:t>con </w:t>
            </w:r>
            <w:r>
              <w:rPr>
                <w:spacing w:val="-2"/>
                <w:sz w:val="16"/>
              </w:rPr>
              <w:t>fondos reembolsables</w:t>
            </w:r>
            <w:r>
              <w:rPr>
                <w:spacing w:val="40"/>
                <w:sz w:val="16"/>
              </w:rPr>
              <w:t> </w:t>
            </w:r>
            <w:r>
              <w:rPr>
                <w:sz w:val="16"/>
              </w:rPr>
              <w:t>y no </w:t>
            </w:r>
            <w:r>
              <w:rPr>
                <w:spacing w:val="-2"/>
                <w:sz w:val="16"/>
              </w:rPr>
              <w:t>reembolsables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4" w:right="1"/>
              <w:jc w:val="center"/>
              <w:rPr>
                <w:sz w:val="16"/>
              </w:rPr>
            </w:pPr>
            <w:r>
              <w:rPr>
                <w:spacing w:val="-5"/>
                <w:sz w:val="16"/>
              </w:rPr>
              <w:t>60%</w:t>
            </w:r>
          </w:p>
        </w:tc>
        <w:tc>
          <w:tcPr>
            <w:tcW w:w="1494" w:type="dxa"/>
          </w:tcPr>
          <w:p>
            <w:pPr>
              <w:pStyle w:val="TableParagraph"/>
              <w:rPr>
                <w:rFonts w:ascii="Times New Roman"/>
                <w:sz w:val="16"/>
              </w:rPr>
            </w:pPr>
          </w:p>
        </w:tc>
      </w:tr>
      <w:tr>
        <w:trPr>
          <w:trHeight w:val="599" w:hRule="atLeast"/>
        </w:trPr>
        <w:tc>
          <w:tcPr>
            <w:tcW w:w="14323" w:type="dxa"/>
            <w:gridSpan w:val="10"/>
            <w:shd w:val="clear" w:color="auto" w:fill="EFF8F9"/>
          </w:tcPr>
          <w:p>
            <w:pPr>
              <w:pStyle w:val="TableParagraph"/>
              <w:spacing w:before="113"/>
              <w:ind w:left="72" w:right="95"/>
              <w:rPr>
                <w:b/>
                <w:sz w:val="16"/>
              </w:rPr>
            </w:pPr>
            <w:r>
              <w:rPr>
                <w:b/>
                <w:sz w:val="16"/>
              </w:rPr>
              <w:t>Producto</w:t>
            </w:r>
            <w:r>
              <w:rPr>
                <w:b/>
                <w:spacing w:val="-1"/>
                <w:sz w:val="16"/>
              </w:rPr>
              <w:t> </w:t>
            </w:r>
            <w:r>
              <w:rPr>
                <w:b/>
                <w:sz w:val="16"/>
              </w:rPr>
              <w:t>PPPS 1.40:</w:t>
            </w:r>
            <w:r>
              <w:rPr>
                <w:b/>
                <w:spacing w:val="36"/>
                <w:sz w:val="16"/>
              </w:rPr>
              <w:t> </w:t>
            </w:r>
            <w:r>
              <w:rPr>
                <w:b/>
                <w:sz w:val="16"/>
              </w:rPr>
              <w:t>Mecanismos</w:t>
            </w:r>
            <w:r>
              <w:rPr>
                <w:b/>
                <w:spacing w:val="-2"/>
                <w:sz w:val="16"/>
              </w:rPr>
              <w:t> </w:t>
            </w:r>
            <w:r>
              <w:rPr>
                <w:b/>
                <w:sz w:val="16"/>
              </w:rPr>
              <w:t>de</w:t>
            </w:r>
            <w:r>
              <w:rPr>
                <w:b/>
                <w:spacing w:val="-2"/>
                <w:sz w:val="16"/>
              </w:rPr>
              <w:t> </w:t>
            </w:r>
            <w:r>
              <w:rPr>
                <w:b/>
                <w:sz w:val="16"/>
              </w:rPr>
              <w:t>articulación</w:t>
            </w:r>
            <w:r>
              <w:rPr>
                <w:b/>
                <w:spacing w:val="-5"/>
                <w:sz w:val="16"/>
              </w:rPr>
              <w:t> </w:t>
            </w:r>
            <w:r>
              <w:rPr>
                <w:b/>
                <w:sz w:val="16"/>
              </w:rPr>
              <w:t>interinstitucional</w:t>
            </w:r>
            <w:r>
              <w:rPr>
                <w:b/>
                <w:spacing w:val="-1"/>
                <w:sz w:val="16"/>
              </w:rPr>
              <w:t> </w:t>
            </w:r>
            <w:r>
              <w:rPr>
                <w:b/>
                <w:sz w:val="16"/>
              </w:rPr>
              <w:t>diseñados</w:t>
            </w:r>
            <w:r>
              <w:rPr>
                <w:b/>
                <w:spacing w:val="-2"/>
                <w:sz w:val="16"/>
              </w:rPr>
              <w:t> </w:t>
            </w:r>
            <w:r>
              <w:rPr>
                <w:b/>
                <w:sz w:val="16"/>
              </w:rPr>
              <w:t>e</w:t>
            </w:r>
            <w:r>
              <w:rPr>
                <w:b/>
                <w:spacing w:val="-2"/>
                <w:sz w:val="16"/>
              </w:rPr>
              <w:t> </w:t>
            </w:r>
            <w:r>
              <w:rPr>
                <w:b/>
                <w:sz w:val="16"/>
              </w:rPr>
              <w:t>implementados</w:t>
            </w:r>
            <w:r>
              <w:rPr>
                <w:b/>
                <w:spacing w:val="-5"/>
                <w:sz w:val="16"/>
              </w:rPr>
              <w:t> </w:t>
            </w:r>
            <w:r>
              <w:rPr>
                <w:b/>
                <w:sz w:val="16"/>
              </w:rPr>
              <w:t>que</w:t>
            </w:r>
            <w:r>
              <w:rPr>
                <w:b/>
                <w:spacing w:val="-2"/>
                <w:sz w:val="16"/>
              </w:rPr>
              <w:t> </w:t>
            </w:r>
            <w:r>
              <w:rPr>
                <w:b/>
                <w:sz w:val="16"/>
              </w:rPr>
              <w:t>permitan</w:t>
            </w:r>
            <w:r>
              <w:rPr>
                <w:b/>
                <w:spacing w:val="-1"/>
                <w:sz w:val="16"/>
              </w:rPr>
              <w:t> </w:t>
            </w:r>
            <w:r>
              <w:rPr>
                <w:b/>
                <w:sz w:val="16"/>
              </w:rPr>
              <w:t>generar</w:t>
            </w:r>
            <w:r>
              <w:rPr>
                <w:b/>
                <w:spacing w:val="-4"/>
                <w:sz w:val="16"/>
              </w:rPr>
              <w:t> </w:t>
            </w:r>
            <w:r>
              <w:rPr>
                <w:b/>
                <w:sz w:val="16"/>
              </w:rPr>
              <w:t>las</w:t>
            </w:r>
            <w:r>
              <w:rPr>
                <w:b/>
                <w:spacing w:val="-2"/>
                <w:sz w:val="16"/>
              </w:rPr>
              <w:t> </w:t>
            </w:r>
            <w:r>
              <w:rPr>
                <w:b/>
                <w:sz w:val="16"/>
              </w:rPr>
              <w:t>condiciones</w:t>
            </w:r>
            <w:r>
              <w:rPr>
                <w:b/>
                <w:spacing w:val="-5"/>
                <w:sz w:val="16"/>
              </w:rPr>
              <w:t> </w:t>
            </w:r>
            <w:r>
              <w:rPr>
                <w:b/>
                <w:sz w:val="16"/>
              </w:rPr>
              <w:t>y</w:t>
            </w:r>
            <w:r>
              <w:rPr>
                <w:b/>
                <w:spacing w:val="-2"/>
                <w:sz w:val="16"/>
              </w:rPr>
              <w:t> </w:t>
            </w:r>
            <w:r>
              <w:rPr>
                <w:b/>
                <w:sz w:val="16"/>
              </w:rPr>
              <w:t>competencias</w:t>
            </w:r>
            <w:r>
              <w:rPr>
                <w:b/>
                <w:spacing w:val="-2"/>
                <w:sz w:val="16"/>
              </w:rPr>
              <w:t> </w:t>
            </w:r>
            <w:r>
              <w:rPr>
                <w:b/>
                <w:sz w:val="16"/>
              </w:rPr>
              <w:t>para</w:t>
            </w:r>
            <w:r>
              <w:rPr>
                <w:b/>
                <w:spacing w:val="-5"/>
                <w:sz w:val="16"/>
              </w:rPr>
              <w:t> </w:t>
            </w:r>
            <w:r>
              <w:rPr>
                <w:b/>
                <w:sz w:val="16"/>
              </w:rPr>
              <w:t>la</w:t>
            </w:r>
            <w:r>
              <w:rPr>
                <w:b/>
                <w:spacing w:val="-5"/>
                <w:sz w:val="16"/>
              </w:rPr>
              <w:t> </w:t>
            </w:r>
            <w:r>
              <w:rPr>
                <w:b/>
                <w:sz w:val="16"/>
              </w:rPr>
              <w:t>población</w:t>
            </w:r>
            <w:r>
              <w:rPr>
                <w:b/>
                <w:spacing w:val="-1"/>
                <w:sz w:val="16"/>
              </w:rPr>
              <w:t> </w:t>
            </w:r>
            <w:r>
              <w:rPr>
                <w:b/>
                <w:sz w:val="16"/>
              </w:rPr>
              <w:t>en</w:t>
            </w:r>
            <w:r>
              <w:rPr>
                <w:b/>
                <w:spacing w:val="-1"/>
                <w:sz w:val="16"/>
              </w:rPr>
              <w:t> </w:t>
            </w:r>
            <w:r>
              <w:rPr>
                <w:b/>
                <w:sz w:val="16"/>
              </w:rPr>
              <w:t>condición</w:t>
            </w:r>
            <w:r>
              <w:rPr>
                <w:b/>
                <w:spacing w:val="-1"/>
                <w:sz w:val="16"/>
              </w:rPr>
              <w:t> </w:t>
            </w:r>
            <w:r>
              <w:rPr>
                <w:b/>
                <w:sz w:val="16"/>
              </w:rPr>
              <w:t>de pobreza en proyectos de economía azul. E3 AE6 R2</w:t>
            </w:r>
          </w:p>
        </w:tc>
      </w:tr>
      <w:tr>
        <w:trPr>
          <w:trHeight w:val="1656"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1.40.1:</w:t>
            </w:r>
          </w:p>
          <w:p>
            <w:pPr>
              <w:pStyle w:val="TableParagraph"/>
              <w:ind w:left="72" w:right="431"/>
              <w:rPr>
                <w:sz w:val="16"/>
              </w:rPr>
            </w:pPr>
            <w:r>
              <w:rPr>
                <w:sz w:val="16"/>
              </w:rPr>
              <w:t>Definición de mecanismos de articulación</w:t>
            </w:r>
            <w:r>
              <w:rPr>
                <w:spacing w:val="-12"/>
                <w:sz w:val="16"/>
              </w:rPr>
              <w:t> </w:t>
            </w:r>
            <w:r>
              <w:rPr>
                <w:sz w:val="16"/>
              </w:rPr>
              <w:t>para cada instancia </w:t>
            </w:r>
            <w:r>
              <w:rPr>
                <w:spacing w:val="-2"/>
                <w:sz w:val="16"/>
              </w:rPr>
              <w:t>identificada </w:t>
            </w:r>
            <w:r>
              <w:rPr>
                <w:sz w:val="16"/>
              </w:rPr>
              <w:t>(vinculado</w:t>
            </w:r>
            <w:r>
              <w:rPr>
                <w:spacing w:val="-12"/>
                <w:sz w:val="16"/>
              </w:rPr>
              <w:t> </w:t>
            </w:r>
            <w:r>
              <w:rPr>
                <w:sz w:val="16"/>
              </w:rPr>
              <w:t>a</w:t>
            </w:r>
            <w:r>
              <w:rPr>
                <w:spacing w:val="-11"/>
                <w:sz w:val="16"/>
              </w:rPr>
              <w:t> </w:t>
            </w:r>
            <w:r>
              <w:rPr>
                <w:sz w:val="16"/>
              </w:rPr>
              <w:t>PEI</w:t>
            </w:r>
          </w:p>
          <w:p>
            <w:pPr>
              <w:pStyle w:val="TableParagraph"/>
              <w:spacing w:line="163" w:lineRule="exact" w:before="1"/>
              <w:ind w:left="72"/>
              <w:rPr>
                <w:sz w:val="16"/>
              </w:rPr>
            </w:pPr>
            <w:r>
              <w:rPr>
                <w:spacing w:val="-2"/>
                <w:sz w:val="16"/>
              </w:rPr>
              <w:t>3.6.2).</w:t>
            </w:r>
          </w:p>
        </w:tc>
        <w:tc>
          <w:tcPr>
            <w:tcW w:w="1278" w:type="dxa"/>
          </w:tcPr>
          <w:p>
            <w:pPr>
              <w:pStyle w:val="TableParagraph"/>
              <w:spacing w:before="89"/>
              <w:ind w:left="72" w:right="78"/>
              <w:rPr>
                <w:sz w:val="16"/>
              </w:rPr>
            </w:pPr>
            <w:r>
              <w:rPr>
                <w:sz w:val="16"/>
              </w:rPr>
              <w:t>Porcentaje de avance en la definición de </w:t>
            </w:r>
            <w:r>
              <w:rPr>
                <w:spacing w:val="-2"/>
                <w:sz w:val="16"/>
              </w:rPr>
              <w:t>mecanismos</w:t>
            </w:r>
            <w:r>
              <w:rPr>
                <w:spacing w:val="-10"/>
                <w:sz w:val="16"/>
              </w:rPr>
              <w:t> </w:t>
            </w:r>
            <w:r>
              <w:rPr>
                <w:spacing w:val="-2"/>
                <w:sz w:val="16"/>
              </w:rPr>
              <w:t>de articulación</w:t>
            </w:r>
            <w:r>
              <w:rPr>
                <w:spacing w:val="40"/>
                <w:sz w:val="16"/>
              </w:rPr>
              <w:t> </w:t>
            </w:r>
            <w:r>
              <w:rPr>
                <w:sz w:val="16"/>
              </w:rPr>
              <w:t>para</w:t>
            </w:r>
            <w:r>
              <w:rPr>
                <w:spacing w:val="-2"/>
                <w:sz w:val="16"/>
              </w:rPr>
              <w:t> </w:t>
            </w:r>
            <w:r>
              <w:rPr>
                <w:sz w:val="16"/>
              </w:rPr>
              <w:t>cada </w:t>
            </w:r>
            <w:r>
              <w:rPr>
                <w:spacing w:val="-2"/>
                <w:sz w:val="16"/>
              </w:rPr>
              <w:t>instancia identificada.</w:t>
            </w:r>
          </w:p>
        </w:tc>
        <w:tc>
          <w:tcPr>
            <w:tcW w:w="1278" w:type="dxa"/>
          </w:tcPr>
          <w:p>
            <w:pPr>
              <w:pStyle w:val="TableParagraph"/>
              <w:rPr>
                <w:b/>
                <w:sz w:val="16"/>
              </w:rPr>
            </w:pPr>
          </w:p>
          <w:p>
            <w:pPr>
              <w:pStyle w:val="TableParagraph"/>
              <w:rPr>
                <w:b/>
                <w:sz w:val="16"/>
              </w:rPr>
            </w:pPr>
          </w:p>
          <w:p>
            <w:pPr>
              <w:pStyle w:val="TableParagraph"/>
              <w:spacing w:before="181"/>
              <w:rPr>
                <w:b/>
                <w:sz w:val="16"/>
              </w:rPr>
            </w:pPr>
          </w:p>
          <w:p>
            <w:pPr>
              <w:pStyle w:val="TableParagraph"/>
              <w:ind w:left="21" w:right="13"/>
              <w:jc w:val="center"/>
              <w:rPr>
                <w:sz w:val="16"/>
              </w:rPr>
            </w:pPr>
            <w:r>
              <w:rPr>
                <w:spacing w:val="-4"/>
                <w:sz w:val="16"/>
              </w:rPr>
              <w:t>100%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spacing w:before="181"/>
              <w:rPr>
                <w:b/>
                <w:sz w:val="16"/>
              </w:rPr>
            </w:pPr>
          </w:p>
          <w:p>
            <w:pPr>
              <w:pStyle w:val="TableParagraph"/>
              <w:ind w:left="357"/>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spacing w:before="181"/>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181"/>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bl>
    <w:p>
      <w:pPr>
        <w:pStyle w:val="TableParagraph"/>
        <w:spacing w:after="0"/>
        <w:rPr>
          <w:rFonts w:ascii="Times New Roman"/>
          <w:sz w:val="16"/>
        </w:rPr>
        <w:sectPr>
          <w:pgSz w:w="15840" w:h="12240" w:orient="landscape"/>
          <w:pgMar w:header="0" w:footer="1806" w:top="700" w:bottom="299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2208"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1.40.2:</w:t>
            </w:r>
          </w:p>
          <w:p>
            <w:pPr>
              <w:pStyle w:val="TableParagraph"/>
              <w:ind w:left="72" w:right="94"/>
              <w:rPr>
                <w:sz w:val="16"/>
              </w:rPr>
            </w:pPr>
            <w:r>
              <w:rPr>
                <w:sz w:val="16"/>
              </w:rPr>
              <w:t>Personas en condición</w:t>
            </w:r>
            <w:r>
              <w:rPr>
                <w:spacing w:val="-12"/>
                <w:sz w:val="16"/>
              </w:rPr>
              <w:t> </w:t>
            </w:r>
            <w:r>
              <w:rPr>
                <w:sz w:val="16"/>
              </w:rPr>
              <w:t>de</w:t>
            </w:r>
            <w:r>
              <w:rPr>
                <w:spacing w:val="-11"/>
                <w:sz w:val="16"/>
              </w:rPr>
              <w:t> </w:t>
            </w:r>
            <w:r>
              <w:rPr>
                <w:sz w:val="16"/>
              </w:rPr>
              <w:t>pobreza con proyectos de economía azul financiados que cuentan</w:t>
            </w:r>
            <w:r>
              <w:rPr>
                <w:spacing w:val="-2"/>
                <w:sz w:val="16"/>
              </w:rPr>
              <w:t> </w:t>
            </w:r>
            <w:r>
              <w:rPr>
                <w:sz w:val="16"/>
              </w:rPr>
              <w:t>con </w:t>
            </w:r>
            <w:r>
              <w:rPr>
                <w:spacing w:val="-2"/>
                <w:sz w:val="16"/>
              </w:rPr>
              <w:t>seguimiento interinstitucional </w:t>
            </w:r>
            <w:r>
              <w:rPr>
                <w:sz w:val="16"/>
              </w:rPr>
              <w:t>(vinculado a PEI</w:t>
            </w:r>
          </w:p>
          <w:p>
            <w:pPr>
              <w:pStyle w:val="TableParagraph"/>
              <w:spacing w:line="163" w:lineRule="exact"/>
              <w:ind w:left="72"/>
              <w:rPr>
                <w:sz w:val="16"/>
              </w:rPr>
            </w:pPr>
            <w:r>
              <w:rPr>
                <w:spacing w:val="-2"/>
                <w:sz w:val="16"/>
              </w:rPr>
              <w:t>3.6.2).</w:t>
            </w:r>
          </w:p>
        </w:tc>
        <w:tc>
          <w:tcPr>
            <w:tcW w:w="1278" w:type="dxa"/>
          </w:tcPr>
          <w:p>
            <w:pPr>
              <w:pStyle w:val="TableParagraph"/>
              <w:spacing w:before="95"/>
              <w:ind w:left="72" w:right="79"/>
              <w:rPr>
                <w:sz w:val="16"/>
              </w:rPr>
            </w:pPr>
            <w:r>
              <w:rPr>
                <w:sz w:val="16"/>
              </w:rPr>
              <w:t>Porcentaje de personas en condición de pobreza con proyectos de economía azul </w:t>
            </w:r>
            <w:r>
              <w:rPr>
                <w:spacing w:val="-2"/>
                <w:sz w:val="16"/>
              </w:rPr>
              <w:t>financiados</w:t>
            </w:r>
            <w:r>
              <w:rPr>
                <w:spacing w:val="-10"/>
                <w:sz w:val="16"/>
              </w:rPr>
              <w:t> </w:t>
            </w:r>
            <w:r>
              <w:rPr>
                <w:spacing w:val="-2"/>
                <w:sz w:val="16"/>
              </w:rPr>
              <w:t>que </w:t>
            </w:r>
            <w:r>
              <w:rPr>
                <w:sz w:val="16"/>
              </w:rPr>
              <w:t>cuentan</w:t>
            </w:r>
            <w:r>
              <w:rPr>
                <w:spacing w:val="-2"/>
                <w:sz w:val="16"/>
              </w:rPr>
              <w:t> </w:t>
            </w:r>
            <w:r>
              <w:rPr>
                <w:sz w:val="16"/>
              </w:rPr>
              <w:t>con </w:t>
            </w:r>
            <w:r>
              <w:rPr>
                <w:spacing w:val="-2"/>
                <w:sz w:val="16"/>
              </w:rPr>
              <w:t>seguimiento interinstituciona</w:t>
            </w:r>
            <w:r>
              <w:rPr>
                <w:spacing w:val="40"/>
                <w:sz w:val="16"/>
              </w:rPr>
              <w:t> </w:t>
            </w:r>
            <w:r>
              <w:rPr>
                <w:spacing w:val="-10"/>
                <w:sz w:val="16"/>
              </w:rPr>
              <w:t>l</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4" w:right="1"/>
              <w:jc w:val="center"/>
              <w:rPr>
                <w:sz w:val="16"/>
              </w:rPr>
            </w:pPr>
            <w:r>
              <w:rPr>
                <w:spacing w:val="-5"/>
                <w:sz w:val="16"/>
              </w:rPr>
              <w:t>60%</w:t>
            </w:r>
          </w:p>
        </w:tc>
        <w:tc>
          <w:tcPr>
            <w:tcW w:w="1494" w:type="dxa"/>
          </w:tcPr>
          <w:p>
            <w:pPr>
              <w:pStyle w:val="TableParagraph"/>
              <w:rPr>
                <w:rFonts w:ascii="Times New Roman"/>
                <w:sz w:val="16"/>
              </w:rPr>
            </w:pPr>
          </w:p>
        </w:tc>
      </w:tr>
      <w:tr>
        <w:trPr>
          <w:trHeight w:val="700" w:hRule="atLeast"/>
        </w:trPr>
        <w:tc>
          <w:tcPr>
            <w:tcW w:w="14323" w:type="dxa"/>
            <w:gridSpan w:val="10"/>
            <w:shd w:val="clear" w:color="auto" w:fill="EFF8F9"/>
          </w:tcPr>
          <w:p>
            <w:pPr>
              <w:pStyle w:val="TableParagraph"/>
              <w:spacing w:before="2"/>
              <w:rPr>
                <w:b/>
                <w:sz w:val="16"/>
              </w:rPr>
            </w:pPr>
          </w:p>
          <w:p>
            <w:pPr>
              <w:pStyle w:val="TableParagraph"/>
              <w:ind w:left="72" w:right="95"/>
              <w:rPr>
                <w:b/>
                <w:sz w:val="16"/>
              </w:rPr>
            </w:pPr>
            <w:r>
              <w:rPr>
                <w:b/>
                <w:sz w:val="16"/>
              </w:rPr>
              <w:t>Producto PPPS 1.41:</w:t>
            </w:r>
            <w:r>
              <w:rPr>
                <w:b/>
                <w:spacing w:val="-4"/>
                <w:sz w:val="16"/>
              </w:rPr>
              <w:t> </w:t>
            </w:r>
            <w:r>
              <w:rPr>
                <w:b/>
                <w:sz w:val="16"/>
              </w:rPr>
              <w:t>Identificación</w:t>
            </w:r>
            <w:r>
              <w:rPr>
                <w:b/>
                <w:spacing w:val="-4"/>
                <w:sz w:val="16"/>
              </w:rPr>
              <w:t> </w:t>
            </w:r>
            <w:r>
              <w:rPr>
                <w:b/>
                <w:sz w:val="16"/>
              </w:rPr>
              <w:t>de</w:t>
            </w:r>
            <w:r>
              <w:rPr>
                <w:b/>
                <w:spacing w:val="-1"/>
                <w:sz w:val="16"/>
              </w:rPr>
              <w:t> </w:t>
            </w:r>
            <w:r>
              <w:rPr>
                <w:b/>
                <w:sz w:val="16"/>
              </w:rPr>
              <w:t>necesidades</w:t>
            </w:r>
            <w:r>
              <w:rPr>
                <w:b/>
                <w:spacing w:val="-1"/>
                <w:sz w:val="16"/>
              </w:rPr>
              <w:t> </w:t>
            </w:r>
            <w:r>
              <w:rPr>
                <w:b/>
                <w:sz w:val="16"/>
              </w:rPr>
              <w:t>de</w:t>
            </w:r>
            <w:r>
              <w:rPr>
                <w:b/>
                <w:spacing w:val="-1"/>
                <w:sz w:val="16"/>
              </w:rPr>
              <w:t> </w:t>
            </w:r>
            <w:r>
              <w:rPr>
                <w:b/>
                <w:sz w:val="16"/>
              </w:rPr>
              <w:t>infraestructura</w:t>
            </w:r>
            <w:r>
              <w:rPr>
                <w:b/>
                <w:spacing w:val="-1"/>
                <w:sz w:val="16"/>
              </w:rPr>
              <w:t> </w:t>
            </w:r>
            <w:r>
              <w:rPr>
                <w:b/>
                <w:sz w:val="16"/>
              </w:rPr>
              <w:t>de</w:t>
            </w:r>
            <w:r>
              <w:rPr>
                <w:b/>
                <w:spacing w:val="-5"/>
                <w:sz w:val="16"/>
              </w:rPr>
              <w:t> </w:t>
            </w:r>
            <w:r>
              <w:rPr>
                <w:b/>
                <w:sz w:val="16"/>
              </w:rPr>
              <w:t>los</w:t>
            </w:r>
            <w:r>
              <w:rPr>
                <w:b/>
                <w:spacing w:val="-5"/>
                <w:sz w:val="16"/>
              </w:rPr>
              <w:t> </w:t>
            </w:r>
            <w:r>
              <w:rPr>
                <w:b/>
                <w:sz w:val="16"/>
              </w:rPr>
              <w:t>territorios</w:t>
            </w:r>
            <w:r>
              <w:rPr>
                <w:b/>
                <w:spacing w:val="-5"/>
                <w:sz w:val="16"/>
              </w:rPr>
              <w:t> </w:t>
            </w:r>
            <w:r>
              <w:rPr>
                <w:b/>
                <w:sz w:val="16"/>
              </w:rPr>
              <w:t>indígenas</w:t>
            </w:r>
            <w:r>
              <w:rPr>
                <w:b/>
                <w:spacing w:val="-5"/>
                <w:sz w:val="16"/>
              </w:rPr>
              <w:t> </w:t>
            </w:r>
            <w:r>
              <w:rPr>
                <w:b/>
                <w:sz w:val="16"/>
              </w:rPr>
              <w:t>diseñada</w:t>
            </w:r>
            <w:r>
              <w:rPr>
                <w:b/>
                <w:spacing w:val="-1"/>
                <w:sz w:val="16"/>
              </w:rPr>
              <w:t> </w:t>
            </w:r>
            <w:r>
              <w:rPr>
                <w:b/>
                <w:sz w:val="16"/>
              </w:rPr>
              <w:t>y</w:t>
            </w:r>
            <w:r>
              <w:rPr>
                <w:b/>
                <w:spacing w:val="-1"/>
                <w:sz w:val="16"/>
              </w:rPr>
              <w:t> </w:t>
            </w:r>
            <w:r>
              <w:rPr>
                <w:b/>
                <w:sz w:val="16"/>
              </w:rPr>
              <w:t>articulada, sobre</w:t>
            </w:r>
            <w:r>
              <w:rPr>
                <w:b/>
                <w:spacing w:val="-1"/>
                <w:sz w:val="16"/>
              </w:rPr>
              <w:t> </w:t>
            </w:r>
            <w:r>
              <w:rPr>
                <w:b/>
                <w:sz w:val="16"/>
              </w:rPr>
              <w:t>la</w:t>
            </w:r>
            <w:r>
              <w:rPr>
                <w:b/>
                <w:spacing w:val="-1"/>
                <w:sz w:val="16"/>
              </w:rPr>
              <w:t> </w:t>
            </w:r>
            <w:r>
              <w:rPr>
                <w:b/>
                <w:sz w:val="16"/>
              </w:rPr>
              <w:t>base</w:t>
            </w:r>
            <w:r>
              <w:rPr>
                <w:b/>
                <w:spacing w:val="-1"/>
                <w:sz w:val="16"/>
              </w:rPr>
              <w:t> </w:t>
            </w:r>
            <w:r>
              <w:rPr>
                <w:b/>
                <w:sz w:val="16"/>
              </w:rPr>
              <w:t>de</w:t>
            </w:r>
            <w:r>
              <w:rPr>
                <w:b/>
                <w:spacing w:val="-1"/>
                <w:sz w:val="16"/>
              </w:rPr>
              <w:t> </w:t>
            </w:r>
            <w:r>
              <w:rPr>
                <w:b/>
                <w:sz w:val="16"/>
              </w:rPr>
              <w:t>los</w:t>
            </w:r>
            <w:r>
              <w:rPr>
                <w:b/>
                <w:spacing w:val="-5"/>
                <w:sz w:val="16"/>
              </w:rPr>
              <w:t> </w:t>
            </w:r>
            <w:r>
              <w:rPr>
                <w:b/>
                <w:sz w:val="16"/>
              </w:rPr>
              <w:t>procesos</w:t>
            </w:r>
            <w:r>
              <w:rPr>
                <w:b/>
                <w:spacing w:val="-1"/>
                <w:sz w:val="16"/>
              </w:rPr>
              <w:t> </w:t>
            </w:r>
            <w:r>
              <w:rPr>
                <w:b/>
                <w:sz w:val="16"/>
              </w:rPr>
              <w:t>de</w:t>
            </w:r>
            <w:r>
              <w:rPr>
                <w:b/>
                <w:spacing w:val="-1"/>
                <w:sz w:val="16"/>
              </w:rPr>
              <w:t> </w:t>
            </w:r>
            <w:r>
              <w:rPr>
                <w:b/>
                <w:sz w:val="16"/>
              </w:rPr>
              <w:t>consulta</w:t>
            </w:r>
            <w:r>
              <w:rPr>
                <w:b/>
                <w:spacing w:val="-1"/>
                <w:sz w:val="16"/>
              </w:rPr>
              <w:t> </w:t>
            </w:r>
            <w:r>
              <w:rPr>
                <w:b/>
                <w:sz w:val="16"/>
              </w:rPr>
              <w:t>de</w:t>
            </w:r>
            <w:r>
              <w:rPr>
                <w:b/>
                <w:spacing w:val="-5"/>
                <w:sz w:val="16"/>
              </w:rPr>
              <w:t> </w:t>
            </w:r>
            <w:r>
              <w:rPr>
                <w:b/>
                <w:sz w:val="16"/>
              </w:rPr>
              <w:t>las</w:t>
            </w:r>
            <w:r>
              <w:rPr>
                <w:b/>
                <w:spacing w:val="-1"/>
                <w:sz w:val="16"/>
              </w:rPr>
              <w:t> </w:t>
            </w:r>
            <w:r>
              <w:rPr>
                <w:b/>
                <w:sz w:val="16"/>
              </w:rPr>
              <w:t>poblaciones indígenas para la promoción del desarrollo de sus territorios. E3 AE7 R1</w:t>
            </w:r>
          </w:p>
        </w:tc>
      </w:tr>
      <w:tr>
        <w:trPr>
          <w:trHeight w:val="1795" w:hRule="atLeast"/>
        </w:trPr>
        <w:tc>
          <w:tcPr>
            <w:tcW w:w="1695" w:type="dxa"/>
          </w:tcPr>
          <w:p>
            <w:pPr>
              <w:pStyle w:val="TableParagraph"/>
              <w:spacing w:before="161"/>
              <w:ind w:left="72"/>
              <w:rPr>
                <w:b/>
                <w:sz w:val="16"/>
              </w:rPr>
            </w:pPr>
            <w:r>
              <w:rPr>
                <w:b/>
                <w:spacing w:val="-2"/>
                <w:sz w:val="16"/>
              </w:rPr>
              <w:t>Actividad</w:t>
            </w:r>
            <w:r>
              <w:rPr>
                <w:b/>
                <w:spacing w:val="-10"/>
                <w:sz w:val="16"/>
              </w:rPr>
              <w:t> </w:t>
            </w:r>
            <w:r>
              <w:rPr>
                <w:b/>
                <w:spacing w:val="-2"/>
                <w:sz w:val="16"/>
              </w:rPr>
              <w:t>PPPS 1.41.1:</w:t>
            </w:r>
          </w:p>
          <w:p>
            <w:pPr>
              <w:pStyle w:val="TableParagraph"/>
              <w:ind w:left="72" w:right="103"/>
              <w:rPr>
                <w:sz w:val="16"/>
              </w:rPr>
            </w:pPr>
            <w:r>
              <w:rPr>
                <w:sz w:val="16"/>
              </w:rPr>
              <w:t>Identificación</w:t>
            </w:r>
            <w:r>
              <w:rPr>
                <w:spacing w:val="-2"/>
                <w:sz w:val="16"/>
              </w:rPr>
              <w:t> </w:t>
            </w:r>
            <w:r>
              <w:rPr>
                <w:sz w:val="16"/>
              </w:rPr>
              <w:t>de necesidades de infraestructura</w:t>
            </w:r>
            <w:r>
              <w:rPr>
                <w:spacing w:val="-12"/>
                <w:sz w:val="16"/>
              </w:rPr>
              <w:t> </w:t>
            </w:r>
            <w:r>
              <w:rPr>
                <w:sz w:val="16"/>
              </w:rPr>
              <w:t>de</w:t>
            </w:r>
            <w:r>
              <w:rPr>
                <w:spacing w:val="-11"/>
                <w:sz w:val="16"/>
              </w:rPr>
              <w:t> </w:t>
            </w:r>
            <w:r>
              <w:rPr>
                <w:sz w:val="16"/>
              </w:rPr>
              <w:t>los territorios indígenas (vinculado a PEI </w:t>
            </w:r>
            <w:r>
              <w:rPr>
                <w:spacing w:val="-2"/>
                <w:sz w:val="16"/>
              </w:rPr>
              <w:t>3.7.1).</w:t>
            </w:r>
          </w:p>
        </w:tc>
        <w:tc>
          <w:tcPr>
            <w:tcW w:w="1278" w:type="dxa"/>
          </w:tcPr>
          <w:p>
            <w:pPr>
              <w:pStyle w:val="TableParagraph"/>
              <w:spacing w:before="160"/>
              <w:rPr>
                <w:b/>
                <w:sz w:val="16"/>
              </w:rPr>
            </w:pPr>
          </w:p>
          <w:p>
            <w:pPr>
              <w:pStyle w:val="TableParagraph"/>
              <w:ind w:left="72"/>
              <w:rPr>
                <w:sz w:val="16"/>
              </w:rPr>
            </w:pPr>
            <w:r>
              <w:rPr>
                <w:sz w:val="16"/>
              </w:rPr>
              <w:t>Porcentaje de </w:t>
            </w:r>
            <w:r>
              <w:rPr>
                <w:spacing w:val="-2"/>
                <w:sz w:val="16"/>
              </w:rPr>
              <w:t>territorios </w:t>
            </w:r>
            <w:r>
              <w:rPr>
                <w:sz w:val="16"/>
              </w:rPr>
              <w:t>indígenas con </w:t>
            </w:r>
            <w:r>
              <w:rPr>
                <w:spacing w:val="-2"/>
                <w:sz w:val="16"/>
              </w:rPr>
              <w:t>necesidades</w:t>
            </w:r>
            <w:r>
              <w:rPr>
                <w:spacing w:val="-10"/>
                <w:sz w:val="16"/>
              </w:rPr>
              <w:t> </w:t>
            </w:r>
            <w:r>
              <w:rPr>
                <w:spacing w:val="-2"/>
                <w:sz w:val="16"/>
              </w:rPr>
              <w:t>de infraestructura identificadas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69"/>
              <w:rPr>
                <w:b/>
                <w:sz w:val="16"/>
              </w:rPr>
            </w:pPr>
          </w:p>
          <w:p>
            <w:pPr>
              <w:pStyle w:val="TableParagraph"/>
              <w:ind w:left="4" w:right="1"/>
              <w:jc w:val="center"/>
              <w:rPr>
                <w:sz w:val="16"/>
              </w:rPr>
            </w:pPr>
            <w:r>
              <w:rPr>
                <w:spacing w:val="-5"/>
                <w:sz w:val="16"/>
              </w:rPr>
              <w:t>60%</w:t>
            </w:r>
          </w:p>
        </w:tc>
        <w:tc>
          <w:tcPr>
            <w:tcW w:w="1494" w:type="dxa"/>
          </w:tcPr>
          <w:p>
            <w:pPr>
              <w:pStyle w:val="TableParagraph"/>
              <w:rPr>
                <w:rFonts w:ascii="Times New Roman"/>
                <w:sz w:val="16"/>
              </w:rPr>
            </w:pPr>
          </w:p>
        </w:tc>
      </w:tr>
      <w:tr>
        <w:trPr>
          <w:trHeight w:val="561" w:hRule="atLeast"/>
        </w:trPr>
        <w:tc>
          <w:tcPr>
            <w:tcW w:w="14323" w:type="dxa"/>
            <w:gridSpan w:val="10"/>
            <w:shd w:val="clear" w:color="auto" w:fill="EFF8F9"/>
          </w:tcPr>
          <w:p>
            <w:pPr>
              <w:pStyle w:val="TableParagraph"/>
              <w:spacing w:line="244" w:lineRule="auto" w:before="95"/>
              <w:ind w:left="72" w:right="182"/>
              <w:rPr>
                <w:b/>
                <w:sz w:val="16"/>
              </w:rPr>
            </w:pPr>
            <w:r>
              <w:rPr>
                <w:b/>
                <w:sz w:val="16"/>
              </w:rPr>
              <w:t>Producto</w:t>
            </w:r>
            <w:r>
              <w:rPr>
                <w:b/>
                <w:spacing w:val="-1"/>
                <w:sz w:val="16"/>
              </w:rPr>
              <w:t> </w:t>
            </w:r>
            <w:r>
              <w:rPr>
                <w:b/>
                <w:sz w:val="16"/>
              </w:rPr>
              <w:t>PPPS 1.42:</w:t>
            </w:r>
            <w:r>
              <w:rPr>
                <w:b/>
                <w:spacing w:val="-5"/>
                <w:sz w:val="16"/>
              </w:rPr>
              <w:t> </w:t>
            </w:r>
            <w:r>
              <w:rPr>
                <w:b/>
                <w:sz w:val="16"/>
              </w:rPr>
              <w:t>Estrategia</w:t>
            </w:r>
            <w:r>
              <w:rPr>
                <w:b/>
                <w:spacing w:val="-2"/>
                <w:sz w:val="16"/>
              </w:rPr>
              <w:t> </w:t>
            </w:r>
            <w:r>
              <w:rPr>
                <w:b/>
                <w:sz w:val="16"/>
              </w:rPr>
              <w:t>para</w:t>
            </w:r>
            <w:r>
              <w:rPr>
                <w:b/>
                <w:spacing w:val="-2"/>
                <w:sz w:val="16"/>
              </w:rPr>
              <w:t> </w:t>
            </w:r>
            <w:r>
              <w:rPr>
                <w:b/>
                <w:sz w:val="16"/>
              </w:rPr>
              <w:t>el</w:t>
            </w:r>
            <w:r>
              <w:rPr>
                <w:b/>
                <w:spacing w:val="-5"/>
                <w:sz w:val="16"/>
              </w:rPr>
              <w:t> </w:t>
            </w:r>
            <w:r>
              <w:rPr>
                <w:b/>
                <w:sz w:val="16"/>
              </w:rPr>
              <w:t>desarrollo</w:t>
            </w:r>
            <w:r>
              <w:rPr>
                <w:b/>
                <w:spacing w:val="-1"/>
                <w:sz w:val="16"/>
              </w:rPr>
              <w:t> </w:t>
            </w:r>
            <w:r>
              <w:rPr>
                <w:b/>
                <w:sz w:val="16"/>
              </w:rPr>
              <w:t>de</w:t>
            </w:r>
            <w:r>
              <w:rPr>
                <w:b/>
                <w:spacing w:val="-2"/>
                <w:sz w:val="16"/>
              </w:rPr>
              <w:t> </w:t>
            </w:r>
            <w:r>
              <w:rPr>
                <w:b/>
                <w:sz w:val="16"/>
              </w:rPr>
              <w:t>competencias</w:t>
            </w:r>
            <w:r>
              <w:rPr>
                <w:b/>
                <w:spacing w:val="-2"/>
                <w:sz w:val="16"/>
              </w:rPr>
              <w:t> </w:t>
            </w:r>
            <w:r>
              <w:rPr>
                <w:b/>
                <w:sz w:val="16"/>
              </w:rPr>
              <w:t>de</w:t>
            </w:r>
            <w:r>
              <w:rPr>
                <w:b/>
                <w:spacing w:val="-2"/>
                <w:sz w:val="16"/>
              </w:rPr>
              <w:t> </w:t>
            </w:r>
            <w:r>
              <w:rPr>
                <w:b/>
                <w:sz w:val="16"/>
              </w:rPr>
              <w:t>la</w:t>
            </w:r>
            <w:r>
              <w:rPr>
                <w:b/>
                <w:spacing w:val="-6"/>
                <w:sz w:val="16"/>
              </w:rPr>
              <w:t> </w:t>
            </w:r>
            <w:r>
              <w:rPr>
                <w:b/>
                <w:sz w:val="16"/>
              </w:rPr>
              <w:t>población</w:t>
            </w:r>
            <w:r>
              <w:rPr>
                <w:b/>
                <w:spacing w:val="-1"/>
                <w:sz w:val="16"/>
              </w:rPr>
              <w:t> </w:t>
            </w:r>
            <w:r>
              <w:rPr>
                <w:b/>
                <w:sz w:val="16"/>
              </w:rPr>
              <w:t>indígena</w:t>
            </w:r>
            <w:r>
              <w:rPr>
                <w:b/>
                <w:spacing w:val="-2"/>
                <w:sz w:val="16"/>
              </w:rPr>
              <w:t> </w:t>
            </w:r>
            <w:r>
              <w:rPr>
                <w:b/>
                <w:sz w:val="16"/>
              </w:rPr>
              <w:t>diseñada</w:t>
            </w:r>
            <w:r>
              <w:rPr>
                <w:b/>
                <w:spacing w:val="-2"/>
                <w:sz w:val="16"/>
              </w:rPr>
              <w:t> </w:t>
            </w:r>
            <w:r>
              <w:rPr>
                <w:b/>
                <w:sz w:val="16"/>
              </w:rPr>
              <w:t>e</w:t>
            </w:r>
            <w:r>
              <w:rPr>
                <w:b/>
                <w:spacing w:val="-2"/>
                <w:sz w:val="16"/>
              </w:rPr>
              <w:t> </w:t>
            </w:r>
            <w:r>
              <w:rPr>
                <w:b/>
                <w:sz w:val="16"/>
              </w:rPr>
              <w:t>implementada</w:t>
            </w:r>
            <w:r>
              <w:rPr>
                <w:b/>
                <w:spacing w:val="-2"/>
                <w:sz w:val="16"/>
              </w:rPr>
              <w:t> </w:t>
            </w:r>
            <w:r>
              <w:rPr>
                <w:b/>
                <w:sz w:val="16"/>
              </w:rPr>
              <w:t>para</w:t>
            </w:r>
            <w:r>
              <w:rPr>
                <w:b/>
                <w:spacing w:val="-2"/>
                <w:sz w:val="16"/>
              </w:rPr>
              <w:t> </w:t>
            </w:r>
            <w:r>
              <w:rPr>
                <w:b/>
                <w:sz w:val="16"/>
              </w:rPr>
              <w:t>autogestionar las</w:t>
            </w:r>
            <w:r>
              <w:rPr>
                <w:b/>
                <w:spacing w:val="-6"/>
                <w:sz w:val="16"/>
              </w:rPr>
              <w:t> </w:t>
            </w:r>
            <w:r>
              <w:rPr>
                <w:b/>
                <w:sz w:val="16"/>
              </w:rPr>
              <w:t>necesidades</w:t>
            </w:r>
            <w:r>
              <w:rPr>
                <w:b/>
                <w:spacing w:val="-2"/>
                <w:sz w:val="16"/>
              </w:rPr>
              <w:t> </w:t>
            </w:r>
            <w:r>
              <w:rPr>
                <w:b/>
                <w:sz w:val="16"/>
              </w:rPr>
              <w:t>de</w:t>
            </w:r>
            <w:r>
              <w:rPr>
                <w:b/>
                <w:spacing w:val="-2"/>
                <w:sz w:val="16"/>
              </w:rPr>
              <w:t> </w:t>
            </w:r>
            <w:r>
              <w:rPr>
                <w:b/>
                <w:sz w:val="16"/>
              </w:rPr>
              <w:t>infraestructura identificadas. E3 AE7 R2</w:t>
            </w:r>
          </w:p>
        </w:tc>
      </w:tr>
      <w:tr>
        <w:trPr>
          <w:trHeight w:val="2025"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1.42.1:</w:t>
            </w:r>
          </w:p>
          <w:p>
            <w:pPr>
              <w:pStyle w:val="TableParagraph"/>
              <w:ind w:left="72" w:right="103"/>
              <w:rPr>
                <w:sz w:val="16"/>
              </w:rPr>
            </w:pPr>
            <w:r>
              <w:rPr>
                <w:spacing w:val="-2"/>
                <w:sz w:val="16"/>
              </w:rPr>
              <w:t>Territorios</w:t>
            </w:r>
            <w:r>
              <w:rPr>
                <w:spacing w:val="-6"/>
                <w:sz w:val="16"/>
              </w:rPr>
              <w:t> </w:t>
            </w:r>
            <w:r>
              <w:rPr>
                <w:spacing w:val="-2"/>
                <w:sz w:val="16"/>
              </w:rPr>
              <w:t>indígenas </w:t>
            </w:r>
            <w:r>
              <w:rPr>
                <w:sz w:val="16"/>
              </w:rPr>
              <w:t>que cuentan con capacitación</w:t>
            </w:r>
            <w:r>
              <w:rPr>
                <w:spacing w:val="-6"/>
                <w:sz w:val="16"/>
              </w:rPr>
              <w:t> </w:t>
            </w:r>
            <w:r>
              <w:rPr>
                <w:sz w:val="16"/>
              </w:rPr>
              <w:t>para</w:t>
            </w:r>
            <w:r>
              <w:rPr>
                <w:spacing w:val="-6"/>
                <w:sz w:val="16"/>
              </w:rPr>
              <w:t> </w:t>
            </w:r>
            <w:r>
              <w:rPr>
                <w:sz w:val="16"/>
              </w:rPr>
              <w:t>la gestión de las necesidades de </w:t>
            </w:r>
            <w:r>
              <w:rPr>
                <w:spacing w:val="-2"/>
                <w:sz w:val="16"/>
              </w:rPr>
              <w:t>infraestructura identificadas </w:t>
            </w:r>
            <w:r>
              <w:rPr>
                <w:sz w:val="16"/>
              </w:rPr>
              <w:t>(vinculado a PEI</w:t>
            </w:r>
          </w:p>
          <w:p>
            <w:pPr>
              <w:pStyle w:val="TableParagraph"/>
              <w:spacing w:line="166" w:lineRule="exact"/>
              <w:ind w:left="72"/>
              <w:rPr>
                <w:sz w:val="16"/>
              </w:rPr>
            </w:pPr>
            <w:r>
              <w:rPr>
                <w:spacing w:val="-2"/>
                <w:sz w:val="16"/>
              </w:rPr>
              <w:t>3.7.2).</w:t>
            </w:r>
          </w:p>
        </w:tc>
        <w:tc>
          <w:tcPr>
            <w:tcW w:w="1278" w:type="dxa"/>
          </w:tcPr>
          <w:p>
            <w:pPr>
              <w:pStyle w:val="TableParagraph"/>
              <w:spacing w:before="92"/>
              <w:rPr>
                <w:b/>
                <w:sz w:val="16"/>
              </w:rPr>
            </w:pPr>
          </w:p>
          <w:p>
            <w:pPr>
              <w:pStyle w:val="TableParagraph"/>
              <w:spacing w:before="1"/>
              <w:ind w:left="72" w:right="79"/>
              <w:rPr>
                <w:sz w:val="16"/>
              </w:rPr>
            </w:pPr>
            <w:r>
              <w:rPr>
                <w:sz w:val="16"/>
              </w:rPr>
              <w:t>Porcentaje de </w:t>
            </w:r>
            <w:r>
              <w:rPr>
                <w:spacing w:val="-2"/>
                <w:sz w:val="16"/>
              </w:rPr>
              <w:t>territorios indígenas capacitados </w:t>
            </w:r>
            <w:r>
              <w:rPr>
                <w:sz w:val="16"/>
              </w:rPr>
              <w:t>para la gestión de las </w:t>
            </w:r>
            <w:r>
              <w:rPr>
                <w:spacing w:val="-2"/>
                <w:sz w:val="16"/>
              </w:rPr>
              <w:t>necesidades</w:t>
            </w:r>
            <w:r>
              <w:rPr>
                <w:spacing w:val="-10"/>
                <w:sz w:val="16"/>
              </w:rPr>
              <w:t> </w:t>
            </w:r>
            <w:r>
              <w:rPr>
                <w:spacing w:val="-2"/>
                <w:sz w:val="16"/>
              </w:rPr>
              <w:t>de infraestructura</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ind w:left="4" w:right="1"/>
              <w:jc w:val="center"/>
              <w:rPr>
                <w:sz w:val="16"/>
              </w:rPr>
            </w:pPr>
            <w:r>
              <w:rPr>
                <w:spacing w:val="-5"/>
                <w:sz w:val="16"/>
              </w:rPr>
              <w:t>40%</w:t>
            </w:r>
          </w:p>
        </w:tc>
        <w:tc>
          <w:tcPr>
            <w:tcW w:w="1494" w:type="dxa"/>
          </w:tcPr>
          <w:p>
            <w:pPr>
              <w:pStyle w:val="TableParagraph"/>
              <w:rPr>
                <w:rFonts w:ascii="Times New Roman"/>
                <w:sz w:val="16"/>
              </w:rPr>
            </w:pPr>
          </w:p>
        </w:tc>
      </w:tr>
      <w:tr>
        <w:trPr>
          <w:trHeight w:val="537" w:hRule="atLeast"/>
        </w:trPr>
        <w:tc>
          <w:tcPr>
            <w:tcW w:w="14323" w:type="dxa"/>
            <w:gridSpan w:val="10"/>
            <w:shd w:val="clear" w:color="auto" w:fill="EFF8F9"/>
          </w:tcPr>
          <w:p>
            <w:pPr>
              <w:pStyle w:val="TableParagraph"/>
              <w:spacing w:before="85"/>
              <w:ind w:left="72" w:right="95"/>
              <w:rPr>
                <w:b/>
                <w:sz w:val="16"/>
              </w:rPr>
            </w:pPr>
            <w:r>
              <w:rPr>
                <w:b/>
                <w:sz w:val="16"/>
              </w:rPr>
              <w:t>Producto</w:t>
            </w:r>
            <w:r>
              <w:rPr>
                <w:b/>
                <w:spacing w:val="-1"/>
                <w:sz w:val="16"/>
              </w:rPr>
              <w:t> </w:t>
            </w:r>
            <w:r>
              <w:rPr>
                <w:b/>
                <w:sz w:val="16"/>
              </w:rPr>
              <w:t>PPPS 1.43:</w:t>
            </w:r>
            <w:r>
              <w:rPr>
                <w:b/>
                <w:spacing w:val="-5"/>
                <w:sz w:val="16"/>
              </w:rPr>
              <w:t> </w:t>
            </w:r>
            <w:r>
              <w:rPr>
                <w:b/>
                <w:sz w:val="16"/>
              </w:rPr>
              <w:t>Unidades</w:t>
            </w:r>
            <w:r>
              <w:rPr>
                <w:b/>
                <w:spacing w:val="-2"/>
                <w:sz w:val="16"/>
              </w:rPr>
              <w:t> </w:t>
            </w:r>
            <w:r>
              <w:rPr>
                <w:b/>
                <w:sz w:val="16"/>
              </w:rPr>
              <w:t>de</w:t>
            </w:r>
            <w:r>
              <w:rPr>
                <w:b/>
                <w:spacing w:val="-2"/>
                <w:sz w:val="16"/>
              </w:rPr>
              <w:t> </w:t>
            </w:r>
            <w:r>
              <w:rPr>
                <w:b/>
                <w:sz w:val="16"/>
              </w:rPr>
              <w:t>investigación,</w:t>
            </w:r>
            <w:r>
              <w:rPr>
                <w:b/>
                <w:spacing w:val="-5"/>
                <w:sz w:val="16"/>
              </w:rPr>
              <w:t> </w:t>
            </w:r>
            <w:r>
              <w:rPr>
                <w:b/>
                <w:sz w:val="16"/>
              </w:rPr>
              <w:t>planificación</w:t>
            </w:r>
            <w:r>
              <w:rPr>
                <w:b/>
                <w:spacing w:val="-5"/>
                <w:sz w:val="16"/>
              </w:rPr>
              <w:t> </w:t>
            </w:r>
            <w:r>
              <w:rPr>
                <w:b/>
                <w:sz w:val="16"/>
              </w:rPr>
              <w:t>y evaluación</w:t>
            </w:r>
            <w:r>
              <w:rPr>
                <w:b/>
                <w:spacing w:val="-1"/>
                <w:sz w:val="16"/>
              </w:rPr>
              <w:t> </w:t>
            </w:r>
            <w:r>
              <w:rPr>
                <w:b/>
                <w:sz w:val="16"/>
              </w:rPr>
              <w:t>fortalecidas</w:t>
            </w:r>
            <w:r>
              <w:rPr>
                <w:b/>
                <w:spacing w:val="-6"/>
                <w:sz w:val="16"/>
              </w:rPr>
              <w:t> </w:t>
            </w:r>
            <w:r>
              <w:rPr>
                <w:b/>
                <w:sz w:val="16"/>
              </w:rPr>
              <w:t>y</w:t>
            </w:r>
            <w:r>
              <w:rPr>
                <w:b/>
                <w:spacing w:val="-2"/>
                <w:sz w:val="16"/>
              </w:rPr>
              <w:t> </w:t>
            </w:r>
            <w:r>
              <w:rPr>
                <w:b/>
                <w:sz w:val="16"/>
              </w:rPr>
              <w:t>con</w:t>
            </w:r>
            <w:r>
              <w:rPr>
                <w:b/>
                <w:spacing w:val="-1"/>
                <w:sz w:val="16"/>
              </w:rPr>
              <w:t> </w:t>
            </w:r>
            <w:r>
              <w:rPr>
                <w:b/>
                <w:sz w:val="16"/>
              </w:rPr>
              <w:t>normativa</w:t>
            </w:r>
            <w:r>
              <w:rPr>
                <w:b/>
                <w:spacing w:val="-2"/>
                <w:sz w:val="16"/>
              </w:rPr>
              <w:t> </w:t>
            </w:r>
            <w:r>
              <w:rPr>
                <w:b/>
                <w:sz w:val="16"/>
              </w:rPr>
              <w:t>actualizada</w:t>
            </w:r>
            <w:r>
              <w:rPr>
                <w:b/>
                <w:spacing w:val="-2"/>
                <w:sz w:val="16"/>
              </w:rPr>
              <w:t> </w:t>
            </w:r>
            <w:r>
              <w:rPr>
                <w:b/>
                <w:sz w:val="16"/>
              </w:rPr>
              <w:t>para</w:t>
            </w:r>
            <w:r>
              <w:rPr>
                <w:b/>
                <w:spacing w:val="-2"/>
                <w:sz w:val="16"/>
              </w:rPr>
              <w:t> </w:t>
            </w:r>
            <w:r>
              <w:rPr>
                <w:b/>
                <w:sz w:val="16"/>
              </w:rPr>
              <w:t>desarrollar estrategias</w:t>
            </w:r>
            <w:r>
              <w:rPr>
                <w:b/>
                <w:spacing w:val="-6"/>
                <w:sz w:val="16"/>
              </w:rPr>
              <w:t> </w:t>
            </w:r>
            <w:r>
              <w:rPr>
                <w:b/>
                <w:sz w:val="16"/>
              </w:rPr>
              <w:t>integrales</w:t>
            </w:r>
            <w:r>
              <w:rPr>
                <w:b/>
                <w:spacing w:val="-2"/>
                <w:sz w:val="16"/>
              </w:rPr>
              <w:t> </w:t>
            </w:r>
            <w:r>
              <w:rPr>
                <w:b/>
                <w:sz w:val="16"/>
              </w:rPr>
              <w:t>a</w:t>
            </w:r>
            <w:r>
              <w:rPr>
                <w:b/>
                <w:spacing w:val="-2"/>
                <w:sz w:val="16"/>
              </w:rPr>
              <w:t> </w:t>
            </w:r>
            <w:r>
              <w:rPr>
                <w:b/>
                <w:sz w:val="16"/>
              </w:rPr>
              <w:t>nivel</w:t>
            </w:r>
            <w:r>
              <w:rPr>
                <w:b/>
                <w:spacing w:val="-1"/>
                <w:sz w:val="16"/>
              </w:rPr>
              <w:t> </w:t>
            </w:r>
            <w:r>
              <w:rPr>
                <w:b/>
                <w:sz w:val="16"/>
              </w:rPr>
              <w:t>regional</w:t>
            </w:r>
            <w:r>
              <w:rPr>
                <w:b/>
                <w:spacing w:val="-1"/>
                <w:sz w:val="16"/>
              </w:rPr>
              <w:t> </w:t>
            </w:r>
            <w:r>
              <w:rPr>
                <w:b/>
                <w:sz w:val="16"/>
              </w:rPr>
              <w:t>y</w:t>
            </w:r>
            <w:r>
              <w:rPr>
                <w:b/>
                <w:spacing w:val="-6"/>
                <w:sz w:val="16"/>
              </w:rPr>
              <w:t> </w:t>
            </w:r>
            <w:r>
              <w:rPr>
                <w:b/>
                <w:sz w:val="16"/>
              </w:rPr>
              <w:t>territorial.</w:t>
            </w:r>
            <w:r>
              <w:rPr>
                <w:b/>
                <w:spacing w:val="-5"/>
                <w:sz w:val="16"/>
              </w:rPr>
              <w:t> </w:t>
            </w:r>
            <w:r>
              <w:rPr>
                <w:b/>
                <w:sz w:val="16"/>
              </w:rPr>
              <w:t>E3 AE8</w:t>
            </w:r>
            <w:r>
              <w:rPr>
                <w:b/>
                <w:spacing w:val="-2"/>
                <w:sz w:val="16"/>
              </w:rPr>
              <w:t> </w:t>
            </w:r>
            <w:r>
              <w:rPr>
                <w:b/>
                <w:sz w:val="16"/>
              </w:rPr>
              <w:t>R1</w:t>
            </w:r>
          </w:p>
        </w:tc>
      </w:tr>
    </w:tbl>
    <w:p>
      <w:pPr>
        <w:pStyle w:val="TableParagraph"/>
        <w:spacing w:after="0"/>
        <w:rPr>
          <w:b/>
          <w:sz w:val="16"/>
        </w:rPr>
        <w:sectPr>
          <w:type w:val="continuous"/>
          <w:pgSz w:w="15840" w:h="12240" w:orient="landscape"/>
          <w:pgMar w:header="0" w:footer="1806" w:top="700" w:bottom="2598"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1291"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1.43.1:</w:t>
            </w:r>
          </w:p>
          <w:p>
            <w:pPr>
              <w:pStyle w:val="TableParagraph"/>
              <w:ind w:left="72" w:right="104"/>
              <w:rPr>
                <w:sz w:val="16"/>
              </w:rPr>
            </w:pPr>
            <w:r>
              <w:rPr>
                <w:sz w:val="16"/>
              </w:rPr>
              <w:t>Elaboración de plan de mejora para el fortalecimiento</w:t>
            </w:r>
            <w:r>
              <w:rPr>
                <w:spacing w:val="-12"/>
                <w:sz w:val="16"/>
              </w:rPr>
              <w:t> </w:t>
            </w:r>
            <w:r>
              <w:rPr>
                <w:sz w:val="16"/>
              </w:rPr>
              <w:t>de</w:t>
            </w:r>
            <w:r>
              <w:rPr>
                <w:spacing w:val="-11"/>
                <w:sz w:val="16"/>
              </w:rPr>
              <w:t> </w:t>
            </w:r>
            <w:r>
              <w:rPr>
                <w:sz w:val="16"/>
              </w:rPr>
              <w:t>las UIPER (vinculado a</w:t>
            </w:r>
          </w:p>
          <w:p>
            <w:pPr>
              <w:pStyle w:val="TableParagraph"/>
              <w:spacing w:line="167" w:lineRule="exact"/>
              <w:ind w:left="72"/>
              <w:rPr>
                <w:sz w:val="16"/>
              </w:rPr>
            </w:pPr>
            <w:r>
              <w:rPr>
                <w:sz w:val="16"/>
              </w:rPr>
              <w:t>PEI</w:t>
            </w:r>
            <w:r>
              <w:rPr>
                <w:spacing w:val="-1"/>
                <w:sz w:val="16"/>
              </w:rPr>
              <w:t> </w:t>
            </w:r>
            <w:r>
              <w:rPr>
                <w:spacing w:val="-2"/>
                <w:sz w:val="16"/>
              </w:rPr>
              <w:t>3.8.1).</w:t>
            </w:r>
          </w:p>
        </w:tc>
        <w:tc>
          <w:tcPr>
            <w:tcW w:w="1278" w:type="dxa"/>
          </w:tcPr>
          <w:p>
            <w:pPr>
              <w:pStyle w:val="TableParagraph"/>
              <w:spacing w:before="93"/>
              <w:rPr>
                <w:b/>
                <w:sz w:val="16"/>
              </w:rPr>
            </w:pPr>
          </w:p>
          <w:p>
            <w:pPr>
              <w:pStyle w:val="TableParagraph"/>
              <w:ind w:left="72" w:right="325"/>
              <w:rPr>
                <w:sz w:val="16"/>
              </w:rPr>
            </w:pPr>
            <w:r>
              <w:rPr>
                <w:sz w:val="16"/>
              </w:rPr>
              <w:t>Cantidad</w:t>
            </w:r>
            <w:r>
              <w:rPr>
                <w:spacing w:val="-12"/>
                <w:sz w:val="16"/>
              </w:rPr>
              <w:t> </w:t>
            </w:r>
            <w:r>
              <w:rPr>
                <w:sz w:val="16"/>
              </w:rPr>
              <w:t>de planes de </w:t>
            </w:r>
            <w:r>
              <w:rPr>
                <w:spacing w:val="-2"/>
                <w:sz w:val="16"/>
              </w:rPr>
              <w:t>mejora elaborados</w:t>
            </w:r>
          </w:p>
        </w:tc>
        <w:tc>
          <w:tcPr>
            <w:tcW w:w="1278" w:type="dxa"/>
          </w:tcPr>
          <w:p>
            <w:pPr>
              <w:pStyle w:val="TableParagraph"/>
              <w:rPr>
                <w:b/>
                <w:sz w:val="16"/>
              </w:rPr>
            </w:pPr>
          </w:p>
          <w:p>
            <w:pPr>
              <w:pStyle w:val="TableParagraph"/>
              <w:spacing w:before="183"/>
              <w:rPr>
                <w:b/>
                <w:sz w:val="16"/>
              </w:rPr>
            </w:pPr>
          </w:p>
          <w:p>
            <w:pPr>
              <w:pStyle w:val="TableParagraph"/>
              <w:ind w:left="21" w:right="12"/>
              <w:jc w:val="center"/>
              <w:rPr>
                <w:sz w:val="16"/>
              </w:rPr>
            </w:pPr>
            <w:r>
              <w:rPr>
                <w:spacing w:val="-10"/>
                <w:sz w:val="16"/>
              </w:rPr>
              <w:t>1</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spacing w:before="183"/>
              <w:rPr>
                <w:b/>
                <w:sz w:val="16"/>
              </w:rPr>
            </w:pPr>
          </w:p>
          <w:p>
            <w:pPr>
              <w:pStyle w:val="TableParagraph"/>
              <w:ind w:right="1"/>
              <w:jc w:val="center"/>
              <w:rPr>
                <w:sz w:val="16"/>
              </w:rPr>
            </w:pPr>
            <w:r>
              <w:rPr>
                <w:spacing w:val="-10"/>
                <w:sz w:val="16"/>
              </w:rPr>
              <w:t>1</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spacing w:before="183"/>
              <w:rPr>
                <w:b/>
                <w:sz w:val="16"/>
              </w:rPr>
            </w:pPr>
          </w:p>
          <w:p>
            <w:pPr>
              <w:pStyle w:val="TableParagraph"/>
              <w:ind w:left="16" w:right="19"/>
              <w:jc w:val="center"/>
              <w:rPr>
                <w:sz w:val="16"/>
              </w:rPr>
            </w:pPr>
            <w:r>
              <w:rPr>
                <w:spacing w:val="-10"/>
                <w:sz w:val="16"/>
              </w:rPr>
              <w:t>1</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spacing w:before="183"/>
              <w:rPr>
                <w:b/>
                <w:sz w:val="16"/>
              </w:rPr>
            </w:pPr>
          </w:p>
          <w:p>
            <w:pPr>
              <w:pStyle w:val="TableParagraph"/>
              <w:ind w:left="4" w:right="1"/>
              <w:jc w:val="center"/>
              <w:rPr>
                <w:sz w:val="16"/>
              </w:rPr>
            </w:pPr>
            <w:r>
              <w:rPr>
                <w:spacing w:val="-10"/>
                <w:sz w:val="16"/>
              </w:rPr>
              <w:t>1</w:t>
            </w:r>
          </w:p>
        </w:tc>
        <w:tc>
          <w:tcPr>
            <w:tcW w:w="1494" w:type="dxa"/>
          </w:tcPr>
          <w:p>
            <w:pPr>
              <w:pStyle w:val="TableParagraph"/>
              <w:rPr>
                <w:rFonts w:ascii="Times New Roman"/>
                <w:sz w:val="16"/>
              </w:rPr>
            </w:pPr>
          </w:p>
        </w:tc>
      </w:tr>
      <w:tr>
        <w:trPr>
          <w:trHeight w:val="2026"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1.43.2:</w:t>
            </w:r>
          </w:p>
          <w:p>
            <w:pPr>
              <w:pStyle w:val="TableParagraph"/>
              <w:ind w:left="72" w:right="104"/>
              <w:rPr>
                <w:sz w:val="16"/>
              </w:rPr>
            </w:pPr>
            <w:r>
              <w:rPr>
                <w:sz w:val="16"/>
              </w:rPr>
              <w:t>Elaboración de informes de ejecución con el levantamiento</w:t>
            </w:r>
            <w:r>
              <w:rPr>
                <w:spacing w:val="-1"/>
                <w:sz w:val="16"/>
              </w:rPr>
              <w:t> </w:t>
            </w:r>
            <w:r>
              <w:rPr>
                <w:sz w:val="16"/>
              </w:rPr>
              <w:t>de</w:t>
            </w:r>
            <w:r>
              <w:rPr>
                <w:spacing w:val="-1"/>
                <w:sz w:val="16"/>
              </w:rPr>
              <w:t> </w:t>
            </w:r>
            <w:r>
              <w:rPr>
                <w:sz w:val="16"/>
              </w:rPr>
              <w:t>los planes de mejora para el fortalecimiento</w:t>
            </w:r>
            <w:r>
              <w:rPr>
                <w:spacing w:val="-12"/>
                <w:sz w:val="16"/>
              </w:rPr>
              <w:t> </w:t>
            </w:r>
            <w:r>
              <w:rPr>
                <w:sz w:val="16"/>
              </w:rPr>
              <w:t>de</w:t>
            </w:r>
            <w:r>
              <w:rPr>
                <w:spacing w:val="-11"/>
                <w:sz w:val="16"/>
              </w:rPr>
              <w:t> </w:t>
            </w:r>
            <w:r>
              <w:rPr>
                <w:sz w:val="16"/>
              </w:rPr>
              <w:t>las UIPER (vinculado a</w:t>
            </w:r>
          </w:p>
          <w:p>
            <w:pPr>
              <w:pStyle w:val="TableParagraph"/>
              <w:spacing w:line="166" w:lineRule="exact"/>
              <w:ind w:left="72"/>
              <w:rPr>
                <w:sz w:val="16"/>
              </w:rPr>
            </w:pPr>
            <w:r>
              <w:rPr>
                <w:sz w:val="16"/>
              </w:rPr>
              <w:t>PEI</w:t>
            </w:r>
            <w:r>
              <w:rPr>
                <w:spacing w:val="-1"/>
                <w:sz w:val="16"/>
              </w:rPr>
              <w:t> </w:t>
            </w:r>
            <w:r>
              <w:rPr>
                <w:spacing w:val="-2"/>
                <w:sz w:val="16"/>
              </w:rPr>
              <w:t>3.8.1).</w:t>
            </w:r>
          </w:p>
        </w:tc>
        <w:tc>
          <w:tcPr>
            <w:tcW w:w="1278" w:type="dxa"/>
          </w:tcPr>
          <w:p>
            <w:pPr>
              <w:pStyle w:val="TableParagraph"/>
              <w:rPr>
                <w:b/>
                <w:sz w:val="16"/>
              </w:rPr>
            </w:pPr>
          </w:p>
          <w:p>
            <w:pPr>
              <w:pStyle w:val="TableParagraph"/>
              <w:rPr>
                <w:b/>
                <w:sz w:val="16"/>
              </w:rPr>
            </w:pPr>
          </w:p>
          <w:p>
            <w:pPr>
              <w:pStyle w:val="TableParagraph"/>
              <w:spacing w:before="181"/>
              <w:rPr>
                <w:b/>
                <w:sz w:val="16"/>
              </w:rPr>
            </w:pPr>
          </w:p>
          <w:p>
            <w:pPr>
              <w:pStyle w:val="TableParagraph"/>
              <w:spacing w:line="244" w:lineRule="auto"/>
              <w:ind w:left="72" w:right="325"/>
              <w:rPr>
                <w:sz w:val="16"/>
              </w:rPr>
            </w:pPr>
            <w:r>
              <w:rPr>
                <w:sz w:val="16"/>
              </w:rPr>
              <w:t>Cantidad</w:t>
            </w:r>
            <w:r>
              <w:rPr>
                <w:spacing w:val="-12"/>
                <w:sz w:val="16"/>
              </w:rPr>
              <w:t> </w:t>
            </w:r>
            <w:r>
              <w:rPr>
                <w:sz w:val="16"/>
              </w:rPr>
              <w:t>de </w:t>
            </w:r>
            <w:r>
              <w:rPr>
                <w:spacing w:val="-2"/>
                <w:sz w:val="16"/>
              </w:rPr>
              <w:t>UIPER</w:t>
            </w:r>
          </w:p>
          <w:p>
            <w:pPr>
              <w:pStyle w:val="TableParagraph"/>
              <w:spacing w:line="179" w:lineRule="exact"/>
              <w:ind w:left="72"/>
              <w:rPr>
                <w:sz w:val="16"/>
              </w:rPr>
            </w:pPr>
            <w:r>
              <w:rPr>
                <w:spacing w:val="-2"/>
                <w:sz w:val="16"/>
              </w:rPr>
              <w:t>fortalecidas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479" w:hRule="atLeast"/>
        </w:trPr>
        <w:tc>
          <w:tcPr>
            <w:tcW w:w="14323" w:type="dxa"/>
            <w:gridSpan w:val="10"/>
            <w:shd w:val="clear" w:color="auto" w:fill="EFF8F9"/>
          </w:tcPr>
          <w:p>
            <w:pPr>
              <w:pStyle w:val="TableParagraph"/>
              <w:spacing w:before="142"/>
              <w:ind w:left="72"/>
              <w:rPr>
                <w:b/>
                <w:sz w:val="16"/>
              </w:rPr>
            </w:pPr>
            <w:r>
              <w:rPr>
                <w:b/>
                <w:sz w:val="16"/>
              </w:rPr>
              <w:t>Producto</w:t>
            </w:r>
            <w:r>
              <w:rPr>
                <w:b/>
                <w:spacing w:val="-3"/>
                <w:sz w:val="16"/>
              </w:rPr>
              <w:t> </w:t>
            </w:r>
            <w:r>
              <w:rPr>
                <w:b/>
                <w:sz w:val="16"/>
              </w:rPr>
              <w:t>PPPS</w:t>
            </w:r>
            <w:r>
              <w:rPr>
                <w:b/>
                <w:spacing w:val="-1"/>
                <w:sz w:val="16"/>
              </w:rPr>
              <w:t> </w:t>
            </w:r>
            <w:r>
              <w:rPr>
                <w:b/>
                <w:sz w:val="16"/>
              </w:rPr>
              <w:t>1.44:</w:t>
            </w:r>
            <w:r>
              <w:rPr>
                <w:b/>
                <w:spacing w:val="34"/>
                <w:sz w:val="16"/>
              </w:rPr>
              <w:t> </w:t>
            </w:r>
            <w:r>
              <w:rPr>
                <w:b/>
                <w:sz w:val="16"/>
              </w:rPr>
              <w:t>Unidades</w:t>
            </w:r>
            <w:r>
              <w:rPr>
                <w:b/>
                <w:spacing w:val="-3"/>
                <w:sz w:val="16"/>
              </w:rPr>
              <w:t> </w:t>
            </w:r>
            <w:r>
              <w:rPr>
                <w:b/>
                <w:sz w:val="16"/>
              </w:rPr>
              <w:t>de</w:t>
            </w:r>
            <w:r>
              <w:rPr>
                <w:b/>
                <w:spacing w:val="-3"/>
                <w:sz w:val="16"/>
              </w:rPr>
              <w:t> </w:t>
            </w:r>
            <w:r>
              <w:rPr>
                <w:b/>
                <w:sz w:val="16"/>
              </w:rPr>
              <w:t>Investigación,</w:t>
            </w:r>
            <w:r>
              <w:rPr>
                <w:b/>
                <w:spacing w:val="-5"/>
                <w:sz w:val="16"/>
              </w:rPr>
              <w:t> </w:t>
            </w:r>
            <w:r>
              <w:rPr>
                <w:b/>
                <w:sz w:val="16"/>
              </w:rPr>
              <w:t>Planificación</w:t>
            </w:r>
            <w:r>
              <w:rPr>
                <w:b/>
                <w:spacing w:val="-6"/>
                <w:sz w:val="16"/>
              </w:rPr>
              <w:t> </w:t>
            </w:r>
            <w:r>
              <w:rPr>
                <w:b/>
                <w:sz w:val="16"/>
              </w:rPr>
              <w:t>y</w:t>
            </w:r>
            <w:r>
              <w:rPr>
                <w:b/>
                <w:spacing w:val="-3"/>
                <w:sz w:val="16"/>
              </w:rPr>
              <w:t> </w:t>
            </w:r>
            <w:r>
              <w:rPr>
                <w:b/>
                <w:sz w:val="16"/>
              </w:rPr>
              <w:t>Evaluación</w:t>
            </w:r>
            <w:r>
              <w:rPr>
                <w:b/>
                <w:spacing w:val="-6"/>
                <w:sz w:val="16"/>
              </w:rPr>
              <w:t> </w:t>
            </w:r>
            <w:r>
              <w:rPr>
                <w:b/>
                <w:sz w:val="16"/>
              </w:rPr>
              <w:t>regional</w:t>
            </w:r>
            <w:r>
              <w:rPr>
                <w:b/>
                <w:spacing w:val="-2"/>
                <w:sz w:val="16"/>
              </w:rPr>
              <w:t> </w:t>
            </w:r>
            <w:r>
              <w:rPr>
                <w:b/>
                <w:sz w:val="16"/>
              </w:rPr>
              <w:t>capacitadas</w:t>
            </w:r>
            <w:r>
              <w:rPr>
                <w:b/>
                <w:spacing w:val="-3"/>
                <w:sz w:val="16"/>
              </w:rPr>
              <w:t> </w:t>
            </w:r>
            <w:r>
              <w:rPr>
                <w:b/>
                <w:sz w:val="16"/>
              </w:rPr>
              <w:t>para</w:t>
            </w:r>
            <w:r>
              <w:rPr>
                <w:b/>
                <w:spacing w:val="-6"/>
                <w:sz w:val="16"/>
              </w:rPr>
              <w:t> </w:t>
            </w:r>
            <w:r>
              <w:rPr>
                <w:b/>
                <w:sz w:val="16"/>
              </w:rPr>
              <w:t>desarrollar estrategias</w:t>
            </w:r>
            <w:r>
              <w:rPr>
                <w:b/>
                <w:spacing w:val="3"/>
                <w:sz w:val="16"/>
              </w:rPr>
              <w:t> </w:t>
            </w:r>
            <w:r>
              <w:rPr>
                <w:b/>
                <w:sz w:val="16"/>
              </w:rPr>
              <w:t>integrales</w:t>
            </w:r>
            <w:r>
              <w:rPr>
                <w:b/>
                <w:spacing w:val="-3"/>
                <w:sz w:val="16"/>
              </w:rPr>
              <w:t> </w:t>
            </w:r>
            <w:r>
              <w:rPr>
                <w:b/>
                <w:sz w:val="16"/>
              </w:rPr>
              <w:t>a</w:t>
            </w:r>
            <w:r>
              <w:rPr>
                <w:b/>
                <w:spacing w:val="-6"/>
                <w:sz w:val="16"/>
              </w:rPr>
              <w:t> </w:t>
            </w:r>
            <w:r>
              <w:rPr>
                <w:b/>
                <w:sz w:val="16"/>
              </w:rPr>
              <w:t>nivel</w:t>
            </w:r>
            <w:r>
              <w:rPr>
                <w:b/>
                <w:spacing w:val="-6"/>
                <w:sz w:val="16"/>
              </w:rPr>
              <w:t> </w:t>
            </w:r>
            <w:r>
              <w:rPr>
                <w:b/>
                <w:sz w:val="16"/>
              </w:rPr>
              <w:t>regional</w:t>
            </w:r>
            <w:r>
              <w:rPr>
                <w:b/>
                <w:spacing w:val="-6"/>
                <w:sz w:val="16"/>
              </w:rPr>
              <w:t> </w:t>
            </w:r>
            <w:r>
              <w:rPr>
                <w:b/>
                <w:sz w:val="16"/>
              </w:rPr>
              <w:t>y</w:t>
            </w:r>
            <w:r>
              <w:rPr>
                <w:b/>
                <w:spacing w:val="-3"/>
                <w:sz w:val="16"/>
              </w:rPr>
              <w:t> </w:t>
            </w:r>
            <w:r>
              <w:rPr>
                <w:b/>
                <w:sz w:val="16"/>
              </w:rPr>
              <w:t>territorial.</w:t>
            </w:r>
            <w:r>
              <w:rPr>
                <w:b/>
                <w:spacing w:val="-2"/>
                <w:sz w:val="16"/>
              </w:rPr>
              <w:t> </w:t>
            </w:r>
            <w:r>
              <w:rPr>
                <w:b/>
                <w:sz w:val="16"/>
              </w:rPr>
              <w:t>E3</w:t>
            </w:r>
            <w:r>
              <w:rPr>
                <w:b/>
                <w:spacing w:val="-3"/>
                <w:sz w:val="16"/>
              </w:rPr>
              <w:t> </w:t>
            </w:r>
            <w:r>
              <w:rPr>
                <w:b/>
                <w:sz w:val="16"/>
              </w:rPr>
              <w:t>AE8</w:t>
            </w:r>
            <w:r>
              <w:rPr>
                <w:b/>
                <w:spacing w:val="-3"/>
                <w:sz w:val="16"/>
              </w:rPr>
              <w:t> </w:t>
            </w:r>
            <w:r>
              <w:rPr>
                <w:b/>
                <w:spacing w:val="-5"/>
                <w:sz w:val="16"/>
              </w:rPr>
              <w:t>R2</w:t>
            </w:r>
          </w:p>
        </w:tc>
      </w:tr>
      <w:tr>
        <w:trPr>
          <w:trHeight w:val="1838"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1.44.1:</w:t>
            </w:r>
          </w:p>
          <w:p>
            <w:pPr>
              <w:pStyle w:val="TableParagraph"/>
              <w:ind w:left="72" w:right="77"/>
              <w:rPr>
                <w:sz w:val="16"/>
              </w:rPr>
            </w:pPr>
            <w:r>
              <w:rPr>
                <w:sz w:val="16"/>
              </w:rPr>
              <w:t>Implementación del plan de capacitación dirigido a las UIPER, para el desarrollo de estrategias</w:t>
            </w:r>
            <w:r>
              <w:rPr>
                <w:spacing w:val="-12"/>
                <w:sz w:val="16"/>
              </w:rPr>
              <w:t> </w:t>
            </w:r>
            <w:r>
              <w:rPr>
                <w:sz w:val="16"/>
              </w:rPr>
              <w:t>integrales a nivel regional y</w:t>
            </w:r>
          </w:p>
          <w:p>
            <w:pPr>
              <w:pStyle w:val="TableParagraph"/>
              <w:spacing w:line="188" w:lineRule="exact"/>
              <w:ind w:left="72"/>
              <w:rPr>
                <w:sz w:val="16"/>
              </w:rPr>
            </w:pPr>
            <w:r>
              <w:rPr>
                <w:sz w:val="16"/>
              </w:rPr>
              <w:t>territorial</w:t>
            </w:r>
            <w:r>
              <w:rPr>
                <w:spacing w:val="-12"/>
                <w:sz w:val="16"/>
              </w:rPr>
              <w:t> </w:t>
            </w:r>
            <w:r>
              <w:rPr>
                <w:sz w:val="16"/>
              </w:rPr>
              <w:t>(vinculado</w:t>
            </w:r>
            <w:r>
              <w:rPr>
                <w:spacing w:val="-11"/>
                <w:sz w:val="16"/>
              </w:rPr>
              <w:t> </w:t>
            </w:r>
            <w:r>
              <w:rPr>
                <w:sz w:val="16"/>
              </w:rPr>
              <w:t>a PEI 3.8.2).</w:t>
            </w:r>
          </w:p>
        </w:tc>
        <w:tc>
          <w:tcPr>
            <w:tcW w:w="1278" w:type="dxa"/>
          </w:tcPr>
          <w:p>
            <w:pPr>
              <w:pStyle w:val="TableParagraph"/>
              <w:spacing w:before="181"/>
              <w:ind w:left="72" w:right="200"/>
              <w:rPr>
                <w:sz w:val="16"/>
              </w:rPr>
            </w:pPr>
            <w:r>
              <w:rPr>
                <w:sz w:val="16"/>
              </w:rPr>
              <w:t>Porcentaje</w:t>
            </w:r>
            <w:r>
              <w:rPr>
                <w:spacing w:val="-12"/>
                <w:sz w:val="16"/>
              </w:rPr>
              <w:t> </w:t>
            </w:r>
            <w:r>
              <w:rPr>
                <w:sz w:val="16"/>
              </w:rPr>
              <w:t>de </w:t>
            </w:r>
            <w:r>
              <w:rPr>
                <w:spacing w:val="-2"/>
                <w:sz w:val="16"/>
              </w:rPr>
              <w:t>UIPER</w:t>
            </w:r>
          </w:p>
          <w:p>
            <w:pPr>
              <w:pStyle w:val="TableParagraph"/>
              <w:spacing w:before="1"/>
              <w:ind w:left="72" w:right="79"/>
              <w:rPr>
                <w:sz w:val="16"/>
              </w:rPr>
            </w:pPr>
            <w:r>
              <w:rPr>
                <w:spacing w:val="-2"/>
                <w:sz w:val="16"/>
              </w:rPr>
              <w:t>capacitadas para</w:t>
            </w:r>
            <w:r>
              <w:rPr>
                <w:spacing w:val="-10"/>
                <w:sz w:val="16"/>
              </w:rPr>
              <w:t> </w:t>
            </w:r>
            <w:r>
              <w:rPr>
                <w:spacing w:val="-2"/>
                <w:sz w:val="16"/>
              </w:rPr>
              <w:t>desarrollar estrategias </w:t>
            </w:r>
            <w:r>
              <w:rPr>
                <w:sz w:val="16"/>
              </w:rPr>
              <w:t>integrales a nivel regional y </w:t>
            </w:r>
            <w:r>
              <w:rPr>
                <w:spacing w:val="-2"/>
                <w:sz w:val="16"/>
              </w:rPr>
              <w:t>territorial</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right="1"/>
              <w:jc w:val="center"/>
              <w:rPr>
                <w:sz w:val="16"/>
              </w:rPr>
            </w:pPr>
            <w:r>
              <w:rPr>
                <w:spacing w:val="-5"/>
                <w:sz w:val="16"/>
              </w:rPr>
              <w:t>15%</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16" w:right="19"/>
              <w:jc w:val="center"/>
              <w:rPr>
                <w:sz w:val="16"/>
              </w:rPr>
            </w:pPr>
            <w:r>
              <w:rPr>
                <w:spacing w:val="-5"/>
                <w:sz w:val="16"/>
              </w:rPr>
              <w:t>30%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4" w:right="1"/>
              <w:jc w:val="center"/>
              <w:rPr>
                <w:sz w:val="16"/>
              </w:rPr>
            </w:pPr>
            <w:r>
              <w:rPr>
                <w:spacing w:val="-5"/>
                <w:sz w:val="16"/>
              </w:rPr>
              <w:t>50%</w:t>
            </w:r>
          </w:p>
        </w:tc>
        <w:tc>
          <w:tcPr>
            <w:tcW w:w="1494" w:type="dxa"/>
          </w:tcPr>
          <w:p>
            <w:pPr>
              <w:pStyle w:val="TableParagraph"/>
              <w:rPr>
                <w:rFonts w:ascii="Times New Roman"/>
                <w:sz w:val="16"/>
              </w:rPr>
            </w:pPr>
          </w:p>
        </w:tc>
      </w:tr>
      <w:tr>
        <w:trPr>
          <w:trHeight w:val="471" w:hRule="atLeast"/>
        </w:trPr>
        <w:tc>
          <w:tcPr>
            <w:tcW w:w="14323" w:type="dxa"/>
            <w:gridSpan w:val="10"/>
            <w:shd w:val="clear" w:color="auto" w:fill="EFF8F9"/>
          </w:tcPr>
          <w:p>
            <w:pPr>
              <w:pStyle w:val="TableParagraph"/>
              <w:spacing w:before="46"/>
              <w:ind w:left="72" w:right="182"/>
              <w:rPr>
                <w:b/>
                <w:sz w:val="16"/>
              </w:rPr>
            </w:pPr>
            <w:r>
              <w:rPr>
                <w:b/>
                <w:sz w:val="16"/>
              </w:rPr>
              <w:t>Producto</w:t>
            </w:r>
            <w:r>
              <w:rPr>
                <w:b/>
                <w:spacing w:val="-1"/>
                <w:sz w:val="16"/>
              </w:rPr>
              <w:t> </w:t>
            </w:r>
            <w:r>
              <w:rPr>
                <w:b/>
                <w:sz w:val="16"/>
              </w:rPr>
              <w:t>PPPS 1.45:</w:t>
            </w:r>
            <w:r>
              <w:rPr>
                <w:b/>
                <w:spacing w:val="-5"/>
                <w:sz w:val="16"/>
              </w:rPr>
              <w:t> </w:t>
            </w:r>
            <w:r>
              <w:rPr>
                <w:b/>
                <w:sz w:val="16"/>
              </w:rPr>
              <w:t>UIPER</w:t>
            </w:r>
            <w:r>
              <w:rPr>
                <w:b/>
                <w:spacing w:val="-4"/>
                <w:sz w:val="16"/>
              </w:rPr>
              <w:t> </w:t>
            </w:r>
            <w:r>
              <w:rPr>
                <w:b/>
                <w:sz w:val="16"/>
              </w:rPr>
              <w:t>posicionadas</w:t>
            </w:r>
            <w:r>
              <w:rPr>
                <w:b/>
                <w:spacing w:val="-2"/>
                <w:sz w:val="16"/>
              </w:rPr>
              <w:t> </w:t>
            </w:r>
            <w:r>
              <w:rPr>
                <w:b/>
                <w:sz w:val="16"/>
              </w:rPr>
              <w:t>como</w:t>
            </w:r>
            <w:r>
              <w:rPr>
                <w:b/>
                <w:spacing w:val="-1"/>
                <w:sz w:val="16"/>
              </w:rPr>
              <w:t> </w:t>
            </w:r>
            <w:r>
              <w:rPr>
                <w:b/>
                <w:sz w:val="16"/>
              </w:rPr>
              <w:t>entes</w:t>
            </w:r>
            <w:r>
              <w:rPr>
                <w:b/>
                <w:spacing w:val="-2"/>
                <w:sz w:val="16"/>
              </w:rPr>
              <w:t> </w:t>
            </w:r>
            <w:r>
              <w:rPr>
                <w:b/>
                <w:sz w:val="16"/>
              </w:rPr>
              <w:t>especializados</w:t>
            </w:r>
            <w:r>
              <w:rPr>
                <w:b/>
                <w:spacing w:val="-2"/>
                <w:sz w:val="16"/>
              </w:rPr>
              <w:t> </w:t>
            </w:r>
            <w:r>
              <w:rPr>
                <w:b/>
                <w:sz w:val="16"/>
              </w:rPr>
              <w:t>para</w:t>
            </w:r>
            <w:r>
              <w:rPr>
                <w:b/>
                <w:spacing w:val="-2"/>
                <w:sz w:val="16"/>
              </w:rPr>
              <w:t> </w:t>
            </w:r>
            <w:r>
              <w:rPr>
                <w:b/>
                <w:sz w:val="16"/>
              </w:rPr>
              <w:t>la</w:t>
            </w:r>
            <w:r>
              <w:rPr>
                <w:b/>
                <w:spacing w:val="-2"/>
                <w:sz w:val="16"/>
              </w:rPr>
              <w:t> </w:t>
            </w:r>
            <w:r>
              <w:rPr>
                <w:b/>
                <w:sz w:val="16"/>
              </w:rPr>
              <w:t>articulación</w:t>
            </w:r>
            <w:r>
              <w:rPr>
                <w:b/>
                <w:spacing w:val="-1"/>
                <w:sz w:val="16"/>
              </w:rPr>
              <w:t> </w:t>
            </w:r>
            <w:r>
              <w:rPr>
                <w:b/>
                <w:sz w:val="16"/>
              </w:rPr>
              <w:t>en</w:t>
            </w:r>
            <w:r>
              <w:rPr>
                <w:b/>
                <w:spacing w:val="-5"/>
                <w:sz w:val="16"/>
              </w:rPr>
              <w:t> </w:t>
            </w:r>
            <w:r>
              <w:rPr>
                <w:b/>
                <w:sz w:val="16"/>
              </w:rPr>
              <w:t>espacios</w:t>
            </w:r>
            <w:r>
              <w:rPr>
                <w:b/>
                <w:spacing w:val="-5"/>
                <w:sz w:val="16"/>
              </w:rPr>
              <w:t> </w:t>
            </w:r>
            <w:r>
              <w:rPr>
                <w:b/>
                <w:sz w:val="16"/>
              </w:rPr>
              <w:t>regionales</w:t>
            </w:r>
            <w:r>
              <w:rPr>
                <w:b/>
                <w:spacing w:val="-5"/>
                <w:sz w:val="16"/>
              </w:rPr>
              <w:t> </w:t>
            </w:r>
            <w:r>
              <w:rPr>
                <w:b/>
                <w:sz w:val="16"/>
              </w:rPr>
              <w:t>y</w:t>
            </w:r>
            <w:r>
              <w:rPr>
                <w:b/>
                <w:spacing w:val="-2"/>
                <w:sz w:val="16"/>
              </w:rPr>
              <w:t> </w:t>
            </w:r>
            <w:r>
              <w:rPr>
                <w:b/>
                <w:sz w:val="16"/>
              </w:rPr>
              <w:t>locales,</w:t>
            </w:r>
            <w:r>
              <w:rPr>
                <w:b/>
                <w:spacing w:val="-5"/>
                <w:sz w:val="16"/>
              </w:rPr>
              <w:t> </w:t>
            </w:r>
            <w:r>
              <w:rPr>
                <w:b/>
                <w:sz w:val="16"/>
              </w:rPr>
              <w:t>que promuevan</w:t>
            </w:r>
            <w:r>
              <w:rPr>
                <w:b/>
                <w:spacing w:val="-5"/>
                <w:sz w:val="16"/>
              </w:rPr>
              <w:t> </w:t>
            </w:r>
            <w:r>
              <w:rPr>
                <w:b/>
                <w:sz w:val="16"/>
              </w:rPr>
              <w:t>la</w:t>
            </w:r>
            <w:r>
              <w:rPr>
                <w:b/>
                <w:spacing w:val="-5"/>
                <w:sz w:val="16"/>
              </w:rPr>
              <w:t> </w:t>
            </w:r>
            <w:r>
              <w:rPr>
                <w:b/>
                <w:sz w:val="16"/>
              </w:rPr>
              <w:t>inclusión</w:t>
            </w:r>
            <w:r>
              <w:rPr>
                <w:b/>
                <w:spacing w:val="-1"/>
                <w:sz w:val="16"/>
              </w:rPr>
              <w:t> </w:t>
            </w:r>
            <w:r>
              <w:rPr>
                <w:b/>
                <w:sz w:val="16"/>
              </w:rPr>
              <w:t>social</w:t>
            </w:r>
            <w:r>
              <w:rPr>
                <w:b/>
                <w:spacing w:val="-1"/>
                <w:sz w:val="16"/>
              </w:rPr>
              <w:t> </w:t>
            </w:r>
            <w:r>
              <w:rPr>
                <w:b/>
                <w:sz w:val="16"/>
              </w:rPr>
              <w:t>de</w:t>
            </w:r>
            <w:r>
              <w:rPr>
                <w:b/>
                <w:spacing w:val="-2"/>
                <w:sz w:val="16"/>
              </w:rPr>
              <w:t> </w:t>
            </w:r>
            <w:r>
              <w:rPr>
                <w:b/>
                <w:sz w:val="16"/>
              </w:rPr>
              <w:t>la</w:t>
            </w:r>
            <w:r>
              <w:rPr>
                <w:b/>
                <w:spacing w:val="-2"/>
                <w:sz w:val="16"/>
              </w:rPr>
              <w:t> </w:t>
            </w:r>
            <w:r>
              <w:rPr>
                <w:b/>
                <w:sz w:val="16"/>
              </w:rPr>
              <w:t>población</w:t>
            </w:r>
            <w:r>
              <w:rPr>
                <w:b/>
                <w:spacing w:val="-1"/>
                <w:sz w:val="16"/>
              </w:rPr>
              <w:t> </w:t>
            </w:r>
            <w:r>
              <w:rPr>
                <w:b/>
                <w:sz w:val="16"/>
              </w:rPr>
              <w:t>en situación de pobreza. E3 AE9 R1</w:t>
            </w:r>
          </w:p>
        </w:tc>
      </w:tr>
      <w:tr>
        <w:trPr>
          <w:trHeight w:val="1843"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1.45.1:</w:t>
            </w:r>
          </w:p>
          <w:p>
            <w:pPr>
              <w:pStyle w:val="TableParagraph"/>
              <w:ind w:left="72" w:right="88"/>
              <w:rPr>
                <w:sz w:val="16"/>
              </w:rPr>
            </w:pPr>
            <w:r>
              <w:rPr>
                <w:sz w:val="16"/>
              </w:rPr>
              <w:t>Lineamiento</w:t>
            </w:r>
            <w:r>
              <w:rPr>
                <w:spacing w:val="-2"/>
                <w:sz w:val="16"/>
              </w:rPr>
              <w:t> </w:t>
            </w:r>
            <w:r>
              <w:rPr>
                <w:sz w:val="16"/>
              </w:rPr>
              <w:t>por</w:t>
            </w:r>
            <w:r>
              <w:rPr>
                <w:spacing w:val="40"/>
                <w:sz w:val="16"/>
              </w:rPr>
              <w:t> </w:t>
            </w:r>
            <w:r>
              <w:rPr>
                <w:sz w:val="16"/>
              </w:rPr>
              <w:t>parte</w:t>
            </w:r>
            <w:r>
              <w:rPr>
                <w:spacing w:val="-3"/>
                <w:sz w:val="16"/>
              </w:rPr>
              <w:t> </w:t>
            </w:r>
            <w:r>
              <w:rPr>
                <w:sz w:val="16"/>
              </w:rPr>
              <w:t>de</w:t>
            </w:r>
            <w:r>
              <w:rPr>
                <w:spacing w:val="-3"/>
                <w:sz w:val="16"/>
              </w:rPr>
              <w:t> </w:t>
            </w:r>
            <w:r>
              <w:rPr>
                <w:sz w:val="16"/>
              </w:rPr>
              <w:t>la</w:t>
            </w:r>
            <w:r>
              <w:rPr>
                <w:spacing w:val="-3"/>
                <w:sz w:val="16"/>
              </w:rPr>
              <w:t> </w:t>
            </w:r>
            <w:r>
              <w:rPr>
                <w:sz w:val="16"/>
              </w:rPr>
              <w:t>DDS</w:t>
            </w:r>
            <w:r>
              <w:rPr>
                <w:spacing w:val="-1"/>
                <w:sz w:val="16"/>
              </w:rPr>
              <w:t> </w:t>
            </w:r>
            <w:r>
              <w:rPr>
                <w:sz w:val="16"/>
              </w:rPr>
              <w:t>para la</w:t>
            </w:r>
            <w:r>
              <w:rPr>
                <w:spacing w:val="-12"/>
                <w:sz w:val="16"/>
              </w:rPr>
              <w:t> </w:t>
            </w:r>
            <w:r>
              <w:rPr>
                <w:sz w:val="16"/>
              </w:rPr>
              <w:t>participación</w:t>
            </w:r>
            <w:r>
              <w:rPr>
                <w:spacing w:val="-11"/>
                <w:sz w:val="16"/>
              </w:rPr>
              <w:t> </w:t>
            </w:r>
            <w:r>
              <w:rPr>
                <w:sz w:val="16"/>
              </w:rPr>
              <w:t>de</w:t>
            </w:r>
            <w:r>
              <w:rPr>
                <w:spacing w:val="-11"/>
                <w:sz w:val="16"/>
              </w:rPr>
              <w:t> </w:t>
            </w:r>
            <w:r>
              <w:rPr>
                <w:sz w:val="16"/>
              </w:rPr>
              <w:t>las UIPER en espacios regionales y </w:t>
            </w:r>
            <w:r>
              <w:rPr>
                <w:spacing w:val="-2"/>
                <w:sz w:val="16"/>
              </w:rPr>
              <w:t>territoriales</w:t>
            </w:r>
            <w:r>
              <w:rPr>
                <w:spacing w:val="40"/>
                <w:sz w:val="16"/>
              </w:rPr>
              <w:t> </w:t>
            </w:r>
            <w:r>
              <w:rPr>
                <w:sz w:val="16"/>
              </w:rPr>
              <w:t>(vinculado a PEI</w:t>
            </w:r>
          </w:p>
          <w:p>
            <w:pPr>
              <w:pStyle w:val="TableParagraph"/>
              <w:spacing w:line="167" w:lineRule="exact"/>
              <w:ind w:left="72"/>
              <w:rPr>
                <w:sz w:val="16"/>
              </w:rPr>
            </w:pPr>
            <w:r>
              <w:rPr>
                <w:spacing w:val="-2"/>
                <w:sz w:val="16"/>
              </w:rPr>
              <w:t>3.9.1).</w:t>
            </w:r>
          </w:p>
        </w:tc>
        <w:tc>
          <w:tcPr>
            <w:tcW w:w="1278" w:type="dxa"/>
          </w:tcPr>
          <w:p>
            <w:pPr>
              <w:pStyle w:val="TableParagraph"/>
              <w:ind w:left="72" w:right="80"/>
              <w:rPr>
                <w:sz w:val="16"/>
              </w:rPr>
            </w:pPr>
            <w:r>
              <w:rPr>
                <w:sz w:val="16"/>
              </w:rPr>
              <w:t>Porcentaje de avance del diseño del </w:t>
            </w:r>
            <w:r>
              <w:rPr>
                <w:spacing w:val="-2"/>
                <w:sz w:val="16"/>
              </w:rPr>
              <w:t>lineamiento </w:t>
            </w:r>
            <w:r>
              <w:rPr>
                <w:sz w:val="16"/>
              </w:rPr>
              <w:t>para</w:t>
            </w:r>
            <w:r>
              <w:rPr>
                <w:spacing w:val="-2"/>
                <w:sz w:val="16"/>
              </w:rPr>
              <w:t> </w:t>
            </w:r>
            <w:r>
              <w:rPr>
                <w:sz w:val="16"/>
              </w:rPr>
              <w:t>la </w:t>
            </w:r>
            <w:r>
              <w:rPr>
                <w:spacing w:val="-2"/>
                <w:sz w:val="16"/>
              </w:rPr>
              <w:t>participación</w:t>
            </w:r>
            <w:r>
              <w:rPr>
                <w:spacing w:val="-10"/>
                <w:sz w:val="16"/>
              </w:rPr>
              <w:t> </w:t>
            </w:r>
            <w:r>
              <w:rPr>
                <w:spacing w:val="-2"/>
                <w:sz w:val="16"/>
              </w:rPr>
              <w:t>de </w:t>
            </w:r>
            <w:r>
              <w:rPr>
                <w:sz w:val="16"/>
              </w:rPr>
              <w:t>UIPER en</w:t>
            </w:r>
          </w:p>
          <w:p>
            <w:pPr>
              <w:pStyle w:val="TableParagraph"/>
              <w:spacing w:line="183" w:lineRule="exact"/>
              <w:ind w:left="72"/>
              <w:rPr>
                <w:sz w:val="16"/>
              </w:rPr>
            </w:pPr>
            <w:r>
              <w:rPr>
                <w:spacing w:val="-2"/>
                <w:sz w:val="16"/>
              </w:rPr>
              <w:t>espacios</w:t>
            </w:r>
          </w:p>
          <w:p>
            <w:pPr>
              <w:pStyle w:val="TableParagraph"/>
              <w:spacing w:line="182" w:lineRule="exact"/>
              <w:ind w:left="72"/>
              <w:rPr>
                <w:sz w:val="16"/>
              </w:rPr>
            </w:pPr>
            <w:r>
              <w:rPr>
                <w:spacing w:val="-2"/>
                <w:sz w:val="16"/>
              </w:rPr>
              <w:t>regionales</w:t>
            </w:r>
            <w:r>
              <w:rPr>
                <w:spacing w:val="-10"/>
                <w:sz w:val="16"/>
              </w:rPr>
              <w:t> </w:t>
            </w:r>
            <w:r>
              <w:rPr>
                <w:spacing w:val="-2"/>
                <w:sz w:val="16"/>
              </w:rPr>
              <w:t>y territoriales.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left="21" w:right="13"/>
              <w:jc w:val="center"/>
              <w:rPr>
                <w:sz w:val="16"/>
              </w:rPr>
            </w:pPr>
            <w:r>
              <w:rPr>
                <w:spacing w:val="-4"/>
                <w:sz w:val="16"/>
              </w:rPr>
              <w:t>100%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spacing w:before="1"/>
              <w:ind w:left="4" w:right="1"/>
              <w:jc w:val="center"/>
              <w:rPr>
                <w:sz w:val="16"/>
              </w:rPr>
            </w:pPr>
            <w:r>
              <w:rPr>
                <w:spacing w:val="-4"/>
                <w:sz w:val="16"/>
              </w:rPr>
              <w:t>100%</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467"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2395"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1.45.2:</w:t>
            </w:r>
          </w:p>
          <w:p>
            <w:pPr>
              <w:pStyle w:val="TableParagraph"/>
              <w:ind w:left="72" w:right="77"/>
              <w:rPr>
                <w:sz w:val="16"/>
              </w:rPr>
            </w:pPr>
            <w:r>
              <w:rPr>
                <w:sz w:val="16"/>
              </w:rPr>
              <w:t>UIPER posicionadas a nivel regional y territorial a partir de su participación en espacios de articulación</w:t>
            </w:r>
            <w:r>
              <w:rPr>
                <w:spacing w:val="-2"/>
                <w:sz w:val="16"/>
              </w:rPr>
              <w:t> </w:t>
            </w:r>
            <w:r>
              <w:rPr>
                <w:sz w:val="16"/>
              </w:rPr>
              <w:t>que propicien la inclusión social</w:t>
            </w:r>
            <w:r>
              <w:rPr>
                <w:spacing w:val="-12"/>
                <w:sz w:val="16"/>
              </w:rPr>
              <w:t> </w:t>
            </w:r>
            <w:r>
              <w:rPr>
                <w:sz w:val="16"/>
              </w:rPr>
              <w:t>de</w:t>
            </w:r>
            <w:r>
              <w:rPr>
                <w:spacing w:val="-11"/>
                <w:sz w:val="16"/>
              </w:rPr>
              <w:t> </w:t>
            </w:r>
            <w:r>
              <w:rPr>
                <w:sz w:val="16"/>
              </w:rPr>
              <w:t>la</w:t>
            </w:r>
            <w:r>
              <w:rPr>
                <w:spacing w:val="-11"/>
                <w:sz w:val="16"/>
              </w:rPr>
              <w:t> </w:t>
            </w:r>
            <w:r>
              <w:rPr>
                <w:sz w:val="16"/>
              </w:rPr>
              <w:t>población en situación de pobreza (vinculado</w:t>
            </w:r>
            <w:r>
              <w:rPr>
                <w:spacing w:val="-1"/>
                <w:sz w:val="16"/>
              </w:rPr>
              <w:t> </w:t>
            </w:r>
            <w:r>
              <w:rPr>
                <w:sz w:val="16"/>
              </w:rPr>
              <w:t>a</w:t>
            </w:r>
          </w:p>
          <w:p>
            <w:pPr>
              <w:pStyle w:val="TableParagraph"/>
              <w:spacing w:line="167" w:lineRule="exact"/>
              <w:ind w:left="72"/>
              <w:rPr>
                <w:sz w:val="16"/>
              </w:rPr>
            </w:pPr>
            <w:r>
              <w:rPr>
                <w:sz w:val="16"/>
              </w:rPr>
              <w:t>PEI</w:t>
            </w:r>
            <w:r>
              <w:rPr>
                <w:spacing w:val="-1"/>
                <w:sz w:val="16"/>
              </w:rPr>
              <w:t> </w:t>
            </w:r>
            <w:r>
              <w:rPr>
                <w:spacing w:val="-2"/>
                <w:sz w:val="16"/>
              </w:rPr>
              <w:t>3.9.1).</w:t>
            </w:r>
          </w:p>
        </w:tc>
        <w:tc>
          <w:tcPr>
            <w:tcW w:w="1278" w:type="dxa"/>
          </w:tcPr>
          <w:p>
            <w:pPr>
              <w:pStyle w:val="TableParagraph"/>
              <w:spacing w:line="244" w:lineRule="auto"/>
              <w:ind w:left="72" w:right="200"/>
              <w:rPr>
                <w:sz w:val="16"/>
              </w:rPr>
            </w:pPr>
            <w:r>
              <w:rPr>
                <w:sz w:val="16"/>
              </w:rPr>
              <w:t>Porcentaje</w:t>
            </w:r>
            <w:r>
              <w:rPr>
                <w:spacing w:val="-12"/>
                <w:sz w:val="16"/>
              </w:rPr>
              <w:t> </w:t>
            </w:r>
            <w:r>
              <w:rPr>
                <w:sz w:val="16"/>
              </w:rPr>
              <w:t>de </w:t>
            </w:r>
            <w:r>
              <w:rPr>
                <w:spacing w:val="-2"/>
                <w:sz w:val="16"/>
              </w:rPr>
              <w:t>UIPER</w:t>
            </w:r>
          </w:p>
          <w:p>
            <w:pPr>
              <w:pStyle w:val="TableParagraph"/>
              <w:ind w:left="72" w:right="103"/>
              <w:rPr>
                <w:sz w:val="16"/>
              </w:rPr>
            </w:pPr>
            <w:r>
              <w:rPr>
                <w:spacing w:val="-2"/>
                <w:sz w:val="16"/>
              </w:rPr>
              <w:t>participando</w:t>
            </w:r>
            <w:r>
              <w:rPr>
                <w:spacing w:val="-10"/>
                <w:sz w:val="16"/>
              </w:rPr>
              <w:t> </w:t>
            </w:r>
            <w:r>
              <w:rPr>
                <w:spacing w:val="-2"/>
                <w:sz w:val="16"/>
              </w:rPr>
              <w:t>en espacios </w:t>
            </w:r>
            <w:r>
              <w:rPr>
                <w:sz w:val="16"/>
              </w:rPr>
              <w:t>regionales y </w:t>
            </w:r>
            <w:r>
              <w:rPr>
                <w:spacing w:val="-2"/>
                <w:sz w:val="16"/>
              </w:rPr>
              <w:t>territoriales </w:t>
            </w:r>
            <w:r>
              <w:rPr>
                <w:sz w:val="16"/>
              </w:rPr>
              <w:t>oficiales y que logran</w:t>
            </w:r>
            <w:r>
              <w:rPr>
                <w:spacing w:val="-6"/>
                <w:sz w:val="16"/>
              </w:rPr>
              <w:t> </w:t>
            </w:r>
            <w:r>
              <w:rPr>
                <w:sz w:val="16"/>
              </w:rPr>
              <w:t>articular acciones para la inclusión social de la </w:t>
            </w:r>
            <w:r>
              <w:rPr>
                <w:spacing w:val="-2"/>
                <w:sz w:val="16"/>
              </w:rPr>
              <w:t>población</w:t>
            </w:r>
          </w:p>
          <w:p>
            <w:pPr>
              <w:pStyle w:val="TableParagraph"/>
              <w:spacing w:line="167" w:lineRule="exact"/>
              <w:ind w:left="72"/>
              <w:rPr>
                <w:sz w:val="16"/>
              </w:rPr>
            </w:pPr>
            <w:r>
              <w:rPr>
                <w:spacing w:val="-2"/>
                <w:sz w:val="16"/>
              </w:rPr>
              <w:t>objetivo.</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21" w:right="12"/>
              <w:jc w:val="center"/>
              <w:rPr>
                <w:sz w:val="16"/>
              </w:rPr>
            </w:pPr>
            <w:r>
              <w:rPr>
                <w:spacing w:val="-5"/>
                <w:sz w:val="16"/>
              </w:rPr>
              <w:t>25%</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right="1"/>
              <w:jc w:val="center"/>
              <w:rPr>
                <w:sz w:val="16"/>
              </w:rPr>
            </w:pPr>
            <w:r>
              <w:rPr>
                <w:spacing w:val="-5"/>
                <w:sz w:val="16"/>
              </w:rPr>
              <w:t>50%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16" w:right="19"/>
              <w:jc w:val="center"/>
              <w:rPr>
                <w:sz w:val="16"/>
              </w:rPr>
            </w:pPr>
            <w:r>
              <w:rPr>
                <w:spacing w:val="-5"/>
                <w:sz w:val="16"/>
              </w:rPr>
              <w:t>75%</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585" w:hRule="atLeast"/>
        </w:trPr>
        <w:tc>
          <w:tcPr>
            <w:tcW w:w="14323" w:type="dxa"/>
            <w:gridSpan w:val="10"/>
            <w:shd w:val="clear" w:color="auto" w:fill="EFF8F9"/>
          </w:tcPr>
          <w:p>
            <w:pPr>
              <w:pStyle w:val="TableParagraph"/>
              <w:spacing w:before="16"/>
              <w:rPr>
                <w:b/>
                <w:sz w:val="16"/>
              </w:rPr>
            </w:pPr>
          </w:p>
          <w:p>
            <w:pPr>
              <w:pStyle w:val="TableParagraph"/>
              <w:ind w:left="72"/>
              <w:rPr>
                <w:b/>
                <w:sz w:val="16"/>
              </w:rPr>
            </w:pPr>
            <w:r>
              <w:rPr>
                <w:b/>
                <w:sz w:val="16"/>
              </w:rPr>
              <w:t>Producto</w:t>
            </w:r>
            <w:r>
              <w:rPr>
                <w:b/>
                <w:spacing w:val="-2"/>
                <w:sz w:val="16"/>
              </w:rPr>
              <w:t> </w:t>
            </w:r>
            <w:r>
              <w:rPr>
                <w:b/>
                <w:sz w:val="16"/>
              </w:rPr>
              <w:t>PPPS 1.46:</w:t>
            </w:r>
            <w:r>
              <w:rPr>
                <w:b/>
                <w:spacing w:val="35"/>
                <w:sz w:val="16"/>
              </w:rPr>
              <w:t> </w:t>
            </w:r>
            <w:r>
              <w:rPr>
                <w:b/>
                <w:sz w:val="16"/>
              </w:rPr>
              <w:t>Evaluar</w:t>
            </w:r>
            <w:r>
              <w:rPr>
                <w:b/>
                <w:spacing w:val="-4"/>
                <w:sz w:val="16"/>
              </w:rPr>
              <w:t> </w:t>
            </w:r>
            <w:r>
              <w:rPr>
                <w:b/>
                <w:sz w:val="16"/>
              </w:rPr>
              <w:t>los</w:t>
            </w:r>
            <w:r>
              <w:rPr>
                <w:b/>
                <w:spacing w:val="-5"/>
                <w:sz w:val="16"/>
              </w:rPr>
              <w:t> </w:t>
            </w:r>
            <w:r>
              <w:rPr>
                <w:b/>
                <w:sz w:val="16"/>
              </w:rPr>
              <w:t>resultados</w:t>
            </w:r>
            <w:r>
              <w:rPr>
                <w:b/>
                <w:spacing w:val="-6"/>
                <w:sz w:val="16"/>
              </w:rPr>
              <w:t> </w:t>
            </w:r>
            <w:r>
              <w:rPr>
                <w:b/>
                <w:sz w:val="16"/>
              </w:rPr>
              <w:t>de</w:t>
            </w:r>
            <w:r>
              <w:rPr>
                <w:b/>
                <w:spacing w:val="-2"/>
                <w:sz w:val="16"/>
              </w:rPr>
              <w:t> </w:t>
            </w:r>
            <w:r>
              <w:rPr>
                <w:b/>
                <w:sz w:val="16"/>
              </w:rPr>
              <w:t>la</w:t>
            </w:r>
            <w:r>
              <w:rPr>
                <w:b/>
                <w:spacing w:val="-2"/>
                <w:sz w:val="16"/>
              </w:rPr>
              <w:t> </w:t>
            </w:r>
            <w:r>
              <w:rPr>
                <w:b/>
                <w:sz w:val="16"/>
              </w:rPr>
              <w:t>coordinación</w:t>
            </w:r>
            <w:r>
              <w:rPr>
                <w:b/>
                <w:spacing w:val="-1"/>
                <w:sz w:val="16"/>
              </w:rPr>
              <w:t> </w:t>
            </w:r>
            <w:r>
              <w:rPr>
                <w:b/>
                <w:sz w:val="16"/>
              </w:rPr>
              <w:t>de</w:t>
            </w:r>
            <w:r>
              <w:rPr>
                <w:b/>
                <w:spacing w:val="-6"/>
                <w:sz w:val="16"/>
              </w:rPr>
              <w:t> </w:t>
            </w:r>
            <w:r>
              <w:rPr>
                <w:b/>
                <w:sz w:val="16"/>
              </w:rPr>
              <w:t>las</w:t>
            </w:r>
            <w:r>
              <w:rPr>
                <w:b/>
                <w:spacing w:val="-2"/>
                <w:sz w:val="16"/>
              </w:rPr>
              <w:t> </w:t>
            </w:r>
            <w:r>
              <w:rPr>
                <w:b/>
                <w:sz w:val="16"/>
              </w:rPr>
              <w:t>UIPER</w:t>
            </w:r>
            <w:r>
              <w:rPr>
                <w:b/>
                <w:spacing w:val="-4"/>
                <w:sz w:val="16"/>
              </w:rPr>
              <w:t> </w:t>
            </w:r>
            <w:r>
              <w:rPr>
                <w:b/>
                <w:sz w:val="16"/>
              </w:rPr>
              <w:t>para</w:t>
            </w:r>
            <w:r>
              <w:rPr>
                <w:b/>
                <w:spacing w:val="-2"/>
                <w:sz w:val="16"/>
              </w:rPr>
              <w:t> </w:t>
            </w:r>
            <w:r>
              <w:rPr>
                <w:b/>
                <w:sz w:val="16"/>
              </w:rPr>
              <w:t>identificar</w:t>
            </w:r>
            <w:r>
              <w:rPr>
                <w:b/>
                <w:spacing w:val="-4"/>
                <w:sz w:val="16"/>
              </w:rPr>
              <w:t> </w:t>
            </w:r>
            <w:r>
              <w:rPr>
                <w:b/>
                <w:sz w:val="16"/>
              </w:rPr>
              <w:t>oportunidades</w:t>
            </w:r>
            <w:r>
              <w:rPr>
                <w:b/>
                <w:spacing w:val="-2"/>
                <w:sz w:val="16"/>
              </w:rPr>
              <w:t> </w:t>
            </w:r>
            <w:r>
              <w:rPr>
                <w:b/>
                <w:sz w:val="16"/>
              </w:rPr>
              <w:t>de</w:t>
            </w:r>
            <w:r>
              <w:rPr>
                <w:b/>
                <w:spacing w:val="-2"/>
                <w:sz w:val="16"/>
              </w:rPr>
              <w:t> </w:t>
            </w:r>
            <w:r>
              <w:rPr>
                <w:b/>
                <w:sz w:val="16"/>
              </w:rPr>
              <w:t>mejora.</w:t>
            </w:r>
            <w:r>
              <w:rPr>
                <w:b/>
                <w:spacing w:val="-2"/>
                <w:sz w:val="16"/>
              </w:rPr>
              <w:t> </w:t>
            </w:r>
            <w:r>
              <w:rPr>
                <w:b/>
                <w:sz w:val="16"/>
              </w:rPr>
              <w:t>E3</w:t>
            </w:r>
            <w:r>
              <w:rPr>
                <w:b/>
                <w:spacing w:val="-2"/>
                <w:sz w:val="16"/>
              </w:rPr>
              <w:t> </w:t>
            </w:r>
            <w:r>
              <w:rPr>
                <w:b/>
                <w:sz w:val="16"/>
              </w:rPr>
              <w:t>AE9</w:t>
            </w:r>
            <w:r>
              <w:rPr>
                <w:b/>
                <w:spacing w:val="9"/>
                <w:sz w:val="16"/>
              </w:rPr>
              <w:t> </w:t>
            </w:r>
            <w:r>
              <w:rPr>
                <w:b/>
                <w:spacing w:val="-5"/>
                <w:sz w:val="16"/>
              </w:rPr>
              <w:t>R2</w:t>
            </w:r>
          </w:p>
        </w:tc>
      </w:tr>
      <w:tr>
        <w:trPr>
          <w:trHeight w:val="2208"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1.46.1:</w:t>
            </w:r>
          </w:p>
          <w:p>
            <w:pPr>
              <w:pStyle w:val="TableParagraph"/>
              <w:ind w:left="72" w:right="130"/>
              <w:rPr>
                <w:sz w:val="16"/>
              </w:rPr>
            </w:pPr>
            <w:r>
              <w:rPr>
                <w:sz w:val="16"/>
              </w:rPr>
              <w:t>Diseño del proceso de evaluación a implementarse</w:t>
            </w:r>
            <w:r>
              <w:rPr>
                <w:spacing w:val="-2"/>
                <w:sz w:val="16"/>
              </w:rPr>
              <w:t> </w:t>
            </w:r>
            <w:r>
              <w:rPr>
                <w:sz w:val="16"/>
              </w:rPr>
              <w:t>para la identificación de los</w:t>
            </w:r>
            <w:r>
              <w:rPr>
                <w:spacing w:val="-6"/>
                <w:sz w:val="16"/>
              </w:rPr>
              <w:t> </w:t>
            </w:r>
            <w:r>
              <w:rPr>
                <w:sz w:val="16"/>
              </w:rPr>
              <w:t>resultados</w:t>
            </w:r>
            <w:r>
              <w:rPr>
                <w:spacing w:val="-6"/>
                <w:sz w:val="16"/>
              </w:rPr>
              <w:t> </w:t>
            </w:r>
            <w:r>
              <w:rPr>
                <w:sz w:val="16"/>
              </w:rPr>
              <w:t>de</w:t>
            </w:r>
            <w:r>
              <w:rPr>
                <w:spacing w:val="-6"/>
                <w:sz w:val="16"/>
              </w:rPr>
              <w:t> </w:t>
            </w:r>
            <w:r>
              <w:rPr>
                <w:sz w:val="16"/>
              </w:rPr>
              <w:t>los procesos de </w:t>
            </w:r>
            <w:r>
              <w:rPr>
                <w:spacing w:val="-2"/>
                <w:sz w:val="16"/>
              </w:rPr>
              <w:t>coordinación </w:t>
            </w:r>
            <w:r>
              <w:rPr>
                <w:sz w:val="16"/>
              </w:rPr>
              <w:t>desarrollados</w:t>
            </w:r>
            <w:r>
              <w:rPr>
                <w:spacing w:val="-12"/>
                <w:sz w:val="16"/>
              </w:rPr>
              <w:t> </w:t>
            </w:r>
            <w:r>
              <w:rPr>
                <w:sz w:val="16"/>
              </w:rPr>
              <w:t>por</w:t>
            </w:r>
            <w:r>
              <w:rPr>
                <w:spacing w:val="-11"/>
                <w:sz w:val="16"/>
              </w:rPr>
              <w:t> </w:t>
            </w:r>
            <w:r>
              <w:rPr>
                <w:sz w:val="16"/>
              </w:rPr>
              <w:t>las</w:t>
            </w:r>
          </w:p>
          <w:p>
            <w:pPr>
              <w:pStyle w:val="TableParagraph"/>
              <w:spacing w:line="182" w:lineRule="exact"/>
              <w:ind w:left="72" w:right="103"/>
              <w:rPr>
                <w:sz w:val="16"/>
              </w:rPr>
            </w:pPr>
            <w:r>
              <w:rPr>
                <w:sz w:val="16"/>
              </w:rPr>
              <w:t>UIPER</w:t>
            </w:r>
            <w:r>
              <w:rPr>
                <w:spacing w:val="-12"/>
                <w:sz w:val="16"/>
              </w:rPr>
              <w:t> </w:t>
            </w:r>
            <w:r>
              <w:rPr>
                <w:sz w:val="16"/>
              </w:rPr>
              <w:t>(vinculado</w:t>
            </w:r>
            <w:r>
              <w:rPr>
                <w:spacing w:val="-11"/>
                <w:sz w:val="16"/>
              </w:rPr>
              <w:t> </w:t>
            </w:r>
            <w:r>
              <w:rPr>
                <w:sz w:val="16"/>
              </w:rPr>
              <w:t>a PEI 3.9.2).</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72" w:right="142"/>
              <w:rPr>
                <w:sz w:val="16"/>
              </w:rPr>
            </w:pPr>
            <w:r>
              <w:rPr>
                <w:sz w:val="16"/>
              </w:rPr>
              <w:t>Cantidad de </w:t>
            </w:r>
            <w:r>
              <w:rPr>
                <w:spacing w:val="-2"/>
                <w:sz w:val="16"/>
              </w:rPr>
              <w:t>evaluaciones realizadas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left="21" w:right="12"/>
              <w:jc w:val="center"/>
              <w:rPr>
                <w:sz w:val="16"/>
              </w:rPr>
            </w:pPr>
            <w:r>
              <w:rPr>
                <w:spacing w:val="-5"/>
                <w:sz w:val="16"/>
              </w:rPr>
              <w:t>50%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2391"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1.46.2:</w:t>
            </w:r>
          </w:p>
          <w:p>
            <w:pPr>
              <w:pStyle w:val="TableParagraph"/>
              <w:ind w:left="72" w:right="128"/>
              <w:rPr>
                <w:sz w:val="16"/>
              </w:rPr>
            </w:pPr>
            <w:r>
              <w:rPr>
                <w:sz w:val="16"/>
              </w:rPr>
              <w:t>Implementación de proceso</w:t>
            </w:r>
            <w:r>
              <w:rPr>
                <w:spacing w:val="-2"/>
                <w:sz w:val="16"/>
              </w:rPr>
              <w:t> </w:t>
            </w:r>
            <w:r>
              <w:rPr>
                <w:sz w:val="16"/>
              </w:rPr>
              <w:t>de evaluación a fin de determinar los resultados de la coordinación</w:t>
            </w:r>
            <w:r>
              <w:rPr>
                <w:spacing w:val="-12"/>
                <w:sz w:val="16"/>
              </w:rPr>
              <w:t> </w:t>
            </w:r>
            <w:r>
              <w:rPr>
                <w:sz w:val="16"/>
              </w:rPr>
              <w:t>de</w:t>
            </w:r>
            <w:r>
              <w:rPr>
                <w:spacing w:val="-11"/>
                <w:sz w:val="16"/>
              </w:rPr>
              <w:t> </w:t>
            </w:r>
            <w:r>
              <w:rPr>
                <w:sz w:val="16"/>
              </w:rPr>
              <w:t>las UIPER para </w:t>
            </w:r>
            <w:r>
              <w:rPr>
                <w:spacing w:val="-2"/>
                <w:sz w:val="16"/>
              </w:rPr>
              <w:t>identificar </w:t>
            </w:r>
            <w:r>
              <w:rPr>
                <w:sz w:val="16"/>
              </w:rPr>
              <w:t>oportunidades de mejora</w:t>
            </w:r>
            <w:r>
              <w:rPr>
                <w:spacing w:val="-12"/>
                <w:sz w:val="16"/>
              </w:rPr>
              <w:t> </w:t>
            </w:r>
            <w:r>
              <w:rPr>
                <w:sz w:val="16"/>
              </w:rPr>
              <w:t>(vinculado</w:t>
            </w:r>
            <w:r>
              <w:rPr>
                <w:spacing w:val="-11"/>
                <w:sz w:val="16"/>
              </w:rPr>
              <w:t> </w:t>
            </w:r>
            <w:r>
              <w:rPr>
                <w:sz w:val="16"/>
              </w:rPr>
              <w:t>a</w:t>
            </w:r>
          </w:p>
          <w:p>
            <w:pPr>
              <w:pStyle w:val="TableParagraph"/>
              <w:spacing w:line="163" w:lineRule="exact"/>
              <w:ind w:left="72"/>
              <w:rPr>
                <w:sz w:val="16"/>
              </w:rPr>
            </w:pPr>
            <w:r>
              <w:rPr>
                <w:sz w:val="16"/>
              </w:rPr>
              <w:t>PEI</w:t>
            </w:r>
            <w:r>
              <w:rPr>
                <w:spacing w:val="-1"/>
                <w:sz w:val="16"/>
              </w:rPr>
              <w:t> </w:t>
            </w:r>
            <w:r>
              <w:rPr>
                <w:spacing w:val="-2"/>
                <w:sz w:val="16"/>
              </w:rPr>
              <w:t>3.9.2).</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72" w:right="142"/>
              <w:rPr>
                <w:sz w:val="16"/>
              </w:rPr>
            </w:pPr>
            <w:r>
              <w:rPr>
                <w:sz w:val="16"/>
              </w:rPr>
              <w:t>Cantidad de </w:t>
            </w:r>
            <w:r>
              <w:rPr>
                <w:spacing w:val="-2"/>
                <w:sz w:val="16"/>
              </w:rPr>
              <w:t>evaluaciones realizadas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16" w:right="19"/>
              <w:jc w:val="center"/>
              <w:rPr>
                <w:sz w:val="16"/>
              </w:rPr>
            </w:pPr>
            <w:r>
              <w:rPr>
                <w:spacing w:val="-10"/>
                <w:sz w:val="16"/>
              </w:rPr>
              <w:t>4</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4" w:right="1"/>
              <w:jc w:val="center"/>
              <w:rPr>
                <w:sz w:val="16"/>
              </w:rPr>
            </w:pPr>
            <w:r>
              <w:rPr>
                <w:spacing w:val="-10"/>
                <w:sz w:val="16"/>
              </w:rPr>
              <w:t>9</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32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209"/>
        <w:gridCol w:w="1278"/>
        <w:gridCol w:w="1278"/>
        <w:gridCol w:w="1561"/>
        <w:gridCol w:w="1134"/>
        <w:gridCol w:w="1561"/>
        <w:gridCol w:w="1277"/>
        <w:gridCol w:w="1700"/>
        <w:gridCol w:w="1345"/>
        <w:gridCol w:w="1494"/>
      </w:tblGrid>
      <w:tr>
        <w:trPr>
          <w:trHeight w:val="316" w:hRule="atLeast"/>
        </w:trPr>
        <w:tc>
          <w:tcPr>
            <w:tcW w:w="1695" w:type="dxa"/>
            <w:gridSpan w:val="2"/>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gridSpan w:val="2"/>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768" w:hRule="atLeast"/>
        </w:trPr>
        <w:tc>
          <w:tcPr>
            <w:tcW w:w="14323" w:type="dxa"/>
            <w:gridSpan w:val="11"/>
            <w:shd w:val="clear" w:color="auto" w:fill="EFF8F9"/>
          </w:tcPr>
          <w:p>
            <w:pPr>
              <w:pStyle w:val="TableParagraph"/>
              <w:spacing w:before="2"/>
              <w:rPr>
                <w:b/>
                <w:sz w:val="16"/>
              </w:rPr>
            </w:pPr>
          </w:p>
          <w:p>
            <w:pPr>
              <w:pStyle w:val="TableParagraph"/>
              <w:ind w:left="72" w:right="95"/>
              <w:rPr>
                <w:b/>
                <w:sz w:val="16"/>
              </w:rPr>
            </w:pPr>
            <w:r>
              <w:rPr>
                <w:b/>
                <w:sz w:val="16"/>
              </w:rPr>
              <w:t>Producto PPPS 1.47:</w:t>
            </w:r>
            <w:r>
              <w:rPr>
                <w:b/>
                <w:spacing w:val="37"/>
                <w:sz w:val="16"/>
              </w:rPr>
              <w:t> </w:t>
            </w:r>
            <w:r>
              <w:rPr>
                <w:b/>
                <w:sz w:val="16"/>
              </w:rPr>
              <w:t>Metodología</w:t>
            </w:r>
            <w:r>
              <w:rPr>
                <w:b/>
                <w:spacing w:val="-1"/>
                <w:sz w:val="16"/>
              </w:rPr>
              <w:t> </w:t>
            </w:r>
            <w:r>
              <w:rPr>
                <w:b/>
                <w:sz w:val="16"/>
              </w:rPr>
              <w:t>elaborada</w:t>
            </w:r>
            <w:r>
              <w:rPr>
                <w:b/>
                <w:spacing w:val="-1"/>
                <w:sz w:val="16"/>
              </w:rPr>
              <w:t> </w:t>
            </w:r>
            <w:r>
              <w:rPr>
                <w:b/>
                <w:sz w:val="16"/>
              </w:rPr>
              <w:t>para</w:t>
            </w:r>
            <w:r>
              <w:rPr>
                <w:b/>
                <w:spacing w:val="-1"/>
                <w:sz w:val="16"/>
              </w:rPr>
              <w:t> </w:t>
            </w:r>
            <w:r>
              <w:rPr>
                <w:b/>
                <w:sz w:val="16"/>
              </w:rPr>
              <w:t>el</w:t>
            </w:r>
            <w:r>
              <w:rPr>
                <w:b/>
                <w:spacing w:val="-4"/>
                <w:sz w:val="16"/>
              </w:rPr>
              <w:t> </w:t>
            </w:r>
            <w:r>
              <w:rPr>
                <w:b/>
                <w:sz w:val="16"/>
              </w:rPr>
              <w:t>desarrollo de</w:t>
            </w:r>
            <w:r>
              <w:rPr>
                <w:b/>
                <w:spacing w:val="-1"/>
                <w:sz w:val="16"/>
              </w:rPr>
              <w:t> </w:t>
            </w:r>
            <w:r>
              <w:rPr>
                <w:b/>
                <w:sz w:val="16"/>
              </w:rPr>
              <w:t>estudios</w:t>
            </w:r>
            <w:r>
              <w:rPr>
                <w:b/>
                <w:spacing w:val="-1"/>
                <w:sz w:val="16"/>
              </w:rPr>
              <w:t> </w:t>
            </w:r>
            <w:r>
              <w:rPr>
                <w:b/>
                <w:sz w:val="16"/>
              </w:rPr>
              <w:t>de</w:t>
            </w:r>
            <w:r>
              <w:rPr>
                <w:b/>
                <w:spacing w:val="-1"/>
                <w:sz w:val="16"/>
              </w:rPr>
              <w:t> </w:t>
            </w:r>
            <w:r>
              <w:rPr>
                <w:b/>
                <w:sz w:val="16"/>
              </w:rPr>
              <w:t>la</w:t>
            </w:r>
            <w:r>
              <w:rPr>
                <w:b/>
                <w:spacing w:val="-1"/>
                <w:sz w:val="16"/>
              </w:rPr>
              <w:t> </w:t>
            </w:r>
            <w:r>
              <w:rPr>
                <w:b/>
                <w:sz w:val="16"/>
              </w:rPr>
              <w:t>realidad social, económica,</w:t>
            </w:r>
            <w:r>
              <w:rPr>
                <w:b/>
                <w:spacing w:val="-4"/>
                <w:sz w:val="16"/>
              </w:rPr>
              <w:t> </w:t>
            </w:r>
            <w:r>
              <w:rPr>
                <w:b/>
                <w:sz w:val="16"/>
              </w:rPr>
              <w:t>regional y</w:t>
            </w:r>
            <w:r>
              <w:rPr>
                <w:b/>
                <w:spacing w:val="-5"/>
                <w:sz w:val="16"/>
              </w:rPr>
              <w:t> </w:t>
            </w:r>
            <w:r>
              <w:rPr>
                <w:b/>
                <w:sz w:val="16"/>
              </w:rPr>
              <w:t>territorial, que</w:t>
            </w:r>
            <w:r>
              <w:rPr>
                <w:b/>
                <w:spacing w:val="-5"/>
                <w:sz w:val="16"/>
              </w:rPr>
              <w:t> </w:t>
            </w:r>
            <w:r>
              <w:rPr>
                <w:b/>
                <w:sz w:val="16"/>
              </w:rPr>
              <w:t>genere</w:t>
            </w:r>
            <w:r>
              <w:rPr>
                <w:b/>
                <w:spacing w:val="-1"/>
                <w:sz w:val="16"/>
              </w:rPr>
              <w:t> </w:t>
            </w:r>
            <w:r>
              <w:rPr>
                <w:b/>
                <w:sz w:val="16"/>
              </w:rPr>
              <w:t>los</w:t>
            </w:r>
            <w:r>
              <w:rPr>
                <w:b/>
                <w:spacing w:val="-5"/>
                <w:sz w:val="16"/>
              </w:rPr>
              <w:t> </w:t>
            </w:r>
            <w:r>
              <w:rPr>
                <w:b/>
                <w:sz w:val="16"/>
              </w:rPr>
              <w:t>insumos</w:t>
            </w:r>
            <w:r>
              <w:rPr>
                <w:b/>
                <w:spacing w:val="-5"/>
                <w:sz w:val="16"/>
              </w:rPr>
              <w:t> </w:t>
            </w:r>
            <w:r>
              <w:rPr>
                <w:b/>
                <w:sz w:val="16"/>
              </w:rPr>
              <w:t>necesarios</w:t>
            </w:r>
            <w:r>
              <w:rPr>
                <w:b/>
                <w:spacing w:val="-1"/>
                <w:sz w:val="16"/>
              </w:rPr>
              <w:t> </w:t>
            </w:r>
            <w:r>
              <w:rPr>
                <w:b/>
                <w:sz w:val="16"/>
              </w:rPr>
              <w:t>para</w:t>
            </w:r>
            <w:r>
              <w:rPr>
                <w:b/>
                <w:spacing w:val="-5"/>
                <w:sz w:val="16"/>
              </w:rPr>
              <w:t> </w:t>
            </w:r>
            <w:r>
              <w:rPr>
                <w:b/>
                <w:sz w:val="16"/>
              </w:rPr>
              <w:t>facilitar</w:t>
            </w:r>
            <w:r>
              <w:rPr>
                <w:b/>
                <w:spacing w:val="-3"/>
                <w:sz w:val="16"/>
              </w:rPr>
              <w:t> </w:t>
            </w:r>
            <w:r>
              <w:rPr>
                <w:b/>
                <w:sz w:val="16"/>
              </w:rPr>
              <w:t>la orientación de la inversión y el desarrollo de la oferta programática. E3 AE10 R1</w:t>
            </w:r>
          </w:p>
        </w:tc>
      </w:tr>
      <w:tr>
        <w:trPr>
          <w:trHeight w:val="1473" w:hRule="atLeast"/>
        </w:trPr>
        <w:tc>
          <w:tcPr>
            <w:tcW w:w="1695" w:type="dxa"/>
            <w:gridSpan w:val="2"/>
          </w:tcPr>
          <w:p>
            <w:pPr>
              <w:pStyle w:val="TableParagraph"/>
              <w:ind w:left="72"/>
              <w:rPr>
                <w:b/>
                <w:sz w:val="16"/>
              </w:rPr>
            </w:pPr>
            <w:r>
              <w:rPr>
                <w:b/>
                <w:spacing w:val="-2"/>
                <w:sz w:val="16"/>
              </w:rPr>
              <w:t>Actividad</w:t>
            </w:r>
            <w:r>
              <w:rPr>
                <w:b/>
                <w:spacing w:val="-10"/>
                <w:sz w:val="16"/>
              </w:rPr>
              <w:t> </w:t>
            </w:r>
            <w:r>
              <w:rPr>
                <w:b/>
                <w:spacing w:val="-2"/>
                <w:sz w:val="16"/>
              </w:rPr>
              <w:t>PPPS 1.47.1:</w:t>
            </w:r>
          </w:p>
          <w:p>
            <w:pPr>
              <w:pStyle w:val="TableParagraph"/>
              <w:ind w:left="72" w:right="103"/>
              <w:rPr>
                <w:sz w:val="16"/>
              </w:rPr>
            </w:pPr>
            <w:r>
              <w:rPr>
                <w:sz w:val="16"/>
              </w:rPr>
              <w:t>Elaboración de estudios de la realidad</w:t>
            </w:r>
            <w:r>
              <w:rPr>
                <w:spacing w:val="-2"/>
                <w:sz w:val="16"/>
              </w:rPr>
              <w:t> </w:t>
            </w:r>
            <w:r>
              <w:rPr>
                <w:sz w:val="16"/>
              </w:rPr>
              <w:t>social, económica, regional</w:t>
            </w:r>
          </w:p>
          <w:p>
            <w:pPr>
              <w:pStyle w:val="TableParagraph"/>
              <w:spacing w:line="182" w:lineRule="exact"/>
              <w:ind w:left="72" w:right="94"/>
              <w:rPr>
                <w:sz w:val="16"/>
              </w:rPr>
            </w:pPr>
            <w:r>
              <w:rPr>
                <w:sz w:val="16"/>
              </w:rPr>
              <w:t>y</w:t>
            </w:r>
            <w:r>
              <w:rPr>
                <w:spacing w:val="-12"/>
                <w:sz w:val="16"/>
              </w:rPr>
              <w:t> </w:t>
            </w:r>
            <w:r>
              <w:rPr>
                <w:sz w:val="16"/>
              </w:rPr>
              <w:t>territorial</w:t>
            </w:r>
            <w:r>
              <w:rPr>
                <w:spacing w:val="-11"/>
                <w:sz w:val="16"/>
              </w:rPr>
              <w:t> </w:t>
            </w:r>
            <w:r>
              <w:rPr>
                <w:sz w:val="16"/>
              </w:rPr>
              <w:t>(vinculado a PEI 3.10.1).</w:t>
            </w:r>
          </w:p>
        </w:tc>
        <w:tc>
          <w:tcPr>
            <w:tcW w:w="1278" w:type="dxa"/>
          </w:tcPr>
          <w:p>
            <w:pPr>
              <w:pStyle w:val="TableParagraph"/>
              <w:rPr>
                <w:b/>
                <w:sz w:val="16"/>
              </w:rPr>
            </w:pPr>
          </w:p>
          <w:p>
            <w:pPr>
              <w:pStyle w:val="TableParagraph"/>
              <w:rPr>
                <w:b/>
                <w:sz w:val="16"/>
              </w:rPr>
            </w:pPr>
          </w:p>
          <w:p>
            <w:pPr>
              <w:pStyle w:val="TableParagraph"/>
              <w:ind w:left="72" w:right="317"/>
              <w:rPr>
                <w:sz w:val="16"/>
              </w:rPr>
            </w:pPr>
            <w:r>
              <w:rPr>
                <w:sz w:val="16"/>
              </w:rPr>
              <w:t>Cantidad</w:t>
            </w:r>
            <w:r>
              <w:rPr>
                <w:spacing w:val="-12"/>
                <w:sz w:val="16"/>
              </w:rPr>
              <w:t> </w:t>
            </w:r>
            <w:r>
              <w:rPr>
                <w:sz w:val="16"/>
              </w:rPr>
              <w:t>de UIPER que aplican</w:t>
            </w:r>
            <w:r>
              <w:rPr>
                <w:spacing w:val="-2"/>
                <w:sz w:val="16"/>
              </w:rPr>
              <w:t> </w:t>
            </w:r>
            <w:r>
              <w:rPr>
                <w:sz w:val="16"/>
              </w:rPr>
              <w:t>la </w:t>
            </w:r>
            <w:r>
              <w:rPr>
                <w:spacing w:val="-2"/>
                <w:sz w:val="16"/>
              </w:rPr>
              <w:t>metodología</w:t>
            </w:r>
          </w:p>
        </w:tc>
        <w:tc>
          <w:tcPr>
            <w:tcW w:w="1278"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21" w:right="12"/>
              <w:jc w:val="center"/>
              <w:rPr>
                <w:sz w:val="16"/>
              </w:rPr>
            </w:pPr>
            <w:r>
              <w:rPr>
                <w:spacing w:val="-10"/>
                <w:sz w:val="16"/>
              </w:rPr>
              <w:t>9</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spacing w:before="90"/>
              <w:rPr>
                <w:b/>
                <w:sz w:val="16"/>
              </w:rPr>
            </w:pPr>
          </w:p>
          <w:p>
            <w:pPr>
              <w:pStyle w:val="TableParagraph"/>
              <w:ind w:right="1"/>
              <w:jc w:val="center"/>
              <w:rPr>
                <w:sz w:val="16"/>
              </w:rPr>
            </w:pPr>
            <w:r>
              <w:rPr>
                <w:spacing w:val="-10"/>
                <w:sz w:val="16"/>
              </w:rPr>
              <w:t>9</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16" w:right="19"/>
              <w:jc w:val="center"/>
              <w:rPr>
                <w:sz w:val="16"/>
              </w:rPr>
            </w:pPr>
            <w:r>
              <w:rPr>
                <w:spacing w:val="-10"/>
                <w:sz w:val="16"/>
              </w:rPr>
              <w:t>9</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4" w:right="1"/>
              <w:jc w:val="center"/>
              <w:rPr>
                <w:sz w:val="16"/>
              </w:rPr>
            </w:pPr>
            <w:r>
              <w:rPr>
                <w:spacing w:val="-10"/>
                <w:sz w:val="16"/>
              </w:rPr>
              <w:t>9</w:t>
            </w:r>
          </w:p>
        </w:tc>
        <w:tc>
          <w:tcPr>
            <w:tcW w:w="1494" w:type="dxa"/>
          </w:tcPr>
          <w:p>
            <w:pPr>
              <w:pStyle w:val="TableParagraph"/>
              <w:rPr>
                <w:rFonts w:ascii="Times New Roman"/>
                <w:sz w:val="16"/>
              </w:rPr>
            </w:pPr>
          </w:p>
        </w:tc>
      </w:tr>
      <w:tr>
        <w:trPr>
          <w:trHeight w:val="1469" w:hRule="atLeast"/>
        </w:trPr>
        <w:tc>
          <w:tcPr>
            <w:tcW w:w="1695" w:type="dxa"/>
            <w:gridSpan w:val="2"/>
          </w:tcPr>
          <w:p>
            <w:pPr>
              <w:pStyle w:val="TableParagraph"/>
              <w:ind w:left="72"/>
              <w:rPr>
                <w:b/>
                <w:sz w:val="16"/>
              </w:rPr>
            </w:pPr>
            <w:r>
              <w:rPr>
                <w:b/>
                <w:spacing w:val="-2"/>
                <w:sz w:val="16"/>
              </w:rPr>
              <w:t>Actividad</w:t>
            </w:r>
            <w:r>
              <w:rPr>
                <w:b/>
                <w:spacing w:val="-10"/>
                <w:sz w:val="16"/>
              </w:rPr>
              <w:t> </w:t>
            </w:r>
            <w:r>
              <w:rPr>
                <w:b/>
                <w:spacing w:val="-2"/>
                <w:sz w:val="16"/>
              </w:rPr>
              <w:t>PPPS 1.47.2:</w:t>
            </w:r>
          </w:p>
          <w:p>
            <w:pPr>
              <w:pStyle w:val="TableParagraph"/>
              <w:ind w:left="72" w:right="103"/>
              <w:rPr>
                <w:sz w:val="16"/>
              </w:rPr>
            </w:pPr>
            <w:r>
              <w:rPr>
                <w:sz w:val="16"/>
              </w:rPr>
              <w:t>Socialización</w:t>
            </w:r>
            <w:r>
              <w:rPr>
                <w:spacing w:val="-2"/>
                <w:sz w:val="16"/>
              </w:rPr>
              <w:t> </w:t>
            </w:r>
            <w:r>
              <w:rPr>
                <w:sz w:val="16"/>
              </w:rPr>
              <w:t>de estudios realizados de la realidad social, económica,</w:t>
            </w:r>
            <w:r>
              <w:rPr>
                <w:spacing w:val="-10"/>
                <w:sz w:val="16"/>
              </w:rPr>
              <w:t> </w:t>
            </w:r>
            <w:r>
              <w:rPr>
                <w:spacing w:val="-2"/>
                <w:sz w:val="16"/>
              </w:rPr>
              <w:t>regional</w:t>
            </w:r>
          </w:p>
          <w:p>
            <w:pPr>
              <w:pStyle w:val="TableParagraph"/>
              <w:spacing w:line="182" w:lineRule="exact"/>
              <w:ind w:left="72" w:right="94"/>
              <w:rPr>
                <w:sz w:val="16"/>
              </w:rPr>
            </w:pPr>
            <w:r>
              <w:rPr>
                <w:sz w:val="16"/>
              </w:rPr>
              <w:t>y</w:t>
            </w:r>
            <w:r>
              <w:rPr>
                <w:spacing w:val="-12"/>
                <w:sz w:val="16"/>
              </w:rPr>
              <w:t> </w:t>
            </w:r>
            <w:r>
              <w:rPr>
                <w:sz w:val="16"/>
              </w:rPr>
              <w:t>territorial</w:t>
            </w:r>
            <w:r>
              <w:rPr>
                <w:spacing w:val="-11"/>
                <w:sz w:val="16"/>
              </w:rPr>
              <w:t> </w:t>
            </w:r>
            <w:r>
              <w:rPr>
                <w:sz w:val="16"/>
              </w:rPr>
              <w:t>(vinculado a PEI 3.10.1).</w:t>
            </w:r>
          </w:p>
        </w:tc>
        <w:tc>
          <w:tcPr>
            <w:tcW w:w="1278" w:type="dxa"/>
          </w:tcPr>
          <w:p>
            <w:pPr>
              <w:pStyle w:val="TableParagraph"/>
              <w:spacing w:before="88"/>
              <w:rPr>
                <w:b/>
                <w:sz w:val="16"/>
              </w:rPr>
            </w:pPr>
          </w:p>
          <w:p>
            <w:pPr>
              <w:pStyle w:val="TableParagraph"/>
              <w:ind w:left="72"/>
              <w:rPr>
                <w:sz w:val="16"/>
              </w:rPr>
            </w:pPr>
            <w:r>
              <w:rPr>
                <w:sz w:val="16"/>
              </w:rPr>
              <w:t>Cantidad de UIPER que </w:t>
            </w:r>
            <w:r>
              <w:rPr>
                <w:spacing w:val="-2"/>
                <w:sz w:val="16"/>
              </w:rPr>
              <w:t>socializaron</w:t>
            </w:r>
            <w:r>
              <w:rPr>
                <w:spacing w:val="-10"/>
                <w:sz w:val="16"/>
              </w:rPr>
              <w:t> </w:t>
            </w:r>
            <w:r>
              <w:rPr>
                <w:spacing w:val="-2"/>
                <w:sz w:val="16"/>
              </w:rPr>
              <w:t>los estudios realizados</w:t>
            </w:r>
          </w:p>
        </w:tc>
        <w:tc>
          <w:tcPr>
            <w:tcW w:w="1278"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21" w:right="12"/>
              <w:jc w:val="center"/>
              <w:rPr>
                <w:sz w:val="16"/>
              </w:rPr>
            </w:pPr>
            <w:r>
              <w:rPr>
                <w:spacing w:val="-10"/>
                <w:sz w:val="16"/>
              </w:rPr>
              <w:t>9</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spacing w:before="90"/>
              <w:rPr>
                <w:b/>
                <w:sz w:val="16"/>
              </w:rPr>
            </w:pPr>
          </w:p>
          <w:p>
            <w:pPr>
              <w:pStyle w:val="TableParagraph"/>
              <w:ind w:right="1"/>
              <w:jc w:val="center"/>
              <w:rPr>
                <w:sz w:val="16"/>
              </w:rPr>
            </w:pPr>
            <w:r>
              <w:rPr>
                <w:spacing w:val="-10"/>
                <w:sz w:val="16"/>
              </w:rPr>
              <w:t>9</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16" w:right="19"/>
              <w:jc w:val="center"/>
              <w:rPr>
                <w:sz w:val="16"/>
              </w:rPr>
            </w:pPr>
            <w:r>
              <w:rPr>
                <w:spacing w:val="-10"/>
                <w:sz w:val="16"/>
              </w:rPr>
              <w:t>9</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4" w:right="1"/>
              <w:jc w:val="center"/>
              <w:rPr>
                <w:sz w:val="16"/>
              </w:rPr>
            </w:pPr>
            <w:r>
              <w:rPr>
                <w:spacing w:val="-10"/>
                <w:sz w:val="16"/>
              </w:rPr>
              <w:t>9</w:t>
            </w:r>
          </w:p>
        </w:tc>
        <w:tc>
          <w:tcPr>
            <w:tcW w:w="1494" w:type="dxa"/>
          </w:tcPr>
          <w:p>
            <w:pPr>
              <w:pStyle w:val="TableParagraph"/>
              <w:rPr>
                <w:rFonts w:ascii="Times New Roman"/>
                <w:sz w:val="16"/>
              </w:rPr>
            </w:pPr>
          </w:p>
        </w:tc>
      </w:tr>
      <w:tr>
        <w:trPr>
          <w:trHeight w:val="2396" w:hRule="atLeast"/>
        </w:trPr>
        <w:tc>
          <w:tcPr>
            <w:tcW w:w="1695" w:type="dxa"/>
            <w:gridSpan w:val="2"/>
          </w:tcPr>
          <w:p>
            <w:pPr>
              <w:pStyle w:val="TableParagraph"/>
              <w:spacing w:line="244" w:lineRule="auto"/>
              <w:ind w:left="72"/>
              <w:rPr>
                <w:b/>
                <w:sz w:val="16"/>
              </w:rPr>
            </w:pPr>
            <w:r>
              <w:rPr>
                <w:b/>
                <w:spacing w:val="-2"/>
                <w:sz w:val="16"/>
              </w:rPr>
              <w:t>Actividad</w:t>
            </w:r>
            <w:r>
              <w:rPr>
                <w:b/>
                <w:spacing w:val="-10"/>
                <w:sz w:val="16"/>
              </w:rPr>
              <w:t> </w:t>
            </w:r>
            <w:r>
              <w:rPr>
                <w:b/>
                <w:spacing w:val="-2"/>
                <w:sz w:val="16"/>
              </w:rPr>
              <w:t>PPPS 1.47.3:</w:t>
            </w:r>
          </w:p>
          <w:p>
            <w:pPr>
              <w:pStyle w:val="TableParagraph"/>
              <w:ind w:left="72" w:right="77"/>
              <w:rPr>
                <w:sz w:val="16"/>
              </w:rPr>
            </w:pPr>
            <w:r>
              <w:rPr>
                <w:sz w:val="16"/>
              </w:rPr>
              <w:t>Elaboración de informe</w:t>
            </w:r>
            <w:r>
              <w:rPr>
                <w:spacing w:val="-12"/>
                <w:sz w:val="16"/>
              </w:rPr>
              <w:t> </w:t>
            </w:r>
            <w:r>
              <w:rPr>
                <w:sz w:val="16"/>
              </w:rPr>
              <w:t>de</w:t>
            </w:r>
            <w:r>
              <w:rPr>
                <w:spacing w:val="-11"/>
                <w:sz w:val="16"/>
              </w:rPr>
              <w:t> </w:t>
            </w:r>
            <w:r>
              <w:rPr>
                <w:sz w:val="16"/>
              </w:rPr>
              <w:t>resultados de la aplicación de la </w:t>
            </w:r>
            <w:r>
              <w:rPr>
                <w:spacing w:val="-2"/>
                <w:sz w:val="16"/>
              </w:rPr>
              <w:t>metodología </w:t>
            </w:r>
            <w:r>
              <w:rPr>
                <w:sz w:val="16"/>
              </w:rPr>
              <w:t>implementada</w:t>
            </w:r>
            <w:r>
              <w:rPr>
                <w:spacing w:val="-12"/>
                <w:sz w:val="16"/>
              </w:rPr>
              <w:t> </w:t>
            </w:r>
            <w:r>
              <w:rPr>
                <w:sz w:val="16"/>
              </w:rPr>
              <w:t>para</w:t>
            </w:r>
            <w:r>
              <w:rPr>
                <w:spacing w:val="-11"/>
                <w:sz w:val="16"/>
              </w:rPr>
              <w:t> </w:t>
            </w:r>
            <w:r>
              <w:rPr>
                <w:sz w:val="16"/>
              </w:rPr>
              <w:t>el desarrollo de</w:t>
            </w:r>
            <w:r>
              <w:rPr>
                <w:spacing w:val="40"/>
                <w:sz w:val="16"/>
              </w:rPr>
              <w:t> </w:t>
            </w:r>
            <w:r>
              <w:rPr>
                <w:sz w:val="16"/>
              </w:rPr>
              <w:t>estudios de la realidad</w:t>
            </w:r>
            <w:r>
              <w:rPr>
                <w:spacing w:val="-2"/>
                <w:sz w:val="16"/>
              </w:rPr>
              <w:t> </w:t>
            </w:r>
            <w:r>
              <w:rPr>
                <w:sz w:val="16"/>
              </w:rPr>
              <w:t>social, económica, regional</w:t>
            </w:r>
            <w:r>
              <w:rPr>
                <w:spacing w:val="40"/>
                <w:sz w:val="16"/>
              </w:rPr>
              <w:t> </w:t>
            </w:r>
            <w:r>
              <w:rPr>
                <w:sz w:val="16"/>
              </w:rPr>
              <w:t>y</w:t>
            </w:r>
            <w:r>
              <w:rPr>
                <w:spacing w:val="-11"/>
                <w:sz w:val="16"/>
              </w:rPr>
              <w:t> </w:t>
            </w:r>
            <w:r>
              <w:rPr>
                <w:sz w:val="16"/>
              </w:rPr>
              <w:t>territorial</w:t>
            </w:r>
            <w:r>
              <w:rPr>
                <w:spacing w:val="-11"/>
                <w:sz w:val="16"/>
              </w:rPr>
              <w:t> </w:t>
            </w:r>
            <w:r>
              <w:rPr>
                <w:sz w:val="16"/>
              </w:rPr>
              <w:t>(vinculado</w:t>
            </w:r>
          </w:p>
          <w:p>
            <w:pPr>
              <w:pStyle w:val="TableParagraph"/>
              <w:spacing w:line="168" w:lineRule="exact"/>
              <w:ind w:left="72"/>
              <w:rPr>
                <w:sz w:val="16"/>
              </w:rPr>
            </w:pPr>
            <w:r>
              <w:rPr>
                <w:sz w:val="16"/>
              </w:rPr>
              <w:t>a</w:t>
            </w:r>
            <w:r>
              <w:rPr>
                <w:spacing w:val="-3"/>
                <w:sz w:val="16"/>
              </w:rPr>
              <w:t> </w:t>
            </w:r>
            <w:r>
              <w:rPr>
                <w:sz w:val="16"/>
              </w:rPr>
              <w:t>PEI</w:t>
            </w:r>
            <w:r>
              <w:rPr>
                <w:spacing w:val="-2"/>
                <w:sz w:val="16"/>
              </w:rPr>
              <w:t> 3.10.1).</w:t>
            </w:r>
          </w:p>
        </w:tc>
        <w:tc>
          <w:tcPr>
            <w:tcW w:w="1278" w:type="dxa"/>
          </w:tcPr>
          <w:p>
            <w:pPr>
              <w:pStyle w:val="TableParagraph"/>
              <w:spacing w:before="93"/>
              <w:rPr>
                <w:b/>
                <w:sz w:val="16"/>
              </w:rPr>
            </w:pPr>
          </w:p>
          <w:p>
            <w:pPr>
              <w:pStyle w:val="TableParagraph"/>
              <w:ind w:left="72" w:right="79"/>
              <w:rPr>
                <w:sz w:val="16"/>
              </w:rPr>
            </w:pPr>
            <w:r>
              <w:rPr>
                <w:sz w:val="16"/>
              </w:rPr>
              <w:t>Porcentaje de </w:t>
            </w:r>
            <w:r>
              <w:rPr>
                <w:spacing w:val="-2"/>
                <w:sz w:val="16"/>
              </w:rPr>
              <w:t>estudios </w:t>
            </w:r>
            <w:r>
              <w:rPr>
                <w:sz w:val="16"/>
              </w:rPr>
              <w:t>regionales y </w:t>
            </w:r>
            <w:r>
              <w:rPr>
                <w:spacing w:val="-2"/>
                <w:sz w:val="16"/>
              </w:rPr>
              <w:t>territoriales </w:t>
            </w:r>
            <w:r>
              <w:rPr>
                <w:sz w:val="16"/>
              </w:rPr>
              <w:t>elaborados</w:t>
            </w:r>
            <w:r>
              <w:rPr>
                <w:spacing w:val="-6"/>
                <w:sz w:val="16"/>
              </w:rPr>
              <w:t> </w:t>
            </w:r>
            <w:r>
              <w:rPr>
                <w:sz w:val="16"/>
              </w:rPr>
              <w:t>por las</w:t>
            </w:r>
            <w:r>
              <w:rPr>
                <w:spacing w:val="-12"/>
                <w:sz w:val="16"/>
              </w:rPr>
              <w:t> </w:t>
            </w:r>
            <w:r>
              <w:rPr>
                <w:sz w:val="16"/>
              </w:rPr>
              <w:t>UIPER</w:t>
            </w:r>
            <w:r>
              <w:rPr>
                <w:spacing w:val="-11"/>
                <w:sz w:val="16"/>
              </w:rPr>
              <w:t> </w:t>
            </w:r>
            <w:r>
              <w:rPr>
                <w:sz w:val="16"/>
              </w:rPr>
              <w:t>para la</w:t>
            </w:r>
            <w:r>
              <w:rPr>
                <w:spacing w:val="-12"/>
                <w:sz w:val="16"/>
              </w:rPr>
              <w:t> </w:t>
            </w:r>
            <w:r>
              <w:rPr>
                <w:sz w:val="16"/>
              </w:rPr>
              <w:t>la</w:t>
            </w:r>
            <w:r>
              <w:rPr>
                <w:spacing w:val="-11"/>
                <w:sz w:val="16"/>
              </w:rPr>
              <w:t> </w:t>
            </w:r>
            <w:r>
              <w:rPr>
                <w:sz w:val="16"/>
              </w:rPr>
              <w:t>inversión</w:t>
            </w:r>
            <w:r>
              <w:rPr>
                <w:spacing w:val="-11"/>
                <w:sz w:val="16"/>
              </w:rPr>
              <w:t> </w:t>
            </w:r>
            <w:r>
              <w:rPr>
                <w:sz w:val="16"/>
              </w:rPr>
              <w:t>y el</w:t>
            </w:r>
            <w:r>
              <w:rPr>
                <w:spacing w:val="-12"/>
                <w:sz w:val="16"/>
              </w:rPr>
              <w:t> </w:t>
            </w:r>
            <w:r>
              <w:rPr>
                <w:sz w:val="16"/>
              </w:rPr>
              <w:t>desarrollo</w:t>
            </w:r>
            <w:r>
              <w:rPr>
                <w:spacing w:val="-11"/>
                <w:sz w:val="16"/>
              </w:rPr>
              <w:t> </w:t>
            </w:r>
            <w:r>
              <w:rPr>
                <w:sz w:val="16"/>
              </w:rPr>
              <w:t>de la oferta </w:t>
            </w:r>
            <w:r>
              <w:rPr>
                <w:spacing w:val="-2"/>
                <w:sz w:val="16"/>
              </w:rPr>
              <w:t>programática</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21" w:right="12"/>
              <w:jc w:val="center"/>
              <w:rPr>
                <w:sz w:val="16"/>
              </w:rPr>
            </w:pPr>
            <w:r>
              <w:rPr>
                <w:spacing w:val="-5"/>
                <w:sz w:val="16"/>
              </w:rPr>
              <w:t>50%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542" w:hRule="atLeast"/>
        </w:trPr>
        <w:tc>
          <w:tcPr>
            <w:tcW w:w="14323" w:type="dxa"/>
            <w:gridSpan w:val="11"/>
            <w:shd w:val="clear" w:color="auto" w:fill="EFF8F9"/>
          </w:tcPr>
          <w:p>
            <w:pPr>
              <w:pStyle w:val="TableParagraph"/>
              <w:spacing w:before="176"/>
              <w:ind w:left="72"/>
              <w:rPr>
                <w:b/>
                <w:sz w:val="16"/>
              </w:rPr>
            </w:pPr>
            <w:r>
              <w:rPr>
                <w:b/>
                <w:sz w:val="16"/>
              </w:rPr>
              <w:t>Producto</w:t>
            </w:r>
            <w:r>
              <w:rPr>
                <w:b/>
                <w:spacing w:val="-2"/>
                <w:sz w:val="16"/>
              </w:rPr>
              <w:t> </w:t>
            </w:r>
            <w:r>
              <w:rPr>
                <w:b/>
                <w:sz w:val="16"/>
              </w:rPr>
              <w:t>PPPS 1.48:</w:t>
            </w:r>
            <w:r>
              <w:rPr>
                <w:b/>
                <w:spacing w:val="-5"/>
                <w:sz w:val="16"/>
              </w:rPr>
              <w:t> </w:t>
            </w:r>
            <w:r>
              <w:rPr>
                <w:b/>
                <w:sz w:val="16"/>
              </w:rPr>
              <w:t>Estudios</w:t>
            </w:r>
            <w:r>
              <w:rPr>
                <w:b/>
                <w:spacing w:val="-6"/>
                <w:sz w:val="16"/>
              </w:rPr>
              <w:t> </w:t>
            </w:r>
            <w:r>
              <w:rPr>
                <w:b/>
                <w:sz w:val="16"/>
              </w:rPr>
              <w:t>regionales</w:t>
            </w:r>
            <w:r>
              <w:rPr>
                <w:b/>
                <w:spacing w:val="-2"/>
                <w:sz w:val="16"/>
              </w:rPr>
              <w:t> </w:t>
            </w:r>
            <w:r>
              <w:rPr>
                <w:b/>
                <w:sz w:val="16"/>
              </w:rPr>
              <w:t>monitoreados</w:t>
            </w:r>
            <w:r>
              <w:rPr>
                <w:b/>
                <w:spacing w:val="-2"/>
                <w:sz w:val="16"/>
              </w:rPr>
              <w:t> </w:t>
            </w:r>
            <w:r>
              <w:rPr>
                <w:b/>
                <w:sz w:val="16"/>
              </w:rPr>
              <w:t>por</w:t>
            </w:r>
            <w:r>
              <w:rPr>
                <w:b/>
                <w:spacing w:val="1"/>
                <w:sz w:val="16"/>
              </w:rPr>
              <w:t> </w:t>
            </w:r>
            <w:r>
              <w:rPr>
                <w:b/>
                <w:sz w:val="16"/>
              </w:rPr>
              <w:t>las</w:t>
            </w:r>
            <w:r>
              <w:rPr>
                <w:b/>
                <w:spacing w:val="-2"/>
                <w:sz w:val="16"/>
              </w:rPr>
              <w:t> </w:t>
            </w:r>
            <w:r>
              <w:rPr>
                <w:b/>
                <w:sz w:val="16"/>
              </w:rPr>
              <w:t>UIPER</w:t>
            </w:r>
            <w:r>
              <w:rPr>
                <w:b/>
                <w:spacing w:val="-4"/>
                <w:sz w:val="16"/>
              </w:rPr>
              <w:t> </w:t>
            </w:r>
            <w:r>
              <w:rPr>
                <w:b/>
                <w:sz w:val="16"/>
              </w:rPr>
              <w:t>para</w:t>
            </w:r>
            <w:r>
              <w:rPr>
                <w:b/>
                <w:spacing w:val="-6"/>
                <w:sz w:val="16"/>
              </w:rPr>
              <w:t> </w:t>
            </w:r>
            <w:r>
              <w:rPr>
                <w:b/>
                <w:sz w:val="16"/>
              </w:rPr>
              <w:t>la</w:t>
            </w:r>
            <w:r>
              <w:rPr>
                <w:b/>
                <w:spacing w:val="-6"/>
                <w:sz w:val="16"/>
              </w:rPr>
              <w:t> </w:t>
            </w:r>
            <w:r>
              <w:rPr>
                <w:b/>
                <w:sz w:val="16"/>
              </w:rPr>
              <w:t>intervención</w:t>
            </w:r>
            <w:r>
              <w:rPr>
                <w:b/>
                <w:spacing w:val="-1"/>
                <w:sz w:val="16"/>
              </w:rPr>
              <w:t> </w:t>
            </w:r>
            <w:r>
              <w:rPr>
                <w:b/>
                <w:sz w:val="16"/>
              </w:rPr>
              <w:t>integral</w:t>
            </w:r>
            <w:r>
              <w:rPr>
                <w:b/>
                <w:spacing w:val="-5"/>
                <w:sz w:val="16"/>
              </w:rPr>
              <w:t> </w:t>
            </w:r>
            <w:r>
              <w:rPr>
                <w:b/>
                <w:sz w:val="16"/>
              </w:rPr>
              <w:t>por</w:t>
            </w:r>
            <w:r>
              <w:rPr>
                <w:b/>
                <w:spacing w:val="-4"/>
                <w:sz w:val="16"/>
              </w:rPr>
              <w:t> </w:t>
            </w:r>
            <w:r>
              <w:rPr>
                <w:b/>
                <w:sz w:val="16"/>
              </w:rPr>
              <w:t>parte</w:t>
            </w:r>
            <w:r>
              <w:rPr>
                <w:b/>
                <w:spacing w:val="-2"/>
                <w:sz w:val="16"/>
              </w:rPr>
              <w:t> </w:t>
            </w:r>
            <w:r>
              <w:rPr>
                <w:b/>
                <w:sz w:val="16"/>
              </w:rPr>
              <w:t>de</w:t>
            </w:r>
            <w:r>
              <w:rPr>
                <w:b/>
                <w:spacing w:val="-2"/>
                <w:sz w:val="16"/>
              </w:rPr>
              <w:t> </w:t>
            </w:r>
            <w:r>
              <w:rPr>
                <w:b/>
                <w:sz w:val="16"/>
              </w:rPr>
              <w:t>la</w:t>
            </w:r>
            <w:r>
              <w:rPr>
                <w:b/>
                <w:spacing w:val="-5"/>
                <w:sz w:val="16"/>
              </w:rPr>
              <w:t> </w:t>
            </w:r>
            <w:r>
              <w:rPr>
                <w:b/>
                <w:sz w:val="16"/>
              </w:rPr>
              <w:t>institución.</w:t>
            </w:r>
            <w:r>
              <w:rPr>
                <w:b/>
                <w:spacing w:val="4"/>
                <w:sz w:val="16"/>
              </w:rPr>
              <w:t> </w:t>
            </w:r>
            <w:r>
              <w:rPr>
                <w:b/>
                <w:sz w:val="16"/>
              </w:rPr>
              <w:t>E3</w:t>
            </w:r>
            <w:r>
              <w:rPr>
                <w:b/>
                <w:spacing w:val="-6"/>
                <w:sz w:val="16"/>
              </w:rPr>
              <w:t> </w:t>
            </w:r>
            <w:r>
              <w:rPr>
                <w:b/>
                <w:sz w:val="16"/>
              </w:rPr>
              <w:t>AE10</w:t>
            </w:r>
            <w:r>
              <w:rPr>
                <w:b/>
                <w:spacing w:val="-6"/>
                <w:sz w:val="16"/>
              </w:rPr>
              <w:t> </w:t>
            </w:r>
            <w:r>
              <w:rPr>
                <w:b/>
                <w:spacing w:val="-5"/>
                <w:sz w:val="16"/>
              </w:rPr>
              <w:t>R2</w:t>
            </w:r>
          </w:p>
        </w:tc>
      </w:tr>
      <w:tr>
        <w:trPr>
          <w:trHeight w:val="1479" w:hRule="atLeast"/>
        </w:trPr>
        <w:tc>
          <w:tcPr>
            <w:tcW w:w="1695" w:type="dxa"/>
            <w:gridSpan w:val="2"/>
            <w:tcBorders>
              <w:bottom w:val="nil"/>
            </w:tcBorders>
          </w:tcPr>
          <w:p>
            <w:pPr>
              <w:pStyle w:val="TableParagraph"/>
              <w:spacing w:line="244" w:lineRule="auto"/>
              <w:ind w:left="72"/>
              <w:rPr>
                <w:b/>
                <w:sz w:val="16"/>
              </w:rPr>
            </w:pPr>
            <w:r>
              <w:rPr>
                <w:b/>
                <w:spacing w:val="-2"/>
                <w:sz w:val="16"/>
              </w:rPr>
              <w:t>Actividad</w:t>
            </w:r>
            <w:r>
              <w:rPr>
                <w:b/>
                <w:spacing w:val="-10"/>
                <w:sz w:val="16"/>
              </w:rPr>
              <w:t> </w:t>
            </w:r>
            <w:r>
              <w:rPr>
                <w:b/>
                <w:spacing w:val="-2"/>
                <w:sz w:val="16"/>
              </w:rPr>
              <w:t>PPPS 1.48.1:</w:t>
            </w:r>
          </w:p>
          <w:p>
            <w:pPr>
              <w:pStyle w:val="TableParagraph"/>
              <w:ind w:left="72" w:right="68"/>
              <w:rPr>
                <w:sz w:val="16"/>
              </w:rPr>
            </w:pPr>
            <w:r>
              <w:rPr>
                <w:sz w:val="16"/>
              </w:rPr>
              <w:t>Elaboración de lineamientos sobre proceso</w:t>
            </w:r>
            <w:r>
              <w:rPr>
                <w:spacing w:val="-12"/>
                <w:sz w:val="16"/>
              </w:rPr>
              <w:t> </w:t>
            </w:r>
            <w:r>
              <w:rPr>
                <w:sz w:val="16"/>
              </w:rPr>
              <w:t>de</w:t>
            </w:r>
            <w:r>
              <w:rPr>
                <w:spacing w:val="-11"/>
                <w:sz w:val="16"/>
              </w:rPr>
              <w:t> </w:t>
            </w:r>
            <w:r>
              <w:rPr>
                <w:sz w:val="16"/>
              </w:rPr>
              <w:t>monitoreo de los estudios</w:t>
            </w:r>
          </w:p>
          <w:p>
            <w:pPr>
              <w:pStyle w:val="TableParagraph"/>
              <w:spacing w:line="182" w:lineRule="exact"/>
              <w:ind w:left="72" w:right="103"/>
              <w:rPr>
                <w:sz w:val="16"/>
              </w:rPr>
            </w:pPr>
            <w:r>
              <w:rPr>
                <w:spacing w:val="-2"/>
                <w:sz w:val="16"/>
              </w:rPr>
              <w:t>regionales</w:t>
            </w:r>
            <w:r>
              <w:rPr>
                <w:spacing w:val="-3"/>
                <w:sz w:val="16"/>
              </w:rPr>
              <w:t> </w:t>
            </w:r>
            <w:r>
              <w:rPr>
                <w:spacing w:val="-2"/>
                <w:sz w:val="16"/>
              </w:rPr>
              <w:t>(vinculado </w:t>
            </w:r>
            <w:r>
              <w:rPr>
                <w:sz w:val="16"/>
              </w:rPr>
              <w:t>a PEI 3.10.2).</w:t>
            </w:r>
          </w:p>
        </w:tc>
        <w:tc>
          <w:tcPr>
            <w:tcW w:w="1278" w:type="dxa"/>
            <w:tcBorders>
              <w:bottom w:val="single" w:sz="4" w:space="0" w:color="808080"/>
            </w:tcBorders>
          </w:tcPr>
          <w:p>
            <w:pPr>
              <w:pStyle w:val="TableParagraph"/>
              <w:spacing w:before="89"/>
              <w:ind w:left="72" w:right="79"/>
              <w:rPr>
                <w:sz w:val="16"/>
              </w:rPr>
            </w:pPr>
            <w:r>
              <w:rPr>
                <w:sz w:val="16"/>
              </w:rPr>
              <w:t>Porcentaje de avance en la </w:t>
            </w:r>
            <w:r>
              <w:rPr>
                <w:spacing w:val="-2"/>
                <w:sz w:val="16"/>
              </w:rPr>
              <w:t>construcción</w:t>
            </w:r>
            <w:r>
              <w:rPr>
                <w:spacing w:val="-10"/>
                <w:sz w:val="16"/>
              </w:rPr>
              <w:t> </w:t>
            </w:r>
            <w:r>
              <w:rPr>
                <w:spacing w:val="-2"/>
                <w:sz w:val="16"/>
              </w:rPr>
              <w:t>de lineamientos </w:t>
            </w:r>
            <w:r>
              <w:rPr>
                <w:sz w:val="16"/>
              </w:rPr>
              <w:t>sobre el proceso</w:t>
            </w:r>
            <w:r>
              <w:rPr>
                <w:spacing w:val="-2"/>
                <w:sz w:val="16"/>
              </w:rPr>
              <w:t> </w:t>
            </w:r>
            <w:r>
              <w:rPr>
                <w:sz w:val="16"/>
              </w:rPr>
              <w:t>de monitoreo de</w:t>
            </w:r>
          </w:p>
        </w:tc>
        <w:tc>
          <w:tcPr>
            <w:tcW w:w="1278" w:type="dxa"/>
            <w:tcBorders>
              <w:bottom w:val="single" w:sz="4" w:space="0" w:color="808080"/>
            </w:tcBorders>
          </w:tcPr>
          <w:p>
            <w:pPr>
              <w:pStyle w:val="TableParagraph"/>
              <w:rPr>
                <w:b/>
                <w:sz w:val="16"/>
              </w:rPr>
            </w:pPr>
          </w:p>
          <w:p>
            <w:pPr>
              <w:pStyle w:val="TableParagraph"/>
              <w:rPr>
                <w:b/>
                <w:sz w:val="16"/>
              </w:rPr>
            </w:pPr>
          </w:p>
          <w:p>
            <w:pPr>
              <w:pStyle w:val="TableParagraph"/>
              <w:spacing w:before="90"/>
              <w:rPr>
                <w:b/>
                <w:sz w:val="16"/>
              </w:rPr>
            </w:pPr>
          </w:p>
          <w:p>
            <w:pPr>
              <w:pStyle w:val="TableParagraph"/>
              <w:ind w:left="21" w:right="13"/>
              <w:jc w:val="center"/>
              <w:rPr>
                <w:sz w:val="16"/>
              </w:rPr>
            </w:pPr>
            <w:r>
              <w:rPr>
                <w:spacing w:val="-4"/>
                <w:sz w:val="16"/>
              </w:rPr>
              <w:t>100%</w:t>
            </w:r>
          </w:p>
        </w:tc>
        <w:tc>
          <w:tcPr>
            <w:tcW w:w="1561" w:type="dxa"/>
            <w:tcBorders>
              <w:bottom w:val="single" w:sz="4" w:space="0" w:color="808080"/>
            </w:tcBorders>
          </w:tcPr>
          <w:p>
            <w:pPr>
              <w:pStyle w:val="TableParagraph"/>
              <w:rPr>
                <w:rFonts w:ascii="Times New Roman"/>
                <w:sz w:val="16"/>
              </w:rPr>
            </w:pPr>
          </w:p>
        </w:tc>
        <w:tc>
          <w:tcPr>
            <w:tcW w:w="1134" w:type="dxa"/>
            <w:tcBorders>
              <w:bottom w:val="single" w:sz="4" w:space="0" w:color="808080"/>
            </w:tcBorders>
          </w:tcPr>
          <w:p>
            <w:pPr>
              <w:pStyle w:val="TableParagraph"/>
              <w:rPr>
                <w:b/>
                <w:sz w:val="16"/>
              </w:rPr>
            </w:pPr>
          </w:p>
          <w:p>
            <w:pPr>
              <w:pStyle w:val="TableParagraph"/>
              <w:rPr>
                <w:b/>
                <w:sz w:val="16"/>
              </w:rPr>
            </w:pPr>
          </w:p>
          <w:p>
            <w:pPr>
              <w:pStyle w:val="TableParagraph"/>
              <w:spacing w:before="90"/>
              <w:rPr>
                <w:b/>
                <w:sz w:val="16"/>
              </w:rPr>
            </w:pPr>
          </w:p>
          <w:p>
            <w:pPr>
              <w:pStyle w:val="TableParagraph"/>
              <w:ind w:right="1"/>
              <w:jc w:val="center"/>
              <w:rPr>
                <w:sz w:val="16"/>
              </w:rPr>
            </w:pPr>
            <w:r>
              <w:rPr>
                <w:spacing w:val="-4"/>
                <w:sz w:val="16"/>
              </w:rPr>
              <w:t>100%</w:t>
            </w:r>
          </w:p>
        </w:tc>
        <w:tc>
          <w:tcPr>
            <w:tcW w:w="1561" w:type="dxa"/>
            <w:tcBorders>
              <w:bottom w:val="single" w:sz="4" w:space="0" w:color="808080"/>
            </w:tcBorders>
          </w:tcPr>
          <w:p>
            <w:pPr>
              <w:pStyle w:val="TableParagraph"/>
              <w:rPr>
                <w:rFonts w:ascii="Times New Roman"/>
                <w:sz w:val="16"/>
              </w:rPr>
            </w:pPr>
          </w:p>
        </w:tc>
        <w:tc>
          <w:tcPr>
            <w:tcW w:w="1277" w:type="dxa"/>
            <w:tcBorders>
              <w:bottom w:val="single" w:sz="4" w:space="0" w:color="808080"/>
            </w:tcBorders>
          </w:tcPr>
          <w:p>
            <w:pPr>
              <w:pStyle w:val="TableParagraph"/>
              <w:rPr>
                <w:b/>
                <w:sz w:val="16"/>
              </w:rPr>
            </w:pPr>
          </w:p>
          <w:p>
            <w:pPr>
              <w:pStyle w:val="TableParagraph"/>
              <w:rPr>
                <w:b/>
                <w:sz w:val="16"/>
              </w:rPr>
            </w:pPr>
          </w:p>
          <w:p>
            <w:pPr>
              <w:pStyle w:val="TableParagraph"/>
              <w:spacing w:before="90"/>
              <w:rPr>
                <w:b/>
                <w:sz w:val="16"/>
              </w:rPr>
            </w:pPr>
          </w:p>
          <w:p>
            <w:pPr>
              <w:pStyle w:val="TableParagraph"/>
              <w:ind w:left="16" w:right="19"/>
              <w:jc w:val="center"/>
              <w:rPr>
                <w:sz w:val="16"/>
              </w:rPr>
            </w:pPr>
            <w:r>
              <w:rPr>
                <w:spacing w:val="-4"/>
                <w:sz w:val="16"/>
              </w:rPr>
              <w:t>100%</w:t>
            </w:r>
          </w:p>
        </w:tc>
        <w:tc>
          <w:tcPr>
            <w:tcW w:w="1700" w:type="dxa"/>
            <w:tcBorders>
              <w:bottom w:val="single" w:sz="4" w:space="0" w:color="808080"/>
            </w:tcBorders>
          </w:tcPr>
          <w:p>
            <w:pPr>
              <w:pStyle w:val="TableParagraph"/>
              <w:rPr>
                <w:rFonts w:ascii="Times New Roman"/>
                <w:sz w:val="16"/>
              </w:rPr>
            </w:pPr>
          </w:p>
        </w:tc>
        <w:tc>
          <w:tcPr>
            <w:tcW w:w="1345" w:type="dxa"/>
            <w:tcBorders>
              <w:bottom w:val="single" w:sz="4" w:space="0" w:color="808080"/>
            </w:tcBorders>
          </w:tcPr>
          <w:p>
            <w:pPr>
              <w:pStyle w:val="TableParagraph"/>
              <w:rPr>
                <w:b/>
                <w:sz w:val="16"/>
              </w:rPr>
            </w:pPr>
          </w:p>
          <w:p>
            <w:pPr>
              <w:pStyle w:val="TableParagraph"/>
              <w:rPr>
                <w:b/>
                <w:sz w:val="16"/>
              </w:rPr>
            </w:pPr>
          </w:p>
          <w:p>
            <w:pPr>
              <w:pStyle w:val="TableParagraph"/>
              <w:spacing w:before="90"/>
              <w:rPr>
                <w:b/>
                <w:sz w:val="16"/>
              </w:rPr>
            </w:pPr>
          </w:p>
          <w:p>
            <w:pPr>
              <w:pStyle w:val="TableParagraph"/>
              <w:ind w:left="4" w:right="1"/>
              <w:jc w:val="center"/>
              <w:rPr>
                <w:sz w:val="16"/>
              </w:rPr>
            </w:pPr>
            <w:r>
              <w:rPr>
                <w:spacing w:val="-4"/>
                <w:sz w:val="16"/>
              </w:rPr>
              <w:t>100%</w:t>
            </w:r>
          </w:p>
        </w:tc>
        <w:tc>
          <w:tcPr>
            <w:tcW w:w="1494" w:type="dxa"/>
            <w:tcBorders>
              <w:bottom w:val="single" w:sz="4" w:space="0" w:color="808080"/>
            </w:tcBorders>
          </w:tcPr>
          <w:p>
            <w:pPr>
              <w:pStyle w:val="TableParagraph"/>
              <w:rPr>
                <w:rFonts w:ascii="Times New Roman"/>
                <w:sz w:val="16"/>
              </w:rPr>
            </w:pPr>
          </w:p>
        </w:tc>
      </w:tr>
      <w:tr>
        <w:trPr>
          <w:trHeight w:val="1388" w:hRule="atLeast"/>
        </w:trPr>
        <w:tc>
          <w:tcPr>
            <w:tcW w:w="1486" w:type="dxa"/>
            <w:tcBorders>
              <w:top w:val="thinThickMediumGap" w:sz="9" w:space="0" w:color="808080"/>
              <w:left w:val="nil"/>
              <w:bottom w:val="nil"/>
              <w:right w:val="single" w:sz="18" w:space="0" w:color="808080"/>
            </w:tcBorders>
          </w:tcPr>
          <w:p>
            <w:pPr>
              <w:pStyle w:val="TableParagraph"/>
              <w:spacing w:before="6"/>
              <w:ind w:left="106"/>
              <w:rPr>
                <w:b/>
                <w:sz w:val="24"/>
              </w:rPr>
            </w:pPr>
            <w:r>
              <w:rPr>
                <w:b/>
                <w:spacing w:val="-5"/>
                <w:sz w:val="24"/>
              </w:rPr>
              <w:t>171</w:t>
            </w:r>
          </w:p>
        </w:tc>
        <w:tc>
          <w:tcPr>
            <w:tcW w:w="12837" w:type="dxa"/>
            <w:gridSpan w:val="10"/>
            <w:tcBorders>
              <w:top w:val="single" w:sz="4" w:space="0" w:color="808080"/>
              <w:left w:val="single" w:sz="18" w:space="0" w:color="808080"/>
              <w:bottom w:val="nil"/>
              <w:right w:val="nil"/>
            </w:tcBorders>
          </w:tcPr>
          <w:p>
            <w:pPr>
              <w:pStyle w:val="TableParagraph"/>
              <w:spacing w:line="242" w:lineRule="auto" w:before="6"/>
              <w:ind w:left="95" w:right="8657"/>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72"/>
          <w:pgSz w:w="15840" w:h="12240" w:orient="landscape"/>
          <w:pgMar w:header="0" w:footer="0" w:top="700" w:bottom="2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1190" w:hRule="atLeast"/>
        </w:trPr>
        <w:tc>
          <w:tcPr>
            <w:tcW w:w="1695" w:type="dxa"/>
          </w:tcPr>
          <w:p>
            <w:pPr>
              <w:pStyle w:val="TableParagraph"/>
              <w:rPr>
                <w:rFonts w:ascii="Times New Roman"/>
                <w:sz w:val="16"/>
              </w:rPr>
            </w:pPr>
          </w:p>
        </w:tc>
        <w:tc>
          <w:tcPr>
            <w:tcW w:w="1278" w:type="dxa"/>
          </w:tcPr>
          <w:p>
            <w:pPr>
              <w:pStyle w:val="TableParagraph"/>
              <w:spacing w:line="173" w:lineRule="exact"/>
              <w:ind w:left="72"/>
              <w:rPr>
                <w:sz w:val="16"/>
              </w:rPr>
            </w:pPr>
            <w:r>
              <w:rPr>
                <w:sz w:val="16"/>
              </w:rPr>
              <w:t>los</w:t>
            </w:r>
            <w:r>
              <w:rPr>
                <w:spacing w:val="-6"/>
                <w:sz w:val="16"/>
              </w:rPr>
              <w:t> </w:t>
            </w:r>
            <w:r>
              <w:rPr>
                <w:spacing w:val="-2"/>
                <w:sz w:val="16"/>
              </w:rPr>
              <w:t>estudios</w:t>
            </w:r>
          </w:p>
          <w:p>
            <w:pPr>
              <w:pStyle w:val="TableParagraph"/>
              <w:spacing w:before="4"/>
              <w:ind w:left="72"/>
              <w:rPr>
                <w:sz w:val="16"/>
              </w:rPr>
            </w:pPr>
            <w:r>
              <w:rPr>
                <w:spacing w:val="-2"/>
                <w:sz w:val="16"/>
              </w:rPr>
              <w:t>regionales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rFonts w:ascii="Times New Roman"/>
                <w:sz w:val="16"/>
              </w:rPr>
            </w:pPr>
          </w:p>
        </w:tc>
        <w:tc>
          <w:tcPr>
            <w:tcW w:w="1494" w:type="dxa"/>
          </w:tcPr>
          <w:p>
            <w:pPr>
              <w:pStyle w:val="TableParagraph"/>
              <w:rPr>
                <w:rFonts w:ascii="Times New Roman"/>
                <w:sz w:val="16"/>
              </w:rPr>
            </w:pPr>
          </w:p>
        </w:tc>
      </w:tr>
      <w:tr>
        <w:trPr>
          <w:trHeight w:val="1291"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1.48.2:</w:t>
            </w:r>
          </w:p>
          <w:p>
            <w:pPr>
              <w:pStyle w:val="TableParagraph"/>
              <w:ind w:left="72" w:right="69"/>
              <w:rPr>
                <w:sz w:val="16"/>
              </w:rPr>
            </w:pPr>
            <w:r>
              <w:rPr>
                <w:sz w:val="16"/>
              </w:rPr>
              <w:t>Desarrollo de</w:t>
            </w:r>
            <w:r>
              <w:rPr>
                <w:spacing w:val="40"/>
                <w:sz w:val="16"/>
              </w:rPr>
              <w:t> </w:t>
            </w:r>
            <w:r>
              <w:rPr>
                <w:sz w:val="16"/>
              </w:rPr>
              <w:t>proceso</w:t>
            </w:r>
            <w:r>
              <w:rPr>
                <w:spacing w:val="-12"/>
                <w:sz w:val="16"/>
              </w:rPr>
              <w:t> </w:t>
            </w:r>
            <w:r>
              <w:rPr>
                <w:sz w:val="16"/>
              </w:rPr>
              <w:t>de</w:t>
            </w:r>
            <w:r>
              <w:rPr>
                <w:spacing w:val="-11"/>
                <w:sz w:val="16"/>
              </w:rPr>
              <w:t> </w:t>
            </w:r>
            <w:r>
              <w:rPr>
                <w:sz w:val="16"/>
              </w:rPr>
              <w:t>monitoreo de los estudios regionales</w:t>
            </w:r>
            <w:r>
              <w:rPr>
                <w:spacing w:val="-9"/>
                <w:sz w:val="16"/>
              </w:rPr>
              <w:t> </w:t>
            </w:r>
            <w:r>
              <w:rPr>
                <w:sz w:val="16"/>
              </w:rPr>
              <w:t>(vinculado</w:t>
            </w:r>
          </w:p>
          <w:p>
            <w:pPr>
              <w:pStyle w:val="TableParagraph"/>
              <w:spacing w:line="167" w:lineRule="exact"/>
              <w:ind w:left="72"/>
              <w:rPr>
                <w:sz w:val="16"/>
              </w:rPr>
            </w:pPr>
            <w:r>
              <w:rPr>
                <w:sz w:val="16"/>
              </w:rPr>
              <w:t>a</w:t>
            </w:r>
            <w:r>
              <w:rPr>
                <w:spacing w:val="-3"/>
                <w:sz w:val="16"/>
              </w:rPr>
              <w:t> </w:t>
            </w:r>
            <w:r>
              <w:rPr>
                <w:sz w:val="16"/>
              </w:rPr>
              <w:t>PEI</w:t>
            </w:r>
            <w:r>
              <w:rPr>
                <w:spacing w:val="-2"/>
                <w:sz w:val="16"/>
              </w:rPr>
              <w:t> 3.10.2).</w:t>
            </w:r>
          </w:p>
        </w:tc>
        <w:tc>
          <w:tcPr>
            <w:tcW w:w="1278" w:type="dxa"/>
          </w:tcPr>
          <w:p>
            <w:pPr>
              <w:pStyle w:val="TableParagraph"/>
              <w:ind w:left="72" w:right="200"/>
              <w:rPr>
                <w:sz w:val="16"/>
              </w:rPr>
            </w:pPr>
            <w:r>
              <w:rPr>
                <w:sz w:val="16"/>
              </w:rPr>
              <w:t>Porcentaje</w:t>
            </w:r>
            <w:r>
              <w:rPr>
                <w:spacing w:val="-12"/>
                <w:sz w:val="16"/>
              </w:rPr>
              <w:t> </w:t>
            </w:r>
            <w:r>
              <w:rPr>
                <w:sz w:val="16"/>
              </w:rPr>
              <w:t>de avance</w:t>
            </w:r>
            <w:r>
              <w:rPr>
                <w:spacing w:val="-12"/>
                <w:sz w:val="16"/>
              </w:rPr>
              <w:t> </w:t>
            </w:r>
            <w:r>
              <w:rPr>
                <w:sz w:val="16"/>
              </w:rPr>
              <w:t>de</w:t>
            </w:r>
            <w:r>
              <w:rPr>
                <w:spacing w:val="-11"/>
                <w:sz w:val="16"/>
              </w:rPr>
              <w:t> </w:t>
            </w:r>
            <w:r>
              <w:rPr>
                <w:sz w:val="16"/>
              </w:rPr>
              <w:t>los </w:t>
            </w:r>
            <w:r>
              <w:rPr>
                <w:spacing w:val="-2"/>
                <w:sz w:val="16"/>
              </w:rPr>
              <w:t>estudios </w:t>
            </w:r>
            <w:r>
              <w:rPr>
                <w:sz w:val="16"/>
              </w:rPr>
              <w:t>regionales y </w:t>
            </w:r>
            <w:r>
              <w:rPr>
                <w:spacing w:val="-2"/>
                <w:sz w:val="16"/>
              </w:rPr>
              <w:t>territoriales</w:t>
            </w:r>
          </w:p>
          <w:p>
            <w:pPr>
              <w:pStyle w:val="TableParagraph"/>
              <w:spacing w:line="182" w:lineRule="exact"/>
              <w:ind w:left="72" w:right="230"/>
              <w:rPr>
                <w:sz w:val="16"/>
              </w:rPr>
            </w:pPr>
            <w:r>
              <w:rPr>
                <w:spacing w:val="-2"/>
                <w:sz w:val="16"/>
              </w:rPr>
              <w:t>monitoreados </w:t>
            </w:r>
            <w:r>
              <w:rPr>
                <w:sz w:val="16"/>
              </w:rPr>
              <w:t>por</w:t>
            </w:r>
            <w:r>
              <w:rPr>
                <w:spacing w:val="-2"/>
                <w:sz w:val="16"/>
              </w:rPr>
              <w:t> </w:t>
            </w:r>
            <w:r>
              <w:rPr>
                <w:sz w:val="16"/>
              </w:rPr>
              <w:t>la</w:t>
            </w:r>
            <w:r>
              <w:rPr>
                <w:spacing w:val="-4"/>
                <w:sz w:val="16"/>
              </w:rPr>
              <w:t> </w:t>
            </w:r>
            <w:r>
              <w:rPr>
                <w:spacing w:val="-2"/>
                <w:sz w:val="16"/>
              </w:rPr>
              <w:t>UIPER</w:t>
            </w:r>
          </w:p>
        </w:tc>
        <w:tc>
          <w:tcPr>
            <w:tcW w:w="1278" w:type="dxa"/>
          </w:tcPr>
          <w:p>
            <w:pPr>
              <w:pStyle w:val="TableParagraph"/>
              <w:rPr>
                <w:b/>
                <w:sz w:val="16"/>
              </w:rPr>
            </w:pPr>
          </w:p>
          <w:p>
            <w:pPr>
              <w:pStyle w:val="TableParagraph"/>
              <w:spacing w:before="182"/>
              <w:rPr>
                <w:b/>
                <w:sz w:val="16"/>
              </w:rPr>
            </w:pPr>
          </w:p>
          <w:p>
            <w:pPr>
              <w:pStyle w:val="TableParagraph"/>
              <w:spacing w:before="1"/>
              <w:ind w:left="21" w:right="12"/>
              <w:jc w:val="center"/>
              <w:rPr>
                <w:sz w:val="16"/>
              </w:rPr>
            </w:pPr>
            <w:r>
              <w:rPr>
                <w:spacing w:val="-5"/>
                <w:sz w:val="16"/>
              </w:rPr>
              <w:t>25%</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spacing w:before="182"/>
              <w:rPr>
                <w:b/>
                <w:sz w:val="16"/>
              </w:rPr>
            </w:pPr>
          </w:p>
          <w:p>
            <w:pPr>
              <w:pStyle w:val="TableParagraph"/>
              <w:spacing w:before="1"/>
              <w:ind w:right="1"/>
              <w:jc w:val="center"/>
              <w:rPr>
                <w:sz w:val="16"/>
              </w:rPr>
            </w:pPr>
            <w:r>
              <w:rPr>
                <w:spacing w:val="-5"/>
                <w:sz w:val="16"/>
              </w:rPr>
              <w:t>50%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spacing w:before="182"/>
              <w:rPr>
                <w:b/>
                <w:sz w:val="16"/>
              </w:rPr>
            </w:pPr>
          </w:p>
          <w:p>
            <w:pPr>
              <w:pStyle w:val="TableParagraph"/>
              <w:spacing w:before="1"/>
              <w:ind w:left="16" w:right="19"/>
              <w:jc w:val="center"/>
              <w:rPr>
                <w:sz w:val="16"/>
              </w:rPr>
            </w:pPr>
            <w:r>
              <w:rPr>
                <w:spacing w:val="-5"/>
                <w:sz w:val="16"/>
              </w:rPr>
              <w:t>75%</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spacing w:before="182"/>
              <w:rPr>
                <w:b/>
                <w:sz w:val="16"/>
              </w:rPr>
            </w:pPr>
          </w:p>
          <w:p>
            <w:pPr>
              <w:pStyle w:val="TableParagraph"/>
              <w:spacing w:before="1"/>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566" w:hRule="atLeast"/>
        </w:trPr>
        <w:tc>
          <w:tcPr>
            <w:tcW w:w="14323" w:type="dxa"/>
            <w:gridSpan w:val="10"/>
            <w:shd w:val="clear" w:color="auto" w:fill="EFF8F9"/>
          </w:tcPr>
          <w:p>
            <w:pPr>
              <w:pStyle w:val="TableParagraph"/>
              <w:spacing w:before="7"/>
              <w:rPr>
                <w:b/>
                <w:sz w:val="16"/>
              </w:rPr>
            </w:pPr>
          </w:p>
          <w:p>
            <w:pPr>
              <w:pStyle w:val="TableParagraph"/>
              <w:ind w:left="72"/>
              <w:rPr>
                <w:b/>
                <w:sz w:val="16"/>
              </w:rPr>
            </w:pPr>
            <w:r>
              <w:rPr>
                <w:b/>
                <w:sz w:val="16"/>
              </w:rPr>
              <w:t>Producto</w:t>
            </w:r>
            <w:r>
              <w:rPr>
                <w:b/>
                <w:spacing w:val="-2"/>
                <w:sz w:val="16"/>
              </w:rPr>
              <w:t> </w:t>
            </w:r>
            <w:r>
              <w:rPr>
                <w:b/>
                <w:sz w:val="16"/>
              </w:rPr>
              <w:t>PPPS</w:t>
            </w:r>
            <w:r>
              <w:rPr>
                <w:b/>
                <w:spacing w:val="-2"/>
                <w:sz w:val="16"/>
              </w:rPr>
              <w:t> </w:t>
            </w:r>
            <w:r>
              <w:rPr>
                <w:b/>
                <w:sz w:val="16"/>
              </w:rPr>
              <w:t>1.49:</w:t>
            </w:r>
            <w:r>
              <w:rPr>
                <w:b/>
                <w:spacing w:val="34"/>
                <w:sz w:val="16"/>
              </w:rPr>
              <w:t> </w:t>
            </w:r>
            <w:r>
              <w:rPr>
                <w:b/>
                <w:sz w:val="16"/>
              </w:rPr>
              <w:t>Áreas</w:t>
            </w:r>
            <w:r>
              <w:rPr>
                <w:b/>
                <w:spacing w:val="-6"/>
                <w:sz w:val="16"/>
              </w:rPr>
              <w:t> </w:t>
            </w:r>
            <w:r>
              <w:rPr>
                <w:b/>
                <w:sz w:val="16"/>
              </w:rPr>
              <w:t>Regionales</w:t>
            </w:r>
            <w:r>
              <w:rPr>
                <w:b/>
                <w:spacing w:val="-3"/>
                <w:sz w:val="16"/>
              </w:rPr>
              <w:t> </w:t>
            </w:r>
            <w:r>
              <w:rPr>
                <w:b/>
                <w:sz w:val="16"/>
              </w:rPr>
              <w:t>con</w:t>
            </w:r>
            <w:r>
              <w:rPr>
                <w:b/>
                <w:spacing w:val="-2"/>
                <w:sz w:val="16"/>
              </w:rPr>
              <w:t> </w:t>
            </w:r>
            <w:r>
              <w:rPr>
                <w:b/>
                <w:sz w:val="16"/>
              </w:rPr>
              <w:t>equipamiento</w:t>
            </w:r>
            <w:r>
              <w:rPr>
                <w:b/>
                <w:spacing w:val="-2"/>
                <w:sz w:val="16"/>
              </w:rPr>
              <w:t> </w:t>
            </w:r>
            <w:r>
              <w:rPr>
                <w:b/>
                <w:sz w:val="16"/>
              </w:rPr>
              <w:t>tecnológico</w:t>
            </w:r>
            <w:r>
              <w:rPr>
                <w:b/>
                <w:spacing w:val="-2"/>
                <w:sz w:val="16"/>
              </w:rPr>
              <w:t> </w:t>
            </w:r>
            <w:r>
              <w:rPr>
                <w:b/>
                <w:sz w:val="16"/>
              </w:rPr>
              <w:t>que</w:t>
            </w:r>
            <w:r>
              <w:rPr>
                <w:b/>
                <w:spacing w:val="-7"/>
                <w:sz w:val="16"/>
              </w:rPr>
              <w:t> </w:t>
            </w:r>
            <w:r>
              <w:rPr>
                <w:b/>
                <w:sz w:val="16"/>
              </w:rPr>
              <w:t>responda</w:t>
            </w:r>
            <w:r>
              <w:rPr>
                <w:b/>
                <w:spacing w:val="4"/>
                <w:sz w:val="16"/>
              </w:rPr>
              <w:t> </w:t>
            </w:r>
            <w:r>
              <w:rPr>
                <w:b/>
                <w:sz w:val="16"/>
              </w:rPr>
              <w:t>a</w:t>
            </w:r>
            <w:r>
              <w:rPr>
                <w:b/>
                <w:spacing w:val="-7"/>
                <w:sz w:val="16"/>
              </w:rPr>
              <w:t> </w:t>
            </w:r>
            <w:r>
              <w:rPr>
                <w:b/>
                <w:sz w:val="16"/>
              </w:rPr>
              <w:t>las</w:t>
            </w:r>
            <w:r>
              <w:rPr>
                <w:b/>
                <w:spacing w:val="-2"/>
                <w:sz w:val="16"/>
              </w:rPr>
              <w:t> </w:t>
            </w:r>
            <w:r>
              <w:rPr>
                <w:b/>
                <w:sz w:val="16"/>
              </w:rPr>
              <w:t>necesidades</w:t>
            </w:r>
            <w:r>
              <w:rPr>
                <w:b/>
                <w:spacing w:val="-6"/>
                <w:sz w:val="16"/>
              </w:rPr>
              <w:t> </w:t>
            </w:r>
            <w:r>
              <w:rPr>
                <w:b/>
                <w:sz w:val="16"/>
              </w:rPr>
              <w:t>que</w:t>
            </w:r>
            <w:r>
              <w:rPr>
                <w:b/>
                <w:spacing w:val="-3"/>
                <w:sz w:val="16"/>
              </w:rPr>
              <w:t> </w:t>
            </w:r>
            <w:r>
              <w:rPr>
                <w:b/>
                <w:sz w:val="16"/>
              </w:rPr>
              <w:t>demandan</w:t>
            </w:r>
            <w:r>
              <w:rPr>
                <w:b/>
                <w:spacing w:val="-2"/>
                <w:sz w:val="16"/>
              </w:rPr>
              <w:t> </w:t>
            </w:r>
            <w:r>
              <w:rPr>
                <w:b/>
                <w:sz w:val="16"/>
              </w:rPr>
              <w:t>los</w:t>
            </w:r>
            <w:r>
              <w:rPr>
                <w:b/>
                <w:spacing w:val="-3"/>
                <w:sz w:val="16"/>
              </w:rPr>
              <w:t> </w:t>
            </w:r>
            <w:r>
              <w:rPr>
                <w:b/>
                <w:sz w:val="16"/>
              </w:rPr>
              <w:t>nuevos</w:t>
            </w:r>
            <w:r>
              <w:rPr>
                <w:b/>
                <w:spacing w:val="-3"/>
                <w:sz w:val="16"/>
              </w:rPr>
              <w:t> </w:t>
            </w:r>
            <w:r>
              <w:rPr>
                <w:b/>
                <w:sz w:val="16"/>
              </w:rPr>
              <w:t>procesos</w:t>
            </w:r>
            <w:r>
              <w:rPr>
                <w:b/>
                <w:spacing w:val="-3"/>
                <w:sz w:val="16"/>
              </w:rPr>
              <w:t> </w:t>
            </w:r>
            <w:r>
              <w:rPr>
                <w:b/>
                <w:sz w:val="16"/>
              </w:rPr>
              <w:t>de</w:t>
            </w:r>
            <w:r>
              <w:rPr>
                <w:b/>
                <w:spacing w:val="-3"/>
                <w:sz w:val="16"/>
              </w:rPr>
              <w:t> </w:t>
            </w:r>
            <w:r>
              <w:rPr>
                <w:b/>
                <w:sz w:val="16"/>
              </w:rPr>
              <w:t>atención</w:t>
            </w:r>
            <w:r>
              <w:rPr>
                <w:b/>
                <w:spacing w:val="-2"/>
                <w:sz w:val="16"/>
              </w:rPr>
              <w:t> </w:t>
            </w:r>
            <w:r>
              <w:rPr>
                <w:b/>
                <w:sz w:val="16"/>
              </w:rPr>
              <w:t>en</w:t>
            </w:r>
            <w:r>
              <w:rPr>
                <w:b/>
                <w:spacing w:val="-6"/>
                <w:sz w:val="16"/>
              </w:rPr>
              <w:t> </w:t>
            </w:r>
            <w:r>
              <w:rPr>
                <w:b/>
                <w:sz w:val="16"/>
              </w:rPr>
              <w:t>los</w:t>
            </w:r>
            <w:r>
              <w:rPr>
                <w:b/>
                <w:spacing w:val="-2"/>
                <w:sz w:val="16"/>
              </w:rPr>
              <w:t> </w:t>
            </w:r>
            <w:r>
              <w:rPr>
                <w:b/>
                <w:sz w:val="16"/>
              </w:rPr>
              <w:t>territorios.</w:t>
            </w:r>
            <w:r>
              <w:rPr>
                <w:b/>
                <w:spacing w:val="-2"/>
                <w:sz w:val="16"/>
              </w:rPr>
              <w:t> </w:t>
            </w:r>
            <w:r>
              <w:rPr>
                <w:b/>
                <w:sz w:val="16"/>
              </w:rPr>
              <w:t>E3</w:t>
            </w:r>
            <w:r>
              <w:rPr>
                <w:b/>
                <w:spacing w:val="-3"/>
                <w:sz w:val="16"/>
              </w:rPr>
              <w:t> </w:t>
            </w:r>
            <w:r>
              <w:rPr>
                <w:b/>
                <w:sz w:val="16"/>
              </w:rPr>
              <w:t>AE11</w:t>
            </w:r>
            <w:r>
              <w:rPr>
                <w:b/>
                <w:spacing w:val="-7"/>
                <w:sz w:val="16"/>
              </w:rPr>
              <w:t> </w:t>
            </w:r>
            <w:r>
              <w:rPr>
                <w:b/>
                <w:spacing w:val="-5"/>
                <w:sz w:val="16"/>
              </w:rPr>
              <w:t>R1</w:t>
            </w:r>
          </w:p>
        </w:tc>
      </w:tr>
      <w:tr>
        <w:trPr>
          <w:trHeight w:val="2026"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1.49.1:</w:t>
            </w:r>
          </w:p>
          <w:p>
            <w:pPr>
              <w:pStyle w:val="TableParagraph"/>
              <w:ind w:left="72" w:right="77"/>
              <w:rPr>
                <w:sz w:val="16"/>
              </w:rPr>
            </w:pPr>
            <w:r>
              <w:rPr>
                <w:sz w:val="16"/>
              </w:rPr>
              <w:t>Diagnóstico de equipo tecnológico con que cuentan las ARDS,</w:t>
            </w:r>
            <w:r>
              <w:rPr>
                <w:spacing w:val="-12"/>
                <w:sz w:val="16"/>
              </w:rPr>
              <w:t> </w:t>
            </w:r>
            <w:r>
              <w:rPr>
                <w:sz w:val="16"/>
              </w:rPr>
              <w:t>con</w:t>
            </w:r>
            <w:r>
              <w:rPr>
                <w:spacing w:val="-11"/>
                <w:sz w:val="16"/>
              </w:rPr>
              <w:t> </w:t>
            </w:r>
            <w:r>
              <w:rPr>
                <w:sz w:val="16"/>
              </w:rPr>
              <w:t>relación</w:t>
            </w:r>
            <w:r>
              <w:rPr>
                <w:spacing w:val="-11"/>
                <w:sz w:val="16"/>
              </w:rPr>
              <w:t> </w:t>
            </w:r>
            <w:r>
              <w:rPr>
                <w:sz w:val="16"/>
              </w:rPr>
              <w:t>a las necesidades que se presentan en la atención</w:t>
            </w:r>
            <w:r>
              <w:rPr>
                <w:spacing w:val="-12"/>
                <w:sz w:val="16"/>
              </w:rPr>
              <w:t> </w:t>
            </w:r>
            <w:r>
              <w:rPr>
                <w:sz w:val="16"/>
              </w:rPr>
              <w:t>en</w:t>
            </w:r>
            <w:r>
              <w:rPr>
                <w:spacing w:val="-11"/>
                <w:sz w:val="16"/>
              </w:rPr>
              <w:t> </w:t>
            </w:r>
            <w:r>
              <w:rPr>
                <w:sz w:val="16"/>
              </w:rPr>
              <w:t>territorios (vinculada a PEI</w:t>
            </w:r>
          </w:p>
          <w:p>
            <w:pPr>
              <w:pStyle w:val="TableParagraph"/>
              <w:spacing w:line="166" w:lineRule="exact"/>
              <w:ind w:left="72"/>
              <w:rPr>
                <w:sz w:val="16"/>
              </w:rPr>
            </w:pPr>
            <w:r>
              <w:rPr>
                <w:spacing w:val="-2"/>
                <w:sz w:val="16"/>
              </w:rPr>
              <w:t>3.11.1).</w:t>
            </w:r>
          </w:p>
        </w:tc>
        <w:tc>
          <w:tcPr>
            <w:tcW w:w="1278" w:type="dxa"/>
          </w:tcPr>
          <w:p>
            <w:pPr>
              <w:pStyle w:val="TableParagraph"/>
              <w:rPr>
                <w:b/>
                <w:sz w:val="16"/>
              </w:rPr>
            </w:pPr>
          </w:p>
          <w:p>
            <w:pPr>
              <w:pStyle w:val="TableParagraph"/>
              <w:rPr>
                <w:b/>
                <w:sz w:val="16"/>
              </w:rPr>
            </w:pPr>
          </w:p>
          <w:p>
            <w:pPr>
              <w:pStyle w:val="TableParagraph"/>
              <w:spacing w:before="181"/>
              <w:rPr>
                <w:b/>
                <w:sz w:val="16"/>
              </w:rPr>
            </w:pPr>
          </w:p>
          <w:p>
            <w:pPr>
              <w:pStyle w:val="TableParagraph"/>
              <w:ind w:left="72" w:right="309"/>
              <w:jc w:val="both"/>
              <w:rPr>
                <w:sz w:val="16"/>
              </w:rPr>
            </w:pPr>
            <w:r>
              <w:rPr>
                <w:sz w:val="16"/>
              </w:rPr>
              <w:t>Cantidad</w:t>
            </w:r>
            <w:r>
              <w:rPr>
                <w:spacing w:val="-12"/>
                <w:sz w:val="16"/>
              </w:rPr>
              <w:t> </w:t>
            </w:r>
            <w:r>
              <w:rPr>
                <w:sz w:val="16"/>
              </w:rPr>
              <w:t>de </w:t>
            </w:r>
            <w:r>
              <w:rPr>
                <w:spacing w:val="-2"/>
                <w:sz w:val="16"/>
              </w:rPr>
              <w:t>diagnósticos realizados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21" w:right="12"/>
              <w:jc w:val="center"/>
              <w:rPr>
                <w:sz w:val="16"/>
              </w:rPr>
            </w:pPr>
            <w:r>
              <w:rPr>
                <w:spacing w:val="-10"/>
                <w:sz w:val="16"/>
              </w:rPr>
              <w:t>1</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right="1"/>
              <w:jc w:val="center"/>
              <w:rPr>
                <w:sz w:val="16"/>
              </w:rPr>
            </w:pPr>
            <w:r>
              <w:rPr>
                <w:spacing w:val="-10"/>
                <w:sz w:val="16"/>
              </w:rPr>
              <w:t>1</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16" w:right="19"/>
              <w:jc w:val="center"/>
              <w:rPr>
                <w:sz w:val="16"/>
              </w:rPr>
            </w:pPr>
            <w:r>
              <w:rPr>
                <w:spacing w:val="-10"/>
                <w:sz w:val="16"/>
              </w:rPr>
              <w:t>1</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4" w:right="1"/>
              <w:jc w:val="center"/>
              <w:rPr>
                <w:sz w:val="16"/>
              </w:rPr>
            </w:pPr>
            <w:r>
              <w:rPr>
                <w:spacing w:val="-10"/>
                <w:sz w:val="16"/>
              </w:rPr>
              <w:t>1</w:t>
            </w:r>
          </w:p>
        </w:tc>
        <w:tc>
          <w:tcPr>
            <w:tcW w:w="1494" w:type="dxa"/>
          </w:tcPr>
          <w:p>
            <w:pPr>
              <w:pStyle w:val="TableParagraph"/>
              <w:rPr>
                <w:rFonts w:ascii="Times New Roman"/>
                <w:sz w:val="16"/>
              </w:rPr>
            </w:pPr>
          </w:p>
        </w:tc>
      </w:tr>
      <w:tr>
        <w:trPr>
          <w:trHeight w:val="1838"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1.49.2:</w:t>
            </w:r>
          </w:p>
          <w:p>
            <w:pPr>
              <w:pStyle w:val="TableParagraph"/>
              <w:ind w:left="72" w:right="84"/>
              <w:rPr>
                <w:sz w:val="16"/>
              </w:rPr>
            </w:pPr>
            <w:r>
              <w:rPr>
                <w:sz w:val="16"/>
              </w:rPr>
              <w:t>Asignación</w:t>
            </w:r>
            <w:r>
              <w:rPr>
                <w:spacing w:val="-12"/>
                <w:sz w:val="16"/>
              </w:rPr>
              <w:t> </w:t>
            </w:r>
            <w:r>
              <w:rPr>
                <w:sz w:val="16"/>
              </w:rPr>
              <w:t>de</w:t>
            </w:r>
            <w:r>
              <w:rPr>
                <w:spacing w:val="-11"/>
                <w:sz w:val="16"/>
              </w:rPr>
              <w:t> </w:t>
            </w:r>
            <w:r>
              <w:rPr>
                <w:sz w:val="16"/>
              </w:rPr>
              <w:t>equipo tecnológico</w:t>
            </w:r>
            <w:r>
              <w:rPr>
                <w:spacing w:val="-2"/>
                <w:sz w:val="16"/>
              </w:rPr>
              <w:t> </w:t>
            </w:r>
            <w:r>
              <w:rPr>
                <w:sz w:val="16"/>
              </w:rPr>
              <w:t>a personal</w:t>
            </w:r>
            <w:r>
              <w:rPr>
                <w:spacing w:val="-6"/>
                <w:sz w:val="16"/>
              </w:rPr>
              <w:t> </w:t>
            </w:r>
            <w:r>
              <w:rPr>
                <w:sz w:val="16"/>
              </w:rPr>
              <w:t>institucional adecuado a los procesos</w:t>
            </w:r>
            <w:r>
              <w:rPr>
                <w:spacing w:val="-12"/>
                <w:sz w:val="16"/>
              </w:rPr>
              <w:t> </w:t>
            </w:r>
            <w:r>
              <w:rPr>
                <w:sz w:val="16"/>
              </w:rPr>
              <w:t>de</w:t>
            </w:r>
            <w:r>
              <w:rPr>
                <w:spacing w:val="-11"/>
                <w:sz w:val="16"/>
              </w:rPr>
              <w:t> </w:t>
            </w:r>
            <w:r>
              <w:rPr>
                <w:sz w:val="16"/>
              </w:rPr>
              <w:t>atención en los territorios (vinculada a PEI</w:t>
            </w:r>
          </w:p>
          <w:p>
            <w:pPr>
              <w:pStyle w:val="TableParagraph"/>
              <w:spacing w:line="163" w:lineRule="exact"/>
              <w:ind w:left="72"/>
              <w:rPr>
                <w:sz w:val="16"/>
              </w:rPr>
            </w:pPr>
            <w:r>
              <w:rPr>
                <w:spacing w:val="-2"/>
                <w:sz w:val="16"/>
              </w:rPr>
              <w:t>3.11.1).</w:t>
            </w:r>
          </w:p>
        </w:tc>
        <w:tc>
          <w:tcPr>
            <w:tcW w:w="1278" w:type="dxa"/>
          </w:tcPr>
          <w:p>
            <w:pPr>
              <w:pStyle w:val="TableParagraph"/>
              <w:ind w:left="72" w:right="113"/>
              <w:rPr>
                <w:sz w:val="16"/>
              </w:rPr>
            </w:pPr>
            <w:r>
              <w:rPr>
                <w:sz w:val="16"/>
              </w:rPr>
              <w:t>Porcentaje de personal en ARDS que cuentan</w:t>
            </w:r>
            <w:r>
              <w:rPr>
                <w:spacing w:val="-2"/>
                <w:sz w:val="16"/>
              </w:rPr>
              <w:t> </w:t>
            </w:r>
            <w:r>
              <w:rPr>
                <w:sz w:val="16"/>
              </w:rPr>
              <w:t>con </w:t>
            </w:r>
            <w:r>
              <w:rPr>
                <w:spacing w:val="-2"/>
                <w:sz w:val="16"/>
              </w:rPr>
              <w:t>equipo tecnológico </w:t>
            </w:r>
            <w:r>
              <w:rPr>
                <w:sz w:val="16"/>
              </w:rPr>
              <w:t>adecuado</w:t>
            </w:r>
            <w:r>
              <w:rPr>
                <w:spacing w:val="-12"/>
                <w:sz w:val="16"/>
              </w:rPr>
              <w:t> </w:t>
            </w:r>
            <w:r>
              <w:rPr>
                <w:sz w:val="16"/>
              </w:rPr>
              <w:t>a</w:t>
            </w:r>
            <w:r>
              <w:rPr>
                <w:spacing w:val="-11"/>
                <w:sz w:val="16"/>
              </w:rPr>
              <w:t> </w:t>
            </w:r>
            <w:r>
              <w:rPr>
                <w:sz w:val="16"/>
              </w:rPr>
              <w:t>los procesos de atención</w:t>
            </w:r>
            <w:r>
              <w:rPr>
                <w:spacing w:val="-12"/>
                <w:sz w:val="16"/>
              </w:rPr>
              <w:t> </w:t>
            </w:r>
            <w:r>
              <w:rPr>
                <w:sz w:val="16"/>
              </w:rPr>
              <w:t>de</w:t>
            </w:r>
            <w:r>
              <w:rPr>
                <w:spacing w:val="-11"/>
                <w:sz w:val="16"/>
              </w:rPr>
              <w:t> </w:t>
            </w:r>
            <w:r>
              <w:rPr>
                <w:sz w:val="16"/>
              </w:rPr>
              <w:t>los</w:t>
            </w:r>
          </w:p>
          <w:p>
            <w:pPr>
              <w:pStyle w:val="TableParagraph"/>
              <w:spacing w:line="163" w:lineRule="exact"/>
              <w:ind w:left="72"/>
              <w:rPr>
                <w:sz w:val="16"/>
              </w:rPr>
            </w:pPr>
            <w:r>
              <w:rPr>
                <w:spacing w:val="-2"/>
                <w:sz w:val="16"/>
              </w:rPr>
              <w:t>territorios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518" w:hRule="atLeast"/>
        </w:trPr>
        <w:tc>
          <w:tcPr>
            <w:tcW w:w="14323" w:type="dxa"/>
            <w:gridSpan w:val="10"/>
            <w:shd w:val="clear" w:color="auto" w:fill="EFF8F9"/>
          </w:tcPr>
          <w:p>
            <w:pPr>
              <w:pStyle w:val="TableParagraph"/>
              <w:spacing w:before="166"/>
              <w:ind w:left="72"/>
              <w:rPr>
                <w:b/>
                <w:sz w:val="16"/>
              </w:rPr>
            </w:pPr>
            <w:r>
              <w:rPr>
                <w:b/>
                <w:sz w:val="16"/>
              </w:rPr>
              <w:t>Producto</w:t>
            </w:r>
            <w:r>
              <w:rPr>
                <w:b/>
                <w:spacing w:val="-2"/>
                <w:sz w:val="16"/>
              </w:rPr>
              <w:t> </w:t>
            </w:r>
            <w:r>
              <w:rPr>
                <w:b/>
                <w:sz w:val="16"/>
              </w:rPr>
              <w:t>PPPS</w:t>
            </w:r>
            <w:r>
              <w:rPr>
                <w:b/>
                <w:spacing w:val="-1"/>
                <w:sz w:val="16"/>
              </w:rPr>
              <w:t> </w:t>
            </w:r>
            <w:r>
              <w:rPr>
                <w:b/>
                <w:sz w:val="16"/>
              </w:rPr>
              <w:t>1.50:</w:t>
            </w:r>
            <w:r>
              <w:rPr>
                <w:b/>
                <w:spacing w:val="-5"/>
                <w:sz w:val="16"/>
              </w:rPr>
              <w:t> </w:t>
            </w:r>
            <w:r>
              <w:rPr>
                <w:b/>
                <w:sz w:val="16"/>
              </w:rPr>
              <w:t>Sistemas</w:t>
            </w:r>
            <w:r>
              <w:rPr>
                <w:b/>
                <w:spacing w:val="-2"/>
                <w:sz w:val="16"/>
              </w:rPr>
              <w:t> </w:t>
            </w:r>
            <w:r>
              <w:rPr>
                <w:b/>
                <w:sz w:val="16"/>
              </w:rPr>
              <w:t>de</w:t>
            </w:r>
            <w:r>
              <w:rPr>
                <w:b/>
                <w:spacing w:val="-3"/>
                <w:sz w:val="16"/>
              </w:rPr>
              <w:t> </w:t>
            </w:r>
            <w:r>
              <w:rPr>
                <w:b/>
                <w:sz w:val="16"/>
              </w:rPr>
              <w:t>información</w:t>
            </w:r>
            <w:r>
              <w:rPr>
                <w:b/>
                <w:spacing w:val="-1"/>
                <w:sz w:val="16"/>
              </w:rPr>
              <w:t> </w:t>
            </w:r>
            <w:r>
              <w:rPr>
                <w:b/>
                <w:sz w:val="16"/>
              </w:rPr>
              <w:t>utilizados</w:t>
            </w:r>
            <w:r>
              <w:rPr>
                <w:b/>
                <w:spacing w:val="-2"/>
                <w:sz w:val="16"/>
              </w:rPr>
              <w:t> </w:t>
            </w:r>
            <w:r>
              <w:rPr>
                <w:b/>
                <w:sz w:val="16"/>
              </w:rPr>
              <w:t>en</w:t>
            </w:r>
            <w:r>
              <w:rPr>
                <w:b/>
                <w:spacing w:val="-6"/>
                <w:sz w:val="16"/>
              </w:rPr>
              <w:t> </w:t>
            </w:r>
            <w:r>
              <w:rPr>
                <w:b/>
                <w:sz w:val="16"/>
              </w:rPr>
              <w:t>la</w:t>
            </w:r>
            <w:r>
              <w:rPr>
                <w:b/>
                <w:spacing w:val="-2"/>
                <w:sz w:val="16"/>
              </w:rPr>
              <w:t> </w:t>
            </w:r>
            <w:r>
              <w:rPr>
                <w:b/>
                <w:sz w:val="16"/>
              </w:rPr>
              <w:t>atención</w:t>
            </w:r>
            <w:r>
              <w:rPr>
                <w:b/>
                <w:spacing w:val="-1"/>
                <w:sz w:val="16"/>
              </w:rPr>
              <w:t> </w:t>
            </w:r>
            <w:r>
              <w:rPr>
                <w:b/>
                <w:sz w:val="16"/>
              </w:rPr>
              <w:t>de</w:t>
            </w:r>
            <w:r>
              <w:rPr>
                <w:b/>
                <w:spacing w:val="-6"/>
                <w:sz w:val="16"/>
              </w:rPr>
              <w:t> </w:t>
            </w:r>
            <w:r>
              <w:rPr>
                <w:b/>
                <w:sz w:val="16"/>
              </w:rPr>
              <w:t>la</w:t>
            </w:r>
            <w:r>
              <w:rPr>
                <w:b/>
                <w:spacing w:val="-6"/>
                <w:sz w:val="16"/>
              </w:rPr>
              <w:t> </w:t>
            </w:r>
            <w:r>
              <w:rPr>
                <w:b/>
                <w:sz w:val="16"/>
              </w:rPr>
              <w:t>población</w:t>
            </w:r>
            <w:r>
              <w:rPr>
                <w:b/>
                <w:spacing w:val="-1"/>
                <w:sz w:val="16"/>
              </w:rPr>
              <w:t> </w:t>
            </w:r>
            <w:r>
              <w:rPr>
                <w:b/>
                <w:sz w:val="16"/>
              </w:rPr>
              <w:t>objetivo,</w:t>
            </w:r>
            <w:r>
              <w:rPr>
                <w:b/>
                <w:spacing w:val="-5"/>
                <w:sz w:val="16"/>
              </w:rPr>
              <w:t> </w:t>
            </w:r>
            <w:r>
              <w:rPr>
                <w:b/>
                <w:sz w:val="16"/>
              </w:rPr>
              <w:t>adaptados</w:t>
            </w:r>
            <w:r>
              <w:rPr>
                <w:b/>
                <w:spacing w:val="-3"/>
                <w:sz w:val="16"/>
              </w:rPr>
              <w:t> </w:t>
            </w:r>
            <w:r>
              <w:rPr>
                <w:b/>
                <w:sz w:val="16"/>
              </w:rPr>
              <w:t>para</w:t>
            </w:r>
            <w:r>
              <w:rPr>
                <w:b/>
                <w:spacing w:val="-6"/>
                <w:sz w:val="16"/>
              </w:rPr>
              <w:t> </w:t>
            </w:r>
            <w:r>
              <w:rPr>
                <w:b/>
                <w:sz w:val="16"/>
              </w:rPr>
              <w:t>realizar atención</w:t>
            </w:r>
            <w:r>
              <w:rPr>
                <w:b/>
                <w:spacing w:val="-5"/>
                <w:sz w:val="16"/>
              </w:rPr>
              <w:t> </w:t>
            </w:r>
            <w:r>
              <w:rPr>
                <w:b/>
                <w:sz w:val="16"/>
              </w:rPr>
              <w:t>itinerante</w:t>
            </w:r>
            <w:r>
              <w:rPr>
                <w:b/>
                <w:spacing w:val="-6"/>
                <w:sz w:val="16"/>
              </w:rPr>
              <w:t> </w:t>
            </w:r>
            <w:r>
              <w:rPr>
                <w:b/>
                <w:sz w:val="16"/>
              </w:rPr>
              <w:t>en</w:t>
            </w:r>
            <w:r>
              <w:rPr>
                <w:b/>
                <w:spacing w:val="-5"/>
                <w:sz w:val="16"/>
              </w:rPr>
              <w:t> </w:t>
            </w:r>
            <w:r>
              <w:rPr>
                <w:b/>
                <w:sz w:val="16"/>
              </w:rPr>
              <w:t>territorios</w:t>
            </w:r>
            <w:r>
              <w:rPr>
                <w:b/>
                <w:spacing w:val="-2"/>
                <w:sz w:val="16"/>
              </w:rPr>
              <w:t> </w:t>
            </w:r>
            <w:r>
              <w:rPr>
                <w:b/>
                <w:sz w:val="16"/>
              </w:rPr>
              <w:t>sin</w:t>
            </w:r>
            <w:r>
              <w:rPr>
                <w:b/>
                <w:spacing w:val="-2"/>
                <w:sz w:val="16"/>
              </w:rPr>
              <w:t> </w:t>
            </w:r>
            <w:r>
              <w:rPr>
                <w:b/>
                <w:sz w:val="16"/>
              </w:rPr>
              <w:t>conectividad.</w:t>
            </w:r>
            <w:r>
              <w:rPr>
                <w:b/>
                <w:spacing w:val="-1"/>
                <w:sz w:val="16"/>
              </w:rPr>
              <w:t> </w:t>
            </w:r>
            <w:r>
              <w:rPr>
                <w:b/>
                <w:sz w:val="16"/>
              </w:rPr>
              <w:t>E3</w:t>
            </w:r>
            <w:r>
              <w:rPr>
                <w:b/>
                <w:spacing w:val="-7"/>
                <w:sz w:val="16"/>
              </w:rPr>
              <w:t> </w:t>
            </w:r>
            <w:r>
              <w:rPr>
                <w:b/>
                <w:sz w:val="16"/>
              </w:rPr>
              <w:t>AE11</w:t>
            </w:r>
            <w:r>
              <w:rPr>
                <w:b/>
                <w:spacing w:val="-6"/>
                <w:sz w:val="16"/>
              </w:rPr>
              <w:t> </w:t>
            </w:r>
            <w:r>
              <w:rPr>
                <w:b/>
                <w:spacing w:val="-5"/>
                <w:sz w:val="16"/>
              </w:rPr>
              <w:t>R2</w:t>
            </w:r>
          </w:p>
        </w:tc>
      </w:tr>
    </w:tbl>
    <w:p>
      <w:pPr>
        <w:pStyle w:val="TableParagraph"/>
        <w:spacing w:after="0"/>
        <w:rPr>
          <w:b/>
          <w:sz w:val="16"/>
        </w:rPr>
        <w:sectPr>
          <w:footerReference w:type="default" r:id="rId73"/>
          <w:pgSz w:w="15840" w:h="12240" w:orient="landscape"/>
          <w:pgMar w:header="0" w:footer="1806" w:top="700" w:bottom="2995" w:left="360" w:right="360"/>
          <w:pgNumType w:start="172"/>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2208" w:hRule="atLeast"/>
        </w:trPr>
        <w:tc>
          <w:tcPr>
            <w:tcW w:w="1695" w:type="dxa"/>
          </w:tcPr>
          <w:p>
            <w:pPr>
              <w:pStyle w:val="TableParagraph"/>
              <w:spacing w:before="93"/>
              <w:rPr>
                <w:b/>
                <w:sz w:val="16"/>
              </w:rPr>
            </w:pPr>
          </w:p>
          <w:p>
            <w:pPr>
              <w:pStyle w:val="TableParagraph"/>
              <w:ind w:left="72"/>
              <w:rPr>
                <w:b/>
                <w:sz w:val="16"/>
              </w:rPr>
            </w:pPr>
            <w:r>
              <w:rPr>
                <w:b/>
                <w:spacing w:val="-2"/>
                <w:sz w:val="16"/>
              </w:rPr>
              <w:t>Actividad</w:t>
            </w:r>
            <w:r>
              <w:rPr>
                <w:b/>
                <w:spacing w:val="-10"/>
                <w:sz w:val="16"/>
              </w:rPr>
              <w:t> </w:t>
            </w:r>
            <w:r>
              <w:rPr>
                <w:b/>
                <w:spacing w:val="-2"/>
                <w:sz w:val="16"/>
              </w:rPr>
              <w:t>PPPS 1.50.1:</w:t>
            </w:r>
          </w:p>
          <w:p>
            <w:pPr>
              <w:pStyle w:val="TableParagraph"/>
              <w:spacing w:before="2"/>
              <w:ind w:left="72" w:right="377"/>
              <w:rPr>
                <w:sz w:val="16"/>
              </w:rPr>
            </w:pPr>
            <w:r>
              <w:rPr>
                <w:sz w:val="16"/>
              </w:rPr>
              <w:t>Sistemas de </w:t>
            </w:r>
            <w:r>
              <w:rPr>
                <w:spacing w:val="-2"/>
                <w:sz w:val="16"/>
              </w:rPr>
              <w:t>información </w:t>
            </w:r>
            <w:r>
              <w:rPr>
                <w:sz w:val="16"/>
              </w:rPr>
              <w:t>adaptados</w:t>
            </w:r>
            <w:r>
              <w:rPr>
                <w:spacing w:val="-12"/>
                <w:sz w:val="16"/>
              </w:rPr>
              <w:t> </w:t>
            </w:r>
            <w:r>
              <w:rPr>
                <w:sz w:val="16"/>
              </w:rPr>
              <w:t>según </w:t>
            </w:r>
            <w:r>
              <w:rPr>
                <w:spacing w:val="-2"/>
                <w:sz w:val="16"/>
              </w:rPr>
              <w:t>requerimientos identificados </w:t>
            </w:r>
            <w:r>
              <w:rPr>
                <w:sz w:val="16"/>
              </w:rPr>
              <w:t>(vinculada a PEI </w:t>
            </w:r>
            <w:r>
              <w:rPr>
                <w:spacing w:val="-2"/>
                <w:sz w:val="16"/>
              </w:rPr>
              <w:t>3.11.2).</w:t>
            </w:r>
          </w:p>
        </w:tc>
        <w:tc>
          <w:tcPr>
            <w:tcW w:w="1278" w:type="dxa"/>
          </w:tcPr>
          <w:p>
            <w:pPr>
              <w:pStyle w:val="TableParagraph"/>
              <w:ind w:left="72" w:right="140"/>
              <w:rPr>
                <w:sz w:val="16"/>
              </w:rPr>
            </w:pPr>
            <w:r>
              <w:rPr>
                <w:sz w:val="16"/>
              </w:rPr>
              <w:t>Porcentaje de sistemas de </w:t>
            </w:r>
            <w:r>
              <w:rPr>
                <w:spacing w:val="-2"/>
                <w:sz w:val="16"/>
              </w:rPr>
              <w:t>información </w:t>
            </w:r>
            <w:r>
              <w:rPr>
                <w:sz w:val="16"/>
              </w:rPr>
              <w:t>utilizados</w:t>
            </w:r>
            <w:r>
              <w:rPr>
                <w:spacing w:val="-12"/>
                <w:sz w:val="16"/>
              </w:rPr>
              <w:t> </w:t>
            </w:r>
            <w:r>
              <w:rPr>
                <w:sz w:val="16"/>
              </w:rPr>
              <w:t>en</w:t>
            </w:r>
            <w:r>
              <w:rPr>
                <w:spacing w:val="-11"/>
                <w:sz w:val="16"/>
              </w:rPr>
              <w:t> </w:t>
            </w:r>
            <w:r>
              <w:rPr>
                <w:sz w:val="16"/>
              </w:rPr>
              <w:t>la atención de la </w:t>
            </w:r>
            <w:r>
              <w:rPr>
                <w:spacing w:val="-2"/>
                <w:sz w:val="16"/>
              </w:rPr>
              <w:t>población objetivo, adaptados, </w:t>
            </w:r>
            <w:r>
              <w:rPr>
                <w:sz w:val="16"/>
              </w:rPr>
              <w:t>según</w:t>
            </w:r>
            <w:r>
              <w:rPr>
                <w:spacing w:val="-2"/>
                <w:sz w:val="16"/>
              </w:rPr>
              <w:t> </w:t>
            </w:r>
            <w:r>
              <w:rPr>
                <w:sz w:val="16"/>
              </w:rPr>
              <w:t>la </w:t>
            </w:r>
            <w:r>
              <w:rPr>
                <w:spacing w:val="-2"/>
                <w:sz w:val="16"/>
              </w:rPr>
              <w:t>viabilidad</w:t>
            </w:r>
          </w:p>
          <w:p>
            <w:pPr>
              <w:pStyle w:val="TableParagraph"/>
              <w:spacing w:line="182" w:lineRule="exact"/>
              <w:ind w:left="72" w:right="220"/>
              <w:rPr>
                <w:sz w:val="16"/>
              </w:rPr>
            </w:pPr>
            <w:r>
              <w:rPr>
                <w:sz w:val="16"/>
              </w:rPr>
              <w:t>técnica</w:t>
            </w:r>
            <w:r>
              <w:rPr>
                <w:spacing w:val="-12"/>
                <w:sz w:val="16"/>
              </w:rPr>
              <w:t> </w:t>
            </w:r>
            <w:r>
              <w:rPr>
                <w:sz w:val="16"/>
              </w:rPr>
              <w:t>de</w:t>
            </w:r>
            <w:r>
              <w:rPr>
                <w:spacing w:val="-11"/>
                <w:sz w:val="16"/>
              </w:rPr>
              <w:t> </w:t>
            </w:r>
            <w:r>
              <w:rPr>
                <w:sz w:val="16"/>
              </w:rPr>
              <w:t>los </w:t>
            </w:r>
            <w:r>
              <w:rPr>
                <w:spacing w:val="-2"/>
                <w:sz w:val="16"/>
              </w:rPr>
              <w:t>sistemas.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1"/>
              <w:jc w:val="center"/>
              <w:rPr>
                <w:sz w:val="16"/>
              </w:rPr>
            </w:pPr>
            <w:r>
              <w:rPr>
                <w:spacing w:val="-5"/>
                <w:sz w:val="16"/>
              </w:rPr>
              <w:t>35%</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16" w:right="19"/>
              <w:jc w:val="center"/>
              <w:rPr>
                <w:sz w:val="16"/>
              </w:rPr>
            </w:pPr>
            <w:r>
              <w:rPr>
                <w:spacing w:val="-5"/>
                <w:sz w:val="16"/>
              </w:rPr>
              <w:t>75%</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4" w:right="1"/>
              <w:jc w:val="center"/>
              <w:rPr>
                <w:sz w:val="16"/>
              </w:rPr>
            </w:pPr>
            <w:r>
              <w:rPr>
                <w:spacing w:val="-5"/>
                <w:sz w:val="16"/>
              </w:rPr>
              <w:t>75%</w:t>
            </w:r>
          </w:p>
        </w:tc>
        <w:tc>
          <w:tcPr>
            <w:tcW w:w="1494" w:type="dxa"/>
          </w:tcPr>
          <w:p>
            <w:pPr>
              <w:pStyle w:val="TableParagraph"/>
              <w:rPr>
                <w:rFonts w:ascii="Times New Roman"/>
                <w:sz w:val="16"/>
              </w:rPr>
            </w:pPr>
          </w:p>
        </w:tc>
      </w:tr>
      <w:tr>
        <w:trPr>
          <w:trHeight w:val="451" w:hRule="atLeast"/>
        </w:trPr>
        <w:tc>
          <w:tcPr>
            <w:tcW w:w="14323" w:type="dxa"/>
            <w:gridSpan w:val="10"/>
            <w:shd w:val="clear" w:color="auto" w:fill="EFF8F9"/>
          </w:tcPr>
          <w:p>
            <w:pPr>
              <w:pStyle w:val="TableParagraph"/>
              <w:spacing w:before="41"/>
              <w:ind w:left="72" w:right="95"/>
              <w:rPr>
                <w:b/>
                <w:sz w:val="16"/>
              </w:rPr>
            </w:pPr>
            <w:r>
              <w:rPr>
                <w:b/>
                <w:sz w:val="16"/>
              </w:rPr>
              <w:t>Producto PPPS 1.51:</w:t>
            </w:r>
            <w:r>
              <w:rPr>
                <w:b/>
                <w:spacing w:val="-4"/>
                <w:sz w:val="16"/>
              </w:rPr>
              <w:t> </w:t>
            </w:r>
            <w:r>
              <w:rPr>
                <w:b/>
                <w:sz w:val="16"/>
              </w:rPr>
              <w:t>Acciones</w:t>
            </w:r>
            <w:r>
              <w:rPr>
                <w:b/>
                <w:spacing w:val="-1"/>
                <w:sz w:val="16"/>
              </w:rPr>
              <w:t> </w:t>
            </w:r>
            <w:r>
              <w:rPr>
                <w:b/>
                <w:sz w:val="16"/>
              </w:rPr>
              <w:t>de</w:t>
            </w:r>
            <w:r>
              <w:rPr>
                <w:b/>
                <w:spacing w:val="-1"/>
                <w:sz w:val="16"/>
              </w:rPr>
              <w:t> </w:t>
            </w:r>
            <w:r>
              <w:rPr>
                <w:b/>
                <w:sz w:val="16"/>
              </w:rPr>
              <w:t>promoción</w:t>
            </w:r>
            <w:r>
              <w:rPr>
                <w:b/>
                <w:spacing w:val="-4"/>
                <w:sz w:val="16"/>
              </w:rPr>
              <w:t> </w:t>
            </w:r>
            <w:r>
              <w:rPr>
                <w:b/>
                <w:sz w:val="16"/>
              </w:rPr>
              <w:t>dirigidas</w:t>
            </w:r>
            <w:r>
              <w:rPr>
                <w:b/>
                <w:spacing w:val="-5"/>
                <w:sz w:val="16"/>
              </w:rPr>
              <w:t> </w:t>
            </w:r>
            <w:r>
              <w:rPr>
                <w:b/>
                <w:sz w:val="16"/>
              </w:rPr>
              <w:t>hacia</w:t>
            </w:r>
            <w:r>
              <w:rPr>
                <w:b/>
                <w:spacing w:val="-1"/>
                <w:sz w:val="16"/>
              </w:rPr>
              <w:t> </w:t>
            </w:r>
            <w:r>
              <w:rPr>
                <w:b/>
                <w:sz w:val="16"/>
              </w:rPr>
              <w:t>la</w:t>
            </w:r>
            <w:r>
              <w:rPr>
                <w:b/>
                <w:spacing w:val="-1"/>
                <w:sz w:val="16"/>
              </w:rPr>
              <w:t> </w:t>
            </w:r>
            <w:r>
              <w:rPr>
                <w:b/>
                <w:sz w:val="16"/>
              </w:rPr>
              <w:t>igualdad y</w:t>
            </w:r>
            <w:r>
              <w:rPr>
                <w:b/>
                <w:spacing w:val="-5"/>
                <w:sz w:val="16"/>
              </w:rPr>
              <w:t> </w:t>
            </w:r>
            <w:r>
              <w:rPr>
                <w:b/>
                <w:sz w:val="16"/>
              </w:rPr>
              <w:t>equidad</w:t>
            </w:r>
            <w:r>
              <w:rPr>
                <w:b/>
                <w:spacing w:val="-4"/>
                <w:sz w:val="16"/>
              </w:rPr>
              <w:t> </w:t>
            </w:r>
            <w:r>
              <w:rPr>
                <w:b/>
                <w:sz w:val="16"/>
              </w:rPr>
              <w:t>en</w:t>
            </w:r>
            <w:r>
              <w:rPr>
                <w:b/>
                <w:spacing w:val="-4"/>
                <w:sz w:val="16"/>
              </w:rPr>
              <w:t> </w:t>
            </w:r>
            <w:r>
              <w:rPr>
                <w:b/>
                <w:sz w:val="16"/>
              </w:rPr>
              <w:t>los</w:t>
            </w:r>
            <w:r>
              <w:rPr>
                <w:b/>
                <w:spacing w:val="-1"/>
                <w:sz w:val="16"/>
              </w:rPr>
              <w:t> </w:t>
            </w:r>
            <w:r>
              <w:rPr>
                <w:b/>
                <w:sz w:val="16"/>
              </w:rPr>
              <w:t>procesos</w:t>
            </w:r>
            <w:r>
              <w:rPr>
                <w:b/>
                <w:spacing w:val="-5"/>
                <w:sz w:val="16"/>
              </w:rPr>
              <w:t> </w:t>
            </w:r>
            <w:r>
              <w:rPr>
                <w:b/>
                <w:sz w:val="16"/>
              </w:rPr>
              <w:t>de</w:t>
            </w:r>
            <w:r>
              <w:rPr>
                <w:b/>
                <w:spacing w:val="-1"/>
                <w:sz w:val="16"/>
              </w:rPr>
              <w:t> </w:t>
            </w:r>
            <w:r>
              <w:rPr>
                <w:b/>
                <w:sz w:val="16"/>
              </w:rPr>
              <w:t>atención e</w:t>
            </w:r>
            <w:r>
              <w:rPr>
                <w:b/>
                <w:spacing w:val="-5"/>
                <w:sz w:val="16"/>
              </w:rPr>
              <w:t> </w:t>
            </w:r>
            <w:r>
              <w:rPr>
                <w:b/>
                <w:sz w:val="16"/>
              </w:rPr>
              <w:t>intervención institucional con</w:t>
            </w:r>
            <w:r>
              <w:rPr>
                <w:b/>
                <w:spacing w:val="-4"/>
                <w:sz w:val="16"/>
              </w:rPr>
              <w:t> </w:t>
            </w:r>
            <w:r>
              <w:rPr>
                <w:b/>
                <w:sz w:val="16"/>
              </w:rPr>
              <w:t>diversos</w:t>
            </w:r>
            <w:r>
              <w:rPr>
                <w:b/>
                <w:spacing w:val="-1"/>
                <w:sz w:val="16"/>
              </w:rPr>
              <w:t> </w:t>
            </w:r>
            <w:r>
              <w:rPr>
                <w:b/>
                <w:sz w:val="16"/>
              </w:rPr>
              <w:t>segmentos</w:t>
            </w:r>
            <w:r>
              <w:rPr>
                <w:b/>
                <w:spacing w:val="-1"/>
                <w:sz w:val="16"/>
              </w:rPr>
              <w:t> </w:t>
            </w:r>
            <w:r>
              <w:rPr>
                <w:b/>
                <w:sz w:val="16"/>
              </w:rPr>
              <w:t>y</w:t>
            </w:r>
            <w:r>
              <w:rPr>
                <w:b/>
                <w:spacing w:val="-5"/>
                <w:sz w:val="16"/>
              </w:rPr>
              <w:t> </w:t>
            </w:r>
            <w:r>
              <w:rPr>
                <w:b/>
                <w:sz w:val="16"/>
              </w:rPr>
              <w:t>perfiles </w:t>
            </w:r>
            <w:r>
              <w:rPr>
                <w:b/>
                <w:spacing w:val="-2"/>
                <w:sz w:val="16"/>
              </w:rPr>
              <w:t>poblacionales.</w:t>
            </w:r>
          </w:p>
        </w:tc>
      </w:tr>
      <w:tr>
        <w:trPr>
          <w:trHeight w:val="1655" w:hRule="atLeast"/>
        </w:trPr>
        <w:tc>
          <w:tcPr>
            <w:tcW w:w="1695" w:type="dxa"/>
            <w:vMerge w:val="restart"/>
          </w:tcPr>
          <w:p>
            <w:pPr>
              <w:pStyle w:val="TableParagraph"/>
              <w:rPr>
                <w:b/>
                <w:sz w:val="16"/>
              </w:rPr>
            </w:pPr>
          </w:p>
          <w:p>
            <w:pPr>
              <w:pStyle w:val="TableParagraph"/>
              <w:spacing w:before="96"/>
              <w:rPr>
                <w:b/>
                <w:sz w:val="16"/>
              </w:rPr>
            </w:pPr>
          </w:p>
          <w:p>
            <w:pPr>
              <w:pStyle w:val="TableParagraph"/>
              <w:spacing w:line="244" w:lineRule="auto"/>
              <w:ind w:left="72"/>
              <w:rPr>
                <w:b/>
                <w:sz w:val="16"/>
              </w:rPr>
            </w:pPr>
            <w:r>
              <w:rPr>
                <w:b/>
                <w:spacing w:val="-2"/>
                <w:sz w:val="16"/>
              </w:rPr>
              <w:t>Actividad</w:t>
            </w:r>
            <w:r>
              <w:rPr>
                <w:b/>
                <w:spacing w:val="-10"/>
                <w:sz w:val="16"/>
              </w:rPr>
              <w:t> </w:t>
            </w:r>
            <w:r>
              <w:rPr>
                <w:b/>
                <w:spacing w:val="-2"/>
                <w:sz w:val="16"/>
              </w:rPr>
              <w:t>PPPS 1.51.1:</w:t>
            </w:r>
          </w:p>
          <w:p>
            <w:pPr>
              <w:pStyle w:val="TableParagraph"/>
              <w:ind w:left="72" w:right="68"/>
              <w:rPr>
                <w:sz w:val="16"/>
              </w:rPr>
            </w:pPr>
            <w:r>
              <w:rPr>
                <w:sz w:val="16"/>
              </w:rPr>
              <w:t>Contar</w:t>
            </w:r>
            <w:r>
              <w:rPr>
                <w:spacing w:val="-12"/>
                <w:sz w:val="16"/>
              </w:rPr>
              <w:t> </w:t>
            </w:r>
            <w:r>
              <w:rPr>
                <w:sz w:val="16"/>
              </w:rPr>
              <w:t>con</w:t>
            </w:r>
            <w:r>
              <w:rPr>
                <w:spacing w:val="-11"/>
                <w:sz w:val="16"/>
              </w:rPr>
              <w:t> </w:t>
            </w:r>
            <w:r>
              <w:rPr>
                <w:sz w:val="16"/>
              </w:rPr>
              <w:t>una</w:t>
            </w:r>
            <w:r>
              <w:rPr>
                <w:spacing w:val="-11"/>
                <w:sz w:val="16"/>
              </w:rPr>
              <w:t> </w:t>
            </w:r>
            <w:r>
              <w:rPr>
                <w:sz w:val="16"/>
              </w:rPr>
              <w:t>oferta de servicios de cuidados de calidad que</w:t>
            </w:r>
            <w:r>
              <w:rPr>
                <w:spacing w:val="-12"/>
                <w:sz w:val="16"/>
              </w:rPr>
              <w:t> </w:t>
            </w:r>
            <w:r>
              <w:rPr>
                <w:sz w:val="16"/>
              </w:rPr>
              <w:t>incorpore</w:t>
            </w:r>
            <w:r>
              <w:rPr>
                <w:spacing w:val="-11"/>
                <w:sz w:val="16"/>
              </w:rPr>
              <w:t> </w:t>
            </w:r>
            <w:r>
              <w:rPr>
                <w:sz w:val="16"/>
              </w:rPr>
              <w:t>nuevas modalidades de atención</w:t>
            </w:r>
            <w:r>
              <w:rPr>
                <w:spacing w:val="-2"/>
                <w:sz w:val="16"/>
              </w:rPr>
              <w:t> </w:t>
            </w:r>
            <w:r>
              <w:rPr>
                <w:sz w:val="16"/>
              </w:rPr>
              <w:t>según poblaciones y que esté integrada en el SINIRUBE</w:t>
            </w:r>
            <w:r>
              <w:rPr>
                <w:spacing w:val="-12"/>
                <w:sz w:val="16"/>
              </w:rPr>
              <w:t> </w:t>
            </w:r>
            <w:r>
              <w:rPr>
                <w:sz w:val="16"/>
              </w:rPr>
              <w:t>(vinculada a la PIEG 2.1.1 y </w:t>
            </w:r>
            <w:r>
              <w:rPr>
                <w:spacing w:val="-2"/>
                <w:sz w:val="16"/>
              </w:rPr>
              <w:t>2.1.2).</w:t>
            </w:r>
          </w:p>
        </w:tc>
        <w:tc>
          <w:tcPr>
            <w:tcW w:w="1278" w:type="dxa"/>
          </w:tcPr>
          <w:p>
            <w:pPr>
              <w:pStyle w:val="TableParagraph"/>
              <w:ind w:left="72" w:right="290"/>
              <w:rPr>
                <w:sz w:val="16"/>
              </w:rPr>
            </w:pPr>
            <w:r>
              <w:rPr>
                <w:sz w:val="16"/>
              </w:rPr>
              <w:t>Número</w:t>
            </w:r>
            <w:r>
              <w:rPr>
                <w:spacing w:val="-2"/>
                <w:sz w:val="16"/>
              </w:rPr>
              <w:t> </w:t>
            </w:r>
            <w:r>
              <w:rPr>
                <w:sz w:val="16"/>
              </w:rPr>
              <w:t>de servicios de cuidados</w:t>
            </w:r>
            <w:r>
              <w:rPr>
                <w:spacing w:val="-2"/>
                <w:sz w:val="16"/>
              </w:rPr>
              <w:t> </w:t>
            </w:r>
            <w:r>
              <w:rPr>
                <w:sz w:val="16"/>
              </w:rPr>
              <w:t>de calidad</w:t>
            </w:r>
            <w:r>
              <w:rPr>
                <w:spacing w:val="-2"/>
                <w:sz w:val="16"/>
              </w:rPr>
              <w:t> </w:t>
            </w:r>
            <w:r>
              <w:rPr>
                <w:sz w:val="16"/>
              </w:rPr>
              <w:t>que </w:t>
            </w:r>
            <w:r>
              <w:rPr>
                <w:spacing w:val="-2"/>
                <w:sz w:val="16"/>
              </w:rPr>
              <w:t>incorporan nuevas modalidades</w:t>
            </w:r>
          </w:p>
          <w:p>
            <w:pPr>
              <w:pStyle w:val="TableParagraph"/>
              <w:spacing w:line="182" w:lineRule="exact"/>
              <w:ind w:left="72" w:right="142"/>
              <w:rPr>
                <w:sz w:val="16"/>
              </w:rPr>
            </w:pPr>
            <w:r>
              <w:rPr>
                <w:spacing w:val="-2"/>
                <w:sz w:val="16"/>
              </w:rPr>
              <w:t>según poblaciones.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4" w:right="1"/>
              <w:jc w:val="center"/>
              <w:rPr>
                <w:sz w:val="16"/>
              </w:rPr>
            </w:pPr>
            <w:r>
              <w:rPr>
                <w:spacing w:val="-10"/>
                <w:sz w:val="16"/>
              </w:rPr>
              <w:t>1</w:t>
            </w:r>
          </w:p>
        </w:tc>
        <w:tc>
          <w:tcPr>
            <w:tcW w:w="1494" w:type="dxa"/>
          </w:tcPr>
          <w:p>
            <w:pPr>
              <w:pStyle w:val="TableParagraph"/>
              <w:rPr>
                <w:rFonts w:ascii="Times New Roman"/>
                <w:sz w:val="16"/>
              </w:rPr>
            </w:pPr>
          </w:p>
        </w:tc>
      </w:tr>
      <w:tr>
        <w:trPr>
          <w:trHeight w:val="1656" w:hRule="atLeast"/>
        </w:trPr>
        <w:tc>
          <w:tcPr>
            <w:tcW w:w="1695" w:type="dxa"/>
            <w:vMerge/>
            <w:tcBorders>
              <w:top w:val="nil"/>
            </w:tcBorders>
          </w:tcPr>
          <w:p>
            <w:pPr>
              <w:rPr>
                <w:sz w:val="2"/>
                <w:szCs w:val="2"/>
              </w:rPr>
            </w:pPr>
          </w:p>
        </w:tc>
        <w:tc>
          <w:tcPr>
            <w:tcW w:w="1278" w:type="dxa"/>
          </w:tcPr>
          <w:p>
            <w:pPr>
              <w:pStyle w:val="TableParagraph"/>
              <w:ind w:left="72" w:right="103"/>
              <w:rPr>
                <w:sz w:val="16"/>
              </w:rPr>
            </w:pPr>
            <w:r>
              <w:rPr>
                <w:sz w:val="16"/>
              </w:rPr>
              <w:t>Porcentaje</w:t>
            </w:r>
            <w:r>
              <w:rPr>
                <w:spacing w:val="-7"/>
                <w:sz w:val="16"/>
              </w:rPr>
              <w:t> </w:t>
            </w:r>
            <w:r>
              <w:rPr>
                <w:sz w:val="16"/>
              </w:rPr>
              <w:t>de avance en la </w:t>
            </w:r>
            <w:r>
              <w:rPr>
                <w:spacing w:val="-2"/>
                <w:sz w:val="16"/>
              </w:rPr>
              <w:t>conformación </w:t>
            </w:r>
            <w:r>
              <w:rPr>
                <w:sz w:val="16"/>
              </w:rPr>
              <w:t>de</w:t>
            </w:r>
            <w:r>
              <w:rPr>
                <w:spacing w:val="-12"/>
                <w:sz w:val="16"/>
              </w:rPr>
              <w:t> </w:t>
            </w:r>
            <w:r>
              <w:rPr>
                <w:sz w:val="16"/>
              </w:rPr>
              <w:t>la</w:t>
            </w:r>
            <w:r>
              <w:rPr>
                <w:spacing w:val="-11"/>
                <w:sz w:val="16"/>
              </w:rPr>
              <w:t> </w:t>
            </w:r>
            <w:r>
              <w:rPr>
                <w:sz w:val="16"/>
              </w:rPr>
              <w:t>oferta</w:t>
            </w:r>
            <w:r>
              <w:rPr>
                <w:spacing w:val="-11"/>
                <w:sz w:val="16"/>
              </w:rPr>
              <w:t> </w:t>
            </w:r>
            <w:r>
              <w:rPr>
                <w:sz w:val="16"/>
              </w:rPr>
              <w:t>de servicios de cuidados,</w:t>
            </w:r>
            <w:r>
              <w:rPr>
                <w:spacing w:val="-12"/>
                <w:sz w:val="16"/>
              </w:rPr>
              <w:t> </w:t>
            </w:r>
            <w:r>
              <w:rPr>
                <w:sz w:val="16"/>
              </w:rPr>
              <w:t>que </w:t>
            </w:r>
            <w:r>
              <w:rPr>
                <w:spacing w:val="-2"/>
                <w:sz w:val="16"/>
              </w:rPr>
              <w:t>incorporan</w:t>
            </w:r>
          </w:p>
          <w:p>
            <w:pPr>
              <w:pStyle w:val="TableParagraph"/>
              <w:spacing w:line="182" w:lineRule="exact"/>
              <w:ind w:left="72" w:right="290"/>
              <w:rPr>
                <w:sz w:val="16"/>
              </w:rPr>
            </w:pPr>
            <w:r>
              <w:rPr>
                <w:spacing w:val="-2"/>
                <w:sz w:val="16"/>
              </w:rPr>
              <w:t>nuevas modalidades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21" w:right="19"/>
              <w:jc w:val="center"/>
              <w:rPr>
                <w:sz w:val="16"/>
              </w:rPr>
            </w:pPr>
            <w:r>
              <w:rPr>
                <w:spacing w:val="-5"/>
                <w:sz w:val="16"/>
              </w:rPr>
              <w:t>5%</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1"/>
              <w:jc w:val="center"/>
              <w:rPr>
                <w:sz w:val="16"/>
              </w:rPr>
            </w:pPr>
            <w:r>
              <w:rPr>
                <w:spacing w:val="-5"/>
                <w:sz w:val="16"/>
              </w:rPr>
              <w:t>10%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16" w:right="19"/>
              <w:jc w:val="center"/>
              <w:rPr>
                <w:sz w:val="16"/>
              </w:rPr>
            </w:pPr>
            <w:r>
              <w:rPr>
                <w:spacing w:val="-5"/>
                <w:sz w:val="16"/>
              </w:rPr>
              <w:t>15%</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1291"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1.51.2:</w:t>
            </w:r>
          </w:p>
          <w:p>
            <w:pPr>
              <w:pStyle w:val="TableParagraph"/>
              <w:ind w:left="72" w:right="128"/>
              <w:rPr>
                <w:sz w:val="16"/>
              </w:rPr>
            </w:pPr>
            <w:r>
              <w:rPr>
                <w:sz w:val="16"/>
              </w:rPr>
              <w:t>Diseño e implementación de un modelo de</w:t>
            </w:r>
          </w:p>
          <w:p>
            <w:pPr>
              <w:pStyle w:val="TableParagraph"/>
              <w:spacing w:line="182" w:lineRule="exact"/>
              <w:ind w:left="72"/>
              <w:rPr>
                <w:sz w:val="16"/>
              </w:rPr>
            </w:pPr>
            <w:r>
              <w:rPr>
                <w:sz w:val="16"/>
              </w:rPr>
              <w:t>copagos</w:t>
            </w:r>
            <w:r>
              <w:rPr>
                <w:spacing w:val="-12"/>
                <w:sz w:val="16"/>
              </w:rPr>
              <w:t> </w:t>
            </w:r>
            <w:r>
              <w:rPr>
                <w:sz w:val="16"/>
              </w:rPr>
              <w:t>vinculado</w:t>
            </w:r>
            <w:r>
              <w:rPr>
                <w:spacing w:val="-11"/>
                <w:sz w:val="16"/>
              </w:rPr>
              <w:t> </w:t>
            </w:r>
            <w:r>
              <w:rPr>
                <w:sz w:val="16"/>
              </w:rPr>
              <w:t>a los servicios de</w:t>
            </w:r>
          </w:p>
        </w:tc>
        <w:tc>
          <w:tcPr>
            <w:tcW w:w="1278" w:type="dxa"/>
          </w:tcPr>
          <w:p>
            <w:pPr>
              <w:pStyle w:val="TableParagraph"/>
              <w:ind w:left="72"/>
              <w:rPr>
                <w:sz w:val="16"/>
              </w:rPr>
            </w:pPr>
            <w:r>
              <w:rPr>
                <w:sz w:val="16"/>
              </w:rPr>
              <w:t>Porcentaje de avance en la aplicación del esquema de </w:t>
            </w:r>
            <w:r>
              <w:rPr>
                <w:spacing w:val="-2"/>
                <w:sz w:val="16"/>
              </w:rPr>
              <w:t>copago</w:t>
            </w:r>
          </w:p>
          <w:p>
            <w:pPr>
              <w:pStyle w:val="TableParagraph"/>
              <w:spacing w:line="182" w:lineRule="exact"/>
              <w:ind w:left="72"/>
              <w:rPr>
                <w:sz w:val="16"/>
              </w:rPr>
            </w:pPr>
            <w:r>
              <w:rPr>
                <w:sz w:val="16"/>
              </w:rPr>
              <w:t>(diseñado</w:t>
            </w:r>
            <w:r>
              <w:rPr>
                <w:spacing w:val="-12"/>
                <w:sz w:val="16"/>
              </w:rPr>
              <w:t> </w:t>
            </w:r>
            <w:r>
              <w:rPr>
                <w:sz w:val="16"/>
              </w:rPr>
              <w:t>y</w:t>
            </w:r>
            <w:r>
              <w:rPr>
                <w:spacing w:val="-11"/>
                <w:sz w:val="16"/>
              </w:rPr>
              <w:t> </w:t>
            </w:r>
            <w:r>
              <w:rPr>
                <w:sz w:val="16"/>
              </w:rPr>
              <w:t>en </w:t>
            </w:r>
            <w:r>
              <w:rPr>
                <w:spacing w:val="-2"/>
                <w:sz w:val="16"/>
              </w:rPr>
              <w:t>aplicación).</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spacing w:before="183"/>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3173"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tcBorders>
              <w:bottom w:val="nil"/>
            </w:tcBorders>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bottom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2578" w:hRule="atLeast"/>
        </w:trPr>
        <w:tc>
          <w:tcPr>
            <w:tcW w:w="1695" w:type="dxa"/>
            <w:tcBorders>
              <w:top w:val="nil"/>
            </w:tcBorders>
          </w:tcPr>
          <w:p>
            <w:pPr>
              <w:pStyle w:val="TableParagraph"/>
              <w:ind w:left="72" w:right="128"/>
              <w:rPr>
                <w:sz w:val="16"/>
              </w:rPr>
            </w:pPr>
            <w:r>
              <w:rPr>
                <w:sz w:val="16"/>
              </w:rPr>
              <w:t>cuidados de personas en situación</w:t>
            </w:r>
            <w:r>
              <w:rPr>
                <w:spacing w:val="-2"/>
                <w:sz w:val="16"/>
              </w:rPr>
              <w:t> </w:t>
            </w:r>
            <w:r>
              <w:rPr>
                <w:sz w:val="16"/>
              </w:rPr>
              <w:t>de </w:t>
            </w:r>
            <w:r>
              <w:rPr>
                <w:spacing w:val="-2"/>
                <w:sz w:val="16"/>
              </w:rPr>
              <w:t>dependencia </w:t>
            </w:r>
            <w:r>
              <w:rPr>
                <w:sz w:val="16"/>
              </w:rPr>
              <w:t>(vinculada</w:t>
            </w:r>
            <w:r>
              <w:rPr>
                <w:spacing w:val="-12"/>
                <w:sz w:val="16"/>
              </w:rPr>
              <w:t> </w:t>
            </w:r>
            <w:r>
              <w:rPr>
                <w:sz w:val="16"/>
              </w:rPr>
              <w:t>a</w:t>
            </w:r>
            <w:r>
              <w:rPr>
                <w:spacing w:val="-11"/>
                <w:sz w:val="16"/>
              </w:rPr>
              <w:t> </w:t>
            </w:r>
            <w:r>
              <w:rPr>
                <w:sz w:val="16"/>
              </w:rPr>
              <w:t>la</w:t>
            </w:r>
            <w:r>
              <w:rPr>
                <w:spacing w:val="-11"/>
                <w:sz w:val="16"/>
              </w:rPr>
              <w:t> </w:t>
            </w:r>
            <w:r>
              <w:rPr>
                <w:sz w:val="16"/>
              </w:rPr>
              <w:t>PIEG 2.2.1 y 2.2.2).</w:t>
            </w:r>
          </w:p>
        </w:tc>
        <w:tc>
          <w:tcPr>
            <w:tcW w:w="1278" w:type="dxa"/>
          </w:tcPr>
          <w:p>
            <w:pPr>
              <w:pStyle w:val="TableParagraph"/>
              <w:ind w:left="72" w:right="103"/>
              <w:rPr>
                <w:sz w:val="16"/>
              </w:rPr>
            </w:pPr>
            <w:r>
              <w:rPr>
                <w:sz w:val="16"/>
              </w:rPr>
              <w:t>Número</w:t>
            </w:r>
            <w:r>
              <w:rPr>
                <w:spacing w:val="-2"/>
                <w:sz w:val="16"/>
              </w:rPr>
              <w:t> </w:t>
            </w:r>
            <w:r>
              <w:rPr>
                <w:sz w:val="16"/>
              </w:rPr>
              <w:t>de personas en situaciones de </w:t>
            </w:r>
            <w:r>
              <w:rPr>
                <w:spacing w:val="-2"/>
                <w:sz w:val="16"/>
              </w:rPr>
              <w:t>dependencia </w:t>
            </w:r>
            <w:r>
              <w:rPr>
                <w:sz w:val="16"/>
              </w:rPr>
              <w:t>que</w:t>
            </w:r>
            <w:r>
              <w:rPr>
                <w:spacing w:val="-1"/>
                <w:sz w:val="16"/>
              </w:rPr>
              <w:t> </w:t>
            </w:r>
            <w:r>
              <w:rPr>
                <w:sz w:val="16"/>
              </w:rPr>
              <w:t>acceden a los</w:t>
            </w:r>
            <w:r>
              <w:rPr>
                <w:spacing w:val="-12"/>
                <w:sz w:val="16"/>
              </w:rPr>
              <w:t> </w:t>
            </w:r>
            <w:r>
              <w:rPr>
                <w:sz w:val="16"/>
              </w:rPr>
              <w:t>servicios</w:t>
            </w:r>
            <w:r>
              <w:rPr>
                <w:spacing w:val="-11"/>
                <w:sz w:val="16"/>
              </w:rPr>
              <w:t> </w:t>
            </w:r>
            <w:r>
              <w:rPr>
                <w:sz w:val="16"/>
              </w:rPr>
              <w:t>de </w:t>
            </w:r>
            <w:r>
              <w:rPr>
                <w:spacing w:val="-2"/>
                <w:sz w:val="16"/>
              </w:rPr>
              <w:t>cuidados mediante </w:t>
            </w:r>
            <w:r>
              <w:rPr>
                <w:sz w:val="16"/>
              </w:rPr>
              <w:t>mecanismo de copago según sexo, etnia, grupo etario, discapacidad</w:t>
            </w:r>
            <w:r>
              <w:rPr>
                <w:spacing w:val="-6"/>
                <w:sz w:val="16"/>
              </w:rPr>
              <w:t> </w:t>
            </w:r>
            <w:r>
              <w:rPr>
                <w:sz w:val="16"/>
              </w:rPr>
              <w:t>y</w:t>
            </w:r>
          </w:p>
          <w:p>
            <w:pPr>
              <w:pStyle w:val="TableParagraph"/>
              <w:spacing w:line="163" w:lineRule="exact" w:before="3"/>
              <w:ind w:left="72"/>
              <w:rPr>
                <w:sz w:val="16"/>
              </w:rPr>
            </w:pPr>
            <w:r>
              <w:rPr>
                <w:spacing w:val="-2"/>
                <w:sz w:val="16"/>
              </w:rPr>
              <w:t>región.</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3" w:right="2"/>
              <w:jc w:val="center"/>
              <w:rPr>
                <w:sz w:val="16"/>
              </w:rPr>
            </w:pPr>
            <w:r>
              <w:rPr>
                <w:spacing w:val="-5"/>
                <w:sz w:val="16"/>
              </w:rPr>
              <w:t>50</w:t>
            </w:r>
          </w:p>
        </w:tc>
        <w:tc>
          <w:tcPr>
            <w:tcW w:w="1494" w:type="dxa"/>
          </w:tcPr>
          <w:p>
            <w:pPr>
              <w:pStyle w:val="TableParagraph"/>
              <w:rPr>
                <w:rFonts w:ascii="Times New Roman"/>
                <w:sz w:val="16"/>
              </w:rPr>
            </w:pPr>
          </w:p>
        </w:tc>
      </w:tr>
      <w:tr>
        <w:trPr>
          <w:trHeight w:val="1291" w:hRule="atLeast"/>
        </w:trPr>
        <w:tc>
          <w:tcPr>
            <w:tcW w:w="1695" w:type="dxa"/>
            <w:vMerge w:val="restart"/>
          </w:tcPr>
          <w:p>
            <w:pPr>
              <w:pStyle w:val="TableParagraph"/>
              <w:spacing w:before="97"/>
              <w:rPr>
                <w:b/>
                <w:sz w:val="16"/>
              </w:rPr>
            </w:pPr>
          </w:p>
          <w:p>
            <w:pPr>
              <w:pStyle w:val="TableParagraph"/>
              <w:ind w:left="72"/>
              <w:rPr>
                <w:b/>
                <w:sz w:val="16"/>
              </w:rPr>
            </w:pPr>
            <w:r>
              <w:rPr>
                <w:b/>
                <w:spacing w:val="-2"/>
                <w:sz w:val="16"/>
              </w:rPr>
              <w:t>Actividad</w:t>
            </w:r>
            <w:r>
              <w:rPr>
                <w:b/>
                <w:spacing w:val="-10"/>
                <w:sz w:val="16"/>
              </w:rPr>
              <w:t> </w:t>
            </w:r>
            <w:r>
              <w:rPr>
                <w:b/>
                <w:spacing w:val="-2"/>
                <w:sz w:val="16"/>
              </w:rPr>
              <w:t>PPPS 1.51.3:</w:t>
            </w:r>
          </w:p>
          <w:p>
            <w:pPr>
              <w:pStyle w:val="TableParagraph"/>
              <w:ind w:left="72" w:right="86"/>
              <w:rPr>
                <w:sz w:val="16"/>
              </w:rPr>
            </w:pPr>
            <w:r>
              <w:rPr>
                <w:sz w:val="16"/>
              </w:rPr>
              <w:t>Implementación del Baremo</w:t>
            </w:r>
            <w:r>
              <w:rPr>
                <w:spacing w:val="-2"/>
                <w:sz w:val="16"/>
              </w:rPr>
              <w:t> </w:t>
            </w:r>
            <w:r>
              <w:rPr>
                <w:sz w:val="16"/>
              </w:rPr>
              <w:t>de Valoración de la Dependencia como mecanismo de entrada a los servicios</w:t>
            </w:r>
            <w:r>
              <w:rPr>
                <w:spacing w:val="-12"/>
                <w:sz w:val="16"/>
              </w:rPr>
              <w:t> </w:t>
            </w:r>
            <w:r>
              <w:rPr>
                <w:sz w:val="16"/>
              </w:rPr>
              <w:t>de</w:t>
            </w:r>
            <w:r>
              <w:rPr>
                <w:spacing w:val="-11"/>
                <w:sz w:val="16"/>
              </w:rPr>
              <w:t> </w:t>
            </w:r>
            <w:r>
              <w:rPr>
                <w:sz w:val="16"/>
              </w:rPr>
              <w:t>cuidados (vinculada a la PIEG </w:t>
            </w:r>
            <w:r>
              <w:rPr>
                <w:spacing w:val="-2"/>
                <w:sz w:val="16"/>
              </w:rPr>
              <w:t>2.3.1).</w:t>
            </w:r>
          </w:p>
        </w:tc>
        <w:tc>
          <w:tcPr>
            <w:tcW w:w="1278" w:type="dxa"/>
          </w:tcPr>
          <w:p>
            <w:pPr>
              <w:pStyle w:val="TableParagraph"/>
              <w:ind w:left="72"/>
              <w:rPr>
                <w:sz w:val="16"/>
              </w:rPr>
            </w:pPr>
            <w:r>
              <w:rPr>
                <w:sz w:val="16"/>
              </w:rPr>
              <w:t>Porcentaje de avance en la aplicación</w:t>
            </w:r>
            <w:r>
              <w:rPr>
                <w:spacing w:val="-12"/>
                <w:sz w:val="16"/>
              </w:rPr>
              <w:t> </w:t>
            </w:r>
            <w:r>
              <w:rPr>
                <w:sz w:val="16"/>
              </w:rPr>
              <w:t>de</w:t>
            </w:r>
            <w:r>
              <w:rPr>
                <w:spacing w:val="-11"/>
                <w:sz w:val="16"/>
              </w:rPr>
              <w:t> </w:t>
            </w:r>
            <w:r>
              <w:rPr>
                <w:sz w:val="16"/>
              </w:rPr>
              <w:t>la escala de </w:t>
            </w:r>
            <w:r>
              <w:rPr>
                <w:spacing w:val="-2"/>
                <w:sz w:val="16"/>
              </w:rPr>
              <w:t>dependencia</w:t>
            </w:r>
          </w:p>
          <w:p>
            <w:pPr>
              <w:pStyle w:val="TableParagraph"/>
              <w:spacing w:line="182" w:lineRule="exact"/>
              <w:ind w:left="72"/>
              <w:rPr>
                <w:sz w:val="16"/>
              </w:rPr>
            </w:pPr>
            <w:r>
              <w:rPr>
                <w:sz w:val="16"/>
              </w:rPr>
              <w:t>(diseñada</w:t>
            </w:r>
            <w:r>
              <w:rPr>
                <w:spacing w:val="-12"/>
                <w:sz w:val="16"/>
              </w:rPr>
              <w:t> </w:t>
            </w:r>
            <w:r>
              <w:rPr>
                <w:sz w:val="16"/>
              </w:rPr>
              <w:t>y</w:t>
            </w:r>
            <w:r>
              <w:rPr>
                <w:spacing w:val="-11"/>
                <w:sz w:val="16"/>
              </w:rPr>
              <w:t> </w:t>
            </w:r>
            <w:r>
              <w:rPr>
                <w:sz w:val="16"/>
              </w:rPr>
              <w:t>en </w:t>
            </w:r>
            <w:r>
              <w:rPr>
                <w:spacing w:val="-2"/>
                <w:sz w:val="16"/>
              </w:rPr>
              <w:t>aplicación).</w:t>
            </w:r>
          </w:p>
        </w:tc>
        <w:tc>
          <w:tcPr>
            <w:tcW w:w="1278" w:type="dxa"/>
          </w:tcPr>
          <w:p>
            <w:pPr>
              <w:pStyle w:val="TableParagraph"/>
              <w:rPr>
                <w:b/>
                <w:sz w:val="16"/>
              </w:rPr>
            </w:pPr>
          </w:p>
          <w:p>
            <w:pPr>
              <w:pStyle w:val="TableParagraph"/>
              <w:spacing w:before="182"/>
              <w:rPr>
                <w:b/>
                <w:sz w:val="16"/>
              </w:rPr>
            </w:pPr>
          </w:p>
          <w:p>
            <w:pPr>
              <w:pStyle w:val="TableParagraph"/>
              <w:ind w:left="21" w:right="13"/>
              <w:jc w:val="center"/>
              <w:rPr>
                <w:sz w:val="16"/>
              </w:rPr>
            </w:pPr>
            <w:r>
              <w:rPr>
                <w:spacing w:val="-4"/>
                <w:sz w:val="16"/>
              </w:rPr>
              <w:t>100%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spacing w:before="182"/>
              <w:rPr>
                <w:b/>
                <w:sz w:val="16"/>
              </w:rPr>
            </w:pPr>
          </w:p>
          <w:p>
            <w:pPr>
              <w:pStyle w:val="TableParagraph"/>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spacing w:before="182"/>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spacing w:before="182"/>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1286" w:hRule="atLeast"/>
        </w:trPr>
        <w:tc>
          <w:tcPr>
            <w:tcW w:w="1695" w:type="dxa"/>
            <w:vMerge/>
            <w:tcBorders>
              <w:top w:val="nil"/>
            </w:tcBorders>
          </w:tcPr>
          <w:p>
            <w:pPr>
              <w:rPr>
                <w:sz w:val="2"/>
                <w:szCs w:val="2"/>
              </w:rPr>
            </w:pPr>
          </w:p>
        </w:tc>
        <w:tc>
          <w:tcPr>
            <w:tcW w:w="1278" w:type="dxa"/>
          </w:tcPr>
          <w:p>
            <w:pPr>
              <w:pStyle w:val="TableParagraph"/>
              <w:ind w:left="72" w:right="307"/>
              <w:rPr>
                <w:sz w:val="16"/>
              </w:rPr>
            </w:pPr>
            <w:r>
              <w:rPr>
                <w:sz w:val="16"/>
              </w:rPr>
              <w:t>Cantidad</w:t>
            </w:r>
            <w:r>
              <w:rPr>
                <w:spacing w:val="-12"/>
                <w:sz w:val="16"/>
              </w:rPr>
              <w:t> </w:t>
            </w:r>
            <w:r>
              <w:rPr>
                <w:sz w:val="16"/>
              </w:rPr>
              <w:t>de </w:t>
            </w:r>
            <w:r>
              <w:rPr>
                <w:spacing w:val="-2"/>
                <w:sz w:val="16"/>
              </w:rPr>
              <w:t>personas baremadas </w:t>
            </w:r>
            <w:r>
              <w:rPr>
                <w:sz w:val="16"/>
              </w:rPr>
              <w:t>para</w:t>
            </w:r>
            <w:r>
              <w:rPr>
                <w:spacing w:val="-12"/>
                <w:sz w:val="16"/>
              </w:rPr>
              <w:t> </w:t>
            </w:r>
            <w:r>
              <w:rPr>
                <w:sz w:val="16"/>
              </w:rPr>
              <w:t>nuevos casos</w:t>
            </w:r>
            <w:r>
              <w:rPr>
                <w:spacing w:val="-12"/>
                <w:sz w:val="16"/>
              </w:rPr>
              <w:t> </w:t>
            </w:r>
            <w:r>
              <w:rPr>
                <w:sz w:val="16"/>
              </w:rPr>
              <w:t>de</w:t>
            </w:r>
            <w:r>
              <w:rPr>
                <w:spacing w:val="-11"/>
                <w:sz w:val="16"/>
              </w:rPr>
              <w:t> </w:t>
            </w:r>
            <w:r>
              <w:rPr>
                <w:sz w:val="16"/>
              </w:rPr>
              <w:t>los servicios</w:t>
            </w:r>
            <w:r>
              <w:rPr>
                <w:spacing w:val="-8"/>
                <w:sz w:val="16"/>
              </w:rPr>
              <w:t> </w:t>
            </w:r>
            <w:r>
              <w:rPr>
                <w:spacing w:val="-5"/>
                <w:sz w:val="16"/>
              </w:rPr>
              <w:t>de</w:t>
            </w:r>
          </w:p>
          <w:p>
            <w:pPr>
              <w:pStyle w:val="TableParagraph"/>
              <w:spacing w:line="163" w:lineRule="exact"/>
              <w:ind w:left="72"/>
              <w:rPr>
                <w:sz w:val="16"/>
              </w:rPr>
            </w:pPr>
            <w:r>
              <w:rPr>
                <w:spacing w:val="-2"/>
                <w:sz w:val="16"/>
              </w:rPr>
              <w:t>cuidados.</w:t>
            </w:r>
          </w:p>
        </w:tc>
        <w:tc>
          <w:tcPr>
            <w:tcW w:w="1278" w:type="dxa"/>
          </w:tcPr>
          <w:p>
            <w:pPr>
              <w:pStyle w:val="TableParagraph"/>
              <w:rPr>
                <w:b/>
                <w:sz w:val="16"/>
              </w:rPr>
            </w:pPr>
          </w:p>
          <w:p>
            <w:pPr>
              <w:pStyle w:val="TableParagraph"/>
              <w:spacing w:before="182"/>
              <w:rPr>
                <w:b/>
                <w:sz w:val="16"/>
              </w:rPr>
            </w:pPr>
          </w:p>
          <w:p>
            <w:pPr>
              <w:pStyle w:val="TableParagraph"/>
              <w:ind w:left="21" w:right="17"/>
              <w:jc w:val="center"/>
              <w:rPr>
                <w:sz w:val="16"/>
              </w:rPr>
            </w:pPr>
            <w:r>
              <w:rPr>
                <w:spacing w:val="-5"/>
                <w:sz w:val="16"/>
              </w:rPr>
              <w:t>400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spacing w:before="182"/>
              <w:rPr>
                <w:b/>
                <w:sz w:val="16"/>
              </w:rPr>
            </w:pPr>
          </w:p>
          <w:p>
            <w:pPr>
              <w:pStyle w:val="TableParagraph"/>
              <w:ind w:right="6"/>
              <w:jc w:val="center"/>
              <w:rPr>
                <w:sz w:val="16"/>
              </w:rPr>
            </w:pPr>
            <w:r>
              <w:rPr>
                <w:spacing w:val="-4"/>
                <w:sz w:val="16"/>
              </w:rPr>
              <w:t>1266</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spacing w:before="182"/>
              <w:rPr>
                <w:b/>
                <w:sz w:val="16"/>
              </w:rPr>
            </w:pPr>
          </w:p>
          <w:p>
            <w:pPr>
              <w:pStyle w:val="TableParagraph"/>
              <w:ind w:left="16" w:right="24"/>
              <w:jc w:val="center"/>
              <w:rPr>
                <w:sz w:val="16"/>
              </w:rPr>
            </w:pPr>
            <w:r>
              <w:rPr>
                <w:spacing w:val="-4"/>
                <w:sz w:val="16"/>
              </w:rPr>
              <w:t>2132</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spacing w:before="182"/>
              <w:rPr>
                <w:b/>
                <w:sz w:val="16"/>
              </w:rPr>
            </w:pPr>
          </w:p>
          <w:p>
            <w:pPr>
              <w:pStyle w:val="TableParagraph"/>
              <w:ind w:left="3" w:right="4"/>
              <w:jc w:val="center"/>
              <w:rPr>
                <w:sz w:val="16"/>
              </w:rPr>
            </w:pPr>
            <w:r>
              <w:rPr>
                <w:spacing w:val="-4"/>
                <w:sz w:val="16"/>
              </w:rPr>
              <w:t>3000</w:t>
            </w:r>
          </w:p>
        </w:tc>
        <w:tc>
          <w:tcPr>
            <w:tcW w:w="1494" w:type="dxa"/>
          </w:tcPr>
          <w:p>
            <w:pPr>
              <w:pStyle w:val="TableParagraph"/>
              <w:rPr>
                <w:rFonts w:ascii="Times New Roman"/>
                <w:sz w:val="16"/>
              </w:rPr>
            </w:pPr>
          </w:p>
        </w:tc>
      </w:tr>
      <w:tr>
        <w:trPr>
          <w:trHeight w:val="2578" w:hRule="atLeast"/>
        </w:trPr>
        <w:tc>
          <w:tcPr>
            <w:tcW w:w="1695" w:type="dxa"/>
          </w:tcPr>
          <w:p>
            <w:pPr>
              <w:pStyle w:val="TableParagraph"/>
              <w:spacing w:line="244" w:lineRule="auto" w:before="181"/>
              <w:ind w:left="72"/>
              <w:rPr>
                <w:b/>
                <w:sz w:val="16"/>
              </w:rPr>
            </w:pPr>
            <w:r>
              <w:rPr>
                <w:b/>
                <w:spacing w:val="-2"/>
                <w:sz w:val="16"/>
              </w:rPr>
              <w:t>Actividad</w:t>
            </w:r>
            <w:r>
              <w:rPr>
                <w:b/>
                <w:spacing w:val="-10"/>
                <w:sz w:val="16"/>
              </w:rPr>
              <w:t> </w:t>
            </w:r>
            <w:r>
              <w:rPr>
                <w:b/>
                <w:spacing w:val="-2"/>
                <w:sz w:val="16"/>
              </w:rPr>
              <w:t>PPPS 1.51.4:</w:t>
            </w:r>
          </w:p>
          <w:p>
            <w:pPr>
              <w:pStyle w:val="TableParagraph"/>
              <w:ind w:left="72" w:right="246"/>
              <w:rPr>
                <w:sz w:val="16"/>
              </w:rPr>
            </w:pPr>
            <w:r>
              <w:rPr>
                <w:sz w:val="16"/>
              </w:rPr>
              <w:t>Ajustes en los sistemas de información social para el registro, monitoreo</w:t>
            </w:r>
            <w:r>
              <w:rPr>
                <w:spacing w:val="-2"/>
                <w:sz w:val="16"/>
              </w:rPr>
              <w:t> </w:t>
            </w:r>
            <w:r>
              <w:rPr>
                <w:sz w:val="16"/>
              </w:rPr>
              <w:t>y seguimiento de </w:t>
            </w:r>
            <w:r>
              <w:rPr>
                <w:spacing w:val="-2"/>
                <w:sz w:val="16"/>
              </w:rPr>
              <w:t>poblaciones específicas </w:t>
            </w:r>
            <w:r>
              <w:rPr>
                <w:sz w:val="16"/>
              </w:rPr>
              <w:t>(vinculada a PLANOVI</w:t>
            </w:r>
            <w:r>
              <w:rPr>
                <w:spacing w:val="-12"/>
                <w:sz w:val="16"/>
              </w:rPr>
              <w:t> </w:t>
            </w:r>
            <w:r>
              <w:rPr>
                <w:sz w:val="16"/>
              </w:rPr>
              <w:t>3.1.1.2</w:t>
            </w:r>
            <w:r>
              <w:rPr>
                <w:spacing w:val="-11"/>
                <w:sz w:val="16"/>
              </w:rPr>
              <w:t> </w:t>
            </w:r>
            <w:r>
              <w:rPr>
                <w:sz w:val="16"/>
              </w:rPr>
              <w:t>).</w:t>
            </w:r>
          </w:p>
        </w:tc>
        <w:tc>
          <w:tcPr>
            <w:tcW w:w="1278" w:type="dxa"/>
          </w:tcPr>
          <w:p>
            <w:pPr>
              <w:pStyle w:val="TableParagraph"/>
              <w:ind w:left="72" w:right="85"/>
              <w:rPr>
                <w:sz w:val="16"/>
              </w:rPr>
            </w:pPr>
            <w:r>
              <w:rPr>
                <w:sz w:val="16"/>
              </w:rPr>
              <w:t>Sumatoria de </w:t>
            </w:r>
            <w:r>
              <w:rPr>
                <w:spacing w:val="-2"/>
                <w:sz w:val="16"/>
              </w:rPr>
              <w:t>ajustes </w:t>
            </w:r>
            <w:r>
              <w:rPr>
                <w:sz w:val="16"/>
              </w:rPr>
              <w:t>realizados al sistema de </w:t>
            </w:r>
            <w:r>
              <w:rPr>
                <w:spacing w:val="-2"/>
                <w:sz w:val="16"/>
              </w:rPr>
              <w:t>información </w:t>
            </w:r>
            <w:r>
              <w:rPr>
                <w:sz w:val="16"/>
              </w:rPr>
              <w:t>para</w:t>
            </w:r>
            <w:r>
              <w:rPr>
                <w:spacing w:val="-12"/>
                <w:sz w:val="16"/>
              </w:rPr>
              <w:t> </w:t>
            </w:r>
            <w:r>
              <w:rPr>
                <w:sz w:val="16"/>
              </w:rPr>
              <w:t>el</w:t>
            </w:r>
            <w:r>
              <w:rPr>
                <w:spacing w:val="-11"/>
                <w:sz w:val="16"/>
              </w:rPr>
              <w:t> </w:t>
            </w:r>
            <w:r>
              <w:rPr>
                <w:sz w:val="16"/>
              </w:rPr>
              <w:t>registro, monitoreo</w:t>
            </w:r>
            <w:r>
              <w:rPr>
                <w:spacing w:val="-2"/>
                <w:sz w:val="16"/>
              </w:rPr>
              <w:t> </w:t>
            </w:r>
            <w:r>
              <w:rPr>
                <w:sz w:val="16"/>
              </w:rPr>
              <w:t>y seguimiento</w:t>
            </w:r>
            <w:r>
              <w:rPr>
                <w:spacing w:val="-12"/>
                <w:sz w:val="16"/>
              </w:rPr>
              <w:t> </w:t>
            </w:r>
            <w:r>
              <w:rPr>
                <w:sz w:val="16"/>
              </w:rPr>
              <w:t>de la ruta de atención a </w:t>
            </w:r>
            <w:r>
              <w:rPr>
                <w:spacing w:val="-2"/>
                <w:sz w:val="16"/>
              </w:rPr>
              <w:t>niñas, adolescentes </w:t>
            </w:r>
            <w:r>
              <w:rPr>
                <w:sz w:val="16"/>
              </w:rPr>
              <w:t>madres, y sus</w:t>
            </w:r>
          </w:p>
          <w:p>
            <w:pPr>
              <w:pStyle w:val="TableParagraph"/>
              <w:spacing w:line="168" w:lineRule="exact"/>
              <w:ind w:left="72"/>
              <w:rPr>
                <w:sz w:val="16"/>
              </w:rPr>
            </w:pPr>
            <w:r>
              <w:rPr>
                <w:sz w:val="16"/>
              </w:rPr>
              <w:t>hijos</w:t>
            </w:r>
            <w:r>
              <w:rPr>
                <w:spacing w:val="-4"/>
                <w:sz w:val="16"/>
              </w:rPr>
              <w:t> </w:t>
            </w:r>
            <w:r>
              <w:rPr>
                <w:sz w:val="16"/>
              </w:rPr>
              <w:t>e</w:t>
            </w:r>
            <w:r>
              <w:rPr>
                <w:spacing w:val="-3"/>
                <w:sz w:val="16"/>
              </w:rPr>
              <w:t> </w:t>
            </w:r>
            <w:r>
              <w:rPr>
                <w:spacing w:val="-2"/>
                <w:sz w:val="16"/>
              </w:rPr>
              <w:t>hijas.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0"/>
              <w:rPr>
                <w:b/>
                <w:sz w:val="16"/>
              </w:rPr>
            </w:pPr>
          </w:p>
          <w:p>
            <w:pPr>
              <w:pStyle w:val="TableParagraph"/>
              <w:ind w:left="4" w:right="1"/>
              <w:jc w:val="center"/>
              <w:rPr>
                <w:sz w:val="16"/>
              </w:rPr>
            </w:pPr>
            <w:r>
              <w:rPr>
                <w:spacing w:val="-10"/>
                <w:sz w:val="16"/>
              </w:rPr>
              <w:t>1</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711"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4235" w:hRule="atLeast"/>
        </w:trPr>
        <w:tc>
          <w:tcPr>
            <w:tcW w:w="1695" w:type="dxa"/>
          </w:tcPr>
          <w:p>
            <w:pPr>
              <w:pStyle w:val="TableParagraph"/>
              <w:rPr>
                <w:b/>
                <w:sz w:val="16"/>
              </w:rPr>
            </w:pPr>
          </w:p>
          <w:p>
            <w:pPr>
              <w:pStyle w:val="TableParagraph"/>
              <w:spacing w:before="183"/>
              <w:rPr>
                <w:b/>
                <w:sz w:val="16"/>
              </w:rPr>
            </w:pPr>
          </w:p>
          <w:p>
            <w:pPr>
              <w:pStyle w:val="TableParagraph"/>
              <w:spacing w:line="244" w:lineRule="auto"/>
              <w:ind w:left="72"/>
              <w:rPr>
                <w:b/>
                <w:sz w:val="16"/>
              </w:rPr>
            </w:pPr>
            <w:r>
              <w:rPr>
                <w:b/>
                <w:spacing w:val="-2"/>
                <w:sz w:val="16"/>
              </w:rPr>
              <w:t>Actividad</w:t>
            </w:r>
            <w:r>
              <w:rPr>
                <w:b/>
                <w:spacing w:val="-10"/>
                <w:sz w:val="16"/>
              </w:rPr>
              <w:t> </w:t>
            </w:r>
            <w:r>
              <w:rPr>
                <w:b/>
                <w:spacing w:val="-2"/>
                <w:sz w:val="16"/>
              </w:rPr>
              <w:t>PPPS 1.51.5:</w:t>
            </w:r>
          </w:p>
          <w:p>
            <w:pPr>
              <w:pStyle w:val="TableParagraph"/>
              <w:ind w:left="72" w:right="92"/>
              <w:rPr>
                <w:sz w:val="16"/>
              </w:rPr>
            </w:pPr>
            <w:r>
              <w:rPr>
                <w:spacing w:val="-2"/>
                <w:sz w:val="16"/>
              </w:rPr>
              <w:t>Identificación, </w:t>
            </w:r>
            <w:r>
              <w:rPr>
                <w:sz w:val="16"/>
              </w:rPr>
              <w:t>registro, atención integral y</w:t>
            </w:r>
            <w:r>
              <w:rPr>
                <w:spacing w:val="40"/>
                <w:sz w:val="16"/>
              </w:rPr>
              <w:t> </w:t>
            </w:r>
            <w:r>
              <w:rPr>
                <w:sz w:val="16"/>
              </w:rPr>
              <w:t>seguimiento a cada una de las niñas y adolescentes</w:t>
            </w:r>
            <w:r>
              <w:rPr>
                <w:spacing w:val="-12"/>
                <w:sz w:val="16"/>
              </w:rPr>
              <w:t> </w:t>
            </w:r>
            <w:r>
              <w:rPr>
                <w:sz w:val="16"/>
              </w:rPr>
              <w:t>madres y/o embarazadas en función de los </w:t>
            </w:r>
            <w:r>
              <w:rPr>
                <w:spacing w:val="-2"/>
                <w:sz w:val="16"/>
              </w:rPr>
              <w:t>lineamientos </w:t>
            </w:r>
            <w:r>
              <w:rPr>
                <w:sz w:val="16"/>
              </w:rPr>
              <w:t>generados</w:t>
            </w:r>
            <w:r>
              <w:rPr>
                <w:spacing w:val="-12"/>
                <w:sz w:val="16"/>
              </w:rPr>
              <w:t> </w:t>
            </w:r>
            <w:r>
              <w:rPr>
                <w:sz w:val="16"/>
              </w:rPr>
              <w:t>a</w:t>
            </w:r>
            <w:r>
              <w:rPr>
                <w:spacing w:val="-11"/>
                <w:sz w:val="16"/>
              </w:rPr>
              <w:t> </w:t>
            </w:r>
            <w:r>
              <w:rPr>
                <w:sz w:val="16"/>
              </w:rPr>
              <w:t>partir</w:t>
            </w:r>
            <w:r>
              <w:rPr>
                <w:spacing w:val="-11"/>
                <w:sz w:val="16"/>
              </w:rPr>
              <w:t> </w:t>
            </w:r>
            <w:r>
              <w:rPr>
                <w:sz w:val="16"/>
              </w:rPr>
              <w:t>de la</w:t>
            </w:r>
            <w:r>
              <w:rPr>
                <w:spacing w:val="-12"/>
                <w:sz w:val="16"/>
              </w:rPr>
              <w:t> </w:t>
            </w:r>
            <w:r>
              <w:rPr>
                <w:sz w:val="16"/>
              </w:rPr>
              <w:t>estrategia</w:t>
            </w:r>
            <w:r>
              <w:rPr>
                <w:spacing w:val="-11"/>
                <w:sz w:val="16"/>
              </w:rPr>
              <w:t> </w:t>
            </w:r>
            <w:r>
              <w:rPr>
                <w:sz w:val="16"/>
              </w:rPr>
              <w:t>nacional de gestión Inter </w:t>
            </w:r>
            <w:r>
              <w:rPr>
                <w:spacing w:val="-2"/>
                <w:sz w:val="16"/>
              </w:rPr>
              <w:t>programas.</w:t>
            </w:r>
            <w:r>
              <w:rPr>
                <w:sz w:val="16"/>
              </w:rPr>
              <w:t> (vinculada al PLANOVI 3.2.1).</w:t>
            </w:r>
          </w:p>
        </w:tc>
        <w:tc>
          <w:tcPr>
            <w:tcW w:w="1278" w:type="dxa"/>
          </w:tcPr>
          <w:p>
            <w:pPr>
              <w:pStyle w:val="TableParagraph"/>
              <w:ind w:left="72" w:right="76"/>
              <w:rPr>
                <w:sz w:val="16"/>
              </w:rPr>
            </w:pPr>
            <w:r>
              <w:rPr>
                <w:sz w:val="16"/>
              </w:rPr>
              <w:t>Porcentaje de niñas y </w:t>
            </w:r>
            <w:r>
              <w:rPr>
                <w:spacing w:val="-2"/>
                <w:sz w:val="16"/>
              </w:rPr>
              <w:t>adolescentes usuarias </w:t>
            </w:r>
            <w:r>
              <w:rPr>
                <w:sz w:val="16"/>
              </w:rPr>
              <w:t>atendidas</w:t>
            </w:r>
            <w:r>
              <w:rPr>
                <w:spacing w:val="-12"/>
                <w:sz w:val="16"/>
              </w:rPr>
              <w:t> </w:t>
            </w:r>
            <w:r>
              <w:rPr>
                <w:sz w:val="16"/>
              </w:rPr>
              <w:t>y</w:t>
            </w:r>
            <w:r>
              <w:rPr>
                <w:spacing w:val="-11"/>
                <w:sz w:val="16"/>
              </w:rPr>
              <w:t> </w:t>
            </w:r>
            <w:r>
              <w:rPr>
                <w:sz w:val="16"/>
              </w:rPr>
              <w:t>con seguimiento</w:t>
            </w:r>
            <w:r>
              <w:rPr>
                <w:spacing w:val="-9"/>
                <w:sz w:val="16"/>
              </w:rPr>
              <w:t> </w:t>
            </w:r>
            <w:r>
              <w:rPr>
                <w:sz w:val="16"/>
              </w:rPr>
              <w:t>en la estrategia nacional de gestión Inter programas, en relación con la cantidad de </w:t>
            </w:r>
            <w:r>
              <w:rPr>
                <w:spacing w:val="-2"/>
                <w:sz w:val="16"/>
              </w:rPr>
              <w:t>usuarias referidas, desagregado </w:t>
            </w:r>
            <w:r>
              <w:rPr>
                <w:sz w:val="16"/>
              </w:rPr>
              <w:t>por institución, situación</w:t>
            </w:r>
            <w:r>
              <w:rPr>
                <w:spacing w:val="-2"/>
                <w:sz w:val="16"/>
              </w:rPr>
              <w:t> </w:t>
            </w:r>
            <w:r>
              <w:rPr>
                <w:sz w:val="16"/>
              </w:rPr>
              <w:t>de </w:t>
            </w:r>
            <w:r>
              <w:rPr>
                <w:spacing w:val="-2"/>
                <w:sz w:val="16"/>
              </w:rPr>
              <w:t>discapacidad, </w:t>
            </w:r>
            <w:r>
              <w:rPr>
                <w:sz w:val="16"/>
              </w:rPr>
              <w:t>etnia,</w:t>
            </w:r>
            <w:r>
              <w:rPr>
                <w:spacing w:val="-12"/>
                <w:sz w:val="16"/>
              </w:rPr>
              <w:t> </w:t>
            </w:r>
            <w:r>
              <w:rPr>
                <w:sz w:val="16"/>
              </w:rPr>
              <w:t>condición </w:t>
            </w:r>
            <w:r>
              <w:rPr>
                <w:spacing w:val="-2"/>
                <w:sz w:val="16"/>
              </w:rPr>
              <w:t>migratoria, </w:t>
            </w:r>
            <w:r>
              <w:rPr>
                <w:sz w:val="16"/>
              </w:rPr>
              <w:t>edad, cantidad de hijos/as y</w:t>
            </w:r>
          </w:p>
          <w:p>
            <w:pPr>
              <w:pStyle w:val="TableParagraph"/>
              <w:spacing w:line="163" w:lineRule="exact" w:before="4"/>
              <w:ind w:left="72"/>
              <w:rPr>
                <w:sz w:val="16"/>
              </w:rPr>
            </w:pPr>
            <w:r>
              <w:rPr>
                <w:spacing w:val="-2"/>
                <w:sz w:val="16"/>
              </w:rPr>
              <w:t>cantón</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4" w:right="1"/>
              <w:jc w:val="center"/>
              <w:rPr>
                <w:sz w:val="16"/>
              </w:rPr>
            </w:pPr>
            <w:r>
              <w:rPr>
                <w:spacing w:val="-4"/>
                <w:sz w:val="16"/>
              </w:rPr>
              <w:t>100%</w:t>
            </w:r>
          </w:p>
        </w:tc>
        <w:tc>
          <w:tcPr>
            <w:tcW w:w="149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3" w:right="9"/>
              <w:jc w:val="center"/>
              <w:rPr>
                <w:sz w:val="16"/>
              </w:rPr>
            </w:pPr>
            <w:r>
              <w:rPr>
                <w:spacing w:val="-10"/>
                <w:sz w:val="16"/>
              </w:rPr>
              <w:t>-</w:t>
            </w:r>
          </w:p>
        </w:tc>
      </w:tr>
      <w:tr>
        <w:trPr>
          <w:trHeight w:val="2947"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1.51.6:</w:t>
            </w:r>
          </w:p>
          <w:p>
            <w:pPr>
              <w:pStyle w:val="TableParagraph"/>
              <w:ind w:left="72" w:right="77"/>
              <w:rPr>
                <w:sz w:val="16"/>
              </w:rPr>
            </w:pPr>
            <w:r>
              <w:rPr>
                <w:sz w:val="16"/>
              </w:rPr>
              <w:t>Implementación de acciones en correspondencia con el enfoque de interseccionalidad</w:t>
            </w:r>
            <w:r>
              <w:rPr>
                <w:spacing w:val="-10"/>
                <w:sz w:val="16"/>
              </w:rPr>
              <w:t> </w:t>
            </w:r>
            <w:r>
              <w:rPr>
                <w:sz w:val="16"/>
              </w:rPr>
              <w:t>en la atención prioritaria de</w:t>
            </w:r>
            <w:r>
              <w:rPr>
                <w:spacing w:val="-12"/>
                <w:sz w:val="16"/>
              </w:rPr>
              <w:t> </w:t>
            </w:r>
            <w:r>
              <w:rPr>
                <w:sz w:val="16"/>
              </w:rPr>
              <w:t>mujeres</w:t>
            </w:r>
            <w:r>
              <w:rPr>
                <w:spacing w:val="-11"/>
                <w:sz w:val="16"/>
              </w:rPr>
              <w:t> </w:t>
            </w:r>
            <w:r>
              <w:rPr>
                <w:sz w:val="16"/>
              </w:rPr>
              <w:t>migrantes y refugiadas y LBTI, niñas,</w:t>
            </w:r>
            <w:r>
              <w:rPr>
                <w:spacing w:val="-8"/>
                <w:sz w:val="16"/>
              </w:rPr>
              <w:t> </w:t>
            </w:r>
            <w:r>
              <w:rPr>
                <w:sz w:val="16"/>
              </w:rPr>
              <w:t>indígenas,</w:t>
            </w:r>
            <w:r>
              <w:rPr>
                <w:spacing w:val="-11"/>
                <w:sz w:val="16"/>
              </w:rPr>
              <w:t> </w:t>
            </w:r>
            <w:r>
              <w:rPr>
                <w:sz w:val="16"/>
              </w:rPr>
              <w:t>con discapacidad</w:t>
            </w:r>
            <w:r>
              <w:rPr>
                <w:spacing w:val="-2"/>
                <w:sz w:val="16"/>
              </w:rPr>
              <w:t> </w:t>
            </w:r>
            <w:r>
              <w:rPr>
                <w:sz w:val="16"/>
              </w:rPr>
              <w:t>y adultas mayores, afectadas por la</w:t>
            </w:r>
          </w:p>
          <w:p>
            <w:pPr>
              <w:pStyle w:val="TableParagraph"/>
              <w:spacing w:line="182" w:lineRule="exact"/>
              <w:ind w:left="72" w:right="192"/>
              <w:rPr>
                <w:sz w:val="16"/>
              </w:rPr>
            </w:pPr>
            <w:r>
              <w:rPr>
                <w:spacing w:val="-2"/>
                <w:sz w:val="16"/>
              </w:rPr>
              <w:t>violencia</w:t>
            </w:r>
            <w:r>
              <w:rPr>
                <w:spacing w:val="-5"/>
                <w:sz w:val="16"/>
              </w:rPr>
              <w:t> </w:t>
            </w:r>
            <w:r>
              <w:rPr>
                <w:spacing w:val="-2"/>
                <w:sz w:val="16"/>
              </w:rPr>
              <w:t>(vinculada </w:t>
            </w:r>
            <w:r>
              <w:rPr>
                <w:sz w:val="16"/>
              </w:rPr>
              <w:t>al</w:t>
            </w:r>
            <w:r>
              <w:rPr>
                <w:spacing w:val="-6"/>
                <w:sz w:val="16"/>
              </w:rPr>
              <w:t> </w:t>
            </w:r>
            <w:r>
              <w:rPr>
                <w:sz w:val="16"/>
              </w:rPr>
              <w:t>PLANOVI</w:t>
            </w:r>
            <w:r>
              <w:rPr>
                <w:spacing w:val="-4"/>
                <w:sz w:val="16"/>
              </w:rPr>
              <w:t> </w:t>
            </w:r>
            <w:r>
              <w:rPr>
                <w:spacing w:val="-2"/>
                <w:sz w:val="16"/>
              </w:rPr>
              <w:t>4.7.1).</w:t>
            </w:r>
          </w:p>
        </w:tc>
        <w:tc>
          <w:tcPr>
            <w:tcW w:w="1278" w:type="dxa"/>
          </w:tcPr>
          <w:p>
            <w:pPr>
              <w:pStyle w:val="TableParagraph"/>
              <w:rPr>
                <w:b/>
                <w:sz w:val="16"/>
              </w:rPr>
            </w:pPr>
          </w:p>
          <w:p>
            <w:pPr>
              <w:pStyle w:val="TableParagraph"/>
              <w:spacing w:before="91"/>
              <w:rPr>
                <w:b/>
                <w:sz w:val="16"/>
              </w:rPr>
            </w:pPr>
          </w:p>
          <w:p>
            <w:pPr>
              <w:pStyle w:val="TableParagraph"/>
              <w:ind w:left="72" w:right="69"/>
              <w:rPr>
                <w:sz w:val="16"/>
              </w:rPr>
            </w:pPr>
            <w:r>
              <w:rPr>
                <w:sz w:val="16"/>
              </w:rPr>
              <w:t>Número</w:t>
            </w:r>
            <w:r>
              <w:rPr>
                <w:spacing w:val="-2"/>
                <w:sz w:val="16"/>
              </w:rPr>
              <w:t> </w:t>
            </w:r>
            <w:r>
              <w:rPr>
                <w:sz w:val="16"/>
              </w:rPr>
              <w:t>de programas de prevención</w:t>
            </w:r>
            <w:r>
              <w:rPr>
                <w:spacing w:val="-2"/>
                <w:sz w:val="16"/>
              </w:rPr>
              <w:t> </w:t>
            </w:r>
            <w:r>
              <w:rPr>
                <w:sz w:val="16"/>
              </w:rPr>
              <w:t>y atención que incorporan el enfoque de </w:t>
            </w:r>
            <w:r>
              <w:rPr>
                <w:spacing w:val="-2"/>
                <w:sz w:val="16"/>
              </w:rPr>
              <w:t>interseccionalid </w:t>
            </w:r>
            <w:r>
              <w:rPr>
                <w:sz w:val="16"/>
              </w:rPr>
              <w:t>ad, según </w:t>
            </w:r>
            <w:r>
              <w:rPr>
                <w:spacing w:val="-2"/>
                <w:sz w:val="16"/>
              </w:rPr>
              <w:t>población, </w:t>
            </w:r>
            <w:r>
              <w:rPr>
                <w:sz w:val="16"/>
              </w:rPr>
              <w:t>cantón</w:t>
            </w:r>
            <w:r>
              <w:rPr>
                <w:spacing w:val="-12"/>
                <w:sz w:val="16"/>
              </w:rPr>
              <w:t> </w:t>
            </w:r>
            <w:r>
              <w:rPr>
                <w:sz w:val="16"/>
              </w:rPr>
              <w:t>y</w:t>
            </w:r>
            <w:r>
              <w:rPr>
                <w:spacing w:val="-11"/>
                <w:sz w:val="16"/>
              </w:rPr>
              <w:t> </w:t>
            </w:r>
            <w:r>
              <w:rPr>
                <w:sz w:val="16"/>
              </w:rPr>
              <w:t>tipo</w:t>
            </w:r>
            <w:r>
              <w:rPr>
                <w:spacing w:val="-11"/>
                <w:sz w:val="16"/>
              </w:rPr>
              <w:t> </w:t>
            </w:r>
            <w:r>
              <w:rPr>
                <w:sz w:val="16"/>
              </w:rPr>
              <w:t>de </w:t>
            </w:r>
            <w:r>
              <w:rPr>
                <w:spacing w:val="-2"/>
                <w:sz w:val="16"/>
              </w:rPr>
              <w:t>acción.</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4" w:right="1"/>
              <w:jc w:val="center"/>
              <w:rPr>
                <w:sz w:val="16"/>
              </w:rPr>
            </w:pPr>
            <w:r>
              <w:rPr>
                <w:spacing w:val="-10"/>
                <w:sz w:val="16"/>
              </w:rPr>
              <w:t>1</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3282"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2948" w:hRule="atLeast"/>
        </w:trPr>
        <w:tc>
          <w:tcPr>
            <w:tcW w:w="1695" w:type="dxa"/>
          </w:tcPr>
          <w:p>
            <w:pPr>
              <w:pStyle w:val="TableParagraph"/>
              <w:rPr>
                <w:b/>
                <w:sz w:val="16"/>
              </w:rPr>
            </w:pPr>
          </w:p>
          <w:p>
            <w:pPr>
              <w:pStyle w:val="TableParagraph"/>
              <w:spacing w:before="91"/>
              <w:rPr>
                <w:b/>
                <w:sz w:val="16"/>
              </w:rPr>
            </w:pPr>
          </w:p>
          <w:p>
            <w:pPr>
              <w:pStyle w:val="TableParagraph"/>
              <w:spacing w:line="244" w:lineRule="auto" w:before="1"/>
              <w:ind w:left="72"/>
              <w:rPr>
                <w:b/>
                <w:sz w:val="16"/>
              </w:rPr>
            </w:pPr>
            <w:r>
              <w:rPr>
                <w:b/>
                <w:spacing w:val="-2"/>
                <w:sz w:val="16"/>
              </w:rPr>
              <w:t>Actividad</w:t>
            </w:r>
            <w:r>
              <w:rPr>
                <w:b/>
                <w:spacing w:val="-10"/>
                <w:sz w:val="16"/>
              </w:rPr>
              <w:t> </w:t>
            </w:r>
            <w:r>
              <w:rPr>
                <w:b/>
                <w:spacing w:val="-2"/>
                <w:sz w:val="16"/>
              </w:rPr>
              <w:t>PPPS 1.51.7:</w:t>
            </w:r>
          </w:p>
          <w:p>
            <w:pPr>
              <w:pStyle w:val="TableParagraph"/>
              <w:ind w:left="72" w:right="103"/>
              <w:rPr>
                <w:sz w:val="16"/>
              </w:rPr>
            </w:pPr>
            <w:r>
              <w:rPr>
                <w:sz w:val="16"/>
              </w:rPr>
              <w:t>Atención</w:t>
            </w:r>
            <w:r>
              <w:rPr>
                <w:spacing w:val="-12"/>
                <w:sz w:val="16"/>
              </w:rPr>
              <w:t> </w:t>
            </w:r>
            <w:r>
              <w:rPr>
                <w:sz w:val="16"/>
              </w:rPr>
              <w:t>a</w:t>
            </w:r>
            <w:r>
              <w:rPr>
                <w:spacing w:val="-11"/>
                <w:sz w:val="16"/>
              </w:rPr>
              <w:t> </w:t>
            </w:r>
            <w:r>
              <w:rPr>
                <w:sz w:val="16"/>
              </w:rPr>
              <w:t>mujeres afectadas por violencia</w:t>
            </w:r>
            <w:r>
              <w:rPr>
                <w:spacing w:val="-2"/>
                <w:sz w:val="16"/>
              </w:rPr>
              <w:t> </w:t>
            </w:r>
            <w:r>
              <w:rPr>
                <w:sz w:val="16"/>
              </w:rPr>
              <w:t>sexual mediante</w:t>
            </w:r>
            <w:r>
              <w:rPr>
                <w:spacing w:val="-2"/>
                <w:sz w:val="16"/>
              </w:rPr>
              <w:t> </w:t>
            </w:r>
            <w:r>
              <w:rPr>
                <w:sz w:val="16"/>
              </w:rPr>
              <w:t>servicios institucionales de </w:t>
            </w:r>
            <w:r>
              <w:rPr>
                <w:spacing w:val="-2"/>
                <w:sz w:val="16"/>
              </w:rPr>
              <w:t>atención especializada </w:t>
            </w:r>
            <w:r>
              <w:rPr>
                <w:sz w:val="16"/>
              </w:rPr>
              <w:t>(vinculada a PLANOVI 5.1.1).</w:t>
            </w:r>
          </w:p>
        </w:tc>
        <w:tc>
          <w:tcPr>
            <w:tcW w:w="1278" w:type="dxa"/>
          </w:tcPr>
          <w:p>
            <w:pPr>
              <w:pStyle w:val="TableParagraph"/>
              <w:ind w:left="72" w:right="84"/>
              <w:rPr>
                <w:sz w:val="16"/>
              </w:rPr>
            </w:pPr>
            <w:r>
              <w:rPr>
                <w:sz w:val="16"/>
              </w:rPr>
              <w:t>Número</w:t>
            </w:r>
            <w:r>
              <w:rPr>
                <w:spacing w:val="-2"/>
                <w:sz w:val="16"/>
              </w:rPr>
              <w:t> </w:t>
            </w:r>
            <w:r>
              <w:rPr>
                <w:sz w:val="16"/>
              </w:rPr>
              <w:t>de </w:t>
            </w:r>
            <w:r>
              <w:rPr>
                <w:spacing w:val="-2"/>
                <w:sz w:val="16"/>
              </w:rPr>
              <w:t>mujeres detectadas/ate </w:t>
            </w:r>
            <w:r>
              <w:rPr>
                <w:sz w:val="16"/>
              </w:rPr>
              <w:t>ndidas por </w:t>
            </w:r>
            <w:r>
              <w:rPr>
                <w:spacing w:val="-2"/>
                <w:sz w:val="16"/>
              </w:rPr>
              <w:t>diversas</w:t>
            </w:r>
            <w:r>
              <w:rPr>
                <w:spacing w:val="-10"/>
                <w:sz w:val="16"/>
              </w:rPr>
              <w:t> </w:t>
            </w:r>
            <w:r>
              <w:rPr>
                <w:spacing w:val="-2"/>
                <w:sz w:val="16"/>
              </w:rPr>
              <w:t>formas </w:t>
            </w:r>
            <w:r>
              <w:rPr>
                <w:sz w:val="16"/>
              </w:rPr>
              <w:t>de</w:t>
            </w:r>
            <w:r>
              <w:rPr>
                <w:spacing w:val="-2"/>
                <w:sz w:val="16"/>
              </w:rPr>
              <w:t> </w:t>
            </w:r>
            <w:r>
              <w:rPr>
                <w:sz w:val="16"/>
              </w:rPr>
              <w:t>violencia sexual (con </w:t>
            </w:r>
            <w:r>
              <w:rPr>
                <w:spacing w:val="-2"/>
                <w:sz w:val="16"/>
              </w:rPr>
              <w:t>especial</w:t>
            </w:r>
            <w:r>
              <w:rPr>
                <w:spacing w:val="80"/>
                <w:sz w:val="16"/>
              </w:rPr>
              <w:t> </w:t>
            </w:r>
            <w:r>
              <w:rPr>
                <w:sz w:val="16"/>
              </w:rPr>
              <w:t>énfasis en</w:t>
            </w:r>
            <w:r>
              <w:rPr>
                <w:spacing w:val="40"/>
                <w:sz w:val="16"/>
              </w:rPr>
              <w:t> </w:t>
            </w:r>
            <w:r>
              <w:rPr>
                <w:sz w:val="16"/>
              </w:rPr>
              <w:t>niñas y </w:t>
            </w:r>
            <w:r>
              <w:rPr>
                <w:spacing w:val="-2"/>
                <w:sz w:val="16"/>
              </w:rPr>
              <w:t>adolescentes) desagregado </w:t>
            </w:r>
            <w:r>
              <w:rPr>
                <w:sz w:val="16"/>
              </w:rPr>
              <w:t>por edad, tipo de</w:t>
            </w:r>
            <w:r>
              <w:rPr>
                <w:spacing w:val="-2"/>
                <w:sz w:val="16"/>
              </w:rPr>
              <w:t> </w:t>
            </w:r>
            <w:r>
              <w:rPr>
                <w:sz w:val="16"/>
              </w:rPr>
              <w:t>violencia</w:t>
            </w:r>
          </w:p>
          <w:p>
            <w:pPr>
              <w:pStyle w:val="TableParagraph"/>
              <w:spacing w:line="182" w:lineRule="exact"/>
              <w:ind w:left="72" w:right="142"/>
              <w:rPr>
                <w:sz w:val="16"/>
              </w:rPr>
            </w:pPr>
            <w:r>
              <w:rPr>
                <w:spacing w:val="-2"/>
                <w:sz w:val="16"/>
              </w:rPr>
              <w:t>sexual</w:t>
            </w:r>
            <w:r>
              <w:rPr>
                <w:spacing w:val="-10"/>
                <w:sz w:val="16"/>
              </w:rPr>
              <w:t> </w:t>
            </w:r>
            <w:r>
              <w:rPr>
                <w:spacing w:val="-2"/>
                <w:sz w:val="16"/>
              </w:rPr>
              <w:t>y cantón.</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4"/>
              <w:rPr>
                <w:b/>
                <w:sz w:val="16"/>
              </w:rPr>
            </w:pPr>
          </w:p>
          <w:p>
            <w:pPr>
              <w:pStyle w:val="TableParagraph"/>
              <w:ind w:left="3" w:right="2"/>
              <w:jc w:val="center"/>
              <w:rPr>
                <w:sz w:val="16"/>
              </w:rPr>
            </w:pPr>
            <w:r>
              <w:rPr>
                <w:spacing w:val="-5"/>
                <w:sz w:val="16"/>
              </w:rPr>
              <w:t>10</w:t>
            </w:r>
          </w:p>
        </w:tc>
        <w:tc>
          <w:tcPr>
            <w:tcW w:w="1494" w:type="dxa"/>
          </w:tcPr>
          <w:p>
            <w:pPr>
              <w:pStyle w:val="TableParagraph"/>
              <w:rPr>
                <w:rFonts w:ascii="Times New Roman"/>
                <w:sz w:val="16"/>
              </w:rPr>
            </w:pPr>
          </w:p>
        </w:tc>
      </w:tr>
      <w:tr>
        <w:trPr>
          <w:trHeight w:val="2942" w:hRule="atLeast"/>
        </w:trPr>
        <w:tc>
          <w:tcPr>
            <w:tcW w:w="1695" w:type="dxa"/>
          </w:tcPr>
          <w:p>
            <w:pPr>
              <w:pStyle w:val="TableParagraph"/>
              <w:spacing w:before="89"/>
              <w:ind w:left="72"/>
              <w:rPr>
                <w:b/>
                <w:sz w:val="16"/>
              </w:rPr>
            </w:pPr>
            <w:r>
              <w:rPr>
                <w:b/>
                <w:spacing w:val="-2"/>
                <w:sz w:val="16"/>
              </w:rPr>
              <w:t>Actividad</w:t>
            </w:r>
            <w:r>
              <w:rPr>
                <w:b/>
                <w:spacing w:val="-10"/>
                <w:sz w:val="16"/>
              </w:rPr>
              <w:t> </w:t>
            </w:r>
            <w:r>
              <w:rPr>
                <w:b/>
                <w:spacing w:val="-2"/>
                <w:sz w:val="16"/>
              </w:rPr>
              <w:t>PPPS 1.51.8:</w:t>
            </w:r>
          </w:p>
          <w:p>
            <w:pPr>
              <w:pStyle w:val="TableParagraph"/>
              <w:spacing w:before="2"/>
              <w:ind w:left="72" w:right="68"/>
              <w:rPr>
                <w:sz w:val="16"/>
              </w:rPr>
            </w:pPr>
            <w:r>
              <w:rPr>
                <w:sz w:val="16"/>
              </w:rPr>
              <w:t>Capacitación</w:t>
            </w:r>
            <w:r>
              <w:rPr>
                <w:spacing w:val="-2"/>
                <w:sz w:val="16"/>
              </w:rPr>
              <w:t> </w:t>
            </w:r>
            <w:r>
              <w:rPr>
                <w:sz w:val="16"/>
              </w:rPr>
              <w:t>a personal institucional en</w:t>
            </w:r>
            <w:r>
              <w:rPr>
                <w:spacing w:val="-12"/>
                <w:sz w:val="16"/>
              </w:rPr>
              <w:t> </w:t>
            </w:r>
            <w:r>
              <w:rPr>
                <w:sz w:val="16"/>
              </w:rPr>
              <w:t>detección,</w:t>
            </w:r>
            <w:r>
              <w:rPr>
                <w:spacing w:val="-11"/>
                <w:sz w:val="16"/>
              </w:rPr>
              <w:t> </w:t>
            </w:r>
            <w:r>
              <w:rPr>
                <w:sz w:val="16"/>
              </w:rPr>
              <w:t>registro y referencia de las </w:t>
            </w:r>
            <w:r>
              <w:rPr>
                <w:spacing w:val="-2"/>
                <w:sz w:val="16"/>
              </w:rPr>
              <w:t>diferentes </w:t>
            </w:r>
            <w:r>
              <w:rPr>
                <w:sz w:val="16"/>
              </w:rPr>
              <w:t>manifestaciones</w:t>
            </w:r>
            <w:r>
              <w:rPr>
                <w:spacing w:val="-12"/>
                <w:sz w:val="16"/>
              </w:rPr>
              <w:t> </w:t>
            </w:r>
            <w:r>
              <w:rPr>
                <w:sz w:val="16"/>
              </w:rPr>
              <w:t>de</w:t>
            </w:r>
            <w:r>
              <w:rPr>
                <w:spacing w:val="-11"/>
                <w:sz w:val="16"/>
              </w:rPr>
              <w:t> </w:t>
            </w:r>
            <w:r>
              <w:rPr>
                <w:sz w:val="16"/>
              </w:rPr>
              <w:t>la violencia</w:t>
            </w:r>
            <w:r>
              <w:rPr>
                <w:spacing w:val="-2"/>
                <w:sz w:val="16"/>
              </w:rPr>
              <w:t> </w:t>
            </w:r>
            <w:r>
              <w:rPr>
                <w:sz w:val="16"/>
              </w:rPr>
              <w:t>sexual, como continuación del curso virtual de Prevención de violencia contra las mujeres (vinculada a PLANOVI 5.1.2.1.1).</w:t>
            </w:r>
          </w:p>
        </w:tc>
        <w:tc>
          <w:tcPr>
            <w:tcW w:w="1278" w:type="dxa"/>
          </w:tcPr>
          <w:p>
            <w:pPr>
              <w:pStyle w:val="TableParagraph"/>
              <w:ind w:left="72" w:right="147"/>
              <w:rPr>
                <w:sz w:val="16"/>
              </w:rPr>
            </w:pPr>
            <w:r>
              <w:rPr>
                <w:spacing w:val="-2"/>
                <w:sz w:val="16"/>
              </w:rPr>
              <w:t>Porcentaje </w:t>
            </w:r>
            <w:r>
              <w:rPr>
                <w:sz w:val="16"/>
              </w:rPr>
              <w:t>acumulado</w:t>
            </w:r>
            <w:r>
              <w:rPr>
                <w:spacing w:val="-12"/>
                <w:sz w:val="16"/>
              </w:rPr>
              <w:t> </w:t>
            </w:r>
            <w:r>
              <w:rPr>
                <w:sz w:val="16"/>
              </w:rPr>
              <w:t>del </w:t>
            </w:r>
            <w:r>
              <w:rPr>
                <w:spacing w:val="-2"/>
                <w:sz w:val="16"/>
              </w:rPr>
              <w:t>personal seleccionado </w:t>
            </w:r>
            <w:r>
              <w:rPr>
                <w:sz w:val="16"/>
              </w:rPr>
              <w:t>capacitado en </w:t>
            </w:r>
            <w:r>
              <w:rPr>
                <w:spacing w:val="-2"/>
                <w:sz w:val="16"/>
              </w:rPr>
              <w:t>detección, </w:t>
            </w:r>
            <w:r>
              <w:rPr>
                <w:sz w:val="16"/>
              </w:rPr>
              <w:t>registro</w:t>
            </w:r>
            <w:r>
              <w:rPr>
                <w:spacing w:val="-2"/>
                <w:sz w:val="16"/>
              </w:rPr>
              <w:t> </w:t>
            </w:r>
            <w:r>
              <w:rPr>
                <w:sz w:val="16"/>
              </w:rPr>
              <w:t>y referencia de situaciones</w:t>
            </w:r>
            <w:r>
              <w:rPr>
                <w:spacing w:val="-12"/>
                <w:sz w:val="16"/>
              </w:rPr>
              <w:t> </w:t>
            </w:r>
            <w:r>
              <w:rPr>
                <w:sz w:val="16"/>
              </w:rPr>
              <w:t>de </w:t>
            </w:r>
            <w:r>
              <w:rPr>
                <w:spacing w:val="-2"/>
                <w:sz w:val="16"/>
              </w:rPr>
              <w:t>violencia sexual, desagregado </w:t>
            </w:r>
            <w:r>
              <w:rPr>
                <w:sz w:val="16"/>
              </w:rPr>
              <w:t>por tipo de acción de </w:t>
            </w:r>
            <w:r>
              <w:rPr>
                <w:spacing w:val="-2"/>
                <w:sz w:val="16"/>
              </w:rPr>
              <w:t>capacitación,</w:t>
            </w:r>
          </w:p>
          <w:p>
            <w:pPr>
              <w:pStyle w:val="TableParagraph"/>
              <w:spacing w:line="163" w:lineRule="exact"/>
              <w:ind w:left="72"/>
              <w:rPr>
                <w:sz w:val="16"/>
              </w:rPr>
            </w:pPr>
            <w:r>
              <w:rPr>
                <w:sz w:val="16"/>
              </w:rPr>
              <w:t>cantón</w:t>
            </w:r>
            <w:r>
              <w:rPr>
                <w:spacing w:val="-7"/>
                <w:sz w:val="16"/>
              </w:rPr>
              <w:t> </w:t>
            </w:r>
            <w:r>
              <w:rPr>
                <w:sz w:val="16"/>
              </w:rPr>
              <w:t>y</w:t>
            </w:r>
            <w:r>
              <w:rPr>
                <w:spacing w:val="-2"/>
                <w:sz w:val="16"/>
              </w:rPr>
              <w:t> </w:t>
            </w:r>
            <w:r>
              <w:rPr>
                <w:spacing w:val="-4"/>
                <w:sz w:val="16"/>
              </w:rPr>
              <w:t>sexo</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4" w:right="1"/>
              <w:jc w:val="center"/>
              <w:rPr>
                <w:sz w:val="16"/>
              </w:rPr>
            </w:pPr>
            <w:r>
              <w:rPr>
                <w:spacing w:val="-5"/>
                <w:sz w:val="16"/>
              </w:rPr>
              <w:t>80%</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3865"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1.51.9:</w:t>
            </w:r>
          </w:p>
          <w:p>
            <w:pPr>
              <w:pStyle w:val="TableParagraph"/>
              <w:ind w:left="72" w:right="78"/>
              <w:rPr>
                <w:sz w:val="16"/>
              </w:rPr>
            </w:pPr>
            <w:r>
              <w:rPr>
                <w:sz w:val="16"/>
              </w:rPr>
              <w:t>Elaboración del reglamento de la Ley de</w:t>
            </w:r>
            <w:r>
              <w:rPr>
                <w:spacing w:val="-2"/>
                <w:sz w:val="16"/>
              </w:rPr>
              <w:t> </w:t>
            </w:r>
            <w:r>
              <w:rPr>
                <w:sz w:val="16"/>
              </w:rPr>
              <w:t>Reparación integral a sobrevivientes de femicidio, que</w:t>
            </w:r>
            <w:r>
              <w:rPr>
                <w:spacing w:val="40"/>
                <w:sz w:val="16"/>
              </w:rPr>
              <w:t> </w:t>
            </w:r>
            <w:r>
              <w:rPr>
                <w:sz w:val="16"/>
              </w:rPr>
              <w:t>permita una atención </w:t>
            </w:r>
            <w:r>
              <w:rPr>
                <w:spacing w:val="-2"/>
                <w:sz w:val="16"/>
              </w:rPr>
              <w:t>integral, </w:t>
            </w:r>
            <w:r>
              <w:rPr>
                <w:sz w:val="16"/>
              </w:rPr>
              <w:t>interinstitucional</w:t>
            </w:r>
            <w:r>
              <w:rPr>
                <w:spacing w:val="-2"/>
                <w:sz w:val="16"/>
              </w:rPr>
              <w:t> </w:t>
            </w:r>
            <w:r>
              <w:rPr>
                <w:sz w:val="16"/>
              </w:rPr>
              <w:t>y oportuna,</w:t>
            </w:r>
            <w:r>
              <w:rPr>
                <w:spacing w:val="-12"/>
                <w:sz w:val="16"/>
              </w:rPr>
              <w:t> </w:t>
            </w:r>
            <w:r>
              <w:rPr>
                <w:sz w:val="16"/>
              </w:rPr>
              <w:t>a</w:t>
            </w:r>
            <w:r>
              <w:rPr>
                <w:spacing w:val="-11"/>
                <w:sz w:val="16"/>
              </w:rPr>
              <w:t> </w:t>
            </w:r>
            <w:r>
              <w:rPr>
                <w:sz w:val="16"/>
              </w:rPr>
              <w:t>familiares de víctimas de femicidio,</w:t>
            </w:r>
            <w:r>
              <w:rPr>
                <w:spacing w:val="-12"/>
                <w:sz w:val="16"/>
              </w:rPr>
              <w:t> </w:t>
            </w:r>
            <w:r>
              <w:rPr>
                <w:sz w:val="16"/>
              </w:rPr>
              <w:t>en</w:t>
            </w:r>
            <w:r>
              <w:rPr>
                <w:spacing w:val="-11"/>
                <w:sz w:val="16"/>
              </w:rPr>
              <w:t> </w:t>
            </w:r>
            <w:r>
              <w:rPr>
                <w:sz w:val="16"/>
              </w:rPr>
              <w:t>especial a personas menores de edad, con discapacidad</w:t>
            </w:r>
            <w:r>
              <w:rPr>
                <w:spacing w:val="-2"/>
                <w:sz w:val="16"/>
              </w:rPr>
              <w:t> </w:t>
            </w:r>
            <w:r>
              <w:rPr>
                <w:sz w:val="16"/>
              </w:rPr>
              <w:t>y </w:t>
            </w:r>
            <w:r>
              <w:rPr>
                <w:spacing w:val="-2"/>
                <w:sz w:val="16"/>
              </w:rPr>
              <w:t>personas dependientes </w:t>
            </w:r>
            <w:r>
              <w:rPr>
                <w:sz w:val="16"/>
              </w:rPr>
              <w:t>(vinculada a</w:t>
            </w:r>
          </w:p>
          <w:p>
            <w:pPr>
              <w:pStyle w:val="TableParagraph"/>
              <w:spacing w:line="163" w:lineRule="exact"/>
              <w:ind w:left="72"/>
              <w:rPr>
                <w:sz w:val="16"/>
              </w:rPr>
            </w:pPr>
            <w:r>
              <w:rPr>
                <w:sz w:val="16"/>
              </w:rPr>
              <w:t>PLANOVI</w:t>
            </w:r>
            <w:r>
              <w:rPr>
                <w:spacing w:val="-8"/>
                <w:sz w:val="16"/>
              </w:rPr>
              <w:t> </w:t>
            </w:r>
            <w:r>
              <w:rPr>
                <w:spacing w:val="-2"/>
                <w:sz w:val="16"/>
              </w:rPr>
              <w:t>6.3.1).</w:t>
            </w:r>
          </w:p>
        </w:tc>
        <w:tc>
          <w:tcPr>
            <w:tcW w:w="1278" w:type="dxa"/>
          </w:tcPr>
          <w:p>
            <w:pPr>
              <w:pStyle w:val="TableParagraph"/>
              <w:rPr>
                <w:b/>
                <w:sz w:val="16"/>
              </w:rPr>
            </w:pPr>
          </w:p>
          <w:p>
            <w:pPr>
              <w:pStyle w:val="TableParagraph"/>
              <w:spacing w:before="91"/>
              <w:rPr>
                <w:b/>
                <w:sz w:val="16"/>
              </w:rPr>
            </w:pPr>
          </w:p>
          <w:p>
            <w:pPr>
              <w:pStyle w:val="TableParagraph"/>
              <w:spacing w:before="1"/>
              <w:ind w:left="72" w:right="79"/>
              <w:rPr>
                <w:sz w:val="16"/>
              </w:rPr>
            </w:pPr>
            <w:r>
              <w:rPr>
                <w:sz w:val="16"/>
              </w:rPr>
              <w:t>Porcentaje de </w:t>
            </w:r>
            <w:r>
              <w:rPr>
                <w:spacing w:val="-2"/>
                <w:sz w:val="16"/>
              </w:rPr>
              <w:t>personas </w:t>
            </w:r>
            <w:r>
              <w:rPr>
                <w:sz w:val="16"/>
              </w:rPr>
              <w:t>familiares de </w:t>
            </w:r>
            <w:r>
              <w:rPr>
                <w:spacing w:val="-2"/>
                <w:sz w:val="16"/>
              </w:rPr>
              <w:t>mujeres </w:t>
            </w:r>
            <w:r>
              <w:rPr>
                <w:sz w:val="16"/>
              </w:rPr>
              <w:t>víctimas de femicidio</w:t>
            </w:r>
            <w:r>
              <w:rPr>
                <w:spacing w:val="-2"/>
                <w:sz w:val="16"/>
              </w:rPr>
              <w:t> </w:t>
            </w:r>
            <w:r>
              <w:rPr>
                <w:sz w:val="16"/>
              </w:rPr>
              <w:t>que </w:t>
            </w:r>
            <w:r>
              <w:rPr>
                <w:spacing w:val="-2"/>
                <w:sz w:val="16"/>
              </w:rPr>
              <w:t>recibieron </w:t>
            </w:r>
            <w:r>
              <w:rPr>
                <w:sz w:val="16"/>
              </w:rPr>
              <w:t>atención</w:t>
            </w:r>
            <w:r>
              <w:rPr>
                <w:spacing w:val="-12"/>
                <w:sz w:val="16"/>
              </w:rPr>
              <w:t> </w:t>
            </w:r>
            <w:r>
              <w:rPr>
                <w:sz w:val="16"/>
              </w:rPr>
              <w:t>según </w:t>
            </w:r>
            <w:r>
              <w:rPr>
                <w:spacing w:val="-2"/>
                <w:sz w:val="16"/>
              </w:rPr>
              <w:t>protocolo, desagregado </w:t>
            </w:r>
            <w:r>
              <w:rPr>
                <w:sz w:val="16"/>
              </w:rPr>
              <w:t>por</w:t>
            </w:r>
            <w:r>
              <w:rPr>
                <w:spacing w:val="-12"/>
                <w:sz w:val="16"/>
              </w:rPr>
              <w:t> </w:t>
            </w:r>
            <w:r>
              <w:rPr>
                <w:sz w:val="16"/>
              </w:rPr>
              <w:t>sexo,</w:t>
            </w:r>
            <w:r>
              <w:rPr>
                <w:spacing w:val="-11"/>
                <w:sz w:val="16"/>
              </w:rPr>
              <w:t> </w:t>
            </w:r>
            <w:r>
              <w:rPr>
                <w:sz w:val="16"/>
              </w:rPr>
              <w:t>edad, vínculo con la mujer víctima, tipo de asistencia</w:t>
            </w:r>
            <w:r>
              <w:rPr>
                <w:spacing w:val="-2"/>
                <w:sz w:val="16"/>
              </w:rPr>
              <w:t> </w:t>
            </w:r>
            <w:r>
              <w:rPr>
                <w:sz w:val="16"/>
              </w:rPr>
              <w:t>y </w:t>
            </w:r>
            <w:r>
              <w:rPr>
                <w:spacing w:val="-2"/>
                <w:sz w:val="16"/>
              </w:rPr>
              <w:t>cantón.</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spacing w:before="1"/>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2765" w:hRule="atLeast"/>
        </w:trPr>
        <w:tc>
          <w:tcPr>
            <w:tcW w:w="1695" w:type="dxa"/>
          </w:tcPr>
          <w:p>
            <w:pPr>
              <w:pStyle w:val="TableParagraph"/>
              <w:spacing w:before="3"/>
              <w:ind w:left="72"/>
              <w:rPr>
                <w:b/>
                <w:sz w:val="16"/>
              </w:rPr>
            </w:pPr>
            <w:r>
              <w:rPr>
                <w:b/>
                <w:spacing w:val="-2"/>
                <w:sz w:val="16"/>
              </w:rPr>
              <w:t>Actividad</w:t>
            </w:r>
            <w:r>
              <w:rPr>
                <w:b/>
                <w:spacing w:val="-10"/>
                <w:sz w:val="16"/>
              </w:rPr>
              <w:t> </w:t>
            </w:r>
            <w:r>
              <w:rPr>
                <w:b/>
                <w:spacing w:val="-2"/>
                <w:sz w:val="16"/>
              </w:rPr>
              <w:t>PPPS 1.51.10:</w:t>
            </w:r>
          </w:p>
          <w:p>
            <w:pPr>
              <w:pStyle w:val="TableParagraph"/>
              <w:ind w:left="72" w:right="66"/>
              <w:rPr>
                <w:sz w:val="16"/>
              </w:rPr>
            </w:pPr>
            <w:r>
              <w:rPr>
                <w:spacing w:val="-2"/>
                <w:sz w:val="16"/>
              </w:rPr>
              <w:t>Establecimiento </w:t>
            </w:r>
            <w:r>
              <w:rPr>
                <w:sz w:val="16"/>
              </w:rPr>
              <w:t>acuerdos que favorezcan la mejora en los procesos de </w:t>
            </w:r>
            <w:r>
              <w:rPr>
                <w:spacing w:val="-2"/>
                <w:sz w:val="16"/>
              </w:rPr>
              <w:t>intervención </w:t>
            </w:r>
            <w:r>
              <w:rPr>
                <w:sz w:val="16"/>
              </w:rPr>
              <w:t>institucional</w:t>
            </w:r>
            <w:r>
              <w:rPr>
                <w:spacing w:val="-12"/>
                <w:sz w:val="16"/>
              </w:rPr>
              <w:t> </w:t>
            </w:r>
            <w:r>
              <w:rPr>
                <w:sz w:val="16"/>
              </w:rPr>
              <w:t>mediante la</w:t>
            </w:r>
            <w:r>
              <w:rPr>
                <w:spacing w:val="-2"/>
                <w:sz w:val="16"/>
              </w:rPr>
              <w:t> </w:t>
            </w:r>
            <w:r>
              <w:rPr>
                <w:sz w:val="16"/>
              </w:rPr>
              <w:t>Comisión Consultiva para la mejora e innovación de los programas y servicios del IMAS (vinculada a PIGI</w:t>
            </w:r>
          </w:p>
          <w:p>
            <w:pPr>
              <w:pStyle w:val="TableParagraph"/>
              <w:spacing w:line="168" w:lineRule="exact"/>
              <w:ind w:left="72"/>
              <w:rPr>
                <w:sz w:val="16"/>
              </w:rPr>
            </w:pPr>
            <w:r>
              <w:rPr>
                <w:spacing w:val="-2"/>
                <w:sz w:val="16"/>
              </w:rPr>
              <w:t>2.1.1.3).</w:t>
            </w:r>
          </w:p>
        </w:tc>
        <w:tc>
          <w:tcPr>
            <w:tcW w:w="1278" w:type="dxa"/>
          </w:tcPr>
          <w:p>
            <w:pPr>
              <w:pStyle w:val="TableParagraph"/>
              <w:spacing w:before="94"/>
              <w:ind w:left="72" w:right="84"/>
              <w:rPr>
                <w:sz w:val="16"/>
              </w:rPr>
            </w:pPr>
            <w:r>
              <w:rPr>
                <w:sz w:val="16"/>
              </w:rPr>
              <w:t>Cantidad de </w:t>
            </w:r>
            <w:r>
              <w:rPr>
                <w:spacing w:val="-2"/>
                <w:sz w:val="16"/>
              </w:rPr>
              <w:t>acuerdos </w:t>
            </w:r>
            <w:r>
              <w:rPr>
                <w:sz w:val="16"/>
              </w:rPr>
              <w:t>tomados por la </w:t>
            </w:r>
            <w:r>
              <w:rPr>
                <w:spacing w:val="-2"/>
                <w:sz w:val="16"/>
              </w:rPr>
              <w:t>Comisión </w:t>
            </w:r>
            <w:r>
              <w:rPr>
                <w:sz w:val="16"/>
              </w:rPr>
              <w:t>Consultiva</w:t>
            </w:r>
            <w:r>
              <w:rPr>
                <w:spacing w:val="-12"/>
                <w:sz w:val="16"/>
              </w:rPr>
              <w:t> </w:t>
            </w:r>
            <w:r>
              <w:rPr>
                <w:sz w:val="16"/>
              </w:rPr>
              <w:t>para la mejora e innovación de los programas</w:t>
            </w:r>
            <w:r>
              <w:rPr>
                <w:spacing w:val="40"/>
                <w:sz w:val="16"/>
              </w:rPr>
              <w:t> </w:t>
            </w:r>
            <w:r>
              <w:rPr>
                <w:sz w:val="16"/>
              </w:rPr>
              <w:t>y servicios del IMAS para la mejora en los procesos de </w:t>
            </w:r>
            <w:r>
              <w:rPr>
                <w:spacing w:val="-2"/>
                <w:sz w:val="16"/>
              </w:rPr>
              <w:t>intervención institucional.</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4" w:right="1"/>
              <w:jc w:val="center"/>
              <w:rPr>
                <w:sz w:val="16"/>
              </w:rPr>
            </w:pPr>
            <w:r>
              <w:rPr>
                <w:spacing w:val="-10"/>
                <w:sz w:val="16"/>
              </w:rPr>
              <w:t>3</w:t>
            </w:r>
          </w:p>
        </w:tc>
        <w:tc>
          <w:tcPr>
            <w:tcW w:w="1494" w:type="dxa"/>
          </w:tcPr>
          <w:p>
            <w:pPr>
              <w:pStyle w:val="TableParagraph"/>
              <w:rPr>
                <w:rFonts w:ascii="Times New Roman"/>
                <w:sz w:val="16"/>
              </w:rPr>
            </w:pPr>
          </w:p>
        </w:tc>
      </w:tr>
    </w:tbl>
    <w:p>
      <w:pPr>
        <w:pStyle w:val="TableParagraph"/>
        <w:spacing w:after="0"/>
        <w:rPr>
          <w:rFonts w:ascii="Times New Roman"/>
          <w:sz w:val="16"/>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3130" w:hRule="atLeast"/>
        </w:trPr>
        <w:tc>
          <w:tcPr>
            <w:tcW w:w="1695"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6"/>
              <w:rPr>
                <w:b/>
                <w:sz w:val="16"/>
              </w:rPr>
            </w:pPr>
          </w:p>
          <w:p>
            <w:pPr>
              <w:pStyle w:val="TableParagraph"/>
              <w:spacing w:before="1"/>
              <w:ind w:left="72"/>
              <w:rPr>
                <w:b/>
                <w:sz w:val="16"/>
              </w:rPr>
            </w:pPr>
            <w:r>
              <w:rPr>
                <w:b/>
                <w:spacing w:val="-2"/>
                <w:sz w:val="16"/>
              </w:rPr>
              <w:t>Actividad</w:t>
            </w:r>
            <w:r>
              <w:rPr>
                <w:b/>
                <w:spacing w:val="-10"/>
                <w:sz w:val="16"/>
              </w:rPr>
              <w:t> </w:t>
            </w:r>
            <w:r>
              <w:rPr>
                <w:b/>
                <w:spacing w:val="-2"/>
                <w:sz w:val="16"/>
              </w:rPr>
              <w:t>PPPS 1.51.11:</w:t>
            </w:r>
          </w:p>
          <w:p>
            <w:pPr>
              <w:pStyle w:val="TableParagraph"/>
              <w:spacing w:before="1"/>
              <w:ind w:left="72" w:right="69"/>
              <w:rPr>
                <w:sz w:val="16"/>
              </w:rPr>
            </w:pPr>
            <w:r>
              <w:rPr>
                <w:sz w:val="16"/>
              </w:rPr>
              <w:t>Articulación de los programas y</w:t>
            </w:r>
            <w:r>
              <w:rPr>
                <w:spacing w:val="40"/>
                <w:sz w:val="16"/>
              </w:rPr>
              <w:t> </w:t>
            </w:r>
            <w:r>
              <w:rPr>
                <w:sz w:val="16"/>
              </w:rPr>
              <w:t>servicios del IMAS con</w:t>
            </w:r>
            <w:r>
              <w:rPr>
                <w:spacing w:val="-2"/>
                <w:sz w:val="16"/>
              </w:rPr>
              <w:t> </w:t>
            </w:r>
            <w:r>
              <w:rPr>
                <w:sz w:val="16"/>
              </w:rPr>
              <w:t>soluciones adicionales</w:t>
            </w:r>
            <w:r>
              <w:rPr>
                <w:spacing w:val="-12"/>
                <w:sz w:val="16"/>
              </w:rPr>
              <w:t> </w:t>
            </w:r>
            <w:r>
              <w:rPr>
                <w:sz w:val="16"/>
              </w:rPr>
              <w:t>que</w:t>
            </w:r>
            <w:r>
              <w:rPr>
                <w:spacing w:val="-11"/>
                <w:sz w:val="16"/>
              </w:rPr>
              <w:t> </w:t>
            </w:r>
            <w:r>
              <w:rPr>
                <w:sz w:val="16"/>
              </w:rPr>
              <w:t>estén asociadas con</w:t>
            </w:r>
            <w:r>
              <w:rPr>
                <w:spacing w:val="40"/>
                <w:sz w:val="16"/>
              </w:rPr>
              <w:t> </w:t>
            </w:r>
            <w:r>
              <w:rPr>
                <w:sz w:val="16"/>
              </w:rPr>
              <w:t>trabajo de cuidados (como el acceso a servicios</w:t>
            </w:r>
            <w:r>
              <w:rPr>
                <w:spacing w:val="-12"/>
                <w:sz w:val="16"/>
              </w:rPr>
              <w:t> </w:t>
            </w:r>
            <w:r>
              <w:rPr>
                <w:sz w:val="16"/>
              </w:rPr>
              <w:t>de</w:t>
            </w:r>
            <w:r>
              <w:rPr>
                <w:spacing w:val="-11"/>
                <w:sz w:val="16"/>
              </w:rPr>
              <w:t> </w:t>
            </w:r>
            <w:r>
              <w:rPr>
                <w:sz w:val="16"/>
              </w:rPr>
              <w:t>cuidados o las transferencias relacionadas con</w:t>
            </w:r>
            <w:r>
              <w:rPr>
                <w:spacing w:val="40"/>
                <w:sz w:val="16"/>
              </w:rPr>
              <w:t> </w:t>
            </w:r>
            <w:r>
              <w:rPr>
                <w:sz w:val="16"/>
              </w:rPr>
              <w:t>este</w:t>
            </w:r>
            <w:r>
              <w:rPr>
                <w:spacing w:val="-12"/>
                <w:sz w:val="16"/>
              </w:rPr>
              <w:t> </w:t>
            </w:r>
            <w:r>
              <w:rPr>
                <w:sz w:val="16"/>
              </w:rPr>
              <w:t>rubro)</w:t>
            </w:r>
            <w:r>
              <w:rPr>
                <w:spacing w:val="-11"/>
                <w:sz w:val="16"/>
              </w:rPr>
              <w:t> </w:t>
            </w:r>
            <w:r>
              <w:rPr>
                <w:sz w:val="16"/>
              </w:rPr>
              <w:t>(vinculada a PIGI 2.1.2.1).</w:t>
            </w:r>
          </w:p>
        </w:tc>
        <w:tc>
          <w:tcPr>
            <w:tcW w:w="1278" w:type="dxa"/>
          </w:tcPr>
          <w:p>
            <w:pPr>
              <w:pStyle w:val="TableParagraph"/>
              <w:ind w:left="72" w:right="80"/>
              <w:rPr>
                <w:sz w:val="16"/>
              </w:rPr>
            </w:pPr>
            <w:r>
              <w:rPr>
                <w:sz w:val="16"/>
              </w:rPr>
              <w:t>Cantidad de estudios de percepción de las personas usuarias de</w:t>
            </w:r>
            <w:r>
              <w:rPr>
                <w:spacing w:val="-3"/>
                <w:sz w:val="16"/>
              </w:rPr>
              <w:t> </w:t>
            </w:r>
            <w:r>
              <w:rPr>
                <w:sz w:val="16"/>
              </w:rPr>
              <w:t>las tareas de cuidados</w:t>
            </w:r>
            <w:r>
              <w:rPr>
                <w:spacing w:val="-1"/>
                <w:sz w:val="16"/>
              </w:rPr>
              <w:t> </w:t>
            </w:r>
            <w:r>
              <w:rPr>
                <w:sz w:val="16"/>
              </w:rPr>
              <w:t>como barrera para la mejora de la </w:t>
            </w:r>
            <w:r>
              <w:rPr>
                <w:spacing w:val="-2"/>
                <w:sz w:val="16"/>
              </w:rPr>
              <w:t>situación socioeconómic </w:t>
            </w:r>
            <w:r>
              <w:rPr>
                <w:sz w:val="16"/>
              </w:rPr>
              <w:t>a</w:t>
            </w:r>
            <w:r>
              <w:rPr>
                <w:spacing w:val="-2"/>
                <w:sz w:val="16"/>
              </w:rPr>
              <w:t> </w:t>
            </w:r>
            <w:r>
              <w:rPr>
                <w:sz w:val="16"/>
              </w:rPr>
              <w:t>elaborado</w:t>
            </w:r>
            <w:r>
              <w:rPr>
                <w:spacing w:val="40"/>
                <w:sz w:val="16"/>
              </w:rPr>
              <w:t> </w:t>
            </w:r>
            <w:r>
              <w:rPr>
                <w:spacing w:val="-4"/>
                <w:sz w:val="16"/>
              </w:rPr>
              <w:t>con </w:t>
            </w:r>
            <w:r>
              <w:rPr>
                <w:spacing w:val="-2"/>
                <w:sz w:val="16"/>
              </w:rPr>
              <w:t>recomendacion </w:t>
            </w:r>
            <w:r>
              <w:rPr>
                <w:sz w:val="16"/>
              </w:rPr>
              <w:t>es en </w:t>
            </w:r>
            <w:r>
              <w:rPr>
                <w:spacing w:val="-2"/>
                <w:sz w:val="16"/>
              </w:rPr>
              <w:t>implementación</w:t>
            </w:r>
          </w:p>
          <w:p>
            <w:pPr>
              <w:pStyle w:val="TableParagraph"/>
              <w:spacing w:line="163" w:lineRule="exact" w:before="3"/>
              <w:ind w:left="72"/>
              <w:rPr>
                <w:sz w:val="16"/>
              </w:rPr>
            </w:pPr>
            <w:r>
              <w:rPr>
                <w:spacing w:val="-10"/>
                <w:sz w:val="16"/>
              </w:rPr>
              <w:t>.</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4" w:right="1"/>
              <w:jc w:val="center"/>
              <w:rPr>
                <w:sz w:val="16"/>
              </w:rPr>
            </w:pPr>
            <w:r>
              <w:rPr>
                <w:spacing w:val="-10"/>
                <w:sz w:val="16"/>
              </w:rPr>
              <w:t>1</w:t>
            </w:r>
          </w:p>
        </w:tc>
        <w:tc>
          <w:tcPr>
            <w:tcW w:w="1494" w:type="dxa"/>
          </w:tcPr>
          <w:p>
            <w:pPr>
              <w:pStyle w:val="TableParagraph"/>
              <w:rPr>
                <w:rFonts w:ascii="Times New Roman"/>
                <w:sz w:val="16"/>
              </w:rPr>
            </w:pPr>
          </w:p>
        </w:tc>
      </w:tr>
      <w:tr>
        <w:trPr>
          <w:trHeight w:val="1108" w:hRule="atLeast"/>
        </w:trPr>
        <w:tc>
          <w:tcPr>
            <w:tcW w:w="1695" w:type="dxa"/>
            <w:vMerge/>
            <w:tcBorders>
              <w:top w:val="nil"/>
            </w:tcBorders>
          </w:tcPr>
          <w:p>
            <w:pPr>
              <w:rPr>
                <w:sz w:val="2"/>
                <w:szCs w:val="2"/>
              </w:rPr>
            </w:pPr>
          </w:p>
        </w:tc>
        <w:tc>
          <w:tcPr>
            <w:tcW w:w="1278" w:type="dxa"/>
          </w:tcPr>
          <w:p>
            <w:pPr>
              <w:pStyle w:val="TableParagraph"/>
              <w:spacing w:before="92"/>
              <w:rPr>
                <w:b/>
                <w:sz w:val="16"/>
              </w:rPr>
            </w:pPr>
          </w:p>
          <w:p>
            <w:pPr>
              <w:pStyle w:val="TableParagraph"/>
              <w:spacing w:line="242" w:lineRule="auto" w:before="1"/>
              <w:ind w:left="72" w:right="396"/>
              <w:rPr>
                <w:sz w:val="16"/>
              </w:rPr>
            </w:pPr>
            <w:r>
              <w:rPr>
                <w:sz w:val="16"/>
              </w:rPr>
              <w:t>Número</w:t>
            </w:r>
            <w:r>
              <w:rPr>
                <w:spacing w:val="-12"/>
                <w:sz w:val="16"/>
              </w:rPr>
              <w:t> </w:t>
            </w:r>
            <w:r>
              <w:rPr>
                <w:sz w:val="16"/>
              </w:rPr>
              <w:t>de </w:t>
            </w:r>
            <w:r>
              <w:rPr>
                <w:spacing w:val="-2"/>
                <w:sz w:val="16"/>
              </w:rPr>
              <w:t>procesos revisados.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spacing w:before="96"/>
              <w:rPr>
                <w:b/>
                <w:sz w:val="16"/>
              </w:rPr>
            </w:pPr>
          </w:p>
          <w:p>
            <w:pPr>
              <w:pStyle w:val="TableParagraph"/>
              <w:ind w:left="4" w:right="1"/>
              <w:jc w:val="center"/>
              <w:rPr>
                <w:sz w:val="16"/>
              </w:rPr>
            </w:pPr>
            <w:r>
              <w:rPr>
                <w:spacing w:val="-10"/>
                <w:sz w:val="16"/>
              </w:rPr>
              <w:t>2</w:t>
            </w:r>
          </w:p>
        </w:tc>
        <w:tc>
          <w:tcPr>
            <w:tcW w:w="1494" w:type="dxa"/>
          </w:tcPr>
          <w:p>
            <w:pPr>
              <w:pStyle w:val="TableParagraph"/>
              <w:rPr>
                <w:rFonts w:ascii="Times New Roman"/>
                <w:sz w:val="16"/>
              </w:rPr>
            </w:pPr>
          </w:p>
        </w:tc>
      </w:tr>
      <w:tr>
        <w:trPr>
          <w:trHeight w:val="1660" w:hRule="atLeast"/>
        </w:trPr>
        <w:tc>
          <w:tcPr>
            <w:tcW w:w="1695" w:type="dxa"/>
            <w:vMerge/>
            <w:tcBorders>
              <w:top w:val="nil"/>
            </w:tcBorders>
          </w:tcPr>
          <w:p>
            <w:pPr>
              <w:rPr>
                <w:sz w:val="2"/>
                <w:szCs w:val="2"/>
              </w:rPr>
            </w:pPr>
          </w:p>
        </w:tc>
        <w:tc>
          <w:tcPr>
            <w:tcW w:w="1278" w:type="dxa"/>
          </w:tcPr>
          <w:p>
            <w:pPr>
              <w:pStyle w:val="TableParagraph"/>
              <w:spacing w:before="3"/>
              <w:ind w:left="72" w:right="79"/>
              <w:rPr>
                <w:sz w:val="16"/>
              </w:rPr>
            </w:pPr>
            <w:r>
              <w:rPr>
                <w:sz w:val="16"/>
              </w:rPr>
              <w:t>Porcentaje de</w:t>
            </w:r>
            <w:r>
              <w:rPr>
                <w:spacing w:val="40"/>
                <w:sz w:val="16"/>
              </w:rPr>
              <w:t> </w:t>
            </w:r>
            <w:r>
              <w:rPr>
                <w:sz w:val="16"/>
              </w:rPr>
              <w:t>la población objetivo que reporta</w:t>
            </w:r>
            <w:r>
              <w:rPr>
                <w:spacing w:val="-2"/>
                <w:sz w:val="16"/>
              </w:rPr>
              <w:t> </w:t>
            </w:r>
            <w:r>
              <w:rPr>
                <w:sz w:val="16"/>
              </w:rPr>
              <w:t>una </w:t>
            </w:r>
            <w:r>
              <w:rPr>
                <w:spacing w:val="-2"/>
                <w:sz w:val="16"/>
              </w:rPr>
              <w:t>opinión </w:t>
            </w:r>
            <w:r>
              <w:rPr>
                <w:sz w:val="16"/>
              </w:rPr>
              <w:t>favorable</w:t>
            </w:r>
            <w:r>
              <w:rPr>
                <w:spacing w:val="-9"/>
                <w:sz w:val="16"/>
              </w:rPr>
              <w:t> </w:t>
            </w:r>
            <w:r>
              <w:rPr>
                <w:sz w:val="16"/>
              </w:rPr>
              <w:t>hacia el acceso a la información</w:t>
            </w:r>
            <w:r>
              <w:rPr>
                <w:spacing w:val="-12"/>
                <w:sz w:val="16"/>
              </w:rPr>
              <w:t> </w:t>
            </w:r>
            <w:r>
              <w:rPr>
                <w:sz w:val="16"/>
              </w:rPr>
              <w:t>y</w:t>
            </w:r>
            <w:r>
              <w:rPr>
                <w:spacing w:val="-11"/>
                <w:sz w:val="16"/>
              </w:rPr>
              <w:t> </w:t>
            </w:r>
            <w:r>
              <w:rPr>
                <w:sz w:val="16"/>
              </w:rPr>
              <w:t>la</w:t>
            </w:r>
          </w:p>
          <w:p>
            <w:pPr>
              <w:pStyle w:val="TableParagraph"/>
              <w:spacing w:line="166" w:lineRule="exact"/>
              <w:ind w:left="72"/>
              <w:rPr>
                <w:sz w:val="16"/>
              </w:rPr>
            </w:pPr>
            <w:r>
              <w:rPr>
                <w:spacing w:val="-2"/>
                <w:sz w:val="16"/>
              </w:rPr>
              <w:t>comunicación.</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4" w:right="1"/>
              <w:jc w:val="center"/>
              <w:rPr>
                <w:sz w:val="16"/>
              </w:rPr>
            </w:pPr>
            <w:r>
              <w:rPr>
                <w:spacing w:val="-5"/>
                <w:sz w:val="16"/>
              </w:rPr>
              <w:t>80%</w:t>
            </w:r>
          </w:p>
        </w:tc>
        <w:tc>
          <w:tcPr>
            <w:tcW w:w="1494" w:type="dxa"/>
          </w:tcPr>
          <w:p>
            <w:pPr>
              <w:pStyle w:val="TableParagraph"/>
              <w:rPr>
                <w:rFonts w:ascii="Times New Roman"/>
                <w:sz w:val="16"/>
              </w:rPr>
            </w:pPr>
          </w:p>
        </w:tc>
      </w:tr>
    </w:tbl>
    <w:p>
      <w:pPr>
        <w:pStyle w:val="TableParagraph"/>
        <w:spacing w:after="0"/>
        <w:rPr>
          <w:rFonts w:ascii="Times New Roman"/>
          <w:sz w:val="16"/>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3130" w:hRule="atLeast"/>
        </w:trPr>
        <w:tc>
          <w:tcPr>
            <w:tcW w:w="1695" w:type="dxa"/>
          </w:tcPr>
          <w:p>
            <w:pPr>
              <w:pStyle w:val="TableParagraph"/>
              <w:spacing w:before="95"/>
              <w:ind w:left="72"/>
              <w:rPr>
                <w:b/>
                <w:sz w:val="16"/>
              </w:rPr>
            </w:pPr>
            <w:r>
              <w:rPr>
                <w:b/>
                <w:spacing w:val="-2"/>
                <w:sz w:val="16"/>
              </w:rPr>
              <w:t>Actividad</w:t>
            </w:r>
            <w:r>
              <w:rPr>
                <w:b/>
                <w:spacing w:val="-10"/>
                <w:sz w:val="16"/>
              </w:rPr>
              <w:t> </w:t>
            </w:r>
            <w:r>
              <w:rPr>
                <w:b/>
                <w:spacing w:val="-2"/>
                <w:sz w:val="16"/>
              </w:rPr>
              <w:t>PPPS 1.51.12:</w:t>
            </w:r>
          </w:p>
          <w:p>
            <w:pPr>
              <w:pStyle w:val="TableParagraph"/>
              <w:ind w:left="72" w:right="94"/>
              <w:rPr>
                <w:sz w:val="16"/>
              </w:rPr>
            </w:pPr>
            <w:r>
              <w:rPr>
                <w:sz w:val="16"/>
              </w:rPr>
              <w:t>Promoción de la transversalización</w:t>
            </w:r>
            <w:r>
              <w:rPr>
                <w:spacing w:val="-12"/>
                <w:sz w:val="16"/>
              </w:rPr>
              <w:t> </w:t>
            </w:r>
            <w:r>
              <w:rPr>
                <w:sz w:val="16"/>
              </w:rPr>
              <w:t>de la perspectiva de </w:t>
            </w:r>
            <w:r>
              <w:rPr>
                <w:spacing w:val="-2"/>
                <w:sz w:val="16"/>
              </w:rPr>
              <w:t>género</w:t>
            </w:r>
            <w:r>
              <w:rPr>
                <w:spacing w:val="-3"/>
                <w:sz w:val="16"/>
              </w:rPr>
              <w:t> </w:t>
            </w:r>
            <w:r>
              <w:rPr>
                <w:spacing w:val="-2"/>
                <w:sz w:val="16"/>
              </w:rPr>
              <w:t>interseccional </w:t>
            </w:r>
            <w:r>
              <w:rPr>
                <w:sz w:val="16"/>
              </w:rPr>
              <w:t>en las redes interinstitucionales a las que asiste el IMAS, mediante la participación de las </w:t>
            </w:r>
            <w:r>
              <w:rPr>
                <w:spacing w:val="-2"/>
                <w:sz w:val="16"/>
              </w:rPr>
              <w:t>personas</w:t>
            </w:r>
            <w:r>
              <w:rPr>
                <w:spacing w:val="-7"/>
                <w:sz w:val="16"/>
              </w:rPr>
              <w:t> </w:t>
            </w:r>
            <w:r>
              <w:rPr>
                <w:spacing w:val="-2"/>
                <w:sz w:val="16"/>
              </w:rPr>
              <w:t>designadas </w:t>
            </w:r>
            <w:r>
              <w:rPr>
                <w:sz w:val="16"/>
              </w:rPr>
              <w:t>como enlaces </w:t>
            </w:r>
            <w:r>
              <w:rPr>
                <w:spacing w:val="-2"/>
                <w:sz w:val="16"/>
              </w:rPr>
              <w:t>institucionales </w:t>
            </w:r>
            <w:r>
              <w:rPr>
                <w:sz w:val="16"/>
              </w:rPr>
              <w:t>(vinculada a PIGI </w:t>
            </w:r>
            <w:r>
              <w:rPr>
                <w:spacing w:val="-2"/>
                <w:sz w:val="16"/>
              </w:rPr>
              <w:t>2.2.1.1).</w:t>
            </w:r>
          </w:p>
        </w:tc>
        <w:tc>
          <w:tcPr>
            <w:tcW w:w="1278" w:type="dxa"/>
          </w:tcPr>
          <w:p>
            <w:pPr>
              <w:pStyle w:val="TableParagraph"/>
              <w:ind w:left="72" w:right="96"/>
              <w:rPr>
                <w:sz w:val="16"/>
              </w:rPr>
            </w:pPr>
            <w:r>
              <w:rPr>
                <w:sz w:val="16"/>
              </w:rPr>
              <w:t>Cantidad de </w:t>
            </w:r>
            <w:r>
              <w:rPr>
                <w:spacing w:val="-2"/>
                <w:sz w:val="16"/>
              </w:rPr>
              <w:t>redes interinstituciona </w:t>
            </w:r>
            <w:r>
              <w:rPr>
                <w:sz w:val="16"/>
              </w:rPr>
              <w:t>les en las que participa el IMAS, y en las que</w:t>
            </w:r>
            <w:r>
              <w:rPr>
                <w:spacing w:val="-2"/>
                <w:sz w:val="16"/>
              </w:rPr>
              <w:t> </w:t>
            </w:r>
            <w:r>
              <w:rPr>
                <w:sz w:val="16"/>
              </w:rPr>
              <w:t>se evidencia</w:t>
            </w:r>
            <w:r>
              <w:rPr>
                <w:spacing w:val="-2"/>
                <w:sz w:val="16"/>
              </w:rPr>
              <w:t> </w:t>
            </w:r>
            <w:r>
              <w:rPr>
                <w:sz w:val="16"/>
              </w:rPr>
              <w:t>la promoción</w:t>
            </w:r>
            <w:r>
              <w:rPr>
                <w:spacing w:val="-2"/>
                <w:sz w:val="16"/>
              </w:rPr>
              <w:t> </w:t>
            </w:r>
            <w:r>
              <w:rPr>
                <w:sz w:val="16"/>
              </w:rPr>
              <w:t>de</w:t>
            </w:r>
            <w:r>
              <w:rPr>
                <w:spacing w:val="40"/>
                <w:sz w:val="16"/>
              </w:rPr>
              <w:t> </w:t>
            </w:r>
            <w:r>
              <w:rPr>
                <w:spacing w:val="-6"/>
                <w:sz w:val="16"/>
              </w:rPr>
              <w:t>la</w:t>
            </w:r>
            <w:r>
              <w:rPr>
                <w:spacing w:val="-2"/>
                <w:sz w:val="16"/>
              </w:rPr>
              <w:t> transversalizaci </w:t>
            </w:r>
            <w:r>
              <w:rPr>
                <w:sz w:val="16"/>
              </w:rPr>
              <w:t>ón de la perspectiva de </w:t>
            </w:r>
            <w:r>
              <w:rPr>
                <w:spacing w:val="-2"/>
                <w:sz w:val="16"/>
              </w:rPr>
              <w:t>género interseccional </w:t>
            </w:r>
            <w:r>
              <w:rPr>
                <w:sz w:val="16"/>
              </w:rPr>
              <w:t>en</w:t>
            </w:r>
            <w:r>
              <w:rPr>
                <w:spacing w:val="-12"/>
                <w:sz w:val="16"/>
              </w:rPr>
              <w:t> </w:t>
            </w:r>
            <w:r>
              <w:rPr>
                <w:sz w:val="16"/>
              </w:rPr>
              <w:t>las</w:t>
            </w:r>
            <w:r>
              <w:rPr>
                <w:spacing w:val="-11"/>
                <w:sz w:val="16"/>
              </w:rPr>
              <w:t> </w:t>
            </w:r>
            <w:r>
              <w:rPr>
                <w:sz w:val="16"/>
              </w:rPr>
              <w:t>acciones</w:t>
            </w:r>
          </w:p>
          <w:p>
            <w:pPr>
              <w:pStyle w:val="TableParagraph"/>
              <w:spacing w:line="163" w:lineRule="exact" w:before="3"/>
              <w:ind w:left="72"/>
              <w:rPr>
                <w:sz w:val="16"/>
              </w:rPr>
            </w:pPr>
            <w:r>
              <w:rPr>
                <w:sz w:val="16"/>
              </w:rPr>
              <w:t>de</w:t>
            </w:r>
            <w:r>
              <w:rPr>
                <w:spacing w:val="-3"/>
                <w:sz w:val="16"/>
              </w:rPr>
              <w:t> </w:t>
            </w:r>
            <w:r>
              <w:rPr>
                <w:sz w:val="16"/>
              </w:rPr>
              <w:t>la</w:t>
            </w:r>
            <w:r>
              <w:rPr>
                <w:spacing w:val="-3"/>
                <w:sz w:val="16"/>
              </w:rPr>
              <w:t> </w:t>
            </w:r>
            <w:r>
              <w:rPr>
                <w:spacing w:val="-4"/>
                <w:sz w:val="16"/>
              </w:rPr>
              <w:t>red.</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rPr>
                <w:b/>
                <w:sz w:val="16"/>
              </w:rPr>
            </w:pPr>
          </w:p>
          <w:p>
            <w:pPr>
              <w:pStyle w:val="TableParagraph"/>
              <w:ind w:left="4" w:right="1"/>
              <w:jc w:val="center"/>
              <w:rPr>
                <w:sz w:val="16"/>
              </w:rPr>
            </w:pPr>
            <w:r>
              <w:rPr>
                <w:spacing w:val="-10"/>
                <w:sz w:val="16"/>
              </w:rPr>
              <w:t>3</w:t>
            </w:r>
          </w:p>
        </w:tc>
        <w:tc>
          <w:tcPr>
            <w:tcW w:w="1494" w:type="dxa"/>
          </w:tcPr>
          <w:p>
            <w:pPr>
              <w:pStyle w:val="TableParagraph"/>
              <w:rPr>
                <w:rFonts w:ascii="Times New Roman"/>
                <w:sz w:val="16"/>
              </w:rPr>
            </w:pPr>
          </w:p>
        </w:tc>
      </w:tr>
      <w:tr>
        <w:trPr>
          <w:trHeight w:val="479" w:hRule="atLeast"/>
        </w:trPr>
        <w:tc>
          <w:tcPr>
            <w:tcW w:w="14323" w:type="dxa"/>
            <w:gridSpan w:val="10"/>
            <w:shd w:val="clear" w:color="auto" w:fill="EFF8F9"/>
          </w:tcPr>
          <w:p>
            <w:pPr>
              <w:pStyle w:val="TableParagraph"/>
              <w:spacing w:before="147"/>
              <w:ind w:left="72"/>
              <w:rPr>
                <w:b/>
                <w:sz w:val="16"/>
              </w:rPr>
            </w:pPr>
            <w:r>
              <w:rPr>
                <w:b/>
                <w:sz w:val="16"/>
              </w:rPr>
              <w:t>Producto</w:t>
            </w:r>
            <w:r>
              <w:rPr>
                <w:b/>
                <w:spacing w:val="-2"/>
                <w:sz w:val="16"/>
              </w:rPr>
              <w:t> </w:t>
            </w:r>
            <w:r>
              <w:rPr>
                <w:b/>
                <w:sz w:val="16"/>
              </w:rPr>
              <w:t>PPPS 1.52:</w:t>
            </w:r>
            <w:r>
              <w:rPr>
                <w:b/>
                <w:spacing w:val="-5"/>
                <w:sz w:val="16"/>
              </w:rPr>
              <w:t> </w:t>
            </w:r>
            <w:r>
              <w:rPr>
                <w:b/>
                <w:sz w:val="16"/>
              </w:rPr>
              <w:t>Aplicación</w:t>
            </w:r>
            <w:r>
              <w:rPr>
                <w:b/>
                <w:spacing w:val="-2"/>
                <w:sz w:val="16"/>
              </w:rPr>
              <w:t> </w:t>
            </w:r>
            <w:r>
              <w:rPr>
                <w:b/>
                <w:sz w:val="16"/>
              </w:rPr>
              <w:t>de</w:t>
            </w:r>
            <w:r>
              <w:rPr>
                <w:b/>
                <w:spacing w:val="-2"/>
                <w:sz w:val="16"/>
              </w:rPr>
              <w:t> </w:t>
            </w:r>
            <w:r>
              <w:rPr>
                <w:b/>
                <w:sz w:val="16"/>
              </w:rPr>
              <w:t>mecanismos</w:t>
            </w:r>
            <w:r>
              <w:rPr>
                <w:b/>
                <w:spacing w:val="-6"/>
                <w:sz w:val="16"/>
              </w:rPr>
              <w:t> </w:t>
            </w:r>
            <w:r>
              <w:rPr>
                <w:b/>
                <w:sz w:val="16"/>
              </w:rPr>
              <w:t>de</w:t>
            </w:r>
            <w:r>
              <w:rPr>
                <w:b/>
                <w:spacing w:val="-2"/>
                <w:sz w:val="16"/>
              </w:rPr>
              <w:t> </w:t>
            </w:r>
            <w:r>
              <w:rPr>
                <w:b/>
                <w:sz w:val="16"/>
              </w:rPr>
              <w:t>control</w:t>
            </w:r>
            <w:r>
              <w:rPr>
                <w:b/>
                <w:spacing w:val="-1"/>
                <w:sz w:val="16"/>
              </w:rPr>
              <w:t> </w:t>
            </w:r>
            <w:r>
              <w:rPr>
                <w:b/>
                <w:sz w:val="16"/>
              </w:rPr>
              <w:t>parala</w:t>
            </w:r>
            <w:r>
              <w:rPr>
                <w:b/>
                <w:spacing w:val="-3"/>
                <w:sz w:val="16"/>
              </w:rPr>
              <w:t> </w:t>
            </w:r>
            <w:r>
              <w:rPr>
                <w:b/>
                <w:sz w:val="16"/>
              </w:rPr>
              <w:t>validación</w:t>
            </w:r>
            <w:r>
              <w:rPr>
                <w:b/>
                <w:spacing w:val="-1"/>
                <w:sz w:val="16"/>
              </w:rPr>
              <w:t> </w:t>
            </w:r>
            <w:r>
              <w:rPr>
                <w:b/>
                <w:sz w:val="16"/>
              </w:rPr>
              <w:t>de</w:t>
            </w:r>
            <w:r>
              <w:rPr>
                <w:b/>
                <w:spacing w:val="-2"/>
                <w:sz w:val="16"/>
              </w:rPr>
              <w:t> </w:t>
            </w:r>
            <w:r>
              <w:rPr>
                <w:b/>
                <w:sz w:val="16"/>
              </w:rPr>
              <w:t>la</w:t>
            </w:r>
            <w:r>
              <w:rPr>
                <w:b/>
                <w:spacing w:val="-2"/>
                <w:sz w:val="16"/>
              </w:rPr>
              <w:t> </w:t>
            </w:r>
            <w:r>
              <w:rPr>
                <w:b/>
                <w:sz w:val="16"/>
              </w:rPr>
              <w:t>inclusión</w:t>
            </w:r>
            <w:r>
              <w:rPr>
                <w:b/>
                <w:spacing w:val="-5"/>
                <w:sz w:val="16"/>
              </w:rPr>
              <w:t> </w:t>
            </w:r>
            <w:r>
              <w:rPr>
                <w:b/>
                <w:sz w:val="16"/>
              </w:rPr>
              <w:t>de</w:t>
            </w:r>
            <w:r>
              <w:rPr>
                <w:b/>
                <w:spacing w:val="-6"/>
                <w:sz w:val="16"/>
              </w:rPr>
              <w:t> </w:t>
            </w:r>
            <w:r>
              <w:rPr>
                <w:b/>
                <w:sz w:val="16"/>
              </w:rPr>
              <w:t>los</w:t>
            </w:r>
            <w:r>
              <w:rPr>
                <w:b/>
                <w:spacing w:val="-3"/>
                <w:sz w:val="16"/>
              </w:rPr>
              <w:t> </w:t>
            </w:r>
            <w:r>
              <w:rPr>
                <w:b/>
                <w:sz w:val="16"/>
              </w:rPr>
              <w:t>proyectos</w:t>
            </w:r>
            <w:r>
              <w:rPr>
                <w:b/>
                <w:spacing w:val="-2"/>
                <w:sz w:val="16"/>
              </w:rPr>
              <w:t> </w:t>
            </w:r>
            <w:r>
              <w:rPr>
                <w:b/>
                <w:sz w:val="16"/>
              </w:rPr>
              <w:t>en</w:t>
            </w:r>
            <w:r>
              <w:rPr>
                <w:b/>
                <w:spacing w:val="-1"/>
                <w:sz w:val="16"/>
              </w:rPr>
              <w:t> </w:t>
            </w:r>
            <w:r>
              <w:rPr>
                <w:b/>
                <w:sz w:val="16"/>
              </w:rPr>
              <w:t>el</w:t>
            </w:r>
            <w:r>
              <w:rPr>
                <w:b/>
                <w:spacing w:val="-2"/>
                <w:sz w:val="16"/>
              </w:rPr>
              <w:t> </w:t>
            </w:r>
            <w:r>
              <w:rPr>
                <w:b/>
                <w:sz w:val="16"/>
              </w:rPr>
              <w:t>banco</w:t>
            </w:r>
            <w:r>
              <w:rPr>
                <w:b/>
                <w:spacing w:val="-5"/>
                <w:sz w:val="16"/>
              </w:rPr>
              <w:t> </w:t>
            </w:r>
            <w:r>
              <w:rPr>
                <w:b/>
                <w:sz w:val="16"/>
              </w:rPr>
              <w:t>de</w:t>
            </w:r>
            <w:r>
              <w:rPr>
                <w:b/>
                <w:spacing w:val="-6"/>
                <w:sz w:val="16"/>
              </w:rPr>
              <w:t> </w:t>
            </w:r>
            <w:r>
              <w:rPr>
                <w:b/>
                <w:sz w:val="16"/>
              </w:rPr>
              <w:t>MIDEPLAN</w:t>
            </w:r>
            <w:r>
              <w:rPr>
                <w:b/>
                <w:spacing w:val="1"/>
                <w:sz w:val="16"/>
              </w:rPr>
              <w:t> </w:t>
            </w:r>
            <w:r>
              <w:rPr>
                <w:b/>
                <w:sz w:val="16"/>
              </w:rPr>
              <w:t>e</w:t>
            </w:r>
            <w:r>
              <w:rPr>
                <w:b/>
                <w:spacing w:val="-6"/>
                <w:sz w:val="16"/>
              </w:rPr>
              <w:t> </w:t>
            </w:r>
            <w:r>
              <w:rPr>
                <w:b/>
                <w:sz w:val="16"/>
              </w:rPr>
              <w:t>instrumentos</w:t>
            </w:r>
            <w:r>
              <w:rPr>
                <w:b/>
                <w:spacing w:val="-2"/>
                <w:sz w:val="16"/>
              </w:rPr>
              <w:t> </w:t>
            </w:r>
            <w:r>
              <w:rPr>
                <w:b/>
                <w:sz w:val="16"/>
              </w:rPr>
              <w:t>de</w:t>
            </w:r>
            <w:r>
              <w:rPr>
                <w:b/>
                <w:spacing w:val="-2"/>
                <w:sz w:val="16"/>
              </w:rPr>
              <w:t> </w:t>
            </w:r>
            <w:r>
              <w:rPr>
                <w:b/>
                <w:sz w:val="16"/>
              </w:rPr>
              <w:t>planificación</w:t>
            </w:r>
            <w:r>
              <w:rPr>
                <w:b/>
                <w:spacing w:val="-2"/>
                <w:sz w:val="16"/>
              </w:rPr>
              <w:t> institucionales.</w:t>
            </w:r>
          </w:p>
        </w:tc>
      </w:tr>
      <w:tr>
        <w:trPr>
          <w:trHeight w:val="2025"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1.52.1:</w:t>
            </w:r>
          </w:p>
          <w:p>
            <w:pPr>
              <w:pStyle w:val="TableParagraph"/>
              <w:ind w:left="72" w:right="368"/>
              <w:rPr>
                <w:sz w:val="16"/>
              </w:rPr>
            </w:pPr>
            <w:r>
              <w:rPr>
                <w:sz w:val="16"/>
              </w:rPr>
              <w:t>Inclusión</w:t>
            </w:r>
            <w:r>
              <w:rPr>
                <w:spacing w:val="-2"/>
                <w:sz w:val="16"/>
              </w:rPr>
              <w:t> </w:t>
            </w:r>
            <w:r>
              <w:rPr>
                <w:sz w:val="16"/>
              </w:rPr>
              <w:t>de </w:t>
            </w:r>
            <w:r>
              <w:rPr>
                <w:spacing w:val="-2"/>
                <w:sz w:val="16"/>
              </w:rPr>
              <w:t>proyectos </w:t>
            </w:r>
            <w:r>
              <w:rPr>
                <w:sz w:val="16"/>
              </w:rPr>
              <w:t>seleccionados</w:t>
            </w:r>
            <w:r>
              <w:rPr>
                <w:spacing w:val="-12"/>
                <w:sz w:val="16"/>
              </w:rPr>
              <w:t> </w:t>
            </w:r>
            <w:r>
              <w:rPr>
                <w:sz w:val="16"/>
              </w:rPr>
              <w:t>en instrumentos de </w:t>
            </w:r>
            <w:r>
              <w:rPr>
                <w:spacing w:val="-2"/>
                <w:sz w:val="16"/>
              </w:rPr>
              <w:t>planificación institucionales </w:t>
            </w:r>
            <w:r>
              <w:rPr>
                <w:sz w:val="16"/>
              </w:rPr>
              <w:t>(vinculada a Estrategia</w:t>
            </w:r>
            <w:r>
              <w:rPr>
                <w:spacing w:val="-12"/>
                <w:sz w:val="16"/>
              </w:rPr>
              <w:t> </w:t>
            </w:r>
            <w:r>
              <w:rPr>
                <w:sz w:val="16"/>
              </w:rPr>
              <w:t>GpRD</w:t>
            </w:r>
          </w:p>
          <w:p>
            <w:pPr>
              <w:pStyle w:val="TableParagraph"/>
              <w:spacing w:line="163" w:lineRule="exact"/>
              <w:ind w:left="72"/>
              <w:rPr>
                <w:sz w:val="16"/>
              </w:rPr>
            </w:pPr>
            <w:r>
              <w:rPr>
                <w:spacing w:val="-2"/>
                <w:sz w:val="16"/>
              </w:rPr>
              <w:t>5.7.2).</w:t>
            </w:r>
          </w:p>
        </w:tc>
        <w:tc>
          <w:tcPr>
            <w:tcW w:w="1278" w:type="dxa"/>
          </w:tcPr>
          <w:p>
            <w:pPr>
              <w:pStyle w:val="TableParagraph"/>
              <w:rPr>
                <w:b/>
                <w:sz w:val="16"/>
              </w:rPr>
            </w:pPr>
          </w:p>
          <w:p>
            <w:pPr>
              <w:pStyle w:val="TableParagraph"/>
              <w:rPr>
                <w:b/>
                <w:sz w:val="16"/>
              </w:rPr>
            </w:pPr>
          </w:p>
          <w:p>
            <w:pPr>
              <w:pStyle w:val="TableParagraph"/>
              <w:ind w:left="72" w:right="94"/>
              <w:rPr>
                <w:sz w:val="16"/>
              </w:rPr>
            </w:pPr>
            <w:r>
              <w:rPr>
                <w:sz w:val="16"/>
              </w:rPr>
              <w:t>Porcentaje de </w:t>
            </w:r>
            <w:r>
              <w:rPr>
                <w:spacing w:val="-2"/>
                <w:sz w:val="16"/>
              </w:rPr>
              <w:t>proyectos seleccionados</w:t>
            </w:r>
            <w:r>
              <w:rPr>
                <w:spacing w:val="40"/>
                <w:sz w:val="16"/>
              </w:rPr>
              <w:t> </w:t>
            </w:r>
            <w:r>
              <w:rPr>
                <w:sz w:val="16"/>
              </w:rPr>
              <w:t>e incluidos en </w:t>
            </w:r>
            <w:r>
              <w:rPr>
                <w:spacing w:val="-2"/>
                <w:sz w:val="16"/>
              </w:rPr>
              <w:t>instrumentos</w:t>
            </w:r>
            <w:r>
              <w:rPr>
                <w:spacing w:val="40"/>
                <w:sz w:val="16"/>
              </w:rPr>
              <w:t> </w:t>
            </w:r>
            <w:r>
              <w:rPr>
                <w:sz w:val="16"/>
              </w:rPr>
              <w:t>de</w:t>
            </w:r>
            <w:r>
              <w:rPr>
                <w:spacing w:val="-12"/>
                <w:sz w:val="16"/>
              </w:rPr>
              <w:t> </w:t>
            </w:r>
            <w:r>
              <w:rPr>
                <w:sz w:val="16"/>
              </w:rPr>
              <w:t>planificación </w:t>
            </w:r>
            <w:r>
              <w:rPr>
                <w:spacing w:val="-2"/>
                <w:sz w:val="16"/>
              </w:rPr>
              <w:t>Institucional.</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1839"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1.52.2:</w:t>
            </w:r>
          </w:p>
          <w:p>
            <w:pPr>
              <w:pStyle w:val="TableParagraph"/>
              <w:ind w:left="72" w:right="219"/>
              <w:rPr>
                <w:sz w:val="16"/>
              </w:rPr>
            </w:pPr>
            <w:r>
              <w:rPr>
                <w:sz w:val="16"/>
              </w:rPr>
              <w:t>Registrar los </w:t>
            </w:r>
            <w:r>
              <w:rPr>
                <w:spacing w:val="-2"/>
                <w:sz w:val="16"/>
              </w:rPr>
              <w:t>proyectos </w:t>
            </w:r>
            <w:r>
              <w:rPr>
                <w:sz w:val="16"/>
              </w:rPr>
              <w:t>institucionales</w:t>
            </w:r>
            <w:r>
              <w:rPr>
                <w:spacing w:val="-12"/>
                <w:sz w:val="16"/>
              </w:rPr>
              <w:t> </w:t>
            </w:r>
            <w:r>
              <w:rPr>
                <w:sz w:val="16"/>
              </w:rPr>
              <w:t>en</w:t>
            </w:r>
            <w:r>
              <w:rPr>
                <w:spacing w:val="-11"/>
                <w:sz w:val="16"/>
              </w:rPr>
              <w:t> </w:t>
            </w:r>
            <w:r>
              <w:rPr>
                <w:sz w:val="16"/>
              </w:rPr>
              <w:t>el DELPHOS de </w:t>
            </w:r>
            <w:r>
              <w:rPr>
                <w:spacing w:val="-2"/>
                <w:sz w:val="16"/>
              </w:rPr>
              <w:t>MIDEPLAN</w:t>
            </w:r>
          </w:p>
          <w:p>
            <w:pPr>
              <w:pStyle w:val="TableParagraph"/>
              <w:spacing w:line="181" w:lineRule="exact"/>
              <w:ind w:left="72"/>
              <w:rPr>
                <w:sz w:val="16"/>
              </w:rPr>
            </w:pPr>
            <w:r>
              <w:rPr>
                <w:sz w:val="16"/>
              </w:rPr>
              <w:t>(vinculado</w:t>
            </w:r>
            <w:r>
              <w:rPr>
                <w:spacing w:val="-7"/>
                <w:sz w:val="16"/>
              </w:rPr>
              <w:t> </w:t>
            </w:r>
            <w:r>
              <w:rPr>
                <w:spacing w:val="-10"/>
                <w:sz w:val="16"/>
              </w:rPr>
              <w:t>a</w:t>
            </w:r>
          </w:p>
          <w:p>
            <w:pPr>
              <w:pStyle w:val="TableParagraph"/>
              <w:spacing w:line="182" w:lineRule="exact"/>
              <w:ind w:left="72" w:right="103"/>
              <w:rPr>
                <w:sz w:val="16"/>
              </w:rPr>
            </w:pPr>
            <w:r>
              <w:rPr>
                <w:spacing w:val="-2"/>
                <w:sz w:val="16"/>
              </w:rPr>
              <w:t>Estrategia</w:t>
            </w:r>
            <w:r>
              <w:rPr>
                <w:spacing w:val="-10"/>
                <w:sz w:val="16"/>
              </w:rPr>
              <w:t> </w:t>
            </w:r>
            <w:r>
              <w:rPr>
                <w:spacing w:val="-2"/>
                <w:sz w:val="16"/>
              </w:rPr>
              <w:t>GpRD 5.7.3).</w:t>
            </w:r>
          </w:p>
        </w:tc>
        <w:tc>
          <w:tcPr>
            <w:tcW w:w="1278" w:type="dxa"/>
          </w:tcPr>
          <w:p>
            <w:pPr>
              <w:pStyle w:val="TableParagraph"/>
              <w:rPr>
                <w:b/>
                <w:sz w:val="16"/>
              </w:rPr>
            </w:pPr>
          </w:p>
          <w:p>
            <w:pPr>
              <w:pStyle w:val="TableParagraph"/>
              <w:rPr>
                <w:b/>
                <w:sz w:val="16"/>
              </w:rPr>
            </w:pPr>
          </w:p>
          <w:p>
            <w:pPr>
              <w:pStyle w:val="TableParagraph"/>
              <w:ind w:left="72" w:right="103"/>
              <w:rPr>
                <w:sz w:val="16"/>
              </w:rPr>
            </w:pPr>
            <w:r>
              <w:rPr>
                <w:sz w:val="16"/>
              </w:rPr>
              <w:t>Porcentaje de </w:t>
            </w:r>
            <w:r>
              <w:rPr>
                <w:spacing w:val="-2"/>
                <w:sz w:val="16"/>
              </w:rPr>
              <w:t>proyectos </w:t>
            </w:r>
            <w:r>
              <w:rPr>
                <w:sz w:val="16"/>
              </w:rPr>
              <w:t>registrados y </w:t>
            </w:r>
            <w:r>
              <w:rPr>
                <w:spacing w:val="-2"/>
                <w:sz w:val="16"/>
              </w:rPr>
              <w:t>monitoreados en</w:t>
            </w:r>
            <w:r>
              <w:rPr>
                <w:spacing w:val="-10"/>
                <w:sz w:val="16"/>
              </w:rPr>
              <w:t> </w:t>
            </w:r>
            <w:r>
              <w:rPr>
                <w:spacing w:val="-2"/>
                <w:sz w:val="16"/>
              </w:rPr>
              <w:t>DELPHOS-MIDEPLAN</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513" w:hRule="atLeast"/>
        </w:trPr>
        <w:tc>
          <w:tcPr>
            <w:tcW w:w="14323" w:type="dxa"/>
            <w:gridSpan w:val="10"/>
            <w:shd w:val="clear" w:color="auto" w:fill="EFF8F9"/>
          </w:tcPr>
          <w:p>
            <w:pPr>
              <w:pStyle w:val="TableParagraph"/>
              <w:spacing w:before="70"/>
              <w:ind w:left="72" w:right="95"/>
              <w:rPr>
                <w:b/>
                <w:sz w:val="16"/>
              </w:rPr>
            </w:pPr>
            <w:r>
              <w:rPr>
                <w:b/>
                <w:sz w:val="16"/>
              </w:rPr>
              <w:t>Producto</w:t>
            </w:r>
            <w:r>
              <w:rPr>
                <w:b/>
                <w:spacing w:val="-1"/>
                <w:sz w:val="16"/>
              </w:rPr>
              <w:t> </w:t>
            </w:r>
            <w:r>
              <w:rPr>
                <w:b/>
                <w:sz w:val="16"/>
              </w:rPr>
              <w:t>PPPS 1.53:</w:t>
            </w:r>
            <w:r>
              <w:rPr>
                <w:b/>
                <w:spacing w:val="-5"/>
                <w:sz w:val="16"/>
              </w:rPr>
              <w:t> </w:t>
            </w:r>
            <w:r>
              <w:rPr>
                <w:b/>
                <w:sz w:val="16"/>
              </w:rPr>
              <w:t>Establecimiento</w:t>
            </w:r>
            <w:r>
              <w:rPr>
                <w:b/>
                <w:spacing w:val="-5"/>
                <w:sz w:val="16"/>
              </w:rPr>
              <w:t> </w:t>
            </w:r>
            <w:r>
              <w:rPr>
                <w:b/>
                <w:sz w:val="16"/>
              </w:rPr>
              <w:t>de</w:t>
            </w:r>
            <w:r>
              <w:rPr>
                <w:b/>
                <w:spacing w:val="-2"/>
                <w:sz w:val="16"/>
              </w:rPr>
              <w:t> </w:t>
            </w:r>
            <w:r>
              <w:rPr>
                <w:b/>
                <w:sz w:val="16"/>
              </w:rPr>
              <w:t>mecanismos</w:t>
            </w:r>
            <w:r>
              <w:rPr>
                <w:b/>
                <w:spacing w:val="-6"/>
                <w:sz w:val="16"/>
              </w:rPr>
              <w:t> </w:t>
            </w:r>
            <w:r>
              <w:rPr>
                <w:b/>
                <w:sz w:val="16"/>
              </w:rPr>
              <w:t>de</w:t>
            </w:r>
            <w:r>
              <w:rPr>
                <w:b/>
                <w:spacing w:val="-2"/>
                <w:sz w:val="16"/>
              </w:rPr>
              <w:t> </w:t>
            </w:r>
            <w:r>
              <w:rPr>
                <w:b/>
                <w:sz w:val="16"/>
              </w:rPr>
              <w:t>monitoreo</w:t>
            </w:r>
            <w:r>
              <w:rPr>
                <w:b/>
                <w:spacing w:val="-1"/>
                <w:sz w:val="16"/>
              </w:rPr>
              <w:t> </w:t>
            </w:r>
            <w:r>
              <w:rPr>
                <w:b/>
                <w:sz w:val="16"/>
              </w:rPr>
              <w:t>y</w:t>
            </w:r>
            <w:r>
              <w:rPr>
                <w:b/>
                <w:spacing w:val="-6"/>
                <w:sz w:val="16"/>
              </w:rPr>
              <w:t> </w:t>
            </w:r>
            <w:r>
              <w:rPr>
                <w:b/>
                <w:sz w:val="16"/>
              </w:rPr>
              <w:t>seguimiento</w:t>
            </w:r>
            <w:r>
              <w:rPr>
                <w:b/>
                <w:spacing w:val="-1"/>
                <w:sz w:val="16"/>
              </w:rPr>
              <w:t> </w:t>
            </w:r>
            <w:r>
              <w:rPr>
                <w:b/>
                <w:sz w:val="16"/>
              </w:rPr>
              <w:t>que</w:t>
            </w:r>
            <w:r>
              <w:rPr>
                <w:b/>
                <w:spacing w:val="-6"/>
                <w:sz w:val="16"/>
              </w:rPr>
              <w:t> </w:t>
            </w:r>
            <w:r>
              <w:rPr>
                <w:b/>
                <w:sz w:val="16"/>
              </w:rPr>
              <w:t>permitan</w:t>
            </w:r>
            <w:r>
              <w:rPr>
                <w:b/>
                <w:spacing w:val="-5"/>
                <w:sz w:val="16"/>
              </w:rPr>
              <w:t> </w:t>
            </w:r>
            <w:r>
              <w:rPr>
                <w:b/>
                <w:sz w:val="16"/>
              </w:rPr>
              <w:t>dar</w:t>
            </w:r>
            <w:r>
              <w:rPr>
                <w:b/>
                <w:spacing w:val="-4"/>
                <w:sz w:val="16"/>
              </w:rPr>
              <w:t> </w:t>
            </w:r>
            <w:r>
              <w:rPr>
                <w:b/>
                <w:sz w:val="16"/>
              </w:rPr>
              <w:t>trazabilidad</w:t>
            </w:r>
            <w:r>
              <w:rPr>
                <w:b/>
                <w:spacing w:val="-1"/>
                <w:sz w:val="16"/>
              </w:rPr>
              <w:t> </w:t>
            </w:r>
            <w:r>
              <w:rPr>
                <w:b/>
                <w:sz w:val="16"/>
              </w:rPr>
              <w:t>a</w:t>
            </w:r>
            <w:r>
              <w:rPr>
                <w:b/>
                <w:spacing w:val="-2"/>
                <w:sz w:val="16"/>
              </w:rPr>
              <w:t> </w:t>
            </w:r>
            <w:r>
              <w:rPr>
                <w:b/>
                <w:sz w:val="16"/>
              </w:rPr>
              <w:t>las</w:t>
            </w:r>
            <w:r>
              <w:rPr>
                <w:b/>
                <w:spacing w:val="-6"/>
                <w:sz w:val="16"/>
              </w:rPr>
              <w:t> </w:t>
            </w:r>
            <w:r>
              <w:rPr>
                <w:b/>
                <w:sz w:val="16"/>
              </w:rPr>
              <w:t>estrategias propuestas</w:t>
            </w:r>
            <w:r>
              <w:rPr>
                <w:b/>
                <w:spacing w:val="-2"/>
                <w:sz w:val="16"/>
              </w:rPr>
              <w:t> </w:t>
            </w:r>
            <w:r>
              <w:rPr>
                <w:b/>
                <w:sz w:val="16"/>
              </w:rPr>
              <w:t>desde</w:t>
            </w:r>
            <w:r>
              <w:rPr>
                <w:b/>
                <w:spacing w:val="-2"/>
                <w:sz w:val="16"/>
              </w:rPr>
              <w:t> </w:t>
            </w:r>
            <w:r>
              <w:rPr>
                <w:b/>
                <w:sz w:val="16"/>
              </w:rPr>
              <w:t>el</w:t>
            </w:r>
            <w:r>
              <w:rPr>
                <w:b/>
                <w:spacing w:val="-1"/>
                <w:sz w:val="16"/>
              </w:rPr>
              <w:t> </w:t>
            </w:r>
            <w:r>
              <w:rPr>
                <w:b/>
                <w:sz w:val="16"/>
              </w:rPr>
              <w:t>sector social</w:t>
            </w:r>
            <w:r>
              <w:rPr>
                <w:b/>
                <w:spacing w:val="-1"/>
                <w:sz w:val="16"/>
              </w:rPr>
              <w:t> </w:t>
            </w:r>
            <w:r>
              <w:rPr>
                <w:b/>
                <w:sz w:val="16"/>
              </w:rPr>
              <w:t>para</w:t>
            </w:r>
            <w:r>
              <w:rPr>
                <w:b/>
                <w:spacing w:val="-6"/>
                <w:sz w:val="16"/>
              </w:rPr>
              <w:t> </w:t>
            </w:r>
            <w:r>
              <w:rPr>
                <w:b/>
                <w:sz w:val="16"/>
              </w:rPr>
              <w:t>la</w:t>
            </w:r>
            <w:r>
              <w:rPr>
                <w:b/>
                <w:spacing w:val="-2"/>
                <w:sz w:val="16"/>
              </w:rPr>
              <w:t> </w:t>
            </w:r>
            <w:r>
              <w:rPr>
                <w:b/>
                <w:sz w:val="16"/>
              </w:rPr>
              <w:t>atención</w:t>
            </w:r>
            <w:r>
              <w:rPr>
                <w:b/>
                <w:spacing w:val="-1"/>
                <w:sz w:val="16"/>
              </w:rPr>
              <w:t> </w:t>
            </w:r>
            <w:r>
              <w:rPr>
                <w:b/>
                <w:sz w:val="16"/>
              </w:rPr>
              <w:t>de</w:t>
            </w:r>
            <w:r>
              <w:rPr>
                <w:b/>
                <w:spacing w:val="-2"/>
                <w:sz w:val="16"/>
              </w:rPr>
              <w:t> </w:t>
            </w:r>
            <w:r>
              <w:rPr>
                <w:b/>
                <w:sz w:val="16"/>
              </w:rPr>
              <w:t>la población objetivo.</w:t>
            </w:r>
          </w:p>
        </w:tc>
      </w:tr>
    </w:tbl>
    <w:p>
      <w:pPr>
        <w:pStyle w:val="TableParagraph"/>
        <w:spacing w:after="0"/>
        <w:rPr>
          <w:b/>
          <w:sz w:val="16"/>
        </w:rPr>
        <w:sectPr>
          <w:pgSz w:w="15840" w:h="12240" w:orient="landscape"/>
          <w:pgMar w:header="0" w:footer="1806" w:top="700" w:bottom="2448"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1474"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1.53.1:</w:t>
            </w:r>
          </w:p>
          <w:p>
            <w:pPr>
              <w:pStyle w:val="TableParagraph"/>
              <w:ind w:left="72"/>
              <w:rPr>
                <w:sz w:val="16"/>
              </w:rPr>
            </w:pPr>
            <w:r>
              <w:rPr>
                <w:sz w:val="16"/>
              </w:rPr>
              <w:t>Diseño y desarrollo informático en SINIRUBE para la gestión de datos </w:t>
            </w:r>
            <w:r>
              <w:rPr>
                <w:spacing w:val="-2"/>
                <w:sz w:val="16"/>
              </w:rPr>
              <w:t>necesarios</w:t>
            </w:r>
            <w:r>
              <w:rPr>
                <w:spacing w:val="-5"/>
                <w:sz w:val="16"/>
              </w:rPr>
              <w:t> </w:t>
            </w:r>
            <w:r>
              <w:rPr>
                <w:spacing w:val="-2"/>
                <w:sz w:val="16"/>
              </w:rPr>
              <w:t>(vinculada</w:t>
            </w:r>
          </w:p>
          <w:p>
            <w:pPr>
              <w:pStyle w:val="TableParagraph"/>
              <w:spacing w:line="163" w:lineRule="exact"/>
              <w:ind w:left="72"/>
              <w:rPr>
                <w:sz w:val="16"/>
              </w:rPr>
            </w:pPr>
            <w:r>
              <w:rPr>
                <w:sz w:val="16"/>
              </w:rPr>
              <w:t>a</w:t>
            </w:r>
            <w:r>
              <w:rPr>
                <w:spacing w:val="-5"/>
                <w:sz w:val="16"/>
              </w:rPr>
              <w:t> </w:t>
            </w:r>
            <w:r>
              <w:rPr>
                <w:sz w:val="16"/>
              </w:rPr>
              <w:t>PAISS</w:t>
            </w:r>
            <w:r>
              <w:rPr>
                <w:spacing w:val="2"/>
                <w:sz w:val="16"/>
              </w:rPr>
              <w:t> </w:t>
            </w:r>
            <w:r>
              <w:rPr>
                <w:spacing w:val="-2"/>
                <w:sz w:val="16"/>
              </w:rPr>
              <w:t>4.1.1).</w:t>
            </w:r>
          </w:p>
        </w:tc>
        <w:tc>
          <w:tcPr>
            <w:tcW w:w="1278" w:type="dxa"/>
          </w:tcPr>
          <w:p>
            <w:pPr>
              <w:pStyle w:val="TableParagraph"/>
              <w:rPr>
                <w:b/>
                <w:sz w:val="16"/>
              </w:rPr>
            </w:pPr>
          </w:p>
          <w:p>
            <w:pPr>
              <w:pStyle w:val="TableParagraph"/>
              <w:rPr>
                <w:b/>
                <w:sz w:val="16"/>
              </w:rPr>
            </w:pPr>
          </w:p>
          <w:p>
            <w:pPr>
              <w:pStyle w:val="TableParagraph"/>
              <w:ind w:left="72"/>
              <w:rPr>
                <w:sz w:val="16"/>
              </w:rPr>
            </w:pPr>
            <w:r>
              <w:rPr>
                <w:sz w:val="16"/>
              </w:rPr>
              <w:t>Número</w:t>
            </w:r>
            <w:r>
              <w:rPr>
                <w:spacing w:val="-2"/>
                <w:sz w:val="16"/>
              </w:rPr>
              <w:t> </w:t>
            </w:r>
            <w:r>
              <w:rPr>
                <w:sz w:val="16"/>
              </w:rPr>
              <w:t>de sistemas o </w:t>
            </w:r>
            <w:r>
              <w:rPr>
                <w:spacing w:val="-2"/>
                <w:sz w:val="16"/>
              </w:rPr>
              <w:t>software implementados.</w:t>
            </w:r>
          </w:p>
        </w:tc>
        <w:tc>
          <w:tcPr>
            <w:tcW w:w="1278" w:type="dxa"/>
          </w:tcPr>
          <w:p>
            <w:pPr>
              <w:pStyle w:val="TableParagraph"/>
              <w:rPr>
                <w:b/>
                <w:sz w:val="16"/>
              </w:rPr>
            </w:pPr>
          </w:p>
          <w:p>
            <w:pPr>
              <w:pStyle w:val="TableParagraph"/>
              <w:rPr>
                <w:b/>
                <w:sz w:val="16"/>
              </w:rPr>
            </w:pPr>
          </w:p>
          <w:p>
            <w:pPr>
              <w:pStyle w:val="TableParagraph"/>
              <w:spacing w:before="95"/>
              <w:rPr>
                <w:b/>
                <w:sz w:val="16"/>
              </w:rPr>
            </w:pPr>
          </w:p>
          <w:p>
            <w:pPr>
              <w:pStyle w:val="TableParagraph"/>
              <w:ind w:left="21" w:right="12"/>
              <w:jc w:val="center"/>
              <w:rPr>
                <w:sz w:val="16"/>
              </w:rPr>
            </w:pPr>
            <w:r>
              <w:rPr>
                <w:spacing w:val="-10"/>
                <w:sz w:val="16"/>
              </w:rPr>
              <w:t>1</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spacing w:before="95"/>
              <w:rPr>
                <w:b/>
                <w:sz w:val="16"/>
              </w:rPr>
            </w:pPr>
          </w:p>
          <w:p>
            <w:pPr>
              <w:pStyle w:val="TableParagraph"/>
              <w:ind w:right="1"/>
              <w:jc w:val="center"/>
              <w:rPr>
                <w:sz w:val="16"/>
              </w:rPr>
            </w:pPr>
            <w:r>
              <w:rPr>
                <w:spacing w:val="-10"/>
                <w:sz w:val="16"/>
              </w:rPr>
              <w:t>1</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spacing w:before="95"/>
              <w:rPr>
                <w:b/>
                <w:sz w:val="16"/>
              </w:rPr>
            </w:pPr>
          </w:p>
          <w:p>
            <w:pPr>
              <w:pStyle w:val="TableParagraph"/>
              <w:ind w:left="16" w:right="19"/>
              <w:jc w:val="center"/>
              <w:rPr>
                <w:sz w:val="16"/>
              </w:rPr>
            </w:pPr>
            <w:r>
              <w:rPr>
                <w:spacing w:val="-10"/>
                <w:sz w:val="16"/>
              </w:rPr>
              <w:t>1</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95"/>
              <w:rPr>
                <w:b/>
                <w:sz w:val="16"/>
              </w:rPr>
            </w:pPr>
          </w:p>
          <w:p>
            <w:pPr>
              <w:pStyle w:val="TableParagraph"/>
              <w:ind w:left="4" w:right="1"/>
              <w:jc w:val="center"/>
              <w:rPr>
                <w:sz w:val="16"/>
              </w:rPr>
            </w:pPr>
            <w:r>
              <w:rPr>
                <w:spacing w:val="-10"/>
                <w:sz w:val="16"/>
              </w:rPr>
              <w:t>1</w:t>
            </w:r>
          </w:p>
        </w:tc>
        <w:tc>
          <w:tcPr>
            <w:tcW w:w="1494" w:type="dxa"/>
          </w:tcPr>
          <w:p>
            <w:pPr>
              <w:pStyle w:val="TableParagraph"/>
              <w:rPr>
                <w:rFonts w:ascii="Times New Roman"/>
                <w:sz w:val="16"/>
              </w:rPr>
            </w:pPr>
          </w:p>
        </w:tc>
      </w:tr>
      <w:tr>
        <w:trPr>
          <w:trHeight w:val="3130"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1.53.2:</w:t>
            </w:r>
          </w:p>
          <w:p>
            <w:pPr>
              <w:pStyle w:val="TableParagraph"/>
              <w:ind w:left="72" w:right="192"/>
              <w:rPr>
                <w:sz w:val="16"/>
              </w:rPr>
            </w:pPr>
            <w:r>
              <w:rPr>
                <w:sz w:val="16"/>
              </w:rPr>
              <w:t>Definición de </w:t>
            </w:r>
            <w:r>
              <w:rPr>
                <w:spacing w:val="-2"/>
                <w:sz w:val="16"/>
              </w:rPr>
              <w:t>requerimientos</w:t>
            </w:r>
            <w:r>
              <w:rPr>
                <w:spacing w:val="-9"/>
                <w:sz w:val="16"/>
              </w:rPr>
              <w:t> </w:t>
            </w:r>
            <w:r>
              <w:rPr>
                <w:spacing w:val="-2"/>
                <w:sz w:val="16"/>
              </w:rPr>
              <w:t>para </w:t>
            </w:r>
            <w:r>
              <w:rPr>
                <w:sz w:val="16"/>
              </w:rPr>
              <w:t>la captura y obtención de datos necesarios para el monitoreo de los indicadores de los ejes 1, 2 y 3, que posibiliten el seguimiento</w:t>
            </w:r>
            <w:r>
              <w:rPr>
                <w:spacing w:val="-2"/>
                <w:sz w:val="16"/>
              </w:rPr>
              <w:t> </w:t>
            </w:r>
            <w:r>
              <w:rPr>
                <w:sz w:val="16"/>
              </w:rPr>
              <w:t>y evaluación de la estrategia de </w:t>
            </w:r>
            <w:r>
              <w:rPr>
                <w:spacing w:val="-2"/>
                <w:sz w:val="16"/>
              </w:rPr>
              <w:t>articulación </w:t>
            </w:r>
            <w:r>
              <w:rPr>
                <w:sz w:val="16"/>
              </w:rPr>
              <w:t>(vinculada a</w:t>
            </w:r>
            <w:r>
              <w:rPr>
                <w:spacing w:val="-2"/>
                <w:sz w:val="16"/>
              </w:rPr>
              <w:t> </w:t>
            </w:r>
            <w:r>
              <w:rPr>
                <w:sz w:val="16"/>
              </w:rPr>
              <w:t>PAISS</w:t>
            </w:r>
          </w:p>
          <w:p>
            <w:pPr>
              <w:pStyle w:val="TableParagraph"/>
              <w:spacing w:line="166" w:lineRule="exact"/>
              <w:ind w:left="72"/>
              <w:rPr>
                <w:sz w:val="16"/>
              </w:rPr>
            </w:pPr>
            <w:r>
              <w:rPr>
                <w:spacing w:val="-2"/>
                <w:sz w:val="16"/>
              </w:rPr>
              <w:t>4.1.2).</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72"/>
              <w:rPr>
                <w:sz w:val="16"/>
              </w:rPr>
            </w:pPr>
            <w:r>
              <w:rPr>
                <w:sz w:val="16"/>
              </w:rPr>
              <w:t>Número</w:t>
            </w:r>
            <w:r>
              <w:rPr>
                <w:spacing w:val="-2"/>
                <w:sz w:val="16"/>
              </w:rPr>
              <w:t> </w:t>
            </w:r>
            <w:r>
              <w:rPr>
                <w:sz w:val="16"/>
              </w:rPr>
              <w:t>de </w:t>
            </w:r>
            <w:r>
              <w:rPr>
                <w:spacing w:val="-2"/>
                <w:sz w:val="16"/>
              </w:rPr>
              <w:t>requerimientos definidos.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ind w:right="1"/>
              <w:jc w:val="center"/>
              <w:rPr>
                <w:sz w:val="16"/>
              </w:rPr>
            </w:pPr>
            <w:r>
              <w:rPr>
                <w:spacing w:val="-10"/>
                <w:sz w:val="16"/>
              </w:rPr>
              <w:t>1</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ind w:left="16" w:right="19"/>
              <w:jc w:val="center"/>
              <w:rPr>
                <w:sz w:val="16"/>
              </w:rPr>
            </w:pPr>
            <w:r>
              <w:rPr>
                <w:spacing w:val="-10"/>
                <w:sz w:val="16"/>
              </w:rPr>
              <w:t>2</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
              <w:ind w:left="4" w:right="1"/>
              <w:jc w:val="center"/>
              <w:rPr>
                <w:sz w:val="16"/>
              </w:rPr>
            </w:pPr>
            <w:r>
              <w:rPr>
                <w:spacing w:val="-10"/>
                <w:sz w:val="16"/>
              </w:rPr>
              <w:t>3</w:t>
            </w:r>
          </w:p>
        </w:tc>
        <w:tc>
          <w:tcPr>
            <w:tcW w:w="1494" w:type="dxa"/>
          </w:tcPr>
          <w:p>
            <w:pPr>
              <w:pStyle w:val="TableParagraph"/>
              <w:rPr>
                <w:rFonts w:ascii="Times New Roman"/>
                <w:sz w:val="16"/>
              </w:rPr>
            </w:pPr>
          </w:p>
        </w:tc>
      </w:tr>
      <w:tr>
        <w:trPr>
          <w:trHeight w:val="1839"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1.53.3:</w:t>
            </w:r>
          </w:p>
          <w:p>
            <w:pPr>
              <w:pStyle w:val="TableParagraph"/>
              <w:ind w:left="72" w:right="237"/>
              <w:rPr>
                <w:sz w:val="16"/>
              </w:rPr>
            </w:pPr>
            <w:r>
              <w:rPr>
                <w:sz w:val="16"/>
              </w:rPr>
              <w:t>Reportes de cumplimiento de metas e </w:t>
            </w:r>
            <w:r>
              <w:rPr>
                <w:spacing w:val="-2"/>
                <w:sz w:val="16"/>
              </w:rPr>
              <w:t>intervenciones </w:t>
            </w:r>
            <w:r>
              <w:rPr>
                <w:sz w:val="16"/>
              </w:rPr>
              <w:t>sectoriales e </w:t>
            </w:r>
            <w:r>
              <w:rPr>
                <w:spacing w:val="-2"/>
                <w:sz w:val="16"/>
              </w:rPr>
              <w:t>intersectoriales </w:t>
            </w:r>
            <w:r>
              <w:rPr>
                <w:sz w:val="16"/>
              </w:rPr>
              <w:t>(vinculada</w:t>
            </w:r>
            <w:r>
              <w:rPr>
                <w:spacing w:val="-12"/>
                <w:sz w:val="16"/>
              </w:rPr>
              <w:t> </w:t>
            </w:r>
            <w:r>
              <w:rPr>
                <w:sz w:val="16"/>
              </w:rPr>
              <w:t>a</w:t>
            </w:r>
            <w:r>
              <w:rPr>
                <w:spacing w:val="-11"/>
                <w:sz w:val="16"/>
              </w:rPr>
              <w:t> </w:t>
            </w:r>
            <w:r>
              <w:rPr>
                <w:sz w:val="16"/>
              </w:rPr>
              <w:t>PAISS</w:t>
            </w:r>
          </w:p>
          <w:p>
            <w:pPr>
              <w:pStyle w:val="TableParagraph"/>
              <w:spacing w:line="163" w:lineRule="exact"/>
              <w:ind w:left="72"/>
              <w:rPr>
                <w:sz w:val="16"/>
              </w:rPr>
            </w:pPr>
            <w:r>
              <w:rPr>
                <w:spacing w:val="-2"/>
                <w:sz w:val="16"/>
              </w:rPr>
              <w:t>4.2.3).</w:t>
            </w:r>
          </w:p>
        </w:tc>
        <w:tc>
          <w:tcPr>
            <w:tcW w:w="1278"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72" w:right="395"/>
              <w:rPr>
                <w:sz w:val="16"/>
              </w:rPr>
            </w:pPr>
            <w:r>
              <w:rPr>
                <w:sz w:val="16"/>
              </w:rPr>
              <w:t>Número</w:t>
            </w:r>
            <w:r>
              <w:rPr>
                <w:spacing w:val="-12"/>
                <w:sz w:val="16"/>
              </w:rPr>
              <w:t> </w:t>
            </w:r>
            <w:r>
              <w:rPr>
                <w:sz w:val="16"/>
              </w:rPr>
              <w:t>de </w:t>
            </w:r>
            <w:r>
              <w:rPr>
                <w:spacing w:val="-2"/>
                <w:sz w:val="16"/>
              </w:rPr>
              <w:t>reportes generados.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21" w:right="12"/>
              <w:jc w:val="center"/>
              <w:rPr>
                <w:sz w:val="16"/>
              </w:rPr>
            </w:pPr>
            <w:r>
              <w:rPr>
                <w:spacing w:val="-10"/>
                <w:sz w:val="16"/>
              </w:rPr>
              <w:t>1</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right="1"/>
              <w:jc w:val="center"/>
              <w:rPr>
                <w:sz w:val="16"/>
              </w:rPr>
            </w:pPr>
            <w:r>
              <w:rPr>
                <w:spacing w:val="-10"/>
                <w:sz w:val="16"/>
              </w:rPr>
              <w:t>2</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16" w:right="19"/>
              <w:jc w:val="center"/>
              <w:rPr>
                <w:sz w:val="16"/>
              </w:rPr>
            </w:pPr>
            <w:r>
              <w:rPr>
                <w:spacing w:val="-10"/>
                <w:sz w:val="16"/>
              </w:rPr>
              <w:t>3</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4" w:right="1"/>
              <w:jc w:val="center"/>
              <w:rPr>
                <w:sz w:val="16"/>
              </w:rPr>
            </w:pPr>
            <w:r>
              <w:rPr>
                <w:spacing w:val="-10"/>
                <w:sz w:val="16"/>
              </w:rPr>
              <w:t>4</w:t>
            </w:r>
          </w:p>
        </w:tc>
        <w:tc>
          <w:tcPr>
            <w:tcW w:w="1494" w:type="dxa"/>
          </w:tcPr>
          <w:p>
            <w:pPr>
              <w:pStyle w:val="TableParagraph"/>
              <w:rPr>
                <w:rFonts w:ascii="Times New Roman"/>
                <w:sz w:val="16"/>
              </w:rPr>
            </w:pPr>
          </w:p>
        </w:tc>
      </w:tr>
      <w:tr>
        <w:trPr>
          <w:trHeight w:val="661" w:hRule="atLeast"/>
        </w:trPr>
        <w:tc>
          <w:tcPr>
            <w:tcW w:w="14323" w:type="dxa"/>
            <w:gridSpan w:val="10"/>
            <w:shd w:val="clear" w:color="auto" w:fill="EFF8F9"/>
          </w:tcPr>
          <w:p>
            <w:pPr>
              <w:pStyle w:val="TableParagraph"/>
              <w:spacing w:before="54"/>
              <w:rPr>
                <w:b/>
                <w:sz w:val="16"/>
              </w:rPr>
            </w:pPr>
          </w:p>
          <w:p>
            <w:pPr>
              <w:pStyle w:val="TableParagraph"/>
              <w:ind w:left="72"/>
              <w:rPr>
                <w:b/>
                <w:sz w:val="16"/>
              </w:rPr>
            </w:pPr>
            <w:r>
              <w:rPr>
                <w:b/>
                <w:sz w:val="16"/>
              </w:rPr>
              <w:t>Producto</w:t>
            </w:r>
            <w:r>
              <w:rPr>
                <w:b/>
                <w:spacing w:val="-2"/>
                <w:sz w:val="16"/>
              </w:rPr>
              <w:t> </w:t>
            </w:r>
            <w:r>
              <w:rPr>
                <w:b/>
                <w:sz w:val="16"/>
              </w:rPr>
              <w:t>PPPS 1.54:</w:t>
            </w:r>
            <w:r>
              <w:rPr>
                <w:b/>
                <w:spacing w:val="-5"/>
                <w:sz w:val="16"/>
              </w:rPr>
              <w:t> </w:t>
            </w:r>
            <w:r>
              <w:rPr>
                <w:b/>
                <w:sz w:val="16"/>
              </w:rPr>
              <w:t>Asignación</w:t>
            </w:r>
            <w:r>
              <w:rPr>
                <w:b/>
                <w:spacing w:val="-5"/>
                <w:sz w:val="16"/>
              </w:rPr>
              <w:t> </w:t>
            </w:r>
            <w:r>
              <w:rPr>
                <w:b/>
                <w:sz w:val="16"/>
              </w:rPr>
              <w:t>de</w:t>
            </w:r>
            <w:r>
              <w:rPr>
                <w:b/>
                <w:spacing w:val="-3"/>
                <w:sz w:val="16"/>
              </w:rPr>
              <w:t> </w:t>
            </w:r>
            <w:r>
              <w:rPr>
                <w:b/>
                <w:sz w:val="16"/>
              </w:rPr>
              <w:t>subsidios</w:t>
            </w:r>
            <w:r>
              <w:rPr>
                <w:b/>
                <w:spacing w:val="-6"/>
                <w:sz w:val="16"/>
              </w:rPr>
              <w:t> </w:t>
            </w:r>
            <w:r>
              <w:rPr>
                <w:b/>
                <w:sz w:val="16"/>
              </w:rPr>
              <w:t>de</w:t>
            </w:r>
            <w:r>
              <w:rPr>
                <w:b/>
                <w:spacing w:val="-6"/>
                <w:sz w:val="16"/>
              </w:rPr>
              <w:t> </w:t>
            </w:r>
            <w:r>
              <w:rPr>
                <w:b/>
                <w:sz w:val="16"/>
              </w:rPr>
              <w:t>protección</w:t>
            </w:r>
            <w:r>
              <w:rPr>
                <w:b/>
                <w:spacing w:val="-1"/>
                <w:sz w:val="16"/>
              </w:rPr>
              <w:t> </w:t>
            </w:r>
            <w:r>
              <w:rPr>
                <w:b/>
                <w:sz w:val="16"/>
              </w:rPr>
              <w:t>y</w:t>
            </w:r>
            <w:r>
              <w:rPr>
                <w:b/>
                <w:spacing w:val="-3"/>
                <w:sz w:val="16"/>
              </w:rPr>
              <w:t> </w:t>
            </w:r>
            <w:r>
              <w:rPr>
                <w:b/>
                <w:sz w:val="16"/>
              </w:rPr>
              <w:t>promoción</w:t>
            </w:r>
            <w:r>
              <w:rPr>
                <w:b/>
                <w:spacing w:val="-1"/>
                <w:sz w:val="16"/>
              </w:rPr>
              <w:t> </w:t>
            </w:r>
            <w:r>
              <w:rPr>
                <w:b/>
                <w:sz w:val="16"/>
              </w:rPr>
              <w:t>social,</w:t>
            </w:r>
            <w:r>
              <w:rPr>
                <w:b/>
                <w:spacing w:val="-5"/>
                <w:sz w:val="16"/>
              </w:rPr>
              <w:t> </w:t>
            </w:r>
            <w:r>
              <w:rPr>
                <w:b/>
                <w:sz w:val="16"/>
              </w:rPr>
              <w:t>que</w:t>
            </w:r>
            <w:r>
              <w:rPr>
                <w:b/>
                <w:spacing w:val="-2"/>
                <w:sz w:val="16"/>
              </w:rPr>
              <w:t> </w:t>
            </w:r>
            <w:r>
              <w:rPr>
                <w:b/>
                <w:sz w:val="16"/>
              </w:rPr>
              <w:t>contribuyan</w:t>
            </w:r>
            <w:r>
              <w:rPr>
                <w:b/>
                <w:spacing w:val="-2"/>
                <w:sz w:val="16"/>
              </w:rPr>
              <w:t> </w:t>
            </w:r>
            <w:r>
              <w:rPr>
                <w:b/>
                <w:sz w:val="16"/>
              </w:rPr>
              <w:t>a</w:t>
            </w:r>
            <w:r>
              <w:rPr>
                <w:b/>
                <w:spacing w:val="-2"/>
                <w:sz w:val="16"/>
              </w:rPr>
              <w:t> </w:t>
            </w:r>
            <w:r>
              <w:rPr>
                <w:b/>
                <w:sz w:val="16"/>
              </w:rPr>
              <w:t>la</w:t>
            </w:r>
            <w:r>
              <w:rPr>
                <w:b/>
                <w:spacing w:val="-2"/>
                <w:sz w:val="16"/>
              </w:rPr>
              <w:t> </w:t>
            </w:r>
            <w:r>
              <w:rPr>
                <w:b/>
                <w:sz w:val="16"/>
              </w:rPr>
              <w:t>superación</w:t>
            </w:r>
            <w:r>
              <w:rPr>
                <w:b/>
                <w:spacing w:val="-2"/>
                <w:sz w:val="16"/>
              </w:rPr>
              <w:t> </w:t>
            </w:r>
            <w:r>
              <w:rPr>
                <w:b/>
                <w:sz w:val="16"/>
              </w:rPr>
              <w:t>de</w:t>
            </w:r>
            <w:r>
              <w:rPr>
                <w:b/>
                <w:spacing w:val="-2"/>
                <w:sz w:val="16"/>
              </w:rPr>
              <w:t> </w:t>
            </w:r>
            <w:r>
              <w:rPr>
                <w:b/>
                <w:sz w:val="16"/>
              </w:rPr>
              <w:t>la</w:t>
            </w:r>
            <w:r>
              <w:rPr>
                <w:b/>
                <w:spacing w:val="-2"/>
                <w:sz w:val="16"/>
              </w:rPr>
              <w:t> </w:t>
            </w:r>
            <w:r>
              <w:rPr>
                <w:b/>
                <w:sz w:val="16"/>
              </w:rPr>
              <w:t>pobreza</w:t>
            </w:r>
            <w:r>
              <w:rPr>
                <w:b/>
                <w:spacing w:val="2"/>
                <w:sz w:val="16"/>
              </w:rPr>
              <w:t> </w:t>
            </w:r>
            <w:r>
              <w:rPr>
                <w:b/>
                <w:sz w:val="16"/>
              </w:rPr>
              <w:t>en</w:t>
            </w:r>
            <w:r>
              <w:rPr>
                <w:b/>
                <w:spacing w:val="-1"/>
                <w:sz w:val="16"/>
              </w:rPr>
              <w:t> </w:t>
            </w:r>
            <w:r>
              <w:rPr>
                <w:b/>
                <w:sz w:val="16"/>
              </w:rPr>
              <w:t>hogares</w:t>
            </w:r>
            <w:r>
              <w:rPr>
                <w:b/>
                <w:spacing w:val="-3"/>
                <w:sz w:val="16"/>
              </w:rPr>
              <w:t> </w:t>
            </w:r>
            <w:r>
              <w:rPr>
                <w:b/>
                <w:sz w:val="16"/>
              </w:rPr>
              <w:t>en</w:t>
            </w:r>
            <w:r>
              <w:rPr>
                <w:b/>
                <w:spacing w:val="-1"/>
                <w:sz w:val="16"/>
              </w:rPr>
              <w:t> </w:t>
            </w:r>
            <w:r>
              <w:rPr>
                <w:b/>
                <w:sz w:val="16"/>
              </w:rPr>
              <w:t>dicha</w:t>
            </w:r>
            <w:r>
              <w:rPr>
                <w:b/>
                <w:spacing w:val="-2"/>
                <w:sz w:val="16"/>
              </w:rPr>
              <w:t> </w:t>
            </w:r>
            <w:r>
              <w:rPr>
                <w:b/>
                <w:sz w:val="16"/>
              </w:rPr>
              <w:t>situación</w:t>
            </w:r>
            <w:r>
              <w:rPr>
                <w:b/>
                <w:spacing w:val="-5"/>
                <w:sz w:val="16"/>
              </w:rPr>
              <w:t> </w:t>
            </w:r>
            <w:r>
              <w:rPr>
                <w:b/>
                <w:sz w:val="16"/>
              </w:rPr>
              <w:t>de</w:t>
            </w:r>
            <w:r>
              <w:rPr>
                <w:b/>
                <w:spacing w:val="-3"/>
                <w:sz w:val="16"/>
              </w:rPr>
              <w:t> </w:t>
            </w:r>
            <w:r>
              <w:rPr>
                <w:b/>
                <w:spacing w:val="-2"/>
                <w:sz w:val="16"/>
              </w:rPr>
              <w:t>pobreza.</w:t>
            </w:r>
          </w:p>
        </w:tc>
      </w:tr>
    </w:tbl>
    <w:p>
      <w:pPr>
        <w:pStyle w:val="TableParagraph"/>
        <w:spacing w:after="0"/>
        <w:rPr>
          <w:b/>
          <w:sz w:val="16"/>
        </w:rPr>
        <w:sectPr>
          <w:type w:val="continuous"/>
          <w:pgSz w:w="15840" w:h="12240" w:orient="landscape"/>
          <w:pgMar w:header="0" w:footer="1806" w:top="700" w:bottom="334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2761" w:hRule="atLeast"/>
        </w:trPr>
        <w:tc>
          <w:tcPr>
            <w:tcW w:w="1695"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5"/>
              <w:rPr>
                <w:b/>
                <w:sz w:val="16"/>
              </w:rPr>
            </w:pPr>
          </w:p>
          <w:p>
            <w:pPr>
              <w:pStyle w:val="TableParagraph"/>
              <w:spacing w:before="1"/>
              <w:ind w:left="72"/>
              <w:rPr>
                <w:b/>
                <w:sz w:val="16"/>
              </w:rPr>
            </w:pPr>
            <w:r>
              <w:rPr>
                <w:b/>
                <w:spacing w:val="-2"/>
                <w:sz w:val="16"/>
              </w:rPr>
              <w:t>Actividad</w:t>
            </w:r>
            <w:r>
              <w:rPr>
                <w:b/>
                <w:spacing w:val="-10"/>
                <w:sz w:val="16"/>
              </w:rPr>
              <w:t> </w:t>
            </w:r>
            <w:r>
              <w:rPr>
                <w:b/>
                <w:spacing w:val="-2"/>
                <w:sz w:val="16"/>
              </w:rPr>
              <w:t>PPPS 1.54.1:</w:t>
            </w:r>
          </w:p>
          <w:p>
            <w:pPr>
              <w:pStyle w:val="TableParagraph"/>
              <w:ind w:left="72" w:right="128"/>
              <w:rPr>
                <w:sz w:val="16"/>
              </w:rPr>
            </w:pPr>
            <w:r>
              <w:rPr>
                <w:sz w:val="16"/>
              </w:rPr>
              <w:t>Asignación de subsidios de protección</w:t>
            </w:r>
            <w:r>
              <w:rPr>
                <w:spacing w:val="-2"/>
                <w:sz w:val="16"/>
              </w:rPr>
              <w:t> </w:t>
            </w:r>
            <w:r>
              <w:rPr>
                <w:sz w:val="16"/>
              </w:rPr>
              <w:t>y promoción</w:t>
            </w:r>
            <w:r>
              <w:rPr>
                <w:spacing w:val="-2"/>
                <w:sz w:val="16"/>
              </w:rPr>
              <w:t> </w:t>
            </w:r>
            <w:r>
              <w:rPr>
                <w:sz w:val="16"/>
              </w:rPr>
              <w:t>social, que</w:t>
            </w:r>
            <w:r>
              <w:rPr>
                <w:spacing w:val="-12"/>
                <w:sz w:val="16"/>
              </w:rPr>
              <w:t> </w:t>
            </w:r>
            <w:r>
              <w:rPr>
                <w:sz w:val="16"/>
              </w:rPr>
              <w:t>contribuyan</w:t>
            </w:r>
            <w:r>
              <w:rPr>
                <w:spacing w:val="-11"/>
                <w:sz w:val="16"/>
              </w:rPr>
              <w:t> </w:t>
            </w:r>
            <w:r>
              <w:rPr>
                <w:sz w:val="16"/>
              </w:rPr>
              <w:t>a</w:t>
            </w:r>
            <w:r>
              <w:rPr>
                <w:spacing w:val="-11"/>
                <w:sz w:val="16"/>
              </w:rPr>
              <w:t> </w:t>
            </w:r>
            <w:r>
              <w:rPr>
                <w:sz w:val="16"/>
              </w:rPr>
              <w:t>la superación de la pobreza</w:t>
            </w:r>
            <w:r>
              <w:rPr>
                <w:spacing w:val="-12"/>
                <w:sz w:val="16"/>
              </w:rPr>
              <w:t> </w:t>
            </w:r>
            <w:r>
              <w:rPr>
                <w:sz w:val="16"/>
              </w:rPr>
              <w:t>en</w:t>
            </w:r>
            <w:r>
              <w:rPr>
                <w:spacing w:val="-11"/>
                <w:sz w:val="16"/>
              </w:rPr>
              <w:t> </w:t>
            </w:r>
            <w:r>
              <w:rPr>
                <w:sz w:val="16"/>
              </w:rPr>
              <w:t>hogares en dicha situación (vinculada a PEN </w:t>
            </w:r>
            <w:r>
              <w:rPr>
                <w:spacing w:val="-2"/>
                <w:sz w:val="16"/>
              </w:rPr>
              <w:t>Intervención</w:t>
            </w:r>
            <w:r>
              <w:rPr>
                <w:spacing w:val="-6"/>
                <w:sz w:val="16"/>
              </w:rPr>
              <w:t> </w:t>
            </w:r>
            <w:r>
              <w:rPr>
                <w:spacing w:val="-2"/>
                <w:sz w:val="16"/>
              </w:rPr>
              <w:t>Pública 1023).</w:t>
            </w:r>
          </w:p>
        </w:tc>
        <w:tc>
          <w:tcPr>
            <w:tcW w:w="1278" w:type="dxa"/>
          </w:tcPr>
          <w:p>
            <w:pPr>
              <w:pStyle w:val="TableParagraph"/>
              <w:ind w:left="72" w:right="87"/>
              <w:rPr>
                <w:sz w:val="16"/>
              </w:rPr>
            </w:pPr>
            <w:r>
              <w:rPr>
                <w:sz w:val="16"/>
              </w:rPr>
              <w:t>Número</w:t>
            </w:r>
            <w:r>
              <w:rPr>
                <w:spacing w:val="-2"/>
                <w:sz w:val="16"/>
              </w:rPr>
              <w:t> </w:t>
            </w:r>
            <w:r>
              <w:rPr>
                <w:sz w:val="16"/>
              </w:rPr>
              <w:t>de hogares en situación</w:t>
            </w:r>
            <w:r>
              <w:rPr>
                <w:spacing w:val="-2"/>
                <w:sz w:val="16"/>
              </w:rPr>
              <w:t> </w:t>
            </w:r>
            <w:r>
              <w:rPr>
                <w:sz w:val="16"/>
              </w:rPr>
              <w:t>de pobreza que residen en </w:t>
            </w:r>
            <w:r>
              <w:rPr>
                <w:spacing w:val="-2"/>
                <w:sz w:val="16"/>
              </w:rPr>
              <w:t>Florencia, </w:t>
            </w:r>
            <w:r>
              <w:rPr>
                <w:sz w:val="16"/>
              </w:rPr>
              <w:t>Aguas</w:t>
            </w:r>
            <w:r>
              <w:rPr>
                <w:spacing w:val="-12"/>
                <w:sz w:val="16"/>
              </w:rPr>
              <w:t> </w:t>
            </w:r>
            <w:r>
              <w:rPr>
                <w:sz w:val="16"/>
              </w:rPr>
              <w:t>Zarcas</w:t>
            </w:r>
            <w:r>
              <w:rPr>
                <w:spacing w:val="-11"/>
                <w:sz w:val="16"/>
              </w:rPr>
              <w:t> </w:t>
            </w:r>
            <w:r>
              <w:rPr>
                <w:sz w:val="16"/>
              </w:rPr>
              <w:t>y Cutris y cuentan con al menos un subsidio del Programa de Protección y</w:t>
            </w:r>
          </w:p>
          <w:p>
            <w:pPr>
              <w:pStyle w:val="TableParagraph"/>
              <w:spacing w:line="182" w:lineRule="exact"/>
              <w:ind w:left="72" w:right="429"/>
              <w:rPr>
                <w:sz w:val="16"/>
              </w:rPr>
            </w:pPr>
            <w:r>
              <w:rPr>
                <w:spacing w:val="-2"/>
                <w:sz w:val="16"/>
              </w:rPr>
              <w:t>Promoción Social.</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spacing w:before="1"/>
              <w:ind w:left="21" w:right="17"/>
              <w:jc w:val="center"/>
              <w:rPr>
                <w:sz w:val="16"/>
              </w:rPr>
            </w:pPr>
            <w:r>
              <w:rPr>
                <w:spacing w:val="-5"/>
                <w:sz w:val="16"/>
              </w:rPr>
              <w:t>865</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spacing w:before="1"/>
              <w:ind w:right="6"/>
              <w:jc w:val="center"/>
              <w:rPr>
                <w:sz w:val="16"/>
              </w:rPr>
            </w:pPr>
            <w:r>
              <w:rPr>
                <w:spacing w:val="-4"/>
                <w:sz w:val="16"/>
              </w:rPr>
              <w:t>1764</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spacing w:before="1"/>
              <w:ind w:left="16" w:right="24"/>
              <w:jc w:val="center"/>
              <w:rPr>
                <w:sz w:val="16"/>
              </w:rPr>
            </w:pPr>
            <w:r>
              <w:rPr>
                <w:spacing w:val="-4"/>
                <w:sz w:val="16"/>
              </w:rPr>
              <w:t>2714</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spacing w:before="1"/>
              <w:ind w:left="3" w:right="4"/>
              <w:jc w:val="center"/>
              <w:rPr>
                <w:sz w:val="16"/>
              </w:rPr>
            </w:pPr>
            <w:r>
              <w:rPr>
                <w:spacing w:val="-4"/>
                <w:sz w:val="16"/>
              </w:rPr>
              <w:t>3645</w:t>
            </w:r>
          </w:p>
        </w:tc>
        <w:tc>
          <w:tcPr>
            <w:tcW w:w="1494" w:type="dxa"/>
          </w:tcPr>
          <w:p>
            <w:pPr>
              <w:pStyle w:val="TableParagraph"/>
              <w:rPr>
                <w:rFonts w:ascii="Times New Roman"/>
                <w:sz w:val="16"/>
              </w:rPr>
            </w:pPr>
          </w:p>
        </w:tc>
      </w:tr>
      <w:tr>
        <w:trPr>
          <w:trHeight w:val="2578" w:hRule="atLeast"/>
        </w:trPr>
        <w:tc>
          <w:tcPr>
            <w:tcW w:w="1695" w:type="dxa"/>
            <w:vMerge/>
            <w:tcBorders>
              <w:top w:val="nil"/>
            </w:tcBorders>
          </w:tcPr>
          <w:p>
            <w:pPr>
              <w:rPr>
                <w:sz w:val="2"/>
                <w:szCs w:val="2"/>
              </w:rPr>
            </w:pPr>
          </w:p>
        </w:tc>
        <w:tc>
          <w:tcPr>
            <w:tcW w:w="1278" w:type="dxa"/>
          </w:tcPr>
          <w:p>
            <w:pPr>
              <w:pStyle w:val="TableParagraph"/>
              <w:spacing w:before="3"/>
              <w:ind w:left="72" w:right="149"/>
              <w:rPr>
                <w:sz w:val="16"/>
              </w:rPr>
            </w:pPr>
            <w:r>
              <w:rPr>
                <w:sz w:val="16"/>
              </w:rPr>
              <w:t>Número</w:t>
            </w:r>
            <w:r>
              <w:rPr>
                <w:spacing w:val="-2"/>
                <w:sz w:val="16"/>
              </w:rPr>
              <w:t> </w:t>
            </w:r>
            <w:r>
              <w:rPr>
                <w:sz w:val="16"/>
              </w:rPr>
              <w:t>de hogares en situación</w:t>
            </w:r>
            <w:r>
              <w:rPr>
                <w:spacing w:val="-2"/>
                <w:sz w:val="16"/>
              </w:rPr>
              <w:t> </w:t>
            </w:r>
            <w:r>
              <w:rPr>
                <w:sz w:val="16"/>
              </w:rPr>
              <w:t>de pobreza que residen en Roxana,</w:t>
            </w:r>
            <w:r>
              <w:rPr>
                <w:spacing w:val="-12"/>
                <w:sz w:val="16"/>
              </w:rPr>
              <w:t> </w:t>
            </w:r>
            <w:r>
              <w:rPr>
                <w:sz w:val="16"/>
              </w:rPr>
              <w:t>Rita</w:t>
            </w:r>
            <w:r>
              <w:rPr>
                <w:spacing w:val="-11"/>
                <w:sz w:val="16"/>
              </w:rPr>
              <w:t> </w:t>
            </w:r>
            <w:r>
              <w:rPr>
                <w:sz w:val="16"/>
              </w:rPr>
              <w:t>y Horquetas, y cuentan</w:t>
            </w:r>
            <w:r>
              <w:rPr>
                <w:spacing w:val="-12"/>
                <w:sz w:val="16"/>
              </w:rPr>
              <w:t> </w:t>
            </w:r>
            <w:r>
              <w:rPr>
                <w:sz w:val="16"/>
              </w:rPr>
              <w:t>con</w:t>
            </w:r>
            <w:r>
              <w:rPr>
                <w:spacing w:val="-11"/>
                <w:sz w:val="16"/>
              </w:rPr>
              <w:t> </w:t>
            </w:r>
            <w:r>
              <w:rPr>
                <w:sz w:val="16"/>
              </w:rPr>
              <w:t>al menos un subsidio del Programa de Protección y </w:t>
            </w:r>
            <w:r>
              <w:rPr>
                <w:spacing w:val="-2"/>
                <w:sz w:val="16"/>
              </w:rPr>
              <w:t>Promoción</w:t>
            </w:r>
          </w:p>
          <w:p>
            <w:pPr>
              <w:pStyle w:val="TableParagraph"/>
              <w:spacing w:line="163" w:lineRule="exact"/>
              <w:ind w:left="72"/>
              <w:rPr>
                <w:sz w:val="16"/>
              </w:rPr>
            </w:pPr>
            <w:r>
              <w:rPr>
                <w:spacing w:val="-2"/>
                <w:sz w:val="16"/>
              </w:rPr>
              <w:t>Social.</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21" w:right="17"/>
              <w:jc w:val="center"/>
              <w:rPr>
                <w:sz w:val="16"/>
              </w:rPr>
            </w:pPr>
            <w:r>
              <w:rPr>
                <w:spacing w:val="-4"/>
                <w:sz w:val="16"/>
              </w:rPr>
              <w:t>1459</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right="6"/>
              <w:jc w:val="center"/>
              <w:rPr>
                <w:sz w:val="16"/>
              </w:rPr>
            </w:pPr>
            <w:r>
              <w:rPr>
                <w:spacing w:val="-4"/>
                <w:sz w:val="16"/>
              </w:rPr>
              <w:t>3079</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16" w:right="24"/>
              <w:jc w:val="center"/>
              <w:rPr>
                <w:sz w:val="16"/>
              </w:rPr>
            </w:pPr>
            <w:r>
              <w:rPr>
                <w:spacing w:val="-4"/>
                <w:sz w:val="16"/>
              </w:rPr>
              <w:t>5311</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3" w:right="4"/>
              <w:jc w:val="center"/>
              <w:rPr>
                <w:sz w:val="16"/>
              </w:rPr>
            </w:pPr>
            <w:r>
              <w:rPr>
                <w:spacing w:val="-4"/>
                <w:sz w:val="16"/>
              </w:rPr>
              <w:t>8476</w:t>
            </w:r>
          </w:p>
        </w:tc>
        <w:tc>
          <w:tcPr>
            <w:tcW w:w="1494" w:type="dxa"/>
          </w:tcPr>
          <w:p>
            <w:pPr>
              <w:pStyle w:val="TableParagraph"/>
              <w:rPr>
                <w:rFonts w:ascii="Times New Roman"/>
                <w:sz w:val="16"/>
              </w:rPr>
            </w:pPr>
          </w:p>
        </w:tc>
      </w:tr>
      <w:tr>
        <w:trPr>
          <w:trHeight w:val="2760" w:hRule="atLeast"/>
        </w:trPr>
        <w:tc>
          <w:tcPr>
            <w:tcW w:w="1695" w:type="dxa"/>
            <w:vMerge/>
            <w:tcBorders>
              <w:top w:val="nil"/>
            </w:tcBorders>
          </w:tcPr>
          <w:p>
            <w:pPr>
              <w:rPr>
                <w:sz w:val="2"/>
                <w:szCs w:val="2"/>
              </w:rPr>
            </w:pPr>
          </w:p>
        </w:tc>
        <w:tc>
          <w:tcPr>
            <w:tcW w:w="1278" w:type="dxa"/>
          </w:tcPr>
          <w:p>
            <w:pPr>
              <w:pStyle w:val="TableParagraph"/>
              <w:ind w:left="72" w:right="103"/>
              <w:rPr>
                <w:sz w:val="16"/>
              </w:rPr>
            </w:pPr>
            <w:r>
              <w:rPr>
                <w:sz w:val="16"/>
              </w:rPr>
              <w:t>Número</w:t>
            </w:r>
            <w:r>
              <w:rPr>
                <w:spacing w:val="-2"/>
                <w:sz w:val="16"/>
              </w:rPr>
              <w:t> </w:t>
            </w:r>
            <w:r>
              <w:rPr>
                <w:sz w:val="16"/>
              </w:rPr>
              <w:t>de hogares en situación</w:t>
            </w:r>
            <w:r>
              <w:rPr>
                <w:spacing w:val="-2"/>
                <w:sz w:val="16"/>
              </w:rPr>
              <w:t> </w:t>
            </w:r>
            <w:r>
              <w:rPr>
                <w:sz w:val="16"/>
              </w:rPr>
              <w:t>de pobreza que residen</w:t>
            </w:r>
            <w:r>
              <w:rPr>
                <w:spacing w:val="-12"/>
                <w:sz w:val="16"/>
              </w:rPr>
              <w:t> </w:t>
            </w:r>
            <w:r>
              <w:rPr>
                <w:sz w:val="16"/>
              </w:rPr>
              <w:t>en</w:t>
            </w:r>
            <w:r>
              <w:rPr>
                <w:spacing w:val="-11"/>
                <w:sz w:val="16"/>
              </w:rPr>
              <w:t> </w:t>
            </w:r>
            <w:r>
              <w:rPr>
                <w:sz w:val="16"/>
              </w:rPr>
              <w:t>Río </w:t>
            </w:r>
            <w:r>
              <w:rPr>
                <w:spacing w:val="-2"/>
                <w:sz w:val="16"/>
              </w:rPr>
              <w:t>Blanco, </w:t>
            </w:r>
            <w:r>
              <w:rPr>
                <w:sz w:val="16"/>
              </w:rPr>
              <w:t>Carrandí y Matina, y cuentan</w:t>
            </w:r>
            <w:r>
              <w:rPr>
                <w:spacing w:val="-12"/>
                <w:sz w:val="16"/>
              </w:rPr>
              <w:t> </w:t>
            </w:r>
            <w:r>
              <w:rPr>
                <w:sz w:val="16"/>
              </w:rPr>
              <w:t>con</w:t>
            </w:r>
            <w:r>
              <w:rPr>
                <w:spacing w:val="-11"/>
                <w:sz w:val="16"/>
              </w:rPr>
              <w:t> </w:t>
            </w:r>
            <w:r>
              <w:rPr>
                <w:sz w:val="16"/>
              </w:rPr>
              <w:t>al menos un subsidio del Programa de Protección y</w:t>
            </w:r>
          </w:p>
          <w:p>
            <w:pPr>
              <w:pStyle w:val="TableParagraph"/>
              <w:spacing w:line="182" w:lineRule="exact"/>
              <w:ind w:left="72" w:right="429"/>
              <w:rPr>
                <w:sz w:val="16"/>
              </w:rPr>
            </w:pPr>
            <w:r>
              <w:rPr>
                <w:spacing w:val="-2"/>
                <w:sz w:val="16"/>
              </w:rPr>
              <w:t>Promoción Social.</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21" w:right="17"/>
              <w:jc w:val="center"/>
              <w:rPr>
                <w:sz w:val="16"/>
              </w:rPr>
            </w:pPr>
            <w:r>
              <w:rPr>
                <w:spacing w:val="-5"/>
                <w:sz w:val="16"/>
              </w:rPr>
              <w:t>624</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6"/>
              <w:jc w:val="center"/>
              <w:rPr>
                <w:sz w:val="16"/>
              </w:rPr>
            </w:pPr>
            <w:r>
              <w:rPr>
                <w:spacing w:val="-4"/>
                <w:sz w:val="16"/>
              </w:rPr>
              <w:t>1296</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16" w:right="24"/>
              <w:jc w:val="center"/>
              <w:rPr>
                <w:sz w:val="16"/>
              </w:rPr>
            </w:pPr>
            <w:r>
              <w:rPr>
                <w:spacing w:val="-4"/>
                <w:sz w:val="16"/>
              </w:rPr>
              <w:t>2114</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3" w:right="4"/>
              <w:jc w:val="center"/>
              <w:rPr>
                <w:sz w:val="16"/>
              </w:rPr>
            </w:pPr>
            <w:r>
              <w:rPr>
                <w:spacing w:val="-4"/>
                <w:sz w:val="16"/>
              </w:rPr>
              <w:t>3247</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480" w:hRule="atLeast"/>
        </w:trPr>
        <w:tc>
          <w:tcPr>
            <w:tcW w:w="14323" w:type="dxa"/>
            <w:gridSpan w:val="10"/>
            <w:shd w:val="clear" w:color="auto" w:fill="EFF8F9"/>
          </w:tcPr>
          <w:p>
            <w:pPr>
              <w:pStyle w:val="TableParagraph"/>
              <w:spacing w:line="244" w:lineRule="auto"/>
              <w:ind w:left="72" w:right="95"/>
              <w:rPr>
                <w:b/>
                <w:sz w:val="16"/>
              </w:rPr>
            </w:pPr>
            <w:r>
              <w:rPr>
                <w:b/>
                <w:sz w:val="16"/>
              </w:rPr>
              <w:t>Producto</w:t>
            </w:r>
            <w:r>
              <w:rPr>
                <w:b/>
                <w:spacing w:val="-1"/>
                <w:sz w:val="16"/>
              </w:rPr>
              <w:t> </w:t>
            </w:r>
            <w:r>
              <w:rPr>
                <w:b/>
                <w:sz w:val="16"/>
              </w:rPr>
              <w:t>PPPS 1.55:</w:t>
            </w:r>
            <w:r>
              <w:rPr>
                <w:b/>
                <w:spacing w:val="37"/>
                <w:sz w:val="16"/>
              </w:rPr>
              <w:t> </w:t>
            </w:r>
            <w:r>
              <w:rPr>
                <w:b/>
                <w:sz w:val="16"/>
              </w:rPr>
              <w:t>Implementación</w:t>
            </w:r>
            <w:r>
              <w:rPr>
                <w:b/>
                <w:spacing w:val="-1"/>
                <w:sz w:val="16"/>
              </w:rPr>
              <w:t> </w:t>
            </w:r>
            <w:r>
              <w:rPr>
                <w:b/>
                <w:sz w:val="16"/>
              </w:rPr>
              <w:t>de</w:t>
            </w:r>
            <w:r>
              <w:rPr>
                <w:b/>
                <w:spacing w:val="-2"/>
                <w:sz w:val="16"/>
              </w:rPr>
              <w:t> </w:t>
            </w:r>
            <w:r>
              <w:rPr>
                <w:b/>
                <w:sz w:val="16"/>
              </w:rPr>
              <w:t>acciones</w:t>
            </w:r>
            <w:r>
              <w:rPr>
                <w:b/>
                <w:spacing w:val="-2"/>
                <w:sz w:val="16"/>
              </w:rPr>
              <w:t> </w:t>
            </w:r>
            <w:r>
              <w:rPr>
                <w:b/>
                <w:sz w:val="16"/>
              </w:rPr>
              <w:t>de</w:t>
            </w:r>
            <w:r>
              <w:rPr>
                <w:b/>
                <w:spacing w:val="-2"/>
                <w:sz w:val="16"/>
              </w:rPr>
              <w:t> </w:t>
            </w:r>
            <w:r>
              <w:rPr>
                <w:b/>
                <w:sz w:val="16"/>
              </w:rPr>
              <w:t>monitoreo</w:t>
            </w:r>
            <w:r>
              <w:rPr>
                <w:b/>
                <w:spacing w:val="-1"/>
                <w:sz w:val="16"/>
              </w:rPr>
              <w:t> </w:t>
            </w:r>
            <w:r>
              <w:rPr>
                <w:b/>
                <w:sz w:val="16"/>
              </w:rPr>
              <w:t>y</w:t>
            </w:r>
            <w:r>
              <w:rPr>
                <w:b/>
                <w:spacing w:val="-2"/>
                <w:sz w:val="16"/>
              </w:rPr>
              <w:t> </w:t>
            </w:r>
            <w:r>
              <w:rPr>
                <w:b/>
                <w:sz w:val="16"/>
              </w:rPr>
              <w:t>seguimiento</w:t>
            </w:r>
            <w:r>
              <w:rPr>
                <w:b/>
                <w:spacing w:val="-1"/>
                <w:sz w:val="16"/>
              </w:rPr>
              <w:t> </w:t>
            </w:r>
            <w:r>
              <w:rPr>
                <w:b/>
                <w:sz w:val="16"/>
              </w:rPr>
              <w:t>que</w:t>
            </w:r>
            <w:r>
              <w:rPr>
                <w:b/>
                <w:spacing w:val="-2"/>
                <w:sz w:val="16"/>
              </w:rPr>
              <w:t> </w:t>
            </w:r>
            <w:r>
              <w:rPr>
                <w:b/>
                <w:sz w:val="16"/>
              </w:rPr>
              <w:t>contribuyen</w:t>
            </w:r>
            <w:r>
              <w:rPr>
                <w:b/>
                <w:spacing w:val="-1"/>
                <w:sz w:val="16"/>
              </w:rPr>
              <w:t> </w:t>
            </w:r>
            <w:r>
              <w:rPr>
                <w:b/>
                <w:sz w:val="16"/>
              </w:rPr>
              <w:t>al</w:t>
            </w:r>
            <w:r>
              <w:rPr>
                <w:b/>
                <w:spacing w:val="-1"/>
                <w:sz w:val="16"/>
              </w:rPr>
              <w:t> </w:t>
            </w:r>
            <w:r>
              <w:rPr>
                <w:b/>
                <w:sz w:val="16"/>
              </w:rPr>
              <w:t>alcance</w:t>
            </w:r>
            <w:r>
              <w:rPr>
                <w:b/>
                <w:spacing w:val="-2"/>
                <w:sz w:val="16"/>
              </w:rPr>
              <w:t> </w:t>
            </w:r>
            <w:r>
              <w:rPr>
                <w:b/>
                <w:sz w:val="16"/>
              </w:rPr>
              <w:t>de</w:t>
            </w:r>
            <w:r>
              <w:rPr>
                <w:b/>
                <w:spacing w:val="-5"/>
                <w:sz w:val="16"/>
              </w:rPr>
              <w:t> </w:t>
            </w:r>
            <w:r>
              <w:rPr>
                <w:b/>
                <w:sz w:val="16"/>
              </w:rPr>
              <w:t>las</w:t>
            </w:r>
            <w:r>
              <w:rPr>
                <w:b/>
                <w:spacing w:val="-2"/>
                <w:sz w:val="16"/>
              </w:rPr>
              <w:t> </w:t>
            </w:r>
            <w:r>
              <w:rPr>
                <w:b/>
                <w:sz w:val="16"/>
              </w:rPr>
              <w:t>metas</w:t>
            </w:r>
            <w:r>
              <w:rPr>
                <w:b/>
                <w:spacing w:val="-5"/>
                <w:sz w:val="16"/>
              </w:rPr>
              <w:t> </w:t>
            </w:r>
            <w:r>
              <w:rPr>
                <w:b/>
                <w:sz w:val="16"/>
              </w:rPr>
              <w:t>institucionales</w:t>
            </w:r>
            <w:r>
              <w:rPr>
                <w:b/>
                <w:spacing w:val="-5"/>
                <w:sz w:val="16"/>
              </w:rPr>
              <w:t> </w:t>
            </w:r>
            <w:r>
              <w:rPr>
                <w:b/>
                <w:sz w:val="16"/>
              </w:rPr>
              <w:t>y</w:t>
            </w:r>
            <w:r>
              <w:rPr>
                <w:b/>
                <w:spacing w:val="-2"/>
                <w:sz w:val="16"/>
              </w:rPr>
              <w:t> </w:t>
            </w:r>
            <w:r>
              <w:rPr>
                <w:b/>
                <w:sz w:val="16"/>
              </w:rPr>
              <w:t>de</w:t>
            </w:r>
            <w:r>
              <w:rPr>
                <w:b/>
                <w:spacing w:val="-5"/>
                <w:sz w:val="16"/>
              </w:rPr>
              <w:t> </w:t>
            </w:r>
            <w:r>
              <w:rPr>
                <w:b/>
                <w:sz w:val="16"/>
              </w:rPr>
              <w:t>la</w:t>
            </w:r>
            <w:r>
              <w:rPr>
                <w:b/>
                <w:spacing w:val="-5"/>
                <w:sz w:val="16"/>
              </w:rPr>
              <w:t> </w:t>
            </w:r>
            <w:r>
              <w:rPr>
                <w:b/>
                <w:sz w:val="16"/>
              </w:rPr>
              <w:t>DDS y</w:t>
            </w:r>
            <w:r>
              <w:rPr>
                <w:b/>
                <w:spacing w:val="-2"/>
                <w:sz w:val="16"/>
              </w:rPr>
              <w:t> </w:t>
            </w:r>
            <w:r>
              <w:rPr>
                <w:b/>
                <w:sz w:val="16"/>
              </w:rPr>
              <w:t>al</w:t>
            </w:r>
            <w:r>
              <w:rPr>
                <w:b/>
                <w:spacing w:val="-1"/>
                <w:sz w:val="16"/>
              </w:rPr>
              <w:t> </w:t>
            </w:r>
            <w:r>
              <w:rPr>
                <w:b/>
                <w:sz w:val="16"/>
              </w:rPr>
              <w:t>cumplimiento</w:t>
            </w:r>
            <w:r>
              <w:rPr>
                <w:b/>
                <w:spacing w:val="-1"/>
                <w:sz w:val="16"/>
              </w:rPr>
              <w:t> </w:t>
            </w:r>
            <w:r>
              <w:rPr>
                <w:b/>
                <w:sz w:val="16"/>
              </w:rPr>
              <w:t>de</w:t>
            </w:r>
            <w:r>
              <w:rPr>
                <w:b/>
                <w:spacing w:val="-2"/>
                <w:sz w:val="16"/>
              </w:rPr>
              <w:t> </w:t>
            </w:r>
            <w:r>
              <w:rPr>
                <w:b/>
                <w:sz w:val="16"/>
              </w:rPr>
              <w:t>acuerdos</w:t>
            </w:r>
            <w:r>
              <w:rPr>
                <w:b/>
                <w:spacing w:val="-5"/>
                <w:sz w:val="16"/>
              </w:rPr>
              <w:t> </w:t>
            </w:r>
            <w:r>
              <w:rPr>
                <w:b/>
                <w:sz w:val="16"/>
              </w:rPr>
              <w:t>y recomendaciones, mediante la generación de información para la toma de decisiones en el marco de procesos de mejora continua.</w:t>
            </w:r>
          </w:p>
        </w:tc>
      </w:tr>
      <w:tr>
        <w:trPr>
          <w:trHeight w:val="1843" w:hRule="atLeast"/>
        </w:trPr>
        <w:tc>
          <w:tcPr>
            <w:tcW w:w="1695" w:type="dxa"/>
          </w:tcPr>
          <w:p>
            <w:pPr>
              <w:pStyle w:val="TableParagraph"/>
              <w:spacing w:before="3"/>
              <w:ind w:left="72"/>
              <w:rPr>
                <w:b/>
                <w:sz w:val="16"/>
              </w:rPr>
            </w:pPr>
            <w:r>
              <w:rPr>
                <w:b/>
                <w:spacing w:val="-2"/>
                <w:sz w:val="16"/>
              </w:rPr>
              <w:t>Actividad</w:t>
            </w:r>
            <w:r>
              <w:rPr>
                <w:b/>
                <w:spacing w:val="-10"/>
                <w:sz w:val="16"/>
              </w:rPr>
              <w:t> </w:t>
            </w:r>
            <w:r>
              <w:rPr>
                <w:b/>
                <w:spacing w:val="-2"/>
                <w:sz w:val="16"/>
              </w:rPr>
              <w:t>PPPS 1.55.1:</w:t>
            </w:r>
          </w:p>
          <w:p>
            <w:pPr>
              <w:pStyle w:val="TableParagraph"/>
              <w:ind w:left="72" w:right="103"/>
              <w:rPr>
                <w:sz w:val="16"/>
              </w:rPr>
            </w:pPr>
            <w:r>
              <w:rPr>
                <w:sz w:val="16"/>
              </w:rPr>
              <w:t>Seguimiento a la inversión social realizada</w:t>
            </w:r>
            <w:r>
              <w:rPr>
                <w:spacing w:val="-12"/>
                <w:sz w:val="16"/>
              </w:rPr>
              <w:t> </w:t>
            </w:r>
            <w:r>
              <w:rPr>
                <w:sz w:val="16"/>
              </w:rPr>
              <w:t>en</w:t>
            </w:r>
            <w:r>
              <w:rPr>
                <w:spacing w:val="-11"/>
                <w:sz w:val="16"/>
              </w:rPr>
              <w:t> </w:t>
            </w:r>
            <w:r>
              <w:rPr>
                <w:sz w:val="16"/>
              </w:rPr>
              <w:t>el</w:t>
            </w:r>
            <w:r>
              <w:rPr>
                <w:spacing w:val="-11"/>
                <w:sz w:val="16"/>
              </w:rPr>
              <w:t> </w:t>
            </w:r>
            <w:r>
              <w:rPr>
                <w:sz w:val="16"/>
              </w:rPr>
              <w:t>PPPS y a las principales acciones de la DDS, mediante la generación de</w:t>
            </w:r>
          </w:p>
          <w:p>
            <w:pPr>
              <w:pStyle w:val="TableParagraph"/>
              <w:spacing w:line="163" w:lineRule="exact" w:before="1"/>
              <w:ind w:left="72"/>
              <w:rPr>
                <w:sz w:val="16"/>
              </w:rPr>
            </w:pPr>
            <w:r>
              <w:rPr>
                <w:sz w:val="16"/>
              </w:rPr>
              <w:t>informes</w:t>
            </w:r>
            <w:r>
              <w:rPr>
                <w:spacing w:val="-10"/>
                <w:sz w:val="16"/>
              </w:rPr>
              <w:t> </w:t>
            </w:r>
            <w:r>
              <w:rPr>
                <w:spacing w:val="-2"/>
                <w:sz w:val="16"/>
              </w:rPr>
              <w:t>trimestrales.</w:t>
            </w:r>
          </w:p>
        </w:tc>
        <w:tc>
          <w:tcPr>
            <w:tcW w:w="1278" w:type="dxa"/>
          </w:tcPr>
          <w:p>
            <w:pPr>
              <w:pStyle w:val="TableParagraph"/>
              <w:spacing w:before="94"/>
              <w:ind w:left="72" w:right="85"/>
              <w:rPr>
                <w:sz w:val="16"/>
              </w:rPr>
            </w:pPr>
            <w:r>
              <w:rPr>
                <w:sz w:val="16"/>
              </w:rPr>
              <w:t>Cantidad de informes de seguimiento a la inversión social</w:t>
            </w:r>
            <w:r>
              <w:rPr>
                <w:spacing w:val="-12"/>
                <w:sz w:val="16"/>
              </w:rPr>
              <w:t> </w:t>
            </w:r>
            <w:r>
              <w:rPr>
                <w:sz w:val="16"/>
              </w:rPr>
              <w:t>realizada en</w:t>
            </w:r>
            <w:r>
              <w:rPr>
                <w:spacing w:val="-5"/>
                <w:sz w:val="16"/>
              </w:rPr>
              <w:t> </w:t>
            </w:r>
            <w:r>
              <w:rPr>
                <w:sz w:val="16"/>
              </w:rPr>
              <w:t>el</w:t>
            </w:r>
            <w:r>
              <w:rPr>
                <w:spacing w:val="-5"/>
                <w:sz w:val="16"/>
              </w:rPr>
              <w:t> </w:t>
            </w:r>
            <w:r>
              <w:rPr>
                <w:sz w:val="16"/>
              </w:rPr>
              <w:t>PPPS</w:t>
            </w:r>
            <w:r>
              <w:rPr>
                <w:spacing w:val="-3"/>
                <w:sz w:val="16"/>
              </w:rPr>
              <w:t> </w:t>
            </w:r>
            <w:r>
              <w:rPr>
                <w:sz w:val="16"/>
              </w:rPr>
              <w:t>y</w:t>
            </w:r>
            <w:r>
              <w:rPr>
                <w:spacing w:val="-5"/>
                <w:sz w:val="16"/>
              </w:rPr>
              <w:t> </w:t>
            </w:r>
            <w:r>
              <w:rPr>
                <w:sz w:val="16"/>
              </w:rPr>
              <w:t>a las principales acciones de la </w:t>
            </w:r>
            <w:r>
              <w:rPr>
                <w:spacing w:val="-4"/>
                <w:sz w:val="16"/>
              </w:rPr>
              <w:t>DDS.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21" w:right="12"/>
              <w:jc w:val="center"/>
              <w:rPr>
                <w:sz w:val="16"/>
              </w:rPr>
            </w:pPr>
            <w:r>
              <w:rPr>
                <w:spacing w:val="-10"/>
                <w:sz w:val="16"/>
              </w:rPr>
              <w:t>1</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1"/>
              <w:jc w:val="center"/>
              <w:rPr>
                <w:sz w:val="16"/>
              </w:rPr>
            </w:pPr>
            <w:r>
              <w:rPr>
                <w:spacing w:val="-10"/>
                <w:sz w:val="16"/>
              </w:rPr>
              <w:t>2</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16" w:right="19"/>
              <w:jc w:val="center"/>
              <w:rPr>
                <w:sz w:val="16"/>
              </w:rPr>
            </w:pPr>
            <w:r>
              <w:rPr>
                <w:spacing w:val="-10"/>
                <w:sz w:val="16"/>
              </w:rPr>
              <w:t>3</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4" w:right="1"/>
              <w:jc w:val="center"/>
              <w:rPr>
                <w:sz w:val="16"/>
              </w:rPr>
            </w:pPr>
            <w:r>
              <w:rPr>
                <w:spacing w:val="-10"/>
                <w:sz w:val="16"/>
              </w:rPr>
              <w:t>4</w:t>
            </w:r>
          </w:p>
        </w:tc>
        <w:tc>
          <w:tcPr>
            <w:tcW w:w="1494" w:type="dxa"/>
          </w:tcPr>
          <w:p>
            <w:pPr>
              <w:pStyle w:val="TableParagraph"/>
              <w:rPr>
                <w:rFonts w:ascii="Times New Roman"/>
                <w:sz w:val="16"/>
              </w:rPr>
            </w:pPr>
          </w:p>
        </w:tc>
      </w:tr>
      <w:tr>
        <w:trPr>
          <w:trHeight w:val="1656"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1.55.2:</w:t>
            </w:r>
          </w:p>
          <w:p>
            <w:pPr>
              <w:pStyle w:val="TableParagraph"/>
              <w:ind w:left="72" w:right="79"/>
              <w:rPr>
                <w:sz w:val="16"/>
              </w:rPr>
            </w:pPr>
            <w:r>
              <w:rPr>
                <w:sz w:val="16"/>
              </w:rPr>
              <w:t>Seguimiento al cumplimiento de acuerdos emitidos</w:t>
            </w:r>
            <w:r>
              <w:rPr>
                <w:spacing w:val="40"/>
                <w:sz w:val="16"/>
              </w:rPr>
              <w:t> </w:t>
            </w:r>
            <w:r>
              <w:rPr>
                <w:sz w:val="16"/>
              </w:rPr>
              <w:t>por el Consejo Directivo,</w:t>
            </w:r>
            <w:r>
              <w:rPr>
                <w:spacing w:val="-12"/>
                <w:sz w:val="16"/>
              </w:rPr>
              <w:t> </w:t>
            </w:r>
            <w:r>
              <w:rPr>
                <w:sz w:val="16"/>
              </w:rPr>
              <w:t>mediante</w:t>
            </w:r>
            <w:r>
              <w:rPr>
                <w:spacing w:val="-11"/>
                <w:sz w:val="16"/>
              </w:rPr>
              <w:t> </w:t>
            </w:r>
            <w:r>
              <w:rPr>
                <w:sz w:val="16"/>
              </w:rPr>
              <w:t>la generación de</w:t>
            </w:r>
          </w:p>
          <w:p>
            <w:pPr>
              <w:pStyle w:val="TableParagraph"/>
              <w:spacing w:line="163" w:lineRule="exact" w:before="1"/>
              <w:ind w:left="72"/>
              <w:rPr>
                <w:sz w:val="16"/>
              </w:rPr>
            </w:pPr>
            <w:r>
              <w:rPr>
                <w:spacing w:val="-2"/>
                <w:sz w:val="16"/>
              </w:rPr>
              <w:t>informes.</w:t>
            </w:r>
          </w:p>
        </w:tc>
        <w:tc>
          <w:tcPr>
            <w:tcW w:w="1278" w:type="dxa"/>
          </w:tcPr>
          <w:p>
            <w:pPr>
              <w:pStyle w:val="TableParagraph"/>
              <w:tabs>
                <w:tab w:pos="1026" w:val="left" w:leader="none"/>
              </w:tabs>
              <w:spacing w:before="181"/>
              <w:ind w:left="72"/>
              <w:rPr>
                <w:sz w:val="16"/>
              </w:rPr>
            </w:pPr>
            <w:r>
              <w:rPr>
                <w:spacing w:val="-2"/>
                <w:sz w:val="16"/>
              </w:rPr>
              <w:t>Cantidad</w:t>
            </w:r>
            <w:r>
              <w:rPr>
                <w:sz w:val="16"/>
              </w:rPr>
              <w:tab/>
            </w:r>
            <w:r>
              <w:rPr>
                <w:spacing w:val="-5"/>
                <w:sz w:val="16"/>
              </w:rPr>
              <w:t>de</w:t>
            </w:r>
          </w:p>
          <w:p>
            <w:pPr>
              <w:pStyle w:val="TableParagraph"/>
              <w:tabs>
                <w:tab w:pos="546" w:val="left" w:leader="none"/>
                <w:tab w:pos="1026" w:val="left" w:leader="none"/>
              </w:tabs>
              <w:spacing w:before="3"/>
              <w:ind w:left="72" w:right="60"/>
              <w:rPr>
                <w:sz w:val="16"/>
              </w:rPr>
            </w:pPr>
            <w:r>
              <w:rPr>
                <w:spacing w:val="-2"/>
                <w:sz w:val="16"/>
              </w:rPr>
              <w:t>informes</w:t>
            </w:r>
            <w:r>
              <w:rPr>
                <w:sz w:val="16"/>
              </w:rPr>
              <w:tab/>
            </w:r>
            <w:r>
              <w:rPr>
                <w:spacing w:val="-6"/>
                <w:sz w:val="16"/>
              </w:rPr>
              <w:t>de</w:t>
            </w:r>
            <w:r>
              <w:rPr>
                <w:sz w:val="16"/>
              </w:rPr>
              <w:t> seguimiento</w:t>
            </w:r>
            <w:r>
              <w:rPr>
                <w:spacing w:val="64"/>
                <w:sz w:val="16"/>
              </w:rPr>
              <w:t> </w:t>
            </w:r>
            <w:r>
              <w:rPr>
                <w:sz w:val="16"/>
              </w:rPr>
              <w:t>al </w:t>
            </w:r>
            <w:r>
              <w:rPr>
                <w:spacing w:val="-2"/>
                <w:sz w:val="16"/>
              </w:rPr>
              <w:t>cumplimiento</w:t>
            </w:r>
            <w:r>
              <w:rPr>
                <w:spacing w:val="80"/>
                <w:sz w:val="16"/>
              </w:rPr>
              <w:t> </w:t>
            </w:r>
            <w:r>
              <w:rPr>
                <w:spacing w:val="-6"/>
                <w:sz w:val="16"/>
              </w:rPr>
              <w:t>de</w:t>
            </w:r>
            <w:r>
              <w:rPr>
                <w:sz w:val="16"/>
              </w:rPr>
              <w:tab/>
            </w:r>
            <w:r>
              <w:rPr>
                <w:spacing w:val="-2"/>
                <w:sz w:val="16"/>
              </w:rPr>
              <w:t>acuerdos </w:t>
            </w:r>
            <w:r>
              <w:rPr>
                <w:sz w:val="16"/>
              </w:rPr>
              <w:t>elaborados</w:t>
            </w:r>
            <w:r>
              <w:rPr>
                <w:spacing w:val="30"/>
                <w:sz w:val="16"/>
              </w:rPr>
              <w:t> </w:t>
            </w:r>
            <w:r>
              <w:rPr>
                <w:sz w:val="16"/>
              </w:rPr>
              <w:t>por la</w:t>
            </w:r>
            <w:r>
              <w:rPr>
                <w:spacing w:val="-2"/>
                <w:sz w:val="16"/>
              </w:rPr>
              <w:t> </w:t>
            </w:r>
            <w:r>
              <w:rPr>
                <w:sz w:val="16"/>
              </w:rPr>
              <w:t>DDS.</w:t>
            </w:r>
          </w:p>
        </w:tc>
        <w:tc>
          <w:tcPr>
            <w:tcW w:w="1278" w:type="dxa"/>
          </w:tcPr>
          <w:p>
            <w:pPr>
              <w:pStyle w:val="TableParagraph"/>
              <w:rPr>
                <w:b/>
                <w:sz w:val="16"/>
              </w:rPr>
            </w:pPr>
          </w:p>
          <w:p>
            <w:pPr>
              <w:pStyle w:val="TableParagraph"/>
              <w:rPr>
                <w:b/>
                <w:sz w:val="16"/>
              </w:rPr>
            </w:pPr>
          </w:p>
          <w:p>
            <w:pPr>
              <w:pStyle w:val="TableParagraph"/>
              <w:spacing w:before="181"/>
              <w:rPr>
                <w:b/>
                <w:sz w:val="16"/>
              </w:rPr>
            </w:pPr>
          </w:p>
          <w:p>
            <w:pPr>
              <w:pStyle w:val="TableParagraph"/>
              <w:ind w:left="21" w:right="12"/>
              <w:jc w:val="center"/>
              <w:rPr>
                <w:sz w:val="16"/>
              </w:rPr>
            </w:pPr>
            <w:r>
              <w:rPr>
                <w:spacing w:val="-10"/>
                <w:sz w:val="16"/>
              </w:rPr>
              <w:t>3</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spacing w:before="181"/>
              <w:rPr>
                <w:b/>
                <w:sz w:val="16"/>
              </w:rPr>
            </w:pPr>
          </w:p>
          <w:p>
            <w:pPr>
              <w:pStyle w:val="TableParagraph"/>
              <w:ind w:right="1"/>
              <w:jc w:val="center"/>
              <w:rPr>
                <w:sz w:val="16"/>
              </w:rPr>
            </w:pPr>
            <w:r>
              <w:rPr>
                <w:spacing w:val="-10"/>
                <w:sz w:val="16"/>
              </w:rPr>
              <w:t>6</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spacing w:before="181"/>
              <w:rPr>
                <w:b/>
                <w:sz w:val="16"/>
              </w:rPr>
            </w:pPr>
          </w:p>
          <w:p>
            <w:pPr>
              <w:pStyle w:val="TableParagraph"/>
              <w:ind w:left="16" w:right="19"/>
              <w:jc w:val="center"/>
              <w:rPr>
                <w:sz w:val="16"/>
              </w:rPr>
            </w:pPr>
            <w:r>
              <w:rPr>
                <w:spacing w:val="-10"/>
                <w:sz w:val="16"/>
              </w:rPr>
              <w:t>9</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181"/>
              <w:rPr>
                <w:b/>
                <w:sz w:val="16"/>
              </w:rPr>
            </w:pPr>
          </w:p>
          <w:p>
            <w:pPr>
              <w:pStyle w:val="TableParagraph"/>
              <w:ind w:left="3" w:right="2"/>
              <w:jc w:val="center"/>
              <w:rPr>
                <w:sz w:val="16"/>
              </w:rPr>
            </w:pPr>
            <w:r>
              <w:rPr>
                <w:spacing w:val="-5"/>
                <w:sz w:val="16"/>
              </w:rPr>
              <w:t>12</w:t>
            </w:r>
          </w:p>
        </w:tc>
        <w:tc>
          <w:tcPr>
            <w:tcW w:w="1494" w:type="dxa"/>
          </w:tcPr>
          <w:p>
            <w:pPr>
              <w:pStyle w:val="TableParagraph"/>
              <w:rPr>
                <w:rFonts w:ascii="Times New Roman"/>
                <w:sz w:val="16"/>
              </w:rPr>
            </w:pPr>
          </w:p>
        </w:tc>
      </w:tr>
      <w:tr>
        <w:trPr>
          <w:trHeight w:val="2025"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1.55.3:</w:t>
            </w:r>
          </w:p>
          <w:p>
            <w:pPr>
              <w:pStyle w:val="TableParagraph"/>
              <w:ind w:left="72" w:right="103"/>
              <w:rPr>
                <w:sz w:val="16"/>
              </w:rPr>
            </w:pPr>
            <w:r>
              <w:rPr>
                <w:sz w:val="16"/>
              </w:rPr>
              <w:t>Seguimiento y análisis para la justificación</w:t>
            </w:r>
            <w:r>
              <w:rPr>
                <w:spacing w:val="-12"/>
                <w:sz w:val="16"/>
              </w:rPr>
              <w:t> </w:t>
            </w:r>
            <w:r>
              <w:rPr>
                <w:sz w:val="16"/>
              </w:rPr>
              <w:t>sobre</w:t>
            </w:r>
            <w:r>
              <w:rPr>
                <w:spacing w:val="-11"/>
                <w:sz w:val="16"/>
              </w:rPr>
              <w:t> </w:t>
            </w:r>
            <w:r>
              <w:rPr>
                <w:sz w:val="16"/>
              </w:rPr>
              <w:t>la ejecución</w:t>
            </w:r>
            <w:r>
              <w:rPr>
                <w:spacing w:val="-2"/>
                <w:sz w:val="16"/>
              </w:rPr>
              <w:t> </w:t>
            </w:r>
            <w:r>
              <w:rPr>
                <w:sz w:val="16"/>
              </w:rPr>
              <w:t>según </w:t>
            </w:r>
            <w:r>
              <w:rPr>
                <w:spacing w:val="-2"/>
                <w:sz w:val="16"/>
              </w:rPr>
              <w:t>partidas </w:t>
            </w:r>
            <w:r>
              <w:rPr>
                <w:sz w:val="16"/>
              </w:rPr>
              <w:t>presupuestarias del PPPS, mediante la generación de</w:t>
            </w:r>
          </w:p>
          <w:p>
            <w:pPr>
              <w:pStyle w:val="TableParagraph"/>
              <w:spacing w:line="166" w:lineRule="exact"/>
              <w:ind w:left="72"/>
              <w:rPr>
                <w:sz w:val="16"/>
              </w:rPr>
            </w:pPr>
            <w:r>
              <w:rPr>
                <w:spacing w:val="-2"/>
                <w:sz w:val="16"/>
              </w:rPr>
              <w:t>informes.</w:t>
            </w:r>
          </w:p>
        </w:tc>
        <w:tc>
          <w:tcPr>
            <w:tcW w:w="1278" w:type="dxa"/>
          </w:tcPr>
          <w:p>
            <w:pPr>
              <w:pStyle w:val="TableParagraph"/>
              <w:rPr>
                <w:b/>
                <w:sz w:val="16"/>
              </w:rPr>
            </w:pPr>
          </w:p>
          <w:p>
            <w:pPr>
              <w:pStyle w:val="TableParagraph"/>
              <w:spacing w:before="91"/>
              <w:rPr>
                <w:b/>
                <w:sz w:val="16"/>
              </w:rPr>
            </w:pPr>
          </w:p>
          <w:p>
            <w:pPr>
              <w:pStyle w:val="TableParagraph"/>
              <w:ind w:left="72"/>
              <w:rPr>
                <w:sz w:val="16"/>
              </w:rPr>
            </w:pPr>
            <w:r>
              <w:rPr>
                <w:sz w:val="16"/>
              </w:rPr>
              <w:t>Cantidad de informes de seguimiento</w:t>
            </w:r>
            <w:r>
              <w:rPr>
                <w:spacing w:val="-2"/>
                <w:sz w:val="16"/>
              </w:rPr>
              <w:t> </w:t>
            </w:r>
            <w:r>
              <w:rPr>
                <w:sz w:val="16"/>
              </w:rPr>
              <w:t>y </w:t>
            </w:r>
            <w:r>
              <w:rPr>
                <w:spacing w:val="-2"/>
                <w:sz w:val="16"/>
              </w:rPr>
              <w:t>ejecución </w:t>
            </w:r>
            <w:r>
              <w:rPr>
                <w:sz w:val="16"/>
              </w:rPr>
              <w:t>emitidos</w:t>
            </w:r>
            <w:r>
              <w:rPr>
                <w:spacing w:val="-12"/>
                <w:sz w:val="16"/>
              </w:rPr>
              <w:t> </w:t>
            </w:r>
            <w:r>
              <w:rPr>
                <w:sz w:val="16"/>
              </w:rPr>
              <w:t>por</w:t>
            </w:r>
            <w:r>
              <w:rPr>
                <w:spacing w:val="-11"/>
                <w:sz w:val="16"/>
              </w:rPr>
              <w:t> </w:t>
            </w:r>
            <w:r>
              <w:rPr>
                <w:sz w:val="16"/>
              </w:rPr>
              <w:t>la </w:t>
            </w:r>
            <w:r>
              <w:rPr>
                <w:spacing w:val="-4"/>
                <w:sz w:val="16"/>
              </w:rPr>
              <w:t>DDS.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21" w:right="12"/>
              <w:jc w:val="center"/>
              <w:rPr>
                <w:sz w:val="16"/>
              </w:rPr>
            </w:pPr>
            <w:r>
              <w:rPr>
                <w:spacing w:val="-10"/>
                <w:sz w:val="16"/>
              </w:rPr>
              <w:t>1</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right="1"/>
              <w:jc w:val="center"/>
              <w:rPr>
                <w:sz w:val="16"/>
              </w:rPr>
            </w:pPr>
            <w:r>
              <w:rPr>
                <w:spacing w:val="-10"/>
                <w:sz w:val="16"/>
              </w:rPr>
              <w:t>1</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16" w:right="19"/>
              <w:jc w:val="center"/>
              <w:rPr>
                <w:sz w:val="16"/>
              </w:rPr>
            </w:pPr>
            <w:r>
              <w:rPr>
                <w:spacing w:val="-10"/>
                <w:sz w:val="16"/>
              </w:rPr>
              <w:t>2</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4" w:right="1"/>
              <w:jc w:val="center"/>
              <w:rPr>
                <w:sz w:val="16"/>
              </w:rPr>
            </w:pPr>
            <w:r>
              <w:rPr>
                <w:spacing w:val="-10"/>
                <w:sz w:val="16"/>
              </w:rPr>
              <w:t>2</w:t>
            </w:r>
          </w:p>
        </w:tc>
        <w:tc>
          <w:tcPr>
            <w:tcW w:w="1494" w:type="dxa"/>
          </w:tcPr>
          <w:p>
            <w:pPr>
              <w:pStyle w:val="TableParagraph"/>
              <w:rPr>
                <w:rFonts w:ascii="Times New Roman"/>
                <w:sz w:val="16"/>
              </w:rPr>
            </w:pPr>
          </w:p>
        </w:tc>
      </w:tr>
      <w:tr>
        <w:trPr>
          <w:trHeight w:val="1838"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1.55.4:</w:t>
            </w:r>
          </w:p>
          <w:p>
            <w:pPr>
              <w:pStyle w:val="TableParagraph"/>
              <w:ind w:left="72"/>
              <w:rPr>
                <w:sz w:val="16"/>
              </w:rPr>
            </w:pPr>
            <w:r>
              <w:rPr>
                <w:sz w:val="16"/>
              </w:rPr>
              <w:t>Seguimiento a las </w:t>
            </w:r>
            <w:r>
              <w:rPr>
                <w:spacing w:val="-2"/>
                <w:sz w:val="16"/>
              </w:rPr>
              <w:t>recomendaciones</w:t>
            </w:r>
            <w:r>
              <w:rPr>
                <w:spacing w:val="-10"/>
                <w:sz w:val="16"/>
              </w:rPr>
              <w:t> </w:t>
            </w:r>
            <w:r>
              <w:rPr>
                <w:spacing w:val="-2"/>
                <w:sz w:val="16"/>
              </w:rPr>
              <w:t>y </w:t>
            </w:r>
            <w:r>
              <w:rPr>
                <w:sz w:val="16"/>
              </w:rPr>
              <w:t>planes de trabajo vinculados a advertencias y </w:t>
            </w:r>
            <w:r>
              <w:rPr>
                <w:spacing w:val="-2"/>
                <w:sz w:val="16"/>
              </w:rPr>
              <w:t>recomendaciones </w:t>
            </w:r>
            <w:r>
              <w:rPr>
                <w:sz w:val="16"/>
              </w:rPr>
              <w:t>emitidas por</w:t>
            </w:r>
          </w:p>
          <w:p>
            <w:pPr>
              <w:pStyle w:val="TableParagraph"/>
              <w:spacing w:line="163" w:lineRule="exact"/>
              <w:ind w:left="72"/>
              <w:rPr>
                <w:sz w:val="16"/>
              </w:rPr>
            </w:pPr>
            <w:r>
              <w:rPr>
                <w:sz w:val="16"/>
              </w:rPr>
              <w:t>instancias</w:t>
            </w:r>
            <w:r>
              <w:rPr>
                <w:spacing w:val="-8"/>
                <w:sz w:val="16"/>
              </w:rPr>
              <w:t> </w:t>
            </w:r>
            <w:r>
              <w:rPr>
                <w:spacing w:val="-2"/>
                <w:sz w:val="16"/>
              </w:rPr>
              <w:t>externas.</w:t>
            </w:r>
          </w:p>
        </w:tc>
        <w:tc>
          <w:tcPr>
            <w:tcW w:w="1278" w:type="dxa"/>
          </w:tcPr>
          <w:p>
            <w:pPr>
              <w:pStyle w:val="TableParagraph"/>
              <w:rPr>
                <w:b/>
                <w:sz w:val="16"/>
              </w:rPr>
            </w:pPr>
          </w:p>
          <w:p>
            <w:pPr>
              <w:pStyle w:val="TableParagraph"/>
              <w:spacing w:before="91"/>
              <w:rPr>
                <w:b/>
                <w:sz w:val="16"/>
              </w:rPr>
            </w:pPr>
          </w:p>
          <w:p>
            <w:pPr>
              <w:pStyle w:val="TableParagraph"/>
              <w:spacing w:before="1"/>
              <w:ind w:left="72" w:right="103"/>
              <w:rPr>
                <w:sz w:val="16"/>
              </w:rPr>
            </w:pPr>
            <w:r>
              <w:rPr>
                <w:sz w:val="16"/>
              </w:rPr>
              <w:t>Cantidad de informes de </w:t>
            </w:r>
            <w:r>
              <w:rPr>
                <w:spacing w:val="-2"/>
                <w:sz w:val="16"/>
              </w:rPr>
              <w:t>seguimiento elaborados</w:t>
            </w:r>
            <w:r>
              <w:rPr>
                <w:spacing w:val="-10"/>
                <w:sz w:val="16"/>
              </w:rPr>
              <w:t> </w:t>
            </w:r>
            <w:r>
              <w:rPr>
                <w:spacing w:val="-2"/>
                <w:sz w:val="16"/>
              </w:rPr>
              <w:t>por </w:t>
            </w:r>
            <w:r>
              <w:rPr>
                <w:sz w:val="16"/>
              </w:rPr>
              <w:t>la</w:t>
            </w:r>
            <w:r>
              <w:rPr>
                <w:spacing w:val="-2"/>
                <w:sz w:val="16"/>
              </w:rPr>
              <w:t> </w:t>
            </w:r>
            <w:r>
              <w:rPr>
                <w:sz w:val="16"/>
              </w:rPr>
              <w:t>DDS.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21" w:right="12"/>
              <w:jc w:val="center"/>
              <w:rPr>
                <w:sz w:val="16"/>
              </w:rPr>
            </w:pPr>
            <w:r>
              <w:rPr>
                <w:spacing w:val="-10"/>
                <w:sz w:val="16"/>
              </w:rPr>
              <w:t>1</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right="1"/>
              <w:jc w:val="center"/>
              <w:rPr>
                <w:sz w:val="16"/>
              </w:rPr>
            </w:pPr>
            <w:r>
              <w:rPr>
                <w:spacing w:val="-10"/>
                <w:sz w:val="16"/>
              </w:rPr>
              <w:t>2</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16" w:right="19"/>
              <w:jc w:val="center"/>
              <w:rPr>
                <w:sz w:val="16"/>
              </w:rPr>
            </w:pPr>
            <w:r>
              <w:rPr>
                <w:spacing w:val="-10"/>
                <w:sz w:val="16"/>
              </w:rPr>
              <w:t>3</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4" w:right="1"/>
              <w:jc w:val="center"/>
              <w:rPr>
                <w:sz w:val="16"/>
              </w:rPr>
            </w:pPr>
            <w:r>
              <w:rPr>
                <w:spacing w:val="-10"/>
                <w:sz w:val="16"/>
              </w:rPr>
              <w:t>4</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592"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1656"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1.55.5:</w:t>
            </w:r>
          </w:p>
          <w:p>
            <w:pPr>
              <w:pStyle w:val="TableParagraph"/>
              <w:ind w:left="72"/>
              <w:rPr>
                <w:sz w:val="16"/>
              </w:rPr>
            </w:pPr>
            <w:r>
              <w:rPr>
                <w:sz w:val="16"/>
              </w:rPr>
              <w:t>Seguimiento al cumplimiento de compromisos de la DDS</w:t>
            </w:r>
            <w:r>
              <w:rPr>
                <w:spacing w:val="-12"/>
                <w:sz w:val="16"/>
              </w:rPr>
              <w:t> </w:t>
            </w:r>
            <w:r>
              <w:rPr>
                <w:sz w:val="16"/>
              </w:rPr>
              <w:t>en</w:t>
            </w:r>
            <w:r>
              <w:rPr>
                <w:spacing w:val="-11"/>
                <w:sz w:val="16"/>
              </w:rPr>
              <w:t> </w:t>
            </w:r>
            <w:r>
              <w:rPr>
                <w:sz w:val="16"/>
              </w:rPr>
              <w:t>instrumentos de planificación en materia</w:t>
            </w:r>
            <w:r>
              <w:rPr>
                <w:spacing w:val="-12"/>
                <w:sz w:val="16"/>
              </w:rPr>
              <w:t> </w:t>
            </w:r>
            <w:r>
              <w:rPr>
                <w:sz w:val="16"/>
              </w:rPr>
              <w:t>de</w:t>
            </w:r>
            <w:r>
              <w:rPr>
                <w:spacing w:val="-11"/>
                <w:sz w:val="16"/>
              </w:rPr>
              <w:t> </w:t>
            </w:r>
            <w:r>
              <w:rPr>
                <w:sz w:val="16"/>
              </w:rPr>
              <w:t>igualdad</w:t>
            </w:r>
            <w:r>
              <w:rPr>
                <w:spacing w:val="-11"/>
                <w:sz w:val="16"/>
              </w:rPr>
              <w:t> </w:t>
            </w:r>
            <w:r>
              <w:rPr>
                <w:sz w:val="16"/>
              </w:rPr>
              <w:t>y</w:t>
            </w:r>
          </w:p>
          <w:p>
            <w:pPr>
              <w:pStyle w:val="TableParagraph"/>
              <w:spacing w:line="163" w:lineRule="exact"/>
              <w:ind w:left="72"/>
              <w:rPr>
                <w:sz w:val="16"/>
              </w:rPr>
            </w:pPr>
            <w:r>
              <w:rPr>
                <w:sz w:val="16"/>
              </w:rPr>
              <w:t>equidad</w:t>
            </w:r>
            <w:r>
              <w:rPr>
                <w:spacing w:val="-6"/>
                <w:sz w:val="16"/>
              </w:rPr>
              <w:t> </w:t>
            </w:r>
            <w:r>
              <w:rPr>
                <w:sz w:val="16"/>
              </w:rPr>
              <w:t>de</w:t>
            </w:r>
            <w:r>
              <w:rPr>
                <w:spacing w:val="-2"/>
                <w:sz w:val="16"/>
              </w:rPr>
              <w:t> género.</w:t>
            </w:r>
          </w:p>
        </w:tc>
        <w:tc>
          <w:tcPr>
            <w:tcW w:w="1278" w:type="dxa"/>
          </w:tcPr>
          <w:p>
            <w:pPr>
              <w:pStyle w:val="TableParagraph"/>
              <w:rPr>
                <w:b/>
                <w:sz w:val="16"/>
              </w:rPr>
            </w:pPr>
          </w:p>
          <w:p>
            <w:pPr>
              <w:pStyle w:val="TableParagraph"/>
              <w:rPr>
                <w:b/>
                <w:sz w:val="16"/>
              </w:rPr>
            </w:pPr>
          </w:p>
          <w:p>
            <w:pPr>
              <w:pStyle w:val="TableParagraph"/>
              <w:ind w:left="72" w:right="103"/>
              <w:rPr>
                <w:sz w:val="16"/>
              </w:rPr>
            </w:pPr>
            <w:r>
              <w:rPr>
                <w:sz w:val="16"/>
              </w:rPr>
              <w:t>Cantidad de informes de </w:t>
            </w:r>
            <w:r>
              <w:rPr>
                <w:spacing w:val="-2"/>
                <w:sz w:val="16"/>
              </w:rPr>
              <w:t>seguimiento elaborados</w:t>
            </w:r>
            <w:r>
              <w:rPr>
                <w:spacing w:val="-10"/>
                <w:sz w:val="16"/>
              </w:rPr>
              <w:t> </w:t>
            </w:r>
            <w:r>
              <w:rPr>
                <w:spacing w:val="-2"/>
                <w:sz w:val="16"/>
              </w:rPr>
              <w:t>por </w:t>
            </w:r>
            <w:r>
              <w:rPr>
                <w:sz w:val="16"/>
              </w:rPr>
              <w:t>la</w:t>
            </w:r>
            <w:r>
              <w:rPr>
                <w:spacing w:val="-2"/>
                <w:sz w:val="16"/>
              </w:rPr>
              <w:t> </w:t>
            </w:r>
            <w:r>
              <w:rPr>
                <w:sz w:val="16"/>
              </w:rPr>
              <w:t>DDS.</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21" w:right="12"/>
              <w:jc w:val="center"/>
              <w:rPr>
                <w:sz w:val="16"/>
              </w:rPr>
            </w:pPr>
            <w:r>
              <w:rPr>
                <w:spacing w:val="-10"/>
                <w:sz w:val="16"/>
              </w:rPr>
              <w:t>1</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right="1"/>
              <w:jc w:val="center"/>
              <w:rPr>
                <w:sz w:val="16"/>
              </w:rPr>
            </w:pPr>
            <w:r>
              <w:rPr>
                <w:spacing w:val="-10"/>
                <w:sz w:val="16"/>
              </w:rPr>
              <w:t>1</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16" w:right="19"/>
              <w:jc w:val="center"/>
              <w:rPr>
                <w:sz w:val="16"/>
              </w:rPr>
            </w:pPr>
            <w:r>
              <w:rPr>
                <w:spacing w:val="-10"/>
                <w:sz w:val="16"/>
              </w:rPr>
              <w:t>1</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2"/>
              <w:rPr>
                <w:b/>
                <w:sz w:val="16"/>
              </w:rPr>
            </w:pPr>
          </w:p>
          <w:p>
            <w:pPr>
              <w:pStyle w:val="TableParagraph"/>
              <w:ind w:left="4" w:right="1"/>
              <w:jc w:val="center"/>
              <w:rPr>
                <w:sz w:val="16"/>
              </w:rPr>
            </w:pPr>
            <w:r>
              <w:rPr>
                <w:spacing w:val="-10"/>
                <w:sz w:val="16"/>
              </w:rPr>
              <w:t>1</w:t>
            </w:r>
          </w:p>
        </w:tc>
        <w:tc>
          <w:tcPr>
            <w:tcW w:w="1494" w:type="dxa"/>
          </w:tcPr>
          <w:p>
            <w:pPr>
              <w:pStyle w:val="TableParagraph"/>
              <w:rPr>
                <w:rFonts w:ascii="Times New Roman"/>
                <w:sz w:val="16"/>
              </w:rPr>
            </w:pPr>
          </w:p>
        </w:tc>
      </w:tr>
      <w:tr>
        <w:trPr>
          <w:trHeight w:val="2025" w:hRule="atLeast"/>
        </w:trPr>
        <w:tc>
          <w:tcPr>
            <w:tcW w:w="1695" w:type="dxa"/>
          </w:tcPr>
          <w:p>
            <w:pPr>
              <w:pStyle w:val="TableParagraph"/>
              <w:spacing w:before="3"/>
              <w:ind w:left="72"/>
              <w:rPr>
                <w:b/>
                <w:sz w:val="16"/>
              </w:rPr>
            </w:pPr>
            <w:r>
              <w:rPr>
                <w:b/>
                <w:spacing w:val="-2"/>
                <w:sz w:val="16"/>
              </w:rPr>
              <w:t>Actividad</w:t>
            </w:r>
            <w:r>
              <w:rPr>
                <w:b/>
                <w:spacing w:val="-10"/>
                <w:sz w:val="16"/>
              </w:rPr>
              <w:t> </w:t>
            </w:r>
            <w:r>
              <w:rPr>
                <w:b/>
                <w:spacing w:val="-2"/>
                <w:sz w:val="16"/>
              </w:rPr>
              <w:t>PPPS 1.55.6:</w:t>
            </w:r>
          </w:p>
          <w:p>
            <w:pPr>
              <w:pStyle w:val="TableParagraph"/>
              <w:ind w:left="72" w:right="103"/>
              <w:rPr>
                <w:sz w:val="16"/>
              </w:rPr>
            </w:pPr>
            <w:r>
              <w:rPr>
                <w:sz w:val="16"/>
              </w:rPr>
              <w:t>Seguimiento al cumplimiento de</w:t>
            </w:r>
            <w:r>
              <w:rPr>
                <w:spacing w:val="-3"/>
                <w:sz w:val="16"/>
              </w:rPr>
              <w:t> </w:t>
            </w:r>
            <w:r>
              <w:rPr>
                <w:sz w:val="16"/>
              </w:rPr>
              <w:t>las </w:t>
            </w:r>
            <w:r>
              <w:rPr>
                <w:spacing w:val="-2"/>
                <w:sz w:val="16"/>
              </w:rPr>
              <w:t>acciones</w:t>
            </w:r>
            <w:r>
              <w:rPr>
                <w:spacing w:val="-10"/>
                <w:sz w:val="16"/>
              </w:rPr>
              <w:t> </w:t>
            </w:r>
            <w:r>
              <w:rPr>
                <w:spacing w:val="-2"/>
                <w:sz w:val="16"/>
              </w:rPr>
              <w:t>planteadas </w:t>
            </w:r>
            <w:r>
              <w:rPr>
                <w:sz w:val="16"/>
              </w:rPr>
              <w:t>en la Estrategia Nacional</w:t>
            </w:r>
            <w:r>
              <w:rPr>
                <w:spacing w:val="-2"/>
                <w:sz w:val="16"/>
              </w:rPr>
              <w:t> </w:t>
            </w:r>
            <w:r>
              <w:rPr>
                <w:sz w:val="16"/>
              </w:rPr>
              <w:t>de Empleabilidad y Talento Humano de</w:t>
            </w:r>
          </w:p>
          <w:p>
            <w:pPr>
              <w:pStyle w:val="TableParagraph"/>
              <w:spacing w:line="182" w:lineRule="exact"/>
              <w:ind w:left="72" w:right="555"/>
              <w:rPr>
                <w:sz w:val="16"/>
              </w:rPr>
            </w:pPr>
            <w:r>
              <w:rPr>
                <w:sz w:val="16"/>
              </w:rPr>
              <w:t>CR</w:t>
            </w:r>
            <w:r>
              <w:rPr>
                <w:spacing w:val="-12"/>
                <w:sz w:val="16"/>
              </w:rPr>
              <w:t> </w:t>
            </w:r>
            <w:r>
              <w:rPr>
                <w:sz w:val="16"/>
              </w:rPr>
              <w:t>(Estrategia </w:t>
            </w:r>
            <w:r>
              <w:rPr>
                <w:spacing w:val="-2"/>
                <w:sz w:val="16"/>
              </w:rPr>
              <w:t>Brete).</w:t>
            </w:r>
          </w:p>
        </w:tc>
        <w:tc>
          <w:tcPr>
            <w:tcW w:w="1278" w:type="dxa"/>
          </w:tcPr>
          <w:p>
            <w:pPr>
              <w:pStyle w:val="TableParagraph"/>
              <w:spacing w:before="94"/>
              <w:ind w:left="72" w:right="69"/>
              <w:rPr>
                <w:sz w:val="16"/>
              </w:rPr>
            </w:pPr>
            <w:r>
              <w:rPr>
                <w:sz w:val="16"/>
              </w:rPr>
              <w:t>Cantidad de informes de seguimiento a</w:t>
            </w:r>
            <w:r>
              <w:rPr>
                <w:spacing w:val="40"/>
                <w:sz w:val="16"/>
              </w:rPr>
              <w:t> </w:t>
            </w:r>
            <w:r>
              <w:rPr>
                <w:sz w:val="16"/>
              </w:rPr>
              <w:t>la</w:t>
            </w:r>
            <w:r>
              <w:rPr>
                <w:spacing w:val="-2"/>
                <w:sz w:val="16"/>
              </w:rPr>
              <w:t> </w:t>
            </w:r>
            <w:r>
              <w:rPr>
                <w:sz w:val="16"/>
              </w:rPr>
              <w:t>Estrategia Nacional</w:t>
            </w:r>
            <w:r>
              <w:rPr>
                <w:spacing w:val="-2"/>
                <w:sz w:val="16"/>
              </w:rPr>
              <w:t> </w:t>
            </w:r>
            <w:r>
              <w:rPr>
                <w:sz w:val="16"/>
              </w:rPr>
              <w:t>de </w:t>
            </w:r>
            <w:r>
              <w:rPr>
                <w:spacing w:val="-2"/>
                <w:sz w:val="16"/>
              </w:rPr>
              <w:t>Empleabilidad</w:t>
            </w:r>
            <w:r>
              <w:rPr>
                <w:spacing w:val="-10"/>
                <w:sz w:val="16"/>
              </w:rPr>
              <w:t> </w:t>
            </w:r>
            <w:r>
              <w:rPr>
                <w:spacing w:val="-2"/>
                <w:sz w:val="16"/>
              </w:rPr>
              <w:t>y Talento</w:t>
            </w:r>
            <w:r>
              <w:rPr>
                <w:sz w:val="16"/>
              </w:rPr>
              <w:t> Humano</w:t>
            </w:r>
            <w:r>
              <w:rPr>
                <w:spacing w:val="-8"/>
                <w:sz w:val="16"/>
              </w:rPr>
              <w:t> </w:t>
            </w:r>
            <w:r>
              <w:rPr>
                <w:sz w:val="16"/>
              </w:rPr>
              <w:t>de</w:t>
            </w:r>
            <w:r>
              <w:rPr>
                <w:spacing w:val="-8"/>
                <w:sz w:val="16"/>
              </w:rPr>
              <w:t> </w:t>
            </w:r>
            <w:r>
              <w:rPr>
                <w:sz w:val="16"/>
              </w:rPr>
              <w:t>CR </w:t>
            </w:r>
            <w:r>
              <w:rPr>
                <w:spacing w:val="-2"/>
                <w:sz w:val="16"/>
              </w:rPr>
              <w:t>(Estrategia Brete).</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right="1"/>
              <w:jc w:val="center"/>
              <w:rPr>
                <w:sz w:val="16"/>
              </w:rPr>
            </w:pPr>
            <w:r>
              <w:rPr>
                <w:spacing w:val="-10"/>
                <w:sz w:val="16"/>
              </w:rPr>
              <w:t>1</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16" w:right="19"/>
              <w:jc w:val="center"/>
              <w:rPr>
                <w:sz w:val="16"/>
              </w:rPr>
            </w:pPr>
            <w:r>
              <w:rPr>
                <w:spacing w:val="-10"/>
                <w:sz w:val="16"/>
              </w:rPr>
              <w:t>1</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4" w:right="1"/>
              <w:jc w:val="center"/>
              <w:rPr>
                <w:sz w:val="16"/>
              </w:rPr>
            </w:pPr>
            <w:r>
              <w:rPr>
                <w:spacing w:val="-10"/>
                <w:sz w:val="16"/>
              </w:rPr>
              <w:t>2</w:t>
            </w:r>
          </w:p>
        </w:tc>
        <w:tc>
          <w:tcPr>
            <w:tcW w:w="1494" w:type="dxa"/>
          </w:tcPr>
          <w:p>
            <w:pPr>
              <w:pStyle w:val="TableParagraph"/>
              <w:rPr>
                <w:rFonts w:ascii="Times New Roman"/>
                <w:sz w:val="16"/>
              </w:rPr>
            </w:pPr>
          </w:p>
        </w:tc>
      </w:tr>
      <w:tr>
        <w:trPr>
          <w:trHeight w:val="1473"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1.55.7:</w:t>
            </w:r>
          </w:p>
          <w:p>
            <w:pPr>
              <w:pStyle w:val="TableParagraph"/>
              <w:ind w:left="72" w:right="103"/>
              <w:rPr>
                <w:sz w:val="16"/>
              </w:rPr>
            </w:pPr>
            <w:r>
              <w:rPr>
                <w:sz w:val="16"/>
              </w:rPr>
              <w:t>Seguimiento a la </w:t>
            </w:r>
            <w:r>
              <w:rPr>
                <w:spacing w:val="-2"/>
                <w:sz w:val="16"/>
              </w:rPr>
              <w:t>implementación</w:t>
            </w:r>
            <w:r>
              <w:rPr>
                <w:spacing w:val="-10"/>
                <w:sz w:val="16"/>
              </w:rPr>
              <w:t> </w:t>
            </w:r>
            <w:r>
              <w:rPr>
                <w:spacing w:val="-2"/>
                <w:sz w:val="16"/>
              </w:rPr>
              <w:t>del </w:t>
            </w:r>
            <w:r>
              <w:rPr>
                <w:sz w:val="16"/>
              </w:rPr>
              <w:t>Modelo de </w:t>
            </w:r>
            <w:r>
              <w:rPr>
                <w:spacing w:val="-2"/>
                <w:sz w:val="16"/>
              </w:rPr>
              <w:t>Intervención </w:t>
            </w:r>
            <w:r>
              <w:rPr>
                <w:sz w:val="16"/>
              </w:rPr>
              <w:t>Institucional IMAS</w:t>
            </w:r>
          </w:p>
          <w:p>
            <w:pPr>
              <w:pStyle w:val="TableParagraph"/>
              <w:spacing w:line="163" w:lineRule="exact"/>
              <w:ind w:left="72"/>
              <w:rPr>
                <w:sz w:val="16"/>
              </w:rPr>
            </w:pPr>
            <w:r>
              <w:rPr>
                <w:spacing w:val="-2"/>
                <w:sz w:val="16"/>
              </w:rPr>
              <w:t>Impulsa</w:t>
            </w:r>
          </w:p>
        </w:tc>
        <w:tc>
          <w:tcPr>
            <w:tcW w:w="1278" w:type="dxa"/>
          </w:tcPr>
          <w:p>
            <w:pPr>
              <w:pStyle w:val="TableParagraph"/>
              <w:ind w:left="72" w:right="142"/>
              <w:rPr>
                <w:sz w:val="16"/>
              </w:rPr>
            </w:pPr>
            <w:r>
              <w:rPr>
                <w:sz w:val="16"/>
              </w:rPr>
              <w:t>Cantidad de Informes de ejecución</w:t>
            </w:r>
            <w:r>
              <w:rPr>
                <w:spacing w:val="-2"/>
                <w:sz w:val="16"/>
              </w:rPr>
              <w:t> </w:t>
            </w:r>
            <w:r>
              <w:rPr>
                <w:sz w:val="16"/>
              </w:rPr>
              <w:t>y </w:t>
            </w:r>
            <w:r>
              <w:rPr>
                <w:spacing w:val="-2"/>
                <w:sz w:val="16"/>
              </w:rPr>
              <w:t>evaluación</w:t>
            </w:r>
            <w:r>
              <w:rPr>
                <w:spacing w:val="-10"/>
                <w:sz w:val="16"/>
              </w:rPr>
              <w:t> </w:t>
            </w:r>
            <w:r>
              <w:rPr>
                <w:spacing w:val="-2"/>
                <w:sz w:val="16"/>
              </w:rPr>
              <w:t>del </w:t>
            </w:r>
            <w:r>
              <w:rPr>
                <w:sz w:val="16"/>
              </w:rPr>
              <w:t>Modelo de </w:t>
            </w:r>
            <w:r>
              <w:rPr>
                <w:spacing w:val="-2"/>
                <w:sz w:val="16"/>
              </w:rPr>
              <w:t>Intervención Institucional</w:t>
            </w:r>
          </w:p>
          <w:p>
            <w:pPr>
              <w:pStyle w:val="TableParagraph"/>
              <w:spacing w:line="163" w:lineRule="exact" w:before="2"/>
              <w:ind w:left="72"/>
              <w:rPr>
                <w:sz w:val="16"/>
              </w:rPr>
            </w:pPr>
            <w:r>
              <w:rPr>
                <w:sz w:val="16"/>
              </w:rPr>
              <w:t>IMAS</w:t>
            </w:r>
            <w:r>
              <w:rPr>
                <w:spacing w:val="-5"/>
                <w:sz w:val="16"/>
              </w:rPr>
              <w:t> </w:t>
            </w:r>
            <w:r>
              <w:rPr>
                <w:spacing w:val="-2"/>
                <w:sz w:val="16"/>
              </w:rPr>
              <w:t>Impulsa</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spacing w:before="90"/>
              <w:rPr>
                <w:b/>
                <w:sz w:val="16"/>
              </w:rPr>
            </w:pPr>
          </w:p>
          <w:p>
            <w:pPr>
              <w:pStyle w:val="TableParagraph"/>
              <w:ind w:right="1"/>
              <w:jc w:val="center"/>
              <w:rPr>
                <w:sz w:val="16"/>
              </w:rPr>
            </w:pPr>
            <w:r>
              <w:rPr>
                <w:spacing w:val="-10"/>
                <w:sz w:val="16"/>
              </w:rPr>
              <w:t>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16" w:right="19"/>
              <w:jc w:val="center"/>
              <w:rPr>
                <w:sz w:val="16"/>
              </w:rPr>
            </w:pPr>
            <w:r>
              <w:rPr>
                <w:spacing w:val="-10"/>
                <w:sz w:val="16"/>
              </w:rPr>
              <w:t>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4" w:right="1"/>
              <w:jc w:val="center"/>
              <w:rPr>
                <w:sz w:val="16"/>
              </w:rPr>
            </w:pPr>
            <w:r>
              <w:rPr>
                <w:spacing w:val="-10"/>
                <w:sz w:val="16"/>
              </w:rPr>
              <w:t>1</w:t>
            </w:r>
          </w:p>
        </w:tc>
        <w:tc>
          <w:tcPr>
            <w:tcW w:w="1494" w:type="dxa"/>
          </w:tcPr>
          <w:p>
            <w:pPr>
              <w:pStyle w:val="TableParagraph"/>
              <w:rPr>
                <w:rFonts w:ascii="Times New Roman"/>
                <w:sz w:val="16"/>
              </w:rPr>
            </w:pPr>
          </w:p>
        </w:tc>
      </w:tr>
      <w:tr>
        <w:trPr>
          <w:trHeight w:val="613" w:hRule="atLeast"/>
        </w:trPr>
        <w:tc>
          <w:tcPr>
            <w:tcW w:w="14323" w:type="dxa"/>
            <w:gridSpan w:val="10"/>
            <w:shd w:val="clear" w:color="auto" w:fill="EFF8F9"/>
          </w:tcPr>
          <w:p>
            <w:pPr>
              <w:pStyle w:val="TableParagraph"/>
              <w:spacing w:before="30"/>
              <w:rPr>
                <w:b/>
                <w:sz w:val="16"/>
              </w:rPr>
            </w:pPr>
          </w:p>
          <w:p>
            <w:pPr>
              <w:pStyle w:val="TableParagraph"/>
              <w:ind w:left="72"/>
              <w:rPr>
                <w:b/>
                <w:sz w:val="16"/>
              </w:rPr>
            </w:pPr>
            <w:r>
              <w:rPr>
                <w:b/>
                <w:sz w:val="16"/>
              </w:rPr>
              <w:t>Producto</w:t>
            </w:r>
            <w:r>
              <w:rPr>
                <w:b/>
                <w:spacing w:val="-4"/>
                <w:sz w:val="16"/>
              </w:rPr>
              <w:t> </w:t>
            </w:r>
            <w:r>
              <w:rPr>
                <w:b/>
                <w:sz w:val="16"/>
              </w:rPr>
              <w:t>PPPS</w:t>
            </w:r>
            <w:r>
              <w:rPr>
                <w:b/>
                <w:spacing w:val="-2"/>
                <w:sz w:val="16"/>
              </w:rPr>
              <w:t> </w:t>
            </w:r>
            <w:r>
              <w:rPr>
                <w:b/>
                <w:sz w:val="16"/>
              </w:rPr>
              <w:t>1.56:</w:t>
            </w:r>
            <w:r>
              <w:rPr>
                <w:b/>
                <w:spacing w:val="-7"/>
                <w:sz w:val="16"/>
              </w:rPr>
              <w:t> </w:t>
            </w:r>
            <w:r>
              <w:rPr>
                <w:b/>
                <w:sz w:val="16"/>
              </w:rPr>
              <w:t>Asesoría,</w:t>
            </w:r>
            <w:r>
              <w:rPr>
                <w:b/>
                <w:spacing w:val="-3"/>
                <w:sz w:val="16"/>
              </w:rPr>
              <w:t> </w:t>
            </w:r>
            <w:r>
              <w:rPr>
                <w:b/>
                <w:sz w:val="16"/>
              </w:rPr>
              <w:t>dirección</w:t>
            </w:r>
            <w:r>
              <w:rPr>
                <w:b/>
                <w:spacing w:val="-3"/>
                <w:sz w:val="16"/>
              </w:rPr>
              <w:t> </w:t>
            </w:r>
            <w:r>
              <w:rPr>
                <w:b/>
                <w:sz w:val="16"/>
              </w:rPr>
              <w:t>técnica,</w:t>
            </w:r>
            <w:r>
              <w:rPr>
                <w:b/>
                <w:spacing w:val="-3"/>
                <w:sz w:val="16"/>
              </w:rPr>
              <w:t> </w:t>
            </w:r>
            <w:r>
              <w:rPr>
                <w:b/>
                <w:sz w:val="16"/>
              </w:rPr>
              <w:t>supervisión</w:t>
            </w:r>
            <w:r>
              <w:rPr>
                <w:b/>
                <w:spacing w:val="-3"/>
                <w:sz w:val="16"/>
              </w:rPr>
              <w:t> </w:t>
            </w:r>
            <w:r>
              <w:rPr>
                <w:b/>
                <w:sz w:val="16"/>
              </w:rPr>
              <w:t>y</w:t>
            </w:r>
            <w:r>
              <w:rPr>
                <w:b/>
                <w:spacing w:val="-4"/>
                <w:sz w:val="16"/>
              </w:rPr>
              <w:t> </w:t>
            </w:r>
            <w:r>
              <w:rPr>
                <w:b/>
                <w:sz w:val="16"/>
              </w:rPr>
              <w:t>fiscalización</w:t>
            </w:r>
            <w:r>
              <w:rPr>
                <w:b/>
                <w:spacing w:val="-3"/>
                <w:sz w:val="16"/>
              </w:rPr>
              <w:t> </w:t>
            </w:r>
            <w:r>
              <w:rPr>
                <w:b/>
                <w:sz w:val="16"/>
              </w:rPr>
              <w:t>oportuna</w:t>
            </w:r>
            <w:r>
              <w:rPr>
                <w:b/>
                <w:spacing w:val="-4"/>
                <w:sz w:val="16"/>
              </w:rPr>
              <w:t> </w:t>
            </w:r>
            <w:r>
              <w:rPr>
                <w:b/>
                <w:sz w:val="16"/>
              </w:rPr>
              <w:t>a</w:t>
            </w:r>
            <w:r>
              <w:rPr>
                <w:b/>
                <w:spacing w:val="-8"/>
                <w:sz w:val="16"/>
              </w:rPr>
              <w:t> </w:t>
            </w:r>
            <w:r>
              <w:rPr>
                <w:b/>
                <w:sz w:val="16"/>
              </w:rPr>
              <w:t>organizaciones</w:t>
            </w:r>
            <w:r>
              <w:rPr>
                <w:b/>
                <w:spacing w:val="-8"/>
                <w:sz w:val="16"/>
              </w:rPr>
              <w:t> </w:t>
            </w:r>
            <w:r>
              <w:rPr>
                <w:b/>
                <w:sz w:val="16"/>
              </w:rPr>
              <w:t>de</w:t>
            </w:r>
            <w:r>
              <w:rPr>
                <w:b/>
                <w:spacing w:val="-7"/>
                <w:sz w:val="16"/>
              </w:rPr>
              <w:t> </w:t>
            </w:r>
            <w:r>
              <w:rPr>
                <w:b/>
                <w:sz w:val="16"/>
              </w:rPr>
              <w:t>bienestar</w:t>
            </w:r>
            <w:r>
              <w:rPr>
                <w:b/>
                <w:spacing w:val="-2"/>
                <w:sz w:val="16"/>
              </w:rPr>
              <w:t> social.</w:t>
            </w:r>
          </w:p>
        </w:tc>
      </w:tr>
      <w:tr>
        <w:trPr>
          <w:trHeight w:val="2208" w:hRule="atLeast"/>
        </w:trPr>
        <w:tc>
          <w:tcPr>
            <w:tcW w:w="1695" w:type="dxa"/>
          </w:tcPr>
          <w:p>
            <w:pPr>
              <w:pStyle w:val="TableParagraph"/>
              <w:rPr>
                <w:b/>
                <w:sz w:val="16"/>
              </w:rPr>
            </w:pPr>
          </w:p>
          <w:p>
            <w:pPr>
              <w:pStyle w:val="TableParagraph"/>
              <w:spacing w:before="91"/>
              <w:rPr>
                <w:b/>
                <w:sz w:val="16"/>
              </w:rPr>
            </w:pPr>
          </w:p>
          <w:p>
            <w:pPr>
              <w:pStyle w:val="TableParagraph"/>
              <w:spacing w:before="1"/>
              <w:ind w:left="72"/>
              <w:rPr>
                <w:b/>
                <w:sz w:val="16"/>
              </w:rPr>
            </w:pPr>
            <w:r>
              <w:rPr>
                <w:b/>
                <w:spacing w:val="-2"/>
                <w:sz w:val="16"/>
              </w:rPr>
              <w:t>Actividad</w:t>
            </w:r>
            <w:r>
              <w:rPr>
                <w:b/>
                <w:spacing w:val="-10"/>
                <w:sz w:val="16"/>
              </w:rPr>
              <w:t> </w:t>
            </w:r>
            <w:r>
              <w:rPr>
                <w:b/>
                <w:spacing w:val="-2"/>
                <w:sz w:val="16"/>
              </w:rPr>
              <w:t>PPPS 1.56.1:</w:t>
            </w:r>
          </w:p>
          <w:p>
            <w:pPr>
              <w:pStyle w:val="TableParagraph"/>
              <w:spacing w:before="1"/>
              <w:ind w:left="72" w:right="66"/>
              <w:rPr>
                <w:sz w:val="16"/>
              </w:rPr>
            </w:pPr>
            <w:r>
              <w:rPr>
                <w:sz w:val="16"/>
              </w:rPr>
              <w:t>Dirección técnica y supervisión a las organizaciones de bienestar social con proyectos</w:t>
            </w:r>
            <w:r>
              <w:rPr>
                <w:spacing w:val="-12"/>
                <w:sz w:val="16"/>
              </w:rPr>
              <w:t> </w:t>
            </w:r>
            <w:r>
              <w:rPr>
                <w:sz w:val="16"/>
              </w:rPr>
              <w:t>aprobados.</w:t>
            </w:r>
          </w:p>
        </w:tc>
        <w:tc>
          <w:tcPr>
            <w:tcW w:w="1278" w:type="dxa"/>
          </w:tcPr>
          <w:p>
            <w:pPr>
              <w:pStyle w:val="TableParagraph"/>
              <w:ind w:left="72" w:right="103"/>
              <w:rPr>
                <w:sz w:val="16"/>
              </w:rPr>
            </w:pPr>
            <w:r>
              <w:rPr>
                <w:sz w:val="16"/>
              </w:rPr>
              <w:t>Porcentaje de </w:t>
            </w:r>
            <w:r>
              <w:rPr>
                <w:spacing w:val="-2"/>
                <w:sz w:val="16"/>
              </w:rPr>
              <w:t>organizaciones </w:t>
            </w:r>
            <w:r>
              <w:rPr>
                <w:sz w:val="16"/>
              </w:rPr>
              <w:t>de bienestar </w:t>
            </w:r>
            <w:r>
              <w:rPr>
                <w:spacing w:val="-2"/>
                <w:sz w:val="16"/>
              </w:rPr>
              <w:t>social </w:t>
            </w:r>
            <w:r>
              <w:rPr>
                <w:sz w:val="16"/>
              </w:rPr>
              <w:t>financiadas en el 2025 con </w:t>
            </w:r>
            <w:r>
              <w:rPr>
                <w:spacing w:val="-2"/>
                <w:sz w:val="16"/>
              </w:rPr>
              <w:t>dirección </w:t>
            </w:r>
            <w:r>
              <w:rPr>
                <w:sz w:val="16"/>
              </w:rPr>
              <w:t>técnica</w:t>
            </w:r>
            <w:r>
              <w:rPr>
                <w:spacing w:val="-2"/>
                <w:sz w:val="16"/>
              </w:rPr>
              <w:t> </w:t>
            </w:r>
            <w:r>
              <w:rPr>
                <w:sz w:val="16"/>
              </w:rPr>
              <w:t>y </w:t>
            </w:r>
            <w:r>
              <w:rPr>
                <w:spacing w:val="-2"/>
                <w:sz w:val="16"/>
              </w:rPr>
              <w:t>supervisión </w:t>
            </w:r>
            <w:r>
              <w:rPr>
                <w:sz w:val="16"/>
              </w:rPr>
              <w:t>realiza por</w:t>
            </w:r>
          </w:p>
          <w:p>
            <w:pPr>
              <w:pStyle w:val="TableParagraph"/>
              <w:spacing w:line="188" w:lineRule="exact"/>
              <w:ind w:left="72" w:right="565"/>
              <w:rPr>
                <w:sz w:val="16"/>
              </w:rPr>
            </w:pPr>
            <w:r>
              <w:rPr>
                <w:sz w:val="16"/>
              </w:rPr>
              <w:t>parte</w:t>
            </w:r>
            <w:r>
              <w:rPr>
                <w:spacing w:val="-12"/>
                <w:sz w:val="16"/>
              </w:rPr>
              <w:t> </w:t>
            </w:r>
            <w:r>
              <w:rPr>
                <w:sz w:val="16"/>
              </w:rPr>
              <w:t>del </w:t>
            </w:r>
            <w:r>
              <w:rPr>
                <w:spacing w:val="-2"/>
                <w:sz w:val="16"/>
              </w:rPr>
              <w:t>DASAI.</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459"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1291" w:hRule="atLeast"/>
        </w:trPr>
        <w:tc>
          <w:tcPr>
            <w:tcW w:w="1695" w:type="dxa"/>
          </w:tcPr>
          <w:p>
            <w:pPr>
              <w:pStyle w:val="TableParagraph"/>
              <w:spacing w:before="95"/>
              <w:ind w:left="72"/>
              <w:rPr>
                <w:b/>
                <w:sz w:val="16"/>
              </w:rPr>
            </w:pPr>
            <w:r>
              <w:rPr>
                <w:b/>
                <w:spacing w:val="-2"/>
                <w:sz w:val="16"/>
              </w:rPr>
              <w:t>Actividad</w:t>
            </w:r>
            <w:r>
              <w:rPr>
                <w:b/>
                <w:spacing w:val="-10"/>
                <w:sz w:val="16"/>
              </w:rPr>
              <w:t> </w:t>
            </w:r>
            <w:r>
              <w:rPr>
                <w:b/>
                <w:spacing w:val="-2"/>
                <w:sz w:val="16"/>
              </w:rPr>
              <w:t>PPPS 1.56.2:</w:t>
            </w:r>
          </w:p>
          <w:p>
            <w:pPr>
              <w:pStyle w:val="TableParagraph"/>
              <w:ind w:left="72" w:right="306"/>
              <w:rPr>
                <w:sz w:val="16"/>
              </w:rPr>
            </w:pPr>
            <w:r>
              <w:rPr>
                <w:sz w:val="16"/>
              </w:rPr>
              <w:t>Supervisión a las organizaciones</w:t>
            </w:r>
            <w:r>
              <w:rPr>
                <w:spacing w:val="-12"/>
                <w:sz w:val="16"/>
              </w:rPr>
              <w:t> </w:t>
            </w:r>
            <w:r>
              <w:rPr>
                <w:sz w:val="16"/>
              </w:rPr>
              <w:t>de bienestar social </w:t>
            </w:r>
            <w:r>
              <w:rPr>
                <w:spacing w:val="-2"/>
                <w:sz w:val="16"/>
              </w:rPr>
              <w:t>inscritas.</w:t>
            </w:r>
          </w:p>
        </w:tc>
        <w:tc>
          <w:tcPr>
            <w:tcW w:w="1278" w:type="dxa"/>
          </w:tcPr>
          <w:p>
            <w:pPr>
              <w:pStyle w:val="TableParagraph"/>
              <w:ind w:left="72"/>
              <w:rPr>
                <w:sz w:val="16"/>
              </w:rPr>
            </w:pPr>
            <w:r>
              <w:rPr>
                <w:sz w:val="16"/>
              </w:rPr>
              <w:t>Porcentaje de </w:t>
            </w:r>
            <w:r>
              <w:rPr>
                <w:spacing w:val="-2"/>
                <w:sz w:val="16"/>
              </w:rPr>
              <w:t>organizaciones </w:t>
            </w:r>
            <w:r>
              <w:rPr>
                <w:sz w:val="16"/>
              </w:rPr>
              <w:t>de bienestar </w:t>
            </w:r>
            <w:r>
              <w:rPr>
                <w:spacing w:val="-2"/>
                <w:sz w:val="16"/>
              </w:rPr>
              <w:t>social supervisadas</w:t>
            </w:r>
          </w:p>
          <w:p>
            <w:pPr>
              <w:pStyle w:val="TableParagraph"/>
              <w:spacing w:line="182" w:lineRule="exact"/>
              <w:ind w:left="72"/>
              <w:rPr>
                <w:sz w:val="16"/>
              </w:rPr>
            </w:pPr>
            <w:r>
              <w:rPr>
                <w:sz w:val="16"/>
              </w:rPr>
              <w:t>por</w:t>
            </w:r>
            <w:r>
              <w:rPr>
                <w:spacing w:val="-12"/>
                <w:sz w:val="16"/>
              </w:rPr>
              <w:t> </w:t>
            </w:r>
            <w:r>
              <w:rPr>
                <w:sz w:val="16"/>
              </w:rPr>
              <w:t>parte</w:t>
            </w:r>
            <w:r>
              <w:rPr>
                <w:spacing w:val="-11"/>
                <w:sz w:val="16"/>
              </w:rPr>
              <w:t> </w:t>
            </w:r>
            <w:r>
              <w:rPr>
                <w:sz w:val="16"/>
              </w:rPr>
              <w:t>del </w:t>
            </w:r>
            <w:r>
              <w:rPr>
                <w:spacing w:val="-2"/>
                <w:sz w:val="16"/>
              </w:rPr>
              <w:t>DASAI.</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spacing w:before="183"/>
              <w:rPr>
                <w:b/>
                <w:sz w:val="16"/>
              </w:rPr>
            </w:pPr>
          </w:p>
          <w:p>
            <w:pPr>
              <w:pStyle w:val="TableParagraph"/>
              <w:ind w:right="1"/>
              <w:jc w:val="center"/>
              <w:rPr>
                <w:sz w:val="16"/>
              </w:rPr>
            </w:pPr>
            <w:r>
              <w:rPr>
                <w:spacing w:val="-5"/>
                <w:sz w:val="16"/>
              </w:rPr>
              <w:t>50%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spacing w:before="183"/>
              <w:rPr>
                <w:b/>
                <w:sz w:val="16"/>
              </w:rPr>
            </w:pPr>
          </w:p>
          <w:p>
            <w:pPr>
              <w:pStyle w:val="TableParagraph"/>
              <w:ind w:left="16" w:right="19"/>
              <w:jc w:val="center"/>
              <w:rPr>
                <w:sz w:val="16"/>
              </w:rPr>
            </w:pPr>
            <w:r>
              <w:rPr>
                <w:spacing w:val="-5"/>
                <w:sz w:val="16"/>
              </w:rPr>
              <w:t>50%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spacing w:before="183"/>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2026" w:hRule="atLeast"/>
        </w:trPr>
        <w:tc>
          <w:tcPr>
            <w:tcW w:w="1695" w:type="dxa"/>
          </w:tcPr>
          <w:p>
            <w:pPr>
              <w:pStyle w:val="TableParagraph"/>
              <w:rPr>
                <w:b/>
                <w:sz w:val="16"/>
              </w:rPr>
            </w:pPr>
          </w:p>
          <w:p>
            <w:pPr>
              <w:pStyle w:val="TableParagraph"/>
              <w:rPr>
                <w:b/>
                <w:sz w:val="16"/>
              </w:rPr>
            </w:pPr>
          </w:p>
          <w:p>
            <w:pPr>
              <w:pStyle w:val="TableParagraph"/>
              <w:ind w:left="72"/>
              <w:rPr>
                <w:b/>
                <w:sz w:val="16"/>
              </w:rPr>
            </w:pPr>
            <w:r>
              <w:rPr>
                <w:b/>
                <w:spacing w:val="-2"/>
                <w:sz w:val="16"/>
              </w:rPr>
              <w:t>Actividad</w:t>
            </w:r>
            <w:r>
              <w:rPr>
                <w:b/>
                <w:spacing w:val="-10"/>
                <w:sz w:val="16"/>
              </w:rPr>
              <w:t> </w:t>
            </w:r>
            <w:r>
              <w:rPr>
                <w:b/>
                <w:spacing w:val="-2"/>
                <w:sz w:val="16"/>
              </w:rPr>
              <w:t>PPPS 1.56.3:</w:t>
            </w:r>
          </w:p>
          <w:p>
            <w:pPr>
              <w:pStyle w:val="TableParagraph"/>
              <w:spacing w:line="242" w:lineRule="auto"/>
              <w:ind w:left="72" w:right="66"/>
              <w:rPr>
                <w:sz w:val="16"/>
              </w:rPr>
            </w:pPr>
            <w:r>
              <w:rPr>
                <w:spacing w:val="-2"/>
                <w:sz w:val="16"/>
              </w:rPr>
              <w:t>Fiscalización </w:t>
            </w:r>
            <w:r>
              <w:rPr>
                <w:sz w:val="16"/>
              </w:rPr>
              <w:t>económica a las organizaciones de Bienestar Social con proyectos</w:t>
            </w:r>
            <w:r>
              <w:rPr>
                <w:spacing w:val="-12"/>
                <w:sz w:val="16"/>
              </w:rPr>
              <w:t> </w:t>
            </w:r>
            <w:r>
              <w:rPr>
                <w:sz w:val="16"/>
              </w:rPr>
              <w:t>aprobados.</w:t>
            </w:r>
          </w:p>
        </w:tc>
        <w:tc>
          <w:tcPr>
            <w:tcW w:w="1278" w:type="dxa"/>
          </w:tcPr>
          <w:p>
            <w:pPr>
              <w:pStyle w:val="TableParagraph"/>
              <w:ind w:left="72" w:right="103"/>
              <w:rPr>
                <w:sz w:val="16"/>
              </w:rPr>
            </w:pPr>
            <w:r>
              <w:rPr>
                <w:sz w:val="16"/>
              </w:rPr>
              <w:t>Porcentaje de </w:t>
            </w:r>
            <w:r>
              <w:rPr>
                <w:spacing w:val="-2"/>
                <w:sz w:val="16"/>
              </w:rPr>
              <w:t>organizaciones </w:t>
            </w:r>
            <w:r>
              <w:rPr>
                <w:sz w:val="16"/>
              </w:rPr>
              <w:t>de bienestar </w:t>
            </w:r>
            <w:r>
              <w:rPr>
                <w:spacing w:val="-2"/>
                <w:sz w:val="16"/>
              </w:rPr>
              <w:t>social </w:t>
            </w:r>
            <w:r>
              <w:rPr>
                <w:sz w:val="16"/>
              </w:rPr>
              <w:t>financiadas en el 2025, que cuentan</w:t>
            </w:r>
            <w:r>
              <w:rPr>
                <w:spacing w:val="-2"/>
                <w:sz w:val="16"/>
              </w:rPr>
              <w:t> </w:t>
            </w:r>
            <w:r>
              <w:rPr>
                <w:sz w:val="16"/>
              </w:rPr>
              <w:t>con </w:t>
            </w:r>
            <w:r>
              <w:rPr>
                <w:spacing w:val="-2"/>
                <w:sz w:val="16"/>
              </w:rPr>
              <w:t>fiscalización económica </w:t>
            </w:r>
            <w:r>
              <w:rPr>
                <w:sz w:val="16"/>
              </w:rPr>
              <w:t>realizada</w:t>
            </w:r>
            <w:r>
              <w:rPr>
                <w:spacing w:val="-12"/>
                <w:sz w:val="16"/>
              </w:rPr>
              <w:t> </w:t>
            </w:r>
            <w:r>
              <w:rPr>
                <w:sz w:val="16"/>
              </w:rPr>
              <w:t>por</w:t>
            </w:r>
            <w:r>
              <w:rPr>
                <w:spacing w:val="-11"/>
                <w:sz w:val="16"/>
              </w:rPr>
              <w:t> </w:t>
            </w:r>
            <w:r>
              <w:rPr>
                <w:sz w:val="16"/>
              </w:rPr>
              <w:t>el</w:t>
            </w:r>
          </w:p>
          <w:p>
            <w:pPr>
              <w:pStyle w:val="TableParagraph"/>
              <w:spacing w:line="167" w:lineRule="exact"/>
              <w:ind w:left="72"/>
              <w:rPr>
                <w:sz w:val="16"/>
              </w:rPr>
            </w:pPr>
            <w:r>
              <w:rPr>
                <w:spacing w:val="-2"/>
                <w:sz w:val="16"/>
              </w:rPr>
              <w:t>DASAI.</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1838" w:hRule="atLeast"/>
        </w:trPr>
        <w:tc>
          <w:tcPr>
            <w:tcW w:w="1695" w:type="dxa"/>
          </w:tcPr>
          <w:p>
            <w:pPr>
              <w:pStyle w:val="TableParagraph"/>
              <w:spacing w:before="179"/>
              <w:rPr>
                <w:b/>
                <w:sz w:val="16"/>
              </w:rPr>
            </w:pPr>
          </w:p>
          <w:p>
            <w:pPr>
              <w:pStyle w:val="TableParagraph"/>
              <w:spacing w:line="244" w:lineRule="auto"/>
              <w:ind w:left="72"/>
              <w:rPr>
                <w:b/>
                <w:sz w:val="16"/>
              </w:rPr>
            </w:pPr>
            <w:r>
              <w:rPr>
                <w:b/>
                <w:spacing w:val="-2"/>
                <w:sz w:val="16"/>
              </w:rPr>
              <w:t>Actividad</w:t>
            </w:r>
            <w:r>
              <w:rPr>
                <w:b/>
                <w:spacing w:val="-10"/>
                <w:sz w:val="16"/>
              </w:rPr>
              <w:t> </w:t>
            </w:r>
            <w:r>
              <w:rPr>
                <w:b/>
                <w:spacing w:val="-2"/>
                <w:sz w:val="16"/>
              </w:rPr>
              <w:t>PPPS 1.56.4:</w:t>
            </w:r>
          </w:p>
          <w:p>
            <w:pPr>
              <w:pStyle w:val="TableParagraph"/>
              <w:ind w:left="72" w:right="306"/>
              <w:rPr>
                <w:sz w:val="16"/>
              </w:rPr>
            </w:pPr>
            <w:r>
              <w:rPr>
                <w:sz w:val="16"/>
              </w:rPr>
              <w:t>Asesoría</w:t>
            </w:r>
            <w:r>
              <w:rPr>
                <w:spacing w:val="-2"/>
                <w:sz w:val="16"/>
              </w:rPr>
              <w:t> </w:t>
            </w:r>
            <w:r>
              <w:rPr>
                <w:sz w:val="16"/>
              </w:rPr>
              <w:t>a organizaciones</w:t>
            </w:r>
            <w:r>
              <w:rPr>
                <w:spacing w:val="-12"/>
                <w:sz w:val="16"/>
              </w:rPr>
              <w:t> </w:t>
            </w:r>
            <w:r>
              <w:rPr>
                <w:sz w:val="16"/>
              </w:rPr>
              <w:t>en proceso</w:t>
            </w:r>
            <w:r>
              <w:rPr>
                <w:spacing w:val="-2"/>
                <w:sz w:val="16"/>
              </w:rPr>
              <w:t> </w:t>
            </w:r>
            <w:r>
              <w:rPr>
                <w:sz w:val="16"/>
              </w:rPr>
              <w:t>de </w:t>
            </w:r>
            <w:r>
              <w:rPr>
                <w:spacing w:val="-2"/>
                <w:sz w:val="16"/>
              </w:rPr>
              <w:t>inscripción.</w:t>
            </w:r>
          </w:p>
        </w:tc>
        <w:tc>
          <w:tcPr>
            <w:tcW w:w="1278" w:type="dxa"/>
          </w:tcPr>
          <w:p>
            <w:pPr>
              <w:pStyle w:val="TableParagraph"/>
              <w:ind w:left="72" w:right="113"/>
              <w:rPr>
                <w:sz w:val="16"/>
              </w:rPr>
            </w:pPr>
            <w:r>
              <w:rPr>
                <w:sz w:val="16"/>
              </w:rPr>
              <w:t>Porcentaje de </w:t>
            </w:r>
            <w:r>
              <w:rPr>
                <w:spacing w:val="-2"/>
                <w:sz w:val="16"/>
              </w:rPr>
              <w:t>organizaciones </w:t>
            </w:r>
            <w:r>
              <w:rPr>
                <w:sz w:val="16"/>
              </w:rPr>
              <w:t>en proceso de </w:t>
            </w:r>
            <w:r>
              <w:rPr>
                <w:spacing w:val="-2"/>
                <w:sz w:val="16"/>
              </w:rPr>
              <w:t>inscripción </w:t>
            </w:r>
            <w:r>
              <w:rPr>
                <w:spacing w:val="-4"/>
                <w:sz w:val="16"/>
              </w:rPr>
              <w:t>como </w:t>
            </w:r>
            <w:r>
              <w:rPr>
                <w:spacing w:val="-2"/>
                <w:sz w:val="16"/>
              </w:rPr>
              <w:t>organizaciones </w:t>
            </w:r>
            <w:r>
              <w:rPr>
                <w:sz w:val="16"/>
              </w:rPr>
              <w:t>de bienestar social, que </w:t>
            </w:r>
            <w:r>
              <w:rPr>
                <w:spacing w:val="-2"/>
                <w:sz w:val="16"/>
              </w:rPr>
              <w:t>reciben</w:t>
            </w:r>
          </w:p>
          <w:p>
            <w:pPr>
              <w:pStyle w:val="TableParagraph"/>
              <w:spacing w:line="163" w:lineRule="exact"/>
              <w:ind w:left="72"/>
              <w:rPr>
                <w:sz w:val="16"/>
              </w:rPr>
            </w:pPr>
            <w:r>
              <w:rPr>
                <w:spacing w:val="-2"/>
                <w:sz w:val="16"/>
              </w:rPr>
              <w:t>asesoría.</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21" w:right="13"/>
              <w:jc w:val="center"/>
              <w:rPr>
                <w:sz w:val="16"/>
              </w:rPr>
            </w:pPr>
            <w:r>
              <w:rPr>
                <w:spacing w:val="-4"/>
                <w:sz w:val="16"/>
              </w:rPr>
              <w:t>100%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88"/>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2208" w:hRule="atLeast"/>
        </w:trPr>
        <w:tc>
          <w:tcPr>
            <w:tcW w:w="1695" w:type="dxa"/>
          </w:tcPr>
          <w:p>
            <w:pPr>
              <w:pStyle w:val="TableParagraph"/>
              <w:rPr>
                <w:b/>
                <w:sz w:val="16"/>
              </w:rPr>
            </w:pPr>
          </w:p>
          <w:p>
            <w:pPr>
              <w:pStyle w:val="TableParagraph"/>
              <w:spacing w:before="91"/>
              <w:rPr>
                <w:b/>
                <w:sz w:val="16"/>
              </w:rPr>
            </w:pPr>
          </w:p>
          <w:p>
            <w:pPr>
              <w:pStyle w:val="TableParagraph"/>
              <w:ind w:left="72"/>
              <w:rPr>
                <w:b/>
                <w:sz w:val="16"/>
              </w:rPr>
            </w:pPr>
            <w:r>
              <w:rPr>
                <w:b/>
                <w:spacing w:val="-2"/>
                <w:sz w:val="16"/>
              </w:rPr>
              <w:t>Actividad</w:t>
            </w:r>
            <w:r>
              <w:rPr>
                <w:b/>
                <w:spacing w:val="-10"/>
                <w:sz w:val="16"/>
              </w:rPr>
              <w:t> </w:t>
            </w:r>
            <w:r>
              <w:rPr>
                <w:b/>
                <w:spacing w:val="-2"/>
                <w:sz w:val="16"/>
              </w:rPr>
              <w:t>PPPS 1.56.5:</w:t>
            </w:r>
          </w:p>
          <w:p>
            <w:pPr>
              <w:pStyle w:val="TableParagraph"/>
              <w:ind w:left="72"/>
              <w:rPr>
                <w:sz w:val="16"/>
              </w:rPr>
            </w:pPr>
            <w:r>
              <w:rPr>
                <w:sz w:val="16"/>
              </w:rPr>
              <w:t>Emisión</w:t>
            </w:r>
            <w:r>
              <w:rPr>
                <w:spacing w:val="-2"/>
                <w:sz w:val="16"/>
              </w:rPr>
              <w:t> </w:t>
            </w:r>
            <w:r>
              <w:rPr>
                <w:sz w:val="16"/>
              </w:rPr>
              <w:t>de certificaciones de Bienestar</w:t>
            </w:r>
            <w:r>
              <w:rPr>
                <w:spacing w:val="-12"/>
                <w:sz w:val="16"/>
              </w:rPr>
              <w:t> </w:t>
            </w:r>
            <w:r>
              <w:rPr>
                <w:sz w:val="16"/>
              </w:rPr>
              <w:t>Social</w:t>
            </w:r>
            <w:r>
              <w:rPr>
                <w:spacing w:val="-11"/>
                <w:sz w:val="16"/>
              </w:rPr>
              <w:t> </w:t>
            </w:r>
            <w:r>
              <w:rPr>
                <w:sz w:val="16"/>
              </w:rPr>
              <w:t>a </w:t>
            </w:r>
            <w:r>
              <w:rPr>
                <w:spacing w:val="-2"/>
                <w:sz w:val="16"/>
              </w:rPr>
              <w:t>organizaciones inscritas.</w:t>
            </w:r>
          </w:p>
        </w:tc>
        <w:tc>
          <w:tcPr>
            <w:tcW w:w="1278" w:type="dxa"/>
          </w:tcPr>
          <w:p>
            <w:pPr>
              <w:pStyle w:val="TableParagraph"/>
              <w:ind w:left="72" w:right="85"/>
              <w:rPr>
                <w:sz w:val="16"/>
              </w:rPr>
            </w:pPr>
            <w:r>
              <w:rPr>
                <w:sz w:val="16"/>
              </w:rPr>
              <w:t>Porcentaje de </w:t>
            </w:r>
            <w:r>
              <w:rPr>
                <w:spacing w:val="-2"/>
                <w:sz w:val="16"/>
              </w:rPr>
              <w:t>organizaciones </w:t>
            </w:r>
            <w:r>
              <w:rPr>
                <w:sz w:val="16"/>
              </w:rPr>
              <w:t>de bienestar social que cumplen</w:t>
            </w:r>
            <w:r>
              <w:rPr>
                <w:spacing w:val="-2"/>
                <w:sz w:val="16"/>
              </w:rPr>
              <w:t> </w:t>
            </w:r>
            <w:r>
              <w:rPr>
                <w:sz w:val="16"/>
              </w:rPr>
              <w:t>con requisitos y a las cuales se les emite la certificación</w:t>
            </w:r>
            <w:r>
              <w:rPr>
                <w:spacing w:val="-12"/>
                <w:sz w:val="16"/>
              </w:rPr>
              <w:t> </w:t>
            </w:r>
            <w:r>
              <w:rPr>
                <w:sz w:val="16"/>
              </w:rPr>
              <w:t>del carácter de </w:t>
            </w:r>
            <w:r>
              <w:rPr>
                <w:spacing w:val="-2"/>
                <w:sz w:val="16"/>
              </w:rPr>
              <w:t>bienestar</w:t>
            </w:r>
          </w:p>
          <w:p>
            <w:pPr>
              <w:pStyle w:val="TableParagraph"/>
              <w:spacing w:line="163" w:lineRule="exact" w:before="1"/>
              <w:ind w:left="72"/>
              <w:rPr>
                <w:sz w:val="16"/>
              </w:rPr>
            </w:pPr>
            <w:r>
              <w:rPr>
                <w:spacing w:val="-2"/>
                <w:sz w:val="16"/>
              </w:rPr>
              <w:t>social.</w:t>
            </w:r>
          </w:p>
        </w:tc>
        <w:tc>
          <w:tcPr>
            <w:tcW w:w="1278"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21" w:right="13"/>
              <w:jc w:val="center"/>
              <w:rPr>
                <w:sz w:val="16"/>
              </w:rPr>
            </w:pPr>
            <w:r>
              <w:rPr>
                <w:spacing w:val="-4"/>
                <w:sz w:val="16"/>
              </w:rPr>
              <w:t>100%</w:t>
            </w: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1"/>
              <w:jc w:val="center"/>
              <w:rPr>
                <w:sz w:val="16"/>
              </w:rPr>
            </w:pPr>
            <w:r>
              <w:rPr>
                <w:spacing w:val="-4"/>
                <w:sz w:val="16"/>
              </w:rPr>
              <w:t>100%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16" w:right="19"/>
              <w:jc w:val="center"/>
              <w:rPr>
                <w:sz w:val="16"/>
              </w:rPr>
            </w:pPr>
            <w:r>
              <w:rPr>
                <w:spacing w:val="-4"/>
                <w:sz w:val="16"/>
              </w:rPr>
              <w:t>100%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4" w:right="1"/>
              <w:jc w:val="center"/>
              <w:rPr>
                <w:sz w:val="16"/>
              </w:rPr>
            </w:pPr>
            <w:r>
              <w:rPr>
                <w:spacing w:val="-4"/>
                <w:sz w:val="16"/>
              </w:rPr>
              <w:t>100%</w:t>
            </w:r>
          </w:p>
        </w:tc>
        <w:tc>
          <w:tcPr>
            <w:tcW w:w="1494" w:type="dxa"/>
          </w:tcPr>
          <w:p>
            <w:pPr>
              <w:pStyle w:val="TableParagraph"/>
              <w:rPr>
                <w:rFonts w:ascii="Times New Roman"/>
                <w:sz w:val="16"/>
              </w:rPr>
            </w:pPr>
          </w:p>
        </w:tc>
      </w:tr>
      <w:tr>
        <w:trPr>
          <w:trHeight w:val="301" w:hRule="atLeast"/>
        </w:trPr>
        <w:tc>
          <w:tcPr>
            <w:tcW w:w="14323" w:type="dxa"/>
            <w:gridSpan w:val="10"/>
            <w:shd w:val="clear" w:color="auto" w:fill="EFF8F9"/>
          </w:tcPr>
          <w:p>
            <w:pPr>
              <w:pStyle w:val="TableParagraph"/>
              <w:spacing w:before="56"/>
              <w:ind w:left="72"/>
              <w:rPr>
                <w:b/>
                <w:sz w:val="16"/>
              </w:rPr>
            </w:pPr>
            <w:r>
              <w:rPr>
                <w:b/>
                <w:sz w:val="16"/>
              </w:rPr>
              <w:t>Producto</w:t>
            </w:r>
            <w:r>
              <w:rPr>
                <w:b/>
                <w:spacing w:val="-2"/>
                <w:sz w:val="16"/>
              </w:rPr>
              <w:t> </w:t>
            </w:r>
            <w:r>
              <w:rPr>
                <w:b/>
                <w:sz w:val="16"/>
              </w:rPr>
              <w:t>PPPS 1.57:</w:t>
            </w:r>
            <w:r>
              <w:rPr>
                <w:b/>
                <w:spacing w:val="-6"/>
                <w:sz w:val="16"/>
              </w:rPr>
              <w:t> </w:t>
            </w:r>
            <w:r>
              <w:rPr>
                <w:b/>
                <w:sz w:val="16"/>
              </w:rPr>
              <w:t>Acciones</w:t>
            </w:r>
            <w:r>
              <w:rPr>
                <w:b/>
                <w:spacing w:val="-2"/>
                <w:sz w:val="16"/>
              </w:rPr>
              <w:t> </w:t>
            </w:r>
            <w:r>
              <w:rPr>
                <w:b/>
                <w:sz w:val="16"/>
              </w:rPr>
              <w:t>de</w:t>
            </w:r>
            <w:r>
              <w:rPr>
                <w:b/>
                <w:spacing w:val="-2"/>
                <w:sz w:val="16"/>
              </w:rPr>
              <w:t> </w:t>
            </w:r>
            <w:r>
              <w:rPr>
                <w:b/>
                <w:sz w:val="16"/>
              </w:rPr>
              <w:t>seguimiento</w:t>
            </w:r>
            <w:r>
              <w:rPr>
                <w:b/>
                <w:spacing w:val="-2"/>
                <w:sz w:val="16"/>
              </w:rPr>
              <w:t> </w:t>
            </w:r>
            <w:r>
              <w:rPr>
                <w:b/>
                <w:sz w:val="16"/>
              </w:rPr>
              <w:t>y</w:t>
            </w:r>
            <w:r>
              <w:rPr>
                <w:b/>
                <w:spacing w:val="-2"/>
                <w:sz w:val="16"/>
              </w:rPr>
              <w:t> </w:t>
            </w:r>
            <w:r>
              <w:rPr>
                <w:b/>
                <w:sz w:val="16"/>
              </w:rPr>
              <w:t>monitoreo</w:t>
            </w:r>
            <w:r>
              <w:rPr>
                <w:b/>
                <w:spacing w:val="-2"/>
                <w:sz w:val="16"/>
              </w:rPr>
              <w:t> </w:t>
            </w:r>
            <w:r>
              <w:rPr>
                <w:b/>
                <w:sz w:val="16"/>
              </w:rPr>
              <w:t>a</w:t>
            </w:r>
            <w:r>
              <w:rPr>
                <w:b/>
                <w:spacing w:val="-6"/>
                <w:sz w:val="16"/>
              </w:rPr>
              <w:t> </w:t>
            </w:r>
            <w:r>
              <w:rPr>
                <w:b/>
                <w:sz w:val="16"/>
              </w:rPr>
              <w:t>la</w:t>
            </w:r>
            <w:r>
              <w:rPr>
                <w:b/>
                <w:spacing w:val="-2"/>
                <w:sz w:val="16"/>
              </w:rPr>
              <w:t> </w:t>
            </w:r>
            <w:r>
              <w:rPr>
                <w:b/>
                <w:sz w:val="16"/>
              </w:rPr>
              <w:t>implementación</w:t>
            </w:r>
            <w:r>
              <w:rPr>
                <w:b/>
                <w:spacing w:val="-5"/>
                <w:sz w:val="16"/>
              </w:rPr>
              <w:t> </w:t>
            </w:r>
            <w:r>
              <w:rPr>
                <w:b/>
                <w:sz w:val="16"/>
              </w:rPr>
              <w:t>del</w:t>
            </w:r>
            <w:r>
              <w:rPr>
                <w:b/>
                <w:spacing w:val="-5"/>
                <w:sz w:val="16"/>
              </w:rPr>
              <w:t> </w:t>
            </w:r>
            <w:r>
              <w:rPr>
                <w:b/>
                <w:sz w:val="16"/>
              </w:rPr>
              <w:t>Modelo</w:t>
            </w:r>
            <w:r>
              <w:rPr>
                <w:b/>
                <w:spacing w:val="-2"/>
                <w:sz w:val="16"/>
              </w:rPr>
              <w:t> </w:t>
            </w:r>
            <w:r>
              <w:rPr>
                <w:b/>
                <w:sz w:val="16"/>
              </w:rPr>
              <w:t>de</w:t>
            </w:r>
            <w:r>
              <w:rPr>
                <w:b/>
                <w:spacing w:val="-2"/>
                <w:sz w:val="16"/>
              </w:rPr>
              <w:t> </w:t>
            </w:r>
            <w:r>
              <w:rPr>
                <w:b/>
                <w:sz w:val="16"/>
              </w:rPr>
              <w:t>Intervención</w:t>
            </w:r>
            <w:r>
              <w:rPr>
                <w:b/>
                <w:spacing w:val="-5"/>
                <w:sz w:val="16"/>
              </w:rPr>
              <w:t> </w:t>
            </w:r>
            <w:r>
              <w:rPr>
                <w:b/>
                <w:sz w:val="16"/>
              </w:rPr>
              <w:t>Institucional</w:t>
            </w:r>
            <w:r>
              <w:rPr>
                <w:b/>
                <w:spacing w:val="-2"/>
                <w:sz w:val="16"/>
              </w:rPr>
              <w:t> </w:t>
            </w:r>
            <w:r>
              <w:rPr>
                <w:b/>
                <w:sz w:val="16"/>
              </w:rPr>
              <w:t>y</w:t>
            </w:r>
            <w:r>
              <w:rPr>
                <w:b/>
                <w:spacing w:val="-2"/>
                <w:sz w:val="16"/>
              </w:rPr>
              <w:t> </w:t>
            </w:r>
            <w:r>
              <w:rPr>
                <w:b/>
                <w:sz w:val="16"/>
              </w:rPr>
              <w:t>sus</w:t>
            </w:r>
            <w:r>
              <w:rPr>
                <w:b/>
                <w:spacing w:val="-6"/>
                <w:sz w:val="16"/>
              </w:rPr>
              <w:t> </w:t>
            </w:r>
            <w:r>
              <w:rPr>
                <w:b/>
                <w:sz w:val="16"/>
              </w:rPr>
              <w:t>efectos</w:t>
            </w:r>
            <w:r>
              <w:rPr>
                <w:b/>
                <w:spacing w:val="-2"/>
                <w:sz w:val="16"/>
              </w:rPr>
              <w:t> </w:t>
            </w:r>
            <w:r>
              <w:rPr>
                <w:b/>
                <w:sz w:val="16"/>
              </w:rPr>
              <w:t>en</w:t>
            </w:r>
            <w:r>
              <w:rPr>
                <w:b/>
                <w:spacing w:val="-2"/>
                <w:sz w:val="16"/>
              </w:rPr>
              <w:t> </w:t>
            </w:r>
            <w:r>
              <w:rPr>
                <w:b/>
                <w:sz w:val="16"/>
              </w:rPr>
              <w:t>la</w:t>
            </w:r>
            <w:r>
              <w:rPr>
                <w:b/>
                <w:spacing w:val="-2"/>
                <w:sz w:val="16"/>
              </w:rPr>
              <w:t> </w:t>
            </w:r>
            <w:r>
              <w:rPr>
                <w:b/>
                <w:sz w:val="16"/>
              </w:rPr>
              <w:t>población</w:t>
            </w:r>
            <w:r>
              <w:rPr>
                <w:b/>
                <w:spacing w:val="-2"/>
                <w:sz w:val="16"/>
              </w:rPr>
              <w:t> meta.</w:t>
            </w:r>
          </w:p>
        </w:tc>
      </w:tr>
    </w:tbl>
    <w:p>
      <w:pPr>
        <w:pStyle w:val="TableParagraph"/>
        <w:spacing w:after="0"/>
        <w:rPr>
          <w:b/>
          <w:sz w:val="16"/>
        </w:rPr>
        <w:sectPr>
          <w:type w:val="continuous"/>
          <w:pgSz w:w="15840" w:h="12240" w:orient="landscape"/>
          <w:pgMar w:header="0" w:footer="1806" w:top="700" w:bottom="277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1843" w:hRule="atLeast"/>
        </w:trPr>
        <w:tc>
          <w:tcPr>
            <w:tcW w:w="1695" w:type="dxa"/>
          </w:tcPr>
          <w:p>
            <w:pPr>
              <w:pStyle w:val="TableParagraph"/>
              <w:spacing w:before="93"/>
              <w:rPr>
                <w:b/>
                <w:sz w:val="16"/>
              </w:rPr>
            </w:pPr>
          </w:p>
          <w:p>
            <w:pPr>
              <w:pStyle w:val="TableParagraph"/>
              <w:ind w:left="72"/>
              <w:rPr>
                <w:b/>
                <w:sz w:val="16"/>
              </w:rPr>
            </w:pPr>
            <w:r>
              <w:rPr>
                <w:b/>
                <w:spacing w:val="-2"/>
                <w:sz w:val="16"/>
              </w:rPr>
              <w:t>Actividad</w:t>
            </w:r>
            <w:r>
              <w:rPr>
                <w:b/>
                <w:spacing w:val="-10"/>
                <w:sz w:val="16"/>
              </w:rPr>
              <w:t> </w:t>
            </w:r>
            <w:r>
              <w:rPr>
                <w:b/>
                <w:spacing w:val="-2"/>
                <w:sz w:val="16"/>
              </w:rPr>
              <w:t>PPPS 1.57.1:</w:t>
            </w:r>
          </w:p>
          <w:p>
            <w:pPr>
              <w:pStyle w:val="TableParagraph"/>
              <w:spacing w:before="2"/>
              <w:ind w:left="72"/>
              <w:rPr>
                <w:sz w:val="16"/>
              </w:rPr>
            </w:pPr>
            <w:r>
              <w:rPr>
                <w:sz w:val="16"/>
              </w:rPr>
              <w:t>Implementar el perfilamiento</w:t>
            </w:r>
            <w:r>
              <w:rPr>
                <w:spacing w:val="-12"/>
                <w:sz w:val="16"/>
              </w:rPr>
              <w:t> </w:t>
            </w:r>
            <w:r>
              <w:rPr>
                <w:sz w:val="16"/>
              </w:rPr>
              <w:t>según rutas</w:t>
            </w:r>
            <w:r>
              <w:rPr>
                <w:spacing w:val="-12"/>
                <w:sz w:val="16"/>
              </w:rPr>
              <w:t> </w:t>
            </w:r>
            <w:r>
              <w:rPr>
                <w:sz w:val="16"/>
              </w:rPr>
              <w:t>del</w:t>
            </w:r>
            <w:r>
              <w:rPr>
                <w:spacing w:val="-11"/>
                <w:sz w:val="16"/>
              </w:rPr>
              <w:t> </w:t>
            </w:r>
            <w:r>
              <w:rPr>
                <w:sz w:val="16"/>
              </w:rPr>
              <w:t>Modelo</w:t>
            </w:r>
            <w:r>
              <w:rPr>
                <w:spacing w:val="-11"/>
                <w:sz w:val="16"/>
              </w:rPr>
              <w:t> </w:t>
            </w:r>
            <w:r>
              <w:rPr>
                <w:sz w:val="16"/>
              </w:rPr>
              <w:t>de </w:t>
            </w:r>
            <w:r>
              <w:rPr>
                <w:spacing w:val="-2"/>
                <w:sz w:val="16"/>
              </w:rPr>
              <w:t>Intervención Institucional.</w:t>
            </w:r>
          </w:p>
        </w:tc>
        <w:tc>
          <w:tcPr>
            <w:tcW w:w="1278" w:type="dxa"/>
          </w:tcPr>
          <w:p>
            <w:pPr>
              <w:pStyle w:val="TableParagraph"/>
              <w:ind w:left="72"/>
              <w:rPr>
                <w:sz w:val="16"/>
              </w:rPr>
            </w:pPr>
            <w:r>
              <w:rPr>
                <w:sz w:val="16"/>
              </w:rPr>
              <w:t>Porcentaje de hogares con </w:t>
            </w:r>
            <w:r>
              <w:rPr>
                <w:spacing w:val="-2"/>
                <w:sz w:val="16"/>
              </w:rPr>
              <w:t>establecimiento </w:t>
            </w:r>
            <w:r>
              <w:rPr>
                <w:spacing w:val="-6"/>
                <w:sz w:val="16"/>
              </w:rPr>
              <w:t>de</w:t>
            </w:r>
            <w:r>
              <w:rPr>
                <w:spacing w:val="-2"/>
                <w:sz w:val="16"/>
              </w:rPr>
              <w:t> condicionalidad </w:t>
            </w:r>
            <w:r>
              <w:rPr>
                <w:sz w:val="16"/>
              </w:rPr>
              <w:t>es en el marco del Modelo de </w:t>
            </w:r>
            <w:r>
              <w:rPr>
                <w:spacing w:val="-2"/>
                <w:sz w:val="16"/>
              </w:rPr>
              <w:t>Intervención</w:t>
            </w:r>
          </w:p>
          <w:p>
            <w:pPr>
              <w:pStyle w:val="TableParagraph"/>
              <w:spacing w:line="182" w:lineRule="exact"/>
              <w:ind w:left="72"/>
              <w:rPr>
                <w:sz w:val="16"/>
              </w:rPr>
            </w:pPr>
            <w:r>
              <w:rPr>
                <w:spacing w:val="-2"/>
                <w:sz w:val="16"/>
              </w:rPr>
              <w:t>Institucional vigente.</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right="1"/>
              <w:jc w:val="center"/>
              <w:rPr>
                <w:sz w:val="16"/>
              </w:rPr>
            </w:pPr>
            <w:r>
              <w:rPr>
                <w:spacing w:val="-5"/>
                <w:sz w:val="16"/>
              </w:rPr>
              <w:t>20%</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16" w:right="19"/>
              <w:jc w:val="center"/>
              <w:rPr>
                <w:sz w:val="16"/>
              </w:rPr>
            </w:pPr>
            <w:r>
              <w:rPr>
                <w:spacing w:val="-5"/>
                <w:sz w:val="16"/>
              </w:rPr>
              <w:t>40%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spacing w:before="93"/>
              <w:rPr>
                <w:b/>
                <w:sz w:val="16"/>
              </w:rPr>
            </w:pPr>
          </w:p>
          <w:p>
            <w:pPr>
              <w:pStyle w:val="TableParagraph"/>
              <w:ind w:left="4" w:right="1"/>
              <w:jc w:val="center"/>
              <w:rPr>
                <w:sz w:val="16"/>
              </w:rPr>
            </w:pPr>
            <w:r>
              <w:rPr>
                <w:spacing w:val="-5"/>
                <w:sz w:val="16"/>
              </w:rPr>
              <w:t>60%</w:t>
            </w:r>
          </w:p>
        </w:tc>
        <w:tc>
          <w:tcPr>
            <w:tcW w:w="1494" w:type="dxa"/>
          </w:tcPr>
          <w:p>
            <w:pPr>
              <w:pStyle w:val="TableParagraph"/>
              <w:rPr>
                <w:rFonts w:ascii="Times New Roman"/>
                <w:sz w:val="16"/>
              </w:rPr>
            </w:pPr>
          </w:p>
        </w:tc>
      </w:tr>
      <w:tr>
        <w:trPr>
          <w:trHeight w:val="2390" w:hRule="atLeast"/>
        </w:trPr>
        <w:tc>
          <w:tcPr>
            <w:tcW w:w="1695" w:type="dxa"/>
          </w:tcPr>
          <w:p>
            <w:pPr>
              <w:pStyle w:val="TableParagraph"/>
              <w:rPr>
                <w:b/>
                <w:sz w:val="16"/>
              </w:rPr>
            </w:pPr>
          </w:p>
          <w:p>
            <w:pPr>
              <w:pStyle w:val="TableParagraph"/>
              <w:spacing w:before="183"/>
              <w:rPr>
                <w:b/>
                <w:sz w:val="16"/>
              </w:rPr>
            </w:pPr>
          </w:p>
          <w:p>
            <w:pPr>
              <w:pStyle w:val="TableParagraph"/>
              <w:ind w:left="72"/>
              <w:rPr>
                <w:b/>
                <w:sz w:val="16"/>
              </w:rPr>
            </w:pPr>
            <w:r>
              <w:rPr>
                <w:b/>
                <w:spacing w:val="-2"/>
                <w:sz w:val="16"/>
              </w:rPr>
              <w:t>Actividad</w:t>
            </w:r>
            <w:r>
              <w:rPr>
                <w:b/>
                <w:spacing w:val="-10"/>
                <w:sz w:val="16"/>
              </w:rPr>
              <w:t> </w:t>
            </w:r>
            <w:r>
              <w:rPr>
                <w:b/>
                <w:spacing w:val="-2"/>
                <w:sz w:val="16"/>
              </w:rPr>
              <w:t>PPPS 1.57.2:</w:t>
            </w:r>
          </w:p>
          <w:p>
            <w:pPr>
              <w:pStyle w:val="TableParagraph"/>
              <w:spacing w:before="1"/>
              <w:ind w:left="72" w:right="103"/>
              <w:rPr>
                <w:sz w:val="16"/>
              </w:rPr>
            </w:pPr>
            <w:r>
              <w:rPr>
                <w:sz w:val="16"/>
              </w:rPr>
              <w:t>Implementar</w:t>
            </w:r>
            <w:r>
              <w:rPr>
                <w:spacing w:val="-12"/>
                <w:sz w:val="16"/>
              </w:rPr>
              <w:t> </w:t>
            </w:r>
            <w:r>
              <w:rPr>
                <w:sz w:val="16"/>
              </w:rPr>
              <w:t>el</w:t>
            </w:r>
            <w:r>
              <w:rPr>
                <w:spacing w:val="-11"/>
                <w:sz w:val="16"/>
              </w:rPr>
              <w:t> </w:t>
            </w:r>
            <w:r>
              <w:rPr>
                <w:sz w:val="16"/>
              </w:rPr>
              <w:t>plan de ascenso como medio para la promoción de la movilidad</w:t>
            </w:r>
            <w:r>
              <w:rPr>
                <w:spacing w:val="-2"/>
                <w:sz w:val="16"/>
              </w:rPr>
              <w:t> </w:t>
            </w:r>
            <w:r>
              <w:rPr>
                <w:sz w:val="16"/>
              </w:rPr>
              <w:t>social.</w:t>
            </w:r>
          </w:p>
        </w:tc>
        <w:tc>
          <w:tcPr>
            <w:tcW w:w="1278" w:type="dxa"/>
          </w:tcPr>
          <w:p>
            <w:pPr>
              <w:pStyle w:val="TableParagraph"/>
              <w:ind w:left="72" w:right="69"/>
              <w:rPr>
                <w:sz w:val="16"/>
              </w:rPr>
            </w:pPr>
            <w:r>
              <w:rPr>
                <w:sz w:val="16"/>
              </w:rPr>
              <w:t>Tasa de </w:t>
            </w:r>
            <w:r>
              <w:rPr>
                <w:spacing w:val="-2"/>
                <w:sz w:val="16"/>
              </w:rPr>
              <w:t>cumplimiento </w:t>
            </w:r>
            <w:r>
              <w:rPr>
                <w:sz w:val="16"/>
              </w:rPr>
              <w:t>satisfactorio de </w:t>
            </w:r>
            <w:r>
              <w:rPr>
                <w:spacing w:val="-2"/>
                <w:sz w:val="16"/>
              </w:rPr>
              <w:t>logros </w:t>
            </w:r>
            <w:r>
              <w:rPr>
                <w:sz w:val="16"/>
              </w:rPr>
              <w:t>establecidos</w:t>
            </w:r>
            <w:r>
              <w:rPr>
                <w:spacing w:val="-12"/>
                <w:sz w:val="16"/>
              </w:rPr>
              <w:t> </w:t>
            </w:r>
            <w:r>
              <w:rPr>
                <w:sz w:val="16"/>
              </w:rPr>
              <w:t>en el plan de ascenso</w:t>
            </w:r>
            <w:r>
              <w:rPr>
                <w:spacing w:val="-12"/>
                <w:sz w:val="16"/>
              </w:rPr>
              <w:t> </w:t>
            </w:r>
            <w:r>
              <w:rPr>
                <w:sz w:val="16"/>
              </w:rPr>
              <w:t>de</w:t>
            </w:r>
            <w:r>
              <w:rPr>
                <w:spacing w:val="-11"/>
                <w:sz w:val="16"/>
              </w:rPr>
              <w:t> </w:t>
            </w:r>
            <w:r>
              <w:rPr>
                <w:sz w:val="16"/>
              </w:rPr>
              <w:t>una muestra de hogares</w:t>
            </w:r>
            <w:r>
              <w:rPr>
                <w:spacing w:val="-12"/>
                <w:sz w:val="16"/>
              </w:rPr>
              <w:t> </w:t>
            </w:r>
            <w:r>
              <w:rPr>
                <w:sz w:val="16"/>
              </w:rPr>
              <w:t>en</w:t>
            </w:r>
            <w:r>
              <w:rPr>
                <w:spacing w:val="-11"/>
                <w:sz w:val="16"/>
              </w:rPr>
              <w:t> </w:t>
            </w:r>
            <w:r>
              <w:rPr>
                <w:sz w:val="16"/>
              </w:rPr>
              <w:t>ruta de intervención </w:t>
            </w:r>
            <w:r>
              <w:rPr>
                <w:spacing w:val="-2"/>
                <w:sz w:val="16"/>
              </w:rPr>
              <w:t>condicionada </w:t>
            </w:r>
            <w:r>
              <w:rPr>
                <w:sz w:val="16"/>
              </w:rPr>
              <w:t>ingresados en</w:t>
            </w:r>
          </w:p>
          <w:p>
            <w:pPr>
              <w:pStyle w:val="TableParagraph"/>
              <w:spacing w:line="163" w:lineRule="exact"/>
              <w:ind w:left="72"/>
              <w:rPr>
                <w:sz w:val="16"/>
              </w:rPr>
            </w:pPr>
            <w:r>
              <w:rPr>
                <w:spacing w:val="-2"/>
                <w:sz w:val="16"/>
              </w:rPr>
              <w:t>2025.</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right="8"/>
              <w:jc w:val="center"/>
              <w:rPr>
                <w:sz w:val="16"/>
              </w:rPr>
            </w:pPr>
            <w:r>
              <w:rPr>
                <w:spacing w:val="-5"/>
                <w:sz w:val="16"/>
              </w:rPr>
              <w:t>5%</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16" w:right="19"/>
              <w:jc w:val="center"/>
              <w:rPr>
                <w:sz w:val="16"/>
              </w:rPr>
            </w:pPr>
            <w:r>
              <w:rPr>
                <w:spacing w:val="-5"/>
                <w:sz w:val="16"/>
              </w:rPr>
              <w:t>15%</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83"/>
              <w:rPr>
                <w:b/>
                <w:sz w:val="16"/>
              </w:rPr>
            </w:pPr>
          </w:p>
          <w:p>
            <w:pPr>
              <w:pStyle w:val="TableParagraph"/>
              <w:ind w:left="4" w:right="1"/>
              <w:jc w:val="center"/>
              <w:rPr>
                <w:sz w:val="16"/>
              </w:rPr>
            </w:pPr>
            <w:r>
              <w:rPr>
                <w:spacing w:val="-5"/>
                <w:sz w:val="16"/>
              </w:rPr>
              <w:t>25%</w:t>
            </w:r>
          </w:p>
        </w:tc>
        <w:tc>
          <w:tcPr>
            <w:tcW w:w="1494" w:type="dxa"/>
          </w:tcPr>
          <w:p>
            <w:pPr>
              <w:pStyle w:val="TableParagraph"/>
              <w:rPr>
                <w:rFonts w:ascii="Times New Roman"/>
                <w:sz w:val="16"/>
              </w:rPr>
            </w:pPr>
          </w:p>
        </w:tc>
      </w:tr>
      <w:tr>
        <w:trPr>
          <w:trHeight w:val="1473" w:hRule="atLeast"/>
        </w:trPr>
        <w:tc>
          <w:tcPr>
            <w:tcW w:w="1695" w:type="dxa"/>
          </w:tcPr>
          <w:p>
            <w:pPr>
              <w:pStyle w:val="TableParagraph"/>
              <w:spacing w:line="244" w:lineRule="auto" w:before="89"/>
              <w:ind w:left="72"/>
              <w:rPr>
                <w:b/>
                <w:sz w:val="16"/>
              </w:rPr>
            </w:pPr>
            <w:r>
              <w:rPr>
                <w:b/>
                <w:spacing w:val="-2"/>
                <w:sz w:val="16"/>
              </w:rPr>
              <w:t>Actividad</w:t>
            </w:r>
            <w:r>
              <w:rPr>
                <w:b/>
                <w:spacing w:val="-10"/>
                <w:sz w:val="16"/>
              </w:rPr>
              <w:t> </w:t>
            </w:r>
            <w:r>
              <w:rPr>
                <w:b/>
                <w:spacing w:val="-2"/>
                <w:sz w:val="16"/>
              </w:rPr>
              <w:t>PPPS 1.57.3:</w:t>
            </w:r>
          </w:p>
          <w:p>
            <w:pPr>
              <w:pStyle w:val="TableParagraph"/>
              <w:ind w:left="72" w:right="103"/>
              <w:rPr>
                <w:sz w:val="16"/>
              </w:rPr>
            </w:pPr>
            <w:r>
              <w:rPr>
                <w:sz w:val="16"/>
              </w:rPr>
              <w:t>Implementar</w:t>
            </w:r>
            <w:r>
              <w:rPr>
                <w:spacing w:val="-12"/>
                <w:sz w:val="16"/>
              </w:rPr>
              <w:t> </w:t>
            </w:r>
            <w:r>
              <w:rPr>
                <w:sz w:val="16"/>
              </w:rPr>
              <w:t>el</w:t>
            </w:r>
            <w:r>
              <w:rPr>
                <w:spacing w:val="-11"/>
                <w:sz w:val="16"/>
              </w:rPr>
              <w:t> </w:t>
            </w:r>
            <w:r>
              <w:rPr>
                <w:sz w:val="16"/>
              </w:rPr>
              <w:t>plan de ascenso como medio para la promoción de la movilidad</w:t>
            </w:r>
            <w:r>
              <w:rPr>
                <w:spacing w:val="-2"/>
                <w:sz w:val="16"/>
              </w:rPr>
              <w:t> </w:t>
            </w:r>
            <w:r>
              <w:rPr>
                <w:sz w:val="16"/>
              </w:rPr>
              <w:t>social.</w:t>
            </w:r>
          </w:p>
        </w:tc>
        <w:tc>
          <w:tcPr>
            <w:tcW w:w="1278" w:type="dxa"/>
          </w:tcPr>
          <w:p>
            <w:pPr>
              <w:pStyle w:val="TableParagraph"/>
              <w:ind w:left="72" w:right="78"/>
              <w:rPr>
                <w:sz w:val="16"/>
              </w:rPr>
            </w:pPr>
            <w:r>
              <w:rPr>
                <w:sz w:val="16"/>
              </w:rPr>
              <w:t>Tasa de </w:t>
            </w:r>
            <w:r>
              <w:rPr>
                <w:spacing w:val="-2"/>
                <w:sz w:val="16"/>
              </w:rPr>
              <w:t>incumplimiento </w:t>
            </w:r>
            <w:r>
              <w:rPr>
                <w:sz w:val="16"/>
              </w:rPr>
              <w:t>injustificado</w:t>
            </w:r>
            <w:r>
              <w:rPr>
                <w:spacing w:val="-2"/>
                <w:sz w:val="16"/>
              </w:rPr>
              <w:t> </w:t>
            </w:r>
            <w:r>
              <w:rPr>
                <w:sz w:val="16"/>
              </w:rPr>
              <w:t>y manifiesto</w:t>
            </w:r>
            <w:r>
              <w:rPr>
                <w:spacing w:val="-12"/>
                <w:sz w:val="16"/>
              </w:rPr>
              <w:t> </w:t>
            </w:r>
            <w:r>
              <w:rPr>
                <w:sz w:val="16"/>
              </w:rPr>
              <w:t>en</w:t>
            </w:r>
            <w:r>
              <w:rPr>
                <w:spacing w:val="-11"/>
                <w:sz w:val="16"/>
              </w:rPr>
              <w:t> </w:t>
            </w:r>
            <w:r>
              <w:rPr>
                <w:sz w:val="16"/>
              </w:rPr>
              <w:t>el marco</w:t>
            </w:r>
            <w:r>
              <w:rPr>
                <w:spacing w:val="-2"/>
                <w:sz w:val="16"/>
              </w:rPr>
              <w:t> </w:t>
            </w:r>
            <w:r>
              <w:rPr>
                <w:sz w:val="16"/>
              </w:rPr>
              <w:t>del Modelo de</w:t>
            </w:r>
          </w:p>
          <w:p>
            <w:pPr>
              <w:pStyle w:val="TableParagraph"/>
              <w:spacing w:line="188" w:lineRule="exact"/>
              <w:ind w:left="72"/>
              <w:rPr>
                <w:sz w:val="16"/>
              </w:rPr>
            </w:pPr>
            <w:r>
              <w:rPr>
                <w:spacing w:val="-2"/>
                <w:sz w:val="16"/>
              </w:rPr>
              <w:t>Intervención Institucional.</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spacing w:before="90"/>
              <w:rPr>
                <w:b/>
                <w:sz w:val="16"/>
              </w:rPr>
            </w:pPr>
          </w:p>
          <w:p>
            <w:pPr>
              <w:pStyle w:val="TableParagraph"/>
              <w:ind w:right="8"/>
              <w:jc w:val="center"/>
              <w:rPr>
                <w:sz w:val="16"/>
              </w:rPr>
            </w:pPr>
            <w:r>
              <w:rPr>
                <w:spacing w:val="-5"/>
                <w:sz w:val="16"/>
              </w:rPr>
              <w:t>5%</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16" w:right="19"/>
              <w:jc w:val="center"/>
              <w:rPr>
                <w:sz w:val="16"/>
              </w:rPr>
            </w:pPr>
            <w:r>
              <w:rPr>
                <w:spacing w:val="-5"/>
                <w:sz w:val="16"/>
              </w:rPr>
              <w:t>10%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spacing w:before="90"/>
              <w:rPr>
                <w:b/>
                <w:sz w:val="16"/>
              </w:rPr>
            </w:pPr>
          </w:p>
          <w:p>
            <w:pPr>
              <w:pStyle w:val="TableParagraph"/>
              <w:ind w:left="4" w:right="1"/>
              <w:jc w:val="center"/>
              <w:rPr>
                <w:sz w:val="16"/>
              </w:rPr>
            </w:pPr>
            <w:r>
              <w:rPr>
                <w:spacing w:val="-5"/>
                <w:sz w:val="16"/>
              </w:rPr>
              <w:t>15%</w:t>
            </w:r>
          </w:p>
        </w:tc>
        <w:tc>
          <w:tcPr>
            <w:tcW w:w="1494" w:type="dxa"/>
          </w:tcPr>
          <w:p>
            <w:pPr>
              <w:pStyle w:val="TableParagraph"/>
              <w:rPr>
                <w:rFonts w:ascii="Times New Roman"/>
                <w:sz w:val="16"/>
              </w:rPr>
            </w:pPr>
          </w:p>
        </w:tc>
      </w:tr>
      <w:tr>
        <w:trPr>
          <w:trHeight w:val="2385" w:hRule="atLeast"/>
        </w:trPr>
        <w:tc>
          <w:tcPr>
            <w:tcW w:w="1695" w:type="dxa"/>
          </w:tcPr>
          <w:p>
            <w:pPr>
              <w:pStyle w:val="TableParagraph"/>
              <w:spacing w:before="83"/>
              <w:ind w:left="72"/>
              <w:rPr>
                <w:b/>
                <w:sz w:val="16"/>
              </w:rPr>
            </w:pPr>
            <w:r>
              <w:rPr>
                <w:b/>
                <w:spacing w:val="-2"/>
                <w:sz w:val="16"/>
              </w:rPr>
              <w:t>Actividad</w:t>
            </w:r>
            <w:r>
              <w:rPr>
                <w:b/>
                <w:spacing w:val="-10"/>
                <w:sz w:val="16"/>
              </w:rPr>
              <w:t> </w:t>
            </w:r>
            <w:r>
              <w:rPr>
                <w:b/>
                <w:spacing w:val="-2"/>
                <w:sz w:val="16"/>
              </w:rPr>
              <w:t>PPPS 1.57.4:</w:t>
            </w:r>
          </w:p>
          <w:p>
            <w:pPr>
              <w:pStyle w:val="TableParagraph"/>
              <w:spacing w:before="2"/>
              <w:ind w:left="72" w:right="128"/>
              <w:rPr>
                <w:sz w:val="16"/>
              </w:rPr>
            </w:pPr>
            <w:r>
              <w:rPr>
                <w:sz w:val="16"/>
              </w:rPr>
              <w:t>Desarrollo de procesos de seguimiento</w:t>
            </w:r>
            <w:r>
              <w:rPr>
                <w:spacing w:val="-12"/>
                <w:sz w:val="16"/>
              </w:rPr>
              <w:t> </w:t>
            </w:r>
            <w:r>
              <w:rPr>
                <w:sz w:val="16"/>
              </w:rPr>
              <w:t>para</w:t>
            </w:r>
            <w:r>
              <w:rPr>
                <w:spacing w:val="-11"/>
                <w:sz w:val="16"/>
              </w:rPr>
              <w:t> </w:t>
            </w:r>
            <w:r>
              <w:rPr>
                <w:sz w:val="16"/>
              </w:rPr>
              <w:t>el cumplimiento de logros</w:t>
            </w:r>
            <w:r>
              <w:rPr>
                <w:spacing w:val="-12"/>
                <w:sz w:val="16"/>
              </w:rPr>
              <w:t> </w:t>
            </w:r>
            <w:r>
              <w:rPr>
                <w:sz w:val="16"/>
              </w:rPr>
              <w:t>establecidos en el plan de ascenso de los hogares en ruta de </w:t>
            </w:r>
            <w:r>
              <w:rPr>
                <w:spacing w:val="-2"/>
                <w:sz w:val="16"/>
              </w:rPr>
              <w:t>intervención condicionada.</w:t>
            </w:r>
          </w:p>
        </w:tc>
        <w:tc>
          <w:tcPr>
            <w:tcW w:w="1278" w:type="dxa"/>
          </w:tcPr>
          <w:p>
            <w:pPr>
              <w:pStyle w:val="TableParagraph"/>
              <w:ind w:left="72" w:right="200"/>
              <w:rPr>
                <w:sz w:val="16"/>
              </w:rPr>
            </w:pPr>
            <w:r>
              <w:rPr>
                <w:sz w:val="16"/>
              </w:rPr>
              <w:t>Porcentaje</w:t>
            </w:r>
            <w:r>
              <w:rPr>
                <w:spacing w:val="-12"/>
                <w:sz w:val="16"/>
              </w:rPr>
              <w:t> </w:t>
            </w:r>
            <w:r>
              <w:rPr>
                <w:sz w:val="16"/>
              </w:rPr>
              <w:t>de </w:t>
            </w:r>
            <w:r>
              <w:rPr>
                <w:spacing w:val="-2"/>
                <w:sz w:val="16"/>
              </w:rPr>
              <w:t>personas </w:t>
            </w:r>
            <w:r>
              <w:rPr>
                <w:sz w:val="16"/>
              </w:rPr>
              <w:t>menores de </w:t>
            </w:r>
            <w:r>
              <w:rPr>
                <w:spacing w:val="-4"/>
                <w:sz w:val="16"/>
              </w:rPr>
              <w:t>edad </w:t>
            </w:r>
            <w:r>
              <w:rPr>
                <w:sz w:val="16"/>
              </w:rPr>
              <w:t>vinculadas al Modelo de </w:t>
            </w:r>
            <w:r>
              <w:rPr>
                <w:spacing w:val="-2"/>
                <w:sz w:val="16"/>
              </w:rPr>
              <w:t>Intervención Institucional </w:t>
            </w:r>
            <w:r>
              <w:rPr>
                <w:sz w:val="16"/>
              </w:rPr>
              <w:t>con</w:t>
            </w:r>
            <w:r>
              <w:rPr>
                <w:spacing w:val="-2"/>
                <w:sz w:val="16"/>
              </w:rPr>
              <w:t> </w:t>
            </w:r>
            <w:r>
              <w:rPr>
                <w:sz w:val="16"/>
              </w:rPr>
              <w:t>inclusión </w:t>
            </w:r>
            <w:r>
              <w:rPr>
                <w:spacing w:val="-4"/>
                <w:sz w:val="16"/>
              </w:rPr>
              <w:t>y/o </w:t>
            </w:r>
            <w:r>
              <w:rPr>
                <w:spacing w:val="-2"/>
                <w:sz w:val="16"/>
              </w:rPr>
              <w:t>permanencia</w:t>
            </w:r>
          </w:p>
          <w:p>
            <w:pPr>
              <w:pStyle w:val="TableParagraph"/>
              <w:spacing w:line="182" w:lineRule="exact"/>
              <w:ind w:left="72" w:right="256"/>
              <w:rPr>
                <w:sz w:val="16"/>
              </w:rPr>
            </w:pPr>
            <w:r>
              <w:rPr>
                <w:sz w:val="16"/>
              </w:rPr>
              <w:t>en</w:t>
            </w:r>
            <w:r>
              <w:rPr>
                <w:spacing w:val="-12"/>
                <w:sz w:val="16"/>
              </w:rPr>
              <w:t> </w:t>
            </w:r>
            <w:r>
              <w:rPr>
                <w:sz w:val="16"/>
              </w:rPr>
              <w:t>el</w:t>
            </w:r>
            <w:r>
              <w:rPr>
                <w:spacing w:val="-11"/>
                <w:sz w:val="16"/>
              </w:rPr>
              <w:t> </w:t>
            </w:r>
            <w:r>
              <w:rPr>
                <w:sz w:val="16"/>
              </w:rPr>
              <w:t>sistema </w:t>
            </w:r>
            <w:r>
              <w:rPr>
                <w:spacing w:val="-2"/>
                <w:sz w:val="16"/>
              </w:rPr>
              <w:t>educativo</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6"/>
              <w:rPr>
                <w:b/>
                <w:sz w:val="16"/>
              </w:rPr>
            </w:pPr>
          </w:p>
          <w:p>
            <w:pPr>
              <w:pStyle w:val="TableParagraph"/>
              <w:spacing w:before="1"/>
              <w:ind w:right="1"/>
              <w:jc w:val="center"/>
              <w:rPr>
                <w:sz w:val="16"/>
              </w:rPr>
            </w:pPr>
            <w:r>
              <w:rPr>
                <w:spacing w:val="-5"/>
                <w:sz w:val="16"/>
              </w:rPr>
              <w:t>25%</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6"/>
              <w:rPr>
                <w:b/>
                <w:sz w:val="16"/>
              </w:rPr>
            </w:pPr>
          </w:p>
          <w:p>
            <w:pPr>
              <w:pStyle w:val="TableParagraph"/>
              <w:spacing w:before="1"/>
              <w:ind w:left="16" w:right="19"/>
              <w:jc w:val="center"/>
              <w:rPr>
                <w:sz w:val="16"/>
              </w:rPr>
            </w:pPr>
            <w:r>
              <w:rPr>
                <w:spacing w:val="-5"/>
                <w:sz w:val="16"/>
              </w:rPr>
              <w:t>50%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76"/>
              <w:rPr>
                <w:b/>
                <w:sz w:val="16"/>
              </w:rPr>
            </w:pPr>
          </w:p>
          <w:p>
            <w:pPr>
              <w:pStyle w:val="TableParagraph"/>
              <w:spacing w:before="1"/>
              <w:ind w:left="4" w:right="1"/>
              <w:jc w:val="center"/>
              <w:rPr>
                <w:sz w:val="16"/>
              </w:rPr>
            </w:pPr>
            <w:r>
              <w:rPr>
                <w:spacing w:val="-5"/>
                <w:sz w:val="16"/>
              </w:rPr>
              <w:t>70%</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936" w:hRule="atLeast"/>
        </w:trPr>
        <w:tc>
          <w:tcPr>
            <w:tcW w:w="1695" w:type="dxa"/>
          </w:tcPr>
          <w:p>
            <w:pPr>
              <w:pStyle w:val="TableParagraph"/>
              <w:rPr>
                <w:rFonts w:ascii="Times New Roman"/>
                <w:sz w:val="16"/>
              </w:rPr>
            </w:pPr>
          </w:p>
        </w:tc>
        <w:tc>
          <w:tcPr>
            <w:tcW w:w="1278" w:type="dxa"/>
          </w:tcPr>
          <w:p>
            <w:pPr>
              <w:pStyle w:val="TableParagraph"/>
              <w:spacing w:line="173" w:lineRule="exact"/>
              <w:ind w:left="72"/>
              <w:rPr>
                <w:sz w:val="16"/>
              </w:rPr>
            </w:pPr>
            <w:r>
              <w:rPr>
                <w:spacing w:val="-2"/>
                <w:sz w:val="16"/>
              </w:rPr>
              <w:t>formal</w:t>
            </w:r>
          </w:p>
          <w:p>
            <w:pPr>
              <w:pStyle w:val="TableParagraph"/>
              <w:spacing w:before="4"/>
              <w:ind w:left="72" w:right="191"/>
              <w:rPr>
                <w:sz w:val="16"/>
              </w:rPr>
            </w:pPr>
            <w:r>
              <w:rPr>
                <w:spacing w:val="-2"/>
                <w:sz w:val="16"/>
              </w:rPr>
              <w:t>(educación preescolar</w:t>
            </w:r>
            <w:r>
              <w:rPr>
                <w:spacing w:val="-10"/>
                <w:sz w:val="16"/>
              </w:rPr>
              <w:t> </w:t>
            </w:r>
            <w:r>
              <w:rPr>
                <w:spacing w:val="-2"/>
                <w:sz w:val="16"/>
              </w:rPr>
              <w:t>y general básica).</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rFonts w:ascii="Times New Roman"/>
                <w:sz w:val="16"/>
              </w:rPr>
            </w:pPr>
          </w:p>
        </w:tc>
        <w:tc>
          <w:tcPr>
            <w:tcW w:w="1494" w:type="dxa"/>
          </w:tcPr>
          <w:p>
            <w:pPr>
              <w:pStyle w:val="TableParagraph"/>
              <w:rPr>
                <w:rFonts w:ascii="Times New Roman"/>
                <w:sz w:val="16"/>
              </w:rPr>
            </w:pPr>
          </w:p>
        </w:tc>
      </w:tr>
      <w:tr>
        <w:trPr>
          <w:trHeight w:val="2578" w:hRule="atLeast"/>
        </w:trPr>
        <w:tc>
          <w:tcPr>
            <w:tcW w:w="1695" w:type="dxa"/>
          </w:tcPr>
          <w:p>
            <w:pPr>
              <w:pStyle w:val="TableParagraph"/>
              <w:spacing w:before="1"/>
              <w:rPr>
                <w:b/>
                <w:sz w:val="16"/>
              </w:rPr>
            </w:pPr>
          </w:p>
          <w:p>
            <w:pPr>
              <w:pStyle w:val="TableParagraph"/>
              <w:ind w:left="72"/>
              <w:rPr>
                <w:b/>
                <w:sz w:val="16"/>
              </w:rPr>
            </w:pPr>
            <w:r>
              <w:rPr>
                <w:b/>
                <w:spacing w:val="-2"/>
                <w:sz w:val="16"/>
              </w:rPr>
              <w:t>Actividad</w:t>
            </w:r>
            <w:r>
              <w:rPr>
                <w:b/>
                <w:spacing w:val="-10"/>
                <w:sz w:val="16"/>
              </w:rPr>
              <w:t> </w:t>
            </w:r>
            <w:r>
              <w:rPr>
                <w:b/>
                <w:spacing w:val="-2"/>
                <w:sz w:val="16"/>
              </w:rPr>
              <w:t>PPPS 1.57.5:</w:t>
            </w:r>
          </w:p>
          <w:p>
            <w:pPr>
              <w:pStyle w:val="TableParagraph"/>
              <w:ind w:left="72" w:right="128"/>
              <w:rPr>
                <w:sz w:val="16"/>
              </w:rPr>
            </w:pPr>
            <w:r>
              <w:rPr>
                <w:sz w:val="16"/>
              </w:rPr>
              <w:t>Desarrollo de procesos de seguimiento</w:t>
            </w:r>
            <w:r>
              <w:rPr>
                <w:spacing w:val="-12"/>
                <w:sz w:val="16"/>
              </w:rPr>
              <w:t> </w:t>
            </w:r>
            <w:r>
              <w:rPr>
                <w:sz w:val="16"/>
              </w:rPr>
              <w:t>para</w:t>
            </w:r>
            <w:r>
              <w:rPr>
                <w:spacing w:val="-11"/>
                <w:sz w:val="16"/>
              </w:rPr>
              <w:t> </w:t>
            </w:r>
            <w:r>
              <w:rPr>
                <w:sz w:val="16"/>
              </w:rPr>
              <w:t>el cumplimiento de logros</w:t>
            </w:r>
            <w:r>
              <w:rPr>
                <w:spacing w:val="-12"/>
                <w:sz w:val="16"/>
              </w:rPr>
              <w:t> </w:t>
            </w:r>
            <w:r>
              <w:rPr>
                <w:sz w:val="16"/>
              </w:rPr>
              <w:t>establecidos en el plan de ascenso de los hogares en ruta de </w:t>
            </w:r>
            <w:r>
              <w:rPr>
                <w:spacing w:val="-2"/>
                <w:sz w:val="16"/>
              </w:rPr>
              <w:t>intervención condicionada.</w:t>
            </w:r>
          </w:p>
        </w:tc>
        <w:tc>
          <w:tcPr>
            <w:tcW w:w="1278" w:type="dxa"/>
          </w:tcPr>
          <w:p>
            <w:pPr>
              <w:pStyle w:val="TableParagraph"/>
              <w:ind w:left="72" w:right="70"/>
              <w:rPr>
                <w:sz w:val="16"/>
              </w:rPr>
            </w:pPr>
            <w:r>
              <w:rPr>
                <w:sz w:val="16"/>
              </w:rPr>
              <w:t>Tasa de </w:t>
            </w:r>
            <w:r>
              <w:rPr>
                <w:spacing w:val="-2"/>
                <w:sz w:val="16"/>
              </w:rPr>
              <w:t>personas </w:t>
            </w:r>
            <w:r>
              <w:rPr>
                <w:sz w:val="16"/>
              </w:rPr>
              <w:t>mayores de </w:t>
            </w:r>
            <w:r>
              <w:rPr>
                <w:spacing w:val="-4"/>
                <w:sz w:val="16"/>
              </w:rPr>
              <w:t>edad </w:t>
            </w:r>
            <w:r>
              <w:rPr>
                <w:spacing w:val="-2"/>
                <w:sz w:val="16"/>
              </w:rPr>
              <w:t>incorporadas</w:t>
            </w:r>
            <w:r>
              <w:rPr>
                <w:spacing w:val="80"/>
                <w:sz w:val="16"/>
              </w:rPr>
              <w:t> </w:t>
            </w:r>
            <w:r>
              <w:rPr>
                <w:sz w:val="16"/>
              </w:rPr>
              <w:t>en el Modelo</w:t>
            </w:r>
            <w:r>
              <w:rPr>
                <w:spacing w:val="40"/>
                <w:sz w:val="16"/>
              </w:rPr>
              <w:t> </w:t>
            </w:r>
            <w:r>
              <w:rPr>
                <w:sz w:val="16"/>
              </w:rPr>
              <w:t>de</w:t>
            </w:r>
            <w:r>
              <w:rPr>
                <w:spacing w:val="-9"/>
                <w:sz w:val="16"/>
              </w:rPr>
              <w:t> </w:t>
            </w:r>
            <w:r>
              <w:rPr>
                <w:sz w:val="16"/>
              </w:rPr>
              <w:t>Intervención </w:t>
            </w:r>
            <w:r>
              <w:rPr>
                <w:spacing w:val="-2"/>
                <w:sz w:val="16"/>
              </w:rPr>
              <w:t>Institucional</w:t>
            </w:r>
            <w:r>
              <w:rPr>
                <w:spacing w:val="40"/>
                <w:sz w:val="16"/>
              </w:rPr>
              <w:t> </w:t>
            </w:r>
            <w:r>
              <w:rPr>
                <w:sz w:val="16"/>
              </w:rPr>
              <w:t>que</w:t>
            </w:r>
            <w:r>
              <w:rPr>
                <w:spacing w:val="-2"/>
                <w:sz w:val="16"/>
              </w:rPr>
              <w:t> </w:t>
            </w:r>
            <w:r>
              <w:rPr>
                <w:sz w:val="16"/>
              </w:rPr>
              <w:t>logran mejorar su</w:t>
            </w:r>
            <w:r>
              <w:rPr>
                <w:spacing w:val="40"/>
                <w:sz w:val="16"/>
              </w:rPr>
              <w:t> </w:t>
            </w:r>
            <w:r>
              <w:rPr>
                <w:spacing w:val="-2"/>
                <w:sz w:val="16"/>
              </w:rPr>
              <w:t>perfil</w:t>
            </w:r>
            <w:r>
              <w:rPr>
                <w:spacing w:val="-10"/>
                <w:sz w:val="16"/>
              </w:rPr>
              <w:t> </w:t>
            </w:r>
            <w:r>
              <w:rPr>
                <w:spacing w:val="-2"/>
                <w:sz w:val="16"/>
              </w:rPr>
              <w:t>empleable mediante</w:t>
            </w:r>
          </w:p>
          <w:p>
            <w:pPr>
              <w:pStyle w:val="TableParagraph"/>
              <w:spacing w:line="188" w:lineRule="exact"/>
              <w:ind w:left="72"/>
              <w:rPr>
                <w:sz w:val="16"/>
              </w:rPr>
            </w:pPr>
            <w:r>
              <w:rPr>
                <w:sz w:val="16"/>
              </w:rPr>
              <w:t>procesos de </w:t>
            </w:r>
            <w:r>
              <w:rPr>
                <w:spacing w:val="-2"/>
                <w:sz w:val="16"/>
              </w:rPr>
              <w:t>capacitación.</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right="8"/>
              <w:jc w:val="center"/>
              <w:rPr>
                <w:sz w:val="16"/>
              </w:rPr>
            </w:pPr>
            <w:r>
              <w:rPr>
                <w:spacing w:val="-5"/>
                <w:sz w:val="16"/>
              </w:rPr>
              <w:t>5%</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16" w:right="19"/>
              <w:jc w:val="center"/>
              <w:rPr>
                <w:sz w:val="16"/>
              </w:rPr>
            </w:pPr>
            <w:r>
              <w:rPr>
                <w:spacing w:val="-5"/>
                <w:sz w:val="16"/>
              </w:rPr>
              <w:t>10%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5"/>
              <w:rPr>
                <w:b/>
                <w:sz w:val="16"/>
              </w:rPr>
            </w:pPr>
          </w:p>
          <w:p>
            <w:pPr>
              <w:pStyle w:val="TableParagraph"/>
              <w:ind w:left="4" w:right="1"/>
              <w:jc w:val="center"/>
              <w:rPr>
                <w:sz w:val="16"/>
              </w:rPr>
            </w:pPr>
            <w:r>
              <w:rPr>
                <w:spacing w:val="-5"/>
                <w:sz w:val="16"/>
              </w:rPr>
              <w:t>15%</w:t>
            </w:r>
          </w:p>
        </w:tc>
        <w:tc>
          <w:tcPr>
            <w:tcW w:w="1494" w:type="dxa"/>
          </w:tcPr>
          <w:p>
            <w:pPr>
              <w:pStyle w:val="TableParagraph"/>
              <w:rPr>
                <w:rFonts w:ascii="Times New Roman"/>
                <w:sz w:val="16"/>
              </w:rPr>
            </w:pPr>
          </w:p>
        </w:tc>
      </w:tr>
      <w:tr>
        <w:trPr>
          <w:trHeight w:val="2202" w:hRule="atLeast"/>
        </w:trPr>
        <w:tc>
          <w:tcPr>
            <w:tcW w:w="1695" w:type="dxa"/>
          </w:tcPr>
          <w:p>
            <w:pPr>
              <w:pStyle w:val="TableParagraph"/>
              <w:spacing w:line="237" w:lineRule="auto"/>
              <w:ind w:left="72"/>
              <w:rPr>
                <w:b/>
                <w:sz w:val="16"/>
              </w:rPr>
            </w:pPr>
            <w:r>
              <w:rPr>
                <w:b/>
                <w:spacing w:val="-2"/>
                <w:sz w:val="16"/>
              </w:rPr>
              <w:t>Actividad</w:t>
            </w:r>
            <w:r>
              <w:rPr>
                <w:b/>
                <w:spacing w:val="-10"/>
                <w:sz w:val="16"/>
              </w:rPr>
              <w:t> </w:t>
            </w:r>
            <w:r>
              <w:rPr>
                <w:b/>
                <w:spacing w:val="-2"/>
                <w:sz w:val="16"/>
              </w:rPr>
              <w:t>PPPS 1.57.6:</w:t>
            </w:r>
          </w:p>
          <w:p>
            <w:pPr>
              <w:pStyle w:val="TableParagraph"/>
              <w:ind w:left="72" w:right="128"/>
              <w:rPr>
                <w:sz w:val="16"/>
              </w:rPr>
            </w:pPr>
            <w:r>
              <w:rPr>
                <w:sz w:val="16"/>
              </w:rPr>
              <w:t>Desarrollo de procesos de seguimiento</w:t>
            </w:r>
            <w:r>
              <w:rPr>
                <w:spacing w:val="-12"/>
                <w:sz w:val="16"/>
              </w:rPr>
              <w:t> </w:t>
            </w:r>
            <w:r>
              <w:rPr>
                <w:sz w:val="16"/>
              </w:rPr>
              <w:t>para</w:t>
            </w:r>
            <w:r>
              <w:rPr>
                <w:spacing w:val="-11"/>
                <w:sz w:val="16"/>
              </w:rPr>
              <w:t> </w:t>
            </w:r>
            <w:r>
              <w:rPr>
                <w:sz w:val="16"/>
              </w:rPr>
              <w:t>el cumplimiento de logros</w:t>
            </w:r>
            <w:r>
              <w:rPr>
                <w:spacing w:val="-12"/>
                <w:sz w:val="16"/>
              </w:rPr>
              <w:t> </w:t>
            </w:r>
            <w:r>
              <w:rPr>
                <w:sz w:val="16"/>
              </w:rPr>
              <w:t>establecidos en el plan de ascenso de los hogares en ruta de </w:t>
            </w:r>
            <w:r>
              <w:rPr>
                <w:spacing w:val="-2"/>
                <w:sz w:val="16"/>
              </w:rPr>
              <w:t>intervención</w:t>
            </w:r>
          </w:p>
          <w:p>
            <w:pPr>
              <w:pStyle w:val="TableParagraph"/>
              <w:spacing w:line="163" w:lineRule="exact"/>
              <w:ind w:left="72"/>
              <w:rPr>
                <w:sz w:val="16"/>
              </w:rPr>
            </w:pPr>
            <w:r>
              <w:rPr>
                <w:spacing w:val="-2"/>
                <w:sz w:val="16"/>
              </w:rPr>
              <w:t>condicionada.</w:t>
            </w:r>
          </w:p>
        </w:tc>
        <w:tc>
          <w:tcPr>
            <w:tcW w:w="1278" w:type="dxa"/>
          </w:tcPr>
          <w:p>
            <w:pPr>
              <w:pStyle w:val="TableParagraph"/>
              <w:ind w:left="72" w:right="103"/>
              <w:rPr>
                <w:sz w:val="16"/>
              </w:rPr>
            </w:pPr>
            <w:r>
              <w:rPr>
                <w:sz w:val="16"/>
              </w:rPr>
              <w:t>Tasa de </w:t>
            </w:r>
            <w:r>
              <w:rPr>
                <w:spacing w:val="-2"/>
                <w:sz w:val="16"/>
              </w:rPr>
              <w:t>personas </w:t>
            </w:r>
            <w:r>
              <w:rPr>
                <w:sz w:val="16"/>
              </w:rPr>
              <w:t>mayores de edad</w:t>
            </w:r>
            <w:r>
              <w:rPr>
                <w:spacing w:val="-12"/>
                <w:sz w:val="16"/>
              </w:rPr>
              <w:t> </w:t>
            </w:r>
            <w:r>
              <w:rPr>
                <w:sz w:val="16"/>
              </w:rPr>
              <w:t>con</w:t>
            </w:r>
            <w:r>
              <w:rPr>
                <w:spacing w:val="-7"/>
                <w:sz w:val="16"/>
              </w:rPr>
              <w:t> </w:t>
            </w:r>
            <w:r>
              <w:rPr>
                <w:sz w:val="16"/>
              </w:rPr>
              <w:t>perfil </w:t>
            </w:r>
            <w:r>
              <w:rPr>
                <w:spacing w:val="-6"/>
                <w:sz w:val="16"/>
              </w:rPr>
              <w:t>de</w:t>
            </w:r>
            <w:r>
              <w:rPr>
                <w:spacing w:val="-2"/>
                <w:sz w:val="16"/>
              </w:rPr>
              <w:t> empresariedad </w:t>
            </w:r>
            <w:r>
              <w:rPr>
                <w:sz w:val="16"/>
              </w:rPr>
              <w:t>con acceso a </w:t>
            </w:r>
            <w:r>
              <w:rPr>
                <w:spacing w:val="-2"/>
                <w:sz w:val="16"/>
              </w:rPr>
              <w:t>financiamiento, </w:t>
            </w:r>
            <w:r>
              <w:rPr>
                <w:sz w:val="16"/>
              </w:rPr>
              <w:t>que</w:t>
            </w:r>
            <w:r>
              <w:rPr>
                <w:spacing w:val="-12"/>
                <w:sz w:val="16"/>
              </w:rPr>
              <w:t> </w:t>
            </w:r>
            <w:r>
              <w:rPr>
                <w:sz w:val="16"/>
              </w:rPr>
              <w:t>logran</w:t>
            </w:r>
            <w:r>
              <w:rPr>
                <w:spacing w:val="-11"/>
                <w:sz w:val="16"/>
              </w:rPr>
              <w:t> </w:t>
            </w:r>
            <w:r>
              <w:rPr>
                <w:sz w:val="16"/>
              </w:rPr>
              <w:t>una mejora en su </w:t>
            </w:r>
            <w:r>
              <w:rPr>
                <w:spacing w:val="-2"/>
                <w:sz w:val="16"/>
              </w:rPr>
              <w:t>emprendimient</w:t>
            </w:r>
          </w:p>
          <w:p>
            <w:pPr>
              <w:pStyle w:val="TableParagraph"/>
              <w:spacing w:line="163" w:lineRule="exact"/>
              <w:ind w:left="72"/>
              <w:rPr>
                <w:sz w:val="16"/>
              </w:rPr>
            </w:pPr>
            <w:r>
              <w:rPr>
                <w:spacing w:val="-5"/>
                <w:sz w:val="16"/>
              </w:rPr>
              <w:t>o.</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6"/>
              <w:rPr>
                <w:b/>
                <w:sz w:val="16"/>
              </w:rPr>
            </w:pPr>
          </w:p>
          <w:p>
            <w:pPr>
              <w:pStyle w:val="TableParagraph"/>
              <w:ind w:right="8"/>
              <w:jc w:val="center"/>
              <w:rPr>
                <w:sz w:val="16"/>
              </w:rPr>
            </w:pPr>
            <w:r>
              <w:rPr>
                <w:spacing w:val="-5"/>
                <w:sz w:val="16"/>
              </w:rPr>
              <w:t>5%</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6"/>
              <w:rPr>
                <w:b/>
                <w:sz w:val="16"/>
              </w:rPr>
            </w:pPr>
          </w:p>
          <w:p>
            <w:pPr>
              <w:pStyle w:val="TableParagraph"/>
              <w:ind w:left="16" w:right="19"/>
              <w:jc w:val="center"/>
              <w:rPr>
                <w:sz w:val="16"/>
              </w:rPr>
            </w:pPr>
            <w:r>
              <w:rPr>
                <w:spacing w:val="-5"/>
                <w:sz w:val="16"/>
              </w:rPr>
              <w:t>10%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86"/>
              <w:rPr>
                <w:b/>
                <w:sz w:val="16"/>
              </w:rPr>
            </w:pPr>
          </w:p>
          <w:p>
            <w:pPr>
              <w:pStyle w:val="TableParagraph"/>
              <w:ind w:left="4" w:right="1"/>
              <w:jc w:val="center"/>
              <w:rPr>
                <w:sz w:val="16"/>
              </w:rPr>
            </w:pPr>
            <w:r>
              <w:rPr>
                <w:spacing w:val="-5"/>
                <w:sz w:val="16"/>
              </w:rPr>
              <w:t>15%</w:t>
            </w:r>
          </w:p>
        </w:tc>
        <w:tc>
          <w:tcPr>
            <w:tcW w:w="1494" w:type="dxa"/>
          </w:tcPr>
          <w:p>
            <w:pPr>
              <w:pStyle w:val="TableParagraph"/>
              <w:rPr>
                <w:rFonts w:ascii="Times New Roman"/>
                <w:sz w:val="16"/>
              </w:rPr>
            </w:pPr>
          </w:p>
        </w:tc>
      </w:tr>
      <w:tr>
        <w:trPr>
          <w:trHeight w:val="2208" w:hRule="atLeast"/>
        </w:trPr>
        <w:tc>
          <w:tcPr>
            <w:tcW w:w="1695" w:type="dxa"/>
          </w:tcPr>
          <w:p>
            <w:pPr>
              <w:pStyle w:val="TableParagraph"/>
              <w:ind w:left="72"/>
              <w:rPr>
                <w:b/>
                <w:sz w:val="16"/>
              </w:rPr>
            </w:pPr>
            <w:r>
              <w:rPr>
                <w:b/>
                <w:spacing w:val="-2"/>
                <w:sz w:val="16"/>
              </w:rPr>
              <w:t>Actividad</w:t>
            </w:r>
            <w:r>
              <w:rPr>
                <w:b/>
                <w:spacing w:val="-10"/>
                <w:sz w:val="16"/>
              </w:rPr>
              <w:t> </w:t>
            </w:r>
            <w:r>
              <w:rPr>
                <w:b/>
                <w:spacing w:val="-2"/>
                <w:sz w:val="16"/>
              </w:rPr>
              <w:t>PPPS 1.57.7:</w:t>
            </w:r>
          </w:p>
          <w:p>
            <w:pPr>
              <w:pStyle w:val="TableParagraph"/>
              <w:ind w:left="72" w:right="128"/>
              <w:rPr>
                <w:sz w:val="16"/>
              </w:rPr>
            </w:pPr>
            <w:r>
              <w:rPr>
                <w:sz w:val="16"/>
              </w:rPr>
              <w:t>Desarrollo de procesos de seguimiento</w:t>
            </w:r>
            <w:r>
              <w:rPr>
                <w:spacing w:val="-12"/>
                <w:sz w:val="16"/>
              </w:rPr>
              <w:t> </w:t>
            </w:r>
            <w:r>
              <w:rPr>
                <w:sz w:val="16"/>
              </w:rPr>
              <w:t>para</w:t>
            </w:r>
            <w:r>
              <w:rPr>
                <w:spacing w:val="-11"/>
                <w:sz w:val="16"/>
              </w:rPr>
              <w:t> </w:t>
            </w:r>
            <w:r>
              <w:rPr>
                <w:sz w:val="16"/>
              </w:rPr>
              <w:t>el cumplimiento de logros</w:t>
            </w:r>
            <w:r>
              <w:rPr>
                <w:spacing w:val="-12"/>
                <w:sz w:val="16"/>
              </w:rPr>
              <w:t> </w:t>
            </w:r>
            <w:r>
              <w:rPr>
                <w:sz w:val="16"/>
              </w:rPr>
              <w:t>establecidos en el plan de ascenso de los hogares en ruta de </w:t>
            </w:r>
            <w:r>
              <w:rPr>
                <w:spacing w:val="-2"/>
                <w:sz w:val="16"/>
              </w:rPr>
              <w:t>intervención</w:t>
            </w:r>
          </w:p>
          <w:p>
            <w:pPr>
              <w:pStyle w:val="TableParagraph"/>
              <w:spacing w:line="163" w:lineRule="exact" w:before="1"/>
              <w:ind w:left="72"/>
              <w:rPr>
                <w:sz w:val="16"/>
              </w:rPr>
            </w:pPr>
            <w:r>
              <w:rPr>
                <w:spacing w:val="-2"/>
                <w:sz w:val="16"/>
              </w:rPr>
              <w:t>condicionada.</w:t>
            </w:r>
          </w:p>
        </w:tc>
        <w:tc>
          <w:tcPr>
            <w:tcW w:w="1278" w:type="dxa"/>
          </w:tcPr>
          <w:p>
            <w:pPr>
              <w:pStyle w:val="TableParagraph"/>
              <w:ind w:left="72" w:right="91"/>
              <w:rPr>
                <w:sz w:val="16"/>
              </w:rPr>
            </w:pPr>
            <w:r>
              <w:rPr>
                <w:sz w:val="16"/>
              </w:rPr>
              <w:t>Tasa de </w:t>
            </w:r>
            <w:r>
              <w:rPr>
                <w:spacing w:val="-2"/>
                <w:sz w:val="16"/>
              </w:rPr>
              <w:t>participación</w:t>
            </w:r>
            <w:r>
              <w:rPr>
                <w:spacing w:val="-10"/>
                <w:sz w:val="16"/>
              </w:rPr>
              <w:t> </w:t>
            </w:r>
            <w:r>
              <w:rPr>
                <w:spacing w:val="-2"/>
                <w:sz w:val="16"/>
              </w:rPr>
              <w:t>en procesos sociolaborales </w:t>
            </w:r>
            <w:r>
              <w:rPr>
                <w:sz w:val="16"/>
              </w:rPr>
              <w:t>para</w:t>
            </w:r>
            <w:r>
              <w:rPr>
                <w:spacing w:val="-2"/>
                <w:sz w:val="16"/>
              </w:rPr>
              <w:t> </w:t>
            </w:r>
            <w:r>
              <w:rPr>
                <w:sz w:val="16"/>
              </w:rPr>
              <w:t>la</w:t>
            </w:r>
            <w:r>
              <w:rPr>
                <w:spacing w:val="40"/>
                <w:sz w:val="16"/>
              </w:rPr>
              <w:t> </w:t>
            </w:r>
            <w:r>
              <w:rPr>
                <w:spacing w:val="-2"/>
                <w:sz w:val="16"/>
              </w:rPr>
              <w:t>inclusión</w:t>
            </w:r>
            <w:r>
              <w:rPr>
                <w:spacing w:val="40"/>
                <w:sz w:val="16"/>
              </w:rPr>
              <w:t> </w:t>
            </w:r>
            <w:r>
              <w:rPr>
                <w:sz w:val="16"/>
              </w:rPr>
              <w:t>laboral de las </w:t>
            </w:r>
            <w:r>
              <w:rPr>
                <w:spacing w:val="-2"/>
                <w:sz w:val="16"/>
              </w:rPr>
              <w:t>personas </w:t>
            </w:r>
            <w:r>
              <w:rPr>
                <w:sz w:val="16"/>
              </w:rPr>
              <w:t>mayores de 18 años que en el marco</w:t>
            </w:r>
            <w:r>
              <w:rPr>
                <w:spacing w:val="-2"/>
                <w:sz w:val="16"/>
              </w:rPr>
              <w:t> </w:t>
            </w:r>
            <w:r>
              <w:rPr>
                <w:sz w:val="16"/>
              </w:rPr>
              <w:t>del</w:t>
            </w:r>
          </w:p>
          <w:p>
            <w:pPr>
              <w:pStyle w:val="TableParagraph"/>
              <w:spacing w:line="163" w:lineRule="exact" w:before="1"/>
              <w:ind w:left="72"/>
              <w:rPr>
                <w:sz w:val="16"/>
              </w:rPr>
            </w:pPr>
            <w:r>
              <w:rPr>
                <w:sz w:val="16"/>
              </w:rPr>
              <w:t>Modelo</w:t>
            </w:r>
            <w:r>
              <w:rPr>
                <w:spacing w:val="-7"/>
                <w:sz w:val="16"/>
              </w:rPr>
              <w:t> </w:t>
            </w:r>
            <w:r>
              <w:rPr>
                <w:spacing w:val="-5"/>
                <w:sz w:val="16"/>
              </w:rPr>
              <w:t>de</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right="8"/>
              <w:jc w:val="center"/>
              <w:rPr>
                <w:sz w:val="16"/>
              </w:rPr>
            </w:pPr>
            <w:r>
              <w:rPr>
                <w:spacing w:val="-5"/>
                <w:sz w:val="16"/>
              </w:rPr>
              <w:t>5%</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16" w:right="19"/>
              <w:jc w:val="center"/>
              <w:rPr>
                <w:sz w:val="16"/>
              </w:rPr>
            </w:pPr>
            <w:r>
              <w:rPr>
                <w:spacing w:val="-5"/>
                <w:sz w:val="16"/>
              </w:rPr>
              <w:t>10%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2"/>
              <w:rPr>
                <w:b/>
                <w:sz w:val="16"/>
              </w:rPr>
            </w:pPr>
          </w:p>
          <w:p>
            <w:pPr>
              <w:pStyle w:val="TableParagraph"/>
              <w:ind w:left="4" w:right="1"/>
              <w:jc w:val="center"/>
              <w:rPr>
                <w:sz w:val="16"/>
              </w:rPr>
            </w:pPr>
            <w:r>
              <w:rPr>
                <w:spacing w:val="-5"/>
                <w:sz w:val="16"/>
              </w:rPr>
              <w:t>15%</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514"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95"/>
        <w:gridCol w:w="1278"/>
        <w:gridCol w:w="1278"/>
        <w:gridCol w:w="1561"/>
        <w:gridCol w:w="1134"/>
        <w:gridCol w:w="1561"/>
        <w:gridCol w:w="1277"/>
        <w:gridCol w:w="1700"/>
        <w:gridCol w:w="1345"/>
        <w:gridCol w:w="1494"/>
      </w:tblGrid>
      <w:tr>
        <w:trPr>
          <w:trHeight w:val="316" w:hRule="atLeast"/>
        </w:trPr>
        <w:tc>
          <w:tcPr>
            <w:tcW w:w="1695" w:type="dxa"/>
            <w:vMerge w:val="restart"/>
            <w:shd w:val="clear" w:color="auto" w:fill="F1F1F1"/>
          </w:tcPr>
          <w:p>
            <w:pPr>
              <w:pStyle w:val="TableParagraph"/>
              <w:ind w:left="417" w:firstLine="24"/>
              <w:rPr>
                <w:b/>
                <w:sz w:val="16"/>
              </w:rPr>
            </w:pPr>
            <w:r>
              <w:rPr>
                <w:b/>
                <w:sz w:val="16"/>
              </w:rPr>
              <w:t>Objetivos</w:t>
            </w:r>
            <w:r>
              <w:rPr>
                <w:b/>
                <w:spacing w:val="-12"/>
                <w:sz w:val="16"/>
              </w:rPr>
              <w:t> </w:t>
            </w:r>
            <w:r>
              <w:rPr>
                <w:b/>
                <w:sz w:val="16"/>
              </w:rPr>
              <w:t>/ </w:t>
            </w:r>
            <w:r>
              <w:rPr>
                <w:b/>
                <w:spacing w:val="-2"/>
                <w:sz w:val="16"/>
              </w:rPr>
              <w:t>Resultados</w:t>
            </w:r>
          </w:p>
        </w:tc>
        <w:tc>
          <w:tcPr>
            <w:tcW w:w="1278" w:type="dxa"/>
            <w:vMerge w:val="restart"/>
            <w:shd w:val="clear" w:color="auto" w:fill="F1F1F1"/>
          </w:tcPr>
          <w:p>
            <w:pPr>
              <w:pStyle w:val="TableParagraph"/>
              <w:spacing w:line="183" w:lineRule="exact"/>
              <w:ind w:left="278"/>
              <w:rPr>
                <w:b/>
                <w:sz w:val="16"/>
              </w:rPr>
            </w:pPr>
            <w:r>
              <w:rPr>
                <w:b/>
                <w:spacing w:val="-2"/>
                <w:sz w:val="16"/>
              </w:rPr>
              <w:t>Indicador</w:t>
            </w:r>
          </w:p>
        </w:tc>
        <w:tc>
          <w:tcPr>
            <w:tcW w:w="2839" w:type="dxa"/>
            <w:gridSpan w:val="2"/>
            <w:shd w:val="clear" w:color="auto" w:fill="F1F1F1"/>
          </w:tcPr>
          <w:p>
            <w:pPr>
              <w:pStyle w:val="TableParagraph"/>
              <w:spacing w:line="183" w:lineRule="exact"/>
              <w:ind w:left="8" w:right="1"/>
              <w:jc w:val="center"/>
              <w:rPr>
                <w:b/>
                <w:sz w:val="16"/>
              </w:rPr>
            </w:pPr>
            <w:r>
              <w:rPr>
                <w:b/>
                <w:sz w:val="16"/>
              </w:rPr>
              <w:t>I</w:t>
            </w:r>
            <w:r>
              <w:rPr>
                <w:b/>
                <w:spacing w:val="-3"/>
                <w:sz w:val="16"/>
              </w:rPr>
              <w:t> </w:t>
            </w:r>
            <w:r>
              <w:rPr>
                <w:b/>
                <w:spacing w:val="-2"/>
                <w:sz w:val="16"/>
              </w:rPr>
              <w:t>Trimestre</w:t>
            </w:r>
          </w:p>
        </w:tc>
        <w:tc>
          <w:tcPr>
            <w:tcW w:w="2695" w:type="dxa"/>
            <w:gridSpan w:val="2"/>
            <w:shd w:val="clear" w:color="auto" w:fill="F1F1F1"/>
          </w:tcPr>
          <w:p>
            <w:pPr>
              <w:pStyle w:val="TableParagraph"/>
              <w:spacing w:line="183" w:lineRule="exact"/>
              <w:ind w:right="3"/>
              <w:jc w:val="center"/>
              <w:rPr>
                <w:b/>
                <w:sz w:val="16"/>
              </w:rPr>
            </w:pPr>
            <w:r>
              <w:rPr>
                <w:b/>
                <w:sz w:val="16"/>
              </w:rPr>
              <w:t>II</w:t>
            </w:r>
            <w:r>
              <w:rPr>
                <w:b/>
                <w:spacing w:val="-4"/>
                <w:sz w:val="16"/>
              </w:rPr>
              <w:t> </w:t>
            </w:r>
            <w:r>
              <w:rPr>
                <w:b/>
                <w:spacing w:val="-2"/>
                <w:sz w:val="16"/>
              </w:rPr>
              <w:t>Trimestre</w:t>
            </w:r>
          </w:p>
        </w:tc>
        <w:tc>
          <w:tcPr>
            <w:tcW w:w="2977" w:type="dxa"/>
            <w:gridSpan w:val="2"/>
            <w:shd w:val="clear" w:color="auto" w:fill="F1F1F1"/>
          </w:tcPr>
          <w:p>
            <w:pPr>
              <w:pStyle w:val="TableParagraph"/>
              <w:spacing w:line="183" w:lineRule="exact"/>
              <w:ind w:right="4"/>
              <w:jc w:val="center"/>
              <w:rPr>
                <w:b/>
                <w:sz w:val="16"/>
              </w:rPr>
            </w:pPr>
            <w:r>
              <w:rPr>
                <w:b/>
                <w:sz w:val="16"/>
              </w:rPr>
              <w:t>III</w:t>
            </w:r>
            <w:r>
              <w:rPr>
                <w:b/>
                <w:spacing w:val="-6"/>
                <w:sz w:val="16"/>
              </w:rPr>
              <w:t> </w:t>
            </w:r>
            <w:r>
              <w:rPr>
                <w:b/>
                <w:spacing w:val="-2"/>
                <w:sz w:val="16"/>
              </w:rPr>
              <w:t>Trimestre</w:t>
            </w:r>
          </w:p>
        </w:tc>
        <w:tc>
          <w:tcPr>
            <w:tcW w:w="2839" w:type="dxa"/>
            <w:gridSpan w:val="2"/>
            <w:shd w:val="clear" w:color="auto" w:fill="F1F1F1"/>
          </w:tcPr>
          <w:p>
            <w:pPr>
              <w:pStyle w:val="TableParagraph"/>
              <w:spacing w:line="183" w:lineRule="exact"/>
              <w:ind w:left="7" w:right="8"/>
              <w:jc w:val="center"/>
              <w:rPr>
                <w:b/>
                <w:sz w:val="16"/>
              </w:rPr>
            </w:pPr>
            <w:r>
              <w:rPr>
                <w:b/>
                <w:sz w:val="16"/>
              </w:rPr>
              <w:t>IV</w:t>
            </w:r>
            <w:r>
              <w:rPr>
                <w:b/>
                <w:spacing w:val="-5"/>
                <w:sz w:val="16"/>
              </w:rPr>
              <w:t> </w:t>
            </w:r>
            <w:r>
              <w:rPr>
                <w:b/>
                <w:spacing w:val="-2"/>
                <w:sz w:val="16"/>
              </w:rPr>
              <w:t>Trimestre</w:t>
            </w:r>
          </w:p>
        </w:tc>
      </w:tr>
      <w:tr>
        <w:trPr>
          <w:trHeight w:val="551" w:hRule="atLeast"/>
        </w:trPr>
        <w:tc>
          <w:tcPr>
            <w:tcW w:w="1695" w:type="dxa"/>
            <w:vMerge/>
            <w:tcBorders>
              <w:top w:val="nil"/>
            </w:tcBorders>
            <w:shd w:val="clear" w:color="auto" w:fill="F1F1F1"/>
          </w:tcPr>
          <w:p>
            <w:pPr>
              <w:rPr>
                <w:sz w:val="2"/>
                <w:szCs w:val="2"/>
              </w:rPr>
            </w:pPr>
          </w:p>
        </w:tc>
        <w:tc>
          <w:tcPr>
            <w:tcW w:w="1278" w:type="dxa"/>
            <w:vMerge/>
            <w:tcBorders>
              <w:top w:val="nil"/>
            </w:tcBorders>
            <w:shd w:val="clear" w:color="auto" w:fill="F1F1F1"/>
          </w:tcPr>
          <w:p>
            <w:pPr>
              <w:rPr>
                <w:sz w:val="2"/>
                <w:szCs w:val="2"/>
              </w:rPr>
            </w:pPr>
          </w:p>
        </w:tc>
        <w:tc>
          <w:tcPr>
            <w:tcW w:w="1278" w:type="dxa"/>
            <w:shd w:val="clear" w:color="auto" w:fill="F1F1F1"/>
          </w:tcPr>
          <w:p>
            <w:pPr>
              <w:pStyle w:val="TableParagraph"/>
              <w:spacing w:line="182" w:lineRule="exact" w:before="167"/>
              <w:ind w:left="176"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1"/>
              <w:jc w:val="center"/>
              <w:rPr>
                <w:b/>
                <w:sz w:val="16"/>
              </w:rPr>
            </w:pPr>
            <w:r>
              <w:rPr>
                <w:b/>
                <w:spacing w:val="-10"/>
                <w:sz w:val="16"/>
              </w:rPr>
              <w:t>¢</w:t>
            </w:r>
          </w:p>
        </w:tc>
        <w:tc>
          <w:tcPr>
            <w:tcW w:w="1134" w:type="dxa"/>
            <w:shd w:val="clear" w:color="auto" w:fill="F1F1F1"/>
          </w:tcPr>
          <w:p>
            <w:pPr>
              <w:pStyle w:val="TableParagraph"/>
              <w:spacing w:line="182" w:lineRule="exact" w:before="167"/>
              <w:ind w:left="98" w:firstLine="283"/>
              <w:rPr>
                <w:b/>
                <w:sz w:val="16"/>
              </w:rPr>
            </w:pPr>
            <w:r>
              <w:rPr>
                <w:b/>
                <w:spacing w:val="-4"/>
                <w:sz w:val="16"/>
              </w:rPr>
              <w:t>Meta </w:t>
            </w:r>
            <w:r>
              <w:rPr>
                <w:b/>
                <w:spacing w:val="-2"/>
                <w:sz w:val="16"/>
              </w:rPr>
              <w:t>programada</w:t>
            </w:r>
          </w:p>
        </w:tc>
        <w:tc>
          <w:tcPr>
            <w:tcW w:w="1561" w:type="dxa"/>
            <w:shd w:val="clear" w:color="auto" w:fill="F1F1F1"/>
          </w:tcPr>
          <w:p>
            <w:pPr>
              <w:pStyle w:val="TableParagraph"/>
              <w:spacing w:before="1"/>
              <w:rPr>
                <w:b/>
                <w:sz w:val="16"/>
              </w:rPr>
            </w:pPr>
          </w:p>
          <w:p>
            <w:pPr>
              <w:pStyle w:val="TableParagraph"/>
              <w:ind w:left="96" w:right="103"/>
              <w:jc w:val="center"/>
              <w:rPr>
                <w:b/>
                <w:sz w:val="16"/>
              </w:rPr>
            </w:pPr>
            <w:r>
              <w:rPr>
                <w:b/>
                <w:spacing w:val="-10"/>
                <w:sz w:val="16"/>
              </w:rPr>
              <w:t>¢</w:t>
            </w:r>
          </w:p>
        </w:tc>
        <w:tc>
          <w:tcPr>
            <w:tcW w:w="1277" w:type="dxa"/>
            <w:shd w:val="clear" w:color="auto" w:fill="F1F1F1"/>
          </w:tcPr>
          <w:p>
            <w:pPr>
              <w:pStyle w:val="TableParagraph"/>
              <w:spacing w:line="182" w:lineRule="exact" w:before="167"/>
              <w:ind w:left="169" w:firstLine="283"/>
              <w:rPr>
                <w:b/>
                <w:sz w:val="16"/>
              </w:rPr>
            </w:pPr>
            <w:r>
              <w:rPr>
                <w:b/>
                <w:spacing w:val="-4"/>
                <w:sz w:val="16"/>
              </w:rPr>
              <w:t>Meta </w:t>
            </w:r>
            <w:r>
              <w:rPr>
                <w:b/>
                <w:spacing w:val="-2"/>
                <w:sz w:val="16"/>
              </w:rPr>
              <w:t>programada</w:t>
            </w:r>
          </w:p>
        </w:tc>
        <w:tc>
          <w:tcPr>
            <w:tcW w:w="1700" w:type="dxa"/>
            <w:shd w:val="clear" w:color="auto" w:fill="F1F1F1"/>
          </w:tcPr>
          <w:p>
            <w:pPr>
              <w:pStyle w:val="TableParagraph"/>
              <w:spacing w:line="183" w:lineRule="exact"/>
              <w:ind w:left="14" w:right="17"/>
              <w:jc w:val="center"/>
              <w:rPr>
                <w:b/>
                <w:sz w:val="16"/>
              </w:rPr>
            </w:pPr>
            <w:r>
              <w:rPr>
                <w:b/>
                <w:spacing w:val="-10"/>
                <w:sz w:val="16"/>
              </w:rPr>
              <w:t>¢</w:t>
            </w:r>
          </w:p>
        </w:tc>
        <w:tc>
          <w:tcPr>
            <w:tcW w:w="1345" w:type="dxa"/>
            <w:shd w:val="clear" w:color="auto" w:fill="F1F1F1"/>
          </w:tcPr>
          <w:p>
            <w:pPr>
              <w:pStyle w:val="TableParagraph"/>
              <w:spacing w:line="182" w:lineRule="exact" w:before="167"/>
              <w:ind w:left="207" w:firstLine="283"/>
              <w:rPr>
                <w:b/>
                <w:sz w:val="16"/>
              </w:rPr>
            </w:pPr>
            <w:r>
              <w:rPr>
                <w:b/>
                <w:spacing w:val="-4"/>
                <w:sz w:val="16"/>
              </w:rPr>
              <w:t>Meta </w:t>
            </w:r>
            <w:r>
              <w:rPr>
                <w:b/>
                <w:spacing w:val="-2"/>
                <w:sz w:val="16"/>
              </w:rPr>
              <w:t>programada</w:t>
            </w:r>
          </w:p>
        </w:tc>
        <w:tc>
          <w:tcPr>
            <w:tcW w:w="1494" w:type="dxa"/>
            <w:shd w:val="clear" w:color="auto" w:fill="F1F1F1"/>
          </w:tcPr>
          <w:p>
            <w:pPr>
              <w:pStyle w:val="TableParagraph"/>
              <w:spacing w:line="183" w:lineRule="exact"/>
              <w:ind w:right="9"/>
              <w:jc w:val="center"/>
              <w:rPr>
                <w:b/>
                <w:sz w:val="16"/>
              </w:rPr>
            </w:pPr>
            <w:r>
              <w:rPr>
                <w:b/>
                <w:spacing w:val="-10"/>
                <w:sz w:val="16"/>
              </w:rPr>
              <w:t>¢</w:t>
            </w:r>
          </w:p>
        </w:tc>
      </w:tr>
      <w:tr>
        <w:trPr>
          <w:trHeight w:val="653" w:hRule="atLeast"/>
        </w:trPr>
        <w:tc>
          <w:tcPr>
            <w:tcW w:w="1695" w:type="dxa"/>
          </w:tcPr>
          <w:p>
            <w:pPr>
              <w:pStyle w:val="TableParagraph"/>
              <w:rPr>
                <w:rFonts w:ascii="Times New Roman"/>
                <w:sz w:val="16"/>
              </w:rPr>
            </w:pPr>
          </w:p>
        </w:tc>
        <w:tc>
          <w:tcPr>
            <w:tcW w:w="1278" w:type="dxa"/>
          </w:tcPr>
          <w:p>
            <w:pPr>
              <w:pStyle w:val="TableParagraph"/>
              <w:spacing w:line="173" w:lineRule="exact"/>
              <w:ind w:left="72"/>
              <w:rPr>
                <w:sz w:val="16"/>
              </w:rPr>
            </w:pPr>
            <w:r>
              <w:rPr>
                <w:spacing w:val="-2"/>
                <w:sz w:val="16"/>
              </w:rPr>
              <w:t>Intervención</w:t>
            </w:r>
          </w:p>
          <w:p>
            <w:pPr>
              <w:pStyle w:val="TableParagraph"/>
              <w:spacing w:before="4"/>
              <w:ind w:left="72"/>
              <w:rPr>
                <w:sz w:val="16"/>
              </w:rPr>
            </w:pPr>
            <w:r>
              <w:rPr>
                <w:spacing w:val="-2"/>
                <w:sz w:val="16"/>
              </w:rPr>
              <w:t>Institucional.</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rFonts w:ascii="Times New Roman"/>
                <w:sz w:val="16"/>
              </w:rPr>
            </w:pPr>
          </w:p>
        </w:tc>
        <w:tc>
          <w:tcPr>
            <w:tcW w:w="1561" w:type="dxa"/>
          </w:tcPr>
          <w:p>
            <w:pPr>
              <w:pStyle w:val="TableParagraph"/>
              <w:rPr>
                <w:rFonts w:ascii="Times New Roman"/>
                <w:sz w:val="16"/>
              </w:rPr>
            </w:pPr>
          </w:p>
        </w:tc>
        <w:tc>
          <w:tcPr>
            <w:tcW w:w="1277" w:type="dxa"/>
          </w:tcPr>
          <w:p>
            <w:pPr>
              <w:pStyle w:val="TableParagraph"/>
              <w:rPr>
                <w:rFonts w:ascii="Times New Roman"/>
                <w:sz w:val="16"/>
              </w:rPr>
            </w:pPr>
          </w:p>
        </w:tc>
        <w:tc>
          <w:tcPr>
            <w:tcW w:w="1700" w:type="dxa"/>
          </w:tcPr>
          <w:p>
            <w:pPr>
              <w:pStyle w:val="TableParagraph"/>
              <w:rPr>
                <w:rFonts w:ascii="Times New Roman"/>
                <w:sz w:val="16"/>
              </w:rPr>
            </w:pPr>
          </w:p>
        </w:tc>
        <w:tc>
          <w:tcPr>
            <w:tcW w:w="1345" w:type="dxa"/>
          </w:tcPr>
          <w:p>
            <w:pPr>
              <w:pStyle w:val="TableParagraph"/>
              <w:rPr>
                <w:rFonts w:ascii="Times New Roman"/>
                <w:sz w:val="16"/>
              </w:rPr>
            </w:pPr>
          </w:p>
        </w:tc>
        <w:tc>
          <w:tcPr>
            <w:tcW w:w="1494" w:type="dxa"/>
          </w:tcPr>
          <w:p>
            <w:pPr>
              <w:pStyle w:val="TableParagraph"/>
              <w:rPr>
                <w:rFonts w:ascii="Times New Roman"/>
                <w:sz w:val="16"/>
              </w:rPr>
            </w:pPr>
          </w:p>
        </w:tc>
      </w:tr>
      <w:tr>
        <w:trPr>
          <w:trHeight w:val="2208" w:hRule="atLeast"/>
        </w:trPr>
        <w:tc>
          <w:tcPr>
            <w:tcW w:w="1695" w:type="dxa"/>
          </w:tcPr>
          <w:p>
            <w:pPr>
              <w:pStyle w:val="TableParagraph"/>
              <w:spacing w:line="244" w:lineRule="auto"/>
              <w:ind w:left="72"/>
              <w:rPr>
                <w:b/>
                <w:sz w:val="16"/>
              </w:rPr>
            </w:pPr>
            <w:r>
              <w:rPr>
                <w:b/>
                <w:spacing w:val="-2"/>
                <w:sz w:val="16"/>
              </w:rPr>
              <w:t>Actividad</w:t>
            </w:r>
            <w:r>
              <w:rPr>
                <w:b/>
                <w:spacing w:val="-10"/>
                <w:sz w:val="16"/>
              </w:rPr>
              <w:t> </w:t>
            </w:r>
            <w:r>
              <w:rPr>
                <w:b/>
                <w:spacing w:val="-2"/>
                <w:sz w:val="16"/>
              </w:rPr>
              <w:t>PPPS 1.57.8:</w:t>
            </w:r>
          </w:p>
          <w:p>
            <w:pPr>
              <w:pStyle w:val="TableParagraph"/>
              <w:ind w:left="72" w:right="128"/>
              <w:rPr>
                <w:sz w:val="16"/>
              </w:rPr>
            </w:pPr>
            <w:r>
              <w:rPr>
                <w:sz w:val="16"/>
              </w:rPr>
              <w:t>Desarrollo de procesos de seguimiento</w:t>
            </w:r>
            <w:r>
              <w:rPr>
                <w:spacing w:val="-12"/>
                <w:sz w:val="16"/>
              </w:rPr>
              <w:t> </w:t>
            </w:r>
            <w:r>
              <w:rPr>
                <w:sz w:val="16"/>
              </w:rPr>
              <w:t>para</w:t>
            </w:r>
            <w:r>
              <w:rPr>
                <w:spacing w:val="-11"/>
                <w:sz w:val="16"/>
              </w:rPr>
              <w:t> </w:t>
            </w:r>
            <w:r>
              <w:rPr>
                <w:sz w:val="16"/>
              </w:rPr>
              <w:t>el cumplimiento de logros</w:t>
            </w:r>
            <w:r>
              <w:rPr>
                <w:spacing w:val="-12"/>
                <w:sz w:val="16"/>
              </w:rPr>
              <w:t> </w:t>
            </w:r>
            <w:r>
              <w:rPr>
                <w:sz w:val="16"/>
              </w:rPr>
              <w:t>establecidos en el plan de ascenso de los hogares en ruta de</w:t>
            </w:r>
          </w:p>
          <w:p>
            <w:pPr>
              <w:pStyle w:val="TableParagraph"/>
              <w:spacing w:line="182" w:lineRule="exact"/>
              <w:ind w:left="72"/>
              <w:rPr>
                <w:sz w:val="16"/>
              </w:rPr>
            </w:pPr>
            <w:r>
              <w:rPr>
                <w:spacing w:val="-2"/>
                <w:sz w:val="16"/>
              </w:rPr>
              <w:t>intervención condicionada.</w:t>
            </w:r>
          </w:p>
        </w:tc>
        <w:tc>
          <w:tcPr>
            <w:tcW w:w="1278" w:type="dxa"/>
          </w:tcPr>
          <w:p>
            <w:pPr>
              <w:pStyle w:val="TableParagraph"/>
              <w:spacing w:before="1"/>
              <w:rPr>
                <w:b/>
                <w:sz w:val="16"/>
              </w:rPr>
            </w:pPr>
          </w:p>
          <w:p>
            <w:pPr>
              <w:pStyle w:val="TableParagraph"/>
              <w:ind w:left="72" w:right="91"/>
              <w:rPr>
                <w:sz w:val="16"/>
              </w:rPr>
            </w:pPr>
            <w:r>
              <w:rPr>
                <w:sz w:val="16"/>
              </w:rPr>
              <w:t>Tasa de </w:t>
            </w:r>
            <w:r>
              <w:rPr>
                <w:spacing w:val="-2"/>
                <w:sz w:val="16"/>
              </w:rPr>
              <w:t>inclusión</w:t>
            </w:r>
            <w:r>
              <w:rPr>
                <w:spacing w:val="40"/>
                <w:sz w:val="16"/>
              </w:rPr>
              <w:t> </w:t>
            </w:r>
            <w:r>
              <w:rPr>
                <w:sz w:val="16"/>
              </w:rPr>
              <w:t>laboral de muestra de </w:t>
            </w:r>
            <w:r>
              <w:rPr>
                <w:spacing w:val="-2"/>
                <w:sz w:val="16"/>
              </w:rPr>
              <w:t>personas </w:t>
            </w:r>
            <w:r>
              <w:rPr>
                <w:sz w:val="16"/>
              </w:rPr>
              <w:t>mayores de 18 años</w:t>
            </w:r>
            <w:r>
              <w:rPr>
                <w:spacing w:val="-12"/>
                <w:sz w:val="16"/>
              </w:rPr>
              <w:t> </w:t>
            </w:r>
            <w:r>
              <w:rPr>
                <w:sz w:val="16"/>
              </w:rPr>
              <w:t>perfiladas </w:t>
            </w:r>
            <w:r>
              <w:rPr>
                <w:spacing w:val="-6"/>
                <w:sz w:val="16"/>
              </w:rPr>
              <w:t>en</w:t>
            </w:r>
            <w:r>
              <w:rPr>
                <w:spacing w:val="-2"/>
                <w:sz w:val="16"/>
              </w:rPr>
              <w:t> empleabilidad</w:t>
            </w:r>
            <w:r>
              <w:rPr>
                <w:spacing w:val="-10"/>
                <w:sz w:val="16"/>
              </w:rPr>
              <w:t> </w:t>
            </w:r>
            <w:r>
              <w:rPr>
                <w:spacing w:val="-2"/>
                <w:sz w:val="16"/>
              </w:rPr>
              <w:t>y oficios.</w:t>
            </w:r>
          </w:p>
        </w:tc>
        <w:tc>
          <w:tcPr>
            <w:tcW w:w="1278" w:type="dxa"/>
          </w:tcPr>
          <w:p>
            <w:pPr>
              <w:pStyle w:val="TableParagraph"/>
              <w:rPr>
                <w:rFonts w:ascii="Times New Roman"/>
                <w:sz w:val="16"/>
              </w:rPr>
            </w:pPr>
          </w:p>
        </w:tc>
        <w:tc>
          <w:tcPr>
            <w:tcW w:w="1561" w:type="dxa"/>
          </w:tcPr>
          <w:p>
            <w:pPr>
              <w:pStyle w:val="TableParagraph"/>
              <w:rPr>
                <w:rFonts w:ascii="Times New Roman"/>
                <w:sz w:val="16"/>
              </w:rPr>
            </w:pPr>
          </w:p>
        </w:tc>
        <w:tc>
          <w:tcPr>
            <w:tcW w:w="113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right="8"/>
              <w:jc w:val="center"/>
              <w:rPr>
                <w:sz w:val="16"/>
              </w:rPr>
            </w:pPr>
            <w:r>
              <w:rPr>
                <w:spacing w:val="-5"/>
                <w:sz w:val="16"/>
              </w:rPr>
              <w:t>5%</w:t>
            </w:r>
          </w:p>
        </w:tc>
        <w:tc>
          <w:tcPr>
            <w:tcW w:w="1561" w:type="dxa"/>
          </w:tcPr>
          <w:p>
            <w:pPr>
              <w:pStyle w:val="TableParagraph"/>
              <w:rPr>
                <w:rFonts w:ascii="Times New Roman"/>
                <w:sz w:val="16"/>
              </w:rPr>
            </w:pPr>
          </w:p>
        </w:tc>
        <w:tc>
          <w:tcPr>
            <w:tcW w:w="127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left="16" w:right="19"/>
              <w:jc w:val="center"/>
              <w:rPr>
                <w:sz w:val="16"/>
              </w:rPr>
            </w:pPr>
            <w:r>
              <w:rPr>
                <w:spacing w:val="-5"/>
                <w:sz w:val="16"/>
              </w:rPr>
              <w:t>10%</w:t>
            </w:r>
          </w:p>
        </w:tc>
        <w:tc>
          <w:tcPr>
            <w:tcW w:w="1700" w:type="dxa"/>
          </w:tcPr>
          <w:p>
            <w:pPr>
              <w:pStyle w:val="TableParagraph"/>
              <w:rPr>
                <w:rFonts w:ascii="Times New Roman"/>
                <w:sz w:val="16"/>
              </w:rPr>
            </w:pPr>
          </w:p>
        </w:tc>
        <w:tc>
          <w:tcPr>
            <w:tcW w:w="1345"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91"/>
              <w:rPr>
                <w:b/>
                <w:sz w:val="16"/>
              </w:rPr>
            </w:pPr>
          </w:p>
          <w:p>
            <w:pPr>
              <w:pStyle w:val="TableParagraph"/>
              <w:ind w:left="4" w:right="1"/>
              <w:jc w:val="center"/>
              <w:rPr>
                <w:sz w:val="16"/>
              </w:rPr>
            </w:pPr>
            <w:r>
              <w:rPr>
                <w:spacing w:val="-5"/>
                <w:sz w:val="16"/>
              </w:rPr>
              <w:t>15%</w:t>
            </w:r>
          </w:p>
        </w:tc>
        <w:tc>
          <w:tcPr>
            <w:tcW w:w="1494" w:type="dxa"/>
          </w:tcPr>
          <w:p>
            <w:pPr>
              <w:pStyle w:val="TableParagraph"/>
              <w:rPr>
                <w:rFonts w:ascii="Times New Roman"/>
                <w:sz w:val="16"/>
              </w:rPr>
            </w:pPr>
          </w:p>
        </w:tc>
      </w:tr>
    </w:tbl>
    <w:p>
      <w:pPr>
        <w:pStyle w:val="TableParagraph"/>
        <w:spacing w:after="0"/>
        <w:rPr>
          <w:rFonts w:ascii="Times New Roman"/>
          <w:sz w:val="16"/>
        </w:rPr>
        <w:sectPr>
          <w:type w:val="continuous"/>
          <w:pgSz w:w="15840" w:h="12240" w:orient="landscape"/>
          <w:pgMar w:header="0" w:footer="1806" w:top="700" w:bottom="2320" w:left="360" w:right="360"/>
        </w:sectPr>
      </w:pPr>
    </w:p>
    <w:p>
      <w:pPr>
        <w:pStyle w:val="Heading1"/>
        <w:numPr>
          <w:ilvl w:val="1"/>
          <w:numId w:val="5"/>
        </w:numPr>
        <w:tabs>
          <w:tab w:pos="1624" w:val="left" w:leader="none"/>
        </w:tabs>
        <w:spacing w:line="240" w:lineRule="auto" w:before="81" w:after="0"/>
        <w:ind w:left="1624" w:right="0" w:hanging="400"/>
        <w:jc w:val="left"/>
      </w:pPr>
      <w:bookmarkStart w:name="_bookmark63" w:id="64"/>
      <w:bookmarkEnd w:id="64"/>
      <w:r>
        <w:rPr>
          <w:b w:val="0"/>
        </w:rPr>
      </w:r>
      <w:r>
        <w:rPr/>
        <w:t>Matriz</w:t>
      </w:r>
      <w:r>
        <w:rPr>
          <w:spacing w:val="-5"/>
        </w:rPr>
        <w:t> </w:t>
      </w:r>
      <w:r>
        <w:rPr/>
        <w:t>de</w:t>
      </w:r>
      <w:r>
        <w:rPr>
          <w:spacing w:val="-5"/>
        </w:rPr>
        <w:t> </w:t>
      </w:r>
      <w:r>
        <w:rPr/>
        <w:t>Gestión</w:t>
      </w:r>
      <w:r>
        <w:rPr>
          <w:spacing w:val="-7"/>
        </w:rPr>
        <w:t> </w:t>
      </w:r>
      <w:r>
        <w:rPr/>
        <w:t>para</w:t>
      </w:r>
      <w:r>
        <w:rPr>
          <w:spacing w:val="-5"/>
        </w:rPr>
        <w:t> </w:t>
      </w:r>
      <w:r>
        <w:rPr/>
        <w:t>Resultados</w:t>
      </w:r>
      <w:r>
        <w:rPr>
          <w:spacing w:val="-8"/>
        </w:rPr>
        <w:t> </w:t>
      </w:r>
      <w:r>
        <w:rPr/>
        <w:t>de</w:t>
      </w:r>
      <w:r>
        <w:rPr>
          <w:spacing w:val="-9"/>
        </w:rPr>
        <w:t> </w:t>
      </w:r>
      <w:r>
        <w:rPr/>
        <w:t>Desarrollo</w:t>
      </w:r>
      <w:r>
        <w:rPr>
          <w:spacing w:val="-3"/>
        </w:rPr>
        <w:t> </w:t>
      </w:r>
      <w:r>
        <w:rPr/>
        <w:t>(GpRD)</w:t>
      </w:r>
      <w:r>
        <w:rPr>
          <w:spacing w:val="-3"/>
        </w:rPr>
        <w:t> </w:t>
      </w:r>
      <w:r>
        <w:rPr/>
        <w:t>del</w:t>
      </w:r>
      <w:r>
        <w:rPr>
          <w:spacing w:val="-5"/>
        </w:rPr>
        <w:t> </w:t>
      </w:r>
      <w:r>
        <w:rPr/>
        <w:t>Programa</w:t>
      </w:r>
      <w:r>
        <w:rPr>
          <w:spacing w:val="-5"/>
        </w:rPr>
        <w:t> </w:t>
      </w:r>
      <w:r>
        <w:rPr/>
        <w:t>Actividades</w:t>
      </w:r>
      <w:r>
        <w:rPr>
          <w:spacing w:val="-4"/>
        </w:rPr>
        <w:t> </w:t>
      </w:r>
      <w:r>
        <w:rPr>
          <w:spacing w:val="-2"/>
        </w:rPr>
        <w:t>Centrales</w:t>
      </w:r>
    </w:p>
    <w:p>
      <w:pPr>
        <w:pStyle w:val="BodyText"/>
        <w:rPr>
          <w:b/>
          <w:sz w:val="20"/>
        </w:rPr>
      </w:pPr>
    </w:p>
    <w:p>
      <w:pPr>
        <w:pStyle w:val="BodyText"/>
        <w:spacing w:before="89"/>
        <w:rPr>
          <w:b/>
          <w:sz w:val="20"/>
        </w:r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7"/>
        <w:gridCol w:w="1723"/>
        <w:gridCol w:w="1843"/>
        <w:gridCol w:w="2040"/>
        <w:gridCol w:w="1800"/>
        <w:gridCol w:w="1623"/>
        <w:gridCol w:w="1349"/>
        <w:gridCol w:w="1695"/>
      </w:tblGrid>
      <w:tr>
        <w:trPr>
          <w:trHeight w:val="1233" w:hRule="atLeast"/>
        </w:trPr>
        <w:tc>
          <w:tcPr>
            <w:tcW w:w="2247" w:type="dxa"/>
            <w:shd w:val="clear" w:color="auto" w:fill="F1F1F1"/>
          </w:tcPr>
          <w:p>
            <w:pPr>
              <w:pStyle w:val="TableParagraph"/>
              <w:rPr>
                <w:b/>
                <w:sz w:val="18"/>
              </w:rPr>
            </w:pPr>
          </w:p>
          <w:p>
            <w:pPr>
              <w:pStyle w:val="TableParagraph"/>
              <w:spacing w:before="99"/>
              <w:rPr>
                <w:b/>
                <w:sz w:val="18"/>
              </w:rPr>
            </w:pPr>
          </w:p>
          <w:p>
            <w:pPr>
              <w:pStyle w:val="TableParagraph"/>
              <w:ind w:left="72"/>
              <w:rPr>
                <w:b/>
                <w:sz w:val="18"/>
              </w:rPr>
            </w:pPr>
            <w:r>
              <w:rPr>
                <w:b/>
                <w:sz w:val="18"/>
              </w:rPr>
              <w:t>Objetivos</w:t>
            </w:r>
            <w:r>
              <w:rPr>
                <w:b/>
                <w:spacing w:val="-5"/>
                <w:sz w:val="18"/>
              </w:rPr>
              <w:t> </w:t>
            </w:r>
            <w:r>
              <w:rPr>
                <w:b/>
                <w:sz w:val="18"/>
              </w:rPr>
              <w:t>/</w:t>
            </w:r>
            <w:r>
              <w:rPr>
                <w:b/>
                <w:spacing w:val="-2"/>
                <w:sz w:val="18"/>
              </w:rPr>
              <w:t> Resultados</w:t>
            </w:r>
          </w:p>
        </w:tc>
        <w:tc>
          <w:tcPr>
            <w:tcW w:w="1723" w:type="dxa"/>
            <w:shd w:val="clear" w:color="auto" w:fill="F1F1F1"/>
          </w:tcPr>
          <w:p>
            <w:pPr>
              <w:pStyle w:val="TableParagraph"/>
              <w:rPr>
                <w:b/>
                <w:sz w:val="18"/>
              </w:rPr>
            </w:pPr>
          </w:p>
          <w:p>
            <w:pPr>
              <w:pStyle w:val="TableParagraph"/>
              <w:spacing w:before="99"/>
              <w:rPr>
                <w:b/>
                <w:sz w:val="18"/>
              </w:rPr>
            </w:pPr>
          </w:p>
          <w:p>
            <w:pPr>
              <w:pStyle w:val="TableParagraph"/>
              <w:ind w:left="8" w:right="5"/>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843" w:type="dxa"/>
            <w:shd w:val="clear" w:color="auto" w:fill="F1F1F1"/>
          </w:tcPr>
          <w:p>
            <w:pPr>
              <w:pStyle w:val="TableParagraph"/>
              <w:spacing w:before="205"/>
              <w:rPr>
                <w:b/>
                <w:sz w:val="18"/>
              </w:rPr>
            </w:pPr>
          </w:p>
          <w:p>
            <w:pPr>
              <w:pStyle w:val="TableParagraph"/>
              <w:ind w:left="720" w:right="49" w:hanging="552"/>
              <w:rPr>
                <w:b/>
                <w:sz w:val="18"/>
              </w:rPr>
            </w:pPr>
            <w:r>
              <w:rPr>
                <w:b/>
                <w:sz w:val="18"/>
              </w:rPr>
              <w:t>Meta</w:t>
            </w:r>
            <w:r>
              <w:rPr>
                <w:b/>
                <w:spacing w:val="-13"/>
                <w:sz w:val="18"/>
              </w:rPr>
              <w:t> </w:t>
            </w:r>
            <w:r>
              <w:rPr>
                <w:b/>
                <w:sz w:val="18"/>
              </w:rPr>
              <w:t>programada </w:t>
            </w:r>
            <w:r>
              <w:rPr>
                <w:b/>
                <w:spacing w:val="-4"/>
                <w:sz w:val="18"/>
              </w:rPr>
              <w:t>2026</w:t>
            </w:r>
          </w:p>
        </w:tc>
        <w:tc>
          <w:tcPr>
            <w:tcW w:w="2040" w:type="dxa"/>
            <w:shd w:val="clear" w:color="auto" w:fill="F1F1F1"/>
          </w:tcPr>
          <w:p>
            <w:pPr>
              <w:pStyle w:val="TableParagraph"/>
              <w:rPr>
                <w:b/>
                <w:sz w:val="18"/>
              </w:rPr>
            </w:pPr>
          </w:p>
          <w:p>
            <w:pPr>
              <w:pStyle w:val="TableParagraph"/>
              <w:spacing w:before="99"/>
              <w:rPr>
                <w:b/>
                <w:sz w:val="18"/>
              </w:rPr>
            </w:pPr>
          </w:p>
          <w:p>
            <w:pPr>
              <w:pStyle w:val="TableParagraph"/>
              <w:ind w:left="611"/>
              <w:rPr>
                <w:b/>
                <w:sz w:val="18"/>
              </w:rPr>
            </w:pPr>
            <w:r>
              <w:rPr>
                <w:b/>
                <w:spacing w:val="-2"/>
                <w:sz w:val="18"/>
              </w:rPr>
              <w:t>Indicador</w:t>
            </w:r>
          </w:p>
        </w:tc>
        <w:tc>
          <w:tcPr>
            <w:tcW w:w="1800" w:type="dxa"/>
            <w:shd w:val="clear" w:color="auto" w:fill="F1F1F1"/>
          </w:tcPr>
          <w:p>
            <w:pPr>
              <w:pStyle w:val="TableParagraph"/>
              <w:spacing w:before="205"/>
              <w:rPr>
                <w:b/>
                <w:sz w:val="18"/>
              </w:rPr>
            </w:pPr>
          </w:p>
          <w:p>
            <w:pPr>
              <w:pStyle w:val="TableParagraph"/>
              <w:ind w:left="400" w:right="249" w:firstLine="57"/>
              <w:rPr>
                <w:b/>
                <w:sz w:val="18"/>
              </w:rPr>
            </w:pPr>
            <w:r>
              <w:rPr>
                <w:b/>
                <w:sz w:val="18"/>
              </w:rPr>
              <w:t>Medios de </w:t>
            </w:r>
            <w:r>
              <w:rPr>
                <w:b/>
                <w:spacing w:val="-2"/>
                <w:sz w:val="18"/>
              </w:rPr>
              <w:t>verificación</w:t>
            </w:r>
          </w:p>
        </w:tc>
        <w:tc>
          <w:tcPr>
            <w:tcW w:w="1623" w:type="dxa"/>
            <w:shd w:val="clear" w:color="auto" w:fill="F1F1F1"/>
          </w:tcPr>
          <w:p>
            <w:pPr>
              <w:pStyle w:val="TableParagraph"/>
              <w:rPr>
                <w:b/>
                <w:sz w:val="18"/>
              </w:rPr>
            </w:pPr>
          </w:p>
          <w:p>
            <w:pPr>
              <w:pStyle w:val="TableParagraph"/>
              <w:spacing w:before="99"/>
              <w:rPr>
                <w:b/>
                <w:sz w:val="18"/>
              </w:rPr>
            </w:pPr>
          </w:p>
          <w:p>
            <w:pPr>
              <w:pStyle w:val="TableParagraph"/>
              <w:ind w:left="251"/>
              <w:rPr>
                <w:b/>
                <w:sz w:val="18"/>
              </w:rPr>
            </w:pPr>
            <w:r>
              <w:rPr>
                <w:b/>
                <w:spacing w:val="-2"/>
                <w:sz w:val="18"/>
              </w:rPr>
              <w:t>Responsable</w:t>
            </w:r>
          </w:p>
        </w:tc>
        <w:tc>
          <w:tcPr>
            <w:tcW w:w="1349" w:type="dxa"/>
            <w:shd w:val="clear" w:color="auto" w:fill="F1F1F1"/>
          </w:tcPr>
          <w:p>
            <w:pPr>
              <w:pStyle w:val="TableParagraph"/>
              <w:spacing w:before="205"/>
              <w:rPr>
                <w:b/>
                <w:sz w:val="18"/>
              </w:rPr>
            </w:pPr>
          </w:p>
          <w:p>
            <w:pPr>
              <w:pStyle w:val="TableParagraph"/>
              <w:ind w:left="280" w:hanging="154"/>
              <w:rPr>
                <w:b/>
                <w:sz w:val="18"/>
              </w:rPr>
            </w:pPr>
            <w:r>
              <w:rPr>
                <w:b/>
                <w:spacing w:val="-2"/>
                <w:sz w:val="18"/>
              </w:rPr>
              <w:t>Presupuesto asignado</w:t>
            </w:r>
          </w:p>
        </w:tc>
        <w:tc>
          <w:tcPr>
            <w:tcW w:w="1695" w:type="dxa"/>
            <w:shd w:val="clear" w:color="auto" w:fill="F1F1F1"/>
          </w:tcPr>
          <w:p>
            <w:pPr>
              <w:pStyle w:val="TableParagraph"/>
              <w:spacing w:before="99"/>
              <w:rPr>
                <w:b/>
                <w:sz w:val="18"/>
              </w:rPr>
            </w:pPr>
          </w:p>
          <w:p>
            <w:pPr>
              <w:pStyle w:val="TableParagraph"/>
              <w:ind w:left="74" w:right="103"/>
              <w:rPr>
                <w:b/>
                <w:sz w:val="18"/>
              </w:rPr>
            </w:pPr>
            <w:r>
              <w:rPr>
                <w:b/>
                <w:spacing w:val="-2"/>
                <w:sz w:val="18"/>
              </w:rPr>
              <w:t>Riesgos </w:t>
            </w:r>
            <w:r>
              <w:rPr>
                <w:b/>
                <w:sz w:val="18"/>
              </w:rPr>
              <w:t>asociados al </w:t>
            </w:r>
            <w:r>
              <w:rPr>
                <w:b/>
                <w:spacing w:val="-2"/>
                <w:sz w:val="18"/>
              </w:rPr>
              <w:t>cumplimiento</w:t>
            </w:r>
          </w:p>
        </w:tc>
      </w:tr>
      <w:tr>
        <w:trPr>
          <w:trHeight w:val="705" w:hRule="atLeast"/>
        </w:trPr>
        <w:tc>
          <w:tcPr>
            <w:tcW w:w="14320" w:type="dxa"/>
            <w:gridSpan w:val="8"/>
            <w:shd w:val="clear" w:color="auto" w:fill="F1F1F1"/>
          </w:tcPr>
          <w:p>
            <w:pPr>
              <w:pStyle w:val="TableParagraph"/>
              <w:spacing w:before="143"/>
              <w:ind w:left="72"/>
              <w:rPr>
                <w:b/>
                <w:sz w:val="18"/>
              </w:rPr>
            </w:pPr>
            <w:r>
              <w:rPr>
                <w:b/>
                <w:sz w:val="18"/>
              </w:rPr>
              <w:t>Efecto:</w:t>
            </w:r>
            <w:r>
              <w:rPr>
                <w:b/>
                <w:spacing w:val="-1"/>
                <w:sz w:val="18"/>
              </w:rPr>
              <w:t> </w:t>
            </w:r>
            <w:r>
              <w:rPr>
                <w:b/>
                <w:sz w:val="18"/>
              </w:rPr>
              <w:t>Efectiva gestión</w:t>
            </w:r>
            <w:r>
              <w:rPr>
                <w:b/>
                <w:spacing w:val="-4"/>
                <w:sz w:val="18"/>
              </w:rPr>
              <w:t> </w:t>
            </w:r>
            <w:r>
              <w:rPr>
                <w:b/>
                <w:sz w:val="18"/>
              </w:rPr>
              <w:t>de</w:t>
            </w:r>
            <w:r>
              <w:rPr>
                <w:b/>
                <w:spacing w:val="-3"/>
                <w:sz w:val="18"/>
              </w:rPr>
              <w:t> </w:t>
            </w:r>
            <w:r>
              <w:rPr>
                <w:b/>
                <w:sz w:val="18"/>
              </w:rPr>
              <w:t>los</w:t>
            </w:r>
            <w:r>
              <w:rPr>
                <w:b/>
                <w:spacing w:val="-3"/>
                <w:sz w:val="18"/>
              </w:rPr>
              <w:t> </w:t>
            </w:r>
            <w:r>
              <w:rPr>
                <w:b/>
                <w:sz w:val="18"/>
              </w:rPr>
              <w:t>recursos</w:t>
            </w:r>
            <w:r>
              <w:rPr>
                <w:b/>
                <w:spacing w:val="-3"/>
                <w:sz w:val="18"/>
              </w:rPr>
              <w:t> </w:t>
            </w:r>
            <w:r>
              <w:rPr>
                <w:b/>
                <w:sz w:val="18"/>
              </w:rPr>
              <w:t>humanos,</w:t>
            </w:r>
            <w:r>
              <w:rPr>
                <w:b/>
                <w:spacing w:val="-1"/>
                <w:sz w:val="18"/>
              </w:rPr>
              <w:t> </w:t>
            </w:r>
            <w:r>
              <w:rPr>
                <w:b/>
                <w:sz w:val="18"/>
              </w:rPr>
              <w:t>financieros,</w:t>
            </w:r>
            <w:r>
              <w:rPr>
                <w:b/>
                <w:spacing w:val="-1"/>
                <w:sz w:val="18"/>
              </w:rPr>
              <w:t> </w:t>
            </w:r>
            <w:r>
              <w:rPr>
                <w:b/>
                <w:sz w:val="18"/>
              </w:rPr>
              <w:t>materiales</w:t>
            </w:r>
            <w:r>
              <w:rPr>
                <w:b/>
                <w:spacing w:val="-3"/>
                <w:sz w:val="18"/>
              </w:rPr>
              <w:t> </w:t>
            </w:r>
            <w:r>
              <w:rPr>
                <w:b/>
                <w:sz w:val="18"/>
              </w:rPr>
              <w:t>y</w:t>
            </w:r>
            <w:r>
              <w:rPr>
                <w:b/>
                <w:spacing w:val="-3"/>
                <w:sz w:val="18"/>
              </w:rPr>
              <w:t> </w:t>
            </w:r>
            <w:r>
              <w:rPr>
                <w:b/>
                <w:sz w:val="18"/>
              </w:rPr>
              <w:t>tecnológicos, con el</w:t>
            </w:r>
            <w:r>
              <w:rPr>
                <w:b/>
                <w:spacing w:val="-1"/>
                <w:sz w:val="18"/>
              </w:rPr>
              <w:t> </w:t>
            </w:r>
            <w:r>
              <w:rPr>
                <w:b/>
                <w:sz w:val="18"/>
              </w:rPr>
              <w:t>fin de contribuir</w:t>
            </w:r>
            <w:r>
              <w:rPr>
                <w:b/>
                <w:spacing w:val="-6"/>
                <w:sz w:val="18"/>
              </w:rPr>
              <w:t> </w:t>
            </w:r>
            <w:r>
              <w:rPr>
                <w:b/>
                <w:sz w:val="18"/>
              </w:rPr>
              <w:t>con</w:t>
            </w:r>
            <w:r>
              <w:rPr>
                <w:b/>
                <w:spacing w:val="-4"/>
                <w:sz w:val="18"/>
              </w:rPr>
              <w:t> </w:t>
            </w:r>
            <w:r>
              <w:rPr>
                <w:b/>
                <w:sz w:val="18"/>
              </w:rPr>
              <w:t>la</w:t>
            </w:r>
            <w:r>
              <w:rPr>
                <w:b/>
                <w:spacing w:val="-3"/>
                <w:sz w:val="18"/>
              </w:rPr>
              <w:t> </w:t>
            </w:r>
            <w:r>
              <w:rPr>
                <w:b/>
                <w:sz w:val="18"/>
              </w:rPr>
              <w:t>institucionalización</w:t>
            </w:r>
            <w:r>
              <w:rPr>
                <w:b/>
                <w:spacing w:val="-4"/>
                <w:sz w:val="18"/>
              </w:rPr>
              <w:t> </w:t>
            </w:r>
            <w:r>
              <w:rPr>
                <w:b/>
                <w:sz w:val="18"/>
              </w:rPr>
              <w:t>de</w:t>
            </w:r>
            <w:r>
              <w:rPr>
                <w:b/>
                <w:spacing w:val="-3"/>
                <w:sz w:val="18"/>
              </w:rPr>
              <w:t> </w:t>
            </w:r>
            <w:r>
              <w:rPr>
                <w:b/>
                <w:sz w:val="18"/>
              </w:rPr>
              <w:t>la</w:t>
            </w:r>
            <w:r>
              <w:rPr>
                <w:b/>
                <w:spacing w:val="-3"/>
                <w:sz w:val="18"/>
              </w:rPr>
              <w:t> </w:t>
            </w:r>
            <w:r>
              <w:rPr>
                <w:b/>
                <w:sz w:val="18"/>
              </w:rPr>
              <w:t>estrategia</w:t>
            </w:r>
            <w:r>
              <w:rPr>
                <w:b/>
                <w:spacing w:val="-3"/>
                <w:sz w:val="18"/>
              </w:rPr>
              <w:t> </w:t>
            </w:r>
            <w:r>
              <w:rPr>
                <w:b/>
                <w:sz w:val="18"/>
              </w:rPr>
              <w:t>de intervención de la población en situación de pobreza y pobreza extrema.</w:t>
            </w:r>
          </w:p>
        </w:tc>
      </w:tr>
      <w:tr>
        <w:trPr>
          <w:trHeight w:val="613" w:hRule="atLeast"/>
        </w:trPr>
        <w:tc>
          <w:tcPr>
            <w:tcW w:w="14320" w:type="dxa"/>
            <w:gridSpan w:val="8"/>
            <w:shd w:val="clear" w:color="auto" w:fill="EFF8F9"/>
          </w:tcPr>
          <w:p>
            <w:pPr>
              <w:pStyle w:val="TableParagraph"/>
              <w:spacing w:before="200"/>
              <w:ind w:left="72"/>
              <w:rPr>
                <w:b/>
                <w:sz w:val="18"/>
              </w:rPr>
            </w:pPr>
            <w:r>
              <w:rPr>
                <w:b/>
                <w:sz w:val="18"/>
              </w:rPr>
              <w:t>Producto</w:t>
            </w:r>
            <w:r>
              <w:rPr>
                <w:b/>
                <w:spacing w:val="-7"/>
                <w:sz w:val="18"/>
              </w:rPr>
              <w:t> </w:t>
            </w:r>
            <w:r>
              <w:rPr>
                <w:b/>
                <w:sz w:val="18"/>
              </w:rPr>
              <w:t>PAC</w:t>
            </w:r>
            <w:r>
              <w:rPr>
                <w:b/>
                <w:spacing w:val="-8"/>
                <w:sz w:val="18"/>
              </w:rPr>
              <w:t> </w:t>
            </w:r>
            <w:r>
              <w:rPr>
                <w:b/>
                <w:sz w:val="18"/>
              </w:rPr>
              <w:t>2.1:</w:t>
            </w:r>
            <w:r>
              <w:rPr>
                <w:b/>
                <w:spacing w:val="-3"/>
                <w:sz w:val="18"/>
              </w:rPr>
              <w:t> </w:t>
            </w:r>
            <w:r>
              <w:rPr>
                <w:b/>
                <w:sz w:val="18"/>
              </w:rPr>
              <w:t>Garantizar</w:t>
            </w:r>
            <w:r>
              <w:rPr>
                <w:b/>
                <w:spacing w:val="-5"/>
                <w:sz w:val="18"/>
              </w:rPr>
              <w:t> </w:t>
            </w:r>
            <w:r>
              <w:rPr>
                <w:b/>
                <w:sz w:val="18"/>
              </w:rPr>
              <w:t>en</w:t>
            </w:r>
            <w:r>
              <w:rPr>
                <w:b/>
                <w:spacing w:val="-7"/>
                <w:sz w:val="18"/>
              </w:rPr>
              <w:t> </w:t>
            </w:r>
            <w:r>
              <w:rPr>
                <w:b/>
                <w:sz w:val="18"/>
              </w:rPr>
              <w:t>tiempo</w:t>
            </w:r>
            <w:r>
              <w:rPr>
                <w:b/>
                <w:spacing w:val="-6"/>
                <w:sz w:val="18"/>
              </w:rPr>
              <w:t> </w:t>
            </w:r>
            <w:r>
              <w:rPr>
                <w:b/>
                <w:sz w:val="18"/>
              </w:rPr>
              <w:t>y</w:t>
            </w:r>
            <w:r>
              <w:rPr>
                <w:b/>
                <w:spacing w:val="-6"/>
                <w:sz w:val="18"/>
              </w:rPr>
              <w:t> </w:t>
            </w:r>
            <w:r>
              <w:rPr>
                <w:b/>
                <w:sz w:val="18"/>
              </w:rPr>
              <w:t>forma</w:t>
            </w:r>
            <w:r>
              <w:rPr>
                <w:b/>
                <w:spacing w:val="-2"/>
                <w:sz w:val="18"/>
              </w:rPr>
              <w:t> </w:t>
            </w:r>
            <w:r>
              <w:rPr>
                <w:b/>
                <w:sz w:val="18"/>
              </w:rPr>
              <w:t>el</w:t>
            </w:r>
            <w:r>
              <w:rPr>
                <w:b/>
                <w:spacing w:val="-4"/>
                <w:sz w:val="18"/>
              </w:rPr>
              <w:t> </w:t>
            </w:r>
            <w:r>
              <w:rPr>
                <w:b/>
                <w:sz w:val="18"/>
              </w:rPr>
              <w:t>cumplimiento</w:t>
            </w:r>
            <w:r>
              <w:rPr>
                <w:b/>
                <w:spacing w:val="-2"/>
                <w:sz w:val="18"/>
              </w:rPr>
              <w:t> </w:t>
            </w:r>
            <w:r>
              <w:rPr>
                <w:b/>
                <w:sz w:val="18"/>
              </w:rPr>
              <w:t>de</w:t>
            </w:r>
            <w:r>
              <w:rPr>
                <w:b/>
                <w:spacing w:val="-1"/>
                <w:sz w:val="18"/>
              </w:rPr>
              <w:t> </w:t>
            </w:r>
            <w:r>
              <w:rPr>
                <w:b/>
                <w:sz w:val="18"/>
              </w:rPr>
              <w:t>normativa</w:t>
            </w:r>
            <w:r>
              <w:rPr>
                <w:b/>
                <w:spacing w:val="-6"/>
                <w:sz w:val="18"/>
              </w:rPr>
              <w:t> </w:t>
            </w:r>
            <w:r>
              <w:rPr>
                <w:b/>
                <w:sz w:val="18"/>
              </w:rPr>
              <w:t>y</w:t>
            </w:r>
            <w:r>
              <w:rPr>
                <w:b/>
                <w:spacing w:val="-6"/>
                <w:sz w:val="18"/>
              </w:rPr>
              <w:t> </w:t>
            </w:r>
            <w:r>
              <w:rPr>
                <w:b/>
                <w:sz w:val="18"/>
              </w:rPr>
              <w:t>requerimientos</w:t>
            </w:r>
            <w:r>
              <w:rPr>
                <w:b/>
                <w:spacing w:val="-5"/>
                <w:sz w:val="18"/>
              </w:rPr>
              <w:t> </w:t>
            </w:r>
            <w:r>
              <w:rPr>
                <w:b/>
                <w:sz w:val="18"/>
              </w:rPr>
              <w:t>de</w:t>
            </w:r>
            <w:r>
              <w:rPr>
                <w:b/>
                <w:spacing w:val="-6"/>
                <w:sz w:val="18"/>
              </w:rPr>
              <w:t> </w:t>
            </w:r>
            <w:r>
              <w:rPr>
                <w:b/>
                <w:sz w:val="18"/>
              </w:rPr>
              <w:t>entes</w:t>
            </w:r>
            <w:r>
              <w:rPr>
                <w:b/>
                <w:spacing w:val="-6"/>
                <w:sz w:val="18"/>
              </w:rPr>
              <w:t> </w:t>
            </w:r>
            <w:r>
              <w:rPr>
                <w:b/>
                <w:sz w:val="18"/>
              </w:rPr>
              <w:t>internos</w:t>
            </w:r>
            <w:r>
              <w:rPr>
                <w:b/>
                <w:spacing w:val="-10"/>
                <w:sz w:val="18"/>
              </w:rPr>
              <w:t> </w:t>
            </w:r>
            <w:r>
              <w:rPr>
                <w:b/>
                <w:sz w:val="18"/>
              </w:rPr>
              <w:t>y</w:t>
            </w:r>
            <w:r>
              <w:rPr>
                <w:b/>
                <w:spacing w:val="-2"/>
                <w:sz w:val="18"/>
              </w:rPr>
              <w:t> externos.</w:t>
            </w:r>
          </w:p>
        </w:tc>
      </w:tr>
      <w:tr>
        <w:trPr>
          <w:trHeight w:val="1349" w:hRule="atLeast"/>
        </w:trPr>
        <w:tc>
          <w:tcPr>
            <w:tcW w:w="2247" w:type="dxa"/>
          </w:tcPr>
          <w:p>
            <w:pPr>
              <w:pStyle w:val="TableParagraph"/>
              <w:spacing w:before="157"/>
              <w:rPr>
                <w:b/>
                <w:sz w:val="18"/>
              </w:rPr>
            </w:pPr>
          </w:p>
          <w:p>
            <w:pPr>
              <w:pStyle w:val="TableParagraph"/>
              <w:ind w:left="72"/>
              <w:rPr>
                <w:sz w:val="18"/>
              </w:rPr>
            </w:pPr>
            <w:r>
              <w:rPr>
                <w:b/>
                <w:sz w:val="18"/>
              </w:rPr>
              <w:t>Actividad PAC 2.1.1: </w:t>
            </w:r>
            <w:r>
              <w:rPr>
                <w:sz w:val="18"/>
              </w:rPr>
              <w:t>Cumplir</w:t>
            </w:r>
            <w:r>
              <w:rPr>
                <w:spacing w:val="-13"/>
                <w:sz w:val="18"/>
              </w:rPr>
              <w:t> </w:t>
            </w:r>
            <w:r>
              <w:rPr>
                <w:sz w:val="18"/>
              </w:rPr>
              <w:t>con</w:t>
            </w:r>
            <w:r>
              <w:rPr>
                <w:spacing w:val="-12"/>
                <w:sz w:val="18"/>
              </w:rPr>
              <w:t> </w:t>
            </w:r>
            <w:r>
              <w:rPr>
                <w:sz w:val="18"/>
              </w:rPr>
              <w:t>los</w:t>
            </w:r>
            <w:r>
              <w:rPr>
                <w:spacing w:val="-10"/>
                <w:sz w:val="18"/>
              </w:rPr>
              <w:t> </w:t>
            </w:r>
            <w:r>
              <w:rPr>
                <w:sz w:val="18"/>
              </w:rPr>
              <w:t>Acuerdos del Consejo Directivo.</w:t>
            </w:r>
          </w:p>
        </w:tc>
        <w:tc>
          <w:tcPr>
            <w:tcW w:w="1723" w:type="dxa"/>
          </w:tcPr>
          <w:p>
            <w:pPr>
              <w:pStyle w:val="TableParagraph"/>
              <w:rPr>
                <w:b/>
                <w:sz w:val="18"/>
              </w:rPr>
            </w:pPr>
          </w:p>
          <w:p>
            <w:pPr>
              <w:pStyle w:val="TableParagraph"/>
              <w:spacing w:before="156"/>
              <w:rPr>
                <w:b/>
                <w:sz w:val="18"/>
              </w:rPr>
            </w:pPr>
          </w:p>
          <w:p>
            <w:pPr>
              <w:pStyle w:val="TableParagraph"/>
              <w:ind w:left="8"/>
              <w:jc w:val="center"/>
              <w:rPr>
                <w:sz w:val="18"/>
              </w:rPr>
            </w:pPr>
            <w:r>
              <w:rPr>
                <w:spacing w:val="-4"/>
                <w:sz w:val="18"/>
              </w:rPr>
              <w:t>100%</w:t>
            </w:r>
          </w:p>
        </w:tc>
        <w:tc>
          <w:tcPr>
            <w:tcW w:w="1843" w:type="dxa"/>
          </w:tcPr>
          <w:p>
            <w:pPr>
              <w:pStyle w:val="TableParagraph"/>
              <w:rPr>
                <w:b/>
                <w:sz w:val="18"/>
              </w:rPr>
            </w:pPr>
          </w:p>
          <w:p>
            <w:pPr>
              <w:pStyle w:val="TableParagraph"/>
              <w:spacing w:before="156"/>
              <w:rPr>
                <w:b/>
                <w:sz w:val="18"/>
              </w:rPr>
            </w:pPr>
          </w:p>
          <w:p>
            <w:pPr>
              <w:pStyle w:val="TableParagraph"/>
              <w:ind w:left="10" w:right="5"/>
              <w:jc w:val="center"/>
              <w:rPr>
                <w:sz w:val="18"/>
              </w:rPr>
            </w:pPr>
            <w:r>
              <w:rPr>
                <w:spacing w:val="-4"/>
                <w:sz w:val="18"/>
              </w:rPr>
              <w:t>100%</w:t>
            </w:r>
          </w:p>
        </w:tc>
        <w:tc>
          <w:tcPr>
            <w:tcW w:w="2040" w:type="dxa"/>
          </w:tcPr>
          <w:p>
            <w:pPr>
              <w:pStyle w:val="TableParagraph"/>
              <w:rPr>
                <w:b/>
                <w:sz w:val="18"/>
              </w:rPr>
            </w:pPr>
          </w:p>
          <w:p>
            <w:pPr>
              <w:pStyle w:val="TableParagraph"/>
              <w:spacing w:before="56"/>
              <w:rPr>
                <w:b/>
                <w:sz w:val="18"/>
              </w:rPr>
            </w:pPr>
          </w:p>
          <w:p>
            <w:pPr>
              <w:pStyle w:val="TableParagraph"/>
              <w:ind w:left="68"/>
              <w:rPr>
                <w:sz w:val="18"/>
              </w:rPr>
            </w:pPr>
            <w:r>
              <w:rPr>
                <w:sz w:val="18"/>
              </w:rPr>
              <w:t>Porcentaje</w:t>
            </w:r>
            <w:r>
              <w:rPr>
                <w:spacing w:val="-15"/>
                <w:sz w:val="18"/>
              </w:rPr>
              <w:t> </w:t>
            </w:r>
            <w:r>
              <w:rPr>
                <w:sz w:val="18"/>
              </w:rPr>
              <w:t>de</w:t>
            </w:r>
            <w:r>
              <w:rPr>
                <w:spacing w:val="-12"/>
                <w:sz w:val="18"/>
              </w:rPr>
              <w:t> </w:t>
            </w:r>
            <w:r>
              <w:rPr>
                <w:sz w:val="18"/>
              </w:rPr>
              <w:t>acuerdos </w:t>
            </w:r>
            <w:r>
              <w:rPr>
                <w:spacing w:val="-2"/>
                <w:sz w:val="18"/>
              </w:rPr>
              <w:t>atendidos</w:t>
            </w:r>
          </w:p>
        </w:tc>
        <w:tc>
          <w:tcPr>
            <w:tcW w:w="1800" w:type="dxa"/>
          </w:tcPr>
          <w:p>
            <w:pPr>
              <w:pStyle w:val="TableParagraph"/>
              <w:spacing w:before="51"/>
              <w:rPr>
                <w:b/>
                <w:sz w:val="18"/>
              </w:rPr>
            </w:pPr>
          </w:p>
          <w:p>
            <w:pPr>
              <w:pStyle w:val="TableParagraph"/>
              <w:ind w:left="73" w:right="249"/>
              <w:rPr>
                <w:sz w:val="18"/>
              </w:rPr>
            </w:pPr>
            <w:r>
              <w:rPr>
                <w:sz w:val="18"/>
              </w:rPr>
              <w:t>1.</w:t>
            </w:r>
            <w:r>
              <w:rPr>
                <w:spacing w:val="40"/>
                <w:sz w:val="18"/>
              </w:rPr>
              <w:t> </w:t>
            </w:r>
            <w:r>
              <w:rPr>
                <w:sz w:val="18"/>
              </w:rPr>
              <w:t>Acuerdos de cumplimiento del Consejo</w:t>
            </w:r>
            <w:r>
              <w:rPr>
                <w:spacing w:val="-13"/>
                <w:sz w:val="18"/>
              </w:rPr>
              <w:t> </w:t>
            </w:r>
            <w:r>
              <w:rPr>
                <w:sz w:val="18"/>
              </w:rPr>
              <w:t>Directivo, cuadro ARGOS</w:t>
            </w:r>
          </w:p>
        </w:tc>
        <w:tc>
          <w:tcPr>
            <w:tcW w:w="1623" w:type="dxa"/>
          </w:tcPr>
          <w:p>
            <w:pPr>
              <w:pStyle w:val="TableParagraph"/>
              <w:rPr>
                <w:b/>
                <w:sz w:val="18"/>
              </w:rPr>
            </w:pPr>
          </w:p>
          <w:p>
            <w:pPr>
              <w:pStyle w:val="TableParagraph"/>
              <w:spacing w:before="156"/>
              <w:rPr>
                <w:b/>
                <w:sz w:val="18"/>
              </w:rPr>
            </w:pPr>
          </w:p>
          <w:p>
            <w:pPr>
              <w:pStyle w:val="TableParagraph"/>
              <w:ind w:left="69"/>
              <w:rPr>
                <w:sz w:val="18"/>
              </w:rPr>
            </w:pPr>
            <w:r>
              <w:rPr>
                <w:spacing w:val="-5"/>
                <w:sz w:val="18"/>
              </w:rPr>
              <w:t>GG</w:t>
            </w:r>
          </w:p>
        </w:tc>
        <w:tc>
          <w:tcPr>
            <w:tcW w:w="1349" w:type="dxa"/>
          </w:tcPr>
          <w:p>
            <w:pPr>
              <w:pStyle w:val="TableParagraph"/>
              <w:rPr>
                <w:rFonts w:ascii="Times New Roman"/>
                <w:sz w:val="18"/>
              </w:rPr>
            </w:pPr>
          </w:p>
        </w:tc>
        <w:tc>
          <w:tcPr>
            <w:tcW w:w="1695" w:type="dxa"/>
            <w:vMerge w:val="restart"/>
          </w:tcPr>
          <w:p>
            <w:pPr>
              <w:pStyle w:val="TableParagraph"/>
              <w:spacing w:before="14"/>
              <w:ind w:left="74" w:right="103"/>
              <w:rPr>
                <w:sz w:val="18"/>
              </w:rPr>
            </w:pPr>
            <w:r>
              <w:rPr>
                <w:sz w:val="18"/>
              </w:rPr>
              <w:t>Atrasos en la ejecución en tiempo y forma para el cumplimiento de los acuerdos del CD, Auditoría Interna,</w:t>
            </w:r>
            <w:r>
              <w:rPr>
                <w:spacing w:val="16"/>
                <w:sz w:val="18"/>
              </w:rPr>
              <w:t> </w:t>
            </w:r>
            <w:r>
              <w:rPr>
                <w:sz w:val="18"/>
              </w:rPr>
              <w:t>Auditoría Externa y CGR</w:t>
            </w:r>
          </w:p>
          <w:p>
            <w:pPr>
              <w:pStyle w:val="TableParagraph"/>
              <w:spacing w:before="206"/>
              <w:ind w:left="74" w:right="103"/>
              <w:rPr>
                <w:sz w:val="18"/>
              </w:rPr>
            </w:pPr>
            <w:r>
              <w:rPr>
                <w:sz w:val="18"/>
              </w:rPr>
              <w:t>Incumplimiento</w:t>
            </w:r>
            <w:r>
              <w:rPr>
                <w:spacing w:val="-5"/>
                <w:sz w:val="18"/>
              </w:rPr>
              <w:t> </w:t>
            </w:r>
            <w:r>
              <w:rPr>
                <w:sz w:val="18"/>
              </w:rPr>
              <w:t>en el plazo de publicación del Plan para la simplificación de trámites</w:t>
            </w:r>
            <w:r>
              <w:rPr>
                <w:spacing w:val="-15"/>
                <w:sz w:val="18"/>
              </w:rPr>
              <w:t> </w:t>
            </w:r>
            <w:r>
              <w:rPr>
                <w:sz w:val="18"/>
              </w:rPr>
              <w:t>de</w:t>
            </w:r>
            <w:r>
              <w:rPr>
                <w:spacing w:val="-12"/>
                <w:sz w:val="18"/>
              </w:rPr>
              <w:t> </w:t>
            </w:r>
            <w:r>
              <w:rPr>
                <w:sz w:val="18"/>
              </w:rPr>
              <w:t>mejora </w:t>
            </w:r>
            <w:r>
              <w:rPr>
                <w:spacing w:val="-2"/>
                <w:sz w:val="18"/>
              </w:rPr>
              <w:t>regulatoria</w:t>
            </w:r>
          </w:p>
          <w:p>
            <w:pPr>
              <w:pStyle w:val="TableParagraph"/>
              <w:spacing w:before="1"/>
              <w:rPr>
                <w:b/>
                <w:sz w:val="18"/>
              </w:rPr>
            </w:pPr>
          </w:p>
          <w:p>
            <w:pPr>
              <w:pStyle w:val="TableParagraph"/>
              <w:ind w:left="74"/>
              <w:rPr>
                <w:sz w:val="18"/>
              </w:rPr>
            </w:pPr>
            <w:r>
              <w:rPr>
                <w:sz w:val="18"/>
              </w:rPr>
              <w:t>Atrasos en la ejecución de los proyectos</w:t>
            </w:r>
            <w:r>
              <w:rPr>
                <w:spacing w:val="-15"/>
                <w:sz w:val="18"/>
              </w:rPr>
              <w:t> </w:t>
            </w:r>
            <w:r>
              <w:rPr>
                <w:sz w:val="18"/>
              </w:rPr>
              <w:t>según</w:t>
            </w:r>
            <w:r>
              <w:rPr>
                <w:spacing w:val="-12"/>
                <w:sz w:val="18"/>
              </w:rPr>
              <w:t> </w:t>
            </w:r>
            <w:r>
              <w:rPr>
                <w:sz w:val="18"/>
              </w:rPr>
              <w:t>lo programado en el</w:t>
            </w:r>
          </w:p>
          <w:p>
            <w:pPr>
              <w:pStyle w:val="TableParagraph"/>
              <w:spacing w:line="201" w:lineRule="exact" w:before="3"/>
              <w:ind w:left="74"/>
              <w:rPr>
                <w:sz w:val="18"/>
              </w:rPr>
            </w:pPr>
            <w:r>
              <w:rPr>
                <w:sz w:val="18"/>
              </w:rPr>
              <w:t>Plan</w:t>
            </w:r>
            <w:r>
              <w:rPr>
                <w:spacing w:val="1"/>
                <w:sz w:val="18"/>
              </w:rPr>
              <w:t> </w:t>
            </w:r>
            <w:r>
              <w:rPr>
                <w:sz w:val="18"/>
              </w:rPr>
              <w:t>para</w:t>
            </w:r>
            <w:r>
              <w:rPr>
                <w:spacing w:val="-3"/>
                <w:sz w:val="18"/>
              </w:rPr>
              <w:t> </w:t>
            </w:r>
            <w:r>
              <w:rPr>
                <w:spacing w:val="-5"/>
                <w:sz w:val="18"/>
              </w:rPr>
              <w:t>la</w:t>
            </w:r>
          </w:p>
        </w:tc>
      </w:tr>
      <w:tr>
        <w:trPr>
          <w:trHeight w:val="1440" w:hRule="atLeast"/>
        </w:trPr>
        <w:tc>
          <w:tcPr>
            <w:tcW w:w="2247" w:type="dxa"/>
          </w:tcPr>
          <w:p>
            <w:pPr>
              <w:pStyle w:val="TableParagraph"/>
              <w:spacing w:before="99"/>
              <w:rPr>
                <w:b/>
                <w:sz w:val="18"/>
              </w:rPr>
            </w:pPr>
          </w:p>
          <w:p>
            <w:pPr>
              <w:pStyle w:val="TableParagraph"/>
              <w:spacing w:line="242" w:lineRule="auto"/>
              <w:ind w:left="72"/>
              <w:rPr>
                <w:sz w:val="18"/>
              </w:rPr>
            </w:pPr>
            <w:r>
              <w:rPr>
                <w:b/>
                <w:sz w:val="18"/>
              </w:rPr>
              <w:t>Actividad PAC 2.1.2: </w:t>
            </w:r>
            <w:r>
              <w:rPr>
                <w:sz w:val="18"/>
              </w:rPr>
              <w:t>Cumplir con las recomendaciones</w:t>
            </w:r>
            <w:r>
              <w:rPr>
                <w:spacing w:val="-15"/>
                <w:sz w:val="18"/>
              </w:rPr>
              <w:t> </w:t>
            </w:r>
            <w:r>
              <w:rPr>
                <w:sz w:val="18"/>
              </w:rPr>
              <w:t>de</w:t>
            </w:r>
            <w:r>
              <w:rPr>
                <w:spacing w:val="-12"/>
                <w:sz w:val="18"/>
              </w:rPr>
              <w:t> </w:t>
            </w:r>
            <w:r>
              <w:rPr>
                <w:sz w:val="18"/>
              </w:rPr>
              <w:t>la Auditoría Interna.</w:t>
            </w:r>
          </w:p>
        </w:tc>
        <w:tc>
          <w:tcPr>
            <w:tcW w:w="1723" w:type="dxa"/>
          </w:tcPr>
          <w:p>
            <w:pPr>
              <w:pStyle w:val="TableParagraph"/>
              <w:rPr>
                <w:b/>
                <w:sz w:val="18"/>
              </w:rPr>
            </w:pPr>
          </w:p>
          <w:p>
            <w:pPr>
              <w:pStyle w:val="TableParagraph"/>
              <w:spacing w:before="204"/>
              <w:rPr>
                <w:b/>
                <w:sz w:val="18"/>
              </w:rPr>
            </w:pPr>
          </w:p>
          <w:p>
            <w:pPr>
              <w:pStyle w:val="TableParagraph"/>
              <w:ind w:left="8"/>
              <w:jc w:val="center"/>
              <w:rPr>
                <w:sz w:val="18"/>
              </w:rPr>
            </w:pPr>
            <w:r>
              <w:rPr>
                <w:spacing w:val="-4"/>
                <w:sz w:val="18"/>
              </w:rPr>
              <w:t>100%</w:t>
            </w:r>
          </w:p>
        </w:tc>
        <w:tc>
          <w:tcPr>
            <w:tcW w:w="1843" w:type="dxa"/>
          </w:tcPr>
          <w:p>
            <w:pPr>
              <w:pStyle w:val="TableParagraph"/>
              <w:rPr>
                <w:b/>
                <w:sz w:val="18"/>
              </w:rPr>
            </w:pPr>
          </w:p>
          <w:p>
            <w:pPr>
              <w:pStyle w:val="TableParagraph"/>
              <w:spacing w:before="204"/>
              <w:rPr>
                <w:b/>
                <w:sz w:val="18"/>
              </w:rPr>
            </w:pPr>
          </w:p>
          <w:p>
            <w:pPr>
              <w:pStyle w:val="TableParagraph"/>
              <w:ind w:left="10" w:right="5"/>
              <w:jc w:val="center"/>
              <w:rPr>
                <w:sz w:val="18"/>
              </w:rPr>
            </w:pPr>
            <w:r>
              <w:rPr>
                <w:spacing w:val="-4"/>
                <w:sz w:val="18"/>
              </w:rPr>
              <w:t>100%</w:t>
            </w:r>
          </w:p>
        </w:tc>
        <w:tc>
          <w:tcPr>
            <w:tcW w:w="2040" w:type="dxa"/>
          </w:tcPr>
          <w:p>
            <w:pPr>
              <w:pStyle w:val="TableParagraph"/>
              <w:spacing w:before="204"/>
              <w:rPr>
                <w:b/>
                <w:sz w:val="18"/>
              </w:rPr>
            </w:pPr>
          </w:p>
          <w:p>
            <w:pPr>
              <w:pStyle w:val="TableParagraph"/>
              <w:ind w:left="68"/>
              <w:rPr>
                <w:sz w:val="18"/>
              </w:rPr>
            </w:pPr>
            <w:r>
              <w:rPr>
                <w:sz w:val="18"/>
              </w:rPr>
              <w:t>Porcentaje de </w:t>
            </w:r>
            <w:r>
              <w:rPr>
                <w:spacing w:val="-2"/>
                <w:sz w:val="18"/>
              </w:rPr>
              <w:t>recomendaciones atendidas</w:t>
            </w:r>
          </w:p>
        </w:tc>
        <w:tc>
          <w:tcPr>
            <w:tcW w:w="1800" w:type="dxa"/>
          </w:tcPr>
          <w:p>
            <w:pPr>
              <w:pStyle w:val="TableParagraph"/>
              <w:numPr>
                <w:ilvl w:val="0"/>
                <w:numId w:val="96"/>
              </w:numPr>
              <w:tabs>
                <w:tab w:pos="273" w:val="left" w:leader="none"/>
              </w:tabs>
              <w:spacing w:line="240" w:lineRule="auto" w:before="205" w:after="0"/>
              <w:ind w:left="73" w:right="79" w:firstLine="0"/>
              <w:jc w:val="left"/>
              <w:rPr>
                <w:sz w:val="18"/>
              </w:rPr>
            </w:pPr>
            <w:r>
              <w:rPr>
                <w:sz w:val="18"/>
              </w:rPr>
              <w:t>Informe de cumplimiento de </w:t>
            </w:r>
            <w:r>
              <w:rPr>
                <w:spacing w:val="-2"/>
                <w:sz w:val="18"/>
              </w:rPr>
              <w:t>Recomendaciones </w:t>
            </w:r>
            <w:r>
              <w:rPr>
                <w:sz w:val="18"/>
              </w:rPr>
              <w:t>de</w:t>
            </w:r>
            <w:r>
              <w:rPr>
                <w:spacing w:val="-15"/>
                <w:sz w:val="18"/>
              </w:rPr>
              <w:t> </w:t>
            </w:r>
            <w:r>
              <w:rPr>
                <w:sz w:val="18"/>
              </w:rPr>
              <w:t>Auditoría</w:t>
            </w:r>
            <w:r>
              <w:rPr>
                <w:spacing w:val="-12"/>
                <w:sz w:val="18"/>
              </w:rPr>
              <w:t> </w:t>
            </w:r>
            <w:r>
              <w:rPr>
                <w:sz w:val="18"/>
              </w:rPr>
              <w:t>Interna, cuadro ARGOS</w:t>
            </w:r>
          </w:p>
        </w:tc>
        <w:tc>
          <w:tcPr>
            <w:tcW w:w="1623" w:type="dxa"/>
          </w:tcPr>
          <w:p>
            <w:pPr>
              <w:pStyle w:val="TableParagraph"/>
              <w:rPr>
                <w:b/>
                <w:sz w:val="18"/>
              </w:rPr>
            </w:pPr>
          </w:p>
          <w:p>
            <w:pPr>
              <w:pStyle w:val="TableParagraph"/>
              <w:spacing w:before="204"/>
              <w:rPr>
                <w:b/>
                <w:sz w:val="18"/>
              </w:rPr>
            </w:pPr>
          </w:p>
          <w:p>
            <w:pPr>
              <w:pStyle w:val="TableParagraph"/>
              <w:ind w:left="69"/>
              <w:rPr>
                <w:sz w:val="18"/>
              </w:rPr>
            </w:pPr>
            <w:r>
              <w:rPr>
                <w:spacing w:val="-5"/>
                <w:sz w:val="18"/>
              </w:rPr>
              <w:t>GG</w:t>
            </w:r>
          </w:p>
        </w:tc>
        <w:tc>
          <w:tcPr>
            <w:tcW w:w="1349" w:type="dxa"/>
          </w:tcPr>
          <w:p>
            <w:pPr>
              <w:pStyle w:val="TableParagraph"/>
              <w:rPr>
                <w:rFonts w:ascii="Times New Roman"/>
                <w:sz w:val="18"/>
              </w:rPr>
            </w:pPr>
          </w:p>
        </w:tc>
        <w:tc>
          <w:tcPr>
            <w:tcW w:w="1695" w:type="dxa"/>
            <w:vMerge/>
            <w:tcBorders>
              <w:top w:val="nil"/>
            </w:tcBorders>
          </w:tcPr>
          <w:p>
            <w:pPr>
              <w:rPr>
                <w:sz w:val="2"/>
                <w:szCs w:val="2"/>
              </w:rPr>
            </w:pPr>
          </w:p>
        </w:tc>
      </w:tr>
      <w:tr>
        <w:trPr>
          <w:trHeight w:val="1982" w:hRule="atLeast"/>
        </w:trPr>
        <w:tc>
          <w:tcPr>
            <w:tcW w:w="2247" w:type="dxa"/>
          </w:tcPr>
          <w:p>
            <w:pPr>
              <w:pStyle w:val="TableParagraph"/>
              <w:rPr>
                <w:b/>
                <w:sz w:val="18"/>
              </w:rPr>
            </w:pPr>
          </w:p>
          <w:p>
            <w:pPr>
              <w:pStyle w:val="TableParagraph"/>
              <w:spacing w:before="161"/>
              <w:rPr>
                <w:b/>
                <w:sz w:val="18"/>
              </w:rPr>
            </w:pPr>
          </w:p>
          <w:p>
            <w:pPr>
              <w:pStyle w:val="TableParagraph"/>
              <w:spacing w:line="242" w:lineRule="auto"/>
              <w:ind w:left="72"/>
              <w:rPr>
                <w:sz w:val="18"/>
              </w:rPr>
            </w:pPr>
            <w:r>
              <w:rPr>
                <w:b/>
                <w:sz w:val="18"/>
              </w:rPr>
              <w:t>Actividad PAC 2.1.3: </w:t>
            </w:r>
            <w:r>
              <w:rPr>
                <w:sz w:val="18"/>
              </w:rPr>
              <w:t>Cumplir con las recomendaciones</w:t>
            </w:r>
            <w:r>
              <w:rPr>
                <w:spacing w:val="-15"/>
                <w:sz w:val="18"/>
              </w:rPr>
              <w:t> </w:t>
            </w:r>
            <w:r>
              <w:rPr>
                <w:sz w:val="18"/>
              </w:rPr>
              <w:t>de</w:t>
            </w:r>
            <w:r>
              <w:rPr>
                <w:spacing w:val="-12"/>
                <w:sz w:val="18"/>
              </w:rPr>
              <w:t> </w:t>
            </w:r>
            <w:r>
              <w:rPr>
                <w:sz w:val="18"/>
              </w:rPr>
              <w:t>la Auditoría Externa.</w:t>
            </w:r>
          </w:p>
        </w:tc>
        <w:tc>
          <w:tcPr>
            <w:tcW w:w="1723" w:type="dxa"/>
          </w:tcPr>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8"/>
              <w:jc w:val="center"/>
              <w:rPr>
                <w:sz w:val="18"/>
              </w:rPr>
            </w:pPr>
            <w:r>
              <w:rPr>
                <w:spacing w:val="-4"/>
                <w:sz w:val="18"/>
              </w:rPr>
              <w:t>100%</w:t>
            </w:r>
          </w:p>
        </w:tc>
        <w:tc>
          <w:tcPr>
            <w:tcW w:w="1843" w:type="dxa"/>
          </w:tcPr>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10" w:right="5"/>
              <w:jc w:val="center"/>
              <w:rPr>
                <w:sz w:val="18"/>
              </w:rPr>
            </w:pPr>
            <w:r>
              <w:rPr>
                <w:spacing w:val="-4"/>
                <w:sz w:val="18"/>
              </w:rPr>
              <w:t>100%</w:t>
            </w:r>
          </w:p>
        </w:tc>
        <w:tc>
          <w:tcPr>
            <w:tcW w:w="2040" w:type="dxa"/>
          </w:tcPr>
          <w:p>
            <w:pPr>
              <w:pStyle w:val="TableParagraph"/>
              <w:rPr>
                <w:b/>
                <w:sz w:val="18"/>
              </w:rPr>
            </w:pPr>
          </w:p>
          <w:p>
            <w:pPr>
              <w:pStyle w:val="TableParagraph"/>
              <w:rPr>
                <w:b/>
                <w:sz w:val="18"/>
              </w:rPr>
            </w:pPr>
          </w:p>
          <w:p>
            <w:pPr>
              <w:pStyle w:val="TableParagraph"/>
              <w:spacing w:before="60"/>
              <w:rPr>
                <w:b/>
                <w:sz w:val="18"/>
              </w:rPr>
            </w:pPr>
          </w:p>
          <w:p>
            <w:pPr>
              <w:pStyle w:val="TableParagraph"/>
              <w:ind w:left="68"/>
              <w:rPr>
                <w:sz w:val="18"/>
              </w:rPr>
            </w:pPr>
            <w:r>
              <w:rPr>
                <w:sz w:val="18"/>
              </w:rPr>
              <w:t>Porcentaje de </w:t>
            </w:r>
            <w:r>
              <w:rPr>
                <w:spacing w:val="-2"/>
                <w:sz w:val="18"/>
              </w:rPr>
              <w:t>recomendaciones atendidas</w:t>
            </w:r>
          </w:p>
        </w:tc>
        <w:tc>
          <w:tcPr>
            <w:tcW w:w="1800" w:type="dxa"/>
          </w:tcPr>
          <w:p>
            <w:pPr>
              <w:pStyle w:val="TableParagraph"/>
              <w:spacing w:before="60"/>
              <w:rPr>
                <w:b/>
                <w:sz w:val="18"/>
              </w:rPr>
            </w:pPr>
          </w:p>
          <w:p>
            <w:pPr>
              <w:pStyle w:val="TableParagraph"/>
              <w:numPr>
                <w:ilvl w:val="0"/>
                <w:numId w:val="97"/>
              </w:numPr>
              <w:tabs>
                <w:tab w:pos="273" w:val="left" w:leader="none"/>
              </w:tabs>
              <w:spacing w:line="240" w:lineRule="auto" w:before="0" w:after="0"/>
              <w:ind w:left="73" w:right="216" w:firstLine="0"/>
              <w:jc w:val="left"/>
              <w:rPr>
                <w:sz w:val="18"/>
              </w:rPr>
            </w:pPr>
            <w:r>
              <w:rPr>
                <w:sz w:val="18"/>
              </w:rPr>
              <w:t>Oficios de cumplimiento de </w:t>
            </w:r>
            <w:r>
              <w:rPr>
                <w:spacing w:val="-2"/>
                <w:sz w:val="18"/>
              </w:rPr>
              <w:t>Recomendaciones </w:t>
            </w:r>
            <w:r>
              <w:rPr>
                <w:sz w:val="18"/>
              </w:rPr>
              <w:t>de Auditoría </w:t>
            </w:r>
            <w:r>
              <w:rPr>
                <w:spacing w:val="-2"/>
                <w:sz w:val="18"/>
              </w:rPr>
              <w:t>Externa.</w:t>
            </w:r>
          </w:p>
          <w:p>
            <w:pPr>
              <w:pStyle w:val="TableParagraph"/>
              <w:numPr>
                <w:ilvl w:val="0"/>
                <w:numId w:val="97"/>
              </w:numPr>
              <w:tabs>
                <w:tab w:pos="278" w:val="left" w:leader="none"/>
              </w:tabs>
              <w:spacing w:line="244" w:lineRule="auto" w:before="0" w:after="0"/>
              <w:ind w:left="73" w:right="666" w:firstLine="0"/>
              <w:jc w:val="left"/>
              <w:rPr>
                <w:sz w:val="18"/>
              </w:rPr>
            </w:pPr>
            <w:r>
              <w:rPr>
                <w:sz w:val="18"/>
              </w:rPr>
              <w:t>Cuadro</w:t>
            </w:r>
            <w:r>
              <w:rPr>
                <w:spacing w:val="-13"/>
                <w:sz w:val="18"/>
              </w:rPr>
              <w:t> </w:t>
            </w:r>
            <w:r>
              <w:rPr>
                <w:sz w:val="18"/>
              </w:rPr>
              <w:t>de </w:t>
            </w:r>
            <w:r>
              <w:rPr>
                <w:spacing w:val="-2"/>
                <w:sz w:val="18"/>
              </w:rPr>
              <w:t>seguimiento</w:t>
            </w:r>
          </w:p>
        </w:tc>
        <w:tc>
          <w:tcPr>
            <w:tcW w:w="1623" w:type="dxa"/>
          </w:tcPr>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69"/>
              <w:rPr>
                <w:sz w:val="18"/>
              </w:rPr>
            </w:pPr>
            <w:r>
              <w:rPr>
                <w:spacing w:val="-5"/>
                <w:sz w:val="18"/>
              </w:rPr>
              <w:t>GG</w:t>
            </w:r>
          </w:p>
        </w:tc>
        <w:tc>
          <w:tcPr>
            <w:tcW w:w="1349" w:type="dxa"/>
          </w:tcPr>
          <w:p>
            <w:pPr>
              <w:pStyle w:val="TableParagraph"/>
              <w:rPr>
                <w:rFonts w:ascii="Times New Roman"/>
                <w:sz w:val="18"/>
              </w:rPr>
            </w:pPr>
          </w:p>
        </w:tc>
        <w:tc>
          <w:tcPr>
            <w:tcW w:w="1695" w:type="dxa"/>
            <w:vMerge/>
            <w:tcBorders>
              <w:top w:val="nil"/>
            </w:tcBorders>
          </w:tcPr>
          <w:p>
            <w:pPr>
              <w:rPr>
                <w:sz w:val="2"/>
                <w:szCs w:val="2"/>
              </w:rPr>
            </w:pPr>
          </w:p>
        </w:tc>
      </w:tr>
    </w:tbl>
    <w:p>
      <w:pPr>
        <w:spacing w:after="0"/>
        <w:rPr>
          <w:sz w:val="2"/>
          <w:szCs w:val="2"/>
        </w:rPr>
        <w:sectPr>
          <w:pgSz w:w="15840" w:h="12240" w:orient="landscape"/>
          <w:pgMar w:header="0" w:footer="1806" w:top="640" w:bottom="2320" w:left="360" w:right="360"/>
        </w:sectPr>
      </w:pPr>
    </w:p>
    <w:tbl>
      <w:tblPr>
        <w:tblW w:w="0" w:type="auto"/>
        <w:jc w:val="left"/>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1"/>
        <w:gridCol w:w="757"/>
        <w:gridCol w:w="1724"/>
        <w:gridCol w:w="1844"/>
        <w:gridCol w:w="2041"/>
        <w:gridCol w:w="1801"/>
        <w:gridCol w:w="1624"/>
        <w:gridCol w:w="1350"/>
        <w:gridCol w:w="1696"/>
      </w:tblGrid>
      <w:tr>
        <w:trPr>
          <w:trHeight w:val="1229" w:hRule="atLeast"/>
        </w:trPr>
        <w:tc>
          <w:tcPr>
            <w:tcW w:w="2248" w:type="dxa"/>
            <w:gridSpan w:val="2"/>
            <w:shd w:val="clear" w:color="auto" w:fill="F1F1F1"/>
          </w:tcPr>
          <w:p>
            <w:pPr>
              <w:pStyle w:val="TableParagraph"/>
              <w:rPr>
                <w:b/>
                <w:sz w:val="18"/>
              </w:rPr>
            </w:pPr>
          </w:p>
          <w:p>
            <w:pPr>
              <w:pStyle w:val="TableParagraph"/>
              <w:spacing w:before="98"/>
              <w:rPr>
                <w:b/>
                <w:sz w:val="18"/>
              </w:rPr>
            </w:pPr>
          </w:p>
          <w:p>
            <w:pPr>
              <w:pStyle w:val="TableParagraph"/>
              <w:ind w:left="72"/>
              <w:rPr>
                <w:b/>
                <w:sz w:val="18"/>
              </w:rPr>
            </w:pPr>
            <w:r>
              <w:rPr>
                <w:b/>
                <w:sz w:val="18"/>
              </w:rPr>
              <w:t>Objetivos</w:t>
            </w:r>
            <w:r>
              <w:rPr>
                <w:b/>
                <w:spacing w:val="-5"/>
                <w:sz w:val="18"/>
              </w:rPr>
              <w:t> </w:t>
            </w:r>
            <w:r>
              <w:rPr>
                <w:b/>
                <w:sz w:val="18"/>
              </w:rPr>
              <w:t>/</w:t>
            </w:r>
            <w:r>
              <w:rPr>
                <w:b/>
                <w:spacing w:val="-2"/>
                <w:sz w:val="18"/>
              </w:rPr>
              <w:t> Resultados</w:t>
            </w:r>
          </w:p>
        </w:tc>
        <w:tc>
          <w:tcPr>
            <w:tcW w:w="1724" w:type="dxa"/>
            <w:shd w:val="clear" w:color="auto" w:fill="F1F1F1"/>
          </w:tcPr>
          <w:p>
            <w:pPr>
              <w:pStyle w:val="TableParagraph"/>
              <w:rPr>
                <w:b/>
                <w:sz w:val="18"/>
              </w:rPr>
            </w:pPr>
          </w:p>
          <w:p>
            <w:pPr>
              <w:pStyle w:val="TableParagraph"/>
              <w:spacing w:before="98"/>
              <w:rPr>
                <w:b/>
                <w:sz w:val="18"/>
              </w:rPr>
            </w:pPr>
          </w:p>
          <w:p>
            <w:pPr>
              <w:pStyle w:val="TableParagraph"/>
              <w:ind w:left="5" w:right="5"/>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844" w:type="dxa"/>
            <w:shd w:val="clear" w:color="auto" w:fill="F1F1F1"/>
          </w:tcPr>
          <w:p>
            <w:pPr>
              <w:pStyle w:val="TableParagraph"/>
              <w:spacing w:before="199"/>
              <w:rPr>
                <w:b/>
                <w:sz w:val="18"/>
              </w:rPr>
            </w:pPr>
          </w:p>
          <w:p>
            <w:pPr>
              <w:pStyle w:val="TableParagraph"/>
              <w:spacing w:before="1"/>
              <w:ind w:left="718" w:right="150" w:hanging="552"/>
              <w:rPr>
                <w:b/>
                <w:sz w:val="18"/>
              </w:rPr>
            </w:pPr>
            <w:r>
              <w:rPr>
                <w:b/>
                <w:sz w:val="18"/>
              </w:rPr>
              <w:t>Meta</w:t>
            </w:r>
            <w:r>
              <w:rPr>
                <w:b/>
                <w:spacing w:val="-13"/>
                <w:sz w:val="18"/>
              </w:rPr>
              <w:t> </w:t>
            </w:r>
            <w:r>
              <w:rPr>
                <w:b/>
                <w:sz w:val="18"/>
              </w:rPr>
              <w:t>programada </w:t>
            </w:r>
            <w:r>
              <w:rPr>
                <w:b/>
                <w:spacing w:val="-4"/>
                <w:sz w:val="18"/>
              </w:rPr>
              <w:t>2026</w:t>
            </w:r>
          </w:p>
        </w:tc>
        <w:tc>
          <w:tcPr>
            <w:tcW w:w="2041" w:type="dxa"/>
            <w:shd w:val="clear" w:color="auto" w:fill="F1F1F1"/>
          </w:tcPr>
          <w:p>
            <w:pPr>
              <w:pStyle w:val="TableParagraph"/>
              <w:rPr>
                <w:b/>
                <w:sz w:val="18"/>
              </w:rPr>
            </w:pPr>
          </w:p>
          <w:p>
            <w:pPr>
              <w:pStyle w:val="TableParagraph"/>
              <w:spacing w:before="98"/>
              <w:rPr>
                <w:b/>
                <w:sz w:val="18"/>
              </w:rPr>
            </w:pPr>
          </w:p>
          <w:p>
            <w:pPr>
              <w:pStyle w:val="TableParagraph"/>
              <w:ind w:left="608"/>
              <w:rPr>
                <w:b/>
                <w:sz w:val="18"/>
              </w:rPr>
            </w:pPr>
            <w:r>
              <w:rPr>
                <w:b/>
                <w:spacing w:val="-2"/>
                <w:sz w:val="18"/>
              </w:rPr>
              <w:t>Indicador</w:t>
            </w:r>
          </w:p>
        </w:tc>
        <w:tc>
          <w:tcPr>
            <w:tcW w:w="1801" w:type="dxa"/>
            <w:shd w:val="clear" w:color="auto" w:fill="F1F1F1"/>
          </w:tcPr>
          <w:p>
            <w:pPr>
              <w:pStyle w:val="TableParagraph"/>
              <w:spacing w:before="199"/>
              <w:rPr>
                <w:b/>
                <w:sz w:val="18"/>
              </w:rPr>
            </w:pPr>
          </w:p>
          <w:p>
            <w:pPr>
              <w:pStyle w:val="TableParagraph"/>
              <w:spacing w:before="1"/>
              <w:ind w:left="396" w:right="49" w:firstLine="57"/>
              <w:rPr>
                <w:b/>
                <w:sz w:val="18"/>
              </w:rPr>
            </w:pPr>
            <w:r>
              <w:rPr>
                <w:b/>
                <w:sz w:val="18"/>
              </w:rPr>
              <w:t>Medios de </w:t>
            </w:r>
            <w:r>
              <w:rPr>
                <w:b/>
                <w:spacing w:val="-2"/>
                <w:sz w:val="18"/>
              </w:rPr>
              <w:t>verificación</w:t>
            </w:r>
          </w:p>
        </w:tc>
        <w:tc>
          <w:tcPr>
            <w:tcW w:w="1624" w:type="dxa"/>
            <w:shd w:val="clear" w:color="auto" w:fill="F1F1F1"/>
          </w:tcPr>
          <w:p>
            <w:pPr>
              <w:pStyle w:val="TableParagraph"/>
              <w:rPr>
                <w:b/>
                <w:sz w:val="18"/>
              </w:rPr>
            </w:pPr>
          </w:p>
          <w:p>
            <w:pPr>
              <w:pStyle w:val="TableParagraph"/>
              <w:spacing w:before="98"/>
              <w:rPr>
                <w:b/>
                <w:sz w:val="18"/>
              </w:rPr>
            </w:pPr>
          </w:p>
          <w:p>
            <w:pPr>
              <w:pStyle w:val="TableParagraph"/>
              <w:ind w:left="247"/>
              <w:rPr>
                <w:b/>
                <w:sz w:val="18"/>
              </w:rPr>
            </w:pPr>
            <w:r>
              <w:rPr>
                <w:b/>
                <w:spacing w:val="-2"/>
                <w:sz w:val="18"/>
              </w:rPr>
              <w:t>Responsable</w:t>
            </w:r>
          </w:p>
        </w:tc>
        <w:tc>
          <w:tcPr>
            <w:tcW w:w="1350" w:type="dxa"/>
            <w:shd w:val="clear" w:color="auto" w:fill="F1F1F1"/>
          </w:tcPr>
          <w:p>
            <w:pPr>
              <w:pStyle w:val="TableParagraph"/>
              <w:spacing w:before="199"/>
              <w:rPr>
                <w:b/>
                <w:sz w:val="18"/>
              </w:rPr>
            </w:pPr>
          </w:p>
          <w:p>
            <w:pPr>
              <w:pStyle w:val="TableParagraph"/>
              <w:spacing w:before="1"/>
              <w:ind w:left="274" w:hanging="154"/>
              <w:rPr>
                <w:b/>
                <w:sz w:val="18"/>
              </w:rPr>
            </w:pPr>
            <w:r>
              <w:rPr>
                <w:b/>
                <w:spacing w:val="-2"/>
                <w:sz w:val="18"/>
              </w:rPr>
              <w:t>Presupuesto asignado</w:t>
            </w:r>
          </w:p>
        </w:tc>
        <w:tc>
          <w:tcPr>
            <w:tcW w:w="1696" w:type="dxa"/>
            <w:shd w:val="clear" w:color="auto" w:fill="F1F1F1"/>
          </w:tcPr>
          <w:p>
            <w:pPr>
              <w:pStyle w:val="TableParagraph"/>
              <w:spacing w:before="99"/>
              <w:rPr>
                <w:b/>
                <w:sz w:val="18"/>
              </w:rPr>
            </w:pPr>
          </w:p>
          <w:p>
            <w:pPr>
              <w:pStyle w:val="TableParagraph"/>
              <w:ind w:left="67" w:right="72"/>
              <w:rPr>
                <w:b/>
                <w:sz w:val="18"/>
              </w:rPr>
            </w:pPr>
            <w:r>
              <w:rPr>
                <w:b/>
                <w:spacing w:val="-2"/>
                <w:sz w:val="18"/>
              </w:rPr>
              <w:t>Riesgos </w:t>
            </w:r>
            <w:r>
              <w:rPr>
                <w:b/>
                <w:sz w:val="18"/>
              </w:rPr>
              <w:t>asociados al </w:t>
            </w:r>
            <w:r>
              <w:rPr>
                <w:b/>
                <w:spacing w:val="-2"/>
                <w:sz w:val="18"/>
              </w:rPr>
              <w:t>cumplimiento</w:t>
            </w:r>
          </w:p>
        </w:tc>
      </w:tr>
      <w:tr>
        <w:trPr>
          <w:trHeight w:val="1665" w:hRule="atLeast"/>
        </w:trPr>
        <w:tc>
          <w:tcPr>
            <w:tcW w:w="2248" w:type="dxa"/>
            <w:gridSpan w:val="2"/>
          </w:tcPr>
          <w:p>
            <w:pPr>
              <w:pStyle w:val="TableParagraph"/>
              <w:spacing w:before="3"/>
              <w:rPr>
                <w:b/>
                <w:sz w:val="18"/>
              </w:rPr>
            </w:pPr>
          </w:p>
          <w:p>
            <w:pPr>
              <w:pStyle w:val="TableParagraph"/>
              <w:ind w:left="72" w:right="124"/>
              <w:rPr>
                <w:sz w:val="18"/>
              </w:rPr>
            </w:pPr>
            <w:r>
              <w:rPr>
                <w:b/>
                <w:sz w:val="18"/>
              </w:rPr>
              <w:t>Actividad PAC 2.1.4: </w:t>
            </w:r>
            <w:r>
              <w:rPr>
                <w:sz w:val="18"/>
              </w:rPr>
              <w:t>Cumplir con las disposiciones que emita la</w:t>
            </w:r>
            <w:r>
              <w:rPr>
                <w:spacing w:val="-10"/>
                <w:sz w:val="18"/>
              </w:rPr>
              <w:t> </w:t>
            </w:r>
            <w:r>
              <w:rPr>
                <w:sz w:val="18"/>
              </w:rPr>
              <w:t>Contraloría</w:t>
            </w:r>
            <w:r>
              <w:rPr>
                <w:spacing w:val="-12"/>
                <w:sz w:val="18"/>
              </w:rPr>
              <w:t> </w:t>
            </w:r>
            <w:r>
              <w:rPr>
                <w:sz w:val="18"/>
              </w:rPr>
              <w:t>General</w:t>
            </w:r>
            <w:r>
              <w:rPr>
                <w:spacing w:val="-13"/>
                <w:sz w:val="18"/>
              </w:rPr>
              <w:t> </w:t>
            </w:r>
            <w:r>
              <w:rPr>
                <w:sz w:val="18"/>
              </w:rPr>
              <w:t>de la República a la Gerencia General.</w:t>
            </w:r>
          </w:p>
        </w:tc>
        <w:tc>
          <w:tcPr>
            <w:tcW w:w="1724" w:type="dxa"/>
          </w:tcPr>
          <w:p>
            <w:pPr>
              <w:pStyle w:val="TableParagraph"/>
              <w:rPr>
                <w:b/>
                <w:sz w:val="18"/>
              </w:rPr>
            </w:pPr>
          </w:p>
          <w:p>
            <w:pPr>
              <w:pStyle w:val="TableParagraph"/>
              <w:rPr>
                <w:b/>
                <w:sz w:val="18"/>
              </w:rPr>
            </w:pPr>
          </w:p>
          <w:p>
            <w:pPr>
              <w:pStyle w:val="TableParagraph"/>
              <w:spacing w:before="107"/>
              <w:rPr>
                <w:b/>
                <w:sz w:val="18"/>
              </w:rPr>
            </w:pPr>
          </w:p>
          <w:p>
            <w:pPr>
              <w:pStyle w:val="TableParagraph"/>
              <w:ind w:left="6" w:right="1"/>
              <w:jc w:val="center"/>
              <w:rPr>
                <w:sz w:val="18"/>
              </w:rPr>
            </w:pPr>
            <w:r>
              <w:rPr>
                <w:spacing w:val="-4"/>
                <w:sz w:val="18"/>
              </w:rPr>
              <w:t>100%</w:t>
            </w:r>
          </w:p>
        </w:tc>
        <w:tc>
          <w:tcPr>
            <w:tcW w:w="1844" w:type="dxa"/>
          </w:tcPr>
          <w:p>
            <w:pPr>
              <w:pStyle w:val="TableParagraph"/>
              <w:rPr>
                <w:b/>
                <w:sz w:val="18"/>
              </w:rPr>
            </w:pPr>
          </w:p>
          <w:p>
            <w:pPr>
              <w:pStyle w:val="TableParagraph"/>
              <w:rPr>
                <w:b/>
                <w:sz w:val="18"/>
              </w:rPr>
            </w:pPr>
          </w:p>
          <w:p>
            <w:pPr>
              <w:pStyle w:val="TableParagraph"/>
              <w:spacing w:before="107"/>
              <w:rPr>
                <w:b/>
                <w:sz w:val="18"/>
              </w:rPr>
            </w:pPr>
          </w:p>
          <w:p>
            <w:pPr>
              <w:pStyle w:val="TableParagraph"/>
              <w:ind w:left="9" w:right="9"/>
              <w:jc w:val="center"/>
              <w:rPr>
                <w:sz w:val="18"/>
              </w:rPr>
            </w:pPr>
            <w:r>
              <w:rPr>
                <w:spacing w:val="-4"/>
                <w:sz w:val="18"/>
              </w:rPr>
              <w:t>100%</w:t>
            </w:r>
          </w:p>
        </w:tc>
        <w:tc>
          <w:tcPr>
            <w:tcW w:w="2041" w:type="dxa"/>
          </w:tcPr>
          <w:p>
            <w:pPr>
              <w:pStyle w:val="TableParagraph"/>
              <w:rPr>
                <w:b/>
                <w:sz w:val="18"/>
              </w:rPr>
            </w:pPr>
          </w:p>
          <w:p>
            <w:pPr>
              <w:pStyle w:val="TableParagraph"/>
              <w:spacing w:before="108"/>
              <w:rPr>
                <w:b/>
                <w:sz w:val="18"/>
              </w:rPr>
            </w:pPr>
          </w:p>
          <w:p>
            <w:pPr>
              <w:pStyle w:val="TableParagraph"/>
              <w:ind w:left="65" w:right="849"/>
              <w:jc w:val="both"/>
              <w:rPr>
                <w:sz w:val="18"/>
              </w:rPr>
            </w:pPr>
            <w:r>
              <w:rPr>
                <w:sz w:val="18"/>
              </w:rPr>
              <w:t>Porcentaje</w:t>
            </w:r>
            <w:r>
              <w:rPr>
                <w:spacing w:val="-13"/>
                <w:sz w:val="18"/>
              </w:rPr>
              <w:t> </w:t>
            </w:r>
            <w:r>
              <w:rPr>
                <w:sz w:val="18"/>
              </w:rPr>
              <w:t>de </w:t>
            </w:r>
            <w:r>
              <w:rPr>
                <w:spacing w:val="-2"/>
                <w:sz w:val="18"/>
              </w:rPr>
              <w:t>disposiciones atendidas</w:t>
            </w:r>
          </w:p>
        </w:tc>
        <w:tc>
          <w:tcPr>
            <w:tcW w:w="1801" w:type="dxa"/>
          </w:tcPr>
          <w:p>
            <w:pPr>
              <w:pStyle w:val="TableParagraph"/>
              <w:spacing w:before="108"/>
              <w:rPr>
                <w:b/>
                <w:sz w:val="18"/>
              </w:rPr>
            </w:pPr>
          </w:p>
          <w:p>
            <w:pPr>
              <w:pStyle w:val="TableParagraph"/>
              <w:ind w:left="70" w:right="49"/>
              <w:rPr>
                <w:sz w:val="18"/>
              </w:rPr>
            </w:pPr>
            <w:r>
              <w:rPr>
                <w:sz w:val="18"/>
              </w:rPr>
              <w:t>1.Cuadro resumen de</w:t>
            </w:r>
            <w:r>
              <w:rPr>
                <w:spacing w:val="-11"/>
                <w:sz w:val="18"/>
              </w:rPr>
              <w:t> </w:t>
            </w:r>
            <w:r>
              <w:rPr>
                <w:sz w:val="18"/>
              </w:rPr>
              <w:t>cumplimiento</w:t>
            </w:r>
            <w:r>
              <w:rPr>
                <w:spacing w:val="-13"/>
                <w:sz w:val="18"/>
              </w:rPr>
              <w:t> </w:t>
            </w:r>
            <w:r>
              <w:rPr>
                <w:sz w:val="18"/>
              </w:rPr>
              <w:t>a</w:t>
            </w:r>
            <w:r>
              <w:rPr>
                <w:spacing w:val="-10"/>
                <w:sz w:val="18"/>
              </w:rPr>
              <w:t> </w:t>
            </w:r>
            <w:r>
              <w:rPr>
                <w:sz w:val="18"/>
              </w:rPr>
              <w:t>la CGR, indicando los oficios de </w:t>
            </w:r>
            <w:r>
              <w:rPr>
                <w:spacing w:val="-2"/>
                <w:sz w:val="18"/>
              </w:rPr>
              <w:t>cumplimiento</w:t>
            </w:r>
          </w:p>
        </w:tc>
        <w:tc>
          <w:tcPr>
            <w:tcW w:w="1624" w:type="dxa"/>
          </w:tcPr>
          <w:p>
            <w:pPr>
              <w:pStyle w:val="TableParagraph"/>
              <w:rPr>
                <w:b/>
                <w:sz w:val="18"/>
              </w:rPr>
            </w:pPr>
          </w:p>
          <w:p>
            <w:pPr>
              <w:pStyle w:val="TableParagraph"/>
              <w:rPr>
                <w:b/>
                <w:sz w:val="18"/>
              </w:rPr>
            </w:pPr>
          </w:p>
          <w:p>
            <w:pPr>
              <w:pStyle w:val="TableParagraph"/>
              <w:spacing w:before="107"/>
              <w:rPr>
                <w:b/>
                <w:sz w:val="18"/>
              </w:rPr>
            </w:pPr>
          </w:p>
          <w:p>
            <w:pPr>
              <w:pStyle w:val="TableParagraph"/>
              <w:ind w:left="64"/>
              <w:rPr>
                <w:sz w:val="18"/>
              </w:rPr>
            </w:pPr>
            <w:r>
              <w:rPr>
                <w:spacing w:val="-5"/>
                <w:sz w:val="18"/>
              </w:rPr>
              <w:t>GG</w:t>
            </w:r>
          </w:p>
        </w:tc>
        <w:tc>
          <w:tcPr>
            <w:tcW w:w="1350" w:type="dxa"/>
          </w:tcPr>
          <w:p>
            <w:pPr>
              <w:pStyle w:val="TableParagraph"/>
              <w:rPr>
                <w:rFonts w:ascii="Times New Roman"/>
                <w:sz w:val="18"/>
              </w:rPr>
            </w:pPr>
          </w:p>
        </w:tc>
        <w:tc>
          <w:tcPr>
            <w:tcW w:w="1696" w:type="dxa"/>
            <w:vMerge w:val="restart"/>
            <w:tcBorders>
              <w:bottom w:val="single" w:sz="4" w:space="0" w:color="808080"/>
            </w:tcBorders>
          </w:tcPr>
          <w:p>
            <w:pPr>
              <w:pStyle w:val="TableParagraph"/>
              <w:spacing w:line="242" w:lineRule="auto"/>
              <w:ind w:left="67" w:right="58"/>
              <w:rPr>
                <w:sz w:val="18"/>
              </w:rPr>
            </w:pPr>
            <w:r>
              <w:rPr>
                <w:sz w:val="18"/>
              </w:rPr>
              <w:t>simplificación de trámites</w:t>
            </w:r>
            <w:r>
              <w:rPr>
                <w:spacing w:val="-15"/>
                <w:sz w:val="18"/>
              </w:rPr>
              <w:t> </w:t>
            </w:r>
            <w:r>
              <w:rPr>
                <w:sz w:val="18"/>
              </w:rPr>
              <w:t>de</w:t>
            </w:r>
            <w:r>
              <w:rPr>
                <w:spacing w:val="-12"/>
                <w:sz w:val="18"/>
              </w:rPr>
              <w:t> </w:t>
            </w:r>
            <w:r>
              <w:rPr>
                <w:sz w:val="18"/>
              </w:rPr>
              <w:t>mejora </w:t>
            </w:r>
            <w:r>
              <w:rPr>
                <w:spacing w:val="-2"/>
                <w:sz w:val="18"/>
              </w:rPr>
              <w:t>regulatoria</w:t>
            </w:r>
          </w:p>
          <w:p>
            <w:pPr>
              <w:pStyle w:val="TableParagraph"/>
              <w:spacing w:before="202"/>
              <w:ind w:left="67" w:right="261"/>
              <w:rPr>
                <w:sz w:val="18"/>
              </w:rPr>
            </w:pPr>
            <w:r>
              <w:rPr>
                <w:sz w:val="18"/>
              </w:rPr>
              <w:t>Posible no participación de oferentes en el proceso de contratación por servicios de auditoría</w:t>
            </w:r>
            <w:r>
              <w:rPr>
                <w:spacing w:val="-13"/>
                <w:sz w:val="18"/>
              </w:rPr>
              <w:t> </w:t>
            </w:r>
            <w:r>
              <w:rPr>
                <w:sz w:val="18"/>
              </w:rPr>
              <w:t>externa</w:t>
            </w:r>
          </w:p>
          <w:p>
            <w:pPr>
              <w:pStyle w:val="TableParagraph"/>
              <w:spacing w:before="1"/>
              <w:rPr>
                <w:b/>
                <w:sz w:val="18"/>
              </w:rPr>
            </w:pPr>
          </w:p>
          <w:p>
            <w:pPr>
              <w:pStyle w:val="TableParagraph"/>
              <w:ind w:left="67" w:right="58"/>
              <w:rPr>
                <w:sz w:val="18"/>
              </w:rPr>
            </w:pPr>
            <w:r>
              <w:rPr>
                <w:sz w:val="18"/>
              </w:rPr>
              <w:t>Responsables no ejecutan</w:t>
            </w:r>
            <w:r>
              <w:rPr>
                <w:spacing w:val="-15"/>
                <w:sz w:val="18"/>
              </w:rPr>
              <w:t> </w:t>
            </w:r>
            <w:r>
              <w:rPr>
                <w:sz w:val="18"/>
              </w:rPr>
              <w:t>en</w:t>
            </w:r>
            <w:r>
              <w:rPr>
                <w:spacing w:val="-12"/>
                <w:sz w:val="18"/>
              </w:rPr>
              <w:t> </w:t>
            </w:r>
            <w:r>
              <w:rPr>
                <w:sz w:val="18"/>
              </w:rPr>
              <w:t>tiempo y forma la contratación por servicios de auditoría externa</w:t>
            </w:r>
          </w:p>
          <w:p>
            <w:pPr>
              <w:pStyle w:val="TableParagraph"/>
              <w:spacing w:before="1"/>
              <w:rPr>
                <w:b/>
                <w:sz w:val="18"/>
              </w:rPr>
            </w:pPr>
          </w:p>
          <w:p>
            <w:pPr>
              <w:pStyle w:val="TableParagraph"/>
              <w:ind w:left="67" w:right="58"/>
              <w:rPr>
                <w:sz w:val="18"/>
              </w:rPr>
            </w:pPr>
            <w:r>
              <w:rPr>
                <w:sz w:val="18"/>
              </w:rPr>
              <w:t>Responsables no reportan el caso con</w:t>
            </w:r>
            <w:r>
              <w:rPr>
                <w:spacing w:val="-15"/>
                <w:sz w:val="18"/>
              </w:rPr>
              <w:t> </w:t>
            </w:r>
            <w:r>
              <w:rPr>
                <w:sz w:val="18"/>
              </w:rPr>
              <w:t>resolución</w:t>
            </w:r>
            <w:r>
              <w:rPr>
                <w:spacing w:val="-12"/>
                <w:sz w:val="18"/>
              </w:rPr>
              <w:t> </w:t>
            </w:r>
            <w:r>
              <w:rPr>
                <w:sz w:val="18"/>
              </w:rPr>
              <w:t>final a entidades </w:t>
            </w:r>
            <w:r>
              <w:rPr>
                <w:spacing w:val="-2"/>
                <w:sz w:val="18"/>
              </w:rPr>
              <w:t>externas</w:t>
            </w:r>
          </w:p>
        </w:tc>
      </w:tr>
      <w:tr>
        <w:trPr>
          <w:trHeight w:val="1353" w:hRule="atLeast"/>
        </w:trPr>
        <w:tc>
          <w:tcPr>
            <w:tcW w:w="2248" w:type="dxa"/>
            <w:gridSpan w:val="2"/>
          </w:tcPr>
          <w:p>
            <w:pPr>
              <w:pStyle w:val="TableParagraph"/>
              <w:spacing w:before="56"/>
              <w:ind w:left="72" w:right="44"/>
              <w:rPr>
                <w:sz w:val="18"/>
              </w:rPr>
            </w:pPr>
            <w:r>
              <w:rPr>
                <w:b/>
                <w:sz w:val="18"/>
              </w:rPr>
              <w:t>Actividad PAC 2.1.5: </w:t>
            </w:r>
            <w:r>
              <w:rPr>
                <w:sz w:val="18"/>
              </w:rPr>
              <w:t>Elaborar</w:t>
            </w:r>
            <w:r>
              <w:rPr>
                <w:spacing w:val="-8"/>
                <w:sz w:val="18"/>
              </w:rPr>
              <w:t> </w:t>
            </w:r>
            <w:r>
              <w:rPr>
                <w:sz w:val="18"/>
              </w:rPr>
              <w:t>y</w:t>
            </w:r>
            <w:r>
              <w:rPr>
                <w:spacing w:val="-10"/>
                <w:sz w:val="18"/>
              </w:rPr>
              <w:t> </w:t>
            </w:r>
            <w:r>
              <w:rPr>
                <w:sz w:val="18"/>
              </w:rPr>
              <w:t>aprobar</w:t>
            </w:r>
            <w:r>
              <w:rPr>
                <w:spacing w:val="-8"/>
                <w:sz w:val="18"/>
              </w:rPr>
              <w:t> </w:t>
            </w:r>
            <w:r>
              <w:rPr>
                <w:sz w:val="18"/>
              </w:rPr>
              <w:t>el</w:t>
            </w:r>
            <w:r>
              <w:rPr>
                <w:spacing w:val="-7"/>
                <w:sz w:val="18"/>
              </w:rPr>
              <w:t> </w:t>
            </w:r>
            <w:r>
              <w:rPr>
                <w:sz w:val="18"/>
              </w:rPr>
              <w:t>Plan institucional para la simplificación de trámites, de mejora regulatoria </w:t>
            </w:r>
            <w:r>
              <w:rPr>
                <w:spacing w:val="-2"/>
                <w:sz w:val="18"/>
              </w:rPr>
              <w:t>2026.</w:t>
            </w:r>
          </w:p>
        </w:tc>
        <w:tc>
          <w:tcPr>
            <w:tcW w:w="1724" w:type="dxa"/>
          </w:tcPr>
          <w:p>
            <w:pPr>
              <w:pStyle w:val="TableParagraph"/>
              <w:rPr>
                <w:b/>
                <w:sz w:val="18"/>
              </w:rPr>
            </w:pPr>
          </w:p>
          <w:p>
            <w:pPr>
              <w:pStyle w:val="TableParagraph"/>
              <w:spacing w:before="156"/>
              <w:rPr>
                <w:b/>
                <w:sz w:val="18"/>
              </w:rPr>
            </w:pPr>
          </w:p>
          <w:p>
            <w:pPr>
              <w:pStyle w:val="TableParagraph"/>
              <w:ind w:left="5" w:right="6"/>
              <w:jc w:val="center"/>
              <w:rPr>
                <w:sz w:val="18"/>
              </w:rPr>
            </w:pPr>
            <w:r>
              <w:rPr>
                <w:spacing w:val="-10"/>
                <w:sz w:val="18"/>
              </w:rPr>
              <w:t>1</w:t>
            </w:r>
          </w:p>
        </w:tc>
        <w:tc>
          <w:tcPr>
            <w:tcW w:w="1844" w:type="dxa"/>
          </w:tcPr>
          <w:p>
            <w:pPr>
              <w:pStyle w:val="TableParagraph"/>
              <w:rPr>
                <w:b/>
                <w:sz w:val="18"/>
              </w:rPr>
            </w:pPr>
          </w:p>
          <w:p>
            <w:pPr>
              <w:pStyle w:val="TableParagraph"/>
              <w:spacing w:before="156"/>
              <w:rPr>
                <w:b/>
                <w:sz w:val="18"/>
              </w:rPr>
            </w:pPr>
          </w:p>
          <w:p>
            <w:pPr>
              <w:pStyle w:val="TableParagraph"/>
              <w:ind w:left="9" w:right="7"/>
              <w:jc w:val="center"/>
              <w:rPr>
                <w:sz w:val="18"/>
              </w:rPr>
            </w:pPr>
            <w:r>
              <w:rPr>
                <w:spacing w:val="-10"/>
                <w:sz w:val="18"/>
              </w:rPr>
              <w:t>1</w:t>
            </w:r>
          </w:p>
        </w:tc>
        <w:tc>
          <w:tcPr>
            <w:tcW w:w="2041" w:type="dxa"/>
          </w:tcPr>
          <w:p>
            <w:pPr>
              <w:pStyle w:val="TableParagraph"/>
              <w:spacing w:before="157"/>
              <w:rPr>
                <w:b/>
                <w:sz w:val="18"/>
              </w:rPr>
            </w:pPr>
          </w:p>
          <w:p>
            <w:pPr>
              <w:pStyle w:val="TableParagraph"/>
              <w:spacing w:line="242" w:lineRule="auto"/>
              <w:ind w:left="65" w:right="407"/>
              <w:rPr>
                <w:sz w:val="18"/>
              </w:rPr>
            </w:pPr>
            <w:r>
              <w:rPr>
                <w:sz w:val="18"/>
              </w:rPr>
              <w:t>Cantidad</w:t>
            </w:r>
            <w:r>
              <w:rPr>
                <w:spacing w:val="-15"/>
                <w:sz w:val="18"/>
              </w:rPr>
              <w:t> </w:t>
            </w:r>
            <w:r>
              <w:rPr>
                <w:sz w:val="18"/>
              </w:rPr>
              <w:t>de</w:t>
            </w:r>
            <w:r>
              <w:rPr>
                <w:spacing w:val="-12"/>
                <w:sz w:val="18"/>
              </w:rPr>
              <w:t> </w:t>
            </w:r>
            <w:r>
              <w:rPr>
                <w:sz w:val="18"/>
              </w:rPr>
              <w:t>planes elaborados y </w:t>
            </w:r>
            <w:r>
              <w:rPr>
                <w:spacing w:val="-2"/>
                <w:sz w:val="18"/>
              </w:rPr>
              <w:t>aprobados</w:t>
            </w:r>
          </w:p>
        </w:tc>
        <w:tc>
          <w:tcPr>
            <w:tcW w:w="1801" w:type="dxa"/>
          </w:tcPr>
          <w:p>
            <w:pPr>
              <w:pStyle w:val="TableParagraph"/>
              <w:rPr>
                <w:b/>
                <w:sz w:val="18"/>
              </w:rPr>
            </w:pPr>
          </w:p>
          <w:p>
            <w:pPr>
              <w:pStyle w:val="TableParagraph"/>
              <w:spacing w:before="156"/>
              <w:rPr>
                <w:b/>
                <w:sz w:val="18"/>
              </w:rPr>
            </w:pPr>
          </w:p>
          <w:p>
            <w:pPr>
              <w:pStyle w:val="TableParagraph"/>
              <w:ind w:left="70"/>
              <w:rPr>
                <w:sz w:val="18"/>
              </w:rPr>
            </w:pPr>
            <w:r>
              <w:rPr>
                <w:sz w:val="18"/>
              </w:rPr>
              <w:t>1.</w:t>
            </w:r>
            <w:r>
              <w:rPr>
                <w:spacing w:val="2"/>
                <w:sz w:val="18"/>
              </w:rPr>
              <w:t> </w:t>
            </w:r>
            <w:r>
              <w:rPr>
                <w:sz w:val="18"/>
              </w:rPr>
              <w:t>Plan</w:t>
            </w:r>
            <w:r>
              <w:rPr>
                <w:spacing w:val="-3"/>
                <w:sz w:val="18"/>
              </w:rPr>
              <w:t> </w:t>
            </w:r>
            <w:r>
              <w:rPr>
                <w:spacing w:val="-2"/>
                <w:sz w:val="18"/>
              </w:rPr>
              <w:t>aprobado</w:t>
            </w:r>
          </w:p>
        </w:tc>
        <w:tc>
          <w:tcPr>
            <w:tcW w:w="1624" w:type="dxa"/>
          </w:tcPr>
          <w:p>
            <w:pPr>
              <w:pStyle w:val="TableParagraph"/>
              <w:rPr>
                <w:b/>
                <w:sz w:val="18"/>
              </w:rPr>
            </w:pPr>
          </w:p>
          <w:p>
            <w:pPr>
              <w:pStyle w:val="TableParagraph"/>
              <w:spacing w:before="156"/>
              <w:rPr>
                <w:b/>
                <w:sz w:val="18"/>
              </w:rPr>
            </w:pPr>
          </w:p>
          <w:p>
            <w:pPr>
              <w:pStyle w:val="TableParagraph"/>
              <w:ind w:left="64"/>
              <w:rPr>
                <w:sz w:val="18"/>
              </w:rPr>
            </w:pPr>
            <w:r>
              <w:rPr>
                <w:spacing w:val="-5"/>
                <w:sz w:val="18"/>
              </w:rPr>
              <w:t>GG</w:t>
            </w:r>
          </w:p>
        </w:tc>
        <w:tc>
          <w:tcPr>
            <w:tcW w:w="1350" w:type="dxa"/>
          </w:tcPr>
          <w:p>
            <w:pPr>
              <w:pStyle w:val="TableParagraph"/>
              <w:rPr>
                <w:rFonts w:ascii="Times New Roman"/>
                <w:sz w:val="18"/>
              </w:rPr>
            </w:pPr>
          </w:p>
        </w:tc>
        <w:tc>
          <w:tcPr>
            <w:tcW w:w="1696" w:type="dxa"/>
            <w:vMerge/>
            <w:tcBorders>
              <w:top w:val="nil"/>
              <w:bottom w:val="single" w:sz="4" w:space="0" w:color="808080"/>
            </w:tcBorders>
          </w:tcPr>
          <w:p>
            <w:pPr>
              <w:rPr>
                <w:sz w:val="2"/>
                <w:szCs w:val="2"/>
              </w:rPr>
            </w:pPr>
          </w:p>
        </w:tc>
      </w:tr>
      <w:tr>
        <w:trPr>
          <w:trHeight w:val="1468" w:hRule="atLeast"/>
        </w:trPr>
        <w:tc>
          <w:tcPr>
            <w:tcW w:w="2248" w:type="dxa"/>
            <w:gridSpan w:val="2"/>
          </w:tcPr>
          <w:p>
            <w:pPr>
              <w:pStyle w:val="TableParagraph"/>
              <w:spacing w:before="8"/>
              <w:ind w:left="72" w:right="105"/>
              <w:rPr>
                <w:sz w:val="18"/>
              </w:rPr>
            </w:pPr>
            <w:r>
              <w:rPr>
                <w:b/>
                <w:sz w:val="18"/>
              </w:rPr>
              <w:t>Actividad PAC 2.1.6:</w:t>
            </w:r>
            <w:r>
              <w:rPr>
                <w:b/>
                <w:spacing w:val="40"/>
                <w:sz w:val="18"/>
              </w:rPr>
              <w:t> </w:t>
            </w:r>
            <w:r>
              <w:rPr>
                <w:sz w:val="18"/>
              </w:rPr>
              <w:t>Dar seguimiento a la ejecución del Plan institucional para la simplificación</w:t>
            </w:r>
            <w:r>
              <w:rPr>
                <w:spacing w:val="-15"/>
                <w:sz w:val="18"/>
              </w:rPr>
              <w:t> </w:t>
            </w:r>
            <w:r>
              <w:rPr>
                <w:sz w:val="18"/>
              </w:rPr>
              <w:t>de</w:t>
            </w:r>
            <w:r>
              <w:rPr>
                <w:spacing w:val="-12"/>
                <w:sz w:val="18"/>
              </w:rPr>
              <w:t> </w:t>
            </w:r>
            <w:r>
              <w:rPr>
                <w:sz w:val="18"/>
              </w:rPr>
              <w:t>trámites,</w:t>
            </w:r>
          </w:p>
          <w:p>
            <w:pPr>
              <w:pStyle w:val="TableParagraph"/>
              <w:spacing w:line="206" w:lineRule="exact"/>
              <w:ind w:left="72" w:right="124"/>
              <w:rPr>
                <w:sz w:val="18"/>
              </w:rPr>
            </w:pPr>
            <w:r>
              <w:rPr>
                <w:sz w:val="18"/>
              </w:rPr>
              <w:t>de</w:t>
            </w:r>
            <w:r>
              <w:rPr>
                <w:spacing w:val="-15"/>
                <w:sz w:val="18"/>
              </w:rPr>
              <w:t> </w:t>
            </w:r>
            <w:r>
              <w:rPr>
                <w:sz w:val="18"/>
              </w:rPr>
              <w:t>mejora</w:t>
            </w:r>
            <w:r>
              <w:rPr>
                <w:spacing w:val="-12"/>
                <w:sz w:val="18"/>
              </w:rPr>
              <w:t> </w:t>
            </w:r>
            <w:r>
              <w:rPr>
                <w:sz w:val="18"/>
              </w:rPr>
              <w:t>regulatoria </w:t>
            </w:r>
            <w:r>
              <w:rPr>
                <w:spacing w:val="-2"/>
                <w:sz w:val="18"/>
              </w:rPr>
              <w:t>2025.</w:t>
            </w:r>
          </w:p>
        </w:tc>
        <w:tc>
          <w:tcPr>
            <w:tcW w:w="1724" w:type="dxa"/>
          </w:tcPr>
          <w:p>
            <w:pPr>
              <w:pStyle w:val="TableParagraph"/>
              <w:rPr>
                <w:b/>
                <w:sz w:val="18"/>
              </w:rPr>
            </w:pPr>
          </w:p>
          <w:p>
            <w:pPr>
              <w:pStyle w:val="TableParagraph"/>
              <w:rPr>
                <w:b/>
                <w:sz w:val="18"/>
              </w:rPr>
            </w:pPr>
          </w:p>
          <w:p>
            <w:pPr>
              <w:pStyle w:val="TableParagraph"/>
              <w:spacing w:before="7"/>
              <w:rPr>
                <w:b/>
                <w:sz w:val="18"/>
              </w:rPr>
            </w:pPr>
          </w:p>
          <w:p>
            <w:pPr>
              <w:pStyle w:val="TableParagraph"/>
              <w:ind w:left="5" w:right="6"/>
              <w:jc w:val="center"/>
              <w:rPr>
                <w:sz w:val="18"/>
              </w:rPr>
            </w:pPr>
            <w:r>
              <w:rPr>
                <w:spacing w:val="-10"/>
                <w:sz w:val="18"/>
              </w:rPr>
              <w:t>8</w:t>
            </w:r>
          </w:p>
        </w:tc>
        <w:tc>
          <w:tcPr>
            <w:tcW w:w="1844" w:type="dxa"/>
          </w:tcPr>
          <w:p>
            <w:pPr>
              <w:pStyle w:val="TableParagraph"/>
              <w:rPr>
                <w:b/>
                <w:sz w:val="18"/>
              </w:rPr>
            </w:pPr>
          </w:p>
          <w:p>
            <w:pPr>
              <w:pStyle w:val="TableParagraph"/>
              <w:rPr>
                <w:b/>
                <w:sz w:val="18"/>
              </w:rPr>
            </w:pPr>
          </w:p>
          <w:p>
            <w:pPr>
              <w:pStyle w:val="TableParagraph"/>
              <w:spacing w:before="7"/>
              <w:rPr>
                <w:b/>
                <w:sz w:val="18"/>
              </w:rPr>
            </w:pPr>
          </w:p>
          <w:p>
            <w:pPr>
              <w:pStyle w:val="TableParagraph"/>
              <w:ind w:left="9" w:right="7"/>
              <w:jc w:val="center"/>
              <w:rPr>
                <w:sz w:val="18"/>
              </w:rPr>
            </w:pPr>
            <w:r>
              <w:rPr>
                <w:spacing w:val="-10"/>
                <w:sz w:val="18"/>
              </w:rPr>
              <w:t>8</w:t>
            </w:r>
          </w:p>
        </w:tc>
        <w:tc>
          <w:tcPr>
            <w:tcW w:w="2041" w:type="dxa"/>
          </w:tcPr>
          <w:p>
            <w:pPr>
              <w:pStyle w:val="TableParagraph"/>
              <w:rPr>
                <w:b/>
                <w:sz w:val="18"/>
              </w:rPr>
            </w:pPr>
          </w:p>
          <w:p>
            <w:pPr>
              <w:pStyle w:val="TableParagraph"/>
              <w:spacing w:before="7"/>
              <w:rPr>
                <w:b/>
                <w:sz w:val="18"/>
              </w:rPr>
            </w:pPr>
          </w:p>
          <w:p>
            <w:pPr>
              <w:pStyle w:val="TableParagraph"/>
              <w:ind w:left="65" w:right="67"/>
              <w:rPr>
                <w:sz w:val="18"/>
              </w:rPr>
            </w:pPr>
            <w:r>
              <w:rPr>
                <w:sz w:val="18"/>
              </w:rPr>
              <w:t>Cantidad</w:t>
            </w:r>
            <w:r>
              <w:rPr>
                <w:spacing w:val="-15"/>
                <w:sz w:val="18"/>
              </w:rPr>
              <w:t> </w:t>
            </w:r>
            <w:r>
              <w:rPr>
                <w:sz w:val="18"/>
              </w:rPr>
              <w:t>de</w:t>
            </w:r>
            <w:r>
              <w:rPr>
                <w:spacing w:val="-12"/>
                <w:sz w:val="18"/>
              </w:rPr>
              <w:t> </w:t>
            </w:r>
            <w:r>
              <w:rPr>
                <w:sz w:val="18"/>
              </w:rPr>
              <w:t>reuniones de seguimiento </w:t>
            </w:r>
            <w:r>
              <w:rPr>
                <w:spacing w:val="-2"/>
                <w:sz w:val="18"/>
              </w:rPr>
              <w:t>realizadas</w:t>
            </w:r>
          </w:p>
        </w:tc>
        <w:tc>
          <w:tcPr>
            <w:tcW w:w="1801" w:type="dxa"/>
          </w:tcPr>
          <w:p>
            <w:pPr>
              <w:pStyle w:val="TableParagraph"/>
              <w:spacing w:before="8"/>
              <w:rPr>
                <w:b/>
                <w:sz w:val="18"/>
              </w:rPr>
            </w:pPr>
          </w:p>
          <w:p>
            <w:pPr>
              <w:pStyle w:val="TableParagraph"/>
              <w:numPr>
                <w:ilvl w:val="0"/>
                <w:numId w:val="98"/>
              </w:numPr>
              <w:tabs>
                <w:tab w:pos="275" w:val="left" w:leader="none"/>
              </w:tabs>
              <w:spacing w:line="240" w:lineRule="auto" w:before="0" w:after="0"/>
              <w:ind w:left="70" w:right="135" w:firstLine="0"/>
              <w:jc w:val="left"/>
              <w:rPr>
                <w:sz w:val="18"/>
              </w:rPr>
            </w:pPr>
            <w:r>
              <w:rPr>
                <w:sz w:val="18"/>
              </w:rPr>
              <w:t>Listas de asistencia o pantallazo de la sesión con las personas</w:t>
            </w:r>
            <w:r>
              <w:rPr>
                <w:spacing w:val="-13"/>
                <w:sz w:val="18"/>
              </w:rPr>
              <w:t> </w:t>
            </w:r>
            <w:r>
              <w:rPr>
                <w:sz w:val="18"/>
              </w:rPr>
              <w:t>presentes</w:t>
            </w:r>
          </w:p>
        </w:tc>
        <w:tc>
          <w:tcPr>
            <w:tcW w:w="1624" w:type="dxa"/>
          </w:tcPr>
          <w:p>
            <w:pPr>
              <w:pStyle w:val="TableParagraph"/>
              <w:rPr>
                <w:b/>
                <w:sz w:val="18"/>
              </w:rPr>
            </w:pPr>
          </w:p>
          <w:p>
            <w:pPr>
              <w:pStyle w:val="TableParagraph"/>
              <w:rPr>
                <w:b/>
                <w:sz w:val="18"/>
              </w:rPr>
            </w:pPr>
          </w:p>
          <w:p>
            <w:pPr>
              <w:pStyle w:val="TableParagraph"/>
              <w:spacing w:before="7"/>
              <w:rPr>
                <w:b/>
                <w:sz w:val="18"/>
              </w:rPr>
            </w:pPr>
          </w:p>
          <w:p>
            <w:pPr>
              <w:pStyle w:val="TableParagraph"/>
              <w:ind w:left="64"/>
              <w:rPr>
                <w:sz w:val="18"/>
              </w:rPr>
            </w:pPr>
            <w:r>
              <w:rPr>
                <w:spacing w:val="-5"/>
                <w:sz w:val="18"/>
              </w:rPr>
              <w:t>GG</w:t>
            </w:r>
          </w:p>
        </w:tc>
        <w:tc>
          <w:tcPr>
            <w:tcW w:w="1350" w:type="dxa"/>
          </w:tcPr>
          <w:p>
            <w:pPr>
              <w:pStyle w:val="TableParagraph"/>
              <w:rPr>
                <w:rFonts w:ascii="Times New Roman"/>
                <w:sz w:val="18"/>
              </w:rPr>
            </w:pPr>
          </w:p>
        </w:tc>
        <w:tc>
          <w:tcPr>
            <w:tcW w:w="1696" w:type="dxa"/>
            <w:vMerge/>
            <w:tcBorders>
              <w:top w:val="nil"/>
              <w:bottom w:val="single" w:sz="4" w:space="0" w:color="808080"/>
            </w:tcBorders>
          </w:tcPr>
          <w:p>
            <w:pPr>
              <w:rPr>
                <w:sz w:val="2"/>
                <w:szCs w:val="2"/>
              </w:rPr>
            </w:pPr>
          </w:p>
        </w:tc>
      </w:tr>
      <w:tr>
        <w:trPr>
          <w:trHeight w:val="1397" w:hRule="atLeast"/>
        </w:trPr>
        <w:tc>
          <w:tcPr>
            <w:tcW w:w="2248" w:type="dxa"/>
            <w:gridSpan w:val="2"/>
          </w:tcPr>
          <w:p>
            <w:pPr>
              <w:pStyle w:val="TableParagraph"/>
              <w:spacing w:before="181"/>
              <w:rPr>
                <w:b/>
                <w:sz w:val="18"/>
              </w:rPr>
            </w:pPr>
          </w:p>
          <w:p>
            <w:pPr>
              <w:pStyle w:val="TableParagraph"/>
              <w:ind w:left="72"/>
              <w:rPr>
                <w:sz w:val="18"/>
              </w:rPr>
            </w:pPr>
            <w:r>
              <w:rPr>
                <w:b/>
                <w:sz w:val="18"/>
              </w:rPr>
              <w:t>Actividad PAC 2.1.7: </w:t>
            </w:r>
            <w:r>
              <w:rPr>
                <w:sz w:val="18"/>
              </w:rPr>
              <w:t>Contratar</w:t>
            </w:r>
            <w:r>
              <w:rPr>
                <w:spacing w:val="-11"/>
                <w:sz w:val="18"/>
              </w:rPr>
              <w:t> </w:t>
            </w:r>
            <w:r>
              <w:rPr>
                <w:sz w:val="18"/>
              </w:rPr>
              <w:t>los</w:t>
            </w:r>
            <w:r>
              <w:rPr>
                <w:spacing w:val="-13"/>
                <w:sz w:val="18"/>
              </w:rPr>
              <w:t> </w:t>
            </w:r>
            <w:r>
              <w:rPr>
                <w:sz w:val="18"/>
              </w:rPr>
              <w:t>servicios</w:t>
            </w:r>
            <w:r>
              <w:rPr>
                <w:spacing w:val="-12"/>
                <w:sz w:val="18"/>
              </w:rPr>
              <w:t> </w:t>
            </w:r>
            <w:r>
              <w:rPr>
                <w:sz w:val="18"/>
              </w:rPr>
              <w:t>de auditoría externa.</w:t>
            </w:r>
          </w:p>
        </w:tc>
        <w:tc>
          <w:tcPr>
            <w:tcW w:w="1724" w:type="dxa"/>
          </w:tcPr>
          <w:p>
            <w:pPr>
              <w:pStyle w:val="TableParagraph"/>
              <w:rPr>
                <w:b/>
                <w:sz w:val="18"/>
              </w:rPr>
            </w:pPr>
          </w:p>
          <w:p>
            <w:pPr>
              <w:pStyle w:val="TableParagraph"/>
              <w:spacing w:before="180"/>
              <w:rPr>
                <w:b/>
                <w:sz w:val="18"/>
              </w:rPr>
            </w:pPr>
          </w:p>
          <w:p>
            <w:pPr>
              <w:pStyle w:val="TableParagraph"/>
              <w:ind w:left="5" w:right="6"/>
              <w:jc w:val="center"/>
              <w:rPr>
                <w:sz w:val="18"/>
              </w:rPr>
            </w:pPr>
            <w:r>
              <w:rPr>
                <w:spacing w:val="-10"/>
                <w:sz w:val="18"/>
              </w:rPr>
              <w:t>1</w:t>
            </w:r>
          </w:p>
        </w:tc>
        <w:tc>
          <w:tcPr>
            <w:tcW w:w="1844" w:type="dxa"/>
          </w:tcPr>
          <w:p>
            <w:pPr>
              <w:pStyle w:val="TableParagraph"/>
              <w:rPr>
                <w:b/>
                <w:sz w:val="18"/>
              </w:rPr>
            </w:pPr>
          </w:p>
          <w:p>
            <w:pPr>
              <w:pStyle w:val="TableParagraph"/>
              <w:spacing w:before="180"/>
              <w:rPr>
                <w:b/>
                <w:sz w:val="18"/>
              </w:rPr>
            </w:pPr>
          </w:p>
          <w:p>
            <w:pPr>
              <w:pStyle w:val="TableParagraph"/>
              <w:ind w:left="9" w:right="7"/>
              <w:jc w:val="center"/>
              <w:rPr>
                <w:sz w:val="18"/>
              </w:rPr>
            </w:pPr>
            <w:r>
              <w:rPr>
                <w:spacing w:val="-10"/>
                <w:sz w:val="18"/>
              </w:rPr>
              <w:t>1</w:t>
            </w:r>
          </w:p>
        </w:tc>
        <w:tc>
          <w:tcPr>
            <w:tcW w:w="2041" w:type="dxa"/>
          </w:tcPr>
          <w:p>
            <w:pPr>
              <w:pStyle w:val="TableParagraph"/>
              <w:spacing w:before="181"/>
              <w:rPr>
                <w:b/>
                <w:sz w:val="18"/>
              </w:rPr>
            </w:pPr>
          </w:p>
          <w:p>
            <w:pPr>
              <w:pStyle w:val="TableParagraph"/>
              <w:ind w:left="65"/>
              <w:rPr>
                <w:sz w:val="18"/>
              </w:rPr>
            </w:pPr>
            <w:r>
              <w:rPr>
                <w:sz w:val="18"/>
              </w:rPr>
              <w:t>Cantidad de </w:t>
            </w:r>
            <w:r>
              <w:rPr>
                <w:spacing w:val="-2"/>
                <w:sz w:val="18"/>
              </w:rPr>
              <w:t>contrataciones adjudicadas</w:t>
            </w:r>
          </w:p>
        </w:tc>
        <w:tc>
          <w:tcPr>
            <w:tcW w:w="1801" w:type="dxa"/>
          </w:tcPr>
          <w:p>
            <w:pPr>
              <w:pStyle w:val="TableParagraph"/>
              <w:numPr>
                <w:ilvl w:val="0"/>
                <w:numId w:val="99"/>
              </w:numPr>
              <w:tabs>
                <w:tab w:pos="275" w:val="left" w:leader="none"/>
              </w:tabs>
              <w:spacing w:line="240" w:lineRule="auto" w:before="76" w:after="0"/>
              <w:ind w:left="70" w:right="571" w:firstLine="0"/>
              <w:jc w:val="left"/>
              <w:rPr>
                <w:sz w:val="18"/>
              </w:rPr>
            </w:pPr>
            <w:r>
              <w:rPr>
                <w:sz w:val="18"/>
              </w:rPr>
              <w:t>Contrato</w:t>
            </w:r>
            <w:r>
              <w:rPr>
                <w:spacing w:val="-13"/>
                <w:sz w:val="18"/>
              </w:rPr>
              <w:t> </w:t>
            </w:r>
            <w:r>
              <w:rPr>
                <w:sz w:val="18"/>
              </w:rPr>
              <w:t>de </w:t>
            </w:r>
            <w:r>
              <w:rPr>
                <w:spacing w:val="-2"/>
                <w:sz w:val="18"/>
              </w:rPr>
              <w:t>SICOP.</w:t>
            </w:r>
          </w:p>
          <w:p>
            <w:pPr>
              <w:pStyle w:val="TableParagraph"/>
              <w:numPr>
                <w:ilvl w:val="0"/>
                <w:numId w:val="99"/>
              </w:numPr>
              <w:tabs>
                <w:tab w:pos="275" w:val="left" w:leader="none"/>
              </w:tabs>
              <w:spacing w:line="240" w:lineRule="auto" w:before="0" w:after="0"/>
              <w:ind w:left="70" w:right="701" w:firstLine="0"/>
              <w:jc w:val="left"/>
              <w:rPr>
                <w:sz w:val="18"/>
              </w:rPr>
            </w:pPr>
            <w:r>
              <w:rPr>
                <w:sz w:val="18"/>
              </w:rPr>
              <w:t>Pedido</w:t>
            </w:r>
            <w:r>
              <w:rPr>
                <w:spacing w:val="-13"/>
                <w:sz w:val="18"/>
              </w:rPr>
              <w:t> </w:t>
            </w:r>
            <w:r>
              <w:rPr>
                <w:sz w:val="18"/>
              </w:rPr>
              <w:t>de </w:t>
            </w:r>
            <w:r>
              <w:rPr>
                <w:spacing w:val="-2"/>
                <w:sz w:val="18"/>
              </w:rPr>
              <w:t>compra.</w:t>
            </w:r>
          </w:p>
          <w:p>
            <w:pPr>
              <w:pStyle w:val="TableParagraph"/>
              <w:numPr>
                <w:ilvl w:val="0"/>
                <w:numId w:val="99"/>
              </w:numPr>
              <w:tabs>
                <w:tab w:pos="275" w:val="left" w:leader="none"/>
              </w:tabs>
              <w:spacing w:line="244" w:lineRule="auto" w:before="0" w:after="0"/>
              <w:ind w:left="70" w:right="365" w:firstLine="0"/>
              <w:jc w:val="left"/>
              <w:rPr>
                <w:sz w:val="18"/>
              </w:rPr>
            </w:pPr>
            <w:r>
              <w:rPr>
                <w:sz w:val="18"/>
              </w:rPr>
              <w:t>Expediente</w:t>
            </w:r>
            <w:r>
              <w:rPr>
                <w:spacing w:val="-13"/>
                <w:sz w:val="18"/>
              </w:rPr>
              <w:t> </w:t>
            </w:r>
            <w:r>
              <w:rPr>
                <w:sz w:val="18"/>
              </w:rPr>
              <w:t>de </w:t>
            </w:r>
            <w:r>
              <w:rPr>
                <w:spacing w:val="-2"/>
                <w:sz w:val="18"/>
              </w:rPr>
              <w:t>SICOP.</w:t>
            </w:r>
          </w:p>
        </w:tc>
        <w:tc>
          <w:tcPr>
            <w:tcW w:w="1624" w:type="dxa"/>
          </w:tcPr>
          <w:p>
            <w:pPr>
              <w:pStyle w:val="TableParagraph"/>
              <w:rPr>
                <w:b/>
                <w:sz w:val="18"/>
              </w:rPr>
            </w:pPr>
          </w:p>
          <w:p>
            <w:pPr>
              <w:pStyle w:val="TableParagraph"/>
              <w:spacing w:before="180"/>
              <w:rPr>
                <w:b/>
                <w:sz w:val="18"/>
              </w:rPr>
            </w:pPr>
          </w:p>
          <w:p>
            <w:pPr>
              <w:pStyle w:val="TableParagraph"/>
              <w:ind w:left="64"/>
              <w:rPr>
                <w:sz w:val="18"/>
              </w:rPr>
            </w:pPr>
            <w:r>
              <w:rPr>
                <w:spacing w:val="-5"/>
                <w:sz w:val="18"/>
              </w:rPr>
              <w:t>GG</w:t>
            </w:r>
          </w:p>
        </w:tc>
        <w:tc>
          <w:tcPr>
            <w:tcW w:w="1350" w:type="dxa"/>
          </w:tcPr>
          <w:p>
            <w:pPr>
              <w:pStyle w:val="TableParagraph"/>
              <w:rPr>
                <w:b/>
                <w:sz w:val="18"/>
              </w:rPr>
            </w:pPr>
          </w:p>
          <w:p>
            <w:pPr>
              <w:pStyle w:val="TableParagraph"/>
              <w:spacing w:before="180"/>
              <w:rPr>
                <w:b/>
                <w:sz w:val="18"/>
              </w:rPr>
            </w:pPr>
          </w:p>
          <w:p>
            <w:pPr>
              <w:pStyle w:val="TableParagraph"/>
              <w:ind w:left="183"/>
              <w:rPr>
                <w:sz w:val="18"/>
              </w:rPr>
            </w:pPr>
            <w:r>
              <w:rPr>
                <w:sz w:val="18"/>
              </w:rPr>
              <w:t>₡40</w:t>
            </w:r>
            <w:r>
              <w:rPr>
                <w:spacing w:val="-3"/>
                <w:sz w:val="18"/>
              </w:rPr>
              <w:t> </w:t>
            </w:r>
            <w:r>
              <w:rPr>
                <w:sz w:val="18"/>
              </w:rPr>
              <w:t>000</w:t>
            </w:r>
            <w:r>
              <w:rPr>
                <w:spacing w:val="-3"/>
                <w:sz w:val="18"/>
              </w:rPr>
              <w:t> </w:t>
            </w:r>
            <w:r>
              <w:rPr>
                <w:spacing w:val="-5"/>
                <w:sz w:val="18"/>
              </w:rPr>
              <w:t>000</w:t>
            </w:r>
          </w:p>
        </w:tc>
        <w:tc>
          <w:tcPr>
            <w:tcW w:w="1696" w:type="dxa"/>
            <w:vMerge/>
            <w:tcBorders>
              <w:top w:val="nil"/>
              <w:bottom w:val="single" w:sz="4" w:space="0" w:color="808080"/>
            </w:tcBorders>
          </w:tcPr>
          <w:p>
            <w:pPr>
              <w:rPr>
                <w:sz w:val="2"/>
                <w:szCs w:val="2"/>
              </w:rPr>
            </w:pPr>
          </w:p>
        </w:tc>
      </w:tr>
      <w:tr>
        <w:trPr>
          <w:trHeight w:val="1913" w:hRule="atLeast"/>
        </w:trPr>
        <w:tc>
          <w:tcPr>
            <w:tcW w:w="2248" w:type="dxa"/>
            <w:gridSpan w:val="2"/>
            <w:tcBorders>
              <w:bottom w:val="nil"/>
            </w:tcBorders>
          </w:tcPr>
          <w:p>
            <w:pPr>
              <w:pStyle w:val="TableParagraph"/>
              <w:rPr>
                <w:b/>
                <w:sz w:val="18"/>
              </w:rPr>
            </w:pPr>
          </w:p>
          <w:p>
            <w:pPr>
              <w:pStyle w:val="TableParagraph"/>
              <w:spacing w:before="132"/>
              <w:rPr>
                <w:b/>
                <w:sz w:val="18"/>
              </w:rPr>
            </w:pPr>
          </w:p>
          <w:p>
            <w:pPr>
              <w:pStyle w:val="TableParagraph"/>
              <w:ind w:left="72" w:right="44"/>
              <w:rPr>
                <w:sz w:val="18"/>
              </w:rPr>
            </w:pPr>
            <w:r>
              <w:rPr>
                <w:b/>
                <w:sz w:val="18"/>
              </w:rPr>
              <w:t>Actividad</w:t>
            </w:r>
            <w:r>
              <w:rPr>
                <w:b/>
                <w:spacing w:val="-13"/>
                <w:sz w:val="18"/>
              </w:rPr>
              <w:t> </w:t>
            </w:r>
            <w:r>
              <w:rPr>
                <w:b/>
                <w:sz w:val="18"/>
              </w:rPr>
              <w:t>PAC</w:t>
            </w:r>
            <w:r>
              <w:rPr>
                <w:b/>
                <w:spacing w:val="-12"/>
                <w:sz w:val="18"/>
              </w:rPr>
              <w:t> </w:t>
            </w:r>
            <w:r>
              <w:rPr>
                <w:b/>
                <w:sz w:val="18"/>
              </w:rPr>
              <w:t>2.1.8:</w:t>
            </w:r>
            <w:r>
              <w:rPr>
                <w:b/>
                <w:spacing w:val="-12"/>
                <w:sz w:val="18"/>
              </w:rPr>
              <w:t> </w:t>
            </w:r>
            <w:r>
              <w:rPr>
                <w:sz w:val="18"/>
              </w:rPr>
              <w:t>Dar seguimiento a la contratación de la Auditoría Externa.</w:t>
            </w:r>
          </w:p>
        </w:tc>
        <w:tc>
          <w:tcPr>
            <w:tcW w:w="1724" w:type="dxa"/>
            <w:tcBorders>
              <w:bottom w:val="single" w:sz="4" w:space="0" w:color="808080"/>
            </w:tcBorders>
          </w:tcPr>
          <w:p>
            <w:pPr>
              <w:pStyle w:val="TableParagraph"/>
              <w:rPr>
                <w:b/>
                <w:sz w:val="18"/>
              </w:rPr>
            </w:pPr>
          </w:p>
          <w:p>
            <w:pPr>
              <w:pStyle w:val="TableParagraph"/>
              <w:rPr>
                <w:b/>
                <w:sz w:val="18"/>
              </w:rPr>
            </w:pPr>
          </w:p>
          <w:p>
            <w:pPr>
              <w:pStyle w:val="TableParagraph"/>
              <w:rPr>
                <w:b/>
                <w:sz w:val="18"/>
              </w:rPr>
            </w:pPr>
          </w:p>
          <w:p>
            <w:pPr>
              <w:pStyle w:val="TableParagraph"/>
              <w:spacing w:before="25"/>
              <w:rPr>
                <w:b/>
                <w:sz w:val="18"/>
              </w:rPr>
            </w:pPr>
          </w:p>
          <w:p>
            <w:pPr>
              <w:pStyle w:val="TableParagraph"/>
              <w:ind w:left="5" w:right="6"/>
              <w:jc w:val="center"/>
              <w:rPr>
                <w:sz w:val="18"/>
              </w:rPr>
            </w:pPr>
            <w:r>
              <w:rPr>
                <w:spacing w:val="-10"/>
                <w:sz w:val="18"/>
              </w:rPr>
              <w:t>4</w:t>
            </w:r>
          </w:p>
        </w:tc>
        <w:tc>
          <w:tcPr>
            <w:tcW w:w="1844" w:type="dxa"/>
            <w:tcBorders>
              <w:bottom w:val="single" w:sz="4" w:space="0" w:color="808080"/>
            </w:tcBorders>
          </w:tcPr>
          <w:p>
            <w:pPr>
              <w:pStyle w:val="TableParagraph"/>
              <w:rPr>
                <w:b/>
                <w:sz w:val="18"/>
              </w:rPr>
            </w:pPr>
          </w:p>
          <w:p>
            <w:pPr>
              <w:pStyle w:val="TableParagraph"/>
              <w:rPr>
                <w:b/>
                <w:sz w:val="18"/>
              </w:rPr>
            </w:pPr>
          </w:p>
          <w:p>
            <w:pPr>
              <w:pStyle w:val="TableParagraph"/>
              <w:rPr>
                <w:b/>
                <w:sz w:val="18"/>
              </w:rPr>
            </w:pPr>
          </w:p>
          <w:p>
            <w:pPr>
              <w:pStyle w:val="TableParagraph"/>
              <w:spacing w:before="25"/>
              <w:rPr>
                <w:b/>
                <w:sz w:val="18"/>
              </w:rPr>
            </w:pPr>
          </w:p>
          <w:p>
            <w:pPr>
              <w:pStyle w:val="TableParagraph"/>
              <w:ind w:left="9" w:right="7"/>
              <w:jc w:val="center"/>
              <w:rPr>
                <w:sz w:val="18"/>
              </w:rPr>
            </w:pPr>
            <w:r>
              <w:rPr>
                <w:spacing w:val="-10"/>
                <w:sz w:val="18"/>
              </w:rPr>
              <w:t>4</w:t>
            </w:r>
          </w:p>
        </w:tc>
        <w:tc>
          <w:tcPr>
            <w:tcW w:w="2041" w:type="dxa"/>
            <w:tcBorders>
              <w:bottom w:val="single" w:sz="4" w:space="0" w:color="808080"/>
            </w:tcBorders>
          </w:tcPr>
          <w:p>
            <w:pPr>
              <w:pStyle w:val="TableParagraph"/>
              <w:rPr>
                <w:b/>
                <w:sz w:val="18"/>
              </w:rPr>
            </w:pPr>
          </w:p>
          <w:p>
            <w:pPr>
              <w:pStyle w:val="TableParagraph"/>
              <w:spacing w:before="132"/>
              <w:rPr>
                <w:b/>
                <w:sz w:val="18"/>
              </w:rPr>
            </w:pPr>
          </w:p>
          <w:p>
            <w:pPr>
              <w:pStyle w:val="TableParagraph"/>
              <w:ind w:left="65" w:right="67"/>
              <w:rPr>
                <w:sz w:val="18"/>
              </w:rPr>
            </w:pPr>
            <w:r>
              <w:rPr>
                <w:sz w:val="18"/>
              </w:rPr>
              <w:t>Cantidad de entregables recibidos con</w:t>
            </w:r>
            <w:r>
              <w:rPr>
                <w:spacing w:val="-7"/>
                <w:sz w:val="18"/>
              </w:rPr>
              <w:t> </w:t>
            </w:r>
            <w:r>
              <w:rPr>
                <w:sz w:val="18"/>
              </w:rPr>
              <w:t>los</w:t>
            </w:r>
            <w:r>
              <w:rPr>
                <w:spacing w:val="-10"/>
                <w:sz w:val="18"/>
              </w:rPr>
              <w:t> </w:t>
            </w:r>
            <w:r>
              <w:rPr>
                <w:sz w:val="18"/>
              </w:rPr>
              <w:t>resultados</w:t>
            </w:r>
            <w:r>
              <w:rPr>
                <w:spacing w:val="-10"/>
                <w:sz w:val="18"/>
              </w:rPr>
              <w:t> </w:t>
            </w:r>
            <w:r>
              <w:rPr>
                <w:sz w:val="18"/>
              </w:rPr>
              <w:t>de</w:t>
            </w:r>
            <w:r>
              <w:rPr>
                <w:spacing w:val="-7"/>
                <w:sz w:val="18"/>
              </w:rPr>
              <w:t> </w:t>
            </w:r>
            <w:r>
              <w:rPr>
                <w:sz w:val="18"/>
              </w:rPr>
              <w:t>la Auditoría Externa</w:t>
            </w:r>
          </w:p>
        </w:tc>
        <w:tc>
          <w:tcPr>
            <w:tcW w:w="1801" w:type="dxa"/>
            <w:tcBorders>
              <w:bottom w:val="single" w:sz="4" w:space="0" w:color="808080"/>
            </w:tcBorders>
          </w:tcPr>
          <w:p>
            <w:pPr>
              <w:pStyle w:val="TableParagraph"/>
              <w:rPr>
                <w:b/>
                <w:sz w:val="18"/>
              </w:rPr>
            </w:pPr>
          </w:p>
          <w:p>
            <w:pPr>
              <w:pStyle w:val="TableParagraph"/>
              <w:spacing w:before="132"/>
              <w:rPr>
                <w:b/>
                <w:sz w:val="18"/>
              </w:rPr>
            </w:pPr>
          </w:p>
          <w:p>
            <w:pPr>
              <w:pStyle w:val="TableParagraph"/>
              <w:numPr>
                <w:ilvl w:val="0"/>
                <w:numId w:val="100"/>
              </w:numPr>
              <w:tabs>
                <w:tab w:pos="270" w:val="left" w:leader="none"/>
              </w:tabs>
              <w:spacing w:line="240" w:lineRule="auto" w:before="0" w:after="0"/>
              <w:ind w:left="70" w:right="84" w:firstLine="0"/>
              <w:jc w:val="left"/>
              <w:rPr>
                <w:sz w:val="18"/>
              </w:rPr>
            </w:pPr>
            <w:r>
              <w:rPr>
                <w:spacing w:val="-2"/>
                <w:sz w:val="18"/>
              </w:rPr>
              <w:t>Informes </w:t>
            </w:r>
            <w:r>
              <w:rPr>
                <w:sz w:val="18"/>
              </w:rPr>
              <w:t>entregados</w:t>
            </w:r>
            <w:r>
              <w:rPr>
                <w:spacing w:val="-15"/>
                <w:sz w:val="18"/>
              </w:rPr>
              <w:t> </w:t>
            </w:r>
            <w:r>
              <w:rPr>
                <w:sz w:val="18"/>
              </w:rPr>
              <w:t>al</w:t>
            </w:r>
            <w:r>
              <w:rPr>
                <w:spacing w:val="-12"/>
                <w:sz w:val="18"/>
              </w:rPr>
              <w:t> </w:t>
            </w:r>
            <w:r>
              <w:rPr>
                <w:sz w:val="18"/>
              </w:rPr>
              <w:t>IMAS.</w:t>
            </w:r>
          </w:p>
          <w:p>
            <w:pPr>
              <w:pStyle w:val="TableParagraph"/>
              <w:numPr>
                <w:ilvl w:val="0"/>
                <w:numId w:val="100"/>
              </w:numPr>
              <w:tabs>
                <w:tab w:pos="275" w:val="left" w:leader="none"/>
              </w:tabs>
              <w:spacing w:line="240" w:lineRule="auto" w:before="0" w:after="0"/>
              <w:ind w:left="70" w:right="257" w:firstLine="0"/>
              <w:jc w:val="left"/>
              <w:rPr>
                <w:sz w:val="18"/>
              </w:rPr>
            </w:pPr>
            <w:r>
              <w:rPr>
                <w:sz w:val="18"/>
              </w:rPr>
              <w:t>Acuerdo del Consejo</w:t>
            </w:r>
            <w:r>
              <w:rPr>
                <w:spacing w:val="-13"/>
                <w:sz w:val="18"/>
              </w:rPr>
              <w:t> </w:t>
            </w:r>
            <w:r>
              <w:rPr>
                <w:sz w:val="18"/>
              </w:rPr>
              <w:t>Directivo.</w:t>
            </w:r>
          </w:p>
        </w:tc>
        <w:tc>
          <w:tcPr>
            <w:tcW w:w="1624" w:type="dxa"/>
            <w:tcBorders>
              <w:bottom w:val="single" w:sz="4" w:space="0" w:color="808080"/>
            </w:tcBorders>
          </w:tcPr>
          <w:p>
            <w:pPr>
              <w:pStyle w:val="TableParagraph"/>
              <w:rPr>
                <w:b/>
                <w:sz w:val="18"/>
              </w:rPr>
            </w:pPr>
          </w:p>
          <w:p>
            <w:pPr>
              <w:pStyle w:val="TableParagraph"/>
              <w:rPr>
                <w:b/>
                <w:sz w:val="18"/>
              </w:rPr>
            </w:pPr>
          </w:p>
          <w:p>
            <w:pPr>
              <w:pStyle w:val="TableParagraph"/>
              <w:rPr>
                <w:b/>
                <w:sz w:val="18"/>
              </w:rPr>
            </w:pPr>
          </w:p>
          <w:p>
            <w:pPr>
              <w:pStyle w:val="TableParagraph"/>
              <w:spacing w:before="25"/>
              <w:rPr>
                <w:b/>
                <w:sz w:val="18"/>
              </w:rPr>
            </w:pPr>
          </w:p>
          <w:p>
            <w:pPr>
              <w:pStyle w:val="TableParagraph"/>
              <w:ind w:left="64"/>
              <w:rPr>
                <w:sz w:val="18"/>
              </w:rPr>
            </w:pPr>
            <w:r>
              <w:rPr>
                <w:spacing w:val="-5"/>
                <w:sz w:val="18"/>
              </w:rPr>
              <w:t>GG</w:t>
            </w:r>
          </w:p>
        </w:tc>
        <w:tc>
          <w:tcPr>
            <w:tcW w:w="1350" w:type="dxa"/>
            <w:tcBorders>
              <w:bottom w:val="single" w:sz="4" w:space="0" w:color="808080"/>
            </w:tcBorders>
          </w:tcPr>
          <w:p>
            <w:pPr>
              <w:pStyle w:val="TableParagraph"/>
              <w:rPr>
                <w:rFonts w:ascii="Times New Roman"/>
                <w:sz w:val="18"/>
              </w:rPr>
            </w:pPr>
          </w:p>
        </w:tc>
        <w:tc>
          <w:tcPr>
            <w:tcW w:w="1696" w:type="dxa"/>
            <w:vMerge/>
            <w:tcBorders>
              <w:top w:val="nil"/>
              <w:bottom w:val="single" w:sz="4" w:space="0" w:color="808080"/>
            </w:tcBorders>
          </w:tcPr>
          <w:p>
            <w:pPr>
              <w:rPr>
                <w:sz w:val="2"/>
                <w:szCs w:val="2"/>
              </w:rPr>
            </w:pPr>
          </w:p>
        </w:tc>
      </w:tr>
      <w:tr>
        <w:trPr>
          <w:trHeight w:val="1376" w:hRule="atLeast"/>
        </w:trPr>
        <w:tc>
          <w:tcPr>
            <w:tcW w:w="1491" w:type="dxa"/>
            <w:tcBorders>
              <w:top w:val="thinThickMediumGap" w:sz="9" w:space="0" w:color="808080"/>
              <w:left w:val="nil"/>
              <w:bottom w:val="nil"/>
              <w:right w:val="single" w:sz="18" w:space="0" w:color="808080"/>
            </w:tcBorders>
          </w:tcPr>
          <w:p>
            <w:pPr>
              <w:pStyle w:val="TableParagraph"/>
              <w:spacing w:line="270" w:lineRule="exact"/>
              <w:ind w:left="110"/>
              <w:rPr>
                <w:b/>
                <w:sz w:val="24"/>
              </w:rPr>
            </w:pPr>
            <w:r>
              <w:rPr>
                <w:b/>
                <w:spacing w:val="-5"/>
                <w:sz w:val="24"/>
              </w:rPr>
              <w:t>189</w:t>
            </w:r>
          </w:p>
        </w:tc>
        <w:tc>
          <w:tcPr>
            <w:tcW w:w="12837" w:type="dxa"/>
            <w:gridSpan w:val="8"/>
            <w:tcBorders>
              <w:top w:val="single" w:sz="4" w:space="0" w:color="808080"/>
              <w:left w:val="single" w:sz="18" w:space="0" w:color="808080"/>
              <w:bottom w:val="nil"/>
              <w:right w:val="nil"/>
            </w:tcBorders>
          </w:tcPr>
          <w:p>
            <w:pPr>
              <w:pStyle w:val="TableParagraph"/>
              <w:spacing w:line="242" w:lineRule="auto"/>
              <w:ind w:left="94" w:right="8657"/>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74"/>
          <w:pgSz w:w="15840" w:h="12240" w:orient="landscape"/>
          <w:pgMar w:header="0" w:footer="0" w:top="700" w:bottom="280" w:left="360" w:right="360"/>
        </w:sect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7"/>
        <w:gridCol w:w="1723"/>
        <w:gridCol w:w="1843"/>
        <w:gridCol w:w="2040"/>
        <w:gridCol w:w="1800"/>
        <w:gridCol w:w="1623"/>
        <w:gridCol w:w="1349"/>
        <w:gridCol w:w="1695"/>
      </w:tblGrid>
      <w:tr>
        <w:trPr>
          <w:trHeight w:val="1229" w:hRule="atLeast"/>
        </w:trPr>
        <w:tc>
          <w:tcPr>
            <w:tcW w:w="2247" w:type="dxa"/>
            <w:shd w:val="clear" w:color="auto" w:fill="F1F1F1"/>
          </w:tcPr>
          <w:p>
            <w:pPr>
              <w:pStyle w:val="TableParagraph"/>
              <w:rPr>
                <w:b/>
                <w:sz w:val="18"/>
              </w:rPr>
            </w:pPr>
          </w:p>
          <w:p>
            <w:pPr>
              <w:pStyle w:val="TableParagraph"/>
              <w:spacing w:before="98"/>
              <w:rPr>
                <w:b/>
                <w:sz w:val="18"/>
              </w:rPr>
            </w:pPr>
          </w:p>
          <w:p>
            <w:pPr>
              <w:pStyle w:val="TableParagraph"/>
              <w:ind w:left="72"/>
              <w:rPr>
                <w:b/>
                <w:sz w:val="18"/>
              </w:rPr>
            </w:pPr>
            <w:r>
              <w:rPr>
                <w:b/>
                <w:sz w:val="18"/>
              </w:rPr>
              <w:t>Objetivos</w:t>
            </w:r>
            <w:r>
              <w:rPr>
                <w:b/>
                <w:spacing w:val="-5"/>
                <w:sz w:val="18"/>
              </w:rPr>
              <w:t> </w:t>
            </w:r>
            <w:r>
              <w:rPr>
                <w:b/>
                <w:sz w:val="18"/>
              </w:rPr>
              <w:t>/</w:t>
            </w:r>
            <w:r>
              <w:rPr>
                <w:b/>
                <w:spacing w:val="-2"/>
                <w:sz w:val="18"/>
              </w:rPr>
              <w:t> Resultados</w:t>
            </w:r>
          </w:p>
        </w:tc>
        <w:tc>
          <w:tcPr>
            <w:tcW w:w="1723" w:type="dxa"/>
            <w:shd w:val="clear" w:color="auto" w:fill="F1F1F1"/>
          </w:tcPr>
          <w:p>
            <w:pPr>
              <w:pStyle w:val="TableParagraph"/>
              <w:rPr>
                <w:b/>
                <w:sz w:val="18"/>
              </w:rPr>
            </w:pPr>
          </w:p>
          <w:p>
            <w:pPr>
              <w:pStyle w:val="TableParagraph"/>
              <w:spacing w:before="98"/>
              <w:rPr>
                <w:b/>
                <w:sz w:val="18"/>
              </w:rPr>
            </w:pPr>
          </w:p>
          <w:p>
            <w:pPr>
              <w:pStyle w:val="TableParagraph"/>
              <w:ind w:left="8" w:right="5"/>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843" w:type="dxa"/>
            <w:shd w:val="clear" w:color="auto" w:fill="F1F1F1"/>
          </w:tcPr>
          <w:p>
            <w:pPr>
              <w:pStyle w:val="TableParagraph"/>
              <w:spacing w:before="199"/>
              <w:rPr>
                <w:b/>
                <w:sz w:val="18"/>
              </w:rPr>
            </w:pPr>
          </w:p>
          <w:p>
            <w:pPr>
              <w:pStyle w:val="TableParagraph"/>
              <w:spacing w:before="1"/>
              <w:ind w:left="720" w:right="49" w:hanging="552"/>
              <w:rPr>
                <w:b/>
                <w:sz w:val="18"/>
              </w:rPr>
            </w:pPr>
            <w:r>
              <w:rPr>
                <w:b/>
                <w:sz w:val="18"/>
              </w:rPr>
              <w:t>Meta</w:t>
            </w:r>
            <w:r>
              <w:rPr>
                <w:b/>
                <w:spacing w:val="-13"/>
                <w:sz w:val="18"/>
              </w:rPr>
              <w:t> </w:t>
            </w:r>
            <w:r>
              <w:rPr>
                <w:b/>
                <w:sz w:val="18"/>
              </w:rPr>
              <w:t>programada </w:t>
            </w:r>
            <w:r>
              <w:rPr>
                <w:b/>
                <w:spacing w:val="-4"/>
                <w:sz w:val="18"/>
              </w:rPr>
              <w:t>2026</w:t>
            </w:r>
          </w:p>
        </w:tc>
        <w:tc>
          <w:tcPr>
            <w:tcW w:w="2040" w:type="dxa"/>
            <w:shd w:val="clear" w:color="auto" w:fill="F1F1F1"/>
          </w:tcPr>
          <w:p>
            <w:pPr>
              <w:pStyle w:val="TableParagraph"/>
              <w:rPr>
                <w:b/>
                <w:sz w:val="18"/>
              </w:rPr>
            </w:pPr>
          </w:p>
          <w:p>
            <w:pPr>
              <w:pStyle w:val="TableParagraph"/>
              <w:spacing w:before="98"/>
              <w:rPr>
                <w:b/>
                <w:sz w:val="18"/>
              </w:rPr>
            </w:pPr>
          </w:p>
          <w:p>
            <w:pPr>
              <w:pStyle w:val="TableParagraph"/>
              <w:ind w:left="611"/>
              <w:rPr>
                <w:b/>
                <w:sz w:val="18"/>
              </w:rPr>
            </w:pPr>
            <w:r>
              <w:rPr>
                <w:b/>
                <w:spacing w:val="-2"/>
                <w:sz w:val="18"/>
              </w:rPr>
              <w:t>Indicador</w:t>
            </w:r>
          </w:p>
        </w:tc>
        <w:tc>
          <w:tcPr>
            <w:tcW w:w="1800" w:type="dxa"/>
            <w:shd w:val="clear" w:color="auto" w:fill="F1F1F1"/>
          </w:tcPr>
          <w:p>
            <w:pPr>
              <w:pStyle w:val="TableParagraph"/>
              <w:spacing w:before="199"/>
              <w:rPr>
                <w:b/>
                <w:sz w:val="18"/>
              </w:rPr>
            </w:pPr>
          </w:p>
          <w:p>
            <w:pPr>
              <w:pStyle w:val="TableParagraph"/>
              <w:spacing w:before="1"/>
              <w:ind w:left="400" w:right="249" w:firstLine="57"/>
              <w:rPr>
                <w:b/>
                <w:sz w:val="18"/>
              </w:rPr>
            </w:pPr>
            <w:r>
              <w:rPr>
                <w:b/>
                <w:sz w:val="18"/>
              </w:rPr>
              <w:t>Medios de </w:t>
            </w:r>
            <w:r>
              <w:rPr>
                <w:b/>
                <w:spacing w:val="-2"/>
                <w:sz w:val="18"/>
              </w:rPr>
              <w:t>verificación</w:t>
            </w:r>
          </w:p>
        </w:tc>
        <w:tc>
          <w:tcPr>
            <w:tcW w:w="1623" w:type="dxa"/>
            <w:shd w:val="clear" w:color="auto" w:fill="F1F1F1"/>
          </w:tcPr>
          <w:p>
            <w:pPr>
              <w:pStyle w:val="TableParagraph"/>
              <w:rPr>
                <w:b/>
                <w:sz w:val="18"/>
              </w:rPr>
            </w:pPr>
          </w:p>
          <w:p>
            <w:pPr>
              <w:pStyle w:val="TableParagraph"/>
              <w:spacing w:before="98"/>
              <w:rPr>
                <w:b/>
                <w:sz w:val="18"/>
              </w:rPr>
            </w:pPr>
          </w:p>
          <w:p>
            <w:pPr>
              <w:pStyle w:val="TableParagraph"/>
              <w:ind w:left="251"/>
              <w:rPr>
                <w:b/>
                <w:sz w:val="18"/>
              </w:rPr>
            </w:pPr>
            <w:r>
              <w:rPr>
                <w:b/>
                <w:spacing w:val="-2"/>
                <w:sz w:val="18"/>
              </w:rPr>
              <w:t>Responsable</w:t>
            </w:r>
          </w:p>
        </w:tc>
        <w:tc>
          <w:tcPr>
            <w:tcW w:w="1349" w:type="dxa"/>
            <w:shd w:val="clear" w:color="auto" w:fill="F1F1F1"/>
          </w:tcPr>
          <w:p>
            <w:pPr>
              <w:pStyle w:val="TableParagraph"/>
              <w:spacing w:before="199"/>
              <w:rPr>
                <w:b/>
                <w:sz w:val="18"/>
              </w:rPr>
            </w:pPr>
          </w:p>
          <w:p>
            <w:pPr>
              <w:pStyle w:val="TableParagraph"/>
              <w:spacing w:before="1"/>
              <w:ind w:left="280" w:hanging="154"/>
              <w:rPr>
                <w:b/>
                <w:sz w:val="18"/>
              </w:rPr>
            </w:pPr>
            <w:r>
              <w:rPr>
                <w:b/>
                <w:spacing w:val="-2"/>
                <w:sz w:val="18"/>
              </w:rPr>
              <w:t>Presupuesto asignado</w:t>
            </w:r>
          </w:p>
        </w:tc>
        <w:tc>
          <w:tcPr>
            <w:tcW w:w="1695" w:type="dxa"/>
            <w:shd w:val="clear" w:color="auto" w:fill="F1F1F1"/>
          </w:tcPr>
          <w:p>
            <w:pPr>
              <w:pStyle w:val="TableParagraph"/>
              <w:spacing w:before="99"/>
              <w:rPr>
                <w:b/>
                <w:sz w:val="18"/>
              </w:rPr>
            </w:pPr>
          </w:p>
          <w:p>
            <w:pPr>
              <w:pStyle w:val="TableParagraph"/>
              <w:ind w:left="74" w:right="103"/>
              <w:rPr>
                <w:b/>
                <w:sz w:val="18"/>
              </w:rPr>
            </w:pPr>
            <w:r>
              <w:rPr>
                <w:b/>
                <w:spacing w:val="-2"/>
                <w:sz w:val="18"/>
              </w:rPr>
              <w:t>Riesgos </w:t>
            </w:r>
            <w:r>
              <w:rPr>
                <w:b/>
                <w:sz w:val="18"/>
              </w:rPr>
              <w:t>asociados al </w:t>
            </w:r>
            <w:r>
              <w:rPr>
                <w:b/>
                <w:spacing w:val="-2"/>
                <w:sz w:val="18"/>
              </w:rPr>
              <w:t>cumplimiento</w:t>
            </w:r>
          </w:p>
        </w:tc>
      </w:tr>
      <w:tr>
        <w:trPr>
          <w:trHeight w:val="1449" w:hRule="atLeast"/>
        </w:trPr>
        <w:tc>
          <w:tcPr>
            <w:tcW w:w="2247" w:type="dxa"/>
          </w:tcPr>
          <w:p>
            <w:pPr>
              <w:pStyle w:val="TableParagraph"/>
              <w:spacing w:before="103"/>
              <w:rPr>
                <w:b/>
                <w:sz w:val="18"/>
              </w:rPr>
            </w:pPr>
          </w:p>
          <w:p>
            <w:pPr>
              <w:pStyle w:val="TableParagraph"/>
              <w:spacing w:before="1"/>
              <w:ind w:left="72"/>
              <w:rPr>
                <w:sz w:val="18"/>
              </w:rPr>
            </w:pPr>
            <w:r>
              <w:rPr>
                <w:b/>
                <w:sz w:val="18"/>
              </w:rPr>
              <w:t>Actividad PAC 2.1.9: </w:t>
            </w:r>
            <w:r>
              <w:rPr>
                <w:sz w:val="18"/>
              </w:rPr>
              <w:t>Atención de casos de hostigamiento</w:t>
            </w:r>
            <w:r>
              <w:rPr>
                <w:spacing w:val="-15"/>
                <w:sz w:val="18"/>
              </w:rPr>
              <w:t> </w:t>
            </w:r>
            <w:r>
              <w:rPr>
                <w:sz w:val="18"/>
              </w:rPr>
              <w:t>sexual</w:t>
            </w:r>
            <w:r>
              <w:rPr>
                <w:spacing w:val="-12"/>
                <w:sz w:val="18"/>
              </w:rPr>
              <w:t> </w:t>
            </w:r>
            <w:r>
              <w:rPr>
                <w:sz w:val="18"/>
              </w:rPr>
              <w:t>con resolución final</w:t>
            </w:r>
          </w:p>
        </w:tc>
        <w:tc>
          <w:tcPr>
            <w:tcW w:w="1723"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8" w:right="3"/>
              <w:jc w:val="center"/>
              <w:rPr>
                <w:sz w:val="18"/>
              </w:rPr>
            </w:pPr>
            <w:r>
              <w:rPr>
                <w:spacing w:val="-5"/>
                <w:sz w:val="18"/>
              </w:rPr>
              <w:t>NA</w:t>
            </w:r>
          </w:p>
        </w:tc>
        <w:tc>
          <w:tcPr>
            <w:tcW w:w="1843"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0" w:right="5"/>
              <w:jc w:val="center"/>
              <w:rPr>
                <w:sz w:val="18"/>
              </w:rPr>
            </w:pPr>
            <w:r>
              <w:rPr>
                <w:spacing w:val="-4"/>
                <w:sz w:val="18"/>
              </w:rPr>
              <w:t>100%</w:t>
            </w:r>
          </w:p>
        </w:tc>
        <w:tc>
          <w:tcPr>
            <w:tcW w:w="2040" w:type="dxa"/>
          </w:tcPr>
          <w:p>
            <w:pPr>
              <w:pStyle w:val="TableParagraph"/>
              <w:rPr>
                <w:b/>
                <w:sz w:val="18"/>
              </w:rPr>
            </w:pPr>
          </w:p>
          <w:p>
            <w:pPr>
              <w:pStyle w:val="TableParagraph"/>
              <w:spacing w:before="2"/>
              <w:rPr>
                <w:b/>
                <w:sz w:val="18"/>
              </w:rPr>
            </w:pPr>
          </w:p>
          <w:p>
            <w:pPr>
              <w:pStyle w:val="TableParagraph"/>
              <w:ind w:left="68" w:right="144"/>
              <w:rPr>
                <w:sz w:val="18"/>
              </w:rPr>
            </w:pPr>
            <w:r>
              <w:rPr>
                <w:sz w:val="18"/>
              </w:rPr>
              <w:t>Cantidad</w:t>
            </w:r>
            <w:r>
              <w:rPr>
                <w:spacing w:val="-15"/>
                <w:sz w:val="18"/>
              </w:rPr>
              <w:t> </w:t>
            </w:r>
            <w:r>
              <w:rPr>
                <w:sz w:val="18"/>
              </w:rPr>
              <w:t>de</w:t>
            </w:r>
            <w:r>
              <w:rPr>
                <w:spacing w:val="-12"/>
                <w:sz w:val="18"/>
              </w:rPr>
              <w:t> </w:t>
            </w:r>
            <w:r>
              <w:rPr>
                <w:sz w:val="18"/>
              </w:rPr>
              <w:t>casos atendidos con resolución final</w:t>
            </w:r>
          </w:p>
        </w:tc>
        <w:tc>
          <w:tcPr>
            <w:tcW w:w="1800" w:type="dxa"/>
          </w:tcPr>
          <w:p>
            <w:pPr>
              <w:pStyle w:val="TableParagraph"/>
              <w:ind w:left="73" w:right="77"/>
              <w:rPr>
                <w:sz w:val="18"/>
              </w:rPr>
            </w:pPr>
            <w:r>
              <w:rPr>
                <w:sz w:val="18"/>
              </w:rPr>
              <w:t>1. Correo del Órgano</w:t>
            </w:r>
            <w:r>
              <w:rPr>
                <w:spacing w:val="-13"/>
                <w:sz w:val="18"/>
              </w:rPr>
              <w:t> </w:t>
            </w:r>
            <w:r>
              <w:rPr>
                <w:sz w:val="18"/>
              </w:rPr>
              <w:t>Disciplinario indicando cantón, edad,</w:t>
            </w:r>
            <w:r>
              <w:rPr>
                <w:spacing w:val="-10"/>
                <w:sz w:val="18"/>
              </w:rPr>
              <w:t> </w:t>
            </w:r>
            <w:r>
              <w:rPr>
                <w:sz w:val="18"/>
              </w:rPr>
              <w:t>tipo</w:t>
            </w:r>
            <w:r>
              <w:rPr>
                <w:spacing w:val="-12"/>
                <w:sz w:val="18"/>
              </w:rPr>
              <w:t> </w:t>
            </w:r>
            <w:r>
              <w:rPr>
                <w:sz w:val="18"/>
              </w:rPr>
              <w:t>de</w:t>
            </w:r>
            <w:r>
              <w:rPr>
                <w:spacing w:val="-12"/>
                <w:sz w:val="18"/>
              </w:rPr>
              <w:t> </w:t>
            </w:r>
            <w:r>
              <w:rPr>
                <w:sz w:val="18"/>
              </w:rPr>
              <w:t>puesto del victimario y</w:t>
            </w:r>
          </w:p>
          <w:p>
            <w:pPr>
              <w:pStyle w:val="TableParagraph"/>
              <w:spacing w:line="206" w:lineRule="exact"/>
              <w:ind w:left="73" w:right="77"/>
              <w:rPr>
                <w:sz w:val="18"/>
              </w:rPr>
            </w:pPr>
            <w:r>
              <w:rPr>
                <w:sz w:val="18"/>
              </w:rPr>
              <w:t>tiempo</w:t>
            </w:r>
            <w:r>
              <w:rPr>
                <w:spacing w:val="-13"/>
                <w:sz w:val="18"/>
              </w:rPr>
              <w:t> </w:t>
            </w:r>
            <w:r>
              <w:rPr>
                <w:sz w:val="18"/>
              </w:rPr>
              <w:t>transcurrido desde la denuncia</w:t>
            </w:r>
          </w:p>
        </w:tc>
        <w:tc>
          <w:tcPr>
            <w:tcW w:w="1623"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9"/>
              <w:rPr>
                <w:sz w:val="18"/>
              </w:rPr>
            </w:pPr>
            <w:r>
              <w:rPr>
                <w:spacing w:val="-5"/>
                <w:sz w:val="18"/>
              </w:rPr>
              <w:t>GG</w:t>
            </w:r>
          </w:p>
        </w:tc>
        <w:tc>
          <w:tcPr>
            <w:tcW w:w="1349" w:type="dxa"/>
          </w:tcPr>
          <w:p>
            <w:pPr>
              <w:pStyle w:val="TableParagraph"/>
              <w:rPr>
                <w:rFonts w:ascii="Times New Roman"/>
                <w:sz w:val="18"/>
              </w:rPr>
            </w:pPr>
          </w:p>
        </w:tc>
        <w:tc>
          <w:tcPr>
            <w:tcW w:w="1695" w:type="dxa"/>
          </w:tcPr>
          <w:p>
            <w:pPr>
              <w:pStyle w:val="TableParagraph"/>
              <w:rPr>
                <w:rFonts w:ascii="Times New Roman"/>
                <w:sz w:val="18"/>
              </w:rPr>
            </w:pPr>
          </w:p>
        </w:tc>
      </w:tr>
      <w:tr>
        <w:trPr>
          <w:trHeight w:val="407" w:hRule="atLeast"/>
        </w:trPr>
        <w:tc>
          <w:tcPr>
            <w:tcW w:w="14320" w:type="dxa"/>
            <w:gridSpan w:val="8"/>
            <w:shd w:val="clear" w:color="auto" w:fill="EFF8F9"/>
          </w:tcPr>
          <w:p>
            <w:pPr>
              <w:pStyle w:val="TableParagraph"/>
              <w:spacing w:before="99"/>
              <w:ind w:left="72"/>
              <w:rPr>
                <w:b/>
                <w:sz w:val="18"/>
              </w:rPr>
            </w:pPr>
            <w:r>
              <w:rPr>
                <w:b/>
                <w:sz w:val="18"/>
              </w:rPr>
              <w:t>Producto</w:t>
            </w:r>
            <w:r>
              <w:rPr>
                <w:b/>
                <w:spacing w:val="-8"/>
                <w:sz w:val="18"/>
              </w:rPr>
              <w:t> </w:t>
            </w:r>
            <w:r>
              <w:rPr>
                <w:b/>
                <w:sz w:val="18"/>
              </w:rPr>
              <w:t>PAC</w:t>
            </w:r>
            <w:r>
              <w:rPr>
                <w:b/>
                <w:spacing w:val="-9"/>
                <w:sz w:val="18"/>
              </w:rPr>
              <w:t> </w:t>
            </w:r>
            <w:r>
              <w:rPr>
                <w:b/>
                <w:sz w:val="18"/>
              </w:rPr>
              <w:t>2.2:</w:t>
            </w:r>
            <w:r>
              <w:rPr>
                <w:b/>
                <w:spacing w:val="-5"/>
                <w:sz w:val="18"/>
              </w:rPr>
              <w:t> </w:t>
            </w:r>
            <w:r>
              <w:rPr>
                <w:b/>
                <w:sz w:val="18"/>
              </w:rPr>
              <w:t>Optimizar</w:t>
            </w:r>
            <w:r>
              <w:rPr>
                <w:b/>
                <w:spacing w:val="-6"/>
                <w:sz w:val="18"/>
              </w:rPr>
              <w:t> </w:t>
            </w:r>
            <w:r>
              <w:rPr>
                <w:b/>
                <w:sz w:val="18"/>
              </w:rPr>
              <w:t>la</w:t>
            </w:r>
            <w:r>
              <w:rPr>
                <w:b/>
                <w:spacing w:val="-6"/>
                <w:sz w:val="18"/>
              </w:rPr>
              <w:t> </w:t>
            </w:r>
            <w:r>
              <w:rPr>
                <w:b/>
                <w:sz w:val="18"/>
              </w:rPr>
              <w:t>fiscalización</w:t>
            </w:r>
            <w:r>
              <w:rPr>
                <w:b/>
                <w:spacing w:val="-8"/>
                <w:sz w:val="18"/>
              </w:rPr>
              <w:t> </w:t>
            </w:r>
            <w:r>
              <w:rPr>
                <w:b/>
                <w:sz w:val="18"/>
              </w:rPr>
              <w:t>y</w:t>
            </w:r>
            <w:r>
              <w:rPr>
                <w:b/>
                <w:spacing w:val="-7"/>
                <w:sz w:val="18"/>
              </w:rPr>
              <w:t> </w:t>
            </w:r>
            <w:r>
              <w:rPr>
                <w:b/>
                <w:sz w:val="18"/>
              </w:rPr>
              <w:t>el</w:t>
            </w:r>
            <w:r>
              <w:rPr>
                <w:b/>
                <w:spacing w:val="-5"/>
                <w:sz w:val="18"/>
              </w:rPr>
              <w:t> </w:t>
            </w:r>
            <w:r>
              <w:rPr>
                <w:b/>
                <w:sz w:val="18"/>
              </w:rPr>
              <w:t>seguimiento</w:t>
            </w:r>
            <w:r>
              <w:rPr>
                <w:b/>
                <w:spacing w:val="-8"/>
                <w:sz w:val="18"/>
              </w:rPr>
              <w:t> </w:t>
            </w:r>
            <w:r>
              <w:rPr>
                <w:b/>
                <w:sz w:val="18"/>
              </w:rPr>
              <w:t>a</w:t>
            </w:r>
            <w:r>
              <w:rPr>
                <w:b/>
                <w:spacing w:val="-6"/>
                <w:sz w:val="18"/>
              </w:rPr>
              <w:t> </w:t>
            </w:r>
            <w:r>
              <w:rPr>
                <w:b/>
                <w:sz w:val="18"/>
              </w:rPr>
              <w:t>los</w:t>
            </w:r>
            <w:r>
              <w:rPr>
                <w:b/>
                <w:spacing w:val="-7"/>
                <w:sz w:val="18"/>
              </w:rPr>
              <w:t> </w:t>
            </w:r>
            <w:r>
              <w:rPr>
                <w:b/>
                <w:sz w:val="18"/>
              </w:rPr>
              <w:t>procesos</w:t>
            </w:r>
            <w:r>
              <w:rPr>
                <w:b/>
                <w:spacing w:val="-7"/>
                <w:sz w:val="18"/>
              </w:rPr>
              <w:t> </w:t>
            </w:r>
            <w:r>
              <w:rPr>
                <w:b/>
                <w:sz w:val="18"/>
              </w:rPr>
              <w:t>humanos,</w:t>
            </w:r>
            <w:r>
              <w:rPr>
                <w:b/>
                <w:spacing w:val="-5"/>
                <w:sz w:val="18"/>
              </w:rPr>
              <w:t> </w:t>
            </w:r>
            <w:r>
              <w:rPr>
                <w:b/>
                <w:sz w:val="18"/>
              </w:rPr>
              <w:t>financieros, de</w:t>
            </w:r>
            <w:r>
              <w:rPr>
                <w:b/>
                <w:spacing w:val="-7"/>
                <w:sz w:val="18"/>
              </w:rPr>
              <w:t> </w:t>
            </w:r>
            <w:r>
              <w:rPr>
                <w:b/>
                <w:sz w:val="18"/>
              </w:rPr>
              <w:t>programación,</w:t>
            </w:r>
            <w:r>
              <w:rPr>
                <w:b/>
                <w:spacing w:val="-5"/>
                <w:sz w:val="18"/>
              </w:rPr>
              <w:t> </w:t>
            </w:r>
            <w:r>
              <w:rPr>
                <w:b/>
                <w:sz w:val="18"/>
              </w:rPr>
              <w:t>presupuestarios,</w:t>
            </w:r>
            <w:r>
              <w:rPr>
                <w:b/>
                <w:spacing w:val="-5"/>
                <w:sz w:val="18"/>
              </w:rPr>
              <w:t> </w:t>
            </w:r>
            <w:r>
              <w:rPr>
                <w:b/>
                <w:sz w:val="18"/>
              </w:rPr>
              <w:t>tecnológicos</w:t>
            </w:r>
            <w:r>
              <w:rPr>
                <w:b/>
                <w:spacing w:val="-7"/>
                <w:sz w:val="18"/>
              </w:rPr>
              <w:t> </w:t>
            </w:r>
            <w:r>
              <w:rPr>
                <w:b/>
                <w:sz w:val="18"/>
              </w:rPr>
              <w:t>y</w:t>
            </w:r>
            <w:r>
              <w:rPr>
                <w:b/>
                <w:spacing w:val="-7"/>
                <w:sz w:val="18"/>
              </w:rPr>
              <w:t> </w:t>
            </w:r>
            <w:r>
              <w:rPr>
                <w:b/>
                <w:spacing w:val="-4"/>
                <w:sz w:val="18"/>
              </w:rPr>
              <w:t>GpRD</w:t>
            </w:r>
          </w:p>
        </w:tc>
      </w:tr>
      <w:tr>
        <w:trPr>
          <w:trHeight w:val="1949" w:hRule="atLeast"/>
        </w:trPr>
        <w:tc>
          <w:tcPr>
            <w:tcW w:w="2247" w:type="dxa"/>
          </w:tcPr>
          <w:p>
            <w:pPr>
              <w:pStyle w:val="TableParagraph"/>
              <w:spacing w:before="42"/>
              <w:ind w:left="72"/>
              <w:rPr>
                <w:b/>
                <w:sz w:val="18"/>
              </w:rPr>
            </w:pPr>
            <w:r>
              <w:rPr>
                <w:b/>
                <w:sz w:val="18"/>
              </w:rPr>
              <w:t>Actividad</w:t>
            </w:r>
            <w:r>
              <w:rPr>
                <w:b/>
                <w:spacing w:val="-6"/>
                <w:sz w:val="18"/>
              </w:rPr>
              <w:t> </w:t>
            </w:r>
            <w:r>
              <w:rPr>
                <w:b/>
                <w:sz w:val="18"/>
              </w:rPr>
              <w:t>PAC</w:t>
            </w:r>
            <w:r>
              <w:rPr>
                <w:b/>
                <w:spacing w:val="-1"/>
                <w:sz w:val="18"/>
              </w:rPr>
              <w:t> </w:t>
            </w:r>
            <w:r>
              <w:rPr>
                <w:b/>
                <w:spacing w:val="-2"/>
                <w:sz w:val="18"/>
              </w:rPr>
              <w:t>2.2.1:</w:t>
            </w:r>
          </w:p>
          <w:p>
            <w:pPr>
              <w:pStyle w:val="TableParagraph"/>
              <w:ind w:left="72" w:right="56"/>
              <w:rPr>
                <w:sz w:val="18"/>
              </w:rPr>
            </w:pPr>
            <w:r>
              <w:rPr>
                <w:sz w:val="18"/>
              </w:rPr>
              <w:t>Dar seguimiento al cumplimiento</w:t>
            </w:r>
            <w:r>
              <w:rPr>
                <w:spacing w:val="-11"/>
                <w:sz w:val="18"/>
              </w:rPr>
              <w:t> </w:t>
            </w:r>
            <w:r>
              <w:rPr>
                <w:sz w:val="18"/>
              </w:rPr>
              <w:t>de</w:t>
            </w:r>
            <w:r>
              <w:rPr>
                <w:spacing w:val="-11"/>
                <w:sz w:val="18"/>
              </w:rPr>
              <w:t> </w:t>
            </w:r>
            <w:r>
              <w:rPr>
                <w:sz w:val="18"/>
              </w:rPr>
              <w:t>metas</w:t>
            </w:r>
            <w:r>
              <w:rPr>
                <w:spacing w:val="-11"/>
                <w:sz w:val="18"/>
              </w:rPr>
              <w:t> </w:t>
            </w:r>
            <w:r>
              <w:rPr>
                <w:sz w:val="18"/>
              </w:rPr>
              <w:t>de las Direcciones, acuerdos del</w:t>
            </w:r>
            <w:r>
              <w:rPr>
                <w:spacing w:val="-1"/>
                <w:sz w:val="18"/>
              </w:rPr>
              <w:t> </w:t>
            </w:r>
            <w:r>
              <w:rPr>
                <w:sz w:val="18"/>
              </w:rPr>
              <w:t>CD,</w:t>
            </w:r>
            <w:r>
              <w:rPr>
                <w:spacing w:val="-2"/>
                <w:sz w:val="18"/>
              </w:rPr>
              <w:t> </w:t>
            </w:r>
            <w:r>
              <w:rPr>
                <w:sz w:val="18"/>
              </w:rPr>
              <w:t>recomendaciones de Auditoría Interna, Externa y disposiciones</w:t>
            </w:r>
            <w:r>
              <w:rPr>
                <w:spacing w:val="40"/>
                <w:sz w:val="18"/>
              </w:rPr>
              <w:t> </w:t>
            </w:r>
            <w:r>
              <w:rPr>
                <w:sz w:val="18"/>
              </w:rPr>
              <w:t>de la Contraloría General de la República.</w:t>
            </w:r>
          </w:p>
        </w:tc>
        <w:tc>
          <w:tcPr>
            <w:tcW w:w="1723" w:type="dxa"/>
          </w:tcPr>
          <w:p>
            <w:pPr>
              <w:pStyle w:val="TableParagraph"/>
              <w:rPr>
                <w:b/>
                <w:sz w:val="18"/>
              </w:rPr>
            </w:pPr>
          </w:p>
          <w:p>
            <w:pPr>
              <w:pStyle w:val="TableParagraph"/>
              <w:rPr>
                <w:b/>
                <w:sz w:val="18"/>
              </w:rPr>
            </w:pPr>
          </w:p>
          <w:p>
            <w:pPr>
              <w:pStyle w:val="TableParagraph"/>
              <w:rPr>
                <w:b/>
                <w:sz w:val="18"/>
              </w:rPr>
            </w:pPr>
          </w:p>
          <w:p>
            <w:pPr>
              <w:pStyle w:val="TableParagraph"/>
              <w:spacing w:before="40"/>
              <w:rPr>
                <w:b/>
                <w:sz w:val="18"/>
              </w:rPr>
            </w:pPr>
          </w:p>
          <w:p>
            <w:pPr>
              <w:pStyle w:val="TableParagraph"/>
              <w:ind w:left="8" w:right="3"/>
              <w:jc w:val="center"/>
              <w:rPr>
                <w:sz w:val="18"/>
              </w:rPr>
            </w:pPr>
            <w:r>
              <w:rPr>
                <w:spacing w:val="-5"/>
                <w:sz w:val="18"/>
              </w:rPr>
              <w:t>12</w:t>
            </w:r>
          </w:p>
        </w:tc>
        <w:tc>
          <w:tcPr>
            <w:tcW w:w="1843" w:type="dxa"/>
          </w:tcPr>
          <w:p>
            <w:pPr>
              <w:pStyle w:val="TableParagraph"/>
              <w:rPr>
                <w:b/>
                <w:sz w:val="18"/>
              </w:rPr>
            </w:pPr>
          </w:p>
          <w:p>
            <w:pPr>
              <w:pStyle w:val="TableParagraph"/>
              <w:rPr>
                <w:b/>
                <w:sz w:val="18"/>
              </w:rPr>
            </w:pPr>
          </w:p>
          <w:p>
            <w:pPr>
              <w:pStyle w:val="TableParagraph"/>
              <w:rPr>
                <w:b/>
                <w:sz w:val="18"/>
              </w:rPr>
            </w:pPr>
          </w:p>
          <w:p>
            <w:pPr>
              <w:pStyle w:val="TableParagraph"/>
              <w:spacing w:before="40"/>
              <w:rPr>
                <w:b/>
                <w:sz w:val="18"/>
              </w:rPr>
            </w:pPr>
          </w:p>
          <w:p>
            <w:pPr>
              <w:pStyle w:val="TableParagraph"/>
              <w:ind w:left="10" w:right="8"/>
              <w:jc w:val="center"/>
              <w:rPr>
                <w:sz w:val="18"/>
              </w:rPr>
            </w:pPr>
            <w:r>
              <w:rPr>
                <w:spacing w:val="-5"/>
                <w:sz w:val="18"/>
              </w:rPr>
              <w:t>12</w:t>
            </w:r>
          </w:p>
        </w:tc>
        <w:tc>
          <w:tcPr>
            <w:tcW w:w="2040" w:type="dxa"/>
          </w:tcPr>
          <w:p>
            <w:pPr>
              <w:pStyle w:val="TableParagraph"/>
              <w:rPr>
                <w:b/>
                <w:sz w:val="18"/>
              </w:rPr>
            </w:pPr>
          </w:p>
          <w:p>
            <w:pPr>
              <w:pStyle w:val="TableParagraph"/>
              <w:rPr>
                <w:b/>
                <w:sz w:val="18"/>
              </w:rPr>
            </w:pPr>
          </w:p>
          <w:p>
            <w:pPr>
              <w:pStyle w:val="TableParagraph"/>
              <w:spacing w:before="146"/>
              <w:rPr>
                <w:b/>
                <w:sz w:val="18"/>
              </w:rPr>
            </w:pPr>
          </w:p>
          <w:p>
            <w:pPr>
              <w:pStyle w:val="TableParagraph"/>
              <w:ind w:left="68"/>
              <w:rPr>
                <w:sz w:val="18"/>
              </w:rPr>
            </w:pPr>
            <w:r>
              <w:rPr>
                <w:sz w:val="18"/>
              </w:rPr>
              <w:t>Cantidad</w:t>
            </w:r>
            <w:r>
              <w:rPr>
                <w:spacing w:val="-15"/>
                <w:sz w:val="18"/>
              </w:rPr>
              <w:t> </w:t>
            </w:r>
            <w:r>
              <w:rPr>
                <w:sz w:val="18"/>
              </w:rPr>
              <w:t>de</w:t>
            </w:r>
            <w:r>
              <w:rPr>
                <w:spacing w:val="-12"/>
                <w:sz w:val="18"/>
              </w:rPr>
              <w:t> </w:t>
            </w:r>
            <w:r>
              <w:rPr>
                <w:sz w:val="18"/>
              </w:rPr>
              <w:t>informes </w:t>
            </w:r>
            <w:r>
              <w:rPr>
                <w:spacing w:val="-2"/>
                <w:sz w:val="18"/>
              </w:rPr>
              <w:t>presentados</w:t>
            </w:r>
          </w:p>
        </w:tc>
        <w:tc>
          <w:tcPr>
            <w:tcW w:w="1800" w:type="dxa"/>
          </w:tcPr>
          <w:p>
            <w:pPr>
              <w:pStyle w:val="TableParagraph"/>
              <w:rPr>
                <w:b/>
                <w:sz w:val="18"/>
              </w:rPr>
            </w:pPr>
          </w:p>
          <w:p>
            <w:pPr>
              <w:pStyle w:val="TableParagraph"/>
              <w:rPr>
                <w:b/>
                <w:sz w:val="18"/>
              </w:rPr>
            </w:pPr>
          </w:p>
          <w:p>
            <w:pPr>
              <w:pStyle w:val="TableParagraph"/>
              <w:spacing w:before="41"/>
              <w:rPr>
                <w:b/>
                <w:sz w:val="18"/>
              </w:rPr>
            </w:pPr>
          </w:p>
          <w:p>
            <w:pPr>
              <w:pStyle w:val="TableParagraph"/>
              <w:numPr>
                <w:ilvl w:val="0"/>
                <w:numId w:val="101"/>
              </w:numPr>
              <w:tabs>
                <w:tab w:pos="273" w:val="left" w:leader="none"/>
              </w:tabs>
              <w:spacing w:line="240" w:lineRule="auto" w:before="0" w:after="0"/>
              <w:ind w:left="73" w:right="473" w:firstLine="0"/>
              <w:jc w:val="left"/>
              <w:rPr>
                <w:sz w:val="18"/>
              </w:rPr>
            </w:pPr>
            <w:r>
              <w:rPr>
                <w:spacing w:val="-2"/>
                <w:sz w:val="18"/>
              </w:rPr>
              <w:t>Informes </w:t>
            </w:r>
            <w:r>
              <w:rPr>
                <w:sz w:val="18"/>
              </w:rPr>
              <w:t>trimestrales</w:t>
            </w:r>
            <w:r>
              <w:rPr>
                <w:spacing w:val="-13"/>
                <w:sz w:val="18"/>
              </w:rPr>
              <w:t> </w:t>
            </w:r>
            <w:r>
              <w:rPr>
                <w:sz w:val="18"/>
              </w:rPr>
              <w:t>por </w:t>
            </w:r>
            <w:r>
              <w:rPr>
                <w:spacing w:val="-2"/>
                <w:sz w:val="18"/>
              </w:rPr>
              <w:t>Dirección</w:t>
            </w:r>
          </w:p>
        </w:tc>
        <w:tc>
          <w:tcPr>
            <w:tcW w:w="1623" w:type="dxa"/>
          </w:tcPr>
          <w:p>
            <w:pPr>
              <w:pStyle w:val="TableParagraph"/>
              <w:rPr>
                <w:b/>
                <w:sz w:val="18"/>
              </w:rPr>
            </w:pPr>
          </w:p>
          <w:p>
            <w:pPr>
              <w:pStyle w:val="TableParagraph"/>
              <w:rPr>
                <w:b/>
                <w:sz w:val="18"/>
              </w:rPr>
            </w:pPr>
          </w:p>
          <w:p>
            <w:pPr>
              <w:pStyle w:val="TableParagraph"/>
              <w:rPr>
                <w:b/>
                <w:sz w:val="18"/>
              </w:rPr>
            </w:pPr>
          </w:p>
          <w:p>
            <w:pPr>
              <w:pStyle w:val="TableParagraph"/>
              <w:spacing w:before="40"/>
              <w:rPr>
                <w:b/>
                <w:sz w:val="18"/>
              </w:rPr>
            </w:pPr>
          </w:p>
          <w:p>
            <w:pPr>
              <w:pStyle w:val="TableParagraph"/>
              <w:ind w:left="69"/>
              <w:rPr>
                <w:sz w:val="18"/>
              </w:rPr>
            </w:pPr>
            <w:r>
              <w:rPr>
                <w:spacing w:val="-5"/>
                <w:sz w:val="18"/>
              </w:rPr>
              <w:t>GG</w:t>
            </w:r>
          </w:p>
        </w:tc>
        <w:tc>
          <w:tcPr>
            <w:tcW w:w="1349" w:type="dxa"/>
          </w:tcPr>
          <w:p>
            <w:pPr>
              <w:pStyle w:val="TableParagraph"/>
              <w:rPr>
                <w:rFonts w:ascii="Times New Roman"/>
                <w:sz w:val="18"/>
              </w:rPr>
            </w:pPr>
          </w:p>
        </w:tc>
        <w:tc>
          <w:tcPr>
            <w:tcW w:w="1695" w:type="dxa"/>
            <w:vMerge w:val="restart"/>
          </w:tcPr>
          <w:p>
            <w:pPr>
              <w:pStyle w:val="TableParagraph"/>
              <w:spacing w:before="61"/>
              <w:ind w:left="74" w:right="223"/>
              <w:rPr>
                <w:sz w:val="18"/>
              </w:rPr>
            </w:pPr>
            <w:r>
              <w:rPr>
                <w:sz w:val="18"/>
              </w:rPr>
              <w:t>Atrasos en la ejecución en tiempo y forma para el cumplimiento de los acuerdos del CD, Auditoría Interna,</w:t>
            </w:r>
            <w:r>
              <w:rPr>
                <w:spacing w:val="-13"/>
                <w:sz w:val="18"/>
              </w:rPr>
              <w:t> </w:t>
            </w:r>
            <w:r>
              <w:rPr>
                <w:sz w:val="18"/>
              </w:rPr>
              <w:t>Auditoría Externa y CGR</w:t>
            </w:r>
          </w:p>
          <w:p>
            <w:pPr>
              <w:pStyle w:val="TableParagraph"/>
              <w:rPr>
                <w:b/>
                <w:sz w:val="18"/>
              </w:rPr>
            </w:pPr>
          </w:p>
          <w:p>
            <w:pPr>
              <w:pStyle w:val="TableParagraph"/>
              <w:ind w:left="74" w:right="77"/>
              <w:rPr>
                <w:sz w:val="18"/>
              </w:rPr>
            </w:pPr>
            <w:r>
              <w:rPr>
                <w:sz w:val="18"/>
              </w:rPr>
              <w:t>Subejecución</w:t>
            </w:r>
            <w:r>
              <w:rPr>
                <w:spacing w:val="-15"/>
                <w:sz w:val="18"/>
              </w:rPr>
              <w:t> </w:t>
            </w:r>
            <w:r>
              <w:rPr>
                <w:sz w:val="18"/>
              </w:rPr>
              <w:t>en</w:t>
            </w:r>
            <w:r>
              <w:rPr>
                <w:spacing w:val="-12"/>
                <w:sz w:val="18"/>
              </w:rPr>
              <w:t> </w:t>
            </w:r>
            <w:r>
              <w:rPr>
                <w:sz w:val="18"/>
              </w:rPr>
              <w:t>la programación de los recursos </w:t>
            </w:r>
            <w:r>
              <w:rPr>
                <w:spacing w:val="-2"/>
                <w:sz w:val="18"/>
              </w:rPr>
              <w:t>presupuestarios institucionales</w:t>
            </w:r>
          </w:p>
          <w:p>
            <w:pPr>
              <w:pStyle w:val="TableParagraph"/>
              <w:spacing w:before="2"/>
              <w:rPr>
                <w:b/>
                <w:sz w:val="18"/>
              </w:rPr>
            </w:pPr>
          </w:p>
          <w:p>
            <w:pPr>
              <w:pStyle w:val="TableParagraph"/>
              <w:ind w:left="74" w:right="101"/>
              <w:rPr>
                <w:sz w:val="18"/>
              </w:rPr>
            </w:pPr>
            <w:r>
              <w:rPr>
                <w:sz w:val="18"/>
              </w:rPr>
              <w:t>Atrasos en la ejecución en tiempo y forma para el seguimiento</w:t>
            </w:r>
            <w:r>
              <w:rPr>
                <w:spacing w:val="-15"/>
                <w:sz w:val="18"/>
              </w:rPr>
              <w:t> </w:t>
            </w:r>
            <w:r>
              <w:rPr>
                <w:sz w:val="18"/>
              </w:rPr>
              <w:t>de</w:t>
            </w:r>
            <w:r>
              <w:rPr>
                <w:spacing w:val="-12"/>
                <w:sz w:val="18"/>
              </w:rPr>
              <w:t> </w:t>
            </w:r>
            <w:r>
              <w:rPr>
                <w:sz w:val="18"/>
              </w:rPr>
              <w:t>las metas a las instancias de la </w:t>
            </w:r>
            <w:r>
              <w:rPr>
                <w:spacing w:val="-6"/>
                <w:sz w:val="18"/>
              </w:rPr>
              <w:t>GG</w:t>
            </w:r>
          </w:p>
          <w:p>
            <w:pPr>
              <w:pStyle w:val="TableParagraph"/>
              <w:rPr>
                <w:b/>
                <w:sz w:val="18"/>
              </w:rPr>
            </w:pPr>
          </w:p>
          <w:p>
            <w:pPr>
              <w:pStyle w:val="TableParagraph"/>
              <w:ind w:left="74"/>
              <w:rPr>
                <w:sz w:val="18"/>
              </w:rPr>
            </w:pPr>
            <w:r>
              <w:rPr>
                <w:sz w:val="18"/>
              </w:rPr>
              <w:t>Pérdida de oportunidad de contar</w:t>
            </w:r>
            <w:r>
              <w:rPr>
                <w:spacing w:val="-15"/>
                <w:sz w:val="18"/>
              </w:rPr>
              <w:t> </w:t>
            </w:r>
            <w:r>
              <w:rPr>
                <w:sz w:val="18"/>
              </w:rPr>
              <w:t>con</w:t>
            </w:r>
            <w:r>
              <w:rPr>
                <w:spacing w:val="-12"/>
                <w:sz w:val="18"/>
              </w:rPr>
              <w:t> </w:t>
            </w:r>
            <w:r>
              <w:rPr>
                <w:sz w:val="18"/>
              </w:rPr>
              <w:t>apoyo</w:t>
            </w:r>
          </w:p>
        </w:tc>
      </w:tr>
      <w:tr>
        <w:trPr>
          <w:trHeight w:val="1276" w:hRule="atLeast"/>
        </w:trPr>
        <w:tc>
          <w:tcPr>
            <w:tcW w:w="2247" w:type="dxa"/>
          </w:tcPr>
          <w:p>
            <w:pPr>
              <w:pStyle w:val="TableParagraph"/>
              <w:spacing w:before="17"/>
              <w:rPr>
                <w:b/>
                <w:sz w:val="18"/>
              </w:rPr>
            </w:pPr>
          </w:p>
          <w:p>
            <w:pPr>
              <w:pStyle w:val="TableParagraph"/>
              <w:ind w:left="72" w:right="73"/>
              <w:rPr>
                <w:sz w:val="18"/>
              </w:rPr>
            </w:pPr>
            <w:r>
              <w:rPr>
                <w:b/>
                <w:sz w:val="18"/>
              </w:rPr>
              <w:t>Actividad</w:t>
            </w:r>
            <w:r>
              <w:rPr>
                <w:b/>
                <w:spacing w:val="-13"/>
                <w:sz w:val="18"/>
              </w:rPr>
              <w:t> </w:t>
            </w:r>
            <w:r>
              <w:rPr>
                <w:b/>
                <w:sz w:val="18"/>
              </w:rPr>
              <w:t>PAC</w:t>
            </w:r>
            <w:r>
              <w:rPr>
                <w:b/>
                <w:spacing w:val="-12"/>
                <w:sz w:val="18"/>
              </w:rPr>
              <w:t> </w:t>
            </w:r>
            <w:r>
              <w:rPr>
                <w:b/>
                <w:sz w:val="18"/>
              </w:rPr>
              <w:t>2.2.2:</w:t>
            </w:r>
            <w:r>
              <w:rPr>
                <w:b/>
                <w:spacing w:val="-12"/>
                <w:sz w:val="18"/>
              </w:rPr>
              <w:t> </w:t>
            </w:r>
            <w:r>
              <w:rPr>
                <w:sz w:val="18"/>
              </w:rPr>
              <w:t>Dar seguimiento a la</w:t>
            </w:r>
            <w:r>
              <w:rPr>
                <w:spacing w:val="40"/>
                <w:sz w:val="18"/>
              </w:rPr>
              <w:t> </w:t>
            </w:r>
            <w:r>
              <w:rPr>
                <w:sz w:val="18"/>
              </w:rPr>
              <w:t>ejecución presupuestaria </w:t>
            </w:r>
            <w:r>
              <w:rPr>
                <w:spacing w:val="-2"/>
                <w:sz w:val="18"/>
              </w:rPr>
              <w:t>institucional.</w:t>
            </w:r>
          </w:p>
        </w:tc>
        <w:tc>
          <w:tcPr>
            <w:tcW w:w="1723" w:type="dxa"/>
          </w:tcPr>
          <w:p>
            <w:pPr>
              <w:pStyle w:val="TableParagraph"/>
              <w:rPr>
                <w:b/>
                <w:sz w:val="18"/>
              </w:rPr>
            </w:pPr>
          </w:p>
          <w:p>
            <w:pPr>
              <w:pStyle w:val="TableParagraph"/>
              <w:spacing w:before="117"/>
              <w:rPr>
                <w:b/>
                <w:sz w:val="18"/>
              </w:rPr>
            </w:pPr>
          </w:p>
          <w:p>
            <w:pPr>
              <w:pStyle w:val="TableParagraph"/>
              <w:ind w:left="8" w:right="3"/>
              <w:jc w:val="center"/>
              <w:rPr>
                <w:sz w:val="18"/>
              </w:rPr>
            </w:pPr>
            <w:r>
              <w:rPr>
                <w:spacing w:val="-5"/>
                <w:sz w:val="18"/>
              </w:rPr>
              <w:t>10</w:t>
            </w:r>
          </w:p>
        </w:tc>
        <w:tc>
          <w:tcPr>
            <w:tcW w:w="1843" w:type="dxa"/>
          </w:tcPr>
          <w:p>
            <w:pPr>
              <w:pStyle w:val="TableParagraph"/>
              <w:rPr>
                <w:b/>
                <w:sz w:val="18"/>
              </w:rPr>
            </w:pPr>
          </w:p>
          <w:p>
            <w:pPr>
              <w:pStyle w:val="TableParagraph"/>
              <w:spacing w:before="117"/>
              <w:rPr>
                <w:b/>
                <w:sz w:val="18"/>
              </w:rPr>
            </w:pPr>
          </w:p>
          <w:p>
            <w:pPr>
              <w:pStyle w:val="TableParagraph"/>
              <w:ind w:left="10" w:right="8"/>
              <w:jc w:val="center"/>
              <w:rPr>
                <w:sz w:val="18"/>
              </w:rPr>
            </w:pPr>
            <w:r>
              <w:rPr>
                <w:spacing w:val="-5"/>
                <w:sz w:val="18"/>
              </w:rPr>
              <w:t>10</w:t>
            </w:r>
          </w:p>
        </w:tc>
        <w:tc>
          <w:tcPr>
            <w:tcW w:w="2040" w:type="dxa"/>
          </w:tcPr>
          <w:p>
            <w:pPr>
              <w:pStyle w:val="TableParagraph"/>
              <w:spacing w:before="119"/>
              <w:ind w:left="68"/>
              <w:rPr>
                <w:sz w:val="18"/>
              </w:rPr>
            </w:pPr>
            <w:r>
              <w:rPr>
                <w:sz w:val="18"/>
              </w:rPr>
              <w:t>Cantidad</w:t>
            </w:r>
            <w:r>
              <w:rPr>
                <w:spacing w:val="-15"/>
                <w:sz w:val="18"/>
              </w:rPr>
              <w:t> </w:t>
            </w:r>
            <w:r>
              <w:rPr>
                <w:sz w:val="18"/>
              </w:rPr>
              <w:t>de</w:t>
            </w:r>
            <w:r>
              <w:rPr>
                <w:spacing w:val="-12"/>
                <w:sz w:val="18"/>
              </w:rPr>
              <w:t> </w:t>
            </w:r>
            <w:r>
              <w:rPr>
                <w:sz w:val="18"/>
              </w:rPr>
              <w:t>reuniones realizadas con los responsables de los </w:t>
            </w:r>
            <w:r>
              <w:rPr>
                <w:spacing w:val="-2"/>
                <w:sz w:val="18"/>
              </w:rPr>
              <w:t>programas presupuestarios</w:t>
            </w:r>
          </w:p>
        </w:tc>
        <w:tc>
          <w:tcPr>
            <w:tcW w:w="1800" w:type="dxa"/>
          </w:tcPr>
          <w:p>
            <w:pPr>
              <w:pStyle w:val="TableParagraph"/>
              <w:spacing w:before="118"/>
              <w:rPr>
                <w:b/>
                <w:sz w:val="18"/>
              </w:rPr>
            </w:pPr>
          </w:p>
          <w:p>
            <w:pPr>
              <w:pStyle w:val="TableParagraph"/>
              <w:numPr>
                <w:ilvl w:val="0"/>
                <w:numId w:val="102"/>
              </w:numPr>
              <w:tabs>
                <w:tab w:pos="278" w:val="left" w:leader="none"/>
              </w:tabs>
              <w:spacing w:line="207" w:lineRule="exact" w:before="0" w:after="0"/>
              <w:ind w:left="278" w:right="0" w:hanging="205"/>
              <w:jc w:val="left"/>
              <w:rPr>
                <w:sz w:val="18"/>
              </w:rPr>
            </w:pPr>
            <w:r>
              <w:rPr>
                <w:spacing w:val="-2"/>
                <w:sz w:val="18"/>
              </w:rPr>
              <w:t>Presentaciones.</w:t>
            </w:r>
          </w:p>
          <w:p>
            <w:pPr>
              <w:pStyle w:val="TableParagraph"/>
              <w:numPr>
                <w:ilvl w:val="0"/>
                <w:numId w:val="102"/>
              </w:numPr>
              <w:tabs>
                <w:tab w:pos="278" w:val="left" w:leader="none"/>
              </w:tabs>
              <w:spacing w:line="240" w:lineRule="auto" w:before="0" w:after="0"/>
              <w:ind w:left="73" w:right="787" w:firstLine="0"/>
              <w:jc w:val="left"/>
              <w:rPr>
                <w:sz w:val="18"/>
              </w:rPr>
            </w:pPr>
            <w:r>
              <w:rPr>
                <w:sz w:val="18"/>
              </w:rPr>
              <w:t>Listas</w:t>
            </w:r>
            <w:r>
              <w:rPr>
                <w:spacing w:val="-13"/>
                <w:sz w:val="18"/>
              </w:rPr>
              <w:t> </w:t>
            </w:r>
            <w:r>
              <w:rPr>
                <w:sz w:val="18"/>
              </w:rPr>
              <w:t>de </w:t>
            </w:r>
            <w:r>
              <w:rPr>
                <w:spacing w:val="-2"/>
                <w:sz w:val="18"/>
              </w:rPr>
              <w:t>asistencia.</w:t>
            </w:r>
          </w:p>
        </w:tc>
        <w:tc>
          <w:tcPr>
            <w:tcW w:w="1623" w:type="dxa"/>
          </w:tcPr>
          <w:p>
            <w:pPr>
              <w:pStyle w:val="TableParagraph"/>
              <w:rPr>
                <w:b/>
                <w:sz w:val="18"/>
              </w:rPr>
            </w:pPr>
          </w:p>
          <w:p>
            <w:pPr>
              <w:pStyle w:val="TableParagraph"/>
              <w:spacing w:before="117"/>
              <w:rPr>
                <w:b/>
                <w:sz w:val="18"/>
              </w:rPr>
            </w:pPr>
          </w:p>
          <w:p>
            <w:pPr>
              <w:pStyle w:val="TableParagraph"/>
              <w:ind w:left="69"/>
              <w:rPr>
                <w:sz w:val="18"/>
              </w:rPr>
            </w:pPr>
            <w:r>
              <w:rPr>
                <w:spacing w:val="-5"/>
                <w:sz w:val="18"/>
              </w:rPr>
              <w:t>GG</w:t>
            </w:r>
          </w:p>
        </w:tc>
        <w:tc>
          <w:tcPr>
            <w:tcW w:w="1349" w:type="dxa"/>
          </w:tcPr>
          <w:p>
            <w:pPr>
              <w:pStyle w:val="TableParagraph"/>
              <w:rPr>
                <w:rFonts w:ascii="Times New Roman"/>
                <w:sz w:val="18"/>
              </w:rPr>
            </w:pPr>
          </w:p>
        </w:tc>
        <w:tc>
          <w:tcPr>
            <w:tcW w:w="1695" w:type="dxa"/>
            <w:vMerge/>
            <w:tcBorders>
              <w:top w:val="nil"/>
            </w:tcBorders>
          </w:tcPr>
          <w:p>
            <w:pPr>
              <w:rPr>
                <w:sz w:val="2"/>
                <w:szCs w:val="2"/>
              </w:rPr>
            </w:pPr>
          </w:p>
        </w:tc>
      </w:tr>
      <w:tr>
        <w:trPr>
          <w:trHeight w:val="1257" w:hRule="atLeast"/>
        </w:trPr>
        <w:tc>
          <w:tcPr>
            <w:tcW w:w="2247" w:type="dxa"/>
          </w:tcPr>
          <w:p>
            <w:pPr>
              <w:pStyle w:val="TableParagraph"/>
              <w:spacing w:before="8"/>
              <w:ind w:left="72" w:right="136"/>
              <w:rPr>
                <w:sz w:val="18"/>
              </w:rPr>
            </w:pPr>
            <w:r>
              <w:rPr>
                <w:b/>
                <w:sz w:val="18"/>
              </w:rPr>
              <w:t>Actividad PAC 2.2.3: </w:t>
            </w:r>
            <w:r>
              <w:rPr>
                <w:sz w:val="18"/>
              </w:rPr>
              <w:t>Dar seguimiento al cumplimiento de las metas establecidas a las instancias</w:t>
            </w:r>
            <w:r>
              <w:rPr>
                <w:spacing w:val="-11"/>
                <w:sz w:val="18"/>
              </w:rPr>
              <w:t> </w:t>
            </w:r>
            <w:r>
              <w:rPr>
                <w:sz w:val="18"/>
              </w:rPr>
              <w:t>de</w:t>
            </w:r>
            <w:r>
              <w:rPr>
                <w:spacing w:val="-11"/>
                <w:sz w:val="18"/>
              </w:rPr>
              <w:t> </w:t>
            </w:r>
            <w:r>
              <w:rPr>
                <w:sz w:val="18"/>
              </w:rPr>
              <w:t>la</w:t>
            </w:r>
            <w:r>
              <w:rPr>
                <w:spacing w:val="-11"/>
                <w:sz w:val="18"/>
              </w:rPr>
              <w:t> </w:t>
            </w:r>
            <w:r>
              <w:rPr>
                <w:sz w:val="18"/>
              </w:rPr>
              <w:t>Gerencia</w:t>
            </w:r>
          </w:p>
          <w:p>
            <w:pPr>
              <w:pStyle w:val="TableParagraph"/>
              <w:spacing w:line="194" w:lineRule="exact"/>
              <w:ind w:left="72"/>
              <w:rPr>
                <w:sz w:val="18"/>
              </w:rPr>
            </w:pPr>
            <w:r>
              <w:rPr>
                <w:spacing w:val="-2"/>
                <w:sz w:val="18"/>
              </w:rPr>
              <w:t>General.</w:t>
            </w:r>
          </w:p>
        </w:tc>
        <w:tc>
          <w:tcPr>
            <w:tcW w:w="1723" w:type="dxa"/>
          </w:tcPr>
          <w:p>
            <w:pPr>
              <w:pStyle w:val="TableParagraph"/>
              <w:rPr>
                <w:b/>
                <w:sz w:val="18"/>
              </w:rPr>
            </w:pPr>
          </w:p>
          <w:p>
            <w:pPr>
              <w:pStyle w:val="TableParagraph"/>
              <w:spacing w:before="108"/>
              <w:rPr>
                <w:b/>
                <w:sz w:val="18"/>
              </w:rPr>
            </w:pPr>
          </w:p>
          <w:p>
            <w:pPr>
              <w:pStyle w:val="TableParagraph"/>
              <w:ind w:left="8" w:right="7"/>
              <w:jc w:val="center"/>
              <w:rPr>
                <w:sz w:val="18"/>
              </w:rPr>
            </w:pPr>
            <w:r>
              <w:rPr>
                <w:spacing w:val="-10"/>
                <w:sz w:val="18"/>
              </w:rPr>
              <w:t>8</w:t>
            </w:r>
          </w:p>
        </w:tc>
        <w:tc>
          <w:tcPr>
            <w:tcW w:w="1843" w:type="dxa"/>
          </w:tcPr>
          <w:p>
            <w:pPr>
              <w:pStyle w:val="TableParagraph"/>
              <w:rPr>
                <w:b/>
                <w:sz w:val="18"/>
              </w:rPr>
            </w:pPr>
          </w:p>
          <w:p>
            <w:pPr>
              <w:pStyle w:val="TableParagraph"/>
              <w:spacing w:before="108"/>
              <w:rPr>
                <w:b/>
                <w:sz w:val="18"/>
              </w:rPr>
            </w:pPr>
          </w:p>
          <w:p>
            <w:pPr>
              <w:pStyle w:val="TableParagraph"/>
              <w:ind w:left="10" w:right="3"/>
              <w:jc w:val="center"/>
              <w:rPr>
                <w:sz w:val="18"/>
              </w:rPr>
            </w:pPr>
            <w:r>
              <w:rPr>
                <w:spacing w:val="-10"/>
                <w:sz w:val="18"/>
              </w:rPr>
              <w:t>8</w:t>
            </w:r>
          </w:p>
        </w:tc>
        <w:tc>
          <w:tcPr>
            <w:tcW w:w="2040" w:type="dxa"/>
          </w:tcPr>
          <w:p>
            <w:pPr>
              <w:pStyle w:val="TableParagraph"/>
              <w:rPr>
                <w:b/>
                <w:sz w:val="18"/>
              </w:rPr>
            </w:pPr>
          </w:p>
          <w:p>
            <w:pPr>
              <w:pStyle w:val="TableParagraph"/>
              <w:spacing w:before="7"/>
              <w:rPr>
                <w:b/>
                <w:sz w:val="18"/>
              </w:rPr>
            </w:pPr>
          </w:p>
          <w:p>
            <w:pPr>
              <w:pStyle w:val="TableParagraph"/>
              <w:ind w:left="68"/>
              <w:rPr>
                <w:sz w:val="18"/>
              </w:rPr>
            </w:pPr>
            <w:r>
              <w:rPr>
                <w:sz w:val="18"/>
              </w:rPr>
              <w:t>Cantidad</w:t>
            </w:r>
            <w:r>
              <w:rPr>
                <w:spacing w:val="-15"/>
                <w:sz w:val="18"/>
              </w:rPr>
              <w:t> </w:t>
            </w:r>
            <w:r>
              <w:rPr>
                <w:sz w:val="18"/>
              </w:rPr>
              <w:t>de</w:t>
            </w:r>
            <w:r>
              <w:rPr>
                <w:spacing w:val="-12"/>
                <w:sz w:val="18"/>
              </w:rPr>
              <w:t> </w:t>
            </w:r>
            <w:r>
              <w:rPr>
                <w:sz w:val="18"/>
              </w:rPr>
              <w:t>informes </w:t>
            </w:r>
            <w:r>
              <w:rPr>
                <w:spacing w:val="-2"/>
                <w:sz w:val="18"/>
              </w:rPr>
              <w:t>presentados</w:t>
            </w:r>
          </w:p>
        </w:tc>
        <w:tc>
          <w:tcPr>
            <w:tcW w:w="1800" w:type="dxa"/>
          </w:tcPr>
          <w:p>
            <w:pPr>
              <w:pStyle w:val="TableParagraph"/>
              <w:rPr>
                <w:b/>
                <w:sz w:val="18"/>
              </w:rPr>
            </w:pPr>
          </w:p>
          <w:p>
            <w:pPr>
              <w:pStyle w:val="TableParagraph"/>
              <w:spacing w:before="7"/>
              <w:rPr>
                <w:b/>
                <w:sz w:val="18"/>
              </w:rPr>
            </w:pPr>
          </w:p>
          <w:p>
            <w:pPr>
              <w:pStyle w:val="TableParagraph"/>
              <w:ind w:left="73" w:right="249"/>
              <w:rPr>
                <w:sz w:val="18"/>
              </w:rPr>
            </w:pPr>
            <w:r>
              <w:rPr>
                <w:spacing w:val="-2"/>
                <w:sz w:val="18"/>
              </w:rPr>
              <w:t>Informes trimestrales.</w:t>
            </w:r>
          </w:p>
        </w:tc>
        <w:tc>
          <w:tcPr>
            <w:tcW w:w="1623" w:type="dxa"/>
          </w:tcPr>
          <w:p>
            <w:pPr>
              <w:pStyle w:val="TableParagraph"/>
              <w:rPr>
                <w:b/>
                <w:sz w:val="18"/>
              </w:rPr>
            </w:pPr>
          </w:p>
          <w:p>
            <w:pPr>
              <w:pStyle w:val="TableParagraph"/>
              <w:spacing w:before="108"/>
              <w:rPr>
                <w:b/>
                <w:sz w:val="18"/>
              </w:rPr>
            </w:pPr>
          </w:p>
          <w:p>
            <w:pPr>
              <w:pStyle w:val="TableParagraph"/>
              <w:ind w:left="69"/>
              <w:rPr>
                <w:sz w:val="18"/>
              </w:rPr>
            </w:pPr>
            <w:r>
              <w:rPr>
                <w:spacing w:val="-5"/>
                <w:sz w:val="18"/>
              </w:rPr>
              <w:t>GG</w:t>
            </w:r>
          </w:p>
        </w:tc>
        <w:tc>
          <w:tcPr>
            <w:tcW w:w="1349" w:type="dxa"/>
          </w:tcPr>
          <w:p>
            <w:pPr>
              <w:pStyle w:val="TableParagraph"/>
              <w:rPr>
                <w:rFonts w:ascii="Times New Roman"/>
                <w:sz w:val="18"/>
              </w:rPr>
            </w:pPr>
          </w:p>
        </w:tc>
        <w:tc>
          <w:tcPr>
            <w:tcW w:w="1695" w:type="dxa"/>
            <w:vMerge/>
            <w:tcBorders>
              <w:top w:val="nil"/>
            </w:tcBorders>
          </w:tcPr>
          <w:p>
            <w:pPr>
              <w:rPr>
                <w:sz w:val="2"/>
                <w:szCs w:val="2"/>
              </w:rPr>
            </w:pPr>
          </w:p>
        </w:tc>
      </w:tr>
      <w:tr>
        <w:trPr>
          <w:trHeight w:val="1411" w:hRule="atLeast"/>
        </w:trPr>
        <w:tc>
          <w:tcPr>
            <w:tcW w:w="2247" w:type="dxa"/>
          </w:tcPr>
          <w:p>
            <w:pPr>
              <w:pStyle w:val="TableParagraph"/>
              <w:spacing w:before="185"/>
              <w:rPr>
                <w:b/>
                <w:sz w:val="18"/>
              </w:rPr>
            </w:pPr>
          </w:p>
          <w:p>
            <w:pPr>
              <w:pStyle w:val="TableParagraph"/>
              <w:spacing w:line="242" w:lineRule="auto"/>
              <w:ind w:left="72" w:right="171"/>
              <w:rPr>
                <w:sz w:val="18"/>
              </w:rPr>
            </w:pPr>
            <w:r>
              <w:rPr>
                <w:b/>
                <w:sz w:val="18"/>
              </w:rPr>
              <w:t>Actividad</w:t>
            </w:r>
            <w:r>
              <w:rPr>
                <w:b/>
                <w:spacing w:val="-15"/>
                <w:sz w:val="18"/>
              </w:rPr>
              <w:t> </w:t>
            </w:r>
            <w:r>
              <w:rPr>
                <w:b/>
                <w:sz w:val="18"/>
              </w:rPr>
              <w:t>PAC</w:t>
            </w:r>
            <w:r>
              <w:rPr>
                <w:b/>
                <w:spacing w:val="-12"/>
                <w:sz w:val="18"/>
              </w:rPr>
              <w:t> </w:t>
            </w:r>
            <w:r>
              <w:rPr>
                <w:b/>
                <w:sz w:val="18"/>
              </w:rPr>
              <w:t>2.2.4: </w:t>
            </w:r>
            <w:r>
              <w:rPr>
                <w:sz w:val="18"/>
              </w:rPr>
              <w:t>Dar seguimiento al cumplimiento</w:t>
            </w:r>
            <w:r>
              <w:rPr>
                <w:spacing w:val="-13"/>
                <w:sz w:val="18"/>
              </w:rPr>
              <w:t> </w:t>
            </w:r>
            <w:r>
              <w:rPr>
                <w:sz w:val="18"/>
              </w:rPr>
              <w:t>del</w:t>
            </w:r>
            <w:r>
              <w:rPr>
                <w:spacing w:val="-11"/>
                <w:sz w:val="18"/>
              </w:rPr>
              <w:t> </w:t>
            </w:r>
            <w:r>
              <w:rPr>
                <w:sz w:val="18"/>
              </w:rPr>
              <w:t>PEI.</w:t>
            </w:r>
          </w:p>
        </w:tc>
        <w:tc>
          <w:tcPr>
            <w:tcW w:w="1723" w:type="dxa"/>
          </w:tcPr>
          <w:p>
            <w:pPr>
              <w:pStyle w:val="TableParagraph"/>
              <w:rPr>
                <w:b/>
                <w:sz w:val="18"/>
              </w:rPr>
            </w:pPr>
          </w:p>
          <w:p>
            <w:pPr>
              <w:pStyle w:val="TableParagraph"/>
              <w:spacing w:before="190"/>
              <w:rPr>
                <w:b/>
                <w:sz w:val="18"/>
              </w:rPr>
            </w:pPr>
          </w:p>
          <w:p>
            <w:pPr>
              <w:pStyle w:val="TableParagraph"/>
              <w:ind w:left="8" w:right="7"/>
              <w:jc w:val="center"/>
              <w:rPr>
                <w:sz w:val="18"/>
              </w:rPr>
            </w:pPr>
            <w:r>
              <w:rPr>
                <w:spacing w:val="-10"/>
                <w:sz w:val="18"/>
              </w:rPr>
              <w:t>8</w:t>
            </w:r>
          </w:p>
        </w:tc>
        <w:tc>
          <w:tcPr>
            <w:tcW w:w="1843" w:type="dxa"/>
          </w:tcPr>
          <w:p>
            <w:pPr>
              <w:pStyle w:val="TableParagraph"/>
              <w:rPr>
                <w:b/>
                <w:sz w:val="18"/>
              </w:rPr>
            </w:pPr>
          </w:p>
          <w:p>
            <w:pPr>
              <w:pStyle w:val="TableParagraph"/>
              <w:spacing w:before="190"/>
              <w:rPr>
                <w:b/>
                <w:sz w:val="18"/>
              </w:rPr>
            </w:pPr>
          </w:p>
          <w:p>
            <w:pPr>
              <w:pStyle w:val="TableParagraph"/>
              <w:ind w:left="10" w:right="3"/>
              <w:jc w:val="center"/>
              <w:rPr>
                <w:sz w:val="18"/>
              </w:rPr>
            </w:pPr>
            <w:r>
              <w:rPr>
                <w:spacing w:val="-10"/>
                <w:sz w:val="18"/>
              </w:rPr>
              <w:t>8</w:t>
            </w:r>
          </w:p>
        </w:tc>
        <w:tc>
          <w:tcPr>
            <w:tcW w:w="2040" w:type="dxa"/>
          </w:tcPr>
          <w:p>
            <w:pPr>
              <w:pStyle w:val="TableParagraph"/>
              <w:spacing w:before="185"/>
              <w:rPr>
                <w:b/>
                <w:sz w:val="18"/>
              </w:rPr>
            </w:pPr>
          </w:p>
          <w:p>
            <w:pPr>
              <w:pStyle w:val="TableParagraph"/>
              <w:spacing w:line="242" w:lineRule="auto"/>
              <w:ind w:left="68"/>
              <w:rPr>
                <w:sz w:val="18"/>
              </w:rPr>
            </w:pPr>
            <w:r>
              <w:rPr>
                <w:sz w:val="18"/>
              </w:rPr>
              <w:t>Cantidad</w:t>
            </w:r>
            <w:r>
              <w:rPr>
                <w:spacing w:val="-15"/>
                <w:sz w:val="18"/>
              </w:rPr>
              <w:t> </w:t>
            </w:r>
            <w:r>
              <w:rPr>
                <w:sz w:val="18"/>
              </w:rPr>
              <w:t>de</w:t>
            </w:r>
            <w:r>
              <w:rPr>
                <w:spacing w:val="-12"/>
                <w:sz w:val="18"/>
              </w:rPr>
              <w:t> </w:t>
            </w:r>
            <w:r>
              <w:rPr>
                <w:sz w:val="18"/>
              </w:rPr>
              <w:t>reuniones de seguimiento </w:t>
            </w:r>
            <w:r>
              <w:rPr>
                <w:spacing w:val="-2"/>
                <w:sz w:val="18"/>
              </w:rPr>
              <w:t>realizadas</w:t>
            </w:r>
          </w:p>
        </w:tc>
        <w:tc>
          <w:tcPr>
            <w:tcW w:w="1800" w:type="dxa"/>
          </w:tcPr>
          <w:p>
            <w:pPr>
              <w:pStyle w:val="TableParagraph"/>
              <w:spacing w:before="186"/>
              <w:ind w:left="73" w:right="77"/>
              <w:rPr>
                <w:sz w:val="18"/>
              </w:rPr>
            </w:pPr>
            <w:r>
              <w:rPr>
                <w:sz w:val="18"/>
              </w:rPr>
              <w:t>Listas</w:t>
            </w:r>
            <w:r>
              <w:rPr>
                <w:spacing w:val="-15"/>
                <w:sz w:val="18"/>
              </w:rPr>
              <w:t> </w:t>
            </w:r>
            <w:r>
              <w:rPr>
                <w:sz w:val="18"/>
              </w:rPr>
              <w:t>de</w:t>
            </w:r>
            <w:r>
              <w:rPr>
                <w:spacing w:val="-12"/>
                <w:sz w:val="18"/>
              </w:rPr>
              <w:t> </w:t>
            </w:r>
            <w:r>
              <w:rPr>
                <w:sz w:val="18"/>
              </w:rPr>
              <w:t>asistencia, minuta o pantallazo de la reunión </w:t>
            </w:r>
            <w:r>
              <w:rPr>
                <w:spacing w:val="-2"/>
                <w:sz w:val="18"/>
              </w:rPr>
              <w:t>conteniendo asistentes</w:t>
            </w:r>
          </w:p>
        </w:tc>
        <w:tc>
          <w:tcPr>
            <w:tcW w:w="1623" w:type="dxa"/>
          </w:tcPr>
          <w:p>
            <w:pPr>
              <w:pStyle w:val="TableParagraph"/>
              <w:rPr>
                <w:b/>
                <w:sz w:val="18"/>
              </w:rPr>
            </w:pPr>
          </w:p>
          <w:p>
            <w:pPr>
              <w:pStyle w:val="TableParagraph"/>
              <w:spacing w:before="190"/>
              <w:rPr>
                <w:b/>
                <w:sz w:val="18"/>
              </w:rPr>
            </w:pPr>
          </w:p>
          <w:p>
            <w:pPr>
              <w:pStyle w:val="TableParagraph"/>
              <w:ind w:left="69"/>
              <w:rPr>
                <w:sz w:val="18"/>
              </w:rPr>
            </w:pPr>
            <w:r>
              <w:rPr>
                <w:spacing w:val="-5"/>
                <w:sz w:val="18"/>
              </w:rPr>
              <w:t>GG</w:t>
            </w:r>
          </w:p>
        </w:tc>
        <w:tc>
          <w:tcPr>
            <w:tcW w:w="1349" w:type="dxa"/>
          </w:tcPr>
          <w:p>
            <w:pPr>
              <w:pStyle w:val="TableParagraph"/>
              <w:rPr>
                <w:rFonts w:ascii="Times New Roman"/>
                <w:sz w:val="18"/>
              </w:rPr>
            </w:pPr>
          </w:p>
        </w:tc>
        <w:tc>
          <w:tcPr>
            <w:tcW w:w="1695" w:type="dxa"/>
            <w:vMerge/>
            <w:tcBorders>
              <w:top w:val="nil"/>
            </w:tcBorders>
          </w:tcPr>
          <w:p>
            <w:pPr>
              <w:rPr>
                <w:sz w:val="2"/>
                <w:szCs w:val="2"/>
              </w:rPr>
            </w:pPr>
          </w:p>
        </w:tc>
      </w:tr>
    </w:tbl>
    <w:p>
      <w:pPr>
        <w:spacing w:after="0"/>
        <w:rPr>
          <w:sz w:val="2"/>
          <w:szCs w:val="2"/>
        </w:rPr>
        <w:sectPr>
          <w:footerReference w:type="default" r:id="rId75"/>
          <w:pgSz w:w="15840" w:h="12240" w:orient="landscape"/>
          <w:pgMar w:header="0" w:footer="1806" w:top="700" w:bottom="2000" w:left="360" w:right="360"/>
          <w:pgNumType w:start="190"/>
        </w:sect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7"/>
        <w:gridCol w:w="1723"/>
        <w:gridCol w:w="1843"/>
        <w:gridCol w:w="2040"/>
        <w:gridCol w:w="1800"/>
        <w:gridCol w:w="1623"/>
        <w:gridCol w:w="1349"/>
        <w:gridCol w:w="1695"/>
      </w:tblGrid>
      <w:tr>
        <w:trPr>
          <w:trHeight w:val="1229" w:hRule="atLeast"/>
        </w:trPr>
        <w:tc>
          <w:tcPr>
            <w:tcW w:w="2247" w:type="dxa"/>
            <w:shd w:val="clear" w:color="auto" w:fill="F1F1F1"/>
          </w:tcPr>
          <w:p>
            <w:pPr>
              <w:pStyle w:val="TableParagraph"/>
              <w:rPr>
                <w:b/>
                <w:sz w:val="18"/>
              </w:rPr>
            </w:pPr>
          </w:p>
          <w:p>
            <w:pPr>
              <w:pStyle w:val="TableParagraph"/>
              <w:spacing w:before="98"/>
              <w:rPr>
                <w:b/>
                <w:sz w:val="18"/>
              </w:rPr>
            </w:pPr>
          </w:p>
          <w:p>
            <w:pPr>
              <w:pStyle w:val="TableParagraph"/>
              <w:ind w:left="72"/>
              <w:rPr>
                <w:b/>
                <w:sz w:val="18"/>
              </w:rPr>
            </w:pPr>
            <w:r>
              <w:rPr>
                <w:b/>
                <w:sz w:val="18"/>
              </w:rPr>
              <w:t>Objetivos</w:t>
            </w:r>
            <w:r>
              <w:rPr>
                <w:b/>
                <w:spacing w:val="-5"/>
                <w:sz w:val="18"/>
              </w:rPr>
              <w:t> </w:t>
            </w:r>
            <w:r>
              <w:rPr>
                <w:b/>
                <w:sz w:val="18"/>
              </w:rPr>
              <w:t>/</w:t>
            </w:r>
            <w:r>
              <w:rPr>
                <w:b/>
                <w:spacing w:val="-2"/>
                <w:sz w:val="18"/>
              </w:rPr>
              <w:t> Resultados</w:t>
            </w:r>
          </w:p>
        </w:tc>
        <w:tc>
          <w:tcPr>
            <w:tcW w:w="1723" w:type="dxa"/>
            <w:shd w:val="clear" w:color="auto" w:fill="F1F1F1"/>
          </w:tcPr>
          <w:p>
            <w:pPr>
              <w:pStyle w:val="TableParagraph"/>
              <w:rPr>
                <w:b/>
                <w:sz w:val="18"/>
              </w:rPr>
            </w:pPr>
          </w:p>
          <w:p>
            <w:pPr>
              <w:pStyle w:val="TableParagraph"/>
              <w:spacing w:before="98"/>
              <w:rPr>
                <w:b/>
                <w:sz w:val="18"/>
              </w:rPr>
            </w:pPr>
          </w:p>
          <w:p>
            <w:pPr>
              <w:pStyle w:val="TableParagraph"/>
              <w:ind w:left="8" w:right="5"/>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843" w:type="dxa"/>
            <w:shd w:val="clear" w:color="auto" w:fill="F1F1F1"/>
          </w:tcPr>
          <w:p>
            <w:pPr>
              <w:pStyle w:val="TableParagraph"/>
              <w:spacing w:before="199"/>
              <w:rPr>
                <w:b/>
                <w:sz w:val="18"/>
              </w:rPr>
            </w:pPr>
          </w:p>
          <w:p>
            <w:pPr>
              <w:pStyle w:val="TableParagraph"/>
              <w:spacing w:before="1"/>
              <w:ind w:left="720" w:right="49" w:hanging="552"/>
              <w:rPr>
                <w:b/>
                <w:sz w:val="18"/>
              </w:rPr>
            </w:pPr>
            <w:r>
              <w:rPr>
                <w:b/>
                <w:sz w:val="18"/>
              </w:rPr>
              <w:t>Meta</w:t>
            </w:r>
            <w:r>
              <w:rPr>
                <w:b/>
                <w:spacing w:val="-13"/>
                <w:sz w:val="18"/>
              </w:rPr>
              <w:t> </w:t>
            </w:r>
            <w:r>
              <w:rPr>
                <w:b/>
                <w:sz w:val="18"/>
              </w:rPr>
              <w:t>programada </w:t>
            </w:r>
            <w:r>
              <w:rPr>
                <w:b/>
                <w:spacing w:val="-4"/>
                <w:sz w:val="18"/>
              </w:rPr>
              <w:t>2026</w:t>
            </w:r>
          </w:p>
        </w:tc>
        <w:tc>
          <w:tcPr>
            <w:tcW w:w="2040" w:type="dxa"/>
            <w:shd w:val="clear" w:color="auto" w:fill="F1F1F1"/>
          </w:tcPr>
          <w:p>
            <w:pPr>
              <w:pStyle w:val="TableParagraph"/>
              <w:rPr>
                <w:b/>
                <w:sz w:val="18"/>
              </w:rPr>
            </w:pPr>
          </w:p>
          <w:p>
            <w:pPr>
              <w:pStyle w:val="TableParagraph"/>
              <w:spacing w:before="98"/>
              <w:rPr>
                <w:b/>
                <w:sz w:val="18"/>
              </w:rPr>
            </w:pPr>
          </w:p>
          <w:p>
            <w:pPr>
              <w:pStyle w:val="TableParagraph"/>
              <w:ind w:left="611"/>
              <w:rPr>
                <w:b/>
                <w:sz w:val="18"/>
              </w:rPr>
            </w:pPr>
            <w:r>
              <w:rPr>
                <w:b/>
                <w:spacing w:val="-2"/>
                <w:sz w:val="18"/>
              </w:rPr>
              <w:t>Indicador</w:t>
            </w:r>
          </w:p>
        </w:tc>
        <w:tc>
          <w:tcPr>
            <w:tcW w:w="1800" w:type="dxa"/>
            <w:shd w:val="clear" w:color="auto" w:fill="F1F1F1"/>
          </w:tcPr>
          <w:p>
            <w:pPr>
              <w:pStyle w:val="TableParagraph"/>
              <w:spacing w:before="199"/>
              <w:rPr>
                <w:b/>
                <w:sz w:val="18"/>
              </w:rPr>
            </w:pPr>
          </w:p>
          <w:p>
            <w:pPr>
              <w:pStyle w:val="TableParagraph"/>
              <w:spacing w:before="1"/>
              <w:ind w:left="400" w:right="249" w:firstLine="57"/>
              <w:rPr>
                <w:b/>
                <w:sz w:val="18"/>
              </w:rPr>
            </w:pPr>
            <w:r>
              <w:rPr>
                <w:b/>
                <w:sz w:val="18"/>
              </w:rPr>
              <w:t>Medios de </w:t>
            </w:r>
            <w:r>
              <w:rPr>
                <w:b/>
                <w:spacing w:val="-2"/>
                <w:sz w:val="18"/>
              </w:rPr>
              <w:t>verificación</w:t>
            </w:r>
          </w:p>
        </w:tc>
        <w:tc>
          <w:tcPr>
            <w:tcW w:w="1623" w:type="dxa"/>
            <w:shd w:val="clear" w:color="auto" w:fill="F1F1F1"/>
          </w:tcPr>
          <w:p>
            <w:pPr>
              <w:pStyle w:val="TableParagraph"/>
              <w:rPr>
                <w:b/>
                <w:sz w:val="18"/>
              </w:rPr>
            </w:pPr>
          </w:p>
          <w:p>
            <w:pPr>
              <w:pStyle w:val="TableParagraph"/>
              <w:spacing w:before="98"/>
              <w:rPr>
                <w:b/>
                <w:sz w:val="18"/>
              </w:rPr>
            </w:pPr>
          </w:p>
          <w:p>
            <w:pPr>
              <w:pStyle w:val="TableParagraph"/>
              <w:ind w:left="251"/>
              <w:rPr>
                <w:b/>
                <w:sz w:val="18"/>
              </w:rPr>
            </w:pPr>
            <w:r>
              <w:rPr>
                <w:b/>
                <w:spacing w:val="-2"/>
                <w:sz w:val="18"/>
              </w:rPr>
              <w:t>Responsable</w:t>
            </w:r>
          </w:p>
        </w:tc>
        <w:tc>
          <w:tcPr>
            <w:tcW w:w="1349" w:type="dxa"/>
            <w:shd w:val="clear" w:color="auto" w:fill="F1F1F1"/>
          </w:tcPr>
          <w:p>
            <w:pPr>
              <w:pStyle w:val="TableParagraph"/>
              <w:spacing w:before="199"/>
              <w:rPr>
                <w:b/>
                <w:sz w:val="18"/>
              </w:rPr>
            </w:pPr>
          </w:p>
          <w:p>
            <w:pPr>
              <w:pStyle w:val="TableParagraph"/>
              <w:spacing w:before="1"/>
              <w:ind w:left="280" w:hanging="154"/>
              <w:rPr>
                <w:b/>
                <w:sz w:val="18"/>
              </w:rPr>
            </w:pPr>
            <w:r>
              <w:rPr>
                <w:b/>
                <w:spacing w:val="-2"/>
                <w:sz w:val="18"/>
              </w:rPr>
              <w:t>Presupuesto asignado</w:t>
            </w:r>
          </w:p>
        </w:tc>
        <w:tc>
          <w:tcPr>
            <w:tcW w:w="1695" w:type="dxa"/>
            <w:shd w:val="clear" w:color="auto" w:fill="F1F1F1"/>
          </w:tcPr>
          <w:p>
            <w:pPr>
              <w:pStyle w:val="TableParagraph"/>
              <w:spacing w:before="99"/>
              <w:rPr>
                <w:b/>
                <w:sz w:val="18"/>
              </w:rPr>
            </w:pPr>
          </w:p>
          <w:p>
            <w:pPr>
              <w:pStyle w:val="TableParagraph"/>
              <w:ind w:left="74" w:right="103"/>
              <w:rPr>
                <w:b/>
                <w:sz w:val="18"/>
              </w:rPr>
            </w:pPr>
            <w:r>
              <w:rPr>
                <w:b/>
                <w:spacing w:val="-2"/>
                <w:sz w:val="18"/>
              </w:rPr>
              <w:t>Riesgos </w:t>
            </w:r>
            <w:r>
              <w:rPr>
                <w:b/>
                <w:sz w:val="18"/>
              </w:rPr>
              <w:t>asociados al </w:t>
            </w:r>
            <w:r>
              <w:rPr>
                <w:b/>
                <w:spacing w:val="-2"/>
                <w:sz w:val="18"/>
              </w:rPr>
              <w:t>cumplimiento</w:t>
            </w:r>
          </w:p>
        </w:tc>
      </w:tr>
      <w:tr>
        <w:trPr>
          <w:trHeight w:val="1411" w:hRule="atLeast"/>
        </w:trPr>
        <w:tc>
          <w:tcPr>
            <w:tcW w:w="2247" w:type="dxa"/>
          </w:tcPr>
          <w:p>
            <w:pPr>
              <w:pStyle w:val="TableParagraph"/>
              <w:spacing w:before="190"/>
              <w:rPr>
                <w:b/>
                <w:sz w:val="18"/>
              </w:rPr>
            </w:pPr>
          </w:p>
          <w:p>
            <w:pPr>
              <w:pStyle w:val="TableParagraph"/>
              <w:ind w:left="72"/>
              <w:rPr>
                <w:sz w:val="18"/>
              </w:rPr>
            </w:pPr>
            <w:r>
              <w:rPr>
                <w:b/>
                <w:sz w:val="18"/>
              </w:rPr>
              <w:t>Actividad PAC 2.2.5: </w:t>
            </w:r>
            <w:r>
              <w:rPr>
                <w:sz w:val="18"/>
              </w:rPr>
              <w:t>Sesiones</w:t>
            </w:r>
            <w:r>
              <w:rPr>
                <w:spacing w:val="-15"/>
                <w:sz w:val="18"/>
              </w:rPr>
              <w:t> </w:t>
            </w:r>
            <w:r>
              <w:rPr>
                <w:sz w:val="18"/>
              </w:rPr>
              <w:t>de</w:t>
            </w:r>
            <w:r>
              <w:rPr>
                <w:spacing w:val="-12"/>
                <w:sz w:val="18"/>
              </w:rPr>
              <w:t> </w:t>
            </w:r>
            <w:r>
              <w:rPr>
                <w:sz w:val="18"/>
              </w:rPr>
              <w:t>seguimiento del equipo de GpRD</w:t>
            </w:r>
          </w:p>
        </w:tc>
        <w:tc>
          <w:tcPr>
            <w:tcW w:w="1723" w:type="dxa"/>
          </w:tcPr>
          <w:p>
            <w:pPr>
              <w:pStyle w:val="TableParagraph"/>
              <w:rPr>
                <w:b/>
                <w:sz w:val="18"/>
              </w:rPr>
            </w:pPr>
          </w:p>
          <w:p>
            <w:pPr>
              <w:pStyle w:val="TableParagraph"/>
              <w:spacing w:before="189"/>
              <w:rPr>
                <w:b/>
                <w:sz w:val="18"/>
              </w:rPr>
            </w:pPr>
          </w:p>
          <w:p>
            <w:pPr>
              <w:pStyle w:val="TableParagraph"/>
              <w:ind w:left="8" w:right="7"/>
              <w:jc w:val="center"/>
              <w:rPr>
                <w:sz w:val="18"/>
              </w:rPr>
            </w:pPr>
            <w:r>
              <w:rPr>
                <w:spacing w:val="-10"/>
                <w:sz w:val="18"/>
              </w:rPr>
              <w:t>2</w:t>
            </w:r>
          </w:p>
        </w:tc>
        <w:tc>
          <w:tcPr>
            <w:tcW w:w="1843" w:type="dxa"/>
          </w:tcPr>
          <w:p>
            <w:pPr>
              <w:pStyle w:val="TableParagraph"/>
              <w:rPr>
                <w:b/>
                <w:sz w:val="18"/>
              </w:rPr>
            </w:pPr>
          </w:p>
          <w:p>
            <w:pPr>
              <w:pStyle w:val="TableParagraph"/>
              <w:spacing w:before="189"/>
              <w:rPr>
                <w:b/>
                <w:sz w:val="18"/>
              </w:rPr>
            </w:pPr>
          </w:p>
          <w:p>
            <w:pPr>
              <w:pStyle w:val="TableParagraph"/>
              <w:ind w:left="10" w:right="3"/>
              <w:jc w:val="center"/>
              <w:rPr>
                <w:sz w:val="18"/>
              </w:rPr>
            </w:pPr>
            <w:r>
              <w:rPr>
                <w:spacing w:val="-10"/>
                <w:sz w:val="18"/>
              </w:rPr>
              <w:t>2</w:t>
            </w:r>
          </w:p>
        </w:tc>
        <w:tc>
          <w:tcPr>
            <w:tcW w:w="2040" w:type="dxa"/>
          </w:tcPr>
          <w:p>
            <w:pPr>
              <w:pStyle w:val="TableParagraph"/>
              <w:rPr>
                <w:b/>
                <w:sz w:val="18"/>
              </w:rPr>
            </w:pPr>
          </w:p>
          <w:p>
            <w:pPr>
              <w:pStyle w:val="TableParagraph"/>
              <w:spacing w:before="84"/>
              <w:rPr>
                <w:b/>
                <w:sz w:val="18"/>
              </w:rPr>
            </w:pPr>
          </w:p>
          <w:p>
            <w:pPr>
              <w:pStyle w:val="TableParagraph"/>
              <w:ind w:left="68"/>
              <w:rPr>
                <w:sz w:val="18"/>
              </w:rPr>
            </w:pPr>
            <w:r>
              <w:rPr>
                <w:sz w:val="18"/>
              </w:rPr>
              <w:t>Cantidad</w:t>
            </w:r>
            <w:r>
              <w:rPr>
                <w:spacing w:val="-15"/>
                <w:sz w:val="18"/>
              </w:rPr>
              <w:t> </w:t>
            </w:r>
            <w:r>
              <w:rPr>
                <w:sz w:val="18"/>
              </w:rPr>
              <w:t>de</w:t>
            </w:r>
            <w:r>
              <w:rPr>
                <w:spacing w:val="-12"/>
                <w:sz w:val="18"/>
              </w:rPr>
              <w:t> </w:t>
            </w:r>
            <w:r>
              <w:rPr>
                <w:sz w:val="18"/>
              </w:rPr>
              <w:t>reuniones de realizadas</w:t>
            </w:r>
          </w:p>
        </w:tc>
        <w:tc>
          <w:tcPr>
            <w:tcW w:w="1800" w:type="dxa"/>
          </w:tcPr>
          <w:p>
            <w:pPr>
              <w:pStyle w:val="TableParagraph"/>
              <w:spacing w:before="186"/>
              <w:ind w:left="73" w:right="76" w:firstLine="52"/>
              <w:rPr>
                <w:sz w:val="18"/>
              </w:rPr>
            </w:pPr>
            <w:r>
              <w:rPr>
                <w:sz w:val="18"/>
              </w:rPr>
              <w:t>Listas de</w:t>
            </w:r>
            <w:r>
              <w:rPr>
                <w:spacing w:val="40"/>
                <w:sz w:val="18"/>
              </w:rPr>
              <w:t> </w:t>
            </w:r>
            <w:r>
              <w:rPr>
                <w:sz w:val="18"/>
              </w:rPr>
              <w:t>asistencia, minuta o pantallazo de la reunión</w:t>
            </w:r>
            <w:r>
              <w:rPr>
                <w:spacing w:val="-13"/>
                <w:sz w:val="18"/>
              </w:rPr>
              <w:t> </w:t>
            </w:r>
            <w:r>
              <w:rPr>
                <w:sz w:val="18"/>
              </w:rPr>
              <w:t>conteniendo </w:t>
            </w:r>
            <w:r>
              <w:rPr>
                <w:spacing w:val="-2"/>
                <w:sz w:val="18"/>
              </w:rPr>
              <w:t>asistentes</w:t>
            </w:r>
          </w:p>
        </w:tc>
        <w:tc>
          <w:tcPr>
            <w:tcW w:w="1623" w:type="dxa"/>
          </w:tcPr>
          <w:p>
            <w:pPr>
              <w:pStyle w:val="TableParagraph"/>
              <w:rPr>
                <w:b/>
                <w:sz w:val="18"/>
              </w:rPr>
            </w:pPr>
          </w:p>
          <w:p>
            <w:pPr>
              <w:pStyle w:val="TableParagraph"/>
              <w:spacing w:before="189"/>
              <w:rPr>
                <w:b/>
                <w:sz w:val="18"/>
              </w:rPr>
            </w:pPr>
          </w:p>
          <w:p>
            <w:pPr>
              <w:pStyle w:val="TableParagraph"/>
              <w:ind w:left="69"/>
              <w:rPr>
                <w:sz w:val="18"/>
              </w:rPr>
            </w:pPr>
            <w:r>
              <w:rPr>
                <w:spacing w:val="-5"/>
                <w:sz w:val="18"/>
              </w:rPr>
              <w:t>GG</w:t>
            </w:r>
          </w:p>
        </w:tc>
        <w:tc>
          <w:tcPr>
            <w:tcW w:w="1349" w:type="dxa"/>
          </w:tcPr>
          <w:p>
            <w:pPr>
              <w:pStyle w:val="TableParagraph"/>
              <w:rPr>
                <w:rFonts w:ascii="Times New Roman"/>
                <w:sz w:val="18"/>
              </w:rPr>
            </w:pPr>
          </w:p>
        </w:tc>
        <w:tc>
          <w:tcPr>
            <w:tcW w:w="1695" w:type="dxa"/>
            <w:vMerge w:val="restart"/>
          </w:tcPr>
          <w:p>
            <w:pPr>
              <w:pStyle w:val="TableParagraph"/>
              <w:ind w:left="74" w:right="103"/>
              <w:rPr>
                <w:sz w:val="18"/>
              </w:rPr>
            </w:pPr>
            <w:r>
              <w:rPr>
                <w:spacing w:val="-2"/>
                <w:sz w:val="18"/>
              </w:rPr>
              <w:t>interinstitucional </w:t>
            </w:r>
            <w:r>
              <w:rPr>
                <w:sz w:val="18"/>
              </w:rPr>
              <w:t>para el fortalecimiento</w:t>
            </w:r>
            <w:r>
              <w:rPr>
                <w:spacing w:val="-13"/>
                <w:sz w:val="18"/>
              </w:rPr>
              <w:t> </w:t>
            </w:r>
            <w:r>
              <w:rPr>
                <w:sz w:val="18"/>
              </w:rPr>
              <w:t>de la UEIG</w:t>
            </w:r>
          </w:p>
        </w:tc>
      </w:tr>
      <w:tr>
        <w:trPr>
          <w:trHeight w:val="1411" w:hRule="atLeast"/>
        </w:trPr>
        <w:tc>
          <w:tcPr>
            <w:tcW w:w="2247" w:type="dxa"/>
          </w:tcPr>
          <w:p>
            <w:pPr>
              <w:pStyle w:val="TableParagraph"/>
              <w:spacing w:before="186"/>
              <w:ind w:left="72" w:right="136"/>
              <w:rPr>
                <w:sz w:val="18"/>
              </w:rPr>
            </w:pPr>
            <w:r>
              <w:rPr>
                <w:b/>
                <w:sz w:val="18"/>
              </w:rPr>
              <w:t>Actividad PAC 2.2.6: </w:t>
            </w:r>
            <w:r>
              <w:rPr>
                <w:sz w:val="18"/>
              </w:rPr>
              <w:t>Presentación</w:t>
            </w:r>
            <w:r>
              <w:rPr>
                <w:spacing w:val="-15"/>
                <w:sz w:val="18"/>
              </w:rPr>
              <w:t> </w:t>
            </w:r>
            <w:r>
              <w:rPr>
                <w:sz w:val="18"/>
              </w:rPr>
              <w:t>al</w:t>
            </w:r>
            <w:r>
              <w:rPr>
                <w:spacing w:val="-12"/>
                <w:sz w:val="18"/>
              </w:rPr>
              <w:t> </w:t>
            </w:r>
            <w:r>
              <w:rPr>
                <w:sz w:val="18"/>
              </w:rPr>
              <w:t>Equipo GpRD</w:t>
            </w:r>
            <w:r>
              <w:rPr>
                <w:spacing w:val="-13"/>
                <w:sz w:val="18"/>
              </w:rPr>
              <w:t> </w:t>
            </w:r>
            <w:r>
              <w:rPr>
                <w:sz w:val="18"/>
              </w:rPr>
              <w:t>y</w:t>
            </w:r>
            <w:r>
              <w:rPr>
                <w:spacing w:val="-9"/>
                <w:sz w:val="18"/>
              </w:rPr>
              <w:t> </w:t>
            </w:r>
            <w:r>
              <w:rPr>
                <w:sz w:val="18"/>
              </w:rPr>
              <w:t>Aprobación</w:t>
            </w:r>
            <w:r>
              <w:rPr>
                <w:spacing w:val="-9"/>
                <w:sz w:val="18"/>
              </w:rPr>
              <w:t> </w:t>
            </w:r>
            <w:r>
              <w:rPr>
                <w:sz w:val="18"/>
              </w:rPr>
              <w:t>de informes anuales Estrategia</w:t>
            </w:r>
            <w:r>
              <w:rPr>
                <w:spacing w:val="-5"/>
                <w:sz w:val="18"/>
              </w:rPr>
              <w:t> </w:t>
            </w:r>
            <w:r>
              <w:rPr>
                <w:sz w:val="18"/>
              </w:rPr>
              <w:t>GpRD</w:t>
            </w:r>
          </w:p>
        </w:tc>
        <w:tc>
          <w:tcPr>
            <w:tcW w:w="1723" w:type="dxa"/>
          </w:tcPr>
          <w:p>
            <w:pPr>
              <w:pStyle w:val="TableParagraph"/>
              <w:rPr>
                <w:b/>
                <w:sz w:val="18"/>
              </w:rPr>
            </w:pPr>
          </w:p>
          <w:p>
            <w:pPr>
              <w:pStyle w:val="TableParagraph"/>
              <w:spacing w:before="190"/>
              <w:rPr>
                <w:b/>
                <w:sz w:val="18"/>
              </w:rPr>
            </w:pPr>
          </w:p>
          <w:p>
            <w:pPr>
              <w:pStyle w:val="TableParagraph"/>
              <w:ind w:left="8" w:right="3"/>
              <w:jc w:val="center"/>
              <w:rPr>
                <w:sz w:val="18"/>
              </w:rPr>
            </w:pPr>
            <w:r>
              <w:rPr>
                <w:spacing w:val="-5"/>
                <w:sz w:val="18"/>
              </w:rPr>
              <w:t>ND</w:t>
            </w:r>
          </w:p>
        </w:tc>
        <w:tc>
          <w:tcPr>
            <w:tcW w:w="1843" w:type="dxa"/>
          </w:tcPr>
          <w:p>
            <w:pPr>
              <w:pStyle w:val="TableParagraph"/>
              <w:rPr>
                <w:b/>
                <w:sz w:val="18"/>
              </w:rPr>
            </w:pPr>
          </w:p>
          <w:p>
            <w:pPr>
              <w:pStyle w:val="TableParagraph"/>
              <w:spacing w:before="190"/>
              <w:rPr>
                <w:b/>
                <w:sz w:val="18"/>
              </w:rPr>
            </w:pPr>
          </w:p>
          <w:p>
            <w:pPr>
              <w:pStyle w:val="TableParagraph"/>
              <w:ind w:left="10" w:right="3"/>
              <w:jc w:val="center"/>
              <w:rPr>
                <w:sz w:val="18"/>
              </w:rPr>
            </w:pPr>
            <w:r>
              <w:rPr>
                <w:spacing w:val="-10"/>
                <w:sz w:val="18"/>
              </w:rPr>
              <w:t>1</w:t>
            </w:r>
          </w:p>
        </w:tc>
        <w:tc>
          <w:tcPr>
            <w:tcW w:w="2040" w:type="dxa"/>
          </w:tcPr>
          <w:p>
            <w:pPr>
              <w:pStyle w:val="TableParagraph"/>
              <w:rPr>
                <w:b/>
                <w:sz w:val="18"/>
              </w:rPr>
            </w:pPr>
          </w:p>
          <w:p>
            <w:pPr>
              <w:pStyle w:val="TableParagraph"/>
              <w:spacing w:before="84"/>
              <w:rPr>
                <w:b/>
                <w:sz w:val="18"/>
              </w:rPr>
            </w:pPr>
          </w:p>
          <w:p>
            <w:pPr>
              <w:pStyle w:val="TableParagraph"/>
              <w:ind w:left="68"/>
              <w:rPr>
                <w:sz w:val="18"/>
              </w:rPr>
            </w:pPr>
            <w:r>
              <w:rPr>
                <w:sz w:val="18"/>
              </w:rPr>
              <w:t>Cantidad</w:t>
            </w:r>
            <w:r>
              <w:rPr>
                <w:spacing w:val="-15"/>
                <w:sz w:val="18"/>
              </w:rPr>
              <w:t> </w:t>
            </w:r>
            <w:r>
              <w:rPr>
                <w:sz w:val="18"/>
              </w:rPr>
              <w:t>de</w:t>
            </w:r>
            <w:r>
              <w:rPr>
                <w:spacing w:val="-12"/>
                <w:sz w:val="18"/>
              </w:rPr>
              <w:t> </w:t>
            </w:r>
            <w:r>
              <w:rPr>
                <w:sz w:val="18"/>
              </w:rPr>
              <w:t>informes aprobados por CD</w:t>
            </w:r>
          </w:p>
        </w:tc>
        <w:tc>
          <w:tcPr>
            <w:tcW w:w="1800" w:type="dxa"/>
          </w:tcPr>
          <w:p>
            <w:pPr>
              <w:pStyle w:val="TableParagraph"/>
              <w:spacing w:before="185"/>
              <w:rPr>
                <w:b/>
                <w:sz w:val="18"/>
              </w:rPr>
            </w:pPr>
          </w:p>
          <w:p>
            <w:pPr>
              <w:pStyle w:val="TableParagraph"/>
              <w:spacing w:line="242" w:lineRule="auto"/>
              <w:ind w:left="73" w:right="249"/>
              <w:rPr>
                <w:sz w:val="18"/>
              </w:rPr>
            </w:pPr>
            <w:r>
              <w:rPr>
                <w:sz w:val="18"/>
              </w:rPr>
              <w:t>Minuta de aprobación</w:t>
            </w:r>
            <w:r>
              <w:rPr>
                <w:spacing w:val="-13"/>
                <w:sz w:val="18"/>
              </w:rPr>
              <w:t> </w:t>
            </w:r>
            <w:r>
              <w:rPr>
                <w:sz w:val="18"/>
              </w:rPr>
              <w:t>de </w:t>
            </w:r>
            <w:r>
              <w:rPr>
                <w:spacing w:val="-2"/>
                <w:sz w:val="18"/>
              </w:rPr>
              <w:t>informe</w:t>
            </w:r>
          </w:p>
        </w:tc>
        <w:tc>
          <w:tcPr>
            <w:tcW w:w="1623" w:type="dxa"/>
          </w:tcPr>
          <w:p>
            <w:pPr>
              <w:pStyle w:val="TableParagraph"/>
              <w:rPr>
                <w:b/>
                <w:sz w:val="18"/>
              </w:rPr>
            </w:pPr>
          </w:p>
          <w:p>
            <w:pPr>
              <w:pStyle w:val="TableParagraph"/>
              <w:spacing w:before="190"/>
              <w:rPr>
                <w:b/>
                <w:sz w:val="18"/>
              </w:rPr>
            </w:pPr>
          </w:p>
          <w:p>
            <w:pPr>
              <w:pStyle w:val="TableParagraph"/>
              <w:ind w:left="69"/>
              <w:rPr>
                <w:sz w:val="18"/>
              </w:rPr>
            </w:pPr>
            <w:r>
              <w:rPr>
                <w:spacing w:val="-5"/>
                <w:sz w:val="18"/>
              </w:rPr>
              <w:t>GG</w:t>
            </w:r>
          </w:p>
        </w:tc>
        <w:tc>
          <w:tcPr>
            <w:tcW w:w="1349" w:type="dxa"/>
          </w:tcPr>
          <w:p>
            <w:pPr>
              <w:pStyle w:val="TableParagraph"/>
              <w:rPr>
                <w:rFonts w:ascii="Times New Roman"/>
                <w:sz w:val="18"/>
              </w:rPr>
            </w:pPr>
          </w:p>
        </w:tc>
        <w:tc>
          <w:tcPr>
            <w:tcW w:w="1695" w:type="dxa"/>
            <w:vMerge/>
            <w:tcBorders>
              <w:top w:val="nil"/>
            </w:tcBorders>
          </w:tcPr>
          <w:p>
            <w:pPr>
              <w:rPr>
                <w:sz w:val="2"/>
                <w:szCs w:val="2"/>
              </w:rPr>
            </w:pPr>
          </w:p>
        </w:tc>
      </w:tr>
      <w:tr>
        <w:trPr>
          <w:trHeight w:val="1411" w:hRule="atLeast"/>
        </w:trPr>
        <w:tc>
          <w:tcPr>
            <w:tcW w:w="2247" w:type="dxa"/>
          </w:tcPr>
          <w:p>
            <w:pPr>
              <w:pStyle w:val="TableParagraph"/>
              <w:spacing w:before="186"/>
              <w:ind w:left="72"/>
              <w:rPr>
                <w:sz w:val="18"/>
              </w:rPr>
            </w:pPr>
            <w:r>
              <w:rPr>
                <w:b/>
                <w:sz w:val="18"/>
              </w:rPr>
              <w:t>Actividad PAC 2.2.7: </w:t>
            </w:r>
            <w:r>
              <w:rPr>
                <w:sz w:val="18"/>
              </w:rPr>
              <w:t>Solicitud de acciones a unidades</w:t>
            </w:r>
            <w:r>
              <w:rPr>
                <w:spacing w:val="-12"/>
                <w:sz w:val="18"/>
              </w:rPr>
              <w:t> </w:t>
            </w:r>
            <w:r>
              <w:rPr>
                <w:sz w:val="18"/>
              </w:rPr>
              <w:t>del</w:t>
            </w:r>
            <w:r>
              <w:rPr>
                <w:spacing w:val="-9"/>
                <w:sz w:val="18"/>
              </w:rPr>
              <w:t> </w:t>
            </w:r>
            <w:r>
              <w:rPr>
                <w:sz w:val="18"/>
              </w:rPr>
              <w:t>Equipo</w:t>
            </w:r>
            <w:r>
              <w:rPr>
                <w:spacing w:val="-12"/>
                <w:sz w:val="18"/>
              </w:rPr>
              <w:t> </w:t>
            </w:r>
            <w:r>
              <w:rPr>
                <w:sz w:val="18"/>
              </w:rPr>
              <w:t>con atrasos en el plan de acción GpRD</w:t>
            </w:r>
          </w:p>
        </w:tc>
        <w:tc>
          <w:tcPr>
            <w:tcW w:w="1723" w:type="dxa"/>
          </w:tcPr>
          <w:p>
            <w:pPr>
              <w:pStyle w:val="TableParagraph"/>
              <w:rPr>
                <w:b/>
                <w:sz w:val="18"/>
              </w:rPr>
            </w:pPr>
          </w:p>
          <w:p>
            <w:pPr>
              <w:pStyle w:val="TableParagraph"/>
              <w:spacing w:before="185"/>
              <w:rPr>
                <w:b/>
                <w:sz w:val="18"/>
              </w:rPr>
            </w:pPr>
          </w:p>
          <w:p>
            <w:pPr>
              <w:pStyle w:val="TableParagraph"/>
              <w:ind w:left="8" w:right="3"/>
              <w:jc w:val="center"/>
              <w:rPr>
                <w:sz w:val="18"/>
              </w:rPr>
            </w:pPr>
            <w:r>
              <w:rPr>
                <w:spacing w:val="-5"/>
                <w:sz w:val="18"/>
              </w:rPr>
              <w:t>ND</w:t>
            </w:r>
          </w:p>
        </w:tc>
        <w:tc>
          <w:tcPr>
            <w:tcW w:w="1843" w:type="dxa"/>
          </w:tcPr>
          <w:p>
            <w:pPr>
              <w:pStyle w:val="TableParagraph"/>
              <w:rPr>
                <w:b/>
                <w:sz w:val="18"/>
              </w:rPr>
            </w:pPr>
          </w:p>
          <w:p>
            <w:pPr>
              <w:pStyle w:val="TableParagraph"/>
              <w:spacing w:before="185"/>
              <w:rPr>
                <w:b/>
                <w:sz w:val="18"/>
              </w:rPr>
            </w:pPr>
          </w:p>
          <w:p>
            <w:pPr>
              <w:pStyle w:val="TableParagraph"/>
              <w:ind w:left="10" w:right="3"/>
              <w:jc w:val="center"/>
              <w:rPr>
                <w:sz w:val="18"/>
              </w:rPr>
            </w:pPr>
            <w:r>
              <w:rPr>
                <w:spacing w:val="-10"/>
                <w:sz w:val="18"/>
              </w:rPr>
              <w:t>1</w:t>
            </w:r>
          </w:p>
        </w:tc>
        <w:tc>
          <w:tcPr>
            <w:tcW w:w="2040" w:type="dxa"/>
          </w:tcPr>
          <w:p>
            <w:pPr>
              <w:pStyle w:val="TableParagraph"/>
              <w:rPr>
                <w:b/>
                <w:sz w:val="18"/>
              </w:rPr>
            </w:pPr>
          </w:p>
          <w:p>
            <w:pPr>
              <w:pStyle w:val="TableParagraph"/>
              <w:spacing w:before="84"/>
              <w:rPr>
                <w:b/>
                <w:sz w:val="18"/>
              </w:rPr>
            </w:pPr>
          </w:p>
          <w:p>
            <w:pPr>
              <w:pStyle w:val="TableParagraph"/>
              <w:ind w:left="68"/>
              <w:rPr>
                <w:sz w:val="18"/>
              </w:rPr>
            </w:pPr>
            <w:r>
              <w:rPr>
                <w:sz w:val="18"/>
              </w:rPr>
              <w:t>Cantidad</w:t>
            </w:r>
            <w:r>
              <w:rPr>
                <w:spacing w:val="-15"/>
                <w:sz w:val="18"/>
              </w:rPr>
              <w:t> </w:t>
            </w:r>
            <w:r>
              <w:rPr>
                <w:sz w:val="18"/>
              </w:rPr>
              <w:t>de</w:t>
            </w:r>
            <w:r>
              <w:rPr>
                <w:spacing w:val="-12"/>
                <w:sz w:val="18"/>
              </w:rPr>
              <w:t> </w:t>
            </w:r>
            <w:r>
              <w:rPr>
                <w:sz w:val="18"/>
              </w:rPr>
              <w:t>reuniones de realizadas</w:t>
            </w:r>
          </w:p>
        </w:tc>
        <w:tc>
          <w:tcPr>
            <w:tcW w:w="1800" w:type="dxa"/>
          </w:tcPr>
          <w:p>
            <w:pPr>
              <w:pStyle w:val="TableParagraph"/>
              <w:spacing w:before="185"/>
              <w:rPr>
                <w:b/>
                <w:sz w:val="18"/>
              </w:rPr>
            </w:pPr>
          </w:p>
          <w:p>
            <w:pPr>
              <w:pStyle w:val="TableParagraph"/>
              <w:spacing w:line="242" w:lineRule="auto" w:before="1"/>
              <w:ind w:left="73" w:right="249" w:firstLine="52"/>
              <w:rPr>
                <w:sz w:val="18"/>
              </w:rPr>
            </w:pPr>
            <w:r>
              <w:rPr>
                <w:sz w:val="18"/>
              </w:rPr>
              <w:t>Minuta con la solicitud</w:t>
            </w:r>
            <w:r>
              <w:rPr>
                <w:spacing w:val="-10"/>
                <w:sz w:val="18"/>
              </w:rPr>
              <w:t> </w:t>
            </w:r>
            <w:r>
              <w:rPr>
                <w:sz w:val="18"/>
              </w:rPr>
              <w:t>de</w:t>
            </w:r>
            <w:r>
              <w:rPr>
                <w:spacing w:val="-13"/>
                <w:sz w:val="18"/>
              </w:rPr>
              <w:t> </w:t>
            </w:r>
            <w:r>
              <w:rPr>
                <w:sz w:val="18"/>
              </w:rPr>
              <w:t>la</w:t>
            </w:r>
            <w:r>
              <w:rPr>
                <w:spacing w:val="-12"/>
                <w:sz w:val="18"/>
              </w:rPr>
              <w:t> </w:t>
            </w:r>
            <w:r>
              <w:rPr>
                <w:sz w:val="18"/>
              </w:rPr>
              <w:t>GG de atención</w:t>
            </w:r>
          </w:p>
        </w:tc>
        <w:tc>
          <w:tcPr>
            <w:tcW w:w="1623" w:type="dxa"/>
          </w:tcPr>
          <w:p>
            <w:pPr>
              <w:pStyle w:val="TableParagraph"/>
              <w:rPr>
                <w:b/>
                <w:sz w:val="18"/>
              </w:rPr>
            </w:pPr>
          </w:p>
          <w:p>
            <w:pPr>
              <w:pStyle w:val="TableParagraph"/>
              <w:spacing w:before="185"/>
              <w:rPr>
                <w:b/>
                <w:sz w:val="18"/>
              </w:rPr>
            </w:pPr>
          </w:p>
          <w:p>
            <w:pPr>
              <w:pStyle w:val="TableParagraph"/>
              <w:ind w:left="69"/>
              <w:rPr>
                <w:sz w:val="18"/>
              </w:rPr>
            </w:pPr>
            <w:r>
              <w:rPr>
                <w:spacing w:val="-5"/>
                <w:sz w:val="18"/>
              </w:rPr>
              <w:t>GG</w:t>
            </w:r>
          </w:p>
        </w:tc>
        <w:tc>
          <w:tcPr>
            <w:tcW w:w="1349" w:type="dxa"/>
          </w:tcPr>
          <w:p>
            <w:pPr>
              <w:pStyle w:val="TableParagraph"/>
              <w:rPr>
                <w:rFonts w:ascii="Times New Roman"/>
                <w:sz w:val="18"/>
              </w:rPr>
            </w:pPr>
          </w:p>
        </w:tc>
        <w:tc>
          <w:tcPr>
            <w:tcW w:w="1695" w:type="dxa"/>
            <w:vMerge/>
            <w:tcBorders>
              <w:top w:val="nil"/>
            </w:tcBorders>
          </w:tcPr>
          <w:p>
            <w:pPr>
              <w:rPr>
                <w:sz w:val="2"/>
                <w:szCs w:val="2"/>
              </w:rPr>
            </w:pPr>
          </w:p>
        </w:tc>
      </w:tr>
      <w:tr>
        <w:trPr>
          <w:trHeight w:val="1411" w:hRule="atLeast"/>
        </w:trPr>
        <w:tc>
          <w:tcPr>
            <w:tcW w:w="2247" w:type="dxa"/>
          </w:tcPr>
          <w:p>
            <w:pPr>
              <w:pStyle w:val="TableParagraph"/>
              <w:spacing w:before="186"/>
              <w:ind w:left="72" w:right="91"/>
              <w:rPr>
                <w:sz w:val="18"/>
              </w:rPr>
            </w:pPr>
            <w:r>
              <w:rPr>
                <w:b/>
                <w:sz w:val="18"/>
              </w:rPr>
              <w:t>Actividad PAC 2.2.8: </w:t>
            </w:r>
            <w:r>
              <w:rPr>
                <w:sz w:val="18"/>
              </w:rPr>
              <w:t>Análisis de informes con actores responsables de las</w:t>
            </w:r>
            <w:r>
              <w:rPr>
                <w:spacing w:val="-15"/>
                <w:sz w:val="18"/>
              </w:rPr>
              <w:t> </w:t>
            </w:r>
            <w:r>
              <w:rPr>
                <w:sz w:val="18"/>
              </w:rPr>
              <w:t>procesos</w:t>
            </w:r>
            <w:r>
              <w:rPr>
                <w:spacing w:val="-12"/>
                <w:sz w:val="18"/>
              </w:rPr>
              <w:t> </w:t>
            </w:r>
            <w:r>
              <w:rPr>
                <w:sz w:val="18"/>
              </w:rPr>
              <w:t>estratégicos y operativos.</w:t>
            </w:r>
          </w:p>
        </w:tc>
        <w:tc>
          <w:tcPr>
            <w:tcW w:w="1723" w:type="dxa"/>
          </w:tcPr>
          <w:p>
            <w:pPr>
              <w:pStyle w:val="TableParagraph"/>
              <w:rPr>
                <w:b/>
                <w:sz w:val="18"/>
              </w:rPr>
            </w:pPr>
          </w:p>
          <w:p>
            <w:pPr>
              <w:pStyle w:val="TableParagraph"/>
              <w:spacing w:before="185"/>
              <w:rPr>
                <w:b/>
                <w:sz w:val="18"/>
              </w:rPr>
            </w:pPr>
          </w:p>
          <w:p>
            <w:pPr>
              <w:pStyle w:val="TableParagraph"/>
              <w:ind w:left="8" w:right="3"/>
              <w:jc w:val="center"/>
              <w:rPr>
                <w:sz w:val="18"/>
              </w:rPr>
            </w:pPr>
            <w:r>
              <w:rPr>
                <w:spacing w:val="-5"/>
                <w:sz w:val="18"/>
              </w:rPr>
              <w:t>ND</w:t>
            </w:r>
          </w:p>
        </w:tc>
        <w:tc>
          <w:tcPr>
            <w:tcW w:w="1843" w:type="dxa"/>
          </w:tcPr>
          <w:p>
            <w:pPr>
              <w:pStyle w:val="TableParagraph"/>
              <w:rPr>
                <w:b/>
                <w:sz w:val="18"/>
              </w:rPr>
            </w:pPr>
          </w:p>
          <w:p>
            <w:pPr>
              <w:pStyle w:val="TableParagraph"/>
              <w:spacing w:before="185"/>
              <w:rPr>
                <w:b/>
                <w:sz w:val="18"/>
              </w:rPr>
            </w:pPr>
          </w:p>
          <w:p>
            <w:pPr>
              <w:pStyle w:val="TableParagraph"/>
              <w:ind w:left="10" w:right="3"/>
              <w:jc w:val="center"/>
              <w:rPr>
                <w:sz w:val="18"/>
              </w:rPr>
            </w:pPr>
            <w:r>
              <w:rPr>
                <w:spacing w:val="-10"/>
                <w:sz w:val="18"/>
              </w:rPr>
              <w:t>4</w:t>
            </w:r>
          </w:p>
        </w:tc>
        <w:tc>
          <w:tcPr>
            <w:tcW w:w="2040" w:type="dxa"/>
          </w:tcPr>
          <w:p>
            <w:pPr>
              <w:pStyle w:val="TableParagraph"/>
              <w:rPr>
                <w:b/>
                <w:sz w:val="18"/>
              </w:rPr>
            </w:pPr>
          </w:p>
          <w:p>
            <w:pPr>
              <w:pStyle w:val="TableParagraph"/>
              <w:spacing w:before="84"/>
              <w:rPr>
                <w:b/>
                <w:sz w:val="18"/>
              </w:rPr>
            </w:pPr>
          </w:p>
          <w:p>
            <w:pPr>
              <w:pStyle w:val="TableParagraph"/>
              <w:ind w:left="68"/>
              <w:rPr>
                <w:sz w:val="18"/>
              </w:rPr>
            </w:pPr>
            <w:r>
              <w:rPr>
                <w:sz w:val="18"/>
              </w:rPr>
              <w:t>Número</w:t>
            </w:r>
            <w:r>
              <w:rPr>
                <w:spacing w:val="-11"/>
                <w:sz w:val="18"/>
              </w:rPr>
              <w:t> </w:t>
            </w:r>
            <w:r>
              <w:rPr>
                <w:sz w:val="18"/>
              </w:rPr>
              <w:t>de</w:t>
            </w:r>
            <w:r>
              <w:rPr>
                <w:spacing w:val="-10"/>
                <w:sz w:val="18"/>
              </w:rPr>
              <w:t> </w:t>
            </w:r>
            <w:r>
              <w:rPr>
                <w:sz w:val="18"/>
              </w:rPr>
              <w:t>sesiones</w:t>
            </w:r>
            <w:r>
              <w:rPr>
                <w:spacing w:val="-13"/>
                <w:sz w:val="18"/>
              </w:rPr>
              <w:t> </w:t>
            </w:r>
            <w:r>
              <w:rPr>
                <w:sz w:val="18"/>
              </w:rPr>
              <w:t>de </w:t>
            </w:r>
            <w:r>
              <w:rPr>
                <w:spacing w:val="-2"/>
                <w:sz w:val="18"/>
              </w:rPr>
              <w:t>análisis</w:t>
            </w:r>
          </w:p>
        </w:tc>
        <w:tc>
          <w:tcPr>
            <w:tcW w:w="1800" w:type="dxa"/>
          </w:tcPr>
          <w:p>
            <w:pPr>
              <w:pStyle w:val="TableParagraph"/>
              <w:spacing w:before="85"/>
              <w:rPr>
                <w:b/>
                <w:sz w:val="18"/>
              </w:rPr>
            </w:pPr>
          </w:p>
          <w:p>
            <w:pPr>
              <w:pStyle w:val="TableParagraph"/>
              <w:ind w:left="73" w:right="297" w:firstLine="52"/>
              <w:jc w:val="both"/>
              <w:rPr>
                <w:sz w:val="18"/>
              </w:rPr>
            </w:pPr>
            <w:r>
              <w:rPr>
                <w:sz w:val="18"/>
              </w:rPr>
              <w:t>Pantallazo de la convocatoria a la reunión o minuta cuando</w:t>
            </w:r>
            <w:r>
              <w:rPr>
                <w:spacing w:val="-3"/>
                <w:sz w:val="18"/>
              </w:rPr>
              <w:t> </w:t>
            </w:r>
            <w:r>
              <w:rPr>
                <w:sz w:val="18"/>
              </w:rPr>
              <w:t>se</w:t>
            </w:r>
            <w:r>
              <w:rPr>
                <w:spacing w:val="-2"/>
                <w:sz w:val="18"/>
              </w:rPr>
              <w:t> realice</w:t>
            </w:r>
          </w:p>
        </w:tc>
        <w:tc>
          <w:tcPr>
            <w:tcW w:w="1623" w:type="dxa"/>
          </w:tcPr>
          <w:p>
            <w:pPr>
              <w:pStyle w:val="TableParagraph"/>
              <w:rPr>
                <w:rFonts w:ascii="Times New Roman"/>
                <w:sz w:val="18"/>
              </w:rPr>
            </w:pPr>
          </w:p>
        </w:tc>
        <w:tc>
          <w:tcPr>
            <w:tcW w:w="1349" w:type="dxa"/>
          </w:tcPr>
          <w:p>
            <w:pPr>
              <w:pStyle w:val="TableParagraph"/>
              <w:rPr>
                <w:rFonts w:ascii="Times New Roman"/>
                <w:sz w:val="18"/>
              </w:rPr>
            </w:pPr>
          </w:p>
        </w:tc>
        <w:tc>
          <w:tcPr>
            <w:tcW w:w="1695" w:type="dxa"/>
          </w:tcPr>
          <w:p>
            <w:pPr>
              <w:pStyle w:val="TableParagraph"/>
              <w:rPr>
                <w:rFonts w:ascii="Times New Roman"/>
                <w:sz w:val="18"/>
              </w:rPr>
            </w:pPr>
          </w:p>
        </w:tc>
      </w:tr>
      <w:tr>
        <w:trPr>
          <w:trHeight w:val="840" w:hRule="atLeast"/>
        </w:trPr>
        <w:tc>
          <w:tcPr>
            <w:tcW w:w="14320" w:type="dxa"/>
            <w:gridSpan w:val="8"/>
            <w:shd w:val="clear" w:color="auto" w:fill="EFF8F9"/>
          </w:tcPr>
          <w:p>
            <w:pPr>
              <w:pStyle w:val="TableParagraph"/>
              <w:spacing w:before="109"/>
              <w:rPr>
                <w:b/>
                <w:sz w:val="18"/>
              </w:rPr>
            </w:pPr>
          </w:p>
          <w:p>
            <w:pPr>
              <w:pStyle w:val="TableParagraph"/>
              <w:ind w:left="72"/>
              <w:rPr>
                <w:b/>
                <w:sz w:val="18"/>
              </w:rPr>
            </w:pPr>
            <w:r>
              <w:rPr>
                <w:b/>
                <w:sz w:val="18"/>
              </w:rPr>
              <w:t>Producto</w:t>
            </w:r>
            <w:r>
              <w:rPr>
                <w:b/>
                <w:spacing w:val="-8"/>
                <w:sz w:val="18"/>
              </w:rPr>
              <w:t> </w:t>
            </w:r>
            <w:r>
              <w:rPr>
                <w:b/>
                <w:sz w:val="18"/>
              </w:rPr>
              <w:t>PAC</w:t>
            </w:r>
            <w:r>
              <w:rPr>
                <w:b/>
                <w:spacing w:val="-9"/>
                <w:sz w:val="18"/>
              </w:rPr>
              <w:t> </w:t>
            </w:r>
            <w:r>
              <w:rPr>
                <w:b/>
                <w:sz w:val="18"/>
              </w:rPr>
              <w:t>2.3:</w:t>
            </w:r>
            <w:r>
              <w:rPr>
                <w:b/>
                <w:spacing w:val="43"/>
                <w:sz w:val="18"/>
              </w:rPr>
              <w:t> </w:t>
            </w:r>
            <w:r>
              <w:rPr>
                <w:b/>
                <w:sz w:val="18"/>
              </w:rPr>
              <w:t>Plan</w:t>
            </w:r>
            <w:r>
              <w:rPr>
                <w:b/>
                <w:spacing w:val="-8"/>
                <w:sz w:val="18"/>
              </w:rPr>
              <w:t> </w:t>
            </w:r>
            <w:r>
              <w:rPr>
                <w:b/>
                <w:sz w:val="18"/>
              </w:rPr>
              <w:t>de</w:t>
            </w:r>
            <w:r>
              <w:rPr>
                <w:b/>
                <w:spacing w:val="-3"/>
                <w:sz w:val="18"/>
              </w:rPr>
              <w:t> </w:t>
            </w:r>
            <w:r>
              <w:rPr>
                <w:b/>
                <w:sz w:val="18"/>
              </w:rPr>
              <w:t>acción</w:t>
            </w:r>
            <w:r>
              <w:rPr>
                <w:b/>
                <w:spacing w:val="-11"/>
                <w:sz w:val="18"/>
              </w:rPr>
              <w:t> </w:t>
            </w:r>
            <w:r>
              <w:rPr>
                <w:b/>
                <w:sz w:val="18"/>
              </w:rPr>
              <w:t>institucional</w:t>
            </w:r>
            <w:r>
              <w:rPr>
                <w:b/>
                <w:spacing w:val="-5"/>
                <w:sz w:val="18"/>
              </w:rPr>
              <w:t> </w:t>
            </w:r>
            <w:r>
              <w:rPr>
                <w:b/>
                <w:sz w:val="18"/>
              </w:rPr>
              <w:t>de</w:t>
            </w:r>
            <w:r>
              <w:rPr>
                <w:b/>
                <w:spacing w:val="-7"/>
                <w:sz w:val="18"/>
              </w:rPr>
              <w:t> </w:t>
            </w:r>
            <w:r>
              <w:rPr>
                <w:b/>
                <w:sz w:val="18"/>
              </w:rPr>
              <w:t>inversión</w:t>
            </w:r>
            <w:r>
              <w:rPr>
                <w:b/>
                <w:spacing w:val="-7"/>
                <w:sz w:val="18"/>
              </w:rPr>
              <w:t> </w:t>
            </w:r>
            <w:r>
              <w:rPr>
                <w:b/>
                <w:sz w:val="18"/>
              </w:rPr>
              <w:t>en</w:t>
            </w:r>
            <w:r>
              <w:rPr>
                <w:b/>
                <w:spacing w:val="-4"/>
                <w:sz w:val="18"/>
              </w:rPr>
              <w:t> </w:t>
            </w:r>
            <w:r>
              <w:rPr>
                <w:b/>
                <w:sz w:val="18"/>
              </w:rPr>
              <w:t>herramientas</w:t>
            </w:r>
            <w:r>
              <w:rPr>
                <w:b/>
                <w:spacing w:val="-6"/>
                <w:sz w:val="18"/>
              </w:rPr>
              <w:t> </w:t>
            </w:r>
            <w:r>
              <w:rPr>
                <w:b/>
                <w:sz w:val="18"/>
              </w:rPr>
              <w:t>tecnológicas</w:t>
            </w:r>
            <w:r>
              <w:rPr>
                <w:b/>
                <w:spacing w:val="-7"/>
                <w:sz w:val="18"/>
              </w:rPr>
              <w:t> </w:t>
            </w:r>
            <w:r>
              <w:rPr>
                <w:b/>
                <w:sz w:val="18"/>
              </w:rPr>
              <w:t>con</w:t>
            </w:r>
            <w:r>
              <w:rPr>
                <w:b/>
                <w:spacing w:val="-8"/>
                <w:sz w:val="18"/>
              </w:rPr>
              <w:t> </w:t>
            </w:r>
            <w:r>
              <w:rPr>
                <w:b/>
                <w:sz w:val="18"/>
              </w:rPr>
              <w:t>seguimiento</w:t>
            </w:r>
            <w:r>
              <w:rPr>
                <w:b/>
                <w:spacing w:val="-3"/>
                <w:sz w:val="18"/>
              </w:rPr>
              <w:t> </w:t>
            </w:r>
            <w:r>
              <w:rPr>
                <w:b/>
                <w:sz w:val="18"/>
              </w:rPr>
              <w:t>semestral E1</w:t>
            </w:r>
            <w:r>
              <w:rPr>
                <w:b/>
                <w:spacing w:val="-3"/>
                <w:sz w:val="18"/>
              </w:rPr>
              <w:t> </w:t>
            </w:r>
            <w:r>
              <w:rPr>
                <w:b/>
                <w:sz w:val="18"/>
              </w:rPr>
              <w:t>AE13</w:t>
            </w:r>
            <w:r>
              <w:rPr>
                <w:b/>
                <w:spacing w:val="-7"/>
                <w:sz w:val="18"/>
              </w:rPr>
              <w:t> </w:t>
            </w:r>
            <w:r>
              <w:rPr>
                <w:b/>
                <w:spacing w:val="-5"/>
                <w:sz w:val="18"/>
              </w:rPr>
              <w:t>R3</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47"/>
        <w:gridCol w:w="1723"/>
        <w:gridCol w:w="1843"/>
        <w:gridCol w:w="2040"/>
        <w:gridCol w:w="1800"/>
        <w:gridCol w:w="1623"/>
        <w:gridCol w:w="1349"/>
        <w:gridCol w:w="1695"/>
      </w:tblGrid>
      <w:tr>
        <w:trPr>
          <w:trHeight w:val="1229" w:hRule="atLeast"/>
        </w:trPr>
        <w:tc>
          <w:tcPr>
            <w:tcW w:w="2247" w:type="dxa"/>
            <w:shd w:val="clear" w:color="auto" w:fill="F1F1F1"/>
          </w:tcPr>
          <w:p>
            <w:pPr>
              <w:pStyle w:val="TableParagraph"/>
              <w:rPr>
                <w:b/>
                <w:sz w:val="18"/>
              </w:rPr>
            </w:pPr>
          </w:p>
          <w:p>
            <w:pPr>
              <w:pStyle w:val="TableParagraph"/>
              <w:spacing w:before="98"/>
              <w:rPr>
                <w:b/>
                <w:sz w:val="18"/>
              </w:rPr>
            </w:pPr>
          </w:p>
          <w:p>
            <w:pPr>
              <w:pStyle w:val="TableParagraph"/>
              <w:ind w:left="72"/>
              <w:rPr>
                <w:b/>
                <w:sz w:val="18"/>
              </w:rPr>
            </w:pPr>
            <w:r>
              <w:rPr>
                <w:b/>
                <w:sz w:val="18"/>
              </w:rPr>
              <w:t>Objetivos</w:t>
            </w:r>
            <w:r>
              <w:rPr>
                <w:b/>
                <w:spacing w:val="-5"/>
                <w:sz w:val="18"/>
              </w:rPr>
              <w:t> </w:t>
            </w:r>
            <w:r>
              <w:rPr>
                <w:b/>
                <w:sz w:val="18"/>
              </w:rPr>
              <w:t>/</w:t>
            </w:r>
            <w:r>
              <w:rPr>
                <w:b/>
                <w:spacing w:val="-2"/>
                <w:sz w:val="18"/>
              </w:rPr>
              <w:t> Resultados</w:t>
            </w:r>
          </w:p>
        </w:tc>
        <w:tc>
          <w:tcPr>
            <w:tcW w:w="1723" w:type="dxa"/>
            <w:shd w:val="clear" w:color="auto" w:fill="F1F1F1"/>
          </w:tcPr>
          <w:p>
            <w:pPr>
              <w:pStyle w:val="TableParagraph"/>
              <w:rPr>
                <w:b/>
                <w:sz w:val="18"/>
              </w:rPr>
            </w:pPr>
          </w:p>
          <w:p>
            <w:pPr>
              <w:pStyle w:val="TableParagraph"/>
              <w:spacing w:before="98"/>
              <w:rPr>
                <w:b/>
                <w:sz w:val="18"/>
              </w:rPr>
            </w:pPr>
          </w:p>
          <w:p>
            <w:pPr>
              <w:pStyle w:val="TableParagraph"/>
              <w:ind w:left="8" w:right="5"/>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843" w:type="dxa"/>
            <w:shd w:val="clear" w:color="auto" w:fill="F1F1F1"/>
          </w:tcPr>
          <w:p>
            <w:pPr>
              <w:pStyle w:val="TableParagraph"/>
              <w:spacing w:before="199"/>
              <w:rPr>
                <w:b/>
                <w:sz w:val="18"/>
              </w:rPr>
            </w:pPr>
          </w:p>
          <w:p>
            <w:pPr>
              <w:pStyle w:val="TableParagraph"/>
              <w:spacing w:before="1"/>
              <w:ind w:left="720" w:right="49" w:hanging="552"/>
              <w:rPr>
                <w:b/>
                <w:sz w:val="18"/>
              </w:rPr>
            </w:pPr>
            <w:r>
              <w:rPr>
                <w:b/>
                <w:sz w:val="18"/>
              </w:rPr>
              <w:t>Meta</w:t>
            </w:r>
            <w:r>
              <w:rPr>
                <w:b/>
                <w:spacing w:val="-13"/>
                <w:sz w:val="18"/>
              </w:rPr>
              <w:t> </w:t>
            </w:r>
            <w:r>
              <w:rPr>
                <w:b/>
                <w:sz w:val="18"/>
              </w:rPr>
              <w:t>programada </w:t>
            </w:r>
            <w:r>
              <w:rPr>
                <w:b/>
                <w:spacing w:val="-4"/>
                <w:sz w:val="18"/>
              </w:rPr>
              <w:t>2026</w:t>
            </w:r>
          </w:p>
        </w:tc>
        <w:tc>
          <w:tcPr>
            <w:tcW w:w="2040" w:type="dxa"/>
            <w:shd w:val="clear" w:color="auto" w:fill="F1F1F1"/>
          </w:tcPr>
          <w:p>
            <w:pPr>
              <w:pStyle w:val="TableParagraph"/>
              <w:rPr>
                <w:b/>
                <w:sz w:val="18"/>
              </w:rPr>
            </w:pPr>
          </w:p>
          <w:p>
            <w:pPr>
              <w:pStyle w:val="TableParagraph"/>
              <w:spacing w:before="98"/>
              <w:rPr>
                <w:b/>
                <w:sz w:val="18"/>
              </w:rPr>
            </w:pPr>
          </w:p>
          <w:p>
            <w:pPr>
              <w:pStyle w:val="TableParagraph"/>
              <w:ind w:left="611"/>
              <w:rPr>
                <w:b/>
                <w:sz w:val="18"/>
              </w:rPr>
            </w:pPr>
            <w:r>
              <w:rPr>
                <w:b/>
                <w:spacing w:val="-2"/>
                <w:sz w:val="18"/>
              </w:rPr>
              <w:t>Indicador</w:t>
            </w:r>
          </w:p>
        </w:tc>
        <w:tc>
          <w:tcPr>
            <w:tcW w:w="1800" w:type="dxa"/>
            <w:shd w:val="clear" w:color="auto" w:fill="F1F1F1"/>
          </w:tcPr>
          <w:p>
            <w:pPr>
              <w:pStyle w:val="TableParagraph"/>
              <w:spacing w:before="199"/>
              <w:rPr>
                <w:b/>
                <w:sz w:val="18"/>
              </w:rPr>
            </w:pPr>
          </w:p>
          <w:p>
            <w:pPr>
              <w:pStyle w:val="TableParagraph"/>
              <w:spacing w:before="1"/>
              <w:ind w:left="400" w:right="249" w:firstLine="57"/>
              <w:rPr>
                <w:b/>
                <w:sz w:val="18"/>
              </w:rPr>
            </w:pPr>
            <w:r>
              <w:rPr>
                <w:b/>
                <w:sz w:val="18"/>
              </w:rPr>
              <w:t>Medios de </w:t>
            </w:r>
            <w:r>
              <w:rPr>
                <w:b/>
                <w:spacing w:val="-2"/>
                <w:sz w:val="18"/>
              </w:rPr>
              <w:t>verificación</w:t>
            </w:r>
          </w:p>
        </w:tc>
        <w:tc>
          <w:tcPr>
            <w:tcW w:w="1623" w:type="dxa"/>
            <w:shd w:val="clear" w:color="auto" w:fill="F1F1F1"/>
          </w:tcPr>
          <w:p>
            <w:pPr>
              <w:pStyle w:val="TableParagraph"/>
              <w:rPr>
                <w:b/>
                <w:sz w:val="18"/>
              </w:rPr>
            </w:pPr>
          </w:p>
          <w:p>
            <w:pPr>
              <w:pStyle w:val="TableParagraph"/>
              <w:spacing w:before="98"/>
              <w:rPr>
                <w:b/>
                <w:sz w:val="18"/>
              </w:rPr>
            </w:pPr>
          </w:p>
          <w:p>
            <w:pPr>
              <w:pStyle w:val="TableParagraph"/>
              <w:ind w:left="251"/>
              <w:rPr>
                <w:b/>
                <w:sz w:val="18"/>
              </w:rPr>
            </w:pPr>
            <w:r>
              <w:rPr>
                <w:b/>
                <w:spacing w:val="-2"/>
                <w:sz w:val="18"/>
              </w:rPr>
              <w:t>Responsable</w:t>
            </w:r>
          </w:p>
        </w:tc>
        <w:tc>
          <w:tcPr>
            <w:tcW w:w="1349" w:type="dxa"/>
            <w:shd w:val="clear" w:color="auto" w:fill="F1F1F1"/>
          </w:tcPr>
          <w:p>
            <w:pPr>
              <w:pStyle w:val="TableParagraph"/>
              <w:spacing w:before="199"/>
              <w:rPr>
                <w:b/>
                <w:sz w:val="18"/>
              </w:rPr>
            </w:pPr>
          </w:p>
          <w:p>
            <w:pPr>
              <w:pStyle w:val="TableParagraph"/>
              <w:spacing w:before="1"/>
              <w:ind w:left="280" w:hanging="154"/>
              <w:rPr>
                <w:b/>
                <w:sz w:val="18"/>
              </w:rPr>
            </w:pPr>
            <w:r>
              <w:rPr>
                <w:b/>
                <w:spacing w:val="-2"/>
                <w:sz w:val="18"/>
              </w:rPr>
              <w:t>Presupuesto asignado</w:t>
            </w:r>
          </w:p>
        </w:tc>
        <w:tc>
          <w:tcPr>
            <w:tcW w:w="1695" w:type="dxa"/>
            <w:shd w:val="clear" w:color="auto" w:fill="F1F1F1"/>
          </w:tcPr>
          <w:p>
            <w:pPr>
              <w:pStyle w:val="TableParagraph"/>
              <w:spacing w:before="99"/>
              <w:rPr>
                <w:b/>
                <w:sz w:val="18"/>
              </w:rPr>
            </w:pPr>
          </w:p>
          <w:p>
            <w:pPr>
              <w:pStyle w:val="TableParagraph"/>
              <w:ind w:left="74" w:right="103"/>
              <w:rPr>
                <w:b/>
                <w:sz w:val="18"/>
              </w:rPr>
            </w:pPr>
            <w:r>
              <w:rPr>
                <w:b/>
                <w:spacing w:val="-2"/>
                <w:sz w:val="18"/>
              </w:rPr>
              <w:t>Riesgos </w:t>
            </w:r>
            <w:r>
              <w:rPr>
                <w:b/>
                <w:sz w:val="18"/>
              </w:rPr>
              <w:t>asociados al </w:t>
            </w:r>
            <w:r>
              <w:rPr>
                <w:b/>
                <w:spacing w:val="-2"/>
                <w:sz w:val="18"/>
              </w:rPr>
              <w:t>cumplimiento</w:t>
            </w:r>
          </w:p>
        </w:tc>
      </w:tr>
      <w:tr>
        <w:trPr>
          <w:trHeight w:val="1771" w:hRule="atLeast"/>
        </w:trPr>
        <w:tc>
          <w:tcPr>
            <w:tcW w:w="2247" w:type="dxa"/>
          </w:tcPr>
          <w:p>
            <w:pPr>
              <w:pStyle w:val="TableParagraph"/>
              <w:spacing w:before="162"/>
              <w:ind w:left="72" w:right="42"/>
              <w:rPr>
                <w:sz w:val="18"/>
              </w:rPr>
            </w:pPr>
            <w:r>
              <w:rPr>
                <w:b/>
                <w:sz w:val="18"/>
              </w:rPr>
              <w:t>Actividad PAC 2.3.1: </w:t>
            </w:r>
            <w:r>
              <w:rPr>
                <w:sz w:val="18"/>
              </w:rPr>
              <w:t>Emisión</w:t>
            </w:r>
            <w:r>
              <w:rPr>
                <w:spacing w:val="-9"/>
                <w:sz w:val="18"/>
              </w:rPr>
              <w:t> </w:t>
            </w:r>
            <w:r>
              <w:rPr>
                <w:sz w:val="18"/>
              </w:rPr>
              <w:t>de</w:t>
            </w:r>
            <w:r>
              <w:rPr>
                <w:spacing w:val="-9"/>
                <w:sz w:val="18"/>
              </w:rPr>
              <w:t> </w:t>
            </w:r>
            <w:r>
              <w:rPr>
                <w:sz w:val="18"/>
              </w:rPr>
              <w:t>oficio</w:t>
            </w:r>
            <w:r>
              <w:rPr>
                <w:spacing w:val="-9"/>
                <w:sz w:val="18"/>
              </w:rPr>
              <w:t> </w:t>
            </w:r>
            <w:r>
              <w:rPr>
                <w:sz w:val="18"/>
              </w:rPr>
              <w:t>para</w:t>
            </w:r>
            <w:r>
              <w:rPr>
                <w:spacing w:val="-12"/>
                <w:sz w:val="18"/>
              </w:rPr>
              <w:t> </w:t>
            </w:r>
            <w:r>
              <w:rPr>
                <w:sz w:val="18"/>
              </w:rPr>
              <w:t>dar a conocer los</w:t>
            </w:r>
            <w:r>
              <w:rPr>
                <w:spacing w:val="-2"/>
                <w:sz w:val="18"/>
              </w:rPr>
              <w:t> </w:t>
            </w:r>
            <w:r>
              <w:rPr>
                <w:sz w:val="18"/>
              </w:rPr>
              <w:t>avances</w:t>
            </w:r>
            <w:r>
              <w:rPr>
                <w:spacing w:val="-2"/>
                <w:sz w:val="18"/>
              </w:rPr>
              <w:t> </w:t>
            </w:r>
            <w:r>
              <w:rPr>
                <w:sz w:val="18"/>
              </w:rPr>
              <w:t>en la ejecución del plan de acción institucional de inversión</w:t>
            </w:r>
            <w:r>
              <w:rPr>
                <w:spacing w:val="-15"/>
                <w:sz w:val="18"/>
              </w:rPr>
              <w:t> </w:t>
            </w:r>
            <w:r>
              <w:rPr>
                <w:sz w:val="18"/>
              </w:rPr>
              <w:t>en</w:t>
            </w:r>
            <w:r>
              <w:rPr>
                <w:spacing w:val="-12"/>
                <w:sz w:val="18"/>
              </w:rPr>
              <w:t> </w:t>
            </w:r>
            <w:r>
              <w:rPr>
                <w:sz w:val="18"/>
              </w:rPr>
              <w:t>herramientas </w:t>
            </w:r>
            <w:r>
              <w:rPr>
                <w:spacing w:val="-2"/>
                <w:sz w:val="18"/>
              </w:rPr>
              <w:t>tecnológicas</w:t>
            </w:r>
          </w:p>
        </w:tc>
        <w:tc>
          <w:tcPr>
            <w:tcW w:w="1723" w:type="dxa"/>
          </w:tcPr>
          <w:p>
            <w:pPr>
              <w:pStyle w:val="TableParagraph"/>
              <w:rPr>
                <w:b/>
                <w:sz w:val="18"/>
              </w:rPr>
            </w:pPr>
          </w:p>
          <w:p>
            <w:pPr>
              <w:pStyle w:val="TableParagraph"/>
              <w:rPr>
                <w:b/>
                <w:sz w:val="18"/>
              </w:rPr>
            </w:pPr>
          </w:p>
          <w:p>
            <w:pPr>
              <w:pStyle w:val="TableParagraph"/>
              <w:spacing w:before="160"/>
              <w:rPr>
                <w:b/>
                <w:sz w:val="18"/>
              </w:rPr>
            </w:pPr>
          </w:p>
          <w:p>
            <w:pPr>
              <w:pStyle w:val="TableParagraph"/>
              <w:ind w:left="8" w:right="7"/>
              <w:jc w:val="center"/>
              <w:rPr>
                <w:sz w:val="18"/>
              </w:rPr>
            </w:pPr>
            <w:r>
              <w:rPr>
                <w:spacing w:val="-10"/>
                <w:sz w:val="18"/>
              </w:rPr>
              <w:t>1</w:t>
            </w:r>
          </w:p>
        </w:tc>
        <w:tc>
          <w:tcPr>
            <w:tcW w:w="1843" w:type="dxa"/>
          </w:tcPr>
          <w:p>
            <w:pPr>
              <w:pStyle w:val="TableParagraph"/>
              <w:rPr>
                <w:b/>
                <w:sz w:val="18"/>
              </w:rPr>
            </w:pPr>
          </w:p>
          <w:p>
            <w:pPr>
              <w:pStyle w:val="TableParagraph"/>
              <w:rPr>
                <w:b/>
                <w:sz w:val="18"/>
              </w:rPr>
            </w:pPr>
          </w:p>
          <w:p>
            <w:pPr>
              <w:pStyle w:val="TableParagraph"/>
              <w:spacing w:before="160"/>
              <w:rPr>
                <w:b/>
                <w:sz w:val="18"/>
              </w:rPr>
            </w:pPr>
          </w:p>
          <w:p>
            <w:pPr>
              <w:pStyle w:val="TableParagraph"/>
              <w:ind w:left="10" w:right="3"/>
              <w:jc w:val="center"/>
              <w:rPr>
                <w:sz w:val="18"/>
              </w:rPr>
            </w:pPr>
            <w:r>
              <w:rPr>
                <w:spacing w:val="-10"/>
                <w:sz w:val="18"/>
              </w:rPr>
              <w:t>2</w:t>
            </w:r>
          </w:p>
        </w:tc>
        <w:tc>
          <w:tcPr>
            <w:tcW w:w="2040" w:type="dxa"/>
          </w:tcPr>
          <w:p>
            <w:pPr>
              <w:pStyle w:val="TableParagraph"/>
              <w:rPr>
                <w:b/>
                <w:sz w:val="18"/>
              </w:rPr>
            </w:pPr>
          </w:p>
          <w:p>
            <w:pPr>
              <w:pStyle w:val="TableParagraph"/>
              <w:spacing w:before="161"/>
              <w:rPr>
                <w:b/>
                <w:sz w:val="18"/>
              </w:rPr>
            </w:pPr>
          </w:p>
          <w:p>
            <w:pPr>
              <w:pStyle w:val="TableParagraph"/>
              <w:ind w:left="68" w:right="144"/>
              <w:rPr>
                <w:sz w:val="18"/>
              </w:rPr>
            </w:pPr>
            <w:r>
              <w:rPr>
                <w:sz w:val="18"/>
              </w:rPr>
              <w:t>Cantidad de </w:t>
            </w:r>
            <w:r>
              <w:rPr>
                <w:spacing w:val="-2"/>
                <w:sz w:val="18"/>
              </w:rPr>
              <w:t>seguimientos realizados</w:t>
            </w:r>
          </w:p>
        </w:tc>
        <w:tc>
          <w:tcPr>
            <w:tcW w:w="1800" w:type="dxa"/>
          </w:tcPr>
          <w:p>
            <w:pPr>
              <w:pStyle w:val="TableParagraph"/>
              <w:rPr>
                <w:b/>
                <w:sz w:val="18"/>
              </w:rPr>
            </w:pPr>
          </w:p>
          <w:p>
            <w:pPr>
              <w:pStyle w:val="TableParagraph"/>
              <w:spacing w:before="161"/>
              <w:rPr>
                <w:b/>
                <w:sz w:val="18"/>
              </w:rPr>
            </w:pPr>
          </w:p>
          <w:p>
            <w:pPr>
              <w:pStyle w:val="TableParagraph"/>
              <w:ind w:left="73" w:right="77"/>
              <w:rPr>
                <w:sz w:val="18"/>
              </w:rPr>
            </w:pPr>
            <w:r>
              <w:rPr>
                <w:sz w:val="18"/>
              </w:rPr>
              <w:t>Oficios de seguimiento</w:t>
            </w:r>
            <w:r>
              <w:rPr>
                <w:spacing w:val="-15"/>
                <w:sz w:val="18"/>
              </w:rPr>
              <w:t> </w:t>
            </w:r>
            <w:r>
              <w:rPr>
                <w:sz w:val="18"/>
              </w:rPr>
              <w:t>con</w:t>
            </w:r>
            <w:r>
              <w:rPr>
                <w:spacing w:val="-12"/>
                <w:sz w:val="18"/>
              </w:rPr>
              <w:t> </w:t>
            </w:r>
            <w:r>
              <w:rPr>
                <w:sz w:val="18"/>
              </w:rPr>
              <w:t>los informes</w:t>
            </w:r>
            <w:r>
              <w:rPr>
                <w:spacing w:val="-4"/>
                <w:sz w:val="18"/>
              </w:rPr>
              <w:t> </w:t>
            </w:r>
            <w:r>
              <w:rPr>
                <w:sz w:val="18"/>
              </w:rPr>
              <w:t>de</w:t>
            </w:r>
            <w:r>
              <w:rPr>
                <w:spacing w:val="-3"/>
                <w:sz w:val="18"/>
              </w:rPr>
              <w:t> </w:t>
            </w:r>
            <w:r>
              <w:rPr>
                <w:spacing w:val="-2"/>
                <w:sz w:val="18"/>
              </w:rPr>
              <w:t>avance</w:t>
            </w:r>
          </w:p>
        </w:tc>
        <w:tc>
          <w:tcPr>
            <w:tcW w:w="1623" w:type="dxa"/>
          </w:tcPr>
          <w:p>
            <w:pPr>
              <w:pStyle w:val="TableParagraph"/>
              <w:rPr>
                <w:b/>
                <w:sz w:val="18"/>
              </w:rPr>
            </w:pPr>
          </w:p>
          <w:p>
            <w:pPr>
              <w:pStyle w:val="TableParagraph"/>
              <w:rPr>
                <w:b/>
                <w:sz w:val="18"/>
              </w:rPr>
            </w:pPr>
          </w:p>
          <w:p>
            <w:pPr>
              <w:pStyle w:val="TableParagraph"/>
              <w:spacing w:before="160"/>
              <w:rPr>
                <w:b/>
                <w:sz w:val="18"/>
              </w:rPr>
            </w:pPr>
          </w:p>
          <w:p>
            <w:pPr>
              <w:pStyle w:val="TableParagraph"/>
              <w:ind w:left="69"/>
              <w:rPr>
                <w:sz w:val="18"/>
              </w:rPr>
            </w:pPr>
            <w:r>
              <w:rPr>
                <w:sz w:val="18"/>
              </w:rPr>
              <w:t>GG-</w:t>
            </w:r>
            <w:r>
              <w:rPr>
                <w:spacing w:val="-5"/>
                <w:sz w:val="18"/>
              </w:rPr>
              <w:t>TI</w:t>
            </w:r>
          </w:p>
        </w:tc>
        <w:tc>
          <w:tcPr>
            <w:tcW w:w="1349" w:type="dxa"/>
          </w:tcPr>
          <w:p>
            <w:pPr>
              <w:pStyle w:val="TableParagraph"/>
              <w:rPr>
                <w:rFonts w:ascii="Times New Roman"/>
                <w:sz w:val="18"/>
              </w:rPr>
            </w:pPr>
          </w:p>
        </w:tc>
        <w:tc>
          <w:tcPr>
            <w:tcW w:w="1695" w:type="dxa"/>
            <w:vMerge w:val="restart"/>
          </w:tcPr>
          <w:p>
            <w:pPr>
              <w:pStyle w:val="TableParagraph"/>
              <w:rPr>
                <w:b/>
                <w:sz w:val="18"/>
              </w:rPr>
            </w:pPr>
          </w:p>
          <w:p>
            <w:pPr>
              <w:pStyle w:val="TableParagraph"/>
              <w:spacing w:before="69"/>
              <w:rPr>
                <w:b/>
                <w:sz w:val="18"/>
              </w:rPr>
            </w:pPr>
          </w:p>
          <w:p>
            <w:pPr>
              <w:pStyle w:val="TableParagraph"/>
              <w:ind w:left="74" w:right="94"/>
              <w:rPr>
                <w:sz w:val="18"/>
              </w:rPr>
            </w:pPr>
            <w:r>
              <w:rPr>
                <w:sz w:val="18"/>
              </w:rPr>
              <w:t>Desinformación</w:t>
            </w:r>
            <w:r>
              <w:rPr>
                <w:spacing w:val="-13"/>
                <w:sz w:val="18"/>
              </w:rPr>
              <w:t> </w:t>
            </w:r>
            <w:r>
              <w:rPr>
                <w:sz w:val="18"/>
              </w:rPr>
              <w:t>de las jefaturas</w:t>
            </w:r>
            <w:r>
              <w:rPr>
                <w:spacing w:val="-3"/>
                <w:sz w:val="18"/>
              </w:rPr>
              <w:t> </w:t>
            </w:r>
            <w:r>
              <w:rPr>
                <w:sz w:val="18"/>
              </w:rPr>
              <w:t>sobre la ejecución del </w:t>
            </w:r>
            <w:r>
              <w:rPr>
                <w:spacing w:val="-4"/>
                <w:sz w:val="18"/>
              </w:rPr>
              <w:t>Plan</w:t>
            </w:r>
          </w:p>
          <w:p>
            <w:pPr>
              <w:pStyle w:val="TableParagraph"/>
              <w:spacing w:before="205"/>
              <w:ind w:left="74"/>
              <w:rPr>
                <w:sz w:val="18"/>
              </w:rPr>
            </w:pPr>
            <w:r>
              <w:rPr>
                <w:sz w:val="18"/>
              </w:rPr>
              <w:t>Inversiones en </w:t>
            </w:r>
            <w:r>
              <w:rPr>
                <w:spacing w:val="-2"/>
                <w:sz w:val="18"/>
              </w:rPr>
              <w:t>herramientas </w:t>
            </w:r>
            <w:r>
              <w:rPr>
                <w:sz w:val="18"/>
              </w:rPr>
              <w:t>tecnológicas no atienden las necesidades</w:t>
            </w:r>
            <w:r>
              <w:rPr>
                <w:spacing w:val="-15"/>
                <w:sz w:val="18"/>
              </w:rPr>
              <w:t> </w:t>
            </w:r>
            <w:r>
              <w:rPr>
                <w:sz w:val="18"/>
              </w:rPr>
              <w:t>de</w:t>
            </w:r>
            <w:r>
              <w:rPr>
                <w:spacing w:val="-12"/>
                <w:sz w:val="18"/>
              </w:rPr>
              <w:t> </w:t>
            </w:r>
            <w:r>
              <w:rPr>
                <w:sz w:val="18"/>
              </w:rPr>
              <w:t>los </w:t>
            </w:r>
            <w:r>
              <w:rPr>
                <w:spacing w:val="-2"/>
                <w:sz w:val="18"/>
              </w:rPr>
              <w:t>objetivos estratégicos</w:t>
            </w:r>
          </w:p>
        </w:tc>
      </w:tr>
      <w:tr>
        <w:trPr>
          <w:trHeight w:val="1666" w:hRule="atLeast"/>
        </w:trPr>
        <w:tc>
          <w:tcPr>
            <w:tcW w:w="2247" w:type="dxa"/>
          </w:tcPr>
          <w:p>
            <w:pPr>
              <w:pStyle w:val="TableParagraph"/>
              <w:spacing w:before="109"/>
              <w:rPr>
                <w:b/>
                <w:sz w:val="18"/>
              </w:rPr>
            </w:pPr>
          </w:p>
          <w:p>
            <w:pPr>
              <w:pStyle w:val="TableParagraph"/>
              <w:ind w:left="72"/>
              <w:rPr>
                <w:sz w:val="18"/>
              </w:rPr>
            </w:pPr>
            <w:r>
              <w:rPr>
                <w:b/>
                <w:sz w:val="18"/>
              </w:rPr>
              <w:t>Actividad PAC 2.3.2: </w:t>
            </w:r>
            <w:r>
              <w:rPr>
                <w:sz w:val="18"/>
              </w:rPr>
              <w:t>Ejecución del plan de acción institucional de inversión</w:t>
            </w:r>
            <w:r>
              <w:rPr>
                <w:spacing w:val="-15"/>
                <w:sz w:val="18"/>
              </w:rPr>
              <w:t> </w:t>
            </w:r>
            <w:r>
              <w:rPr>
                <w:sz w:val="18"/>
              </w:rPr>
              <w:t>en</w:t>
            </w:r>
            <w:r>
              <w:rPr>
                <w:spacing w:val="-12"/>
                <w:sz w:val="18"/>
              </w:rPr>
              <w:t> </w:t>
            </w:r>
            <w:r>
              <w:rPr>
                <w:sz w:val="18"/>
              </w:rPr>
              <w:t>herramientas </w:t>
            </w:r>
            <w:r>
              <w:rPr>
                <w:spacing w:val="-2"/>
                <w:sz w:val="18"/>
              </w:rPr>
              <w:t>tecnológicas</w:t>
            </w:r>
          </w:p>
        </w:tc>
        <w:tc>
          <w:tcPr>
            <w:tcW w:w="1723" w:type="dxa"/>
          </w:tcPr>
          <w:p>
            <w:pPr>
              <w:pStyle w:val="TableParagraph"/>
              <w:rPr>
                <w:b/>
                <w:sz w:val="18"/>
              </w:rPr>
            </w:pPr>
          </w:p>
          <w:p>
            <w:pPr>
              <w:pStyle w:val="TableParagraph"/>
              <w:rPr>
                <w:b/>
                <w:sz w:val="18"/>
              </w:rPr>
            </w:pPr>
          </w:p>
          <w:p>
            <w:pPr>
              <w:pStyle w:val="TableParagraph"/>
              <w:spacing w:before="108"/>
              <w:rPr>
                <w:b/>
                <w:sz w:val="18"/>
              </w:rPr>
            </w:pPr>
          </w:p>
          <w:p>
            <w:pPr>
              <w:pStyle w:val="TableParagraph"/>
              <w:ind w:left="8" w:right="4"/>
              <w:jc w:val="center"/>
              <w:rPr>
                <w:sz w:val="18"/>
              </w:rPr>
            </w:pPr>
            <w:r>
              <w:rPr>
                <w:spacing w:val="-5"/>
                <w:sz w:val="18"/>
              </w:rPr>
              <w:t>40%</w:t>
            </w:r>
          </w:p>
        </w:tc>
        <w:tc>
          <w:tcPr>
            <w:tcW w:w="1843" w:type="dxa"/>
          </w:tcPr>
          <w:p>
            <w:pPr>
              <w:pStyle w:val="TableParagraph"/>
              <w:rPr>
                <w:b/>
                <w:sz w:val="18"/>
              </w:rPr>
            </w:pPr>
          </w:p>
          <w:p>
            <w:pPr>
              <w:pStyle w:val="TableParagraph"/>
              <w:rPr>
                <w:b/>
                <w:sz w:val="18"/>
              </w:rPr>
            </w:pPr>
          </w:p>
          <w:p>
            <w:pPr>
              <w:pStyle w:val="TableParagraph"/>
              <w:spacing w:before="108"/>
              <w:rPr>
                <w:b/>
                <w:sz w:val="18"/>
              </w:rPr>
            </w:pPr>
          </w:p>
          <w:p>
            <w:pPr>
              <w:pStyle w:val="TableParagraph"/>
              <w:ind w:left="10"/>
              <w:jc w:val="center"/>
              <w:rPr>
                <w:sz w:val="18"/>
              </w:rPr>
            </w:pPr>
            <w:r>
              <w:rPr>
                <w:spacing w:val="-5"/>
                <w:sz w:val="18"/>
              </w:rPr>
              <w:t>60%</w:t>
            </w:r>
          </w:p>
        </w:tc>
        <w:tc>
          <w:tcPr>
            <w:tcW w:w="2040" w:type="dxa"/>
          </w:tcPr>
          <w:p>
            <w:pPr>
              <w:pStyle w:val="TableParagraph"/>
              <w:rPr>
                <w:b/>
                <w:sz w:val="18"/>
              </w:rPr>
            </w:pPr>
          </w:p>
          <w:p>
            <w:pPr>
              <w:pStyle w:val="TableParagraph"/>
              <w:spacing w:before="108"/>
              <w:rPr>
                <w:b/>
                <w:sz w:val="18"/>
              </w:rPr>
            </w:pPr>
          </w:p>
          <w:p>
            <w:pPr>
              <w:pStyle w:val="TableParagraph"/>
              <w:ind w:left="68" w:right="52"/>
              <w:rPr>
                <w:sz w:val="18"/>
              </w:rPr>
            </w:pPr>
            <w:r>
              <w:rPr>
                <w:sz w:val="18"/>
              </w:rPr>
              <w:t>Porcentaje de</w:t>
            </w:r>
            <w:r>
              <w:rPr>
                <w:spacing w:val="40"/>
                <w:sz w:val="18"/>
              </w:rPr>
              <w:t> </w:t>
            </w:r>
            <w:r>
              <w:rPr>
                <w:sz w:val="18"/>
              </w:rPr>
              <w:t>ejecución del plan quinquenal</w:t>
            </w:r>
            <w:r>
              <w:rPr>
                <w:spacing w:val="-15"/>
                <w:sz w:val="18"/>
              </w:rPr>
              <w:t> </w:t>
            </w:r>
            <w:r>
              <w:rPr>
                <w:sz w:val="18"/>
              </w:rPr>
              <w:t>de</w:t>
            </w:r>
            <w:r>
              <w:rPr>
                <w:spacing w:val="-12"/>
                <w:sz w:val="18"/>
              </w:rPr>
              <w:t> </w:t>
            </w:r>
            <w:r>
              <w:rPr>
                <w:sz w:val="18"/>
              </w:rPr>
              <w:t>inversión</w:t>
            </w:r>
          </w:p>
        </w:tc>
        <w:tc>
          <w:tcPr>
            <w:tcW w:w="1800" w:type="dxa"/>
          </w:tcPr>
          <w:p>
            <w:pPr>
              <w:pStyle w:val="TableParagraph"/>
              <w:rPr>
                <w:b/>
                <w:sz w:val="18"/>
              </w:rPr>
            </w:pPr>
          </w:p>
          <w:p>
            <w:pPr>
              <w:pStyle w:val="TableParagraph"/>
              <w:spacing w:before="108"/>
              <w:rPr>
                <w:b/>
                <w:sz w:val="18"/>
              </w:rPr>
            </w:pPr>
          </w:p>
          <w:p>
            <w:pPr>
              <w:pStyle w:val="TableParagraph"/>
              <w:ind w:left="73" w:right="77"/>
              <w:rPr>
                <w:sz w:val="18"/>
              </w:rPr>
            </w:pPr>
            <w:r>
              <w:rPr>
                <w:sz w:val="18"/>
              </w:rPr>
              <w:t>Informe</w:t>
            </w:r>
            <w:r>
              <w:rPr>
                <w:spacing w:val="-15"/>
                <w:sz w:val="18"/>
              </w:rPr>
              <w:t> </w:t>
            </w:r>
            <w:r>
              <w:rPr>
                <w:sz w:val="18"/>
              </w:rPr>
              <w:t>de</w:t>
            </w:r>
            <w:r>
              <w:rPr>
                <w:spacing w:val="-12"/>
                <w:sz w:val="18"/>
              </w:rPr>
              <w:t> </w:t>
            </w:r>
            <w:r>
              <w:rPr>
                <w:sz w:val="18"/>
              </w:rPr>
              <w:t>avance de cumplimiento elaborado por TI</w:t>
            </w:r>
          </w:p>
        </w:tc>
        <w:tc>
          <w:tcPr>
            <w:tcW w:w="1623" w:type="dxa"/>
          </w:tcPr>
          <w:p>
            <w:pPr>
              <w:pStyle w:val="TableParagraph"/>
              <w:rPr>
                <w:b/>
                <w:sz w:val="18"/>
              </w:rPr>
            </w:pPr>
          </w:p>
          <w:p>
            <w:pPr>
              <w:pStyle w:val="TableParagraph"/>
              <w:rPr>
                <w:b/>
                <w:sz w:val="18"/>
              </w:rPr>
            </w:pPr>
          </w:p>
          <w:p>
            <w:pPr>
              <w:pStyle w:val="TableParagraph"/>
              <w:spacing w:before="108"/>
              <w:rPr>
                <w:b/>
                <w:sz w:val="18"/>
              </w:rPr>
            </w:pPr>
          </w:p>
          <w:p>
            <w:pPr>
              <w:pStyle w:val="TableParagraph"/>
              <w:ind w:left="69"/>
              <w:rPr>
                <w:sz w:val="18"/>
              </w:rPr>
            </w:pPr>
            <w:r>
              <w:rPr>
                <w:sz w:val="18"/>
              </w:rPr>
              <w:t>GG-</w:t>
            </w:r>
            <w:r>
              <w:rPr>
                <w:spacing w:val="-5"/>
                <w:sz w:val="18"/>
              </w:rPr>
              <w:t>TI</w:t>
            </w:r>
          </w:p>
        </w:tc>
        <w:tc>
          <w:tcPr>
            <w:tcW w:w="1349" w:type="dxa"/>
          </w:tcPr>
          <w:p>
            <w:pPr>
              <w:pStyle w:val="TableParagraph"/>
              <w:rPr>
                <w:rFonts w:ascii="Times New Roman"/>
                <w:sz w:val="18"/>
              </w:rPr>
            </w:pPr>
          </w:p>
        </w:tc>
        <w:tc>
          <w:tcPr>
            <w:tcW w:w="1695" w:type="dxa"/>
            <w:vMerge/>
            <w:tcBorders>
              <w:top w:val="nil"/>
            </w:tcBorders>
          </w:tcPr>
          <w:p>
            <w:pPr>
              <w:rPr>
                <w:sz w:val="2"/>
                <w:szCs w:val="2"/>
              </w:rPr>
            </w:pPr>
          </w:p>
        </w:tc>
      </w:tr>
    </w:tbl>
    <w:p>
      <w:pPr>
        <w:spacing w:after="0"/>
        <w:rPr>
          <w:sz w:val="2"/>
          <w:szCs w:val="2"/>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3"/>
        <w:gridCol w:w="1560"/>
        <w:gridCol w:w="1983"/>
        <w:gridCol w:w="1421"/>
        <w:gridCol w:w="1839"/>
        <w:gridCol w:w="1278"/>
        <w:gridCol w:w="1841"/>
        <w:gridCol w:w="1498"/>
      </w:tblGrid>
      <w:tr>
        <w:trPr>
          <w:trHeight w:val="618" w:hRule="atLeast"/>
        </w:trPr>
        <w:tc>
          <w:tcPr>
            <w:tcW w:w="2833" w:type="dxa"/>
            <w:shd w:val="clear" w:color="auto" w:fill="D7D7D7"/>
          </w:tcPr>
          <w:p>
            <w:pPr>
              <w:pStyle w:val="TableParagraph"/>
              <w:spacing w:before="205"/>
              <w:ind w:left="446"/>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7D7D7"/>
          </w:tcPr>
          <w:p>
            <w:pPr>
              <w:pStyle w:val="TableParagraph"/>
              <w:spacing w:before="104"/>
              <w:ind w:left="518" w:right="58" w:hanging="216"/>
              <w:rPr>
                <w:b/>
                <w:sz w:val="18"/>
              </w:rPr>
            </w:pPr>
            <w:r>
              <w:rPr>
                <w:b/>
                <w:sz w:val="18"/>
              </w:rPr>
              <w:t>Línea</w:t>
            </w:r>
            <w:r>
              <w:rPr>
                <w:b/>
                <w:spacing w:val="-13"/>
                <w:sz w:val="18"/>
              </w:rPr>
              <w:t> </w:t>
            </w:r>
            <w:r>
              <w:rPr>
                <w:b/>
                <w:sz w:val="18"/>
              </w:rPr>
              <w:t>Base </w:t>
            </w:r>
            <w:r>
              <w:rPr>
                <w:b/>
                <w:spacing w:val="-2"/>
                <w:sz w:val="18"/>
              </w:rPr>
              <w:t>(2024)</w:t>
            </w:r>
          </w:p>
        </w:tc>
        <w:tc>
          <w:tcPr>
            <w:tcW w:w="1983" w:type="dxa"/>
            <w:shd w:val="clear" w:color="auto" w:fill="D7D7D7"/>
          </w:tcPr>
          <w:p>
            <w:pPr>
              <w:pStyle w:val="TableParagraph"/>
              <w:spacing w:before="104"/>
              <w:ind w:left="788" w:hanging="553"/>
              <w:rPr>
                <w:b/>
                <w:sz w:val="18"/>
              </w:rPr>
            </w:pPr>
            <w:r>
              <w:rPr>
                <w:b/>
                <w:sz w:val="18"/>
              </w:rPr>
              <w:t>Meta</w:t>
            </w:r>
            <w:r>
              <w:rPr>
                <w:b/>
                <w:spacing w:val="-13"/>
                <w:sz w:val="18"/>
              </w:rPr>
              <w:t> </w:t>
            </w:r>
            <w:r>
              <w:rPr>
                <w:b/>
                <w:sz w:val="18"/>
              </w:rPr>
              <w:t>programada </w:t>
            </w:r>
            <w:r>
              <w:rPr>
                <w:b/>
                <w:spacing w:val="-4"/>
                <w:sz w:val="18"/>
              </w:rPr>
              <w:t>2026</w:t>
            </w:r>
          </w:p>
        </w:tc>
        <w:tc>
          <w:tcPr>
            <w:tcW w:w="1421" w:type="dxa"/>
            <w:shd w:val="clear" w:color="auto" w:fill="D7D7D7"/>
          </w:tcPr>
          <w:p>
            <w:pPr>
              <w:pStyle w:val="TableParagraph"/>
              <w:spacing w:before="205"/>
              <w:ind w:left="302"/>
              <w:rPr>
                <w:b/>
                <w:sz w:val="18"/>
              </w:rPr>
            </w:pPr>
            <w:r>
              <w:rPr>
                <w:b/>
                <w:spacing w:val="-2"/>
                <w:sz w:val="18"/>
              </w:rPr>
              <w:t>Indicador</w:t>
            </w:r>
          </w:p>
        </w:tc>
        <w:tc>
          <w:tcPr>
            <w:tcW w:w="1839" w:type="dxa"/>
            <w:shd w:val="clear" w:color="auto" w:fill="D7D7D7"/>
          </w:tcPr>
          <w:p>
            <w:pPr>
              <w:pStyle w:val="TableParagraph"/>
              <w:spacing w:before="104"/>
              <w:ind w:left="417" w:right="123" w:firstLine="57"/>
              <w:rPr>
                <w:b/>
                <w:sz w:val="18"/>
              </w:rPr>
            </w:pPr>
            <w:r>
              <w:rPr>
                <w:b/>
                <w:sz w:val="18"/>
              </w:rPr>
              <w:t>Medios de </w:t>
            </w:r>
            <w:r>
              <w:rPr>
                <w:b/>
                <w:spacing w:val="-2"/>
                <w:sz w:val="18"/>
              </w:rPr>
              <w:t>verificación</w:t>
            </w:r>
          </w:p>
        </w:tc>
        <w:tc>
          <w:tcPr>
            <w:tcW w:w="1278" w:type="dxa"/>
            <w:shd w:val="clear" w:color="auto" w:fill="D7D7D7"/>
          </w:tcPr>
          <w:p>
            <w:pPr>
              <w:pStyle w:val="TableParagraph"/>
              <w:spacing w:before="205"/>
              <w:ind w:left="81"/>
              <w:rPr>
                <w:b/>
                <w:sz w:val="18"/>
              </w:rPr>
            </w:pPr>
            <w:r>
              <w:rPr>
                <w:b/>
                <w:spacing w:val="-2"/>
                <w:sz w:val="18"/>
              </w:rPr>
              <w:t>Responsable</w:t>
            </w:r>
          </w:p>
        </w:tc>
        <w:tc>
          <w:tcPr>
            <w:tcW w:w="1841" w:type="dxa"/>
            <w:shd w:val="clear" w:color="auto" w:fill="D7D7D7"/>
          </w:tcPr>
          <w:p>
            <w:pPr>
              <w:pStyle w:val="TableParagraph"/>
              <w:spacing w:before="104"/>
              <w:ind w:left="527" w:hanging="154"/>
              <w:rPr>
                <w:b/>
                <w:sz w:val="18"/>
              </w:rPr>
            </w:pPr>
            <w:r>
              <w:rPr>
                <w:b/>
                <w:spacing w:val="-2"/>
                <w:sz w:val="18"/>
              </w:rPr>
              <w:t>Presupuesto asignado</w:t>
            </w:r>
          </w:p>
        </w:tc>
        <w:tc>
          <w:tcPr>
            <w:tcW w:w="1498" w:type="dxa"/>
            <w:shd w:val="clear" w:color="auto" w:fill="D7D7D7"/>
          </w:tcPr>
          <w:p>
            <w:pPr>
              <w:pStyle w:val="TableParagraph"/>
              <w:spacing w:line="206" w:lineRule="exact"/>
              <w:ind w:left="165" w:right="144" w:hanging="5"/>
              <w:jc w:val="center"/>
              <w:rPr>
                <w:b/>
                <w:sz w:val="18"/>
              </w:rPr>
            </w:pPr>
            <w:r>
              <w:rPr>
                <w:b/>
                <w:spacing w:val="-2"/>
                <w:sz w:val="18"/>
              </w:rPr>
              <w:t>Riesgo </w:t>
            </w:r>
            <w:r>
              <w:rPr>
                <w:b/>
                <w:sz w:val="18"/>
              </w:rPr>
              <w:t>asociado al </w:t>
            </w:r>
            <w:r>
              <w:rPr>
                <w:b/>
                <w:spacing w:val="-2"/>
                <w:sz w:val="18"/>
              </w:rPr>
              <w:t>cumplimiento</w:t>
            </w:r>
          </w:p>
        </w:tc>
      </w:tr>
      <w:tr>
        <w:trPr>
          <w:trHeight w:val="585" w:hRule="atLeast"/>
        </w:trPr>
        <w:tc>
          <w:tcPr>
            <w:tcW w:w="14253" w:type="dxa"/>
            <w:gridSpan w:val="8"/>
            <w:shd w:val="clear" w:color="auto" w:fill="F1F1F1"/>
          </w:tcPr>
          <w:p>
            <w:pPr>
              <w:pStyle w:val="TableParagraph"/>
              <w:spacing w:before="85"/>
              <w:ind w:left="72" w:right="78"/>
              <w:rPr>
                <w:b/>
                <w:sz w:val="18"/>
              </w:rPr>
            </w:pPr>
            <w:r>
              <w:rPr>
                <w:b/>
                <w:sz w:val="18"/>
              </w:rPr>
              <w:t>Efectos 1: Realizar una efectiva</w:t>
            </w:r>
            <w:r>
              <w:rPr>
                <w:b/>
                <w:spacing w:val="-3"/>
                <w:sz w:val="18"/>
              </w:rPr>
              <w:t> </w:t>
            </w:r>
            <w:r>
              <w:rPr>
                <w:b/>
                <w:sz w:val="18"/>
              </w:rPr>
              <w:t>gestión de</w:t>
            </w:r>
            <w:r>
              <w:rPr>
                <w:b/>
                <w:spacing w:val="-3"/>
                <w:sz w:val="18"/>
              </w:rPr>
              <w:t> </w:t>
            </w:r>
            <w:r>
              <w:rPr>
                <w:b/>
                <w:sz w:val="18"/>
              </w:rPr>
              <w:t>los</w:t>
            </w:r>
            <w:r>
              <w:rPr>
                <w:b/>
                <w:spacing w:val="-3"/>
                <w:sz w:val="18"/>
              </w:rPr>
              <w:t> </w:t>
            </w:r>
            <w:r>
              <w:rPr>
                <w:b/>
                <w:sz w:val="18"/>
              </w:rPr>
              <w:t>recursos</w:t>
            </w:r>
            <w:r>
              <w:rPr>
                <w:b/>
                <w:spacing w:val="-8"/>
                <w:sz w:val="18"/>
              </w:rPr>
              <w:t> </w:t>
            </w:r>
            <w:r>
              <w:rPr>
                <w:b/>
                <w:sz w:val="18"/>
              </w:rPr>
              <w:t>humanos,</w:t>
            </w:r>
            <w:r>
              <w:rPr>
                <w:b/>
                <w:spacing w:val="-1"/>
                <w:sz w:val="18"/>
              </w:rPr>
              <w:t> </w:t>
            </w:r>
            <w:r>
              <w:rPr>
                <w:b/>
                <w:sz w:val="18"/>
              </w:rPr>
              <w:t>financieros,</w:t>
            </w:r>
            <w:r>
              <w:rPr>
                <w:b/>
                <w:spacing w:val="-1"/>
                <w:sz w:val="18"/>
              </w:rPr>
              <w:t> </w:t>
            </w:r>
            <w:r>
              <w:rPr>
                <w:b/>
                <w:sz w:val="18"/>
              </w:rPr>
              <w:t>materiales</w:t>
            </w:r>
            <w:r>
              <w:rPr>
                <w:b/>
                <w:spacing w:val="-3"/>
                <w:sz w:val="18"/>
              </w:rPr>
              <w:t> </w:t>
            </w:r>
            <w:r>
              <w:rPr>
                <w:b/>
                <w:sz w:val="18"/>
              </w:rPr>
              <w:t>y</w:t>
            </w:r>
            <w:r>
              <w:rPr>
                <w:b/>
                <w:spacing w:val="-3"/>
                <w:sz w:val="18"/>
              </w:rPr>
              <w:t> </w:t>
            </w:r>
            <w:r>
              <w:rPr>
                <w:b/>
                <w:sz w:val="18"/>
              </w:rPr>
              <w:t>tecnológicos,</w:t>
            </w:r>
            <w:r>
              <w:rPr>
                <w:b/>
                <w:spacing w:val="-1"/>
                <w:sz w:val="18"/>
              </w:rPr>
              <w:t> </w:t>
            </w:r>
            <w:r>
              <w:rPr>
                <w:b/>
                <w:sz w:val="18"/>
              </w:rPr>
              <w:t>con el</w:t>
            </w:r>
            <w:r>
              <w:rPr>
                <w:b/>
                <w:spacing w:val="-1"/>
                <w:sz w:val="18"/>
              </w:rPr>
              <w:t> </w:t>
            </w:r>
            <w:r>
              <w:rPr>
                <w:b/>
                <w:sz w:val="18"/>
              </w:rPr>
              <w:t>fin de contribuir</w:t>
            </w:r>
            <w:r>
              <w:rPr>
                <w:b/>
                <w:spacing w:val="-2"/>
                <w:sz w:val="18"/>
              </w:rPr>
              <w:t> </w:t>
            </w:r>
            <w:r>
              <w:rPr>
                <w:b/>
                <w:sz w:val="18"/>
              </w:rPr>
              <w:t>con</w:t>
            </w:r>
            <w:r>
              <w:rPr>
                <w:b/>
                <w:spacing w:val="-4"/>
                <w:sz w:val="18"/>
              </w:rPr>
              <w:t> </w:t>
            </w:r>
            <w:r>
              <w:rPr>
                <w:b/>
                <w:sz w:val="18"/>
              </w:rPr>
              <w:t>la</w:t>
            </w:r>
            <w:r>
              <w:rPr>
                <w:b/>
                <w:spacing w:val="-8"/>
                <w:sz w:val="18"/>
              </w:rPr>
              <w:t> </w:t>
            </w:r>
            <w:r>
              <w:rPr>
                <w:b/>
                <w:sz w:val="18"/>
              </w:rPr>
              <w:t>institucionalización</w:t>
            </w:r>
            <w:r>
              <w:rPr>
                <w:b/>
                <w:spacing w:val="-4"/>
                <w:sz w:val="18"/>
              </w:rPr>
              <w:t> </w:t>
            </w:r>
            <w:r>
              <w:rPr>
                <w:b/>
                <w:sz w:val="18"/>
              </w:rPr>
              <w:t>de</w:t>
            </w:r>
            <w:r>
              <w:rPr>
                <w:b/>
                <w:spacing w:val="-3"/>
                <w:sz w:val="18"/>
              </w:rPr>
              <w:t> </w:t>
            </w:r>
            <w:r>
              <w:rPr>
                <w:b/>
                <w:sz w:val="18"/>
              </w:rPr>
              <w:t>la estrategia de intervención de la población en situación de pobreza y pobreza extrema.</w:t>
            </w:r>
          </w:p>
        </w:tc>
      </w:tr>
      <w:tr>
        <w:trPr>
          <w:trHeight w:val="609" w:hRule="atLeast"/>
        </w:trPr>
        <w:tc>
          <w:tcPr>
            <w:tcW w:w="14253" w:type="dxa"/>
            <w:gridSpan w:val="8"/>
            <w:shd w:val="clear" w:color="auto" w:fill="EFF8F9"/>
          </w:tcPr>
          <w:p>
            <w:pPr>
              <w:pStyle w:val="TableParagraph"/>
              <w:spacing w:before="99"/>
              <w:ind w:left="72" w:right="78"/>
              <w:rPr>
                <w:b/>
                <w:sz w:val="18"/>
              </w:rPr>
            </w:pPr>
            <w:r>
              <w:rPr>
                <w:b/>
                <w:sz w:val="18"/>
              </w:rPr>
              <w:t>Producto</w:t>
            </w:r>
            <w:r>
              <w:rPr>
                <w:b/>
                <w:spacing w:val="-4"/>
                <w:sz w:val="18"/>
              </w:rPr>
              <w:t> </w:t>
            </w:r>
            <w:r>
              <w:rPr>
                <w:b/>
                <w:sz w:val="18"/>
              </w:rPr>
              <w:t>PAC</w:t>
            </w:r>
            <w:r>
              <w:rPr>
                <w:b/>
                <w:spacing w:val="-5"/>
                <w:sz w:val="18"/>
              </w:rPr>
              <w:t> </w:t>
            </w:r>
            <w:r>
              <w:rPr>
                <w:b/>
                <w:sz w:val="18"/>
              </w:rPr>
              <w:t>2.4:</w:t>
            </w:r>
            <w:r>
              <w:rPr>
                <w:b/>
                <w:spacing w:val="-1"/>
                <w:sz w:val="18"/>
              </w:rPr>
              <w:t> </w:t>
            </w:r>
            <w:r>
              <w:rPr>
                <w:b/>
                <w:sz w:val="18"/>
              </w:rPr>
              <w:t>Metodología del</w:t>
            </w:r>
            <w:r>
              <w:rPr>
                <w:b/>
                <w:spacing w:val="-1"/>
                <w:sz w:val="18"/>
              </w:rPr>
              <w:t> </w:t>
            </w:r>
            <w:r>
              <w:rPr>
                <w:b/>
                <w:sz w:val="18"/>
              </w:rPr>
              <w:t>programa anual</w:t>
            </w:r>
            <w:r>
              <w:rPr>
                <w:b/>
                <w:spacing w:val="-1"/>
                <w:sz w:val="18"/>
              </w:rPr>
              <w:t> </w:t>
            </w:r>
            <w:r>
              <w:rPr>
                <w:b/>
                <w:sz w:val="18"/>
              </w:rPr>
              <w:t>de</w:t>
            </w:r>
            <w:r>
              <w:rPr>
                <w:b/>
                <w:spacing w:val="-3"/>
                <w:sz w:val="18"/>
              </w:rPr>
              <w:t> </w:t>
            </w:r>
            <w:r>
              <w:rPr>
                <w:b/>
                <w:sz w:val="18"/>
              </w:rPr>
              <w:t>cómo</w:t>
            </w:r>
            <w:r>
              <w:rPr>
                <w:b/>
                <w:spacing w:val="-4"/>
                <w:sz w:val="18"/>
              </w:rPr>
              <w:t> </w:t>
            </w:r>
            <w:r>
              <w:rPr>
                <w:b/>
                <w:sz w:val="18"/>
              </w:rPr>
              <w:t>realizar</w:t>
            </w:r>
            <w:r>
              <w:rPr>
                <w:b/>
                <w:spacing w:val="-2"/>
                <w:sz w:val="18"/>
              </w:rPr>
              <w:t> </w:t>
            </w:r>
            <w:r>
              <w:rPr>
                <w:b/>
                <w:sz w:val="18"/>
              </w:rPr>
              <w:t>las sesiones e</w:t>
            </w:r>
            <w:r>
              <w:rPr>
                <w:b/>
                <w:spacing w:val="-8"/>
                <w:sz w:val="18"/>
              </w:rPr>
              <w:t> </w:t>
            </w:r>
            <w:r>
              <w:rPr>
                <w:b/>
                <w:sz w:val="18"/>
              </w:rPr>
              <w:t>intercambio</w:t>
            </w:r>
            <w:r>
              <w:rPr>
                <w:b/>
                <w:spacing w:val="-4"/>
                <w:sz w:val="18"/>
              </w:rPr>
              <w:t> </w:t>
            </w:r>
            <w:r>
              <w:rPr>
                <w:b/>
                <w:sz w:val="18"/>
              </w:rPr>
              <w:t>de</w:t>
            </w:r>
            <w:r>
              <w:rPr>
                <w:b/>
                <w:spacing w:val="-3"/>
                <w:sz w:val="18"/>
              </w:rPr>
              <w:t> </w:t>
            </w:r>
            <w:r>
              <w:rPr>
                <w:b/>
                <w:sz w:val="18"/>
              </w:rPr>
              <w:t>experiencias</w:t>
            </w:r>
            <w:r>
              <w:rPr>
                <w:b/>
                <w:spacing w:val="-3"/>
                <w:sz w:val="18"/>
              </w:rPr>
              <w:t> </w:t>
            </w:r>
            <w:r>
              <w:rPr>
                <w:b/>
                <w:sz w:val="18"/>
              </w:rPr>
              <w:t>de buenas prácticas</w:t>
            </w:r>
            <w:r>
              <w:rPr>
                <w:b/>
                <w:spacing w:val="-3"/>
                <w:sz w:val="18"/>
              </w:rPr>
              <w:t> </w:t>
            </w:r>
            <w:r>
              <w:rPr>
                <w:b/>
                <w:sz w:val="18"/>
              </w:rPr>
              <w:t>entre</w:t>
            </w:r>
            <w:r>
              <w:rPr>
                <w:b/>
                <w:spacing w:val="-3"/>
                <w:sz w:val="18"/>
              </w:rPr>
              <w:t> </w:t>
            </w:r>
            <w:r>
              <w:rPr>
                <w:b/>
                <w:sz w:val="18"/>
              </w:rPr>
              <w:t>personas</w:t>
            </w:r>
            <w:r>
              <w:rPr>
                <w:b/>
                <w:spacing w:val="-3"/>
                <w:sz w:val="18"/>
              </w:rPr>
              <w:t> </w:t>
            </w:r>
            <w:r>
              <w:rPr>
                <w:b/>
                <w:sz w:val="18"/>
              </w:rPr>
              <w:t>funcionarias con un mismo cargo E6 AE1 R1 (meta programada 75%)</w:t>
            </w:r>
          </w:p>
        </w:tc>
      </w:tr>
      <w:tr>
        <w:trPr>
          <w:trHeight w:val="1560" w:hRule="atLeast"/>
        </w:trPr>
        <w:tc>
          <w:tcPr>
            <w:tcW w:w="2833" w:type="dxa"/>
          </w:tcPr>
          <w:p>
            <w:pPr>
              <w:pStyle w:val="TableParagraph"/>
              <w:spacing w:before="56"/>
              <w:rPr>
                <w:b/>
                <w:sz w:val="18"/>
              </w:rPr>
            </w:pPr>
          </w:p>
          <w:p>
            <w:pPr>
              <w:pStyle w:val="TableParagraph"/>
              <w:ind w:left="72" w:right="119"/>
              <w:rPr>
                <w:sz w:val="18"/>
              </w:rPr>
            </w:pPr>
            <w:r>
              <w:rPr>
                <w:b/>
                <w:sz w:val="18"/>
              </w:rPr>
              <w:t>Actividad PAC 2.4.1: </w:t>
            </w:r>
            <w:r>
              <w:rPr>
                <w:sz w:val="18"/>
              </w:rPr>
              <w:t>Implementar sesiones de intercambio de experiencias entre</w:t>
            </w:r>
            <w:r>
              <w:rPr>
                <w:spacing w:val="-9"/>
                <w:sz w:val="18"/>
              </w:rPr>
              <w:t> </w:t>
            </w:r>
            <w:r>
              <w:rPr>
                <w:sz w:val="18"/>
              </w:rPr>
              <w:t>personas</w:t>
            </w:r>
            <w:r>
              <w:rPr>
                <w:spacing w:val="-12"/>
                <w:sz w:val="18"/>
              </w:rPr>
              <w:t> </w:t>
            </w:r>
            <w:r>
              <w:rPr>
                <w:sz w:val="18"/>
              </w:rPr>
              <w:t>funcionarias</w:t>
            </w:r>
            <w:r>
              <w:rPr>
                <w:spacing w:val="-12"/>
                <w:sz w:val="18"/>
              </w:rPr>
              <w:t> </w:t>
            </w:r>
            <w:r>
              <w:rPr>
                <w:sz w:val="18"/>
              </w:rPr>
              <w:t>con un mismo cargo.</w:t>
            </w:r>
          </w:p>
        </w:tc>
        <w:tc>
          <w:tcPr>
            <w:tcW w:w="1560" w:type="dxa"/>
          </w:tcPr>
          <w:p>
            <w:pPr>
              <w:pStyle w:val="TableParagraph"/>
              <w:rPr>
                <w:b/>
                <w:sz w:val="18"/>
              </w:rPr>
            </w:pPr>
          </w:p>
          <w:p>
            <w:pPr>
              <w:pStyle w:val="TableParagraph"/>
              <w:rPr>
                <w:b/>
                <w:sz w:val="18"/>
              </w:rPr>
            </w:pPr>
          </w:p>
          <w:p>
            <w:pPr>
              <w:pStyle w:val="TableParagraph"/>
              <w:spacing w:before="55"/>
              <w:rPr>
                <w:b/>
                <w:sz w:val="18"/>
              </w:rPr>
            </w:pPr>
          </w:p>
          <w:p>
            <w:pPr>
              <w:pStyle w:val="TableParagraph"/>
              <w:ind w:left="21" w:right="20"/>
              <w:jc w:val="center"/>
              <w:rPr>
                <w:sz w:val="18"/>
              </w:rPr>
            </w:pPr>
            <w:r>
              <w:rPr>
                <w:spacing w:val="-10"/>
                <w:sz w:val="18"/>
              </w:rPr>
              <w:t>0</w:t>
            </w:r>
          </w:p>
        </w:tc>
        <w:tc>
          <w:tcPr>
            <w:tcW w:w="1983" w:type="dxa"/>
          </w:tcPr>
          <w:p>
            <w:pPr>
              <w:pStyle w:val="TableParagraph"/>
              <w:rPr>
                <w:b/>
                <w:sz w:val="18"/>
              </w:rPr>
            </w:pPr>
          </w:p>
          <w:p>
            <w:pPr>
              <w:pStyle w:val="TableParagraph"/>
              <w:rPr>
                <w:b/>
                <w:sz w:val="18"/>
              </w:rPr>
            </w:pPr>
          </w:p>
          <w:p>
            <w:pPr>
              <w:pStyle w:val="TableParagraph"/>
              <w:spacing w:before="55"/>
              <w:rPr>
                <w:b/>
                <w:sz w:val="18"/>
              </w:rPr>
            </w:pPr>
          </w:p>
          <w:p>
            <w:pPr>
              <w:pStyle w:val="TableParagraph"/>
              <w:ind w:left="14" w:right="12"/>
              <w:jc w:val="center"/>
              <w:rPr>
                <w:sz w:val="18"/>
              </w:rPr>
            </w:pPr>
            <w:r>
              <w:rPr>
                <w:spacing w:val="-10"/>
                <w:sz w:val="18"/>
              </w:rPr>
              <w:t>3</w:t>
            </w:r>
          </w:p>
        </w:tc>
        <w:tc>
          <w:tcPr>
            <w:tcW w:w="1421" w:type="dxa"/>
          </w:tcPr>
          <w:p>
            <w:pPr>
              <w:pStyle w:val="TableParagraph"/>
              <w:spacing w:before="56"/>
              <w:rPr>
                <w:b/>
                <w:sz w:val="18"/>
              </w:rPr>
            </w:pPr>
          </w:p>
          <w:p>
            <w:pPr>
              <w:pStyle w:val="TableParagraph"/>
              <w:ind w:left="72"/>
              <w:rPr>
                <w:sz w:val="18"/>
              </w:rPr>
            </w:pPr>
            <w:r>
              <w:rPr>
                <w:sz w:val="18"/>
              </w:rPr>
              <w:t>Cantidad de sesiones de intercambio</w:t>
            </w:r>
            <w:r>
              <w:rPr>
                <w:spacing w:val="-13"/>
                <w:sz w:val="18"/>
              </w:rPr>
              <w:t> </w:t>
            </w:r>
            <w:r>
              <w:rPr>
                <w:sz w:val="18"/>
              </w:rPr>
              <w:t>de </w:t>
            </w:r>
            <w:r>
              <w:rPr>
                <w:spacing w:val="-2"/>
                <w:sz w:val="18"/>
              </w:rPr>
              <w:t>experiencias realizadas</w:t>
            </w:r>
          </w:p>
        </w:tc>
        <w:tc>
          <w:tcPr>
            <w:tcW w:w="1839" w:type="dxa"/>
          </w:tcPr>
          <w:p>
            <w:pPr>
              <w:pStyle w:val="TableParagraph"/>
              <w:spacing w:before="56"/>
              <w:rPr>
                <w:b/>
                <w:sz w:val="18"/>
              </w:rPr>
            </w:pPr>
          </w:p>
          <w:p>
            <w:pPr>
              <w:pStyle w:val="TableParagraph"/>
              <w:ind w:left="67" w:right="123"/>
              <w:rPr>
                <w:sz w:val="18"/>
              </w:rPr>
            </w:pPr>
            <w:r>
              <w:rPr>
                <w:spacing w:val="-2"/>
                <w:sz w:val="18"/>
              </w:rPr>
              <w:t>Entrevistas Reuniones programadas Correos</w:t>
            </w:r>
          </w:p>
          <w:p>
            <w:pPr>
              <w:pStyle w:val="TableParagraph"/>
              <w:spacing w:before="3"/>
              <w:ind w:left="67"/>
              <w:rPr>
                <w:sz w:val="18"/>
              </w:rPr>
            </w:pPr>
            <w:r>
              <w:rPr>
                <w:sz w:val="18"/>
              </w:rPr>
              <w:t>Minutas</w:t>
            </w:r>
            <w:r>
              <w:rPr>
                <w:spacing w:val="-2"/>
                <w:sz w:val="18"/>
              </w:rPr>
              <w:t> </w:t>
            </w:r>
            <w:r>
              <w:rPr>
                <w:sz w:val="18"/>
              </w:rPr>
              <w:t>de</w:t>
            </w:r>
            <w:r>
              <w:rPr>
                <w:spacing w:val="-2"/>
                <w:sz w:val="18"/>
              </w:rPr>
              <w:t> Sesión</w:t>
            </w:r>
          </w:p>
        </w:tc>
        <w:tc>
          <w:tcPr>
            <w:tcW w:w="1278" w:type="dxa"/>
          </w:tcPr>
          <w:p>
            <w:pPr>
              <w:pStyle w:val="TableParagraph"/>
              <w:rPr>
                <w:b/>
                <w:sz w:val="18"/>
              </w:rPr>
            </w:pPr>
          </w:p>
          <w:p>
            <w:pPr>
              <w:pStyle w:val="TableParagraph"/>
              <w:spacing w:before="161"/>
              <w:rPr>
                <w:b/>
                <w:sz w:val="18"/>
              </w:rPr>
            </w:pPr>
          </w:p>
          <w:p>
            <w:pPr>
              <w:pStyle w:val="TableParagraph"/>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val="restart"/>
          </w:tcPr>
          <w:p>
            <w:pPr>
              <w:pStyle w:val="TableParagraph"/>
              <w:spacing w:before="89"/>
              <w:rPr>
                <w:b/>
                <w:sz w:val="18"/>
              </w:rPr>
            </w:pPr>
          </w:p>
          <w:p>
            <w:pPr>
              <w:pStyle w:val="TableParagraph"/>
              <w:spacing w:before="1"/>
              <w:ind w:left="74" w:right="67"/>
              <w:rPr>
                <w:sz w:val="18"/>
              </w:rPr>
            </w:pPr>
            <w:r>
              <w:rPr>
                <w:sz w:val="18"/>
              </w:rPr>
              <w:t>Evento:</w:t>
            </w:r>
            <w:r>
              <w:rPr>
                <w:spacing w:val="-13"/>
                <w:sz w:val="18"/>
              </w:rPr>
              <w:t> </w:t>
            </w:r>
            <w:r>
              <w:rPr>
                <w:sz w:val="18"/>
              </w:rPr>
              <w:t>Limitada optimización de procesos, para</w:t>
            </w:r>
            <w:r>
              <w:rPr>
                <w:spacing w:val="40"/>
                <w:sz w:val="18"/>
              </w:rPr>
              <w:t> </w:t>
            </w:r>
            <w:r>
              <w:rPr>
                <w:sz w:val="18"/>
              </w:rPr>
              <w:t>el ejercicio de </w:t>
            </w:r>
            <w:r>
              <w:rPr>
                <w:spacing w:val="-2"/>
                <w:sz w:val="18"/>
              </w:rPr>
              <w:t>buenas</w:t>
            </w:r>
            <w:r>
              <w:rPr>
                <w:spacing w:val="40"/>
                <w:sz w:val="18"/>
              </w:rPr>
              <w:t> </w:t>
            </w:r>
            <w:r>
              <w:rPr>
                <w:sz w:val="18"/>
              </w:rPr>
              <w:t>prácticas en el intercambio de </w:t>
            </w:r>
            <w:r>
              <w:rPr>
                <w:spacing w:val="-2"/>
                <w:sz w:val="18"/>
              </w:rPr>
              <w:t>experiencias </w:t>
            </w:r>
            <w:r>
              <w:rPr>
                <w:sz w:val="18"/>
              </w:rPr>
              <w:t>entre personas </w:t>
            </w:r>
            <w:r>
              <w:rPr>
                <w:spacing w:val="-2"/>
                <w:sz w:val="18"/>
              </w:rPr>
              <w:t>funcionarias.</w:t>
            </w:r>
          </w:p>
        </w:tc>
      </w:tr>
      <w:tr>
        <w:trPr>
          <w:trHeight w:val="1099" w:hRule="atLeast"/>
        </w:trPr>
        <w:tc>
          <w:tcPr>
            <w:tcW w:w="2833" w:type="dxa"/>
          </w:tcPr>
          <w:p>
            <w:pPr>
              <w:pStyle w:val="TableParagraph"/>
              <w:spacing w:before="33"/>
              <w:ind w:left="72" w:right="119"/>
              <w:rPr>
                <w:sz w:val="18"/>
              </w:rPr>
            </w:pPr>
            <w:r>
              <w:rPr>
                <w:b/>
                <w:sz w:val="18"/>
              </w:rPr>
              <w:t>Actividad PAC 2.4.2: </w:t>
            </w:r>
            <w:r>
              <w:rPr>
                <w:sz w:val="18"/>
              </w:rPr>
              <w:t>Sistematizar</w:t>
            </w:r>
            <w:r>
              <w:rPr>
                <w:spacing w:val="-9"/>
                <w:sz w:val="18"/>
              </w:rPr>
              <w:t> </w:t>
            </w:r>
            <w:r>
              <w:rPr>
                <w:sz w:val="18"/>
              </w:rPr>
              <w:t>los</w:t>
            </w:r>
            <w:r>
              <w:rPr>
                <w:spacing w:val="-13"/>
                <w:sz w:val="18"/>
              </w:rPr>
              <w:t> </w:t>
            </w:r>
            <w:r>
              <w:rPr>
                <w:sz w:val="18"/>
              </w:rPr>
              <w:t>aprendizajes</w:t>
            </w:r>
            <w:r>
              <w:rPr>
                <w:spacing w:val="-12"/>
                <w:sz w:val="18"/>
              </w:rPr>
              <w:t> </w:t>
            </w:r>
            <w:r>
              <w:rPr>
                <w:sz w:val="18"/>
              </w:rPr>
              <w:t>y resultados de las sesiones ejecutadas, retroalimentar y ajustar la metodología.</w:t>
            </w:r>
          </w:p>
        </w:tc>
        <w:tc>
          <w:tcPr>
            <w:tcW w:w="1560" w:type="dxa"/>
          </w:tcPr>
          <w:p>
            <w:pPr>
              <w:pStyle w:val="TableParagraph"/>
              <w:rPr>
                <w:b/>
                <w:sz w:val="18"/>
              </w:rPr>
            </w:pPr>
          </w:p>
          <w:p>
            <w:pPr>
              <w:pStyle w:val="TableParagraph"/>
              <w:spacing w:before="32"/>
              <w:rPr>
                <w:b/>
                <w:sz w:val="18"/>
              </w:rPr>
            </w:pPr>
          </w:p>
          <w:p>
            <w:pPr>
              <w:pStyle w:val="TableParagraph"/>
              <w:ind w:left="21" w:right="20"/>
              <w:jc w:val="center"/>
              <w:rPr>
                <w:sz w:val="18"/>
              </w:rPr>
            </w:pPr>
            <w:r>
              <w:rPr>
                <w:spacing w:val="-10"/>
                <w:sz w:val="18"/>
              </w:rPr>
              <w:t>0</w:t>
            </w:r>
          </w:p>
        </w:tc>
        <w:tc>
          <w:tcPr>
            <w:tcW w:w="1983" w:type="dxa"/>
          </w:tcPr>
          <w:p>
            <w:pPr>
              <w:pStyle w:val="TableParagraph"/>
              <w:rPr>
                <w:b/>
                <w:sz w:val="18"/>
              </w:rPr>
            </w:pPr>
          </w:p>
          <w:p>
            <w:pPr>
              <w:pStyle w:val="TableParagraph"/>
              <w:spacing w:before="32"/>
              <w:rPr>
                <w:b/>
                <w:sz w:val="18"/>
              </w:rPr>
            </w:pPr>
          </w:p>
          <w:p>
            <w:pPr>
              <w:pStyle w:val="TableParagraph"/>
              <w:ind w:left="14" w:right="12"/>
              <w:jc w:val="center"/>
              <w:rPr>
                <w:sz w:val="18"/>
              </w:rPr>
            </w:pPr>
            <w:r>
              <w:rPr>
                <w:spacing w:val="-10"/>
                <w:sz w:val="18"/>
              </w:rPr>
              <w:t>3</w:t>
            </w:r>
          </w:p>
        </w:tc>
        <w:tc>
          <w:tcPr>
            <w:tcW w:w="1421" w:type="dxa"/>
          </w:tcPr>
          <w:p>
            <w:pPr>
              <w:pStyle w:val="TableParagraph"/>
              <w:spacing w:before="32"/>
              <w:rPr>
                <w:b/>
                <w:sz w:val="18"/>
              </w:rPr>
            </w:pPr>
          </w:p>
          <w:p>
            <w:pPr>
              <w:pStyle w:val="TableParagraph"/>
              <w:ind w:left="72"/>
              <w:rPr>
                <w:sz w:val="18"/>
              </w:rPr>
            </w:pPr>
            <w:r>
              <w:rPr>
                <w:sz w:val="18"/>
              </w:rPr>
              <w:t>Cantidad</w:t>
            </w:r>
            <w:r>
              <w:rPr>
                <w:spacing w:val="-13"/>
                <w:sz w:val="18"/>
              </w:rPr>
              <w:t> </w:t>
            </w:r>
            <w:r>
              <w:rPr>
                <w:sz w:val="18"/>
              </w:rPr>
              <w:t>de </w:t>
            </w:r>
            <w:r>
              <w:rPr>
                <w:spacing w:val="-2"/>
                <w:sz w:val="18"/>
              </w:rPr>
              <w:t>sesiones ejecutadas</w:t>
            </w:r>
          </w:p>
        </w:tc>
        <w:tc>
          <w:tcPr>
            <w:tcW w:w="1839" w:type="dxa"/>
          </w:tcPr>
          <w:p>
            <w:pPr>
              <w:pStyle w:val="TableParagraph"/>
              <w:spacing w:before="33"/>
              <w:ind w:left="67" w:right="123"/>
              <w:rPr>
                <w:sz w:val="18"/>
              </w:rPr>
            </w:pPr>
            <w:r>
              <w:rPr>
                <w:spacing w:val="-2"/>
                <w:sz w:val="18"/>
              </w:rPr>
              <w:t>Reuniones programadas Correos</w:t>
            </w:r>
          </w:p>
          <w:p>
            <w:pPr>
              <w:pStyle w:val="TableParagraph"/>
              <w:ind w:left="67" w:right="123"/>
              <w:rPr>
                <w:sz w:val="18"/>
              </w:rPr>
            </w:pPr>
            <w:r>
              <w:rPr>
                <w:sz w:val="18"/>
              </w:rPr>
              <w:t>Minutas</w:t>
            </w:r>
            <w:r>
              <w:rPr>
                <w:spacing w:val="-15"/>
                <w:sz w:val="18"/>
              </w:rPr>
              <w:t> </w:t>
            </w:r>
            <w:r>
              <w:rPr>
                <w:sz w:val="18"/>
              </w:rPr>
              <w:t>de</w:t>
            </w:r>
            <w:r>
              <w:rPr>
                <w:spacing w:val="-12"/>
                <w:sz w:val="18"/>
              </w:rPr>
              <w:t> </w:t>
            </w:r>
            <w:r>
              <w:rPr>
                <w:sz w:val="18"/>
              </w:rPr>
              <w:t>Sesión, informe técnico</w:t>
            </w:r>
          </w:p>
        </w:tc>
        <w:tc>
          <w:tcPr>
            <w:tcW w:w="1278" w:type="dxa"/>
          </w:tcPr>
          <w:p>
            <w:pPr>
              <w:pStyle w:val="TableParagraph"/>
              <w:spacing w:before="133"/>
              <w:rPr>
                <w:b/>
                <w:sz w:val="18"/>
              </w:rPr>
            </w:pPr>
          </w:p>
          <w:p>
            <w:pPr>
              <w:pStyle w:val="TableParagraph"/>
              <w:spacing w:line="244" w:lineRule="auto"/>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tcBorders>
              <w:top w:val="nil"/>
            </w:tcBorders>
          </w:tcPr>
          <w:p>
            <w:pPr>
              <w:rPr>
                <w:sz w:val="2"/>
                <w:szCs w:val="2"/>
              </w:rPr>
            </w:pPr>
          </w:p>
        </w:tc>
      </w:tr>
      <w:tr>
        <w:trPr>
          <w:trHeight w:val="571" w:hRule="atLeast"/>
        </w:trPr>
        <w:tc>
          <w:tcPr>
            <w:tcW w:w="14253" w:type="dxa"/>
            <w:gridSpan w:val="8"/>
            <w:shd w:val="clear" w:color="auto" w:fill="EFF8F9"/>
          </w:tcPr>
          <w:p>
            <w:pPr>
              <w:pStyle w:val="TableParagraph"/>
              <w:spacing w:before="181"/>
              <w:ind w:left="72"/>
              <w:rPr>
                <w:b/>
                <w:sz w:val="18"/>
              </w:rPr>
            </w:pPr>
            <w:r>
              <w:rPr>
                <w:b/>
                <w:sz w:val="18"/>
              </w:rPr>
              <w:t>Producto</w:t>
            </w:r>
            <w:r>
              <w:rPr>
                <w:b/>
                <w:spacing w:val="-8"/>
                <w:sz w:val="18"/>
              </w:rPr>
              <w:t> </w:t>
            </w:r>
            <w:r>
              <w:rPr>
                <w:b/>
                <w:sz w:val="18"/>
              </w:rPr>
              <w:t>PAC</w:t>
            </w:r>
            <w:r>
              <w:rPr>
                <w:b/>
                <w:spacing w:val="-8"/>
                <w:sz w:val="18"/>
              </w:rPr>
              <w:t> </w:t>
            </w:r>
            <w:r>
              <w:rPr>
                <w:b/>
                <w:sz w:val="18"/>
              </w:rPr>
              <w:t>2.5:</w:t>
            </w:r>
            <w:r>
              <w:rPr>
                <w:b/>
                <w:spacing w:val="43"/>
                <w:sz w:val="18"/>
              </w:rPr>
              <w:t> </w:t>
            </w:r>
            <w:r>
              <w:rPr>
                <w:b/>
                <w:sz w:val="18"/>
              </w:rPr>
              <w:t>Programa</w:t>
            </w:r>
            <w:r>
              <w:rPr>
                <w:b/>
                <w:spacing w:val="-7"/>
                <w:sz w:val="18"/>
              </w:rPr>
              <w:t> </w:t>
            </w:r>
            <w:r>
              <w:rPr>
                <w:b/>
                <w:sz w:val="18"/>
              </w:rPr>
              <w:t>de</w:t>
            </w:r>
            <w:r>
              <w:rPr>
                <w:b/>
                <w:spacing w:val="-2"/>
                <w:sz w:val="18"/>
              </w:rPr>
              <w:t> </w:t>
            </w:r>
            <w:r>
              <w:rPr>
                <w:b/>
                <w:sz w:val="18"/>
              </w:rPr>
              <w:t>pasantías</w:t>
            </w:r>
            <w:r>
              <w:rPr>
                <w:b/>
                <w:spacing w:val="-12"/>
                <w:sz w:val="18"/>
              </w:rPr>
              <w:t> </w:t>
            </w:r>
            <w:r>
              <w:rPr>
                <w:b/>
                <w:sz w:val="18"/>
              </w:rPr>
              <w:t>interdepartamentales</w:t>
            </w:r>
            <w:r>
              <w:rPr>
                <w:b/>
                <w:spacing w:val="-2"/>
                <w:sz w:val="18"/>
              </w:rPr>
              <w:t> </w:t>
            </w:r>
            <w:r>
              <w:rPr>
                <w:b/>
                <w:sz w:val="18"/>
              </w:rPr>
              <w:t>E6</w:t>
            </w:r>
            <w:r>
              <w:rPr>
                <w:b/>
                <w:spacing w:val="-3"/>
                <w:sz w:val="18"/>
              </w:rPr>
              <w:t> </w:t>
            </w:r>
            <w:r>
              <w:rPr>
                <w:b/>
                <w:sz w:val="18"/>
              </w:rPr>
              <w:t>AE1</w:t>
            </w:r>
            <w:r>
              <w:rPr>
                <w:b/>
                <w:spacing w:val="-7"/>
                <w:sz w:val="18"/>
              </w:rPr>
              <w:t> </w:t>
            </w:r>
            <w:r>
              <w:rPr>
                <w:b/>
                <w:sz w:val="18"/>
              </w:rPr>
              <w:t>R2</w:t>
            </w:r>
            <w:r>
              <w:rPr>
                <w:b/>
                <w:spacing w:val="-6"/>
                <w:sz w:val="18"/>
              </w:rPr>
              <w:t> </w:t>
            </w:r>
            <w:r>
              <w:rPr>
                <w:b/>
                <w:sz w:val="18"/>
              </w:rPr>
              <w:t>(meta</w:t>
            </w:r>
            <w:r>
              <w:rPr>
                <w:b/>
                <w:spacing w:val="-7"/>
                <w:sz w:val="18"/>
              </w:rPr>
              <w:t> </w:t>
            </w:r>
            <w:r>
              <w:rPr>
                <w:b/>
                <w:sz w:val="18"/>
              </w:rPr>
              <w:t>programada</w:t>
            </w:r>
            <w:r>
              <w:rPr>
                <w:b/>
                <w:spacing w:val="-6"/>
                <w:sz w:val="18"/>
              </w:rPr>
              <w:t> </w:t>
            </w:r>
            <w:r>
              <w:rPr>
                <w:b/>
                <w:spacing w:val="-4"/>
                <w:sz w:val="18"/>
              </w:rPr>
              <w:t>50%)</w:t>
            </w:r>
          </w:p>
        </w:tc>
      </w:tr>
      <w:tr>
        <w:trPr>
          <w:trHeight w:val="825" w:hRule="atLeast"/>
        </w:trPr>
        <w:tc>
          <w:tcPr>
            <w:tcW w:w="2833" w:type="dxa"/>
          </w:tcPr>
          <w:p>
            <w:pPr>
              <w:pStyle w:val="TableParagraph"/>
              <w:ind w:left="72" w:right="119"/>
              <w:rPr>
                <w:sz w:val="18"/>
              </w:rPr>
            </w:pPr>
            <w:r>
              <w:rPr>
                <w:b/>
                <w:sz w:val="18"/>
              </w:rPr>
              <w:t>Actividad PAC 2.5.1: </w:t>
            </w:r>
            <w:r>
              <w:rPr>
                <w:sz w:val="18"/>
              </w:rPr>
              <w:t>Implementar</w:t>
            </w:r>
            <w:r>
              <w:rPr>
                <w:spacing w:val="-11"/>
                <w:sz w:val="18"/>
              </w:rPr>
              <w:t> </w:t>
            </w:r>
            <w:r>
              <w:rPr>
                <w:sz w:val="18"/>
              </w:rPr>
              <w:t>el</w:t>
            </w:r>
            <w:r>
              <w:rPr>
                <w:spacing w:val="-13"/>
                <w:sz w:val="18"/>
              </w:rPr>
              <w:t> </w:t>
            </w:r>
            <w:r>
              <w:rPr>
                <w:sz w:val="18"/>
              </w:rPr>
              <w:t>programa institucional</w:t>
            </w:r>
            <w:r>
              <w:rPr>
                <w:spacing w:val="-7"/>
                <w:sz w:val="18"/>
              </w:rPr>
              <w:t> </w:t>
            </w:r>
            <w:r>
              <w:rPr>
                <w:sz w:val="18"/>
              </w:rPr>
              <w:t>de</w:t>
            </w:r>
            <w:r>
              <w:rPr>
                <w:spacing w:val="-4"/>
                <w:sz w:val="18"/>
              </w:rPr>
              <w:t> </w:t>
            </w:r>
            <w:r>
              <w:rPr>
                <w:spacing w:val="-2"/>
                <w:sz w:val="18"/>
              </w:rPr>
              <w:t>pasantías</w:t>
            </w:r>
          </w:p>
          <w:p>
            <w:pPr>
              <w:pStyle w:val="TableParagraph"/>
              <w:spacing w:line="186" w:lineRule="exact"/>
              <w:ind w:left="72"/>
              <w:rPr>
                <w:sz w:val="18"/>
              </w:rPr>
            </w:pPr>
            <w:r>
              <w:rPr>
                <w:spacing w:val="-2"/>
                <w:sz w:val="18"/>
              </w:rPr>
              <w:t>interdepartamentales</w:t>
            </w:r>
          </w:p>
        </w:tc>
        <w:tc>
          <w:tcPr>
            <w:tcW w:w="1560" w:type="dxa"/>
          </w:tcPr>
          <w:p>
            <w:pPr>
              <w:pStyle w:val="TableParagraph"/>
              <w:spacing w:before="103"/>
              <w:rPr>
                <w:b/>
                <w:sz w:val="18"/>
              </w:rPr>
            </w:pPr>
          </w:p>
          <w:p>
            <w:pPr>
              <w:pStyle w:val="TableParagraph"/>
              <w:spacing w:before="1"/>
              <w:ind w:left="21" w:right="20"/>
              <w:jc w:val="center"/>
              <w:rPr>
                <w:sz w:val="18"/>
              </w:rPr>
            </w:pPr>
            <w:r>
              <w:rPr>
                <w:spacing w:val="-10"/>
                <w:sz w:val="18"/>
              </w:rPr>
              <w:t>0</w:t>
            </w:r>
          </w:p>
        </w:tc>
        <w:tc>
          <w:tcPr>
            <w:tcW w:w="1983" w:type="dxa"/>
          </w:tcPr>
          <w:p>
            <w:pPr>
              <w:pStyle w:val="TableParagraph"/>
              <w:spacing w:before="103"/>
              <w:rPr>
                <w:b/>
                <w:sz w:val="18"/>
              </w:rPr>
            </w:pPr>
          </w:p>
          <w:p>
            <w:pPr>
              <w:pStyle w:val="TableParagraph"/>
              <w:spacing w:before="1"/>
              <w:ind w:left="14" w:right="5"/>
              <w:jc w:val="center"/>
              <w:rPr>
                <w:sz w:val="18"/>
              </w:rPr>
            </w:pPr>
            <w:r>
              <w:rPr>
                <w:spacing w:val="-4"/>
                <w:sz w:val="18"/>
              </w:rPr>
              <w:t>100%</w:t>
            </w:r>
          </w:p>
        </w:tc>
        <w:tc>
          <w:tcPr>
            <w:tcW w:w="1421" w:type="dxa"/>
          </w:tcPr>
          <w:p>
            <w:pPr>
              <w:pStyle w:val="TableParagraph"/>
              <w:ind w:left="72" w:right="181"/>
              <w:rPr>
                <w:sz w:val="18"/>
              </w:rPr>
            </w:pPr>
            <w:r>
              <w:rPr>
                <w:sz w:val="18"/>
              </w:rPr>
              <w:t>Porcentaje</w:t>
            </w:r>
            <w:r>
              <w:rPr>
                <w:spacing w:val="-13"/>
                <w:sz w:val="18"/>
              </w:rPr>
              <w:t> </w:t>
            </w:r>
            <w:r>
              <w:rPr>
                <w:sz w:val="18"/>
              </w:rPr>
              <w:t>del programa de </w:t>
            </w:r>
            <w:r>
              <w:rPr>
                <w:spacing w:val="-2"/>
                <w:sz w:val="18"/>
              </w:rPr>
              <w:t>pasantías</w:t>
            </w:r>
          </w:p>
          <w:p>
            <w:pPr>
              <w:pStyle w:val="TableParagraph"/>
              <w:spacing w:line="186" w:lineRule="exact"/>
              <w:ind w:left="72"/>
              <w:rPr>
                <w:sz w:val="18"/>
              </w:rPr>
            </w:pPr>
            <w:r>
              <w:rPr>
                <w:spacing w:val="-2"/>
                <w:sz w:val="18"/>
              </w:rPr>
              <w:t>implementado</w:t>
            </w:r>
          </w:p>
        </w:tc>
        <w:tc>
          <w:tcPr>
            <w:tcW w:w="1839" w:type="dxa"/>
          </w:tcPr>
          <w:p>
            <w:pPr>
              <w:pStyle w:val="TableParagraph"/>
              <w:ind w:left="67" w:right="123"/>
              <w:rPr>
                <w:sz w:val="18"/>
              </w:rPr>
            </w:pPr>
            <w:r>
              <w:rPr>
                <w:sz w:val="18"/>
              </w:rPr>
              <w:t>Comprobante de participación</w:t>
            </w:r>
            <w:r>
              <w:rPr>
                <w:spacing w:val="-15"/>
                <w:sz w:val="18"/>
              </w:rPr>
              <w:t> </w:t>
            </w:r>
            <w:r>
              <w:rPr>
                <w:sz w:val="18"/>
              </w:rPr>
              <w:t>en</w:t>
            </w:r>
            <w:r>
              <w:rPr>
                <w:spacing w:val="-12"/>
                <w:sz w:val="18"/>
              </w:rPr>
              <w:t> </w:t>
            </w:r>
            <w:r>
              <w:rPr>
                <w:sz w:val="18"/>
              </w:rPr>
              <w:t>el programa de</w:t>
            </w:r>
          </w:p>
          <w:p>
            <w:pPr>
              <w:pStyle w:val="TableParagraph"/>
              <w:spacing w:line="186" w:lineRule="exact"/>
              <w:ind w:left="67"/>
              <w:rPr>
                <w:sz w:val="18"/>
              </w:rPr>
            </w:pPr>
            <w:r>
              <w:rPr>
                <w:spacing w:val="-2"/>
                <w:sz w:val="18"/>
              </w:rPr>
              <w:t>pasantías</w:t>
            </w:r>
          </w:p>
        </w:tc>
        <w:tc>
          <w:tcPr>
            <w:tcW w:w="1278" w:type="dxa"/>
          </w:tcPr>
          <w:p>
            <w:pPr>
              <w:pStyle w:val="TableParagraph"/>
              <w:spacing w:before="205"/>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val="restart"/>
          </w:tcPr>
          <w:p>
            <w:pPr>
              <w:pStyle w:val="TableParagraph"/>
              <w:spacing w:before="108"/>
              <w:rPr>
                <w:b/>
                <w:sz w:val="18"/>
              </w:rPr>
            </w:pPr>
          </w:p>
          <w:p>
            <w:pPr>
              <w:pStyle w:val="TableParagraph"/>
              <w:ind w:left="74" w:right="67"/>
              <w:rPr>
                <w:sz w:val="18"/>
              </w:rPr>
            </w:pPr>
            <w:r>
              <w:rPr>
                <w:sz w:val="18"/>
              </w:rPr>
              <w:t>Evento: No contar con la aprobación</w:t>
            </w:r>
            <w:r>
              <w:rPr>
                <w:spacing w:val="-13"/>
                <w:sz w:val="18"/>
              </w:rPr>
              <w:t> </w:t>
            </w:r>
            <w:r>
              <w:rPr>
                <w:sz w:val="18"/>
              </w:rPr>
              <w:t>del programa de </w:t>
            </w:r>
            <w:r>
              <w:rPr>
                <w:spacing w:val="-2"/>
                <w:sz w:val="18"/>
              </w:rPr>
              <w:t>pasantías</w:t>
            </w:r>
          </w:p>
        </w:tc>
      </w:tr>
      <w:tr>
        <w:trPr>
          <w:trHeight w:val="830" w:hRule="atLeast"/>
        </w:trPr>
        <w:tc>
          <w:tcPr>
            <w:tcW w:w="2833" w:type="dxa"/>
          </w:tcPr>
          <w:p>
            <w:pPr>
              <w:pStyle w:val="TableParagraph"/>
              <w:spacing w:line="206" w:lineRule="exact"/>
              <w:ind w:left="72" w:right="87"/>
              <w:rPr>
                <w:sz w:val="18"/>
              </w:rPr>
            </w:pPr>
            <w:r>
              <w:rPr>
                <w:b/>
                <w:sz w:val="18"/>
              </w:rPr>
              <w:t>Actividad PAC 2.5.2:</w:t>
            </w:r>
            <w:r>
              <w:rPr>
                <w:b/>
                <w:spacing w:val="40"/>
                <w:sz w:val="18"/>
              </w:rPr>
              <w:t> </w:t>
            </w:r>
            <w:r>
              <w:rPr>
                <w:sz w:val="18"/>
              </w:rPr>
              <w:t>Evaluar las</w:t>
            </w:r>
            <w:r>
              <w:rPr>
                <w:spacing w:val="-8"/>
                <w:sz w:val="18"/>
              </w:rPr>
              <w:t> </w:t>
            </w:r>
            <w:r>
              <w:rPr>
                <w:sz w:val="18"/>
              </w:rPr>
              <w:t>pasantías</w:t>
            </w:r>
            <w:r>
              <w:rPr>
                <w:spacing w:val="-12"/>
                <w:sz w:val="18"/>
              </w:rPr>
              <w:t> </w:t>
            </w:r>
            <w:r>
              <w:rPr>
                <w:sz w:val="18"/>
              </w:rPr>
              <w:t>realizadas</w:t>
            </w:r>
            <w:r>
              <w:rPr>
                <w:spacing w:val="-12"/>
                <w:sz w:val="18"/>
              </w:rPr>
              <w:t> </w:t>
            </w:r>
            <w:r>
              <w:rPr>
                <w:sz w:val="18"/>
              </w:rPr>
              <w:t>y</w:t>
            </w:r>
            <w:r>
              <w:rPr>
                <w:spacing w:val="-8"/>
                <w:sz w:val="18"/>
              </w:rPr>
              <w:t> </w:t>
            </w:r>
            <w:r>
              <w:rPr>
                <w:sz w:val="18"/>
              </w:rPr>
              <w:t>ajustar el programa con base en los </w:t>
            </w:r>
            <w:r>
              <w:rPr>
                <w:spacing w:val="-2"/>
                <w:sz w:val="18"/>
              </w:rPr>
              <w:t>aprendizajes</w:t>
            </w:r>
          </w:p>
        </w:tc>
        <w:tc>
          <w:tcPr>
            <w:tcW w:w="1560" w:type="dxa"/>
          </w:tcPr>
          <w:p>
            <w:pPr>
              <w:pStyle w:val="TableParagraph"/>
              <w:spacing w:before="103"/>
              <w:rPr>
                <w:b/>
                <w:sz w:val="18"/>
              </w:rPr>
            </w:pPr>
          </w:p>
          <w:p>
            <w:pPr>
              <w:pStyle w:val="TableParagraph"/>
              <w:spacing w:before="1"/>
              <w:ind w:left="21" w:right="20"/>
              <w:jc w:val="center"/>
              <w:rPr>
                <w:sz w:val="18"/>
              </w:rPr>
            </w:pPr>
            <w:r>
              <w:rPr>
                <w:spacing w:val="-10"/>
                <w:sz w:val="18"/>
              </w:rPr>
              <w:t>0</w:t>
            </w:r>
          </w:p>
        </w:tc>
        <w:tc>
          <w:tcPr>
            <w:tcW w:w="1983" w:type="dxa"/>
          </w:tcPr>
          <w:p>
            <w:pPr>
              <w:pStyle w:val="TableParagraph"/>
              <w:spacing w:before="103"/>
              <w:rPr>
                <w:b/>
                <w:sz w:val="18"/>
              </w:rPr>
            </w:pPr>
          </w:p>
          <w:p>
            <w:pPr>
              <w:pStyle w:val="TableParagraph"/>
              <w:spacing w:before="1"/>
              <w:ind w:left="14" w:right="12"/>
              <w:jc w:val="center"/>
              <w:rPr>
                <w:sz w:val="18"/>
              </w:rPr>
            </w:pPr>
            <w:r>
              <w:rPr>
                <w:spacing w:val="-10"/>
                <w:sz w:val="18"/>
              </w:rPr>
              <w:t>6</w:t>
            </w:r>
          </w:p>
        </w:tc>
        <w:tc>
          <w:tcPr>
            <w:tcW w:w="1421" w:type="dxa"/>
          </w:tcPr>
          <w:p>
            <w:pPr>
              <w:pStyle w:val="TableParagraph"/>
              <w:spacing w:before="104"/>
              <w:ind w:left="72"/>
              <w:rPr>
                <w:sz w:val="18"/>
              </w:rPr>
            </w:pPr>
            <w:r>
              <w:rPr>
                <w:sz w:val="18"/>
              </w:rPr>
              <w:t>Cantidad de </w:t>
            </w:r>
            <w:r>
              <w:rPr>
                <w:spacing w:val="-2"/>
                <w:sz w:val="18"/>
              </w:rPr>
              <w:t>evaluaciones realizadas</w:t>
            </w:r>
          </w:p>
        </w:tc>
        <w:tc>
          <w:tcPr>
            <w:tcW w:w="1839" w:type="dxa"/>
          </w:tcPr>
          <w:p>
            <w:pPr>
              <w:pStyle w:val="TableParagraph"/>
              <w:spacing w:before="3"/>
              <w:rPr>
                <w:b/>
                <w:sz w:val="18"/>
              </w:rPr>
            </w:pPr>
          </w:p>
          <w:p>
            <w:pPr>
              <w:pStyle w:val="TableParagraph"/>
              <w:ind w:left="67" w:right="123"/>
              <w:rPr>
                <w:sz w:val="18"/>
              </w:rPr>
            </w:pPr>
            <w:r>
              <w:rPr>
                <w:sz w:val="18"/>
              </w:rPr>
              <w:t>Comprobante</w:t>
            </w:r>
            <w:r>
              <w:rPr>
                <w:spacing w:val="-13"/>
                <w:sz w:val="18"/>
              </w:rPr>
              <w:t> </w:t>
            </w:r>
            <w:r>
              <w:rPr>
                <w:sz w:val="18"/>
              </w:rPr>
              <w:t>de </w:t>
            </w:r>
            <w:r>
              <w:rPr>
                <w:spacing w:val="-2"/>
                <w:sz w:val="18"/>
              </w:rPr>
              <w:t>evaluaciones</w:t>
            </w:r>
          </w:p>
        </w:tc>
        <w:tc>
          <w:tcPr>
            <w:tcW w:w="1278" w:type="dxa"/>
          </w:tcPr>
          <w:p>
            <w:pPr>
              <w:pStyle w:val="TableParagraph"/>
              <w:spacing w:before="3"/>
              <w:rPr>
                <w:b/>
                <w:sz w:val="18"/>
              </w:rPr>
            </w:pPr>
          </w:p>
          <w:p>
            <w:pPr>
              <w:pStyle w:val="TableParagraph"/>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tcBorders>
              <w:top w:val="nil"/>
            </w:tcBorders>
          </w:tcPr>
          <w:p>
            <w:pPr>
              <w:rPr>
                <w:sz w:val="2"/>
                <w:szCs w:val="2"/>
              </w:rPr>
            </w:pPr>
          </w:p>
        </w:tc>
      </w:tr>
      <w:tr>
        <w:trPr>
          <w:trHeight w:val="619" w:hRule="atLeast"/>
        </w:trPr>
        <w:tc>
          <w:tcPr>
            <w:tcW w:w="14253" w:type="dxa"/>
            <w:gridSpan w:val="8"/>
            <w:shd w:val="clear" w:color="auto" w:fill="EFF8F9"/>
          </w:tcPr>
          <w:p>
            <w:pPr>
              <w:pStyle w:val="TableParagraph"/>
              <w:spacing w:line="244" w:lineRule="auto" w:before="100"/>
              <w:ind w:left="72" w:right="78"/>
              <w:rPr>
                <w:b/>
                <w:sz w:val="18"/>
              </w:rPr>
            </w:pPr>
            <w:r>
              <w:rPr>
                <w:b/>
                <w:sz w:val="18"/>
              </w:rPr>
              <w:t>Producto</w:t>
            </w:r>
            <w:r>
              <w:rPr>
                <w:b/>
                <w:spacing w:val="-4"/>
                <w:sz w:val="18"/>
              </w:rPr>
              <w:t> </w:t>
            </w:r>
            <w:r>
              <w:rPr>
                <w:b/>
                <w:sz w:val="18"/>
              </w:rPr>
              <w:t>PAC</w:t>
            </w:r>
            <w:r>
              <w:rPr>
                <w:b/>
                <w:spacing w:val="-5"/>
                <w:sz w:val="18"/>
              </w:rPr>
              <w:t> </w:t>
            </w:r>
            <w:r>
              <w:rPr>
                <w:b/>
                <w:sz w:val="18"/>
              </w:rPr>
              <w:t>2.6:</w:t>
            </w:r>
            <w:r>
              <w:rPr>
                <w:b/>
                <w:spacing w:val="40"/>
                <w:sz w:val="18"/>
              </w:rPr>
              <w:t> </w:t>
            </w:r>
            <w:r>
              <w:rPr>
                <w:b/>
                <w:sz w:val="18"/>
              </w:rPr>
              <w:t>Indicadores del</w:t>
            </w:r>
            <w:r>
              <w:rPr>
                <w:b/>
                <w:spacing w:val="-1"/>
                <w:sz w:val="18"/>
              </w:rPr>
              <w:t> </w:t>
            </w:r>
            <w:r>
              <w:rPr>
                <w:b/>
                <w:sz w:val="18"/>
              </w:rPr>
              <w:t>Desempeño</w:t>
            </w:r>
            <w:r>
              <w:rPr>
                <w:b/>
                <w:spacing w:val="-4"/>
                <w:sz w:val="18"/>
              </w:rPr>
              <w:t> </w:t>
            </w:r>
            <w:r>
              <w:rPr>
                <w:b/>
                <w:sz w:val="18"/>
              </w:rPr>
              <w:t>del</w:t>
            </w:r>
            <w:r>
              <w:rPr>
                <w:b/>
                <w:spacing w:val="-1"/>
                <w:sz w:val="18"/>
              </w:rPr>
              <w:t> </w:t>
            </w:r>
            <w:r>
              <w:rPr>
                <w:b/>
                <w:sz w:val="18"/>
              </w:rPr>
              <w:t>personal</w:t>
            </w:r>
            <w:r>
              <w:rPr>
                <w:b/>
                <w:spacing w:val="-1"/>
                <w:sz w:val="18"/>
              </w:rPr>
              <w:t> </w:t>
            </w:r>
            <w:r>
              <w:rPr>
                <w:b/>
                <w:sz w:val="18"/>
              </w:rPr>
              <w:t>institucional alineados</w:t>
            </w:r>
            <w:r>
              <w:rPr>
                <w:b/>
                <w:spacing w:val="-3"/>
                <w:sz w:val="18"/>
              </w:rPr>
              <w:t> </w:t>
            </w:r>
            <w:r>
              <w:rPr>
                <w:b/>
                <w:sz w:val="18"/>
              </w:rPr>
              <w:t>con</w:t>
            </w:r>
            <w:r>
              <w:rPr>
                <w:b/>
                <w:spacing w:val="-4"/>
                <w:sz w:val="18"/>
              </w:rPr>
              <w:t> </w:t>
            </w:r>
            <w:r>
              <w:rPr>
                <w:b/>
                <w:sz w:val="18"/>
              </w:rPr>
              <w:t>los objetivos de</w:t>
            </w:r>
            <w:r>
              <w:rPr>
                <w:b/>
                <w:spacing w:val="-8"/>
                <w:sz w:val="18"/>
              </w:rPr>
              <w:t> </w:t>
            </w:r>
            <w:r>
              <w:rPr>
                <w:b/>
                <w:sz w:val="18"/>
              </w:rPr>
              <w:t>las</w:t>
            </w:r>
            <w:r>
              <w:rPr>
                <w:b/>
                <w:spacing w:val="-3"/>
                <w:sz w:val="18"/>
              </w:rPr>
              <w:t> </w:t>
            </w:r>
            <w:r>
              <w:rPr>
                <w:b/>
                <w:sz w:val="18"/>
              </w:rPr>
              <w:t>dependencias</w:t>
            </w:r>
            <w:r>
              <w:rPr>
                <w:b/>
                <w:spacing w:val="-3"/>
                <w:sz w:val="18"/>
              </w:rPr>
              <w:t> </w:t>
            </w:r>
            <w:r>
              <w:rPr>
                <w:b/>
                <w:sz w:val="18"/>
              </w:rPr>
              <w:t>y</w:t>
            </w:r>
            <w:r>
              <w:rPr>
                <w:b/>
                <w:spacing w:val="-3"/>
                <w:sz w:val="18"/>
              </w:rPr>
              <w:t> </w:t>
            </w:r>
            <w:r>
              <w:rPr>
                <w:b/>
                <w:sz w:val="18"/>
              </w:rPr>
              <w:t>órganos</w:t>
            </w:r>
            <w:r>
              <w:rPr>
                <w:b/>
                <w:spacing w:val="-3"/>
                <w:sz w:val="18"/>
              </w:rPr>
              <w:t> </w:t>
            </w:r>
            <w:r>
              <w:rPr>
                <w:b/>
                <w:sz w:val="18"/>
              </w:rPr>
              <w:t>adscritos según</w:t>
            </w:r>
            <w:r>
              <w:rPr>
                <w:b/>
                <w:spacing w:val="-4"/>
                <w:sz w:val="18"/>
              </w:rPr>
              <w:t> </w:t>
            </w:r>
            <w:r>
              <w:rPr>
                <w:b/>
                <w:sz w:val="18"/>
              </w:rPr>
              <w:t>corresponda E6 AE2 R1 (meta programada 60%)</w:t>
            </w:r>
          </w:p>
        </w:tc>
      </w:tr>
      <w:tr>
        <w:trPr>
          <w:trHeight w:val="1036" w:hRule="atLeast"/>
        </w:trPr>
        <w:tc>
          <w:tcPr>
            <w:tcW w:w="2833" w:type="dxa"/>
          </w:tcPr>
          <w:p>
            <w:pPr>
              <w:pStyle w:val="TableParagraph"/>
              <w:ind w:left="72" w:right="119"/>
              <w:rPr>
                <w:sz w:val="18"/>
              </w:rPr>
            </w:pPr>
            <w:r>
              <w:rPr>
                <w:b/>
                <w:sz w:val="18"/>
              </w:rPr>
              <w:t>Actividad PAC 2.6.1: </w:t>
            </w:r>
            <w:r>
              <w:rPr>
                <w:sz w:val="18"/>
              </w:rPr>
              <w:t>Indicadores</w:t>
            </w:r>
            <w:r>
              <w:rPr>
                <w:spacing w:val="-13"/>
                <w:sz w:val="18"/>
              </w:rPr>
              <w:t> </w:t>
            </w:r>
            <w:r>
              <w:rPr>
                <w:sz w:val="18"/>
              </w:rPr>
              <w:t>de</w:t>
            </w:r>
            <w:r>
              <w:rPr>
                <w:spacing w:val="-12"/>
                <w:sz w:val="18"/>
              </w:rPr>
              <w:t> </w:t>
            </w:r>
            <w:r>
              <w:rPr>
                <w:sz w:val="18"/>
              </w:rPr>
              <w:t>desempeño</w:t>
            </w:r>
            <w:r>
              <w:rPr>
                <w:spacing w:val="-11"/>
                <w:sz w:val="18"/>
              </w:rPr>
              <w:t> </w:t>
            </w:r>
            <w:r>
              <w:rPr>
                <w:sz w:val="18"/>
              </w:rPr>
              <w:t>del personal alineados con los objetivos</w:t>
            </w:r>
            <w:r>
              <w:rPr>
                <w:spacing w:val="-6"/>
                <w:sz w:val="18"/>
              </w:rPr>
              <w:t> </w:t>
            </w:r>
            <w:r>
              <w:rPr>
                <w:sz w:val="18"/>
              </w:rPr>
              <w:t>y</w:t>
            </w:r>
            <w:r>
              <w:rPr>
                <w:spacing w:val="-2"/>
                <w:sz w:val="18"/>
              </w:rPr>
              <w:t> </w:t>
            </w:r>
            <w:r>
              <w:rPr>
                <w:sz w:val="18"/>
              </w:rPr>
              <w:t>los</w:t>
            </w:r>
            <w:r>
              <w:rPr>
                <w:spacing w:val="-2"/>
                <w:sz w:val="18"/>
              </w:rPr>
              <w:t> </w:t>
            </w:r>
            <w:r>
              <w:rPr>
                <w:sz w:val="18"/>
              </w:rPr>
              <w:t>procesos</w:t>
            </w:r>
            <w:r>
              <w:rPr>
                <w:spacing w:val="-6"/>
                <w:sz w:val="18"/>
              </w:rPr>
              <w:t> </w:t>
            </w:r>
            <w:r>
              <w:rPr>
                <w:sz w:val="18"/>
              </w:rPr>
              <w:t>de</w:t>
            </w:r>
            <w:r>
              <w:rPr>
                <w:spacing w:val="-2"/>
                <w:sz w:val="18"/>
              </w:rPr>
              <w:t> </w:t>
            </w:r>
            <w:r>
              <w:rPr>
                <w:sz w:val="18"/>
              </w:rPr>
              <w:t>las</w:t>
            </w:r>
          </w:p>
          <w:p>
            <w:pPr>
              <w:pStyle w:val="TableParagraph"/>
              <w:spacing w:line="187" w:lineRule="exact" w:before="2"/>
              <w:ind w:left="72"/>
              <w:rPr>
                <w:sz w:val="18"/>
              </w:rPr>
            </w:pPr>
            <w:r>
              <w:rPr>
                <w:spacing w:val="-2"/>
                <w:sz w:val="18"/>
              </w:rPr>
              <w:t>dependencias</w:t>
            </w:r>
          </w:p>
        </w:tc>
        <w:tc>
          <w:tcPr>
            <w:tcW w:w="1560" w:type="dxa"/>
          </w:tcPr>
          <w:p>
            <w:pPr>
              <w:pStyle w:val="TableParagraph"/>
              <w:spacing w:before="204"/>
              <w:rPr>
                <w:b/>
                <w:sz w:val="18"/>
              </w:rPr>
            </w:pPr>
          </w:p>
          <w:p>
            <w:pPr>
              <w:pStyle w:val="TableParagraph"/>
              <w:ind w:left="21" w:right="18"/>
              <w:jc w:val="center"/>
              <w:rPr>
                <w:sz w:val="18"/>
              </w:rPr>
            </w:pPr>
            <w:r>
              <w:rPr>
                <w:spacing w:val="-5"/>
                <w:sz w:val="18"/>
              </w:rPr>
              <w:t>20%</w:t>
            </w:r>
          </w:p>
        </w:tc>
        <w:tc>
          <w:tcPr>
            <w:tcW w:w="1983" w:type="dxa"/>
          </w:tcPr>
          <w:p>
            <w:pPr>
              <w:pStyle w:val="TableParagraph"/>
              <w:spacing w:before="204"/>
              <w:rPr>
                <w:b/>
                <w:sz w:val="18"/>
              </w:rPr>
            </w:pPr>
          </w:p>
          <w:p>
            <w:pPr>
              <w:pStyle w:val="TableParagraph"/>
              <w:ind w:left="14" w:right="5"/>
              <w:jc w:val="center"/>
              <w:rPr>
                <w:sz w:val="18"/>
              </w:rPr>
            </w:pPr>
            <w:r>
              <w:rPr>
                <w:spacing w:val="-4"/>
                <w:sz w:val="18"/>
              </w:rPr>
              <w:t>100%</w:t>
            </w:r>
          </w:p>
        </w:tc>
        <w:tc>
          <w:tcPr>
            <w:tcW w:w="1421" w:type="dxa"/>
          </w:tcPr>
          <w:p>
            <w:pPr>
              <w:pStyle w:val="TableParagraph"/>
              <w:spacing w:before="104"/>
              <w:ind w:left="72" w:right="106"/>
              <w:rPr>
                <w:sz w:val="18"/>
              </w:rPr>
            </w:pPr>
            <w:r>
              <w:rPr>
                <w:sz w:val="18"/>
              </w:rPr>
              <w:t>Porcentaje de los</w:t>
            </w:r>
            <w:r>
              <w:rPr>
                <w:spacing w:val="-13"/>
                <w:sz w:val="18"/>
              </w:rPr>
              <w:t> </w:t>
            </w:r>
            <w:r>
              <w:rPr>
                <w:sz w:val="18"/>
              </w:rPr>
              <w:t>indicadores de</w:t>
            </w:r>
            <w:r>
              <w:rPr>
                <w:spacing w:val="-13"/>
                <w:sz w:val="18"/>
              </w:rPr>
              <w:t> </w:t>
            </w:r>
            <w:r>
              <w:rPr>
                <w:sz w:val="18"/>
              </w:rPr>
              <w:t>desempeño </w:t>
            </w:r>
            <w:r>
              <w:rPr>
                <w:spacing w:val="-2"/>
                <w:sz w:val="18"/>
              </w:rPr>
              <w:t>alineados</w:t>
            </w:r>
          </w:p>
        </w:tc>
        <w:tc>
          <w:tcPr>
            <w:tcW w:w="1839" w:type="dxa"/>
          </w:tcPr>
          <w:p>
            <w:pPr>
              <w:pStyle w:val="TableParagraph"/>
              <w:ind w:left="67" w:right="293"/>
              <w:rPr>
                <w:sz w:val="18"/>
              </w:rPr>
            </w:pPr>
            <w:r>
              <w:rPr>
                <w:sz w:val="18"/>
              </w:rPr>
              <w:t>Listado de dependencias</w:t>
            </w:r>
            <w:r>
              <w:rPr>
                <w:spacing w:val="-13"/>
                <w:sz w:val="18"/>
              </w:rPr>
              <w:t> </w:t>
            </w:r>
            <w:r>
              <w:rPr>
                <w:sz w:val="18"/>
              </w:rPr>
              <w:t>con </w:t>
            </w:r>
            <w:r>
              <w:rPr>
                <w:spacing w:val="-2"/>
                <w:sz w:val="18"/>
              </w:rPr>
              <w:t>procesos </w:t>
            </w:r>
            <w:r>
              <w:rPr>
                <w:sz w:val="18"/>
              </w:rPr>
              <w:t>identificados y</w:t>
            </w:r>
          </w:p>
          <w:p>
            <w:pPr>
              <w:pStyle w:val="TableParagraph"/>
              <w:spacing w:line="187" w:lineRule="exact" w:before="2"/>
              <w:ind w:left="67"/>
              <w:rPr>
                <w:sz w:val="18"/>
              </w:rPr>
            </w:pPr>
            <w:r>
              <w:rPr>
                <w:spacing w:val="-2"/>
                <w:sz w:val="18"/>
              </w:rPr>
              <w:t>revisados</w:t>
            </w:r>
          </w:p>
        </w:tc>
        <w:tc>
          <w:tcPr>
            <w:tcW w:w="1278" w:type="dxa"/>
          </w:tcPr>
          <w:p>
            <w:pPr>
              <w:pStyle w:val="TableParagraph"/>
              <w:spacing w:before="103"/>
              <w:rPr>
                <w:b/>
                <w:sz w:val="18"/>
              </w:rPr>
            </w:pPr>
          </w:p>
          <w:p>
            <w:pPr>
              <w:pStyle w:val="TableParagraph"/>
              <w:spacing w:before="1"/>
              <w:ind w:left="72"/>
              <w:rPr>
                <w:sz w:val="18"/>
              </w:rPr>
            </w:pPr>
            <w:r>
              <w:rPr>
                <w:spacing w:val="-2"/>
                <w:sz w:val="18"/>
              </w:rPr>
              <w:t>Desarrollo Humano</w:t>
            </w:r>
          </w:p>
        </w:tc>
        <w:tc>
          <w:tcPr>
            <w:tcW w:w="1841" w:type="dxa"/>
          </w:tcPr>
          <w:p>
            <w:pPr>
              <w:pStyle w:val="TableParagraph"/>
              <w:rPr>
                <w:rFonts w:ascii="Times New Roman"/>
                <w:sz w:val="18"/>
              </w:rPr>
            </w:pPr>
          </w:p>
        </w:tc>
        <w:tc>
          <w:tcPr>
            <w:tcW w:w="1498" w:type="dxa"/>
          </w:tcPr>
          <w:p>
            <w:pPr>
              <w:pStyle w:val="TableParagraph"/>
              <w:ind w:left="74" w:right="68"/>
              <w:rPr>
                <w:sz w:val="18"/>
              </w:rPr>
            </w:pPr>
            <w:r>
              <w:rPr>
                <w:sz w:val="18"/>
              </w:rPr>
              <w:t>Evento:</w:t>
            </w:r>
            <w:r>
              <w:rPr>
                <w:spacing w:val="-13"/>
                <w:sz w:val="18"/>
              </w:rPr>
              <w:t> </w:t>
            </w:r>
            <w:r>
              <w:rPr>
                <w:sz w:val="18"/>
              </w:rPr>
              <w:t>Posibles retrasos de insumos de</w:t>
            </w:r>
            <w:r>
              <w:rPr>
                <w:spacing w:val="40"/>
                <w:sz w:val="18"/>
              </w:rPr>
              <w:t> </w:t>
            </w:r>
            <w:r>
              <w:rPr>
                <w:sz w:val="18"/>
              </w:rPr>
              <w:t>otras instancias</w:t>
            </w:r>
          </w:p>
          <w:p>
            <w:pPr>
              <w:pStyle w:val="TableParagraph"/>
              <w:spacing w:line="187" w:lineRule="exact" w:before="2"/>
              <w:ind w:left="74"/>
              <w:rPr>
                <w:sz w:val="18"/>
              </w:rPr>
            </w:pPr>
            <w:r>
              <w:rPr>
                <w:sz w:val="18"/>
              </w:rPr>
              <w:t>que</w:t>
            </w:r>
            <w:r>
              <w:rPr>
                <w:spacing w:val="-2"/>
                <w:sz w:val="18"/>
              </w:rPr>
              <w:t> </w:t>
            </w:r>
            <w:r>
              <w:rPr>
                <w:sz w:val="18"/>
              </w:rPr>
              <w:t>afecten</w:t>
            </w:r>
            <w:r>
              <w:rPr>
                <w:spacing w:val="-5"/>
                <w:sz w:val="18"/>
              </w:rPr>
              <w:t> la</w:t>
            </w:r>
          </w:p>
        </w:tc>
      </w:tr>
    </w:tbl>
    <w:p>
      <w:pPr>
        <w:pStyle w:val="TableParagraph"/>
        <w:spacing w:after="0" w:line="187" w:lineRule="exact"/>
        <w:rPr>
          <w:sz w:val="18"/>
        </w:rPr>
        <w:sectPr>
          <w:pgSz w:w="15840" w:h="12240" w:orient="landscape"/>
          <w:pgMar w:header="0" w:footer="1806" w:top="700" w:bottom="2768"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3"/>
        <w:gridCol w:w="1560"/>
        <w:gridCol w:w="1983"/>
        <w:gridCol w:w="1421"/>
        <w:gridCol w:w="1839"/>
        <w:gridCol w:w="1278"/>
        <w:gridCol w:w="1840"/>
        <w:gridCol w:w="1498"/>
      </w:tblGrid>
      <w:tr>
        <w:trPr>
          <w:trHeight w:val="618" w:hRule="atLeast"/>
        </w:trPr>
        <w:tc>
          <w:tcPr>
            <w:tcW w:w="2833" w:type="dxa"/>
            <w:shd w:val="clear" w:color="auto" w:fill="D7D7D7"/>
          </w:tcPr>
          <w:p>
            <w:pPr>
              <w:pStyle w:val="TableParagraph"/>
              <w:spacing w:before="205"/>
              <w:ind w:left="446"/>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7D7D7"/>
          </w:tcPr>
          <w:p>
            <w:pPr>
              <w:pStyle w:val="TableParagraph"/>
              <w:spacing w:before="104"/>
              <w:ind w:left="518" w:right="58" w:hanging="216"/>
              <w:rPr>
                <w:b/>
                <w:sz w:val="18"/>
              </w:rPr>
            </w:pPr>
            <w:r>
              <w:rPr>
                <w:b/>
                <w:sz w:val="18"/>
              </w:rPr>
              <w:t>Línea</w:t>
            </w:r>
            <w:r>
              <w:rPr>
                <w:b/>
                <w:spacing w:val="-13"/>
                <w:sz w:val="18"/>
              </w:rPr>
              <w:t> </w:t>
            </w:r>
            <w:r>
              <w:rPr>
                <w:b/>
                <w:sz w:val="18"/>
              </w:rPr>
              <w:t>Base </w:t>
            </w:r>
            <w:r>
              <w:rPr>
                <w:b/>
                <w:spacing w:val="-2"/>
                <w:sz w:val="18"/>
              </w:rPr>
              <w:t>(2024)</w:t>
            </w:r>
          </w:p>
        </w:tc>
        <w:tc>
          <w:tcPr>
            <w:tcW w:w="1983" w:type="dxa"/>
            <w:shd w:val="clear" w:color="auto" w:fill="D7D7D7"/>
          </w:tcPr>
          <w:p>
            <w:pPr>
              <w:pStyle w:val="TableParagraph"/>
              <w:spacing w:before="104"/>
              <w:ind w:left="788" w:hanging="553"/>
              <w:rPr>
                <w:b/>
                <w:sz w:val="18"/>
              </w:rPr>
            </w:pPr>
            <w:r>
              <w:rPr>
                <w:b/>
                <w:sz w:val="18"/>
              </w:rPr>
              <w:t>Meta</w:t>
            </w:r>
            <w:r>
              <w:rPr>
                <w:b/>
                <w:spacing w:val="-13"/>
                <w:sz w:val="18"/>
              </w:rPr>
              <w:t> </w:t>
            </w:r>
            <w:r>
              <w:rPr>
                <w:b/>
                <w:sz w:val="18"/>
              </w:rPr>
              <w:t>programada </w:t>
            </w:r>
            <w:r>
              <w:rPr>
                <w:b/>
                <w:spacing w:val="-4"/>
                <w:sz w:val="18"/>
              </w:rPr>
              <w:t>2026</w:t>
            </w:r>
          </w:p>
        </w:tc>
        <w:tc>
          <w:tcPr>
            <w:tcW w:w="1421" w:type="dxa"/>
            <w:shd w:val="clear" w:color="auto" w:fill="D7D7D7"/>
          </w:tcPr>
          <w:p>
            <w:pPr>
              <w:pStyle w:val="TableParagraph"/>
              <w:spacing w:before="205"/>
              <w:ind w:left="302"/>
              <w:rPr>
                <w:b/>
                <w:sz w:val="18"/>
              </w:rPr>
            </w:pPr>
            <w:r>
              <w:rPr>
                <w:b/>
                <w:spacing w:val="-2"/>
                <w:sz w:val="18"/>
              </w:rPr>
              <w:t>Indicador</w:t>
            </w:r>
          </w:p>
        </w:tc>
        <w:tc>
          <w:tcPr>
            <w:tcW w:w="1839" w:type="dxa"/>
            <w:shd w:val="clear" w:color="auto" w:fill="D7D7D7"/>
          </w:tcPr>
          <w:p>
            <w:pPr>
              <w:pStyle w:val="TableParagraph"/>
              <w:spacing w:before="104"/>
              <w:ind w:left="417" w:right="123" w:firstLine="57"/>
              <w:rPr>
                <w:b/>
                <w:sz w:val="18"/>
              </w:rPr>
            </w:pPr>
            <w:r>
              <w:rPr>
                <w:b/>
                <w:sz w:val="18"/>
              </w:rPr>
              <w:t>Medios de </w:t>
            </w:r>
            <w:r>
              <w:rPr>
                <w:b/>
                <w:spacing w:val="-2"/>
                <w:sz w:val="18"/>
              </w:rPr>
              <w:t>verificación</w:t>
            </w:r>
          </w:p>
        </w:tc>
        <w:tc>
          <w:tcPr>
            <w:tcW w:w="1278" w:type="dxa"/>
            <w:shd w:val="clear" w:color="auto" w:fill="D7D7D7"/>
          </w:tcPr>
          <w:p>
            <w:pPr>
              <w:pStyle w:val="TableParagraph"/>
              <w:spacing w:before="205"/>
              <w:ind w:left="81"/>
              <w:rPr>
                <w:b/>
                <w:sz w:val="18"/>
              </w:rPr>
            </w:pPr>
            <w:r>
              <w:rPr>
                <w:b/>
                <w:spacing w:val="-2"/>
                <w:sz w:val="18"/>
              </w:rPr>
              <w:t>Responsable</w:t>
            </w:r>
          </w:p>
        </w:tc>
        <w:tc>
          <w:tcPr>
            <w:tcW w:w="1840" w:type="dxa"/>
            <w:shd w:val="clear" w:color="auto" w:fill="D7D7D7"/>
          </w:tcPr>
          <w:p>
            <w:pPr>
              <w:pStyle w:val="TableParagraph"/>
              <w:spacing w:before="104"/>
              <w:ind w:left="527" w:right="358" w:hanging="154"/>
              <w:rPr>
                <w:b/>
                <w:sz w:val="18"/>
              </w:rPr>
            </w:pPr>
            <w:r>
              <w:rPr>
                <w:b/>
                <w:spacing w:val="-2"/>
                <w:sz w:val="18"/>
              </w:rPr>
              <w:t>Presupuesto asignado</w:t>
            </w:r>
          </w:p>
        </w:tc>
        <w:tc>
          <w:tcPr>
            <w:tcW w:w="1498" w:type="dxa"/>
            <w:tcBorders>
              <w:bottom w:val="nil"/>
            </w:tcBorders>
            <w:shd w:val="clear" w:color="auto" w:fill="D7D7D7"/>
          </w:tcPr>
          <w:p>
            <w:pPr>
              <w:pStyle w:val="TableParagraph"/>
              <w:spacing w:line="206" w:lineRule="exact"/>
              <w:ind w:left="166" w:right="143" w:hanging="5"/>
              <w:jc w:val="center"/>
              <w:rPr>
                <w:b/>
                <w:sz w:val="18"/>
              </w:rPr>
            </w:pPr>
            <w:r>
              <w:rPr>
                <w:b/>
                <w:spacing w:val="-2"/>
                <w:sz w:val="18"/>
              </w:rPr>
              <w:t>Riesgo </w:t>
            </w:r>
            <w:r>
              <w:rPr>
                <w:b/>
                <w:sz w:val="18"/>
              </w:rPr>
              <w:t>asociado al </w:t>
            </w:r>
            <w:r>
              <w:rPr>
                <w:b/>
                <w:spacing w:val="-2"/>
                <w:sz w:val="18"/>
              </w:rPr>
              <w:t>cumplimiento</w:t>
            </w:r>
          </w:p>
        </w:tc>
      </w:tr>
      <w:tr>
        <w:trPr>
          <w:trHeight w:val="1128" w:hRule="atLeast"/>
        </w:trPr>
        <w:tc>
          <w:tcPr>
            <w:tcW w:w="2833" w:type="dxa"/>
          </w:tcPr>
          <w:p>
            <w:pPr>
              <w:pStyle w:val="TableParagraph"/>
              <w:spacing w:before="47"/>
              <w:ind w:left="72"/>
              <w:rPr>
                <w:sz w:val="18"/>
              </w:rPr>
            </w:pPr>
            <w:r>
              <w:rPr>
                <w:b/>
                <w:sz w:val="18"/>
              </w:rPr>
              <w:t>Actividad PAC 2.6.2: </w:t>
            </w:r>
            <w:r>
              <w:rPr>
                <w:sz w:val="18"/>
              </w:rPr>
              <w:t>Dependencias</w:t>
            </w:r>
            <w:r>
              <w:rPr>
                <w:spacing w:val="-15"/>
                <w:sz w:val="18"/>
              </w:rPr>
              <w:t> </w:t>
            </w:r>
            <w:r>
              <w:rPr>
                <w:sz w:val="18"/>
              </w:rPr>
              <w:t>identificadas</w:t>
            </w:r>
            <w:r>
              <w:rPr>
                <w:spacing w:val="-12"/>
                <w:sz w:val="18"/>
              </w:rPr>
              <w:t> </w:t>
            </w:r>
            <w:r>
              <w:rPr>
                <w:sz w:val="18"/>
              </w:rPr>
              <w:t>para llevar a cabo el proceso de alineamiento con los objetivos </w:t>
            </w:r>
            <w:r>
              <w:rPr>
                <w:spacing w:val="-2"/>
                <w:sz w:val="18"/>
              </w:rPr>
              <w:t>institucionales</w:t>
            </w:r>
          </w:p>
        </w:tc>
        <w:tc>
          <w:tcPr>
            <w:tcW w:w="1560" w:type="dxa"/>
          </w:tcPr>
          <w:p>
            <w:pPr>
              <w:pStyle w:val="TableParagraph"/>
              <w:rPr>
                <w:b/>
                <w:sz w:val="18"/>
              </w:rPr>
            </w:pPr>
          </w:p>
          <w:p>
            <w:pPr>
              <w:pStyle w:val="TableParagraph"/>
              <w:spacing w:before="46"/>
              <w:rPr>
                <w:b/>
                <w:sz w:val="18"/>
              </w:rPr>
            </w:pPr>
          </w:p>
          <w:p>
            <w:pPr>
              <w:pStyle w:val="TableParagraph"/>
              <w:ind w:left="21" w:right="20"/>
              <w:jc w:val="center"/>
              <w:rPr>
                <w:sz w:val="18"/>
              </w:rPr>
            </w:pPr>
            <w:r>
              <w:rPr>
                <w:spacing w:val="-10"/>
                <w:sz w:val="18"/>
              </w:rPr>
              <w:t>7</w:t>
            </w:r>
          </w:p>
        </w:tc>
        <w:tc>
          <w:tcPr>
            <w:tcW w:w="1983" w:type="dxa"/>
          </w:tcPr>
          <w:p>
            <w:pPr>
              <w:pStyle w:val="TableParagraph"/>
              <w:rPr>
                <w:b/>
                <w:sz w:val="18"/>
              </w:rPr>
            </w:pPr>
          </w:p>
          <w:p>
            <w:pPr>
              <w:pStyle w:val="TableParagraph"/>
              <w:spacing w:before="46"/>
              <w:rPr>
                <w:b/>
                <w:sz w:val="18"/>
              </w:rPr>
            </w:pPr>
          </w:p>
          <w:p>
            <w:pPr>
              <w:pStyle w:val="TableParagraph"/>
              <w:ind w:left="14" w:right="8"/>
              <w:jc w:val="center"/>
              <w:rPr>
                <w:sz w:val="18"/>
              </w:rPr>
            </w:pPr>
            <w:r>
              <w:rPr>
                <w:spacing w:val="-5"/>
                <w:sz w:val="18"/>
              </w:rPr>
              <w:t>21</w:t>
            </w:r>
          </w:p>
        </w:tc>
        <w:tc>
          <w:tcPr>
            <w:tcW w:w="1421" w:type="dxa"/>
          </w:tcPr>
          <w:p>
            <w:pPr>
              <w:pStyle w:val="TableParagraph"/>
              <w:spacing w:before="46"/>
              <w:rPr>
                <w:b/>
                <w:sz w:val="18"/>
              </w:rPr>
            </w:pPr>
          </w:p>
          <w:p>
            <w:pPr>
              <w:pStyle w:val="TableParagraph"/>
              <w:spacing w:before="1"/>
              <w:ind w:left="72"/>
              <w:rPr>
                <w:sz w:val="18"/>
              </w:rPr>
            </w:pPr>
            <w:r>
              <w:rPr>
                <w:sz w:val="18"/>
              </w:rPr>
              <w:t>Cantidad de </w:t>
            </w:r>
            <w:r>
              <w:rPr>
                <w:spacing w:val="-2"/>
                <w:sz w:val="18"/>
              </w:rPr>
              <w:t>dependencias identificadas</w:t>
            </w:r>
          </w:p>
        </w:tc>
        <w:tc>
          <w:tcPr>
            <w:tcW w:w="1839" w:type="dxa"/>
          </w:tcPr>
          <w:p>
            <w:pPr>
              <w:pStyle w:val="TableParagraph"/>
              <w:spacing w:before="47"/>
              <w:ind w:left="67" w:right="123"/>
              <w:rPr>
                <w:sz w:val="18"/>
              </w:rPr>
            </w:pPr>
            <w:r>
              <w:rPr>
                <w:sz w:val="18"/>
              </w:rPr>
              <w:t>Control</w:t>
            </w:r>
            <w:r>
              <w:rPr>
                <w:spacing w:val="-15"/>
                <w:sz w:val="18"/>
              </w:rPr>
              <w:t> </w:t>
            </w:r>
            <w:r>
              <w:rPr>
                <w:sz w:val="18"/>
              </w:rPr>
              <w:t>de</w:t>
            </w:r>
            <w:r>
              <w:rPr>
                <w:spacing w:val="-12"/>
                <w:sz w:val="18"/>
              </w:rPr>
              <w:t> </w:t>
            </w:r>
            <w:r>
              <w:rPr>
                <w:sz w:val="18"/>
              </w:rPr>
              <w:t>remisión, recepción</w:t>
            </w:r>
            <w:r>
              <w:rPr>
                <w:spacing w:val="-7"/>
                <w:sz w:val="18"/>
              </w:rPr>
              <w:t> </w:t>
            </w:r>
            <w:r>
              <w:rPr>
                <w:sz w:val="18"/>
              </w:rPr>
              <w:t>y</w:t>
            </w:r>
            <w:r>
              <w:rPr>
                <w:spacing w:val="-7"/>
                <w:sz w:val="18"/>
              </w:rPr>
              <w:t> </w:t>
            </w:r>
            <w:r>
              <w:rPr>
                <w:sz w:val="18"/>
              </w:rPr>
              <w:t>revisión de los objetivos e indicadores de las </w:t>
            </w:r>
            <w:r>
              <w:rPr>
                <w:spacing w:val="-2"/>
                <w:sz w:val="18"/>
              </w:rPr>
              <w:t>dependencias</w:t>
            </w:r>
          </w:p>
        </w:tc>
        <w:tc>
          <w:tcPr>
            <w:tcW w:w="1278" w:type="dxa"/>
          </w:tcPr>
          <w:p>
            <w:pPr>
              <w:pStyle w:val="TableParagraph"/>
              <w:spacing w:before="152"/>
              <w:rPr>
                <w:b/>
                <w:sz w:val="18"/>
              </w:rPr>
            </w:pPr>
          </w:p>
          <w:p>
            <w:pPr>
              <w:pStyle w:val="TableParagraph"/>
              <w:ind w:left="72"/>
              <w:rPr>
                <w:sz w:val="18"/>
              </w:rPr>
            </w:pPr>
            <w:r>
              <w:rPr>
                <w:spacing w:val="-2"/>
                <w:sz w:val="18"/>
              </w:rPr>
              <w:t>Desarrollo Humano</w:t>
            </w:r>
          </w:p>
        </w:tc>
        <w:tc>
          <w:tcPr>
            <w:tcW w:w="1840" w:type="dxa"/>
          </w:tcPr>
          <w:p>
            <w:pPr>
              <w:pStyle w:val="TableParagraph"/>
              <w:rPr>
                <w:rFonts w:ascii="Times New Roman"/>
                <w:sz w:val="18"/>
              </w:rPr>
            </w:pPr>
          </w:p>
        </w:tc>
        <w:tc>
          <w:tcPr>
            <w:tcW w:w="1498" w:type="dxa"/>
            <w:tcBorders>
              <w:top w:val="nil"/>
            </w:tcBorders>
          </w:tcPr>
          <w:p>
            <w:pPr>
              <w:pStyle w:val="TableParagraph"/>
              <w:spacing w:before="3"/>
              <w:ind w:left="75" w:right="204"/>
              <w:rPr>
                <w:sz w:val="18"/>
              </w:rPr>
            </w:pPr>
            <w:r>
              <w:rPr>
                <w:sz w:val="18"/>
              </w:rPr>
              <w:t>oportunidad</w:t>
            </w:r>
            <w:r>
              <w:rPr>
                <w:spacing w:val="-13"/>
                <w:sz w:val="18"/>
              </w:rPr>
              <w:t> </w:t>
            </w:r>
            <w:r>
              <w:rPr>
                <w:sz w:val="18"/>
              </w:rPr>
              <w:t>de la información para la evaluación de </w:t>
            </w:r>
            <w:r>
              <w:rPr>
                <w:spacing w:val="-2"/>
                <w:sz w:val="18"/>
              </w:rPr>
              <w:t>desempeño</w:t>
            </w:r>
          </w:p>
        </w:tc>
      </w:tr>
      <w:tr>
        <w:trPr>
          <w:trHeight w:val="628" w:hRule="atLeast"/>
        </w:trPr>
        <w:tc>
          <w:tcPr>
            <w:tcW w:w="14252" w:type="dxa"/>
            <w:gridSpan w:val="8"/>
            <w:shd w:val="clear" w:color="auto" w:fill="EFF8F9"/>
          </w:tcPr>
          <w:p>
            <w:pPr>
              <w:pStyle w:val="TableParagraph"/>
              <w:spacing w:before="3"/>
              <w:rPr>
                <w:b/>
                <w:sz w:val="18"/>
              </w:rPr>
            </w:pPr>
          </w:p>
          <w:p>
            <w:pPr>
              <w:pStyle w:val="TableParagraph"/>
              <w:ind w:left="72"/>
              <w:rPr>
                <w:b/>
                <w:sz w:val="18"/>
              </w:rPr>
            </w:pPr>
            <w:r>
              <w:rPr>
                <w:b/>
                <w:sz w:val="18"/>
              </w:rPr>
              <w:t>Producto</w:t>
            </w:r>
            <w:r>
              <w:rPr>
                <w:b/>
                <w:spacing w:val="-8"/>
                <w:sz w:val="18"/>
              </w:rPr>
              <w:t> </w:t>
            </w:r>
            <w:r>
              <w:rPr>
                <w:b/>
                <w:sz w:val="18"/>
              </w:rPr>
              <w:t>PAC</w:t>
            </w:r>
            <w:r>
              <w:rPr>
                <w:b/>
                <w:spacing w:val="-8"/>
                <w:sz w:val="18"/>
              </w:rPr>
              <w:t> </w:t>
            </w:r>
            <w:r>
              <w:rPr>
                <w:b/>
                <w:sz w:val="18"/>
              </w:rPr>
              <w:t>2.7:</w:t>
            </w:r>
            <w:r>
              <w:rPr>
                <w:b/>
                <w:spacing w:val="-1"/>
                <w:sz w:val="18"/>
              </w:rPr>
              <w:t> </w:t>
            </w:r>
            <w:r>
              <w:rPr>
                <w:b/>
                <w:sz w:val="18"/>
              </w:rPr>
              <w:t>Normativa</w:t>
            </w:r>
            <w:r>
              <w:rPr>
                <w:b/>
                <w:spacing w:val="-7"/>
                <w:sz w:val="18"/>
              </w:rPr>
              <w:t> </w:t>
            </w:r>
            <w:r>
              <w:rPr>
                <w:b/>
                <w:sz w:val="18"/>
              </w:rPr>
              <w:t>institucional</w:t>
            </w:r>
            <w:r>
              <w:rPr>
                <w:b/>
                <w:spacing w:val="-5"/>
                <w:sz w:val="18"/>
              </w:rPr>
              <w:t> </w:t>
            </w:r>
            <w:r>
              <w:rPr>
                <w:b/>
                <w:sz w:val="18"/>
              </w:rPr>
              <w:t>actualizada</w:t>
            </w:r>
            <w:r>
              <w:rPr>
                <w:b/>
                <w:spacing w:val="-6"/>
                <w:sz w:val="18"/>
              </w:rPr>
              <w:t> </w:t>
            </w:r>
            <w:r>
              <w:rPr>
                <w:b/>
                <w:sz w:val="18"/>
              </w:rPr>
              <w:t>para</w:t>
            </w:r>
            <w:r>
              <w:rPr>
                <w:b/>
                <w:spacing w:val="-3"/>
                <w:sz w:val="18"/>
              </w:rPr>
              <w:t> </w:t>
            </w:r>
            <w:r>
              <w:rPr>
                <w:b/>
                <w:sz w:val="18"/>
              </w:rPr>
              <w:t>permitir</w:t>
            </w:r>
            <w:r>
              <w:rPr>
                <w:b/>
                <w:spacing w:val="-1"/>
                <w:sz w:val="18"/>
              </w:rPr>
              <w:t> </w:t>
            </w:r>
            <w:r>
              <w:rPr>
                <w:b/>
                <w:sz w:val="18"/>
              </w:rPr>
              <w:t>el</w:t>
            </w:r>
            <w:r>
              <w:rPr>
                <w:b/>
                <w:spacing w:val="-5"/>
                <w:sz w:val="18"/>
              </w:rPr>
              <w:t> </w:t>
            </w:r>
            <w:r>
              <w:rPr>
                <w:b/>
                <w:sz w:val="18"/>
              </w:rPr>
              <w:t>desarrollo</w:t>
            </w:r>
            <w:r>
              <w:rPr>
                <w:b/>
                <w:spacing w:val="-7"/>
                <w:sz w:val="18"/>
              </w:rPr>
              <w:t> </w:t>
            </w:r>
            <w:r>
              <w:rPr>
                <w:b/>
                <w:sz w:val="18"/>
              </w:rPr>
              <w:t>de</w:t>
            </w:r>
            <w:r>
              <w:rPr>
                <w:b/>
                <w:spacing w:val="-7"/>
                <w:sz w:val="18"/>
              </w:rPr>
              <w:t> </w:t>
            </w:r>
            <w:r>
              <w:rPr>
                <w:b/>
                <w:sz w:val="18"/>
              </w:rPr>
              <w:t>planes</w:t>
            </w:r>
            <w:r>
              <w:rPr>
                <w:b/>
                <w:spacing w:val="-2"/>
                <w:sz w:val="18"/>
              </w:rPr>
              <w:t> </w:t>
            </w:r>
            <w:r>
              <w:rPr>
                <w:b/>
                <w:sz w:val="18"/>
              </w:rPr>
              <w:t>de</w:t>
            </w:r>
            <w:r>
              <w:rPr>
                <w:b/>
                <w:spacing w:val="-3"/>
                <w:sz w:val="18"/>
              </w:rPr>
              <w:t> </w:t>
            </w:r>
            <w:r>
              <w:rPr>
                <w:b/>
                <w:sz w:val="18"/>
              </w:rPr>
              <w:t>carrera</w:t>
            </w:r>
            <w:r>
              <w:rPr>
                <w:b/>
                <w:spacing w:val="-7"/>
                <w:sz w:val="18"/>
              </w:rPr>
              <w:t> </w:t>
            </w:r>
            <w:r>
              <w:rPr>
                <w:b/>
                <w:sz w:val="18"/>
              </w:rPr>
              <w:t>y</w:t>
            </w:r>
            <w:r>
              <w:rPr>
                <w:b/>
                <w:spacing w:val="-3"/>
                <w:sz w:val="18"/>
              </w:rPr>
              <w:t> </w:t>
            </w:r>
            <w:r>
              <w:rPr>
                <w:b/>
                <w:sz w:val="18"/>
              </w:rPr>
              <w:t>sucesión</w:t>
            </w:r>
            <w:r>
              <w:rPr>
                <w:b/>
                <w:spacing w:val="-7"/>
                <w:sz w:val="18"/>
              </w:rPr>
              <w:t> </w:t>
            </w:r>
            <w:r>
              <w:rPr>
                <w:b/>
                <w:sz w:val="18"/>
              </w:rPr>
              <w:t>E6</w:t>
            </w:r>
            <w:r>
              <w:rPr>
                <w:b/>
                <w:spacing w:val="-3"/>
                <w:sz w:val="18"/>
              </w:rPr>
              <w:t> </w:t>
            </w:r>
            <w:r>
              <w:rPr>
                <w:b/>
                <w:sz w:val="18"/>
              </w:rPr>
              <w:t>AE1</w:t>
            </w:r>
            <w:r>
              <w:rPr>
                <w:b/>
                <w:spacing w:val="-3"/>
                <w:sz w:val="18"/>
              </w:rPr>
              <w:t> </w:t>
            </w:r>
            <w:r>
              <w:rPr>
                <w:b/>
                <w:sz w:val="18"/>
              </w:rPr>
              <w:t>R3</w:t>
            </w:r>
            <w:r>
              <w:rPr>
                <w:b/>
                <w:spacing w:val="-11"/>
                <w:sz w:val="18"/>
              </w:rPr>
              <w:t> </w:t>
            </w:r>
            <w:r>
              <w:rPr>
                <w:b/>
                <w:sz w:val="18"/>
              </w:rPr>
              <w:t>(meta</w:t>
            </w:r>
            <w:r>
              <w:rPr>
                <w:b/>
                <w:spacing w:val="-6"/>
                <w:sz w:val="18"/>
              </w:rPr>
              <w:t> </w:t>
            </w:r>
            <w:r>
              <w:rPr>
                <w:b/>
                <w:sz w:val="18"/>
              </w:rPr>
              <w:t>programada</w:t>
            </w:r>
            <w:r>
              <w:rPr>
                <w:b/>
                <w:spacing w:val="-7"/>
                <w:sz w:val="18"/>
              </w:rPr>
              <w:t> </w:t>
            </w:r>
            <w:r>
              <w:rPr>
                <w:b/>
                <w:spacing w:val="-2"/>
                <w:sz w:val="18"/>
              </w:rPr>
              <w:t>100%)</w:t>
            </w:r>
          </w:p>
        </w:tc>
      </w:tr>
      <w:tr>
        <w:trPr>
          <w:trHeight w:val="830" w:hRule="atLeast"/>
        </w:trPr>
        <w:tc>
          <w:tcPr>
            <w:tcW w:w="2833" w:type="dxa"/>
          </w:tcPr>
          <w:p>
            <w:pPr>
              <w:pStyle w:val="TableParagraph"/>
              <w:spacing w:line="206" w:lineRule="exact"/>
              <w:ind w:left="72" w:right="254"/>
              <w:jc w:val="both"/>
              <w:rPr>
                <w:sz w:val="18"/>
              </w:rPr>
            </w:pPr>
            <w:r>
              <w:rPr>
                <w:b/>
                <w:sz w:val="18"/>
              </w:rPr>
              <w:t>Actividad</w:t>
            </w:r>
            <w:r>
              <w:rPr>
                <w:b/>
                <w:spacing w:val="-5"/>
                <w:sz w:val="18"/>
              </w:rPr>
              <w:t> </w:t>
            </w:r>
            <w:r>
              <w:rPr>
                <w:b/>
                <w:sz w:val="18"/>
              </w:rPr>
              <w:t>PAC</w:t>
            </w:r>
            <w:r>
              <w:rPr>
                <w:b/>
                <w:spacing w:val="-1"/>
                <w:sz w:val="18"/>
              </w:rPr>
              <w:t> </w:t>
            </w:r>
            <w:r>
              <w:rPr>
                <w:b/>
                <w:sz w:val="18"/>
              </w:rPr>
              <w:t>2.7.1: </w:t>
            </w:r>
            <w:r>
              <w:rPr>
                <w:sz w:val="18"/>
              </w:rPr>
              <w:t>Realizar diagnóstico</w:t>
            </w:r>
            <w:r>
              <w:rPr>
                <w:spacing w:val="-12"/>
                <w:sz w:val="18"/>
              </w:rPr>
              <w:t> </w:t>
            </w:r>
            <w:r>
              <w:rPr>
                <w:sz w:val="18"/>
              </w:rPr>
              <w:t>normativo</w:t>
            </w:r>
            <w:r>
              <w:rPr>
                <w:spacing w:val="-12"/>
                <w:sz w:val="18"/>
              </w:rPr>
              <w:t> </w:t>
            </w:r>
            <w:r>
              <w:rPr>
                <w:sz w:val="18"/>
              </w:rPr>
              <w:t>interno</w:t>
            </w:r>
            <w:r>
              <w:rPr>
                <w:spacing w:val="-12"/>
                <w:sz w:val="18"/>
              </w:rPr>
              <w:t> </w:t>
            </w:r>
            <w:r>
              <w:rPr>
                <w:sz w:val="18"/>
              </w:rPr>
              <w:t>y análisis comparado de buenas </w:t>
            </w:r>
            <w:r>
              <w:rPr>
                <w:spacing w:val="-2"/>
                <w:sz w:val="18"/>
              </w:rPr>
              <w:t>prácticas</w:t>
            </w:r>
          </w:p>
        </w:tc>
        <w:tc>
          <w:tcPr>
            <w:tcW w:w="1560" w:type="dxa"/>
          </w:tcPr>
          <w:p>
            <w:pPr>
              <w:pStyle w:val="TableParagraph"/>
              <w:spacing w:before="103"/>
              <w:rPr>
                <w:b/>
                <w:sz w:val="18"/>
              </w:rPr>
            </w:pPr>
          </w:p>
          <w:p>
            <w:pPr>
              <w:pStyle w:val="TableParagraph"/>
              <w:spacing w:before="1"/>
              <w:ind w:left="21" w:right="20"/>
              <w:jc w:val="center"/>
              <w:rPr>
                <w:sz w:val="18"/>
              </w:rPr>
            </w:pPr>
            <w:r>
              <w:rPr>
                <w:spacing w:val="-10"/>
                <w:sz w:val="18"/>
              </w:rPr>
              <w:t>0</w:t>
            </w:r>
          </w:p>
        </w:tc>
        <w:tc>
          <w:tcPr>
            <w:tcW w:w="1983" w:type="dxa"/>
          </w:tcPr>
          <w:p>
            <w:pPr>
              <w:pStyle w:val="TableParagraph"/>
              <w:spacing w:before="103"/>
              <w:rPr>
                <w:b/>
                <w:sz w:val="18"/>
              </w:rPr>
            </w:pPr>
          </w:p>
          <w:p>
            <w:pPr>
              <w:pStyle w:val="TableParagraph"/>
              <w:spacing w:before="1"/>
              <w:ind w:left="14" w:right="12"/>
              <w:jc w:val="center"/>
              <w:rPr>
                <w:sz w:val="18"/>
              </w:rPr>
            </w:pPr>
            <w:r>
              <w:rPr>
                <w:spacing w:val="-10"/>
                <w:sz w:val="18"/>
              </w:rPr>
              <w:t>1</w:t>
            </w:r>
          </w:p>
        </w:tc>
        <w:tc>
          <w:tcPr>
            <w:tcW w:w="1421" w:type="dxa"/>
          </w:tcPr>
          <w:p>
            <w:pPr>
              <w:pStyle w:val="TableParagraph"/>
              <w:spacing w:before="104"/>
              <w:ind w:left="72" w:right="333"/>
              <w:jc w:val="both"/>
              <w:rPr>
                <w:sz w:val="18"/>
              </w:rPr>
            </w:pPr>
            <w:r>
              <w:rPr>
                <w:sz w:val="18"/>
              </w:rPr>
              <w:t>Cantidad</w:t>
            </w:r>
            <w:r>
              <w:rPr>
                <w:spacing w:val="-5"/>
                <w:sz w:val="18"/>
              </w:rPr>
              <w:t> </w:t>
            </w:r>
            <w:r>
              <w:rPr>
                <w:sz w:val="18"/>
              </w:rPr>
              <w:t>de </w:t>
            </w:r>
            <w:r>
              <w:rPr>
                <w:spacing w:val="-2"/>
                <w:sz w:val="18"/>
              </w:rPr>
              <w:t>diagnósticos elaborados</w:t>
            </w:r>
          </w:p>
        </w:tc>
        <w:tc>
          <w:tcPr>
            <w:tcW w:w="1839" w:type="dxa"/>
          </w:tcPr>
          <w:p>
            <w:pPr>
              <w:pStyle w:val="TableParagraph"/>
              <w:spacing w:before="3"/>
              <w:rPr>
                <w:b/>
                <w:sz w:val="18"/>
              </w:rPr>
            </w:pPr>
          </w:p>
          <w:p>
            <w:pPr>
              <w:pStyle w:val="TableParagraph"/>
              <w:ind w:left="67" w:right="123"/>
              <w:rPr>
                <w:sz w:val="18"/>
              </w:rPr>
            </w:pPr>
            <w:r>
              <w:rPr>
                <w:spacing w:val="-2"/>
                <w:sz w:val="18"/>
              </w:rPr>
              <w:t>Diagnostico elaborado</w:t>
            </w:r>
          </w:p>
        </w:tc>
        <w:tc>
          <w:tcPr>
            <w:tcW w:w="1278" w:type="dxa"/>
          </w:tcPr>
          <w:p>
            <w:pPr>
              <w:pStyle w:val="TableParagraph"/>
              <w:spacing w:before="3"/>
              <w:rPr>
                <w:b/>
                <w:sz w:val="18"/>
              </w:rPr>
            </w:pPr>
          </w:p>
          <w:p>
            <w:pPr>
              <w:pStyle w:val="TableParagraph"/>
              <w:ind w:left="72"/>
              <w:rPr>
                <w:sz w:val="18"/>
              </w:rPr>
            </w:pPr>
            <w:r>
              <w:rPr>
                <w:spacing w:val="-2"/>
                <w:sz w:val="18"/>
              </w:rPr>
              <w:t>Desarrollo Humano</w:t>
            </w:r>
          </w:p>
        </w:tc>
        <w:tc>
          <w:tcPr>
            <w:tcW w:w="1840" w:type="dxa"/>
          </w:tcPr>
          <w:p>
            <w:pPr>
              <w:pStyle w:val="TableParagraph"/>
              <w:rPr>
                <w:rFonts w:ascii="Times New Roman"/>
                <w:sz w:val="18"/>
              </w:rPr>
            </w:pPr>
          </w:p>
        </w:tc>
        <w:tc>
          <w:tcPr>
            <w:tcW w:w="1498" w:type="dxa"/>
            <w:vMerge w:val="restart"/>
          </w:tcPr>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left="75" w:right="67"/>
              <w:rPr>
                <w:sz w:val="18"/>
              </w:rPr>
            </w:pPr>
            <w:r>
              <w:rPr>
                <w:sz w:val="18"/>
              </w:rPr>
              <w:t>Evento:</w:t>
            </w:r>
            <w:r>
              <w:rPr>
                <w:spacing w:val="16"/>
                <w:sz w:val="18"/>
              </w:rPr>
              <w:t> </w:t>
            </w:r>
            <w:r>
              <w:rPr>
                <w:sz w:val="18"/>
              </w:rPr>
              <w:t>Retraso en la revisión y aprobación</w:t>
            </w:r>
            <w:r>
              <w:rPr>
                <w:spacing w:val="-15"/>
                <w:sz w:val="18"/>
              </w:rPr>
              <w:t> </w:t>
            </w:r>
            <w:r>
              <w:rPr>
                <w:sz w:val="18"/>
              </w:rPr>
              <w:t>de</w:t>
            </w:r>
            <w:r>
              <w:rPr>
                <w:spacing w:val="-12"/>
                <w:sz w:val="18"/>
              </w:rPr>
              <w:t> </w:t>
            </w:r>
            <w:r>
              <w:rPr>
                <w:sz w:val="18"/>
              </w:rPr>
              <w:t>la normativa de planes de carrera y </w:t>
            </w:r>
            <w:r>
              <w:rPr>
                <w:spacing w:val="-2"/>
                <w:sz w:val="18"/>
              </w:rPr>
              <w:t>sucesión.</w:t>
            </w:r>
          </w:p>
        </w:tc>
      </w:tr>
      <w:tr>
        <w:trPr>
          <w:trHeight w:val="1094" w:hRule="atLeast"/>
        </w:trPr>
        <w:tc>
          <w:tcPr>
            <w:tcW w:w="2833" w:type="dxa"/>
          </w:tcPr>
          <w:p>
            <w:pPr>
              <w:pStyle w:val="TableParagraph"/>
              <w:spacing w:before="27"/>
              <w:rPr>
                <w:b/>
                <w:sz w:val="18"/>
              </w:rPr>
            </w:pPr>
          </w:p>
          <w:p>
            <w:pPr>
              <w:pStyle w:val="TableParagraph"/>
              <w:spacing w:line="242" w:lineRule="auto"/>
              <w:ind w:left="72" w:right="66"/>
              <w:rPr>
                <w:sz w:val="18"/>
              </w:rPr>
            </w:pPr>
            <w:r>
              <w:rPr>
                <w:b/>
                <w:sz w:val="18"/>
              </w:rPr>
              <w:t>Actividad</w:t>
            </w:r>
            <w:r>
              <w:rPr>
                <w:b/>
                <w:spacing w:val="-13"/>
                <w:sz w:val="18"/>
              </w:rPr>
              <w:t> </w:t>
            </w:r>
            <w:r>
              <w:rPr>
                <w:b/>
                <w:sz w:val="18"/>
              </w:rPr>
              <w:t>PAC</w:t>
            </w:r>
            <w:r>
              <w:rPr>
                <w:b/>
                <w:spacing w:val="-12"/>
                <w:sz w:val="18"/>
              </w:rPr>
              <w:t> </w:t>
            </w:r>
            <w:r>
              <w:rPr>
                <w:b/>
                <w:sz w:val="18"/>
              </w:rPr>
              <w:t>2.7.2:</w:t>
            </w:r>
            <w:r>
              <w:rPr>
                <w:b/>
                <w:spacing w:val="-11"/>
                <w:sz w:val="18"/>
              </w:rPr>
              <w:t> </w:t>
            </w:r>
            <w:r>
              <w:rPr>
                <w:sz w:val="18"/>
              </w:rPr>
              <w:t>Desarrollar propuesta normativa de planes</w:t>
            </w:r>
            <w:r>
              <w:rPr>
                <w:spacing w:val="40"/>
                <w:sz w:val="18"/>
              </w:rPr>
              <w:t> </w:t>
            </w:r>
            <w:r>
              <w:rPr>
                <w:sz w:val="18"/>
              </w:rPr>
              <w:t>de carrera y sucesión</w:t>
            </w:r>
          </w:p>
        </w:tc>
        <w:tc>
          <w:tcPr>
            <w:tcW w:w="1560" w:type="dxa"/>
          </w:tcPr>
          <w:p>
            <w:pPr>
              <w:pStyle w:val="TableParagraph"/>
              <w:rPr>
                <w:b/>
                <w:sz w:val="18"/>
              </w:rPr>
            </w:pPr>
          </w:p>
          <w:p>
            <w:pPr>
              <w:pStyle w:val="TableParagraph"/>
              <w:spacing w:before="32"/>
              <w:rPr>
                <w:b/>
                <w:sz w:val="18"/>
              </w:rPr>
            </w:pPr>
          </w:p>
          <w:p>
            <w:pPr>
              <w:pStyle w:val="TableParagraph"/>
              <w:ind w:left="21" w:right="20"/>
              <w:jc w:val="center"/>
              <w:rPr>
                <w:sz w:val="18"/>
              </w:rPr>
            </w:pPr>
            <w:r>
              <w:rPr>
                <w:spacing w:val="-10"/>
                <w:sz w:val="18"/>
              </w:rPr>
              <w:t>0</w:t>
            </w:r>
          </w:p>
        </w:tc>
        <w:tc>
          <w:tcPr>
            <w:tcW w:w="1983" w:type="dxa"/>
          </w:tcPr>
          <w:p>
            <w:pPr>
              <w:pStyle w:val="TableParagraph"/>
              <w:rPr>
                <w:b/>
                <w:sz w:val="18"/>
              </w:rPr>
            </w:pPr>
          </w:p>
          <w:p>
            <w:pPr>
              <w:pStyle w:val="TableParagraph"/>
              <w:spacing w:before="32"/>
              <w:rPr>
                <w:b/>
                <w:sz w:val="18"/>
              </w:rPr>
            </w:pPr>
          </w:p>
          <w:p>
            <w:pPr>
              <w:pStyle w:val="TableParagraph"/>
              <w:ind w:left="14" w:right="12"/>
              <w:jc w:val="center"/>
              <w:rPr>
                <w:sz w:val="18"/>
              </w:rPr>
            </w:pPr>
            <w:r>
              <w:rPr>
                <w:spacing w:val="-10"/>
                <w:sz w:val="18"/>
              </w:rPr>
              <w:t>1</w:t>
            </w:r>
          </w:p>
        </w:tc>
        <w:tc>
          <w:tcPr>
            <w:tcW w:w="1421" w:type="dxa"/>
          </w:tcPr>
          <w:p>
            <w:pPr>
              <w:pStyle w:val="TableParagraph"/>
              <w:spacing w:before="134"/>
              <w:ind w:left="72"/>
              <w:rPr>
                <w:sz w:val="18"/>
              </w:rPr>
            </w:pPr>
            <w:r>
              <w:rPr>
                <w:sz w:val="18"/>
              </w:rPr>
              <w:t>Cantidad de propuestas</w:t>
            </w:r>
            <w:r>
              <w:rPr>
                <w:spacing w:val="-13"/>
                <w:sz w:val="18"/>
              </w:rPr>
              <w:t> </w:t>
            </w:r>
            <w:r>
              <w:rPr>
                <w:sz w:val="18"/>
              </w:rPr>
              <w:t>de </w:t>
            </w:r>
            <w:r>
              <w:rPr>
                <w:spacing w:val="-2"/>
                <w:sz w:val="18"/>
              </w:rPr>
              <w:t>normativa desarrolladas</w:t>
            </w:r>
          </w:p>
        </w:tc>
        <w:tc>
          <w:tcPr>
            <w:tcW w:w="1839" w:type="dxa"/>
          </w:tcPr>
          <w:p>
            <w:pPr>
              <w:pStyle w:val="TableParagraph"/>
              <w:spacing w:before="133"/>
              <w:rPr>
                <w:b/>
                <w:sz w:val="18"/>
              </w:rPr>
            </w:pPr>
          </w:p>
          <w:p>
            <w:pPr>
              <w:pStyle w:val="TableParagraph"/>
              <w:ind w:left="67"/>
              <w:rPr>
                <w:sz w:val="18"/>
              </w:rPr>
            </w:pPr>
            <w:r>
              <w:rPr>
                <w:sz w:val="18"/>
              </w:rPr>
              <w:t>Propuesta de normativa</w:t>
            </w:r>
            <w:r>
              <w:rPr>
                <w:spacing w:val="-13"/>
                <w:sz w:val="18"/>
              </w:rPr>
              <w:t> </w:t>
            </w:r>
            <w:r>
              <w:rPr>
                <w:sz w:val="18"/>
              </w:rPr>
              <w:t>elaborada</w:t>
            </w:r>
          </w:p>
        </w:tc>
        <w:tc>
          <w:tcPr>
            <w:tcW w:w="1278" w:type="dxa"/>
          </w:tcPr>
          <w:p>
            <w:pPr>
              <w:pStyle w:val="TableParagraph"/>
              <w:spacing w:before="133"/>
              <w:rPr>
                <w:b/>
                <w:sz w:val="18"/>
              </w:rPr>
            </w:pPr>
          </w:p>
          <w:p>
            <w:pPr>
              <w:pStyle w:val="TableParagraph"/>
              <w:ind w:left="72"/>
              <w:rPr>
                <w:sz w:val="18"/>
              </w:rPr>
            </w:pPr>
            <w:r>
              <w:rPr>
                <w:spacing w:val="-2"/>
                <w:sz w:val="18"/>
              </w:rPr>
              <w:t>Desarrollo Humano</w:t>
            </w:r>
          </w:p>
        </w:tc>
        <w:tc>
          <w:tcPr>
            <w:tcW w:w="1840" w:type="dxa"/>
          </w:tcPr>
          <w:p>
            <w:pPr>
              <w:pStyle w:val="TableParagraph"/>
              <w:rPr>
                <w:rFonts w:ascii="Times New Roman"/>
                <w:sz w:val="18"/>
              </w:rPr>
            </w:pPr>
          </w:p>
        </w:tc>
        <w:tc>
          <w:tcPr>
            <w:tcW w:w="1498" w:type="dxa"/>
            <w:vMerge/>
            <w:tcBorders>
              <w:top w:val="nil"/>
            </w:tcBorders>
          </w:tcPr>
          <w:p>
            <w:pPr>
              <w:rPr>
                <w:sz w:val="2"/>
                <w:szCs w:val="2"/>
              </w:rPr>
            </w:pPr>
          </w:p>
        </w:tc>
      </w:tr>
      <w:tr>
        <w:trPr>
          <w:trHeight w:val="854" w:hRule="atLeast"/>
        </w:trPr>
        <w:tc>
          <w:tcPr>
            <w:tcW w:w="2833" w:type="dxa"/>
          </w:tcPr>
          <w:p>
            <w:pPr>
              <w:pStyle w:val="TableParagraph"/>
              <w:spacing w:before="119"/>
              <w:ind w:left="72" w:right="242"/>
              <w:jc w:val="both"/>
              <w:rPr>
                <w:sz w:val="18"/>
              </w:rPr>
            </w:pPr>
            <w:r>
              <w:rPr>
                <w:b/>
                <w:sz w:val="18"/>
              </w:rPr>
              <w:t>Actividad</w:t>
            </w:r>
            <w:r>
              <w:rPr>
                <w:b/>
                <w:spacing w:val="-11"/>
                <w:sz w:val="18"/>
              </w:rPr>
              <w:t> </w:t>
            </w:r>
            <w:r>
              <w:rPr>
                <w:b/>
                <w:sz w:val="18"/>
              </w:rPr>
              <w:t>PAC</w:t>
            </w:r>
            <w:r>
              <w:rPr>
                <w:b/>
                <w:spacing w:val="-8"/>
                <w:sz w:val="18"/>
              </w:rPr>
              <w:t> </w:t>
            </w:r>
            <w:r>
              <w:rPr>
                <w:b/>
                <w:sz w:val="18"/>
              </w:rPr>
              <w:t>2.7.3:</w:t>
            </w:r>
            <w:r>
              <w:rPr>
                <w:b/>
                <w:spacing w:val="-7"/>
                <w:sz w:val="18"/>
              </w:rPr>
              <w:t> </w:t>
            </w:r>
            <w:r>
              <w:rPr>
                <w:sz w:val="18"/>
              </w:rPr>
              <w:t>Validar</w:t>
            </w:r>
            <w:r>
              <w:rPr>
                <w:spacing w:val="-8"/>
                <w:sz w:val="18"/>
              </w:rPr>
              <w:t> </w:t>
            </w:r>
            <w:r>
              <w:rPr>
                <w:sz w:val="18"/>
              </w:rPr>
              <w:t>y aprobar</w:t>
            </w:r>
            <w:r>
              <w:rPr>
                <w:spacing w:val="-8"/>
                <w:sz w:val="18"/>
              </w:rPr>
              <w:t> </w:t>
            </w:r>
            <w:r>
              <w:rPr>
                <w:sz w:val="18"/>
              </w:rPr>
              <w:t>la</w:t>
            </w:r>
            <w:r>
              <w:rPr>
                <w:spacing w:val="-13"/>
                <w:sz w:val="18"/>
              </w:rPr>
              <w:t> </w:t>
            </w:r>
            <w:r>
              <w:rPr>
                <w:sz w:val="18"/>
              </w:rPr>
              <w:t>normativa</w:t>
            </w:r>
            <w:r>
              <w:rPr>
                <w:spacing w:val="-12"/>
                <w:sz w:val="18"/>
              </w:rPr>
              <w:t> </w:t>
            </w:r>
            <w:r>
              <w:rPr>
                <w:sz w:val="18"/>
              </w:rPr>
              <w:t>propuesta ante jefatura</w:t>
            </w:r>
          </w:p>
        </w:tc>
        <w:tc>
          <w:tcPr>
            <w:tcW w:w="1560" w:type="dxa"/>
          </w:tcPr>
          <w:p>
            <w:pPr>
              <w:pStyle w:val="TableParagraph"/>
              <w:spacing w:before="118"/>
              <w:rPr>
                <w:b/>
                <w:sz w:val="18"/>
              </w:rPr>
            </w:pPr>
          </w:p>
          <w:p>
            <w:pPr>
              <w:pStyle w:val="TableParagraph"/>
              <w:ind w:left="21" w:right="20"/>
              <w:jc w:val="center"/>
              <w:rPr>
                <w:sz w:val="18"/>
              </w:rPr>
            </w:pPr>
            <w:r>
              <w:rPr>
                <w:spacing w:val="-10"/>
                <w:sz w:val="18"/>
              </w:rPr>
              <w:t>0</w:t>
            </w:r>
          </w:p>
        </w:tc>
        <w:tc>
          <w:tcPr>
            <w:tcW w:w="1983" w:type="dxa"/>
          </w:tcPr>
          <w:p>
            <w:pPr>
              <w:pStyle w:val="TableParagraph"/>
              <w:spacing w:before="118"/>
              <w:rPr>
                <w:b/>
                <w:sz w:val="18"/>
              </w:rPr>
            </w:pPr>
          </w:p>
          <w:p>
            <w:pPr>
              <w:pStyle w:val="TableParagraph"/>
              <w:ind w:left="14" w:right="5"/>
              <w:jc w:val="center"/>
              <w:rPr>
                <w:sz w:val="18"/>
              </w:rPr>
            </w:pPr>
            <w:r>
              <w:rPr>
                <w:spacing w:val="-4"/>
                <w:sz w:val="18"/>
              </w:rPr>
              <w:t>100%</w:t>
            </w:r>
          </w:p>
        </w:tc>
        <w:tc>
          <w:tcPr>
            <w:tcW w:w="1421" w:type="dxa"/>
          </w:tcPr>
          <w:p>
            <w:pPr>
              <w:pStyle w:val="TableParagraph"/>
              <w:spacing w:before="119"/>
              <w:ind w:left="72" w:right="221"/>
              <w:rPr>
                <w:sz w:val="18"/>
              </w:rPr>
            </w:pPr>
            <w:r>
              <w:rPr>
                <w:sz w:val="18"/>
              </w:rPr>
              <w:t>Porcentaje</w:t>
            </w:r>
            <w:r>
              <w:rPr>
                <w:spacing w:val="-13"/>
                <w:sz w:val="18"/>
              </w:rPr>
              <w:t> </w:t>
            </w:r>
            <w:r>
              <w:rPr>
                <w:sz w:val="18"/>
              </w:rPr>
              <w:t>de la normativa </w:t>
            </w:r>
            <w:r>
              <w:rPr>
                <w:spacing w:val="-2"/>
                <w:sz w:val="18"/>
              </w:rPr>
              <w:t>aprobada</w:t>
            </w:r>
          </w:p>
        </w:tc>
        <w:tc>
          <w:tcPr>
            <w:tcW w:w="1839" w:type="dxa"/>
          </w:tcPr>
          <w:p>
            <w:pPr>
              <w:pStyle w:val="TableParagraph"/>
              <w:spacing w:before="13"/>
              <w:rPr>
                <w:b/>
                <w:sz w:val="18"/>
              </w:rPr>
            </w:pPr>
          </w:p>
          <w:p>
            <w:pPr>
              <w:pStyle w:val="TableParagraph"/>
              <w:ind w:left="67"/>
              <w:rPr>
                <w:sz w:val="18"/>
              </w:rPr>
            </w:pPr>
            <w:r>
              <w:rPr>
                <w:sz w:val="18"/>
              </w:rPr>
              <w:t>Normativa aprobada publicada</w:t>
            </w:r>
            <w:r>
              <w:rPr>
                <w:spacing w:val="-10"/>
                <w:sz w:val="18"/>
              </w:rPr>
              <w:t> </w:t>
            </w:r>
            <w:r>
              <w:rPr>
                <w:sz w:val="18"/>
              </w:rPr>
              <w:t>en</w:t>
            </w:r>
            <w:r>
              <w:rPr>
                <w:spacing w:val="-13"/>
                <w:sz w:val="18"/>
              </w:rPr>
              <w:t> </w:t>
            </w:r>
            <w:r>
              <w:rPr>
                <w:sz w:val="18"/>
              </w:rPr>
              <w:t>el</w:t>
            </w:r>
            <w:r>
              <w:rPr>
                <w:spacing w:val="-10"/>
                <w:sz w:val="18"/>
              </w:rPr>
              <w:t> </w:t>
            </w:r>
            <w:r>
              <w:rPr>
                <w:sz w:val="18"/>
              </w:rPr>
              <w:t>CIRE</w:t>
            </w:r>
          </w:p>
        </w:tc>
        <w:tc>
          <w:tcPr>
            <w:tcW w:w="1278" w:type="dxa"/>
          </w:tcPr>
          <w:p>
            <w:pPr>
              <w:pStyle w:val="TableParagraph"/>
              <w:spacing w:before="13"/>
              <w:rPr>
                <w:b/>
                <w:sz w:val="18"/>
              </w:rPr>
            </w:pPr>
          </w:p>
          <w:p>
            <w:pPr>
              <w:pStyle w:val="TableParagraph"/>
              <w:ind w:left="72"/>
              <w:rPr>
                <w:sz w:val="18"/>
              </w:rPr>
            </w:pPr>
            <w:r>
              <w:rPr>
                <w:spacing w:val="-2"/>
                <w:sz w:val="18"/>
              </w:rPr>
              <w:t>Desarrollo Humano</w:t>
            </w:r>
          </w:p>
        </w:tc>
        <w:tc>
          <w:tcPr>
            <w:tcW w:w="1840" w:type="dxa"/>
          </w:tcPr>
          <w:p>
            <w:pPr>
              <w:pStyle w:val="TableParagraph"/>
              <w:rPr>
                <w:rFonts w:ascii="Times New Roman"/>
                <w:sz w:val="18"/>
              </w:rPr>
            </w:pPr>
          </w:p>
        </w:tc>
        <w:tc>
          <w:tcPr>
            <w:tcW w:w="1498" w:type="dxa"/>
            <w:vMerge/>
            <w:tcBorders>
              <w:top w:val="nil"/>
            </w:tcBorders>
          </w:tcPr>
          <w:p>
            <w:pPr>
              <w:rPr>
                <w:sz w:val="2"/>
                <w:szCs w:val="2"/>
              </w:rPr>
            </w:pPr>
          </w:p>
        </w:tc>
      </w:tr>
      <w:tr>
        <w:trPr>
          <w:trHeight w:val="811" w:hRule="atLeast"/>
        </w:trPr>
        <w:tc>
          <w:tcPr>
            <w:tcW w:w="14252" w:type="dxa"/>
            <w:gridSpan w:val="8"/>
            <w:shd w:val="clear" w:color="auto" w:fill="EFF8F9"/>
          </w:tcPr>
          <w:p>
            <w:pPr>
              <w:pStyle w:val="TableParagraph"/>
              <w:spacing w:before="200"/>
              <w:ind w:left="72"/>
              <w:rPr>
                <w:b/>
                <w:sz w:val="18"/>
              </w:rPr>
            </w:pPr>
            <w:r>
              <w:rPr>
                <w:b/>
                <w:sz w:val="18"/>
              </w:rPr>
              <w:t>Producto</w:t>
            </w:r>
            <w:r>
              <w:rPr>
                <w:b/>
                <w:spacing w:val="-4"/>
                <w:sz w:val="18"/>
              </w:rPr>
              <w:t> </w:t>
            </w:r>
            <w:r>
              <w:rPr>
                <w:b/>
                <w:sz w:val="18"/>
              </w:rPr>
              <w:t>PAC</w:t>
            </w:r>
            <w:r>
              <w:rPr>
                <w:b/>
                <w:spacing w:val="-5"/>
                <w:sz w:val="18"/>
              </w:rPr>
              <w:t> </w:t>
            </w:r>
            <w:r>
              <w:rPr>
                <w:b/>
                <w:sz w:val="18"/>
              </w:rPr>
              <w:t>2.8:</w:t>
            </w:r>
            <w:r>
              <w:rPr>
                <w:b/>
                <w:spacing w:val="40"/>
                <w:sz w:val="18"/>
              </w:rPr>
              <w:t> </w:t>
            </w:r>
            <w:r>
              <w:rPr>
                <w:b/>
                <w:sz w:val="18"/>
              </w:rPr>
              <w:t>Implementar</w:t>
            </w:r>
            <w:r>
              <w:rPr>
                <w:b/>
                <w:spacing w:val="-1"/>
                <w:sz w:val="18"/>
              </w:rPr>
              <w:t> </w:t>
            </w:r>
            <w:r>
              <w:rPr>
                <w:b/>
                <w:sz w:val="18"/>
              </w:rPr>
              <w:t>un</w:t>
            </w:r>
            <w:r>
              <w:rPr>
                <w:b/>
                <w:spacing w:val="-4"/>
                <w:sz w:val="18"/>
              </w:rPr>
              <w:t> </w:t>
            </w:r>
            <w:r>
              <w:rPr>
                <w:b/>
                <w:sz w:val="18"/>
              </w:rPr>
              <w:t>plan</w:t>
            </w:r>
            <w:r>
              <w:rPr>
                <w:b/>
                <w:spacing w:val="-4"/>
                <w:sz w:val="18"/>
              </w:rPr>
              <w:t> </w:t>
            </w:r>
            <w:r>
              <w:rPr>
                <w:b/>
                <w:sz w:val="18"/>
              </w:rPr>
              <w:t>de</w:t>
            </w:r>
            <w:r>
              <w:rPr>
                <w:b/>
                <w:spacing w:val="-3"/>
                <w:sz w:val="18"/>
              </w:rPr>
              <w:t> </w:t>
            </w:r>
            <w:r>
              <w:rPr>
                <w:b/>
                <w:sz w:val="18"/>
              </w:rPr>
              <w:t>capacitación</w:t>
            </w:r>
            <w:r>
              <w:rPr>
                <w:b/>
                <w:spacing w:val="-4"/>
                <w:sz w:val="18"/>
              </w:rPr>
              <w:t> </w:t>
            </w:r>
            <w:r>
              <w:rPr>
                <w:b/>
                <w:sz w:val="18"/>
              </w:rPr>
              <w:t>para</w:t>
            </w:r>
            <w:r>
              <w:rPr>
                <w:b/>
                <w:spacing w:val="-3"/>
                <w:sz w:val="18"/>
              </w:rPr>
              <w:t> </w:t>
            </w:r>
            <w:r>
              <w:rPr>
                <w:b/>
                <w:sz w:val="18"/>
              </w:rPr>
              <w:t>fomentar</w:t>
            </w:r>
            <w:r>
              <w:rPr>
                <w:b/>
                <w:spacing w:val="-1"/>
                <w:sz w:val="18"/>
              </w:rPr>
              <w:t> </w:t>
            </w:r>
            <w:r>
              <w:rPr>
                <w:b/>
                <w:sz w:val="18"/>
              </w:rPr>
              <w:t>el desarrollo de</w:t>
            </w:r>
            <w:r>
              <w:rPr>
                <w:b/>
                <w:spacing w:val="-3"/>
                <w:sz w:val="18"/>
              </w:rPr>
              <w:t> </w:t>
            </w:r>
            <w:r>
              <w:rPr>
                <w:b/>
                <w:sz w:val="18"/>
              </w:rPr>
              <w:t>competencias</w:t>
            </w:r>
            <w:r>
              <w:rPr>
                <w:b/>
                <w:spacing w:val="-3"/>
                <w:sz w:val="18"/>
              </w:rPr>
              <w:t> </w:t>
            </w:r>
            <w:r>
              <w:rPr>
                <w:b/>
                <w:sz w:val="18"/>
              </w:rPr>
              <w:t>innovadoras de</w:t>
            </w:r>
            <w:r>
              <w:rPr>
                <w:b/>
                <w:spacing w:val="-3"/>
                <w:sz w:val="18"/>
              </w:rPr>
              <w:t> </w:t>
            </w:r>
            <w:r>
              <w:rPr>
                <w:b/>
                <w:sz w:val="18"/>
              </w:rPr>
              <w:t>las</w:t>
            </w:r>
            <w:r>
              <w:rPr>
                <w:b/>
                <w:spacing w:val="-3"/>
                <w:sz w:val="18"/>
              </w:rPr>
              <w:t> </w:t>
            </w:r>
            <w:r>
              <w:rPr>
                <w:b/>
                <w:sz w:val="18"/>
              </w:rPr>
              <w:t>personas</w:t>
            </w:r>
            <w:r>
              <w:rPr>
                <w:b/>
                <w:spacing w:val="-3"/>
                <w:sz w:val="18"/>
              </w:rPr>
              <w:t> </w:t>
            </w:r>
            <w:r>
              <w:rPr>
                <w:b/>
                <w:sz w:val="18"/>
              </w:rPr>
              <w:t>trabajadoras</w:t>
            </w:r>
            <w:r>
              <w:rPr>
                <w:b/>
                <w:spacing w:val="-3"/>
                <w:sz w:val="18"/>
              </w:rPr>
              <w:t> </w:t>
            </w:r>
            <w:r>
              <w:rPr>
                <w:b/>
                <w:sz w:val="18"/>
              </w:rPr>
              <w:t>y</w:t>
            </w:r>
            <w:r>
              <w:rPr>
                <w:b/>
                <w:spacing w:val="-3"/>
                <w:sz w:val="18"/>
              </w:rPr>
              <w:t> </w:t>
            </w:r>
            <w:r>
              <w:rPr>
                <w:b/>
                <w:sz w:val="18"/>
              </w:rPr>
              <w:t>funcionarias, incluyendo componentes de integridad pública, ética y anticorrupción. E6 AE5 R1 (meta programada 60%)</w:t>
            </w:r>
          </w:p>
        </w:tc>
      </w:tr>
      <w:tr>
        <w:trPr>
          <w:trHeight w:val="1008" w:hRule="atLeast"/>
        </w:trPr>
        <w:tc>
          <w:tcPr>
            <w:tcW w:w="2833" w:type="dxa"/>
          </w:tcPr>
          <w:p>
            <w:pPr>
              <w:pStyle w:val="TableParagraph"/>
              <w:spacing w:line="242" w:lineRule="auto" w:before="191"/>
              <w:ind w:left="72"/>
              <w:rPr>
                <w:sz w:val="18"/>
              </w:rPr>
            </w:pPr>
            <w:r>
              <w:rPr>
                <w:b/>
                <w:sz w:val="18"/>
              </w:rPr>
              <w:t>Actividad</w:t>
            </w:r>
            <w:r>
              <w:rPr>
                <w:b/>
                <w:spacing w:val="-11"/>
                <w:sz w:val="18"/>
              </w:rPr>
              <w:t> </w:t>
            </w:r>
            <w:r>
              <w:rPr>
                <w:b/>
                <w:sz w:val="18"/>
              </w:rPr>
              <w:t>PAC</w:t>
            </w:r>
            <w:r>
              <w:rPr>
                <w:b/>
                <w:spacing w:val="-7"/>
                <w:sz w:val="18"/>
              </w:rPr>
              <w:t> </w:t>
            </w:r>
            <w:r>
              <w:rPr>
                <w:b/>
                <w:sz w:val="18"/>
              </w:rPr>
              <w:t>2.8.1:</w:t>
            </w:r>
            <w:r>
              <w:rPr>
                <w:b/>
                <w:spacing w:val="-6"/>
                <w:sz w:val="18"/>
              </w:rPr>
              <w:t> </w:t>
            </w:r>
            <w:r>
              <w:rPr>
                <w:sz w:val="18"/>
              </w:rPr>
              <w:t>Plan</w:t>
            </w:r>
            <w:r>
              <w:rPr>
                <w:spacing w:val="-10"/>
                <w:sz w:val="18"/>
              </w:rPr>
              <w:t> </w:t>
            </w:r>
            <w:r>
              <w:rPr>
                <w:sz w:val="18"/>
              </w:rPr>
              <w:t>de capacitación institucional ejecutado en el 2026</w:t>
            </w:r>
          </w:p>
        </w:tc>
        <w:tc>
          <w:tcPr>
            <w:tcW w:w="1560" w:type="dxa"/>
          </w:tcPr>
          <w:p>
            <w:pPr>
              <w:pStyle w:val="TableParagraph"/>
              <w:spacing w:before="190"/>
              <w:rPr>
                <w:b/>
                <w:sz w:val="18"/>
              </w:rPr>
            </w:pPr>
          </w:p>
          <w:p>
            <w:pPr>
              <w:pStyle w:val="TableParagraph"/>
              <w:ind w:left="21" w:right="18"/>
              <w:jc w:val="center"/>
              <w:rPr>
                <w:sz w:val="18"/>
              </w:rPr>
            </w:pPr>
            <w:r>
              <w:rPr>
                <w:spacing w:val="-5"/>
                <w:sz w:val="18"/>
              </w:rPr>
              <w:t>20%</w:t>
            </w:r>
          </w:p>
        </w:tc>
        <w:tc>
          <w:tcPr>
            <w:tcW w:w="1983" w:type="dxa"/>
          </w:tcPr>
          <w:p>
            <w:pPr>
              <w:pStyle w:val="TableParagraph"/>
              <w:spacing w:before="190"/>
              <w:rPr>
                <w:b/>
                <w:sz w:val="18"/>
              </w:rPr>
            </w:pPr>
          </w:p>
          <w:p>
            <w:pPr>
              <w:pStyle w:val="TableParagraph"/>
              <w:ind w:left="14" w:right="5"/>
              <w:jc w:val="center"/>
              <w:rPr>
                <w:sz w:val="18"/>
              </w:rPr>
            </w:pPr>
            <w:r>
              <w:rPr>
                <w:spacing w:val="-4"/>
                <w:sz w:val="18"/>
              </w:rPr>
              <w:t>100%</w:t>
            </w:r>
          </w:p>
        </w:tc>
        <w:tc>
          <w:tcPr>
            <w:tcW w:w="1421" w:type="dxa"/>
          </w:tcPr>
          <w:p>
            <w:pPr>
              <w:pStyle w:val="TableParagraph"/>
              <w:spacing w:before="90"/>
              <w:ind w:left="72" w:right="181"/>
              <w:rPr>
                <w:sz w:val="18"/>
              </w:rPr>
            </w:pPr>
            <w:r>
              <w:rPr>
                <w:sz w:val="18"/>
              </w:rPr>
              <w:t>Porcentaje</w:t>
            </w:r>
            <w:r>
              <w:rPr>
                <w:spacing w:val="-13"/>
                <w:sz w:val="18"/>
              </w:rPr>
              <w:t> </w:t>
            </w:r>
            <w:r>
              <w:rPr>
                <w:sz w:val="18"/>
              </w:rPr>
              <w:t>del Plan de </w:t>
            </w:r>
            <w:r>
              <w:rPr>
                <w:spacing w:val="-2"/>
                <w:sz w:val="18"/>
              </w:rPr>
              <w:t>Capacitación ejecutado</w:t>
            </w:r>
          </w:p>
        </w:tc>
        <w:tc>
          <w:tcPr>
            <w:tcW w:w="1839" w:type="dxa"/>
          </w:tcPr>
          <w:p>
            <w:pPr>
              <w:pStyle w:val="TableParagraph"/>
              <w:spacing w:line="242" w:lineRule="auto" w:before="191"/>
              <w:ind w:left="67" w:right="165"/>
              <w:rPr>
                <w:sz w:val="18"/>
              </w:rPr>
            </w:pPr>
            <w:r>
              <w:rPr>
                <w:spacing w:val="-2"/>
                <w:sz w:val="18"/>
              </w:rPr>
              <w:t>Convocatorias </w:t>
            </w:r>
            <w:r>
              <w:rPr>
                <w:sz w:val="18"/>
              </w:rPr>
              <w:t>Listas</w:t>
            </w:r>
            <w:r>
              <w:rPr>
                <w:spacing w:val="-15"/>
                <w:sz w:val="18"/>
              </w:rPr>
              <w:t> </w:t>
            </w:r>
            <w:r>
              <w:rPr>
                <w:sz w:val="18"/>
              </w:rPr>
              <w:t>de</w:t>
            </w:r>
            <w:r>
              <w:rPr>
                <w:spacing w:val="-12"/>
                <w:sz w:val="18"/>
              </w:rPr>
              <w:t> </w:t>
            </w:r>
            <w:r>
              <w:rPr>
                <w:sz w:val="18"/>
              </w:rPr>
              <w:t>Asistencia </w:t>
            </w:r>
            <w:r>
              <w:rPr>
                <w:spacing w:val="-2"/>
                <w:sz w:val="18"/>
              </w:rPr>
              <w:t>Oficios</w:t>
            </w:r>
          </w:p>
        </w:tc>
        <w:tc>
          <w:tcPr>
            <w:tcW w:w="1278" w:type="dxa"/>
          </w:tcPr>
          <w:p>
            <w:pPr>
              <w:pStyle w:val="TableParagraph"/>
              <w:spacing w:before="89"/>
              <w:rPr>
                <w:b/>
                <w:sz w:val="18"/>
              </w:rPr>
            </w:pPr>
          </w:p>
          <w:p>
            <w:pPr>
              <w:pStyle w:val="TableParagraph"/>
              <w:ind w:left="72"/>
              <w:rPr>
                <w:sz w:val="18"/>
              </w:rPr>
            </w:pPr>
            <w:r>
              <w:rPr>
                <w:spacing w:val="-2"/>
                <w:sz w:val="18"/>
              </w:rPr>
              <w:t>Desarrollo Humano</w:t>
            </w:r>
          </w:p>
        </w:tc>
        <w:tc>
          <w:tcPr>
            <w:tcW w:w="1840" w:type="dxa"/>
          </w:tcPr>
          <w:p>
            <w:pPr>
              <w:pStyle w:val="TableParagraph"/>
              <w:spacing w:before="190"/>
              <w:rPr>
                <w:b/>
                <w:sz w:val="18"/>
              </w:rPr>
            </w:pPr>
          </w:p>
          <w:p>
            <w:pPr>
              <w:pStyle w:val="TableParagraph"/>
              <w:ind w:left="594"/>
              <w:rPr>
                <w:sz w:val="18"/>
              </w:rPr>
            </w:pPr>
            <w:r>
              <w:rPr>
                <w:sz w:val="18"/>
              </w:rPr>
              <w:t>₡</w:t>
            </w:r>
            <w:r>
              <w:rPr>
                <w:spacing w:val="1"/>
                <w:sz w:val="18"/>
              </w:rPr>
              <w:t> </w:t>
            </w:r>
            <w:r>
              <w:rPr>
                <w:sz w:val="18"/>
              </w:rPr>
              <w:t>175</w:t>
            </w:r>
            <w:r>
              <w:rPr>
                <w:spacing w:val="-2"/>
                <w:sz w:val="18"/>
              </w:rPr>
              <w:t> </w:t>
            </w:r>
            <w:r>
              <w:rPr>
                <w:sz w:val="18"/>
              </w:rPr>
              <w:t>000</w:t>
            </w:r>
            <w:r>
              <w:rPr>
                <w:spacing w:val="-2"/>
                <w:sz w:val="18"/>
              </w:rPr>
              <w:t> </w:t>
            </w:r>
            <w:r>
              <w:rPr>
                <w:spacing w:val="-5"/>
                <w:sz w:val="18"/>
              </w:rPr>
              <w:t>000</w:t>
            </w:r>
          </w:p>
        </w:tc>
        <w:tc>
          <w:tcPr>
            <w:tcW w:w="1498" w:type="dxa"/>
            <w:vMerge w:val="restart"/>
          </w:tcPr>
          <w:p>
            <w:pPr>
              <w:pStyle w:val="TableParagraph"/>
              <w:spacing w:before="205"/>
              <w:ind w:left="75" w:right="124"/>
              <w:rPr>
                <w:sz w:val="18"/>
              </w:rPr>
            </w:pPr>
            <w:r>
              <w:rPr>
                <w:spacing w:val="-2"/>
                <w:sz w:val="18"/>
              </w:rPr>
              <w:t>Evento: Personas </w:t>
            </w:r>
            <w:r>
              <w:rPr>
                <w:sz w:val="18"/>
              </w:rPr>
              <w:t>funcionarias y trabajadoras</w:t>
            </w:r>
            <w:r>
              <w:rPr>
                <w:spacing w:val="-13"/>
                <w:sz w:val="18"/>
              </w:rPr>
              <w:t> </w:t>
            </w:r>
            <w:r>
              <w:rPr>
                <w:sz w:val="18"/>
              </w:rPr>
              <w:t>sin </w:t>
            </w:r>
            <w:r>
              <w:rPr>
                <w:spacing w:val="-4"/>
                <w:sz w:val="18"/>
              </w:rPr>
              <w:t>las </w:t>
            </w:r>
            <w:r>
              <w:rPr>
                <w:spacing w:val="-2"/>
                <w:sz w:val="18"/>
              </w:rPr>
              <w:t>competencias innovadoras necesarias</w:t>
            </w:r>
          </w:p>
        </w:tc>
      </w:tr>
      <w:tr>
        <w:trPr>
          <w:trHeight w:val="1050" w:hRule="atLeast"/>
        </w:trPr>
        <w:tc>
          <w:tcPr>
            <w:tcW w:w="2833" w:type="dxa"/>
          </w:tcPr>
          <w:p>
            <w:pPr>
              <w:pStyle w:val="TableParagraph"/>
              <w:spacing w:before="7"/>
              <w:rPr>
                <w:b/>
                <w:sz w:val="18"/>
              </w:rPr>
            </w:pPr>
          </w:p>
          <w:p>
            <w:pPr>
              <w:pStyle w:val="TableParagraph"/>
              <w:spacing w:before="1"/>
              <w:ind w:left="72" w:right="93"/>
              <w:jc w:val="both"/>
              <w:rPr>
                <w:sz w:val="18"/>
              </w:rPr>
            </w:pPr>
            <w:r>
              <w:rPr>
                <w:b/>
                <w:sz w:val="18"/>
              </w:rPr>
              <w:t>Actividad</w:t>
            </w:r>
            <w:r>
              <w:rPr>
                <w:b/>
                <w:spacing w:val="-4"/>
                <w:sz w:val="18"/>
              </w:rPr>
              <w:t> </w:t>
            </w:r>
            <w:r>
              <w:rPr>
                <w:b/>
                <w:sz w:val="18"/>
              </w:rPr>
              <w:t>PAC 2.8.2: </w:t>
            </w:r>
            <w:r>
              <w:rPr>
                <w:sz w:val="18"/>
              </w:rPr>
              <w:t>Cursos</w:t>
            </w:r>
            <w:r>
              <w:rPr>
                <w:spacing w:val="-3"/>
                <w:sz w:val="18"/>
              </w:rPr>
              <w:t> </w:t>
            </w:r>
            <w:r>
              <w:rPr>
                <w:sz w:val="18"/>
              </w:rPr>
              <w:t>de capacitación</w:t>
            </w:r>
            <w:r>
              <w:rPr>
                <w:spacing w:val="-8"/>
                <w:sz w:val="18"/>
              </w:rPr>
              <w:t> </w:t>
            </w:r>
            <w:r>
              <w:rPr>
                <w:sz w:val="18"/>
              </w:rPr>
              <w:t>alineados</w:t>
            </w:r>
            <w:r>
              <w:rPr>
                <w:spacing w:val="-7"/>
                <w:sz w:val="18"/>
              </w:rPr>
              <w:t> </w:t>
            </w:r>
            <w:r>
              <w:rPr>
                <w:sz w:val="18"/>
              </w:rPr>
              <w:t>al</w:t>
            </w:r>
            <w:r>
              <w:rPr>
                <w:spacing w:val="-13"/>
                <w:sz w:val="18"/>
              </w:rPr>
              <w:t> </w:t>
            </w:r>
            <w:r>
              <w:rPr>
                <w:sz w:val="18"/>
              </w:rPr>
              <w:t>plan</w:t>
            </w:r>
            <w:r>
              <w:rPr>
                <w:spacing w:val="-7"/>
                <w:sz w:val="18"/>
              </w:rPr>
              <w:t> </w:t>
            </w:r>
            <w:r>
              <w:rPr>
                <w:sz w:val="18"/>
              </w:rPr>
              <w:t>de capacitación institucional</w:t>
            </w:r>
          </w:p>
        </w:tc>
        <w:tc>
          <w:tcPr>
            <w:tcW w:w="1560" w:type="dxa"/>
          </w:tcPr>
          <w:p>
            <w:pPr>
              <w:pStyle w:val="TableParagraph"/>
              <w:rPr>
                <w:b/>
                <w:sz w:val="18"/>
              </w:rPr>
            </w:pPr>
          </w:p>
          <w:p>
            <w:pPr>
              <w:pStyle w:val="TableParagraph"/>
              <w:spacing w:before="7"/>
              <w:rPr>
                <w:b/>
                <w:sz w:val="18"/>
              </w:rPr>
            </w:pPr>
          </w:p>
          <w:p>
            <w:pPr>
              <w:pStyle w:val="TableParagraph"/>
              <w:ind w:left="21" w:right="20"/>
              <w:jc w:val="center"/>
              <w:rPr>
                <w:sz w:val="18"/>
              </w:rPr>
            </w:pPr>
            <w:r>
              <w:rPr>
                <w:spacing w:val="-10"/>
                <w:sz w:val="18"/>
              </w:rPr>
              <w:t>0</w:t>
            </w:r>
          </w:p>
        </w:tc>
        <w:tc>
          <w:tcPr>
            <w:tcW w:w="1983" w:type="dxa"/>
          </w:tcPr>
          <w:p>
            <w:pPr>
              <w:pStyle w:val="TableParagraph"/>
              <w:rPr>
                <w:b/>
                <w:sz w:val="18"/>
              </w:rPr>
            </w:pPr>
          </w:p>
          <w:p>
            <w:pPr>
              <w:pStyle w:val="TableParagraph"/>
              <w:spacing w:before="7"/>
              <w:rPr>
                <w:b/>
                <w:sz w:val="18"/>
              </w:rPr>
            </w:pPr>
          </w:p>
          <w:p>
            <w:pPr>
              <w:pStyle w:val="TableParagraph"/>
              <w:ind w:left="14" w:right="8"/>
              <w:jc w:val="center"/>
              <w:rPr>
                <w:sz w:val="18"/>
              </w:rPr>
            </w:pPr>
            <w:r>
              <w:rPr>
                <w:spacing w:val="-5"/>
                <w:sz w:val="18"/>
              </w:rPr>
              <w:t>15</w:t>
            </w:r>
          </w:p>
        </w:tc>
        <w:tc>
          <w:tcPr>
            <w:tcW w:w="1421" w:type="dxa"/>
          </w:tcPr>
          <w:p>
            <w:pPr>
              <w:pStyle w:val="TableParagraph"/>
              <w:spacing w:before="7"/>
              <w:rPr>
                <w:b/>
                <w:sz w:val="18"/>
              </w:rPr>
            </w:pPr>
          </w:p>
          <w:p>
            <w:pPr>
              <w:pStyle w:val="TableParagraph"/>
              <w:spacing w:before="1"/>
              <w:ind w:left="72"/>
              <w:rPr>
                <w:sz w:val="18"/>
              </w:rPr>
            </w:pPr>
            <w:r>
              <w:rPr>
                <w:sz w:val="18"/>
              </w:rPr>
              <w:t>Cantidad de </w:t>
            </w:r>
            <w:r>
              <w:rPr>
                <w:spacing w:val="-2"/>
                <w:sz w:val="18"/>
              </w:rPr>
              <w:t>cursos desarrollados</w:t>
            </w:r>
          </w:p>
        </w:tc>
        <w:tc>
          <w:tcPr>
            <w:tcW w:w="1839" w:type="dxa"/>
          </w:tcPr>
          <w:p>
            <w:pPr>
              <w:pStyle w:val="TableParagraph"/>
              <w:spacing w:before="108"/>
              <w:rPr>
                <w:b/>
                <w:sz w:val="18"/>
              </w:rPr>
            </w:pPr>
          </w:p>
          <w:p>
            <w:pPr>
              <w:pStyle w:val="TableParagraph"/>
              <w:ind w:left="67" w:right="504"/>
              <w:rPr>
                <w:sz w:val="18"/>
              </w:rPr>
            </w:pPr>
            <w:r>
              <w:rPr>
                <w:spacing w:val="-2"/>
                <w:sz w:val="18"/>
              </w:rPr>
              <w:t>Formularios </w:t>
            </w:r>
            <w:r>
              <w:rPr>
                <w:sz w:val="18"/>
              </w:rPr>
              <w:t>Correos,</w:t>
            </w:r>
            <w:r>
              <w:rPr>
                <w:spacing w:val="-13"/>
                <w:sz w:val="18"/>
              </w:rPr>
              <w:t> </w:t>
            </w:r>
            <w:r>
              <w:rPr>
                <w:sz w:val="18"/>
              </w:rPr>
              <w:t>oficios</w:t>
            </w:r>
          </w:p>
        </w:tc>
        <w:tc>
          <w:tcPr>
            <w:tcW w:w="1278" w:type="dxa"/>
          </w:tcPr>
          <w:p>
            <w:pPr>
              <w:pStyle w:val="TableParagraph"/>
              <w:spacing w:before="108"/>
              <w:rPr>
                <w:b/>
                <w:sz w:val="18"/>
              </w:rPr>
            </w:pPr>
          </w:p>
          <w:p>
            <w:pPr>
              <w:pStyle w:val="TableParagraph"/>
              <w:ind w:left="72"/>
              <w:rPr>
                <w:sz w:val="18"/>
              </w:rPr>
            </w:pPr>
            <w:r>
              <w:rPr>
                <w:spacing w:val="-2"/>
                <w:sz w:val="18"/>
              </w:rPr>
              <w:t>Desarrollo Humano</w:t>
            </w:r>
          </w:p>
        </w:tc>
        <w:tc>
          <w:tcPr>
            <w:tcW w:w="1840" w:type="dxa"/>
          </w:tcPr>
          <w:p>
            <w:pPr>
              <w:pStyle w:val="TableParagraph"/>
              <w:rPr>
                <w:rFonts w:ascii="Times New Roman"/>
                <w:sz w:val="18"/>
              </w:rPr>
            </w:pPr>
          </w:p>
        </w:tc>
        <w:tc>
          <w:tcPr>
            <w:tcW w:w="1498" w:type="dxa"/>
            <w:vMerge/>
            <w:tcBorders>
              <w:top w:val="nil"/>
            </w:tcBorders>
          </w:tcPr>
          <w:p>
            <w:pPr>
              <w:rPr>
                <w:sz w:val="2"/>
                <w:szCs w:val="2"/>
              </w:rPr>
            </w:pPr>
          </w:p>
        </w:tc>
      </w:tr>
      <w:tr>
        <w:trPr>
          <w:trHeight w:val="926" w:hRule="atLeast"/>
        </w:trPr>
        <w:tc>
          <w:tcPr>
            <w:tcW w:w="14252" w:type="dxa"/>
            <w:gridSpan w:val="8"/>
            <w:shd w:val="clear" w:color="auto" w:fill="EFF8F9"/>
          </w:tcPr>
          <w:p>
            <w:pPr>
              <w:pStyle w:val="TableParagraph"/>
              <w:spacing w:before="152"/>
              <w:rPr>
                <w:b/>
                <w:sz w:val="18"/>
              </w:rPr>
            </w:pPr>
          </w:p>
          <w:p>
            <w:pPr>
              <w:pStyle w:val="TableParagraph"/>
              <w:ind w:left="72"/>
              <w:rPr>
                <w:b/>
                <w:sz w:val="18"/>
              </w:rPr>
            </w:pPr>
            <w:r>
              <w:rPr>
                <w:b/>
                <w:sz w:val="18"/>
              </w:rPr>
              <w:t>Producto</w:t>
            </w:r>
            <w:r>
              <w:rPr>
                <w:b/>
                <w:spacing w:val="-8"/>
                <w:sz w:val="18"/>
              </w:rPr>
              <w:t> </w:t>
            </w:r>
            <w:r>
              <w:rPr>
                <w:b/>
                <w:sz w:val="18"/>
              </w:rPr>
              <w:t>PAC</w:t>
            </w:r>
            <w:r>
              <w:rPr>
                <w:b/>
                <w:spacing w:val="-8"/>
                <w:sz w:val="18"/>
              </w:rPr>
              <w:t> </w:t>
            </w:r>
            <w:r>
              <w:rPr>
                <w:b/>
                <w:sz w:val="18"/>
              </w:rPr>
              <w:t>2.9:</w:t>
            </w:r>
            <w:r>
              <w:rPr>
                <w:b/>
                <w:spacing w:val="44"/>
                <w:sz w:val="18"/>
              </w:rPr>
              <w:t> </w:t>
            </w:r>
            <w:r>
              <w:rPr>
                <w:b/>
                <w:sz w:val="18"/>
              </w:rPr>
              <w:t>Estimación</w:t>
            </w:r>
            <w:r>
              <w:rPr>
                <w:b/>
                <w:spacing w:val="-8"/>
                <w:sz w:val="18"/>
              </w:rPr>
              <w:t> </w:t>
            </w:r>
            <w:r>
              <w:rPr>
                <w:b/>
                <w:sz w:val="18"/>
              </w:rPr>
              <w:t>presupuestaria</w:t>
            </w:r>
            <w:r>
              <w:rPr>
                <w:b/>
                <w:spacing w:val="-2"/>
                <w:sz w:val="18"/>
              </w:rPr>
              <w:t> </w:t>
            </w:r>
            <w:r>
              <w:rPr>
                <w:b/>
                <w:sz w:val="18"/>
              </w:rPr>
              <w:t>de</w:t>
            </w:r>
            <w:r>
              <w:rPr>
                <w:b/>
                <w:spacing w:val="-7"/>
                <w:sz w:val="18"/>
              </w:rPr>
              <w:t> </w:t>
            </w:r>
            <w:r>
              <w:rPr>
                <w:b/>
                <w:sz w:val="18"/>
              </w:rPr>
              <w:t>los</w:t>
            </w:r>
            <w:r>
              <w:rPr>
                <w:b/>
                <w:spacing w:val="-6"/>
                <w:sz w:val="18"/>
              </w:rPr>
              <w:t> </w:t>
            </w:r>
            <w:r>
              <w:rPr>
                <w:b/>
                <w:sz w:val="18"/>
              </w:rPr>
              <w:t>recursos</w:t>
            </w:r>
            <w:r>
              <w:rPr>
                <w:b/>
                <w:spacing w:val="-6"/>
                <w:sz w:val="18"/>
              </w:rPr>
              <w:t> </w:t>
            </w:r>
            <w:r>
              <w:rPr>
                <w:b/>
                <w:sz w:val="18"/>
              </w:rPr>
              <w:t>necesarios</w:t>
            </w:r>
            <w:r>
              <w:rPr>
                <w:b/>
                <w:spacing w:val="-3"/>
                <w:sz w:val="18"/>
              </w:rPr>
              <w:t> </w:t>
            </w:r>
            <w:r>
              <w:rPr>
                <w:b/>
                <w:sz w:val="18"/>
              </w:rPr>
              <w:t>para</w:t>
            </w:r>
            <w:r>
              <w:rPr>
                <w:b/>
                <w:spacing w:val="-6"/>
                <w:sz w:val="18"/>
              </w:rPr>
              <w:t> </w:t>
            </w:r>
            <w:r>
              <w:rPr>
                <w:b/>
                <w:sz w:val="18"/>
              </w:rPr>
              <w:t>la</w:t>
            </w:r>
            <w:r>
              <w:rPr>
                <w:b/>
                <w:spacing w:val="-7"/>
                <w:sz w:val="18"/>
              </w:rPr>
              <w:t> </w:t>
            </w:r>
            <w:r>
              <w:rPr>
                <w:b/>
                <w:sz w:val="18"/>
              </w:rPr>
              <w:t>implementación</w:t>
            </w:r>
            <w:r>
              <w:rPr>
                <w:b/>
                <w:spacing w:val="-7"/>
                <w:sz w:val="18"/>
              </w:rPr>
              <w:t> </w:t>
            </w:r>
            <w:r>
              <w:rPr>
                <w:b/>
                <w:sz w:val="18"/>
              </w:rPr>
              <w:t>del Plan</w:t>
            </w:r>
            <w:r>
              <w:rPr>
                <w:b/>
                <w:spacing w:val="-7"/>
                <w:sz w:val="18"/>
              </w:rPr>
              <w:t> </w:t>
            </w:r>
            <w:r>
              <w:rPr>
                <w:b/>
                <w:sz w:val="18"/>
              </w:rPr>
              <w:t>de</w:t>
            </w:r>
            <w:r>
              <w:rPr>
                <w:b/>
                <w:spacing w:val="-7"/>
                <w:sz w:val="18"/>
              </w:rPr>
              <w:t> </w:t>
            </w:r>
            <w:r>
              <w:rPr>
                <w:b/>
                <w:sz w:val="18"/>
              </w:rPr>
              <w:t>Empleo</w:t>
            </w:r>
            <w:r>
              <w:rPr>
                <w:b/>
                <w:spacing w:val="-7"/>
                <w:sz w:val="18"/>
              </w:rPr>
              <w:t> </w:t>
            </w:r>
            <w:r>
              <w:rPr>
                <w:b/>
                <w:sz w:val="18"/>
              </w:rPr>
              <w:t>Público</w:t>
            </w:r>
            <w:r>
              <w:rPr>
                <w:b/>
                <w:spacing w:val="-7"/>
                <w:sz w:val="18"/>
              </w:rPr>
              <w:t> </w:t>
            </w:r>
            <w:r>
              <w:rPr>
                <w:b/>
                <w:sz w:val="18"/>
              </w:rPr>
              <w:t>E6</w:t>
            </w:r>
            <w:r>
              <w:rPr>
                <w:b/>
                <w:spacing w:val="9"/>
                <w:sz w:val="18"/>
              </w:rPr>
              <w:t> </w:t>
            </w:r>
            <w:r>
              <w:rPr>
                <w:b/>
                <w:sz w:val="18"/>
              </w:rPr>
              <w:t>AE6</w:t>
            </w:r>
            <w:r>
              <w:rPr>
                <w:b/>
                <w:spacing w:val="-6"/>
                <w:sz w:val="18"/>
              </w:rPr>
              <w:t> </w:t>
            </w:r>
            <w:r>
              <w:rPr>
                <w:b/>
                <w:sz w:val="18"/>
              </w:rPr>
              <w:t>R1</w:t>
            </w:r>
            <w:r>
              <w:rPr>
                <w:b/>
                <w:spacing w:val="-6"/>
                <w:sz w:val="18"/>
              </w:rPr>
              <w:t> </w:t>
            </w:r>
            <w:r>
              <w:rPr>
                <w:b/>
                <w:sz w:val="18"/>
              </w:rPr>
              <w:t>(meta</w:t>
            </w:r>
            <w:r>
              <w:rPr>
                <w:b/>
                <w:spacing w:val="-3"/>
                <w:sz w:val="18"/>
              </w:rPr>
              <w:t> </w:t>
            </w:r>
            <w:r>
              <w:rPr>
                <w:b/>
                <w:sz w:val="18"/>
              </w:rPr>
              <w:t>programada</w:t>
            </w:r>
            <w:r>
              <w:rPr>
                <w:b/>
                <w:spacing w:val="-3"/>
                <w:sz w:val="18"/>
              </w:rPr>
              <w:t> </w:t>
            </w:r>
            <w:r>
              <w:rPr>
                <w:b/>
                <w:spacing w:val="-4"/>
                <w:sz w:val="18"/>
              </w:rPr>
              <w:t>50%)</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3"/>
        <w:gridCol w:w="1560"/>
        <w:gridCol w:w="1983"/>
        <w:gridCol w:w="1421"/>
        <w:gridCol w:w="1839"/>
        <w:gridCol w:w="1278"/>
        <w:gridCol w:w="1841"/>
        <w:gridCol w:w="1498"/>
      </w:tblGrid>
      <w:tr>
        <w:trPr>
          <w:trHeight w:val="618" w:hRule="atLeast"/>
        </w:trPr>
        <w:tc>
          <w:tcPr>
            <w:tcW w:w="2833" w:type="dxa"/>
            <w:shd w:val="clear" w:color="auto" w:fill="D7D7D7"/>
          </w:tcPr>
          <w:p>
            <w:pPr>
              <w:pStyle w:val="TableParagraph"/>
              <w:spacing w:before="205"/>
              <w:ind w:left="446"/>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7D7D7"/>
          </w:tcPr>
          <w:p>
            <w:pPr>
              <w:pStyle w:val="TableParagraph"/>
              <w:spacing w:before="104"/>
              <w:ind w:left="518" w:right="58" w:hanging="216"/>
              <w:rPr>
                <w:b/>
                <w:sz w:val="18"/>
              </w:rPr>
            </w:pPr>
            <w:r>
              <w:rPr>
                <w:b/>
                <w:sz w:val="18"/>
              </w:rPr>
              <w:t>Línea</w:t>
            </w:r>
            <w:r>
              <w:rPr>
                <w:b/>
                <w:spacing w:val="-13"/>
                <w:sz w:val="18"/>
              </w:rPr>
              <w:t> </w:t>
            </w:r>
            <w:r>
              <w:rPr>
                <w:b/>
                <w:sz w:val="18"/>
              </w:rPr>
              <w:t>Base </w:t>
            </w:r>
            <w:r>
              <w:rPr>
                <w:b/>
                <w:spacing w:val="-2"/>
                <w:sz w:val="18"/>
              </w:rPr>
              <w:t>(2024)</w:t>
            </w:r>
          </w:p>
        </w:tc>
        <w:tc>
          <w:tcPr>
            <w:tcW w:w="1983" w:type="dxa"/>
            <w:shd w:val="clear" w:color="auto" w:fill="D7D7D7"/>
          </w:tcPr>
          <w:p>
            <w:pPr>
              <w:pStyle w:val="TableParagraph"/>
              <w:spacing w:before="104"/>
              <w:ind w:left="788" w:hanging="553"/>
              <w:rPr>
                <w:b/>
                <w:sz w:val="18"/>
              </w:rPr>
            </w:pPr>
            <w:r>
              <w:rPr>
                <w:b/>
                <w:sz w:val="18"/>
              </w:rPr>
              <w:t>Meta</w:t>
            </w:r>
            <w:r>
              <w:rPr>
                <w:b/>
                <w:spacing w:val="-13"/>
                <w:sz w:val="18"/>
              </w:rPr>
              <w:t> </w:t>
            </w:r>
            <w:r>
              <w:rPr>
                <w:b/>
                <w:sz w:val="18"/>
              </w:rPr>
              <w:t>programada </w:t>
            </w:r>
            <w:r>
              <w:rPr>
                <w:b/>
                <w:spacing w:val="-4"/>
                <w:sz w:val="18"/>
              </w:rPr>
              <w:t>2026</w:t>
            </w:r>
          </w:p>
        </w:tc>
        <w:tc>
          <w:tcPr>
            <w:tcW w:w="1421" w:type="dxa"/>
            <w:shd w:val="clear" w:color="auto" w:fill="D7D7D7"/>
          </w:tcPr>
          <w:p>
            <w:pPr>
              <w:pStyle w:val="TableParagraph"/>
              <w:spacing w:before="205"/>
              <w:ind w:left="302"/>
              <w:rPr>
                <w:b/>
                <w:sz w:val="18"/>
              </w:rPr>
            </w:pPr>
            <w:r>
              <w:rPr>
                <w:b/>
                <w:spacing w:val="-2"/>
                <w:sz w:val="18"/>
              </w:rPr>
              <w:t>Indicador</w:t>
            </w:r>
          </w:p>
        </w:tc>
        <w:tc>
          <w:tcPr>
            <w:tcW w:w="1839" w:type="dxa"/>
            <w:shd w:val="clear" w:color="auto" w:fill="D7D7D7"/>
          </w:tcPr>
          <w:p>
            <w:pPr>
              <w:pStyle w:val="TableParagraph"/>
              <w:spacing w:before="104"/>
              <w:ind w:left="417" w:right="123" w:firstLine="57"/>
              <w:rPr>
                <w:b/>
                <w:sz w:val="18"/>
              </w:rPr>
            </w:pPr>
            <w:r>
              <w:rPr>
                <w:b/>
                <w:sz w:val="18"/>
              </w:rPr>
              <w:t>Medios de </w:t>
            </w:r>
            <w:r>
              <w:rPr>
                <w:b/>
                <w:spacing w:val="-2"/>
                <w:sz w:val="18"/>
              </w:rPr>
              <w:t>verificación</w:t>
            </w:r>
          </w:p>
        </w:tc>
        <w:tc>
          <w:tcPr>
            <w:tcW w:w="1278" w:type="dxa"/>
            <w:shd w:val="clear" w:color="auto" w:fill="D7D7D7"/>
          </w:tcPr>
          <w:p>
            <w:pPr>
              <w:pStyle w:val="TableParagraph"/>
              <w:spacing w:before="205"/>
              <w:ind w:left="81"/>
              <w:rPr>
                <w:b/>
                <w:sz w:val="18"/>
              </w:rPr>
            </w:pPr>
            <w:r>
              <w:rPr>
                <w:b/>
                <w:spacing w:val="-2"/>
                <w:sz w:val="18"/>
              </w:rPr>
              <w:t>Responsable</w:t>
            </w:r>
          </w:p>
        </w:tc>
        <w:tc>
          <w:tcPr>
            <w:tcW w:w="1841" w:type="dxa"/>
            <w:shd w:val="clear" w:color="auto" w:fill="D7D7D7"/>
          </w:tcPr>
          <w:p>
            <w:pPr>
              <w:pStyle w:val="TableParagraph"/>
              <w:spacing w:before="104"/>
              <w:ind w:left="527" w:hanging="154"/>
              <w:rPr>
                <w:b/>
                <w:sz w:val="18"/>
              </w:rPr>
            </w:pPr>
            <w:r>
              <w:rPr>
                <w:b/>
                <w:spacing w:val="-2"/>
                <w:sz w:val="18"/>
              </w:rPr>
              <w:t>Presupuesto asignado</w:t>
            </w:r>
          </w:p>
        </w:tc>
        <w:tc>
          <w:tcPr>
            <w:tcW w:w="1498" w:type="dxa"/>
            <w:shd w:val="clear" w:color="auto" w:fill="D7D7D7"/>
          </w:tcPr>
          <w:p>
            <w:pPr>
              <w:pStyle w:val="TableParagraph"/>
              <w:spacing w:line="206" w:lineRule="exact"/>
              <w:ind w:left="165" w:right="144" w:hanging="5"/>
              <w:jc w:val="center"/>
              <w:rPr>
                <w:b/>
                <w:sz w:val="18"/>
              </w:rPr>
            </w:pPr>
            <w:r>
              <w:rPr>
                <w:b/>
                <w:spacing w:val="-2"/>
                <w:sz w:val="18"/>
              </w:rPr>
              <w:t>Riesgo </w:t>
            </w:r>
            <w:r>
              <w:rPr>
                <w:b/>
                <w:sz w:val="18"/>
              </w:rPr>
              <w:t>asociado al </w:t>
            </w:r>
            <w:r>
              <w:rPr>
                <w:b/>
                <w:spacing w:val="-2"/>
                <w:sz w:val="18"/>
              </w:rPr>
              <w:t>cumplimiento</w:t>
            </w:r>
          </w:p>
        </w:tc>
      </w:tr>
      <w:tr>
        <w:trPr>
          <w:trHeight w:val="1449" w:hRule="atLeast"/>
        </w:trPr>
        <w:tc>
          <w:tcPr>
            <w:tcW w:w="2833" w:type="dxa"/>
          </w:tcPr>
          <w:p>
            <w:pPr>
              <w:pStyle w:val="TableParagraph"/>
              <w:spacing w:before="104"/>
              <w:rPr>
                <w:b/>
                <w:sz w:val="18"/>
              </w:rPr>
            </w:pPr>
          </w:p>
          <w:p>
            <w:pPr>
              <w:pStyle w:val="TableParagraph"/>
              <w:ind w:left="72" w:right="49"/>
              <w:rPr>
                <w:sz w:val="18"/>
              </w:rPr>
            </w:pPr>
            <w:r>
              <w:rPr>
                <w:b/>
                <w:sz w:val="18"/>
              </w:rPr>
              <w:t>Actividad PAC 2.9.1: </w:t>
            </w:r>
            <w:r>
              <w:rPr>
                <w:sz w:val="18"/>
              </w:rPr>
              <w:t>Formulación presupuestaria acorde</w:t>
            </w:r>
            <w:r>
              <w:rPr>
                <w:spacing w:val="-10"/>
                <w:sz w:val="18"/>
              </w:rPr>
              <w:t> </w:t>
            </w:r>
            <w:r>
              <w:rPr>
                <w:sz w:val="18"/>
              </w:rPr>
              <w:t>con</w:t>
            </w:r>
            <w:r>
              <w:rPr>
                <w:spacing w:val="-10"/>
                <w:sz w:val="18"/>
              </w:rPr>
              <w:t> </w:t>
            </w:r>
            <w:r>
              <w:rPr>
                <w:sz w:val="18"/>
              </w:rPr>
              <w:t>la</w:t>
            </w:r>
            <w:r>
              <w:rPr>
                <w:spacing w:val="-7"/>
                <w:sz w:val="18"/>
              </w:rPr>
              <w:t> </w:t>
            </w:r>
            <w:r>
              <w:rPr>
                <w:sz w:val="18"/>
              </w:rPr>
              <w:t>implementación</w:t>
            </w:r>
            <w:r>
              <w:rPr>
                <w:spacing w:val="-10"/>
                <w:sz w:val="18"/>
              </w:rPr>
              <w:t> </w:t>
            </w:r>
            <w:r>
              <w:rPr>
                <w:sz w:val="18"/>
              </w:rPr>
              <w:t>del Plan de Empleo Público</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13"/>
              <w:jc w:val="center"/>
              <w:rPr>
                <w:sz w:val="18"/>
              </w:rPr>
            </w:pPr>
            <w:r>
              <w:rPr>
                <w:spacing w:val="-5"/>
                <w:sz w:val="18"/>
              </w:rPr>
              <w:t>0%</w:t>
            </w:r>
          </w:p>
        </w:tc>
        <w:tc>
          <w:tcPr>
            <w:tcW w:w="1983"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4" w:right="5"/>
              <w:jc w:val="center"/>
              <w:rPr>
                <w:sz w:val="18"/>
              </w:rPr>
            </w:pPr>
            <w:r>
              <w:rPr>
                <w:spacing w:val="-4"/>
                <w:sz w:val="18"/>
              </w:rPr>
              <w:t>100%</w:t>
            </w:r>
          </w:p>
        </w:tc>
        <w:tc>
          <w:tcPr>
            <w:tcW w:w="1421" w:type="dxa"/>
          </w:tcPr>
          <w:p>
            <w:pPr>
              <w:pStyle w:val="TableParagraph"/>
              <w:spacing w:before="3"/>
              <w:ind w:left="72"/>
              <w:rPr>
                <w:sz w:val="18"/>
              </w:rPr>
            </w:pPr>
            <w:r>
              <w:rPr>
                <w:sz w:val="18"/>
              </w:rPr>
              <w:t>Porcentaje de </w:t>
            </w:r>
            <w:r>
              <w:rPr>
                <w:spacing w:val="-2"/>
                <w:sz w:val="18"/>
              </w:rPr>
              <w:t>formulación presupuestaria </w:t>
            </w:r>
            <w:r>
              <w:rPr>
                <w:sz w:val="18"/>
              </w:rPr>
              <w:t>acorde con la </w:t>
            </w:r>
            <w:r>
              <w:rPr>
                <w:spacing w:val="-2"/>
                <w:sz w:val="18"/>
              </w:rPr>
              <w:t>implementación </w:t>
            </w:r>
            <w:r>
              <w:rPr>
                <w:sz w:val="18"/>
              </w:rPr>
              <w:t>del Plan de</w:t>
            </w:r>
          </w:p>
          <w:p>
            <w:pPr>
              <w:pStyle w:val="TableParagraph"/>
              <w:spacing w:line="184" w:lineRule="exact"/>
              <w:ind w:left="72"/>
              <w:rPr>
                <w:sz w:val="18"/>
              </w:rPr>
            </w:pPr>
            <w:r>
              <w:rPr>
                <w:sz w:val="18"/>
              </w:rPr>
              <w:t>Empleo</w:t>
            </w:r>
            <w:r>
              <w:rPr>
                <w:spacing w:val="1"/>
                <w:sz w:val="18"/>
              </w:rPr>
              <w:t> </w:t>
            </w:r>
            <w:r>
              <w:rPr>
                <w:spacing w:val="-2"/>
                <w:sz w:val="18"/>
              </w:rPr>
              <w:t>Público</w:t>
            </w:r>
          </w:p>
        </w:tc>
        <w:tc>
          <w:tcPr>
            <w:tcW w:w="1839" w:type="dxa"/>
          </w:tcPr>
          <w:p>
            <w:pPr>
              <w:pStyle w:val="TableParagraph"/>
              <w:rPr>
                <w:b/>
                <w:sz w:val="18"/>
              </w:rPr>
            </w:pPr>
          </w:p>
          <w:p>
            <w:pPr>
              <w:pStyle w:val="TableParagraph"/>
              <w:spacing w:before="3"/>
              <w:rPr>
                <w:b/>
                <w:sz w:val="18"/>
              </w:rPr>
            </w:pPr>
          </w:p>
          <w:p>
            <w:pPr>
              <w:pStyle w:val="TableParagraph"/>
              <w:ind w:left="67"/>
              <w:rPr>
                <w:sz w:val="18"/>
              </w:rPr>
            </w:pPr>
            <w:r>
              <w:rPr>
                <w:spacing w:val="-2"/>
                <w:sz w:val="18"/>
              </w:rPr>
              <w:t>Documento "Remuneraciones </w:t>
            </w:r>
            <w:r>
              <w:rPr>
                <w:sz w:val="18"/>
              </w:rPr>
              <w:t>todos</w:t>
            </w:r>
            <w:r>
              <w:rPr>
                <w:spacing w:val="-15"/>
                <w:sz w:val="18"/>
              </w:rPr>
              <w:t> </w:t>
            </w:r>
            <w:r>
              <w:rPr>
                <w:sz w:val="18"/>
              </w:rPr>
              <w:t>los</w:t>
            </w:r>
            <w:r>
              <w:rPr>
                <w:spacing w:val="-12"/>
                <w:sz w:val="18"/>
              </w:rPr>
              <w:t> </w:t>
            </w:r>
            <w:r>
              <w:rPr>
                <w:sz w:val="18"/>
              </w:rPr>
              <w:t>programas"</w:t>
            </w:r>
          </w:p>
        </w:tc>
        <w:tc>
          <w:tcPr>
            <w:tcW w:w="1278" w:type="dxa"/>
          </w:tcPr>
          <w:p>
            <w:pPr>
              <w:pStyle w:val="TableParagraph"/>
              <w:rPr>
                <w:b/>
                <w:sz w:val="18"/>
              </w:rPr>
            </w:pPr>
          </w:p>
          <w:p>
            <w:pPr>
              <w:pStyle w:val="TableParagraph"/>
              <w:spacing w:before="104"/>
              <w:rPr>
                <w:b/>
                <w:sz w:val="18"/>
              </w:rPr>
            </w:pPr>
          </w:p>
          <w:p>
            <w:pPr>
              <w:pStyle w:val="TableParagraph"/>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val="restart"/>
          </w:tcPr>
          <w:p>
            <w:pPr>
              <w:pStyle w:val="TableParagraph"/>
              <w:rPr>
                <w:b/>
                <w:sz w:val="18"/>
              </w:rPr>
            </w:pPr>
          </w:p>
          <w:p>
            <w:pPr>
              <w:pStyle w:val="TableParagraph"/>
              <w:spacing w:before="108"/>
              <w:rPr>
                <w:b/>
                <w:sz w:val="18"/>
              </w:rPr>
            </w:pPr>
          </w:p>
          <w:p>
            <w:pPr>
              <w:pStyle w:val="TableParagraph"/>
              <w:ind w:left="74" w:right="56"/>
              <w:rPr>
                <w:sz w:val="18"/>
              </w:rPr>
            </w:pPr>
            <w:r>
              <w:rPr>
                <w:sz w:val="18"/>
              </w:rPr>
              <w:t>Evento: Planilla institucional</w:t>
            </w:r>
            <w:r>
              <w:rPr>
                <w:spacing w:val="-1"/>
                <w:sz w:val="18"/>
              </w:rPr>
              <w:t> </w:t>
            </w:r>
            <w:r>
              <w:rPr>
                <w:sz w:val="18"/>
              </w:rPr>
              <w:t>no cuente con los </w:t>
            </w:r>
            <w:r>
              <w:rPr>
                <w:spacing w:val="-2"/>
                <w:sz w:val="18"/>
              </w:rPr>
              <w:t>insumos </w:t>
            </w:r>
            <w:r>
              <w:rPr>
                <w:sz w:val="18"/>
              </w:rPr>
              <w:t>necesarios para el</w:t>
            </w:r>
            <w:r>
              <w:rPr>
                <w:spacing w:val="-11"/>
                <w:sz w:val="18"/>
              </w:rPr>
              <w:t> </w:t>
            </w:r>
            <w:r>
              <w:rPr>
                <w:sz w:val="18"/>
              </w:rPr>
              <w:t>pago</w:t>
            </w:r>
            <w:r>
              <w:rPr>
                <w:spacing w:val="-13"/>
                <w:sz w:val="18"/>
              </w:rPr>
              <w:t> </w:t>
            </w:r>
            <w:r>
              <w:rPr>
                <w:sz w:val="18"/>
              </w:rPr>
              <w:t>de</w:t>
            </w:r>
            <w:r>
              <w:rPr>
                <w:spacing w:val="-12"/>
                <w:sz w:val="18"/>
              </w:rPr>
              <w:t> </w:t>
            </w:r>
            <w:r>
              <w:rPr>
                <w:sz w:val="18"/>
              </w:rPr>
              <w:t>forma </w:t>
            </w:r>
            <w:r>
              <w:rPr>
                <w:spacing w:val="-2"/>
                <w:sz w:val="18"/>
              </w:rPr>
              <w:t>oportuna.</w:t>
            </w:r>
          </w:p>
        </w:tc>
      </w:tr>
      <w:tr>
        <w:trPr>
          <w:trHeight w:val="1036" w:hRule="atLeast"/>
        </w:trPr>
        <w:tc>
          <w:tcPr>
            <w:tcW w:w="2833" w:type="dxa"/>
          </w:tcPr>
          <w:p>
            <w:pPr>
              <w:pStyle w:val="TableParagraph"/>
              <w:spacing w:before="105"/>
              <w:ind w:left="72"/>
              <w:rPr>
                <w:sz w:val="18"/>
              </w:rPr>
            </w:pPr>
            <w:r>
              <w:rPr>
                <w:b/>
                <w:sz w:val="18"/>
              </w:rPr>
              <w:t>Actividad PAC 2.9.2: </w:t>
            </w:r>
            <w:r>
              <w:rPr>
                <w:sz w:val="18"/>
              </w:rPr>
              <w:t>Planilla institucional aplicada en forma oportuna</w:t>
            </w:r>
            <w:r>
              <w:rPr>
                <w:spacing w:val="-13"/>
                <w:sz w:val="18"/>
              </w:rPr>
              <w:t> </w:t>
            </w:r>
            <w:r>
              <w:rPr>
                <w:sz w:val="18"/>
              </w:rPr>
              <w:t>para</w:t>
            </w:r>
            <w:r>
              <w:rPr>
                <w:spacing w:val="-9"/>
                <w:sz w:val="18"/>
              </w:rPr>
              <w:t> </w:t>
            </w:r>
            <w:r>
              <w:rPr>
                <w:sz w:val="18"/>
              </w:rPr>
              <w:t>la</w:t>
            </w:r>
            <w:r>
              <w:rPr>
                <w:spacing w:val="-13"/>
                <w:sz w:val="18"/>
              </w:rPr>
              <w:t> </w:t>
            </w:r>
            <w:r>
              <w:rPr>
                <w:sz w:val="18"/>
              </w:rPr>
              <w:t>implementación del Plan de Empleo Público</w:t>
            </w:r>
          </w:p>
        </w:tc>
        <w:tc>
          <w:tcPr>
            <w:tcW w:w="1560" w:type="dxa"/>
          </w:tcPr>
          <w:p>
            <w:pPr>
              <w:pStyle w:val="TableParagraph"/>
              <w:rPr>
                <w:b/>
                <w:sz w:val="18"/>
              </w:rPr>
            </w:pPr>
          </w:p>
          <w:p>
            <w:pPr>
              <w:pStyle w:val="TableParagraph"/>
              <w:spacing w:before="3"/>
              <w:rPr>
                <w:b/>
                <w:sz w:val="18"/>
              </w:rPr>
            </w:pPr>
          </w:p>
          <w:p>
            <w:pPr>
              <w:pStyle w:val="TableParagraph"/>
              <w:ind w:left="21" w:right="13"/>
              <w:jc w:val="center"/>
              <w:rPr>
                <w:sz w:val="18"/>
              </w:rPr>
            </w:pPr>
            <w:r>
              <w:rPr>
                <w:spacing w:val="-5"/>
                <w:sz w:val="18"/>
              </w:rPr>
              <w:t>0%</w:t>
            </w:r>
          </w:p>
        </w:tc>
        <w:tc>
          <w:tcPr>
            <w:tcW w:w="1983" w:type="dxa"/>
          </w:tcPr>
          <w:p>
            <w:pPr>
              <w:pStyle w:val="TableParagraph"/>
              <w:rPr>
                <w:b/>
                <w:sz w:val="18"/>
              </w:rPr>
            </w:pPr>
          </w:p>
          <w:p>
            <w:pPr>
              <w:pStyle w:val="TableParagraph"/>
              <w:spacing w:before="3"/>
              <w:rPr>
                <w:b/>
                <w:sz w:val="18"/>
              </w:rPr>
            </w:pPr>
          </w:p>
          <w:p>
            <w:pPr>
              <w:pStyle w:val="TableParagraph"/>
              <w:ind w:left="14" w:right="5"/>
              <w:jc w:val="center"/>
              <w:rPr>
                <w:sz w:val="18"/>
              </w:rPr>
            </w:pPr>
            <w:r>
              <w:rPr>
                <w:spacing w:val="-4"/>
                <w:sz w:val="18"/>
              </w:rPr>
              <w:t>100%</w:t>
            </w:r>
          </w:p>
        </w:tc>
        <w:tc>
          <w:tcPr>
            <w:tcW w:w="1421" w:type="dxa"/>
          </w:tcPr>
          <w:p>
            <w:pPr>
              <w:pStyle w:val="TableParagraph"/>
              <w:spacing w:before="105"/>
              <w:ind w:left="72" w:right="221"/>
              <w:rPr>
                <w:sz w:val="18"/>
              </w:rPr>
            </w:pPr>
            <w:r>
              <w:rPr>
                <w:sz w:val="18"/>
              </w:rPr>
              <w:t>Porcentaje</w:t>
            </w:r>
            <w:r>
              <w:rPr>
                <w:spacing w:val="-13"/>
                <w:sz w:val="18"/>
              </w:rPr>
              <w:t> </w:t>
            </w:r>
            <w:r>
              <w:rPr>
                <w:sz w:val="18"/>
              </w:rPr>
              <w:t>de la planilla </w:t>
            </w:r>
            <w:r>
              <w:rPr>
                <w:spacing w:val="-2"/>
                <w:sz w:val="18"/>
              </w:rPr>
              <w:t>institucional aplicada</w:t>
            </w:r>
          </w:p>
        </w:tc>
        <w:tc>
          <w:tcPr>
            <w:tcW w:w="1839" w:type="dxa"/>
          </w:tcPr>
          <w:p>
            <w:pPr>
              <w:pStyle w:val="TableParagraph"/>
              <w:spacing w:line="242" w:lineRule="auto"/>
              <w:ind w:left="67" w:right="157"/>
              <w:jc w:val="both"/>
              <w:rPr>
                <w:sz w:val="18"/>
              </w:rPr>
            </w:pPr>
            <w:r>
              <w:rPr>
                <w:sz w:val="18"/>
              </w:rPr>
              <w:t>Resumen</w:t>
            </w:r>
            <w:r>
              <w:rPr>
                <w:spacing w:val="-15"/>
                <w:sz w:val="18"/>
              </w:rPr>
              <w:t> </w:t>
            </w:r>
            <w:r>
              <w:rPr>
                <w:sz w:val="18"/>
              </w:rPr>
              <w:t>de</w:t>
            </w:r>
            <w:r>
              <w:rPr>
                <w:spacing w:val="-12"/>
                <w:sz w:val="18"/>
              </w:rPr>
              <w:t> </w:t>
            </w:r>
            <w:r>
              <w:rPr>
                <w:sz w:val="18"/>
              </w:rPr>
              <w:t>gastos Sistema</w:t>
            </w:r>
            <w:r>
              <w:rPr>
                <w:spacing w:val="-13"/>
                <w:sz w:val="18"/>
              </w:rPr>
              <w:t> </w:t>
            </w:r>
            <w:r>
              <w:rPr>
                <w:sz w:val="18"/>
              </w:rPr>
              <w:t>informático </w:t>
            </w:r>
            <w:r>
              <w:rPr>
                <w:spacing w:val="-4"/>
                <w:sz w:val="18"/>
              </w:rPr>
              <w:t>SAP</w:t>
            </w:r>
          </w:p>
          <w:p>
            <w:pPr>
              <w:pStyle w:val="TableParagraph"/>
              <w:spacing w:line="206" w:lineRule="exact"/>
              <w:ind w:left="67" w:right="203"/>
              <w:jc w:val="both"/>
              <w:rPr>
                <w:sz w:val="18"/>
              </w:rPr>
            </w:pPr>
            <w:r>
              <w:rPr>
                <w:sz w:val="18"/>
              </w:rPr>
              <w:t>Sistema de Desarrollo</w:t>
            </w:r>
            <w:r>
              <w:rPr>
                <w:spacing w:val="-7"/>
                <w:sz w:val="18"/>
              </w:rPr>
              <w:t> </w:t>
            </w:r>
            <w:r>
              <w:rPr>
                <w:spacing w:val="-2"/>
                <w:sz w:val="18"/>
              </w:rPr>
              <w:t>Humano</w:t>
            </w:r>
          </w:p>
        </w:tc>
        <w:tc>
          <w:tcPr>
            <w:tcW w:w="1278" w:type="dxa"/>
          </w:tcPr>
          <w:p>
            <w:pPr>
              <w:pStyle w:val="TableParagraph"/>
              <w:spacing w:before="104"/>
              <w:rPr>
                <w:b/>
                <w:sz w:val="18"/>
              </w:rPr>
            </w:pPr>
          </w:p>
          <w:p>
            <w:pPr>
              <w:pStyle w:val="TableParagraph"/>
              <w:ind w:left="72"/>
              <w:rPr>
                <w:sz w:val="18"/>
              </w:rPr>
            </w:pPr>
            <w:r>
              <w:rPr>
                <w:spacing w:val="-2"/>
                <w:sz w:val="18"/>
              </w:rPr>
              <w:t>Desarrollo Humano</w:t>
            </w:r>
          </w:p>
        </w:tc>
        <w:tc>
          <w:tcPr>
            <w:tcW w:w="1841" w:type="dxa"/>
          </w:tcPr>
          <w:p>
            <w:pPr>
              <w:pStyle w:val="TableParagraph"/>
              <w:rPr>
                <w:b/>
                <w:sz w:val="18"/>
              </w:rPr>
            </w:pPr>
          </w:p>
          <w:p>
            <w:pPr>
              <w:pStyle w:val="TableParagraph"/>
              <w:spacing w:before="3"/>
              <w:rPr>
                <w:b/>
                <w:sz w:val="18"/>
              </w:rPr>
            </w:pPr>
          </w:p>
          <w:p>
            <w:pPr>
              <w:pStyle w:val="TableParagraph"/>
              <w:ind w:left="124"/>
              <w:rPr>
                <w:sz w:val="18"/>
              </w:rPr>
            </w:pPr>
            <w:r>
              <w:rPr>
                <w:sz w:val="18"/>
              </w:rPr>
              <w:t>₡23</w:t>
            </w:r>
            <w:r>
              <w:rPr>
                <w:spacing w:val="-3"/>
                <w:sz w:val="18"/>
              </w:rPr>
              <w:t> </w:t>
            </w:r>
            <w:r>
              <w:rPr>
                <w:sz w:val="18"/>
              </w:rPr>
              <w:t>041</w:t>
            </w:r>
            <w:r>
              <w:rPr>
                <w:spacing w:val="-3"/>
                <w:sz w:val="18"/>
              </w:rPr>
              <w:t> </w:t>
            </w:r>
            <w:r>
              <w:rPr>
                <w:sz w:val="18"/>
              </w:rPr>
              <w:t>407</w:t>
            </w:r>
            <w:r>
              <w:rPr>
                <w:spacing w:val="-2"/>
                <w:sz w:val="18"/>
              </w:rPr>
              <w:t> 826,49</w:t>
            </w:r>
          </w:p>
        </w:tc>
        <w:tc>
          <w:tcPr>
            <w:tcW w:w="1498" w:type="dxa"/>
            <w:vMerge/>
            <w:tcBorders>
              <w:top w:val="nil"/>
            </w:tcBorders>
          </w:tcPr>
          <w:p>
            <w:pPr>
              <w:rPr>
                <w:sz w:val="2"/>
                <w:szCs w:val="2"/>
              </w:rPr>
            </w:pPr>
          </w:p>
        </w:tc>
      </w:tr>
      <w:tr>
        <w:trPr>
          <w:trHeight w:val="535" w:hRule="atLeast"/>
        </w:trPr>
        <w:tc>
          <w:tcPr>
            <w:tcW w:w="14253" w:type="dxa"/>
            <w:gridSpan w:val="8"/>
            <w:shd w:val="clear" w:color="auto" w:fill="EFF8F9"/>
          </w:tcPr>
          <w:p>
            <w:pPr>
              <w:pStyle w:val="TableParagraph"/>
              <w:spacing w:before="165"/>
              <w:ind w:left="72"/>
              <w:rPr>
                <w:b/>
                <w:sz w:val="18"/>
              </w:rPr>
            </w:pPr>
            <w:r>
              <w:rPr>
                <w:b/>
                <w:sz w:val="18"/>
              </w:rPr>
              <w:t>Producto</w:t>
            </w:r>
            <w:r>
              <w:rPr>
                <w:b/>
                <w:spacing w:val="-6"/>
                <w:sz w:val="18"/>
              </w:rPr>
              <w:t> </w:t>
            </w:r>
            <w:r>
              <w:rPr>
                <w:b/>
                <w:sz w:val="18"/>
              </w:rPr>
              <w:t>PAC</w:t>
            </w:r>
            <w:r>
              <w:rPr>
                <w:b/>
                <w:spacing w:val="-7"/>
                <w:sz w:val="18"/>
              </w:rPr>
              <w:t> </w:t>
            </w:r>
            <w:r>
              <w:rPr>
                <w:b/>
                <w:sz w:val="18"/>
              </w:rPr>
              <w:t>2.10:</w:t>
            </w:r>
            <w:r>
              <w:rPr>
                <w:b/>
                <w:spacing w:val="-3"/>
                <w:sz w:val="18"/>
              </w:rPr>
              <w:t> </w:t>
            </w:r>
            <w:r>
              <w:rPr>
                <w:b/>
                <w:sz w:val="18"/>
              </w:rPr>
              <w:t>Enlaces</w:t>
            </w:r>
            <w:r>
              <w:rPr>
                <w:b/>
                <w:spacing w:val="-4"/>
                <w:sz w:val="18"/>
              </w:rPr>
              <w:t> </w:t>
            </w:r>
            <w:r>
              <w:rPr>
                <w:b/>
                <w:sz w:val="18"/>
              </w:rPr>
              <w:t>de</w:t>
            </w:r>
            <w:r>
              <w:rPr>
                <w:b/>
                <w:spacing w:val="-5"/>
                <w:sz w:val="18"/>
              </w:rPr>
              <w:t> </w:t>
            </w:r>
            <w:r>
              <w:rPr>
                <w:b/>
                <w:sz w:val="18"/>
              </w:rPr>
              <w:t>riesgos</w:t>
            </w:r>
            <w:r>
              <w:rPr>
                <w:b/>
                <w:spacing w:val="-5"/>
                <w:sz w:val="18"/>
              </w:rPr>
              <w:t> </w:t>
            </w:r>
            <w:r>
              <w:rPr>
                <w:b/>
                <w:sz w:val="18"/>
              </w:rPr>
              <w:t>y</w:t>
            </w:r>
            <w:r>
              <w:rPr>
                <w:b/>
                <w:spacing w:val="-1"/>
                <w:sz w:val="18"/>
              </w:rPr>
              <w:t> </w:t>
            </w:r>
            <w:r>
              <w:rPr>
                <w:b/>
                <w:sz w:val="18"/>
              </w:rPr>
              <w:t>brigadas</w:t>
            </w:r>
            <w:r>
              <w:rPr>
                <w:b/>
                <w:spacing w:val="-4"/>
                <w:sz w:val="18"/>
              </w:rPr>
              <w:t> </w:t>
            </w:r>
            <w:r>
              <w:rPr>
                <w:b/>
                <w:sz w:val="18"/>
              </w:rPr>
              <w:t>capacitados</w:t>
            </w:r>
            <w:r>
              <w:rPr>
                <w:b/>
                <w:spacing w:val="-1"/>
                <w:sz w:val="18"/>
              </w:rPr>
              <w:t> </w:t>
            </w:r>
            <w:r>
              <w:rPr>
                <w:b/>
                <w:sz w:val="18"/>
              </w:rPr>
              <w:t>en</w:t>
            </w:r>
            <w:r>
              <w:rPr>
                <w:b/>
                <w:spacing w:val="-10"/>
                <w:sz w:val="18"/>
              </w:rPr>
              <w:t> </w:t>
            </w:r>
            <w:r>
              <w:rPr>
                <w:b/>
                <w:sz w:val="18"/>
              </w:rPr>
              <w:t>temas</w:t>
            </w:r>
            <w:r>
              <w:rPr>
                <w:b/>
                <w:spacing w:val="-1"/>
                <w:sz w:val="18"/>
              </w:rPr>
              <w:t> </w:t>
            </w:r>
            <w:r>
              <w:rPr>
                <w:b/>
                <w:sz w:val="18"/>
              </w:rPr>
              <w:t>de</w:t>
            </w:r>
            <w:r>
              <w:rPr>
                <w:b/>
                <w:spacing w:val="-5"/>
                <w:sz w:val="18"/>
              </w:rPr>
              <w:t> </w:t>
            </w:r>
            <w:r>
              <w:rPr>
                <w:b/>
                <w:sz w:val="18"/>
              </w:rPr>
              <w:t>salud</w:t>
            </w:r>
            <w:r>
              <w:rPr>
                <w:b/>
                <w:spacing w:val="-5"/>
                <w:sz w:val="18"/>
              </w:rPr>
              <w:t> </w:t>
            </w:r>
            <w:r>
              <w:rPr>
                <w:b/>
                <w:sz w:val="18"/>
              </w:rPr>
              <w:t>y</w:t>
            </w:r>
            <w:r>
              <w:rPr>
                <w:b/>
                <w:spacing w:val="-5"/>
                <w:sz w:val="18"/>
              </w:rPr>
              <w:t> </w:t>
            </w:r>
            <w:r>
              <w:rPr>
                <w:b/>
                <w:sz w:val="18"/>
              </w:rPr>
              <w:t>seguridad</w:t>
            </w:r>
            <w:r>
              <w:rPr>
                <w:b/>
                <w:spacing w:val="-6"/>
                <w:sz w:val="18"/>
              </w:rPr>
              <w:t> </w:t>
            </w:r>
            <w:r>
              <w:rPr>
                <w:b/>
                <w:sz w:val="18"/>
              </w:rPr>
              <w:t>laboral.</w:t>
            </w:r>
            <w:r>
              <w:rPr>
                <w:b/>
                <w:spacing w:val="-3"/>
                <w:sz w:val="18"/>
              </w:rPr>
              <w:t> </w:t>
            </w:r>
            <w:r>
              <w:rPr>
                <w:b/>
                <w:sz w:val="18"/>
              </w:rPr>
              <w:t>E6</w:t>
            </w:r>
            <w:r>
              <w:rPr>
                <w:b/>
                <w:spacing w:val="-4"/>
                <w:sz w:val="18"/>
              </w:rPr>
              <w:t> </w:t>
            </w:r>
            <w:r>
              <w:rPr>
                <w:b/>
                <w:sz w:val="18"/>
              </w:rPr>
              <w:t>AE7</w:t>
            </w:r>
            <w:r>
              <w:rPr>
                <w:b/>
                <w:spacing w:val="-1"/>
                <w:sz w:val="18"/>
              </w:rPr>
              <w:t> </w:t>
            </w:r>
            <w:r>
              <w:rPr>
                <w:b/>
                <w:sz w:val="18"/>
              </w:rPr>
              <w:t>R2</w:t>
            </w:r>
            <w:r>
              <w:rPr>
                <w:b/>
                <w:spacing w:val="-10"/>
                <w:sz w:val="18"/>
              </w:rPr>
              <w:t> </w:t>
            </w:r>
            <w:r>
              <w:rPr>
                <w:b/>
                <w:sz w:val="18"/>
              </w:rPr>
              <w:t>(meta</w:t>
            </w:r>
            <w:r>
              <w:rPr>
                <w:b/>
                <w:spacing w:val="-4"/>
                <w:sz w:val="18"/>
              </w:rPr>
              <w:t> </w:t>
            </w:r>
            <w:r>
              <w:rPr>
                <w:b/>
                <w:sz w:val="18"/>
              </w:rPr>
              <w:t>programada</w:t>
            </w:r>
            <w:r>
              <w:rPr>
                <w:b/>
                <w:spacing w:val="-5"/>
                <w:sz w:val="18"/>
              </w:rPr>
              <w:t> </w:t>
            </w:r>
            <w:r>
              <w:rPr>
                <w:b/>
                <w:spacing w:val="-4"/>
                <w:sz w:val="18"/>
              </w:rPr>
              <w:t>60%)</w:t>
            </w:r>
          </w:p>
        </w:tc>
      </w:tr>
      <w:tr>
        <w:trPr>
          <w:trHeight w:val="1036" w:hRule="atLeast"/>
        </w:trPr>
        <w:tc>
          <w:tcPr>
            <w:tcW w:w="2833" w:type="dxa"/>
          </w:tcPr>
          <w:p>
            <w:pPr>
              <w:pStyle w:val="TableParagraph"/>
              <w:ind w:left="72" w:right="87"/>
              <w:rPr>
                <w:sz w:val="18"/>
              </w:rPr>
            </w:pPr>
            <w:r>
              <w:rPr>
                <w:b/>
                <w:sz w:val="18"/>
              </w:rPr>
              <w:t>Actividad</w:t>
            </w:r>
            <w:r>
              <w:rPr>
                <w:b/>
                <w:spacing w:val="-12"/>
                <w:sz w:val="18"/>
              </w:rPr>
              <w:t> </w:t>
            </w:r>
            <w:r>
              <w:rPr>
                <w:b/>
                <w:sz w:val="18"/>
              </w:rPr>
              <w:t>PAC</w:t>
            </w:r>
            <w:r>
              <w:rPr>
                <w:b/>
                <w:spacing w:val="-9"/>
                <w:sz w:val="18"/>
              </w:rPr>
              <w:t> </w:t>
            </w:r>
            <w:r>
              <w:rPr>
                <w:b/>
                <w:sz w:val="18"/>
              </w:rPr>
              <w:t>2.10.1:</w:t>
            </w:r>
            <w:r>
              <w:rPr>
                <w:b/>
                <w:spacing w:val="-4"/>
                <w:sz w:val="18"/>
              </w:rPr>
              <w:t> </w:t>
            </w:r>
            <w:r>
              <w:rPr>
                <w:sz w:val="18"/>
              </w:rPr>
              <w:t>Cantidad de enlaces o brigadas identificados</w:t>
            </w:r>
            <w:r>
              <w:rPr>
                <w:spacing w:val="-10"/>
                <w:sz w:val="18"/>
              </w:rPr>
              <w:t> </w:t>
            </w:r>
            <w:r>
              <w:rPr>
                <w:sz w:val="18"/>
              </w:rPr>
              <w:t>para</w:t>
            </w:r>
            <w:r>
              <w:rPr>
                <w:spacing w:val="-13"/>
                <w:sz w:val="18"/>
              </w:rPr>
              <w:t> </w:t>
            </w:r>
            <w:r>
              <w:rPr>
                <w:sz w:val="18"/>
              </w:rPr>
              <w:t>capacitarse</w:t>
            </w:r>
            <w:r>
              <w:rPr>
                <w:spacing w:val="-12"/>
                <w:sz w:val="18"/>
              </w:rPr>
              <w:t> </w:t>
            </w:r>
            <w:r>
              <w:rPr>
                <w:sz w:val="18"/>
              </w:rPr>
              <w:t>en temas de salud y seguridad</w:t>
            </w:r>
          </w:p>
          <w:p>
            <w:pPr>
              <w:pStyle w:val="TableParagraph"/>
              <w:spacing w:line="187" w:lineRule="exact" w:before="2"/>
              <w:ind w:left="72"/>
              <w:rPr>
                <w:sz w:val="18"/>
              </w:rPr>
            </w:pPr>
            <w:r>
              <w:rPr>
                <w:spacing w:val="-2"/>
                <w:sz w:val="18"/>
              </w:rPr>
              <w:t>laboral</w:t>
            </w:r>
          </w:p>
        </w:tc>
        <w:tc>
          <w:tcPr>
            <w:tcW w:w="1560" w:type="dxa"/>
          </w:tcPr>
          <w:p>
            <w:pPr>
              <w:pStyle w:val="TableParagraph"/>
              <w:rPr>
                <w:b/>
                <w:sz w:val="18"/>
              </w:rPr>
            </w:pPr>
          </w:p>
          <w:p>
            <w:pPr>
              <w:pStyle w:val="TableParagraph"/>
              <w:spacing w:before="2"/>
              <w:rPr>
                <w:b/>
                <w:sz w:val="18"/>
              </w:rPr>
            </w:pPr>
          </w:p>
          <w:p>
            <w:pPr>
              <w:pStyle w:val="TableParagraph"/>
              <w:ind w:left="21" w:right="20"/>
              <w:jc w:val="center"/>
              <w:rPr>
                <w:b/>
                <w:sz w:val="18"/>
              </w:rPr>
            </w:pPr>
            <w:r>
              <w:rPr>
                <w:b/>
                <w:spacing w:val="-10"/>
                <w:sz w:val="18"/>
              </w:rPr>
              <w:t>0</w:t>
            </w:r>
          </w:p>
        </w:tc>
        <w:tc>
          <w:tcPr>
            <w:tcW w:w="1983" w:type="dxa"/>
          </w:tcPr>
          <w:p>
            <w:pPr>
              <w:pStyle w:val="TableParagraph"/>
              <w:rPr>
                <w:b/>
                <w:sz w:val="18"/>
              </w:rPr>
            </w:pPr>
          </w:p>
          <w:p>
            <w:pPr>
              <w:pStyle w:val="TableParagraph"/>
              <w:spacing w:before="2"/>
              <w:rPr>
                <w:b/>
                <w:sz w:val="18"/>
              </w:rPr>
            </w:pPr>
          </w:p>
          <w:p>
            <w:pPr>
              <w:pStyle w:val="TableParagraph"/>
              <w:ind w:left="14" w:right="8"/>
              <w:jc w:val="center"/>
              <w:rPr>
                <w:b/>
                <w:sz w:val="18"/>
              </w:rPr>
            </w:pPr>
            <w:r>
              <w:rPr>
                <w:b/>
                <w:spacing w:val="-5"/>
                <w:sz w:val="18"/>
              </w:rPr>
              <w:t>27</w:t>
            </w:r>
          </w:p>
        </w:tc>
        <w:tc>
          <w:tcPr>
            <w:tcW w:w="1421" w:type="dxa"/>
          </w:tcPr>
          <w:p>
            <w:pPr>
              <w:pStyle w:val="TableParagraph"/>
              <w:spacing w:line="242" w:lineRule="auto" w:before="205"/>
              <w:ind w:left="72"/>
              <w:rPr>
                <w:sz w:val="18"/>
              </w:rPr>
            </w:pPr>
            <w:r>
              <w:rPr>
                <w:sz w:val="18"/>
              </w:rPr>
              <w:t>Cantidad</w:t>
            </w:r>
            <w:r>
              <w:rPr>
                <w:spacing w:val="-5"/>
                <w:sz w:val="18"/>
              </w:rPr>
              <w:t> </w:t>
            </w:r>
            <w:r>
              <w:rPr>
                <w:sz w:val="18"/>
              </w:rPr>
              <w:t>de </w:t>
            </w:r>
            <w:r>
              <w:rPr>
                <w:spacing w:val="-2"/>
                <w:sz w:val="18"/>
              </w:rPr>
              <w:t>brigadas identificadas</w:t>
            </w:r>
          </w:p>
        </w:tc>
        <w:tc>
          <w:tcPr>
            <w:tcW w:w="1839" w:type="dxa"/>
          </w:tcPr>
          <w:p>
            <w:pPr>
              <w:pStyle w:val="TableParagraph"/>
              <w:spacing w:before="103"/>
              <w:rPr>
                <w:b/>
                <w:sz w:val="18"/>
              </w:rPr>
            </w:pPr>
          </w:p>
          <w:p>
            <w:pPr>
              <w:pStyle w:val="TableParagraph"/>
              <w:spacing w:before="1"/>
              <w:ind w:left="67"/>
              <w:rPr>
                <w:sz w:val="18"/>
              </w:rPr>
            </w:pPr>
            <w:r>
              <w:rPr>
                <w:sz w:val="18"/>
              </w:rPr>
              <w:t>Forms</w:t>
            </w:r>
            <w:r>
              <w:rPr>
                <w:spacing w:val="-13"/>
                <w:sz w:val="18"/>
              </w:rPr>
              <w:t> </w:t>
            </w:r>
            <w:r>
              <w:rPr>
                <w:sz w:val="18"/>
              </w:rPr>
              <w:t>de</w:t>
            </w:r>
            <w:r>
              <w:rPr>
                <w:spacing w:val="-9"/>
                <w:sz w:val="18"/>
              </w:rPr>
              <w:t> </w:t>
            </w:r>
            <w:r>
              <w:rPr>
                <w:sz w:val="18"/>
              </w:rPr>
              <w:t>enlaces</w:t>
            </w:r>
            <w:r>
              <w:rPr>
                <w:spacing w:val="-13"/>
                <w:sz w:val="18"/>
              </w:rPr>
              <w:t> </w:t>
            </w:r>
            <w:r>
              <w:rPr>
                <w:sz w:val="18"/>
              </w:rPr>
              <w:t>de </w:t>
            </w:r>
            <w:r>
              <w:rPr>
                <w:spacing w:val="-2"/>
                <w:sz w:val="18"/>
              </w:rPr>
              <w:t>riesgos</w:t>
            </w:r>
          </w:p>
        </w:tc>
        <w:tc>
          <w:tcPr>
            <w:tcW w:w="1278" w:type="dxa"/>
          </w:tcPr>
          <w:p>
            <w:pPr>
              <w:pStyle w:val="TableParagraph"/>
              <w:spacing w:before="103"/>
              <w:rPr>
                <w:b/>
                <w:sz w:val="18"/>
              </w:rPr>
            </w:pPr>
          </w:p>
          <w:p>
            <w:pPr>
              <w:pStyle w:val="TableParagraph"/>
              <w:spacing w:before="1"/>
              <w:ind w:left="72" w:firstLine="52"/>
              <w:rPr>
                <w:sz w:val="18"/>
              </w:rPr>
            </w:pPr>
            <w:r>
              <w:rPr>
                <w:spacing w:val="-2"/>
                <w:sz w:val="18"/>
              </w:rPr>
              <w:t>Desarrollo Humano</w:t>
            </w:r>
          </w:p>
        </w:tc>
        <w:tc>
          <w:tcPr>
            <w:tcW w:w="1841" w:type="dxa"/>
          </w:tcPr>
          <w:p>
            <w:pPr>
              <w:pStyle w:val="TableParagraph"/>
              <w:rPr>
                <w:rFonts w:ascii="Times New Roman"/>
                <w:sz w:val="18"/>
              </w:rPr>
            </w:pPr>
          </w:p>
        </w:tc>
        <w:tc>
          <w:tcPr>
            <w:tcW w:w="1498" w:type="dxa"/>
            <w:vMerge w:val="restart"/>
          </w:tcPr>
          <w:p>
            <w:pPr>
              <w:pStyle w:val="TableParagraph"/>
              <w:rPr>
                <w:b/>
                <w:sz w:val="18"/>
              </w:rPr>
            </w:pPr>
          </w:p>
          <w:p>
            <w:pPr>
              <w:pStyle w:val="TableParagraph"/>
              <w:rPr>
                <w:b/>
                <w:sz w:val="18"/>
              </w:rPr>
            </w:pPr>
          </w:p>
          <w:p>
            <w:pPr>
              <w:pStyle w:val="TableParagraph"/>
              <w:spacing w:before="6"/>
              <w:rPr>
                <w:b/>
                <w:sz w:val="18"/>
              </w:rPr>
            </w:pPr>
          </w:p>
          <w:p>
            <w:pPr>
              <w:pStyle w:val="TableParagraph"/>
              <w:spacing w:before="1"/>
              <w:ind w:left="74" w:right="106"/>
              <w:rPr>
                <w:sz w:val="18"/>
              </w:rPr>
            </w:pPr>
            <w:r>
              <w:rPr>
                <w:sz w:val="18"/>
              </w:rPr>
              <w:t>Evento:</w:t>
            </w:r>
            <w:r>
              <w:rPr>
                <w:spacing w:val="-13"/>
                <w:sz w:val="18"/>
              </w:rPr>
              <w:t> </w:t>
            </w:r>
            <w:r>
              <w:rPr>
                <w:sz w:val="18"/>
              </w:rPr>
              <w:t>Enlaces de riesgos y brigadistas no capacitados en temas de salud y seguridad </w:t>
            </w:r>
            <w:r>
              <w:rPr>
                <w:spacing w:val="-2"/>
                <w:sz w:val="18"/>
              </w:rPr>
              <w:t>laboral.</w:t>
            </w:r>
          </w:p>
        </w:tc>
      </w:tr>
      <w:tr>
        <w:trPr>
          <w:trHeight w:val="1656" w:hRule="atLeast"/>
        </w:trPr>
        <w:tc>
          <w:tcPr>
            <w:tcW w:w="2833" w:type="dxa"/>
          </w:tcPr>
          <w:p>
            <w:pPr>
              <w:pStyle w:val="TableParagraph"/>
              <w:spacing w:before="204"/>
              <w:rPr>
                <w:b/>
                <w:sz w:val="18"/>
              </w:rPr>
            </w:pPr>
          </w:p>
          <w:p>
            <w:pPr>
              <w:pStyle w:val="TableParagraph"/>
              <w:spacing w:line="242" w:lineRule="auto"/>
              <w:ind w:left="72" w:right="49"/>
              <w:rPr>
                <w:sz w:val="18"/>
              </w:rPr>
            </w:pPr>
            <w:r>
              <w:rPr>
                <w:b/>
                <w:sz w:val="18"/>
              </w:rPr>
              <w:t>Actividad</w:t>
            </w:r>
            <w:r>
              <w:rPr>
                <w:b/>
                <w:spacing w:val="-13"/>
                <w:sz w:val="18"/>
              </w:rPr>
              <w:t> </w:t>
            </w:r>
            <w:r>
              <w:rPr>
                <w:b/>
                <w:sz w:val="18"/>
              </w:rPr>
              <w:t>PAC</w:t>
            </w:r>
            <w:r>
              <w:rPr>
                <w:b/>
                <w:spacing w:val="-12"/>
                <w:sz w:val="18"/>
              </w:rPr>
              <w:t> </w:t>
            </w:r>
            <w:r>
              <w:rPr>
                <w:b/>
                <w:sz w:val="18"/>
              </w:rPr>
              <w:t>2.10.2:</w:t>
            </w:r>
            <w:r>
              <w:rPr>
                <w:b/>
                <w:spacing w:val="-10"/>
                <w:sz w:val="18"/>
              </w:rPr>
              <w:t> </w:t>
            </w:r>
            <w:r>
              <w:rPr>
                <w:sz w:val="18"/>
              </w:rPr>
              <w:t>Personas enlaces de</w:t>
            </w:r>
            <w:r>
              <w:rPr>
                <w:spacing w:val="-2"/>
                <w:sz w:val="18"/>
              </w:rPr>
              <w:t> </w:t>
            </w:r>
            <w:r>
              <w:rPr>
                <w:sz w:val="18"/>
              </w:rPr>
              <w:t>riesgos</w:t>
            </w:r>
            <w:r>
              <w:rPr>
                <w:spacing w:val="-2"/>
                <w:sz w:val="18"/>
              </w:rPr>
              <w:t> </w:t>
            </w:r>
            <w:r>
              <w:rPr>
                <w:sz w:val="18"/>
              </w:rPr>
              <w:t>y</w:t>
            </w:r>
            <w:r>
              <w:rPr>
                <w:spacing w:val="-2"/>
                <w:sz w:val="18"/>
              </w:rPr>
              <w:t> </w:t>
            </w:r>
            <w:r>
              <w:rPr>
                <w:sz w:val="18"/>
              </w:rPr>
              <w:t>brigadas</w:t>
            </w:r>
            <w:r>
              <w:rPr>
                <w:spacing w:val="-2"/>
                <w:sz w:val="18"/>
              </w:rPr>
              <w:t> </w:t>
            </w:r>
            <w:r>
              <w:rPr>
                <w:sz w:val="18"/>
              </w:rPr>
              <w:t>en temas de salud y seguridad laboral capacitadas</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20"/>
              <w:jc w:val="center"/>
              <w:rPr>
                <w:sz w:val="18"/>
              </w:rPr>
            </w:pPr>
            <w:r>
              <w:rPr>
                <w:spacing w:val="-10"/>
                <w:sz w:val="18"/>
              </w:rPr>
              <w:t>0</w:t>
            </w:r>
          </w:p>
        </w:tc>
        <w:tc>
          <w:tcPr>
            <w:tcW w:w="198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4" w:right="5"/>
              <w:jc w:val="center"/>
              <w:rPr>
                <w:sz w:val="18"/>
              </w:rPr>
            </w:pPr>
            <w:r>
              <w:rPr>
                <w:spacing w:val="-4"/>
                <w:sz w:val="18"/>
              </w:rPr>
              <w:t>100%</w:t>
            </w:r>
          </w:p>
        </w:tc>
        <w:tc>
          <w:tcPr>
            <w:tcW w:w="1421" w:type="dxa"/>
          </w:tcPr>
          <w:p>
            <w:pPr>
              <w:pStyle w:val="TableParagraph"/>
              <w:ind w:left="72" w:right="106"/>
              <w:rPr>
                <w:sz w:val="18"/>
              </w:rPr>
            </w:pPr>
            <w:r>
              <w:rPr>
                <w:sz w:val="18"/>
              </w:rPr>
              <w:t>Porcentaje de </w:t>
            </w:r>
            <w:r>
              <w:rPr>
                <w:spacing w:val="-2"/>
                <w:sz w:val="18"/>
              </w:rPr>
              <w:t>personas enlaces (brigadistas) </w:t>
            </w:r>
            <w:r>
              <w:rPr>
                <w:sz w:val="18"/>
              </w:rPr>
              <w:t>capacitados</w:t>
            </w:r>
            <w:r>
              <w:rPr>
                <w:spacing w:val="-13"/>
                <w:sz w:val="18"/>
              </w:rPr>
              <w:t> </w:t>
            </w:r>
            <w:r>
              <w:rPr>
                <w:sz w:val="18"/>
              </w:rPr>
              <w:t>en temas</w:t>
            </w:r>
            <w:r>
              <w:rPr>
                <w:spacing w:val="-15"/>
                <w:sz w:val="18"/>
              </w:rPr>
              <w:t> </w:t>
            </w:r>
            <w:r>
              <w:rPr>
                <w:sz w:val="18"/>
              </w:rPr>
              <w:t>de</w:t>
            </w:r>
            <w:r>
              <w:rPr>
                <w:spacing w:val="-12"/>
                <w:sz w:val="18"/>
              </w:rPr>
              <w:t> </w:t>
            </w:r>
            <w:r>
              <w:rPr>
                <w:sz w:val="18"/>
              </w:rPr>
              <w:t>salud y seguridad</w:t>
            </w:r>
          </w:p>
          <w:p>
            <w:pPr>
              <w:pStyle w:val="TableParagraph"/>
              <w:spacing w:line="187" w:lineRule="exact"/>
              <w:ind w:left="72"/>
              <w:rPr>
                <w:sz w:val="18"/>
              </w:rPr>
            </w:pPr>
            <w:r>
              <w:rPr>
                <w:spacing w:val="-2"/>
                <w:sz w:val="18"/>
              </w:rPr>
              <w:t>laboral</w:t>
            </w:r>
          </w:p>
        </w:tc>
        <w:tc>
          <w:tcPr>
            <w:tcW w:w="1839" w:type="dxa"/>
          </w:tcPr>
          <w:p>
            <w:pPr>
              <w:pStyle w:val="TableParagraph"/>
              <w:rPr>
                <w:b/>
                <w:sz w:val="18"/>
              </w:rPr>
            </w:pPr>
          </w:p>
          <w:p>
            <w:pPr>
              <w:pStyle w:val="TableParagraph"/>
              <w:spacing w:before="103"/>
              <w:rPr>
                <w:b/>
                <w:sz w:val="18"/>
              </w:rPr>
            </w:pPr>
          </w:p>
          <w:p>
            <w:pPr>
              <w:pStyle w:val="TableParagraph"/>
              <w:ind w:left="67"/>
              <w:rPr>
                <w:sz w:val="18"/>
              </w:rPr>
            </w:pPr>
            <w:r>
              <w:rPr>
                <w:sz w:val="18"/>
              </w:rPr>
              <w:t>Listas de </w:t>
            </w:r>
            <w:r>
              <w:rPr>
                <w:spacing w:val="-2"/>
                <w:sz w:val="18"/>
              </w:rPr>
              <w:t>asistencia/Contrataci </w:t>
            </w:r>
            <w:r>
              <w:rPr>
                <w:sz w:val="18"/>
              </w:rPr>
              <w:t>ón administrativa</w:t>
            </w:r>
          </w:p>
        </w:tc>
        <w:tc>
          <w:tcPr>
            <w:tcW w:w="1278" w:type="dxa"/>
          </w:tcPr>
          <w:p>
            <w:pPr>
              <w:pStyle w:val="TableParagraph"/>
              <w:rPr>
                <w:b/>
                <w:sz w:val="18"/>
              </w:rPr>
            </w:pPr>
          </w:p>
          <w:p>
            <w:pPr>
              <w:pStyle w:val="TableParagraph"/>
              <w:spacing w:before="204"/>
              <w:rPr>
                <w:b/>
                <w:sz w:val="18"/>
              </w:rPr>
            </w:pPr>
          </w:p>
          <w:p>
            <w:pPr>
              <w:pStyle w:val="TableParagraph"/>
              <w:spacing w:line="244" w:lineRule="auto"/>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tcBorders>
              <w:top w:val="nil"/>
            </w:tcBorders>
          </w:tcPr>
          <w:p>
            <w:pPr>
              <w:rPr>
                <w:sz w:val="2"/>
                <w:szCs w:val="2"/>
              </w:rPr>
            </w:pPr>
          </w:p>
        </w:tc>
      </w:tr>
      <w:tr>
        <w:trPr>
          <w:trHeight w:val="542" w:hRule="atLeast"/>
        </w:trPr>
        <w:tc>
          <w:tcPr>
            <w:tcW w:w="14253" w:type="dxa"/>
            <w:gridSpan w:val="8"/>
            <w:shd w:val="clear" w:color="auto" w:fill="EFF8F9"/>
          </w:tcPr>
          <w:p>
            <w:pPr>
              <w:pStyle w:val="TableParagraph"/>
              <w:spacing w:line="244" w:lineRule="auto" w:before="61"/>
              <w:ind w:left="72" w:right="78"/>
              <w:rPr>
                <w:b/>
                <w:sz w:val="18"/>
              </w:rPr>
            </w:pPr>
            <w:r>
              <w:rPr>
                <w:b/>
                <w:sz w:val="18"/>
              </w:rPr>
              <w:t>Producto</w:t>
            </w:r>
            <w:r>
              <w:rPr>
                <w:b/>
                <w:spacing w:val="-4"/>
                <w:sz w:val="18"/>
              </w:rPr>
              <w:t> </w:t>
            </w:r>
            <w:r>
              <w:rPr>
                <w:b/>
                <w:sz w:val="18"/>
              </w:rPr>
              <w:t>PAC</w:t>
            </w:r>
            <w:r>
              <w:rPr>
                <w:b/>
                <w:spacing w:val="-5"/>
                <w:sz w:val="18"/>
              </w:rPr>
              <w:t> </w:t>
            </w:r>
            <w:r>
              <w:rPr>
                <w:b/>
                <w:sz w:val="18"/>
              </w:rPr>
              <w:t>2.11:</w:t>
            </w:r>
            <w:r>
              <w:rPr>
                <w:b/>
                <w:spacing w:val="-1"/>
                <w:sz w:val="18"/>
              </w:rPr>
              <w:t> </w:t>
            </w:r>
            <w:r>
              <w:rPr>
                <w:b/>
                <w:sz w:val="18"/>
              </w:rPr>
              <w:t>Personas</w:t>
            </w:r>
            <w:r>
              <w:rPr>
                <w:b/>
                <w:spacing w:val="-3"/>
                <w:sz w:val="18"/>
              </w:rPr>
              <w:t> </w:t>
            </w:r>
            <w:r>
              <w:rPr>
                <w:b/>
                <w:sz w:val="18"/>
              </w:rPr>
              <w:t>funcionarias</w:t>
            </w:r>
            <w:r>
              <w:rPr>
                <w:b/>
                <w:spacing w:val="-3"/>
                <w:sz w:val="18"/>
              </w:rPr>
              <w:t> </w:t>
            </w:r>
            <w:r>
              <w:rPr>
                <w:b/>
                <w:sz w:val="18"/>
              </w:rPr>
              <w:t>del</w:t>
            </w:r>
            <w:r>
              <w:rPr>
                <w:b/>
                <w:spacing w:val="-1"/>
                <w:sz w:val="18"/>
              </w:rPr>
              <w:t> </w:t>
            </w:r>
            <w:r>
              <w:rPr>
                <w:b/>
                <w:sz w:val="18"/>
              </w:rPr>
              <w:t>IMAS con</w:t>
            </w:r>
            <w:r>
              <w:rPr>
                <w:b/>
                <w:spacing w:val="-4"/>
                <w:sz w:val="18"/>
              </w:rPr>
              <w:t> </w:t>
            </w:r>
            <w:r>
              <w:rPr>
                <w:b/>
                <w:sz w:val="18"/>
              </w:rPr>
              <w:t>una atención</w:t>
            </w:r>
            <w:r>
              <w:rPr>
                <w:b/>
                <w:spacing w:val="-4"/>
                <w:sz w:val="18"/>
              </w:rPr>
              <w:t> </w:t>
            </w:r>
            <w:r>
              <w:rPr>
                <w:b/>
                <w:sz w:val="18"/>
              </w:rPr>
              <w:t>médica</w:t>
            </w:r>
            <w:r>
              <w:rPr>
                <w:b/>
                <w:spacing w:val="-3"/>
                <w:sz w:val="18"/>
              </w:rPr>
              <w:t> </w:t>
            </w:r>
            <w:r>
              <w:rPr>
                <w:b/>
                <w:sz w:val="18"/>
              </w:rPr>
              <w:t>oportuna</w:t>
            </w:r>
            <w:r>
              <w:rPr>
                <w:b/>
                <w:spacing w:val="-3"/>
                <w:sz w:val="18"/>
              </w:rPr>
              <w:t> </w:t>
            </w:r>
            <w:r>
              <w:rPr>
                <w:b/>
                <w:sz w:val="18"/>
              </w:rPr>
              <w:t>para contribuir</w:t>
            </w:r>
            <w:r>
              <w:rPr>
                <w:b/>
                <w:spacing w:val="-2"/>
                <w:sz w:val="18"/>
              </w:rPr>
              <w:t> </w:t>
            </w:r>
            <w:r>
              <w:rPr>
                <w:b/>
                <w:sz w:val="18"/>
              </w:rPr>
              <w:t>a</w:t>
            </w:r>
            <w:r>
              <w:rPr>
                <w:b/>
                <w:spacing w:val="-3"/>
                <w:sz w:val="18"/>
              </w:rPr>
              <w:t> </w:t>
            </w:r>
            <w:r>
              <w:rPr>
                <w:b/>
                <w:sz w:val="18"/>
              </w:rPr>
              <w:t>su</w:t>
            </w:r>
            <w:r>
              <w:rPr>
                <w:b/>
                <w:spacing w:val="-4"/>
                <w:sz w:val="18"/>
              </w:rPr>
              <w:t> </w:t>
            </w:r>
            <w:r>
              <w:rPr>
                <w:b/>
                <w:sz w:val="18"/>
              </w:rPr>
              <w:t>buen</w:t>
            </w:r>
            <w:r>
              <w:rPr>
                <w:b/>
                <w:spacing w:val="-4"/>
                <w:sz w:val="18"/>
              </w:rPr>
              <w:t> </w:t>
            </w:r>
            <w:r>
              <w:rPr>
                <w:b/>
                <w:sz w:val="18"/>
              </w:rPr>
              <w:t>estado</w:t>
            </w:r>
            <w:r>
              <w:rPr>
                <w:b/>
                <w:spacing w:val="-4"/>
                <w:sz w:val="18"/>
              </w:rPr>
              <w:t> </w:t>
            </w:r>
            <w:r>
              <w:rPr>
                <w:b/>
                <w:sz w:val="18"/>
              </w:rPr>
              <w:t>de</w:t>
            </w:r>
            <w:r>
              <w:rPr>
                <w:b/>
                <w:spacing w:val="-3"/>
                <w:sz w:val="18"/>
              </w:rPr>
              <w:t> </w:t>
            </w:r>
            <w:r>
              <w:rPr>
                <w:b/>
                <w:sz w:val="18"/>
              </w:rPr>
              <w:t>salud. E6</w:t>
            </w:r>
            <w:r>
              <w:rPr>
                <w:b/>
                <w:spacing w:val="-3"/>
                <w:sz w:val="18"/>
              </w:rPr>
              <w:t> </w:t>
            </w:r>
            <w:r>
              <w:rPr>
                <w:b/>
                <w:sz w:val="18"/>
              </w:rPr>
              <w:t>AE7 R3</w:t>
            </w:r>
            <w:r>
              <w:rPr>
                <w:b/>
                <w:spacing w:val="-3"/>
                <w:sz w:val="18"/>
              </w:rPr>
              <w:t> </w:t>
            </w:r>
            <w:r>
              <w:rPr>
                <w:b/>
                <w:sz w:val="18"/>
              </w:rPr>
              <w:t>(meta programada </w:t>
            </w:r>
            <w:r>
              <w:rPr>
                <w:b/>
                <w:spacing w:val="-2"/>
                <w:sz w:val="18"/>
              </w:rPr>
              <w:t>100%)</w:t>
            </w:r>
          </w:p>
        </w:tc>
      </w:tr>
      <w:tr>
        <w:trPr>
          <w:trHeight w:val="1243" w:hRule="atLeast"/>
        </w:trPr>
        <w:tc>
          <w:tcPr>
            <w:tcW w:w="2833" w:type="dxa"/>
          </w:tcPr>
          <w:p>
            <w:pPr>
              <w:pStyle w:val="TableParagraph"/>
              <w:ind w:left="72" w:right="49"/>
              <w:rPr>
                <w:sz w:val="18"/>
              </w:rPr>
            </w:pPr>
            <w:r>
              <w:rPr>
                <w:b/>
                <w:sz w:val="18"/>
              </w:rPr>
              <w:t>Actividad</w:t>
            </w:r>
            <w:r>
              <w:rPr>
                <w:b/>
                <w:spacing w:val="-13"/>
                <w:sz w:val="18"/>
              </w:rPr>
              <w:t> </w:t>
            </w:r>
            <w:r>
              <w:rPr>
                <w:b/>
                <w:sz w:val="18"/>
              </w:rPr>
              <w:t>PAC</w:t>
            </w:r>
            <w:r>
              <w:rPr>
                <w:b/>
                <w:spacing w:val="-9"/>
                <w:sz w:val="18"/>
              </w:rPr>
              <w:t> </w:t>
            </w:r>
            <w:r>
              <w:rPr>
                <w:b/>
                <w:sz w:val="18"/>
              </w:rPr>
              <w:t>2.11.1:</w:t>
            </w:r>
            <w:r>
              <w:rPr>
                <w:b/>
                <w:spacing w:val="-5"/>
                <w:sz w:val="18"/>
              </w:rPr>
              <w:t> </w:t>
            </w:r>
            <w:r>
              <w:rPr>
                <w:sz w:val="18"/>
              </w:rPr>
              <w:t>Personas funcionarias atendidas por primera</w:t>
            </w:r>
            <w:r>
              <w:rPr>
                <w:spacing w:val="-7"/>
                <w:sz w:val="18"/>
              </w:rPr>
              <w:t> </w:t>
            </w:r>
            <w:r>
              <w:rPr>
                <w:sz w:val="18"/>
              </w:rPr>
              <w:t>vez</w:t>
            </w:r>
            <w:r>
              <w:rPr>
                <w:spacing w:val="-7"/>
                <w:sz w:val="18"/>
              </w:rPr>
              <w:t> </w:t>
            </w:r>
            <w:r>
              <w:rPr>
                <w:sz w:val="18"/>
              </w:rPr>
              <w:t>en</w:t>
            </w:r>
            <w:r>
              <w:rPr>
                <w:spacing w:val="-7"/>
                <w:sz w:val="18"/>
              </w:rPr>
              <w:t> </w:t>
            </w:r>
            <w:r>
              <w:rPr>
                <w:sz w:val="18"/>
              </w:rPr>
              <w:t>el</w:t>
            </w:r>
            <w:r>
              <w:rPr>
                <w:spacing w:val="-4"/>
                <w:sz w:val="18"/>
              </w:rPr>
              <w:t> </w:t>
            </w:r>
            <w:r>
              <w:rPr>
                <w:sz w:val="18"/>
              </w:rPr>
              <w:t>año</w:t>
            </w:r>
            <w:r>
              <w:rPr>
                <w:spacing w:val="-7"/>
                <w:sz w:val="18"/>
              </w:rPr>
              <w:t> </w:t>
            </w:r>
            <w:r>
              <w:rPr>
                <w:sz w:val="18"/>
              </w:rPr>
              <w:t>a</w:t>
            </w:r>
            <w:r>
              <w:rPr>
                <w:spacing w:val="-7"/>
                <w:sz w:val="18"/>
              </w:rPr>
              <w:t> </w:t>
            </w:r>
            <w:r>
              <w:rPr>
                <w:sz w:val="18"/>
              </w:rPr>
              <w:t>través</w:t>
            </w:r>
            <w:r>
              <w:rPr>
                <w:spacing w:val="-2"/>
                <w:sz w:val="18"/>
              </w:rPr>
              <w:t> </w:t>
            </w:r>
            <w:r>
              <w:rPr>
                <w:sz w:val="18"/>
              </w:rPr>
              <w:t>de las ferias de salud, visitas médicas, atención médica diaria</w:t>
            </w:r>
          </w:p>
          <w:p>
            <w:pPr>
              <w:pStyle w:val="TableParagraph"/>
              <w:spacing w:line="187" w:lineRule="exact" w:before="1"/>
              <w:ind w:left="72"/>
              <w:rPr>
                <w:sz w:val="18"/>
              </w:rPr>
            </w:pPr>
            <w:r>
              <w:rPr>
                <w:spacing w:val="-2"/>
                <w:sz w:val="18"/>
              </w:rPr>
              <w:t>realizadas</w:t>
            </w:r>
          </w:p>
        </w:tc>
        <w:tc>
          <w:tcPr>
            <w:tcW w:w="1560" w:type="dxa"/>
          </w:tcPr>
          <w:p>
            <w:pPr>
              <w:pStyle w:val="TableParagraph"/>
              <w:rPr>
                <w:b/>
                <w:sz w:val="18"/>
              </w:rPr>
            </w:pPr>
          </w:p>
          <w:p>
            <w:pPr>
              <w:pStyle w:val="TableParagraph"/>
              <w:spacing w:before="104"/>
              <w:rPr>
                <w:b/>
                <w:sz w:val="18"/>
              </w:rPr>
            </w:pPr>
          </w:p>
          <w:p>
            <w:pPr>
              <w:pStyle w:val="TableParagraph"/>
              <w:ind w:left="21" w:right="21"/>
              <w:jc w:val="center"/>
              <w:rPr>
                <w:sz w:val="18"/>
              </w:rPr>
            </w:pPr>
            <w:r>
              <w:rPr>
                <w:spacing w:val="-5"/>
                <w:sz w:val="18"/>
              </w:rPr>
              <w:t>221</w:t>
            </w:r>
          </w:p>
        </w:tc>
        <w:tc>
          <w:tcPr>
            <w:tcW w:w="1983" w:type="dxa"/>
          </w:tcPr>
          <w:p>
            <w:pPr>
              <w:pStyle w:val="TableParagraph"/>
              <w:rPr>
                <w:b/>
                <w:sz w:val="18"/>
              </w:rPr>
            </w:pPr>
          </w:p>
          <w:p>
            <w:pPr>
              <w:pStyle w:val="TableParagraph"/>
              <w:spacing w:before="104"/>
              <w:rPr>
                <w:b/>
                <w:sz w:val="18"/>
              </w:rPr>
            </w:pPr>
          </w:p>
          <w:p>
            <w:pPr>
              <w:pStyle w:val="TableParagraph"/>
              <w:ind w:left="14" w:right="13"/>
              <w:jc w:val="center"/>
              <w:rPr>
                <w:sz w:val="18"/>
              </w:rPr>
            </w:pPr>
            <w:r>
              <w:rPr>
                <w:spacing w:val="-5"/>
                <w:sz w:val="18"/>
              </w:rPr>
              <w:t>221</w:t>
            </w:r>
          </w:p>
        </w:tc>
        <w:tc>
          <w:tcPr>
            <w:tcW w:w="1421" w:type="dxa"/>
          </w:tcPr>
          <w:p>
            <w:pPr>
              <w:pStyle w:val="TableParagraph"/>
              <w:spacing w:before="105"/>
              <w:ind w:left="72" w:right="106"/>
              <w:rPr>
                <w:sz w:val="18"/>
              </w:rPr>
            </w:pPr>
            <w:r>
              <w:rPr>
                <w:sz w:val="18"/>
              </w:rPr>
              <w:t>Cantidad de </w:t>
            </w:r>
            <w:r>
              <w:rPr>
                <w:spacing w:val="-2"/>
                <w:sz w:val="18"/>
              </w:rPr>
              <w:t>funcionarios </w:t>
            </w:r>
            <w:r>
              <w:rPr>
                <w:sz w:val="18"/>
              </w:rPr>
              <w:t>atendidos en las</w:t>
            </w:r>
            <w:r>
              <w:rPr>
                <w:spacing w:val="-10"/>
                <w:sz w:val="18"/>
              </w:rPr>
              <w:t> </w:t>
            </w:r>
            <w:r>
              <w:rPr>
                <w:sz w:val="18"/>
              </w:rPr>
              <w:t>ferias</w:t>
            </w:r>
            <w:r>
              <w:rPr>
                <w:spacing w:val="-13"/>
                <w:sz w:val="18"/>
              </w:rPr>
              <w:t> </w:t>
            </w:r>
            <w:r>
              <w:rPr>
                <w:sz w:val="18"/>
              </w:rPr>
              <w:t>de</w:t>
            </w:r>
            <w:r>
              <w:rPr>
                <w:spacing w:val="-10"/>
                <w:sz w:val="18"/>
              </w:rPr>
              <w:t> </w:t>
            </w:r>
            <w:r>
              <w:rPr>
                <w:sz w:val="18"/>
              </w:rPr>
              <w:t>la </w:t>
            </w:r>
            <w:r>
              <w:rPr>
                <w:spacing w:val="-2"/>
                <w:sz w:val="18"/>
              </w:rPr>
              <w:t>salud</w:t>
            </w:r>
          </w:p>
        </w:tc>
        <w:tc>
          <w:tcPr>
            <w:tcW w:w="1839" w:type="dxa"/>
          </w:tcPr>
          <w:p>
            <w:pPr>
              <w:pStyle w:val="TableParagraph"/>
              <w:spacing w:before="205"/>
              <w:rPr>
                <w:b/>
                <w:sz w:val="18"/>
              </w:rPr>
            </w:pPr>
          </w:p>
          <w:p>
            <w:pPr>
              <w:pStyle w:val="TableParagraph"/>
              <w:ind w:left="67" w:right="123"/>
              <w:rPr>
                <w:sz w:val="18"/>
              </w:rPr>
            </w:pPr>
            <w:r>
              <w:rPr>
                <w:spacing w:val="-2"/>
                <w:sz w:val="18"/>
              </w:rPr>
              <w:t>Cronograma, </w:t>
            </w:r>
            <w:r>
              <w:rPr>
                <w:sz w:val="18"/>
              </w:rPr>
              <w:t>correos,</w:t>
            </w:r>
            <w:r>
              <w:rPr>
                <w:spacing w:val="-15"/>
                <w:sz w:val="18"/>
              </w:rPr>
              <w:t> </w:t>
            </w:r>
            <w:r>
              <w:rPr>
                <w:sz w:val="18"/>
              </w:rPr>
              <w:t>entre</w:t>
            </w:r>
            <w:r>
              <w:rPr>
                <w:spacing w:val="-12"/>
                <w:sz w:val="18"/>
              </w:rPr>
              <w:t> </w:t>
            </w:r>
            <w:r>
              <w:rPr>
                <w:sz w:val="18"/>
              </w:rPr>
              <w:t>otros</w:t>
            </w:r>
          </w:p>
        </w:tc>
        <w:tc>
          <w:tcPr>
            <w:tcW w:w="1278" w:type="dxa"/>
          </w:tcPr>
          <w:p>
            <w:pPr>
              <w:pStyle w:val="TableParagraph"/>
              <w:spacing w:before="205"/>
              <w:rPr>
                <w:b/>
                <w:sz w:val="18"/>
              </w:rPr>
            </w:pPr>
          </w:p>
          <w:p>
            <w:pPr>
              <w:pStyle w:val="TableParagraph"/>
              <w:ind w:left="72"/>
              <w:rPr>
                <w:sz w:val="18"/>
              </w:rPr>
            </w:pPr>
            <w:r>
              <w:rPr>
                <w:spacing w:val="-2"/>
                <w:sz w:val="18"/>
              </w:rPr>
              <w:t>Desarrollo Humano</w:t>
            </w:r>
          </w:p>
        </w:tc>
        <w:tc>
          <w:tcPr>
            <w:tcW w:w="1841" w:type="dxa"/>
          </w:tcPr>
          <w:p>
            <w:pPr>
              <w:pStyle w:val="TableParagraph"/>
              <w:rPr>
                <w:rFonts w:ascii="Times New Roman"/>
                <w:sz w:val="18"/>
              </w:rPr>
            </w:pPr>
          </w:p>
        </w:tc>
        <w:tc>
          <w:tcPr>
            <w:tcW w:w="1498" w:type="dxa"/>
          </w:tcPr>
          <w:p>
            <w:pPr>
              <w:pStyle w:val="TableParagraph"/>
              <w:spacing w:before="104"/>
              <w:rPr>
                <w:b/>
                <w:sz w:val="18"/>
              </w:rPr>
            </w:pPr>
          </w:p>
          <w:p>
            <w:pPr>
              <w:pStyle w:val="TableParagraph"/>
              <w:ind w:left="74" w:right="113"/>
              <w:rPr>
                <w:sz w:val="18"/>
              </w:rPr>
            </w:pPr>
            <w:r>
              <w:rPr>
                <w:spacing w:val="-2"/>
                <w:sz w:val="18"/>
              </w:rPr>
              <w:t>Evento: </w:t>
            </w:r>
            <w:r>
              <w:rPr>
                <w:sz w:val="18"/>
              </w:rPr>
              <w:t>Cancelación de la</w:t>
            </w:r>
            <w:r>
              <w:rPr>
                <w:spacing w:val="-2"/>
                <w:sz w:val="18"/>
              </w:rPr>
              <w:t> </w:t>
            </w:r>
            <w:r>
              <w:rPr>
                <w:sz w:val="18"/>
              </w:rPr>
              <w:t>visita</w:t>
            </w:r>
            <w:r>
              <w:rPr>
                <w:spacing w:val="-5"/>
                <w:sz w:val="18"/>
              </w:rPr>
              <w:t> </w:t>
            </w:r>
            <w:r>
              <w:rPr>
                <w:spacing w:val="-2"/>
                <w:sz w:val="18"/>
              </w:rPr>
              <w:t>médica.</w:t>
            </w:r>
          </w:p>
        </w:tc>
      </w:tr>
      <w:tr>
        <w:trPr>
          <w:trHeight w:val="657" w:hRule="atLeast"/>
        </w:trPr>
        <w:tc>
          <w:tcPr>
            <w:tcW w:w="14253" w:type="dxa"/>
            <w:gridSpan w:val="8"/>
            <w:shd w:val="clear" w:color="auto" w:fill="EFF8F9"/>
          </w:tcPr>
          <w:p>
            <w:pPr>
              <w:pStyle w:val="TableParagraph"/>
              <w:spacing w:before="124"/>
              <w:ind w:left="72" w:right="78"/>
              <w:rPr>
                <w:b/>
                <w:sz w:val="18"/>
              </w:rPr>
            </w:pPr>
            <w:r>
              <w:rPr>
                <w:b/>
                <w:sz w:val="18"/>
              </w:rPr>
              <w:t>Producto</w:t>
            </w:r>
            <w:r>
              <w:rPr>
                <w:b/>
                <w:spacing w:val="-5"/>
                <w:sz w:val="18"/>
              </w:rPr>
              <w:t> </w:t>
            </w:r>
            <w:r>
              <w:rPr>
                <w:b/>
                <w:sz w:val="18"/>
              </w:rPr>
              <w:t>PAC</w:t>
            </w:r>
            <w:r>
              <w:rPr>
                <w:b/>
                <w:spacing w:val="-6"/>
                <w:sz w:val="18"/>
              </w:rPr>
              <w:t> </w:t>
            </w:r>
            <w:r>
              <w:rPr>
                <w:b/>
                <w:sz w:val="18"/>
              </w:rPr>
              <w:t>2.12:</w:t>
            </w:r>
            <w:r>
              <w:rPr>
                <w:b/>
                <w:spacing w:val="40"/>
                <w:sz w:val="18"/>
              </w:rPr>
              <w:t> </w:t>
            </w:r>
            <w:r>
              <w:rPr>
                <w:b/>
                <w:sz w:val="18"/>
              </w:rPr>
              <w:t>Ambiente</w:t>
            </w:r>
            <w:r>
              <w:rPr>
                <w:b/>
                <w:spacing w:val="-4"/>
                <w:sz w:val="18"/>
              </w:rPr>
              <w:t> </w:t>
            </w:r>
            <w:r>
              <w:rPr>
                <w:b/>
                <w:sz w:val="18"/>
              </w:rPr>
              <w:t>laboral</w:t>
            </w:r>
            <w:r>
              <w:rPr>
                <w:b/>
                <w:spacing w:val="-2"/>
                <w:sz w:val="18"/>
              </w:rPr>
              <w:t> </w:t>
            </w:r>
            <w:r>
              <w:rPr>
                <w:b/>
                <w:sz w:val="18"/>
              </w:rPr>
              <w:t>mejorado</w:t>
            </w:r>
            <w:r>
              <w:rPr>
                <w:b/>
                <w:spacing w:val="-5"/>
                <w:sz w:val="18"/>
              </w:rPr>
              <w:t> </w:t>
            </w:r>
            <w:r>
              <w:rPr>
                <w:b/>
                <w:sz w:val="18"/>
              </w:rPr>
              <w:t>a partir</w:t>
            </w:r>
            <w:r>
              <w:rPr>
                <w:b/>
                <w:spacing w:val="-7"/>
                <w:sz w:val="18"/>
              </w:rPr>
              <w:t> </w:t>
            </w:r>
            <w:r>
              <w:rPr>
                <w:b/>
                <w:sz w:val="18"/>
              </w:rPr>
              <w:t>de la</w:t>
            </w:r>
            <w:r>
              <w:rPr>
                <w:b/>
                <w:spacing w:val="-4"/>
                <w:sz w:val="18"/>
              </w:rPr>
              <w:t> </w:t>
            </w:r>
            <w:r>
              <w:rPr>
                <w:b/>
                <w:sz w:val="18"/>
              </w:rPr>
              <w:t>implementación de</w:t>
            </w:r>
            <w:r>
              <w:rPr>
                <w:b/>
                <w:spacing w:val="-4"/>
                <w:sz w:val="18"/>
              </w:rPr>
              <w:t> </w:t>
            </w:r>
            <w:r>
              <w:rPr>
                <w:b/>
                <w:sz w:val="18"/>
              </w:rPr>
              <w:t>las</w:t>
            </w:r>
            <w:r>
              <w:rPr>
                <w:b/>
                <w:spacing w:val="-4"/>
                <w:sz w:val="18"/>
              </w:rPr>
              <w:t> </w:t>
            </w:r>
            <w:r>
              <w:rPr>
                <w:b/>
                <w:sz w:val="18"/>
              </w:rPr>
              <w:t>acciones</w:t>
            </w:r>
            <w:r>
              <w:rPr>
                <w:b/>
                <w:spacing w:val="-4"/>
                <w:sz w:val="18"/>
              </w:rPr>
              <w:t> </w:t>
            </w:r>
            <w:r>
              <w:rPr>
                <w:b/>
                <w:sz w:val="18"/>
              </w:rPr>
              <w:t>de</w:t>
            </w:r>
            <w:r>
              <w:rPr>
                <w:b/>
                <w:spacing w:val="-4"/>
                <w:sz w:val="18"/>
              </w:rPr>
              <w:t> </w:t>
            </w:r>
            <w:r>
              <w:rPr>
                <w:b/>
                <w:sz w:val="18"/>
              </w:rPr>
              <w:t>mejora del</w:t>
            </w:r>
            <w:r>
              <w:rPr>
                <w:b/>
                <w:spacing w:val="-2"/>
                <w:sz w:val="18"/>
              </w:rPr>
              <w:t> </w:t>
            </w:r>
            <w:r>
              <w:rPr>
                <w:b/>
                <w:sz w:val="18"/>
              </w:rPr>
              <w:t>clima institucional identificadas. E6 AE7</w:t>
            </w:r>
            <w:r>
              <w:rPr>
                <w:b/>
                <w:spacing w:val="-4"/>
                <w:sz w:val="18"/>
              </w:rPr>
              <w:t> </w:t>
            </w:r>
            <w:r>
              <w:rPr>
                <w:b/>
                <w:sz w:val="18"/>
              </w:rPr>
              <w:t>R4</w:t>
            </w:r>
            <w:r>
              <w:rPr>
                <w:b/>
                <w:spacing w:val="-4"/>
                <w:sz w:val="18"/>
              </w:rPr>
              <w:t> </w:t>
            </w:r>
            <w:r>
              <w:rPr>
                <w:b/>
                <w:sz w:val="18"/>
              </w:rPr>
              <w:t>(meta programada 100%)</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3"/>
        <w:gridCol w:w="1560"/>
        <w:gridCol w:w="1983"/>
        <w:gridCol w:w="1421"/>
        <w:gridCol w:w="1839"/>
        <w:gridCol w:w="1278"/>
        <w:gridCol w:w="1841"/>
        <w:gridCol w:w="1498"/>
      </w:tblGrid>
      <w:tr>
        <w:trPr>
          <w:trHeight w:val="618" w:hRule="atLeast"/>
        </w:trPr>
        <w:tc>
          <w:tcPr>
            <w:tcW w:w="2833" w:type="dxa"/>
            <w:shd w:val="clear" w:color="auto" w:fill="D7D7D7"/>
          </w:tcPr>
          <w:p>
            <w:pPr>
              <w:pStyle w:val="TableParagraph"/>
              <w:spacing w:before="205"/>
              <w:ind w:left="446"/>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7D7D7"/>
          </w:tcPr>
          <w:p>
            <w:pPr>
              <w:pStyle w:val="TableParagraph"/>
              <w:spacing w:before="104"/>
              <w:ind w:left="518" w:right="58" w:hanging="216"/>
              <w:rPr>
                <w:b/>
                <w:sz w:val="18"/>
              </w:rPr>
            </w:pPr>
            <w:r>
              <w:rPr>
                <w:b/>
                <w:sz w:val="18"/>
              </w:rPr>
              <w:t>Línea</w:t>
            </w:r>
            <w:r>
              <w:rPr>
                <w:b/>
                <w:spacing w:val="-13"/>
                <w:sz w:val="18"/>
              </w:rPr>
              <w:t> </w:t>
            </w:r>
            <w:r>
              <w:rPr>
                <w:b/>
                <w:sz w:val="18"/>
              </w:rPr>
              <w:t>Base </w:t>
            </w:r>
            <w:r>
              <w:rPr>
                <w:b/>
                <w:spacing w:val="-2"/>
                <w:sz w:val="18"/>
              </w:rPr>
              <w:t>(2024)</w:t>
            </w:r>
          </w:p>
        </w:tc>
        <w:tc>
          <w:tcPr>
            <w:tcW w:w="1983" w:type="dxa"/>
            <w:shd w:val="clear" w:color="auto" w:fill="D7D7D7"/>
          </w:tcPr>
          <w:p>
            <w:pPr>
              <w:pStyle w:val="TableParagraph"/>
              <w:spacing w:before="104"/>
              <w:ind w:left="788" w:hanging="553"/>
              <w:rPr>
                <w:b/>
                <w:sz w:val="18"/>
              </w:rPr>
            </w:pPr>
            <w:r>
              <w:rPr>
                <w:b/>
                <w:sz w:val="18"/>
              </w:rPr>
              <w:t>Meta</w:t>
            </w:r>
            <w:r>
              <w:rPr>
                <w:b/>
                <w:spacing w:val="-13"/>
                <w:sz w:val="18"/>
              </w:rPr>
              <w:t> </w:t>
            </w:r>
            <w:r>
              <w:rPr>
                <w:b/>
                <w:sz w:val="18"/>
              </w:rPr>
              <w:t>programada </w:t>
            </w:r>
            <w:r>
              <w:rPr>
                <w:b/>
                <w:spacing w:val="-4"/>
                <w:sz w:val="18"/>
              </w:rPr>
              <w:t>2026</w:t>
            </w:r>
          </w:p>
        </w:tc>
        <w:tc>
          <w:tcPr>
            <w:tcW w:w="1421" w:type="dxa"/>
            <w:shd w:val="clear" w:color="auto" w:fill="D7D7D7"/>
          </w:tcPr>
          <w:p>
            <w:pPr>
              <w:pStyle w:val="TableParagraph"/>
              <w:spacing w:before="205"/>
              <w:ind w:left="302"/>
              <w:rPr>
                <w:b/>
                <w:sz w:val="18"/>
              </w:rPr>
            </w:pPr>
            <w:r>
              <w:rPr>
                <w:b/>
                <w:spacing w:val="-2"/>
                <w:sz w:val="18"/>
              </w:rPr>
              <w:t>Indicador</w:t>
            </w:r>
          </w:p>
        </w:tc>
        <w:tc>
          <w:tcPr>
            <w:tcW w:w="1839" w:type="dxa"/>
            <w:shd w:val="clear" w:color="auto" w:fill="D7D7D7"/>
          </w:tcPr>
          <w:p>
            <w:pPr>
              <w:pStyle w:val="TableParagraph"/>
              <w:spacing w:before="104"/>
              <w:ind w:left="417" w:right="123" w:firstLine="57"/>
              <w:rPr>
                <w:b/>
                <w:sz w:val="18"/>
              </w:rPr>
            </w:pPr>
            <w:r>
              <w:rPr>
                <w:b/>
                <w:sz w:val="18"/>
              </w:rPr>
              <w:t>Medios de </w:t>
            </w:r>
            <w:r>
              <w:rPr>
                <w:b/>
                <w:spacing w:val="-2"/>
                <w:sz w:val="18"/>
              </w:rPr>
              <w:t>verificación</w:t>
            </w:r>
          </w:p>
        </w:tc>
        <w:tc>
          <w:tcPr>
            <w:tcW w:w="1278" w:type="dxa"/>
            <w:shd w:val="clear" w:color="auto" w:fill="D7D7D7"/>
          </w:tcPr>
          <w:p>
            <w:pPr>
              <w:pStyle w:val="TableParagraph"/>
              <w:spacing w:before="205"/>
              <w:ind w:left="81"/>
              <w:rPr>
                <w:b/>
                <w:sz w:val="18"/>
              </w:rPr>
            </w:pPr>
            <w:r>
              <w:rPr>
                <w:b/>
                <w:spacing w:val="-2"/>
                <w:sz w:val="18"/>
              </w:rPr>
              <w:t>Responsable</w:t>
            </w:r>
          </w:p>
        </w:tc>
        <w:tc>
          <w:tcPr>
            <w:tcW w:w="1841" w:type="dxa"/>
            <w:shd w:val="clear" w:color="auto" w:fill="D7D7D7"/>
          </w:tcPr>
          <w:p>
            <w:pPr>
              <w:pStyle w:val="TableParagraph"/>
              <w:spacing w:before="104"/>
              <w:ind w:left="527" w:hanging="154"/>
              <w:rPr>
                <w:b/>
                <w:sz w:val="18"/>
              </w:rPr>
            </w:pPr>
            <w:r>
              <w:rPr>
                <w:b/>
                <w:spacing w:val="-2"/>
                <w:sz w:val="18"/>
              </w:rPr>
              <w:t>Presupuesto asignado</w:t>
            </w:r>
          </w:p>
        </w:tc>
        <w:tc>
          <w:tcPr>
            <w:tcW w:w="1498" w:type="dxa"/>
            <w:shd w:val="clear" w:color="auto" w:fill="D7D7D7"/>
          </w:tcPr>
          <w:p>
            <w:pPr>
              <w:pStyle w:val="TableParagraph"/>
              <w:spacing w:line="206" w:lineRule="exact"/>
              <w:ind w:left="165" w:right="144" w:hanging="5"/>
              <w:jc w:val="center"/>
              <w:rPr>
                <w:b/>
                <w:sz w:val="18"/>
              </w:rPr>
            </w:pPr>
            <w:r>
              <w:rPr>
                <w:b/>
                <w:spacing w:val="-2"/>
                <w:sz w:val="18"/>
              </w:rPr>
              <w:t>Riesgo </w:t>
            </w:r>
            <w:r>
              <w:rPr>
                <w:b/>
                <w:sz w:val="18"/>
              </w:rPr>
              <w:t>asociado al </w:t>
            </w:r>
            <w:r>
              <w:rPr>
                <w:b/>
                <w:spacing w:val="-2"/>
                <w:sz w:val="18"/>
              </w:rPr>
              <w:t>cumplimiento</w:t>
            </w:r>
          </w:p>
        </w:tc>
      </w:tr>
      <w:tr>
        <w:trPr>
          <w:trHeight w:val="1449" w:hRule="atLeast"/>
        </w:trPr>
        <w:tc>
          <w:tcPr>
            <w:tcW w:w="2833" w:type="dxa"/>
          </w:tcPr>
          <w:p>
            <w:pPr>
              <w:pStyle w:val="TableParagraph"/>
              <w:spacing w:before="3"/>
              <w:rPr>
                <w:b/>
                <w:sz w:val="18"/>
              </w:rPr>
            </w:pPr>
          </w:p>
          <w:p>
            <w:pPr>
              <w:pStyle w:val="TableParagraph"/>
              <w:ind w:left="72" w:right="119"/>
              <w:rPr>
                <w:sz w:val="18"/>
              </w:rPr>
            </w:pPr>
            <w:r>
              <w:rPr>
                <w:b/>
                <w:sz w:val="18"/>
              </w:rPr>
              <w:t>Producto PAC 2.12.1: </w:t>
            </w:r>
            <w:r>
              <w:rPr>
                <w:sz w:val="18"/>
              </w:rPr>
              <w:t>Comunicar los resultados obtenidos</w:t>
            </w:r>
            <w:r>
              <w:rPr>
                <w:spacing w:val="-8"/>
                <w:sz w:val="18"/>
              </w:rPr>
              <w:t> </w:t>
            </w:r>
            <w:r>
              <w:rPr>
                <w:sz w:val="18"/>
              </w:rPr>
              <w:t>de</w:t>
            </w:r>
            <w:r>
              <w:rPr>
                <w:spacing w:val="-8"/>
                <w:sz w:val="18"/>
              </w:rPr>
              <w:t> </w:t>
            </w:r>
            <w:r>
              <w:rPr>
                <w:sz w:val="18"/>
              </w:rPr>
              <w:t>las</w:t>
            </w:r>
            <w:r>
              <w:rPr>
                <w:spacing w:val="-8"/>
                <w:sz w:val="18"/>
              </w:rPr>
              <w:t> </w:t>
            </w:r>
            <w:r>
              <w:rPr>
                <w:sz w:val="18"/>
              </w:rPr>
              <w:t>acciones</w:t>
            </w:r>
            <w:r>
              <w:rPr>
                <w:spacing w:val="-3"/>
                <w:sz w:val="18"/>
              </w:rPr>
              <w:t> </w:t>
            </w:r>
            <w:r>
              <w:rPr>
                <w:sz w:val="18"/>
              </w:rPr>
              <w:t>de mejora, a las Unidades Administrativas</w:t>
            </w:r>
            <w:r>
              <w:rPr>
                <w:spacing w:val="-13"/>
                <w:sz w:val="18"/>
              </w:rPr>
              <w:t> </w:t>
            </w:r>
            <w:r>
              <w:rPr>
                <w:sz w:val="18"/>
              </w:rPr>
              <w:t>involucradas.</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20"/>
              <w:jc w:val="center"/>
              <w:rPr>
                <w:sz w:val="18"/>
              </w:rPr>
            </w:pPr>
            <w:r>
              <w:rPr>
                <w:spacing w:val="-10"/>
                <w:sz w:val="18"/>
              </w:rPr>
              <w:t>0</w:t>
            </w:r>
          </w:p>
        </w:tc>
        <w:tc>
          <w:tcPr>
            <w:tcW w:w="1983"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4" w:right="5"/>
              <w:jc w:val="center"/>
              <w:rPr>
                <w:sz w:val="18"/>
              </w:rPr>
            </w:pPr>
            <w:r>
              <w:rPr>
                <w:spacing w:val="-4"/>
                <w:sz w:val="18"/>
              </w:rPr>
              <w:t>100%</w:t>
            </w:r>
          </w:p>
        </w:tc>
        <w:tc>
          <w:tcPr>
            <w:tcW w:w="1421" w:type="dxa"/>
          </w:tcPr>
          <w:p>
            <w:pPr>
              <w:pStyle w:val="TableParagraph"/>
              <w:rPr>
                <w:b/>
                <w:sz w:val="18"/>
              </w:rPr>
            </w:pPr>
          </w:p>
          <w:p>
            <w:pPr>
              <w:pStyle w:val="TableParagraph"/>
              <w:spacing w:before="3"/>
              <w:rPr>
                <w:b/>
                <w:sz w:val="18"/>
              </w:rPr>
            </w:pPr>
          </w:p>
          <w:p>
            <w:pPr>
              <w:pStyle w:val="TableParagraph"/>
              <w:ind w:left="72" w:right="223"/>
              <w:jc w:val="both"/>
              <w:rPr>
                <w:sz w:val="18"/>
              </w:rPr>
            </w:pPr>
            <w:r>
              <w:rPr>
                <w:sz w:val="18"/>
              </w:rPr>
              <w:t>Porcentaje</w:t>
            </w:r>
            <w:r>
              <w:rPr>
                <w:spacing w:val="-13"/>
                <w:sz w:val="18"/>
              </w:rPr>
              <w:t> </w:t>
            </w:r>
            <w:r>
              <w:rPr>
                <w:sz w:val="18"/>
              </w:rPr>
              <w:t>de </w:t>
            </w:r>
            <w:r>
              <w:rPr>
                <w:spacing w:val="-2"/>
                <w:sz w:val="18"/>
              </w:rPr>
              <w:t>comunicados realizados</w:t>
            </w:r>
          </w:p>
        </w:tc>
        <w:tc>
          <w:tcPr>
            <w:tcW w:w="1839"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7"/>
              <w:rPr>
                <w:sz w:val="18"/>
              </w:rPr>
            </w:pPr>
            <w:r>
              <w:rPr>
                <w:sz w:val="18"/>
              </w:rPr>
              <w:t>Listas</w:t>
            </w:r>
            <w:r>
              <w:rPr>
                <w:spacing w:val="-3"/>
                <w:sz w:val="18"/>
              </w:rPr>
              <w:t> </w:t>
            </w:r>
            <w:r>
              <w:rPr>
                <w:sz w:val="18"/>
              </w:rPr>
              <w:t>de</w:t>
            </w:r>
            <w:r>
              <w:rPr>
                <w:spacing w:val="-2"/>
                <w:sz w:val="18"/>
              </w:rPr>
              <w:t> asistencia</w:t>
            </w:r>
          </w:p>
        </w:tc>
        <w:tc>
          <w:tcPr>
            <w:tcW w:w="1278" w:type="dxa"/>
          </w:tcPr>
          <w:p>
            <w:pPr>
              <w:pStyle w:val="TableParagraph"/>
              <w:rPr>
                <w:b/>
                <w:sz w:val="18"/>
              </w:rPr>
            </w:pPr>
          </w:p>
          <w:p>
            <w:pPr>
              <w:pStyle w:val="TableParagraph"/>
              <w:spacing w:before="104"/>
              <w:rPr>
                <w:b/>
                <w:sz w:val="18"/>
              </w:rPr>
            </w:pPr>
          </w:p>
          <w:p>
            <w:pPr>
              <w:pStyle w:val="TableParagraph"/>
              <w:ind w:left="72"/>
              <w:rPr>
                <w:sz w:val="18"/>
              </w:rPr>
            </w:pPr>
            <w:r>
              <w:rPr>
                <w:spacing w:val="-2"/>
                <w:sz w:val="18"/>
              </w:rPr>
              <w:t>Desarrollo Humano</w:t>
            </w:r>
          </w:p>
        </w:tc>
        <w:tc>
          <w:tcPr>
            <w:tcW w:w="1841" w:type="dxa"/>
          </w:tcPr>
          <w:p>
            <w:pPr>
              <w:pStyle w:val="TableParagraph"/>
              <w:rPr>
                <w:rFonts w:ascii="Times New Roman"/>
                <w:sz w:val="18"/>
              </w:rPr>
            </w:pPr>
          </w:p>
        </w:tc>
        <w:tc>
          <w:tcPr>
            <w:tcW w:w="1498" w:type="dxa"/>
          </w:tcPr>
          <w:p>
            <w:pPr>
              <w:pStyle w:val="TableParagraph"/>
              <w:spacing w:before="3"/>
              <w:ind w:left="74" w:right="113"/>
              <w:rPr>
                <w:sz w:val="18"/>
              </w:rPr>
            </w:pPr>
            <w:r>
              <w:rPr>
                <w:sz w:val="18"/>
              </w:rPr>
              <w:t>Evento:</w:t>
            </w:r>
            <w:r>
              <w:rPr>
                <w:spacing w:val="-7"/>
                <w:sz w:val="18"/>
              </w:rPr>
              <w:t> </w:t>
            </w:r>
            <w:r>
              <w:rPr>
                <w:sz w:val="18"/>
              </w:rPr>
              <w:t>No</w:t>
            </w:r>
            <w:r>
              <w:rPr>
                <w:spacing w:val="-9"/>
                <w:sz w:val="18"/>
              </w:rPr>
              <w:t> </w:t>
            </w:r>
            <w:r>
              <w:rPr>
                <w:sz w:val="18"/>
              </w:rPr>
              <w:t>dar respuesta</w:t>
            </w:r>
            <w:r>
              <w:rPr>
                <w:spacing w:val="-15"/>
                <w:sz w:val="18"/>
              </w:rPr>
              <w:t> </w:t>
            </w:r>
            <w:r>
              <w:rPr>
                <w:sz w:val="18"/>
              </w:rPr>
              <w:t>a</w:t>
            </w:r>
            <w:r>
              <w:rPr>
                <w:spacing w:val="-12"/>
                <w:sz w:val="18"/>
              </w:rPr>
              <w:t> </w:t>
            </w:r>
            <w:r>
              <w:rPr>
                <w:sz w:val="18"/>
              </w:rPr>
              <w:t>las </w:t>
            </w:r>
            <w:r>
              <w:rPr>
                <w:spacing w:val="-2"/>
                <w:sz w:val="18"/>
              </w:rPr>
              <w:t>acciones identificadas </w:t>
            </w:r>
            <w:r>
              <w:rPr>
                <w:sz w:val="18"/>
              </w:rPr>
              <w:t>referente al </w:t>
            </w:r>
            <w:r>
              <w:rPr>
                <w:spacing w:val="-2"/>
                <w:sz w:val="18"/>
              </w:rPr>
              <w:t>clima</w:t>
            </w:r>
          </w:p>
          <w:p>
            <w:pPr>
              <w:pStyle w:val="TableParagraph"/>
              <w:spacing w:line="184" w:lineRule="exact"/>
              <w:ind w:left="74"/>
              <w:rPr>
                <w:sz w:val="18"/>
              </w:rPr>
            </w:pPr>
            <w:r>
              <w:rPr>
                <w:spacing w:val="-2"/>
                <w:sz w:val="18"/>
              </w:rPr>
              <w:t>institucional</w:t>
            </w:r>
          </w:p>
        </w:tc>
      </w:tr>
      <w:tr>
        <w:trPr>
          <w:trHeight w:val="719" w:hRule="atLeast"/>
        </w:trPr>
        <w:tc>
          <w:tcPr>
            <w:tcW w:w="14253" w:type="dxa"/>
            <w:gridSpan w:val="8"/>
            <w:shd w:val="clear" w:color="auto" w:fill="EFF8F9"/>
          </w:tcPr>
          <w:p>
            <w:pPr>
              <w:pStyle w:val="TableParagraph"/>
              <w:spacing w:before="153"/>
              <w:ind w:left="72" w:right="78"/>
              <w:rPr>
                <w:b/>
                <w:sz w:val="18"/>
              </w:rPr>
            </w:pPr>
            <w:r>
              <w:rPr>
                <w:b/>
                <w:sz w:val="18"/>
              </w:rPr>
              <w:t>Producto</w:t>
            </w:r>
            <w:r>
              <w:rPr>
                <w:b/>
                <w:spacing w:val="-3"/>
                <w:sz w:val="18"/>
              </w:rPr>
              <w:t> </w:t>
            </w:r>
            <w:r>
              <w:rPr>
                <w:b/>
                <w:sz w:val="18"/>
              </w:rPr>
              <w:t>PAC</w:t>
            </w:r>
            <w:r>
              <w:rPr>
                <w:b/>
                <w:spacing w:val="-4"/>
                <w:sz w:val="18"/>
              </w:rPr>
              <w:t> </w:t>
            </w:r>
            <w:r>
              <w:rPr>
                <w:b/>
                <w:sz w:val="18"/>
              </w:rPr>
              <w:t>2.13: Política</w:t>
            </w:r>
            <w:r>
              <w:rPr>
                <w:b/>
                <w:spacing w:val="-2"/>
                <w:sz w:val="18"/>
              </w:rPr>
              <w:t> </w:t>
            </w:r>
            <w:r>
              <w:rPr>
                <w:b/>
                <w:sz w:val="18"/>
              </w:rPr>
              <w:t>y</w:t>
            </w:r>
            <w:r>
              <w:rPr>
                <w:b/>
                <w:spacing w:val="-2"/>
                <w:sz w:val="18"/>
              </w:rPr>
              <w:t> </w:t>
            </w:r>
            <w:r>
              <w:rPr>
                <w:b/>
                <w:sz w:val="18"/>
              </w:rPr>
              <w:t>plan</w:t>
            </w:r>
            <w:r>
              <w:rPr>
                <w:b/>
                <w:spacing w:val="-3"/>
                <w:sz w:val="18"/>
              </w:rPr>
              <w:t> </w:t>
            </w:r>
            <w:r>
              <w:rPr>
                <w:b/>
                <w:sz w:val="18"/>
              </w:rPr>
              <w:t>de</w:t>
            </w:r>
            <w:r>
              <w:rPr>
                <w:b/>
                <w:spacing w:val="-2"/>
                <w:sz w:val="18"/>
              </w:rPr>
              <w:t> </w:t>
            </w:r>
            <w:r>
              <w:rPr>
                <w:b/>
                <w:sz w:val="18"/>
              </w:rPr>
              <w:t>acción</w:t>
            </w:r>
            <w:r>
              <w:rPr>
                <w:b/>
                <w:spacing w:val="-3"/>
                <w:sz w:val="18"/>
              </w:rPr>
              <w:t> </w:t>
            </w:r>
            <w:r>
              <w:rPr>
                <w:b/>
                <w:sz w:val="18"/>
              </w:rPr>
              <w:t>diseñado</w:t>
            </w:r>
            <w:r>
              <w:rPr>
                <w:b/>
                <w:spacing w:val="-3"/>
                <w:sz w:val="18"/>
              </w:rPr>
              <w:t> </w:t>
            </w:r>
            <w:r>
              <w:rPr>
                <w:b/>
                <w:sz w:val="18"/>
              </w:rPr>
              <w:t>e</w:t>
            </w:r>
            <w:r>
              <w:rPr>
                <w:b/>
                <w:spacing w:val="-2"/>
                <w:sz w:val="18"/>
              </w:rPr>
              <w:t> </w:t>
            </w:r>
            <w:r>
              <w:rPr>
                <w:b/>
                <w:sz w:val="18"/>
              </w:rPr>
              <w:t>implementada</w:t>
            </w:r>
            <w:r>
              <w:rPr>
                <w:b/>
                <w:spacing w:val="-2"/>
                <w:sz w:val="18"/>
              </w:rPr>
              <w:t> </w:t>
            </w:r>
            <w:r>
              <w:rPr>
                <w:b/>
                <w:sz w:val="18"/>
              </w:rPr>
              <w:t>para promover</w:t>
            </w:r>
            <w:r>
              <w:rPr>
                <w:b/>
                <w:spacing w:val="-5"/>
                <w:sz w:val="18"/>
              </w:rPr>
              <w:t> </w:t>
            </w:r>
            <w:r>
              <w:rPr>
                <w:b/>
                <w:sz w:val="18"/>
              </w:rPr>
              <w:t>la conciliación de</w:t>
            </w:r>
            <w:r>
              <w:rPr>
                <w:b/>
                <w:spacing w:val="-7"/>
                <w:sz w:val="18"/>
              </w:rPr>
              <w:t> </w:t>
            </w:r>
            <w:r>
              <w:rPr>
                <w:b/>
                <w:sz w:val="18"/>
              </w:rPr>
              <w:t>la vida</w:t>
            </w:r>
            <w:r>
              <w:rPr>
                <w:b/>
                <w:spacing w:val="-2"/>
                <w:sz w:val="18"/>
              </w:rPr>
              <w:t> </w:t>
            </w:r>
            <w:r>
              <w:rPr>
                <w:b/>
                <w:sz w:val="18"/>
              </w:rPr>
              <w:t>personal, familiar</w:t>
            </w:r>
            <w:r>
              <w:rPr>
                <w:b/>
                <w:spacing w:val="-1"/>
                <w:sz w:val="18"/>
              </w:rPr>
              <w:t> </w:t>
            </w:r>
            <w:r>
              <w:rPr>
                <w:b/>
                <w:sz w:val="18"/>
              </w:rPr>
              <w:t>y</w:t>
            </w:r>
            <w:r>
              <w:rPr>
                <w:b/>
                <w:spacing w:val="-2"/>
                <w:sz w:val="18"/>
              </w:rPr>
              <w:t> </w:t>
            </w:r>
            <w:r>
              <w:rPr>
                <w:b/>
                <w:sz w:val="18"/>
              </w:rPr>
              <w:t>laboral de</w:t>
            </w:r>
            <w:r>
              <w:rPr>
                <w:b/>
                <w:spacing w:val="-7"/>
                <w:sz w:val="18"/>
              </w:rPr>
              <w:t> </w:t>
            </w:r>
            <w:r>
              <w:rPr>
                <w:b/>
                <w:sz w:val="18"/>
              </w:rPr>
              <w:t>las</w:t>
            </w:r>
            <w:r>
              <w:rPr>
                <w:b/>
                <w:spacing w:val="-2"/>
                <w:sz w:val="18"/>
              </w:rPr>
              <w:t> </w:t>
            </w:r>
            <w:r>
              <w:rPr>
                <w:b/>
                <w:sz w:val="18"/>
              </w:rPr>
              <w:t>personas funcionarias de la institución E6 AE8 R1 (meta programada 60%)</w:t>
            </w:r>
          </w:p>
        </w:tc>
      </w:tr>
      <w:tr>
        <w:trPr>
          <w:trHeight w:val="1867" w:hRule="atLeast"/>
        </w:trPr>
        <w:tc>
          <w:tcPr>
            <w:tcW w:w="2833" w:type="dxa"/>
          </w:tcPr>
          <w:p>
            <w:pPr>
              <w:pStyle w:val="TableParagraph"/>
              <w:spacing w:before="3"/>
              <w:ind w:left="72" w:right="85"/>
              <w:rPr>
                <w:sz w:val="18"/>
              </w:rPr>
            </w:pPr>
            <w:r>
              <w:rPr>
                <w:b/>
                <w:sz w:val="18"/>
              </w:rPr>
              <w:t>Producto PAC 2.13.1: </w:t>
            </w:r>
            <w:r>
              <w:rPr>
                <w:sz w:val="18"/>
              </w:rPr>
              <w:t>Sistematización</w:t>
            </w:r>
            <w:r>
              <w:rPr>
                <w:spacing w:val="-13"/>
                <w:sz w:val="18"/>
              </w:rPr>
              <w:t> </w:t>
            </w:r>
            <w:r>
              <w:rPr>
                <w:sz w:val="18"/>
              </w:rPr>
              <w:t>de</w:t>
            </w:r>
            <w:r>
              <w:rPr>
                <w:spacing w:val="-12"/>
                <w:sz w:val="18"/>
              </w:rPr>
              <w:t> </w:t>
            </w:r>
            <w:r>
              <w:rPr>
                <w:sz w:val="18"/>
              </w:rPr>
              <w:t>la</w:t>
            </w:r>
            <w:r>
              <w:rPr>
                <w:spacing w:val="-11"/>
                <w:sz w:val="18"/>
              </w:rPr>
              <w:t> </w:t>
            </w:r>
            <w:r>
              <w:rPr>
                <w:sz w:val="18"/>
              </w:rPr>
              <w:t>información recopilada a partir de los</w:t>
            </w:r>
            <w:r>
              <w:rPr>
                <w:spacing w:val="40"/>
                <w:sz w:val="18"/>
              </w:rPr>
              <w:t> </w:t>
            </w:r>
            <w:r>
              <w:rPr>
                <w:sz w:val="18"/>
              </w:rPr>
              <w:t>insumos obtenidos (revisión bibliográfica, revisión de la normativa, consulta sobre</w:t>
            </w:r>
            <w:r>
              <w:rPr>
                <w:spacing w:val="40"/>
                <w:sz w:val="18"/>
              </w:rPr>
              <w:t> </w:t>
            </w:r>
            <w:r>
              <w:rPr>
                <w:sz w:val="18"/>
              </w:rPr>
              <w:t>buenas prácticas de otras instituciones, resultados de los</w:t>
            </w:r>
          </w:p>
          <w:p>
            <w:pPr>
              <w:pStyle w:val="TableParagraph"/>
              <w:spacing w:line="187" w:lineRule="exact" w:before="2"/>
              <w:ind w:left="72"/>
              <w:rPr>
                <w:sz w:val="18"/>
              </w:rPr>
            </w:pPr>
            <w:r>
              <w:rPr>
                <w:sz w:val="18"/>
              </w:rPr>
              <w:t>grupos</w:t>
            </w:r>
            <w:r>
              <w:rPr>
                <w:spacing w:val="-5"/>
                <w:sz w:val="18"/>
              </w:rPr>
              <w:t> </w:t>
            </w:r>
            <w:r>
              <w:rPr>
                <w:spacing w:val="-2"/>
                <w:sz w:val="18"/>
              </w:rPr>
              <w:t>focales)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1" w:right="20"/>
              <w:jc w:val="center"/>
              <w:rPr>
                <w:sz w:val="18"/>
              </w:rPr>
            </w:pPr>
            <w:r>
              <w:rPr>
                <w:spacing w:val="-10"/>
                <w:sz w:val="18"/>
              </w:rPr>
              <w:t>0</w:t>
            </w:r>
          </w:p>
        </w:tc>
        <w:tc>
          <w:tcPr>
            <w:tcW w:w="1983"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14" w:right="5"/>
              <w:jc w:val="center"/>
              <w:rPr>
                <w:sz w:val="18"/>
              </w:rPr>
            </w:pPr>
            <w:r>
              <w:rPr>
                <w:spacing w:val="-4"/>
                <w:sz w:val="18"/>
              </w:rPr>
              <w:t>100%</w:t>
            </w:r>
          </w:p>
        </w:tc>
        <w:tc>
          <w:tcPr>
            <w:tcW w:w="142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2" w:right="213"/>
              <w:jc w:val="both"/>
              <w:rPr>
                <w:sz w:val="18"/>
              </w:rPr>
            </w:pPr>
            <w:r>
              <w:rPr>
                <w:sz w:val="18"/>
              </w:rPr>
              <w:t>Porcentaje</w:t>
            </w:r>
            <w:r>
              <w:rPr>
                <w:spacing w:val="-13"/>
                <w:sz w:val="18"/>
              </w:rPr>
              <w:t> </w:t>
            </w:r>
            <w:r>
              <w:rPr>
                <w:sz w:val="18"/>
              </w:rPr>
              <w:t>de la</w:t>
            </w:r>
            <w:r>
              <w:rPr>
                <w:spacing w:val="-13"/>
                <w:sz w:val="18"/>
              </w:rPr>
              <w:t> </w:t>
            </w:r>
            <w:r>
              <w:rPr>
                <w:sz w:val="18"/>
              </w:rPr>
              <w:t>información </w:t>
            </w:r>
            <w:r>
              <w:rPr>
                <w:spacing w:val="-2"/>
                <w:sz w:val="18"/>
              </w:rPr>
              <w:t>sistematizada</w:t>
            </w:r>
          </w:p>
        </w:tc>
        <w:tc>
          <w:tcPr>
            <w:tcW w:w="1839"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67"/>
              <w:rPr>
                <w:sz w:val="18"/>
              </w:rPr>
            </w:pPr>
            <w:r>
              <w:rPr>
                <w:sz w:val="18"/>
              </w:rPr>
              <w:t>Oficios</w:t>
            </w:r>
            <w:r>
              <w:rPr>
                <w:spacing w:val="-8"/>
                <w:sz w:val="18"/>
              </w:rPr>
              <w:t> </w:t>
            </w:r>
            <w:r>
              <w:rPr>
                <w:spacing w:val="-2"/>
                <w:sz w:val="18"/>
              </w:rPr>
              <w:t>remitidos</w:t>
            </w:r>
          </w:p>
        </w:tc>
        <w:tc>
          <w:tcPr>
            <w:tcW w:w="1278" w:type="dxa"/>
          </w:tcPr>
          <w:p>
            <w:pPr>
              <w:pStyle w:val="TableParagraph"/>
              <w:rPr>
                <w:b/>
                <w:sz w:val="18"/>
              </w:rPr>
            </w:pPr>
          </w:p>
          <w:p>
            <w:pPr>
              <w:pStyle w:val="TableParagraph"/>
              <w:rPr>
                <w:b/>
                <w:sz w:val="18"/>
              </w:rPr>
            </w:pPr>
          </w:p>
          <w:p>
            <w:pPr>
              <w:pStyle w:val="TableParagraph"/>
              <w:spacing w:before="103"/>
              <w:rPr>
                <w:b/>
                <w:sz w:val="18"/>
              </w:rPr>
            </w:pPr>
          </w:p>
          <w:p>
            <w:pPr>
              <w:pStyle w:val="TableParagraph"/>
              <w:spacing w:line="244" w:lineRule="auto"/>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val="restart"/>
          </w:tcPr>
          <w:p>
            <w:pPr>
              <w:pStyle w:val="TableParagraph"/>
              <w:spacing w:before="8"/>
              <w:ind w:left="74" w:right="76"/>
              <w:rPr>
                <w:sz w:val="18"/>
              </w:rPr>
            </w:pPr>
            <w:r>
              <w:rPr>
                <w:sz w:val="18"/>
              </w:rPr>
              <w:t>Evento: Política y</w:t>
            </w:r>
            <w:r>
              <w:rPr>
                <w:spacing w:val="-15"/>
                <w:sz w:val="18"/>
              </w:rPr>
              <w:t> </w:t>
            </w:r>
            <w:r>
              <w:rPr>
                <w:sz w:val="18"/>
              </w:rPr>
              <w:t>plan</w:t>
            </w:r>
            <w:r>
              <w:rPr>
                <w:spacing w:val="-12"/>
                <w:sz w:val="18"/>
              </w:rPr>
              <w:t> </w:t>
            </w:r>
            <w:r>
              <w:rPr>
                <w:sz w:val="18"/>
              </w:rPr>
              <w:t>elaborado sin las acciones necesarias para </w:t>
            </w:r>
            <w:r>
              <w:rPr>
                <w:spacing w:val="-6"/>
                <w:sz w:val="18"/>
              </w:rPr>
              <w:t>la </w:t>
            </w:r>
            <w:r>
              <w:rPr>
                <w:spacing w:val="-2"/>
                <w:sz w:val="18"/>
              </w:rPr>
              <w:t>implementación </w:t>
            </w:r>
            <w:r>
              <w:rPr>
                <w:sz w:val="18"/>
              </w:rPr>
              <w:t>de la</w:t>
            </w:r>
            <w:r>
              <w:rPr>
                <w:spacing w:val="40"/>
                <w:sz w:val="18"/>
              </w:rPr>
              <w:t> </w:t>
            </w:r>
            <w:r>
              <w:rPr>
                <w:sz w:val="18"/>
              </w:rPr>
              <w:t>conciliación de</w:t>
            </w:r>
            <w:r>
              <w:rPr>
                <w:spacing w:val="40"/>
                <w:sz w:val="18"/>
              </w:rPr>
              <w:t> </w:t>
            </w:r>
            <w:r>
              <w:rPr>
                <w:sz w:val="18"/>
              </w:rPr>
              <w:t>la</w:t>
            </w:r>
            <w:r>
              <w:rPr>
                <w:spacing w:val="-7"/>
                <w:sz w:val="18"/>
              </w:rPr>
              <w:t> </w:t>
            </w:r>
            <w:r>
              <w:rPr>
                <w:sz w:val="18"/>
              </w:rPr>
              <w:t>vida</w:t>
            </w:r>
            <w:r>
              <w:rPr>
                <w:spacing w:val="-7"/>
                <w:sz w:val="18"/>
              </w:rPr>
              <w:t> </w:t>
            </w:r>
            <w:r>
              <w:rPr>
                <w:sz w:val="18"/>
              </w:rPr>
              <w:t>personal, familiar</w:t>
            </w:r>
            <w:r>
              <w:rPr>
                <w:spacing w:val="-6"/>
                <w:sz w:val="18"/>
              </w:rPr>
              <w:t> </w:t>
            </w:r>
            <w:r>
              <w:rPr>
                <w:sz w:val="18"/>
              </w:rPr>
              <w:t>y</w:t>
            </w:r>
            <w:r>
              <w:rPr>
                <w:spacing w:val="-8"/>
                <w:sz w:val="18"/>
              </w:rPr>
              <w:t> </w:t>
            </w:r>
            <w:r>
              <w:rPr>
                <w:sz w:val="18"/>
              </w:rPr>
              <w:t>laboral de las personas funcionarias de</w:t>
            </w:r>
          </w:p>
          <w:p>
            <w:pPr>
              <w:pStyle w:val="TableParagraph"/>
              <w:spacing w:line="191" w:lineRule="exact"/>
              <w:ind w:left="74"/>
              <w:rPr>
                <w:sz w:val="18"/>
              </w:rPr>
            </w:pPr>
            <w:r>
              <w:rPr>
                <w:sz w:val="18"/>
              </w:rPr>
              <w:t>la</w:t>
            </w:r>
            <w:r>
              <w:rPr>
                <w:spacing w:val="-1"/>
                <w:sz w:val="18"/>
              </w:rPr>
              <w:t> </w:t>
            </w:r>
            <w:r>
              <w:rPr>
                <w:spacing w:val="-2"/>
                <w:sz w:val="18"/>
              </w:rPr>
              <w:t>institución.</w:t>
            </w:r>
          </w:p>
        </w:tc>
      </w:tr>
      <w:tr>
        <w:trPr>
          <w:trHeight w:val="825" w:hRule="atLeast"/>
        </w:trPr>
        <w:tc>
          <w:tcPr>
            <w:tcW w:w="2833" w:type="dxa"/>
          </w:tcPr>
          <w:p>
            <w:pPr>
              <w:pStyle w:val="TableParagraph"/>
              <w:spacing w:line="242" w:lineRule="auto" w:before="99"/>
              <w:ind w:left="72" w:right="119"/>
              <w:rPr>
                <w:sz w:val="18"/>
              </w:rPr>
            </w:pPr>
            <w:r>
              <w:rPr>
                <w:b/>
                <w:sz w:val="18"/>
              </w:rPr>
              <w:t>Producto PAC 2.13.2: </w:t>
            </w:r>
            <w:r>
              <w:rPr>
                <w:sz w:val="18"/>
              </w:rPr>
              <w:t>Redacción</w:t>
            </w:r>
            <w:r>
              <w:rPr>
                <w:spacing w:val="-11"/>
                <w:sz w:val="18"/>
              </w:rPr>
              <w:t> </w:t>
            </w:r>
            <w:r>
              <w:rPr>
                <w:sz w:val="18"/>
              </w:rPr>
              <w:t>y</w:t>
            </w:r>
            <w:r>
              <w:rPr>
                <w:spacing w:val="-7"/>
                <w:sz w:val="18"/>
              </w:rPr>
              <w:t> </w:t>
            </w:r>
            <w:r>
              <w:rPr>
                <w:sz w:val="18"/>
              </w:rPr>
              <w:t>aprobación</w:t>
            </w:r>
            <w:r>
              <w:rPr>
                <w:spacing w:val="-8"/>
                <w:sz w:val="18"/>
              </w:rPr>
              <w:t> </w:t>
            </w:r>
            <w:r>
              <w:rPr>
                <w:sz w:val="18"/>
              </w:rPr>
              <w:t>de</w:t>
            </w:r>
            <w:r>
              <w:rPr>
                <w:spacing w:val="-8"/>
                <w:sz w:val="18"/>
              </w:rPr>
              <w:t> </w:t>
            </w:r>
            <w:r>
              <w:rPr>
                <w:sz w:val="18"/>
              </w:rPr>
              <w:t>la </w:t>
            </w:r>
            <w:r>
              <w:rPr>
                <w:spacing w:val="-2"/>
                <w:sz w:val="18"/>
              </w:rPr>
              <w:t>política</w:t>
            </w:r>
          </w:p>
        </w:tc>
        <w:tc>
          <w:tcPr>
            <w:tcW w:w="1560" w:type="dxa"/>
          </w:tcPr>
          <w:p>
            <w:pPr>
              <w:pStyle w:val="TableParagraph"/>
              <w:spacing w:before="99"/>
              <w:rPr>
                <w:b/>
                <w:sz w:val="18"/>
              </w:rPr>
            </w:pPr>
          </w:p>
          <w:p>
            <w:pPr>
              <w:pStyle w:val="TableParagraph"/>
              <w:ind w:left="21" w:right="20"/>
              <w:jc w:val="center"/>
              <w:rPr>
                <w:sz w:val="18"/>
              </w:rPr>
            </w:pPr>
            <w:r>
              <w:rPr>
                <w:spacing w:val="-10"/>
                <w:sz w:val="18"/>
              </w:rPr>
              <w:t>0</w:t>
            </w:r>
          </w:p>
        </w:tc>
        <w:tc>
          <w:tcPr>
            <w:tcW w:w="1983" w:type="dxa"/>
          </w:tcPr>
          <w:p>
            <w:pPr>
              <w:pStyle w:val="TableParagraph"/>
              <w:spacing w:before="99"/>
              <w:rPr>
                <w:b/>
                <w:sz w:val="18"/>
              </w:rPr>
            </w:pPr>
          </w:p>
          <w:p>
            <w:pPr>
              <w:pStyle w:val="TableParagraph"/>
              <w:ind w:left="14" w:right="5"/>
              <w:jc w:val="center"/>
              <w:rPr>
                <w:sz w:val="18"/>
              </w:rPr>
            </w:pPr>
            <w:r>
              <w:rPr>
                <w:spacing w:val="-4"/>
                <w:sz w:val="18"/>
              </w:rPr>
              <w:t>100%</w:t>
            </w:r>
          </w:p>
        </w:tc>
        <w:tc>
          <w:tcPr>
            <w:tcW w:w="1421" w:type="dxa"/>
          </w:tcPr>
          <w:p>
            <w:pPr>
              <w:pStyle w:val="TableParagraph"/>
              <w:spacing w:line="206" w:lineRule="exact"/>
              <w:ind w:left="72" w:right="221"/>
              <w:rPr>
                <w:sz w:val="18"/>
              </w:rPr>
            </w:pPr>
            <w:r>
              <w:rPr>
                <w:sz w:val="18"/>
              </w:rPr>
              <w:t>Porcentaje</w:t>
            </w:r>
            <w:r>
              <w:rPr>
                <w:spacing w:val="-13"/>
                <w:sz w:val="18"/>
              </w:rPr>
              <w:t> </w:t>
            </w:r>
            <w:r>
              <w:rPr>
                <w:sz w:val="18"/>
              </w:rPr>
              <w:t>de la política redactada y </w:t>
            </w:r>
            <w:r>
              <w:rPr>
                <w:spacing w:val="-2"/>
                <w:sz w:val="18"/>
              </w:rPr>
              <w:t>aprobada</w:t>
            </w:r>
          </w:p>
        </w:tc>
        <w:tc>
          <w:tcPr>
            <w:tcW w:w="1839" w:type="dxa"/>
          </w:tcPr>
          <w:p>
            <w:pPr>
              <w:pStyle w:val="TableParagraph"/>
              <w:spacing w:before="99"/>
              <w:rPr>
                <w:b/>
                <w:sz w:val="18"/>
              </w:rPr>
            </w:pPr>
          </w:p>
          <w:p>
            <w:pPr>
              <w:pStyle w:val="TableParagraph"/>
              <w:ind w:left="67"/>
              <w:rPr>
                <w:sz w:val="18"/>
              </w:rPr>
            </w:pPr>
            <w:r>
              <w:rPr>
                <w:spacing w:val="-2"/>
                <w:sz w:val="18"/>
              </w:rPr>
              <w:t>Política</w:t>
            </w:r>
          </w:p>
        </w:tc>
        <w:tc>
          <w:tcPr>
            <w:tcW w:w="1278" w:type="dxa"/>
          </w:tcPr>
          <w:p>
            <w:pPr>
              <w:pStyle w:val="TableParagraph"/>
              <w:spacing w:before="205"/>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tcBorders>
              <w:top w:val="nil"/>
            </w:tcBorders>
          </w:tcPr>
          <w:p>
            <w:pPr>
              <w:rPr>
                <w:sz w:val="2"/>
                <w:szCs w:val="2"/>
              </w:rPr>
            </w:pPr>
          </w:p>
        </w:tc>
      </w:tr>
      <w:tr>
        <w:trPr>
          <w:trHeight w:val="547" w:hRule="atLeast"/>
        </w:trPr>
        <w:tc>
          <w:tcPr>
            <w:tcW w:w="14253" w:type="dxa"/>
            <w:gridSpan w:val="8"/>
            <w:shd w:val="clear" w:color="auto" w:fill="EFF8F9"/>
          </w:tcPr>
          <w:p>
            <w:pPr>
              <w:pStyle w:val="TableParagraph"/>
              <w:spacing w:before="167"/>
              <w:ind w:left="72"/>
              <w:rPr>
                <w:b/>
                <w:sz w:val="18"/>
              </w:rPr>
            </w:pPr>
            <w:r>
              <w:rPr>
                <w:b/>
                <w:sz w:val="18"/>
              </w:rPr>
              <w:t>Producto</w:t>
            </w:r>
            <w:r>
              <w:rPr>
                <w:b/>
                <w:spacing w:val="-8"/>
                <w:sz w:val="18"/>
              </w:rPr>
              <w:t> </w:t>
            </w:r>
            <w:r>
              <w:rPr>
                <w:b/>
                <w:sz w:val="18"/>
              </w:rPr>
              <w:t>PAC</w:t>
            </w:r>
            <w:r>
              <w:rPr>
                <w:b/>
                <w:spacing w:val="-8"/>
                <w:sz w:val="18"/>
              </w:rPr>
              <w:t> </w:t>
            </w:r>
            <w:r>
              <w:rPr>
                <w:b/>
                <w:sz w:val="18"/>
              </w:rPr>
              <w:t>2.14:</w:t>
            </w:r>
            <w:r>
              <w:rPr>
                <w:b/>
                <w:spacing w:val="-4"/>
                <w:sz w:val="18"/>
              </w:rPr>
              <w:t> </w:t>
            </w:r>
            <w:r>
              <w:rPr>
                <w:b/>
                <w:sz w:val="18"/>
              </w:rPr>
              <w:t>Elaborar</w:t>
            </w:r>
            <w:r>
              <w:rPr>
                <w:b/>
                <w:spacing w:val="-5"/>
                <w:sz w:val="18"/>
              </w:rPr>
              <w:t> </w:t>
            </w:r>
            <w:r>
              <w:rPr>
                <w:b/>
                <w:sz w:val="18"/>
              </w:rPr>
              <w:t>y/o</w:t>
            </w:r>
            <w:r>
              <w:rPr>
                <w:b/>
                <w:spacing w:val="-7"/>
                <w:sz w:val="18"/>
              </w:rPr>
              <w:t> </w:t>
            </w:r>
            <w:r>
              <w:rPr>
                <w:b/>
                <w:sz w:val="18"/>
              </w:rPr>
              <w:t>actualizar</w:t>
            </w:r>
            <w:r>
              <w:rPr>
                <w:b/>
                <w:spacing w:val="-5"/>
                <w:sz w:val="18"/>
              </w:rPr>
              <w:t> </w:t>
            </w:r>
            <w:r>
              <w:rPr>
                <w:b/>
                <w:sz w:val="18"/>
              </w:rPr>
              <w:t>normativa</w:t>
            </w:r>
            <w:r>
              <w:rPr>
                <w:b/>
                <w:spacing w:val="-6"/>
                <w:sz w:val="18"/>
              </w:rPr>
              <w:t> </w:t>
            </w:r>
            <w:r>
              <w:rPr>
                <w:b/>
                <w:sz w:val="18"/>
              </w:rPr>
              <w:t>de</w:t>
            </w:r>
            <w:r>
              <w:rPr>
                <w:b/>
                <w:spacing w:val="-6"/>
                <w:sz w:val="18"/>
              </w:rPr>
              <w:t> </w:t>
            </w:r>
            <w:r>
              <w:rPr>
                <w:b/>
                <w:sz w:val="18"/>
              </w:rPr>
              <w:t>Desarrollo</w:t>
            </w:r>
            <w:r>
              <w:rPr>
                <w:b/>
                <w:spacing w:val="-3"/>
                <w:sz w:val="18"/>
              </w:rPr>
              <w:t> </w:t>
            </w:r>
            <w:r>
              <w:rPr>
                <w:b/>
                <w:spacing w:val="-2"/>
                <w:sz w:val="18"/>
              </w:rPr>
              <w:t>Humano</w:t>
            </w:r>
          </w:p>
        </w:tc>
      </w:tr>
      <w:tr>
        <w:trPr>
          <w:trHeight w:val="825" w:hRule="atLeast"/>
        </w:trPr>
        <w:tc>
          <w:tcPr>
            <w:tcW w:w="2833" w:type="dxa"/>
          </w:tcPr>
          <w:p>
            <w:pPr>
              <w:pStyle w:val="TableParagraph"/>
              <w:spacing w:line="206" w:lineRule="exact"/>
              <w:ind w:left="72" w:right="87"/>
              <w:rPr>
                <w:sz w:val="18"/>
              </w:rPr>
            </w:pPr>
            <w:r>
              <w:rPr>
                <w:b/>
                <w:sz w:val="18"/>
              </w:rPr>
              <w:t>Producto</w:t>
            </w:r>
            <w:r>
              <w:rPr>
                <w:b/>
                <w:spacing w:val="-15"/>
                <w:sz w:val="18"/>
              </w:rPr>
              <w:t> </w:t>
            </w:r>
            <w:r>
              <w:rPr>
                <w:b/>
                <w:sz w:val="18"/>
              </w:rPr>
              <w:t>PAC</w:t>
            </w:r>
            <w:r>
              <w:rPr>
                <w:b/>
                <w:spacing w:val="-12"/>
                <w:sz w:val="18"/>
              </w:rPr>
              <w:t> </w:t>
            </w:r>
            <w:r>
              <w:rPr>
                <w:b/>
                <w:sz w:val="18"/>
              </w:rPr>
              <w:t>2.14.1:</w:t>
            </w:r>
            <w:r>
              <w:rPr>
                <w:b/>
                <w:spacing w:val="-11"/>
                <w:sz w:val="18"/>
              </w:rPr>
              <w:t> </w:t>
            </w:r>
            <w:r>
              <w:rPr>
                <w:sz w:val="18"/>
              </w:rPr>
              <w:t>Identificar la normativa que se debe elaborar o actualizar en Desarrollo Humano</w:t>
            </w:r>
          </w:p>
        </w:tc>
        <w:tc>
          <w:tcPr>
            <w:tcW w:w="1560" w:type="dxa"/>
          </w:tcPr>
          <w:p>
            <w:pPr>
              <w:pStyle w:val="TableParagraph"/>
              <w:spacing w:before="99"/>
              <w:rPr>
                <w:b/>
                <w:sz w:val="18"/>
              </w:rPr>
            </w:pPr>
          </w:p>
          <w:p>
            <w:pPr>
              <w:pStyle w:val="TableParagraph"/>
              <w:ind w:left="21" w:right="20"/>
              <w:jc w:val="center"/>
              <w:rPr>
                <w:sz w:val="18"/>
              </w:rPr>
            </w:pPr>
            <w:r>
              <w:rPr>
                <w:spacing w:val="-10"/>
                <w:sz w:val="18"/>
              </w:rPr>
              <w:t>0</w:t>
            </w:r>
          </w:p>
        </w:tc>
        <w:tc>
          <w:tcPr>
            <w:tcW w:w="1983" w:type="dxa"/>
          </w:tcPr>
          <w:p>
            <w:pPr>
              <w:pStyle w:val="TableParagraph"/>
              <w:spacing w:before="99"/>
              <w:rPr>
                <w:b/>
                <w:sz w:val="18"/>
              </w:rPr>
            </w:pPr>
          </w:p>
          <w:p>
            <w:pPr>
              <w:pStyle w:val="TableParagraph"/>
              <w:ind w:left="14" w:right="12"/>
              <w:jc w:val="center"/>
              <w:rPr>
                <w:sz w:val="18"/>
              </w:rPr>
            </w:pPr>
            <w:r>
              <w:rPr>
                <w:spacing w:val="-10"/>
                <w:sz w:val="18"/>
              </w:rPr>
              <w:t>4</w:t>
            </w:r>
          </w:p>
        </w:tc>
        <w:tc>
          <w:tcPr>
            <w:tcW w:w="1421" w:type="dxa"/>
          </w:tcPr>
          <w:p>
            <w:pPr>
              <w:pStyle w:val="TableParagraph"/>
              <w:spacing w:line="242" w:lineRule="auto" w:before="99"/>
              <w:ind w:left="72"/>
              <w:rPr>
                <w:sz w:val="18"/>
              </w:rPr>
            </w:pPr>
            <w:r>
              <w:rPr>
                <w:sz w:val="18"/>
              </w:rPr>
              <w:t>Cantidad</w:t>
            </w:r>
            <w:r>
              <w:rPr>
                <w:spacing w:val="-15"/>
                <w:sz w:val="18"/>
              </w:rPr>
              <w:t> </w:t>
            </w:r>
            <w:r>
              <w:rPr>
                <w:sz w:val="18"/>
              </w:rPr>
              <w:t>de</w:t>
            </w:r>
            <w:r>
              <w:rPr>
                <w:spacing w:val="-12"/>
                <w:sz w:val="18"/>
              </w:rPr>
              <w:t> </w:t>
            </w:r>
            <w:r>
              <w:rPr>
                <w:sz w:val="18"/>
              </w:rPr>
              <w:t>la </w:t>
            </w:r>
            <w:r>
              <w:rPr>
                <w:spacing w:val="-2"/>
                <w:sz w:val="18"/>
              </w:rPr>
              <w:t>normativa identificada</w:t>
            </w:r>
          </w:p>
        </w:tc>
        <w:tc>
          <w:tcPr>
            <w:tcW w:w="1839" w:type="dxa"/>
          </w:tcPr>
          <w:p>
            <w:pPr>
              <w:pStyle w:val="TableParagraph"/>
              <w:spacing w:line="242" w:lineRule="auto" w:before="99"/>
              <w:ind w:left="67" w:right="123"/>
              <w:rPr>
                <w:sz w:val="18"/>
              </w:rPr>
            </w:pPr>
            <w:r>
              <w:rPr>
                <w:sz w:val="18"/>
              </w:rPr>
              <w:t>Listado</w:t>
            </w:r>
            <w:r>
              <w:rPr>
                <w:spacing w:val="-15"/>
                <w:sz w:val="18"/>
              </w:rPr>
              <w:t> </w:t>
            </w:r>
            <w:r>
              <w:rPr>
                <w:sz w:val="18"/>
              </w:rPr>
              <w:t>de</w:t>
            </w:r>
            <w:r>
              <w:rPr>
                <w:spacing w:val="-12"/>
                <w:sz w:val="18"/>
              </w:rPr>
              <w:t> </w:t>
            </w:r>
            <w:r>
              <w:rPr>
                <w:sz w:val="18"/>
              </w:rPr>
              <w:t>la </w:t>
            </w:r>
            <w:r>
              <w:rPr>
                <w:spacing w:val="-2"/>
                <w:sz w:val="18"/>
              </w:rPr>
              <w:t>normativa identificada</w:t>
            </w:r>
          </w:p>
        </w:tc>
        <w:tc>
          <w:tcPr>
            <w:tcW w:w="1278" w:type="dxa"/>
          </w:tcPr>
          <w:p>
            <w:pPr>
              <w:pStyle w:val="TableParagraph"/>
              <w:spacing w:before="205"/>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val="restart"/>
          </w:tcPr>
          <w:p>
            <w:pPr>
              <w:pStyle w:val="TableParagraph"/>
              <w:spacing w:before="103"/>
              <w:rPr>
                <w:b/>
                <w:sz w:val="18"/>
              </w:rPr>
            </w:pPr>
          </w:p>
          <w:p>
            <w:pPr>
              <w:pStyle w:val="TableParagraph"/>
              <w:spacing w:before="1"/>
              <w:ind w:left="74" w:right="124"/>
              <w:rPr>
                <w:sz w:val="18"/>
              </w:rPr>
            </w:pPr>
            <w:r>
              <w:rPr>
                <w:spacing w:val="-2"/>
                <w:sz w:val="18"/>
              </w:rPr>
              <w:t>Evento: Normativa institucional desactualizada </w:t>
            </w:r>
            <w:r>
              <w:rPr>
                <w:sz w:val="18"/>
              </w:rPr>
              <w:t>en temas de planes de carrera y </w:t>
            </w:r>
            <w:r>
              <w:rPr>
                <w:spacing w:val="-2"/>
                <w:sz w:val="18"/>
              </w:rPr>
              <w:t>sucesión</w:t>
            </w:r>
          </w:p>
        </w:tc>
      </w:tr>
      <w:tr>
        <w:trPr>
          <w:trHeight w:val="1450" w:hRule="atLeast"/>
        </w:trPr>
        <w:tc>
          <w:tcPr>
            <w:tcW w:w="2833" w:type="dxa"/>
          </w:tcPr>
          <w:p>
            <w:pPr>
              <w:pStyle w:val="TableParagraph"/>
              <w:rPr>
                <w:b/>
                <w:sz w:val="18"/>
              </w:rPr>
            </w:pPr>
          </w:p>
          <w:p>
            <w:pPr>
              <w:pStyle w:val="TableParagraph"/>
              <w:spacing w:before="3"/>
              <w:rPr>
                <w:b/>
                <w:sz w:val="18"/>
              </w:rPr>
            </w:pPr>
          </w:p>
          <w:p>
            <w:pPr>
              <w:pStyle w:val="TableParagraph"/>
              <w:ind w:left="72" w:right="119"/>
              <w:rPr>
                <w:sz w:val="18"/>
              </w:rPr>
            </w:pPr>
            <w:r>
              <w:rPr>
                <w:b/>
                <w:sz w:val="18"/>
              </w:rPr>
              <w:t>Producto</w:t>
            </w:r>
            <w:r>
              <w:rPr>
                <w:b/>
                <w:spacing w:val="-13"/>
                <w:sz w:val="18"/>
              </w:rPr>
              <w:t> </w:t>
            </w:r>
            <w:r>
              <w:rPr>
                <w:b/>
                <w:sz w:val="18"/>
              </w:rPr>
              <w:t>PAC</w:t>
            </w:r>
            <w:r>
              <w:rPr>
                <w:b/>
                <w:spacing w:val="-12"/>
                <w:sz w:val="18"/>
              </w:rPr>
              <w:t> </w:t>
            </w:r>
            <w:r>
              <w:rPr>
                <w:b/>
                <w:sz w:val="18"/>
              </w:rPr>
              <w:t>2.14.2:</w:t>
            </w:r>
            <w:r>
              <w:rPr>
                <w:b/>
                <w:spacing w:val="-11"/>
                <w:sz w:val="18"/>
              </w:rPr>
              <w:t> </w:t>
            </w:r>
            <w:r>
              <w:rPr>
                <w:sz w:val="18"/>
              </w:rPr>
              <w:t>Elaborar y/o actualizar normativa de Desarrollo Humano identificada</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20"/>
              <w:jc w:val="center"/>
              <w:rPr>
                <w:sz w:val="18"/>
              </w:rPr>
            </w:pPr>
            <w:r>
              <w:rPr>
                <w:spacing w:val="-10"/>
                <w:sz w:val="18"/>
              </w:rPr>
              <w:t>0</w:t>
            </w:r>
          </w:p>
        </w:tc>
        <w:tc>
          <w:tcPr>
            <w:tcW w:w="1983"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4" w:right="12"/>
              <w:jc w:val="center"/>
              <w:rPr>
                <w:sz w:val="18"/>
              </w:rPr>
            </w:pPr>
            <w:r>
              <w:rPr>
                <w:spacing w:val="-10"/>
                <w:sz w:val="18"/>
              </w:rPr>
              <w:t>4</w:t>
            </w:r>
          </w:p>
        </w:tc>
        <w:tc>
          <w:tcPr>
            <w:tcW w:w="1421" w:type="dxa"/>
          </w:tcPr>
          <w:p>
            <w:pPr>
              <w:pStyle w:val="TableParagraph"/>
              <w:ind w:left="72"/>
              <w:rPr>
                <w:sz w:val="18"/>
              </w:rPr>
            </w:pPr>
            <w:r>
              <w:rPr>
                <w:sz w:val="18"/>
              </w:rPr>
              <w:t>Cantidad</w:t>
            </w:r>
            <w:r>
              <w:rPr>
                <w:spacing w:val="-15"/>
                <w:sz w:val="18"/>
              </w:rPr>
              <w:t> </w:t>
            </w:r>
            <w:r>
              <w:rPr>
                <w:sz w:val="18"/>
              </w:rPr>
              <w:t>de</w:t>
            </w:r>
            <w:r>
              <w:rPr>
                <w:spacing w:val="-12"/>
                <w:sz w:val="18"/>
              </w:rPr>
              <w:t> </w:t>
            </w:r>
            <w:r>
              <w:rPr>
                <w:sz w:val="18"/>
              </w:rPr>
              <w:t>la </w:t>
            </w:r>
            <w:r>
              <w:rPr>
                <w:spacing w:val="-2"/>
                <w:sz w:val="18"/>
              </w:rPr>
              <w:t>normativa </w:t>
            </w:r>
            <w:r>
              <w:rPr>
                <w:sz w:val="18"/>
              </w:rPr>
              <w:t>elaborada y/o actualizada y remitida a la </w:t>
            </w:r>
            <w:r>
              <w:rPr>
                <w:spacing w:val="-2"/>
                <w:sz w:val="18"/>
              </w:rPr>
              <w:t>Gerencia</w:t>
            </w:r>
          </w:p>
          <w:p>
            <w:pPr>
              <w:pStyle w:val="TableParagraph"/>
              <w:spacing w:line="187" w:lineRule="exact" w:before="1"/>
              <w:ind w:left="72"/>
              <w:rPr>
                <w:sz w:val="18"/>
              </w:rPr>
            </w:pPr>
            <w:r>
              <w:rPr>
                <w:spacing w:val="-2"/>
                <w:sz w:val="18"/>
              </w:rPr>
              <w:t>General</w:t>
            </w:r>
          </w:p>
        </w:tc>
        <w:tc>
          <w:tcPr>
            <w:tcW w:w="1839" w:type="dxa"/>
          </w:tcPr>
          <w:p>
            <w:pPr>
              <w:pStyle w:val="TableParagraph"/>
              <w:spacing w:before="206"/>
              <w:ind w:left="67" w:right="82"/>
              <w:rPr>
                <w:sz w:val="18"/>
              </w:rPr>
            </w:pPr>
            <w:r>
              <w:rPr>
                <w:sz w:val="18"/>
              </w:rPr>
              <w:t>Normativa</w:t>
            </w:r>
            <w:r>
              <w:rPr>
                <w:spacing w:val="-13"/>
                <w:sz w:val="18"/>
              </w:rPr>
              <w:t> </w:t>
            </w:r>
            <w:r>
              <w:rPr>
                <w:sz w:val="18"/>
              </w:rPr>
              <w:t>elaborada y/o actualizada y remitida a la Gerencia General (oficio de remisión)</w:t>
            </w:r>
          </w:p>
        </w:tc>
        <w:tc>
          <w:tcPr>
            <w:tcW w:w="1278" w:type="dxa"/>
          </w:tcPr>
          <w:p>
            <w:pPr>
              <w:pStyle w:val="TableParagraph"/>
              <w:rPr>
                <w:b/>
                <w:sz w:val="18"/>
              </w:rPr>
            </w:pPr>
          </w:p>
          <w:p>
            <w:pPr>
              <w:pStyle w:val="TableParagraph"/>
              <w:spacing w:before="104"/>
              <w:rPr>
                <w:b/>
                <w:sz w:val="18"/>
              </w:rPr>
            </w:pPr>
          </w:p>
          <w:p>
            <w:pPr>
              <w:pStyle w:val="TableParagraph"/>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tcBorders>
              <w:top w:val="nil"/>
            </w:tcBorders>
          </w:tcPr>
          <w:p>
            <w:pPr>
              <w:rPr>
                <w:sz w:val="2"/>
                <w:szCs w:val="2"/>
              </w:rPr>
            </w:pPr>
          </w:p>
        </w:tc>
      </w:tr>
      <w:tr>
        <w:trPr>
          <w:trHeight w:val="604" w:hRule="atLeast"/>
        </w:trPr>
        <w:tc>
          <w:tcPr>
            <w:tcW w:w="14253" w:type="dxa"/>
            <w:gridSpan w:val="8"/>
            <w:shd w:val="clear" w:color="auto" w:fill="EFF8F9"/>
          </w:tcPr>
          <w:p>
            <w:pPr>
              <w:pStyle w:val="TableParagraph"/>
              <w:spacing w:before="200"/>
              <w:ind w:left="72"/>
              <w:rPr>
                <w:b/>
                <w:sz w:val="18"/>
              </w:rPr>
            </w:pPr>
            <w:r>
              <w:rPr>
                <w:b/>
                <w:sz w:val="18"/>
              </w:rPr>
              <w:t>Producto</w:t>
            </w:r>
            <w:r>
              <w:rPr>
                <w:b/>
                <w:spacing w:val="-9"/>
                <w:sz w:val="18"/>
              </w:rPr>
              <w:t> </w:t>
            </w:r>
            <w:r>
              <w:rPr>
                <w:b/>
                <w:sz w:val="18"/>
              </w:rPr>
              <w:t>PAC</w:t>
            </w:r>
            <w:r>
              <w:rPr>
                <w:b/>
                <w:spacing w:val="-9"/>
                <w:sz w:val="18"/>
              </w:rPr>
              <w:t> </w:t>
            </w:r>
            <w:r>
              <w:rPr>
                <w:b/>
                <w:sz w:val="18"/>
              </w:rPr>
              <w:t>2.15:</w:t>
            </w:r>
            <w:r>
              <w:rPr>
                <w:b/>
                <w:spacing w:val="-5"/>
                <w:sz w:val="18"/>
              </w:rPr>
              <w:t> </w:t>
            </w:r>
            <w:r>
              <w:rPr>
                <w:b/>
                <w:sz w:val="18"/>
              </w:rPr>
              <w:t>Desarrollo</w:t>
            </w:r>
            <w:r>
              <w:rPr>
                <w:b/>
                <w:spacing w:val="-8"/>
                <w:sz w:val="18"/>
              </w:rPr>
              <w:t> </w:t>
            </w:r>
            <w:r>
              <w:rPr>
                <w:b/>
                <w:sz w:val="18"/>
              </w:rPr>
              <w:t>de</w:t>
            </w:r>
            <w:r>
              <w:rPr>
                <w:b/>
                <w:spacing w:val="-8"/>
                <w:sz w:val="18"/>
              </w:rPr>
              <w:t> </w:t>
            </w:r>
            <w:r>
              <w:rPr>
                <w:b/>
                <w:sz w:val="18"/>
              </w:rPr>
              <w:t>metodología</w:t>
            </w:r>
            <w:r>
              <w:rPr>
                <w:b/>
                <w:spacing w:val="-3"/>
                <w:sz w:val="18"/>
              </w:rPr>
              <w:t> </w:t>
            </w:r>
            <w:r>
              <w:rPr>
                <w:b/>
                <w:sz w:val="18"/>
              </w:rPr>
              <w:t>de</w:t>
            </w:r>
            <w:r>
              <w:rPr>
                <w:b/>
                <w:spacing w:val="-7"/>
                <w:sz w:val="18"/>
              </w:rPr>
              <w:t> </w:t>
            </w:r>
            <w:r>
              <w:rPr>
                <w:b/>
                <w:sz w:val="18"/>
              </w:rPr>
              <w:t>capacitación</w:t>
            </w:r>
            <w:r>
              <w:rPr>
                <w:b/>
                <w:spacing w:val="-4"/>
                <w:sz w:val="18"/>
              </w:rPr>
              <w:t> </w:t>
            </w:r>
            <w:r>
              <w:rPr>
                <w:b/>
                <w:sz w:val="18"/>
              </w:rPr>
              <w:t>en</w:t>
            </w:r>
            <w:r>
              <w:rPr>
                <w:b/>
                <w:spacing w:val="-8"/>
                <w:sz w:val="18"/>
              </w:rPr>
              <w:t> </w:t>
            </w:r>
            <w:r>
              <w:rPr>
                <w:b/>
                <w:sz w:val="18"/>
              </w:rPr>
              <w:t>gestión</w:t>
            </w:r>
            <w:r>
              <w:rPr>
                <w:b/>
                <w:spacing w:val="-4"/>
                <w:sz w:val="18"/>
              </w:rPr>
              <w:t> </w:t>
            </w:r>
            <w:r>
              <w:rPr>
                <w:b/>
                <w:sz w:val="18"/>
              </w:rPr>
              <w:t>de</w:t>
            </w:r>
            <w:r>
              <w:rPr>
                <w:b/>
                <w:spacing w:val="-3"/>
                <w:sz w:val="18"/>
              </w:rPr>
              <w:t> </w:t>
            </w:r>
            <w:r>
              <w:rPr>
                <w:b/>
                <w:sz w:val="18"/>
              </w:rPr>
              <w:t>proyectos,</w:t>
            </w:r>
            <w:r>
              <w:rPr>
                <w:b/>
                <w:spacing w:val="-6"/>
                <w:sz w:val="18"/>
              </w:rPr>
              <w:t> </w:t>
            </w:r>
            <w:r>
              <w:rPr>
                <w:b/>
                <w:sz w:val="18"/>
              </w:rPr>
              <w:t>valor</w:t>
            </w:r>
            <w:r>
              <w:rPr>
                <w:b/>
                <w:spacing w:val="-6"/>
                <w:sz w:val="18"/>
              </w:rPr>
              <w:t> </w:t>
            </w:r>
            <w:r>
              <w:rPr>
                <w:b/>
                <w:sz w:val="18"/>
              </w:rPr>
              <w:t>público</w:t>
            </w:r>
            <w:r>
              <w:rPr>
                <w:b/>
                <w:spacing w:val="-4"/>
                <w:sz w:val="18"/>
              </w:rPr>
              <w:t> </w:t>
            </w:r>
            <w:r>
              <w:rPr>
                <w:b/>
                <w:sz w:val="18"/>
              </w:rPr>
              <w:t>y</w:t>
            </w:r>
            <w:r>
              <w:rPr>
                <w:b/>
                <w:spacing w:val="-7"/>
                <w:sz w:val="18"/>
              </w:rPr>
              <w:t> </w:t>
            </w:r>
            <w:r>
              <w:rPr>
                <w:b/>
                <w:sz w:val="18"/>
              </w:rPr>
              <w:t>desarrollo</w:t>
            </w:r>
            <w:r>
              <w:rPr>
                <w:b/>
                <w:spacing w:val="-4"/>
                <w:sz w:val="18"/>
              </w:rPr>
              <w:t> </w:t>
            </w:r>
            <w:r>
              <w:rPr>
                <w:b/>
                <w:sz w:val="18"/>
              </w:rPr>
              <w:t>sostenible,</w:t>
            </w:r>
            <w:r>
              <w:rPr>
                <w:b/>
                <w:spacing w:val="6"/>
                <w:sz w:val="18"/>
              </w:rPr>
              <w:t> </w:t>
            </w:r>
            <w:r>
              <w:rPr>
                <w:b/>
                <w:sz w:val="18"/>
              </w:rPr>
              <w:t>evaluación</w:t>
            </w:r>
            <w:r>
              <w:rPr>
                <w:b/>
                <w:spacing w:val="-4"/>
                <w:sz w:val="18"/>
              </w:rPr>
              <w:t> </w:t>
            </w:r>
            <w:r>
              <w:rPr>
                <w:b/>
                <w:sz w:val="18"/>
              </w:rPr>
              <w:t>y</w:t>
            </w:r>
            <w:r>
              <w:rPr>
                <w:b/>
                <w:spacing w:val="-7"/>
                <w:sz w:val="18"/>
              </w:rPr>
              <w:t> </w:t>
            </w:r>
            <w:r>
              <w:rPr>
                <w:b/>
                <w:spacing w:val="-2"/>
                <w:sz w:val="18"/>
              </w:rPr>
              <w:t>seguimiento.</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3"/>
        <w:gridCol w:w="1560"/>
        <w:gridCol w:w="1983"/>
        <w:gridCol w:w="1421"/>
        <w:gridCol w:w="1839"/>
        <w:gridCol w:w="1278"/>
        <w:gridCol w:w="1841"/>
        <w:gridCol w:w="1498"/>
      </w:tblGrid>
      <w:tr>
        <w:trPr>
          <w:trHeight w:val="618" w:hRule="atLeast"/>
        </w:trPr>
        <w:tc>
          <w:tcPr>
            <w:tcW w:w="2833" w:type="dxa"/>
            <w:shd w:val="clear" w:color="auto" w:fill="D7D7D7"/>
          </w:tcPr>
          <w:p>
            <w:pPr>
              <w:pStyle w:val="TableParagraph"/>
              <w:spacing w:before="205"/>
              <w:ind w:left="446"/>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7D7D7"/>
          </w:tcPr>
          <w:p>
            <w:pPr>
              <w:pStyle w:val="TableParagraph"/>
              <w:spacing w:before="104"/>
              <w:ind w:left="518" w:right="58" w:hanging="216"/>
              <w:rPr>
                <w:b/>
                <w:sz w:val="18"/>
              </w:rPr>
            </w:pPr>
            <w:r>
              <w:rPr>
                <w:b/>
                <w:sz w:val="18"/>
              </w:rPr>
              <w:t>Línea</w:t>
            </w:r>
            <w:r>
              <w:rPr>
                <w:b/>
                <w:spacing w:val="-13"/>
                <w:sz w:val="18"/>
              </w:rPr>
              <w:t> </w:t>
            </w:r>
            <w:r>
              <w:rPr>
                <w:b/>
                <w:sz w:val="18"/>
              </w:rPr>
              <w:t>Base </w:t>
            </w:r>
            <w:r>
              <w:rPr>
                <w:b/>
                <w:spacing w:val="-2"/>
                <w:sz w:val="18"/>
              </w:rPr>
              <w:t>(2024)</w:t>
            </w:r>
          </w:p>
        </w:tc>
        <w:tc>
          <w:tcPr>
            <w:tcW w:w="1983" w:type="dxa"/>
            <w:shd w:val="clear" w:color="auto" w:fill="D7D7D7"/>
          </w:tcPr>
          <w:p>
            <w:pPr>
              <w:pStyle w:val="TableParagraph"/>
              <w:spacing w:before="104"/>
              <w:ind w:left="788" w:hanging="553"/>
              <w:rPr>
                <w:b/>
                <w:sz w:val="18"/>
              </w:rPr>
            </w:pPr>
            <w:r>
              <w:rPr>
                <w:b/>
                <w:sz w:val="18"/>
              </w:rPr>
              <w:t>Meta</w:t>
            </w:r>
            <w:r>
              <w:rPr>
                <w:b/>
                <w:spacing w:val="-13"/>
                <w:sz w:val="18"/>
              </w:rPr>
              <w:t> </w:t>
            </w:r>
            <w:r>
              <w:rPr>
                <w:b/>
                <w:sz w:val="18"/>
              </w:rPr>
              <w:t>programada </w:t>
            </w:r>
            <w:r>
              <w:rPr>
                <w:b/>
                <w:spacing w:val="-4"/>
                <w:sz w:val="18"/>
              </w:rPr>
              <w:t>2026</w:t>
            </w:r>
          </w:p>
        </w:tc>
        <w:tc>
          <w:tcPr>
            <w:tcW w:w="1421" w:type="dxa"/>
            <w:shd w:val="clear" w:color="auto" w:fill="D7D7D7"/>
          </w:tcPr>
          <w:p>
            <w:pPr>
              <w:pStyle w:val="TableParagraph"/>
              <w:spacing w:before="205"/>
              <w:ind w:left="302"/>
              <w:rPr>
                <w:b/>
                <w:sz w:val="18"/>
              </w:rPr>
            </w:pPr>
            <w:r>
              <w:rPr>
                <w:b/>
                <w:spacing w:val="-2"/>
                <w:sz w:val="18"/>
              </w:rPr>
              <w:t>Indicador</w:t>
            </w:r>
          </w:p>
        </w:tc>
        <w:tc>
          <w:tcPr>
            <w:tcW w:w="1839" w:type="dxa"/>
            <w:shd w:val="clear" w:color="auto" w:fill="D7D7D7"/>
          </w:tcPr>
          <w:p>
            <w:pPr>
              <w:pStyle w:val="TableParagraph"/>
              <w:spacing w:before="104"/>
              <w:ind w:left="417" w:right="123" w:firstLine="57"/>
              <w:rPr>
                <w:b/>
                <w:sz w:val="18"/>
              </w:rPr>
            </w:pPr>
            <w:r>
              <w:rPr>
                <w:b/>
                <w:sz w:val="18"/>
              </w:rPr>
              <w:t>Medios de </w:t>
            </w:r>
            <w:r>
              <w:rPr>
                <w:b/>
                <w:spacing w:val="-2"/>
                <w:sz w:val="18"/>
              </w:rPr>
              <w:t>verificación</w:t>
            </w:r>
          </w:p>
        </w:tc>
        <w:tc>
          <w:tcPr>
            <w:tcW w:w="1278" w:type="dxa"/>
            <w:shd w:val="clear" w:color="auto" w:fill="D7D7D7"/>
          </w:tcPr>
          <w:p>
            <w:pPr>
              <w:pStyle w:val="TableParagraph"/>
              <w:spacing w:before="205"/>
              <w:ind w:left="81"/>
              <w:rPr>
                <w:b/>
                <w:sz w:val="18"/>
              </w:rPr>
            </w:pPr>
            <w:r>
              <w:rPr>
                <w:b/>
                <w:spacing w:val="-2"/>
                <w:sz w:val="18"/>
              </w:rPr>
              <w:t>Responsable</w:t>
            </w:r>
          </w:p>
        </w:tc>
        <w:tc>
          <w:tcPr>
            <w:tcW w:w="1841" w:type="dxa"/>
            <w:shd w:val="clear" w:color="auto" w:fill="D7D7D7"/>
          </w:tcPr>
          <w:p>
            <w:pPr>
              <w:pStyle w:val="TableParagraph"/>
              <w:spacing w:before="104"/>
              <w:ind w:left="527" w:hanging="154"/>
              <w:rPr>
                <w:b/>
                <w:sz w:val="18"/>
              </w:rPr>
            </w:pPr>
            <w:r>
              <w:rPr>
                <w:b/>
                <w:spacing w:val="-2"/>
                <w:sz w:val="18"/>
              </w:rPr>
              <w:t>Presupuesto asignado</w:t>
            </w:r>
          </w:p>
        </w:tc>
        <w:tc>
          <w:tcPr>
            <w:tcW w:w="1498" w:type="dxa"/>
            <w:shd w:val="clear" w:color="auto" w:fill="D7D7D7"/>
          </w:tcPr>
          <w:p>
            <w:pPr>
              <w:pStyle w:val="TableParagraph"/>
              <w:spacing w:line="206" w:lineRule="exact"/>
              <w:ind w:left="165" w:right="144" w:hanging="5"/>
              <w:jc w:val="center"/>
              <w:rPr>
                <w:b/>
                <w:sz w:val="18"/>
              </w:rPr>
            </w:pPr>
            <w:r>
              <w:rPr>
                <w:b/>
                <w:spacing w:val="-2"/>
                <w:sz w:val="18"/>
              </w:rPr>
              <w:t>Riesgo </w:t>
            </w:r>
            <w:r>
              <w:rPr>
                <w:b/>
                <w:sz w:val="18"/>
              </w:rPr>
              <w:t>asociado al </w:t>
            </w:r>
            <w:r>
              <w:rPr>
                <w:b/>
                <w:spacing w:val="-2"/>
                <w:sz w:val="18"/>
              </w:rPr>
              <w:t>cumplimiento</w:t>
            </w:r>
          </w:p>
        </w:tc>
      </w:tr>
      <w:tr>
        <w:trPr>
          <w:trHeight w:val="1243" w:hRule="atLeast"/>
        </w:trPr>
        <w:tc>
          <w:tcPr>
            <w:tcW w:w="2833" w:type="dxa"/>
          </w:tcPr>
          <w:p>
            <w:pPr>
              <w:pStyle w:val="TableParagraph"/>
              <w:spacing w:before="104"/>
              <w:rPr>
                <w:b/>
                <w:sz w:val="18"/>
              </w:rPr>
            </w:pPr>
          </w:p>
          <w:p>
            <w:pPr>
              <w:pStyle w:val="TableParagraph"/>
              <w:ind w:left="72" w:right="87"/>
              <w:rPr>
                <w:sz w:val="18"/>
              </w:rPr>
            </w:pPr>
            <w:r>
              <w:rPr>
                <w:b/>
                <w:sz w:val="18"/>
              </w:rPr>
              <w:t>Producto</w:t>
            </w:r>
            <w:r>
              <w:rPr>
                <w:b/>
                <w:spacing w:val="-15"/>
                <w:sz w:val="18"/>
              </w:rPr>
              <w:t> </w:t>
            </w:r>
            <w:r>
              <w:rPr>
                <w:b/>
                <w:sz w:val="18"/>
              </w:rPr>
              <w:t>PAC</w:t>
            </w:r>
            <w:r>
              <w:rPr>
                <w:b/>
                <w:spacing w:val="-12"/>
                <w:sz w:val="18"/>
              </w:rPr>
              <w:t> </w:t>
            </w:r>
            <w:r>
              <w:rPr>
                <w:b/>
                <w:sz w:val="18"/>
              </w:rPr>
              <w:t>2.15.1:</w:t>
            </w:r>
            <w:r>
              <w:rPr>
                <w:b/>
                <w:spacing w:val="-11"/>
                <w:sz w:val="18"/>
              </w:rPr>
              <w:t> </w:t>
            </w:r>
            <w:r>
              <w:rPr>
                <w:sz w:val="18"/>
              </w:rPr>
              <w:t>Gestionar contratación capacitación en </w:t>
            </w:r>
            <w:r>
              <w:rPr>
                <w:spacing w:val="-4"/>
                <w:sz w:val="18"/>
              </w:rPr>
              <w:t>GpRD</w:t>
            </w:r>
          </w:p>
        </w:tc>
        <w:tc>
          <w:tcPr>
            <w:tcW w:w="1560" w:type="dxa"/>
          </w:tcPr>
          <w:p>
            <w:pPr>
              <w:pStyle w:val="TableParagraph"/>
              <w:rPr>
                <w:b/>
                <w:sz w:val="18"/>
              </w:rPr>
            </w:pPr>
          </w:p>
          <w:p>
            <w:pPr>
              <w:pStyle w:val="TableParagraph"/>
              <w:spacing w:before="104"/>
              <w:rPr>
                <w:b/>
                <w:sz w:val="18"/>
              </w:rPr>
            </w:pPr>
          </w:p>
          <w:p>
            <w:pPr>
              <w:pStyle w:val="TableParagraph"/>
              <w:ind w:left="21" w:right="20"/>
              <w:jc w:val="center"/>
              <w:rPr>
                <w:sz w:val="18"/>
              </w:rPr>
            </w:pPr>
            <w:r>
              <w:rPr>
                <w:spacing w:val="-10"/>
                <w:sz w:val="18"/>
              </w:rPr>
              <w:t>0</w:t>
            </w:r>
          </w:p>
        </w:tc>
        <w:tc>
          <w:tcPr>
            <w:tcW w:w="1983" w:type="dxa"/>
          </w:tcPr>
          <w:p>
            <w:pPr>
              <w:pStyle w:val="TableParagraph"/>
              <w:rPr>
                <w:b/>
                <w:sz w:val="18"/>
              </w:rPr>
            </w:pPr>
          </w:p>
          <w:p>
            <w:pPr>
              <w:pStyle w:val="TableParagraph"/>
              <w:spacing w:before="104"/>
              <w:rPr>
                <w:b/>
                <w:sz w:val="18"/>
              </w:rPr>
            </w:pPr>
          </w:p>
          <w:p>
            <w:pPr>
              <w:pStyle w:val="TableParagraph"/>
              <w:ind w:left="14" w:right="8"/>
              <w:jc w:val="center"/>
              <w:rPr>
                <w:b/>
                <w:sz w:val="18"/>
              </w:rPr>
            </w:pPr>
            <w:r>
              <w:rPr>
                <w:b/>
                <w:spacing w:val="-5"/>
                <w:sz w:val="18"/>
              </w:rPr>
              <w:t>69</w:t>
            </w:r>
          </w:p>
        </w:tc>
        <w:tc>
          <w:tcPr>
            <w:tcW w:w="1421" w:type="dxa"/>
          </w:tcPr>
          <w:p>
            <w:pPr>
              <w:pStyle w:val="TableParagraph"/>
              <w:spacing w:before="3"/>
              <w:ind w:left="72"/>
              <w:rPr>
                <w:sz w:val="18"/>
              </w:rPr>
            </w:pPr>
            <w:r>
              <w:rPr>
                <w:sz w:val="18"/>
              </w:rPr>
              <w:t>Cantidad de </w:t>
            </w:r>
            <w:r>
              <w:rPr>
                <w:spacing w:val="-2"/>
                <w:sz w:val="18"/>
              </w:rPr>
              <w:t>personas funcionarias </w:t>
            </w:r>
            <w:r>
              <w:rPr>
                <w:sz w:val="18"/>
              </w:rPr>
              <w:t>jefaturas y</w:t>
            </w:r>
          </w:p>
          <w:p>
            <w:pPr>
              <w:pStyle w:val="TableParagraph"/>
              <w:spacing w:line="206" w:lineRule="exact"/>
              <w:ind w:left="72"/>
              <w:rPr>
                <w:sz w:val="18"/>
              </w:rPr>
            </w:pPr>
            <w:r>
              <w:rPr>
                <w:spacing w:val="-2"/>
                <w:sz w:val="18"/>
              </w:rPr>
              <w:t>enlaces capacitadas</w:t>
            </w:r>
          </w:p>
        </w:tc>
        <w:tc>
          <w:tcPr>
            <w:tcW w:w="1839" w:type="dxa"/>
          </w:tcPr>
          <w:p>
            <w:pPr>
              <w:pStyle w:val="TableParagraph"/>
              <w:spacing w:before="104"/>
              <w:rPr>
                <w:b/>
                <w:sz w:val="18"/>
              </w:rPr>
            </w:pPr>
          </w:p>
          <w:p>
            <w:pPr>
              <w:pStyle w:val="TableParagraph"/>
              <w:ind w:left="67" w:right="123"/>
              <w:rPr>
                <w:sz w:val="18"/>
              </w:rPr>
            </w:pPr>
            <w:r>
              <w:rPr>
                <w:sz w:val="18"/>
              </w:rPr>
              <w:t>Listas</w:t>
            </w:r>
            <w:r>
              <w:rPr>
                <w:spacing w:val="-15"/>
                <w:sz w:val="18"/>
              </w:rPr>
              <w:t> </w:t>
            </w:r>
            <w:r>
              <w:rPr>
                <w:sz w:val="18"/>
              </w:rPr>
              <w:t>de</w:t>
            </w:r>
            <w:r>
              <w:rPr>
                <w:spacing w:val="-12"/>
                <w:sz w:val="18"/>
              </w:rPr>
              <w:t> </w:t>
            </w:r>
            <w:r>
              <w:rPr>
                <w:sz w:val="18"/>
              </w:rPr>
              <w:t>asistencia Oficios de </w:t>
            </w:r>
            <w:r>
              <w:rPr>
                <w:spacing w:val="-2"/>
                <w:sz w:val="18"/>
              </w:rPr>
              <w:t>convocatoria</w:t>
            </w:r>
          </w:p>
        </w:tc>
        <w:tc>
          <w:tcPr>
            <w:tcW w:w="1278" w:type="dxa"/>
          </w:tcPr>
          <w:p>
            <w:pPr>
              <w:pStyle w:val="TableParagraph"/>
              <w:rPr>
                <w:b/>
                <w:sz w:val="18"/>
              </w:rPr>
            </w:pPr>
          </w:p>
          <w:p>
            <w:pPr>
              <w:pStyle w:val="TableParagraph"/>
              <w:spacing w:before="3"/>
              <w:rPr>
                <w:b/>
                <w:sz w:val="18"/>
              </w:rPr>
            </w:pPr>
          </w:p>
          <w:p>
            <w:pPr>
              <w:pStyle w:val="TableParagraph"/>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11"/>
              <w:rPr>
                <w:b/>
                <w:sz w:val="18"/>
              </w:rPr>
            </w:pPr>
          </w:p>
          <w:p>
            <w:pPr>
              <w:pStyle w:val="TableParagraph"/>
              <w:ind w:left="74" w:right="67"/>
              <w:rPr>
                <w:sz w:val="18"/>
              </w:rPr>
            </w:pPr>
            <w:r>
              <w:rPr>
                <w:spacing w:val="-2"/>
                <w:sz w:val="18"/>
              </w:rPr>
              <w:t>Evento: </w:t>
            </w:r>
            <w:r>
              <w:rPr>
                <w:sz w:val="18"/>
              </w:rPr>
              <w:t>funcionarios</w:t>
            </w:r>
            <w:r>
              <w:rPr>
                <w:spacing w:val="-13"/>
                <w:sz w:val="18"/>
              </w:rPr>
              <w:t> </w:t>
            </w:r>
            <w:r>
              <w:rPr>
                <w:sz w:val="18"/>
              </w:rPr>
              <w:t>que no estén </w:t>
            </w:r>
            <w:r>
              <w:rPr>
                <w:spacing w:val="-2"/>
                <w:sz w:val="18"/>
              </w:rPr>
              <w:t>debidamente </w:t>
            </w:r>
            <w:r>
              <w:rPr>
                <w:sz w:val="18"/>
              </w:rPr>
              <w:t>capacitados en gestión de proyectos, valor público y </w:t>
            </w:r>
            <w:r>
              <w:rPr>
                <w:spacing w:val="-2"/>
                <w:sz w:val="18"/>
              </w:rPr>
              <w:t>desarrollo sostenible, </w:t>
            </w:r>
            <w:r>
              <w:rPr>
                <w:sz w:val="18"/>
              </w:rPr>
              <w:t>evaluación y </w:t>
            </w:r>
            <w:r>
              <w:rPr>
                <w:spacing w:val="-2"/>
                <w:sz w:val="18"/>
              </w:rPr>
              <w:t>seguimiento.</w:t>
            </w:r>
          </w:p>
        </w:tc>
      </w:tr>
      <w:tr>
        <w:trPr>
          <w:trHeight w:val="623" w:hRule="atLeast"/>
        </w:trPr>
        <w:tc>
          <w:tcPr>
            <w:tcW w:w="2833" w:type="dxa"/>
          </w:tcPr>
          <w:p>
            <w:pPr>
              <w:pStyle w:val="TableParagraph"/>
              <w:ind w:left="72"/>
              <w:rPr>
                <w:sz w:val="18"/>
              </w:rPr>
            </w:pPr>
            <w:r>
              <w:rPr>
                <w:b/>
                <w:sz w:val="18"/>
              </w:rPr>
              <w:t>Producto</w:t>
            </w:r>
            <w:r>
              <w:rPr>
                <w:b/>
                <w:spacing w:val="-13"/>
                <w:sz w:val="18"/>
              </w:rPr>
              <w:t> </w:t>
            </w:r>
            <w:r>
              <w:rPr>
                <w:b/>
                <w:sz w:val="18"/>
              </w:rPr>
              <w:t>PAC</w:t>
            </w:r>
            <w:r>
              <w:rPr>
                <w:b/>
                <w:spacing w:val="-12"/>
                <w:sz w:val="18"/>
              </w:rPr>
              <w:t> </w:t>
            </w:r>
            <w:r>
              <w:rPr>
                <w:b/>
                <w:sz w:val="18"/>
              </w:rPr>
              <w:t>2.15.2:</w:t>
            </w:r>
            <w:r>
              <w:rPr>
                <w:b/>
                <w:spacing w:val="-8"/>
                <w:sz w:val="18"/>
              </w:rPr>
              <w:t> </w:t>
            </w:r>
            <w:r>
              <w:rPr>
                <w:sz w:val="18"/>
              </w:rPr>
              <w:t>Sesiones de capacitación sobre valor</w:t>
            </w:r>
          </w:p>
          <w:p>
            <w:pPr>
              <w:pStyle w:val="TableParagraph"/>
              <w:spacing w:line="187" w:lineRule="exact" w:before="3"/>
              <w:ind w:left="72"/>
              <w:rPr>
                <w:sz w:val="18"/>
              </w:rPr>
            </w:pPr>
            <w:r>
              <w:rPr>
                <w:spacing w:val="-2"/>
                <w:sz w:val="18"/>
              </w:rPr>
              <w:t>público</w:t>
            </w:r>
          </w:p>
        </w:tc>
        <w:tc>
          <w:tcPr>
            <w:tcW w:w="1560" w:type="dxa"/>
          </w:tcPr>
          <w:p>
            <w:pPr>
              <w:pStyle w:val="TableParagraph"/>
              <w:spacing w:before="205"/>
              <w:ind w:left="21" w:right="20"/>
              <w:jc w:val="center"/>
              <w:rPr>
                <w:sz w:val="18"/>
              </w:rPr>
            </w:pPr>
            <w:r>
              <w:rPr>
                <w:spacing w:val="-10"/>
                <w:sz w:val="18"/>
              </w:rPr>
              <w:t>0</w:t>
            </w:r>
          </w:p>
        </w:tc>
        <w:tc>
          <w:tcPr>
            <w:tcW w:w="1983" w:type="dxa"/>
          </w:tcPr>
          <w:p>
            <w:pPr>
              <w:pStyle w:val="TableParagraph"/>
              <w:spacing w:before="205"/>
              <w:ind w:left="14" w:right="10"/>
              <w:jc w:val="center"/>
              <w:rPr>
                <w:sz w:val="18"/>
              </w:rPr>
            </w:pPr>
            <w:r>
              <w:rPr>
                <w:sz w:val="18"/>
              </w:rPr>
              <w:t>2</w:t>
            </w:r>
            <w:r>
              <w:rPr>
                <w:spacing w:val="2"/>
                <w:sz w:val="18"/>
              </w:rPr>
              <w:t> </w:t>
            </w:r>
            <w:r>
              <w:rPr>
                <w:spacing w:val="-2"/>
                <w:sz w:val="18"/>
              </w:rPr>
              <w:t>sesiones</w:t>
            </w:r>
          </w:p>
        </w:tc>
        <w:tc>
          <w:tcPr>
            <w:tcW w:w="1421" w:type="dxa"/>
          </w:tcPr>
          <w:p>
            <w:pPr>
              <w:pStyle w:val="TableParagraph"/>
              <w:ind w:left="72"/>
              <w:rPr>
                <w:sz w:val="18"/>
              </w:rPr>
            </w:pPr>
            <w:r>
              <w:rPr>
                <w:sz w:val="18"/>
              </w:rPr>
              <w:t>Cantidad</w:t>
            </w:r>
            <w:r>
              <w:rPr>
                <w:spacing w:val="-13"/>
                <w:sz w:val="18"/>
              </w:rPr>
              <w:t> </w:t>
            </w:r>
            <w:r>
              <w:rPr>
                <w:sz w:val="18"/>
              </w:rPr>
              <w:t>de </w:t>
            </w:r>
            <w:r>
              <w:rPr>
                <w:spacing w:val="-2"/>
                <w:sz w:val="18"/>
              </w:rPr>
              <w:t>sesiones</w:t>
            </w:r>
          </w:p>
          <w:p>
            <w:pPr>
              <w:pStyle w:val="TableParagraph"/>
              <w:spacing w:line="187" w:lineRule="exact" w:before="3"/>
              <w:ind w:left="72"/>
              <w:rPr>
                <w:sz w:val="18"/>
              </w:rPr>
            </w:pPr>
            <w:r>
              <w:rPr>
                <w:sz w:val="18"/>
              </w:rPr>
              <w:t>de</w:t>
            </w:r>
            <w:r>
              <w:rPr>
                <w:spacing w:val="2"/>
                <w:sz w:val="18"/>
              </w:rPr>
              <w:t> </w:t>
            </w:r>
            <w:r>
              <w:rPr>
                <w:spacing w:val="-2"/>
                <w:sz w:val="18"/>
              </w:rPr>
              <w:t>capacitación</w:t>
            </w:r>
          </w:p>
        </w:tc>
        <w:tc>
          <w:tcPr>
            <w:tcW w:w="1839" w:type="dxa"/>
          </w:tcPr>
          <w:p>
            <w:pPr>
              <w:pStyle w:val="TableParagraph"/>
              <w:ind w:left="67" w:right="123"/>
              <w:rPr>
                <w:sz w:val="18"/>
              </w:rPr>
            </w:pPr>
            <w:r>
              <w:rPr>
                <w:sz w:val="18"/>
              </w:rPr>
              <w:t>Listas</w:t>
            </w:r>
            <w:r>
              <w:rPr>
                <w:spacing w:val="-15"/>
                <w:sz w:val="18"/>
              </w:rPr>
              <w:t> </w:t>
            </w:r>
            <w:r>
              <w:rPr>
                <w:sz w:val="18"/>
              </w:rPr>
              <w:t>de</w:t>
            </w:r>
            <w:r>
              <w:rPr>
                <w:spacing w:val="-12"/>
                <w:sz w:val="18"/>
              </w:rPr>
              <w:t> </w:t>
            </w:r>
            <w:r>
              <w:rPr>
                <w:sz w:val="18"/>
              </w:rPr>
              <w:t>asistencia Oficios de</w:t>
            </w:r>
          </w:p>
          <w:p>
            <w:pPr>
              <w:pStyle w:val="TableParagraph"/>
              <w:spacing w:line="187" w:lineRule="exact" w:before="3"/>
              <w:ind w:left="67"/>
              <w:rPr>
                <w:sz w:val="18"/>
              </w:rPr>
            </w:pPr>
            <w:r>
              <w:rPr>
                <w:spacing w:val="-2"/>
                <w:sz w:val="18"/>
              </w:rPr>
              <w:t>convocatoria</w:t>
            </w:r>
          </w:p>
        </w:tc>
        <w:tc>
          <w:tcPr>
            <w:tcW w:w="1278" w:type="dxa"/>
          </w:tcPr>
          <w:p>
            <w:pPr>
              <w:pStyle w:val="TableParagraph"/>
              <w:spacing w:before="104"/>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tcBorders>
              <w:top w:val="nil"/>
            </w:tcBorders>
          </w:tcPr>
          <w:p>
            <w:pPr>
              <w:rPr>
                <w:sz w:val="2"/>
                <w:szCs w:val="2"/>
              </w:rPr>
            </w:pPr>
          </w:p>
        </w:tc>
      </w:tr>
      <w:tr>
        <w:trPr>
          <w:trHeight w:val="2275" w:hRule="atLeast"/>
        </w:trPr>
        <w:tc>
          <w:tcPr>
            <w:tcW w:w="2833" w:type="dxa"/>
          </w:tcPr>
          <w:p>
            <w:pPr>
              <w:pStyle w:val="TableParagraph"/>
              <w:ind w:left="72" w:right="87"/>
              <w:rPr>
                <w:sz w:val="18"/>
              </w:rPr>
            </w:pPr>
            <w:r>
              <w:rPr>
                <w:b/>
                <w:sz w:val="18"/>
              </w:rPr>
              <w:t>Producto</w:t>
            </w:r>
            <w:r>
              <w:rPr>
                <w:b/>
                <w:spacing w:val="-13"/>
                <w:sz w:val="18"/>
              </w:rPr>
              <w:t> </w:t>
            </w:r>
            <w:r>
              <w:rPr>
                <w:b/>
                <w:sz w:val="18"/>
              </w:rPr>
              <w:t>PAC</w:t>
            </w:r>
            <w:r>
              <w:rPr>
                <w:b/>
                <w:spacing w:val="-12"/>
                <w:sz w:val="18"/>
              </w:rPr>
              <w:t> </w:t>
            </w:r>
            <w:r>
              <w:rPr>
                <w:b/>
                <w:sz w:val="18"/>
              </w:rPr>
              <w:t>2.15.3:</w:t>
            </w:r>
            <w:r>
              <w:rPr>
                <w:b/>
                <w:spacing w:val="-10"/>
                <w:sz w:val="18"/>
              </w:rPr>
              <w:t> </w:t>
            </w:r>
            <w:r>
              <w:rPr>
                <w:sz w:val="18"/>
              </w:rPr>
              <w:t>Capacitar a las unidades ejecutoras para que puedan incorporar en los términos de referencia; los aspectos de desarrollo social, promoción de la inclusión social, promoción de la sostenibilidad ambiental, promoción de innovación y promoción de participación PYMES, en los</w:t>
            </w:r>
          </w:p>
          <w:p>
            <w:pPr>
              <w:pStyle w:val="TableParagraph"/>
              <w:spacing w:line="187" w:lineRule="exact"/>
              <w:ind w:left="72"/>
              <w:rPr>
                <w:sz w:val="18"/>
              </w:rPr>
            </w:pPr>
            <w:r>
              <w:rPr>
                <w:sz w:val="18"/>
              </w:rPr>
              <w:t>procedimientos</w:t>
            </w:r>
            <w:r>
              <w:rPr>
                <w:spacing w:val="-4"/>
                <w:sz w:val="18"/>
              </w:rPr>
              <w:t> </w:t>
            </w:r>
            <w:r>
              <w:rPr>
                <w:sz w:val="18"/>
              </w:rPr>
              <w:t>de</w:t>
            </w:r>
            <w:r>
              <w:rPr>
                <w:spacing w:val="-5"/>
                <w:sz w:val="18"/>
              </w:rPr>
              <w:t> </w:t>
            </w:r>
            <w:r>
              <w:rPr>
                <w:spacing w:val="-2"/>
                <w:sz w:val="18"/>
              </w:rPr>
              <w:t>contratación.</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1" w:right="20"/>
              <w:jc w:val="center"/>
              <w:rPr>
                <w:sz w:val="18"/>
              </w:rPr>
            </w:pPr>
            <w:r>
              <w:rPr>
                <w:spacing w:val="-10"/>
                <w:sz w:val="18"/>
              </w:rPr>
              <w:t>0</w:t>
            </w:r>
          </w:p>
        </w:tc>
        <w:tc>
          <w:tcPr>
            <w:tcW w:w="1983"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14" w:right="5"/>
              <w:jc w:val="center"/>
              <w:rPr>
                <w:sz w:val="18"/>
              </w:rPr>
            </w:pPr>
            <w:r>
              <w:rPr>
                <w:spacing w:val="-4"/>
                <w:sz w:val="18"/>
              </w:rPr>
              <w:t>100%</w:t>
            </w:r>
          </w:p>
        </w:tc>
        <w:tc>
          <w:tcPr>
            <w:tcW w:w="1421" w:type="dxa"/>
          </w:tcPr>
          <w:p>
            <w:pPr>
              <w:pStyle w:val="TableParagraph"/>
              <w:spacing w:before="204"/>
              <w:rPr>
                <w:b/>
                <w:sz w:val="18"/>
              </w:rPr>
            </w:pPr>
          </w:p>
          <w:p>
            <w:pPr>
              <w:pStyle w:val="TableParagraph"/>
              <w:ind w:left="72" w:right="106"/>
              <w:rPr>
                <w:sz w:val="18"/>
              </w:rPr>
            </w:pPr>
            <w:r>
              <w:rPr>
                <w:sz w:val="18"/>
              </w:rPr>
              <w:t>Porcentaje de </w:t>
            </w:r>
            <w:r>
              <w:rPr>
                <w:spacing w:val="-2"/>
                <w:sz w:val="18"/>
              </w:rPr>
              <w:t>personas administradora </w:t>
            </w:r>
            <w:r>
              <w:rPr>
                <w:sz w:val="18"/>
              </w:rPr>
              <w:t>s de contrato capacitadas</w:t>
            </w:r>
            <w:r>
              <w:rPr>
                <w:spacing w:val="-13"/>
                <w:sz w:val="18"/>
              </w:rPr>
              <w:t> </w:t>
            </w:r>
            <w:r>
              <w:rPr>
                <w:sz w:val="18"/>
              </w:rPr>
              <w:t>en las unidades </w:t>
            </w:r>
            <w:r>
              <w:rPr>
                <w:spacing w:val="-2"/>
                <w:sz w:val="18"/>
              </w:rPr>
              <w:t>ejecutoras</w:t>
            </w:r>
          </w:p>
        </w:tc>
        <w:tc>
          <w:tcPr>
            <w:tcW w:w="1839" w:type="dxa"/>
          </w:tcPr>
          <w:p>
            <w:pPr>
              <w:pStyle w:val="TableParagraph"/>
              <w:rPr>
                <w:b/>
                <w:sz w:val="18"/>
              </w:rPr>
            </w:pPr>
          </w:p>
          <w:p>
            <w:pPr>
              <w:pStyle w:val="TableParagraph"/>
              <w:rPr>
                <w:b/>
                <w:sz w:val="18"/>
              </w:rPr>
            </w:pPr>
          </w:p>
          <w:p>
            <w:pPr>
              <w:pStyle w:val="TableParagraph"/>
              <w:spacing w:before="204"/>
              <w:rPr>
                <w:b/>
                <w:sz w:val="18"/>
              </w:rPr>
            </w:pPr>
          </w:p>
          <w:p>
            <w:pPr>
              <w:pStyle w:val="TableParagraph"/>
              <w:spacing w:line="242" w:lineRule="auto"/>
              <w:ind w:left="67" w:right="123"/>
              <w:rPr>
                <w:sz w:val="18"/>
              </w:rPr>
            </w:pPr>
            <w:r>
              <w:rPr>
                <w:sz w:val="18"/>
              </w:rPr>
              <w:t>Listas</w:t>
            </w:r>
            <w:r>
              <w:rPr>
                <w:spacing w:val="-15"/>
                <w:sz w:val="18"/>
              </w:rPr>
              <w:t> </w:t>
            </w:r>
            <w:r>
              <w:rPr>
                <w:sz w:val="18"/>
              </w:rPr>
              <w:t>de</w:t>
            </w:r>
            <w:r>
              <w:rPr>
                <w:spacing w:val="-12"/>
                <w:sz w:val="18"/>
              </w:rPr>
              <w:t> </w:t>
            </w:r>
            <w:r>
              <w:rPr>
                <w:sz w:val="18"/>
              </w:rPr>
              <w:t>asistencia Oficios de </w:t>
            </w:r>
            <w:r>
              <w:rPr>
                <w:spacing w:val="-2"/>
                <w:sz w:val="18"/>
              </w:rPr>
              <w:t>convocatoria</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tcBorders>
              <w:top w:val="nil"/>
            </w:tcBorders>
          </w:tcPr>
          <w:p>
            <w:pPr>
              <w:rPr>
                <w:sz w:val="2"/>
                <w:szCs w:val="2"/>
              </w:rPr>
            </w:pPr>
          </w:p>
        </w:tc>
      </w:tr>
      <w:tr>
        <w:trPr>
          <w:trHeight w:val="830" w:hRule="atLeast"/>
        </w:trPr>
        <w:tc>
          <w:tcPr>
            <w:tcW w:w="14253" w:type="dxa"/>
            <w:gridSpan w:val="8"/>
            <w:shd w:val="clear" w:color="auto" w:fill="EFF8F9"/>
          </w:tcPr>
          <w:p>
            <w:pPr>
              <w:pStyle w:val="TableParagraph"/>
              <w:ind w:left="72" w:right="78"/>
              <w:rPr>
                <w:b/>
                <w:sz w:val="18"/>
              </w:rPr>
            </w:pPr>
            <w:r>
              <w:rPr>
                <w:b/>
                <w:sz w:val="18"/>
              </w:rPr>
              <w:t>Producto PAC 2.16: Acciones integrales de sensibilización, capacitación y formación para la promoción de la igualdad de género, la no discriminación y la corresponsabilidad</w:t>
            </w:r>
            <w:r>
              <w:rPr>
                <w:b/>
                <w:spacing w:val="-4"/>
                <w:sz w:val="18"/>
              </w:rPr>
              <w:t> </w:t>
            </w:r>
            <w:r>
              <w:rPr>
                <w:b/>
                <w:sz w:val="18"/>
              </w:rPr>
              <w:t>social</w:t>
            </w:r>
            <w:r>
              <w:rPr>
                <w:b/>
                <w:spacing w:val="-1"/>
                <w:sz w:val="18"/>
              </w:rPr>
              <w:t> </w:t>
            </w:r>
            <w:r>
              <w:rPr>
                <w:b/>
                <w:sz w:val="18"/>
              </w:rPr>
              <w:t>de</w:t>
            </w:r>
            <w:r>
              <w:rPr>
                <w:b/>
                <w:spacing w:val="-3"/>
                <w:sz w:val="18"/>
              </w:rPr>
              <w:t> </w:t>
            </w:r>
            <w:r>
              <w:rPr>
                <w:b/>
                <w:sz w:val="18"/>
              </w:rPr>
              <w:t>los cuidados,</w:t>
            </w:r>
            <w:r>
              <w:rPr>
                <w:b/>
                <w:spacing w:val="-1"/>
                <w:sz w:val="18"/>
              </w:rPr>
              <w:t> </w:t>
            </w:r>
            <w:r>
              <w:rPr>
                <w:b/>
                <w:sz w:val="18"/>
              </w:rPr>
              <w:t>dirigidas al</w:t>
            </w:r>
            <w:r>
              <w:rPr>
                <w:b/>
                <w:spacing w:val="-1"/>
                <w:sz w:val="18"/>
              </w:rPr>
              <w:t> </w:t>
            </w:r>
            <w:r>
              <w:rPr>
                <w:b/>
                <w:sz w:val="18"/>
              </w:rPr>
              <w:t>personal del</w:t>
            </w:r>
            <w:r>
              <w:rPr>
                <w:b/>
                <w:spacing w:val="-1"/>
                <w:sz w:val="18"/>
              </w:rPr>
              <w:t> </w:t>
            </w:r>
            <w:r>
              <w:rPr>
                <w:b/>
                <w:sz w:val="18"/>
              </w:rPr>
              <w:t>IMAS</w:t>
            </w:r>
            <w:r>
              <w:rPr>
                <w:b/>
                <w:spacing w:val="-4"/>
                <w:sz w:val="18"/>
              </w:rPr>
              <w:t> </w:t>
            </w:r>
            <w:r>
              <w:rPr>
                <w:b/>
                <w:sz w:val="18"/>
              </w:rPr>
              <w:t>y a</w:t>
            </w:r>
            <w:r>
              <w:rPr>
                <w:b/>
                <w:spacing w:val="-8"/>
                <w:sz w:val="18"/>
              </w:rPr>
              <w:t> </w:t>
            </w:r>
            <w:r>
              <w:rPr>
                <w:b/>
                <w:sz w:val="18"/>
              </w:rPr>
              <w:t>la ciudadanía,</w:t>
            </w:r>
            <w:r>
              <w:rPr>
                <w:b/>
                <w:spacing w:val="-1"/>
                <w:sz w:val="18"/>
              </w:rPr>
              <w:t> </w:t>
            </w:r>
            <w:r>
              <w:rPr>
                <w:b/>
                <w:sz w:val="18"/>
              </w:rPr>
              <w:t>orientadas</w:t>
            </w:r>
            <w:r>
              <w:rPr>
                <w:b/>
                <w:spacing w:val="-3"/>
                <w:sz w:val="18"/>
              </w:rPr>
              <w:t> </w:t>
            </w:r>
            <w:r>
              <w:rPr>
                <w:b/>
                <w:sz w:val="18"/>
              </w:rPr>
              <w:t>a prevenir</w:t>
            </w:r>
            <w:r>
              <w:rPr>
                <w:b/>
                <w:spacing w:val="-6"/>
                <w:sz w:val="18"/>
              </w:rPr>
              <w:t> </w:t>
            </w:r>
            <w:r>
              <w:rPr>
                <w:b/>
                <w:sz w:val="18"/>
              </w:rPr>
              <w:t>todas</w:t>
            </w:r>
            <w:r>
              <w:rPr>
                <w:b/>
                <w:spacing w:val="-3"/>
                <w:sz w:val="18"/>
              </w:rPr>
              <w:t> </w:t>
            </w:r>
            <w:r>
              <w:rPr>
                <w:b/>
                <w:sz w:val="18"/>
              </w:rPr>
              <w:t>las</w:t>
            </w:r>
            <w:r>
              <w:rPr>
                <w:b/>
                <w:spacing w:val="-8"/>
                <w:sz w:val="18"/>
              </w:rPr>
              <w:t> </w:t>
            </w:r>
            <w:r>
              <w:rPr>
                <w:b/>
                <w:sz w:val="18"/>
              </w:rPr>
              <w:t>formas</w:t>
            </w:r>
            <w:r>
              <w:rPr>
                <w:b/>
                <w:spacing w:val="-3"/>
                <w:sz w:val="18"/>
              </w:rPr>
              <w:t> </w:t>
            </w:r>
            <w:r>
              <w:rPr>
                <w:b/>
                <w:sz w:val="18"/>
              </w:rPr>
              <w:t>de</w:t>
            </w:r>
            <w:r>
              <w:rPr>
                <w:b/>
                <w:spacing w:val="-3"/>
                <w:sz w:val="18"/>
              </w:rPr>
              <w:t> </w:t>
            </w:r>
            <w:r>
              <w:rPr>
                <w:b/>
                <w:sz w:val="18"/>
              </w:rPr>
              <w:t>violencia</w:t>
            </w:r>
            <w:r>
              <w:rPr>
                <w:b/>
                <w:spacing w:val="-3"/>
                <w:sz w:val="18"/>
              </w:rPr>
              <w:t> </w:t>
            </w:r>
            <w:r>
              <w:rPr>
                <w:b/>
                <w:sz w:val="18"/>
              </w:rPr>
              <w:t>y discriminación,</w:t>
            </w:r>
            <w:r>
              <w:rPr>
                <w:b/>
                <w:spacing w:val="-1"/>
                <w:sz w:val="18"/>
              </w:rPr>
              <w:t> </w:t>
            </w:r>
            <w:r>
              <w:rPr>
                <w:b/>
                <w:sz w:val="18"/>
              </w:rPr>
              <w:t>y</w:t>
            </w:r>
            <w:r>
              <w:rPr>
                <w:b/>
                <w:spacing w:val="-3"/>
                <w:sz w:val="18"/>
              </w:rPr>
              <w:t> </w:t>
            </w:r>
            <w:r>
              <w:rPr>
                <w:b/>
                <w:sz w:val="18"/>
              </w:rPr>
              <w:t>a fortalecer entornos laborales inclusivos y respetuosos.</w:t>
            </w:r>
          </w:p>
          <w:p>
            <w:pPr>
              <w:pStyle w:val="TableParagraph"/>
              <w:spacing w:line="187" w:lineRule="exact" w:before="2"/>
              <w:ind w:left="72"/>
              <w:rPr>
                <w:b/>
                <w:sz w:val="18"/>
              </w:rPr>
            </w:pPr>
            <w:r>
              <w:rPr>
                <w:b/>
                <w:spacing w:val="-2"/>
                <w:sz w:val="18"/>
              </w:rPr>
              <w:t>(PIEG/PLANOVI/PIGI)</w:t>
            </w:r>
          </w:p>
        </w:tc>
      </w:tr>
      <w:tr>
        <w:trPr>
          <w:trHeight w:val="3312" w:hRule="atLeast"/>
        </w:trPr>
        <w:tc>
          <w:tcPr>
            <w:tcW w:w="2833"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72"/>
              <w:rPr>
                <w:sz w:val="18"/>
              </w:rPr>
            </w:pPr>
            <w:r>
              <w:rPr>
                <w:b/>
                <w:sz w:val="18"/>
              </w:rPr>
              <w:t>Producto</w:t>
            </w:r>
            <w:r>
              <w:rPr>
                <w:b/>
                <w:spacing w:val="-10"/>
                <w:sz w:val="18"/>
              </w:rPr>
              <w:t> </w:t>
            </w:r>
            <w:r>
              <w:rPr>
                <w:b/>
                <w:sz w:val="18"/>
              </w:rPr>
              <w:t>PAC</w:t>
            </w:r>
            <w:r>
              <w:rPr>
                <w:b/>
                <w:spacing w:val="-11"/>
                <w:sz w:val="18"/>
              </w:rPr>
              <w:t> </w:t>
            </w:r>
            <w:r>
              <w:rPr>
                <w:b/>
                <w:sz w:val="18"/>
              </w:rPr>
              <w:t>2.16.1:</w:t>
            </w:r>
            <w:r>
              <w:rPr>
                <w:b/>
                <w:spacing w:val="-6"/>
                <w:sz w:val="18"/>
              </w:rPr>
              <w:t> </w:t>
            </w:r>
            <w:r>
              <w:rPr>
                <w:sz w:val="18"/>
              </w:rPr>
              <w:t>Impartir</w:t>
            </w:r>
            <w:r>
              <w:rPr>
                <w:spacing w:val="-8"/>
                <w:sz w:val="18"/>
              </w:rPr>
              <w:t> </w:t>
            </w:r>
            <w:r>
              <w:rPr>
                <w:sz w:val="18"/>
              </w:rPr>
              <w:t>la cantidad</w:t>
            </w:r>
            <w:r>
              <w:rPr>
                <w:spacing w:val="-8"/>
                <w:sz w:val="18"/>
              </w:rPr>
              <w:t> </w:t>
            </w:r>
            <w:r>
              <w:rPr>
                <w:sz w:val="18"/>
              </w:rPr>
              <w:t>programada</w:t>
            </w:r>
            <w:r>
              <w:rPr>
                <w:spacing w:val="-5"/>
                <w:sz w:val="18"/>
              </w:rPr>
              <w:t> </w:t>
            </w:r>
            <w:r>
              <w:rPr>
                <w:sz w:val="18"/>
              </w:rPr>
              <w:t>de</w:t>
            </w:r>
            <w:r>
              <w:rPr>
                <w:spacing w:val="-5"/>
                <w:sz w:val="18"/>
              </w:rPr>
              <w:t> </w:t>
            </w:r>
            <w:r>
              <w:rPr>
                <w:sz w:val="18"/>
              </w:rPr>
              <w:t>cursos</w:t>
            </w:r>
            <w:r>
              <w:rPr>
                <w:spacing w:val="-8"/>
                <w:sz w:val="18"/>
              </w:rPr>
              <w:t> </w:t>
            </w:r>
            <w:r>
              <w:rPr>
                <w:sz w:val="18"/>
              </w:rPr>
              <w:t>y capacitaciones</w:t>
            </w:r>
            <w:r>
              <w:rPr>
                <w:spacing w:val="-11"/>
                <w:sz w:val="18"/>
              </w:rPr>
              <w:t> </w:t>
            </w:r>
            <w:r>
              <w:rPr>
                <w:sz w:val="18"/>
              </w:rPr>
              <w:t>sobre</w:t>
            </w:r>
            <w:r>
              <w:rPr>
                <w:spacing w:val="-8"/>
                <w:sz w:val="18"/>
              </w:rPr>
              <w:t> </w:t>
            </w:r>
            <w:r>
              <w:rPr>
                <w:sz w:val="18"/>
              </w:rPr>
              <w:t>igualdad</w:t>
            </w:r>
            <w:r>
              <w:rPr>
                <w:spacing w:val="-8"/>
                <w:sz w:val="18"/>
              </w:rPr>
              <w:t> </w:t>
            </w:r>
            <w:r>
              <w:rPr>
                <w:sz w:val="18"/>
              </w:rPr>
              <w:t>de género, no discriminación y corresponsabilidad social de los </w:t>
            </w:r>
            <w:r>
              <w:rPr>
                <w:spacing w:val="-2"/>
                <w:sz w:val="18"/>
              </w:rPr>
              <w:t>cuidados.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21" w:right="20"/>
              <w:jc w:val="center"/>
              <w:rPr>
                <w:sz w:val="18"/>
              </w:rPr>
            </w:pPr>
            <w:r>
              <w:rPr>
                <w:spacing w:val="-10"/>
                <w:sz w:val="18"/>
              </w:rPr>
              <w:t>0</w:t>
            </w:r>
          </w:p>
        </w:tc>
        <w:tc>
          <w:tcPr>
            <w:tcW w:w="19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4" w:right="8"/>
              <w:jc w:val="center"/>
              <w:rPr>
                <w:sz w:val="18"/>
              </w:rPr>
            </w:pPr>
            <w:r>
              <w:rPr>
                <w:spacing w:val="-5"/>
                <w:sz w:val="18"/>
              </w:rPr>
              <w:t>22</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2"/>
              <w:rPr>
                <w:sz w:val="18"/>
              </w:rPr>
            </w:pPr>
            <w:r>
              <w:rPr>
                <w:sz w:val="18"/>
              </w:rPr>
              <w:t>Cantidad</w:t>
            </w:r>
            <w:r>
              <w:rPr>
                <w:spacing w:val="-13"/>
                <w:sz w:val="18"/>
              </w:rPr>
              <w:t> </w:t>
            </w:r>
            <w:r>
              <w:rPr>
                <w:sz w:val="18"/>
              </w:rPr>
              <w:t>de </w:t>
            </w:r>
            <w:r>
              <w:rPr>
                <w:spacing w:val="-2"/>
                <w:sz w:val="18"/>
              </w:rPr>
              <w:t>cursos</w:t>
            </w:r>
          </w:p>
        </w:tc>
        <w:tc>
          <w:tcPr>
            <w:tcW w:w="18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7" w:right="123"/>
              <w:rPr>
                <w:sz w:val="18"/>
              </w:rPr>
            </w:pPr>
            <w:r>
              <w:rPr>
                <w:sz w:val="18"/>
              </w:rPr>
              <w:t>Listas</w:t>
            </w:r>
            <w:r>
              <w:rPr>
                <w:spacing w:val="-15"/>
                <w:sz w:val="18"/>
              </w:rPr>
              <w:t> </w:t>
            </w:r>
            <w:r>
              <w:rPr>
                <w:sz w:val="18"/>
              </w:rPr>
              <w:t>de</w:t>
            </w:r>
            <w:r>
              <w:rPr>
                <w:spacing w:val="-12"/>
                <w:sz w:val="18"/>
              </w:rPr>
              <w:t> </w:t>
            </w:r>
            <w:r>
              <w:rPr>
                <w:sz w:val="18"/>
              </w:rPr>
              <w:t>asistencia Oficios de </w:t>
            </w:r>
            <w:r>
              <w:rPr>
                <w:spacing w:val="-2"/>
                <w:sz w:val="18"/>
              </w:rPr>
              <w:t>convocatoria</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2"/>
              <w:rPr>
                <w:sz w:val="18"/>
              </w:rPr>
            </w:pPr>
            <w:r>
              <w:rPr>
                <w:spacing w:val="-2"/>
                <w:sz w:val="18"/>
              </w:rPr>
              <w:t>Desarrollo Humano</w:t>
            </w:r>
          </w:p>
        </w:tc>
        <w:tc>
          <w:tcPr>
            <w:tcW w:w="1841" w:type="dxa"/>
          </w:tcPr>
          <w:p>
            <w:pPr>
              <w:pStyle w:val="TableParagraph"/>
              <w:rPr>
                <w:rFonts w:ascii="Times New Roman"/>
                <w:sz w:val="18"/>
              </w:rPr>
            </w:pPr>
          </w:p>
        </w:tc>
        <w:tc>
          <w:tcPr>
            <w:tcW w:w="1498" w:type="dxa"/>
          </w:tcPr>
          <w:p>
            <w:pPr>
              <w:pStyle w:val="TableParagraph"/>
              <w:ind w:left="74" w:right="93"/>
              <w:rPr>
                <w:sz w:val="18"/>
              </w:rPr>
            </w:pPr>
            <w:r>
              <w:rPr>
                <w:sz w:val="18"/>
              </w:rPr>
              <w:t>Evento: Baja participación o interés del público en los procesos de </w:t>
            </w:r>
            <w:r>
              <w:rPr>
                <w:spacing w:val="-2"/>
                <w:sz w:val="18"/>
              </w:rPr>
              <w:t>sensibilización, </w:t>
            </w:r>
            <w:r>
              <w:rPr>
                <w:sz w:val="18"/>
              </w:rPr>
              <w:t>capacitación y formación para la</w:t>
            </w:r>
            <w:r>
              <w:rPr>
                <w:spacing w:val="-2"/>
                <w:sz w:val="18"/>
              </w:rPr>
              <w:t> </w:t>
            </w:r>
            <w:r>
              <w:rPr>
                <w:sz w:val="18"/>
              </w:rPr>
              <w:t>promoción</w:t>
            </w:r>
            <w:r>
              <w:rPr>
                <w:spacing w:val="-6"/>
                <w:sz w:val="18"/>
              </w:rPr>
              <w:t> </w:t>
            </w:r>
            <w:r>
              <w:rPr>
                <w:sz w:val="18"/>
              </w:rPr>
              <w:t>de la igualdad de género, la no discriminación</w:t>
            </w:r>
            <w:r>
              <w:rPr>
                <w:spacing w:val="-7"/>
                <w:sz w:val="18"/>
              </w:rPr>
              <w:t> </w:t>
            </w:r>
            <w:r>
              <w:rPr>
                <w:sz w:val="18"/>
              </w:rPr>
              <w:t>y </w:t>
            </w:r>
            <w:r>
              <w:rPr>
                <w:spacing w:val="-6"/>
                <w:sz w:val="18"/>
              </w:rPr>
              <w:t>la </w:t>
            </w:r>
            <w:r>
              <w:rPr>
                <w:spacing w:val="-2"/>
                <w:sz w:val="18"/>
              </w:rPr>
              <w:t>corresponsabilid </w:t>
            </w:r>
            <w:r>
              <w:rPr>
                <w:sz w:val="18"/>
              </w:rPr>
              <w:t>ad social de los</w:t>
            </w:r>
          </w:p>
          <w:p>
            <w:pPr>
              <w:pStyle w:val="TableParagraph"/>
              <w:spacing w:line="187" w:lineRule="exact" w:before="1"/>
              <w:ind w:left="74"/>
              <w:rPr>
                <w:sz w:val="18"/>
              </w:rPr>
            </w:pPr>
            <w:r>
              <w:rPr>
                <w:spacing w:val="-2"/>
                <w:sz w:val="18"/>
              </w:rPr>
              <w:t>cuidados.</w:t>
            </w:r>
          </w:p>
        </w:tc>
      </w:tr>
    </w:tbl>
    <w:p>
      <w:pPr>
        <w:pStyle w:val="TableParagraph"/>
        <w:spacing w:after="0" w:line="187" w:lineRule="exact"/>
        <w:rPr>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3"/>
        <w:gridCol w:w="1560"/>
        <w:gridCol w:w="1983"/>
        <w:gridCol w:w="1421"/>
        <w:gridCol w:w="1839"/>
        <w:gridCol w:w="1278"/>
        <w:gridCol w:w="1841"/>
        <w:gridCol w:w="1498"/>
      </w:tblGrid>
      <w:tr>
        <w:trPr>
          <w:trHeight w:val="618" w:hRule="atLeast"/>
        </w:trPr>
        <w:tc>
          <w:tcPr>
            <w:tcW w:w="2833" w:type="dxa"/>
            <w:shd w:val="clear" w:color="auto" w:fill="D7D7D7"/>
          </w:tcPr>
          <w:p>
            <w:pPr>
              <w:pStyle w:val="TableParagraph"/>
              <w:spacing w:before="205"/>
              <w:ind w:left="446"/>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7D7D7"/>
          </w:tcPr>
          <w:p>
            <w:pPr>
              <w:pStyle w:val="TableParagraph"/>
              <w:spacing w:before="104"/>
              <w:ind w:left="518" w:right="58" w:hanging="216"/>
              <w:rPr>
                <w:b/>
                <w:sz w:val="18"/>
              </w:rPr>
            </w:pPr>
            <w:r>
              <w:rPr>
                <w:b/>
                <w:sz w:val="18"/>
              </w:rPr>
              <w:t>Línea</w:t>
            </w:r>
            <w:r>
              <w:rPr>
                <w:b/>
                <w:spacing w:val="-13"/>
                <w:sz w:val="18"/>
              </w:rPr>
              <w:t> </w:t>
            </w:r>
            <w:r>
              <w:rPr>
                <w:b/>
                <w:sz w:val="18"/>
              </w:rPr>
              <w:t>Base </w:t>
            </w:r>
            <w:r>
              <w:rPr>
                <w:b/>
                <w:spacing w:val="-2"/>
                <w:sz w:val="18"/>
              </w:rPr>
              <w:t>(2024)</w:t>
            </w:r>
          </w:p>
        </w:tc>
        <w:tc>
          <w:tcPr>
            <w:tcW w:w="1983" w:type="dxa"/>
            <w:shd w:val="clear" w:color="auto" w:fill="D7D7D7"/>
          </w:tcPr>
          <w:p>
            <w:pPr>
              <w:pStyle w:val="TableParagraph"/>
              <w:spacing w:before="104"/>
              <w:ind w:left="788" w:hanging="553"/>
              <w:rPr>
                <w:b/>
                <w:sz w:val="18"/>
              </w:rPr>
            </w:pPr>
            <w:r>
              <w:rPr>
                <w:b/>
                <w:sz w:val="18"/>
              </w:rPr>
              <w:t>Meta</w:t>
            </w:r>
            <w:r>
              <w:rPr>
                <w:b/>
                <w:spacing w:val="-13"/>
                <w:sz w:val="18"/>
              </w:rPr>
              <w:t> </w:t>
            </w:r>
            <w:r>
              <w:rPr>
                <w:b/>
                <w:sz w:val="18"/>
              </w:rPr>
              <w:t>programada </w:t>
            </w:r>
            <w:r>
              <w:rPr>
                <w:b/>
                <w:spacing w:val="-4"/>
                <w:sz w:val="18"/>
              </w:rPr>
              <w:t>2026</w:t>
            </w:r>
          </w:p>
        </w:tc>
        <w:tc>
          <w:tcPr>
            <w:tcW w:w="1421" w:type="dxa"/>
            <w:shd w:val="clear" w:color="auto" w:fill="D7D7D7"/>
          </w:tcPr>
          <w:p>
            <w:pPr>
              <w:pStyle w:val="TableParagraph"/>
              <w:spacing w:before="205"/>
              <w:ind w:left="302"/>
              <w:rPr>
                <w:b/>
                <w:sz w:val="18"/>
              </w:rPr>
            </w:pPr>
            <w:r>
              <w:rPr>
                <w:b/>
                <w:spacing w:val="-2"/>
                <w:sz w:val="18"/>
              </w:rPr>
              <w:t>Indicador</w:t>
            </w:r>
          </w:p>
        </w:tc>
        <w:tc>
          <w:tcPr>
            <w:tcW w:w="1839" w:type="dxa"/>
            <w:shd w:val="clear" w:color="auto" w:fill="D7D7D7"/>
          </w:tcPr>
          <w:p>
            <w:pPr>
              <w:pStyle w:val="TableParagraph"/>
              <w:spacing w:before="104"/>
              <w:ind w:left="417" w:right="123" w:firstLine="57"/>
              <w:rPr>
                <w:b/>
                <w:sz w:val="18"/>
              </w:rPr>
            </w:pPr>
            <w:r>
              <w:rPr>
                <w:b/>
                <w:sz w:val="18"/>
              </w:rPr>
              <w:t>Medios de </w:t>
            </w:r>
            <w:r>
              <w:rPr>
                <w:b/>
                <w:spacing w:val="-2"/>
                <w:sz w:val="18"/>
              </w:rPr>
              <w:t>verificación</w:t>
            </w:r>
          </w:p>
        </w:tc>
        <w:tc>
          <w:tcPr>
            <w:tcW w:w="1278" w:type="dxa"/>
            <w:shd w:val="clear" w:color="auto" w:fill="D7D7D7"/>
          </w:tcPr>
          <w:p>
            <w:pPr>
              <w:pStyle w:val="TableParagraph"/>
              <w:spacing w:before="205"/>
              <w:ind w:left="81"/>
              <w:rPr>
                <w:b/>
                <w:sz w:val="18"/>
              </w:rPr>
            </w:pPr>
            <w:r>
              <w:rPr>
                <w:b/>
                <w:spacing w:val="-2"/>
                <w:sz w:val="18"/>
              </w:rPr>
              <w:t>Responsable</w:t>
            </w:r>
          </w:p>
        </w:tc>
        <w:tc>
          <w:tcPr>
            <w:tcW w:w="1841" w:type="dxa"/>
            <w:shd w:val="clear" w:color="auto" w:fill="D7D7D7"/>
          </w:tcPr>
          <w:p>
            <w:pPr>
              <w:pStyle w:val="TableParagraph"/>
              <w:spacing w:before="104"/>
              <w:ind w:left="527" w:hanging="154"/>
              <w:rPr>
                <w:b/>
                <w:sz w:val="18"/>
              </w:rPr>
            </w:pPr>
            <w:r>
              <w:rPr>
                <w:b/>
                <w:spacing w:val="-2"/>
                <w:sz w:val="18"/>
              </w:rPr>
              <w:t>Presupuesto asignado</w:t>
            </w:r>
          </w:p>
        </w:tc>
        <w:tc>
          <w:tcPr>
            <w:tcW w:w="1498" w:type="dxa"/>
            <w:shd w:val="clear" w:color="auto" w:fill="D7D7D7"/>
          </w:tcPr>
          <w:p>
            <w:pPr>
              <w:pStyle w:val="TableParagraph"/>
              <w:spacing w:line="206" w:lineRule="exact"/>
              <w:ind w:left="165" w:right="144" w:hanging="5"/>
              <w:jc w:val="center"/>
              <w:rPr>
                <w:b/>
                <w:sz w:val="18"/>
              </w:rPr>
            </w:pPr>
            <w:r>
              <w:rPr>
                <w:b/>
                <w:spacing w:val="-2"/>
                <w:sz w:val="18"/>
              </w:rPr>
              <w:t>Riesgo </w:t>
            </w:r>
            <w:r>
              <w:rPr>
                <w:b/>
                <w:sz w:val="18"/>
              </w:rPr>
              <w:t>asociado al </w:t>
            </w:r>
            <w:r>
              <w:rPr>
                <w:b/>
                <w:spacing w:val="-2"/>
                <w:sz w:val="18"/>
              </w:rPr>
              <w:t>cumplimiento</w:t>
            </w:r>
          </w:p>
        </w:tc>
      </w:tr>
      <w:tr>
        <w:trPr>
          <w:trHeight w:val="561" w:hRule="atLeast"/>
        </w:trPr>
        <w:tc>
          <w:tcPr>
            <w:tcW w:w="14253" w:type="dxa"/>
            <w:gridSpan w:val="8"/>
            <w:shd w:val="clear" w:color="auto" w:fill="EFF8F9"/>
          </w:tcPr>
          <w:p>
            <w:pPr>
              <w:pStyle w:val="TableParagraph"/>
              <w:spacing w:line="244" w:lineRule="auto" w:before="71"/>
              <w:ind w:left="72" w:right="78"/>
              <w:rPr>
                <w:b/>
                <w:sz w:val="18"/>
              </w:rPr>
            </w:pPr>
            <w:r>
              <w:rPr>
                <w:b/>
                <w:sz w:val="18"/>
              </w:rPr>
              <w:t>Producto</w:t>
            </w:r>
            <w:r>
              <w:rPr>
                <w:b/>
                <w:spacing w:val="-3"/>
                <w:sz w:val="18"/>
              </w:rPr>
              <w:t> </w:t>
            </w:r>
            <w:r>
              <w:rPr>
                <w:b/>
                <w:sz w:val="18"/>
              </w:rPr>
              <w:t>PAC</w:t>
            </w:r>
            <w:r>
              <w:rPr>
                <w:b/>
                <w:spacing w:val="-4"/>
                <w:sz w:val="18"/>
              </w:rPr>
              <w:t> </w:t>
            </w:r>
            <w:r>
              <w:rPr>
                <w:b/>
                <w:sz w:val="18"/>
              </w:rPr>
              <w:t>2.17: Implementación</w:t>
            </w:r>
            <w:r>
              <w:rPr>
                <w:b/>
                <w:spacing w:val="-3"/>
                <w:sz w:val="18"/>
              </w:rPr>
              <w:t> </w:t>
            </w:r>
            <w:r>
              <w:rPr>
                <w:b/>
                <w:sz w:val="18"/>
              </w:rPr>
              <w:t>de</w:t>
            </w:r>
            <w:r>
              <w:rPr>
                <w:b/>
                <w:spacing w:val="-2"/>
                <w:sz w:val="18"/>
              </w:rPr>
              <w:t> </w:t>
            </w:r>
            <w:r>
              <w:rPr>
                <w:b/>
                <w:sz w:val="18"/>
              </w:rPr>
              <w:t>acciones</w:t>
            </w:r>
            <w:r>
              <w:rPr>
                <w:b/>
                <w:spacing w:val="-2"/>
                <w:sz w:val="18"/>
              </w:rPr>
              <w:t> </w:t>
            </w:r>
            <w:r>
              <w:rPr>
                <w:b/>
                <w:sz w:val="18"/>
              </w:rPr>
              <w:t>para</w:t>
            </w:r>
            <w:r>
              <w:rPr>
                <w:b/>
                <w:spacing w:val="-7"/>
                <w:sz w:val="18"/>
              </w:rPr>
              <w:t> </w:t>
            </w:r>
            <w:r>
              <w:rPr>
                <w:b/>
                <w:sz w:val="18"/>
              </w:rPr>
              <w:t>la</w:t>
            </w:r>
            <w:r>
              <w:rPr>
                <w:b/>
                <w:spacing w:val="-2"/>
                <w:sz w:val="18"/>
              </w:rPr>
              <w:t> </w:t>
            </w:r>
            <w:r>
              <w:rPr>
                <w:b/>
                <w:sz w:val="18"/>
              </w:rPr>
              <w:t>identificación, valoración</w:t>
            </w:r>
            <w:r>
              <w:rPr>
                <w:b/>
                <w:spacing w:val="-3"/>
                <w:sz w:val="18"/>
              </w:rPr>
              <w:t> </w:t>
            </w:r>
            <w:r>
              <w:rPr>
                <w:b/>
                <w:sz w:val="18"/>
              </w:rPr>
              <w:t>y</w:t>
            </w:r>
            <w:r>
              <w:rPr>
                <w:b/>
                <w:spacing w:val="-2"/>
                <w:sz w:val="18"/>
              </w:rPr>
              <w:t> </w:t>
            </w:r>
            <w:r>
              <w:rPr>
                <w:b/>
                <w:sz w:val="18"/>
              </w:rPr>
              <w:t>abordaje</w:t>
            </w:r>
            <w:r>
              <w:rPr>
                <w:b/>
                <w:spacing w:val="-2"/>
                <w:sz w:val="18"/>
              </w:rPr>
              <w:t> </w:t>
            </w:r>
            <w:r>
              <w:rPr>
                <w:b/>
                <w:sz w:val="18"/>
              </w:rPr>
              <w:t>de</w:t>
            </w:r>
            <w:r>
              <w:rPr>
                <w:b/>
                <w:spacing w:val="-2"/>
                <w:sz w:val="18"/>
              </w:rPr>
              <w:t> </w:t>
            </w:r>
            <w:r>
              <w:rPr>
                <w:b/>
                <w:sz w:val="18"/>
              </w:rPr>
              <w:t>riesgos</w:t>
            </w:r>
            <w:r>
              <w:rPr>
                <w:b/>
                <w:spacing w:val="-7"/>
                <w:sz w:val="18"/>
              </w:rPr>
              <w:t> </w:t>
            </w:r>
            <w:r>
              <w:rPr>
                <w:b/>
                <w:sz w:val="18"/>
              </w:rPr>
              <w:t>laborales</w:t>
            </w:r>
            <w:r>
              <w:rPr>
                <w:b/>
                <w:spacing w:val="-7"/>
                <w:sz w:val="18"/>
              </w:rPr>
              <w:t> </w:t>
            </w:r>
            <w:r>
              <w:rPr>
                <w:b/>
                <w:sz w:val="18"/>
              </w:rPr>
              <w:t>con enfoque de</w:t>
            </w:r>
            <w:r>
              <w:rPr>
                <w:b/>
                <w:spacing w:val="-2"/>
                <w:sz w:val="18"/>
              </w:rPr>
              <w:t> </w:t>
            </w:r>
            <w:r>
              <w:rPr>
                <w:b/>
                <w:sz w:val="18"/>
              </w:rPr>
              <w:t>género y</w:t>
            </w:r>
            <w:r>
              <w:rPr>
                <w:b/>
                <w:spacing w:val="-2"/>
                <w:sz w:val="18"/>
              </w:rPr>
              <w:t> </w:t>
            </w:r>
            <w:r>
              <w:rPr>
                <w:b/>
                <w:sz w:val="18"/>
              </w:rPr>
              <w:t>diversidad, mediante</w:t>
            </w:r>
            <w:r>
              <w:rPr>
                <w:b/>
                <w:spacing w:val="-2"/>
                <w:sz w:val="18"/>
              </w:rPr>
              <w:t> </w:t>
            </w:r>
            <w:r>
              <w:rPr>
                <w:b/>
                <w:sz w:val="18"/>
              </w:rPr>
              <w:t>la aplicación de estudios en los puestos de trabajo y el desarrollo de medidas preventivas en materia de salud ocupacional. (PIGI IMAS)</w:t>
            </w:r>
          </w:p>
        </w:tc>
      </w:tr>
      <w:tr>
        <w:trPr>
          <w:trHeight w:val="1656" w:hRule="atLeast"/>
        </w:trPr>
        <w:tc>
          <w:tcPr>
            <w:tcW w:w="2833" w:type="dxa"/>
          </w:tcPr>
          <w:p>
            <w:pPr>
              <w:pStyle w:val="TableParagraph"/>
              <w:ind w:left="72" w:right="87"/>
              <w:rPr>
                <w:sz w:val="18"/>
              </w:rPr>
            </w:pPr>
            <w:r>
              <w:rPr>
                <w:b/>
                <w:sz w:val="18"/>
              </w:rPr>
              <w:t>Producto</w:t>
            </w:r>
            <w:r>
              <w:rPr>
                <w:b/>
                <w:spacing w:val="-11"/>
                <w:sz w:val="18"/>
              </w:rPr>
              <w:t> </w:t>
            </w:r>
            <w:r>
              <w:rPr>
                <w:b/>
                <w:sz w:val="18"/>
              </w:rPr>
              <w:t>PAC</w:t>
            </w:r>
            <w:r>
              <w:rPr>
                <w:b/>
                <w:spacing w:val="-12"/>
                <w:sz w:val="18"/>
              </w:rPr>
              <w:t> </w:t>
            </w:r>
            <w:r>
              <w:rPr>
                <w:b/>
                <w:sz w:val="18"/>
              </w:rPr>
              <w:t>2.17.1:</w:t>
            </w:r>
            <w:r>
              <w:rPr>
                <w:b/>
                <w:spacing w:val="-4"/>
                <w:sz w:val="18"/>
              </w:rPr>
              <w:t> </w:t>
            </w:r>
            <w:r>
              <w:rPr>
                <w:sz w:val="18"/>
              </w:rPr>
              <w:t>Capacitar al personal de Desarrollo Humano</w:t>
            </w:r>
            <w:r>
              <w:rPr>
                <w:spacing w:val="-8"/>
                <w:sz w:val="18"/>
              </w:rPr>
              <w:t> </w:t>
            </w:r>
            <w:r>
              <w:rPr>
                <w:sz w:val="18"/>
              </w:rPr>
              <w:t>en</w:t>
            </w:r>
            <w:r>
              <w:rPr>
                <w:spacing w:val="-8"/>
                <w:sz w:val="18"/>
              </w:rPr>
              <w:t> </w:t>
            </w:r>
            <w:r>
              <w:rPr>
                <w:sz w:val="18"/>
              </w:rPr>
              <w:t>el</w:t>
            </w:r>
            <w:r>
              <w:rPr>
                <w:spacing w:val="-6"/>
                <w:sz w:val="18"/>
              </w:rPr>
              <w:t> </w:t>
            </w:r>
            <w:r>
              <w:rPr>
                <w:sz w:val="18"/>
              </w:rPr>
              <w:t>abordaje</w:t>
            </w:r>
            <w:r>
              <w:rPr>
                <w:spacing w:val="-8"/>
                <w:sz w:val="18"/>
              </w:rPr>
              <w:t> </w:t>
            </w:r>
            <w:r>
              <w:rPr>
                <w:sz w:val="18"/>
              </w:rPr>
              <w:t>de</w:t>
            </w:r>
            <w:r>
              <w:rPr>
                <w:spacing w:val="-8"/>
                <w:sz w:val="18"/>
              </w:rPr>
              <w:t> </w:t>
            </w:r>
            <w:r>
              <w:rPr>
                <w:sz w:val="18"/>
              </w:rPr>
              <w:t>temas relacionados a género y diversidad en la evaluación y de los riesgos para la salud ocupacional, incluyendo los</w:t>
            </w:r>
          </w:p>
          <w:p>
            <w:pPr>
              <w:pStyle w:val="TableParagraph"/>
              <w:spacing w:line="187" w:lineRule="exact"/>
              <w:ind w:left="72"/>
              <w:rPr>
                <w:sz w:val="18"/>
              </w:rPr>
            </w:pPr>
            <w:r>
              <w:rPr>
                <w:sz w:val="18"/>
              </w:rPr>
              <w:t>factores</w:t>
            </w:r>
            <w:r>
              <w:rPr>
                <w:spacing w:val="-1"/>
                <w:sz w:val="18"/>
              </w:rPr>
              <w:t> </w:t>
            </w:r>
            <w:r>
              <w:rPr>
                <w:sz w:val="18"/>
              </w:rPr>
              <w:t>de</w:t>
            </w:r>
            <w:r>
              <w:rPr>
                <w:spacing w:val="-6"/>
                <w:sz w:val="18"/>
              </w:rPr>
              <w:t> </w:t>
            </w:r>
            <w:r>
              <w:rPr>
                <w:sz w:val="18"/>
              </w:rPr>
              <w:t>riesgo</w:t>
            </w:r>
            <w:r>
              <w:rPr>
                <w:spacing w:val="-5"/>
                <w:sz w:val="18"/>
              </w:rPr>
              <w:t> </w:t>
            </w:r>
            <w:r>
              <w:rPr>
                <w:spacing w:val="-2"/>
                <w:sz w:val="18"/>
              </w:rPr>
              <w:t>psicosocial.</w:t>
            </w:r>
          </w:p>
        </w:tc>
        <w:tc>
          <w:tcPr>
            <w:tcW w:w="15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20"/>
              <w:jc w:val="center"/>
              <w:rPr>
                <w:sz w:val="18"/>
              </w:rPr>
            </w:pPr>
            <w:r>
              <w:rPr>
                <w:spacing w:val="-10"/>
                <w:sz w:val="18"/>
              </w:rPr>
              <w:t>0</w:t>
            </w:r>
          </w:p>
        </w:tc>
        <w:tc>
          <w:tcPr>
            <w:tcW w:w="198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4" w:right="5"/>
              <w:jc w:val="center"/>
              <w:rPr>
                <w:sz w:val="18"/>
              </w:rPr>
            </w:pPr>
            <w:r>
              <w:rPr>
                <w:spacing w:val="-4"/>
                <w:sz w:val="18"/>
              </w:rPr>
              <w:t>100%</w:t>
            </w:r>
          </w:p>
        </w:tc>
        <w:tc>
          <w:tcPr>
            <w:tcW w:w="1421" w:type="dxa"/>
          </w:tcPr>
          <w:p>
            <w:pPr>
              <w:pStyle w:val="TableParagraph"/>
              <w:spacing w:before="99"/>
              <w:ind w:left="72" w:right="181"/>
              <w:rPr>
                <w:sz w:val="18"/>
              </w:rPr>
            </w:pPr>
            <w:r>
              <w:rPr>
                <w:sz w:val="18"/>
              </w:rPr>
              <w:t>Porcentaje</w:t>
            </w:r>
            <w:r>
              <w:rPr>
                <w:spacing w:val="-13"/>
                <w:sz w:val="18"/>
              </w:rPr>
              <w:t> </w:t>
            </w:r>
            <w:r>
              <w:rPr>
                <w:sz w:val="18"/>
              </w:rPr>
              <w:t>del proceso de </w:t>
            </w:r>
            <w:r>
              <w:rPr>
                <w:spacing w:val="-2"/>
                <w:sz w:val="18"/>
              </w:rPr>
              <w:t>capacitación </w:t>
            </w:r>
            <w:r>
              <w:rPr>
                <w:sz w:val="18"/>
              </w:rPr>
              <w:t>realizada al personal de </w:t>
            </w:r>
            <w:r>
              <w:rPr>
                <w:spacing w:val="-2"/>
                <w:sz w:val="18"/>
              </w:rPr>
              <w:t>Desarrollo Humanos</w:t>
            </w:r>
          </w:p>
        </w:tc>
        <w:tc>
          <w:tcPr>
            <w:tcW w:w="1839" w:type="dxa"/>
          </w:tcPr>
          <w:p>
            <w:pPr>
              <w:pStyle w:val="TableParagraph"/>
              <w:rPr>
                <w:b/>
                <w:sz w:val="18"/>
              </w:rPr>
            </w:pPr>
          </w:p>
          <w:p>
            <w:pPr>
              <w:pStyle w:val="TableParagraph"/>
              <w:spacing w:before="98"/>
              <w:rPr>
                <w:b/>
                <w:sz w:val="18"/>
              </w:rPr>
            </w:pPr>
          </w:p>
          <w:p>
            <w:pPr>
              <w:pStyle w:val="TableParagraph"/>
              <w:spacing w:line="242" w:lineRule="auto"/>
              <w:ind w:left="67" w:right="123"/>
              <w:rPr>
                <w:sz w:val="18"/>
              </w:rPr>
            </w:pPr>
            <w:r>
              <w:rPr>
                <w:sz w:val="18"/>
              </w:rPr>
              <w:t>Lista</w:t>
            </w:r>
            <w:r>
              <w:rPr>
                <w:spacing w:val="-15"/>
                <w:sz w:val="18"/>
              </w:rPr>
              <w:t> </w:t>
            </w:r>
            <w:r>
              <w:rPr>
                <w:sz w:val="18"/>
              </w:rPr>
              <w:t>de</w:t>
            </w:r>
            <w:r>
              <w:rPr>
                <w:spacing w:val="-12"/>
                <w:sz w:val="18"/>
              </w:rPr>
              <w:t> </w:t>
            </w:r>
            <w:r>
              <w:rPr>
                <w:sz w:val="18"/>
              </w:rPr>
              <w:t>asistencia Oficio de </w:t>
            </w:r>
            <w:r>
              <w:rPr>
                <w:spacing w:val="-2"/>
                <w:sz w:val="18"/>
              </w:rPr>
              <w:t>convocatoria</w:t>
            </w:r>
          </w:p>
        </w:tc>
        <w:tc>
          <w:tcPr>
            <w:tcW w:w="1278" w:type="dxa"/>
          </w:tcPr>
          <w:p>
            <w:pPr>
              <w:pStyle w:val="TableParagraph"/>
              <w:rPr>
                <w:b/>
                <w:sz w:val="18"/>
              </w:rPr>
            </w:pPr>
          </w:p>
          <w:p>
            <w:pPr>
              <w:pStyle w:val="TableParagraph"/>
              <w:spacing w:before="204"/>
              <w:rPr>
                <w:b/>
                <w:sz w:val="18"/>
              </w:rPr>
            </w:pPr>
          </w:p>
          <w:p>
            <w:pPr>
              <w:pStyle w:val="TableParagraph"/>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val="restart"/>
          </w:tcPr>
          <w:p>
            <w:pPr>
              <w:pStyle w:val="TableParagraph"/>
              <w:rPr>
                <w:b/>
                <w:sz w:val="18"/>
              </w:rPr>
            </w:pPr>
          </w:p>
          <w:p>
            <w:pPr>
              <w:pStyle w:val="TableParagraph"/>
              <w:spacing w:before="50"/>
              <w:rPr>
                <w:b/>
                <w:sz w:val="18"/>
              </w:rPr>
            </w:pPr>
          </w:p>
          <w:p>
            <w:pPr>
              <w:pStyle w:val="TableParagraph"/>
              <w:ind w:left="74" w:right="67"/>
              <w:rPr>
                <w:sz w:val="18"/>
              </w:rPr>
            </w:pPr>
            <w:r>
              <w:rPr>
                <w:sz w:val="18"/>
              </w:rPr>
              <w:t>Evento: Podría no</w:t>
            </w:r>
            <w:r>
              <w:rPr>
                <w:spacing w:val="-15"/>
                <w:sz w:val="18"/>
              </w:rPr>
              <w:t> </w:t>
            </w:r>
            <w:r>
              <w:rPr>
                <w:sz w:val="18"/>
              </w:rPr>
              <w:t>generarse</w:t>
            </w:r>
            <w:r>
              <w:rPr>
                <w:spacing w:val="-12"/>
                <w:sz w:val="18"/>
              </w:rPr>
              <w:t> </w:t>
            </w:r>
            <w:r>
              <w:rPr>
                <w:sz w:val="18"/>
              </w:rPr>
              <w:t>las </w:t>
            </w:r>
            <w:r>
              <w:rPr>
                <w:spacing w:val="-2"/>
                <w:sz w:val="18"/>
              </w:rPr>
              <w:t>medidas </w:t>
            </w:r>
            <w:r>
              <w:rPr>
                <w:sz w:val="18"/>
              </w:rPr>
              <w:t>preventivas en materia</w:t>
            </w:r>
            <w:r>
              <w:rPr>
                <w:spacing w:val="-13"/>
                <w:sz w:val="18"/>
              </w:rPr>
              <w:t> </w:t>
            </w:r>
            <w:r>
              <w:rPr>
                <w:sz w:val="18"/>
              </w:rPr>
              <w:t>de</w:t>
            </w:r>
            <w:r>
              <w:rPr>
                <w:spacing w:val="-12"/>
                <w:sz w:val="18"/>
              </w:rPr>
              <w:t> </w:t>
            </w:r>
            <w:r>
              <w:rPr>
                <w:sz w:val="18"/>
              </w:rPr>
              <w:t>salud ocupacional</w:t>
            </w:r>
            <w:r>
              <w:rPr>
                <w:spacing w:val="-1"/>
                <w:sz w:val="18"/>
              </w:rPr>
              <w:t> </w:t>
            </w:r>
            <w:r>
              <w:rPr>
                <w:sz w:val="18"/>
              </w:rPr>
              <w:t>en los puestos de trabajo con enfoque de género y </w:t>
            </w:r>
            <w:r>
              <w:rPr>
                <w:spacing w:val="-2"/>
                <w:sz w:val="18"/>
              </w:rPr>
              <w:t>diversidad</w:t>
            </w:r>
          </w:p>
        </w:tc>
      </w:tr>
      <w:tr>
        <w:trPr>
          <w:trHeight w:val="1545" w:hRule="atLeast"/>
        </w:trPr>
        <w:tc>
          <w:tcPr>
            <w:tcW w:w="2833" w:type="dxa"/>
          </w:tcPr>
          <w:p>
            <w:pPr>
              <w:pStyle w:val="TableParagraph"/>
              <w:spacing w:before="47"/>
              <w:ind w:left="72" w:right="119"/>
              <w:rPr>
                <w:sz w:val="18"/>
              </w:rPr>
            </w:pPr>
            <w:r>
              <w:rPr>
                <w:b/>
                <w:sz w:val="18"/>
              </w:rPr>
              <w:t>Producto PAC 2.17.2: </w:t>
            </w:r>
            <w:r>
              <w:rPr>
                <w:sz w:val="18"/>
              </w:rPr>
              <w:t>Implementación</w:t>
            </w:r>
            <w:r>
              <w:rPr>
                <w:spacing w:val="-6"/>
                <w:sz w:val="18"/>
              </w:rPr>
              <w:t> </w:t>
            </w:r>
            <w:r>
              <w:rPr>
                <w:sz w:val="18"/>
              </w:rPr>
              <w:t>de</w:t>
            </w:r>
            <w:r>
              <w:rPr>
                <w:spacing w:val="-6"/>
                <w:sz w:val="18"/>
              </w:rPr>
              <w:t> </w:t>
            </w:r>
            <w:r>
              <w:rPr>
                <w:sz w:val="18"/>
              </w:rPr>
              <w:t>criterios</w:t>
            </w:r>
            <w:r>
              <w:rPr>
                <w:spacing w:val="-1"/>
                <w:sz w:val="18"/>
              </w:rPr>
              <w:t> </w:t>
            </w:r>
            <w:r>
              <w:rPr>
                <w:sz w:val="18"/>
              </w:rPr>
              <w:t>de género y diversidad en la evaluación</w:t>
            </w:r>
            <w:r>
              <w:rPr>
                <w:spacing w:val="-8"/>
                <w:sz w:val="18"/>
              </w:rPr>
              <w:t> </w:t>
            </w:r>
            <w:r>
              <w:rPr>
                <w:sz w:val="18"/>
              </w:rPr>
              <w:t>y</w:t>
            </w:r>
            <w:r>
              <w:rPr>
                <w:spacing w:val="-4"/>
                <w:sz w:val="18"/>
              </w:rPr>
              <w:t> </w:t>
            </w:r>
            <w:r>
              <w:rPr>
                <w:sz w:val="18"/>
              </w:rPr>
              <w:t>el</w:t>
            </w:r>
            <w:r>
              <w:rPr>
                <w:spacing w:val="-10"/>
                <w:sz w:val="18"/>
              </w:rPr>
              <w:t> </w:t>
            </w:r>
            <w:r>
              <w:rPr>
                <w:sz w:val="18"/>
              </w:rPr>
              <w:t>abordaje</w:t>
            </w:r>
            <w:r>
              <w:rPr>
                <w:spacing w:val="-5"/>
                <w:sz w:val="18"/>
              </w:rPr>
              <w:t> </w:t>
            </w:r>
            <w:r>
              <w:rPr>
                <w:sz w:val="18"/>
              </w:rPr>
              <w:t>de</w:t>
            </w:r>
            <w:r>
              <w:rPr>
                <w:spacing w:val="-8"/>
                <w:sz w:val="18"/>
              </w:rPr>
              <w:t> </w:t>
            </w:r>
            <w:r>
              <w:rPr>
                <w:sz w:val="18"/>
              </w:rPr>
              <w:t>los riesgos para la salud ocupacional, incluyendo los factores de riesgo psicosocial.</w:t>
            </w:r>
          </w:p>
        </w:tc>
        <w:tc>
          <w:tcPr>
            <w:tcW w:w="1560" w:type="dxa"/>
          </w:tcPr>
          <w:p>
            <w:pPr>
              <w:pStyle w:val="TableParagraph"/>
              <w:rPr>
                <w:b/>
                <w:sz w:val="18"/>
              </w:rPr>
            </w:pPr>
          </w:p>
          <w:p>
            <w:pPr>
              <w:pStyle w:val="TableParagraph"/>
              <w:rPr>
                <w:b/>
                <w:sz w:val="18"/>
              </w:rPr>
            </w:pPr>
          </w:p>
          <w:p>
            <w:pPr>
              <w:pStyle w:val="TableParagraph"/>
              <w:spacing w:before="45"/>
              <w:rPr>
                <w:b/>
                <w:sz w:val="18"/>
              </w:rPr>
            </w:pPr>
          </w:p>
          <w:p>
            <w:pPr>
              <w:pStyle w:val="TableParagraph"/>
              <w:spacing w:before="1"/>
              <w:ind w:left="21" w:right="20"/>
              <w:jc w:val="center"/>
              <w:rPr>
                <w:sz w:val="18"/>
              </w:rPr>
            </w:pPr>
            <w:r>
              <w:rPr>
                <w:spacing w:val="-10"/>
                <w:sz w:val="18"/>
              </w:rPr>
              <w:t>0</w:t>
            </w:r>
          </w:p>
        </w:tc>
        <w:tc>
          <w:tcPr>
            <w:tcW w:w="1983" w:type="dxa"/>
          </w:tcPr>
          <w:p>
            <w:pPr>
              <w:pStyle w:val="TableParagraph"/>
              <w:rPr>
                <w:b/>
                <w:sz w:val="18"/>
              </w:rPr>
            </w:pPr>
          </w:p>
          <w:p>
            <w:pPr>
              <w:pStyle w:val="TableParagraph"/>
              <w:rPr>
                <w:b/>
                <w:sz w:val="18"/>
              </w:rPr>
            </w:pPr>
          </w:p>
          <w:p>
            <w:pPr>
              <w:pStyle w:val="TableParagraph"/>
              <w:spacing w:before="45"/>
              <w:rPr>
                <w:b/>
                <w:sz w:val="18"/>
              </w:rPr>
            </w:pPr>
          </w:p>
          <w:p>
            <w:pPr>
              <w:pStyle w:val="TableParagraph"/>
              <w:spacing w:before="1"/>
              <w:ind w:left="14" w:right="10"/>
              <w:jc w:val="center"/>
              <w:rPr>
                <w:sz w:val="18"/>
              </w:rPr>
            </w:pPr>
            <w:r>
              <w:rPr>
                <w:spacing w:val="-5"/>
                <w:sz w:val="18"/>
              </w:rPr>
              <w:t>20%</w:t>
            </w:r>
          </w:p>
        </w:tc>
        <w:tc>
          <w:tcPr>
            <w:tcW w:w="1421" w:type="dxa"/>
          </w:tcPr>
          <w:p>
            <w:pPr>
              <w:pStyle w:val="TableParagraph"/>
              <w:spacing w:before="147"/>
              <w:ind w:left="72"/>
              <w:rPr>
                <w:sz w:val="18"/>
              </w:rPr>
            </w:pPr>
            <w:r>
              <w:rPr>
                <w:sz w:val="18"/>
              </w:rPr>
              <w:t>Porcentaje de </w:t>
            </w:r>
            <w:r>
              <w:rPr>
                <w:spacing w:val="-2"/>
                <w:sz w:val="18"/>
              </w:rPr>
              <w:t>implementación </w:t>
            </w:r>
            <w:r>
              <w:rPr>
                <w:sz w:val="18"/>
              </w:rPr>
              <w:t>de los criterios de género y </w:t>
            </w:r>
            <w:r>
              <w:rPr>
                <w:spacing w:val="-2"/>
                <w:sz w:val="18"/>
              </w:rPr>
              <w:t>diversidad implementados.</w:t>
            </w:r>
          </w:p>
        </w:tc>
        <w:tc>
          <w:tcPr>
            <w:tcW w:w="1839" w:type="dxa"/>
          </w:tcPr>
          <w:p>
            <w:pPr>
              <w:pStyle w:val="TableParagraph"/>
              <w:rPr>
                <w:b/>
                <w:sz w:val="18"/>
              </w:rPr>
            </w:pPr>
          </w:p>
          <w:p>
            <w:pPr>
              <w:pStyle w:val="TableParagraph"/>
              <w:spacing w:before="152"/>
              <w:rPr>
                <w:b/>
                <w:sz w:val="18"/>
              </w:rPr>
            </w:pPr>
          </w:p>
          <w:p>
            <w:pPr>
              <w:pStyle w:val="TableParagraph"/>
              <w:ind w:left="67"/>
              <w:rPr>
                <w:sz w:val="18"/>
              </w:rPr>
            </w:pPr>
            <w:r>
              <w:rPr>
                <w:sz w:val="18"/>
              </w:rPr>
              <w:t>Criterios</w:t>
            </w:r>
            <w:r>
              <w:rPr>
                <w:spacing w:val="-13"/>
                <w:sz w:val="18"/>
              </w:rPr>
              <w:t> </w:t>
            </w:r>
            <w:r>
              <w:rPr>
                <w:sz w:val="18"/>
              </w:rPr>
              <w:t>técnicos </w:t>
            </w:r>
            <w:r>
              <w:rPr>
                <w:spacing w:val="-2"/>
                <w:sz w:val="18"/>
              </w:rPr>
              <w:t>emitidos</w:t>
            </w:r>
          </w:p>
        </w:tc>
        <w:tc>
          <w:tcPr>
            <w:tcW w:w="1278" w:type="dxa"/>
          </w:tcPr>
          <w:p>
            <w:pPr>
              <w:pStyle w:val="TableParagraph"/>
              <w:rPr>
                <w:b/>
                <w:sz w:val="18"/>
              </w:rPr>
            </w:pPr>
          </w:p>
          <w:p>
            <w:pPr>
              <w:pStyle w:val="TableParagraph"/>
              <w:spacing w:before="152"/>
              <w:rPr>
                <w:b/>
                <w:sz w:val="18"/>
              </w:rPr>
            </w:pPr>
          </w:p>
          <w:p>
            <w:pPr>
              <w:pStyle w:val="TableParagraph"/>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tcBorders>
              <w:top w:val="nil"/>
            </w:tcBorders>
          </w:tcPr>
          <w:p>
            <w:pPr>
              <w:rPr>
                <w:sz w:val="2"/>
                <w:szCs w:val="2"/>
              </w:rPr>
            </w:pPr>
          </w:p>
        </w:tc>
      </w:tr>
      <w:tr>
        <w:trPr>
          <w:trHeight w:val="695" w:hRule="atLeast"/>
        </w:trPr>
        <w:tc>
          <w:tcPr>
            <w:tcW w:w="14253" w:type="dxa"/>
            <w:gridSpan w:val="8"/>
            <w:shd w:val="clear" w:color="auto" w:fill="EFF8F9"/>
          </w:tcPr>
          <w:p>
            <w:pPr>
              <w:pStyle w:val="TableParagraph"/>
              <w:spacing w:before="138"/>
              <w:ind w:left="72" w:right="78"/>
              <w:rPr>
                <w:b/>
                <w:sz w:val="18"/>
              </w:rPr>
            </w:pPr>
            <w:r>
              <w:rPr>
                <w:b/>
                <w:sz w:val="18"/>
              </w:rPr>
              <w:t>Producto</w:t>
            </w:r>
            <w:r>
              <w:rPr>
                <w:b/>
                <w:spacing w:val="-4"/>
                <w:sz w:val="18"/>
              </w:rPr>
              <w:t> </w:t>
            </w:r>
            <w:r>
              <w:rPr>
                <w:b/>
                <w:sz w:val="18"/>
              </w:rPr>
              <w:t>PAC</w:t>
            </w:r>
            <w:r>
              <w:rPr>
                <w:b/>
                <w:spacing w:val="-5"/>
                <w:sz w:val="18"/>
              </w:rPr>
              <w:t> </w:t>
            </w:r>
            <w:r>
              <w:rPr>
                <w:b/>
                <w:sz w:val="18"/>
              </w:rPr>
              <w:t>2.18:</w:t>
            </w:r>
            <w:r>
              <w:rPr>
                <w:b/>
                <w:spacing w:val="-1"/>
                <w:sz w:val="18"/>
              </w:rPr>
              <w:t> </w:t>
            </w:r>
            <w:r>
              <w:rPr>
                <w:b/>
                <w:sz w:val="18"/>
              </w:rPr>
              <w:t>Ejecución</w:t>
            </w:r>
            <w:r>
              <w:rPr>
                <w:b/>
                <w:spacing w:val="-4"/>
                <w:sz w:val="18"/>
              </w:rPr>
              <w:t> </w:t>
            </w:r>
            <w:r>
              <w:rPr>
                <w:b/>
                <w:sz w:val="18"/>
              </w:rPr>
              <w:t>periódica</w:t>
            </w:r>
            <w:r>
              <w:rPr>
                <w:b/>
                <w:spacing w:val="-3"/>
                <w:sz w:val="18"/>
              </w:rPr>
              <w:t> </w:t>
            </w:r>
            <w:r>
              <w:rPr>
                <w:b/>
                <w:sz w:val="18"/>
              </w:rPr>
              <w:t>de</w:t>
            </w:r>
            <w:r>
              <w:rPr>
                <w:b/>
                <w:spacing w:val="-3"/>
                <w:sz w:val="18"/>
              </w:rPr>
              <w:t> </w:t>
            </w:r>
            <w:r>
              <w:rPr>
                <w:b/>
                <w:sz w:val="18"/>
              </w:rPr>
              <w:t>los estudios</w:t>
            </w:r>
            <w:r>
              <w:rPr>
                <w:b/>
                <w:spacing w:val="-8"/>
                <w:sz w:val="18"/>
              </w:rPr>
              <w:t> </w:t>
            </w:r>
            <w:r>
              <w:rPr>
                <w:b/>
                <w:sz w:val="18"/>
              </w:rPr>
              <w:t>de ergonomía,</w:t>
            </w:r>
            <w:r>
              <w:rPr>
                <w:b/>
                <w:spacing w:val="-1"/>
                <w:sz w:val="18"/>
              </w:rPr>
              <w:t> </w:t>
            </w:r>
            <w:r>
              <w:rPr>
                <w:b/>
                <w:sz w:val="18"/>
              </w:rPr>
              <w:t>instalaciones</w:t>
            </w:r>
            <w:r>
              <w:rPr>
                <w:b/>
                <w:spacing w:val="-3"/>
                <w:sz w:val="18"/>
              </w:rPr>
              <w:t> </w:t>
            </w:r>
            <w:r>
              <w:rPr>
                <w:b/>
                <w:sz w:val="18"/>
              </w:rPr>
              <w:t>y equipos</w:t>
            </w:r>
            <w:r>
              <w:rPr>
                <w:b/>
                <w:spacing w:val="-3"/>
                <w:sz w:val="18"/>
              </w:rPr>
              <w:t> </w:t>
            </w:r>
            <w:r>
              <w:rPr>
                <w:b/>
                <w:sz w:val="18"/>
              </w:rPr>
              <w:t>aplicados</w:t>
            </w:r>
            <w:r>
              <w:rPr>
                <w:b/>
                <w:spacing w:val="-3"/>
                <w:sz w:val="18"/>
              </w:rPr>
              <w:t> </w:t>
            </w:r>
            <w:r>
              <w:rPr>
                <w:b/>
                <w:sz w:val="18"/>
              </w:rPr>
              <w:t>considerando</w:t>
            </w:r>
            <w:r>
              <w:rPr>
                <w:b/>
                <w:spacing w:val="-4"/>
                <w:sz w:val="18"/>
              </w:rPr>
              <w:t> </w:t>
            </w:r>
            <w:r>
              <w:rPr>
                <w:b/>
                <w:sz w:val="18"/>
              </w:rPr>
              <w:t>de</w:t>
            </w:r>
            <w:r>
              <w:rPr>
                <w:b/>
                <w:spacing w:val="-3"/>
                <w:sz w:val="18"/>
              </w:rPr>
              <w:t> </w:t>
            </w:r>
            <w:r>
              <w:rPr>
                <w:b/>
                <w:sz w:val="18"/>
              </w:rPr>
              <w:t>forma individual</w:t>
            </w:r>
            <w:r>
              <w:rPr>
                <w:b/>
                <w:spacing w:val="-1"/>
                <w:sz w:val="18"/>
              </w:rPr>
              <w:t> </w:t>
            </w:r>
            <w:r>
              <w:rPr>
                <w:b/>
                <w:sz w:val="18"/>
              </w:rPr>
              <w:t>las</w:t>
            </w:r>
            <w:r>
              <w:rPr>
                <w:b/>
                <w:spacing w:val="-3"/>
                <w:sz w:val="18"/>
              </w:rPr>
              <w:t> </w:t>
            </w:r>
            <w:r>
              <w:rPr>
                <w:b/>
                <w:sz w:val="18"/>
              </w:rPr>
              <w:t>condiciones</w:t>
            </w:r>
            <w:r>
              <w:rPr>
                <w:b/>
                <w:spacing w:val="-3"/>
                <w:sz w:val="18"/>
              </w:rPr>
              <w:t> </w:t>
            </w:r>
            <w:r>
              <w:rPr>
                <w:b/>
                <w:sz w:val="18"/>
              </w:rPr>
              <w:t>de</w:t>
            </w:r>
            <w:r>
              <w:rPr>
                <w:b/>
                <w:spacing w:val="-3"/>
                <w:sz w:val="18"/>
              </w:rPr>
              <w:t> </w:t>
            </w:r>
            <w:r>
              <w:rPr>
                <w:b/>
                <w:sz w:val="18"/>
              </w:rPr>
              <w:t>cada persona funcionaria y trabajadora.</w:t>
            </w:r>
          </w:p>
        </w:tc>
      </w:tr>
      <w:tr>
        <w:trPr>
          <w:trHeight w:val="1449" w:hRule="atLeast"/>
        </w:trPr>
        <w:tc>
          <w:tcPr>
            <w:tcW w:w="2833" w:type="dxa"/>
          </w:tcPr>
          <w:p>
            <w:pPr>
              <w:pStyle w:val="TableParagraph"/>
              <w:ind w:left="72" w:right="80"/>
              <w:rPr>
                <w:sz w:val="18"/>
              </w:rPr>
            </w:pPr>
            <w:r>
              <w:rPr>
                <w:b/>
                <w:sz w:val="18"/>
              </w:rPr>
              <w:t>Producto PAC 2.18.1:</w:t>
            </w:r>
            <w:r>
              <w:rPr>
                <w:b/>
                <w:spacing w:val="40"/>
                <w:sz w:val="18"/>
              </w:rPr>
              <w:t> </w:t>
            </w:r>
            <w:r>
              <w:rPr>
                <w:sz w:val="18"/>
              </w:rPr>
              <w:t>Aplicación del formulario de los estudios de ergonomía, instalaciones</w:t>
            </w:r>
            <w:r>
              <w:rPr>
                <w:spacing w:val="-10"/>
                <w:sz w:val="18"/>
              </w:rPr>
              <w:t> </w:t>
            </w:r>
            <w:r>
              <w:rPr>
                <w:sz w:val="18"/>
              </w:rPr>
              <w:t>y</w:t>
            </w:r>
            <w:r>
              <w:rPr>
                <w:spacing w:val="-10"/>
                <w:sz w:val="18"/>
              </w:rPr>
              <w:t> </w:t>
            </w:r>
            <w:r>
              <w:rPr>
                <w:sz w:val="18"/>
              </w:rPr>
              <w:t>equipos</w:t>
            </w:r>
            <w:r>
              <w:rPr>
                <w:spacing w:val="-10"/>
                <w:sz w:val="18"/>
              </w:rPr>
              <w:t> </w:t>
            </w:r>
            <w:r>
              <w:rPr>
                <w:sz w:val="18"/>
              </w:rPr>
              <w:t>aplicados considerando</w:t>
            </w:r>
            <w:r>
              <w:rPr>
                <w:spacing w:val="-4"/>
                <w:sz w:val="18"/>
              </w:rPr>
              <w:t> </w:t>
            </w:r>
            <w:r>
              <w:rPr>
                <w:sz w:val="18"/>
              </w:rPr>
              <w:t>de</w:t>
            </w:r>
            <w:r>
              <w:rPr>
                <w:spacing w:val="-4"/>
                <w:sz w:val="18"/>
              </w:rPr>
              <w:t> </w:t>
            </w:r>
            <w:r>
              <w:rPr>
                <w:sz w:val="18"/>
              </w:rPr>
              <w:t>forma</w:t>
            </w:r>
            <w:r>
              <w:rPr>
                <w:spacing w:val="-4"/>
                <w:sz w:val="18"/>
              </w:rPr>
              <w:t> </w:t>
            </w:r>
            <w:r>
              <w:rPr>
                <w:spacing w:val="-2"/>
                <w:sz w:val="18"/>
              </w:rPr>
              <w:t>individual</w:t>
            </w:r>
          </w:p>
          <w:p>
            <w:pPr>
              <w:pStyle w:val="TableParagraph"/>
              <w:spacing w:line="206" w:lineRule="exact"/>
              <w:ind w:left="72"/>
              <w:rPr>
                <w:sz w:val="18"/>
              </w:rPr>
            </w:pPr>
            <w:r>
              <w:rPr>
                <w:sz w:val="18"/>
              </w:rPr>
              <w:t>las</w:t>
            </w:r>
            <w:r>
              <w:rPr>
                <w:spacing w:val="-7"/>
                <w:sz w:val="18"/>
              </w:rPr>
              <w:t> </w:t>
            </w:r>
            <w:r>
              <w:rPr>
                <w:sz w:val="18"/>
              </w:rPr>
              <w:t>condiciones</w:t>
            </w:r>
            <w:r>
              <w:rPr>
                <w:spacing w:val="-7"/>
                <w:sz w:val="18"/>
              </w:rPr>
              <w:t> </w:t>
            </w:r>
            <w:r>
              <w:rPr>
                <w:sz w:val="18"/>
              </w:rPr>
              <w:t>de</w:t>
            </w:r>
            <w:r>
              <w:rPr>
                <w:spacing w:val="-8"/>
                <w:sz w:val="18"/>
              </w:rPr>
              <w:t> </w:t>
            </w:r>
            <w:r>
              <w:rPr>
                <w:sz w:val="18"/>
              </w:rPr>
              <w:t>cada</w:t>
            </w:r>
            <w:r>
              <w:rPr>
                <w:spacing w:val="-12"/>
                <w:sz w:val="18"/>
              </w:rPr>
              <w:t> </w:t>
            </w:r>
            <w:r>
              <w:rPr>
                <w:sz w:val="18"/>
              </w:rPr>
              <w:t>persona funcionaria y trabajadora.</w:t>
            </w:r>
          </w:p>
        </w:tc>
        <w:tc>
          <w:tcPr>
            <w:tcW w:w="1560" w:type="dxa"/>
          </w:tcPr>
          <w:p>
            <w:pPr>
              <w:pStyle w:val="TableParagraph"/>
              <w:rPr>
                <w:b/>
                <w:sz w:val="18"/>
              </w:rPr>
            </w:pPr>
          </w:p>
          <w:p>
            <w:pPr>
              <w:pStyle w:val="TableParagraph"/>
              <w:spacing w:before="204"/>
              <w:rPr>
                <w:b/>
                <w:sz w:val="18"/>
              </w:rPr>
            </w:pPr>
          </w:p>
          <w:p>
            <w:pPr>
              <w:pStyle w:val="TableParagraph"/>
              <w:ind w:left="21" w:right="20"/>
              <w:jc w:val="center"/>
              <w:rPr>
                <w:sz w:val="18"/>
              </w:rPr>
            </w:pPr>
            <w:r>
              <w:rPr>
                <w:spacing w:val="-10"/>
                <w:sz w:val="18"/>
              </w:rPr>
              <w:t>0</w:t>
            </w:r>
          </w:p>
        </w:tc>
        <w:tc>
          <w:tcPr>
            <w:tcW w:w="1983" w:type="dxa"/>
          </w:tcPr>
          <w:p>
            <w:pPr>
              <w:pStyle w:val="TableParagraph"/>
              <w:rPr>
                <w:b/>
                <w:sz w:val="18"/>
              </w:rPr>
            </w:pPr>
          </w:p>
          <w:p>
            <w:pPr>
              <w:pStyle w:val="TableParagraph"/>
              <w:spacing w:before="204"/>
              <w:rPr>
                <w:b/>
                <w:sz w:val="18"/>
              </w:rPr>
            </w:pPr>
          </w:p>
          <w:p>
            <w:pPr>
              <w:pStyle w:val="TableParagraph"/>
              <w:ind w:left="14" w:right="5"/>
              <w:jc w:val="center"/>
              <w:rPr>
                <w:sz w:val="18"/>
              </w:rPr>
            </w:pPr>
            <w:r>
              <w:rPr>
                <w:spacing w:val="-4"/>
                <w:sz w:val="18"/>
              </w:rPr>
              <w:t>100%</w:t>
            </w:r>
          </w:p>
        </w:tc>
        <w:tc>
          <w:tcPr>
            <w:tcW w:w="1421" w:type="dxa"/>
          </w:tcPr>
          <w:p>
            <w:pPr>
              <w:pStyle w:val="TableParagraph"/>
              <w:spacing w:before="205"/>
              <w:ind w:left="72"/>
              <w:rPr>
                <w:sz w:val="18"/>
              </w:rPr>
            </w:pPr>
            <w:r>
              <w:rPr>
                <w:sz w:val="18"/>
              </w:rPr>
              <w:t>Porcentaje</w:t>
            </w:r>
            <w:r>
              <w:rPr>
                <w:spacing w:val="-1"/>
                <w:sz w:val="18"/>
              </w:rPr>
              <w:t> </w:t>
            </w:r>
            <w:r>
              <w:rPr>
                <w:sz w:val="18"/>
              </w:rPr>
              <w:t>de formularios</w:t>
            </w:r>
            <w:r>
              <w:rPr>
                <w:spacing w:val="-13"/>
                <w:sz w:val="18"/>
              </w:rPr>
              <w:t> </w:t>
            </w:r>
            <w:r>
              <w:rPr>
                <w:sz w:val="18"/>
              </w:rPr>
              <w:t>de estudio de </w:t>
            </w:r>
            <w:r>
              <w:rPr>
                <w:spacing w:val="-2"/>
                <w:sz w:val="18"/>
              </w:rPr>
              <w:t>ergonomía aplicados.</w:t>
            </w:r>
          </w:p>
        </w:tc>
        <w:tc>
          <w:tcPr>
            <w:tcW w:w="1839" w:type="dxa"/>
          </w:tcPr>
          <w:p>
            <w:pPr>
              <w:pStyle w:val="TableParagraph"/>
              <w:rPr>
                <w:b/>
                <w:sz w:val="18"/>
              </w:rPr>
            </w:pPr>
          </w:p>
          <w:p>
            <w:pPr>
              <w:pStyle w:val="TableParagraph"/>
              <w:spacing w:before="103"/>
              <w:rPr>
                <w:b/>
                <w:sz w:val="18"/>
              </w:rPr>
            </w:pPr>
          </w:p>
          <w:p>
            <w:pPr>
              <w:pStyle w:val="TableParagraph"/>
              <w:ind w:left="67" w:right="293"/>
              <w:rPr>
                <w:sz w:val="18"/>
              </w:rPr>
            </w:pPr>
            <w:r>
              <w:rPr>
                <w:spacing w:val="-2"/>
                <w:sz w:val="18"/>
              </w:rPr>
              <w:t>Formularios Correos</w:t>
            </w:r>
          </w:p>
        </w:tc>
        <w:tc>
          <w:tcPr>
            <w:tcW w:w="1278" w:type="dxa"/>
          </w:tcPr>
          <w:p>
            <w:pPr>
              <w:pStyle w:val="TableParagraph"/>
              <w:rPr>
                <w:b/>
                <w:sz w:val="18"/>
              </w:rPr>
            </w:pPr>
          </w:p>
          <w:p>
            <w:pPr>
              <w:pStyle w:val="TableParagraph"/>
              <w:spacing w:before="103"/>
              <w:rPr>
                <w:b/>
                <w:sz w:val="18"/>
              </w:rPr>
            </w:pPr>
          </w:p>
          <w:p>
            <w:pPr>
              <w:pStyle w:val="TableParagraph"/>
              <w:ind w:left="297" w:hanging="68"/>
              <w:rPr>
                <w:sz w:val="18"/>
              </w:rPr>
            </w:pPr>
            <w:r>
              <w:rPr>
                <w:spacing w:val="-2"/>
                <w:sz w:val="18"/>
              </w:rPr>
              <w:t>Desarrollo Humano</w:t>
            </w:r>
          </w:p>
        </w:tc>
        <w:tc>
          <w:tcPr>
            <w:tcW w:w="1841" w:type="dxa"/>
          </w:tcPr>
          <w:p>
            <w:pPr>
              <w:pStyle w:val="TableParagraph"/>
              <w:rPr>
                <w:b/>
                <w:sz w:val="18"/>
              </w:rPr>
            </w:pPr>
          </w:p>
          <w:p>
            <w:pPr>
              <w:pStyle w:val="TableParagraph"/>
              <w:spacing w:before="204"/>
              <w:rPr>
                <w:b/>
                <w:sz w:val="18"/>
              </w:rPr>
            </w:pPr>
          </w:p>
          <w:p>
            <w:pPr>
              <w:pStyle w:val="TableParagraph"/>
              <w:ind w:left="16"/>
              <w:jc w:val="center"/>
              <w:rPr>
                <w:sz w:val="18"/>
              </w:rPr>
            </w:pPr>
            <w:r>
              <w:rPr>
                <w:spacing w:val="-10"/>
                <w:sz w:val="18"/>
              </w:rPr>
              <w:t>0</w:t>
            </w:r>
          </w:p>
        </w:tc>
        <w:tc>
          <w:tcPr>
            <w:tcW w:w="1498" w:type="dxa"/>
            <w:vMerge w:val="restart"/>
          </w:tcPr>
          <w:p>
            <w:pPr>
              <w:pStyle w:val="TableParagraph"/>
              <w:rPr>
                <w:b/>
                <w:sz w:val="18"/>
              </w:rPr>
            </w:pPr>
          </w:p>
          <w:p>
            <w:pPr>
              <w:pStyle w:val="TableParagraph"/>
              <w:spacing w:before="45"/>
              <w:rPr>
                <w:b/>
                <w:sz w:val="18"/>
              </w:rPr>
            </w:pPr>
          </w:p>
          <w:p>
            <w:pPr>
              <w:pStyle w:val="TableParagraph"/>
              <w:ind w:left="74" w:right="56"/>
              <w:rPr>
                <w:sz w:val="18"/>
              </w:rPr>
            </w:pPr>
            <w:r>
              <w:rPr>
                <w:sz w:val="18"/>
              </w:rPr>
              <w:t>Evento:</w:t>
            </w:r>
            <w:r>
              <w:rPr>
                <w:spacing w:val="-13"/>
                <w:sz w:val="18"/>
              </w:rPr>
              <w:t> </w:t>
            </w:r>
            <w:r>
              <w:rPr>
                <w:sz w:val="18"/>
              </w:rPr>
              <w:t>Estudios de ergonomía, instalaciones y equipos</w:t>
            </w:r>
            <w:r>
              <w:rPr>
                <w:spacing w:val="80"/>
                <w:sz w:val="18"/>
              </w:rPr>
              <w:t> </w:t>
            </w:r>
            <w:r>
              <w:rPr>
                <w:sz w:val="18"/>
              </w:rPr>
              <w:t>no ajustados a la </w:t>
            </w:r>
            <w:r>
              <w:rPr>
                <w:spacing w:val="-2"/>
                <w:sz w:val="18"/>
              </w:rPr>
              <w:t>realidad institucional.</w:t>
            </w:r>
          </w:p>
        </w:tc>
      </w:tr>
      <w:tr>
        <w:trPr>
          <w:trHeight w:val="912" w:hRule="atLeast"/>
        </w:trPr>
        <w:tc>
          <w:tcPr>
            <w:tcW w:w="2833" w:type="dxa"/>
          </w:tcPr>
          <w:p>
            <w:pPr>
              <w:pStyle w:val="TableParagraph"/>
              <w:spacing w:before="42"/>
              <w:ind w:left="72" w:right="119"/>
              <w:rPr>
                <w:sz w:val="18"/>
              </w:rPr>
            </w:pPr>
            <w:r>
              <w:rPr>
                <w:b/>
                <w:sz w:val="18"/>
              </w:rPr>
              <w:t>Producto</w:t>
            </w:r>
            <w:r>
              <w:rPr>
                <w:b/>
                <w:spacing w:val="-10"/>
                <w:sz w:val="18"/>
              </w:rPr>
              <w:t> </w:t>
            </w:r>
            <w:r>
              <w:rPr>
                <w:b/>
                <w:sz w:val="18"/>
              </w:rPr>
              <w:t>PAC</w:t>
            </w:r>
            <w:r>
              <w:rPr>
                <w:b/>
                <w:spacing w:val="-11"/>
                <w:sz w:val="18"/>
              </w:rPr>
              <w:t> </w:t>
            </w:r>
            <w:r>
              <w:rPr>
                <w:b/>
                <w:sz w:val="18"/>
              </w:rPr>
              <w:t>2.18.2:</w:t>
            </w:r>
            <w:r>
              <w:rPr>
                <w:b/>
                <w:spacing w:val="37"/>
                <w:sz w:val="18"/>
              </w:rPr>
              <w:t> </w:t>
            </w:r>
            <w:r>
              <w:rPr>
                <w:sz w:val="18"/>
              </w:rPr>
              <w:t>Generar el informe a las jefaturas correspondientes para la implementación de medidas.</w:t>
            </w:r>
          </w:p>
        </w:tc>
        <w:tc>
          <w:tcPr>
            <w:tcW w:w="1560" w:type="dxa"/>
          </w:tcPr>
          <w:p>
            <w:pPr>
              <w:pStyle w:val="TableParagraph"/>
              <w:spacing w:before="142"/>
              <w:rPr>
                <w:b/>
                <w:sz w:val="18"/>
              </w:rPr>
            </w:pPr>
          </w:p>
          <w:p>
            <w:pPr>
              <w:pStyle w:val="TableParagraph"/>
              <w:spacing w:before="1"/>
              <w:ind w:left="21" w:right="20"/>
              <w:jc w:val="center"/>
              <w:rPr>
                <w:sz w:val="18"/>
              </w:rPr>
            </w:pPr>
            <w:r>
              <w:rPr>
                <w:spacing w:val="-10"/>
                <w:sz w:val="18"/>
              </w:rPr>
              <w:t>0</w:t>
            </w:r>
          </w:p>
        </w:tc>
        <w:tc>
          <w:tcPr>
            <w:tcW w:w="1983" w:type="dxa"/>
          </w:tcPr>
          <w:p>
            <w:pPr>
              <w:pStyle w:val="TableParagraph"/>
              <w:spacing w:before="142"/>
              <w:rPr>
                <w:b/>
                <w:sz w:val="18"/>
              </w:rPr>
            </w:pPr>
          </w:p>
          <w:p>
            <w:pPr>
              <w:pStyle w:val="TableParagraph"/>
              <w:spacing w:before="1"/>
              <w:ind w:left="14" w:right="5"/>
              <w:jc w:val="center"/>
              <w:rPr>
                <w:sz w:val="18"/>
              </w:rPr>
            </w:pPr>
            <w:r>
              <w:rPr>
                <w:spacing w:val="-4"/>
                <w:sz w:val="18"/>
              </w:rPr>
              <w:t>100%</w:t>
            </w:r>
          </w:p>
        </w:tc>
        <w:tc>
          <w:tcPr>
            <w:tcW w:w="1421" w:type="dxa"/>
          </w:tcPr>
          <w:p>
            <w:pPr>
              <w:pStyle w:val="TableParagraph"/>
              <w:spacing w:line="242" w:lineRule="auto" w:before="143"/>
              <w:ind w:left="72" w:right="221"/>
              <w:rPr>
                <w:sz w:val="18"/>
              </w:rPr>
            </w:pPr>
            <w:r>
              <w:rPr>
                <w:sz w:val="18"/>
              </w:rPr>
              <w:t>Porcentaje</w:t>
            </w:r>
            <w:r>
              <w:rPr>
                <w:spacing w:val="-13"/>
                <w:sz w:val="18"/>
              </w:rPr>
              <w:t> </w:t>
            </w:r>
            <w:r>
              <w:rPr>
                <w:sz w:val="18"/>
              </w:rPr>
              <w:t>de </w:t>
            </w:r>
            <w:r>
              <w:rPr>
                <w:spacing w:val="-2"/>
                <w:sz w:val="18"/>
              </w:rPr>
              <w:t>informes generados.</w:t>
            </w:r>
          </w:p>
        </w:tc>
        <w:tc>
          <w:tcPr>
            <w:tcW w:w="1839" w:type="dxa"/>
          </w:tcPr>
          <w:p>
            <w:pPr>
              <w:pStyle w:val="TableParagraph"/>
              <w:spacing w:before="41"/>
              <w:rPr>
                <w:b/>
                <w:sz w:val="18"/>
              </w:rPr>
            </w:pPr>
          </w:p>
          <w:p>
            <w:pPr>
              <w:pStyle w:val="TableParagraph"/>
              <w:ind w:left="638" w:right="123" w:hanging="72"/>
              <w:rPr>
                <w:sz w:val="18"/>
              </w:rPr>
            </w:pPr>
            <w:r>
              <w:rPr>
                <w:spacing w:val="-2"/>
                <w:sz w:val="18"/>
              </w:rPr>
              <w:t>Informes Oficios</w:t>
            </w:r>
          </w:p>
        </w:tc>
        <w:tc>
          <w:tcPr>
            <w:tcW w:w="1278" w:type="dxa"/>
          </w:tcPr>
          <w:p>
            <w:pPr>
              <w:pStyle w:val="TableParagraph"/>
              <w:spacing w:before="41"/>
              <w:rPr>
                <w:b/>
                <w:sz w:val="18"/>
              </w:rPr>
            </w:pPr>
          </w:p>
          <w:p>
            <w:pPr>
              <w:pStyle w:val="TableParagraph"/>
              <w:ind w:left="297" w:hanging="68"/>
              <w:rPr>
                <w:sz w:val="18"/>
              </w:rPr>
            </w:pPr>
            <w:r>
              <w:rPr>
                <w:spacing w:val="-2"/>
                <w:sz w:val="18"/>
              </w:rPr>
              <w:t>Desarrollo Humano</w:t>
            </w:r>
          </w:p>
        </w:tc>
        <w:tc>
          <w:tcPr>
            <w:tcW w:w="1841" w:type="dxa"/>
          </w:tcPr>
          <w:p>
            <w:pPr>
              <w:pStyle w:val="TableParagraph"/>
              <w:spacing w:before="142"/>
              <w:rPr>
                <w:b/>
                <w:sz w:val="18"/>
              </w:rPr>
            </w:pPr>
          </w:p>
          <w:p>
            <w:pPr>
              <w:pStyle w:val="TableParagraph"/>
              <w:spacing w:before="1"/>
              <w:ind w:left="16"/>
              <w:jc w:val="center"/>
              <w:rPr>
                <w:sz w:val="18"/>
              </w:rPr>
            </w:pPr>
            <w:r>
              <w:rPr>
                <w:spacing w:val="-10"/>
                <w:sz w:val="18"/>
              </w:rPr>
              <w:t>0</w:t>
            </w:r>
          </w:p>
        </w:tc>
        <w:tc>
          <w:tcPr>
            <w:tcW w:w="1498" w:type="dxa"/>
            <w:vMerge/>
            <w:tcBorders>
              <w:top w:val="nil"/>
            </w:tcBorders>
          </w:tcPr>
          <w:p>
            <w:pPr>
              <w:rPr>
                <w:sz w:val="2"/>
                <w:szCs w:val="2"/>
              </w:rPr>
            </w:pPr>
          </w:p>
        </w:tc>
      </w:tr>
      <w:tr>
        <w:trPr>
          <w:trHeight w:val="979" w:hRule="atLeast"/>
        </w:trPr>
        <w:tc>
          <w:tcPr>
            <w:tcW w:w="14253" w:type="dxa"/>
            <w:gridSpan w:val="8"/>
            <w:shd w:val="clear" w:color="auto" w:fill="EFF8F9"/>
          </w:tcPr>
          <w:p>
            <w:pPr>
              <w:pStyle w:val="TableParagraph"/>
              <w:spacing w:before="75"/>
              <w:rPr>
                <w:b/>
                <w:sz w:val="18"/>
              </w:rPr>
            </w:pPr>
          </w:p>
          <w:p>
            <w:pPr>
              <w:pStyle w:val="TableParagraph"/>
              <w:ind w:left="72" w:right="78"/>
              <w:rPr>
                <w:b/>
                <w:sz w:val="18"/>
              </w:rPr>
            </w:pPr>
            <w:r>
              <w:rPr>
                <w:b/>
                <w:sz w:val="18"/>
              </w:rPr>
              <w:t>Producto</w:t>
            </w:r>
            <w:r>
              <w:rPr>
                <w:b/>
                <w:spacing w:val="-4"/>
                <w:sz w:val="18"/>
              </w:rPr>
              <w:t> </w:t>
            </w:r>
            <w:r>
              <w:rPr>
                <w:b/>
                <w:sz w:val="18"/>
              </w:rPr>
              <w:t>PAC</w:t>
            </w:r>
            <w:r>
              <w:rPr>
                <w:b/>
                <w:spacing w:val="-5"/>
                <w:sz w:val="18"/>
              </w:rPr>
              <w:t> </w:t>
            </w:r>
            <w:r>
              <w:rPr>
                <w:b/>
                <w:sz w:val="18"/>
              </w:rPr>
              <w:t>2.19:</w:t>
            </w:r>
            <w:r>
              <w:rPr>
                <w:b/>
                <w:spacing w:val="40"/>
                <w:sz w:val="18"/>
              </w:rPr>
              <w:t> </w:t>
            </w:r>
            <w:r>
              <w:rPr>
                <w:b/>
                <w:sz w:val="18"/>
              </w:rPr>
              <w:t>Diseño</w:t>
            </w:r>
            <w:r>
              <w:rPr>
                <w:b/>
                <w:spacing w:val="-4"/>
                <w:sz w:val="18"/>
              </w:rPr>
              <w:t> </w:t>
            </w:r>
            <w:r>
              <w:rPr>
                <w:b/>
                <w:sz w:val="18"/>
              </w:rPr>
              <w:t>e</w:t>
            </w:r>
            <w:r>
              <w:rPr>
                <w:b/>
                <w:spacing w:val="-3"/>
                <w:sz w:val="18"/>
              </w:rPr>
              <w:t> </w:t>
            </w:r>
            <w:r>
              <w:rPr>
                <w:b/>
                <w:sz w:val="18"/>
              </w:rPr>
              <w:t>implementación</w:t>
            </w:r>
            <w:r>
              <w:rPr>
                <w:b/>
                <w:spacing w:val="-4"/>
                <w:sz w:val="18"/>
              </w:rPr>
              <w:t> </w:t>
            </w:r>
            <w:r>
              <w:rPr>
                <w:b/>
                <w:sz w:val="18"/>
              </w:rPr>
              <w:t>de</w:t>
            </w:r>
            <w:r>
              <w:rPr>
                <w:b/>
                <w:spacing w:val="-3"/>
                <w:sz w:val="18"/>
              </w:rPr>
              <w:t> </w:t>
            </w:r>
            <w:r>
              <w:rPr>
                <w:b/>
                <w:sz w:val="18"/>
              </w:rPr>
              <w:t>documentos</w:t>
            </w:r>
            <w:r>
              <w:rPr>
                <w:b/>
                <w:spacing w:val="-3"/>
                <w:sz w:val="18"/>
              </w:rPr>
              <w:t> </w:t>
            </w:r>
            <w:r>
              <w:rPr>
                <w:b/>
                <w:sz w:val="18"/>
              </w:rPr>
              <w:t>normativos</w:t>
            </w:r>
            <w:r>
              <w:rPr>
                <w:b/>
                <w:spacing w:val="-8"/>
                <w:sz w:val="18"/>
              </w:rPr>
              <w:t> </w:t>
            </w:r>
            <w:r>
              <w:rPr>
                <w:b/>
                <w:sz w:val="18"/>
              </w:rPr>
              <w:t>(políticas,</w:t>
            </w:r>
            <w:r>
              <w:rPr>
                <w:b/>
                <w:spacing w:val="-1"/>
                <w:sz w:val="18"/>
              </w:rPr>
              <w:t> </w:t>
            </w:r>
            <w:r>
              <w:rPr>
                <w:b/>
                <w:sz w:val="18"/>
              </w:rPr>
              <w:t>protocolos</w:t>
            </w:r>
            <w:r>
              <w:rPr>
                <w:b/>
                <w:spacing w:val="-3"/>
                <w:sz w:val="18"/>
              </w:rPr>
              <w:t> </w:t>
            </w:r>
            <w:r>
              <w:rPr>
                <w:b/>
                <w:sz w:val="18"/>
              </w:rPr>
              <w:t>y acciones</w:t>
            </w:r>
            <w:r>
              <w:rPr>
                <w:b/>
                <w:spacing w:val="-3"/>
                <w:sz w:val="18"/>
              </w:rPr>
              <w:t> </w:t>
            </w:r>
            <w:r>
              <w:rPr>
                <w:b/>
                <w:sz w:val="18"/>
              </w:rPr>
              <w:t>institucionales) de</w:t>
            </w:r>
            <w:r>
              <w:rPr>
                <w:b/>
                <w:spacing w:val="-3"/>
                <w:sz w:val="18"/>
              </w:rPr>
              <w:t> </w:t>
            </w:r>
            <w:r>
              <w:rPr>
                <w:b/>
                <w:sz w:val="18"/>
              </w:rPr>
              <w:t>corresponsabilidad</w:t>
            </w:r>
            <w:r>
              <w:rPr>
                <w:b/>
                <w:spacing w:val="-4"/>
                <w:sz w:val="18"/>
              </w:rPr>
              <w:t> </w:t>
            </w:r>
            <w:r>
              <w:rPr>
                <w:b/>
                <w:sz w:val="18"/>
              </w:rPr>
              <w:t>social</w:t>
            </w:r>
            <w:r>
              <w:rPr>
                <w:b/>
                <w:spacing w:val="-1"/>
                <w:sz w:val="18"/>
              </w:rPr>
              <w:t> </w:t>
            </w:r>
            <w:r>
              <w:rPr>
                <w:b/>
                <w:sz w:val="18"/>
              </w:rPr>
              <w:t>de</w:t>
            </w:r>
            <w:r>
              <w:rPr>
                <w:b/>
                <w:spacing w:val="-3"/>
                <w:sz w:val="18"/>
              </w:rPr>
              <w:t> </w:t>
            </w:r>
            <w:r>
              <w:rPr>
                <w:b/>
                <w:sz w:val="18"/>
              </w:rPr>
              <w:t>los cuidados y atención de situaciones de violencia de género o intrafamiliar, que garanticen condiciones laborales inclusivas y seguras para el personal.</w:t>
            </w:r>
            <w:r>
              <w:rPr>
                <w:b/>
                <w:spacing w:val="40"/>
                <w:sz w:val="18"/>
              </w:rPr>
              <w:t> </w:t>
            </w:r>
            <w:r>
              <w:rPr>
                <w:b/>
                <w:sz w:val="18"/>
              </w:rPr>
              <w:t>(PIGI)</w:t>
            </w:r>
          </w:p>
        </w:tc>
      </w:tr>
    </w:tbl>
    <w:p>
      <w:pPr>
        <w:pStyle w:val="TableParagraph"/>
        <w:spacing w:after="0"/>
        <w:rPr>
          <w:b/>
          <w:sz w:val="18"/>
        </w:rPr>
        <w:sectPr>
          <w:type w:val="continuous"/>
          <w:pgSz w:w="15840" w:h="12240" w:orient="landscape"/>
          <w:pgMar w:header="0" w:footer="1806" w:top="700" w:bottom="2725"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3"/>
        <w:gridCol w:w="1560"/>
        <w:gridCol w:w="1983"/>
        <w:gridCol w:w="1421"/>
        <w:gridCol w:w="1839"/>
        <w:gridCol w:w="1278"/>
        <w:gridCol w:w="1841"/>
        <w:gridCol w:w="1498"/>
      </w:tblGrid>
      <w:tr>
        <w:trPr>
          <w:trHeight w:val="618" w:hRule="atLeast"/>
        </w:trPr>
        <w:tc>
          <w:tcPr>
            <w:tcW w:w="2833" w:type="dxa"/>
            <w:shd w:val="clear" w:color="auto" w:fill="D7D7D7"/>
          </w:tcPr>
          <w:p>
            <w:pPr>
              <w:pStyle w:val="TableParagraph"/>
              <w:spacing w:before="205"/>
              <w:ind w:left="446"/>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7D7D7"/>
          </w:tcPr>
          <w:p>
            <w:pPr>
              <w:pStyle w:val="TableParagraph"/>
              <w:spacing w:before="104"/>
              <w:ind w:left="518" w:right="58" w:hanging="216"/>
              <w:rPr>
                <w:b/>
                <w:sz w:val="18"/>
              </w:rPr>
            </w:pPr>
            <w:r>
              <w:rPr>
                <w:b/>
                <w:sz w:val="18"/>
              </w:rPr>
              <w:t>Línea</w:t>
            </w:r>
            <w:r>
              <w:rPr>
                <w:b/>
                <w:spacing w:val="-13"/>
                <w:sz w:val="18"/>
              </w:rPr>
              <w:t> </w:t>
            </w:r>
            <w:r>
              <w:rPr>
                <w:b/>
                <w:sz w:val="18"/>
              </w:rPr>
              <w:t>Base </w:t>
            </w:r>
            <w:r>
              <w:rPr>
                <w:b/>
                <w:spacing w:val="-2"/>
                <w:sz w:val="18"/>
              </w:rPr>
              <w:t>(2024)</w:t>
            </w:r>
          </w:p>
        </w:tc>
        <w:tc>
          <w:tcPr>
            <w:tcW w:w="1983" w:type="dxa"/>
            <w:shd w:val="clear" w:color="auto" w:fill="D7D7D7"/>
          </w:tcPr>
          <w:p>
            <w:pPr>
              <w:pStyle w:val="TableParagraph"/>
              <w:spacing w:before="104"/>
              <w:ind w:left="788" w:hanging="553"/>
              <w:rPr>
                <w:b/>
                <w:sz w:val="18"/>
              </w:rPr>
            </w:pPr>
            <w:r>
              <w:rPr>
                <w:b/>
                <w:sz w:val="18"/>
              </w:rPr>
              <w:t>Meta</w:t>
            </w:r>
            <w:r>
              <w:rPr>
                <w:b/>
                <w:spacing w:val="-13"/>
                <w:sz w:val="18"/>
              </w:rPr>
              <w:t> </w:t>
            </w:r>
            <w:r>
              <w:rPr>
                <w:b/>
                <w:sz w:val="18"/>
              </w:rPr>
              <w:t>programada </w:t>
            </w:r>
            <w:r>
              <w:rPr>
                <w:b/>
                <w:spacing w:val="-4"/>
                <w:sz w:val="18"/>
              </w:rPr>
              <w:t>2026</w:t>
            </w:r>
          </w:p>
        </w:tc>
        <w:tc>
          <w:tcPr>
            <w:tcW w:w="1421" w:type="dxa"/>
            <w:shd w:val="clear" w:color="auto" w:fill="D7D7D7"/>
          </w:tcPr>
          <w:p>
            <w:pPr>
              <w:pStyle w:val="TableParagraph"/>
              <w:spacing w:before="205"/>
              <w:ind w:left="302"/>
              <w:rPr>
                <w:b/>
                <w:sz w:val="18"/>
              </w:rPr>
            </w:pPr>
            <w:r>
              <w:rPr>
                <w:b/>
                <w:spacing w:val="-2"/>
                <w:sz w:val="18"/>
              </w:rPr>
              <w:t>Indicador</w:t>
            </w:r>
          </w:p>
        </w:tc>
        <w:tc>
          <w:tcPr>
            <w:tcW w:w="1839" w:type="dxa"/>
            <w:shd w:val="clear" w:color="auto" w:fill="D7D7D7"/>
          </w:tcPr>
          <w:p>
            <w:pPr>
              <w:pStyle w:val="TableParagraph"/>
              <w:spacing w:before="104"/>
              <w:ind w:left="417" w:right="123" w:firstLine="57"/>
              <w:rPr>
                <w:b/>
                <w:sz w:val="18"/>
              </w:rPr>
            </w:pPr>
            <w:r>
              <w:rPr>
                <w:b/>
                <w:sz w:val="18"/>
              </w:rPr>
              <w:t>Medios de </w:t>
            </w:r>
            <w:r>
              <w:rPr>
                <w:b/>
                <w:spacing w:val="-2"/>
                <w:sz w:val="18"/>
              </w:rPr>
              <w:t>verificación</w:t>
            </w:r>
          </w:p>
        </w:tc>
        <w:tc>
          <w:tcPr>
            <w:tcW w:w="1278" w:type="dxa"/>
            <w:shd w:val="clear" w:color="auto" w:fill="D7D7D7"/>
          </w:tcPr>
          <w:p>
            <w:pPr>
              <w:pStyle w:val="TableParagraph"/>
              <w:spacing w:before="205"/>
              <w:ind w:left="81"/>
              <w:rPr>
                <w:b/>
                <w:sz w:val="18"/>
              </w:rPr>
            </w:pPr>
            <w:r>
              <w:rPr>
                <w:b/>
                <w:spacing w:val="-2"/>
                <w:sz w:val="18"/>
              </w:rPr>
              <w:t>Responsable</w:t>
            </w:r>
          </w:p>
        </w:tc>
        <w:tc>
          <w:tcPr>
            <w:tcW w:w="1841" w:type="dxa"/>
            <w:shd w:val="clear" w:color="auto" w:fill="D7D7D7"/>
          </w:tcPr>
          <w:p>
            <w:pPr>
              <w:pStyle w:val="TableParagraph"/>
              <w:spacing w:before="104"/>
              <w:ind w:left="527" w:hanging="154"/>
              <w:rPr>
                <w:b/>
                <w:sz w:val="18"/>
              </w:rPr>
            </w:pPr>
            <w:r>
              <w:rPr>
                <w:b/>
                <w:spacing w:val="-2"/>
                <w:sz w:val="18"/>
              </w:rPr>
              <w:t>Presupuesto asignado</w:t>
            </w:r>
          </w:p>
        </w:tc>
        <w:tc>
          <w:tcPr>
            <w:tcW w:w="1498" w:type="dxa"/>
            <w:shd w:val="clear" w:color="auto" w:fill="D7D7D7"/>
          </w:tcPr>
          <w:p>
            <w:pPr>
              <w:pStyle w:val="TableParagraph"/>
              <w:spacing w:line="206" w:lineRule="exact"/>
              <w:ind w:left="165" w:right="144" w:hanging="5"/>
              <w:jc w:val="center"/>
              <w:rPr>
                <w:b/>
                <w:sz w:val="18"/>
              </w:rPr>
            </w:pPr>
            <w:r>
              <w:rPr>
                <w:b/>
                <w:spacing w:val="-2"/>
                <w:sz w:val="18"/>
              </w:rPr>
              <w:t>Riesgo </w:t>
            </w:r>
            <w:r>
              <w:rPr>
                <w:b/>
                <w:sz w:val="18"/>
              </w:rPr>
              <w:t>asociado al </w:t>
            </w:r>
            <w:r>
              <w:rPr>
                <w:b/>
                <w:spacing w:val="-2"/>
                <w:sz w:val="18"/>
              </w:rPr>
              <w:t>cumplimiento</w:t>
            </w:r>
          </w:p>
        </w:tc>
      </w:tr>
      <w:tr>
        <w:trPr>
          <w:trHeight w:val="1099" w:hRule="atLeast"/>
        </w:trPr>
        <w:tc>
          <w:tcPr>
            <w:tcW w:w="2833" w:type="dxa"/>
          </w:tcPr>
          <w:p>
            <w:pPr>
              <w:pStyle w:val="TableParagraph"/>
              <w:spacing w:before="32"/>
              <w:ind w:left="72" w:right="89"/>
              <w:rPr>
                <w:sz w:val="18"/>
              </w:rPr>
            </w:pPr>
            <w:r>
              <w:rPr>
                <w:b/>
                <w:sz w:val="18"/>
              </w:rPr>
              <w:t>Producto PAC 2.19.1: </w:t>
            </w:r>
            <w:r>
              <w:rPr>
                <w:sz w:val="18"/>
              </w:rPr>
              <w:t>Creación de un protocolo para la intervención en situaciones de violencia de género o</w:t>
            </w:r>
            <w:r>
              <w:rPr>
                <w:spacing w:val="40"/>
                <w:sz w:val="18"/>
              </w:rPr>
              <w:t> </w:t>
            </w:r>
            <w:r>
              <w:rPr>
                <w:sz w:val="18"/>
              </w:rPr>
              <w:t>intrafamiliar</w:t>
            </w:r>
            <w:r>
              <w:rPr>
                <w:spacing w:val="-12"/>
                <w:sz w:val="18"/>
              </w:rPr>
              <w:t> </w:t>
            </w:r>
            <w:r>
              <w:rPr>
                <w:sz w:val="18"/>
              </w:rPr>
              <w:t>para</w:t>
            </w:r>
            <w:r>
              <w:rPr>
                <w:spacing w:val="-12"/>
                <w:sz w:val="18"/>
              </w:rPr>
              <w:t> </w:t>
            </w:r>
            <w:r>
              <w:rPr>
                <w:sz w:val="18"/>
              </w:rPr>
              <w:t>el</w:t>
            </w:r>
            <w:r>
              <w:rPr>
                <w:spacing w:val="-12"/>
                <w:sz w:val="18"/>
              </w:rPr>
              <w:t> </w:t>
            </w:r>
            <w:r>
              <w:rPr>
                <w:sz w:val="18"/>
              </w:rPr>
              <w:t>funcionariado</w:t>
            </w:r>
          </w:p>
        </w:tc>
        <w:tc>
          <w:tcPr>
            <w:tcW w:w="1560" w:type="dxa"/>
          </w:tcPr>
          <w:p>
            <w:pPr>
              <w:pStyle w:val="TableParagraph"/>
              <w:rPr>
                <w:b/>
                <w:sz w:val="18"/>
              </w:rPr>
            </w:pPr>
          </w:p>
          <w:p>
            <w:pPr>
              <w:pStyle w:val="TableParagraph"/>
              <w:spacing w:before="32"/>
              <w:rPr>
                <w:b/>
                <w:sz w:val="18"/>
              </w:rPr>
            </w:pPr>
          </w:p>
          <w:p>
            <w:pPr>
              <w:pStyle w:val="TableParagraph"/>
              <w:ind w:left="21" w:right="20"/>
              <w:jc w:val="center"/>
              <w:rPr>
                <w:b/>
                <w:sz w:val="18"/>
              </w:rPr>
            </w:pPr>
            <w:r>
              <w:rPr>
                <w:b/>
                <w:spacing w:val="-10"/>
                <w:sz w:val="18"/>
              </w:rPr>
              <w:t>0</w:t>
            </w:r>
          </w:p>
        </w:tc>
        <w:tc>
          <w:tcPr>
            <w:tcW w:w="1983" w:type="dxa"/>
          </w:tcPr>
          <w:p>
            <w:pPr>
              <w:pStyle w:val="TableParagraph"/>
              <w:rPr>
                <w:b/>
                <w:sz w:val="18"/>
              </w:rPr>
            </w:pPr>
          </w:p>
          <w:p>
            <w:pPr>
              <w:pStyle w:val="TableParagraph"/>
              <w:spacing w:before="32"/>
              <w:rPr>
                <w:b/>
                <w:sz w:val="18"/>
              </w:rPr>
            </w:pPr>
          </w:p>
          <w:p>
            <w:pPr>
              <w:pStyle w:val="TableParagraph"/>
              <w:ind w:left="14" w:right="5"/>
              <w:jc w:val="center"/>
              <w:rPr>
                <w:sz w:val="18"/>
              </w:rPr>
            </w:pPr>
            <w:r>
              <w:rPr>
                <w:spacing w:val="-4"/>
                <w:sz w:val="18"/>
              </w:rPr>
              <w:t>100%</w:t>
            </w:r>
          </w:p>
        </w:tc>
        <w:tc>
          <w:tcPr>
            <w:tcW w:w="1421" w:type="dxa"/>
          </w:tcPr>
          <w:p>
            <w:pPr>
              <w:pStyle w:val="TableParagraph"/>
              <w:spacing w:before="32"/>
              <w:rPr>
                <w:b/>
                <w:sz w:val="18"/>
              </w:rPr>
            </w:pPr>
          </w:p>
          <w:p>
            <w:pPr>
              <w:pStyle w:val="TableParagraph"/>
              <w:ind w:left="72" w:right="181"/>
              <w:rPr>
                <w:sz w:val="18"/>
              </w:rPr>
            </w:pPr>
            <w:r>
              <w:rPr>
                <w:sz w:val="18"/>
              </w:rPr>
              <w:t>Porcentaje</w:t>
            </w:r>
            <w:r>
              <w:rPr>
                <w:spacing w:val="-13"/>
                <w:sz w:val="18"/>
              </w:rPr>
              <w:t> </w:t>
            </w:r>
            <w:r>
              <w:rPr>
                <w:sz w:val="18"/>
              </w:rPr>
              <w:t>del </w:t>
            </w:r>
            <w:r>
              <w:rPr>
                <w:spacing w:val="-2"/>
                <w:sz w:val="18"/>
              </w:rPr>
              <w:t>protocolo elaborado</w:t>
            </w:r>
          </w:p>
        </w:tc>
        <w:tc>
          <w:tcPr>
            <w:tcW w:w="1839" w:type="dxa"/>
          </w:tcPr>
          <w:p>
            <w:pPr>
              <w:pStyle w:val="TableParagraph"/>
              <w:rPr>
                <w:b/>
                <w:sz w:val="18"/>
              </w:rPr>
            </w:pPr>
          </w:p>
          <w:p>
            <w:pPr>
              <w:pStyle w:val="TableParagraph"/>
              <w:spacing w:before="32"/>
              <w:rPr>
                <w:b/>
                <w:sz w:val="18"/>
              </w:rPr>
            </w:pPr>
          </w:p>
          <w:p>
            <w:pPr>
              <w:pStyle w:val="TableParagraph"/>
              <w:ind w:left="67"/>
              <w:rPr>
                <w:sz w:val="18"/>
              </w:rPr>
            </w:pPr>
            <w:r>
              <w:rPr>
                <w:spacing w:val="-2"/>
                <w:sz w:val="18"/>
              </w:rPr>
              <w:t>Protocolo</w:t>
            </w:r>
          </w:p>
        </w:tc>
        <w:tc>
          <w:tcPr>
            <w:tcW w:w="1278" w:type="dxa"/>
          </w:tcPr>
          <w:p>
            <w:pPr>
              <w:pStyle w:val="TableParagraph"/>
              <w:spacing w:before="133"/>
              <w:rPr>
                <w:b/>
                <w:sz w:val="18"/>
              </w:rPr>
            </w:pPr>
          </w:p>
          <w:p>
            <w:pPr>
              <w:pStyle w:val="TableParagraph"/>
              <w:spacing w:line="244" w:lineRule="auto"/>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val="restart"/>
          </w:tcPr>
          <w:p>
            <w:pPr>
              <w:pStyle w:val="TableParagraph"/>
              <w:spacing w:before="3"/>
              <w:ind w:left="74" w:right="124"/>
              <w:rPr>
                <w:sz w:val="18"/>
              </w:rPr>
            </w:pPr>
            <w:r>
              <w:rPr>
                <w:spacing w:val="-2"/>
                <w:sz w:val="18"/>
              </w:rPr>
              <w:t>Evento: </w:t>
            </w:r>
            <w:r>
              <w:rPr>
                <w:sz w:val="18"/>
              </w:rPr>
              <w:t>Retrasos</w:t>
            </w:r>
            <w:r>
              <w:rPr>
                <w:spacing w:val="-15"/>
                <w:sz w:val="18"/>
              </w:rPr>
              <w:t> </w:t>
            </w:r>
            <w:r>
              <w:rPr>
                <w:sz w:val="18"/>
              </w:rPr>
              <w:t>en</w:t>
            </w:r>
            <w:r>
              <w:rPr>
                <w:spacing w:val="-12"/>
                <w:sz w:val="18"/>
              </w:rPr>
              <w:t> </w:t>
            </w:r>
            <w:r>
              <w:rPr>
                <w:sz w:val="18"/>
              </w:rPr>
              <w:t>la revisión y </w:t>
            </w:r>
            <w:r>
              <w:rPr>
                <w:spacing w:val="-2"/>
                <w:sz w:val="18"/>
              </w:rPr>
              <w:t>aprobación</w:t>
            </w:r>
          </w:p>
          <w:p>
            <w:pPr>
              <w:pStyle w:val="TableParagraph"/>
              <w:ind w:left="74" w:right="67"/>
              <w:rPr>
                <w:sz w:val="18"/>
              </w:rPr>
            </w:pPr>
            <w:r>
              <w:rPr>
                <w:sz w:val="18"/>
              </w:rPr>
              <w:t>de los documentos</w:t>
            </w:r>
            <w:r>
              <w:rPr>
                <w:spacing w:val="-13"/>
                <w:sz w:val="18"/>
              </w:rPr>
              <w:t> </w:t>
            </w:r>
            <w:r>
              <w:rPr>
                <w:sz w:val="18"/>
              </w:rPr>
              <w:t>que </w:t>
            </w:r>
            <w:r>
              <w:rPr>
                <w:spacing w:val="-2"/>
                <w:sz w:val="18"/>
              </w:rPr>
              <w:t>garanticen condiciones laborales </w:t>
            </w:r>
            <w:r>
              <w:rPr>
                <w:sz w:val="18"/>
              </w:rPr>
              <w:t>inclusivas y seguras para el </w:t>
            </w:r>
            <w:r>
              <w:rPr>
                <w:spacing w:val="-2"/>
                <w:sz w:val="18"/>
              </w:rPr>
              <w:t>personal (corresponsabili </w:t>
            </w:r>
            <w:r>
              <w:rPr>
                <w:sz w:val="18"/>
              </w:rPr>
              <w:t>dad</w:t>
            </w:r>
            <w:r>
              <w:rPr>
                <w:spacing w:val="-12"/>
                <w:sz w:val="18"/>
              </w:rPr>
              <w:t> </w:t>
            </w:r>
            <w:r>
              <w:rPr>
                <w:sz w:val="18"/>
              </w:rPr>
              <w:t>social</w:t>
            </w:r>
            <w:r>
              <w:rPr>
                <w:spacing w:val="-11"/>
                <w:sz w:val="18"/>
              </w:rPr>
              <w:t> </w:t>
            </w:r>
            <w:r>
              <w:rPr>
                <w:sz w:val="18"/>
              </w:rPr>
              <w:t>de</w:t>
            </w:r>
            <w:r>
              <w:rPr>
                <w:spacing w:val="-13"/>
                <w:sz w:val="18"/>
              </w:rPr>
              <w:t> </w:t>
            </w:r>
            <w:r>
              <w:rPr>
                <w:sz w:val="18"/>
              </w:rPr>
              <w:t>los cuidados y atención de situaciones de violencia de género o</w:t>
            </w:r>
          </w:p>
          <w:p>
            <w:pPr>
              <w:pStyle w:val="TableParagraph"/>
              <w:spacing w:line="187" w:lineRule="exact" w:before="1"/>
              <w:ind w:left="74"/>
              <w:rPr>
                <w:sz w:val="18"/>
              </w:rPr>
            </w:pPr>
            <w:r>
              <w:rPr>
                <w:spacing w:val="-2"/>
                <w:sz w:val="18"/>
              </w:rPr>
              <w:t>intrafamiliar).</w:t>
            </w:r>
          </w:p>
        </w:tc>
      </w:tr>
      <w:tr>
        <w:trPr>
          <w:trHeight w:val="3034" w:hRule="atLeast"/>
        </w:trPr>
        <w:tc>
          <w:tcPr>
            <w:tcW w:w="2833" w:type="dxa"/>
          </w:tcPr>
          <w:p>
            <w:pPr>
              <w:pStyle w:val="TableParagraph"/>
              <w:rPr>
                <w:b/>
                <w:sz w:val="18"/>
              </w:rPr>
            </w:pPr>
          </w:p>
          <w:p>
            <w:pPr>
              <w:pStyle w:val="TableParagraph"/>
              <w:spacing w:before="171"/>
              <w:rPr>
                <w:b/>
                <w:sz w:val="18"/>
              </w:rPr>
            </w:pPr>
          </w:p>
          <w:p>
            <w:pPr>
              <w:pStyle w:val="TableParagraph"/>
              <w:ind w:left="72" w:right="119"/>
              <w:rPr>
                <w:sz w:val="18"/>
              </w:rPr>
            </w:pPr>
            <w:r>
              <w:rPr>
                <w:b/>
                <w:sz w:val="18"/>
              </w:rPr>
              <w:t>Producto</w:t>
            </w:r>
            <w:r>
              <w:rPr>
                <w:b/>
                <w:spacing w:val="-11"/>
                <w:sz w:val="18"/>
              </w:rPr>
              <w:t> </w:t>
            </w:r>
            <w:r>
              <w:rPr>
                <w:b/>
                <w:sz w:val="18"/>
              </w:rPr>
              <w:t>PAC</w:t>
            </w:r>
            <w:r>
              <w:rPr>
                <w:b/>
                <w:spacing w:val="-12"/>
                <w:sz w:val="18"/>
              </w:rPr>
              <w:t> </w:t>
            </w:r>
            <w:r>
              <w:rPr>
                <w:b/>
                <w:sz w:val="18"/>
              </w:rPr>
              <w:t>2.19.2:</w:t>
            </w:r>
            <w:r>
              <w:rPr>
                <w:b/>
                <w:spacing w:val="-3"/>
                <w:sz w:val="18"/>
              </w:rPr>
              <w:t> </w:t>
            </w:r>
            <w:r>
              <w:rPr>
                <w:sz w:val="18"/>
              </w:rPr>
              <w:t>Diseño</w:t>
            </w:r>
            <w:r>
              <w:rPr>
                <w:spacing w:val="-6"/>
                <w:sz w:val="18"/>
              </w:rPr>
              <w:t> </w:t>
            </w:r>
            <w:r>
              <w:rPr>
                <w:sz w:val="18"/>
              </w:rPr>
              <w:t>e implementación de una política institucional</w:t>
            </w:r>
            <w:r>
              <w:rPr>
                <w:spacing w:val="-1"/>
                <w:sz w:val="18"/>
              </w:rPr>
              <w:t> </w:t>
            </w:r>
            <w:r>
              <w:rPr>
                <w:sz w:val="18"/>
              </w:rPr>
              <w:t>de corresponsabilidad d social de los cuidados considerando las necesidades de las personas funcionarias y trabajadoras, incluyendo la gestión del </w:t>
            </w:r>
            <w:r>
              <w:rPr>
                <w:spacing w:val="-2"/>
                <w:sz w:val="18"/>
              </w:rPr>
              <w:t>teletrabajo.</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left="21" w:right="20"/>
              <w:jc w:val="center"/>
              <w:rPr>
                <w:sz w:val="18"/>
              </w:rPr>
            </w:pPr>
            <w:r>
              <w:rPr>
                <w:spacing w:val="-10"/>
                <w:sz w:val="18"/>
              </w:rPr>
              <w:t>0</w:t>
            </w:r>
          </w:p>
        </w:tc>
        <w:tc>
          <w:tcPr>
            <w:tcW w:w="19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left="14" w:right="10"/>
              <w:jc w:val="center"/>
              <w:rPr>
                <w:sz w:val="18"/>
              </w:rPr>
            </w:pPr>
            <w:r>
              <w:rPr>
                <w:spacing w:val="-5"/>
                <w:sz w:val="18"/>
              </w:rPr>
              <w:t>80%</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spacing w:before="169"/>
              <w:rPr>
                <w:b/>
                <w:sz w:val="18"/>
              </w:rPr>
            </w:pPr>
          </w:p>
          <w:p>
            <w:pPr>
              <w:pStyle w:val="TableParagraph"/>
              <w:spacing w:before="1"/>
              <w:ind w:left="72"/>
              <w:rPr>
                <w:sz w:val="18"/>
              </w:rPr>
            </w:pPr>
            <w:r>
              <w:rPr>
                <w:sz w:val="18"/>
              </w:rPr>
              <w:t>Porcentaje de avance en el diseño e </w:t>
            </w:r>
            <w:r>
              <w:rPr>
                <w:spacing w:val="-2"/>
                <w:sz w:val="18"/>
              </w:rPr>
              <w:t>implementación </w:t>
            </w:r>
            <w:r>
              <w:rPr>
                <w:sz w:val="18"/>
              </w:rPr>
              <w:t>de la política.</w:t>
            </w:r>
          </w:p>
        </w:tc>
        <w:tc>
          <w:tcPr>
            <w:tcW w:w="18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left="67"/>
              <w:rPr>
                <w:sz w:val="18"/>
              </w:rPr>
            </w:pPr>
            <w:r>
              <w:rPr>
                <w:sz w:val="18"/>
              </w:rPr>
              <w:t>Política</w:t>
            </w:r>
            <w:r>
              <w:rPr>
                <w:spacing w:val="-6"/>
                <w:sz w:val="18"/>
              </w:rPr>
              <w:t> </w:t>
            </w:r>
            <w:r>
              <w:rPr>
                <w:spacing w:val="-2"/>
                <w:sz w:val="18"/>
              </w:rPr>
              <w:t>institucional</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7"/>
              <w:rPr>
                <w:b/>
                <w:sz w:val="18"/>
              </w:rPr>
            </w:pPr>
          </w:p>
          <w:p>
            <w:pPr>
              <w:pStyle w:val="TableParagraph"/>
              <w:spacing w:before="1"/>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tcBorders>
              <w:top w:val="nil"/>
            </w:tcBorders>
          </w:tcPr>
          <w:p>
            <w:pPr>
              <w:rPr>
                <w:sz w:val="2"/>
                <w:szCs w:val="2"/>
              </w:rPr>
            </w:pPr>
          </w:p>
        </w:tc>
      </w:tr>
      <w:tr>
        <w:trPr>
          <w:trHeight w:val="522" w:hRule="atLeast"/>
        </w:trPr>
        <w:tc>
          <w:tcPr>
            <w:tcW w:w="14253" w:type="dxa"/>
            <w:gridSpan w:val="8"/>
            <w:shd w:val="clear" w:color="auto" w:fill="EFF8F9"/>
          </w:tcPr>
          <w:p>
            <w:pPr>
              <w:pStyle w:val="TableParagraph"/>
              <w:spacing w:before="56"/>
              <w:ind w:left="72" w:right="78"/>
              <w:rPr>
                <w:b/>
                <w:sz w:val="18"/>
              </w:rPr>
            </w:pPr>
            <w:r>
              <w:rPr>
                <w:b/>
                <w:sz w:val="18"/>
              </w:rPr>
              <w:t>Producto</w:t>
            </w:r>
            <w:r>
              <w:rPr>
                <w:b/>
                <w:spacing w:val="-3"/>
                <w:sz w:val="18"/>
              </w:rPr>
              <w:t> </w:t>
            </w:r>
            <w:r>
              <w:rPr>
                <w:b/>
                <w:sz w:val="18"/>
              </w:rPr>
              <w:t>PAC</w:t>
            </w:r>
            <w:r>
              <w:rPr>
                <w:b/>
                <w:spacing w:val="-4"/>
                <w:sz w:val="18"/>
              </w:rPr>
              <w:t> </w:t>
            </w:r>
            <w:r>
              <w:rPr>
                <w:b/>
                <w:sz w:val="18"/>
              </w:rPr>
              <w:t>2.20: Remozamiento</w:t>
            </w:r>
            <w:r>
              <w:rPr>
                <w:b/>
                <w:spacing w:val="-3"/>
                <w:sz w:val="18"/>
              </w:rPr>
              <w:t> </w:t>
            </w:r>
            <w:r>
              <w:rPr>
                <w:b/>
                <w:sz w:val="18"/>
              </w:rPr>
              <w:t>de</w:t>
            </w:r>
            <w:r>
              <w:rPr>
                <w:b/>
                <w:spacing w:val="-2"/>
                <w:sz w:val="18"/>
              </w:rPr>
              <w:t> </w:t>
            </w:r>
            <w:r>
              <w:rPr>
                <w:b/>
                <w:sz w:val="18"/>
              </w:rPr>
              <w:t>los</w:t>
            </w:r>
            <w:r>
              <w:rPr>
                <w:b/>
                <w:spacing w:val="-2"/>
                <w:sz w:val="18"/>
              </w:rPr>
              <w:t> </w:t>
            </w:r>
            <w:r>
              <w:rPr>
                <w:b/>
                <w:sz w:val="18"/>
              </w:rPr>
              <w:t>procesos</w:t>
            </w:r>
            <w:r>
              <w:rPr>
                <w:b/>
                <w:spacing w:val="-2"/>
                <w:sz w:val="18"/>
              </w:rPr>
              <w:t> </w:t>
            </w:r>
            <w:r>
              <w:rPr>
                <w:b/>
                <w:sz w:val="18"/>
              </w:rPr>
              <w:t>del</w:t>
            </w:r>
            <w:r>
              <w:rPr>
                <w:b/>
                <w:spacing w:val="-4"/>
                <w:sz w:val="18"/>
              </w:rPr>
              <w:t> </w:t>
            </w:r>
            <w:r>
              <w:rPr>
                <w:b/>
                <w:sz w:val="18"/>
              </w:rPr>
              <w:t>Área de</w:t>
            </w:r>
            <w:r>
              <w:rPr>
                <w:b/>
                <w:spacing w:val="-2"/>
                <w:sz w:val="18"/>
              </w:rPr>
              <w:t> </w:t>
            </w:r>
            <w:r>
              <w:rPr>
                <w:b/>
                <w:sz w:val="18"/>
              </w:rPr>
              <w:t>Desarrollo Humano</w:t>
            </w:r>
            <w:r>
              <w:rPr>
                <w:b/>
                <w:spacing w:val="-3"/>
                <w:sz w:val="18"/>
              </w:rPr>
              <w:t> </w:t>
            </w:r>
            <w:r>
              <w:rPr>
                <w:b/>
                <w:sz w:val="18"/>
              </w:rPr>
              <w:t>para</w:t>
            </w:r>
            <w:r>
              <w:rPr>
                <w:b/>
                <w:spacing w:val="-2"/>
                <w:sz w:val="18"/>
              </w:rPr>
              <w:t> </w:t>
            </w:r>
            <w:r>
              <w:rPr>
                <w:b/>
                <w:sz w:val="18"/>
              </w:rPr>
              <w:t>reducir</w:t>
            </w:r>
            <w:r>
              <w:rPr>
                <w:b/>
                <w:spacing w:val="-1"/>
                <w:sz w:val="18"/>
              </w:rPr>
              <w:t> </w:t>
            </w:r>
            <w:r>
              <w:rPr>
                <w:b/>
                <w:sz w:val="18"/>
              </w:rPr>
              <w:t>los</w:t>
            </w:r>
            <w:r>
              <w:rPr>
                <w:b/>
                <w:spacing w:val="-7"/>
                <w:sz w:val="18"/>
              </w:rPr>
              <w:t> </w:t>
            </w:r>
            <w:r>
              <w:rPr>
                <w:b/>
                <w:sz w:val="18"/>
              </w:rPr>
              <w:t>impactos</w:t>
            </w:r>
            <w:r>
              <w:rPr>
                <w:b/>
                <w:spacing w:val="-2"/>
                <w:sz w:val="18"/>
              </w:rPr>
              <w:t> </w:t>
            </w:r>
            <w:r>
              <w:rPr>
                <w:b/>
                <w:sz w:val="18"/>
              </w:rPr>
              <w:t>de</w:t>
            </w:r>
            <w:r>
              <w:rPr>
                <w:b/>
                <w:spacing w:val="-2"/>
                <w:sz w:val="18"/>
              </w:rPr>
              <w:t> </w:t>
            </w:r>
            <w:r>
              <w:rPr>
                <w:b/>
                <w:sz w:val="18"/>
              </w:rPr>
              <w:t>sesgos</w:t>
            </w:r>
            <w:r>
              <w:rPr>
                <w:b/>
                <w:spacing w:val="-2"/>
                <w:sz w:val="18"/>
              </w:rPr>
              <w:t> </w:t>
            </w:r>
            <w:r>
              <w:rPr>
                <w:b/>
                <w:sz w:val="18"/>
              </w:rPr>
              <w:t>conscientes o</w:t>
            </w:r>
            <w:r>
              <w:rPr>
                <w:b/>
                <w:spacing w:val="-3"/>
                <w:sz w:val="18"/>
              </w:rPr>
              <w:t> </w:t>
            </w:r>
            <w:r>
              <w:rPr>
                <w:b/>
                <w:sz w:val="18"/>
              </w:rPr>
              <w:t>inconscientes</w:t>
            </w:r>
            <w:r>
              <w:rPr>
                <w:b/>
                <w:spacing w:val="-2"/>
                <w:sz w:val="18"/>
              </w:rPr>
              <w:t> </w:t>
            </w:r>
            <w:r>
              <w:rPr>
                <w:b/>
                <w:sz w:val="18"/>
              </w:rPr>
              <w:t>y</w:t>
            </w:r>
            <w:r>
              <w:rPr>
                <w:b/>
                <w:spacing w:val="-2"/>
                <w:sz w:val="18"/>
              </w:rPr>
              <w:t> </w:t>
            </w:r>
            <w:r>
              <w:rPr>
                <w:b/>
                <w:sz w:val="18"/>
              </w:rPr>
              <w:t>otras conductas discriminatorias, tomando como referencia la norma técnica nacional INTE</w:t>
            </w:r>
            <w:r>
              <w:rPr>
                <w:b/>
                <w:spacing w:val="-2"/>
                <w:sz w:val="18"/>
              </w:rPr>
              <w:t> </w:t>
            </w:r>
            <w:r>
              <w:rPr>
                <w:b/>
                <w:sz w:val="18"/>
              </w:rPr>
              <w:t>G38 en materia de gestión del talento humano.</w:t>
            </w:r>
          </w:p>
        </w:tc>
      </w:tr>
      <w:tr>
        <w:trPr>
          <w:trHeight w:val="1863" w:hRule="atLeast"/>
        </w:trPr>
        <w:tc>
          <w:tcPr>
            <w:tcW w:w="2833" w:type="dxa"/>
          </w:tcPr>
          <w:p>
            <w:pPr>
              <w:pStyle w:val="TableParagraph"/>
              <w:ind w:left="72" w:right="119"/>
              <w:rPr>
                <w:sz w:val="18"/>
              </w:rPr>
            </w:pPr>
            <w:r>
              <w:rPr>
                <w:b/>
                <w:sz w:val="18"/>
              </w:rPr>
              <w:t>Producto</w:t>
            </w:r>
            <w:r>
              <w:rPr>
                <w:b/>
                <w:spacing w:val="-9"/>
                <w:sz w:val="18"/>
              </w:rPr>
              <w:t> </w:t>
            </w:r>
            <w:r>
              <w:rPr>
                <w:b/>
                <w:sz w:val="18"/>
              </w:rPr>
              <w:t>PAC</w:t>
            </w:r>
            <w:r>
              <w:rPr>
                <w:b/>
                <w:spacing w:val="-10"/>
                <w:sz w:val="18"/>
              </w:rPr>
              <w:t> </w:t>
            </w:r>
            <w:r>
              <w:rPr>
                <w:b/>
                <w:sz w:val="18"/>
              </w:rPr>
              <w:t>2.20.1:</w:t>
            </w:r>
            <w:r>
              <w:rPr>
                <w:b/>
                <w:spacing w:val="40"/>
                <w:sz w:val="18"/>
              </w:rPr>
              <w:t> </w:t>
            </w:r>
            <w:r>
              <w:rPr>
                <w:sz w:val="18"/>
              </w:rPr>
              <w:t>Adquirir la norma técnica nacional INTE G38</w:t>
            </w:r>
            <w:r>
              <w:rPr>
                <w:spacing w:val="-10"/>
                <w:sz w:val="18"/>
              </w:rPr>
              <w:t> </w:t>
            </w:r>
            <w:r>
              <w:rPr>
                <w:sz w:val="18"/>
              </w:rPr>
              <w:t>como</w:t>
            </w:r>
            <w:r>
              <w:rPr>
                <w:spacing w:val="-10"/>
                <w:sz w:val="18"/>
              </w:rPr>
              <w:t> </w:t>
            </w:r>
            <w:r>
              <w:rPr>
                <w:sz w:val="18"/>
              </w:rPr>
              <w:t>insumo</w:t>
            </w:r>
            <w:r>
              <w:rPr>
                <w:spacing w:val="-7"/>
                <w:sz w:val="18"/>
              </w:rPr>
              <w:t> </w:t>
            </w:r>
            <w:r>
              <w:rPr>
                <w:sz w:val="18"/>
              </w:rPr>
              <w:t>de</w:t>
            </w:r>
            <w:r>
              <w:rPr>
                <w:spacing w:val="-10"/>
                <w:sz w:val="18"/>
              </w:rPr>
              <w:t> </w:t>
            </w:r>
            <w:r>
              <w:rPr>
                <w:sz w:val="18"/>
              </w:rPr>
              <w:t>referencia para la mejora de procesos de reclutamiento, selección, promociones, evaluación de desempeño, remuneraciones, jornadas de trabajo y salud</w:t>
            </w:r>
          </w:p>
          <w:p>
            <w:pPr>
              <w:pStyle w:val="TableParagraph"/>
              <w:spacing w:line="187" w:lineRule="exact"/>
              <w:ind w:left="72"/>
              <w:rPr>
                <w:sz w:val="18"/>
              </w:rPr>
            </w:pPr>
            <w:r>
              <w:rPr>
                <w:spacing w:val="-2"/>
                <w:sz w:val="18"/>
              </w:rPr>
              <w:t>integral.</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21" w:right="20"/>
              <w:jc w:val="center"/>
              <w:rPr>
                <w:sz w:val="18"/>
              </w:rPr>
            </w:pPr>
            <w:r>
              <w:rPr>
                <w:spacing w:val="-10"/>
                <w:sz w:val="18"/>
              </w:rPr>
              <w:t>0</w:t>
            </w:r>
          </w:p>
        </w:tc>
        <w:tc>
          <w:tcPr>
            <w:tcW w:w="1983"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14" w:right="12"/>
              <w:jc w:val="center"/>
              <w:rPr>
                <w:sz w:val="18"/>
              </w:rPr>
            </w:pPr>
            <w:r>
              <w:rPr>
                <w:spacing w:val="-10"/>
                <w:sz w:val="18"/>
              </w:rPr>
              <w:t>1</w:t>
            </w:r>
          </w:p>
        </w:tc>
        <w:tc>
          <w:tcPr>
            <w:tcW w:w="142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2"/>
              <w:rPr>
                <w:sz w:val="18"/>
              </w:rPr>
            </w:pPr>
            <w:r>
              <w:rPr>
                <w:sz w:val="18"/>
              </w:rPr>
              <w:t>Cantidad</w:t>
            </w:r>
            <w:r>
              <w:rPr>
                <w:spacing w:val="-13"/>
                <w:sz w:val="18"/>
              </w:rPr>
              <w:t> </w:t>
            </w:r>
            <w:r>
              <w:rPr>
                <w:sz w:val="18"/>
              </w:rPr>
              <w:t>de </w:t>
            </w:r>
            <w:r>
              <w:rPr>
                <w:spacing w:val="-2"/>
                <w:sz w:val="18"/>
              </w:rPr>
              <w:t>normativa adquirida</w:t>
            </w:r>
          </w:p>
        </w:tc>
        <w:tc>
          <w:tcPr>
            <w:tcW w:w="1839"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67"/>
              <w:rPr>
                <w:sz w:val="18"/>
              </w:rPr>
            </w:pPr>
            <w:r>
              <w:rPr>
                <w:spacing w:val="-2"/>
                <w:sz w:val="18"/>
              </w:rPr>
              <w:t>Norma</w:t>
            </w:r>
          </w:p>
        </w:tc>
        <w:tc>
          <w:tcPr>
            <w:tcW w:w="1278"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val="restart"/>
          </w:tcPr>
          <w:p>
            <w:pPr>
              <w:pStyle w:val="TableParagraph"/>
              <w:spacing w:before="3"/>
              <w:rPr>
                <w:b/>
                <w:sz w:val="18"/>
              </w:rPr>
            </w:pPr>
          </w:p>
          <w:p>
            <w:pPr>
              <w:pStyle w:val="TableParagraph"/>
              <w:ind w:left="74" w:right="56"/>
              <w:rPr>
                <w:sz w:val="18"/>
              </w:rPr>
            </w:pPr>
            <w:r>
              <w:rPr>
                <w:sz w:val="18"/>
              </w:rPr>
              <w:t>Evento: Factor humano impida que</w:t>
            </w:r>
            <w:r>
              <w:rPr>
                <w:spacing w:val="-15"/>
                <w:sz w:val="18"/>
              </w:rPr>
              <w:t> </w:t>
            </w:r>
            <w:r>
              <w:rPr>
                <w:sz w:val="18"/>
              </w:rPr>
              <w:t>la</w:t>
            </w:r>
            <w:r>
              <w:rPr>
                <w:spacing w:val="-12"/>
                <w:sz w:val="18"/>
              </w:rPr>
              <w:t> </w:t>
            </w:r>
            <w:r>
              <w:rPr>
                <w:sz w:val="18"/>
              </w:rPr>
              <w:t>aplicación de la norma técnica</w:t>
            </w:r>
            <w:r>
              <w:rPr>
                <w:spacing w:val="-7"/>
                <w:sz w:val="18"/>
              </w:rPr>
              <w:t> </w:t>
            </w:r>
            <w:r>
              <w:rPr>
                <w:sz w:val="18"/>
              </w:rPr>
              <w:t>G38 reduzca los impactos de </w:t>
            </w:r>
            <w:r>
              <w:rPr>
                <w:spacing w:val="-2"/>
                <w:sz w:val="18"/>
              </w:rPr>
              <w:t>sesgos </w:t>
            </w:r>
            <w:r>
              <w:rPr>
                <w:sz w:val="18"/>
              </w:rPr>
              <w:t>conscientes o inconscientes y otras conductas </w:t>
            </w:r>
            <w:r>
              <w:rPr>
                <w:spacing w:val="-2"/>
                <w:sz w:val="18"/>
              </w:rPr>
              <w:t>discriminatorias </w:t>
            </w:r>
            <w:r>
              <w:rPr>
                <w:sz w:val="18"/>
              </w:rPr>
              <w:t>según las </w:t>
            </w:r>
            <w:r>
              <w:rPr>
                <w:spacing w:val="-2"/>
                <w:sz w:val="18"/>
              </w:rPr>
              <w:t>expectativas</w:t>
            </w:r>
          </w:p>
        </w:tc>
      </w:tr>
      <w:tr>
        <w:trPr>
          <w:trHeight w:val="1449" w:hRule="atLeast"/>
        </w:trPr>
        <w:tc>
          <w:tcPr>
            <w:tcW w:w="2833" w:type="dxa"/>
          </w:tcPr>
          <w:p>
            <w:pPr>
              <w:pStyle w:val="TableParagraph"/>
              <w:ind w:left="72" w:right="95"/>
              <w:rPr>
                <w:sz w:val="18"/>
              </w:rPr>
            </w:pPr>
            <w:r>
              <w:rPr>
                <w:b/>
                <w:sz w:val="18"/>
              </w:rPr>
              <w:t>Producto</w:t>
            </w:r>
            <w:r>
              <w:rPr>
                <w:b/>
                <w:spacing w:val="-13"/>
                <w:sz w:val="18"/>
              </w:rPr>
              <w:t> </w:t>
            </w:r>
            <w:r>
              <w:rPr>
                <w:b/>
                <w:sz w:val="18"/>
              </w:rPr>
              <w:t>PAC</w:t>
            </w:r>
            <w:r>
              <w:rPr>
                <w:b/>
                <w:spacing w:val="-12"/>
                <w:sz w:val="18"/>
              </w:rPr>
              <w:t> </w:t>
            </w:r>
            <w:r>
              <w:rPr>
                <w:b/>
                <w:sz w:val="18"/>
              </w:rPr>
              <w:t>2.20.2:</w:t>
            </w:r>
            <w:r>
              <w:rPr>
                <w:b/>
                <w:spacing w:val="-10"/>
                <w:sz w:val="18"/>
              </w:rPr>
              <w:t> </w:t>
            </w:r>
            <w:r>
              <w:rPr>
                <w:sz w:val="18"/>
              </w:rPr>
              <w:t>Capacitar al personal del Área de Desarrollo Humano en la aplicación</w:t>
            </w:r>
            <w:r>
              <w:rPr>
                <w:spacing w:val="-5"/>
                <w:sz w:val="18"/>
              </w:rPr>
              <w:t> </w:t>
            </w:r>
            <w:r>
              <w:rPr>
                <w:sz w:val="18"/>
              </w:rPr>
              <w:t>de</w:t>
            </w:r>
            <w:r>
              <w:rPr>
                <w:spacing w:val="-9"/>
                <w:sz w:val="18"/>
              </w:rPr>
              <w:t> </w:t>
            </w:r>
            <w:r>
              <w:rPr>
                <w:sz w:val="18"/>
              </w:rPr>
              <w:t>los</w:t>
            </w:r>
            <w:r>
              <w:rPr>
                <w:spacing w:val="-5"/>
                <w:sz w:val="18"/>
              </w:rPr>
              <w:t> </w:t>
            </w:r>
            <w:r>
              <w:rPr>
                <w:sz w:val="18"/>
              </w:rPr>
              <w:t>lineamientos</w:t>
            </w:r>
            <w:r>
              <w:rPr>
                <w:spacing w:val="-9"/>
                <w:sz w:val="18"/>
              </w:rPr>
              <w:t> </w:t>
            </w:r>
            <w:r>
              <w:rPr>
                <w:sz w:val="18"/>
              </w:rPr>
              <w:t>de la norma INTE G38 y en</w:t>
            </w:r>
          </w:p>
          <w:p>
            <w:pPr>
              <w:pStyle w:val="TableParagraph"/>
              <w:spacing w:line="206" w:lineRule="exact"/>
              <w:ind w:left="72"/>
              <w:rPr>
                <w:sz w:val="18"/>
              </w:rPr>
            </w:pPr>
            <w:r>
              <w:rPr>
                <w:sz w:val="18"/>
              </w:rPr>
              <w:t>prácticas</w:t>
            </w:r>
            <w:r>
              <w:rPr>
                <w:spacing w:val="-12"/>
                <w:sz w:val="18"/>
              </w:rPr>
              <w:t> </w:t>
            </w:r>
            <w:r>
              <w:rPr>
                <w:sz w:val="18"/>
              </w:rPr>
              <w:t>inclusivas</w:t>
            </w:r>
            <w:r>
              <w:rPr>
                <w:spacing w:val="-12"/>
                <w:sz w:val="18"/>
              </w:rPr>
              <w:t> </w:t>
            </w:r>
            <w:r>
              <w:rPr>
                <w:sz w:val="18"/>
              </w:rPr>
              <w:t>libres</w:t>
            </w:r>
            <w:r>
              <w:rPr>
                <w:spacing w:val="-12"/>
                <w:sz w:val="18"/>
              </w:rPr>
              <w:t> </w:t>
            </w:r>
            <w:r>
              <w:rPr>
                <w:sz w:val="18"/>
              </w:rPr>
              <w:t>de </w:t>
            </w:r>
            <w:r>
              <w:rPr>
                <w:spacing w:val="-2"/>
                <w:sz w:val="18"/>
              </w:rPr>
              <w:t>discriminación</w:t>
            </w:r>
          </w:p>
        </w:tc>
        <w:tc>
          <w:tcPr>
            <w:tcW w:w="15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1" w:right="20"/>
              <w:jc w:val="center"/>
              <w:rPr>
                <w:sz w:val="18"/>
              </w:rPr>
            </w:pPr>
            <w:r>
              <w:rPr>
                <w:spacing w:val="-10"/>
                <w:sz w:val="18"/>
              </w:rPr>
              <w:t>0</w:t>
            </w:r>
          </w:p>
        </w:tc>
        <w:tc>
          <w:tcPr>
            <w:tcW w:w="1983"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4" w:right="12"/>
              <w:jc w:val="center"/>
              <w:rPr>
                <w:sz w:val="18"/>
              </w:rPr>
            </w:pPr>
            <w:r>
              <w:rPr>
                <w:spacing w:val="-10"/>
                <w:sz w:val="18"/>
              </w:rPr>
              <w:t>2</w:t>
            </w:r>
          </w:p>
        </w:tc>
        <w:tc>
          <w:tcPr>
            <w:tcW w:w="1421" w:type="dxa"/>
          </w:tcPr>
          <w:p>
            <w:pPr>
              <w:pStyle w:val="TableParagraph"/>
              <w:rPr>
                <w:b/>
                <w:sz w:val="18"/>
              </w:rPr>
            </w:pPr>
          </w:p>
          <w:p>
            <w:pPr>
              <w:pStyle w:val="TableParagraph"/>
              <w:spacing w:before="2"/>
              <w:rPr>
                <w:b/>
                <w:sz w:val="18"/>
              </w:rPr>
            </w:pPr>
          </w:p>
          <w:p>
            <w:pPr>
              <w:pStyle w:val="TableParagraph"/>
              <w:ind w:left="115" w:right="98" w:hanging="9"/>
              <w:jc w:val="center"/>
              <w:rPr>
                <w:sz w:val="18"/>
              </w:rPr>
            </w:pPr>
            <w:r>
              <w:rPr>
                <w:sz w:val="18"/>
              </w:rPr>
              <w:t>Cantidad de </w:t>
            </w:r>
            <w:r>
              <w:rPr>
                <w:spacing w:val="-2"/>
                <w:sz w:val="18"/>
              </w:rPr>
              <w:t>capacitaciones realizadas</w:t>
            </w:r>
          </w:p>
        </w:tc>
        <w:tc>
          <w:tcPr>
            <w:tcW w:w="1839"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7"/>
              <w:rPr>
                <w:sz w:val="18"/>
              </w:rPr>
            </w:pPr>
            <w:r>
              <w:rPr>
                <w:sz w:val="18"/>
              </w:rPr>
              <w:t>Lista</w:t>
            </w:r>
            <w:r>
              <w:rPr>
                <w:spacing w:val="-3"/>
                <w:sz w:val="18"/>
              </w:rPr>
              <w:t> </w:t>
            </w:r>
            <w:r>
              <w:rPr>
                <w:sz w:val="18"/>
              </w:rPr>
              <w:t>de</w:t>
            </w:r>
            <w:r>
              <w:rPr>
                <w:spacing w:val="2"/>
                <w:sz w:val="18"/>
              </w:rPr>
              <w:t> </w:t>
            </w:r>
            <w:r>
              <w:rPr>
                <w:spacing w:val="-2"/>
                <w:sz w:val="18"/>
              </w:rPr>
              <w:t>asistencia</w:t>
            </w:r>
          </w:p>
        </w:tc>
        <w:tc>
          <w:tcPr>
            <w:tcW w:w="1278" w:type="dxa"/>
          </w:tcPr>
          <w:p>
            <w:pPr>
              <w:pStyle w:val="TableParagraph"/>
              <w:rPr>
                <w:b/>
                <w:sz w:val="18"/>
              </w:rPr>
            </w:pPr>
          </w:p>
          <w:p>
            <w:pPr>
              <w:pStyle w:val="TableParagraph"/>
              <w:spacing w:before="103"/>
              <w:rPr>
                <w:b/>
                <w:sz w:val="18"/>
              </w:rPr>
            </w:pPr>
          </w:p>
          <w:p>
            <w:pPr>
              <w:pStyle w:val="TableParagraph"/>
              <w:ind w:left="72"/>
              <w:rPr>
                <w:sz w:val="18"/>
              </w:rPr>
            </w:pPr>
            <w:r>
              <w:rPr>
                <w:spacing w:val="-2"/>
                <w:sz w:val="18"/>
              </w:rPr>
              <w:t>Desarrollo Humano</w:t>
            </w:r>
          </w:p>
        </w:tc>
        <w:tc>
          <w:tcPr>
            <w:tcW w:w="1841" w:type="dxa"/>
          </w:tcPr>
          <w:p>
            <w:pPr>
              <w:pStyle w:val="TableParagraph"/>
              <w:rPr>
                <w:rFonts w:ascii="Times New Roman"/>
                <w:sz w:val="18"/>
              </w:rPr>
            </w:pPr>
          </w:p>
        </w:tc>
        <w:tc>
          <w:tcPr>
            <w:tcW w:w="1498"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575"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33"/>
        <w:gridCol w:w="1560"/>
        <w:gridCol w:w="1983"/>
        <w:gridCol w:w="1421"/>
        <w:gridCol w:w="1839"/>
        <w:gridCol w:w="1278"/>
        <w:gridCol w:w="1844"/>
        <w:gridCol w:w="1494"/>
      </w:tblGrid>
      <w:tr>
        <w:trPr>
          <w:trHeight w:val="618" w:hRule="atLeast"/>
        </w:trPr>
        <w:tc>
          <w:tcPr>
            <w:tcW w:w="2833" w:type="dxa"/>
            <w:shd w:val="clear" w:color="auto" w:fill="D7D7D7"/>
          </w:tcPr>
          <w:p>
            <w:pPr>
              <w:pStyle w:val="TableParagraph"/>
              <w:spacing w:before="205"/>
              <w:ind w:left="446"/>
              <w:rPr>
                <w:b/>
                <w:sz w:val="18"/>
              </w:rPr>
            </w:pPr>
            <w:r>
              <w:rPr>
                <w:b/>
                <w:sz w:val="18"/>
              </w:rPr>
              <w:t>Objetivos</w:t>
            </w:r>
            <w:r>
              <w:rPr>
                <w:b/>
                <w:spacing w:val="-5"/>
                <w:sz w:val="18"/>
              </w:rPr>
              <w:t> </w:t>
            </w:r>
            <w:r>
              <w:rPr>
                <w:b/>
                <w:sz w:val="18"/>
              </w:rPr>
              <w:t>/</w:t>
            </w:r>
            <w:r>
              <w:rPr>
                <w:b/>
                <w:spacing w:val="-2"/>
                <w:sz w:val="18"/>
              </w:rPr>
              <w:t> Resultados</w:t>
            </w:r>
          </w:p>
        </w:tc>
        <w:tc>
          <w:tcPr>
            <w:tcW w:w="1560" w:type="dxa"/>
            <w:shd w:val="clear" w:color="auto" w:fill="D7D7D7"/>
          </w:tcPr>
          <w:p>
            <w:pPr>
              <w:pStyle w:val="TableParagraph"/>
              <w:spacing w:before="104"/>
              <w:ind w:left="518" w:right="58" w:hanging="216"/>
              <w:rPr>
                <w:b/>
                <w:sz w:val="18"/>
              </w:rPr>
            </w:pPr>
            <w:r>
              <w:rPr>
                <w:b/>
                <w:sz w:val="18"/>
              </w:rPr>
              <w:t>Línea</w:t>
            </w:r>
            <w:r>
              <w:rPr>
                <w:b/>
                <w:spacing w:val="-13"/>
                <w:sz w:val="18"/>
              </w:rPr>
              <w:t> </w:t>
            </w:r>
            <w:r>
              <w:rPr>
                <w:b/>
                <w:sz w:val="18"/>
              </w:rPr>
              <w:t>Base </w:t>
            </w:r>
            <w:r>
              <w:rPr>
                <w:b/>
                <w:spacing w:val="-2"/>
                <w:sz w:val="18"/>
              </w:rPr>
              <w:t>(2024)</w:t>
            </w:r>
          </w:p>
        </w:tc>
        <w:tc>
          <w:tcPr>
            <w:tcW w:w="1983" w:type="dxa"/>
            <w:shd w:val="clear" w:color="auto" w:fill="D7D7D7"/>
          </w:tcPr>
          <w:p>
            <w:pPr>
              <w:pStyle w:val="TableParagraph"/>
              <w:spacing w:before="104"/>
              <w:ind w:left="788" w:hanging="553"/>
              <w:rPr>
                <w:b/>
                <w:sz w:val="18"/>
              </w:rPr>
            </w:pPr>
            <w:r>
              <w:rPr>
                <w:b/>
                <w:sz w:val="18"/>
              </w:rPr>
              <w:t>Meta</w:t>
            </w:r>
            <w:r>
              <w:rPr>
                <w:b/>
                <w:spacing w:val="-13"/>
                <w:sz w:val="18"/>
              </w:rPr>
              <w:t> </w:t>
            </w:r>
            <w:r>
              <w:rPr>
                <w:b/>
                <w:sz w:val="18"/>
              </w:rPr>
              <w:t>programada </w:t>
            </w:r>
            <w:r>
              <w:rPr>
                <w:b/>
                <w:spacing w:val="-4"/>
                <w:sz w:val="18"/>
              </w:rPr>
              <w:t>2026</w:t>
            </w:r>
          </w:p>
        </w:tc>
        <w:tc>
          <w:tcPr>
            <w:tcW w:w="1421" w:type="dxa"/>
            <w:shd w:val="clear" w:color="auto" w:fill="D7D7D7"/>
          </w:tcPr>
          <w:p>
            <w:pPr>
              <w:pStyle w:val="TableParagraph"/>
              <w:spacing w:before="205"/>
              <w:ind w:left="302"/>
              <w:rPr>
                <w:b/>
                <w:sz w:val="18"/>
              </w:rPr>
            </w:pPr>
            <w:r>
              <w:rPr>
                <w:b/>
                <w:spacing w:val="-2"/>
                <w:sz w:val="18"/>
              </w:rPr>
              <w:t>Indicador</w:t>
            </w:r>
          </w:p>
        </w:tc>
        <w:tc>
          <w:tcPr>
            <w:tcW w:w="1839" w:type="dxa"/>
            <w:shd w:val="clear" w:color="auto" w:fill="D7D7D7"/>
          </w:tcPr>
          <w:p>
            <w:pPr>
              <w:pStyle w:val="TableParagraph"/>
              <w:spacing w:before="104"/>
              <w:ind w:left="417" w:right="123" w:firstLine="57"/>
              <w:rPr>
                <w:b/>
                <w:sz w:val="18"/>
              </w:rPr>
            </w:pPr>
            <w:r>
              <w:rPr>
                <w:b/>
                <w:sz w:val="18"/>
              </w:rPr>
              <w:t>Medios de </w:t>
            </w:r>
            <w:r>
              <w:rPr>
                <w:b/>
                <w:spacing w:val="-2"/>
                <w:sz w:val="18"/>
              </w:rPr>
              <w:t>verificación</w:t>
            </w:r>
          </w:p>
        </w:tc>
        <w:tc>
          <w:tcPr>
            <w:tcW w:w="1278" w:type="dxa"/>
            <w:shd w:val="clear" w:color="auto" w:fill="D7D7D7"/>
          </w:tcPr>
          <w:p>
            <w:pPr>
              <w:pStyle w:val="TableParagraph"/>
              <w:spacing w:before="205"/>
              <w:ind w:left="81"/>
              <w:rPr>
                <w:b/>
                <w:sz w:val="18"/>
              </w:rPr>
            </w:pPr>
            <w:r>
              <w:rPr>
                <w:b/>
                <w:spacing w:val="-2"/>
                <w:sz w:val="18"/>
              </w:rPr>
              <w:t>Responsable</w:t>
            </w:r>
          </w:p>
        </w:tc>
        <w:tc>
          <w:tcPr>
            <w:tcW w:w="1844" w:type="dxa"/>
            <w:shd w:val="clear" w:color="auto" w:fill="D7D7D7"/>
          </w:tcPr>
          <w:p>
            <w:pPr>
              <w:pStyle w:val="TableParagraph"/>
              <w:spacing w:before="104"/>
              <w:ind w:left="527" w:hanging="154"/>
              <w:rPr>
                <w:b/>
                <w:sz w:val="18"/>
              </w:rPr>
            </w:pPr>
            <w:r>
              <w:rPr>
                <w:b/>
                <w:spacing w:val="-2"/>
                <w:sz w:val="18"/>
              </w:rPr>
              <w:t>Presupuesto asignado</w:t>
            </w:r>
          </w:p>
        </w:tc>
        <w:tc>
          <w:tcPr>
            <w:tcW w:w="1494" w:type="dxa"/>
            <w:tcBorders>
              <w:bottom w:val="nil"/>
            </w:tcBorders>
            <w:shd w:val="clear" w:color="auto" w:fill="D7D7D7"/>
          </w:tcPr>
          <w:p>
            <w:pPr>
              <w:pStyle w:val="TableParagraph"/>
              <w:spacing w:line="206" w:lineRule="exact"/>
              <w:ind w:left="162" w:right="143" w:hanging="5"/>
              <w:jc w:val="center"/>
              <w:rPr>
                <w:b/>
                <w:sz w:val="18"/>
              </w:rPr>
            </w:pPr>
            <w:r>
              <w:rPr>
                <w:b/>
                <w:spacing w:val="-2"/>
                <w:sz w:val="18"/>
              </w:rPr>
              <w:t>Riesgo </w:t>
            </w:r>
            <w:r>
              <w:rPr>
                <w:b/>
                <w:sz w:val="18"/>
              </w:rPr>
              <w:t>asociado al </w:t>
            </w:r>
            <w:r>
              <w:rPr>
                <w:b/>
                <w:spacing w:val="-2"/>
                <w:sz w:val="18"/>
              </w:rPr>
              <w:t>cumplimiento</w:t>
            </w:r>
          </w:p>
        </w:tc>
      </w:tr>
      <w:tr>
        <w:trPr>
          <w:trHeight w:val="916" w:hRule="atLeast"/>
        </w:trPr>
        <w:tc>
          <w:tcPr>
            <w:tcW w:w="2833" w:type="dxa"/>
          </w:tcPr>
          <w:p>
            <w:pPr>
              <w:pStyle w:val="TableParagraph"/>
              <w:spacing w:before="147"/>
              <w:ind w:left="72"/>
              <w:rPr>
                <w:sz w:val="18"/>
              </w:rPr>
            </w:pPr>
            <w:r>
              <w:rPr>
                <w:b/>
                <w:sz w:val="18"/>
              </w:rPr>
              <w:t>Producto PAC 2.20.3: </w:t>
            </w:r>
            <w:r>
              <w:rPr>
                <w:sz w:val="18"/>
              </w:rPr>
              <w:t>Implementación</w:t>
            </w:r>
            <w:r>
              <w:rPr>
                <w:spacing w:val="-13"/>
                <w:sz w:val="18"/>
              </w:rPr>
              <w:t> </w:t>
            </w:r>
            <w:r>
              <w:rPr>
                <w:sz w:val="18"/>
              </w:rPr>
              <w:t>de</w:t>
            </w:r>
            <w:r>
              <w:rPr>
                <w:spacing w:val="-12"/>
                <w:sz w:val="18"/>
              </w:rPr>
              <w:t> </w:t>
            </w:r>
            <w:r>
              <w:rPr>
                <w:sz w:val="18"/>
              </w:rPr>
              <w:t>la</w:t>
            </w:r>
            <w:r>
              <w:rPr>
                <w:spacing w:val="-10"/>
                <w:sz w:val="18"/>
              </w:rPr>
              <w:t> </w:t>
            </w:r>
            <w:r>
              <w:rPr>
                <w:sz w:val="18"/>
              </w:rPr>
              <w:t>norma técnica INTE G38</w:t>
            </w:r>
          </w:p>
        </w:tc>
        <w:tc>
          <w:tcPr>
            <w:tcW w:w="1560" w:type="dxa"/>
          </w:tcPr>
          <w:p>
            <w:pPr>
              <w:pStyle w:val="TableParagraph"/>
              <w:spacing w:before="147"/>
              <w:rPr>
                <w:b/>
                <w:sz w:val="18"/>
              </w:rPr>
            </w:pPr>
          </w:p>
          <w:p>
            <w:pPr>
              <w:pStyle w:val="TableParagraph"/>
              <w:ind w:left="21" w:right="20"/>
              <w:jc w:val="center"/>
              <w:rPr>
                <w:sz w:val="18"/>
              </w:rPr>
            </w:pPr>
            <w:r>
              <w:rPr>
                <w:spacing w:val="-10"/>
                <w:sz w:val="18"/>
              </w:rPr>
              <w:t>0</w:t>
            </w:r>
          </w:p>
        </w:tc>
        <w:tc>
          <w:tcPr>
            <w:tcW w:w="1983" w:type="dxa"/>
          </w:tcPr>
          <w:p>
            <w:pPr>
              <w:pStyle w:val="TableParagraph"/>
              <w:spacing w:before="147"/>
              <w:rPr>
                <w:b/>
                <w:sz w:val="18"/>
              </w:rPr>
            </w:pPr>
          </w:p>
          <w:p>
            <w:pPr>
              <w:pStyle w:val="TableParagraph"/>
              <w:ind w:left="14" w:right="5"/>
              <w:jc w:val="center"/>
              <w:rPr>
                <w:sz w:val="18"/>
              </w:rPr>
            </w:pPr>
            <w:r>
              <w:rPr>
                <w:spacing w:val="-4"/>
                <w:sz w:val="18"/>
              </w:rPr>
              <w:t>100%</w:t>
            </w:r>
          </w:p>
        </w:tc>
        <w:tc>
          <w:tcPr>
            <w:tcW w:w="1421" w:type="dxa"/>
          </w:tcPr>
          <w:p>
            <w:pPr>
              <w:pStyle w:val="TableParagraph"/>
              <w:spacing w:before="47"/>
              <w:ind w:left="144" w:right="126" w:hanging="6"/>
              <w:jc w:val="center"/>
              <w:rPr>
                <w:sz w:val="18"/>
              </w:rPr>
            </w:pPr>
            <w:r>
              <w:rPr>
                <w:sz w:val="18"/>
              </w:rPr>
              <w:t>Porcentaje</w:t>
            </w:r>
            <w:r>
              <w:rPr>
                <w:spacing w:val="-4"/>
                <w:sz w:val="18"/>
              </w:rPr>
              <w:t> </w:t>
            </w:r>
            <w:r>
              <w:rPr>
                <w:sz w:val="18"/>
              </w:rPr>
              <w:t>de la normativa </w:t>
            </w:r>
            <w:r>
              <w:rPr>
                <w:spacing w:val="-2"/>
                <w:sz w:val="18"/>
              </w:rPr>
              <w:t>técnica implementada</w:t>
            </w:r>
          </w:p>
        </w:tc>
        <w:tc>
          <w:tcPr>
            <w:tcW w:w="1839" w:type="dxa"/>
          </w:tcPr>
          <w:p>
            <w:pPr>
              <w:pStyle w:val="TableParagraph"/>
              <w:spacing w:before="46"/>
              <w:rPr>
                <w:b/>
                <w:sz w:val="18"/>
              </w:rPr>
            </w:pPr>
          </w:p>
          <w:p>
            <w:pPr>
              <w:pStyle w:val="TableParagraph"/>
              <w:spacing w:before="1"/>
              <w:ind w:left="67" w:right="123"/>
              <w:rPr>
                <w:sz w:val="18"/>
              </w:rPr>
            </w:pPr>
            <w:r>
              <w:rPr>
                <w:spacing w:val="-2"/>
                <w:sz w:val="18"/>
              </w:rPr>
              <w:t>Procedimientos Correos</w:t>
            </w:r>
          </w:p>
        </w:tc>
        <w:tc>
          <w:tcPr>
            <w:tcW w:w="1278" w:type="dxa"/>
          </w:tcPr>
          <w:p>
            <w:pPr>
              <w:pStyle w:val="TableParagraph"/>
              <w:spacing w:before="46"/>
              <w:rPr>
                <w:b/>
                <w:sz w:val="18"/>
              </w:rPr>
            </w:pPr>
          </w:p>
          <w:p>
            <w:pPr>
              <w:pStyle w:val="TableParagraph"/>
              <w:spacing w:before="1"/>
              <w:ind w:left="72"/>
              <w:rPr>
                <w:sz w:val="18"/>
              </w:rPr>
            </w:pPr>
            <w:r>
              <w:rPr>
                <w:spacing w:val="-2"/>
                <w:sz w:val="18"/>
              </w:rPr>
              <w:t>Desarrollo Humano</w:t>
            </w:r>
          </w:p>
        </w:tc>
        <w:tc>
          <w:tcPr>
            <w:tcW w:w="1844" w:type="dxa"/>
          </w:tcPr>
          <w:p>
            <w:pPr>
              <w:pStyle w:val="TableParagraph"/>
              <w:rPr>
                <w:rFonts w:ascii="Times New Roman"/>
                <w:sz w:val="18"/>
              </w:rPr>
            </w:pPr>
          </w:p>
        </w:tc>
        <w:tc>
          <w:tcPr>
            <w:tcW w:w="1494" w:type="dxa"/>
            <w:tcBorders>
              <w:top w:val="nil"/>
            </w:tcBorders>
          </w:tcPr>
          <w:p>
            <w:pPr>
              <w:pStyle w:val="TableParagraph"/>
              <w:rPr>
                <w:rFonts w:ascii="Times New Roman"/>
                <w:sz w:val="18"/>
              </w:rPr>
            </w:pPr>
          </w:p>
        </w:tc>
      </w:tr>
    </w:tbl>
    <w:p>
      <w:pPr>
        <w:pStyle w:val="BodyText"/>
        <w:rPr>
          <w:b/>
          <w:sz w:val="20"/>
        </w:rPr>
      </w:pPr>
    </w:p>
    <w:p>
      <w:pPr>
        <w:pStyle w:val="BodyText"/>
        <w:spacing w:before="185" w:after="1"/>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3"/>
        <w:gridCol w:w="1550"/>
        <w:gridCol w:w="1977"/>
        <w:gridCol w:w="1406"/>
        <w:gridCol w:w="1833"/>
        <w:gridCol w:w="1329"/>
        <w:gridCol w:w="1838"/>
        <w:gridCol w:w="1488"/>
      </w:tblGrid>
      <w:tr>
        <w:trPr>
          <w:trHeight w:val="1094" w:hRule="atLeast"/>
        </w:trPr>
        <w:tc>
          <w:tcPr>
            <w:tcW w:w="2823" w:type="dxa"/>
            <w:shd w:val="clear" w:color="auto" w:fill="EDEBE0"/>
          </w:tcPr>
          <w:p>
            <w:pPr>
              <w:pStyle w:val="TableParagraph"/>
              <w:rPr>
                <w:b/>
                <w:sz w:val="18"/>
              </w:rPr>
            </w:pPr>
          </w:p>
          <w:p>
            <w:pPr>
              <w:pStyle w:val="TableParagraph"/>
              <w:spacing w:before="27"/>
              <w:rPr>
                <w:b/>
                <w:sz w:val="18"/>
              </w:rPr>
            </w:pPr>
          </w:p>
          <w:p>
            <w:pPr>
              <w:pStyle w:val="TableParagraph"/>
              <w:ind w:left="441"/>
              <w:rPr>
                <w:b/>
                <w:sz w:val="18"/>
              </w:rPr>
            </w:pPr>
            <w:r>
              <w:rPr>
                <w:b/>
                <w:sz w:val="18"/>
              </w:rPr>
              <w:t>Objetivos</w:t>
            </w:r>
            <w:r>
              <w:rPr>
                <w:b/>
                <w:spacing w:val="-5"/>
                <w:sz w:val="18"/>
              </w:rPr>
              <w:t> </w:t>
            </w:r>
            <w:r>
              <w:rPr>
                <w:b/>
                <w:sz w:val="18"/>
              </w:rPr>
              <w:t>/</w:t>
            </w:r>
            <w:r>
              <w:rPr>
                <w:b/>
                <w:spacing w:val="-2"/>
                <w:sz w:val="18"/>
              </w:rPr>
              <w:t> Resultados</w:t>
            </w:r>
          </w:p>
        </w:tc>
        <w:tc>
          <w:tcPr>
            <w:tcW w:w="1550" w:type="dxa"/>
            <w:shd w:val="clear" w:color="auto" w:fill="EDEBE0"/>
          </w:tcPr>
          <w:p>
            <w:pPr>
              <w:pStyle w:val="TableParagraph"/>
              <w:spacing w:before="133"/>
              <w:rPr>
                <w:b/>
                <w:sz w:val="18"/>
              </w:rPr>
            </w:pPr>
          </w:p>
          <w:p>
            <w:pPr>
              <w:pStyle w:val="TableParagraph"/>
              <w:ind w:left="513" w:hanging="216"/>
              <w:rPr>
                <w:b/>
                <w:sz w:val="18"/>
              </w:rPr>
            </w:pPr>
            <w:r>
              <w:rPr>
                <w:b/>
                <w:sz w:val="18"/>
              </w:rPr>
              <w:t>Línea</w:t>
            </w:r>
            <w:r>
              <w:rPr>
                <w:b/>
                <w:spacing w:val="-13"/>
                <w:sz w:val="18"/>
              </w:rPr>
              <w:t> </w:t>
            </w:r>
            <w:r>
              <w:rPr>
                <w:b/>
                <w:sz w:val="18"/>
              </w:rPr>
              <w:t>Base </w:t>
            </w:r>
            <w:r>
              <w:rPr>
                <w:b/>
                <w:spacing w:val="-2"/>
                <w:sz w:val="18"/>
              </w:rPr>
              <w:t>(2024)</w:t>
            </w:r>
          </w:p>
        </w:tc>
        <w:tc>
          <w:tcPr>
            <w:tcW w:w="1977" w:type="dxa"/>
            <w:shd w:val="clear" w:color="auto" w:fill="EDEBE0"/>
          </w:tcPr>
          <w:p>
            <w:pPr>
              <w:pStyle w:val="TableParagraph"/>
              <w:spacing w:before="133"/>
              <w:rPr>
                <w:b/>
                <w:sz w:val="18"/>
              </w:rPr>
            </w:pPr>
          </w:p>
          <w:p>
            <w:pPr>
              <w:pStyle w:val="TableParagraph"/>
              <w:ind w:left="788" w:hanging="553"/>
              <w:rPr>
                <w:b/>
                <w:sz w:val="18"/>
              </w:rPr>
            </w:pPr>
            <w:r>
              <w:rPr>
                <w:b/>
                <w:sz w:val="18"/>
              </w:rPr>
              <w:t>Meta</w:t>
            </w:r>
            <w:r>
              <w:rPr>
                <w:b/>
                <w:spacing w:val="-13"/>
                <w:sz w:val="18"/>
              </w:rPr>
              <w:t> </w:t>
            </w:r>
            <w:r>
              <w:rPr>
                <w:b/>
                <w:sz w:val="18"/>
              </w:rPr>
              <w:t>programada </w:t>
            </w:r>
            <w:r>
              <w:rPr>
                <w:b/>
                <w:spacing w:val="-4"/>
                <w:sz w:val="18"/>
              </w:rPr>
              <w:t>2026</w:t>
            </w:r>
          </w:p>
        </w:tc>
        <w:tc>
          <w:tcPr>
            <w:tcW w:w="1406" w:type="dxa"/>
            <w:shd w:val="clear" w:color="auto" w:fill="EDEBE0"/>
          </w:tcPr>
          <w:p>
            <w:pPr>
              <w:pStyle w:val="TableParagraph"/>
              <w:rPr>
                <w:b/>
                <w:sz w:val="18"/>
              </w:rPr>
            </w:pPr>
          </w:p>
          <w:p>
            <w:pPr>
              <w:pStyle w:val="TableParagraph"/>
              <w:spacing w:before="27"/>
              <w:rPr>
                <w:b/>
                <w:sz w:val="18"/>
              </w:rPr>
            </w:pPr>
          </w:p>
          <w:p>
            <w:pPr>
              <w:pStyle w:val="TableParagraph"/>
              <w:ind w:left="295"/>
              <w:rPr>
                <w:b/>
                <w:sz w:val="18"/>
              </w:rPr>
            </w:pPr>
            <w:r>
              <w:rPr>
                <w:b/>
                <w:spacing w:val="-2"/>
                <w:sz w:val="18"/>
              </w:rPr>
              <w:t>Indicador</w:t>
            </w:r>
          </w:p>
        </w:tc>
        <w:tc>
          <w:tcPr>
            <w:tcW w:w="1833" w:type="dxa"/>
            <w:shd w:val="clear" w:color="auto" w:fill="EDEBE0"/>
          </w:tcPr>
          <w:p>
            <w:pPr>
              <w:pStyle w:val="TableParagraph"/>
              <w:spacing w:before="133"/>
              <w:rPr>
                <w:b/>
                <w:sz w:val="18"/>
              </w:rPr>
            </w:pPr>
          </w:p>
          <w:p>
            <w:pPr>
              <w:pStyle w:val="TableParagraph"/>
              <w:ind w:left="415" w:right="1" w:firstLine="57"/>
              <w:rPr>
                <w:b/>
                <w:sz w:val="18"/>
              </w:rPr>
            </w:pPr>
            <w:r>
              <w:rPr>
                <w:b/>
                <w:sz w:val="18"/>
              </w:rPr>
              <w:t>Medios de </w:t>
            </w:r>
            <w:r>
              <w:rPr>
                <w:b/>
                <w:spacing w:val="-2"/>
                <w:sz w:val="18"/>
              </w:rPr>
              <w:t>verificación</w:t>
            </w:r>
          </w:p>
        </w:tc>
        <w:tc>
          <w:tcPr>
            <w:tcW w:w="1329" w:type="dxa"/>
            <w:shd w:val="clear" w:color="auto" w:fill="EDEBE0"/>
          </w:tcPr>
          <w:p>
            <w:pPr>
              <w:pStyle w:val="TableParagraph"/>
              <w:rPr>
                <w:b/>
                <w:sz w:val="18"/>
              </w:rPr>
            </w:pPr>
          </w:p>
          <w:p>
            <w:pPr>
              <w:pStyle w:val="TableParagraph"/>
              <w:spacing w:before="27"/>
              <w:rPr>
                <w:b/>
                <w:sz w:val="18"/>
              </w:rPr>
            </w:pPr>
          </w:p>
          <w:p>
            <w:pPr>
              <w:pStyle w:val="TableParagraph"/>
              <w:ind w:left="109"/>
              <w:rPr>
                <w:b/>
                <w:sz w:val="18"/>
              </w:rPr>
            </w:pPr>
            <w:r>
              <w:rPr>
                <w:b/>
                <w:spacing w:val="-2"/>
                <w:sz w:val="18"/>
              </w:rPr>
              <w:t>Responsable</w:t>
            </w:r>
          </w:p>
        </w:tc>
        <w:tc>
          <w:tcPr>
            <w:tcW w:w="1838" w:type="dxa"/>
            <w:shd w:val="clear" w:color="auto" w:fill="EDEBE0"/>
          </w:tcPr>
          <w:p>
            <w:pPr>
              <w:pStyle w:val="TableParagraph"/>
              <w:spacing w:before="133"/>
              <w:rPr>
                <w:b/>
                <w:sz w:val="18"/>
              </w:rPr>
            </w:pPr>
          </w:p>
          <w:p>
            <w:pPr>
              <w:pStyle w:val="TableParagraph"/>
              <w:ind w:left="528" w:right="356" w:hanging="154"/>
              <w:rPr>
                <w:b/>
                <w:sz w:val="18"/>
              </w:rPr>
            </w:pPr>
            <w:r>
              <w:rPr>
                <w:b/>
                <w:spacing w:val="-2"/>
                <w:sz w:val="18"/>
              </w:rPr>
              <w:t>Presupuesto asignado</w:t>
            </w:r>
          </w:p>
        </w:tc>
        <w:tc>
          <w:tcPr>
            <w:tcW w:w="1488" w:type="dxa"/>
            <w:shd w:val="clear" w:color="auto" w:fill="EDEBE0"/>
          </w:tcPr>
          <w:p>
            <w:pPr>
              <w:pStyle w:val="TableParagraph"/>
              <w:spacing w:before="27"/>
              <w:rPr>
                <w:b/>
                <w:sz w:val="18"/>
              </w:rPr>
            </w:pPr>
          </w:p>
          <w:p>
            <w:pPr>
              <w:pStyle w:val="TableParagraph"/>
              <w:ind w:left="159" w:right="140"/>
              <w:jc w:val="center"/>
              <w:rPr>
                <w:b/>
                <w:sz w:val="18"/>
              </w:rPr>
            </w:pPr>
            <w:r>
              <w:rPr>
                <w:b/>
                <w:spacing w:val="-2"/>
                <w:sz w:val="18"/>
              </w:rPr>
              <w:t>Riesgos </w:t>
            </w:r>
            <w:r>
              <w:rPr>
                <w:b/>
                <w:sz w:val="18"/>
              </w:rPr>
              <w:t>asociados al </w:t>
            </w:r>
            <w:r>
              <w:rPr>
                <w:b/>
                <w:spacing w:val="-2"/>
                <w:sz w:val="18"/>
              </w:rPr>
              <w:t>cumplimiento</w:t>
            </w:r>
          </w:p>
        </w:tc>
      </w:tr>
      <w:tr>
        <w:trPr>
          <w:trHeight w:val="782" w:hRule="atLeast"/>
        </w:trPr>
        <w:tc>
          <w:tcPr>
            <w:tcW w:w="14244" w:type="dxa"/>
            <w:gridSpan w:val="8"/>
            <w:shd w:val="clear" w:color="auto" w:fill="F1F1F1"/>
          </w:tcPr>
          <w:p>
            <w:pPr>
              <w:pStyle w:val="TableParagraph"/>
              <w:spacing w:before="182"/>
              <w:ind w:left="72"/>
              <w:rPr>
                <w:b/>
                <w:sz w:val="18"/>
              </w:rPr>
            </w:pPr>
            <w:r>
              <w:rPr>
                <w:b/>
                <w:sz w:val="18"/>
              </w:rPr>
              <w:t>Efecto:</w:t>
            </w:r>
            <w:r>
              <w:rPr>
                <w:b/>
                <w:spacing w:val="-2"/>
                <w:sz w:val="18"/>
              </w:rPr>
              <w:t> </w:t>
            </w:r>
            <w:r>
              <w:rPr>
                <w:b/>
                <w:sz w:val="18"/>
              </w:rPr>
              <w:t>Realizar una efectiva gestión</w:t>
            </w:r>
            <w:r>
              <w:rPr>
                <w:b/>
                <w:spacing w:val="-5"/>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4"/>
                <w:sz w:val="18"/>
              </w:rPr>
              <w:t> </w:t>
            </w:r>
            <w:r>
              <w:rPr>
                <w:b/>
                <w:sz w:val="18"/>
              </w:rPr>
              <w:t>y</w:t>
            </w:r>
            <w:r>
              <w:rPr>
                <w:b/>
                <w:spacing w:val="-4"/>
                <w:sz w:val="18"/>
              </w:rPr>
              <w:t> </w:t>
            </w:r>
            <w:r>
              <w:rPr>
                <w:b/>
                <w:sz w:val="18"/>
              </w:rPr>
              <w:t>tecnológicos, con el</w:t>
            </w:r>
            <w:r>
              <w:rPr>
                <w:b/>
                <w:spacing w:val="-2"/>
                <w:sz w:val="18"/>
              </w:rPr>
              <w:t> </w:t>
            </w:r>
            <w:r>
              <w:rPr>
                <w:b/>
                <w:sz w:val="18"/>
              </w:rPr>
              <w:t>fin</w:t>
            </w:r>
            <w:r>
              <w:rPr>
                <w:b/>
                <w:spacing w:val="-5"/>
                <w:sz w:val="18"/>
              </w:rPr>
              <w:t> </w:t>
            </w:r>
            <w:r>
              <w:rPr>
                <w:b/>
                <w:sz w:val="18"/>
              </w:rPr>
              <w:t>de contribuir</w:t>
            </w:r>
            <w:r>
              <w:rPr>
                <w:b/>
                <w:spacing w:val="-3"/>
                <w:sz w:val="18"/>
              </w:rPr>
              <w:t> </w:t>
            </w:r>
            <w:r>
              <w:rPr>
                <w:b/>
                <w:sz w:val="18"/>
              </w:rPr>
              <w:t>con</w:t>
            </w:r>
            <w:r>
              <w:rPr>
                <w:b/>
                <w:spacing w:val="-5"/>
                <w:sz w:val="18"/>
              </w:rPr>
              <w:t> </w:t>
            </w:r>
            <w:r>
              <w:rPr>
                <w:b/>
                <w:sz w:val="18"/>
              </w:rPr>
              <w:t>la</w:t>
            </w:r>
            <w:r>
              <w:rPr>
                <w:b/>
                <w:spacing w:val="-4"/>
                <w:sz w:val="18"/>
              </w:rPr>
              <w:t> </w:t>
            </w:r>
            <w:r>
              <w:rPr>
                <w:b/>
                <w:sz w:val="18"/>
              </w:rPr>
              <w:t>institucionalización de</w:t>
            </w:r>
            <w:r>
              <w:rPr>
                <w:b/>
                <w:spacing w:val="-4"/>
                <w:sz w:val="18"/>
              </w:rPr>
              <w:t> </w:t>
            </w:r>
            <w:r>
              <w:rPr>
                <w:b/>
                <w:sz w:val="18"/>
              </w:rPr>
              <w:t>la estrategia de intervención de la población en situación de pobreza y pobreza extrema.</w:t>
            </w:r>
          </w:p>
        </w:tc>
      </w:tr>
      <w:tr>
        <w:trPr>
          <w:trHeight w:val="705" w:hRule="atLeast"/>
        </w:trPr>
        <w:tc>
          <w:tcPr>
            <w:tcW w:w="14244" w:type="dxa"/>
            <w:gridSpan w:val="8"/>
            <w:shd w:val="clear" w:color="auto" w:fill="EFF8F9"/>
          </w:tcPr>
          <w:p>
            <w:pPr>
              <w:pStyle w:val="TableParagraph"/>
              <w:spacing w:line="244" w:lineRule="auto" w:before="143"/>
              <w:ind w:left="72"/>
              <w:rPr>
                <w:b/>
                <w:sz w:val="18"/>
              </w:rPr>
            </w:pPr>
            <w:r>
              <w:rPr>
                <w:b/>
                <w:sz w:val="18"/>
              </w:rPr>
              <w:t>Producto</w:t>
            </w:r>
            <w:r>
              <w:rPr>
                <w:b/>
                <w:spacing w:val="-4"/>
                <w:sz w:val="18"/>
              </w:rPr>
              <w:t> </w:t>
            </w:r>
            <w:r>
              <w:rPr>
                <w:b/>
                <w:sz w:val="18"/>
              </w:rPr>
              <w:t>PAC</w:t>
            </w:r>
            <w:r>
              <w:rPr>
                <w:b/>
                <w:spacing w:val="-5"/>
                <w:sz w:val="18"/>
              </w:rPr>
              <w:t> </w:t>
            </w:r>
            <w:r>
              <w:rPr>
                <w:b/>
                <w:sz w:val="18"/>
              </w:rPr>
              <w:t>2.21:</w:t>
            </w:r>
            <w:r>
              <w:rPr>
                <w:b/>
                <w:spacing w:val="40"/>
                <w:sz w:val="18"/>
              </w:rPr>
              <w:t> </w:t>
            </w:r>
            <w:r>
              <w:rPr>
                <w:b/>
                <w:sz w:val="18"/>
              </w:rPr>
              <w:t>Plan</w:t>
            </w:r>
            <w:r>
              <w:rPr>
                <w:b/>
                <w:spacing w:val="-4"/>
                <w:sz w:val="18"/>
              </w:rPr>
              <w:t> </w:t>
            </w:r>
            <w:r>
              <w:rPr>
                <w:b/>
                <w:sz w:val="18"/>
              </w:rPr>
              <w:t>de</w:t>
            </w:r>
            <w:r>
              <w:rPr>
                <w:b/>
                <w:spacing w:val="-3"/>
                <w:sz w:val="18"/>
              </w:rPr>
              <w:t> </w:t>
            </w:r>
            <w:r>
              <w:rPr>
                <w:b/>
                <w:sz w:val="18"/>
              </w:rPr>
              <w:t>acción</w:t>
            </w:r>
            <w:r>
              <w:rPr>
                <w:b/>
                <w:spacing w:val="-4"/>
                <w:sz w:val="18"/>
              </w:rPr>
              <w:t> </w:t>
            </w:r>
            <w:r>
              <w:rPr>
                <w:b/>
                <w:sz w:val="18"/>
              </w:rPr>
              <w:t>institucional</w:t>
            </w:r>
            <w:r>
              <w:rPr>
                <w:b/>
                <w:spacing w:val="-1"/>
                <w:sz w:val="18"/>
              </w:rPr>
              <w:t> </w:t>
            </w:r>
            <w:r>
              <w:rPr>
                <w:b/>
                <w:sz w:val="18"/>
              </w:rPr>
              <w:t>de</w:t>
            </w:r>
            <w:r>
              <w:rPr>
                <w:b/>
                <w:spacing w:val="-3"/>
                <w:sz w:val="18"/>
              </w:rPr>
              <w:t> </w:t>
            </w:r>
            <w:r>
              <w:rPr>
                <w:b/>
                <w:sz w:val="18"/>
              </w:rPr>
              <w:t>inversión</w:t>
            </w:r>
            <w:r>
              <w:rPr>
                <w:b/>
                <w:spacing w:val="-4"/>
                <w:sz w:val="18"/>
              </w:rPr>
              <w:t> </w:t>
            </w:r>
            <w:r>
              <w:rPr>
                <w:b/>
                <w:sz w:val="18"/>
              </w:rPr>
              <w:t>en herramientas tecnológicas</w:t>
            </w:r>
            <w:r>
              <w:rPr>
                <w:b/>
                <w:spacing w:val="-3"/>
                <w:sz w:val="18"/>
              </w:rPr>
              <w:t> </w:t>
            </w:r>
            <w:r>
              <w:rPr>
                <w:b/>
                <w:sz w:val="18"/>
              </w:rPr>
              <w:t>y</w:t>
            </w:r>
            <w:r>
              <w:rPr>
                <w:b/>
                <w:spacing w:val="-3"/>
                <w:sz w:val="18"/>
              </w:rPr>
              <w:t> </w:t>
            </w:r>
            <w:r>
              <w:rPr>
                <w:b/>
                <w:sz w:val="18"/>
              </w:rPr>
              <w:t>desarrollo</w:t>
            </w:r>
            <w:r>
              <w:rPr>
                <w:b/>
                <w:spacing w:val="-4"/>
                <w:sz w:val="18"/>
              </w:rPr>
              <w:t> </w:t>
            </w:r>
            <w:r>
              <w:rPr>
                <w:b/>
                <w:sz w:val="18"/>
              </w:rPr>
              <w:t>de</w:t>
            </w:r>
            <w:r>
              <w:rPr>
                <w:b/>
                <w:spacing w:val="-3"/>
                <w:sz w:val="18"/>
              </w:rPr>
              <w:t> </w:t>
            </w:r>
            <w:r>
              <w:rPr>
                <w:b/>
                <w:sz w:val="18"/>
              </w:rPr>
              <w:t>sistemas informáticos</w:t>
            </w:r>
            <w:r>
              <w:rPr>
                <w:b/>
                <w:spacing w:val="-3"/>
                <w:sz w:val="18"/>
              </w:rPr>
              <w:t> </w:t>
            </w:r>
            <w:r>
              <w:rPr>
                <w:b/>
                <w:sz w:val="18"/>
              </w:rPr>
              <w:t>ejecutándose</w:t>
            </w:r>
            <w:r>
              <w:rPr>
                <w:b/>
                <w:spacing w:val="-3"/>
                <w:sz w:val="18"/>
              </w:rPr>
              <w:t> </w:t>
            </w:r>
            <w:r>
              <w:rPr>
                <w:b/>
                <w:sz w:val="18"/>
              </w:rPr>
              <w:t>para</w:t>
            </w:r>
            <w:r>
              <w:rPr>
                <w:b/>
                <w:spacing w:val="-3"/>
                <w:sz w:val="18"/>
              </w:rPr>
              <w:t> </w:t>
            </w:r>
            <w:r>
              <w:rPr>
                <w:b/>
                <w:sz w:val="18"/>
              </w:rPr>
              <w:t>atender</w:t>
            </w:r>
            <w:r>
              <w:rPr>
                <w:b/>
                <w:spacing w:val="-6"/>
                <w:sz w:val="18"/>
              </w:rPr>
              <w:t> </w:t>
            </w:r>
            <w:r>
              <w:rPr>
                <w:b/>
                <w:sz w:val="18"/>
              </w:rPr>
              <w:t>los requerimientos organizativos y estructurales con visión</w:t>
            </w:r>
            <w:r>
              <w:rPr>
                <w:b/>
                <w:spacing w:val="-1"/>
                <w:sz w:val="18"/>
              </w:rPr>
              <w:t> </w:t>
            </w:r>
            <w:r>
              <w:rPr>
                <w:b/>
                <w:sz w:val="18"/>
              </w:rPr>
              <w:t>prospectiva institucional. (1.12.2) E1 AE12 R2 (meta programada 60%)</w:t>
            </w:r>
          </w:p>
        </w:tc>
      </w:tr>
      <w:tr>
        <w:trPr>
          <w:trHeight w:val="1679" w:hRule="atLeast"/>
        </w:trPr>
        <w:tc>
          <w:tcPr>
            <w:tcW w:w="2823" w:type="dxa"/>
          </w:tcPr>
          <w:p>
            <w:pPr>
              <w:pStyle w:val="TableParagraph"/>
              <w:spacing w:before="113"/>
              <w:rPr>
                <w:b/>
                <w:sz w:val="18"/>
              </w:rPr>
            </w:pPr>
          </w:p>
          <w:p>
            <w:pPr>
              <w:pStyle w:val="TableParagraph"/>
              <w:ind w:left="72" w:right="150"/>
              <w:rPr>
                <w:sz w:val="18"/>
              </w:rPr>
            </w:pPr>
            <w:r>
              <w:rPr>
                <w:b/>
                <w:sz w:val="18"/>
              </w:rPr>
              <w:t>Producto PAC 2.21.1: </w:t>
            </w:r>
            <w:r>
              <w:rPr>
                <w:sz w:val="18"/>
              </w:rPr>
              <w:t>Seguimiento</w:t>
            </w:r>
            <w:r>
              <w:rPr>
                <w:spacing w:val="-7"/>
                <w:sz w:val="18"/>
              </w:rPr>
              <w:t> </w:t>
            </w:r>
            <w:r>
              <w:rPr>
                <w:sz w:val="18"/>
              </w:rPr>
              <w:t>a</w:t>
            </w:r>
            <w:r>
              <w:rPr>
                <w:spacing w:val="-11"/>
                <w:sz w:val="18"/>
              </w:rPr>
              <w:t> </w:t>
            </w:r>
            <w:r>
              <w:rPr>
                <w:sz w:val="18"/>
              </w:rPr>
              <w:t>la</w:t>
            </w:r>
            <w:r>
              <w:rPr>
                <w:spacing w:val="-7"/>
                <w:sz w:val="18"/>
              </w:rPr>
              <w:t> </w:t>
            </w:r>
            <w:r>
              <w:rPr>
                <w:sz w:val="18"/>
              </w:rPr>
              <w:t>ejecución</w:t>
            </w:r>
            <w:r>
              <w:rPr>
                <w:spacing w:val="-11"/>
                <w:sz w:val="18"/>
              </w:rPr>
              <w:t> </w:t>
            </w:r>
            <w:r>
              <w:rPr>
                <w:sz w:val="18"/>
              </w:rPr>
              <w:t>del cumplimiento</w:t>
            </w:r>
            <w:r>
              <w:rPr>
                <w:spacing w:val="-4"/>
                <w:sz w:val="18"/>
              </w:rPr>
              <w:t> </w:t>
            </w:r>
            <w:r>
              <w:rPr>
                <w:sz w:val="18"/>
              </w:rPr>
              <w:t>de</w:t>
            </w:r>
            <w:r>
              <w:rPr>
                <w:spacing w:val="-4"/>
                <w:sz w:val="18"/>
              </w:rPr>
              <w:t> </w:t>
            </w:r>
            <w:r>
              <w:rPr>
                <w:sz w:val="18"/>
              </w:rPr>
              <w:t>las</w:t>
            </w:r>
            <w:r>
              <w:rPr>
                <w:spacing w:val="-4"/>
                <w:sz w:val="18"/>
              </w:rPr>
              <w:t> </w:t>
            </w:r>
            <w:r>
              <w:rPr>
                <w:sz w:val="18"/>
              </w:rPr>
              <w:t>metas</w:t>
            </w:r>
            <w:r>
              <w:rPr>
                <w:spacing w:val="-4"/>
                <w:sz w:val="18"/>
              </w:rPr>
              <w:t> </w:t>
            </w:r>
            <w:r>
              <w:rPr>
                <w:sz w:val="18"/>
              </w:rPr>
              <w:t>del Plan de inversión quinquenal para garantizar su ejecución.</w:t>
            </w:r>
          </w:p>
        </w:tc>
        <w:tc>
          <w:tcPr>
            <w:tcW w:w="1550"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20" w:right="16"/>
              <w:jc w:val="center"/>
              <w:rPr>
                <w:sz w:val="18"/>
              </w:rPr>
            </w:pPr>
            <w:r>
              <w:rPr>
                <w:spacing w:val="-5"/>
                <w:sz w:val="18"/>
              </w:rPr>
              <w:t>20%</w:t>
            </w:r>
          </w:p>
        </w:tc>
        <w:tc>
          <w:tcPr>
            <w:tcW w:w="1977"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16" w:right="4"/>
              <w:jc w:val="center"/>
              <w:rPr>
                <w:sz w:val="18"/>
              </w:rPr>
            </w:pPr>
            <w:r>
              <w:rPr>
                <w:spacing w:val="-5"/>
                <w:sz w:val="18"/>
              </w:rPr>
              <w:t>60%</w:t>
            </w:r>
          </w:p>
        </w:tc>
        <w:tc>
          <w:tcPr>
            <w:tcW w:w="1406" w:type="dxa"/>
          </w:tcPr>
          <w:p>
            <w:pPr>
              <w:pStyle w:val="TableParagraph"/>
              <w:spacing w:before="113"/>
              <w:rPr>
                <w:b/>
                <w:sz w:val="18"/>
              </w:rPr>
            </w:pPr>
          </w:p>
          <w:p>
            <w:pPr>
              <w:pStyle w:val="TableParagraph"/>
              <w:ind w:left="69" w:right="141"/>
              <w:rPr>
                <w:sz w:val="18"/>
              </w:rPr>
            </w:pPr>
            <w:r>
              <w:rPr>
                <w:sz w:val="18"/>
              </w:rPr>
              <w:t>Porcentaje</w:t>
            </w:r>
            <w:r>
              <w:rPr>
                <w:spacing w:val="-9"/>
                <w:sz w:val="18"/>
              </w:rPr>
              <w:t> </w:t>
            </w:r>
            <w:r>
              <w:rPr>
                <w:sz w:val="18"/>
              </w:rPr>
              <w:t>de ejecución del </w:t>
            </w:r>
            <w:r>
              <w:rPr>
                <w:spacing w:val="-4"/>
                <w:sz w:val="18"/>
              </w:rPr>
              <w:t>plan </w:t>
            </w:r>
            <w:r>
              <w:rPr>
                <w:sz w:val="18"/>
              </w:rPr>
              <w:t>quinquenal</w:t>
            </w:r>
            <w:r>
              <w:rPr>
                <w:spacing w:val="-13"/>
                <w:sz w:val="18"/>
              </w:rPr>
              <w:t> </w:t>
            </w:r>
            <w:r>
              <w:rPr>
                <w:sz w:val="18"/>
              </w:rPr>
              <w:t>de </w:t>
            </w:r>
            <w:r>
              <w:rPr>
                <w:spacing w:val="-2"/>
                <w:sz w:val="18"/>
              </w:rPr>
              <w:t>inversión</w:t>
            </w:r>
          </w:p>
        </w:tc>
        <w:tc>
          <w:tcPr>
            <w:tcW w:w="1833" w:type="dxa"/>
          </w:tcPr>
          <w:p>
            <w:pPr>
              <w:pStyle w:val="TableParagraph"/>
              <w:spacing w:before="114"/>
              <w:ind w:left="70" w:right="1"/>
              <w:rPr>
                <w:sz w:val="18"/>
              </w:rPr>
            </w:pPr>
            <w:r>
              <w:rPr>
                <w:sz w:val="18"/>
              </w:rPr>
              <w:t>Informe de Seguimiento</w:t>
            </w:r>
            <w:r>
              <w:rPr>
                <w:spacing w:val="-15"/>
                <w:sz w:val="18"/>
              </w:rPr>
              <w:t> </w:t>
            </w:r>
            <w:r>
              <w:rPr>
                <w:sz w:val="18"/>
              </w:rPr>
              <w:t>al</w:t>
            </w:r>
            <w:r>
              <w:rPr>
                <w:spacing w:val="-12"/>
                <w:sz w:val="18"/>
              </w:rPr>
              <w:t> </w:t>
            </w:r>
            <w:r>
              <w:rPr>
                <w:sz w:val="18"/>
              </w:rPr>
              <w:t>Plan de Inversión herramientas y </w:t>
            </w:r>
            <w:r>
              <w:rPr>
                <w:spacing w:val="-2"/>
                <w:sz w:val="18"/>
              </w:rPr>
              <w:t>desarrollos </w:t>
            </w:r>
            <w:r>
              <w:rPr>
                <w:sz w:val="18"/>
              </w:rPr>
              <w:t>tecnológicos</w:t>
            </w:r>
            <w:r>
              <w:rPr>
                <w:spacing w:val="-15"/>
                <w:sz w:val="18"/>
              </w:rPr>
              <w:t> </w:t>
            </w:r>
            <w:r>
              <w:rPr>
                <w:sz w:val="18"/>
              </w:rPr>
              <w:t>para</w:t>
            </w:r>
            <w:r>
              <w:rPr>
                <w:spacing w:val="-12"/>
                <w:sz w:val="18"/>
              </w:rPr>
              <w:t> </w:t>
            </w:r>
            <w:r>
              <w:rPr>
                <w:sz w:val="18"/>
              </w:rPr>
              <w:t>la </w:t>
            </w:r>
            <w:r>
              <w:rPr>
                <w:spacing w:val="-6"/>
                <w:sz w:val="18"/>
              </w:rPr>
              <w:t>GG</w:t>
            </w:r>
          </w:p>
        </w:tc>
        <w:tc>
          <w:tcPr>
            <w:tcW w:w="1329"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75"/>
              <w:rPr>
                <w:sz w:val="18"/>
              </w:rPr>
            </w:pPr>
            <w:r>
              <w:rPr>
                <w:spacing w:val="-5"/>
                <w:sz w:val="18"/>
              </w:rPr>
              <w:t>TI</w:t>
            </w:r>
          </w:p>
        </w:tc>
        <w:tc>
          <w:tcPr>
            <w:tcW w:w="1838" w:type="dxa"/>
          </w:tcPr>
          <w:p>
            <w:pPr>
              <w:pStyle w:val="TableParagraph"/>
              <w:rPr>
                <w:rFonts w:ascii="Times New Roman"/>
                <w:sz w:val="18"/>
              </w:rPr>
            </w:pPr>
          </w:p>
        </w:tc>
        <w:tc>
          <w:tcPr>
            <w:tcW w:w="1488" w:type="dxa"/>
          </w:tcPr>
          <w:p>
            <w:pPr>
              <w:pStyle w:val="TableParagraph"/>
              <w:spacing w:before="13"/>
              <w:ind w:left="73" w:right="57"/>
              <w:rPr>
                <w:sz w:val="18"/>
              </w:rPr>
            </w:pPr>
            <w:r>
              <w:rPr>
                <w:spacing w:val="-2"/>
                <w:sz w:val="18"/>
              </w:rPr>
              <w:t>Evento: Sistemas, </w:t>
            </w:r>
            <w:r>
              <w:rPr>
                <w:sz w:val="18"/>
              </w:rPr>
              <w:t>plataformas y </w:t>
            </w:r>
            <w:r>
              <w:rPr>
                <w:spacing w:val="-2"/>
                <w:sz w:val="18"/>
              </w:rPr>
              <w:t>herramientas tecnológicas institucionales</w:t>
            </w:r>
          </w:p>
          <w:p>
            <w:pPr>
              <w:pStyle w:val="TableParagraph"/>
              <w:spacing w:line="206" w:lineRule="exact"/>
              <w:ind w:left="73" w:right="57"/>
              <w:rPr>
                <w:sz w:val="18"/>
              </w:rPr>
            </w:pPr>
            <w:r>
              <w:rPr>
                <w:sz w:val="18"/>
              </w:rPr>
              <w:t>con</w:t>
            </w:r>
            <w:r>
              <w:rPr>
                <w:spacing w:val="-13"/>
                <w:sz w:val="18"/>
              </w:rPr>
              <w:t> </w:t>
            </w:r>
            <w:r>
              <w:rPr>
                <w:sz w:val="18"/>
              </w:rPr>
              <w:t>problemas de operación.</w:t>
            </w:r>
          </w:p>
        </w:tc>
      </w:tr>
      <w:tr>
        <w:trPr>
          <w:trHeight w:val="729" w:hRule="atLeast"/>
        </w:trPr>
        <w:tc>
          <w:tcPr>
            <w:tcW w:w="14244" w:type="dxa"/>
            <w:gridSpan w:val="8"/>
            <w:shd w:val="clear" w:color="auto" w:fill="EFF8F9"/>
          </w:tcPr>
          <w:p>
            <w:pPr>
              <w:pStyle w:val="TableParagraph"/>
              <w:spacing w:before="157"/>
              <w:ind w:left="72"/>
              <w:rPr>
                <w:b/>
                <w:sz w:val="18"/>
              </w:rPr>
            </w:pPr>
            <w:r>
              <w:rPr>
                <w:b/>
                <w:sz w:val="18"/>
              </w:rPr>
              <w:t>Producto</w:t>
            </w:r>
            <w:r>
              <w:rPr>
                <w:b/>
                <w:spacing w:val="-4"/>
                <w:sz w:val="18"/>
              </w:rPr>
              <w:t> </w:t>
            </w:r>
            <w:r>
              <w:rPr>
                <w:b/>
                <w:sz w:val="18"/>
              </w:rPr>
              <w:t>PAC</w:t>
            </w:r>
            <w:r>
              <w:rPr>
                <w:b/>
                <w:spacing w:val="-5"/>
                <w:sz w:val="18"/>
              </w:rPr>
              <w:t> </w:t>
            </w:r>
            <w:r>
              <w:rPr>
                <w:b/>
                <w:sz w:val="18"/>
              </w:rPr>
              <w:t>2.22:</w:t>
            </w:r>
            <w:r>
              <w:rPr>
                <w:b/>
                <w:spacing w:val="-1"/>
                <w:sz w:val="18"/>
              </w:rPr>
              <w:t> </w:t>
            </w:r>
            <w:r>
              <w:rPr>
                <w:b/>
                <w:sz w:val="18"/>
              </w:rPr>
              <w:t>Procesos y</w:t>
            </w:r>
            <w:r>
              <w:rPr>
                <w:b/>
                <w:spacing w:val="-3"/>
                <w:sz w:val="18"/>
              </w:rPr>
              <w:t> </w:t>
            </w:r>
            <w:r>
              <w:rPr>
                <w:b/>
                <w:sz w:val="18"/>
              </w:rPr>
              <w:t>servicios</w:t>
            </w:r>
            <w:r>
              <w:rPr>
                <w:b/>
                <w:spacing w:val="-8"/>
                <w:sz w:val="18"/>
              </w:rPr>
              <w:t> </w:t>
            </w:r>
            <w:r>
              <w:rPr>
                <w:b/>
                <w:sz w:val="18"/>
              </w:rPr>
              <w:t>institucionales</w:t>
            </w:r>
            <w:r>
              <w:rPr>
                <w:b/>
                <w:spacing w:val="-3"/>
                <w:sz w:val="18"/>
              </w:rPr>
              <w:t> </w:t>
            </w:r>
            <w:r>
              <w:rPr>
                <w:b/>
                <w:sz w:val="18"/>
              </w:rPr>
              <w:t>alineados</w:t>
            </w:r>
            <w:r>
              <w:rPr>
                <w:b/>
                <w:spacing w:val="-3"/>
                <w:sz w:val="18"/>
              </w:rPr>
              <w:t> </w:t>
            </w:r>
            <w:r>
              <w:rPr>
                <w:b/>
                <w:sz w:val="18"/>
              </w:rPr>
              <w:t>bajo el</w:t>
            </w:r>
            <w:r>
              <w:rPr>
                <w:b/>
                <w:spacing w:val="-1"/>
                <w:sz w:val="18"/>
              </w:rPr>
              <w:t> </w:t>
            </w:r>
            <w:r>
              <w:rPr>
                <w:b/>
                <w:sz w:val="18"/>
              </w:rPr>
              <w:t>marco</w:t>
            </w:r>
            <w:r>
              <w:rPr>
                <w:b/>
                <w:spacing w:val="-4"/>
                <w:sz w:val="18"/>
              </w:rPr>
              <w:t> </w:t>
            </w:r>
            <w:r>
              <w:rPr>
                <w:b/>
                <w:sz w:val="18"/>
              </w:rPr>
              <w:t>e</w:t>
            </w:r>
            <w:r>
              <w:rPr>
                <w:b/>
                <w:spacing w:val="-3"/>
                <w:sz w:val="18"/>
              </w:rPr>
              <w:t> </w:t>
            </w:r>
            <w:r>
              <w:rPr>
                <w:b/>
                <w:sz w:val="18"/>
              </w:rPr>
              <w:t>instrucciones</w:t>
            </w:r>
            <w:r>
              <w:rPr>
                <w:b/>
                <w:spacing w:val="-3"/>
                <w:sz w:val="18"/>
              </w:rPr>
              <w:t> </w:t>
            </w:r>
            <w:r>
              <w:rPr>
                <w:b/>
                <w:sz w:val="18"/>
              </w:rPr>
              <w:t>de</w:t>
            </w:r>
            <w:r>
              <w:rPr>
                <w:b/>
                <w:spacing w:val="-3"/>
                <w:sz w:val="18"/>
              </w:rPr>
              <w:t> </w:t>
            </w:r>
            <w:r>
              <w:rPr>
                <w:b/>
                <w:sz w:val="18"/>
              </w:rPr>
              <w:t>ciberseguridad emitidos por</w:t>
            </w:r>
            <w:r>
              <w:rPr>
                <w:b/>
                <w:spacing w:val="-2"/>
                <w:sz w:val="18"/>
              </w:rPr>
              <w:t> </w:t>
            </w:r>
            <w:r>
              <w:rPr>
                <w:b/>
                <w:sz w:val="18"/>
              </w:rPr>
              <w:t>instancias</w:t>
            </w:r>
            <w:r>
              <w:rPr>
                <w:b/>
                <w:spacing w:val="-3"/>
                <w:sz w:val="18"/>
              </w:rPr>
              <w:t> </w:t>
            </w:r>
            <w:r>
              <w:rPr>
                <w:b/>
                <w:sz w:val="18"/>
              </w:rPr>
              <w:t>nacionales y/o internacionales para regular la actividad de seguridad digital en el ámbito institucional. 1,13,2 E1 AE13 R2 (meta</w:t>
            </w:r>
            <w:r>
              <w:rPr>
                <w:b/>
                <w:spacing w:val="-2"/>
                <w:sz w:val="18"/>
              </w:rPr>
              <w:t> </w:t>
            </w:r>
            <w:r>
              <w:rPr>
                <w:b/>
                <w:sz w:val="18"/>
              </w:rPr>
              <w:t>programada 100%)</w:t>
            </w:r>
          </w:p>
        </w:tc>
      </w:tr>
      <w:tr>
        <w:trPr>
          <w:trHeight w:val="1228" w:hRule="atLeast"/>
        </w:trPr>
        <w:tc>
          <w:tcPr>
            <w:tcW w:w="2823" w:type="dxa"/>
          </w:tcPr>
          <w:p>
            <w:pPr>
              <w:pStyle w:val="TableParagraph"/>
              <w:spacing w:before="199"/>
              <w:rPr>
                <w:b/>
                <w:sz w:val="18"/>
              </w:rPr>
            </w:pPr>
          </w:p>
          <w:p>
            <w:pPr>
              <w:pStyle w:val="TableParagraph"/>
              <w:spacing w:before="1"/>
              <w:ind w:left="72"/>
              <w:rPr>
                <w:sz w:val="18"/>
              </w:rPr>
            </w:pPr>
            <w:r>
              <w:rPr>
                <w:b/>
                <w:sz w:val="18"/>
              </w:rPr>
              <w:t>Producto</w:t>
            </w:r>
            <w:r>
              <w:rPr>
                <w:b/>
                <w:spacing w:val="-13"/>
                <w:sz w:val="18"/>
              </w:rPr>
              <w:t> </w:t>
            </w:r>
            <w:r>
              <w:rPr>
                <w:b/>
                <w:sz w:val="18"/>
              </w:rPr>
              <w:t>PAC</w:t>
            </w:r>
            <w:r>
              <w:rPr>
                <w:b/>
                <w:spacing w:val="-12"/>
                <w:sz w:val="18"/>
              </w:rPr>
              <w:t> </w:t>
            </w:r>
            <w:r>
              <w:rPr>
                <w:b/>
                <w:sz w:val="18"/>
              </w:rPr>
              <w:t>2.22.1:</w:t>
            </w:r>
            <w:r>
              <w:rPr>
                <w:b/>
                <w:spacing w:val="-10"/>
                <w:sz w:val="18"/>
              </w:rPr>
              <w:t> </w:t>
            </w:r>
            <w:r>
              <w:rPr>
                <w:sz w:val="18"/>
              </w:rPr>
              <w:t>Monitoreo de ciberseguridad institucional.</w:t>
            </w:r>
          </w:p>
        </w:tc>
        <w:tc>
          <w:tcPr>
            <w:tcW w:w="1550" w:type="dxa"/>
          </w:tcPr>
          <w:p>
            <w:pPr>
              <w:pStyle w:val="TableParagraph"/>
              <w:rPr>
                <w:rFonts w:ascii="Times New Roman"/>
                <w:sz w:val="18"/>
              </w:rPr>
            </w:pPr>
          </w:p>
        </w:tc>
        <w:tc>
          <w:tcPr>
            <w:tcW w:w="1977" w:type="dxa"/>
          </w:tcPr>
          <w:p>
            <w:pPr>
              <w:pStyle w:val="TableParagraph"/>
              <w:rPr>
                <w:b/>
                <w:sz w:val="18"/>
              </w:rPr>
            </w:pPr>
          </w:p>
          <w:p>
            <w:pPr>
              <w:pStyle w:val="TableParagraph"/>
              <w:spacing w:before="93"/>
              <w:rPr>
                <w:b/>
                <w:sz w:val="18"/>
              </w:rPr>
            </w:pPr>
          </w:p>
          <w:p>
            <w:pPr>
              <w:pStyle w:val="TableParagraph"/>
              <w:ind w:left="16" w:right="7"/>
              <w:jc w:val="center"/>
              <w:rPr>
                <w:sz w:val="18"/>
              </w:rPr>
            </w:pPr>
            <w:r>
              <w:rPr>
                <w:spacing w:val="-10"/>
                <w:sz w:val="18"/>
              </w:rPr>
              <w:t>2</w:t>
            </w:r>
          </w:p>
        </w:tc>
        <w:tc>
          <w:tcPr>
            <w:tcW w:w="1406" w:type="dxa"/>
          </w:tcPr>
          <w:p>
            <w:pPr>
              <w:pStyle w:val="TableParagraph"/>
              <w:spacing w:before="200"/>
              <w:ind w:left="69"/>
              <w:rPr>
                <w:sz w:val="18"/>
              </w:rPr>
            </w:pPr>
            <w:r>
              <w:rPr>
                <w:sz w:val="18"/>
              </w:rPr>
              <w:t>Cantidad</w:t>
            </w:r>
            <w:r>
              <w:rPr>
                <w:spacing w:val="-13"/>
                <w:sz w:val="18"/>
              </w:rPr>
              <w:t> </w:t>
            </w:r>
            <w:r>
              <w:rPr>
                <w:sz w:val="18"/>
              </w:rPr>
              <w:t>de reportes de </w:t>
            </w:r>
            <w:r>
              <w:rPr>
                <w:spacing w:val="-2"/>
                <w:sz w:val="18"/>
              </w:rPr>
              <w:t>monitoreó elaborados</w:t>
            </w:r>
          </w:p>
        </w:tc>
        <w:tc>
          <w:tcPr>
            <w:tcW w:w="1833" w:type="dxa"/>
          </w:tcPr>
          <w:p>
            <w:pPr>
              <w:pStyle w:val="TableParagraph"/>
              <w:spacing w:before="199"/>
              <w:rPr>
                <w:b/>
                <w:sz w:val="18"/>
              </w:rPr>
            </w:pPr>
          </w:p>
          <w:p>
            <w:pPr>
              <w:pStyle w:val="TableParagraph"/>
              <w:spacing w:before="1"/>
              <w:ind w:left="70" w:right="1"/>
              <w:rPr>
                <w:sz w:val="18"/>
              </w:rPr>
            </w:pPr>
            <w:r>
              <w:rPr>
                <w:sz w:val="18"/>
              </w:rPr>
              <w:t>Reportes de </w:t>
            </w:r>
            <w:r>
              <w:rPr>
                <w:spacing w:val="-2"/>
                <w:sz w:val="18"/>
              </w:rPr>
              <w:t>Ciberseguridad</w:t>
            </w:r>
          </w:p>
        </w:tc>
        <w:tc>
          <w:tcPr>
            <w:tcW w:w="1329" w:type="dxa"/>
          </w:tcPr>
          <w:p>
            <w:pPr>
              <w:pStyle w:val="TableParagraph"/>
              <w:rPr>
                <w:b/>
                <w:sz w:val="18"/>
              </w:rPr>
            </w:pPr>
          </w:p>
          <w:p>
            <w:pPr>
              <w:pStyle w:val="TableParagraph"/>
              <w:spacing w:before="93"/>
              <w:rPr>
                <w:b/>
                <w:sz w:val="18"/>
              </w:rPr>
            </w:pPr>
          </w:p>
          <w:p>
            <w:pPr>
              <w:pStyle w:val="TableParagraph"/>
              <w:ind w:left="75"/>
              <w:rPr>
                <w:sz w:val="18"/>
              </w:rPr>
            </w:pPr>
            <w:r>
              <w:rPr>
                <w:spacing w:val="-5"/>
                <w:sz w:val="18"/>
              </w:rPr>
              <w:t>TI</w:t>
            </w:r>
          </w:p>
        </w:tc>
        <w:tc>
          <w:tcPr>
            <w:tcW w:w="1838" w:type="dxa"/>
          </w:tcPr>
          <w:p>
            <w:pPr>
              <w:pStyle w:val="TableParagraph"/>
              <w:rPr>
                <w:rFonts w:ascii="Times New Roman"/>
                <w:sz w:val="18"/>
              </w:rPr>
            </w:pPr>
          </w:p>
        </w:tc>
        <w:tc>
          <w:tcPr>
            <w:tcW w:w="1488" w:type="dxa"/>
          </w:tcPr>
          <w:p>
            <w:pPr>
              <w:pStyle w:val="TableParagraph"/>
              <w:spacing w:before="95"/>
              <w:ind w:left="73" w:right="57"/>
              <w:rPr>
                <w:sz w:val="18"/>
              </w:rPr>
            </w:pPr>
            <w:r>
              <w:rPr>
                <w:sz w:val="18"/>
              </w:rPr>
              <w:t>Evento: Posible Interrupción</w:t>
            </w:r>
            <w:r>
              <w:rPr>
                <w:spacing w:val="-13"/>
                <w:sz w:val="18"/>
              </w:rPr>
              <w:t> </w:t>
            </w:r>
            <w:r>
              <w:rPr>
                <w:sz w:val="18"/>
              </w:rPr>
              <w:t>total de los servicios </w:t>
            </w:r>
            <w:r>
              <w:rPr>
                <w:spacing w:val="-2"/>
                <w:sz w:val="18"/>
              </w:rPr>
              <w:t>institucionales </w:t>
            </w:r>
            <w:r>
              <w:rPr>
                <w:sz w:val="18"/>
              </w:rPr>
              <w:t>por falta de un</w:t>
            </w:r>
          </w:p>
        </w:tc>
      </w:tr>
    </w:tbl>
    <w:p>
      <w:pPr>
        <w:pStyle w:val="TableParagraph"/>
        <w:spacing w:after="0"/>
        <w:rPr>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3"/>
        <w:gridCol w:w="1550"/>
        <w:gridCol w:w="1977"/>
        <w:gridCol w:w="1406"/>
        <w:gridCol w:w="1833"/>
        <w:gridCol w:w="1329"/>
        <w:gridCol w:w="1835"/>
        <w:gridCol w:w="1490"/>
      </w:tblGrid>
      <w:tr>
        <w:trPr>
          <w:trHeight w:val="1094" w:hRule="atLeast"/>
        </w:trPr>
        <w:tc>
          <w:tcPr>
            <w:tcW w:w="2823" w:type="dxa"/>
            <w:shd w:val="clear" w:color="auto" w:fill="EDEBE0"/>
          </w:tcPr>
          <w:p>
            <w:pPr>
              <w:pStyle w:val="TableParagraph"/>
              <w:rPr>
                <w:b/>
                <w:sz w:val="18"/>
              </w:rPr>
            </w:pPr>
          </w:p>
          <w:p>
            <w:pPr>
              <w:pStyle w:val="TableParagraph"/>
              <w:spacing w:before="26"/>
              <w:rPr>
                <w:b/>
                <w:sz w:val="18"/>
              </w:rPr>
            </w:pPr>
          </w:p>
          <w:p>
            <w:pPr>
              <w:pStyle w:val="TableParagraph"/>
              <w:ind w:left="441"/>
              <w:rPr>
                <w:b/>
                <w:sz w:val="18"/>
              </w:rPr>
            </w:pPr>
            <w:r>
              <w:rPr>
                <w:b/>
                <w:sz w:val="18"/>
              </w:rPr>
              <w:t>Objetivos</w:t>
            </w:r>
            <w:r>
              <w:rPr>
                <w:b/>
                <w:spacing w:val="-5"/>
                <w:sz w:val="18"/>
              </w:rPr>
              <w:t> </w:t>
            </w:r>
            <w:r>
              <w:rPr>
                <w:b/>
                <w:sz w:val="18"/>
              </w:rPr>
              <w:t>/</w:t>
            </w:r>
            <w:r>
              <w:rPr>
                <w:b/>
                <w:spacing w:val="-2"/>
                <w:sz w:val="18"/>
              </w:rPr>
              <w:t> Resultados</w:t>
            </w:r>
          </w:p>
        </w:tc>
        <w:tc>
          <w:tcPr>
            <w:tcW w:w="1550" w:type="dxa"/>
            <w:shd w:val="clear" w:color="auto" w:fill="EDEBE0"/>
          </w:tcPr>
          <w:p>
            <w:pPr>
              <w:pStyle w:val="TableParagraph"/>
              <w:spacing w:before="132"/>
              <w:rPr>
                <w:b/>
                <w:sz w:val="18"/>
              </w:rPr>
            </w:pPr>
          </w:p>
          <w:p>
            <w:pPr>
              <w:pStyle w:val="TableParagraph"/>
              <w:ind w:left="513" w:hanging="216"/>
              <w:rPr>
                <w:b/>
                <w:sz w:val="18"/>
              </w:rPr>
            </w:pPr>
            <w:r>
              <w:rPr>
                <w:b/>
                <w:sz w:val="18"/>
              </w:rPr>
              <w:t>Línea</w:t>
            </w:r>
            <w:r>
              <w:rPr>
                <w:b/>
                <w:spacing w:val="-13"/>
                <w:sz w:val="18"/>
              </w:rPr>
              <w:t> </w:t>
            </w:r>
            <w:r>
              <w:rPr>
                <w:b/>
                <w:sz w:val="18"/>
              </w:rPr>
              <w:t>Base </w:t>
            </w:r>
            <w:r>
              <w:rPr>
                <w:b/>
                <w:spacing w:val="-2"/>
                <w:sz w:val="18"/>
              </w:rPr>
              <w:t>(2024)</w:t>
            </w:r>
          </w:p>
        </w:tc>
        <w:tc>
          <w:tcPr>
            <w:tcW w:w="1977" w:type="dxa"/>
            <w:shd w:val="clear" w:color="auto" w:fill="EDEBE0"/>
          </w:tcPr>
          <w:p>
            <w:pPr>
              <w:pStyle w:val="TableParagraph"/>
              <w:spacing w:before="132"/>
              <w:rPr>
                <w:b/>
                <w:sz w:val="18"/>
              </w:rPr>
            </w:pPr>
          </w:p>
          <w:p>
            <w:pPr>
              <w:pStyle w:val="TableParagraph"/>
              <w:ind w:left="788" w:hanging="553"/>
              <w:rPr>
                <w:b/>
                <w:sz w:val="18"/>
              </w:rPr>
            </w:pPr>
            <w:r>
              <w:rPr>
                <w:b/>
                <w:sz w:val="18"/>
              </w:rPr>
              <w:t>Meta</w:t>
            </w:r>
            <w:r>
              <w:rPr>
                <w:b/>
                <w:spacing w:val="-13"/>
                <w:sz w:val="18"/>
              </w:rPr>
              <w:t> </w:t>
            </w:r>
            <w:r>
              <w:rPr>
                <w:b/>
                <w:sz w:val="18"/>
              </w:rPr>
              <w:t>programada </w:t>
            </w:r>
            <w:r>
              <w:rPr>
                <w:b/>
                <w:spacing w:val="-4"/>
                <w:sz w:val="18"/>
              </w:rPr>
              <w:t>2026</w:t>
            </w:r>
          </w:p>
        </w:tc>
        <w:tc>
          <w:tcPr>
            <w:tcW w:w="1406" w:type="dxa"/>
            <w:shd w:val="clear" w:color="auto" w:fill="EDEBE0"/>
          </w:tcPr>
          <w:p>
            <w:pPr>
              <w:pStyle w:val="TableParagraph"/>
              <w:rPr>
                <w:b/>
                <w:sz w:val="18"/>
              </w:rPr>
            </w:pPr>
          </w:p>
          <w:p>
            <w:pPr>
              <w:pStyle w:val="TableParagraph"/>
              <w:spacing w:before="26"/>
              <w:rPr>
                <w:b/>
                <w:sz w:val="18"/>
              </w:rPr>
            </w:pPr>
          </w:p>
          <w:p>
            <w:pPr>
              <w:pStyle w:val="TableParagraph"/>
              <w:ind w:left="295"/>
              <w:rPr>
                <w:b/>
                <w:sz w:val="18"/>
              </w:rPr>
            </w:pPr>
            <w:r>
              <w:rPr>
                <w:b/>
                <w:spacing w:val="-2"/>
                <w:sz w:val="18"/>
              </w:rPr>
              <w:t>Indicador</w:t>
            </w:r>
          </w:p>
        </w:tc>
        <w:tc>
          <w:tcPr>
            <w:tcW w:w="1833" w:type="dxa"/>
            <w:shd w:val="clear" w:color="auto" w:fill="EDEBE0"/>
          </w:tcPr>
          <w:p>
            <w:pPr>
              <w:pStyle w:val="TableParagraph"/>
              <w:spacing w:before="132"/>
              <w:rPr>
                <w:b/>
                <w:sz w:val="18"/>
              </w:rPr>
            </w:pPr>
          </w:p>
          <w:p>
            <w:pPr>
              <w:pStyle w:val="TableParagraph"/>
              <w:ind w:left="415" w:right="1" w:firstLine="57"/>
              <w:rPr>
                <w:b/>
                <w:sz w:val="18"/>
              </w:rPr>
            </w:pPr>
            <w:r>
              <w:rPr>
                <w:b/>
                <w:sz w:val="18"/>
              </w:rPr>
              <w:t>Medios de </w:t>
            </w:r>
            <w:r>
              <w:rPr>
                <w:b/>
                <w:spacing w:val="-2"/>
                <w:sz w:val="18"/>
              </w:rPr>
              <w:t>verificación</w:t>
            </w:r>
          </w:p>
        </w:tc>
        <w:tc>
          <w:tcPr>
            <w:tcW w:w="1329" w:type="dxa"/>
            <w:shd w:val="clear" w:color="auto" w:fill="EDEBE0"/>
          </w:tcPr>
          <w:p>
            <w:pPr>
              <w:pStyle w:val="TableParagraph"/>
              <w:rPr>
                <w:b/>
                <w:sz w:val="18"/>
              </w:rPr>
            </w:pPr>
          </w:p>
          <w:p>
            <w:pPr>
              <w:pStyle w:val="TableParagraph"/>
              <w:spacing w:before="26"/>
              <w:rPr>
                <w:b/>
                <w:sz w:val="18"/>
              </w:rPr>
            </w:pPr>
          </w:p>
          <w:p>
            <w:pPr>
              <w:pStyle w:val="TableParagraph"/>
              <w:ind w:left="109"/>
              <w:rPr>
                <w:b/>
                <w:sz w:val="18"/>
              </w:rPr>
            </w:pPr>
            <w:r>
              <w:rPr>
                <w:b/>
                <w:spacing w:val="-2"/>
                <w:sz w:val="18"/>
              </w:rPr>
              <w:t>Responsable</w:t>
            </w:r>
          </w:p>
        </w:tc>
        <w:tc>
          <w:tcPr>
            <w:tcW w:w="1835" w:type="dxa"/>
            <w:shd w:val="clear" w:color="auto" w:fill="EDEBE0"/>
          </w:tcPr>
          <w:p>
            <w:pPr>
              <w:pStyle w:val="TableParagraph"/>
              <w:spacing w:before="132"/>
              <w:rPr>
                <w:b/>
                <w:sz w:val="18"/>
              </w:rPr>
            </w:pPr>
          </w:p>
          <w:p>
            <w:pPr>
              <w:pStyle w:val="TableParagraph"/>
              <w:ind w:left="528" w:hanging="154"/>
              <w:rPr>
                <w:b/>
                <w:sz w:val="18"/>
              </w:rPr>
            </w:pPr>
            <w:r>
              <w:rPr>
                <w:b/>
                <w:spacing w:val="-2"/>
                <w:sz w:val="18"/>
              </w:rPr>
              <w:t>Presupuesto asignado</w:t>
            </w:r>
          </w:p>
        </w:tc>
        <w:tc>
          <w:tcPr>
            <w:tcW w:w="1490" w:type="dxa"/>
            <w:tcBorders>
              <w:bottom w:val="nil"/>
            </w:tcBorders>
            <w:shd w:val="clear" w:color="auto" w:fill="EDEBE0"/>
          </w:tcPr>
          <w:p>
            <w:pPr>
              <w:pStyle w:val="TableParagraph"/>
              <w:spacing w:before="27"/>
              <w:rPr>
                <w:b/>
                <w:sz w:val="18"/>
              </w:rPr>
            </w:pPr>
          </w:p>
          <w:p>
            <w:pPr>
              <w:pStyle w:val="TableParagraph"/>
              <w:spacing w:line="242" w:lineRule="auto"/>
              <w:ind w:left="23"/>
              <w:jc w:val="center"/>
              <w:rPr>
                <w:b/>
                <w:sz w:val="18"/>
              </w:rPr>
            </w:pPr>
            <w:r>
              <w:rPr>
                <w:b/>
                <w:spacing w:val="-2"/>
                <w:sz w:val="18"/>
              </w:rPr>
              <w:t>Riesgos </w:t>
            </w:r>
            <w:r>
              <w:rPr>
                <w:b/>
                <w:sz w:val="18"/>
              </w:rPr>
              <w:t>asociados al </w:t>
            </w:r>
            <w:r>
              <w:rPr>
                <w:b/>
                <w:spacing w:val="-2"/>
                <w:sz w:val="18"/>
              </w:rPr>
              <w:t>cumplimiento</w:t>
            </w:r>
          </w:p>
        </w:tc>
      </w:tr>
      <w:tr>
        <w:trPr>
          <w:trHeight w:val="1655" w:hRule="atLeast"/>
        </w:trPr>
        <w:tc>
          <w:tcPr>
            <w:tcW w:w="2823" w:type="dxa"/>
          </w:tcPr>
          <w:p>
            <w:pPr>
              <w:pStyle w:val="TableParagraph"/>
              <w:spacing w:before="103"/>
              <w:rPr>
                <w:b/>
                <w:sz w:val="18"/>
              </w:rPr>
            </w:pPr>
          </w:p>
          <w:p>
            <w:pPr>
              <w:pStyle w:val="TableParagraph"/>
              <w:spacing w:before="1"/>
              <w:ind w:left="72" w:right="150"/>
              <w:rPr>
                <w:sz w:val="18"/>
              </w:rPr>
            </w:pPr>
            <w:r>
              <w:rPr>
                <w:b/>
                <w:sz w:val="18"/>
              </w:rPr>
              <w:t>Producto</w:t>
            </w:r>
            <w:r>
              <w:rPr>
                <w:b/>
                <w:spacing w:val="-13"/>
                <w:sz w:val="18"/>
              </w:rPr>
              <w:t> </w:t>
            </w:r>
            <w:r>
              <w:rPr>
                <w:b/>
                <w:sz w:val="18"/>
              </w:rPr>
              <w:t>PAC</w:t>
            </w:r>
            <w:r>
              <w:rPr>
                <w:b/>
                <w:spacing w:val="-12"/>
                <w:sz w:val="18"/>
              </w:rPr>
              <w:t> </w:t>
            </w:r>
            <w:r>
              <w:rPr>
                <w:b/>
                <w:sz w:val="18"/>
              </w:rPr>
              <w:t>2.22.2:</w:t>
            </w:r>
            <w:r>
              <w:rPr>
                <w:b/>
                <w:spacing w:val="-6"/>
                <w:sz w:val="18"/>
              </w:rPr>
              <w:t> </w:t>
            </w:r>
            <w:r>
              <w:rPr>
                <w:sz w:val="18"/>
              </w:rPr>
              <w:t>Atención de solicitudes remitidas por el MICITT en el tema de ciberseguridad, técnicamente viables de aplicación</w:t>
            </w:r>
          </w:p>
        </w:tc>
        <w:tc>
          <w:tcPr>
            <w:tcW w:w="1550" w:type="dxa"/>
          </w:tcPr>
          <w:p>
            <w:pPr>
              <w:pStyle w:val="TableParagraph"/>
              <w:rPr>
                <w:rFonts w:ascii="Times New Roman"/>
                <w:sz w:val="18"/>
              </w:rPr>
            </w:pPr>
          </w:p>
        </w:tc>
        <w:tc>
          <w:tcPr>
            <w:tcW w:w="197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6"/>
              <w:jc w:val="center"/>
              <w:rPr>
                <w:sz w:val="18"/>
              </w:rPr>
            </w:pPr>
            <w:r>
              <w:rPr>
                <w:spacing w:val="-4"/>
                <w:sz w:val="18"/>
              </w:rPr>
              <w:t>100%</w:t>
            </w:r>
          </w:p>
        </w:tc>
        <w:tc>
          <w:tcPr>
            <w:tcW w:w="1406" w:type="dxa"/>
          </w:tcPr>
          <w:p>
            <w:pPr>
              <w:pStyle w:val="TableParagraph"/>
              <w:rPr>
                <w:b/>
                <w:sz w:val="18"/>
              </w:rPr>
            </w:pPr>
          </w:p>
          <w:p>
            <w:pPr>
              <w:pStyle w:val="TableParagraph"/>
              <w:spacing w:before="103"/>
              <w:rPr>
                <w:b/>
                <w:sz w:val="18"/>
              </w:rPr>
            </w:pPr>
          </w:p>
          <w:p>
            <w:pPr>
              <w:pStyle w:val="TableParagraph"/>
              <w:ind w:left="69" w:right="209"/>
              <w:rPr>
                <w:sz w:val="18"/>
              </w:rPr>
            </w:pPr>
            <w:r>
              <w:rPr>
                <w:sz w:val="18"/>
              </w:rPr>
              <w:t>Porcentaje</w:t>
            </w:r>
            <w:r>
              <w:rPr>
                <w:spacing w:val="-13"/>
                <w:sz w:val="18"/>
              </w:rPr>
              <w:t> </w:t>
            </w:r>
            <w:r>
              <w:rPr>
                <w:sz w:val="18"/>
              </w:rPr>
              <w:t>de </w:t>
            </w:r>
            <w:r>
              <w:rPr>
                <w:spacing w:val="-2"/>
                <w:sz w:val="18"/>
              </w:rPr>
              <w:t>solicitudes aplicadas</w:t>
            </w:r>
          </w:p>
        </w:tc>
        <w:tc>
          <w:tcPr>
            <w:tcW w:w="1833" w:type="dxa"/>
          </w:tcPr>
          <w:p>
            <w:pPr>
              <w:pStyle w:val="TableParagraph"/>
              <w:spacing w:before="103"/>
              <w:rPr>
                <w:b/>
                <w:sz w:val="18"/>
              </w:rPr>
            </w:pPr>
          </w:p>
          <w:p>
            <w:pPr>
              <w:pStyle w:val="TableParagraph"/>
              <w:spacing w:before="1"/>
              <w:ind w:left="70" w:right="1"/>
              <w:rPr>
                <w:sz w:val="18"/>
              </w:rPr>
            </w:pPr>
            <w:r>
              <w:rPr>
                <w:sz w:val="18"/>
              </w:rPr>
              <w:t>Reporte Anual de atención de solicitudes de ciberseguridad del MICITT</w:t>
            </w:r>
            <w:r>
              <w:rPr>
                <w:spacing w:val="-13"/>
                <w:sz w:val="18"/>
              </w:rPr>
              <w:t> </w:t>
            </w:r>
            <w:r>
              <w:rPr>
                <w:sz w:val="18"/>
              </w:rPr>
              <w:t>ejecutadas</w:t>
            </w:r>
          </w:p>
        </w:tc>
        <w:tc>
          <w:tcPr>
            <w:tcW w:w="132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5"/>
              <w:rPr>
                <w:sz w:val="18"/>
              </w:rPr>
            </w:pPr>
            <w:r>
              <w:rPr>
                <w:spacing w:val="-5"/>
                <w:sz w:val="18"/>
              </w:rPr>
              <w:t>TI</w:t>
            </w:r>
          </w:p>
        </w:tc>
        <w:tc>
          <w:tcPr>
            <w:tcW w:w="1835" w:type="dxa"/>
          </w:tcPr>
          <w:p>
            <w:pPr>
              <w:pStyle w:val="TableParagraph"/>
              <w:rPr>
                <w:rFonts w:ascii="Times New Roman"/>
                <w:sz w:val="18"/>
              </w:rPr>
            </w:pPr>
          </w:p>
        </w:tc>
        <w:tc>
          <w:tcPr>
            <w:tcW w:w="1490" w:type="dxa"/>
            <w:tcBorders>
              <w:top w:val="nil"/>
            </w:tcBorders>
          </w:tcPr>
          <w:p>
            <w:pPr>
              <w:pStyle w:val="TableParagraph"/>
              <w:ind w:left="76"/>
              <w:rPr>
                <w:sz w:val="18"/>
              </w:rPr>
            </w:pPr>
            <w:r>
              <w:rPr>
                <w:sz w:val="18"/>
              </w:rPr>
              <w:t>marco de referencia de seguridad que establezca las normas de seguridad</w:t>
            </w:r>
            <w:r>
              <w:rPr>
                <w:spacing w:val="-15"/>
                <w:sz w:val="18"/>
              </w:rPr>
              <w:t> </w:t>
            </w:r>
            <w:r>
              <w:rPr>
                <w:sz w:val="18"/>
              </w:rPr>
              <w:t>de</w:t>
            </w:r>
            <w:r>
              <w:rPr>
                <w:spacing w:val="-12"/>
                <w:sz w:val="18"/>
              </w:rPr>
              <w:t> </w:t>
            </w:r>
            <w:r>
              <w:rPr>
                <w:sz w:val="18"/>
              </w:rPr>
              <w:t>la información</w:t>
            </w:r>
            <w:r>
              <w:rPr>
                <w:spacing w:val="-7"/>
                <w:sz w:val="18"/>
              </w:rPr>
              <w:t> </w:t>
            </w:r>
            <w:r>
              <w:rPr>
                <w:spacing w:val="-5"/>
                <w:sz w:val="18"/>
              </w:rPr>
              <w:t>en</w:t>
            </w:r>
          </w:p>
          <w:p>
            <w:pPr>
              <w:pStyle w:val="TableParagraph"/>
              <w:spacing w:line="187" w:lineRule="exact"/>
              <w:ind w:left="76"/>
              <w:rPr>
                <w:sz w:val="18"/>
              </w:rPr>
            </w:pPr>
            <w:r>
              <w:rPr>
                <w:sz w:val="18"/>
              </w:rPr>
              <w:t>la</w:t>
            </w:r>
            <w:r>
              <w:rPr>
                <w:spacing w:val="-1"/>
                <w:sz w:val="18"/>
              </w:rPr>
              <w:t> </w:t>
            </w:r>
            <w:r>
              <w:rPr>
                <w:spacing w:val="-2"/>
                <w:sz w:val="18"/>
              </w:rPr>
              <w:t>Institución.</w:t>
            </w:r>
          </w:p>
        </w:tc>
      </w:tr>
      <w:tr>
        <w:trPr>
          <w:trHeight w:val="532" w:hRule="atLeast"/>
        </w:trPr>
        <w:tc>
          <w:tcPr>
            <w:tcW w:w="14243" w:type="dxa"/>
            <w:gridSpan w:val="8"/>
            <w:shd w:val="clear" w:color="auto" w:fill="EFF8F9"/>
          </w:tcPr>
          <w:p>
            <w:pPr>
              <w:pStyle w:val="TableParagraph"/>
              <w:spacing w:before="162"/>
              <w:ind w:left="72"/>
              <w:rPr>
                <w:b/>
                <w:sz w:val="18"/>
              </w:rPr>
            </w:pPr>
            <w:r>
              <w:rPr>
                <w:b/>
                <w:sz w:val="18"/>
              </w:rPr>
              <w:t>Producto</w:t>
            </w:r>
            <w:r>
              <w:rPr>
                <w:b/>
                <w:spacing w:val="-8"/>
                <w:sz w:val="18"/>
              </w:rPr>
              <w:t> </w:t>
            </w:r>
            <w:r>
              <w:rPr>
                <w:b/>
                <w:sz w:val="18"/>
              </w:rPr>
              <w:t>PAC</w:t>
            </w:r>
            <w:r>
              <w:rPr>
                <w:b/>
                <w:spacing w:val="-8"/>
                <w:sz w:val="18"/>
              </w:rPr>
              <w:t> </w:t>
            </w:r>
            <w:r>
              <w:rPr>
                <w:b/>
                <w:sz w:val="18"/>
              </w:rPr>
              <w:t>2.23:</w:t>
            </w:r>
            <w:r>
              <w:rPr>
                <w:b/>
                <w:spacing w:val="41"/>
                <w:sz w:val="18"/>
              </w:rPr>
              <w:t> </w:t>
            </w:r>
            <w:r>
              <w:rPr>
                <w:b/>
                <w:sz w:val="18"/>
              </w:rPr>
              <w:t>Infraestructura</w:t>
            </w:r>
            <w:r>
              <w:rPr>
                <w:b/>
                <w:spacing w:val="-6"/>
                <w:sz w:val="18"/>
              </w:rPr>
              <w:t> </w:t>
            </w:r>
            <w:r>
              <w:rPr>
                <w:b/>
                <w:sz w:val="18"/>
              </w:rPr>
              <w:t>tecnológica</w:t>
            </w:r>
            <w:r>
              <w:rPr>
                <w:b/>
                <w:spacing w:val="-3"/>
                <w:sz w:val="18"/>
              </w:rPr>
              <w:t> </w:t>
            </w:r>
            <w:r>
              <w:rPr>
                <w:b/>
                <w:sz w:val="18"/>
              </w:rPr>
              <w:t>brindando</w:t>
            </w:r>
            <w:r>
              <w:rPr>
                <w:b/>
                <w:spacing w:val="-2"/>
                <w:sz w:val="18"/>
              </w:rPr>
              <w:t> </w:t>
            </w:r>
            <w:r>
              <w:rPr>
                <w:b/>
                <w:sz w:val="18"/>
              </w:rPr>
              <w:t>servicios</w:t>
            </w:r>
            <w:r>
              <w:rPr>
                <w:b/>
                <w:spacing w:val="-6"/>
                <w:sz w:val="18"/>
              </w:rPr>
              <w:t> </w:t>
            </w:r>
            <w:r>
              <w:rPr>
                <w:b/>
                <w:sz w:val="18"/>
              </w:rPr>
              <w:t>a</w:t>
            </w:r>
            <w:r>
              <w:rPr>
                <w:b/>
                <w:spacing w:val="-6"/>
                <w:sz w:val="18"/>
              </w:rPr>
              <w:t> </w:t>
            </w:r>
            <w:r>
              <w:rPr>
                <w:b/>
                <w:sz w:val="18"/>
              </w:rPr>
              <w:t>todas</w:t>
            </w:r>
            <w:r>
              <w:rPr>
                <w:b/>
                <w:spacing w:val="-6"/>
                <w:sz w:val="18"/>
              </w:rPr>
              <w:t> </w:t>
            </w:r>
            <w:r>
              <w:rPr>
                <w:b/>
                <w:sz w:val="18"/>
              </w:rPr>
              <w:t>las</w:t>
            </w:r>
            <w:r>
              <w:rPr>
                <w:b/>
                <w:spacing w:val="-6"/>
                <w:sz w:val="18"/>
              </w:rPr>
              <w:t> </w:t>
            </w:r>
            <w:r>
              <w:rPr>
                <w:b/>
                <w:sz w:val="18"/>
              </w:rPr>
              <w:t>personas</w:t>
            </w:r>
            <w:r>
              <w:rPr>
                <w:b/>
                <w:spacing w:val="-7"/>
                <w:sz w:val="18"/>
              </w:rPr>
              <w:t> </w:t>
            </w:r>
            <w:r>
              <w:rPr>
                <w:b/>
                <w:sz w:val="18"/>
              </w:rPr>
              <w:t>usuarios</w:t>
            </w:r>
            <w:r>
              <w:rPr>
                <w:b/>
                <w:spacing w:val="-6"/>
                <w:sz w:val="18"/>
              </w:rPr>
              <w:t> </w:t>
            </w:r>
            <w:r>
              <w:rPr>
                <w:b/>
                <w:sz w:val="18"/>
              </w:rPr>
              <w:t>de</w:t>
            </w:r>
            <w:r>
              <w:rPr>
                <w:b/>
                <w:spacing w:val="-6"/>
                <w:sz w:val="18"/>
              </w:rPr>
              <w:t> </w:t>
            </w:r>
            <w:r>
              <w:rPr>
                <w:b/>
                <w:sz w:val="18"/>
              </w:rPr>
              <w:t>la</w:t>
            </w:r>
            <w:r>
              <w:rPr>
                <w:b/>
                <w:spacing w:val="-6"/>
                <w:sz w:val="18"/>
              </w:rPr>
              <w:t> </w:t>
            </w:r>
            <w:r>
              <w:rPr>
                <w:b/>
                <w:spacing w:val="-2"/>
                <w:sz w:val="18"/>
              </w:rPr>
              <w:t>institución.</w:t>
            </w:r>
          </w:p>
        </w:tc>
      </w:tr>
      <w:tr>
        <w:trPr>
          <w:trHeight w:val="2693" w:hRule="atLeast"/>
        </w:trPr>
        <w:tc>
          <w:tcPr>
            <w:tcW w:w="2823"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72" w:right="122"/>
              <w:rPr>
                <w:sz w:val="18"/>
              </w:rPr>
            </w:pPr>
            <w:r>
              <w:rPr>
                <w:b/>
                <w:sz w:val="18"/>
              </w:rPr>
              <w:t>Producto PAC 2.23.1: </w:t>
            </w:r>
            <w:r>
              <w:rPr>
                <w:sz w:val="18"/>
              </w:rPr>
              <w:t>Gestionar el mantenimiento y reparación de equipo de cómputo, sistemas de Información</w:t>
            </w:r>
            <w:r>
              <w:rPr>
                <w:spacing w:val="-13"/>
                <w:sz w:val="18"/>
              </w:rPr>
              <w:t> </w:t>
            </w:r>
            <w:r>
              <w:rPr>
                <w:sz w:val="18"/>
              </w:rPr>
              <w:t>(partida</w:t>
            </w:r>
            <w:r>
              <w:rPr>
                <w:spacing w:val="-11"/>
                <w:sz w:val="18"/>
              </w:rPr>
              <w:t> </w:t>
            </w:r>
            <w:r>
              <w:rPr>
                <w:sz w:val="18"/>
              </w:rPr>
              <w:t>1.08.08)</w:t>
            </w:r>
            <w:r>
              <w:rPr>
                <w:spacing w:val="-9"/>
                <w:sz w:val="18"/>
              </w:rPr>
              <w:t> </w:t>
            </w:r>
            <w:r>
              <w:rPr>
                <w:sz w:val="18"/>
              </w:rPr>
              <w:t>AC</w:t>
            </w:r>
          </w:p>
        </w:tc>
        <w:tc>
          <w:tcPr>
            <w:tcW w:w="155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0" w:right="11"/>
              <w:jc w:val="center"/>
              <w:rPr>
                <w:sz w:val="18"/>
              </w:rPr>
            </w:pPr>
            <w:r>
              <w:rPr>
                <w:spacing w:val="-4"/>
                <w:sz w:val="18"/>
              </w:rPr>
              <w:t>100%</w:t>
            </w:r>
          </w:p>
        </w:tc>
        <w:tc>
          <w:tcPr>
            <w:tcW w:w="19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6"/>
              <w:jc w:val="center"/>
              <w:rPr>
                <w:sz w:val="18"/>
              </w:rPr>
            </w:pPr>
            <w:r>
              <w:rPr>
                <w:spacing w:val="-4"/>
                <w:sz w:val="18"/>
              </w:rPr>
              <w:t>100%</w:t>
            </w:r>
          </w:p>
        </w:tc>
        <w:tc>
          <w:tcPr>
            <w:tcW w:w="1406" w:type="dxa"/>
          </w:tcPr>
          <w:p>
            <w:pPr>
              <w:pStyle w:val="TableParagraph"/>
              <w:ind w:left="69" w:right="81"/>
              <w:rPr>
                <w:sz w:val="18"/>
              </w:rPr>
            </w:pPr>
            <w:r>
              <w:rPr>
                <w:sz w:val="18"/>
              </w:rPr>
              <w:t>Porcentaje de gestiones de las solicitudes efectuadas por </w:t>
            </w:r>
            <w:r>
              <w:rPr>
                <w:spacing w:val="-4"/>
                <w:sz w:val="18"/>
              </w:rPr>
              <w:t>las </w:t>
            </w:r>
            <w:r>
              <w:rPr>
                <w:spacing w:val="-2"/>
                <w:sz w:val="18"/>
              </w:rPr>
              <w:t>dependencias </w:t>
            </w:r>
            <w:r>
              <w:rPr>
                <w:sz w:val="18"/>
              </w:rPr>
              <w:t>para el </w:t>
            </w:r>
            <w:r>
              <w:rPr>
                <w:spacing w:val="-2"/>
                <w:sz w:val="18"/>
              </w:rPr>
              <w:t>mantenimiento </w:t>
            </w:r>
            <w:r>
              <w:rPr>
                <w:sz w:val="18"/>
              </w:rPr>
              <w:t>y</w:t>
            </w:r>
            <w:r>
              <w:rPr>
                <w:spacing w:val="-15"/>
                <w:sz w:val="18"/>
              </w:rPr>
              <w:t> </w:t>
            </w:r>
            <w:r>
              <w:rPr>
                <w:sz w:val="18"/>
              </w:rPr>
              <w:t>reparación</w:t>
            </w:r>
            <w:r>
              <w:rPr>
                <w:spacing w:val="-12"/>
                <w:sz w:val="18"/>
              </w:rPr>
              <w:t> </w:t>
            </w:r>
            <w:r>
              <w:rPr>
                <w:sz w:val="18"/>
              </w:rPr>
              <w:t>de equipo de </w:t>
            </w:r>
            <w:r>
              <w:rPr>
                <w:spacing w:val="-2"/>
                <w:sz w:val="18"/>
              </w:rPr>
              <w:t>cómputo,</w:t>
            </w:r>
          </w:p>
          <w:p>
            <w:pPr>
              <w:pStyle w:val="TableParagraph"/>
              <w:spacing w:line="200" w:lineRule="atLeast"/>
              <w:ind w:left="69"/>
              <w:rPr>
                <w:sz w:val="18"/>
              </w:rPr>
            </w:pPr>
            <w:r>
              <w:rPr>
                <w:sz w:val="18"/>
              </w:rPr>
              <w:t>sistemas</w:t>
            </w:r>
            <w:r>
              <w:rPr>
                <w:spacing w:val="-13"/>
                <w:sz w:val="18"/>
              </w:rPr>
              <w:t> </w:t>
            </w:r>
            <w:r>
              <w:rPr>
                <w:sz w:val="18"/>
              </w:rPr>
              <w:t>de </w:t>
            </w:r>
            <w:r>
              <w:rPr>
                <w:spacing w:val="-2"/>
                <w:sz w:val="18"/>
              </w:rPr>
              <w:t>información.</w:t>
            </w:r>
          </w:p>
        </w:tc>
        <w:tc>
          <w:tcPr>
            <w:tcW w:w="18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70" w:right="165"/>
              <w:rPr>
                <w:sz w:val="18"/>
              </w:rPr>
            </w:pPr>
            <w:r>
              <w:rPr>
                <w:sz w:val="18"/>
              </w:rPr>
              <w:t>SAP</w:t>
            </w:r>
            <w:r>
              <w:rPr>
                <w:spacing w:val="-13"/>
                <w:sz w:val="18"/>
              </w:rPr>
              <w:t> </w:t>
            </w:r>
            <w:r>
              <w:rPr>
                <w:sz w:val="18"/>
              </w:rPr>
              <w:t>Transacciones ejecutadas de la </w:t>
            </w:r>
            <w:r>
              <w:rPr>
                <w:spacing w:val="-2"/>
                <w:sz w:val="18"/>
              </w:rPr>
              <w:t>partida.</w:t>
            </w:r>
          </w:p>
        </w:tc>
        <w:tc>
          <w:tcPr>
            <w:tcW w:w="1329" w:type="dxa"/>
          </w:tcPr>
          <w:p>
            <w:pPr>
              <w:pStyle w:val="TableParagraph"/>
              <w:rPr>
                <w:b/>
                <w:sz w:val="18"/>
              </w:rPr>
            </w:pPr>
          </w:p>
          <w:p>
            <w:pPr>
              <w:pStyle w:val="TableParagraph"/>
              <w:spacing w:before="104"/>
              <w:rPr>
                <w:b/>
                <w:sz w:val="18"/>
              </w:rPr>
            </w:pPr>
          </w:p>
          <w:p>
            <w:pPr>
              <w:pStyle w:val="TableParagraph"/>
              <w:ind w:left="75" w:right="43"/>
              <w:rPr>
                <w:sz w:val="18"/>
              </w:rPr>
            </w:pPr>
            <w:r>
              <w:rPr>
                <w:sz w:val="18"/>
              </w:rPr>
              <w:t>Jefatura de</w:t>
            </w:r>
            <w:r>
              <w:rPr>
                <w:spacing w:val="-3"/>
                <w:sz w:val="18"/>
              </w:rPr>
              <w:t> </w:t>
            </w:r>
            <w:r>
              <w:rPr>
                <w:sz w:val="18"/>
              </w:rPr>
              <w:t>TI, con el apoyo de personas o </w:t>
            </w:r>
            <w:r>
              <w:rPr>
                <w:spacing w:val="-2"/>
                <w:sz w:val="18"/>
              </w:rPr>
              <w:t>dependencias </w:t>
            </w:r>
            <w:r>
              <w:rPr>
                <w:sz w:val="18"/>
              </w:rPr>
              <w:t>con acceso a </w:t>
            </w:r>
            <w:r>
              <w:rPr>
                <w:spacing w:val="-2"/>
                <w:sz w:val="18"/>
              </w:rPr>
              <w:t>información presupuestaria </w:t>
            </w:r>
            <w:r>
              <w:rPr>
                <w:spacing w:val="-4"/>
                <w:sz w:val="18"/>
              </w:rPr>
              <w:t>SAP</w:t>
            </w:r>
          </w:p>
        </w:tc>
        <w:tc>
          <w:tcPr>
            <w:tcW w:w="183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46"/>
              <w:jc w:val="right"/>
              <w:rPr>
                <w:sz w:val="18"/>
              </w:rPr>
            </w:pPr>
            <w:r>
              <w:rPr>
                <w:sz w:val="18"/>
              </w:rPr>
              <w:t>₡617</w:t>
            </w:r>
            <w:r>
              <w:rPr>
                <w:spacing w:val="-4"/>
                <w:sz w:val="18"/>
              </w:rPr>
              <w:t> </w:t>
            </w:r>
            <w:r>
              <w:rPr>
                <w:sz w:val="18"/>
              </w:rPr>
              <w:t>200</w:t>
            </w:r>
            <w:r>
              <w:rPr>
                <w:spacing w:val="-4"/>
                <w:sz w:val="18"/>
              </w:rPr>
              <w:t> </w:t>
            </w:r>
            <w:r>
              <w:rPr>
                <w:spacing w:val="-5"/>
                <w:sz w:val="18"/>
              </w:rPr>
              <w:t>00</w:t>
            </w:r>
          </w:p>
        </w:tc>
        <w:tc>
          <w:tcPr>
            <w:tcW w:w="1490"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ind w:left="76"/>
              <w:rPr>
                <w:sz w:val="18"/>
              </w:rPr>
            </w:pPr>
            <w:r>
              <w:rPr>
                <w:spacing w:val="-2"/>
                <w:sz w:val="18"/>
              </w:rPr>
              <w:t>Evento: </w:t>
            </w:r>
            <w:r>
              <w:rPr>
                <w:sz w:val="18"/>
              </w:rPr>
              <w:t>Plataformas y </w:t>
            </w:r>
            <w:r>
              <w:rPr>
                <w:spacing w:val="-2"/>
                <w:sz w:val="18"/>
              </w:rPr>
              <w:t>sistemas tecnológicos, obsoletos, </w:t>
            </w:r>
            <w:r>
              <w:rPr>
                <w:sz w:val="18"/>
              </w:rPr>
              <w:t>rezagados</w:t>
            </w:r>
            <w:r>
              <w:rPr>
                <w:spacing w:val="-15"/>
                <w:sz w:val="18"/>
              </w:rPr>
              <w:t> </w:t>
            </w:r>
            <w:r>
              <w:rPr>
                <w:sz w:val="18"/>
              </w:rPr>
              <w:t>y</w:t>
            </w:r>
            <w:r>
              <w:rPr>
                <w:spacing w:val="-12"/>
                <w:sz w:val="18"/>
              </w:rPr>
              <w:t> </w:t>
            </w:r>
            <w:r>
              <w:rPr>
                <w:sz w:val="18"/>
              </w:rPr>
              <w:t>con problemas de </w:t>
            </w:r>
            <w:r>
              <w:rPr>
                <w:spacing w:val="-2"/>
                <w:sz w:val="18"/>
              </w:rPr>
              <w:t>operación tecnológica.</w:t>
            </w:r>
          </w:p>
        </w:tc>
      </w:tr>
      <w:tr>
        <w:trPr>
          <w:trHeight w:val="2280" w:hRule="atLeast"/>
        </w:trPr>
        <w:tc>
          <w:tcPr>
            <w:tcW w:w="282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2" w:right="85"/>
              <w:rPr>
                <w:sz w:val="18"/>
              </w:rPr>
            </w:pPr>
            <w:r>
              <w:rPr>
                <w:b/>
                <w:sz w:val="18"/>
              </w:rPr>
              <w:t>Producto PAC 2.23.2:</w:t>
            </w:r>
            <w:r>
              <w:rPr>
                <w:b/>
                <w:spacing w:val="40"/>
                <w:sz w:val="18"/>
              </w:rPr>
              <w:t> </w:t>
            </w:r>
            <w:r>
              <w:rPr>
                <w:sz w:val="18"/>
              </w:rPr>
              <w:t>Gestionar adquisición de equipo y</w:t>
            </w:r>
            <w:r>
              <w:rPr>
                <w:spacing w:val="-7"/>
                <w:sz w:val="18"/>
              </w:rPr>
              <w:t> </w:t>
            </w:r>
            <w:r>
              <w:rPr>
                <w:sz w:val="18"/>
              </w:rPr>
              <w:t>programas</w:t>
            </w:r>
            <w:r>
              <w:rPr>
                <w:spacing w:val="-7"/>
                <w:sz w:val="18"/>
              </w:rPr>
              <w:t> </w:t>
            </w:r>
            <w:r>
              <w:rPr>
                <w:sz w:val="18"/>
              </w:rPr>
              <w:t>de</w:t>
            </w:r>
            <w:r>
              <w:rPr>
                <w:spacing w:val="-11"/>
                <w:sz w:val="18"/>
              </w:rPr>
              <w:t> </w:t>
            </w:r>
            <w:r>
              <w:rPr>
                <w:sz w:val="18"/>
              </w:rPr>
              <w:t>cómputo</w:t>
            </w:r>
            <w:r>
              <w:rPr>
                <w:spacing w:val="-11"/>
                <w:sz w:val="18"/>
              </w:rPr>
              <w:t> </w:t>
            </w:r>
            <w:r>
              <w:rPr>
                <w:sz w:val="18"/>
              </w:rPr>
              <w:t>(partida 5.01.05)</w:t>
            </w:r>
            <w:r>
              <w:rPr>
                <w:spacing w:val="-3"/>
                <w:sz w:val="18"/>
              </w:rPr>
              <w:t> </w:t>
            </w:r>
            <w:r>
              <w:rPr>
                <w:sz w:val="18"/>
              </w:rPr>
              <w:t>(AC)</w:t>
            </w:r>
          </w:p>
        </w:tc>
        <w:tc>
          <w:tcPr>
            <w:tcW w:w="155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0" w:right="11"/>
              <w:jc w:val="center"/>
              <w:rPr>
                <w:sz w:val="18"/>
              </w:rPr>
            </w:pPr>
            <w:r>
              <w:rPr>
                <w:spacing w:val="-4"/>
                <w:sz w:val="18"/>
              </w:rPr>
              <w:t>100%</w:t>
            </w:r>
          </w:p>
        </w:tc>
        <w:tc>
          <w:tcPr>
            <w:tcW w:w="19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6"/>
              <w:jc w:val="center"/>
              <w:rPr>
                <w:sz w:val="18"/>
              </w:rPr>
            </w:pPr>
            <w:r>
              <w:rPr>
                <w:spacing w:val="-4"/>
                <w:sz w:val="18"/>
              </w:rPr>
              <w:t>100%</w:t>
            </w:r>
          </w:p>
        </w:tc>
        <w:tc>
          <w:tcPr>
            <w:tcW w:w="1406" w:type="dxa"/>
          </w:tcPr>
          <w:p>
            <w:pPr>
              <w:pStyle w:val="TableParagraph"/>
              <w:ind w:left="69" w:right="129"/>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la adquisición de equipo y programas de</w:t>
            </w:r>
          </w:p>
          <w:p>
            <w:pPr>
              <w:pStyle w:val="TableParagraph"/>
              <w:spacing w:line="192" w:lineRule="exact"/>
              <w:ind w:left="69"/>
              <w:rPr>
                <w:sz w:val="18"/>
              </w:rPr>
            </w:pPr>
            <w:r>
              <w:rPr>
                <w:spacing w:val="-2"/>
                <w:sz w:val="18"/>
              </w:rPr>
              <w:t>cómputo</w:t>
            </w:r>
          </w:p>
        </w:tc>
        <w:tc>
          <w:tcPr>
            <w:tcW w:w="1833"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70" w:right="165"/>
              <w:rPr>
                <w:sz w:val="18"/>
              </w:rPr>
            </w:pPr>
            <w:r>
              <w:rPr>
                <w:sz w:val="18"/>
              </w:rPr>
              <w:t>SAP</w:t>
            </w:r>
            <w:r>
              <w:rPr>
                <w:spacing w:val="-13"/>
                <w:sz w:val="18"/>
              </w:rPr>
              <w:t> </w:t>
            </w:r>
            <w:r>
              <w:rPr>
                <w:sz w:val="18"/>
              </w:rPr>
              <w:t>Transacciones ejecutadas de la </w:t>
            </w:r>
            <w:r>
              <w:rPr>
                <w:spacing w:val="-2"/>
                <w:sz w:val="18"/>
              </w:rPr>
              <w:t>partida.</w:t>
            </w:r>
          </w:p>
        </w:tc>
        <w:tc>
          <w:tcPr>
            <w:tcW w:w="1329" w:type="dxa"/>
          </w:tcPr>
          <w:p>
            <w:pPr>
              <w:pStyle w:val="TableParagraph"/>
              <w:spacing w:before="103"/>
              <w:rPr>
                <w:b/>
                <w:sz w:val="18"/>
              </w:rPr>
            </w:pPr>
          </w:p>
          <w:p>
            <w:pPr>
              <w:pStyle w:val="TableParagraph"/>
              <w:spacing w:before="1"/>
              <w:ind w:left="75" w:right="43"/>
              <w:rPr>
                <w:sz w:val="18"/>
              </w:rPr>
            </w:pPr>
            <w:r>
              <w:rPr>
                <w:sz w:val="18"/>
              </w:rPr>
              <w:t>Jefatura de</w:t>
            </w:r>
            <w:r>
              <w:rPr>
                <w:spacing w:val="-3"/>
                <w:sz w:val="18"/>
              </w:rPr>
              <w:t> </w:t>
            </w:r>
            <w:r>
              <w:rPr>
                <w:sz w:val="18"/>
              </w:rPr>
              <w:t>TI, con el apoyo de personas o </w:t>
            </w:r>
            <w:r>
              <w:rPr>
                <w:spacing w:val="-2"/>
                <w:sz w:val="18"/>
              </w:rPr>
              <w:t>dependencias </w:t>
            </w:r>
            <w:r>
              <w:rPr>
                <w:sz w:val="18"/>
              </w:rPr>
              <w:t>con acceso a </w:t>
            </w:r>
            <w:r>
              <w:rPr>
                <w:spacing w:val="-2"/>
                <w:sz w:val="18"/>
              </w:rPr>
              <w:t>información presupuestaria </w:t>
            </w:r>
            <w:r>
              <w:rPr>
                <w:spacing w:val="-4"/>
                <w:sz w:val="18"/>
              </w:rPr>
              <w:t>SAP</w:t>
            </w:r>
          </w:p>
        </w:tc>
        <w:tc>
          <w:tcPr>
            <w:tcW w:w="183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47"/>
              <w:jc w:val="right"/>
              <w:rPr>
                <w:sz w:val="18"/>
              </w:rPr>
            </w:pPr>
            <w:r>
              <w:rPr>
                <w:sz w:val="18"/>
              </w:rPr>
              <w:t>₡190</w:t>
            </w:r>
            <w:r>
              <w:rPr>
                <w:spacing w:val="1"/>
                <w:sz w:val="18"/>
              </w:rPr>
              <w:t> </w:t>
            </w:r>
            <w:r>
              <w:rPr>
                <w:sz w:val="18"/>
              </w:rPr>
              <w:t>730</w:t>
            </w:r>
            <w:r>
              <w:rPr>
                <w:spacing w:val="-3"/>
                <w:sz w:val="18"/>
              </w:rPr>
              <w:t> </w:t>
            </w:r>
            <w:r>
              <w:rPr>
                <w:spacing w:val="-5"/>
                <w:sz w:val="18"/>
              </w:rPr>
              <w:t>000</w:t>
            </w:r>
          </w:p>
        </w:tc>
        <w:tc>
          <w:tcPr>
            <w:tcW w:w="1490"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678"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3"/>
        <w:gridCol w:w="1550"/>
        <w:gridCol w:w="1977"/>
        <w:gridCol w:w="1406"/>
        <w:gridCol w:w="1833"/>
        <w:gridCol w:w="1329"/>
        <w:gridCol w:w="1834"/>
        <w:gridCol w:w="1491"/>
      </w:tblGrid>
      <w:tr>
        <w:trPr>
          <w:trHeight w:val="1094" w:hRule="atLeast"/>
        </w:trPr>
        <w:tc>
          <w:tcPr>
            <w:tcW w:w="2823" w:type="dxa"/>
            <w:shd w:val="clear" w:color="auto" w:fill="EDEBE0"/>
          </w:tcPr>
          <w:p>
            <w:pPr>
              <w:pStyle w:val="TableParagraph"/>
              <w:rPr>
                <w:b/>
                <w:sz w:val="18"/>
              </w:rPr>
            </w:pPr>
          </w:p>
          <w:p>
            <w:pPr>
              <w:pStyle w:val="TableParagraph"/>
              <w:spacing w:before="26"/>
              <w:rPr>
                <w:b/>
                <w:sz w:val="18"/>
              </w:rPr>
            </w:pPr>
          </w:p>
          <w:p>
            <w:pPr>
              <w:pStyle w:val="TableParagraph"/>
              <w:ind w:left="441"/>
              <w:rPr>
                <w:b/>
                <w:sz w:val="18"/>
              </w:rPr>
            </w:pPr>
            <w:r>
              <w:rPr>
                <w:b/>
                <w:sz w:val="18"/>
              </w:rPr>
              <w:t>Objetivos</w:t>
            </w:r>
            <w:r>
              <w:rPr>
                <w:b/>
                <w:spacing w:val="-5"/>
                <w:sz w:val="18"/>
              </w:rPr>
              <w:t> </w:t>
            </w:r>
            <w:r>
              <w:rPr>
                <w:b/>
                <w:sz w:val="18"/>
              </w:rPr>
              <w:t>/</w:t>
            </w:r>
            <w:r>
              <w:rPr>
                <w:b/>
                <w:spacing w:val="-2"/>
                <w:sz w:val="18"/>
              </w:rPr>
              <w:t> Resultados</w:t>
            </w:r>
          </w:p>
        </w:tc>
        <w:tc>
          <w:tcPr>
            <w:tcW w:w="1550" w:type="dxa"/>
            <w:shd w:val="clear" w:color="auto" w:fill="EDEBE0"/>
          </w:tcPr>
          <w:p>
            <w:pPr>
              <w:pStyle w:val="TableParagraph"/>
              <w:spacing w:before="132"/>
              <w:rPr>
                <w:b/>
                <w:sz w:val="18"/>
              </w:rPr>
            </w:pPr>
          </w:p>
          <w:p>
            <w:pPr>
              <w:pStyle w:val="TableParagraph"/>
              <w:ind w:left="513" w:hanging="216"/>
              <w:rPr>
                <w:b/>
                <w:sz w:val="18"/>
              </w:rPr>
            </w:pPr>
            <w:r>
              <w:rPr>
                <w:b/>
                <w:sz w:val="18"/>
              </w:rPr>
              <w:t>Línea</w:t>
            </w:r>
            <w:r>
              <w:rPr>
                <w:b/>
                <w:spacing w:val="-13"/>
                <w:sz w:val="18"/>
              </w:rPr>
              <w:t> </w:t>
            </w:r>
            <w:r>
              <w:rPr>
                <w:b/>
                <w:sz w:val="18"/>
              </w:rPr>
              <w:t>Base </w:t>
            </w:r>
            <w:r>
              <w:rPr>
                <w:b/>
                <w:spacing w:val="-2"/>
                <w:sz w:val="18"/>
              </w:rPr>
              <w:t>(2024)</w:t>
            </w:r>
          </w:p>
        </w:tc>
        <w:tc>
          <w:tcPr>
            <w:tcW w:w="1977" w:type="dxa"/>
            <w:shd w:val="clear" w:color="auto" w:fill="EDEBE0"/>
          </w:tcPr>
          <w:p>
            <w:pPr>
              <w:pStyle w:val="TableParagraph"/>
              <w:spacing w:before="132"/>
              <w:rPr>
                <w:b/>
                <w:sz w:val="18"/>
              </w:rPr>
            </w:pPr>
          </w:p>
          <w:p>
            <w:pPr>
              <w:pStyle w:val="TableParagraph"/>
              <w:ind w:left="788" w:hanging="553"/>
              <w:rPr>
                <w:b/>
                <w:sz w:val="18"/>
              </w:rPr>
            </w:pPr>
            <w:r>
              <w:rPr>
                <w:b/>
                <w:sz w:val="18"/>
              </w:rPr>
              <w:t>Meta</w:t>
            </w:r>
            <w:r>
              <w:rPr>
                <w:b/>
                <w:spacing w:val="-13"/>
                <w:sz w:val="18"/>
              </w:rPr>
              <w:t> </w:t>
            </w:r>
            <w:r>
              <w:rPr>
                <w:b/>
                <w:sz w:val="18"/>
              </w:rPr>
              <w:t>programada </w:t>
            </w:r>
            <w:r>
              <w:rPr>
                <w:b/>
                <w:spacing w:val="-4"/>
                <w:sz w:val="18"/>
              </w:rPr>
              <w:t>2026</w:t>
            </w:r>
          </w:p>
        </w:tc>
        <w:tc>
          <w:tcPr>
            <w:tcW w:w="1406" w:type="dxa"/>
            <w:shd w:val="clear" w:color="auto" w:fill="EDEBE0"/>
          </w:tcPr>
          <w:p>
            <w:pPr>
              <w:pStyle w:val="TableParagraph"/>
              <w:rPr>
                <w:b/>
                <w:sz w:val="18"/>
              </w:rPr>
            </w:pPr>
          </w:p>
          <w:p>
            <w:pPr>
              <w:pStyle w:val="TableParagraph"/>
              <w:spacing w:before="26"/>
              <w:rPr>
                <w:b/>
                <w:sz w:val="18"/>
              </w:rPr>
            </w:pPr>
          </w:p>
          <w:p>
            <w:pPr>
              <w:pStyle w:val="TableParagraph"/>
              <w:ind w:left="295"/>
              <w:rPr>
                <w:b/>
                <w:sz w:val="18"/>
              </w:rPr>
            </w:pPr>
            <w:r>
              <w:rPr>
                <w:b/>
                <w:spacing w:val="-2"/>
                <w:sz w:val="18"/>
              </w:rPr>
              <w:t>Indicador</w:t>
            </w:r>
          </w:p>
        </w:tc>
        <w:tc>
          <w:tcPr>
            <w:tcW w:w="1833" w:type="dxa"/>
            <w:shd w:val="clear" w:color="auto" w:fill="EDEBE0"/>
          </w:tcPr>
          <w:p>
            <w:pPr>
              <w:pStyle w:val="TableParagraph"/>
              <w:spacing w:before="132"/>
              <w:rPr>
                <w:b/>
                <w:sz w:val="18"/>
              </w:rPr>
            </w:pPr>
          </w:p>
          <w:p>
            <w:pPr>
              <w:pStyle w:val="TableParagraph"/>
              <w:ind w:left="415" w:right="1" w:firstLine="57"/>
              <w:rPr>
                <w:b/>
                <w:sz w:val="18"/>
              </w:rPr>
            </w:pPr>
            <w:r>
              <w:rPr>
                <w:b/>
                <w:sz w:val="18"/>
              </w:rPr>
              <w:t>Medios de </w:t>
            </w:r>
            <w:r>
              <w:rPr>
                <w:b/>
                <w:spacing w:val="-2"/>
                <w:sz w:val="18"/>
              </w:rPr>
              <w:t>verificación</w:t>
            </w:r>
          </w:p>
        </w:tc>
        <w:tc>
          <w:tcPr>
            <w:tcW w:w="1329" w:type="dxa"/>
            <w:shd w:val="clear" w:color="auto" w:fill="EDEBE0"/>
          </w:tcPr>
          <w:p>
            <w:pPr>
              <w:pStyle w:val="TableParagraph"/>
              <w:rPr>
                <w:b/>
                <w:sz w:val="18"/>
              </w:rPr>
            </w:pPr>
          </w:p>
          <w:p>
            <w:pPr>
              <w:pStyle w:val="TableParagraph"/>
              <w:spacing w:before="26"/>
              <w:rPr>
                <w:b/>
                <w:sz w:val="18"/>
              </w:rPr>
            </w:pPr>
          </w:p>
          <w:p>
            <w:pPr>
              <w:pStyle w:val="TableParagraph"/>
              <w:ind w:left="109"/>
              <w:rPr>
                <w:b/>
                <w:sz w:val="18"/>
              </w:rPr>
            </w:pPr>
            <w:r>
              <w:rPr>
                <w:b/>
                <w:spacing w:val="-2"/>
                <w:sz w:val="18"/>
              </w:rPr>
              <w:t>Responsable</w:t>
            </w:r>
          </w:p>
        </w:tc>
        <w:tc>
          <w:tcPr>
            <w:tcW w:w="1834" w:type="dxa"/>
            <w:shd w:val="clear" w:color="auto" w:fill="EDEBE0"/>
          </w:tcPr>
          <w:p>
            <w:pPr>
              <w:pStyle w:val="TableParagraph"/>
              <w:spacing w:before="132"/>
              <w:rPr>
                <w:b/>
                <w:sz w:val="18"/>
              </w:rPr>
            </w:pPr>
          </w:p>
          <w:p>
            <w:pPr>
              <w:pStyle w:val="TableParagraph"/>
              <w:ind w:left="528" w:right="352" w:hanging="154"/>
              <w:rPr>
                <w:b/>
                <w:sz w:val="18"/>
              </w:rPr>
            </w:pPr>
            <w:r>
              <w:rPr>
                <w:b/>
                <w:spacing w:val="-2"/>
                <w:sz w:val="18"/>
              </w:rPr>
              <w:t>Presupuesto asignado</w:t>
            </w:r>
          </w:p>
        </w:tc>
        <w:tc>
          <w:tcPr>
            <w:tcW w:w="1491" w:type="dxa"/>
            <w:tcBorders>
              <w:bottom w:val="nil"/>
            </w:tcBorders>
            <w:shd w:val="clear" w:color="auto" w:fill="EDEBE0"/>
          </w:tcPr>
          <w:p>
            <w:pPr>
              <w:pStyle w:val="TableParagraph"/>
              <w:spacing w:before="27"/>
              <w:rPr>
                <w:b/>
                <w:sz w:val="18"/>
              </w:rPr>
            </w:pPr>
          </w:p>
          <w:p>
            <w:pPr>
              <w:pStyle w:val="TableParagraph"/>
              <w:spacing w:line="242" w:lineRule="auto"/>
              <w:ind w:left="163" w:right="139"/>
              <w:jc w:val="center"/>
              <w:rPr>
                <w:b/>
                <w:sz w:val="18"/>
              </w:rPr>
            </w:pPr>
            <w:r>
              <w:rPr>
                <w:b/>
                <w:spacing w:val="-2"/>
                <w:sz w:val="18"/>
              </w:rPr>
              <w:t>Riesgos </w:t>
            </w:r>
            <w:r>
              <w:rPr>
                <w:b/>
                <w:sz w:val="18"/>
              </w:rPr>
              <w:t>asociados al </w:t>
            </w:r>
            <w:r>
              <w:rPr>
                <w:b/>
                <w:spacing w:val="-2"/>
                <w:sz w:val="18"/>
              </w:rPr>
              <w:t>cumplimiento</w:t>
            </w:r>
          </w:p>
        </w:tc>
      </w:tr>
      <w:tr>
        <w:trPr>
          <w:trHeight w:val="2068" w:hRule="atLeast"/>
        </w:trPr>
        <w:tc>
          <w:tcPr>
            <w:tcW w:w="2823" w:type="dxa"/>
          </w:tcPr>
          <w:p>
            <w:pPr>
              <w:pStyle w:val="TableParagraph"/>
              <w:rPr>
                <w:b/>
                <w:sz w:val="18"/>
              </w:rPr>
            </w:pPr>
          </w:p>
          <w:p>
            <w:pPr>
              <w:pStyle w:val="TableParagraph"/>
              <w:spacing w:before="204"/>
              <w:rPr>
                <w:b/>
                <w:sz w:val="18"/>
              </w:rPr>
            </w:pPr>
          </w:p>
          <w:p>
            <w:pPr>
              <w:pStyle w:val="TableParagraph"/>
              <w:spacing w:line="242" w:lineRule="auto"/>
              <w:ind w:left="72" w:right="150"/>
              <w:rPr>
                <w:sz w:val="18"/>
              </w:rPr>
            </w:pPr>
            <w:r>
              <w:rPr>
                <w:b/>
                <w:sz w:val="18"/>
              </w:rPr>
              <w:t>Producto PAC 2.23.3: </w:t>
            </w:r>
            <w:r>
              <w:rPr>
                <w:sz w:val="18"/>
              </w:rPr>
              <w:t>Gestionar</w:t>
            </w:r>
            <w:r>
              <w:rPr>
                <w:spacing w:val="-11"/>
                <w:sz w:val="18"/>
              </w:rPr>
              <w:t> </w:t>
            </w:r>
            <w:r>
              <w:rPr>
                <w:sz w:val="18"/>
              </w:rPr>
              <w:t>adquisición</w:t>
            </w:r>
            <w:r>
              <w:rPr>
                <w:spacing w:val="-9"/>
                <w:sz w:val="18"/>
              </w:rPr>
              <w:t> </w:t>
            </w:r>
            <w:r>
              <w:rPr>
                <w:sz w:val="18"/>
              </w:rPr>
              <w:t>de</w:t>
            </w:r>
            <w:r>
              <w:rPr>
                <w:spacing w:val="-12"/>
                <w:sz w:val="18"/>
              </w:rPr>
              <w:t> </w:t>
            </w:r>
            <w:r>
              <w:rPr>
                <w:sz w:val="18"/>
              </w:rPr>
              <w:t>equipo de comunicación (partida 5.01.03)</w:t>
            </w:r>
            <w:r>
              <w:rPr>
                <w:spacing w:val="-3"/>
                <w:sz w:val="18"/>
              </w:rPr>
              <w:t> </w:t>
            </w:r>
            <w:r>
              <w:rPr>
                <w:sz w:val="18"/>
              </w:rPr>
              <w:t>(AC)</w:t>
            </w:r>
          </w:p>
        </w:tc>
        <w:tc>
          <w:tcPr>
            <w:tcW w:w="155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0" w:right="11"/>
              <w:jc w:val="center"/>
              <w:rPr>
                <w:sz w:val="18"/>
              </w:rPr>
            </w:pPr>
            <w:r>
              <w:rPr>
                <w:spacing w:val="-4"/>
                <w:sz w:val="18"/>
              </w:rPr>
              <w:t>100%</w:t>
            </w:r>
          </w:p>
        </w:tc>
        <w:tc>
          <w:tcPr>
            <w:tcW w:w="19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6"/>
              <w:jc w:val="center"/>
              <w:rPr>
                <w:sz w:val="18"/>
              </w:rPr>
            </w:pPr>
            <w:r>
              <w:rPr>
                <w:spacing w:val="-4"/>
                <w:sz w:val="18"/>
              </w:rPr>
              <w:t>100%</w:t>
            </w:r>
          </w:p>
        </w:tc>
        <w:tc>
          <w:tcPr>
            <w:tcW w:w="1406" w:type="dxa"/>
          </w:tcPr>
          <w:p>
            <w:pPr>
              <w:pStyle w:val="TableParagraph"/>
              <w:ind w:left="69" w:right="129"/>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la adquisición de</w:t>
            </w:r>
          </w:p>
          <w:p>
            <w:pPr>
              <w:pStyle w:val="TableParagraph"/>
              <w:spacing w:line="206" w:lineRule="exact"/>
              <w:ind w:left="69"/>
              <w:rPr>
                <w:sz w:val="18"/>
              </w:rPr>
            </w:pPr>
            <w:r>
              <w:rPr>
                <w:sz w:val="18"/>
              </w:rPr>
              <w:t>equipo de </w:t>
            </w:r>
            <w:r>
              <w:rPr>
                <w:spacing w:val="-2"/>
                <w:sz w:val="18"/>
              </w:rPr>
              <w:t>comunicación</w:t>
            </w:r>
          </w:p>
        </w:tc>
        <w:tc>
          <w:tcPr>
            <w:tcW w:w="183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0" w:right="165"/>
              <w:rPr>
                <w:sz w:val="18"/>
              </w:rPr>
            </w:pPr>
            <w:r>
              <w:rPr>
                <w:sz w:val="18"/>
              </w:rPr>
              <w:t>SAP</w:t>
            </w:r>
            <w:r>
              <w:rPr>
                <w:spacing w:val="-13"/>
                <w:sz w:val="18"/>
              </w:rPr>
              <w:t> </w:t>
            </w:r>
            <w:r>
              <w:rPr>
                <w:sz w:val="18"/>
              </w:rPr>
              <w:t>Transacciones ejecutadas de la </w:t>
            </w:r>
            <w:r>
              <w:rPr>
                <w:spacing w:val="-2"/>
                <w:sz w:val="18"/>
              </w:rPr>
              <w:t>partida.</w:t>
            </w:r>
          </w:p>
        </w:tc>
        <w:tc>
          <w:tcPr>
            <w:tcW w:w="1329" w:type="dxa"/>
          </w:tcPr>
          <w:p>
            <w:pPr>
              <w:pStyle w:val="TableParagraph"/>
              <w:spacing w:before="205"/>
              <w:ind w:left="75" w:right="43"/>
              <w:rPr>
                <w:sz w:val="18"/>
              </w:rPr>
            </w:pPr>
            <w:r>
              <w:rPr>
                <w:sz w:val="18"/>
              </w:rPr>
              <w:t>Jefatura de</w:t>
            </w:r>
            <w:r>
              <w:rPr>
                <w:spacing w:val="-3"/>
                <w:sz w:val="18"/>
              </w:rPr>
              <w:t> </w:t>
            </w:r>
            <w:r>
              <w:rPr>
                <w:sz w:val="18"/>
              </w:rPr>
              <w:t>TI, con el apoyo de personas o </w:t>
            </w:r>
            <w:r>
              <w:rPr>
                <w:spacing w:val="-2"/>
                <w:sz w:val="18"/>
              </w:rPr>
              <w:t>dependencias </w:t>
            </w:r>
            <w:r>
              <w:rPr>
                <w:sz w:val="18"/>
              </w:rPr>
              <w:t>con acceso a </w:t>
            </w:r>
            <w:r>
              <w:rPr>
                <w:spacing w:val="-2"/>
                <w:sz w:val="18"/>
              </w:rPr>
              <w:t>información presupuestaria </w:t>
            </w:r>
            <w:r>
              <w:rPr>
                <w:spacing w:val="-4"/>
                <w:sz w:val="18"/>
              </w:rPr>
              <w:t>SAP</w:t>
            </w:r>
          </w:p>
        </w:tc>
        <w:tc>
          <w:tcPr>
            <w:tcW w:w="183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45"/>
              <w:jc w:val="right"/>
              <w:rPr>
                <w:sz w:val="18"/>
              </w:rPr>
            </w:pPr>
            <w:r>
              <w:rPr>
                <w:sz w:val="18"/>
              </w:rPr>
              <w:t>₡26</w:t>
            </w:r>
            <w:r>
              <w:rPr>
                <w:spacing w:val="1"/>
                <w:sz w:val="18"/>
              </w:rPr>
              <w:t> </w:t>
            </w:r>
            <w:r>
              <w:rPr>
                <w:sz w:val="18"/>
              </w:rPr>
              <w:t>720</w:t>
            </w:r>
            <w:r>
              <w:rPr>
                <w:spacing w:val="-3"/>
                <w:sz w:val="18"/>
              </w:rPr>
              <w:t> </w:t>
            </w:r>
            <w:r>
              <w:rPr>
                <w:spacing w:val="-5"/>
                <w:sz w:val="18"/>
              </w:rPr>
              <w:t>000</w:t>
            </w:r>
          </w:p>
        </w:tc>
        <w:tc>
          <w:tcPr>
            <w:tcW w:w="1491" w:type="dxa"/>
            <w:vMerge w:val="restart"/>
            <w:tcBorders>
              <w:top w:val="nil"/>
            </w:tcBorders>
          </w:tcPr>
          <w:p>
            <w:pPr>
              <w:pStyle w:val="TableParagraph"/>
              <w:rPr>
                <w:rFonts w:ascii="Times New Roman"/>
                <w:sz w:val="18"/>
              </w:rPr>
            </w:pPr>
          </w:p>
        </w:tc>
      </w:tr>
      <w:tr>
        <w:trPr>
          <w:trHeight w:val="2074" w:hRule="atLeast"/>
        </w:trPr>
        <w:tc>
          <w:tcPr>
            <w:tcW w:w="2823"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2" w:right="150"/>
              <w:rPr>
                <w:sz w:val="18"/>
              </w:rPr>
            </w:pPr>
            <w:r>
              <w:rPr>
                <w:b/>
                <w:sz w:val="18"/>
              </w:rPr>
              <w:t>Producto PAC 2.23.4: </w:t>
            </w:r>
            <w:r>
              <w:rPr>
                <w:sz w:val="18"/>
              </w:rPr>
              <w:t>Gestionar</w:t>
            </w:r>
            <w:r>
              <w:rPr>
                <w:spacing w:val="-10"/>
                <w:sz w:val="18"/>
              </w:rPr>
              <w:t> </w:t>
            </w:r>
            <w:r>
              <w:rPr>
                <w:sz w:val="18"/>
              </w:rPr>
              <w:t>la</w:t>
            </w:r>
            <w:r>
              <w:rPr>
                <w:spacing w:val="-12"/>
                <w:sz w:val="18"/>
              </w:rPr>
              <w:t> </w:t>
            </w:r>
            <w:r>
              <w:rPr>
                <w:sz w:val="18"/>
              </w:rPr>
              <w:t>adquisición</w:t>
            </w:r>
            <w:r>
              <w:rPr>
                <w:spacing w:val="-12"/>
                <w:sz w:val="18"/>
              </w:rPr>
              <w:t> </w:t>
            </w:r>
            <w:r>
              <w:rPr>
                <w:sz w:val="18"/>
              </w:rPr>
              <w:t>de bienes intangibles (partida 5.99.03) AC</w:t>
            </w:r>
          </w:p>
        </w:tc>
        <w:tc>
          <w:tcPr>
            <w:tcW w:w="155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0" w:right="11"/>
              <w:jc w:val="center"/>
              <w:rPr>
                <w:sz w:val="18"/>
              </w:rPr>
            </w:pPr>
            <w:r>
              <w:rPr>
                <w:spacing w:val="-4"/>
                <w:sz w:val="18"/>
              </w:rPr>
              <w:t>100%</w:t>
            </w:r>
          </w:p>
        </w:tc>
        <w:tc>
          <w:tcPr>
            <w:tcW w:w="19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6"/>
              <w:jc w:val="center"/>
              <w:rPr>
                <w:sz w:val="18"/>
              </w:rPr>
            </w:pPr>
            <w:r>
              <w:rPr>
                <w:spacing w:val="-4"/>
                <w:sz w:val="18"/>
              </w:rPr>
              <w:t>100%</w:t>
            </w:r>
          </w:p>
        </w:tc>
        <w:tc>
          <w:tcPr>
            <w:tcW w:w="1406" w:type="dxa"/>
          </w:tcPr>
          <w:p>
            <w:pPr>
              <w:pStyle w:val="TableParagraph"/>
              <w:ind w:left="69" w:right="129"/>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la adquisición de</w:t>
            </w:r>
          </w:p>
          <w:p>
            <w:pPr>
              <w:pStyle w:val="TableParagraph"/>
              <w:spacing w:line="206" w:lineRule="exact"/>
              <w:ind w:left="69"/>
              <w:rPr>
                <w:sz w:val="18"/>
              </w:rPr>
            </w:pPr>
            <w:r>
              <w:rPr>
                <w:spacing w:val="-2"/>
                <w:sz w:val="18"/>
              </w:rPr>
              <w:t>bienes intangibles.</w:t>
            </w:r>
          </w:p>
        </w:tc>
        <w:tc>
          <w:tcPr>
            <w:tcW w:w="1833" w:type="dxa"/>
          </w:tcPr>
          <w:p>
            <w:pPr>
              <w:pStyle w:val="TableParagraph"/>
              <w:rPr>
                <w:b/>
                <w:sz w:val="18"/>
              </w:rPr>
            </w:pPr>
          </w:p>
          <w:p>
            <w:pPr>
              <w:pStyle w:val="TableParagraph"/>
              <w:rPr>
                <w:b/>
                <w:sz w:val="18"/>
              </w:rPr>
            </w:pPr>
          </w:p>
          <w:p>
            <w:pPr>
              <w:pStyle w:val="TableParagraph"/>
              <w:spacing w:before="103"/>
              <w:rPr>
                <w:b/>
                <w:sz w:val="18"/>
              </w:rPr>
            </w:pPr>
          </w:p>
          <w:p>
            <w:pPr>
              <w:pStyle w:val="TableParagraph"/>
              <w:spacing w:line="242" w:lineRule="auto"/>
              <w:ind w:left="70" w:right="165"/>
              <w:rPr>
                <w:sz w:val="18"/>
              </w:rPr>
            </w:pPr>
            <w:r>
              <w:rPr>
                <w:sz w:val="18"/>
              </w:rPr>
              <w:t>SAP</w:t>
            </w:r>
            <w:r>
              <w:rPr>
                <w:spacing w:val="-13"/>
                <w:sz w:val="18"/>
              </w:rPr>
              <w:t> </w:t>
            </w:r>
            <w:r>
              <w:rPr>
                <w:sz w:val="18"/>
              </w:rPr>
              <w:t>Transacciones ejecutadas de la </w:t>
            </w:r>
            <w:r>
              <w:rPr>
                <w:spacing w:val="-2"/>
                <w:sz w:val="18"/>
              </w:rPr>
              <w:t>partida.</w:t>
            </w:r>
          </w:p>
        </w:tc>
        <w:tc>
          <w:tcPr>
            <w:tcW w:w="1329" w:type="dxa"/>
          </w:tcPr>
          <w:p>
            <w:pPr>
              <w:pStyle w:val="TableParagraph"/>
              <w:spacing w:before="3"/>
              <w:rPr>
                <w:b/>
                <w:sz w:val="18"/>
              </w:rPr>
            </w:pPr>
          </w:p>
          <w:p>
            <w:pPr>
              <w:pStyle w:val="TableParagraph"/>
              <w:ind w:left="75" w:right="43"/>
              <w:rPr>
                <w:sz w:val="18"/>
              </w:rPr>
            </w:pPr>
            <w:r>
              <w:rPr>
                <w:sz w:val="18"/>
              </w:rPr>
              <w:t>Jefatura de</w:t>
            </w:r>
            <w:r>
              <w:rPr>
                <w:spacing w:val="-3"/>
                <w:sz w:val="18"/>
              </w:rPr>
              <w:t> </w:t>
            </w:r>
            <w:r>
              <w:rPr>
                <w:sz w:val="18"/>
              </w:rPr>
              <w:t>TI, con el apoyo de personas o </w:t>
            </w:r>
            <w:r>
              <w:rPr>
                <w:spacing w:val="-2"/>
                <w:sz w:val="18"/>
              </w:rPr>
              <w:t>dependencias </w:t>
            </w:r>
            <w:r>
              <w:rPr>
                <w:sz w:val="18"/>
              </w:rPr>
              <w:t>con acceso a </w:t>
            </w:r>
            <w:r>
              <w:rPr>
                <w:spacing w:val="-2"/>
                <w:sz w:val="18"/>
              </w:rPr>
              <w:t>información presupuestaria </w:t>
            </w:r>
            <w:r>
              <w:rPr>
                <w:spacing w:val="-4"/>
                <w:sz w:val="18"/>
              </w:rPr>
              <w:t>SAP</w:t>
            </w:r>
          </w:p>
        </w:tc>
        <w:tc>
          <w:tcPr>
            <w:tcW w:w="183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45"/>
              <w:jc w:val="right"/>
              <w:rPr>
                <w:sz w:val="18"/>
              </w:rPr>
            </w:pPr>
            <w:r>
              <w:rPr>
                <w:sz w:val="18"/>
              </w:rPr>
              <w:t>₡50</w:t>
            </w:r>
            <w:r>
              <w:rPr>
                <w:spacing w:val="1"/>
                <w:sz w:val="18"/>
              </w:rPr>
              <w:t> </w:t>
            </w:r>
            <w:r>
              <w:rPr>
                <w:sz w:val="18"/>
              </w:rPr>
              <w:t>000</w:t>
            </w:r>
            <w:r>
              <w:rPr>
                <w:spacing w:val="-3"/>
                <w:sz w:val="18"/>
              </w:rPr>
              <w:t> </w:t>
            </w:r>
            <w:r>
              <w:rPr>
                <w:spacing w:val="-5"/>
                <w:sz w:val="18"/>
              </w:rPr>
              <w:t>000</w:t>
            </w:r>
          </w:p>
        </w:tc>
        <w:tc>
          <w:tcPr>
            <w:tcW w:w="1491" w:type="dxa"/>
            <w:vMerge/>
            <w:tcBorders>
              <w:top w:val="nil"/>
            </w:tcBorders>
          </w:tcPr>
          <w:p>
            <w:pPr>
              <w:rPr>
                <w:sz w:val="2"/>
                <w:szCs w:val="2"/>
              </w:rPr>
            </w:pPr>
          </w:p>
        </w:tc>
      </w:tr>
      <w:tr>
        <w:trPr>
          <w:trHeight w:val="2275" w:hRule="atLeast"/>
        </w:trPr>
        <w:tc>
          <w:tcPr>
            <w:tcW w:w="2823"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2" w:right="132"/>
              <w:rPr>
                <w:sz w:val="18"/>
              </w:rPr>
            </w:pPr>
            <w:r>
              <w:rPr>
                <w:b/>
                <w:sz w:val="18"/>
              </w:rPr>
              <w:t>Producto PAC 2.23.5: </w:t>
            </w:r>
            <w:r>
              <w:rPr>
                <w:sz w:val="18"/>
              </w:rPr>
              <w:t>Gestionar el mantenimiento equipo</w:t>
            </w:r>
            <w:r>
              <w:rPr>
                <w:spacing w:val="-9"/>
                <w:sz w:val="18"/>
              </w:rPr>
              <w:t> </w:t>
            </w:r>
            <w:r>
              <w:rPr>
                <w:sz w:val="18"/>
              </w:rPr>
              <w:t>de</w:t>
            </w:r>
            <w:r>
              <w:rPr>
                <w:spacing w:val="-13"/>
                <w:sz w:val="18"/>
              </w:rPr>
              <w:t> </w:t>
            </w:r>
            <w:r>
              <w:rPr>
                <w:sz w:val="18"/>
              </w:rPr>
              <w:t>comunicación</w:t>
            </w:r>
            <w:r>
              <w:rPr>
                <w:spacing w:val="-12"/>
                <w:sz w:val="18"/>
              </w:rPr>
              <w:t> </w:t>
            </w:r>
            <w:r>
              <w:rPr>
                <w:sz w:val="18"/>
              </w:rPr>
              <w:t>(partida 1.08.06) AC</w:t>
            </w:r>
          </w:p>
        </w:tc>
        <w:tc>
          <w:tcPr>
            <w:tcW w:w="1550"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0" w:right="11"/>
              <w:jc w:val="center"/>
              <w:rPr>
                <w:sz w:val="18"/>
              </w:rPr>
            </w:pPr>
            <w:r>
              <w:rPr>
                <w:spacing w:val="-4"/>
                <w:sz w:val="18"/>
              </w:rPr>
              <w:t>100%</w:t>
            </w:r>
          </w:p>
        </w:tc>
        <w:tc>
          <w:tcPr>
            <w:tcW w:w="1977"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16"/>
              <w:jc w:val="center"/>
              <w:rPr>
                <w:sz w:val="18"/>
              </w:rPr>
            </w:pPr>
            <w:r>
              <w:rPr>
                <w:spacing w:val="-4"/>
                <w:sz w:val="18"/>
              </w:rPr>
              <w:t>100%</w:t>
            </w:r>
          </w:p>
        </w:tc>
        <w:tc>
          <w:tcPr>
            <w:tcW w:w="1406" w:type="dxa"/>
          </w:tcPr>
          <w:p>
            <w:pPr>
              <w:pStyle w:val="TableParagraph"/>
              <w:ind w:left="69" w:right="81"/>
              <w:rPr>
                <w:sz w:val="18"/>
              </w:rPr>
            </w:pPr>
            <w:r>
              <w:rPr>
                <w:sz w:val="18"/>
              </w:rPr>
              <w:t>Porcentaje de gestiones de las solicitudes efectuadas por </w:t>
            </w:r>
            <w:r>
              <w:rPr>
                <w:spacing w:val="-4"/>
                <w:sz w:val="18"/>
              </w:rPr>
              <w:t>las </w:t>
            </w:r>
            <w:r>
              <w:rPr>
                <w:spacing w:val="-2"/>
                <w:sz w:val="18"/>
              </w:rPr>
              <w:t>dependencias </w:t>
            </w:r>
            <w:r>
              <w:rPr>
                <w:sz w:val="18"/>
              </w:rPr>
              <w:t>para el </w:t>
            </w:r>
            <w:r>
              <w:rPr>
                <w:spacing w:val="-2"/>
                <w:sz w:val="18"/>
              </w:rPr>
              <w:t>mantenimiento </w:t>
            </w:r>
            <w:r>
              <w:rPr>
                <w:sz w:val="18"/>
              </w:rPr>
              <w:t>y</w:t>
            </w:r>
            <w:r>
              <w:rPr>
                <w:spacing w:val="-15"/>
                <w:sz w:val="18"/>
              </w:rPr>
              <w:t> </w:t>
            </w:r>
            <w:r>
              <w:rPr>
                <w:sz w:val="18"/>
              </w:rPr>
              <w:t>reparación</w:t>
            </w:r>
            <w:r>
              <w:rPr>
                <w:spacing w:val="-12"/>
                <w:sz w:val="18"/>
              </w:rPr>
              <w:t> </w:t>
            </w:r>
            <w:r>
              <w:rPr>
                <w:sz w:val="18"/>
              </w:rPr>
              <w:t>de equipo de</w:t>
            </w:r>
          </w:p>
          <w:p>
            <w:pPr>
              <w:pStyle w:val="TableParagraph"/>
              <w:spacing w:line="187" w:lineRule="exact"/>
              <w:ind w:left="69"/>
              <w:rPr>
                <w:sz w:val="18"/>
              </w:rPr>
            </w:pPr>
            <w:r>
              <w:rPr>
                <w:spacing w:val="-2"/>
                <w:sz w:val="18"/>
              </w:rPr>
              <w:t>comunicación.</w:t>
            </w:r>
          </w:p>
        </w:tc>
        <w:tc>
          <w:tcPr>
            <w:tcW w:w="1833"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70" w:right="165"/>
              <w:rPr>
                <w:sz w:val="18"/>
              </w:rPr>
            </w:pPr>
            <w:r>
              <w:rPr>
                <w:sz w:val="18"/>
              </w:rPr>
              <w:t>SAP</w:t>
            </w:r>
            <w:r>
              <w:rPr>
                <w:spacing w:val="-13"/>
                <w:sz w:val="18"/>
              </w:rPr>
              <w:t> </w:t>
            </w:r>
            <w:r>
              <w:rPr>
                <w:sz w:val="18"/>
              </w:rPr>
              <w:t>Transacciones ejecutadas de la </w:t>
            </w:r>
            <w:r>
              <w:rPr>
                <w:spacing w:val="-2"/>
                <w:sz w:val="18"/>
              </w:rPr>
              <w:t>partida.</w:t>
            </w:r>
          </w:p>
        </w:tc>
        <w:tc>
          <w:tcPr>
            <w:tcW w:w="1329" w:type="dxa"/>
          </w:tcPr>
          <w:p>
            <w:pPr>
              <w:pStyle w:val="TableParagraph"/>
              <w:spacing w:before="99"/>
              <w:rPr>
                <w:b/>
                <w:sz w:val="18"/>
              </w:rPr>
            </w:pPr>
          </w:p>
          <w:p>
            <w:pPr>
              <w:pStyle w:val="TableParagraph"/>
              <w:ind w:left="75" w:right="43"/>
              <w:rPr>
                <w:sz w:val="18"/>
              </w:rPr>
            </w:pPr>
            <w:r>
              <w:rPr>
                <w:sz w:val="18"/>
              </w:rPr>
              <w:t>Jefatura de</w:t>
            </w:r>
            <w:r>
              <w:rPr>
                <w:spacing w:val="-3"/>
                <w:sz w:val="18"/>
              </w:rPr>
              <w:t> </w:t>
            </w:r>
            <w:r>
              <w:rPr>
                <w:sz w:val="18"/>
              </w:rPr>
              <w:t>TI, con el apoyo de personas o </w:t>
            </w:r>
            <w:r>
              <w:rPr>
                <w:spacing w:val="-2"/>
                <w:sz w:val="18"/>
              </w:rPr>
              <w:t>dependencias </w:t>
            </w:r>
            <w:r>
              <w:rPr>
                <w:sz w:val="18"/>
              </w:rPr>
              <w:t>con acceso a </w:t>
            </w:r>
            <w:r>
              <w:rPr>
                <w:spacing w:val="-2"/>
                <w:sz w:val="18"/>
              </w:rPr>
              <w:t>información presupuestaria </w:t>
            </w:r>
            <w:r>
              <w:rPr>
                <w:spacing w:val="-4"/>
                <w:sz w:val="18"/>
              </w:rPr>
              <w:t>SAP</w:t>
            </w:r>
          </w:p>
        </w:tc>
        <w:tc>
          <w:tcPr>
            <w:tcW w:w="1834"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right="45"/>
              <w:jc w:val="right"/>
              <w:rPr>
                <w:sz w:val="18"/>
              </w:rPr>
            </w:pPr>
            <w:r>
              <w:rPr>
                <w:sz w:val="18"/>
              </w:rPr>
              <w:t>₡79</w:t>
            </w:r>
            <w:r>
              <w:rPr>
                <w:spacing w:val="1"/>
                <w:sz w:val="18"/>
              </w:rPr>
              <w:t> </w:t>
            </w:r>
            <w:r>
              <w:rPr>
                <w:sz w:val="18"/>
              </w:rPr>
              <w:t>850</w:t>
            </w:r>
            <w:r>
              <w:rPr>
                <w:spacing w:val="-3"/>
                <w:sz w:val="18"/>
              </w:rPr>
              <w:t> </w:t>
            </w:r>
            <w:r>
              <w:rPr>
                <w:spacing w:val="-5"/>
                <w:sz w:val="18"/>
              </w:rPr>
              <w:t>000</w:t>
            </w:r>
          </w:p>
        </w:tc>
        <w:tc>
          <w:tcPr>
            <w:tcW w:w="1491"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3"/>
        <w:gridCol w:w="1550"/>
        <w:gridCol w:w="1977"/>
        <w:gridCol w:w="1406"/>
        <w:gridCol w:w="1833"/>
        <w:gridCol w:w="1329"/>
        <w:gridCol w:w="1835"/>
        <w:gridCol w:w="1490"/>
      </w:tblGrid>
      <w:tr>
        <w:trPr>
          <w:trHeight w:val="1094" w:hRule="atLeast"/>
        </w:trPr>
        <w:tc>
          <w:tcPr>
            <w:tcW w:w="2823" w:type="dxa"/>
            <w:shd w:val="clear" w:color="auto" w:fill="EDEBE0"/>
          </w:tcPr>
          <w:p>
            <w:pPr>
              <w:pStyle w:val="TableParagraph"/>
              <w:rPr>
                <w:b/>
                <w:sz w:val="18"/>
              </w:rPr>
            </w:pPr>
          </w:p>
          <w:p>
            <w:pPr>
              <w:pStyle w:val="TableParagraph"/>
              <w:spacing w:before="26"/>
              <w:rPr>
                <w:b/>
                <w:sz w:val="18"/>
              </w:rPr>
            </w:pPr>
          </w:p>
          <w:p>
            <w:pPr>
              <w:pStyle w:val="TableParagraph"/>
              <w:ind w:left="441"/>
              <w:rPr>
                <w:b/>
                <w:sz w:val="18"/>
              </w:rPr>
            </w:pPr>
            <w:r>
              <w:rPr>
                <w:b/>
                <w:sz w:val="18"/>
              </w:rPr>
              <w:t>Objetivos</w:t>
            </w:r>
            <w:r>
              <w:rPr>
                <w:b/>
                <w:spacing w:val="-5"/>
                <w:sz w:val="18"/>
              </w:rPr>
              <w:t> </w:t>
            </w:r>
            <w:r>
              <w:rPr>
                <w:b/>
                <w:sz w:val="18"/>
              </w:rPr>
              <w:t>/</w:t>
            </w:r>
            <w:r>
              <w:rPr>
                <w:b/>
                <w:spacing w:val="-2"/>
                <w:sz w:val="18"/>
              </w:rPr>
              <w:t> Resultados</w:t>
            </w:r>
          </w:p>
        </w:tc>
        <w:tc>
          <w:tcPr>
            <w:tcW w:w="1550" w:type="dxa"/>
            <w:shd w:val="clear" w:color="auto" w:fill="EDEBE0"/>
          </w:tcPr>
          <w:p>
            <w:pPr>
              <w:pStyle w:val="TableParagraph"/>
              <w:spacing w:before="132"/>
              <w:rPr>
                <w:b/>
                <w:sz w:val="18"/>
              </w:rPr>
            </w:pPr>
          </w:p>
          <w:p>
            <w:pPr>
              <w:pStyle w:val="TableParagraph"/>
              <w:ind w:left="513" w:hanging="216"/>
              <w:rPr>
                <w:b/>
                <w:sz w:val="18"/>
              </w:rPr>
            </w:pPr>
            <w:r>
              <w:rPr>
                <w:b/>
                <w:sz w:val="18"/>
              </w:rPr>
              <w:t>Línea</w:t>
            </w:r>
            <w:r>
              <w:rPr>
                <w:b/>
                <w:spacing w:val="-13"/>
                <w:sz w:val="18"/>
              </w:rPr>
              <w:t> </w:t>
            </w:r>
            <w:r>
              <w:rPr>
                <w:b/>
                <w:sz w:val="18"/>
              </w:rPr>
              <w:t>Base </w:t>
            </w:r>
            <w:r>
              <w:rPr>
                <w:b/>
                <w:spacing w:val="-2"/>
                <w:sz w:val="18"/>
              </w:rPr>
              <w:t>(2024)</w:t>
            </w:r>
          </w:p>
        </w:tc>
        <w:tc>
          <w:tcPr>
            <w:tcW w:w="1977" w:type="dxa"/>
            <w:shd w:val="clear" w:color="auto" w:fill="EDEBE0"/>
          </w:tcPr>
          <w:p>
            <w:pPr>
              <w:pStyle w:val="TableParagraph"/>
              <w:spacing w:before="132"/>
              <w:rPr>
                <w:b/>
                <w:sz w:val="18"/>
              </w:rPr>
            </w:pPr>
          </w:p>
          <w:p>
            <w:pPr>
              <w:pStyle w:val="TableParagraph"/>
              <w:ind w:left="788" w:hanging="553"/>
              <w:rPr>
                <w:b/>
                <w:sz w:val="18"/>
              </w:rPr>
            </w:pPr>
            <w:r>
              <w:rPr>
                <w:b/>
                <w:sz w:val="18"/>
              </w:rPr>
              <w:t>Meta</w:t>
            </w:r>
            <w:r>
              <w:rPr>
                <w:b/>
                <w:spacing w:val="-13"/>
                <w:sz w:val="18"/>
              </w:rPr>
              <w:t> </w:t>
            </w:r>
            <w:r>
              <w:rPr>
                <w:b/>
                <w:sz w:val="18"/>
              </w:rPr>
              <w:t>programada </w:t>
            </w:r>
            <w:r>
              <w:rPr>
                <w:b/>
                <w:spacing w:val="-4"/>
                <w:sz w:val="18"/>
              </w:rPr>
              <w:t>2026</w:t>
            </w:r>
          </w:p>
        </w:tc>
        <w:tc>
          <w:tcPr>
            <w:tcW w:w="1406" w:type="dxa"/>
            <w:shd w:val="clear" w:color="auto" w:fill="EDEBE0"/>
          </w:tcPr>
          <w:p>
            <w:pPr>
              <w:pStyle w:val="TableParagraph"/>
              <w:rPr>
                <w:b/>
                <w:sz w:val="18"/>
              </w:rPr>
            </w:pPr>
          </w:p>
          <w:p>
            <w:pPr>
              <w:pStyle w:val="TableParagraph"/>
              <w:spacing w:before="26"/>
              <w:rPr>
                <w:b/>
                <w:sz w:val="18"/>
              </w:rPr>
            </w:pPr>
          </w:p>
          <w:p>
            <w:pPr>
              <w:pStyle w:val="TableParagraph"/>
              <w:ind w:left="295"/>
              <w:rPr>
                <w:b/>
                <w:sz w:val="18"/>
              </w:rPr>
            </w:pPr>
            <w:r>
              <w:rPr>
                <w:b/>
                <w:spacing w:val="-2"/>
                <w:sz w:val="18"/>
              </w:rPr>
              <w:t>Indicador</w:t>
            </w:r>
          </w:p>
        </w:tc>
        <w:tc>
          <w:tcPr>
            <w:tcW w:w="1833" w:type="dxa"/>
            <w:shd w:val="clear" w:color="auto" w:fill="EDEBE0"/>
          </w:tcPr>
          <w:p>
            <w:pPr>
              <w:pStyle w:val="TableParagraph"/>
              <w:spacing w:before="132"/>
              <w:rPr>
                <w:b/>
                <w:sz w:val="18"/>
              </w:rPr>
            </w:pPr>
          </w:p>
          <w:p>
            <w:pPr>
              <w:pStyle w:val="TableParagraph"/>
              <w:ind w:left="415" w:right="1" w:firstLine="57"/>
              <w:rPr>
                <w:b/>
                <w:sz w:val="18"/>
              </w:rPr>
            </w:pPr>
            <w:r>
              <w:rPr>
                <w:b/>
                <w:sz w:val="18"/>
              </w:rPr>
              <w:t>Medios de </w:t>
            </w:r>
            <w:r>
              <w:rPr>
                <w:b/>
                <w:spacing w:val="-2"/>
                <w:sz w:val="18"/>
              </w:rPr>
              <w:t>verificación</w:t>
            </w:r>
          </w:p>
        </w:tc>
        <w:tc>
          <w:tcPr>
            <w:tcW w:w="1329" w:type="dxa"/>
            <w:shd w:val="clear" w:color="auto" w:fill="EDEBE0"/>
          </w:tcPr>
          <w:p>
            <w:pPr>
              <w:pStyle w:val="TableParagraph"/>
              <w:rPr>
                <w:b/>
                <w:sz w:val="18"/>
              </w:rPr>
            </w:pPr>
          </w:p>
          <w:p>
            <w:pPr>
              <w:pStyle w:val="TableParagraph"/>
              <w:spacing w:before="26"/>
              <w:rPr>
                <w:b/>
                <w:sz w:val="18"/>
              </w:rPr>
            </w:pPr>
          </w:p>
          <w:p>
            <w:pPr>
              <w:pStyle w:val="TableParagraph"/>
              <w:ind w:left="109"/>
              <w:rPr>
                <w:b/>
                <w:sz w:val="18"/>
              </w:rPr>
            </w:pPr>
            <w:r>
              <w:rPr>
                <w:b/>
                <w:spacing w:val="-2"/>
                <w:sz w:val="18"/>
              </w:rPr>
              <w:t>Responsable</w:t>
            </w:r>
          </w:p>
        </w:tc>
        <w:tc>
          <w:tcPr>
            <w:tcW w:w="1835" w:type="dxa"/>
            <w:shd w:val="clear" w:color="auto" w:fill="EDEBE0"/>
          </w:tcPr>
          <w:p>
            <w:pPr>
              <w:pStyle w:val="TableParagraph"/>
              <w:spacing w:before="132"/>
              <w:rPr>
                <w:b/>
                <w:sz w:val="18"/>
              </w:rPr>
            </w:pPr>
          </w:p>
          <w:p>
            <w:pPr>
              <w:pStyle w:val="TableParagraph"/>
              <w:ind w:left="528" w:hanging="154"/>
              <w:rPr>
                <w:b/>
                <w:sz w:val="18"/>
              </w:rPr>
            </w:pPr>
            <w:r>
              <w:rPr>
                <w:b/>
                <w:spacing w:val="-2"/>
                <w:sz w:val="18"/>
              </w:rPr>
              <w:t>Presupuesto asignado</w:t>
            </w:r>
          </w:p>
        </w:tc>
        <w:tc>
          <w:tcPr>
            <w:tcW w:w="1490" w:type="dxa"/>
            <w:tcBorders>
              <w:bottom w:val="nil"/>
            </w:tcBorders>
            <w:shd w:val="clear" w:color="auto" w:fill="EDEBE0"/>
          </w:tcPr>
          <w:p>
            <w:pPr>
              <w:pStyle w:val="TableParagraph"/>
              <w:spacing w:before="27"/>
              <w:rPr>
                <w:b/>
                <w:sz w:val="18"/>
              </w:rPr>
            </w:pPr>
          </w:p>
          <w:p>
            <w:pPr>
              <w:pStyle w:val="TableParagraph"/>
              <w:spacing w:line="242" w:lineRule="auto"/>
              <w:ind w:left="23"/>
              <w:jc w:val="center"/>
              <w:rPr>
                <w:b/>
                <w:sz w:val="18"/>
              </w:rPr>
            </w:pPr>
            <w:r>
              <w:rPr>
                <w:b/>
                <w:spacing w:val="-2"/>
                <w:sz w:val="18"/>
              </w:rPr>
              <w:t>Riesgos </w:t>
            </w:r>
            <w:r>
              <w:rPr>
                <w:b/>
                <w:sz w:val="18"/>
              </w:rPr>
              <w:t>asociados al </w:t>
            </w:r>
            <w:r>
              <w:rPr>
                <w:b/>
                <w:spacing w:val="-2"/>
                <w:sz w:val="18"/>
              </w:rPr>
              <w:t>cumplimiento</w:t>
            </w:r>
          </w:p>
        </w:tc>
      </w:tr>
      <w:tr>
        <w:trPr>
          <w:trHeight w:val="2068" w:hRule="atLeast"/>
        </w:trPr>
        <w:tc>
          <w:tcPr>
            <w:tcW w:w="282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2"/>
              <w:rPr>
                <w:sz w:val="18"/>
              </w:rPr>
            </w:pPr>
            <w:r>
              <w:rPr>
                <w:b/>
                <w:sz w:val="18"/>
              </w:rPr>
              <w:t>Producto</w:t>
            </w:r>
            <w:r>
              <w:rPr>
                <w:b/>
                <w:spacing w:val="-15"/>
                <w:sz w:val="18"/>
              </w:rPr>
              <w:t> </w:t>
            </w:r>
            <w:r>
              <w:rPr>
                <w:b/>
                <w:sz w:val="18"/>
              </w:rPr>
              <w:t>PAC</w:t>
            </w:r>
            <w:r>
              <w:rPr>
                <w:b/>
                <w:spacing w:val="-12"/>
                <w:sz w:val="18"/>
              </w:rPr>
              <w:t> </w:t>
            </w:r>
            <w:r>
              <w:rPr>
                <w:b/>
                <w:sz w:val="18"/>
              </w:rPr>
              <w:t>2.23.6:</w:t>
            </w:r>
            <w:r>
              <w:rPr>
                <w:b/>
                <w:spacing w:val="-11"/>
                <w:sz w:val="18"/>
              </w:rPr>
              <w:t> </w:t>
            </w:r>
            <w:r>
              <w:rPr>
                <w:sz w:val="18"/>
              </w:rPr>
              <w:t>Gestionar los servicios de tecnologías de información (partida 1.03.07) AC</w:t>
            </w:r>
          </w:p>
        </w:tc>
        <w:tc>
          <w:tcPr>
            <w:tcW w:w="155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0" w:right="11"/>
              <w:jc w:val="center"/>
              <w:rPr>
                <w:sz w:val="18"/>
              </w:rPr>
            </w:pPr>
            <w:r>
              <w:rPr>
                <w:spacing w:val="-4"/>
                <w:sz w:val="18"/>
              </w:rPr>
              <w:t>100%</w:t>
            </w:r>
          </w:p>
        </w:tc>
        <w:tc>
          <w:tcPr>
            <w:tcW w:w="19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6"/>
              <w:jc w:val="center"/>
              <w:rPr>
                <w:sz w:val="18"/>
              </w:rPr>
            </w:pPr>
            <w:r>
              <w:rPr>
                <w:spacing w:val="-4"/>
                <w:sz w:val="18"/>
              </w:rPr>
              <w:t>100%</w:t>
            </w:r>
          </w:p>
        </w:tc>
        <w:tc>
          <w:tcPr>
            <w:tcW w:w="1406" w:type="dxa"/>
          </w:tcPr>
          <w:p>
            <w:pPr>
              <w:pStyle w:val="TableParagraph"/>
              <w:ind w:left="69" w:right="129"/>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los servicios de</w:t>
            </w:r>
          </w:p>
          <w:p>
            <w:pPr>
              <w:pStyle w:val="TableParagraph"/>
              <w:spacing w:line="206" w:lineRule="exact"/>
              <w:ind w:left="69"/>
              <w:rPr>
                <w:sz w:val="18"/>
              </w:rPr>
            </w:pPr>
            <w:r>
              <w:rPr>
                <w:sz w:val="18"/>
              </w:rPr>
              <w:t>tecnologías</w:t>
            </w:r>
            <w:r>
              <w:rPr>
                <w:spacing w:val="-13"/>
                <w:sz w:val="18"/>
              </w:rPr>
              <w:t> </w:t>
            </w:r>
            <w:r>
              <w:rPr>
                <w:sz w:val="18"/>
              </w:rPr>
              <w:t>de </w:t>
            </w:r>
            <w:r>
              <w:rPr>
                <w:spacing w:val="-2"/>
                <w:sz w:val="18"/>
              </w:rPr>
              <w:t>información.</w:t>
            </w:r>
          </w:p>
        </w:tc>
        <w:tc>
          <w:tcPr>
            <w:tcW w:w="183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0" w:right="165"/>
              <w:rPr>
                <w:sz w:val="18"/>
              </w:rPr>
            </w:pPr>
            <w:r>
              <w:rPr>
                <w:sz w:val="18"/>
              </w:rPr>
              <w:t>SAP</w:t>
            </w:r>
            <w:r>
              <w:rPr>
                <w:spacing w:val="-13"/>
                <w:sz w:val="18"/>
              </w:rPr>
              <w:t> </w:t>
            </w:r>
            <w:r>
              <w:rPr>
                <w:sz w:val="18"/>
              </w:rPr>
              <w:t>Transacciones ejecutadas de la </w:t>
            </w:r>
            <w:r>
              <w:rPr>
                <w:spacing w:val="-2"/>
                <w:sz w:val="18"/>
              </w:rPr>
              <w:t>partida.</w:t>
            </w:r>
          </w:p>
        </w:tc>
        <w:tc>
          <w:tcPr>
            <w:tcW w:w="1329" w:type="dxa"/>
          </w:tcPr>
          <w:p>
            <w:pPr>
              <w:pStyle w:val="TableParagraph"/>
              <w:spacing w:before="205"/>
              <w:ind w:left="75" w:right="43"/>
              <w:rPr>
                <w:sz w:val="18"/>
              </w:rPr>
            </w:pPr>
            <w:r>
              <w:rPr>
                <w:sz w:val="18"/>
              </w:rPr>
              <w:t>Jefatura de</w:t>
            </w:r>
            <w:r>
              <w:rPr>
                <w:spacing w:val="-3"/>
                <w:sz w:val="18"/>
              </w:rPr>
              <w:t> </w:t>
            </w:r>
            <w:r>
              <w:rPr>
                <w:sz w:val="18"/>
              </w:rPr>
              <w:t>TI, con el apoyo de personas o </w:t>
            </w:r>
            <w:r>
              <w:rPr>
                <w:spacing w:val="-2"/>
                <w:sz w:val="18"/>
              </w:rPr>
              <w:t>dependencias </w:t>
            </w:r>
            <w:r>
              <w:rPr>
                <w:sz w:val="18"/>
              </w:rPr>
              <w:t>con acceso a </w:t>
            </w:r>
            <w:r>
              <w:rPr>
                <w:spacing w:val="-2"/>
                <w:sz w:val="18"/>
              </w:rPr>
              <w:t>información presupuestaria </w:t>
            </w:r>
            <w:r>
              <w:rPr>
                <w:spacing w:val="-4"/>
                <w:sz w:val="18"/>
              </w:rPr>
              <w:t>SAP</w:t>
            </w:r>
          </w:p>
        </w:tc>
        <w:tc>
          <w:tcPr>
            <w:tcW w:w="1835"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47"/>
              <w:jc w:val="right"/>
              <w:rPr>
                <w:sz w:val="18"/>
              </w:rPr>
            </w:pPr>
            <w:r>
              <w:rPr>
                <w:sz w:val="18"/>
              </w:rPr>
              <w:t>₡839</w:t>
            </w:r>
            <w:r>
              <w:rPr>
                <w:spacing w:val="1"/>
                <w:sz w:val="18"/>
              </w:rPr>
              <w:t> </w:t>
            </w:r>
            <w:r>
              <w:rPr>
                <w:sz w:val="18"/>
              </w:rPr>
              <w:t>972</w:t>
            </w:r>
            <w:r>
              <w:rPr>
                <w:spacing w:val="-3"/>
                <w:sz w:val="18"/>
              </w:rPr>
              <w:t> </w:t>
            </w:r>
            <w:r>
              <w:rPr>
                <w:spacing w:val="-5"/>
                <w:sz w:val="18"/>
              </w:rPr>
              <w:t>500</w:t>
            </w:r>
          </w:p>
        </w:tc>
        <w:tc>
          <w:tcPr>
            <w:tcW w:w="1490" w:type="dxa"/>
            <w:vMerge w:val="restart"/>
            <w:tcBorders>
              <w:top w:val="nil"/>
            </w:tcBorders>
          </w:tcPr>
          <w:p>
            <w:pPr>
              <w:pStyle w:val="TableParagraph"/>
              <w:rPr>
                <w:rFonts w:ascii="Times New Roman"/>
                <w:sz w:val="18"/>
              </w:rPr>
            </w:pPr>
          </w:p>
        </w:tc>
      </w:tr>
      <w:tr>
        <w:trPr>
          <w:trHeight w:val="1867" w:hRule="atLeast"/>
        </w:trPr>
        <w:tc>
          <w:tcPr>
            <w:tcW w:w="2823"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2" w:right="75"/>
              <w:jc w:val="both"/>
              <w:rPr>
                <w:sz w:val="18"/>
              </w:rPr>
            </w:pPr>
            <w:r>
              <w:rPr>
                <w:b/>
                <w:sz w:val="18"/>
              </w:rPr>
              <w:t>Producto</w:t>
            </w:r>
            <w:r>
              <w:rPr>
                <w:b/>
                <w:spacing w:val="-15"/>
                <w:sz w:val="18"/>
              </w:rPr>
              <w:t> </w:t>
            </w:r>
            <w:r>
              <w:rPr>
                <w:b/>
                <w:sz w:val="18"/>
              </w:rPr>
              <w:t>PAC</w:t>
            </w:r>
            <w:r>
              <w:rPr>
                <w:b/>
                <w:spacing w:val="-12"/>
                <w:sz w:val="18"/>
              </w:rPr>
              <w:t> </w:t>
            </w:r>
            <w:r>
              <w:rPr>
                <w:b/>
                <w:sz w:val="18"/>
              </w:rPr>
              <w:t>2.23.7:</w:t>
            </w:r>
            <w:r>
              <w:rPr>
                <w:b/>
                <w:spacing w:val="-10"/>
                <w:sz w:val="18"/>
              </w:rPr>
              <w:t> </w:t>
            </w:r>
            <w:r>
              <w:rPr>
                <w:sz w:val="18"/>
              </w:rPr>
              <w:t>Gestionar los</w:t>
            </w:r>
            <w:r>
              <w:rPr>
                <w:spacing w:val="-13"/>
                <w:sz w:val="18"/>
              </w:rPr>
              <w:t> </w:t>
            </w:r>
            <w:r>
              <w:rPr>
                <w:sz w:val="18"/>
              </w:rPr>
              <w:t>servicios</w:t>
            </w:r>
            <w:r>
              <w:rPr>
                <w:spacing w:val="-10"/>
                <w:sz w:val="18"/>
              </w:rPr>
              <w:t> </w:t>
            </w:r>
            <w:r>
              <w:rPr>
                <w:sz w:val="18"/>
              </w:rPr>
              <w:t>informáticos</w:t>
            </w:r>
            <w:r>
              <w:rPr>
                <w:spacing w:val="-13"/>
                <w:sz w:val="18"/>
              </w:rPr>
              <w:t> </w:t>
            </w:r>
            <w:r>
              <w:rPr>
                <w:sz w:val="18"/>
              </w:rPr>
              <w:t>(partida 1.04.05) AC</w:t>
            </w:r>
          </w:p>
        </w:tc>
        <w:tc>
          <w:tcPr>
            <w:tcW w:w="155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0" w:right="11"/>
              <w:jc w:val="center"/>
              <w:rPr>
                <w:sz w:val="18"/>
              </w:rPr>
            </w:pPr>
            <w:r>
              <w:rPr>
                <w:spacing w:val="-4"/>
                <w:sz w:val="18"/>
              </w:rPr>
              <w:t>100%</w:t>
            </w:r>
          </w:p>
        </w:tc>
        <w:tc>
          <w:tcPr>
            <w:tcW w:w="197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16"/>
              <w:jc w:val="center"/>
              <w:rPr>
                <w:sz w:val="18"/>
              </w:rPr>
            </w:pPr>
            <w:r>
              <w:rPr>
                <w:spacing w:val="-4"/>
                <w:sz w:val="18"/>
              </w:rPr>
              <w:t>100%</w:t>
            </w:r>
          </w:p>
        </w:tc>
        <w:tc>
          <w:tcPr>
            <w:tcW w:w="1406" w:type="dxa"/>
          </w:tcPr>
          <w:p>
            <w:pPr>
              <w:pStyle w:val="TableParagraph"/>
              <w:ind w:left="69" w:right="129"/>
              <w:rPr>
                <w:sz w:val="18"/>
              </w:rPr>
            </w:pPr>
            <w:r>
              <w:rPr>
                <w:sz w:val="18"/>
              </w:rPr>
              <w:t>Porcentaje de gestiones de las solicitudes efectuadas</w:t>
            </w:r>
            <w:r>
              <w:rPr>
                <w:spacing w:val="-13"/>
                <w:sz w:val="18"/>
              </w:rPr>
              <w:t> </w:t>
            </w:r>
            <w:r>
              <w:rPr>
                <w:sz w:val="18"/>
              </w:rPr>
              <w:t>por </w:t>
            </w:r>
            <w:r>
              <w:rPr>
                <w:spacing w:val="-4"/>
                <w:sz w:val="18"/>
              </w:rPr>
              <w:t>las </w:t>
            </w:r>
            <w:r>
              <w:rPr>
                <w:spacing w:val="-2"/>
                <w:sz w:val="18"/>
              </w:rPr>
              <w:t>dependencias </w:t>
            </w:r>
            <w:r>
              <w:rPr>
                <w:sz w:val="18"/>
              </w:rPr>
              <w:t>para los</w:t>
            </w:r>
          </w:p>
          <w:p>
            <w:pPr>
              <w:pStyle w:val="TableParagraph"/>
              <w:spacing w:line="206" w:lineRule="exact"/>
              <w:ind w:left="69"/>
              <w:rPr>
                <w:sz w:val="18"/>
              </w:rPr>
            </w:pPr>
            <w:r>
              <w:rPr>
                <w:spacing w:val="-2"/>
                <w:sz w:val="18"/>
              </w:rPr>
              <w:t>servicios informáticos.</w:t>
            </w:r>
          </w:p>
        </w:tc>
        <w:tc>
          <w:tcPr>
            <w:tcW w:w="1833"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0" w:right="165"/>
              <w:rPr>
                <w:sz w:val="18"/>
              </w:rPr>
            </w:pPr>
            <w:r>
              <w:rPr>
                <w:sz w:val="18"/>
              </w:rPr>
              <w:t>SAP</w:t>
            </w:r>
            <w:r>
              <w:rPr>
                <w:spacing w:val="-13"/>
                <w:sz w:val="18"/>
              </w:rPr>
              <w:t> </w:t>
            </w:r>
            <w:r>
              <w:rPr>
                <w:sz w:val="18"/>
              </w:rPr>
              <w:t>Transacciones ejecutadas de la </w:t>
            </w:r>
            <w:r>
              <w:rPr>
                <w:spacing w:val="-2"/>
                <w:sz w:val="18"/>
              </w:rPr>
              <w:t>partida.</w:t>
            </w:r>
          </w:p>
        </w:tc>
        <w:tc>
          <w:tcPr>
            <w:tcW w:w="1329" w:type="dxa"/>
          </w:tcPr>
          <w:p>
            <w:pPr>
              <w:pStyle w:val="TableParagraph"/>
              <w:spacing w:before="105"/>
              <w:ind w:left="75" w:right="43"/>
              <w:rPr>
                <w:sz w:val="18"/>
              </w:rPr>
            </w:pPr>
            <w:r>
              <w:rPr>
                <w:sz w:val="18"/>
              </w:rPr>
              <w:t>Jefatura de</w:t>
            </w:r>
            <w:r>
              <w:rPr>
                <w:spacing w:val="-3"/>
                <w:sz w:val="18"/>
              </w:rPr>
              <w:t> </w:t>
            </w:r>
            <w:r>
              <w:rPr>
                <w:sz w:val="18"/>
              </w:rPr>
              <w:t>TI, con el apoyo de personas o </w:t>
            </w:r>
            <w:r>
              <w:rPr>
                <w:spacing w:val="-2"/>
                <w:sz w:val="18"/>
              </w:rPr>
              <w:t>dependencias </w:t>
            </w:r>
            <w:r>
              <w:rPr>
                <w:sz w:val="18"/>
              </w:rPr>
              <w:t>con acceso a </w:t>
            </w:r>
            <w:r>
              <w:rPr>
                <w:spacing w:val="-2"/>
                <w:sz w:val="18"/>
              </w:rPr>
              <w:t>información presupuestaria </w:t>
            </w:r>
            <w:r>
              <w:rPr>
                <w:spacing w:val="-4"/>
                <w:sz w:val="18"/>
              </w:rPr>
              <w:t>SAP</w:t>
            </w:r>
          </w:p>
        </w:tc>
        <w:tc>
          <w:tcPr>
            <w:tcW w:w="1835"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47"/>
              <w:jc w:val="right"/>
              <w:rPr>
                <w:sz w:val="18"/>
              </w:rPr>
            </w:pPr>
            <w:r>
              <w:rPr>
                <w:sz w:val="18"/>
              </w:rPr>
              <w:t>₡813</w:t>
            </w:r>
            <w:r>
              <w:rPr>
                <w:spacing w:val="1"/>
                <w:sz w:val="18"/>
              </w:rPr>
              <w:t> </w:t>
            </w:r>
            <w:r>
              <w:rPr>
                <w:sz w:val="18"/>
              </w:rPr>
              <w:t>000</w:t>
            </w:r>
            <w:r>
              <w:rPr>
                <w:spacing w:val="-3"/>
                <w:sz w:val="18"/>
              </w:rPr>
              <w:t> </w:t>
            </w:r>
            <w:r>
              <w:rPr>
                <w:spacing w:val="-5"/>
                <w:sz w:val="18"/>
              </w:rPr>
              <w:t>000</w:t>
            </w:r>
          </w:p>
        </w:tc>
        <w:tc>
          <w:tcPr>
            <w:tcW w:w="1490" w:type="dxa"/>
            <w:vMerge/>
            <w:tcBorders>
              <w:top w:val="nil"/>
            </w:tcBorders>
          </w:tcPr>
          <w:p>
            <w:pPr>
              <w:rPr>
                <w:sz w:val="2"/>
                <w:szCs w:val="2"/>
              </w:rPr>
            </w:pPr>
          </w:p>
        </w:tc>
      </w:tr>
    </w:tbl>
    <w:p>
      <w:pPr>
        <w:spacing w:after="0"/>
        <w:rPr>
          <w:sz w:val="2"/>
          <w:szCs w:val="2"/>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3"/>
        <w:gridCol w:w="1387"/>
        <w:gridCol w:w="1181"/>
        <w:gridCol w:w="2165"/>
        <w:gridCol w:w="1805"/>
        <w:gridCol w:w="1498"/>
        <w:gridCol w:w="1398"/>
        <w:gridCol w:w="2058"/>
      </w:tblGrid>
      <w:tr>
        <w:trPr>
          <w:trHeight w:val="820" w:hRule="atLeast"/>
        </w:trPr>
        <w:tc>
          <w:tcPr>
            <w:tcW w:w="2823" w:type="dxa"/>
            <w:shd w:val="clear" w:color="auto" w:fill="D9D9D9"/>
          </w:tcPr>
          <w:p>
            <w:pPr>
              <w:pStyle w:val="TableParagraph"/>
              <w:spacing w:before="99"/>
              <w:rPr>
                <w:b/>
                <w:sz w:val="18"/>
              </w:rPr>
            </w:pPr>
          </w:p>
          <w:p>
            <w:pPr>
              <w:pStyle w:val="TableParagraph"/>
              <w:ind w:left="441"/>
              <w:rPr>
                <w:b/>
                <w:sz w:val="18"/>
              </w:rPr>
            </w:pPr>
            <w:r>
              <w:rPr>
                <w:b/>
                <w:sz w:val="18"/>
              </w:rPr>
              <w:t>Objetivos</w:t>
            </w:r>
            <w:r>
              <w:rPr>
                <w:b/>
                <w:spacing w:val="-5"/>
                <w:sz w:val="18"/>
              </w:rPr>
              <w:t> </w:t>
            </w:r>
            <w:r>
              <w:rPr>
                <w:b/>
                <w:sz w:val="18"/>
              </w:rPr>
              <w:t>/</w:t>
            </w:r>
            <w:r>
              <w:rPr>
                <w:b/>
                <w:spacing w:val="-2"/>
                <w:sz w:val="18"/>
              </w:rPr>
              <w:t> Resultados</w:t>
            </w:r>
          </w:p>
        </w:tc>
        <w:tc>
          <w:tcPr>
            <w:tcW w:w="1387" w:type="dxa"/>
            <w:shd w:val="clear" w:color="auto" w:fill="D9D9D9"/>
          </w:tcPr>
          <w:p>
            <w:pPr>
              <w:pStyle w:val="TableParagraph"/>
              <w:spacing w:line="244" w:lineRule="auto" w:before="200"/>
              <w:ind w:left="436" w:hanging="216"/>
              <w:rPr>
                <w:b/>
                <w:sz w:val="18"/>
              </w:rPr>
            </w:pPr>
            <w:r>
              <w:rPr>
                <w:b/>
                <w:sz w:val="18"/>
              </w:rPr>
              <w:t>Línea</w:t>
            </w:r>
            <w:r>
              <w:rPr>
                <w:b/>
                <w:spacing w:val="-13"/>
                <w:sz w:val="18"/>
              </w:rPr>
              <w:t> </w:t>
            </w:r>
            <w:r>
              <w:rPr>
                <w:b/>
                <w:sz w:val="18"/>
              </w:rPr>
              <w:t>Base </w:t>
            </w:r>
            <w:r>
              <w:rPr>
                <w:b/>
                <w:spacing w:val="-2"/>
                <w:sz w:val="18"/>
              </w:rPr>
              <w:t>(2023)</w:t>
            </w:r>
          </w:p>
        </w:tc>
        <w:tc>
          <w:tcPr>
            <w:tcW w:w="1181" w:type="dxa"/>
            <w:shd w:val="clear" w:color="auto" w:fill="D9D9D9"/>
          </w:tcPr>
          <w:p>
            <w:pPr>
              <w:pStyle w:val="TableParagraph"/>
              <w:spacing w:before="99"/>
              <w:ind w:left="72" w:right="49" w:hanging="10"/>
              <w:jc w:val="center"/>
              <w:rPr>
                <w:b/>
                <w:sz w:val="18"/>
              </w:rPr>
            </w:pPr>
            <w:r>
              <w:rPr>
                <w:b/>
                <w:spacing w:val="-4"/>
                <w:sz w:val="18"/>
              </w:rPr>
              <w:t>Meta </w:t>
            </w:r>
            <w:r>
              <w:rPr>
                <w:b/>
                <w:spacing w:val="-2"/>
                <w:sz w:val="18"/>
              </w:rPr>
              <w:t>programada </w:t>
            </w:r>
            <w:r>
              <w:rPr>
                <w:b/>
                <w:spacing w:val="-4"/>
                <w:sz w:val="18"/>
              </w:rPr>
              <w:t>2026</w:t>
            </w:r>
          </w:p>
        </w:tc>
        <w:tc>
          <w:tcPr>
            <w:tcW w:w="2165" w:type="dxa"/>
            <w:shd w:val="clear" w:color="auto" w:fill="D9D9D9"/>
          </w:tcPr>
          <w:p>
            <w:pPr>
              <w:pStyle w:val="TableParagraph"/>
              <w:spacing w:before="99"/>
              <w:rPr>
                <w:b/>
                <w:sz w:val="18"/>
              </w:rPr>
            </w:pPr>
          </w:p>
          <w:p>
            <w:pPr>
              <w:pStyle w:val="TableParagraph"/>
              <w:ind w:left="677"/>
              <w:rPr>
                <w:b/>
                <w:sz w:val="18"/>
              </w:rPr>
            </w:pPr>
            <w:r>
              <w:rPr>
                <w:b/>
                <w:spacing w:val="-2"/>
                <w:sz w:val="18"/>
              </w:rPr>
              <w:t>Indicador</w:t>
            </w:r>
          </w:p>
        </w:tc>
        <w:tc>
          <w:tcPr>
            <w:tcW w:w="1805" w:type="dxa"/>
            <w:shd w:val="clear" w:color="auto" w:fill="D9D9D9"/>
          </w:tcPr>
          <w:p>
            <w:pPr>
              <w:pStyle w:val="TableParagraph"/>
              <w:spacing w:line="244" w:lineRule="auto" w:before="200"/>
              <w:ind w:left="404" w:right="30" w:firstLine="57"/>
              <w:rPr>
                <w:b/>
                <w:sz w:val="18"/>
              </w:rPr>
            </w:pPr>
            <w:r>
              <w:rPr>
                <w:b/>
                <w:sz w:val="18"/>
              </w:rPr>
              <w:t>Medios de </w:t>
            </w:r>
            <w:r>
              <w:rPr>
                <w:b/>
                <w:spacing w:val="-2"/>
                <w:sz w:val="18"/>
              </w:rPr>
              <w:t>verificación</w:t>
            </w:r>
          </w:p>
        </w:tc>
        <w:tc>
          <w:tcPr>
            <w:tcW w:w="1498" w:type="dxa"/>
            <w:shd w:val="clear" w:color="auto" w:fill="D9D9D9"/>
          </w:tcPr>
          <w:p>
            <w:pPr>
              <w:pStyle w:val="TableParagraph"/>
              <w:spacing w:before="99"/>
              <w:rPr>
                <w:b/>
                <w:sz w:val="18"/>
              </w:rPr>
            </w:pPr>
          </w:p>
          <w:p>
            <w:pPr>
              <w:pStyle w:val="TableParagraph"/>
              <w:ind w:left="188"/>
              <w:rPr>
                <w:b/>
                <w:sz w:val="18"/>
              </w:rPr>
            </w:pPr>
            <w:r>
              <w:rPr>
                <w:b/>
                <w:spacing w:val="-2"/>
                <w:sz w:val="18"/>
              </w:rPr>
              <w:t>Responsable</w:t>
            </w:r>
          </w:p>
        </w:tc>
        <w:tc>
          <w:tcPr>
            <w:tcW w:w="1398" w:type="dxa"/>
            <w:shd w:val="clear" w:color="auto" w:fill="D9D9D9"/>
          </w:tcPr>
          <w:p>
            <w:pPr>
              <w:pStyle w:val="TableParagraph"/>
              <w:spacing w:line="244" w:lineRule="auto" w:before="200"/>
              <w:ind w:left="304" w:hanging="149"/>
              <w:rPr>
                <w:b/>
                <w:sz w:val="18"/>
              </w:rPr>
            </w:pPr>
            <w:r>
              <w:rPr>
                <w:b/>
                <w:spacing w:val="-2"/>
                <w:sz w:val="18"/>
              </w:rPr>
              <w:t>Presupuesto asignado</w:t>
            </w:r>
          </w:p>
        </w:tc>
        <w:tc>
          <w:tcPr>
            <w:tcW w:w="2058" w:type="dxa"/>
            <w:shd w:val="clear" w:color="auto" w:fill="D9D9D9"/>
          </w:tcPr>
          <w:p>
            <w:pPr>
              <w:pStyle w:val="TableParagraph"/>
              <w:spacing w:before="99"/>
              <w:rPr>
                <w:b/>
                <w:sz w:val="18"/>
              </w:rPr>
            </w:pPr>
          </w:p>
          <w:p>
            <w:pPr>
              <w:pStyle w:val="TableParagraph"/>
              <w:ind w:left="677"/>
              <w:rPr>
                <w:b/>
                <w:sz w:val="18"/>
              </w:rPr>
            </w:pPr>
            <w:r>
              <w:rPr>
                <w:b/>
                <w:spacing w:val="-2"/>
                <w:sz w:val="18"/>
              </w:rPr>
              <w:t>Riesgos</w:t>
            </w:r>
          </w:p>
        </w:tc>
      </w:tr>
      <w:tr>
        <w:trPr>
          <w:trHeight w:val="662" w:hRule="atLeast"/>
        </w:trPr>
        <w:tc>
          <w:tcPr>
            <w:tcW w:w="14315" w:type="dxa"/>
            <w:gridSpan w:val="8"/>
            <w:shd w:val="clear" w:color="auto" w:fill="F1F1F1"/>
          </w:tcPr>
          <w:p>
            <w:pPr>
              <w:pStyle w:val="TableParagraph"/>
              <w:spacing w:before="124"/>
              <w:ind w:left="72"/>
              <w:rPr>
                <w:b/>
                <w:sz w:val="18"/>
              </w:rPr>
            </w:pPr>
            <w:r>
              <w:rPr>
                <w:b/>
                <w:sz w:val="18"/>
              </w:rPr>
              <w:t>Eje 1:</w:t>
            </w:r>
            <w:r>
              <w:rPr>
                <w:b/>
                <w:spacing w:val="-2"/>
                <w:sz w:val="18"/>
              </w:rPr>
              <w:t> </w:t>
            </w:r>
            <w:r>
              <w:rPr>
                <w:b/>
                <w:sz w:val="18"/>
              </w:rPr>
              <w:t>Objetivo:</w:t>
            </w:r>
            <w:r>
              <w:rPr>
                <w:b/>
                <w:spacing w:val="-2"/>
                <w:sz w:val="18"/>
              </w:rPr>
              <w:t> </w:t>
            </w:r>
            <w:r>
              <w:rPr>
                <w:b/>
                <w:sz w:val="18"/>
              </w:rPr>
              <w:t>Desarrollar procesos administrativos, gerenciales,</w:t>
            </w:r>
            <w:r>
              <w:rPr>
                <w:b/>
                <w:spacing w:val="-2"/>
                <w:sz w:val="18"/>
              </w:rPr>
              <w:t> </w:t>
            </w:r>
            <w:r>
              <w:rPr>
                <w:b/>
                <w:sz w:val="18"/>
              </w:rPr>
              <w:t>financieros y</w:t>
            </w:r>
            <w:r>
              <w:rPr>
                <w:b/>
                <w:spacing w:val="-4"/>
                <w:sz w:val="18"/>
              </w:rPr>
              <w:t> </w:t>
            </w:r>
            <w:r>
              <w:rPr>
                <w:b/>
                <w:sz w:val="18"/>
              </w:rPr>
              <w:t>tecnológicos que</w:t>
            </w:r>
            <w:r>
              <w:rPr>
                <w:b/>
                <w:spacing w:val="-4"/>
                <w:sz w:val="18"/>
              </w:rPr>
              <w:t> </w:t>
            </w:r>
            <w:r>
              <w:rPr>
                <w:b/>
                <w:sz w:val="18"/>
              </w:rPr>
              <w:t>faciliten</w:t>
            </w:r>
            <w:r>
              <w:rPr>
                <w:b/>
                <w:spacing w:val="-9"/>
                <w:sz w:val="18"/>
              </w:rPr>
              <w:t> </w:t>
            </w:r>
            <w:r>
              <w:rPr>
                <w:b/>
                <w:sz w:val="18"/>
              </w:rPr>
              <w:t>la adaptabilidad del</w:t>
            </w:r>
            <w:r>
              <w:rPr>
                <w:b/>
                <w:spacing w:val="-6"/>
                <w:sz w:val="18"/>
              </w:rPr>
              <w:t> </w:t>
            </w:r>
            <w:r>
              <w:rPr>
                <w:b/>
                <w:sz w:val="18"/>
              </w:rPr>
              <w:t>IMAS</w:t>
            </w:r>
            <w:r>
              <w:rPr>
                <w:b/>
                <w:spacing w:val="-5"/>
                <w:sz w:val="18"/>
              </w:rPr>
              <w:t> </w:t>
            </w:r>
            <w:r>
              <w:rPr>
                <w:b/>
                <w:sz w:val="18"/>
              </w:rPr>
              <w:t>a</w:t>
            </w:r>
            <w:r>
              <w:rPr>
                <w:b/>
                <w:spacing w:val="-4"/>
                <w:sz w:val="18"/>
              </w:rPr>
              <w:t> </w:t>
            </w:r>
            <w:r>
              <w:rPr>
                <w:b/>
                <w:sz w:val="18"/>
              </w:rPr>
              <w:t>los</w:t>
            </w:r>
            <w:r>
              <w:rPr>
                <w:b/>
                <w:spacing w:val="-4"/>
                <w:sz w:val="18"/>
              </w:rPr>
              <w:t> </w:t>
            </w:r>
            <w:r>
              <w:rPr>
                <w:b/>
                <w:sz w:val="18"/>
              </w:rPr>
              <w:t>cambios del</w:t>
            </w:r>
            <w:r>
              <w:rPr>
                <w:b/>
                <w:spacing w:val="-2"/>
                <w:sz w:val="18"/>
              </w:rPr>
              <w:t> </w:t>
            </w:r>
            <w:r>
              <w:rPr>
                <w:b/>
                <w:sz w:val="18"/>
              </w:rPr>
              <w:t>entorno,</w:t>
            </w:r>
            <w:r>
              <w:rPr>
                <w:b/>
                <w:spacing w:val="-2"/>
                <w:sz w:val="18"/>
              </w:rPr>
              <w:t> </w:t>
            </w:r>
            <w:r>
              <w:rPr>
                <w:b/>
                <w:sz w:val="18"/>
              </w:rPr>
              <w:t>para una efectiva entrega de bienes y servicios oportunos, de</w:t>
            </w:r>
            <w:r>
              <w:rPr>
                <w:b/>
                <w:spacing w:val="-4"/>
                <w:sz w:val="18"/>
              </w:rPr>
              <w:t> </w:t>
            </w:r>
            <w:r>
              <w:rPr>
                <w:b/>
                <w:sz w:val="18"/>
              </w:rPr>
              <w:t>calidad y con</w:t>
            </w:r>
            <w:r>
              <w:rPr>
                <w:b/>
                <w:spacing w:val="-4"/>
                <w:sz w:val="18"/>
              </w:rPr>
              <w:t> </w:t>
            </w:r>
            <w:r>
              <w:rPr>
                <w:b/>
                <w:sz w:val="18"/>
              </w:rPr>
              <w:t>impacto para el desarrollo de los hogares en condición de pobreza del país.</w:t>
            </w:r>
          </w:p>
        </w:tc>
      </w:tr>
      <w:tr>
        <w:trPr>
          <w:trHeight w:val="460" w:hRule="atLeast"/>
        </w:trPr>
        <w:tc>
          <w:tcPr>
            <w:tcW w:w="14315" w:type="dxa"/>
            <w:gridSpan w:val="8"/>
            <w:shd w:val="clear" w:color="auto" w:fill="EFF8F9"/>
          </w:tcPr>
          <w:p>
            <w:pPr>
              <w:pStyle w:val="TableParagraph"/>
              <w:spacing w:before="123"/>
              <w:ind w:left="72"/>
              <w:rPr>
                <w:b/>
                <w:sz w:val="18"/>
              </w:rPr>
            </w:pPr>
            <w:r>
              <w:rPr>
                <w:b/>
                <w:sz w:val="18"/>
              </w:rPr>
              <w:t>Producto</w:t>
            </w:r>
            <w:r>
              <w:rPr>
                <w:b/>
                <w:spacing w:val="-8"/>
                <w:sz w:val="18"/>
              </w:rPr>
              <w:t> </w:t>
            </w:r>
            <w:r>
              <w:rPr>
                <w:b/>
                <w:sz w:val="18"/>
              </w:rPr>
              <w:t>PAC</w:t>
            </w:r>
            <w:r>
              <w:rPr>
                <w:b/>
                <w:spacing w:val="-9"/>
                <w:sz w:val="18"/>
              </w:rPr>
              <w:t> </w:t>
            </w:r>
            <w:r>
              <w:rPr>
                <w:b/>
                <w:sz w:val="18"/>
              </w:rPr>
              <w:t>2.24:</w:t>
            </w:r>
            <w:r>
              <w:rPr>
                <w:b/>
                <w:spacing w:val="-6"/>
                <w:sz w:val="18"/>
              </w:rPr>
              <w:t> </w:t>
            </w:r>
            <w:r>
              <w:rPr>
                <w:b/>
                <w:sz w:val="18"/>
              </w:rPr>
              <w:t>Metodología</w:t>
            </w:r>
            <w:r>
              <w:rPr>
                <w:b/>
                <w:spacing w:val="-3"/>
                <w:sz w:val="18"/>
              </w:rPr>
              <w:t> </w:t>
            </w:r>
            <w:r>
              <w:rPr>
                <w:b/>
                <w:sz w:val="18"/>
              </w:rPr>
              <w:t>de</w:t>
            </w:r>
            <w:r>
              <w:rPr>
                <w:b/>
                <w:spacing w:val="-3"/>
                <w:sz w:val="18"/>
              </w:rPr>
              <w:t> </w:t>
            </w:r>
            <w:r>
              <w:rPr>
                <w:b/>
                <w:sz w:val="18"/>
              </w:rPr>
              <w:t>presupuestación</w:t>
            </w:r>
            <w:r>
              <w:rPr>
                <w:b/>
                <w:spacing w:val="-8"/>
                <w:sz w:val="18"/>
              </w:rPr>
              <w:t> </w:t>
            </w:r>
            <w:r>
              <w:rPr>
                <w:b/>
                <w:sz w:val="18"/>
              </w:rPr>
              <w:t>territorial</w:t>
            </w:r>
            <w:r>
              <w:rPr>
                <w:b/>
                <w:spacing w:val="-5"/>
                <w:sz w:val="18"/>
              </w:rPr>
              <w:t> </w:t>
            </w:r>
            <w:r>
              <w:rPr>
                <w:b/>
                <w:sz w:val="18"/>
              </w:rPr>
              <w:t>para</w:t>
            </w:r>
            <w:r>
              <w:rPr>
                <w:b/>
                <w:spacing w:val="-8"/>
                <w:sz w:val="18"/>
              </w:rPr>
              <w:t> </w:t>
            </w:r>
            <w:r>
              <w:rPr>
                <w:b/>
                <w:sz w:val="18"/>
              </w:rPr>
              <w:t>la</w:t>
            </w:r>
            <w:r>
              <w:rPr>
                <w:b/>
                <w:spacing w:val="-3"/>
                <w:sz w:val="18"/>
              </w:rPr>
              <w:t> </w:t>
            </w:r>
            <w:r>
              <w:rPr>
                <w:b/>
                <w:sz w:val="18"/>
              </w:rPr>
              <w:t>asignación</w:t>
            </w:r>
            <w:r>
              <w:rPr>
                <w:b/>
                <w:spacing w:val="-8"/>
                <w:sz w:val="18"/>
              </w:rPr>
              <w:t> </w:t>
            </w:r>
            <w:r>
              <w:rPr>
                <w:b/>
                <w:sz w:val="18"/>
              </w:rPr>
              <w:t>presupuestaria</w:t>
            </w:r>
            <w:r>
              <w:rPr>
                <w:b/>
                <w:spacing w:val="-7"/>
                <w:sz w:val="18"/>
              </w:rPr>
              <w:t> </w:t>
            </w:r>
            <w:r>
              <w:rPr>
                <w:b/>
                <w:sz w:val="18"/>
              </w:rPr>
              <w:t>regional</w:t>
            </w:r>
            <w:r>
              <w:rPr>
                <w:b/>
                <w:spacing w:val="-5"/>
                <w:sz w:val="18"/>
              </w:rPr>
              <w:t> </w:t>
            </w:r>
            <w:r>
              <w:rPr>
                <w:b/>
                <w:sz w:val="18"/>
              </w:rPr>
              <w:t>diseñada</w:t>
            </w:r>
            <w:r>
              <w:rPr>
                <w:b/>
                <w:spacing w:val="-4"/>
                <w:sz w:val="18"/>
              </w:rPr>
              <w:t> </w:t>
            </w:r>
            <w:r>
              <w:rPr>
                <w:b/>
                <w:sz w:val="18"/>
              </w:rPr>
              <w:t>y</w:t>
            </w:r>
            <w:r>
              <w:rPr>
                <w:b/>
                <w:spacing w:val="-7"/>
                <w:sz w:val="18"/>
              </w:rPr>
              <w:t> </w:t>
            </w:r>
            <w:r>
              <w:rPr>
                <w:b/>
                <w:sz w:val="18"/>
              </w:rPr>
              <w:t>ejecutándose.</w:t>
            </w:r>
            <w:r>
              <w:rPr>
                <w:b/>
                <w:spacing w:val="-5"/>
                <w:sz w:val="18"/>
              </w:rPr>
              <w:t> </w:t>
            </w:r>
            <w:r>
              <w:rPr>
                <w:b/>
                <w:sz w:val="18"/>
              </w:rPr>
              <w:t>(E1</w:t>
            </w:r>
            <w:r>
              <w:rPr>
                <w:b/>
                <w:spacing w:val="-3"/>
                <w:sz w:val="18"/>
              </w:rPr>
              <w:t> </w:t>
            </w:r>
            <w:r>
              <w:rPr>
                <w:b/>
                <w:sz w:val="18"/>
              </w:rPr>
              <w:t>AE8</w:t>
            </w:r>
            <w:r>
              <w:rPr>
                <w:b/>
                <w:spacing w:val="-7"/>
                <w:sz w:val="18"/>
              </w:rPr>
              <w:t> </w:t>
            </w:r>
            <w:r>
              <w:rPr>
                <w:b/>
                <w:sz w:val="18"/>
              </w:rPr>
              <w:t>R2).</w:t>
            </w:r>
            <w:r>
              <w:rPr>
                <w:b/>
                <w:spacing w:val="-5"/>
                <w:sz w:val="18"/>
              </w:rPr>
              <w:t> </w:t>
            </w:r>
            <w:r>
              <w:rPr>
                <w:b/>
                <w:sz w:val="18"/>
              </w:rPr>
              <w:t>100%</w:t>
            </w:r>
            <w:r>
              <w:rPr>
                <w:b/>
                <w:spacing w:val="-10"/>
                <w:sz w:val="18"/>
              </w:rPr>
              <w:t> </w:t>
            </w:r>
            <w:r>
              <w:rPr>
                <w:b/>
                <w:sz w:val="18"/>
              </w:rPr>
              <w:t>al</w:t>
            </w:r>
            <w:r>
              <w:rPr>
                <w:b/>
                <w:spacing w:val="-5"/>
                <w:sz w:val="18"/>
              </w:rPr>
              <w:t> </w:t>
            </w:r>
            <w:r>
              <w:rPr>
                <w:b/>
                <w:spacing w:val="-2"/>
                <w:sz w:val="18"/>
              </w:rPr>
              <w:t>2026.</w:t>
            </w:r>
          </w:p>
        </w:tc>
      </w:tr>
      <w:tr>
        <w:trPr>
          <w:trHeight w:val="1546" w:hRule="atLeast"/>
        </w:trPr>
        <w:tc>
          <w:tcPr>
            <w:tcW w:w="2823" w:type="dxa"/>
          </w:tcPr>
          <w:p>
            <w:pPr>
              <w:pStyle w:val="TableParagraph"/>
              <w:spacing w:before="153"/>
              <w:ind w:left="72" w:right="122"/>
              <w:rPr>
                <w:sz w:val="18"/>
              </w:rPr>
            </w:pPr>
            <w:r>
              <w:rPr>
                <w:b/>
                <w:sz w:val="18"/>
              </w:rPr>
              <w:t>Actividad PAC 2.24.1: </w:t>
            </w:r>
            <w:r>
              <w:rPr>
                <w:sz w:val="18"/>
              </w:rPr>
              <w:t>Capacitar a las personas funcionarias encargadas de la formulación</w:t>
            </w:r>
            <w:r>
              <w:rPr>
                <w:spacing w:val="-13"/>
                <w:sz w:val="18"/>
              </w:rPr>
              <w:t> </w:t>
            </w:r>
            <w:r>
              <w:rPr>
                <w:sz w:val="18"/>
              </w:rPr>
              <w:t>presupuestaria</w:t>
            </w:r>
            <w:r>
              <w:rPr>
                <w:spacing w:val="-10"/>
                <w:sz w:val="18"/>
              </w:rPr>
              <w:t> </w:t>
            </w:r>
            <w:r>
              <w:rPr>
                <w:sz w:val="18"/>
              </w:rPr>
              <w:t>en</w:t>
            </w:r>
            <w:r>
              <w:rPr>
                <w:spacing w:val="-10"/>
                <w:sz w:val="18"/>
              </w:rPr>
              <w:t> </w:t>
            </w:r>
            <w:r>
              <w:rPr>
                <w:sz w:val="18"/>
              </w:rPr>
              <w:t>la metodología</w:t>
            </w:r>
            <w:r>
              <w:rPr>
                <w:spacing w:val="-15"/>
                <w:sz w:val="18"/>
              </w:rPr>
              <w:t> </w:t>
            </w:r>
            <w:r>
              <w:rPr>
                <w:sz w:val="18"/>
              </w:rPr>
              <w:t>de</w:t>
            </w:r>
            <w:r>
              <w:rPr>
                <w:spacing w:val="-12"/>
                <w:sz w:val="18"/>
              </w:rPr>
              <w:t> </w:t>
            </w:r>
            <w:r>
              <w:rPr>
                <w:sz w:val="18"/>
              </w:rPr>
              <w:t>presupuestación </w:t>
            </w:r>
            <w:r>
              <w:rPr>
                <w:spacing w:val="-2"/>
                <w:sz w:val="18"/>
              </w:rPr>
              <w:t>territorial.</w:t>
            </w:r>
          </w:p>
        </w:tc>
        <w:tc>
          <w:tcPr>
            <w:tcW w:w="1387"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28" w:right="14"/>
              <w:jc w:val="center"/>
              <w:rPr>
                <w:sz w:val="18"/>
              </w:rPr>
            </w:pPr>
            <w:r>
              <w:rPr>
                <w:spacing w:val="-4"/>
                <w:sz w:val="18"/>
              </w:rPr>
              <w:t>100%</w:t>
            </w:r>
          </w:p>
        </w:tc>
        <w:tc>
          <w:tcPr>
            <w:tcW w:w="2165" w:type="dxa"/>
          </w:tcPr>
          <w:p>
            <w:pPr>
              <w:pStyle w:val="TableParagraph"/>
              <w:rPr>
                <w:b/>
                <w:sz w:val="18"/>
              </w:rPr>
            </w:pPr>
          </w:p>
          <w:p>
            <w:pPr>
              <w:pStyle w:val="TableParagraph"/>
              <w:spacing w:before="46"/>
              <w:rPr>
                <w:b/>
                <w:sz w:val="18"/>
              </w:rPr>
            </w:pPr>
          </w:p>
          <w:p>
            <w:pPr>
              <w:pStyle w:val="TableParagraph"/>
              <w:spacing w:line="242" w:lineRule="auto"/>
              <w:ind w:left="73" w:right="175"/>
              <w:jc w:val="both"/>
              <w:rPr>
                <w:sz w:val="18"/>
              </w:rPr>
            </w:pPr>
            <w:r>
              <w:rPr>
                <w:sz w:val="18"/>
              </w:rPr>
              <w:t>Porcentaje</w:t>
            </w:r>
            <w:r>
              <w:rPr>
                <w:spacing w:val="-15"/>
                <w:sz w:val="18"/>
              </w:rPr>
              <w:t> </w:t>
            </w:r>
            <w:r>
              <w:rPr>
                <w:sz w:val="18"/>
              </w:rPr>
              <w:t>de</w:t>
            </w:r>
            <w:r>
              <w:rPr>
                <w:spacing w:val="-12"/>
                <w:sz w:val="18"/>
              </w:rPr>
              <w:t> </w:t>
            </w:r>
            <w:r>
              <w:rPr>
                <w:sz w:val="18"/>
              </w:rPr>
              <w:t>personas capacitadas que deben llevar la capacitación.</w:t>
            </w:r>
          </w:p>
        </w:tc>
        <w:tc>
          <w:tcPr>
            <w:tcW w:w="1805" w:type="dxa"/>
          </w:tcPr>
          <w:p>
            <w:pPr>
              <w:pStyle w:val="TableParagraph"/>
              <w:rPr>
                <w:b/>
                <w:sz w:val="18"/>
              </w:rPr>
            </w:pPr>
          </w:p>
          <w:p>
            <w:pPr>
              <w:pStyle w:val="TableParagraph"/>
              <w:spacing w:before="151"/>
              <w:rPr>
                <w:b/>
                <w:sz w:val="18"/>
              </w:rPr>
            </w:pPr>
          </w:p>
          <w:p>
            <w:pPr>
              <w:pStyle w:val="TableParagraph"/>
              <w:ind w:left="73" w:right="30"/>
              <w:rPr>
                <w:sz w:val="18"/>
              </w:rPr>
            </w:pPr>
            <w:r>
              <w:rPr>
                <w:sz w:val="18"/>
              </w:rPr>
              <w:t>Lista</w:t>
            </w:r>
            <w:r>
              <w:rPr>
                <w:spacing w:val="-13"/>
                <w:sz w:val="18"/>
              </w:rPr>
              <w:t> </w:t>
            </w:r>
            <w:r>
              <w:rPr>
                <w:sz w:val="18"/>
              </w:rPr>
              <w:t>de</w:t>
            </w:r>
            <w:r>
              <w:rPr>
                <w:spacing w:val="-9"/>
                <w:sz w:val="18"/>
              </w:rPr>
              <w:t> </w:t>
            </w:r>
            <w:r>
              <w:rPr>
                <w:sz w:val="18"/>
              </w:rPr>
              <w:t>asistencia</w:t>
            </w:r>
            <w:r>
              <w:rPr>
                <w:spacing w:val="-10"/>
                <w:sz w:val="18"/>
              </w:rPr>
              <w:t> </w:t>
            </w:r>
            <w:r>
              <w:rPr>
                <w:sz w:val="18"/>
              </w:rPr>
              <w:t>a la capacitación.</w:t>
            </w:r>
          </w:p>
        </w:tc>
        <w:tc>
          <w:tcPr>
            <w:tcW w:w="1498"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29" w:right="9"/>
              <w:jc w:val="center"/>
              <w:rPr>
                <w:sz w:val="18"/>
              </w:rPr>
            </w:pPr>
            <w:r>
              <w:rPr>
                <w:spacing w:val="-10"/>
                <w:sz w:val="18"/>
              </w:rPr>
              <w:t>-</w:t>
            </w:r>
          </w:p>
        </w:tc>
        <w:tc>
          <w:tcPr>
            <w:tcW w:w="2058"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40"/>
              <w:rPr>
                <w:b/>
                <w:sz w:val="18"/>
              </w:rPr>
            </w:pPr>
          </w:p>
          <w:p>
            <w:pPr>
              <w:pStyle w:val="TableParagraph"/>
              <w:ind w:left="72" w:right="160"/>
              <w:rPr>
                <w:sz w:val="18"/>
              </w:rPr>
            </w:pPr>
            <w:r>
              <w:rPr>
                <w:sz w:val="18"/>
              </w:rPr>
              <w:t>Evento:</w:t>
            </w:r>
            <w:r>
              <w:rPr>
                <w:spacing w:val="-9"/>
                <w:sz w:val="18"/>
              </w:rPr>
              <w:t> </w:t>
            </w:r>
            <w:r>
              <w:rPr>
                <w:sz w:val="18"/>
              </w:rPr>
              <w:t>No</w:t>
            </w:r>
            <w:r>
              <w:rPr>
                <w:spacing w:val="-11"/>
                <w:sz w:val="18"/>
              </w:rPr>
              <w:t> </w:t>
            </w:r>
            <w:r>
              <w:rPr>
                <w:sz w:val="18"/>
              </w:rPr>
              <w:t>lograr</w:t>
            </w:r>
            <w:r>
              <w:rPr>
                <w:spacing w:val="-13"/>
                <w:sz w:val="18"/>
              </w:rPr>
              <w:t> </w:t>
            </w:r>
            <w:r>
              <w:rPr>
                <w:sz w:val="18"/>
              </w:rPr>
              <w:t>que se cuente con un sistema de gestión </w:t>
            </w:r>
            <w:r>
              <w:rPr>
                <w:spacing w:val="-2"/>
                <w:sz w:val="18"/>
              </w:rPr>
              <w:t>presupuestaria regional.</w:t>
            </w:r>
          </w:p>
        </w:tc>
      </w:tr>
      <w:tr>
        <w:trPr>
          <w:trHeight w:val="1214" w:hRule="atLeast"/>
        </w:trPr>
        <w:tc>
          <w:tcPr>
            <w:tcW w:w="2823" w:type="dxa"/>
          </w:tcPr>
          <w:p>
            <w:pPr>
              <w:pStyle w:val="TableParagraph"/>
              <w:spacing w:before="90"/>
              <w:ind w:left="72" w:right="282"/>
              <w:rPr>
                <w:sz w:val="18"/>
              </w:rPr>
            </w:pPr>
            <w:r>
              <w:rPr>
                <w:b/>
                <w:sz w:val="18"/>
              </w:rPr>
              <w:t>Actividad PAC 2.24.2: </w:t>
            </w:r>
            <w:r>
              <w:rPr>
                <w:sz w:val="18"/>
              </w:rPr>
              <w:t>Verificar</w:t>
            </w:r>
            <w:r>
              <w:rPr>
                <w:spacing w:val="-9"/>
                <w:sz w:val="18"/>
              </w:rPr>
              <w:t> </w:t>
            </w:r>
            <w:r>
              <w:rPr>
                <w:sz w:val="18"/>
              </w:rPr>
              <w:t>que</w:t>
            </w:r>
            <w:r>
              <w:rPr>
                <w:spacing w:val="-7"/>
                <w:sz w:val="18"/>
              </w:rPr>
              <w:t> </w:t>
            </w:r>
            <w:r>
              <w:rPr>
                <w:sz w:val="18"/>
              </w:rPr>
              <w:t>en</w:t>
            </w:r>
            <w:r>
              <w:rPr>
                <w:spacing w:val="-10"/>
                <w:sz w:val="18"/>
              </w:rPr>
              <w:t> </w:t>
            </w:r>
            <w:r>
              <w:rPr>
                <w:sz w:val="18"/>
              </w:rPr>
              <w:t>la</w:t>
            </w:r>
            <w:r>
              <w:rPr>
                <w:spacing w:val="-10"/>
                <w:sz w:val="18"/>
              </w:rPr>
              <w:t> </w:t>
            </w:r>
            <w:r>
              <w:rPr>
                <w:sz w:val="18"/>
              </w:rPr>
              <w:t>formulación presupuestaria se realice una asignación</w:t>
            </w:r>
            <w:r>
              <w:rPr>
                <w:spacing w:val="-6"/>
                <w:sz w:val="18"/>
              </w:rPr>
              <w:t> </w:t>
            </w:r>
            <w:r>
              <w:rPr>
                <w:sz w:val="18"/>
              </w:rPr>
              <w:t>presupuestaria</w:t>
            </w:r>
            <w:r>
              <w:rPr>
                <w:spacing w:val="-10"/>
                <w:sz w:val="18"/>
              </w:rPr>
              <w:t> </w:t>
            </w:r>
            <w:r>
              <w:rPr>
                <w:sz w:val="18"/>
              </w:rPr>
              <w:t>por </w:t>
            </w:r>
            <w:r>
              <w:rPr>
                <w:spacing w:val="-2"/>
                <w:sz w:val="18"/>
              </w:rPr>
              <w:t>regiones.</w:t>
            </w:r>
          </w:p>
        </w:tc>
        <w:tc>
          <w:tcPr>
            <w:tcW w:w="1387" w:type="dxa"/>
          </w:tcPr>
          <w:p>
            <w:pPr>
              <w:pStyle w:val="TableParagraph"/>
              <w:rPr>
                <w:b/>
                <w:sz w:val="18"/>
              </w:rPr>
            </w:pPr>
          </w:p>
          <w:p>
            <w:pPr>
              <w:pStyle w:val="TableParagraph"/>
              <w:spacing w:before="89"/>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spacing w:before="89"/>
              <w:rPr>
                <w:b/>
                <w:sz w:val="18"/>
              </w:rPr>
            </w:pPr>
          </w:p>
          <w:p>
            <w:pPr>
              <w:pStyle w:val="TableParagraph"/>
              <w:ind w:left="28" w:right="14"/>
              <w:jc w:val="center"/>
              <w:rPr>
                <w:sz w:val="18"/>
              </w:rPr>
            </w:pPr>
            <w:r>
              <w:rPr>
                <w:spacing w:val="-4"/>
                <w:sz w:val="18"/>
              </w:rPr>
              <w:t>100%</w:t>
            </w:r>
          </w:p>
        </w:tc>
        <w:tc>
          <w:tcPr>
            <w:tcW w:w="2165" w:type="dxa"/>
          </w:tcPr>
          <w:p>
            <w:pPr>
              <w:pStyle w:val="TableParagraph"/>
              <w:spacing w:before="89"/>
              <w:rPr>
                <w:b/>
                <w:sz w:val="18"/>
              </w:rPr>
            </w:pPr>
          </w:p>
          <w:p>
            <w:pPr>
              <w:pStyle w:val="TableParagraph"/>
              <w:ind w:left="73"/>
              <w:rPr>
                <w:sz w:val="18"/>
              </w:rPr>
            </w:pPr>
            <w:r>
              <w:rPr>
                <w:sz w:val="18"/>
              </w:rPr>
              <w:t>Porcentaje</w:t>
            </w:r>
            <w:r>
              <w:rPr>
                <w:spacing w:val="-15"/>
                <w:sz w:val="18"/>
              </w:rPr>
              <w:t> </w:t>
            </w:r>
            <w:r>
              <w:rPr>
                <w:sz w:val="18"/>
              </w:rPr>
              <w:t>de</w:t>
            </w:r>
            <w:r>
              <w:rPr>
                <w:spacing w:val="-12"/>
                <w:sz w:val="18"/>
              </w:rPr>
              <w:t> </w:t>
            </w:r>
            <w:r>
              <w:rPr>
                <w:sz w:val="18"/>
              </w:rPr>
              <w:t>regionales con asignación </w:t>
            </w:r>
            <w:r>
              <w:rPr>
                <w:spacing w:val="-2"/>
                <w:sz w:val="18"/>
              </w:rPr>
              <w:t>presupuestaria.</w:t>
            </w:r>
          </w:p>
        </w:tc>
        <w:tc>
          <w:tcPr>
            <w:tcW w:w="1805" w:type="dxa"/>
          </w:tcPr>
          <w:p>
            <w:pPr>
              <w:pStyle w:val="TableParagraph"/>
              <w:rPr>
                <w:b/>
                <w:sz w:val="18"/>
              </w:rPr>
            </w:pPr>
          </w:p>
          <w:p>
            <w:pPr>
              <w:pStyle w:val="TableParagraph"/>
              <w:spacing w:before="89"/>
              <w:rPr>
                <w:b/>
                <w:sz w:val="18"/>
              </w:rPr>
            </w:pPr>
          </w:p>
          <w:p>
            <w:pPr>
              <w:pStyle w:val="TableParagraph"/>
              <w:ind w:left="73"/>
              <w:rPr>
                <w:sz w:val="18"/>
              </w:rPr>
            </w:pPr>
            <w:r>
              <w:rPr>
                <w:sz w:val="18"/>
              </w:rPr>
              <w:t>Presupuesto</w:t>
            </w:r>
            <w:r>
              <w:rPr>
                <w:spacing w:val="-4"/>
                <w:sz w:val="18"/>
              </w:rPr>
              <w:t> </w:t>
            </w:r>
            <w:r>
              <w:rPr>
                <w:spacing w:val="-2"/>
                <w:sz w:val="18"/>
              </w:rPr>
              <w:t>2026.</w:t>
            </w:r>
          </w:p>
        </w:tc>
        <w:tc>
          <w:tcPr>
            <w:tcW w:w="1498" w:type="dxa"/>
          </w:tcPr>
          <w:p>
            <w:pPr>
              <w:pStyle w:val="TableParagraph"/>
              <w:rPr>
                <w:b/>
                <w:sz w:val="18"/>
              </w:rPr>
            </w:pPr>
          </w:p>
          <w:p>
            <w:pPr>
              <w:pStyle w:val="TableParagraph"/>
              <w:spacing w:before="89"/>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spacing w:before="89"/>
              <w:rPr>
                <w:b/>
                <w:sz w:val="18"/>
              </w:rPr>
            </w:pPr>
          </w:p>
          <w:p>
            <w:pPr>
              <w:pStyle w:val="TableParagraph"/>
              <w:ind w:left="29" w:right="9"/>
              <w:jc w:val="center"/>
              <w:rPr>
                <w:sz w:val="18"/>
              </w:rPr>
            </w:pPr>
            <w:r>
              <w:rPr>
                <w:spacing w:val="-10"/>
                <w:sz w:val="18"/>
              </w:rPr>
              <w:t>-</w:t>
            </w:r>
          </w:p>
        </w:tc>
        <w:tc>
          <w:tcPr>
            <w:tcW w:w="2058" w:type="dxa"/>
            <w:vMerge/>
            <w:tcBorders>
              <w:top w:val="nil"/>
            </w:tcBorders>
          </w:tcPr>
          <w:p>
            <w:pPr>
              <w:rPr>
                <w:sz w:val="2"/>
                <w:szCs w:val="2"/>
              </w:rPr>
            </w:pPr>
          </w:p>
        </w:tc>
      </w:tr>
      <w:tr>
        <w:trPr>
          <w:trHeight w:val="465" w:hRule="atLeast"/>
        </w:trPr>
        <w:tc>
          <w:tcPr>
            <w:tcW w:w="14315" w:type="dxa"/>
            <w:gridSpan w:val="8"/>
            <w:shd w:val="clear" w:color="auto" w:fill="EFF8F9"/>
          </w:tcPr>
          <w:p>
            <w:pPr>
              <w:pStyle w:val="TableParagraph"/>
              <w:spacing w:before="128"/>
              <w:ind w:left="72"/>
              <w:rPr>
                <w:b/>
                <w:sz w:val="18"/>
              </w:rPr>
            </w:pPr>
            <w:r>
              <w:rPr>
                <w:b/>
                <w:sz w:val="18"/>
              </w:rPr>
              <w:t>Producto</w:t>
            </w:r>
            <w:r>
              <w:rPr>
                <w:b/>
                <w:spacing w:val="-7"/>
                <w:sz w:val="18"/>
              </w:rPr>
              <w:t> </w:t>
            </w:r>
            <w:r>
              <w:rPr>
                <w:b/>
                <w:sz w:val="18"/>
              </w:rPr>
              <w:t>PAC</w:t>
            </w:r>
            <w:r>
              <w:rPr>
                <w:b/>
                <w:spacing w:val="-7"/>
                <w:sz w:val="18"/>
              </w:rPr>
              <w:t> </w:t>
            </w:r>
            <w:r>
              <w:rPr>
                <w:b/>
                <w:sz w:val="18"/>
              </w:rPr>
              <w:t>2.25:</w:t>
            </w:r>
            <w:r>
              <w:rPr>
                <w:b/>
                <w:spacing w:val="-4"/>
                <w:sz w:val="18"/>
              </w:rPr>
              <w:t> </w:t>
            </w:r>
            <w:r>
              <w:rPr>
                <w:b/>
                <w:sz w:val="18"/>
              </w:rPr>
              <w:t>Personas</w:t>
            </w:r>
            <w:r>
              <w:rPr>
                <w:b/>
                <w:spacing w:val="-5"/>
                <w:sz w:val="18"/>
              </w:rPr>
              <w:t> </w:t>
            </w:r>
            <w:r>
              <w:rPr>
                <w:b/>
                <w:sz w:val="18"/>
              </w:rPr>
              <w:t>funcionarias</w:t>
            </w:r>
            <w:r>
              <w:rPr>
                <w:b/>
                <w:spacing w:val="-6"/>
                <w:sz w:val="18"/>
              </w:rPr>
              <w:t> </w:t>
            </w:r>
            <w:r>
              <w:rPr>
                <w:b/>
                <w:sz w:val="18"/>
              </w:rPr>
              <w:t>utilizando</w:t>
            </w:r>
            <w:r>
              <w:rPr>
                <w:b/>
                <w:spacing w:val="-6"/>
                <w:sz w:val="18"/>
              </w:rPr>
              <w:t> </w:t>
            </w:r>
            <w:r>
              <w:rPr>
                <w:b/>
                <w:sz w:val="18"/>
              </w:rPr>
              <w:t>las</w:t>
            </w:r>
            <w:r>
              <w:rPr>
                <w:b/>
                <w:spacing w:val="-6"/>
                <w:sz w:val="18"/>
              </w:rPr>
              <w:t> </w:t>
            </w:r>
            <w:r>
              <w:rPr>
                <w:b/>
                <w:sz w:val="18"/>
              </w:rPr>
              <w:t>Normas</w:t>
            </w:r>
            <w:r>
              <w:rPr>
                <w:b/>
                <w:spacing w:val="-5"/>
                <w:sz w:val="18"/>
              </w:rPr>
              <w:t> </w:t>
            </w:r>
            <w:r>
              <w:rPr>
                <w:b/>
                <w:sz w:val="18"/>
              </w:rPr>
              <w:t>NIC-SP</w:t>
            </w:r>
            <w:r>
              <w:rPr>
                <w:b/>
                <w:spacing w:val="-6"/>
                <w:sz w:val="18"/>
              </w:rPr>
              <w:t> </w:t>
            </w:r>
            <w:r>
              <w:rPr>
                <w:b/>
                <w:sz w:val="18"/>
              </w:rPr>
              <w:t>para</w:t>
            </w:r>
            <w:r>
              <w:rPr>
                <w:b/>
                <w:spacing w:val="-6"/>
                <w:sz w:val="18"/>
              </w:rPr>
              <w:t> </w:t>
            </w:r>
            <w:r>
              <w:rPr>
                <w:b/>
                <w:sz w:val="18"/>
              </w:rPr>
              <w:t>la</w:t>
            </w:r>
            <w:r>
              <w:rPr>
                <w:b/>
                <w:spacing w:val="-5"/>
                <w:sz w:val="18"/>
              </w:rPr>
              <w:t> </w:t>
            </w:r>
            <w:r>
              <w:rPr>
                <w:b/>
                <w:sz w:val="18"/>
              </w:rPr>
              <w:t>toma</w:t>
            </w:r>
            <w:r>
              <w:rPr>
                <w:b/>
                <w:spacing w:val="-2"/>
                <w:sz w:val="18"/>
              </w:rPr>
              <w:t> </w:t>
            </w:r>
            <w:r>
              <w:rPr>
                <w:b/>
                <w:sz w:val="18"/>
              </w:rPr>
              <w:t>decisiones.</w:t>
            </w:r>
            <w:r>
              <w:rPr>
                <w:b/>
                <w:spacing w:val="42"/>
                <w:sz w:val="18"/>
              </w:rPr>
              <w:t> </w:t>
            </w:r>
            <w:r>
              <w:rPr>
                <w:b/>
                <w:sz w:val="18"/>
              </w:rPr>
              <w:t>(E1</w:t>
            </w:r>
            <w:r>
              <w:rPr>
                <w:b/>
                <w:spacing w:val="-2"/>
                <w:sz w:val="18"/>
              </w:rPr>
              <w:t> </w:t>
            </w:r>
            <w:r>
              <w:rPr>
                <w:b/>
                <w:sz w:val="18"/>
              </w:rPr>
              <w:t>AE9</w:t>
            </w:r>
            <w:r>
              <w:rPr>
                <w:b/>
                <w:spacing w:val="-5"/>
                <w:sz w:val="18"/>
              </w:rPr>
              <w:t> </w:t>
            </w:r>
            <w:r>
              <w:rPr>
                <w:b/>
                <w:sz w:val="18"/>
              </w:rPr>
              <w:t>R3).</w:t>
            </w:r>
            <w:r>
              <w:rPr>
                <w:b/>
                <w:spacing w:val="-4"/>
                <w:sz w:val="18"/>
              </w:rPr>
              <w:t> </w:t>
            </w:r>
            <w:r>
              <w:rPr>
                <w:b/>
                <w:sz w:val="18"/>
              </w:rPr>
              <w:t>60%</w:t>
            </w:r>
            <w:r>
              <w:rPr>
                <w:b/>
                <w:spacing w:val="-4"/>
                <w:sz w:val="18"/>
              </w:rPr>
              <w:t> </w:t>
            </w:r>
            <w:r>
              <w:rPr>
                <w:b/>
                <w:sz w:val="18"/>
              </w:rPr>
              <w:t>al</w:t>
            </w:r>
            <w:r>
              <w:rPr>
                <w:b/>
                <w:spacing w:val="-4"/>
                <w:sz w:val="18"/>
              </w:rPr>
              <w:t> </w:t>
            </w:r>
            <w:r>
              <w:rPr>
                <w:b/>
                <w:spacing w:val="-2"/>
                <w:sz w:val="18"/>
              </w:rPr>
              <w:t>2026.</w:t>
            </w:r>
          </w:p>
        </w:tc>
      </w:tr>
      <w:tr>
        <w:trPr>
          <w:trHeight w:val="1200" w:hRule="atLeast"/>
        </w:trPr>
        <w:tc>
          <w:tcPr>
            <w:tcW w:w="2823" w:type="dxa"/>
          </w:tcPr>
          <w:p>
            <w:pPr>
              <w:pStyle w:val="TableParagraph"/>
              <w:spacing w:before="80"/>
              <w:ind w:left="72" w:right="230"/>
              <w:rPr>
                <w:b/>
                <w:sz w:val="18"/>
              </w:rPr>
            </w:pPr>
            <w:r>
              <w:rPr>
                <w:b/>
                <w:sz w:val="18"/>
              </w:rPr>
              <w:t>Actividad PAC 2.25.1: </w:t>
            </w:r>
            <w:r>
              <w:rPr>
                <w:sz w:val="18"/>
              </w:rPr>
              <w:t>Elaborar</w:t>
            </w:r>
            <w:r>
              <w:rPr>
                <w:spacing w:val="-10"/>
                <w:sz w:val="18"/>
              </w:rPr>
              <w:t> </w:t>
            </w:r>
            <w:r>
              <w:rPr>
                <w:sz w:val="18"/>
              </w:rPr>
              <w:t>lineamientos</w:t>
            </w:r>
            <w:r>
              <w:rPr>
                <w:spacing w:val="-12"/>
                <w:sz w:val="18"/>
              </w:rPr>
              <w:t> </w:t>
            </w:r>
            <w:r>
              <w:rPr>
                <w:sz w:val="18"/>
              </w:rPr>
              <w:t>para</w:t>
            </w:r>
            <w:r>
              <w:rPr>
                <w:spacing w:val="-12"/>
                <w:sz w:val="18"/>
              </w:rPr>
              <w:t> </w:t>
            </w:r>
            <w:r>
              <w:rPr>
                <w:sz w:val="18"/>
              </w:rPr>
              <w:t>que los informes financieros y contables cumplan con la normativa NICSP</w:t>
            </w:r>
            <w:r>
              <w:rPr>
                <w:b/>
                <w:sz w:val="18"/>
              </w:rPr>
              <w:t>.</w:t>
            </w:r>
          </w:p>
        </w:tc>
        <w:tc>
          <w:tcPr>
            <w:tcW w:w="1387" w:type="dxa"/>
          </w:tcPr>
          <w:p>
            <w:pPr>
              <w:pStyle w:val="TableParagraph"/>
              <w:rPr>
                <w:b/>
                <w:sz w:val="18"/>
              </w:rPr>
            </w:pPr>
          </w:p>
          <w:p>
            <w:pPr>
              <w:pStyle w:val="TableParagraph"/>
              <w:spacing w:before="79"/>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spacing w:before="79"/>
              <w:rPr>
                <w:b/>
                <w:sz w:val="18"/>
              </w:rPr>
            </w:pPr>
          </w:p>
          <w:p>
            <w:pPr>
              <w:pStyle w:val="TableParagraph"/>
              <w:ind w:left="28" w:right="12"/>
              <w:jc w:val="center"/>
              <w:rPr>
                <w:sz w:val="18"/>
              </w:rPr>
            </w:pPr>
            <w:r>
              <w:rPr>
                <w:spacing w:val="-10"/>
                <w:sz w:val="18"/>
              </w:rPr>
              <w:t>1</w:t>
            </w:r>
          </w:p>
        </w:tc>
        <w:tc>
          <w:tcPr>
            <w:tcW w:w="2165" w:type="dxa"/>
          </w:tcPr>
          <w:p>
            <w:pPr>
              <w:pStyle w:val="TableParagraph"/>
              <w:spacing w:before="185"/>
              <w:rPr>
                <w:b/>
                <w:sz w:val="18"/>
              </w:rPr>
            </w:pPr>
          </w:p>
          <w:p>
            <w:pPr>
              <w:pStyle w:val="TableParagraph"/>
              <w:ind w:left="73" w:right="294"/>
              <w:rPr>
                <w:sz w:val="18"/>
              </w:rPr>
            </w:pPr>
            <w:r>
              <w:rPr>
                <w:sz w:val="18"/>
              </w:rPr>
              <w:t>Cantidad de lineamientos</w:t>
            </w:r>
            <w:r>
              <w:rPr>
                <w:spacing w:val="-13"/>
                <w:sz w:val="18"/>
              </w:rPr>
              <w:t> </w:t>
            </w:r>
            <w:r>
              <w:rPr>
                <w:sz w:val="18"/>
              </w:rPr>
              <w:t>emitidos.</w:t>
            </w:r>
          </w:p>
        </w:tc>
        <w:tc>
          <w:tcPr>
            <w:tcW w:w="1805" w:type="dxa"/>
          </w:tcPr>
          <w:p>
            <w:pPr>
              <w:pStyle w:val="TableParagraph"/>
              <w:spacing w:before="185"/>
              <w:rPr>
                <w:b/>
                <w:sz w:val="18"/>
              </w:rPr>
            </w:pPr>
          </w:p>
          <w:p>
            <w:pPr>
              <w:pStyle w:val="TableParagraph"/>
              <w:ind w:left="73" w:right="30"/>
              <w:rPr>
                <w:sz w:val="18"/>
              </w:rPr>
            </w:pPr>
            <w:r>
              <w:rPr>
                <w:spacing w:val="-2"/>
                <w:sz w:val="18"/>
              </w:rPr>
              <w:t>Lineamientos emitidos.</w:t>
            </w:r>
          </w:p>
        </w:tc>
        <w:tc>
          <w:tcPr>
            <w:tcW w:w="1498" w:type="dxa"/>
          </w:tcPr>
          <w:p>
            <w:pPr>
              <w:pStyle w:val="TableParagraph"/>
              <w:rPr>
                <w:b/>
                <w:sz w:val="18"/>
              </w:rPr>
            </w:pPr>
          </w:p>
          <w:p>
            <w:pPr>
              <w:pStyle w:val="TableParagraph"/>
              <w:spacing w:before="79"/>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spacing w:before="79"/>
              <w:rPr>
                <w:b/>
                <w:sz w:val="18"/>
              </w:rPr>
            </w:pPr>
          </w:p>
          <w:p>
            <w:pPr>
              <w:pStyle w:val="TableParagraph"/>
              <w:ind w:left="29" w:right="9"/>
              <w:jc w:val="center"/>
              <w:rPr>
                <w:sz w:val="18"/>
              </w:rPr>
            </w:pPr>
            <w:r>
              <w:rPr>
                <w:spacing w:val="-10"/>
                <w:sz w:val="18"/>
              </w:rPr>
              <w:t>-</w:t>
            </w:r>
          </w:p>
        </w:tc>
        <w:tc>
          <w:tcPr>
            <w:tcW w:w="2058"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69"/>
              <w:rPr>
                <w:b/>
                <w:sz w:val="18"/>
              </w:rPr>
            </w:pPr>
          </w:p>
          <w:p>
            <w:pPr>
              <w:pStyle w:val="TableParagraph"/>
              <w:ind w:left="72" w:right="160"/>
              <w:rPr>
                <w:sz w:val="18"/>
              </w:rPr>
            </w:pPr>
            <w:r>
              <w:rPr>
                <w:sz w:val="18"/>
              </w:rPr>
              <w:t>Evento: Retraso en la capacitación a las personas</w:t>
            </w:r>
            <w:r>
              <w:rPr>
                <w:spacing w:val="-4"/>
                <w:sz w:val="18"/>
              </w:rPr>
              <w:t> </w:t>
            </w:r>
            <w:r>
              <w:rPr>
                <w:sz w:val="18"/>
              </w:rPr>
              <w:t>funcionarias en</w:t>
            </w:r>
            <w:r>
              <w:rPr>
                <w:spacing w:val="-5"/>
                <w:sz w:val="18"/>
              </w:rPr>
              <w:t> </w:t>
            </w:r>
            <w:r>
              <w:rPr>
                <w:sz w:val="18"/>
              </w:rPr>
              <w:t>el</w:t>
            </w:r>
            <w:r>
              <w:rPr>
                <w:spacing w:val="-10"/>
                <w:sz w:val="18"/>
              </w:rPr>
              <w:t> </w:t>
            </w:r>
            <w:r>
              <w:rPr>
                <w:sz w:val="18"/>
              </w:rPr>
              <w:t>tema</w:t>
            </w:r>
            <w:r>
              <w:rPr>
                <w:spacing w:val="-8"/>
                <w:sz w:val="18"/>
              </w:rPr>
              <w:t> </w:t>
            </w:r>
            <w:r>
              <w:rPr>
                <w:sz w:val="18"/>
              </w:rPr>
              <w:t>de</w:t>
            </w:r>
            <w:r>
              <w:rPr>
                <w:spacing w:val="-5"/>
                <w:sz w:val="18"/>
              </w:rPr>
              <w:t> </w:t>
            </w:r>
            <w:r>
              <w:rPr>
                <w:sz w:val="18"/>
              </w:rPr>
              <w:t>las</w:t>
            </w:r>
            <w:r>
              <w:rPr>
                <w:spacing w:val="-8"/>
                <w:sz w:val="18"/>
              </w:rPr>
              <w:t> </w:t>
            </w:r>
            <w:r>
              <w:rPr>
                <w:sz w:val="18"/>
              </w:rPr>
              <w:t>NIC-</w:t>
            </w:r>
            <w:r>
              <w:rPr>
                <w:spacing w:val="-4"/>
                <w:sz w:val="18"/>
              </w:rPr>
              <w:t>SP.</w:t>
            </w:r>
          </w:p>
        </w:tc>
      </w:tr>
      <w:tr>
        <w:trPr>
          <w:trHeight w:val="1622" w:hRule="atLeast"/>
        </w:trPr>
        <w:tc>
          <w:tcPr>
            <w:tcW w:w="2823" w:type="dxa"/>
          </w:tcPr>
          <w:p>
            <w:pPr>
              <w:pStyle w:val="TableParagraph"/>
              <w:spacing w:before="191"/>
              <w:ind w:left="72" w:right="282"/>
              <w:rPr>
                <w:sz w:val="18"/>
              </w:rPr>
            </w:pPr>
            <w:r>
              <w:rPr>
                <w:b/>
                <w:sz w:val="18"/>
              </w:rPr>
              <w:t>Actividad PAC 2.25.2: </w:t>
            </w:r>
            <w:r>
              <w:rPr>
                <w:sz w:val="18"/>
              </w:rPr>
              <w:t>Verificar que los informes financieros y contables elaborados</w:t>
            </w:r>
            <w:r>
              <w:rPr>
                <w:spacing w:val="-13"/>
                <w:sz w:val="18"/>
              </w:rPr>
              <w:t> </w:t>
            </w:r>
            <w:r>
              <w:rPr>
                <w:sz w:val="18"/>
              </w:rPr>
              <w:t>por</w:t>
            </w:r>
            <w:r>
              <w:rPr>
                <w:spacing w:val="-12"/>
                <w:sz w:val="18"/>
              </w:rPr>
              <w:t> </w:t>
            </w:r>
            <w:r>
              <w:rPr>
                <w:sz w:val="18"/>
              </w:rPr>
              <w:t>las</w:t>
            </w:r>
            <w:r>
              <w:rPr>
                <w:spacing w:val="-10"/>
                <w:sz w:val="18"/>
              </w:rPr>
              <w:t> </w:t>
            </w:r>
            <w:r>
              <w:rPr>
                <w:sz w:val="18"/>
              </w:rPr>
              <w:t>personas funcionarias cumplen con la normativa NICSP.</w:t>
            </w:r>
          </w:p>
        </w:tc>
        <w:tc>
          <w:tcPr>
            <w:tcW w:w="1387" w:type="dxa"/>
          </w:tcPr>
          <w:p>
            <w:pPr>
              <w:pStyle w:val="TableParagraph"/>
              <w:rPr>
                <w:b/>
                <w:sz w:val="18"/>
              </w:rPr>
            </w:pPr>
          </w:p>
          <w:p>
            <w:pPr>
              <w:pStyle w:val="TableParagraph"/>
              <w:rPr>
                <w:b/>
                <w:sz w:val="18"/>
              </w:rPr>
            </w:pPr>
          </w:p>
          <w:p>
            <w:pPr>
              <w:pStyle w:val="TableParagraph"/>
              <w:spacing w:before="84"/>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spacing w:before="84"/>
              <w:rPr>
                <w:b/>
                <w:sz w:val="18"/>
              </w:rPr>
            </w:pPr>
          </w:p>
          <w:p>
            <w:pPr>
              <w:pStyle w:val="TableParagraph"/>
              <w:ind w:left="28" w:right="17"/>
              <w:jc w:val="center"/>
              <w:rPr>
                <w:sz w:val="18"/>
              </w:rPr>
            </w:pPr>
            <w:r>
              <w:rPr>
                <w:spacing w:val="-5"/>
                <w:sz w:val="18"/>
              </w:rPr>
              <w:t>12</w:t>
            </w:r>
          </w:p>
        </w:tc>
        <w:tc>
          <w:tcPr>
            <w:tcW w:w="2165" w:type="dxa"/>
          </w:tcPr>
          <w:p>
            <w:pPr>
              <w:pStyle w:val="TableParagraph"/>
              <w:spacing w:before="190"/>
              <w:rPr>
                <w:b/>
                <w:sz w:val="18"/>
              </w:rPr>
            </w:pPr>
          </w:p>
          <w:p>
            <w:pPr>
              <w:pStyle w:val="TableParagraph"/>
              <w:ind w:left="73" w:right="58"/>
              <w:rPr>
                <w:sz w:val="18"/>
              </w:rPr>
            </w:pPr>
            <w:r>
              <w:rPr>
                <w:sz w:val="18"/>
              </w:rPr>
              <w:t>Cantidad de informes elaborados</w:t>
            </w:r>
            <w:r>
              <w:rPr>
                <w:spacing w:val="-15"/>
                <w:sz w:val="18"/>
              </w:rPr>
              <w:t> </w:t>
            </w:r>
            <w:r>
              <w:rPr>
                <w:sz w:val="18"/>
              </w:rPr>
              <w:t>que</w:t>
            </w:r>
            <w:r>
              <w:rPr>
                <w:spacing w:val="-12"/>
                <w:sz w:val="18"/>
              </w:rPr>
              <w:t> </w:t>
            </w:r>
            <w:r>
              <w:rPr>
                <w:sz w:val="18"/>
              </w:rPr>
              <w:t>cumplen la normativa</w:t>
            </w:r>
            <w:r>
              <w:rPr>
                <w:spacing w:val="-3"/>
                <w:sz w:val="18"/>
              </w:rPr>
              <w:t> </w:t>
            </w:r>
            <w:r>
              <w:rPr>
                <w:sz w:val="18"/>
              </w:rPr>
              <w:t>establecida en las NIC-SP.</w:t>
            </w:r>
          </w:p>
        </w:tc>
        <w:tc>
          <w:tcPr>
            <w:tcW w:w="1805" w:type="dxa"/>
          </w:tcPr>
          <w:p>
            <w:pPr>
              <w:pStyle w:val="TableParagraph"/>
              <w:spacing w:before="191"/>
              <w:ind w:left="73" w:right="30"/>
              <w:rPr>
                <w:sz w:val="18"/>
              </w:rPr>
            </w:pPr>
            <w:r>
              <w:rPr>
                <w:sz w:val="18"/>
              </w:rPr>
              <w:t>Certificación de cumplimiento de la normativa en los informes</w:t>
            </w:r>
            <w:r>
              <w:rPr>
                <w:spacing w:val="-13"/>
                <w:sz w:val="18"/>
              </w:rPr>
              <w:t> </w:t>
            </w:r>
            <w:r>
              <w:rPr>
                <w:sz w:val="18"/>
              </w:rPr>
              <w:t>elaborados de parte del Área </w:t>
            </w:r>
            <w:r>
              <w:rPr>
                <w:spacing w:val="-2"/>
                <w:sz w:val="18"/>
              </w:rPr>
              <w:t>Financiera.</w:t>
            </w:r>
          </w:p>
        </w:tc>
        <w:tc>
          <w:tcPr>
            <w:tcW w:w="1498" w:type="dxa"/>
          </w:tcPr>
          <w:p>
            <w:pPr>
              <w:pStyle w:val="TableParagraph"/>
              <w:rPr>
                <w:b/>
                <w:sz w:val="18"/>
              </w:rPr>
            </w:pPr>
          </w:p>
          <w:p>
            <w:pPr>
              <w:pStyle w:val="TableParagraph"/>
              <w:rPr>
                <w:b/>
                <w:sz w:val="18"/>
              </w:rPr>
            </w:pPr>
          </w:p>
          <w:p>
            <w:pPr>
              <w:pStyle w:val="TableParagraph"/>
              <w:spacing w:before="84"/>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rPr>
                <w:b/>
                <w:sz w:val="18"/>
              </w:rPr>
            </w:pPr>
          </w:p>
          <w:p>
            <w:pPr>
              <w:pStyle w:val="TableParagraph"/>
              <w:spacing w:before="84"/>
              <w:rPr>
                <w:b/>
                <w:sz w:val="18"/>
              </w:rPr>
            </w:pPr>
          </w:p>
          <w:p>
            <w:pPr>
              <w:pStyle w:val="TableParagraph"/>
              <w:ind w:left="29" w:right="9"/>
              <w:jc w:val="center"/>
              <w:rPr>
                <w:sz w:val="18"/>
              </w:rPr>
            </w:pPr>
            <w:r>
              <w:rPr>
                <w:spacing w:val="-10"/>
                <w:sz w:val="18"/>
              </w:rPr>
              <w:t>-</w:t>
            </w:r>
          </w:p>
        </w:tc>
        <w:tc>
          <w:tcPr>
            <w:tcW w:w="2058" w:type="dxa"/>
            <w:vMerge/>
            <w:tcBorders>
              <w:top w:val="nil"/>
            </w:tcBorders>
          </w:tcPr>
          <w:p>
            <w:pPr>
              <w:rPr>
                <w:sz w:val="2"/>
                <w:szCs w:val="2"/>
              </w:rPr>
            </w:pPr>
          </w:p>
        </w:tc>
      </w:tr>
      <w:tr>
        <w:trPr>
          <w:trHeight w:val="465" w:hRule="atLeast"/>
        </w:trPr>
        <w:tc>
          <w:tcPr>
            <w:tcW w:w="14315" w:type="dxa"/>
            <w:gridSpan w:val="8"/>
            <w:shd w:val="clear" w:color="auto" w:fill="EFF8F9"/>
          </w:tcPr>
          <w:p>
            <w:pPr>
              <w:pStyle w:val="TableParagraph"/>
              <w:spacing w:before="129"/>
              <w:ind w:left="72"/>
              <w:rPr>
                <w:b/>
                <w:sz w:val="18"/>
              </w:rPr>
            </w:pPr>
            <w:r>
              <w:rPr>
                <w:b/>
                <w:sz w:val="18"/>
              </w:rPr>
              <w:t>Producto</w:t>
            </w:r>
            <w:r>
              <w:rPr>
                <w:b/>
                <w:spacing w:val="-8"/>
                <w:sz w:val="18"/>
              </w:rPr>
              <w:t> </w:t>
            </w:r>
            <w:r>
              <w:rPr>
                <w:b/>
                <w:sz w:val="18"/>
              </w:rPr>
              <w:t>PAC</w:t>
            </w:r>
            <w:r>
              <w:rPr>
                <w:b/>
                <w:spacing w:val="-8"/>
                <w:sz w:val="18"/>
              </w:rPr>
              <w:t> </w:t>
            </w:r>
            <w:r>
              <w:rPr>
                <w:b/>
                <w:sz w:val="18"/>
              </w:rPr>
              <w:t>2.26:</w:t>
            </w:r>
            <w:r>
              <w:rPr>
                <w:b/>
                <w:spacing w:val="-5"/>
                <w:sz w:val="18"/>
              </w:rPr>
              <w:t> </w:t>
            </w:r>
            <w:r>
              <w:rPr>
                <w:b/>
                <w:sz w:val="18"/>
              </w:rPr>
              <w:t>Plan</w:t>
            </w:r>
            <w:r>
              <w:rPr>
                <w:b/>
                <w:spacing w:val="-7"/>
                <w:sz w:val="18"/>
              </w:rPr>
              <w:t> </w:t>
            </w:r>
            <w:r>
              <w:rPr>
                <w:b/>
                <w:sz w:val="18"/>
              </w:rPr>
              <w:t>general de</w:t>
            </w:r>
            <w:r>
              <w:rPr>
                <w:b/>
                <w:spacing w:val="-6"/>
                <w:sz w:val="18"/>
              </w:rPr>
              <w:t> </w:t>
            </w:r>
            <w:r>
              <w:rPr>
                <w:b/>
                <w:sz w:val="18"/>
              </w:rPr>
              <w:t>contabilidad</w:t>
            </w:r>
            <w:r>
              <w:rPr>
                <w:b/>
                <w:spacing w:val="-8"/>
                <w:sz w:val="18"/>
              </w:rPr>
              <w:t> </w:t>
            </w:r>
            <w:r>
              <w:rPr>
                <w:b/>
                <w:sz w:val="18"/>
              </w:rPr>
              <w:t>formalizado</w:t>
            </w:r>
            <w:r>
              <w:rPr>
                <w:b/>
                <w:spacing w:val="-2"/>
                <w:sz w:val="18"/>
              </w:rPr>
              <w:t> </w:t>
            </w:r>
            <w:r>
              <w:rPr>
                <w:b/>
                <w:sz w:val="18"/>
              </w:rPr>
              <w:t>para</w:t>
            </w:r>
            <w:r>
              <w:rPr>
                <w:b/>
                <w:spacing w:val="-3"/>
                <w:sz w:val="18"/>
              </w:rPr>
              <w:t> </w:t>
            </w:r>
            <w:r>
              <w:rPr>
                <w:b/>
                <w:sz w:val="18"/>
              </w:rPr>
              <w:t>contar</w:t>
            </w:r>
            <w:r>
              <w:rPr>
                <w:b/>
                <w:spacing w:val="-1"/>
                <w:sz w:val="18"/>
              </w:rPr>
              <w:t> </w:t>
            </w:r>
            <w:r>
              <w:rPr>
                <w:b/>
                <w:sz w:val="18"/>
              </w:rPr>
              <w:t>con</w:t>
            </w:r>
            <w:r>
              <w:rPr>
                <w:b/>
                <w:spacing w:val="-3"/>
                <w:sz w:val="18"/>
              </w:rPr>
              <w:t> </w:t>
            </w:r>
            <w:r>
              <w:rPr>
                <w:b/>
                <w:sz w:val="18"/>
              </w:rPr>
              <w:t>criterios</w:t>
            </w:r>
            <w:r>
              <w:rPr>
                <w:b/>
                <w:spacing w:val="-6"/>
                <w:sz w:val="18"/>
              </w:rPr>
              <w:t> </w:t>
            </w:r>
            <w:r>
              <w:rPr>
                <w:b/>
                <w:sz w:val="18"/>
              </w:rPr>
              <w:t>homogéneos</w:t>
            </w:r>
            <w:r>
              <w:rPr>
                <w:b/>
                <w:spacing w:val="-3"/>
                <w:sz w:val="18"/>
              </w:rPr>
              <w:t> </w:t>
            </w:r>
            <w:r>
              <w:rPr>
                <w:b/>
                <w:sz w:val="18"/>
              </w:rPr>
              <w:t>de</w:t>
            </w:r>
            <w:r>
              <w:rPr>
                <w:b/>
                <w:spacing w:val="-6"/>
                <w:sz w:val="18"/>
              </w:rPr>
              <w:t> </w:t>
            </w:r>
            <w:r>
              <w:rPr>
                <w:b/>
                <w:sz w:val="18"/>
              </w:rPr>
              <w:t>registro</w:t>
            </w:r>
            <w:r>
              <w:rPr>
                <w:b/>
                <w:spacing w:val="-7"/>
                <w:sz w:val="18"/>
              </w:rPr>
              <w:t> </w:t>
            </w:r>
            <w:r>
              <w:rPr>
                <w:b/>
                <w:sz w:val="18"/>
              </w:rPr>
              <w:t>contable.</w:t>
            </w:r>
            <w:r>
              <w:rPr>
                <w:b/>
                <w:spacing w:val="-5"/>
                <w:sz w:val="18"/>
              </w:rPr>
              <w:t> </w:t>
            </w:r>
            <w:r>
              <w:rPr>
                <w:b/>
                <w:sz w:val="18"/>
              </w:rPr>
              <w:t>(E1</w:t>
            </w:r>
            <w:r>
              <w:rPr>
                <w:b/>
                <w:spacing w:val="-6"/>
                <w:sz w:val="18"/>
              </w:rPr>
              <w:t> </w:t>
            </w:r>
            <w:r>
              <w:rPr>
                <w:b/>
                <w:sz w:val="18"/>
              </w:rPr>
              <w:t>AE9</w:t>
            </w:r>
            <w:r>
              <w:rPr>
                <w:b/>
                <w:spacing w:val="-7"/>
                <w:sz w:val="18"/>
              </w:rPr>
              <w:t> </w:t>
            </w:r>
            <w:r>
              <w:rPr>
                <w:b/>
                <w:sz w:val="18"/>
              </w:rPr>
              <w:t>R4).</w:t>
            </w:r>
            <w:r>
              <w:rPr>
                <w:b/>
                <w:spacing w:val="-4"/>
                <w:sz w:val="18"/>
              </w:rPr>
              <w:t> </w:t>
            </w:r>
            <w:r>
              <w:rPr>
                <w:b/>
                <w:sz w:val="18"/>
              </w:rPr>
              <w:t>100%</w:t>
            </w:r>
            <w:r>
              <w:rPr>
                <w:b/>
                <w:spacing w:val="-6"/>
                <w:sz w:val="18"/>
              </w:rPr>
              <w:t> </w:t>
            </w:r>
            <w:r>
              <w:rPr>
                <w:b/>
                <w:sz w:val="18"/>
              </w:rPr>
              <w:t>al</w:t>
            </w:r>
            <w:r>
              <w:rPr>
                <w:b/>
                <w:spacing w:val="-4"/>
                <w:sz w:val="18"/>
              </w:rPr>
              <w:t> </w:t>
            </w:r>
            <w:r>
              <w:rPr>
                <w:b/>
                <w:spacing w:val="-2"/>
                <w:sz w:val="18"/>
              </w:rPr>
              <w:t>2026.</w:t>
            </w:r>
          </w:p>
        </w:tc>
      </w:tr>
    </w:tbl>
    <w:p>
      <w:pPr>
        <w:pStyle w:val="TableParagraph"/>
        <w:spacing w:after="0"/>
        <w:rPr>
          <w:b/>
          <w:sz w:val="18"/>
        </w:rPr>
        <w:sectPr>
          <w:pgSz w:w="15840" w:h="12240" w:orient="landscape"/>
          <w:pgMar w:header="0" w:footer="1806" w:top="700" w:bottom="2575" w:left="360" w:right="360"/>
        </w:sectPr>
      </w:pP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3"/>
        <w:gridCol w:w="1387"/>
        <w:gridCol w:w="1181"/>
        <w:gridCol w:w="2165"/>
        <w:gridCol w:w="1805"/>
        <w:gridCol w:w="1498"/>
        <w:gridCol w:w="1398"/>
        <w:gridCol w:w="2059"/>
      </w:tblGrid>
      <w:tr>
        <w:trPr>
          <w:trHeight w:val="820" w:hRule="atLeast"/>
        </w:trPr>
        <w:tc>
          <w:tcPr>
            <w:tcW w:w="2823" w:type="dxa"/>
            <w:shd w:val="clear" w:color="auto" w:fill="D9D9D9"/>
          </w:tcPr>
          <w:p>
            <w:pPr>
              <w:pStyle w:val="TableParagraph"/>
              <w:spacing w:before="99"/>
              <w:rPr>
                <w:b/>
                <w:sz w:val="18"/>
              </w:rPr>
            </w:pPr>
          </w:p>
          <w:p>
            <w:pPr>
              <w:pStyle w:val="TableParagraph"/>
              <w:ind w:left="446"/>
              <w:rPr>
                <w:b/>
                <w:sz w:val="18"/>
              </w:rPr>
            </w:pPr>
            <w:r>
              <w:rPr>
                <w:b/>
                <w:sz w:val="18"/>
              </w:rPr>
              <w:t>Objetivos</w:t>
            </w:r>
            <w:r>
              <w:rPr>
                <w:b/>
                <w:spacing w:val="-5"/>
                <w:sz w:val="18"/>
              </w:rPr>
              <w:t> </w:t>
            </w:r>
            <w:r>
              <w:rPr>
                <w:b/>
                <w:sz w:val="18"/>
              </w:rPr>
              <w:t>/</w:t>
            </w:r>
            <w:r>
              <w:rPr>
                <w:b/>
                <w:spacing w:val="-2"/>
                <w:sz w:val="18"/>
              </w:rPr>
              <w:t> Resultados</w:t>
            </w:r>
          </w:p>
        </w:tc>
        <w:tc>
          <w:tcPr>
            <w:tcW w:w="1387" w:type="dxa"/>
            <w:shd w:val="clear" w:color="auto" w:fill="D9D9D9"/>
          </w:tcPr>
          <w:p>
            <w:pPr>
              <w:pStyle w:val="TableParagraph"/>
              <w:spacing w:line="244" w:lineRule="auto" w:before="200"/>
              <w:ind w:left="441" w:hanging="216"/>
              <w:rPr>
                <w:b/>
                <w:sz w:val="18"/>
              </w:rPr>
            </w:pPr>
            <w:r>
              <w:rPr>
                <w:b/>
                <w:sz w:val="18"/>
              </w:rPr>
              <w:t>Línea</w:t>
            </w:r>
            <w:r>
              <w:rPr>
                <w:b/>
                <w:spacing w:val="-13"/>
                <w:sz w:val="18"/>
              </w:rPr>
              <w:t> </w:t>
            </w:r>
            <w:r>
              <w:rPr>
                <w:b/>
                <w:sz w:val="18"/>
              </w:rPr>
              <w:t>Base </w:t>
            </w:r>
            <w:r>
              <w:rPr>
                <w:b/>
                <w:spacing w:val="-2"/>
                <w:sz w:val="18"/>
              </w:rPr>
              <w:t>(2023)</w:t>
            </w:r>
          </w:p>
        </w:tc>
        <w:tc>
          <w:tcPr>
            <w:tcW w:w="1181" w:type="dxa"/>
            <w:shd w:val="clear" w:color="auto" w:fill="D9D9D9"/>
          </w:tcPr>
          <w:p>
            <w:pPr>
              <w:pStyle w:val="TableParagraph"/>
              <w:spacing w:before="99"/>
              <w:ind w:left="77" w:right="44" w:hanging="10"/>
              <w:jc w:val="center"/>
              <w:rPr>
                <w:b/>
                <w:sz w:val="18"/>
              </w:rPr>
            </w:pPr>
            <w:r>
              <w:rPr>
                <w:b/>
                <w:spacing w:val="-4"/>
                <w:sz w:val="18"/>
              </w:rPr>
              <w:t>Meta </w:t>
            </w:r>
            <w:r>
              <w:rPr>
                <w:b/>
                <w:spacing w:val="-2"/>
                <w:sz w:val="18"/>
              </w:rPr>
              <w:t>programada </w:t>
            </w:r>
            <w:r>
              <w:rPr>
                <w:b/>
                <w:spacing w:val="-4"/>
                <w:sz w:val="18"/>
              </w:rPr>
              <w:t>2026</w:t>
            </w:r>
          </w:p>
        </w:tc>
        <w:tc>
          <w:tcPr>
            <w:tcW w:w="2165" w:type="dxa"/>
            <w:shd w:val="clear" w:color="auto" w:fill="D9D9D9"/>
          </w:tcPr>
          <w:p>
            <w:pPr>
              <w:pStyle w:val="TableParagraph"/>
              <w:spacing w:before="99"/>
              <w:rPr>
                <w:b/>
                <w:sz w:val="18"/>
              </w:rPr>
            </w:pPr>
          </w:p>
          <w:p>
            <w:pPr>
              <w:pStyle w:val="TableParagraph"/>
              <w:ind w:left="682"/>
              <w:rPr>
                <w:b/>
                <w:sz w:val="18"/>
              </w:rPr>
            </w:pPr>
            <w:r>
              <w:rPr>
                <w:b/>
                <w:spacing w:val="-2"/>
                <w:sz w:val="18"/>
              </w:rPr>
              <w:t>Indicador</w:t>
            </w:r>
          </w:p>
        </w:tc>
        <w:tc>
          <w:tcPr>
            <w:tcW w:w="1805" w:type="dxa"/>
            <w:shd w:val="clear" w:color="auto" w:fill="D9D9D9"/>
          </w:tcPr>
          <w:p>
            <w:pPr>
              <w:pStyle w:val="TableParagraph"/>
              <w:spacing w:line="244" w:lineRule="auto" w:before="200"/>
              <w:ind w:left="409" w:right="30" w:firstLine="57"/>
              <w:rPr>
                <w:b/>
                <w:sz w:val="18"/>
              </w:rPr>
            </w:pPr>
            <w:r>
              <w:rPr>
                <w:b/>
                <w:sz w:val="18"/>
              </w:rPr>
              <w:t>Medios de </w:t>
            </w:r>
            <w:r>
              <w:rPr>
                <w:b/>
                <w:spacing w:val="-2"/>
                <w:sz w:val="18"/>
              </w:rPr>
              <w:t>verificación</w:t>
            </w:r>
          </w:p>
        </w:tc>
        <w:tc>
          <w:tcPr>
            <w:tcW w:w="1498" w:type="dxa"/>
            <w:shd w:val="clear" w:color="auto" w:fill="D9D9D9"/>
          </w:tcPr>
          <w:p>
            <w:pPr>
              <w:pStyle w:val="TableParagraph"/>
              <w:spacing w:before="99"/>
              <w:rPr>
                <w:b/>
                <w:sz w:val="18"/>
              </w:rPr>
            </w:pPr>
          </w:p>
          <w:p>
            <w:pPr>
              <w:pStyle w:val="TableParagraph"/>
              <w:ind w:left="193"/>
              <w:rPr>
                <w:b/>
                <w:sz w:val="18"/>
              </w:rPr>
            </w:pPr>
            <w:r>
              <w:rPr>
                <w:b/>
                <w:spacing w:val="-2"/>
                <w:sz w:val="18"/>
              </w:rPr>
              <w:t>Responsable</w:t>
            </w:r>
          </w:p>
        </w:tc>
        <w:tc>
          <w:tcPr>
            <w:tcW w:w="1398" w:type="dxa"/>
            <w:shd w:val="clear" w:color="auto" w:fill="D9D9D9"/>
          </w:tcPr>
          <w:p>
            <w:pPr>
              <w:pStyle w:val="TableParagraph"/>
              <w:spacing w:line="244" w:lineRule="auto" w:before="200"/>
              <w:ind w:left="308" w:hanging="149"/>
              <w:rPr>
                <w:b/>
                <w:sz w:val="18"/>
              </w:rPr>
            </w:pPr>
            <w:r>
              <w:rPr>
                <w:b/>
                <w:spacing w:val="-2"/>
                <w:sz w:val="18"/>
              </w:rPr>
              <w:t>Presupuesto asignado</w:t>
            </w:r>
          </w:p>
        </w:tc>
        <w:tc>
          <w:tcPr>
            <w:tcW w:w="2059" w:type="dxa"/>
            <w:shd w:val="clear" w:color="auto" w:fill="D9D9D9"/>
          </w:tcPr>
          <w:p>
            <w:pPr>
              <w:pStyle w:val="TableParagraph"/>
              <w:spacing w:before="99"/>
              <w:rPr>
                <w:b/>
                <w:sz w:val="18"/>
              </w:rPr>
            </w:pPr>
          </w:p>
          <w:p>
            <w:pPr>
              <w:pStyle w:val="TableParagraph"/>
              <w:ind w:left="682"/>
              <w:rPr>
                <w:b/>
                <w:sz w:val="18"/>
              </w:rPr>
            </w:pPr>
            <w:r>
              <w:rPr>
                <w:b/>
                <w:spacing w:val="-2"/>
                <w:sz w:val="18"/>
              </w:rPr>
              <w:t>Riesgos</w:t>
            </w:r>
          </w:p>
        </w:tc>
      </w:tr>
      <w:tr>
        <w:trPr>
          <w:trHeight w:val="1550" w:hRule="atLeast"/>
        </w:trPr>
        <w:tc>
          <w:tcPr>
            <w:tcW w:w="2823" w:type="dxa"/>
          </w:tcPr>
          <w:p>
            <w:pPr>
              <w:pStyle w:val="TableParagraph"/>
              <w:spacing w:line="207" w:lineRule="exact" w:before="153"/>
              <w:ind w:left="77"/>
              <w:rPr>
                <w:b/>
                <w:sz w:val="18"/>
              </w:rPr>
            </w:pPr>
            <w:r>
              <w:rPr>
                <w:b/>
                <w:sz w:val="18"/>
              </w:rPr>
              <w:t>Actividad</w:t>
            </w:r>
            <w:r>
              <w:rPr>
                <w:b/>
                <w:spacing w:val="-6"/>
                <w:sz w:val="18"/>
              </w:rPr>
              <w:t> </w:t>
            </w:r>
            <w:r>
              <w:rPr>
                <w:b/>
                <w:sz w:val="18"/>
              </w:rPr>
              <w:t>PAC</w:t>
            </w:r>
            <w:r>
              <w:rPr>
                <w:b/>
                <w:spacing w:val="-2"/>
                <w:sz w:val="18"/>
              </w:rPr>
              <w:t> 2.26.1:</w:t>
            </w:r>
          </w:p>
          <w:p>
            <w:pPr>
              <w:pStyle w:val="TableParagraph"/>
              <w:ind w:left="77"/>
              <w:rPr>
                <w:sz w:val="18"/>
              </w:rPr>
            </w:pPr>
            <w:r>
              <w:rPr>
                <w:sz w:val="18"/>
              </w:rPr>
              <w:t>Dar seguimiento a las modificaciones</w:t>
            </w:r>
            <w:r>
              <w:rPr>
                <w:spacing w:val="-1"/>
                <w:sz w:val="18"/>
              </w:rPr>
              <w:t> </w:t>
            </w:r>
            <w:r>
              <w:rPr>
                <w:sz w:val="18"/>
              </w:rPr>
              <w:t>del Plan</w:t>
            </w:r>
            <w:r>
              <w:rPr>
                <w:spacing w:val="-7"/>
                <w:sz w:val="18"/>
              </w:rPr>
              <w:t> </w:t>
            </w:r>
            <w:r>
              <w:rPr>
                <w:sz w:val="18"/>
              </w:rPr>
              <w:t>General de Contabilidad del IMAS, para contar</w:t>
            </w:r>
            <w:r>
              <w:rPr>
                <w:spacing w:val="-11"/>
                <w:sz w:val="18"/>
              </w:rPr>
              <w:t> </w:t>
            </w:r>
            <w:r>
              <w:rPr>
                <w:sz w:val="18"/>
              </w:rPr>
              <w:t>con</w:t>
            </w:r>
            <w:r>
              <w:rPr>
                <w:spacing w:val="-13"/>
                <w:sz w:val="18"/>
              </w:rPr>
              <w:t> </w:t>
            </w:r>
            <w:r>
              <w:rPr>
                <w:sz w:val="18"/>
              </w:rPr>
              <w:t>criterios</w:t>
            </w:r>
            <w:r>
              <w:rPr>
                <w:spacing w:val="-12"/>
                <w:sz w:val="18"/>
              </w:rPr>
              <w:t> </w:t>
            </w:r>
            <w:r>
              <w:rPr>
                <w:sz w:val="18"/>
              </w:rPr>
              <w:t>homogéneos de registro contable.</w:t>
            </w:r>
          </w:p>
        </w:tc>
        <w:tc>
          <w:tcPr>
            <w:tcW w:w="1387"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21"/>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31" w:right="5"/>
              <w:jc w:val="center"/>
              <w:rPr>
                <w:sz w:val="18"/>
              </w:rPr>
            </w:pPr>
            <w:r>
              <w:rPr>
                <w:spacing w:val="-10"/>
                <w:sz w:val="18"/>
              </w:rPr>
              <w:t>4</w:t>
            </w:r>
          </w:p>
        </w:tc>
        <w:tc>
          <w:tcPr>
            <w:tcW w:w="2165" w:type="dxa"/>
          </w:tcPr>
          <w:p>
            <w:pPr>
              <w:pStyle w:val="TableParagraph"/>
              <w:spacing w:before="152"/>
              <w:rPr>
                <w:b/>
                <w:sz w:val="18"/>
              </w:rPr>
            </w:pPr>
          </w:p>
          <w:p>
            <w:pPr>
              <w:pStyle w:val="TableParagraph"/>
              <w:ind w:left="77" w:right="58"/>
              <w:rPr>
                <w:sz w:val="18"/>
              </w:rPr>
            </w:pPr>
            <w:r>
              <w:rPr>
                <w:sz w:val="18"/>
              </w:rPr>
              <w:t>Cantidad</w:t>
            </w:r>
            <w:r>
              <w:rPr>
                <w:spacing w:val="-1"/>
                <w:sz w:val="18"/>
              </w:rPr>
              <w:t> </w:t>
            </w:r>
            <w:r>
              <w:rPr>
                <w:sz w:val="18"/>
              </w:rPr>
              <w:t>de</w:t>
            </w:r>
            <w:r>
              <w:rPr>
                <w:spacing w:val="-1"/>
                <w:sz w:val="18"/>
              </w:rPr>
              <w:t> </w:t>
            </w:r>
            <w:r>
              <w:rPr>
                <w:sz w:val="18"/>
              </w:rPr>
              <w:t>sesiones</w:t>
            </w:r>
            <w:r>
              <w:rPr>
                <w:spacing w:val="-1"/>
                <w:sz w:val="18"/>
              </w:rPr>
              <w:t> </w:t>
            </w:r>
            <w:r>
              <w:rPr>
                <w:sz w:val="18"/>
              </w:rPr>
              <w:t>en Comisión</w:t>
            </w:r>
            <w:r>
              <w:rPr>
                <w:spacing w:val="-2"/>
                <w:sz w:val="18"/>
              </w:rPr>
              <w:t> </w:t>
            </w:r>
            <w:r>
              <w:rPr>
                <w:sz w:val="18"/>
              </w:rPr>
              <w:t>NICSP,</w:t>
            </w:r>
            <w:r>
              <w:rPr>
                <w:spacing w:val="-4"/>
                <w:sz w:val="18"/>
              </w:rPr>
              <w:t> </w:t>
            </w:r>
            <w:r>
              <w:rPr>
                <w:sz w:val="18"/>
              </w:rPr>
              <w:t>que</w:t>
            </w:r>
            <w:r>
              <w:rPr>
                <w:spacing w:val="-6"/>
                <w:sz w:val="18"/>
              </w:rPr>
              <w:t> </w:t>
            </w:r>
            <w:r>
              <w:rPr>
                <w:sz w:val="18"/>
              </w:rPr>
              <w:t>se aborden</w:t>
            </w:r>
            <w:r>
              <w:rPr>
                <w:spacing w:val="-7"/>
                <w:sz w:val="18"/>
              </w:rPr>
              <w:t> </w:t>
            </w:r>
            <w:r>
              <w:rPr>
                <w:sz w:val="18"/>
              </w:rPr>
              <w:t>modificaciones al</w:t>
            </w:r>
            <w:r>
              <w:rPr>
                <w:spacing w:val="-10"/>
                <w:sz w:val="18"/>
              </w:rPr>
              <w:t> </w:t>
            </w:r>
            <w:r>
              <w:rPr>
                <w:sz w:val="18"/>
              </w:rPr>
              <w:t>Plan</w:t>
            </w:r>
            <w:r>
              <w:rPr>
                <w:spacing w:val="-13"/>
                <w:sz w:val="18"/>
              </w:rPr>
              <w:t> </w:t>
            </w:r>
            <w:r>
              <w:rPr>
                <w:sz w:val="18"/>
              </w:rPr>
              <w:t>General</w:t>
            </w:r>
            <w:r>
              <w:rPr>
                <w:spacing w:val="-10"/>
                <w:sz w:val="18"/>
              </w:rPr>
              <w:t> </w:t>
            </w:r>
            <w:r>
              <w:rPr>
                <w:sz w:val="18"/>
              </w:rPr>
              <w:t>Contable</w:t>
            </w:r>
          </w:p>
        </w:tc>
        <w:tc>
          <w:tcPr>
            <w:tcW w:w="1805" w:type="dxa"/>
          </w:tcPr>
          <w:p>
            <w:pPr>
              <w:pStyle w:val="TableParagraph"/>
              <w:spacing w:before="52"/>
              <w:ind w:left="78" w:right="165"/>
              <w:rPr>
                <w:sz w:val="18"/>
              </w:rPr>
            </w:pPr>
            <w:r>
              <w:rPr>
                <w:sz w:val="18"/>
              </w:rPr>
              <w:t>Actas</w:t>
            </w:r>
            <w:r>
              <w:rPr>
                <w:spacing w:val="-15"/>
                <w:sz w:val="18"/>
              </w:rPr>
              <w:t> </w:t>
            </w:r>
            <w:r>
              <w:rPr>
                <w:sz w:val="18"/>
              </w:rPr>
              <w:t>de</w:t>
            </w:r>
            <w:r>
              <w:rPr>
                <w:spacing w:val="-12"/>
                <w:sz w:val="18"/>
              </w:rPr>
              <w:t> </w:t>
            </w:r>
            <w:r>
              <w:rPr>
                <w:sz w:val="18"/>
              </w:rPr>
              <w:t>comisión NICSP, oficio de aprobación de </w:t>
            </w:r>
            <w:r>
              <w:rPr>
                <w:spacing w:val="-2"/>
                <w:sz w:val="18"/>
              </w:rPr>
              <w:t>Presidencia </w:t>
            </w:r>
            <w:r>
              <w:rPr>
                <w:sz w:val="18"/>
              </w:rPr>
              <w:t>Ejecutiva y publicación en el </w:t>
            </w:r>
            <w:r>
              <w:rPr>
                <w:spacing w:val="-4"/>
                <w:sz w:val="18"/>
              </w:rPr>
              <w:t>CIRE</w:t>
            </w:r>
          </w:p>
        </w:tc>
        <w:tc>
          <w:tcPr>
            <w:tcW w:w="1498"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73"/>
              <w:rPr>
                <w:sz w:val="18"/>
              </w:rPr>
            </w:pPr>
            <w:r>
              <w:rPr>
                <w:spacing w:val="-5"/>
                <w:sz w:val="18"/>
              </w:rPr>
              <w:t>DSA</w:t>
            </w:r>
          </w:p>
        </w:tc>
        <w:tc>
          <w:tcPr>
            <w:tcW w:w="1398"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29"/>
              <w:jc w:val="center"/>
              <w:rPr>
                <w:sz w:val="18"/>
              </w:rPr>
            </w:pPr>
            <w:r>
              <w:rPr>
                <w:color w:val="0C769E"/>
                <w:spacing w:val="-10"/>
                <w:sz w:val="18"/>
              </w:rPr>
              <w:t>-</w:t>
            </w:r>
          </w:p>
        </w:tc>
        <w:tc>
          <w:tcPr>
            <w:tcW w:w="2059" w:type="dxa"/>
            <w:vMerge w:val="restart"/>
          </w:tcPr>
          <w:p>
            <w:pPr>
              <w:pStyle w:val="TableParagraph"/>
              <w:rPr>
                <w:b/>
                <w:sz w:val="18"/>
              </w:rPr>
            </w:pPr>
          </w:p>
          <w:p>
            <w:pPr>
              <w:pStyle w:val="TableParagraph"/>
              <w:rPr>
                <w:b/>
                <w:sz w:val="18"/>
              </w:rPr>
            </w:pPr>
          </w:p>
          <w:p>
            <w:pPr>
              <w:pStyle w:val="TableParagraph"/>
              <w:spacing w:before="161"/>
              <w:rPr>
                <w:b/>
                <w:sz w:val="18"/>
              </w:rPr>
            </w:pPr>
          </w:p>
          <w:p>
            <w:pPr>
              <w:pStyle w:val="TableParagraph"/>
              <w:ind w:left="77" w:right="163"/>
              <w:rPr>
                <w:sz w:val="18"/>
              </w:rPr>
            </w:pPr>
            <w:r>
              <w:rPr>
                <w:sz w:val="18"/>
              </w:rPr>
              <w:t>Evento: Plan de contabilidad no ajustado-actualizado</w:t>
            </w:r>
            <w:r>
              <w:rPr>
                <w:spacing w:val="-13"/>
                <w:sz w:val="18"/>
              </w:rPr>
              <w:t> </w:t>
            </w:r>
            <w:r>
              <w:rPr>
                <w:sz w:val="18"/>
              </w:rPr>
              <w:t>a las disposiciones del ente rector de la </w:t>
            </w:r>
            <w:r>
              <w:rPr>
                <w:spacing w:val="-2"/>
                <w:sz w:val="18"/>
              </w:rPr>
              <w:t>materia.</w:t>
            </w:r>
          </w:p>
        </w:tc>
      </w:tr>
      <w:tr>
        <w:trPr>
          <w:trHeight w:val="1243" w:hRule="atLeast"/>
        </w:trPr>
        <w:tc>
          <w:tcPr>
            <w:tcW w:w="2823" w:type="dxa"/>
          </w:tcPr>
          <w:p>
            <w:pPr>
              <w:pStyle w:val="TableParagraph"/>
              <w:spacing w:before="205"/>
              <w:ind w:left="77" w:right="282"/>
              <w:rPr>
                <w:sz w:val="18"/>
              </w:rPr>
            </w:pPr>
            <w:r>
              <w:rPr>
                <w:b/>
                <w:sz w:val="18"/>
              </w:rPr>
              <w:t>Actividad PAC 2.26.2: </w:t>
            </w:r>
            <w:r>
              <w:rPr>
                <w:sz w:val="18"/>
              </w:rPr>
              <w:t>Verificar que las unidades realicen</w:t>
            </w:r>
            <w:r>
              <w:rPr>
                <w:spacing w:val="-13"/>
                <w:sz w:val="18"/>
              </w:rPr>
              <w:t> </w:t>
            </w:r>
            <w:r>
              <w:rPr>
                <w:sz w:val="18"/>
              </w:rPr>
              <w:t>registros</w:t>
            </w:r>
            <w:r>
              <w:rPr>
                <w:spacing w:val="-10"/>
                <w:sz w:val="18"/>
              </w:rPr>
              <w:t> </w:t>
            </w:r>
            <w:r>
              <w:rPr>
                <w:sz w:val="18"/>
              </w:rPr>
              <w:t>contables</w:t>
            </w:r>
            <w:r>
              <w:rPr>
                <w:spacing w:val="-10"/>
                <w:sz w:val="18"/>
              </w:rPr>
              <w:t> </w:t>
            </w:r>
            <w:r>
              <w:rPr>
                <w:sz w:val="18"/>
              </w:rPr>
              <w:t>de acuerdo</w:t>
            </w:r>
            <w:r>
              <w:rPr>
                <w:spacing w:val="-2"/>
                <w:sz w:val="18"/>
              </w:rPr>
              <w:t> </w:t>
            </w:r>
            <w:r>
              <w:rPr>
                <w:sz w:val="18"/>
              </w:rPr>
              <w:t>con</w:t>
            </w:r>
            <w:r>
              <w:rPr>
                <w:spacing w:val="-1"/>
                <w:sz w:val="18"/>
              </w:rPr>
              <w:t> </w:t>
            </w:r>
            <w:r>
              <w:rPr>
                <w:sz w:val="18"/>
              </w:rPr>
              <w:t>el</w:t>
            </w:r>
            <w:r>
              <w:rPr>
                <w:spacing w:val="-7"/>
                <w:sz w:val="18"/>
              </w:rPr>
              <w:t> </w:t>
            </w:r>
            <w:r>
              <w:rPr>
                <w:sz w:val="18"/>
              </w:rPr>
              <w:t>Plan</w:t>
            </w:r>
            <w:r>
              <w:rPr>
                <w:spacing w:val="-1"/>
                <w:sz w:val="18"/>
              </w:rPr>
              <w:t> </w:t>
            </w:r>
            <w:r>
              <w:rPr>
                <w:spacing w:val="-2"/>
                <w:sz w:val="18"/>
              </w:rPr>
              <w:t>Contable.</w:t>
            </w:r>
          </w:p>
        </w:tc>
        <w:tc>
          <w:tcPr>
            <w:tcW w:w="1387" w:type="dxa"/>
          </w:tcPr>
          <w:p>
            <w:pPr>
              <w:pStyle w:val="TableParagraph"/>
              <w:rPr>
                <w:b/>
                <w:sz w:val="18"/>
              </w:rPr>
            </w:pPr>
          </w:p>
          <w:p>
            <w:pPr>
              <w:pStyle w:val="TableParagraph"/>
              <w:spacing w:before="103"/>
              <w:rPr>
                <w:b/>
                <w:sz w:val="18"/>
              </w:rPr>
            </w:pPr>
          </w:p>
          <w:p>
            <w:pPr>
              <w:pStyle w:val="TableParagraph"/>
              <w:ind w:left="21"/>
              <w:jc w:val="center"/>
              <w:rPr>
                <w:sz w:val="18"/>
              </w:rPr>
            </w:pPr>
            <w:r>
              <w:rPr>
                <w:spacing w:val="-5"/>
                <w:sz w:val="18"/>
              </w:rPr>
              <w:t>N/A</w:t>
            </w:r>
          </w:p>
        </w:tc>
        <w:tc>
          <w:tcPr>
            <w:tcW w:w="1181" w:type="dxa"/>
          </w:tcPr>
          <w:p>
            <w:pPr>
              <w:pStyle w:val="TableParagraph"/>
              <w:rPr>
                <w:b/>
                <w:sz w:val="18"/>
              </w:rPr>
            </w:pPr>
          </w:p>
          <w:p>
            <w:pPr>
              <w:pStyle w:val="TableParagraph"/>
              <w:spacing w:before="103"/>
              <w:rPr>
                <w:b/>
                <w:sz w:val="18"/>
              </w:rPr>
            </w:pPr>
          </w:p>
          <w:p>
            <w:pPr>
              <w:pStyle w:val="TableParagraph"/>
              <w:ind w:left="29" w:right="5"/>
              <w:jc w:val="center"/>
              <w:rPr>
                <w:sz w:val="18"/>
              </w:rPr>
            </w:pPr>
            <w:r>
              <w:rPr>
                <w:spacing w:val="-4"/>
                <w:sz w:val="18"/>
              </w:rPr>
              <w:t>100%</w:t>
            </w:r>
          </w:p>
        </w:tc>
        <w:tc>
          <w:tcPr>
            <w:tcW w:w="2165" w:type="dxa"/>
          </w:tcPr>
          <w:p>
            <w:pPr>
              <w:pStyle w:val="TableParagraph"/>
              <w:spacing w:before="205"/>
              <w:ind w:left="77"/>
              <w:rPr>
                <w:sz w:val="18"/>
              </w:rPr>
            </w:pPr>
            <w:r>
              <w:rPr>
                <w:sz w:val="18"/>
              </w:rPr>
              <w:t>Porcentaje</w:t>
            </w:r>
            <w:r>
              <w:rPr>
                <w:spacing w:val="-15"/>
                <w:sz w:val="18"/>
              </w:rPr>
              <w:t> </w:t>
            </w:r>
            <w:r>
              <w:rPr>
                <w:sz w:val="18"/>
              </w:rPr>
              <w:t>de</w:t>
            </w:r>
            <w:r>
              <w:rPr>
                <w:spacing w:val="-12"/>
                <w:sz w:val="18"/>
              </w:rPr>
              <w:t> </w:t>
            </w:r>
            <w:r>
              <w:rPr>
                <w:sz w:val="18"/>
              </w:rPr>
              <w:t>unidades que aplican registros contables con criterios </w:t>
            </w:r>
            <w:r>
              <w:rPr>
                <w:spacing w:val="-2"/>
                <w:sz w:val="18"/>
              </w:rPr>
              <w:t>homogéneos.</w:t>
            </w:r>
          </w:p>
        </w:tc>
        <w:tc>
          <w:tcPr>
            <w:tcW w:w="1805" w:type="dxa"/>
          </w:tcPr>
          <w:p>
            <w:pPr>
              <w:pStyle w:val="TableParagraph"/>
              <w:spacing w:before="103"/>
              <w:rPr>
                <w:b/>
                <w:sz w:val="18"/>
              </w:rPr>
            </w:pPr>
          </w:p>
          <w:p>
            <w:pPr>
              <w:pStyle w:val="TableParagraph"/>
              <w:spacing w:before="1"/>
              <w:ind w:left="78" w:right="30"/>
              <w:rPr>
                <w:sz w:val="18"/>
              </w:rPr>
            </w:pPr>
            <w:r>
              <w:rPr>
                <w:sz w:val="18"/>
              </w:rPr>
              <w:t>Reportes SAP / informe</w:t>
            </w:r>
            <w:r>
              <w:rPr>
                <w:spacing w:val="-15"/>
                <w:sz w:val="18"/>
              </w:rPr>
              <w:t> </w:t>
            </w:r>
            <w:r>
              <w:rPr>
                <w:sz w:val="18"/>
              </w:rPr>
              <w:t>del</w:t>
            </w:r>
            <w:r>
              <w:rPr>
                <w:spacing w:val="-12"/>
                <w:sz w:val="18"/>
              </w:rPr>
              <w:t> </w:t>
            </w:r>
            <w:r>
              <w:rPr>
                <w:sz w:val="18"/>
              </w:rPr>
              <w:t>área </w:t>
            </w:r>
            <w:r>
              <w:rPr>
                <w:spacing w:val="-2"/>
                <w:sz w:val="18"/>
              </w:rPr>
              <w:t>contable.</w:t>
            </w:r>
          </w:p>
        </w:tc>
        <w:tc>
          <w:tcPr>
            <w:tcW w:w="1498" w:type="dxa"/>
          </w:tcPr>
          <w:p>
            <w:pPr>
              <w:pStyle w:val="TableParagraph"/>
              <w:rPr>
                <w:b/>
                <w:sz w:val="18"/>
              </w:rPr>
            </w:pPr>
          </w:p>
          <w:p>
            <w:pPr>
              <w:pStyle w:val="TableParagraph"/>
              <w:spacing w:before="103"/>
              <w:rPr>
                <w:b/>
                <w:sz w:val="18"/>
              </w:rPr>
            </w:pPr>
          </w:p>
          <w:p>
            <w:pPr>
              <w:pStyle w:val="TableParagraph"/>
              <w:ind w:left="73"/>
              <w:rPr>
                <w:sz w:val="18"/>
              </w:rPr>
            </w:pPr>
            <w:r>
              <w:rPr>
                <w:spacing w:val="-5"/>
                <w:sz w:val="18"/>
              </w:rPr>
              <w:t>DSA</w:t>
            </w:r>
          </w:p>
        </w:tc>
        <w:tc>
          <w:tcPr>
            <w:tcW w:w="1398" w:type="dxa"/>
          </w:tcPr>
          <w:p>
            <w:pPr>
              <w:pStyle w:val="TableParagraph"/>
              <w:rPr>
                <w:b/>
                <w:sz w:val="18"/>
              </w:rPr>
            </w:pPr>
          </w:p>
          <w:p>
            <w:pPr>
              <w:pStyle w:val="TableParagraph"/>
              <w:spacing w:before="103"/>
              <w:rPr>
                <w:b/>
                <w:sz w:val="18"/>
              </w:rPr>
            </w:pPr>
          </w:p>
          <w:p>
            <w:pPr>
              <w:pStyle w:val="TableParagraph"/>
              <w:ind w:left="29"/>
              <w:jc w:val="center"/>
              <w:rPr>
                <w:sz w:val="18"/>
              </w:rPr>
            </w:pPr>
            <w:r>
              <w:rPr>
                <w:spacing w:val="-10"/>
                <w:sz w:val="18"/>
              </w:rPr>
              <w:t>-</w:t>
            </w:r>
          </w:p>
        </w:tc>
        <w:tc>
          <w:tcPr>
            <w:tcW w:w="2059" w:type="dxa"/>
            <w:vMerge/>
            <w:tcBorders>
              <w:top w:val="nil"/>
            </w:tcBorders>
          </w:tcPr>
          <w:p>
            <w:pPr>
              <w:rPr>
                <w:sz w:val="2"/>
                <w:szCs w:val="2"/>
              </w:rPr>
            </w:pPr>
          </w:p>
        </w:tc>
      </w:tr>
      <w:tr>
        <w:trPr>
          <w:trHeight w:val="465" w:hRule="atLeast"/>
        </w:trPr>
        <w:tc>
          <w:tcPr>
            <w:tcW w:w="14316" w:type="dxa"/>
            <w:gridSpan w:val="8"/>
            <w:shd w:val="clear" w:color="auto" w:fill="EFF8F9"/>
          </w:tcPr>
          <w:p>
            <w:pPr>
              <w:pStyle w:val="TableParagraph"/>
              <w:spacing w:before="27"/>
              <w:ind w:left="77" w:right="137"/>
              <w:rPr>
                <w:b/>
                <w:sz w:val="18"/>
              </w:rPr>
            </w:pPr>
            <w:r>
              <w:rPr>
                <w:b/>
                <w:sz w:val="18"/>
              </w:rPr>
              <w:t>Producto</w:t>
            </w:r>
            <w:r>
              <w:rPr>
                <w:b/>
                <w:spacing w:val="-4"/>
                <w:sz w:val="18"/>
              </w:rPr>
              <w:t> </w:t>
            </w:r>
            <w:r>
              <w:rPr>
                <w:b/>
                <w:sz w:val="18"/>
              </w:rPr>
              <w:t>PAC</w:t>
            </w:r>
            <w:r>
              <w:rPr>
                <w:b/>
                <w:spacing w:val="-5"/>
                <w:sz w:val="18"/>
              </w:rPr>
              <w:t> </w:t>
            </w:r>
            <w:r>
              <w:rPr>
                <w:b/>
                <w:sz w:val="18"/>
              </w:rPr>
              <w:t>2.27:</w:t>
            </w:r>
            <w:r>
              <w:rPr>
                <w:b/>
                <w:spacing w:val="40"/>
                <w:sz w:val="18"/>
              </w:rPr>
              <w:t> </w:t>
            </w:r>
            <w:r>
              <w:rPr>
                <w:b/>
                <w:sz w:val="18"/>
              </w:rPr>
              <w:t>Indicadores de gestión presupuestaria</w:t>
            </w:r>
            <w:r>
              <w:rPr>
                <w:b/>
                <w:spacing w:val="-3"/>
                <w:sz w:val="18"/>
              </w:rPr>
              <w:t> </w:t>
            </w:r>
            <w:r>
              <w:rPr>
                <w:b/>
                <w:sz w:val="18"/>
              </w:rPr>
              <w:t>diseñados</w:t>
            </w:r>
            <w:r>
              <w:rPr>
                <w:b/>
                <w:spacing w:val="-3"/>
                <w:sz w:val="18"/>
              </w:rPr>
              <w:t> </w:t>
            </w:r>
            <w:r>
              <w:rPr>
                <w:b/>
                <w:sz w:val="18"/>
              </w:rPr>
              <w:t>para</w:t>
            </w:r>
            <w:r>
              <w:rPr>
                <w:b/>
                <w:spacing w:val="-3"/>
                <w:sz w:val="18"/>
              </w:rPr>
              <w:t> </w:t>
            </w:r>
            <w:r>
              <w:rPr>
                <w:b/>
                <w:sz w:val="18"/>
              </w:rPr>
              <w:t>medir</w:t>
            </w:r>
            <w:r>
              <w:rPr>
                <w:b/>
                <w:spacing w:val="-2"/>
                <w:sz w:val="18"/>
              </w:rPr>
              <w:t> </w:t>
            </w:r>
            <w:r>
              <w:rPr>
                <w:b/>
                <w:sz w:val="18"/>
              </w:rPr>
              <w:t>el</w:t>
            </w:r>
            <w:r>
              <w:rPr>
                <w:b/>
                <w:spacing w:val="-1"/>
                <w:sz w:val="18"/>
              </w:rPr>
              <w:t> </w:t>
            </w:r>
            <w:r>
              <w:rPr>
                <w:b/>
                <w:sz w:val="18"/>
              </w:rPr>
              <w:t>cumplimiento</w:t>
            </w:r>
            <w:r>
              <w:rPr>
                <w:b/>
                <w:spacing w:val="-4"/>
                <w:sz w:val="18"/>
              </w:rPr>
              <w:t> </w:t>
            </w:r>
            <w:r>
              <w:rPr>
                <w:b/>
                <w:sz w:val="18"/>
              </w:rPr>
              <w:t>de</w:t>
            </w:r>
            <w:r>
              <w:rPr>
                <w:b/>
                <w:spacing w:val="-3"/>
                <w:sz w:val="18"/>
              </w:rPr>
              <w:t> </w:t>
            </w:r>
            <w:r>
              <w:rPr>
                <w:b/>
                <w:sz w:val="18"/>
              </w:rPr>
              <w:t>las</w:t>
            </w:r>
            <w:r>
              <w:rPr>
                <w:b/>
                <w:spacing w:val="-3"/>
                <w:sz w:val="18"/>
              </w:rPr>
              <w:t> </w:t>
            </w:r>
            <w:r>
              <w:rPr>
                <w:b/>
                <w:sz w:val="18"/>
              </w:rPr>
              <w:t>metas basadas</w:t>
            </w:r>
            <w:r>
              <w:rPr>
                <w:b/>
                <w:spacing w:val="-3"/>
                <w:sz w:val="18"/>
              </w:rPr>
              <w:t> </w:t>
            </w:r>
            <w:r>
              <w:rPr>
                <w:b/>
                <w:sz w:val="18"/>
              </w:rPr>
              <w:t>en</w:t>
            </w:r>
            <w:r>
              <w:rPr>
                <w:b/>
                <w:spacing w:val="-4"/>
                <w:sz w:val="18"/>
              </w:rPr>
              <w:t> </w:t>
            </w:r>
            <w:r>
              <w:rPr>
                <w:b/>
                <w:sz w:val="18"/>
              </w:rPr>
              <w:t>resultados y</w:t>
            </w:r>
            <w:r>
              <w:rPr>
                <w:b/>
                <w:spacing w:val="-3"/>
                <w:sz w:val="18"/>
              </w:rPr>
              <w:t> </w:t>
            </w:r>
            <w:r>
              <w:rPr>
                <w:b/>
                <w:sz w:val="18"/>
              </w:rPr>
              <w:t>género.</w:t>
            </w:r>
            <w:r>
              <w:rPr>
                <w:b/>
                <w:spacing w:val="-1"/>
                <w:sz w:val="18"/>
              </w:rPr>
              <w:t> </w:t>
            </w:r>
            <w:r>
              <w:rPr>
                <w:b/>
                <w:sz w:val="18"/>
              </w:rPr>
              <w:t>(E1 AE10 R2).</w:t>
            </w:r>
            <w:r>
              <w:rPr>
                <w:b/>
                <w:spacing w:val="-1"/>
                <w:sz w:val="18"/>
              </w:rPr>
              <w:t> </w:t>
            </w:r>
            <w:r>
              <w:rPr>
                <w:b/>
                <w:sz w:val="18"/>
              </w:rPr>
              <w:t>60% al 2026.</w:t>
            </w:r>
          </w:p>
        </w:tc>
      </w:tr>
      <w:tr>
        <w:trPr>
          <w:trHeight w:val="1243" w:hRule="atLeast"/>
        </w:trPr>
        <w:tc>
          <w:tcPr>
            <w:tcW w:w="2823" w:type="dxa"/>
            <w:tcBorders>
              <w:left w:val="single" w:sz="8" w:space="0" w:color="000000"/>
            </w:tcBorders>
          </w:tcPr>
          <w:p>
            <w:pPr>
              <w:pStyle w:val="TableParagraph"/>
              <w:spacing w:line="242" w:lineRule="auto"/>
              <w:ind w:left="72" w:right="642"/>
              <w:rPr>
                <w:sz w:val="18"/>
              </w:rPr>
            </w:pPr>
            <w:r>
              <w:rPr>
                <w:b/>
                <w:sz w:val="18"/>
              </w:rPr>
              <w:t>Actividad</w:t>
            </w:r>
            <w:r>
              <w:rPr>
                <w:b/>
                <w:spacing w:val="-15"/>
                <w:sz w:val="18"/>
              </w:rPr>
              <w:t> </w:t>
            </w:r>
            <w:r>
              <w:rPr>
                <w:b/>
                <w:sz w:val="18"/>
              </w:rPr>
              <w:t>PAC</w:t>
            </w:r>
            <w:r>
              <w:rPr>
                <w:b/>
                <w:spacing w:val="-12"/>
                <w:sz w:val="18"/>
              </w:rPr>
              <w:t> </w:t>
            </w:r>
            <w:r>
              <w:rPr>
                <w:b/>
                <w:sz w:val="18"/>
              </w:rPr>
              <w:t>2.27.1: </w:t>
            </w:r>
            <w:r>
              <w:rPr>
                <w:sz w:val="18"/>
              </w:rPr>
              <w:t>Dar seguimiento a los indicadores de gestión</w:t>
            </w:r>
          </w:p>
          <w:p>
            <w:pPr>
              <w:pStyle w:val="TableParagraph"/>
              <w:spacing w:line="206" w:lineRule="exact"/>
              <w:ind w:left="72" w:right="10"/>
              <w:rPr>
                <w:sz w:val="18"/>
              </w:rPr>
            </w:pPr>
            <w:r>
              <w:rPr>
                <w:sz w:val="18"/>
              </w:rPr>
              <w:t>presupuestaria idóneos para el cumplimiento</w:t>
            </w:r>
            <w:r>
              <w:rPr>
                <w:spacing w:val="-12"/>
                <w:sz w:val="18"/>
              </w:rPr>
              <w:t> </w:t>
            </w:r>
            <w:r>
              <w:rPr>
                <w:sz w:val="18"/>
              </w:rPr>
              <w:t>de</w:t>
            </w:r>
            <w:r>
              <w:rPr>
                <w:spacing w:val="-12"/>
                <w:sz w:val="18"/>
              </w:rPr>
              <w:t> </w:t>
            </w:r>
            <w:r>
              <w:rPr>
                <w:sz w:val="18"/>
              </w:rPr>
              <w:t>metas</w:t>
            </w:r>
            <w:r>
              <w:rPr>
                <w:spacing w:val="-12"/>
                <w:sz w:val="18"/>
              </w:rPr>
              <w:t> </w:t>
            </w:r>
            <w:r>
              <w:rPr>
                <w:sz w:val="18"/>
              </w:rPr>
              <w:t>basadas en resultado y género.</w:t>
            </w:r>
          </w:p>
        </w:tc>
        <w:tc>
          <w:tcPr>
            <w:tcW w:w="1387" w:type="dxa"/>
          </w:tcPr>
          <w:p>
            <w:pPr>
              <w:pStyle w:val="TableParagraph"/>
              <w:rPr>
                <w:b/>
                <w:sz w:val="18"/>
              </w:rPr>
            </w:pPr>
          </w:p>
          <w:p>
            <w:pPr>
              <w:pStyle w:val="TableParagraph"/>
              <w:spacing w:before="103"/>
              <w:rPr>
                <w:b/>
                <w:sz w:val="18"/>
              </w:rPr>
            </w:pPr>
          </w:p>
          <w:p>
            <w:pPr>
              <w:pStyle w:val="TableParagraph"/>
              <w:ind w:left="21"/>
              <w:jc w:val="center"/>
              <w:rPr>
                <w:sz w:val="18"/>
              </w:rPr>
            </w:pPr>
            <w:r>
              <w:rPr>
                <w:spacing w:val="-5"/>
                <w:sz w:val="18"/>
              </w:rPr>
              <w:t>N/A</w:t>
            </w:r>
          </w:p>
        </w:tc>
        <w:tc>
          <w:tcPr>
            <w:tcW w:w="1181" w:type="dxa"/>
          </w:tcPr>
          <w:p>
            <w:pPr>
              <w:pStyle w:val="TableParagraph"/>
              <w:rPr>
                <w:b/>
                <w:sz w:val="18"/>
              </w:rPr>
            </w:pPr>
          </w:p>
          <w:p>
            <w:pPr>
              <w:pStyle w:val="TableParagraph"/>
              <w:spacing w:before="103"/>
              <w:rPr>
                <w:b/>
                <w:sz w:val="18"/>
              </w:rPr>
            </w:pPr>
          </w:p>
          <w:p>
            <w:pPr>
              <w:pStyle w:val="TableParagraph"/>
              <w:ind w:left="31" w:right="5"/>
              <w:jc w:val="center"/>
              <w:rPr>
                <w:sz w:val="18"/>
              </w:rPr>
            </w:pPr>
            <w:r>
              <w:rPr>
                <w:spacing w:val="-10"/>
                <w:sz w:val="18"/>
              </w:rPr>
              <w:t>8</w:t>
            </w:r>
          </w:p>
        </w:tc>
        <w:tc>
          <w:tcPr>
            <w:tcW w:w="2165" w:type="dxa"/>
          </w:tcPr>
          <w:p>
            <w:pPr>
              <w:pStyle w:val="TableParagraph"/>
              <w:spacing w:before="103"/>
              <w:rPr>
                <w:b/>
                <w:sz w:val="18"/>
              </w:rPr>
            </w:pPr>
          </w:p>
          <w:p>
            <w:pPr>
              <w:pStyle w:val="TableParagraph"/>
              <w:spacing w:before="1"/>
              <w:ind w:left="77"/>
              <w:rPr>
                <w:sz w:val="18"/>
              </w:rPr>
            </w:pPr>
            <w:r>
              <w:rPr>
                <w:sz w:val="18"/>
              </w:rPr>
              <w:t>Cantidad</w:t>
            </w:r>
            <w:r>
              <w:rPr>
                <w:spacing w:val="-15"/>
                <w:sz w:val="18"/>
              </w:rPr>
              <w:t> </w:t>
            </w:r>
            <w:r>
              <w:rPr>
                <w:sz w:val="18"/>
              </w:rPr>
              <w:t>de</w:t>
            </w:r>
            <w:r>
              <w:rPr>
                <w:spacing w:val="-12"/>
                <w:sz w:val="18"/>
              </w:rPr>
              <w:t> </w:t>
            </w:r>
            <w:r>
              <w:rPr>
                <w:sz w:val="18"/>
              </w:rPr>
              <w:t>sesiones realizadas para el </w:t>
            </w:r>
            <w:r>
              <w:rPr>
                <w:spacing w:val="-2"/>
                <w:sz w:val="18"/>
              </w:rPr>
              <w:t>seguimiento.</w:t>
            </w:r>
          </w:p>
        </w:tc>
        <w:tc>
          <w:tcPr>
            <w:tcW w:w="1805" w:type="dxa"/>
          </w:tcPr>
          <w:p>
            <w:pPr>
              <w:pStyle w:val="TableParagraph"/>
              <w:rPr>
                <w:b/>
                <w:sz w:val="18"/>
              </w:rPr>
            </w:pPr>
          </w:p>
          <w:p>
            <w:pPr>
              <w:pStyle w:val="TableParagraph"/>
              <w:spacing w:before="3"/>
              <w:rPr>
                <w:b/>
                <w:sz w:val="18"/>
              </w:rPr>
            </w:pPr>
          </w:p>
          <w:p>
            <w:pPr>
              <w:pStyle w:val="TableParagraph"/>
              <w:ind w:left="78" w:right="30"/>
              <w:rPr>
                <w:sz w:val="18"/>
              </w:rPr>
            </w:pPr>
            <w:r>
              <w:rPr>
                <w:sz w:val="18"/>
              </w:rPr>
              <w:t>Lista</w:t>
            </w:r>
            <w:r>
              <w:rPr>
                <w:spacing w:val="-13"/>
                <w:sz w:val="18"/>
              </w:rPr>
              <w:t> </w:t>
            </w:r>
            <w:r>
              <w:rPr>
                <w:sz w:val="18"/>
              </w:rPr>
              <w:t>de</w:t>
            </w:r>
            <w:r>
              <w:rPr>
                <w:spacing w:val="-9"/>
                <w:sz w:val="18"/>
              </w:rPr>
              <w:t> </w:t>
            </w:r>
            <w:r>
              <w:rPr>
                <w:sz w:val="18"/>
              </w:rPr>
              <w:t>asistencia</w:t>
            </w:r>
            <w:r>
              <w:rPr>
                <w:spacing w:val="-10"/>
                <w:sz w:val="18"/>
              </w:rPr>
              <w:t> </w:t>
            </w:r>
            <w:r>
              <w:rPr>
                <w:sz w:val="18"/>
              </w:rPr>
              <w:t>a las sesiones.</w:t>
            </w:r>
          </w:p>
        </w:tc>
        <w:tc>
          <w:tcPr>
            <w:tcW w:w="1498" w:type="dxa"/>
          </w:tcPr>
          <w:p>
            <w:pPr>
              <w:pStyle w:val="TableParagraph"/>
              <w:rPr>
                <w:b/>
                <w:sz w:val="18"/>
              </w:rPr>
            </w:pPr>
          </w:p>
          <w:p>
            <w:pPr>
              <w:pStyle w:val="TableParagraph"/>
              <w:spacing w:before="103"/>
              <w:rPr>
                <w:b/>
                <w:sz w:val="18"/>
              </w:rPr>
            </w:pPr>
          </w:p>
          <w:p>
            <w:pPr>
              <w:pStyle w:val="TableParagraph"/>
              <w:ind w:left="73"/>
              <w:rPr>
                <w:sz w:val="18"/>
              </w:rPr>
            </w:pPr>
            <w:r>
              <w:rPr>
                <w:spacing w:val="-5"/>
                <w:sz w:val="18"/>
              </w:rPr>
              <w:t>DSA</w:t>
            </w:r>
          </w:p>
        </w:tc>
        <w:tc>
          <w:tcPr>
            <w:tcW w:w="1398" w:type="dxa"/>
          </w:tcPr>
          <w:p>
            <w:pPr>
              <w:pStyle w:val="TableParagraph"/>
              <w:rPr>
                <w:b/>
                <w:sz w:val="18"/>
              </w:rPr>
            </w:pPr>
          </w:p>
          <w:p>
            <w:pPr>
              <w:pStyle w:val="TableParagraph"/>
              <w:spacing w:before="103"/>
              <w:rPr>
                <w:b/>
                <w:sz w:val="18"/>
              </w:rPr>
            </w:pPr>
          </w:p>
          <w:p>
            <w:pPr>
              <w:pStyle w:val="TableParagraph"/>
              <w:ind w:left="29"/>
              <w:jc w:val="center"/>
              <w:rPr>
                <w:sz w:val="18"/>
              </w:rPr>
            </w:pPr>
            <w:r>
              <w:rPr>
                <w:spacing w:val="-10"/>
                <w:sz w:val="18"/>
              </w:rPr>
              <w:t>-</w:t>
            </w:r>
          </w:p>
        </w:tc>
        <w:tc>
          <w:tcPr>
            <w:tcW w:w="2059"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
              <w:rPr>
                <w:b/>
                <w:sz w:val="18"/>
              </w:rPr>
            </w:pPr>
          </w:p>
          <w:p>
            <w:pPr>
              <w:pStyle w:val="TableParagraph"/>
              <w:ind w:left="77" w:right="53"/>
              <w:rPr>
                <w:sz w:val="18"/>
              </w:rPr>
            </w:pPr>
            <w:r>
              <w:rPr>
                <w:sz w:val="18"/>
              </w:rPr>
              <w:t>Evento: No se cuente con los indicadores de gestión</w:t>
            </w:r>
            <w:r>
              <w:rPr>
                <w:spacing w:val="-13"/>
                <w:sz w:val="18"/>
              </w:rPr>
              <w:t> </w:t>
            </w:r>
            <w:r>
              <w:rPr>
                <w:sz w:val="18"/>
              </w:rPr>
              <w:t>presupuestarios con enfoque de </w:t>
            </w:r>
            <w:r>
              <w:rPr>
                <w:spacing w:val="-2"/>
                <w:sz w:val="18"/>
              </w:rPr>
              <w:t>resultados oportunamente</w:t>
            </w:r>
          </w:p>
        </w:tc>
      </w:tr>
      <w:tr>
        <w:trPr>
          <w:trHeight w:val="1241" w:hRule="atLeast"/>
        </w:trPr>
        <w:tc>
          <w:tcPr>
            <w:tcW w:w="2823" w:type="dxa"/>
          </w:tcPr>
          <w:p>
            <w:pPr>
              <w:pStyle w:val="TableParagraph"/>
              <w:spacing w:line="204" w:lineRule="exact"/>
              <w:ind w:left="77"/>
              <w:rPr>
                <w:b/>
                <w:sz w:val="18"/>
              </w:rPr>
            </w:pPr>
            <w:r>
              <w:rPr>
                <w:b/>
                <w:sz w:val="18"/>
              </w:rPr>
              <w:t>Actividad</w:t>
            </w:r>
            <w:r>
              <w:rPr>
                <w:b/>
                <w:spacing w:val="-6"/>
                <w:sz w:val="18"/>
              </w:rPr>
              <w:t> </w:t>
            </w:r>
            <w:r>
              <w:rPr>
                <w:b/>
                <w:sz w:val="18"/>
              </w:rPr>
              <w:t>PAC</w:t>
            </w:r>
            <w:r>
              <w:rPr>
                <w:b/>
                <w:spacing w:val="-2"/>
                <w:sz w:val="18"/>
              </w:rPr>
              <w:t> 2.27.2:</w:t>
            </w:r>
          </w:p>
          <w:p>
            <w:pPr>
              <w:pStyle w:val="TableParagraph"/>
              <w:spacing w:line="242" w:lineRule="auto"/>
              <w:ind w:left="77" w:right="79"/>
              <w:rPr>
                <w:sz w:val="18"/>
              </w:rPr>
            </w:pPr>
            <w:r>
              <w:rPr>
                <w:sz w:val="18"/>
              </w:rPr>
              <w:t>Incluir</w:t>
            </w:r>
            <w:r>
              <w:rPr>
                <w:spacing w:val="-3"/>
                <w:sz w:val="18"/>
              </w:rPr>
              <w:t> </w:t>
            </w:r>
            <w:r>
              <w:rPr>
                <w:sz w:val="18"/>
              </w:rPr>
              <w:t>en</w:t>
            </w:r>
            <w:r>
              <w:rPr>
                <w:spacing w:val="-5"/>
                <w:sz w:val="18"/>
              </w:rPr>
              <w:t> </w:t>
            </w:r>
            <w:r>
              <w:rPr>
                <w:sz w:val="18"/>
              </w:rPr>
              <w:t>el</w:t>
            </w:r>
            <w:r>
              <w:rPr>
                <w:spacing w:val="-2"/>
                <w:sz w:val="18"/>
              </w:rPr>
              <w:t> </w:t>
            </w:r>
            <w:r>
              <w:rPr>
                <w:sz w:val="18"/>
              </w:rPr>
              <w:t>informe</w:t>
            </w:r>
            <w:r>
              <w:rPr>
                <w:spacing w:val="-5"/>
                <w:sz w:val="18"/>
              </w:rPr>
              <w:t> </w:t>
            </w:r>
            <w:r>
              <w:rPr>
                <w:sz w:val="18"/>
              </w:rPr>
              <w:t>de</w:t>
            </w:r>
            <w:r>
              <w:rPr>
                <w:spacing w:val="-1"/>
                <w:sz w:val="18"/>
              </w:rPr>
              <w:t> </w:t>
            </w:r>
            <w:r>
              <w:rPr>
                <w:sz w:val="18"/>
              </w:rPr>
              <w:t>ejecución presupuestaria un resumen de los</w:t>
            </w:r>
            <w:r>
              <w:rPr>
                <w:spacing w:val="-6"/>
                <w:sz w:val="18"/>
              </w:rPr>
              <w:t> </w:t>
            </w:r>
            <w:r>
              <w:rPr>
                <w:sz w:val="18"/>
              </w:rPr>
              <w:t>resultados</w:t>
            </w:r>
            <w:r>
              <w:rPr>
                <w:spacing w:val="-6"/>
                <w:sz w:val="18"/>
              </w:rPr>
              <w:t> </w:t>
            </w:r>
            <w:r>
              <w:rPr>
                <w:sz w:val="18"/>
              </w:rPr>
              <w:t>de</w:t>
            </w:r>
            <w:r>
              <w:rPr>
                <w:spacing w:val="-6"/>
                <w:sz w:val="18"/>
              </w:rPr>
              <w:t> </w:t>
            </w:r>
            <w:r>
              <w:rPr>
                <w:sz w:val="18"/>
              </w:rPr>
              <w:t>la</w:t>
            </w:r>
            <w:r>
              <w:rPr>
                <w:spacing w:val="-10"/>
                <w:sz w:val="18"/>
              </w:rPr>
              <w:t> </w:t>
            </w:r>
            <w:r>
              <w:rPr>
                <w:sz w:val="18"/>
              </w:rPr>
              <w:t>aplicación</w:t>
            </w:r>
            <w:r>
              <w:rPr>
                <w:spacing w:val="-10"/>
                <w:sz w:val="18"/>
              </w:rPr>
              <w:t> </w:t>
            </w:r>
            <w:r>
              <w:rPr>
                <w:sz w:val="18"/>
              </w:rPr>
              <w:t>de</w:t>
            </w:r>
          </w:p>
          <w:p>
            <w:pPr>
              <w:pStyle w:val="TableParagraph"/>
              <w:spacing w:line="206" w:lineRule="exact"/>
              <w:ind w:left="77"/>
              <w:rPr>
                <w:sz w:val="18"/>
              </w:rPr>
            </w:pPr>
            <w:r>
              <w:rPr>
                <w:sz w:val="18"/>
              </w:rPr>
              <w:t>los</w:t>
            </w:r>
            <w:r>
              <w:rPr>
                <w:spacing w:val="-8"/>
                <w:sz w:val="18"/>
              </w:rPr>
              <w:t> </w:t>
            </w:r>
            <w:r>
              <w:rPr>
                <w:sz w:val="18"/>
              </w:rPr>
              <w:t>indicadores</w:t>
            </w:r>
            <w:r>
              <w:rPr>
                <w:spacing w:val="-12"/>
                <w:sz w:val="18"/>
              </w:rPr>
              <w:t> </w:t>
            </w:r>
            <w:r>
              <w:rPr>
                <w:sz w:val="18"/>
              </w:rPr>
              <w:t>de</w:t>
            </w:r>
            <w:r>
              <w:rPr>
                <w:spacing w:val="-12"/>
                <w:sz w:val="18"/>
              </w:rPr>
              <w:t> </w:t>
            </w:r>
            <w:r>
              <w:rPr>
                <w:sz w:val="18"/>
              </w:rPr>
              <w:t>gestión </w:t>
            </w:r>
            <w:r>
              <w:rPr>
                <w:spacing w:val="-2"/>
                <w:sz w:val="18"/>
              </w:rPr>
              <w:t>presupuestaria.</w:t>
            </w:r>
          </w:p>
        </w:tc>
        <w:tc>
          <w:tcPr>
            <w:tcW w:w="1387" w:type="dxa"/>
          </w:tcPr>
          <w:p>
            <w:pPr>
              <w:pStyle w:val="TableParagraph"/>
              <w:rPr>
                <w:b/>
                <w:sz w:val="18"/>
              </w:rPr>
            </w:pPr>
          </w:p>
          <w:p>
            <w:pPr>
              <w:pStyle w:val="TableParagraph"/>
              <w:spacing w:before="101"/>
              <w:rPr>
                <w:b/>
                <w:sz w:val="18"/>
              </w:rPr>
            </w:pPr>
          </w:p>
          <w:p>
            <w:pPr>
              <w:pStyle w:val="TableParagraph"/>
              <w:spacing w:before="1"/>
              <w:ind w:left="21"/>
              <w:jc w:val="center"/>
              <w:rPr>
                <w:sz w:val="18"/>
              </w:rPr>
            </w:pPr>
            <w:r>
              <w:rPr>
                <w:spacing w:val="-5"/>
                <w:sz w:val="18"/>
              </w:rPr>
              <w:t>N/A</w:t>
            </w:r>
          </w:p>
        </w:tc>
        <w:tc>
          <w:tcPr>
            <w:tcW w:w="1181" w:type="dxa"/>
          </w:tcPr>
          <w:p>
            <w:pPr>
              <w:pStyle w:val="TableParagraph"/>
              <w:rPr>
                <w:b/>
                <w:sz w:val="18"/>
              </w:rPr>
            </w:pPr>
          </w:p>
          <w:p>
            <w:pPr>
              <w:pStyle w:val="TableParagraph"/>
              <w:spacing w:before="101"/>
              <w:rPr>
                <w:b/>
                <w:sz w:val="18"/>
              </w:rPr>
            </w:pPr>
          </w:p>
          <w:p>
            <w:pPr>
              <w:pStyle w:val="TableParagraph"/>
              <w:spacing w:before="1"/>
              <w:ind w:left="31" w:right="5"/>
              <w:jc w:val="center"/>
              <w:rPr>
                <w:sz w:val="18"/>
              </w:rPr>
            </w:pPr>
            <w:r>
              <w:rPr>
                <w:spacing w:val="-10"/>
                <w:sz w:val="18"/>
              </w:rPr>
              <w:t>1</w:t>
            </w:r>
          </w:p>
        </w:tc>
        <w:tc>
          <w:tcPr>
            <w:tcW w:w="2165" w:type="dxa"/>
          </w:tcPr>
          <w:p>
            <w:pPr>
              <w:pStyle w:val="TableParagraph"/>
              <w:spacing w:line="242" w:lineRule="auto" w:before="203"/>
              <w:ind w:left="77"/>
              <w:rPr>
                <w:sz w:val="18"/>
              </w:rPr>
            </w:pPr>
            <w:r>
              <w:rPr>
                <w:sz w:val="18"/>
              </w:rPr>
              <w:t>Cantidad</w:t>
            </w:r>
            <w:r>
              <w:rPr>
                <w:spacing w:val="-7"/>
                <w:sz w:val="18"/>
              </w:rPr>
              <w:t> </w:t>
            </w:r>
            <w:r>
              <w:rPr>
                <w:sz w:val="18"/>
              </w:rPr>
              <w:t>de</w:t>
            </w:r>
            <w:r>
              <w:rPr>
                <w:spacing w:val="-3"/>
                <w:sz w:val="18"/>
              </w:rPr>
              <w:t> </w:t>
            </w:r>
            <w:r>
              <w:rPr>
                <w:sz w:val="18"/>
              </w:rPr>
              <w:t>informes</w:t>
            </w:r>
            <w:r>
              <w:rPr>
                <w:spacing w:val="-2"/>
                <w:sz w:val="18"/>
              </w:rPr>
              <w:t> </w:t>
            </w:r>
            <w:r>
              <w:rPr>
                <w:sz w:val="18"/>
              </w:rPr>
              <w:t>de ejecución</w:t>
            </w:r>
            <w:r>
              <w:rPr>
                <w:spacing w:val="-15"/>
                <w:sz w:val="18"/>
              </w:rPr>
              <w:t> </w:t>
            </w:r>
            <w:r>
              <w:rPr>
                <w:sz w:val="18"/>
              </w:rPr>
              <w:t>con</w:t>
            </w:r>
            <w:r>
              <w:rPr>
                <w:spacing w:val="-12"/>
                <w:sz w:val="18"/>
              </w:rPr>
              <w:t> </w:t>
            </w:r>
            <w:r>
              <w:rPr>
                <w:sz w:val="18"/>
              </w:rPr>
              <w:t>resultados de la aplicación de los indicadores de gestión.</w:t>
            </w:r>
          </w:p>
        </w:tc>
        <w:tc>
          <w:tcPr>
            <w:tcW w:w="1805" w:type="dxa"/>
          </w:tcPr>
          <w:p>
            <w:pPr>
              <w:pStyle w:val="TableParagraph"/>
              <w:spacing w:before="102"/>
              <w:rPr>
                <w:b/>
                <w:sz w:val="18"/>
              </w:rPr>
            </w:pPr>
          </w:p>
          <w:p>
            <w:pPr>
              <w:pStyle w:val="TableParagraph"/>
              <w:ind w:left="78" w:right="165"/>
              <w:rPr>
                <w:sz w:val="18"/>
              </w:rPr>
            </w:pPr>
            <w:r>
              <w:rPr>
                <w:sz w:val="18"/>
              </w:rPr>
              <w:t>Informe de </w:t>
            </w:r>
            <w:r>
              <w:rPr>
                <w:spacing w:val="-2"/>
                <w:sz w:val="18"/>
              </w:rPr>
              <w:t>ejecución presupuestaria.</w:t>
            </w:r>
          </w:p>
        </w:tc>
        <w:tc>
          <w:tcPr>
            <w:tcW w:w="1498" w:type="dxa"/>
          </w:tcPr>
          <w:p>
            <w:pPr>
              <w:pStyle w:val="TableParagraph"/>
              <w:rPr>
                <w:b/>
                <w:sz w:val="18"/>
              </w:rPr>
            </w:pPr>
          </w:p>
          <w:p>
            <w:pPr>
              <w:pStyle w:val="TableParagraph"/>
              <w:spacing w:before="101"/>
              <w:rPr>
                <w:b/>
                <w:sz w:val="18"/>
              </w:rPr>
            </w:pPr>
          </w:p>
          <w:p>
            <w:pPr>
              <w:pStyle w:val="TableParagraph"/>
              <w:spacing w:before="1"/>
              <w:ind w:left="73"/>
              <w:rPr>
                <w:sz w:val="18"/>
              </w:rPr>
            </w:pPr>
            <w:r>
              <w:rPr>
                <w:spacing w:val="-5"/>
                <w:sz w:val="18"/>
              </w:rPr>
              <w:t>DSA</w:t>
            </w:r>
          </w:p>
        </w:tc>
        <w:tc>
          <w:tcPr>
            <w:tcW w:w="1398" w:type="dxa"/>
          </w:tcPr>
          <w:p>
            <w:pPr>
              <w:pStyle w:val="TableParagraph"/>
              <w:rPr>
                <w:b/>
                <w:sz w:val="18"/>
              </w:rPr>
            </w:pPr>
          </w:p>
          <w:p>
            <w:pPr>
              <w:pStyle w:val="TableParagraph"/>
              <w:spacing w:before="101"/>
              <w:rPr>
                <w:b/>
                <w:sz w:val="18"/>
              </w:rPr>
            </w:pPr>
          </w:p>
          <w:p>
            <w:pPr>
              <w:pStyle w:val="TableParagraph"/>
              <w:spacing w:before="1"/>
              <w:ind w:left="29"/>
              <w:jc w:val="center"/>
              <w:rPr>
                <w:sz w:val="18"/>
              </w:rPr>
            </w:pPr>
            <w:r>
              <w:rPr>
                <w:spacing w:val="-10"/>
                <w:sz w:val="18"/>
              </w:rPr>
              <w:t>-</w:t>
            </w:r>
          </w:p>
        </w:tc>
        <w:tc>
          <w:tcPr>
            <w:tcW w:w="2059" w:type="dxa"/>
            <w:vMerge/>
            <w:tcBorders>
              <w:top w:val="nil"/>
            </w:tcBorders>
          </w:tcPr>
          <w:p>
            <w:pPr>
              <w:rPr>
                <w:sz w:val="2"/>
                <w:szCs w:val="2"/>
              </w:rPr>
            </w:pPr>
          </w:p>
        </w:tc>
      </w:tr>
      <w:tr>
        <w:trPr>
          <w:trHeight w:val="1241" w:hRule="atLeast"/>
        </w:trPr>
        <w:tc>
          <w:tcPr>
            <w:tcW w:w="2823" w:type="dxa"/>
          </w:tcPr>
          <w:p>
            <w:pPr>
              <w:pStyle w:val="TableParagraph"/>
              <w:spacing w:before="203"/>
              <w:ind w:left="77"/>
              <w:rPr>
                <w:b/>
                <w:sz w:val="18"/>
              </w:rPr>
            </w:pPr>
            <w:r>
              <w:rPr>
                <w:b/>
                <w:sz w:val="18"/>
              </w:rPr>
              <w:t>Actividad</w:t>
            </w:r>
            <w:r>
              <w:rPr>
                <w:b/>
                <w:spacing w:val="-6"/>
                <w:sz w:val="18"/>
              </w:rPr>
              <w:t> </w:t>
            </w:r>
            <w:r>
              <w:rPr>
                <w:b/>
                <w:sz w:val="18"/>
              </w:rPr>
              <w:t>PAC</w:t>
            </w:r>
            <w:r>
              <w:rPr>
                <w:b/>
                <w:spacing w:val="-2"/>
                <w:sz w:val="18"/>
              </w:rPr>
              <w:t> 2.27.3:</w:t>
            </w:r>
          </w:p>
          <w:p>
            <w:pPr>
              <w:pStyle w:val="TableParagraph"/>
              <w:spacing w:line="242" w:lineRule="auto"/>
              <w:ind w:left="77"/>
              <w:rPr>
                <w:sz w:val="18"/>
              </w:rPr>
            </w:pPr>
            <w:r>
              <w:rPr>
                <w:sz w:val="18"/>
              </w:rPr>
              <w:t>Verificar</w:t>
            </w:r>
            <w:r>
              <w:rPr>
                <w:spacing w:val="-9"/>
                <w:sz w:val="18"/>
              </w:rPr>
              <w:t> </w:t>
            </w:r>
            <w:r>
              <w:rPr>
                <w:sz w:val="18"/>
              </w:rPr>
              <w:t>la</w:t>
            </w:r>
            <w:r>
              <w:rPr>
                <w:spacing w:val="-11"/>
                <w:sz w:val="18"/>
              </w:rPr>
              <w:t> </w:t>
            </w:r>
            <w:r>
              <w:rPr>
                <w:sz w:val="18"/>
              </w:rPr>
              <w:t>cantidad</w:t>
            </w:r>
            <w:r>
              <w:rPr>
                <w:spacing w:val="-8"/>
                <w:sz w:val="18"/>
              </w:rPr>
              <w:t> </w:t>
            </w:r>
            <w:r>
              <w:rPr>
                <w:sz w:val="18"/>
              </w:rPr>
              <w:t>de</w:t>
            </w:r>
            <w:r>
              <w:rPr>
                <w:spacing w:val="-8"/>
                <w:sz w:val="18"/>
              </w:rPr>
              <w:t> </w:t>
            </w:r>
            <w:r>
              <w:rPr>
                <w:sz w:val="18"/>
              </w:rPr>
              <w:t>unidades que aplican los indicadores de ejecución presupuestaria.</w:t>
            </w:r>
          </w:p>
        </w:tc>
        <w:tc>
          <w:tcPr>
            <w:tcW w:w="1387" w:type="dxa"/>
          </w:tcPr>
          <w:p>
            <w:pPr>
              <w:pStyle w:val="TableParagraph"/>
              <w:rPr>
                <w:b/>
                <w:sz w:val="18"/>
              </w:rPr>
            </w:pPr>
          </w:p>
          <w:p>
            <w:pPr>
              <w:pStyle w:val="TableParagraph"/>
              <w:spacing w:before="102"/>
              <w:rPr>
                <w:b/>
                <w:sz w:val="18"/>
              </w:rPr>
            </w:pPr>
          </w:p>
          <w:p>
            <w:pPr>
              <w:pStyle w:val="TableParagraph"/>
              <w:ind w:left="21"/>
              <w:jc w:val="center"/>
              <w:rPr>
                <w:sz w:val="18"/>
              </w:rPr>
            </w:pPr>
            <w:r>
              <w:rPr>
                <w:spacing w:val="-5"/>
                <w:sz w:val="18"/>
              </w:rPr>
              <w:t>N/A</w:t>
            </w:r>
          </w:p>
        </w:tc>
        <w:tc>
          <w:tcPr>
            <w:tcW w:w="1181" w:type="dxa"/>
          </w:tcPr>
          <w:p>
            <w:pPr>
              <w:pStyle w:val="TableParagraph"/>
              <w:rPr>
                <w:b/>
                <w:sz w:val="18"/>
              </w:rPr>
            </w:pPr>
          </w:p>
          <w:p>
            <w:pPr>
              <w:pStyle w:val="TableParagraph"/>
              <w:spacing w:before="102"/>
              <w:rPr>
                <w:b/>
                <w:sz w:val="18"/>
              </w:rPr>
            </w:pPr>
          </w:p>
          <w:p>
            <w:pPr>
              <w:pStyle w:val="TableParagraph"/>
              <w:ind w:left="33" w:right="5"/>
              <w:jc w:val="center"/>
              <w:rPr>
                <w:sz w:val="18"/>
              </w:rPr>
            </w:pPr>
            <w:r>
              <w:rPr>
                <w:spacing w:val="-5"/>
                <w:sz w:val="18"/>
              </w:rPr>
              <w:t>60%</w:t>
            </w:r>
          </w:p>
        </w:tc>
        <w:tc>
          <w:tcPr>
            <w:tcW w:w="2165" w:type="dxa"/>
          </w:tcPr>
          <w:p>
            <w:pPr>
              <w:pStyle w:val="TableParagraph"/>
              <w:ind w:left="77" w:right="137"/>
              <w:rPr>
                <w:sz w:val="18"/>
              </w:rPr>
            </w:pPr>
            <w:r>
              <w:rPr>
                <w:sz w:val="18"/>
              </w:rPr>
              <w:t>Porcentaje</w:t>
            </w:r>
            <w:r>
              <w:rPr>
                <w:spacing w:val="-2"/>
                <w:sz w:val="18"/>
              </w:rPr>
              <w:t> </w:t>
            </w:r>
            <w:r>
              <w:rPr>
                <w:sz w:val="18"/>
              </w:rPr>
              <w:t>de</w:t>
            </w:r>
            <w:r>
              <w:rPr>
                <w:spacing w:val="-2"/>
                <w:sz w:val="18"/>
              </w:rPr>
              <w:t> </w:t>
            </w:r>
            <w:r>
              <w:rPr>
                <w:sz w:val="18"/>
              </w:rPr>
              <w:t>unidades que registran presupuesto con enfoque</w:t>
            </w:r>
            <w:r>
              <w:rPr>
                <w:spacing w:val="-12"/>
                <w:sz w:val="18"/>
              </w:rPr>
              <w:t> </w:t>
            </w:r>
            <w:r>
              <w:rPr>
                <w:sz w:val="18"/>
              </w:rPr>
              <w:t>de</w:t>
            </w:r>
            <w:r>
              <w:rPr>
                <w:spacing w:val="-12"/>
                <w:sz w:val="18"/>
              </w:rPr>
              <w:t> </w:t>
            </w:r>
            <w:r>
              <w:rPr>
                <w:sz w:val="18"/>
              </w:rPr>
              <w:t>resultados</w:t>
            </w:r>
            <w:r>
              <w:rPr>
                <w:spacing w:val="-12"/>
                <w:sz w:val="18"/>
              </w:rPr>
              <w:t> </w:t>
            </w:r>
            <w:r>
              <w:rPr>
                <w:sz w:val="18"/>
              </w:rPr>
              <w:t>y género aplicando</w:t>
            </w:r>
          </w:p>
          <w:p>
            <w:pPr>
              <w:pStyle w:val="TableParagraph"/>
              <w:spacing w:line="187" w:lineRule="exact"/>
              <w:ind w:left="77"/>
              <w:rPr>
                <w:sz w:val="18"/>
              </w:rPr>
            </w:pPr>
            <w:r>
              <w:rPr>
                <w:spacing w:val="-2"/>
                <w:sz w:val="18"/>
              </w:rPr>
              <w:t>indicadores.</w:t>
            </w:r>
          </w:p>
        </w:tc>
        <w:tc>
          <w:tcPr>
            <w:tcW w:w="1805" w:type="dxa"/>
          </w:tcPr>
          <w:p>
            <w:pPr>
              <w:pStyle w:val="TableParagraph"/>
              <w:spacing w:before="103"/>
              <w:ind w:left="78" w:right="349"/>
              <w:rPr>
                <w:sz w:val="18"/>
              </w:rPr>
            </w:pPr>
            <w:r>
              <w:rPr>
                <w:sz w:val="18"/>
              </w:rPr>
              <w:t>Informe con indicación de la cantidad de unidades</w:t>
            </w:r>
            <w:r>
              <w:rPr>
                <w:spacing w:val="-13"/>
                <w:sz w:val="18"/>
              </w:rPr>
              <w:t> </w:t>
            </w:r>
            <w:r>
              <w:rPr>
                <w:sz w:val="18"/>
              </w:rPr>
              <w:t>emitido por la DSA.</w:t>
            </w:r>
          </w:p>
        </w:tc>
        <w:tc>
          <w:tcPr>
            <w:tcW w:w="1498" w:type="dxa"/>
          </w:tcPr>
          <w:p>
            <w:pPr>
              <w:pStyle w:val="TableParagraph"/>
              <w:rPr>
                <w:b/>
                <w:sz w:val="18"/>
              </w:rPr>
            </w:pPr>
          </w:p>
          <w:p>
            <w:pPr>
              <w:pStyle w:val="TableParagraph"/>
              <w:spacing w:before="102"/>
              <w:rPr>
                <w:b/>
                <w:sz w:val="18"/>
              </w:rPr>
            </w:pPr>
          </w:p>
          <w:p>
            <w:pPr>
              <w:pStyle w:val="TableParagraph"/>
              <w:ind w:left="73"/>
              <w:rPr>
                <w:sz w:val="18"/>
              </w:rPr>
            </w:pPr>
            <w:r>
              <w:rPr>
                <w:spacing w:val="-5"/>
                <w:sz w:val="18"/>
              </w:rPr>
              <w:t>DSA</w:t>
            </w:r>
          </w:p>
        </w:tc>
        <w:tc>
          <w:tcPr>
            <w:tcW w:w="1398" w:type="dxa"/>
          </w:tcPr>
          <w:p>
            <w:pPr>
              <w:pStyle w:val="TableParagraph"/>
              <w:rPr>
                <w:b/>
                <w:sz w:val="18"/>
              </w:rPr>
            </w:pPr>
          </w:p>
          <w:p>
            <w:pPr>
              <w:pStyle w:val="TableParagraph"/>
              <w:spacing w:before="102"/>
              <w:rPr>
                <w:b/>
                <w:sz w:val="18"/>
              </w:rPr>
            </w:pPr>
          </w:p>
          <w:p>
            <w:pPr>
              <w:pStyle w:val="TableParagraph"/>
              <w:ind w:left="29"/>
              <w:jc w:val="center"/>
              <w:rPr>
                <w:sz w:val="18"/>
              </w:rPr>
            </w:pPr>
            <w:r>
              <w:rPr>
                <w:spacing w:val="-10"/>
                <w:sz w:val="18"/>
              </w:rPr>
              <w:t>-</w:t>
            </w:r>
          </w:p>
        </w:tc>
        <w:tc>
          <w:tcPr>
            <w:tcW w:w="2059" w:type="dxa"/>
            <w:vMerge/>
            <w:tcBorders>
              <w:top w:val="nil"/>
            </w:tcBorders>
          </w:tcPr>
          <w:p>
            <w:pPr>
              <w:rPr>
                <w:sz w:val="2"/>
                <w:szCs w:val="2"/>
              </w:rPr>
            </w:pPr>
          </w:p>
        </w:tc>
      </w:tr>
      <w:tr>
        <w:trPr>
          <w:trHeight w:val="465" w:hRule="atLeast"/>
        </w:trPr>
        <w:tc>
          <w:tcPr>
            <w:tcW w:w="14316" w:type="dxa"/>
            <w:gridSpan w:val="8"/>
            <w:shd w:val="clear" w:color="auto" w:fill="EFF8F9"/>
          </w:tcPr>
          <w:p>
            <w:pPr>
              <w:pStyle w:val="TableParagraph"/>
              <w:spacing w:before="128"/>
              <w:ind w:left="77"/>
              <w:rPr>
                <w:b/>
                <w:sz w:val="18"/>
              </w:rPr>
            </w:pPr>
            <w:r>
              <w:rPr>
                <w:b/>
                <w:sz w:val="18"/>
              </w:rPr>
              <w:t>Producto</w:t>
            </w:r>
            <w:r>
              <w:rPr>
                <w:b/>
                <w:spacing w:val="-9"/>
                <w:sz w:val="18"/>
              </w:rPr>
              <w:t> </w:t>
            </w:r>
            <w:r>
              <w:rPr>
                <w:b/>
                <w:sz w:val="18"/>
              </w:rPr>
              <w:t>PAC</w:t>
            </w:r>
            <w:r>
              <w:rPr>
                <w:b/>
                <w:spacing w:val="-8"/>
                <w:sz w:val="18"/>
              </w:rPr>
              <w:t> </w:t>
            </w:r>
            <w:r>
              <w:rPr>
                <w:b/>
                <w:sz w:val="18"/>
              </w:rPr>
              <w:t>2.28:</w:t>
            </w:r>
            <w:r>
              <w:rPr>
                <w:b/>
                <w:spacing w:val="-4"/>
                <w:sz w:val="18"/>
              </w:rPr>
              <w:t> </w:t>
            </w:r>
            <w:r>
              <w:rPr>
                <w:b/>
                <w:sz w:val="18"/>
              </w:rPr>
              <w:t>Prioridades</w:t>
            </w:r>
            <w:r>
              <w:rPr>
                <w:b/>
                <w:spacing w:val="-7"/>
                <w:sz w:val="18"/>
              </w:rPr>
              <w:t> </w:t>
            </w:r>
            <w:r>
              <w:rPr>
                <w:b/>
                <w:sz w:val="18"/>
              </w:rPr>
              <w:t>regionales</w:t>
            </w:r>
            <w:r>
              <w:rPr>
                <w:b/>
                <w:spacing w:val="-8"/>
                <w:sz w:val="18"/>
              </w:rPr>
              <w:t> </w:t>
            </w:r>
            <w:r>
              <w:rPr>
                <w:b/>
                <w:sz w:val="18"/>
              </w:rPr>
              <w:t>de</w:t>
            </w:r>
            <w:r>
              <w:rPr>
                <w:b/>
                <w:spacing w:val="-7"/>
                <w:sz w:val="18"/>
              </w:rPr>
              <w:t> </w:t>
            </w:r>
            <w:r>
              <w:rPr>
                <w:b/>
                <w:sz w:val="18"/>
              </w:rPr>
              <w:t>infraestructura</w:t>
            </w:r>
            <w:r>
              <w:rPr>
                <w:b/>
                <w:spacing w:val="-7"/>
                <w:sz w:val="18"/>
              </w:rPr>
              <w:t> </w:t>
            </w:r>
            <w:r>
              <w:rPr>
                <w:b/>
                <w:sz w:val="18"/>
              </w:rPr>
              <w:t>física</w:t>
            </w:r>
            <w:r>
              <w:rPr>
                <w:b/>
                <w:spacing w:val="-7"/>
                <w:sz w:val="18"/>
              </w:rPr>
              <w:t> </w:t>
            </w:r>
            <w:r>
              <w:rPr>
                <w:b/>
                <w:sz w:val="18"/>
              </w:rPr>
              <w:t>regional</w:t>
            </w:r>
            <w:r>
              <w:rPr>
                <w:b/>
                <w:spacing w:val="-1"/>
                <w:sz w:val="18"/>
              </w:rPr>
              <w:t> </w:t>
            </w:r>
            <w:r>
              <w:rPr>
                <w:b/>
                <w:sz w:val="18"/>
              </w:rPr>
              <w:t>y</w:t>
            </w:r>
            <w:r>
              <w:rPr>
                <w:b/>
                <w:spacing w:val="-7"/>
                <w:sz w:val="18"/>
              </w:rPr>
              <w:t> </w:t>
            </w:r>
            <w:r>
              <w:rPr>
                <w:b/>
                <w:sz w:val="18"/>
              </w:rPr>
              <w:t>territorial</w:t>
            </w:r>
            <w:r>
              <w:rPr>
                <w:b/>
                <w:spacing w:val="-6"/>
                <w:sz w:val="18"/>
              </w:rPr>
              <w:t> </w:t>
            </w:r>
            <w:r>
              <w:rPr>
                <w:b/>
                <w:sz w:val="18"/>
              </w:rPr>
              <w:t>identificadas.</w:t>
            </w:r>
            <w:r>
              <w:rPr>
                <w:b/>
                <w:spacing w:val="-5"/>
                <w:sz w:val="18"/>
              </w:rPr>
              <w:t> </w:t>
            </w:r>
            <w:r>
              <w:rPr>
                <w:b/>
                <w:sz w:val="18"/>
              </w:rPr>
              <w:t>(E3</w:t>
            </w:r>
            <w:r>
              <w:rPr>
                <w:b/>
                <w:spacing w:val="-4"/>
                <w:sz w:val="18"/>
              </w:rPr>
              <w:t> </w:t>
            </w:r>
            <w:r>
              <w:rPr>
                <w:b/>
                <w:sz w:val="18"/>
              </w:rPr>
              <w:t>AE12</w:t>
            </w:r>
            <w:r>
              <w:rPr>
                <w:b/>
                <w:spacing w:val="-7"/>
                <w:sz w:val="18"/>
              </w:rPr>
              <w:t> </w:t>
            </w:r>
            <w:r>
              <w:rPr>
                <w:b/>
                <w:sz w:val="18"/>
              </w:rPr>
              <w:t>R1)</w:t>
            </w:r>
            <w:r>
              <w:rPr>
                <w:b/>
                <w:spacing w:val="-1"/>
                <w:sz w:val="18"/>
              </w:rPr>
              <w:t> </w:t>
            </w:r>
            <w:r>
              <w:rPr>
                <w:b/>
                <w:sz w:val="18"/>
              </w:rPr>
              <w:t>60%</w:t>
            </w:r>
            <w:r>
              <w:rPr>
                <w:b/>
                <w:spacing w:val="-11"/>
                <w:sz w:val="18"/>
              </w:rPr>
              <w:t> </w:t>
            </w:r>
            <w:r>
              <w:rPr>
                <w:b/>
                <w:sz w:val="18"/>
              </w:rPr>
              <w:t>al</w:t>
            </w:r>
            <w:r>
              <w:rPr>
                <w:b/>
                <w:spacing w:val="-6"/>
                <w:sz w:val="18"/>
              </w:rPr>
              <w:t> </w:t>
            </w:r>
            <w:r>
              <w:rPr>
                <w:b/>
                <w:spacing w:val="-4"/>
                <w:sz w:val="18"/>
              </w:rPr>
              <w:t>2026</w:t>
            </w:r>
          </w:p>
        </w:tc>
      </w:tr>
    </w:tbl>
    <w:p>
      <w:pPr>
        <w:pStyle w:val="TableParagraph"/>
        <w:spacing w:after="0"/>
        <w:rPr>
          <w:b/>
          <w:sz w:val="18"/>
        </w:rPr>
        <w:sectPr>
          <w:type w:val="continuous"/>
          <w:pgSz w:w="15840" w:h="12240" w:orient="landscape"/>
          <w:pgMar w:header="0" w:footer="1806" w:top="700" w:bottom="2767"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3"/>
        <w:gridCol w:w="1387"/>
        <w:gridCol w:w="1181"/>
        <w:gridCol w:w="2165"/>
        <w:gridCol w:w="1805"/>
        <w:gridCol w:w="1498"/>
        <w:gridCol w:w="1398"/>
        <w:gridCol w:w="2058"/>
      </w:tblGrid>
      <w:tr>
        <w:trPr>
          <w:trHeight w:val="820" w:hRule="atLeast"/>
        </w:trPr>
        <w:tc>
          <w:tcPr>
            <w:tcW w:w="2823" w:type="dxa"/>
            <w:shd w:val="clear" w:color="auto" w:fill="D9D9D9"/>
          </w:tcPr>
          <w:p>
            <w:pPr>
              <w:pStyle w:val="TableParagraph"/>
              <w:spacing w:before="99"/>
              <w:rPr>
                <w:b/>
                <w:sz w:val="18"/>
              </w:rPr>
            </w:pPr>
          </w:p>
          <w:p>
            <w:pPr>
              <w:pStyle w:val="TableParagraph"/>
              <w:ind w:left="441"/>
              <w:rPr>
                <w:b/>
                <w:sz w:val="18"/>
              </w:rPr>
            </w:pPr>
            <w:r>
              <w:rPr>
                <w:b/>
                <w:sz w:val="18"/>
              </w:rPr>
              <w:t>Objetivos</w:t>
            </w:r>
            <w:r>
              <w:rPr>
                <w:b/>
                <w:spacing w:val="-5"/>
                <w:sz w:val="18"/>
              </w:rPr>
              <w:t> </w:t>
            </w:r>
            <w:r>
              <w:rPr>
                <w:b/>
                <w:sz w:val="18"/>
              </w:rPr>
              <w:t>/</w:t>
            </w:r>
            <w:r>
              <w:rPr>
                <w:b/>
                <w:spacing w:val="-2"/>
                <w:sz w:val="18"/>
              </w:rPr>
              <w:t> Resultados</w:t>
            </w:r>
          </w:p>
        </w:tc>
        <w:tc>
          <w:tcPr>
            <w:tcW w:w="1387" w:type="dxa"/>
            <w:shd w:val="clear" w:color="auto" w:fill="D9D9D9"/>
          </w:tcPr>
          <w:p>
            <w:pPr>
              <w:pStyle w:val="TableParagraph"/>
              <w:spacing w:line="244" w:lineRule="auto" w:before="200"/>
              <w:ind w:left="436" w:hanging="216"/>
              <w:rPr>
                <w:b/>
                <w:sz w:val="18"/>
              </w:rPr>
            </w:pPr>
            <w:r>
              <w:rPr>
                <w:b/>
                <w:sz w:val="18"/>
              </w:rPr>
              <w:t>Línea</w:t>
            </w:r>
            <w:r>
              <w:rPr>
                <w:b/>
                <w:spacing w:val="-13"/>
                <w:sz w:val="18"/>
              </w:rPr>
              <w:t> </w:t>
            </w:r>
            <w:r>
              <w:rPr>
                <w:b/>
                <w:sz w:val="18"/>
              </w:rPr>
              <w:t>Base </w:t>
            </w:r>
            <w:r>
              <w:rPr>
                <w:b/>
                <w:spacing w:val="-2"/>
                <w:sz w:val="18"/>
              </w:rPr>
              <w:t>(2023)</w:t>
            </w:r>
          </w:p>
        </w:tc>
        <w:tc>
          <w:tcPr>
            <w:tcW w:w="1181" w:type="dxa"/>
            <w:shd w:val="clear" w:color="auto" w:fill="D9D9D9"/>
          </w:tcPr>
          <w:p>
            <w:pPr>
              <w:pStyle w:val="TableParagraph"/>
              <w:spacing w:before="99"/>
              <w:ind w:left="72" w:right="49" w:hanging="10"/>
              <w:jc w:val="center"/>
              <w:rPr>
                <w:b/>
                <w:sz w:val="18"/>
              </w:rPr>
            </w:pPr>
            <w:r>
              <w:rPr>
                <w:b/>
                <w:spacing w:val="-4"/>
                <w:sz w:val="18"/>
              </w:rPr>
              <w:t>Meta </w:t>
            </w:r>
            <w:r>
              <w:rPr>
                <w:b/>
                <w:spacing w:val="-2"/>
                <w:sz w:val="18"/>
              </w:rPr>
              <w:t>programada </w:t>
            </w:r>
            <w:r>
              <w:rPr>
                <w:b/>
                <w:spacing w:val="-4"/>
                <w:sz w:val="18"/>
              </w:rPr>
              <w:t>2026</w:t>
            </w:r>
          </w:p>
        </w:tc>
        <w:tc>
          <w:tcPr>
            <w:tcW w:w="2165" w:type="dxa"/>
            <w:shd w:val="clear" w:color="auto" w:fill="D9D9D9"/>
          </w:tcPr>
          <w:p>
            <w:pPr>
              <w:pStyle w:val="TableParagraph"/>
              <w:spacing w:before="99"/>
              <w:rPr>
                <w:b/>
                <w:sz w:val="18"/>
              </w:rPr>
            </w:pPr>
          </w:p>
          <w:p>
            <w:pPr>
              <w:pStyle w:val="TableParagraph"/>
              <w:ind w:left="677"/>
              <w:rPr>
                <w:b/>
                <w:sz w:val="18"/>
              </w:rPr>
            </w:pPr>
            <w:r>
              <w:rPr>
                <w:b/>
                <w:spacing w:val="-2"/>
                <w:sz w:val="18"/>
              </w:rPr>
              <w:t>Indicador</w:t>
            </w:r>
          </w:p>
        </w:tc>
        <w:tc>
          <w:tcPr>
            <w:tcW w:w="1805" w:type="dxa"/>
            <w:shd w:val="clear" w:color="auto" w:fill="D9D9D9"/>
          </w:tcPr>
          <w:p>
            <w:pPr>
              <w:pStyle w:val="TableParagraph"/>
              <w:spacing w:line="244" w:lineRule="auto" w:before="200"/>
              <w:ind w:left="404" w:right="30" w:firstLine="57"/>
              <w:rPr>
                <w:b/>
                <w:sz w:val="18"/>
              </w:rPr>
            </w:pPr>
            <w:r>
              <w:rPr>
                <w:b/>
                <w:sz w:val="18"/>
              </w:rPr>
              <w:t>Medios de </w:t>
            </w:r>
            <w:r>
              <w:rPr>
                <w:b/>
                <w:spacing w:val="-2"/>
                <w:sz w:val="18"/>
              </w:rPr>
              <w:t>verificación</w:t>
            </w:r>
          </w:p>
        </w:tc>
        <w:tc>
          <w:tcPr>
            <w:tcW w:w="1498" w:type="dxa"/>
            <w:shd w:val="clear" w:color="auto" w:fill="D9D9D9"/>
          </w:tcPr>
          <w:p>
            <w:pPr>
              <w:pStyle w:val="TableParagraph"/>
              <w:spacing w:before="99"/>
              <w:rPr>
                <w:b/>
                <w:sz w:val="18"/>
              </w:rPr>
            </w:pPr>
          </w:p>
          <w:p>
            <w:pPr>
              <w:pStyle w:val="TableParagraph"/>
              <w:ind w:left="188"/>
              <w:rPr>
                <w:b/>
                <w:sz w:val="18"/>
              </w:rPr>
            </w:pPr>
            <w:r>
              <w:rPr>
                <w:b/>
                <w:spacing w:val="-2"/>
                <w:sz w:val="18"/>
              </w:rPr>
              <w:t>Responsable</w:t>
            </w:r>
          </w:p>
        </w:tc>
        <w:tc>
          <w:tcPr>
            <w:tcW w:w="1398" w:type="dxa"/>
            <w:shd w:val="clear" w:color="auto" w:fill="D9D9D9"/>
          </w:tcPr>
          <w:p>
            <w:pPr>
              <w:pStyle w:val="TableParagraph"/>
              <w:spacing w:line="244" w:lineRule="auto" w:before="200"/>
              <w:ind w:left="304" w:hanging="149"/>
              <w:rPr>
                <w:b/>
                <w:sz w:val="18"/>
              </w:rPr>
            </w:pPr>
            <w:r>
              <w:rPr>
                <w:b/>
                <w:spacing w:val="-2"/>
                <w:sz w:val="18"/>
              </w:rPr>
              <w:t>Presupuesto asignado</w:t>
            </w:r>
          </w:p>
        </w:tc>
        <w:tc>
          <w:tcPr>
            <w:tcW w:w="2058" w:type="dxa"/>
            <w:shd w:val="clear" w:color="auto" w:fill="D9D9D9"/>
          </w:tcPr>
          <w:p>
            <w:pPr>
              <w:pStyle w:val="TableParagraph"/>
              <w:spacing w:before="99"/>
              <w:rPr>
                <w:b/>
                <w:sz w:val="18"/>
              </w:rPr>
            </w:pPr>
          </w:p>
          <w:p>
            <w:pPr>
              <w:pStyle w:val="TableParagraph"/>
              <w:ind w:left="677"/>
              <w:rPr>
                <w:b/>
                <w:sz w:val="18"/>
              </w:rPr>
            </w:pPr>
            <w:r>
              <w:rPr>
                <w:b/>
                <w:spacing w:val="-2"/>
                <w:sz w:val="18"/>
              </w:rPr>
              <w:t>Riesgos</w:t>
            </w:r>
          </w:p>
        </w:tc>
      </w:tr>
      <w:tr>
        <w:trPr>
          <w:trHeight w:val="1709" w:hRule="atLeast"/>
        </w:trPr>
        <w:tc>
          <w:tcPr>
            <w:tcW w:w="2823" w:type="dxa"/>
          </w:tcPr>
          <w:p>
            <w:pPr>
              <w:pStyle w:val="TableParagraph"/>
              <w:spacing w:before="128"/>
              <w:rPr>
                <w:b/>
                <w:sz w:val="18"/>
              </w:rPr>
            </w:pPr>
          </w:p>
          <w:p>
            <w:pPr>
              <w:pStyle w:val="TableParagraph"/>
              <w:ind w:left="72" w:right="150"/>
              <w:rPr>
                <w:sz w:val="18"/>
              </w:rPr>
            </w:pPr>
            <w:r>
              <w:rPr>
                <w:b/>
                <w:sz w:val="18"/>
              </w:rPr>
              <w:t>Actividad PAC 2.28.1: </w:t>
            </w:r>
            <w:r>
              <w:rPr>
                <w:sz w:val="18"/>
              </w:rPr>
              <w:t>Actualizar la información presupuestaria</w:t>
            </w:r>
            <w:r>
              <w:rPr>
                <w:spacing w:val="-12"/>
                <w:sz w:val="18"/>
              </w:rPr>
              <w:t> </w:t>
            </w:r>
            <w:r>
              <w:rPr>
                <w:sz w:val="18"/>
              </w:rPr>
              <w:t>de</w:t>
            </w:r>
            <w:r>
              <w:rPr>
                <w:spacing w:val="-7"/>
                <w:sz w:val="18"/>
              </w:rPr>
              <w:t> </w:t>
            </w:r>
            <w:r>
              <w:rPr>
                <w:sz w:val="18"/>
              </w:rPr>
              <w:t>la</w:t>
            </w:r>
            <w:r>
              <w:rPr>
                <w:spacing w:val="-13"/>
                <w:sz w:val="18"/>
              </w:rPr>
              <w:t> </w:t>
            </w:r>
            <w:r>
              <w:rPr>
                <w:sz w:val="18"/>
              </w:rPr>
              <w:t>matriz</w:t>
            </w:r>
            <w:r>
              <w:rPr>
                <w:spacing w:val="-5"/>
                <w:sz w:val="18"/>
              </w:rPr>
              <w:t> </w:t>
            </w:r>
            <w:r>
              <w:rPr>
                <w:sz w:val="18"/>
              </w:rPr>
              <w:t>de Seguimiento de Proyectos de </w:t>
            </w:r>
            <w:r>
              <w:rPr>
                <w:spacing w:val="-2"/>
                <w:sz w:val="18"/>
              </w:rPr>
              <w:t>Infraestructura.</w:t>
            </w:r>
          </w:p>
        </w:tc>
        <w:tc>
          <w:tcPr>
            <w:tcW w:w="1387"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28" w:right="12"/>
              <w:jc w:val="center"/>
              <w:rPr>
                <w:sz w:val="18"/>
              </w:rPr>
            </w:pPr>
            <w:r>
              <w:rPr>
                <w:spacing w:val="-10"/>
                <w:sz w:val="18"/>
              </w:rPr>
              <w:t>2</w:t>
            </w:r>
          </w:p>
        </w:tc>
        <w:tc>
          <w:tcPr>
            <w:tcW w:w="2165" w:type="dxa"/>
          </w:tcPr>
          <w:p>
            <w:pPr>
              <w:pStyle w:val="TableParagraph"/>
              <w:rPr>
                <w:b/>
                <w:sz w:val="18"/>
              </w:rPr>
            </w:pPr>
          </w:p>
          <w:p>
            <w:pPr>
              <w:pStyle w:val="TableParagraph"/>
              <w:spacing w:before="27"/>
              <w:rPr>
                <w:b/>
                <w:sz w:val="18"/>
              </w:rPr>
            </w:pPr>
          </w:p>
          <w:p>
            <w:pPr>
              <w:pStyle w:val="TableParagraph"/>
              <w:ind w:left="73" w:right="137"/>
              <w:rPr>
                <w:sz w:val="18"/>
              </w:rPr>
            </w:pPr>
            <w:r>
              <w:rPr>
                <w:sz w:val="18"/>
              </w:rPr>
              <w:t>Cantidad de actualizaciones de la matriz</w:t>
            </w:r>
            <w:r>
              <w:rPr>
                <w:spacing w:val="-15"/>
                <w:sz w:val="18"/>
              </w:rPr>
              <w:t> </w:t>
            </w:r>
            <w:r>
              <w:rPr>
                <w:sz w:val="18"/>
              </w:rPr>
              <w:t>de</w:t>
            </w:r>
            <w:r>
              <w:rPr>
                <w:spacing w:val="-12"/>
                <w:sz w:val="18"/>
              </w:rPr>
              <w:t> </w:t>
            </w:r>
            <w:r>
              <w:rPr>
                <w:sz w:val="18"/>
              </w:rPr>
              <w:t>Seguimiento de Proyectos.</w:t>
            </w:r>
          </w:p>
        </w:tc>
        <w:tc>
          <w:tcPr>
            <w:tcW w:w="1805" w:type="dxa"/>
          </w:tcPr>
          <w:p>
            <w:pPr>
              <w:pStyle w:val="TableParagraph"/>
              <w:spacing w:before="128"/>
              <w:rPr>
                <w:b/>
                <w:sz w:val="18"/>
              </w:rPr>
            </w:pPr>
          </w:p>
          <w:p>
            <w:pPr>
              <w:pStyle w:val="TableParagraph"/>
              <w:ind w:left="73" w:right="30"/>
              <w:rPr>
                <w:sz w:val="18"/>
              </w:rPr>
            </w:pPr>
            <w:r>
              <w:rPr>
                <w:sz w:val="18"/>
              </w:rPr>
              <w:t>Matriz de </w:t>
            </w:r>
            <w:r>
              <w:rPr>
                <w:spacing w:val="-2"/>
                <w:sz w:val="18"/>
              </w:rPr>
              <w:t>Seguimiento </w:t>
            </w:r>
            <w:r>
              <w:rPr>
                <w:sz w:val="18"/>
              </w:rPr>
              <w:t>Proyectos de Infraestructura</w:t>
            </w:r>
            <w:r>
              <w:rPr>
                <w:spacing w:val="-13"/>
                <w:sz w:val="18"/>
              </w:rPr>
              <w:t> </w:t>
            </w:r>
            <w:r>
              <w:rPr>
                <w:sz w:val="18"/>
              </w:rPr>
              <w:t>física regional y territorial.</w:t>
            </w:r>
          </w:p>
        </w:tc>
        <w:tc>
          <w:tcPr>
            <w:tcW w:w="1498"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29" w:right="9"/>
              <w:jc w:val="center"/>
              <w:rPr>
                <w:sz w:val="18"/>
              </w:rPr>
            </w:pPr>
            <w:r>
              <w:rPr>
                <w:spacing w:val="-10"/>
                <w:sz w:val="18"/>
              </w:rPr>
              <w:t>-</w:t>
            </w:r>
          </w:p>
        </w:tc>
        <w:tc>
          <w:tcPr>
            <w:tcW w:w="2058" w:type="dxa"/>
            <w:vMerge w:val="restart"/>
          </w:tcPr>
          <w:p>
            <w:pPr>
              <w:pStyle w:val="TableParagraph"/>
              <w:rPr>
                <w:b/>
                <w:sz w:val="18"/>
              </w:rPr>
            </w:pPr>
          </w:p>
          <w:p>
            <w:pPr>
              <w:pStyle w:val="TableParagraph"/>
              <w:rPr>
                <w:b/>
                <w:sz w:val="18"/>
              </w:rPr>
            </w:pPr>
          </w:p>
          <w:p>
            <w:pPr>
              <w:pStyle w:val="TableParagraph"/>
              <w:spacing w:before="41"/>
              <w:rPr>
                <w:b/>
                <w:sz w:val="18"/>
              </w:rPr>
            </w:pPr>
          </w:p>
          <w:p>
            <w:pPr>
              <w:pStyle w:val="TableParagraph"/>
              <w:ind w:left="72" w:right="78"/>
              <w:rPr>
                <w:sz w:val="18"/>
              </w:rPr>
            </w:pPr>
            <w:r>
              <w:rPr>
                <w:sz w:val="18"/>
              </w:rPr>
              <w:t>Evento: Posibles demoras en los procesos de contratación para los proyectos de infraestructura</w:t>
            </w:r>
            <w:r>
              <w:rPr>
                <w:spacing w:val="-13"/>
                <w:sz w:val="18"/>
              </w:rPr>
              <w:t> </w:t>
            </w:r>
            <w:r>
              <w:rPr>
                <w:sz w:val="18"/>
              </w:rPr>
              <w:t>regional y territorial.</w:t>
            </w:r>
          </w:p>
        </w:tc>
      </w:tr>
      <w:tr>
        <w:trPr>
          <w:trHeight w:val="1051" w:hRule="atLeast"/>
        </w:trPr>
        <w:tc>
          <w:tcPr>
            <w:tcW w:w="2823" w:type="dxa"/>
          </w:tcPr>
          <w:p>
            <w:pPr>
              <w:pStyle w:val="TableParagraph"/>
              <w:spacing w:line="242" w:lineRule="auto" w:before="109"/>
              <w:ind w:left="72" w:right="282"/>
              <w:rPr>
                <w:sz w:val="18"/>
              </w:rPr>
            </w:pPr>
            <w:r>
              <w:rPr>
                <w:b/>
                <w:sz w:val="18"/>
              </w:rPr>
              <w:t>Actividad PAC 2.28.2:</w:t>
            </w:r>
            <w:r>
              <w:rPr>
                <w:b/>
                <w:spacing w:val="40"/>
                <w:sz w:val="18"/>
              </w:rPr>
              <w:t> </w:t>
            </w:r>
            <w:r>
              <w:rPr>
                <w:sz w:val="18"/>
              </w:rPr>
              <w:t>Ajustar las prioridades de infraestructura</w:t>
            </w:r>
            <w:r>
              <w:rPr>
                <w:spacing w:val="-13"/>
                <w:sz w:val="18"/>
              </w:rPr>
              <w:t> </w:t>
            </w:r>
            <w:r>
              <w:rPr>
                <w:sz w:val="18"/>
              </w:rPr>
              <w:t>física</w:t>
            </w:r>
            <w:r>
              <w:rPr>
                <w:spacing w:val="-12"/>
                <w:sz w:val="18"/>
              </w:rPr>
              <w:t> </w:t>
            </w:r>
            <w:r>
              <w:rPr>
                <w:sz w:val="18"/>
              </w:rPr>
              <w:t>regional</w:t>
            </w:r>
            <w:r>
              <w:rPr>
                <w:spacing w:val="-8"/>
                <w:sz w:val="18"/>
              </w:rPr>
              <w:t> </w:t>
            </w:r>
            <w:r>
              <w:rPr>
                <w:sz w:val="18"/>
              </w:rPr>
              <w:t>y </w:t>
            </w:r>
            <w:r>
              <w:rPr>
                <w:spacing w:val="-2"/>
                <w:sz w:val="18"/>
              </w:rPr>
              <w:t>territorial.</w:t>
            </w:r>
          </w:p>
        </w:tc>
        <w:tc>
          <w:tcPr>
            <w:tcW w:w="1387" w:type="dxa"/>
          </w:tcPr>
          <w:p>
            <w:pPr>
              <w:pStyle w:val="TableParagraph"/>
              <w:rPr>
                <w:b/>
                <w:sz w:val="18"/>
              </w:rPr>
            </w:pPr>
          </w:p>
          <w:p>
            <w:pPr>
              <w:pStyle w:val="TableParagraph"/>
              <w:spacing w:before="7"/>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spacing w:before="7"/>
              <w:rPr>
                <w:b/>
                <w:sz w:val="18"/>
              </w:rPr>
            </w:pPr>
          </w:p>
          <w:p>
            <w:pPr>
              <w:pStyle w:val="TableParagraph"/>
              <w:ind w:left="28" w:right="12"/>
              <w:jc w:val="center"/>
              <w:rPr>
                <w:sz w:val="18"/>
              </w:rPr>
            </w:pPr>
            <w:r>
              <w:rPr>
                <w:spacing w:val="-10"/>
                <w:sz w:val="18"/>
              </w:rPr>
              <w:t>1</w:t>
            </w:r>
          </w:p>
        </w:tc>
        <w:tc>
          <w:tcPr>
            <w:tcW w:w="2165" w:type="dxa"/>
          </w:tcPr>
          <w:p>
            <w:pPr>
              <w:pStyle w:val="TableParagraph"/>
              <w:spacing w:before="7"/>
              <w:rPr>
                <w:b/>
                <w:sz w:val="18"/>
              </w:rPr>
            </w:pPr>
          </w:p>
          <w:p>
            <w:pPr>
              <w:pStyle w:val="TableParagraph"/>
              <w:spacing w:before="1"/>
              <w:ind w:left="73"/>
              <w:rPr>
                <w:sz w:val="18"/>
              </w:rPr>
            </w:pPr>
            <w:r>
              <w:rPr>
                <w:sz w:val="18"/>
              </w:rPr>
              <w:t>Cantidad</w:t>
            </w:r>
            <w:r>
              <w:rPr>
                <w:spacing w:val="-12"/>
                <w:sz w:val="18"/>
              </w:rPr>
              <w:t> </w:t>
            </w:r>
            <w:r>
              <w:rPr>
                <w:sz w:val="18"/>
              </w:rPr>
              <w:t>de</w:t>
            </w:r>
            <w:r>
              <w:rPr>
                <w:spacing w:val="-12"/>
                <w:sz w:val="18"/>
              </w:rPr>
              <w:t> </w:t>
            </w:r>
            <w:r>
              <w:rPr>
                <w:sz w:val="18"/>
              </w:rPr>
              <w:t>reportes</w:t>
            </w:r>
            <w:r>
              <w:rPr>
                <w:spacing w:val="-12"/>
                <w:sz w:val="18"/>
              </w:rPr>
              <w:t> </w:t>
            </w:r>
            <w:r>
              <w:rPr>
                <w:sz w:val="18"/>
              </w:rPr>
              <w:t>de priorización de infraestructura</w:t>
            </w:r>
            <w:r>
              <w:rPr>
                <w:spacing w:val="-7"/>
                <w:sz w:val="18"/>
              </w:rPr>
              <w:t> </w:t>
            </w:r>
            <w:r>
              <w:rPr>
                <w:sz w:val="18"/>
              </w:rPr>
              <w:t>física.</w:t>
            </w:r>
          </w:p>
        </w:tc>
        <w:tc>
          <w:tcPr>
            <w:tcW w:w="1805" w:type="dxa"/>
          </w:tcPr>
          <w:p>
            <w:pPr>
              <w:pStyle w:val="TableParagraph"/>
              <w:spacing w:line="242" w:lineRule="auto" w:before="109"/>
              <w:ind w:left="73" w:right="165"/>
              <w:rPr>
                <w:sz w:val="18"/>
              </w:rPr>
            </w:pPr>
            <w:r>
              <w:rPr>
                <w:sz w:val="18"/>
              </w:rPr>
              <w:t>Reporte de prioridades</w:t>
            </w:r>
            <w:r>
              <w:rPr>
                <w:spacing w:val="-13"/>
                <w:sz w:val="18"/>
              </w:rPr>
              <w:t> </w:t>
            </w:r>
            <w:r>
              <w:rPr>
                <w:sz w:val="18"/>
              </w:rPr>
              <w:t>de </w:t>
            </w:r>
            <w:r>
              <w:rPr>
                <w:spacing w:val="-2"/>
                <w:sz w:val="18"/>
              </w:rPr>
              <w:t>infraestructura física.</w:t>
            </w:r>
          </w:p>
        </w:tc>
        <w:tc>
          <w:tcPr>
            <w:tcW w:w="1498" w:type="dxa"/>
          </w:tcPr>
          <w:p>
            <w:pPr>
              <w:pStyle w:val="TableParagraph"/>
              <w:rPr>
                <w:b/>
                <w:sz w:val="18"/>
              </w:rPr>
            </w:pPr>
          </w:p>
          <w:p>
            <w:pPr>
              <w:pStyle w:val="TableParagraph"/>
              <w:spacing w:before="7"/>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spacing w:before="7"/>
              <w:rPr>
                <w:b/>
                <w:sz w:val="18"/>
              </w:rPr>
            </w:pPr>
          </w:p>
          <w:p>
            <w:pPr>
              <w:pStyle w:val="TableParagraph"/>
              <w:ind w:left="29" w:right="9"/>
              <w:jc w:val="center"/>
              <w:rPr>
                <w:sz w:val="18"/>
              </w:rPr>
            </w:pPr>
            <w:r>
              <w:rPr>
                <w:spacing w:val="-10"/>
                <w:sz w:val="18"/>
              </w:rPr>
              <w:t>-</w:t>
            </w:r>
          </w:p>
        </w:tc>
        <w:tc>
          <w:tcPr>
            <w:tcW w:w="2058" w:type="dxa"/>
            <w:vMerge/>
            <w:tcBorders>
              <w:top w:val="nil"/>
            </w:tcBorders>
          </w:tcPr>
          <w:p>
            <w:pPr>
              <w:rPr>
                <w:sz w:val="2"/>
                <w:szCs w:val="2"/>
              </w:rPr>
            </w:pPr>
          </w:p>
        </w:tc>
      </w:tr>
      <w:tr>
        <w:trPr>
          <w:trHeight w:val="465" w:hRule="atLeast"/>
        </w:trPr>
        <w:tc>
          <w:tcPr>
            <w:tcW w:w="12257" w:type="dxa"/>
            <w:gridSpan w:val="7"/>
            <w:shd w:val="clear" w:color="auto" w:fill="EFF8F9"/>
          </w:tcPr>
          <w:p>
            <w:pPr>
              <w:pStyle w:val="TableParagraph"/>
              <w:spacing w:before="128"/>
              <w:ind w:left="72"/>
              <w:rPr>
                <w:b/>
                <w:sz w:val="18"/>
              </w:rPr>
            </w:pPr>
            <w:r>
              <w:rPr>
                <w:b/>
                <w:sz w:val="18"/>
              </w:rPr>
              <w:t>Producto</w:t>
            </w:r>
            <w:r>
              <w:rPr>
                <w:b/>
                <w:spacing w:val="-7"/>
                <w:sz w:val="18"/>
              </w:rPr>
              <w:t> </w:t>
            </w:r>
            <w:r>
              <w:rPr>
                <w:b/>
                <w:sz w:val="18"/>
              </w:rPr>
              <w:t>PAC</w:t>
            </w:r>
            <w:r>
              <w:rPr>
                <w:b/>
                <w:spacing w:val="-7"/>
                <w:sz w:val="18"/>
              </w:rPr>
              <w:t> </w:t>
            </w:r>
            <w:r>
              <w:rPr>
                <w:b/>
                <w:sz w:val="18"/>
              </w:rPr>
              <w:t>2.29:</w:t>
            </w:r>
            <w:r>
              <w:rPr>
                <w:b/>
                <w:spacing w:val="-2"/>
                <w:sz w:val="18"/>
              </w:rPr>
              <w:t> </w:t>
            </w:r>
            <w:r>
              <w:rPr>
                <w:b/>
                <w:sz w:val="18"/>
              </w:rPr>
              <w:t>Proyectos</w:t>
            </w:r>
            <w:r>
              <w:rPr>
                <w:b/>
                <w:spacing w:val="-6"/>
                <w:sz w:val="18"/>
              </w:rPr>
              <w:t> </w:t>
            </w:r>
            <w:r>
              <w:rPr>
                <w:b/>
                <w:sz w:val="18"/>
              </w:rPr>
              <w:t>de</w:t>
            </w:r>
            <w:r>
              <w:rPr>
                <w:b/>
                <w:spacing w:val="-6"/>
                <w:sz w:val="18"/>
              </w:rPr>
              <w:t> </w:t>
            </w:r>
            <w:r>
              <w:rPr>
                <w:b/>
                <w:sz w:val="18"/>
              </w:rPr>
              <w:t>infraestructura</w:t>
            </w:r>
            <w:r>
              <w:rPr>
                <w:b/>
                <w:spacing w:val="-5"/>
                <w:sz w:val="18"/>
              </w:rPr>
              <w:t> </w:t>
            </w:r>
            <w:r>
              <w:rPr>
                <w:b/>
                <w:sz w:val="18"/>
              </w:rPr>
              <w:t>física</w:t>
            </w:r>
            <w:r>
              <w:rPr>
                <w:b/>
                <w:spacing w:val="-6"/>
                <w:sz w:val="18"/>
              </w:rPr>
              <w:t> </w:t>
            </w:r>
            <w:r>
              <w:rPr>
                <w:b/>
                <w:sz w:val="18"/>
              </w:rPr>
              <w:t>en</w:t>
            </w:r>
            <w:r>
              <w:rPr>
                <w:b/>
                <w:spacing w:val="-2"/>
                <w:sz w:val="18"/>
              </w:rPr>
              <w:t> </w:t>
            </w:r>
            <w:r>
              <w:rPr>
                <w:b/>
                <w:sz w:val="18"/>
              </w:rPr>
              <w:t>ejecución.</w:t>
            </w:r>
            <w:r>
              <w:rPr>
                <w:b/>
                <w:spacing w:val="42"/>
                <w:sz w:val="18"/>
              </w:rPr>
              <w:t> </w:t>
            </w:r>
            <w:r>
              <w:rPr>
                <w:b/>
                <w:sz w:val="18"/>
              </w:rPr>
              <w:t>(E3</w:t>
            </w:r>
            <w:r>
              <w:rPr>
                <w:b/>
                <w:spacing w:val="-6"/>
                <w:sz w:val="18"/>
              </w:rPr>
              <w:t> </w:t>
            </w:r>
            <w:r>
              <w:rPr>
                <w:b/>
                <w:sz w:val="18"/>
              </w:rPr>
              <w:t>AE12</w:t>
            </w:r>
            <w:r>
              <w:rPr>
                <w:b/>
                <w:spacing w:val="-5"/>
                <w:sz w:val="18"/>
              </w:rPr>
              <w:t> </w:t>
            </w:r>
            <w:r>
              <w:rPr>
                <w:b/>
                <w:sz w:val="18"/>
              </w:rPr>
              <w:t>R2)</w:t>
            </w:r>
            <w:r>
              <w:rPr>
                <w:b/>
                <w:spacing w:val="-4"/>
                <w:sz w:val="18"/>
              </w:rPr>
              <w:t> </w:t>
            </w:r>
            <w:r>
              <w:rPr>
                <w:b/>
                <w:sz w:val="18"/>
              </w:rPr>
              <w:t>60%</w:t>
            </w:r>
            <w:r>
              <w:rPr>
                <w:b/>
                <w:spacing w:val="-5"/>
                <w:sz w:val="18"/>
              </w:rPr>
              <w:t> </w:t>
            </w:r>
            <w:r>
              <w:rPr>
                <w:b/>
                <w:sz w:val="18"/>
              </w:rPr>
              <w:t>al</w:t>
            </w:r>
            <w:r>
              <w:rPr>
                <w:b/>
                <w:spacing w:val="-3"/>
                <w:sz w:val="18"/>
              </w:rPr>
              <w:t> </w:t>
            </w:r>
            <w:r>
              <w:rPr>
                <w:b/>
                <w:spacing w:val="-4"/>
                <w:sz w:val="18"/>
              </w:rPr>
              <w:t>2026</w:t>
            </w:r>
          </w:p>
        </w:tc>
        <w:tc>
          <w:tcPr>
            <w:tcW w:w="2058" w:type="dxa"/>
            <w:shd w:val="clear" w:color="auto" w:fill="DEF0F9"/>
          </w:tcPr>
          <w:p>
            <w:pPr>
              <w:pStyle w:val="TableParagraph"/>
              <w:rPr>
                <w:rFonts w:ascii="Times New Roman"/>
                <w:sz w:val="18"/>
              </w:rPr>
            </w:pPr>
          </w:p>
        </w:tc>
      </w:tr>
      <w:tr>
        <w:trPr>
          <w:trHeight w:val="1906" w:hRule="atLeast"/>
        </w:trPr>
        <w:tc>
          <w:tcPr>
            <w:tcW w:w="2823" w:type="dxa"/>
          </w:tcPr>
          <w:p>
            <w:pPr>
              <w:pStyle w:val="TableParagraph"/>
              <w:spacing w:before="123"/>
              <w:ind w:left="72" w:right="210"/>
              <w:rPr>
                <w:sz w:val="18"/>
              </w:rPr>
            </w:pPr>
            <w:r>
              <w:rPr>
                <w:b/>
                <w:sz w:val="18"/>
              </w:rPr>
              <w:t>Actividad PAC 2.29.1:</w:t>
            </w:r>
            <w:r>
              <w:rPr>
                <w:b/>
                <w:spacing w:val="40"/>
                <w:sz w:val="18"/>
              </w:rPr>
              <w:t> </w:t>
            </w:r>
            <w:r>
              <w:rPr>
                <w:sz w:val="18"/>
              </w:rPr>
              <w:t>Realizar sesiones de seguimiento</w:t>
            </w:r>
            <w:r>
              <w:rPr>
                <w:spacing w:val="-10"/>
                <w:sz w:val="18"/>
              </w:rPr>
              <w:t> </w:t>
            </w:r>
            <w:r>
              <w:rPr>
                <w:sz w:val="18"/>
              </w:rPr>
              <w:t>sobre</w:t>
            </w:r>
            <w:r>
              <w:rPr>
                <w:spacing w:val="-7"/>
                <w:sz w:val="18"/>
              </w:rPr>
              <w:t> </w:t>
            </w:r>
            <w:r>
              <w:rPr>
                <w:sz w:val="18"/>
              </w:rPr>
              <w:t>el</w:t>
            </w:r>
            <w:r>
              <w:rPr>
                <w:spacing w:val="-12"/>
                <w:sz w:val="18"/>
              </w:rPr>
              <w:t> </w:t>
            </w:r>
            <w:r>
              <w:rPr>
                <w:sz w:val="18"/>
              </w:rPr>
              <w:t>avance</w:t>
            </w:r>
            <w:r>
              <w:rPr>
                <w:spacing w:val="-7"/>
                <w:sz w:val="18"/>
              </w:rPr>
              <w:t> </w:t>
            </w:r>
            <w:r>
              <w:rPr>
                <w:sz w:val="18"/>
              </w:rPr>
              <w:t>en la ejecución de proyectos de obra física identificados en la matriz de seguimiento Infraestructura física regional y </w:t>
            </w:r>
            <w:r>
              <w:rPr>
                <w:spacing w:val="-2"/>
                <w:sz w:val="18"/>
              </w:rPr>
              <w:t>territorial.</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spacing w:before="21"/>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21"/>
              <w:rPr>
                <w:b/>
                <w:sz w:val="18"/>
              </w:rPr>
            </w:pPr>
          </w:p>
          <w:p>
            <w:pPr>
              <w:pStyle w:val="TableParagraph"/>
              <w:ind w:left="28" w:right="12"/>
              <w:jc w:val="center"/>
              <w:rPr>
                <w:sz w:val="18"/>
              </w:rPr>
            </w:pPr>
            <w:r>
              <w:rPr>
                <w:spacing w:val="-10"/>
                <w:sz w:val="18"/>
              </w:rPr>
              <w:t>4</w:t>
            </w:r>
          </w:p>
        </w:tc>
        <w:tc>
          <w:tcPr>
            <w:tcW w:w="2165" w:type="dxa"/>
          </w:tcPr>
          <w:p>
            <w:pPr>
              <w:pStyle w:val="TableParagraph"/>
              <w:spacing w:before="123"/>
              <w:rPr>
                <w:b/>
                <w:sz w:val="18"/>
              </w:rPr>
            </w:pPr>
          </w:p>
          <w:p>
            <w:pPr>
              <w:pStyle w:val="TableParagraph"/>
              <w:ind w:left="73"/>
              <w:rPr>
                <w:sz w:val="18"/>
              </w:rPr>
            </w:pPr>
            <w:r>
              <w:rPr>
                <w:sz w:val="18"/>
              </w:rPr>
              <w:t>Cantidad</w:t>
            </w:r>
            <w:r>
              <w:rPr>
                <w:spacing w:val="-15"/>
                <w:sz w:val="18"/>
              </w:rPr>
              <w:t> </w:t>
            </w:r>
            <w:r>
              <w:rPr>
                <w:sz w:val="18"/>
              </w:rPr>
              <w:t>de</w:t>
            </w:r>
            <w:r>
              <w:rPr>
                <w:spacing w:val="-12"/>
                <w:sz w:val="18"/>
              </w:rPr>
              <w:t> </w:t>
            </w:r>
            <w:r>
              <w:rPr>
                <w:sz w:val="18"/>
              </w:rPr>
              <w:t>sesiones realizadas para el seguimiento de los proyectos de infraestructura</w:t>
            </w:r>
            <w:r>
              <w:rPr>
                <w:spacing w:val="-7"/>
                <w:sz w:val="18"/>
              </w:rPr>
              <w:t> </w:t>
            </w:r>
            <w:r>
              <w:rPr>
                <w:sz w:val="18"/>
              </w:rPr>
              <w:t>física regional y territorial.</w:t>
            </w:r>
          </w:p>
        </w:tc>
        <w:tc>
          <w:tcPr>
            <w:tcW w:w="1805" w:type="dxa"/>
          </w:tcPr>
          <w:p>
            <w:pPr>
              <w:pStyle w:val="TableParagraph"/>
              <w:rPr>
                <w:b/>
                <w:sz w:val="18"/>
              </w:rPr>
            </w:pPr>
          </w:p>
          <w:p>
            <w:pPr>
              <w:pStyle w:val="TableParagraph"/>
              <w:rPr>
                <w:b/>
                <w:sz w:val="18"/>
              </w:rPr>
            </w:pPr>
          </w:p>
          <w:p>
            <w:pPr>
              <w:pStyle w:val="TableParagraph"/>
              <w:rPr>
                <w:b/>
                <w:sz w:val="18"/>
              </w:rPr>
            </w:pPr>
          </w:p>
          <w:p>
            <w:pPr>
              <w:pStyle w:val="TableParagraph"/>
              <w:spacing w:before="21"/>
              <w:rPr>
                <w:b/>
                <w:sz w:val="18"/>
              </w:rPr>
            </w:pPr>
          </w:p>
          <w:p>
            <w:pPr>
              <w:pStyle w:val="TableParagraph"/>
              <w:ind w:left="73"/>
              <w:rPr>
                <w:sz w:val="18"/>
              </w:rPr>
            </w:pPr>
            <w:r>
              <w:rPr>
                <w:sz w:val="18"/>
              </w:rPr>
              <w:t>Listas</w:t>
            </w:r>
            <w:r>
              <w:rPr>
                <w:spacing w:val="-3"/>
                <w:sz w:val="18"/>
              </w:rPr>
              <w:t> </w:t>
            </w:r>
            <w:r>
              <w:rPr>
                <w:sz w:val="18"/>
              </w:rPr>
              <w:t>de</w:t>
            </w:r>
            <w:r>
              <w:rPr>
                <w:spacing w:val="-2"/>
                <w:sz w:val="18"/>
              </w:rPr>
              <w:t> asistencia.</w:t>
            </w:r>
          </w:p>
        </w:tc>
        <w:tc>
          <w:tcPr>
            <w:tcW w:w="1498" w:type="dxa"/>
          </w:tcPr>
          <w:p>
            <w:pPr>
              <w:pStyle w:val="TableParagraph"/>
              <w:rPr>
                <w:b/>
                <w:sz w:val="18"/>
              </w:rPr>
            </w:pPr>
          </w:p>
          <w:p>
            <w:pPr>
              <w:pStyle w:val="TableParagraph"/>
              <w:rPr>
                <w:b/>
                <w:sz w:val="18"/>
              </w:rPr>
            </w:pPr>
          </w:p>
          <w:p>
            <w:pPr>
              <w:pStyle w:val="TableParagraph"/>
              <w:rPr>
                <w:b/>
                <w:sz w:val="18"/>
              </w:rPr>
            </w:pPr>
          </w:p>
          <w:p>
            <w:pPr>
              <w:pStyle w:val="TableParagraph"/>
              <w:spacing w:before="21"/>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rPr>
                <w:b/>
                <w:sz w:val="18"/>
              </w:rPr>
            </w:pPr>
          </w:p>
          <w:p>
            <w:pPr>
              <w:pStyle w:val="TableParagraph"/>
              <w:rPr>
                <w:b/>
                <w:sz w:val="18"/>
              </w:rPr>
            </w:pPr>
          </w:p>
          <w:p>
            <w:pPr>
              <w:pStyle w:val="TableParagraph"/>
              <w:spacing w:before="21"/>
              <w:rPr>
                <w:b/>
                <w:sz w:val="18"/>
              </w:rPr>
            </w:pPr>
          </w:p>
          <w:p>
            <w:pPr>
              <w:pStyle w:val="TableParagraph"/>
              <w:ind w:left="29" w:right="9"/>
              <w:jc w:val="center"/>
              <w:rPr>
                <w:sz w:val="18"/>
              </w:rPr>
            </w:pPr>
            <w:r>
              <w:rPr>
                <w:spacing w:val="-10"/>
                <w:sz w:val="18"/>
              </w:rPr>
              <w:t>-</w:t>
            </w:r>
          </w:p>
        </w:tc>
        <w:tc>
          <w:tcPr>
            <w:tcW w:w="2058"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145"/>
              <w:rPr>
                <w:b/>
                <w:sz w:val="18"/>
              </w:rPr>
            </w:pPr>
          </w:p>
          <w:p>
            <w:pPr>
              <w:pStyle w:val="TableParagraph"/>
              <w:spacing w:before="1"/>
              <w:ind w:left="72" w:right="78"/>
              <w:rPr>
                <w:sz w:val="18"/>
              </w:rPr>
            </w:pPr>
            <w:r>
              <w:rPr>
                <w:sz w:val="18"/>
              </w:rPr>
              <w:t>Evento: Posibles demoras en los procesos de contratación para los proyectos de infraestructura</w:t>
            </w:r>
            <w:r>
              <w:rPr>
                <w:spacing w:val="-13"/>
                <w:sz w:val="18"/>
              </w:rPr>
              <w:t> </w:t>
            </w:r>
            <w:r>
              <w:rPr>
                <w:sz w:val="18"/>
              </w:rPr>
              <w:t>regional y territorial.</w:t>
            </w:r>
          </w:p>
        </w:tc>
      </w:tr>
      <w:tr>
        <w:trPr>
          <w:trHeight w:val="1483" w:hRule="atLeast"/>
        </w:trPr>
        <w:tc>
          <w:tcPr>
            <w:tcW w:w="2823" w:type="dxa"/>
          </w:tcPr>
          <w:p>
            <w:pPr>
              <w:pStyle w:val="TableParagraph"/>
              <w:spacing w:before="17"/>
              <w:rPr>
                <w:b/>
                <w:sz w:val="18"/>
              </w:rPr>
            </w:pPr>
          </w:p>
          <w:p>
            <w:pPr>
              <w:pStyle w:val="TableParagraph"/>
              <w:ind w:left="72" w:right="55"/>
              <w:rPr>
                <w:sz w:val="18"/>
              </w:rPr>
            </w:pPr>
            <w:r>
              <w:rPr>
                <w:b/>
                <w:sz w:val="18"/>
              </w:rPr>
              <w:t>Actividad PAC 2.29.2:</w:t>
            </w:r>
            <w:r>
              <w:rPr>
                <w:b/>
                <w:spacing w:val="40"/>
                <w:sz w:val="18"/>
              </w:rPr>
              <w:t> </w:t>
            </w:r>
            <w:r>
              <w:rPr>
                <w:sz w:val="18"/>
              </w:rPr>
              <w:t>Actualizar el estado de los proyectos en la Matriz de Seguimiento</w:t>
            </w:r>
            <w:r>
              <w:rPr>
                <w:spacing w:val="-15"/>
                <w:sz w:val="18"/>
              </w:rPr>
              <w:t> </w:t>
            </w:r>
            <w:r>
              <w:rPr>
                <w:sz w:val="18"/>
              </w:rPr>
              <w:t>Infraestructura</w:t>
            </w:r>
            <w:r>
              <w:rPr>
                <w:spacing w:val="-12"/>
                <w:sz w:val="18"/>
              </w:rPr>
              <w:t> </w:t>
            </w:r>
            <w:r>
              <w:rPr>
                <w:sz w:val="18"/>
              </w:rPr>
              <w:t>física regional y territorial.</w:t>
            </w:r>
          </w:p>
        </w:tc>
        <w:tc>
          <w:tcPr>
            <w:tcW w:w="1387" w:type="dxa"/>
          </w:tcPr>
          <w:p>
            <w:pPr>
              <w:pStyle w:val="TableParagraph"/>
              <w:rPr>
                <w:b/>
                <w:sz w:val="18"/>
              </w:rPr>
            </w:pPr>
          </w:p>
          <w:p>
            <w:pPr>
              <w:pStyle w:val="TableParagraph"/>
              <w:rPr>
                <w:b/>
                <w:sz w:val="18"/>
              </w:rPr>
            </w:pPr>
          </w:p>
          <w:p>
            <w:pPr>
              <w:pStyle w:val="TableParagraph"/>
              <w:spacing w:before="16"/>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spacing w:before="16"/>
              <w:rPr>
                <w:b/>
                <w:sz w:val="18"/>
              </w:rPr>
            </w:pPr>
          </w:p>
          <w:p>
            <w:pPr>
              <w:pStyle w:val="TableParagraph"/>
              <w:ind w:left="28" w:right="12"/>
              <w:jc w:val="center"/>
              <w:rPr>
                <w:sz w:val="18"/>
              </w:rPr>
            </w:pPr>
            <w:r>
              <w:rPr>
                <w:spacing w:val="-10"/>
                <w:sz w:val="18"/>
              </w:rPr>
              <w:t>2</w:t>
            </w:r>
          </w:p>
        </w:tc>
        <w:tc>
          <w:tcPr>
            <w:tcW w:w="2165" w:type="dxa"/>
          </w:tcPr>
          <w:p>
            <w:pPr>
              <w:pStyle w:val="TableParagraph"/>
              <w:rPr>
                <w:b/>
                <w:sz w:val="18"/>
              </w:rPr>
            </w:pPr>
          </w:p>
          <w:p>
            <w:pPr>
              <w:pStyle w:val="TableParagraph"/>
              <w:spacing w:before="17"/>
              <w:rPr>
                <w:b/>
                <w:sz w:val="18"/>
              </w:rPr>
            </w:pPr>
          </w:p>
          <w:p>
            <w:pPr>
              <w:pStyle w:val="TableParagraph"/>
              <w:ind w:left="73" w:right="137"/>
              <w:rPr>
                <w:sz w:val="18"/>
              </w:rPr>
            </w:pPr>
            <w:r>
              <w:rPr>
                <w:sz w:val="18"/>
              </w:rPr>
              <w:t>Cantidad</w:t>
            </w:r>
            <w:r>
              <w:rPr>
                <w:spacing w:val="-15"/>
                <w:sz w:val="18"/>
              </w:rPr>
              <w:t> </w:t>
            </w:r>
            <w:r>
              <w:rPr>
                <w:sz w:val="18"/>
              </w:rPr>
              <w:t>de</w:t>
            </w:r>
            <w:r>
              <w:rPr>
                <w:spacing w:val="-12"/>
                <w:sz w:val="18"/>
              </w:rPr>
              <w:t> </w:t>
            </w:r>
            <w:r>
              <w:rPr>
                <w:sz w:val="18"/>
              </w:rPr>
              <w:t>proyectos de obra física en </w:t>
            </w:r>
            <w:r>
              <w:rPr>
                <w:spacing w:val="-2"/>
                <w:sz w:val="18"/>
              </w:rPr>
              <w:t>ejecución.</w:t>
            </w:r>
          </w:p>
        </w:tc>
        <w:tc>
          <w:tcPr>
            <w:tcW w:w="1805" w:type="dxa"/>
          </w:tcPr>
          <w:p>
            <w:pPr>
              <w:pStyle w:val="TableParagraph"/>
              <w:spacing w:before="17"/>
              <w:rPr>
                <w:b/>
                <w:sz w:val="18"/>
              </w:rPr>
            </w:pPr>
          </w:p>
          <w:p>
            <w:pPr>
              <w:pStyle w:val="TableParagraph"/>
              <w:ind w:left="73" w:right="30"/>
              <w:rPr>
                <w:sz w:val="18"/>
              </w:rPr>
            </w:pPr>
            <w:r>
              <w:rPr>
                <w:sz w:val="18"/>
              </w:rPr>
              <w:t>Matriz de </w:t>
            </w:r>
            <w:r>
              <w:rPr>
                <w:spacing w:val="-2"/>
                <w:sz w:val="18"/>
              </w:rPr>
              <w:t>Seguimiento </w:t>
            </w:r>
            <w:r>
              <w:rPr>
                <w:sz w:val="18"/>
              </w:rPr>
              <w:t>Proyectos de Infraestructura</w:t>
            </w:r>
            <w:r>
              <w:rPr>
                <w:spacing w:val="-13"/>
                <w:sz w:val="18"/>
              </w:rPr>
              <w:t> </w:t>
            </w:r>
            <w:r>
              <w:rPr>
                <w:sz w:val="18"/>
              </w:rPr>
              <w:t>física regional y territorial.</w:t>
            </w:r>
          </w:p>
        </w:tc>
        <w:tc>
          <w:tcPr>
            <w:tcW w:w="1498" w:type="dxa"/>
          </w:tcPr>
          <w:p>
            <w:pPr>
              <w:pStyle w:val="TableParagraph"/>
              <w:rPr>
                <w:b/>
                <w:sz w:val="18"/>
              </w:rPr>
            </w:pPr>
          </w:p>
          <w:p>
            <w:pPr>
              <w:pStyle w:val="TableParagraph"/>
              <w:rPr>
                <w:b/>
                <w:sz w:val="18"/>
              </w:rPr>
            </w:pPr>
          </w:p>
          <w:p>
            <w:pPr>
              <w:pStyle w:val="TableParagraph"/>
              <w:spacing w:before="16"/>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rPr>
                <w:b/>
                <w:sz w:val="18"/>
              </w:rPr>
            </w:pPr>
          </w:p>
          <w:p>
            <w:pPr>
              <w:pStyle w:val="TableParagraph"/>
              <w:spacing w:before="16"/>
              <w:rPr>
                <w:b/>
                <w:sz w:val="18"/>
              </w:rPr>
            </w:pPr>
          </w:p>
          <w:p>
            <w:pPr>
              <w:pStyle w:val="TableParagraph"/>
              <w:ind w:left="29" w:right="9"/>
              <w:jc w:val="center"/>
              <w:rPr>
                <w:sz w:val="18"/>
              </w:rPr>
            </w:pPr>
            <w:r>
              <w:rPr>
                <w:spacing w:val="-10"/>
                <w:sz w:val="18"/>
              </w:rPr>
              <w:t>-</w:t>
            </w:r>
          </w:p>
        </w:tc>
        <w:tc>
          <w:tcPr>
            <w:tcW w:w="2058" w:type="dxa"/>
            <w:vMerge/>
            <w:tcBorders>
              <w:top w:val="nil"/>
            </w:tcBorders>
          </w:tcPr>
          <w:p>
            <w:pPr>
              <w:rPr>
                <w:sz w:val="2"/>
                <w:szCs w:val="2"/>
              </w:rPr>
            </w:pPr>
          </w:p>
        </w:tc>
      </w:tr>
      <w:tr>
        <w:trPr>
          <w:trHeight w:val="661" w:hRule="atLeast"/>
        </w:trPr>
        <w:tc>
          <w:tcPr>
            <w:tcW w:w="12257" w:type="dxa"/>
            <w:gridSpan w:val="7"/>
            <w:shd w:val="clear" w:color="auto" w:fill="EFF8F9"/>
          </w:tcPr>
          <w:p>
            <w:pPr>
              <w:pStyle w:val="TableParagraph"/>
              <w:spacing w:before="22"/>
              <w:rPr>
                <w:b/>
                <w:sz w:val="18"/>
              </w:rPr>
            </w:pPr>
          </w:p>
          <w:p>
            <w:pPr>
              <w:pStyle w:val="TableParagraph"/>
              <w:ind w:left="72"/>
              <w:rPr>
                <w:b/>
                <w:sz w:val="18"/>
              </w:rPr>
            </w:pPr>
            <w:r>
              <w:rPr>
                <w:b/>
                <w:sz w:val="18"/>
              </w:rPr>
              <w:t>Producto</w:t>
            </w:r>
            <w:r>
              <w:rPr>
                <w:b/>
                <w:spacing w:val="-8"/>
                <w:sz w:val="18"/>
              </w:rPr>
              <w:t> </w:t>
            </w:r>
            <w:r>
              <w:rPr>
                <w:b/>
                <w:sz w:val="18"/>
              </w:rPr>
              <w:t>PAC</w:t>
            </w:r>
            <w:r>
              <w:rPr>
                <w:b/>
                <w:spacing w:val="-7"/>
                <w:sz w:val="18"/>
              </w:rPr>
              <w:t> </w:t>
            </w:r>
            <w:r>
              <w:rPr>
                <w:b/>
                <w:sz w:val="18"/>
              </w:rPr>
              <w:t>2:30:</w:t>
            </w:r>
            <w:r>
              <w:rPr>
                <w:b/>
                <w:spacing w:val="-3"/>
                <w:sz w:val="18"/>
              </w:rPr>
              <w:t> </w:t>
            </w:r>
            <w:r>
              <w:rPr>
                <w:b/>
                <w:sz w:val="18"/>
              </w:rPr>
              <w:t>Estrategia</w:t>
            </w:r>
            <w:r>
              <w:rPr>
                <w:b/>
                <w:spacing w:val="-6"/>
                <w:sz w:val="18"/>
              </w:rPr>
              <w:t> </w:t>
            </w:r>
            <w:r>
              <w:rPr>
                <w:b/>
                <w:sz w:val="18"/>
              </w:rPr>
              <w:t>de</w:t>
            </w:r>
            <w:r>
              <w:rPr>
                <w:b/>
                <w:spacing w:val="-6"/>
                <w:sz w:val="18"/>
              </w:rPr>
              <w:t> </w:t>
            </w:r>
            <w:r>
              <w:rPr>
                <w:b/>
                <w:sz w:val="18"/>
              </w:rPr>
              <w:t>la</w:t>
            </w:r>
            <w:r>
              <w:rPr>
                <w:b/>
                <w:spacing w:val="-11"/>
                <w:sz w:val="18"/>
              </w:rPr>
              <w:t> </w:t>
            </w:r>
            <w:r>
              <w:rPr>
                <w:b/>
                <w:sz w:val="18"/>
              </w:rPr>
              <w:t>Gestión</w:t>
            </w:r>
            <w:r>
              <w:rPr>
                <w:b/>
                <w:spacing w:val="-7"/>
                <w:sz w:val="18"/>
              </w:rPr>
              <w:t> </w:t>
            </w:r>
            <w:r>
              <w:rPr>
                <w:b/>
                <w:sz w:val="18"/>
              </w:rPr>
              <w:t>para</w:t>
            </w:r>
            <w:r>
              <w:rPr>
                <w:b/>
                <w:spacing w:val="-3"/>
                <w:sz w:val="18"/>
              </w:rPr>
              <w:t> </w:t>
            </w:r>
            <w:r>
              <w:rPr>
                <w:b/>
                <w:sz w:val="18"/>
              </w:rPr>
              <w:t>Resultados</w:t>
            </w:r>
            <w:r>
              <w:rPr>
                <w:b/>
                <w:spacing w:val="-2"/>
                <w:sz w:val="18"/>
              </w:rPr>
              <w:t> </w:t>
            </w:r>
            <w:r>
              <w:rPr>
                <w:b/>
                <w:sz w:val="18"/>
              </w:rPr>
              <w:t>en</w:t>
            </w:r>
            <w:r>
              <w:rPr>
                <w:b/>
                <w:spacing w:val="-7"/>
                <w:sz w:val="18"/>
              </w:rPr>
              <w:t> </w:t>
            </w:r>
            <w:r>
              <w:rPr>
                <w:b/>
                <w:sz w:val="18"/>
              </w:rPr>
              <w:t>el Desarrollo</w:t>
            </w:r>
            <w:r>
              <w:rPr>
                <w:b/>
                <w:spacing w:val="-7"/>
                <w:sz w:val="18"/>
              </w:rPr>
              <w:t> </w:t>
            </w:r>
            <w:r>
              <w:rPr>
                <w:b/>
                <w:sz w:val="18"/>
              </w:rPr>
              <w:t>(GpRD)</w:t>
            </w:r>
            <w:r>
              <w:rPr>
                <w:b/>
                <w:spacing w:val="-4"/>
                <w:sz w:val="18"/>
              </w:rPr>
              <w:t> </w:t>
            </w:r>
            <w:r>
              <w:rPr>
                <w:b/>
                <w:spacing w:val="-2"/>
                <w:sz w:val="18"/>
              </w:rPr>
              <w:t>implementada</w:t>
            </w:r>
          </w:p>
        </w:tc>
        <w:tc>
          <w:tcPr>
            <w:tcW w:w="2058" w:type="dxa"/>
            <w:shd w:val="clear" w:color="auto" w:fill="DEF0F9"/>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954"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3"/>
        <w:gridCol w:w="1387"/>
        <w:gridCol w:w="1181"/>
        <w:gridCol w:w="2165"/>
        <w:gridCol w:w="1805"/>
        <w:gridCol w:w="1498"/>
        <w:gridCol w:w="1398"/>
        <w:gridCol w:w="2058"/>
      </w:tblGrid>
      <w:tr>
        <w:trPr>
          <w:trHeight w:val="820" w:hRule="atLeast"/>
        </w:trPr>
        <w:tc>
          <w:tcPr>
            <w:tcW w:w="2823" w:type="dxa"/>
            <w:shd w:val="clear" w:color="auto" w:fill="D9D9D9"/>
          </w:tcPr>
          <w:p>
            <w:pPr>
              <w:pStyle w:val="TableParagraph"/>
              <w:spacing w:before="99"/>
              <w:rPr>
                <w:b/>
                <w:sz w:val="18"/>
              </w:rPr>
            </w:pPr>
          </w:p>
          <w:p>
            <w:pPr>
              <w:pStyle w:val="TableParagraph"/>
              <w:ind w:left="441"/>
              <w:rPr>
                <w:b/>
                <w:sz w:val="18"/>
              </w:rPr>
            </w:pPr>
            <w:r>
              <w:rPr>
                <w:b/>
                <w:sz w:val="18"/>
              </w:rPr>
              <w:t>Objetivos</w:t>
            </w:r>
            <w:r>
              <w:rPr>
                <w:b/>
                <w:spacing w:val="-5"/>
                <w:sz w:val="18"/>
              </w:rPr>
              <w:t> </w:t>
            </w:r>
            <w:r>
              <w:rPr>
                <w:b/>
                <w:sz w:val="18"/>
              </w:rPr>
              <w:t>/</w:t>
            </w:r>
            <w:r>
              <w:rPr>
                <w:b/>
                <w:spacing w:val="-2"/>
                <w:sz w:val="18"/>
              </w:rPr>
              <w:t> Resultados</w:t>
            </w:r>
          </w:p>
        </w:tc>
        <w:tc>
          <w:tcPr>
            <w:tcW w:w="1387" w:type="dxa"/>
            <w:shd w:val="clear" w:color="auto" w:fill="D9D9D9"/>
          </w:tcPr>
          <w:p>
            <w:pPr>
              <w:pStyle w:val="TableParagraph"/>
              <w:spacing w:line="244" w:lineRule="auto" w:before="200"/>
              <w:ind w:left="436" w:hanging="216"/>
              <w:rPr>
                <w:b/>
                <w:sz w:val="18"/>
              </w:rPr>
            </w:pPr>
            <w:r>
              <w:rPr>
                <w:b/>
                <w:sz w:val="18"/>
              </w:rPr>
              <w:t>Línea</w:t>
            </w:r>
            <w:r>
              <w:rPr>
                <w:b/>
                <w:spacing w:val="-13"/>
                <w:sz w:val="18"/>
              </w:rPr>
              <w:t> </w:t>
            </w:r>
            <w:r>
              <w:rPr>
                <w:b/>
                <w:sz w:val="18"/>
              </w:rPr>
              <w:t>Base </w:t>
            </w:r>
            <w:r>
              <w:rPr>
                <w:b/>
                <w:spacing w:val="-2"/>
                <w:sz w:val="18"/>
              </w:rPr>
              <w:t>(2023)</w:t>
            </w:r>
          </w:p>
        </w:tc>
        <w:tc>
          <w:tcPr>
            <w:tcW w:w="1181" w:type="dxa"/>
            <w:shd w:val="clear" w:color="auto" w:fill="D9D9D9"/>
          </w:tcPr>
          <w:p>
            <w:pPr>
              <w:pStyle w:val="TableParagraph"/>
              <w:spacing w:before="99"/>
              <w:ind w:left="72" w:right="49" w:hanging="10"/>
              <w:jc w:val="center"/>
              <w:rPr>
                <w:b/>
                <w:sz w:val="18"/>
              </w:rPr>
            </w:pPr>
            <w:r>
              <w:rPr>
                <w:b/>
                <w:spacing w:val="-4"/>
                <w:sz w:val="18"/>
              </w:rPr>
              <w:t>Meta </w:t>
            </w:r>
            <w:r>
              <w:rPr>
                <w:b/>
                <w:spacing w:val="-2"/>
                <w:sz w:val="18"/>
              </w:rPr>
              <w:t>programada </w:t>
            </w:r>
            <w:r>
              <w:rPr>
                <w:b/>
                <w:spacing w:val="-4"/>
                <w:sz w:val="18"/>
              </w:rPr>
              <w:t>2026</w:t>
            </w:r>
          </w:p>
        </w:tc>
        <w:tc>
          <w:tcPr>
            <w:tcW w:w="2165" w:type="dxa"/>
            <w:shd w:val="clear" w:color="auto" w:fill="D9D9D9"/>
          </w:tcPr>
          <w:p>
            <w:pPr>
              <w:pStyle w:val="TableParagraph"/>
              <w:spacing w:before="99"/>
              <w:rPr>
                <w:b/>
                <w:sz w:val="18"/>
              </w:rPr>
            </w:pPr>
          </w:p>
          <w:p>
            <w:pPr>
              <w:pStyle w:val="TableParagraph"/>
              <w:ind w:left="677"/>
              <w:rPr>
                <w:b/>
                <w:sz w:val="18"/>
              </w:rPr>
            </w:pPr>
            <w:r>
              <w:rPr>
                <w:b/>
                <w:spacing w:val="-2"/>
                <w:sz w:val="18"/>
              </w:rPr>
              <w:t>Indicador</w:t>
            </w:r>
          </w:p>
        </w:tc>
        <w:tc>
          <w:tcPr>
            <w:tcW w:w="1805" w:type="dxa"/>
            <w:shd w:val="clear" w:color="auto" w:fill="D9D9D9"/>
          </w:tcPr>
          <w:p>
            <w:pPr>
              <w:pStyle w:val="TableParagraph"/>
              <w:spacing w:line="244" w:lineRule="auto" w:before="200"/>
              <w:ind w:left="404" w:right="30" w:firstLine="57"/>
              <w:rPr>
                <w:b/>
                <w:sz w:val="18"/>
              </w:rPr>
            </w:pPr>
            <w:r>
              <w:rPr>
                <w:b/>
                <w:sz w:val="18"/>
              </w:rPr>
              <w:t>Medios de </w:t>
            </w:r>
            <w:r>
              <w:rPr>
                <w:b/>
                <w:spacing w:val="-2"/>
                <w:sz w:val="18"/>
              </w:rPr>
              <w:t>verificación</w:t>
            </w:r>
          </w:p>
        </w:tc>
        <w:tc>
          <w:tcPr>
            <w:tcW w:w="1498" w:type="dxa"/>
            <w:shd w:val="clear" w:color="auto" w:fill="D9D9D9"/>
          </w:tcPr>
          <w:p>
            <w:pPr>
              <w:pStyle w:val="TableParagraph"/>
              <w:spacing w:before="99"/>
              <w:rPr>
                <w:b/>
                <w:sz w:val="18"/>
              </w:rPr>
            </w:pPr>
          </w:p>
          <w:p>
            <w:pPr>
              <w:pStyle w:val="TableParagraph"/>
              <w:ind w:left="188"/>
              <w:rPr>
                <w:b/>
                <w:sz w:val="18"/>
              </w:rPr>
            </w:pPr>
            <w:r>
              <w:rPr>
                <w:b/>
                <w:spacing w:val="-2"/>
                <w:sz w:val="18"/>
              </w:rPr>
              <w:t>Responsable</w:t>
            </w:r>
          </w:p>
        </w:tc>
        <w:tc>
          <w:tcPr>
            <w:tcW w:w="1398" w:type="dxa"/>
            <w:shd w:val="clear" w:color="auto" w:fill="D9D9D9"/>
          </w:tcPr>
          <w:p>
            <w:pPr>
              <w:pStyle w:val="TableParagraph"/>
              <w:spacing w:line="244" w:lineRule="auto" w:before="200"/>
              <w:ind w:left="304" w:hanging="149"/>
              <w:rPr>
                <w:b/>
                <w:sz w:val="18"/>
              </w:rPr>
            </w:pPr>
            <w:r>
              <w:rPr>
                <w:b/>
                <w:spacing w:val="-2"/>
                <w:sz w:val="18"/>
              </w:rPr>
              <w:t>Presupuesto asignado</w:t>
            </w:r>
          </w:p>
        </w:tc>
        <w:tc>
          <w:tcPr>
            <w:tcW w:w="2058" w:type="dxa"/>
            <w:shd w:val="clear" w:color="auto" w:fill="D9D9D9"/>
          </w:tcPr>
          <w:p>
            <w:pPr>
              <w:pStyle w:val="TableParagraph"/>
              <w:spacing w:before="99"/>
              <w:rPr>
                <w:b/>
                <w:sz w:val="18"/>
              </w:rPr>
            </w:pPr>
          </w:p>
          <w:p>
            <w:pPr>
              <w:pStyle w:val="TableParagraph"/>
              <w:ind w:left="677"/>
              <w:rPr>
                <w:b/>
                <w:sz w:val="18"/>
              </w:rPr>
            </w:pPr>
            <w:r>
              <w:rPr>
                <w:b/>
                <w:spacing w:val="-2"/>
                <w:sz w:val="18"/>
              </w:rPr>
              <w:t>Riesgos</w:t>
            </w:r>
          </w:p>
        </w:tc>
      </w:tr>
      <w:tr>
        <w:trPr>
          <w:trHeight w:val="2343" w:hRule="atLeast"/>
        </w:trPr>
        <w:tc>
          <w:tcPr>
            <w:tcW w:w="2823" w:type="dxa"/>
          </w:tcPr>
          <w:p>
            <w:pPr>
              <w:pStyle w:val="TableParagraph"/>
              <w:rPr>
                <w:b/>
                <w:sz w:val="18"/>
              </w:rPr>
            </w:pPr>
          </w:p>
          <w:p>
            <w:pPr>
              <w:pStyle w:val="TableParagraph"/>
              <w:spacing w:before="12"/>
              <w:rPr>
                <w:b/>
                <w:sz w:val="18"/>
              </w:rPr>
            </w:pPr>
          </w:p>
          <w:p>
            <w:pPr>
              <w:pStyle w:val="TableParagraph"/>
              <w:ind w:left="72" w:right="150"/>
              <w:rPr>
                <w:sz w:val="18"/>
              </w:rPr>
            </w:pPr>
            <w:r>
              <w:rPr>
                <w:b/>
                <w:sz w:val="18"/>
              </w:rPr>
              <w:t>Actividad</w:t>
            </w:r>
            <w:r>
              <w:rPr>
                <w:b/>
                <w:spacing w:val="-13"/>
                <w:sz w:val="18"/>
              </w:rPr>
              <w:t> </w:t>
            </w:r>
            <w:r>
              <w:rPr>
                <w:b/>
                <w:sz w:val="18"/>
              </w:rPr>
              <w:t>PAC</w:t>
            </w:r>
            <w:r>
              <w:rPr>
                <w:b/>
                <w:spacing w:val="-12"/>
                <w:sz w:val="18"/>
              </w:rPr>
              <w:t> </w:t>
            </w:r>
            <w:r>
              <w:rPr>
                <w:b/>
                <w:sz w:val="18"/>
              </w:rPr>
              <w:t>2.30.1:</w:t>
            </w:r>
            <w:r>
              <w:rPr>
                <w:b/>
                <w:spacing w:val="-12"/>
                <w:sz w:val="18"/>
              </w:rPr>
              <w:t> </w:t>
            </w:r>
            <w:r>
              <w:rPr>
                <w:sz w:val="18"/>
              </w:rPr>
              <w:t>Realizar una ejecución presupuestaria asociada a los costos directos por centro gestor y trasladando costos indirectos a las oficinas institucionales de atención al </w:t>
            </w:r>
            <w:r>
              <w:rPr>
                <w:spacing w:val="-2"/>
                <w:sz w:val="18"/>
              </w:rPr>
              <w:t>público.</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ind w:left="28" w:right="12"/>
              <w:jc w:val="center"/>
              <w:rPr>
                <w:sz w:val="18"/>
              </w:rPr>
            </w:pPr>
            <w:r>
              <w:rPr>
                <w:spacing w:val="-10"/>
                <w:sz w:val="18"/>
              </w:rPr>
              <w:t>1</w:t>
            </w:r>
          </w:p>
        </w:tc>
        <w:tc>
          <w:tcPr>
            <w:tcW w:w="2165" w:type="dxa"/>
          </w:tcPr>
          <w:p>
            <w:pPr>
              <w:pStyle w:val="TableParagraph"/>
              <w:rPr>
                <w:b/>
                <w:sz w:val="18"/>
              </w:rPr>
            </w:pPr>
          </w:p>
          <w:p>
            <w:pPr>
              <w:pStyle w:val="TableParagraph"/>
              <w:spacing w:before="132"/>
              <w:rPr>
                <w:b/>
                <w:sz w:val="18"/>
              </w:rPr>
            </w:pPr>
          </w:p>
          <w:p>
            <w:pPr>
              <w:pStyle w:val="TableParagraph"/>
              <w:ind w:left="73" w:right="54"/>
              <w:rPr>
                <w:sz w:val="18"/>
              </w:rPr>
            </w:pPr>
            <w:r>
              <w:rPr>
                <w:sz w:val="18"/>
              </w:rPr>
              <w:t>Matriz de gasto</w:t>
            </w:r>
            <w:r>
              <w:rPr>
                <w:spacing w:val="40"/>
                <w:sz w:val="18"/>
              </w:rPr>
              <w:t> </w:t>
            </w:r>
            <w:r>
              <w:rPr>
                <w:sz w:val="18"/>
              </w:rPr>
              <w:t>ejecutado</w:t>
            </w:r>
            <w:r>
              <w:rPr>
                <w:spacing w:val="-15"/>
                <w:sz w:val="18"/>
              </w:rPr>
              <w:t> </w:t>
            </w:r>
            <w:r>
              <w:rPr>
                <w:sz w:val="18"/>
              </w:rPr>
              <w:t>con</w:t>
            </w:r>
            <w:r>
              <w:rPr>
                <w:spacing w:val="-12"/>
                <w:sz w:val="18"/>
              </w:rPr>
              <w:t> </w:t>
            </w:r>
            <w:r>
              <w:rPr>
                <w:sz w:val="18"/>
              </w:rPr>
              <w:t>posiciones presupuestarias en las filas vinculadas con centros de costos en las </w:t>
            </w:r>
            <w:r>
              <w:rPr>
                <w:spacing w:val="-2"/>
                <w:sz w:val="18"/>
              </w:rPr>
              <w:t>columnas.</w:t>
            </w:r>
          </w:p>
        </w:tc>
        <w:tc>
          <w:tcPr>
            <w:tcW w:w="180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ind w:left="73"/>
              <w:rPr>
                <w:sz w:val="18"/>
              </w:rPr>
            </w:pPr>
            <w:r>
              <w:rPr>
                <w:sz w:val="18"/>
              </w:rPr>
              <w:t>Presupuesto</w:t>
            </w:r>
            <w:r>
              <w:rPr>
                <w:spacing w:val="-4"/>
                <w:sz w:val="18"/>
              </w:rPr>
              <w:t> </w:t>
            </w:r>
            <w:r>
              <w:rPr>
                <w:spacing w:val="-2"/>
                <w:sz w:val="18"/>
              </w:rPr>
              <w:t>2026.</w:t>
            </w:r>
          </w:p>
        </w:tc>
        <w:tc>
          <w:tcPr>
            <w:tcW w:w="149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ind w:left="29" w:right="9"/>
              <w:jc w:val="center"/>
              <w:rPr>
                <w:sz w:val="18"/>
              </w:rPr>
            </w:pPr>
            <w:r>
              <w:rPr>
                <w:spacing w:val="-10"/>
                <w:sz w:val="18"/>
              </w:rPr>
              <w:t>-</w:t>
            </w:r>
          </w:p>
        </w:tc>
        <w:tc>
          <w:tcPr>
            <w:tcW w:w="2058"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72" w:right="160"/>
              <w:rPr>
                <w:sz w:val="18"/>
              </w:rPr>
            </w:pPr>
            <w:r>
              <w:rPr>
                <w:sz w:val="18"/>
              </w:rPr>
              <w:t>Evento: Que no se logre vincular los costos operativos directos</w:t>
            </w:r>
            <w:r>
              <w:rPr>
                <w:spacing w:val="-10"/>
                <w:sz w:val="18"/>
              </w:rPr>
              <w:t> </w:t>
            </w:r>
            <w:r>
              <w:rPr>
                <w:sz w:val="18"/>
              </w:rPr>
              <w:t>e</w:t>
            </w:r>
            <w:r>
              <w:rPr>
                <w:spacing w:val="-13"/>
                <w:sz w:val="18"/>
              </w:rPr>
              <w:t> </w:t>
            </w:r>
            <w:r>
              <w:rPr>
                <w:sz w:val="18"/>
              </w:rPr>
              <w:t>indirectos</w:t>
            </w:r>
            <w:r>
              <w:rPr>
                <w:spacing w:val="-9"/>
                <w:sz w:val="18"/>
              </w:rPr>
              <w:t> </w:t>
            </w:r>
            <w:r>
              <w:rPr>
                <w:sz w:val="18"/>
              </w:rPr>
              <w:t>a las partidas presupuestarias y centro gestor por </w:t>
            </w:r>
            <w:r>
              <w:rPr>
                <w:spacing w:val="-2"/>
                <w:sz w:val="18"/>
              </w:rPr>
              <w:t>programa presupuestario.</w:t>
            </w:r>
          </w:p>
        </w:tc>
      </w:tr>
      <w:tr>
        <w:trPr>
          <w:trHeight w:val="2069" w:hRule="atLeast"/>
        </w:trPr>
        <w:tc>
          <w:tcPr>
            <w:tcW w:w="2823" w:type="dxa"/>
          </w:tcPr>
          <w:p>
            <w:pPr>
              <w:pStyle w:val="TableParagraph"/>
              <w:spacing w:line="206" w:lineRule="exact"/>
              <w:ind w:left="72"/>
              <w:rPr>
                <w:b/>
                <w:sz w:val="18"/>
              </w:rPr>
            </w:pPr>
            <w:r>
              <w:rPr>
                <w:b/>
                <w:sz w:val="18"/>
              </w:rPr>
              <w:t>Actividad</w:t>
            </w:r>
            <w:r>
              <w:rPr>
                <w:b/>
                <w:spacing w:val="-6"/>
                <w:sz w:val="18"/>
              </w:rPr>
              <w:t> </w:t>
            </w:r>
            <w:r>
              <w:rPr>
                <w:b/>
                <w:sz w:val="18"/>
              </w:rPr>
              <w:t>PAC</w:t>
            </w:r>
            <w:r>
              <w:rPr>
                <w:b/>
                <w:spacing w:val="-2"/>
                <w:sz w:val="18"/>
              </w:rPr>
              <w:t> 2.30.2:</w:t>
            </w:r>
          </w:p>
          <w:p>
            <w:pPr>
              <w:pStyle w:val="TableParagraph"/>
              <w:ind w:left="72" w:right="85"/>
              <w:rPr>
                <w:sz w:val="18"/>
              </w:rPr>
            </w:pPr>
            <w:r>
              <w:rPr>
                <w:sz w:val="18"/>
              </w:rPr>
              <w:t>Generar un comunicado con las estimaciones</w:t>
            </w:r>
            <w:r>
              <w:rPr>
                <w:spacing w:val="-10"/>
                <w:sz w:val="18"/>
              </w:rPr>
              <w:t> </w:t>
            </w:r>
            <w:r>
              <w:rPr>
                <w:sz w:val="18"/>
              </w:rPr>
              <w:t>de</w:t>
            </w:r>
            <w:r>
              <w:rPr>
                <w:spacing w:val="-10"/>
                <w:sz w:val="18"/>
              </w:rPr>
              <w:t> </w:t>
            </w:r>
            <w:r>
              <w:rPr>
                <w:sz w:val="18"/>
              </w:rPr>
              <w:t>la</w:t>
            </w:r>
            <w:r>
              <w:rPr>
                <w:spacing w:val="-6"/>
                <w:sz w:val="18"/>
              </w:rPr>
              <w:t> </w:t>
            </w:r>
            <w:r>
              <w:rPr>
                <w:sz w:val="18"/>
              </w:rPr>
              <w:t>estructura</w:t>
            </w:r>
            <w:r>
              <w:rPr>
                <w:spacing w:val="-10"/>
                <w:sz w:val="18"/>
              </w:rPr>
              <w:t> </w:t>
            </w:r>
            <w:r>
              <w:rPr>
                <w:sz w:val="18"/>
              </w:rPr>
              <w:t>de costos por centro gestor y programa presupuestario como insumo</w:t>
            </w:r>
            <w:r>
              <w:rPr>
                <w:spacing w:val="-9"/>
                <w:sz w:val="18"/>
              </w:rPr>
              <w:t> </w:t>
            </w:r>
            <w:r>
              <w:rPr>
                <w:sz w:val="18"/>
              </w:rPr>
              <w:t>para</w:t>
            </w:r>
            <w:r>
              <w:rPr>
                <w:spacing w:val="-9"/>
                <w:sz w:val="18"/>
              </w:rPr>
              <w:t> </w:t>
            </w:r>
            <w:r>
              <w:rPr>
                <w:sz w:val="18"/>
              </w:rPr>
              <w:t>toma</w:t>
            </w:r>
            <w:r>
              <w:rPr>
                <w:spacing w:val="-9"/>
                <w:sz w:val="18"/>
              </w:rPr>
              <w:t> </w:t>
            </w:r>
            <w:r>
              <w:rPr>
                <w:sz w:val="18"/>
              </w:rPr>
              <w:t>de</w:t>
            </w:r>
            <w:r>
              <w:rPr>
                <w:spacing w:val="-9"/>
                <w:sz w:val="18"/>
              </w:rPr>
              <w:t> </w:t>
            </w:r>
            <w:r>
              <w:rPr>
                <w:sz w:val="18"/>
              </w:rPr>
              <w:t>decisiones en el servicio de atención social que brinda la institución por territorios de planificación del</w:t>
            </w:r>
          </w:p>
          <w:p>
            <w:pPr>
              <w:pStyle w:val="TableParagraph"/>
              <w:spacing w:line="187" w:lineRule="exact"/>
              <w:ind w:left="72"/>
              <w:rPr>
                <w:sz w:val="18"/>
              </w:rPr>
            </w:pPr>
            <w:r>
              <w:rPr>
                <w:spacing w:val="-2"/>
                <w:sz w:val="18"/>
              </w:rPr>
              <w:t>IMAS.</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9"/>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8" w:right="12"/>
              <w:jc w:val="center"/>
              <w:rPr>
                <w:sz w:val="18"/>
              </w:rPr>
            </w:pPr>
            <w:r>
              <w:rPr>
                <w:spacing w:val="-10"/>
                <w:sz w:val="18"/>
              </w:rPr>
              <w:t>1</w:t>
            </w:r>
          </w:p>
        </w:tc>
        <w:tc>
          <w:tcPr>
            <w:tcW w:w="2165"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73" w:right="73"/>
              <w:rPr>
                <w:sz w:val="18"/>
              </w:rPr>
            </w:pPr>
            <w:r>
              <w:rPr>
                <w:sz w:val="18"/>
              </w:rPr>
              <w:t>Cantidad de estimaciones</w:t>
            </w:r>
            <w:r>
              <w:rPr>
                <w:spacing w:val="-13"/>
                <w:sz w:val="18"/>
              </w:rPr>
              <w:t> </w:t>
            </w:r>
            <w:r>
              <w:rPr>
                <w:sz w:val="18"/>
              </w:rPr>
              <w:t>generadas.</w:t>
            </w:r>
          </w:p>
        </w:tc>
        <w:tc>
          <w:tcPr>
            <w:tcW w:w="1805" w:type="dxa"/>
          </w:tcPr>
          <w:p>
            <w:pPr>
              <w:pStyle w:val="TableParagraph"/>
              <w:spacing w:before="206"/>
              <w:ind w:left="73" w:right="104"/>
              <w:rPr>
                <w:sz w:val="18"/>
              </w:rPr>
            </w:pPr>
            <w:r>
              <w:rPr>
                <w:sz w:val="18"/>
              </w:rPr>
              <w:t>Comunicado o informe oficial emitido por la DSA con las estimaciones de costos, registrado y archivado en el sistema</w:t>
            </w:r>
            <w:r>
              <w:rPr>
                <w:spacing w:val="-13"/>
                <w:sz w:val="18"/>
              </w:rPr>
              <w:t> </w:t>
            </w:r>
            <w:r>
              <w:rPr>
                <w:sz w:val="18"/>
              </w:rPr>
              <w:t>institucional</w:t>
            </w:r>
          </w:p>
        </w:tc>
        <w:tc>
          <w:tcPr>
            <w:tcW w:w="149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8"/>
              <w:rPr>
                <w:sz w:val="18"/>
              </w:rPr>
            </w:pPr>
            <w:r>
              <w:rPr>
                <w:spacing w:val="-5"/>
                <w:sz w:val="18"/>
              </w:rPr>
              <w:t>DSA</w:t>
            </w:r>
          </w:p>
        </w:tc>
        <w:tc>
          <w:tcPr>
            <w:tcW w:w="139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9" w:right="9"/>
              <w:jc w:val="center"/>
              <w:rPr>
                <w:sz w:val="18"/>
              </w:rPr>
            </w:pPr>
            <w:r>
              <w:rPr>
                <w:spacing w:val="-10"/>
                <w:sz w:val="18"/>
              </w:rPr>
              <w:t>-</w:t>
            </w:r>
          </w:p>
        </w:tc>
        <w:tc>
          <w:tcPr>
            <w:tcW w:w="2058" w:type="dxa"/>
            <w:vMerge/>
            <w:tcBorders>
              <w:top w:val="nil"/>
            </w:tcBorders>
          </w:tcPr>
          <w:p>
            <w:pPr>
              <w:rPr>
                <w:sz w:val="2"/>
                <w:szCs w:val="2"/>
              </w:rPr>
            </w:pPr>
          </w:p>
        </w:tc>
      </w:tr>
      <w:tr>
        <w:trPr>
          <w:trHeight w:val="2400" w:hRule="atLeast"/>
        </w:trPr>
        <w:tc>
          <w:tcPr>
            <w:tcW w:w="2823" w:type="dxa"/>
          </w:tcPr>
          <w:p>
            <w:pPr>
              <w:pStyle w:val="TableParagraph"/>
              <w:rPr>
                <w:b/>
                <w:sz w:val="18"/>
              </w:rPr>
            </w:pPr>
          </w:p>
          <w:p>
            <w:pPr>
              <w:pStyle w:val="TableParagraph"/>
              <w:spacing w:before="166"/>
              <w:rPr>
                <w:b/>
                <w:sz w:val="18"/>
              </w:rPr>
            </w:pPr>
          </w:p>
          <w:p>
            <w:pPr>
              <w:pStyle w:val="TableParagraph"/>
              <w:ind w:left="72" w:right="150"/>
              <w:rPr>
                <w:sz w:val="18"/>
              </w:rPr>
            </w:pPr>
            <w:r>
              <w:rPr>
                <w:b/>
                <w:sz w:val="18"/>
              </w:rPr>
              <w:t>Actividad PAC 2.30.3: </w:t>
            </w:r>
            <w:r>
              <w:rPr>
                <w:sz w:val="18"/>
              </w:rPr>
              <w:t>Monitorear</w:t>
            </w:r>
            <w:r>
              <w:rPr>
                <w:spacing w:val="-11"/>
                <w:sz w:val="18"/>
              </w:rPr>
              <w:t> </w:t>
            </w:r>
            <w:r>
              <w:rPr>
                <w:sz w:val="18"/>
              </w:rPr>
              <w:t>de</w:t>
            </w:r>
            <w:r>
              <w:rPr>
                <w:spacing w:val="-13"/>
                <w:sz w:val="18"/>
              </w:rPr>
              <w:t> </w:t>
            </w:r>
            <w:r>
              <w:rPr>
                <w:sz w:val="18"/>
              </w:rPr>
              <w:t>forma</w:t>
            </w:r>
            <w:r>
              <w:rPr>
                <w:spacing w:val="-12"/>
                <w:sz w:val="18"/>
              </w:rPr>
              <w:t> </w:t>
            </w:r>
            <w:r>
              <w:rPr>
                <w:sz w:val="18"/>
              </w:rPr>
              <w:t>semestral las desviaciones de las estimaciones de costos por centro gestor con sus </w:t>
            </w:r>
            <w:r>
              <w:rPr>
                <w:spacing w:val="-2"/>
                <w:sz w:val="18"/>
              </w:rPr>
              <w:t>justificaciones.</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8"/>
              <w:rPr>
                <w:b/>
                <w:sz w:val="18"/>
              </w:rPr>
            </w:pPr>
          </w:p>
          <w:p>
            <w:pPr>
              <w:pStyle w:val="TableParagraph"/>
              <w:spacing w:before="1"/>
              <w:ind w:left="21" w:right="9"/>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8"/>
              <w:rPr>
                <w:b/>
                <w:sz w:val="18"/>
              </w:rPr>
            </w:pPr>
          </w:p>
          <w:p>
            <w:pPr>
              <w:pStyle w:val="TableParagraph"/>
              <w:spacing w:before="1"/>
              <w:ind w:left="28" w:right="12"/>
              <w:jc w:val="center"/>
              <w:rPr>
                <w:sz w:val="18"/>
              </w:rPr>
            </w:pPr>
            <w:r>
              <w:rPr>
                <w:spacing w:val="-10"/>
                <w:sz w:val="18"/>
              </w:rPr>
              <w:t>1</w:t>
            </w:r>
          </w:p>
        </w:tc>
        <w:tc>
          <w:tcPr>
            <w:tcW w:w="216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8"/>
              <w:rPr>
                <w:b/>
                <w:sz w:val="18"/>
              </w:rPr>
            </w:pPr>
          </w:p>
          <w:p>
            <w:pPr>
              <w:pStyle w:val="TableParagraph"/>
              <w:spacing w:before="1"/>
              <w:ind w:left="73"/>
              <w:rPr>
                <w:sz w:val="18"/>
              </w:rPr>
            </w:pPr>
            <w:r>
              <w:rPr>
                <w:sz w:val="18"/>
              </w:rPr>
              <w:t>Cantidad</w:t>
            </w:r>
            <w:r>
              <w:rPr>
                <w:spacing w:val="-4"/>
                <w:sz w:val="18"/>
              </w:rPr>
              <w:t> </w:t>
            </w:r>
            <w:r>
              <w:rPr>
                <w:sz w:val="18"/>
              </w:rPr>
              <w:t>de</w:t>
            </w:r>
            <w:r>
              <w:rPr>
                <w:spacing w:val="-3"/>
                <w:sz w:val="18"/>
              </w:rPr>
              <w:t> </w:t>
            </w:r>
            <w:r>
              <w:rPr>
                <w:spacing w:val="-2"/>
                <w:sz w:val="18"/>
              </w:rPr>
              <w:t>monitoreo</w:t>
            </w:r>
          </w:p>
        </w:tc>
        <w:tc>
          <w:tcPr>
            <w:tcW w:w="1805" w:type="dxa"/>
          </w:tcPr>
          <w:p>
            <w:pPr>
              <w:pStyle w:val="TableParagraph"/>
              <w:spacing w:before="61"/>
              <w:ind w:left="73" w:right="125"/>
              <w:rPr>
                <w:sz w:val="18"/>
              </w:rPr>
            </w:pPr>
            <w:r>
              <w:rPr>
                <w:sz w:val="18"/>
              </w:rPr>
              <w:t>Reporte semestral de</w:t>
            </w:r>
            <w:r>
              <w:rPr>
                <w:spacing w:val="-12"/>
                <w:sz w:val="18"/>
              </w:rPr>
              <w:t> </w:t>
            </w:r>
            <w:r>
              <w:rPr>
                <w:sz w:val="18"/>
              </w:rPr>
              <w:t>monitoreo</w:t>
            </w:r>
            <w:r>
              <w:rPr>
                <w:spacing w:val="-12"/>
                <w:sz w:val="18"/>
              </w:rPr>
              <w:t> </w:t>
            </w:r>
            <w:r>
              <w:rPr>
                <w:sz w:val="18"/>
              </w:rPr>
              <w:t>con</w:t>
            </w:r>
            <w:r>
              <w:rPr>
                <w:spacing w:val="-12"/>
                <w:sz w:val="18"/>
              </w:rPr>
              <w:t> </w:t>
            </w:r>
            <w:r>
              <w:rPr>
                <w:sz w:val="18"/>
              </w:rPr>
              <w:t>el detalle de </w:t>
            </w:r>
            <w:r>
              <w:rPr>
                <w:spacing w:val="-2"/>
                <w:sz w:val="18"/>
              </w:rPr>
              <w:t>variaciones </w:t>
            </w:r>
            <w:r>
              <w:rPr>
                <w:sz w:val="18"/>
              </w:rPr>
              <w:t>significativas y sus </w:t>
            </w:r>
            <w:r>
              <w:rPr>
                <w:spacing w:val="-2"/>
                <w:sz w:val="18"/>
              </w:rPr>
              <w:t>respectivas justificaciones, </w:t>
            </w:r>
            <w:r>
              <w:rPr>
                <w:sz w:val="18"/>
              </w:rPr>
              <w:t>firmado por la Dirección de </w:t>
            </w:r>
            <w:r>
              <w:rPr>
                <w:spacing w:val="-2"/>
                <w:sz w:val="18"/>
              </w:rPr>
              <w:t>Soporte Administrativo</w:t>
            </w:r>
          </w:p>
        </w:tc>
        <w:tc>
          <w:tcPr>
            <w:tcW w:w="149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8"/>
              <w:rPr>
                <w:b/>
                <w:sz w:val="18"/>
              </w:rPr>
            </w:pPr>
          </w:p>
          <w:p>
            <w:pPr>
              <w:pStyle w:val="TableParagraph"/>
              <w:spacing w:before="1"/>
              <w:ind w:left="68"/>
              <w:rPr>
                <w:sz w:val="18"/>
              </w:rPr>
            </w:pPr>
            <w:r>
              <w:rPr>
                <w:spacing w:val="-5"/>
                <w:sz w:val="18"/>
              </w:rPr>
              <w:t>DSA</w:t>
            </w:r>
          </w:p>
        </w:tc>
        <w:tc>
          <w:tcPr>
            <w:tcW w:w="139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8"/>
              <w:rPr>
                <w:b/>
                <w:sz w:val="18"/>
              </w:rPr>
            </w:pPr>
          </w:p>
          <w:p>
            <w:pPr>
              <w:pStyle w:val="TableParagraph"/>
              <w:spacing w:before="1"/>
              <w:ind w:left="29" w:right="9"/>
              <w:jc w:val="center"/>
              <w:rPr>
                <w:sz w:val="18"/>
              </w:rPr>
            </w:pPr>
            <w:r>
              <w:rPr>
                <w:spacing w:val="-10"/>
                <w:sz w:val="18"/>
              </w:rPr>
              <w:t>-</w:t>
            </w:r>
          </w:p>
        </w:tc>
        <w:tc>
          <w:tcPr>
            <w:tcW w:w="2058"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3"/>
        <w:gridCol w:w="1387"/>
        <w:gridCol w:w="1181"/>
        <w:gridCol w:w="2165"/>
        <w:gridCol w:w="1805"/>
        <w:gridCol w:w="1498"/>
        <w:gridCol w:w="1398"/>
        <w:gridCol w:w="2059"/>
      </w:tblGrid>
      <w:tr>
        <w:trPr>
          <w:trHeight w:val="820" w:hRule="atLeast"/>
        </w:trPr>
        <w:tc>
          <w:tcPr>
            <w:tcW w:w="2823" w:type="dxa"/>
            <w:shd w:val="clear" w:color="auto" w:fill="D9D9D9"/>
          </w:tcPr>
          <w:p>
            <w:pPr>
              <w:pStyle w:val="TableParagraph"/>
              <w:spacing w:before="99"/>
              <w:rPr>
                <w:b/>
                <w:sz w:val="18"/>
              </w:rPr>
            </w:pPr>
          </w:p>
          <w:p>
            <w:pPr>
              <w:pStyle w:val="TableParagraph"/>
              <w:ind w:left="441"/>
              <w:rPr>
                <w:b/>
                <w:sz w:val="18"/>
              </w:rPr>
            </w:pPr>
            <w:r>
              <w:rPr>
                <w:b/>
                <w:sz w:val="18"/>
              </w:rPr>
              <w:t>Objetivos</w:t>
            </w:r>
            <w:r>
              <w:rPr>
                <w:b/>
                <w:spacing w:val="-5"/>
                <w:sz w:val="18"/>
              </w:rPr>
              <w:t> </w:t>
            </w:r>
            <w:r>
              <w:rPr>
                <w:b/>
                <w:sz w:val="18"/>
              </w:rPr>
              <w:t>/</w:t>
            </w:r>
            <w:r>
              <w:rPr>
                <w:b/>
                <w:spacing w:val="-2"/>
                <w:sz w:val="18"/>
              </w:rPr>
              <w:t> Resultados</w:t>
            </w:r>
          </w:p>
        </w:tc>
        <w:tc>
          <w:tcPr>
            <w:tcW w:w="1387" w:type="dxa"/>
            <w:shd w:val="clear" w:color="auto" w:fill="D9D9D9"/>
          </w:tcPr>
          <w:p>
            <w:pPr>
              <w:pStyle w:val="TableParagraph"/>
              <w:spacing w:line="244" w:lineRule="auto" w:before="200"/>
              <w:ind w:left="436" w:hanging="216"/>
              <w:rPr>
                <w:b/>
                <w:sz w:val="18"/>
              </w:rPr>
            </w:pPr>
            <w:r>
              <w:rPr>
                <w:b/>
                <w:sz w:val="18"/>
              </w:rPr>
              <w:t>Línea</w:t>
            </w:r>
            <w:r>
              <w:rPr>
                <w:b/>
                <w:spacing w:val="-13"/>
                <w:sz w:val="18"/>
              </w:rPr>
              <w:t> </w:t>
            </w:r>
            <w:r>
              <w:rPr>
                <w:b/>
                <w:sz w:val="18"/>
              </w:rPr>
              <w:t>Base </w:t>
            </w:r>
            <w:r>
              <w:rPr>
                <w:b/>
                <w:spacing w:val="-2"/>
                <w:sz w:val="18"/>
              </w:rPr>
              <w:t>(2023)</w:t>
            </w:r>
          </w:p>
        </w:tc>
        <w:tc>
          <w:tcPr>
            <w:tcW w:w="1181" w:type="dxa"/>
            <w:shd w:val="clear" w:color="auto" w:fill="D9D9D9"/>
          </w:tcPr>
          <w:p>
            <w:pPr>
              <w:pStyle w:val="TableParagraph"/>
              <w:spacing w:before="99"/>
              <w:ind w:left="72" w:right="49" w:hanging="10"/>
              <w:jc w:val="center"/>
              <w:rPr>
                <w:b/>
                <w:sz w:val="18"/>
              </w:rPr>
            </w:pPr>
            <w:r>
              <w:rPr>
                <w:b/>
                <w:spacing w:val="-4"/>
                <w:sz w:val="18"/>
              </w:rPr>
              <w:t>Meta </w:t>
            </w:r>
            <w:r>
              <w:rPr>
                <w:b/>
                <w:spacing w:val="-2"/>
                <w:sz w:val="18"/>
              </w:rPr>
              <w:t>programada </w:t>
            </w:r>
            <w:r>
              <w:rPr>
                <w:b/>
                <w:spacing w:val="-4"/>
                <w:sz w:val="18"/>
              </w:rPr>
              <w:t>2026</w:t>
            </w:r>
          </w:p>
        </w:tc>
        <w:tc>
          <w:tcPr>
            <w:tcW w:w="2165" w:type="dxa"/>
            <w:shd w:val="clear" w:color="auto" w:fill="D9D9D9"/>
          </w:tcPr>
          <w:p>
            <w:pPr>
              <w:pStyle w:val="TableParagraph"/>
              <w:spacing w:before="99"/>
              <w:rPr>
                <w:b/>
                <w:sz w:val="18"/>
              </w:rPr>
            </w:pPr>
          </w:p>
          <w:p>
            <w:pPr>
              <w:pStyle w:val="TableParagraph"/>
              <w:ind w:left="677"/>
              <w:rPr>
                <w:b/>
                <w:sz w:val="18"/>
              </w:rPr>
            </w:pPr>
            <w:r>
              <w:rPr>
                <w:b/>
                <w:spacing w:val="-2"/>
                <w:sz w:val="18"/>
              </w:rPr>
              <w:t>Indicador</w:t>
            </w:r>
          </w:p>
        </w:tc>
        <w:tc>
          <w:tcPr>
            <w:tcW w:w="1805" w:type="dxa"/>
            <w:shd w:val="clear" w:color="auto" w:fill="D9D9D9"/>
          </w:tcPr>
          <w:p>
            <w:pPr>
              <w:pStyle w:val="TableParagraph"/>
              <w:spacing w:line="244" w:lineRule="auto" w:before="200"/>
              <w:ind w:left="404" w:right="30" w:firstLine="57"/>
              <w:rPr>
                <w:b/>
                <w:sz w:val="18"/>
              </w:rPr>
            </w:pPr>
            <w:r>
              <w:rPr>
                <w:b/>
                <w:sz w:val="18"/>
              </w:rPr>
              <w:t>Medios de </w:t>
            </w:r>
            <w:r>
              <w:rPr>
                <w:b/>
                <w:spacing w:val="-2"/>
                <w:sz w:val="18"/>
              </w:rPr>
              <w:t>verificación</w:t>
            </w:r>
          </w:p>
        </w:tc>
        <w:tc>
          <w:tcPr>
            <w:tcW w:w="1498" w:type="dxa"/>
            <w:shd w:val="clear" w:color="auto" w:fill="D9D9D9"/>
          </w:tcPr>
          <w:p>
            <w:pPr>
              <w:pStyle w:val="TableParagraph"/>
              <w:spacing w:before="99"/>
              <w:rPr>
                <w:b/>
                <w:sz w:val="18"/>
              </w:rPr>
            </w:pPr>
          </w:p>
          <w:p>
            <w:pPr>
              <w:pStyle w:val="TableParagraph"/>
              <w:ind w:left="188"/>
              <w:rPr>
                <w:b/>
                <w:sz w:val="18"/>
              </w:rPr>
            </w:pPr>
            <w:r>
              <w:rPr>
                <w:b/>
                <w:spacing w:val="-2"/>
                <w:sz w:val="18"/>
              </w:rPr>
              <w:t>Responsable</w:t>
            </w:r>
          </w:p>
        </w:tc>
        <w:tc>
          <w:tcPr>
            <w:tcW w:w="1398" w:type="dxa"/>
            <w:shd w:val="clear" w:color="auto" w:fill="D9D9D9"/>
          </w:tcPr>
          <w:p>
            <w:pPr>
              <w:pStyle w:val="TableParagraph"/>
              <w:spacing w:line="244" w:lineRule="auto" w:before="200"/>
              <w:ind w:left="304" w:hanging="149"/>
              <w:rPr>
                <w:b/>
                <w:sz w:val="18"/>
              </w:rPr>
            </w:pPr>
            <w:r>
              <w:rPr>
                <w:b/>
                <w:spacing w:val="-2"/>
                <w:sz w:val="18"/>
              </w:rPr>
              <w:t>Presupuesto asignado</w:t>
            </w:r>
          </w:p>
        </w:tc>
        <w:tc>
          <w:tcPr>
            <w:tcW w:w="2059" w:type="dxa"/>
            <w:tcBorders>
              <w:bottom w:val="nil"/>
            </w:tcBorders>
            <w:shd w:val="clear" w:color="auto" w:fill="D9D9D9"/>
          </w:tcPr>
          <w:p>
            <w:pPr>
              <w:pStyle w:val="TableParagraph"/>
              <w:spacing w:before="99"/>
              <w:rPr>
                <w:b/>
                <w:sz w:val="18"/>
              </w:rPr>
            </w:pPr>
          </w:p>
          <w:p>
            <w:pPr>
              <w:pStyle w:val="TableParagraph"/>
              <w:ind w:left="677"/>
              <w:rPr>
                <w:b/>
                <w:sz w:val="18"/>
              </w:rPr>
            </w:pPr>
            <w:r>
              <w:rPr>
                <w:b/>
                <w:spacing w:val="-2"/>
                <w:sz w:val="18"/>
              </w:rPr>
              <w:t>Riesgos</w:t>
            </w:r>
          </w:p>
        </w:tc>
      </w:tr>
      <w:tr>
        <w:trPr>
          <w:trHeight w:val="1843" w:hRule="atLeast"/>
        </w:trPr>
        <w:tc>
          <w:tcPr>
            <w:tcW w:w="2823" w:type="dxa"/>
          </w:tcPr>
          <w:p>
            <w:pPr>
              <w:pStyle w:val="TableParagraph"/>
              <w:spacing w:before="94"/>
              <w:rPr>
                <w:b/>
                <w:sz w:val="18"/>
              </w:rPr>
            </w:pPr>
          </w:p>
          <w:p>
            <w:pPr>
              <w:pStyle w:val="TableParagraph"/>
              <w:spacing w:line="207" w:lineRule="exact" w:before="1"/>
              <w:ind w:left="72"/>
              <w:rPr>
                <w:b/>
                <w:sz w:val="18"/>
              </w:rPr>
            </w:pPr>
            <w:r>
              <w:rPr>
                <w:b/>
                <w:sz w:val="18"/>
              </w:rPr>
              <w:t>Actividad</w:t>
            </w:r>
            <w:r>
              <w:rPr>
                <w:b/>
                <w:spacing w:val="-6"/>
                <w:sz w:val="18"/>
              </w:rPr>
              <w:t> </w:t>
            </w:r>
            <w:r>
              <w:rPr>
                <w:b/>
                <w:sz w:val="18"/>
              </w:rPr>
              <w:t>PAC</w:t>
            </w:r>
            <w:r>
              <w:rPr>
                <w:b/>
                <w:spacing w:val="-2"/>
                <w:sz w:val="18"/>
              </w:rPr>
              <w:t> 2.30.4:</w:t>
            </w:r>
          </w:p>
          <w:p>
            <w:pPr>
              <w:pStyle w:val="TableParagraph"/>
              <w:ind w:left="72" w:right="69"/>
              <w:rPr>
                <w:sz w:val="18"/>
              </w:rPr>
            </w:pPr>
            <w:r>
              <w:rPr>
                <w:sz w:val="18"/>
              </w:rPr>
              <w:t>Ajustar anualmente la estructura de costos institucionales, derivado</w:t>
            </w:r>
            <w:r>
              <w:rPr>
                <w:spacing w:val="-11"/>
                <w:sz w:val="18"/>
              </w:rPr>
              <w:t> </w:t>
            </w:r>
            <w:r>
              <w:rPr>
                <w:sz w:val="18"/>
              </w:rPr>
              <w:t>de</w:t>
            </w:r>
            <w:r>
              <w:rPr>
                <w:spacing w:val="-11"/>
                <w:sz w:val="18"/>
              </w:rPr>
              <w:t> </w:t>
            </w:r>
            <w:r>
              <w:rPr>
                <w:sz w:val="18"/>
              </w:rPr>
              <w:t>las</w:t>
            </w:r>
            <w:r>
              <w:rPr>
                <w:spacing w:val="-7"/>
                <w:sz w:val="18"/>
              </w:rPr>
              <w:t> </w:t>
            </w:r>
            <w:r>
              <w:rPr>
                <w:sz w:val="18"/>
              </w:rPr>
              <w:t>desviaciones</w:t>
            </w:r>
            <w:r>
              <w:rPr>
                <w:spacing w:val="-7"/>
                <w:sz w:val="18"/>
              </w:rPr>
              <w:t> </w:t>
            </w:r>
            <w:r>
              <w:rPr>
                <w:sz w:val="18"/>
              </w:rPr>
              <w:t>que se identifiquen en las estimaciones de costos.</w:t>
            </w:r>
          </w:p>
        </w:tc>
        <w:tc>
          <w:tcPr>
            <w:tcW w:w="1387" w:type="dxa"/>
          </w:tcPr>
          <w:p>
            <w:pPr>
              <w:pStyle w:val="TableParagraph"/>
              <w:rPr>
                <w:b/>
                <w:sz w:val="18"/>
              </w:rPr>
            </w:pPr>
          </w:p>
          <w:p>
            <w:pPr>
              <w:pStyle w:val="TableParagraph"/>
              <w:rPr>
                <w:b/>
                <w:sz w:val="18"/>
              </w:rPr>
            </w:pPr>
          </w:p>
          <w:p>
            <w:pPr>
              <w:pStyle w:val="TableParagraph"/>
              <w:spacing w:before="199"/>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spacing w:before="199"/>
              <w:rPr>
                <w:b/>
                <w:sz w:val="18"/>
              </w:rPr>
            </w:pPr>
          </w:p>
          <w:p>
            <w:pPr>
              <w:pStyle w:val="TableParagraph"/>
              <w:ind w:left="28" w:right="12"/>
              <w:jc w:val="center"/>
              <w:rPr>
                <w:sz w:val="18"/>
              </w:rPr>
            </w:pPr>
            <w:r>
              <w:rPr>
                <w:spacing w:val="-10"/>
                <w:sz w:val="18"/>
              </w:rPr>
              <w:t>1</w:t>
            </w:r>
          </w:p>
        </w:tc>
        <w:tc>
          <w:tcPr>
            <w:tcW w:w="2165" w:type="dxa"/>
          </w:tcPr>
          <w:p>
            <w:pPr>
              <w:pStyle w:val="TableParagraph"/>
              <w:rPr>
                <w:b/>
                <w:sz w:val="18"/>
              </w:rPr>
            </w:pPr>
          </w:p>
          <w:p>
            <w:pPr>
              <w:pStyle w:val="TableParagraph"/>
              <w:spacing w:before="200"/>
              <w:rPr>
                <w:b/>
                <w:sz w:val="18"/>
              </w:rPr>
            </w:pPr>
          </w:p>
          <w:p>
            <w:pPr>
              <w:pStyle w:val="TableParagraph"/>
              <w:ind w:left="73" w:right="82"/>
              <w:rPr>
                <w:sz w:val="18"/>
              </w:rPr>
            </w:pPr>
            <w:r>
              <w:rPr>
                <w:sz w:val="18"/>
              </w:rPr>
              <w:t>Cantidad</w:t>
            </w:r>
            <w:r>
              <w:rPr>
                <w:spacing w:val="-11"/>
                <w:sz w:val="18"/>
              </w:rPr>
              <w:t> </w:t>
            </w:r>
            <w:r>
              <w:rPr>
                <w:sz w:val="18"/>
              </w:rPr>
              <w:t>de</w:t>
            </w:r>
            <w:r>
              <w:rPr>
                <w:spacing w:val="-11"/>
                <w:sz w:val="18"/>
              </w:rPr>
              <w:t> </w:t>
            </w:r>
            <w:r>
              <w:rPr>
                <w:sz w:val="18"/>
              </w:rPr>
              <w:t>ajuste</w:t>
            </w:r>
            <w:r>
              <w:rPr>
                <w:spacing w:val="-11"/>
                <w:sz w:val="18"/>
              </w:rPr>
              <w:t> </w:t>
            </w:r>
            <w:r>
              <w:rPr>
                <w:sz w:val="18"/>
              </w:rPr>
              <w:t>anual de la estructura de costos necesarios.</w:t>
            </w:r>
          </w:p>
        </w:tc>
        <w:tc>
          <w:tcPr>
            <w:tcW w:w="1805" w:type="dxa"/>
          </w:tcPr>
          <w:p>
            <w:pPr>
              <w:pStyle w:val="TableParagraph"/>
              <w:spacing w:before="196"/>
              <w:ind w:left="73" w:right="30"/>
              <w:rPr>
                <w:sz w:val="18"/>
              </w:rPr>
            </w:pPr>
            <w:r>
              <w:rPr>
                <w:sz w:val="18"/>
              </w:rPr>
              <w:t>Documento de estructura</w:t>
            </w:r>
            <w:r>
              <w:rPr>
                <w:spacing w:val="-15"/>
                <w:sz w:val="18"/>
              </w:rPr>
              <w:t> </w:t>
            </w:r>
            <w:r>
              <w:rPr>
                <w:sz w:val="18"/>
              </w:rPr>
              <w:t>de</w:t>
            </w:r>
            <w:r>
              <w:rPr>
                <w:spacing w:val="-12"/>
                <w:sz w:val="18"/>
              </w:rPr>
              <w:t> </w:t>
            </w:r>
            <w:r>
              <w:rPr>
                <w:sz w:val="18"/>
              </w:rPr>
              <w:t>costos anual ajustado, según variaciones </w:t>
            </w:r>
            <w:r>
              <w:rPr>
                <w:spacing w:val="-2"/>
                <w:sz w:val="18"/>
              </w:rPr>
              <w:t>significativas debidamente justificadas</w:t>
            </w:r>
          </w:p>
        </w:tc>
        <w:tc>
          <w:tcPr>
            <w:tcW w:w="1498" w:type="dxa"/>
          </w:tcPr>
          <w:p>
            <w:pPr>
              <w:pStyle w:val="TableParagraph"/>
              <w:rPr>
                <w:b/>
                <w:sz w:val="18"/>
              </w:rPr>
            </w:pPr>
          </w:p>
          <w:p>
            <w:pPr>
              <w:pStyle w:val="TableParagraph"/>
              <w:rPr>
                <w:b/>
                <w:sz w:val="18"/>
              </w:rPr>
            </w:pPr>
          </w:p>
          <w:p>
            <w:pPr>
              <w:pStyle w:val="TableParagraph"/>
              <w:spacing w:before="199"/>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rPr>
                <w:b/>
                <w:sz w:val="18"/>
              </w:rPr>
            </w:pPr>
          </w:p>
          <w:p>
            <w:pPr>
              <w:pStyle w:val="TableParagraph"/>
              <w:spacing w:before="199"/>
              <w:rPr>
                <w:b/>
                <w:sz w:val="18"/>
              </w:rPr>
            </w:pPr>
          </w:p>
          <w:p>
            <w:pPr>
              <w:pStyle w:val="TableParagraph"/>
              <w:ind w:left="29" w:right="9"/>
              <w:jc w:val="center"/>
              <w:rPr>
                <w:sz w:val="18"/>
              </w:rPr>
            </w:pPr>
            <w:r>
              <w:rPr>
                <w:spacing w:val="-10"/>
                <w:sz w:val="18"/>
              </w:rPr>
              <w:t>-</w:t>
            </w:r>
          </w:p>
        </w:tc>
        <w:tc>
          <w:tcPr>
            <w:tcW w:w="2059" w:type="dxa"/>
            <w:vMerge w:val="restart"/>
            <w:tcBorders>
              <w:top w:val="nil"/>
            </w:tcBorders>
          </w:tcPr>
          <w:p>
            <w:pPr>
              <w:pStyle w:val="TableParagraph"/>
              <w:rPr>
                <w:rFonts w:ascii="Times New Roman"/>
                <w:sz w:val="18"/>
              </w:rPr>
            </w:pPr>
          </w:p>
        </w:tc>
      </w:tr>
      <w:tr>
        <w:trPr>
          <w:trHeight w:val="2851" w:hRule="atLeast"/>
        </w:trPr>
        <w:tc>
          <w:tcPr>
            <w:tcW w:w="2823" w:type="dxa"/>
          </w:tcPr>
          <w:p>
            <w:pPr>
              <w:pStyle w:val="TableParagraph"/>
              <w:spacing w:line="207" w:lineRule="exact" w:before="186"/>
              <w:ind w:left="72"/>
              <w:rPr>
                <w:b/>
                <w:sz w:val="18"/>
              </w:rPr>
            </w:pPr>
            <w:r>
              <w:rPr>
                <w:b/>
                <w:sz w:val="18"/>
              </w:rPr>
              <w:t>Actividad</w:t>
            </w:r>
            <w:r>
              <w:rPr>
                <w:b/>
                <w:spacing w:val="-6"/>
                <w:sz w:val="18"/>
              </w:rPr>
              <w:t> </w:t>
            </w:r>
            <w:r>
              <w:rPr>
                <w:b/>
                <w:sz w:val="18"/>
              </w:rPr>
              <w:t>PAC</w:t>
            </w:r>
            <w:r>
              <w:rPr>
                <w:b/>
                <w:spacing w:val="-2"/>
                <w:sz w:val="18"/>
              </w:rPr>
              <w:t> 2.30.5:</w:t>
            </w:r>
          </w:p>
          <w:p>
            <w:pPr>
              <w:pStyle w:val="TableParagraph"/>
              <w:ind w:left="72" w:right="59"/>
              <w:rPr>
                <w:sz w:val="18"/>
              </w:rPr>
            </w:pPr>
            <w:r>
              <w:rPr>
                <w:sz w:val="18"/>
              </w:rPr>
              <w:t>Emitir lineamientos para que se incorporen cada uno de los aspectos de promoción del desarrollo</w:t>
            </w:r>
            <w:r>
              <w:rPr>
                <w:spacing w:val="-7"/>
                <w:sz w:val="18"/>
              </w:rPr>
              <w:t> </w:t>
            </w:r>
            <w:r>
              <w:rPr>
                <w:sz w:val="18"/>
              </w:rPr>
              <w:t>social,</w:t>
            </w:r>
            <w:r>
              <w:rPr>
                <w:spacing w:val="-5"/>
                <w:sz w:val="18"/>
              </w:rPr>
              <w:t> </w:t>
            </w:r>
            <w:r>
              <w:rPr>
                <w:sz w:val="18"/>
              </w:rPr>
              <w:t>promoción</w:t>
            </w:r>
            <w:r>
              <w:rPr>
                <w:spacing w:val="-11"/>
                <w:sz w:val="18"/>
              </w:rPr>
              <w:t> </w:t>
            </w:r>
            <w:r>
              <w:rPr>
                <w:sz w:val="18"/>
              </w:rPr>
              <w:t>de</w:t>
            </w:r>
            <w:r>
              <w:rPr>
                <w:spacing w:val="-11"/>
                <w:sz w:val="18"/>
              </w:rPr>
              <w:t> </w:t>
            </w:r>
            <w:r>
              <w:rPr>
                <w:sz w:val="18"/>
              </w:rPr>
              <w:t>la inclusión social, promoción de la sostenibilidad ambiental, promoción de la innovación de</w:t>
            </w:r>
            <w:r>
              <w:rPr>
                <w:spacing w:val="40"/>
                <w:sz w:val="18"/>
              </w:rPr>
              <w:t> </w:t>
            </w:r>
            <w:r>
              <w:rPr>
                <w:sz w:val="18"/>
              </w:rPr>
              <w:t>las compras públicas y</w:t>
            </w:r>
            <w:r>
              <w:rPr>
                <w:spacing w:val="40"/>
                <w:sz w:val="18"/>
              </w:rPr>
              <w:t> </w:t>
            </w:r>
            <w:r>
              <w:rPr>
                <w:sz w:val="18"/>
              </w:rPr>
              <w:t>promoción de la participación de PYMES</w:t>
            </w:r>
            <w:r>
              <w:rPr>
                <w:spacing w:val="-8"/>
                <w:sz w:val="18"/>
              </w:rPr>
              <w:t> </w:t>
            </w:r>
            <w:r>
              <w:rPr>
                <w:sz w:val="18"/>
              </w:rPr>
              <w:t>en</w:t>
            </w:r>
            <w:r>
              <w:rPr>
                <w:spacing w:val="-8"/>
                <w:sz w:val="18"/>
              </w:rPr>
              <w:t> </w:t>
            </w:r>
            <w:r>
              <w:rPr>
                <w:sz w:val="18"/>
              </w:rPr>
              <w:t>los</w:t>
            </w:r>
            <w:r>
              <w:rPr>
                <w:spacing w:val="-11"/>
                <w:sz w:val="18"/>
              </w:rPr>
              <w:t> </w:t>
            </w:r>
            <w:r>
              <w:rPr>
                <w:sz w:val="18"/>
              </w:rPr>
              <w:t>procedimientos</w:t>
            </w:r>
            <w:r>
              <w:rPr>
                <w:spacing w:val="-7"/>
                <w:sz w:val="18"/>
              </w:rPr>
              <w:t> </w:t>
            </w:r>
            <w:r>
              <w:rPr>
                <w:sz w:val="18"/>
              </w:rPr>
              <w:t>de </w:t>
            </w:r>
            <w:r>
              <w:rPr>
                <w:spacing w:val="-2"/>
                <w:sz w:val="18"/>
              </w:rPr>
              <w:t>contratación.</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2"/>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2"/>
              <w:rPr>
                <w:b/>
                <w:sz w:val="18"/>
              </w:rPr>
            </w:pPr>
          </w:p>
          <w:p>
            <w:pPr>
              <w:pStyle w:val="TableParagraph"/>
              <w:ind w:left="28" w:right="12"/>
              <w:jc w:val="center"/>
              <w:rPr>
                <w:sz w:val="18"/>
              </w:rPr>
            </w:pPr>
            <w:r>
              <w:rPr>
                <w:spacing w:val="-10"/>
                <w:sz w:val="18"/>
              </w:rPr>
              <w:t>1</w:t>
            </w:r>
          </w:p>
        </w:tc>
        <w:tc>
          <w:tcPr>
            <w:tcW w:w="216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3"/>
              <w:rPr>
                <w:b/>
                <w:sz w:val="18"/>
              </w:rPr>
            </w:pPr>
          </w:p>
          <w:p>
            <w:pPr>
              <w:pStyle w:val="TableParagraph"/>
              <w:spacing w:before="1"/>
              <w:ind w:left="73" w:right="294"/>
              <w:rPr>
                <w:sz w:val="18"/>
              </w:rPr>
            </w:pPr>
            <w:r>
              <w:rPr>
                <w:sz w:val="18"/>
              </w:rPr>
              <w:t>Cantidad de lineamientos</w:t>
            </w:r>
            <w:r>
              <w:rPr>
                <w:spacing w:val="-13"/>
                <w:sz w:val="18"/>
              </w:rPr>
              <w:t> </w:t>
            </w:r>
            <w:r>
              <w:rPr>
                <w:sz w:val="18"/>
              </w:rPr>
              <w:t>emitidos</w:t>
            </w:r>
          </w:p>
        </w:tc>
        <w:tc>
          <w:tcPr>
            <w:tcW w:w="180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3"/>
              <w:rPr>
                <w:b/>
                <w:sz w:val="18"/>
              </w:rPr>
            </w:pPr>
          </w:p>
          <w:p>
            <w:pPr>
              <w:pStyle w:val="TableParagraph"/>
              <w:spacing w:before="1"/>
              <w:ind w:left="73" w:right="30"/>
              <w:rPr>
                <w:sz w:val="18"/>
              </w:rPr>
            </w:pPr>
            <w:r>
              <w:rPr>
                <w:spacing w:val="-2"/>
                <w:sz w:val="18"/>
              </w:rPr>
              <w:t>Lineamientos emitidos.</w:t>
            </w:r>
          </w:p>
        </w:tc>
        <w:tc>
          <w:tcPr>
            <w:tcW w:w="149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2"/>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2"/>
              <w:rPr>
                <w:b/>
                <w:sz w:val="18"/>
              </w:rPr>
            </w:pPr>
          </w:p>
          <w:p>
            <w:pPr>
              <w:pStyle w:val="TableParagraph"/>
              <w:ind w:left="29" w:right="9"/>
              <w:jc w:val="center"/>
              <w:rPr>
                <w:sz w:val="18"/>
              </w:rPr>
            </w:pPr>
            <w:r>
              <w:rPr>
                <w:spacing w:val="-10"/>
                <w:sz w:val="18"/>
              </w:rPr>
              <w:t>-</w:t>
            </w:r>
          </w:p>
        </w:tc>
        <w:tc>
          <w:tcPr>
            <w:tcW w:w="2059" w:type="dxa"/>
            <w:vMerge/>
            <w:tcBorders>
              <w:top w:val="nil"/>
            </w:tcBorders>
          </w:tcPr>
          <w:p>
            <w:pPr>
              <w:rPr>
                <w:sz w:val="2"/>
                <w:szCs w:val="2"/>
              </w:rPr>
            </w:pPr>
          </w:p>
        </w:tc>
      </w:tr>
      <w:tr>
        <w:trPr>
          <w:trHeight w:val="1036" w:hRule="atLeast"/>
        </w:trPr>
        <w:tc>
          <w:tcPr>
            <w:tcW w:w="2823" w:type="dxa"/>
          </w:tcPr>
          <w:p>
            <w:pPr>
              <w:pStyle w:val="TableParagraph"/>
              <w:spacing w:line="242" w:lineRule="auto"/>
              <w:ind w:left="72" w:right="282"/>
              <w:rPr>
                <w:sz w:val="18"/>
              </w:rPr>
            </w:pPr>
            <w:r>
              <w:rPr>
                <w:b/>
                <w:sz w:val="18"/>
              </w:rPr>
              <w:t>Actividad PAC 2.30.6: </w:t>
            </w:r>
            <w:r>
              <w:rPr>
                <w:sz w:val="18"/>
              </w:rPr>
              <w:t>Efectuar</w:t>
            </w:r>
            <w:r>
              <w:rPr>
                <w:spacing w:val="-6"/>
                <w:sz w:val="18"/>
              </w:rPr>
              <w:t> </w:t>
            </w:r>
            <w:r>
              <w:rPr>
                <w:sz w:val="18"/>
              </w:rPr>
              <w:t>reuniones</w:t>
            </w:r>
            <w:r>
              <w:rPr>
                <w:spacing w:val="-8"/>
                <w:sz w:val="18"/>
              </w:rPr>
              <w:t> </w:t>
            </w:r>
            <w:r>
              <w:rPr>
                <w:sz w:val="18"/>
              </w:rPr>
              <w:t>para</w:t>
            </w:r>
            <w:r>
              <w:rPr>
                <w:spacing w:val="-8"/>
                <w:sz w:val="18"/>
              </w:rPr>
              <w:t> </w:t>
            </w:r>
            <w:r>
              <w:rPr>
                <w:sz w:val="18"/>
              </w:rPr>
              <w:t>el seguimiento</w:t>
            </w:r>
            <w:r>
              <w:rPr>
                <w:spacing w:val="-5"/>
                <w:sz w:val="18"/>
              </w:rPr>
              <w:t> </w:t>
            </w:r>
            <w:r>
              <w:rPr>
                <w:sz w:val="18"/>
              </w:rPr>
              <w:t>a</w:t>
            </w:r>
            <w:r>
              <w:rPr>
                <w:spacing w:val="-1"/>
                <w:sz w:val="18"/>
              </w:rPr>
              <w:t> </w:t>
            </w:r>
            <w:r>
              <w:rPr>
                <w:sz w:val="18"/>
              </w:rPr>
              <w:t>la</w:t>
            </w:r>
            <w:r>
              <w:rPr>
                <w:spacing w:val="-5"/>
                <w:sz w:val="18"/>
              </w:rPr>
              <w:t> </w:t>
            </w:r>
            <w:r>
              <w:rPr>
                <w:spacing w:val="-2"/>
                <w:sz w:val="18"/>
              </w:rPr>
              <w:t>ejecución</w:t>
            </w:r>
          </w:p>
          <w:p>
            <w:pPr>
              <w:pStyle w:val="TableParagraph"/>
              <w:spacing w:line="206" w:lineRule="exact"/>
              <w:ind w:left="72"/>
              <w:rPr>
                <w:sz w:val="18"/>
              </w:rPr>
            </w:pPr>
            <w:r>
              <w:rPr>
                <w:sz w:val="18"/>
              </w:rPr>
              <w:t>presupuestaria</w:t>
            </w:r>
            <w:r>
              <w:rPr>
                <w:spacing w:val="-13"/>
                <w:sz w:val="18"/>
              </w:rPr>
              <w:t> </w:t>
            </w:r>
            <w:r>
              <w:rPr>
                <w:sz w:val="18"/>
              </w:rPr>
              <w:t>de</w:t>
            </w:r>
            <w:r>
              <w:rPr>
                <w:spacing w:val="-10"/>
                <w:sz w:val="18"/>
              </w:rPr>
              <w:t> </w:t>
            </w:r>
            <w:r>
              <w:rPr>
                <w:sz w:val="18"/>
              </w:rPr>
              <w:t>los</w:t>
            </w:r>
            <w:r>
              <w:rPr>
                <w:spacing w:val="-13"/>
                <w:sz w:val="18"/>
              </w:rPr>
              <w:t> </w:t>
            </w:r>
            <w:r>
              <w:rPr>
                <w:sz w:val="18"/>
              </w:rPr>
              <w:t>programas </w:t>
            </w:r>
            <w:r>
              <w:rPr>
                <w:spacing w:val="-2"/>
                <w:sz w:val="18"/>
              </w:rPr>
              <w:t>presupuestarios.</w:t>
            </w:r>
          </w:p>
        </w:tc>
        <w:tc>
          <w:tcPr>
            <w:tcW w:w="1387" w:type="dxa"/>
          </w:tcPr>
          <w:p>
            <w:pPr>
              <w:pStyle w:val="TableParagraph"/>
              <w:rPr>
                <w:b/>
                <w:sz w:val="18"/>
              </w:rPr>
            </w:pPr>
          </w:p>
          <w:p>
            <w:pPr>
              <w:pStyle w:val="TableParagraph"/>
              <w:spacing w:before="3"/>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spacing w:before="3"/>
              <w:rPr>
                <w:b/>
                <w:sz w:val="18"/>
              </w:rPr>
            </w:pPr>
          </w:p>
          <w:p>
            <w:pPr>
              <w:pStyle w:val="TableParagraph"/>
              <w:ind w:left="28" w:right="17"/>
              <w:jc w:val="center"/>
              <w:rPr>
                <w:sz w:val="18"/>
              </w:rPr>
            </w:pPr>
            <w:r>
              <w:rPr>
                <w:spacing w:val="-5"/>
                <w:sz w:val="18"/>
              </w:rPr>
              <w:t>10</w:t>
            </w:r>
          </w:p>
        </w:tc>
        <w:tc>
          <w:tcPr>
            <w:tcW w:w="2165" w:type="dxa"/>
          </w:tcPr>
          <w:p>
            <w:pPr>
              <w:pStyle w:val="TableParagraph"/>
              <w:spacing w:before="104"/>
              <w:rPr>
                <w:b/>
                <w:sz w:val="18"/>
              </w:rPr>
            </w:pPr>
          </w:p>
          <w:p>
            <w:pPr>
              <w:pStyle w:val="TableParagraph"/>
              <w:ind w:left="73"/>
              <w:rPr>
                <w:sz w:val="18"/>
              </w:rPr>
            </w:pPr>
            <w:r>
              <w:rPr>
                <w:sz w:val="18"/>
              </w:rPr>
              <w:t>Cantidad</w:t>
            </w:r>
            <w:r>
              <w:rPr>
                <w:spacing w:val="-15"/>
                <w:sz w:val="18"/>
              </w:rPr>
              <w:t> </w:t>
            </w:r>
            <w:r>
              <w:rPr>
                <w:sz w:val="18"/>
              </w:rPr>
              <w:t>de</w:t>
            </w:r>
            <w:r>
              <w:rPr>
                <w:spacing w:val="-12"/>
                <w:sz w:val="18"/>
              </w:rPr>
              <w:t> </w:t>
            </w:r>
            <w:r>
              <w:rPr>
                <w:sz w:val="18"/>
              </w:rPr>
              <w:t>reuniones </w:t>
            </w:r>
            <w:r>
              <w:rPr>
                <w:spacing w:val="-2"/>
                <w:sz w:val="18"/>
              </w:rPr>
              <w:t>realizadas.</w:t>
            </w:r>
          </w:p>
        </w:tc>
        <w:tc>
          <w:tcPr>
            <w:tcW w:w="1805" w:type="dxa"/>
          </w:tcPr>
          <w:p>
            <w:pPr>
              <w:pStyle w:val="TableParagraph"/>
              <w:spacing w:before="104"/>
              <w:rPr>
                <w:b/>
                <w:sz w:val="18"/>
              </w:rPr>
            </w:pPr>
          </w:p>
          <w:p>
            <w:pPr>
              <w:pStyle w:val="TableParagraph"/>
              <w:ind w:left="73" w:right="104"/>
              <w:rPr>
                <w:sz w:val="18"/>
              </w:rPr>
            </w:pPr>
            <w:r>
              <w:rPr>
                <w:sz w:val="18"/>
              </w:rPr>
              <w:t>Listas</w:t>
            </w:r>
            <w:r>
              <w:rPr>
                <w:spacing w:val="-15"/>
                <w:sz w:val="18"/>
              </w:rPr>
              <w:t> </w:t>
            </w:r>
            <w:r>
              <w:rPr>
                <w:sz w:val="18"/>
              </w:rPr>
              <w:t>de</w:t>
            </w:r>
            <w:r>
              <w:rPr>
                <w:spacing w:val="-12"/>
                <w:sz w:val="18"/>
              </w:rPr>
              <w:t> </w:t>
            </w:r>
            <w:r>
              <w:rPr>
                <w:sz w:val="18"/>
              </w:rPr>
              <w:t>asistencia a las reuniones.</w:t>
            </w:r>
          </w:p>
        </w:tc>
        <w:tc>
          <w:tcPr>
            <w:tcW w:w="1498" w:type="dxa"/>
          </w:tcPr>
          <w:p>
            <w:pPr>
              <w:pStyle w:val="TableParagraph"/>
              <w:rPr>
                <w:b/>
                <w:sz w:val="18"/>
              </w:rPr>
            </w:pPr>
          </w:p>
          <w:p>
            <w:pPr>
              <w:pStyle w:val="TableParagraph"/>
              <w:spacing w:before="3"/>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spacing w:before="3"/>
              <w:rPr>
                <w:b/>
                <w:sz w:val="18"/>
              </w:rPr>
            </w:pPr>
          </w:p>
          <w:p>
            <w:pPr>
              <w:pStyle w:val="TableParagraph"/>
              <w:ind w:left="29" w:right="9"/>
              <w:jc w:val="center"/>
              <w:rPr>
                <w:sz w:val="18"/>
              </w:rPr>
            </w:pPr>
            <w:r>
              <w:rPr>
                <w:spacing w:val="-10"/>
                <w:sz w:val="18"/>
              </w:rPr>
              <w:t>-</w:t>
            </w:r>
          </w:p>
        </w:tc>
        <w:tc>
          <w:tcPr>
            <w:tcW w:w="2059" w:type="dxa"/>
            <w:vMerge/>
            <w:tcBorders>
              <w:top w:val="nil"/>
            </w:tcBorders>
          </w:tcPr>
          <w:p>
            <w:pPr>
              <w:rPr>
                <w:sz w:val="2"/>
                <w:szCs w:val="2"/>
              </w:rPr>
            </w:pPr>
          </w:p>
        </w:tc>
      </w:tr>
      <w:tr>
        <w:trPr>
          <w:trHeight w:val="1601" w:hRule="atLeast"/>
        </w:trPr>
        <w:tc>
          <w:tcPr>
            <w:tcW w:w="2823" w:type="dxa"/>
          </w:tcPr>
          <w:p>
            <w:pPr>
              <w:pStyle w:val="TableParagraph"/>
              <w:spacing w:before="179"/>
              <w:ind w:left="72" w:right="222"/>
              <w:rPr>
                <w:sz w:val="18"/>
              </w:rPr>
            </w:pPr>
            <w:r>
              <w:rPr>
                <w:b/>
                <w:sz w:val="18"/>
              </w:rPr>
              <w:t>Actividad PAC 2.30.7: </w:t>
            </w:r>
            <w:r>
              <w:rPr>
                <w:sz w:val="18"/>
              </w:rPr>
              <w:t>Efectuar reuniones para el seguimiento</w:t>
            </w:r>
            <w:r>
              <w:rPr>
                <w:spacing w:val="-10"/>
                <w:sz w:val="18"/>
              </w:rPr>
              <w:t> </w:t>
            </w:r>
            <w:r>
              <w:rPr>
                <w:sz w:val="18"/>
              </w:rPr>
              <w:t>de</w:t>
            </w:r>
            <w:r>
              <w:rPr>
                <w:spacing w:val="-6"/>
                <w:sz w:val="18"/>
              </w:rPr>
              <w:t> </w:t>
            </w:r>
            <w:r>
              <w:rPr>
                <w:sz w:val="18"/>
              </w:rPr>
              <w:t>la</w:t>
            </w:r>
            <w:r>
              <w:rPr>
                <w:spacing w:val="-10"/>
                <w:sz w:val="18"/>
              </w:rPr>
              <w:t> </w:t>
            </w:r>
            <w:r>
              <w:rPr>
                <w:sz w:val="18"/>
              </w:rPr>
              <w:t>ejecución</w:t>
            </w:r>
            <w:r>
              <w:rPr>
                <w:spacing w:val="-10"/>
                <w:sz w:val="18"/>
              </w:rPr>
              <w:t> </w:t>
            </w:r>
            <w:r>
              <w:rPr>
                <w:sz w:val="18"/>
              </w:rPr>
              <w:t>del Programa Anual de Adquisiciones y la vinculación con el presupuesto.</w:t>
            </w:r>
          </w:p>
        </w:tc>
        <w:tc>
          <w:tcPr>
            <w:tcW w:w="1387" w:type="dxa"/>
          </w:tcPr>
          <w:p>
            <w:pPr>
              <w:pStyle w:val="TableParagraph"/>
              <w:rPr>
                <w:b/>
                <w:sz w:val="18"/>
              </w:rPr>
            </w:pPr>
          </w:p>
          <w:p>
            <w:pPr>
              <w:pStyle w:val="TableParagraph"/>
              <w:rPr>
                <w:b/>
                <w:sz w:val="18"/>
              </w:rPr>
            </w:pPr>
          </w:p>
          <w:p>
            <w:pPr>
              <w:pStyle w:val="TableParagraph"/>
              <w:spacing w:before="77"/>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spacing w:before="77"/>
              <w:rPr>
                <w:b/>
                <w:sz w:val="18"/>
              </w:rPr>
            </w:pPr>
          </w:p>
          <w:p>
            <w:pPr>
              <w:pStyle w:val="TableParagraph"/>
              <w:ind w:left="28" w:right="17"/>
              <w:jc w:val="center"/>
              <w:rPr>
                <w:sz w:val="18"/>
              </w:rPr>
            </w:pPr>
            <w:r>
              <w:rPr>
                <w:spacing w:val="-5"/>
                <w:sz w:val="18"/>
              </w:rPr>
              <w:t>10</w:t>
            </w:r>
          </w:p>
        </w:tc>
        <w:tc>
          <w:tcPr>
            <w:tcW w:w="2165" w:type="dxa"/>
          </w:tcPr>
          <w:p>
            <w:pPr>
              <w:pStyle w:val="TableParagraph"/>
              <w:rPr>
                <w:b/>
                <w:sz w:val="18"/>
              </w:rPr>
            </w:pPr>
          </w:p>
          <w:p>
            <w:pPr>
              <w:pStyle w:val="TableParagraph"/>
              <w:spacing w:before="178"/>
              <w:rPr>
                <w:b/>
                <w:sz w:val="18"/>
              </w:rPr>
            </w:pPr>
          </w:p>
          <w:p>
            <w:pPr>
              <w:pStyle w:val="TableParagraph"/>
              <w:ind w:left="73"/>
              <w:rPr>
                <w:sz w:val="18"/>
              </w:rPr>
            </w:pPr>
            <w:r>
              <w:rPr>
                <w:sz w:val="18"/>
              </w:rPr>
              <w:t>Cantidad</w:t>
            </w:r>
            <w:r>
              <w:rPr>
                <w:spacing w:val="-15"/>
                <w:sz w:val="18"/>
              </w:rPr>
              <w:t> </w:t>
            </w:r>
            <w:r>
              <w:rPr>
                <w:sz w:val="18"/>
              </w:rPr>
              <w:t>de</w:t>
            </w:r>
            <w:r>
              <w:rPr>
                <w:spacing w:val="-12"/>
                <w:sz w:val="18"/>
              </w:rPr>
              <w:t> </w:t>
            </w:r>
            <w:r>
              <w:rPr>
                <w:sz w:val="18"/>
              </w:rPr>
              <w:t>reuniones </w:t>
            </w:r>
            <w:r>
              <w:rPr>
                <w:spacing w:val="-2"/>
                <w:sz w:val="18"/>
              </w:rPr>
              <w:t>realizadas.</w:t>
            </w:r>
          </w:p>
        </w:tc>
        <w:tc>
          <w:tcPr>
            <w:tcW w:w="1805" w:type="dxa"/>
          </w:tcPr>
          <w:p>
            <w:pPr>
              <w:pStyle w:val="TableParagraph"/>
              <w:rPr>
                <w:b/>
                <w:sz w:val="18"/>
              </w:rPr>
            </w:pPr>
          </w:p>
          <w:p>
            <w:pPr>
              <w:pStyle w:val="TableParagraph"/>
              <w:spacing w:before="178"/>
              <w:rPr>
                <w:b/>
                <w:sz w:val="18"/>
              </w:rPr>
            </w:pPr>
          </w:p>
          <w:p>
            <w:pPr>
              <w:pStyle w:val="TableParagraph"/>
              <w:ind w:left="73" w:right="104"/>
              <w:rPr>
                <w:sz w:val="18"/>
              </w:rPr>
            </w:pPr>
            <w:r>
              <w:rPr>
                <w:sz w:val="18"/>
              </w:rPr>
              <w:t>Listas</w:t>
            </w:r>
            <w:r>
              <w:rPr>
                <w:spacing w:val="-15"/>
                <w:sz w:val="18"/>
              </w:rPr>
              <w:t> </w:t>
            </w:r>
            <w:r>
              <w:rPr>
                <w:sz w:val="18"/>
              </w:rPr>
              <w:t>de</w:t>
            </w:r>
            <w:r>
              <w:rPr>
                <w:spacing w:val="-12"/>
                <w:sz w:val="18"/>
              </w:rPr>
              <w:t> </w:t>
            </w:r>
            <w:r>
              <w:rPr>
                <w:sz w:val="18"/>
              </w:rPr>
              <w:t>asistencia a las reuniones.</w:t>
            </w:r>
          </w:p>
        </w:tc>
        <w:tc>
          <w:tcPr>
            <w:tcW w:w="1498" w:type="dxa"/>
          </w:tcPr>
          <w:p>
            <w:pPr>
              <w:pStyle w:val="TableParagraph"/>
              <w:rPr>
                <w:b/>
                <w:sz w:val="18"/>
              </w:rPr>
            </w:pPr>
          </w:p>
          <w:p>
            <w:pPr>
              <w:pStyle w:val="TableParagraph"/>
              <w:rPr>
                <w:b/>
                <w:sz w:val="18"/>
              </w:rPr>
            </w:pPr>
          </w:p>
          <w:p>
            <w:pPr>
              <w:pStyle w:val="TableParagraph"/>
              <w:spacing w:before="77"/>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rPr>
                <w:b/>
                <w:sz w:val="18"/>
              </w:rPr>
            </w:pPr>
          </w:p>
          <w:p>
            <w:pPr>
              <w:pStyle w:val="TableParagraph"/>
              <w:spacing w:before="77"/>
              <w:rPr>
                <w:b/>
                <w:sz w:val="18"/>
              </w:rPr>
            </w:pPr>
          </w:p>
          <w:p>
            <w:pPr>
              <w:pStyle w:val="TableParagraph"/>
              <w:ind w:left="29" w:right="9"/>
              <w:jc w:val="center"/>
              <w:rPr>
                <w:sz w:val="18"/>
              </w:rPr>
            </w:pPr>
            <w:r>
              <w:rPr>
                <w:spacing w:val="-10"/>
                <w:sz w:val="18"/>
              </w:rPr>
              <w:t>-</w:t>
            </w:r>
          </w:p>
        </w:tc>
        <w:tc>
          <w:tcPr>
            <w:tcW w:w="2059" w:type="dxa"/>
            <w:vMerge/>
            <w:tcBorders>
              <w:top w:val="nil"/>
            </w:tcBorders>
          </w:tcPr>
          <w:p>
            <w:pPr>
              <w:rPr>
                <w:sz w:val="2"/>
                <w:szCs w:val="2"/>
              </w:rPr>
            </w:pPr>
          </w:p>
        </w:tc>
      </w:tr>
    </w:tbl>
    <w:p>
      <w:pPr>
        <w:spacing w:after="0"/>
        <w:rPr>
          <w:sz w:val="2"/>
          <w:szCs w:val="2"/>
        </w:rPr>
        <w:sectPr>
          <w:pgSz w:w="15840" w:h="12240" w:orient="landscape"/>
          <w:pgMar w:header="0" w:footer="1806" w:top="700" w:bottom="2916"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3"/>
        <w:gridCol w:w="1387"/>
        <w:gridCol w:w="1181"/>
        <w:gridCol w:w="2165"/>
        <w:gridCol w:w="1805"/>
        <w:gridCol w:w="1498"/>
        <w:gridCol w:w="1398"/>
        <w:gridCol w:w="2058"/>
      </w:tblGrid>
      <w:tr>
        <w:trPr>
          <w:trHeight w:val="820" w:hRule="atLeast"/>
        </w:trPr>
        <w:tc>
          <w:tcPr>
            <w:tcW w:w="2823" w:type="dxa"/>
            <w:shd w:val="clear" w:color="auto" w:fill="D9D9D9"/>
          </w:tcPr>
          <w:p>
            <w:pPr>
              <w:pStyle w:val="TableParagraph"/>
              <w:spacing w:before="99"/>
              <w:rPr>
                <w:b/>
                <w:sz w:val="18"/>
              </w:rPr>
            </w:pPr>
          </w:p>
          <w:p>
            <w:pPr>
              <w:pStyle w:val="TableParagraph"/>
              <w:ind w:left="441"/>
              <w:rPr>
                <w:b/>
                <w:sz w:val="18"/>
              </w:rPr>
            </w:pPr>
            <w:r>
              <w:rPr>
                <w:b/>
                <w:sz w:val="18"/>
              </w:rPr>
              <w:t>Objetivos</w:t>
            </w:r>
            <w:r>
              <w:rPr>
                <w:b/>
                <w:spacing w:val="-5"/>
                <w:sz w:val="18"/>
              </w:rPr>
              <w:t> </w:t>
            </w:r>
            <w:r>
              <w:rPr>
                <w:b/>
                <w:sz w:val="18"/>
              </w:rPr>
              <w:t>/</w:t>
            </w:r>
            <w:r>
              <w:rPr>
                <w:b/>
                <w:spacing w:val="-2"/>
                <w:sz w:val="18"/>
              </w:rPr>
              <w:t> Resultados</w:t>
            </w:r>
          </w:p>
        </w:tc>
        <w:tc>
          <w:tcPr>
            <w:tcW w:w="1387" w:type="dxa"/>
            <w:shd w:val="clear" w:color="auto" w:fill="D9D9D9"/>
          </w:tcPr>
          <w:p>
            <w:pPr>
              <w:pStyle w:val="TableParagraph"/>
              <w:spacing w:line="244" w:lineRule="auto" w:before="200"/>
              <w:ind w:left="436" w:hanging="216"/>
              <w:rPr>
                <w:b/>
                <w:sz w:val="18"/>
              </w:rPr>
            </w:pPr>
            <w:r>
              <w:rPr>
                <w:b/>
                <w:sz w:val="18"/>
              </w:rPr>
              <w:t>Línea</w:t>
            </w:r>
            <w:r>
              <w:rPr>
                <w:b/>
                <w:spacing w:val="-13"/>
                <w:sz w:val="18"/>
              </w:rPr>
              <w:t> </w:t>
            </w:r>
            <w:r>
              <w:rPr>
                <w:b/>
                <w:sz w:val="18"/>
              </w:rPr>
              <w:t>Base </w:t>
            </w:r>
            <w:r>
              <w:rPr>
                <w:b/>
                <w:spacing w:val="-2"/>
                <w:sz w:val="18"/>
              </w:rPr>
              <w:t>(2023)</w:t>
            </w:r>
          </w:p>
        </w:tc>
        <w:tc>
          <w:tcPr>
            <w:tcW w:w="1181" w:type="dxa"/>
            <w:shd w:val="clear" w:color="auto" w:fill="D9D9D9"/>
          </w:tcPr>
          <w:p>
            <w:pPr>
              <w:pStyle w:val="TableParagraph"/>
              <w:spacing w:before="99"/>
              <w:ind w:left="72" w:right="49" w:hanging="10"/>
              <w:jc w:val="center"/>
              <w:rPr>
                <w:b/>
                <w:sz w:val="18"/>
              </w:rPr>
            </w:pPr>
            <w:r>
              <w:rPr>
                <w:b/>
                <w:spacing w:val="-4"/>
                <w:sz w:val="18"/>
              </w:rPr>
              <w:t>Meta </w:t>
            </w:r>
            <w:r>
              <w:rPr>
                <w:b/>
                <w:spacing w:val="-2"/>
                <w:sz w:val="18"/>
              </w:rPr>
              <w:t>programada </w:t>
            </w:r>
            <w:r>
              <w:rPr>
                <w:b/>
                <w:spacing w:val="-4"/>
                <w:sz w:val="18"/>
              </w:rPr>
              <w:t>2026</w:t>
            </w:r>
          </w:p>
        </w:tc>
        <w:tc>
          <w:tcPr>
            <w:tcW w:w="2165" w:type="dxa"/>
            <w:shd w:val="clear" w:color="auto" w:fill="D9D9D9"/>
          </w:tcPr>
          <w:p>
            <w:pPr>
              <w:pStyle w:val="TableParagraph"/>
              <w:spacing w:before="99"/>
              <w:rPr>
                <w:b/>
                <w:sz w:val="18"/>
              </w:rPr>
            </w:pPr>
          </w:p>
          <w:p>
            <w:pPr>
              <w:pStyle w:val="TableParagraph"/>
              <w:ind w:left="677"/>
              <w:rPr>
                <w:b/>
                <w:sz w:val="18"/>
              </w:rPr>
            </w:pPr>
            <w:r>
              <w:rPr>
                <w:b/>
                <w:spacing w:val="-2"/>
                <w:sz w:val="18"/>
              </w:rPr>
              <w:t>Indicador</w:t>
            </w:r>
          </w:p>
        </w:tc>
        <w:tc>
          <w:tcPr>
            <w:tcW w:w="1805" w:type="dxa"/>
            <w:shd w:val="clear" w:color="auto" w:fill="D9D9D9"/>
          </w:tcPr>
          <w:p>
            <w:pPr>
              <w:pStyle w:val="TableParagraph"/>
              <w:spacing w:line="244" w:lineRule="auto" w:before="200"/>
              <w:ind w:left="404" w:right="30" w:firstLine="57"/>
              <w:rPr>
                <w:b/>
                <w:sz w:val="18"/>
              </w:rPr>
            </w:pPr>
            <w:r>
              <w:rPr>
                <w:b/>
                <w:sz w:val="18"/>
              </w:rPr>
              <w:t>Medios de </w:t>
            </w:r>
            <w:r>
              <w:rPr>
                <w:b/>
                <w:spacing w:val="-2"/>
                <w:sz w:val="18"/>
              </w:rPr>
              <w:t>verificación</w:t>
            </w:r>
          </w:p>
        </w:tc>
        <w:tc>
          <w:tcPr>
            <w:tcW w:w="1498" w:type="dxa"/>
            <w:shd w:val="clear" w:color="auto" w:fill="D9D9D9"/>
          </w:tcPr>
          <w:p>
            <w:pPr>
              <w:pStyle w:val="TableParagraph"/>
              <w:spacing w:before="99"/>
              <w:rPr>
                <w:b/>
                <w:sz w:val="18"/>
              </w:rPr>
            </w:pPr>
          </w:p>
          <w:p>
            <w:pPr>
              <w:pStyle w:val="TableParagraph"/>
              <w:ind w:left="188"/>
              <w:rPr>
                <w:b/>
                <w:sz w:val="18"/>
              </w:rPr>
            </w:pPr>
            <w:r>
              <w:rPr>
                <w:b/>
                <w:spacing w:val="-2"/>
                <w:sz w:val="18"/>
              </w:rPr>
              <w:t>Responsable</w:t>
            </w:r>
          </w:p>
        </w:tc>
        <w:tc>
          <w:tcPr>
            <w:tcW w:w="1398" w:type="dxa"/>
            <w:shd w:val="clear" w:color="auto" w:fill="D9D9D9"/>
          </w:tcPr>
          <w:p>
            <w:pPr>
              <w:pStyle w:val="TableParagraph"/>
              <w:spacing w:line="244" w:lineRule="auto" w:before="200"/>
              <w:ind w:left="304" w:hanging="149"/>
              <w:rPr>
                <w:b/>
                <w:sz w:val="18"/>
              </w:rPr>
            </w:pPr>
            <w:r>
              <w:rPr>
                <w:b/>
                <w:spacing w:val="-2"/>
                <w:sz w:val="18"/>
              </w:rPr>
              <w:t>Presupuesto asignado</w:t>
            </w:r>
          </w:p>
        </w:tc>
        <w:tc>
          <w:tcPr>
            <w:tcW w:w="2058" w:type="dxa"/>
            <w:tcBorders>
              <w:bottom w:val="nil"/>
            </w:tcBorders>
            <w:shd w:val="clear" w:color="auto" w:fill="D9D9D9"/>
          </w:tcPr>
          <w:p>
            <w:pPr>
              <w:pStyle w:val="TableParagraph"/>
              <w:spacing w:before="99"/>
              <w:rPr>
                <w:b/>
                <w:sz w:val="18"/>
              </w:rPr>
            </w:pPr>
          </w:p>
          <w:p>
            <w:pPr>
              <w:pStyle w:val="TableParagraph"/>
              <w:ind w:left="677"/>
              <w:rPr>
                <w:b/>
                <w:sz w:val="18"/>
              </w:rPr>
            </w:pPr>
            <w:r>
              <w:rPr>
                <w:b/>
                <w:spacing w:val="-2"/>
                <w:sz w:val="18"/>
              </w:rPr>
              <w:t>Riesgos</w:t>
            </w:r>
          </w:p>
        </w:tc>
      </w:tr>
      <w:tr>
        <w:trPr>
          <w:trHeight w:val="1243" w:hRule="atLeast"/>
        </w:trPr>
        <w:tc>
          <w:tcPr>
            <w:tcW w:w="2823" w:type="dxa"/>
          </w:tcPr>
          <w:p>
            <w:pPr>
              <w:pStyle w:val="TableParagraph"/>
              <w:rPr>
                <w:b/>
                <w:sz w:val="18"/>
              </w:rPr>
            </w:pPr>
          </w:p>
          <w:p>
            <w:pPr>
              <w:pStyle w:val="TableParagraph"/>
              <w:spacing w:before="3"/>
              <w:rPr>
                <w:b/>
                <w:sz w:val="18"/>
              </w:rPr>
            </w:pPr>
          </w:p>
          <w:p>
            <w:pPr>
              <w:pStyle w:val="TableParagraph"/>
              <w:spacing w:line="207" w:lineRule="exact"/>
              <w:ind w:left="72"/>
              <w:rPr>
                <w:b/>
                <w:sz w:val="18"/>
              </w:rPr>
            </w:pPr>
            <w:r>
              <w:rPr>
                <w:b/>
                <w:sz w:val="18"/>
              </w:rPr>
              <w:t>Actividad</w:t>
            </w:r>
            <w:r>
              <w:rPr>
                <w:b/>
                <w:spacing w:val="-6"/>
                <w:sz w:val="18"/>
              </w:rPr>
              <w:t> </w:t>
            </w:r>
            <w:r>
              <w:rPr>
                <w:b/>
                <w:sz w:val="18"/>
              </w:rPr>
              <w:t>PAC</w:t>
            </w:r>
            <w:r>
              <w:rPr>
                <w:b/>
                <w:spacing w:val="-2"/>
                <w:sz w:val="18"/>
              </w:rPr>
              <w:t> 2.30.8:</w:t>
            </w:r>
          </w:p>
          <w:p>
            <w:pPr>
              <w:pStyle w:val="TableParagraph"/>
              <w:spacing w:line="207" w:lineRule="exact"/>
              <w:ind w:left="72"/>
              <w:rPr>
                <w:sz w:val="18"/>
              </w:rPr>
            </w:pPr>
            <w:r>
              <w:rPr>
                <w:sz w:val="18"/>
              </w:rPr>
              <w:t>Ajustar</w:t>
            </w:r>
            <w:r>
              <w:rPr>
                <w:spacing w:val="-6"/>
                <w:sz w:val="18"/>
              </w:rPr>
              <w:t> </w:t>
            </w:r>
            <w:r>
              <w:rPr>
                <w:sz w:val="18"/>
              </w:rPr>
              <w:t>la</w:t>
            </w:r>
            <w:r>
              <w:rPr>
                <w:spacing w:val="-3"/>
                <w:sz w:val="18"/>
              </w:rPr>
              <w:t> </w:t>
            </w:r>
            <w:r>
              <w:rPr>
                <w:sz w:val="18"/>
              </w:rPr>
              <w:t>normativa</w:t>
            </w:r>
            <w:r>
              <w:rPr>
                <w:spacing w:val="-4"/>
                <w:sz w:val="18"/>
              </w:rPr>
              <w:t> </w:t>
            </w:r>
            <w:r>
              <w:rPr>
                <w:spacing w:val="-2"/>
                <w:sz w:val="18"/>
              </w:rPr>
              <w:t>identificada.</w:t>
            </w:r>
          </w:p>
        </w:tc>
        <w:tc>
          <w:tcPr>
            <w:tcW w:w="1387" w:type="dxa"/>
          </w:tcPr>
          <w:p>
            <w:pPr>
              <w:pStyle w:val="TableParagraph"/>
              <w:rPr>
                <w:b/>
                <w:sz w:val="18"/>
              </w:rPr>
            </w:pPr>
          </w:p>
          <w:p>
            <w:pPr>
              <w:pStyle w:val="TableParagraph"/>
              <w:spacing w:before="104"/>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spacing w:before="104"/>
              <w:rPr>
                <w:b/>
                <w:sz w:val="18"/>
              </w:rPr>
            </w:pPr>
          </w:p>
          <w:p>
            <w:pPr>
              <w:pStyle w:val="TableParagraph"/>
              <w:ind w:left="28" w:right="14"/>
              <w:jc w:val="center"/>
              <w:rPr>
                <w:sz w:val="18"/>
              </w:rPr>
            </w:pPr>
            <w:r>
              <w:rPr>
                <w:spacing w:val="-4"/>
                <w:sz w:val="18"/>
              </w:rPr>
              <w:t>100%</w:t>
            </w:r>
          </w:p>
        </w:tc>
        <w:tc>
          <w:tcPr>
            <w:tcW w:w="2165" w:type="dxa"/>
          </w:tcPr>
          <w:p>
            <w:pPr>
              <w:pStyle w:val="TableParagraph"/>
              <w:spacing w:before="105"/>
              <w:ind w:left="73" w:right="88"/>
              <w:rPr>
                <w:sz w:val="18"/>
              </w:rPr>
            </w:pPr>
            <w:r>
              <w:rPr>
                <w:sz w:val="18"/>
              </w:rPr>
              <w:t>Porcentaje</w:t>
            </w:r>
            <w:r>
              <w:rPr>
                <w:spacing w:val="-15"/>
                <w:sz w:val="18"/>
              </w:rPr>
              <w:t> </w:t>
            </w:r>
            <w:r>
              <w:rPr>
                <w:sz w:val="18"/>
              </w:rPr>
              <w:t>de</w:t>
            </w:r>
            <w:r>
              <w:rPr>
                <w:spacing w:val="-12"/>
                <w:sz w:val="18"/>
              </w:rPr>
              <w:t> </w:t>
            </w:r>
            <w:r>
              <w:rPr>
                <w:sz w:val="18"/>
              </w:rPr>
              <w:t>normativa con propuesta</w:t>
            </w:r>
            <w:r>
              <w:rPr>
                <w:spacing w:val="-4"/>
                <w:sz w:val="18"/>
              </w:rPr>
              <w:t> </w:t>
            </w:r>
            <w:r>
              <w:rPr>
                <w:sz w:val="18"/>
              </w:rPr>
              <w:t>de</w:t>
            </w:r>
            <w:r>
              <w:rPr>
                <w:spacing w:val="-4"/>
                <w:sz w:val="18"/>
              </w:rPr>
              <w:t> </w:t>
            </w:r>
            <w:r>
              <w:rPr>
                <w:sz w:val="18"/>
              </w:rPr>
              <w:t>ajuste a las instancias </w:t>
            </w:r>
            <w:r>
              <w:rPr>
                <w:spacing w:val="-2"/>
                <w:sz w:val="18"/>
              </w:rPr>
              <w:t>competentes identificadas.</w:t>
            </w:r>
          </w:p>
        </w:tc>
        <w:tc>
          <w:tcPr>
            <w:tcW w:w="1805" w:type="dxa"/>
          </w:tcPr>
          <w:p>
            <w:pPr>
              <w:pStyle w:val="TableParagraph"/>
              <w:rPr>
                <w:b/>
                <w:sz w:val="18"/>
              </w:rPr>
            </w:pPr>
          </w:p>
          <w:p>
            <w:pPr>
              <w:pStyle w:val="TableParagraph"/>
              <w:spacing w:before="3"/>
              <w:rPr>
                <w:b/>
                <w:sz w:val="18"/>
              </w:rPr>
            </w:pPr>
          </w:p>
          <w:p>
            <w:pPr>
              <w:pStyle w:val="TableParagraph"/>
              <w:ind w:left="73" w:right="30"/>
              <w:rPr>
                <w:sz w:val="18"/>
              </w:rPr>
            </w:pPr>
            <w:r>
              <w:rPr>
                <w:sz w:val="18"/>
              </w:rPr>
              <w:t>Versión reformada que</w:t>
            </w:r>
            <w:r>
              <w:rPr>
                <w:spacing w:val="-10"/>
                <w:sz w:val="18"/>
              </w:rPr>
              <w:t> </w:t>
            </w:r>
            <w:r>
              <w:rPr>
                <w:sz w:val="18"/>
              </w:rPr>
              <w:t>se</w:t>
            </w:r>
            <w:r>
              <w:rPr>
                <w:spacing w:val="-13"/>
                <w:sz w:val="18"/>
              </w:rPr>
              <w:t> </w:t>
            </w:r>
            <w:r>
              <w:rPr>
                <w:sz w:val="18"/>
              </w:rPr>
              <w:t>debía</w:t>
            </w:r>
            <w:r>
              <w:rPr>
                <w:spacing w:val="-12"/>
                <w:sz w:val="18"/>
              </w:rPr>
              <w:t> </w:t>
            </w:r>
            <w:r>
              <w:rPr>
                <w:sz w:val="18"/>
              </w:rPr>
              <w:t>ajustar</w:t>
            </w:r>
          </w:p>
        </w:tc>
        <w:tc>
          <w:tcPr>
            <w:tcW w:w="1498" w:type="dxa"/>
          </w:tcPr>
          <w:p>
            <w:pPr>
              <w:pStyle w:val="TableParagraph"/>
              <w:rPr>
                <w:b/>
                <w:sz w:val="18"/>
              </w:rPr>
            </w:pPr>
          </w:p>
          <w:p>
            <w:pPr>
              <w:pStyle w:val="TableParagraph"/>
              <w:spacing w:before="104"/>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spacing w:before="104"/>
              <w:rPr>
                <w:b/>
                <w:sz w:val="18"/>
              </w:rPr>
            </w:pPr>
          </w:p>
          <w:p>
            <w:pPr>
              <w:pStyle w:val="TableParagraph"/>
              <w:ind w:left="29" w:right="9"/>
              <w:jc w:val="center"/>
              <w:rPr>
                <w:sz w:val="18"/>
              </w:rPr>
            </w:pPr>
            <w:r>
              <w:rPr>
                <w:spacing w:val="-10"/>
                <w:sz w:val="18"/>
              </w:rPr>
              <w:t>-</w:t>
            </w:r>
          </w:p>
        </w:tc>
        <w:tc>
          <w:tcPr>
            <w:tcW w:w="2058" w:type="dxa"/>
            <w:vMerge w:val="restart"/>
            <w:tcBorders>
              <w:top w:val="nil"/>
            </w:tcBorders>
          </w:tcPr>
          <w:p>
            <w:pPr>
              <w:pStyle w:val="TableParagraph"/>
              <w:rPr>
                <w:rFonts w:ascii="Times New Roman"/>
                <w:sz w:val="18"/>
              </w:rPr>
            </w:pPr>
          </w:p>
        </w:tc>
      </w:tr>
      <w:tr>
        <w:trPr>
          <w:trHeight w:val="1233" w:hRule="atLeast"/>
        </w:trPr>
        <w:tc>
          <w:tcPr>
            <w:tcW w:w="2823" w:type="dxa"/>
          </w:tcPr>
          <w:p>
            <w:pPr>
              <w:pStyle w:val="TableParagraph"/>
              <w:spacing w:before="201"/>
              <w:ind w:left="72" w:right="242"/>
              <w:rPr>
                <w:sz w:val="18"/>
              </w:rPr>
            </w:pPr>
            <w:r>
              <w:rPr>
                <w:b/>
                <w:sz w:val="18"/>
              </w:rPr>
              <w:t>Actividad PAC 2.30.9: </w:t>
            </w:r>
            <w:r>
              <w:rPr>
                <w:sz w:val="18"/>
              </w:rPr>
              <w:t>Realizar</w:t>
            </w:r>
            <w:r>
              <w:rPr>
                <w:spacing w:val="-4"/>
                <w:sz w:val="18"/>
              </w:rPr>
              <w:t> </w:t>
            </w:r>
            <w:r>
              <w:rPr>
                <w:sz w:val="18"/>
              </w:rPr>
              <w:t>el</w:t>
            </w:r>
            <w:r>
              <w:rPr>
                <w:spacing w:val="-11"/>
                <w:sz w:val="18"/>
              </w:rPr>
              <w:t> </w:t>
            </w:r>
            <w:r>
              <w:rPr>
                <w:sz w:val="18"/>
              </w:rPr>
              <w:t>mapeo</w:t>
            </w:r>
            <w:r>
              <w:rPr>
                <w:spacing w:val="-9"/>
                <w:sz w:val="18"/>
              </w:rPr>
              <w:t> </w:t>
            </w:r>
            <w:r>
              <w:rPr>
                <w:sz w:val="18"/>
              </w:rPr>
              <w:t>y</w:t>
            </w:r>
            <w:r>
              <w:rPr>
                <w:spacing w:val="-5"/>
                <w:sz w:val="18"/>
              </w:rPr>
              <w:t> </w:t>
            </w:r>
            <w:r>
              <w:rPr>
                <w:sz w:val="18"/>
              </w:rPr>
              <w:t>análisis</w:t>
            </w:r>
            <w:r>
              <w:rPr>
                <w:spacing w:val="-5"/>
                <w:sz w:val="18"/>
              </w:rPr>
              <w:t> </w:t>
            </w:r>
            <w:r>
              <w:rPr>
                <w:sz w:val="18"/>
              </w:rPr>
              <w:t>de los procesos susceptibles de mejora de eficiencia y eficacia.</w:t>
            </w:r>
          </w:p>
        </w:tc>
        <w:tc>
          <w:tcPr>
            <w:tcW w:w="1387" w:type="dxa"/>
          </w:tcPr>
          <w:p>
            <w:pPr>
              <w:pStyle w:val="TableParagraph"/>
              <w:rPr>
                <w:b/>
                <w:sz w:val="18"/>
              </w:rPr>
            </w:pPr>
          </w:p>
          <w:p>
            <w:pPr>
              <w:pStyle w:val="TableParagraph"/>
              <w:spacing w:before="99"/>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spacing w:before="99"/>
              <w:rPr>
                <w:b/>
                <w:sz w:val="18"/>
              </w:rPr>
            </w:pPr>
          </w:p>
          <w:p>
            <w:pPr>
              <w:pStyle w:val="TableParagraph"/>
              <w:ind w:left="28" w:right="14"/>
              <w:jc w:val="center"/>
              <w:rPr>
                <w:sz w:val="18"/>
              </w:rPr>
            </w:pPr>
            <w:r>
              <w:rPr>
                <w:spacing w:val="-4"/>
                <w:sz w:val="18"/>
              </w:rPr>
              <w:t>100%</w:t>
            </w:r>
          </w:p>
        </w:tc>
        <w:tc>
          <w:tcPr>
            <w:tcW w:w="2165" w:type="dxa"/>
          </w:tcPr>
          <w:p>
            <w:pPr>
              <w:pStyle w:val="TableParagraph"/>
              <w:spacing w:before="200"/>
              <w:rPr>
                <w:b/>
                <w:sz w:val="18"/>
              </w:rPr>
            </w:pPr>
          </w:p>
          <w:p>
            <w:pPr>
              <w:pStyle w:val="TableParagraph"/>
              <w:spacing w:line="244" w:lineRule="auto"/>
              <w:ind w:left="73"/>
              <w:rPr>
                <w:sz w:val="18"/>
              </w:rPr>
            </w:pPr>
            <w:r>
              <w:rPr>
                <w:sz w:val="18"/>
              </w:rPr>
              <w:t>Porcentaje de procesos mapeados</w:t>
            </w:r>
            <w:r>
              <w:rPr>
                <w:spacing w:val="-15"/>
                <w:sz w:val="18"/>
              </w:rPr>
              <w:t> </w:t>
            </w:r>
            <w:r>
              <w:rPr>
                <w:sz w:val="18"/>
              </w:rPr>
              <w:t>y</w:t>
            </w:r>
            <w:r>
              <w:rPr>
                <w:spacing w:val="-12"/>
                <w:sz w:val="18"/>
              </w:rPr>
              <w:t> </w:t>
            </w:r>
            <w:r>
              <w:rPr>
                <w:sz w:val="18"/>
              </w:rPr>
              <w:t>analizados.</w:t>
            </w:r>
          </w:p>
        </w:tc>
        <w:tc>
          <w:tcPr>
            <w:tcW w:w="1805" w:type="dxa"/>
          </w:tcPr>
          <w:p>
            <w:pPr>
              <w:pStyle w:val="TableParagraph"/>
              <w:spacing w:before="200"/>
              <w:rPr>
                <w:b/>
                <w:sz w:val="18"/>
              </w:rPr>
            </w:pPr>
          </w:p>
          <w:p>
            <w:pPr>
              <w:pStyle w:val="TableParagraph"/>
              <w:spacing w:line="244" w:lineRule="auto"/>
              <w:ind w:left="73" w:right="594"/>
              <w:rPr>
                <w:sz w:val="18"/>
              </w:rPr>
            </w:pPr>
            <w:r>
              <w:rPr>
                <w:sz w:val="18"/>
              </w:rPr>
              <w:t>Diagramas</w:t>
            </w:r>
            <w:r>
              <w:rPr>
                <w:spacing w:val="-13"/>
                <w:sz w:val="18"/>
              </w:rPr>
              <w:t> </w:t>
            </w:r>
            <w:r>
              <w:rPr>
                <w:sz w:val="18"/>
              </w:rPr>
              <w:t>de </w:t>
            </w:r>
            <w:r>
              <w:rPr>
                <w:spacing w:val="-2"/>
                <w:sz w:val="18"/>
              </w:rPr>
              <w:t>procesos.</w:t>
            </w:r>
          </w:p>
        </w:tc>
        <w:tc>
          <w:tcPr>
            <w:tcW w:w="1498" w:type="dxa"/>
          </w:tcPr>
          <w:p>
            <w:pPr>
              <w:pStyle w:val="TableParagraph"/>
              <w:rPr>
                <w:b/>
                <w:sz w:val="18"/>
              </w:rPr>
            </w:pPr>
          </w:p>
          <w:p>
            <w:pPr>
              <w:pStyle w:val="TableParagraph"/>
              <w:spacing w:before="99"/>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spacing w:before="99"/>
              <w:rPr>
                <w:b/>
                <w:sz w:val="18"/>
              </w:rPr>
            </w:pPr>
          </w:p>
          <w:p>
            <w:pPr>
              <w:pStyle w:val="TableParagraph"/>
              <w:ind w:left="29" w:right="9"/>
              <w:jc w:val="center"/>
              <w:rPr>
                <w:sz w:val="18"/>
              </w:rPr>
            </w:pPr>
            <w:r>
              <w:rPr>
                <w:spacing w:val="-10"/>
                <w:sz w:val="18"/>
              </w:rPr>
              <w:t>-</w:t>
            </w:r>
          </w:p>
        </w:tc>
        <w:tc>
          <w:tcPr>
            <w:tcW w:w="2058" w:type="dxa"/>
            <w:vMerge/>
            <w:tcBorders>
              <w:top w:val="nil"/>
            </w:tcBorders>
          </w:tcPr>
          <w:p>
            <w:pPr>
              <w:rPr>
                <w:sz w:val="2"/>
                <w:szCs w:val="2"/>
              </w:rPr>
            </w:pPr>
          </w:p>
        </w:tc>
      </w:tr>
      <w:tr>
        <w:trPr>
          <w:trHeight w:val="1531" w:hRule="atLeast"/>
        </w:trPr>
        <w:tc>
          <w:tcPr>
            <w:tcW w:w="2823" w:type="dxa"/>
          </w:tcPr>
          <w:p>
            <w:pPr>
              <w:pStyle w:val="TableParagraph"/>
              <w:spacing w:before="37"/>
              <w:rPr>
                <w:b/>
                <w:sz w:val="18"/>
              </w:rPr>
            </w:pPr>
          </w:p>
          <w:p>
            <w:pPr>
              <w:pStyle w:val="TableParagraph"/>
              <w:spacing w:line="207" w:lineRule="exact"/>
              <w:ind w:left="72"/>
              <w:rPr>
                <w:b/>
                <w:sz w:val="18"/>
              </w:rPr>
            </w:pPr>
            <w:r>
              <w:rPr>
                <w:b/>
                <w:sz w:val="18"/>
              </w:rPr>
              <w:t>Actividad</w:t>
            </w:r>
            <w:r>
              <w:rPr>
                <w:b/>
                <w:spacing w:val="-6"/>
                <w:sz w:val="18"/>
              </w:rPr>
              <w:t> </w:t>
            </w:r>
            <w:r>
              <w:rPr>
                <w:b/>
                <w:sz w:val="18"/>
              </w:rPr>
              <w:t>PAC</w:t>
            </w:r>
            <w:r>
              <w:rPr>
                <w:b/>
                <w:spacing w:val="-2"/>
                <w:sz w:val="18"/>
              </w:rPr>
              <w:t> 2.30.10:</w:t>
            </w:r>
          </w:p>
          <w:p>
            <w:pPr>
              <w:pStyle w:val="TableParagraph"/>
              <w:ind w:left="72"/>
              <w:rPr>
                <w:sz w:val="18"/>
              </w:rPr>
            </w:pPr>
            <w:r>
              <w:rPr>
                <w:sz w:val="18"/>
              </w:rPr>
              <w:t>Realizar</w:t>
            </w:r>
            <w:r>
              <w:rPr>
                <w:spacing w:val="-4"/>
                <w:sz w:val="18"/>
              </w:rPr>
              <w:t> </w:t>
            </w:r>
            <w:r>
              <w:rPr>
                <w:sz w:val="18"/>
              </w:rPr>
              <w:t>el</w:t>
            </w:r>
            <w:r>
              <w:rPr>
                <w:spacing w:val="-11"/>
                <w:sz w:val="18"/>
              </w:rPr>
              <w:t> </w:t>
            </w:r>
            <w:r>
              <w:rPr>
                <w:sz w:val="18"/>
              </w:rPr>
              <w:t>proceso</w:t>
            </w:r>
            <w:r>
              <w:rPr>
                <w:spacing w:val="-9"/>
                <w:sz w:val="18"/>
              </w:rPr>
              <w:t> </w:t>
            </w:r>
            <w:r>
              <w:rPr>
                <w:sz w:val="18"/>
              </w:rPr>
              <w:t>de</w:t>
            </w:r>
            <w:r>
              <w:rPr>
                <w:spacing w:val="-9"/>
                <w:sz w:val="18"/>
              </w:rPr>
              <w:t> </w:t>
            </w:r>
            <w:r>
              <w:rPr>
                <w:sz w:val="18"/>
              </w:rPr>
              <w:t>cambio</w:t>
            </w:r>
            <w:r>
              <w:rPr>
                <w:spacing w:val="-5"/>
                <w:sz w:val="18"/>
              </w:rPr>
              <w:t> </w:t>
            </w:r>
            <w:r>
              <w:rPr>
                <w:sz w:val="18"/>
              </w:rPr>
              <w:t>en los procesos susceptibles de mejora, para aumentar su eficiencia y eficacia.</w:t>
            </w:r>
          </w:p>
        </w:tc>
        <w:tc>
          <w:tcPr>
            <w:tcW w:w="1387"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21" w:right="9"/>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28" w:right="14"/>
              <w:jc w:val="center"/>
              <w:rPr>
                <w:sz w:val="18"/>
              </w:rPr>
            </w:pPr>
            <w:r>
              <w:rPr>
                <w:spacing w:val="-4"/>
                <w:sz w:val="18"/>
              </w:rPr>
              <w:t>100%</w:t>
            </w:r>
          </w:p>
        </w:tc>
        <w:tc>
          <w:tcPr>
            <w:tcW w:w="2165" w:type="dxa"/>
          </w:tcPr>
          <w:p>
            <w:pPr>
              <w:pStyle w:val="TableParagraph"/>
              <w:spacing w:before="37"/>
              <w:rPr>
                <w:b/>
                <w:sz w:val="18"/>
              </w:rPr>
            </w:pPr>
          </w:p>
          <w:p>
            <w:pPr>
              <w:pStyle w:val="TableParagraph"/>
              <w:ind w:left="73" w:right="71"/>
              <w:rPr>
                <w:sz w:val="18"/>
              </w:rPr>
            </w:pPr>
            <w:r>
              <w:rPr>
                <w:sz w:val="18"/>
              </w:rPr>
              <w:t>Porcentaje de procesos de</w:t>
            </w:r>
            <w:r>
              <w:rPr>
                <w:spacing w:val="-9"/>
                <w:sz w:val="18"/>
              </w:rPr>
              <w:t> </w:t>
            </w:r>
            <w:r>
              <w:rPr>
                <w:sz w:val="18"/>
              </w:rPr>
              <w:t>cambio</w:t>
            </w:r>
            <w:r>
              <w:rPr>
                <w:spacing w:val="-12"/>
                <w:sz w:val="18"/>
              </w:rPr>
              <w:t> </w:t>
            </w:r>
            <w:r>
              <w:rPr>
                <w:sz w:val="18"/>
              </w:rPr>
              <w:t>con</w:t>
            </w:r>
            <w:r>
              <w:rPr>
                <w:spacing w:val="-12"/>
                <w:sz w:val="18"/>
              </w:rPr>
              <w:t> </w:t>
            </w:r>
            <w:r>
              <w:rPr>
                <w:sz w:val="18"/>
              </w:rPr>
              <w:t>propuesta de cambio remitidas a</w:t>
            </w:r>
            <w:r>
              <w:rPr>
                <w:spacing w:val="40"/>
                <w:sz w:val="18"/>
              </w:rPr>
              <w:t> </w:t>
            </w:r>
            <w:r>
              <w:rPr>
                <w:sz w:val="18"/>
              </w:rPr>
              <w:t>las instancias </w:t>
            </w:r>
            <w:r>
              <w:rPr>
                <w:spacing w:val="-2"/>
                <w:sz w:val="18"/>
              </w:rPr>
              <w:t>competentes.</w:t>
            </w:r>
          </w:p>
        </w:tc>
        <w:tc>
          <w:tcPr>
            <w:tcW w:w="1805" w:type="dxa"/>
          </w:tcPr>
          <w:p>
            <w:pPr>
              <w:pStyle w:val="TableParagraph"/>
              <w:spacing w:before="37"/>
              <w:rPr>
                <w:b/>
                <w:sz w:val="18"/>
              </w:rPr>
            </w:pPr>
          </w:p>
          <w:p>
            <w:pPr>
              <w:pStyle w:val="TableParagraph"/>
              <w:ind w:left="73" w:right="165"/>
              <w:rPr>
                <w:sz w:val="18"/>
              </w:rPr>
            </w:pPr>
            <w:r>
              <w:rPr>
                <w:sz w:val="18"/>
              </w:rPr>
              <w:t>Diagramas de </w:t>
            </w:r>
            <w:r>
              <w:rPr>
                <w:spacing w:val="-2"/>
                <w:sz w:val="18"/>
              </w:rPr>
              <w:t>proceso modificados, procedimientos modificados.</w:t>
            </w:r>
          </w:p>
        </w:tc>
        <w:tc>
          <w:tcPr>
            <w:tcW w:w="1498"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68"/>
              <w:rPr>
                <w:sz w:val="18"/>
              </w:rPr>
            </w:pPr>
            <w:r>
              <w:rPr>
                <w:spacing w:val="-5"/>
                <w:sz w:val="18"/>
              </w:rPr>
              <w:t>DSA</w:t>
            </w:r>
          </w:p>
        </w:tc>
        <w:tc>
          <w:tcPr>
            <w:tcW w:w="1398"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29" w:right="9"/>
              <w:jc w:val="center"/>
              <w:rPr>
                <w:sz w:val="18"/>
              </w:rPr>
            </w:pPr>
            <w:r>
              <w:rPr>
                <w:spacing w:val="-10"/>
                <w:sz w:val="18"/>
              </w:rPr>
              <w:t>-</w:t>
            </w:r>
          </w:p>
        </w:tc>
        <w:tc>
          <w:tcPr>
            <w:tcW w:w="2058" w:type="dxa"/>
            <w:vMerge/>
            <w:tcBorders>
              <w:top w:val="nil"/>
            </w:tcBorders>
          </w:tcPr>
          <w:p>
            <w:pPr>
              <w:rPr>
                <w:sz w:val="2"/>
                <w:szCs w:val="2"/>
              </w:rPr>
            </w:pPr>
          </w:p>
        </w:tc>
      </w:tr>
    </w:tbl>
    <w:p>
      <w:pPr>
        <w:pStyle w:val="BodyText"/>
        <w:spacing w:before="205"/>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8"/>
        <w:gridCol w:w="1416"/>
        <w:gridCol w:w="1277"/>
        <w:gridCol w:w="1987"/>
        <w:gridCol w:w="1843"/>
        <w:gridCol w:w="1416"/>
        <w:gridCol w:w="1560"/>
        <w:gridCol w:w="2064"/>
      </w:tblGrid>
      <w:tr>
        <w:trPr>
          <w:trHeight w:val="926" w:hRule="atLeast"/>
        </w:trPr>
        <w:tc>
          <w:tcPr>
            <w:tcW w:w="2828" w:type="dxa"/>
            <w:shd w:val="clear" w:color="auto" w:fill="D7D7D7"/>
          </w:tcPr>
          <w:p>
            <w:pPr>
              <w:pStyle w:val="TableParagraph"/>
              <w:spacing w:before="151"/>
              <w:rPr>
                <w:b/>
                <w:sz w:val="18"/>
              </w:rPr>
            </w:pPr>
          </w:p>
          <w:p>
            <w:pPr>
              <w:pStyle w:val="TableParagraph"/>
              <w:spacing w:before="1"/>
              <w:ind w:left="446"/>
              <w:rPr>
                <w:b/>
                <w:sz w:val="18"/>
              </w:rPr>
            </w:pPr>
            <w:r>
              <w:rPr>
                <w:b/>
                <w:sz w:val="18"/>
              </w:rPr>
              <w:t>Objetivos</w:t>
            </w:r>
            <w:r>
              <w:rPr>
                <w:b/>
                <w:spacing w:val="-5"/>
                <w:sz w:val="18"/>
              </w:rPr>
              <w:t> </w:t>
            </w:r>
            <w:r>
              <w:rPr>
                <w:b/>
                <w:sz w:val="18"/>
              </w:rPr>
              <w:t>/</w:t>
            </w:r>
            <w:r>
              <w:rPr>
                <w:b/>
                <w:spacing w:val="-2"/>
                <w:sz w:val="18"/>
              </w:rPr>
              <w:t> Resultados</w:t>
            </w:r>
          </w:p>
        </w:tc>
        <w:tc>
          <w:tcPr>
            <w:tcW w:w="1416" w:type="dxa"/>
            <w:shd w:val="clear" w:color="auto" w:fill="D7D7D7"/>
          </w:tcPr>
          <w:p>
            <w:pPr>
              <w:pStyle w:val="TableParagraph"/>
              <w:spacing w:before="46"/>
              <w:rPr>
                <w:b/>
                <w:sz w:val="18"/>
              </w:rPr>
            </w:pPr>
          </w:p>
          <w:p>
            <w:pPr>
              <w:pStyle w:val="TableParagraph"/>
              <w:ind w:left="451" w:hanging="216"/>
              <w:rPr>
                <w:b/>
                <w:sz w:val="18"/>
              </w:rPr>
            </w:pPr>
            <w:r>
              <w:rPr>
                <w:b/>
                <w:sz w:val="18"/>
              </w:rPr>
              <w:t>Línea</w:t>
            </w:r>
            <w:r>
              <w:rPr>
                <w:b/>
                <w:spacing w:val="-13"/>
                <w:sz w:val="18"/>
              </w:rPr>
              <w:t> </w:t>
            </w:r>
            <w:r>
              <w:rPr>
                <w:b/>
                <w:sz w:val="18"/>
              </w:rPr>
              <w:t>Base </w:t>
            </w:r>
            <w:r>
              <w:rPr>
                <w:b/>
                <w:spacing w:val="-2"/>
                <w:sz w:val="18"/>
              </w:rPr>
              <w:t>(2024)</w:t>
            </w:r>
          </w:p>
        </w:tc>
        <w:tc>
          <w:tcPr>
            <w:tcW w:w="1277" w:type="dxa"/>
            <w:shd w:val="clear" w:color="auto" w:fill="D7D7D7"/>
          </w:tcPr>
          <w:p>
            <w:pPr>
              <w:pStyle w:val="TableParagraph"/>
              <w:spacing w:before="152"/>
              <w:ind w:left="120" w:right="98" w:hanging="10"/>
              <w:jc w:val="center"/>
              <w:rPr>
                <w:b/>
                <w:sz w:val="18"/>
              </w:rPr>
            </w:pPr>
            <w:r>
              <w:rPr>
                <w:b/>
                <w:spacing w:val="-4"/>
                <w:sz w:val="18"/>
              </w:rPr>
              <w:t>Meta </w:t>
            </w:r>
            <w:r>
              <w:rPr>
                <w:b/>
                <w:spacing w:val="-2"/>
                <w:sz w:val="18"/>
              </w:rPr>
              <w:t>programada </w:t>
            </w:r>
            <w:r>
              <w:rPr>
                <w:b/>
                <w:spacing w:val="-4"/>
                <w:sz w:val="18"/>
              </w:rPr>
              <w:t>2026</w:t>
            </w:r>
          </w:p>
        </w:tc>
        <w:tc>
          <w:tcPr>
            <w:tcW w:w="1987" w:type="dxa"/>
            <w:shd w:val="clear" w:color="auto" w:fill="D7D7D7"/>
          </w:tcPr>
          <w:p>
            <w:pPr>
              <w:pStyle w:val="TableParagraph"/>
              <w:spacing w:before="151"/>
              <w:rPr>
                <w:b/>
                <w:sz w:val="18"/>
              </w:rPr>
            </w:pPr>
          </w:p>
          <w:p>
            <w:pPr>
              <w:pStyle w:val="TableParagraph"/>
              <w:spacing w:before="1"/>
              <w:ind w:left="591"/>
              <w:rPr>
                <w:b/>
                <w:sz w:val="18"/>
              </w:rPr>
            </w:pPr>
            <w:r>
              <w:rPr>
                <w:b/>
                <w:spacing w:val="-2"/>
                <w:sz w:val="18"/>
              </w:rPr>
              <w:t>Indicador</w:t>
            </w:r>
          </w:p>
        </w:tc>
        <w:tc>
          <w:tcPr>
            <w:tcW w:w="1843" w:type="dxa"/>
            <w:shd w:val="clear" w:color="auto" w:fill="D7D7D7"/>
          </w:tcPr>
          <w:p>
            <w:pPr>
              <w:pStyle w:val="TableParagraph"/>
              <w:spacing w:before="46"/>
              <w:rPr>
                <w:b/>
                <w:sz w:val="18"/>
              </w:rPr>
            </w:pPr>
          </w:p>
          <w:p>
            <w:pPr>
              <w:pStyle w:val="TableParagraph"/>
              <w:ind w:left="423" w:right="49" w:firstLine="57"/>
              <w:rPr>
                <w:b/>
                <w:sz w:val="18"/>
              </w:rPr>
            </w:pPr>
            <w:r>
              <w:rPr>
                <w:b/>
                <w:sz w:val="18"/>
              </w:rPr>
              <w:t>Medios de </w:t>
            </w:r>
            <w:r>
              <w:rPr>
                <w:b/>
                <w:spacing w:val="-2"/>
                <w:sz w:val="18"/>
              </w:rPr>
              <w:t>verificación</w:t>
            </w:r>
          </w:p>
        </w:tc>
        <w:tc>
          <w:tcPr>
            <w:tcW w:w="1416" w:type="dxa"/>
            <w:shd w:val="clear" w:color="auto" w:fill="D7D7D7"/>
          </w:tcPr>
          <w:p>
            <w:pPr>
              <w:pStyle w:val="TableParagraph"/>
              <w:spacing w:before="151"/>
              <w:rPr>
                <w:b/>
                <w:sz w:val="18"/>
              </w:rPr>
            </w:pPr>
          </w:p>
          <w:p>
            <w:pPr>
              <w:pStyle w:val="TableParagraph"/>
              <w:spacing w:before="1"/>
              <w:ind w:left="150"/>
              <w:rPr>
                <w:b/>
                <w:sz w:val="18"/>
              </w:rPr>
            </w:pPr>
            <w:r>
              <w:rPr>
                <w:b/>
                <w:spacing w:val="-2"/>
                <w:sz w:val="18"/>
              </w:rPr>
              <w:t>Responsable</w:t>
            </w:r>
          </w:p>
        </w:tc>
        <w:tc>
          <w:tcPr>
            <w:tcW w:w="1560" w:type="dxa"/>
            <w:shd w:val="clear" w:color="auto" w:fill="D7D7D7"/>
          </w:tcPr>
          <w:p>
            <w:pPr>
              <w:pStyle w:val="TableParagraph"/>
              <w:spacing w:before="46"/>
              <w:rPr>
                <w:b/>
                <w:sz w:val="18"/>
              </w:rPr>
            </w:pPr>
          </w:p>
          <w:p>
            <w:pPr>
              <w:pStyle w:val="TableParagraph"/>
              <w:ind w:left="386" w:right="58" w:hanging="149"/>
              <w:rPr>
                <w:b/>
                <w:sz w:val="18"/>
              </w:rPr>
            </w:pPr>
            <w:r>
              <w:rPr>
                <w:b/>
                <w:spacing w:val="-2"/>
                <w:sz w:val="18"/>
              </w:rPr>
              <w:t>Presupuesto asignado</w:t>
            </w:r>
          </w:p>
        </w:tc>
        <w:tc>
          <w:tcPr>
            <w:tcW w:w="2064" w:type="dxa"/>
            <w:shd w:val="clear" w:color="auto" w:fill="D7D7D7"/>
          </w:tcPr>
          <w:p>
            <w:pPr>
              <w:pStyle w:val="TableParagraph"/>
              <w:spacing w:before="151"/>
              <w:rPr>
                <w:b/>
                <w:sz w:val="18"/>
              </w:rPr>
            </w:pPr>
          </w:p>
          <w:p>
            <w:pPr>
              <w:pStyle w:val="TableParagraph"/>
              <w:spacing w:before="1"/>
              <w:ind w:left="75"/>
              <w:rPr>
                <w:b/>
                <w:sz w:val="18"/>
              </w:rPr>
            </w:pPr>
            <w:r>
              <w:rPr>
                <w:b/>
                <w:spacing w:val="-2"/>
                <w:sz w:val="18"/>
              </w:rPr>
              <w:t>Riesgos</w:t>
            </w:r>
          </w:p>
        </w:tc>
      </w:tr>
      <w:tr>
        <w:trPr>
          <w:trHeight w:val="719" w:hRule="atLeast"/>
        </w:trPr>
        <w:tc>
          <w:tcPr>
            <w:tcW w:w="14391" w:type="dxa"/>
            <w:gridSpan w:val="8"/>
            <w:shd w:val="clear" w:color="auto" w:fill="F1F1F1"/>
          </w:tcPr>
          <w:p>
            <w:pPr>
              <w:pStyle w:val="TableParagraph"/>
              <w:spacing w:before="152"/>
              <w:ind w:left="72" w:right="84"/>
              <w:rPr>
                <w:b/>
                <w:sz w:val="18"/>
              </w:rPr>
            </w:pPr>
            <w:r>
              <w:rPr>
                <w:b/>
                <w:sz w:val="18"/>
              </w:rPr>
              <w:t>Efecto:</w:t>
            </w:r>
            <w:r>
              <w:rPr>
                <w:b/>
                <w:spacing w:val="-2"/>
                <w:sz w:val="18"/>
              </w:rPr>
              <w:t> </w:t>
            </w:r>
            <w:r>
              <w:rPr>
                <w:b/>
                <w:sz w:val="18"/>
              </w:rPr>
              <w:t>Realizar una efectiva gestión</w:t>
            </w:r>
            <w:r>
              <w:rPr>
                <w:b/>
                <w:spacing w:val="-5"/>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4"/>
                <w:sz w:val="18"/>
              </w:rPr>
              <w:t> </w:t>
            </w:r>
            <w:r>
              <w:rPr>
                <w:b/>
                <w:sz w:val="18"/>
              </w:rPr>
              <w:t>y</w:t>
            </w:r>
            <w:r>
              <w:rPr>
                <w:b/>
                <w:spacing w:val="-4"/>
                <w:sz w:val="18"/>
              </w:rPr>
              <w:t> </w:t>
            </w:r>
            <w:r>
              <w:rPr>
                <w:b/>
                <w:sz w:val="18"/>
              </w:rPr>
              <w:t>tecnológicos, con el</w:t>
            </w:r>
            <w:r>
              <w:rPr>
                <w:b/>
                <w:spacing w:val="-2"/>
                <w:sz w:val="18"/>
              </w:rPr>
              <w:t> </w:t>
            </w:r>
            <w:r>
              <w:rPr>
                <w:b/>
                <w:sz w:val="18"/>
              </w:rPr>
              <w:t>fin</w:t>
            </w:r>
            <w:r>
              <w:rPr>
                <w:b/>
                <w:spacing w:val="-5"/>
                <w:sz w:val="18"/>
              </w:rPr>
              <w:t> </w:t>
            </w:r>
            <w:r>
              <w:rPr>
                <w:b/>
                <w:sz w:val="18"/>
              </w:rPr>
              <w:t>de contribuir</w:t>
            </w:r>
            <w:r>
              <w:rPr>
                <w:b/>
                <w:spacing w:val="-3"/>
                <w:sz w:val="18"/>
              </w:rPr>
              <w:t> </w:t>
            </w:r>
            <w:r>
              <w:rPr>
                <w:b/>
                <w:sz w:val="18"/>
              </w:rPr>
              <w:t>con</w:t>
            </w:r>
            <w:r>
              <w:rPr>
                <w:b/>
                <w:spacing w:val="-5"/>
                <w:sz w:val="18"/>
              </w:rPr>
              <w:t> </w:t>
            </w:r>
            <w:r>
              <w:rPr>
                <w:b/>
                <w:sz w:val="18"/>
              </w:rPr>
              <w:t>la</w:t>
            </w:r>
            <w:r>
              <w:rPr>
                <w:b/>
                <w:spacing w:val="-4"/>
                <w:sz w:val="18"/>
              </w:rPr>
              <w:t> </w:t>
            </w:r>
            <w:r>
              <w:rPr>
                <w:b/>
                <w:sz w:val="18"/>
              </w:rPr>
              <w:t>institucionalización de</w:t>
            </w:r>
            <w:r>
              <w:rPr>
                <w:b/>
                <w:spacing w:val="-4"/>
                <w:sz w:val="18"/>
              </w:rPr>
              <w:t> </w:t>
            </w:r>
            <w:r>
              <w:rPr>
                <w:b/>
                <w:sz w:val="18"/>
              </w:rPr>
              <w:t>la estrategia de intervención de la población en situación de pobreza y pobreza extrema.</w:t>
            </w:r>
          </w:p>
        </w:tc>
      </w:tr>
      <w:tr>
        <w:trPr>
          <w:trHeight w:val="749" w:hRule="atLeast"/>
        </w:trPr>
        <w:tc>
          <w:tcPr>
            <w:tcW w:w="14391" w:type="dxa"/>
            <w:gridSpan w:val="8"/>
            <w:shd w:val="clear" w:color="auto" w:fill="EFF8F9"/>
          </w:tcPr>
          <w:p>
            <w:pPr>
              <w:pStyle w:val="TableParagraph"/>
              <w:spacing w:before="167"/>
              <w:ind w:left="72" w:right="84"/>
              <w:rPr>
                <w:b/>
                <w:sz w:val="18"/>
              </w:rPr>
            </w:pPr>
            <w:r>
              <w:rPr>
                <w:b/>
                <w:sz w:val="18"/>
              </w:rPr>
              <w:t>Producto</w:t>
            </w:r>
            <w:r>
              <w:rPr>
                <w:b/>
                <w:spacing w:val="-4"/>
                <w:sz w:val="18"/>
              </w:rPr>
              <w:t> </w:t>
            </w:r>
            <w:r>
              <w:rPr>
                <w:b/>
                <w:sz w:val="18"/>
              </w:rPr>
              <w:t>PAC</w:t>
            </w:r>
            <w:r>
              <w:rPr>
                <w:b/>
                <w:spacing w:val="-5"/>
                <w:sz w:val="18"/>
              </w:rPr>
              <w:t> </w:t>
            </w:r>
            <w:r>
              <w:rPr>
                <w:b/>
                <w:sz w:val="18"/>
              </w:rPr>
              <w:t>2:31:</w:t>
            </w:r>
            <w:r>
              <w:rPr>
                <w:b/>
                <w:spacing w:val="-1"/>
                <w:sz w:val="18"/>
              </w:rPr>
              <w:t> </w:t>
            </w:r>
            <w:r>
              <w:rPr>
                <w:b/>
                <w:sz w:val="18"/>
              </w:rPr>
              <w:t>Recursos Financieros</w:t>
            </w:r>
            <w:r>
              <w:rPr>
                <w:b/>
                <w:spacing w:val="-3"/>
                <w:sz w:val="18"/>
              </w:rPr>
              <w:t> </w:t>
            </w:r>
            <w:r>
              <w:rPr>
                <w:b/>
                <w:sz w:val="18"/>
              </w:rPr>
              <w:t>Institucionales gestionados</w:t>
            </w:r>
            <w:r>
              <w:rPr>
                <w:b/>
                <w:spacing w:val="-3"/>
                <w:sz w:val="18"/>
              </w:rPr>
              <w:t> </w:t>
            </w:r>
            <w:r>
              <w:rPr>
                <w:b/>
                <w:sz w:val="18"/>
              </w:rPr>
              <w:t>y administrados</w:t>
            </w:r>
            <w:r>
              <w:rPr>
                <w:b/>
                <w:spacing w:val="-3"/>
                <w:sz w:val="18"/>
              </w:rPr>
              <w:t> </w:t>
            </w:r>
            <w:r>
              <w:rPr>
                <w:b/>
                <w:sz w:val="18"/>
              </w:rPr>
              <w:t>de</w:t>
            </w:r>
            <w:r>
              <w:rPr>
                <w:b/>
                <w:spacing w:val="-3"/>
                <w:sz w:val="18"/>
              </w:rPr>
              <w:t> </w:t>
            </w:r>
            <w:r>
              <w:rPr>
                <w:b/>
                <w:sz w:val="18"/>
              </w:rPr>
              <w:t>manera</w:t>
            </w:r>
            <w:r>
              <w:rPr>
                <w:b/>
                <w:spacing w:val="-3"/>
                <w:sz w:val="18"/>
              </w:rPr>
              <w:t> </w:t>
            </w:r>
            <w:r>
              <w:rPr>
                <w:b/>
                <w:sz w:val="18"/>
              </w:rPr>
              <w:t>efectiva,</w:t>
            </w:r>
            <w:r>
              <w:rPr>
                <w:b/>
                <w:spacing w:val="-1"/>
                <w:sz w:val="18"/>
              </w:rPr>
              <w:t> </w:t>
            </w:r>
            <w:r>
              <w:rPr>
                <w:b/>
                <w:sz w:val="18"/>
              </w:rPr>
              <w:t>bajo</w:t>
            </w:r>
            <w:r>
              <w:rPr>
                <w:b/>
                <w:spacing w:val="-8"/>
                <w:sz w:val="18"/>
              </w:rPr>
              <w:t> </w:t>
            </w:r>
            <w:r>
              <w:rPr>
                <w:b/>
                <w:sz w:val="18"/>
              </w:rPr>
              <w:t>un enfoque</w:t>
            </w:r>
            <w:r>
              <w:rPr>
                <w:b/>
                <w:spacing w:val="-3"/>
                <w:sz w:val="18"/>
              </w:rPr>
              <w:t> </w:t>
            </w:r>
            <w:r>
              <w:rPr>
                <w:b/>
                <w:sz w:val="18"/>
              </w:rPr>
              <w:t>de</w:t>
            </w:r>
            <w:r>
              <w:rPr>
                <w:b/>
                <w:spacing w:val="-3"/>
                <w:sz w:val="18"/>
              </w:rPr>
              <w:t> </w:t>
            </w:r>
            <w:r>
              <w:rPr>
                <w:b/>
                <w:sz w:val="18"/>
              </w:rPr>
              <w:t>transparencia</w:t>
            </w:r>
            <w:r>
              <w:rPr>
                <w:b/>
                <w:spacing w:val="-3"/>
                <w:sz w:val="18"/>
              </w:rPr>
              <w:t> </w:t>
            </w:r>
            <w:r>
              <w:rPr>
                <w:b/>
                <w:sz w:val="18"/>
              </w:rPr>
              <w:t>en</w:t>
            </w:r>
            <w:r>
              <w:rPr>
                <w:b/>
                <w:spacing w:val="-4"/>
                <w:sz w:val="18"/>
              </w:rPr>
              <w:t> </w:t>
            </w:r>
            <w:r>
              <w:rPr>
                <w:b/>
                <w:sz w:val="18"/>
              </w:rPr>
              <w:t>procura</w:t>
            </w:r>
            <w:r>
              <w:rPr>
                <w:b/>
                <w:spacing w:val="-3"/>
                <w:sz w:val="18"/>
              </w:rPr>
              <w:t> </w:t>
            </w:r>
            <w:r>
              <w:rPr>
                <w:b/>
                <w:sz w:val="18"/>
              </w:rPr>
              <w:t>del cumplimiento normativo y los compromisos institucionales</w:t>
            </w:r>
          </w:p>
        </w:tc>
      </w:tr>
      <w:tr>
        <w:trPr>
          <w:trHeight w:val="1243" w:hRule="atLeast"/>
        </w:trPr>
        <w:tc>
          <w:tcPr>
            <w:tcW w:w="2828" w:type="dxa"/>
          </w:tcPr>
          <w:p>
            <w:pPr>
              <w:pStyle w:val="TableParagraph"/>
              <w:spacing w:before="103"/>
              <w:rPr>
                <w:b/>
                <w:sz w:val="18"/>
              </w:rPr>
            </w:pPr>
          </w:p>
          <w:p>
            <w:pPr>
              <w:pStyle w:val="TableParagraph"/>
              <w:spacing w:before="1"/>
              <w:ind w:left="72"/>
              <w:rPr>
                <w:sz w:val="18"/>
              </w:rPr>
            </w:pPr>
            <w:r>
              <w:rPr>
                <w:b/>
                <w:sz w:val="18"/>
              </w:rPr>
              <w:t>Actividad PAC 2.31.1: </w:t>
            </w:r>
            <w:r>
              <w:rPr>
                <w:sz w:val="18"/>
              </w:rPr>
              <w:t>Seguimiento de la ejecución presupuestaria</w:t>
            </w:r>
            <w:r>
              <w:rPr>
                <w:spacing w:val="-13"/>
                <w:sz w:val="18"/>
              </w:rPr>
              <w:t> </w:t>
            </w:r>
            <w:r>
              <w:rPr>
                <w:sz w:val="18"/>
              </w:rPr>
              <w:t>de</w:t>
            </w:r>
            <w:r>
              <w:rPr>
                <w:spacing w:val="-10"/>
                <w:sz w:val="18"/>
              </w:rPr>
              <w:t> </w:t>
            </w:r>
            <w:r>
              <w:rPr>
                <w:sz w:val="18"/>
              </w:rPr>
              <w:t>los</w:t>
            </w:r>
            <w:r>
              <w:rPr>
                <w:spacing w:val="-13"/>
                <w:sz w:val="18"/>
              </w:rPr>
              <w:t> </w:t>
            </w:r>
            <w:r>
              <w:rPr>
                <w:sz w:val="18"/>
              </w:rPr>
              <w:t>programas </w:t>
            </w:r>
            <w:r>
              <w:rPr>
                <w:spacing w:val="-2"/>
                <w:sz w:val="18"/>
              </w:rPr>
              <w:t>presupuestarios</w:t>
            </w:r>
          </w:p>
        </w:tc>
        <w:tc>
          <w:tcPr>
            <w:tcW w:w="1416" w:type="dxa"/>
          </w:tcPr>
          <w:p>
            <w:pPr>
              <w:pStyle w:val="TableParagraph"/>
              <w:rPr>
                <w:b/>
                <w:sz w:val="18"/>
              </w:rPr>
            </w:pPr>
          </w:p>
          <w:p>
            <w:pPr>
              <w:pStyle w:val="TableParagraph"/>
              <w:spacing w:before="103"/>
              <w:rPr>
                <w:b/>
                <w:sz w:val="18"/>
              </w:rPr>
            </w:pPr>
          </w:p>
          <w:p>
            <w:pPr>
              <w:pStyle w:val="TableParagraph"/>
              <w:ind w:left="17" w:right="6"/>
              <w:jc w:val="center"/>
              <w:rPr>
                <w:sz w:val="18"/>
              </w:rPr>
            </w:pPr>
            <w:r>
              <w:rPr>
                <w:spacing w:val="-10"/>
                <w:sz w:val="18"/>
              </w:rPr>
              <w:t>4</w:t>
            </w:r>
          </w:p>
        </w:tc>
        <w:tc>
          <w:tcPr>
            <w:tcW w:w="1277" w:type="dxa"/>
          </w:tcPr>
          <w:p>
            <w:pPr>
              <w:pStyle w:val="TableParagraph"/>
              <w:rPr>
                <w:b/>
                <w:sz w:val="18"/>
              </w:rPr>
            </w:pPr>
          </w:p>
          <w:p>
            <w:pPr>
              <w:pStyle w:val="TableParagraph"/>
              <w:spacing w:before="103"/>
              <w:rPr>
                <w:b/>
                <w:sz w:val="18"/>
              </w:rPr>
            </w:pPr>
          </w:p>
          <w:p>
            <w:pPr>
              <w:pStyle w:val="TableParagraph"/>
              <w:ind w:left="24" w:right="8"/>
              <w:jc w:val="center"/>
              <w:rPr>
                <w:sz w:val="18"/>
              </w:rPr>
            </w:pPr>
            <w:r>
              <w:rPr>
                <w:spacing w:val="-10"/>
                <w:sz w:val="18"/>
              </w:rPr>
              <w:t>4</w:t>
            </w:r>
          </w:p>
        </w:tc>
        <w:tc>
          <w:tcPr>
            <w:tcW w:w="1987" w:type="dxa"/>
          </w:tcPr>
          <w:p>
            <w:pPr>
              <w:pStyle w:val="TableParagraph"/>
              <w:ind w:left="72"/>
              <w:rPr>
                <w:sz w:val="18"/>
              </w:rPr>
            </w:pPr>
            <w:r>
              <w:rPr>
                <w:color w:val="232323"/>
                <w:sz w:val="18"/>
              </w:rPr>
              <w:t>Cantidad de informes donde</w:t>
            </w:r>
            <w:r>
              <w:rPr>
                <w:color w:val="232323"/>
                <w:spacing w:val="-13"/>
                <w:sz w:val="18"/>
              </w:rPr>
              <w:t> </w:t>
            </w:r>
            <w:r>
              <w:rPr>
                <w:color w:val="232323"/>
                <w:sz w:val="18"/>
              </w:rPr>
              <w:t>se</w:t>
            </w:r>
            <w:r>
              <w:rPr>
                <w:color w:val="232323"/>
                <w:spacing w:val="-9"/>
                <w:sz w:val="18"/>
              </w:rPr>
              <w:t> </w:t>
            </w:r>
            <w:r>
              <w:rPr>
                <w:color w:val="232323"/>
                <w:sz w:val="18"/>
              </w:rPr>
              <w:t>demuestra</w:t>
            </w:r>
            <w:r>
              <w:rPr>
                <w:color w:val="232323"/>
                <w:spacing w:val="-13"/>
                <w:sz w:val="18"/>
              </w:rPr>
              <w:t> </w:t>
            </w:r>
            <w:r>
              <w:rPr>
                <w:color w:val="232323"/>
                <w:sz w:val="18"/>
              </w:rPr>
              <w:t>la </w:t>
            </w:r>
            <w:r>
              <w:rPr>
                <w:color w:val="232323"/>
                <w:spacing w:val="-2"/>
                <w:sz w:val="18"/>
              </w:rPr>
              <w:t>ejecución </w:t>
            </w:r>
            <w:r>
              <w:rPr>
                <w:color w:val="232323"/>
                <w:sz w:val="18"/>
              </w:rPr>
              <w:t>presupuestaria de los </w:t>
            </w:r>
            <w:r>
              <w:rPr>
                <w:color w:val="232323"/>
                <w:spacing w:val="-2"/>
                <w:sz w:val="18"/>
              </w:rPr>
              <w:t>programas</w:t>
            </w:r>
          </w:p>
          <w:p>
            <w:pPr>
              <w:pStyle w:val="TableParagraph"/>
              <w:spacing w:line="187" w:lineRule="exact" w:before="1"/>
              <w:ind w:left="72"/>
              <w:rPr>
                <w:sz w:val="18"/>
              </w:rPr>
            </w:pPr>
            <w:r>
              <w:rPr>
                <w:color w:val="232323"/>
                <w:spacing w:val="-2"/>
                <w:sz w:val="18"/>
              </w:rPr>
              <w:t>presupuestarios</w:t>
            </w:r>
          </w:p>
        </w:tc>
        <w:tc>
          <w:tcPr>
            <w:tcW w:w="1843" w:type="dxa"/>
          </w:tcPr>
          <w:p>
            <w:pPr>
              <w:pStyle w:val="TableParagraph"/>
              <w:spacing w:line="242" w:lineRule="auto" w:before="205"/>
              <w:ind w:left="73" w:right="49"/>
              <w:rPr>
                <w:sz w:val="18"/>
              </w:rPr>
            </w:pPr>
            <w:r>
              <w:rPr>
                <w:color w:val="232323"/>
                <w:sz w:val="18"/>
              </w:rPr>
              <w:t>Informe de labores del</w:t>
            </w:r>
            <w:r>
              <w:rPr>
                <w:color w:val="232323"/>
                <w:spacing w:val="-15"/>
                <w:sz w:val="18"/>
              </w:rPr>
              <w:t> </w:t>
            </w:r>
            <w:r>
              <w:rPr>
                <w:color w:val="232323"/>
                <w:sz w:val="18"/>
              </w:rPr>
              <w:t>Departamento</w:t>
            </w:r>
            <w:r>
              <w:rPr>
                <w:color w:val="232323"/>
                <w:spacing w:val="-12"/>
                <w:sz w:val="18"/>
              </w:rPr>
              <w:t> </w:t>
            </w:r>
            <w:r>
              <w:rPr>
                <w:color w:val="232323"/>
                <w:sz w:val="18"/>
              </w:rPr>
              <w:t>de </w:t>
            </w:r>
            <w:r>
              <w:rPr>
                <w:color w:val="232323"/>
                <w:spacing w:val="-2"/>
                <w:sz w:val="18"/>
              </w:rPr>
              <w:t>Administración Financiera</w:t>
            </w:r>
          </w:p>
        </w:tc>
        <w:tc>
          <w:tcPr>
            <w:tcW w:w="1416" w:type="dxa"/>
          </w:tcPr>
          <w:p>
            <w:pPr>
              <w:pStyle w:val="TableParagraph"/>
              <w:rPr>
                <w:b/>
                <w:sz w:val="18"/>
              </w:rPr>
            </w:pPr>
          </w:p>
          <w:p>
            <w:pPr>
              <w:pStyle w:val="TableParagraph"/>
              <w:spacing w:before="103"/>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tcPr>
          <w:p>
            <w:pPr>
              <w:pStyle w:val="TableParagraph"/>
              <w:spacing w:line="206" w:lineRule="exact"/>
              <w:ind w:left="75"/>
              <w:rPr>
                <w:sz w:val="18"/>
              </w:rPr>
            </w:pPr>
            <w:r>
              <w:rPr>
                <w:spacing w:val="-2"/>
                <w:sz w:val="18"/>
              </w:rPr>
              <w:t>Eventos:</w:t>
            </w:r>
          </w:p>
          <w:p>
            <w:pPr>
              <w:pStyle w:val="TableParagraph"/>
              <w:spacing w:line="242" w:lineRule="auto"/>
              <w:ind w:left="75" w:right="47"/>
              <w:rPr>
                <w:sz w:val="18"/>
              </w:rPr>
            </w:pPr>
            <w:r>
              <w:rPr>
                <w:sz w:val="18"/>
              </w:rPr>
              <w:t>1)</w:t>
            </w:r>
            <w:r>
              <w:rPr>
                <w:spacing w:val="-9"/>
                <w:sz w:val="18"/>
              </w:rPr>
              <w:t> </w:t>
            </w:r>
            <w:r>
              <w:rPr>
                <w:sz w:val="18"/>
              </w:rPr>
              <w:t>Falla</w:t>
            </w:r>
            <w:r>
              <w:rPr>
                <w:spacing w:val="-13"/>
                <w:sz w:val="18"/>
              </w:rPr>
              <w:t> </w:t>
            </w:r>
            <w:r>
              <w:rPr>
                <w:sz w:val="18"/>
              </w:rPr>
              <w:t>tecnológica</w:t>
            </w:r>
            <w:r>
              <w:rPr>
                <w:spacing w:val="-12"/>
                <w:sz w:val="18"/>
              </w:rPr>
              <w:t> </w:t>
            </w:r>
            <w:r>
              <w:rPr>
                <w:sz w:val="18"/>
              </w:rPr>
              <w:t>que no le permita acceso a la información de los</w:t>
            </w:r>
          </w:p>
          <w:p>
            <w:pPr>
              <w:pStyle w:val="TableParagraph"/>
              <w:spacing w:line="206" w:lineRule="exact"/>
              <w:ind w:left="75" w:right="156"/>
              <w:rPr>
                <w:sz w:val="18"/>
              </w:rPr>
            </w:pPr>
            <w:r>
              <w:rPr>
                <w:spacing w:val="-2"/>
                <w:sz w:val="18"/>
              </w:rPr>
              <w:t>sistemas institucionales.</w:t>
            </w:r>
          </w:p>
        </w:tc>
      </w:tr>
    </w:tbl>
    <w:p>
      <w:pPr>
        <w:pStyle w:val="TableParagraph"/>
        <w:spacing w:after="0" w:line="206" w:lineRule="exact"/>
        <w:rPr>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8"/>
        <w:gridCol w:w="1416"/>
        <w:gridCol w:w="1277"/>
        <w:gridCol w:w="1987"/>
        <w:gridCol w:w="1843"/>
        <w:gridCol w:w="1416"/>
        <w:gridCol w:w="1560"/>
        <w:gridCol w:w="2064"/>
      </w:tblGrid>
      <w:tr>
        <w:trPr>
          <w:trHeight w:val="925" w:hRule="atLeast"/>
        </w:trPr>
        <w:tc>
          <w:tcPr>
            <w:tcW w:w="2828" w:type="dxa"/>
            <w:shd w:val="clear" w:color="auto" w:fill="D7D7D7"/>
          </w:tcPr>
          <w:p>
            <w:pPr>
              <w:pStyle w:val="TableParagraph"/>
              <w:spacing w:before="151"/>
              <w:rPr>
                <w:b/>
                <w:sz w:val="18"/>
              </w:rPr>
            </w:pPr>
          </w:p>
          <w:p>
            <w:pPr>
              <w:pStyle w:val="TableParagraph"/>
              <w:spacing w:before="1"/>
              <w:ind w:left="446"/>
              <w:rPr>
                <w:b/>
                <w:sz w:val="18"/>
              </w:rPr>
            </w:pPr>
            <w:r>
              <w:rPr>
                <w:b/>
                <w:sz w:val="18"/>
              </w:rPr>
              <w:t>Objetivos</w:t>
            </w:r>
            <w:r>
              <w:rPr>
                <w:b/>
                <w:spacing w:val="-5"/>
                <w:sz w:val="18"/>
              </w:rPr>
              <w:t> </w:t>
            </w:r>
            <w:r>
              <w:rPr>
                <w:b/>
                <w:sz w:val="18"/>
              </w:rPr>
              <w:t>/</w:t>
            </w:r>
            <w:r>
              <w:rPr>
                <w:b/>
                <w:spacing w:val="-2"/>
                <w:sz w:val="18"/>
              </w:rPr>
              <w:t> Resultados</w:t>
            </w:r>
          </w:p>
        </w:tc>
        <w:tc>
          <w:tcPr>
            <w:tcW w:w="1416" w:type="dxa"/>
            <w:shd w:val="clear" w:color="auto" w:fill="D7D7D7"/>
          </w:tcPr>
          <w:p>
            <w:pPr>
              <w:pStyle w:val="TableParagraph"/>
              <w:spacing w:before="46"/>
              <w:rPr>
                <w:b/>
                <w:sz w:val="18"/>
              </w:rPr>
            </w:pPr>
          </w:p>
          <w:p>
            <w:pPr>
              <w:pStyle w:val="TableParagraph"/>
              <w:ind w:left="451" w:hanging="216"/>
              <w:rPr>
                <w:b/>
                <w:sz w:val="18"/>
              </w:rPr>
            </w:pPr>
            <w:r>
              <w:rPr>
                <w:b/>
                <w:sz w:val="18"/>
              </w:rPr>
              <w:t>Línea</w:t>
            </w:r>
            <w:r>
              <w:rPr>
                <w:b/>
                <w:spacing w:val="-13"/>
                <w:sz w:val="18"/>
              </w:rPr>
              <w:t> </w:t>
            </w:r>
            <w:r>
              <w:rPr>
                <w:b/>
                <w:sz w:val="18"/>
              </w:rPr>
              <w:t>Base </w:t>
            </w:r>
            <w:r>
              <w:rPr>
                <w:b/>
                <w:spacing w:val="-2"/>
                <w:sz w:val="18"/>
              </w:rPr>
              <w:t>(2024)</w:t>
            </w:r>
          </w:p>
        </w:tc>
        <w:tc>
          <w:tcPr>
            <w:tcW w:w="1277" w:type="dxa"/>
            <w:shd w:val="clear" w:color="auto" w:fill="D7D7D7"/>
          </w:tcPr>
          <w:p>
            <w:pPr>
              <w:pStyle w:val="TableParagraph"/>
              <w:spacing w:before="152"/>
              <w:ind w:left="120" w:right="98" w:hanging="10"/>
              <w:jc w:val="center"/>
              <w:rPr>
                <w:b/>
                <w:sz w:val="18"/>
              </w:rPr>
            </w:pPr>
            <w:r>
              <w:rPr>
                <w:b/>
                <w:spacing w:val="-4"/>
                <w:sz w:val="18"/>
              </w:rPr>
              <w:t>Meta </w:t>
            </w:r>
            <w:r>
              <w:rPr>
                <w:b/>
                <w:spacing w:val="-2"/>
                <w:sz w:val="18"/>
              </w:rPr>
              <w:t>programada </w:t>
            </w:r>
            <w:r>
              <w:rPr>
                <w:b/>
                <w:spacing w:val="-4"/>
                <w:sz w:val="18"/>
              </w:rPr>
              <w:t>2026</w:t>
            </w:r>
          </w:p>
        </w:tc>
        <w:tc>
          <w:tcPr>
            <w:tcW w:w="1987" w:type="dxa"/>
            <w:shd w:val="clear" w:color="auto" w:fill="D7D7D7"/>
          </w:tcPr>
          <w:p>
            <w:pPr>
              <w:pStyle w:val="TableParagraph"/>
              <w:spacing w:before="151"/>
              <w:rPr>
                <w:b/>
                <w:sz w:val="18"/>
              </w:rPr>
            </w:pPr>
          </w:p>
          <w:p>
            <w:pPr>
              <w:pStyle w:val="TableParagraph"/>
              <w:spacing w:before="1"/>
              <w:ind w:left="591"/>
              <w:rPr>
                <w:b/>
                <w:sz w:val="18"/>
              </w:rPr>
            </w:pPr>
            <w:r>
              <w:rPr>
                <w:b/>
                <w:spacing w:val="-2"/>
                <w:sz w:val="18"/>
              </w:rPr>
              <w:t>Indicador</w:t>
            </w:r>
          </w:p>
        </w:tc>
        <w:tc>
          <w:tcPr>
            <w:tcW w:w="1843" w:type="dxa"/>
            <w:shd w:val="clear" w:color="auto" w:fill="D7D7D7"/>
          </w:tcPr>
          <w:p>
            <w:pPr>
              <w:pStyle w:val="TableParagraph"/>
              <w:spacing w:before="46"/>
              <w:rPr>
                <w:b/>
                <w:sz w:val="18"/>
              </w:rPr>
            </w:pPr>
          </w:p>
          <w:p>
            <w:pPr>
              <w:pStyle w:val="TableParagraph"/>
              <w:ind w:left="423" w:right="49" w:firstLine="57"/>
              <w:rPr>
                <w:b/>
                <w:sz w:val="18"/>
              </w:rPr>
            </w:pPr>
            <w:r>
              <w:rPr>
                <w:b/>
                <w:sz w:val="18"/>
              </w:rPr>
              <w:t>Medios de </w:t>
            </w:r>
            <w:r>
              <w:rPr>
                <w:b/>
                <w:spacing w:val="-2"/>
                <w:sz w:val="18"/>
              </w:rPr>
              <w:t>verificación</w:t>
            </w:r>
          </w:p>
        </w:tc>
        <w:tc>
          <w:tcPr>
            <w:tcW w:w="1416" w:type="dxa"/>
            <w:shd w:val="clear" w:color="auto" w:fill="D7D7D7"/>
          </w:tcPr>
          <w:p>
            <w:pPr>
              <w:pStyle w:val="TableParagraph"/>
              <w:spacing w:before="151"/>
              <w:rPr>
                <w:b/>
                <w:sz w:val="18"/>
              </w:rPr>
            </w:pPr>
          </w:p>
          <w:p>
            <w:pPr>
              <w:pStyle w:val="TableParagraph"/>
              <w:spacing w:before="1"/>
              <w:ind w:left="150"/>
              <w:rPr>
                <w:b/>
                <w:sz w:val="18"/>
              </w:rPr>
            </w:pPr>
            <w:r>
              <w:rPr>
                <w:b/>
                <w:spacing w:val="-2"/>
                <w:sz w:val="18"/>
              </w:rPr>
              <w:t>Responsable</w:t>
            </w:r>
          </w:p>
        </w:tc>
        <w:tc>
          <w:tcPr>
            <w:tcW w:w="1560" w:type="dxa"/>
            <w:shd w:val="clear" w:color="auto" w:fill="D7D7D7"/>
          </w:tcPr>
          <w:p>
            <w:pPr>
              <w:pStyle w:val="TableParagraph"/>
              <w:spacing w:before="46"/>
              <w:rPr>
                <w:b/>
                <w:sz w:val="18"/>
              </w:rPr>
            </w:pPr>
          </w:p>
          <w:p>
            <w:pPr>
              <w:pStyle w:val="TableParagraph"/>
              <w:ind w:left="386" w:right="58" w:hanging="149"/>
              <w:rPr>
                <w:b/>
                <w:sz w:val="18"/>
              </w:rPr>
            </w:pPr>
            <w:r>
              <w:rPr>
                <w:b/>
                <w:spacing w:val="-2"/>
                <w:sz w:val="18"/>
              </w:rPr>
              <w:t>Presupuesto asignado</w:t>
            </w:r>
          </w:p>
        </w:tc>
        <w:tc>
          <w:tcPr>
            <w:tcW w:w="2064" w:type="dxa"/>
            <w:tcBorders>
              <w:bottom w:val="nil"/>
            </w:tcBorders>
            <w:shd w:val="clear" w:color="auto" w:fill="D7D7D7"/>
          </w:tcPr>
          <w:p>
            <w:pPr>
              <w:pStyle w:val="TableParagraph"/>
              <w:spacing w:before="151"/>
              <w:rPr>
                <w:b/>
                <w:sz w:val="18"/>
              </w:rPr>
            </w:pPr>
          </w:p>
          <w:p>
            <w:pPr>
              <w:pStyle w:val="TableParagraph"/>
              <w:spacing w:before="1"/>
              <w:ind w:left="75"/>
              <w:rPr>
                <w:b/>
                <w:sz w:val="18"/>
              </w:rPr>
            </w:pPr>
            <w:r>
              <w:rPr>
                <w:b/>
                <w:spacing w:val="-2"/>
                <w:sz w:val="18"/>
              </w:rPr>
              <w:t>Riesgos</w:t>
            </w:r>
          </w:p>
        </w:tc>
      </w:tr>
      <w:tr>
        <w:trPr>
          <w:trHeight w:val="1450" w:hRule="atLeast"/>
        </w:trPr>
        <w:tc>
          <w:tcPr>
            <w:tcW w:w="2828" w:type="dxa"/>
          </w:tcPr>
          <w:p>
            <w:pPr>
              <w:pStyle w:val="TableParagraph"/>
              <w:spacing w:before="206"/>
              <w:ind w:left="72" w:right="127"/>
              <w:rPr>
                <w:sz w:val="18"/>
              </w:rPr>
            </w:pPr>
            <w:r>
              <w:rPr>
                <w:b/>
                <w:sz w:val="18"/>
              </w:rPr>
              <w:t>Actividad</w:t>
            </w:r>
            <w:r>
              <w:rPr>
                <w:b/>
                <w:spacing w:val="-13"/>
                <w:sz w:val="18"/>
              </w:rPr>
              <w:t> </w:t>
            </w:r>
            <w:r>
              <w:rPr>
                <w:b/>
                <w:sz w:val="18"/>
              </w:rPr>
              <w:t>PAC</w:t>
            </w:r>
            <w:r>
              <w:rPr>
                <w:b/>
                <w:spacing w:val="-12"/>
                <w:sz w:val="18"/>
              </w:rPr>
              <w:t> </w:t>
            </w:r>
            <w:r>
              <w:rPr>
                <w:b/>
                <w:sz w:val="18"/>
              </w:rPr>
              <w:t>2.31.2:</w:t>
            </w:r>
            <w:r>
              <w:rPr>
                <w:b/>
                <w:spacing w:val="-12"/>
                <w:sz w:val="18"/>
              </w:rPr>
              <w:t> </w:t>
            </w:r>
            <w:r>
              <w:rPr>
                <w:sz w:val="18"/>
              </w:rPr>
              <w:t>Realizar los Estudios Financieros de Precios de los procesos de Contratación Administrativa remitidos por la Proveeduría</w:t>
            </w:r>
          </w:p>
          <w:p>
            <w:pPr>
              <w:pStyle w:val="TableParagraph"/>
              <w:spacing w:line="187" w:lineRule="exact" w:before="2"/>
              <w:ind w:left="72"/>
              <w:rPr>
                <w:sz w:val="18"/>
              </w:rPr>
            </w:pPr>
            <w:r>
              <w:rPr>
                <w:spacing w:val="-2"/>
                <w:sz w:val="18"/>
              </w:rPr>
              <w:t>Institucional.</w:t>
            </w:r>
          </w:p>
        </w:tc>
        <w:tc>
          <w:tcPr>
            <w:tcW w:w="1416" w:type="dxa"/>
          </w:tcPr>
          <w:p>
            <w:pPr>
              <w:pStyle w:val="TableParagraph"/>
              <w:rPr>
                <w:b/>
                <w:sz w:val="18"/>
              </w:rPr>
            </w:pPr>
          </w:p>
          <w:p>
            <w:pPr>
              <w:pStyle w:val="TableParagraph"/>
              <w:spacing w:before="204"/>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spacing w:before="204"/>
              <w:rPr>
                <w:b/>
                <w:sz w:val="18"/>
              </w:rPr>
            </w:pPr>
          </w:p>
          <w:p>
            <w:pPr>
              <w:pStyle w:val="TableParagraph"/>
              <w:ind w:left="21" w:right="8"/>
              <w:jc w:val="center"/>
              <w:rPr>
                <w:sz w:val="18"/>
              </w:rPr>
            </w:pPr>
            <w:r>
              <w:rPr>
                <w:spacing w:val="-4"/>
                <w:sz w:val="18"/>
              </w:rPr>
              <w:t>100%</w:t>
            </w:r>
          </w:p>
        </w:tc>
        <w:tc>
          <w:tcPr>
            <w:tcW w:w="1987" w:type="dxa"/>
          </w:tcPr>
          <w:p>
            <w:pPr>
              <w:pStyle w:val="TableParagraph"/>
              <w:spacing w:before="206"/>
              <w:ind w:left="72" w:right="123"/>
              <w:rPr>
                <w:sz w:val="18"/>
              </w:rPr>
            </w:pPr>
            <w:r>
              <w:rPr>
                <w:color w:val="232323"/>
                <w:sz w:val="18"/>
              </w:rPr>
              <w:t>Porcentaje de Estudios Financieros de</w:t>
            </w:r>
            <w:r>
              <w:rPr>
                <w:color w:val="232323"/>
                <w:spacing w:val="-15"/>
                <w:sz w:val="18"/>
              </w:rPr>
              <w:t> </w:t>
            </w:r>
            <w:r>
              <w:rPr>
                <w:color w:val="232323"/>
                <w:sz w:val="18"/>
              </w:rPr>
              <w:t>Precios</w:t>
            </w:r>
            <w:r>
              <w:rPr>
                <w:color w:val="232323"/>
                <w:spacing w:val="-12"/>
                <w:sz w:val="18"/>
              </w:rPr>
              <w:t> </w:t>
            </w:r>
            <w:r>
              <w:rPr>
                <w:color w:val="232323"/>
                <w:sz w:val="18"/>
              </w:rPr>
              <w:t>realizados, en los plazos </w:t>
            </w:r>
            <w:r>
              <w:rPr>
                <w:color w:val="232323"/>
                <w:spacing w:val="-2"/>
                <w:sz w:val="18"/>
              </w:rPr>
              <w:t>establecidos.</w:t>
            </w:r>
          </w:p>
        </w:tc>
        <w:tc>
          <w:tcPr>
            <w:tcW w:w="1843" w:type="dxa"/>
          </w:tcPr>
          <w:p>
            <w:pPr>
              <w:pStyle w:val="TableParagraph"/>
              <w:spacing w:before="205"/>
              <w:rPr>
                <w:b/>
                <w:sz w:val="18"/>
              </w:rPr>
            </w:pPr>
          </w:p>
          <w:p>
            <w:pPr>
              <w:pStyle w:val="TableParagraph"/>
              <w:ind w:left="73" w:right="82"/>
              <w:jc w:val="both"/>
              <w:rPr>
                <w:sz w:val="18"/>
              </w:rPr>
            </w:pPr>
            <w:r>
              <w:rPr>
                <w:sz w:val="18"/>
              </w:rPr>
              <w:t>Estudios</w:t>
            </w:r>
            <w:r>
              <w:rPr>
                <w:spacing w:val="-13"/>
                <w:sz w:val="18"/>
              </w:rPr>
              <w:t> </w:t>
            </w:r>
            <w:r>
              <w:rPr>
                <w:sz w:val="18"/>
              </w:rPr>
              <w:t>Financieros de</w:t>
            </w:r>
            <w:r>
              <w:rPr>
                <w:spacing w:val="-2"/>
                <w:sz w:val="18"/>
              </w:rPr>
              <w:t> </w:t>
            </w:r>
            <w:r>
              <w:rPr>
                <w:sz w:val="18"/>
              </w:rPr>
              <w:t>precios</w:t>
            </w:r>
            <w:r>
              <w:rPr>
                <w:spacing w:val="-6"/>
                <w:sz w:val="18"/>
              </w:rPr>
              <w:t> </w:t>
            </w:r>
            <w:r>
              <w:rPr>
                <w:sz w:val="18"/>
              </w:rPr>
              <w:t>según</w:t>
            </w:r>
            <w:r>
              <w:rPr>
                <w:spacing w:val="-6"/>
                <w:sz w:val="18"/>
              </w:rPr>
              <w:t> </w:t>
            </w:r>
            <w:r>
              <w:rPr>
                <w:sz w:val="18"/>
              </w:rPr>
              <w:t>las </w:t>
            </w:r>
            <w:r>
              <w:rPr>
                <w:spacing w:val="-2"/>
                <w:sz w:val="18"/>
              </w:rPr>
              <w:t>solicitudes.</w:t>
            </w:r>
          </w:p>
        </w:tc>
        <w:tc>
          <w:tcPr>
            <w:tcW w:w="1416" w:type="dxa"/>
          </w:tcPr>
          <w:p>
            <w:pPr>
              <w:pStyle w:val="TableParagraph"/>
              <w:rPr>
                <w:b/>
                <w:sz w:val="18"/>
              </w:rPr>
            </w:pPr>
          </w:p>
          <w:p>
            <w:pPr>
              <w:pStyle w:val="TableParagraph"/>
              <w:spacing w:before="204"/>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val="restart"/>
            <w:tcBorders>
              <w:top w:val="nil"/>
            </w:tcBorders>
          </w:tcPr>
          <w:p>
            <w:pPr>
              <w:pStyle w:val="TableParagraph"/>
              <w:numPr>
                <w:ilvl w:val="0"/>
                <w:numId w:val="103"/>
              </w:numPr>
              <w:tabs>
                <w:tab w:pos="289" w:val="left" w:leader="none"/>
              </w:tabs>
              <w:spacing w:line="240" w:lineRule="auto" w:before="0" w:after="0"/>
              <w:ind w:left="75" w:right="61" w:firstLine="0"/>
              <w:jc w:val="left"/>
              <w:rPr>
                <w:sz w:val="18"/>
              </w:rPr>
            </w:pPr>
            <w:r>
              <w:rPr>
                <w:sz w:val="18"/>
              </w:rPr>
              <w:t>Estudios</w:t>
            </w:r>
            <w:r>
              <w:rPr>
                <w:spacing w:val="-9"/>
                <w:sz w:val="18"/>
              </w:rPr>
              <w:t> </w:t>
            </w:r>
            <w:r>
              <w:rPr>
                <w:sz w:val="18"/>
              </w:rPr>
              <w:t>Financieros de precios de los procesos de Contratación</w:t>
            </w:r>
            <w:r>
              <w:rPr>
                <w:spacing w:val="-15"/>
                <w:sz w:val="18"/>
              </w:rPr>
              <w:t> </w:t>
            </w:r>
            <w:r>
              <w:rPr>
                <w:sz w:val="18"/>
              </w:rPr>
              <w:t>Pública</w:t>
            </w:r>
            <w:r>
              <w:rPr>
                <w:spacing w:val="-12"/>
                <w:sz w:val="18"/>
              </w:rPr>
              <w:t> </w:t>
            </w:r>
            <w:r>
              <w:rPr>
                <w:sz w:val="18"/>
              </w:rPr>
              <w:t>no se cumplen en el plazo </w:t>
            </w:r>
            <w:r>
              <w:rPr>
                <w:spacing w:val="-2"/>
                <w:sz w:val="18"/>
              </w:rPr>
              <w:t>solicitado.</w:t>
            </w:r>
          </w:p>
          <w:p>
            <w:pPr>
              <w:pStyle w:val="TableParagraph"/>
              <w:numPr>
                <w:ilvl w:val="0"/>
                <w:numId w:val="103"/>
              </w:numPr>
              <w:tabs>
                <w:tab w:pos="289" w:val="left" w:leader="none"/>
              </w:tabs>
              <w:spacing w:line="240" w:lineRule="auto" w:before="1" w:after="0"/>
              <w:ind w:left="75" w:right="102" w:firstLine="0"/>
              <w:jc w:val="left"/>
              <w:rPr>
                <w:sz w:val="18"/>
              </w:rPr>
            </w:pPr>
            <w:r>
              <w:rPr>
                <w:sz w:val="18"/>
              </w:rPr>
              <w:t>No</w:t>
            </w:r>
            <w:r>
              <w:rPr>
                <w:spacing w:val="-13"/>
                <w:sz w:val="18"/>
              </w:rPr>
              <w:t> </w:t>
            </w:r>
            <w:r>
              <w:rPr>
                <w:sz w:val="18"/>
              </w:rPr>
              <w:t>se</w:t>
            </w:r>
            <w:r>
              <w:rPr>
                <w:spacing w:val="-12"/>
                <w:sz w:val="18"/>
              </w:rPr>
              <w:t> </w:t>
            </w:r>
            <w:r>
              <w:rPr>
                <w:sz w:val="18"/>
              </w:rPr>
              <w:t>pueda</w:t>
            </w:r>
            <w:r>
              <w:rPr>
                <w:spacing w:val="-13"/>
                <w:sz w:val="18"/>
              </w:rPr>
              <w:t> </w:t>
            </w:r>
            <w:r>
              <w:rPr>
                <w:sz w:val="18"/>
              </w:rPr>
              <w:t>realizar la actividad para fomentar los valores y la ética institucional</w:t>
            </w:r>
          </w:p>
          <w:p>
            <w:pPr>
              <w:pStyle w:val="TableParagraph"/>
              <w:numPr>
                <w:ilvl w:val="0"/>
                <w:numId w:val="103"/>
              </w:numPr>
              <w:tabs>
                <w:tab w:pos="289" w:val="left" w:leader="none"/>
              </w:tabs>
              <w:spacing w:line="240" w:lineRule="auto" w:before="0" w:after="0"/>
              <w:ind w:left="75" w:right="304" w:firstLine="0"/>
              <w:jc w:val="left"/>
              <w:rPr>
                <w:sz w:val="18"/>
              </w:rPr>
            </w:pPr>
            <w:r>
              <w:rPr>
                <w:sz w:val="18"/>
              </w:rPr>
              <w:t>No contar con el ingreso de transferencias de efectivo externas suficiente</w:t>
            </w:r>
            <w:r>
              <w:rPr>
                <w:spacing w:val="-15"/>
                <w:sz w:val="18"/>
              </w:rPr>
              <w:t> </w:t>
            </w:r>
            <w:r>
              <w:rPr>
                <w:sz w:val="18"/>
              </w:rPr>
              <w:t>para</w:t>
            </w:r>
            <w:r>
              <w:rPr>
                <w:spacing w:val="-12"/>
                <w:sz w:val="18"/>
              </w:rPr>
              <w:t> </w:t>
            </w:r>
            <w:r>
              <w:rPr>
                <w:sz w:val="18"/>
              </w:rPr>
              <w:t>hacer frente a los compromisos de inversión social y </w:t>
            </w:r>
            <w:r>
              <w:rPr>
                <w:spacing w:val="-2"/>
                <w:sz w:val="18"/>
              </w:rPr>
              <w:t>administrativo.</w:t>
            </w:r>
          </w:p>
          <w:p>
            <w:pPr>
              <w:pStyle w:val="TableParagraph"/>
              <w:numPr>
                <w:ilvl w:val="0"/>
                <w:numId w:val="103"/>
              </w:numPr>
              <w:tabs>
                <w:tab w:pos="289" w:val="left" w:leader="none"/>
              </w:tabs>
              <w:spacing w:line="240" w:lineRule="auto" w:before="0" w:after="0"/>
              <w:ind w:left="75" w:right="172" w:firstLine="0"/>
              <w:jc w:val="left"/>
              <w:rPr>
                <w:sz w:val="18"/>
              </w:rPr>
            </w:pPr>
            <w:r>
              <w:rPr>
                <w:sz w:val="18"/>
              </w:rPr>
              <w:t>Recursos recibidos insuficientes para la transferencia</w:t>
            </w:r>
            <w:r>
              <w:rPr>
                <w:spacing w:val="-13"/>
                <w:sz w:val="18"/>
              </w:rPr>
              <w:t> </w:t>
            </w:r>
            <w:r>
              <w:rPr>
                <w:sz w:val="18"/>
              </w:rPr>
              <w:t>oportuna a las ARDS para el depósito de los beneficios sociales.</w:t>
            </w:r>
          </w:p>
          <w:p>
            <w:pPr>
              <w:pStyle w:val="TableParagraph"/>
              <w:numPr>
                <w:ilvl w:val="0"/>
                <w:numId w:val="103"/>
              </w:numPr>
              <w:tabs>
                <w:tab w:pos="285" w:val="left" w:leader="none"/>
              </w:tabs>
              <w:spacing w:line="240" w:lineRule="auto" w:before="0" w:after="0"/>
              <w:ind w:left="75" w:right="89" w:firstLine="0"/>
              <w:jc w:val="left"/>
              <w:rPr>
                <w:sz w:val="18"/>
              </w:rPr>
            </w:pPr>
            <w:r>
              <w:rPr>
                <w:sz w:val="18"/>
              </w:rPr>
              <w:t>Incumplimiento de los</w:t>
            </w:r>
            <w:r>
              <w:rPr>
                <w:spacing w:val="-15"/>
                <w:sz w:val="18"/>
              </w:rPr>
              <w:t> </w:t>
            </w:r>
            <w:r>
              <w:rPr>
                <w:sz w:val="18"/>
              </w:rPr>
              <w:t>pagos</w:t>
            </w:r>
            <w:r>
              <w:rPr>
                <w:spacing w:val="-12"/>
                <w:sz w:val="18"/>
              </w:rPr>
              <w:t> </w:t>
            </w:r>
            <w:r>
              <w:rPr>
                <w:sz w:val="18"/>
              </w:rPr>
              <w:t>programados administrativos y operativos (planillas-PAR entre otros).</w:t>
            </w:r>
          </w:p>
          <w:p>
            <w:pPr>
              <w:pStyle w:val="TableParagraph"/>
              <w:numPr>
                <w:ilvl w:val="0"/>
                <w:numId w:val="103"/>
              </w:numPr>
              <w:tabs>
                <w:tab w:pos="289" w:val="left" w:leader="none"/>
              </w:tabs>
              <w:spacing w:line="240" w:lineRule="auto" w:before="2" w:after="0"/>
              <w:ind w:left="75" w:right="240" w:firstLine="0"/>
              <w:jc w:val="left"/>
              <w:rPr>
                <w:sz w:val="18"/>
              </w:rPr>
            </w:pPr>
            <w:r>
              <w:rPr>
                <w:sz w:val="18"/>
              </w:rPr>
              <w:t>Posibles</w:t>
            </w:r>
            <w:r>
              <w:rPr>
                <w:spacing w:val="-13"/>
                <w:sz w:val="18"/>
              </w:rPr>
              <w:t> </w:t>
            </w:r>
            <w:r>
              <w:rPr>
                <w:sz w:val="18"/>
              </w:rPr>
              <w:t>aumentos en</w:t>
            </w:r>
            <w:r>
              <w:rPr>
                <w:spacing w:val="-2"/>
                <w:sz w:val="18"/>
              </w:rPr>
              <w:t> </w:t>
            </w:r>
            <w:r>
              <w:rPr>
                <w:sz w:val="18"/>
              </w:rPr>
              <w:t>los</w:t>
            </w:r>
            <w:r>
              <w:rPr>
                <w:spacing w:val="-6"/>
                <w:sz w:val="18"/>
              </w:rPr>
              <w:t> </w:t>
            </w:r>
            <w:r>
              <w:rPr>
                <w:sz w:val="18"/>
              </w:rPr>
              <w:t>de</w:t>
            </w:r>
            <w:r>
              <w:rPr>
                <w:spacing w:val="-6"/>
                <w:sz w:val="18"/>
              </w:rPr>
              <w:t> </w:t>
            </w:r>
            <w:r>
              <w:rPr>
                <w:sz w:val="18"/>
              </w:rPr>
              <w:t>elaboración de documentos </w:t>
            </w:r>
            <w:r>
              <w:rPr>
                <w:spacing w:val="-2"/>
                <w:sz w:val="18"/>
              </w:rPr>
              <w:t>presupuestarios ((Modificaciones </w:t>
            </w:r>
            <w:r>
              <w:rPr>
                <w:sz w:val="18"/>
              </w:rPr>
              <w:t>específicas y </w:t>
            </w:r>
            <w:r>
              <w:rPr>
                <w:spacing w:val="-2"/>
                <w:sz w:val="18"/>
              </w:rPr>
              <w:t>generales)</w:t>
            </w:r>
          </w:p>
          <w:p>
            <w:pPr>
              <w:pStyle w:val="TableParagraph"/>
              <w:numPr>
                <w:ilvl w:val="0"/>
                <w:numId w:val="103"/>
              </w:numPr>
              <w:tabs>
                <w:tab w:pos="289" w:val="left" w:leader="none"/>
              </w:tabs>
              <w:spacing w:line="203" w:lineRule="exact" w:before="0" w:after="0"/>
              <w:ind w:left="289" w:right="0" w:hanging="214"/>
              <w:jc w:val="left"/>
              <w:rPr>
                <w:sz w:val="18"/>
              </w:rPr>
            </w:pPr>
            <w:r>
              <w:rPr>
                <w:sz w:val="18"/>
              </w:rPr>
              <w:t>Dirección</w:t>
            </w:r>
            <w:r>
              <w:rPr>
                <w:spacing w:val="-13"/>
                <w:sz w:val="18"/>
              </w:rPr>
              <w:t> </w:t>
            </w:r>
            <w:r>
              <w:rPr>
                <w:spacing w:val="-2"/>
                <w:sz w:val="18"/>
              </w:rPr>
              <w:t>superior</w:t>
            </w:r>
          </w:p>
        </w:tc>
      </w:tr>
      <w:tr>
        <w:trPr>
          <w:trHeight w:val="1449" w:hRule="atLeast"/>
        </w:trPr>
        <w:tc>
          <w:tcPr>
            <w:tcW w:w="2828" w:type="dxa"/>
          </w:tcPr>
          <w:p>
            <w:pPr>
              <w:pStyle w:val="TableParagraph"/>
              <w:spacing w:before="205"/>
              <w:ind w:left="72" w:right="95"/>
              <w:rPr>
                <w:sz w:val="18"/>
              </w:rPr>
            </w:pPr>
            <w:r>
              <w:rPr>
                <w:b/>
                <w:sz w:val="18"/>
              </w:rPr>
              <w:t>Actividad PAC 2.31.3:</w:t>
            </w:r>
            <w:r>
              <w:rPr>
                <w:b/>
                <w:spacing w:val="40"/>
                <w:sz w:val="18"/>
              </w:rPr>
              <w:t> </w:t>
            </w:r>
            <w:r>
              <w:rPr>
                <w:sz w:val="18"/>
              </w:rPr>
              <w:t>Gestionar oportunamente el ingreso de los recursos financieros a las cuentas bancarias</w:t>
            </w:r>
            <w:r>
              <w:rPr>
                <w:spacing w:val="-10"/>
                <w:sz w:val="18"/>
              </w:rPr>
              <w:t> </w:t>
            </w:r>
            <w:r>
              <w:rPr>
                <w:sz w:val="18"/>
              </w:rPr>
              <w:t>de</w:t>
            </w:r>
            <w:r>
              <w:rPr>
                <w:spacing w:val="-10"/>
                <w:sz w:val="18"/>
              </w:rPr>
              <w:t> </w:t>
            </w:r>
            <w:r>
              <w:rPr>
                <w:sz w:val="18"/>
              </w:rPr>
              <w:t>la</w:t>
            </w:r>
            <w:r>
              <w:rPr>
                <w:spacing w:val="-7"/>
                <w:sz w:val="18"/>
              </w:rPr>
              <w:t> </w:t>
            </w:r>
            <w:r>
              <w:rPr>
                <w:sz w:val="18"/>
              </w:rPr>
              <w:t>institución,</w:t>
            </w:r>
            <w:r>
              <w:rPr>
                <w:spacing w:val="-9"/>
                <w:sz w:val="18"/>
              </w:rPr>
              <w:t> </w:t>
            </w:r>
            <w:r>
              <w:rPr>
                <w:sz w:val="18"/>
              </w:rPr>
              <w:t>según</w:t>
            </w:r>
          </w:p>
          <w:p>
            <w:pPr>
              <w:pStyle w:val="TableParagraph"/>
              <w:spacing w:line="187" w:lineRule="exact" w:before="3"/>
              <w:ind w:left="72"/>
              <w:rPr>
                <w:sz w:val="18"/>
              </w:rPr>
            </w:pPr>
            <w:r>
              <w:rPr>
                <w:sz w:val="18"/>
              </w:rPr>
              <w:t>fuentes</w:t>
            </w:r>
            <w:r>
              <w:rPr>
                <w:spacing w:val="-4"/>
                <w:sz w:val="18"/>
              </w:rPr>
              <w:t> </w:t>
            </w:r>
            <w:r>
              <w:rPr>
                <w:sz w:val="18"/>
              </w:rPr>
              <w:t>de</w:t>
            </w:r>
            <w:r>
              <w:rPr>
                <w:spacing w:val="-3"/>
                <w:sz w:val="18"/>
              </w:rPr>
              <w:t> </w:t>
            </w:r>
            <w:r>
              <w:rPr>
                <w:spacing w:val="-2"/>
                <w:sz w:val="18"/>
              </w:rPr>
              <w:t>financiamiento</w:t>
            </w:r>
          </w:p>
        </w:tc>
        <w:tc>
          <w:tcPr>
            <w:tcW w:w="1416" w:type="dxa"/>
          </w:tcPr>
          <w:p>
            <w:pPr>
              <w:pStyle w:val="TableParagraph"/>
              <w:rPr>
                <w:b/>
                <w:sz w:val="18"/>
              </w:rPr>
            </w:pPr>
          </w:p>
          <w:p>
            <w:pPr>
              <w:pStyle w:val="TableParagraph"/>
              <w:spacing w:before="204"/>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spacing w:before="204"/>
              <w:rPr>
                <w:b/>
                <w:sz w:val="18"/>
              </w:rPr>
            </w:pPr>
          </w:p>
          <w:p>
            <w:pPr>
              <w:pStyle w:val="TableParagraph"/>
              <w:ind w:left="21" w:right="8"/>
              <w:jc w:val="center"/>
              <w:rPr>
                <w:sz w:val="18"/>
              </w:rPr>
            </w:pPr>
            <w:r>
              <w:rPr>
                <w:spacing w:val="-4"/>
                <w:sz w:val="18"/>
              </w:rPr>
              <w:t>100%</w:t>
            </w:r>
          </w:p>
        </w:tc>
        <w:tc>
          <w:tcPr>
            <w:tcW w:w="1987" w:type="dxa"/>
          </w:tcPr>
          <w:p>
            <w:pPr>
              <w:pStyle w:val="TableParagraph"/>
              <w:spacing w:before="204"/>
              <w:rPr>
                <w:b/>
                <w:sz w:val="18"/>
              </w:rPr>
            </w:pPr>
          </w:p>
          <w:p>
            <w:pPr>
              <w:pStyle w:val="TableParagraph"/>
              <w:ind w:left="72" w:right="70"/>
              <w:rPr>
                <w:sz w:val="18"/>
              </w:rPr>
            </w:pPr>
            <w:r>
              <w:rPr>
                <w:sz w:val="18"/>
              </w:rPr>
              <w:t>Porcentaje efectivo que ingresa a la institución,</w:t>
            </w:r>
            <w:r>
              <w:rPr>
                <w:spacing w:val="-13"/>
                <w:sz w:val="18"/>
              </w:rPr>
              <w:t> </w:t>
            </w:r>
            <w:r>
              <w:rPr>
                <w:sz w:val="18"/>
              </w:rPr>
              <w:t>gestionado.</w:t>
            </w:r>
          </w:p>
        </w:tc>
        <w:tc>
          <w:tcPr>
            <w:tcW w:w="1843" w:type="dxa"/>
          </w:tcPr>
          <w:p>
            <w:pPr>
              <w:pStyle w:val="TableParagraph"/>
              <w:ind w:left="73" w:right="111"/>
              <w:rPr>
                <w:sz w:val="18"/>
              </w:rPr>
            </w:pPr>
            <w:r>
              <w:rPr>
                <w:sz w:val="18"/>
              </w:rPr>
              <w:t>Documentos o trámites</w:t>
            </w:r>
            <w:r>
              <w:rPr>
                <w:spacing w:val="-15"/>
                <w:sz w:val="18"/>
              </w:rPr>
              <w:t> </w:t>
            </w:r>
            <w:r>
              <w:rPr>
                <w:sz w:val="18"/>
              </w:rPr>
              <w:t>que</w:t>
            </w:r>
            <w:r>
              <w:rPr>
                <w:spacing w:val="-12"/>
                <w:sz w:val="18"/>
              </w:rPr>
              <w:t> </w:t>
            </w:r>
            <w:r>
              <w:rPr>
                <w:sz w:val="18"/>
              </w:rPr>
              <w:t>reflejen los ingresos de los recursos</w:t>
            </w:r>
            <w:r>
              <w:rPr>
                <w:spacing w:val="-12"/>
                <w:sz w:val="18"/>
              </w:rPr>
              <w:t> </w:t>
            </w:r>
            <w:r>
              <w:rPr>
                <w:sz w:val="18"/>
              </w:rPr>
              <w:t>financieros a las cuentas bancarias de la</w:t>
            </w:r>
          </w:p>
          <w:p>
            <w:pPr>
              <w:pStyle w:val="TableParagraph"/>
              <w:spacing w:line="187" w:lineRule="exact" w:before="1"/>
              <w:ind w:left="73"/>
              <w:rPr>
                <w:sz w:val="18"/>
              </w:rPr>
            </w:pPr>
            <w:r>
              <w:rPr>
                <w:spacing w:val="-2"/>
                <w:sz w:val="18"/>
              </w:rPr>
              <w:t>institución.</w:t>
            </w:r>
          </w:p>
        </w:tc>
        <w:tc>
          <w:tcPr>
            <w:tcW w:w="1416" w:type="dxa"/>
          </w:tcPr>
          <w:p>
            <w:pPr>
              <w:pStyle w:val="TableParagraph"/>
              <w:rPr>
                <w:b/>
                <w:sz w:val="18"/>
              </w:rPr>
            </w:pPr>
          </w:p>
          <w:p>
            <w:pPr>
              <w:pStyle w:val="TableParagraph"/>
              <w:spacing w:before="204"/>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tcBorders>
          </w:tcPr>
          <w:p>
            <w:pPr>
              <w:rPr>
                <w:sz w:val="2"/>
                <w:szCs w:val="2"/>
              </w:rPr>
            </w:pPr>
          </w:p>
        </w:tc>
      </w:tr>
      <w:tr>
        <w:trPr>
          <w:trHeight w:val="1655" w:hRule="atLeast"/>
        </w:trPr>
        <w:tc>
          <w:tcPr>
            <w:tcW w:w="2828"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72" w:right="127"/>
              <w:rPr>
                <w:sz w:val="18"/>
              </w:rPr>
            </w:pPr>
            <w:r>
              <w:rPr>
                <w:b/>
                <w:sz w:val="18"/>
              </w:rPr>
              <w:t>Actividad PAC 2.31.4: </w:t>
            </w:r>
            <w:r>
              <w:rPr>
                <w:sz w:val="18"/>
              </w:rPr>
              <w:t>Administrar</w:t>
            </w:r>
            <w:r>
              <w:rPr>
                <w:spacing w:val="-7"/>
                <w:sz w:val="18"/>
              </w:rPr>
              <w:t> </w:t>
            </w:r>
            <w:r>
              <w:rPr>
                <w:sz w:val="18"/>
              </w:rPr>
              <w:t>el</w:t>
            </w:r>
            <w:r>
              <w:rPr>
                <w:spacing w:val="-11"/>
                <w:sz w:val="18"/>
              </w:rPr>
              <w:t> </w:t>
            </w:r>
            <w:r>
              <w:rPr>
                <w:sz w:val="18"/>
              </w:rPr>
              <w:t>efectivo</w:t>
            </w:r>
            <w:r>
              <w:rPr>
                <w:spacing w:val="-9"/>
                <w:sz w:val="18"/>
              </w:rPr>
              <w:t> </w:t>
            </w:r>
            <w:r>
              <w:rPr>
                <w:sz w:val="18"/>
              </w:rPr>
              <w:t>para</w:t>
            </w:r>
            <w:r>
              <w:rPr>
                <w:spacing w:val="-6"/>
                <w:sz w:val="18"/>
              </w:rPr>
              <w:t> </w:t>
            </w:r>
            <w:r>
              <w:rPr>
                <w:sz w:val="18"/>
              </w:rPr>
              <w:t>el giro oportuno de los recursos destinados a atender los compromisos sociales.</w:t>
            </w:r>
          </w:p>
        </w:tc>
        <w:tc>
          <w:tcPr>
            <w:tcW w:w="141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8" w:right="3"/>
              <w:jc w:val="center"/>
              <w:rPr>
                <w:sz w:val="18"/>
              </w:rPr>
            </w:pPr>
            <w:r>
              <w:rPr>
                <w:spacing w:val="-5"/>
                <w:sz w:val="18"/>
              </w:rPr>
              <w:t>48</w:t>
            </w:r>
          </w:p>
        </w:tc>
        <w:tc>
          <w:tcPr>
            <w:tcW w:w="127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8" w:right="8"/>
              <w:jc w:val="center"/>
              <w:rPr>
                <w:sz w:val="18"/>
              </w:rPr>
            </w:pPr>
            <w:r>
              <w:rPr>
                <w:spacing w:val="-5"/>
                <w:sz w:val="18"/>
              </w:rPr>
              <w:t>48</w:t>
            </w:r>
          </w:p>
        </w:tc>
        <w:tc>
          <w:tcPr>
            <w:tcW w:w="1987" w:type="dxa"/>
          </w:tcPr>
          <w:p>
            <w:pPr>
              <w:pStyle w:val="TableParagraph"/>
              <w:spacing w:before="204"/>
              <w:rPr>
                <w:b/>
                <w:sz w:val="18"/>
              </w:rPr>
            </w:pPr>
          </w:p>
          <w:p>
            <w:pPr>
              <w:pStyle w:val="TableParagraph"/>
              <w:ind w:left="72"/>
              <w:rPr>
                <w:sz w:val="18"/>
              </w:rPr>
            </w:pPr>
            <w:r>
              <w:rPr>
                <w:sz w:val="18"/>
              </w:rPr>
              <w:t>Cantidad</w:t>
            </w:r>
            <w:r>
              <w:rPr>
                <w:spacing w:val="-15"/>
                <w:sz w:val="18"/>
              </w:rPr>
              <w:t> </w:t>
            </w:r>
            <w:r>
              <w:rPr>
                <w:sz w:val="18"/>
              </w:rPr>
              <w:t>de</w:t>
            </w:r>
            <w:r>
              <w:rPr>
                <w:spacing w:val="-12"/>
                <w:sz w:val="18"/>
              </w:rPr>
              <w:t> </w:t>
            </w:r>
            <w:r>
              <w:rPr>
                <w:sz w:val="18"/>
              </w:rPr>
              <w:t>análisis semanales de disponibilidad de </w:t>
            </w:r>
            <w:r>
              <w:rPr>
                <w:spacing w:val="-2"/>
                <w:sz w:val="18"/>
              </w:rPr>
              <w:t>efectivo</w:t>
            </w:r>
          </w:p>
        </w:tc>
        <w:tc>
          <w:tcPr>
            <w:tcW w:w="1843" w:type="dxa"/>
          </w:tcPr>
          <w:p>
            <w:pPr>
              <w:pStyle w:val="TableParagraph"/>
              <w:ind w:left="73" w:right="111"/>
              <w:rPr>
                <w:sz w:val="18"/>
              </w:rPr>
            </w:pPr>
            <w:r>
              <w:rPr>
                <w:sz w:val="18"/>
              </w:rPr>
              <w:t>Documentos o trámites</w:t>
            </w:r>
            <w:r>
              <w:rPr>
                <w:spacing w:val="-15"/>
                <w:sz w:val="18"/>
              </w:rPr>
              <w:t> </w:t>
            </w:r>
            <w:r>
              <w:rPr>
                <w:sz w:val="18"/>
              </w:rPr>
              <w:t>que</w:t>
            </w:r>
            <w:r>
              <w:rPr>
                <w:spacing w:val="-12"/>
                <w:sz w:val="18"/>
              </w:rPr>
              <w:t> </w:t>
            </w:r>
            <w:r>
              <w:rPr>
                <w:sz w:val="18"/>
              </w:rPr>
              <w:t>reflejen la</w:t>
            </w:r>
            <w:r>
              <w:rPr>
                <w:spacing w:val="-15"/>
                <w:sz w:val="18"/>
              </w:rPr>
              <w:t> </w:t>
            </w:r>
            <w:r>
              <w:rPr>
                <w:sz w:val="18"/>
              </w:rPr>
              <w:t>administración</w:t>
            </w:r>
            <w:r>
              <w:rPr>
                <w:spacing w:val="-12"/>
                <w:sz w:val="18"/>
              </w:rPr>
              <w:t> </w:t>
            </w:r>
            <w:r>
              <w:rPr>
                <w:sz w:val="18"/>
              </w:rPr>
              <w:t>del efectivo para el giro oportuno de los recursos</w:t>
            </w:r>
            <w:r>
              <w:rPr>
                <w:spacing w:val="-6"/>
                <w:sz w:val="18"/>
              </w:rPr>
              <w:t> </w:t>
            </w:r>
            <w:r>
              <w:rPr>
                <w:sz w:val="18"/>
              </w:rPr>
              <w:t>destinados a atender los</w:t>
            </w:r>
          </w:p>
          <w:p>
            <w:pPr>
              <w:pStyle w:val="TableParagraph"/>
              <w:spacing w:line="187" w:lineRule="exact"/>
              <w:ind w:left="73"/>
              <w:rPr>
                <w:sz w:val="18"/>
              </w:rPr>
            </w:pPr>
            <w:r>
              <w:rPr>
                <w:spacing w:val="-2"/>
                <w:sz w:val="18"/>
              </w:rPr>
              <w:t>compromisos.</w:t>
            </w:r>
          </w:p>
        </w:tc>
        <w:tc>
          <w:tcPr>
            <w:tcW w:w="141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tcBorders>
          </w:tcPr>
          <w:p>
            <w:pPr>
              <w:rPr>
                <w:sz w:val="2"/>
                <w:szCs w:val="2"/>
              </w:rPr>
            </w:pPr>
          </w:p>
        </w:tc>
      </w:tr>
      <w:tr>
        <w:trPr>
          <w:trHeight w:val="1862" w:hRule="atLeast"/>
        </w:trPr>
        <w:tc>
          <w:tcPr>
            <w:tcW w:w="2828" w:type="dxa"/>
            <w:vMerge/>
            <w:tcBorders>
              <w:top w:val="nil"/>
            </w:tcBorders>
          </w:tcPr>
          <w:p>
            <w:pPr>
              <w:rPr>
                <w:sz w:val="2"/>
                <w:szCs w:val="2"/>
              </w:rPr>
            </w:pPr>
          </w:p>
        </w:tc>
        <w:tc>
          <w:tcPr>
            <w:tcW w:w="1416"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1" w:right="8"/>
              <w:jc w:val="center"/>
              <w:rPr>
                <w:sz w:val="18"/>
              </w:rPr>
            </w:pPr>
            <w:r>
              <w:rPr>
                <w:spacing w:val="-4"/>
                <w:sz w:val="18"/>
              </w:rPr>
              <w:t>100%</w:t>
            </w:r>
          </w:p>
        </w:tc>
        <w:tc>
          <w:tcPr>
            <w:tcW w:w="1987" w:type="dxa"/>
          </w:tcPr>
          <w:p>
            <w:pPr>
              <w:pStyle w:val="TableParagraph"/>
              <w:ind w:left="72" w:right="53"/>
              <w:rPr>
                <w:sz w:val="18"/>
              </w:rPr>
            </w:pPr>
            <w:r>
              <w:rPr>
                <w:sz w:val="18"/>
              </w:rPr>
              <w:t>Porcentaje de requerimientos de efectivo por parte de las ARDS a través de SABEN con </w:t>
            </w:r>
            <w:r>
              <w:rPr>
                <w:spacing w:val="-2"/>
                <w:sz w:val="18"/>
              </w:rPr>
              <w:t>transferencias </w:t>
            </w:r>
            <w:r>
              <w:rPr>
                <w:sz w:val="18"/>
              </w:rPr>
              <w:t>realizadas</w:t>
            </w:r>
            <w:r>
              <w:rPr>
                <w:spacing w:val="-12"/>
                <w:sz w:val="18"/>
              </w:rPr>
              <w:t> </w:t>
            </w:r>
            <w:r>
              <w:rPr>
                <w:sz w:val="18"/>
              </w:rPr>
              <w:t>por</w:t>
            </w:r>
            <w:r>
              <w:rPr>
                <w:spacing w:val="-10"/>
                <w:sz w:val="18"/>
              </w:rPr>
              <w:t> </w:t>
            </w:r>
            <w:r>
              <w:rPr>
                <w:sz w:val="18"/>
              </w:rPr>
              <w:t>parte</w:t>
            </w:r>
            <w:r>
              <w:rPr>
                <w:spacing w:val="-9"/>
                <w:sz w:val="18"/>
              </w:rPr>
              <w:t> </w:t>
            </w:r>
            <w:r>
              <w:rPr>
                <w:sz w:val="18"/>
              </w:rPr>
              <w:t>de</w:t>
            </w:r>
          </w:p>
          <w:p>
            <w:pPr>
              <w:pStyle w:val="TableParagraph"/>
              <w:spacing w:line="206" w:lineRule="exact"/>
              <w:ind w:left="72" w:right="787"/>
              <w:rPr>
                <w:sz w:val="18"/>
              </w:rPr>
            </w:pPr>
            <w:r>
              <w:rPr>
                <w:sz w:val="18"/>
              </w:rPr>
              <w:t>la</w:t>
            </w:r>
            <w:r>
              <w:rPr>
                <w:spacing w:val="-15"/>
                <w:sz w:val="18"/>
              </w:rPr>
              <w:t> </w:t>
            </w:r>
            <w:r>
              <w:rPr>
                <w:sz w:val="18"/>
              </w:rPr>
              <w:t>Unidad</w:t>
            </w:r>
            <w:r>
              <w:rPr>
                <w:spacing w:val="-12"/>
                <w:sz w:val="18"/>
              </w:rPr>
              <w:t> </w:t>
            </w:r>
            <w:r>
              <w:rPr>
                <w:sz w:val="18"/>
              </w:rPr>
              <w:t>de </w:t>
            </w:r>
            <w:r>
              <w:rPr>
                <w:spacing w:val="-2"/>
                <w:sz w:val="18"/>
              </w:rPr>
              <w:t>Tesorería.</w:t>
            </w:r>
          </w:p>
        </w:tc>
        <w:tc>
          <w:tcPr>
            <w:tcW w:w="1843" w:type="dxa"/>
          </w:tcPr>
          <w:p>
            <w:pPr>
              <w:pStyle w:val="TableParagraph"/>
              <w:ind w:left="73" w:right="111"/>
              <w:rPr>
                <w:sz w:val="18"/>
              </w:rPr>
            </w:pPr>
            <w:r>
              <w:rPr>
                <w:sz w:val="18"/>
              </w:rPr>
              <w:t>Documentos o trámites</w:t>
            </w:r>
            <w:r>
              <w:rPr>
                <w:spacing w:val="-15"/>
                <w:sz w:val="18"/>
              </w:rPr>
              <w:t> </w:t>
            </w:r>
            <w:r>
              <w:rPr>
                <w:sz w:val="18"/>
              </w:rPr>
              <w:t>que</w:t>
            </w:r>
            <w:r>
              <w:rPr>
                <w:spacing w:val="-12"/>
                <w:sz w:val="18"/>
              </w:rPr>
              <w:t> </w:t>
            </w:r>
            <w:r>
              <w:rPr>
                <w:sz w:val="18"/>
              </w:rPr>
              <w:t>reflejen la</w:t>
            </w:r>
            <w:r>
              <w:rPr>
                <w:spacing w:val="-2"/>
                <w:sz w:val="18"/>
              </w:rPr>
              <w:t> </w:t>
            </w:r>
            <w:r>
              <w:rPr>
                <w:sz w:val="18"/>
              </w:rPr>
              <w:t>administración</w:t>
            </w:r>
            <w:r>
              <w:rPr>
                <w:spacing w:val="-2"/>
                <w:sz w:val="18"/>
              </w:rPr>
              <w:t> </w:t>
            </w:r>
            <w:r>
              <w:rPr>
                <w:sz w:val="18"/>
              </w:rPr>
              <w:t>de efectivo para el giro oportuno de los recursos</w:t>
            </w:r>
            <w:r>
              <w:rPr>
                <w:spacing w:val="-13"/>
                <w:sz w:val="18"/>
              </w:rPr>
              <w:t> </w:t>
            </w:r>
            <w:r>
              <w:rPr>
                <w:sz w:val="18"/>
              </w:rPr>
              <w:t>destinados a atender los</w:t>
            </w:r>
          </w:p>
          <w:p>
            <w:pPr>
              <w:pStyle w:val="TableParagraph"/>
              <w:spacing w:line="206" w:lineRule="exact"/>
              <w:ind w:left="73" w:right="49"/>
              <w:rPr>
                <w:sz w:val="18"/>
              </w:rPr>
            </w:pPr>
            <w:r>
              <w:rPr>
                <w:spacing w:val="-2"/>
                <w:sz w:val="18"/>
              </w:rPr>
              <w:t>compromisos sociales.</w:t>
            </w:r>
          </w:p>
        </w:tc>
        <w:tc>
          <w:tcPr>
            <w:tcW w:w="1416"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tcBorders>
          </w:tcPr>
          <w:p>
            <w:pPr>
              <w:rPr>
                <w:sz w:val="2"/>
                <w:szCs w:val="2"/>
              </w:rPr>
            </w:pPr>
          </w:p>
        </w:tc>
      </w:tr>
      <w:tr>
        <w:trPr>
          <w:trHeight w:val="1545" w:hRule="atLeast"/>
        </w:trPr>
        <w:tc>
          <w:tcPr>
            <w:tcW w:w="2828" w:type="dxa"/>
          </w:tcPr>
          <w:p>
            <w:pPr>
              <w:pStyle w:val="TableParagraph"/>
              <w:rPr>
                <w:b/>
                <w:sz w:val="18"/>
              </w:rPr>
            </w:pPr>
          </w:p>
          <w:p>
            <w:pPr>
              <w:pStyle w:val="TableParagraph"/>
              <w:spacing w:before="45"/>
              <w:rPr>
                <w:b/>
                <w:sz w:val="18"/>
              </w:rPr>
            </w:pPr>
          </w:p>
          <w:p>
            <w:pPr>
              <w:pStyle w:val="TableParagraph"/>
              <w:spacing w:line="242" w:lineRule="auto"/>
              <w:ind w:left="72" w:right="127"/>
              <w:rPr>
                <w:sz w:val="18"/>
              </w:rPr>
            </w:pPr>
            <w:r>
              <w:rPr>
                <w:b/>
                <w:sz w:val="18"/>
              </w:rPr>
              <w:t>Actividad</w:t>
            </w:r>
            <w:r>
              <w:rPr>
                <w:b/>
                <w:spacing w:val="-12"/>
                <w:sz w:val="18"/>
              </w:rPr>
              <w:t> </w:t>
            </w:r>
            <w:r>
              <w:rPr>
                <w:b/>
                <w:sz w:val="18"/>
              </w:rPr>
              <w:t>PAC</w:t>
            </w:r>
            <w:r>
              <w:rPr>
                <w:b/>
                <w:spacing w:val="-9"/>
                <w:sz w:val="18"/>
              </w:rPr>
              <w:t> </w:t>
            </w:r>
            <w:r>
              <w:rPr>
                <w:b/>
                <w:sz w:val="18"/>
              </w:rPr>
              <w:t>2.31.5:</w:t>
            </w:r>
            <w:r>
              <w:rPr>
                <w:b/>
                <w:spacing w:val="36"/>
                <w:sz w:val="18"/>
              </w:rPr>
              <w:t> </w:t>
            </w:r>
            <w:r>
              <w:rPr>
                <w:sz w:val="18"/>
              </w:rPr>
              <w:t>Realizar el pago oportuno de los compromisos administrativos y </w:t>
            </w:r>
            <w:r>
              <w:rPr>
                <w:spacing w:val="-2"/>
                <w:sz w:val="18"/>
              </w:rPr>
              <w:t>operativos.</w:t>
            </w:r>
          </w:p>
        </w:tc>
        <w:tc>
          <w:tcPr>
            <w:tcW w:w="1416" w:type="dxa"/>
          </w:tcPr>
          <w:p>
            <w:pPr>
              <w:pStyle w:val="TableParagraph"/>
              <w:rPr>
                <w:b/>
                <w:sz w:val="18"/>
              </w:rPr>
            </w:pPr>
          </w:p>
          <w:p>
            <w:pPr>
              <w:pStyle w:val="TableParagraph"/>
              <w:rPr>
                <w:b/>
                <w:sz w:val="18"/>
              </w:rPr>
            </w:pPr>
          </w:p>
          <w:p>
            <w:pPr>
              <w:pStyle w:val="TableParagraph"/>
              <w:spacing w:before="45"/>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rPr>
                <w:b/>
                <w:sz w:val="18"/>
              </w:rPr>
            </w:pPr>
          </w:p>
          <w:p>
            <w:pPr>
              <w:pStyle w:val="TableParagraph"/>
              <w:spacing w:before="45"/>
              <w:rPr>
                <w:b/>
                <w:sz w:val="18"/>
              </w:rPr>
            </w:pPr>
          </w:p>
          <w:p>
            <w:pPr>
              <w:pStyle w:val="TableParagraph"/>
              <w:ind w:left="21" w:right="8"/>
              <w:jc w:val="center"/>
              <w:rPr>
                <w:sz w:val="18"/>
              </w:rPr>
            </w:pPr>
            <w:r>
              <w:rPr>
                <w:spacing w:val="-4"/>
                <w:sz w:val="18"/>
              </w:rPr>
              <w:t>100%</w:t>
            </w:r>
          </w:p>
        </w:tc>
        <w:tc>
          <w:tcPr>
            <w:tcW w:w="1987" w:type="dxa"/>
          </w:tcPr>
          <w:p>
            <w:pPr>
              <w:pStyle w:val="TableParagraph"/>
              <w:spacing w:before="46"/>
              <w:rPr>
                <w:b/>
                <w:sz w:val="18"/>
              </w:rPr>
            </w:pPr>
          </w:p>
          <w:p>
            <w:pPr>
              <w:pStyle w:val="TableParagraph"/>
              <w:ind w:left="72" w:right="123"/>
              <w:rPr>
                <w:sz w:val="18"/>
              </w:rPr>
            </w:pPr>
            <w:r>
              <w:rPr>
                <w:sz w:val="18"/>
              </w:rPr>
              <w:t>Porcentaje de pagos de solicitudes de los </w:t>
            </w:r>
            <w:r>
              <w:rPr>
                <w:spacing w:val="-2"/>
                <w:sz w:val="18"/>
              </w:rPr>
              <w:t>compromisos </w:t>
            </w:r>
            <w:r>
              <w:rPr>
                <w:sz w:val="18"/>
              </w:rPr>
              <w:t>administrativos y operativos</w:t>
            </w:r>
            <w:r>
              <w:rPr>
                <w:spacing w:val="-13"/>
                <w:sz w:val="18"/>
              </w:rPr>
              <w:t> </w:t>
            </w:r>
            <w:r>
              <w:rPr>
                <w:sz w:val="18"/>
              </w:rPr>
              <w:t>realizadas.</w:t>
            </w:r>
          </w:p>
        </w:tc>
        <w:tc>
          <w:tcPr>
            <w:tcW w:w="1843" w:type="dxa"/>
          </w:tcPr>
          <w:p>
            <w:pPr>
              <w:pStyle w:val="TableParagraph"/>
              <w:spacing w:before="152"/>
              <w:ind w:left="73" w:right="49"/>
              <w:rPr>
                <w:sz w:val="18"/>
              </w:rPr>
            </w:pPr>
            <w:r>
              <w:rPr>
                <w:sz w:val="18"/>
              </w:rPr>
              <w:t>Documentos o trámites</w:t>
            </w:r>
            <w:r>
              <w:rPr>
                <w:spacing w:val="-15"/>
                <w:sz w:val="18"/>
              </w:rPr>
              <w:t> </w:t>
            </w:r>
            <w:r>
              <w:rPr>
                <w:sz w:val="18"/>
              </w:rPr>
              <w:t>que</w:t>
            </w:r>
            <w:r>
              <w:rPr>
                <w:spacing w:val="-12"/>
                <w:sz w:val="18"/>
              </w:rPr>
              <w:t> </w:t>
            </w:r>
            <w:r>
              <w:rPr>
                <w:sz w:val="18"/>
              </w:rPr>
              <w:t>reflejen el</w:t>
            </w:r>
            <w:r>
              <w:rPr>
                <w:spacing w:val="-1"/>
                <w:sz w:val="18"/>
              </w:rPr>
              <w:t> </w:t>
            </w:r>
            <w:r>
              <w:rPr>
                <w:sz w:val="18"/>
              </w:rPr>
              <w:t>pago</w:t>
            </w:r>
            <w:r>
              <w:rPr>
                <w:spacing w:val="-4"/>
                <w:sz w:val="18"/>
              </w:rPr>
              <w:t> </w:t>
            </w:r>
            <w:r>
              <w:rPr>
                <w:sz w:val="18"/>
              </w:rPr>
              <w:t>oportuno de los compromisos administrativos y </w:t>
            </w:r>
            <w:r>
              <w:rPr>
                <w:spacing w:val="-2"/>
                <w:sz w:val="18"/>
              </w:rPr>
              <w:t>operativos</w:t>
            </w:r>
          </w:p>
        </w:tc>
        <w:tc>
          <w:tcPr>
            <w:tcW w:w="1416" w:type="dxa"/>
          </w:tcPr>
          <w:p>
            <w:pPr>
              <w:pStyle w:val="TableParagraph"/>
              <w:rPr>
                <w:b/>
                <w:sz w:val="18"/>
              </w:rPr>
            </w:pPr>
          </w:p>
          <w:p>
            <w:pPr>
              <w:pStyle w:val="TableParagraph"/>
              <w:rPr>
                <w:b/>
                <w:sz w:val="18"/>
              </w:rPr>
            </w:pPr>
          </w:p>
          <w:p>
            <w:pPr>
              <w:pStyle w:val="TableParagraph"/>
              <w:spacing w:before="45"/>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1342"/>
        <w:gridCol w:w="1416"/>
        <w:gridCol w:w="1277"/>
        <w:gridCol w:w="1987"/>
        <w:gridCol w:w="1843"/>
        <w:gridCol w:w="1416"/>
        <w:gridCol w:w="1560"/>
        <w:gridCol w:w="2064"/>
      </w:tblGrid>
      <w:tr>
        <w:trPr>
          <w:trHeight w:val="925" w:hRule="atLeast"/>
        </w:trPr>
        <w:tc>
          <w:tcPr>
            <w:tcW w:w="2828" w:type="dxa"/>
            <w:gridSpan w:val="2"/>
            <w:shd w:val="clear" w:color="auto" w:fill="D7D7D7"/>
          </w:tcPr>
          <w:p>
            <w:pPr>
              <w:pStyle w:val="TableParagraph"/>
              <w:spacing w:before="151"/>
              <w:rPr>
                <w:b/>
                <w:sz w:val="18"/>
              </w:rPr>
            </w:pPr>
          </w:p>
          <w:p>
            <w:pPr>
              <w:pStyle w:val="TableParagraph"/>
              <w:spacing w:before="1"/>
              <w:ind w:left="446"/>
              <w:rPr>
                <w:b/>
                <w:sz w:val="18"/>
              </w:rPr>
            </w:pPr>
            <w:r>
              <w:rPr>
                <w:b/>
                <w:sz w:val="18"/>
              </w:rPr>
              <w:t>Objetivos</w:t>
            </w:r>
            <w:r>
              <w:rPr>
                <w:b/>
                <w:spacing w:val="-5"/>
                <w:sz w:val="18"/>
              </w:rPr>
              <w:t> </w:t>
            </w:r>
            <w:r>
              <w:rPr>
                <w:b/>
                <w:sz w:val="18"/>
              </w:rPr>
              <w:t>/</w:t>
            </w:r>
            <w:r>
              <w:rPr>
                <w:b/>
                <w:spacing w:val="-2"/>
                <w:sz w:val="18"/>
              </w:rPr>
              <w:t> Resultados</w:t>
            </w:r>
          </w:p>
        </w:tc>
        <w:tc>
          <w:tcPr>
            <w:tcW w:w="1416" w:type="dxa"/>
            <w:shd w:val="clear" w:color="auto" w:fill="D7D7D7"/>
          </w:tcPr>
          <w:p>
            <w:pPr>
              <w:pStyle w:val="TableParagraph"/>
              <w:spacing w:before="46"/>
              <w:rPr>
                <w:b/>
                <w:sz w:val="18"/>
              </w:rPr>
            </w:pPr>
          </w:p>
          <w:p>
            <w:pPr>
              <w:pStyle w:val="TableParagraph"/>
              <w:ind w:left="451" w:hanging="216"/>
              <w:rPr>
                <w:b/>
                <w:sz w:val="18"/>
              </w:rPr>
            </w:pPr>
            <w:r>
              <w:rPr>
                <w:b/>
                <w:sz w:val="18"/>
              </w:rPr>
              <w:t>Línea</w:t>
            </w:r>
            <w:r>
              <w:rPr>
                <w:b/>
                <w:spacing w:val="-13"/>
                <w:sz w:val="18"/>
              </w:rPr>
              <w:t> </w:t>
            </w:r>
            <w:r>
              <w:rPr>
                <w:b/>
                <w:sz w:val="18"/>
              </w:rPr>
              <w:t>Base </w:t>
            </w:r>
            <w:r>
              <w:rPr>
                <w:b/>
                <w:spacing w:val="-2"/>
                <w:sz w:val="18"/>
              </w:rPr>
              <w:t>(2024)</w:t>
            </w:r>
          </w:p>
        </w:tc>
        <w:tc>
          <w:tcPr>
            <w:tcW w:w="1277" w:type="dxa"/>
            <w:shd w:val="clear" w:color="auto" w:fill="D7D7D7"/>
          </w:tcPr>
          <w:p>
            <w:pPr>
              <w:pStyle w:val="TableParagraph"/>
              <w:spacing w:before="152"/>
              <w:ind w:left="120" w:right="98" w:hanging="10"/>
              <w:jc w:val="center"/>
              <w:rPr>
                <w:b/>
                <w:sz w:val="18"/>
              </w:rPr>
            </w:pPr>
            <w:r>
              <w:rPr>
                <w:b/>
                <w:spacing w:val="-4"/>
                <w:sz w:val="18"/>
              </w:rPr>
              <w:t>Meta </w:t>
            </w:r>
            <w:r>
              <w:rPr>
                <w:b/>
                <w:spacing w:val="-2"/>
                <w:sz w:val="18"/>
              </w:rPr>
              <w:t>programada </w:t>
            </w:r>
            <w:r>
              <w:rPr>
                <w:b/>
                <w:spacing w:val="-4"/>
                <w:sz w:val="18"/>
              </w:rPr>
              <w:t>2026</w:t>
            </w:r>
          </w:p>
        </w:tc>
        <w:tc>
          <w:tcPr>
            <w:tcW w:w="1987" w:type="dxa"/>
            <w:shd w:val="clear" w:color="auto" w:fill="D7D7D7"/>
          </w:tcPr>
          <w:p>
            <w:pPr>
              <w:pStyle w:val="TableParagraph"/>
              <w:spacing w:before="151"/>
              <w:rPr>
                <w:b/>
                <w:sz w:val="18"/>
              </w:rPr>
            </w:pPr>
          </w:p>
          <w:p>
            <w:pPr>
              <w:pStyle w:val="TableParagraph"/>
              <w:spacing w:before="1"/>
              <w:ind w:left="591"/>
              <w:rPr>
                <w:b/>
                <w:sz w:val="18"/>
              </w:rPr>
            </w:pPr>
            <w:r>
              <w:rPr>
                <w:b/>
                <w:spacing w:val="-2"/>
                <w:sz w:val="18"/>
              </w:rPr>
              <w:t>Indicador</w:t>
            </w:r>
          </w:p>
        </w:tc>
        <w:tc>
          <w:tcPr>
            <w:tcW w:w="1843" w:type="dxa"/>
            <w:shd w:val="clear" w:color="auto" w:fill="D7D7D7"/>
          </w:tcPr>
          <w:p>
            <w:pPr>
              <w:pStyle w:val="TableParagraph"/>
              <w:spacing w:before="46"/>
              <w:rPr>
                <w:b/>
                <w:sz w:val="18"/>
              </w:rPr>
            </w:pPr>
          </w:p>
          <w:p>
            <w:pPr>
              <w:pStyle w:val="TableParagraph"/>
              <w:ind w:left="423" w:right="49" w:firstLine="57"/>
              <w:rPr>
                <w:b/>
                <w:sz w:val="18"/>
              </w:rPr>
            </w:pPr>
            <w:r>
              <w:rPr>
                <w:b/>
                <w:sz w:val="18"/>
              </w:rPr>
              <w:t>Medios de </w:t>
            </w:r>
            <w:r>
              <w:rPr>
                <w:b/>
                <w:spacing w:val="-2"/>
                <w:sz w:val="18"/>
              </w:rPr>
              <w:t>verificación</w:t>
            </w:r>
          </w:p>
        </w:tc>
        <w:tc>
          <w:tcPr>
            <w:tcW w:w="1416" w:type="dxa"/>
            <w:shd w:val="clear" w:color="auto" w:fill="D7D7D7"/>
          </w:tcPr>
          <w:p>
            <w:pPr>
              <w:pStyle w:val="TableParagraph"/>
              <w:spacing w:before="151"/>
              <w:rPr>
                <w:b/>
                <w:sz w:val="18"/>
              </w:rPr>
            </w:pPr>
          </w:p>
          <w:p>
            <w:pPr>
              <w:pStyle w:val="TableParagraph"/>
              <w:spacing w:before="1"/>
              <w:ind w:left="150"/>
              <w:rPr>
                <w:b/>
                <w:sz w:val="18"/>
              </w:rPr>
            </w:pPr>
            <w:r>
              <w:rPr>
                <w:b/>
                <w:spacing w:val="-2"/>
                <w:sz w:val="18"/>
              </w:rPr>
              <w:t>Responsable</w:t>
            </w:r>
          </w:p>
        </w:tc>
        <w:tc>
          <w:tcPr>
            <w:tcW w:w="1560" w:type="dxa"/>
            <w:shd w:val="clear" w:color="auto" w:fill="D7D7D7"/>
          </w:tcPr>
          <w:p>
            <w:pPr>
              <w:pStyle w:val="TableParagraph"/>
              <w:spacing w:before="46"/>
              <w:rPr>
                <w:b/>
                <w:sz w:val="18"/>
              </w:rPr>
            </w:pPr>
          </w:p>
          <w:p>
            <w:pPr>
              <w:pStyle w:val="TableParagraph"/>
              <w:ind w:left="386" w:right="58" w:hanging="149"/>
              <w:rPr>
                <w:b/>
                <w:sz w:val="18"/>
              </w:rPr>
            </w:pPr>
            <w:r>
              <w:rPr>
                <w:b/>
                <w:spacing w:val="-2"/>
                <w:sz w:val="18"/>
              </w:rPr>
              <w:t>Presupuesto asignado</w:t>
            </w:r>
          </w:p>
        </w:tc>
        <w:tc>
          <w:tcPr>
            <w:tcW w:w="2064" w:type="dxa"/>
            <w:tcBorders>
              <w:bottom w:val="nil"/>
            </w:tcBorders>
            <w:shd w:val="clear" w:color="auto" w:fill="D7D7D7"/>
          </w:tcPr>
          <w:p>
            <w:pPr>
              <w:pStyle w:val="TableParagraph"/>
              <w:spacing w:before="151"/>
              <w:rPr>
                <w:b/>
                <w:sz w:val="18"/>
              </w:rPr>
            </w:pPr>
          </w:p>
          <w:p>
            <w:pPr>
              <w:pStyle w:val="TableParagraph"/>
              <w:spacing w:before="1"/>
              <w:ind w:left="75"/>
              <w:rPr>
                <w:b/>
                <w:sz w:val="18"/>
              </w:rPr>
            </w:pPr>
            <w:r>
              <w:rPr>
                <w:b/>
                <w:spacing w:val="-2"/>
                <w:sz w:val="18"/>
              </w:rPr>
              <w:t>Riesgos</w:t>
            </w:r>
          </w:p>
        </w:tc>
      </w:tr>
      <w:tr>
        <w:trPr>
          <w:trHeight w:val="1624" w:hRule="atLeast"/>
        </w:trPr>
        <w:tc>
          <w:tcPr>
            <w:tcW w:w="2828" w:type="dxa"/>
            <w:gridSpan w:val="2"/>
          </w:tcPr>
          <w:p>
            <w:pPr>
              <w:pStyle w:val="TableParagraph"/>
              <w:spacing w:before="206"/>
              <w:ind w:left="72" w:right="95"/>
              <w:rPr>
                <w:sz w:val="18"/>
              </w:rPr>
            </w:pPr>
            <w:r>
              <w:rPr>
                <w:b/>
                <w:sz w:val="18"/>
              </w:rPr>
              <w:t>Actividad PAC 2.31.6: </w:t>
            </w:r>
            <w:r>
              <w:rPr>
                <w:sz w:val="18"/>
              </w:rPr>
              <w:t>Incorporar los ajustes y variaciones presupuestarias solicitadas</w:t>
            </w:r>
            <w:r>
              <w:rPr>
                <w:spacing w:val="-13"/>
                <w:sz w:val="18"/>
              </w:rPr>
              <w:t> </w:t>
            </w:r>
            <w:r>
              <w:rPr>
                <w:sz w:val="18"/>
              </w:rPr>
              <w:t>por</w:t>
            </w:r>
            <w:r>
              <w:rPr>
                <w:spacing w:val="-11"/>
                <w:sz w:val="18"/>
              </w:rPr>
              <w:t> </w:t>
            </w:r>
            <w:r>
              <w:rPr>
                <w:sz w:val="18"/>
              </w:rPr>
              <w:t>los</w:t>
            </w:r>
            <w:r>
              <w:rPr>
                <w:spacing w:val="-13"/>
                <w:sz w:val="18"/>
              </w:rPr>
              <w:t> </w:t>
            </w:r>
            <w:r>
              <w:rPr>
                <w:sz w:val="18"/>
              </w:rPr>
              <w:t>responsables de los Programas Presupuestarios y la Auditoría</w:t>
            </w:r>
          </w:p>
          <w:p>
            <w:pPr>
              <w:pStyle w:val="TableParagraph"/>
              <w:spacing w:line="155" w:lineRule="exact" w:before="1"/>
              <w:ind w:left="72"/>
              <w:rPr>
                <w:sz w:val="18"/>
              </w:rPr>
            </w:pPr>
            <w:r>
              <w:rPr>
                <w:spacing w:val="-2"/>
                <w:sz w:val="18"/>
              </w:rPr>
              <w:t>Interna.</w:t>
            </w:r>
          </w:p>
        </w:tc>
        <w:tc>
          <w:tcPr>
            <w:tcW w:w="141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8"/>
              <w:jc w:val="center"/>
              <w:rPr>
                <w:sz w:val="18"/>
              </w:rPr>
            </w:pPr>
            <w:r>
              <w:rPr>
                <w:spacing w:val="-4"/>
                <w:sz w:val="18"/>
              </w:rPr>
              <w:t>100%</w:t>
            </w:r>
          </w:p>
        </w:tc>
        <w:tc>
          <w:tcPr>
            <w:tcW w:w="1987" w:type="dxa"/>
          </w:tcPr>
          <w:p>
            <w:pPr>
              <w:pStyle w:val="TableParagraph"/>
              <w:spacing w:before="206"/>
              <w:ind w:left="72" w:right="123"/>
              <w:rPr>
                <w:sz w:val="18"/>
              </w:rPr>
            </w:pPr>
            <w:r>
              <w:rPr>
                <w:sz w:val="18"/>
              </w:rPr>
              <w:t>Porcentaje de solicitudes de modificación o </w:t>
            </w:r>
            <w:r>
              <w:rPr>
                <w:spacing w:val="-2"/>
                <w:sz w:val="18"/>
              </w:rPr>
              <w:t>variación presupuestaria realizadas.</w:t>
            </w:r>
          </w:p>
        </w:tc>
        <w:tc>
          <w:tcPr>
            <w:tcW w:w="1843" w:type="dxa"/>
          </w:tcPr>
          <w:p>
            <w:pPr>
              <w:pStyle w:val="TableParagraph"/>
              <w:spacing w:before="100"/>
              <w:ind w:left="73" w:right="49"/>
              <w:rPr>
                <w:sz w:val="18"/>
              </w:rPr>
            </w:pPr>
            <w:r>
              <w:rPr>
                <w:spacing w:val="-2"/>
                <w:sz w:val="18"/>
              </w:rPr>
              <w:t>Documentación </w:t>
            </w:r>
            <w:r>
              <w:rPr>
                <w:sz w:val="18"/>
              </w:rPr>
              <w:t>respaldo sobre los ajustes</w:t>
            </w:r>
            <w:r>
              <w:rPr>
                <w:spacing w:val="-15"/>
                <w:sz w:val="18"/>
              </w:rPr>
              <w:t> </w:t>
            </w:r>
            <w:r>
              <w:rPr>
                <w:sz w:val="18"/>
              </w:rPr>
              <w:t>y</w:t>
            </w:r>
            <w:r>
              <w:rPr>
                <w:spacing w:val="-12"/>
                <w:sz w:val="18"/>
              </w:rPr>
              <w:t> </w:t>
            </w:r>
            <w:r>
              <w:rPr>
                <w:sz w:val="18"/>
              </w:rPr>
              <w:t>variaciones </w:t>
            </w:r>
            <w:r>
              <w:rPr>
                <w:spacing w:val="-2"/>
                <w:sz w:val="18"/>
              </w:rPr>
              <w:t>presupuestarias </w:t>
            </w:r>
            <w:r>
              <w:rPr>
                <w:sz w:val="18"/>
              </w:rPr>
              <w:t>solicitadas y </w:t>
            </w:r>
            <w:r>
              <w:rPr>
                <w:spacing w:val="-2"/>
                <w:sz w:val="18"/>
              </w:rPr>
              <w:t>aprobadas respectivamente.</w:t>
            </w:r>
          </w:p>
        </w:tc>
        <w:tc>
          <w:tcPr>
            <w:tcW w:w="141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val="restart"/>
            <w:tcBorders>
              <w:top w:val="nil"/>
              <w:bottom w:val="thickThinMediumGap" w:sz="9" w:space="0" w:color="808080"/>
            </w:tcBorders>
          </w:tcPr>
          <w:p>
            <w:pPr>
              <w:pStyle w:val="TableParagraph"/>
              <w:ind w:left="75" w:right="47"/>
              <w:rPr>
                <w:sz w:val="18"/>
              </w:rPr>
            </w:pPr>
            <w:r>
              <w:rPr>
                <w:sz w:val="18"/>
              </w:rPr>
              <w:t>sin información actualizada</w:t>
            </w:r>
            <w:r>
              <w:rPr>
                <w:spacing w:val="-15"/>
                <w:sz w:val="18"/>
              </w:rPr>
              <w:t> </w:t>
            </w:r>
            <w:r>
              <w:rPr>
                <w:sz w:val="18"/>
              </w:rPr>
              <w:t>oportuna</w:t>
            </w:r>
            <w:r>
              <w:rPr>
                <w:spacing w:val="-12"/>
                <w:sz w:val="18"/>
              </w:rPr>
              <w:t> </w:t>
            </w:r>
            <w:r>
              <w:rPr>
                <w:sz w:val="18"/>
              </w:rPr>
              <w:t>y confiable para la toma de decisiones.</w:t>
            </w:r>
          </w:p>
          <w:p>
            <w:pPr>
              <w:pStyle w:val="TableParagraph"/>
              <w:ind w:left="75" w:right="47"/>
              <w:rPr>
                <w:sz w:val="18"/>
              </w:rPr>
            </w:pPr>
            <w:r>
              <w:rPr>
                <w:sz w:val="18"/>
              </w:rPr>
              <w:t>9) Recursos </w:t>
            </w:r>
            <w:r>
              <w:rPr>
                <w:spacing w:val="-2"/>
                <w:sz w:val="18"/>
              </w:rPr>
              <w:t>presupuestarios </w:t>
            </w:r>
            <w:r>
              <w:rPr>
                <w:sz w:val="18"/>
              </w:rPr>
              <w:t>limitados</w:t>
            </w:r>
            <w:r>
              <w:rPr>
                <w:spacing w:val="-15"/>
                <w:sz w:val="18"/>
              </w:rPr>
              <w:t> </w:t>
            </w:r>
            <w:r>
              <w:rPr>
                <w:sz w:val="18"/>
              </w:rPr>
              <w:t>para</w:t>
            </w:r>
            <w:r>
              <w:rPr>
                <w:spacing w:val="-12"/>
                <w:sz w:val="18"/>
              </w:rPr>
              <w:t> </w:t>
            </w:r>
            <w:r>
              <w:rPr>
                <w:sz w:val="18"/>
              </w:rPr>
              <w:t>la atención de las necesidades y </w:t>
            </w:r>
            <w:r>
              <w:rPr>
                <w:spacing w:val="-2"/>
                <w:sz w:val="18"/>
              </w:rPr>
              <w:t>compromisos institucionales.</w:t>
            </w:r>
          </w:p>
          <w:p>
            <w:pPr>
              <w:pStyle w:val="TableParagraph"/>
              <w:ind w:left="75"/>
              <w:rPr>
                <w:sz w:val="18"/>
              </w:rPr>
            </w:pPr>
            <w:r>
              <w:rPr>
                <w:sz w:val="18"/>
              </w:rPr>
              <w:t>11, 15) Incumplimiento de plazos de los acuerdos del Consejo Directivo y las recomendaciones</w:t>
            </w:r>
            <w:r>
              <w:rPr>
                <w:spacing w:val="-15"/>
                <w:sz w:val="18"/>
              </w:rPr>
              <w:t> </w:t>
            </w:r>
            <w:r>
              <w:rPr>
                <w:sz w:val="18"/>
              </w:rPr>
              <w:t>de</w:t>
            </w:r>
            <w:r>
              <w:rPr>
                <w:spacing w:val="-12"/>
                <w:sz w:val="18"/>
              </w:rPr>
              <w:t> </w:t>
            </w:r>
            <w:r>
              <w:rPr>
                <w:sz w:val="18"/>
              </w:rPr>
              <w:t>la Auditoría Interna y </w:t>
            </w:r>
            <w:r>
              <w:rPr>
                <w:spacing w:val="-2"/>
                <w:sz w:val="18"/>
              </w:rPr>
              <w:t>Externa.</w:t>
            </w:r>
          </w:p>
          <w:p>
            <w:pPr>
              <w:pStyle w:val="TableParagraph"/>
              <w:numPr>
                <w:ilvl w:val="0"/>
                <w:numId w:val="104"/>
              </w:numPr>
              <w:tabs>
                <w:tab w:pos="385" w:val="left" w:leader="none"/>
              </w:tabs>
              <w:spacing w:line="240" w:lineRule="auto" w:before="0" w:after="0"/>
              <w:ind w:left="75" w:right="90" w:firstLine="0"/>
              <w:jc w:val="left"/>
              <w:rPr>
                <w:sz w:val="18"/>
              </w:rPr>
            </w:pPr>
            <w:r>
              <w:rPr>
                <w:sz w:val="18"/>
              </w:rPr>
              <w:t>Inadecuada</w:t>
            </w:r>
            <w:r>
              <w:rPr>
                <w:spacing w:val="-13"/>
                <w:sz w:val="18"/>
              </w:rPr>
              <w:t> </w:t>
            </w:r>
            <w:r>
              <w:rPr>
                <w:sz w:val="18"/>
              </w:rPr>
              <w:t>gestión operativa financiera institucional por parte de las unidades </w:t>
            </w:r>
            <w:r>
              <w:rPr>
                <w:spacing w:val="-2"/>
                <w:sz w:val="18"/>
              </w:rPr>
              <w:t>ejecutoras</w:t>
            </w:r>
          </w:p>
          <w:p>
            <w:pPr>
              <w:pStyle w:val="TableParagraph"/>
              <w:numPr>
                <w:ilvl w:val="0"/>
                <w:numId w:val="104"/>
              </w:numPr>
              <w:tabs>
                <w:tab w:pos="385" w:val="left" w:leader="none"/>
              </w:tabs>
              <w:spacing w:line="240" w:lineRule="auto" w:before="2" w:after="0"/>
              <w:ind w:left="75" w:right="358" w:firstLine="0"/>
              <w:jc w:val="left"/>
              <w:rPr>
                <w:sz w:val="18"/>
              </w:rPr>
            </w:pPr>
            <w:r>
              <w:rPr>
                <w:sz w:val="18"/>
              </w:rPr>
              <w:t>Imposibilidad</w:t>
            </w:r>
            <w:r>
              <w:rPr>
                <w:spacing w:val="-13"/>
                <w:sz w:val="18"/>
              </w:rPr>
              <w:t> </w:t>
            </w:r>
            <w:r>
              <w:rPr>
                <w:sz w:val="18"/>
              </w:rPr>
              <w:t>de generar los</w:t>
            </w:r>
            <w:r>
              <w:rPr>
                <w:spacing w:val="-4"/>
                <w:sz w:val="18"/>
              </w:rPr>
              <w:t> </w:t>
            </w:r>
            <w:r>
              <w:rPr>
                <w:sz w:val="18"/>
              </w:rPr>
              <w:t>estados </w:t>
            </w:r>
            <w:r>
              <w:rPr>
                <w:spacing w:val="-2"/>
                <w:sz w:val="18"/>
              </w:rPr>
              <w:t>financieros oportunamente</w:t>
            </w:r>
          </w:p>
          <w:p>
            <w:pPr>
              <w:pStyle w:val="TableParagraph"/>
              <w:numPr>
                <w:ilvl w:val="0"/>
                <w:numId w:val="104"/>
              </w:numPr>
              <w:tabs>
                <w:tab w:pos="389" w:val="left" w:leader="none"/>
              </w:tabs>
              <w:spacing w:line="242" w:lineRule="auto" w:before="0" w:after="0"/>
              <w:ind w:left="75" w:right="340" w:firstLine="0"/>
              <w:jc w:val="left"/>
              <w:rPr>
                <w:sz w:val="18"/>
              </w:rPr>
            </w:pPr>
            <w:r>
              <w:rPr>
                <w:sz w:val="18"/>
              </w:rPr>
              <w:t>Atrasos en la comunicación</w:t>
            </w:r>
            <w:r>
              <w:rPr>
                <w:spacing w:val="-15"/>
                <w:sz w:val="18"/>
              </w:rPr>
              <w:t> </w:t>
            </w:r>
            <w:r>
              <w:rPr>
                <w:sz w:val="18"/>
              </w:rPr>
              <w:t>de</w:t>
            </w:r>
            <w:r>
              <w:rPr>
                <w:spacing w:val="-12"/>
                <w:sz w:val="18"/>
              </w:rPr>
              <w:t> </w:t>
            </w:r>
            <w:r>
              <w:rPr>
                <w:sz w:val="18"/>
              </w:rPr>
              <w:t>los estados financieros </w:t>
            </w:r>
            <w:r>
              <w:rPr>
                <w:spacing w:val="-2"/>
                <w:sz w:val="18"/>
              </w:rPr>
              <w:t>consolidados</w:t>
            </w:r>
          </w:p>
        </w:tc>
      </w:tr>
      <w:tr>
        <w:trPr>
          <w:trHeight w:val="1178" w:hRule="atLeast"/>
        </w:trPr>
        <w:tc>
          <w:tcPr>
            <w:tcW w:w="2828" w:type="dxa"/>
            <w:gridSpan w:val="2"/>
          </w:tcPr>
          <w:p>
            <w:pPr>
              <w:pStyle w:val="TableParagraph"/>
              <w:spacing w:before="71"/>
              <w:rPr>
                <w:b/>
                <w:sz w:val="18"/>
              </w:rPr>
            </w:pPr>
          </w:p>
          <w:p>
            <w:pPr>
              <w:pStyle w:val="TableParagraph"/>
              <w:ind w:left="72" w:right="5"/>
              <w:rPr>
                <w:sz w:val="18"/>
              </w:rPr>
            </w:pPr>
            <w:r>
              <w:rPr>
                <w:b/>
                <w:sz w:val="18"/>
              </w:rPr>
              <w:t>Actividad PAC 2.31.7: </w:t>
            </w:r>
            <w:r>
              <w:rPr>
                <w:sz w:val="18"/>
              </w:rPr>
              <w:t>Suministrar</w:t>
            </w:r>
            <w:r>
              <w:rPr>
                <w:spacing w:val="-15"/>
                <w:sz w:val="18"/>
              </w:rPr>
              <w:t> </w:t>
            </w:r>
            <w:r>
              <w:rPr>
                <w:sz w:val="18"/>
              </w:rPr>
              <w:t>información</w:t>
            </w:r>
            <w:r>
              <w:rPr>
                <w:spacing w:val="-12"/>
                <w:sz w:val="18"/>
              </w:rPr>
              <w:t> </w:t>
            </w:r>
            <w:r>
              <w:rPr>
                <w:sz w:val="18"/>
              </w:rPr>
              <w:t>oportuna para la rendición de cuentas y toma de decisiones</w:t>
            </w:r>
          </w:p>
        </w:tc>
        <w:tc>
          <w:tcPr>
            <w:tcW w:w="1416" w:type="dxa"/>
          </w:tcPr>
          <w:p>
            <w:pPr>
              <w:pStyle w:val="TableParagraph"/>
              <w:rPr>
                <w:b/>
                <w:sz w:val="18"/>
              </w:rPr>
            </w:pPr>
          </w:p>
          <w:p>
            <w:pPr>
              <w:pStyle w:val="TableParagraph"/>
              <w:spacing w:before="70"/>
              <w:rPr>
                <w:b/>
                <w:sz w:val="18"/>
              </w:rPr>
            </w:pPr>
          </w:p>
          <w:p>
            <w:pPr>
              <w:pStyle w:val="TableParagraph"/>
              <w:spacing w:before="1"/>
              <w:ind w:left="18" w:right="3"/>
              <w:jc w:val="center"/>
              <w:rPr>
                <w:sz w:val="18"/>
              </w:rPr>
            </w:pPr>
            <w:r>
              <w:rPr>
                <w:spacing w:val="-5"/>
                <w:sz w:val="18"/>
              </w:rPr>
              <w:t>52</w:t>
            </w:r>
          </w:p>
        </w:tc>
        <w:tc>
          <w:tcPr>
            <w:tcW w:w="1277" w:type="dxa"/>
          </w:tcPr>
          <w:p>
            <w:pPr>
              <w:pStyle w:val="TableParagraph"/>
              <w:rPr>
                <w:b/>
                <w:sz w:val="18"/>
              </w:rPr>
            </w:pPr>
          </w:p>
          <w:p>
            <w:pPr>
              <w:pStyle w:val="TableParagraph"/>
              <w:spacing w:before="70"/>
              <w:rPr>
                <w:b/>
                <w:sz w:val="18"/>
              </w:rPr>
            </w:pPr>
          </w:p>
          <w:p>
            <w:pPr>
              <w:pStyle w:val="TableParagraph"/>
              <w:spacing w:before="1"/>
              <w:ind w:left="23" w:right="8"/>
              <w:jc w:val="center"/>
              <w:rPr>
                <w:sz w:val="18"/>
              </w:rPr>
            </w:pPr>
            <w:r>
              <w:rPr>
                <w:spacing w:val="-5"/>
                <w:sz w:val="18"/>
              </w:rPr>
              <w:t>100</w:t>
            </w:r>
          </w:p>
        </w:tc>
        <w:tc>
          <w:tcPr>
            <w:tcW w:w="1987" w:type="dxa"/>
          </w:tcPr>
          <w:p>
            <w:pPr>
              <w:pStyle w:val="TableParagraph"/>
              <w:spacing w:before="172"/>
              <w:rPr>
                <w:b/>
                <w:sz w:val="18"/>
              </w:rPr>
            </w:pPr>
          </w:p>
          <w:p>
            <w:pPr>
              <w:pStyle w:val="TableParagraph"/>
              <w:spacing w:line="244" w:lineRule="auto"/>
              <w:ind w:left="72"/>
              <w:rPr>
                <w:sz w:val="18"/>
              </w:rPr>
            </w:pPr>
            <w:r>
              <w:rPr>
                <w:sz w:val="18"/>
              </w:rPr>
              <w:t>Cantidad</w:t>
            </w:r>
            <w:r>
              <w:rPr>
                <w:spacing w:val="-15"/>
                <w:sz w:val="18"/>
              </w:rPr>
              <w:t> </w:t>
            </w:r>
            <w:r>
              <w:rPr>
                <w:sz w:val="18"/>
              </w:rPr>
              <w:t>de</w:t>
            </w:r>
            <w:r>
              <w:rPr>
                <w:spacing w:val="-12"/>
                <w:sz w:val="18"/>
              </w:rPr>
              <w:t> </w:t>
            </w:r>
            <w:r>
              <w:rPr>
                <w:sz w:val="18"/>
              </w:rPr>
              <w:t>informes </w:t>
            </w:r>
            <w:r>
              <w:rPr>
                <w:spacing w:val="-2"/>
                <w:sz w:val="18"/>
              </w:rPr>
              <w:t>realizados</w:t>
            </w:r>
          </w:p>
        </w:tc>
        <w:tc>
          <w:tcPr>
            <w:tcW w:w="1843" w:type="dxa"/>
          </w:tcPr>
          <w:p>
            <w:pPr>
              <w:pStyle w:val="TableParagraph"/>
              <w:spacing w:line="242" w:lineRule="auto" w:before="173"/>
              <w:ind w:left="73" w:right="49"/>
              <w:rPr>
                <w:sz w:val="18"/>
              </w:rPr>
            </w:pPr>
            <w:r>
              <w:rPr>
                <w:spacing w:val="-2"/>
                <w:sz w:val="18"/>
              </w:rPr>
              <w:t>Documentación </w:t>
            </w:r>
            <w:r>
              <w:rPr>
                <w:sz w:val="18"/>
              </w:rPr>
              <w:t>respaldo</w:t>
            </w:r>
            <w:r>
              <w:rPr>
                <w:spacing w:val="-15"/>
                <w:sz w:val="18"/>
              </w:rPr>
              <w:t> </w:t>
            </w:r>
            <w:r>
              <w:rPr>
                <w:sz w:val="18"/>
              </w:rPr>
              <w:t>sobre</w:t>
            </w:r>
            <w:r>
              <w:rPr>
                <w:spacing w:val="-12"/>
                <w:sz w:val="18"/>
              </w:rPr>
              <w:t> </w:t>
            </w:r>
            <w:r>
              <w:rPr>
                <w:sz w:val="18"/>
              </w:rPr>
              <w:t>la ejecución de los </w:t>
            </w:r>
            <w:r>
              <w:rPr>
                <w:spacing w:val="-2"/>
                <w:sz w:val="18"/>
              </w:rPr>
              <w:t>procesos</w:t>
            </w:r>
          </w:p>
        </w:tc>
        <w:tc>
          <w:tcPr>
            <w:tcW w:w="1416" w:type="dxa"/>
          </w:tcPr>
          <w:p>
            <w:pPr>
              <w:pStyle w:val="TableParagraph"/>
              <w:rPr>
                <w:b/>
                <w:sz w:val="18"/>
              </w:rPr>
            </w:pPr>
          </w:p>
          <w:p>
            <w:pPr>
              <w:pStyle w:val="TableParagraph"/>
              <w:spacing w:before="70"/>
              <w:rPr>
                <w:b/>
                <w:sz w:val="18"/>
              </w:rPr>
            </w:pPr>
          </w:p>
          <w:p>
            <w:pPr>
              <w:pStyle w:val="TableParagraph"/>
              <w:spacing w:before="1"/>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bottom w:val="thickThinMediumGap" w:sz="9" w:space="0" w:color="808080"/>
            </w:tcBorders>
          </w:tcPr>
          <w:p>
            <w:pPr>
              <w:rPr>
                <w:sz w:val="2"/>
                <w:szCs w:val="2"/>
              </w:rPr>
            </w:pPr>
          </w:p>
        </w:tc>
      </w:tr>
      <w:tr>
        <w:trPr>
          <w:trHeight w:val="2009" w:hRule="atLeast"/>
        </w:trPr>
        <w:tc>
          <w:tcPr>
            <w:tcW w:w="2828" w:type="dxa"/>
            <w:gridSpan w:val="2"/>
          </w:tcPr>
          <w:p>
            <w:pPr>
              <w:pStyle w:val="TableParagraph"/>
              <w:rPr>
                <w:b/>
                <w:sz w:val="18"/>
              </w:rPr>
            </w:pPr>
          </w:p>
          <w:p>
            <w:pPr>
              <w:pStyle w:val="TableParagraph"/>
              <w:spacing w:before="70"/>
              <w:rPr>
                <w:b/>
                <w:sz w:val="18"/>
              </w:rPr>
            </w:pPr>
          </w:p>
          <w:p>
            <w:pPr>
              <w:pStyle w:val="TableParagraph"/>
              <w:spacing w:before="1"/>
              <w:ind w:left="72"/>
              <w:rPr>
                <w:sz w:val="18"/>
              </w:rPr>
            </w:pPr>
            <w:r>
              <w:rPr>
                <w:b/>
                <w:sz w:val="18"/>
              </w:rPr>
              <w:t>Actividad</w:t>
            </w:r>
            <w:r>
              <w:rPr>
                <w:b/>
                <w:spacing w:val="-5"/>
                <w:sz w:val="18"/>
              </w:rPr>
              <w:t> </w:t>
            </w:r>
            <w:r>
              <w:rPr>
                <w:b/>
                <w:sz w:val="18"/>
              </w:rPr>
              <w:t>PAC</w:t>
            </w:r>
            <w:r>
              <w:rPr>
                <w:b/>
                <w:spacing w:val="-1"/>
                <w:sz w:val="18"/>
              </w:rPr>
              <w:t> </w:t>
            </w:r>
            <w:r>
              <w:rPr>
                <w:b/>
                <w:sz w:val="18"/>
              </w:rPr>
              <w:t>2.31.8: </w:t>
            </w:r>
            <w:r>
              <w:rPr>
                <w:sz w:val="18"/>
              </w:rPr>
              <w:t>Llevar</w:t>
            </w:r>
            <w:r>
              <w:rPr>
                <w:spacing w:val="-2"/>
                <w:sz w:val="18"/>
              </w:rPr>
              <w:t> </w:t>
            </w:r>
            <w:r>
              <w:rPr>
                <w:sz w:val="18"/>
              </w:rPr>
              <w:t>a cabo un efectivo proceso de formulación</w:t>
            </w:r>
            <w:r>
              <w:rPr>
                <w:spacing w:val="-15"/>
                <w:sz w:val="18"/>
              </w:rPr>
              <w:t> </w:t>
            </w:r>
            <w:r>
              <w:rPr>
                <w:sz w:val="18"/>
              </w:rPr>
              <w:t>presupuestaria,</w:t>
            </w:r>
            <w:r>
              <w:rPr>
                <w:spacing w:val="-12"/>
                <w:sz w:val="18"/>
              </w:rPr>
              <w:t> </w:t>
            </w:r>
            <w:r>
              <w:rPr>
                <w:sz w:val="18"/>
              </w:rPr>
              <w:t>que considere los recursos para la atención de las necesidades y compromisos institucionales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70"/>
              <w:rPr>
                <w:b/>
                <w:sz w:val="18"/>
              </w:rPr>
            </w:pPr>
          </w:p>
          <w:p>
            <w:pPr>
              <w:pStyle w:val="TableParagraph"/>
              <w:ind w:left="17" w:right="6"/>
              <w:jc w:val="center"/>
              <w:rPr>
                <w:sz w:val="18"/>
              </w:rPr>
            </w:pPr>
            <w:r>
              <w:rPr>
                <w:spacing w:val="-10"/>
                <w:sz w:val="18"/>
              </w:rPr>
              <w:t>1</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70"/>
              <w:rPr>
                <w:b/>
                <w:sz w:val="18"/>
              </w:rPr>
            </w:pPr>
          </w:p>
          <w:p>
            <w:pPr>
              <w:pStyle w:val="TableParagraph"/>
              <w:ind w:left="24" w:right="8"/>
              <w:jc w:val="center"/>
              <w:rPr>
                <w:sz w:val="18"/>
              </w:rPr>
            </w:pPr>
            <w:r>
              <w:rPr>
                <w:spacing w:val="-10"/>
                <w:sz w:val="18"/>
              </w:rPr>
              <w:t>1</w:t>
            </w:r>
          </w:p>
        </w:tc>
        <w:tc>
          <w:tcPr>
            <w:tcW w:w="1987" w:type="dxa"/>
          </w:tcPr>
          <w:p>
            <w:pPr>
              <w:pStyle w:val="TableParagraph"/>
              <w:rPr>
                <w:b/>
                <w:sz w:val="18"/>
              </w:rPr>
            </w:pPr>
          </w:p>
          <w:p>
            <w:pPr>
              <w:pStyle w:val="TableParagraph"/>
              <w:rPr>
                <w:b/>
                <w:sz w:val="18"/>
              </w:rPr>
            </w:pPr>
          </w:p>
          <w:p>
            <w:pPr>
              <w:pStyle w:val="TableParagraph"/>
              <w:spacing w:before="176"/>
              <w:rPr>
                <w:b/>
                <w:sz w:val="18"/>
              </w:rPr>
            </w:pPr>
          </w:p>
          <w:p>
            <w:pPr>
              <w:pStyle w:val="TableParagraph"/>
              <w:ind w:left="72" w:right="76"/>
              <w:rPr>
                <w:sz w:val="18"/>
              </w:rPr>
            </w:pPr>
            <w:r>
              <w:rPr>
                <w:sz w:val="18"/>
              </w:rPr>
              <w:t>Cantidad de Presupuesto</w:t>
            </w:r>
            <w:r>
              <w:rPr>
                <w:spacing w:val="-13"/>
                <w:sz w:val="18"/>
              </w:rPr>
              <w:t> </w:t>
            </w:r>
            <w:r>
              <w:rPr>
                <w:sz w:val="18"/>
              </w:rPr>
              <w:t>aprobado</w:t>
            </w:r>
          </w:p>
        </w:tc>
        <w:tc>
          <w:tcPr>
            <w:tcW w:w="1843" w:type="dxa"/>
          </w:tcPr>
          <w:p>
            <w:pPr>
              <w:pStyle w:val="TableParagraph"/>
              <w:spacing w:line="173" w:lineRule="exact"/>
              <w:ind w:left="73"/>
              <w:rPr>
                <w:sz w:val="18"/>
              </w:rPr>
            </w:pPr>
            <w:r>
              <w:rPr>
                <w:sz w:val="18"/>
              </w:rPr>
              <w:t>Documentación</w:t>
            </w:r>
            <w:r>
              <w:rPr>
                <w:spacing w:val="-9"/>
                <w:sz w:val="18"/>
              </w:rPr>
              <w:t> </w:t>
            </w:r>
            <w:r>
              <w:rPr>
                <w:spacing w:val="-5"/>
                <w:sz w:val="18"/>
              </w:rPr>
              <w:t>que</w:t>
            </w:r>
          </w:p>
          <w:p>
            <w:pPr>
              <w:pStyle w:val="TableParagraph"/>
              <w:spacing w:before="4"/>
              <w:ind w:left="73" w:right="49"/>
              <w:rPr>
                <w:sz w:val="18"/>
              </w:rPr>
            </w:pPr>
            <w:r>
              <w:rPr>
                <w:sz w:val="18"/>
              </w:rPr>
              <w:t>respalde la </w:t>
            </w:r>
            <w:r>
              <w:rPr>
                <w:spacing w:val="-2"/>
                <w:sz w:val="18"/>
              </w:rPr>
              <w:t>formulación </w:t>
            </w:r>
            <w:r>
              <w:rPr>
                <w:sz w:val="18"/>
              </w:rPr>
              <w:t>presupuestaria</w:t>
            </w:r>
            <w:r>
              <w:rPr>
                <w:spacing w:val="-13"/>
                <w:sz w:val="18"/>
              </w:rPr>
              <w:t> </w:t>
            </w:r>
            <w:r>
              <w:rPr>
                <w:sz w:val="18"/>
              </w:rPr>
              <w:t>que considere los recursos para la atención de las necesidades y </w:t>
            </w:r>
            <w:r>
              <w:rPr>
                <w:spacing w:val="-2"/>
                <w:sz w:val="18"/>
              </w:rPr>
              <w:t>compromisos</w:t>
            </w:r>
          </w:p>
          <w:p>
            <w:pPr>
              <w:pStyle w:val="TableParagraph"/>
              <w:spacing w:line="155" w:lineRule="exact"/>
              <w:ind w:left="73"/>
              <w:rPr>
                <w:sz w:val="18"/>
              </w:rPr>
            </w:pPr>
            <w:r>
              <w:rPr>
                <w:spacing w:val="-2"/>
                <w:sz w:val="18"/>
              </w:rPr>
              <w:t>institucionales.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70"/>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bottom w:val="thickThinMediumGap" w:sz="9" w:space="0" w:color="808080"/>
            </w:tcBorders>
          </w:tcPr>
          <w:p>
            <w:pPr>
              <w:rPr>
                <w:sz w:val="2"/>
                <w:szCs w:val="2"/>
              </w:rPr>
            </w:pPr>
          </w:p>
        </w:tc>
      </w:tr>
      <w:tr>
        <w:trPr>
          <w:trHeight w:val="1797" w:hRule="atLeast"/>
        </w:trPr>
        <w:tc>
          <w:tcPr>
            <w:tcW w:w="2828" w:type="dxa"/>
            <w:gridSpan w:val="2"/>
          </w:tcPr>
          <w:p>
            <w:pPr>
              <w:pStyle w:val="TableParagraph"/>
              <w:spacing w:before="172"/>
              <w:rPr>
                <w:b/>
                <w:sz w:val="18"/>
              </w:rPr>
            </w:pPr>
          </w:p>
          <w:p>
            <w:pPr>
              <w:pStyle w:val="TableParagraph"/>
              <w:ind w:left="72"/>
              <w:rPr>
                <w:sz w:val="18"/>
              </w:rPr>
            </w:pPr>
            <w:r>
              <w:rPr>
                <w:b/>
                <w:sz w:val="18"/>
              </w:rPr>
              <w:t>Actividad</w:t>
            </w:r>
            <w:r>
              <w:rPr>
                <w:b/>
                <w:spacing w:val="-11"/>
                <w:sz w:val="18"/>
              </w:rPr>
              <w:t> </w:t>
            </w:r>
            <w:r>
              <w:rPr>
                <w:b/>
                <w:sz w:val="18"/>
              </w:rPr>
              <w:t>PAC</w:t>
            </w:r>
            <w:r>
              <w:rPr>
                <w:b/>
                <w:spacing w:val="-8"/>
                <w:sz w:val="18"/>
              </w:rPr>
              <w:t> </w:t>
            </w:r>
            <w:r>
              <w:rPr>
                <w:b/>
                <w:sz w:val="18"/>
              </w:rPr>
              <w:t>2.31.9:</w:t>
            </w:r>
            <w:r>
              <w:rPr>
                <w:b/>
                <w:spacing w:val="38"/>
                <w:sz w:val="18"/>
              </w:rPr>
              <w:t> </w:t>
            </w:r>
            <w:r>
              <w:rPr>
                <w:sz w:val="18"/>
              </w:rPr>
              <w:t>Incluir</w:t>
            </w:r>
            <w:r>
              <w:rPr>
                <w:spacing w:val="-5"/>
                <w:sz w:val="18"/>
              </w:rPr>
              <w:t> </w:t>
            </w:r>
            <w:r>
              <w:rPr>
                <w:sz w:val="18"/>
              </w:rPr>
              <w:t>en la</w:t>
            </w:r>
            <w:r>
              <w:rPr>
                <w:spacing w:val="-12"/>
                <w:sz w:val="18"/>
              </w:rPr>
              <w:t> </w:t>
            </w:r>
            <w:r>
              <w:rPr>
                <w:sz w:val="18"/>
              </w:rPr>
              <w:t>Formulación</w:t>
            </w:r>
            <w:r>
              <w:rPr>
                <w:spacing w:val="-12"/>
                <w:sz w:val="18"/>
              </w:rPr>
              <w:t> </w:t>
            </w:r>
            <w:r>
              <w:rPr>
                <w:sz w:val="18"/>
              </w:rPr>
              <w:t>Presupuestaria,</w:t>
            </w:r>
            <w:r>
              <w:rPr>
                <w:spacing w:val="-12"/>
                <w:sz w:val="18"/>
              </w:rPr>
              <w:t> </w:t>
            </w:r>
            <w:r>
              <w:rPr>
                <w:sz w:val="18"/>
              </w:rPr>
              <w:t>la vinculación de la necesidad del bien, obra o servicio con los objetivos estratégicos </w:t>
            </w:r>
            <w:r>
              <w:rPr>
                <w:spacing w:val="-2"/>
                <w:sz w:val="18"/>
              </w:rPr>
              <w:t>institucionales</w:t>
            </w:r>
          </w:p>
        </w:tc>
        <w:tc>
          <w:tcPr>
            <w:tcW w:w="1416" w:type="dxa"/>
          </w:tcPr>
          <w:p>
            <w:pPr>
              <w:pStyle w:val="TableParagraph"/>
              <w:rPr>
                <w:b/>
                <w:sz w:val="18"/>
              </w:rPr>
            </w:pPr>
          </w:p>
          <w:p>
            <w:pPr>
              <w:pStyle w:val="TableParagraph"/>
              <w:rPr>
                <w:b/>
                <w:sz w:val="18"/>
              </w:rPr>
            </w:pPr>
          </w:p>
          <w:p>
            <w:pPr>
              <w:pStyle w:val="TableParagraph"/>
              <w:spacing w:before="171"/>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rPr>
                <w:b/>
                <w:sz w:val="18"/>
              </w:rPr>
            </w:pPr>
          </w:p>
          <w:p>
            <w:pPr>
              <w:pStyle w:val="TableParagraph"/>
              <w:spacing w:before="171"/>
              <w:rPr>
                <w:b/>
                <w:sz w:val="18"/>
              </w:rPr>
            </w:pPr>
          </w:p>
          <w:p>
            <w:pPr>
              <w:pStyle w:val="TableParagraph"/>
              <w:ind w:left="21" w:right="8"/>
              <w:jc w:val="center"/>
              <w:rPr>
                <w:sz w:val="18"/>
              </w:rPr>
            </w:pPr>
            <w:r>
              <w:rPr>
                <w:spacing w:val="-4"/>
                <w:sz w:val="18"/>
              </w:rPr>
              <w:t>100%</w:t>
            </w:r>
          </w:p>
        </w:tc>
        <w:tc>
          <w:tcPr>
            <w:tcW w:w="1987" w:type="dxa"/>
          </w:tcPr>
          <w:p>
            <w:pPr>
              <w:pStyle w:val="TableParagraph"/>
              <w:spacing w:before="66"/>
              <w:rPr>
                <w:b/>
                <w:sz w:val="18"/>
              </w:rPr>
            </w:pPr>
          </w:p>
          <w:p>
            <w:pPr>
              <w:pStyle w:val="TableParagraph"/>
              <w:ind w:left="72"/>
              <w:rPr>
                <w:sz w:val="18"/>
              </w:rPr>
            </w:pPr>
            <w:r>
              <w:rPr>
                <w:sz w:val="18"/>
              </w:rPr>
              <w:t>Porcentaje de necesidades</w:t>
            </w:r>
            <w:r>
              <w:rPr>
                <w:spacing w:val="-13"/>
                <w:sz w:val="18"/>
              </w:rPr>
              <w:t> </w:t>
            </w:r>
            <w:r>
              <w:rPr>
                <w:sz w:val="18"/>
              </w:rPr>
              <w:t>incluidas en la información </w:t>
            </w:r>
            <w:r>
              <w:rPr>
                <w:spacing w:val="-2"/>
                <w:sz w:val="18"/>
              </w:rPr>
              <w:t>presupuestaria </w:t>
            </w:r>
            <w:r>
              <w:rPr>
                <w:sz w:val="18"/>
              </w:rPr>
              <w:t>vinculadas a los objetivos</w:t>
            </w:r>
            <w:r>
              <w:rPr>
                <w:spacing w:val="-2"/>
                <w:sz w:val="18"/>
              </w:rPr>
              <w:t> </w:t>
            </w:r>
            <w:r>
              <w:rPr>
                <w:sz w:val="18"/>
              </w:rPr>
              <w:t>estratégicos</w:t>
            </w:r>
          </w:p>
        </w:tc>
        <w:tc>
          <w:tcPr>
            <w:tcW w:w="1843" w:type="dxa"/>
          </w:tcPr>
          <w:p>
            <w:pPr>
              <w:pStyle w:val="TableParagraph"/>
              <w:spacing w:line="173" w:lineRule="exact"/>
              <w:ind w:left="73"/>
              <w:rPr>
                <w:sz w:val="18"/>
              </w:rPr>
            </w:pPr>
            <w:r>
              <w:rPr>
                <w:spacing w:val="-2"/>
                <w:sz w:val="18"/>
              </w:rPr>
              <w:t>Documentación</w:t>
            </w:r>
          </w:p>
          <w:p>
            <w:pPr>
              <w:pStyle w:val="TableParagraph"/>
              <w:ind w:left="73" w:right="111"/>
              <w:rPr>
                <w:sz w:val="18"/>
              </w:rPr>
            </w:pPr>
            <w:r>
              <w:rPr>
                <w:sz w:val="18"/>
              </w:rPr>
              <w:t>generada por la herramienta</w:t>
            </w:r>
            <w:r>
              <w:rPr>
                <w:spacing w:val="-13"/>
                <w:sz w:val="18"/>
              </w:rPr>
              <w:t> </w:t>
            </w:r>
            <w:r>
              <w:rPr>
                <w:sz w:val="18"/>
              </w:rPr>
              <w:t>donde se detalla lo solicitado por las unidades para la </w:t>
            </w:r>
            <w:r>
              <w:rPr>
                <w:spacing w:val="-2"/>
                <w:sz w:val="18"/>
              </w:rPr>
              <w:t>formulación </w:t>
            </w:r>
            <w:r>
              <w:rPr>
                <w:sz w:val="18"/>
              </w:rPr>
              <w:t>presupuestaria,</w:t>
            </w:r>
            <w:r>
              <w:rPr>
                <w:spacing w:val="-12"/>
                <w:sz w:val="18"/>
              </w:rPr>
              <w:t> </w:t>
            </w:r>
            <w:r>
              <w:rPr>
                <w:sz w:val="18"/>
              </w:rPr>
              <w:t>de</w:t>
            </w:r>
          </w:p>
          <w:p>
            <w:pPr>
              <w:pStyle w:val="TableParagraph"/>
              <w:spacing w:line="155" w:lineRule="exact" w:before="1"/>
              <w:ind w:left="73"/>
              <w:rPr>
                <w:sz w:val="18"/>
              </w:rPr>
            </w:pPr>
            <w:r>
              <w:rPr>
                <w:sz w:val="18"/>
              </w:rPr>
              <w:t>forma</w:t>
            </w:r>
            <w:r>
              <w:rPr>
                <w:spacing w:val="-2"/>
                <w:sz w:val="18"/>
              </w:rPr>
              <w:t> anual.</w:t>
            </w:r>
          </w:p>
        </w:tc>
        <w:tc>
          <w:tcPr>
            <w:tcW w:w="1416" w:type="dxa"/>
          </w:tcPr>
          <w:p>
            <w:pPr>
              <w:pStyle w:val="TableParagraph"/>
              <w:rPr>
                <w:b/>
                <w:sz w:val="18"/>
              </w:rPr>
            </w:pPr>
          </w:p>
          <w:p>
            <w:pPr>
              <w:pStyle w:val="TableParagraph"/>
              <w:rPr>
                <w:b/>
                <w:sz w:val="18"/>
              </w:rPr>
            </w:pPr>
          </w:p>
          <w:p>
            <w:pPr>
              <w:pStyle w:val="TableParagraph"/>
              <w:spacing w:before="171"/>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bottom w:val="thickThinMediumGap" w:sz="9" w:space="0" w:color="808080"/>
            </w:tcBorders>
          </w:tcPr>
          <w:p>
            <w:pPr>
              <w:rPr>
                <w:sz w:val="2"/>
                <w:szCs w:val="2"/>
              </w:rPr>
            </w:pPr>
          </w:p>
        </w:tc>
      </w:tr>
      <w:tr>
        <w:trPr>
          <w:trHeight w:val="1219" w:hRule="atLeast"/>
        </w:trPr>
        <w:tc>
          <w:tcPr>
            <w:tcW w:w="2828" w:type="dxa"/>
            <w:gridSpan w:val="2"/>
            <w:tcBorders>
              <w:bottom w:val="thickThinMediumGap" w:sz="9" w:space="0" w:color="808080"/>
            </w:tcBorders>
          </w:tcPr>
          <w:p>
            <w:pPr>
              <w:pStyle w:val="TableParagraph"/>
              <w:spacing w:before="173"/>
              <w:ind w:left="72"/>
              <w:rPr>
                <w:sz w:val="18"/>
              </w:rPr>
            </w:pPr>
            <w:r>
              <w:rPr>
                <w:b/>
                <w:sz w:val="18"/>
              </w:rPr>
              <w:t>Actividad</w:t>
            </w:r>
            <w:r>
              <w:rPr>
                <w:b/>
                <w:spacing w:val="-13"/>
                <w:sz w:val="18"/>
              </w:rPr>
              <w:t> </w:t>
            </w:r>
            <w:r>
              <w:rPr>
                <w:b/>
                <w:sz w:val="18"/>
              </w:rPr>
              <w:t>PAC</w:t>
            </w:r>
            <w:r>
              <w:rPr>
                <w:b/>
                <w:spacing w:val="-10"/>
                <w:sz w:val="18"/>
              </w:rPr>
              <w:t> </w:t>
            </w:r>
            <w:r>
              <w:rPr>
                <w:b/>
                <w:sz w:val="18"/>
              </w:rPr>
              <w:t>2.31.10:</w:t>
            </w:r>
            <w:r>
              <w:rPr>
                <w:b/>
                <w:spacing w:val="-5"/>
                <w:sz w:val="18"/>
              </w:rPr>
              <w:t> </w:t>
            </w:r>
            <w:r>
              <w:rPr>
                <w:sz w:val="18"/>
              </w:rPr>
              <w:t>Cumplir con los acuerdos del Consejo Directivo</w:t>
            </w:r>
            <w:r>
              <w:rPr>
                <w:spacing w:val="-4"/>
                <w:sz w:val="18"/>
              </w:rPr>
              <w:t> </w:t>
            </w:r>
            <w:r>
              <w:rPr>
                <w:sz w:val="18"/>
              </w:rPr>
              <w:t>y</w:t>
            </w:r>
            <w:r>
              <w:rPr>
                <w:spacing w:val="-4"/>
                <w:sz w:val="18"/>
              </w:rPr>
              <w:t> </w:t>
            </w:r>
            <w:r>
              <w:rPr>
                <w:sz w:val="18"/>
              </w:rPr>
              <w:t>las</w:t>
            </w:r>
            <w:r>
              <w:rPr>
                <w:spacing w:val="-4"/>
                <w:sz w:val="18"/>
              </w:rPr>
              <w:t> </w:t>
            </w:r>
            <w:r>
              <w:rPr>
                <w:spacing w:val="-2"/>
                <w:sz w:val="18"/>
              </w:rPr>
              <w:t>recomendaciones</w:t>
            </w:r>
          </w:p>
          <w:p>
            <w:pPr>
              <w:pStyle w:val="TableParagraph"/>
              <w:spacing w:line="206" w:lineRule="exact"/>
              <w:ind w:left="72"/>
              <w:rPr>
                <w:b/>
                <w:sz w:val="18"/>
              </w:rPr>
            </w:pPr>
            <w:r>
              <w:rPr>
                <w:sz w:val="18"/>
              </w:rPr>
              <w:t>de</w:t>
            </w:r>
            <w:r>
              <w:rPr>
                <w:spacing w:val="-7"/>
                <w:sz w:val="18"/>
              </w:rPr>
              <w:t> </w:t>
            </w:r>
            <w:r>
              <w:rPr>
                <w:sz w:val="18"/>
              </w:rPr>
              <w:t>la</w:t>
            </w:r>
            <w:r>
              <w:rPr>
                <w:spacing w:val="-7"/>
                <w:sz w:val="18"/>
              </w:rPr>
              <w:t> </w:t>
            </w:r>
            <w:r>
              <w:rPr>
                <w:sz w:val="18"/>
              </w:rPr>
              <w:t>Auditoría</w:t>
            </w:r>
            <w:r>
              <w:rPr>
                <w:spacing w:val="-10"/>
                <w:sz w:val="18"/>
              </w:rPr>
              <w:t> </w:t>
            </w:r>
            <w:r>
              <w:rPr>
                <w:sz w:val="18"/>
              </w:rPr>
              <w:t>Interna</w:t>
            </w:r>
            <w:r>
              <w:rPr>
                <w:spacing w:val="-10"/>
                <w:sz w:val="18"/>
              </w:rPr>
              <w:t> </w:t>
            </w:r>
            <w:r>
              <w:rPr>
                <w:sz w:val="18"/>
              </w:rPr>
              <w:t>y</w:t>
            </w:r>
            <w:r>
              <w:rPr>
                <w:spacing w:val="-6"/>
                <w:sz w:val="18"/>
              </w:rPr>
              <w:t> </w:t>
            </w:r>
            <w:r>
              <w:rPr>
                <w:sz w:val="18"/>
              </w:rPr>
              <w:t>Externa, en tiempo y forma</w:t>
            </w:r>
            <w:r>
              <w:rPr>
                <w:b/>
                <w:sz w:val="18"/>
              </w:rPr>
              <w:t>.</w:t>
            </w:r>
          </w:p>
        </w:tc>
        <w:tc>
          <w:tcPr>
            <w:tcW w:w="1416" w:type="dxa"/>
            <w:tcBorders>
              <w:bottom w:val="thickThinMediumGap" w:sz="9" w:space="0" w:color="808080"/>
            </w:tcBorders>
          </w:tcPr>
          <w:p>
            <w:pPr>
              <w:pStyle w:val="TableParagraph"/>
              <w:rPr>
                <w:b/>
                <w:sz w:val="18"/>
              </w:rPr>
            </w:pPr>
          </w:p>
          <w:p>
            <w:pPr>
              <w:pStyle w:val="TableParagraph"/>
              <w:spacing w:before="71"/>
              <w:rPr>
                <w:b/>
                <w:sz w:val="18"/>
              </w:rPr>
            </w:pPr>
          </w:p>
          <w:p>
            <w:pPr>
              <w:pStyle w:val="TableParagraph"/>
              <w:ind w:left="20" w:right="3"/>
              <w:jc w:val="center"/>
              <w:rPr>
                <w:sz w:val="18"/>
              </w:rPr>
            </w:pPr>
            <w:r>
              <w:rPr>
                <w:spacing w:val="-4"/>
                <w:sz w:val="18"/>
              </w:rPr>
              <w:t>100%</w:t>
            </w:r>
          </w:p>
        </w:tc>
        <w:tc>
          <w:tcPr>
            <w:tcW w:w="1277" w:type="dxa"/>
            <w:tcBorders>
              <w:bottom w:val="thickThinMediumGap" w:sz="9" w:space="0" w:color="808080"/>
            </w:tcBorders>
          </w:tcPr>
          <w:p>
            <w:pPr>
              <w:pStyle w:val="TableParagraph"/>
              <w:rPr>
                <w:b/>
                <w:sz w:val="18"/>
              </w:rPr>
            </w:pPr>
          </w:p>
          <w:p>
            <w:pPr>
              <w:pStyle w:val="TableParagraph"/>
              <w:spacing w:before="71"/>
              <w:rPr>
                <w:b/>
                <w:sz w:val="18"/>
              </w:rPr>
            </w:pPr>
          </w:p>
          <w:p>
            <w:pPr>
              <w:pStyle w:val="TableParagraph"/>
              <w:ind w:left="21" w:right="8"/>
              <w:jc w:val="center"/>
              <w:rPr>
                <w:sz w:val="18"/>
              </w:rPr>
            </w:pPr>
            <w:r>
              <w:rPr>
                <w:spacing w:val="-4"/>
                <w:sz w:val="18"/>
              </w:rPr>
              <w:t>100%</w:t>
            </w:r>
          </w:p>
        </w:tc>
        <w:tc>
          <w:tcPr>
            <w:tcW w:w="1987" w:type="dxa"/>
            <w:tcBorders>
              <w:bottom w:val="thickThinMediumGap" w:sz="9" w:space="0" w:color="808080"/>
            </w:tcBorders>
          </w:tcPr>
          <w:p>
            <w:pPr>
              <w:pStyle w:val="TableParagraph"/>
              <w:spacing w:before="173"/>
              <w:ind w:left="72"/>
              <w:rPr>
                <w:sz w:val="18"/>
              </w:rPr>
            </w:pPr>
            <w:r>
              <w:rPr>
                <w:sz w:val="18"/>
              </w:rPr>
              <w:t>Porcentaje de cumplimiento de acuerdos y </w:t>
            </w:r>
            <w:r>
              <w:rPr>
                <w:spacing w:val="-2"/>
                <w:sz w:val="18"/>
              </w:rPr>
              <w:t>recomendaciones</w:t>
            </w:r>
          </w:p>
        </w:tc>
        <w:tc>
          <w:tcPr>
            <w:tcW w:w="1843" w:type="dxa"/>
            <w:tcBorders>
              <w:bottom w:val="thickThinMediumGap" w:sz="9" w:space="0" w:color="808080"/>
            </w:tcBorders>
          </w:tcPr>
          <w:p>
            <w:pPr>
              <w:pStyle w:val="TableParagraph"/>
              <w:spacing w:before="173"/>
              <w:ind w:left="73" w:right="49"/>
              <w:rPr>
                <w:sz w:val="18"/>
              </w:rPr>
            </w:pPr>
            <w:r>
              <w:rPr>
                <w:spacing w:val="-2"/>
                <w:sz w:val="18"/>
              </w:rPr>
              <w:t>Documentación </w:t>
            </w:r>
            <w:r>
              <w:rPr>
                <w:sz w:val="18"/>
              </w:rPr>
              <w:t>respaldo</w:t>
            </w:r>
            <w:r>
              <w:rPr>
                <w:spacing w:val="-15"/>
                <w:sz w:val="18"/>
              </w:rPr>
              <w:t> </w:t>
            </w:r>
            <w:r>
              <w:rPr>
                <w:sz w:val="18"/>
              </w:rPr>
              <w:t>mediante</w:t>
            </w:r>
            <w:r>
              <w:rPr>
                <w:spacing w:val="-12"/>
                <w:sz w:val="18"/>
              </w:rPr>
              <w:t> </w:t>
            </w:r>
            <w:r>
              <w:rPr>
                <w:sz w:val="18"/>
              </w:rPr>
              <w:t>el cual se cumple los </w:t>
            </w:r>
            <w:r>
              <w:rPr>
                <w:spacing w:val="-2"/>
                <w:sz w:val="18"/>
              </w:rPr>
              <w:t>acuerdos.</w:t>
            </w:r>
          </w:p>
        </w:tc>
        <w:tc>
          <w:tcPr>
            <w:tcW w:w="1416" w:type="dxa"/>
            <w:tcBorders>
              <w:bottom w:val="thickThinMediumGap" w:sz="9" w:space="0" w:color="808080"/>
            </w:tcBorders>
          </w:tcPr>
          <w:p>
            <w:pPr>
              <w:pStyle w:val="TableParagraph"/>
              <w:rPr>
                <w:b/>
                <w:sz w:val="18"/>
              </w:rPr>
            </w:pPr>
          </w:p>
          <w:p>
            <w:pPr>
              <w:pStyle w:val="TableParagraph"/>
              <w:spacing w:before="71"/>
              <w:rPr>
                <w:b/>
                <w:sz w:val="18"/>
              </w:rPr>
            </w:pPr>
          </w:p>
          <w:p>
            <w:pPr>
              <w:pStyle w:val="TableParagraph"/>
              <w:ind w:left="74"/>
              <w:rPr>
                <w:sz w:val="18"/>
              </w:rPr>
            </w:pPr>
            <w:r>
              <w:rPr>
                <w:spacing w:val="-5"/>
                <w:sz w:val="18"/>
              </w:rPr>
              <w:t>DAF</w:t>
            </w:r>
          </w:p>
        </w:tc>
        <w:tc>
          <w:tcPr>
            <w:tcW w:w="1560" w:type="dxa"/>
            <w:tcBorders>
              <w:bottom w:val="thickThinMediumGap" w:sz="9" w:space="0" w:color="808080"/>
            </w:tcBorders>
          </w:tcPr>
          <w:p>
            <w:pPr>
              <w:pStyle w:val="TableParagraph"/>
              <w:rPr>
                <w:rFonts w:ascii="Times New Roman"/>
                <w:sz w:val="18"/>
              </w:rPr>
            </w:pPr>
          </w:p>
        </w:tc>
        <w:tc>
          <w:tcPr>
            <w:tcW w:w="2064" w:type="dxa"/>
            <w:vMerge/>
            <w:tcBorders>
              <w:top w:val="nil"/>
              <w:bottom w:val="thickThinMediumGap" w:sz="9" w:space="0" w:color="808080"/>
            </w:tcBorders>
          </w:tcPr>
          <w:p>
            <w:pPr>
              <w:rPr>
                <w:sz w:val="2"/>
                <w:szCs w:val="2"/>
              </w:rPr>
            </w:pPr>
          </w:p>
        </w:tc>
      </w:tr>
      <w:tr>
        <w:trPr>
          <w:trHeight w:val="1391" w:hRule="atLeast"/>
        </w:trPr>
        <w:tc>
          <w:tcPr>
            <w:tcW w:w="1486" w:type="dxa"/>
            <w:tcBorders>
              <w:top w:val="thinThickMediumGap" w:sz="9" w:space="0" w:color="808080"/>
              <w:left w:val="nil"/>
              <w:bottom w:val="nil"/>
              <w:right w:val="single" w:sz="18" w:space="0" w:color="808080"/>
            </w:tcBorders>
          </w:tcPr>
          <w:p>
            <w:pPr>
              <w:pStyle w:val="TableParagraph"/>
              <w:spacing w:before="8"/>
              <w:ind w:left="106"/>
              <w:rPr>
                <w:b/>
                <w:sz w:val="24"/>
              </w:rPr>
            </w:pPr>
            <w:r>
              <w:rPr>
                <w:b/>
                <w:spacing w:val="-5"/>
                <w:sz w:val="24"/>
              </w:rPr>
              <w:t>211</w:t>
            </w:r>
          </w:p>
        </w:tc>
        <w:tc>
          <w:tcPr>
            <w:tcW w:w="12905" w:type="dxa"/>
            <w:gridSpan w:val="8"/>
            <w:tcBorders>
              <w:top w:val="thinThickMediumGap" w:sz="9" w:space="0" w:color="808080"/>
              <w:left w:val="single" w:sz="18" w:space="0" w:color="808080"/>
              <w:bottom w:val="nil"/>
              <w:right w:val="nil"/>
            </w:tcBorders>
          </w:tcPr>
          <w:p>
            <w:pPr>
              <w:pStyle w:val="TableParagraph"/>
              <w:spacing w:line="242" w:lineRule="auto" w:before="8"/>
              <w:ind w:left="95" w:right="9181"/>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76"/>
          <w:pgSz w:w="15840" w:h="12240" w:orient="landscape"/>
          <w:pgMar w:header="0" w:footer="0" w:top="700" w:bottom="2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8"/>
        <w:gridCol w:w="1416"/>
        <w:gridCol w:w="1277"/>
        <w:gridCol w:w="1987"/>
        <w:gridCol w:w="1843"/>
        <w:gridCol w:w="1416"/>
        <w:gridCol w:w="1560"/>
        <w:gridCol w:w="2064"/>
      </w:tblGrid>
      <w:tr>
        <w:trPr>
          <w:trHeight w:val="925" w:hRule="atLeast"/>
        </w:trPr>
        <w:tc>
          <w:tcPr>
            <w:tcW w:w="2828" w:type="dxa"/>
            <w:shd w:val="clear" w:color="auto" w:fill="D7D7D7"/>
          </w:tcPr>
          <w:p>
            <w:pPr>
              <w:pStyle w:val="TableParagraph"/>
              <w:spacing w:before="151"/>
              <w:rPr>
                <w:b/>
                <w:sz w:val="18"/>
              </w:rPr>
            </w:pPr>
          </w:p>
          <w:p>
            <w:pPr>
              <w:pStyle w:val="TableParagraph"/>
              <w:spacing w:before="1"/>
              <w:ind w:left="446"/>
              <w:rPr>
                <w:b/>
                <w:sz w:val="18"/>
              </w:rPr>
            </w:pPr>
            <w:r>
              <w:rPr>
                <w:b/>
                <w:sz w:val="18"/>
              </w:rPr>
              <w:t>Objetivos</w:t>
            </w:r>
            <w:r>
              <w:rPr>
                <w:b/>
                <w:spacing w:val="-5"/>
                <w:sz w:val="18"/>
              </w:rPr>
              <w:t> </w:t>
            </w:r>
            <w:r>
              <w:rPr>
                <w:b/>
                <w:sz w:val="18"/>
              </w:rPr>
              <w:t>/</w:t>
            </w:r>
            <w:r>
              <w:rPr>
                <w:b/>
                <w:spacing w:val="-2"/>
                <w:sz w:val="18"/>
              </w:rPr>
              <w:t> Resultados</w:t>
            </w:r>
          </w:p>
        </w:tc>
        <w:tc>
          <w:tcPr>
            <w:tcW w:w="1416" w:type="dxa"/>
            <w:shd w:val="clear" w:color="auto" w:fill="D7D7D7"/>
          </w:tcPr>
          <w:p>
            <w:pPr>
              <w:pStyle w:val="TableParagraph"/>
              <w:spacing w:before="46"/>
              <w:rPr>
                <w:b/>
                <w:sz w:val="18"/>
              </w:rPr>
            </w:pPr>
          </w:p>
          <w:p>
            <w:pPr>
              <w:pStyle w:val="TableParagraph"/>
              <w:ind w:left="451" w:hanging="216"/>
              <w:rPr>
                <w:b/>
                <w:sz w:val="18"/>
              </w:rPr>
            </w:pPr>
            <w:r>
              <w:rPr>
                <w:b/>
                <w:sz w:val="18"/>
              </w:rPr>
              <w:t>Línea</w:t>
            </w:r>
            <w:r>
              <w:rPr>
                <w:b/>
                <w:spacing w:val="-13"/>
                <w:sz w:val="18"/>
              </w:rPr>
              <w:t> </w:t>
            </w:r>
            <w:r>
              <w:rPr>
                <w:b/>
                <w:sz w:val="18"/>
              </w:rPr>
              <w:t>Base </w:t>
            </w:r>
            <w:r>
              <w:rPr>
                <w:b/>
                <w:spacing w:val="-2"/>
                <w:sz w:val="18"/>
              </w:rPr>
              <w:t>(2024)</w:t>
            </w:r>
          </w:p>
        </w:tc>
        <w:tc>
          <w:tcPr>
            <w:tcW w:w="1277" w:type="dxa"/>
            <w:shd w:val="clear" w:color="auto" w:fill="D7D7D7"/>
          </w:tcPr>
          <w:p>
            <w:pPr>
              <w:pStyle w:val="TableParagraph"/>
              <w:spacing w:before="152"/>
              <w:ind w:left="120" w:right="98" w:hanging="10"/>
              <w:jc w:val="center"/>
              <w:rPr>
                <w:b/>
                <w:sz w:val="18"/>
              </w:rPr>
            </w:pPr>
            <w:r>
              <w:rPr>
                <w:b/>
                <w:spacing w:val="-4"/>
                <w:sz w:val="18"/>
              </w:rPr>
              <w:t>Meta </w:t>
            </w:r>
            <w:r>
              <w:rPr>
                <w:b/>
                <w:spacing w:val="-2"/>
                <w:sz w:val="18"/>
              </w:rPr>
              <w:t>programada </w:t>
            </w:r>
            <w:r>
              <w:rPr>
                <w:b/>
                <w:spacing w:val="-4"/>
                <w:sz w:val="18"/>
              </w:rPr>
              <w:t>2026</w:t>
            </w:r>
          </w:p>
        </w:tc>
        <w:tc>
          <w:tcPr>
            <w:tcW w:w="1987" w:type="dxa"/>
            <w:shd w:val="clear" w:color="auto" w:fill="D7D7D7"/>
          </w:tcPr>
          <w:p>
            <w:pPr>
              <w:pStyle w:val="TableParagraph"/>
              <w:spacing w:before="151"/>
              <w:rPr>
                <w:b/>
                <w:sz w:val="18"/>
              </w:rPr>
            </w:pPr>
          </w:p>
          <w:p>
            <w:pPr>
              <w:pStyle w:val="TableParagraph"/>
              <w:spacing w:before="1"/>
              <w:ind w:left="591"/>
              <w:rPr>
                <w:b/>
                <w:sz w:val="18"/>
              </w:rPr>
            </w:pPr>
            <w:r>
              <w:rPr>
                <w:b/>
                <w:spacing w:val="-2"/>
                <w:sz w:val="18"/>
              </w:rPr>
              <w:t>Indicador</w:t>
            </w:r>
          </w:p>
        </w:tc>
        <w:tc>
          <w:tcPr>
            <w:tcW w:w="1843" w:type="dxa"/>
            <w:shd w:val="clear" w:color="auto" w:fill="D7D7D7"/>
          </w:tcPr>
          <w:p>
            <w:pPr>
              <w:pStyle w:val="TableParagraph"/>
              <w:spacing w:before="46"/>
              <w:rPr>
                <w:b/>
                <w:sz w:val="18"/>
              </w:rPr>
            </w:pPr>
          </w:p>
          <w:p>
            <w:pPr>
              <w:pStyle w:val="TableParagraph"/>
              <w:ind w:left="423" w:right="49" w:firstLine="57"/>
              <w:rPr>
                <w:b/>
                <w:sz w:val="18"/>
              </w:rPr>
            </w:pPr>
            <w:r>
              <w:rPr>
                <w:b/>
                <w:sz w:val="18"/>
              </w:rPr>
              <w:t>Medios de </w:t>
            </w:r>
            <w:r>
              <w:rPr>
                <w:b/>
                <w:spacing w:val="-2"/>
                <w:sz w:val="18"/>
              </w:rPr>
              <w:t>verificación</w:t>
            </w:r>
          </w:p>
        </w:tc>
        <w:tc>
          <w:tcPr>
            <w:tcW w:w="1416" w:type="dxa"/>
            <w:shd w:val="clear" w:color="auto" w:fill="D7D7D7"/>
          </w:tcPr>
          <w:p>
            <w:pPr>
              <w:pStyle w:val="TableParagraph"/>
              <w:spacing w:before="151"/>
              <w:rPr>
                <w:b/>
                <w:sz w:val="18"/>
              </w:rPr>
            </w:pPr>
          </w:p>
          <w:p>
            <w:pPr>
              <w:pStyle w:val="TableParagraph"/>
              <w:spacing w:before="1"/>
              <w:ind w:left="150"/>
              <w:rPr>
                <w:b/>
                <w:sz w:val="18"/>
              </w:rPr>
            </w:pPr>
            <w:r>
              <w:rPr>
                <w:b/>
                <w:spacing w:val="-2"/>
                <w:sz w:val="18"/>
              </w:rPr>
              <w:t>Responsable</w:t>
            </w:r>
          </w:p>
        </w:tc>
        <w:tc>
          <w:tcPr>
            <w:tcW w:w="1560" w:type="dxa"/>
            <w:shd w:val="clear" w:color="auto" w:fill="D7D7D7"/>
          </w:tcPr>
          <w:p>
            <w:pPr>
              <w:pStyle w:val="TableParagraph"/>
              <w:spacing w:before="46"/>
              <w:rPr>
                <w:b/>
                <w:sz w:val="18"/>
              </w:rPr>
            </w:pPr>
          </w:p>
          <w:p>
            <w:pPr>
              <w:pStyle w:val="TableParagraph"/>
              <w:ind w:left="386" w:right="58" w:hanging="149"/>
              <w:rPr>
                <w:b/>
                <w:sz w:val="18"/>
              </w:rPr>
            </w:pPr>
            <w:r>
              <w:rPr>
                <w:b/>
                <w:spacing w:val="-2"/>
                <w:sz w:val="18"/>
              </w:rPr>
              <w:t>Presupuesto asignado</w:t>
            </w:r>
          </w:p>
        </w:tc>
        <w:tc>
          <w:tcPr>
            <w:tcW w:w="2064" w:type="dxa"/>
            <w:tcBorders>
              <w:bottom w:val="nil"/>
            </w:tcBorders>
            <w:shd w:val="clear" w:color="auto" w:fill="D7D7D7"/>
          </w:tcPr>
          <w:p>
            <w:pPr>
              <w:pStyle w:val="TableParagraph"/>
              <w:spacing w:before="151"/>
              <w:rPr>
                <w:b/>
                <w:sz w:val="18"/>
              </w:rPr>
            </w:pPr>
          </w:p>
          <w:p>
            <w:pPr>
              <w:pStyle w:val="TableParagraph"/>
              <w:spacing w:before="1"/>
              <w:ind w:left="75"/>
              <w:rPr>
                <w:b/>
                <w:sz w:val="18"/>
              </w:rPr>
            </w:pPr>
            <w:r>
              <w:rPr>
                <w:b/>
                <w:spacing w:val="-2"/>
                <w:sz w:val="18"/>
              </w:rPr>
              <w:t>Riesgos</w:t>
            </w:r>
          </w:p>
        </w:tc>
      </w:tr>
      <w:tr>
        <w:trPr>
          <w:trHeight w:val="1450" w:hRule="atLeast"/>
        </w:trPr>
        <w:tc>
          <w:tcPr>
            <w:tcW w:w="2828" w:type="dxa"/>
          </w:tcPr>
          <w:p>
            <w:pPr>
              <w:pStyle w:val="TableParagraph"/>
              <w:spacing w:before="206"/>
              <w:ind w:left="72" w:right="84"/>
              <w:rPr>
                <w:sz w:val="18"/>
              </w:rPr>
            </w:pPr>
            <w:r>
              <w:rPr>
                <w:b/>
                <w:sz w:val="18"/>
              </w:rPr>
              <w:t>Actividad</w:t>
            </w:r>
            <w:r>
              <w:rPr>
                <w:b/>
                <w:spacing w:val="-12"/>
                <w:sz w:val="18"/>
              </w:rPr>
              <w:t> </w:t>
            </w:r>
            <w:r>
              <w:rPr>
                <w:b/>
                <w:sz w:val="18"/>
              </w:rPr>
              <w:t>PAC</w:t>
            </w:r>
            <w:r>
              <w:rPr>
                <w:b/>
                <w:spacing w:val="-9"/>
                <w:sz w:val="18"/>
              </w:rPr>
              <w:t> </w:t>
            </w:r>
            <w:r>
              <w:rPr>
                <w:b/>
                <w:sz w:val="18"/>
              </w:rPr>
              <w:t>2.31.11:</w:t>
            </w:r>
            <w:r>
              <w:rPr>
                <w:b/>
                <w:spacing w:val="36"/>
                <w:sz w:val="18"/>
              </w:rPr>
              <w:t> </w:t>
            </w:r>
            <w:r>
              <w:rPr>
                <w:sz w:val="18"/>
              </w:rPr>
              <w:t>Brindar asesoría a las unidades ejecutoras institucionales en materia contable, que permita una mejora continua en la</w:t>
            </w:r>
          </w:p>
          <w:p>
            <w:pPr>
              <w:pStyle w:val="TableParagraph"/>
              <w:spacing w:line="187" w:lineRule="exact" w:before="2"/>
              <w:ind w:left="72"/>
              <w:rPr>
                <w:sz w:val="18"/>
              </w:rPr>
            </w:pPr>
            <w:r>
              <w:rPr>
                <w:sz w:val="18"/>
              </w:rPr>
              <w:t>calidad</w:t>
            </w:r>
            <w:r>
              <w:rPr>
                <w:spacing w:val="-1"/>
                <w:sz w:val="18"/>
              </w:rPr>
              <w:t> </w:t>
            </w:r>
            <w:r>
              <w:rPr>
                <w:sz w:val="18"/>
              </w:rPr>
              <w:t>de</w:t>
            </w:r>
            <w:r>
              <w:rPr>
                <w:spacing w:val="-5"/>
                <w:sz w:val="18"/>
              </w:rPr>
              <w:t> </w:t>
            </w:r>
            <w:r>
              <w:rPr>
                <w:sz w:val="18"/>
              </w:rPr>
              <w:t>la </w:t>
            </w:r>
            <w:r>
              <w:rPr>
                <w:spacing w:val="-2"/>
                <w:sz w:val="18"/>
              </w:rPr>
              <w:t>información.</w:t>
            </w:r>
          </w:p>
        </w:tc>
        <w:tc>
          <w:tcPr>
            <w:tcW w:w="1416" w:type="dxa"/>
          </w:tcPr>
          <w:p>
            <w:pPr>
              <w:pStyle w:val="TableParagraph"/>
              <w:rPr>
                <w:b/>
                <w:sz w:val="18"/>
              </w:rPr>
            </w:pPr>
          </w:p>
          <w:p>
            <w:pPr>
              <w:pStyle w:val="TableParagraph"/>
              <w:spacing w:before="204"/>
              <w:rPr>
                <w:b/>
                <w:sz w:val="18"/>
              </w:rPr>
            </w:pPr>
          </w:p>
          <w:p>
            <w:pPr>
              <w:pStyle w:val="TableParagraph"/>
              <w:ind w:left="18" w:right="3"/>
              <w:jc w:val="center"/>
              <w:rPr>
                <w:sz w:val="18"/>
              </w:rPr>
            </w:pPr>
            <w:r>
              <w:rPr>
                <w:spacing w:val="-5"/>
                <w:sz w:val="18"/>
              </w:rPr>
              <w:t>10</w:t>
            </w:r>
          </w:p>
        </w:tc>
        <w:tc>
          <w:tcPr>
            <w:tcW w:w="1277" w:type="dxa"/>
          </w:tcPr>
          <w:p>
            <w:pPr>
              <w:pStyle w:val="TableParagraph"/>
              <w:rPr>
                <w:b/>
                <w:sz w:val="18"/>
              </w:rPr>
            </w:pPr>
          </w:p>
          <w:p>
            <w:pPr>
              <w:pStyle w:val="TableParagraph"/>
              <w:spacing w:before="204"/>
              <w:rPr>
                <w:b/>
                <w:sz w:val="18"/>
              </w:rPr>
            </w:pPr>
          </w:p>
          <w:p>
            <w:pPr>
              <w:pStyle w:val="TableParagraph"/>
              <w:ind w:left="18" w:right="8"/>
              <w:jc w:val="center"/>
              <w:rPr>
                <w:sz w:val="18"/>
              </w:rPr>
            </w:pPr>
            <w:r>
              <w:rPr>
                <w:spacing w:val="-5"/>
                <w:sz w:val="18"/>
              </w:rPr>
              <w:t>10</w:t>
            </w:r>
          </w:p>
        </w:tc>
        <w:tc>
          <w:tcPr>
            <w:tcW w:w="1987" w:type="dxa"/>
          </w:tcPr>
          <w:p>
            <w:pPr>
              <w:pStyle w:val="TableParagraph"/>
              <w:spacing w:before="205"/>
              <w:rPr>
                <w:b/>
                <w:sz w:val="18"/>
              </w:rPr>
            </w:pPr>
          </w:p>
          <w:p>
            <w:pPr>
              <w:pStyle w:val="TableParagraph"/>
              <w:ind w:left="72"/>
              <w:rPr>
                <w:sz w:val="18"/>
              </w:rPr>
            </w:pPr>
            <w:r>
              <w:rPr>
                <w:sz w:val="18"/>
              </w:rPr>
              <w:t>Cantidad de </w:t>
            </w:r>
            <w:r>
              <w:rPr>
                <w:spacing w:val="-2"/>
                <w:sz w:val="18"/>
              </w:rPr>
              <w:t>Fiscalizaciones realizadas</w:t>
            </w:r>
          </w:p>
        </w:tc>
        <w:tc>
          <w:tcPr>
            <w:tcW w:w="1843" w:type="dxa"/>
          </w:tcPr>
          <w:p>
            <w:pPr>
              <w:pStyle w:val="TableParagraph"/>
              <w:spacing w:before="104"/>
              <w:rPr>
                <w:b/>
                <w:sz w:val="18"/>
              </w:rPr>
            </w:pPr>
          </w:p>
          <w:p>
            <w:pPr>
              <w:pStyle w:val="TableParagraph"/>
              <w:ind w:left="73" w:right="49"/>
              <w:rPr>
                <w:sz w:val="18"/>
              </w:rPr>
            </w:pPr>
            <w:r>
              <w:rPr>
                <w:sz w:val="18"/>
              </w:rPr>
              <w:t>Documentos de respaldo donde se refleja e informa sobre</w:t>
            </w:r>
            <w:r>
              <w:rPr>
                <w:spacing w:val="-15"/>
                <w:sz w:val="18"/>
              </w:rPr>
              <w:t> </w:t>
            </w:r>
            <w:r>
              <w:rPr>
                <w:sz w:val="18"/>
              </w:rPr>
              <w:t>este</w:t>
            </w:r>
            <w:r>
              <w:rPr>
                <w:spacing w:val="-12"/>
                <w:sz w:val="18"/>
              </w:rPr>
              <w:t> </w:t>
            </w:r>
            <w:r>
              <w:rPr>
                <w:sz w:val="18"/>
              </w:rPr>
              <w:t>proceso</w:t>
            </w:r>
          </w:p>
        </w:tc>
        <w:tc>
          <w:tcPr>
            <w:tcW w:w="1416" w:type="dxa"/>
          </w:tcPr>
          <w:p>
            <w:pPr>
              <w:pStyle w:val="TableParagraph"/>
              <w:rPr>
                <w:b/>
                <w:sz w:val="18"/>
              </w:rPr>
            </w:pPr>
          </w:p>
          <w:p>
            <w:pPr>
              <w:pStyle w:val="TableParagraph"/>
              <w:spacing w:before="204"/>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val="restart"/>
            <w:tcBorders>
              <w:top w:val="nil"/>
            </w:tcBorders>
          </w:tcPr>
          <w:p>
            <w:pPr>
              <w:pStyle w:val="TableParagraph"/>
              <w:rPr>
                <w:rFonts w:ascii="Times New Roman"/>
                <w:sz w:val="18"/>
              </w:rPr>
            </w:pPr>
          </w:p>
        </w:tc>
      </w:tr>
      <w:tr>
        <w:trPr>
          <w:trHeight w:val="1032" w:hRule="atLeast"/>
        </w:trPr>
        <w:tc>
          <w:tcPr>
            <w:tcW w:w="2828" w:type="dxa"/>
          </w:tcPr>
          <w:p>
            <w:pPr>
              <w:pStyle w:val="TableParagraph"/>
              <w:spacing w:line="206" w:lineRule="exact" w:before="188"/>
              <w:ind w:left="72" w:right="127"/>
              <w:rPr>
                <w:sz w:val="18"/>
              </w:rPr>
            </w:pPr>
            <w:r>
              <w:rPr>
                <w:b/>
                <w:sz w:val="18"/>
              </w:rPr>
              <w:t>Actividad</w:t>
            </w:r>
            <w:r>
              <w:rPr>
                <w:b/>
                <w:spacing w:val="-12"/>
                <w:sz w:val="18"/>
              </w:rPr>
              <w:t> </w:t>
            </w:r>
            <w:r>
              <w:rPr>
                <w:b/>
                <w:sz w:val="18"/>
              </w:rPr>
              <w:t>PAC</w:t>
            </w:r>
            <w:r>
              <w:rPr>
                <w:b/>
                <w:spacing w:val="-9"/>
                <w:sz w:val="18"/>
              </w:rPr>
              <w:t> </w:t>
            </w:r>
            <w:r>
              <w:rPr>
                <w:b/>
                <w:sz w:val="18"/>
              </w:rPr>
              <w:t>2.31.12:</w:t>
            </w:r>
            <w:r>
              <w:rPr>
                <w:b/>
                <w:spacing w:val="36"/>
                <w:sz w:val="18"/>
              </w:rPr>
              <w:t> </w:t>
            </w:r>
            <w:r>
              <w:rPr>
                <w:sz w:val="18"/>
              </w:rPr>
              <w:t>Emitir los</w:t>
            </w:r>
            <w:r>
              <w:rPr>
                <w:spacing w:val="-4"/>
                <w:sz w:val="18"/>
              </w:rPr>
              <w:t> </w:t>
            </w:r>
            <w:r>
              <w:rPr>
                <w:sz w:val="18"/>
              </w:rPr>
              <w:t>Informes</w:t>
            </w:r>
            <w:r>
              <w:rPr>
                <w:spacing w:val="-4"/>
                <w:sz w:val="18"/>
              </w:rPr>
              <w:t> </w:t>
            </w:r>
            <w:r>
              <w:rPr>
                <w:sz w:val="18"/>
              </w:rPr>
              <w:t>Financieros</w:t>
            </w:r>
            <w:r>
              <w:rPr>
                <w:spacing w:val="-4"/>
                <w:sz w:val="18"/>
              </w:rPr>
              <w:t> </w:t>
            </w:r>
            <w:r>
              <w:rPr>
                <w:sz w:val="18"/>
              </w:rPr>
              <w:t>a</w:t>
            </w:r>
            <w:r>
              <w:rPr>
                <w:spacing w:val="-13"/>
                <w:sz w:val="18"/>
              </w:rPr>
              <w:t> </w:t>
            </w:r>
            <w:r>
              <w:rPr>
                <w:sz w:val="18"/>
              </w:rPr>
              <w:t>más tardar los primeros 15 días hábiles del mes siguiente.</w:t>
            </w:r>
          </w:p>
        </w:tc>
        <w:tc>
          <w:tcPr>
            <w:tcW w:w="1416" w:type="dxa"/>
          </w:tcPr>
          <w:p>
            <w:pPr>
              <w:pStyle w:val="TableParagraph"/>
              <w:spacing w:before="204"/>
              <w:rPr>
                <w:b/>
                <w:sz w:val="18"/>
              </w:rPr>
            </w:pPr>
          </w:p>
          <w:p>
            <w:pPr>
              <w:pStyle w:val="TableParagraph"/>
              <w:ind w:left="18" w:right="3"/>
              <w:jc w:val="center"/>
              <w:rPr>
                <w:sz w:val="18"/>
              </w:rPr>
            </w:pPr>
            <w:r>
              <w:rPr>
                <w:spacing w:val="-5"/>
                <w:sz w:val="18"/>
              </w:rPr>
              <w:t>12</w:t>
            </w:r>
          </w:p>
        </w:tc>
        <w:tc>
          <w:tcPr>
            <w:tcW w:w="1277" w:type="dxa"/>
          </w:tcPr>
          <w:p>
            <w:pPr>
              <w:pStyle w:val="TableParagraph"/>
              <w:spacing w:before="204"/>
              <w:rPr>
                <w:b/>
                <w:sz w:val="18"/>
              </w:rPr>
            </w:pPr>
          </w:p>
          <w:p>
            <w:pPr>
              <w:pStyle w:val="TableParagraph"/>
              <w:ind w:left="18" w:right="8"/>
              <w:jc w:val="center"/>
              <w:rPr>
                <w:sz w:val="18"/>
              </w:rPr>
            </w:pPr>
            <w:r>
              <w:rPr>
                <w:spacing w:val="-5"/>
                <w:sz w:val="18"/>
              </w:rPr>
              <w:t>12</w:t>
            </w:r>
          </w:p>
        </w:tc>
        <w:tc>
          <w:tcPr>
            <w:tcW w:w="1987" w:type="dxa"/>
          </w:tcPr>
          <w:p>
            <w:pPr>
              <w:pStyle w:val="TableParagraph"/>
              <w:spacing w:before="99"/>
              <w:rPr>
                <w:b/>
                <w:sz w:val="18"/>
              </w:rPr>
            </w:pPr>
          </w:p>
          <w:p>
            <w:pPr>
              <w:pStyle w:val="TableParagraph"/>
              <w:spacing w:line="244" w:lineRule="auto"/>
              <w:ind w:left="72"/>
              <w:rPr>
                <w:sz w:val="18"/>
              </w:rPr>
            </w:pPr>
            <w:r>
              <w:rPr>
                <w:sz w:val="18"/>
              </w:rPr>
              <w:t>Cantidad</w:t>
            </w:r>
            <w:r>
              <w:rPr>
                <w:spacing w:val="-15"/>
                <w:sz w:val="18"/>
              </w:rPr>
              <w:t> </w:t>
            </w:r>
            <w:r>
              <w:rPr>
                <w:sz w:val="18"/>
              </w:rPr>
              <w:t>de</w:t>
            </w:r>
            <w:r>
              <w:rPr>
                <w:spacing w:val="-12"/>
                <w:sz w:val="18"/>
              </w:rPr>
              <w:t> </w:t>
            </w:r>
            <w:r>
              <w:rPr>
                <w:sz w:val="18"/>
              </w:rPr>
              <w:t>informes financieros emitidos</w:t>
            </w:r>
          </w:p>
        </w:tc>
        <w:tc>
          <w:tcPr>
            <w:tcW w:w="1843" w:type="dxa"/>
          </w:tcPr>
          <w:p>
            <w:pPr>
              <w:pStyle w:val="TableParagraph"/>
              <w:spacing w:before="99"/>
              <w:ind w:left="73" w:right="49"/>
              <w:rPr>
                <w:sz w:val="18"/>
              </w:rPr>
            </w:pPr>
            <w:r>
              <w:rPr>
                <w:sz w:val="18"/>
              </w:rPr>
              <w:t>Documentos de respaldo donde se refleja e informa sobre</w:t>
            </w:r>
            <w:r>
              <w:rPr>
                <w:spacing w:val="-15"/>
                <w:sz w:val="18"/>
              </w:rPr>
              <w:t> </w:t>
            </w:r>
            <w:r>
              <w:rPr>
                <w:sz w:val="18"/>
              </w:rPr>
              <w:t>este</w:t>
            </w:r>
            <w:r>
              <w:rPr>
                <w:spacing w:val="-12"/>
                <w:sz w:val="18"/>
              </w:rPr>
              <w:t> </w:t>
            </w:r>
            <w:r>
              <w:rPr>
                <w:sz w:val="18"/>
              </w:rPr>
              <w:t>proceso</w:t>
            </w:r>
          </w:p>
        </w:tc>
        <w:tc>
          <w:tcPr>
            <w:tcW w:w="1416" w:type="dxa"/>
          </w:tcPr>
          <w:p>
            <w:pPr>
              <w:pStyle w:val="TableParagraph"/>
              <w:spacing w:before="204"/>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tcBorders>
          </w:tcPr>
          <w:p>
            <w:pPr>
              <w:rPr>
                <w:sz w:val="2"/>
                <w:szCs w:val="2"/>
              </w:rPr>
            </w:pPr>
          </w:p>
        </w:tc>
      </w:tr>
      <w:tr>
        <w:trPr>
          <w:trHeight w:val="1939" w:hRule="atLeast"/>
        </w:trPr>
        <w:tc>
          <w:tcPr>
            <w:tcW w:w="2828" w:type="dxa"/>
          </w:tcPr>
          <w:p>
            <w:pPr>
              <w:pStyle w:val="TableParagraph"/>
              <w:rPr>
                <w:b/>
                <w:sz w:val="18"/>
              </w:rPr>
            </w:pPr>
          </w:p>
          <w:p>
            <w:pPr>
              <w:pStyle w:val="TableParagraph"/>
              <w:spacing w:before="36"/>
              <w:rPr>
                <w:b/>
                <w:sz w:val="18"/>
              </w:rPr>
            </w:pPr>
          </w:p>
          <w:p>
            <w:pPr>
              <w:pStyle w:val="TableParagraph"/>
              <w:ind w:left="72" w:right="62"/>
              <w:rPr>
                <w:sz w:val="18"/>
              </w:rPr>
            </w:pPr>
            <w:r>
              <w:rPr>
                <w:b/>
                <w:sz w:val="18"/>
              </w:rPr>
              <w:t>Actividad PAC 2.31.13:</w:t>
            </w:r>
            <w:r>
              <w:rPr>
                <w:b/>
                <w:spacing w:val="40"/>
                <w:sz w:val="18"/>
              </w:rPr>
              <w:t> </w:t>
            </w:r>
            <w:r>
              <w:rPr>
                <w:sz w:val="18"/>
              </w:rPr>
              <w:t>Enviar trimestralmente, en tiempo y forma,</w:t>
            </w:r>
            <w:r>
              <w:rPr>
                <w:spacing w:val="-7"/>
                <w:sz w:val="18"/>
              </w:rPr>
              <w:t> </w:t>
            </w:r>
            <w:r>
              <w:rPr>
                <w:sz w:val="18"/>
              </w:rPr>
              <w:t>al</w:t>
            </w:r>
            <w:r>
              <w:rPr>
                <w:spacing w:val="-13"/>
                <w:sz w:val="18"/>
              </w:rPr>
              <w:t> </w:t>
            </w:r>
            <w:r>
              <w:rPr>
                <w:sz w:val="18"/>
              </w:rPr>
              <w:t>Jerarca</w:t>
            </w:r>
            <w:r>
              <w:rPr>
                <w:spacing w:val="-8"/>
                <w:sz w:val="18"/>
              </w:rPr>
              <w:t> </w:t>
            </w:r>
            <w:r>
              <w:rPr>
                <w:sz w:val="18"/>
              </w:rPr>
              <w:t>institucional,</w:t>
            </w:r>
            <w:r>
              <w:rPr>
                <w:spacing w:val="-10"/>
                <w:sz w:val="18"/>
              </w:rPr>
              <w:t> </w:t>
            </w:r>
            <w:r>
              <w:rPr>
                <w:sz w:val="18"/>
              </w:rPr>
              <w:t>los Estados Financieros consolidados, con un análisis </w:t>
            </w:r>
            <w:r>
              <w:rPr>
                <w:spacing w:val="-2"/>
                <w:sz w:val="18"/>
              </w:rPr>
              <w:t>financiero.</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35"/>
              <w:rPr>
                <w:b/>
                <w:sz w:val="18"/>
              </w:rPr>
            </w:pPr>
          </w:p>
          <w:p>
            <w:pPr>
              <w:pStyle w:val="TableParagraph"/>
              <w:ind w:left="17" w:right="6"/>
              <w:jc w:val="center"/>
              <w:rPr>
                <w:sz w:val="18"/>
              </w:rPr>
            </w:pPr>
            <w:r>
              <w:rPr>
                <w:spacing w:val="-10"/>
                <w:sz w:val="18"/>
              </w:rPr>
              <w:t>4</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35"/>
              <w:rPr>
                <w:b/>
                <w:sz w:val="18"/>
              </w:rPr>
            </w:pPr>
          </w:p>
          <w:p>
            <w:pPr>
              <w:pStyle w:val="TableParagraph"/>
              <w:ind w:left="24" w:right="8"/>
              <w:jc w:val="center"/>
              <w:rPr>
                <w:sz w:val="18"/>
              </w:rPr>
            </w:pPr>
            <w:r>
              <w:rPr>
                <w:spacing w:val="-10"/>
                <w:sz w:val="18"/>
              </w:rPr>
              <w:t>4</w:t>
            </w:r>
          </w:p>
        </w:tc>
        <w:tc>
          <w:tcPr>
            <w:tcW w:w="1987" w:type="dxa"/>
          </w:tcPr>
          <w:p>
            <w:pPr>
              <w:pStyle w:val="TableParagraph"/>
              <w:rPr>
                <w:b/>
                <w:sz w:val="18"/>
              </w:rPr>
            </w:pPr>
          </w:p>
          <w:p>
            <w:pPr>
              <w:pStyle w:val="TableParagraph"/>
              <w:rPr>
                <w:b/>
                <w:sz w:val="18"/>
              </w:rPr>
            </w:pPr>
          </w:p>
          <w:p>
            <w:pPr>
              <w:pStyle w:val="TableParagraph"/>
              <w:spacing w:before="35"/>
              <w:rPr>
                <w:b/>
                <w:sz w:val="18"/>
              </w:rPr>
            </w:pPr>
          </w:p>
          <w:p>
            <w:pPr>
              <w:pStyle w:val="TableParagraph"/>
              <w:spacing w:line="242" w:lineRule="auto"/>
              <w:ind w:left="72"/>
              <w:rPr>
                <w:sz w:val="18"/>
              </w:rPr>
            </w:pPr>
            <w:r>
              <w:rPr>
                <w:sz w:val="18"/>
              </w:rPr>
              <w:t>Cantidad</w:t>
            </w:r>
            <w:r>
              <w:rPr>
                <w:spacing w:val="-15"/>
                <w:sz w:val="18"/>
              </w:rPr>
              <w:t> </w:t>
            </w:r>
            <w:r>
              <w:rPr>
                <w:sz w:val="18"/>
              </w:rPr>
              <w:t>de</w:t>
            </w:r>
            <w:r>
              <w:rPr>
                <w:spacing w:val="-12"/>
                <w:sz w:val="18"/>
              </w:rPr>
              <w:t> </w:t>
            </w:r>
            <w:r>
              <w:rPr>
                <w:sz w:val="18"/>
              </w:rPr>
              <w:t>estados financieros y su respectivo análisis</w:t>
            </w:r>
          </w:p>
        </w:tc>
        <w:tc>
          <w:tcPr>
            <w:tcW w:w="1843" w:type="dxa"/>
          </w:tcPr>
          <w:p>
            <w:pPr>
              <w:pStyle w:val="TableParagraph"/>
              <w:rPr>
                <w:b/>
                <w:sz w:val="18"/>
              </w:rPr>
            </w:pPr>
          </w:p>
          <w:p>
            <w:pPr>
              <w:pStyle w:val="TableParagraph"/>
              <w:spacing w:before="141"/>
              <w:rPr>
                <w:b/>
                <w:sz w:val="18"/>
              </w:rPr>
            </w:pPr>
          </w:p>
          <w:p>
            <w:pPr>
              <w:pStyle w:val="TableParagraph"/>
              <w:ind w:left="73" w:right="49"/>
              <w:rPr>
                <w:sz w:val="18"/>
              </w:rPr>
            </w:pPr>
            <w:r>
              <w:rPr>
                <w:sz w:val="18"/>
              </w:rPr>
              <w:t>Documentos de respaldo donde se refleja e informa sobre</w:t>
            </w:r>
            <w:r>
              <w:rPr>
                <w:spacing w:val="-15"/>
                <w:sz w:val="18"/>
              </w:rPr>
              <w:t> </w:t>
            </w:r>
            <w:r>
              <w:rPr>
                <w:sz w:val="18"/>
              </w:rPr>
              <w:t>este</w:t>
            </w:r>
            <w:r>
              <w:rPr>
                <w:spacing w:val="-12"/>
                <w:sz w:val="18"/>
              </w:rPr>
              <w:t> </w:t>
            </w:r>
            <w:r>
              <w:rPr>
                <w:sz w:val="18"/>
              </w:rPr>
              <w:t>proceso</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35"/>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tcBorders>
          </w:tcPr>
          <w:p>
            <w:pPr>
              <w:rPr>
                <w:sz w:val="2"/>
                <w:szCs w:val="2"/>
              </w:rPr>
            </w:pPr>
          </w:p>
        </w:tc>
      </w:tr>
      <w:tr>
        <w:trPr>
          <w:trHeight w:val="840" w:hRule="atLeast"/>
        </w:trPr>
        <w:tc>
          <w:tcPr>
            <w:tcW w:w="14391" w:type="dxa"/>
            <w:gridSpan w:val="8"/>
            <w:shd w:val="clear" w:color="auto" w:fill="EFF8F9"/>
          </w:tcPr>
          <w:p>
            <w:pPr>
              <w:pStyle w:val="TableParagraph"/>
              <w:spacing w:before="3"/>
              <w:rPr>
                <w:b/>
                <w:sz w:val="18"/>
              </w:rPr>
            </w:pPr>
          </w:p>
          <w:p>
            <w:pPr>
              <w:pStyle w:val="TableParagraph"/>
              <w:ind w:left="72" w:right="84"/>
              <w:rPr>
                <w:b/>
                <w:sz w:val="18"/>
              </w:rPr>
            </w:pPr>
            <w:r>
              <w:rPr>
                <w:b/>
                <w:sz w:val="18"/>
              </w:rPr>
              <w:t>Producto</w:t>
            </w:r>
            <w:r>
              <w:rPr>
                <w:b/>
                <w:spacing w:val="-4"/>
                <w:sz w:val="18"/>
              </w:rPr>
              <w:t> </w:t>
            </w:r>
            <w:r>
              <w:rPr>
                <w:b/>
                <w:sz w:val="18"/>
              </w:rPr>
              <w:t>PAC</w:t>
            </w:r>
            <w:r>
              <w:rPr>
                <w:b/>
                <w:spacing w:val="-5"/>
                <w:sz w:val="18"/>
              </w:rPr>
              <w:t> </w:t>
            </w:r>
            <w:r>
              <w:rPr>
                <w:b/>
                <w:sz w:val="18"/>
              </w:rPr>
              <w:t>2:32: Contar con un</w:t>
            </w:r>
            <w:r>
              <w:rPr>
                <w:b/>
                <w:spacing w:val="-4"/>
                <w:sz w:val="18"/>
              </w:rPr>
              <w:t> </w:t>
            </w:r>
            <w:r>
              <w:rPr>
                <w:b/>
                <w:sz w:val="18"/>
              </w:rPr>
              <w:t>espacio</w:t>
            </w:r>
            <w:r>
              <w:rPr>
                <w:b/>
                <w:spacing w:val="-4"/>
                <w:sz w:val="18"/>
              </w:rPr>
              <w:t> </w:t>
            </w:r>
            <w:r>
              <w:rPr>
                <w:b/>
                <w:sz w:val="18"/>
              </w:rPr>
              <w:t>físico</w:t>
            </w:r>
            <w:r>
              <w:rPr>
                <w:b/>
                <w:spacing w:val="-4"/>
                <w:sz w:val="18"/>
              </w:rPr>
              <w:t> </w:t>
            </w:r>
            <w:r>
              <w:rPr>
                <w:b/>
                <w:sz w:val="18"/>
              </w:rPr>
              <w:t>que</w:t>
            </w:r>
            <w:r>
              <w:rPr>
                <w:b/>
                <w:spacing w:val="-3"/>
                <w:sz w:val="18"/>
              </w:rPr>
              <w:t> </w:t>
            </w:r>
            <w:r>
              <w:rPr>
                <w:b/>
                <w:sz w:val="18"/>
              </w:rPr>
              <w:t>cumpla</w:t>
            </w:r>
            <w:r>
              <w:rPr>
                <w:b/>
                <w:spacing w:val="-3"/>
                <w:sz w:val="18"/>
              </w:rPr>
              <w:t> </w:t>
            </w:r>
            <w:r>
              <w:rPr>
                <w:b/>
                <w:sz w:val="18"/>
              </w:rPr>
              <w:t>con</w:t>
            </w:r>
            <w:r>
              <w:rPr>
                <w:b/>
                <w:spacing w:val="-8"/>
                <w:sz w:val="18"/>
              </w:rPr>
              <w:t> </w:t>
            </w:r>
            <w:r>
              <w:rPr>
                <w:b/>
                <w:sz w:val="18"/>
              </w:rPr>
              <w:t>las</w:t>
            </w:r>
            <w:r>
              <w:rPr>
                <w:b/>
                <w:spacing w:val="-3"/>
                <w:sz w:val="18"/>
              </w:rPr>
              <w:t> </w:t>
            </w:r>
            <w:r>
              <w:rPr>
                <w:b/>
                <w:sz w:val="18"/>
              </w:rPr>
              <w:t>condiciones adecuadas</w:t>
            </w:r>
            <w:r>
              <w:rPr>
                <w:b/>
                <w:spacing w:val="-3"/>
                <w:sz w:val="18"/>
              </w:rPr>
              <w:t> </w:t>
            </w:r>
            <w:r>
              <w:rPr>
                <w:b/>
                <w:sz w:val="18"/>
              </w:rPr>
              <w:t>para</w:t>
            </w:r>
            <w:r>
              <w:rPr>
                <w:b/>
                <w:spacing w:val="-3"/>
                <w:sz w:val="18"/>
              </w:rPr>
              <w:t> </w:t>
            </w:r>
            <w:r>
              <w:rPr>
                <w:b/>
                <w:sz w:val="18"/>
              </w:rPr>
              <w:t>las</w:t>
            </w:r>
            <w:r>
              <w:rPr>
                <w:b/>
                <w:spacing w:val="-3"/>
                <w:sz w:val="18"/>
              </w:rPr>
              <w:t> </w:t>
            </w:r>
            <w:r>
              <w:rPr>
                <w:b/>
                <w:sz w:val="18"/>
              </w:rPr>
              <w:t>funciones</w:t>
            </w:r>
            <w:r>
              <w:rPr>
                <w:b/>
                <w:spacing w:val="-3"/>
                <w:sz w:val="18"/>
              </w:rPr>
              <w:t> </w:t>
            </w:r>
            <w:r>
              <w:rPr>
                <w:b/>
                <w:sz w:val="18"/>
              </w:rPr>
              <w:t>propias del Departamento</w:t>
            </w:r>
            <w:r>
              <w:rPr>
                <w:b/>
                <w:spacing w:val="-4"/>
                <w:sz w:val="18"/>
              </w:rPr>
              <w:t> </w:t>
            </w:r>
            <w:r>
              <w:rPr>
                <w:b/>
                <w:sz w:val="18"/>
              </w:rPr>
              <w:t>de</w:t>
            </w:r>
            <w:r>
              <w:rPr>
                <w:b/>
                <w:spacing w:val="-3"/>
                <w:sz w:val="18"/>
              </w:rPr>
              <w:t> </w:t>
            </w:r>
            <w:r>
              <w:rPr>
                <w:b/>
                <w:sz w:val="18"/>
              </w:rPr>
              <w:t>Administración Financiera, Unidad Contabilidad y Unidad de Presupuesto.</w:t>
            </w:r>
          </w:p>
        </w:tc>
      </w:tr>
      <w:tr>
        <w:trPr>
          <w:trHeight w:val="1449" w:hRule="atLeast"/>
        </w:trPr>
        <w:tc>
          <w:tcPr>
            <w:tcW w:w="2828" w:type="dxa"/>
          </w:tcPr>
          <w:p>
            <w:pPr>
              <w:pStyle w:val="TableParagraph"/>
              <w:spacing w:before="205"/>
              <w:ind w:left="72" w:right="84"/>
              <w:rPr>
                <w:sz w:val="18"/>
              </w:rPr>
            </w:pPr>
            <w:r>
              <w:rPr>
                <w:b/>
                <w:sz w:val="18"/>
              </w:rPr>
              <w:t>Actividad PAC 2.32.1: </w:t>
            </w:r>
            <w:r>
              <w:rPr>
                <w:sz w:val="18"/>
              </w:rPr>
              <w:t>Seguimiento al proyecto inscrito en</w:t>
            </w:r>
            <w:r>
              <w:rPr>
                <w:spacing w:val="-7"/>
                <w:sz w:val="18"/>
              </w:rPr>
              <w:t> </w:t>
            </w:r>
            <w:r>
              <w:rPr>
                <w:sz w:val="18"/>
              </w:rPr>
              <w:t>BPIP,</w:t>
            </w:r>
            <w:r>
              <w:rPr>
                <w:spacing w:val="-8"/>
                <w:sz w:val="18"/>
              </w:rPr>
              <w:t> </w:t>
            </w:r>
            <w:r>
              <w:rPr>
                <w:sz w:val="18"/>
              </w:rPr>
              <w:t>sobre</w:t>
            </w:r>
            <w:r>
              <w:rPr>
                <w:spacing w:val="-10"/>
                <w:sz w:val="18"/>
              </w:rPr>
              <w:t> </w:t>
            </w:r>
            <w:r>
              <w:rPr>
                <w:sz w:val="18"/>
              </w:rPr>
              <w:t>remodelación</w:t>
            </w:r>
            <w:r>
              <w:rPr>
                <w:spacing w:val="-10"/>
                <w:sz w:val="18"/>
              </w:rPr>
              <w:t> </w:t>
            </w:r>
            <w:r>
              <w:rPr>
                <w:sz w:val="18"/>
              </w:rPr>
              <w:t>del espacio físico donde se ubica el DAF, Unidad de Presupuesto,</w:t>
            </w:r>
          </w:p>
          <w:p>
            <w:pPr>
              <w:pStyle w:val="TableParagraph"/>
              <w:spacing w:line="187" w:lineRule="exact" w:before="3"/>
              <w:ind w:left="72"/>
              <w:rPr>
                <w:sz w:val="18"/>
              </w:rPr>
            </w:pPr>
            <w:r>
              <w:rPr>
                <w:spacing w:val="-2"/>
                <w:sz w:val="18"/>
              </w:rPr>
              <w:t>Contabilidad.</w:t>
            </w:r>
          </w:p>
        </w:tc>
        <w:tc>
          <w:tcPr>
            <w:tcW w:w="1416" w:type="dxa"/>
          </w:tcPr>
          <w:p>
            <w:pPr>
              <w:pStyle w:val="TableParagraph"/>
              <w:rPr>
                <w:b/>
                <w:sz w:val="18"/>
              </w:rPr>
            </w:pPr>
          </w:p>
          <w:p>
            <w:pPr>
              <w:pStyle w:val="TableParagraph"/>
              <w:spacing w:before="204"/>
              <w:rPr>
                <w:b/>
                <w:sz w:val="18"/>
              </w:rPr>
            </w:pPr>
          </w:p>
          <w:p>
            <w:pPr>
              <w:pStyle w:val="TableParagraph"/>
              <w:ind w:left="17" w:right="6"/>
              <w:jc w:val="center"/>
              <w:rPr>
                <w:sz w:val="18"/>
              </w:rPr>
            </w:pPr>
            <w:r>
              <w:rPr>
                <w:spacing w:val="-10"/>
                <w:sz w:val="18"/>
              </w:rPr>
              <w:t>0</w:t>
            </w:r>
          </w:p>
        </w:tc>
        <w:tc>
          <w:tcPr>
            <w:tcW w:w="1277" w:type="dxa"/>
          </w:tcPr>
          <w:p>
            <w:pPr>
              <w:pStyle w:val="TableParagraph"/>
              <w:rPr>
                <w:b/>
                <w:sz w:val="18"/>
              </w:rPr>
            </w:pPr>
          </w:p>
          <w:p>
            <w:pPr>
              <w:pStyle w:val="TableParagraph"/>
              <w:spacing w:before="204"/>
              <w:rPr>
                <w:b/>
                <w:sz w:val="18"/>
              </w:rPr>
            </w:pPr>
          </w:p>
          <w:p>
            <w:pPr>
              <w:pStyle w:val="TableParagraph"/>
              <w:ind w:left="24" w:right="8"/>
              <w:jc w:val="center"/>
              <w:rPr>
                <w:sz w:val="18"/>
              </w:rPr>
            </w:pPr>
            <w:r>
              <w:rPr>
                <w:spacing w:val="-10"/>
                <w:sz w:val="18"/>
              </w:rPr>
              <w:t>4</w:t>
            </w:r>
          </w:p>
        </w:tc>
        <w:tc>
          <w:tcPr>
            <w:tcW w:w="1987" w:type="dxa"/>
          </w:tcPr>
          <w:p>
            <w:pPr>
              <w:pStyle w:val="TableParagraph"/>
              <w:spacing w:before="204"/>
              <w:rPr>
                <w:b/>
                <w:sz w:val="18"/>
              </w:rPr>
            </w:pPr>
          </w:p>
          <w:p>
            <w:pPr>
              <w:pStyle w:val="TableParagraph"/>
              <w:ind w:left="72"/>
              <w:rPr>
                <w:sz w:val="18"/>
              </w:rPr>
            </w:pPr>
            <w:r>
              <w:rPr>
                <w:sz w:val="18"/>
              </w:rPr>
              <w:t>Cantidad de seguimiento</w:t>
            </w:r>
            <w:r>
              <w:rPr>
                <w:spacing w:val="-5"/>
                <w:sz w:val="18"/>
              </w:rPr>
              <w:t> </w:t>
            </w:r>
            <w:r>
              <w:rPr>
                <w:sz w:val="18"/>
              </w:rPr>
              <w:t>trimestral en</w:t>
            </w:r>
            <w:r>
              <w:rPr>
                <w:spacing w:val="1"/>
                <w:sz w:val="18"/>
              </w:rPr>
              <w:t> </w:t>
            </w:r>
            <w:r>
              <w:rPr>
                <w:sz w:val="18"/>
              </w:rPr>
              <w:t>el</w:t>
            </w:r>
            <w:r>
              <w:rPr>
                <w:spacing w:val="-4"/>
                <w:sz w:val="18"/>
              </w:rPr>
              <w:t> </w:t>
            </w:r>
            <w:r>
              <w:rPr>
                <w:sz w:val="18"/>
              </w:rPr>
              <w:t>módulo</w:t>
            </w:r>
            <w:r>
              <w:rPr>
                <w:spacing w:val="-2"/>
                <w:sz w:val="18"/>
              </w:rPr>
              <w:t> </w:t>
            </w:r>
            <w:r>
              <w:rPr>
                <w:sz w:val="18"/>
              </w:rPr>
              <w:t>de</w:t>
            </w:r>
            <w:r>
              <w:rPr>
                <w:spacing w:val="-2"/>
                <w:sz w:val="18"/>
              </w:rPr>
              <w:t> </w:t>
            </w:r>
            <w:r>
              <w:rPr>
                <w:spacing w:val="-4"/>
                <w:sz w:val="18"/>
              </w:rPr>
              <w:t>BPIP.</w:t>
            </w:r>
          </w:p>
        </w:tc>
        <w:tc>
          <w:tcPr>
            <w:tcW w:w="1843" w:type="dxa"/>
          </w:tcPr>
          <w:p>
            <w:pPr>
              <w:pStyle w:val="TableParagraph"/>
              <w:rPr>
                <w:b/>
                <w:sz w:val="18"/>
              </w:rPr>
            </w:pPr>
          </w:p>
          <w:p>
            <w:pPr>
              <w:pStyle w:val="TableParagraph"/>
              <w:spacing w:before="103"/>
              <w:rPr>
                <w:b/>
                <w:sz w:val="18"/>
              </w:rPr>
            </w:pPr>
          </w:p>
          <w:p>
            <w:pPr>
              <w:pStyle w:val="TableParagraph"/>
              <w:ind w:left="73" w:right="49"/>
              <w:rPr>
                <w:sz w:val="18"/>
              </w:rPr>
            </w:pPr>
            <w:r>
              <w:rPr>
                <w:sz w:val="18"/>
              </w:rPr>
              <w:t>Capturas</w:t>
            </w:r>
            <w:r>
              <w:rPr>
                <w:spacing w:val="-15"/>
                <w:sz w:val="18"/>
              </w:rPr>
              <w:t> </w:t>
            </w:r>
            <w:r>
              <w:rPr>
                <w:sz w:val="18"/>
              </w:rPr>
              <w:t>de</w:t>
            </w:r>
            <w:r>
              <w:rPr>
                <w:spacing w:val="-12"/>
                <w:sz w:val="18"/>
              </w:rPr>
              <w:t> </w:t>
            </w:r>
            <w:r>
              <w:rPr>
                <w:sz w:val="18"/>
              </w:rPr>
              <w:t>pantalla sobre el proceso</w:t>
            </w:r>
          </w:p>
        </w:tc>
        <w:tc>
          <w:tcPr>
            <w:tcW w:w="1416" w:type="dxa"/>
          </w:tcPr>
          <w:p>
            <w:pPr>
              <w:pStyle w:val="TableParagraph"/>
              <w:rPr>
                <w:b/>
                <w:sz w:val="18"/>
              </w:rPr>
            </w:pPr>
          </w:p>
          <w:p>
            <w:pPr>
              <w:pStyle w:val="TableParagraph"/>
              <w:spacing w:before="204"/>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tcPr>
          <w:p>
            <w:pPr>
              <w:pStyle w:val="TableParagraph"/>
              <w:ind w:left="75" w:firstLine="52"/>
              <w:rPr>
                <w:sz w:val="18"/>
              </w:rPr>
            </w:pPr>
            <w:r>
              <w:rPr>
                <w:sz w:val="18"/>
              </w:rPr>
              <w:t>Evento:</w:t>
            </w:r>
            <w:r>
              <w:rPr>
                <w:spacing w:val="-11"/>
                <w:sz w:val="18"/>
              </w:rPr>
              <w:t> </w:t>
            </w:r>
            <w:r>
              <w:rPr>
                <w:sz w:val="18"/>
              </w:rPr>
              <w:t>No</w:t>
            </w:r>
            <w:r>
              <w:rPr>
                <w:spacing w:val="-13"/>
                <w:sz w:val="18"/>
              </w:rPr>
              <w:t> </w:t>
            </w:r>
            <w:r>
              <w:rPr>
                <w:sz w:val="18"/>
              </w:rPr>
              <w:t>se</w:t>
            </w:r>
            <w:r>
              <w:rPr>
                <w:spacing w:val="-12"/>
                <w:sz w:val="18"/>
              </w:rPr>
              <w:t> </w:t>
            </w:r>
            <w:r>
              <w:rPr>
                <w:sz w:val="18"/>
              </w:rPr>
              <w:t>cuente con el presupuesto necesario para la remodelación en las instancias del DAF, Unidad</w:t>
            </w:r>
            <w:r>
              <w:rPr>
                <w:spacing w:val="-12"/>
                <w:sz w:val="18"/>
              </w:rPr>
              <w:t> </w:t>
            </w:r>
            <w:r>
              <w:rPr>
                <w:sz w:val="18"/>
              </w:rPr>
              <w:t>Contabilidad</w:t>
            </w:r>
            <w:r>
              <w:rPr>
                <w:spacing w:val="-12"/>
                <w:sz w:val="18"/>
              </w:rPr>
              <w:t> </w:t>
            </w:r>
            <w:r>
              <w:rPr>
                <w:sz w:val="18"/>
              </w:rPr>
              <w:t>y</w:t>
            </w:r>
          </w:p>
          <w:p>
            <w:pPr>
              <w:pStyle w:val="TableParagraph"/>
              <w:spacing w:line="187" w:lineRule="exact" w:before="1"/>
              <w:ind w:left="75"/>
              <w:rPr>
                <w:sz w:val="18"/>
              </w:rPr>
            </w:pPr>
            <w:r>
              <w:rPr>
                <w:sz w:val="18"/>
              </w:rPr>
              <w:t>Unidad</w:t>
            </w:r>
            <w:r>
              <w:rPr>
                <w:spacing w:val="-3"/>
                <w:sz w:val="18"/>
              </w:rPr>
              <w:t> </w:t>
            </w:r>
            <w:r>
              <w:rPr>
                <w:spacing w:val="-2"/>
                <w:sz w:val="18"/>
              </w:rPr>
              <w:t>Presupuesto.</w:t>
            </w:r>
          </w:p>
        </w:tc>
      </w:tr>
    </w:tbl>
    <w:p>
      <w:pPr>
        <w:pStyle w:val="TableParagraph"/>
        <w:spacing w:after="0" w:line="187" w:lineRule="exact"/>
        <w:rPr>
          <w:sz w:val="18"/>
        </w:rPr>
        <w:sectPr>
          <w:footerReference w:type="default" r:id="rId77"/>
          <w:pgSz w:w="15840" w:h="12240" w:orient="landscape"/>
          <w:pgMar w:header="0" w:footer="1806" w:top="700" w:bottom="2000" w:left="360" w:right="360"/>
          <w:pgNumType w:start="212"/>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8"/>
        <w:gridCol w:w="1416"/>
        <w:gridCol w:w="1277"/>
        <w:gridCol w:w="1987"/>
        <w:gridCol w:w="1843"/>
        <w:gridCol w:w="1416"/>
        <w:gridCol w:w="1560"/>
        <w:gridCol w:w="2064"/>
      </w:tblGrid>
      <w:tr>
        <w:trPr>
          <w:trHeight w:val="925" w:hRule="atLeast"/>
        </w:trPr>
        <w:tc>
          <w:tcPr>
            <w:tcW w:w="2828" w:type="dxa"/>
            <w:shd w:val="clear" w:color="auto" w:fill="D7D7D7"/>
          </w:tcPr>
          <w:p>
            <w:pPr>
              <w:pStyle w:val="TableParagraph"/>
              <w:spacing w:before="151"/>
              <w:rPr>
                <w:b/>
                <w:sz w:val="18"/>
              </w:rPr>
            </w:pPr>
          </w:p>
          <w:p>
            <w:pPr>
              <w:pStyle w:val="TableParagraph"/>
              <w:spacing w:before="1"/>
              <w:ind w:left="446"/>
              <w:rPr>
                <w:b/>
                <w:sz w:val="18"/>
              </w:rPr>
            </w:pPr>
            <w:r>
              <w:rPr>
                <w:b/>
                <w:sz w:val="18"/>
              </w:rPr>
              <w:t>Objetivos</w:t>
            </w:r>
            <w:r>
              <w:rPr>
                <w:b/>
                <w:spacing w:val="-5"/>
                <w:sz w:val="18"/>
              </w:rPr>
              <w:t> </w:t>
            </w:r>
            <w:r>
              <w:rPr>
                <w:b/>
                <w:sz w:val="18"/>
              </w:rPr>
              <w:t>/</w:t>
            </w:r>
            <w:r>
              <w:rPr>
                <w:b/>
                <w:spacing w:val="-2"/>
                <w:sz w:val="18"/>
              </w:rPr>
              <w:t> Resultados</w:t>
            </w:r>
          </w:p>
        </w:tc>
        <w:tc>
          <w:tcPr>
            <w:tcW w:w="1416" w:type="dxa"/>
            <w:shd w:val="clear" w:color="auto" w:fill="D7D7D7"/>
          </w:tcPr>
          <w:p>
            <w:pPr>
              <w:pStyle w:val="TableParagraph"/>
              <w:spacing w:before="46"/>
              <w:rPr>
                <w:b/>
                <w:sz w:val="18"/>
              </w:rPr>
            </w:pPr>
          </w:p>
          <w:p>
            <w:pPr>
              <w:pStyle w:val="TableParagraph"/>
              <w:ind w:left="451" w:hanging="216"/>
              <w:rPr>
                <w:b/>
                <w:sz w:val="18"/>
              </w:rPr>
            </w:pPr>
            <w:r>
              <w:rPr>
                <w:b/>
                <w:sz w:val="18"/>
              </w:rPr>
              <w:t>Línea</w:t>
            </w:r>
            <w:r>
              <w:rPr>
                <w:b/>
                <w:spacing w:val="-13"/>
                <w:sz w:val="18"/>
              </w:rPr>
              <w:t> </w:t>
            </w:r>
            <w:r>
              <w:rPr>
                <w:b/>
                <w:sz w:val="18"/>
              </w:rPr>
              <w:t>Base </w:t>
            </w:r>
            <w:r>
              <w:rPr>
                <w:b/>
                <w:spacing w:val="-2"/>
                <w:sz w:val="18"/>
              </w:rPr>
              <w:t>(2024)</w:t>
            </w:r>
          </w:p>
        </w:tc>
        <w:tc>
          <w:tcPr>
            <w:tcW w:w="1277" w:type="dxa"/>
            <w:shd w:val="clear" w:color="auto" w:fill="D7D7D7"/>
          </w:tcPr>
          <w:p>
            <w:pPr>
              <w:pStyle w:val="TableParagraph"/>
              <w:spacing w:before="152"/>
              <w:ind w:left="120" w:right="98" w:hanging="10"/>
              <w:jc w:val="center"/>
              <w:rPr>
                <w:b/>
                <w:sz w:val="18"/>
              </w:rPr>
            </w:pPr>
            <w:r>
              <w:rPr>
                <w:b/>
                <w:spacing w:val="-4"/>
                <w:sz w:val="18"/>
              </w:rPr>
              <w:t>Meta </w:t>
            </w:r>
            <w:r>
              <w:rPr>
                <w:b/>
                <w:spacing w:val="-2"/>
                <w:sz w:val="18"/>
              </w:rPr>
              <w:t>programada </w:t>
            </w:r>
            <w:r>
              <w:rPr>
                <w:b/>
                <w:spacing w:val="-4"/>
                <w:sz w:val="18"/>
              </w:rPr>
              <w:t>2026</w:t>
            </w:r>
          </w:p>
        </w:tc>
        <w:tc>
          <w:tcPr>
            <w:tcW w:w="1987" w:type="dxa"/>
            <w:shd w:val="clear" w:color="auto" w:fill="D7D7D7"/>
          </w:tcPr>
          <w:p>
            <w:pPr>
              <w:pStyle w:val="TableParagraph"/>
              <w:spacing w:before="151"/>
              <w:rPr>
                <w:b/>
                <w:sz w:val="18"/>
              </w:rPr>
            </w:pPr>
          </w:p>
          <w:p>
            <w:pPr>
              <w:pStyle w:val="TableParagraph"/>
              <w:spacing w:before="1"/>
              <w:ind w:left="591"/>
              <w:rPr>
                <w:b/>
                <w:sz w:val="18"/>
              </w:rPr>
            </w:pPr>
            <w:r>
              <w:rPr>
                <w:b/>
                <w:spacing w:val="-2"/>
                <w:sz w:val="18"/>
              </w:rPr>
              <w:t>Indicador</w:t>
            </w:r>
          </w:p>
        </w:tc>
        <w:tc>
          <w:tcPr>
            <w:tcW w:w="1843" w:type="dxa"/>
            <w:shd w:val="clear" w:color="auto" w:fill="D7D7D7"/>
          </w:tcPr>
          <w:p>
            <w:pPr>
              <w:pStyle w:val="TableParagraph"/>
              <w:spacing w:before="46"/>
              <w:rPr>
                <w:b/>
                <w:sz w:val="18"/>
              </w:rPr>
            </w:pPr>
          </w:p>
          <w:p>
            <w:pPr>
              <w:pStyle w:val="TableParagraph"/>
              <w:ind w:left="423" w:right="49" w:firstLine="57"/>
              <w:rPr>
                <w:b/>
                <w:sz w:val="18"/>
              </w:rPr>
            </w:pPr>
            <w:r>
              <w:rPr>
                <w:b/>
                <w:sz w:val="18"/>
              </w:rPr>
              <w:t>Medios de </w:t>
            </w:r>
            <w:r>
              <w:rPr>
                <w:b/>
                <w:spacing w:val="-2"/>
                <w:sz w:val="18"/>
              </w:rPr>
              <w:t>verificación</w:t>
            </w:r>
          </w:p>
        </w:tc>
        <w:tc>
          <w:tcPr>
            <w:tcW w:w="1416" w:type="dxa"/>
            <w:shd w:val="clear" w:color="auto" w:fill="D7D7D7"/>
          </w:tcPr>
          <w:p>
            <w:pPr>
              <w:pStyle w:val="TableParagraph"/>
              <w:spacing w:before="151"/>
              <w:rPr>
                <w:b/>
                <w:sz w:val="18"/>
              </w:rPr>
            </w:pPr>
          </w:p>
          <w:p>
            <w:pPr>
              <w:pStyle w:val="TableParagraph"/>
              <w:spacing w:before="1"/>
              <w:ind w:left="150"/>
              <w:rPr>
                <w:b/>
                <w:sz w:val="18"/>
              </w:rPr>
            </w:pPr>
            <w:r>
              <w:rPr>
                <w:b/>
                <w:spacing w:val="-2"/>
                <w:sz w:val="18"/>
              </w:rPr>
              <w:t>Responsable</w:t>
            </w:r>
          </w:p>
        </w:tc>
        <w:tc>
          <w:tcPr>
            <w:tcW w:w="1560" w:type="dxa"/>
            <w:shd w:val="clear" w:color="auto" w:fill="D7D7D7"/>
          </w:tcPr>
          <w:p>
            <w:pPr>
              <w:pStyle w:val="TableParagraph"/>
              <w:spacing w:before="46"/>
              <w:rPr>
                <w:b/>
                <w:sz w:val="18"/>
              </w:rPr>
            </w:pPr>
          </w:p>
          <w:p>
            <w:pPr>
              <w:pStyle w:val="TableParagraph"/>
              <w:ind w:left="386" w:right="58" w:hanging="149"/>
              <w:rPr>
                <w:b/>
                <w:sz w:val="18"/>
              </w:rPr>
            </w:pPr>
            <w:r>
              <w:rPr>
                <w:b/>
                <w:spacing w:val="-2"/>
                <w:sz w:val="18"/>
              </w:rPr>
              <w:t>Presupuesto asignado</w:t>
            </w:r>
          </w:p>
        </w:tc>
        <w:tc>
          <w:tcPr>
            <w:tcW w:w="2064" w:type="dxa"/>
            <w:tcBorders>
              <w:bottom w:val="nil"/>
            </w:tcBorders>
            <w:shd w:val="clear" w:color="auto" w:fill="D7D7D7"/>
          </w:tcPr>
          <w:p>
            <w:pPr>
              <w:pStyle w:val="TableParagraph"/>
              <w:spacing w:before="151"/>
              <w:rPr>
                <w:b/>
                <w:sz w:val="18"/>
              </w:rPr>
            </w:pPr>
          </w:p>
          <w:p>
            <w:pPr>
              <w:pStyle w:val="TableParagraph"/>
              <w:spacing w:before="1"/>
              <w:ind w:left="75"/>
              <w:rPr>
                <w:b/>
                <w:sz w:val="18"/>
              </w:rPr>
            </w:pPr>
            <w:r>
              <w:rPr>
                <w:b/>
                <w:spacing w:val="-2"/>
                <w:sz w:val="18"/>
              </w:rPr>
              <w:t>Riesgos</w:t>
            </w:r>
          </w:p>
        </w:tc>
      </w:tr>
      <w:tr>
        <w:trPr>
          <w:trHeight w:val="1695" w:hRule="atLeast"/>
        </w:trPr>
        <w:tc>
          <w:tcPr>
            <w:tcW w:w="2828" w:type="dxa"/>
          </w:tcPr>
          <w:p>
            <w:pPr>
              <w:pStyle w:val="TableParagraph"/>
              <w:spacing w:before="37"/>
              <w:rPr>
                <w:b/>
                <w:sz w:val="18"/>
              </w:rPr>
            </w:pPr>
          </w:p>
          <w:p>
            <w:pPr>
              <w:pStyle w:val="TableParagraph"/>
              <w:ind w:left="72" w:right="84"/>
              <w:rPr>
                <w:sz w:val="18"/>
              </w:rPr>
            </w:pPr>
            <w:r>
              <w:rPr>
                <w:b/>
                <w:sz w:val="18"/>
              </w:rPr>
              <w:t>Actividad PAC 2.32.2: </w:t>
            </w:r>
            <w:r>
              <w:rPr>
                <w:sz w:val="18"/>
              </w:rPr>
              <w:t>Formulación de los TR, Estudio de Mercado, para la solicitud de contratación de la remodelación del</w:t>
            </w:r>
            <w:r>
              <w:rPr>
                <w:spacing w:val="-6"/>
                <w:sz w:val="18"/>
              </w:rPr>
              <w:t> </w:t>
            </w:r>
            <w:r>
              <w:rPr>
                <w:sz w:val="18"/>
              </w:rPr>
              <w:t>espacio</w:t>
            </w:r>
            <w:r>
              <w:rPr>
                <w:spacing w:val="-9"/>
                <w:sz w:val="18"/>
              </w:rPr>
              <w:t> </w:t>
            </w:r>
            <w:r>
              <w:rPr>
                <w:sz w:val="18"/>
              </w:rPr>
              <w:t>físico</w:t>
            </w:r>
            <w:r>
              <w:rPr>
                <w:spacing w:val="-9"/>
                <w:sz w:val="18"/>
              </w:rPr>
              <w:t> </w:t>
            </w:r>
            <w:r>
              <w:rPr>
                <w:sz w:val="18"/>
              </w:rPr>
              <w:t>donde</w:t>
            </w:r>
            <w:r>
              <w:rPr>
                <w:spacing w:val="-9"/>
                <w:sz w:val="18"/>
              </w:rPr>
              <w:t> </w:t>
            </w:r>
            <w:r>
              <w:rPr>
                <w:sz w:val="18"/>
              </w:rPr>
              <w:t>se</w:t>
            </w:r>
            <w:r>
              <w:rPr>
                <w:spacing w:val="-5"/>
                <w:sz w:val="18"/>
              </w:rPr>
              <w:t> </w:t>
            </w:r>
            <w:r>
              <w:rPr>
                <w:sz w:val="18"/>
              </w:rPr>
              <w:t>ubica el DAF, Unidad de Presupuesto,</w:t>
            </w:r>
          </w:p>
          <w:p>
            <w:pPr>
              <w:pStyle w:val="TableParagraph"/>
              <w:spacing w:line="187" w:lineRule="exact" w:before="2"/>
              <w:ind w:left="72"/>
              <w:rPr>
                <w:sz w:val="18"/>
              </w:rPr>
            </w:pPr>
            <w:r>
              <w:rPr>
                <w:spacing w:val="-2"/>
                <w:sz w:val="18"/>
              </w:rPr>
              <w:t>Contabilidad.</w:t>
            </w:r>
          </w:p>
        </w:tc>
        <w:tc>
          <w:tcPr>
            <w:tcW w:w="1416" w:type="dxa"/>
          </w:tcPr>
          <w:p>
            <w:pPr>
              <w:pStyle w:val="TableParagraph"/>
              <w:rPr>
                <w:b/>
                <w:sz w:val="18"/>
              </w:rPr>
            </w:pPr>
          </w:p>
          <w:p>
            <w:pPr>
              <w:pStyle w:val="TableParagraph"/>
              <w:rPr>
                <w:b/>
                <w:sz w:val="18"/>
              </w:rPr>
            </w:pPr>
          </w:p>
          <w:p>
            <w:pPr>
              <w:pStyle w:val="TableParagraph"/>
              <w:spacing w:before="122"/>
              <w:rPr>
                <w:b/>
                <w:sz w:val="18"/>
              </w:rPr>
            </w:pPr>
          </w:p>
          <w:p>
            <w:pPr>
              <w:pStyle w:val="TableParagraph"/>
              <w:ind w:left="17" w:right="6"/>
              <w:jc w:val="center"/>
              <w:rPr>
                <w:sz w:val="18"/>
              </w:rPr>
            </w:pPr>
            <w:r>
              <w:rPr>
                <w:spacing w:val="-10"/>
                <w:sz w:val="18"/>
              </w:rPr>
              <w:t>0</w:t>
            </w:r>
          </w:p>
        </w:tc>
        <w:tc>
          <w:tcPr>
            <w:tcW w:w="1277" w:type="dxa"/>
          </w:tcPr>
          <w:p>
            <w:pPr>
              <w:pStyle w:val="TableParagraph"/>
              <w:rPr>
                <w:b/>
                <w:sz w:val="18"/>
              </w:rPr>
            </w:pPr>
          </w:p>
          <w:p>
            <w:pPr>
              <w:pStyle w:val="TableParagraph"/>
              <w:rPr>
                <w:b/>
                <w:sz w:val="18"/>
              </w:rPr>
            </w:pPr>
          </w:p>
          <w:p>
            <w:pPr>
              <w:pStyle w:val="TableParagraph"/>
              <w:spacing w:before="122"/>
              <w:rPr>
                <w:b/>
                <w:sz w:val="18"/>
              </w:rPr>
            </w:pPr>
          </w:p>
          <w:p>
            <w:pPr>
              <w:pStyle w:val="TableParagraph"/>
              <w:ind w:left="24" w:right="8"/>
              <w:jc w:val="center"/>
              <w:rPr>
                <w:sz w:val="18"/>
              </w:rPr>
            </w:pPr>
            <w:r>
              <w:rPr>
                <w:spacing w:val="-10"/>
                <w:sz w:val="18"/>
              </w:rPr>
              <w:t>1</w:t>
            </w:r>
          </w:p>
        </w:tc>
        <w:tc>
          <w:tcPr>
            <w:tcW w:w="1987" w:type="dxa"/>
          </w:tcPr>
          <w:p>
            <w:pPr>
              <w:pStyle w:val="TableParagraph"/>
              <w:rPr>
                <w:b/>
                <w:sz w:val="18"/>
              </w:rPr>
            </w:pPr>
          </w:p>
          <w:p>
            <w:pPr>
              <w:pStyle w:val="TableParagraph"/>
              <w:spacing w:before="17"/>
              <w:rPr>
                <w:b/>
                <w:sz w:val="18"/>
              </w:rPr>
            </w:pPr>
          </w:p>
          <w:p>
            <w:pPr>
              <w:pStyle w:val="TableParagraph"/>
              <w:ind w:left="72" w:right="123"/>
              <w:rPr>
                <w:sz w:val="18"/>
              </w:rPr>
            </w:pPr>
            <w:r>
              <w:rPr>
                <w:sz w:val="18"/>
              </w:rPr>
              <w:t>Cantidad de solicitud de contratación cargada</w:t>
            </w:r>
            <w:r>
              <w:rPr>
                <w:spacing w:val="-8"/>
                <w:sz w:val="18"/>
              </w:rPr>
              <w:t> </w:t>
            </w:r>
            <w:r>
              <w:rPr>
                <w:sz w:val="18"/>
              </w:rPr>
              <w:t>en</w:t>
            </w:r>
            <w:r>
              <w:rPr>
                <w:spacing w:val="-12"/>
                <w:sz w:val="18"/>
              </w:rPr>
              <w:t> </w:t>
            </w:r>
            <w:r>
              <w:rPr>
                <w:sz w:val="18"/>
              </w:rPr>
              <w:t>el</w:t>
            </w:r>
            <w:r>
              <w:rPr>
                <w:spacing w:val="-13"/>
                <w:sz w:val="18"/>
              </w:rPr>
              <w:t> </w:t>
            </w:r>
            <w:r>
              <w:rPr>
                <w:sz w:val="18"/>
              </w:rPr>
              <w:t>sistema </w:t>
            </w:r>
            <w:r>
              <w:rPr>
                <w:spacing w:val="-2"/>
                <w:sz w:val="18"/>
              </w:rPr>
              <w:t>(SICOP).</w:t>
            </w:r>
          </w:p>
        </w:tc>
        <w:tc>
          <w:tcPr>
            <w:tcW w:w="1843" w:type="dxa"/>
          </w:tcPr>
          <w:p>
            <w:pPr>
              <w:pStyle w:val="TableParagraph"/>
              <w:rPr>
                <w:b/>
                <w:sz w:val="18"/>
              </w:rPr>
            </w:pPr>
          </w:p>
          <w:p>
            <w:pPr>
              <w:pStyle w:val="TableParagraph"/>
              <w:spacing w:before="17"/>
              <w:rPr>
                <w:b/>
                <w:sz w:val="18"/>
              </w:rPr>
            </w:pPr>
          </w:p>
          <w:p>
            <w:pPr>
              <w:pStyle w:val="TableParagraph"/>
              <w:ind w:left="73" w:right="63"/>
              <w:rPr>
                <w:sz w:val="18"/>
              </w:rPr>
            </w:pPr>
            <w:r>
              <w:rPr>
                <w:sz w:val="18"/>
              </w:rPr>
              <w:t>Documentos sobre TR, Estudio Mercado,</w:t>
            </w:r>
            <w:r>
              <w:rPr>
                <w:spacing w:val="-15"/>
                <w:sz w:val="18"/>
              </w:rPr>
              <w:t> </w:t>
            </w:r>
            <w:r>
              <w:rPr>
                <w:sz w:val="18"/>
              </w:rPr>
              <w:t>Captura</w:t>
            </w:r>
            <w:r>
              <w:rPr>
                <w:spacing w:val="-12"/>
                <w:sz w:val="18"/>
              </w:rPr>
              <w:t> </w:t>
            </w:r>
            <w:r>
              <w:rPr>
                <w:sz w:val="18"/>
              </w:rPr>
              <w:t>de pantalla SICOP.</w:t>
            </w:r>
          </w:p>
        </w:tc>
        <w:tc>
          <w:tcPr>
            <w:tcW w:w="1416" w:type="dxa"/>
          </w:tcPr>
          <w:p>
            <w:pPr>
              <w:pStyle w:val="TableParagraph"/>
              <w:rPr>
                <w:b/>
                <w:sz w:val="18"/>
              </w:rPr>
            </w:pPr>
          </w:p>
          <w:p>
            <w:pPr>
              <w:pStyle w:val="TableParagraph"/>
              <w:rPr>
                <w:b/>
                <w:sz w:val="18"/>
              </w:rPr>
            </w:pPr>
          </w:p>
          <w:p>
            <w:pPr>
              <w:pStyle w:val="TableParagraph"/>
              <w:spacing w:before="122"/>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val="restart"/>
            <w:tcBorders>
              <w:top w:val="nil"/>
            </w:tcBorders>
          </w:tcPr>
          <w:p>
            <w:pPr>
              <w:pStyle w:val="TableParagraph"/>
              <w:rPr>
                <w:rFonts w:ascii="Times New Roman"/>
                <w:sz w:val="18"/>
              </w:rPr>
            </w:pPr>
          </w:p>
        </w:tc>
      </w:tr>
      <w:tr>
        <w:trPr>
          <w:trHeight w:val="1243" w:hRule="atLeast"/>
        </w:trPr>
        <w:tc>
          <w:tcPr>
            <w:tcW w:w="2828" w:type="dxa"/>
          </w:tcPr>
          <w:p>
            <w:pPr>
              <w:pStyle w:val="TableParagraph"/>
              <w:spacing w:line="242" w:lineRule="auto" w:before="205"/>
              <w:ind w:left="72" w:right="62"/>
              <w:rPr>
                <w:sz w:val="18"/>
              </w:rPr>
            </w:pPr>
            <w:r>
              <w:rPr>
                <w:b/>
                <w:sz w:val="18"/>
              </w:rPr>
              <w:t>Actividad</w:t>
            </w:r>
            <w:r>
              <w:rPr>
                <w:b/>
                <w:spacing w:val="-13"/>
                <w:sz w:val="18"/>
              </w:rPr>
              <w:t> </w:t>
            </w:r>
            <w:r>
              <w:rPr>
                <w:b/>
                <w:sz w:val="18"/>
              </w:rPr>
              <w:t>PAC</w:t>
            </w:r>
            <w:r>
              <w:rPr>
                <w:b/>
                <w:spacing w:val="-12"/>
                <w:sz w:val="18"/>
              </w:rPr>
              <w:t> </w:t>
            </w:r>
            <w:r>
              <w:rPr>
                <w:b/>
                <w:sz w:val="18"/>
              </w:rPr>
              <w:t>2.32.3:</w:t>
            </w:r>
            <w:r>
              <w:rPr>
                <w:b/>
                <w:spacing w:val="-10"/>
                <w:sz w:val="18"/>
              </w:rPr>
              <w:t> </w:t>
            </w:r>
            <w:r>
              <w:rPr>
                <w:sz w:val="18"/>
              </w:rPr>
              <w:t>Fiscalizar la ejecución contractual sobre la remodelación del espacio físico donde se ubica el DAF, Unidad</w:t>
            </w:r>
          </w:p>
          <w:p>
            <w:pPr>
              <w:pStyle w:val="TableParagraph"/>
              <w:spacing w:line="182" w:lineRule="exact"/>
              <w:ind w:left="72"/>
              <w:rPr>
                <w:sz w:val="18"/>
              </w:rPr>
            </w:pPr>
            <w:r>
              <w:rPr>
                <w:sz w:val="18"/>
              </w:rPr>
              <w:t>de</w:t>
            </w:r>
            <w:r>
              <w:rPr>
                <w:spacing w:val="-5"/>
                <w:sz w:val="18"/>
              </w:rPr>
              <w:t> </w:t>
            </w:r>
            <w:r>
              <w:rPr>
                <w:sz w:val="18"/>
              </w:rPr>
              <w:t>Presupuesto,</w:t>
            </w:r>
            <w:r>
              <w:rPr>
                <w:spacing w:val="-6"/>
                <w:sz w:val="18"/>
              </w:rPr>
              <w:t> </w:t>
            </w:r>
            <w:r>
              <w:rPr>
                <w:spacing w:val="-2"/>
                <w:sz w:val="18"/>
              </w:rPr>
              <w:t>Contabilidad.</w:t>
            </w:r>
          </w:p>
        </w:tc>
        <w:tc>
          <w:tcPr>
            <w:tcW w:w="1416" w:type="dxa"/>
          </w:tcPr>
          <w:p>
            <w:pPr>
              <w:pStyle w:val="TableParagraph"/>
              <w:rPr>
                <w:b/>
                <w:sz w:val="18"/>
              </w:rPr>
            </w:pPr>
          </w:p>
          <w:p>
            <w:pPr>
              <w:pStyle w:val="TableParagraph"/>
              <w:spacing w:before="103"/>
              <w:rPr>
                <w:b/>
                <w:sz w:val="18"/>
              </w:rPr>
            </w:pPr>
          </w:p>
          <w:p>
            <w:pPr>
              <w:pStyle w:val="TableParagraph"/>
              <w:ind w:left="20" w:right="3"/>
              <w:jc w:val="center"/>
              <w:rPr>
                <w:sz w:val="18"/>
              </w:rPr>
            </w:pPr>
            <w:r>
              <w:rPr>
                <w:spacing w:val="-5"/>
                <w:sz w:val="18"/>
              </w:rPr>
              <w:t>0%</w:t>
            </w:r>
          </w:p>
        </w:tc>
        <w:tc>
          <w:tcPr>
            <w:tcW w:w="1277" w:type="dxa"/>
          </w:tcPr>
          <w:p>
            <w:pPr>
              <w:pStyle w:val="TableParagraph"/>
              <w:rPr>
                <w:b/>
                <w:sz w:val="18"/>
              </w:rPr>
            </w:pPr>
          </w:p>
          <w:p>
            <w:pPr>
              <w:pStyle w:val="TableParagraph"/>
              <w:spacing w:before="103"/>
              <w:rPr>
                <w:b/>
                <w:sz w:val="18"/>
              </w:rPr>
            </w:pPr>
          </w:p>
          <w:p>
            <w:pPr>
              <w:pStyle w:val="TableParagraph"/>
              <w:ind w:left="21" w:right="8"/>
              <w:jc w:val="center"/>
              <w:rPr>
                <w:sz w:val="18"/>
              </w:rPr>
            </w:pPr>
            <w:r>
              <w:rPr>
                <w:spacing w:val="-4"/>
                <w:sz w:val="18"/>
              </w:rPr>
              <w:t>100%</w:t>
            </w:r>
          </w:p>
        </w:tc>
        <w:tc>
          <w:tcPr>
            <w:tcW w:w="1987" w:type="dxa"/>
          </w:tcPr>
          <w:p>
            <w:pPr>
              <w:pStyle w:val="TableParagraph"/>
              <w:spacing w:line="242" w:lineRule="auto" w:before="205"/>
              <w:ind w:left="72" w:right="123"/>
              <w:rPr>
                <w:sz w:val="18"/>
              </w:rPr>
            </w:pPr>
            <w:r>
              <w:rPr>
                <w:sz w:val="18"/>
              </w:rPr>
              <w:t>Porcentaje de ejecución</w:t>
            </w:r>
            <w:r>
              <w:rPr>
                <w:spacing w:val="-15"/>
                <w:sz w:val="18"/>
              </w:rPr>
              <w:t> </w:t>
            </w:r>
            <w:r>
              <w:rPr>
                <w:sz w:val="18"/>
              </w:rPr>
              <w:t>del</w:t>
            </w:r>
            <w:r>
              <w:rPr>
                <w:spacing w:val="-12"/>
                <w:sz w:val="18"/>
              </w:rPr>
              <w:t> </w:t>
            </w:r>
            <w:r>
              <w:rPr>
                <w:sz w:val="18"/>
              </w:rPr>
              <w:t>monto adjudicado</w:t>
            </w:r>
            <w:r>
              <w:rPr>
                <w:spacing w:val="-15"/>
                <w:sz w:val="18"/>
              </w:rPr>
              <w:t> </w:t>
            </w:r>
            <w:r>
              <w:rPr>
                <w:sz w:val="18"/>
              </w:rPr>
              <w:t>según</w:t>
            </w:r>
            <w:r>
              <w:rPr>
                <w:spacing w:val="-12"/>
                <w:sz w:val="18"/>
              </w:rPr>
              <w:t> </w:t>
            </w:r>
            <w:r>
              <w:rPr>
                <w:sz w:val="18"/>
              </w:rPr>
              <w:t>la </w:t>
            </w:r>
            <w:r>
              <w:rPr>
                <w:spacing w:val="-2"/>
                <w:sz w:val="18"/>
              </w:rPr>
              <w:t>contratación.</w:t>
            </w:r>
          </w:p>
        </w:tc>
        <w:tc>
          <w:tcPr>
            <w:tcW w:w="1843" w:type="dxa"/>
          </w:tcPr>
          <w:p>
            <w:pPr>
              <w:pStyle w:val="TableParagraph"/>
              <w:spacing w:before="104"/>
              <w:ind w:left="73" w:right="157"/>
              <w:rPr>
                <w:sz w:val="18"/>
              </w:rPr>
            </w:pPr>
            <w:r>
              <w:rPr>
                <w:sz w:val="18"/>
              </w:rPr>
              <w:t>Documentos de </w:t>
            </w:r>
            <w:r>
              <w:rPr>
                <w:spacing w:val="-2"/>
                <w:sz w:val="18"/>
              </w:rPr>
              <w:t>fiscalización, </w:t>
            </w:r>
            <w:r>
              <w:rPr>
                <w:sz w:val="18"/>
              </w:rPr>
              <w:t>ordenes</w:t>
            </w:r>
            <w:r>
              <w:rPr>
                <w:spacing w:val="-15"/>
                <w:sz w:val="18"/>
              </w:rPr>
              <w:t> </w:t>
            </w:r>
            <w:r>
              <w:rPr>
                <w:sz w:val="18"/>
              </w:rPr>
              <w:t>de</w:t>
            </w:r>
            <w:r>
              <w:rPr>
                <w:spacing w:val="-12"/>
                <w:sz w:val="18"/>
              </w:rPr>
              <w:t> </w:t>
            </w:r>
            <w:r>
              <w:rPr>
                <w:sz w:val="18"/>
              </w:rPr>
              <w:t>servicio de</w:t>
            </w:r>
            <w:r>
              <w:rPr>
                <w:spacing w:val="-1"/>
                <w:sz w:val="18"/>
              </w:rPr>
              <w:t> </w:t>
            </w:r>
            <w:r>
              <w:rPr>
                <w:sz w:val="18"/>
              </w:rPr>
              <w:t>pago,</w:t>
            </w:r>
            <w:r>
              <w:rPr>
                <w:spacing w:val="-3"/>
                <w:sz w:val="18"/>
              </w:rPr>
              <w:t> </w:t>
            </w:r>
            <w:r>
              <w:rPr>
                <w:sz w:val="18"/>
              </w:rPr>
              <w:t>recepción final de las obras.</w:t>
            </w:r>
          </w:p>
        </w:tc>
        <w:tc>
          <w:tcPr>
            <w:tcW w:w="1416" w:type="dxa"/>
          </w:tcPr>
          <w:p>
            <w:pPr>
              <w:pStyle w:val="TableParagraph"/>
              <w:rPr>
                <w:b/>
                <w:sz w:val="18"/>
              </w:rPr>
            </w:pPr>
          </w:p>
          <w:p>
            <w:pPr>
              <w:pStyle w:val="TableParagraph"/>
              <w:spacing w:before="103"/>
              <w:rPr>
                <w:b/>
                <w:sz w:val="18"/>
              </w:rPr>
            </w:pPr>
          </w:p>
          <w:p>
            <w:pPr>
              <w:pStyle w:val="TableParagraph"/>
              <w:ind w:left="74"/>
              <w:rPr>
                <w:sz w:val="18"/>
              </w:rPr>
            </w:pPr>
            <w:r>
              <w:rPr>
                <w:spacing w:val="-5"/>
                <w:sz w:val="18"/>
              </w:rPr>
              <w:t>DAF</w:t>
            </w:r>
          </w:p>
        </w:tc>
        <w:tc>
          <w:tcPr>
            <w:tcW w:w="1560" w:type="dxa"/>
          </w:tcPr>
          <w:p>
            <w:pPr>
              <w:pStyle w:val="TableParagraph"/>
              <w:rPr>
                <w:b/>
                <w:sz w:val="18"/>
              </w:rPr>
            </w:pPr>
          </w:p>
          <w:p>
            <w:pPr>
              <w:pStyle w:val="TableParagraph"/>
              <w:spacing w:before="103"/>
              <w:rPr>
                <w:b/>
                <w:sz w:val="18"/>
              </w:rPr>
            </w:pPr>
          </w:p>
          <w:p>
            <w:pPr>
              <w:pStyle w:val="TableParagraph"/>
              <w:ind w:left="314"/>
              <w:rPr>
                <w:sz w:val="18"/>
              </w:rPr>
            </w:pPr>
            <w:r>
              <w:rPr>
                <w:sz w:val="18"/>
              </w:rPr>
              <w:t>₡</w:t>
            </w:r>
            <w:r>
              <w:rPr>
                <w:spacing w:val="1"/>
                <w:sz w:val="18"/>
              </w:rPr>
              <w:t> </w:t>
            </w:r>
            <w:r>
              <w:rPr>
                <w:sz w:val="18"/>
              </w:rPr>
              <w:t>300</w:t>
            </w:r>
            <w:r>
              <w:rPr>
                <w:spacing w:val="-2"/>
                <w:sz w:val="18"/>
              </w:rPr>
              <w:t> </w:t>
            </w:r>
            <w:r>
              <w:rPr>
                <w:sz w:val="18"/>
              </w:rPr>
              <w:t>000</w:t>
            </w:r>
            <w:r>
              <w:rPr>
                <w:spacing w:val="-2"/>
                <w:sz w:val="18"/>
              </w:rPr>
              <w:t> </w:t>
            </w:r>
            <w:r>
              <w:rPr>
                <w:spacing w:val="-5"/>
                <w:sz w:val="18"/>
              </w:rPr>
              <w:t>000</w:t>
            </w:r>
          </w:p>
        </w:tc>
        <w:tc>
          <w:tcPr>
            <w:tcW w:w="2064" w:type="dxa"/>
            <w:vMerge/>
            <w:tcBorders>
              <w:top w:val="nil"/>
            </w:tcBorders>
          </w:tcPr>
          <w:p>
            <w:pPr>
              <w:rPr>
                <w:sz w:val="2"/>
                <w:szCs w:val="2"/>
              </w:rPr>
            </w:pPr>
          </w:p>
        </w:tc>
      </w:tr>
      <w:tr>
        <w:trPr>
          <w:trHeight w:val="479" w:hRule="atLeast"/>
        </w:trPr>
        <w:tc>
          <w:tcPr>
            <w:tcW w:w="14391" w:type="dxa"/>
            <w:gridSpan w:val="8"/>
            <w:shd w:val="clear" w:color="auto" w:fill="EFF8F9"/>
          </w:tcPr>
          <w:p>
            <w:pPr>
              <w:pStyle w:val="TableParagraph"/>
              <w:spacing w:before="133"/>
              <w:ind w:left="72"/>
              <w:rPr>
                <w:b/>
                <w:sz w:val="18"/>
              </w:rPr>
            </w:pPr>
            <w:r>
              <w:rPr>
                <w:b/>
                <w:sz w:val="18"/>
              </w:rPr>
              <w:t>Producto</w:t>
            </w:r>
            <w:r>
              <w:rPr>
                <w:b/>
                <w:spacing w:val="-8"/>
                <w:sz w:val="18"/>
              </w:rPr>
              <w:t> </w:t>
            </w:r>
            <w:r>
              <w:rPr>
                <w:b/>
                <w:sz w:val="18"/>
              </w:rPr>
              <w:t>PAC</w:t>
            </w:r>
            <w:r>
              <w:rPr>
                <w:b/>
                <w:spacing w:val="-7"/>
                <w:sz w:val="18"/>
              </w:rPr>
              <w:t> </w:t>
            </w:r>
            <w:r>
              <w:rPr>
                <w:b/>
                <w:sz w:val="18"/>
              </w:rPr>
              <w:t>2:33:</w:t>
            </w:r>
            <w:r>
              <w:rPr>
                <w:b/>
                <w:spacing w:val="-5"/>
                <w:sz w:val="18"/>
              </w:rPr>
              <w:t> </w:t>
            </w:r>
            <w:r>
              <w:rPr>
                <w:b/>
                <w:sz w:val="18"/>
              </w:rPr>
              <w:t>Consolidar un</w:t>
            </w:r>
            <w:r>
              <w:rPr>
                <w:b/>
                <w:spacing w:val="-7"/>
                <w:sz w:val="18"/>
              </w:rPr>
              <w:t> </w:t>
            </w:r>
            <w:r>
              <w:rPr>
                <w:b/>
                <w:sz w:val="18"/>
              </w:rPr>
              <w:t>sistema</w:t>
            </w:r>
            <w:r>
              <w:rPr>
                <w:b/>
                <w:spacing w:val="-6"/>
                <w:sz w:val="18"/>
              </w:rPr>
              <w:t> </w:t>
            </w:r>
            <w:r>
              <w:rPr>
                <w:b/>
                <w:sz w:val="18"/>
              </w:rPr>
              <w:t>de</w:t>
            </w:r>
            <w:r>
              <w:rPr>
                <w:b/>
                <w:spacing w:val="-6"/>
                <w:sz w:val="18"/>
              </w:rPr>
              <w:t> </w:t>
            </w:r>
            <w:r>
              <w:rPr>
                <w:b/>
                <w:sz w:val="18"/>
              </w:rPr>
              <w:t>gestión</w:t>
            </w:r>
            <w:r>
              <w:rPr>
                <w:b/>
                <w:spacing w:val="-7"/>
                <w:sz w:val="18"/>
              </w:rPr>
              <w:t> </w:t>
            </w:r>
            <w:r>
              <w:rPr>
                <w:b/>
                <w:sz w:val="18"/>
              </w:rPr>
              <w:t>presupuestaria</w:t>
            </w:r>
            <w:r>
              <w:rPr>
                <w:b/>
                <w:spacing w:val="-7"/>
                <w:sz w:val="18"/>
              </w:rPr>
              <w:t> </w:t>
            </w:r>
            <w:r>
              <w:rPr>
                <w:b/>
                <w:sz w:val="18"/>
              </w:rPr>
              <w:t>regional</w:t>
            </w:r>
            <w:r>
              <w:rPr>
                <w:b/>
                <w:spacing w:val="-4"/>
                <w:sz w:val="18"/>
              </w:rPr>
              <w:t> </w:t>
            </w:r>
            <w:r>
              <w:rPr>
                <w:b/>
                <w:sz w:val="18"/>
              </w:rPr>
              <w:t>y</w:t>
            </w:r>
            <w:r>
              <w:rPr>
                <w:b/>
                <w:spacing w:val="-6"/>
                <w:sz w:val="18"/>
              </w:rPr>
              <w:t> </w:t>
            </w:r>
            <w:r>
              <w:rPr>
                <w:b/>
                <w:sz w:val="18"/>
              </w:rPr>
              <w:t>territorial</w:t>
            </w:r>
            <w:r>
              <w:rPr>
                <w:b/>
                <w:spacing w:val="-4"/>
                <w:sz w:val="18"/>
              </w:rPr>
              <w:t> </w:t>
            </w:r>
            <w:r>
              <w:rPr>
                <w:b/>
                <w:sz w:val="18"/>
              </w:rPr>
              <w:t>para</w:t>
            </w:r>
            <w:r>
              <w:rPr>
                <w:b/>
                <w:spacing w:val="-6"/>
                <w:sz w:val="18"/>
              </w:rPr>
              <w:t> </w:t>
            </w:r>
            <w:r>
              <w:rPr>
                <w:b/>
                <w:sz w:val="18"/>
              </w:rPr>
              <w:t>facilitar</w:t>
            </w:r>
            <w:r>
              <w:rPr>
                <w:b/>
                <w:spacing w:val="-5"/>
                <w:sz w:val="18"/>
              </w:rPr>
              <w:t> </w:t>
            </w:r>
            <w:r>
              <w:rPr>
                <w:b/>
                <w:sz w:val="18"/>
              </w:rPr>
              <w:t>la</w:t>
            </w:r>
            <w:r>
              <w:rPr>
                <w:b/>
                <w:spacing w:val="-6"/>
                <w:sz w:val="18"/>
              </w:rPr>
              <w:t> </w:t>
            </w:r>
            <w:r>
              <w:rPr>
                <w:b/>
                <w:sz w:val="18"/>
              </w:rPr>
              <w:t>inversión</w:t>
            </w:r>
            <w:r>
              <w:rPr>
                <w:b/>
                <w:spacing w:val="-3"/>
                <w:sz w:val="18"/>
              </w:rPr>
              <w:t> </w:t>
            </w:r>
            <w:r>
              <w:rPr>
                <w:b/>
                <w:sz w:val="18"/>
              </w:rPr>
              <w:t>en</w:t>
            </w:r>
            <w:r>
              <w:rPr>
                <w:b/>
                <w:spacing w:val="-7"/>
                <w:sz w:val="18"/>
              </w:rPr>
              <w:t> </w:t>
            </w:r>
            <w:r>
              <w:rPr>
                <w:b/>
                <w:sz w:val="18"/>
              </w:rPr>
              <w:t>las</w:t>
            </w:r>
            <w:r>
              <w:rPr>
                <w:b/>
                <w:spacing w:val="5"/>
                <w:sz w:val="18"/>
              </w:rPr>
              <w:t> </w:t>
            </w:r>
            <w:r>
              <w:rPr>
                <w:b/>
                <w:sz w:val="18"/>
              </w:rPr>
              <w:t>diferentes</w:t>
            </w:r>
            <w:r>
              <w:rPr>
                <w:b/>
                <w:spacing w:val="-6"/>
                <w:sz w:val="18"/>
              </w:rPr>
              <w:t> </w:t>
            </w:r>
            <w:r>
              <w:rPr>
                <w:b/>
                <w:sz w:val="18"/>
              </w:rPr>
              <w:t>regiones</w:t>
            </w:r>
            <w:r>
              <w:rPr>
                <w:b/>
                <w:spacing w:val="-6"/>
                <w:sz w:val="18"/>
              </w:rPr>
              <w:t> </w:t>
            </w:r>
            <w:r>
              <w:rPr>
                <w:b/>
                <w:sz w:val="18"/>
              </w:rPr>
              <w:t>del</w:t>
            </w:r>
            <w:r>
              <w:rPr>
                <w:b/>
                <w:spacing w:val="-4"/>
                <w:sz w:val="18"/>
              </w:rPr>
              <w:t> </w:t>
            </w:r>
            <w:r>
              <w:rPr>
                <w:b/>
                <w:sz w:val="18"/>
              </w:rPr>
              <w:t>país.</w:t>
            </w:r>
            <w:r>
              <w:rPr>
                <w:b/>
                <w:spacing w:val="65"/>
                <w:w w:val="150"/>
                <w:sz w:val="18"/>
              </w:rPr>
              <w:t> </w:t>
            </w:r>
            <w:r>
              <w:rPr>
                <w:b/>
                <w:sz w:val="18"/>
              </w:rPr>
              <w:t>(E1</w:t>
            </w:r>
            <w:r>
              <w:rPr>
                <w:b/>
                <w:spacing w:val="-6"/>
                <w:sz w:val="18"/>
              </w:rPr>
              <w:t> </w:t>
            </w:r>
            <w:r>
              <w:rPr>
                <w:b/>
                <w:sz w:val="18"/>
              </w:rPr>
              <w:t>AE8</w:t>
            </w:r>
            <w:r>
              <w:rPr>
                <w:b/>
                <w:spacing w:val="-3"/>
                <w:sz w:val="18"/>
              </w:rPr>
              <w:t> </w:t>
            </w:r>
            <w:r>
              <w:rPr>
                <w:b/>
                <w:spacing w:val="-5"/>
                <w:sz w:val="18"/>
              </w:rPr>
              <w:t>R1)</w:t>
            </w:r>
          </w:p>
        </w:tc>
      </w:tr>
      <w:tr>
        <w:trPr>
          <w:trHeight w:val="1243" w:hRule="atLeast"/>
        </w:trPr>
        <w:tc>
          <w:tcPr>
            <w:tcW w:w="2828" w:type="dxa"/>
          </w:tcPr>
          <w:p>
            <w:pPr>
              <w:pStyle w:val="TableParagraph"/>
              <w:spacing w:before="205"/>
              <w:ind w:left="72" w:right="127"/>
              <w:rPr>
                <w:sz w:val="18"/>
              </w:rPr>
            </w:pPr>
            <w:r>
              <w:rPr>
                <w:b/>
                <w:sz w:val="18"/>
              </w:rPr>
              <w:t>Actividad</w:t>
            </w:r>
            <w:r>
              <w:rPr>
                <w:b/>
                <w:spacing w:val="-13"/>
                <w:sz w:val="18"/>
              </w:rPr>
              <w:t> </w:t>
            </w:r>
            <w:r>
              <w:rPr>
                <w:b/>
                <w:sz w:val="18"/>
              </w:rPr>
              <w:t>PAC</w:t>
            </w:r>
            <w:r>
              <w:rPr>
                <w:b/>
                <w:spacing w:val="-12"/>
                <w:sz w:val="18"/>
              </w:rPr>
              <w:t> </w:t>
            </w:r>
            <w:r>
              <w:rPr>
                <w:b/>
                <w:sz w:val="18"/>
              </w:rPr>
              <w:t>2.33.1:</w:t>
            </w:r>
            <w:r>
              <w:rPr>
                <w:b/>
                <w:spacing w:val="-9"/>
                <w:sz w:val="18"/>
              </w:rPr>
              <w:t> </w:t>
            </w:r>
            <w:r>
              <w:rPr>
                <w:sz w:val="18"/>
              </w:rPr>
              <w:t>Revisar solicitudes presupuestarias realizadas por las áreas regionales para el proceso de</w:t>
            </w:r>
          </w:p>
          <w:p>
            <w:pPr>
              <w:pStyle w:val="TableParagraph"/>
              <w:spacing w:line="187" w:lineRule="exact" w:before="3"/>
              <w:ind w:left="72"/>
              <w:rPr>
                <w:sz w:val="18"/>
              </w:rPr>
            </w:pPr>
            <w:r>
              <w:rPr>
                <w:sz w:val="18"/>
              </w:rPr>
              <w:t>formulación</w:t>
            </w:r>
            <w:r>
              <w:rPr>
                <w:spacing w:val="-7"/>
                <w:sz w:val="18"/>
              </w:rPr>
              <w:t> </w:t>
            </w:r>
            <w:r>
              <w:rPr>
                <w:spacing w:val="-2"/>
                <w:sz w:val="18"/>
              </w:rPr>
              <w:t>2026.</w:t>
            </w:r>
          </w:p>
        </w:tc>
        <w:tc>
          <w:tcPr>
            <w:tcW w:w="1416" w:type="dxa"/>
          </w:tcPr>
          <w:p>
            <w:pPr>
              <w:pStyle w:val="TableParagraph"/>
              <w:rPr>
                <w:b/>
                <w:sz w:val="18"/>
              </w:rPr>
            </w:pPr>
          </w:p>
          <w:p>
            <w:pPr>
              <w:pStyle w:val="TableParagraph"/>
              <w:spacing w:before="103"/>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spacing w:before="103"/>
              <w:rPr>
                <w:b/>
                <w:sz w:val="18"/>
              </w:rPr>
            </w:pPr>
          </w:p>
          <w:p>
            <w:pPr>
              <w:pStyle w:val="TableParagraph"/>
              <w:ind w:left="21" w:right="8"/>
              <w:jc w:val="center"/>
              <w:rPr>
                <w:sz w:val="18"/>
              </w:rPr>
            </w:pPr>
            <w:r>
              <w:rPr>
                <w:spacing w:val="-4"/>
                <w:sz w:val="18"/>
              </w:rPr>
              <w:t>100%</w:t>
            </w:r>
          </w:p>
        </w:tc>
        <w:tc>
          <w:tcPr>
            <w:tcW w:w="1987" w:type="dxa"/>
          </w:tcPr>
          <w:p>
            <w:pPr>
              <w:pStyle w:val="TableParagraph"/>
              <w:spacing w:before="105"/>
              <w:ind w:left="72"/>
              <w:rPr>
                <w:sz w:val="18"/>
              </w:rPr>
            </w:pPr>
            <w:r>
              <w:rPr>
                <w:sz w:val="18"/>
              </w:rPr>
              <w:t>Porcentaje de </w:t>
            </w:r>
            <w:r>
              <w:rPr>
                <w:spacing w:val="-2"/>
                <w:sz w:val="18"/>
              </w:rPr>
              <w:t>solicitudes </w:t>
            </w:r>
            <w:r>
              <w:rPr>
                <w:sz w:val="18"/>
              </w:rPr>
              <w:t>presupuestarias</w:t>
            </w:r>
            <w:r>
              <w:rPr>
                <w:spacing w:val="-15"/>
                <w:sz w:val="18"/>
              </w:rPr>
              <w:t> </w:t>
            </w:r>
            <w:r>
              <w:rPr>
                <w:sz w:val="18"/>
              </w:rPr>
              <w:t>de</w:t>
            </w:r>
            <w:r>
              <w:rPr>
                <w:spacing w:val="-12"/>
                <w:sz w:val="18"/>
              </w:rPr>
              <w:t> </w:t>
            </w:r>
            <w:r>
              <w:rPr>
                <w:sz w:val="18"/>
              </w:rPr>
              <w:t>las áreas regionales revisadas y</w:t>
            </w:r>
            <w:r>
              <w:rPr>
                <w:spacing w:val="-5"/>
                <w:sz w:val="18"/>
              </w:rPr>
              <w:t> </w:t>
            </w:r>
            <w:r>
              <w:rPr>
                <w:sz w:val="18"/>
              </w:rPr>
              <w:t>ajustadas.</w:t>
            </w:r>
          </w:p>
        </w:tc>
        <w:tc>
          <w:tcPr>
            <w:tcW w:w="1843" w:type="dxa"/>
          </w:tcPr>
          <w:p>
            <w:pPr>
              <w:pStyle w:val="TableParagraph"/>
              <w:spacing w:before="205"/>
              <w:rPr>
                <w:b/>
                <w:sz w:val="18"/>
              </w:rPr>
            </w:pPr>
          </w:p>
          <w:p>
            <w:pPr>
              <w:pStyle w:val="TableParagraph"/>
              <w:ind w:left="73" w:right="49"/>
              <w:rPr>
                <w:sz w:val="18"/>
              </w:rPr>
            </w:pPr>
            <w:r>
              <w:rPr>
                <w:spacing w:val="-2"/>
                <w:sz w:val="18"/>
              </w:rPr>
              <w:t>Solicitudes presupuestarias</w:t>
            </w:r>
          </w:p>
        </w:tc>
        <w:tc>
          <w:tcPr>
            <w:tcW w:w="1416" w:type="dxa"/>
          </w:tcPr>
          <w:p>
            <w:pPr>
              <w:pStyle w:val="TableParagraph"/>
              <w:rPr>
                <w:b/>
                <w:sz w:val="18"/>
              </w:rPr>
            </w:pPr>
          </w:p>
          <w:p>
            <w:pPr>
              <w:pStyle w:val="TableParagraph"/>
              <w:spacing w:before="103"/>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5"/>
              <w:rPr>
                <w:b/>
                <w:sz w:val="18"/>
              </w:rPr>
            </w:pPr>
          </w:p>
          <w:p>
            <w:pPr>
              <w:pStyle w:val="TableParagraph"/>
              <w:ind w:left="75" w:right="47" w:firstLine="52"/>
              <w:rPr>
                <w:sz w:val="18"/>
              </w:rPr>
            </w:pPr>
            <w:r>
              <w:rPr>
                <w:sz w:val="18"/>
              </w:rPr>
              <w:t>Evento: No lograr que se cuente con un sistema de gestión presupuestaria</w:t>
            </w:r>
            <w:r>
              <w:rPr>
                <w:spacing w:val="-13"/>
                <w:sz w:val="18"/>
              </w:rPr>
              <w:t> </w:t>
            </w:r>
            <w:r>
              <w:rPr>
                <w:sz w:val="18"/>
              </w:rPr>
              <w:t>regional</w:t>
            </w:r>
          </w:p>
        </w:tc>
      </w:tr>
      <w:tr>
        <w:trPr>
          <w:trHeight w:val="1243" w:hRule="atLeast"/>
        </w:trPr>
        <w:tc>
          <w:tcPr>
            <w:tcW w:w="2828" w:type="dxa"/>
          </w:tcPr>
          <w:p>
            <w:pPr>
              <w:pStyle w:val="TableParagraph"/>
              <w:spacing w:before="192"/>
              <w:rPr>
                <w:b/>
                <w:sz w:val="18"/>
              </w:rPr>
            </w:pPr>
          </w:p>
          <w:p>
            <w:pPr>
              <w:pStyle w:val="TableParagraph"/>
              <w:spacing w:line="206" w:lineRule="exact"/>
              <w:ind w:left="72" w:right="127"/>
              <w:rPr>
                <w:sz w:val="18"/>
              </w:rPr>
            </w:pPr>
            <w:r>
              <w:rPr>
                <w:b/>
                <w:sz w:val="18"/>
              </w:rPr>
              <w:t>Actividad PAC 2.33.2: </w:t>
            </w:r>
            <w:r>
              <w:rPr>
                <w:sz w:val="18"/>
              </w:rPr>
              <w:t>Consolido</w:t>
            </w:r>
            <w:r>
              <w:rPr>
                <w:spacing w:val="-7"/>
                <w:sz w:val="18"/>
              </w:rPr>
              <w:t> </w:t>
            </w:r>
            <w:r>
              <w:rPr>
                <w:sz w:val="18"/>
              </w:rPr>
              <w:t>la</w:t>
            </w:r>
            <w:r>
              <w:rPr>
                <w:spacing w:val="-7"/>
                <w:sz w:val="18"/>
              </w:rPr>
              <w:t> </w:t>
            </w:r>
            <w:r>
              <w:rPr>
                <w:sz w:val="18"/>
              </w:rPr>
              <w:t>información</w:t>
            </w:r>
            <w:r>
              <w:rPr>
                <w:spacing w:val="-10"/>
                <w:sz w:val="18"/>
              </w:rPr>
              <w:t> </w:t>
            </w:r>
            <w:r>
              <w:rPr>
                <w:sz w:val="18"/>
              </w:rPr>
              <w:t>en</w:t>
            </w:r>
            <w:r>
              <w:rPr>
                <w:spacing w:val="-10"/>
                <w:sz w:val="18"/>
              </w:rPr>
              <w:t> </w:t>
            </w:r>
            <w:r>
              <w:rPr>
                <w:sz w:val="18"/>
              </w:rPr>
              <w:t>el sistema de gestión presupuestaria regional.</w:t>
            </w:r>
          </w:p>
        </w:tc>
        <w:tc>
          <w:tcPr>
            <w:tcW w:w="1416" w:type="dxa"/>
          </w:tcPr>
          <w:p>
            <w:pPr>
              <w:pStyle w:val="TableParagraph"/>
              <w:rPr>
                <w:b/>
                <w:sz w:val="18"/>
              </w:rPr>
            </w:pPr>
          </w:p>
          <w:p>
            <w:pPr>
              <w:pStyle w:val="TableParagraph"/>
              <w:spacing w:before="103"/>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spacing w:before="103"/>
              <w:rPr>
                <w:b/>
                <w:sz w:val="18"/>
              </w:rPr>
            </w:pPr>
          </w:p>
          <w:p>
            <w:pPr>
              <w:pStyle w:val="TableParagraph"/>
              <w:ind w:left="21" w:right="8"/>
              <w:jc w:val="center"/>
              <w:rPr>
                <w:sz w:val="18"/>
              </w:rPr>
            </w:pPr>
            <w:r>
              <w:rPr>
                <w:spacing w:val="-4"/>
                <w:sz w:val="18"/>
              </w:rPr>
              <w:t>100%</w:t>
            </w:r>
          </w:p>
        </w:tc>
        <w:tc>
          <w:tcPr>
            <w:tcW w:w="1987" w:type="dxa"/>
          </w:tcPr>
          <w:p>
            <w:pPr>
              <w:pStyle w:val="TableParagraph"/>
              <w:ind w:left="72" w:right="123"/>
              <w:rPr>
                <w:sz w:val="18"/>
              </w:rPr>
            </w:pPr>
            <w:r>
              <w:rPr>
                <w:sz w:val="18"/>
              </w:rPr>
              <w:t>Porcentaje de </w:t>
            </w:r>
            <w:r>
              <w:rPr>
                <w:spacing w:val="-2"/>
                <w:sz w:val="18"/>
              </w:rPr>
              <w:t>solicitudes </w:t>
            </w:r>
            <w:r>
              <w:rPr>
                <w:sz w:val="18"/>
              </w:rPr>
              <w:t>consolidadas de acuerdo con el</w:t>
            </w:r>
          </w:p>
          <w:p>
            <w:pPr>
              <w:pStyle w:val="TableParagraph"/>
              <w:spacing w:line="206" w:lineRule="exact"/>
              <w:ind w:left="72"/>
              <w:rPr>
                <w:sz w:val="18"/>
              </w:rPr>
            </w:pPr>
            <w:r>
              <w:rPr>
                <w:sz w:val="18"/>
              </w:rPr>
              <w:t>sistema</w:t>
            </w:r>
            <w:r>
              <w:rPr>
                <w:spacing w:val="-15"/>
                <w:sz w:val="18"/>
              </w:rPr>
              <w:t> </w:t>
            </w:r>
            <w:r>
              <w:rPr>
                <w:sz w:val="18"/>
              </w:rPr>
              <w:t>de</w:t>
            </w:r>
            <w:r>
              <w:rPr>
                <w:spacing w:val="-12"/>
                <w:sz w:val="18"/>
              </w:rPr>
              <w:t> </w:t>
            </w:r>
            <w:r>
              <w:rPr>
                <w:sz w:val="18"/>
              </w:rPr>
              <w:t>gestión </w:t>
            </w:r>
            <w:r>
              <w:rPr>
                <w:spacing w:val="-2"/>
                <w:sz w:val="18"/>
              </w:rPr>
              <w:t>definido.</w:t>
            </w:r>
          </w:p>
        </w:tc>
        <w:tc>
          <w:tcPr>
            <w:tcW w:w="1843" w:type="dxa"/>
          </w:tcPr>
          <w:p>
            <w:pPr>
              <w:pStyle w:val="TableParagraph"/>
              <w:spacing w:before="205"/>
              <w:rPr>
                <w:b/>
                <w:sz w:val="18"/>
              </w:rPr>
            </w:pPr>
          </w:p>
          <w:p>
            <w:pPr>
              <w:pStyle w:val="TableParagraph"/>
              <w:ind w:left="73" w:right="49"/>
              <w:rPr>
                <w:sz w:val="18"/>
              </w:rPr>
            </w:pPr>
            <w:r>
              <w:rPr>
                <w:spacing w:val="-2"/>
                <w:sz w:val="18"/>
              </w:rPr>
              <w:t>Solicitudes presupuestarias</w:t>
            </w:r>
          </w:p>
        </w:tc>
        <w:tc>
          <w:tcPr>
            <w:tcW w:w="1416" w:type="dxa"/>
          </w:tcPr>
          <w:p>
            <w:pPr>
              <w:pStyle w:val="TableParagraph"/>
              <w:rPr>
                <w:b/>
                <w:sz w:val="18"/>
              </w:rPr>
            </w:pPr>
          </w:p>
          <w:p>
            <w:pPr>
              <w:pStyle w:val="TableParagraph"/>
              <w:spacing w:before="103"/>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tcBorders>
          </w:tcPr>
          <w:p>
            <w:pPr>
              <w:rPr>
                <w:sz w:val="2"/>
                <w:szCs w:val="2"/>
              </w:rPr>
            </w:pPr>
          </w:p>
        </w:tc>
      </w:tr>
      <w:tr>
        <w:trPr>
          <w:trHeight w:val="1469" w:hRule="atLeast"/>
        </w:trPr>
        <w:tc>
          <w:tcPr>
            <w:tcW w:w="2828" w:type="dxa"/>
          </w:tcPr>
          <w:p>
            <w:pPr>
              <w:pStyle w:val="TableParagraph"/>
              <w:spacing w:before="109"/>
              <w:rPr>
                <w:b/>
                <w:sz w:val="18"/>
              </w:rPr>
            </w:pPr>
          </w:p>
          <w:p>
            <w:pPr>
              <w:pStyle w:val="TableParagraph"/>
              <w:ind w:left="72"/>
              <w:rPr>
                <w:sz w:val="18"/>
              </w:rPr>
            </w:pPr>
            <w:r>
              <w:rPr>
                <w:b/>
                <w:sz w:val="18"/>
              </w:rPr>
              <w:t>Actividad PAC 2.33.3: </w:t>
            </w:r>
            <w:r>
              <w:rPr>
                <w:sz w:val="18"/>
              </w:rPr>
              <w:t>Verificar que</w:t>
            </w:r>
            <w:r>
              <w:rPr>
                <w:spacing w:val="-7"/>
                <w:sz w:val="18"/>
              </w:rPr>
              <w:t> </w:t>
            </w:r>
            <w:r>
              <w:rPr>
                <w:sz w:val="18"/>
              </w:rPr>
              <w:t>los</w:t>
            </w:r>
            <w:r>
              <w:rPr>
                <w:spacing w:val="-10"/>
                <w:sz w:val="18"/>
              </w:rPr>
              <w:t> </w:t>
            </w:r>
            <w:r>
              <w:rPr>
                <w:sz w:val="18"/>
              </w:rPr>
              <w:t>recursos</w:t>
            </w:r>
            <w:r>
              <w:rPr>
                <w:spacing w:val="-10"/>
                <w:sz w:val="18"/>
              </w:rPr>
              <w:t> </w:t>
            </w:r>
            <w:r>
              <w:rPr>
                <w:sz w:val="18"/>
              </w:rPr>
              <w:t>solicitados</w:t>
            </w:r>
            <w:r>
              <w:rPr>
                <w:spacing w:val="-10"/>
                <w:sz w:val="18"/>
              </w:rPr>
              <w:t> </w:t>
            </w:r>
            <w:r>
              <w:rPr>
                <w:sz w:val="18"/>
              </w:rPr>
              <w:t>sean suficientes de acuerdo con las proyecciones de ingresos </w:t>
            </w:r>
            <w:r>
              <w:rPr>
                <w:spacing w:val="-2"/>
                <w:sz w:val="18"/>
              </w:rPr>
              <w:t>institucionales.</w:t>
            </w:r>
          </w:p>
        </w:tc>
        <w:tc>
          <w:tcPr>
            <w:tcW w:w="1416" w:type="dxa"/>
          </w:tcPr>
          <w:p>
            <w:pPr>
              <w:pStyle w:val="TableParagraph"/>
              <w:rPr>
                <w:b/>
                <w:sz w:val="18"/>
              </w:rPr>
            </w:pPr>
          </w:p>
          <w:p>
            <w:pPr>
              <w:pStyle w:val="TableParagraph"/>
              <w:rPr>
                <w:b/>
                <w:sz w:val="18"/>
              </w:rPr>
            </w:pPr>
          </w:p>
          <w:p>
            <w:pPr>
              <w:pStyle w:val="TableParagraph"/>
              <w:spacing w:before="7"/>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rPr>
                <w:b/>
                <w:sz w:val="18"/>
              </w:rPr>
            </w:pPr>
          </w:p>
          <w:p>
            <w:pPr>
              <w:pStyle w:val="TableParagraph"/>
              <w:spacing w:before="7"/>
              <w:rPr>
                <w:b/>
                <w:sz w:val="18"/>
              </w:rPr>
            </w:pPr>
          </w:p>
          <w:p>
            <w:pPr>
              <w:pStyle w:val="TableParagraph"/>
              <w:ind w:left="21" w:right="8"/>
              <w:jc w:val="center"/>
              <w:rPr>
                <w:sz w:val="18"/>
              </w:rPr>
            </w:pPr>
            <w:r>
              <w:rPr>
                <w:spacing w:val="-4"/>
                <w:sz w:val="18"/>
              </w:rPr>
              <w:t>100%</w:t>
            </w:r>
          </w:p>
        </w:tc>
        <w:tc>
          <w:tcPr>
            <w:tcW w:w="1987" w:type="dxa"/>
          </w:tcPr>
          <w:p>
            <w:pPr>
              <w:pStyle w:val="TableParagraph"/>
              <w:spacing w:before="8"/>
              <w:rPr>
                <w:b/>
                <w:sz w:val="18"/>
              </w:rPr>
            </w:pPr>
          </w:p>
          <w:p>
            <w:pPr>
              <w:pStyle w:val="TableParagraph"/>
              <w:ind w:left="72" w:right="80"/>
              <w:rPr>
                <w:sz w:val="18"/>
              </w:rPr>
            </w:pPr>
            <w:r>
              <w:rPr>
                <w:sz w:val="18"/>
              </w:rPr>
              <w:t>Porcentaje de</w:t>
            </w:r>
            <w:r>
              <w:rPr>
                <w:spacing w:val="40"/>
                <w:sz w:val="18"/>
              </w:rPr>
              <w:t> </w:t>
            </w:r>
            <w:r>
              <w:rPr>
                <w:sz w:val="18"/>
              </w:rPr>
              <w:t>recursos solicitados cumpliendo con las proyecciones de ingreso</w:t>
            </w:r>
            <w:r>
              <w:rPr>
                <w:spacing w:val="-13"/>
                <w:sz w:val="18"/>
              </w:rPr>
              <w:t> </w:t>
            </w:r>
            <w:r>
              <w:rPr>
                <w:sz w:val="18"/>
              </w:rPr>
              <w:t>institucionales.</w:t>
            </w:r>
          </w:p>
        </w:tc>
        <w:tc>
          <w:tcPr>
            <w:tcW w:w="1843" w:type="dxa"/>
          </w:tcPr>
          <w:p>
            <w:pPr>
              <w:pStyle w:val="TableParagraph"/>
              <w:rPr>
                <w:b/>
                <w:sz w:val="18"/>
              </w:rPr>
            </w:pPr>
          </w:p>
          <w:p>
            <w:pPr>
              <w:pStyle w:val="TableParagraph"/>
              <w:spacing w:before="113"/>
              <w:rPr>
                <w:b/>
                <w:sz w:val="18"/>
              </w:rPr>
            </w:pPr>
          </w:p>
          <w:p>
            <w:pPr>
              <w:pStyle w:val="TableParagraph"/>
              <w:ind w:left="73" w:right="49"/>
              <w:rPr>
                <w:sz w:val="18"/>
              </w:rPr>
            </w:pPr>
            <w:r>
              <w:rPr>
                <w:spacing w:val="-2"/>
                <w:sz w:val="18"/>
              </w:rPr>
              <w:t>Solicitudes presupuestarias</w:t>
            </w:r>
          </w:p>
        </w:tc>
        <w:tc>
          <w:tcPr>
            <w:tcW w:w="1416" w:type="dxa"/>
          </w:tcPr>
          <w:p>
            <w:pPr>
              <w:pStyle w:val="TableParagraph"/>
              <w:rPr>
                <w:b/>
                <w:sz w:val="18"/>
              </w:rPr>
            </w:pPr>
          </w:p>
          <w:p>
            <w:pPr>
              <w:pStyle w:val="TableParagraph"/>
              <w:rPr>
                <w:b/>
                <w:sz w:val="18"/>
              </w:rPr>
            </w:pPr>
          </w:p>
          <w:p>
            <w:pPr>
              <w:pStyle w:val="TableParagraph"/>
              <w:spacing w:before="7"/>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tcBorders>
          </w:tcPr>
          <w:p>
            <w:pPr>
              <w:rPr>
                <w:sz w:val="2"/>
                <w:szCs w:val="2"/>
              </w:rPr>
            </w:pPr>
          </w:p>
        </w:tc>
      </w:tr>
      <w:tr>
        <w:trPr>
          <w:trHeight w:val="522" w:hRule="atLeast"/>
        </w:trPr>
        <w:tc>
          <w:tcPr>
            <w:tcW w:w="14391" w:type="dxa"/>
            <w:gridSpan w:val="8"/>
            <w:shd w:val="clear" w:color="auto" w:fill="EFF8F9"/>
          </w:tcPr>
          <w:p>
            <w:pPr>
              <w:pStyle w:val="TableParagraph"/>
              <w:spacing w:before="56"/>
              <w:ind w:left="72" w:right="84"/>
              <w:rPr>
                <w:b/>
                <w:sz w:val="18"/>
              </w:rPr>
            </w:pPr>
            <w:r>
              <w:rPr>
                <w:b/>
                <w:sz w:val="18"/>
              </w:rPr>
              <w:t>Producto</w:t>
            </w:r>
            <w:r>
              <w:rPr>
                <w:b/>
                <w:spacing w:val="-3"/>
                <w:sz w:val="18"/>
              </w:rPr>
              <w:t> </w:t>
            </w:r>
            <w:r>
              <w:rPr>
                <w:b/>
                <w:sz w:val="18"/>
              </w:rPr>
              <w:t>PAC</w:t>
            </w:r>
            <w:r>
              <w:rPr>
                <w:b/>
                <w:spacing w:val="-5"/>
                <w:sz w:val="18"/>
              </w:rPr>
              <w:t> </w:t>
            </w:r>
            <w:r>
              <w:rPr>
                <w:b/>
                <w:sz w:val="18"/>
              </w:rPr>
              <w:t>2:34: Personas</w:t>
            </w:r>
            <w:r>
              <w:rPr>
                <w:b/>
                <w:spacing w:val="-2"/>
                <w:sz w:val="18"/>
              </w:rPr>
              <w:t> </w:t>
            </w:r>
            <w:r>
              <w:rPr>
                <w:b/>
                <w:sz w:val="18"/>
              </w:rPr>
              <w:t>funcionarias</w:t>
            </w:r>
            <w:r>
              <w:rPr>
                <w:b/>
                <w:spacing w:val="-8"/>
                <w:sz w:val="18"/>
              </w:rPr>
              <w:t> </w:t>
            </w:r>
            <w:r>
              <w:rPr>
                <w:b/>
                <w:sz w:val="18"/>
              </w:rPr>
              <w:t>identificadas</w:t>
            </w:r>
            <w:r>
              <w:rPr>
                <w:b/>
                <w:spacing w:val="-2"/>
                <w:sz w:val="18"/>
              </w:rPr>
              <w:t> </w:t>
            </w:r>
            <w:r>
              <w:rPr>
                <w:b/>
                <w:sz w:val="18"/>
              </w:rPr>
              <w:t>y capacitadas</w:t>
            </w:r>
            <w:r>
              <w:rPr>
                <w:b/>
                <w:spacing w:val="-2"/>
                <w:sz w:val="18"/>
              </w:rPr>
              <w:t> </w:t>
            </w:r>
            <w:r>
              <w:rPr>
                <w:b/>
                <w:sz w:val="18"/>
              </w:rPr>
              <w:t>en</w:t>
            </w:r>
            <w:r>
              <w:rPr>
                <w:b/>
                <w:spacing w:val="-3"/>
                <w:sz w:val="18"/>
              </w:rPr>
              <w:t> </w:t>
            </w:r>
            <w:r>
              <w:rPr>
                <w:b/>
                <w:sz w:val="18"/>
              </w:rPr>
              <w:t>la</w:t>
            </w:r>
            <w:r>
              <w:rPr>
                <w:b/>
                <w:spacing w:val="-2"/>
                <w:sz w:val="18"/>
              </w:rPr>
              <w:t> </w:t>
            </w:r>
            <w:r>
              <w:rPr>
                <w:b/>
                <w:sz w:val="18"/>
              </w:rPr>
              <w:t>aplicación</w:t>
            </w:r>
            <w:r>
              <w:rPr>
                <w:b/>
                <w:spacing w:val="-3"/>
                <w:sz w:val="18"/>
              </w:rPr>
              <w:t> </w:t>
            </w:r>
            <w:r>
              <w:rPr>
                <w:b/>
                <w:sz w:val="18"/>
              </w:rPr>
              <w:t>de</w:t>
            </w:r>
            <w:r>
              <w:rPr>
                <w:b/>
                <w:spacing w:val="-2"/>
                <w:sz w:val="18"/>
              </w:rPr>
              <w:t> </w:t>
            </w:r>
            <w:r>
              <w:rPr>
                <w:b/>
                <w:sz w:val="18"/>
              </w:rPr>
              <w:t>la</w:t>
            </w:r>
            <w:r>
              <w:rPr>
                <w:b/>
                <w:spacing w:val="-2"/>
                <w:sz w:val="18"/>
              </w:rPr>
              <w:t> </w:t>
            </w:r>
            <w:r>
              <w:rPr>
                <w:b/>
                <w:sz w:val="18"/>
              </w:rPr>
              <w:t>metodología</w:t>
            </w:r>
            <w:r>
              <w:rPr>
                <w:b/>
                <w:spacing w:val="-2"/>
                <w:sz w:val="18"/>
              </w:rPr>
              <w:t> </w:t>
            </w:r>
            <w:r>
              <w:rPr>
                <w:b/>
                <w:sz w:val="18"/>
              </w:rPr>
              <w:t>para una eficiente asignación</w:t>
            </w:r>
            <w:r>
              <w:rPr>
                <w:b/>
                <w:spacing w:val="-3"/>
                <w:sz w:val="18"/>
              </w:rPr>
              <w:t> </w:t>
            </w:r>
            <w:r>
              <w:rPr>
                <w:b/>
                <w:sz w:val="18"/>
              </w:rPr>
              <w:t>presupuestaria</w:t>
            </w:r>
            <w:r>
              <w:rPr>
                <w:b/>
                <w:spacing w:val="-2"/>
                <w:sz w:val="18"/>
              </w:rPr>
              <w:t> </w:t>
            </w:r>
            <w:r>
              <w:rPr>
                <w:b/>
                <w:sz w:val="18"/>
              </w:rPr>
              <w:t>regional.</w:t>
            </w:r>
            <w:r>
              <w:rPr>
                <w:b/>
                <w:spacing w:val="40"/>
                <w:sz w:val="18"/>
              </w:rPr>
              <w:t> </w:t>
            </w:r>
            <w:r>
              <w:rPr>
                <w:b/>
                <w:sz w:val="18"/>
              </w:rPr>
              <w:t>E1 AE8 R3</w:t>
            </w:r>
          </w:p>
        </w:tc>
      </w:tr>
    </w:tbl>
    <w:p>
      <w:pPr>
        <w:pStyle w:val="TableParagraph"/>
        <w:spacing w:after="0"/>
        <w:rPr>
          <w:b/>
          <w:sz w:val="18"/>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8"/>
        <w:gridCol w:w="1416"/>
        <w:gridCol w:w="1277"/>
        <w:gridCol w:w="1987"/>
        <w:gridCol w:w="1843"/>
        <w:gridCol w:w="1416"/>
        <w:gridCol w:w="1560"/>
        <w:gridCol w:w="2064"/>
      </w:tblGrid>
      <w:tr>
        <w:trPr>
          <w:trHeight w:val="925" w:hRule="atLeast"/>
        </w:trPr>
        <w:tc>
          <w:tcPr>
            <w:tcW w:w="2828" w:type="dxa"/>
            <w:shd w:val="clear" w:color="auto" w:fill="D7D7D7"/>
          </w:tcPr>
          <w:p>
            <w:pPr>
              <w:pStyle w:val="TableParagraph"/>
              <w:spacing w:before="151"/>
              <w:rPr>
                <w:b/>
                <w:sz w:val="18"/>
              </w:rPr>
            </w:pPr>
          </w:p>
          <w:p>
            <w:pPr>
              <w:pStyle w:val="TableParagraph"/>
              <w:spacing w:before="1"/>
              <w:ind w:left="446"/>
              <w:rPr>
                <w:b/>
                <w:sz w:val="18"/>
              </w:rPr>
            </w:pPr>
            <w:r>
              <w:rPr>
                <w:b/>
                <w:sz w:val="18"/>
              </w:rPr>
              <w:t>Objetivos</w:t>
            </w:r>
            <w:r>
              <w:rPr>
                <w:b/>
                <w:spacing w:val="-5"/>
                <w:sz w:val="18"/>
              </w:rPr>
              <w:t> </w:t>
            </w:r>
            <w:r>
              <w:rPr>
                <w:b/>
                <w:sz w:val="18"/>
              </w:rPr>
              <w:t>/</w:t>
            </w:r>
            <w:r>
              <w:rPr>
                <w:b/>
                <w:spacing w:val="-2"/>
                <w:sz w:val="18"/>
              </w:rPr>
              <w:t> Resultados</w:t>
            </w:r>
          </w:p>
        </w:tc>
        <w:tc>
          <w:tcPr>
            <w:tcW w:w="1416" w:type="dxa"/>
            <w:shd w:val="clear" w:color="auto" w:fill="D7D7D7"/>
          </w:tcPr>
          <w:p>
            <w:pPr>
              <w:pStyle w:val="TableParagraph"/>
              <w:spacing w:before="46"/>
              <w:rPr>
                <w:b/>
                <w:sz w:val="18"/>
              </w:rPr>
            </w:pPr>
          </w:p>
          <w:p>
            <w:pPr>
              <w:pStyle w:val="TableParagraph"/>
              <w:ind w:left="451" w:hanging="216"/>
              <w:rPr>
                <w:b/>
                <w:sz w:val="18"/>
              </w:rPr>
            </w:pPr>
            <w:r>
              <w:rPr>
                <w:b/>
                <w:sz w:val="18"/>
              </w:rPr>
              <w:t>Línea</w:t>
            </w:r>
            <w:r>
              <w:rPr>
                <w:b/>
                <w:spacing w:val="-13"/>
                <w:sz w:val="18"/>
              </w:rPr>
              <w:t> </w:t>
            </w:r>
            <w:r>
              <w:rPr>
                <w:b/>
                <w:sz w:val="18"/>
              </w:rPr>
              <w:t>Base </w:t>
            </w:r>
            <w:r>
              <w:rPr>
                <w:b/>
                <w:spacing w:val="-2"/>
                <w:sz w:val="18"/>
              </w:rPr>
              <w:t>(2024)</w:t>
            </w:r>
          </w:p>
        </w:tc>
        <w:tc>
          <w:tcPr>
            <w:tcW w:w="1277" w:type="dxa"/>
            <w:shd w:val="clear" w:color="auto" w:fill="D7D7D7"/>
          </w:tcPr>
          <w:p>
            <w:pPr>
              <w:pStyle w:val="TableParagraph"/>
              <w:spacing w:before="152"/>
              <w:ind w:left="120" w:right="98" w:hanging="10"/>
              <w:jc w:val="center"/>
              <w:rPr>
                <w:b/>
                <w:sz w:val="18"/>
              </w:rPr>
            </w:pPr>
            <w:r>
              <w:rPr>
                <w:b/>
                <w:spacing w:val="-4"/>
                <w:sz w:val="18"/>
              </w:rPr>
              <w:t>Meta </w:t>
            </w:r>
            <w:r>
              <w:rPr>
                <w:b/>
                <w:spacing w:val="-2"/>
                <w:sz w:val="18"/>
              </w:rPr>
              <w:t>programada </w:t>
            </w:r>
            <w:r>
              <w:rPr>
                <w:b/>
                <w:spacing w:val="-4"/>
                <w:sz w:val="18"/>
              </w:rPr>
              <w:t>2026</w:t>
            </w:r>
          </w:p>
        </w:tc>
        <w:tc>
          <w:tcPr>
            <w:tcW w:w="1987" w:type="dxa"/>
            <w:shd w:val="clear" w:color="auto" w:fill="D7D7D7"/>
          </w:tcPr>
          <w:p>
            <w:pPr>
              <w:pStyle w:val="TableParagraph"/>
              <w:spacing w:before="151"/>
              <w:rPr>
                <w:b/>
                <w:sz w:val="18"/>
              </w:rPr>
            </w:pPr>
          </w:p>
          <w:p>
            <w:pPr>
              <w:pStyle w:val="TableParagraph"/>
              <w:spacing w:before="1"/>
              <w:ind w:left="591"/>
              <w:rPr>
                <w:b/>
                <w:sz w:val="18"/>
              </w:rPr>
            </w:pPr>
            <w:r>
              <w:rPr>
                <w:b/>
                <w:spacing w:val="-2"/>
                <w:sz w:val="18"/>
              </w:rPr>
              <w:t>Indicador</w:t>
            </w:r>
          </w:p>
        </w:tc>
        <w:tc>
          <w:tcPr>
            <w:tcW w:w="1843" w:type="dxa"/>
            <w:shd w:val="clear" w:color="auto" w:fill="D7D7D7"/>
          </w:tcPr>
          <w:p>
            <w:pPr>
              <w:pStyle w:val="TableParagraph"/>
              <w:spacing w:before="46"/>
              <w:rPr>
                <w:b/>
                <w:sz w:val="18"/>
              </w:rPr>
            </w:pPr>
          </w:p>
          <w:p>
            <w:pPr>
              <w:pStyle w:val="TableParagraph"/>
              <w:ind w:left="423" w:right="49" w:firstLine="57"/>
              <w:rPr>
                <w:b/>
                <w:sz w:val="18"/>
              </w:rPr>
            </w:pPr>
            <w:r>
              <w:rPr>
                <w:b/>
                <w:sz w:val="18"/>
              </w:rPr>
              <w:t>Medios de </w:t>
            </w:r>
            <w:r>
              <w:rPr>
                <w:b/>
                <w:spacing w:val="-2"/>
                <w:sz w:val="18"/>
              </w:rPr>
              <w:t>verificación</w:t>
            </w:r>
          </w:p>
        </w:tc>
        <w:tc>
          <w:tcPr>
            <w:tcW w:w="1416" w:type="dxa"/>
            <w:shd w:val="clear" w:color="auto" w:fill="D7D7D7"/>
          </w:tcPr>
          <w:p>
            <w:pPr>
              <w:pStyle w:val="TableParagraph"/>
              <w:spacing w:before="151"/>
              <w:rPr>
                <w:b/>
                <w:sz w:val="18"/>
              </w:rPr>
            </w:pPr>
          </w:p>
          <w:p>
            <w:pPr>
              <w:pStyle w:val="TableParagraph"/>
              <w:spacing w:before="1"/>
              <w:ind w:left="150"/>
              <w:rPr>
                <w:b/>
                <w:sz w:val="18"/>
              </w:rPr>
            </w:pPr>
            <w:r>
              <w:rPr>
                <w:b/>
                <w:spacing w:val="-2"/>
                <w:sz w:val="18"/>
              </w:rPr>
              <w:t>Responsable</w:t>
            </w:r>
          </w:p>
        </w:tc>
        <w:tc>
          <w:tcPr>
            <w:tcW w:w="1560" w:type="dxa"/>
            <w:shd w:val="clear" w:color="auto" w:fill="D7D7D7"/>
          </w:tcPr>
          <w:p>
            <w:pPr>
              <w:pStyle w:val="TableParagraph"/>
              <w:spacing w:before="46"/>
              <w:rPr>
                <w:b/>
                <w:sz w:val="18"/>
              </w:rPr>
            </w:pPr>
          </w:p>
          <w:p>
            <w:pPr>
              <w:pStyle w:val="TableParagraph"/>
              <w:ind w:left="386" w:right="58" w:hanging="149"/>
              <w:rPr>
                <w:b/>
                <w:sz w:val="18"/>
              </w:rPr>
            </w:pPr>
            <w:r>
              <w:rPr>
                <w:b/>
                <w:spacing w:val="-2"/>
                <w:sz w:val="18"/>
              </w:rPr>
              <w:t>Presupuesto asignado</w:t>
            </w:r>
          </w:p>
        </w:tc>
        <w:tc>
          <w:tcPr>
            <w:tcW w:w="2064" w:type="dxa"/>
            <w:shd w:val="clear" w:color="auto" w:fill="D7D7D7"/>
          </w:tcPr>
          <w:p>
            <w:pPr>
              <w:pStyle w:val="TableParagraph"/>
              <w:spacing w:before="151"/>
              <w:rPr>
                <w:b/>
                <w:sz w:val="18"/>
              </w:rPr>
            </w:pPr>
          </w:p>
          <w:p>
            <w:pPr>
              <w:pStyle w:val="TableParagraph"/>
              <w:spacing w:before="1"/>
              <w:ind w:left="75"/>
              <w:rPr>
                <w:b/>
                <w:sz w:val="18"/>
              </w:rPr>
            </w:pPr>
            <w:r>
              <w:rPr>
                <w:b/>
                <w:spacing w:val="-2"/>
                <w:sz w:val="18"/>
              </w:rPr>
              <w:t>Riesgos</w:t>
            </w:r>
          </w:p>
        </w:tc>
      </w:tr>
      <w:tr>
        <w:trPr>
          <w:trHeight w:val="1450" w:hRule="atLeast"/>
        </w:trPr>
        <w:tc>
          <w:tcPr>
            <w:tcW w:w="2828" w:type="dxa"/>
          </w:tcPr>
          <w:p>
            <w:pPr>
              <w:pStyle w:val="TableParagraph"/>
              <w:spacing w:before="206"/>
              <w:ind w:left="72" w:right="62"/>
              <w:rPr>
                <w:sz w:val="18"/>
              </w:rPr>
            </w:pPr>
            <w:r>
              <w:rPr>
                <w:b/>
                <w:sz w:val="18"/>
              </w:rPr>
              <w:t>Actividad</w:t>
            </w:r>
            <w:r>
              <w:rPr>
                <w:b/>
                <w:spacing w:val="-13"/>
                <w:sz w:val="18"/>
              </w:rPr>
              <w:t> </w:t>
            </w:r>
            <w:r>
              <w:rPr>
                <w:b/>
                <w:sz w:val="18"/>
              </w:rPr>
              <w:t>PAC</w:t>
            </w:r>
            <w:r>
              <w:rPr>
                <w:b/>
                <w:spacing w:val="-12"/>
                <w:sz w:val="18"/>
              </w:rPr>
              <w:t> </w:t>
            </w:r>
            <w:r>
              <w:rPr>
                <w:b/>
                <w:sz w:val="18"/>
              </w:rPr>
              <w:t>2.34.1:</w:t>
            </w:r>
            <w:r>
              <w:rPr>
                <w:b/>
                <w:spacing w:val="-13"/>
                <w:sz w:val="18"/>
              </w:rPr>
              <w:t> </w:t>
            </w:r>
            <w:r>
              <w:rPr>
                <w:sz w:val="18"/>
              </w:rPr>
              <w:t>Identificar a las personas funcionarias para ser capacitadas en la aplicación de la metodología para una eficiente asignación</w:t>
            </w:r>
          </w:p>
          <w:p>
            <w:pPr>
              <w:pStyle w:val="TableParagraph"/>
              <w:spacing w:line="187" w:lineRule="exact" w:before="2"/>
              <w:ind w:left="72"/>
              <w:rPr>
                <w:sz w:val="18"/>
              </w:rPr>
            </w:pPr>
            <w:r>
              <w:rPr>
                <w:sz w:val="18"/>
              </w:rPr>
              <w:t>presupuestaria</w:t>
            </w:r>
            <w:r>
              <w:rPr>
                <w:spacing w:val="-9"/>
                <w:sz w:val="18"/>
              </w:rPr>
              <w:t> </w:t>
            </w:r>
            <w:r>
              <w:rPr>
                <w:spacing w:val="-2"/>
                <w:sz w:val="18"/>
              </w:rPr>
              <w:t>regional</w:t>
            </w:r>
          </w:p>
        </w:tc>
        <w:tc>
          <w:tcPr>
            <w:tcW w:w="1416" w:type="dxa"/>
          </w:tcPr>
          <w:p>
            <w:pPr>
              <w:pStyle w:val="TableParagraph"/>
              <w:rPr>
                <w:b/>
                <w:sz w:val="18"/>
              </w:rPr>
            </w:pPr>
          </w:p>
          <w:p>
            <w:pPr>
              <w:pStyle w:val="TableParagraph"/>
              <w:spacing w:before="204"/>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spacing w:before="204"/>
              <w:rPr>
                <w:b/>
                <w:sz w:val="18"/>
              </w:rPr>
            </w:pPr>
          </w:p>
          <w:p>
            <w:pPr>
              <w:pStyle w:val="TableParagraph"/>
              <w:ind w:left="21" w:right="8"/>
              <w:jc w:val="center"/>
              <w:rPr>
                <w:sz w:val="18"/>
              </w:rPr>
            </w:pPr>
            <w:r>
              <w:rPr>
                <w:spacing w:val="-4"/>
                <w:sz w:val="18"/>
              </w:rPr>
              <w:t>100%</w:t>
            </w:r>
          </w:p>
        </w:tc>
        <w:tc>
          <w:tcPr>
            <w:tcW w:w="1987" w:type="dxa"/>
          </w:tcPr>
          <w:p>
            <w:pPr>
              <w:pStyle w:val="TableParagraph"/>
              <w:spacing w:before="205"/>
              <w:rPr>
                <w:b/>
                <w:sz w:val="18"/>
              </w:rPr>
            </w:pPr>
          </w:p>
          <w:p>
            <w:pPr>
              <w:pStyle w:val="TableParagraph"/>
              <w:ind w:left="72"/>
              <w:rPr>
                <w:sz w:val="18"/>
              </w:rPr>
            </w:pPr>
            <w:r>
              <w:rPr>
                <w:sz w:val="18"/>
              </w:rPr>
              <w:t>Porcentaje</w:t>
            </w:r>
            <w:r>
              <w:rPr>
                <w:spacing w:val="-15"/>
                <w:sz w:val="18"/>
              </w:rPr>
              <w:t> </w:t>
            </w:r>
            <w:r>
              <w:rPr>
                <w:sz w:val="18"/>
              </w:rPr>
              <w:t>para</w:t>
            </w:r>
            <w:r>
              <w:rPr>
                <w:spacing w:val="-12"/>
                <w:sz w:val="18"/>
              </w:rPr>
              <w:t> </w:t>
            </w:r>
            <w:r>
              <w:rPr>
                <w:sz w:val="18"/>
              </w:rPr>
              <w:t>la identificación de </w:t>
            </w:r>
            <w:r>
              <w:rPr>
                <w:spacing w:val="-2"/>
                <w:sz w:val="18"/>
              </w:rPr>
              <w:t>funcionarios</w:t>
            </w:r>
          </w:p>
        </w:tc>
        <w:tc>
          <w:tcPr>
            <w:tcW w:w="1843" w:type="dxa"/>
          </w:tcPr>
          <w:p>
            <w:pPr>
              <w:pStyle w:val="TableParagraph"/>
              <w:rPr>
                <w:b/>
                <w:sz w:val="18"/>
              </w:rPr>
            </w:pPr>
          </w:p>
          <w:p>
            <w:pPr>
              <w:pStyle w:val="TableParagraph"/>
              <w:spacing w:before="104"/>
              <w:rPr>
                <w:b/>
                <w:sz w:val="18"/>
              </w:rPr>
            </w:pPr>
          </w:p>
          <w:p>
            <w:pPr>
              <w:pStyle w:val="TableParagraph"/>
              <w:ind w:left="73" w:right="49"/>
              <w:rPr>
                <w:sz w:val="18"/>
              </w:rPr>
            </w:pPr>
            <w:r>
              <w:rPr>
                <w:sz w:val="18"/>
              </w:rPr>
              <w:t>Correo,</w:t>
            </w:r>
            <w:r>
              <w:rPr>
                <w:spacing w:val="-13"/>
                <w:sz w:val="18"/>
              </w:rPr>
              <w:t> </w:t>
            </w:r>
            <w:r>
              <w:rPr>
                <w:sz w:val="18"/>
              </w:rPr>
              <w:t>Documentos </w:t>
            </w:r>
            <w:r>
              <w:rPr>
                <w:spacing w:val="-2"/>
                <w:sz w:val="18"/>
              </w:rPr>
              <w:t>respaldo</w:t>
            </w:r>
          </w:p>
        </w:tc>
        <w:tc>
          <w:tcPr>
            <w:tcW w:w="1416" w:type="dxa"/>
          </w:tcPr>
          <w:p>
            <w:pPr>
              <w:pStyle w:val="TableParagraph"/>
              <w:rPr>
                <w:b/>
                <w:sz w:val="18"/>
              </w:rPr>
            </w:pPr>
          </w:p>
          <w:p>
            <w:pPr>
              <w:pStyle w:val="TableParagraph"/>
              <w:spacing w:before="204"/>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1"/>
              <w:rPr>
                <w:b/>
                <w:sz w:val="18"/>
              </w:rPr>
            </w:pPr>
          </w:p>
          <w:p>
            <w:pPr>
              <w:pStyle w:val="TableParagraph"/>
              <w:spacing w:before="1"/>
              <w:ind w:left="75" w:right="57"/>
              <w:rPr>
                <w:sz w:val="18"/>
              </w:rPr>
            </w:pPr>
            <w:r>
              <w:rPr>
                <w:sz w:val="18"/>
              </w:rPr>
              <w:t>Evento: Incumplimiento del plazo para</w:t>
            </w:r>
            <w:r>
              <w:rPr>
                <w:spacing w:val="40"/>
                <w:sz w:val="18"/>
              </w:rPr>
              <w:t> </w:t>
            </w:r>
            <w:r>
              <w:rPr>
                <w:sz w:val="18"/>
              </w:rPr>
              <w:t>identificar las personas funcionarias</w:t>
            </w:r>
            <w:r>
              <w:rPr>
                <w:spacing w:val="-13"/>
                <w:sz w:val="18"/>
              </w:rPr>
              <w:t> </w:t>
            </w:r>
            <w:r>
              <w:rPr>
                <w:sz w:val="18"/>
              </w:rPr>
              <w:t>dado</w:t>
            </w:r>
            <w:r>
              <w:rPr>
                <w:spacing w:val="-12"/>
                <w:sz w:val="18"/>
              </w:rPr>
              <w:t> </w:t>
            </w:r>
            <w:r>
              <w:rPr>
                <w:sz w:val="18"/>
              </w:rPr>
              <w:t>a</w:t>
            </w:r>
            <w:r>
              <w:rPr>
                <w:spacing w:val="-10"/>
                <w:sz w:val="18"/>
              </w:rPr>
              <w:t> </w:t>
            </w:r>
            <w:r>
              <w:rPr>
                <w:sz w:val="18"/>
              </w:rPr>
              <w:t>que existan</w:t>
            </w:r>
            <w:r>
              <w:rPr>
                <w:spacing w:val="-15"/>
                <w:sz w:val="18"/>
              </w:rPr>
              <w:t> </w:t>
            </w:r>
            <w:r>
              <w:rPr>
                <w:sz w:val="18"/>
              </w:rPr>
              <w:t>posibles</w:t>
            </w:r>
            <w:r>
              <w:rPr>
                <w:spacing w:val="-12"/>
                <w:sz w:val="18"/>
              </w:rPr>
              <w:t> </w:t>
            </w:r>
            <w:r>
              <w:rPr>
                <w:sz w:val="18"/>
              </w:rPr>
              <w:t>atrasos </w:t>
            </w:r>
            <w:r>
              <w:rPr>
                <w:spacing w:val="-2"/>
                <w:sz w:val="18"/>
              </w:rPr>
              <w:t>externos.</w:t>
            </w:r>
          </w:p>
        </w:tc>
      </w:tr>
      <w:tr>
        <w:trPr>
          <w:trHeight w:val="1032" w:hRule="atLeast"/>
        </w:trPr>
        <w:tc>
          <w:tcPr>
            <w:tcW w:w="2828" w:type="dxa"/>
          </w:tcPr>
          <w:p>
            <w:pPr>
              <w:pStyle w:val="TableParagraph"/>
              <w:spacing w:line="206" w:lineRule="exact" w:before="188"/>
              <w:ind w:left="72" w:right="62"/>
              <w:rPr>
                <w:b/>
                <w:sz w:val="18"/>
              </w:rPr>
            </w:pPr>
            <w:r>
              <w:rPr>
                <w:b/>
                <w:sz w:val="18"/>
              </w:rPr>
              <w:t>Actividad PAC 2.34.2: </w:t>
            </w:r>
            <w:r>
              <w:rPr>
                <w:sz w:val="18"/>
              </w:rPr>
              <w:t>Comunicar a DH la lista de personas</w:t>
            </w:r>
            <w:r>
              <w:rPr>
                <w:spacing w:val="-12"/>
                <w:sz w:val="18"/>
              </w:rPr>
              <w:t> </w:t>
            </w:r>
            <w:r>
              <w:rPr>
                <w:sz w:val="18"/>
              </w:rPr>
              <w:t>funcionarias</w:t>
            </w:r>
            <w:r>
              <w:rPr>
                <w:spacing w:val="-12"/>
                <w:sz w:val="18"/>
              </w:rPr>
              <w:t> </w:t>
            </w:r>
            <w:r>
              <w:rPr>
                <w:sz w:val="18"/>
              </w:rPr>
              <w:t>que</w:t>
            </w:r>
            <w:r>
              <w:rPr>
                <w:spacing w:val="-12"/>
                <w:sz w:val="18"/>
              </w:rPr>
              <w:t> </w:t>
            </w:r>
            <w:r>
              <w:rPr>
                <w:sz w:val="18"/>
              </w:rPr>
              <w:t>deben llevar la capacitación</w:t>
            </w:r>
            <w:r>
              <w:rPr>
                <w:b/>
                <w:sz w:val="18"/>
              </w:rPr>
              <w:t>.</w:t>
            </w:r>
          </w:p>
        </w:tc>
        <w:tc>
          <w:tcPr>
            <w:tcW w:w="1416" w:type="dxa"/>
          </w:tcPr>
          <w:p>
            <w:pPr>
              <w:pStyle w:val="TableParagraph"/>
              <w:spacing w:before="204"/>
              <w:rPr>
                <w:b/>
                <w:sz w:val="18"/>
              </w:rPr>
            </w:pPr>
          </w:p>
          <w:p>
            <w:pPr>
              <w:pStyle w:val="TableParagraph"/>
              <w:ind w:left="17" w:right="6"/>
              <w:jc w:val="center"/>
              <w:rPr>
                <w:sz w:val="18"/>
              </w:rPr>
            </w:pPr>
            <w:r>
              <w:rPr>
                <w:spacing w:val="-10"/>
                <w:sz w:val="18"/>
              </w:rPr>
              <w:t>1</w:t>
            </w:r>
          </w:p>
        </w:tc>
        <w:tc>
          <w:tcPr>
            <w:tcW w:w="1277" w:type="dxa"/>
          </w:tcPr>
          <w:p>
            <w:pPr>
              <w:pStyle w:val="TableParagraph"/>
              <w:spacing w:before="204"/>
              <w:rPr>
                <w:b/>
                <w:sz w:val="18"/>
              </w:rPr>
            </w:pPr>
          </w:p>
          <w:p>
            <w:pPr>
              <w:pStyle w:val="TableParagraph"/>
              <w:ind w:left="24" w:right="8"/>
              <w:jc w:val="center"/>
              <w:rPr>
                <w:sz w:val="18"/>
              </w:rPr>
            </w:pPr>
            <w:r>
              <w:rPr>
                <w:spacing w:val="-10"/>
                <w:sz w:val="18"/>
              </w:rPr>
              <w:t>1</w:t>
            </w:r>
          </w:p>
        </w:tc>
        <w:tc>
          <w:tcPr>
            <w:tcW w:w="1987" w:type="dxa"/>
          </w:tcPr>
          <w:p>
            <w:pPr>
              <w:pStyle w:val="TableParagraph"/>
              <w:spacing w:before="99"/>
              <w:ind w:left="72" w:right="123"/>
              <w:rPr>
                <w:sz w:val="18"/>
              </w:rPr>
            </w:pPr>
            <w:r>
              <w:rPr>
                <w:sz w:val="18"/>
              </w:rPr>
              <w:t>Cantidad</w:t>
            </w:r>
            <w:r>
              <w:rPr>
                <w:spacing w:val="-12"/>
                <w:sz w:val="18"/>
              </w:rPr>
              <w:t> </w:t>
            </w:r>
            <w:r>
              <w:rPr>
                <w:sz w:val="18"/>
              </w:rPr>
              <w:t>de</w:t>
            </w:r>
            <w:r>
              <w:rPr>
                <w:spacing w:val="-9"/>
                <w:sz w:val="18"/>
              </w:rPr>
              <w:t> </w:t>
            </w:r>
            <w:r>
              <w:rPr>
                <w:sz w:val="18"/>
              </w:rPr>
              <w:t>listas</w:t>
            </w:r>
            <w:r>
              <w:rPr>
                <w:spacing w:val="-12"/>
                <w:sz w:val="18"/>
              </w:rPr>
              <w:t> </w:t>
            </w:r>
            <w:r>
              <w:rPr>
                <w:sz w:val="18"/>
              </w:rPr>
              <w:t>de personas que deben de llevar la </w:t>
            </w:r>
            <w:r>
              <w:rPr>
                <w:spacing w:val="-2"/>
                <w:sz w:val="18"/>
              </w:rPr>
              <w:t>capacitación</w:t>
            </w:r>
          </w:p>
        </w:tc>
        <w:tc>
          <w:tcPr>
            <w:tcW w:w="1843" w:type="dxa"/>
          </w:tcPr>
          <w:p>
            <w:pPr>
              <w:pStyle w:val="TableParagraph"/>
              <w:spacing w:before="205"/>
              <w:ind w:left="73" w:right="49"/>
              <w:rPr>
                <w:sz w:val="18"/>
              </w:rPr>
            </w:pPr>
            <w:r>
              <w:rPr>
                <w:sz w:val="18"/>
              </w:rPr>
              <w:t>Correo electrónico comunicando</w:t>
            </w:r>
            <w:r>
              <w:rPr>
                <w:spacing w:val="-15"/>
                <w:sz w:val="18"/>
              </w:rPr>
              <w:t> </w:t>
            </w:r>
            <w:r>
              <w:rPr>
                <w:sz w:val="18"/>
              </w:rPr>
              <w:t>la</w:t>
            </w:r>
            <w:r>
              <w:rPr>
                <w:spacing w:val="-12"/>
                <w:sz w:val="18"/>
              </w:rPr>
              <w:t> </w:t>
            </w:r>
            <w:r>
              <w:rPr>
                <w:sz w:val="18"/>
              </w:rPr>
              <w:t>lista de personas</w:t>
            </w:r>
          </w:p>
        </w:tc>
        <w:tc>
          <w:tcPr>
            <w:tcW w:w="1416" w:type="dxa"/>
          </w:tcPr>
          <w:p>
            <w:pPr>
              <w:pStyle w:val="TableParagraph"/>
              <w:spacing w:before="204"/>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tcBorders>
          </w:tcPr>
          <w:p>
            <w:pPr>
              <w:rPr>
                <w:sz w:val="2"/>
                <w:szCs w:val="2"/>
              </w:rPr>
            </w:pPr>
          </w:p>
        </w:tc>
      </w:tr>
      <w:tr>
        <w:trPr>
          <w:trHeight w:val="1050" w:hRule="atLeast"/>
        </w:trPr>
        <w:tc>
          <w:tcPr>
            <w:tcW w:w="2828" w:type="dxa"/>
          </w:tcPr>
          <w:p>
            <w:pPr>
              <w:pStyle w:val="TableParagraph"/>
              <w:spacing w:before="114"/>
              <w:ind w:left="72" w:right="127"/>
              <w:rPr>
                <w:sz w:val="18"/>
              </w:rPr>
            </w:pPr>
            <w:r>
              <w:rPr>
                <w:b/>
                <w:sz w:val="18"/>
              </w:rPr>
              <w:t>Actividad</w:t>
            </w:r>
            <w:r>
              <w:rPr>
                <w:b/>
                <w:spacing w:val="-13"/>
                <w:sz w:val="18"/>
              </w:rPr>
              <w:t> </w:t>
            </w:r>
            <w:r>
              <w:rPr>
                <w:b/>
                <w:sz w:val="18"/>
              </w:rPr>
              <w:t>PAC</w:t>
            </w:r>
            <w:r>
              <w:rPr>
                <w:b/>
                <w:spacing w:val="-12"/>
                <w:sz w:val="18"/>
              </w:rPr>
              <w:t> </w:t>
            </w:r>
            <w:r>
              <w:rPr>
                <w:b/>
                <w:sz w:val="18"/>
              </w:rPr>
              <w:t>2.34.3:</w:t>
            </w:r>
            <w:r>
              <w:rPr>
                <w:b/>
                <w:spacing w:val="-12"/>
                <w:sz w:val="18"/>
              </w:rPr>
              <w:t> </w:t>
            </w:r>
            <w:r>
              <w:rPr>
                <w:sz w:val="18"/>
              </w:rPr>
              <w:t>Verificar que hayan recibido la capacitación las personas </w:t>
            </w:r>
            <w:r>
              <w:rPr>
                <w:spacing w:val="-2"/>
                <w:sz w:val="18"/>
              </w:rPr>
              <w:t>convocadas.</w:t>
            </w:r>
          </w:p>
        </w:tc>
        <w:tc>
          <w:tcPr>
            <w:tcW w:w="1416" w:type="dxa"/>
          </w:tcPr>
          <w:p>
            <w:pPr>
              <w:pStyle w:val="TableParagraph"/>
              <w:rPr>
                <w:b/>
                <w:sz w:val="18"/>
              </w:rPr>
            </w:pPr>
          </w:p>
          <w:p>
            <w:pPr>
              <w:pStyle w:val="TableParagraph"/>
              <w:spacing w:before="7"/>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spacing w:before="7"/>
              <w:rPr>
                <w:b/>
                <w:sz w:val="18"/>
              </w:rPr>
            </w:pPr>
          </w:p>
          <w:p>
            <w:pPr>
              <w:pStyle w:val="TableParagraph"/>
              <w:ind w:left="21" w:right="8"/>
              <w:jc w:val="center"/>
              <w:rPr>
                <w:sz w:val="18"/>
              </w:rPr>
            </w:pPr>
            <w:r>
              <w:rPr>
                <w:spacing w:val="-4"/>
                <w:sz w:val="18"/>
              </w:rPr>
              <w:t>100%</w:t>
            </w:r>
          </w:p>
        </w:tc>
        <w:tc>
          <w:tcPr>
            <w:tcW w:w="1987" w:type="dxa"/>
          </w:tcPr>
          <w:p>
            <w:pPr>
              <w:pStyle w:val="TableParagraph"/>
              <w:spacing w:before="114"/>
              <w:ind w:left="72" w:right="123"/>
              <w:rPr>
                <w:sz w:val="18"/>
              </w:rPr>
            </w:pPr>
            <w:r>
              <w:rPr>
                <w:sz w:val="18"/>
              </w:rPr>
              <w:t>Porcentaje de personas</w:t>
            </w:r>
            <w:r>
              <w:rPr>
                <w:spacing w:val="-13"/>
                <w:sz w:val="18"/>
              </w:rPr>
              <w:t> </w:t>
            </w:r>
            <w:r>
              <w:rPr>
                <w:sz w:val="18"/>
              </w:rPr>
              <w:t>funcionarias que intervienen en el proceso capacitadas.</w:t>
            </w:r>
          </w:p>
        </w:tc>
        <w:tc>
          <w:tcPr>
            <w:tcW w:w="1843" w:type="dxa"/>
          </w:tcPr>
          <w:p>
            <w:pPr>
              <w:pStyle w:val="TableParagraph"/>
              <w:spacing w:before="113"/>
              <w:rPr>
                <w:b/>
                <w:sz w:val="18"/>
              </w:rPr>
            </w:pPr>
          </w:p>
          <w:p>
            <w:pPr>
              <w:pStyle w:val="TableParagraph"/>
              <w:ind w:left="73" w:right="49"/>
              <w:rPr>
                <w:sz w:val="18"/>
              </w:rPr>
            </w:pPr>
            <w:r>
              <w:rPr>
                <w:sz w:val="18"/>
              </w:rPr>
              <w:t>Lista</w:t>
            </w:r>
            <w:r>
              <w:rPr>
                <w:spacing w:val="-13"/>
                <w:sz w:val="18"/>
              </w:rPr>
              <w:t> </w:t>
            </w:r>
            <w:r>
              <w:rPr>
                <w:sz w:val="18"/>
              </w:rPr>
              <w:t>de</w:t>
            </w:r>
            <w:r>
              <w:rPr>
                <w:spacing w:val="-9"/>
                <w:sz w:val="18"/>
              </w:rPr>
              <w:t> </w:t>
            </w:r>
            <w:r>
              <w:rPr>
                <w:sz w:val="18"/>
              </w:rPr>
              <w:t>asistencia</w:t>
            </w:r>
            <w:r>
              <w:rPr>
                <w:spacing w:val="-10"/>
                <w:sz w:val="18"/>
              </w:rPr>
              <w:t> </w:t>
            </w:r>
            <w:r>
              <w:rPr>
                <w:sz w:val="18"/>
              </w:rPr>
              <w:t>a la capacitación</w:t>
            </w:r>
          </w:p>
        </w:tc>
        <w:tc>
          <w:tcPr>
            <w:tcW w:w="1416" w:type="dxa"/>
          </w:tcPr>
          <w:p>
            <w:pPr>
              <w:pStyle w:val="TableParagraph"/>
              <w:rPr>
                <w:b/>
                <w:sz w:val="18"/>
              </w:rPr>
            </w:pPr>
          </w:p>
          <w:p>
            <w:pPr>
              <w:pStyle w:val="TableParagraph"/>
              <w:spacing w:before="7"/>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tcBorders>
          </w:tcPr>
          <w:p>
            <w:pPr>
              <w:rPr>
                <w:sz w:val="2"/>
                <w:szCs w:val="2"/>
              </w:rPr>
            </w:pPr>
          </w:p>
        </w:tc>
      </w:tr>
      <w:tr>
        <w:trPr>
          <w:trHeight w:val="451" w:hRule="atLeast"/>
        </w:trPr>
        <w:tc>
          <w:tcPr>
            <w:tcW w:w="14391" w:type="dxa"/>
            <w:gridSpan w:val="8"/>
            <w:shd w:val="clear" w:color="auto" w:fill="EFF8F9"/>
          </w:tcPr>
          <w:p>
            <w:pPr>
              <w:pStyle w:val="TableParagraph"/>
              <w:spacing w:before="124"/>
              <w:ind w:left="72"/>
              <w:rPr>
                <w:b/>
                <w:sz w:val="18"/>
              </w:rPr>
            </w:pPr>
            <w:r>
              <w:rPr>
                <w:b/>
                <w:sz w:val="18"/>
              </w:rPr>
              <w:t>Producto</w:t>
            </w:r>
            <w:r>
              <w:rPr>
                <w:b/>
                <w:spacing w:val="-7"/>
                <w:sz w:val="18"/>
              </w:rPr>
              <w:t> </w:t>
            </w:r>
            <w:r>
              <w:rPr>
                <w:b/>
                <w:sz w:val="18"/>
              </w:rPr>
              <w:t>PAC</w:t>
            </w:r>
            <w:r>
              <w:rPr>
                <w:b/>
                <w:spacing w:val="-8"/>
                <w:sz w:val="18"/>
              </w:rPr>
              <w:t> </w:t>
            </w:r>
            <w:r>
              <w:rPr>
                <w:b/>
                <w:sz w:val="18"/>
              </w:rPr>
              <w:t>2:35:</w:t>
            </w:r>
            <w:r>
              <w:rPr>
                <w:b/>
                <w:spacing w:val="-4"/>
                <w:sz w:val="18"/>
              </w:rPr>
              <w:t> </w:t>
            </w:r>
            <w:r>
              <w:rPr>
                <w:b/>
                <w:sz w:val="18"/>
              </w:rPr>
              <w:t>Plan</w:t>
            </w:r>
            <w:r>
              <w:rPr>
                <w:b/>
                <w:spacing w:val="-6"/>
                <w:sz w:val="18"/>
              </w:rPr>
              <w:t> </w:t>
            </w:r>
            <w:r>
              <w:rPr>
                <w:b/>
                <w:sz w:val="18"/>
              </w:rPr>
              <w:t>de</w:t>
            </w:r>
            <w:r>
              <w:rPr>
                <w:b/>
                <w:spacing w:val="-6"/>
                <w:sz w:val="18"/>
              </w:rPr>
              <w:t> </w:t>
            </w:r>
            <w:r>
              <w:rPr>
                <w:b/>
                <w:sz w:val="18"/>
              </w:rPr>
              <w:t>implementación</w:t>
            </w:r>
            <w:r>
              <w:rPr>
                <w:b/>
                <w:spacing w:val="-7"/>
                <w:sz w:val="18"/>
              </w:rPr>
              <w:t> </w:t>
            </w:r>
            <w:r>
              <w:rPr>
                <w:b/>
                <w:sz w:val="18"/>
              </w:rPr>
              <w:t>de</w:t>
            </w:r>
            <w:r>
              <w:rPr>
                <w:b/>
                <w:spacing w:val="-5"/>
                <w:sz w:val="18"/>
              </w:rPr>
              <w:t> </w:t>
            </w:r>
            <w:r>
              <w:rPr>
                <w:b/>
                <w:sz w:val="18"/>
              </w:rPr>
              <w:t>las</w:t>
            </w:r>
            <w:r>
              <w:rPr>
                <w:b/>
                <w:spacing w:val="-2"/>
                <w:sz w:val="18"/>
              </w:rPr>
              <w:t> </w:t>
            </w:r>
            <w:r>
              <w:rPr>
                <w:b/>
                <w:sz w:val="18"/>
              </w:rPr>
              <w:t>NICSP</w:t>
            </w:r>
            <w:r>
              <w:rPr>
                <w:b/>
                <w:spacing w:val="-3"/>
                <w:sz w:val="18"/>
              </w:rPr>
              <w:t> </w:t>
            </w:r>
            <w:r>
              <w:rPr>
                <w:b/>
                <w:sz w:val="18"/>
              </w:rPr>
              <w:t>elaborado</w:t>
            </w:r>
            <w:r>
              <w:rPr>
                <w:b/>
                <w:spacing w:val="-7"/>
                <w:sz w:val="18"/>
              </w:rPr>
              <w:t> </w:t>
            </w:r>
            <w:r>
              <w:rPr>
                <w:b/>
                <w:sz w:val="18"/>
              </w:rPr>
              <w:t>y</w:t>
            </w:r>
            <w:r>
              <w:rPr>
                <w:b/>
                <w:spacing w:val="-6"/>
                <w:sz w:val="18"/>
              </w:rPr>
              <w:t> </w:t>
            </w:r>
            <w:r>
              <w:rPr>
                <w:b/>
                <w:sz w:val="18"/>
              </w:rPr>
              <w:t>ejecutándose.</w:t>
            </w:r>
            <w:r>
              <w:rPr>
                <w:b/>
                <w:spacing w:val="46"/>
                <w:sz w:val="18"/>
              </w:rPr>
              <w:t> </w:t>
            </w:r>
            <w:r>
              <w:rPr>
                <w:b/>
                <w:sz w:val="18"/>
              </w:rPr>
              <w:t>(E1</w:t>
            </w:r>
            <w:r>
              <w:rPr>
                <w:b/>
                <w:spacing w:val="-5"/>
                <w:sz w:val="18"/>
              </w:rPr>
              <w:t> </w:t>
            </w:r>
            <w:r>
              <w:rPr>
                <w:b/>
                <w:sz w:val="18"/>
              </w:rPr>
              <w:t>AE9</w:t>
            </w:r>
            <w:r>
              <w:rPr>
                <w:b/>
                <w:spacing w:val="-6"/>
                <w:sz w:val="18"/>
              </w:rPr>
              <w:t> </w:t>
            </w:r>
            <w:r>
              <w:rPr>
                <w:b/>
                <w:spacing w:val="-5"/>
                <w:sz w:val="18"/>
              </w:rPr>
              <w:t>R1)</w:t>
            </w:r>
          </w:p>
        </w:tc>
      </w:tr>
      <w:tr>
        <w:trPr>
          <w:trHeight w:val="868" w:hRule="atLeast"/>
        </w:trPr>
        <w:tc>
          <w:tcPr>
            <w:tcW w:w="2828" w:type="dxa"/>
          </w:tcPr>
          <w:p>
            <w:pPr>
              <w:pStyle w:val="TableParagraph"/>
              <w:spacing w:line="206" w:lineRule="exact" w:before="25"/>
              <w:ind w:left="72" w:right="146"/>
              <w:rPr>
                <w:sz w:val="18"/>
              </w:rPr>
            </w:pPr>
            <w:r>
              <w:rPr>
                <w:b/>
                <w:sz w:val="18"/>
              </w:rPr>
              <w:t>Actividad</w:t>
            </w:r>
            <w:r>
              <w:rPr>
                <w:b/>
                <w:spacing w:val="-2"/>
                <w:sz w:val="18"/>
              </w:rPr>
              <w:t> </w:t>
            </w:r>
            <w:r>
              <w:rPr>
                <w:b/>
                <w:sz w:val="18"/>
              </w:rPr>
              <w:t>PAC 2.35.1:</w:t>
            </w:r>
            <w:r>
              <w:rPr>
                <w:b/>
                <w:spacing w:val="40"/>
                <w:sz w:val="18"/>
              </w:rPr>
              <w:t> </w:t>
            </w:r>
            <w:r>
              <w:rPr>
                <w:sz w:val="18"/>
              </w:rPr>
              <w:t>Emitir criterio técnico del Plan de Acción</w:t>
            </w:r>
            <w:r>
              <w:rPr>
                <w:spacing w:val="-10"/>
                <w:sz w:val="18"/>
              </w:rPr>
              <w:t> </w:t>
            </w:r>
            <w:r>
              <w:rPr>
                <w:sz w:val="18"/>
              </w:rPr>
              <w:t>para</w:t>
            </w:r>
            <w:r>
              <w:rPr>
                <w:spacing w:val="-13"/>
                <w:sz w:val="18"/>
              </w:rPr>
              <w:t> </w:t>
            </w:r>
            <w:r>
              <w:rPr>
                <w:sz w:val="18"/>
              </w:rPr>
              <w:t>la</w:t>
            </w:r>
            <w:r>
              <w:rPr>
                <w:spacing w:val="-9"/>
                <w:sz w:val="18"/>
              </w:rPr>
              <w:t> </w:t>
            </w:r>
            <w:r>
              <w:rPr>
                <w:sz w:val="18"/>
              </w:rPr>
              <w:t>implementación de NICSP</w:t>
            </w:r>
          </w:p>
        </w:tc>
        <w:tc>
          <w:tcPr>
            <w:tcW w:w="1416" w:type="dxa"/>
          </w:tcPr>
          <w:p>
            <w:pPr>
              <w:pStyle w:val="TableParagraph"/>
              <w:spacing w:before="123"/>
              <w:rPr>
                <w:b/>
                <w:sz w:val="18"/>
              </w:rPr>
            </w:pPr>
          </w:p>
          <w:p>
            <w:pPr>
              <w:pStyle w:val="TableParagraph"/>
              <w:ind w:left="17" w:right="6"/>
              <w:jc w:val="center"/>
              <w:rPr>
                <w:sz w:val="18"/>
              </w:rPr>
            </w:pPr>
            <w:r>
              <w:rPr>
                <w:spacing w:val="-10"/>
                <w:sz w:val="18"/>
              </w:rPr>
              <w:t>1</w:t>
            </w:r>
          </w:p>
        </w:tc>
        <w:tc>
          <w:tcPr>
            <w:tcW w:w="1277" w:type="dxa"/>
          </w:tcPr>
          <w:p>
            <w:pPr>
              <w:pStyle w:val="TableParagraph"/>
              <w:spacing w:before="123"/>
              <w:rPr>
                <w:b/>
                <w:sz w:val="18"/>
              </w:rPr>
            </w:pPr>
          </w:p>
          <w:p>
            <w:pPr>
              <w:pStyle w:val="TableParagraph"/>
              <w:ind w:left="24" w:right="8"/>
              <w:jc w:val="center"/>
              <w:rPr>
                <w:sz w:val="18"/>
              </w:rPr>
            </w:pPr>
            <w:r>
              <w:rPr>
                <w:spacing w:val="-10"/>
                <w:sz w:val="18"/>
              </w:rPr>
              <w:t>1</w:t>
            </w:r>
          </w:p>
        </w:tc>
        <w:tc>
          <w:tcPr>
            <w:tcW w:w="1987" w:type="dxa"/>
          </w:tcPr>
          <w:p>
            <w:pPr>
              <w:pStyle w:val="TableParagraph"/>
              <w:spacing w:before="123"/>
              <w:ind w:left="72" w:right="246"/>
              <w:jc w:val="both"/>
              <w:rPr>
                <w:sz w:val="18"/>
              </w:rPr>
            </w:pPr>
            <w:r>
              <w:rPr>
                <w:sz w:val="18"/>
              </w:rPr>
              <w:t>Cantidad</w:t>
            </w:r>
            <w:r>
              <w:rPr>
                <w:spacing w:val="-15"/>
                <w:sz w:val="18"/>
              </w:rPr>
              <w:t> </w:t>
            </w:r>
            <w:r>
              <w:rPr>
                <w:sz w:val="18"/>
              </w:rPr>
              <w:t>de</w:t>
            </w:r>
            <w:r>
              <w:rPr>
                <w:spacing w:val="-12"/>
                <w:sz w:val="18"/>
              </w:rPr>
              <w:t> </w:t>
            </w:r>
            <w:r>
              <w:rPr>
                <w:sz w:val="18"/>
              </w:rPr>
              <w:t>criterios técnicos</w:t>
            </w:r>
            <w:r>
              <w:rPr>
                <w:spacing w:val="-12"/>
                <w:sz w:val="18"/>
              </w:rPr>
              <w:t> </w:t>
            </w:r>
            <w:r>
              <w:rPr>
                <w:sz w:val="18"/>
              </w:rPr>
              <w:t>para</w:t>
            </w:r>
            <w:r>
              <w:rPr>
                <w:spacing w:val="-12"/>
                <w:sz w:val="18"/>
              </w:rPr>
              <w:t> </w:t>
            </w:r>
            <w:r>
              <w:rPr>
                <w:sz w:val="18"/>
              </w:rPr>
              <w:t>el</w:t>
            </w:r>
            <w:r>
              <w:rPr>
                <w:spacing w:val="-10"/>
                <w:sz w:val="18"/>
              </w:rPr>
              <w:t> </w:t>
            </w:r>
            <w:r>
              <w:rPr>
                <w:sz w:val="18"/>
              </w:rPr>
              <w:t>plan de acción aprobado</w:t>
            </w:r>
          </w:p>
        </w:tc>
        <w:tc>
          <w:tcPr>
            <w:tcW w:w="1843" w:type="dxa"/>
          </w:tcPr>
          <w:p>
            <w:pPr>
              <w:pStyle w:val="TableParagraph"/>
              <w:spacing w:before="123"/>
              <w:ind w:left="73" w:right="49"/>
              <w:rPr>
                <w:sz w:val="18"/>
              </w:rPr>
            </w:pPr>
            <w:r>
              <w:rPr>
                <w:sz w:val="18"/>
              </w:rPr>
              <w:t>Plan de Acción para la</w:t>
            </w:r>
            <w:r>
              <w:rPr>
                <w:spacing w:val="-15"/>
                <w:sz w:val="18"/>
              </w:rPr>
              <w:t> </w:t>
            </w:r>
            <w:r>
              <w:rPr>
                <w:sz w:val="18"/>
              </w:rPr>
              <w:t>implementación</w:t>
            </w:r>
            <w:r>
              <w:rPr>
                <w:spacing w:val="-12"/>
                <w:sz w:val="18"/>
              </w:rPr>
              <w:t> </w:t>
            </w:r>
            <w:r>
              <w:rPr>
                <w:sz w:val="18"/>
              </w:rPr>
              <w:t>de </w:t>
            </w:r>
            <w:r>
              <w:rPr>
                <w:spacing w:val="-2"/>
                <w:sz w:val="18"/>
              </w:rPr>
              <w:t>NICSP</w:t>
            </w:r>
          </w:p>
        </w:tc>
        <w:tc>
          <w:tcPr>
            <w:tcW w:w="1416" w:type="dxa"/>
          </w:tcPr>
          <w:p>
            <w:pPr>
              <w:pStyle w:val="TableParagraph"/>
              <w:spacing w:before="123"/>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val="restart"/>
          </w:tcPr>
          <w:p>
            <w:pPr>
              <w:pStyle w:val="TableParagraph"/>
              <w:rPr>
                <w:b/>
                <w:sz w:val="18"/>
              </w:rPr>
            </w:pPr>
          </w:p>
          <w:p>
            <w:pPr>
              <w:pStyle w:val="TableParagraph"/>
              <w:spacing w:before="26"/>
              <w:rPr>
                <w:b/>
                <w:sz w:val="18"/>
              </w:rPr>
            </w:pPr>
          </w:p>
          <w:p>
            <w:pPr>
              <w:pStyle w:val="TableParagraph"/>
              <w:ind w:left="75"/>
              <w:rPr>
                <w:sz w:val="18"/>
              </w:rPr>
            </w:pPr>
            <w:r>
              <w:rPr>
                <w:sz w:val="18"/>
              </w:rPr>
              <w:t>Evento:</w:t>
            </w:r>
            <w:r>
              <w:rPr>
                <w:spacing w:val="-10"/>
                <w:sz w:val="18"/>
              </w:rPr>
              <w:t> </w:t>
            </w:r>
            <w:r>
              <w:rPr>
                <w:sz w:val="18"/>
              </w:rPr>
              <w:t>Retrasos</w:t>
            </w:r>
            <w:r>
              <w:rPr>
                <w:spacing w:val="-12"/>
                <w:sz w:val="18"/>
              </w:rPr>
              <w:t> </w:t>
            </w:r>
            <w:r>
              <w:rPr>
                <w:sz w:val="18"/>
              </w:rPr>
              <w:t>en</w:t>
            </w:r>
            <w:r>
              <w:rPr>
                <w:spacing w:val="-13"/>
                <w:sz w:val="18"/>
              </w:rPr>
              <w:t> </w:t>
            </w:r>
            <w:r>
              <w:rPr>
                <w:sz w:val="18"/>
              </w:rPr>
              <w:t>el cronograma para la implementación</w:t>
            </w:r>
            <w:r>
              <w:rPr>
                <w:spacing w:val="-3"/>
                <w:sz w:val="18"/>
              </w:rPr>
              <w:t> </w:t>
            </w:r>
            <w:r>
              <w:rPr>
                <w:sz w:val="18"/>
              </w:rPr>
              <w:t>de</w:t>
            </w:r>
            <w:r>
              <w:rPr>
                <w:spacing w:val="-3"/>
                <w:sz w:val="18"/>
              </w:rPr>
              <w:t> </w:t>
            </w:r>
            <w:r>
              <w:rPr>
                <w:sz w:val="18"/>
              </w:rPr>
              <w:t>los ajustes de las NICSP</w:t>
            </w:r>
          </w:p>
        </w:tc>
      </w:tr>
      <w:tr>
        <w:trPr>
          <w:trHeight w:val="830" w:hRule="atLeast"/>
        </w:trPr>
        <w:tc>
          <w:tcPr>
            <w:tcW w:w="2828" w:type="dxa"/>
          </w:tcPr>
          <w:p>
            <w:pPr>
              <w:pStyle w:val="TableParagraph"/>
              <w:spacing w:before="3"/>
              <w:rPr>
                <w:b/>
                <w:sz w:val="18"/>
              </w:rPr>
            </w:pPr>
          </w:p>
          <w:p>
            <w:pPr>
              <w:pStyle w:val="TableParagraph"/>
              <w:spacing w:line="207" w:lineRule="exact"/>
              <w:ind w:left="72"/>
              <w:rPr>
                <w:b/>
                <w:sz w:val="18"/>
              </w:rPr>
            </w:pPr>
            <w:r>
              <w:rPr>
                <w:b/>
                <w:sz w:val="18"/>
              </w:rPr>
              <w:t>Actividad</w:t>
            </w:r>
            <w:r>
              <w:rPr>
                <w:b/>
                <w:spacing w:val="-6"/>
                <w:sz w:val="18"/>
              </w:rPr>
              <w:t> </w:t>
            </w:r>
            <w:r>
              <w:rPr>
                <w:b/>
                <w:sz w:val="18"/>
              </w:rPr>
              <w:t>PAC</w:t>
            </w:r>
            <w:r>
              <w:rPr>
                <w:b/>
                <w:spacing w:val="-2"/>
                <w:sz w:val="18"/>
              </w:rPr>
              <w:t> 2.35.2:</w:t>
            </w:r>
          </w:p>
          <w:p>
            <w:pPr>
              <w:pStyle w:val="TableParagraph"/>
              <w:spacing w:line="207" w:lineRule="exact"/>
              <w:ind w:left="72"/>
              <w:rPr>
                <w:sz w:val="18"/>
              </w:rPr>
            </w:pPr>
            <w:r>
              <w:rPr>
                <w:sz w:val="18"/>
              </w:rPr>
              <w:t>Implementación</w:t>
            </w:r>
            <w:r>
              <w:rPr>
                <w:spacing w:val="-6"/>
                <w:sz w:val="18"/>
              </w:rPr>
              <w:t> </w:t>
            </w:r>
            <w:r>
              <w:rPr>
                <w:sz w:val="18"/>
              </w:rPr>
              <w:t>de</w:t>
            </w:r>
            <w:r>
              <w:rPr>
                <w:spacing w:val="-5"/>
                <w:sz w:val="18"/>
              </w:rPr>
              <w:t> </w:t>
            </w:r>
            <w:r>
              <w:rPr>
                <w:sz w:val="18"/>
              </w:rPr>
              <w:t>las </w:t>
            </w:r>
            <w:r>
              <w:rPr>
                <w:spacing w:val="-2"/>
                <w:sz w:val="18"/>
              </w:rPr>
              <w:t>NICSP.</w:t>
            </w:r>
          </w:p>
        </w:tc>
        <w:tc>
          <w:tcPr>
            <w:tcW w:w="1416" w:type="dxa"/>
          </w:tcPr>
          <w:p>
            <w:pPr>
              <w:pStyle w:val="TableParagraph"/>
              <w:spacing w:before="103"/>
              <w:rPr>
                <w:b/>
                <w:sz w:val="18"/>
              </w:rPr>
            </w:pPr>
          </w:p>
          <w:p>
            <w:pPr>
              <w:pStyle w:val="TableParagraph"/>
              <w:spacing w:before="1"/>
              <w:ind w:left="20" w:right="3"/>
              <w:jc w:val="center"/>
              <w:rPr>
                <w:sz w:val="18"/>
              </w:rPr>
            </w:pPr>
            <w:r>
              <w:rPr>
                <w:spacing w:val="-4"/>
                <w:sz w:val="18"/>
              </w:rPr>
              <w:t>100%</w:t>
            </w:r>
          </w:p>
        </w:tc>
        <w:tc>
          <w:tcPr>
            <w:tcW w:w="1277" w:type="dxa"/>
          </w:tcPr>
          <w:p>
            <w:pPr>
              <w:pStyle w:val="TableParagraph"/>
              <w:spacing w:before="103"/>
              <w:rPr>
                <w:b/>
                <w:sz w:val="18"/>
              </w:rPr>
            </w:pPr>
          </w:p>
          <w:p>
            <w:pPr>
              <w:pStyle w:val="TableParagraph"/>
              <w:spacing w:before="1"/>
              <w:ind w:left="21" w:right="8"/>
              <w:jc w:val="center"/>
              <w:rPr>
                <w:sz w:val="18"/>
              </w:rPr>
            </w:pPr>
            <w:r>
              <w:rPr>
                <w:spacing w:val="-4"/>
                <w:sz w:val="18"/>
              </w:rPr>
              <w:t>100%</w:t>
            </w:r>
          </w:p>
        </w:tc>
        <w:tc>
          <w:tcPr>
            <w:tcW w:w="1987" w:type="dxa"/>
          </w:tcPr>
          <w:p>
            <w:pPr>
              <w:pStyle w:val="TableParagraph"/>
              <w:spacing w:line="242" w:lineRule="auto"/>
              <w:ind w:left="72"/>
              <w:rPr>
                <w:sz w:val="18"/>
              </w:rPr>
            </w:pPr>
            <w:r>
              <w:rPr>
                <w:sz w:val="18"/>
              </w:rPr>
              <w:t>Porcentaje</w:t>
            </w:r>
            <w:r>
              <w:rPr>
                <w:spacing w:val="-15"/>
                <w:sz w:val="18"/>
              </w:rPr>
              <w:t> </w:t>
            </w:r>
            <w:r>
              <w:rPr>
                <w:sz w:val="18"/>
              </w:rPr>
              <w:t>de</w:t>
            </w:r>
            <w:r>
              <w:rPr>
                <w:spacing w:val="-12"/>
                <w:sz w:val="18"/>
              </w:rPr>
              <w:t> </w:t>
            </w:r>
            <w:r>
              <w:rPr>
                <w:sz w:val="18"/>
              </w:rPr>
              <w:t>normas comunicadas para implementación de la</w:t>
            </w:r>
          </w:p>
          <w:p>
            <w:pPr>
              <w:pStyle w:val="TableParagraph"/>
              <w:spacing w:line="184" w:lineRule="exact"/>
              <w:ind w:left="72"/>
              <w:rPr>
                <w:sz w:val="18"/>
              </w:rPr>
            </w:pPr>
            <w:r>
              <w:rPr>
                <w:spacing w:val="-2"/>
                <w:sz w:val="18"/>
              </w:rPr>
              <w:t>NICSP</w:t>
            </w:r>
          </w:p>
        </w:tc>
        <w:tc>
          <w:tcPr>
            <w:tcW w:w="1843" w:type="dxa"/>
          </w:tcPr>
          <w:p>
            <w:pPr>
              <w:pStyle w:val="TableParagraph"/>
              <w:spacing w:line="242" w:lineRule="auto"/>
              <w:ind w:left="73" w:right="49"/>
              <w:rPr>
                <w:sz w:val="18"/>
              </w:rPr>
            </w:pPr>
            <w:r>
              <w:rPr>
                <w:sz w:val="18"/>
              </w:rPr>
              <w:t>Documentos de respaldo</w:t>
            </w:r>
            <w:r>
              <w:rPr>
                <w:spacing w:val="-15"/>
                <w:sz w:val="18"/>
              </w:rPr>
              <w:t> </w:t>
            </w:r>
            <w:r>
              <w:rPr>
                <w:sz w:val="18"/>
              </w:rPr>
              <w:t>donde</w:t>
            </w:r>
            <w:r>
              <w:rPr>
                <w:spacing w:val="-12"/>
                <w:sz w:val="18"/>
              </w:rPr>
              <w:t> </w:t>
            </w:r>
            <w:r>
              <w:rPr>
                <w:sz w:val="18"/>
              </w:rPr>
              <w:t>se refleja e informa</w:t>
            </w:r>
          </w:p>
          <w:p>
            <w:pPr>
              <w:pStyle w:val="TableParagraph"/>
              <w:spacing w:line="184" w:lineRule="exact"/>
              <w:ind w:left="73"/>
              <w:rPr>
                <w:sz w:val="18"/>
              </w:rPr>
            </w:pPr>
            <w:r>
              <w:rPr>
                <w:sz w:val="18"/>
              </w:rPr>
              <w:t>sobre</w:t>
            </w:r>
            <w:r>
              <w:rPr>
                <w:spacing w:val="-3"/>
                <w:sz w:val="18"/>
              </w:rPr>
              <w:t> </w:t>
            </w:r>
            <w:r>
              <w:rPr>
                <w:sz w:val="18"/>
              </w:rPr>
              <w:t>este</w:t>
            </w:r>
            <w:r>
              <w:rPr>
                <w:spacing w:val="-3"/>
                <w:sz w:val="18"/>
              </w:rPr>
              <w:t> </w:t>
            </w:r>
            <w:r>
              <w:rPr>
                <w:spacing w:val="-2"/>
                <w:sz w:val="18"/>
              </w:rPr>
              <w:t>proceso</w:t>
            </w:r>
          </w:p>
        </w:tc>
        <w:tc>
          <w:tcPr>
            <w:tcW w:w="1416" w:type="dxa"/>
          </w:tcPr>
          <w:p>
            <w:pPr>
              <w:pStyle w:val="TableParagraph"/>
              <w:spacing w:before="103"/>
              <w:rPr>
                <w:b/>
                <w:sz w:val="18"/>
              </w:rPr>
            </w:pPr>
          </w:p>
          <w:p>
            <w:pPr>
              <w:pStyle w:val="TableParagraph"/>
              <w:spacing w:before="1"/>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tcBorders>
          </w:tcPr>
          <w:p>
            <w:pPr>
              <w:rPr>
                <w:sz w:val="2"/>
                <w:szCs w:val="2"/>
              </w:rPr>
            </w:pPr>
          </w:p>
        </w:tc>
      </w:tr>
      <w:tr>
        <w:trPr>
          <w:trHeight w:val="676" w:hRule="atLeast"/>
        </w:trPr>
        <w:tc>
          <w:tcPr>
            <w:tcW w:w="14391" w:type="dxa"/>
            <w:gridSpan w:val="8"/>
            <w:shd w:val="clear" w:color="auto" w:fill="EFF8F9"/>
          </w:tcPr>
          <w:p>
            <w:pPr>
              <w:pStyle w:val="TableParagraph"/>
              <w:spacing w:before="27"/>
              <w:rPr>
                <w:b/>
                <w:sz w:val="18"/>
              </w:rPr>
            </w:pPr>
          </w:p>
          <w:p>
            <w:pPr>
              <w:pStyle w:val="TableParagraph"/>
              <w:ind w:left="72"/>
              <w:rPr>
                <w:b/>
                <w:sz w:val="18"/>
              </w:rPr>
            </w:pPr>
            <w:r>
              <w:rPr>
                <w:b/>
                <w:sz w:val="18"/>
              </w:rPr>
              <w:t>Producto</w:t>
            </w:r>
            <w:r>
              <w:rPr>
                <w:b/>
                <w:spacing w:val="-7"/>
                <w:sz w:val="18"/>
              </w:rPr>
              <w:t> </w:t>
            </w:r>
            <w:r>
              <w:rPr>
                <w:b/>
                <w:sz w:val="18"/>
              </w:rPr>
              <w:t>PAC</w:t>
            </w:r>
            <w:r>
              <w:rPr>
                <w:b/>
                <w:spacing w:val="-8"/>
                <w:sz w:val="18"/>
              </w:rPr>
              <w:t> </w:t>
            </w:r>
            <w:r>
              <w:rPr>
                <w:b/>
                <w:sz w:val="18"/>
              </w:rPr>
              <w:t>2:36:</w:t>
            </w:r>
            <w:r>
              <w:rPr>
                <w:b/>
                <w:spacing w:val="-4"/>
                <w:sz w:val="18"/>
              </w:rPr>
              <w:t> </w:t>
            </w:r>
            <w:r>
              <w:rPr>
                <w:b/>
                <w:sz w:val="18"/>
              </w:rPr>
              <w:t>Personas</w:t>
            </w:r>
            <w:r>
              <w:rPr>
                <w:b/>
                <w:spacing w:val="-5"/>
                <w:sz w:val="18"/>
              </w:rPr>
              <w:t> </w:t>
            </w:r>
            <w:r>
              <w:rPr>
                <w:b/>
                <w:sz w:val="18"/>
              </w:rPr>
              <w:t>funcionarias</w:t>
            </w:r>
            <w:r>
              <w:rPr>
                <w:b/>
                <w:spacing w:val="-11"/>
                <w:sz w:val="18"/>
              </w:rPr>
              <w:t> </w:t>
            </w:r>
            <w:r>
              <w:rPr>
                <w:b/>
                <w:sz w:val="18"/>
              </w:rPr>
              <w:t>identificadas</w:t>
            </w:r>
            <w:r>
              <w:rPr>
                <w:b/>
                <w:spacing w:val="-5"/>
                <w:sz w:val="18"/>
              </w:rPr>
              <w:t> </w:t>
            </w:r>
            <w:r>
              <w:rPr>
                <w:b/>
                <w:sz w:val="18"/>
              </w:rPr>
              <w:t>y</w:t>
            </w:r>
            <w:r>
              <w:rPr>
                <w:b/>
                <w:spacing w:val="-2"/>
                <w:sz w:val="18"/>
              </w:rPr>
              <w:t> </w:t>
            </w:r>
            <w:r>
              <w:rPr>
                <w:b/>
                <w:sz w:val="18"/>
              </w:rPr>
              <w:t>capacitadas</w:t>
            </w:r>
            <w:r>
              <w:rPr>
                <w:b/>
                <w:spacing w:val="-6"/>
                <w:sz w:val="18"/>
              </w:rPr>
              <w:t> </w:t>
            </w:r>
            <w:r>
              <w:rPr>
                <w:b/>
                <w:sz w:val="18"/>
              </w:rPr>
              <w:t>en</w:t>
            </w:r>
            <w:r>
              <w:rPr>
                <w:b/>
                <w:spacing w:val="-7"/>
                <w:sz w:val="18"/>
              </w:rPr>
              <w:t> </w:t>
            </w:r>
            <w:r>
              <w:rPr>
                <w:b/>
                <w:sz w:val="18"/>
              </w:rPr>
              <w:t>la</w:t>
            </w:r>
            <w:r>
              <w:rPr>
                <w:b/>
                <w:spacing w:val="-6"/>
                <w:sz w:val="18"/>
              </w:rPr>
              <w:t> </w:t>
            </w:r>
            <w:r>
              <w:rPr>
                <w:b/>
                <w:sz w:val="18"/>
              </w:rPr>
              <w:t>aplicación</w:t>
            </w:r>
            <w:r>
              <w:rPr>
                <w:b/>
                <w:spacing w:val="-6"/>
                <w:sz w:val="18"/>
              </w:rPr>
              <w:t> </w:t>
            </w:r>
            <w:r>
              <w:rPr>
                <w:b/>
                <w:sz w:val="18"/>
              </w:rPr>
              <w:t>para</w:t>
            </w:r>
            <w:r>
              <w:rPr>
                <w:b/>
                <w:spacing w:val="-6"/>
                <w:sz w:val="18"/>
              </w:rPr>
              <w:t> </w:t>
            </w:r>
            <w:r>
              <w:rPr>
                <w:b/>
                <w:sz w:val="18"/>
              </w:rPr>
              <w:t>el</w:t>
            </w:r>
            <w:r>
              <w:rPr>
                <w:b/>
                <w:spacing w:val="-4"/>
                <w:sz w:val="18"/>
              </w:rPr>
              <w:t> </w:t>
            </w:r>
            <w:r>
              <w:rPr>
                <w:b/>
                <w:sz w:val="18"/>
              </w:rPr>
              <w:t>cumplimiento</w:t>
            </w:r>
            <w:r>
              <w:rPr>
                <w:b/>
                <w:spacing w:val="-6"/>
                <w:sz w:val="18"/>
              </w:rPr>
              <w:t> </w:t>
            </w:r>
            <w:r>
              <w:rPr>
                <w:b/>
                <w:sz w:val="18"/>
              </w:rPr>
              <w:t>de</w:t>
            </w:r>
            <w:r>
              <w:rPr>
                <w:b/>
                <w:spacing w:val="-6"/>
                <w:sz w:val="18"/>
              </w:rPr>
              <w:t> </w:t>
            </w:r>
            <w:r>
              <w:rPr>
                <w:b/>
                <w:sz w:val="18"/>
              </w:rPr>
              <w:t>las</w:t>
            </w:r>
            <w:r>
              <w:rPr>
                <w:b/>
                <w:spacing w:val="-2"/>
                <w:sz w:val="18"/>
              </w:rPr>
              <w:t> </w:t>
            </w:r>
            <w:r>
              <w:rPr>
                <w:b/>
                <w:sz w:val="18"/>
              </w:rPr>
              <w:t>normas.</w:t>
            </w:r>
            <w:r>
              <w:rPr>
                <w:b/>
                <w:spacing w:val="-4"/>
                <w:sz w:val="18"/>
              </w:rPr>
              <w:t> </w:t>
            </w:r>
            <w:r>
              <w:rPr>
                <w:b/>
                <w:sz w:val="18"/>
              </w:rPr>
              <w:t>(E1</w:t>
            </w:r>
            <w:r>
              <w:rPr>
                <w:b/>
                <w:spacing w:val="4"/>
                <w:sz w:val="18"/>
              </w:rPr>
              <w:t> </w:t>
            </w:r>
            <w:r>
              <w:rPr>
                <w:b/>
                <w:sz w:val="18"/>
              </w:rPr>
              <w:t>AE9</w:t>
            </w:r>
            <w:r>
              <w:rPr>
                <w:b/>
                <w:spacing w:val="-2"/>
                <w:sz w:val="18"/>
              </w:rPr>
              <w:t> </w:t>
            </w:r>
            <w:r>
              <w:rPr>
                <w:b/>
                <w:spacing w:val="-5"/>
                <w:sz w:val="18"/>
              </w:rPr>
              <w:t>R2)</w:t>
            </w:r>
          </w:p>
        </w:tc>
      </w:tr>
      <w:tr>
        <w:trPr>
          <w:trHeight w:val="1123" w:hRule="atLeast"/>
        </w:trPr>
        <w:tc>
          <w:tcPr>
            <w:tcW w:w="2828" w:type="dxa"/>
          </w:tcPr>
          <w:p>
            <w:pPr>
              <w:pStyle w:val="TableParagraph"/>
              <w:spacing w:before="42"/>
              <w:ind w:left="72" w:right="62"/>
              <w:rPr>
                <w:sz w:val="18"/>
              </w:rPr>
            </w:pPr>
            <w:r>
              <w:rPr>
                <w:b/>
                <w:sz w:val="18"/>
              </w:rPr>
              <w:t>Actividad</w:t>
            </w:r>
            <w:r>
              <w:rPr>
                <w:b/>
                <w:spacing w:val="-13"/>
                <w:sz w:val="18"/>
              </w:rPr>
              <w:t> </w:t>
            </w:r>
            <w:r>
              <w:rPr>
                <w:b/>
                <w:sz w:val="18"/>
              </w:rPr>
              <w:t>PAC</w:t>
            </w:r>
            <w:r>
              <w:rPr>
                <w:b/>
                <w:spacing w:val="-12"/>
                <w:sz w:val="18"/>
              </w:rPr>
              <w:t> </w:t>
            </w:r>
            <w:r>
              <w:rPr>
                <w:b/>
                <w:sz w:val="18"/>
              </w:rPr>
              <w:t>2.36.1:</w:t>
            </w:r>
            <w:r>
              <w:rPr>
                <w:b/>
                <w:spacing w:val="-13"/>
                <w:sz w:val="18"/>
              </w:rPr>
              <w:t> </w:t>
            </w:r>
            <w:r>
              <w:rPr>
                <w:sz w:val="18"/>
              </w:rPr>
              <w:t>Identificar a las personas funcionarias que se van a capacitar en la aplicación para el cumplimiento de las normas.</w:t>
            </w:r>
          </w:p>
        </w:tc>
        <w:tc>
          <w:tcPr>
            <w:tcW w:w="1416" w:type="dxa"/>
          </w:tcPr>
          <w:p>
            <w:pPr>
              <w:pStyle w:val="TableParagraph"/>
              <w:rPr>
                <w:b/>
                <w:sz w:val="18"/>
              </w:rPr>
            </w:pPr>
          </w:p>
          <w:p>
            <w:pPr>
              <w:pStyle w:val="TableParagraph"/>
              <w:spacing w:before="41"/>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spacing w:before="41"/>
              <w:rPr>
                <w:b/>
                <w:sz w:val="18"/>
              </w:rPr>
            </w:pPr>
          </w:p>
          <w:p>
            <w:pPr>
              <w:pStyle w:val="TableParagraph"/>
              <w:ind w:left="21" w:right="8"/>
              <w:jc w:val="center"/>
              <w:rPr>
                <w:sz w:val="18"/>
              </w:rPr>
            </w:pPr>
            <w:r>
              <w:rPr>
                <w:spacing w:val="-4"/>
                <w:sz w:val="18"/>
              </w:rPr>
              <w:t>100%</w:t>
            </w:r>
          </w:p>
        </w:tc>
        <w:tc>
          <w:tcPr>
            <w:tcW w:w="1987" w:type="dxa"/>
          </w:tcPr>
          <w:p>
            <w:pPr>
              <w:pStyle w:val="TableParagraph"/>
              <w:spacing w:before="41"/>
              <w:rPr>
                <w:b/>
                <w:sz w:val="18"/>
              </w:rPr>
            </w:pPr>
          </w:p>
          <w:p>
            <w:pPr>
              <w:pStyle w:val="TableParagraph"/>
              <w:spacing w:line="242" w:lineRule="auto"/>
              <w:ind w:left="72" w:right="787"/>
              <w:rPr>
                <w:sz w:val="18"/>
              </w:rPr>
            </w:pPr>
            <w:r>
              <w:rPr>
                <w:sz w:val="18"/>
              </w:rPr>
              <w:t>Porcentaje</w:t>
            </w:r>
            <w:r>
              <w:rPr>
                <w:spacing w:val="-13"/>
                <w:sz w:val="18"/>
              </w:rPr>
              <w:t> </w:t>
            </w:r>
            <w:r>
              <w:rPr>
                <w:sz w:val="18"/>
              </w:rPr>
              <w:t>de </w:t>
            </w:r>
            <w:r>
              <w:rPr>
                <w:spacing w:val="-2"/>
                <w:sz w:val="18"/>
              </w:rPr>
              <w:t>funcionarios identificados</w:t>
            </w:r>
          </w:p>
        </w:tc>
        <w:tc>
          <w:tcPr>
            <w:tcW w:w="1843" w:type="dxa"/>
          </w:tcPr>
          <w:p>
            <w:pPr>
              <w:pStyle w:val="TableParagraph"/>
              <w:spacing w:before="147"/>
              <w:rPr>
                <w:b/>
                <w:sz w:val="18"/>
              </w:rPr>
            </w:pPr>
          </w:p>
          <w:p>
            <w:pPr>
              <w:pStyle w:val="TableParagraph"/>
              <w:ind w:left="73" w:right="49"/>
              <w:rPr>
                <w:sz w:val="18"/>
              </w:rPr>
            </w:pPr>
            <w:r>
              <w:rPr>
                <w:sz w:val="18"/>
              </w:rPr>
              <w:t>Correo,</w:t>
            </w:r>
            <w:r>
              <w:rPr>
                <w:spacing w:val="-13"/>
                <w:sz w:val="18"/>
              </w:rPr>
              <w:t> </w:t>
            </w:r>
            <w:r>
              <w:rPr>
                <w:sz w:val="18"/>
              </w:rPr>
              <w:t>Documentos </w:t>
            </w:r>
            <w:r>
              <w:rPr>
                <w:spacing w:val="-2"/>
                <w:sz w:val="18"/>
              </w:rPr>
              <w:t>respaldo</w:t>
            </w:r>
          </w:p>
        </w:tc>
        <w:tc>
          <w:tcPr>
            <w:tcW w:w="1416" w:type="dxa"/>
          </w:tcPr>
          <w:p>
            <w:pPr>
              <w:pStyle w:val="TableParagraph"/>
              <w:rPr>
                <w:b/>
                <w:sz w:val="18"/>
              </w:rPr>
            </w:pPr>
          </w:p>
          <w:p>
            <w:pPr>
              <w:pStyle w:val="TableParagraph"/>
              <w:spacing w:before="41"/>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tcPr>
          <w:p>
            <w:pPr>
              <w:pStyle w:val="TableParagraph"/>
              <w:spacing w:before="42"/>
              <w:ind w:left="75" w:right="47"/>
              <w:rPr>
                <w:sz w:val="18"/>
              </w:rPr>
            </w:pPr>
            <w:r>
              <w:rPr>
                <w:sz w:val="18"/>
              </w:rPr>
              <w:t>Evento: Retraso en la capacitación a las personas</w:t>
            </w:r>
            <w:r>
              <w:rPr>
                <w:spacing w:val="-5"/>
                <w:sz w:val="18"/>
              </w:rPr>
              <w:t> </w:t>
            </w:r>
            <w:r>
              <w:rPr>
                <w:sz w:val="18"/>
              </w:rPr>
              <w:t>funcionarias en</w:t>
            </w:r>
            <w:r>
              <w:rPr>
                <w:spacing w:val="-4"/>
                <w:sz w:val="18"/>
              </w:rPr>
              <w:t> </w:t>
            </w:r>
            <w:r>
              <w:rPr>
                <w:sz w:val="18"/>
              </w:rPr>
              <w:t>el</w:t>
            </w:r>
            <w:r>
              <w:rPr>
                <w:spacing w:val="-10"/>
                <w:sz w:val="18"/>
              </w:rPr>
              <w:t> </w:t>
            </w:r>
            <w:r>
              <w:rPr>
                <w:sz w:val="18"/>
              </w:rPr>
              <w:t>tema</w:t>
            </w:r>
            <w:r>
              <w:rPr>
                <w:spacing w:val="-9"/>
                <w:sz w:val="18"/>
              </w:rPr>
              <w:t> </w:t>
            </w:r>
            <w:r>
              <w:rPr>
                <w:sz w:val="18"/>
              </w:rPr>
              <w:t>de</w:t>
            </w:r>
            <w:r>
              <w:rPr>
                <w:spacing w:val="-5"/>
                <w:sz w:val="18"/>
              </w:rPr>
              <w:t> </w:t>
            </w:r>
            <w:r>
              <w:rPr>
                <w:sz w:val="18"/>
              </w:rPr>
              <w:t>las</w:t>
            </w:r>
            <w:r>
              <w:rPr>
                <w:spacing w:val="-9"/>
                <w:sz w:val="18"/>
              </w:rPr>
              <w:t> </w:t>
            </w:r>
            <w:r>
              <w:rPr>
                <w:sz w:val="18"/>
              </w:rPr>
              <w:t>NIC-</w:t>
            </w:r>
            <w:r>
              <w:rPr>
                <w:spacing w:val="-6"/>
                <w:sz w:val="18"/>
              </w:rPr>
              <w:t>SP</w:t>
            </w:r>
          </w:p>
        </w:tc>
      </w:tr>
    </w:tbl>
    <w:p>
      <w:pPr>
        <w:pStyle w:val="TableParagraph"/>
        <w:spacing w:after="0"/>
        <w:rPr>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828"/>
        <w:gridCol w:w="1416"/>
        <w:gridCol w:w="1277"/>
        <w:gridCol w:w="1987"/>
        <w:gridCol w:w="1843"/>
        <w:gridCol w:w="1416"/>
        <w:gridCol w:w="1560"/>
        <w:gridCol w:w="2064"/>
      </w:tblGrid>
      <w:tr>
        <w:trPr>
          <w:trHeight w:val="925" w:hRule="atLeast"/>
        </w:trPr>
        <w:tc>
          <w:tcPr>
            <w:tcW w:w="2828" w:type="dxa"/>
            <w:shd w:val="clear" w:color="auto" w:fill="D7D7D7"/>
          </w:tcPr>
          <w:p>
            <w:pPr>
              <w:pStyle w:val="TableParagraph"/>
              <w:spacing w:before="151"/>
              <w:rPr>
                <w:b/>
                <w:sz w:val="18"/>
              </w:rPr>
            </w:pPr>
          </w:p>
          <w:p>
            <w:pPr>
              <w:pStyle w:val="TableParagraph"/>
              <w:spacing w:before="1"/>
              <w:ind w:left="446"/>
              <w:rPr>
                <w:b/>
                <w:sz w:val="18"/>
              </w:rPr>
            </w:pPr>
            <w:r>
              <w:rPr>
                <w:b/>
                <w:sz w:val="18"/>
              </w:rPr>
              <w:t>Objetivos</w:t>
            </w:r>
            <w:r>
              <w:rPr>
                <w:b/>
                <w:spacing w:val="-5"/>
                <w:sz w:val="18"/>
              </w:rPr>
              <w:t> </w:t>
            </w:r>
            <w:r>
              <w:rPr>
                <w:b/>
                <w:sz w:val="18"/>
              </w:rPr>
              <w:t>/</w:t>
            </w:r>
            <w:r>
              <w:rPr>
                <w:b/>
                <w:spacing w:val="-2"/>
                <w:sz w:val="18"/>
              </w:rPr>
              <w:t> Resultados</w:t>
            </w:r>
          </w:p>
        </w:tc>
        <w:tc>
          <w:tcPr>
            <w:tcW w:w="1416" w:type="dxa"/>
            <w:shd w:val="clear" w:color="auto" w:fill="D7D7D7"/>
          </w:tcPr>
          <w:p>
            <w:pPr>
              <w:pStyle w:val="TableParagraph"/>
              <w:spacing w:before="46"/>
              <w:rPr>
                <w:b/>
                <w:sz w:val="18"/>
              </w:rPr>
            </w:pPr>
          </w:p>
          <w:p>
            <w:pPr>
              <w:pStyle w:val="TableParagraph"/>
              <w:ind w:left="451" w:hanging="216"/>
              <w:rPr>
                <w:b/>
                <w:sz w:val="18"/>
              </w:rPr>
            </w:pPr>
            <w:r>
              <w:rPr>
                <w:b/>
                <w:sz w:val="18"/>
              </w:rPr>
              <w:t>Línea</w:t>
            </w:r>
            <w:r>
              <w:rPr>
                <w:b/>
                <w:spacing w:val="-13"/>
                <w:sz w:val="18"/>
              </w:rPr>
              <w:t> </w:t>
            </w:r>
            <w:r>
              <w:rPr>
                <w:b/>
                <w:sz w:val="18"/>
              </w:rPr>
              <w:t>Base </w:t>
            </w:r>
            <w:r>
              <w:rPr>
                <w:b/>
                <w:spacing w:val="-2"/>
                <w:sz w:val="18"/>
              </w:rPr>
              <w:t>(2024)</w:t>
            </w:r>
          </w:p>
        </w:tc>
        <w:tc>
          <w:tcPr>
            <w:tcW w:w="1277" w:type="dxa"/>
            <w:shd w:val="clear" w:color="auto" w:fill="D7D7D7"/>
          </w:tcPr>
          <w:p>
            <w:pPr>
              <w:pStyle w:val="TableParagraph"/>
              <w:spacing w:before="152"/>
              <w:ind w:left="120" w:right="98" w:hanging="10"/>
              <w:jc w:val="center"/>
              <w:rPr>
                <w:b/>
                <w:sz w:val="18"/>
              </w:rPr>
            </w:pPr>
            <w:r>
              <w:rPr>
                <w:b/>
                <w:spacing w:val="-4"/>
                <w:sz w:val="18"/>
              </w:rPr>
              <w:t>Meta </w:t>
            </w:r>
            <w:r>
              <w:rPr>
                <w:b/>
                <w:spacing w:val="-2"/>
                <w:sz w:val="18"/>
              </w:rPr>
              <w:t>programada </w:t>
            </w:r>
            <w:r>
              <w:rPr>
                <w:b/>
                <w:spacing w:val="-4"/>
                <w:sz w:val="18"/>
              </w:rPr>
              <w:t>2026</w:t>
            </w:r>
          </w:p>
        </w:tc>
        <w:tc>
          <w:tcPr>
            <w:tcW w:w="1987" w:type="dxa"/>
            <w:shd w:val="clear" w:color="auto" w:fill="D7D7D7"/>
          </w:tcPr>
          <w:p>
            <w:pPr>
              <w:pStyle w:val="TableParagraph"/>
              <w:spacing w:before="151"/>
              <w:rPr>
                <w:b/>
                <w:sz w:val="18"/>
              </w:rPr>
            </w:pPr>
          </w:p>
          <w:p>
            <w:pPr>
              <w:pStyle w:val="TableParagraph"/>
              <w:spacing w:before="1"/>
              <w:ind w:left="591"/>
              <w:rPr>
                <w:b/>
                <w:sz w:val="18"/>
              </w:rPr>
            </w:pPr>
            <w:r>
              <w:rPr>
                <w:b/>
                <w:spacing w:val="-2"/>
                <w:sz w:val="18"/>
              </w:rPr>
              <w:t>Indicador</w:t>
            </w:r>
          </w:p>
        </w:tc>
        <w:tc>
          <w:tcPr>
            <w:tcW w:w="1843" w:type="dxa"/>
            <w:shd w:val="clear" w:color="auto" w:fill="D7D7D7"/>
          </w:tcPr>
          <w:p>
            <w:pPr>
              <w:pStyle w:val="TableParagraph"/>
              <w:spacing w:before="46"/>
              <w:rPr>
                <w:b/>
                <w:sz w:val="18"/>
              </w:rPr>
            </w:pPr>
          </w:p>
          <w:p>
            <w:pPr>
              <w:pStyle w:val="TableParagraph"/>
              <w:ind w:left="423" w:right="49" w:firstLine="57"/>
              <w:rPr>
                <w:b/>
                <w:sz w:val="18"/>
              </w:rPr>
            </w:pPr>
            <w:r>
              <w:rPr>
                <w:b/>
                <w:sz w:val="18"/>
              </w:rPr>
              <w:t>Medios de </w:t>
            </w:r>
            <w:r>
              <w:rPr>
                <w:b/>
                <w:spacing w:val="-2"/>
                <w:sz w:val="18"/>
              </w:rPr>
              <w:t>verificación</w:t>
            </w:r>
          </w:p>
        </w:tc>
        <w:tc>
          <w:tcPr>
            <w:tcW w:w="1416" w:type="dxa"/>
            <w:shd w:val="clear" w:color="auto" w:fill="D7D7D7"/>
          </w:tcPr>
          <w:p>
            <w:pPr>
              <w:pStyle w:val="TableParagraph"/>
              <w:spacing w:before="151"/>
              <w:rPr>
                <w:b/>
                <w:sz w:val="18"/>
              </w:rPr>
            </w:pPr>
          </w:p>
          <w:p>
            <w:pPr>
              <w:pStyle w:val="TableParagraph"/>
              <w:spacing w:before="1"/>
              <w:ind w:left="150"/>
              <w:rPr>
                <w:b/>
                <w:sz w:val="18"/>
              </w:rPr>
            </w:pPr>
            <w:r>
              <w:rPr>
                <w:b/>
                <w:spacing w:val="-2"/>
                <w:sz w:val="18"/>
              </w:rPr>
              <w:t>Responsable</w:t>
            </w:r>
          </w:p>
        </w:tc>
        <w:tc>
          <w:tcPr>
            <w:tcW w:w="1560" w:type="dxa"/>
            <w:shd w:val="clear" w:color="auto" w:fill="D7D7D7"/>
          </w:tcPr>
          <w:p>
            <w:pPr>
              <w:pStyle w:val="TableParagraph"/>
              <w:spacing w:before="46"/>
              <w:rPr>
                <w:b/>
                <w:sz w:val="18"/>
              </w:rPr>
            </w:pPr>
          </w:p>
          <w:p>
            <w:pPr>
              <w:pStyle w:val="TableParagraph"/>
              <w:ind w:left="386" w:right="58" w:hanging="149"/>
              <w:rPr>
                <w:b/>
                <w:sz w:val="18"/>
              </w:rPr>
            </w:pPr>
            <w:r>
              <w:rPr>
                <w:b/>
                <w:spacing w:val="-2"/>
                <w:sz w:val="18"/>
              </w:rPr>
              <w:t>Presupuesto asignado</w:t>
            </w:r>
          </w:p>
        </w:tc>
        <w:tc>
          <w:tcPr>
            <w:tcW w:w="2064" w:type="dxa"/>
            <w:tcBorders>
              <w:bottom w:val="nil"/>
            </w:tcBorders>
            <w:shd w:val="clear" w:color="auto" w:fill="D7D7D7"/>
          </w:tcPr>
          <w:p>
            <w:pPr>
              <w:pStyle w:val="TableParagraph"/>
              <w:spacing w:before="151"/>
              <w:rPr>
                <w:b/>
                <w:sz w:val="18"/>
              </w:rPr>
            </w:pPr>
          </w:p>
          <w:p>
            <w:pPr>
              <w:pStyle w:val="TableParagraph"/>
              <w:spacing w:before="1"/>
              <w:ind w:left="75"/>
              <w:rPr>
                <w:b/>
                <w:sz w:val="18"/>
              </w:rPr>
            </w:pPr>
            <w:r>
              <w:rPr>
                <w:b/>
                <w:spacing w:val="-2"/>
                <w:sz w:val="18"/>
              </w:rPr>
              <w:t>Riesgos</w:t>
            </w:r>
          </w:p>
        </w:tc>
      </w:tr>
      <w:tr>
        <w:trPr>
          <w:trHeight w:val="1065" w:hRule="atLeast"/>
        </w:trPr>
        <w:tc>
          <w:tcPr>
            <w:tcW w:w="2828" w:type="dxa"/>
          </w:tcPr>
          <w:p>
            <w:pPr>
              <w:pStyle w:val="TableParagraph"/>
              <w:spacing w:before="119"/>
              <w:ind w:left="72" w:right="62"/>
              <w:rPr>
                <w:sz w:val="18"/>
              </w:rPr>
            </w:pPr>
            <w:r>
              <w:rPr>
                <w:b/>
                <w:sz w:val="18"/>
              </w:rPr>
              <w:t>Actividad</w:t>
            </w:r>
            <w:r>
              <w:rPr>
                <w:b/>
                <w:spacing w:val="-13"/>
                <w:sz w:val="18"/>
              </w:rPr>
              <w:t> </w:t>
            </w:r>
            <w:r>
              <w:rPr>
                <w:b/>
                <w:sz w:val="18"/>
              </w:rPr>
              <w:t>PAC</w:t>
            </w:r>
            <w:r>
              <w:rPr>
                <w:b/>
                <w:spacing w:val="-12"/>
                <w:sz w:val="18"/>
              </w:rPr>
              <w:t> </w:t>
            </w:r>
            <w:r>
              <w:rPr>
                <w:b/>
                <w:sz w:val="18"/>
              </w:rPr>
              <w:t>2.36.2:</w:t>
            </w:r>
            <w:r>
              <w:rPr>
                <w:b/>
                <w:spacing w:val="-12"/>
                <w:sz w:val="18"/>
              </w:rPr>
              <w:t> </w:t>
            </w:r>
            <w:r>
              <w:rPr>
                <w:sz w:val="18"/>
              </w:rPr>
              <w:t>Capacitar a las personas funcionarias para la</w:t>
            </w:r>
            <w:r>
              <w:rPr>
                <w:spacing w:val="-1"/>
                <w:sz w:val="18"/>
              </w:rPr>
              <w:t> </w:t>
            </w:r>
            <w:r>
              <w:rPr>
                <w:sz w:val="18"/>
              </w:rPr>
              <w:t>aplicación</w:t>
            </w:r>
            <w:r>
              <w:rPr>
                <w:spacing w:val="-1"/>
                <w:sz w:val="18"/>
              </w:rPr>
              <w:t> </w:t>
            </w:r>
            <w:r>
              <w:rPr>
                <w:sz w:val="18"/>
              </w:rPr>
              <w:t>del</w:t>
            </w:r>
            <w:r>
              <w:rPr>
                <w:spacing w:val="-2"/>
                <w:sz w:val="18"/>
              </w:rPr>
              <w:t> </w:t>
            </w:r>
            <w:r>
              <w:rPr>
                <w:sz w:val="18"/>
              </w:rPr>
              <w:t>cumplimiento</w:t>
            </w:r>
            <w:r>
              <w:rPr>
                <w:spacing w:val="-5"/>
                <w:sz w:val="18"/>
              </w:rPr>
              <w:t> </w:t>
            </w:r>
            <w:r>
              <w:rPr>
                <w:sz w:val="18"/>
              </w:rPr>
              <w:t>de las normas.</w:t>
            </w:r>
          </w:p>
        </w:tc>
        <w:tc>
          <w:tcPr>
            <w:tcW w:w="1416" w:type="dxa"/>
          </w:tcPr>
          <w:p>
            <w:pPr>
              <w:pStyle w:val="TableParagraph"/>
              <w:rPr>
                <w:b/>
                <w:sz w:val="18"/>
              </w:rPr>
            </w:pPr>
          </w:p>
          <w:p>
            <w:pPr>
              <w:pStyle w:val="TableParagraph"/>
              <w:spacing w:before="12"/>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spacing w:before="12"/>
              <w:rPr>
                <w:b/>
                <w:sz w:val="18"/>
              </w:rPr>
            </w:pPr>
          </w:p>
          <w:p>
            <w:pPr>
              <w:pStyle w:val="TableParagraph"/>
              <w:ind w:left="21" w:right="8"/>
              <w:jc w:val="center"/>
              <w:rPr>
                <w:sz w:val="18"/>
              </w:rPr>
            </w:pPr>
            <w:r>
              <w:rPr>
                <w:spacing w:val="-4"/>
                <w:sz w:val="18"/>
              </w:rPr>
              <w:t>100%</w:t>
            </w:r>
          </w:p>
        </w:tc>
        <w:tc>
          <w:tcPr>
            <w:tcW w:w="1987" w:type="dxa"/>
          </w:tcPr>
          <w:p>
            <w:pPr>
              <w:pStyle w:val="TableParagraph"/>
              <w:spacing w:before="13"/>
              <w:rPr>
                <w:b/>
                <w:sz w:val="18"/>
              </w:rPr>
            </w:pPr>
          </w:p>
          <w:p>
            <w:pPr>
              <w:pStyle w:val="TableParagraph"/>
              <w:ind w:left="72" w:right="123"/>
              <w:rPr>
                <w:sz w:val="18"/>
              </w:rPr>
            </w:pPr>
            <w:r>
              <w:rPr>
                <w:sz w:val="18"/>
              </w:rPr>
              <w:t>Porcentaje de personas</w:t>
            </w:r>
            <w:r>
              <w:rPr>
                <w:spacing w:val="-13"/>
                <w:sz w:val="18"/>
              </w:rPr>
              <w:t> </w:t>
            </w:r>
            <w:r>
              <w:rPr>
                <w:sz w:val="18"/>
              </w:rPr>
              <w:t>funcionarias </w:t>
            </w:r>
            <w:r>
              <w:rPr>
                <w:spacing w:val="-2"/>
                <w:sz w:val="18"/>
              </w:rPr>
              <w:t>capacitadas</w:t>
            </w:r>
          </w:p>
        </w:tc>
        <w:tc>
          <w:tcPr>
            <w:tcW w:w="1843" w:type="dxa"/>
          </w:tcPr>
          <w:p>
            <w:pPr>
              <w:pStyle w:val="TableParagraph"/>
              <w:rPr>
                <w:b/>
                <w:sz w:val="18"/>
              </w:rPr>
            </w:pPr>
          </w:p>
          <w:p>
            <w:pPr>
              <w:pStyle w:val="TableParagraph"/>
              <w:spacing w:before="12"/>
              <w:rPr>
                <w:b/>
                <w:sz w:val="18"/>
              </w:rPr>
            </w:pPr>
          </w:p>
          <w:p>
            <w:pPr>
              <w:pStyle w:val="TableParagraph"/>
              <w:ind w:left="10" w:right="2"/>
              <w:jc w:val="center"/>
              <w:rPr>
                <w:sz w:val="18"/>
              </w:rPr>
            </w:pPr>
            <w:r>
              <w:rPr>
                <w:sz w:val="18"/>
              </w:rPr>
              <w:t>Lista</w:t>
            </w:r>
            <w:r>
              <w:rPr>
                <w:spacing w:val="-3"/>
                <w:sz w:val="18"/>
              </w:rPr>
              <w:t> </w:t>
            </w:r>
            <w:r>
              <w:rPr>
                <w:sz w:val="18"/>
              </w:rPr>
              <w:t>de</w:t>
            </w:r>
            <w:r>
              <w:rPr>
                <w:spacing w:val="2"/>
                <w:sz w:val="18"/>
              </w:rPr>
              <w:t> </w:t>
            </w:r>
            <w:r>
              <w:rPr>
                <w:spacing w:val="-2"/>
                <w:sz w:val="18"/>
              </w:rPr>
              <w:t>participación</w:t>
            </w:r>
          </w:p>
        </w:tc>
        <w:tc>
          <w:tcPr>
            <w:tcW w:w="1416" w:type="dxa"/>
          </w:tcPr>
          <w:p>
            <w:pPr>
              <w:pStyle w:val="TableParagraph"/>
              <w:rPr>
                <w:b/>
                <w:sz w:val="18"/>
              </w:rPr>
            </w:pPr>
          </w:p>
          <w:p>
            <w:pPr>
              <w:pStyle w:val="TableParagraph"/>
              <w:spacing w:before="12"/>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tcBorders>
              <w:top w:val="nil"/>
            </w:tcBorders>
          </w:tcPr>
          <w:p>
            <w:pPr>
              <w:pStyle w:val="TableParagraph"/>
              <w:rPr>
                <w:rFonts w:ascii="Times New Roman"/>
                <w:sz w:val="18"/>
              </w:rPr>
            </w:pPr>
          </w:p>
        </w:tc>
      </w:tr>
      <w:tr>
        <w:trPr>
          <w:trHeight w:val="672" w:hRule="atLeast"/>
        </w:trPr>
        <w:tc>
          <w:tcPr>
            <w:tcW w:w="14391" w:type="dxa"/>
            <w:gridSpan w:val="8"/>
            <w:shd w:val="clear" w:color="auto" w:fill="EFF8F9"/>
          </w:tcPr>
          <w:p>
            <w:pPr>
              <w:pStyle w:val="TableParagraph"/>
              <w:spacing w:before="27"/>
              <w:rPr>
                <w:b/>
                <w:sz w:val="18"/>
              </w:rPr>
            </w:pPr>
          </w:p>
          <w:p>
            <w:pPr>
              <w:pStyle w:val="TableParagraph"/>
              <w:ind w:left="72"/>
              <w:rPr>
                <w:b/>
                <w:sz w:val="18"/>
              </w:rPr>
            </w:pPr>
            <w:r>
              <w:rPr>
                <w:b/>
                <w:sz w:val="18"/>
              </w:rPr>
              <w:t>Producto</w:t>
            </w:r>
            <w:r>
              <w:rPr>
                <w:b/>
                <w:spacing w:val="-7"/>
                <w:sz w:val="18"/>
              </w:rPr>
              <w:t> </w:t>
            </w:r>
            <w:r>
              <w:rPr>
                <w:b/>
                <w:sz w:val="18"/>
              </w:rPr>
              <w:t>PAC</w:t>
            </w:r>
            <w:r>
              <w:rPr>
                <w:b/>
                <w:spacing w:val="-8"/>
                <w:sz w:val="18"/>
              </w:rPr>
              <w:t> </w:t>
            </w:r>
            <w:r>
              <w:rPr>
                <w:b/>
                <w:sz w:val="18"/>
              </w:rPr>
              <w:t>2:37:</w:t>
            </w:r>
            <w:r>
              <w:rPr>
                <w:b/>
                <w:spacing w:val="-4"/>
                <w:sz w:val="18"/>
              </w:rPr>
              <w:t> </w:t>
            </w:r>
            <w:r>
              <w:rPr>
                <w:b/>
                <w:sz w:val="18"/>
              </w:rPr>
              <w:t>Herramienta</w:t>
            </w:r>
            <w:r>
              <w:rPr>
                <w:b/>
                <w:spacing w:val="-5"/>
                <w:sz w:val="18"/>
              </w:rPr>
              <w:t> </w:t>
            </w:r>
            <w:r>
              <w:rPr>
                <w:b/>
                <w:sz w:val="18"/>
              </w:rPr>
              <w:t>informática</w:t>
            </w:r>
            <w:r>
              <w:rPr>
                <w:b/>
                <w:spacing w:val="-6"/>
                <w:sz w:val="18"/>
              </w:rPr>
              <w:t> </w:t>
            </w:r>
            <w:r>
              <w:rPr>
                <w:b/>
                <w:sz w:val="18"/>
              </w:rPr>
              <w:t>actualizada</w:t>
            </w:r>
            <w:r>
              <w:rPr>
                <w:b/>
                <w:spacing w:val="-6"/>
                <w:sz w:val="18"/>
              </w:rPr>
              <w:t> </w:t>
            </w:r>
            <w:r>
              <w:rPr>
                <w:b/>
                <w:sz w:val="18"/>
              </w:rPr>
              <w:t>para</w:t>
            </w:r>
            <w:r>
              <w:rPr>
                <w:b/>
                <w:spacing w:val="-6"/>
                <w:sz w:val="18"/>
              </w:rPr>
              <w:t> </w:t>
            </w:r>
            <w:r>
              <w:rPr>
                <w:b/>
                <w:sz w:val="18"/>
              </w:rPr>
              <w:t>la</w:t>
            </w:r>
            <w:r>
              <w:rPr>
                <w:b/>
                <w:spacing w:val="-5"/>
                <w:sz w:val="18"/>
              </w:rPr>
              <w:t> </w:t>
            </w:r>
            <w:r>
              <w:rPr>
                <w:b/>
                <w:sz w:val="18"/>
              </w:rPr>
              <w:t>emisión</w:t>
            </w:r>
            <w:r>
              <w:rPr>
                <w:b/>
                <w:spacing w:val="-7"/>
                <w:sz w:val="18"/>
              </w:rPr>
              <w:t> </w:t>
            </w:r>
            <w:r>
              <w:rPr>
                <w:b/>
                <w:sz w:val="18"/>
              </w:rPr>
              <w:t>de</w:t>
            </w:r>
            <w:r>
              <w:rPr>
                <w:b/>
                <w:spacing w:val="-6"/>
                <w:sz w:val="18"/>
              </w:rPr>
              <w:t> </w:t>
            </w:r>
            <w:r>
              <w:rPr>
                <w:b/>
                <w:sz w:val="18"/>
              </w:rPr>
              <w:t>la</w:t>
            </w:r>
            <w:r>
              <w:rPr>
                <w:b/>
                <w:spacing w:val="-5"/>
                <w:sz w:val="18"/>
              </w:rPr>
              <w:t> </w:t>
            </w:r>
            <w:r>
              <w:rPr>
                <w:b/>
                <w:sz w:val="18"/>
              </w:rPr>
              <w:t>información</w:t>
            </w:r>
            <w:r>
              <w:rPr>
                <w:b/>
                <w:spacing w:val="-7"/>
                <w:sz w:val="18"/>
              </w:rPr>
              <w:t> </w:t>
            </w:r>
            <w:r>
              <w:rPr>
                <w:b/>
                <w:sz w:val="18"/>
              </w:rPr>
              <w:t>contable.</w:t>
            </w:r>
            <w:r>
              <w:rPr>
                <w:b/>
                <w:spacing w:val="-4"/>
                <w:sz w:val="18"/>
              </w:rPr>
              <w:t> </w:t>
            </w:r>
            <w:r>
              <w:rPr>
                <w:b/>
                <w:sz w:val="18"/>
              </w:rPr>
              <w:t>(E1</w:t>
            </w:r>
            <w:r>
              <w:rPr>
                <w:b/>
                <w:spacing w:val="-6"/>
                <w:sz w:val="18"/>
              </w:rPr>
              <w:t> </w:t>
            </w:r>
            <w:r>
              <w:rPr>
                <w:b/>
                <w:sz w:val="18"/>
              </w:rPr>
              <w:t>AE9</w:t>
            </w:r>
            <w:r>
              <w:rPr>
                <w:b/>
                <w:spacing w:val="-5"/>
                <w:sz w:val="18"/>
              </w:rPr>
              <w:t> R5)</w:t>
            </w:r>
          </w:p>
        </w:tc>
      </w:tr>
      <w:tr>
        <w:trPr>
          <w:trHeight w:val="1037" w:hRule="atLeast"/>
        </w:trPr>
        <w:tc>
          <w:tcPr>
            <w:tcW w:w="2828" w:type="dxa"/>
          </w:tcPr>
          <w:p>
            <w:pPr>
              <w:pStyle w:val="TableParagraph"/>
              <w:spacing w:before="104"/>
              <w:ind w:left="72" w:right="127"/>
              <w:rPr>
                <w:sz w:val="18"/>
              </w:rPr>
            </w:pPr>
            <w:r>
              <w:rPr>
                <w:b/>
                <w:sz w:val="18"/>
              </w:rPr>
              <w:t>Actividad PAC 2.37.1: </w:t>
            </w:r>
            <w:r>
              <w:rPr>
                <w:sz w:val="18"/>
              </w:rPr>
              <w:t>Determinar las necesidades de ajuste</w:t>
            </w:r>
            <w:r>
              <w:rPr>
                <w:spacing w:val="-10"/>
                <w:sz w:val="18"/>
              </w:rPr>
              <w:t> </w:t>
            </w:r>
            <w:r>
              <w:rPr>
                <w:sz w:val="18"/>
              </w:rPr>
              <w:t>o</w:t>
            </w:r>
            <w:r>
              <w:rPr>
                <w:spacing w:val="-10"/>
                <w:sz w:val="18"/>
              </w:rPr>
              <w:t> </w:t>
            </w:r>
            <w:r>
              <w:rPr>
                <w:sz w:val="18"/>
              </w:rPr>
              <w:t>modificaciones</w:t>
            </w:r>
            <w:r>
              <w:rPr>
                <w:spacing w:val="-10"/>
                <w:sz w:val="18"/>
              </w:rPr>
              <w:t> </w:t>
            </w:r>
            <w:r>
              <w:rPr>
                <w:sz w:val="18"/>
              </w:rPr>
              <w:t>sobre</w:t>
            </w:r>
            <w:r>
              <w:rPr>
                <w:spacing w:val="-10"/>
                <w:sz w:val="18"/>
              </w:rPr>
              <w:t> </w:t>
            </w:r>
            <w:r>
              <w:rPr>
                <w:sz w:val="18"/>
              </w:rPr>
              <w:t>la </w:t>
            </w:r>
            <w:r>
              <w:rPr>
                <w:spacing w:val="-2"/>
                <w:sz w:val="18"/>
              </w:rPr>
              <w:t>herramienta.</w:t>
            </w:r>
          </w:p>
        </w:tc>
        <w:tc>
          <w:tcPr>
            <w:tcW w:w="1416" w:type="dxa"/>
          </w:tcPr>
          <w:p>
            <w:pPr>
              <w:pStyle w:val="TableParagraph"/>
              <w:rPr>
                <w:b/>
                <w:sz w:val="18"/>
              </w:rPr>
            </w:pPr>
          </w:p>
          <w:p>
            <w:pPr>
              <w:pStyle w:val="TableParagraph"/>
              <w:spacing w:before="2"/>
              <w:rPr>
                <w:b/>
                <w:sz w:val="18"/>
              </w:rPr>
            </w:pPr>
          </w:p>
          <w:p>
            <w:pPr>
              <w:pStyle w:val="TableParagraph"/>
              <w:ind w:left="20" w:right="3"/>
              <w:jc w:val="center"/>
              <w:rPr>
                <w:sz w:val="18"/>
              </w:rPr>
            </w:pPr>
            <w:r>
              <w:rPr>
                <w:spacing w:val="-4"/>
                <w:sz w:val="18"/>
              </w:rPr>
              <w:t>100%</w:t>
            </w:r>
          </w:p>
        </w:tc>
        <w:tc>
          <w:tcPr>
            <w:tcW w:w="1277" w:type="dxa"/>
          </w:tcPr>
          <w:p>
            <w:pPr>
              <w:pStyle w:val="TableParagraph"/>
              <w:rPr>
                <w:b/>
                <w:sz w:val="18"/>
              </w:rPr>
            </w:pPr>
          </w:p>
          <w:p>
            <w:pPr>
              <w:pStyle w:val="TableParagraph"/>
              <w:spacing w:before="2"/>
              <w:rPr>
                <w:b/>
                <w:sz w:val="18"/>
              </w:rPr>
            </w:pPr>
          </w:p>
          <w:p>
            <w:pPr>
              <w:pStyle w:val="TableParagraph"/>
              <w:ind w:left="21" w:right="8"/>
              <w:jc w:val="center"/>
              <w:rPr>
                <w:sz w:val="18"/>
              </w:rPr>
            </w:pPr>
            <w:r>
              <w:rPr>
                <w:spacing w:val="-4"/>
                <w:sz w:val="18"/>
              </w:rPr>
              <w:t>100%</w:t>
            </w:r>
          </w:p>
        </w:tc>
        <w:tc>
          <w:tcPr>
            <w:tcW w:w="1987" w:type="dxa"/>
          </w:tcPr>
          <w:p>
            <w:pPr>
              <w:pStyle w:val="TableParagraph"/>
              <w:spacing w:before="3"/>
              <w:ind w:left="72" w:right="83"/>
              <w:rPr>
                <w:sz w:val="18"/>
              </w:rPr>
            </w:pPr>
            <w:r>
              <w:rPr>
                <w:sz w:val="18"/>
              </w:rPr>
              <w:t>Porcentaje de ajustes necesarios</w:t>
            </w:r>
            <w:r>
              <w:rPr>
                <w:spacing w:val="-15"/>
                <w:sz w:val="18"/>
              </w:rPr>
              <w:t> </w:t>
            </w:r>
            <w:r>
              <w:rPr>
                <w:sz w:val="18"/>
              </w:rPr>
              <w:t>de</w:t>
            </w:r>
            <w:r>
              <w:rPr>
                <w:spacing w:val="-12"/>
                <w:sz w:val="18"/>
              </w:rPr>
              <w:t> </w:t>
            </w:r>
            <w:r>
              <w:rPr>
                <w:sz w:val="18"/>
              </w:rPr>
              <w:t>acuerdo con las</w:t>
            </w:r>
            <w:r>
              <w:rPr>
                <w:spacing w:val="40"/>
                <w:sz w:val="18"/>
              </w:rPr>
              <w:t> </w:t>
            </w:r>
            <w:r>
              <w:rPr>
                <w:sz w:val="18"/>
              </w:rPr>
              <w:t>actualizaciones de</w:t>
            </w:r>
          </w:p>
          <w:p>
            <w:pPr>
              <w:pStyle w:val="TableParagraph"/>
              <w:spacing w:line="185" w:lineRule="exact"/>
              <w:ind w:left="72"/>
              <w:rPr>
                <w:sz w:val="18"/>
              </w:rPr>
            </w:pPr>
            <w:r>
              <w:rPr>
                <w:sz w:val="18"/>
              </w:rPr>
              <w:t>normativa</w:t>
            </w:r>
            <w:r>
              <w:rPr>
                <w:spacing w:val="-5"/>
                <w:sz w:val="18"/>
              </w:rPr>
              <w:t> </w:t>
            </w:r>
            <w:r>
              <w:rPr>
                <w:spacing w:val="-2"/>
                <w:sz w:val="18"/>
              </w:rPr>
              <w:t>institucional.</w:t>
            </w:r>
          </w:p>
        </w:tc>
        <w:tc>
          <w:tcPr>
            <w:tcW w:w="1843" w:type="dxa"/>
          </w:tcPr>
          <w:p>
            <w:pPr>
              <w:pStyle w:val="TableParagraph"/>
              <w:spacing w:before="3"/>
              <w:rPr>
                <w:b/>
                <w:sz w:val="18"/>
              </w:rPr>
            </w:pPr>
          </w:p>
          <w:p>
            <w:pPr>
              <w:pStyle w:val="TableParagraph"/>
              <w:ind w:left="73" w:right="422"/>
              <w:rPr>
                <w:sz w:val="18"/>
              </w:rPr>
            </w:pPr>
            <w:r>
              <w:rPr>
                <w:sz w:val="18"/>
              </w:rPr>
              <w:t>Correo,</w:t>
            </w:r>
            <w:r>
              <w:rPr>
                <w:spacing w:val="-13"/>
                <w:sz w:val="18"/>
              </w:rPr>
              <w:t> </w:t>
            </w:r>
            <w:r>
              <w:rPr>
                <w:sz w:val="18"/>
              </w:rPr>
              <w:t>minutas, </w:t>
            </w:r>
            <w:r>
              <w:rPr>
                <w:spacing w:val="-2"/>
                <w:sz w:val="18"/>
              </w:rPr>
              <w:t>Documentos respaldo</w:t>
            </w:r>
          </w:p>
        </w:tc>
        <w:tc>
          <w:tcPr>
            <w:tcW w:w="1416" w:type="dxa"/>
          </w:tcPr>
          <w:p>
            <w:pPr>
              <w:pStyle w:val="TableParagraph"/>
              <w:rPr>
                <w:b/>
                <w:sz w:val="18"/>
              </w:rPr>
            </w:pPr>
          </w:p>
          <w:p>
            <w:pPr>
              <w:pStyle w:val="TableParagraph"/>
              <w:spacing w:before="2"/>
              <w:rPr>
                <w:b/>
                <w:sz w:val="18"/>
              </w:rPr>
            </w:pPr>
          </w:p>
          <w:p>
            <w:pPr>
              <w:pStyle w:val="TableParagraph"/>
              <w:ind w:left="74"/>
              <w:rPr>
                <w:sz w:val="18"/>
              </w:rPr>
            </w:pPr>
            <w:r>
              <w:rPr>
                <w:spacing w:val="-5"/>
                <w:sz w:val="18"/>
              </w:rPr>
              <w:t>DAF</w:t>
            </w:r>
          </w:p>
        </w:tc>
        <w:tc>
          <w:tcPr>
            <w:tcW w:w="1560" w:type="dxa"/>
          </w:tcPr>
          <w:p>
            <w:pPr>
              <w:pStyle w:val="TableParagraph"/>
              <w:rPr>
                <w:rFonts w:ascii="Times New Roman"/>
                <w:sz w:val="18"/>
              </w:rPr>
            </w:pPr>
          </w:p>
        </w:tc>
        <w:tc>
          <w:tcPr>
            <w:tcW w:w="2064" w:type="dxa"/>
            <w:vMerge w:val="restart"/>
          </w:tcPr>
          <w:p>
            <w:pPr>
              <w:pStyle w:val="TableParagraph"/>
              <w:rPr>
                <w:b/>
                <w:sz w:val="18"/>
              </w:rPr>
            </w:pPr>
          </w:p>
          <w:p>
            <w:pPr>
              <w:pStyle w:val="TableParagraph"/>
              <w:rPr>
                <w:b/>
                <w:sz w:val="18"/>
              </w:rPr>
            </w:pPr>
          </w:p>
          <w:p>
            <w:pPr>
              <w:pStyle w:val="TableParagraph"/>
              <w:spacing w:before="151"/>
              <w:rPr>
                <w:b/>
                <w:sz w:val="18"/>
              </w:rPr>
            </w:pPr>
          </w:p>
          <w:p>
            <w:pPr>
              <w:pStyle w:val="TableParagraph"/>
              <w:ind w:left="75"/>
              <w:rPr>
                <w:sz w:val="18"/>
              </w:rPr>
            </w:pPr>
            <w:r>
              <w:rPr>
                <w:sz w:val="18"/>
              </w:rPr>
              <w:t>Evento:</w:t>
            </w:r>
            <w:r>
              <w:rPr>
                <w:spacing w:val="-15"/>
                <w:sz w:val="18"/>
              </w:rPr>
              <w:t> </w:t>
            </w:r>
            <w:r>
              <w:rPr>
                <w:sz w:val="18"/>
              </w:rPr>
              <w:t>Tecnologías</w:t>
            </w:r>
            <w:r>
              <w:rPr>
                <w:spacing w:val="-12"/>
                <w:sz w:val="18"/>
              </w:rPr>
              <w:t> </w:t>
            </w:r>
            <w:r>
              <w:rPr>
                <w:sz w:val="18"/>
              </w:rPr>
              <w:t>de Información no atienda los tickets oportunamente</w:t>
            </w:r>
            <w:r>
              <w:rPr>
                <w:spacing w:val="-3"/>
                <w:sz w:val="18"/>
              </w:rPr>
              <w:t> </w:t>
            </w:r>
            <w:r>
              <w:rPr>
                <w:sz w:val="18"/>
              </w:rPr>
              <w:t>(ajustar formatos a los de la Contabilidad Nacional</w:t>
            </w:r>
          </w:p>
        </w:tc>
      </w:tr>
      <w:tr>
        <w:trPr>
          <w:trHeight w:val="829" w:hRule="atLeast"/>
        </w:trPr>
        <w:tc>
          <w:tcPr>
            <w:tcW w:w="2828" w:type="dxa"/>
          </w:tcPr>
          <w:p>
            <w:pPr>
              <w:pStyle w:val="TableParagraph"/>
              <w:spacing w:before="104"/>
              <w:ind w:left="72" w:right="127"/>
              <w:rPr>
                <w:sz w:val="18"/>
              </w:rPr>
            </w:pPr>
            <w:r>
              <w:rPr>
                <w:b/>
                <w:sz w:val="18"/>
              </w:rPr>
              <w:t>Actividad</w:t>
            </w:r>
            <w:r>
              <w:rPr>
                <w:b/>
                <w:spacing w:val="-13"/>
                <w:sz w:val="18"/>
              </w:rPr>
              <w:t> </w:t>
            </w:r>
            <w:r>
              <w:rPr>
                <w:b/>
                <w:sz w:val="18"/>
              </w:rPr>
              <w:t>PAC</w:t>
            </w:r>
            <w:r>
              <w:rPr>
                <w:b/>
                <w:spacing w:val="-12"/>
                <w:sz w:val="18"/>
              </w:rPr>
              <w:t> </w:t>
            </w:r>
            <w:r>
              <w:rPr>
                <w:b/>
                <w:sz w:val="18"/>
              </w:rPr>
              <w:t>2.37.2:</w:t>
            </w:r>
            <w:r>
              <w:rPr>
                <w:b/>
                <w:spacing w:val="-7"/>
                <w:sz w:val="18"/>
              </w:rPr>
              <w:t> </w:t>
            </w:r>
            <w:r>
              <w:rPr>
                <w:sz w:val="18"/>
              </w:rPr>
              <w:t>Solicita las modificaciones o ajustes sobre la herramienta</w:t>
            </w:r>
          </w:p>
        </w:tc>
        <w:tc>
          <w:tcPr>
            <w:tcW w:w="1416" w:type="dxa"/>
          </w:tcPr>
          <w:p>
            <w:pPr>
              <w:pStyle w:val="TableParagraph"/>
              <w:spacing w:before="103"/>
              <w:rPr>
                <w:b/>
                <w:sz w:val="18"/>
              </w:rPr>
            </w:pPr>
          </w:p>
          <w:p>
            <w:pPr>
              <w:pStyle w:val="TableParagraph"/>
              <w:spacing w:before="1"/>
              <w:ind w:left="20" w:right="3"/>
              <w:jc w:val="center"/>
              <w:rPr>
                <w:sz w:val="18"/>
              </w:rPr>
            </w:pPr>
            <w:r>
              <w:rPr>
                <w:spacing w:val="-4"/>
                <w:sz w:val="18"/>
              </w:rPr>
              <w:t>100%</w:t>
            </w:r>
          </w:p>
        </w:tc>
        <w:tc>
          <w:tcPr>
            <w:tcW w:w="1277" w:type="dxa"/>
          </w:tcPr>
          <w:p>
            <w:pPr>
              <w:pStyle w:val="TableParagraph"/>
              <w:spacing w:before="103"/>
              <w:rPr>
                <w:b/>
                <w:sz w:val="18"/>
              </w:rPr>
            </w:pPr>
          </w:p>
          <w:p>
            <w:pPr>
              <w:pStyle w:val="TableParagraph"/>
              <w:spacing w:before="1"/>
              <w:ind w:left="21" w:right="8"/>
              <w:jc w:val="center"/>
              <w:rPr>
                <w:sz w:val="18"/>
              </w:rPr>
            </w:pPr>
            <w:r>
              <w:rPr>
                <w:spacing w:val="-4"/>
                <w:sz w:val="18"/>
              </w:rPr>
              <w:t>100%</w:t>
            </w:r>
          </w:p>
        </w:tc>
        <w:tc>
          <w:tcPr>
            <w:tcW w:w="1987" w:type="dxa"/>
          </w:tcPr>
          <w:p>
            <w:pPr>
              <w:pStyle w:val="TableParagraph"/>
              <w:ind w:left="72"/>
              <w:rPr>
                <w:sz w:val="18"/>
              </w:rPr>
            </w:pPr>
            <w:r>
              <w:rPr>
                <w:sz w:val="18"/>
              </w:rPr>
              <w:t>Porcentaje de ajustes solicitados</w:t>
            </w:r>
            <w:r>
              <w:rPr>
                <w:spacing w:val="-15"/>
                <w:sz w:val="18"/>
              </w:rPr>
              <w:t> </w:t>
            </w:r>
            <w:r>
              <w:rPr>
                <w:sz w:val="18"/>
              </w:rPr>
              <w:t>de</w:t>
            </w:r>
            <w:r>
              <w:rPr>
                <w:spacing w:val="-12"/>
                <w:sz w:val="18"/>
              </w:rPr>
              <w:t> </w:t>
            </w:r>
            <w:r>
              <w:rPr>
                <w:sz w:val="18"/>
              </w:rPr>
              <w:t>acuerdo con las necesidades</w:t>
            </w:r>
          </w:p>
          <w:p>
            <w:pPr>
              <w:pStyle w:val="TableParagraph"/>
              <w:spacing w:line="187" w:lineRule="exact" w:before="2"/>
              <w:ind w:left="72"/>
              <w:rPr>
                <w:sz w:val="18"/>
              </w:rPr>
            </w:pPr>
            <w:r>
              <w:rPr>
                <w:spacing w:val="-2"/>
                <w:sz w:val="18"/>
              </w:rPr>
              <w:t>determinadas.</w:t>
            </w:r>
          </w:p>
        </w:tc>
        <w:tc>
          <w:tcPr>
            <w:tcW w:w="1843" w:type="dxa"/>
          </w:tcPr>
          <w:p>
            <w:pPr>
              <w:pStyle w:val="TableParagraph"/>
              <w:spacing w:before="205"/>
              <w:ind w:left="73" w:right="111"/>
              <w:rPr>
                <w:sz w:val="18"/>
              </w:rPr>
            </w:pPr>
            <w:r>
              <w:rPr>
                <w:spacing w:val="-2"/>
                <w:sz w:val="18"/>
              </w:rPr>
              <w:t>Documentos </w:t>
            </w:r>
            <w:r>
              <w:rPr>
                <w:sz w:val="18"/>
              </w:rPr>
              <w:t>respaldo</w:t>
            </w:r>
            <w:r>
              <w:rPr>
                <w:spacing w:val="-15"/>
                <w:sz w:val="18"/>
              </w:rPr>
              <w:t> </w:t>
            </w:r>
            <w:r>
              <w:rPr>
                <w:sz w:val="18"/>
              </w:rPr>
              <w:t>y</w:t>
            </w:r>
            <w:r>
              <w:rPr>
                <w:spacing w:val="-12"/>
                <w:sz w:val="18"/>
              </w:rPr>
              <w:t> </w:t>
            </w:r>
            <w:r>
              <w:rPr>
                <w:sz w:val="18"/>
              </w:rPr>
              <w:t>minutas</w:t>
            </w:r>
          </w:p>
        </w:tc>
        <w:tc>
          <w:tcPr>
            <w:tcW w:w="1416" w:type="dxa"/>
          </w:tcPr>
          <w:p>
            <w:pPr>
              <w:pStyle w:val="TableParagraph"/>
              <w:spacing w:before="103"/>
              <w:rPr>
                <w:b/>
                <w:sz w:val="18"/>
              </w:rPr>
            </w:pPr>
          </w:p>
          <w:p>
            <w:pPr>
              <w:pStyle w:val="TableParagraph"/>
              <w:spacing w:before="1"/>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tcBorders>
          </w:tcPr>
          <w:p>
            <w:pPr>
              <w:rPr>
                <w:sz w:val="2"/>
                <w:szCs w:val="2"/>
              </w:rPr>
            </w:pPr>
          </w:p>
        </w:tc>
      </w:tr>
      <w:tr>
        <w:trPr>
          <w:trHeight w:val="897" w:hRule="atLeast"/>
        </w:trPr>
        <w:tc>
          <w:tcPr>
            <w:tcW w:w="2828" w:type="dxa"/>
          </w:tcPr>
          <w:p>
            <w:pPr>
              <w:pStyle w:val="TableParagraph"/>
              <w:spacing w:before="138"/>
              <w:ind w:left="72"/>
              <w:rPr>
                <w:sz w:val="18"/>
              </w:rPr>
            </w:pPr>
            <w:r>
              <w:rPr>
                <w:b/>
                <w:sz w:val="18"/>
              </w:rPr>
              <w:t>Actividad</w:t>
            </w:r>
            <w:r>
              <w:rPr>
                <w:b/>
                <w:spacing w:val="-13"/>
                <w:sz w:val="18"/>
              </w:rPr>
              <w:t> </w:t>
            </w:r>
            <w:r>
              <w:rPr>
                <w:b/>
                <w:sz w:val="18"/>
              </w:rPr>
              <w:t>PAC</w:t>
            </w:r>
            <w:r>
              <w:rPr>
                <w:b/>
                <w:spacing w:val="-12"/>
                <w:sz w:val="18"/>
              </w:rPr>
              <w:t> </w:t>
            </w:r>
            <w:r>
              <w:rPr>
                <w:b/>
                <w:sz w:val="18"/>
              </w:rPr>
              <w:t>2.37.3:</w:t>
            </w:r>
            <w:r>
              <w:rPr>
                <w:b/>
                <w:spacing w:val="-9"/>
                <w:sz w:val="18"/>
              </w:rPr>
              <w:t> </w:t>
            </w:r>
            <w:r>
              <w:rPr>
                <w:sz w:val="18"/>
              </w:rPr>
              <w:t>Unidades que utilizan la herramienta informática actualizada</w:t>
            </w:r>
          </w:p>
        </w:tc>
        <w:tc>
          <w:tcPr>
            <w:tcW w:w="1416" w:type="dxa"/>
          </w:tcPr>
          <w:p>
            <w:pPr>
              <w:pStyle w:val="TableParagraph"/>
              <w:spacing w:before="137"/>
              <w:rPr>
                <w:b/>
                <w:sz w:val="18"/>
              </w:rPr>
            </w:pPr>
          </w:p>
          <w:p>
            <w:pPr>
              <w:pStyle w:val="TableParagraph"/>
              <w:spacing w:before="1"/>
              <w:ind w:left="20" w:right="3"/>
              <w:jc w:val="center"/>
              <w:rPr>
                <w:sz w:val="18"/>
              </w:rPr>
            </w:pPr>
            <w:r>
              <w:rPr>
                <w:spacing w:val="-4"/>
                <w:sz w:val="18"/>
              </w:rPr>
              <w:t>100%</w:t>
            </w:r>
          </w:p>
        </w:tc>
        <w:tc>
          <w:tcPr>
            <w:tcW w:w="1277" w:type="dxa"/>
          </w:tcPr>
          <w:p>
            <w:pPr>
              <w:pStyle w:val="TableParagraph"/>
              <w:spacing w:before="137"/>
              <w:rPr>
                <w:b/>
                <w:sz w:val="18"/>
              </w:rPr>
            </w:pPr>
          </w:p>
          <w:p>
            <w:pPr>
              <w:pStyle w:val="TableParagraph"/>
              <w:spacing w:before="1"/>
              <w:ind w:left="21" w:right="8"/>
              <w:jc w:val="center"/>
              <w:rPr>
                <w:sz w:val="18"/>
              </w:rPr>
            </w:pPr>
            <w:r>
              <w:rPr>
                <w:spacing w:val="-4"/>
                <w:sz w:val="18"/>
              </w:rPr>
              <w:t>100%</w:t>
            </w:r>
          </w:p>
        </w:tc>
        <w:tc>
          <w:tcPr>
            <w:tcW w:w="1987" w:type="dxa"/>
          </w:tcPr>
          <w:p>
            <w:pPr>
              <w:pStyle w:val="TableParagraph"/>
              <w:spacing w:before="33"/>
              <w:ind w:left="72" w:right="123"/>
              <w:rPr>
                <w:sz w:val="18"/>
              </w:rPr>
            </w:pPr>
            <w:r>
              <w:rPr>
                <w:sz w:val="18"/>
              </w:rPr>
              <w:t>Porcentaje de unidades</w:t>
            </w:r>
            <w:r>
              <w:rPr>
                <w:spacing w:val="-15"/>
                <w:sz w:val="18"/>
              </w:rPr>
              <w:t> </w:t>
            </w:r>
            <w:r>
              <w:rPr>
                <w:sz w:val="18"/>
              </w:rPr>
              <w:t>que</w:t>
            </w:r>
            <w:r>
              <w:rPr>
                <w:spacing w:val="-12"/>
                <w:sz w:val="18"/>
              </w:rPr>
              <w:t> </w:t>
            </w:r>
            <w:r>
              <w:rPr>
                <w:sz w:val="18"/>
              </w:rPr>
              <w:t>utilizan la herramienta </w:t>
            </w:r>
            <w:r>
              <w:rPr>
                <w:spacing w:val="-2"/>
                <w:sz w:val="18"/>
              </w:rPr>
              <w:t>contable</w:t>
            </w:r>
          </w:p>
        </w:tc>
        <w:tc>
          <w:tcPr>
            <w:tcW w:w="1843" w:type="dxa"/>
          </w:tcPr>
          <w:p>
            <w:pPr>
              <w:pStyle w:val="TableParagraph"/>
              <w:spacing w:before="137"/>
              <w:rPr>
                <w:b/>
                <w:sz w:val="18"/>
              </w:rPr>
            </w:pPr>
          </w:p>
          <w:p>
            <w:pPr>
              <w:pStyle w:val="TableParagraph"/>
              <w:spacing w:before="1"/>
              <w:ind w:left="10" w:right="2"/>
              <w:jc w:val="center"/>
              <w:rPr>
                <w:sz w:val="18"/>
              </w:rPr>
            </w:pPr>
            <w:r>
              <w:rPr>
                <w:sz w:val="18"/>
              </w:rPr>
              <w:t>Reportes</w:t>
            </w:r>
            <w:r>
              <w:rPr>
                <w:spacing w:val="-4"/>
                <w:sz w:val="18"/>
              </w:rPr>
              <w:t> </w:t>
            </w:r>
            <w:r>
              <w:rPr>
                <w:sz w:val="18"/>
              </w:rPr>
              <w:t>del</w:t>
            </w:r>
            <w:r>
              <w:rPr>
                <w:spacing w:val="-1"/>
                <w:sz w:val="18"/>
              </w:rPr>
              <w:t> </w:t>
            </w:r>
            <w:r>
              <w:rPr>
                <w:spacing w:val="-2"/>
                <w:sz w:val="18"/>
              </w:rPr>
              <w:t>sistema</w:t>
            </w:r>
          </w:p>
        </w:tc>
        <w:tc>
          <w:tcPr>
            <w:tcW w:w="1416" w:type="dxa"/>
          </w:tcPr>
          <w:p>
            <w:pPr>
              <w:pStyle w:val="TableParagraph"/>
              <w:spacing w:before="137"/>
              <w:rPr>
                <w:b/>
                <w:sz w:val="18"/>
              </w:rPr>
            </w:pPr>
          </w:p>
          <w:p>
            <w:pPr>
              <w:pStyle w:val="TableParagraph"/>
              <w:spacing w:before="1"/>
              <w:ind w:left="74"/>
              <w:rPr>
                <w:sz w:val="18"/>
              </w:rPr>
            </w:pPr>
            <w:r>
              <w:rPr>
                <w:spacing w:val="-5"/>
                <w:sz w:val="18"/>
              </w:rPr>
              <w:t>DAF</w:t>
            </w:r>
          </w:p>
        </w:tc>
        <w:tc>
          <w:tcPr>
            <w:tcW w:w="1560" w:type="dxa"/>
          </w:tcPr>
          <w:p>
            <w:pPr>
              <w:pStyle w:val="TableParagraph"/>
              <w:rPr>
                <w:rFonts w:ascii="Times New Roman"/>
                <w:sz w:val="18"/>
              </w:rPr>
            </w:pPr>
          </w:p>
        </w:tc>
        <w:tc>
          <w:tcPr>
            <w:tcW w:w="2064" w:type="dxa"/>
            <w:vMerge/>
            <w:tcBorders>
              <w:top w:val="nil"/>
            </w:tcBorders>
          </w:tcPr>
          <w:p>
            <w:pPr>
              <w:rPr>
                <w:sz w:val="2"/>
                <w:szCs w:val="2"/>
              </w:rPr>
            </w:pPr>
          </w:p>
        </w:tc>
      </w:tr>
    </w:tbl>
    <w:p>
      <w:pPr>
        <w:pStyle w:val="BodyText"/>
        <w:rPr>
          <w:b/>
          <w:sz w:val="20"/>
        </w:rPr>
      </w:pPr>
    </w:p>
    <w:p>
      <w:pPr>
        <w:pStyle w:val="BodyText"/>
        <w:spacing w:before="187" w:after="1"/>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5"/>
        <w:gridCol w:w="1354"/>
        <w:gridCol w:w="1411"/>
        <w:gridCol w:w="1858"/>
        <w:gridCol w:w="1695"/>
        <w:gridCol w:w="1460"/>
        <w:gridCol w:w="1767"/>
        <w:gridCol w:w="2775"/>
      </w:tblGrid>
      <w:tr>
        <w:trPr>
          <w:trHeight w:val="762" w:hRule="atLeast"/>
        </w:trPr>
        <w:tc>
          <w:tcPr>
            <w:tcW w:w="2075" w:type="dxa"/>
            <w:shd w:val="clear" w:color="auto" w:fill="E7E6E6"/>
          </w:tcPr>
          <w:p>
            <w:pPr>
              <w:pStyle w:val="TableParagraph"/>
              <w:spacing w:line="244" w:lineRule="auto" w:before="171"/>
              <w:ind w:left="552" w:right="61" w:firstLine="24"/>
              <w:rPr>
                <w:b/>
                <w:sz w:val="18"/>
              </w:rPr>
            </w:pPr>
            <w:r>
              <w:rPr>
                <w:b/>
                <w:sz w:val="18"/>
              </w:rPr>
              <w:t>Objetivos</w:t>
            </w:r>
            <w:r>
              <w:rPr>
                <w:b/>
                <w:spacing w:val="-7"/>
                <w:sz w:val="18"/>
              </w:rPr>
              <w:t> </w:t>
            </w:r>
            <w:r>
              <w:rPr>
                <w:b/>
                <w:sz w:val="18"/>
              </w:rPr>
              <w:t>/ </w:t>
            </w:r>
            <w:r>
              <w:rPr>
                <w:b/>
                <w:spacing w:val="-2"/>
                <w:sz w:val="18"/>
              </w:rPr>
              <w:t>Resultados</w:t>
            </w:r>
          </w:p>
        </w:tc>
        <w:tc>
          <w:tcPr>
            <w:tcW w:w="1354" w:type="dxa"/>
            <w:shd w:val="clear" w:color="auto" w:fill="E7E6E6"/>
          </w:tcPr>
          <w:p>
            <w:pPr>
              <w:pStyle w:val="TableParagraph"/>
              <w:spacing w:line="244" w:lineRule="auto" w:before="171"/>
              <w:ind w:left="412" w:hanging="216"/>
              <w:rPr>
                <w:b/>
                <w:sz w:val="18"/>
              </w:rPr>
            </w:pPr>
            <w:r>
              <w:rPr>
                <w:b/>
                <w:sz w:val="18"/>
              </w:rPr>
              <w:t>Línea</w:t>
            </w:r>
            <w:r>
              <w:rPr>
                <w:b/>
                <w:spacing w:val="-13"/>
                <w:sz w:val="18"/>
              </w:rPr>
              <w:t> </w:t>
            </w:r>
            <w:r>
              <w:rPr>
                <w:b/>
                <w:sz w:val="18"/>
              </w:rPr>
              <w:t>Base </w:t>
            </w:r>
            <w:r>
              <w:rPr>
                <w:b/>
                <w:spacing w:val="-2"/>
                <w:sz w:val="18"/>
              </w:rPr>
              <w:t>(2024)</w:t>
            </w:r>
          </w:p>
        </w:tc>
        <w:tc>
          <w:tcPr>
            <w:tcW w:w="1411" w:type="dxa"/>
            <w:shd w:val="clear" w:color="auto" w:fill="E7E6E6"/>
          </w:tcPr>
          <w:p>
            <w:pPr>
              <w:pStyle w:val="TableParagraph"/>
              <w:spacing w:before="71"/>
              <w:ind w:left="181" w:right="170" w:hanging="10"/>
              <w:jc w:val="center"/>
              <w:rPr>
                <w:b/>
                <w:sz w:val="18"/>
              </w:rPr>
            </w:pPr>
            <w:r>
              <w:rPr>
                <w:b/>
                <w:spacing w:val="-4"/>
                <w:sz w:val="18"/>
              </w:rPr>
              <w:t>Meta </w:t>
            </w:r>
            <w:r>
              <w:rPr>
                <w:b/>
                <w:spacing w:val="-2"/>
                <w:sz w:val="18"/>
              </w:rPr>
              <w:t>programada </w:t>
            </w:r>
            <w:r>
              <w:rPr>
                <w:b/>
                <w:spacing w:val="-4"/>
                <w:sz w:val="18"/>
              </w:rPr>
              <w:t>2026</w:t>
            </w:r>
          </w:p>
        </w:tc>
        <w:tc>
          <w:tcPr>
            <w:tcW w:w="1858" w:type="dxa"/>
            <w:shd w:val="clear" w:color="auto" w:fill="E7E6E6"/>
          </w:tcPr>
          <w:p>
            <w:pPr>
              <w:pStyle w:val="TableParagraph"/>
              <w:spacing w:before="70"/>
              <w:rPr>
                <w:b/>
                <w:sz w:val="18"/>
              </w:rPr>
            </w:pPr>
          </w:p>
          <w:p>
            <w:pPr>
              <w:pStyle w:val="TableParagraph"/>
              <w:ind w:left="523"/>
              <w:rPr>
                <w:b/>
                <w:sz w:val="18"/>
              </w:rPr>
            </w:pPr>
            <w:r>
              <w:rPr>
                <w:b/>
                <w:spacing w:val="-2"/>
                <w:sz w:val="18"/>
              </w:rPr>
              <w:t>Indicador</w:t>
            </w:r>
          </w:p>
        </w:tc>
        <w:tc>
          <w:tcPr>
            <w:tcW w:w="1695" w:type="dxa"/>
            <w:shd w:val="clear" w:color="auto" w:fill="E7E6E6"/>
          </w:tcPr>
          <w:p>
            <w:pPr>
              <w:pStyle w:val="TableParagraph"/>
              <w:spacing w:line="244" w:lineRule="auto" w:before="171"/>
              <w:ind w:left="345" w:firstLine="57"/>
              <w:rPr>
                <w:b/>
                <w:sz w:val="18"/>
              </w:rPr>
            </w:pPr>
            <w:r>
              <w:rPr>
                <w:b/>
                <w:sz w:val="18"/>
              </w:rPr>
              <w:t>Medios de </w:t>
            </w:r>
            <w:r>
              <w:rPr>
                <w:b/>
                <w:spacing w:val="-2"/>
                <w:sz w:val="18"/>
              </w:rPr>
              <w:t>verificación</w:t>
            </w:r>
          </w:p>
        </w:tc>
        <w:tc>
          <w:tcPr>
            <w:tcW w:w="1460" w:type="dxa"/>
            <w:shd w:val="clear" w:color="auto" w:fill="E7E6E6"/>
          </w:tcPr>
          <w:p>
            <w:pPr>
              <w:pStyle w:val="TableParagraph"/>
              <w:spacing w:before="70"/>
              <w:rPr>
                <w:b/>
                <w:sz w:val="18"/>
              </w:rPr>
            </w:pPr>
          </w:p>
          <w:p>
            <w:pPr>
              <w:pStyle w:val="TableParagraph"/>
              <w:ind w:left="168"/>
              <w:rPr>
                <w:b/>
                <w:sz w:val="18"/>
              </w:rPr>
            </w:pPr>
            <w:r>
              <w:rPr>
                <w:b/>
                <w:spacing w:val="-2"/>
                <w:sz w:val="18"/>
              </w:rPr>
              <w:t>Responsable</w:t>
            </w:r>
          </w:p>
        </w:tc>
        <w:tc>
          <w:tcPr>
            <w:tcW w:w="1767" w:type="dxa"/>
            <w:shd w:val="clear" w:color="auto" w:fill="E7E6E6"/>
          </w:tcPr>
          <w:p>
            <w:pPr>
              <w:pStyle w:val="TableParagraph"/>
              <w:spacing w:line="244" w:lineRule="auto" w:before="171"/>
              <w:ind w:left="489" w:hanging="154"/>
              <w:rPr>
                <w:b/>
                <w:sz w:val="18"/>
              </w:rPr>
            </w:pPr>
            <w:r>
              <w:rPr>
                <w:b/>
                <w:spacing w:val="-2"/>
                <w:sz w:val="18"/>
              </w:rPr>
              <w:t>Presupuesto asignado</w:t>
            </w:r>
          </w:p>
        </w:tc>
        <w:tc>
          <w:tcPr>
            <w:tcW w:w="2775" w:type="dxa"/>
            <w:shd w:val="clear" w:color="auto" w:fill="E7E6E6"/>
          </w:tcPr>
          <w:p>
            <w:pPr>
              <w:pStyle w:val="TableParagraph"/>
              <w:spacing w:before="70"/>
              <w:rPr>
                <w:b/>
                <w:sz w:val="18"/>
              </w:rPr>
            </w:pPr>
          </w:p>
          <w:p>
            <w:pPr>
              <w:pStyle w:val="TableParagraph"/>
              <w:ind w:left="19" w:right="6"/>
              <w:jc w:val="center"/>
              <w:rPr>
                <w:b/>
                <w:sz w:val="18"/>
              </w:rPr>
            </w:pPr>
            <w:r>
              <w:rPr>
                <w:b/>
                <w:spacing w:val="-2"/>
                <w:sz w:val="18"/>
              </w:rPr>
              <w:t>Riesgos</w:t>
            </w:r>
          </w:p>
        </w:tc>
      </w:tr>
      <w:tr>
        <w:trPr>
          <w:trHeight w:val="691" w:hRule="atLeast"/>
        </w:trPr>
        <w:tc>
          <w:tcPr>
            <w:tcW w:w="14395" w:type="dxa"/>
            <w:gridSpan w:val="8"/>
            <w:shd w:val="clear" w:color="auto" w:fill="F1F1F1"/>
          </w:tcPr>
          <w:p>
            <w:pPr>
              <w:pStyle w:val="TableParagraph"/>
              <w:spacing w:before="138"/>
              <w:ind w:left="72" w:right="23"/>
              <w:rPr>
                <w:b/>
                <w:sz w:val="18"/>
              </w:rPr>
            </w:pPr>
            <w:r>
              <w:rPr>
                <w:b/>
                <w:sz w:val="18"/>
              </w:rPr>
              <w:t>Efecto:</w:t>
            </w:r>
            <w:r>
              <w:rPr>
                <w:b/>
                <w:spacing w:val="-2"/>
                <w:sz w:val="18"/>
              </w:rPr>
              <w:t> </w:t>
            </w:r>
            <w:r>
              <w:rPr>
                <w:b/>
                <w:sz w:val="18"/>
              </w:rPr>
              <w:t>Realizar una efectiva gestión</w:t>
            </w:r>
            <w:r>
              <w:rPr>
                <w:b/>
                <w:spacing w:val="-5"/>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4"/>
                <w:sz w:val="18"/>
              </w:rPr>
              <w:t> </w:t>
            </w:r>
            <w:r>
              <w:rPr>
                <w:b/>
                <w:sz w:val="18"/>
              </w:rPr>
              <w:t>y</w:t>
            </w:r>
            <w:r>
              <w:rPr>
                <w:b/>
                <w:spacing w:val="-4"/>
                <w:sz w:val="18"/>
              </w:rPr>
              <w:t> </w:t>
            </w:r>
            <w:r>
              <w:rPr>
                <w:b/>
                <w:sz w:val="18"/>
              </w:rPr>
              <w:t>tecnológicos, con el</w:t>
            </w:r>
            <w:r>
              <w:rPr>
                <w:b/>
                <w:spacing w:val="-2"/>
                <w:sz w:val="18"/>
              </w:rPr>
              <w:t> </w:t>
            </w:r>
            <w:r>
              <w:rPr>
                <w:b/>
                <w:sz w:val="18"/>
              </w:rPr>
              <w:t>fin</w:t>
            </w:r>
            <w:r>
              <w:rPr>
                <w:b/>
                <w:spacing w:val="-5"/>
                <w:sz w:val="18"/>
              </w:rPr>
              <w:t> </w:t>
            </w:r>
            <w:r>
              <w:rPr>
                <w:b/>
                <w:sz w:val="18"/>
              </w:rPr>
              <w:t>de contribuir</w:t>
            </w:r>
            <w:r>
              <w:rPr>
                <w:b/>
                <w:spacing w:val="-3"/>
                <w:sz w:val="18"/>
              </w:rPr>
              <w:t> </w:t>
            </w:r>
            <w:r>
              <w:rPr>
                <w:b/>
                <w:sz w:val="18"/>
              </w:rPr>
              <w:t>con</w:t>
            </w:r>
            <w:r>
              <w:rPr>
                <w:b/>
                <w:spacing w:val="-5"/>
                <w:sz w:val="18"/>
              </w:rPr>
              <w:t> </w:t>
            </w:r>
            <w:r>
              <w:rPr>
                <w:b/>
                <w:sz w:val="18"/>
              </w:rPr>
              <w:t>la</w:t>
            </w:r>
            <w:r>
              <w:rPr>
                <w:b/>
                <w:spacing w:val="-4"/>
                <w:sz w:val="18"/>
              </w:rPr>
              <w:t> </w:t>
            </w:r>
            <w:r>
              <w:rPr>
                <w:b/>
                <w:sz w:val="18"/>
              </w:rPr>
              <w:t>institucionalización de</w:t>
            </w:r>
            <w:r>
              <w:rPr>
                <w:b/>
                <w:spacing w:val="-4"/>
                <w:sz w:val="18"/>
              </w:rPr>
              <w:t> </w:t>
            </w:r>
            <w:r>
              <w:rPr>
                <w:b/>
                <w:sz w:val="18"/>
              </w:rPr>
              <w:t>la estrategia de intervención de la población en situación de pobreza y pobreza extrema.</w:t>
            </w:r>
          </w:p>
        </w:tc>
      </w:tr>
      <w:tr>
        <w:trPr>
          <w:trHeight w:val="421" w:hRule="atLeast"/>
        </w:trPr>
        <w:tc>
          <w:tcPr>
            <w:tcW w:w="14395" w:type="dxa"/>
            <w:gridSpan w:val="8"/>
            <w:shd w:val="clear" w:color="auto" w:fill="EFF8F9"/>
          </w:tcPr>
          <w:p>
            <w:pPr>
              <w:pStyle w:val="TableParagraph"/>
              <w:spacing w:before="104"/>
              <w:ind w:left="72"/>
              <w:rPr>
                <w:b/>
                <w:sz w:val="18"/>
              </w:rPr>
            </w:pPr>
            <w:r>
              <w:rPr>
                <w:b/>
                <w:sz w:val="18"/>
              </w:rPr>
              <w:t>Producto</w:t>
            </w:r>
            <w:r>
              <w:rPr>
                <w:b/>
                <w:spacing w:val="-8"/>
                <w:sz w:val="18"/>
              </w:rPr>
              <w:t> </w:t>
            </w:r>
            <w:r>
              <w:rPr>
                <w:b/>
                <w:sz w:val="18"/>
              </w:rPr>
              <w:t>PAC</w:t>
            </w:r>
            <w:r>
              <w:rPr>
                <w:b/>
                <w:spacing w:val="-9"/>
                <w:sz w:val="18"/>
              </w:rPr>
              <w:t> </w:t>
            </w:r>
            <w:r>
              <w:rPr>
                <w:b/>
                <w:sz w:val="18"/>
              </w:rPr>
              <w:t>2:38:</w:t>
            </w:r>
            <w:r>
              <w:rPr>
                <w:b/>
                <w:spacing w:val="-5"/>
                <w:sz w:val="18"/>
              </w:rPr>
              <w:t> </w:t>
            </w:r>
            <w:r>
              <w:rPr>
                <w:b/>
                <w:sz w:val="18"/>
              </w:rPr>
              <w:t>Proceso</w:t>
            </w:r>
            <w:r>
              <w:rPr>
                <w:b/>
                <w:spacing w:val="-3"/>
                <w:sz w:val="18"/>
              </w:rPr>
              <w:t> </w:t>
            </w:r>
            <w:r>
              <w:rPr>
                <w:b/>
                <w:sz w:val="18"/>
              </w:rPr>
              <w:t>Archivo:</w:t>
            </w:r>
            <w:r>
              <w:rPr>
                <w:b/>
                <w:spacing w:val="-4"/>
                <w:sz w:val="18"/>
              </w:rPr>
              <w:t> </w:t>
            </w:r>
            <w:r>
              <w:rPr>
                <w:b/>
                <w:sz w:val="18"/>
              </w:rPr>
              <w:t>fortalecido</w:t>
            </w:r>
            <w:r>
              <w:rPr>
                <w:b/>
                <w:spacing w:val="-8"/>
                <w:sz w:val="18"/>
              </w:rPr>
              <w:t> </w:t>
            </w:r>
            <w:r>
              <w:rPr>
                <w:b/>
                <w:sz w:val="18"/>
              </w:rPr>
              <w:t>para</w:t>
            </w:r>
            <w:r>
              <w:rPr>
                <w:b/>
                <w:spacing w:val="-7"/>
                <w:sz w:val="18"/>
              </w:rPr>
              <w:t> </w:t>
            </w:r>
            <w:r>
              <w:rPr>
                <w:b/>
                <w:sz w:val="18"/>
              </w:rPr>
              <w:t>el</w:t>
            </w:r>
            <w:r>
              <w:rPr>
                <w:b/>
                <w:spacing w:val="-5"/>
                <w:sz w:val="18"/>
              </w:rPr>
              <w:t> </w:t>
            </w:r>
            <w:r>
              <w:rPr>
                <w:b/>
                <w:sz w:val="18"/>
              </w:rPr>
              <w:t>correcto</w:t>
            </w:r>
            <w:r>
              <w:rPr>
                <w:b/>
                <w:spacing w:val="-7"/>
                <w:sz w:val="18"/>
              </w:rPr>
              <w:t> </w:t>
            </w:r>
            <w:r>
              <w:rPr>
                <w:b/>
                <w:sz w:val="18"/>
              </w:rPr>
              <w:t>resguardo,</w:t>
            </w:r>
            <w:r>
              <w:rPr>
                <w:b/>
                <w:spacing w:val="-5"/>
                <w:sz w:val="18"/>
              </w:rPr>
              <w:t> </w:t>
            </w:r>
            <w:r>
              <w:rPr>
                <w:b/>
                <w:sz w:val="18"/>
              </w:rPr>
              <w:t>conservación</w:t>
            </w:r>
            <w:r>
              <w:rPr>
                <w:b/>
                <w:spacing w:val="-3"/>
                <w:sz w:val="18"/>
              </w:rPr>
              <w:t> </w:t>
            </w:r>
            <w:r>
              <w:rPr>
                <w:b/>
                <w:sz w:val="18"/>
              </w:rPr>
              <w:t>y</w:t>
            </w:r>
            <w:r>
              <w:rPr>
                <w:b/>
                <w:spacing w:val="-7"/>
                <w:sz w:val="18"/>
              </w:rPr>
              <w:t> </w:t>
            </w:r>
            <w:r>
              <w:rPr>
                <w:b/>
                <w:sz w:val="18"/>
              </w:rPr>
              <w:t>eliminación</w:t>
            </w:r>
            <w:r>
              <w:rPr>
                <w:b/>
                <w:spacing w:val="-3"/>
                <w:sz w:val="18"/>
              </w:rPr>
              <w:t> </w:t>
            </w:r>
            <w:r>
              <w:rPr>
                <w:b/>
                <w:sz w:val="18"/>
              </w:rPr>
              <w:t>de</w:t>
            </w:r>
            <w:r>
              <w:rPr>
                <w:b/>
                <w:spacing w:val="-11"/>
                <w:sz w:val="18"/>
              </w:rPr>
              <w:t> </w:t>
            </w:r>
            <w:r>
              <w:rPr>
                <w:b/>
                <w:sz w:val="18"/>
              </w:rPr>
              <w:t>los</w:t>
            </w:r>
            <w:r>
              <w:rPr>
                <w:b/>
                <w:spacing w:val="-7"/>
                <w:sz w:val="18"/>
              </w:rPr>
              <w:t> </w:t>
            </w:r>
            <w:r>
              <w:rPr>
                <w:b/>
                <w:sz w:val="18"/>
              </w:rPr>
              <w:t>documentos</w:t>
            </w:r>
            <w:r>
              <w:rPr>
                <w:b/>
                <w:spacing w:val="-7"/>
                <w:sz w:val="18"/>
              </w:rPr>
              <w:t> </w:t>
            </w:r>
            <w:r>
              <w:rPr>
                <w:b/>
                <w:sz w:val="18"/>
              </w:rPr>
              <w:t>e</w:t>
            </w:r>
            <w:r>
              <w:rPr>
                <w:b/>
                <w:spacing w:val="-6"/>
                <w:sz w:val="18"/>
              </w:rPr>
              <w:t> </w:t>
            </w:r>
            <w:r>
              <w:rPr>
                <w:b/>
                <w:spacing w:val="-2"/>
                <w:sz w:val="18"/>
              </w:rPr>
              <w:t>información.</w:t>
            </w:r>
          </w:p>
        </w:tc>
      </w:tr>
    </w:tbl>
    <w:p>
      <w:pPr>
        <w:pStyle w:val="TableParagraph"/>
        <w:spacing w:after="0"/>
        <w:rPr>
          <w:b/>
          <w:sz w:val="18"/>
        </w:rPr>
        <w:sectPr>
          <w:type w:val="continuous"/>
          <w:pgSz w:w="15840" w:h="12240" w:orient="landscape"/>
          <w:pgMar w:header="0" w:footer="1806" w:top="700" w:bottom="3102"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5"/>
        <w:gridCol w:w="1354"/>
        <w:gridCol w:w="1411"/>
        <w:gridCol w:w="1858"/>
        <w:gridCol w:w="1695"/>
        <w:gridCol w:w="1460"/>
        <w:gridCol w:w="1767"/>
        <w:gridCol w:w="2775"/>
      </w:tblGrid>
      <w:tr>
        <w:trPr>
          <w:trHeight w:val="762" w:hRule="atLeast"/>
        </w:trPr>
        <w:tc>
          <w:tcPr>
            <w:tcW w:w="2075" w:type="dxa"/>
            <w:shd w:val="clear" w:color="auto" w:fill="E7E6E6"/>
          </w:tcPr>
          <w:p>
            <w:pPr>
              <w:pStyle w:val="TableParagraph"/>
              <w:spacing w:before="176"/>
              <w:ind w:left="552" w:right="61" w:firstLine="24"/>
              <w:rPr>
                <w:b/>
                <w:sz w:val="18"/>
              </w:rPr>
            </w:pPr>
            <w:r>
              <w:rPr>
                <w:b/>
                <w:sz w:val="18"/>
              </w:rPr>
              <w:t>Objetivos</w:t>
            </w:r>
            <w:r>
              <w:rPr>
                <w:b/>
                <w:spacing w:val="-7"/>
                <w:sz w:val="18"/>
              </w:rPr>
              <w:t> </w:t>
            </w:r>
            <w:r>
              <w:rPr>
                <w:b/>
                <w:sz w:val="18"/>
              </w:rPr>
              <w:t>/ </w:t>
            </w:r>
            <w:r>
              <w:rPr>
                <w:b/>
                <w:spacing w:val="-2"/>
                <w:sz w:val="18"/>
              </w:rPr>
              <w:t>Resultados</w:t>
            </w:r>
          </w:p>
        </w:tc>
        <w:tc>
          <w:tcPr>
            <w:tcW w:w="1354" w:type="dxa"/>
            <w:shd w:val="clear" w:color="auto" w:fill="E7E6E6"/>
          </w:tcPr>
          <w:p>
            <w:pPr>
              <w:pStyle w:val="TableParagraph"/>
              <w:spacing w:before="176"/>
              <w:ind w:left="412" w:hanging="216"/>
              <w:rPr>
                <w:b/>
                <w:sz w:val="18"/>
              </w:rPr>
            </w:pPr>
            <w:r>
              <w:rPr>
                <w:b/>
                <w:sz w:val="18"/>
              </w:rPr>
              <w:t>Línea</w:t>
            </w:r>
            <w:r>
              <w:rPr>
                <w:b/>
                <w:spacing w:val="-13"/>
                <w:sz w:val="18"/>
              </w:rPr>
              <w:t> </w:t>
            </w:r>
            <w:r>
              <w:rPr>
                <w:b/>
                <w:sz w:val="18"/>
              </w:rPr>
              <w:t>Base </w:t>
            </w:r>
            <w:r>
              <w:rPr>
                <w:b/>
                <w:spacing w:val="-2"/>
                <w:sz w:val="18"/>
              </w:rPr>
              <w:t>(2024)</w:t>
            </w:r>
          </w:p>
        </w:tc>
        <w:tc>
          <w:tcPr>
            <w:tcW w:w="1411" w:type="dxa"/>
            <w:shd w:val="clear" w:color="auto" w:fill="E7E6E6"/>
          </w:tcPr>
          <w:p>
            <w:pPr>
              <w:pStyle w:val="TableParagraph"/>
              <w:spacing w:before="71"/>
              <w:ind w:left="181" w:right="170" w:hanging="10"/>
              <w:jc w:val="center"/>
              <w:rPr>
                <w:b/>
                <w:sz w:val="18"/>
              </w:rPr>
            </w:pPr>
            <w:r>
              <w:rPr>
                <w:b/>
                <w:spacing w:val="-4"/>
                <w:sz w:val="18"/>
              </w:rPr>
              <w:t>Meta </w:t>
            </w:r>
            <w:r>
              <w:rPr>
                <w:b/>
                <w:spacing w:val="-2"/>
                <w:sz w:val="18"/>
              </w:rPr>
              <w:t>programada </w:t>
            </w:r>
            <w:r>
              <w:rPr>
                <w:b/>
                <w:spacing w:val="-4"/>
                <w:sz w:val="18"/>
              </w:rPr>
              <w:t>2026</w:t>
            </w:r>
          </w:p>
        </w:tc>
        <w:tc>
          <w:tcPr>
            <w:tcW w:w="1858" w:type="dxa"/>
            <w:shd w:val="clear" w:color="auto" w:fill="E7E6E6"/>
          </w:tcPr>
          <w:p>
            <w:pPr>
              <w:pStyle w:val="TableParagraph"/>
              <w:spacing w:before="70"/>
              <w:rPr>
                <w:b/>
                <w:sz w:val="18"/>
              </w:rPr>
            </w:pPr>
          </w:p>
          <w:p>
            <w:pPr>
              <w:pStyle w:val="TableParagraph"/>
              <w:ind w:left="523"/>
              <w:rPr>
                <w:b/>
                <w:sz w:val="18"/>
              </w:rPr>
            </w:pPr>
            <w:r>
              <w:rPr>
                <w:b/>
                <w:spacing w:val="-2"/>
                <w:sz w:val="18"/>
              </w:rPr>
              <w:t>Indicador</w:t>
            </w:r>
          </w:p>
        </w:tc>
        <w:tc>
          <w:tcPr>
            <w:tcW w:w="1695" w:type="dxa"/>
            <w:shd w:val="clear" w:color="auto" w:fill="E7E6E6"/>
          </w:tcPr>
          <w:p>
            <w:pPr>
              <w:pStyle w:val="TableParagraph"/>
              <w:spacing w:before="176"/>
              <w:ind w:left="345" w:firstLine="57"/>
              <w:rPr>
                <w:b/>
                <w:sz w:val="18"/>
              </w:rPr>
            </w:pPr>
            <w:r>
              <w:rPr>
                <w:b/>
                <w:sz w:val="18"/>
              </w:rPr>
              <w:t>Medios de </w:t>
            </w:r>
            <w:r>
              <w:rPr>
                <w:b/>
                <w:spacing w:val="-2"/>
                <w:sz w:val="18"/>
              </w:rPr>
              <w:t>verificación</w:t>
            </w:r>
          </w:p>
        </w:tc>
        <w:tc>
          <w:tcPr>
            <w:tcW w:w="1460" w:type="dxa"/>
            <w:shd w:val="clear" w:color="auto" w:fill="E7E6E6"/>
          </w:tcPr>
          <w:p>
            <w:pPr>
              <w:pStyle w:val="TableParagraph"/>
              <w:spacing w:before="70"/>
              <w:rPr>
                <w:b/>
                <w:sz w:val="18"/>
              </w:rPr>
            </w:pPr>
          </w:p>
          <w:p>
            <w:pPr>
              <w:pStyle w:val="TableParagraph"/>
              <w:ind w:left="168"/>
              <w:rPr>
                <w:b/>
                <w:sz w:val="18"/>
              </w:rPr>
            </w:pPr>
            <w:r>
              <w:rPr>
                <w:b/>
                <w:spacing w:val="-2"/>
                <w:sz w:val="18"/>
              </w:rPr>
              <w:t>Responsable</w:t>
            </w:r>
          </w:p>
        </w:tc>
        <w:tc>
          <w:tcPr>
            <w:tcW w:w="1767" w:type="dxa"/>
            <w:shd w:val="clear" w:color="auto" w:fill="E7E6E6"/>
          </w:tcPr>
          <w:p>
            <w:pPr>
              <w:pStyle w:val="TableParagraph"/>
              <w:spacing w:before="176"/>
              <w:ind w:left="489" w:hanging="154"/>
              <w:rPr>
                <w:b/>
                <w:sz w:val="18"/>
              </w:rPr>
            </w:pPr>
            <w:r>
              <w:rPr>
                <w:b/>
                <w:spacing w:val="-2"/>
                <w:sz w:val="18"/>
              </w:rPr>
              <w:t>Presupuesto asignado</w:t>
            </w:r>
          </w:p>
        </w:tc>
        <w:tc>
          <w:tcPr>
            <w:tcW w:w="2775" w:type="dxa"/>
            <w:shd w:val="clear" w:color="auto" w:fill="E7E6E6"/>
          </w:tcPr>
          <w:p>
            <w:pPr>
              <w:pStyle w:val="TableParagraph"/>
              <w:spacing w:before="70"/>
              <w:rPr>
                <w:b/>
                <w:sz w:val="18"/>
              </w:rPr>
            </w:pPr>
          </w:p>
          <w:p>
            <w:pPr>
              <w:pStyle w:val="TableParagraph"/>
              <w:ind w:left="19" w:right="6"/>
              <w:jc w:val="center"/>
              <w:rPr>
                <w:b/>
                <w:sz w:val="18"/>
              </w:rPr>
            </w:pPr>
            <w:r>
              <w:rPr>
                <w:b/>
                <w:spacing w:val="-2"/>
                <w:sz w:val="18"/>
              </w:rPr>
              <w:t>Riesgos</w:t>
            </w:r>
          </w:p>
        </w:tc>
      </w:tr>
      <w:tr>
        <w:trPr>
          <w:trHeight w:val="1243" w:hRule="atLeast"/>
        </w:trPr>
        <w:tc>
          <w:tcPr>
            <w:tcW w:w="2075" w:type="dxa"/>
          </w:tcPr>
          <w:p>
            <w:pPr>
              <w:pStyle w:val="TableParagraph"/>
              <w:spacing w:before="3"/>
              <w:ind w:left="72" w:right="61"/>
              <w:rPr>
                <w:sz w:val="18"/>
              </w:rPr>
            </w:pPr>
            <w:r>
              <w:rPr>
                <w:b/>
                <w:sz w:val="18"/>
              </w:rPr>
              <w:t>Actividad</w:t>
            </w:r>
            <w:r>
              <w:rPr>
                <w:b/>
                <w:spacing w:val="-8"/>
                <w:sz w:val="18"/>
              </w:rPr>
              <w:t> </w:t>
            </w:r>
            <w:r>
              <w:rPr>
                <w:b/>
                <w:sz w:val="18"/>
              </w:rPr>
              <w:t>PAC</w:t>
            </w:r>
            <w:r>
              <w:rPr>
                <w:b/>
                <w:spacing w:val="-5"/>
                <w:sz w:val="18"/>
              </w:rPr>
              <w:t> </w:t>
            </w:r>
            <w:r>
              <w:rPr>
                <w:b/>
                <w:sz w:val="18"/>
              </w:rPr>
              <w:t>2.38.1</w:t>
            </w:r>
            <w:r>
              <w:rPr>
                <w:sz w:val="18"/>
              </w:rPr>
              <w:t>: Seleccionar y eliminar expedientes inactivos </w:t>
            </w:r>
            <w:r>
              <w:rPr>
                <w:spacing w:val="-2"/>
                <w:sz w:val="18"/>
              </w:rPr>
              <w:t>individuales</w:t>
            </w:r>
          </w:p>
          <w:p>
            <w:pPr>
              <w:pStyle w:val="TableParagraph"/>
              <w:spacing w:line="206" w:lineRule="exact"/>
              <w:ind w:left="72" w:right="61"/>
              <w:rPr>
                <w:sz w:val="18"/>
              </w:rPr>
            </w:pPr>
            <w:r>
              <w:rPr>
                <w:sz w:val="18"/>
              </w:rPr>
              <w:t>custodiados</w:t>
            </w:r>
            <w:r>
              <w:rPr>
                <w:spacing w:val="-15"/>
                <w:sz w:val="18"/>
              </w:rPr>
              <w:t> </w:t>
            </w:r>
            <w:r>
              <w:rPr>
                <w:sz w:val="18"/>
              </w:rPr>
              <w:t>en</w:t>
            </w:r>
            <w:r>
              <w:rPr>
                <w:spacing w:val="-12"/>
                <w:sz w:val="18"/>
              </w:rPr>
              <w:t> </w:t>
            </w:r>
            <w:r>
              <w:rPr>
                <w:sz w:val="18"/>
              </w:rPr>
              <w:t>Archivo </w:t>
            </w:r>
            <w:r>
              <w:rPr>
                <w:spacing w:val="-2"/>
                <w:sz w:val="18"/>
              </w:rPr>
              <w:t>Central.</w:t>
            </w:r>
          </w:p>
        </w:tc>
        <w:tc>
          <w:tcPr>
            <w:tcW w:w="1354" w:type="dxa"/>
          </w:tcPr>
          <w:p>
            <w:pPr>
              <w:pStyle w:val="TableParagraph"/>
              <w:rPr>
                <w:b/>
                <w:sz w:val="18"/>
              </w:rPr>
            </w:pPr>
          </w:p>
          <w:p>
            <w:pPr>
              <w:pStyle w:val="TableParagraph"/>
              <w:spacing w:before="104"/>
              <w:rPr>
                <w:b/>
                <w:sz w:val="18"/>
              </w:rPr>
            </w:pPr>
          </w:p>
          <w:p>
            <w:pPr>
              <w:pStyle w:val="TableParagraph"/>
              <w:ind w:right="55"/>
              <w:jc w:val="right"/>
              <w:rPr>
                <w:sz w:val="18"/>
              </w:rPr>
            </w:pPr>
            <w:r>
              <w:rPr>
                <w:sz w:val="18"/>
              </w:rPr>
              <w:t>6</w:t>
            </w:r>
            <w:r>
              <w:rPr>
                <w:spacing w:val="2"/>
                <w:sz w:val="18"/>
              </w:rPr>
              <w:t> </w:t>
            </w:r>
            <w:r>
              <w:rPr>
                <w:spacing w:val="-5"/>
                <w:sz w:val="18"/>
              </w:rPr>
              <w:t>000</w:t>
            </w:r>
          </w:p>
        </w:tc>
        <w:tc>
          <w:tcPr>
            <w:tcW w:w="1411" w:type="dxa"/>
          </w:tcPr>
          <w:p>
            <w:pPr>
              <w:pStyle w:val="TableParagraph"/>
              <w:rPr>
                <w:b/>
                <w:sz w:val="18"/>
              </w:rPr>
            </w:pPr>
          </w:p>
          <w:p>
            <w:pPr>
              <w:pStyle w:val="TableParagraph"/>
              <w:spacing w:before="104"/>
              <w:rPr>
                <w:b/>
                <w:sz w:val="18"/>
              </w:rPr>
            </w:pPr>
          </w:p>
          <w:p>
            <w:pPr>
              <w:pStyle w:val="TableParagraph"/>
              <w:ind w:right="55"/>
              <w:jc w:val="right"/>
              <w:rPr>
                <w:sz w:val="18"/>
              </w:rPr>
            </w:pPr>
            <w:r>
              <w:rPr>
                <w:sz w:val="18"/>
              </w:rPr>
              <w:t>9</w:t>
            </w:r>
            <w:r>
              <w:rPr>
                <w:spacing w:val="2"/>
                <w:sz w:val="18"/>
              </w:rPr>
              <w:t> </w:t>
            </w:r>
            <w:r>
              <w:rPr>
                <w:spacing w:val="-5"/>
                <w:sz w:val="18"/>
              </w:rPr>
              <w:t>600</w:t>
            </w:r>
          </w:p>
        </w:tc>
        <w:tc>
          <w:tcPr>
            <w:tcW w:w="1858" w:type="dxa"/>
          </w:tcPr>
          <w:p>
            <w:pPr>
              <w:pStyle w:val="TableParagraph"/>
              <w:spacing w:before="3"/>
              <w:rPr>
                <w:b/>
                <w:sz w:val="18"/>
              </w:rPr>
            </w:pPr>
          </w:p>
          <w:p>
            <w:pPr>
              <w:pStyle w:val="TableParagraph"/>
              <w:ind w:left="71" w:right="169"/>
              <w:rPr>
                <w:sz w:val="18"/>
              </w:rPr>
            </w:pPr>
            <w:r>
              <w:rPr>
                <w:sz w:val="18"/>
              </w:rPr>
              <w:t>Cantidad de </w:t>
            </w:r>
            <w:r>
              <w:rPr>
                <w:spacing w:val="-2"/>
                <w:sz w:val="18"/>
              </w:rPr>
              <w:t>expedientes </w:t>
            </w:r>
            <w:r>
              <w:rPr>
                <w:sz w:val="18"/>
              </w:rPr>
              <w:t>inactivos</w:t>
            </w:r>
            <w:r>
              <w:rPr>
                <w:spacing w:val="-13"/>
                <w:sz w:val="18"/>
              </w:rPr>
              <w:t> </w:t>
            </w:r>
            <w:r>
              <w:rPr>
                <w:sz w:val="18"/>
              </w:rPr>
              <w:t>revisados para eliminación</w:t>
            </w:r>
          </w:p>
        </w:tc>
        <w:tc>
          <w:tcPr>
            <w:tcW w:w="1695" w:type="dxa"/>
          </w:tcPr>
          <w:p>
            <w:pPr>
              <w:pStyle w:val="TableParagraph"/>
              <w:spacing w:before="105"/>
              <w:ind w:left="67" w:right="192"/>
              <w:rPr>
                <w:sz w:val="18"/>
              </w:rPr>
            </w:pPr>
            <w:r>
              <w:rPr>
                <w:sz w:val="18"/>
              </w:rPr>
              <w:t>Listados de </w:t>
            </w:r>
            <w:r>
              <w:rPr>
                <w:spacing w:val="-2"/>
                <w:sz w:val="18"/>
              </w:rPr>
              <w:t>expedientes </w:t>
            </w:r>
            <w:r>
              <w:rPr>
                <w:sz w:val="18"/>
              </w:rPr>
              <w:t>revisados</w:t>
            </w:r>
            <w:r>
              <w:rPr>
                <w:spacing w:val="-13"/>
                <w:sz w:val="18"/>
              </w:rPr>
              <w:t> </w:t>
            </w:r>
            <w:r>
              <w:rPr>
                <w:sz w:val="18"/>
              </w:rPr>
              <w:t>y/o Actas de </w:t>
            </w:r>
            <w:r>
              <w:rPr>
                <w:spacing w:val="-2"/>
                <w:sz w:val="18"/>
              </w:rPr>
              <w:t>eliminación</w:t>
            </w:r>
          </w:p>
        </w:tc>
        <w:tc>
          <w:tcPr>
            <w:tcW w:w="1460" w:type="dxa"/>
          </w:tcPr>
          <w:p>
            <w:pPr>
              <w:pStyle w:val="TableParagraph"/>
              <w:spacing w:before="3"/>
              <w:rPr>
                <w:b/>
                <w:sz w:val="18"/>
              </w:rPr>
            </w:pPr>
          </w:p>
          <w:p>
            <w:pPr>
              <w:pStyle w:val="TableParagraph"/>
              <w:ind w:left="67" w:right="145"/>
              <w:rPr>
                <w:sz w:val="18"/>
              </w:rPr>
            </w:pPr>
            <w:r>
              <w:rPr>
                <w:spacing w:val="-2"/>
                <w:sz w:val="18"/>
              </w:rPr>
              <w:t>Departamento Servicios Generales-</w:t>
            </w:r>
            <w:r>
              <w:rPr>
                <w:sz w:val="18"/>
              </w:rPr>
              <w:t>Archivo</w:t>
            </w:r>
            <w:r>
              <w:rPr>
                <w:spacing w:val="-13"/>
                <w:sz w:val="18"/>
              </w:rPr>
              <w:t> </w:t>
            </w:r>
            <w:r>
              <w:rPr>
                <w:sz w:val="18"/>
              </w:rPr>
              <w:t>Central</w:t>
            </w:r>
          </w:p>
        </w:tc>
        <w:tc>
          <w:tcPr>
            <w:tcW w:w="1767" w:type="dxa"/>
          </w:tcPr>
          <w:p>
            <w:pPr>
              <w:pStyle w:val="TableParagraph"/>
              <w:rPr>
                <w:rFonts w:ascii="Times New Roman"/>
                <w:sz w:val="18"/>
              </w:rPr>
            </w:pPr>
          </w:p>
        </w:tc>
        <w:tc>
          <w:tcPr>
            <w:tcW w:w="2775"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33"/>
              <w:rPr>
                <w:b/>
                <w:sz w:val="18"/>
              </w:rPr>
            </w:pPr>
          </w:p>
          <w:p>
            <w:pPr>
              <w:pStyle w:val="TableParagraph"/>
              <w:spacing w:before="1"/>
              <w:ind w:left="71" w:right="158"/>
              <w:jc w:val="both"/>
              <w:rPr>
                <w:b/>
                <w:sz w:val="18"/>
              </w:rPr>
            </w:pPr>
            <w:r>
              <w:rPr>
                <w:b/>
                <w:sz w:val="18"/>
              </w:rPr>
              <w:t>1I Error en</w:t>
            </w:r>
            <w:r>
              <w:rPr>
                <w:b/>
                <w:spacing w:val="-7"/>
                <w:sz w:val="18"/>
              </w:rPr>
              <w:t> </w:t>
            </w:r>
            <w:r>
              <w:rPr>
                <w:b/>
                <w:sz w:val="18"/>
              </w:rPr>
              <w:t>la aplicación</w:t>
            </w:r>
            <w:r>
              <w:rPr>
                <w:b/>
                <w:spacing w:val="-3"/>
                <w:sz w:val="18"/>
              </w:rPr>
              <w:t> </w:t>
            </w:r>
            <w:r>
              <w:rPr>
                <w:b/>
                <w:sz w:val="18"/>
              </w:rPr>
              <w:t>de</w:t>
            </w:r>
            <w:r>
              <w:rPr>
                <w:b/>
                <w:spacing w:val="-2"/>
                <w:sz w:val="18"/>
              </w:rPr>
              <w:t> </w:t>
            </w:r>
            <w:r>
              <w:rPr>
                <w:b/>
                <w:sz w:val="18"/>
              </w:rPr>
              <w:t>la normativa</w:t>
            </w:r>
            <w:r>
              <w:rPr>
                <w:b/>
                <w:spacing w:val="-12"/>
                <w:sz w:val="18"/>
              </w:rPr>
              <w:t> </w:t>
            </w:r>
            <w:r>
              <w:rPr>
                <w:b/>
                <w:sz w:val="18"/>
              </w:rPr>
              <w:t>para</w:t>
            </w:r>
            <w:r>
              <w:rPr>
                <w:b/>
                <w:spacing w:val="-13"/>
                <w:sz w:val="18"/>
              </w:rPr>
              <w:t> </w:t>
            </w:r>
            <w:r>
              <w:rPr>
                <w:b/>
                <w:sz w:val="18"/>
              </w:rPr>
              <w:t>la</w:t>
            </w:r>
            <w:r>
              <w:rPr>
                <w:b/>
                <w:spacing w:val="-11"/>
                <w:sz w:val="18"/>
              </w:rPr>
              <w:t> </w:t>
            </w:r>
            <w:r>
              <w:rPr>
                <w:b/>
                <w:sz w:val="18"/>
              </w:rPr>
              <w:t>eliminación de expedientes inactivos</w:t>
            </w:r>
          </w:p>
          <w:p>
            <w:pPr>
              <w:pStyle w:val="TableParagraph"/>
              <w:numPr>
                <w:ilvl w:val="0"/>
                <w:numId w:val="105"/>
              </w:numPr>
              <w:tabs>
                <w:tab w:pos="281" w:val="left" w:leader="none"/>
              </w:tabs>
              <w:spacing w:line="240" w:lineRule="auto" w:before="0" w:after="0"/>
              <w:ind w:left="71" w:right="149" w:firstLine="0"/>
              <w:jc w:val="left"/>
              <w:rPr>
                <w:b/>
                <w:sz w:val="18"/>
              </w:rPr>
            </w:pPr>
            <w:r>
              <w:rPr>
                <w:b/>
                <w:sz w:val="18"/>
              </w:rPr>
              <w:t>Que el seguimiento de las recomendaciones dadas a cada</w:t>
            </w:r>
            <w:r>
              <w:rPr>
                <w:b/>
                <w:spacing w:val="-4"/>
                <w:sz w:val="18"/>
              </w:rPr>
              <w:t> </w:t>
            </w:r>
            <w:r>
              <w:rPr>
                <w:b/>
                <w:sz w:val="18"/>
              </w:rPr>
              <w:t>oficina</w:t>
            </w:r>
            <w:r>
              <w:rPr>
                <w:b/>
                <w:spacing w:val="-8"/>
                <w:sz w:val="18"/>
              </w:rPr>
              <w:t> </w:t>
            </w:r>
            <w:r>
              <w:rPr>
                <w:b/>
                <w:sz w:val="18"/>
              </w:rPr>
              <w:t>no</w:t>
            </w:r>
            <w:r>
              <w:rPr>
                <w:b/>
                <w:spacing w:val="-9"/>
                <w:sz w:val="18"/>
              </w:rPr>
              <w:t> </w:t>
            </w:r>
            <w:r>
              <w:rPr>
                <w:b/>
                <w:sz w:val="18"/>
              </w:rPr>
              <w:t>sea</w:t>
            </w:r>
            <w:r>
              <w:rPr>
                <w:b/>
                <w:spacing w:val="-8"/>
                <w:sz w:val="18"/>
              </w:rPr>
              <w:t> </w:t>
            </w:r>
            <w:r>
              <w:rPr>
                <w:b/>
                <w:sz w:val="18"/>
              </w:rPr>
              <w:t>efectivo</w:t>
            </w:r>
            <w:r>
              <w:rPr>
                <w:b/>
                <w:spacing w:val="-9"/>
                <w:sz w:val="18"/>
              </w:rPr>
              <w:t> </w:t>
            </w:r>
            <w:r>
              <w:rPr>
                <w:b/>
                <w:sz w:val="18"/>
              </w:rPr>
              <w:t>y el informe de seguimiento carezca de impacto y se continúe incumpliendo la normativa archivística.</w:t>
            </w:r>
          </w:p>
          <w:p>
            <w:pPr>
              <w:pStyle w:val="TableParagraph"/>
              <w:numPr>
                <w:ilvl w:val="0"/>
                <w:numId w:val="105"/>
              </w:numPr>
              <w:tabs>
                <w:tab w:pos="285" w:val="left" w:leader="none"/>
              </w:tabs>
              <w:spacing w:line="240" w:lineRule="auto" w:before="0" w:after="0"/>
              <w:ind w:left="71" w:right="269" w:firstLine="0"/>
              <w:jc w:val="left"/>
              <w:rPr>
                <w:b/>
                <w:sz w:val="18"/>
              </w:rPr>
            </w:pPr>
            <w:r>
              <w:rPr>
                <w:b/>
                <w:sz w:val="18"/>
              </w:rPr>
              <w:t>Error</w:t>
            </w:r>
            <w:r>
              <w:rPr>
                <w:b/>
                <w:spacing w:val="-9"/>
                <w:sz w:val="18"/>
              </w:rPr>
              <w:t> </w:t>
            </w:r>
            <w:r>
              <w:rPr>
                <w:b/>
                <w:sz w:val="18"/>
              </w:rPr>
              <w:t>en</w:t>
            </w:r>
            <w:r>
              <w:rPr>
                <w:b/>
                <w:spacing w:val="-13"/>
                <w:sz w:val="18"/>
              </w:rPr>
              <w:t> </w:t>
            </w:r>
            <w:r>
              <w:rPr>
                <w:b/>
                <w:sz w:val="18"/>
              </w:rPr>
              <w:t>la</w:t>
            </w:r>
            <w:r>
              <w:rPr>
                <w:b/>
                <w:spacing w:val="-7"/>
                <w:sz w:val="18"/>
              </w:rPr>
              <w:t> </w:t>
            </w:r>
            <w:r>
              <w:rPr>
                <w:b/>
                <w:sz w:val="18"/>
              </w:rPr>
              <w:t>verificación</w:t>
            </w:r>
            <w:r>
              <w:rPr>
                <w:b/>
                <w:spacing w:val="-12"/>
                <w:sz w:val="18"/>
              </w:rPr>
              <w:t> </w:t>
            </w:r>
            <w:r>
              <w:rPr>
                <w:b/>
                <w:sz w:val="18"/>
              </w:rPr>
              <w:t>de los documentos recibidos.</w:t>
            </w:r>
          </w:p>
          <w:p>
            <w:pPr>
              <w:pStyle w:val="TableParagraph"/>
              <w:numPr>
                <w:ilvl w:val="0"/>
                <w:numId w:val="105"/>
              </w:numPr>
              <w:tabs>
                <w:tab w:pos="285" w:val="left" w:leader="none"/>
              </w:tabs>
              <w:spacing w:line="240" w:lineRule="auto" w:before="0" w:after="0"/>
              <w:ind w:left="71" w:right="77" w:firstLine="0"/>
              <w:jc w:val="left"/>
              <w:rPr>
                <w:b/>
                <w:sz w:val="18"/>
              </w:rPr>
            </w:pPr>
            <w:r>
              <w:rPr>
                <w:b/>
                <w:sz w:val="18"/>
              </w:rPr>
              <w:t>Error</w:t>
            </w:r>
            <w:r>
              <w:rPr>
                <w:b/>
                <w:spacing w:val="-13"/>
                <w:sz w:val="18"/>
              </w:rPr>
              <w:t> </w:t>
            </w:r>
            <w:r>
              <w:rPr>
                <w:b/>
                <w:sz w:val="18"/>
              </w:rPr>
              <w:t>en</w:t>
            </w:r>
            <w:r>
              <w:rPr>
                <w:b/>
                <w:spacing w:val="-12"/>
                <w:sz w:val="18"/>
              </w:rPr>
              <w:t> </w:t>
            </w:r>
            <w:r>
              <w:rPr>
                <w:b/>
                <w:sz w:val="18"/>
              </w:rPr>
              <w:t>los</w:t>
            </w:r>
            <w:r>
              <w:rPr>
                <w:b/>
                <w:spacing w:val="-13"/>
                <w:sz w:val="18"/>
              </w:rPr>
              <w:t> </w:t>
            </w:r>
            <w:r>
              <w:rPr>
                <w:b/>
                <w:sz w:val="18"/>
              </w:rPr>
              <w:t>procedimientos planteados en la normativa </w:t>
            </w:r>
            <w:r>
              <w:rPr>
                <w:b/>
                <w:spacing w:val="-2"/>
                <w:sz w:val="18"/>
              </w:rPr>
              <w:t>trabajada.</w:t>
            </w:r>
          </w:p>
        </w:tc>
      </w:tr>
      <w:tr>
        <w:trPr>
          <w:trHeight w:val="2074" w:hRule="atLeast"/>
        </w:trPr>
        <w:tc>
          <w:tcPr>
            <w:tcW w:w="2075" w:type="dxa"/>
          </w:tcPr>
          <w:p>
            <w:pPr>
              <w:pStyle w:val="TableParagraph"/>
              <w:ind w:left="72" w:right="61"/>
              <w:rPr>
                <w:sz w:val="18"/>
              </w:rPr>
            </w:pPr>
            <w:r>
              <w:rPr>
                <w:b/>
                <w:sz w:val="18"/>
              </w:rPr>
              <w:t>Actividad PAC 2.38.2: </w:t>
            </w:r>
            <w:r>
              <w:rPr>
                <w:sz w:val="18"/>
              </w:rPr>
              <w:t>Seguimiento de las </w:t>
            </w:r>
            <w:r>
              <w:rPr>
                <w:spacing w:val="-2"/>
                <w:sz w:val="18"/>
              </w:rPr>
              <w:t>recomendaciones </w:t>
            </w:r>
            <w:r>
              <w:rPr>
                <w:sz w:val="18"/>
              </w:rPr>
              <w:t>realizadas mediante informes</w:t>
            </w:r>
            <w:r>
              <w:rPr>
                <w:spacing w:val="-15"/>
                <w:sz w:val="18"/>
              </w:rPr>
              <w:t> </w:t>
            </w:r>
            <w:r>
              <w:rPr>
                <w:sz w:val="18"/>
              </w:rPr>
              <w:t>de</w:t>
            </w:r>
            <w:r>
              <w:rPr>
                <w:spacing w:val="-12"/>
                <w:sz w:val="18"/>
              </w:rPr>
              <w:t> </w:t>
            </w:r>
            <w:r>
              <w:rPr>
                <w:sz w:val="18"/>
              </w:rPr>
              <w:t>supervisión presentados con anterioridad a las oficinas</w:t>
            </w:r>
            <w:r>
              <w:rPr>
                <w:spacing w:val="-9"/>
                <w:sz w:val="18"/>
              </w:rPr>
              <w:t> </w:t>
            </w:r>
            <w:r>
              <w:rPr>
                <w:sz w:val="18"/>
              </w:rPr>
              <w:t>producto</w:t>
            </w:r>
            <w:r>
              <w:rPr>
                <w:spacing w:val="-6"/>
                <w:sz w:val="18"/>
              </w:rPr>
              <w:t> </w:t>
            </w:r>
            <w:r>
              <w:rPr>
                <w:sz w:val="18"/>
              </w:rPr>
              <w:t>de</w:t>
            </w:r>
            <w:r>
              <w:rPr>
                <w:spacing w:val="-9"/>
                <w:sz w:val="18"/>
              </w:rPr>
              <w:t> </w:t>
            </w:r>
            <w:r>
              <w:rPr>
                <w:sz w:val="18"/>
              </w:rPr>
              <w:t>las</w:t>
            </w:r>
          </w:p>
          <w:p>
            <w:pPr>
              <w:pStyle w:val="TableParagraph"/>
              <w:spacing w:line="206" w:lineRule="exact"/>
              <w:ind w:left="72" w:right="61"/>
              <w:rPr>
                <w:sz w:val="18"/>
              </w:rPr>
            </w:pPr>
            <w:r>
              <w:rPr>
                <w:sz w:val="18"/>
              </w:rPr>
              <w:t>visitas</w:t>
            </w:r>
            <w:r>
              <w:rPr>
                <w:spacing w:val="-15"/>
                <w:sz w:val="18"/>
              </w:rPr>
              <w:t> </w:t>
            </w:r>
            <w:r>
              <w:rPr>
                <w:sz w:val="18"/>
              </w:rPr>
              <w:t>efectuadas</w:t>
            </w:r>
            <w:r>
              <w:rPr>
                <w:spacing w:val="-12"/>
                <w:sz w:val="18"/>
              </w:rPr>
              <w:t> </w:t>
            </w:r>
            <w:r>
              <w:rPr>
                <w:sz w:val="18"/>
              </w:rPr>
              <w:t>en periodos anteriores.</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60"/>
              <w:jc w:val="right"/>
              <w:rPr>
                <w:sz w:val="18"/>
              </w:rPr>
            </w:pPr>
            <w:r>
              <w:rPr>
                <w:spacing w:val="-10"/>
                <w:sz w:val="18"/>
              </w:rPr>
              <w:t>0</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7"/>
              <w:jc w:val="right"/>
              <w:rPr>
                <w:sz w:val="18"/>
              </w:rPr>
            </w:pPr>
            <w:r>
              <w:rPr>
                <w:spacing w:val="-4"/>
                <w:sz w:val="18"/>
              </w:rPr>
              <w:t>100%</w:t>
            </w:r>
          </w:p>
        </w:tc>
        <w:tc>
          <w:tcPr>
            <w:tcW w:w="1858" w:type="dxa"/>
          </w:tcPr>
          <w:p>
            <w:pPr>
              <w:pStyle w:val="TableParagraph"/>
              <w:rPr>
                <w:b/>
                <w:sz w:val="18"/>
              </w:rPr>
            </w:pPr>
          </w:p>
          <w:p>
            <w:pPr>
              <w:pStyle w:val="TableParagraph"/>
              <w:rPr>
                <w:b/>
                <w:sz w:val="18"/>
              </w:rPr>
            </w:pPr>
          </w:p>
          <w:p>
            <w:pPr>
              <w:pStyle w:val="TableParagraph"/>
              <w:spacing w:before="103"/>
              <w:rPr>
                <w:b/>
                <w:sz w:val="18"/>
              </w:rPr>
            </w:pPr>
          </w:p>
          <w:p>
            <w:pPr>
              <w:pStyle w:val="TableParagraph"/>
              <w:spacing w:line="242" w:lineRule="auto"/>
              <w:ind w:left="71" w:right="781"/>
              <w:jc w:val="both"/>
              <w:rPr>
                <w:sz w:val="18"/>
              </w:rPr>
            </w:pPr>
            <w:r>
              <w:rPr>
                <w:sz w:val="18"/>
              </w:rPr>
              <w:t>Informes de </w:t>
            </w:r>
            <w:r>
              <w:rPr>
                <w:spacing w:val="-2"/>
                <w:sz w:val="18"/>
              </w:rPr>
              <w:t>supervisión presentados</w:t>
            </w:r>
          </w:p>
        </w:tc>
        <w:tc>
          <w:tcPr>
            <w:tcW w:w="1695" w:type="dxa"/>
          </w:tcPr>
          <w:p>
            <w:pPr>
              <w:pStyle w:val="TableParagraph"/>
              <w:rPr>
                <w:b/>
                <w:sz w:val="18"/>
              </w:rPr>
            </w:pPr>
          </w:p>
          <w:p>
            <w:pPr>
              <w:pStyle w:val="TableParagraph"/>
              <w:rPr>
                <w:b/>
                <w:sz w:val="18"/>
              </w:rPr>
            </w:pPr>
          </w:p>
          <w:p>
            <w:pPr>
              <w:pStyle w:val="TableParagraph"/>
              <w:spacing w:before="103"/>
              <w:rPr>
                <w:b/>
                <w:sz w:val="18"/>
              </w:rPr>
            </w:pPr>
          </w:p>
          <w:p>
            <w:pPr>
              <w:pStyle w:val="TableParagraph"/>
              <w:spacing w:line="242" w:lineRule="auto"/>
              <w:ind w:left="67" w:right="641"/>
              <w:jc w:val="both"/>
              <w:rPr>
                <w:sz w:val="18"/>
              </w:rPr>
            </w:pPr>
            <w:r>
              <w:rPr>
                <w:sz w:val="18"/>
              </w:rPr>
              <w:t>Informes</w:t>
            </w:r>
            <w:r>
              <w:rPr>
                <w:spacing w:val="-13"/>
                <w:sz w:val="18"/>
              </w:rPr>
              <w:t> </w:t>
            </w:r>
            <w:r>
              <w:rPr>
                <w:sz w:val="18"/>
              </w:rPr>
              <w:t>de </w:t>
            </w:r>
            <w:r>
              <w:rPr>
                <w:spacing w:val="-2"/>
                <w:sz w:val="18"/>
              </w:rPr>
              <w:t>seguimiento realizados</w:t>
            </w:r>
          </w:p>
        </w:tc>
        <w:tc>
          <w:tcPr>
            <w:tcW w:w="14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7" w:right="145"/>
              <w:rPr>
                <w:sz w:val="18"/>
              </w:rPr>
            </w:pPr>
            <w:r>
              <w:rPr>
                <w:spacing w:val="-2"/>
                <w:sz w:val="18"/>
              </w:rPr>
              <w:t>Departamento Servicios Generales-</w:t>
            </w:r>
            <w:r>
              <w:rPr>
                <w:sz w:val="18"/>
              </w:rPr>
              <w:t>Archivo</w:t>
            </w:r>
            <w:r>
              <w:rPr>
                <w:spacing w:val="-13"/>
                <w:sz w:val="18"/>
              </w:rPr>
              <w:t> </w:t>
            </w:r>
            <w:r>
              <w:rPr>
                <w:sz w:val="18"/>
              </w:rPr>
              <w:t>Central</w:t>
            </w:r>
          </w:p>
        </w:tc>
        <w:tc>
          <w:tcPr>
            <w:tcW w:w="1767" w:type="dxa"/>
          </w:tcPr>
          <w:p>
            <w:pPr>
              <w:pStyle w:val="TableParagraph"/>
              <w:rPr>
                <w:rFonts w:ascii="Times New Roman"/>
                <w:sz w:val="18"/>
              </w:rPr>
            </w:pPr>
          </w:p>
        </w:tc>
        <w:tc>
          <w:tcPr>
            <w:tcW w:w="2775" w:type="dxa"/>
            <w:vMerge/>
            <w:tcBorders>
              <w:top w:val="nil"/>
            </w:tcBorders>
          </w:tcPr>
          <w:p>
            <w:pPr>
              <w:rPr>
                <w:sz w:val="2"/>
                <w:szCs w:val="2"/>
              </w:rPr>
            </w:pPr>
          </w:p>
        </w:tc>
      </w:tr>
      <w:tr>
        <w:trPr>
          <w:trHeight w:val="1468" w:hRule="atLeast"/>
        </w:trPr>
        <w:tc>
          <w:tcPr>
            <w:tcW w:w="2075" w:type="dxa"/>
          </w:tcPr>
          <w:p>
            <w:pPr>
              <w:pStyle w:val="TableParagraph"/>
              <w:spacing w:before="8"/>
              <w:ind w:left="72" w:right="57"/>
              <w:rPr>
                <w:sz w:val="18"/>
              </w:rPr>
            </w:pPr>
            <w:r>
              <w:rPr>
                <w:b/>
                <w:sz w:val="18"/>
              </w:rPr>
              <w:t>Actividad PAC 2.38.3: </w:t>
            </w:r>
            <w:r>
              <w:rPr>
                <w:sz w:val="18"/>
              </w:rPr>
              <w:t>recibidas de los</w:t>
            </w:r>
            <w:r>
              <w:rPr>
                <w:spacing w:val="40"/>
                <w:sz w:val="18"/>
              </w:rPr>
              <w:t> </w:t>
            </w:r>
            <w:r>
              <w:rPr>
                <w:sz w:val="18"/>
              </w:rPr>
              <w:t>archivos de gestión de Oficinas Centrales producto</w:t>
            </w:r>
            <w:r>
              <w:rPr>
                <w:spacing w:val="-13"/>
                <w:sz w:val="18"/>
              </w:rPr>
              <w:t> </w:t>
            </w:r>
            <w:r>
              <w:rPr>
                <w:sz w:val="18"/>
              </w:rPr>
              <w:t>del</w:t>
            </w:r>
            <w:r>
              <w:rPr>
                <w:spacing w:val="-10"/>
                <w:sz w:val="18"/>
              </w:rPr>
              <w:t> </w:t>
            </w:r>
            <w:r>
              <w:rPr>
                <w:sz w:val="18"/>
              </w:rPr>
              <w:t>proceso</w:t>
            </w:r>
            <w:r>
              <w:rPr>
                <w:spacing w:val="-13"/>
                <w:sz w:val="18"/>
              </w:rPr>
              <w:t> </w:t>
            </w:r>
            <w:r>
              <w:rPr>
                <w:sz w:val="18"/>
              </w:rPr>
              <w:t>de Remisión Anual al</w:t>
            </w:r>
          </w:p>
          <w:p>
            <w:pPr>
              <w:pStyle w:val="TableParagraph"/>
              <w:spacing w:line="197" w:lineRule="exact" w:before="2"/>
              <w:ind w:left="72"/>
              <w:rPr>
                <w:sz w:val="18"/>
              </w:rPr>
            </w:pPr>
            <w:r>
              <w:rPr>
                <w:sz w:val="18"/>
              </w:rPr>
              <w:t>Archivo</w:t>
            </w:r>
            <w:r>
              <w:rPr>
                <w:spacing w:val="-4"/>
                <w:sz w:val="18"/>
              </w:rPr>
              <w:t> </w:t>
            </w:r>
            <w:r>
              <w:rPr>
                <w:spacing w:val="-2"/>
                <w:sz w:val="18"/>
              </w:rPr>
              <w:t>Central.</w:t>
            </w:r>
          </w:p>
        </w:tc>
        <w:tc>
          <w:tcPr>
            <w:tcW w:w="1354" w:type="dxa"/>
          </w:tcPr>
          <w:p>
            <w:pPr>
              <w:pStyle w:val="TableParagraph"/>
              <w:rPr>
                <w:b/>
                <w:sz w:val="18"/>
              </w:rPr>
            </w:pPr>
          </w:p>
          <w:p>
            <w:pPr>
              <w:pStyle w:val="TableParagraph"/>
              <w:rPr>
                <w:b/>
                <w:sz w:val="18"/>
              </w:rPr>
            </w:pPr>
          </w:p>
          <w:p>
            <w:pPr>
              <w:pStyle w:val="TableParagraph"/>
              <w:spacing w:before="7"/>
              <w:rPr>
                <w:b/>
                <w:sz w:val="18"/>
              </w:rPr>
            </w:pPr>
          </w:p>
          <w:p>
            <w:pPr>
              <w:pStyle w:val="TableParagraph"/>
              <w:ind w:right="62"/>
              <w:jc w:val="right"/>
              <w:rPr>
                <w:sz w:val="18"/>
              </w:rPr>
            </w:pPr>
            <w:r>
              <w:rPr>
                <w:spacing w:val="-5"/>
                <w:sz w:val="18"/>
              </w:rPr>
              <w:t>400</w:t>
            </w:r>
          </w:p>
        </w:tc>
        <w:tc>
          <w:tcPr>
            <w:tcW w:w="1411" w:type="dxa"/>
          </w:tcPr>
          <w:p>
            <w:pPr>
              <w:pStyle w:val="TableParagraph"/>
              <w:rPr>
                <w:b/>
                <w:sz w:val="18"/>
              </w:rPr>
            </w:pPr>
          </w:p>
          <w:p>
            <w:pPr>
              <w:pStyle w:val="TableParagraph"/>
              <w:rPr>
                <w:b/>
                <w:sz w:val="18"/>
              </w:rPr>
            </w:pPr>
          </w:p>
          <w:p>
            <w:pPr>
              <w:pStyle w:val="TableParagraph"/>
              <w:spacing w:before="7"/>
              <w:rPr>
                <w:b/>
                <w:sz w:val="18"/>
              </w:rPr>
            </w:pPr>
          </w:p>
          <w:p>
            <w:pPr>
              <w:pStyle w:val="TableParagraph"/>
              <w:ind w:right="60"/>
              <w:jc w:val="right"/>
              <w:rPr>
                <w:sz w:val="18"/>
              </w:rPr>
            </w:pPr>
            <w:r>
              <w:rPr>
                <w:spacing w:val="-5"/>
                <w:sz w:val="18"/>
              </w:rPr>
              <w:t>300</w:t>
            </w:r>
          </w:p>
        </w:tc>
        <w:tc>
          <w:tcPr>
            <w:tcW w:w="1858" w:type="dxa"/>
          </w:tcPr>
          <w:p>
            <w:pPr>
              <w:pStyle w:val="TableParagraph"/>
              <w:rPr>
                <w:b/>
                <w:sz w:val="18"/>
              </w:rPr>
            </w:pPr>
          </w:p>
          <w:p>
            <w:pPr>
              <w:pStyle w:val="TableParagraph"/>
              <w:spacing w:before="113"/>
              <w:rPr>
                <w:b/>
                <w:sz w:val="18"/>
              </w:rPr>
            </w:pPr>
          </w:p>
          <w:p>
            <w:pPr>
              <w:pStyle w:val="TableParagraph"/>
              <w:ind w:left="71"/>
              <w:rPr>
                <w:sz w:val="18"/>
              </w:rPr>
            </w:pPr>
            <w:r>
              <w:rPr>
                <w:sz w:val="18"/>
              </w:rPr>
              <w:t>Cantidad</w:t>
            </w:r>
            <w:r>
              <w:rPr>
                <w:spacing w:val="-15"/>
                <w:sz w:val="18"/>
              </w:rPr>
              <w:t> </w:t>
            </w:r>
            <w:r>
              <w:rPr>
                <w:sz w:val="18"/>
              </w:rPr>
              <w:t>de</w:t>
            </w:r>
            <w:r>
              <w:rPr>
                <w:spacing w:val="-12"/>
                <w:sz w:val="18"/>
              </w:rPr>
              <w:t> </w:t>
            </w:r>
            <w:r>
              <w:rPr>
                <w:sz w:val="18"/>
              </w:rPr>
              <w:t>cajas </w:t>
            </w:r>
            <w:r>
              <w:rPr>
                <w:spacing w:val="-2"/>
                <w:sz w:val="18"/>
              </w:rPr>
              <w:t>cotejadas</w:t>
            </w:r>
          </w:p>
        </w:tc>
        <w:tc>
          <w:tcPr>
            <w:tcW w:w="1695" w:type="dxa"/>
          </w:tcPr>
          <w:p>
            <w:pPr>
              <w:pStyle w:val="TableParagraph"/>
              <w:spacing w:before="113"/>
              <w:rPr>
                <w:b/>
                <w:sz w:val="18"/>
              </w:rPr>
            </w:pPr>
          </w:p>
          <w:p>
            <w:pPr>
              <w:pStyle w:val="TableParagraph"/>
              <w:ind w:left="67"/>
              <w:rPr>
                <w:sz w:val="18"/>
              </w:rPr>
            </w:pPr>
            <w:r>
              <w:rPr>
                <w:sz w:val="18"/>
              </w:rPr>
              <w:t>Listas</w:t>
            </w:r>
            <w:r>
              <w:rPr>
                <w:spacing w:val="-3"/>
                <w:sz w:val="18"/>
              </w:rPr>
              <w:t> </w:t>
            </w:r>
            <w:r>
              <w:rPr>
                <w:sz w:val="18"/>
              </w:rPr>
              <w:t>de</w:t>
            </w:r>
            <w:r>
              <w:rPr>
                <w:spacing w:val="-3"/>
                <w:sz w:val="18"/>
              </w:rPr>
              <w:t> </w:t>
            </w:r>
            <w:r>
              <w:rPr>
                <w:sz w:val="18"/>
              </w:rPr>
              <w:t>remisión recibidas</w:t>
            </w:r>
            <w:r>
              <w:rPr>
                <w:spacing w:val="-15"/>
                <w:sz w:val="18"/>
              </w:rPr>
              <w:t> </w:t>
            </w:r>
            <w:r>
              <w:rPr>
                <w:sz w:val="18"/>
              </w:rPr>
              <w:t>y</w:t>
            </w:r>
            <w:r>
              <w:rPr>
                <w:spacing w:val="-12"/>
                <w:sz w:val="18"/>
              </w:rPr>
              <w:t> </w:t>
            </w:r>
            <w:r>
              <w:rPr>
                <w:sz w:val="18"/>
              </w:rPr>
              <w:t>reporte de resultado del cotejo a la oficina</w:t>
            </w:r>
          </w:p>
        </w:tc>
        <w:tc>
          <w:tcPr>
            <w:tcW w:w="1460" w:type="dxa"/>
          </w:tcPr>
          <w:p>
            <w:pPr>
              <w:pStyle w:val="TableParagraph"/>
              <w:spacing w:before="113"/>
              <w:rPr>
                <w:b/>
                <w:sz w:val="18"/>
              </w:rPr>
            </w:pPr>
          </w:p>
          <w:p>
            <w:pPr>
              <w:pStyle w:val="TableParagraph"/>
              <w:ind w:left="67" w:right="145"/>
              <w:rPr>
                <w:sz w:val="18"/>
              </w:rPr>
            </w:pPr>
            <w:r>
              <w:rPr>
                <w:spacing w:val="-2"/>
                <w:sz w:val="18"/>
              </w:rPr>
              <w:t>Departamento Servicios Generales-</w:t>
            </w:r>
            <w:r>
              <w:rPr>
                <w:sz w:val="18"/>
              </w:rPr>
              <w:t>Archivo</w:t>
            </w:r>
            <w:r>
              <w:rPr>
                <w:spacing w:val="-13"/>
                <w:sz w:val="18"/>
              </w:rPr>
              <w:t> </w:t>
            </w:r>
            <w:r>
              <w:rPr>
                <w:sz w:val="18"/>
              </w:rPr>
              <w:t>Central</w:t>
            </w:r>
          </w:p>
        </w:tc>
        <w:tc>
          <w:tcPr>
            <w:tcW w:w="1767" w:type="dxa"/>
          </w:tcPr>
          <w:p>
            <w:pPr>
              <w:pStyle w:val="TableParagraph"/>
              <w:rPr>
                <w:rFonts w:ascii="Times New Roman"/>
                <w:sz w:val="18"/>
              </w:rPr>
            </w:pPr>
          </w:p>
        </w:tc>
        <w:tc>
          <w:tcPr>
            <w:tcW w:w="2775" w:type="dxa"/>
            <w:vMerge/>
            <w:tcBorders>
              <w:top w:val="nil"/>
            </w:tcBorders>
          </w:tcPr>
          <w:p>
            <w:pPr>
              <w:rPr>
                <w:sz w:val="2"/>
                <w:szCs w:val="2"/>
              </w:rPr>
            </w:pPr>
          </w:p>
        </w:tc>
      </w:tr>
      <w:tr>
        <w:trPr>
          <w:trHeight w:val="2275" w:hRule="atLeast"/>
        </w:trPr>
        <w:tc>
          <w:tcPr>
            <w:tcW w:w="2075" w:type="dxa"/>
          </w:tcPr>
          <w:p>
            <w:pPr>
              <w:pStyle w:val="TableParagraph"/>
              <w:spacing w:before="205"/>
              <w:rPr>
                <w:b/>
                <w:sz w:val="18"/>
              </w:rPr>
            </w:pPr>
          </w:p>
          <w:p>
            <w:pPr>
              <w:pStyle w:val="TableParagraph"/>
              <w:ind w:left="72" w:right="61"/>
              <w:rPr>
                <w:sz w:val="18"/>
              </w:rPr>
            </w:pPr>
            <w:r>
              <w:rPr>
                <w:b/>
                <w:sz w:val="18"/>
              </w:rPr>
              <w:t>Actividad PAC 2.38.4: </w:t>
            </w:r>
            <w:r>
              <w:rPr>
                <w:sz w:val="18"/>
              </w:rPr>
              <w:t>Crear y/o actualizar normativa en materia archivística que sea solicitada</w:t>
            </w:r>
            <w:r>
              <w:rPr>
                <w:spacing w:val="-10"/>
                <w:sz w:val="18"/>
              </w:rPr>
              <w:t> </w:t>
            </w:r>
            <w:r>
              <w:rPr>
                <w:sz w:val="18"/>
              </w:rPr>
              <w:t>por</w:t>
            </w:r>
            <w:r>
              <w:rPr>
                <w:spacing w:val="-12"/>
                <w:sz w:val="18"/>
              </w:rPr>
              <w:t> </w:t>
            </w:r>
            <w:r>
              <w:rPr>
                <w:sz w:val="18"/>
              </w:rPr>
              <w:t>la</w:t>
            </w:r>
            <w:r>
              <w:rPr>
                <w:spacing w:val="-13"/>
                <w:sz w:val="18"/>
              </w:rPr>
              <w:t> </w:t>
            </w:r>
            <w:r>
              <w:rPr>
                <w:sz w:val="18"/>
              </w:rPr>
              <w:t>jefatura inmediata, Dirección o Gerencia General</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7"/>
              <w:jc w:val="right"/>
              <w:rPr>
                <w:sz w:val="18"/>
              </w:rPr>
            </w:pPr>
            <w:r>
              <w:rPr>
                <w:spacing w:val="-4"/>
                <w:sz w:val="18"/>
              </w:rPr>
              <w:t>100%</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7"/>
              <w:jc w:val="right"/>
              <w:rPr>
                <w:sz w:val="18"/>
              </w:rPr>
            </w:pPr>
            <w:r>
              <w:rPr>
                <w:spacing w:val="-4"/>
                <w:sz w:val="18"/>
              </w:rPr>
              <w:t>100%</w:t>
            </w:r>
          </w:p>
        </w:tc>
        <w:tc>
          <w:tcPr>
            <w:tcW w:w="1858" w:type="dxa"/>
          </w:tcPr>
          <w:p>
            <w:pPr>
              <w:pStyle w:val="TableParagraph"/>
              <w:rPr>
                <w:b/>
                <w:sz w:val="18"/>
              </w:rPr>
            </w:pPr>
          </w:p>
          <w:p>
            <w:pPr>
              <w:pStyle w:val="TableParagraph"/>
              <w:spacing w:before="103"/>
              <w:rPr>
                <w:b/>
                <w:sz w:val="18"/>
              </w:rPr>
            </w:pPr>
          </w:p>
          <w:p>
            <w:pPr>
              <w:pStyle w:val="TableParagraph"/>
              <w:ind w:left="71" w:right="79"/>
              <w:rPr>
                <w:sz w:val="18"/>
              </w:rPr>
            </w:pPr>
            <w:r>
              <w:rPr>
                <w:sz w:val="18"/>
              </w:rPr>
              <w:t>Porcentaje de normativa</w:t>
            </w:r>
            <w:r>
              <w:rPr>
                <w:spacing w:val="-15"/>
                <w:sz w:val="18"/>
              </w:rPr>
              <w:t> </w:t>
            </w:r>
            <w:r>
              <w:rPr>
                <w:sz w:val="18"/>
              </w:rPr>
              <w:t>en</w:t>
            </w:r>
            <w:r>
              <w:rPr>
                <w:spacing w:val="-12"/>
                <w:sz w:val="18"/>
              </w:rPr>
              <w:t> </w:t>
            </w:r>
            <w:r>
              <w:rPr>
                <w:sz w:val="18"/>
              </w:rPr>
              <w:t>materia archivística creada o actualizada por </w:t>
            </w:r>
            <w:r>
              <w:rPr>
                <w:spacing w:val="-2"/>
                <w:sz w:val="18"/>
              </w:rPr>
              <w:t>necesidad institucional</w:t>
            </w:r>
          </w:p>
        </w:tc>
        <w:tc>
          <w:tcPr>
            <w:tcW w:w="1695" w:type="dxa"/>
          </w:tcPr>
          <w:p>
            <w:pPr>
              <w:pStyle w:val="TableParagraph"/>
              <w:ind w:left="67" w:right="69"/>
              <w:rPr>
                <w:sz w:val="18"/>
              </w:rPr>
            </w:pPr>
            <w:r>
              <w:rPr>
                <w:sz w:val="18"/>
              </w:rPr>
              <w:t>Oficios o correos remitidos a una Dirección,</w:t>
            </w:r>
            <w:r>
              <w:rPr>
                <w:spacing w:val="-1"/>
                <w:sz w:val="18"/>
              </w:rPr>
              <w:t> </w:t>
            </w:r>
            <w:r>
              <w:rPr>
                <w:sz w:val="18"/>
              </w:rPr>
              <w:t>jefatura o Gerencia</w:t>
            </w:r>
            <w:r>
              <w:rPr>
                <w:spacing w:val="40"/>
                <w:sz w:val="18"/>
              </w:rPr>
              <w:t> </w:t>
            </w:r>
            <w:r>
              <w:rPr>
                <w:sz w:val="18"/>
              </w:rPr>
              <w:t>General</w:t>
            </w:r>
            <w:r>
              <w:rPr>
                <w:spacing w:val="-13"/>
                <w:sz w:val="18"/>
              </w:rPr>
              <w:t> </w:t>
            </w:r>
            <w:r>
              <w:rPr>
                <w:sz w:val="18"/>
              </w:rPr>
              <w:t>solicitando revisión de la propuesta de la creación o actualización de</w:t>
            </w:r>
          </w:p>
          <w:p>
            <w:pPr>
              <w:pStyle w:val="TableParagraph"/>
              <w:spacing w:line="206" w:lineRule="exact"/>
              <w:ind w:left="67"/>
              <w:rPr>
                <w:sz w:val="18"/>
              </w:rPr>
            </w:pPr>
            <w:r>
              <w:rPr>
                <w:spacing w:val="-2"/>
                <w:sz w:val="18"/>
              </w:rPr>
              <w:t>normativa archivística.</w:t>
            </w:r>
          </w:p>
        </w:tc>
        <w:tc>
          <w:tcPr>
            <w:tcW w:w="146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7" w:right="145"/>
              <w:rPr>
                <w:sz w:val="18"/>
              </w:rPr>
            </w:pPr>
            <w:r>
              <w:rPr>
                <w:spacing w:val="-2"/>
                <w:sz w:val="18"/>
              </w:rPr>
              <w:t>Departamento Servicios Generales-</w:t>
            </w:r>
            <w:r>
              <w:rPr>
                <w:sz w:val="18"/>
              </w:rPr>
              <w:t>Archivo</w:t>
            </w:r>
            <w:r>
              <w:rPr>
                <w:spacing w:val="-13"/>
                <w:sz w:val="18"/>
              </w:rPr>
              <w:t> </w:t>
            </w:r>
            <w:r>
              <w:rPr>
                <w:sz w:val="18"/>
              </w:rPr>
              <w:t>Central</w:t>
            </w:r>
          </w:p>
        </w:tc>
        <w:tc>
          <w:tcPr>
            <w:tcW w:w="1767" w:type="dxa"/>
          </w:tcPr>
          <w:p>
            <w:pPr>
              <w:pStyle w:val="TableParagraph"/>
              <w:rPr>
                <w:rFonts w:ascii="Times New Roman"/>
                <w:sz w:val="18"/>
              </w:rPr>
            </w:pPr>
          </w:p>
        </w:tc>
        <w:tc>
          <w:tcPr>
            <w:tcW w:w="2775" w:type="dxa"/>
            <w:vMerge/>
            <w:tcBorders>
              <w:top w:val="nil"/>
            </w:tcBorders>
          </w:tcPr>
          <w:p>
            <w:pPr>
              <w:rPr>
                <w:sz w:val="2"/>
                <w:szCs w:val="2"/>
              </w:rPr>
            </w:pPr>
          </w:p>
        </w:tc>
      </w:tr>
      <w:tr>
        <w:trPr>
          <w:trHeight w:val="547" w:hRule="atLeast"/>
        </w:trPr>
        <w:tc>
          <w:tcPr>
            <w:tcW w:w="14395" w:type="dxa"/>
            <w:gridSpan w:val="8"/>
            <w:shd w:val="clear" w:color="auto" w:fill="EFF8F9"/>
          </w:tcPr>
          <w:p>
            <w:pPr>
              <w:pStyle w:val="TableParagraph"/>
              <w:spacing w:before="167"/>
              <w:ind w:left="72"/>
              <w:rPr>
                <w:b/>
                <w:sz w:val="18"/>
              </w:rPr>
            </w:pPr>
            <w:r>
              <w:rPr>
                <w:b/>
                <w:sz w:val="18"/>
              </w:rPr>
              <w:t>Producto</w:t>
            </w:r>
            <w:r>
              <w:rPr>
                <w:b/>
                <w:spacing w:val="-9"/>
                <w:sz w:val="18"/>
              </w:rPr>
              <w:t> </w:t>
            </w:r>
            <w:r>
              <w:rPr>
                <w:b/>
                <w:sz w:val="18"/>
              </w:rPr>
              <w:t>PAC</w:t>
            </w:r>
            <w:r>
              <w:rPr>
                <w:b/>
                <w:spacing w:val="-9"/>
                <w:sz w:val="18"/>
              </w:rPr>
              <w:t> </w:t>
            </w:r>
            <w:r>
              <w:rPr>
                <w:b/>
                <w:sz w:val="18"/>
              </w:rPr>
              <w:t>2.39:</w:t>
            </w:r>
            <w:r>
              <w:rPr>
                <w:b/>
                <w:spacing w:val="-5"/>
                <w:sz w:val="18"/>
              </w:rPr>
              <w:t> </w:t>
            </w:r>
            <w:r>
              <w:rPr>
                <w:b/>
                <w:sz w:val="18"/>
              </w:rPr>
              <w:t>Proceso</w:t>
            </w:r>
            <w:r>
              <w:rPr>
                <w:b/>
                <w:spacing w:val="-8"/>
                <w:sz w:val="18"/>
              </w:rPr>
              <w:t> </w:t>
            </w:r>
            <w:r>
              <w:rPr>
                <w:b/>
                <w:sz w:val="18"/>
              </w:rPr>
              <w:t>Infraestructura:</w:t>
            </w:r>
            <w:r>
              <w:rPr>
                <w:b/>
                <w:spacing w:val="-6"/>
                <w:sz w:val="18"/>
              </w:rPr>
              <w:t> </w:t>
            </w:r>
            <w:r>
              <w:rPr>
                <w:b/>
                <w:sz w:val="18"/>
              </w:rPr>
              <w:t>eficiente</w:t>
            </w:r>
            <w:r>
              <w:rPr>
                <w:b/>
                <w:spacing w:val="-3"/>
                <w:sz w:val="18"/>
              </w:rPr>
              <w:t> </w:t>
            </w:r>
            <w:r>
              <w:rPr>
                <w:b/>
                <w:sz w:val="18"/>
              </w:rPr>
              <w:t>desarrollo</w:t>
            </w:r>
            <w:r>
              <w:rPr>
                <w:b/>
                <w:spacing w:val="-9"/>
                <w:sz w:val="18"/>
              </w:rPr>
              <w:t> </w:t>
            </w:r>
            <w:r>
              <w:rPr>
                <w:b/>
                <w:sz w:val="18"/>
              </w:rPr>
              <w:t>de</w:t>
            </w:r>
            <w:r>
              <w:rPr>
                <w:b/>
                <w:spacing w:val="-7"/>
                <w:sz w:val="18"/>
              </w:rPr>
              <w:t> </w:t>
            </w:r>
            <w:r>
              <w:rPr>
                <w:b/>
                <w:sz w:val="18"/>
              </w:rPr>
              <w:t>los</w:t>
            </w:r>
            <w:r>
              <w:rPr>
                <w:b/>
                <w:spacing w:val="-4"/>
                <w:sz w:val="18"/>
              </w:rPr>
              <w:t> </w:t>
            </w:r>
            <w:r>
              <w:rPr>
                <w:b/>
                <w:sz w:val="18"/>
              </w:rPr>
              <w:t>proyectos</w:t>
            </w:r>
            <w:r>
              <w:rPr>
                <w:b/>
                <w:spacing w:val="-7"/>
                <w:sz w:val="18"/>
              </w:rPr>
              <w:t> </w:t>
            </w:r>
            <w:r>
              <w:rPr>
                <w:b/>
                <w:sz w:val="18"/>
              </w:rPr>
              <w:t>de</w:t>
            </w:r>
            <w:r>
              <w:rPr>
                <w:b/>
                <w:spacing w:val="-7"/>
                <w:sz w:val="18"/>
              </w:rPr>
              <w:t> </w:t>
            </w:r>
            <w:r>
              <w:rPr>
                <w:b/>
                <w:sz w:val="18"/>
              </w:rPr>
              <w:t>infraestructura</w:t>
            </w:r>
            <w:r>
              <w:rPr>
                <w:b/>
                <w:spacing w:val="-7"/>
                <w:sz w:val="18"/>
              </w:rPr>
              <w:t> </w:t>
            </w:r>
            <w:r>
              <w:rPr>
                <w:b/>
                <w:sz w:val="18"/>
              </w:rPr>
              <w:t>del</w:t>
            </w:r>
            <w:r>
              <w:rPr>
                <w:b/>
                <w:spacing w:val="-6"/>
                <w:sz w:val="18"/>
              </w:rPr>
              <w:t> </w:t>
            </w:r>
            <w:r>
              <w:rPr>
                <w:b/>
                <w:sz w:val="18"/>
              </w:rPr>
              <w:t>Nivel</w:t>
            </w:r>
            <w:r>
              <w:rPr>
                <w:b/>
                <w:spacing w:val="-5"/>
                <w:sz w:val="18"/>
              </w:rPr>
              <w:t> </w:t>
            </w:r>
            <w:r>
              <w:rPr>
                <w:b/>
                <w:spacing w:val="-2"/>
                <w:sz w:val="18"/>
              </w:rPr>
              <w:t>Central</w:t>
            </w:r>
          </w:p>
        </w:tc>
      </w:tr>
    </w:tbl>
    <w:p>
      <w:pPr>
        <w:pStyle w:val="TableParagraph"/>
        <w:spacing w:after="0"/>
        <w:rPr>
          <w:b/>
          <w:sz w:val="18"/>
        </w:rPr>
        <w:sectPr>
          <w:type w:val="continuous"/>
          <w:pgSz w:w="15840" w:h="12240" w:orient="landscape"/>
          <w:pgMar w:header="0" w:footer="1806" w:top="700" w:bottom="2719"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5"/>
        <w:gridCol w:w="1354"/>
        <w:gridCol w:w="1411"/>
        <w:gridCol w:w="1858"/>
        <w:gridCol w:w="1695"/>
        <w:gridCol w:w="1460"/>
        <w:gridCol w:w="1767"/>
        <w:gridCol w:w="2775"/>
      </w:tblGrid>
      <w:tr>
        <w:trPr>
          <w:trHeight w:val="762" w:hRule="atLeast"/>
        </w:trPr>
        <w:tc>
          <w:tcPr>
            <w:tcW w:w="2075" w:type="dxa"/>
            <w:shd w:val="clear" w:color="auto" w:fill="E7E6E6"/>
          </w:tcPr>
          <w:p>
            <w:pPr>
              <w:pStyle w:val="TableParagraph"/>
              <w:spacing w:before="176"/>
              <w:ind w:left="552" w:right="61" w:firstLine="24"/>
              <w:rPr>
                <w:b/>
                <w:sz w:val="18"/>
              </w:rPr>
            </w:pPr>
            <w:r>
              <w:rPr>
                <w:b/>
                <w:sz w:val="18"/>
              </w:rPr>
              <w:t>Objetivos</w:t>
            </w:r>
            <w:r>
              <w:rPr>
                <w:b/>
                <w:spacing w:val="-7"/>
                <w:sz w:val="18"/>
              </w:rPr>
              <w:t> </w:t>
            </w:r>
            <w:r>
              <w:rPr>
                <w:b/>
                <w:sz w:val="18"/>
              </w:rPr>
              <w:t>/ </w:t>
            </w:r>
            <w:r>
              <w:rPr>
                <w:b/>
                <w:spacing w:val="-2"/>
                <w:sz w:val="18"/>
              </w:rPr>
              <w:t>Resultados</w:t>
            </w:r>
          </w:p>
        </w:tc>
        <w:tc>
          <w:tcPr>
            <w:tcW w:w="1354" w:type="dxa"/>
            <w:shd w:val="clear" w:color="auto" w:fill="E7E6E6"/>
          </w:tcPr>
          <w:p>
            <w:pPr>
              <w:pStyle w:val="TableParagraph"/>
              <w:spacing w:before="176"/>
              <w:ind w:left="412" w:hanging="216"/>
              <w:rPr>
                <w:b/>
                <w:sz w:val="18"/>
              </w:rPr>
            </w:pPr>
            <w:r>
              <w:rPr>
                <w:b/>
                <w:sz w:val="18"/>
              </w:rPr>
              <w:t>Línea</w:t>
            </w:r>
            <w:r>
              <w:rPr>
                <w:b/>
                <w:spacing w:val="-13"/>
                <w:sz w:val="18"/>
              </w:rPr>
              <w:t> </w:t>
            </w:r>
            <w:r>
              <w:rPr>
                <w:b/>
                <w:sz w:val="18"/>
              </w:rPr>
              <w:t>Base </w:t>
            </w:r>
            <w:r>
              <w:rPr>
                <w:b/>
                <w:spacing w:val="-2"/>
                <w:sz w:val="18"/>
              </w:rPr>
              <w:t>(2024)</w:t>
            </w:r>
          </w:p>
        </w:tc>
        <w:tc>
          <w:tcPr>
            <w:tcW w:w="1411" w:type="dxa"/>
            <w:shd w:val="clear" w:color="auto" w:fill="E7E6E6"/>
          </w:tcPr>
          <w:p>
            <w:pPr>
              <w:pStyle w:val="TableParagraph"/>
              <w:spacing w:before="71"/>
              <w:ind w:left="181" w:right="170" w:hanging="10"/>
              <w:jc w:val="center"/>
              <w:rPr>
                <w:b/>
                <w:sz w:val="18"/>
              </w:rPr>
            </w:pPr>
            <w:r>
              <w:rPr>
                <w:b/>
                <w:spacing w:val="-4"/>
                <w:sz w:val="18"/>
              </w:rPr>
              <w:t>Meta </w:t>
            </w:r>
            <w:r>
              <w:rPr>
                <w:b/>
                <w:spacing w:val="-2"/>
                <w:sz w:val="18"/>
              </w:rPr>
              <w:t>programada </w:t>
            </w:r>
            <w:r>
              <w:rPr>
                <w:b/>
                <w:spacing w:val="-4"/>
                <w:sz w:val="18"/>
              </w:rPr>
              <w:t>2026</w:t>
            </w:r>
          </w:p>
        </w:tc>
        <w:tc>
          <w:tcPr>
            <w:tcW w:w="1858" w:type="dxa"/>
            <w:shd w:val="clear" w:color="auto" w:fill="E7E6E6"/>
          </w:tcPr>
          <w:p>
            <w:pPr>
              <w:pStyle w:val="TableParagraph"/>
              <w:spacing w:before="70"/>
              <w:rPr>
                <w:b/>
                <w:sz w:val="18"/>
              </w:rPr>
            </w:pPr>
          </w:p>
          <w:p>
            <w:pPr>
              <w:pStyle w:val="TableParagraph"/>
              <w:ind w:left="523"/>
              <w:rPr>
                <w:b/>
                <w:sz w:val="18"/>
              </w:rPr>
            </w:pPr>
            <w:r>
              <w:rPr>
                <w:b/>
                <w:spacing w:val="-2"/>
                <w:sz w:val="18"/>
              </w:rPr>
              <w:t>Indicador</w:t>
            </w:r>
          </w:p>
        </w:tc>
        <w:tc>
          <w:tcPr>
            <w:tcW w:w="1695" w:type="dxa"/>
            <w:shd w:val="clear" w:color="auto" w:fill="E7E6E6"/>
          </w:tcPr>
          <w:p>
            <w:pPr>
              <w:pStyle w:val="TableParagraph"/>
              <w:spacing w:before="176"/>
              <w:ind w:left="345" w:firstLine="57"/>
              <w:rPr>
                <w:b/>
                <w:sz w:val="18"/>
              </w:rPr>
            </w:pPr>
            <w:r>
              <w:rPr>
                <w:b/>
                <w:sz w:val="18"/>
              </w:rPr>
              <w:t>Medios de </w:t>
            </w:r>
            <w:r>
              <w:rPr>
                <w:b/>
                <w:spacing w:val="-2"/>
                <w:sz w:val="18"/>
              </w:rPr>
              <w:t>verificación</w:t>
            </w:r>
          </w:p>
        </w:tc>
        <w:tc>
          <w:tcPr>
            <w:tcW w:w="1460" w:type="dxa"/>
            <w:shd w:val="clear" w:color="auto" w:fill="E7E6E6"/>
          </w:tcPr>
          <w:p>
            <w:pPr>
              <w:pStyle w:val="TableParagraph"/>
              <w:spacing w:before="70"/>
              <w:rPr>
                <w:b/>
                <w:sz w:val="18"/>
              </w:rPr>
            </w:pPr>
          </w:p>
          <w:p>
            <w:pPr>
              <w:pStyle w:val="TableParagraph"/>
              <w:ind w:left="168"/>
              <w:rPr>
                <w:b/>
                <w:sz w:val="18"/>
              </w:rPr>
            </w:pPr>
            <w:r>
              <w:rPr>
                <w:b/>
                <w:spacing w:val="-2"/>
                <w:sz w:val="18"/>
              </w:rPr>
              <w:t>Responsable</w:t>
            </w:r>
          </w:p>
        </w:tc>
        <w:tc>
          <w:tcPr>
            <w:tcW w:w="1767" w:type="dxa"/>
            <w:shd w:val="clear" w:color="auto" w:fill="E7E6E6"/>
          </w:tcPr>
          <w:p>
            <w:pPr>
              <w:pStyle w:val="TableParagraph"/>
              <w:spacing w:before="176"/>
              <w:ind w:left="489" w:hanging="154"/>
              <w:rPr>
                <w:b/>
                <w:sz w:val="18"/>
              </w:rPr>
            </w:pPr>
            <w:r>
              <w:rPr>
                <w:b/>
                <w:spacing w:val="-2"/>
                <w:sz w:val="18"/>
              </w:rPr>
              <w:t>Presupuesto asignado</w:t>
            </w:r>
          </w:p>
        </w:tc>
        <w:tc>
          <w:tcPr>
            <w:tcW w:w="2775" w:type="dxa"/>
            <w:shd w:val="clear" w:color="auto" w:fill="E7E6E6"/>
          </w:tcPr>
          <w:p>
            <w:pPr>
              <w:pStyle w:val="TableParagraph"/>
              <w:spacing w:before="70"/>
              <w:rPr>
                <w:b/>
                <w:sz w:val="18"/>
              </w:rPr>
            </w:pPr>
          </w:p>
          <w:p>
            <w:pPr>
              <w:pStyle w:val="TableParagraph"/>
              <w:ind w:left="19" w:right="6"/>
              <w:jc w:val="center"/>
              <w:rPr>
                <w:b/>
                <w:sz w:val="18"/>
              </w:rPr>
            </w:pPr>
            <w:r>
              <w:rPr>
                <w:b/>
                <w:spacing w:val="-2"/>
                <w:sz w:val="18"/>
              </w:rPr>
              <w:t>Riesgos</w:t>
            </w:r>
          </w:p>
        </w:tc>
      </w:tr>
      <w:tr>
        <w:trPr>
          <w:trHeight w:val="2487" w:hRule="atLeast"/>
        </w:trPr>
        <w:tc>
          <w:tcPr>
            <w:tcW w:w="2075" w:type="dxa"/>
          </w:tcPr>
          <w:p>
            <w:pPr>
              <w:pStyle w:val="TableParagraph"/>
              <w:spacing w:before="3"/>
              <w:ind w:left="72" w:right="71"/>
              <w:rPr>
                <w:sz w:val="18"/>
              </w:rPr>
            </w:pPr>
            <w:r>
              <w:rPr>
                <w:b/>
                <w:sz w:val="18"/>
              </w:rPr>
              <w:t>Actividad PAC 2.39.1: </w:t>
            </w:r>
            <w:r>
              <w:rPr>
                <w:sz w:val="18"/>
              </w:rPr>
              <w:t>Ejecutar etapas programadas de la consultoría y construcción del</w:t>
            </w:r>
            <w:r>
              <w:rPr>
                <w:spacing w:val="40"/>
                <w:sz w:val="18"/>
              </w:rPr>
              <w:t> </w:t>
            </w:r>
            <w:r>
              <w:rPr>
                <w:sz w:val="18"/>
              </w:rPr>
              <w:t>sistema de supresión</w:t>
            </w:r>
            <w:r>
              <w:rPr>
                <w:spacing w:val="40"/>
                <w:sz w:val="18"/>
              </w:rPr>
              <w:t> </w:t>
            </w:r>
            <w:r>
              <w:rPr>
                <w:sz w:val="18"/>
              </w:rPr>
              <w:t>de</w:t>
            </w:r>
            <w:r>
              <w:rPr>
                <w:spacing w:val="-10"/>
                <w:sz w:val="18"/>
              </w:rPr>
              <w:t> </w:t>
            </w:r>
            <w:r>
              <w:rPr>
                <w:sz w:val="18"/>
              </w:rPr>
              <w:t>incendios</w:t>
            </w:r>
            <w:r>
              <w:rPr>
                <w:spacing w:val="-12"/>
                <w:sz w:val="18"/>
              </w:rPr>
              <w:t> </w:t>
            </w:r>
            <w:r>
              <w:rPr>
                <w:sz w:val="18"/>
              </w:rPr>
              <w:t>del</w:t>
            </w:r>
            <w:r>
              <w:rPr>
                <w:spacing w:val="-13"/>
                <w:sz w:val="18"/>
              </w:rPr>
              <w:t> </w:t>
            </w:r>
            <w:r>
              <w:rPr>
                <w:sz w:val="18"/>
              </w:rPr>
              <w:t>Edificio Central.</w:t>
            </w:r>
            <w:r>
              <w:rPr>
                <w:spacing w:val="40"/>
                <w:sz w:val="18"/>
              </w:rPr>
              <w:t> </w:t>
            </w:r>
            <w:r>
              <w:rPr>
                <w:sz w:val="18"/>
              </w:rPr>
              <w:t>(1.04.03 Servicios de ingeniería) (5.02.99</w:t>
            </w:r>
            <w:r>
              <w:rPr>
                <w:spacing w:val="-7"/>
                <w:sz w:val="18"/>
              </w:rPr>
              <w:t> </w:t>
            </w:r>
            <w:r>
              <w:rPr>
                <w:sz w:val="18"/>
              </w:rPr>
              <w:t>Otras</w:t>
            </w:r>
          </w:p>
          <w:p>
            <w:pPr>
              <w:pStyle w:val="TableParagraph"/>
              <w:spacing w:line="206" w:lineRule="exact"/>
              <w:ind w:left="72" w:right="61"/>
              <w:rPr>
                <w:sz w:val="18"/>
              </w:rPr>
            </w:pPr>
            <w:r>
              <w:rPr>
                <w:spacing w:val="-2"/>
                <w:sz w:val="18"/>
              </w:rPr>
              <w:t>construcciones, </w:t>
            </w:r>
            <w:r>
              <w:rPr>
                <w:sz w:val="18"/>
              </w:rPr>
              <w:t>adiciones</w:t>
            </w:r>
            <w:r>
              <w:rPr>
                <w:spacing w:val="-15"/>
                <w:sz w:val="18"/>
              </w:rPr>
              <w:t> </w:t>
            </w:r>
            <w:r>
              <w:rPr>
                <w:sz w:val="18"/>
              </w:rPr>
              <w:t>y</w:t>
            </w:r>
            <w:r>
              <w:rPr>
                <w:spacing w:val="-12"/>
                <w:sz w:val="18"/>
              </w:rPr>
              <w:t> </w:t>
            </w:r>
            <w:r>
              <w:rPr>
                <w:sz w:val="18"/>
              </w:rPr>
              <w:t>mejoras)</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right="57"/>
              <w:jc w:val="right"/>
              <w:rPr>
                <w:sz w:val="18"/>
              </w:rPr>
            </w:pPr>
            <w:r>
              <w:rPr>
                <w:spacing w:val="-5"/>
                <w:sz w:val="18"/>
              </w:rPr>
              <w:t>0%</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right="57"/>
              <w:jc w:val="right"/>
              <w:rPr>
                <w:sz w:val="18"/>
              </w:rPr>
            </w:pPr>
            <w:r>
              <w:rPr>
                <w:spacing w:val="-4"/>
                <w:sz w:val="18"/>
              </w:rPr>
              <w:t>100%</w:t>
            </w:r>
          </w:p>
        </w:tc>
        <w:tc>
          <w:tcPr>
            <w:tcW w:w="1858"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71" w:right="539"/>
              <w:rPr>
                <w:sz w:val="18"/>
              </w:rPr>
            </w:pPr>
            <w:r>
              <w:rPr>
                <w:sz w:val="18"/>
              </w:rPr>
              <w:t>Porcentaje de ejecución del proyecto</w:t>
            </w:r>
            <w:r>
              <w:rPr>
                <w:spacing w:val="-13"/>
                <w:sz w:val="18"/>
              </w:rPr>
              <w:t> </w:t>
            </w:r>
            <w:r>
              <w:rPr>
                <w:sz w:val="18"/>
              </w:rPr>
              <w:t>según </w:t>
            </w:r>
            <w:r>
              <w:rPr>
                <w:spacing w:val="-2"/>
                <w:sz w:val="18"/>
              </w:rPr>
              <w:t>cronograma</w:t>
            </w:r>
          </w:p>
        </w:tc>
        <w:tc>
          <w:tcPr>
            <w:tcW w:w="1695"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67" w:right="128"/>
              <w:rPr>
                <w:sz w:val="18"/>
              </w:rPr>
            </w:pPr>
            <w:r>
              <w:rPr>
                <w:sz w:val="18"/>
              </w:rPr>
              <w:t>Cronograma del Proyecto</w:t>
            </w:r>
            <w:r>
              <w:rPr>
                <w:spacing w:val="-15"/>
                <w:sz w:val="18"/>
              </w:rPr>
              <w:t> </w:t>
            </w:r>
            <w:r>
              <w:rPr>
                <w:sz w:val="18"/>
              </w:rPr>
              <w:t>y</w:t>
            </w:r>
            <w:r>
              <w:rPr>
                <w:spacing w:val="-12"/>
                <w:sz w:val="18"/>
              </w:rPr>
              <w:t> </w:t>
            </w:r>
            <w:r>
              <w:rPr>
                <w:sz w:val="18"/>
              </w:rPr>
              <w:t>Oficio de</w:t>
            </w:r>
            <w:r>
              <w:rPr>
                <w:spacing w:val="-12"/>
                <w:sz w:val="18"/>
              </w:rPr>
              <w:t> </w:t>
            </w:r>
            <w:r>
              <w:rPr>
                <w:sz w:val="18"/>
              </w:rPr>
              <w:t>Recepción</w:t>
            </w:r>
            <w:r>
              <w:rPr>
                <w:spacing w:val="-13"/>
                <w:sz w:val="18"/>
              </w:rPr>
              <w:t> </w:t>
            </w:r>
            <w:r>
              <w:rPr>
                <w:sz w:val="18"/>
              </w:rPr>
              <w:t>de </w:t>
            </w:r>
            <w:r>
              <w:rPr>
                <w:spacing w:val="-2"/>
                <w:sz w:val="18"/>
              </w:rPr>
              <w:t>etapas</w:t>
            </w:r>
          </w:p>
        </w:tc>
        <w:tc>
          <w:tcPr>
            <w:tcW w:w="146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67" w:right="145"/>
              <w:rPr>
                <w:sz w:val="18"/>
              </w:rPr>
            </w:pPr>
            <w:r>
              <w:rPr>
                <w:spacing w:val="-2"/>
                <w:sz w:val="18"/>
              </w:rPr>
              <w:t>Departamento </w:t>
            </w:r>
            <w:r>
              <w:rPr>
                <w:sz w:val="18"/>
              </w:rPr>
              <w:t>de Servicios Generales - </w:t>
            </w:r>
            <w:r>
              <w:rPr>
                <w:spacing w:val="-2"/>
                <w:sz w:val="18"/>
              </w:rPr>
              <w:t>Infraestructura</w:t>
            </w:r>
          </w:p>
        </w:tc>
        <w:tc>
          <w:tcPr>
            <w:tcW w:w="176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right="50"/>
              <w:jc w:val="right"/>
              <w:rPr>
                <w:sz w:val="18"/>
              </w:rPr>
            </w:pPr>
            <w:r>
              <w:rPr>
                <w:sz w:val="18"/>
              </w:rPr>
              <w:t>216</w:t>
            </w:r>
            <w:r>
              <w:rPr>
                <w:spacing w:val="2"/>
                <w:sz w:val="18"/>
              </w:rPr>
              <w:t> </w:t>
            </w:r>
            <w:r>
              <w:rPr>
                <w:sz w:val="18"/>
              </w:rPr>
              <w:t>873</w:t>
            </w:r>
            <w:r>
              <w:rPr>
                <w:spacing w:val="-2"/>
                <w:sz w:val="18"/>
              </w:rPr>
              <w:t> </w:t>
            </w:r>
            <w:r>
              <w:rPr>
                <w:spacing w:val="-5"/>
                <w:sz w:val="18"/>
              </w:rPr>
              <w:t>000</w:t>
            </w:r>
          </w:p>
        </w:tc>
        <w:tc>
          <w:tcPr>
            <w:tcW w:w="2775"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7"/>
              <w:rPr>
                <w:b/>
                <w:sz w:val="18"/>
              </w:rPr>
            </w:pPr>
          </w:p>
          <w:p>
            <w:pPr>
              <w:pStyle w:val="TableParagraph"/>
              <w:numPr>
                <w:ilvl w:val="0"/>
                <w:numId w:val="106"/>
              </w:numPr>
              <w:tabs>
                <w:tab w:pos="285" w:val="left" w:leader="none"/>
              </w:tabs>
              <w:spacing w:line="240" w:lineRule="auto" w:before="0" w:after="0"/>
              <w:ind w:left="71" w:right="123" w:firstLine="0"/>
              <w:jc w:val="left"/>
              <w:rPr>
                <w:sz w:val="18"/>
              </w:rPr>
            </w:pPr>
            <w:r>
              <w:rPr>
                <w:sz w:val="18"/>
              </w:rPr>
              <w:t>No cumplir con las etapas programadas</w:t>
            </w:r>
            <w:r>
              <w:rPr>
                <w:spacing w:val="-12"/>
                <w:sz w:val="18"/>
              </w:rPr>
              <w:t> </w:t>
            </w:r>
            <w:r>
              <w:rPr>
                <w:sz w:val="18"/>
              </w:rPr>
              <w:t>en</w:t>
            </w:r>
            <w:r>
              <w:rPr>
                <w:spacing w:val="-12"/>
                <w:sz w:val="18"/>
              </w:rPr>
              <w:t> </w:t>
            </w:r>
            <w:r>
              <w:rPr>
                <w:sz w:val="18"/>
              </w:rPr>
              <w:t>la</w:t>
            </w:r>
            <w:r>
              <w:rPr>
                <w:spacing w:val="-8"/>
                <w:sz w:val="18"/>
              </w:rPr>
              <w:t> </w:t>
            </w:r>
            <w:r>
              <w:rPr>
                <w:sz w:val="18"/>
              </w:rPr>
              <w:t>construcción del sistema de supresión de </w:t>
            </w:r>
            <w:r>
              <w:rPr>
                <w:spacing w:val="-2"/>
                <w:sz w:val="18"/>
              </w:rPr>
              <w:t>incendios.</w:t>
            </w:r>
          </w:p>
          <w:p>
            <w:pPr>
              <w:pStyle w:val="TableParagraph"/>
              <w:numPr>
                <w:ilvl w:val="0"/>
                <w:numId w:val="106"/>
              </w:numPr>
              <w:tabs>
                <w:tab w:pos="285" w:val="left" w:leader="none"/>
              </w:tabs>
              <w:spacing w:line="240" w:lineRule="auto" w:before="0" w:after="0"/>
              <w:ind w:left="71" w:right="123" w:firstLine="0"/>
              <w:jc w:val="left"/>
              <w:rPr>
                <w:sz w:val="18"/>
              </w:rPr>
            </w:pPr>
            <w:r>
              <w:rPr>
                <w:sz w:val="18"/>
              </w:rPr>
              <w:t>No cumplir con las etapas programadas</w:t>
            </w:r>
            <w:r>
              <w:rPr>
                <w:spacing w:val="-12"/>
                <w:sz w:val="18"/>
              </w:rPr>
              <w:t> </w:t>
            </w:r>
            <w:r>
              <w:rPr>
                <w:sz w:val="18"/>
              </w:rPr>
              <w:t>en</w:t>
            </w:r>
            <w:r>
              <w:rPr>
                <w:spacing w:val="-12"/>
                <w:sz w:val="18"/>
              </w:rPr>
              <w:t> </w:t>
            </w:r>
            <w:r>
              <w:rPr>
                <w:sz w:val="18"/>
              </w:rPr>
              <w:t>la</w:t>
            </w:r>
            <w:r>
              <w:rPr>
                <w:spacing w:val="-8"/>
                <w:sz w:val="18"/>
              </w:rPr>
              <w:t> </w:t>
            </w:r>
            <w:r>
              <w:rPr>
                <w:sz w:val="18"/>
              </w:rPr>
              <w:t>construcción de la escalera de emergencias.</w:t>
            </w:r>
          </w:p>
          <w:p>
            <w:pPr>
              <w:pStyle w:val="TableParagraph"/>
              <w:numPr>
                <w:ilvl w:val="0"/>
                <w:numId w:val="106"/>
              </w:numPr>
              <w:tabs>
                <w:tab w:pos="285" w:val="left" w:leader="none"/>
              </w:tabs>
              <w:spacing w:line="240" w:lineRule="auto" w:before="2" w:after="0"/>
              <w:ind w:left="71" w:right="105" w:firstLine="0"/>
              <w:jc w:val="left"/>
              <w:rPr>
                <w:sz w:val="18"/>
              </w:rPr>
            </w:pPr>
            <w:r>
              <w:rPr>
                <w:sz w:val="18"/>
              </w:rPr>
              <w:t>Falta de formulación de proyectos</w:t>
            </w:r>
            <w:r>
              <w:rPr>
                <w:spacing w:val="-9"/>
                <w:sz w:val="18"/>
              </w:rPr>
              <w:t> </w:t>
            </w:r>
            <w:r>
              <w:rPr>
                <w:sz w:val="18"/>
              </w:rPr>
              <w:t>para</w:t>
            </w:r>
            <w:r>
              <w:rPr>
                <w:spacing w:val="-9"/>
                <w:sz w:val="18"/>
              </w:rPr>
              <w:t> </w:t>
            </w:r>
            <w:r>
              <w:rPr>
                <w:sz w:val="18"/>
              </w:rPr>
              <w:t>su</w:t>
            </w:r>
            <w:r>
              <w:rPr>
                <w:spacing w:val="-9"/>
                <w:sz w:val="18"/>
              </w:rPr>
              <w:t> </w:t>
            </w:r>
            <w:r>
              <w:rPr>
                <w:sz w:val="18"/>
              </w:rPr>
              <w:t>inscripción</w:t>
            </w:r>
            <w:r>
              <w:rPr>
                <w:spacing w:val="-9"/>
                <w:sz w:val="18"/>
              </w:rPr>
              <w:t> </w:t>
            </w:r>
            <w:r>
              <w:rPr>
                <w:sz w:val="18"/>
              </w:rPr>
              <w:t>en el BPIP (Fase de</w:t>
            </w:r>
            <w:r>
              <w:rPr>
                <w:spacing w:val="40"/>
                <w:sz w:val="18"/>
              </w:rPr>
              <w:t> </w:t>
            </w:r>
            <w:r>
              <w:rPr>
                <w:spacing w:val="-2"/>
                <w:sz w:val="18"/>
              </w:rPr>
              <w:t>asesoramiento)</w:t>
            </w:r>
          </w:p>
        </w:tc>
      </w:tr>
      <w:tr>
        <w:trPr>
          <w:trHeight w:val="2693" w:hRule="atLeast"/>
        </w:trPr>
        <w:tc>
          <w:tcPr>
            <w:tcW w:w="2075" w:type="dxa"/>
          </w:tcPr>
          <w:p>
            <w:pPr>
              <w:pStyle w:val="TableParagraph"/>
              <w:ind w:left="72" w:right="61"/>
              <w:rPr>
                <w:sz w:val="18"/>
              </w:rPr>
            </w:pPr>
            <w:r>
              <w:rPr>
                <w:b/>
                <w:sz w:val="18"/>
              </w:rPr>
              <w:t>Actividad PAC 2.39.2: </w:t>
            </w:r>
            <w:r>
              <w:rPr>
                <w:sz w:val="18"/>
              </w:rPr>
              <w:t>Ejecutar etapas programadas de la consultoría y construcción de la Escalera de emergencias</w:t>
            </w:r>
            <w:r>
              <w:rPr>
                <w:spacing w:val="-12"/>
                <w:sz w:val="18"/>
              </w:rPr>
              <w:t> </w:t>
            </w:r>
            <w:r>
              <w:rPr>
                <w:sz w:val="18"/>
              </w:rPr>
              <w:t>para</w:t>
            </w:r>
            <w:r>
              <w:rPr>
                <w:spacing w:val="-12"/>
                <w:sz w:val="18"/>
              </w:rPr>
              <w:t> </w:t>
            </w:r>
            <w:r>
              <w:rPr>
                <w:sz w:val="18"/>
              </w:rPr>
              <w:t>el</w:t>
            </w:r>
            <w:r>
              <w:rPr>
                <w:spacing w:val="-10"/>
                <w:sz w:val="18"/>
              </w:rPr>
              <w:t> </w:t>
            </w:r>
            <w:r>
              <w:rPr>
                <w:sz w:val="18"/>
              </w:rPr>
              <w:t>ala suroeste del Edificio Central. (1.04.03 Servicios</w:t>
            </w:r>
            <w:r>
              <w:rPr>
                <w:spacing w:val="-2"/>
                <w:sz w:val="18"/>
              </w:rPr>
              <w:t> </w:t>
            </w:r>
            <w:r>
              <w:rPr>
                <w:sz w:val="18"/>
              </w:rPr>
              <w:t>de</w:t>
            </w:r>
            <w:r>
              <w:rPr>
                <w:spacing w:val="-2"/>
                <w:sz w:val="18"/>
              </w:rPr>
              <w:t> </w:t>
            </w:r>
            <w:r>
              <w:rPr>
                <w:sz w:val="18"/>
              </w:rPr>
              <w:t>Ingeniería) (5.02.99</w:t>
            </w:r>
            <w:r>
              <w:rPr>
                <w:spacing w:val="-7"/>
                <w:sz w:val="18"/>
              </w:rPr>
              <w:t> </w:t>
            </w:r>
            <w:r>
              <w:rPr>
                <w:sz w:val="18"/>
              </w:rPr>
              <w:t>Otras </w:t>
            </w:r>
            <w:r>
              <w:rPr>
                <w:spacing w:val="-2"/>
                <w:sz w:val="18"/>
              </w:rPr>
              <w:t>construcciones,</w:t>
            </w:r>
          </w:p>
          <w:p>
            <w:pPr>
              <w:pStyle w:val="TableParagraph"/>
              <w:spacing w:line="187" w:lineRule="exact" w:before="3"/>
              <w:ind w:left="72"/>
              <w:rPr>
                <w:sz w:val="18"/>
              </w:rPr>
            </w:pPr>
            <w:r>
              <w:rPr>
                <w:sz w:val="18"/>
              </w:rPr>
              <w:t>adiciones y</w:t>
            </w:r>
            <w:r>
              <w:rPr>
                <w:spacing w:val="-9"/>
                <w:sz w:val="18"/>
              </w:rPr>
              <w:t> </w:t>
            </w:r>
            <w:r>
              <w:rPr>
                <w:spacing w:val="-2"/>
                <w:sz w:val="18"/>
              </w:rPr>
              <w:t>mejoras))</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7"/>
              <w:jc w:val="right"/>
              <w:rPr>
                <w:sz w:val="18"/>
              </w:rPr>
            </w:pPr>
            <w:r>
              <w:rPr>
                <w:spacing w:val="-5"/>
                <w:sz w:val="18"/>
              </w:rPr>
              <w:t>0%</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7"/>
              <w:jc w:val="right"/>
              <w:rPr>
                <w:sz w:val="18"/>
              </w:rPr>
            </w:pPr>
            <w:r>
              <w:rPr>
                <w:spacing w:val="-4"/>
                <w:sz w:val="18"/>
              </w:rPr>
              <w:t>100%</w:t>
            </w:r>
          </w:p>
        </w:tc>
        <w:tc>
          <w:tcPr>
            <w:tcW w:w="185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1" w:right="539"/>
              <w:rPr>
                <w:sz w:val="18"/>
              </w:rPr>
            </w:pPr>
            <w:r>
              <w:rPr>
                <w:sz w:val="18"/>
              </w:rPr>
              <w:t>Porcentaje de ejecución del proyecto</w:t>
            </w:r>
            <w:r>
              <w:rPr>
                <w:spacing w:val="-13"/>
                <w:sz w:val="18"/>
              </w:rPr>
              <w:t> </w:t>
            </w:r>
            <w:r>
              <w:rPr>
                <w:sz w:val="18"/>
              </w:rPr>
              <w:t>según </w:t>
            </w:r>
            <w:r>
              <w:rPr>
                <w:spacing w:val="-2"/>
                <w:sz w:val="18"/>
              </w:rPr>
              <w:t>cronograma</w:t>
            </w:r>
          </w:p>
        </w:tc>
        <w:tc>
          <w:tcPr>
            <w:tcW w:w="1695"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7" w:right="128"/>
              <w:rPr>
                <w:sz w:val="18"/>
              </w:rPr>
            </w:pPr>
            <w:r>
              <w:rPr>
                <w:sz w:val="18"/>
              </w:rPr>
              <w:t>Cronograma del Proyecto</w:t>
            </w:r>
            <w:r>
              <w:rPr>
                <w:spacing w:val="-15"/>
                <w:sz w:val="18"/>
              </w:rPr>
              <w:t> </w:t>
            </w:r>
            <w:r>
              <w:rPr>
                <w:sz w:val="18"/>
              </w:rPr>
              <w:t>y</w:t>
            </w:r>
            <w:r>
              <w:rPr>
                <w:spacing w:val="-12"/>
                <w:sz w:val="18"/>
              </w:rPr>
              <w:t> </w:t>
            </w:r>
            <w:r>
              <w:rPr>
                <w:sz w:val="18"/>
              </w:rPr>
              <w:t>Oficio de</w:t>
            </w:r>
            <w:r>
              <w:rPr>
                <w:spacing w:val="-12"/>
                <w:sz w:val="18"/>
              </w:rPr>
              <w:t> </w:t>
            </w:r>
            <w:r>
              <w:rPr>
                <w:sz w:val="18"/>
              </w:rPr>
              <w:t>Recepción</w:t>
            </w:r>
            <w:r>
              <w:rPr>
                <w:spacing w:val="-13"/>
                <w:sz w:val="18"/>
              </w:rPr>
              <w:t> </w:t>
            </w:r>
            <w:r>
              <w:rPr>
                <w:sz w:val="18"/>
              </w:rPr>
              <w:t>de </w:t>
            </w:r>
            <w:r>
              <w:rPr>
                <w:spacing w:val="-2"/>
                <w:sz w:val="18"/>
              </w:rPr>
              <w:t>etapas</w:t>
            </w:r>
          </w:p>
        </w:tc>
        <w:tc>
          <w:tcPr>
            <w:tcW w:w="14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7" w:right="145"/>
              <w:rPr>
                <w:sz w:val="18"/>
              </w:rPr>
            </w:pPr>
            <w:r>
              <w:rPr>
                <w:spacing w:val="-2"/>
                <w:sz w:val="18"/>
              </w:rPr>
              <w:t>Departamento </w:t>
            </w:r>
            <w:r>
              <w:rPr>
                <w:sz w:val="18"/>
              </w:rPr>
              <w:t>de Servicios Generales - </w:t>
            </w:r>
            <w:r>
              <w:rPr>
                <w:spacing w:val="-2"/>
                <w:sz w:val="18"/>
              </w:rPr>
              <w:t>Infraestructura</w:t>
            </w:r>
          </w:p>
        </w:tc>
        <w:tc>
          <w:tcPr>
            <w:tcW w:w="176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0"/>
              <w:jc w:val="right"/>
              <w:rPr>
                <w:sz w:val="18"/>
              </w:rPr>
            </w:pPr>
            <w:r>
              <w:rPr>
                <w:sz w:val="18"/>
              </w:rPr>
              <w:t>167</w:t>
            </w:r>
            <w:r>
              <w:rPr>
                <w:spacing w:val="2"/>
                <w:sz w:val="18"/>
              </w:rPr>
              <w:t> </w:t>
            </w:r>
            <w:r>
              <w:rPr>
                <w:sz w:val="18"/>
              </w:rPr>
              <w:t>960</w:t>
            </w:r>
            <w:r>
              <w:rPr>
                <w:spacing w:val="-2"/>
                <w:sz w:val="18"/>
              </w:rPr>
              <w:t> </w:t>
            </w:r>
            <w:r>
              <w:rPr>
                <w:spacing w:val="-5"/>
                <w:sz w:val="18"/>
              </w:rPr>
              <w:t>000</w:t>
            </w:r>
          </w:p>
        </w:tc>
        <w:tc>
          <w:tcPr>
            <w:tcW w:w="2775" w:type="dxa"/>
            <w:vMerge/>
            <w:tcBorders>
              <w:top w:val="nil"/>
            </w:tcBorders>
          </w:tcPr>
          <w:p>
            <w:pPr>
              <w:rPr>
                <w:sz w:val="2"/>
                <w:szCs w:val="2"/>
              </w:rPr>
            </w:pPr>
          </w:p>
        </w:tc>
      </w:tr>
      <w:tr>
        <w:trPr>
          <w:trHeight w:val="2688" w:hRule="atLeast"/>
        </w:trPr>
        <w:tc>
          <w:tcPr>
            <w:tcW w:w="2075" w:type="dxa"/>
          </w:tcPr>
          <w:p>
            <w:pPr>
              <w:pStyle w:val="TableParagraph"/>
              <w:ind w:left="72" w:right="94"/>
              <w:rPr>
                <w:sz w:val="18"/>
              </w:rPr>
            </w:pPr>
            <w:r>
              <w:rPr>
                <w:b/>
                <w:sz w:val="18"/>
              </w:rPr>
              <w:t>Actividad</w:t>
            </w:r>
            <w:r>
              <w:rPr>
                <w:b/>
                <w:spacing w:val="-15"/>
                <w:sz w:val="18"/>
              </w:rPr>
              <w:t> </w:t>
            </w:r>
            <w:r>
              <w:rPr>
                <w:b/>
                <w:sz w:val="18"/>
              </w:rPr>
              <w:t>PAC</w:t>
            </w:r>
            <w:r>
              <w:rPr>
                <w:b/>
                <w:spacing w:val="-12"/>
                <w:sz w:val="18"/>
              </w:rPr>
              <w:t> </w:t>
            </w:r>
            <w:r>
              <w:rPr>
                <w:b/>
                <w:sz w:val="18"/>
              </w:rPr>
              <w:t>2.39.3: </w:t>
            </w:r>
            <w:r>
              <w:rPr>
                <w:sz w:val="18"/>
              </w:rPr>
              <w:t>Asesoramiento en temas de ingeniería y arquitectura</w:t>
            </w:r>
            <w:r>
              <w:rPr>
                <w:spacing w:val="-13"/>
                <w:sz w:val="18"/>
              </w:rPr>
              <w:t> </w:t>
            </w:r>
            <w:r>
              <w:rPr>
                <w:sz w:val="18"/>
              </w:rPr>
              <w:t>requeridos para la inscripción y seguimiento de los proyectos de </w:t>
            </w:r>
            <w:r>
              <w:rPr>
                <w:spacing w:val="-2"/>
                <w:sz w:val="18"/>
              </w:rPr>
              <w:t>infraestructura </w:t>
            </w:r>
            <w:r>
              <w:rPr>
                <w:sz w:val="18"/>
              </w:rPr>
              <w:t>administrados por el DSG y formulados por las ARDS que corresponda incluir</w:t>
            </w:r>
          </w:p>
          <w:p>
            <w:pPr>
              <w:pStyle w:val="TableParagraph"/>
              <w:spacing w:line="186" w:lineRule="exact"/>
              <w:ind w:left="72"/>
              <w:rPr>
                <w:sz w:val="18"/>
              </w:rPr>
            </w:pPr>
            <w:r>
              <w:rPr>
                <w:sz w:val="18"/>
              </w:rPr>
              <w:t>dentro</w:t>
            </w:r>
            <w:r>
              <w:rPr>
                <w:spacing w:val="-2"/>
                <w:sz w:val="18"/>
              </w:rPr>
              <w:t> </w:t>
            </w:r>
            <w:r>
              <w:rPr>
                <w:sz w:val="18"/>
              </w:rPr>
              <w:t>del</w:t>
            </w:r>
            <w:r>
              <w:rPr>
                <w:spacing w:val="-2"/>
                <w:sz w:val="18"/>
              </w:rPr>
              <w:t> BPIP.</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right="57"/>
              <w:jc w:val="right"/>
              <w:rPr>
                <w:sz w:val="18"/>
              </w:rPr>
            </w:pPr>
            <w:r>
              <w:rPr>
                <w:spacing w:val="-5"/>
                <w:sz w:val="18"/>
              </w:rPr>
              <w:t>0%</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right="57"/>
              <w:jc w:val="right"/>
              <w:rPr>
                <w:sz w:val="18"/>
              </w:rPr>
            </w:pPr>
            <w:r>
              <w:rPr>
                <w:spacing w:val="-4"/>
                <w:sz w:val="18"/>
              </w:rPr>
              <w:t>100%</w:t>
            </w:r>
          </w:p>
        </w:tc>
        <w:tc>
          <w:tcPr>
            <w:tcW w:w="1858"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1"/>
              <w:rPr>
                <w:sz w:val="18"/>
              </w:rPr>
            </w:pPr>
            <w:r>
              <w:rPr>
                <w:sz w:val="18"/>
              </w:rPr>
              <w:t>Porcentaje de asesorías</w:t>
            </w:r>
            <w:r>
              <w:rPr>
                <w:spacing w:val="-13"/>
                <w:sz w:val="18"/>
              </w:rPr>
              <w:t> </w:t>
            </w:r>
            <w:r>
              <w:rPr>
                <w:sz w:val="18"/>
              </w:rPr>
              <w:t>brindadas relacionadas a los proyectos de infraestructura y su inclusión</w:t>
            </w:r>
            <w:r>
              <w:rPr>
                <w:spacing w:val="-3"/>
                <w:sz w:val="18"/>
              </w:rPr>
              <w:t> </w:t>
            </w:r>
            <w:r>
              <w:rPr>
                <w:sz w:val="18"/>
              </w:rPr>
              <w:t>en</w:t>
            </w:r>
            <w:r>
              <w:rPr>
                <w:spacing w:val="-6"/>
                <w:sz w:val="18"/>
              </w:rPr>
              <w:t> </w:t>
            </w:r>
            <w:r>
              <w:rPr>
                <w:sz w:val="18"/>
              </w:rPr>
              <w:t>el</w:t>
            </w:r>
            <w:r>
              <w:rPr>
                <w:spacing w:val="-4"/>
                <w:sz w:val="18"/>
              </w:rPr>
              <w:t> </w:t>
            </w:r>
            <w:r>
              <w:rPr>
                <w:sz w:val="18"/>
              </w:rPr>
              <w:t>BPIP</w:t>
            </w:r>
          </w:p>
        </w:tc>
        <w:tc>
          <w:tcPr>
            <w:tcW w:w="1695" w:type="dxa"/>
          </w:tcPr>
          <w:p>
            <w:pPr>
              <w:pStyle w:val="TableParagraph"/>
              <w:spacing w:before="204"/>
              <w:rPr>
                <w:b/>
                <w:sz w:val="18"/>
              </w:rPr>
            </w:pPr>
          </w:p>
          <w:p>
            <w:pPr>
              <w:pStyle w:val="TableParagraph"/>
              <w:numPr>
                <w:ilvl w:val="0"/>
                <w:numId w:val="107"/>
              </w:numPr>
              <w:tabs>
                <w:tab w:pos="229" w:val="left" w:leader="none"/>
              </w:tabs>
              <w:spacing w:line="240" w:lineRule="auto" w:before="0" w:after="0"/>
              <w:ind w:left="67" w:right="189" w:firstLine="0"/>
              <w:jc w:val="left"/>
              <w:rPr>
                <w:sz w:val="18"/>
              </w:rPr>
            </w:pPr>
            <w:r>
              <w:rPr>
                <w:sz w:val="18"/>
              </w:rPr>
              <w:t>Documentos</w:t>
            </w:r>
            <w:r>
              <w:rPr>
                <w:spacing w:val="-13"/>
                <w:sz w:val="18"/>
              </w:rPr>
              <w:t> </w:t>
            </w:r>
            <w:r>
              <w:rPr>
                <w:sz w:val="18"/>
              </w:rPr>
              <w:t>de criterios</w:t>
            </w:r>
            <w:r>
              <w:rPr>
                <w:spacing w:val="-15"/>
                <w:sz w:val="18"/>
              </w:rPr>
              <w:t> </w:t>
            </w:r>
            <w:r>
              <w:rPr>
                <w:sz w:val="18"/>
              </w:rPr>
              <w:t>en</w:t>
            </w:r>
            <w:r>
              <w:rPr>
                <w:spacing w:val="-12"/>
                <w:sz w:val="18"/>
              </w:rPr>
              <w:t> </w:t>
            </w:r>
            <w:r>
              <w:rPr>
                <w:sz w:val="18"/>
              </w:rPr>
              <w:t>temas de proyectos de </w:t>
            </w:r>
            <w:r>
              <w:rPr>
                <w:spacing w:val="-2"/>
                <w:sz w:val="18"/>
              </w:rPr>
              <w:t>infraestructura.</w:t>
            </w:r>
          </w:p>
          <w:p>
            <w:pPr>
              <w:pStyle w:val="TableParagraph"/>
              <w:numPr>
                <w:ilvl w:val="0"/>
                <w:numId w:val="107"/>
              </w:numPr>
              <w:tabs>
                <w:tab w:pos="229" w:val="left" w:leader="none"/>
              </w:tabs>
              <w:spacing w:line="240" w:lineRule="auto" w:before="0" w:after="0"/>
              <w:ind w:left="67" w:right="310" w:firstLine="0"/>
              <w:jc w:val="left"/>
              <w:rPr>
                <w:sz w:val="18"/>
              </w:rPr>
            </w:pPr>
            <w:r>
              <w:rPr>
                <w:sz w:val="18"/>
              </w:rPr>
              <w:t>Correos o </w:t>
            </w:r>
            <w:r>
              <w:rPr>
                <w:spacing w:val="-2"/>
                <w:sz w:val="18"/>
              </w:rPr>
              <w:t>documentos </w:t>
            </w:r>
            <w:r>
              <w:rPr>
                <w:sz w:val="18"/>
              </w:rPr>
              <w:t>electrónicos</w:t>
            </w:r>
            <w:r>
              <w:rPr>
                <w:spacing w:val="-13"/>
                <w:sz w:val="18"/>
              </w:rPr>
              <w:t> </w:t>
            </w:r>
            <w:r>
              <w:rPr>
                <w:sz w:val="18"/>
              </w:rPr>
              <w:t>con </w:t>
            </w:r>
            <w:r>
              <w:rPr>
                <w:spacing w:val="-2"/>
                <w:sz w:val="18"/>
              </w:rPr>
              <w:t>asesorías brindadas</w:t>
            </w:r>
          </w:p>
        </w:tc>
        <w:tc>
          <w:tcPr>
            <w:tcW w:w="146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7" w:right="145"/>
              <w:rPr>
                <w:sz w:val="18"/>
              </w:rPr>
            </w:pPr>
            <w:r>
              <w:rPr>
                <w:spacing w:val="-2"/>
                <w:sz w:val="18"/>
              </w:rPr>
              <w:t>Departamento </w:t>
            </w:r>
            <w:r>
              <w:rPr>
                <w:sz w:val="18"/>
              </w:rPr>
              <w:t>de Servicios Generales - </w:t>
            </w:r>
            <w:r>
              <w:rPr>
                <w:spacing w:val="-2"/>
                <w:sz w:val="18"/>
              </w:rPr>
              <w:t>Infraestructura</w:t>
            </w:r>
          </w:p>
        </w:tc>
        <w:tc>
          <w:tcPr>
            <w:tcW w:w="1767" w:type="dxa"/>
          </w:tcPr>
          <w:p>
            <w:pPr>
              <w:pStyle w:val="TableParagraph"/>
              <w:rPr>
                <w:rFonts w:ascii="Times New Roman"/>
                <w:sz w:val="18"/>
              </w:rPr>
            </w:pPr>
          </w:p>
        </w:tc>
        <w:tc>
          <w:tcPr>
            <w:tcW w:w="2775"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5"/>
        <w:gridCol w:w="1354"/>
        <w:gridCol w:w="1411"/>
        <w:gridCol w:w="1858"/>
        <w:gridCol w:w="1695"/>
        <w:gridCol w:w="1460"/>
        <w:gridCol w:w="1767"/>
        <w:gridCol w:w="2775"/>
      </w:tblGrid>
      <w:tr>
        <w:trPr>
          <w:trHeight w:val="762" w:hRule="atLeast"/>
        </w:trPr>
        <w:tc>
          <w:tcPr>
            <w:tcW w:w="2075" w:type="dxa"/>
            <w:shd w:val="clear" w:color="auto" w:fill="E7E6E6"/>
          </w:tcPr>
          <w:p>
            <w:pPr>
              <w:pStyle w:val="TableParagraph"/>
              <w:spacing w:before="176"/>
              <w:ind w:left="552" w:right="61" w:firstLine="24"/>
              <w:rPr>
                <w:b/>
                <w:sz w:val="18"/>
              </w:rPr>
            </w:pPr>
            <w:r>
              <w:rPr>
                <w:b/>
                <w:sz w:val="18"/>
              </w:rPr>
              <w:t>Objetivos</w:t>
            </w:r>
            <w:r>
              <w:rPr>
                <w:b/>
                <w:spacing w:val="-7"/>
                <w:sz w:val="18"/>
              </w:rPr>
              <w:t> </w:t>
            </w:r>
            <w:r>
              <w:rPr>
                <w:b/>
                <w:sz w:val="18"/>
              </w:rPr>
              <w:t>/ </w:t>
            </w:r>
            <w:r>
              <w:rPr>
                <w:b/>
                <w:spacing w:val="-2"/>
                <w:sz w:val="18"/>
              </w:rPr>
              <w:t>Resultados</w:t>
            </w:r>
          </w:p>
        </w:tc>
        <w:tc>
          <w:tcPr>
            <w:tcW w:w="1354" w:type="dxa"/>
            <w:shd w:val="clear" w:color="auto" w:fill="E7E6E6"/>
          </w:tcPr>
          <w:p>
            <w:pPr>
              <w:pStyle w:val="TableParagraph"/>
              <w:spacing w:before="176"/>
              <w:ind w:left="412" w:hanging="216"/>
              <w:rPr>
                <w:b/>
                <w:sz w:val="18"/>
              </w:rPr>
            </w:pPr>
            <w:r>
              <w:rPr>
                <w:b/>
                <w:sz w:val="18"/>
              </w:rPr>
              <w:t>Línea</w:t>
            </w:r>
            <w:r>
              <w:rPr>
                <w:b/>
                <w:spacing w:val="-13"/>
                <w:sz w:val="18"/>
              </w:rPr>
              <w:t> </w:t>
            </w:r>
            <w:r>
              <w:rPr>
                <w:b/>
                <w:sz w:val="18"/>
              </w:rPr>
              <w:t>Base </w:t>
            </w:r>
            <w:r>
              <w:rPr>
                <w:b/>
                <w:spacing w:val="-2"/>
                <w:sz w:val="18"/>
              </w:rPr>
              <w:t>(2024)</w:t>
            </w:r>
          </w:p>
        </w:tc>
        <w:tc>
          <w:tcPr>
            <w:tcW w:w="1411" w:type="dxa"/>
            <w:shd w:val="clear" w:color="auto" w:fill="E7E6E6"/>
          </w:tcPr>
          <w:p>
            <w:pPr>
              <w:pStyle w:val="TableParagraph"/>
              <w:spacing w:before="71"/>
              <w:ind w:left="181" w:right="170" w:hanging="10"/>
              <w:jc w:val="center"/>
              <w:rPr>
                <w:b/>
                <w:sz w:val="18"/>
              </w:rPr>
            </w:pPr>
            <w:r>
              <w:rPr>
                <w:b/>
                <w:spacing w:val="-4"/>
                <w:sz w:val="18"/>
              </w:rPr>
              <w:t>Meta </w:t>
            </w:r>
            <w:r>
              <w:rPr>
                <w:b/>
                <w:spacing w:val="-2"/>
                <w:sz w:val="18"/>
              </w:rPr>
              <w:t>programada </w:t>
            </w:r>
            <w:r>
              <w:rPr>
                <w:b/>
                <w:spacing w:val="-4"/>
                <w:sz w:val="18"/>
              </w:rPr>
              <w:t>2026</w:t>
            </w:r>
          </w:p>
        </w:tc>
        <w:tc>
          <w:tcPr>
            <w:tcW w:w="1858" w:type="dxa"/>
            <w:shd w:val="clear" w:color="auto" w:fill="E7E6E6"/>
          </w:tcPr>
          <w:p>
            <w:pPr>
              <w:pStyle w:val="TableParagraph"/>
              <w:spacing w:before="70"/>
              <w:rPr>
                <w:b/>
                <w:sz w:val="18"/>
              </w:rPr>
            </w:pPr>
          </w:p>
          <w:p>
            <w:pPr>
              <w:pStyle w:val="TableParagraph"/>
              <w:ind w:left="523"/>
              <w:rPr>
                <w:b/>
                <w:sz w:val="18"/>
              </w:rPr>
            </w:pPr>
            <w:r>
              <w:rPr>
                <w:b/>
                <w:spacing w:val="-2"/>
                <w:sz w:val="18"/>
              </w:rPr>
              <w:t>Indicador</w:t>
            </w:r>
          </w:p>
        </w:tc>
        <w:tc>
          <w:tcPr>
            <w:tcW w:w="1695" w:type="dxa"/>
            <w:shd w:val="clear" w:color="auto" w:fill="E7E6E6"/>
          </w:tcPr>
          <w:p>
            <w:pPr>
              <w:pStyle w:val="TableParagraph"/>
              <w:spacing w:before="176"/>
              <w:ind w:left="345" w:firstLine="57"/>
              <w:rPr>
                <w:b/>
                <w:sz w:val="18"/>
              </w:rPr>
            </w:pPr>
            <w:r>
              <w:rPr>
                <w:b/>
                <w:sz w:val="18"/>
              </w:rPr>
              <w:t>Medios de </w:t>
            </w:r>
            <w:r>
              <w:rPr>
                <w:b/>
                <w:spacing w:val="-2"/>
                <w:sz w:val="18"/>
              </w:rPr>
              <w:t>verificación</w:t>
            </w:r>
          </w:p>
        </w:tc>
        <w:tc>
          <w:tcPr>
            <w:tcW w:w="1460" w:type="dxa"/>
            <w:shd w:val="clear" w:color="auto" w:fill="E7E6E6"/>
          </w:tcPr>
          <w:p>
            <w:pPr>
              <w:pStyle w:val="TableParagraph"/>
              <w:spacing w:before="70"/>
              <w:rPr>
                <w:b/>
                <w:sz w:val="18"/>
              </w:rPr>
            </w:pPr>
          </w:p>
          <w:p>
            <w:pPr>
              <w:pStyle w:val="TableParagraph"/>
              <w:ind w:left="168"/>
              <w:rPr>
                <w:b/>
                <w:sz w:val="18"/>
              </w:rPr>
            </w:pPr>
            <w:r>
              <w:rPr>
                <w:b/>
                <w:spacing w:val="-2"/>
                <w:sz w:val="18"/>
              </w:rPr>
              <w:t>Responsable</w:t>
            </w:r>
          </w:p>
        </w:tc>
        <w:tc>
          <w:tcPr>
            <w:tcW w:w="1767" w:type="dxa"/>
            <w:shd w:val="clear" w:color="auto" w:fill="E7E6E6"/>
          </w:tcPr>
          <w:p>
            <w:pPr>
              <w:pStyle w:val="TableParagraph"/>
              <w:spacing w:before="176"/>
              <w:ind w:left="489" w:hanging="154"/>
              <w:rPr>
                <w:b/>
                <w:sz w:val="18"/>
              </w:rPr>
            </w:pPr>
            <w:r>
              <w:rPr>
                <w:b/>
                <w:spacing w:val="-2"/>
                <w:sz w:val="18"/>
              </w:rPr>
              <w:t>Presupuesto asignado</w:t>
            </w:r>
          </w:p>
        </w:tc>
        <w:tc>
          <w:tcPr>
            <w:tcW w:w="2775" w:type="dxa"/>
            <w:shd w:val="clear" w:color="auto" w:fill="E7E6E6"/>
          </w:tcPr>
          <w:p>
            <w:pPr>
              <w:pStyle w:val="TableParagraph"/>
              <w:spacing w:before="70"/>
              <w:rPr>
                <w:b/>
                <w:sz w:val="18"/>
              </w:rPr>
            </w:pPr>
          </w:p>
          <w:p>
            <w:pPr>
              <w:pStyle w:val="TableParagraph"/>
              <w:ind w:left="19" w:right="6"/>
              <w:jc w:val="center"/>
              <w:rPr>
                <w:b/>
                <w:sz w:val="18"/>
              </w:rPr>
            </w:pPr>
            <w:r>
              <w:rPr>
                <w:b/>
                <w:spacing w:val="-2"/>
                <w:sz w:val="18"/>
              </w:rPr>
              <w:t>Riesgos</w:t>
            </w:r>
          </w:p>
        </w:tc>
      </w:tr>
      <w:tr>
        <w:trPr>
          <w:trHeight w:val="451" w:hRule="atLeast"/>
        </w:trPr>
        <w:tc>
          <w:tcPr>
            <w:tcW w:w="14395" w:type="dxa"/>
            <w:gridSpan w:val="8"/>
            <w:shd w:val="clear" w:color="auto" w:fill="EFF8F9"/>
          </w:tcPr>
          <w:p>
            <w:pPr>
              <w:pStyle w:val="TableParagraph"/>
              <w:spacing w:before="124"/>
              <w:ind w:left="72"/>
              <w:rPr>
                <w:b/>
                <w:sz w:val="18"/>
              </w:rPr>
            </w:pPr>
            <w:r>
              <w:rPr>
                <w:b/>
                <w:sz w:val="18"/>
              </w:rPr>
              <w:t>Producto</w:t>
            </w:r>
            <w:r>
              <w:rPr>
                <w:b/>
                <w:spacing w:val="-9"/>
                <w:sz w:val="18"/>
              </w:rPr>
              <w:t> </w:t>
            </w:r>
            <w:r>
              <w:rPr>
                <w:b/>
                <w:sz w:val="18"/>
              </w:rPr>
              <w:t>PAC</w:t>
            </w:r>
            <w:r>
              <w:rPr>
                <w:b/>
                <w:spacing w:val="-10"/>
                <w:sz w:val="18"/>
              </w:rPr>
              <w:t> </w:t>
            </w:r>
            <w:r>
              <w:rPr>
                <w:b/>
                <w:sz w:val="18"/>
              </w:rPr>
              <w:t>2.40:</w:t>
            </w:r>
            <w:r>
              <w:rPr>
                <w:b/>
                <w:spacing w:val="41"/>
                <w:sz w:val="18"/>
              </w:rPr>
              <w:t> </w:t>
            </w:r>
            <w:r>
              <w:rPr>
                <w:b/>
                <w:sz w:val="18"/>
              </w:rPr>
              <w:t>Servicios</w:t>
            </w:r>
            <w:r>
              <w:rPr>
                <w:b/>
                <w:spacing w:val="-7"/>
                <w:sz w:val="18"/>
              </w:rPr>
              <w:t> </w:t>
            </w:r>
            <w:r>
              <w:rPr>
                <w:b/>
                <w:sz w:val="18"/>
              </w:rPr>
              <w:t>administrativos</w:t>
            </w:r>
            <w:r>
              <w:rPr>
                <w:b/>
                <w:spacing w:val="-8"/>
                <w:sz w:val="18"/>
              </w:rPr>
              <w:t> </w:t>
            </w:r>
            <w:r>
              <w:rPr>
                <w:b/>
                <w:sz w:val="18"/>
              </w:rPr>
              <w:t>brindados</w:t>
            </w:r>
            <w:r>
              <w:rPr>
                <w:b/>
                <w:spacing w:val="-8"/>
                <w:sz w:val="18"/>
              </w:rPr>
              <w:t> </w:t>
            </w:r>
            <w:r>
              <w:rPr>
                <w:b/>
                <w:sz w:val="18"/>
              </w:rPr>
              <w:t>oportunamente</w:t>
            </w:r>
            <w:r>
              <w:rPr>
                <w:b/>
                <w:spacing w:val="-4"/>
                <w:sz w:val="18"/>
              </w:rPr>
              <w:t> </w:t>
            </w:r>
            <w:r>
              <w:rPr>
                <w:b/>
                <w:sz w:val="18"/>
              </w:rPr>
              <w:t>que</w:t>
            </w:r>
            <w:r>
              <w:rPr>
                <w:b/>
                <w:spacing w:val="-4"/>
                <w:sz w:val="18"/>
              </w:rPr>
              <w:t> </w:t>
            </w:r>
            <w:r>
              <w:rPr>
                <w:b/>
                <w:sz w:val="18"/>
              </w:rPr>
              <w:t>contribuyen</w:t>
            </w:r>
            <w:r>
              <w:rPr>
                <w:b/>
                <w:spacing w:val="-4"/>
                <w:sz w:val="18"/>
              </w:rPr>
              <w:t> </w:t>
            </w:r>
            <w:r>
              <w:rPr>
                <w:b/>
                <w:sz w:val="18"/>
              </w:rPr>
              <w:t>a</w:t>
            </w:r>
            <w:r>
              <w:rPr>
                <w:b/>
                <w:spacing w:val="-12"/>
                <w:sz w:val="18"/>
              </w:rPr>
              <w:t> </w:t>
            </w:r>
            <w:r>
              <w:rPr>
                <w:b/>
                <w:sz w:val="18"/>
              </w:rPr>
              <w:t>la</w:t>
            </w:r>
            <w:r>
              <w:rPr>
                <w:b/>
                <w:spacing w:val="-4"/>
                <w:sz w:val="18"/>
              </w:rPr>
              <w:t> </w:t>
            </w:r>
            <w:r>
              <w:rPr>
                <w:b/>
                <w:sz w:val="18"/>
              </w:rPr>
              <w:t>operación</w:t>
            </w:r>
            <w:r>
              <w:rPr>
                <w:b/>
                <w:spacing w:val="-9"/>
                <w:sz w:val="18"/>
              </w:rPr>
              <w:t> </w:t>
            </w:r>
            <w:r>
              <w:rPr>
                <w:b/>
                <w:spacing w:val="-2"/>
                <w:sz w:val="18"/>
              </w:rPr>
              <w:t>institucional</w:t>
            </w:r>
          </w:p>
        </w:tc>
      </w:tr>
      <w:tr>
        <w:trPr>
          <w:trHeight w:val="1833" w:hRule="atLeast"/>
        </w:trPr>
        <w:tc>
          <w:tcPr>
            <w:tcW w:w="2075" w:type="dxa"/>
          </w:tcPr>
          <w:p>
            <w:pPr>
              <w:pStyle w:val="TableParagraph"/>
              <w:spacing w:before="90"/>
              <w:ind w:left="72" w:right="61"/>
              <w:rPr>
                <w:sz w:val="18"/>
              </w:rPr>
            </w:pPr>
            <w:r>
              <w:rPr>
                <w:b/>
                <w:sz w:val="18"/>
              </w:rPr>
              <w:t>Actividad</w:t>
            </w:r>
            <w:r>
              <w:rPr>
                <w:b/>
                <w:spacing w:val="-4"/>
                <w:sz w:val="18"/>
              </w:rPr>
              <w:t> </w:t>
            </w:r>
            <w:r>
              <w:rPr>
                <w:b/>
                <w:sz w:val="18"/>
              </w:rPr>
              <w:t>PAC 2.40.1: </w:t>
            </w:r>
            <w:r>
              <w:rPr>
                <w:sz w:val="18"/>
              </w:rPr>
              <w:t>Mantener la cobertura de</w:t>
            </w:r>
            <w:r>
              <w:rPr>
                <w:spacing w:val="-12"/>
                <w:sz w:val="18"/>
              </w:rPr>
              <w:t> </w:t>
            </w:r>
            <w:r>
              <w:rPr>
                <w:sz w:val="18"/>
              </w:rPr>
              <w:t>puestos</w:t>
            </w:r>
            <w:r>
              <w:rPr>
                <w:spacing w:val="-10"/>
                <w:sz w:val="18"/>
              </w:rPr>
              <w:t> </w:t>
            </w:r>
            <w:r>
              <w:rPr>
                <w:sz w:val="18"/>
              </w:rPr>
              <w:t>de</w:t>
            </w:r>
            <w:r>
              <w:rPr>
                <w:spacing w:val="-13"/>
                <w:sz w:val="18"/>
              </w:rPr>
              <w:t> </w:t>
            </w:r>
            <w:r>
              <w:rPr>
                <w:sz w:val="18"/>
              </w:rPr>
              <w:t>servicios de Seguridad y Vigilancia según los </w:t>
            </w:r>
            <w:r>
              <w:rPr>
                <w:spacing w:val="-2"/>
                <w:sz w:val="18"/>
              </w:rPr>
              <w:t>requerimientos </w:t>
            </w:r>
            <w:r>
              <w:rPr>
                <w:sz w:val="18"/>
              </w:rPr>
              <w:t>institucionales. (PAC </w:t>
            </w:r>
            <w:r>
              <w:rPr>
                <w:spacing w:val="-4"/>
                <w:sz w:val="18"/>
              </w:rPr>
              <w:t>PPP)</w:t>
            </w:r>
          </w:p>
        </w:tc>
        <w:tc>
          <w:tcPr>
            <w:tcW w:w="1354" w:type="dxa"/>
          </w:tcPr>
          <w:p>
            <w:pPr>
              <w:pStyle w:val="TableParagraph"/>
              <w:rPr>
                <w:b/>
                <w:sz w:val="18"/>
              </w:rPr>
            </w:pPr>
          </w:p>
          <w:p>
            <w:pPr>
              <w:pStyle w:val="TableParagraph"/>
              <w:rPr>
                <w:b/>
                <w:sz w:val="18"/>
              </w:rPr>
            </w:pPr>
          </w:p>
          <w:p>
            <w:pPr>
              <w:pStyle w:val="TableParagraph"/>
              <w:spacing w:before="189"/>
              <w:rPr>
                <w:b/>
                <w:sz w:val="18"/>
              </w:rPr>
            </w:pPr>
          </w:p>
          <w:p>
            <w:pPr>
              <w:pStyle w:val="TableParagraph"/>
              <w:ind w:right="57"/>
              <w:jc w:val="right"/>
              <w:rPr>
                <w:sz w:val="18"/>
              </w:rPr>
            </w:pPr>
            <w:r>
              <w:rPr>
                <w:spacing w:val="-4"/>
                <w:sz w:val="18"/>
              </w:rPr>
              <w:t>100%</w:t>
            </w:r>
          </w:p>
        </w:tc>
        <w:tc>
          <w:tcPr>
            <w:tcW w:w="1411" w:type="dxa"/>
          </w:tcPr>
          <w:p>
            <w:pPr>
              <w:pStyle w:val="TableParagraph"/>
              <w:rPr>
                <w:b/>
                <w:sz w:val="18"/>
              </w:rPr>
            </w:pPr>
          </w:p>
          <w:p>
            <w:pPr>
              <w:pStyle w:val="TableParagraph"/>
              <w:rPr>
                <w:b/>
                <w:sz w:val="18"/>
              </w:rPr>
            </w:pPr>
          </w:p>
          <w:p>
            <w:pPr>
              <w:pStyle w:val="TableParagraph"/>
              <w:spacing w:before="189"/>
              <w:rPr>
                <w:b/>
                <w:sz w:val="18"/>
              </w:rPr>
            </w:pPr>
          </w:p>
          <w:p>
            <w:pPr>
              <w:pStyle w:val="TableParagraph"/>
              <w:ind w:right="57"/>
              <w:jc w:val="right"/>
              <w:rPr>
                <w:sz w:val="18"/>
              </w:rPr>
            </w:pPr>
            <w:r>
              <w:rPr>
                <w:spacing w:val="-4"/>
                <w:sz w:val="18"/>
              </w:rPr>
              <w:t>100%</w:t>
            </w:r>
          </w:p>
        </w:tc>
        <w:tc>
          <w:tcPr>
            <w:tcW w:w="1858" w:type="dxa"/>
          </w:tcPr>
          <w:p>
            <w:pPr>
              <w:pStyle w:val="TableParagraph"/>
              <w:spacing w:before="89"/>
              <w:rPr>
                <w:b/>
                <w:sz w:val="18"/>
              </w:rPr>
            </w:pPr>
          </w:p>
          <w:p>
            <w:pPr>
              <w:pStyle w:val="TableParagraph"/>
              <w:ind w:left="71" w:right="79"/>
              <w:rPr>
                <w:sz w:val="18"/>
              </w:rPr>
            </w:pPr>
            <w:r>
              <w:rPr>
                <w:sz w:val="18"/>
              </w:rPr>
              <w:t>Porcentaje de puestos con</w:t>
            </w:r>
            <w:r>
              <w:rPr>
                <w:spacing w:val="40"/>
                <w:sz w:val="18"/>
              </w:rPr>
              <w:t> </w:t>
            </w:r>
            <w:r>
              <w:rPr>
                <w:sz w:val="18"/>
              </w:rPr>
              <w:t>servicios de Seguridad y Vigilancia</w:t>
            </w:r>
            <w:r>
              <w:rPr>
                <w:spacing w:val="-13"/>
                <w:sz w:val="18"/>
              </w:rPr>
              <w:t> </w:t>
            </w:r>
            <w:r>
              <w:rPr>
                <w:sz w:val="18"/>
              </w:rPr>
              <w:t>ejecutados de forma continua</w:t>
            </w:r>
          </w:p>
        </w:tc>
        <w:tc>
          <w:tcPr>
            <w:tcW w:w="1695" w:type="dxa"/>
          </w:tcPr>
          <w:p>
            <w:pPr>
              <w:pStyle w:val="TableParagraph"/>
              <w:rPr>
                <w:b/>
                <w:sz w:val="18"/>
              </w:rPr>
            </w:pPr>
          </w:p>
          <w:p>
            <w:pPr>
              <w:pStyle w:val="TableParagraph"/>
              <w:spacing w:before="189"/>
              <w:rPr>
                <w:b/>
                <w:sz w:val="18"/>
              </w:rPr>
            </w:pPr>
          </w:p>
          <w:p>
            <w:pPr>
              <w:pStyle w:val="TableParagraph"/>
              <w:spacing w:line="242" w:lineRule="auto"/>
              <w:ind w:left="67"/>
              <w:rPr>
                <w:sz w:val="18"/>
              </w:rPr>
            </w:pPr>
            <w:r>
              <w:rPr>
                <w:sz w:val="18"/>
              </w:rPr>
              <w:t>No. de puestos institucionales con servicios</w:t>
            </w:r>
            <w:r>
              <w:rPr>
                <w:spacing w:val="-13"/>
                <w:sz w:val="18"/>
              </w:rPr>
              <w:t> </w:t>
            </w:r>
            <w:r>
              <w:rPr>
                <w:sz w:val="18"/>
              </w:rPr>
              <w:t>continuos</w:t>
            </w:r>
          </w:p>
        </w:tc>
        <w:tc>
          <w:tcPr>
            <w:tcW w:w="1460" w:type="dxa"/>
          </w:tcPr>
          <w:p>
            <w:pPr>
              <w:pStyle w:val="TableParagraph"/>
              <w:spacing w:before="190"/>
              <w:rPr>
                <w:b/>
                <w:sz w:val="18"/>
              </w:rPr>
            </w:pPr>
          </w:p>
          <w:p>
            <w:pPr>
              <w:pStyle w:val="TableParagraph"/>
              <w:ind w:left="67" w:right="156"/>
              <w:rPr>
                <w:sz w:val="18"/>
              </w:rPr>
            </w:pPr>
            <w:r>
              <w:rPr>
                <w:spacing w:val="-2"/>
                <w:sz w:val="18"/>
              </w:rPr>
              <w:t>Departamento Servicios Generales-Servicios Administrativos</w:t>
            </w:r>
          </w:p>
        </w:tc>
        <w:tc>
          <w:tcPr>
            <w:tcW w:w="1767" w:type="dxa"/>
          </w:tcPr>
          <w:p>
            <w:pPr>
              <w:pStyle w:val="TableParagraph"/>
              <w:rPr>
                <w:b/>
                <w:sz w:val="18"/>
              </w:rPr>
            </w:pPr>
          </w:p>
          <w:p>
            <w:pPr>
              <w:pStyle w:val="TableParagraph"/>
              <w:rPr>
                <w:b/>
                <w:sz w:val="18"/>
              </w:rPr>
            </w:pPr>
          </w:p>
          <w:p>
            <w:pPr>
              <w:pStyle w:val="TableParagraph"/>
              <w:spacing w:before="189"/>
              <w:rPr>
                <w:b/>
                <w:sz w:val="18"/>
              </w:rPr>
            </w:pPr>
          </w:p>
          <w:p>
            <w:pPr>
              <w:pStyle w:val="TableParagraph"/>
              <w:ind w:right="55"/>
              <w:jc w:val="right"/>
              <w:rPr>
                <w:sz w:val="18"/>
              </w:rPr>
            </w:pPr>
            <w:r>
              <w:rPr>
                <w:sz w:val="18"/>
              </w:rPr>
              <w:t>1</w:t>
            </w:r>
            <w:r>
              <w:rPr>
                <w:spacing w:val="-2"/>
                <w:sz w:val="18"/>
              </w:rPr>
              <w:t> </w:t>
            </w:r>
            <w:r>
              <w:rPr>
                <w:sz w:val="18"/>
              </w:rPr>
              <w:t>807</w:t>
            </w:r>
            <w:r>
              <w:rPr>
                <w:spacing w:val="-1"/>
                <w:sz w:val="18"/>
              </w:rPr>
              <w:t> </w:t>
            </w:r>
            <w:r>
              <w:rPr>
                <w:sz w:val="18"/>
              </w:rPr>
              <w:t>381</w:t>
            </w:r>
            <w:r>
              <w:rPr>
                <w:spacing w:val="-1"/>
                <w:sz w:val="18"/>
              </w:rPr>
              <w:t> </w:t>
            </w:r>
            <w:r>
              <w:rPr>
                <w:spacing w:val="-5"/>
                <w:sz w:val="18"/>
              </w:rPr>
              <w:t>360</w:t>
            </w:r>
          </w:p>
        </w:tc>
        <w:tc>
          <w:tcPr>
            <w:tcW w:w="2775"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6"/>
              <w:rPr>
                <w:b/>
                <w:sz w:val="18"/>
              </w:rPr>
            </w:pPr>
          </w:p>
          <w:p>
            <w:pPr>
              <w:pStyle w:val="TableParagraph"/>
              <w:numPr>
                <w:ilvl w:val="0"/>
                <w:numId w:val="108"/>
              </w:numPr>
              <w:tabs>
                <w:tab w:pos="285" w:val="left" w:leader="none"/>
              </w:tabs>
              <w:spacing w:line="240" w:lineRule="auto" w:before="0" w:after="0"/>
              <w:ind w:left="71" w:right="422" w:firstLine="0"/>
              <w:jc w:val="left"/>
              <w:rPr>
                <w:sz w:val="18"/>
              </w:rPr>
            </w:pPr>
            <w:r>
              <w:rPr>
                <w:sz w:val="18"/>
              </w:rPr>
              <w:t>No poder satisfacer la cobertura</w:t>
            </w:r>
            <w:r>
              <w:rPr>
                <w:spacing w:val="-6"/>
                <w:sz w:val="18"/>
              </w:rPr>
              <w:t> </w:t>
            </w:r>
            <w:r>
              <w:rPr>
                <w:sz w:val="18"/>
              </w:rPr>
              <w:t>de</w:t>
            </w:r>
            <w:r>
              <w:rPr>
                <w:spacing w:val="-9"/>
                <w:sz w:val="18"/>
              </w:rPr>
              <w:t> </w:t>
            </w:r>
            <w:r>
              <w:rPr>
                <w:sz w:val="18"/>
              </w:rPr>
              <w:t>los</w:t>
            </w:r>
            <w:r>
              <w:rPr>
                <w:spacing w:val="-9"/>
                <w:sz w:val="18"/>
              </w:rPr>
              <w:t> </w:t>
            </w:r>
            <w:r>
              <w:rPr>
                <w:sz w:val="18"/>
              </w:rPr>
              <w:t>puestos</w:t>
            </w:r>
            <w:r>
              <w:rPr>
                <w:spacing w:val="-7"/>
                <w:sz w:val="18"/>
              </w:rPr>
              <w:t> </w:t>
            </w:r>
            <w:r>
              <w:rPr>
                <w:sz w:val="18"/>
              </w:rPr>
              <w:t>del Servicio de Seguridad y </w:t>
            </w:r>
            <w:r>
              <w:rPr>
                <w:spacing w:val="-2"/>
                <w:sz w:val="18"/>
              </w:rPr>
              <w:t>Vigilancia.</w:t>
            </w:r>
          </w:p>
          <w:p>
            <w:pPr>
              <w:pStyle w:val="TableParagraph"/>
              <w:numPr>
                <w:ilvl w:val="0"/>
                <w:numId w:val="108"/>
              </w:numPr>
              <w:tabs>
                <w:tab w:pos="285" w:val="left" w:leader="none"/>
              </w:tabs>
              <w:spacing w:line="240" w:lineRule="auto" w:before="3" w:after="0"/>
              <w:ind w:left="71" w:right="334" w:firstLine="0"/>
              <w:jc w:val="left"/>
              <w:rPr>
                <w:sz w:val="18"/>
              </w:rPr>
            </w:pPr>
            <w:r>
              <w:rPr>
                <w:sz w:val="18"/>
              </w:rPr>
              <w:t>No poder satisfacer la cobertura de los puestos de Servicios</w:t>
            </w:r>
            <w:r>
              <w:rPr>
                <w:spacing w:val="-10"/>
                <w:sz w:val="18"/>
              </w:rPr>
              <w:t> </w:t>
            </w:r>
            <w:r>
              <w:rPr>
                <w:sz w:val="18"/>
              </w:rPr>
              <w:t>de</w:t>
            </w:r>
            <w:r>
              <w:rPr>
                <w:spacing w:val="-7"/>
                <w:sz w:val="18"/>
              </w:rPr>
              <w:t> </w:t>
            </w:r>
            <w:r>
              <w:rPr>
                <w:sz w:val="18"/>
              </w:rPr>
              <w:t>Aseo</w:t>
            </w:r>
            <w:r>
              <w:rPr>
                <w:spacing w:val="-10"/>
                <w:sz w:val="18"/>
              </w:rPr>
              <w:t> </w:t>
            </w:r>
            <w:r>
              <w:rPr>
                <w:sz w:val="18"/>
              </w:rPr>
              <w:t>y</w:t>
            </w:r>
            <w:r>
              <w:rPr>
                <w:spacing w:val="-6"/>
                <w:sz w:val="18"/>
              </w:rPr>
              <w:t> </w:t>
            </w:r>
            <w:r>
              <w:rPr>
                <w:sz w:val="18"/>
              </w:rPr>
              <w:t>Limpieza</w:t>
            </w:r>
          </w:p>
          <w:p>
            <w:pPr>
              <w:pStyle w:val="TableParagraph"/>
              <w:numPr>
                <w:ilvl w:val="0"/>
                <w:numId w:val="108"/>
              </w:numPr>
              <w:tabs>
                <w:tab w:pos="285" w:val="left" w:leader="none"/>
              </w:tabs>
              <w:spacing w:line="240" w:lineRule="auto" w:before="0" w:after="0"/>
              <w:ind w:left="71" w:right="93" w:firstLine="0"/>
              <w:jc w:val="left"/>
              <w:rPr>
                <w:sz w:val="18"/>
              </w:rPr>
            </w:pPr>
            <w:r>
              <w:rPr>
                <w:sz w:val="18"/>
              </w:rPr>
              <w:t>Equipos</w:t>
            </w:r>
            <w:r>
              <w:rPr>
                <w:spacing w:val="-15"/>
                <w:sz w:val="18"/>
              </w:rPr>
              <w:t> </w:t>
            </w:r>
            <w:r>
              <w:rPr>
                <w:sz w:val="18"/>
              </w:rPr>
              <w:t>electromecánicos</w:t>
            </w:r>
            <w:r>
              <w:rPr>
                <w:spacing w:val="-12"/>
                <w:sz w:val="18"/>
              </w:rPr>
              <w:t> </w:t>
            </w:r>
            <w:r>
              <w:rPr>
                <w:sz w:val="18"/>
              </w:rPr>
              <w:t>sin el debido mantenimiento en el Edificio Central</w:t>
            </w:r>
          </w:p>
          <w:p>
            <w:pPr>
              <w:pStyle w:val="TableParagraph"/>
              <w:numPr>
                <w:ilvl w:val="0"/>
                <w:numId w:val="108"/>
              </w:numPr>
              <w:tabs>
                <w:tab w:pos="285" w:val="left" w:leader="none"/>
              </w:tabs>
              <w:spacing w:line="240" w:lineRule="auto" w:before="2" w:after="0"/>
              <w:ind w:left="71" w:right="196" w:firstLine="0"/>
              <w:jc w:val="left"/>
              <w:rPr>
                <w:sz w:val="18"/>
              </w:rPr>
            </w:pPr>
            <w:r>
              <w:rPr>
                <w:sz w:val="18"/>
              </w:rPr>
              <w:t>Atrasos</w:t>
            </w:r>
            <w:r>
              <w:rPr>
                <w:spacing w:val="-13"/>
                <w:sz w:val="18"/>
              </w:rPr>
              <w:t> </w:t>
            </w:r>
            <w:r>
              <w:rPr>
                <w:sz w:val="18"/>
              </w:rPr>
              <w:t>en</w:t>
            </w:r>
            <w:r>
              <w:rPr>
                <w:spacing w:val="-12"/>
                <w:sz w:val="18"/>
              </w:rPr>
              <w:t> </w:t>
            </w:r>
            <w:r>
              <w:rPr>
                <w:sz w:val="18"/>
              </w:rPr>
              <w:t>el</w:t>
            </w:r>
            <w:r>
              <w:rPr>
                <w:spacing w:val="-13"/>
                <w:sz w:val="18"/>
              </w:rPr>
              <w:t> </w:t>
            </w:r>
            <w:r>
              <w:rPr>
                <w:sz w:val="18"/>
              </w:rPr>
              <w:t>mantenimiento del Edificio Central, Anexos y otras oficinas.</w:t>
            </w:r>
          </w:p>
          <w:p>
            <w:pPr>
              <w:pStyle w:val="TableParagraph"/>
              <w:numPr>
                <w:ilvl w:val="0"/>
                <w:numId w:val="108"/>
              </w:numPr>
              <w:tabs>
                <w:tab w:pos="285" w:val="left" w:leader="none"/>
              </w:tabs>
              <w:spacing w:line="240" w:lineRule="auto" w:before="0" w:after="0"/>
              <w:ind w:left="71" w:right="106" w:firstLine="0"/>
              <w:jc w:val="left"/>
              <w:rPr>
                <w:sz w:val="18"/>
              </w:rPr>
            </w:pPr>
            <w:r>
              <w:rPr>
                <w:sz w:val="18"/>
              </w:rPr>
              <w:t>No se ejecutan los proyectos que se inscribieron y aprobaron en</w:t>
            </w:r>
            <w:r>
              <w:rPr>
                <w:spacing w:val="-3"/>
                <w:sz w:val="18"/>
              </w:rPr>
              <w:t> </w:t>
            </w:r>
            <w:r>
              <w:rPr>
                <w:sz w:val="18"/>
              </w:rPr>
              <w:t>BPIP</w:t>
            </w:r>
            <w:r>
              <w:rPr>
                <w:spacing w:val="-12"/>
                <w:sz w:val="18"/>
              </w:rPr>
              <w:t> </w:t>
            </w:r>
            <w:r>
              <w:rPr>
                <w:sz w:val="18"/>
              </w:rPr>
              <w:t>(Fase</w:t>
            </w:r>
            <w:r>
              <w:rPr>
                <w:spacing w:val="-7"/>
                <w:sz w:val="18"/>
              </w:rPr>
              <w:t> </w:t>
            </w:r>
            <w:r>
              <w:rPr>
                <w:sz w:val="18"/>
              </w:rPr>
              <w:t>de</w:t>
            </w:r>
            <w:r>
              <w:rPr>
                <w:spacing w:val="-7"/>
                <w:sz w:val="18"/>
              </w:rPr>
              <w:t> </w:t>
            </w:r>
            <w:r>
              <w:rPr>
                <w:sz w:val="18"/>
              </w:rPr>
              <w:t>seguimiento</w:t>
            </w:r>
            <w:r>
              <w:rPr>
                <w:spacing w:val="-7"/>
                <w:sz w:val="18"/>
              </w:rPr>
              <w:t> </w:t>
            </w:r>
            <w:r>
              <w:rPr>
                <w:sz w:val="18"/>
              </w:rPr>
              <w:t>y ejecución presupuestaria)</w:t>
            </w:r>
          </w:p>
        </w:tc>
      </w:tr>
      <w:tr>
        <w:trPr>
          <w:trHeight w:val="1656" w:hRule="atLeast"/>
        </w:trPr>
        <w:tc>
          <w:tcPr>
            <w:tcW w:w="2075" w:type="dxa"/>
          </w:tcPr>
          <w:p>
            <w:pPr>
              <w:pStyle w:val="TableParagraph"/>
              <w:ind w:left="72" w:right="94"/>
              <w:rPr>
                <w:sz w:val="18"/>
              </w:rPr>
            </w:pPr>
            <w:r>
              <w:rPr>
                <w:b/>
                <w:sz w:val="18"/>
              </w:rPr>
              <w:t>Actividad</w:t>
            </w:r>
            <w:r>
              <w:rPr>
                <w:b/>
                <w:spacing w:val="-4"/>
                <w:sz w:val="18"/>
              </w:rPr>
              <w:t> </w:t>
            </w:r>
            <w:r>
              <w:rPr>
                <w:b/>
                <w:sz w:val="18"/>
              </w:rPr>
              <w:t>PAC 2.40.2: </w:t>
            </w:r>
            <w:r>
              <w:rPr>
                <w:sz w:val="18"/>
              </w:rPr>
              <w:t>Mantener la cobertura de</w:t>
            </w:r>
            <w:r>
              <w:rPr>
                <w:spacing w:val="-12"/>
                <w:sz w:val="18"/>
              </w:rPr>
              <w:t> </w:t>
            </w:r>
            <w:r>
              <w:rPr>
                <w:sz w:val="18"/>
              </w:rPr>
              <w:t>puestos</w:t>
            </w:r>
            <w:r>
              <w:rPr>
                <w:spacing w:val="-10"/>
                <w:sz w:val="18"/>
              </w:rPr>
              <w:t> </w:t>
            </w:r>
            <w:r>
              <w:rPr>
                <w:sz w:val="18"/>
              </w:rPr>
              <w:t>de</w:t>
            </w:r>
            <w:r>
              <w:rPr>
                <w:spacing w:val="-13"/>
                <w:sz w:val="18"/>
              </w:rPr>
              <w:t> </w:t>
            </w:r>
            <w:r>
              <w:rPr>
                <w:sz w:val="18"/>
              </w:rPr>
              <w:t>servicios de Aseo y Limpieza según los </w:t>
            </w:r>
            <w:r>
              <w:rPr>
                <w:spacing w:val="-2"/>
                <w:sz w:val="18"/>
              </w:rPr>
              <w:t>requerimientos </w:t>
            </w:r>
            <w:r>
              <w:rPr>
                <w:sz w:val="18"/>
              </w:rPr>
              <w:t>institucionales. (PAC</w:t>
            </w:r>
          </w:p>
          <w:p>
            <w:pPr>
              <w:pStyle w:val="TableParagraph"/>
              <w:spacing w:line="187" w:lineRule="exact"/>
              <w:ind w:left="72"/>
              <w:rPr>
                <w:sz w:val="18"/>
              </w:rPr>
            </w:pPr>
            <w:r>
              <w:rPr>
                <w:spacing w:val="-4"/>
                <w:sz w:val="18"/>
              </w:rPr>
              <w:t>PPP)</w:t>
            </w:r>
          </w:p>
        </w:tc>
        <w:tc>
          <w:tcPr>
            <w:tcW w:w="1354"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57"/>
              <w:jc w:val="right"/>
              <w:rPr>
                <w:sz w:val="18"/>
              </w:rPr>
            </w:pPr>
            <w:r>
              <w:rPr>
                <w:spacing w:val="-4"/>
                <w:sz w:val="18"/>
              </w:rPr>
              <w:t>100%</w:t>
            </w:r>
          </w:p>
        </w:tc>
        <w:tc>
          <w:tcPr>
            <w:tcW w:w="1411"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57"/>
              <w:jc w:val="right"/>
              <w:rPr>
                <w:sz w:val="18"/>
              </w:rPr>
            </w:pPr>
            <w:r>
              <w:rPr>
                <w:spacing w:val="-4"/>
                <w:sz w:val="18"/>
              </w:rPr>
              <w:t>100%</w:t>
            </w:r>
          </w:p>
        </w:tc>
        <w:tc>
          <w:tcPr>
            <w:tcW w:w="1858" w:type="dxa"/>
          </w:tcPr>
          <w:p>
            <w:pPr>
              <w:pStyle w:val="TableParagraph"/>
              <w:spacing w:before="205"/>
              <w:rPr>
                <w:b/>
                <w:sz w:val="18"/>
              </w:rPr>
            </w:pPr>
          </w:p>
          <w:p>
            <w:pPr>
              <w:pStyle w:val="TableParagraph"/>
              <w:ind w:left="71" w:right="117"/>
              <w:rPr>
                <w:sz w:val="18"/>
              </w:rPr>
            </w:pPr>
            <w:r>
              <w:rPr>
                <w:sz w:val="18"/>
              </w:rPr>
              <w:t>Porcentaje de puestos</w:t>
            </w:r>
            <w:r>
              <w:rPr>
                <w:spacing w:val="-15"/>
                <w:sz w:val="18"/>
              </w:rPr>
              <w:t> </w:t>
            </w:r>
            <w:r>
              <w:rPr>
                <w:sz w:val="18"/>
              </w:rPr>
              <w:t>de</w:t>
            </w:r>
            <w:r>
              <w:rPr>
                <w:spacing w:val="-12"/>
                <w:sz w:val="18"/>
              </w:rPr>
              <w:t> </w:t>
            </w:r>
            <w:r>
              <w:rPr>
                <w:sz w:val="18"/>
              </w:rPr>
              <w:t>Limpieza y Aseo ejecutados de forma continua</w:t>
            </w:r>
          </w:p>
        </w:tc>
        <w:tc>
          <w:tcPr>
            <w:tcW w:w="1695" w:type="dxa"/>
          </w:tcPr>
          <w:p>
            <w:pPr>
              <w:pStyle w:val="TableParagraph"/>
              <w:rPr>
                <w:b/>
                <w:sz w:val="18"/>
              </w:rPr>
            </w:pPr>
          </w:p>
          <w:p>
            <w:pPr>
              <w:pStyle w:val="TableParagraph"/>
              <w:spacing w:before="104"/>
              <w:rPr>
                <w:b/>
                <w:sz w:val="18"/>
              </w:rPr>
            </w:pPr>
          </w:p>
          <w:p>
            <w:pPr>
              <w:pStyle w:val="TableParagraph"/>
              <w:ind w:left="67"/>
              <w:rPr>
                <w:sz w:val="18"/>
              </w:rPr>
            </w:pPr>
            <w:r>
              <w:rPr>
                <w:sz w:val="18"/>
              </w:rPr>
              <w:t>No. de puestos institucionales con servicios</w:t>
            </w:r>
            <w:r>
              <w:rPr>
                <w:spacing w:val="-13"/>
                <w:sz w:val="18"/>
              </w:rPr>
              <w:t> </w:t>
            </w:r>
            <w:r>
              <w:rPr>
                <w:sz w:val="18"/>
              </w:rPr>
              <w:t>continuos</w:t>
            </w:r>
          </w:p>
        </w:tc>
        <w:tc>
          <w:tcPr>
            <w:tcW w:w="1460" w:type="dxa"/>
          </w:tcPr>
          <w:p>
            <w:pPr>
              <w:pStyle w:val="TableParagraph"/>
              <w:spacing w:before="99"/>
              <w:rPr>
                <w:b/>
                <w:sz w:val="18"/>
              </w:rPr>
            </w:pPr>
          </w:p>
          <w:p>
            <w:pPr>
              <w:pStyle w:val="TableParagraph"/>
              <w:ind w:left="67" w:right="156"/>
              <w:rPr>
                <w:sz w:val="18"/>
              </w:rPr>
            </w:pPr>
            <w:r>
              <w:rPr>
                <w:spacing w:val="-2"/>
                <w:sz w:val="18"/>
              </w:rPr>
              <w:t>Departamento Servicios Generales-Servicios Administrativos</w:t>
            </w:r>
          </w:p>
        </w:tc>
        <w:tc>
          <w:tcPr>
            <w:tcW w:w="1767"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55"/>
              <w:jc w:val="right"/>
              <w:rPr>
                <w:sz w:val="18"/>
              </w:rPr>
            </w:pPr>
            <w:r>
              <w:rPr>
                <w:sz w:val="18"/>
              </w:rPr>
              <w:t>577</w:t>
            </w:r>
            <w:r>
              <w:rPr>
                <w:spacing w:val="-3"/>
                <w:sz w:val="18"/>
              </w:rPr>
              <w:t> </w:t>
            </w:r>
            <w:r>
              <w:rPr>
                <w:sz w:val="18"/>
              </w:rPr>
              <w:t>612</w:t>
            </w:r>
            <w:r>
              <w:rPr>
                <w:spacing w:val="-3"/>
                <w:sz w:val="18"/>
              </w:rPr>
              <w:t> </w:t>
            </w:r>
            <w:r>
              <w:rPr>
                <w:spacing w:val="-5"/>
                <w:sz w:val="18"/>
              </w:rPr>
              <w:t>680</w:t>
            </w:r>
          </w:p>
        </w:tc>
        <w:tc>
          <w:tcPr>
            <w:tcW w:w="2775" w:type="dxa"/>
            <w:vMerge/>
            <w:tcBorders>
              <w:top w:val="nil"/>
            </w:tcBorders>
          </w:tcPr>
          <w:p>
            <w:pPr>
              <w:rPr>
                <w:sz w:val="2"/>
                <w:szCs w:val="2"/>
              </w:rPr>
            </w:pPr>
          </w:p>
        </w:tc>
      </w:tr>
      <w:tr>
        <w:trPr>
          <w:trHeight w:val="2688" w:hRule="atLeast"/>
        </w:trPr>
        <w:tc>
          <w:tcPr>
            <w:tcW w:w="2075" w:type="dxa"/>
          </w:tcPr>
          <w:p>
            <w:pPr>
              <w:pStyle w:val="TableParagraph"/>
              <w:ind w:left="72" w:right="94"/>
              <w:rPr>
                <w:sz w:val="18"/>
              </w:rPr>
            </w:pPr>
            <w:r>
              <w:rPr>
                <w:b/>
                <w:sz w:val="18"/>
              </w:rPr>
              <w:t>Actividad</w:t>
            </w:r>
            <w:r>
              <w:rPr>
                <w:b/>
                <w:spacing w:val="-15"/>
                <w:sz w:val="18"/>
              </w:rPr>
              <w:t> </w:t>
            </w:r>
            <w:r>
              <w:rPr>
                <w:b/>
                <w:sz w:val="18"/>
              </w:rPr>
              <w:t>PAC</w:t>
            </w:r>
            <w:r>
              <w:rPr>
                <w:b/>
                <w:spacing w:val="-12"/>
                <w:sz w:val="18"/>
              </w:rPr>
              <w:t> </w:t>
            </w:r>
            <w:r>
              <w:rPr>
                <w:b/>
                <w:sz w:val="18"/>
              </w:rPr>
              <w:t>2.40.3: </w:t>
            </w:r>
            <w:r>
              <w:rPr>
                <w:sz w:val="18"/>
              </w:rPr>
              <w:t>Mantener la cobertura de servicios de mantenimiento de los </w:t>
            </w:r>
            <w:r>
              <w:rPr>
                <w:spacing w:val="-2"/>
                <w:sz w:val="18"/>
              </w:rPr>
              <w:t>equipos electromecánicos </w:t>
            </w:r>
            <w:r>
              <w:rPr>
                <w:sz w:val="18"/>
              </w:rPr>
              <w:t>necesarios para la operatividad de los edificios propios de Nivel</w:t>
            </w:r>
            <w:r>
              <w:rPr>
                <w:spacing w:val="-15"/>
                <w:sz w:val="18"/>
              </w:rPr>
              <w:t> </w:t>
            </w:r>
            <w:r>
              <w:rPr>
                <w:sz w:val="18"/>
              </w:rPr>
              <w:t>Central.</w:t>
            </w:r>
            <w:r>
              <w:rPr>
                <w:spacing w:val="-12"/>
                <w:sz w:val="18"/>
              </w:rPr>
              <w:t> </w:t>
            </w:r>
            <w:r>
              <w:rPr>
                <w:sz w:val="18"/>
              </w:rPr>
              <w:t>(1.08.01)</w:t>
            </w:r>
          </w:p>
          <w:p>
            <w:pPr>
              <w:pStyle w:val="TableParagraph"/>
              <w:spacing w:line="206" w:lineRule="exact"/>
              <w:ind w:left="72"/>
              <w:rPr>
                <w:sz w:val="18"/>
              </w:rPr>
            </w:pPr>
            <w:r>
              <w:rPr>
                <w:sz w:val="18"/>
              </w:rPr>
              <w:t>(1.08.04)</w:t>
            </w:r>
            <w:r>
              <w:rPr>
                <w:spacing w:val="-6"/>
                <w:sz w:val="18"/>
              </w:rPr>
              <w:t> </w:t>
            </w:r>
            <w:r>
              <w:rPr>
                <w:spacing w:val="-2"/>
                <w:sz w:val="18"/>
              </w:rPr>
              <w:t>(1.08.06)</w:t>
            </w:r>
          </w:p>
          <w:p>
            <w:pPr>
              <w:pStyle w:val="TableParagraph"/>
              <w:spacing w:line="207" w:lineRule="exact"/>
              <w:ind w:left="72"/>
              <w:rPr>
                <w:sz w:val="18"/>
              </w:rPr>
            </w:pPr>
            <w:r>
              <w:rPr>
                <w:sz w:val="18"/>
              </w:rPr>
              <w:t>(1.08.07)</w:t>
            </w:r>
            <w:r>
              <w:rPr>
                <w:spacing w:val="-6"/>
                <w:sz w:val="18"/>
              </w:rPr>
              <w:t> </w:t>
            </w:r>
            <w:r>
              <w:rPr>
                <w:spacing w:val="-2"/>
                <w:sz w:val="18"/>
              </w:rPr>
              <w:t>(1.08.99)</w:t>
            </w:r>
          </w:p>
          <w:p>
            <w:pPr>
              <w:pStyle w:val="TableParagraph"/>
              <w:spacing w:line="187" w:lineRule="exact"/>
              <w:ind w:left="72"/>
              <w:rPr>
                <w:sz w:val="18"/>
              </w:rPr>
            </w:pPr>
            <w:r>
              <w:rPr>
                <w:spacing w:val="-2"/>
                <w:sz w:val="18"/>
              </w:rPr>
              <w:t>(1.08.08)</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7"/>
              <w:jc w:val="right"/>
              <w:rPr>
                <w:sz w:val="18"/>
              </w:rPr>
            </w:pPr>
            <w:r>
              <w:rPr>
                <w:spacing w:val="-4"/>
                <w:sz w:val="18"/>
              </w:rPr>
              <w:t>100%</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7"/>
              <w:jc w:val="right"/>
              <w:rPr>
                <w:sz w:val="18"/>
              </w:rPr>
            </w:pPr>
            <w:r>
              <w:rPr>
                <w:spacing w:val="-4"/>
                <w:sz w:val="18"/>
              </w:rPr>
              <w:t>100%</w:t>
            </w:r>
          </w:p>
        </w:tc>
        <w:tc>
          <w:tcPr>
            <w:tcW w:w="185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ight="79"/>
              <w:rPr>
                <w:sz w:val="18"/>
              </w:rPr>
            </w:pPr>
            <w:r>
              <w:rPr>
                <w:sz w:val="18"/>
              </w:rPr>
              <w:t>Porcentaje de equipos</w:t>
            </w:r>
            <w:r>
              <w:rPr>
                <w:spacing w:val="-15"/>
                <w:sz w:val="18"/>
              </w:rPr>
              <w:t> </w:t>
            </w:r>
            <w:r>
              <w:rPr>
                <w:sz w:val="18"/>
              </w:rPr>
              <w:t>que</w:t>
            </w:r>
            <w:r>
              <w:rPr>
                <w:spacing w:val="-12"/>
                <w:sz w:val="18"/>
              </w:rPr>
              <w:t> </w:t>
            </w:r>
            <w:r>
              <w:rPr>
                <w:sz w:val="18"/>
              </w:rPr>
              <w:t>cuentan con servicios de </w:t>
            </w:r>
            <w:r>
              <w:rPr>
                <w:spacing w:val="-2"/>
                <w:sz w:val="18"/>
              </w:rPr>
              <w:t>mantenimiento.</w:t>
            </w:r>
          </w:p>
        </w:tc>
        <w:tc>
          <w:tcPr>
            <w:tcW w:w="169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7"/>
              <w:rPr>
                <w:sz w:val="18"/>
              </w:rPr>
            </w:pPr>
            <w:r>
              <w:rPr>
                <w:sz w:val="18"/>
              </w:rPr>
              <w:t>No.</w:t>
            </w:r>
            <w:r>
              <w:rPr>
                <w:spacing w:val="-11"/>
                <w:sz w:val="18"/>
              </w:rPr>
              <w:t> </w:t>
            </w:r>
            <w:r>
              <w:rPr>
                <w:sz w:val="18"/>
              </w:rPr>
              <w:t>de</w:t>
            </w:r>
            <w:r>
              <w:rPr>
                <w:spacing w:val="-11"/>
                <w:sz w:val="18"/>
              </w:rPr>
              <w:t> </w:t>
            </w:r>
            <w:r>
              <w:rPr>
                <w:sz w:val="18"/>
              </w:rPr>
              <w:t>equipos</w:t>
            </w:r>
            <w:r>
              <w:rPr>
                <w:spacing w:val="-13"/>
                <w:sz w:val="18"/>
              </w:rPr>
              <w:t> </w:t>
            </w:r>
            <w:r>
              <w:rPr>
                <w:sz w:val="18"/>
              </w:rPr>
              <w:t>en </w:t>
            </w:r>
            <w:r>
              <w:rPr>
                <w:spacing w:val="-2"/>
                <w:sz w:val="18"/>
              </w:rPr>
              <w:t>funcionamiento.</w:t>
            </w:r>
          </w:p>
        </w:tc>
        <w:tc>
          <w:tcPr>
            <w:tcW w:w="1460" w:type="dxa"/>
          </w:tcPr>
          <w:p>
            <w:pPr>
              <w:pStyle w:val="TableParagraph"/>
              <w:rPr>
                <w:b/>
                <w:sz w:val="18"/>
              </w:rPr>
            </w:pPr>
          </w:p>
          <w:p>
            <w:pPr>
              <w:pStyle w:val="TableParagraph"/>
              <w:rPr>
                <w:b/>
                <w:sz w:val="18"/>
              </w:rPr>
            </w:pPr>
          </w:p>
          <w:p>
            <w:pPr>
              <w:pStyle w:val="TableParagraph"/>
              <w:spacing w:before="203"/>
              <w:rPr>
                <w:b/>
                <w:sz w:val="18"/>
              </w:rPr>
            </w:pPr>
          </w:p>
          <w:p>
            <w:pPr>
              <w:pStyle w:val="TableParagraph"/>
              <w:ind w:left="67" w:right="156"/>
              <w:rPr>
                <w:sz w:val="18"/>
              </w:rPr>
            </w:pPr>
            <w:r>
              <w:rPr>
                <w:spacing w:val="-2"/>
                <w:sz w:val="18"/>
              </w:rPr>
              <w:t>Departamento Servicios Generales-Servicios Administrativos</w:t>
            </w:r>
          </w:p>
        </w:tc>
        <w:tc>
          <w:tcPr>
            <w:tcW w:w="176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0"/>
              <w:jc w:val="right"/>
              <w:rPr>
                <w:sz w:val="18"/>
              </w:rPr>
            </w:pPr>
            <w:r>
              <w:rPr>
                <w:sz w:val="18"/>
              </w:rPr>
              <w:t>35</w:t>
            </w:r>
            <w:r>
              <w:rPr>
                <w:spacing w:val="2"/>
                <w:sz w:val="18"/>
              </w:rPr>
              <w:t> </w:t>
            </w:r>
            <w:r>
              <w:rPr>
                <w:sz w:val="18"/>
              </w:rPr>
              <w:t>100</w:t>
            </w:r>
            <w:r>
              <w:rPr>
                <w:spacing w:val="-2"/>
                <w:sz w:val="18"/>
              </w:rPr>
              <w:t> </w:t>
            </w:r>
            <w:r>
              <w:rPr>
                <w:spacing w:val="-5"/>
                <w:sz w:val="18"/>
              </w:rPr>
              <w:t>000</w:t>
            </w:r>
          </w:p>
        </w:tc>
        <w:tc>
          <w:tcPr>
            <w:tcW w:w="2775"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5"/>
        <w:gridCol w:w="1354"/>
        <w:gridCol w:w="1411"/>
        <w:gridCol w:w="1858"/>
        <w:gridCol w:w="1695"/>
        <w:gridCol w:w="1460"/>
        <w:gridCol w:w="1767"/>
        <w:gridCol w:w="2775"/>
      </w:tblGrid>
      <w:tr>
        <w:trPr>
          <w:trHeight w:val="762" w:hRule="atLeast"/>
        </w:trPr>
        <w:tc>
          <w:tcPr>
            <w:tcW w:w="2075" w:type="dxa"/>
            <w:shd w:val="clear" w:color="auto" w:fill="E7E6E6"/>
          </w:tcPr>
          <w:p>
            <w:pPr>
              <w:pStyle w:val="TableParagraph"/>
              <w:spacing w:before="176"/>
              <w:ind w:left="552" w:right="61" w:firstLine="24"/>
              <w:rPr>
                <w:b/>
                <w:sz w:val="18"/>
              </w:rPr>
            </w:pPr>
            <w:r>
              <w:rPr>
                <w:b/>
                <w:sz w:val="18"/>
              </w:rPr>
              <w:t>Objetivos</w:t>
            </w:r>
            <w:r>
              <w:rPr>
                <w:b/>
                <w:spacing w:val="-7"/>
                <w:sz w:val="18"/>
              </w:rPr>
              <w:t> </w:t>
            </w:r>
            <w:r>
              <w:rPr>
                <w:b/>
                <w:sz w:val="18"/>
              </w:rPr>
              <w:t>/ </w:t>
            </w:r>
            <w:r>
              <w:rPr>
                <w:b/>
                <w:spacing w:val="-2"/>
                <w:sz w:val="18"/>
              </w:rPr>
              <w:t>Resultados</w:t>
            </w:r>
          </w:p>
        </w:tc>
        <w:tc>
          <w:tcPr>
            <w:tcW w:w="1354" w:type="dxa"/>
            <w:shd w:val="clear" w:color="auto" w:fill="E7E6E6"/>
          </w:tcPr>
          <w:p>
            <w:pPr>
              <w:pStyle w:val="TableParagraph"/>
              <w:spacing w:before="176"/>
              <w:ind w:left="412" w:hanging="216"/>
              <w:rPr>
                <w:b/>
                <w:sz w:val="18"/>
              </w:rPr>
            </w:pPr>
            <w:r>
              <w:rPr>
                <w:b/>
                <w:sz w:val="18"/>
              </w:rPr>
              <w:t>Línea</w:t>
            </w:r>
            <w:r>
              <w:rPr>
                <w:b/>
                <w:spacing w:val="-13"/>
                <w:sz w:val="18"/>
              </w:rPr>
              <w:t> </w:t>
            </w:r>
            <w:r>
              <w:rPr>
                <w:b/>
                <w:sz w:val="18"/>
              </w:rPr>
              <w:t>Base </w:t>
            </w:r>
            <w:r>
              <w:rPr>
                <w:b/>
                <w:spacing w:val="-2"/>
                <w:sz w:val="18"/>
              </w:rPr>
              <w:t>(2024)</w:t>
            </w:r>
          </w:p>
        </w:tc>
        <w:tc>
          <w:tcPr>
            <w:tcW w:w="1411" w:type="dxa"/>
            <w:shd w:val="clear" w:color="auto" w:fill="E7E6E6"/>
          </w:tcPr>
          <w:p>
            <w:pPr>
              <w:pStyle w:val="TableParagraph"/>
              <w:spacing w:before="71"/>
              <w:ind w:left="181" w:right="170" w:hanging="10"/>
              <w:jc w:val="center"/>
              <w:rPr>
                <w:b/>
                <w:sz w:val="18"/>
              </w:rPr>
            </w:pPr>
            <w:r>
              <w:rPr>
                <w:b/>
                <w:spacing w:val="-4"/>
                <w:sz w:val="18"/>
              </w:rPr>
              <w:t>Meta </w:t>
            </w:r>
            <w:r>
              <w:rPr>
                <w:b/>
                <w:spacing w:val="-2"/>
                <w:sz w:val="18"/>
              </w:rPr>
              <w:t>programada </w:t>
            </w:r>
            <w:r>
              <w:rPr>
                <w:b/>
                <w:spacing w:val="-4"/>
                <w:sz w:val="18"/>
              </w:rPr>
              <w:t>2026</w:t>
            </w:r>
          </w:p>
        </w:tc>
        <w:tc>
          <w:tcPr>
            <w:tcW w:w="1858" w:type="dxa"/>
            <w:shd w:val="clear" w:color="auto" w:fill="E7E6E6"/>
          </w:tcPr>
          <w:p>
            <w:pPr>
              <w:pStyle w:val="TableParagraph"/>
              <w:spacing w:before="70"/>
              <w:rPr>
                <w:b/>
                <w:sz w:val="18"/>
              </w:rPr>
            </w:pPr>
          </w:p>
          <w:p>
            <w:pPr>
              <w:pStyle w:val="TableParagraph"/>
              <w:ind w:left="523"/>
              <w:rPr>
                <w:b/>
                <w:sz w:val="18"/>
              </w:rPr>
            </w:pPr>
            <w:r>
              <w:rPr>
                <w:b/>
                <w:spacing w:val="-2"/>
                <w:sz w:val="18"/>
              </w:rPr>
              <w:t>Indicador</w:t>
            </w:r>
          </w:p>
        </w:tc>
        <w:tc>
          <w:tcPr>
            <w:tcW w:w="1695" w:type="dxa"/>
            <w:shd w:val="clear" w:color="auto" w:fill="E7E6E6"/>
          </w:tcPr>
          <w:p>
            <w:pPr>
              <w:pStyle w:val="TableParagraph"/>
              <w:spacing w:before="176"/>
              <w:ind w:left="345" w:firstLine="57"/>
              <w:rPr>
                <w:b/>
                <w:sz w:val="18"/>
              </w:rPr>
            </w:pPr>
            <w:r>
              <w:rPr>
                <w:b/>
                <w:sz w:val="18"/>
              </w:rPr>
              <w:t>Medios de </w:t>
            </w:r>
            <w:r>
              <w:rPr>
                <w:b/>
                <w:spacing w:val="-2"/>
                <w:sz w:val="18"/>
              </w:rPr>
              <w:t>verificación</w:t>
            </w:r>
          </w:p>
        </w:tc>
        <w:tc>
          <w:tcPr>
            <w:tcW w:w="1460" w:type="dxa"/>
            <w:shd w:val="clear" w:color="auto" w:fill="E7E6E6"/>
          </w:tcPr>
          <w:p>
            <w:pPr>
              <w:pStyle w:val="TableParagraph"/>
              <w:spacing w:before="70"/>
              <w:rPr>
                <w:b/>
                <w:sz w:val="18"/>
              </w:rPr>
            </w:pPr>
          </w:p>
          <w:p>
            <w:pPr>
              <w:pStyle w:val="TableParagraph"/>
              <w:ind w:left="168"/>
              <w:rPr>
                <w:b/>
                <w:sz w:val="18"/>
              </w:rPr>
            </w:pPr>
            <w:r>
              <w:rPr>
                <w:b/>
                <w:spacing w:val="-2"/>
                <w:sz w:val="18"/>
              </w:rPr>
              <w:t>Responsable</w:t>
            </w:r>
          </w:p>
        </w:tc>
        <w:tc>
          <w:tcPr>
            <w:tcW w:w="1767" w:type="dxa"/>
            <w:shd w:val="clear" w:color="auto" w:fill="E7E6E6"/>
          </w:tcPr>
          <w:p>
            <w:pPr>
              <w:pStyle w:val="TableParagraph"/>
              <w:spacing w:before="176"/>
              <w:ind w:left="489" w:hanging="154"/>
              <w:rPr>
                <w:b/>
                <w:sz w:val="18"/>
              </w:rPr>
            </w:pPr>
            <w:r>
              <w:rPr>
                <w:b/>
                <w:spacing w:val="-2"/>
                <w:sz w:val="18"/>
              </w:rPr>
              <w:t>Presupuesto asignado</w:t>
            </w:r>
          </w:p>
        </w:tc>
        <w:tc>
          <w:tcPr>
            <w:tcW w:w="2775" w:type="dxa"/>
            <w:shd w:val="clear" w:color="auto" w:fill="E7E6E6"/>
          </w:tcPr>
          <w:p>
            <w:pPr>
              <w:pStyle w:val="TableParagraph"/>
              <w:spacing w:before="70"/>
              <w:rPr>
                <w:b/>
                <w:sz w:val="18"/>
              </w:rPr>
            </w:pPr>
          </w:p>
          <w:p>
            <w:pPr>
              <w:pStyle w:val="TableParagraph"/>
              <w:ind w:left="19" w:right="6"/>
              <w:jc w:val="center"/>
              <w:rPr>
                <w:b/>
                <w:sz w:val="18"/>
              </w:rPr>
            </w:pPr>
            <w:r>
              <w:rPr>
                <w:b/>
                <w:spacing w:val="-2"/>
                <w:sz w:val="18"/>
              </w:rPr>
              <w:t>Riesgos</w:t>
            </w:r>
          </w:p>
        </w:tc>
      </w:tr>
      <w:tr>
        <w:trPr>
          <w:trHeight w:val="2131" w:hRule="atLeast"/>
        </w:trPr>
        <w:tc>
          <w:tcPr>
            <w:tcW w:w="2075" w:type="dxa"/>
          </w:tcPr>
          <w:p>
            <w:pPr>
              <w:pStyle w:val="TableParagraph"/>
              <w:spacing w:before="32"/>
              <w:ind w:left="72" w:right="116"/>
              <w:rPr>
                <w:sz w:val="18"/>
              </w:rPr>
            </w:pPr>
            <w:r>
              <w:rPr>
                <w:b/>
                <w:sz w:val="18"/>
              </w:rPr>
              <w:t>Actividad</w:t>
            </w:r>
            <w:r>
              <w:rPr>
                <w:b/>
                <w:spacing w:val="-15"/>
                <w:sz w:val="18"/>
              </w:rPr>
              <w:t> </w:t>
            </w:r>
            <w:r>
              <w:rPr>
                <w:b/>
                <w:sz w:val="18"/>
              </w:rPr>
              <w:t>PAC</w:t>
            </w:r>
            <w:r>
              <w:rPr>
                <w:b/>
                <w:spacing w:val="-12"/>
                <w:sz w:val="18"/>
              </w:rPr>
              <w:t> </w:t>
            </w:r>
            <w:r>
              <w:rPr>
                <w:b/>
                <w:sz w:val="18"/>
              </w:rPr>
              <w:t>2.40.4: </w:t>
            </w:r>
            <w:r>
              <w:rPr>
                <w:sz w:val="18"/>
              </w:rPr>
              <w:t>Mantener la cobertura del servicio de mantenimiento de los edificios propios del IMAS, que son necesarios para la adecuada</w:t>
            </w:r>
            <w:r>
              <w:rPr>
                <w:spacing w:val="-4"/>
                <w:sz w:val="18"/>
              </w:rPr>
              <w:t> </w:t>
            </w:r>
            <w:r>
              <w:rPr>
                <w:sz w:val="18"/>
              </w:rPr>
              <w:t>operatividad de la Institución de Nivel</w:t>
            </w:r>
            <w:r>
              <w:rPr>
                <w:spacing w:val="-15"/>
                <w:sz w:val="18"/>
              </w:rPr>
              <w:t> </w:t>
            </w:r>
            <w:r>
              <w:rPr>
                <w:sz w:val="18"/>
              </w:rPr>
              <w:t>Central.</w:t>
            </w:r>
            <w:r>
              <w:rPr>
                <w:spacing w:val="-12"/>
                <w:sz w:val="18"/>
              </w:rPr>
              <w:t> </w:t>
            </w:r>
            <w:r>
              <w:rPr>
                <w:sz w:val="18"/>
              </w:rPr>
              <w:t>(1.08.01)</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36"/>
              <w:rPr>
                <w:b/>
                <w:sz w:val="18"/>
              </w:rPr>
            </w:pPr>
          </w:p>
          <w:p>
            <w:pPr>
              <w:pStyle w:val="TableParagraph"/>
              <w:ind w:right="57"/>
              <w:jc w:val="right"/>
              <w:rPr>
                <w:sz w:val="18"/>
              </w:rPr>
            </w:pPr>
            <w:r>
              <w:rPr>
                <w:spacing w:val="-4"/>
                <w:sz w:val="18"/>
              </w:rPr>
              <w:t>100%</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spacing w:before="136"/>
              <w:rPr>
                <w:b/>
                <w:sz w:val="18"/>
              </w:rPr>
            </w:pPr>
          </w:p>
          <w:p>
            <w:pPr>
              <w:pStyle w:val="TableParagraph"/>
              <w:ind w:right="57"/>
              <w:jc w:val="right"/>
              <w:rPr>
                <w:sz w:val="18"/>
              </w:rPr>
            </w:pPr>
            <w:r>
              <w:rPr>
                <w:spacing w:val="-4"/>
                <w:sz w:val="18"/>
              </w:rPr>
              <w:t>100%</w:t>
            </w:r>
          </w:p>
        </w:tc>
        <w:tc>
          <w:tcPr>
            <w:tcW w:w="1858" w:type="dxa"/>
          </w:tcPr>
          <w:p>
            <w:pPr>
              <w:pStyle w:val="TableParagraph"/>
              <w:rPr>
                <w:b/>
                <w:sz w:val="18"/>
              </w:rPr>
            </w:pPr>
          </w:p>
          <w:p>
            <w:pPr>
              <w:pStyle w:val="TableParagraph"/>
              <w:spacing w:before="32"/>
              <w:rPr>
                <w:b/>
                <w:sz w:val="18"/>
              </w:rPr>
            </w:pPr>
          </w:p>
          <w:p>
            <w:pPr>
              <w:pStyle w:val="TableParagraph"/>
              <w:ind w:left="71"/>
              <w:rPr>
                <w:sz w:val="18"/>
              </w:rPr>
            </w:pPr>
            <w:r>
              <w:rPr>
                <w:sz w:val="18"/>
              </w:rPr>
              <w:t>Porcentaje de </w:t>
            </w:r>
            <w:r>
              <w:rPr>
                <w:spacing w:val="-2"/>
                <w:sz w:val="18"/>
              </w:rPr>
              <w:t>contrataciones </w:t>
            </w:r>
            <w:r>
              <w:rPr>
                <w:sz w:val="18"/>
              </w:rPr>
              <w:t>realizadas para velar por el adecuado mantenimiento</w:t>
            </w:r>
            <w:r>
              <w:rPr>
                <w:spacing w:val="-15"/>
                <w:sz w:val="18"/>
              </w:rPr>
              <w:t> </w:t>
            </w:r>
            <w:r>
              <w:rPr>
                <w:sz w:val="18"/>
              </w:rPr>
              <w:t>de</w:t>
            </w:r>
            <w:r>
              <w:rPr>
                <w:spacing w:val="-12"/>
                <w:sz w:val="18"/>
              </w:rPr>
              <w:t> </w:t>
            </w:r>
            <w:r>
              <w:rPr>
                <w:sz w:val="18"/>
              </w:rPr>
              <w:t>los </w:t>
            </w:r>
            <w:r>
              <w:rPr>
                <w:spacing w:val="-2"/>
                <w:sz w:val="18"/>
              </w:rPr>
              <w:t>edificios.</w:t>
            </w:r>
          </w:p>
        </w:tc>
        <w:tc>
          <w:tcPr>
            <w:tcW w:w="1695" w:type="dxa"/>
          </w:tcPr>
          <w:p>
            <w:pPr>
              <w:pStyle w:val="TableParagraph"/>
              <w:rPr>
                <w:b/>
                <w:sz w:val="18"/>
              </w:rPr>
            </w:pPr>
          </w:p>
          <w:p>
            <w:pPr>
              <w:pStyle w:val="TableParagraph"/>
              <w:rPr>
                <w:b/>
                <w:sz w:val="18"/>
              </w:rPr>
            </w:pPr>
          </w:p>
          <w:p>
            <w:pPr>
              <w:pStyle w:val="TableParagraph"/>
              <w:spacing w:before="137"/>
              <w:rPr>
                <w:b/>
                <w:sz w:val="18"/>
              </w:rPr>
            </w:pPr>
          </w:p>
          <w:p>
            <w:pPr>
              <w:pStyle w:val="TableParagraph"/>
              <w:ind w:left="67"/>
              <w:rPr>
                <w:sz w:val="18"/>
              </w:rPr>
            </w:pPr>
            <w:r>
              <w:rPr>
                <w:sz w:val="18"/>
              </w:rPr>
              <w:t>No. de </w:t>
            </w:r>
            <w:r>
              <w:rPr>
                <w:spacing w:val="-2"/>
                <w:sz w:val="18"/>
              </w:rPr>
              <w:t>trabajos/contratos ejecutados.</w:t>
            </w:r>
          </w:p>
        </w:tc>
        <w:tc>
          <w:tcPr>
            <w:tcW w:w="1460" w:type="dxa"/>
          </w:tcPr>
          <w:p>
            <w:pPr>
              <w:pStyle w:val="TableParagraph"/>
              <w:rPr>
                <w:b/>
                <w:sz w:val="18"/>
              </w:rPr>
            </w:pPr>
          </w:p>
          <w:p>
            <w:pPr>
              <w:pStyle w:val="TableParagraph"/>
              <w:spacing w:before="137"/>
              <w:rPr>
                <w:b/>
                <w:sz w:val="18"/>
              </w:rPr>
            </w:pPr>
          </w:p>
          <w:p>
            <w:pPr>
              <w:pStyle w:val="TableParagraph"/>
              <w:ind w:left="67" w:right="156"/>
              <w:rPr>
                <w:sz w:val="18"/>
              </w:rPr>
            </w:pPr>
            <w:r>
              <w:rPr>
                <w:spacing w:val="-2"/>
                <w:sz w:val="18"/>
              </w:rPr>
              <w:t>Departamento Servicios Generales-Servicios Administrativos</w:t>
            </w:r>
          </w:p>
        </w:tc>
        <w:tc>
          <w:tcPr>
            <w:tcW w:w="1767" w:type="dxa"/>
          </w:tcPr>
          <w:p>
            <w:pPr>
              <w:pStyle w:val="TableParagraph"/>
              <w:rPr>
                <w:b/>
                <w:sz w:val="18"/>
              </w:rPr>
            </w:pPr>
          </w:p>
          <w:p>
            <w:pPr>
              <w:pStyle w:val="TableParagraph"/>
              <w:rPr>
                <w:b/>
                <w:sz w:val="18"/>
              </w:rPr>
            </w:pPr>
          </w:p>
          <w:p>
            <w:pPr>
              <w:pStyle w:val="TableParagraph"/>
              <w:rPr>
                <w:b/>
                <w:sz w:val="18"/>
              </w:rPr>
            </w:pPr>
          </w:p>
          <w:p>
            <w:pPr>
              <w:pStyle w:val="TableParagraph"/>
              <w:spacing w:before="136"/>
              <w:rPr>
                <w:b/>
                <w:sz w:val="18"/>
              </w:rPr>
            </w:pPr>
          </w:p>
          <w:p>
            <w:pPr>
              <w:pStyle w:val="TableParagraph"/>
              <w:ind w:right="50"/>
              <w:jc w:val="right"/>
              <w:rPr>
                <w:sz w:val="18"/>
              </w:rPr>
            </w:pPr>
            <w:r>
              <w:rPr>
                <w:sz w:val="18"/>
              </w:rPr>
              <w:t>102</w:t>
            </w:r>
            <w:r>
              <w:rPr>
                <w:spacing w:val="2"/>
                <w:sz w:val="18"/>
              </w:rPr>
              <w:t> </w:t>
            </w:r>
            <w:r>
              <w:rPr>
                <w:sz w:val="18"/>
              </w:rPr>
              <w:t>000</w:t>
            </w:r>
            <w:r>
              <w:rPr>
                <w:spacing w:val="-2"/>
                <w:sz w:val="18"/>
              </w:rPr>
              <w:t> </w:t>
            </w:r>
            <w:r>
              <w:rPr>
                <w:spacing w:val="-5"/>
                <w:sz w:val="18"/>
              </w:rPr>
              <w:t>000</w:t>
            </w:r>
          </w:p>
        </w:tc>
        <w:tc>
          <w:tcPr>
            <w:tcW w:w="2775" w:type="dxa"/>
            <w:vMerge w:val="restart"/>
          </w:tcPr>
          <w:p>
            <w:pPr>
              <w:pStyle w:val="TableParagraph"/>
              <w:rPr>
                <w:rFonts w:ascii="Times New Roman"/>
                <w:sz w:val="18"/>
              </w:rPr>
            </w:pPr>
          </w:p>
        </w:tc>
      </w:tr>
      <w:tr>
        <w:trPr>
          <w:trHeight w:val="1862" w:hRule="atLeast"/>
        </w:trPr>
        <w:tc>
          <w:tcPr>
            <w:tcW w:w="2075" w:type="dxa"/>
          </w:tcPr>
          <w:p>
            <w:pPr>
              <w:pStyle w:val="TableParagraph"/>
              <w:spacing w:before="104"/>
              <w:ind w:left="72" w:right="61"/>
              <w:rPr>
                <w:sz w:val="18"/>
              </w:rPr>
            </w:pPr>
            <w:r>
              <w:rPr>
                <w:b/>
                <w:sz w:val="18"/>
              </w:rPr>
              <w:t>Actividad</w:t>
            </w:r>
            <w:r>
              <w:rPr>
                <w:b/>
                <w:spacing w:val="-15"/>
                <w:sz w:val="18"/>
              </w:rPr>
              <w:t> </w:t>
            </w:r>
            <w:r>
              <w:rPr>
                <w:b/>
                <w:sz w:val="18"/>
              </w:rPr>
              <w:t>PAC</w:t>
            </w:r>
            <w:r>
              <w:rPr>
                <w:b/>
                <w:spacing w:val="-12"/>
                <w:sz w:val="18"/>
              </w:rPr>
              <w:t> </w:t>
            </w:r>
            <w:r>
              <w:rPr>
                <w:b/>
                <w:sz w:val="18"/>
              </w:rPr>
              <w:t>2.40.5: </w:t>
            </w:r>
            <w:r>
              <w:rPr>
                <w:sz w:val="18"/>
              </w:rPr>
              <w:t>Seguimiento de los proyectos inscritos incluidos dentro del BPIP que tengan competencia con el Proceso de Servicios </w:t>
            </w:r>
            <w:r>
              <w:rPr>
                <w:spacing w:val="-2"/>
                <w:sz w:val="18"/>
              </w:rPr>
              <w:t>Administrativos.</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60"/>
              <w:jc w:val="right"/>
              <w:rPr>
                <w:sz w:val="18"/>
              </w:rPr>
            </w:pPr>
            <w:r>
              <w:rPr>
                <w:spacing w:val="-10"/>
                <w:sz w:val="18"/>
              </w:rPr>
              <w:t>0</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9"/>
              <w:jc w:val="right"/>
              <w:rPr>
                <w:sz w:val="18"/>
              </w:rPr>
            </w:pPr>
            <w:r>
              <w:rPr>
                <w:spacing w:val="-10"/>
                <w:sz w:val="18"/>
              </w:rPr>
              <w:t>2</w:t>
            </w:r>
          </w:p>
        </w:tc>
        <w:tc>
          <w:tcPr>
            <w:tcW w:w="1858" w:type="dxa"/>
          </w:tcPr>
          <w:p>
            <w:pPr>
              <w:pStyle w:val="TableParagraph"/>
              <w:rPr>
                <w:b/>
                <w:sz w:val="18"/>
              </w:rPr>
            </w:pPr>
          </w:p>
          <w:p>
            <w:pPr>
              <w:pStyle w:val="TableParagraph"/>
              <w:spacing w:before="104"/>
              <w:rPr>
                <w:b/>
                <w:sz w:val="18"/>
              </w:rPr>
            </w:pPr>
          </w:p>
          <w:p>
            <w:pPr>
              <w:pStyle w:val="TableParagraph"/>
              <w:ind w:left="71" w:right="169"/>
              <w:rPr>
                <w:sz w:val="18"/>
              </w:rPr>
            </w:pPr>
            <w:r>
              <w:rPr>
                <w:sz w:val="18"/>
              </w:rPr>
              <w:t>Cantidad de </w:t>
            </w:r>
            <w:r>
              <w:rPr>
                <w:spacing w:val="-2"/>
                <w:sz w:val="18"/>
              </w:rPr>
              <w:t>seguimientos </w:t>
            </w:r>
            <w:r>
              <w:rPr>
                <w:sz w:val="18"/>
              </w:rPr>
              <w:t>realizados</w:t>
            </w:r>
            <w:r>
              <w:rPr>
                <w:spacing w:val="-15"/>
                <w:sz w:val="18"/>
              </w:rPr>
              <w:t> </w:t>
            </w:r>
            <w:r>
              <w:rPr>
                <w:sz w:val="18"/>
              </w:rPr>
              <w:t>en</w:t>
            </w:r>
            <w:r>
              <w:rPr>
                <w:spacing w:val="-12"/>
                <w:sz w:val="18"/>
              </w:rPr>
              <w:t> </w:t>
            </w:r>
            <w:r>
              <w:rPr>
                <w:sz w:val="18"/>
              </w:rPr>
              <w:t>el </w:t>
            </w:r>
            <w:r>
              <w:rPr>
                <w:spacing w:val="-4"/>
                <w:sz w:val="18"/>
              </w:rPr>
              <w:t>BPIP</w:t>
            </w:r>
          </w:p>
        </w:tc>
        <w:tc>
          <w:tcPr>
            <w:tcW w:w="1695"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7"/>
              <w:rPr>
                <w:sz w:val="18"/>
              </w:rPr>
            </w:pPr>
            <w:r>
              <w:rPr>
                <w:spacing w:val="-2"/>
                <w:sz w:val="18"/>
              </w:rPr>
              <w:t>Seguimientos </w:t>
            </w:r>
            <w:r>
              <w:rPr>
                <w:sz w:val="18"/>
              </w:rPr>
              <w:t>realizados</w:t>
            </w:r>
            <w:r>
              <w:rPr>
                <w:spacing w:val="-15"/>
                <w:sz w:val="18"/>
              </w:rPr>
              <w:t> </w:t>
            </w:r>
            <w:r>
              <w:rPr>
                <w:sz w:val="18"/>
              </w:rPr>
              <w:t>al</w:t>
            </w:r>
            <w:r>
              <w:rPr>
                <w:spacing w:val="-12"/>
                <w:sz w:val="18"/>
              </w:rPr>
              <w:t> </w:t>
            </w:r>
            <w:r>
              <w:rPr>
                <w:sz w:val="18"/>
              </w:rPr>
              <w:t>BPIP</w:t>
            </w:r>
          </w:p>
        </w:tc>
        <w:tc>
          <w:tcPr>
            <w:tcW w:w="1460" w:type="dxa"/>
          </w:tcPr>
          <w:p>
            <w:pPr>
              <w:pStyle w:val="TableParagraph"/>
              <w:spacing w:before="205"/>
              <w:rPr>
                <w:b/>
                <w:sz w:val="18"/>
              </w:rPr>
            </w:pPr>
          </w:p>
          <w:p>
            <w:pPr>
              <w:pStyle w:val="TableParagraph"/>
              <w:ind w:left="67" w:right="156"/>
              <w:rPr>
                <w:sz w:val="18"/>
              </w:rPr>
            </w:pPr>
            <w:r>
              <w:rPr>
                <w:spacing w:val="-2"/>
                <w:sz w:val="18"/>
              </w:rPr>
              <w:t>Departamento Servicios Generales-Servicios Administrativos</w:t>
            </w:r>
          </w:p>
        </w:tc>
        <w:tc>
          <w:tcPr>
            <w:tcW w:w="1767" w:type="dxa"/>
          </w:tcPr>
          <w:p>
            <w:pPr>
              <w:pStyle w:val="TableParagraph"/>
              <w:rPr>
                <w:rFonts w:ascii="Times New Roman"/>
                <w:sz w:val="18"/>
              </w:rPr>
            </w:pPr>
          </w:p>
        </w:tc>
        <w:tc>
          <w:tcPr>
            <w:tcW w:w="2775" w:type="dxa"/>
            <w:vMerge/>
            <w:tcBorders>
              <w:top w:val="nil"/>
            </w:tcBorders>
          </w:tcPr>
          <w:p>
            <w:pPr>
              <w:rPr>
                <w:sz w:val="2"/>
                <w:szCs w:val="2"/>
              </w:rPr>
            </w:pPr>
          </w:p>
        </w:tc>
      </w:tr>
      <w:tr>
        <w:trPr>
          <w:trHeight w:val="450" w:hRule="atLeast"/>
        </w:trPr>
        <w:tc>
          <w:tcPr>
            <w:tcW w:w="14395" w:type="dxa"/>
            <w:gridSpan w:val="8"/>
            <w:shd w:val="clear" w:color="auto" w:fill="EFF8F9"/>
          </w:tcPr>
          <w:p>
            <w:pPr>
              <w:pStyle w:val="TableParagraph"/>
              <w:spacing w:before="119"/>
              <w:ind w:left="72"/>
              <w:rPr>
                <w:b/>
                <w:sz w:val="18"/>
              </w:rPr>
            </w:pPr>
            <w:r>
              <w:rPr>
                <w:b/>
                <w:sz w:val="18"/>
              </w:rPr>
              <w:t>Producto</w:t>
            </w:r>
            <w:r>
              <w:rPr>
                <w:b/>
                <w:spacing w:val="-7"/>
                <w:sz w:val="18"/>
              </w:rPr>
              <w:t> </w:t>
            </w:r>
            <w:r>
              <w:rPr>
                <w:b/>
                <w:sz w:val="18"/>
              </w:rPr>
              <w:t>PAC</w:t>
            </w:r>
            <w:r>
              <w:rPr>
                <w:b/>
                <w:spacing w:val="-7"/>
                <w:sz w:val="18"/>
              </w:rPr>
              <w:t> </w:t>
            </w:r>
            <w:r>
              <w:rPr>
                <w:b/>
                <w:sz w:val="18"/>
              </w:rPr>
              <w:t>2.41:</w:t>
            </w:r>
            <w:r>
              <w:rPr>
                <w:b/>
                <w:spacing w:val="45"/>
                <w:sz w:val="18"/>
              </w:rPr>
              <w:t> </w:t>
            </w:r>
            <w:r>
              <w:rPr>
                <w:b/>
                <w:sz w:val="18"/>
              </w:rPr>
              <w:t>Proceso</w:t>
            </w:r>
            <w:r>
              <w:rPr>
                <w:b/>
                <w:spacing w:val="-6"/>
                <w:sz w:val="18"/>
              </w:rPr>
              <w:t> </w:t>
            </w:r>
            <w:r>
              <w:rPr>
                <w:b/>
                <w:sz w:val="18"/>
              </w:rPr>
              <w:t>de</w:t>
            </w:r>
            <w:r>
              <w:rPr>
                <w:b/>
                <w:spacing w:val="-10"/>
                <w:sz w:val="18"/>
              </w:rPr>
              <w:t> </w:t>
            </w:r>
            <w:r>
              <w:rPr>
                <w:b/>
                <w:sz w:val="18"/>
              </w:rPr>
              <w:t>Transportes:</w:t>
            </w:r>
            <w:r>
              <w:rPr>
                <w:b/>
                <w:spacing w:val="-4"/>
                <w:sz w:val="18"/>
              </w:rPr>
              <w:t> </w:t>
            </w:r>
            <w:r>
              <w:rPr>
                <w:b/>
                <w:sz w:val="18"/>
              </w:rPr>
              <w:t>Administración</w:t>
            </w:r>
            <w:r>
              <w:rPr>
                <w:b/>
                <w:spacing w:val="-7"/>
                <w:sz w:val="18"/>
              </w:rPr>
              <w:t> </w:t>
            </w:r>
            <w:r>
              <w:rPr>
                <w:b/>
                <w:sz w:val="18"/>
              </w:rPr>
              <w:t>efectiva</w:t>
            </w:r>
            <w:r>
              <w:rPr>
                <w:b/>
                <w:spacing w:val="-5"/>
                <w:sz w:val="18"/>
              </w:rPr>
              <w:t> </w:t>
            </w:r>
            <w:r>
              <w:rPr>
                <w:b/>
                <w:sz w:val="18"/>
              </w:rPr>
              <w:t>del</w:t>
            </w:r>
            <w:r>
              <w:rPr>
                <w:b/>
                <w:spacing w:val="-4"/>
                <w:sz w:val="18"/>
              </w:rPr>
              <w:t> </w:t>
            </w:r>
            <w:r>
              <w:rPr>
                <w:b/>
                <w:sz w:val="18"/>
              </w:rPr>
              <w:t>producto</w:t>
            </w:r>
            <w:r>
              <w:rPr>
                <w:b/>
                <w:spacing w:val="-10"/>
                <w:sz w:val="18"/>
              </w:rPr>
              <w:t> </w:t>
            </w:r>
            <w:r>
              <w:rPr>
                <w:b/>
                <w:sz w:val="18"/>
              </w:rPr>
              <w:t>transportes,</w:t>
            </w:r>
            <w:r>
              <w:rPr>
                <w:b/>
                <w:spacing w:val="-4"/>
                <w:sz w:val="18"/>
              </w:rPr>
              <w:t> </w:t>
            </w:r>
            <w:r>
              <w:rPr>
                <w:b/>
                <w:sz w:val="18"/>
              </w:rPr>
              <w:t>el</w:t>
            </w:r>
            <w:r>
              <w:rPr>
                <w:b/>
                <w:spacing w:val="2"/>
                <w:sz w:val="18"/>
              </w:rPr>
              <w:t> </w:t>
            </w:r>
            <w:r>
              <w:rPr>
                <w:b/>
                <w:sz w:val="18"/>
              </w:rPr>
              <w:t>cual</w:t>
            </w:r>
            <w:r>
              <w:rPr>
                <w:b/>
                <w:spacing w:val="-4"/>
                <w:sz w:val="18"/>
              </w:rPr>
              <w:t> </w:t>
            </w:r>
            <w:r>
              <w:rPr>
                <w:b/>
                <w:sz w:val="18"/>
              </w:rPr>
              <w:t>contribuye</w:t>
            </w:r>
            <w:r>
              <w:rPr>
                <w:b/>
                <w:spacing w:val="-6"/>
                <w:sz w:val="18"/>
              </w:rPr>
              <w:t> </w:t>
            </w:r>
            <w:r>
              <w:rPr>
                <w:b/>
                <w:sz w:val="18"/>
              </w:rPr>
              <w:t>con</w:t>
            </w:r>
            <w:r>
              <w:rPr>
                <w:b/>
                <w:spacing w:val="-6"/>
                <w:sz w:val="18"/>
              </w:rPr>
              <w:t> </w:t>
            </w:r>
            <w:r>
              <w:rPr>
                <w:b/>
                <w:sz w:val="18"/>
              </w:rPr>
              <w:t>la</w:t>
            </w:r>
            <w:r>
              <w:rPr>
                <w:b/>
                <w:spacing w:val="-6"/>
                <w:sz w:val="18"/>
              </w:rPr>
              <w:t> </w:t>
            </w:r>
            <w:r>
              <w:rPr>
                <w:b/>
                <w:sz w:val="18"/>
              </w:rPr>
              <w:t>prestación</w:t>
            </w:r>
            <w:r>
              <w:rPr>
                <w:b/>
                <w:spacing w:val="-6"/>
                <w:sz w:val="18"/>
              </w:rPr>
              <w:t> </w:t>
            </w:r>
            <w:r>
              <w:rPr>
                <w:b/>
                <w:sz w:val="18"/>
              </w:rPr>
              <w:t>de</w:t>
            </w:r>
            <w:r>
              <w:rPr>
                <w:b/>
                <w:spacing w:val="-5"/>
                <w:sz w:val="18"/>
              </w:rPr>
              <w:t> </w:t>
            </w:r>
            <w:r>
              <w:rPr>
                <w:b/>
                <w:sz w:val="18"/>
              </w:rPr>
              <w:t>los</w:t>
            </w:r>
            <w:r>
              <w:rPr>
                <w:b/>
                <w:spacing w:val="-6"/>
                <w:sz w:val="18"/>
              </w:rPr>
              <w:t> </w:t>
            </w:r>
            <w:r>
              <w:rPr>
                <w:b/>
                <w:sz w:val="18"/>
              </w:rPr>
              <w:t>servicios</w:t>
            </w:r>
            <w:r>
              <w:rPr>
                <w:b/>
                <w:spacing w:val="-10"/>
                <w:sz w:val="18"/>
              </w:rPr>
              <w:t> </w:t>
            </w:r>
            <w:r>
              <w:rPr>
                <w:b/>
                <w:spacing w:val="-2"/>
                <w:sz w:val="18"/>
              </w:rPr>
              <w:t>institucionales</w:t>
            </w:r>
          </w:p>
        </w:tc>
      </w:tr>
      <w:tr>
        <w:trPr>
          <w:trHeight w:val="1497" w:hRule="atLeast"/>
        </w:trPr>
        <w:tc>
          <w:tcPr>
            <w:tcW w:w="2075" w:type="dxa"/>
          </w:tcPr>
          <w:p>
            <w:pPr>
              <w:pStyle w:val="TableParagraph"/>
              <w:spacing w:before="128"/>
              <w:ind w:left="72" w:right="61"/>
              <w:rPr>
                <w:sz w:val="18"/>
              </w:rPr>
            </w:pPr>
            <w:r>
              <w:rPr>
                <w:b/>
                <w:sz w:val="18"/>
              </w:rPr>
              <w:t>Actividad</w:t>
            </w:r>
            <w:r>
              <w:rPr>
                <w:b/>
                <w:spacing w:val="-15"/>
                <w:sz w:val="18"/>
              </w:rPr>
              <w:t> </w:t>
            </w:r>
            <w:r>
              <w:rPr>
                <w:b/>
                <w:sz w:val="18"/>
              </w:rPr>
              <w:t>PAC</w:t>
            </w:r>
            <w:r>
              <w:rPr>
                <w:b/>
                <w:spacing w:val="-12"/>
                <w:sz w:val="18"/>
              </w:rPr>
              <w:t> </w:t>
            </w:r>
            <w:r>
              <w:rPr>
                <w:b/>
                <w:sz w:val="18"/>
              </w:rPr>
              <w:t>2.41.1: </w:t>
            </w:r>
            <w:r>
              <w:rPr>
                <w:sz w:val="18"/>
              </w:rPr>
              <w:t>Supervisión técnica en mecánica automotriz y seguimiento</w:t>
            </w:r>
            <w:r>
              <w:rPr>
                <w:spacing w:val="-15"/>
                <w:sz w:val="18"/>
              </w:rPr>
              <w:t> </w:t>
            </w:r>
            <w:r>
              <w:rPr>
                <w:sz w:val="18"/>
              </w:rPr>
              <w:t>del</w:t>
            </w:r>
            <w:r>
              <w:rPr>
                <w:spacing w:val="-12"/>
                <w:sz w:val="18"/>
              </w:rPr>
              <w:t> </w:t>
            </w:r>
            <w:r>
              <w:rPr>
                <w:sz w:val="18"/>
              </w:rPr>
              <w:t>estado de los vehículos de la flotilla institucional.</w:t>
            </w:r>
          </w:p>
        </w:tc>
        <w:tc>
          <w:tcPr>
            <w:tcW w:w="1354" w:type="dxa"/>
          </w:tcPr>
          <w:p>
            <w:pPr>
              <w:pStyle w:val="TableParagraph"/>
              <w:rPr>
                <w:b/>
                <w:sz w:val="18"/>
              </w:rPr>
            </w:pPr>
          </w:p>
          <w:p>
            <w:pPr>
              <w:pStyle w:val="TableParagraph"/>
              <w:rPr>
                <w:b/>
                <w:sz w:val="18"/>
              </w:rPr>
            </w:pPr>
          </w:p>
          <w:p>
            <w:pPr>
              <w:pStyle w:val="TableParagraph"/>
              <w:spacing w:before="21"/>
              <w:rPr>
                <w:b/>
                <w:sz w:val="18"/>
              </w:rPr>
            </w:pPr>
          </w:p>
          <w:p>
            <w:pPr>
              <w:pStyle w:val="TableParagraph"/>
              <w:ind w:right="57"/>
              <w:jc w:val="right"/>
              <w:rPr>
                <w:sz w:val="18"/>
              </w:rPr>
            </w:pPr>
            <w:r>
              <w:rPr>
                <w:spacing w:val="-5"/>
                <w:sz w:val="18"/>
              </w:rPr>
              <w:t>90%</w:t>
            </w:r>
          </w:p>
        </w:tc>
        <w:tc>
          <w:tcPr>
            <w:tcW w:w="1411" w:type="dxa"/>
          </w:tcPr>
          <w:p>
            <w:pPr>
              <w:pStyle w:val="TableParagraph"/>
              <w:rPr>
                <w:b/>
                <w:sz w:val="18"/>
              </w:rPr>
            </w:pPr>
          </w:p>
          <w:p>
            <w:pPr>
              <w:pStyle w:val="TableParagraph"/>
              <w:rPr>
                <w:b/>
                <w:sz w:val="18"/>
              </w:rPr>
            </w:pPr>
          </w:p>
          <w:p>
            <w:pPr>
              <w:pStyle w:val="TableParagraph"/>
              <w:spacing w:before="21"/>
              <w:rPr>
                <w:b/>
                <w:sz w:val="18"/>
              </w:rPr>
            </w:pPr>
          </w:p>
          <w:p>
            <w:pPr>
              <w:pStyle w:val="TableParagraph"/>
              <w:ind w:right="57"/>
              <w:jc w:val="right"/>
              <w:rPr>
                <w:sz w:val="18"/>
              </w:rPr>
            </w:pPr>
            <w:r>
              <w:rPr>
                <w:spacing w:val="-4"/>
                <w:sz w:val="18"/>
              </w:rPr>
              <w:t>100%</w:t>
            </w:r>
          </w:p>
        </w:tc>
        <w:tc>
          <w:tcPr>
            <w:tcW w:w="1858" w:type="dxa"/>
          </w:tcPr>
          <w:p>
            <w:pPr>
              <w:pStyle w:val="TableParagraph"/>
              <w:spacing w:before="127"/>
              <w:rPr>
                <w:b/>
                <w:sz w:val="18"/>
              </w:rPr>
            </w:pPr>
          </w:p>
          <w:p>
            <w:pPr>
              <w:pStyle w:val="TableParagraph"/>
              <w:spacing w:before="1"/>
              <w:ind w:left="71" w:right="169"/>
              <w:rPr>
                <w:sz w:val="18"/>
              </w:rPr>
            </w:pPr>
            <w:r>
              <w:rPr>
                <w:sz w:val="18"/>
              </w:rPr>
              <w:t>Cantidad de </w:t>
            </w:r>
            <w:r>
              <w:rPr>
                <w:spacing w:val="-2"/>
                <w:sz w:val="18"/>
              </w:rPr>
              <w:t>vehículos </w:t>
            </w:r>
            <w:r>
              <w:rPr>
                <w:sz w:val="18"/>
              </w:rPr>
              <w:t>institucionales con supervisión</w:t>
            </w:r>
            <w:r>
              <w:rPr>
                <w:spacing w:val="-13"/>
                <w:sz w:val="18"/>
              </w:rPr>
              <w:t> </w:t>
            </w:r>
            <w:r>
              <w:rPr>
                <w:sz w:val="18"/>
              </w:rPr>
              <w:t>técnica</w:t>
            </w:r>
          </w:p>
        </w:tc>
        <w:tc>
          <w:tcPr>
            <w:tcW w:w="1695" w:type="dxa"/>
          </w:tcPr>
          <w:p>
            <w:pPr>
              <w:pStyle w:val="TableParagraph"/>
              <w:spacing w:before="128"/>
              <w:ind w:left="67" w:right="239"/>
              <w:rPr>
                <w:sz w:val="18"/>
              </w:rPr>
            </w:pPr>
            <w:r>
              <w:rPr>
                <w:sz w:val="18"/>
              </w:rPr>
              <w:t>Informes de supervisión y </w:t>
            </w:r>
            <w:r>
              <w:rPr>
                <w:spacing w:val="-2"/>
                <w:sz w:val="18"/>
              </w:rPr>
              <w:t>seguimiento, </w:t>
            </w:r>
            <w:r>
              <w:rPr>
                <w:sz w:val="18"/>
              </w:rPr>
              <w:t>reporte de actualización del estado</w:t>
            </w:r>
            <w:r>
              <w:rPr>
                <w:spacing w:val="-1"/>
                <w:sz w:val="18"/>
              </w:rPr>
              <w:t> </w:t>
            </w:r>
            <w:r>
              <w:rPr>
                <w:sz w:val="18"/>
              </w:rPr>
              <w:t>en</w:t>
            </w:r>
            <w:r>
              <w:rPr>
                <w:spacing w:val="-1"/>
                <w:sz w:val="18"/>
              </w:rPr>
              <w:t> </w:t>
            </w:r>
            <w:r>
              <w:rPr>
                <w:spacing w:val="-2"/>
                <w:sz w:val="18"/>
              </w:rPr>
              <w:t>SITRA</w:t>
            </w:r>
          </w:p>
        </w:tc>
        <w:tc>
          <w:tcPr>
            <w:tcW w:w="1460" w:type="dxa"/>
          </w:tcPr>
          <w:p>
            <w:pPr>
              <w:pStyle w:val="TableParagraph"/>
              <w:spacing w:before="127"/>
              <w:rPr>
                <w:b/>
                <w:sz w:val="18"/>
              </w:rPr>
            </w:pPr>
          </w:p>
          <w:p>
            <w:pPr>
              <w:pStyle w:val="TableParagraph"/>
              <w:spacing w:before="1"/>
              <w:ind w:left="67" w:right="145"/>
              <w:rPr>
                <w:sz w:val="18"/>
              </w:rPr>
            </w:pPr>
            <w:r>
              <w:rPr>
                <w:spacing w:val="-2"/>
                <w:sz w:val="18"/>
              </w:rPr>
              <w:t>Departamento </w:t>
            </w:r>
            <w:r>
              <w:rPr>
                <w:sz w:val="18"/>
              </w:rPr>
              <w:t>de Servicios Generales - </w:t>
            </w:r>
            <w:r>
              <w:rPr>
                <w:spacing w:val="-2"/>
                <w:sz w:val="18"/>
              </w:rPr>
              <w:t>Transportes</w:t>
            </w:r>
          </w:p>
        </w:tc>
        <w:tc>
          <w:tcPr>
            <w:tcW w:w="1767" w:type="dxa"/>
          </w:tcPr>
          <w:p>
            <w:pPr>
              <w:pStyle w:val="TableParagraph"/>
              <w:rPr>
                <w:rFonts w:ascii="Times New Roman"/>
                <w:sz w:val="18"/>
              </w:rPr>
            </w:pPr>
          </w:p>
        </w:tc>
        <w:tc>
          <w:tcPr>
            <w:tcW w:w="2775" w:type="dxa"/>
            <w:vMerge w:val="restart"/>
          </w:tcPr>
          <w:p>
            <w:pPr>
              <w:pStyle w:val="TableParagraph"/>
              <w:numPr>
                <w:ilvl w:val="0"/>
                <w:numId w:val="109"/>
              </w:numPr>
              <w:tabs>
                <w:tab w:pos="281" w:val="left" w:leader="none"/>
              </w:tabs>
              <w:spacing w:line="240" w:lineRule="auto" w:before="27" w:after="0"/>
              <w:ind w:left="71" w:right="123" w:firstLine="0"/>
              <w:jc w:val="left"/>
              <w:rPr>
                <w:sz w:val="18"/>
              </w:rPr>
            </w:pPr>
            <w:r>
              <w:rPr>
                <w:sz w:val="18"/>
              </w:rPr>
              <w:t>Incapacidad</w:t>
            </w:r>
            <w:r>
              <w:rPr>
                <w:spacing w:val="-12"/>
                <w:sz w:val="18"/>
              </w:rPr>
              <w:t> </w:t>
            </w:r>
            <w:r>
              <w:rPr>
                <w:sz w:val="18"/>
              </w:rPr>
              <w:t>para</w:t>
            </w:r>
            <w:r>
              <w:rPr>
                <w:spacing w:val="-9"/>
                <w:sz w:val="18"/>
              </w:rPr>
              <w:t> </w:t>
            </w:r>
            <w:r>
              <w:rPr>
                <w:sz w:val="18"/>
              </w:rPr>
              <w:t>cumplir</w:t>
            </w:r>
            <w:r>
              <w:rPr>
                <w:spacing w:val="-11"/>
                <w:sz w:val="18"/>
              </w:rPr>
              <w:t> </w:t>
            </w:r>
            <w:r>
              <w:rPr>
                <w:sz w:val="18"/>
              </w:rPr>
              <w:t>con la supervisión técnica en mecánica automotriz de los vehículos institucionales y el debido seguimiento de los </w:t>
            </w:r>
            <w:r>
              <w:rPr>
                <w:spacing w:val="-2"/>
                <w:sz w:val="18"/>
              </w:rPr>
              <w:t>resultados.</w:t>
            </w:r>
          </w:p>
          <w:p>
            <w:pPr>
              <w:pStyle w:val="TableParagraph"/>
              <w:numPr>
                <w:ilvl w:val="0"/>
                <w:numId w:val="109"/>
              </w:numPr>
              <w:tabs>
                <w:tab w:pos="285" w:val="left" w:leader="none"/>
              </w:tabs>
              <w:spacing w:line="240" w:lineRule="auto" w:before="2" w:after="0"/>
              <w:ind w:left="71" w:right="415" w:firstLine="0"/>
              <w:jc w:val="left"/>
              <w:rPr>
                <w:sz w:val="18"/>
              </w:rPr>
            </w:pPr>
            <w:r>
              <w:rPr>
                <w:sz w:val="18"/>
              </w:rPr>
              <w:t>No contar con una guía institucional para la precalificación</w:t>
            </w:r>
            <w:r>
              <w:rPr>
                <w:spacing w:val="-11"/>
                <w:sz w:val="18"/>
              </w:rPr>
              <w:t> </w:t>
            </w:r>
            <w:r>
              <w:rPr>
                <w:sz w:val="18"/>
              </w:rPr>
              <w:t>de</w:t>
            </w:r>
            <w:r>
              <w:rPr>
                <w:spacing w:val="-11"/>
                <w:sz w:val="18"/>
              </w:rPr>
              <w:t> </w:t>
            </w:r>
            <w:r>
              <w:rPr>
                <w:sz w:val="18"/>
              </w:rPr>
              <w:t>talleres</w:t>
            </w:r>
            <w:r>
              <w:rPr>
                <w:spacing w:val="-11"/>
                <w:sz w:val="18"/>
              </w:rPr>
              <w:t> </w:t>
            </w:r>
            <w:r>
              <w:rPr>
                <w:sz w:val="18"/>
              </w:rPr>
              <w:t>de mantenimiento preventivo y correctivo</w:t>
            </w:r>
            <w:r>
              <w:rPr>
                <w:spacing w:val="40"/>
                <w:sz w:val="18"/>
              </w:rPr>
              <w:t> </w:t>
            </w:r>
            <w:r>
              <w:rPr>
                <w:sz w:val="18"/>
              </w:rPr>
              <w:t>de la flotilla</w:t>
            </w:r>
          </w:p>
          <w:p>
            <w:pPr>
              <w:pStyle w:val="TableParagraph"/>
              <w:numPr>
                <w:ilvl w:val="0"/>
                <w:numId w:val="109"/>
              </w:numPr>
              <w:tabs>
                <w:tab w:pos="281" w:val="left" w:leader="none"/>
              </w:tabs>
              <w:spacing w:line="240" w:lineRule="auto" w:before="0" w:after="0"/>
              <w:ind w:left="71" w:right="368" w:firstLine="0"/>
              <w:jc w:val="left"/>
              <w:rPr>
                <w:sz w:val="18"/>
              </w:rPr>
            </w:pPr>
            <w:r>
              <w:rPr>
                <w:sz w:val="18"/>
              </w:rPr>
              <w:t>Que la contratación sea declarada</w:t>
            </w:r>
            <w:r>
              <w:rPr>
                <w:spacing w:val="-12"/>
                <w:sz w:val="18"/>
              </w:rPr>
              <w:t> </w:t>
            </w:r>
            <w:r>
              <w:rPr>
                <w:sz w:val="18"/>
              </w:rPr>
              <w:t>infructuosa</w:t>
            </w:r>
            <w:r>
              <w:rPr>
                <w:spacing w:val="-12"/>
                <w:sz w:val="18"/>
              </w:rPr>
              <w:t> </w:t>
            </w:r>
            <w:r>
              <w:rPr>
                <w:sz w:val="18"/>
              </w:rPr>
              <w:t>para</w:t>
            </w:r>
            <w:r>
              <w:rPr>
                <w:spacing w:val="-12"/>
                <w:sz w:val="18"/>
              </w:rPr>
              <w:t> </w:t>
            </w:r>
            <w:r>
              <w:rPr>
                <w:sz w:val="18"/>
              </w:rPr>
              <w:t>la adquisición de vehículos destinados a Promoción y Protección Social.</w:t>
            </w:r>
          </w:p>
          <w:p>
            <w:pPr>
              <w:pStyle w:val="TableParagraph"/>
              <w:numPr>
                <w:ilvl w:val="0"/>
                <w:numId w:val="109"/>
              </w:numPr>
              <w:tabs>
                <w:tab w:pos="285" w:val="left" w:leader="none"/>
              </w:tabs>
              <w:spacing w:line="240" w:lineRule="auto" w:before="0" w:after="0"/>
              <w:ind w:left="285" w:right="0" w:hanging="214"/>
              <w:jc w:val="left"/>
              <w:rPr>
                <w:sz w:val="18"/>
              </w:rPr>
            </w:pPr>
            <w:r>
              <w:rPr>
                <w:sz w:val="18"/>
              </w:rPr>
              <w:t>Falta</w:t>
            </w:r>
            <w:r>
              <w:rPr>
                <w:spacing w:val="-7"/>
                <w:sz w:val="18"/>
              </w:rPr>
              <w:t> </w:t>
            </w:r>
            <w:r>
              <w:rPr>
                <w:sz w:val="18"/>
              </w:rPr>
              <w:t>de</w:t>
            </w:r>
            <w:r>
              <w:rPr>
                <w:spacing w:val="-2"/>
                <w:sz w:val="18"/>
              </w:rPr>
              <w:t> </w:t>
            </w:r>
            <w:r>
              <w:rPr>
                <w:sz w:val="18"/>
              </w:rPr>
              <w:t>aprobación</w:t>
            </w:r>
            <w:r>
              <w:rPr>
                <w:spacing w:val="-6"/>
                <w:sz w:val="18"/>
              </w:rPr>
              <w:t> </w:t>
            </w:r>
            <w:r>
              <w:rPr>
                <w:sz w:val="18"/>
              </w:rPr>
              <w:t>de</w:t>
            </w:r>
            <w:r>
              <w:rPr>
                <w:spacing w:val="-3"/>
                <w:sz w:val="18"/>
              </w:rPr>
              <w:t> </w:t>
            </w:r>
            <w:r>
              <w:rPr>
                <w:spacing w:val="-5"/>
                <w:sz w:val="18"/>
              </w:rPr>
              <w:t>los</w:t>
            </w:r>
          </w:p>
        </w:tc>
      </w:tr>
      <w:tr>
        <w:trPr>
          <w:trHeight w:val="2074" w:hRule="atLeast"/>
        </w:trPr>
        <w:tc>
          <w:tcPr>
            <w:tcW w:w="2075" w:type="dxa"/>
          </w:tcPr>
          <w:p>
            <w:pPr>
              <w:pStyle w:val="TableParagraph"/>
              <w:ind w:left="72" w:right="94"/>
              <w:rPr>
                <w:sz w:val="18"/>
              </w:rPr>
            </w:pPr>
            <w:r>
              <w:rPr>
                <w:b/>
                <w:sz w:val="18"/>
              </w:rPr>
              <w:t>Actividad PAC 2.41.2: </w:t>
            </w:r>
            <w:r>
              <w:rPr>
                <w:sz w:val="18"/>
              </w:rPr>
              <w:t>Gestionar los </w:t>
            </w:r>
            <w:r>
              <w:rPr>
                <w:spacing w:val="-2"/>
                <w:sz w:val="18"/>
              </w:rPr>
              <w:t>mantenimiento </w:t>
            </w:r>
            <w:r>
              <w:rPr>
                <w:sz w:val="18"/>
              </w:rPr>
              <w:t>preventivo y correctivo para la totalidad de la flotilla vehicular de Actividades Centrales. (1.08.05</w:t>
            </w:r>
            <w:r>
              <w:rPr>
                <w:spacing w:val="-13"/>
                <w:sz w:val="18"/>
              </w:rPr>
              <w:t> </w:t>
            </w:r>
            <w:r>
              <w:rPr>
                <w:sz w:val="18"/>
              </w:rPr>
              <w:t>Mantenimiento</w:t>
            </w:r>
          </w:p>
          <w:p>
            <w:pPr>
              <w:pStyle w:val="TableParagraph"/>
              <w:spacing w:line="206" w:lineRule="exact"/>
              <w:ind w:left="72" w:right="61"/>
              <w:rPr>
                <w:sz w:val="18"/>
              </w:rPr>
            </w:pPr>
            <w:r>
              <w:rPr>
                <w:sz w:val="18"/>
              </w:rPr>
              <w:t>y</w:t>
            </w:r>
            <w:r>
              <w:rPr>
                <w:spacing w:val="-12"/>
                <w:sz w:val="18"/>
              </w:rPr>
              <w:t> </w:t>
            </w:r>
            <w:r>
              <w:rPr>
                <w:sz w:val="18"/>
              </w:rPr>
              <w:t>reparación</w:t>
            </w:r>
            <w:r>
              <w:rPr>
                <w:spacing w:val="-13"/>
                <w:sz w:val="18"/>
              </w:rPr>
              <w:t> </w:t>
            </w:r>
            <w:r>
              <w:rPr>
                <w:sz w:val="18"/>
              </w:rPr>
              <w:t>de</w:t>
            </w:r>
            <w:r>
              <w:rPr>
                <w:spacing w:val="-12"/>
                <w:sz w:val="18"/>
              </w:rPr>
              <w:t> </w:t>
            </w:r>
            <w:r>
              <w:rPr>
                <w:sz w:val="18"/>
              </w:rPr>
              <w:t>equipo de transporte)</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pacing w:val="-4"/>
                <w:sz w:val="18"/>
              </w:rPr>
              <w:t>100%</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pacing w:val="-4"/>
                <w:sz w:val="18"/>
              </w:rPr>
              <w:t>100%</w:t>
            </w:r>
          </w:p>
        </w:tc>
        <w:tc>
          <w:tcPr>
            <w:tcW w:w="1858" w:type="dxa"/>
          </w:tcPr>
          <w:p>
            <w:pPr>
              <w:pStyle w:val="TableParagraph"/>
              <w:rPr>
                <w:b/>
                <w:sz w:val="18"/>
              </w:rPr>
            </w:pPr>
          </w:p>
          <w:p>
            <w:pPr>
              <w:pStyle w:val="TableParagraph"/>
              <w:spacing w:before="3"/>
              <w:rPr>
                <w:b/>
                <w:sz w:val="18"/>
              </w:rPr>
            </w:pPr>
          </w:p>
          <w:p>
            <w:pPr>
              <w:pStyle w:val="TableParagraph"/>
              <w:ind w:left="71" w:right="169"/>
              <w:rPr>
                <w:sz w:val="18"/>
              </w:rPr>
            </w:pPr>
            <w:r>
              <w:rPr>
                <w:sz w:val="18"/>
              </w:rPr>
              <w:t>Cantidad de </w:t>
            </w:r>
            <w:r>
              <w:rPr>
                <w:spacing w:val="-2"/>
                <w:sz w:val="18"/>
              </w:rPr>
              <w:t>solicitudes </w:t>
            </w:r>
            <w:r>
              <w:rPr>
                <w:sz w:val="18"/>
              </w:rPr>
              <w:t>programadas</w:t>
            </w:r>
            <w:r>
              <w:rPr>
                <w:spacing w:val="-13"/>
                <w:sz w:val="18"/>
              </w:rPr>
              <w:t> </w:t>
            </w:r>
            <w:r>
              <w:rPr>
                <w:sz w:val="18"/>
              </w:rPr>
              <w:t>de </w:t>
            </w:r>
            <w:r>
              <w:rPr>
                <w:spacing w:val="-2"/>
                <w:sz w:val="18"/>
              </w:rPr>
              <w:t>mantenimiento </w:t>
            </w:r>
            <w:r>
              <w:rPr>
                <w:sz w:val="18"/>
              </w:rPr>
              <w:t>preventivo y </w:t>
            </w:r>
            <w:r>
              <w:rPr>
                <w:spacing w:val="-2"/>
                <w:sz w:val="18"/>
              </w:rPr>
              <w:t>correctivo</w:t>
            </w:r>
          </w:p>
        </w:tc>
        <w:tc>
          <w:tcPr>
            <w:tcW w:w="1695" w:type="dxa"/>
          </w:tcPr>
          <w:p>
            <w:pPr>
              <w:pStyle w:val="TableParagraph"/>
              <w:rPr>
                <w:b/>
                <w:sz w:val="18"/>
              </w:rPr>
            </w:pPr>
          </w:p>
          <w:p>
            <w:pPr>
              <w:pStyle w:val="TableParagraph"/>
              <w:spacing w:before="3"/>
              <w:rPr>
                <w:b/>
                <w:sz w:val="18"/>
              </w:rPr>
            </w:pPr>
          </w:p>
          <w:p>
            <w:pPr>
              <w:pStyle w:val="TableParagraph"/>
              <w:ind w:left="67"/>
              <w:rPr>
                <w:sz w:val="18"/>
              </w:rPr>
            </w:pPr>
            <w:r>
              <w:rPr>
                <w:sz w:val="18"/>
              </w:rPr>
              <w:t>Cantidad de </w:t>
            </w:r>
            <w:r>
              <w:rPr>
                <w:spacing w:val="-2"/>
                <w:sz w:val="18"/>
              </w:rPr>
              <w:t>solicitudes </w:t>
            </w:r>
            <w:r>
              <w:rPr>
                <w:sz w:val="18"/>
              </w:rPr>
              <w:t>realizadas de </w:t>
            </w:r>
            <w:r>
              <w:rPr>
                <w:spacing w:val="-2"/>
                <w:sz w:val="18"/>
              </w:rPr>
              <w:t>mantenimiento </w:t>
            </w:r>
            <w:r>
              <w:rPr>
                <w:sz w:val="18"/>
              </w:rPr>
              <w:t>preventivo y </w:t>
            </w:r>
            <w:r>
              <w:rPr>
                <w:spacing w:val="-2"/>
                <w:sz w:val="18"/>
              </w:rPr>
              <w:t>correctivo</w:t>
            </w:r>
          </w:p>
        </w:tc>
        <w:tc>
          <w:tcPr>
            <w:tcW w:w="146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7" w:right="145"/>
              <w:rPr>
                <w:sz w:val="18"/>
              </w:rPr>
            </w:pPr>
            <w:r>
              <w:rPr>
                <w:spacing w:val="-2"/>
                <w:sz w:val="18"/>
              </w:rPr>
              <w:t>Departamento </w:t>
            </w:r>
            <w:r>
              <w:rPr>
                <w:sz w:val="18"/>
              </w:rPr>
              <w:t>de Servicios Generales - </w:t>
            </w:r>
            <w:r>
              <w:rPr>
                <w:spacing w:val="-2"/>
                <w:sz w:val="18"/>
              </w:rPr>
              <w:t>Transportes</w:t>
            </w:r>
          </w:p>
        </w:tc>
        <w:tc>
          <w:tcPr>
            <w:tcW w:w="176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0"/>
              <w:jc w:val="right"/>
              <w:rPr>
                <w:sz w:val="18"/>
              </w:rPr>
            </w:pPr>
            <w:r>
              <w:rPr>
                <w:sz w:val="18"/>
              </w:rPr>
              <w:t>22</w:t>
            </w:r>
            <w:r>
              <w:rPr>
                <w:spacing w:val="2"/>
                <w:sz w:val="18"/>
              </w:rPr>
              <w:t> </w:t>
            </w:r>
            <w:r>
              <w:rPr>
                <w:sz w:val="18"/>
              </w:rPr>
              <w:t>104</w:t>
            </w:r>
            <w:r>
              <w:rPr>
                <w:spacing w:val="-2"/>
                <w:sz w:val="18"/>
              </w:rPr>
              <w:t> </w:t>
            </w:r>
            <w:r>
              <w:rPr>
                <w:spacing w:val="-5"/>
                <w:sz w:val="18"/>
              </w:rPr>
              <w:t>000</w:t>
            </w:r>
          </w:p>
        </w:tc>
        <w:tc>
          <w:tcPr>
            <w:tcW w:w="2775" w:type="dxa"/>
            <w:vMerge/>
            <w:tcBorders>
              <w:top w:val="nil"/>
            </w:tcBorders>
          </w:tcPr>
          <w:p>
            <w:pPr>
              <w:rPr>
                <w:sz w:val="2"/>
                <w:szCs w:val="2"/>
              </w:rPr>
            </w:pPr>
          </w:p>
        </w:tc>
      </w:tr>
    </w:tbl>
    <w:p>
      <w:pPr>
        <w:spacing w:after="0"/>
        <w:rPr>
          <w:sz w:val="2"/>
          <w:szCs w:val="2"/>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75"/>
        <w:gridCol w:w="1354"/>
        <w:gridCol w:w="1411"/>
        <w:gridCol w:w="1858"/>
        <w:gridCol w:w="1695"/>
        <w:gridCol w:w="1460"/>
        <w:gridCol w:w="1767"/>
        <w:gridCol w:w="2775"/>
      </w:tblGrid>
      <w:tr>
        <w:trPr>
          <w:trHeight w:val="762" w:hRule="atLeast"/>
        </w:trPr>
        <w:tc>
          <w:tcPr>
            <w:tcW w:w="2075" w:type="dxa"/>
            <w:shd w:val="clear" w:color="auto" w:fill="E7E6E6"/>
          </w:tcPr>
          <w:p>
            <w:pPr>
              <w:pStyle w:val="TableParagraph"/>
              <w:spacing w:before="176"/>
              <w:ind w:left="552" w:right="61" w:firstLine="24"/>
              <w:rPr>
                <w:b/>
                <w:sz w:val="18"/>
              </w:rPr>
            </w:pPr>
            <w:r>
              <w:rPr>
                <w:b/>
                <w:sz w:val="18"/>
              </w:rPr>
              <w:t>Objetivos</w:t>
            </w:r>
            <w:r>
              <w:rPr>
                <w:b/>
                <w:spacing w:val="-7"/>
                <w:sz w:val="18"/>
              </w:rPr>
              <w:t> </w:t>
            </w:r>
            <w:r>
              <w:rPr>
                <w:b/>
                <w:sz w:val="18"/>
              </w:rPr>
              <w:t>/ </w:t>
            </w:r>
            <w:r>
              <w:rPr>
                <w:b/>
                <w:spacing w:val="-2"/>
                <w:sz w:val="18"/>
              </w:rPr>
              <w:t>Resultados</w:t>
            </w:r>
          </w:p>
        </w:tc>
        <w:tc>
          <w:tcPr>
            <w:tcW w:w="1354" w:type="dxa"/>
            <w:shd w:val="clear" w:color="auto" w:fill="E7E6E6"/>
          </w:tcPr>
          <w:p>
            <w:pPr>
              <w:pStyle w:val="TableParagraph"/>
              <w:spacing w:before="176"/>
              <w:ind w:left="412" w:hanging="216"/>
              <w:rPr>
                <w:b/>
                <w:sz w:val="18"/>
              </w:rPr>
            </w:pPr>
            <w:r>
              <w:rPr>
                <w:b/>
                <w:sz w:val="18"/>
              </w:rPr>
              <w:t>Línea</w:t>
            </w:r>
            <w:r>
              <w:rPr>
                <w:b/>
                <w:spacing w:val="-13"/>
                <w:sz w:val="18"/>
              </w:rPr>
              <w:t> </w:t>
            </w:r>
            <w:r>
              <w:rPr>
                <w:b/>
                <w:sz w:val="18"/>
              </w:rPr>
              <w:t>Base </w:t>
            </w:r>
            <w:r>
              <w:rPr>
                <w:b/>
                <w:spacing w:val="-2"/>
                <w:sz w:val="18"/>
              </w:rPr>
              <w:t>(2024)</w:t>
            </w:r>
          </w:p>
        </w:tc>
        <w:tc>
          <w:tcPr>
            <w:tcW w:w="1411" w:type="dxa"/>
            <w:shd w:val="clear" w:color="auto" w:fill="E7E6E6"/>
          </w:tcPr>
          <w:p>
            <w:pPr>
              <w:pStyle w:val="TableParagraph"/>
              <w:spacing w:before="71"/>
              <w:ind w:left="181" w:right="170" w:hanging="10"/>
              <w:jc w:val="center"/>
              <w:rPr>
                <w:b/>
                <w:sz w:val="18"/>
              </w:rPr>
            </w:pPr>
            <w:r>
              <w:rPr>
                <w:b/>
                <w:spacing w:val="-4"/>
                <w:sz w:val="18"/>
              </w:rPr>
              <w:t>Meta </w:t>
            </w:r>
            <w:r>
              <w:rPr>
                <w:b/>
                <w:spacing w:val="-2"/>
                <w:sz w:val="18"/>
              </w:rPr>
              <w:t>programada </w:t>
            </w:r>
            <w:r>
              <w:rPr>
                <w:b/>
                <w:spacing w:val="-4"/>
                <w:sz w:val="18"/>
              </w:rPr>
              <w:t>2026</w:t>
            </w:r>
          </w:p>
        </w:tc>
        <w:tc>
          <w:tcPr>
            <w:tcW w:w="1858" w:type="dxa"/>
            <w:shd w:val="clear" w:color="auto" w:fill="E7E6E6"/>
          </w:tcPr>
          <w:p>
            <w:pPr>
              <w:pStyle w:val="TableParagraph"/>
              <w:spacing w:before="70"/>
              <w:rPr>
                <w:b/>
                <w:sz w:val="18"/>
              </w:rPr>
            </w:pPr>
          </w:p>
          <w:p>
            <w:pPr>
              <w:pStyle w:val="TableParagraph"/>
              <w:ind w:left="523"/>
              <w:rPr>
                <w:b/>
                <w:sz w:val="18"/>
              </w:rPr>
            </w:pPr>
            <w:r>
              <w:rPr>
                <w:b/>
                <w:spacing w:val="-2"/>
                <w:sz w:val="18"/>
              </w:rPr>
              <w:t>Indicador</w:t>
            </w:r>
          </w:p>
        </w:tc>
        <w:tc>
          <w:tcPr>
            <w:tcW w:w="1695" w:type="dxa"/>
            <w:shd w:val="clear" w:color="auto" w:fill="E7E6E6"/>
          </w:tcPr>
          <w:p>
            <w:pPr>
              <w:pStyle w:val="TableParagraph"/>
              <w:spacing w:before="176"/>
              <w:ind w:left="345" w:firstLine="57"/>
              <w:rPr>
                <w:b/>
                <w:sz w:val="18"/>
              </w:rPr>
            </w:pPr>
            <w:r>
              <w:rPr>
                <w:b/>
                <w:sz w:val="18"/>
              </w:rPr>
              <w:t>Medios de </w:t>
            </w:r>
            <w:r>
              <w:rPr>
                <w:b/>
                <w:spacing w:val="-2"/>
                <w:sz w:val="18"/>
              </w:rPr>
              <w:t>verificación</w:t>
            </w:r>
          </w:p>
        </w:tc>
        <w:tc>
          <w:tcPr>
            <w:tcW w:w="1460" w:type="dxa"/>
            <w:shd w:val="clear" w:color="auto" w:fill="E7E6E6"/>
          </w:tcPr>
          <w:p>
            <w:pPr>
              <w:pStyle w:val="TableParagraph"/>
              <w:spacing w:before="70"/>
              <w:rPr>
                <w:b/>
                <w:sz w:val="18"/>
              </w:rPr>
            </w:pPr>
          </w:p>
          <w:p>
            <w:pPr>
              <w:pStyle w:val="TableParagraph"/>
              <w:ind w:left="168"/>
              <w:rPr>
                <w:b/>
                <w:sz w:val="18"/>
              </w:rPr>
            </w:pPr>
            <w:r>
              <w:rPr>
                <w:b/>
                <w:spacing w:val="-2"/>
                <w:sz w:val="18"/>
              </w:rPr>
              <w:t>Responsable</w:t>
            </w:r>
          </w:p>
        </w:tc>
        <w:tc>
          <w:tcPr>
            <w:tcW w:w="1767" w:type="dxa"/>
            <w:shd w:val="clear" w:color="auto" w:fill="E7E6E6"/>
          </w:tcPr>
          <w:p>
            <w:pPr>
              <w:pStyle w:val="TableParagraph"/>
              <w:spacing w:before="176"/>
              <w:ind w:left="489" w:hanging="154"/>
              <w:rPr>
                <w:b/>
                <w:sz w:val="18"/>
              </w:rPr>
            </w:pPr>
            <w:r>
              <w:rPr>
                <w:b/>
                <w:spacing w:val="-2"/>
                <w:sz w:val="18"/>
              </w:rPr>
              <w:t>Presupuesto asignado</w:t>
            </w:r>
          </w:p>
        </w:tc>
        <w:tc>
          <w:tcPr>
            <w:tcW w:w="2775" w:type="dxa"/>
            <w:shd w:val="clear" w:color="auto" w:fill="E7E6E6"/>
          </w:tcPr>
          <w:p>
            <w:pPr>
              <w:pStyle w:val="TableParagraph"/>
              <w:spacing w:before="70"/>
              <w:rPr>
                <w:b/>
                <w:sz w:val="18"/>
              </w:rPr>
            </w:pPr>
          </w:p>
          <w:p>
            <w:pPr>
              <w:pStyle w:val="TableParagraph"/>
              <w:ind w:left="19" w:right="6"/>
              <w:jc w:val="center"/>
              <w:rPr>
                <w:b/>
                <w:sz w:val="18"/>
              </w:rPr>
            </w:pPr>
            <w:r>
              <w:rPr>
                <w:b/>
                <w:spacing w:val="-2"/>
                <w:sz w:val="18"/>
              </w:rPr>
              <w:t>Riesgos</w:t>
            </w:r>
          </w:p>
        </w:tc>
      </w:tr>
      <w:tr>
        <w:trPr>
          <w:trHeight w:val="1449" w:hRule="atLeast"/>
        </w:trPr>
        <w:tc>
          <w:tcPr>
            <w:tcW w:w="2075" w:type="dxa"/>
          </w:tcPr>
          <w:p>
            <w:pPr>
              <w:pStyle w:val="TableParagraph"/>
              <w:spacing w:before="3"/>
              <w:ind w:left="72" w:right="61"/>
              <w:rPr>
                <w:sz w:val="18"/>
              </w:rPr>
            </w:pPr>
            <w:r>
              <w:rPr>
                <w:b/>
                <w:sz w:val="18"/>
              </w:rPr>
              <w:t>Actividad PAC 2.41.3: </w:t>
            </w:r>
            <w:r>
              <w:rPr>
                <w:sz w:val="18"/>
              </w:rPr>
              <w:t>Gestionar</w:t>
            </w:r>
            <w:r>
              <w:rPr>
                <w:spacing w:val="-15"/>
                <w:sz w:val="18"/>
              </w:rPr>
              <w:t> </w:t>
            </w:r>
            <w:r>
              <w:rPr>
                <w:sz w:val="18"/>
              </w:rPr>
              <w:t>la</w:t>
            </w:r>
            <w:r>
              <w:rPr>
                <w:spacing w:val="-12"/>
                <w:sz w:val="18"/>
              </w:rPr>
              <w:t> </w:t>
            </w:r>
            <w:r>
              <w:rPr>
                <w:sz w:val="18"/>
              </w:rPr>
              <w:t>adquisición de diez automóviles para Promoción y Protección Social</w:t>
            </w:r>
          </w:p>
          <w:p>
            <w:pPr>
              <w:pStyle w:val="TableParagraph"/>
              <w:spacing w:line="206" w:lineRule="exact"/>
              <w:ind w:left="72" w:right="61"/>
              <w:rPr>
                <w:sz w:val="18"/>
              </w:rPr>
            </w:pPr>
            <w:r>
              <w:rPr>
                <w:sz w:val="18"/>
              </w:rPr>
              <w:t>(5.01.02</w:t>
            </w:r>
            <w:r>
              <w:rPr>
                <w:spacing w:val="-15"/>
                <w:sz w:val="18"/>
              </w:rPr>
              <w:t> </w:t>
            </w:r>
            <w:r>
              <w:rPr>
                <w:sz w:val="18"/>
              </w:rPr>
              <w:t>Equipo</w:t>
            </w:r>
            <w:r>
              <w:rPr>
                <w:spacing w:val="-12"/>
                <w:sz w:val="18"/>
              </w:rPr>
              <w:t> </w:t>
            </w:r>
            <w:r>
              <w:rPr>
                <w:sz w:val="18"/>
              </w:rPr>
              <w:t>de </w:t>
            </w:r>
            <w:r>
              <w:rPr>
                <w:spacing w:val="-2"/>
                <w:sz w:val="18"/>
              </w:rPr>
              <w:t>Transporte)</w:t>
            </w:r>
          </w:p>
        </w:tc>
        <w:tc>
          <w:tcPr>
            <w:tcW w:w="1354"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62"/>
              <w:jc w:val="right"/>
              <w:rPr>
                <w:sz w:val="18"/>
              </w:rPr>
            </w:pPr>
            <w:r>
              <w:rPr>
                <w:spacing w:val="-5"/>
                <w:sz w:val="18"/>
              </w:rPr>
              <w:t>24</w:t>
            </w:r>
          </w:p>
        </w:tc>
        <w:tc>
          <w:tcPr>
            <w:tcW w:w="1411"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60"/>
              <w:jc w:val="right"/>
              <w:rPr>
                <w:sz w:val="18"/>
              </w:rPr>
            </w:pPr>
            <w:r>
              <w:rPr>
                <w:spacing w:val="-5"/>
                <w:sz w:val="18"/>
              </w:rPr>
              <w:t>10</w:t>
            </w:r>
          </w:p>
        </w:tc>
        <w:tc>
          <w:tcPr>
            <w:tcW w:w="1858" w:type="dxa"/>
          </w:tcPr>
          <w:p>
            <w:pPr>
              <w:pStyle w:val="TableParagraph"/>
              <w:spacing w:before="3"/>
              <w:ind w:left="71" w:right="168"/>
              <w:rPr>
                <w:sz w:val="18"/>
              </w:rPr>
            </w:pPr>
            <w:r>
              <w:rPr>
                <w:sz w:val="18"/>
              </w:rPr>
              <w:t>Cantidad de </w:t>
            </w:r>
            <w:r>
              <w:rPr>
                <w:spacing w:val="-2"/>
                <w:sz w:val="18"/>
              </w:rPr>
              <w:t>automóviles </w:t>
            </w:r>
            <w:r>
              <w:rPr>
                <w:sz w:val="18"/>
              </w:rPr>
              <w:t>adquiridos por contratación</w:t>
            </w:r>
            <w:r>
              <w:rPr>
                <w:spacing w:val="-13"/>
                <w:sz w:val="18"/>
              </w:rPr>
              <w:t> </w:t>
            </w:r>
            <w:r>
              <w:rPr>
                <w:sz w:val="18"/>
              </w:rPr>
              <w:t>pública disponible para el</w:t>
            </w:r>
          </w:p>
          <w:p>
            <w:pPr>
              <w:pStyle w:val="TableParagraph"/>
              <w:spacing w:line="206" w:lineRule="exact"/>
              <w:ind w:left="71"/>
              <w:rPr>
                <w:sz w:val="18"/>
              </w:rPr>
            </w:pPr>
            <w:r>
              <w:rPr>
                <w:sz w:val="18"/>
              </w:rPr>
              <w:t>uso</w:t>
            </w:r>
            <w:r>
              <w:rPr>
                <w:spacing w:val="-10"/>
                <w:sz w:val="18"/>
              </w:rPr>
              <w:t> </w:t>
            </w:r>
            <w:r>
              <w:rPr>
                <w:sz w:val="18"/>
              </w:rPr>
              <w:t>de</w:t>
            </w:r>
            <w:r>
              <w:rPr>
                <w:spacing w:val="-13"/>
                <w:sz w:val="18"/>
              </w:rPr>
              <w:t> </w:t>
            </w:r>
            <w:r>
              <w:rPr>
                <w:sz w:val="18"/>
              </w:rPr>
              <w:t>Promoción</w:t>
            </w:r>
            <w:r>
              <w:rPr>
                <w:spacing w:val="-12"/>
                <w:sz w:val="18"/>
              </w:rPr>
              <w:t> </w:t>
            </w:r>
            <w:r>
              <w:rPr>
                <w:sz w:val="18"/>
              </w:rPr>
              <w:t>y Protección Social</w:t>
            </w:r>
          </w:p>
        </w:tc>
        <w:tc>
          <w:tcPr>
            <w:tcW w:w="1695" w:type="dxa"/>
          </w:tcPr>
          <w:p>
            <w:pPr>
              <w:pStyle w:val="TableParagraph"/>
              <w:spacing w:before="3"/>
              <w:rPr>
                <w:b/>
                <w:sz w:val="18"/>
              </w:rPr>
            </w:pPr>
          </w:p>
          <w:p>
            <w:pPr>
              <w:pStyle w:val="TableParagraph"/>
              <w:ind w:left="67"/>
              <w:rPr>
                <w:sz w:val="18"/>
              </w:rPr>
            </w:pPr>
            <w:r>
              <w:rPr>
                <w:sz w:val="18"/>
              </w:rPr>
              <w:t>Solicitudes de </w:t>
            </w:r>
            <w:r>
              <w:rPr>
                <w:spacing w:val="-2"/>
                <w:sz w:val="18"/>
              </w:rPr>
              <w:t>contratación </w:t>
            </w:r>
            <w:r>
              <w:rPr>
                <w:sz w:val="18"/>
              </w:rPr>
              <w:t>cargadas en sistemas</w:t>
            </w:r>
            <w:r>
              <w:rPr>
                <w:spacing w:val="-15"/>
                <w:sz w:val="18"/>
              </w:rPr>
              <w:t> </w:t>
            </w:r>
            <w:r>
              <w:rPr>
                <w:sz w:val="18"/>
              </w:rPr>
              <w:t>SAP</w:t>
            </w:r>
            <w:r>
              <w:rPr>
                <w:spacing w:val="-12"/>
                <w:sz w:val="18"/>
              </w:rPr>
              <w:t> </w:t>
            </w:r>
            <w:r>
              <w:rPr>
                <w:sz w:val="18"/>
              </w:rPr>
              <w:t>y </w:t>
            </w:r>
            <w:r>
              <w:rPr>
                <w:spacing w:val="-2"/>
                <w:sz w:val="18"/>
              </w:rPr>
              <w:t>SICOP.</w:t>
            </w:r>
          </w:p>
        </w:tc>
        <w:tc>
          <w:tcPr>
            <w:tcW w:w="1460" w:type="dxa"/>
          </w:tcPr>
          <w:p>
            <w:pPr>
              <w:pStyle w:val="TableParagraph"/>
              <w:spacing w:before="104"/>
              <w:rPr>
                <w:b/>
                <w:sz w:val="18"/>
              </w:rPr>
            </w:pPr>
          </w:p>
          <w:p>
            <w:pPr>
              <w:pStyle w:val="TableParagraph"/>
              <w:ind w:left="67" w:right="145"/>
              <w:rPr>
                <w:sz w:val="18"/>
              </w:rPr>
            </w:pPr>
            <w:r>
              <w:rPr>
                <w:spacing w:val="-2"/>
                <w:sz w:val="18"/>
              </w:rPr>
              <w:t>Departamento </w:t>
            </w:r>
            <w:r>
              <w:rPr>
                <w:sz w:val="18"/>
              </w:rPr>
              <w:t>de Servicios Generales - </w:t>
            </w:r>
            <w:r>
              <w:rPr>
                <w:spacing w:val="-2"/>
                <w:sz w:val="18"/>
              </w:rPr>
              <w:t>Transportes</w:t>
            </w:r>
          </w:p>
        </w:tc>
        <w:tc>
          <w:tcPr>
            <w:tcW w:w="1767"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95"/>
              <w:rPr>
                <w:sz w:val="18"/>
              </w:rPr>
            </w:pPr>
            <w:r>
              <w:rPr>
                <w:sz w:val="18"/>
              </w:rPr>
              <w:t>267</w:t>
            </w:r>
            <w:r>
              <w:rPr>
                <w:spacing w:val="2"/>
                <w:sz w:val="18"/>
              </w:rPr>
              <w:t> </w:t>
            </w:r>
            <w:r>
              <w:rPr>
                <w:sz w:val="18"/>
              </w:rPr>
              <w:t>699</w:t>
            </w:r>
            <w:r>
              <w:rPr>
                <w:spacing w:val="-2"/>
                <w:sz w:val="18"/>
              </w:rPr>
              <w:t> </w:t>
            </w:r>
            <w:r>
              <w:rPr>
                <w:spacing w:val="-5"/>
                <w:sz w:val="18"/>
              </w:rPr>
              <w:t>100</w:t>
            </w:r>
          </w:p>
        </w:tc>
        <w:tc>
          <w:tcPr>
            <w:tcW w:w="2775" w:type="dxa"/>
            <w:vMerge w:val="restart"/>
          </w:tcPr>
          <w:p>
            <w:pPr>
              <w:pStyle w:val="TableParagraph"/>
              <w:spacing w:before="3"/>
              <w:ind w:left="71" w:right="79"/>
              <w:jc w:val="both"/>
              <w:rPr>
                <w:sz w:val="18"/>
              </w:rPr>
            </w:pPr>
            <w:r>
              <w:rPr>
                <w:sz w:val="18"/>
              </w:rPr>
              <w:t>proyectos</w:t>
            </w:r>
            <w:r>
              <w:rPr>
                <w:spacing w:val="-2"/>
                <w:sz w:val="18"/>
              </w:rPr>
              <w:t> </w:t>
            </w:r>
            <w:r>
              <w:rPr>
                <w:sz w:val="18"/>
              </w:rPr>
              <w:t>para</w:t>
            </w:r>
            <w:r>
              <w:rPr>
                <w:spacing w:val="-2"/>
                <w:sz w:val="18"/>
              </w:rPr>
              <w:t> </w:t>
            </w:r>
            <w:r>
              <w:rPr>
                <w:sz w:val="18"/>
              </w:rPr>
              <w:t>su</w:t>
            </w:r>
            <w:r>
              <w:rPr>
                <w:spacing w:val="-2"/>
                <w:sz w:val="18"/>
              </w:rPr>
              <w:t> </w:t>
            </w:r>
            <w:r>
              <w:rPr>
                <w:sz w:val="18"/>
              </w:rPr>
              <w:t>inscripción</w:t>
            </w:r>
            <w:r>
              <w:rPr>
                <w:spacing w:val="-2"/>
                <w:sz w:val="18"/>
              </w:rPr>
              <w:t> </w:t>
            </w:r>
            <w:r>
              <w:rPr>
                <w:sz w:val="18"/>
              </w:rPr>
              <w:t>en el</w:t>
            </w:r>
            <w:r>
              <w:rPr>
                <w:spacing w:val="-8"/>
                <w:sz w:val="18"/>
              </w:rPr>
              <w:t> </w:t>
            </w:r>
            <w:r>
              <w:rPr>
                <w:sz w:val="18"/>
              </w:rPr>
              <w:t>BPIP</w:t>
            </w:r>
            <w:r>
              <w:rPr>
                <w:spacing w:val="-12"/>
                <w:sz w:val="18"/>
              </w:rPr>
              <w:t> </w:t>
            </w:r>
            <w:r>
              <w:rPr>
                <w:sz w:val="18"/>
              </w:rPr>
              <w:t>(proceso</w:t>
            </w:r>
            <w:r>
              <w:rPr>
                <w:spacing w:val="-7"/>
                <w:sz w:val="18"/>
              </w:rPr>
              <w:t> </w:t>
            </w:r>
            <w:r>
              <w:rPr>
                <w:sz w:val="18"/>
              </w:rPr>
              <w:t>de</w:t>
            </w:r>
            <w:r>
              <w:rPr>
                <w:spacing w:val="-11"/>
                <w:sz w:val="18"/>
              </w:rPr>
              <w:t> </w:t>
            </w:r>
            <w:r>
              <w:rPr>
                <w:sz w:val="18"/>
              </w:rPr>
              <w:t>transportes) por parte de MIDEPLAN.</w:t>
            </w:r>
          </w:p>
        </w:tc>
      </w:tr>
      <w:tr>
        <w:trPr>
          <w:trHeight w:val="1968" w:hRule="atLeast"/>
        </w:trPr>
        <w:tc>
          <w:tcPr>
            <w:tcW w:w="2075" w:type="dxa"/>
          </w:tcPr>
          <w:p>
            <w:pPr>
              <w:pStyle w:val="TableParagraph"/>
              <w:spacing w:before="157"/>
              <w:ind w:left="72" w:right="116"/>
              <w:rPr>
                <w:sz w:val="18"/>
              </w:rPr>
            </w:pPr>
            <w:r>
              <w:rPr>
                <w:b/>
                <w:sz w:val="18"/>
              </w:rPr>
              <w:t>Actividad</w:t>
            </w:r>
            <w:r>
              <w:rPr>
                <w:b/>
                <w:spacing w:val="-15"/>
                <w:sz w:val="18"/>
              </w:rPr>
              <w:t> </w:t>
            </w:r>
            <w:r>
              <w:rPr>
                <w:b/>
                <w:sz w:val="18"/>
              </w:rPr>
              <w:t>PAC</w:t>
            </w:r>
            <w:r>
              <w:rPr>
                <w:b/>
                <w:spacing w:val="-12"/>
                <w:sz w:val="18"/>
              </w:rPr>
              <w:t> </w:t>
            </w:r>
            <w:r>
              <w:rPr>
                <w:b/>
                <w:sz w:val="18"/>
              </w:rPr>
              <w:t>2.41.4: </w:t>
            </w:r>
            <w:r>
              <w:rPr>
                <w:sz w:val="18"/>
              </w:rPr>
              <w:t>Formular</w:t>
            </w:r>
            <w:r>
              <w:rPr>
                <w:spacing w:val="-4"/>
                <w:sz w:val="18"/>
              </w:rPr>
              <w:t> </w:t>
            </w:r>
            <w:r>
              <w:rPr>
                <w:sz w:val="18"/>
              </w:rPr>
              <w:t>e</w:t>
            </w:r>
            <w:r>
              <w:rPr>
                <w:spacing w:val="-2"/>
                <w:sz w:val="18"/>
              </w:rPr>
              <w:t> </w:t>
            </w:r>
            <w:r>
              <w:rPr>
                <w:sz w:val="18"/>
              </w:rPr>
              <w:t>inscribir</w:t>
            </w:r>
            <w:r>
              <w:rPr>
                <w:spacing w:val="-4"/>
                <w:sz w:val="18"/>
              </w:rPr>
              <w:t> </w:t>
            </w:r>
            <w:r>
              <w:rPr>
                <w:sz w:val="18"/>
              </w:rPr>
              <w:t>los proyectos que deben incluirse dentro del BPIP que tengan competencia con el Proceso de </w:t>
            </w:r>
            <w:r>
              <w:rPr>
                <w:spacing w:val="-2"/>
                <w:sz w:val="18"/>
              </w:rPr>
              <w:t>Transportes.</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right="57"/>
              <w:jc w:val="right"/>
              <w:rPr>
                <w:sz w:val="18"/>
              </w:rPr>
            </w:pPr>
            <w:r>
              <w:rPr>
                <w:spacing w:val="-4"/>
                <w:sz w:val="18"/>
              </w:rPr>
              <w:t>100%</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right="57"/>
              <w:jc w:val="right"/>
              <w:rPr>
                <w:sz w:val="18"/>
              </w:rPr>
            </w:pPr>
            <w:r>
              <w:rPr>
                <w:spacing w:val="-4"/>
                <w:sz w:val="18"/>
              </w:rPr>
              <w:t>100%</w:t>
            </w:r>
          </w:p>
        </w:tc>
        <w:tc>
          <w:tcPr>
            <w:tcW w:w="1858" w:type="dxa"/>
          </w:tcPr>
          <w:p>
            <w:pPr>
              <w:pStyle w:val="TableParagraph"/>
              <w:spacing w:before="157"/>
              <w:rPr>
                <w:b/>
                <w:sz w:val="18"/>
              </w:rPr>
            </w:pPr>
          </w:p>
          <w:p>
            <w:pPr>
              <w:pStyle w:val="TableParagraph"/>
              <w:ind w:left="71" w:right="169"/>
              <w:rPr>
                <w:sz w:val="18"/>
              </w:rPr>
            </w:pPr>
            <w:r>
              <w:rPr>
                <w:sz w:val="18"/>
              </w:rPr>
              <w:t>Porcentaje de avance en la formulación e inscripción del proyecto</w:t>
            </w:r>
            <w:r>
              <w:rPr>
                <w:spacing w:val="-13"/>
                <w:sz w:val="18"/>
              </w:rPr>
              <w:t> </w:t>
            </w:r>
            <w:r>
              <w:rPr>
                <w:sz w:val="18"/>
              </w:rPr>
              <w:t>en</w:t>
            </w:r>
            <w:r>
              <w:rPr>
                <w:spacing w:val="-12"/>
                <w:sz w:val="18"/>
              </w:rPr>
              <w:t> </w:t>
            </w:r>
            <w:r>
              <w:rPr>
                <w:sz w:val="18"/>
              </w:rPr>
              <w:t>el</w:t>
            </w:r>
            <w:r>
              <w:rPr>
                <w:spacing w:val="-10"/>
                <w:sz w:val="18"/>
              </w:rPr>
              <w:t> </w:t>
            </w:r>
            <w:r>
              <w:rPr>
                <w:sz w:val="18"/>
              </w:rPr>
              <w:t>BPIP de MIDEPLAN.</w:t>
            </w:r>
          </w:p>
        </w:tc>
        <w:tc>
          <w:tcPr>
            <w:tcW w:w="1695" w:type="dxa"/>
          </w:tcPr>
          <w:p>
            <w:pPr>
              <w:pStyle w:val="TableParagraph"/>
              <w:rPr>
                <w:b/>
                <w:sz w:val="18"/>
              </w:rPr>
            </w:pPr>
          </w:p>
          <w:p>
            <w:pPr>
              <w:pStyle w:val="TableParagraph"/>
              <w:spacing w:before="50"/>
              <w:rPr>
                <w:b/>
                <w:sz w:val="18"/>
              </w:rPr>
            </w:pPr>
          </w:p>
          <w:p>
            <w:pPr>
              <w:pStyle w:val="TableParagraph"/>
              <w:spacing w:before="1"/>
              <w:ind w:left="67" w:right="103"/>
              <w:rPr>
                <w:sz w:val="18"/>
              </w:rPr>
            </w:pPr>
            <w:r>
              <w:rPr>
                <w:sz w:val="18"/>
              </w:rPr>
              <w:t>Aprobación</w:t>
            </w:r>
            <w:r>
              <w:rPr>
                <w:spacing w:val="-13"/>
                <w:sz w:val="18"/>
              </w:rPr>
              <w:t> </w:t>
            </w:r>
            <w:r>
              <w:rPr>
                <w:sz w:val="18"/>
              </w:rPr>
              <w:t>de inscripción de proyecto</w:t>
            </w:r>
            <w:r>
              <w:rPr>
                <w:spacing w:val="-1"/>
                <w:sz w:val="18"/>
              </w:rPr>
              <w:t> </w:t>
            </w:r>
            <w:r>
              <w:rPr>
                <w:sz w:val="18"/>
              </w:rPr>
              <w:t>en</w:t>
            </w:r>
            <w:r>
              <w:rPr>
                <w:spacing w:val="-1"/>
                <w:sz w:val="18"/>
              </w:rPr>
              <w:t> </w:t>
            </w:r>
            <w:r>
              <w:rPr>
                <w:sz w:val="18"/>
              </w:rPr>
              <w:t>el BPIP de </w:t>
            </w:r>
            <w:r>
              <w:rPr>
                <w:spacing w:val="-2"/>
                <w:sz w:val="18"/>
              </w:rPr>
              <w:t>MIDEPLAN</w:t>
            </w:r>
          </w:p>
        </w:tc>
        <w:tc>
          <w:tcPr>
            <w:tcW w:w="1460" w:type="dxa"/>
          </w:tcPr>
          <w:p>
            <w:pPr>
              <w:pStyle w:val="TableParagraph"/>
              <w:rPr>
                <w:b/>
                <w:sz w:val="18"/>
              </w:rPr>
            </w:pPr>
          </w:p>
          <w:p>
            <w:pPr>
              <w:pStyle w:val="TableParagraph"/>
              <w:spacing w:before="156"/>
              <w:rPr>
                <w:b/>
                <w:sz w:val="18"/>
              </w:rPr>
            </w:pPr>
          </w:p>
          <w:p>
            <w:pPr>
              <w:pStyle w:val="TableParagraph"/>
              <w:ind w:left="67" w:right="145"/>
              <w:rPr>
                <w:sz w:val="18"/>
              </w:rPr>
            </w:pPr>
            <w:r>
              <w:rPr>
                <w:spacing w:val="-2"/>
                <w:sz w:val="18"/>
              </w:rPr>
              <w:t>Departamento </w:t>
            </w:r>
            <w:r>
              <w:rPr>
                <w:sz w:val="18"/>
              </w:rPr>
              <w:t>de Servicios Generales - </w:t>
            </w:r>
            <w:r>
              <w:rPr>
                <w:spacing w:val="-2"/>
                <w:sz w:val="18"/>
              </w:rPr>
              <w:t>Transportes</w:t>
            </w:r>
          </w:p>
        </w:tc>
        <w:tc>
          <w:tcPr>
            <w:tcW w:w="1767" w:type="dxa"/>
          </w:tcPr>
          <w:p>
            <w:pPr>
              <w:pStyle w:val="TableParagraph"/>
              <w:rPr>
                <w:rFonts w:ascii="Times New Roman"/>
                <w:sz w:val="18"/>
              </w:rPr>
            </w:pPr>
          </w:p>
        </w:tc>
        <w:tc>
          <w:tcPr>
            <w:tcW w:w="2775"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5"/>
        <w:gridCol w:w="1445"/>
        <w:gridCol w:w="1181"/>
        <w:gridCol w:w="1564"/>
        <w:gridCol w:w="1939"/>
        <w:gridCol w:w="1343"/>
        <w:gridCol w:w="1680"/>
        <w:gridCol w:w="2693"/>
      </w:tblGrid>
      <w:tr>
        <w:trPr>
          <w:trHeight w:val="859" w:hRule="atLeast"/>
        </w:trPr>
        <w:tc>
          <w:tcPr>
            <w:tcW w:w="2545" w:type="dxa"/>
            <w:shd w:val="clear" w:color="auto" w:fill="F1F1F1"/>
          </w:tcPr>
          <w:p>
            <w:pPr>
              <w:pStyle w:val="TableParagraph"/>
              <w:spacing w:before="118"/>
              <w:rPr>
                <w:b/>
                <w:sz w:val="18"/>
              </w:rPr>
            </w:pPr>
          </w:p>
          <w:p>
            <w:pPr>
              <w:pStyle w:val="TableParagraph"/>
              <w:spacing w:before="1"/>
              <w:ind w:left="302"/>
              <w:rPr>
                <w:b/>
                <w:sz w:val="18"/>
              </w:rPr>
            </w:pPr>
            <w:r>
              <w:rPr>
                <w:b/>
                <w:sz w:val="18"/>
              </w:rPr>
              <w:t>Objetivos</w:t>
            </w:r>
            <w:r>
              <w:rPr>
                <w:b/>
                <w:spacing w:val="-5"/>
                <w:sz w:val="18"/>
              </w:rPr>
              <w:t> </w:t>
            </w:r>
            <w:r>
              <w:rPr>
                <w:b/>
                <w:sz w:val="18"/>
              </w:rPr>
              <w:t>/</w:t>
            </w:r>
            <w:r>
              <w:rPr>
                <w:b/>
                <w:spacing w:val="-2"/>
                <w:sz w:val="18"/>
              </w:rPr>
              <w:t> Resultados</w:t>
            </w:r>
          </w:p>
        </w:tc>
        <w:tc>
          <w:tcPr>
            <w:tcW w:w="1445" w:type="dxa"/>
            <w:shd w:val="clear" w:color="auto" w:fill="F1F1F1"/>
          </w:tcPr>
          <w:p>
            <w:pPr>
              <w:pStyle w:val="TableParagraph"/>
              <w:spacing w:before="12"/>
              <w:rPr>
                <w:b/>
                <w:sz w:val="18"/>
              </w:rPr>
            </w:pPr>
          </w:p>
          <w:p>
            <w:pPr>
              <w:pStyle w:val="TableParagraph"/>
              <w:spacing w:line="244" w:lineRule="auto"/>
              <w:ind w:left="465" w:hanging="216"/>
              <w:rPr>
                <w:b/>
                <w:sz w:val="18"/>
              </w:rPr>
            </w:pPr>
            <w:r>
              <w:rPr>
                <w:b/>
                <w:sz w:val="18"/>
              </w:rPr>
              <w:t>Línea</w:t>
            </w:r>
            <w:r>
              <w:rPr>
                <w:b/>
                <w:spacing w:val="-13"/>
                <w:sz w:val="18"/>
              </w:rPr>
              <w:t> </w:t>
            </w:r>
            <w:r>
              <w:rPr>
                <w:b/>
                <w:sz w:val="18"/>
              </w:rPr>
              <w:t>Base </w:t>
            </w:r>
            <w:r>
              <w:rPr>
                <w:b/>
                <w:spacing w:val="-2"/>
                <w:sz w:val="18"/>
              </w:rPr>
              <w:t>(2024)</w:t>
            </w:r>
          </w:p>
        </w:tc>
        <w:tc>
          <w:tcPr>
            <w:tcW w:w="1181" w:type="dxa"/>
            <w:shd w:val="clear" w:color="auto" w:fill="F1F1F1"/>
          </w:tcPr>
          <w:p>
            <w:pPr>
              <w:pStyle w:val="TableParagraph"/>
              <w:spacing w:before="119"/>
              <w:ind w:left="72" w:right="50" w:hanging="10"/>
              <w:jc w:val="center"/>
              <w:rPr>
                <w:b/>
                <w:sz w:val="18"/>
              </w:rPr>
            </w:pPr>
            <w:r>
              <w:rPr>
                <w:b/>
                <w:spacing w:val="-4"/>
                <w:sz w:val="18"/>
              </w:rPr>
              <w:t>Meta </w:t>
            </w:r>
            <w:r>
              <w:rPr>
                <w:b/>
                <w:spacing w:val="-2"/>
                <w:sz w:val="18"/>
              </w:rPr>
              <w:t>programada </w:t>
            </w:r>
            <w:r>
              <w:rPr>
                <w:b/>
                <w:spacing w:val="-4"/>
                <w:sz w:val="18"/>
              </w:rPr>
              <w:t>2026</w:t>
            </w:r>
          </w:p>
        </w:tc>
        <w:tc>
          <w:tcPr>
            <w:tcW w:w="1564" w:type="dxa"/>
            <w:shd w:val="clear" w:color="auto" w:fill="F1F1F1"/>
          </w:tcPr>
          <w:p>
            <w:pPr>
              <w:pStyle w:val="TableParagraph"/>
              <w:spacing w:before="118"/>
              <w:rPr>
                <w:b/>
                <w:sz w:val="18"/>
              </w:rPr>
            </w:pPr>
          </w:p>
          <w:p>
            <w:pPr>
              <w:pStyle w:val="TableParagraph"/>
              <w:spacing w:before="1"/>
              <w:ind w:left="374"/>
              <w:rPr>
                <w:b/>
                <w:sz w:val="18"/>
              </w:rPr>
            </w:pPr>
            <w:r>
              <w:rPr>
                <w:b/>
                <w:spacing w:val="-2"/>
                <w:sz w:val="18"/>
              </w:rPr>
              <w:t>Indicador</w:t>
            </w:r>
          </w:p>
        </w:tc>
        <w:tc>
          <w:tcPr>
            <w:tcW w:w="1939" w:type="dxa"/>
            <w:shd w:val="clear" w:color="auto" w:fill="F1F1F1"/>
          </w:tcPr>
          <w:p>
            <w:pPr>
              <w:pStyle w:val="TableParagraph"/>
              <w:spacing w:before="12"/>
              <w:rPr>
                <w:b/>
                <w:sz w:val="18"/>
              </w:rPr>
            </w:pPr>
          </w:p>
          <w:p>
            <w:pPr>
              <w:pStyle w:val="TableParagraph"/>
              <w:spacing w:line="244" w:lineRule="auto"/>
              <w:ind w:left="467" w:firstLine="57"/>
              <w:rPr>
                <w:b/>
                <w:sz w:val="18"/>
              </w:rPr>
            </w:pPr>
            <w:r>
              <w:rPr>
                <w:b/>
                <w:sz w:val="18"/>
              </w:rPr>
              <w:t>Medios de </w:t>
            </w:r>
            <w:r>
              <w:rPr>
                <w:b/>
                <w:spacing w:val="-2"/>
                <w:sz w:val="18"/>
              </w:rPr>
              <w:t>verificación</w:t>
            </w:r>
          </w:p>
        </w:tc>
        <w:tc>
          <w:tcPr>
            <w:tcW w:w="1343" w:type="dxa"/>
            <w:shd w:val="clear" w:color="auto" w:fill="F1F1F1"/>
          </w:tcPr>
          <w:p>
            <w:pPr>
              <w:pStyle w:val="TableParagraph"/>
              <w:spacing w:before="118"/>
              <w:rPr>
                <w:b/>
                <w:sz w:val="18"/>
              </w:rPr>
            </w:pPr>
          </w:p>
          <w:p>
            <w:pPr>
              <w:pStyle w:val="TableParagraph"/>
              <w:spacing w:before="1"/>
              <w:ind w:left="117"/>
              <w:rPr>
                <w:b/>
                <w:sz w:val="18"/>
              </w:rPr>
            </w:pPr>
            <w:r>
              <w:rPr>
                <w:b/>
                <w:spacing w:val="-2"/>
                <w:sz w:val="18"/>
              </w:rPr>
              <w:t>Responsable</w:t>
            </w:r>
          </w:p>
        </w:tc>
        <w:tc>
          <w:tcPr>
            <w:tcW w:w="1680" w:type="dxa"/>
            <w:shd w:val="clear" w:color="auto" w:fill="F1F1F1"/>
          </w:tcPr>
          <w:p>
            <w:pPr>
              <w:pStyle w:val="TableParagraph"/>
              <w:spacing w:before="12"/>
              <w:rPr>
                <w:b/>
                <w:sz w:val="18"/>
              </w:rPr>
            </w:pPr>
          </w:p>
          <w:p>
            <w:pPr>
              <w:pStyle w:val="TableParagraph"/>
              <w:spacing w:line="244" w:lineRule="auto"/>
              <w:ind w:left="450" w:hanging="154"/>
              <w:rPr>
                <w:b/>
                <w:sz w:val="18"/>
              </w:rPr>
            </w:pPr>
            <w:r>
              <w:rPr>
                <w:b/>
                <w:spacing w:val="-2"/>
                <w:sz w:val="18"/>
              </w:rPr>
              <w:t>Presupuesto asignado</w:t>
            </w:r>
          </w:p>
        </w:tc>
        <w:tc>
          <w:tcPr>
            <w:tcW w:w="2693" w:type="dxa"/>
            <w:shd w:val="clear" w:color="auto" w:fill="F1F1F1"/>
          </w:tcPr>
          <w:p>
            <w:pPr>
              <w:pStyle w:val="TableParagraph"/>
              <w:spacing w:before="118"/>
              <w:rPr>
                <w:b/>
                <w:sz w:val="18"/>
              </w:rPr>
            </w:pPr>
          </w:p>
          <w:p>
            <w:pPr>
              <w:pStyle w:val="TableParagraph"/>
              <w:spacing w:before="1"/>
              <w:ind w:left="532"/>
              <w:rPr>
                <w:b/>
                <w:sz w:val="18"/>
              </w:rPr>
            </w:pPr>
            <w:r>
              <w:rPr>
                <w:b/>
                <w:sz w:val="18"/>
              </w:rPr>
              <w:t>Riesgos</w:t>
            </w:r>
            <w:r>
              <w:rPr>
                <w:b/>
                <w:spacing w:val="-4"/>
                <w:sz w:val="18"/>
              </w:rPr>
              <w:t> </w:t>
            </w:r>
            <w:r>
              <w:rPr>
                <w:b/>
                <w:spacing w:val="-2"/>
                <w:sz w:val="18"/>
              </w:rPr>
              <w:t>asociados</w:t>
            </w:r>
          </w:p>
        </w:tc>
      </w:tr>
      <w:tr>
        <w:trPr>
          <w:trHeight w:val="642" w:hRule="atLeast"/>
        </w:trPr>
        <w:tc>
          <w:tcPr>
            <w:tcW w:w="14390" w:type="dxa"/>
            <w:gridSpan w:val="8"/>
            <w:shd w:val="clear" w:color="auto" w:fill="D9D9D9"/>
          </w:tcPr>
          <w:p>
            <w:pPr>
              <w:pStyle w:val="TableParagraph"/>
              <w:ind w:left="72" w:right="18"/>
              <w:rPr>
                <w:b/>
                <w:sz w:val="18"/>
              </w:rPr>
            </w:pPr>
            <w:r>
              <w:rPr>
                <w:b/>
                <w:sz w:val="18"/>
              </w:rPr>
              <w:t>Efecto:</w:t>
            </w:r>
            <w:r>
              <w:rPr>
                <w:b/>
                <w:spacing w:val="-2"/>
                <w:sz w:val="18"/>
              </w:rPr>
              <w:t> </w:t>
            </w:r>
            <w:r>
              <w:rPr>
                <w:b/>
                <w:sz w:val="18"/>
              </w:rPr>
              <w:t>Realizar una efectiva gestión</w:t>
            </w:r>
            <w:r>
              <w:rPr>
                <w:b/>
                <w:spacing w:val="-5"/>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4"/>
                <w:sz w:val="18"/>
              </w:rPr>
              <w:t> </w:t>
            </w:r>
            <w:r>
              <w:rPr>
                <w:b/>
                <w:sz w:val="18"/>
              </w:rPr>
              <w:t>y</w:t>
            </w:r>
            <w:r>
              <w:rPr>
                <w:b/>
                <w:spacing w:val="-4"/>
                <w:sz w:val="18"/>
              </w:rPr>
              <w:t> </w:t>
            </w:r>
            <w:r>
              <w:rPr>
                <w:b/>
                <w:sz w:val="18"/>
              </w:rPr>
              <w:t>tecnológicos, con el</w:t>
            </w:r>
            <w:r>
              <w:rPr>
                <w:b/>
                <w:spacing w:val="-2"/>
                <w:sz w:val="18"/>
              </w:rPr>
              <w:t> </w:t>
            </w:r>
            <w:r>
              <w:rPr>
                <w:b/>
                <w:sz w:val="18"/>
              </w:rPr>
              <w:t>fin</w:t>
            </w:r>
            <w:r>
              <w:rPr>
                <w:b/>
                <w:spacing w:val="-5"/>
                <w:sz w:val="18"/>
              </w:rPr>
              <w:t> </w:t>
            </w:r>
            <w:r>
              <w:rPr>
                <w:b/>
                <w:sz w:val="18"/>
              </w:rPr>
              <w:t>de contribuir</w:t>
            </w:r>
            <w:r>
              <w:rPr>
                <w:b/>
                <w:spacing w:val="-3"/>
                <w:sz w:val="18"/>
              </w:rPr>
              <w:t> </w:t>
            </w:r>
            <w:r>
              <w:rPr>
                <w:b/>
                <w:sz w:val="18"/>
              </w:rPr>
              <w:t>con</w:t>
            </w:r>
            <w:r>
              <w:rPr>
                <w:b/>
                <w:spacing w:val="-5"/>
                <w:sz w:val="18"/>
              </w:rPr>
              <w:t> </w:t>
            </w:r>
            <w:r>
              <w:rPr>
                <w:b/>
                <w:sz w:val="18"/>
              </w:rPr>
              <w:t>la</w:t>
            </w:r>
            <w:r>
              <w:rPr>
                <w:b/>
                <w:spacing w:val="-4"/>
                <w:sz w:val="18"/>
              </w:rPr>
              <w:t> </w:t>
            </w:r>
            <w:r>
              <w:rPr>
                <w:b/>
                <w:sz w:val="18"/>
              </w:rPr>
              <w:t>institucionalización de</w:t>
            </w:r>
            <w:r>
              <w:rPr>
                <w:b/>
                <w:spacing w:val="-4"/>
                <w:sz w:val="18"/>
              </w:rPr>
              <w:t> </w:t>
            </w:r>
            <w:r>
              <w:rPr>
                <w:b/>
                <w:sz w:val="18"/>
              </w:rPr>
              <w:t>la estrategia de intervención de la población en situación de pobreza y pobreza extrema.</w:t>
            </w:r>
          </w:p>
        </w:tc>
      </w:tr>
      <w:tr>
        <w:trPr>
          <w:trHeight w:val="556" w:hRule="atLeast"/>
        </w:trPr>
        <w:tc>
          <w:tcPr>
            <w:tcW w:w="14390" w:type="dxa"/>
            <w:gridSpan w:val="8"/>
            <w:shd w:val="clear" w:color="auto" w:fill="EFF8F9"/>
          </w:tcPr>
          <w:p>
            <w:pPr>
              <w:pStyle w:val="TableParagraph"/>
              <w:spacing w:before="172"/>
              <w:ind w:left="72"/>
              <w:rPr>
                <w:b/>
                <w:sz w:val="18"/>
              </w:rPr>
            </w:pPr>
            <w:r>
              <w:rPr>
                <w:b/>
                <w:sz w:val="18"/>
              </w:rPr>
              <w:t>Producto</w:t>
            </w:r>
            <w:r>
              <w:rPr>
                <w:b/>
                <w:spacing w:val="-7"/>
                <w:sz w:val="18"/>
              </w:rPr>
              <w:t> </w:t>
            </w:r>
            <w:r>
              <w:rPr>
                <w:b/>
                <w:sz w:val="18"/>
              </w:rPr>
              <w:t>PAC</w:t>
            </w:r>
            <w:r>
              <w:rPr>
                <w:b/>
                <w:spacing w:val="-7"/>
                <w:sz w:val="18"/>
              </w:rPr>
              <w:t> </w:t>
            </w:r>
            <w:r>
              <w:rPr>
                <w:b/>
                <w:sz w:val="18"/>
              </w:rPr>
              <w:t>2.42:</w:t>
            </w:r>
            <w:r>
              <w:rPr>
                <w:b/>
                <w:spacing w:val="-4"/>
                <w:sz w:val="18"/>
              </w:rPr>
              <w:t> </w:t>
            </w:r>
            <w:r>
              <w:rPr>
                <w:b/>
                <w:sz w:val="18"/>
              </w:rPr>
              <w:t>Gestión</w:t>
            </w:r>
            <w:r>
              <w:rPr>
                <w:b/>
                <w:spacing w:val="-6"/>
                <w:sz w:val="18"/>
              </w:rPr>
              <w:t> </w:t>
            </w:r>
            <w:r>
              <w:rPr>
                <w:b/>
                <w:sz w:val="18"/>
              </w:rPr>
              <w:t>oportuna</w:t>
            </w:r>
            <w:r>
              <w:rPr>
                <w:b/>
                <w:spacing w:val="-5"/>
                <w:sz w:val="18"/>
              </w:rPr>
              <w:t> </w:t>
            </w:r>
            <w:r>
              <w:rPr>
                <w:b/>
                <w:sz w:val="18"/>
              </w:rPr>
              <w:t>de</w:t>
            </w:r>
            <w:r>
              <w:rPr>
                <w:b/>
                <w:spacing w:val="-6"/>
                <w:sz w:val="18"/>
              </w:rPr>
              <w:t> </w:t>
            </w:r>
            <w:r>
              <w:rPr>
                <w:b/>
                <w:sz w:val="18"/>
              </w:rPr>
              <w:t>la</w:t>
            </w:r>
            <w:r>
              <w:rPr>
                <w:b/>
                <w:spacing w:val="-5"/>
                <w:sz w:val="18"/>
              </w:rPr>
              <w:t> </w:t>
            </w:r>
            <w:r>
              <w:rPr>
                <w:b/>
                <w:sz w:val="18"/>
              </w:rPr>
              <w:t>demanda</w:t>
            </w:r>
            <w:r>
              <w:rPr>
                <w:b/>
                <w:spacing w:val="-5"/>
                <w:sz w:val="18"/>
              </w:rPr>
              <w:t> </w:t>
            </w:r>
            <w:r>
              <w:rPr>
                <w:b/>
                <w:sz w:val="18"/>
              </w:rPr>
              <w:t>de</w:t>
            </w:r>
            <w:r>
              <w:rPr>
                <w:b/>
                <w:spacing w:val="-10"/>
                <w:sz w:val="18"/>
              </w:rPr>
              <w:t> </w:t>
            </w:r>
            <w:r>
              <w:rPr>
                <w:b/>
                <w:sz w:val="18"/>
              </w:rPr>
              <w:t>bienes,</w:t>
            </w:r>
            <w:r>
              <w:rPr>
                <w:b/>
                <w:spacing w:val="1"/>
                <w:sz w:val="18"/>
              </w:rPr>
              <w:t> </w:t>
            </w:r>
            <w:r>
              <w:rPr>
                <w:b/>
                <w:sz w:val="18"/>
              </w:rPr>
              <w:t>obras</w:t>
            </w:r>
            <w:r>
              <w:rPr>
                <w:b/>
                <w:spacing w:val="-5"/>
                <w:sz w:val="18"/>
              </w:rPr>
              <w:t> </w:t>
            </w:r>
            <w:r>
              <w:rPr>
                <w:b/>
                <w:sz w:val="18"/>
              </w:rPr>
              <w:t>y</w:t>
            </w:r>
            <w:r>
              <w:rPr>
                <w:b/>
                <w:spacing w:val="-6"/>
                <w:sz w:val="18"/>
              </w:rPr>
              <w:t> </w:t>
            </w:r>
            <w:r>
              <w:rPr>
                <w:b/>
                <w:sz w:val="18"/>
              </w:rPr>
              <w:t>servicios,</w:t>
            </w:r>
            <w:r>
              <w:rPr>
                <w:b/>
                <w:spacing w:val="1"/>
                <w:sz w:val="18"/>
              </w:rPr>
              <w:t> </w:t>
            </w:r>
            <w:r>
              <w:rPr>
                <w:b/>
                <w:sz w:val="18"/>
              </w:rPr>
              <w:t>así</w:t>
            </w:r>
            <w:r>
              <w:rPr>
                <w:b/>
                <w:spacing w:val="-3"/>
                <w:sz w:val="18"/>
              </w:rPr>
              <w:t> </w:t>
            </w:r>
            <w:r>
              <w:rPr>
                <w:b/>
                <w:sz w:val="18"/>
              </w:rPr>
              <w:t>como</w:t>
            </w:r>
            <w:r>
              <w:rPr>
                <w:b/>
                <w:spacing w:val="-2"/>
                <w:sz w:val="18"/>
              </w:rPr>
              <w:t> </w:t>
            </w:r>
            <w:r>
              <w:rPr>
                <w:b/>
                <w:sz w:val="18"/>
              </w:rPr>
              <w:t>el</w:t>
            </w:r>
            <w:r>
              <w:rPr>
                <w:b/>
                <w:spacing w:val="-3"/>
                <w:sz w:val="18"/>
              </w:rPr>
              <w:t> </w:t>
            </w:r>
            <w:r>
              <w:rPr>
                <w:b/>
                <w:sz w:val="18"/>
              </w:rPr>
              <w:t>uso</w:t>
            </w:r>
            <w:r>
              <w:rPr>
                <w:b/>
                <w:spacing w:val="-6"/>
                <w:sz w:val="18"/>
              </w:rPr>
              <w:t> </w:t>
            </w:r>
            <w:r>
              <w:rPr>
                <w:b/>
                <w:sz w:val="18"/>
              </w:rPr>
              <w:t>y</w:t>
            </w:r>
            <w:r>
              <w:rPr>
                <w:b/>
                <w:spacing w:val="-2"/>
                <w:sz w:val="18"/>
              </w:rPr>
              <w:t> </w:t>
            </w:r>
            <w:r>
              <w:rPr>
                <w:b/>
                <w:sz w:val="18"/>
              </w:rPr>
              <w:t>custodia</w:t>
            </w:r>
            <w:r>
              <w:rPr>
                <w:b/>
                <w:spacing w:val="-5"/>
                <w:sz w:val="18"/>
              </w:rPr>
              <w:t> </w:t>
            </w:r>
            <w:r>
              <w:rPr>
                <w:b/>
                <w:sz w:val="18"/>
              </w:rPr>
              <w:t>de</w:t>
            </w:r>
            <w:r>
              <w:rPr>
                <w:b/>
                <w:spacing w:val="-6"/>
                <w:sz w:val="18"/>
              </w:rPr>
              <w:t> </w:t>
            </w:r>
            <w:r>
              <w:rPr>
                <w:b/>
                <w:sz w:val="18"/>
              </w:rPr>
              <w:t>bienes</w:t>
            </w:r>
            <w:r>
              <w:rPr>
                <w:b/>
                <w:spacing w:val="-5"/>
                <w:sz w:val="18"/>
              </w:rPr>
              <w:t> </w:t>
            </w:r>
            <w:r>
              <w:rPr>
                <w:b/>
                <w:spacing w:val="-2"/>
                <w:sz w:val="18"/>
              </w:rPr>
              <w:t>institucionales.</w:t>
            </w:r>
          </w:p>
        </w:tc>
      </w:tr>
      <w:tr>
        <w:trPr>
          <w:trHeight w:val="1603" w:hRule="atLeast"/>
        </w:trPr>
        <w:tc>
          <w:tcPr>
            <w:tcW w:w="2545" w:type="dxa"/>
          </w:tcPr>
          <w:p>
            <w:pPr>
              <w:pStyle w:val="TableParagraph"/>
              <w:spacing w:before="75"/>
              <w:ind w:left="72" w:right="81"/>
              <w:rPr>
                <w:sz w:val="18"/>
              </w:rPr>
            </w:pPr>
            <w:r>
              <w:rPr>
                <w:b/>
                <w:sz w:val="18"/>
              </w:rPr>
              <w:t>Actividad PAC 2.42.1: </w:t>
            </w:r>
            <w:r>
              <w:rPr>
                <w:sz w:val="18"/>
              </w:rPr>
              <w:t>Gestionar las solicitudes de contratación de bienes y servicios,</w:t>
            </w:r>
            <w:r>
              <w:rPr>
                <w:spacing w:val="-6"/>
                <w:sz w:val="18"/>
              </w:rPr>
              <w:t> </w:t>
            </w:r>
            <w:r>
              <w:rPr>
                <w:sz w:val="18"/>
              </w:rPr>
              <w:t>para</w:t>
            </w:r>
            <w:r>
              <w:rPr>
                <w:spacing w:val="-11"/>
                <w:sz w:val="18"/>
              </w:rPr>
              <w:t> </w:t>
            </w:r>
            <w:r>
              <w:rPr>
                <w:sz w:val="18"/>
              </w:rPr>
              <w:t>la</w:t>
            </w:r>
            <w:r>
              <w:rPr>
                <w:spacing w:val="-8"/>
                <w:sz w:val="18"/>
              </w:rPr>
              <w:t> </w:t>
            </w:r>
            <w:r>
              <w:rPr>
                <w:sz w:val="18"/>
              </w:rPr>
              <w:t>atención</w:t>
            </w:r>
            <w:r>
              <w:rPr>
                <w:spacing w:val="-8"/>
                <w:sz w:val="18"/>
              </w:rPr>
              <w:t> </w:t>
            </w:r>
            <w:r>
              <w:rPr>
                <w:sz w:val="18"/>
              </w:rPr>
              <w:t>de las necesidades institucionales,</w:t>
            </w:r>
            <w:r>
              <w:rPr>
                <w:spacing w:val="-3"/>
                <w:sz w:val="18"/>
              </w:rPr>
              <w:t> </w:t>
            </w:r>
            <w:r>
              <w:rPr>
                <w:sz w:val="18"/>
              </w:rPr>
              <w:t>que</w:t>
            </w:r>
            <w:r>
              <w:rPr>
                <w:spacing w:val="-5"/>
                <w:sz w:val="18"/>
              </w:rPr>
              <w:t> </w:t>
            </w:r>
            <w:r>
              <w:rPr>
                <w:sz w:val="18"/>
              </w:rPr>
              <w:t>se</w:t>
            </w:r>
            <w:r>
              <w:rPr>
                <w:spacing w:val="-5"/>
                <w:sz w:val="18"/>
              </w:rPr>
              <w:t> </w:t>
            </w:r>
            <w:r>
              <w:rPr>
                <w:sz w:val="18"/>
              </w:rPr>
              <w:t>hayan enviado al distribuidor.</w:t>
            </w:r>
          </w:p>
        </w:tc>
        <w:tc>
          <w:tcPr>
            <w:tcW w:w="1445" w:type="dxa"/>
          </w:tcPr>
          <w:p>
            <w:pPr>
              <w:pStyle w:val="TableParagraph"/>
              <w:rPr>
                <w:b/>
                <w:sz w:val="18"/>
              </w:rPr>
            </w:pPr>
          </w:p>
          <w:p>
            <w:pPr>
              <w:pStyle w:val="TableParagraph"/>
              <w:rPr>
                <w:b/>
                <w:sz w:val="18"/>
              </w:rPr>
            </w:pPr>
          </w:p>
          <w:p>
            <w:pPr>
              <w:pStyle w:val="TableParagraph"/>
              <w:spacing w:before="74"/>
              <w:rPr>
                <w:b/>
                <w:sz w:val="18"/>
              </w:rPr>
            </w:pPr>
          </w:p>
          <w:p>
            <w:pPr>
              <w:pStyle w:val="TableParagraph"/>
              <w:ind w:left="17" w:right="5"/>
              <w:jc w:val="center"/>
              <w:rPr>
                <w:sz w:val="18"/>
              </w:rPr>
            </w:pPr>
            <w:r>
              <w:rPr>
                <w:spacing w:val="-5"/>
                <w:sz w:val="18"/>
              </w:rPr>
              <w:t>90%</w:t>
            </w:r>
          </w:p>
        </w:tc>
        <w:tc>
          <w:tcPr>
            <w:tcW w:w="1181" w:type="dxa"/>
          </w:tcPr>
          <w:p>
            <w:pPr>
              <w:pStyle w:val="TableParagraph"/>
              <w:rPr>
                <w:b/>
                <w:sz w:val="18"/>
              </w:rPr>
            </w:pPr>
          </w:p>
          <w:p>
            <w:pPr>
              <w:pStyle w:val="TableParagraph"/>
              <w:rPr>
                <w:b/>
                <w:sz w:val="18"/>
              </w:rPr>
            </w:pPr>
          </w:p>
          <w:p>
            <w:pPr>
              <w:pStyle w:val="TableParagraph"/>
              <w:spacing w:before="74"/>
              <w:rPr>
                <w:b/>
                <w:sz w:val="18"/>
              </w:rPr>
            </w:pPr>
          </w:p>
          <w:p>
            <w:pPr>
              <w:pStyle w:val="TableParagraph"/>
              <w:ind w:left="28" w:right="11"/>
              <w:jc w:val="center"/>
              <w:rPr>
                <w:sz w:val="18"/>
              </w:rPr>
            </w:pPr>
            <w:r>
              <w:rPr>
                <w:spacing w:val="-5"/>
                <w:sz w:val="18"/>
              </w:rPr>
              <w:t>90%</w:t>
            </w:r>
          </w:p>
        </w:tc>
        <w:tc>
          <w:tcPr>
            <w:tcW w:w="1564" w:type="dxa"/>
          </w:tcPr>
          <w:p>
            <w:pPr>
              <w:pStyle w:val="TableParagraph"/>
              <w:spacing w:before="75"/>
              <w:rPr>
                <w:b/>
                <w:sz w:val="18"/>
              </w:rPr>
            </w:pPr>
          </w:p>
          <w:p>
            <w:pPr>
              <w:pStyle w:val="TableParagraph"/>
              <w:ind w:left="72" w:right="364"/>
              <w:rPr>
                <w:sz w:val="18"/>
              </w:rPr>
            </w:pPr>
            <w:r>
              <w:rPr>
                <w:sz w:val="18"/>
              </w:rPr>
              <w:t>Porcentaje</w:t>
            </w:r>
            <w:r>
              <w:rPr>
                <w:spacing w:val="-13"/>
                <w:sz w:val="18"/>
              </w:rPr>
              <w:t> </w:t>
            </w:r>
            <w:r>
              <w:rPr>
                <w:sz w:val="18"/>
              </w:rPr>
              <w:t>de solicitudes</w:t>
            </w:r>
            <w:r>
              <w:rPr>
                <w:spacing w:val="-13"/>
                <w:sz w:val="18"/>
              </w:rPr>
              <w:t> </w:t>
            </w:r>
            <w:r>
              <w:rPr>
                <w:sz w:val="18"/>
              </w:rPr>
              <w:t>de </w:t>
            </w:r>
            <w:r>
              <w:rPr>
                <w:spacing w:val="-2"/>
                <w:sz w:val="18"/>
              </w:rPr>
              <w:t>contratación asignadas SICOP</w:t>
            </w:r>
          </w:p>
        </w:tc>
        <w:tc>
          <w:tcPr>
            <w:tcW w:w="1939" w:type="dxa"/>
          </w:tcPr>
          <w:p>
            <w:pPr>
              <w:pStyle w:val="TableParagraph"/>
              <w:rPr>
                <w:b/>
                <w:sz w:val="18"/>
              </w:rPr>
            </w:pPr>
          </w:p>
          <w:p>
            <w:pPr>
              <w:pStyle w:val="TableParagraph"/>
              <w:rPr>
                <w:b/>
                <w:sz w:val="18"/>
              </w:rPr>
            </w:pPr>
          </w:p>
          <w:p>
            <w:pPr>
              <w:pStyle w:val="TableParagraph"/>
              <w:spacing w:before="74"/>
              <w:rPr>
                <w:b/>
                <w:sz w:val="18"/>
              </w:rPr>
            </w:pPr>
          </w:p>
          <w:p>
            <w:pPr>
              <w:pStyle w:val="TableParagraph"/>
              <w:ind w:left="68"/>
              <w:rPr>
                <w:sz w:val="18"/>
              </w:rPr>
            </w:pPr>
            <w:r>
              <w:rPr>
                <w:sz w:val="18"/>
              </w:rPr>
              <w:t>1.Reporte</w:t>
            </w:r>
            <w:r>
              <w:rPr>
                <w:spacing w:val="-4"/>
                <w:sz w:val="18"/>
              </w:rPr>
              <w:t> </w:t>
            </w:r>
            <w:r>
              <w:rPr>
                <w:sz w:val="18"/>
              </w:rPr>
              <w:t>de</w:t>
            </w:r>
            <w:r>
              <w:rPr>
                <w:spacing w:val="-3"/>
                <w:sz w:val="18"/>
              </w:rPr>
              <w:t> </w:t>
            </w:r>
            <w:r>
              <w:rPr>
                <w:spacing w:val="-2"/>
                <w:sz w:val="18"/>
              </w:rPr>
              <w:t>SICOP.</w:t>
            </w:r>
          </w:p>
        </w:tc>
        <w:tc>
          <w:tcPr>
            <w:tcW w:w="1343" w:type="dxa"/>
          </w:tcPr>
          <w:p>
            <w:pPr>
              <w:pStyle w:val="TableParagraph"/>
              <w:rPr>
                <w:b/>
                <w:sz w:val="18"/>
              </w:rPr>
            </w:pPr>
          </w:p>
          <w:p>
            <w:pPr>
              <w:pStyle w:val="TableParagraph"/>
              <w:spacing w:before="180"/>
              <w:rPr>
                <w:b/>
                <w:sz w:val="18"/>
              </w:rPr>
            </w:pPr>
          </w:p>
          <w:p>
            <w:pPr>
              <w:pStyle w:val="TableParagraph"/>
              <w:ind w:left="74"/>
              <w:rPr>
                <w:sz w:val="18"/>
              </w:rPr>
            </w:pPr>
            <w:r>
              <w:rPr>
                <w:spacing w:val="-2"/>
                <w:sz w:val="18"/>
              </w:rPr>
              <w:t>Proveeduría Institucional</w:t>
            </w:r>
          </w:p>
        </w:tc>
        <w:tc>
          <w:tcPr>
            <w:tcW w:w="1680" w:type="dxa"/>
          </w:tcPr>
          <w:p>
            <w:pPr>
              <w:pStyle w:val="TableParagraph"/>
              <w:rPr>
                <w:rFonts w:ascii="Times New Roman"/>
                <w:sz w:val="18"/>
              </w:rPr>
            </w:pPr>
          </w:p>
        </w:tc>
        <w:tc>
          <w:tcPr>
            <w:tcW w:w="2693" w:type="dxa"/>
            <w:vMerge w:val="restart"/>
          </w:tcPr>
          <w:p>
            <w:pPr>
              <w:pStyle w:val="TableParagraph"/>
              <w:spacing w:before="99"/>
              <w:ind w:left="75"/>
              <w:rPr>
                <w:sz w:val="18"/>
              </w:rPr>
            </w:pPr>
            <w:r>
              <w:rPr>
                <w:sz w:val="18"/>
              </w:rPr>
              <w:t>1-11-12) Solicitudes de contratación de bienes y servicios no cumplan con los requisitos previos y de la decisión</w:t>
            </w:r>
            <w:r>
              <w:rPr>
                <w:spacing w:val="-6"/>
                <w:sz w:val="18"/>
              </w:rPr>
              <w:t> </w:t>
            </w:r>
            <w:r>
              <w:rPr>
                <w:sz w:val="18"/>
              </w:rPr>
              <w:t>inicial</w:t>
            </w:r>
            <w:r>
              <w:rPr>
                <w:spacing w:val="-7"/>
                <w:sz w:val="18"/>
              </w:rPr>
              <w:t> </w:t>
            </w:r>
            <w:r>
              <w:rPr>
                <w:sz w:val="18"/>
              </w:rPr>
              <w:t>articulo</w:t>
            </w:r>
            <w:r>
              <w:rPr>
                <w:spacing w:val="-9"/>
                <w:sz w:val="18"/>
              </w:rPr>
              <w:t> </w:t>
            </w:r>
            <w:r>
              <w:rPr>
                <w:sz w:val="18"/>
              </w:rPr>
              <w:t>86</w:t>
            </w:r>
            <w:r>
              <w:rPr>
                <w:spacing w:val="-9"/>
                <w:sz w:val="18"/>
              </w:rPr>
              <w:t> </w:t>
            </w:r>
            <w:r>
              <w:rPr>
                <w:sz w:val="18"/>
              </w:rPr>
              <w:t>y</w:t>
            </w:r>
            <w:r>
              <w:rPr>
                <w:spacing w:val="-5"/>
                <w:sz w:val="18"/>
              </w:rPr>
              <w:t> </w:t>
            </w:r>
            <w:r>
              <w:rPr>
                <w:sz w:val="18"/>
              </w:rPr>
              <w:t>172 de obra pública</w:t>
            </w:r>
          </w:p>
          <w:p>
            <w:pPr>
              <w:pStyle w:val="TableParagraph"/>
              <w:numPr>
                <w:ilvl w:val="0"/>
                <w:numId w:val="110"/>
              </w:numPr>
              <w:tabs>
                <w:tab w:pos="285" w:val="left" w:leader="none"/>
              </w:tabs>
              <w:spacing w:line="240" w:lineRule="auto" w:before="2" w:after="0"/>
              <w:ind w:left="75" w:right="157" w:firstLine="0"/>
              <w:jc w:val="left"/>
              <w:rPr>
                <w:sz w:val="18"/>
              </w:rPr>
            </w:pPr>
            <w:r>
              <w:rPr>
                <w:sz w:val="18"/>
              </w:rPr>
              <w:t>Instancias no cumplan oportunamente con el programa</w:t>
            </w:r>
            <w:r>
              <w:rPr>
                <w:spacing w:val="-9"/>
                <w:sz w:val="18"/>
              </w:rPr>
              <w:t> </w:t>
            </w:r>
            <w:r>
              <w:rPr>
                <w:sz w:val="18"/>
              </w:rPr>
              <w:t>del</w:t>
            </w:r>
            <w:r>
              <w:rPr>
                <w:spacing w:val="-13"/>
                <w:sz w:val="18"/>
              </w:rPr>
              <w:t> </w:t>
            </w:r>
            <w:r>
              <w:rPr>
                <w:sz w:val="18"/>
              </w:rPr>
              <w:t>P.</w:t>
            </w:r>
            <w:r>
              <w:rPr>
                <w:spacing w:val="-10"/>
                <w:sz w:val="18"/>
              </w:rPr>
              <w:t> </w:t>
            </w:r>
            <w:r>
              <w:rPr>
                <w:sz w:val="18"/>
              </w:rPr>
              <w:t>Adquisiciones</w:t>
            </w:r>
          </w:p>
          <w:p>
            <w:pPr>
              <w:pStyle w:val="TableParagraph"/>
              <w:numPr>
                <w:ilvl w:val="0"/>
                <w:numId w:val="110"/>
              </w:numPr>
              <w:tabs>
                <w:tab w:pos="285" w:val="left" w:leader="none"/>
              </w:tabs>
              <w:spacing w:line="240" w:lineRule="auto" w:before="0" w:after="0"/>
              <w:ind w:left="75" w:right="229" w:firstLine="0"/>
              <w:jc w:val="left"/>
              <w:rPr>
                <w:sz w:val="18"/>
              </w:rPr>
            </w:pPr>
            <w:r>
              <w:rPr>
                <w:sz w:val="18"/>
              </w:rPr>
              <w:t>Información imprecisa/no fidedigna</w:t>
            </w:r>
            <w:r>
              <w:rPr>
                <w:spacing w:val="-12"/>
                <w:sz w:val="18"/>
              </w:rPr>
              <w:t> </w:t>
            </w:r>
            <w:r>
              <w:rPr>
                <w:sz w:val="18"/>
              </w:rPr>
              <w:t>de</w:t>
            </w:r>
            <w:r>
              <w:rPr>
                <w:spacing w:val="-9"/>
                <w:sz w:val="18"/>
              </w:rPr>
              <w:t> </w:t>
            </w:r>
            <w:r>
              <w:rPr>
                <w:sz w:val="18"/>
              </w:rPr>
              <w:t>los</w:t>
            </w:r>
            <w:r>
              <w:rPr>
                <w:spacing w:val="-12"/>
                <w:sz w:val="18"/>
              </w:rPr>
              <w:t> </w:t>
            </w:r>
            <w:r>
              <w:rPr>
                <w:sz w:val="18"/>
              </w:rPr>
              <w:t>seguimientos de la ejecución</w:t>
            </w:r>
            <w:r>
              <w:rPr>
                <w:spacing w:val="-2"/>
                <w:sz w:val="18"/>
              </w:rPr>
              <w:t> </w:t>
            </w:r>
            <w:r>
              <w:rPr>
                <w:sz w:val="18"/>
              </w:rPr>
              <w:t>del Programa de Adquisiciones</w:t>
            </w:r>
          </w:p>
          <w:p>
            <w:pPr>
              <w:pStyle w:val="TableParagraph"/>
              <w:spacing w:before="1"/>
              <w:ind w:left="75"/>
              <w:rPr>
                <w:sz w:val="18"/>
              </w:rPr>
            </w:pPr>
            <w:r>
              <w:rPr>
                <w:sz w:val="18"/>
              </w:rPr>
              <w:t>1-11-12) Solicitudes de contratación de bienes y servicios no cumplan con los requisitos previos y de la decisión</w:t>
            </w:r>
            <w:r>
              <w:rPr>
                <w:spacing w:val="-6"/>
                <w:sz w:val="18"/>
              </w:rPr>
              <w:t> </w:t>
            </w:r>
            <w:r>
              <w:rPr>
                <w:sz w:val="18"/>
              </w:rPr>
              <w:t>inicial</w:t>
            </w:r>
            <w:r>
              <w:rPr>
                <w:spacing w:val="-7"/>
                <w:sz w:val="18"/>
              </w:rPr>
              <w:t> </w:t>
            </w:r>
            <w:r>
              <w:rPr>
                <w:sz w:val="18"/>
              </w:rPr>
              <w:t>articulo</w:t>
            </w:r>
            <w:r>
              <w:rPr>
                <w:spacing w:val="-9"/>
                <w:sz w:val="18"/>
              </w:rPr>
              <w:t> </w:t>
            </w:r>
            <w:r>
              <w:rPr>
                <w:sz w:val="18"/>
              </w:rPr>
              <w:t>86</w:t>
            </w:r>
            <w:r>
              <w:rPr>
                <w:spacing w:val="-9"/>
                <w:sz w:val="18"/>
              </w:rPr>
              <w:t> </w:t>
            </w:r>
            <w:r>
              <w:rPr>
                <w:sz w:val="18"/>
              </w:rPr>
              <w:t>y</w:t>
            </w:r>
            <w:r>
              <w:rPr>
                <w:spacing w:val="-5"/>
                <w:sz w:val="18"/>
              </w:rPr>
              <w:t> </w:t>
            </w:r>
            <w:r>
              <w:rPr>
                <w:sz w:val="18"/>
              </w:rPr>
              <w:t>172 de obra pública</w:t>
            </w:r>
          </w:p>
          <w:p>
            <w:pPr>
              <w:pStyle w:val="TableParagraph"/>
              <w:numPr>
                <w:ilvl w:val="0"/>
                <w:numId w:val="111"/>
              </w:numPr>
              <w:tabs>
                <w:tab w:pos="285" w:val="left" w:leader="none"/>
              </w:tabs>
              <w:spacing w:line="240" w:lineRule="auto" w:before="2" w:after="0"/>
              <w:ind w:left="75" w:right="109" w:firstLine="0"/>
              <w:jc w:val="left"/>
              <w:rPr>
                <w:sz w:val="18"/>
              </w:rPr>
            </w:pPr>
            <w:r>
              <w:rPr>
                <w:sz w:val="18"/>
              </w:rPr>
              <w:t>Instancias no cumplan oportunamente con el programa</w:t>
            </w:r>
            <w:r>
              <w:rPr>
                <w:spacing w:val="31"/>
                <w:sz w:val="18"/>
              </w:rPr>
              <w:t> </w:t>
            </w:r>
            <w:r>
              <w:rPr>
                <w:sz w:val="18"/>
              </w:rPr>
              <w:t>del</w:t>
            </w:r>
            <w:r>
              <w:rPr>
                <w:spacing w:val="-9"/>
                <w:sz w:val="18"/>
              </w:rPr>
              <w:t> </w:t>
            </w:r>
            <w:r>
              <w:rPr>
                <w:sz w:val="18"/>
              </w:rPr>
              <w:t>P.</w:t>
            </w:r>
            <w:r>
              <w:rPr>
                <w:spacing w:val="-6"/>
                <w:sz w:val="18"/>
              </w:rPr>
              <w:t> </w:t>
            </w:r>
            <w:r>
              <w:rPr>
                <w:sz w:val="18"/>
              </w:rPr>
              <w:t>Adquisiciones</w:t>
            </w:r>
          </w:p>
          <w:p>
            <w:pPr>
              <w:pStyle w:val="TableParagraph"/>
              <w:numPr>
                <w:ilvl w:val="0"/>
                <w:numId w:val="111"/>
              </w:numPr>
              <w:tabs>
                <w:tab w:pos="285" w:val="left" w:leader="none"/>
              </w:tabs>
              <w:spacing w:line="240" w:lineRule="auto" w:before="0" w:after="0"/>
              <w:ind w:left="75" w:right="181" w:firstLine="0"/>
              <w:jc w:val="left"/>
              <w:rPr>
                <w:sz w:val="18"/>
              </w:rPr>
            </w:pPr>
            <w:r>
              <w:rPr>
                <w:sz w:val="18"/>
              </w:rPr>
              <w:t>Información imprecisa/no fidedigna</w:t>
            </w:r>
            <w:r>
              <w:rPr>
                <w:spacing w:val="-10"/>
                <w:sz w:val="18"/>
              </w:rPr>
              <w:t> </w:t>
            </w:r>
            <w:r>
              <w:rPr>
                <w:sz w:val="18"/>
              </w:rPr>
              <w:t>de</w:t>
            </w:r>
            <w:r>
              <w:rPr>
                <w:spacing w:val="-7"/>
                <w:sz w:val="18"/>
              </w:rPr>
              <w:t> </w:t>
            </w:r>
            <w:r>
              <w:rPr>
                <w:sz w:val="18"/>
              </w:rPr>
              <w:t>los</w:t>
            </w:r>
            <w:r>
              <w:rPr>
                <w:spacing w:val="31"/>
                <w:sz w:val="18"/>
              </w:rPr>
              <w:t> </w:t>
            </w:r>
            <w:r>
              <w:rPr>
                <w:sz w:val="18"/>
              </w:rPr>
              <w:t>seguimientos de la ejecución del Programa</w:t>
            </w:r>
          </w:p>
        </w:tc>
      </w:tr>
      <w:tr>
        <w:trPr>
          <w:trHeight w:val="3768" w:hRule="atLeast"/>
        </w:trPr>
        <w:tc>
          <w:tcPr>
            <w:tcW w:w="2545" w:type="dxa"/>
          </w:tcPr>
          <w:p>
            <w:pPr>
              <w:pStyle w:val="TableParagraph"/>
              <w:rPr>
                <w:b/>
                <w:sz w:val="18"/>
              </w:rPr>
            </w:pPr>
          </w:p>
          <w:p>
            <w:pPr>
              <w:pStyle w:val="TableParagraph"/>
              <w:rPr>
                <w:b/>
                <w:sz w:val="18"/>
              </w:rPr>
            </w:pPr>
          </w:p>
          <w:p>
            <w:pPr>
              <w:pStyle w:val="TableParagraph"/>
              <w:spacing w:before="122"/>
              <w:rPr>
                <w:b/>
                <w:sz w:val="18"/>
              </w:rPr>
            </w:pPr>
          </w:p>
          <w:p>
            <w:pPr>
              <w:pStyle w:val="TableParagraph"/>
              <w:ind w:left="72" w:right="81"/>
              <w:rPr>
                <w:sz w:val="18"/>
              </w:rPr>
            </w:pPr>
            <w:r>
              <w:rPr>
                <w:b/>
                <w:sz w:val="18"/>
              </w:rPr>
              <w:t>Actividad PAC 2.42.2: </w:t>
            </w:r>
            <w:r>
              <w:rPr>
                <w:sz w:val="18"/>
              </w:rPr>
              <w:t>Concluir los procedimientos de contratación pública para la adquisición de bienes y servicios, en la etapa de notificación de contrato o declaratoria</w:t>
            </w:r>
            <w:r>
              <w:rPr>
                <w:spacing w:val="-15"/>
                <w:sz w:val="18"/>
              </w:rPr>
              <w:t> </w:t>
            </w:r>
            <w:r>
              <w:rPr>
                <w:sz w:val="18"/>
              </w:rPr>
              <w:t>de</w:t>
            </w:r>
            <w:r>
              <w:rPr>
                <w:spacing w:val="-12"/>
                <w:sz w:val="18"/>
              </w:rPr>
              <w:t> </w:t>
            </w:r>
            <w:r>
              <w:rPr>
                <w:sz w:val="18"/>
              </w:rPr>
              <w:t>infructuosidad o desierta, de las solicitudes que se presentaron en los plazos establecidos en el Programa de Adquisiciones.</w:t>
            </w:r>
          </w:p>
        </w:tc>
        <w:tc>
          <w:tcPr>
            <w:tcW w:w="14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4"/>
              <w:rPr>
                <w:b/>
                <w:sz w:val="18"/>
              </w:rPr>
            </w:pPr>
          </w:p>
          <w:p>
            <w:pPr>
              <w:pStyle w:val="TableParagraph"/>
              <w:ind w:left="17" w:right="5"/>
              <w:jc w:val="center"/>
              <w:rPr>
                <w:sz w:val="18"/>
              </w:rPr>
            </w:pPr>
            <w:r>
              <w:rPr>
                <w:spacing w:val="-5"/>
                <w:sz w:val="18"/>
              </w:rPr>
              <w:t>95%</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4"/>
              <w:rPr>
                <w:b/>
                <w:sz w:val="18"/>
              </w:rPr>
            </w:pPr>
          </w:p>
          <w:p>
            <w:pPr>
              <w:pStyle w:val="TableParagraph"/>
              <w:ind w:left="28" w:right="11"/>
              <w:jc w:val="center"/>
              <w:rPr>
                <w:sz w:val="18"/>
              </w:rPr>
            </w:pPr>
            <w:r>
              <w:rPr>
                <w:spacing w:val="-5"/>
                <w:sz w:val="18"/>
              </w:rPr>
              <w:t>95%</w:t>
            </w:r>
          </w:p>
        </w:tc>
        <w:tc>
          <w:tcPr>
            <w:tcW w:w="156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
              <w:rPr>
                <w:b/>
                <w:sz w:val="18"/>
              </w:rPr>
            </w:pPr>
          </w:p>
          <w:p>
            <w:pPr>
              <w:pStyle w:val="TableParagraph"/>
              <w:spacing w:before="1"/>
              <w:ind w:left="72" w:right="364"/>
              <w:rPr>
                <w:sz w:val="18"/>
              </w:rPr>
            </w:pPr>
            <w:r>
              <w:rPr>
                <w:sz w:val="18"/>
              </w:rPr>
              <w:t>Porcentaje</w:t>
            </w:r>
            <w:r>
              <w:rPr>
                <w:spacing w:val="-13"/>
                <w:sz w:val="18"/>
              </w:rPr>
              <w:t> </w:t>
            </w:r>
            <w:r>
              <w:rPr>
                <w:sz w:val="18"/>
              </w:rPr>
              <w:t>de solicitudes</w:t>
            </w:r>
            <w:r>
              <w:rPr>
                <w:spacing w:val="-13"/>
                <w:sz w:val="18"/>
              </w:rPr>
              <w:t> </w:t>
            </w:r>
            <w:r>
              <w:rPr>
                <w:sz w:val="18"/>
              </w:rPr>
              <w:t>de </w:t>
            </w:r>
            <w:r>
              <w:rPr>
                <w:spacing w:val="-2"/>
                <w:sz w:val="18"/>
              </w:rPr>
              <w:t>contratación </w:t>
            </w:r>
            <w:r>
              <w:rPr>
                <w:sz w:val="18"/>
              </w:rPr>
              <w:t>enviadas al </w:t>
            </w:r>
            <w:r>
              <w:rPr>
                <w:spacing w:val="-2"/>
                <w:sz w:val="18"/>
              </w:rPr>
              <w:t>distribuidor SICOP</w:t>
            </w:r>
          </w:p>
        </w:tc>
        <w:tc>
          <w:tcPr>
            <w:tcW w:w="1939" w:type="dxa"/>
          </w:tcPr>
          <w:p>
            <w:pPr>
              <w:pStyle w:val="TableParagraph"/>
              <w:spacing w:before="123"/>
              <w:rPr>
                <w:b/>
                <w:sz w:val="18"/>
              </w:rPr>
            </w:pPr>
          </w:p>
          <w:p>
            <w:pPr>
              <w:pStyle w:val="TableParagraph"/>
              <w:numPr>
                <w:ilvl w:val="0"/>
                <w:numId w:val="112"/>
              </w:numPr>
              <w:tabs>
                <w:tab w:pos="273" w:val="left" w:leader="none"/>
              </w:tabs>
              <w:spacing w:line="240" w:lineRule="auto" w:before="0" w:after="0"/>
              <w:ind w:left="68" w:right="154" w:firstLine="0"/>
              <w:jc w:val="left"/>
              <w:rPr>
                <w:sz w:val="18"/>
              </w:rPr>
            </w:pPr>
            <w:r>
              <w:rPr>
                <w:sz w:val="18"/>
              </w:rPr>
              <w:t>Reporte</w:t>
            </w:r>
            <w:r>
              <w:rPr>
                <w:spacing w:val="-15"/>
                <w:sz w:val="18"/>
              </w:rPr>
              <w:t> </w:t>
            </w:r>
            <w:r>
              <w:rPr>
                <w:sz w:val="18"/>
              </w:rPr>
              <w:t>de</w:t>
            </w:r>
            <w:r>
              <w:rPr>
                <w:spacing w:val="-12"/>
                <w:sz w:val="18"/>
              </w:rPr>
              <w:t> </w:t>
            </w:r>
            <w:r>
              <w:rPr>
                <w:sz w:val="18"/>
              </w:rPr>
              <w:t>SICOP de solicitudes enviadas al </w:t>
            </w:r>
            <w:r>
              <w:rPr>
                <w:spacing w:val="-2"/>
                <w:sz w:val="18"/>
              </w:rPr>
              <w:t>distribuidor.</w:t>
            </w:r>
          </w:p>
          <w:p>
            <w:pPr>
              <w:pStyle w:val="TableParagraph"/>
              <w:numPr>
                <w:ilvl w:val="0"/>
                <w:numId w:val="112"/>
              </w:numPr>
              <w:tabs>
                <w:tab w:pos="273" w:val="left" w:leader="none"/>
              </w:tabs>
              <w:spacing w:line="240" w:lineRule="auto" w:before="3" w:after="0"/>
              <w:ind w:left="68" w:right="114" w:firstLine="0"/>
              <w:jc w:val="left"/>
              <w:rPr>
                <w:sz w:val="18"/>
              </w:rPr>
            </w:pPr>
            <w:r>
              <w:rPr>
                <w:sz w:val="18"/>
              </w:rPr>
              <w:t>Listado de Contratos</w:t>
            </w:r>
            <w:r>
              <w:rPr>
                <w:spacing w:val="-13"/>
                <w:sz w:val="18"/>
              </w:rPr>
              <w:t> </w:t>
            </w:r>
            <w:r>
              <w:rPr>
                <w:sz w:val="18"/>
              </w:rPr>
              <w:t>notificados.</w:t>
            </w:r>
          </w:p>
          <w:p>
            <w:pPr>
              <w:pStyle w:val="TableParagraph"/>
              <w:numPr>
                <w:ilvl w:val="0"/>
                <w:numId w:val="112"/>
              </w:numPr>
              <w:tabs>
                <w:tab w:pos="273" w:val="left" w:leader="none"/>
              </w:tabs>
              <w:spacing w:line="240" w:lineRule="auto" w:before="0" w:after="0"/>
              <w:ind w:left="68" w:right="85" w:firstLine="0"/>
              <w:jc w:val="left"/>
              <w:rPr>
                <w:sz w:val="18"/>
              </w:rPr>
            </w:pPr>
            <w:r>
              <w:rPr>
                <w:sz w:val="18"/>
              </w:rPr>
              <w:t>Listado de contrataciones con </w:t>
            </w:r>
            <w:r>
              <w:rPr>
                <w:spacing w:val="-2"/>
                <w:sz w:val="18"/>
              </w:rPr>
              <w:t>declaratoria </w:t>
            </w:r>
            <w:r>
              <w:rPr>
                <w:sz w:val="18"/>
              </w:rPr>
              <w:t>infructuosa</w:t>
            </w:r>
            <w:r>
              <w:rPr>
                <w:spacing w:val="-15"/>
                <w:sz w:val="18"/>
              </w:rPr>
              <w:t> </w:t>
            </w:r>
            <w:r>
              <w:rPr>
                <w:sz w:val="18"/>
              </w:rPr>
              <w:t>o</w:t>
            </w:r>
            <w:r>
              <w:rPr>
                <w:spacing w:val="-12"/>
                <w:sz w:val="18"/>
              </w:rPr>
              <w:t> </w:t>
            </w:r>
            <w:r>
              <w:rPr>
                <w:sz w:val="18"/>
              </w:rPr>
              <w:t>desierta.</w:t>
            </w:r>
          </w:p>
          <w:p>
            <w:pPr>
              <w:pStyle w:val="TableParagraph"/>
              <w:numPr>
                <w:ilvl w:val="0"/>
                <w:numId w:val="112"/>
              </w:numPr>
              <w:tabs>
                <w:tab w:pos="273" w:val="left" w:leader="none"/>
              </w:tabs>
              <w:spacing w:line="242" w:lineRule="auto" w:before="0" w:after="0"/>
              <w:ind w:left="68" w:right="283" w:firstLine="0"/>
              <w:jc w:val="left"/>
              <w:rPr>
                <w:sz w:val="18"/>
              </w:rPr>
            </w:pPr>
            <w:r>
              <w:rPr>
                <w:sz w:val="18"/>
              </w:rPr>
              <w:t>Circular</w:t>
            </w:r>
            <w:r>
              <w:rPr>
                <w:spacing w:val="-15"/>
                <w:sz w:val="18"/>
              </w:rPr>
              <w:t> </w:t>
            </w:r>
            <w:r>
              <w:rPr>
                <w:sz w:val="18"/>
              </w:rPr>
              <w:t>de</w:t>
            </w:r>
            <w:r>
              <w:rPr>
                <w:spacing w:val="-12"/>
                <w:sz w:val="18"/>
              </w:rPr>
              <w:t> </w:t>
            </w:r>
            <w:r>
              <w:rPr>
                <w:sz w:val="18"/>
              </w:rPr>
              <w:t>carga de solicitudes de </w:t>
            </w:r>
            <w:r>
              <w:rPr>
                <w:spacing w:val="-2"/>
                <w:sz w:val="18"/>
              </w:rPr>
              <w:t>contratación.</w:t>
            </w:r>
          </w:p>
          <w:p>
            <w:pPr>
              <w:pStyle w:val="TableParagraph"/>
              <w:numPr>
                <w:ilvl w:val="0"/>
                <w:numId w:val="112"/>
              </w:numPr>
              <w:tabs>
                <w:tab w:pos="273" w:val="left" w:leader="none"/>
              </w:tabs>
              <w:spacing w:line="240" w:lineRule="auto" w:before="0" w:after="0"/>
              <w:ind w:left="68" w:right="615" w:firstLine="0"/>
              <w:jc w:val="left"/>
              <w:rPr>
                <w:sz w:val="18"/>
              </w:rPr>
            </w:pPr>
            <w:r>
              <w:rPr>
                <w:sz w:val="18"/>
              </w:rPr>
              <w:t>Programa</w:t>
            </w:r>
            <w:r>
              <w:rPr>
                <w:spacing w:val="-13"/>
                <w:sz w:val="18"/>
              </w:rPr>
              <w:t> </w:t>
            </w:r>
            <w:r>
              <w:rPr>
                <w:sz w:val="18"/>
              </w:rPr>
              <w:t>de </w:t>
            </w:r>
            <w:r>
              <w:rPr>
                <w:spacing w:val="-2"/>
                <w:sz w:val="18"/>
              </w:rPr>
              <w:t>Adquisiciones</w:t>
            </w:r>
          </w:p>
        </w:tc>
        <w:tc>
          <w:tcPr>
            <w:tcW w:w="134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
              <w:rPr>
                <w:b/>
                <w:sz w:val="18"/>
              </w:rPr>
            </w:pPr>
          </w:p>
          <w:p>
            <w:pPr>
              <w:pStyle w:val="TableParagraph"/>
              <w:ind w:left="74"/>
              <w:rPr>
                <w:sz w:val="18"/>
              </w:rPr>
            </w:pPr>
            <w:r>
              <w:rPr>
                <w:spacing w:val="-2"/>
                <w:sz w:val="18"/>
              </w:rPr>
              <w:t>Proveeduría Institucional</w:t>
            </w:r>
          </w:p>
        </w:tc>
        <w:tc>
          <w:tcPr>
            <w:tcW w:w="1680" w:type="dxa"/>
          </w:tcPr>
          <w:p>
            <w:pPr>
              <w:pStyle w:val="TableParagraph"/>
              <w:rPr>
                <w:rFonts w:ascii="Times New Roman"/>
                <w:sz w:val="18"/>
              </w:rPr>
            </w:pPr>
          </w:p>
        </w:tc>
        <w:tc>
          <w:tcPr>
            <w:tcW w:w="2693" w:type="dxa"/>
            <w:vMerge/>
            <w:tcBorders>
              <w:top w:val="nil"/>
            </w:tcBorders>
          </w:tcPr>
          <w:p>
            <w:pPr>
              <w:rPr>
                <w:sz w:val="2"/>
                <w:szCs w:val="2"/>
              </w:rPr>
            </w:pPr>
          </w:p>
        </w:tc>
      </w:tr>
    </w:tbl>
    <w:p>
      <w:pPr>
        <w:spacing w:after="0"/>
        <w:rPr>
          <w:sz w:val="2"/>
          <w:szCs w:val="2"/>
        </w:rPr>
        <w:sectPr>
          <w:pgSz w:w="15840" w:h="12240" w:orient="landscape"/>
          <w:pgMar w:header="0" w:footer="1806" w:top="1320" w:bottom="3004"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5"/>
        <w:gridCol w:w="1445"/>
        <w:gridCol w:w="1181"/>
        <w:gridCol w:w="1564"/>
        <w:gridCol w:w="1939"/>
        <w:gridCol w:w="1343"/>
        <w:gridCol w:w="1680"/>
        <w:gridCol w:w="2693"/>
      </w:tblGrid>
      <w:tr>
        <w:trPr>
          <w:trHeight w:val="854" w:hRule="atLeast"/>
        </w:trPr>
        <w:tc>
          <w:tcPr>
            <w:tcW w:w="2545" w:type="dxa"/>
            <w:shd w:val="clear" w:color="auto" w:fill="F1F1F1"/>
          </w:tcPr>
          <w:p>
            <w:pPr>
              <w:pStyle w:val="TableParagraph"/>
              <w:spacing w:before="118"/>
              <w:rPr>
                <w:b/>
                <w:sz w:val="18"/>
              </w:rPr>
            </w:pPr>
          </w:p>
          <w:p>
            <w:pPr>
              <w:pStyle w:val="TableParagraph"/>
              <w:ind w:left="302"/>
              <w:rPr>
                <w:b/>
                <w:sz w:val="18"/>
              </w:rPr>
            </w:pPr>
            <w:r>
              <w:rPr>
                <w:b/>
                <w:sz w:val="18"/>
              </w:rPr>
              <w:t>Objetivos</w:t>
            </w:r>
            <w:r>
              <w:rPr>
                <w:b/>
                <w:spacing w:val="-5"/>
                <w:sz w:val="18"/>
              </w:rPr>
              <w:t> </w:t>
            </w:r>
            <w:r>
              <w:rPr>
                <w:b/>
                <w:sz w:val="18"/>
              </w:rPr>
              <w:t>/</w:t>
            </w:r>
            <w:r>
              <w:rPr>
                <w:b/>
                <w:spacing w:val="-2"/>
                <w:sz w:val="18"/>
              </w:rPr>
              <w:t> Resultados</w:t>
            </w:r>
          </w:p>
        </w:tc>
        <w:tc>
          <w:tcPr>
            <w:tcW w:w="1445" w:type="dxa"/>
            <w:shd w:val="clear" w:color="auto" w:fill="F1F1F1"/>
          </w:tcPr>
          <w:p>
            <w:pPr>
              <w:pStyle w:val="TableParagraph"/>
              <w:spacing w:before="12"/>
              <w:rPr>
                <w:b/>
                <w:sz w:val="18"/>
              </w:rPr>
            </w:pPr>
          </w:p>
          <w:p>
            <w:pPr>
              <w:pStyle w:val="TableParagraph"/>
              <w:ind w:left="465" w:hanging="216"/>
              <w:rPr>
                <w:b/>
                <w:sz w:val="18"/>
              </w:rPr>
            </w:pPr>
            <w:r>
              <w:rPr>
                <w:b/>
                <w:sz w:val="18"/>
              </w:rPr>
              <w:t>Línea</w:t>
            </w:r>
            <w:r>
              <w:rPr>
                <w:b/>
                <w:spacing w:val="-13"/>
                <w:sz w:val="18"/>
              </w:rPr>
              <w:t> </w:t>
            </w:r>
            <w:r>
              <w:rPr>
                <w:b/>
                <w:sz w:val="18"/>
              </w:rPr>
              <w:t>Base </w:t>
            </w:r>
            <w:r>
              <w:rPr>
                <w:b/>
                <w:spacing w:val="-2"/>
                <w:sz w:val="18"/>
              </w:rPr>
              <w:t>(2024)</w:t>
            </w:r>
          </w:p>
        </w:tc>
        <w:tc>
          <w:tcPr>
            <w:tcW w:w="1181" w:type="dxa"/>
            <w:shd w:val="clear" w:color="auto" w:fill="F1F1F1"/>
          </w:tcPr>
          <w:p>
            <w:pPr>
              <w:pStyle w:val="TableParagraph"/>
              <w:spacing w:line="242" w:lineRule="auto" w:before="114"/>
              <w:ind w:left="72" w:right="50" w:hanging="10"/>
              <w:jc w:val="center"/>
              <w:rPr>
                <w:b/>
                <w:sz w:val="18"/>
              </w:rPr>
            </w:pPr>
            <w:r>
              <w:rPr>
                <w:b/>
                <w:spacing w:val="-4"/>
                <w:sz w:val="18"/>
              </w:rPr>
              <w:t>Meta </w:t>
            </w:r>
            <w:r>
              <w:rPr>
                <w:b/>
                <w:spacing w:val="-2"/>
                <w:sz w:val="18"/>
              </w:rPr>
              <w:t>programada </w:t>
            </w:r>
            <w:r>
              <w:rPr>
                <w:b/>
                <w:spacing w:val="-4"/>
                <w:sz w:val="18"/>
              </w:rPr>
              <w:t>2026</w:t>
            </w:r>
          </w:p>
        </w:tc>
        <w:tc>
          <w:tcPr>
            <w:tcW w:w="1564" w:type="dxa"/>
            <w:shd w:val="clear" w:color="auto" w:fill="F1F1F1"/>
          </w:tcPr>
          <w:p>
            <w:pPr>
              <w:pStyle w:val="TableParagraph"/>
              <w:spacing w:before="118"/>
              <w:rPr>
                <w:b/>
                <w:sz w:val="18"/>
              </w:rPr>
            </w:pPr>
          </w:p>
          <w:p>
            <w:pPr>
              <w:pStyle w:val="TableParagraph"/>
              <w:ind w:left="374"/>
              <w:rPr>
                <w:b/>
                <w:sz w:val="18"/>
              </w:rPr>
            </w:pPr>
            <w:r>
              <w:rPr>
                <w:b/>
                <w:spacing w:val="-2"/>
                <w:sz w:val="18"/>
              </w:rPr>
              <w:t>Indicador</w:t>
            </w:r>
          </w:p>
        </w:tc>
        <w:tc>
          <w:tcPr>
            <w:tcW w:w="1939" w:type="dxa"/>
            <w:shd w:val="clear" w:color="auto" w:fill="F1F1F1"/>
          </w:tcPr>
          <w:p>
            <w:pPr>
              <w:pStyle w:val="TableParagraph"/>
              <w:spacing w:before="12"/>
              <w:rPr>
                <w:b/>
                <w:sz w:val="18"/>
              </w:rPr>
            </w:pPr>
          </w:p>
          <w:p>
            <w:pPr>
              <w:pStyle w:val="TableParagraph"/>
              <w:ind w:left="467" w:firstLine="57"/>
              <w:rPr>
                <w:b/>
                <w:sz w:val="18"/>
              </w:rPr>
            </w:pPr>
            <w:r>
              <w:rPr>
                <w:b/>
                <w:sz w:val="18"/>
              </w:rPr>
              <w:t>Medios de </w:t>
            </w:r>
            <w:r>
              <w:rPr>
                <w:b/>
                <w:spacing w:val="-2"/>
                <w:sz w:val="18"/>
              </w:rPr>
              <w:t>verificación</w:t>
            </w:r>
          </w:p>
        </w:tc>
        <w:tc>
          <w:tcPr>
            <w:tcW w:w="1343" w:type="dxa"/>
            <w:shd w:val="clear" w:color="auto" w:fill="F1F1F1"/>
          </w:tcPr>
          <w:p>
            <w:pPr>
              <w:pStyle w:val="TableParagraph"/>
              <w:spacing w:before="118"/>
              <w:rPr>
                <w:b/>
                <w:sz w:val="18"/>
              </w:rPr>
            </w:pPr>
          </w:p>
          <w:p>
            <w:pPr>
              <w:pStyle w:val="TableParagraph"/>
              <w:ind w:left="117"/>
              <w:rPr>
                <w:b/>
                <w:sz w:val="18"/>
              </w:rPr>
            </w:pPr>
            <w:r>
              <w:rPr>
                <w:b/>
                <w:spacing w:val="-2"/>
                <w:sz w:val="18"/>
              </w:rPr>
              <w:t>Responsable</w:t>
            </w:r>
          </w:p>
        </w:tc>
        <w:tc>
          <w:tcPr>
            <w:tcW w:w="1680" w:type="dxa"/>
            <w:shd w:val="clear" w:color="auto" w:fill="F1F1F1"/>
          </w:tcPr>
          <w:p>
            <w:pPr>
              <w:pStyle w:val="TableParagraph"/>
              <w:spacing w:before="12"/>
              <w:rPr>
                <w:b/>
                <w:sz w:val="18"/>
              </w:rPr>
            </w:pPr>
          </w:p>
          <w:p>
            <w:pPr>
              <w:pStyle w:val="TableParagraph"/>
              <w:ind w:left="450" w:hanging="154"/>
              <w:rPr>
                <w:b/>
                <w:sz w:val="18"/>
              </w:rPr>
            </w:pPr>
            <w:r>
              <w:rPr>
                <w:b/>
                <w:spacing w:val="-2"/>
                <w:sz w:val="18"/>
              </w:rPr>
              <w:t>Presupuesto asignado</w:t>
            </w:r>
          </w:p>
        </w:tc>
        <w:tc>
          <w:tcPr>
            <w:tcW w:w="2693" w:type="dxa"/>
            <w:shd w:val="clear" w:color="auto" w:fill="F1F1F1"/>
          </w:tcPr>
          <w:p>
            <w:pPr>
              <w:pStyle w:val="TableParagraph"/>
              <w:spacing w:before="118"/>
              <w:rPr>
                <w:b/>
                <w:sz w:val="18"/>
              </w:rPr>
            </w:pPr>
          </w:p>
          <w:p>
            <w:pPr>
              <w:pStyle w:val="TableParagraph"/>
              <w:ind w:left="532"/>
              <w:rPr>
                <w:b/>
                <w:sz w:val="18"/>
              </w:rPr>
            </w:pPr>
            <w:r>
              <w:rPr>
                <w:b/>
                <w:sz w:val="18"/>
              </w:rPr>
              <w:t>Riesgos</w:t>
            </w:r>
            <w:r>
              <w:rPr>
                <w:b/>
                <w:spacing w:val="-4"/>
                <w:sz w:val="18"/>
              </w:rPr>
              <w:t> </w:t>
            </w:r>
            <w:r>
              <w:rPr>
                <w:b/>
                <w:spacing w:val="-2"/>
                <w:sz w:val="18"/>
              </w:rPr>
              <w:t>asociados</w:t>
            </w:r>
          </w:p>
        </w:tc>
      </w:tr>
      <w:tr>
        <w:trPr>
          <w:trHeight w:val="2866" w:hRule="atLeast"/>
        </w:trPr>
        <w:tc>
          <w:tcPr>
            <w:tcW w:w="2545" w:type="dxa"/>
          </w:tcPr>
          <w:p>
            <w:pPr>
              <w:pStyle w:val="TableParagraph"/>
              <w:rPr>
                <w:b/>
                <w:sz w:val="18"/>
              </w:rPr>
            </w:pPr>
          </w:p>
          <w:p>
            <w:pPr>
              <w:pStyle w:val="TableParagraph"/>
              <w:rPr>
                <w:b/>
                <w:sz w:val="18"/>
              </w:rPr>
            </w:pPr>
          </w:p>
          <w:p>
            <w:pPr>
              <w:pStyle w:val="TableParagraph"/>
              <w:rPr>
                <w:b/>
                <w:sz w:val="18"/>
              </w:rPr>
            </w:pPr>
          </w:p>
          <w:p>
            <w:pPr>
              <w:pStyle w:val="TableParagraph"/>
              <w:spacing w:before="88"/>
              <w:rPr>
                <w:b/>
                <w:sz w:val="18"/>
              </w:rPr>
            </w:pPr>
          </w:p>
          <w:p>
            <w:pPr>
              <w:pStyle w:val="TableParagraph"/>
              <w:ind w:left="72" w:right="81"/>
              <w:rPr>
                <w:sz w:val="18"/>
              </w:rPr>
            </w:pPr>
            <w:r>
              <w:rPr>
                <w:b/>
                <w:sz w:val="18"/>
              </w:rPr>
              <w:t>Actividad PAC 2.42.3: </w:t>
            </w:r>
            <w:r>
              <w:rPr>
                <w:sz w:val="18"/>
              </w:rPr>
              <w:t>Dar seguimiento a la ejecución</w:t>
            </w:r>
            <w:r>
              <w:rPr>
                <w:spacing w:val="40"/>
                <w:sz w:val="18"/>
              </w:rPr>
              <w:t> </w:t>
            </w:r>
            <w:r>
              <w:rPr>
                <w:sz w:val="18"/>
              </w:rPr>
              <w:t>del Programa de Adquisiciones,</w:t>
            </w:r>
            <w:r>
              <w:rPr>
                <w:spacing w:val="-11"/>
                <w:sz w:val="18"/>
              </w:rPr>
              <w:t> </w:t>
            </w:r>
            <w:r>
              <w:rPr>
                <w:sz w:val="18"/>
              </w:rPr>
              <w:t>bajo</w:t>
            </w:r>
            <w:r>
              <w:rPr>
                <w:spacing w:val="-13"/>
                <w:sz w:val="18"/>
              </w:rPr>
              <w:t> </w:t>
            </w:r>
            <w:r>
              <w:rPr>
                <w:sz w:val="18"/>
              </w:rPr>
              <w:t>el</w:t>
            </w:r>
            <w:r>
              <w:rPr>
                <w:spacing w:val="-10"/>
                <w:sz w:val="18"/>
              </w:rPr>
              <w:t> </w:t>
            </w:r>
            <w:r>
              <w:rPr>
                <w:sz w:val="18"/>
              </w:rPr>
              <w:t>análisis de valor público</w:t>
            </w:r>
          </w:p>
        </w:tc>
        <w:tc>
          <w:tcPr>
            <w:tcW w:w="14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17" w:right="3"/>
              <w:jc w:val="center"/>
              <w:rPr>
                <w:sz w:val="18"/>
              </w:rPr>
            </w:pPr>
            <w:r>
              <w:rPr>
                <w:spacing w:val="-5"/>
                <w:sz w:val="18"/>
              </w:rPr>
              <w:t>10</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28" w:right="19"/>
              <w:jc w:val="center"/>
              <w:rPr>
                <w:sz w:val="18"/>
              </w:rPr>
            </w:pPr>
            <w:r>
              <w:rPr>
                <w:spacing w:val="-5"/>
                <w:sz w:val="18"/>
              </w:rPr>
              <w:t>10</w:t>
            </w:r>
          </w:p>
        </w:tc>
        <w:tc>
          <w:tcPr>
            <w:tcW w:w="1564" w:type="dxa"/>
          </w:tcPr>
          <w:p>
            <w:pPr>
              <w:pStyle w:val="TableParagraph"/>
              <w:rPr>
                <w:b/>
                <w:sz w:val="18"/>
              </w:rPr>
            </w:pPr>
          </w:p>
          <w:p>
            <w:pPr>
              <w:pStyle w:val="TableParagraph"/>
              <w:rPr>
                <w:b/>
                <w:sz w:val="18"/>
              </w:rPr>
            </w:pPr>
          </w:p>
          <w:p>
            <w:pPr>
              <w:pStyle w:val="TableParagraph"/>
              <w:rPr>
                <w:b/>
                <w:sz w:val="18"/>
              </w:rPr>
            </w:pPr>
          </w:p>
          <w:p>
            <w:pPr>
              <w:pStyle w:val="TableParagraph"/>
              <w:spacing w:before="88"/>
              <w:rPr>
                <w:b/>
                <w:sz w:val="18"/>
              </w:rPr>
            </w:pPr>
          </w:p>
          <w:p>
            <w:pPr>
              <w:pStyle w:val="TableParagraph"/>
              <w:ind w:left="72"/>
              <w:rPr>
                <w:sz w:val="18"/>
              </w:rPr>
            </w:pPr>
            <w:r>
              <w:rPr>
                <w:sz w:val="18"/>
              </w:rPr>
              <w:t>Cantidad de </w:t>
            </w:r>
            <w:r>
              <w:rPr>
                <w:spacing w:val="-2"/>
                <w:sz w:val="18"/>
              </w:rPr>
              <w:t>reuniones </w:t>
            </w:r>
            <w:r>
              <w:rPr>
                <w:sz w:val="18"/>
              </w:rPr>
              <w:t>realizadas</w:t>
            </w:r>
            <w:r>
              <w:rPr>
                <w:spacing w:val="-15"/>
                <w:sz w:val="18"/>
              </w:rPr>
              <w:t> </w:t>
            </w:r>
            <w:r>
              <w:rPr>
                <w:sz w:val="18"/>
              </w:rPr>
              <w:t>para</w:t>
            </w:r>
            <w:r>
              <w:rPr>
                <w:spacing w:val="-12"/>
                <w:sz w:val="18"/>
              </w:rPr>
              <w:t> </w:t>
            </w:r>
            <w:r>
              <w:rPr>
                <w:sz w:val="18"/>
              </w:rPr>
              <w:t>el seguimiento del </w:t>
            </w:r>
            <w:r>
              <w:rPr>
                <w:spacing w:val="-4"/>
                <w:sz w:val="18"/>
              </w:rPr>
              <w:t>PAA</w:t>
            </w:r>
          </w:p>
        </w:tc>
        <w:tc>
          <w:tcPr>
            <w:tcW w:w="1939" w:type="dxa"/>
          </w:tcPr>
          <w:p>
            <w:pPr>
              <w:pStyle w:val="TableParagraph"/>
              <w:spacing w:before="90"/>
              <w:rPr>
                <w:b/>
                <w:sz w:val="18"/>
              </w:rPr>
            </w:pPr>
          </w:p>
          <w:p>
            <w:pPr>
              <w:pStyle w:val="TableParagraph"/>
              <w:numPr>
                <w:ilvl w:val="0"/>
                <w:numId w:val="113"/>
              </w:numPr>
              <w:tabs>
                <w:tab w:pos="273" w:val="left" w:leader="none"/>
              </w:tabs>
              <w:spacing w:line="240" w:lineRule="auto" w:before="0" w:after="0"/>
              <w:ind w:left="68" w:right="64" w:firstLine="0"/>
              <w:jc w:val="left"/>
              <w:rPr>
                <w:sz w:val="18"/>
              </w:rPr>
            </w:pPr>
            <w:r>
              <w:rPr>
                <w:sz w:val="18"/>
              </w:rPr>
              <w:t>Convocatoria</w:t>
            </w:r>
            <w:r>
              <w:rPr>
                <w:spacing w:val="-15"/>
                <w:sz w:val="18"/>
              </w:rPr>
              <w:t> </w:t>
            </w:r>
            <w:r>
              <w:rPr>
                <w:sz w:val="18"/>
              </w:rPr>
              <w:t>de</w:t>
            </w:r>
            <w:r>
              <w:rPr>
                <w:spacing w:val="-12"/>
                <w:sz w:val="18"/>
              </w:rPr>
              <w:t> </w:t>
            </w:r>
            <w:r>
              <w:rPr>
                <w:sz w:val="18"/>
              </w:rPr>
              <w:t>las reuniones realizadas.</w:t>
            </w:r>
          </w:p>
          <w:p>
            <w:pPr>
              <w:pStyle w:val="TableParagraph"/>
              <w:numPr>
                <w:ilvl w:val="0"/>
                <w:numId w:val="113"/>
              </w:numPr>
              <w:tabs>
                <w:tab w:pos="273" w:val="left" w:leader="none"/>
              </w:tabs>
              <w:spacing w:line="240" w:lineRule="auto" w:before="0" w:after="0"/>
              <w:ind w:left="68" w:right="173" w:firstLine="0"/>
              <w:jc w:val="left"/>
              <w:rPr>
                <w:sz w:val="18"/>
              </w:rPr>
            </w:pPr>
            <w:r>
              <w:rPr>
                <w:spacing w:val="-2"/>
                <w:sz w:val="18"/>
              </w:rPr>
              <w:t>Presentaciones </w:t>
            </w:r>
            <w:r>
              <w:rPr>
                <w:sz w:val="18"/>
              </w:rPr>
              <w:t>realizadas</w:t>
            </w:r>
            <w:r>
              <w:rPr>
                <w:spacing w:val="-13"/>
                <w:sz w:val="18"/>
              </w:rPr>
              <w:t> </w:t>
            </w:r>
            <w:r>
              <w:rPr>
                <w:sz w:val="18"/>
              </w:rPr>
              <w:t>referentes al cumplimiento del plan de compras.</w:t>
            </w:r>
          </w:p>
          <w:p>
            <w:pPr>
              <w:pStyle w:val="TableParagraph"/>
              <w:numPr>
                <w:ilvl w:val="0"/>
                <w:numId w:val="113"/>
              </w:numPr>
              <w:tabs>
                <w:tab w:pos="268" w:val="left" w:leader="none"/>
              </w:tabs>
              <w:spacing w:line="240" w:lineRule="auto" w:before="0" w:after="0"/>
              <w:ind w:left="68" w:right="165" w:firstLine="0"/>
              <w:jc w:val="left"/>
              <w:rPr>
                <w:sz w:val="18"/>
              </w:rPr>
            </w:pPr>
            <w:r>
              <w:rPr>
                <w:spacing w:val="-2"/>
                <w:sz w:val="18"/>
              </w:rPr>
              <w:t>Informes </w:t>
            </w:r>
            <w:r>
              <w:rPr>
                <w:sz w:val="18"/>
              </w:rPr>
              <w:t>trimestrales de seguimiento al Plan Anual de Adquisiciones</w:t>
            </w:r>
            <w:r>
              <w:rPr>
                <w:spacing w:val="-13"/>
                <w:sz w:val="18"/>
              </w:rPr>
              <w:t> </w:t>
            </w:r>
            <w:r>
              <w:rPr>
                <w:sz w:val="18"/>
              </w:rPr>
              <w:t>(PAA).</w:t>
            </w:r>
          </w:p>
        </w:tc>
        <w:tc>
          <w:tcPr>
            <w:tcW w:w="134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spacing w:before="1"/>
              <w:ind w:left="74" w:right="161"/>
              <w:rPr>
                <w:sz w:val="18"/>
              </w:rPr>
            </w:pPr>
            <w:r>
              <w:rPr>
                <w:spacing w:val="-2"/>
                <w:sz w:val="18"/>
              </w:rPr>
              <w:t>Proveeduría </w:t>
            </w:r>
            <w:r>
              <w:rPr>
                <w:sz w:val="18"/>
              </w:rPr>
              <w:t>Institucional</w:t>
            </w:r>
            <w:r>
              <w:rPr>
                <w:spacing w:val="-13"/>
                <w:sz w:val="18"/>
              </w:rPr>
              <w:t> </w:t>
            </w:r>
            <w:r>
              <w:rPr>
                <w:sz w:val="18"/>
              </w:rPr>
              <w:t>y</w:t>
            </w:r>
          </w:p>
        </w:tc>
        <w:tc>
          <w:tcPr>
            <w:tcW w:w="1680" w:type="dxa"/>
          </w:tcPr>
          <w:p>
            <w:pPr>
              <w:pStyle w:val="TableParagraph"/>
              <w:rPr>
                <w:rFonts w:ascii="Times New Roman"/>
                <w:sz w:val="18"/>
              </w:rPr>
            </w:pPr>
          </w:p>
        </w:tc>
        <w:tc>
          <w:tcPr>
            <w:tcW w:w="2693" w:type="dxa"/>
            <w:vMerge w:val="restart"/>
          </w:tcPr>
          <w:p>
            <w:pPr>
              <w:pStyle w:val="TableParagraph"/>
              <w:spacing w:line="206" w:lineRule="exact"/>
              <w:ind w:left="75"/>
              <w:rPr>
                <w:sz w:val="18"/>
              </w:rPr>
            </w:pPr>
            <w:r>
              <w:rPr>
                <w:sz w:val="18"/>
              </w:rPr>
              <w:t>de</w:t>
            </w:r>
            <w:r>
              <w:rPr>
                <w:spacing w:val="2"/>
                <w:sz w:val="18"/>
              </w:rPr>
              <w:t> </w:t>
            </w:r>
            <w:r>
              <w:rPr>
                <w:spacing w:val="-2"/>
                <w:sz w:val="18"/>
              </w:rPr>
              <w:t>Adquisiciones</w:t>
            </w:r>
          </w:p>
          <w:p>
            <w:pPr>
              <w:pStyle w:val="TableParagraph"/>
              <w:numPr>
                <w:ilvl w:val="0"/>
                <w:numId w:val="114"/>
              </w:numPr>
              <w:tabs>
                <w:tab w:pos="289" w:val="left" w:leader="none"/>
              </w:tabs>
              <w:spacing w:line="240" w:lineRule="auto" w:before="0" w:after="0"/>
              <w:ind w:left="75" w:right="210" w:firstLine="0"/>
              <w:jc w:val="left"/>
              <w:rPr>
                <w:sz w:val="18"/>
              </w:rPr>
            </w:pPr>
            <w:r>
              <w:rPr>
                <w:sz w:val="18"/>
              </w:rPr>
              <w:t>No se cuente con información fidedigna, actualizada, automatizada de los</w:t>
            </w:r>
            <w:r>
              <w:rPr>
                <w:spacing w:val="-11"/>
                <w:sz w:val="18"/>
              </w:rPr>
              <w:t> </w:t>
            </w:r>
            <w:r>
              <w:rPr>
                <w:sz w:val="18"/>
              </w:rPr>
              <w:t>activos</w:t>
            </w:r>
            <w:r>
              <w:rPr>
                <w:spacing w:val="-13"/>
                <w:sz w:val="18"/>
              </w:rPr>
              <w:t> </w:t>
            </w:r>
            <w:r>
              <w:rPr>
                <w:sz w:val="18"/>
              </w:rPr>
              <w:t>fijos</w:t>
            </w:r>
            <w:r>
              <w:rPr>
                <w:spacing w:val="-10"/>
                <w:sz w:val="18"/>
              </w:rPr>
              <w:t> </w:t>
            </w:r>
            <w:r>
              <w:rPr>
                <w:sz w:val="18"/>
              </w:rPr>
              <w:t>institucionales</w:t>
            </w:r>
          </w:p>
          <w:p>
            <w:pPr>
              <w:pStyle w:val="TableParagraph"/>
              <w:numPr>
                <w:ilvl w:val="0"/>
                <w:numId w:val="114"/>
              </w:numPr>
              <w:tabs>
                <w:tab w:pos="289" w:val="left" w:leader="none"/>
              </w:tabs>
              <w:spacing w:line="240" w:lineRule="auto" w:before="2" w:after="0"/>
              <w:ind w:left="75" w:right="229" w:firstLine="0"/>
              <w:jc w:val="left"/>
              <w:rPr>
                <w:sz w:val="18"/>
              </w:rPr>
            </w:pPr>
            <w:r>
              <w:rPr>
                <w:sz w:val="18"/>
              </w:rPr>
              <w:t>No</w:t>
            </w:r>
            <w:r>
              <w:rPr>
                <w:spacing w:val="-13"/>
                <w:sz w:val="18"/>
              </w:rPr>
              <w:t> </w:t>
            </w:r>
            <w:r>
              <w:rPr>
                <w:sz w:val="18"/>
              </w:rPr>
              <w:t>tener</w:t>
            </w:r>
            <w:r>
              <w:rPr>
                <w:spacing w:val="-12"/>
                <w:sz w:val="18"/>
              </w:rPr>
              <w:t> </w:t>
            </w:r>
            <w:r>
              <w:rPr>
                <w:sz w:val="18"/>
              </w:rPr>
              <w:t>reportados</w:t>
            </w:r>
            <w:r>
              <w:rPr>
                <w:spacing w:val="-12"/>
                <w:sz w:val="18"/>
              </w:rPr>
              <w:t> </w:t>
            </w:r>
            <w:r>
              <w:rPr>
                <w:sz w:val="18"/>
              </w:rPr>
              <w:t>dentro de las pólizas los bienes o recursos humano ante cualquier eventualidad</w:t>
            </w:r>
          </w:p>
          <w:p>
            <w:pPr>
              <w:pStyle w:val="TableParagraph"/>
              <w:numPr>
                <w:ilvl w:val="0"/>
                <w:numId w:val="114"/>
              </w:numPr>
              <w:tabs>
                <w:tab w:pos="285" w:val="left" w:leader="none"/>
              </w:tabs>
              <w:spacing w:line="242" w:lineRule="auto" w:before="0" w:after="0"/>
              <w:ind w:left="75" w:right="170" w:firstLine="0"/>
              <w:jc w:val="left"/>
              <w:rPr>
                <w:sz w:val="18"/>
              </w:rPr>
            </w:pPr>
            <w:r>
              <w:rPr>
                <w:sz w:val="18"/>
              </w:rPr>
              <w:t>Monitoreo deficiente del inventario</w:t>
            </w:r>
            <w:r>
              <w:rPr>
                <w:spacing w:val="-6"/>
                <w:sz w:val="18"/>
              </w:rPr>
              <w:t> </w:t>
            </w:r>
            <w:r>
              <w:rPr>
                <w:sz w:val="18"/>
              </w:rPr>
              <w:t>de</w:t>
            </w:r>
            <w:r>
              <w:rPr>
                <w:spacing w:val="-10"/>
                <w:sz w:val="18"/>
              </w:rPr>
              <w:t> </w:t>
            </w:r>
            <w:r>
              <w:rPr>
                <w:sz w:val="18"/>
              </w:rPr>
              <w:t>suministros</w:t>
            </w:r>
            <w:r>
              <w:rPr>
                <w:spacing w:val="-10"/>
                <w:sz w:val="18"/>
              </w:rPr>
              <w:t> </w:t>
            </w:r>
            <w:r>
              <w:rPr>
                <w:sz w:val="18"/>
              </w:rPr>
              <w:t>en</w:t>
            </w:r>
            <w:r>
              <w:rPr>
                <w:spacing w:val="-10"/>
                <w:sz w:val="18"/>
              </w:rPr>
              <w:t> </w:t>
            </w:r>
            <w:r>
              <w:rPr>
                <w:sz w:val="18"/>
              </w:rPr>
              <w:t>el </w:t>
            </w:r>
            <w:r>
              <w:rPr>
                <w:spacing w:val="-2"/>
                <w:sz w:val="18"/>
              </w:rPr>
              <w:t>almacén</w:t>
            </w:r>
          </w:p>
          <w:p>
            <w:pPr>
              <w:pStyle w:val="TableParagraph"/>
              <w:numPr>
                <w:ilvl w:val="0"/>
                <w:numId w:val="114"/>
              </w:numPr>
              <w:tabs>
                <w:tab w:pos="285" w:val="left" w:leader="none"/>
              </w:tabs>
              <w:spacing w:line="240" w:lineRule="auto" w:before="0" w:after="0"/>
              <w:ind w:left="75" w:right="139" w:firstLine="0"/>
              <w:jc w:val="left"/>
              <w:rPr>
                <w:sz w:val="18"/>
              </w:rPr>
            </w:pPr>
            <w:r>
              <w:rPr>
                <w:sz w:val="18"/>
              </w:rPr>
              <w:t>Que el Departamento de Proveeduría Institucional no cumpla</w:t>
            </w:r>
            <w:r>
              <w:rPr>
                <w:spacing w:val="-12"/>
                <w:sz w:val="18"/>
              </w:rPr>
              <w:t> </w:t>
            </w:r>
            <w:r>
              <w:rPr>
                <w:sz w:val="18"/>
              </w:rPr>
              <w:t>oportunamente</w:t>
            </w:r>
            <w:r>
              <w:rPr>
                <w:spacing w:val="-12"/>
                <w:sz w:val="18"/>
              </w:rPr>
              <w:t> </w:t>
            </w:r>
            <w:r>
              <w:rPr>
                <w:sz w:val="18"/>
              </w:rPr>
              <w:t>con</w:t>
            </w:r>
            <w:r>
              <w:rPr>
                <w:spacing w:val="-9"/>
                <w:sz w:val="18"/>
              </w:rPr>
              <w:t> </w:t>
            </w:r>
            <w:r>
              <w:rPr>
                <w:sz w:val="18"/>
              </w:rPr>
              <w:t>las fechas establecidas el Programa de Adquisiciones, para</w:t>
            </w:r>
            <w:r>
              <w:rPr>
                <w:spacing w:val="-5"/>
                <w:sz w:val="18"/>
              </w:rPr>
              <w:t> </w:t>
            </w:r>
            <w:r>
              <w:rPr>
                <w:sz w:val="18"/>
              </w:rPr>
              <w:t>la</w:t>
            </w:r>
            <w:r>
              <w:rPr>
                <w:spacing w:val="-1"/>
                <w:sz w:val="18"/>
              </w:rPr>
              <w:t> </w:t>
            </w:r>
            <w:r>
              <w:rPr>
                <w:sz w:val="18"/>
              </w:rPr>
              <w:t>carga</w:t>
            </w:r>
            <w:r>
              <w:rPr>
                <w:spacing w:val="-5"/>
                <w:sz w:val="18"/>
              </w:rPr>
              <w:t> </w:t>
            </w:r>
            <w:r>
              <w:rPr>
                <w:sz w:val="18"/>
              </w:rPr>
              <w:t>de</w:t>
            </w:r>
            <w:r>
              <w:rPr>
                <w:spacing w:val="-5"/>
                <w:sz w:val="18"/>
              </w:rPr>
              <w:t> </w:t>
            </w:r>
            <w:r>
              <w:rPr>
                <w:sz w:val="18"/>
              </w:rPr>
              <w:t>solicitudes de las necesidades de la unidad, según la formulación </w:t>
            </w:r>
            <w:r>
              <w:rPr>
                <w:spacing w:val="-2"/>
                <w:sz w:val="18"/>
              </w:rPr>
              <w:t>presupuestaria.</w:t>
            </w:r>
          </w:p>
          <w:p>
            <w:pPr>
              <w:pStyle w:val="TableParagraph"/>
              <w:numPr>
                <w:ilvl w:val="0"/>
                <w:numId w:val="114"/>
              </w:numPr>
              <w:tabs>
                <w:tab w:pos="289" w:val="left" w:leader="none"/>
              </w:tabs>
              <w:spacing w:line="240" w:lineRule="auto" w:before="0" w:after="0"/>
              <w:ind w:left="75" w:right="110" w:firstLine="0"/>
              <w:jc w:val="left"/>
              <w:rPr>
                <w:sz w:val="18"/>
              </w:rPr>
            </w:pPr>
            <w:r>
              <w:rPr>
                <w:sz w:val="18"/>
              </w:rPr>
              <w:t>No</w:t>
            </w:r>
            <w:r>
              <w:rPr>
                <w:spacing w:val="-13"/>
                <w:sz w:val="18"/>
              </w:rPr>
              <w:t> </w:t>
            </w:r>
            <w:r>
              <w:rPr>
                <w:sz w:val="18"/>
              </w:rPr>
              <w:t>se</w:t>
            </w:r>
            <w:r>
              <w:rPr>
                <w:spacing w:val="-12"/>
                <w:sz w:val="18"/>
              </w:rPr>
              <w:t> </w:t>
            </w:r>
            <w:r>
              <w:rPr>
                <w:sz w:val="18"/>
              </w:rPr>
              <w:t>brinde</w:t>
            </w:r>
            <w:r>
              <w:rPr>
                <w:spacing w:val="-13"/>
                <w:sz w:val="18"/>
              </w:rPr>
              <w:t> </w:t>
            </w:r>
            <w:r>
              <w:rPr>
                <w:sz w:val="18"/>
              </w:rPr>
              <w:t>oportunamente el seguimiento a los acuerdos del CD y recomendaciones de Auditoría Interna y Externa</w:t>
            </w:r>
          </w:p>
          <w:p>
            <w:pPr>
              <w:pStyle w:val="TableParagraph"/>
              <w:numPr>
                <w:ilvl w:val="0"/>
                <w:numId w:val="114"/>
              </w:numPr>
              <w:tabs>
                <w:tab w:pos="289" w:val="left" w:leader="none"/>
              </w:tabs>
              <w:spacing w:line="240" w:lineRule="auto" w:before="0" w:after="0"/>
              <w:ind w:left="75" w:right="109" w:firstLine="0"/>
              <w:jc w:val="left"/>
              <w:rPr>
                <w:sz w:val="18"/>
              </w:rPr>
            </w:pPr>
            <w:r>
              <w:rPr>
                <w:sz w:val="18"/>
              </w:rPr>
              <w:t>Perdida</w:t>
            </w:r>
            <w:r>
              <w:rPr>
                <w:spacing w:val="-13"/>
                <w:sz w:val="18"/>
              </w:rPr>
              <w:t> </w:t>
            </w:r>
            <w:r>
              <w:rPr>
                <w:sz w:val="18"/>
              </w:rPr>
              <w:t>de</w:t>
            </w:r>
            <w:r>
              <w:rPr>
                <w:spacing w:val="-12"/>
                <w:sz w:val="18"/>
              </w:rPr>
              <w:t> </w:t>
            </w:r>
            <w:r>
              <w:rPr>
                <w:sz w:val="18"/>
              </w:rPr>
              <w:t>oportunidad</w:t>
            </w:r>
            <w:r>
              <w:rPr>
                <w:spacing w:val="-13"/>
                <w:sz w:val="18"/>
              </w:rPr>
              <w:t> </w:t>
            </w:r>
            <w:r>
              <w:rPr>
                <w:sz w:val="18"/>
              </w:rPr>
              <w:t>para concientizar y mantener actualizados los conceptos de valores y ética</w:t>
            </w:r>
          </w:p>
          <w:p>
            <w:pPr>
              <w:pStyle w:val="TableParagraph"/>
              <w:numPr>
                <w:ilvl w:val="0"/>
                <w:numId w:val="114"/>
              </w:numPr>
              <w:tabs>
                <w:tab w:pos="389" w:val="left" w:leader="none"/>
              </w:tabs>
              <w:spacing w:line="240" w:lineRule="auto" w:before="0" w:after="0"/>
              <w:ind w:left="75" w:right="62" w:firstLine="0"/>
              <w:jc w:val="left"/>
              <w:rPr>
                <w:sz w:val="18"/>
              </w:rPr>
            </w:pPr>
            <w:r>
              <w:rPr>
                <w:sz w:val="18"/>
              </w:rPr>
              <w:t>No</w:t>
            </w:r>
            <w:r>
              <w:rPr>
                <w:spacing w:val="-13"/>
                <w:sz w:val="18"/>
              </w:rPr>
              <w:t> </w:t>
            </w:r>
            <w:r>
              <w:rPr>
                <w:sz w:val="18"/>
              </w:rPr>
              <w:t>cumplimiento</w:t>
            </w:r>
            <w:r>
              <w:rPr>
                <w:spacing w:val="-12"/>
                <w:sz w:val="18"/>
              </w:rPr>
              <w:t> </w:t>
            </w:r>
            <w:r>
              <w:rPr>
                <w:sz w:val="18"/>
              </w:rPr>
              <w:t>de</w:t>
            </w:r>
            <w:r>
              <w:rPr>
                <w:spacing w:val="-13"/>
                <w:sz w:val="18"/>
              </w:rPr>
              <w:t> </w:t>
            </w:r>
            <w:r>
              <w:rPr>
                <w:sz w:val="18"/>
              </w:rPr>
              <w:t>buenas prácticas en materia de Igualdad de Género.</w:t>
            </w:r>
          </w:p>
        </w:tc>
      </w:tr>
      <w:tr>
        <w:trPr>
          <w:trHeight w:val="4397" w:hRule="atLeast"/>
        </w:trPr>
        <w:tc>
          <w:tcPr>
            <w:tcW w:w="25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30"/>
              <w:rPr>
                <w:b/>
                <w:sz w:val="18"/>
              </w:rPr>
            </w:pPr>
          </w:p>
          <w:p>
            <w:pPr>
              <w:pStyle w:val="TableParagraph"/>
              <w:ind w:left="72" w:right="135"/>
              <w:rPr>
                <w:sz w:val="18"/>
              </w:rPr>
            </w:pPr>
            <w:r>
              <w:rPr>
                <w:b/>
                <w:sz w:val="18"/>
              </w:rPr>
              <w:t>Actividad PAC 2.42.4: </w:t>
            </w:r>
            <w:r>
              <w:rPr>
                <w:sz w:val="18"/>
              </w:rPr>
              <w:t>Realizar en forma total las tomas</w:t>
            </w:r>
            <w:r>
              <w:rPr>
                <w:spacing w:val="-9"/>
                <w:sz w:val="18"/>
              </w:rPr>
              <w:t> </w:t>
            </w:r>
            <w:r>
              <w:rPr>
                <w:sz w:val="18"/>
              </w:rPr>
              <w:t>físicas</w:t>
            </w:r>
            <w:r>
              <w:rPr>
                <w:spacing w:val="-9"/>
                <w:sz w:val="18"/>
              </w:rPr>
              <w:t> </w:t>
            </w:r>
            <w:r>
              <w:rPr>
                <w:sz w:val="18"/>
              </w:rPr>
              <w:t>de</w:t>
            </w:r>
            <w:r>
              <w:rPr>
                <w:spacing w:val="-9"/>
                <w:sz w:val="18"/>
              </w:rPr>
              <w:t> </w:t>
            </w:r>
            <w:r>
              <w:rPr>
                <w:sz w:val="18"/>
              </w:rPr>
              <w:t>activos</w:t>
            </w:r>
            <w:r>
              <w:rPr>
                <w:spacing w:val="-9"/>
                <w:sz w:val="18"/>
              </w:rPr>
              <w:t> </w:t>
            </w:r>
            <w:r>
              <w:rPr>
                <w:sz w:val="18"/>
              </w:rPr>
              <w:t>fijos en coordinación con las </w:t>
            </w:r>
            <w:r>
              <w:rPr>
                <w:spacing w:val="-2"/>
                <w:sz w:val="18"/>
              </w:rPr>
              <w:t>dependencias </w:t>
            </w:r>
            <w:r>
              <w:rPr>
                <w:sz w:val="18"/>
              </w:rPr>
              <w:t>administrativas, de conformidad con la programación establecida.</w:t>
            </w:r>
          </w:p>
        </w:tc>
        <w:tc>
          <w:tcPr>
            <w:tcW w:w="14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7"/>
              <w:rPr>
                <w:b/>
                <w:sz w:val="18"/>
              </w:rPr>
            </w:pPr>
          </w:p>
          <w:p>
            <w:pPr>
              <w:pStyle w:val="TableParagraph"/>
              <w:ind w:left="17"/>
              <w:jc w:val="center"/>
              <w:rPr>
                <w:sz w:val="18"/>
              </w:rPr>
            </w:pPr>
            <w:r>
              <w:rPr>
                <w:spacing w:val="-4"/>
                <w:sz w:val="18"/>
              </w:rPr>
              <w:t>100%</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7"/>
              <w:rPr>
                <w:b/>
                <w:sz w:val="18"/>
              </w:rPr>
            </w:pPr>
          </w:p>
          <w:p>
            <w:pPr>
              <w:pStyle w:val="TableParagraph"/>
              <w:ind w:left="28" w:right="16"/>
              <w:jc w:val="center"/>
              <w:rPr>
                <w:sz w:val="18"/>
              </w:rPr>
            </w:pPr>
            <w:r>
              <w:rPr>
                <w:spacing w:val="-4"/>
                <w:sz w:val="18"/>
              </w:rPr>
              <w:t>100%</w:t>
            </w:r>
          </w:p>
        </w:tc>
        <w:tc>
          <w:tcPr>
            <w:tcW w:w="156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3"/>
              <w:rPr>
                <w:b/>
                <w:sz w:val="18"/>
              </w:rPr>
            </w:pPr>
          </w:p>
          <w:p>
            <w:pPr>
              <w:pStyle w:val="TableParagraph"/>
              <w:ind w:left="72" w:right="64"/>
              <w:rPr>
                <w:sz w:val="18"/>
              </w:rPr>
            </w:pPr>
            <w:r>
              <w:rPr>
                <w:sz w:val="18"/>
              </w:rPr>
              <w:t>Porcentaje de informes</w:t>
            </w:r>
            <w:r>
              <w:rPr>
                <w:spacing w:val="-13"/>
                <w:sz w:val="18"/>
              </w:rPr>
              <w:t> </w:t>
            </w:r>
            <w:r>
              <w:rPr>
                <w:sz w:val="18"/>
              </w:rPr>
              <w:t>emitidos como resultado de las tomas </w:t>
            </w:r>
            <w:r>
              <w:rPr>
                <w:spacing w:val="-2"/>
                <w:sz w:val="18"/>
              </w:rPr>
              <w:t>físicas</w:t>
            </w:r>
          </w:p>
        </w:tc>
        <w:tc>
          <w:tcPr>
            <w:tcW w:w="1939" w:type="dxa"/>
          </w:tcPr>
          <w:p>
            <w:pPr>
              <w:pStyle w:val="TableParagraph"/>
              <w:numPr>
                <w:ilvl w:val="0"/>
                <w:numId w:val="115"/>
              </w:numPr>
              <w:tabs>
                <w:tab w:pos="268" w:val="left" w:leader="none"/>
              </w:tabs>
              <w:spacing w:line="240" w:lineRule="auto" w:before="23" w:after="0"/>
              <w:ind w:left="68" w:right="264" w:firstLine="0"/>
              <w:jc w:val="left"/>
              <w:rPr>
                <w:sz w:val="18"/>
              </w:rPr>
            </w:pPr>
            <w:r>
              <w:rPr>
                <w:sz w:val="18"/>
              </w:rPr>
              <w:t>Informes de verificación de las tomas físicas realizadas por las </w:t>
            </w:r>
            <w:r>
              <w:rPr>
                <w:spacing w:val="-2"/>
                <w:sz w:val="18"/>
              </w:rPr>
              <w:t>dependencias </w:t>
            </w:r>
            <w:r>
              <w:rPr>
                <w:sz w:val="18"/>
              </w:rPr>
              <w:t>administrativas,</w:t>
            </w:r>
            <w:r>
              <w:rPr>
                <w:spacing w:val="-13"/>
                <w:sz w:val="18"/>
              </w:rPr>
              <w:t> </w:t>
            </w:r>
            <w:r>
              <w:rPr>
                <w:sz w:val="18"/>
              </w:rPr>
              <w:t>con observaciones y </w:t>
            </w:r>
            <w:r>
              <w:rPr>
                <w:spacing w:val="-2"/>
                <w:sz w:val="18"/>
              </w:rPr>
              <w:t>hallazgos encontrados.</w:t>
            </w:r>
          </w:p>
          <w:p>
            <w:pPr>
              <w:pStyle w:val="TableParagraph"/>
              <w:numPr>
                <w:ilvl w:val="0"/>
                <w:numId w:val="115"/>
              </w:numPr>
              <w:tabs>
                <w:tab w:pos="268" w:val="left" w:leader="none"/>
              </w:tabs>
              <w:spacing w:line="240" w:lineRule="auto" w:before="0" w:after="0"/>
              <w:ind w:left="68" w:right="293" w:firstLine="0"/>
              <w:jc w:val="left"/>
              <w:rPr>
                <w:sz w:val="18"/>
              </w:rPr>
            </w:pPr>
            <w:r>
              <w:rPr>
                <w:sz w:val="18"/>
              </w:rPr>
              <w:t>Informe final Control de Activos, </w:t>
            </w:r>
            <w:r>
              <w:rPr>
                <w:spacing w:val="-2"/>
                <w:sz w:val="18"/>
              </w:rPr>
              <w:t>considerando conclusiones, </w:t>
            </w:r>
            <w:r>
              <w:rPr>
                <w:sz w:val="18"/>
              </w:rPr>
              <w:t>recomendaciones</w:t>
            </w:r>
            <w:r>
              <w:rPr>
                <w:spacing w:val="-13"/>
                <w:sz w:val="18"/>
              </w:rPr>
              <w:t> </w:t>
            </w:r>
            <w:r>
              <w:rPr>
                <w:sz w:val="18"/>
              </w:rPr>
              <w:t>y </w:t>
            </w:r>
            <w:r>
              <w:rPr>
                <w:spacing w:val="-2"/>
                <w:sz w:val="18"/>
              </w:rPr>
              <w:t>hallazgos.</w:t>
            </w:r>
          </w:p>
          <w:p>
            <w:pPr>
              <w:pStyle w:val="TableParagraph"/>
              <w:numPr>
                <w:ilvl w:val="0"/>
                <w:numId w:val="115"/>
              </w:numPr>
              <w:tabs>
                <w:tab w:pos="273" w:val="left" w:leader="none"/>
              </w:tabs>
              <w:spacing w:line="240" w:lineRule="auto" w:before="2" w:after="0"/>
              <w:ind w:left="68" w:right="121" w:firstLine="0"/>
              <w:jc w:val="left"/>
              <w:rPr>
                <w:sz w:val="18"/>
              </w:rPr>
            </w:pPr>
            <w:r>
              <w:rPr>
                <w:sz w:val="18"/>
              </w:rPr>
              <w:t>Reportes SAP de inventarios</w:t>
            </w:r>
            <w:r>
              <w:rPr>
                <w:spacing w:val="-15"/>
                <w:sz w:val="18"/>
              </w:rPr>
              <w:t> </w:t>
            </w:r>
            <w:r>
              <w:rPr>
                <w:sz w:val="18"/>
              </w:rPr>
              <w:t>de</w:t>
            </w:r>
            <w:r>
              <w:rPr>
                <w:spacing w:val="-12"/>
                <w:sz w:val="18"/>
              </w:rPr>
              <w:t> </w:t>
            </w:r>
            <w:r>
              <w:rPr>
                <w:sz w:val="18"/>
              </w:rPr>
              <w:t>activos </w:t>
            </w:r>
            <w:r>
              <w:rPr>
                <w:spacing w:val="-2"/>
                <w:sz w:val="18"/>
              </w:rPr>
              <w:t>fijos.</w:t>
            </w:r>
          </w:p>
          <w:p>
            <w:pPr>
              <w:pStyle w:val="TableParagraph"/>
              <w:numPr>
                <w:ilvl w:val="0"/>
                <w:numId w:val="115"/>
              </w:numPr>
              <w:tabs>
                <w:tab w:pos="273" w:val="left" w:leader="none"/>
              </w:tabs>
              <w:spacing w:line="242" w:lineRule="auto" w:before="0" w:after="0"/>
              <w:ind w:left="68" w:right="504" w:firstLine="0"/>
              <w:jc w:val="both"/>
              <w:rPr>
                <w:sz w:val="18"/>
              </w:rPr>
            </w:pPr>
            <w:r>
              <w:rPr>
                <w:sz w:val="18"/>
              </w:rPr>
              <w:t>Expediente</w:t>
            </w:r>
            <w:r>
              <w:rPr>
                <w:spacing w:val="-13"/>
                <w:sz w:val="18"/>
              </w:rPr>
              <w:t> </w:t>
            </w:r>
            <w:r>
              <w:rPr>
                <w:sz w:val="18"/>
              </w:rPr>
              <w:t>de tomas físicas de </w:t>
            </w:r>
            <w:r>
              <w:rPr>
                <w:spacing w:val="-2"/>
                <w:sz w:val="18"/>
              </w:rPr>
              <w:t>inventario.</w:t>
            </w:r>
          </w:p>
        </w:tc>
        <w:tc>
          <w:tcPr>
            <w:tcW w:w="134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8"/>
              <w:rPr>
                <w:b/>
                <w:sz w:val="18"/>
              </w:rPr>
            </w:pPr>
          </w:p>
          <w:p>
            <w:pPr>
              <w:pStyle w:val="TableParagraph"/>
              <w:spacing w:before="1"/>
              <w:ind w:left="74" w:firstLine="52"/>
              <w:rPr>
                <w:sz w:val="18"/>
              </w:rPr>
            </w:pPr>
            <w:r>
              <w:rPr>
                <w:spacing w:val="-2"/>
                <w:sz w:val="18"/>
              </w:rPr>
              <w:t>Proveeduría Institucional</w:t>
            </w:r>
          </w:p>
        </w:tc>
        <w:tc>
          <w:tcPr>
            <w:tcW w:w="1680" w:type="dxa"/>
          </w:tcPr>
          <w:p>
            <w:pPr>
              <w:pStyle w:val="TableParagraph"/>
              <w:rPr>
                <w:rFonts w:ascii="Times New Roman"/>
                <w:sz w:val="18"/>
              </w:rPr>
            </w:pPr>
          </w:p>
        </w:tc>
        <w:tc>
          <w:tcPr>
            <w:tcW w:w="2693"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955"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5"/>
        <w:gridCol w:w="1445"/>
        <w:gridCol w:w="1181"/>
        <w:gridCol w:w="1564"/>
        <w:gridCol w:w="1939"/>
        <w:gridCol w:w="1343"/>
        <w:gridCol w:w="1680"/>
        <w:gridCol w:w="2693"/>
      </w:tblGrid>
      <w:tr>
        <w:trPr>
          <w:trHeight w:val="854" w:hRule="atLeast"/>
        </w:trPr>
        <w:tc>
          <w:tcPr>
            <w:tcW w:w="2545" w:type="dxa"/>
            <w:shd w:val="clear" w:color="auto" w:fill="F1F1F1"/>
          </w:tcPr>
          <w:p>
            <w:pPr>
              <w:pStyle w:val="TableParagraph"/>
              <w:spacing w:before="118"/>
              <w:rPr>
                <w:b/>
                <w:sz w:val="18"/>
              </w:rPr>
            </w:pPr>
          </w:p>
          <w:p>
            <w:pPr>
              <w:pStyle w:val="TableParagraph"/>
              <w:ind w:left="302"/>
              <w:rPr>
                <w:b/>
                <w:sz w:val="18"/>
              </w:rPr>
            </w:pPr>
            <w:r>
              <w:rPr>
                <w:b/>
                <w:sz w:val="18"/>
              </w:rPr>
              <w:t>Objetivos</w:t>
            </w:r>
            <w:r>
              <w:rPr>
                <w:b/>
                <w:spacing w:val="-5"/>
                <w:sz w:val="18"/>
              </w:rPr>
              <w:t> </w:t>
            </w:r>
            <w:r>
              <w:rPr>
                <w:b/>
                <w:sz w:val="18"/>
              </w:rPr>
              <w:t>/</w:t>
            </w:r>
            <w:r>
              <w:rPr>
                <w:b/>
                <w:spacing w:val="-2"/>
                <w:sz w:val="18"/>
              </w:rPr>
              <w:t> Resultados</w:t>
            </w:r>
          </w:p>
        </w:tc>
        <w:tc>
          <w:tcPr>
            <w:tcW w:w="1445" w:type="dxa"/>
            <w:shd w:val="clear" w:color="auto" w:fill="F1F1F1"/>
          </w:tcPr>
          <w:p>
            <w:pPr>
              <w:pStyle w:val="TableParagraph"/>
              <w:spacing w:before="12"/>
              <w:rPr>
                <w:b/>
                <w:sz w:val="18"/>
              </w:rPr>
            </w:pPr>
          </w:p>
          <w:p>
            <w:pPr>
              <w:pStyle w:val="TableParagraph"/>
              <w:ind w:left="465" w:hanging="216"/>
              <w:rPr>
                <w:b/>
                <w:sz w:val="18"/>
              </w:rPr>
            </w:pPr>
            <w:r>
              <w:rPr>
                <w:b/>
                <w:sz w:val="18"/>
              </w:rPr>
              <w:t>Línea</w:t>
            </w:r>
            <w:r>
              <w:rPr>
                <w:b/>
                <w:spacing w:val="-13"/>
                <w:sz w:val="18"/>
              </w:rPr>
              <w:t> </w:t>
            </w:r>
            <w:r>
              <w:rPr>
                <w:b/>
                <w:sz w:val="18"/>
              </w:rPr>
              <w:t>Base </w:t>
            </w:r>
            <w:r>
              <w:rPr>
                <w:b/>
                <w:spacing w:val="-2"/>
                <w:sz w:val="18"/>
              </w:rPr>
              <w:t>(2024)</w:t>
            </w:r>
          </w:p>
        </w:tc>
        <w:tc>
          <w:tcPr>
            <w:tcW w:w="1181" w:type="dxa"/>
            <w:shd w:val="clear" w:color="auto" w:fill="F1F1F1"/>
          </w:tcPr>
          <w:p>
            <w:pPr>
              <w:pStyle w:val="TableParagraph"/>
              <w:spacing w:line="242" w:lineRule="auto" w:before="114"/>
              <w:ind w:left="72" w:right="50" w:hanging="10"/>
              <w:jc w:val="center"/>
              <w:rPr>
                <w:b/>
                <w:sz w:val="18"/>
              </w:rPr>
            </w:pPr>
            <w:r>
              <w:rPr>
                <w:b/>
                <w:spacing w:val="-4"/>
                <w:sz w:val="18"/>
              </w:rPr>
              <w:t>Meta </w:t>
            </w:r>
            <w:r>
              <w:rPr>
                <w:b/>
                <w:spacing w:val="-2"/>
                <w:sz w:val="18"/>
              </w:rPr>
              <w:t>programada </w:t>
            </w:r>
            <w:r>
              <w:rPr>
                <w:b/>
                <w:spacing w:val="-4"/>
                <w:sz w:val="18"/>
              </w:rPr>
              <w:t>2026</w:t>
            </w:r>
          </w:p>
        </w:tc>
        <w:tc>
          <w:tcPr>
            <w:tcW w:w="1564" w:type="dxa"/>
            <w:shd w:val="clear" w:color="auto" w:fill="F1F1F1"/>
          </w:tcPr>
          <w:p>
            <w:pPr>
              <w:pStyle w:val="TableParagraph"/>
              <w:spacing w:before="118"/>
              <w:rPr>
                <w:b/>
                <w:sz w:val="18"/>
              </w:rPr>
            </w:pPr>
          </w:p>
          <w:p>
            <w:pPr>
              <w:pStyle w:val="TableParagraph"/>
              <w:ind w:left="374"/>
              <w:rPr>
                <w:b/>
                <w:sz w:val="18"/>
              </w:rPr>
            </w:pPr>
            <w:r>
              <w:rPr>
                <w:b/>
                <w:spacing w:val="-2"/>
                <w:sz w:val="18"/>
              </w:rPr>
              <w:t>Indicador</w:t>
            </w:r>
          </w:p>
        </w:tc>
        <w:tc>
          <w:tcPr>
            <w:tcW w:w="1939" w:type="dxa"/>
            <w:shd w:val="clear" w:color="auto" w:fill="F1F1F1"/>
          </w:tcPr>
          <w:p>
            <w:pPr>
              <w:pStyle w:val="TableParagraph"/>
              <w:spacing w:before="12"/>
              <w:rPr>
                <w:b/>
                <w:sz w:val="18"/>
              </w:rPr>
            </w:pPr>
          </w:p>
          <w:p>
            <w:pPr>
              <w:pStyle w:val="TableParagraph"/>
              <w:ind w:left="467" w:firstLine="57"/>
              <w:rPr>
                <w:b/>
                <w:sz w:val="18"/>
              </w:rPr>
            </w:pPr>
            <w:r>
              <w:rPr>
                <w:b/>
                <w:sz w:val="18"/>
              </w:rPr>
              <w:t>Medios de </w:t>
            </w:r>
            <w:r>
              <w:rPr>
                <w:b/>
                <w:spacing w:val="-2"/>
                <w:sz w:val="18"/>
              </w:rPr>
              <w:t>verificación</w:t>
            </w:r>
          </w:p>
        </w:tc>
        <w:tc>
          <w:tcPr>
            <w:tcW w:w="1343" w:type="dxa"/>
            <w:shd w:val="clear" w:color="auto" w:fill="F1F1F1"/>
          </w:tcPr>
          <w:p>
            <w:pPr>
              <w:pStyle w:val="TableParagraph"/>
              <w:spacing w:before="118"/>
              <w:rPr>
                <w:b/>
                <w:sz w:val="18"/>
              </w:rPr>
            </w:pPr>
          </w:p>
          <w:p>
            <w:pPr>
              <w:pStyle w:val="TableParagraph"/>
              <w:ind w:left="117"/>
              <w:rPr>
                <w:b/>
                <w:sz w:val="18"/>
              </w:rPr>
            </w:pPr>
            <w:r>
              <w:rPr>
                <w:b/>
                <w:spacing w:val="-2"/>
                <w:sz w:val="18"/>
              </w:rPr>
              <w:t>Responsable</w:t>
            </w:r>
          </w:p>
        </w:tc>
        <w:tc>
          <w:tcPr>
            <w:tcW w:w="1680" w:type="dxa"/>
            <w:shd w:val="clear" w:color="auto" w:fill="F1F1F1"/>
          </w:tcPr>
          <w:p>
            <w:pPr>
              <w:pStyle w:val="TableParagraph"/>
              <w:spacing w:before="12"/>
              <w:rPr>
                <w:b/>
                <w:sz w:val="18"/>
              </w:rPr>
            </w:pPr>
          </w:p>
          <w:p>
            <w:pPr>
              <w:pStyle w:val="TableParagraph"/>
              <w:ind w:left="450" w:hanging="154"/>
              <w:rPr>
                <w:b/>
                <w:sz w:val="18"/>
              </w:rPr>
            </w:pPr>
            <w:r>
              <w:rPr>
                <w:b/>
                <w:spacing w:val="-2"/>
                <w:sz w:val="18"/>
              </w:rPr>
              <w:t>Presupuesto asignado</w:t>
            </w:r>
          </w:p>
        </w:tc>
        <w:tc>
          <w:tcPr>
            <w:tcW w:w="2693" w:type="dxa"/>
            <w:shd w:val="clear" w:color="auto" w:fill="F1F1F1"/>
          </w:tcPr>
          <w:p>
            <w:pPr>
              <w:pStyle w:val="TableParagraph"/>
              <w:spacing w:before="118"/>
              <w:rPr>
                <w:b/>
                <w:sz w:val="18"/>
              </w:rPr>
            </w:pPr>
          </w:p>
          <w:p>
            <w:pPr>
              <w:pStyle w:val="TableParagraph"/>
              <w:ind w:left="532"/>
              <w:rPr>
                <w:b/>
                <w:sz w:val="18"/>
              </w:rPr>
            </w:pPr>
            <w:r>
              <w:rPr>
                <w:b/>
                <w:sz w:val="18"/>
              </w:rPr>
              <w:t>Riesgos</w:t>
            </w:r>
            <w:r>
              <w:rPr>
                <w:b/>
                <w:spacing w:val="-4"/>
                <w:sz w:val="18"/>
              </w:rPr>
              <w:t> </w:t>
            </w:r>
            <w:r>
              <w:rPr>
                <w:b/>
                <w:spacing w:val="-2"/>
                <w:sz w:val="18"/>
              </w:rPr>
              <w:t>asociados</w:t>
            </w:r>
          </w:p>
        </w:tc>
      </w:tr>
      <w:tr>
        <w:trPr>
          <w:trHeight w:val="2866" w:hRule="atLeast"/>
        </w:trPr>
        <w:tc>
          <w:tcPr>
            <w:tcW w:w="2545" w:type="dxa"/>
          </w:tcPr>
          <w:p>
            <w:pPr>
              <w:pStyle w:val="TableParagraph"/>
              <w:rPr>
                <w:b/>
                <w:sz w:val="18"/>
              </w:rPr>
            </w:pPr>
          </w:p>
          <w:p>
            <w:pPr>
              <w:pStyle w:val="TableParagraph"/>
              <w:rPr>
                <w:b/>
                <w:sz w:val="18"/>
              </w:rPr>
            </w:pPr>
          </w:p>
          <w:p>
            <w:pPr>
              <w:pStyle w:val="TableParagraph"/>
              <w:spacing w:before="89"/>
              <w:rPr>
                <w:b/>
                <w:sz w:val="18"/>
              </w:rPr>
            </w:pPr>
          </w:p>
          <w:p>
            <w:pPr>
              <w:pStyle w:val="TableParagraph"/>
              <w:ind w:left="72" w:right="135"/>
              <w:rPr>
                <w:sz w:val="18"/>
              </w:rPr>
            </w:pPr>
            <w:r>
              <w:rPr>
                <w:b/>
                <w:sz w:val="18"/>
              </w:rPr>
              <w:t>Actividad PAC 2.42.5: </w:t>
            </w:r>
            <w:r>
              <w:rPr>
                <w:sz w:val="18"/>
              </w:rPr>
              <w:t>Salvaguardar recursos institucionales por medio de la gestión del proceso de aseguramiento del recurso humano</w:t>
            </w:r>
            <w:r>
              <w:rPr>
                <w:spacing w:val="-5"/>
                <w:sz w:val="18"/>
              </w:rPr>
              <w:t> </w:t>
            </w:r>
            <w:r>
              <w:rPr>
                <w:sz w:val="18"/>
              </w:rPr>
              <w:t>y</w:t>
            </w:r>
            <w:r>
              <w:rPr>
                <w:spacing w:val="-8"/>
                <w:sz w:val="18"/>
              </w:rPr>
              <w:t> </w:t>
            </w:r>
            <w:r>
              <w:rPr>
                <w:sz w:val="18"/>
              </w:rPr>
              <w:t>de</w:t>
            </w:r>
            <w:r>
              <w:rPr>
                <w:spacing w:val="-8"/>
                <w:sz w:val="18"/>
              </w:rPr>
              <w:t> </w:t>
            </w:r>
            <w:r>
              <w:rPr>
                <w:sz w:val="18"/>
              </w:rPr>
              <w:t>los</w:t>
            </w:r>
            <w:r>
              <w:rPr>
                <w:spacing w:val="-8"/>
                <w:sz w:val="18"/>
              </w:rPr>
              <w:t> </w:t>
            </w:r>
            <w:r>
              <w:rPr>
                <w:sz w:val="18"/>
              </w:rPr>
              <w:t>activos</w:t>
            </w:r>
            <w:r>
              <w:rPr>
                <w:spacing w:val="-8"/>
                <w:sz w:val="18"/>
              </w:rPr>
              <w:t> </w:t>
            </w:r>
            <w:r>
              <w:rPr>
                <w:sz w:val="18"/>
              </w:rPr>
              <w:t>fijos </w:t>
            </w:r>
            <w:r>
              <w:rPr>
                <w:spacing w:val="-2"/>
                <w:sz w:val="18"/>
              </w:rPr>
              <w:t>institucionales.</w:t>
            </w:r>
          </w:p>
        </w:tc>
        <w:tc>
          <w:tcPr>
            <w:tcW w:w="14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17"/>
              <w:jc w:val="center"/>
              <w:rPr>
                <w:sz w:val="18"/>
              </w:rPr>
            </w:pPr>
            <w:r>
              <w:rPr>
                <w:spacing w:val="-4"/>
                <w:sz w:val="18"/>
              </w:rPr>
              <w:t>100%</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28" w:right="16"/>
              <w:jc w:val="center"/>
              <w:rPr>
                <w:sz w:val="18"/>
              </w:rPr>
            </w:pPr>
            <w:r>
              <w:rPr>
                <w:spacing w:val="-4"/>
                <w:sz w:val="18"/>
              </w:rPr>
              <w:t>100%</w:t>
            </w:r>
          </w:p>
        </w:tc>
        <w:tc>
          <w:tcPr>
            <w:tcW w:w="156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spacing w:before="1"/>
              <w:ind w:left="72" w:right="364"/>
              <w:rPr>
                <w:sz w:val="18"/>
              </w:rPr>
            </w:pPr>
            <w:r>
              <w:rPr>
                <w:sz w:val="18"/>
              </w:rPr>
              <w:t>Porcentaje</w:t>
            </w:r>
            <w:r>
              <w:rPr>
                <w:spacing w:val="-13"/>
                <w:sz w:val="18"/>
              </w:rPr>
              <w:t> </w:t>
            </w:r>
            <w:r>
              <w:rPr>
                <w:sz w:val="18"/>
              </w:rPr>
              <w:t>de </w:t>
            </w:r>
            <w:r>
              <w:rPr>
                <w:spacing w:val="-2"/>
                <w:sz w:val="18"/>
              </w:rPr>
              <w:t>activos asegurados</w:t>
            </w:r>
          </w:p>
        </w:tc>
        <w:tc>
          <w:tcPr>
            <w:tcW w:w="1939" w:type="dxa"/>
          </w:tcPr>
          <w:p>
            <w:pPr>
              <w:pStyle w:val="TableParagraph"/>
              <w:spacing w:before="190"/>
              <w:rPr>
                <w:b/>
                <w:sz w:val="18"/>
              </w:rPr>
            </w:pPr>
          </w:p>
          <w:p>
            <w:pPr>
              <w:pStyle w:val="TableParagraph"/>
              <w:numPr>
                <w:ilvl w:val="0"/>
                <w:numId w:val="116"/>
              </w:numPr>
              <w:tabs>
                <w:tab w:pos="268" w:val="left" w:leader="none"/>
              </w:tabs>
              <w:spacing w:line="240" w:lineRule="auto" w:before="1" w:after="0"/>
              <w:ind w:left="68" w:right="617" w:firstLine="0"/>
              <w:jc w:val="left"/>
              <w:rPr>
                <w:sz w:val="18"/>
              </w:rPr>
            </w:pPr>
            <w:r>
              <w:rPr>
                <w:sz w:val="18"/>
              </w:rPr>
              <w:t>Informes de </w:t>
            </w:r>
            <w:r>
              <w:rPr>
                <w:spacing w:val="-2"/>
                <w:sz w:val="18"/>
              </w:rPr>
              <w:t>aseguramiento.</w:t>
            </w:r>
          </w:p>
          <w:p>
            <w:pPr>
              <w:pStyle w:val="TableParagraph"/>
              <w:numPr>
                <w:ilvl w:val="0"/>
                <w:numId w:val="116"/>
              </w:numPr>
              <w:tabs>
                <w:tab w:pos="273" w:val="left" w:leader="none"/>
              </w:tabs>
              <w:spacing w:line="240" w:lineRule="auto" w:before="0" w:after="0"/>
              <w:ind w:left="68" w:right="221" w:firstLine="0"/>
              <w:jc w:val="left"/>
              <w:rPr>
                <w:sz w:val="18"/>
              </w:rPr>
            </w:pPr>
            <w:r>
              <w:rPr>
                <w:sz w:val="18"/>
              </w:rPr>
              <w:t>Comprobantes</w:t>
            </w:r>
            <w:r>
              <w:rPr>
                <w:spacing w:val="-13"/>
                <w:sz w:val="18"/>
              </w:rPr>
              <w:t> </w:t>
            </w:r>
            <w:r>
              <w:rPr>
                <w:sz w:val="18"/>
              </w:rPr>
              <w:t>de pago de las pólizas.</w:t>
            </w:r>
          </w:p>
          <w:p>
            <w:pPr>
              <w:pStyle w:val="TableParagraph"/>
              <w:numPr>
                <w:ilvl w:val="0"/>
                <w:numId w:val="116"/>
              </w:numPr>
              <w:tabs>
                <w:tab w:pos="273" w:val="left" w:leader="none"/>
              </w:tabs>
              <w:spacing w:line="240" w:lineRule="auto" w:before="3" w:after="0"/>
              <w:ind w:left="68" w:right="239" w:firstLine="0"/>
              <w:jc w:val="left"/>
              <w:rPr>
                <w:sz w:val="18"/>
              </w:rPr>
            </w:pPr>
            <w:r>
              <w:rPr>
                <w:sz w:val="18"/>
              </w:rPr>
              <w:t>Detalle de los pagos</w:t>
            </w:r>
            <w:r>
              <w:rPr>
                <w:spacing w:val="-15"/>
                <w:sz w:val="18"/>
              </w:rPr>
              <w:t> </w:t>
            </w:r>
            <w:r>
              <w:rPr>
                <w:sz w:val="18"/>
              </w:rPr>
              <w:t>realizados</w:t>
            </w:r>
            <w:r>
              <w:rPr>
                <w:spacing w:val="-12"/>
                <w:sz w:val="18"/>
              </w:rPr>
              <w:t> </w:t>
            </w:r>
            <w:r>
              <w:rPr>
                <w:sz w:val="18"/>
              </w:rPr>
              <w:t>de primas de pólizas</w:t>
            </w:r>
          </w:p>
          <w:p>
            <w:pPr>
              <w:pStyle w:val="TableParagraph"/>
              <w:numPr>
                <w:ilvl w:val="0"/>
                <w:numId w:val="116"/>
              </w:numPr>
              <w:tabs>
                <w:tab w:pos="273" w:val="left" w:leader="none"/>
              </w:tabs>
              <w:spacing w:line="240" w:lineRule="auto" w:before="0" w:after="0"/>
              <w:ind w:left="68" w:right="254" w:firstLine="0"/>
              <w:jc w:val="left"/>
              <w:rPr>
                <w:sz w:val="18"/>
              </w:rPr>
            </w:pPr>
            <w:r>
              <w:rPr>
                <w:sz w:val="18"/>
              </w:rPr>
              <w:t>Listado de contratos</w:t>
            </w:r>
            <w:r>
              <w:rPr>
                <w:spacing w:val="-15"/>
                <w:sz w:val="18"/>
              </w:rPr>
              <w:t> </w:t>
            </w:r>
            <w:r>
              <w:rPr>
                <w:sz w:val="18"/>
              </w:rPr>
              <w:t>de</w:t>
            </w:r>
            <w:r>
              <w:rPr>
                <w:spacing w:val="-12"/>
                <w:sz w:val="18"/>
              </w:rPr>
              <w:t> </w:t>
            </w:r>
            <w:r>
              <w:rPr>
                <w:sz w:val="18"/>
              </w:rPr>
              <w:t>pólizas </w:t>
            </w:r>
            <w:r>
              <w:rPr>
                <w:spacing w:val="-2"/>
                <w:sz w:val="18"/>
              </w:rPr>
              <w:t>suscritas.</w:t>
            </w:r>
          </w:p>
        </w:tc>
        <w:tc>
          <w:tcPr>
            <w:tcW w:w="134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spacing w:before="1"/>
              <w:ind w:left="74"/>
              <w:rPr>
                <w:sz w:val="18"/>
              </w:rPr>
            </w:pPr>
            <w:r>
              <w:rPr>
                <w:spacing w:val="-2"/>
                <w:sz w:val="18"/>
              </w:rPr>
              <w:t>Proveeduría Institucional</w:t>
            </w:r>
          </w:p>
        </w:tc>
        <w:tc>
          <w:tcPr>
            <w:tcW w:w="168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483"/>
              <w:rPr>
                <w:sz w:val="18"/>
              </w:rPr>
            </w:pPr>
            <w:r>
              <w:rPr>
                <w:sz w:val="18"/>
              </w:rPr>
              <w:t>₡220</w:t>
            </w:r>
            <w:r>
              <w:rPr>
                <w:spacing w:val="1"/>
                <w:sz w:val="18"/>
              </w:rPr>
              <w:t> </w:t>
            </w:r>
            <w:r>
              <w:rPr>
                <w:sz w:val="18"/>
              </w:rPr>
              <w:t>495</w:t>
            </w:r>
            <w:r>
              <w:rPr>
                <w:spacing w:val="-3"/>
                <w:sz w:val="18"/>
              </w:rPr>
              <w:t> </w:t>
            </w:r>
            <w:r>
              <w:rPr>
                <w:spacing w:val="-5"/>
                <w:sz w:val="18"/>
              </w:rPr>
              <w:t>000</w:t>
            </w:r>
          </w:p>
        </w:tc>
        <w:tc>
          <w:tcPr>
            <w:tcW w:w="2693" w:type="dxa"/>
            <w:vMerge w:val="restart"/>
          </w:tcPr>
          <w:p>
            <w:pPr>
              <w:pStyle w:val="TableParagraph"/>
              <w:rPr>
                <w:rFonts w:ascii="Times New Roman"/>
                <w:sz w:val="18"/>
              </w:rPr>
            </w:pPr>
          </w:p>
        </w:tc>
      </w:tr>
      <w:tr>
        <w:trPr>
          <w:trHeight w:val="2866" w:hRule="atLeast"/>
        </w:trPr>
        <w:tc>
          <w:tcPr>
            <w:tcW w:w="2545" w:type="dxa"/>
          </w:tcPr>
          <w:p>
            <w:pPr>
              <w:pStyle w:val="TableParagraph"/>
              <w:rPr>
                <w:b/>
                <w:sz w:val="18"/>
              </w:rPr>
            </w:pPr>
          </w:p>
          <w:p>
            <w:pPr>
              <w:pStyle w:val="TableParagraph"/>
              <w:rPr>
                <w:b/>
                <w:sz w:val="18"/>
              </w:rPr>
            </w:pPr>
          </w:p>
          <w:p>
            <w:pPr>
              <w:pStyle w:val="TableParagraph"/>
              <w:rPr>
                <w:b/>
                <w:sz w:val="18"/>
              </w:rPr>
            </w:pPr>
          </w:p>
          <w:p>
            <w:pPr>
              <w:pStyle w:val="TableParagraph"/>
              <w:spacing w:before="189"/>
              <w:rPr>
                <w:b/>
                <w:sz w:val="18"/>
              </w:rPr>
            </w:pPr>
          </w:p>
          <w:p>
            <w:pPr>
              <w:pStyle w:val="TableParagraph"/>
              <w:ind w:left="72"/>
              <w:rPr>
                <w:sz w:val="18"/>
              </w:rPr>
            </w:pPr>
            <w:r>
              <w:rPr>
                <w:b/>
                <w:sz w:val="18"/>
              </w:rPr>
              <w:t>Actividad PAC 2.42.6: </w:t>
            </w:r>
            <w:r>
              <w:rPr>
                <w:sz w:val="18"/>
              </w:rPr>
              <w:t>Garantizar</w:t>
            </w:r>
            <w:r>
              <w:rPr>
                <w:spacing w:val="-7"/>
                <w:sz w:val="18"/>
              </w:rPr>
              <w:t> </w:t>
            </w:r>
            <w:r>
              <w:rPr>
                <w:sz w:val="18"/>
              </w:rPr>
              <w:t>el</w:t>
            </w:r>
            <w:r>
              <w:rPr>
                <w:spacing w:val="-7"/>
                <w:sz w:val="18"/>
              </w:rPr>
              <w:t> </w:t>
            </w:r>
            <w:r>
              <w:rPr>
                <w:sz w:val="18"/>
              </w:rPr>
              <w:t>stock</w:t>
            </w:r>
            <w:r>
              <w:rPr>
                <w:spacing w:val="-13"/>
                <w:sz w:val="18"/>
              </w:rPr>
              <w:t> </w:t>
            </w:r>
            <w:r>
              <w:rPr>
                <w:sz w:val="18"/>
              </w:rPr>
              <w:t>mínimo</w:t>
            </w:r>
            <w:r>
              <w:rPr>
                <w:spacing w:val="-9"/>
                <w:sz w:val="18"/>
              </w:rPr>
              <w:t> </w:t>
            </w:r>
            <w:r>
              <w:rPr>
                <w:sz w:val="18"/>
              </w:rPr>
              <w:t>de inventario de suministros de mayor rotación.</w:t>
            </w:r>
          </w:p>
        </w:tc>
        <w:tc>
          <w:tcPr>
            <w:tcW w:w="14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17" w:right="5"/>
              <w:jc w:val="center"/>
              <w:rPr>
                <w:sz w:val="18"/>
              </w:rPr>
            </w:pPr>
            <w:r>
              <w:rPr>
                <w:spacing w:val="-5"/>
                <w:sz w:val="18"/>
              </w:rPr>
              <w:t>90%</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28" w:right="11"/>
              <w:jc w:val="center"/>
              <w:rPr>
                <w:sz w:val="18"/>
              </w:rPr>
            </w:pPr>
            <w:r>
              <w:rPr>
                <w:spacing w:val="-5"/>
                <w:sz w:val="18"/>
              </w:rPr>
              <w:t>90%</w:t>
            </w:r>
          </w:p>
        </w:tc>
        <w:tc>
          <w:tcPr>
            <w:tcW w:w="1564" w:type="dxa"/>
          </w:tcPr>
          <w:p>
            <w:pPr>
              <w:pStyle w:val="TableParagraph"/>
              <w:rPr>
                <w:b/>
                <w:sz w:val="18"/>
              </w:rPr>
            </w:pPr>
          </w:p>
          <w:p>
            <w:pPr>
              <w:pStyle w:val="TableParagraph"/>
              <w:rPr>
                <w:b/>
                <w:sz w:val="18"/>
              </w:rPr>
            </w:pPr>
          </w:p>
          <w:p>
            <w:pPr>
              <w:pStyle w:val="TableParagraph"/>
              <w:rPr>
                <w:b/>
                <w:sz w:val="18"/>
              </w:rPr>
            </w:pPr>
          </w:p>
          <w:p>
            <w:pPr>
              <w:pStyle w:val="TableParagraph"/>
              <w:spacing w:before="189"/>
              <w:rPr>
                <w:b/>
                <w:sz w:val="18"/>
              </w:rPr>
            </w:pPr>
          </w:p>
          <w:p>
            <w:pPr>
              <w:pStyle w:val="TableParagraph"/>
              <w:ind w:left="72"/>
              <w:rPr>
                <w:sz w:val="18"/>
              </w:rPr>
            </w:pPr>
            <w:r>
              <w:rPr>
                <w:sz w:val="18"/>
              </w:rPr>
              <w:t>Porcentaje de suministros que mantienen</w:t>
            </w:r>
            <w:r>
              <w:rPr>
                <w:spacing w:val="-13"/>
                <w:sz w:val="18"/>
              </w:rPr>
              <w:t> </w:t>
            </w:r>
            <w:r>
              <w:rPr>
                <w:sz w:val="18"/>
              </w:rPr>
              <w:t>stock </w:t>
            </w:r>
            <w:r>
              <w:rPr>
                <w:spacing w:val="-2"/>
                <w:sz w:val="18"/>
              </w:rPr>
              <w:t>controlado</w:t>
            </w:r>
          </w:p>
        </w:tc>
        <w:tc>
          <w:tcPr>
            <w:tcW w:w="1939" w:type="dxa"/>
          </w:tcPr>
          <w:p>
            <w:pPr>
              <w:pStyle w:val="TableParagraph"/>
              <w:rPr>
                <w:b/>
                <w:sz w:val="18"/>
              </w:rPr>
            </w:pPr>
          </w:p>
          <w:p>
            <w:pPr>
              <w:pStyle w:val="TableParagraph"/>
              <w:spacing w:before="189"/>
              <w:rPr>
                <w:b/>
                <w:sz w:val="18"/>
              </w:rPr>
            </w:pPr>
          </w:p>
          <w:p>
            <w:pPr>
              <w:pStyle w:val="TableParagraph"/>
              <w:numPr>
                <w:ilvl w:val="0"/>
                <w:numId w:val="117"/>
              </w:numPr>
              <w:tabs>
                <w:tab w:pos="273" w:val="left" w:leader="none"/>
              </w:tabs>
              <w:spacing w:line="242" w:lineRule="auto" w:before="0" w:after="0"/>
              <w:ind w:left="68" w:right="146" w:firstLine="0"/>
              <w:jc w:val="left"/>
              <w:rPr>
                <w:sz w:val="18"/>
              </w:rPr>
            </w:pPr>
            <w:r>
              <w:rPr>
                <w:sz w:val="18"/>
              </w:rPr>
              <w:t>Lista de los 11 suministros</w:t>
            </w:r>
            <w:r>
              <w:rPr>
                <w:spacing w:val="-15"/>
                <w:sz w:val="18"/>
              </w:rPr>
              <w:t> </w:t>
            </w:r>
            <w:r>
              <w:rPr>
                <w:sz w:val="18"/>
              </w:rPr>
              <w:t>de</w:t>
            </w:r>
            <w:r>
              <w:rPr>
                <w:spacing w:val="-12"/>
                <w:sz w:val="18"/>
              </w:rPr>
              <w:t> </w:t>
            </w:r>
            <w:r>
              <w:rPr>
                <w:sz w:val="18"/>
              </w:rPr>
              <w:t>mayor rotación con el nivel mínimo de stock.</w:t>
            </w:r>
          </w:p>
          <w:p>
            <w:pPr>
              <w:pStyle w:val="TableParagraph"/>
              <w:numPr>
                <w:ilvl w:val="0"/>
                <w:numId w:val="117"/>
              </w:numPr>
              <w:tabs>
                <w:tab w:pos="273" w:val="left" w:leader="none"/>
              </w:tabs>
              <w:spacing w:line="240" w:lineRule="auto" w:before="0" w:after="0"/>
              <w:ind w:left="68" w:right="111" w:firstLine="0"/>
              <w:jc w:val="left"/>
              <w:rPr>
                <w:sz w:val="18"/>
              </w:rPr>
            </w:pPr>
            <w:r>
              <w:rPr>
                <w:sz w:val="18"/>
              </w:rPr>
              <w:t>Reporte de existencia para el trimestre</w:t>
            </w:r>
            <w:r>
              <w:rPr>
                <w:spacing w:val="-15"/>
                <w:sz w:val="18"/>
              </w:rPr>
              <w:t> </w:t>
            </w:r>
            <w:r>
              <w:rPr>
                <w:sz w:val="18"/>
              </w:rPr>
              <w:t>del</w:t>
            </w:r>
            <w:r>
              <w:rPr>
                <w:spacing w:val="-12"/>
                <w:sz w:val="18"/>
              </w:rPr>
              <w:t> </w:t>
            </w:r>
            <w:r>
              <w:rPr>
                <w:sz w:val="18"/>
              </w:rPr>
              <w:t>Almacén de suministros.</w:t>
            </w:r>
          </w:p>
        </w:tc>
        <w:tc>
          <w:tcPr>
            <w:tcW w:w="134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ind w:left="74"/>
              <w:rPr>
                <w:sz w:val="18"/>
              </w:rPr>
            </w:pPr>
            <w:r>
              <w:rPr>
                <w:spacing w:val="-2"/>
                <w:sz w:val="18"/>
              </w:rPr>
              <w:t>Proveeduría Institucional</w:t>
            </w:r>
          </w:p>
        </w:tc>
        <w:tc>
          <w:tcPr>
            <w:tcW w:w="1680" w:type="dxa"/>
          </w:tcPr>
          <w:p>
            <w:pPr>
              <w:pStyle w:val="TableParagraph"/>
              <w:rPr>
                <w:rFonts w:ascii="Times New Roman"/>
                <w:sz w:val="18"/>
              </w:rPr>
            </w:pPr>
          </w:p>
        </w:tc>
        <w:tc>
          <w:tcPr>
            <w:tcW w:w="2693"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5"/>
        <w:gridCol w:w="1445"/>
        <w:gridCol w:w="1181"/>
        <w:gridCol w:w="1564"/>
        <w:gridCol w:w="1939"/>
        <w:gridCol w:w="1343"/>
        <w:gridCol w:w="1680"/>
        <w:gridCol w:w="2693"/>
      </w:tblGrid>
      <w:tr>
        <w:trPr>
          <w:trHeight w:val="854" w:hRule="atLeast"/>
        </w:trPr>
        <w:tc>
          <w:tcPr>
            <w:tcW w:w="2545" w:type="dxa"/>
            <w:shd w:val="clear" w:color="auto" w:fill="F1F1F1"/>
          </w:tcPr>
          <w:p>
            <w:pPr>
              <w:pStyle w:val="TableParagraph"/>
              <w:spacing w:before="118"/>
              <w:rPr>
                <w:b/>
                <w:sz w:val="18"/>
              </w:rPr>
            </w:pPr>
          </w:p>
          <w:p>
            <w:pPr>
              <w:pStyle w:val="TableParagraph"/>
              <w:ind w:left="302"/>
              <w:rPr>
                <w:b/>
                <w:sz w:val="18"/>
              </w:rPr>
            </w:pPr>
            <w:r>
              <w:rPr>
                <w:b/>
                <w:sz w:val="18"/>
              </w:rPr>
              <w:t>Objetivos</w:t>
            </w:r>
            <w:r>
              <w:rPr>
                <w:b/>
                <w:spacing w:val="-5"/>
                <w:sz w:val="18"/>
              </w:rPr>
              <w:t> </w:t>
            </w:r>
            <w:r>
              <w:rPr>
                <w:b/>
                <w:sz w:val="18"/>
              </w:rPr>
              <w:t>/</w:t>
            </w:r>
            <w:r>
              <w:rPr>
                <w:b/>
                <w:spacing w:val="-2"/>
                <w:sz w:val="18"/>
              </w:rPr>
              <w:t> Resultados</w:t>
            </w:r>
          </w:p>
        </w:tc>
        <w:tc>
          <w:tcPr>
            <w:tcW w:w="1445" w:type="dxa"/>
            <w:shd w:val="clear" w:color="auto" w:fill="F1F1F1"/>
          </w:tcPr>
          <w:p>
            <w:pPr>
              <w:pStyle w:val="TableParagraph"/>
              <w:spacing w:before="12"/>
              <w:rPr>
                <w:b/>
                <w:sz w:val="18"/>
              </w:rPr>
            </w:pPr>
          </w:p>
          <w:p>
            <w:pPr>
              <w:pStyle w:val="TableParagraph"/>
              <w:ind w:left="465" w:hanging="216"/>
              <w:rPr>
                <w:b/>
                <w:sz w:val="18"/>
              </w:rPr>
            </w:pPr>
            <w:r>
              <w:rPr>
                <w:b/>
                <w:sz w:val="18"/>
              </w:rPr>
              <w:t>Línea</w:t>
            </w:r>
            <w:r>
              <w:rPr>
                <w:b/>
                <w:spacing w:val="-13"/>
                <w:sz w:val="18"/>
              </w:rPr>
              <w:t> </w:t>
            </w:r>
            <w:r>
              <w:rPr>
                <w:b/>
                <w:sz w:val="18"/>
              </w:rPr>
              <w:t>Base </w:t>
            </w:r>
            <w:r>
              <w:rPr>
                <w:b/>
                <w:spacing w:val="-2"/>
                <w:sz w:val="18"/>
              </w:rPr>
              <w:t>(2024)</w:t>
            </w:r>
          </w:p>
        </w:tc>
        <w:tc>
          <w:tcPr>
            <w:tcW w:w="1181" w:type="dxa"/>
            <w:shd w:val="clear" w:color="auto" w:fill="F1F1F1"/>
          </w:tcPr>
          <w:p>
            <w:pPr>
              <w:pStyle w:val="TableParagraph"/>
              <w:spacing w:line="242" w:lineRule="auto" w:before="114"/>
              <w:ind w:left="72" w:right="50" w:hanging="10"/>
              <w:jc w:val="center"/>
              <w:rPr>
                <w:b/>
                <w:sz w:val="18"/>
              </w:rPr>
            </w:pPr>
            <w:r>
              <w:rPr>
                <w:b/>
                <w:spacing w:val="-4"/>
                <w:sz w:val="18"/>
              </w:rPr>
              <w:t>Meta </w:t>
            </w:r>
            <w:r>
              <w:rPr>
                <w:b/>
                <w:spacing w:val="-2"/>
                <w:sz w:val="18"/>
              </w:rPr>
              <w:t>programada </w:t>
            </w:r>
            <w:r>
              <w:rPr>
                <w:b/>
                <w:spacing w:val="-4"/>
                <w:sz w:val="18"/>
              </w:rPr>
              <w:t>2026</w:t>
            </w:r>
          </w:p>
        </w:tc>
        <w:tc>
          <w:tcPr>
            <w:tcW w:w="1564" w:type="dxa"/>
            <w:shd w:val="clear" w:color="auto" w:fill="F1F1F1"/>
          </w:tcPr>
          <w:p>
            <w:pPr>
              <w:pStyle w:val="TableParagraph"/>
              <w:spacing w:before="118"/>
              <w:rPr>
                <w:b/>
                <w:sz w:val="18"/>
              </w:rPr>
            </w:pPr>
          </w:p>
          <w:p>
            <w:pPr>
              <w:pStyle w:val="TableParagraph"/>
              <w:ind w:left="374"/>
              <w:rPr>
                <w:b/>
                <w:sz w:val="18"/>
              </w:rPr>
            </w:pPr>
            <w:r>
              <w:rPr>
                <w:b/>
                <w:spacing w:val="-2"/>
                <w:sz w:val="18"/>
              </w:rPr>
              <w:t>Indicador</w:t>
            </w:r>
          </w:p>
        </w:tc>
        <w:tc>
          <w:tcPr>
            <w:tcW w:w="1939" w:type="dxa"/>
            <w:shd w:val="clear" w:color="auto" w:fill="F1F1F1"/>
          </w:tcPr>
          <w:p>
            <w:pPr>
              <w:pStyle w:val="TableParagraph"/>
              <w:spacing w:before="12"/>
              <w:rPr>
                <w:b/>
                <w:sz w:val="18"/>
              </w:rPr>
            </w:pPr>
          </w:p>
          <w:p>
            <w:pPr>
              <w:pStyle w:val="TableParagraph"/>
              <w:ind w:left="467" w:firstLine="57"/>
              <w:rPr>
                <w:b/>
                <w:sz w:val="18"/>
              </w:rPr>
            </w:pPr>
            <w:r>
              <w:rPr>
                <w:b/>
                <w:sz w:val="18"/>
              </w:rPr>
              <w:t>Medios de </w:t>
            </w:r>
            <w:r>
              <w:rPr>
                <w:b/>
                <w:spacing w:val="-2"/>
                <w:sz w:val="18"/>
              </w:rPr>
              <w:t>verificación</w:t>
            </w:r>
          </w:p>
        </w:tc>
        <w:tc>
          <w:tcPr>
            <w:tcW w:w="1343" w:type="dxa"/>
            <w:shd w:val="clear" w:color="auto" w:fill="F1F1F1"/>
          </w:tcPr>
          <w:p>
            <w:pPr>
              <w:pStyle w:val="TableParagraph"/>
              <w:spacing w:before="118"/>
              <w:rPr>
                <w:b/>
                <w:sz w:val="18"/>
              </w:rPr>
            </w:pPr>
          </w:p>
          <w:p>
            <w:pPr>
              <w:pStyle w:val="TableParagraph"/>
              <w:ind w:left="117"/>
              <w:rPr>
                <w:b/>
                <w:sz w:val="18"/>
              </w:rPr>
            </w:pPr>
            <w:r>
              <w:rPr>
                <w:b/>
                <w:spacing w:val="-2"/>
                <w:sz w:val="18"/>
              </w:rPr>
              <w:t>Responsable</w:t>
            </w:r>
          </w:p>
        </w:tc>
        <w:tc>
          <w:tcPr>
            <w:tcW w:w="1680" w:type="dxa"/>
            <w:shd w:val="clear" w:color="auto" w:fill="F1F1F1"/>
          </w:tcPr>
          <w:p>
            <w:pPr>
              <w:pStyle w:val="TableParagraph"/>
              <w:spacing w:before="12"/>
              <w:rPr>
                <w:b/>
                <w:sz w:val="18"/>
              </w:rPr>
            </w:pPr>
          </w:p>
          <w:p>
            <w:pPr>
              <w:pStyle w:val="TableParagraph"/>
              <w:ind w:left="450" w:hanging="154"/>
              <w:rPr>
                <w:b/>
                <w:sz w:val="18"/>
              </w:rPr>
            </w:pPr>
            <w:r>
              <w:rPr>
                <w:b/>
                <w:spacing w:val="-2"/>
                <w:sz w:val="18"/>
              </w:rPr>
              <w:t>Presupuesto asignado</w:t>
            </w:r>
          </w:p>
        </w:tc>
        <w:tc>
          <w:tcPr>
            <w:tcW w:w="2693" w:type="dxa"/>
            <w:shd w:val="clear" w:color="auto" w:fill="F1F1F1"/>
          </w:tcPr>
          <w:p>
            <w:pPr>
              <w:pStyle w:val="TableParagraph"/>
              <w:spacing w:before="118"/>
              <w:rPr>
                <w:b/>
                <w:sz w:val="18"/>
              </w:rPr>
            </w:pPr>
          </w:p>
          <w:p>
            <w:pPr>
              <w:pStyle w:val="TableParagraph"/>
              <w:ind w:left="532"/>
              <w:rPr>
                <w:b/>
                <w:sz w:val="18"/>
              </w:rPr>
            </w:pPr>
            <w:r>
              <w:rPr>
                <w:b/>
                <w:sz w:val="18"/>
              </w:rPr>
              <w:t>Riesgos</w:t>
            </w:r>
            <w:r>
              <w:rPr>
                <w:b/>
                <w:spacing w:val="-4"/>
                <w:sz w:val="18"/>
              </w:rPr>
              <w:t> </w:t>
            </w:r>
            <w:r>
              <w:rPr>
                <w:b/>
                <w:spacing w:val="-2"/>
                <w:sz w:val="18"/>
              </w:rPr>
              <w:t>asociados</w:t>
            </w:r>
          </w:p>
        </w:tc>
      </w:tr>
      <w:tr>
        <w:trPr>
          <w:trHeight w:val="2866" w:hRule="atLeast"/>
        </w:trPr>
        <w:tc>
          <w:tcPr>
            <w:tcW w:w="2545" w:type="dxa"/>
          </w:tcPr>
          <w:p>
            <w:pPr>
              <w:pStyle w:val="TableParagraph"/>
              <w:spacing w:before="190"/>
              <w:rPr>
                <w:b/>
                <w:sz w:val="18"/>
              </w:rPr>
            </w:pPr>
          </w:p>
          <w:p>
            <w:pPr>
              <w:pStyle w:val="TableParagraph"/>
              <w:spacing w:before="1"/>
              <w:ind w:left="72" w:right="81"/>
              <w:rPr>
                <w:sz w:val="18"/>
              </w:rPr>
            </w:pPr>
            <w:r>
              <w:rPr>
                <w:b/>
                <w:sz w:val="18"/>
              </w:rPr>
              <w:t>Actividad PAC 2.42.7: </w:t>
            </w:r>
            <w:r>
              <w:rPr>
                <w:sz w:val="18"/>
              </w:rPr>
              <w:t>Realizar las cargas de las solicitudes</w:t>
            </w:r>
            <w:r>
              <w:rPr>
                <w:spacing w:val="-11"/>
                <w:sz w:val="18"/>
              </w:rPr>
              <w:t> </w:t>
            </w:r>
            <w:r>
              <w:rPr>
                <w:sz w:val="18"/>
              </w:rPr>
              <w:t>de</w:t>
            </w:r>
            <w:r>
              <w:rPr>
                <w:spacing w:val="-11"/>
                <w:sz w:val="18"/>
              </w:rPr>
              <w:t> </w:t>
            </w:r>
            <w:r>
              <w:rPr>
                <w:sz w:val="18"/>
              </w:rPr>
              <w:t>contratación</w:t>
            </w:r>
            <w:r>
              <w:rPr>
                <w:spacing w:val="-11"/>
                <w:sz w:val="18"/>
              </w:rPr>
              <w:t> </w:t>
            </w:r>
            <w:r>
              <w:rPr>
                <w:sz w:val="18"/>
              </w:rPr>
              <w:t>de bienes y servicios en los sistemas SAP-SICOP en atención a las necesidades del Departamento de Proveeduría</w:t>
            </w:r>
            <w:r>
              <w:rPr>
                <w:spacing w:val="-12"/>
                <w:sz w:val="18"/>
              </w:rPr>
              <w:t> </w:t>
            </w:r>
            <w:r>
              <w:rPr>
                <w:sz w:val="18"/>
              </w:rPr>
              <w:t>Institucional</w:t>
            </w:r>
            <w:r>
              <w:rPr>
                <w:spacing w:val="-10"/>
                <w:sz w:val="18"/>
              </w:rPr>
              <w:t> </w:t>
            </w:r>
            <w:r>
              <w:rPr>
                <w:sz w:val="18"/>
              </w:rPr>
              <w:t>y</w:t>
            </w:r>
            <w:r>
              <w:rPr>
                <w:spacing w:val="-12"/>
                <w:sz w:val="18"/>
              </w:rPr>
              <w:t> </w:t>
            </w:r>
            <w:r>
              <w:rPr>
                <w:sz w:val="18"/>
              </w:rPr>
              <w:t>de conformidad con las fechas del PA 2026.</w:t>
            </w:r>
          </w:p>
        </w:tc>
        <w:tc>
          <w:tcPr>
            <w:tcW w:w="14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17"/>
              <w:jc w:val="center"/>
              <w:rPr>
                <w:sz w:val="18"/>
              </w:rPr>
            </w:pPr>
            <w:r>
              <w:rPr>
                <w:spacing w:val="-4"/>
                <w:sz w:val="18"/>
              </w:rPr>
              <w:t>100%</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28" w:right="16"/>
              <w:jc w:val="center"/>
              <w:rPr>
                <w:sz w:val="18"/>
              </w:rPr>
            </w:pPr>
            <w:r>
              <w:rPr>
                <w:spacing w:val="-4"/>
                <w:sz w:val="18"/>
              </w:rPr>
              <w:t>100%</w:t>
            </w:r>
          </w:p>
        </w:tc>
        <w:tc>
          <w:tcPr>
            <w:tcW w:w="1564" w:type="dxa"/>
          </w:tcPr>
          <w:p>
            <w:pPr>
              <w:pStyle w:val="TableParagraph"/>
              <w:rPr>
                <w:b/>
                <w:sz w:val="18"/>
              </w:rPr>
            </w:pPr>
          </w:p>
          <w:p>
            <w:pPr>
              <w:pStyle w:val="TableParagraph"/>
              <w:spacing w:before="190"/>
              <w:rPr>
                <w:b/>
                <w:sz w:val="18"/>
              </w:rPr>
            </w:pPr>
          </w:p>
          <w:p>
            <w:pPr>
              <w:pStyle w:val="TableParagraph"/>
              <w:ind w:left="72" w:right="64" w:firstLine="52"/>
              <w:rPr>
                <w:sz w:val="18"/>
              </w:rPr>
            </w:pPr>
            <w:r>
              <w:rPr>
                <w:sz w:val="18"/>
              </w:rPr>
              <w:t>Porcentaje de solicitudes de </w:t>
            </w:r>
            <w:r>
              <w:rPr>
                <w:spacing w:val="-2"/>
                <w:sz w:val="18"/>
              </w:rPr>
              <w:t>contratación </w:t>
            </w:r>
            <w:r>
              <w:rPr>
                <w:sz w:val="18"/>
              </w:rPr>
              <w:t>cargadas</w:t>
            </w:r>
            <w:r>
              <w:rPr>
                <w:spacing w:val="-15"/>
                <w:sz w:val="18"/>
              </w:rPr>
              <w:t> </w:t>
            </w:r>
            <w:r>
              <w:rPr>
                <w:sz w:val="18"/>
              </w:rPr>
              <w:t>en</w:t>
            </w:r>
            <w:r>
              <w:rPr>
                <w:spacing w:val="-12"/>
                <w:sz w:val="18"/>
              </w:rPr>
              <w:t> </w:t>
            </w:r>
            <w:r>
              <w:rPr>
                <w:sz w:val="18"/>
              </w:rPr>
              <w:t>los sistemas SAP-SICOP, en los </w:t>
            </w:r>
            <w:r>
              <w:rPr>
                <w:spacing w:val="-2"/>
                <w:sz w:val="18"/>
              </w:rPr>
              <w:t>plazos establecidos</w:t>
            </w:r>
          </w:p>
        </w:tc>
        <w:tc>
          <w:tcPr>
            <w:tcW w:w="1939" w:type="dxa"/>
          </w:tcPr>
          <w:p>
            <w:pPr>
              <w:pStyle w:val="TableParagraph"/>
              <w:rPr>
                <w:b/>
                <w:sz w:val="18"/>
              </w:rPr>
            </w:pPr>
          </w:p>
          <w:p>
            <w:pPr>
              <w:pStyle w:val="TableParagraph"/>
              <w:rPr>
                <w:b/>
                <w:sz w:val="18"/>
              </w:rPr>
            </w:pPr>
          </w:p>
          <w:p>
            <w:pPr>
              <w:pStyle w:val="TableParagraph"/>
              <w:rPr>
                <w:b/>
                <w:sz w:val="18"/>
              </w:rPr>
            </w:pPr>
          </w:p>
          <w:p>
            <w:pPr>
              <w:pStyle w:val="TableParagraph"/>
              <w:spacing w:before="189"/>
              <w:rPr>
                <w:b/>
                <w:sz w:val="18"/>
              </w:rPr>
            </w:pPr>
          </w:p>
          <w:p>
            <w:pPr>
              <w:pStyle w:val="TableParagraph"/>
              <w:numPr>
                <w:ilvl w:val="0"/>
                <w:numId w:val="118"/>
              </w:numPr>
              <w:tabs>
                <w:tab w:pos="273" w:val="left" w:leader="none"/>
              </w:tabs>
              <w:spacing w:line="240" w:lineRule="auto" w:before="0" w:after="0"/>
              <w:ind w:left="273" w:right="0" w:hanging="205"/>
              <w:jc w:val="left"/>
              <w:rPr>
                <w:sz w:val="18"/>
              </w:rPr>
            </w:pPr>
            <w:r>
              <w:rPr>
                <w:sz w:val="18"/>
              </w:rPr>
              <w:t>Reporte</w:t>
            </w:r>
            <w:r>
              <w:rPr>
                <w:spacing w:val="-7"/>
                <w:sz w:val="18"/>
              </w:rPr>
              <w:t> </w:t>
            </w:r>
            <w:r>
              <w:rPr>
                <w:sz w:val="18"/>
              </w:rPr>
              <w:t>de</w:t>
            </w:r>
            <w:r>
              <w:rPr>
                <w:spacing w:val="-2"/>
                <w:sz w:val="18"/>
              </w:rPr>
              <w:t> SICOP.</w:t>
            </w:r>
          </w:p>
          <w:p>
            <w:pPr>
              <w:pStyle w:val="TableParagraph"/>
              <w:numPr>
                <w:ilvl w:val="0"/>
                <w:numId w:val="118"/>
              </w:numPr>
              <w:tabs>
                <w:tab w:pos="321" w:val="left" w:leader="none"/>
              </w:tabs>
              <w:spacing w:line="207" w:lineRule="exact" w:before="5" w:after="0"/>
              <w:ind w:left="321" w:right="0" w:hanging="200"/>
              <w:jc w:val="left"/>
              <w:rPr>
                <w:sz w:val="18"/>
              </w:rPr>
            </w:pPr>
            <w:r>
              <w:rPr>
                <w:sz w:val="18"/>
              </w:rPr>
              <w:t>Reporte</w:t>
            </w:r>
            <w:r>
              <w:rPr>
                <w:spacing w:val="-6"/>
                <w:sz w:val="18"/>
              </w:rPr>
              <w:t> </w:t>
            </w:r>
            <w:r>
              <w:rPr>
                <w:spacing w:val="-4"/>
                <w:sz w:val="18"/>
              </w:rPr>
              <w:t>SAP.</w:t>
            </w:r>
          </w:p>
          <w:p>
            <w:pPr>
              <w:pStyle w:val="TableParagraph"/>
              <w:numPr>
                <w:ilvl w:val="0"/>
                <w:numId w:val="118"/>
              </w:numPr>
              <w:tabs>
                <w:tab w:pos="273" w:val="left" w:leader="none"/>
              </w:tabs>
              <w:spacing w:line="240" w:lineRule="auto" w:before="0" w:after="0"/>
              <w:ind w:left="68" w:right="615" w:firstLine="0"/>
              <w:jc w:val="left"/>
              <w:rPr>
                <w:sz w:val="18"/>
              </w:rPr>
            </w:pPr>
            <w:r>
              <w:rPr>
                <w:sz w:val="18"/>
              </w:rPr>
              <w:t>Programa</w:t>
            </w:r>
            <w:r>
              <w:rPr>
                <w:spacing w:val="-13"/>
                <w:sz w:val="18"/>
              </w:rPr>
              <w:t> </w:t>
            </w:r>
            <w:r>
              <w:rPr>
                <w:sz w:val="18"/>
              </w:rPr>
              <w:t>de </w:t>
            </w:r>
            <w:r>
              <w:rPr>
                <w:spacing w:val="-2"/>
                <w:sz w:val="18"/>
              </w:rPr>
              <w:t>Adquisiciones</w:t>
            </w:r>
          </w:p>
        </w:tc>
        <w:tc>
          <w:tcPr>
            <w:tcW w:w="134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spacing w:before="1"/>
              <w:ind w:left="74"/>
              <w:rPr>
                <w:sz w:val="18"/>
              </w:rPr>
            </w:pPr>
            <w:r>
              <w:rPr>
                <w:spacing w:val="-2"/>
                <w:sz w:val="18"/>
              </w:rPr>
              <w:t>Proveeduría Institucional</w:t>
            </w:r>
          </w:p>
        </w:tc>
        <w:tc>
          <w:tcPr>
            <w:tcW w:w="1680" w:type="dxa"/>
          </w:tcPr>
          <w:p>
            <w:pPr>
              <w:pStyle w:val="TableParagraph"/>
              <w:rPr>
                <w:rFonts w:ascii="Times New Roman"/>
                <w:sz w:val="18"/>
              </w:rPr>
            </w:pPr>
          </w:p>
        </w:tc>
        <w:tc>
          <w:tcPr>
            <w:tcW w:w="2693" w:type="dxa"/>
            <w:vMerge w:val="restart"/>
          </w:tcPr>
          <w:p>
            <w:pPr>
              <w:pStyle w:val="TableParagraph"/>
              <w:rPr>
                <w:rFonts w:ascii="Times New Roman"/>
                <w:sz w:val="18"/>
              </w:rPr>
            </w:pPr>
          </w:p>
        </w:tc>
      </w:tr>
      <w:tr>
        <w:trPr>
          <w:trHeight w:val="2866" w:hRule="atLeast"/>
        </w:trPr>
        <w:tc>
          <w:tcPr>
            <w:tcW w:w="2545" w:type="dxa"/>
          </w:tcPr>
          <w:p>
            <w:pPr>
              <w:pStyle w:val="TableParagraph"/>
              <w:rPr>
                <w:b/>
                <w:sz w:val="18"/>
              </w:rPr>
            </w:pPr>
          </w:p>
          <w:p>
            <w:pPr>
              <w:pStyle w:val="TableParagraph"/>
              <w:rPr>
                <w:b/>
                <w:sz w:val="18"/>
              </w:rPr>
            </w:pPr>
          </w:p>
          <w:p>
            <w:pPr>
              <w:pStyle w:val="TableParagraph"/>
              <w:spacing w:before="189"/>
              <w:rPr>
                <w:b/>
                <w:sz w:val="18"/>
              </w:rPr>
            </w:pPr>
          </w:p>
          <w:p>
            <w:pPr>
              <w:pStyle w:val="TableParagraph"/>
              <w:ind w:left="72" w:right="135"/>
              <w:rPr>
                <w:sz w:val="18"/>
              </w:rPr>
            </w:pPr>
            <w:r>
              <w:rPr>
                <w:b/>
                <w:sz w:val="18"/>
              </w:rPr>
              <w:t>Actividad PAC 2.42.8: </w:t>
            </w:r>
            <w:r>
              <w:rPr>
                <w:sz w:val="18"/>
              </w:rPr>
              <w:t>Cumplir</w:t>
            </w:r>
            <w:r>
              <w:rPr>
                <w:spacing w:val="-9"/>
                <w:sz w:val="18"/>
              </w:rPr>
              <w:t> </w:t>
            </w:r>
            <w:r>
              <w:rPr>
                <w:sz w:val="18"/>
              </w:rPr>
              <w:t>con</w:t>
            </w:r>
            <w:r>
              <w:rPr>
                <w:spacing w:val="-10"/>
                <w:sz w:val="18"/>
              </w:rPr>
              <w:t> </w:t>
            </w:r>
            <w:r>
              <w:rPr>
                <w:sz w:val="18"/>
              </w:rPr>
              <w:t>los</w:t>
            </w:r>
            <w:r>
              <w:rPr>
                <w:spacing w:val="-6"/>
                <w:sz w:val="18"/>
              </w:rPr>
              <w:t> </w:t>
            </w:r>
            <w:r>
              <w:rPr>
                <w:sz w:val="18"/>
              </w:rPr>
              <w:t>acuerdos</w:t>
            </w:r>
            <w:r>
              <w:rPr>
                <w:spacing w:val="-10"/>
                <w:sz w:val="18"/>
              </w:rPr>
              <w:t> </w:t>
            </w:r>
            <w:r>
              <w:rPr>
                <w:sz w:val="18"/>
              </w:rPr>
              <w:t>del Consejo Directivo y las recomendaciones de la Auditoría Interna y Externa, en tiempo y forma.</w:t>
            </w:r>
          </w:p>
        </w:tc>
        <w:tc>
          <w:tcPr>
            <w:tcW w:w="14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17"/>
              <w:jc w:val="center"/>
              <w:rPr>
                <w:sz w:val="18"/>
              </w:rPr>
            </w:pPr>
            <w:r>
              <w:rPr>
                <w:spacing w:val="-4"/>
                <w:sz w:val="18"/>
              </w:rPr>
              <w:t>100%</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28" w:right="16"/>
              <w:jc w:val="center"/>
              <w:rPr>
                <w:sz w:val="18"/>
              </w:rPr>
            </w:pPr>
            <w:r>
              <w:rPr>
                <w:spacing w:val="-4"/>
                <w:sz w:val="18"/>
              </w:rPr>
              <w:t>100%</w:t>
            </w:r>
          </w:p>
        </w:tc>
        <w:tc>
          <w:tcPr>
            <w:tcW w:w="1564" w:type="dxa"/>
          </w:tcPr>
          <w:p>
            <w:pPr>
              <w:pStyle w:val="TableParagraph"/>
              <w:rPr>
                <w:b/>
                <w:sz w:val="18"/>
              </w:rPr>
            </w:pPr>
          </w:p>
          <w:p>
            <w:pPr>
              <w:pStyle w:val="TableParagraph"/>
              <w:rPr>
                <w:b/>
                <w:sz w:val="18"/>
              </w:rPr>
            </w:pPr>
          </w:p>
          <w:p>
            <w:pPr>
              <w:pStyle w:val="TableParagraph"/>
              <w:spacing w:before="88"/>
              <w:rPr>
                <w:b/>
                <w:sz w:val="18"/>
              </w:rPr>
            </w:pPr>
          </w:p>
          <w:p>
            <w:pPr>
              <w:pStyle w:val="TableParagraph"/>
              <w:ind w:left="72" w:right="54"/>
              <w:rPr>
                <w:sz w:val="18"/>
              </w:rPr>
            </w:pPr>
            <w:r>
              <w:rPr>
                <w:sz w:val="18"/>
              </w:rPr>
              <w:t>Porcentaje de </w:t>
            </w:r>
            <w:r>
              <w:rPr>
                <w:spacing w:val="-2"/>
                <w:sz w:val="18"/>
              </w:rPr>
              <w:t>acuerdos</w:t>
            </w:r>
            <w:r>
              <w:rPr>
                <w:spacing w:val="40"/>
                <w:sz w:val="18"/>
              </w:rPr>
              <w:t> </w:t>
            </w:r>
            <w:r>
              <w:rPr>
                <w:sz w:val="18"/>
              </w:rPr>
              <w:t>Consejo</w:t>
            </w:r>
            <w:r>
              <w:rPr>
                <w:spacing w:val="-13"/>
                <w:sz w:val="18"/>
              </w:rPr>
              <w:t> </w:t>
            </w:r>
            <w:r>
              <w:rPr>
                <w:sz w:val="18"/>
              </w:rPr>
              <w:t>Directivo </w:t>
            </w:r>
            <w:r>
              <w:rPr>
                <w:spacing w:val="-10"/>
                <w:sz w:val="18"/>
              </w:rPr>
              <w:t>y</w:t>
            </w:r>
            <w:r>
              <w:rPr>
                <w:spacing w:val="-2"/>
                <w:sz w:val="18"/>
              </w:rPr>
              <w:t> recomendaciones Auditoria cumplidos</w:t>
            </w:r>
          </w:p>
        </w:tc>
        <w:tc>
          <w:tcPr>
            <w:tcW w:w="1939" w:type="dxa"/>
          </w:tcPr>
          <w:p>
            <w:pPr>
              <w:pStyle w:val="TableParagraph"/>
              <w:rPr>
                <w:b/>
                <w:sz w:val="18"/>
              </w:rPr>
            </w:pPr>
          </w:p>
          <w:p>
            <w:pPr>
              <w:pStyle w:val="TableParagraph"/>
              <w:spacing w:before="189"/>
              <w:rPr>
                <w:b/>
                <w:sz w:val="18"/>
              </w:rPr>
            </w:pPr>
          </w:p>
          <w:p>
            <w:pPr>
              <w:pStyle w:val="TableParagraph"/>
              <w:numPr>
                <w:ilvl w:val="0"/>
                <w:numId w:val="119"/>
              </w:numPr>
              <w:tabs>
                <w:tab w:pos="273" w:val="left" w:leader="none"/>
              </w:tabs>
              <w:spacing w:line="240" w:lineRule="auto" w:before="0" w:after="0"/>
              <w:ind w:left="68" w:right="396" w:firstLine="0"/>
              <w:jc w:val="left"/>
              <w:rPr>
                <w:sz w:val="18"/>
              </w:rPr>
            </w:pPr>
            <w:r>
              <w:rPr>
                <w:sz w:val="18"/>
              </w:rPr>
              <w:t>Acuerdos del Consejo</w:t>
            </w:r>
            <w:r>
              <w:rPr>
                <w:spacing w:val="-13"/>
                <w:sz w:val="18"/>
              </w:rPr>
              <w:t> </w:t>
            </w:r>
            <w:r>
              <w:rPr>
                <w:sz w:val="18"/>
              </w:rPr>
              <w:t>Directivo.</w:t>
            </w:r>
          </w:p>
          <w:p>
            <w:pPr>
              <w:pStyle w:val="TableParagraph"/>
              <w:numPr>
                <w:ilvl w:val="0"/>
                <w:numId w:val="119"/>
              </w:numPr>
              <w:tabs>
                <w:tab w:pos="273" w:val="left" w:leader="none"/>
              </w:tabs>
              <w:spacing w:line="240" w:lineRule="auto" w:before="0" w:after="0"/>
              <w:ind w:left="68" w:right="130" w:firstLine="0"/>
              <w:jc w:val="left"/>
              <w:rPr>
                <w:sz w:val="18"/>
              </w:rPr>
            </w:pPr>
            <w:r>
              <w:rPr>
                <w:spacing w:val="-2"/>
                <w:sz w:val="18"/>
              </w:rPr>
              <w:t>Recomendaciones </w:t>
            </w:r>
            <w:r>
              <w:rPr>
                <w:sz w:val="18"/>
              </w:rPr>
              <w:t>de</w:t>
            </w:r>
            <w:r>
              <w:rPr>
                <w:spacing w:val="-10"/>
                <w:sz w:val="18"/>
              </w:rPr>
              <w:t> </w:t>
            </w:r>
            <w:r>
              <w:rPr>
                <w:sz w:val="18"/>
              </w:rPr>
              <w:t>Auditoría</w:t>
            </w:r>
            <w:r>
              <w:rPr>
                <w:spacing w:val="-13"/>
                <w:sz w:val="18"/>
              </w:rPr>
              <w:t> </w:t>
            </w:r>
            <w:r>
              <w:rPr>
                <w:sz w:val="18"/>
              </w:rPr>
              <w:t>Interna</w:t>
            </w:r>
            <w:r>
              <w:rPr>
                <w:spacing w:val="-9"/>
                <w:sz w:val="18"/>
              </w:rPr>
              <w:t> </w:t>
            </w:r>
            <w:r>
              <w:rPr>
                <w:sz w:val="18"/>
              </w:rPr>
              <w:t>y Externa acatadas e </w:t>
            </w:r>
            <w:r>
              <w:rPr>
                <w:spacing w:val="-2"/>
                <w:sz w:val="18"/>
              </w:rPr>
              <w:t>implementadas.</w:t>
            </w:r>
          </w:p>
          <w:p>
            <w:pPr>
              <w:pStyle w:val="TableParagraph"/>
              <w:numPr>
                <w:ilvl w:val="0"/>
                <w:numId w:val="119"/>
              </w:numPr>
              <w:tabs>
                <w:tab w:pos="268" w:val="left" w:leader="none"/>
              </w:tabs>
              <w:spacing w:line="240" w:lineRule="auto" w:before="2" w:after="0"/>
              <w:ind w:left="68" w:right="90" w:firstLine="0"/>
              <w:jc w:val="left"/>
              <w:rPr>
                <w:sz w:val="18"/>
              </w:rPr>
            </w:pPr>
            <w:r>
              <w:rPr>
                <w:sz w:val="18"/>
              </w:rPr>
              <w:t>Informe de cumplimiento</w:t>
            </w:r>
            <w:r>
              <w:rPr>
                <w:spacing w:val="-13"/>
                <w:sz w:val="18"/>
              </w:rPr>
              <w:t> </w:t>
            </w:r>
            <w:r>
              <w:rPr>
                <w:sz w:val="18"/>
              </w:rPr>
              <w:t>ARGOS</w:t>
            </w:r>
          </w:p>
        </w:tc>
        <w:tc>
          <w:tcPr>
            <w:tcW w:w="134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ind w:left="74"/>
              <w:rPr>
                <w:sz w:val="18"/>
              </w:rPr>
            </w:pPr>
            <w:r>
              <w:rPr>
                <w:spacing w:val="-2"/>
                <w:sz w:val="18"/>
              </w:rPr>
              <w:t>Proveeduría Institucional</w:t>
            </w:r>
          </w:p>
        </w:tc>
        <w:tc>
          <w:tcPr>
            <w:tcW w:w="1680" w:type="dxa"/>
          </w:tcPr>
          <w:p>
            <w:pPr>
              <w:pStyle w:val="TableParagraph"/>
              <w:rPr>
                <w:rFonts w:ascii="Times New Roman"/>
                <w:sz w:val="18"/>
              </w:rPr>
            </w:pPr>
          </w:p>
        </w:tc>
        <w:tc>
          <w:tcPr>
            <w:tcW w:w="2693" w:type="dxa"/>
            <w:vMerge/>
            <w:tcBorders>
              <w:top w:val="nil"/>
            </w:tcBorders>
          </w:tcPr>
          <w:p>
            <w:pPr>
              <w:rPr>
                <w:sz w:val="2"/>
                <w:szCs w:val="2"/>
              </w:rPr>
            </w:pPr>
          </w:p>
        </w:tc>
      </w:tr>
      <w:tr>
        <w:trPr>
          <w:trHeight w:val="1742" w:hRule="atLeast"/>
        </w:trPr>
        <w:tc>
          <w:tcPr>
            <w:tcW w:w="2545" w:type="dxa"/>
          </w:tcPr>
          <w:p>
            <w:pPr>
              <w:pStyle w:val="TableParagraph"/>
              <w:rPr>
                <w:b/>
                <w:sz w:val="18"/>
              </w:rPr>
            </w:pPr>
          </w:p>
          <w:p>
            <w:pPr>
              <w:pStyle w:val="TableParagraph"/>
              <w:spacing w:before="41"/>
              <w:rPr>
                <w:b/>
                <w:sz w:val="18"/>
              </w:rPr>
            </w:pPr>
          </w:p>
          <w:p>
            <w:pPr>
              <w:pStyle w:val="TableParagraph"/>
              <w:ind w:left="72"/>
              <w:rPr>
                <w:sz w:val="18"/>
              </w:rPr>
            </w:pPr>
            <w:r>
              <w:rPr>
                <w:b/>
                <w:sz w:val="18"/>
              </w:rPr>
              <w:t>Actividad PAC 2.42.9: </w:t>
            </w:r>
            <w:r>
              <w:rPr>
                <w:sz w:val="18"/>
              </w:rPr>
              <w:t>Realizar</w:t>
            </w:r>
            <w:r>
              <w:rPr>
                <w:spacing w:val="-5"/>
                <w:sz w:val="18"/>
              </w:rPr>
              <w:t> </w:t>
            </w:r>
            <w:r>
              <w:rPr>
                <w:sz w:val="18"/>
              </w:rPr>
              <w:t>actividades</w:t>
            </w:r>
            <w:r>
              <w:rPr>
                <w:spacing w:val="-10"/>
                <w:sz w:val="18"/>
              </w:rPr>
              <w:t> </w:t>
            </w:r>
            <w:r>
              <w:rPr>
                <w:sz w:val="18"/>
              </w:rPr>
              <w:t>anuales, para</w:t>
            </w:r>
            <w:r>
              <w:rPr>
                <w:spacing w:val="-9"/>
                <w:sz w:val="18"/>
              </w:rPr>
              <w:t> </w:t>
            </w:r>
            <w:r>
              <w:rPr>
                <w:sz w:val="18"/>
              </w:rPr>
              <w:t>fomentar</w:t>
            </w:r>
            <w:r>
              <w:rPr>
                <w:spacing w:val="-4"/>
                <w:sz w:val="18"/>
              </w:rPr>
              <w:t> </w:t>
            </w:r>
            <w:r>
              <w:rPr>
                <w:sz w:val="18"/>
              </w:rPr>
              <w:t>los</w:t>
            </w:r>
            <w:r>
              <w:rPr>
                <w:spacing w:val="-9"/>
                <w:sz w:val="18"/>
              </w:rPr>
              <w:t> </w:t>
            </w:r>
            <w:r>
              <w:rPr>
                <w:sz w:val="18"/>
              </w:rPr>
              <w:t>valores</w:t>
            </w:r>
            <w:r>
              <w:rPr>
                <w:spacing w:val="-9"/>
                <w:sz w:val="18"/>
              </w:rPr>
              <w:t> </w:t>
            </w:r>
            <w:r>
              <w:rPr>
                <w:sz w:val="18"/>
              </w:rPr>
              <w:t>y</w:t>
            </w:r>
            <w:r>
              <w:rPr>
                <w:spacing w:val="-5"/>
                <w:sz w:val="18"/>
              </w:rPr>
              <w:t> </w:t>
            </w:r>
            <w:r>
              <w:rPr>
                <w:sz w:val="18"/>
              </w:rPr>
              <w:t>la ética institucional.</w:t>
            </w:r>
          </w:p>
        </w:tc>
        <w:tc>
          <w:tcPr>
            <w:tcW w:w="1445" w:type="dxa"/>
          </w:tcPr>
          <w:p>
            <w:pPr>
              <w:pStyle w:val="TableParagraph"/>
              <w:rPr>
                <w:b/>
                <w:sz w:val="18"/>
              </w:rPr>
            </w:pPr>
          </w:p>
          <w:p>
            <w:pPr>
              <w:pStyle w:val="TableParagraph"/>
              <w:rPr>
                <w:b/>
                <w:sz w:val="18"/>
              </w:rPr>
            </w:pPr>
          </w:p>
          <w:p>
            <w:pPr>
              <w:pStyle w:val="TableParagraph"/>
              <w:spacing w:before="146"/>
              <w:rPr>
                <w:b/>
                <w:sz w:val="18"/>
              </w:rPr>
            </w:pPr>
          </w:p>
          <w:p>
            <w:pPr>
              <w:pStyle w:val="TableParagraph"/>
              <w:ind w:left="17" w:right="7"/>
              <w:jc w:val="center"/>
              <w:rPr>
                <w:sz w:val="18"/>
              </w:rPr>
            </w:pPr>
            <w:r>
              <w:rPr>
                <w:spacing w:val="-10"/>
                <w:sz w:val="18"/>
              </w:rPr>
              <w:t>1</w:t>
            </w:r>
          </w:p>
        </w:tc>
        <w:tc>
          <w:tcPr>
            <w:tcW w:w="1181" w:type="dxa"/>
          </w:tcPr>
          <w:p>
            <w:pPr>
              <w:pStyle w:val="TableParagraph"/>
              <w:rPr>
                <w:b/>
                <w:sz w:val="18"/>
              </w:rPr>
            </w:pPr>
          </w:p>
          <w:p>
            <w:pPr>
              <w:pStyle w:val="TableParagraph"/>
              <w:rPr>
                <w:b/>
                <w:sz w:val="18"/>
              </w:rPr>
            </w:pPr>
          </w:p>
          <w:p>
            <w:pPr>
              <w:pStyle w:val="TableParagraph"/>
              <w:spacing w:before="146"/>
              <w:rPr>
                <w:b/>
                <w:sz w:val="18"/>
              </w:rPr>
            </w:pPr>
          </w:p>
          <w:p>
            <w:pPr>
              <w:pStyle w:val="TableParagraph"/>
              <w:ind w:left="28" w:right="13"/>
              <w:jc w:val="center"/>
              <w:rPr>
                <w:sz w:val="18"/>
              </w:rPr>
            </w:pPr>
            <w:r>
              <w:rPr>
                <w:spacing w:val="-10"/>
                <w:sz w:val="18"/>
              </w:rPr>
              <w:t>1</w:t>
            </w:r>
          </w:p>
        </w:tc>
        <w:tc>
          <w:tcPr>
            <w:tcW w:w="1564" w:type="dxa"/>
          </w:tcPr>
          <w:p>
            <w:pPr>
              <w:pStyle w:val="TableParagraph"/>
              <w:rPr>
                <w:b/>
                <w:sz w:val="18"/>
              </w:rPr>
            </w:pPr>
          </w:p>
          <w:p>
            <w:pPr>
              <w:pStyle w:val="TableParagraph"/>
              <w:spacing w:before="147"/>
              <w:rPr>
                <w:b/>
                <w:sz w:val="18"/>
              </w:rPr>
            </w:pPr>
          </w:p>
          <w:p>
            <w:pPr>
              <w:pStyle w:val="TableParagraph"/>
              <w:ind w:left="72"/>
              <w:rPr>
                <w:sz w:val="18"/>
              </w:rPr>
            </w:pPr>
            <w:r>
              <w:rPr>
                <w:sz w:val="18"/>
              </w:rPr>
              <w:t>Cantidad</w:t>
            </w:r>
            <w:r>
              <w:rPr>
                <w:spacing w:val="-13"/>
                <w:sz w:val="18"/>
              </w:rPr>
              <w:t> </w:t>
            </w:r>
            <w:r>
              <w:rPr>
                <w:sz w:val="18"/>
              </w:rPr>
              <w:t>de </w:t>
            </w:r>
            <w:r>
              <w:rPr>
                <w:spacing w:val="-2"/>
                <w:sz w:val="18"/>
              </w:rPr>
              <w:t>actividades realizadas</w:t>
            </w:r>
          </w:p>
        </w:tc>
        <w:tc>
          <w:tcPr>
            <w:tcW w:w="1939" w:type="dxa"/>
          </w:tcPr>
          <w:p>
            <w:pPr>
              <w:pStyle w:val="TableParagraph"/>
              <w:rPr>
                <w:b/>
                <w:sz w:val="18"/>
              </w:rPr>
            </w:pPr>
          </w:p>
          <w:p>
            <w:pPr>
              <w:pStyle w:val="TableParagraph"/>
              <w:spacing w:before="41"/>
              <w:rPr>
                <w:b/>
                <w:sz w:val="18"/>
              </w:rPr>
            </w:pPr>
          </w:p>
          <w:p>
            <w:pPr>
              <w:pStyle w:val="TableParagraph"/>
              <w:numPr>
                <w:ilvl w:val="0"/>
                <w:numId w:val="120"/>
              </w:numPr>
              <w:tabs>
                <w:tab w:pos="273" w:val="left" w:leader="none"/>
              </w:tabs>
              <w:spacing w:line="240" w:lineRule="auto" w:before="0" w:after="0"/>
              <w:ind w:left="68" w:right="325" w:firstLine="0"/>
              <w:jc w:val="left"/>
              <w:rPr>
                <w:sz w:val="18"/>
              </w:rPr>
            </w:pPr>
            <w:r>
              <w:rPr>
                <w:sz w:val="18"/>
              </w:rPr>
              <w:t>Respaldo de la actividad realizada (fotos, documento, lista de</w:t>
            </w:r>
            <w:r>
              <w:rPr>
                <w:spacing w:val="-3"/>
                <w:sz w:val="18"/>
              </w:rPr>
              <w:t> </w:t>
            </w:r>
            <w:r>
              <w:rPr>
                <w:spacing w:val="-2"/>
                <w:sz w:val="18"/>
              </w:rPr>
              <w:t>asistencia).</w:t>
            </w:r>
          </w:p>
        </w:tc>
        <w:tc>
          <w:tcPr>
            <w:tcW w:w="1343"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74"/>
              <w:rPr>
                <w:sz w:val="18"/>
              </w:rPr>
            </w:pPr>
            <w:r>
              <w:rPr>
                <w:spacing w:val="-2"/>
                <w:sz w:val="18"/>
              </w:rPr>
              <w:t>Proveeduría Institucional</w:t>
            </w:r>
          </w:p>
        </w:tc>
        <w:tc>
          <w:tcPr>
            <w:tcW w:w="1680" w:type="dxa"/>
          </w:tcPr>
          <w:p>
            <w:pPr>
              <w:pStyle w:val="TableParagraph"/>
              <w:rPr>
                <w:rFonts w:ascii="Times New Roman"/>
                <w:sz w:val="18"/>
              </w:rPr>
            </w:pPr>
          </w:p>
        </w:tc>
        <w:tc>
          <w:tcPr>
            <w:tcW w:w="2693" w:type="dxa"/>
            <w:vMerge/>
            <w:tcBorders>
              <w:top w:val="nil"/>
            </w:tcBorders>
          </w:tcPr>
          <w:p>
            <w:pPr>
              <w:rPr>
                <w:sz w:val="2"/>
                <w:szCs w:val="2"/>
              </w:rPr>
            </w:pPr>
          </w:p>
        </w:tc>
      </w:tr>
    </w:tbl>
    <w:p>
      <w:pPr>
        <w:spacing w:after="0"/>
        <w:rPr>
          <w:sz w:val="2"/>
          <w:szCs w:val="2"/>
        </w:rPr>
        <w:sectPr>
          <w:pgSz w:w="15840" w:h="12240" w:orient="landscape"/>
          <w:pgMar w:header="0" w:footer="1806" w:top="700" w:bottom="2734"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5"/>
        <w:gridCol w:w="1445"/>
        <w:gridCol w:w="1181"/>
        <w:gridCol w:w="1564"/>
        <w:gridCol w:w="1939"/>
        <w:gridCol w:w="1343"/>
        <w:gridCol w:w="1680"/>
        <w:gridCol w:w="2693"/>
      </w:tblGrid>
      <w:tr>
        <w:trPr>
          <w:trHeight w:val="854" w:hRule="atLeast"/>
        </w:trPr>
        <w:tc>
          <w:tcPr>
            <w:tcW w:w="2545" w:type="dxa"/>
            <w:shd w:val="clear" w:color="auto" w:fill="F1F1F1"/>
          </w:tcPr>
          <w:p>
            <w:pPr>
              <w:pStyle w:val="TableParagraph"/>
              <w:spacing w:before="118"/>
              <w:rPr>
                <w:b/>
                <w:sz w:val="18"/>
              </w:rPr>
            </w:pPr>
          </w:p>
          <w:p>
            <w:pPr>
              <w:pStyle w:val="TableParagraph"/>
              <w:ind w:left="302"/>
              <w:rPr>
                <w:b/>
                <w:sz w:val="18"/>
              </w:rPr>
            </w:pPr>
            <w:r>
              <w:rPr>
                <w:b/>
                <w:sz w:val="18"/>
              </w:rPr>
              <w:t>Objetivos</w:t>
            </w:r>
            <w:r>
              <w:rPr>
                <w:b/>
                <w:spacing w:val="-5"/>
                <w:sz w:val="18"/>
              </w:rPr>
              <w:t> </w:t>
            </w:r>
            <w:r>
              <w:rPr>
                <w:b/>
                <w:sz w:val="18"/>
              </w:rPr>
              <w:t>/</w:t>
            </w:r>
            <w:r>
              <w:rPr>
                <w:b/>
                <w:spacing w:val="-2"/>
                <w:sz w:val="18"/>
              </w:rPr>
              <w:t> Resultados</w:t>
            </w:r>
          </w:p>
        </w:tc>
        <w:tc>
          <w:tcPr>
            <w:tcW w:w="1445" w:type="dxa"/>
            <w:shd w:val="clear" w:color="auto" w:fill="F1F1F1"/>
          </w:tcPr>
          <w:p>
            <w:pPr>
              <w:pStyle w:val="TableParagraph"/>
              <w:spacing w:before="12"/>
              <w:rPr>
                <w:b/>
                <w:sz w:val="18"/>
              </w:rPr>
            </w:pPr>
          </w:p>
          <w:p>
            <w:pPr>
              <w:pStyle w:val="TableParagraph"/>
              <w:ind w:left="465" w:hanging="216"/>
              <w:rPr>
                <w:b/>
                <w:sz w:val="18"/>
              </w:rPr>
            </w:pPr>
            <w:r>
              <w:rPr>
                <w:b/>
                <w:sz w:val="18"/>
              </w:rPr>
              <w:t>Línea</w:t>
            </w:r>
            <w:r>
              <w:rPr>
                <w:b/>
                <w:spacing w:val="-13"/>
                <w:sz w:val="18"/>
              </w:rPr>
              <w:t> </w:t>
            </w:r>
            <w:r>
              <w:rPr>
                <w:b/>
                <w:sz w:val="18"/>
              </w:rPr>
              <w:t>Base </w:t>
            </w:r>
            <w:r>
              <w:rPr>
                <w:b/>
                <w:spacing w:val="-2"/>
                <w:sz w:val="18"/>
              </w:rPr>
              <w:t>(2024)</w:t>
            </w:r>
          </w:p>
        </w:tc>
        <w:tc>
          <w:tcPr>
            <w:tcW w:w="1181" w:type="dxa"/>
            <w:shd w:val="clear" w:color="auto" w:fill="F1F1F1"/>
          </w:tcPr>
          <w:p>
            <w:pPr>
              <w:pStyle w:val="TableParagraph"/>
              <w:spacing w:line="242" w:lineRule="auto" w:before="114"/>
              <w:ind w:left="72" w:right="50" w:hanging="10"/>
              <w:jc w:val="center"/>
              <w:rPr>
                <w:b/>
                <w:sz w:val="18"/>
              </w:rPr>
            </w:pPr>
            <w:r>
              <w:rPr>
                <w:b/>
                <w:spacing w:val="-4"/>
                <w:sz w:val="18"/>
              </w:rPr>
              <w:t>Meta </w:t>
            </w:r>
            <w:r>
              <w:rPr>
                <w:b/>
                <w:spacing w:val="-2"/>
                <w:sz w:val="18"/>
              </w:rPr>
              <w:t>programada </w:t>
            </w:r>
            <w:r>
              <w:rPr>
                <w:b/>
                <w:spacing w:val="-4"/>
                <w:sz w:val="18"/>
              </w:rPr>
              <w:t>2026</w:t>
            </w:r>
          </w:p>
        </w:tc>
        <w:tc>
          <w:tcPr>
            <w:tcW w:w="1564" w:type="dxa"/>
            <w:shd w:val="clear" w:color="auto" w:fill="F1F1F1"/>
          </w:tcPr>
          <w:p>
            <w:pPr>
              <w:pStyle w:val="TableParagraph"/>
              <w:spacing w:before="118"/>
              <w:rPr>
                <w:b/>
                <w:sz w:val="18"/>
              </w:rPr>
            </w:pPr>
          </w:p>
          <w:p>
            <w:pPr>
              <w:pStyle w:val="TableParagraph"/>
              <w:ind w:left="374"/>
              <w:rPr>
                <w:b/>
                <w:sz w:val="18"/>
              </w:rPr>
            </w:pPr>
            <w:r>
              <w:rPr>
                <w:b/>
                <w:spacing w:val="-2"/>
                <w:sz w:val="18"/>
              </w:rPr>
              <w:t>Indicador</w:t>
            </w:r>
          </w:p>
        </w:tc>
        <w:tc>
          <w:tcPr>
            <w:tcW w:w="1939" w:type="dxa"/>
            <w:shd w:val="clear" w:color="auto" w:fill="F1F1F1"/>
          </w:tcPr>
          <w:p>
            <w:pPr>
              <w:pStyle w:val="TableParagraph"/>
              <w:spacing w:before="12"/>
              <w:rPr>
                <w:b/>
                <w:sz w:val="18"/>
              </w:rPr>
            </w:pPr>
          </w:p>
          <w:p>
            <w:pPr>
              <w:pStyle w:val="TableParagraph"/>
              <w:ind w:left="467" w:firstLine="57"/>
              <w:rPr>
                <w:b/>
                <w:sz w:val="18"/>
              </w:rPr>
            </w:pPr>
            <w:r>
              <w:rPr>
                <w:b/>
                <w:sz w:val="18"/>
              </w:rPr>
              <w:t>Medios de </w:t>
            </w:r>
            <w:r>
              <w:rPr>
                <w:b/>
                <w:spacing w:val="-2"/>
                <w:sz w:val="18"/>
              </w:rPr>
              <w:t>verificación</w:t>
            </w:r>
          </w:p>
        </w:tc>
        <w:tc>
          <w:tcPr>
            <w:tcW w:w="1343" w:type="dxa"/>
            <w:shd w:val="clear" w:color="auto" w:fill="F1F1F1"/>
          </w:tcPr>
          <w:p>
            <w:pPr>
              <w:pStyle w:val="TableParagraph"/>
              <w:spacing w:before="118"/>
              <w:rPr>
                <w:b/>
                <w:sz w:val="18"/>
              </w:rPr>
            </w:pPr>
          </w:p>
          <w:p>
            <w:pPr>
              <w:pStyle w:val="TableParagraph"/>
              <w:ind w:left="117"/>
              <w:rPr>
                <w:b/>
                <w:sz w:val="18"/>
              </w:rPr>
            </w:pPr>
            <w:r>
              <w:rPr>
                <w:b/>
                <w:spacing w:val="-2"/>
                <w:sz w:val="18"/>
              </w:rPr>
              <w:t>Responsable</w:t>
            </w:r>
          </w:p>
        </w:tc>
        <w:tc>
          <w:tcPr>
            <w:tcW w:w="1680" w:type="dxa"/>
            <w:shd w:val="clear" w:color="auto" w:fill="F1F1F1"/>
          </w:tcPr>
          <w:p>
            <w:pPr>
              <w:pStyle w:val="TableParagraph"/>
              <w:spacing w:before="12"/>
              <w:rPr>
                <w:b/>
                <w:sz w:val="18"/>
              </w:rPr>
            </w:pPr>
          </w:p>
          <w:p>
            <w:pPr>
              <w:pStyle w:val="TableParagraph"/>
              <w:ind w:left="450" w:hanging="154"/>
              <w:rPr>
                <w:b/>
                <w:sz w:val="18"/>
              </w:rPr>
            </w:pPr>
            <w:r>
              <w:rPr>
                <w:b/>
                <w:spacing w:val="-2"/>
                <w:sz w:val="18"/>
              </w:rPr>
              <w:t>Presupuesto asignado</w:t>
            </w:r>
          </w:p>
        </w:tc>
        <w:tc>
          <w:tcPr>
            <w:tcW w:w="2693" w:type="dxa"/>
            <w:shd w:val="clear" w:color="auto" w:fill="F1F1F1"/>
          </w:tcPr>
          <w:p>
            <w:pPr>
              <w:pStyle w:val="TableParagraph"/>
              <w:spacing w:before="118"/>
              <w:rPr>
                <w:b/>
                <w:sz w:val="18"/>
              </w:rPr>
            </w:pPr>
          </w:p>
          <w:p>
            <w:pPr>
              <w:pStyle w:val="TableParagraph"/>
              <w:ind w:left="532"/>
              <w:rPr>
                <w:b/>
                <w:sz w:val="18"/>
              </w:rPr>
            </w:pPr>
            <w:r>
              <w:rPr>
                <w:b/>
                <w:sz w:val="18"/>
              </w:rPr>
              <w:t>Riesgos</w:t>
            </w:r>
            <w:r>
              <w:rPr>
                <w:b/>
                <w:spacing w:val="-4"/>
                <w:sz w:val="18"/>
              </w:rPr>
              <w:t> </w:t>
            </w:r>
            <w:r>
              <w:rPr>
                <w:b/>
                <w:spacing w:val="-2"/>
                <w:sz w:val="18"/>
              </w:rPr>
              <w:t>asociados</w:t>
            </w:r>
          </w:p>
        </w:tc>
      </w:tr>
      <w:tr>
        <w:trPr>
          <w:trHeight w:val="3812" w:hRule="atLeast"/>
        </w:trPr>
        <w:tc>
          <w:tcPr>
            <w:tcW w:w="2545"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72" w:right="81"/>
              <w:rPr>
                <w:sz w:val="18"/>
              </w:rPr>
            </w:pPr>
            <w:r>
              <w:rPr>
                <w:b/>
                <w:sz w:val="18"/>
              </w:rPr>
              <w:t>Actividad PAC 2.42.10: </w:t>
            </w:r>
            <w:r>
              <w:rPr>
                <w:sz w:val="18"/>
              </w:rPr>
              <w:t>Atender</w:t>
            </w:r>
            <w:r>
              <w:rPr>
                <w:spacing w:val="-8"/>
                <w:sz w:val="18"/>
              </w:rPr>
              <w:t> </w:t>
            </w:r>
            <w:r>
              <w:rPr>
                <w:sz w:val="18"/>
              </w:rPr>
              <w:t>solicitud</w:t>
            </w:r>
            <w:r>
              <w:rPr>
                <w:spacing w:val="-10"/>
                <w:sz w:val="18"/>
              </w:rPr>
              <w:t> </w:t>
            </w:r>
            <w:r>
              <w:rPr>
                <w:sz w:val="18"/>
              </w:rPr>
              <w:t>de</w:t>
            </w:r>
            <w:r>
              <w:rPr>
                <w:spacing w:val="-6"/>
                <w:sz w:val="18"/>
              </w:rPr>
              <w:t> </w:t>
            </w:r>
            <w:r>
              <w:rPr>
                <w:sz w:val="18"/>
              </w:rPr>
              <w:t>la</w:t>
            </w:r>
            <w:r>
              <w:rPr>
                <w:spacing w:val="-10"/>
                <w:sz w:val="18"/>
              </w:rPr>
              <w:t> </w:t>
            </w:r>
            <w:r>
              <w:rPr>
                <w:sz w:val="18"/>
              </w:rPr>
              <w:t>unidad solicitantes de incluir en el pliego de condiciones, en el apartado de Evaluación de ofertas</w:t>
            </w:r>
            <w:r>
              <w:rPr>
                <w:spacing w:val="-8"/>
                <w:sz w:val="18"/>
              </w:rPr>
              <w:t> </w:t>
            </w:r>
            <w:r>
              <w:rPr>
                <w:sz w:val="18"/>
              </w:rPr>
              <w:t>de</w:t>
            </w:r>
            <w:r>
              <w:rPr>
                <w:spacing w:val="-8"/>
                <w:sz w:val="18"/>
              </w:rPr>
              <w:t> </w:t>
            </w:r>
            <w:r>
              <w:rPr>
                <w:sz w:val="18"/>
              </w:rPr>
              <w:t>los</w:t>
            </w:r>
            <w:r>
              <w:rPr>
                <w:spacing w:val="-8"/>
                <w:sz w:val="18"/>
              </w:rPr>
              <w:t> </w:t>
            </w:r>
            <w:r>
              <w:rPr>
                <w:sz w:val="18"/>
              </w:rPr>
              <w:t>procedimientos de contratación pública y según el objeto contractual, criterios relacionados con buenas prácticas en materia de cumplimiento en igualdad de género.</w:t>
            </w:r>
          </w:p>
        </w:tc>
        <w:tc>
          <w:tcPr>
            <w:tcW w:w="14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8"/>
              <w:rPr>
                <w:b/>
                <w:sz w:val="18"/>
              </w:rPr>
            </w:pPr>
          </w:p>
          <w:p>
            <w:pPr>
              <w:pStyle w:val="TableParagraph"/>
              <w:spacing w:before="1"/>
              <w:ind w:left="17" w:right="7"/>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8"/>
              <w:rPr>
                <w:b/>
                <w:sz w:val="18"/>
              </w:rPr>
            </w:pPr>
          </w:p>
          <w:p>
            <w:pPr>
              <w:pStyle w:val="TableParagraph"/>
              <w:spacing w:before="1"/>
              <w:ind w:left="360"/>
              <w:rPr>
                <w:sz w:val="18"/>
              </w:rPr>
            </w:pPr>
            <w:r>
              <w:rPr>
                <w:spacing w:val="-4"/>
                <w:sz w:val="18"/>
              </w:rPr>
              <w:t>100%</w:t>
            </w:r>
          </w:p>
        </w:tc>
        <w:tc>
          <w:tcPr>
            <w:tcW w:w="156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4"/>
              <w:rPr>
                <w:b/>
                <w:sz w:val="18"/>
              </w:rPr>
            </w:pPr>
          </w:p>
          <w:p>
            <w:pPr>
              <w:pStyle w:val="TableParagraph"/>
              <w:ind w:left="72" w:right="114"/>
              <w:rPr>
                <w:sz w:val="18"/>
              </w:rPr>
            </w:pPr>
            <w:r>
              <w:rPr>
                <w:sz w:val="18"/>
              </w:rPr>
              <w:t>porcentaje de solicitudes que incluyen el requisito de buenas</w:t>
            </w:r>
            <w:r>
              <w:rPr>
                <w:spacing w:val="-13"/>
                <w:sz w:val="18"/>
              </w:rPr>
              <w:t> </w:t>
            </w:r>
            <w:r>
              <w:rPr>
                <w:sz w:val="18"/>
              </w:rPr>
              <w:t>prácticas en materia de igualdad de </w:t>
            </w:r>
            <w:r>
              <w:rPr>
                <w:spacing w:val="-2"/>
                <w:sz w:val="18"/>
              </w:rPr>
              <w:t>género</w:t>
            </w:r>
          </w:p>
        </w:tc>
        <w:tc>
          <w:tcPr>
            <w:tcW w:w="19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4"/>
              <w:rPr>
                <w:b/>
                <w:sz w:val="18"/>
              </w:rPr>
            </w:pPr>
          </w:p>
          <w:p>
            <w:pPr>
              <w:pStyle w:val="TableParagraph"/>
              <w:spacing w:line="242" w:lineRule="auto"/>
              <w:ind w:left="68" w:right="163"/>
              <w:jc w:val="both"/>
              <w:rPr>
                <w:sz w:val="18"/>
              </w:rPr>
            </w:pPr>
            <w:r>
              <w:rPr>
                <w:sz w:val="18"/>
              </w:rPr>
              <w:t>1.</w:t>
            </w:r>
            <w:r>
              <w:rPr>
                <w:spacing w:val="-15"/>
                <w:sz w:val="18"/>
              </w:rPr>
              <w:t> </w:t>
            </w:r>
            <w:r>
              <w:rPr>
                <w:sz w:val="18"/>
              </w:rPr>
              <w:t>Procedimientos</w:t>
            </w:r>
            <w:r>
              <w:rPr>
                <w:spacing w:val="-12"/>
                <w:sz w:val="18"/>
              </w:rPr>
              <w:t> </w:t>
            </w:r>
            <w:r>
              <w:rPr>
                <w:sz w:val="18"/>
              </w:rPr>
              <w:t>de Contratación</w:t>
            </w:r>
            <w:r>
              <w:rPr>
                <w:spacing w:val="-4"/>
                <w:sz w:val="18"/>
              </w:rPr>
              <w:t> </w:t>
            </w:r>
            <w:r>
              <w:rPr>
                <w:sz w:val="18"/>
              </w:rPr>
              <w:t>Pública </w:t>
            </w:r>
            <w:r>
              <w:rPr>
                <w:spacing w:val="-2"/>
                <w:sz w:val="18"/>
              </w:rPr>
              <w:t>publicados.</w:t>
            </w:r>
          </w:p>
        </w:tc>
        <w:tc>
          <w:tcPr>
            <w:tcW w:w="134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3"/>
              <w:rPr>
                <w:b/>
                <w:sz w:val="18"/>
              </w:rPr>
            </w:pPr>
          </w:p>
          <w:p>
            <w:pPr>
              <w:pStyle w:val="TableParagraph"/>
              <w:ind w:left="74"/>
              <w:rPr>
                <w:sz w:val="18"/>
              </w:rPr>
            </w:pPr>
            <w:r>
              <w:rPr>
                <w:spacing w:val="-2"/>
                <w:sz w:val="18"/>
              </w:rPr>
              <w:t>Proveeduría Institucional</w:t>
            </w:r>
          </w:p>
        </w:tc>
        <w:tc>
          <w:tcPr>
            <w:tcW w:w="1680" w:type="dxa"/>
          </w:tcPr>
          <w:p>
            <w:pPr>
              <w:pStyle w:val="TableParagraph"/>
              <w:rPr>
                <w:rFonts w:ascii="Times New Roman"/>
                <w:sz w:val="18"/>
              </w:rPr>
            </w:pPr>
          </w:p>
        </w:tc>
        <w:tc>
          <w:tcPr>
            <w:tcW w:w="2693"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5"/>
        <w:gridCol w:w="1445"/>
        <w:gridCol w:w="1181"/>
        <w:gridCol w:w="1564"/>
        <w:gridCol w:w="1939"/>
        <w:gridCol w:w="1343"/>
        <w:gridCol w:w="1680"/>
        <w:gridCol w:w="2693"/>
      </w:tblGrid>
      <w:tr>
        <w:trPr>
          <w:trHeight w:val="854" w:hRule="atLeast"/>
        </w:trPr>
        <w:tc>
          <w:tcPr>
            <w:tcW w:w="2545" w:type="dxa"/>
            <w:shd w:val="clear" w:color="auto" w:fill="F1F1F1"/>
          </w:tcPr>
          <w:p>
            <w:pPr>
              <w:pStyle w:val="TableParagraph"/>
              <w:spacing w:before="118"/>
              <w:rPr>
                <w:b/>
                <w:sz w:val="18"/>
              </w:rPr>
            </w:pPr>
          </w:p>
          <w:p>
            <w:pPr>
              <w:pStyle w:val="TableParagraph"/>
              <w:ind w:left="302"/>
              <w:rPr>
                <w:b/>
                <w:sz w:val="18"/>
              </w:rPr>
            </w:pPr>
            <w:r>
              <w:rPr>
                <w:b/>
                <w:sz w:val="18"/>
              </w:rPr>
              <w:t>Objetivos</w:t>
            </w:r>
            <w:r>
              <w:rPr>
                <w:b/>
                <w:spacing w:val="-5"/>
                <w:sz w:val="18"/>
              </w:rPr>
              <w:t> </w:t>
            </w:r>
            <w:r>
              <w:rPr>
                <w:b/>
                <w:sz w:val="18"/>
              </w:rPr>
              <w:t>/</w:t>
            </w:r>
            <w:r>
              <w:rPr>
                <w:b/>
                <w:spacing w:val="-2"/>
                <w:sz w:val="18"/>
              </w:rPr>
              <w:t> Resultados</w:t>
            </w:r>
          </w:p>
        </w:tc>
        <w:tc>
          <w:tcPr>
            <w:tcW w:w="1445" w:type="dxa"/>
            <w:shd w:val="clear" w:color="auto" w:fill="F1F1F1"/>
          </w:tcPr>
          <w:p>
            <w:pPr>
              <w:pStyle w:val="TableParagraph"/>
              <w:spacing w:before="12"/>
              <w:rPr>
                <w:b/>
                <w:sz w:val="18"/>
              </w:rPr>
            </w:pPr>
          </w:p>
          <w:p>
            <w:pPr>
              <w:pStyle w:val="TableParagraph"/>
              <w:ind w:left="465" w:hanging="216"/>
              <w:rPr>
                <w:b/>
                <w:sz w:val="18"/>
              </w:rPr>
            </w:pPr>
            <w:r>
              <w:rPr>
                <w:b/>
                <w:sz w:val="18"/>
              </w:rPr>
              <w:t>Línea</w:t>
            </w:r>
            <w:r>
              <w:rPr>
                <w:b/>
                <w:spacing w:val="-13"/>
                <w:sz w:val="18"/>
              </w:rPr>
              <w:t> </w:t>
            </w:r>
            <w:r>
              <w:rPr>
                <w:b/>
                <w:sz w:val="18"/>
              </w:rPr>
              <w:t>Base </w:t>
            </w:r>
            <w:r>
              <w:rPr>
                <w:b/>
                <w:spacing w:val="-2"/>
                <w:sz w:val="18"/>
              </w:rPr>
              <w:t>(2024)</w:t>
            </w:r>
          </w:p>
        </w:tc>
        <w:tc>
          <w:tcPr>
            <w:tcW w:w="1181" w:type="dxa"/>
            <w:shd w:val="clear" w:color="auto" w:fill="F1F1F1"/>
          </w:tcPr>
          <w:p>
            <w:pPr>
              <w:pStyle w:val="TableParagraph"/>
              <w:spacing w:line="242" w:lineRule="auto" w:before="114"/>
              <w:ind w:left="72" w:right="50" w:hanging="10"/>
              <w:jc w:val="center"/>
              <w:rPr>
                <w:b/>
                <w:sz w:val="18"/>
              </w:rPr>
            </w:pPr>
            <w:r>
              <w:rPr>
                <w:b/>
                <w:spacing w:val="-4"/>
                <w:sz w:val="18"/>
              </w:rPr>
              <w:t>Meta </w:t>
            </w:r>
            <w:r>
              <w:rPr>
                <w:b/>
                <w:spacing w:val="-2"/>
                <w:sz w:val="18"/>
              </w:rPr>
              <w:t>programada </w:t>
            </w:r>
            <w:r>
              <w:rPr>
                <w:b/>
                <w:spacing w:val="-4"/>
                <w:sz w:val="18"/>
              </w:rPr>
              <w:t>2026</w:t>
            </w:r>
          </w:p>
        </w:tc>
        <w:tc>
          <w:tcPr>
            <w:tcW w:w="1564" w:type="dxa"/>
            <w:shd w:val="clear" w:color="auto" w:fill="F1F1F1"/>
          </w:tcPr>
          <w:p>
            <w:pPr>
              <w:pStyle w:val="TableParagraph"/>
              <w:spacing w:before="118"/>
              <w:rPr>
                <w:b/>
                <w:sz w:val="18"/>
              </w:rPr>
            </w:pPr>
          </w:p>
          <w:p>
            <w:pPr>
              <w:pStyle w:val="TableParagraph"/>
              <w:ind w:left="374"/>
              <w:rPr>
                <w:b/>
                <w:sz w:val="18"/>
              </w:rPr>
            </w:pPr>
            <w:r>
              <w:rPr>
                <w:b/>
                <w:spacing w:val="-2"/>
                <w:sz w:val="18"/>
              </w:rPr>
              <w:t>Indicador</w:t>
            </w:r>
          </w:p>
        </w:tc>
        <w:tc>
          <w:tcPr>
            <w:tcW w:w="1939" w:type="dxa"/>
            <w:shd w:val="clear" w:color="auto" w:fill="F1F1F1"/>
          </w:tcPr>
          <w:p>
            <w:pPr>
              <w:pStyle w:val="TableParagraph"/>
              <w:spacing w:before="12"/>
              <w:rPr>
                <w:b/>
                <w:sz w:val="18"/>
              </w:rPr>
            </w:pPr>
          </w:p>
          <w:p>
            <w:pPr>
              <w:pStyle w:val="TableParagraph"/>
              <w:ind w:left="467" w:firstLine="57"/>
              <w:rPr>
                <w:b/>
                <w:sz w:val="18"/>
              </w:rPr>
            </w:pPr>
            <w:r>
              <w:rPr>
                <w:b/>
                <w:sz w:val="18"/>
              </w:rPr>
              <w:t>Medios de </w:t>
            </w:r>
            <w:r>
              <w:rPr>
                <w:b/>
                <w:spacing w:val="-2"/>
                <w:sz w:val="18"/>
              </w:rPr>
              <w:t>verificación</w:t>
            </w:r>
          </w:p>
        </w:tc>
        <w:tc>
          <w:tcPr>
            <w:tcW w:w="1343" w:type="dxa"/>
            <w:shd w:val="clear" w:color="auto" w:fill="F1F1F1"/>
          </w:tcPr>
          <w:p>
            <w:pPr>
              <w:pStyle w:val="TableParagraph"/>
              <w:spacing w:before="118"/>
              <w:rPr>
                <w:b/>
                <w:sz w:val="18"/>
              </w:rPr>
            </w:pPr>
          </w:p>
          <w:p>
            <w:pPr>
              <w:pStyle w:val="TableParagraph"/>
              <w:ind w:left="117"/>
              <w:rPr>
                <w:b/>
                <w:sz w:val="18"/>
              </w:rPr>
            </w:pPr>
            <w:r>
              <w:rPr>
                <w:b/>
                <w:spacing w:val="-2"/>
                <w:sz w:val="18"/>
              </w:rPr>
              <w:t>Responsable</w:t>
            </w:r>
          </w:p>
        </w:tc>
        <w:tc>
          <w:tcPr>
            <w:tcW w:w="1680" w:type="dxa"/>
            <w:shd w:val="clear" w:color="auto" w:fill="F1F1F1"/>
          </w:tcPr>
          <w:p>
            <w:pPr>
              <w:pStyle w:val="TableParagraph"/>
              <w:spacing w:before="12"/>
              <w:rPr>
                <w:b/>
                <w:sz w:val="18"/>
              </w:rPr>
            </w:pPr>
          </w:p>
          <w:p>
            <w:pPr>
              <w:pStyle w:val="TableParagraph"/>
              <w:ind w:left="450" w:hanging="154"/>
              <w:rPr>
                <w:b/>
                <w:sz w:val="18"/>
              </w:rPr>
            </w:pPr>
            <w:r>
              <w:rPr>
                <w:b/>
                <w:spacing w:val="-2"/>
                <w:sz w:val="18"/>
              </w:rPr>
              <w:t>Presupuesto asignado</w:t>
            </w:r>
          </w:p>
        </w:tc>
        <w:tc>
          <w:tcPr>
            <w:tcW w:w="2693" w:type="dxa"/>
            <w:shd w:val="clear" w:color="auto" w:fill="F1F1F1"/>
          </w:tcPr>
          <w:p>
            <w:pPr>
              <w:pStyle w:val="TableParagraph"/>
              <w:spacing w:before="118"/>
              <w:rPr>
                <w:b/>
                <w:sz w:val="18"/>
              </w:rPr>
            </w:pPr>
          </w:p>
          <w:p>
            <w:pPr>
              <w:pStyle w:val="TableParagraph"/>
              <w:ind w:left="532"/>
              <w:rPr>
                <w:b/>
                <w:sz w:val="18"/>
              </w:rPr>
            </w:pPr>
            <w:r>
              <w:rPr>
                <w:b/>
                <w:sz w:val="18"/>
              </w:rPr>
              <w:t>Riesgos</w:t>
            </w:r>
            <w:r>
              <w:rPr>
                <w:b/>
                <w:spacing w:val="-4"/>
                <w:sz w:val="18"/>
              </w:rPr>
              <w:t> </w:t>
            </w:r>
            <w:r>
              <w:rPr>
                <w:b/>
                <w:spacing w:val="-2"/>
                <w:sz w:val="18"/>
              </w:rPr>
              <w:t>asociados</w:t>
            </w:r>
          </w:p>
        </w:tc>
      </w:tr>
      <w:tr>
        <w:trPr>
          <w:trHeight w:val="4427" w:hRule="atLeast"/>
        </w:trPr>
        <w:tc>
          <w:tcPr>
            <w:tcW w:w="2545" w:type="dxa"/>
          </w:tcPr>
          <w:p>
            <w:pPr>
              <w:pStyle w:val="TableParagraph"/>
              <w:spacing w:before="143"/>
              <w:ind w:left="72" w:right="93"/>
              <w:rPr>
                <w:sz w:val="18"/>
              </w:rPr>
            </w:pPr>
            <w:r>
              <w:rPr>
                <w:b/>
                <w:sz w:val="18"/>
              </w:rPr>
              <w:t>Actividad PAC 2.42.11: </w:t>
            </w:r>
            <w:r>
              <w:rPr>
                <w:sz w:val="18"/>
              </w:rPr>
              <w:t>Atender</w:t>
            </w:r>
            <w:r>
              <w:rPr>
                <w:spacing w:val="-8"/>
                <w:sz w:val="18"/>
              </w:rPr>
              <w:t> </w:t>
            </w:r>
            <w:r>
              <w:rPr>
                <w:sz w:val="18"/>
              </w:rPr>
              <w:t>solicitud</w:t>
            </w:r>
            <w:r>
              <w:rPr>
                <w:spacing w:val="-10"/>
                <w:sz w:val="18"/>
              </w:rPr>
              <w:t> </w:t>
            </w:r>
            <w:r>
              <w:rPr>
                <w:sz w:val="18"/>
              </w:rPr>
              <w:t>de</w:t>
            </w:r>
            <w:r>
              <w:rPr>
                <w:spacing w:val="-6"/>
                <w:sz w:val="18"/>
              </w:rPr>
              <w:t> </w:t>
            </w:r>
            <w:r>
              <w:rPr>
                <w:sz w:val="18"/>
              </w:rPr>
              <w:t>la</w:t>
            </w:r>
            <w:r>
              <w:rPr>
                <w:spacing w:val="-10"/>
                <w:sz w:val="18"/>
              </w:rPr>
              <w:t> </w:t>
            </w:r>
            <w:r>
              <w:rPr>
                <w:sz w:val="18"/>
              </w:rPr>
              <w:t>unidad solicitantes de incluir en el pliego de condiciones, en el apartado de Evaluación de ofertas</w:t>
            </w:r>
            <w:r>
              <w:rPr>
                <w:spacing w:val="-8"/>
                <w:sz w:val="18"/>
              </w:rPr>
              <w:t> </w:t>
            </w:r>
            <w:r>
              <w:rPr>
                <w:sz w:val="18"/>
              </w:rPr>
              <w:t>de</w:t>
            </w:r>
            <w:r>
              <w:rPr>
                <w:spacing w:val="-8"/>
                <w:sz w:val="18"/>
              </w:rPr>
              <w:t> </w:t>
            </w:r>
            <w:r>
              <w:rPr>
                <w:sz w:val="18"/>
              </w:rPr>
              <w:t>los</w:t>
            </w:r>
            <w:r>
              <w:rPr>
                <w:spacing w:val="-8"/>
                <w:sz w:val="18"/>
              </w:rPr>
              <w:t> </w:t>
            </w:r>
            <w:r>
              <w:rPr>
                <w:sz w:val="18"/>
              </w:rPr>
              <w:t>procedimientos de contratación pública y según el objeto contractual, criterios de desarrollo social, promoción de la sostenibilidad ambiental, promoción de innovación y promoción de participación PYMES en los procedimientos de contratación que hayan sido declarados licitación estratégica, de innovación o de participación de las </w:t>
            </w:r>
            <w:r>
              <w:rPr>
                <w:spacing w:val="-2"/>
                <w:sz w:val="18"/>
              </w:rPr>
              <w:t>PYMES</w:t>
            </w:r>
          </w:p>
        </w:tc>
        <w:tc>
          <w:tcPr>
            <w:tcW w:w="14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2"/>
              <w:rPr>
                <w:b/>
                <w:sz w:val="18"/>
              </w:rPr>
            </w:pPr>
          </w:p>
          <w:p>
            <w:pPr>
              <w:pStyle w:val="TableParagraph"/>
              <w:ind w:left="17" w:right="7"/>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2"/>
              <w:rPr>
                <w:b/>
                <w:sz w:val="18"/>
              </w:rPr>
            </w:pPr>
          </w:p>
          <w:p>
            <w:pPr>
              <w:pStyle w:val="TableParagraph"/>
              <w:ind w:left="28" w:right="16"/>
              <w:jc w:val="center"/>
              <w:rPr>
                <w:sz w:val="18"/>
              </w:rPr>
            </w:pPr>
            <w:r>
              <w:rPr>
                <w:spacing w:val="-4"/>
                <w:sz w:val="18"/>
              </w:rPr>
              <w:t>100%</w:t>
            </w:r>
          </w:p>
        </w:tc>
        <w:tc>
          <w:tcPr>
            <w:tcW w:w="156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left="72" w:right="114"/>
              <w:rPr>
                <w:sz w:val="18"/>
              </w:rPr>
            </w:pPr>
            <w:r>
              <w:rPr>
                <w:sz w:val="18"/>
              </w:rPr>
              <w:t>Porcentaje de solicitudes que incluyen el requisito</w:t>
            </w:r>
            <w:r>
              <w:rPr>
                <w:spacing w:val="-13"/>
                <w:sz w:val="18"/>
              </w:rPr>
              <w:t> </w:t>
            </w:r>
            <w:r>
              <w:rPr>
                <w:sz w:val="18"/>
              </w:rPr>
              <w:t>criterios </w:t>
            </w:r>
            <w:r>
              <w:rPr>
                <w:spacing w:val="-2"/>
                <w:sz w:val="18"/>
              </w:rPr>
              <w:t>sociales, </w:t>
            </w:r>
            <w:r>
              <w:rPr>
                <w:sz w:val="18"/>
              </w:rPr>
              <w:t>innovación y </w:t>
            </w:r>
            <w:r>
              <w:rPr>
                <w:spacing w:val="-2"/>
                <w:sz w:val="18"/>
              </w:rPr>
              <w:t>pymes</w:t>
            </w:r>
          </w:p>
        </w:tc>
        <w:tc>
          <w:tcPr>
            <w:tcW w:w="19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8"/>
              <w:rPr>
                <w:b/>
                <w:sz w:val="18"/>
              </w:rPr>
            </w:pPr>
          </w:p>
          <w:p>
            <w:pPr>
              <w:pStyle w:val="TableParagraph"/>
              <w:numPr>
                <w:ilvl w:val="0"/>
                <w:numId w:val="121"/>
              </w:numPr>
              <w:tabs>
                <w:tab w:pos="273" w:val="left" w:leader="none"/>
              </w:tabs>
              <w:spacing w:line="242" w:lineRule="auto" w:before="0" w:after="0"/>
              <w:ind w:left="68" w:right="163" w:firstLine="0"/>
              <w:jc w:val="both"/>
              <w:rPr>
                <w:sz w:val="18"/>
              </w:rPr>
            </w:pPr>
            <w:r>
              <w:rPr>
                <w:sz w:val="18"/>
              </w:rPr>
              <w:t>Procedimientos</w:t>
            </w:r>
            <w:r>
              <w:rPr>
                <w:spacing w:val="-13"/>
                <w:sz w:val="18"/>
              </w:rPr>
              <w:t> </w:t>
            </w:r>
            <w:r>
              <w:rPr>
                <w:sz w:val="18"/>
              </w:rPr>
              <w:t>de Contratación</w:t>
            </w:r>
            <w:r>
              <w:rPr>
                <w:spacing w:val="-4"/>
                <w:sz w:val="18"/>
              </w:rPr>
              <w:t> </w:t>
            </w:r>
            <w:r>
              <w:rPr>
                <w:sz w:val="18"/>
              </w:rPr>
              <w:t>Pública </w:t>
            </w:r>
            <w:r>
              <w:rPr>
                <w:spacing w:val="-2"/>
                <w:sz w:val="18"/>
              </w:rPr>
              <w:t>publicados.</w:t>
            </w:r>
          </w:p>
          <w:p>
            <w:pPr>
              <w:pStyle w:val="TableParagraph"/>
              <w:numPr>
                <w:ilvl w:val="0"/>
                <w:numId w:val="121"/>
              </w:numPr>
              <w:tabs>
                <w:tab w:pos="273" w:val="left" w:leader="none"/>
              </w:tabs>
              <w:spacing w:line="204" w:lineRule="exact" w:before="0" w:after="0"/>
              <w:ind w:left="273" w:right="0" w:hanging="205"/>
              <w:jc w:val="both"/>
              <w:rPr>
                <w:sz w:val="18"/>
              </w:rPr>
            </w:pPr>
            <w:r>
              <w:rPr>
                <w:sz w:val="18"/>
              </w:rPr>
              <w:t>Reporte</w:t>
            </w:r>
            <w:r>
              <w:rPr>
                <w:spacing w:val="-7"/>
                <w:sz w:val="18"/>
              </w:rPr>
              <w:t> </w:t>
            </w:r>
            <w:r>
              <w:rPr>
                <w:sz w:val="18"/>
              </w:rPr>
              <w:t>de</w:t>
            </w:r>
            <w:r>
              <w:rPr>
                <w:spacing w:val="-2"/>
                <w:sz w:val="18"/>
              </w:rPr>
              <w:t> SICOP.</w:t>
            </w:r>
          </w:p>
          <w:p>
            <w:pPr>
              <w:pStyle w:val="TableParagraph"/>
              <w:numPr>
                <w:ilvl w:val="0"/>
                <w:numId w:val="121"/>
              </w:numPr>
              <w:tabs>
                <w:tab w:pos="273" w:val="left" w:leader="none"/>
              </w:tabs>
              <w:spacing w:line="240" w:lineRule="auto" w:before="0" w:after="0"/>
              <w:ind w:left="273" w:right="0" w:hanging="205"/>
              <w:jc w:val="both"/>
              <w:rPr>
                <w:sz w:val="18"/>
              </w:rPr>
            </w:pPr>
            <w:r>
              <w:rPr>
                <w:sz w:val="18"/>
              </w:rPr>
              <w:t>Reporte</w:t>
            </w:r>
            <w:r>
              <w:rPr>
                <w:spacing w:val="-11"/>
                <w:sz w:val="18"/>
              </w:rPr>
              <w:t> </w:t>
            </w:r>
            <w:r>
              <w:rPr>
                <w:spacing w:val="-4"/>
                <w:sz w:val="18"/>
              </w:rPr>
              <w:t>SAP.</w:t>
            </w:r>
          </w:p>
        </w:tc>
        <w:tc>
          <w:tcPr>
            <w:tcW w:w="134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3"/>
              <w:rPr>
                <w:b/>
                <w:sz w:val="18"/>
              </w:rPr>
            </w:pPr>
          </w:p>
          <w:p>
            <w:pPr>
              <w:pStyle w:val="TableParagraph"/>
              <w:ind w:left="74"/>
              <w:rPr>
                <w:sz w:val="18"/>
              </w:rPr>
            </w:pPr>
            <w:r>
              <w:rPr>
                <w:spacing w:val="-2"/>
                <w:sz w:val="18"/>
              </w:rPr>
              <w:t>Proveeduría Institucional</w:t>
            </w:r>
          </w:p>
        </w:tc>
        <w:tc>
          <w:tcPr>
            <w:tcW w:w="1680" w:type="dxa"/>
          </w:tcPr>
          <w:p>
            <w:pPr>
              <w:pStyle w:val="TableParagraph"/>
              <w:rPr>
                <w:rFonts w:ascii="Times New Roman"/>
                <w:sz w:val="18"/>
              </w:rPr>
            </w:pPr>
          </w:p>
        </w:tc>
        <w:tc>
          <w:tcPr>
            <w:tcW w:w="2693" w:type="dxa"/>
            <w:vMerge w:val="restart"/>
          </w:tcPr>
          <w:p>
            <w:pPr>
              <w:pStyle w:val="TableParagraph"/>
              <w:rPr>
                <w:rFonts w:ascii="Times New Roman"/>
                <w:sz w:val="18"/>
              </w:rPr>
            </w:pPr>
          </w:p>
        </w:tc>
      </w:tr>
      <w:tr>
        <w:trPr>
          <w:trHeight w:val="2866" w:hRule="atLeast"/>
        </w:trPr>
        <w:tc>
          <w:tcPr>
            <w:tcW w:w="2545" w:type="dxa"/>
          </w:tcPr>
          <w:p>
            <w:pPr>
              <w:pStyle w:val="TableParagraph"/>
              <w:rPr>
                <w:b/>
                <w:sz w:val="18"/>
              </w:rPr>
            </w:pPr>
          </w:p>
          <w:p>
            <w:pPr>
              <w:pStyle w:val="TableParagraph"/>
              <w:spacing w:before="89"/>
              <w:rPr>
                <w:b/>
                <w:sz w:val="18"/>
              </w:rPr>
            </w:pPr>
          </w:p>
          <w:p>
            <w:pPr>
              <w:pStyle w:val="TableParagraph"/>
              <w:ind w:left="72" w:right="78"/>
              <w:rPr>
                <w:sz w:val="18"/>
              </w:rPr>
            </w:pPr>
            <w:r>
              <w:rPr>
                <w:b/>
                <w:sz w:val="18"/>
              </w:rPr>
              <w:t>Actividad PAC 2.42.12: </w:t>
            </w:r>
            <w:r>
              <w:rPr>
                <w:sz w:val="18"/>
              </w:rPr>
              <w:t>Gestionar las solicitudes de contratación</w:t>
            </w:r>
            <w:r>
              <w:rPr>
                <w:spacing w:val="-15"/>
                <w:sz w:val="18"/>
              </w:rPr>
              <w:t> </w:t>
            </w:r>
            <w:r>
              <w:rPr>
                <w:sz w:val="18"/>
              </w:rPr>
              <w:t>pública</w:t>
            </w:r>
            <w:r>
              <w:rPr>
                <w:spacing w:val="-12"/>
                <w:sz w:val="18"/>
              </w:rPr>
              <w:t> </w:t>
            </w:r>
            <w:r>
              <w:rPr>
                <w:sz w:val="18"/>
              </w:rPr>
              <w:t>cargadas por las unidades administrativas en los sistemas SAP-SICOP, del equipo y mobiliario incluido</w:t>
            </w:r>
            <w:r>
              <w:rPr>
                <w:spacing w:val="40"/>
                <w:sz w:val="18"/>
              </w:rPr>
              <w:t> </w:t>
            </w:r>
            <w:r>
              <w:rPr>
                <w:sz w:val="18"/>
              </w:rPr>
              <w:t>en la partida presupuestaria </w:t>
            </w:r>
            <w:r>
              <w:rPr>
                <w:spacing w:val="-2"/>
                <w:sz w:val="18"/>
              </w:rPr>
              <w:t>5.01.04</w:t>
            </w:r>
          </w:p>
        </w:tc>
        <w:tc>
          <w:tcPr>
            <w:tcW w:w="14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17" w:right="7"/>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28" w:right="16"/>
              <w:jc w:val="center"/>
              <w:rPr>
                <w:sz w:val="18"/>
              </w:rPr>
            </w:pPr>
            <w:r>
              <w:rPr>
                <w:spacing w:val="-4"/>
                <w:sz w:val="18"/>
              </w:rPr>
              <w:t>100%</w:t>
            </w:r>
          </w:p>
        </w:tc>
        <w:tc>
          <w:tcPr>
            <w:tcW w:w="1564" w:type="dxa"/>
          </w:tcPr>
          <w:p>
            <w:pPr>
              <w:pStyle w:val="TableParagraph"/>
              <w:rPr>
                <w:b/>
                <w:sz w:val="18"/>
              </w:rPr>
            </w:pPr>
          </w:p>
          <w:p>
            <w:pPr>
              <w:pStyle w:val="TableParagraph"/>
              <w:rPr>
                <w:b/>
                <w:sz w:val="18"/>
              </w:rPr>
            </w:pPr>
          </w:p>
          <w:p>
            <w:pPr>
              <w:pStyle w:val="TableParagraph"/>
              <w:spacing w:before="189"/>
              <w:rPr>
                <w:b/>
                <w:sz w:val="18"/>
              </w:rPr>
            </w:pPr>
          </w:p>
          <w:p>
            <w:pPr>
              <w:pStyle w:val="TableParagraph"/>
              <w:ind w:left="72"/>
              <w:rPr>
                <w:sz w:val="18"/>
              </w:rPr>
            </w:pPr>
            <w:r>
              <w:rPr>
                <w:sz w:val="18"/>
              </w:rPr>
              <w:t>Porcentaje de </w:t>
            </w:r>
            <w:r>
              <w:rPr>
                <w:spacing w:val="-2"/>
                <w:sz w:val="18"/>
              </w:rPr>
              <w:t>solicitudes </w:t>
            </w:r>
            <w:r>
              <w:rPr>
                <w:sz w:val="18"/>
              </w:rPr>
              <w:t>asignadas para realizar el procedimiento</w:t>
            </w:r>
            <w:r>
              <w:rPr>
                <w:spacing w:val="-13"/>
                <w:sz w:val="18"/>
              </w:rPr>
              <w:t> </w:t>
            </w:r>
            <w:r>
              <w:rPr>
                <w:sz w:val="18"/>
              </w:rPr>
              <w:t>de </w:t>
            </w:r>
            <w:r>
              <w:rPr>
                <w:spacing w:val="-2"/>
                <w:sz w:val="18"/>
              </w:rPr>
              <w:t>adquisición.</w:t>
            </w:r>
          </w:p>
        </w:tc>
        <w:tc>
          <w:tcPr>
            <w:tcW w:w="19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numPr>
                <w:ilvl w:val="0"/>
                <w:numId w:val="122"/>
              </w:numPr>
              <w:tabs>
                <w:tab w:pos="273" w:val="left" w:leader="none"/>
              </w:tabs>
              <w:spacing w:line="207" w:lineRule="exact" w:before="0" w:after="0"/>
              <w:ind w:left="273" w:right="0" w:hanging="205"/>
              <w:jc w:val="left"/>
              <w:rPr>
                <w:sz w:val="18"/>
              </w:rPr>
            </w:pPr>
            <w:r>
              <w:rPr>
                <w:sz w:val="18"/>
              </w:rPr>
              <w:t>Reporte</w:t>
            </w:r>
            <w:r>
              <w:rPr>
                <w:spacing w:val="-11"/>
                <w:sz w:val="18"/>
              </w:rPr>
              <w:t> </w:t>
            </w:r>
            <w:r>
              <w:rPr>
                <w:spacing w:val="-5"/>
                <w:sz w:val="18"/>
              </w:rPr>
              <w:t>SAP</w:t>
            </w:r>
          </w:p>
          <w:p>
            <w:pPr>
              <w:pStyle w:val="TableParagraph"/>
              <w:numPr>
                <w:ilvl w:val="0"/>
                <w:numId w:val="122"/>
              </w:numPr>
              <w:tabs>
                <w:tab w:pos="273" w:val="left" w:leader="none"/>
              </w:tabs>
              <w:spacing w:line="207" w:lineRule="exact" w:before="0" w:after="0"/>
              <w:ind w:left="273" w:right="0" w:hanging="205"/>
              <w:jc w:val="left"/>
              <w:rPr>
                <w:sz w:val="18"/>
              </w:rPr>
            </w:pPr>
            <w:r>
              <w:rPr>
                <w:sz w:val="18"/>
              </w:rPr>
              <w:t>Reporte</w:t>
            </w:r>
            <w:r>
              <w:rPr>
                <w:spacing w:val="-11"/>
                <w:sz w:val="18"/>
              </w:rPr>
              <w:t> </w:t>
            </w:r>
            <w:r>
              <w:rPr>
                <w:spacing w:val="-2"/>
                <w:sz w:val="18"/>
              </w:rPr>
              <w:t>SICOP</w:t>
            </w:r>
          </w:p>
        </w:tc>
        <w:tc>
          <w:tcPr>
            <w:tcW w:w="134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ind w:left="74"/>
              <w:rPr>
                <w:sz w:val="18"/>
              </w:rPr>
            </w:pPr>
            <w:r>
              <w:rPr>
                <w:spacing w:val="-2"/>
                <w:sz w:val="18"/>
              </w:rPr>
              <w:t>Proveeduría Institucional</w:t>
            </w:r>
          </w:p>
        </w:tc>
        <w:tc>
          <w:tcPr>
            <w:tcW w:w="168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483"/>
              <w:rPr>
                <w:sz w:val="18"/>
              </w:rPr>
            </w:pPr>
            <w:r>
              <w:rPr>
                <w:sz w:val="18"/>
              </w:rPr>
              <w:t>₡477</w:t>
            </w:r>
            <w:r>
              <w:rPr>
                <w:spacing w:val="1"/>
                <w:sz w:val="18"/>
              </w:rPr>
              <w:t> </w:t>
            </w:r>
            <w:r>
              <w:rPr>
                <w:sz w:val="18"/>
              </w:rPr>
              <w:t>887</w:t>
            </w:r>
            <w:r>
              <w:rPr>
                <w:spacing w:val="-3"/>
                <w:sz w:val="18"/>
              </w:rPr>
              <w:t> </w:t>
            </w:r>
            <w:r>
              <w:rPr>
                <w:spacing w:val="-5"/>
                <w:sz w:val="18"/>
              </w:rPr>
              <w:t>957</w:t>
            </w:r>
          </w:p>
        </w:tc>
        <w:tc>
          <w:tcPr>
            <w:tcW w:w="2693" w:type="dxa"/>
            <w:vMerge/>
            <w:tcBorders>
              <w:top w:val="nil"/>
            </w:tcBorders>
          </w:tcPr>
          <w:p>
            <w:pPr>
              <w:rPr>
                <w:sz w:val="2"/>
                <w:szCs w:val="2"/>
              </w:rPr>
            </w:pPr>
          </w:p>
        </w:tc>
      </w:tr>
    </w:tbl>
    <w:p>
      <w:pPr>
        <w:spacing w:after="0"/>
        <w:rPr>
          <w:sz w:val="2"/>
          <w:szCs w:val="2"/>
        </w:rPr>
        <w:sectPr>
          <w:pgSz w:w="15840" w:h="12240" w:orient="landscape"/>
          <w:pgMar w:header="0" w:footer="1806" w:top="700" w:bottom="2925"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5"/>
        <w:gridCol w:w="1445"/>
        <w:gridCol w:w="1181"/>
        <w:gridCol w:w="1564"/>
        <w:gridCol w:w="1939"/>
        <w:gridCol w:w="1343"/>
        <w:gridCol w:w="1680"/>
        <w:gridCol w:w="2693"/>
      </w:tblGrid>
      <w:tr>
        <w:trPr>
          <w:trHeight w:val="854" w:hRule="atLeast"/>
        </w:trPr>
        <w:tc>
          <w:tcPr>
            <w:tcW w:w="2545" w:type="dxa"/>
            <w:shd w:val="clear" w:color="auto" w:fill="F1F1F1"/>
          </w:tcPr>
          <w:p>
            <w:pPr>
              <w:pStyle w:val="TableParagraph"/>
              <w:spacing w:before="118"/>
              <w:rPr>
                <w:b/>
                <w:sz w:val="18"/>
              </w:rPr>
            </w:pPr>
          </w:p>
          <w:p>
            <w:pPr>
              <w:pStyle w:val="TableParagraph"/>
              <w:ind w:left="302"/>
              <w:rPr>
                <w:b/>
                <w:sz w:val="18"/>
              </w:rPr>
            </w:pPr>
            <w:r>
              <w:rPr>
                <w:b/>
                <w:sz w:val="18"/>
              </w:rPr>
              <w:t>Objetivos</w:t>
            </w:r>
            <w:r>
              <w:rPr>
                <w:b/>
                <w:spacing w:val="-5"/>
                <w:sz w:val="18"/>
              </w:rPr>
              <w:t> </w:t>
            </w:r>
            <w:r>
              <w:rPr>
                <w:b/>
                <w:sz w:val="18"/>
              </w:rPr>
              <w:t>/</w:t>
            </w:r>
            <w:r>
              <w:rPr>
                <w:b/>
                <w:spacing w:val="-2"/>
                <w:sz w:val="18"/>
              </w:rPr>
              <w:t> Resultados</w:t>
            </w:r>
          </w:p>
        </w:tc>
        <w:tc>
          <w:tcPr>
            <w:tcW w:w="1445" w:type="dxa"/>
            <w:shd w:val="clear" w:color="auto" w:fill="F1F1F1"/>
          </w:tcPr>
          <w:p>
            <w:pPr>
              <w:pStyle w:val="TableParagraph"/>
              <w:spacing w:before="12"/>
              <w:rPr>
                <w:b/>
                <w:sz w:val="18"/>
              </w:rPr>
            </w:pPr>
          </w:p>
          <w:p>
            <w:pPr>
              <w:pStyle w:val="TableParagraph"/>
              <w:ind w:left="465" w:hanging="216"/>
              <w:rPr>
                <w:b/>
                <w:sz w:val="18"/>
              </w:rPr>
            </w:pPr>
            <w:r>
              <w:rPr>
                <w:b/>
                <w:sz w:val="18"/>
              </w:rPr>
              <w:t>Línea</w:t>
            </w:r>
            <w:r>
              <w:rPr>
                <w:b/>
                <w:spacing w:val="-13"/>
                <w:sz w:val="18"/>
              </w:rPr>
              <w:t> </w:t>
            </w:r>
            <w:r>
              <w:rPr>
                <w:b/>
                <w:sz w:val="18"/>
              </w:rPr>
              <w:t>Base </w:t>
            </w:r>
            <w:r>
              <w:rPr>
                <w:b/>
                <w:spacing w:val="-2"/>
                <w:sz w:val="18"/>
              </w:rPr>
              <w:t>(2024)</w:t>
            </w:r>
          </w:p>
        </w:tc>
        <w:tc>
          <w:tcPr>
            <w:tcW w:w="1181" w:type="dxa"/>
            <w:shd w:val="clear" w:color="auto" w:fill="F1F1F1"/>
          </w:tcPr>
          <w:p>
            <w:pPr>
              <w:pStyle w:val="TableParagraph"/>
              <w:spacing w:line="242" w:lineRule="auto" w:before="114"/>
              <w:ind w:left="72" w:right="50" w:hanging="10"/>
              <w:jc w:val="center"/>
              <w:rPr>
                <w:b/>
                <w:sz w:val="18"/>
              </w:rPr>
            </w:pPr>
            <w:r>
              <w:rPr>
                <w:b/>
                <w:spacing w:val="-4"/>
                <w:sz w:val="18"/>
              </w:rPr>
              <w:t>Meta </w:t>
            </w:r>
            <w:r>
              <w:rPr>
                <w:b/>
                <w:spacing w:val="-2"/>
                <w:sz w:val="18"/>
              </w:rPr>
              <w:t>programada </w:t>
            </w:r>
            <w:r>
              <w:rPr>
                <w:b/>
                <w:spacing w:val="-4"/>
                <w:sz w:val="18"/>
              </w:rPr>
              <w:t>2026</w:t>
            </w:r>
          </w:p>
        </w:tc>
        <w:tc>
          <w:tcPr>
            <w:tcW w:w="1564" w:type="dxa"/>
            <w:shd w:val="clear" w:color="auto" w:fill="F1F1F1"/>
          </w:tcPr>
          <w:p>
            <w:pPr>
              <w:pStyle w:val="TableParagraph"/>
              <w:spacing w:before="118"/>
              <w:rPr>
                <w:b/>
                <w:sz w:val="18"/>
              </w:rPr>
            </w:pPr>
          </w:p>
          <w:p>
            <w:pPr>
              <w:pStyle w:val="TableParagraph"/>
              <w:ind w:left="374"/>
              <w:rPr>
                <w:b/>
                <w:sz w:val="18"/>
              </w:rPr>
            </w:pPr>
            <w:r>
              <w:rPr>
                <w:b/>
                <w:spacing w:val="-2"/>
                <w:sz w:val="18"/>
              </w:rPr>
              <w:t>Indicador</w:t>
            </w:r>
          </w:p>
        </w:tc>
        <w:tc>
          <w:tcPr>
            <w:tcW w:w="1939" w:type="dxa"/>
            <w:shd w:val="clear" w:color="auto" w:fill="F1F1F1"/>
          </w:tcPr>
          <w:p>
            <w:pPr>
              <w:pStyle w:val="TableParagraph"/>
              <w:spacing w:before="12"/>
              <w:rPr>
                <w:b/>
                <w:sz w:val="18"/>
              </w:rPr>
            </w:pPr>
          </w:p>
          <w:p>
            <w:pPr>
              <w:pStyle w:val="TableParagraph"/>
              <w:ind w:left="467" w:firstLine="57"/>
              <w:rPr>
                <w:b/>
                <w:sz w:val="18"/>
              </w:rPr>
            </w:pPr>
            <w:r>
              <w:rPr>
                <w:b/>
                <w:sz w:val="18"/>
              </w:rPr>
              <w:t>Medios de </w:t>
            </w:r>
            <w:r>
              <w:rPr>
                <w:b/>
                <w:spacing w:val="-2"/>
                <w:sz w:val="18"/>
              </w:rPr>
              <w:t>verificación</w:t>
            </w:r>
          </w:p>
        </w:tc>
        <w:tc>
          <w:tcPr>
            <w:tcW w:w="1343" w:type="dxa"/>
            <w:shd w:val="clear" w:color="auto" w:fill="F1F1F1"/>
          </w:tcPr>
          <w:p>
            <w:pPr>
              <w:pStyle w:val="TableParagraph"/>
              <w:spacing w:before="118"/>
              <w:rPr>
                <w:b/>
                <w:sz w:val="18"/>
              </w:rPr>
            </w:pPr>
          </w:p>
          <w:p>
            <w:pPr>
              <w:pStyle w:val="TableParagraph"/>
              <w:ind w:left="117"/>
              <w:rPr>
                <w:b/>
                <w:sz w:val="18"/>
              </w:rPr>
            </w:pPr>
            <w:r>
              <w:rPr>
                <w:b/>
                <w:spacing w:val="-2"/>
                <w:sz w:val="18"/>
              </w:rPr>
              <w:t>Responsable</w:t>
            </w:r>
          </w:p>
        </w:tc>
        <w:tc>
          <w:tcPr>
            <w:tcW w:w="1680" w:type="dxa"/>
            <w:shd w:val="clear" w:color="auto" w:fill="F1F1F1"/>
          </w:tcPr>
          <w:p>
            <w:pPr>
              <w:pStyle w:val="TableParagraph"/>
              <w:spacing w:before="12"/>
              <w:rPr>
                <w:b/>
                <w:sz w:val="18"/>
              </w:rPr>
            </w:pPr>
          </w:p>
          <w:p>
            <w:pPr>
              <w:pStyle w:val="TableParagraph"/>
              <w:ind w:left="450" w:hanging="154"/>
              <w:rPr>
                <w:b/>
                <w:sz w:val="18"/>
              </w:rPr>
            </w:pPr>
            <w:r>
              <w:rPr>
                <w:b/>
                <w:spacing w:val="-2"/>
                <w:sz w:val="18"/>
              </w:rPr>
              <w:t>Presupuesto asignado</w:t>
            </w:r>
          </w:p>
        </w:tc>
        <w:tc>
          <w:tcPr>
            <w:tcW w:w="2693" w:type="dxa"/>
            <w:shd w:val="clear" w:color="auto" w:fill="F1F1F1"/>
          </w:tcPr>
          <w:p>
            <w:pPr>
              <w:pStyle w:val="TableParagraph"/>
              <w:spacing w:before="118"/>
              <w:rPr>
                <w:b/>
                <w:sz w:val="18"/>
              </w:rPr>
            </w:pPr>
          </w:p>
          <w:p>
            <w:pPr>
              <w:pStyle w:val="TableParagraph"/>
              <w:ind w:left="532"/>
              <w:rPr>
                <w:b/>
                <w:sz w:val="18"/>
              </w:rPr>
            </w:pPr>
            <w:r>
              <w:rPr>
                <w:b/>
                <w:sz w:val="18"/>
              </w:rPr>
              <w:t>Riesgos</w:t>
            </w:r>
            <w:r>
              <w:rPr>
                <w:b/>
                <w:spacing w:val="-4"/>
                <w:sz w:val="18"/>
              </w:rPr>
              <w:t> </w:t>
            </w:r>
            <w:r>
              <w:rPr>
                <w:b/>
                <w:spacing w:val="-2"/>
                <w:sz w:val="18"/>
              </w:rPr>
              <w:t>asociados</w:t>
            </w:r>
          </w:p>
        </w:tc>
      </w:tr>
      <w:tr>
        <w:trPr>
          <w:trHeight w:val="2866" w:hRule="atLeast"/>
        </w:trPr>
        <w:tc>
          <w:tcPr>
            <w:tcW w:w="2545" w:type="dxa"/>
          </w:tcPr>
          <w:p>
            <w:pPr>
              <w:pStyle w:val="TableParagraph"/>
              <w:rPr>
                <w:b/>
                <w:sz w:val="18"/>
              </w:rPr>
            </w:pPr>
          </w:p>
          <w:p>
            <w:pPr>
              <w:pStyle w:val="TableParagraph"/>
              <w:spacing w:before="89"/>
              <w:rPr>
                <w:b/>
                <w:sz w:val="18"/>
              </w:rPr>
            </w:pPr>
          </w:p>
          <w:p>
            <w:pPr>
              <w:pStyle w:val="TableParagraph"/>
              <w:ind w:left="72" w:right="78"/>
              <w:rPr>
                <w:sz w:val="18"/>
              </w:rPr>
            </w:pPr>
            <w:r>
              <w:rPr>
                <w:b/>
                <w:sz w:val="18"/>
              </w:rPr>
              <w:t>Actividad PAC 2.42.13: </w:t>
            </w:r>
            <w:r>
              <w:rPr>
                <w:sz w:val="18"/>
              </w:rPr>
              <w:t>Gestionar las solicitudes de contratación</w:t>
            </w:r>
            <w:r>
              <w:rPr>
                <w:spacing w:val="-15"/>
                <w:sz w:val="18"/>
              </w:rPr>
              <w:t> </w:t>
            </w:r>
            <w:r>
              <w:rPr>
                <w:sz w:val="18"/>
              </w:rPr>
              <w:t>público</w:t>
            </w:r>
            <w:r>
              <w:rPr>
                <w:spacing w:val="-12"/>
                <w:sz w:val="18"/>
              </w:rPr>
              <w:t> </w:t>
            </w:r>
            <w:r>
              <w:rPr>
                <w:sz w:val="18"/>
              </w:rPr>
              <w:t>cargadas por las unidades administrativas en los sistemas SAP-SICOP, del equipo y mobiliario incluido</w:t>
            </w:r>
            <w:r>
              <w:rPr>
                <w:spacing w:val="40"/>
                <w:sz w:val="18"/>
              </w:rPr>
              <w:t> </w:t>
            </w:r>
            <w:r>
              <w:rPr>
                <w:sz w:val="18"/>
              </w:rPr>
              <w:t>en la partida presupuestaria </w:t>
            </w:r>
            <w:r>
              <w:rPr>
                <w:spacing w:val="-2"/>
                <w:sz w:val="18"/>
              </w:rPr>
              <w:t>5.01.99</w:t>
            </w:r>
          </w:p>
        </w:tc>
        <w:tc>
          <w:tcPr>
            <w:tcW w:w="14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17" w:right="7"/>
              <w:jc w:val="center"/>
              <w:rPr>
                <w:sz w:val="18"/>
              </w:rPr>
            </w:pPr>
            <w:r>
              <w:rPr>
                <w:spacing w:val="-5"/>
                <w:sz w:val="18"/>
              </w:rPr>
              <w:t>N/A</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360"/>
              <w:rPr>
                <w:sz w:val="18"/>
              </w:rPr>
            </w:pPr>
            <w:r>
              <w:rPr>
                <w:spacing w:val="-4"/>
                <w:sz w:val="18"/>
              </w:rPr>
              <w:t>100%</w:t>
            </w:r>
          </w:p>
        </w:tc>
        <w:tc>
          <w:tcPr>
            <w:tcW w:w="1564" w:type="dxa"/>
          </w:tcPr>
          <w:p>
            <w:pPr>
              <w:pStyle w:val="TableParagraph"/>
              <w:rPr>
                <w:b/>
                <w:sz w:val="18"/>
              </w:rPr>
            </w:pPr>
          </w:p>
          <w:p>
            <w:pPr>
              <w:pStyle w:val="TableParagraph"/>
              <w:rPr>
                <w:b/>
                <w:sz w:val="18"/>
              </w:rPr>
            </w:pPr>
          </w:p>
          <w:p>
            <w:pPr>
              <w:pStyle w:val="TableParagraph"/>
              <w:spacing w:before="189"/>
              <w:rPr>
                <w:b/>
                <w:sz w:val="18"/>
              </w:rPr>
            </w:pPr>
          </w:p>
          <w:p>
            <w:pPr>
              <w:pStyle w:val="TableParagraph"/>
              <w:spacing w:before="1"/>
              <w:ind w:left="72"/>
              <w:rPr>
                <w:sz w:val="18"/>
              </w:rPr>
            </w:pPr>
            <w:r>
              <w:rPr>
                <w:sz w:val="18"/>
              </w:rPr>
              <w:t>Porcentaje de </w:t>
            </w:r>
            <w:r>
              <w:rPr>
                <w:spacing w:val="-2"/>
                <w:sz w:val="18"/>
              </w:rPr>
              <w:t>solicitudes </w:t>
            </w:r>
            <w:r>
              <w:rPr>
                <w:sz w:val="18"/>
              </w:rPr>
              <w:t>asignadas para realizar el procedimiento</w:t>
            </w:r>
            <w:r>
              <w:rPr>
                <w:spacing w:val="-13"/>
                <w:sz w:val="18"/>
              </w:rPr>
              <w:t> </w:t>
            </w:r>
            <w:r>
              <w:rPr>
                <w:sz w:val="18"/>
              </w:rPr>
              <w:t>de </w:t>
            </w:r>
            <w:r>
              <w:rPr>
                <w:spacing w:val="-2"/>
                <w:sz w:val="18"/>
              </w:rPr>
              <w:t>adquisición.</w:t>
            </w:r>
          </w:p>
        </w:tc>
        <w:tc>
          <w:tcPr>
            <w:tcW w:w="19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numPr>
                <w:ilvl w:val="0"/>
                <w:numId w:val="123"/>
              </w:numPr>
              <w:tabs>
                <w:tab w:pos="273" w:val="left" w:leader="none"/>
              </w:tabs>
              <w:spacing w:line="207" w:lineRule="exact" w:before="1" w:after="0"/>
              <w:ind w:left="273" w:right="0" w:hanging="205"/>
              <w:jc w:val="left"/>
              <w:rPr>
                <w:sz w:val="18"/>
              </w:rPr>
            </w:pPr>
            <w:r>
              <w:rPr>
                <w:sz w:val="18"/>
              </w:rPr>
              <w:t>Reporte</w:t>
            </w:r>
            <w:r>
              <w:rPr>
                <w:spacing w:val="-11"/>
                <w:sz w:val="18"/>
              </w:rPr>
              <w:t> </w:t>
            </w:r>
            <w:r>
              <w:rPr>
                <w:spacing w:val="-5"/>
                <w:sz w:val="18"/>
              </w:rPr>
              <w:t>SAP</w:t>
            </w:r>
          </w:p>
          <w:p>
            <w:pPr>
              <w:pStyle w:val="TableParagraph"/>
              <w:numPr>
                <w:ilvl w:val="0"/>
                <w:numId w:val="123"/>
              </w:numPr>
              <w:tabs>
                <w:tab w:pos="273" w:val="left" w:leader="none"/>
              </w:tabs>
              <w:spacing w:line="207" w:lineRule="exact" w:before="0" w:after="0"/>
              <w:ind w:left="273" w:right="0" w:hanging="205"/>
              <w:jc w:val="left"/>
              <w:rPr>
                <w:sz w:val="18"/>
              </w:rPr>
            </w:pPr>
            <w:r>
              <w:rPr>
                <w:sz w:val="18"/>
              </w:rPr>
              <w:t>Reporte</w:t>
            </w:r>
            <w:r>
              <w:rPr>
                <w:spacing w:val="-11"/>
                <w:sz w:val="18"/>
              </w:rPr>
              <w:t> </w:t>
            </w:r>
            <w:r>
              <w:rPr>
                <w:spacing w:val="-2"/>
                <w:sz w:val="18"/>
              </w:rPr>
              <w:t>SICOP</w:t>
            </w:r>
          </w:p>
        </w:tc>
        <w:tc>
          <w:tcPr>
            <w:tcW w:w="134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spacing w:before="1"/>
              <w:ind w:left="74"/>
              <w:rPr>
                <w:sz w:val="18"/>
              </w:rPr>
            </w:pPr>
            <w:r>
              <w:rPr>
                <w:spacing w:val="-2"/>
                <w:sz w:val="18"/>
              </w:rPr>
              <w:t>Proveeduría Institucional</w:t>
            </w:r>
          </w:p>
        </w:tc>
        <w:tc>
          <w:tcPr>
            <w:tcW w:w="168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ind w:left="584"/>
              <w:rPr>
                <w:sz w:val="18"/>
              </w:rPr>
            </w:pPr>
            <w:r>
              <w:rPr>
                <w:sz w:val="18"/>
              </w:rPr>
              <w:t>₡19</w:t>
            </w:r>
            <w:r>
              <w:rPr>
                <w:spacing w:val="1"/>
                <w:sz w:val="18"/>
              </w:rPr>
              <w:t> </w:t>
            </w:r>
            <w:r>
              <w:rPr>
                <w:sz w:val="18"/>
              </w:rPr>
              <w:t>617</w:t>
            </w:r>
            <w:r>
              <w:rPr>
                <w:spacing w:val="-3"/>
                <w:sz w:val="18"/>
              </w:rPr>
              <w:t> </w:t>
            </w:r>
            <w:r>
              <w:rPr>
                <w:spacing w:val="-5"/>
                <w:sz w:val="18"/>
              </w:rPr>
              <w:t>531</w:t>
            </w:r>
          </w:p>
        </w:tc>
        <w:tc>
          <w:tcPr>
            <w:tcW w:w="2693" w:type="dxa"/>
          </w:tcPr>
          <w:p>
            <w:pPr>
              <w:pStyle w:val="TableParagraph"/>
              <w:rPr>
                <w:rFonts w:ascii="Times New Roman"/>
                <w:sz w:val="18"/>
              </w:rPr>
            </w:pPr>
          </w:p>
        </w:tc>
      </w:tr>
    </w:tbl>
    <w:p>
      <w:pPr>
        <w:pStyle w:val="BodyText"/>
        <w:spacing w:before="203"/>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50"/>
        <w:gridCol w:w="1273"/>
        <w:gridCol w:w="1561"/>
        <w:gridCol w:w="1431"/>
        <w:gridCol w:w="1829"/>
        <w:gridCol w:w="1421"/>
        <w:gridCol w:w="1698"/>
        <w:gridCol w:w="2697"/>
      </w:tblGrid>
      <w:tr>
        <w:trPr>
          <w:trHeight w:val="777" w:hRule="atLeast"/>
        </w:trPr>
        <w:tc>
          <w:tcPr>
            <w:tcW w:w="2550" w:type="dxa"/>
            <w:shd w:val="clear" w:color="auto" w:fill="E8E8E8"/>
          </w:tcPr>
          <w:p>
            <w:pPr>
              <w:pStyle w:val="TableParagraph"/>
              <w:spacing w:before="79"/>
              <w:rPr>
                <w:b/>
                <w:sz w:val="18"/>
              </w:rPr>
            </w:pPr>
          </w:p>
          <w:p>
            <w:pPr>
              <w:pStyle w:val="TableParagraph"/>
              <w:spacing w:before="1"/>
              <w:ind w:left="302"/>
              <w:rPr>
                <w:b/>
                <w:sz w:val="18"/>
              </w:rPr>
            </w:pPr>
            <w:r>
              <w:rPr>
                <w:b/>
                <w:sz w:val="18"/>
              </w:rPr>
              <w:t>Objetivos</w:t>
            </w:r>
            <w:r>
              <w:rPr>
                <w:b/>
                <w:spacing w:val="-5"/>
                <w:sz w:val="18"/>
              </w:rPr>
              <w:t> </w:t>
            </w:r>
            <w:r>
              <w:rPr>
                <w:b/>
                <w:sz w:val="18"/>
              </w:rPr>
              <w:t>/</w:t>
            </w:r>
            <w:r>
              <w:rPr>
                <w:b/>
                <w:spacing w:val="-2"/>
                <w:sz w:val="18"/>
              </w:rPr>
              <w:t> Resultados</w:t>
            </w:r>
          </w:p>
        </w:tc>
        <w:tc>
          <w:tcPr>
            <w:tcW w:w="1273" w:type="dxa"/>
            <w:shd w:val="clear" w:color="auto" w:fill="E8E8E8"/>
          </w:tcPr>
          <w:p>
            <w:pPr>
              <w:pStyle w:val="TableParagraph"/>
              <w:spacing w:before="181"/>
              <w:ind w:left="373" w:hanging="216"/>
              <w:rPr>
                <w:b/>
                <w:sz w:val="18"/>
              </w:rPr>
            </w:pPr>
            <w:r>
              <w:rPr>
                <w:b/>
                <w:sz w:val="18"/>
              </w:rPr>
              <w:t>Línea</w:t>
            </w:r>
            <w:r>
              <w:rPr>
                <w:b/>
                <w:spacing w:val="-13"/>
                <w:sz w:val="18"/>
              </w:rPr>
              <w:t> </w:t>
            </w:r>
            <w:r>
              <w:rPr>
                <w:b/>
                <w:sz w:val="18"/>
              </w:rPr>
              <w:t>Base </w:t>
            </w:r>
            <w:r>
              <w:rPr>
                <w:b/>
                <w:spacing w:val="-2"/>
                <w:sz w:val="18"/>
              </w:rPr>
              <w:t>(2024)</w:t>
            </w:r>
          </w:p>
        </w:tc>
        <w:tc>
          <w:tcPr>
            <w:tcW w:w="1561" w:type="dxa"/>
            <w:shd w:val="clear" w:color="auto" w:fill="E8E8E8"/>
          </w:tcPr>
          <w:p>
            <w:pPr>
              <w:pStyle w:val="TableParagraph"/>
              <w:spacing w:before="80"/>
              <w:ind w:left="96" w:right="92"/>
              <w:jc w:val="center"/>
              <w:rPr>
                <w:b/>
                <w:sz w:val="18"/>
              </w:rPr>
            </w:pPr>
            <w:r>
              <w:rPr>
                <w:b/>
                <w:spacing w:val="-4"/>
                <w:sz w:val="18"/>
              </w:rPr>
              <w:t>Meta </w:t>
            </w:r>
            <w:r>
              <w:rPr>
                <w:b/>
                <w:spacing w:val="-2"/>
                <w:sz w:val="18"/>
              </w:rPr>
              <w:t>programada </w:t>
            </w:r>
            <w:r>
              <w:rPr>
                <w:b/>
                <w:spacing w:val="-4"/>
                <w:sz w:val="18"/>
              </w:rPr>
              <w:t>2026</w:t>
            </w:r>
          </w:p>
        </w:tc>
        <w:tc>
          <w:tcPr>
            <w:tcW w:w="1431" w:type="dxa"/>
            <w:shd w:val="clear" w:color="auto" w:fill="E8E8E8"/>
          </w:tcPr>
          <w:p>
            <w:pPr>
              <w:pStyle w:val="TableParagraph"/>
              <w:spacing w:before="79"/>
              <w:rPr>
                <w:b/>
                <w:sz w:val="18"/>
              </w:rPr>
            </w:pPr>
          </w:p>
          <w:p>
            <w:pPr>
              <w:pStyle w:val="TableParagraph"/>
              <w:spacing w:before="1"/>
              <w:ind w:left="305"/>
              <w:rPr>
                <w:b/>
                <w:sz w:val="18"/>
              </w:rPr>
            </w:pPr>
            <w:r>
              <w:rPr>
                <w:b/>
                <w:spacing w:val="-2"/>
                <w:sz w:val="18"/>
              </w:rPr>
              <w:t>Indicador</w:t>
            </w:r>
          </w:p>
        </w:tc>
        <w:tc>
          <w:tcPr>
            <w:tcW w:w="1829" w:type="dxa"/>
            <w:shd w:val="clear" w:color="auto" w:fill="E8E8E8"/>
          </w:tcPr>
          <w:p>
            <w:pPr>
              <w:pStyle w:val="TableParagraph"/>
              <w:spacing w:before="181"/>
              <w:ind w:left="411" w:right="56" w:firstLine="57"/>
              <w:rPr>
                <w:b/>
                <w:sz w:val="18"/>
              </w:rPr>
            </w:pPr>
            <w:r>
              <w:rPr>
                <w:b/>
                <w:sz w:val="18"/>
              </w:rPr>
              <w:t>Medios de </w:t>
            </w:r>
            <w:r>
              <w:rPr>
                <w:b/>
                <w:spacing w:val="-2"/>
                <w:sz w:val="18"/>
              </w:rPr>
              <w:t>verificación</w:t>
            </w:r>
          </w:p>
        </w:tc>
        <w:tc>
          <w:tcPr>
            <w:tcW w:w="1421" w:type="dxa"/>
            <w:shd w:val="clear" w:color="auto" w:fill="E8E8E8"/>
          </w:tcPr>
          <w:p>
            <w:pPr>
              <w:pStyle w:val="TableParagraph"/>
              <w:spacing w:before="79"/>
              <w:rPr>
                <w:b/>
                <w:sz w:val="18"/>
              </w:rPr>
            </w:pPr>
          </w:p>
          <w:p>
            <w:pPr>
              <w:pStyle w:val="TableParagraph"/>
              <w:spacing w:before="1"/>
              <w:ind w:left="147"/>
              <w:rPr>
                <w:b/>
                <w:sz w:val="18"/>
              </w:rPr>
            </w:pPr>
            <w:r>
              <w:rPr>
                <w:b/>
                <w:spacing w:val="-2"/>
                <w:sz w:val="18"/>
              </w:rPr>
              <w:t>Responsable</w:t>
            </w:r>
          </w:p>
        </w:tc>
        <w:tc>
          <w:tcPr>
            <w:tcW w:w="1698" w:type="dxa"/>
            <w:shd w:val="clear" w:color="auto" w:fill="E8E8E8"/>
          </w:tcPr>
          <w:p>
            <w:pPr>
              <w:pStyle w:val="TableParagraph"/>
              <w:spacing w:before="181"/>
              <w:ind w:left="450" w:hanging="154"/>
              <w:rPr>
                <w:b/>
                <w:sz w:val="18"/>
              </w:rPr>
            </w:pPr>
            <w:r>
              <w:rPr>
                <w:b/>
                <w:spacing w:val="-2"/>
                <w:sz w:val="18"/>
              </w:rPr>
              <w:t>Presupuesto asignado</w:t>
            </w:r>
          </w:p>
        </w:tc>
        <w:tc>
          <w:tcPr>
            <w:tcW w:w="2697" w:type="dxa"/>
            <w:shd w:val="clear" w:color="auto" w:fill="E8E8E8"/>
          </w:tcPr>
          <w:p>
            <w:pPr>
              <w:pStyle w:val="TableParagraph"/>
              <w:spacing w:before="79"/>
              <w:rPr>
                <w:b/>
                <w:sz w:val="18"/>
              </w:rPr>
            </w:pPr>
          </w:p>
          <w:p>
            <w:pPr>
              <w:pStyle w:val="TableParagraph"/>
              <w:spacing w:before="1"/>
              <w:ind w:left="12"/>
              <w:jc w:val="center"/>
              <w:rPr>
                <w:b/>
                <w:sz w:val="18"/>
              </w:rPr>
            </w:pPr>
            <w:r>
              <w:rPr>
                <w:b/>
                <w:spacing w:val="-2"/>
                <w:sz w:val="18"/>
              </w:rPr>
              <w:t>Riesgo</w:t>
            </w:r>
          </w:p>
        </w:tc>
      </w:tr>
      <w:tr>
        <w:trPr>
          <w:trHeight w:val="661" w:hRule="atLeast"/>
        </w:trPr>
        <w:tc>
          <w:tcPr>
            <w:tcW w:w="14460" w:type="dxa"/>
            <w:gridSpan w:val="8"/>
            <w:shd w:val="clear" w:color="auto" w:fill="F1F1F1"/>
          </w:tcPr>
          <w:p>
            <w:pPr>
              <w:pStyle w:val="TableParagraph"/>
              <w:spacing w:before="123"/>
              <w:ind w:left="72" w:right="183"/>
              <w:rPr>
                <w:b/>
                <w:sz w:val="18"/>
              </w:rPr>
            </w:pPr>
            <w:r>
              <w:rPr>
                <w:b/>
                <w:sz w:val="18"/>
              </w:rPr>
              <w:t>Efecto:</w:t>
            </w:r>
            <w:r>
              <w:rPr>
                <w:b/>
                <w:spacing w:val="-2"/>
                <w:sz w:val="18"/>
              </w:rPr>
              <w:t> </w:t>
            </w:r>
            <w:r>
              <w:rPr>
                <w:b/>
                <w:sz w:val="18"/>
              </w:rPr>
              <w:t>Realizar una efectiva gestión</w:t>
            </w:r>
            <w:r>
              <w:rPr>
                <w:b/>
                <w:spacing w:val="-5"/>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4"/>
                <w:sz w:val="18"/>
              </w:rPr>
              <w:t> </w:t>
            </w:r>
            <w:r>
              <w:rPr>
                <w:b/>
                <w:sz w:val="18"/>
              </w:rPr>
              <w:t>y</w:t>
            </w:r>
            <w:r>
              <w:rPr>
                <w:b/>
                <w:spacing w:val="-4"/>
                <w:sz w:val="18"/>
              </w:rPr>
              <w:t> </w:t>
            </w:r>
            <w:r>
              <w:rPr>
                <w:b/>
                <w:sz w:val="18"/>
              </w:rPr>
              <w:t>tecnológicos, con el</w:t>
            </w:r>
            <w:r>
              <w:rPr>
                <w:b/>
                <w:spacing w:val="-2"/>
                <w:sz w:val="18"/>
              </w:rPr>
              <w:t> </w:t>
            </w:r>
            <w:r>
              <w:rPr>
                <w:b/>
                <w:sz w:val="18"/>
              </w:rPr>
              <w:t>fin</w:t>
            </w:r>
            <w:r>
              <w:rPr>
                <w:b/>
                <w:spacing w:val="-5"/>
                <w:sz w:val="18"/>
              </w:rPr>
              <w:t> </w:t>
            </w:r>
            <w:r>
              <w:rPr>
                <w:b/>
                <w:sz w:val="18"/>
              </w:rPr>
              <w:t>de contribuir</w:t>
            </w:r>
            <w:r>
              <w:rPr>
                <w:b/>
                <w:spacing w:val="-3"/>
                <w:sz w:val="18"/>
              </w:rPr>
              <w:t> </w:t>
            </w:r>
            <w:r>
              <w:rPr>
                <w:b/>
                <w:sz w:val="18"/>
              </w:rPr>
              <w:t>con</w:t>
            </w:r>
            <w:r>
              <w:rPr>
                <w:b/>
                <w:spacing w:val="-5"/>
                <w:sz w:val="18"/>
              </w:rPr>
              <w:t> </w:t>
            </w:r>
            <w:r>
              <w:rPr>
                <w:b/>
                <w:sz w:val="18"/>
              </w:rPr>
              <w:t>la</w:t>
            </w:r>
            <w:r>
              <w:rPr>
                <w:b/>
                <w:spacing w:val="-4"/>
                <w:sz w:val="18"/>
              </w:rPr>
              <w:t> </w:t>
            </w:r>
            <w:r>
              <w:rPr>
                <w:b/>
                <w:sz w:val="18"/>
              </w:rPr>
              <w:t>institucionalización de</w:t>
            </w:r>
            <w:r>
              <w:rPr>
                <w:b/>
                <w:spacing w:val="-4"/>
                <w:sz w:val="18"/>
              </w:rPr>
              <w:t> </w:t>
            </w:r>
            <w:r>
              <w:rPr>
                <w:b/>
                <w:sz w:val="18"/>
              </w:rPr>
              <w:t>la estrategia de intervención de la población en situación de pobreza y pobreza extrema.</w:t>
            </w:r>
          </w:p>
        </w:tc>
      </w:tr>
      <w:tr>
        <w:trPr>
          <w:trHeight w:val="465" w:hRule="atLeast"/>
        </w:trPr>
        <w:tc>
          <w:tcPr>
            <w:tcW w:w="14460" w:type="dxa"/>
            <w:gridSpan w:val="8"/>
            <w:shd w:val="clear" w:color="auto" w:fill="EFF8F9"/>
          </w:tcPr>
          <w:p>
            <w:pPr>
              <w:pStyle w:val="TableParagraph"/>
              <w:spacing w:before="129"/>
              <w:ind w:left="72"/>
              <w:rPr>
                <w:b/>
                <w:sz w:val="18"/>
              </w:rPr>
            </w:pPr>
            <w:r>
              <w:rPr>
                <w:b/>
                <w:sz w:val="18"/>
              </w:rPr>
              <w:t>Producto</w:t>
            </w:r>
            <w:r>
              <w:rPr>
                <w:b/>
                <w:spacing w:val="-8"/>
                <w:sz w:val="18"/>
              </w:rPr>
              <w:t> </w:t>
            </w:r>
            <w:r>
              <w:rPr>
                <w:b/>
                <w:sz w:val="18"/>
              </w:rPr>
              <w:t>PAC</w:t>
            </w:r>
            <w:r>
              <w:rPr>
                <w:b/>
                <w:spacing w:val="-8"/>
                <w:sz w:val="18"/>
              </w:rPr>
              <w:t> </w:t>
            </w:r>
            <w:r>
              <w:rPr>
                <w:b/>
                <w:sz w:val="18"/>
              </w:rPr>
              <w:t>2.43:</w:t>
            </w:r>
            <w:r>
              <w:rPr>
                <w:b/>
                <w:spacing w:val="-5"/>
                <w:sz w:val="18"/>
              </w:rPr>
              <w:t> </w:t>
            </w:r>
            <w:r>
              <w:rPr>
                <w:b/>
                <w:sz w:val="18"/>
              </w:rPr>
              <w:t>Estrategia</w:t>
            </w:r>
            <w:r>
              <w:rPr>
                <w:b/>
                <w:spacing w:val="-7"/>
                <w:sz w:val="18"/>
              </w:rPr>
              <w:t> </w:t>
            </w:r>
            <w:r>
              <w:rPr>
                <w:b/>
                <w:sz w:val="18"/>
              </w:rPr>
              <w:t>cobratoria</w:t>
            </w:r>
            <w:r>
              <w:rPr>
                <w:b/>
                <w:spacing w:val="-3"/>
                <w:sz w:val="18"/>
              </w:rPr>
              <w:t> </w:t>
            </w:r>
            <w:r>
              <w:rPr>
                <w:b/>
                <w:sz w:val="18"/>
              </w:rPr>
              <w:t>diseñada</w:t>
            </w:r>
            <w:r>
              <w:rPr>
                <w:b/>
                <w:spacing w:val="-3"/>
                <w:sz w:val="18"/>
              </w:rPr>
              <w:t> </w:t>
            </w:r>
            <w:r>
              <w:rPr>
                <w:b/>
                <w:sz w:val="18"/>
              </w:rPr>
              <w:t>y</w:t>
            </w:r>
            <w:r>
              <w:rPr>
                <w:b/>
                <w:spacing w:val="-6"/>
                <w:sz w:val="18"/>
              </w:rPr>
              <w:t> </w:t>
            </w:r>
            <w:r>
              <w:rPr>
                <w:b/>
                <w:sz w:val="18"/>
              </w:rPr>
              <w:t>ejecutada</w:t>
            </w:r>
            <w:r>
              <w:rPr>
                <w:b/>
                <w:spacing w:val="-7"/>
                <w:sz w:val="18"/>
              </w:rPr>
              <w:t> </w:t>
            </w:r>
            <w:r>
              <w:rPr>
                <w:b/>
                <w:sz w:val="18"/>
              </w:rPr>
              <w:t>para</w:t>
            </w:r>
            <w:r>
              <w:rPr>
                <w:b/>
                <w:spacing w:val="-11"/>
                <w:sz w:val="18"/>
              </w:rPr>
              <w:t> </w:t>
            </w:r>
            <w:r>
              <w:rPr>
                <w:b/>
                <w:sz w:val="18"/>
              </w:rPr>
              <w:t>incrementar</w:t>
            </w:r>
            <w:r>
              <w:rPr>
                <w:b/>
                <w:spacing w:val="-6"/>
                <w:sz w:val="18"/>
              </w:rPr>
              <w:t> </w:t>
            </w:r>
            <w:r>
              <w:rPr>
                <w:b/>
                <w:sz w:val="18"/>
              </w:rPr>
              <w:t>los</w:t>
            </w:r>
            <w:r>
              <w:rPr>
                <w:b/>
                <w:spacing w:val="-6"/>
                <w:sz w:val="18"/>
              </w:rPr>
              <w:t> </w:t>
            </w:r>
            <w:r>
              <w:rPr>
                <w:b/>
                <w:sz w:val="18"/>
              </w:rPr>
              <w:t>ingresos</w:t>
            </w:r>
            <w:r>
              <w:rPr>
                <w:b/>
                <w:spacing w:val="-7"/>
                <w:sz w:val="18"/>
              </w:rPr>
              <w:t> </w:t>
            </w:r>
            <w:r>
              <w:rPr>
                <w:b/>
                <w:spacing w:val="-2"/>
                <w:sz w:val="18"/>
              </w:rPr>
              <w:t>tributarios.</w:t>
            </w:r>
          </w:p>
        </w:tc>
      </w:tr>
      <w:tr>
        <w:trPr>
          <w:trHeight w:val="1440" w:hRule="atLeast"/>
        </w:trPr>
        <w:tc>
          <w:tcPr>
            <w:tcW w:w="2550" w:type="dxa"/>
          </w:tcPr>
          <w:p>
            <w:pPr>
              <w:pStyle w:val="TableParagraph"/>
              <w:spacing w:before="200"/>
              <w:ind w:left="72" w:right="141"/>
              <w:rPr>
                <w:sz w:val="18"/>
              </w:rPr>
            </w:pPr>
            <w:r>
              <w:rPr>
                <w:b/>
                <w:sz w:val="18"/>
              </w:rPr>
              <w:t>Actividad</w:t>
            </w:r>
            <w:r>
              <w:rPr>
                <w:b/>
                <w:spacing w:val="-15"/>
                <w:sz w:val="18"/>
              </w:rPr>
              <w:t> </w:t>
            </w:r>
            <w:r>
              <w:rPr>
                <w:b/>
                <w:sz w:val="18"/>
              </w:rPr>
              <w:t>PAC</w:t>
            </w:r>
            <w:r>
              <w:rPr>
                <w:b/>
                <w:spacing w:val="-12"/>
                <w:sz w:val="18"/>
              </w:rPr>
              <w:t> </w:t>
            </w:r>
            <w:r>
              <w:rPr>
                <w:b/>
                <w:sz w:val="18"/>
              </w:rPr>
              <w:t>2.43.1: </w:t>
            </w:r>
            <w:r>
              <w:rPr>
                <w:sz w:val="18"/>
              </w:rPr>
              <w:t>Diseño y ejecución de estrategia cobratoria mensual. (Subpartida: 1.02.03 y 1.04.99)</w:t>
            </w:r>
          </w:p>
        </w:tc>
        <w:tc>
          <w:tcPr>
            <w:tcW w:w="1273" w:type="dxa"/>
          </w:tcPr>
          <w:p>
            <w:pPr>
              <w:pStyle w:val="TableParagraph"/>
              <w:rPr>
                <w:b/>
                <w:sz w:val="18"/>
              </w:rPr>
            </w:pPr>
          </w:p>
          <w:p>
            <w:pPr>
              <w:pStyle w:val="TableParagraph"/>
              <w:spacing w:before="199"/>
              <w:rPr>
                <w:b/>
                <w:sz w:val="18"/>
              </w:rPr>
            </w:pPr>
          </w:p>
          <w:p>
            <w:pPr>
              <w:pStyle w:val="TableParagraph"/>
              <w:ind w:left="8" w:right="5"/>
              <w:jc w:val="center"/>
              <w:rPr>
                <w:sz w:val="18"/>
              </w:rPr>
            </w:pPr>
            <w:r>
              <w:rPr>
                <w:spacing w:val="-5"/>
                <w:sz w:val="18"/>
              </w:rPr>
              <w:t>12</w:t>
            </w:r>
          </w:p>
        </w:tc>
        <w:tc>
          <w:tcPr>
            <w:tcW w:w="1561" w:type="dxa"/>
          </w:tcPr>
          <w:p>
            <w:pPr>
              <w:pStyle w:val="TableParagraph"/>
              <w:rPr>
                <w:b/>
                <w:sz w:val="18"/>
              </w:rPr>
            </w:pPr>
          </w:p>
          <w:p>
            <w:pPr>
              <w:pStyle w:val="TableParagraph"/>
              <w:spacing w:before="199"/>
              <w:rPr>
                <w:b/>
                <w:sz w:val="18"/>
              </w:rPr>
            </w:pPr>
          </w:p>
          <w:p>
            <w:pPr>
              <w:pStyle w:val="TableParagraph"/>
              <w:ind w:left="96" w:right="94"/>
              <w:jc w:val="center"/>
              <w:rPr>
                <w:sz w:val="18"/>
              </w:rPr>
            </w:pPr>
            <w:r>
              <w:rPr>
                <w:spacing w:val="-5"/>
                <w:sz w:val="18"/>
              </w:rPr>
              <w:t>12</w:t>
            </w:r>
          </w:p>
        </w:tc>
        <w:tc>
          <w:tcPr>
            <w:tcW w:w="1431" w:type="dxa"/>
          </w:tcPr>
          <w:p>
            <w:pPr>
              <w:pStyle w:val="TableParagraph"/>
              <w:spacing w:before="200"/>
              <w:ind w:left="65"/>
              <w:rPr>
                <w:sz w:val="18"/>
              </w:rPr>
            </w:pPr>
            <w:r>
              <w:rPr>
                <w:sz w:val="18"/>
              </w:rPr>
              <w:t>Cantidad</w:t>
            </w:r>
            <w:r>
              <w:rPr>
                <w:spacing w:val="-13"/>
                <w:sz w:val="18"/>
              </w:rPr>
              <w:t> </w:t>
            </w:r>
            <w:r>
              <w:rPr>
                <w:sz w:val="18"/>
              </w:rPr>
              <w:t>de </w:t>
            </w:r>
            <w:r>
              <w:rPr>
                <w:spacing w:val="-2"/>
                <w:sz w:val="18"/>
              </w:rPr>
              <w:t>estrategias cobratoria </w:t>
            </w:r>
            <w:r>
              <w:rPr>
                <w:sz w:val="18"/>
              </w:rPr>
              <w:t>diseñadas</w:t>
            </w:r>
            <w:r>
              <w:rPr>
                <w:spacing w:val="-13"/>
                <w:sz w:val="18"/>
              </w:rPr>
              <w:t> </w:t>
            </w:r>
            <w:r>
              <w:rPr>
                <w:sz w:val="18"/>
              </w:rPr>
              <w:t>y </w:t>
            </w:r>
            <w:r>
              <w:rPr>
                <w:spacing w:val="-2"/>
                <w:sz w:val="18"/>
              </w:rPr>
              <w:t>ejecutadas</w:t>
            </w:r>
          </w:p>
        </w:tc>
        <w:tc>
          <w:tcPr>
            <w:tcW w:w="1829" w:type="dxa"/>
          </w:tcPr>
          <w:p>
            <w:pPr>
              <w:pStyle w:val="TableParagraph"/>
              <w:spacing w:before="199"/>
              <w:rPr>
                <w:b/>
                <w:sz w:val="18"/>
              </w:rPr>
            </w:pPr>
          </w:p>
          <w:p>
            <w:pPr>
              <w:pStyle w:val="TableParagraph"/>
              <w:spacing w:before="1"/>
              <w:ind w:left="65" w:right="56"/>
              <w:rPr>
                <w:sz w:val="18"/>
              </w:rPr>
            </w:pPr>
            <w:r>
              <w:rPr>
                <w:sz w:val="18"/>
              </w:rPr>
              <w:t>Documento de </w:t>
            </w:r>
            <w:r>
              <w:rPr>
                <w:spacing w:val="-2"/>
                <w:sz w:val="18"/>
              </w:rPr>
              <w:t>estrategias </w:t>
            </w:r>
            <w:r>
              <w:rPr>
                <w:sz w:val="18"/>
              </w:rPr>
              <w:t>elaborados</w:t>
            </w:r>
            <w:r>
              <w:rPr>
                <w:spacing w:val="-13"/>
                <w:sz w:val="18"/>
              </w:rPr>
              <w:t> </w:t>
            </w:r>
            <w:r>
              <w:rPr>
                <w:sz w:val="18"/>
              </w:rPr>
              <w:t>(Minutas)</w:t>
            </w:r>
          </w:p>
        </w:tc>
        <w:tc>
          <w:tcPr>
            <w:tcW w:w="1421" w:type="dxa"/>
          </w:tcPr>
          <w:p>
            <w:pPr>
              <w:pStyle w:val="TableParagraph"/>
              <w:rPr>
                <w:b/>
                <w:sz w:val="18"/>
              </w:rPr>
            </w:pPr>
          </w:p>
          <w:p>
            <w:pPr>
              <w:pStyle w:val="TableParagraph"/>
              <w:spacing w:before="98"/>
              <w:rPr>
                <w:b/>
                <w:sz w:val="18"/>
              </w:rPr>
            </w:pPr>
          </w:p>
          <w:p>
            <w:pPr>
              <w:pStyle w:val="TableParagraph"/>
              <w:ind w:left="70"/>
              <w:rPr>
                <w:sz w:val="18"/>
              </w:rPr>
            </w:pPr>
            <w:r>
              <w:rPr>
                <w:spacing w:val="-2"/>
                <w:sz w:val="18"/>
              </w:rPr>
              <w:t>Administración Tributaria</w:t>
            </w:r>
          </w:p>
        </w:tc>
        <w:tc>
          <w:tcPr>
            <w:tcW w:w="1698" w:type="dxa"/>
          </w:tcPr>
          <w:p>
            <w:pPr>
              <w:pStyle w:val="TableParagraph"/>
              <w:rPr>
                <w:b/>
                <w:sz w:val="18"/>
              </w:rPr>
            </w:pPr>
          </w:p>
          <w:p>
            <w:pPr>
              <w:pStyle w:val="TableParagraph"/>
              <w:spacing w:before="199"/>
              <w:rPr>
                <w:b/>
                <w:sz w:val="18"/>
              </w:rPr>
            </w:pPr>
          </w:p>
          <w:p>
            <w:pPr>
              <w:pStyle w:val="TableParagraph"/>
              <w:ind w:left="594"/>
              <w:rPr>
                <w:sz w:val="18"/>
              </w:rPr>
            </w:pPr>
            <w:r>
              <w:rPr>
                <w:sz w:val="18"/>
              </w:rPr>
              <w:t>₡60</w:t>
            </w:r>
            <w:r>
              <w:rPr>
                <w:spacing w:val="1"/>
                <w:sz w:val="18"/>
              </w:rPr>
              <w:t> </w:t>
            </w:r>
            <w:r>
              <w:rPr>
                <w:sz w:val="18"/>
              </w:rPr>
              <w:t>200</w:t>
            </w:r>
            <w:r>
              <w:rPr>
                <w:spacing w:val="-3"/>
                <w:sz w:val="18"/>
              </w:rPr>
              <w:t> </w:t>
            </w:r>
            <w:r>
              <w:rPr>
                <w:spacing w:val="-5"/>
                <w:sz w:val="18"/>
              </w:rPr>
              <w:t>000</w:t>
            </w:r>
          </w:p>
        </w:tc>
        <w:tc>
          <w:tcPr>
            <w:tcW w:w="2697" w:type="dxa"/>
            <w:vMerge w:val="restart"/>
          </w:tcPr>
          <w:p>
            <w:pPr>
              <w:pStyle w:val="TableParagraph"/>
              <w:rPr>
                <w:b/>
                <w:sz w:val="18"/>
              </w:rPr>
            </w:pPr>
          </w:p>
          <w:p>
            <w:pPr>
              <w:pStyle w:val="TableParagraph"/>
              <w:rPr>
                <w:b/>
                <w:sz w:val="18"/>
              </w:rPr>
            </w:pPr>
          </w:p>
          <w:p>
            <w:pPr>
              <w:pStyle w:val="TableParagraph"/>
              <w:spacing w:before="185"/>
              <w:rPr>
                <w:b/>
                <w:sz w:val="18"/>
              </w:rPr>
            </w:pPr>
          </w:p>
          <w:p>
            <w:pPr>
              <w:pStyle w:val="TableParagraph"/>
              <w:ind w:left="72" w:right="110"/>
              <w:rPr>
                <w:sz w:val="18"/>
              </w:rPr>
            </w:pPr>
            <w:r>
              <w:rPr>
                <w:sz w:val="18"/>
              </w:rPr>
              <w:t>Evento:</w:t>
            </w:r>
            <w:r>
              <w:rPr>
                <w:spacing w:val="-5"/>
                <w:sz w:val="18"/>
              </w:rPr>
              <w:t> </w:t>
            </w:r>
            <w:r>
              <w:rPr>
                <w:sz w:val="18"/>
              </w:rPr>
              <w:t>Posible</w:t>
            </w:r>
            <w:r>
              <w:rPr>
                <w:spacing w:val="-7"/>
                <w:sz w:val="18"/>
              </w:rPr>
              <w:t> </w:t>
            </w:r>
            <w:r>
              <w:rPr>
                <w:sz w:val="18"/>
              </w:rPr>
              <w:t>no</w:t>
            </w:r>
            <w:r>
              <w:rPr>
                <w:spacing w:val="-11"/>
                <w:sz w:val="18"/>
              </w:rPr>
              <w:t> </w:t>
            </w:r>
            <w:r>
              <w:rPr>
                <w:sz w:val="18"/>
              </w:rPr>
              <w:t>localización oportuna de los patronos o no existe</w:t>
            </w:r>
            <w:r>
              <w:rPr>
                <w:spacing w:val="-9"/>
                <w:sz w:val="18"/>
              </w:rPr>
              <w:t> </w:t>
            </w:r>
            <w:r>
              <w:rPr>
                <w:sz w:val="18"/>
              </w:rPr>
              <w:t>disposición</w:t>
            </w:r>
            <w:r>
              <w:rPr>
                <w:spacing w:val="-9"/>
                <w:sz w:val="18"/>
              </w:rPr>
              <w:t> </w:t>
            </w:r>
            <w:r>
              <w:rPr>
                <w:sz w:val="18"/>
              </w:rPr>
              <w:t>a</w:t>
            </w:r>
            <w:r>
              <w:rPr>
                <w:spacing w:val="-9"/>
                <w:sz w:val="18"/>
              </w:rPr>
              <w:t> </w:t>
            </w:r>
            <w:r>
              <w:rPr>
                <w:sz w:val="18"/>
              </w:rPr>
              <w:t>negociar</w:t>
            </w:r>
            <w:r>
              <w:rPr>
                <w:spacing w:val="-4"/>
                <w:sz w:val="18"/>
              </w:rPr>
              <w:t> </w:t>
            </w:r>
            <w:r>
              <w:rPr>
                <w:sz w:val="18"/>
              </w:rPr>
              <w:t>el pago o no pagan </w:t>
            </w:r>
            <w:r>
              <w:rPr>
                <w:spacing w:val="-2"/>
                <w:sz w:val="18"/>
              </w:rPr>
              <w:t>definitivamente.</w:t>
            </w:r>
          </w:p>
        </w:tc>
      </w:tr>
      <w:tr>
        <w:trPr>
          <w:trHeight w:val="1200" w:hRule="atLeast"/>
        </w:trPr>
        <w:tc>
          <w:tcPr>
            <w:tcW w:w="2550" w:type="dxa"/>
          </w:tcPr>
          <w:p>
            <w:pPr>
              <w:pStyle w:val="TableParagraph"/>
              <w:spacing w:before="186"/>
              <w:ind w:left="72"/>
              <w:rPr>
                <w:sz w:val="18"/>
              </w:rPr>
            </w:pPr>
            <w:r>
              <w:rPr>
                <w:b/>
                <w:sz w:val="18"/>
              </w:rPr>
              <w:t>Actividad PAC 2.43.2</w:t>
            </w:r>
            <w:r>
              <w:rPr>
                <w:sz w:val="18"/>
              </w:rPr>
              <w:t>: Generación de ingresos por gestión</w:t>
            </w:r>
            <w:r>
              <w:rPr>
                <w:spacing w:val="-11"/>
                <w:sz w:val="18"/>
              </w:rPr>
              <w:t> </w:t>
            </w:r>
            <w:r>
              <w:rPr>
                <w:sz w:val="18"/>
              </w:rPr>
              <w:t>cobratoria</w:t>
            </w:r>
            <w:r>
              <w:rPr>
                <w:spacing w:val="-11"/>
                <w:sz w:val="18"/>
              </w:rPr>
              <w:t> </w:t>
            </w:r>
            <w:r>
              <w:rPr>
                <w:sz w:val="18"/>
              </w:rPr>
              <w:t>de</w:t>
            </w:r>
            <w:r>
              <w:rPr>
                <w:spacing w:val="-11"/>
                <w:sz w:val="18"/>
              </w:rPr>
              <w:t> </w:t>
            </w:r>
            <w:r>
              <w:rPr>
                <w:sz w:val="18"/>
              </w:rPr>
              <w:t>aportes Patronos Privados. (AT)</w:t>
            </w:r>
          </w:p>
        </w:tc>
        <w:tc>
          <w:tcPr>
            <w:tcW w:w="1273" w:type="dxa"/>
          </w:tcPr>
          <w:p>
            <w:pPr>
              <w:pStyle w:val="TableParagraph"/>
              <w:spacing w:before="185"/>
              <w:rPr>
                <w:b/>
                <w:sz w:val="18"/>
              </w:rPr>
            </w:pPr>
          </w:p>
          <w:p>
            <w:pPr>
              <w:pStyle w:val="TableParagraph"/>
              <w:ind w:left="8" w:right="5"/>
              <w:jc w:val="center"/>
              <w:rPr>
                <w:sz w:val="18"/>
              </w:rPr>
            </w:pPr>
            <w:r>
              <w:rPr>
                <w:sz w:val="18"/>
              </w:rPr>
              <w:t>₡46</w:t>
            </w:r>
            <w:r>
              <w:rPr>
                <w:spacing w:val="1"/>
                <w:sz w:val="18"/>
              </w:rPr>
              <w:t> </w:t>
            </w:r>
            <w:r>
              <w:rPr>
                <w:sz w:val="18"/>
              </w:rPr>
              <w:t>682</w:t>
            </w:r>
            <w:r>
              <w:rPr>
                <w:spacing w:val="-3"/>
                <w:sz w:val="18"/>
              </w:rPr>
              <w:t> </w:t>
            </w:r>
            <w:r>
              <w:rPr>
                <w:spacing w:val="-5"/>
                <w:sz w:val="18"/>
              </w:rPr>
              <w:t>117</w:t>
            </w:r>
          </w:p>
          <w:p>
            <w:pPr>
              <w:pStyle w:val="TableParagraph"/>
              <w:ind w:left="8" w:right="9"/>
              <w:jc w:val="center"/>
              <w:rPr>
                <w:sz w:val="18"/>
              </w:rPr>
            </w:pPr>
            <w:r>
              <w:rPr>
                <w:spacing w:val="-5"/>
                <w:sz w:val="18"/>
              </w:rPr>
              <w:t>520</w:t>
            </w:r>
          </w:p>
        </w:tc>
        <w:tc>
          <w:tcPr>
            <w:tcW w:w="1561" w:type="dxa"/>
          </w:tcPr>
          <w:p>
            <w:pPr>
              <w:pStyle w:val="TableParagraph"/>
              <w:rPr>
                <w:b/>
                <w:sz w:val="18"/>
              </w:rPr>
            </w:pPr>
          </w:p>
          <w:p>
            <w:pPr>
              <w:pStyle w:val="TableParagraph"/>
              <w:spacing w:before="79"/>
              <w:rPr>
                <w:b/>
                <w:sz w:val="18"/>
              </w:rPr>
            </w:pPr>
          </w:p>
          <w:p>
            <w:pPr>
              <w:pStyle w:val="TableParagraph"/>
              <w:ind w:left="7"/>
              <w:jc w:val="center"/>
              <w:rPr>
                <w:sz w:val="18"/>
              </w:rPr>
            </w:pPr>
            <w:r>
              <w:rPr>
                <w:sz w:val="18"/>
              </w:rPr>
              <w:t>₡51</w:t>
            </w:r>
            <w:r>
              <w:rPr>
                <w:spacing w:val="1"/>
                <w:sz w:val="18"/>
              </w:rPr>
              <w:t> </w:t>
            </w:r>
            <w:r>
              <w:rPr>
                <w:sz w:val="18"/>
              </w:rPr>
              <w:t>486</w:t>
            </w:r>
            <w:r>
              <w:rPr>
                <w:spacing w:val="-3"/>
                <w:sz w:val="18"/>
              </w:rPr>
              <w:t> </w:t>
            </w:r>
            <w:r>
              <w:rPr>
                <w:sz w:val="18"/>
              </w:rPr>
              <w:t>852</w:t>
            </w:r>
            <w:r>
              <w:rPr>
                <w:spacing w:val="-2"/>
                <w:sz w:val="18"/>
              </w:rPr>
              <w:t> </w:t>
            </w:r>
            <w:r>
              <w:rPr>
                <w:spacing w:val="-5"/>
                <w:sz w:val="18"/>
              </w:rPr>
              <w:t>104</w:t>
            </w:r>
          </w:p>
        </w:tc>
        <w:tc>
          <w:tcPr>
            <w:tcW w:w="1431" w:type="dxa"/>
          </w:tcPr>
          <w:p>
            <w:pPr>
              <w:pStyle w:val="TableParagraph"/>
              <w:spacing w:before="80"/>
              <w:ind w:left="65" w:right="55"/>
              <w:rPr>
                <w:sz w:val="18"/>
              </w:rPr>
            </w:pPr>
            <w:r>
              <w:rPr>
                <w:sz w:val="18"/>
              </w:rPr>
              <w:t>Monto en </w:t>
            </w:r>
            <w:r>
              <w:rPr>
                <w:spacing w:val="-2"/>
                <w:sz w:val="18"/>
              </w:rPr>
              <w:t>colones </w:t>
            </w:r>
            <w:r>
              <w:rPr>
                <w:sz w:val="18"/>
              </w:rPr>
              <w:t>estimado</w:t>
            </w:r>
            <w:r>
              <w:rPr>
                <w:spacing w:val="-15"/>
                <w:sz w:val="18"/>
              </w:rPr>
              <w:t> </w:t>
            </w:r>
            <w:r>
              <w:rPr>
                <w:sz w:val="18"/>
              </w:rPr>
              <w:t>de</w:t>
            </w:r>
            <w:r>
              <w:rPr>
                <w:spacing w:val="-12"/>
                <w:sz w:val="18"/>
              </w:rPr>
              <w:t> </w:t>
            </w:r>
            <w:r>
              <w:rPr>
                <w:sz w:val="18"/>
              </w:rPr>
              <w:t>los </w:t>
            </w:r>
            <w:r>
              <w:rPr>
                <w:spacing w:val="-2"/>
                <w:sz w:val="18"/>
              </w:rPr>
              <w:t>ingresos tributarios</w:t>
            </w:r>
          </w:p>
        </w:tc>
        <w:tc>
          <w:tcPr>
            <w:tcW w:w="1829" w:type="dxa"/>
          </w:tcPr>
          <w:p>
            <w:pPr>
              <w:pStyle w:val="TableParagraph"/>
              <w:spacing w:before="79"/>
              <w:rPr>
                <w:b/>
                <w:sz w:val="18"/>
              </w:rPr>
            </w:pPr>
          </w:p>
          <w:p>
            <w:pPr>
              <w:pStyle w:val="TableParagraph"/>
              <w:spacing w:before="1"/>
              <w:ind w:left="65" w:right="56"/>
              <w:rPr>
                <w:sz w:val="18"/>
              </w:rPr>
            </w:pPr>
            <w:r>
              <w:rPr>
                <w:sz w:val="18"/>
              </w:rPr>
              <w:t>Reporte</w:t>
            </w:r>
            <w:r>
              <w:rPr>
                <w:spacing w:val="-15"/>
                <w:sz w:val="18"/>
              </w:rPr>
              <w:t> </w:t>
            </w:r>
            <w:r>
              <w:rPr>
                <w:sz w:val="18"/>
              </w:rPr>
              <w:t>de</w:t>
            </w:r>
            <w:r>
              <w:rPr>
                <w:spacing w:val="-12"/>
                <w:sz w:val="18"/>
              </w:rPr>
              <w:t> </w:t>
            </w:r>
            <w:r>
              <w:rPr>
                <w:sz w:val="18"/>
              </w:rPr>
              <w:t>ingresos </w:t>
            </w:r>
            <w:r>
              <w:rPr>
                <w:spacing w:val="-2"/>
                <w:sz w:val="18"/>
              </w:rPr>
              <w:t>presupuestarios </w:t>
            </w:r>
            <w:r>
              <w:rPr>
                <w:sz w:val="18"/>
              </w:rPr>
              <w:t>proveniente</w:t>
            </w:r>
            <w:r>
              <w:rPr>
                <w:spacing w:val="-6"/>
                <w:sz w:val="18"/>
              </w:rPr>
              <w:t> </w:t>
            </w:r>
            <w:r>
              <w:rPr>
                <w:sz w:val="18"/>
              </w:rPr>
              <w:t>de</w:t>
            </w:r>
            <w:r>
              <w:rPr>
                <w:spacing w:val="-6"/>
                <w:sz w:val="18"/>
              </w:rPr>
              <w:t> </w:t>
            </w:r>
            <w:r>
              <w:rPr>
                <w:sz w:val="18"/>
              </w:rPr>
              <w:t>SAP</w:t>
            </w:r>
          </w:p>
        </w:tc>
        <w:tc>
          <w:tcPr>
            <w:tcW w:w="1421" w:type="dxa"/>
          </w:tcPr>
          <w:p>
            <w:pPr>
              <w:pStyle w:val="TableParagraph"/>
              <w:spacing w:before="185"/>
              <w:rPr>
                <w:b/>
                <w:sz w:val="18"/>
              </w:rPr>
            </w:pPr>
          </w:p>
          <w:p>
            <w:pPr>
              <w:pStyle w:val="TableParagraph"/>
              <w:ind w:left="70"/>
              <w:rPr>
                <w:sz w:val="18"/>
              </w:rPr>
            </w:pPr>
            <w:r>
              <w:rPr>
                <w:spacing w:val="-2"/>
                <w:sz w:val="18"/>
              </w:rPr>
              <w:t>Administración Tributaria</w:t>
            </w:r>
          </w:p>
        </w:tc>
        <w:tc>
          <w:tcPr>
            <w:tcW w:w="1698" w:type="dxa"/>
          </w:tcPr>
          <w:p>
            <w:pPr>
              <w:pStyle w:val="TableParagraph"/>
              <w:rPr>
                <w:rFonts w:ascii="Times New Roman"/>
                <w:sz w:val="18"/>
              </w:rPr>
            </w:pPr>
          </w:p>
        </w:tc>
        <w:tc>
          <w:tcPr>
            <w:tcW w:w="2697"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50"/>
        <w:gridCol w:w="1273"/>
        <w:gridCol w:w="1561"/>
        <w:gridCol w:w="1431"/>
        <w:gridCol w:w="1829"/>
        <w:gridCol w:w="1421"/>
        <w:gridCol w:w="1696"/>
        <w:gridCol w:w="2699"/>
      </w:tblGrid>
      <w:tr>
        <w:trPr>
          <w:trHeight w:val="777" w:hRule="atLeast"/>
        </w:trPr>
        <w:tc>
          <w:tcPr>
            <w:tcW w:w="2550" w:type="dxa"/>
            <w:shd w:val="clear" w:color="auto" w:fill="E8E8E8"/>
          </w:tcPr>
          <w:p>
            <w:pPr>
              <w:pStyle w:val="TableParagraph"/>
              <w:spacing w:before="75"/>
              <w:rPr>
                <w:b/>
                <w:sz w:val="18"/>
              </w:rPr>
            </w:pPr>
          </w:p>
          <w:p>
            <w:pPr>
              <w:pStyle w:val="TableParagraph"/>
              <w:ind w:left="302"/>
              <w:rPr>
                <w:b/>
                <w:sz w:val="18"/>
              </w:rPr>
            </w:pPr>
            <w:r>
              <w:rPr>
                <w:b/>
                <w:sz w:val="18"/>
              </w:rPr>
              <w:t>Objetivos</w:t>
            </w:r>
            <w:r>
              <w:rPr>
                <w:b/>
                <w:spacing w:val="-5"/>
                <w:sz w:val="18"/>
              </w:rPr>
              <w:t> </w:t>
            </w:r>
            <w:r>
              <w:rPr>
                <w:b/>
                <w:sz w:val="18"/>
              </w:rPr>
              <w:t>/</w:t>
            </w:r>
            <w:r>
              <w:rPr>
                <w:b/>
                <w:spacing w:val="-2"/>
                <w:sz w:val="18"/>
              </w:rPr>
              <w:t> Resultados</w:t>
            </w:r>
          </w:p>
        </w:tc>
        <w:tc>
          <w:tcPr>
            <w:tcW w:w="1273" w:type="dxa"/>
            <w:shd w:val="clear" w:color="auto" w:fill="E8E8E8"/>
          </w:tcPr>
          <w:p>
            <w:pPr>
              <w:pStyle w:val="TableParagraph"/>
              <w:spacing w:before="181"/>
              <w:ind w:left="373" w:hanging="216"/>
              <w:rPr>
                <w:b/>
                <w:sz w:val="18"/>
              </w:rPr>
            </w:pPr>
            <w:r>
              <w:rPr>
                <w:b/>
                <w:sz w:val="18"/>
              </w:rPr>
              <w:t>Línea</w:t>
            </w:r>
            <w:r>
              <w:rPr>
                <w:b/>
                <w:spacing w:val="-13"/>
                <w:sz w:val="18"/>
              </w:rPr>
              <w:t> </w:t>
            </w:r>
            <w:r>
              <w:rPr>
                <w:b/>
                <w:sz w:val="18"/>
              </w:rPr>
              <w:t>Base </w:t>
            </w:r>
            <w:r>
              <w:rPr>
                <w:b/>
                <w:spacing w:val="-2"/>
                <w:sz w:val="18"/>
              </w:rPr>
              <w:t>(2024)</w:t>
            </w:r>
          </w:p>
        </w:tc>
        <w:tc>
          <w:tcPr>
            <w:tcW w:w="1561" w:type="dxa"/>
            <w:shd w:val="clear" w:color="auto" w:fill="E8E8E8"/>
          </w:tcPr>
          <w:p>
            <w:pPr>
              <w:pStyle w:val="TableParagraph"/>
              <w:spacing w:before="75"/>
              <w:ind w:left="96" w:right="92"/>
              <w:jc w:val="center"/>
              <w:rPr>
                <w:b/>
                <w:sz w:val="18"/>
              </w:rPr>
            </w:pPr>
            <w:r>
              <w:rPr>
                <w:b/>
                <w:spacing w:val="-4"/>
                <w:sz w:val="18"/>
              </w:rPr>
              <w:t>Meta </w:t>
            </w:r>
            <w:r>
              <w:rPr>
                <w:b/>
                <w:spacing w:val="-2"/>
                <w:sz w:val="18"/>
              </w:rPr>
              <w:t>programada </w:t>
            </w:r>
            <w:r>
              <w:rPr>
                <w:b/>
                <w:spacing w:val="-4"/>
                <w:sz w:val="18"/>
              </w:rPr>
              <w:t>2026</w:t>
            </w:r>
          </w:p>
        </w:tc>
        <w:tc>
          <w:tcPr>
            <w:tcW w:w="1431" w:type="dxa"/>
            <w:shd w:val="clear" w:color="auto" w:fill="E8E8E8"/>
          </w:tcPr>
          <w:p>
            <w:pPr>
              <w:pStyle w:val="TableParagraph"/>
              <w:spacing w:before="75"/>
              <w:rPr>
                <w:b/>
                <w:sz w:val="18"/>
              </w:rPr>
            </w:pPr>
          </w:p>
          <w:p>
            <w:pPr>
              <w:pStyle w:val="TableParagraph"/>
              <w:ind w:left="305"/>
              <w:rPr>
                <w:b/>
                <w:sz w:val="18"/>
              </w:rPr>
            </w:pPr>
            <w:r>
              <w:rPr>
                <w:b/>
                <w:spacing w:val="-2"/>
                <w:sz w:val="18"/>
              </w:rPr>
              <w:t>Indicador</w:t>
            </w:r>
          </w:p>
        </w:tc>
        <w:tc>
          <w:tcPr>
            <w:tcW w:w="1829" w:type="dxa"/>
            <w:shd w:val="clear" w:color="auto" w:fill="E8E8E8"/>
          </w:tcPr>
          <w:p>
            <w:pPr>
              <w:pStyle w:val="TableParagraph"/>
              <w:spacing w:before="181"/>
              <w:ind w:left="411" w:right="56" w:firstLine="57"/>
              <w:rPr>
                <w:b/>
                <w:sz w:val="18"/>
              </w:rPr>
            </w:pPr>
            <w:r>
              <w:rPr>
                <w:b/>
                <w:sz w:val="18"/>
              </w:rPr>
              <w:t>Medios de </w:t>
            </w:r>
            <w:r>
              <w:rPr>
                <w:b/>
                <w:spacing w:val="-2"/>
                <w:sz w:val="18"/>
              </w:rPr>
              <w:t>verificación</w:t>
            </w:r>
          </w:p>
        </w:tc>
        <w:tc>
          <w:tcPr>
            <w:tcW w:w="1421" w:type="dxa"/>
            <w:shd w:val="clear" w:color="auto" w:fill="E8E8E8"/>
          </w:tcPr>
          <w:p>
            <w:pPr>
              <w:pStyle w:val="TableParagraph"/>
              <w:spacing w:before="75"/>
              <w:rPr>
                <w:b/>
                <w:sz w:val="18"/>
              </w:rPr>
            </w:pPr>
          </w:p>
          <w:p>
            <w:pPr>
              <w:pStyle w:val="TableParagraph"/>
              <w:ind w:left="147"/>
              <w:rPr>
                <w:b/>
                <w:sz w:val="18"/>
              </w:rPr>
            </w:pPr>
            <w:r>
              <w:rPr>
                <w:b/>
                <w:spacing w:val="-2"/>
                <w:sz w:val="18"/>
              </w:rPr>
              <w:t>Responsable</w:t>
            </w:r>
          </w:p>
        </w:tc>
        <w:tc>
          <w:tcPr>
            <w:tcW w:w="1696" w:type="dxa"/>
            <w:shd w:val="clear" w:color="auto" w:fill="E8E8E8"/>
          </w:tcPr>
          <w:p>
            <w:pPr>
              <w:pStyle w:val="TableParagraph"/>
              <w:spacing w:before="181"/>
              <w:ind w:left="450" w:right="72" w:hanging="154"/>
              <w:rPr>
                <w:b/>
                <w:sz w:val="18"/>
              </w:rPr>
            </w:pPr>
            <w:r>
              <w:rPr>
                <w:b/>
                <w:spacing w:val="-2"/>
                <w:sz w:val="18"/>
              </w:rPr>
              <w:t>Presupuesto asignado</w:t>
            </w:r>
          </w:p>
        </w:tc>
        <w:tc>
          <w:tcPr>
            <w:tcW w:w="2699" w:type="dxa"/>
            <w:tcBorders>
              <w:bottom w:val="nil"/>
            </w:tcBorders>
            <w:shd w:val="clear" w:color="auto" w:fill="E8E8E8"/>
          </w:tcPr>
          <w:p>
            <w:pPr>
              <w:pStyle w:val="TableParagraph"/>
              <w:spacing w:before="75"/>
              <w:rPr>
                <w:b/>
                <w:sz w:val="18"/>
              </w:rPr>
            </w:pPr>
          </w:p>
          <w:p>
            <w:pPr>
              <w:pStyle w:val="TableParagraph"/>
              <w:ind w:left="15" w:right="1"/>
              <w:jc w:val="center"/>
              <w:rPr>
                <w:b/>
                <w:sz w:val="18"/>
              </w:rPr>
            </w:pPr>
            <w:r>
              <w:rPr>
                <w:b/>
                <w:spacing w:val="-2"/>
                <w:sz w:val="18"/>
              </w:rPr>
              <w:t>Riesgo</w:t>
            </w:r>
          </w:p>
        </w:tc>
      </w:tr>
      <w:tr>
        <w:trPr>
          <w:trHeight w:val="1200" w:hRule="atLeast"/>
        </w:trPr>
        <w:tc>
          <w:tcPr>
            <w:tcW w:w="2550" w:type="dxa"/>
          </w:tcPr>
          <w:p>
            <w:pPr>
              <w:pStyle w:val="TableParagraph"/>
              <w:spacing w:before="182"/>
              <w:ind w:left="72"/>
              <w:rPr>
                <w:sz w:val="18"/>
              </w:rPr>
            </w:pPr>
            <w:r>
              <w:rPr>
                <w:b/>
                <w:sz w:val="18"/>
              </w:rPr>
              <w:t>Actividad PAC 2.43.3: </w:t>
            </w:r>
            <w:r>
              <w:rPr>
                <w:sz w:val="18"/>
              </w:rPr>
              <w:t>Generación de ingresos por gestión</w:t>
            </w:r>
            <w:r>
              <w:rPr>
                <w:spacing w:val="-11"/>
                <w:sz w:val="18"/>
              </w:rPr>
              <w:t> </w:t>
            </w:r>
            <w:r>
              <w:rPr>
                <w:sz w:val="18"/>
              </w:rPr>
              <w:t>cobratoria</w:t>
            </w:r>
            <w:r>
              <w:rPr>
                <w:spacing w:val="-11"/>
                <w:sz w:val="18"/>
              </w:rPr>
              <w:t> </w:t>
            </w:r>
            <w:r>
              <w:rPr>
                <w:sz w:val="18"/>
              </w:rPr>
              <w:t>de</w:t>
            </w:r>
            <w:r>
              <w:rPr>
                <w:spacing w:val="-11"/>
                <w:sz w:val="18"/>
              </w:rPr>
              <w:t> </w:t>
            </w:r>
            <w:r>
              <w:rPr>
                <w:sz w:val="18"/>
              </w:rPr>
              <w:t>aportes Patronos Público. (AT)</w:t>
            </w:r>
          </w:p>
        </w:tc>
        <w:tc>
          <w:tcPr>
            <w:tcW w:w="1273" w:type="dxa"/>
          </w:tcPr>
          <w:p>
            <w:pPr>
              <w:pStyle w:val="TableParagraph"/>
              <w:spacing w:before="186"/>
              <w:rPr>
                <w:b/>
                <w:sz w:val="18"/>
              </w:rPr>
            </w:pPr>
          </w:p>
          <w:p>
            <w:pPr>
              <w:pStyle w:val="TableParagraph"/>
              <w:spacing w:line="207" w:lineRule="exact"/>
              <w:ind w:left="9" w:right="1"/>
              <w:jc w:val="center"/>
              <w:rPr>
                <w:sz w:val="18"/>
              </w:rPr>
            </w:pPr>
            <w:r>
              <w:rPr>
                <w:sz w:val="18"/>
              </w:rPr>
              <w:t>₡4</w:t>
            </w:r>
            <w:r>
              <w:rPr>
                <w:spacing w:val="1"/>
                <w:sz w:val="18"/>
              </w:rPr>
              <w:t> </w:t>
            </w:r>
            <w:r>
              <w:rPr>
                <w:sz w:val="18"/>
              </w:rPr>
              <w:t>504</w:t>
            </w:r>
            <w:r>
              <w:rPr>
                <w:spacing w:val="-3"/>
                <w:sz w:val="18"/>
              </w:rPr>
              <w:t> </w:t>
            </w:r>
            <w:r>
              <w:rPr>
                <w:spacing w:val="-5"/>
                <w:sz w:val="18"/>
              </w:rPr>
              <w:t>228</w:t>
            </w:r>
          </w:p>
          <w:p>
            <w:pPr>
              <w:pStyle w:val="TableParagraph"/>
              <w:spacing w:line="207" w:lineRule="exact"/>
              <w:ind w:left="8" w:right="9"/>
              <w:jc w:val="center"/>
              <w:rPr>
                <w:sz w:val="18"/>
              </w:rPr>
            </w:pPr>
            <w:r>
              <w:rPr>
                <w:spacing w:val="-5"/>
                <w:sz w:val="18"/>
              </w:rPr>
              <w:t>103</w:t>
            </w:r>
          </w:p>
        </w:tc>
        <w:tc>
          <w:tcPr>
            <w:tcW w:w="1561" w:type="dxa"/>
          </w:tcPr>
          <w:p>
            <w:pPr>
              <w:pStyle w:val="TableParagraph"/>
              <w:rPr>
                <w:b/>
                <w:sz w:val="18"/>
              </w:rPr>
            </w:pPr>
          </w:p>
          <w:p>
            <w:pPr>
              <w:pStyle w:val="TableParagraph"/>
              <w:spacing w:before="80"/>
              <w:rPr>
                <w:b/>
                <w:sz w:val="18"/>
              </w:rPr>
            </w:pPr>
          </w:p>
          <w:p>
            <w:pPr>
              <w:pStyle w:val="TableParagraph"/>
              <w:ind w:left="96" w:right="94"/>
              <w:jc w:val="center"/>
              <w:rPr>
                <w:sz w:val="18"/>
              </w:rPr>
            </w:pPr>
            <w:r>
              <w:rPr>
                <w:sz w:val="18"/>
              </w:rPr>
              <w:t>₡4</w:t>
            </w:r>
            <w:r>
              <w:rPr>
                <w:spacing w:val="1"/>
                <w:sz w:val="18"/>
              </w:rPr>
              <w:t> </w:t>
            </w:r>
            <w:r>
              <w:rPr>
                <w:sz w:val="18"/>
              </w:rPr>
              <w:t>257</w:t>
            </w:r>
            <w:r>
              <w:rPr>
                <w:spacing w:val="-3"/>
                <w:sz w:val="18"/>
              </w:rPr>
              <w:t> </w:t>
            </w:r>
            <w:r>
              <w:rPr>
                <w:sz w:val="18"/>
              </w:rPr>
              <w:t>199</w:t>
            </w:r>
            <w:r>
              <w:rPr>
                <w:spacing w:val="-2"/>
                <w:sz w:val="18"/>
              </w:rPr>
              <w:t> </w:t>
            </w:r>
            <w:r>
              <w:rPr>
                <w:spacing w:val="-5"/>
                <w:sz w:val="18"/>
              </w:rPr>
              <w:t>386</w:t>
            </w:r>
          </w:p>
        </w:tc>
        <w:tc>
          <w:tcPr>
            <w:tcW w:w="1431" w:type="dxa"/>
          </w:tcPr>
          <w:p>
            <w:pPr>
              <w:pStyle w:val="TableParagraph"/>
              <w:spacing w:before="81"/>
              <w:ind w:left="65" w:right="55"/>
              <w:rPr>
                <w:sz w:val="18"/>
              </w:rPr>
            </w:pPr>
            <w:r>
              <w:rPr>
                <w:sz w:val="18"/>
              </w:rPr>
              <w:t>Monto en </w:t>
            </w:r>
            <w:r>
              <w:rPr>
                <w:spacing w:val="-2"/>
                <w:sz w:val="18"/>
              </w:rPr>
              <w:t>colones </w:t>
            </w:r>
            <w:r>
              <w:rPr>
                <w:sz w:val="18"/>
              </w:rPr>
              <w:t>estimado</w:t>
            </w:r>
            <w:r>
              <w:rPr>
                <w:spacing w:val="-15"/>
                <w:sz w:val="18"/>
              </w:rPr>
              <w:t> </w:t>
            </w:r>
            <w:r>
              <w:rPr>
                <w:sz w:val="18"/>
              </w:rPr>
              <w:t>de</w:t>
            </w:r>
            <w:r>
              <w:rPr>
                <w:spacing w:val="-12"/>
                <w:sz w:val="18"/>
              </w:rPr>
              <w:t> </w:t>
            </w:r>
            <w:r>
              <w:rPr>
                <w:sz w:val="18"/>
              </w:rPr>
              <w:t>los </w:t>
            </w:r>
            <w:r>
              <w:rPr>
                <w:spacing w:val="-2"/>
                <w:sz w:val="18"/>
              </w:rPr>
              <w:t>ingresos tributarios</w:t>
            </w:r>
          </w:p>
        </w:tc>
        <w:tc>
          <w:tcPr>
            <w:tcW w:w="1829" w:type="dxa"/>
          </w:tcPr>
          <w:p>
            <w:pPr>
              <w:pStyle w:val="TableParagraph"/>
              <w:spacing w:before="80"/>
              <w:rPr>
                <w:b/>
                <w:sz w:val="18"/>
              </w:rPr>
            </w:pPr>
          </w:p>
          <w:p>
            <w:pPr>
              <w:pStyle w:val="TableParagraph"/>
              <w:ind w:left="65" w:right="56"/>
              <w:rPr>
                <w:sz w:val="18"/>
              </w:rPr>
            </w:pPr>
            <w:r>
              <w:rPr>
                <w:sz w:val="18"/>
              </w:rPr>
              <w:t>Reporte</w:t>
            </w:r>
            <w:r>
              <w:rPr>
                <w:spacing w:val="-15"/>
                <w:sz w:val="18"/>
              </w:rPr>
              <w:t> </w:t>
            </w:r>
            <w:r>
              <w:rPr>
                <w:sz w:val="18"/>
              </w:rPr>
              <w:t>de</w:t>
            </w:r>
            <w:r>
              <w:rPr>
                <w:spacing w:val="-12"/>
                <w:sz w:val="18"/>
              </w:rPr>
              <w:t> </w:t>
            </w:r>
            <w:r>
              <w:rPr>
                <w:sz w:val="18"/>
              </w:rPr>
              <w:t>ingresos </w:t>
            </w:r>
            <w:r>
              <w:rPr>
                <w:spacing w:val="-2"/>
                <w:sz w:val="18"/>
              </w:rPr>
              <w:t>presupuestarios </w:t>
            </w:r>
            <w:r>
              <w:rPr>
                <w:sz w:val="18"/>
              </w:rPr>
              <w:t>proveniente</w:t>
            </w:r>
            <w:r>
              <w:rPr>
                <w:spacing w:val="-6"/>
                <w:sz w:val="18"/>
              </w:rPr>
              <w:t> </w:t>
            </w:r>
            <w:r>
              <w:rPr>
                <w:sz w:val="18"/>
              </w:rPr>
              <w:t>de</w:t>
            </w:r>
            <w:r>
              <w:rPr>
                <w:spacing w:val="-6"/>
                <w:sz w:val="18"/>
              </w:rPr>
              <w:t> </w:t>
            </w:r>
            <w:r>
              <w:rPr>
                <w:sz w:val="18"/>
              </w:rPr>
              <w:t>SAP</w:t>
            </w:r>
          </w:p>
        </w:tc>
        <w:tc>
          <w:tcPr>
            <w:tcW w:w="1421" w:type="dxa"/>
          </w:tcPr>
          <w:p>
            <w:pPr>
              <w:pStyle w:val="TableParagraph"/>
              <w:spacing w:before="186"/>
              <w:rPr>
                <w:b/>
                <w:sz w:val="18"/>
              </w:rPr>
            </w:pPr>
          </w:p>
          <w:p>
            <w:pPr>
              <w:pStyle w:val="TableParagraph"/>
              <w:ind w:left="70"/>
              <w:rPr>
                <w:sz w:val="18"/>
              </w:rPr>
            </w:pPr>
            <w:r>
              <w:rPr>
                <w:spacing w:val="-2"/>
                <w:sz w:val="18"/>
              </w:rPr>
              <w:t>Administración Tributaria</w:t>
            </w:r>
          </w:p>
        </w:tc>
        <w:tc>
          <w:tcPr>
            <w:tcW w:w="1696" w:type="dxa"/>
          </w:tcPr>
          <w:p>
            <w:pPr>
              <w:pStyle w:val="TableParagraph"/>
              <w:rPr>
                <w:rFonts w:ascii="Times New Roman"/>
                <w:sz w:val="18"/>
              </w:rPr>
            </w:pPr>
          </w:p>
        </w:tc>
        <w:tc>
          <w:tcPr>
            <w:tcW w:w="2699" w:type="dxa"/>
            <w:vMerge w:val="restart"/>
            <w:tcBorders>
              <w:top w:val="nil"/>
            </w:tcBorders>
          </w:tcPr>
          <w:p>
            <w:pPr>
              <w:pStyle w:val="TableParagraph"/>
              <w:rPr>
                <w:rFonts w:ascii="Times New Roman"/>
                <w:sz w:val="18"/>
              </w:rPr>
            </w:pPr>
          </w:p>
        </w:tc>
      </w:tr>
      <w:tr>
        <w:trPr>
          <w:trHeight w:val="1199" w:hRule="atLeast"/>
        </w:trPr>
        <w:tc>
          <w:tcPr>
            <w:tcW w:w="2550" w:type="dxa"/>
          </w:tcPr>
          <w:p>
            <w:pPr>
              <w:pStyle w:val="TableParagraph"/>
              <w:spacing w:before="81"/>
              <w:ind w:left="72" w:right="141"/>
              <w:rPr>
                <w:sz w:val="18"/>
              </w:rPr>
            </w:pPr>
            <w:r>
              <w:rPr>
                <w:b/>
                <w:sz w:val="18"/>
              </w:rPr>
              <w:t>Actividad PAC 2.43.4: </w:t>
            </w:r>
            <w:r>
              <w:rPr>
                <w:sz w:val="18"/>
              </w:rPr>
              <w:t>Generación de ingresos por gestión cobratoria del Impuesto</w:t>
            </w:r>
            <w:r>
              <w:rPr>
                <w:spacing w:val="-11"/>
                <w:sz w:val="18"/>
              </w:rPr>
              <w:t> </w:t>
            </w:r>
            <w:r>
              <w:rPr>
                <w:sz w:val="18"/>
              </w:rPr>
              <w:t>a</w:t>
            </w:r>
            <w:r>
              <w:rPr>
                <w:spacing w:val="-11"/>
                <w:sz w:val="18"/>
              </w:rPr>
              <w:t> </w:t>
            </w:r>
            <w:r>
              <w:rPr>
                <w:sz w:val="18"/>
              </w:rPr>
              <w:t>Moteles</w:t>
            </w:r>
            <w:r>
              <w:rPr>
                <w:spacing w:val="-11"/>
                <w:sz w:val="18"/>
              </w:rPr>
              <w:t> </w:t>
            </w:r>
            <w:r>
              <w:rPr>
                <w:sz w:val="18"/>
              </w:rPr>
              <w:t>y</w:t>
            </w:r>
            <w:r>
              <w:rPr>
                <w:spacing w:val="-7"/>
                <w:sz w:val="18"/>
              </w:rPr>
              <w:t> </w:t>
            </w:r>
            <w:r>
              <w:rPr>
                <w:sz w:val="18"/>
              </w:rPr>
              <w:t>Afines. </w:t>
            </w:r>
            <w:r>
              <w:rPr>
                <w:spacing w:val="-4"/>
                <w:sz w:val="18"/>
              </w:rPr>
              <w:t>(AT)</w:t>
            </w:r>
          </w:p>
        </w:tc>
        <w:tc>
          <w:tcPr>
            <w:tcW w:w="1273" w:type="dxa"/>
          </w:tcPr>
          <w:p>
            <w:pPr>
              <w:pStyle w:val="TableParagraph"/>
              <w:spacing w:before="185"/>
              <w:rPr>
                <w:b/>
                <w:sz w:val="18"/>
              </w:rPr>
            </w:pPr>
          </w:p>
          <w:p>
            <w:pPr>
              <w:pStyle w:val="TableParagraph"/>
              <w:spacing w:line="207" w:lineRule="exact" w:before="1"/>
              <w:ind w:left="9" w:right="1"/>
              <w:jc w:val="center"/>
              <w:rPr>
                <w:sz w:val="18"/>
              </w:rPr>
            </w:pPr>
            <w:r>
              <w:rPr>
                <w:sz w:val="18"/>
              </w:rPr>
              <w:t>₡1</w:t>
            </w:r>
            <w:r>
              <w:rPr>
                <w:spacing w:val="1"/>
                <w:sz w:val="18"/>
              </w:rPr>
              <w:t> </w:t>
            </w:r>
            <w:r>
              <w:rPr>
                <w:sz w:val="18"/>
              </w:rPr>
              <w:t>258</w:t>
            </w:r>
            <w:r>
              <w:rPr>
                <w:spacing w:val="-3"/>
                <w:sz w:val="18"/>
              </w:rPr>
              <w:t> </w:t>
            </w:r>
            <w:r>
              <w:rPr>
                <w:spacing w:val="-5"/>
                <w:sz w:val="18"/>
              </w:rPr>
              <w:t>823</w:t>
            </w:r>
          </w:p>
          <w:p>
            <w:pPr>
              <w:pStyle w:val="TableParagraph"/>
              <w:spacing w:line="207" w:lineRule="exact"/>
              <w:ind w:left="8" w:right="9"/>
              <w:jc w:val="center"/>
              <w:rPr>
                <w:sz w:val="18"/>
              </w:rPr>
            </w:pPr>
            <w:r>
              <w:rPr>
                <w:spacing w:val="-5"/>
                <w:sz w:val="18"/>
              </w:rPr>
              <w:t>127</w:t>
            </w:r>
          </w:p>
        </w:tc>
        <w:tc>
          <w:tcPr>
            <w:tcW w:w="1561" w:type="dxa"/>
          </w:tcPr>
          <w:p>
            <w:pPr>
              <w:pStyle w:val="TableParagraph"/>
              <w:rPr>
                <w:b/>
                <w:sz w:val="18"/>
              </w:rPr>
            </w:pPr>
          </w:p>
          <w:p>
            <w:pPr>
              <w:pStyle w:val="TableParagraph"/>
              <w:spacing w:before="79"/>
              <w:rPr>
                <w:b/>
                <w:sz w:val="18"/>
              </w:rPr>
            </w:pPr>
          </w:p>
          <w:p>
            <w:pPr>
              <w:pStyle w:val="TableParagraph"/>
              <w:ind w:left="96" w:right="94"/>
              <w:jc w:val="center"/>
              <w:rPr>
                <w:sz w:val="18"/>
              </w:rPr>
            </w:pPr>
            <w:r>
              <w:rPr>
                <w:sz w:val="18"/>
              </w:rPr>
              <w:t>₡1</w:t>
            </w:r>
            <w:r>
              <w:rPr>
                <w:spacing w:val="1"/>
                <w:sz w:val="18"/>
              </w:rPr>
              <w:t> </w:t>
            </w:r>
            <w:r>
              <w:rPr>
                <w:sz w:val="18"/>
              </w:rPr>
              <w:t>189</w:t>
            </w:r>
            <w:r>
              <w:rPr>
                <w:spacing w:val="-3"/>
                <w:sz w:val="18"/>
              </w:rPr>
              <w:t> </w:t>
            </w:r>
            <w:r>
              <w:rPr>
                <w:sz w:val="18"/>
              </w:rPr>
              <w:t>219</w:t>
            </w:r>
            <w:r>
              <w:rPr>
                <w:spacing w:val="-2"/>
                <w:sz w:val="18"/>
              </w:rPr>
              <w:t> </w:t>
            </w:r>
            <w:r>
              <w:rPr>
                <w:spacing w:val="-5"/>
                <w:sz w:val="18"/>
              </w:rPr>
              <w:t>632</w:t>
            </w:r>
          </w:p>
        </w:tc>
        <w:tc>
          <w:tcPr>
            <w:tcW w:w="1431" w:type="dxa"/>
          </w:tcPr>
          <w:p>
            <w:pPr>
              <w:pStyle w:val="TableParagraph"/>
              <w:spacing w:before="81"/>
              <w:ind w:left="65" w:right="55"/>
              <w:rPr>
                <w:sz w:val="18"/>
              </w:rPr>
            </w:pPr>
            <w:r>
              <w:rPr>
                <w:sz w:val="18"/>
              </w:rPr>
              <w:t>Monto en </w:t>
            </w:r>
            <w:r>
              <w:rPr>
                <w:spacing w:val="-2"/>
                <w:sz w:val="18"/>
              </w:rPr>
              <w:t>colones </w:t>
            </w:r>
            <w:r>
              <w:rPr>
                <w:sz w:val="18"/>
              </w:rPr>
              <w:t>estimado</w:t>
            </w:r>
            <w:r>
              <w:rPr>
                <w:spacing w:val="-15"/>
                <w:sz w:val="18"/>
              </w:rPr>
              <w:t> </w:t>
            </w:r>
            <w:r>
              <w:rPr>
                <w:sz w:val="18"/>
              </w:rPr>
              <w:t>de</w:t>
            </w:r>
            <w:r>
              <w:rPr>
                <w:spacing w:val="-12"/>
                <w:sz w:val="18"/>
              </w:rPr>
              <w:t> </w:t>
            </w:r>
            <w:r>
              <w:rPr>
                <w:sz w:val="18"/>
              </w:rPr>
              <w:t>los </w:t>
            </w:r>
            <w:r>
              <w:rPr>
                <w:spacing w:val="-2"/>
                <w:sz w:val="18"/>
              </w:rPr>
              <w:t>ingresos tributarios</w:t>
            </w:r>
          </w:p>
        </w:tc>
        <w:tc>
          <w:tcPr>
            <w:tcW w:w="1829" w:type="dxa"/>
          </w:tcPr>
          <w:p>
            <w:pPr>
              <w:pStyle w:val="TableParagraph"/>
              <w:spacing w:before="80"/>
              <w:rPr>
                <w:b/>
                <w:sz w:val="18"/>
              </w:rPr>
            </w:pPr>
          </w:p>
          <w:p>
            <w:pPr>
              <w:pStyle w:val="TableParagraph"/>
              <w:ind w:left="65" w:right="56"/>
              <w:rPr>
                <w:sz w:val="18"/>
              </w:rPr>
            </w:pPr>
            <w:r>
              <w:rPr>
                <w:sz w:val="18"/>
              </w:rPr>
              <w:t>Reporte</w:t>
            </w:r>
            <w:r>
              <w:rPr>
                <w:spacing w:val="-15"/>
                <w:sz w:val="18"/>
              </w:rPr>
              <w:t> </w:t>
            </w:r>
            <w:r>
              <w:rPr>
                <w:sz w:val="18"/>
              </w:rPr>
              <w:t>de</w:t>
            </w:r>
            <w:r>
              <w:rPr>
                <w:spacing w:val="-12"/>
                <w:sz w:val="18"/>
              </w:rPr>
              <w:t> </w:t>
            </w:r>
            <w:r>
              <w:rPr>
                <w:sz w:val="18"/>
              </w:rPr>
              <w:t>ingresos </w:t>
            </w:r>
            <w:r>
              <w:rPr>
                <w:spacing w:val="-2"/>
                <w:sz w:val="18"/>
              </w:rPr>
              <w:t>presupuestarios </w:t>
            </w:r>
            <w:r>
              <w:rPr>
                <w:sz w:val="18"/>
              </w:rPr>
              <w:t>proveniente</w:t>
            </w:r>
            <w:r>
              <w:rPr>
                <w:spacing w:val="-6"/>
                <w:sz w:val="18"/>
              </w:rPr>
              <w:t> </w:t>
            </w:r>
            <w:r>
              <w:rPr>
                <w:sz w:val="18"/>
              </w:rPr>
              <w:t>de</w:t>
            </w:r>
            <w:r>
              <w:rPr>
                <w:spacing w:val="-6"/>
                <w:sz w:val="18"/>
              </w:rPr>
              <w:t> </w:t>
            </w:r>
            <w:r>
              <w:rPr>
                <w:sz w:val="18"/>
              </w:rPr>
              <w:t>SAP</w:t>
            </w:r>
          </w:p>
        </w:tc>
        <w:tc>
          <w:tcPr>
            <w:tcW w:w="1421" w:type="dxa"/>
          </w:tcPr>
          <w:p>
            <w:pPr>
              <w:pStyle w:val="TableParagraph"/>
              <w:spacing w:before="185"/>
              <w:rPr>
                <w:b/>
                <w:sz w:val="18"/>
              </w:rPr>
            </w:pPr>
          </w:p>
          <w:p>
            <w:pPr>
              <w:pStyle w:val="TableParagraph"/>
              <w:spacing w:before="1"/>
              <w:ind w:left="70"/>
              <w:rPr>
                <w:sz w:val="18"/>
              </w:rPr>
            </w:pPr>
            <w:r>
              <w:rPr>
                <w:spacing w:val="-2"/>
                <w:sz w:val="18"/>
              </w:rPr>
              <w:t>Administración Tributaria</w:t>
            </w:r>
          </w:p>
        </w:tc>
        <w:tc>
          <w:tcPr>
            <w:tcW w:w="1696" w:type="dxa"/>
          </w:tcPr>
          <w:p>
            <w:pPr>
              <w:pStyle w:val="TableParagraph"/>
              <w:rPr>
                <w:rFonts w:ascii="Times New Roman"/>
                <w:sz w:val="18"/>
              </w:rPr>
            </w:pPr>
          </w:p>
        </w:tc>
        <w:tc>
          <w:tcPr>
            <w:tcW w:w="2699" w:type="dxa"/>
            <w:vMerge/>
            <w:tcBorders>
              <w:top w:val="nil"/>
            </w:tcBorders>
          </w:tcPr>
          <w:p>
            <w:pPr>
              <w:rPr>
                <w:sz w:val="2"/>
                <w:szCs w:val="2"/>
              </w:rPr>
            </w:pPr>
          </w:p>
        </w:tc>
      </w:tr>
      <w:tr>
        <w:trPr>
          <w:trHeight w:val="1200" w:hRule="atLeast"/>
        </w:trPr>
        <w:tc>
          <w:tcPr>
            <w:tcW w:w="2550" w:type="dxa"/>
          </w:tcPr>
          <w:p>
            <w:pPr>
              <w:pStyle w:val="TableParagraph"/>
              <w:spacing w:before="186"/>
              <w:ind w:left="72" w:right="141"/>
              <w:rPr>
                <w:sz w:val="18"/>
              </w:rPr>
            </w:pPr>
            <w:r>
              <w:rPr>
                <w:b/>
                <w:sz w:val="18"/>
              </w:rPr>
              <w:t>Actividad PAC 2.43.5: </w:t>
            </w:r>
            <w:r>
              <w:rPr>
                <w:sz w:val="18"/>
              </w:rPr>
              <w:t>Generación</w:t>
            </w:r>
            <w:r>
              <w:rPr>
                <w:spacing w:val="-12"/>
                <w:sz w:val="18"/>
              </w:rPr>
              <w:t> </w:t>
            </w:r>
            <w:r>
              <w:rPr>
                <w:sz w:val="18"/>
              </w:rPr>
              <w:t>de</w:t>
            </w:r>
            <w:r>
              <w:rPr>
                <w:spacing w:val="-12"/>
                <w:sz w:val="18"/>
              </w:rPr>
              <w:t> </w:t>
            </w:r>
            <w:r>
              <w:rPr>
                <w:sz w:val="18"/>
              </w:rPr>
              <w:t>ingresos</w:t>
            </w:r>
            <w:r>
              <w:rPr>
                <w:spacing w:val="-12"/>
                <w:sz w:val="18"/>
              </w:rPr>
              <w:t> </w:t>
            </w:r>
            <w:r>
              <w:rPr>
                <w:sz w:val="18"/>
              </w:rPr>
              <w:t>por gestión cobratoria de recargos e intereses. (AT)</w:t>
            </w:r>
          </w:p>
        </w:tc>
        <w:tc>
          <w:tcPr>
            <w:tcW w:w="1273" w:type="dxa"/>
          </w:tcPr>
          <w:p>
            <w:pPr>
              <w:pStyle w:val="TableParagraph"/>
              <w:rPr>
                <w:b/>
                <w:sz w:val="18"/>
              </w:rPr>
            </w:pPr>
          </w:p>
          <w:p>
            <w:pPr>
              <w:pStyle w:val="TableParagraph"/>
              <w:spacing w:before="80"/>
              <w:rPr>
                <w:b/>
                <w:sz w:val="18"/>
              </w:rPr>
            </w:pPr>
          </w:p>
          <w:p>
            <w:pPr>
              <w:pStyle w:val="TableParagraph"/>
              <w:ind w:left="9" w:right="1"/>
              <w:jc w:val="center"/>
              <w:rPr>
                <w:sz w:val="18"/>
              </w:rPr>
            </w:pPr>
            <w:r>
              <w:rPr>
                <w:sz w:val="18"/>
              </w:rPr>
              <w:t>₡266</w:t>
            </w:r>
            <w:r>
              <w:rPr>
                <w:spacing w:val="1"/>
                <w:sz w:val="18"/>
              </w:rPr>
              <w:t> </w:t>
            </w:r>
            <w:r>
              <w:rPr>
                <w:sz w:val="18"/>
              </w:rPr>
              <w:t>548</w:t>
            </w:r>
            <w:r>
              <w:rPr>
                <w:spacing w:val="-3"/>
                <w:sz w:val="18"/>
              </w:rPr>
              <w:t> </w:t>
            </w:r>
            <w:r>
              <w:rPr>
                <w:spacing w:val="-5"/>
                <w:sz w:val="18"/>
              </w:rPr>
              <w:t>462</w:t>
            </w:r>
          </w:p>
        </w:tc>
        <w:tc>
          <w:tcPr>
            <w:tcW w:w="1561" w:type="dxa"/>
          </w:tcPr>
          <w:p>
            <w:pPr>
              <w:pStyle w:val="TableParagraph"/>
              <w:rPr>
                <w:b/>
                <w:sz w:val="18"/>
              </w:rPr>
            </w:pPr>
          </w:p>
          <w:p>
            <w:pPr>
              <w:pStyle w:val="TableParagraph"/>
              <w:spacing w:before="80"/>
              <w:rPr>
                <w:b/>
                <w:sz w:val="18"/>
              </w:rPr>
            </w:pPr>
          </w:p>
          <w:p>
            <w:pPr>
              <w:pStyle w:val="TableParagraph"/>
              <w:ind w:left="98" w:right="91"/>
              <w:jc w:val="center"/>
              <w:rPr>
                <w:sz w:val="18"/>
              </w:rPr>
            </w:pPr>
            <w:r>
              <w:rPr>
                <w:sz w:val="18"/>
              </w:rPr>
              <w:t>₡261</w:t>
            </w:r>
            <w:r>
              <w:rPr>
                <w:spacing w:val="1"/>
                <w:sz w:val="18"/>
              </w:rPr>
              <w:t> </w:t>
            </w:r>
            <w:r>
              <w:rPr>
                <w:sz w:val="18"/>
              </w:rPr>
              <w:t>773</w:t>
            </w:r>
            <w:r>
              <w:rPr>
                <w:spacing w:val="-3"/>
                <w:sz w:val="18"/>
              </w:rPr>
              <w:t> </w:t>
            </w:r>
            <w:r>
              <w:rPr>
                <w:spacing w:val="-5"/>
                <w:sz w:val="18"/>
              </w:rPr>
              <w:t>767</w:t>
            </w:r>
          </w:p>
        </w:tc>
        <w:tc>
          <w:tcPr>
            <w:tcW w:w="1431" w:type="dxa"/>
          </w:tcPr>
          <w:p>
            <w:pPr>
              <w:pStyle w:val="TableParagraph"/>
              <w:spacing w:before="81"/>
              <w:ind w:left="65" w:right="55"/>
              <w:rPr>
                <w:sz w:val="18"/>
              </w:rPr>
            </w:pPr>
            <w:r>
              <w:rPr>
                <w:sz w:val="18"/>
              </w:rPr>
              <w:t>Monto en </w:t>
            </w:r>
            <w:r>
              <w:rPr>
                <w:spacing w:val="-2"/>
                <w:sz w:val="18"/>
              </w:rPr>
              <w:t>colones </w:t>
            </w:r>
            <w:r>
              <w:rPr>
                <w:sz w:val="18"/>
              </w:rPr>
              <w:t>estimado</w:t>
            </w:r>
            <w:r>
              <w:rPr>
                <w:spacing w:val="-15"/>
                <w:sz w:val="18"/>
              </w:rPr>
              <w:t> </w:t>
            </w:r>
            <w:r>
              <w:rPr>
                <w:sz w:val="18"/>
              </w:rPr>
              <w:t>de</w:t>
            </w:r>
            <w:r>
              <w:rPr>
                <w:spacing w:val="-12"/>
                <w:sz w:val="18"/>
              </w:rPr>
              <w:t> </w:t>
            </w:r>
            <w:r>
              <w:rPr>
                <w:sz w:val="18"/>
              </w:rPr>
              <w:t>los </w:t>
            </w:r>
            <w:r>
              <w:rPr>
                <w:spacing w:val="-2"/>
                <w:sz w:val="18"/>
              </w:rPr>
              <w:t>ingresos tributarios</w:t>
            </w:r>
          </w:p>
        </w:tc>
        <w:tc>
          <w:tcPr>
            <w:tcW w:w="1829" w:type="dxa"/>
          </w:tcPr>
          <w:p>
            <w:pPr>
              <w:pStyle w:val="TableParagraph"/>
              <w:spacing w:before="80"/>
              <w:rPr>
                <w:b/>
                <w:sz w:val="18"/>
              </w:rPr>
            </w:pPr>
          </w:p>
          <w:p>
            <w:pPr>
              <w:pStyle w:val="TableParagraph"/>
              <w:ind w:left="65" w:right="56"/>
              <w:rPr>
                <w:sz w:val="18"/>
              </w:rPr>
            </w:pPr>
            <w:r>
              <w:rPr>
                <w:sz w:val="18"/>
              </w:rPr>
              <w:t>Reporte</w:t>
            </w:r>
            <w:r>
              <w:rPr>
                <w:spacing w:val="-15"/>
                <w:sz w:val="18"/>
              </w:rPr>
              <w:t> </w:t>
            </w:r>
            <w:r>
              <w:rPr>
                <w:sz w:val="18"/>
              </w:rPr>
              <w:t>de</w:t>
            </w:r>
            <w:r>
              <w:rPr>
                <w:spacing w:val="-12"/>
                <w:sz w:val="18"/>
              </w:rPr>
              <w:t> </w:t>
            </w:r>
            <w:r>
              <w:rPr>
                <w:sz w:val="18"/>
              </w:rPr>
              <w:t>ingresos </w:t>
            </w:r>
            <w:r>
              <w:rPr>
                <w:spacing w:val="-2"/>
                <w:sz w:val="18"/>
              </w:rPr>
              <w:t>presupuestarios </w:t>
            </w:r>
            <w:r>
              <w:rPr>
                <w:sz w:val="18"/>
              </w:rPr>
              <w:t>proveniente</w:t>
            </w:r>
            <w:r>
              <w:rPr>
                <w:spacing w:val="-6"/>
                <w:sz w:val="18"/>
              </w:rPr>
              <w:t> </w:t>
            </w:r>
            <w:r>
              <w:rPr>
                <w:sz w:val="18"/>
              </w:rPr>
              <w:t>de</w:t>
            </w:r>
            <w:r>
              <w:rPr>
                <w:spacing w:val="-6"/>
                <w:sz w:val="18"/>
              </w:rPr>
              <w:t> </w:t>
            </w:r>
            <w:r>
              <w:rPr>
                <w:sz w:val="18"/>
              </w:rPr>
              <w:t>SAP</w:t>
            </w:r>
          </w:p>
        </w:tc>
        <w:tc>
          <w:tcPr>
            <w:tcW w:w="1421" w:type="dxa"/>
          </w:tcPr>
          <w:p>
            <w:pPr>
              <w:pStyle w:val="TableParagraph"/>
              <w:spacing w:before="186"/>
              <w:rPr>
                <w:b/>
                <w:sz w:val="18"/>
              </w:rPr>
            </w:pPr>
          </w:p>
          <w:p>
            <w:pPr>
              <w:pStyle w:val="TableParagraph"/>
              <w:ind w:left="70"/>
              <w:rPr>
                <w:sz w:val="18"/>
              </w:rPr>
            </w:pPr>
            <w:r>
              <w:rPr>
                <w:spacing w:val="-2"/>
                <w:sz w:val="18"/>
              </w:rPr>
              <w:t>Administración Tributaria</w:t>
            </w:r>
          </w:p>
        </w:tc>
        <w:tc>
          <w:tcPr>
            <w:tcW w:w="1696" w:type="dxa"/>
          </w:tcPr>
          <w:p>
            <w:pPr>
              <w:pStyle w:val="TableParagraph"/>
              <w:rPr>
                <w:rFonts w:ascii="Times New Roman"/>
                <w:sz w:val="18"/>
              </w:rPr>
            </w:pPr>
          </w:p>
        </w:tc>
        <w:tc>
          <w:tcPr>
            <w:tcW w:w="2699" w:type="dxa"/>
            <w:vMerge/>
            <w:tcBorders>
              <w:top w:val="nil"/>
            </w:tcBorders>
          </w:tcPr>
          <w:p>
            <w:pPr>
              <w:rPr>
                <w:sz w:val="2"/>
                <w:szCs w:val="2"/>
              </w:rPr>
            </w:pPr>
          </w:p>
        </w:tc>
      </w:tr>
      <w:tr>
        <w:trPr>
          <w:trHeight w:val="480" w:hRule="atLeast"/>
        </w:trPr>
        <w:tc>
          <w:tcPr>
            <w:tcW w:w="14460" w:type="dxa"/>
            <w:gridSpan w:val="8"/>
            <w:shd w:val="clear" w:color="auto" w:fill="EFF8F9"/>
          </w:tcPr>
          <w:p>
            <w:pPr>
              <w:pStyle w:val="TableParagraph"/>
              <w:spacing w:before="133"/>
              <w:ind w:left="72"/>
              <w:rPr>
                <w:b/>
                <w:sz w:val="18"/>
              </w:rPr>
            </w:pPr>
            <w:r>
              <w:rPr>
                <w:b/>
                <w:sz w:val="18"/>
              </w:rPr>
              <w:t>Producto</w:t>
            </w:r>
            <w:r>
              <w:rPr>
                <w:b/>
                <w:spacing w:val="-7"/>
                <w:sz w:val="18"/>
              </w:rPr>
              <w:t> </w:t>
            </w:r>
            <w:r>
              <w:rPr>
                <w:b/>
                <w:sz w:val="18"/>
              </w:rPr>
              <w:t>PAC</w:t>
            </w:r>
            <w:r>
              <w:rPr>
                <w:b/>
                <w:spacing w:val="-8"/>
                <w:sz w:val="18"/>
              </w:rPr>
              <w:t> </w:t>
            </w:r>
            <w:r>
              <w:rPr>
                <w:b/>
                <w:sz w:val="18"/>
              </w:rPr>
              <w:t>2.44:</w:t>
            </w:r>
            <w:r>
              <w:rPr>
                <w:b/>
                <w:spacing w:val="-5"/>
                <w:sz w:val="18"/>
              </w:rPr>
              <w:t> </w:t>
            </w:r>
            <w:r>
              <w:rPr>
                <w:b/>
                <w:sz w:val="18"/>
              </w:rPr>
              <w:t>Herramientas</w:t>
            </w:r>
            <w:r>
              <w:rPr>
                <w:b/>
                <w:spacing w:val="-6"/>
                <w:sz w:val="18"/>
              </w:rPr>
              <w:t> </w:t>
            </w:r>
            <w:r>
              <w:rPr>
                <w:b/>
                <w:sz w:val="18"/>
              </w:rPr>
              <w:t>informáticas</w:t>
            </w:r>
            <w:r>
              <w:rPr>
                <w:b/>
                <w:spacing w:val="-6"/>
                <w:sz w:val="18"/>
              </w:rPr>
              <w:t> </w:t>
            </w:r>
            <w:r>
              <w:rPr>
                <w:b/>
                <w:sz w:val="18"/>
              </w:rPr>
              <w:t>implementadas</w:t>
            </w:r>
            <w:r>
              <w:rPr>
                <w:b/>
                <w:spacing w:val="-6"/>
                <w:sz w:val="18"/>
              </w:rPr>
              <w:t> </w:t>
            </w:r>
            <w:r>
              <w:rPr>
                <w:b/>
                <w:sz w:val="18"/>
              </w:rPr>
              <w:t>para</w:t>
            </w:r>
            <w:r>
              <w:rPr>
                <w:b/>
                <w:spacing w:val="-11"/>
                <w:sz w:val="18"/>
              </w:rPr>
              <w:t> </w:t>
            </w:r>
            <w:r>
              <w:rPr>
                <w:b/>
                <w:sz w:val="18"/>
              </w:rPr>
              <w:t>facilitar</w:t>
            </w:r>
            <w:r>
              <w:rPr>
                <w:b/>
                <w:spacing w:val="-5"/>
                <w:sz w:val="18"/>
              </w:rPr>
              <w:t> </w:t>
            </w:r>
            <w:r>
              <w:rPr>
                <w:b/>
                <w:sz w:val="18"/>
              </w:rPr>
              <w:t>la</w:t>
            </w:r>
            <w:r>
              <w:rPr>
                <w:b/>
                <w:spacing w:val="-6"/>
                <w:sz w:val="18"/>
              </w:rPr>
              <w:t> </w:t>
            </w:r>
            <w:r>
              <w:rPr>
                <w:b/>
                <w:sz w:val="18"/>
              </w:rPr>
              <w:t>gestión</w:t>
            </w:r>
            <w:r>
              <w:rPr>
                <w:b/>
                <w:spacing w:val="-7"/>
                <w:sz w:val="18"/>
              </w:rPr>
              <w:t> </w:t>
            </w:r>
            <w:r>
              <w:rPr>
                <w:b/>
                <w:sz w:val="18"/>
              </w:rPr>
              <w:t>de</w:t>
            </w:r>
            <w:r>
              <w:rPr>
                <w:b/>
                <w:spacing w:val="-6"/>
                <w:sz w:val="18"/>
              </w:rPr>
              <w:t> </w:t>
            </w:r>
            <w:r>
              <w:rPr>
                <w:b/>
                <w:sz w:val="18"/>
              </w:rPr>
              <w:t>cobros,</w:t>
            </w:r>
            <w:r>
              <w:rPr>
                <w:b/>
                <w:spacing w:val="-4"/>
                <w:sz w:val="18"/>
              </w:rPr>
              <w:t> </w:t>
            </w:r>
            <w:r>
              <w:rPr>
                <w:b/>
                <w:sz w:val="18"/>
              </w:rPr>
              <w:t>los</w:t>
            </w:r>
            <w:r>
              <w:rPr>
                <w:b/>
                <w:spacing w:val="-2"/>
                <w:sz w:val="18"/>
              </w:rPr>
              <w:t> </w:t>
            </w:r>
            <w:r>
              <w:rPr>
                <w:b/>
                <w:sz w:val="18"/>
              </w:rPr>
              <w:t>pagos,</w:t>
            </w:r>
            <w:r>
              <w:rPr>
                <w:b/>
                <w:spacing w:val="-5"/>
                <w:sz w:val="18"/>
              </w:rPr>
              <w:t> </w:t>
            </w:r>
            <w:r>
              <w:rPr>
                <w:b/>
                <w:sz w:val="18"/>
              </w:rPr>
              <w:t>consultas</w:t>
            </w:r>
            <w:r>
              <w:rPr>
                <w:b/>
                <w:spacing w:val="-6"/>
                <w:sz w:val="18"/>
              </w:rPr>
              <w:t> </w:t>
            </w:r>
            <w:r>
              <w:rPr>
                <w:b/>
                <w:sz w:val="18"/>
              </w:rPr>
              <w:t>y</w:t>
            </w:r>
            <w:r>
              <w:rPr>
                <w:b/>
                <w:spacing w:val="-6"/>
                <w:sz w:val="18"/>
              </w:rPr>
              <w:t> </w:t>
            </w:r>
            <w:r>
              <w:rPr>
                <w:b/>
                <w:sz w:val="18"/>
              </w:rPr>
              <w:t>constancias,</w:t>
            </w:r>
            <w:r>
              <w:rPr>
                <w:b/>
                <w:spacing w:val="1"/>
                <w:sz w:val="18"/>
              </w:rPr>
              <w:t> </w:t>
            </w:r>
            <w:r>
              <w:rPr>
                <w:b/>
                <w:sz w:val="18"/>
              </w:rPr>
              <w:t>de</w:t>
            </w:r>
            <w:r>
              <w:rPr>
                <w:b/>
                <w:spacing w:val="-11"/>
                <w:sz w:val="18"/>
              </w:rPr>
              <w:t> </w:t>
            </w:r>
            <w:r>
              <w:rPr>
                <w:b/>
                <w:sz w:val="18"/>
              </w:rPr>
              <w:t>tributos</w:t>
            </w:r>
            <w:r>
              <w:rPr>
                <w:b/>
                <w:spacing w:val="-2"/>
                <w:sz w:val="18"/>
              </w:rPr>
              <w:t> </w:t>
            </w:r>
            <w:r>
              <w:rPr>
                <w:b/>
                <w:sz w:val="18"/>
              </w:rPr>
              <w:t>del</w:t>
            </w:r>
            <w:r>
              <w:rPr>
                <w:b/>
                <w:spacing w:val="-5"/>
                <w:sz w:val="18"/>
              </w:rPr>
              <w:t> </w:t>
            </w:r>
            <w:r>
              <w:rPr>
                <w:b/>
                <w:spacing w:val="-4"/>
                <w:sz w:val="18"/>
              </w:rPr>
              <w:t>IMAS</w:t>
            </w:r>
          </w:p>
        </w:tc>
      </w:tr>
      <w:tr>
        <w:trPr>
          <w:trHeight w:val="1243" w:hRule="atLeast"/>
        </w:trPr>
        <w:tc>
          <w:tcPr>
            <w:tcW w:w="2550" w:type="dxa"/>
          </w:tcPr>
          <w:p>
            <w:pPr>
              <w:pStyle w:val="TableParagraph"/>
              <w:ind w:left="72" w:right="141"/>
              <w:rPr>
                <w:sz w:val="18"/>
              </w:rPr>
            </w:pPr>
            <w:r>
              <w:rPr>
                <w:b/>
                <w:sz w:val="18"/>
              </w:rPr>
              <w:t>Actividad PAC 2.44.1: </w:t>
            </w:r>
            <w:r>
              <w:rPr>
                <w:sz w:val="18"/>
              </w:rPr>
              <w:t>Asignar mensualmente por medio de SIAT cartera individual de obligados morosos</w:t>
            </w:r>
            <w:r>
              <w:rPr>
                <w:spacing w:val="-13"/>
                <w:sz w:val="18"/>
              </w:rPr>
              <w:t> </w:t>
            </w:r>
            <w:r>
              <w:rPr>
                <w:sz w:val="18"/>
              </w:rPr>
              <w:t>según</w:t>
            </w:r>
            <w:r>
              <w:rPr>
                <w:spacing w:val="-9"/>
                <w:sz w:val="18"/>
              </w:rPr>
              <w:t> </w:t>
            </w:r>
            <w:r>
              <w:rPr>
                <w:sz w:val="18"/>
              </w:rPr>
              <w:t>la</w:t>
            </w:r>
            <w:r>
              <w:rPr>
                <w:spacing w:val="-13"/>
                <w:sz w:val="18"/>
              </w:rPr>
              <w:t> </w:t>
            </w:r>
            <w:r>
              <w:rPr>
                <w:sz w:val="18"/>
              </w:rPr>
              <w:t>estrategia</w:t>
            </w:r>
          </w:p>
          <w:p>
            <w:pPr>
              <w:pStyle w:val="TableParagraph"/>
              <w:spacing w:line="187" w:lineRule="exact" w:before="1"/>
              <w:ind w:left="72"/>
              <w:rPr>
                <w:sz w:val="18"/>
              </w:rPr>
            </w:pPr>
            <w:r>
              <w:rPr>
                <w:spacing w:val="-2"/>
                <w:sz w:val="18"/>
              </w:rPr>
              <w:t>cobratoria.</w:t>
            </w:r>
          </w:p>
        </w:tc>
        <w:tc>
          <w:tcPr>
            <w:tcW w:w="1273" w:type="dxa"/>
          </w:tcPr>
          <w:p>
            <w:pPr>
              <w:pStyle w:val="TableParagraph"/>
              <w:rPr>
                <w:b/>
                <w:sz w:val="18"/>
              </w:rPr>
            </w:pPr>
          </w:p>
          <w:p>
            <w:pPr>
              <w:pStyle w:val="TableParagraph"/>
              <w:spacing w:before="103"/>
              <w:rPr>
                <w:b/>
                <w:sz w:val="18"/>
              </w:rPr>
            </w:pPr>
          </w:p>
          <w:p>
            <w:pPr>
              <w:pStyle w:val="TableParagraph"/>
              <w:ind w:left="8" w:right="2"/>
              <w:jc w:val="center"/>
              <w:rPr>
                <w:sz w:val="18"/>
              </w:rPr>
            </w:pPr>
            <w:r>
              <w:rPr>
                <w:spacing w:val="-4"/>
                <w:sz w:val="18"/>
              </w:rPr>
              <w:t>100%</w:t>
            </w:r>
          </w:p>
        </w:tc>
        <w:tc>
          <w:tcPr>
            <w:tcW w:w="1561" w:type="dxa"/>
          </w:tcPr>
          <w:p>
            <w:pPr>
              <w:pStyle w:val="TableParagraph"/>
              <w:rPr>
                <w:b/>
                <w:sz w:val="18"/>
              </w:rPr>
            </w:pPr>
          </w:p>
          <w:p>
            <w:pPr>
              <w:pStyle w:val="TableParagraph"/>
              <w:spacing w:before="103"/>
              <w:rPr>
                <w:b/>
                <w:sz w:val="18"/>
              </w:rPr>
            </w:pPr>
          </w:p>
          <w:p>
            <w:pPr>
              <w:pStyle w:val="TableParagraph"/>
              <w:ind w:left="96" w:right="91"/>
              <w:jc w:val="center"/>
              <w:rPr>
                <w:sz w:val="18"/>
              </w:rPr>
            </w:pPr>
            <w:r>
              <w:rPr>
                <w:spacing w:val="-4"/>
                <w:sz w:val="18"/>
              </w:rPr>
              <w:t>100%</w:t>
            </w:r>
          </w:p>
        </w:tc>
        <w:tc>
          <w:tcPr>
            <w:tcW w:w="1431" w:type="dxa"/>
          </w:tcPr>
          <w:p>
            <w:pPr>
              <w:pStyle w:val="TableParagraph"/>
              <w:spacing w:before="104"/>
              <w:ind w:left="65" w:right="238"/>
              <w:rPr>
                <w:sz w:val="18"/>
              </w:rPr>
            </w:pPr>
            <w:r>
              <w:rPr>
                <w:sz w:val="18"/>
              </w:rPr>
              <w:t>Porcentaje</w:t>
            </w:r>
            <w:r>
              <w:rPr>
                <w:spacing w:val="-13"/>
                <w:sz w:val="18"/>
              </w:rPr>
              <w:t> </w:t>
            </w:r>
            <w:r>
              <w:rPr>
                <w:sz w:val="18"/>
              </w:rPr>
              <w:t>de </w:t>
            </w:r>
            <w:r>
              <w:rPr>
                <w:spacing w:val="-2"/>
                <w:sz w:val="18"/>
              </w:rPr>
              <w:t>cartera asignada </w:t>
            </w:r>
            <w:r>
              <w:rPr>
                <w:sz w:val="18"/>
              </w:rPr>
              <w:t>mediante el </w:t>
            </w:r>
            <w:r>
              <w:rPr>
                <w:spacing w:val="-2"/>
                <w:sz w:val="18"/>
              </w:rPr>
              <w:t>SIAT.</w:t>
            </w:r>
          </w:p>
        </w:tc>
        <w:tc>
          <w:tcPr>
            <w:tcW w:w="1829" w:type="dxa"/>
          </w:tcPr>
          <w:p>
            <w:pPr>
              <w:pStyle w:val="TableParagraph"/>
              <w:spacing w:before="103"/>
              <w:rPr>
                <w:b/>
                <w:sz w:val="18"/>
              </w:rPr>
            </w:pPr>
          </w:p>
          <w:p>
            <w:pPr>
              <w:pStyle w:val="TableParagraph"/>
              <w:spacing w:before="1"/>
              <w:ind w:left="65" w:right="56"/>
              <w:rPr>
                <w:sz w:val="18"/>
              </w:rPr>
            </w:pPr>
            <w:r>
              <w:rPr>
                <w:sz w:val="18"/>
              </w:rPr>
              <w:t>Reporte</w:t>
            </w:r>
            <w:r>
              <w:rPr>
                <w:spacing w:val="-15"/>
                <w:sz w:val="18"/>
              </w:rPr>
              <w:t> </w:t>
            </w:r>
            <w:r>
              <w:rPr>
                <w:sz w:val="18"/>
              </w:rPr>
              <w:t>mensual</w:t>
            </w:r>
            <w:r>
              <w:rPr>
                <w:spacing w:val="-12"/>
                <w:sz w:val="18"/>
              </w:rPr>
              <w:t> </w:t>
            </w:r>
            <w:r>
              <w:rPr>
                <w:sz w:val="18"/>
              </w:rPr>
              <w:t>de </w:t>
            </w:r>
            <w:r>
              <w:rPr>
                <w:spacing w:val="-2"/>
                <w:sz w:val="18"/>
              </w:rPr>
              <w:t>asignaciones </w:t>
            </w:r>
            <w:r>
              <w:rPr>
                <w:sz w:val="18"/>
              </w:rPr>
              <w:t>mediante el SIAT.</w:t>
            </w:r>
          </w:p>
        </w:tc>
        <w:tc>
          <w:tcPr>
            <w:tcW w:w="1421" w:type="dxa"/>
          </w:tcPr>
          <w:p>
            <w:pPr>
              <w:pStyle w:val="TableParagraph"/>
              <w:spacing w:before="204"/>
              <w:rPr>
                <w:b/>
                <w:sz w:val="18"/>
              </w:rPr>
            </w:pPr>
          </w:p>
          <w:p>
            <w:pPr>
              <w:pStyle w:val="TableParagraph"/>
              <w:ind w:left="70"/>
              <w:rPr>
                <w:sz w:val="18"/>
              </w:rPr>
            </w:pPr>
            <w:r>
              <w:rPr>
                <w:spacing w:val="-2"/>
                <w:sz w:val="18"/>
              </w:rPr>
              <w:t>Administración Tributaria</w:t>
            </w:r>
          </w:p>
        </w:tc>
        <w:tc>
          <w:tcPr>
            <w:tcW w:w="1696" w:type="dxa"/>
          </w:tcPr>
          <w:p>
            <w:pPr>
              <w:pStyle w:val="TableParagraph"/>
              <w:rPr>
                <w:rFonts w:ascii="Times New Roman"/>
                <w:sz w:val="18"/>
              </w:rPr>
            </w:pPr>
          </w:p>
        </w:tc>
        <w:tc>
          <w:tcPr>
            <w:tcW w:w="2699"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74" w:right="79"/>
              <w:rPr>
                <w:sz w:val="18"/>
              </w:rPr>
            </w:pPr>
            <w:r>
              <w:rPr>
                <w:sz w:val="18"/>
              </w:rPr>
              <w:t>Evento: digitación manual de datos</w:t>
            </w:r>
            <w:r>
              <w:rPr>
                <w:spacing w:val="-10"/>
                <w:sz w:val="18"/>
              </w:rPr>
              <w:t> </w:t>
            </w:r>
            <w:r>
              <w:rPr>
                <w:sz w:val="18"/>
              </w:rPr>
              <w:t>podría</w:t>
            </w:r>
            <w:r>
              <w:rPr>
                <w:spacing w:val="-7"/>
                <w:sz w:val="18"/>
              </w:rPr>
              <w:t> </w:t>
            </w:r>
            <w:r>
              <w:rPr>
                <w:sz w:val="18"/>
              </w:rPr>
              <w:t>generar</w:t>
            </w:r>
            <w:r>
              <w:rPr>
                <w:spacing w:val="-9"/>
                <w:sz w:val="18"/>
              </w:rPr>
              <w:t> </w:t>
            </w:r>
            <w:r>
              <w:rPr>
                <w:sz w:val="18"/>
              </w:rPr>
              <w:t>retrasos</w:t>
            </w:r>
            <w:r>
              <w:rPr>
                <w:spacing w:val="-11"/>
                <w:sz w:val="18"/>
              </w:rPr>
              <w:t> </w:t>
            </w:r>
            <w:r>
              <w:rPr>
                <w:sz w:val="18"/>
              </w:rPr>
              <w:t>y errores en la gestión de </w:t>
            </w:r>
            <w:r>
              <w:rPr>
                <w:spacing w:val="-2"/>
                <w:sz w:val="18"/>
              </w:rPr>
              <w:t>moteles.</w:t>
            </w:r>
          </w:p>
        </w:tc>
      </w:tr>
      <w:tr>
        <w:trPr>
          <w:trHeight w:val="1238" w:hRule="atLeast"/>
        </w:trPr>
        <w:tc>
          <w:tcPr>
            <w:tcW w:w="2550" w:type="dxa"/>
          </w:tcPr>
          <w:p>
            <w:pPr>
              <w:pStyle w:val="TableParagraph"/>
              <w:ind w:left="72" w:right="141"/>
              <w:rPr>
                <w:sz w:val="18"/>
              </w:rPr>
            </w:pPr>
            <w:r>
              <w:rPr>
                <w:b/>
                <w:sz w:val="18"/>
              </w:rPr>
              <w:t>Actividad</w:t>
            </w:r>
            <w:r>
              <w:rPr>
                <w:b/>
                <w:spacing w:val="-15"/>
                <w:sz w:val="18"/>
              </w:rPr>
              <w:t> </w:t>
            </w:r>
            <w:r>
              <w:rPr>
                <w:b/>
                <w:sz w:val="18"/>
              </w:rPr>
              <w:t>PAC</w:t>
            </w:r>
            <w:r>
              <w:rPr>
                <w:b/>
                <w:spacing w:val="-12"/>
                <w:sz w:val="18"/>
              </w:rPr>
              <w:t> </w:t>
            </w:r>
            <w:r>
              <w:rPr>
                <w:b/>
                <w:sz w:val="18"/>
              </w:rPr>
              <w:t>2.44.2: </w:t>
            </w:r>
            <w:r>
              <w:rPr>
                <w:sz w:val="18"/>
              </w:rPr>
              <w:t>Gestionar el cobro administrativo de los obligados morosos asignados,</w:t>
            </w:r>
            <w:r>
              <w:rPr>
                <w:spacing w:val="-15"/>
                <w:sz w:val="18"/>
              </w:rPr>
              <w:t> </w:t>
            </w:r>
            <w:r>
              <w:rPr>
                <w:sz w:val="18"/>
              </w:rPr>
              <w:t>mediante</w:t>
            </w:r>
            <w:r>
              <w:rPr>
                <w:spacing w:val="-12"/>
                <w:sz w:val="18"/>
              </w:rPr>
              <w:t> </w:t>
            </w:r>
            <w:r>
              <w:rPr>
                <w:sz w:val="18"/>
              </w:rPr>
              <w:t>la</w:t>
            </w:r>
          </w:p>
          <w:p>
            <w:pPr>
              <w:pStyle w:val="TableParagraph"/>
              <w:spacing w:line="185" w:lineRule="exact"/>
              <w:ind w:left="72"/>
              <w:rPr>
                <w:sz w:val="18"/>
              </w:rPr>
            </w:pPr>
            <w:r>
              <w:rPr>
                <w:sz w:val="18"/>
              </w:rPr>
              <w:t>herramienta</w:t>
            </w:r>
            <w:r>
              <w:rPr>
                <w:spacing w:val="-9"/>
                <w:sz w:val="18"/>
              </w:rPr>
              <w:t> </w:t>
            </w:r>
            <w:r>
              <w:rPr>
                <w:sz w:val="18"/>
              </w:rPr>
              <w:t>informática</w:t>
            </w:r>
            <w:r>
              <w:rPr>
                <w:spacing w:val="-9"/>
                <w:sz w:val="18"/>
              </w:rPr>
              <w:t> </w:t>
            </w:r>
            <w:r>
              <w:rPr>
                <w:spacing w:val="-4"/>
                <w:sz w:val="18"/>
              </w:rPr>
              <w:t>SIAT.</w:t>
            </w:r>
          </w:p>
        </w:tc>
        <w:tc>
          <w:tcPr>
            <w:tcW w:w="1273" w:type="dxa"/>
          </w:tcPr>
          <w:p>
            <w:pPr>
              <w:pStyle w:val="TableParagraph"/>
              <w:rPr>
                <w:b/>
                <w:sz w:val="18"/>
              </w:rPr>
            </w:pPr>
          </w:p>
          <w:p>
            <w:pPr>
              <w:pStyle w:val="TableParagraph"/>
              <w:spacing w:before="103"/>
              <w:rPr>
                <w:b/>
                <w:sz w:val="18"/>
              </w:rPr>
            </w:pPr>
          </w:p>
          <w:p>
            <w:pPr>
              <w:pStyle w:val="TableParagraph"/>
              <w:ind w:left="8" w:right="2"/>
              <w:jc w:val="center"/>
              <w:rPr>
                <w:sz w:val="18"/>
              </w:rPr>
            </w:pPr>
            <w:r>
              <w:rPr>
                <w:spacing w:val="-4"/>
                <w:sz w:val="18"/>
              </w:rPr>
              <w:t>100%</w:t>
            </w:r>
          </w:p>
        </w:tc>
        <w:tc>
          <w:tcPr>
            <w:tcW w:w="1561" w:type="dxa"/>
          </w:tcPr>
          <w:p>
            <w:pPr>
              <w:pStyle w:val="TableParagraph"/>
              <w:rPr>
                <w:b/>
                <w:sz w:val="18"/>
              </w:rPr>
            </w:pPr>
          </w:p>
          <w:p>
            <w:pPr>
              <w:pStyle w:val="TableParagraph"/>
              <w:spacing w:before="103"/>
              <w:rPr>
                <w:b/>
                <w:sz w:val="18"/>
              </w:rPr>
            </w:pPr>
          </w:p>
          <w:p>
            <w:pPr>
              <w:pStyle w:val="TableParagraph"/>
              <w:ind w:left="96" w:right="91"/>
              <w:jc w:val="center"/>
              <w:rPr>
                <w:sz w:val="18"/>
              </w:rPr>
            </w:pPr>
            <w:r>
              <w:rPr>
                <w:spacing w:val="-4"/>
                <w:sz w:val="18"/>
              </w:rPr>
              <w:t>100%</w:t>
            </w:r>
          </w:p>
        </w:tc>
        <w:tc>
          <w:tcPr>
            <w:tcW w:w="1431" w:type="dxa"/>
          </w:tcPr>
          <w:p>
            <w:pPr>
              <w:pStyle w:val="TableParagraph"/>
              <w:spacing w:before="205"/>
              <w:ind w:left="65" w:right="108"/>
              <w:rPr>
                <w:sz w:val="18"/>
              </w:rPr>
            </w:pPr>
            <w:r>
              <w:rPr>
                <w:sz w:val="18"/>
              </w:rPr>
              <w:t>Porcentaje de </w:t>
            </w:r>
            <w:r>
              <w:rPr>
                <w:spacing w:val="-2"/>
                <w:sz w:val="18"/>
              </w:rPr>
              <w:t>cartera gestionada </w:t>
            </w:r>
            <w:r>
              <w:rPr>
                <w:sz w:val="18"/>
              </w:rPr>
              <w:t>mediante</w:t>
            </w:r>
            <w:r>
              <w:rPr>
                <w:spacing w:val="-13"/>
                <w:sz w:val="18"/>
              </w:rPr>
              <w:t> </w:t>
            </w:r>
            <w:r>
              <w:rPr>
                <w:sz w:val="18"/>
              </w:rPr>
              <w:t>SIAT.</w:t>
            </w:r>
          </w:p>
        </w:tc>
        <w:tc>
          <w:tcPr>
            <w:tcW w:w="1829" w:type="dxa"/>
          </w:tcPr>
          <w:p>
            <w:pPr>
              <w:pStyle w:val="TableParagraph"/>
              <w:spacing w:before="205"/>
              <w:ind w:left="65" w:right="56"/>
              <w:rPr>
                <w:sz w:val="18"/>
              </w:rPr>
            </w:pPr>
            <w:r>
              <w:rPr>
                <w:sz w:val="18"/>
              </w:rPr>
              <w:t>Informe de </w:t>
            </w:r>
            <w:r>
              <w:rPr>
                <w:spacing w:val="-2"/>
                <w:sz w:val="18"/>
              </w:rPr>
              <w:t>seguimiento </w:t>
            </w:r>
            <w:r>
              <w:rPr>
                <w:sz w:val="18"/>
              </w:rPr>
              <w:t>elaborado con insumos</w:t>
            </w:r>
            <w:r>
              <w:rPr>
                <w:spacing w:val="-15"/>
                <w:sz w:val="18"/>
              </w:rPr>
              <w:t> </w:t>
            </w:r>
            <w:r>
              <w:rPr>
                <w:sz w:val="18"/>
              </w:rPr>
              <w:t>del</w:t>
            </w:r>
            <w:r>
              <w:rPr>
                <w:spacing w:val="-12"/>
                <w:sz w:val="18"/>
              </w:rPr>
              <w:t> </w:t>
            </w:r>
            <w:r>
              <w:rPr>
                <w:sz w:val="18"/>
              </w:rPr>
              <w:t>SIAT.</w:t>
            </w:r>
          </w:p>
        </w:tc>
        <w:tc>
          <w:tcPr>
            <w:tcW w:w="1421" w:type="dxa"/>
          </w:tcPr>
          <w:p>
            <w:pPr>
              <w:pStyle w:val="TableParagraph"/>
              <w:spacing w:before="204"/>
              <w:rPr>
                <w:b/>
                <w:sz w:val="18"/>
              </w:rPr>
            </w:pPr>
          </w:p>
          <w:p>
            <w:pPr>
              <w:pStyle w:val="TableParagraph"/>
              <w:ind w:left="70"/>
              <w:rPr>
                <w:sz w:val="18"/>
              </w:rPr>
            </w:pPr>
            <w:r>
              <w:rPr>
                <w:spacing w:val="-2"/>
                <w:sz w:val="18"/>
              </w:rPr>
              <w:t>Administración Tributaria</w:t>
            </w:r>
          </w:p>
        </w:tc>
        <w:tc>
          <w:tcPr>
            <w:tcW w:w="1696" w:type="dxa"/>
          </w:tcPr>
          <w:p>
            <w:pPr>
              <w:pStyle w:val="TableParagraph"/>
              <w:rPr>
                <w:rFonts w:ascii="Times New Roman"/>
                <w:sz w:val="18"/>
              </w:rPr>
            </w:pPr>
          </w:p>
        </w:tc>
        <w:tc>
          <w:tcPr>
            <w:tcW w:w="2699" w:type="dxa"/>
            <w:vMerge/>
            <w:tcBorders>
              <w:top w:val="nil"/>
            </w:tcBorders>
          </w:tcPr>
          <w:p>
            <w:pPr>
              <w:rPr>
                <w:sz w:val="2"/>
                <w:szCs w:val="2"/>
              </w:rPr>
            </w:pPr>
          </w:p>
        </w:tc>
      </w:tr>
      <w:tr>
        <w:trPr>
          <w:trHeight w:val="450" w:hRule="atLeast"/>
        </w:trPr>
        <w:tc>
          <w:tcPr>
            <w:tcW w:w="14460" w:type="dxa"/>
            <w:gridSpan w:val="8"/>
            <w:shd w:val="clear" w:color="auto" w:fill="EFF8F9"/>
          </w:tcPr>
          <w:p>
            <w:pPr>
              <w:pStyle w:val="TableParagraph"/>
              <w:spacing w:before="123"/>
              <w:ind w:left="72"/>
              <w:rPr>
                <w:b/>
                <w:sz w:val="18"/>
              </w:rPr>
            </w:pPr>
            <w:r>
              <w:rPr>
                <w:b/>
                <w:sz w:val="18"/>
              </w:rPr>
              <w:t>Producto</w:t>
            </w:r>
            <w:r>
              <w:rPr>
                <w:b/>
                <w:spacing w:val="-7"/>
                <w:sz w:val="18"/>
              </w:rPr>
              <w:t> </w:t>
            </w:r>
            <w:r>
              <w:rPr>
                <w:b/>
                <w:sz w:val="18"/>
              </w:rPr>
              <w:t>PAC</w:t>
            </w:r>
            <w:r>
              <w:rPr>
                <w:b/>
                <w:spacing w:val="-9"/>
                <w:sz w:val="18"/>
              </w:rPr>
              <w:t> </w:t>
            </w:r>
            <w:r>
              <w:rPr>
                <w:b/>
                <w:sz w:val="18"/>
              </w:rPr>
              <w:t>2.45:</w:t>
            </w:r>
            <w:r>
              <w:rPr>
                <w:b/>
                <w:spacing w:val="-4"/>
                <w:sz w:val="18"/>
              </w:rPr>
              <w:t> </w:t>
            </w:r>
            <w:r>
              <w:rPr>
                <w:b/>
                <w:sz w:val="18"/>
              </w:rPr>
              <w:t>Expediente</w:t>
            </w:r>
            <w:r>
              <w:rPr>
                <w:b/>
                <w:spacing w:val="-3"/>
                <w:sz w:val="18"/>
              </w:rPr>
              <w:t> </w:t>
            </w:r>
            <w:r>
              <w:rPr>
                <w:b/>
                <w:sz w:val="18"/>
              </w:rPr>
              <w:t>digital</w:t>
            </w:r>
            <w:r>
              <w:rPr>
                <w:b/>
                <w:spacing w:val="-5"/>
                <w:sz w:val="18"/>
              </w:rPr>
              <w:t> </w:t>
            </w:r>
            <w:r>
              <w:rPr>
                <w:b/>
                <w:sz w:val="18"/>
              </w:rPr>
              <w:t>implementado</w:t>
            </w:r>
            <w:r>
              <w:rPr>
                <w:b/>
                <w:spacing w:val="-7"/>
                <w:sz w:val="18"/>
              </w:rPr>
              <w:t> </w:t>
            </w:r>
            <w:r>
              <w:rPr>
                <w:b/>
                <w:sz w:val="18"/>
              </w:rPr>
              <w:t>y</w:t>
            </w:r>
            <w:r>
              <w:rPr>
                <w:b/>
                <w:spacing w:val="-7"/>
                <w:sz w:val="18"/>
              </w:rPr>
              <w:t> </w:t>
            </w:r>
            <w:r>
              <w:rPr>
                <w:b/>
                <w:sz w:val="18"/>
              </w:rPr>
              <w:t>bases</w:t>
            </w:r>
            <w:r>
              <w:rPr>
                <w:b/>
                <w:spacing w:val="-3"/>
                <w:sz w:val="18"/>
              </w:rPr>
              <w:t> </w:t>
            </w:r>
            <w:r>
              <w:rPr>
                <w:b/>
                <w:sz w:val="18"/>
              </w:rPr>
              <w:t>de</w:t>
            </w:r>
            <w:r>
              <w:rPr>
                <w:b/>
                <w:spacing w:val="-6"/>
                <w:sz w:val="18"/>
              </w:rPr>
              <w:t> </w:t>
            </w:r>
            <w:r>
              <w:rPr>
                <w:b/>
                <w:sz w:val="18"/>
              </w:rPr>
              <w:t>datos</w:t>
            </w:r>
            <w:r>
              <w:rPr>
                <w:b/>
                <w:spacing w:val="-7"/>
                <w:sz w:val="18"/>
              </w:rPr>
              <w:t> </w:t>
            </w:r>
            <w:r>
              <w:rPr>
                <w:b/>
                <w:sz w:val="18"/>
              </w:rPr>
              <w:t>actualizadas,</w:t>
            </w:r>
            <w:r>
              <w:rPr>
                <w:b/>
                <w:spacing w:val="-5"/>
                <w:sz w:val="18"/>
              </w:rPr>
              <w:t> </w:t>
            </w:r>
            <w:r>
              <w:rPr>
                <w:b/>
                <w:sz w:val="18"/>
              </w:rPr>
              <w:t>para</w:t>
            </w:r>
            <w:r>
              <w:rPr>
                <w:b/>
                <w:spacing w:val="-6"/>
                <w:sz w:val="18"/>
              </w:rPr>
              <w:t> </w:t>
            </w:r>
            <w:r>
              <w:rPr>
                <w:b/>
                <w:sz w:val="18"/>
              </w:rPr>
              <w:t>facilitar</w:t>
            </w:r>
            <w:r>
              <w:rPr>
                <w:b/>
                <w:spacing w:val="-6"/>
                <w:sz w:val="18"/>
              </w:rPr>
              <w:t> </w:t>
            </w:r>
            <w:r>
              <w:rPr>
                <w:b/>
                <w:sz w:val="18"/>
              </w:rPr>
              <w:t>el</w:t>
            </w:r>
            <w:r>
              <w:rPr>
                <w:b/>
                <w:spacing w:val="-5"/>
                <w:sz w:val="18"/>
              </w:rPr>
              <w:t> </w:t>
            </w:r>
            <w:r>
              <w:rPr>
                <w:b/>
                <w:sz w:val="18"/>
              </w:rPr>
              <w:t>acceso</w:t>
            </w:r>
            <w:r>
              <w:rPr>
                <w:b/>
                <w:spacing w:val="-3"/>
                <w:sz w:val="18"/>
              </w:rPr>
              <w:t> </w:t>
            </w:r>
            <w:r>
              <w:rPr>
                <w:b/>
                <w:sz w:val="18"/>
              </w:rPr>
              <w:t>a</w:t>
            </w:r>
            <w:r>
              <w:rPr>
                <w:b/>
                <w:spacing w:val="-6"/>
                <w:sz w:val="18"/>
              </w:rPr>
              <w:t> </w:t>
            </w:r>
            <w:r>
              <w:rPr>
                <w:b/>
                <w:sz w:val="18"/>
              </w:rPr>
              <w:t>la</w:t>
            </w:r>
            <w:r>
              <w:rPr>
                <w:b/>
                <w:spacing w:val="-7"/>
                <w:sz w:val="18"/>
              </w:rPr>
              <w:t> </w:t>
            </w:r>
            <w:r>
              <w:rPr>
                <w:b/>
                <w:sz w:val="18"/>
              </w:rPr>
              <w:t>información</w:t>
            </w:r>
            <w:r>
              <w:rPr>
                <w:b/>
                <w:spacing w:val="-3"/>
                <w:sz w:val="18"/>
              </w:rPr>
              <w:t> </w:t>
            </w:r>
            <w:r>
              <w:rPr>
                <w:b/>
                <w:sz w:val="18"/>
              </w:rPr>
              <w:t>de</w:t>
            </w:r>
            <w:r>
              <w:rPr>
                <w:b/>
                <w:spacing w:val="-3"/>
                <w:sz w:val="18"/>
              </w:rPr>
              <w:t> </w:t>
            </w:r>
            <w:r>
              <w:rPr>
                <w:b/>
                <w:spacing w:val="-2"/>
                <w:sz w:val="18"/>
              </w:rPr>
              <w:t>deudores.</w:t>
            </w:r>
          </w:p>
        </w:tc>
      </w:tr>
    </w:tbl>
    <w:p>
      <w:pPr>
        <w:pStyle w:val="TableParagraph"/>
        <w:spacing w:after="0"/>
        <w:rPr>
          <w:b/>
          <w:sz w:val="18"/>
        </w:rPr>
        <w:sectPr>
          <w:type w:val="continuous"/>
          <w:pgSz w:w="15840" w:h="12240" w:orient="landscape"/>
          <w:pgMar w:header="0" w:footer="1806" w:top="700" w:bottom="3274"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50"/>
        <w:gridCol w:w="1273"/>
        <w:gridCol w:w="1561"/>
        <w:gridCol w:w="1431"/>
        <w:gridCol w:w="1829"/>
        <w:gridCol w:w="1421"/>
        <w:gridCol w:w="1696"/>
        <w:gridCol w:w="2699"/>
      </w:tblGrid>
      <w:tr>
        <w:trPr>
          <w:trHeight w:val="777" w:hRule="atLeast"/>
        </w:trPr>
        <w:tc>
          <w:tcPr>
            <w:tcW w:w="2550" w:type="dxa"/>
            <w:shd w:val="clear" w:color="auto" w:fill="E8E8E8"/>
          </w:tcPr>
          <w:p>
            <w:pPr>
              <w:pStyle w:val="TableParagraph"/>
              <w:spacing w:before="75"/>
              <w:rPr>
                <w:b/>
                <w:sz w:val="18"/>
              </w:rPr>
            </w:pPr>
          </w:p>
          <w:p>
            <w:pPr>
              <w:pStyle w:val="TableParagraph"/>
              <w:ind w:left="302"/>
              <w:rPr>
                <w:b/>
                <w:sz w:val="18"/>
              </w:rPr>
            </w:pPr>
            <w:r>
              <w:rPr>
                <w:b/>
                <w:sz w:val="18"/>
              </w:rPr>
              <w:t>Objetivos</w:t>
            </w:r>
            <w:r>
              <w:rPr>
                <w:b/>
                <w:spacing w:val="-5"/>
                <w:sz w:val="18"/>
              </w:rPr>
              <w:t> </w:t>
            </w:r>
            <w:r>
              <w:rPr>
                <w:b/>
                <w:sz w:val="18"/>
              </w:rPr>
              <w:t>/</w:t>
            </w:r>
            <w:r>
              <w:rPr>
                <w:b/>
                <w:spacing w:val="-2"/>
                <w:sz w:val="18"/>
              </w:rPr>
              <w:t> Resultados</w:t>
            </w:r>
          </w:p>
        </w:tc>
        <w:tc>
          <w:tcPr>
            <w:tcW w:w="1273" w:type="dxa"/>
            <w:shd w:val="clear" w:color="auto" w:fill="E8E8E8"/>
          </w:tcPr>
          <w:p>
            <w:pPr>
              <w:pStyle w:val="TableParagraph"/>
              <w:spacing w:before="181"/>
              <w:ind w:left="373" w:hanging="216"/>
              <w:rPr>
                <w:b/>
                <w:sz w:val="18"/>
              </w:rPr>
            </w:pPr>
            <w:r>
              <w:rPr>
                <w:b/>
                <w:sz w:val="18"/>
              </w:rPr>
              <w:t>Línea</w:t>
            </w:r>
            <w:r>
              <w:rPr>
                <w:b/>
                <w:spacing w:val="-13"/>
                <w:sz w:val="18"/>
              </w:rPr>
              <w:t> </w:t>
            </w:r>
            <w:r>
              <w:rPr>
                <w:b/>
                <w:sz w:val="18"/>
              </w:rPr>
              <w:t>Base </w:t>
            </w:r>
            <w:r>
              <w:rPr>
                <w:b/>
                <w:spacing w:val="-2"/>
                <w:sz w:val="18"/>
              </w:rPr>
              <w:t>(2024)</w:t>
            </w:r>
          </w:p>
        </w:tc>
        <w:tc>
          <w:tcPr>
            <w:tcW w:w="1561" w:type="dxa"/>
            <w:shd w:val="clear" w:color="auto" w:fill="E8E8E8"/>
          </w:tcPr>
          <w:p>
            <w:pPr>
              <w:pStyle w:val="TableParagraph"/>
              <w:spacing w:before="75"/>
              <w:ind w:left="96" w:right="92"/>
              <w:jc w:val="center"/>
              <w:rPr>
                <w:b/>
                <w:sz w:val="18"/>
              </w:rPr>
            </w:pPr>
            <w:r>
              <w:rPr>
                <w:b/>
                <w:spacing w:val="-4"/>
                <w:sz w:val="18"/>
              </w:rPr>
              <w:t>Meta </w:t>
            </w:r>
            <w:r>
              <w:rPr>
                <w:b/>
                <w:spacing w:val="-2"/>
                <w:sz w:val="18"/>
              </w:rPr>
              <w:t>programada </w:t>
            </w:r>
            <w:r>
              <w:rPr>
                <w:b/>
                <w:spacing w:val="-4"/>
                <w:sz w:val="18"/>
              </w:rPr>
              <w:t>2026</w:t>
            </w:r>
          </w:p>
        </w:tc>
        <w:tc>
          <w:tcPr>
            <w:tcW w:w="1431" w:type="dxa"/>
            <w:shd w:val="clear" w:color="auto" w:fill="E8E8E8"/>
          </w:tcPr>
          <w:p>
            <w:pPr>
              <w:pStyle w:val="TableParagraph"/>
              <w:spacing w:before="75"/>
              <w:rPr>
                <w:b/>
                <w:sz w:val="18"/>
              </w:rPr>
            </w:pPr>
          </w:p>
          <w:p>
            <w:pPr>
              <w:pStyle w:val="TableParagraph"/>
              <w:ind w:left="305"/>
              <w:rPr>
                <w:b/>
                <w:sz w:val="18"/>
              </w:rPr>
            </w:pPr>
            <w:r>
              <w:rPr>
                <w:b/>
                <w:spacing w:val="-2"/>
                <w:sz w:val="18"/>
              </w:rPr>
              <w:t>Indicador</w:t>
            </w:r>
          </w:p>
        </w:tc>
        <w:tc>
          <w:tcPr>
            <w:tcW w:w="1829" w:type="dxa"/>
            <w:shd w:val="clear" w:color="auto" w:fill="E8E8E8"/>
          </w:tcPr>
          <w:p>
            <w:pPr>
              <w:pStyle w:val="TableParagraph"/>
              <w:spacing w:before="181"/>
              <w:ind w:left="411" w:right="56" w:firstLine="57"/>
              <w:rPr>
                <w:b/>
                <w:sz w:val="18"/>
              </w:rPr>
            </w:pPr>
            <w:r>
              <w:rPr>
                <w:b/>
                <w:sz w:val="18"/>
              </w:rPr>
              <w:t>Medios de </w:t>
            </w:r>
            <w:r>
              <w:rPr>
                <w:b/>
                <w:spacing w:val="-2"/>
                <w:sz w:val="18"/>
              </w:rPr>
              <w:t>verificación</w:t>
            </w:r>
          </w:p>
        </w:tc>
        <w:tc>
          <w:tcPr>
            <w:tcW w:w="1421" w:type="dxa"/>
            <w:shd w:val="clear" w:color="auto" w:fill="E8E8E8"/>
          </w:tcPr>
          <w:p>
            <w:pPr>
              <w:pStyle w:val="TableParagraph"/>
              <w:spacing w:before="75"/>
              <w:rPr>
                <w:b/>
                <w:sz w:val="18"/>
              </w:rPr>
            </w:pPr>
          </w:p>
          <w:p>
            <w:pPr>
              <w:pStyle w:val="TableParagraph"/>
              <w:ind w:left="147"/>
              <w:rPr>
                <w:b/>
                <w:sz w:val="18"/>
              </w:rPr>
            </w:pPr>
            <w:r>
              <w:rPr>
                <w:b/>
                <w:spacing w:val="-2"/>
                <w:sz w:val="18"/>
              </w:rPr>
              <w:t>Responsable</w:t>
            </w:r>
          </w:p>
        </w:tc>
        <w:tc>
          <w:tcPr>
            <w:tcW w:w="1696" w:type="dxa"/>
            <w:shd w:val="clear" w:color="auto" w:fill="E8E8E8"/>
          </w:tcPr>
          <w:p>
            <w:pPr>
              <w:pStyle w:val="TableParagraph"/>
              <w:spacing w:before="181"/>
              <w:ind w:left="450" w:right="72" w:hanging="154"/>
              <w:rPr>
                <w:b/>
                <w:sz w:val="18"/>
              </w:rPr>
            </w:pPr>
            <w:r>
              <w:rPr>
                <w:b/>
                <w:spacing w:val="-2"/>
                <w:sz w:val="18"/>
              </w:rPr>
              <w:t>Presupuesto asignado</w:t>
            </w:r>
          </w:p>
        </w:tc>
        <w:tc>
          <w:tcPr>
            <w:tcW w:w="2699" w:type="dxa"/>
            <w:shd w:val="clear" w:color="auto" w:fill="E8E8E8"/>
          </w:tcPr>
          <w:p>
            <w:pPr>
              <w:pStyle w:val="TableParagraph"/>
              <w:spacing w:before="75"/>
              <w:rPr>
                <w:b/>
                <w:sz w:val="18"/>
              </w:rPr>
            </w:pPr>
          </w:p>
          <w:p>
            <w:pPr>
              <w:pStyle w:val="TableParagraph"/>
              <w:ind w:left="15" w:right="1"/>
              <w:jc w:val="center"/>
              <w:rPr>
                <w:b/>
                <w:sz w:val="18"/>
              </w:rPr>
            </w:pPr>
            <w:r>
              <w:rPr>
                <w:b/>
                <w:spacing w:val="-2"/>
                <w:sz w:val="18"/>
              </w:rPr>
              <w:t>Riesgo</w:t>
            </w:r>
          </w:p>
        </w:tc>
      </w:tr>
      <w:tr>
        <w:trPr>
          <w:trHeight w:val="1445" w:hRule="atLeast"/>
        </w:trPr>
        <w:tc>
          <w:tcPr>
            <w:tcW w:w="2550" w:type="dxa"/>
          </w:tcPr>
          <w:p>
            <w:pPr>
              <w:pStyle w:val="TableParagraph"/>
              <w:spacing w:before="206"/>
              <w:ind w:left="72" w:right="66"/>
              <w:rPr>
                <w:sz w:val="18"/>
              </w:rPr>
            </w:pPr>
            <w:r>
              <w:rPr>
                <w:b/>
                <w:sz w:val="18"/>
              </w:rPr>
              <w:t>Actividad PAC 2.45.1: </w:t>
            </w:r>
            <w:r>
              <w:rPr>
                <w:sz w:val="18"/>
              </w:rPr>
              <w:t>Construir la fase inicial del proyecto</w:t>
            </w:r>
            <w:r>
              <w:rPr>
                <w:spacing w:val="-11"/>
                <w:sz w:val="18"/>
              </w:rPr>
              <w:t> </w:t>
            </w:r>
            <w:r>
              <w:rPr>
                <w:sz w:val="18"/>
              </w:rPr>
              <w:t>de</w:t>
            </w:r>
            <w:r>
              <w:rPr>
                <w:spacing w:val="-11"/>
                <w:sz w:val="18"/>
              </w:rPr>
              <w:t> </w:t>
            </w:r>
            <w:r>
              <w:rPr>
                <w:sz w:val="18"/>
              </w:rPr>
              <w:t>expediente</w:t>
            </w:r>
            <w:r>
              <w:rPr>
                <w:spacing w:val="-11"/>
                <w:sz w:val="18"/>
              </w:rPr>
              <w:t> </w:t>
            </w:r>
            <w:r>
              <w:rPr>
                <w:sz w:val="18"/>
              </w:rPr>
              <w:t>digital de los deudores con gestión de cobro iniciada.</w:t>
            </w:r>
          </w:p>
        </w:tc>
        <w:tc>
          <w:tcPr>
            <w:tcW w:w="1273" w:type="dxa"/>
          </w:tcPr>
          <w:p>
            <w:pPr>
              <w:pStyle w:val="TableParagraph"/>
              <w:rPr>
                <w:b/>
                <w:sz w:val="18"/>
              </w:rPr>
            </w:pPr>
          </w:p>
          <w:p>
            <w:pPr>
              <w:pStyle w:val="TableParagraph"/>
              <w:spacing w:before="204"/>
              <w:rPr>
                <w:b/>
                <w:sz w:val="18"/>
              </w:rPr>
            </w:pPr>
          </w:p>
          <w:p>
            <w:pPr>
              <w:pStyle w:val="TableParagraph"/>
              <w:ind w:left="8" w:right="7"/>
              <w:jc w:val="center"/>
              <w:rPr>
                <w:sz w:val="18"/>
              </w:rPr>
            </w:pPr>
            <w:r>
              <w:rPr>
                <w:spacing w:val="-5"/>
                <w:sz w:val="18"/>
              </w:rPr>
              <w:t>25%</w:t>
            </w:r>
          </w:p>
        </w:tc>
        <w:tc>
          <w:tcPr>
            <w:tcW w:w="1561" w:type="dxa"/>
          </w:tcPr>
          <w:p>
            <w:pPr>
              <w:pStyle w:val="TableParagraph"/>
              <w:rPr>
                <w:b/>
                <w:sz w:val="18"/>
              </w:rPr>
            </w:pPr>
          </w:p>
          <w:p>
            <w:pPr>
              <w:pStyle w:val="TableParagraph"/>
              <w:spacing w:before="204"/>
              <w:rPr>
                <w:b/>
                <w:sz w:val="18"/>
              </w:rPr>
            </w:pPr>
          </w:p>
          <w:p>
            <w:pPr>
              <w:pStyle w:val="TableParagraph"/>
              <w:ind w:left="96" w:right="96"/>
              <w:jc w:val="center"/>
              <w:rPr>
                <w:sz w:val="18"/>
              </w:rPr>
            </w:pPr>
            <w:r>
              <w:rPr>
                <w:spacing w:val="-5"/>
                <w:sz w:val="18"/>
              </w:rPr>
              <w:t>50%</w:t>
            </w:r>
          </w:p>
        </w:tc>
        <w:tc>
          <w:tcPr>
            <w:tcW w:w="1431" w:type="dxa"/>
          </w:tcPr>
          <w:p>
            <w:pPr>
              <w:pStyle w:val="TableParagraph"/>
              <w:ind w:left="65" w:right="85"/>
              <w:rPr>
                <w:sz w:val="18"/>
              </w:rPr>
            </w:pPr>
            <w:r>
              <w:rPr>
                <w:sz w:val="18"/>
              </w:rPr>
              <w:t>Porcentaje de avance en la construcción</w:t>
            </w:r>
            <w:r>
              <w:rPr>
                <w:spacing w:val="-13"/>
                <w:sz w:val="18"/>
              </w:rPr>
              <w:t> </w:t>
            </w:r>
            <w:r>
              <w:rPr>
                <w:sz w:val="18"/>
              </w:rPr>
              <w:t>de la fase inicial del</w:t>
            </w:r>
            <w:r>
              <w:rPr>
                <w:spacing w:val="-1"/>
                <w:sz w:val="18"/>
              </w:rPr>
              <w:t> </w:t>
            </w:r>
            <w:r>
              <w:rPr>
                <w:sz w:val="18"/>
              </w:rPr>
              <w:t>proyecto de</w:t>
            </w:r>
          </w:p>
          <w:p>
            <w:pPr>
              <w:pStyle w:val="TableParagraph"/>
              <w:spacing w:line="206" w:lineRule="exact"/>
              <w:ind w:left="65" w:right="55"/>
              <w:rPr>
                <w:sz w:val="18"/>
              </w:rPr>
            </w:pPr>
            <w:r>
              <w:rPr>
                <w:spacing w:val="-2"/>
                <w:sz w:val="18"/>
              </w:rPr>
              <w:t>Expediente Digital</w:t>
            </w:r>
          </w:p>
        </w:tc>
        <w:tc>
          <w:tcPr>
            <w:tcW w:w="1829" w:type="dxa"/>
          </w:tcPr>
          <w:p>
            <w:pPr>
              <w:pStyle w:val="TableParagraph"/>
              <w:spacing w:before="99"/>
              <w:rPr>
                <w:b/>
                <w:sz w:val="18"/>
              </w:rPr>
            </w:pPr>
          </w:p>
          <w:p>
            <w:pPr>
              <w:pStyle w:val="TableParagraph"/>
              <w:ind w:left="65" w:right="536"/>
              <w:rPr>
                <w:sz w:val="18"/>
              </w:rPr>
            </w:pPr>
            <w:r>
              <w:rPr>
                <w:sz w:val="18"/>
              </w:rPr>
              <w:t>Avance en el cronograma</w:t>
            </w:r>
            <w:r>
              <w:rPr>
                <w:spacing w:val="-13"/>
                <w:sz w:val="18"/>
              </w:rPr>
              <w:t> </w:t>
            </w:r>
            <w:r>
              <w:rPr>
                <w:sz w:val="18"/>
              </w:rPr>
              <w:t>de ejecución del </w:t>
            </w:r>
            <w:r>
              <w:rPr>
                <w:spacing w:val="-2"/>
                <w:sz w:val="18"/>
              </w:rPr>
              <w:t>proyecto</w:t>
            </w:r>
          </w:p>
        </w:tc>
        <w:tc>
          <w:tcPr>
            <w:tcW w:w="1421" w:type="dxa"/>
          </w:tcPr>
          <w:p>
            <w:pPr>
              <w:pStyle w:val="TableParagraph"/>
              <w:rPr>
                <w:b/>
                <w:sz w:val="18"/>
              </w:rPr>
            </w:pPr>
          </w:p>
          <w:p>
            <w:pPr>
              <w:pStyle w:val="TableParagraph"/>
              <w:spacing w:before="99"/>
              <w:rPr>
                <w:b/>
                <w:sz w:val="18"/>
              </w:rPr>
            </w:pPr>
          </w:p>
          <w:p>
            <w:pPr>
              <w:pStyle w:val="TableParagraph"/>
              <w:spacing w:line="244" w:lineRule="auto"/>
              <w:ind w:left="70"/>
              <w:rPr>
                <w:sz w:val="18"/>
              </w:rPr>
            </w:pPr>
            <w:r>
              <w:rPr>
                <w:spacing w:val="-2"/>
                <w:sz w:val="18"/>
              </w:rPr>
              <w:t>Administración Tributaria</w:t>
            </w:r>
          </w:p>
        </w:tc>
        <w:tc>
          <w:tcPr>
            <w:tcW w:w="1696" w:type="dxa"/>
          </w:tcPr>
          <w:p>
            <w:pPr>
              <w:pStyle w:val="TableParagraph"/>
              <w:rPr>
                <w:rFonts w:ascii="Times New Roman"/>
                <w:sz w:val="18"/>
              </w:rPr>
            </w:pPr>
          </w:p>
        </w:tc>
        <w:tc>
          <w:tcPr>
            <w:tcW w:w="2699"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69"/>
              <w:rPr>
                <w:b/>
                <w:sz w:val="18"/>
              </w:rPr>
            </w:pPr>
          </w:p>
          <w:p>
            <w:pPr>
              <w:pStyle w:val="TableParagraph"/>
              <w:ind w:left="74"/>
              <w:rPr>
                <w:sz w:val="18"/>
              </w:rPr>
            </w:pPr>
            <w:r>
              <w:rPr>
                <w:sz w:val="18"/>
              </w:rPr>
              <w:t>Evento: Posible pérdida de información</w:t>
            </w:r>
            <w:r>
              <w:rPr>
                <w:spacing w:val="-12"/>
                <w:sz w:val="18"/>
              </w:rPr>
              <w:t> </w:t>
            </w:r>
            <w:r>
              <w:rPr>
                <w:sz w:val="18"/>
              </w:rPr>
              <w:t>de</w:t>
            </w:r>
            <w:r>
              <w:rPr>
                <w:spacing w:val="-12"/>
                <w:sz w:val="18"/>
              </w:rPr>
              <w:t> </w:t>
            </w:r>
            <w:r>
              <w:rPr>
                <w:sz w:val="18"/>
              </w:rPr>
              <w:t>los</w:t>
            </w:r>
            <w:r>
              <w:rPr>
                <w:spacing w:val="-8"/>
                <w:sz w:val="18"/>
              </w:rPr>
              <w:t> </w:t>
            </w:r>
            <w:r>
              <w:rPr>
                <w:sz w:val="18"/>
              </w:rPr>
              <w:t>expedientes </w:t>
            </w:r>
            <w:r>
              <w:rPr>
                <w:spacing w:val="-2"/>
                <w:sz w:val="18"/>
              </w:rPr>
              <w:t>físicos.</w:t>
            </w:r>
          </w:p>
        </w:tc>
      </w:tr>
      <w:tr>
        <w:trPr>
          <w:trHeight w:val="962" w:hRule="atLeast"/>
        </w:trPr>
        <w:tc>
          <w:tcPr>
            <w:tcW w:w="2550" w:type="dxa"/>
          </w:tcPr>
          <w:p>
            <w:pPr>
              <w:pStyle w:val="TableParagraph"/>
              <w:spacing w:before="64"/>
              <w:ind w:left="72"/>
              <w:rPr>
                <w:sz w:val="18"/>
              </w:rPr>
            </w:pPr>
            <w:r>
              <w:rPr>
                <w:b/>
                <w:sz w:val="18"/>
              </w:rPr>
              <w:t>Actividad PAC 2.45.2: </w:t>
            </w:r>
            <w:r>
              <w:rPr>
                <w:sz w:val="18"/>
              </w:rPr>
              <w:t>Actualizar</w:t>
            </w:r>
            <w:r>
              <w:rPr>
                <w:spacing w:val="-15"/>
                <w:sz w:val="18"/>
              </w:rPr>
              <w:t> </w:t>
            </w:r>
            <w:r>
              <w:rPr>
                <w:sz w:val="18"/>
              </w:rPr>
              <w:t>mensualmente</w:t>
            </w:r>
            <w:r>
              <w:rPr>
                <w:spacing w:val="-12"/>
                <w:sz w:val="18"/>
              </w:rPr>
              <w:t> </w:t>
            </w:r>
            <w:r>
              <w:rPr>
                <w:sz w:val="18"/>
              </w:rPr>
              <w:t>las bases de datos maestros de obligados morosos.</w:t>
            </w:r>
          </w:p>
        </w:tc>
        <w:tc>
          <w:tcPr>
            <w:tcW w:w="1273" w:type="dxa"/>
          </w:tcPr>
          <w:p>
            <w:pPr>
              <w:pStyle w:val="TableParagraph"/>
              <w:spacing w:before="169"/>
              <w:rPr>
                <w:b/>
                <w:sz w:val="18"/>
              </w:rPr>
            </w:pPr>
          </w:p>
          <w:p>
            <w:pPr>
              <w:pStyle w:val="TableParagraph"/>
              <w:ind w:left="8" w:right="5"/>
              <w:jc w:val="center"/>
              <w:rPr>
                <w:sz w:val="18"/>
              </w:rPr>
            </w:pPr>
            <w:r>
              <w:rPr>
                <w:spacing w:val="-5"/>
                <w:sz w:val="18"/>
              </w:rPr>
              <w:t>12</w:t>
            </w:r>
          </w:p>
        </w:tc>
        <w:tc>
          <w:tcPr>
            <w:tcW w:w="1561" w:type="dxa"/>
          </w:tcPr>
          <w:p>
            <w:pPr>
              <w:pStyle w:val="TableParagraph"/>
              <w:spacing w:before="169"/>
              <w:rPr>
                <w:b/>
                <w:sz w:val="18"/>
              </w:rPr>
            </w:pPr>
          </w:p>
          <w:p>
            <w:pPr>
              <w:pStyle w:val="TableParagraph"/>
              <w:ind w:left="96" w:right="94"/>
              <w:jc w:val="center"/>
              <w:rPr>
                <w:sz w:val="18"/>
              </w:rPr>
            </w:pPr>
            <w:r>
              <w:rPr>
                <w:spacing w:val="-5"/>
                <w:sz w:val="18"/>
              </w:rPr>
              <w:t>12</w:t>
            </w:r>
          </w:p>
        </w:tc>
        <w:tc>
          <w:tcPr>
            <w:tcW w:w="1431" w:type="dxa"/>
          </w:tcPr>
          <w:p>
            <w:pPr>
              <w:pStyle w:val="TableParagraph"/>
              <w:spacing w:before="170"/>
              <w:ind w:left="65"/>
              <w:rPr>
                <w:sz w:val="18"/>
              </w:rPr>
            </w:pPr>
            <w:r>
              <w:rPr>
                <w:sz w:val="18"/>
              </w:rPr>
              <w:t>Cantidad de bases</w:t>
            </w:r>
            <w:r>
              <w:rPr>
                <w:spacing w:val="-15"/>
                <w:sz w:val="18"/>
              </w:rPr>
              <w:t> </w:t>
            </w:r>
            <w:r>
              <w:rPr>
                <w:sz w:val="18"/>
              </w:rPr>
              <w:t>de</w:t>
            </w:r>
            <w:r>
              <w:rPr>
                <w:spacing w:val="-12"/>
                <w:sz w:val="18"/>
              </w:rPr>
              <w:t> </w:t>
            </w:r>
            <w:r>
              <w:rPr>
                <w:sz w:val="18"/>
              </w:rPr>
              <w:t>datos </w:t>
            </w:r>
            <w:r>
              <w:rPr>
                <w:spacing w:val="-2"/>
                <w:sz w:val="18"/>
              </w:rPr>
              <w:t>actualizadas</w:t>
            </w:r>
          </w:p>
        </w:tc>
        <w:tc>
          <w:tcPr>
            <w:tcW w:w="1829" w:type="dxa"/>
          </w:tcPr>
          <w:p>
            <w:pPr>
              <w:pStyle w:val="TableParagraph"/>
              <w:spacing w:before="64"/>
              <w:rPr>
                <w:b/>
                <w:sz w:val="18"/>
              </w:rPr>
            </w:pPr>
          </w:p>
          <w:p>
            <w:pPr>
              <w:pStyle w:val="TableParagraph"/>
              <w:spacing w:line="244" w:lineRule="auto"/>
              <w:ind w:left="65" w:right="56"/>
              <w:rPr>
                <w:sz w:val="18"/>
              </w:rPr>
            </w:pPr>
            <w:r>
              <w:rPr>
                <w:sz w:val="18"/>
              </w:rPr>
              <w:t>Base</w:t>
            </w:r>
            <w:r>
              <w:rPr>
                <w:spacing w:val="-15"/>
                <w:sz w:val="18"/>
              </w:rPr>
              <w:t> </w:t>
            </w:r>
            <w:r>
              <w:rPr>
                <w:sz w:val="18"/>
              </w:rPr>
              <w:t>de</w:t>
            </w:r>
            <w:r>
              <w:rPr>
                <w:spacing w:val="-12"/>
                <w:sz w:val="18"/>
              </w:rPr>
              <w:t> </w:t>
            </w:r>
            <w:r>
              <w:rPr>
                <w:sz w:val="18"/>
              </w:rPr>
              <w:t>datos </w:t>
            </w:r>
            <w:r>
              <w:rPr>
                <w:spacing w:val="-2"/>
                <w:sz w:val="18"/>
              </w:rPr>
              <w:t>actualizada</w:t>
            </w:r>
          </w:p>
        </w:tc>
        <w:tc>
          <w:tcPr>
            <w:tcW w:w="1421" w:type="dxa"/>
          </w:tcPr>
          <w:p>
            <w:pPr>
              <w:pStyle w:val="TableParagraph"/>
              <w:spacing w:before="64"/>
              <w:rPr>
                <w:b/>
                <w:sz w:val="18"/>
              </w:rPr>
            </w:pPr>
          </w:p>
          <w:p>
            <w:pPr>
              <w:pStyle w:val="TableParagraph"/>
              <w:spacing w:line="244" w:lineRule="auto"/>
              <w:ind w:left="70"/>
              <w:rPr>
                <w:sz w:val="18"/>
              </w:rPr>
            </w:pPr>
            <w:r>
              <w:rPr>
                <w:spacing w:val="-2"/>
                <w:sz w:val="18"/>
              </w:rPr>
              <w:t>Administración Tributaria</w:t>
            </w:r>
          </w:p>
        </w:tc>
        <w:tc>
          <w:tcPr>
            <w:tcW w:w="1696" w:type="dxa"/>
          </w:tcPr>
          <w:p>
            <w:pPr>
              <w:pStyle w:val="TableParagraph"/>
              <w:rPr>
                <w:rFonts w:ascii="Times New Roman"/>
                <w:sz w:val="18"/>
              </w:rPr>
            </w:pPr>
          </w:p>
        </w:tc>
        <w:tc>
          <w:tcPr>
            <w:tcW w:w="2699" w:type="dxa"/>
            <w:vMerge/>
            <w:tcBorders>
              <w:top w:val="nil"/>
            </w:tcBorders>
          </w:tcPr>
          <w:p>
            <w:pPr>
              <w:rPr>
                <w:sz w:val="2"/>
                <w:szCs w:val="2"/>
              </w:rPr>
            </w:pPr>
          </w:p>
        </w:tc>
      </w:tr>
      <w:tr>
        <w:trPr>
          <w:trHeight w:val="657" w:hRule="atLeast"/>
        </w:trPr>
        <w:tc>
          <w:tcPr>
            <w:tcW w:w="14460" w:type="dxa"/>
            <w:gridSpan w:val="8"/>
            <w:shd w:val="clear" w:color="auto" w:fill="EFF8F9"/>
          </w:tcPr>
          <w:p>
            <w:pPr>
              <w:pStyle w:val="TableParagraph"/>
              <w:spacing w:before="119"/>
              <w:ind w:left="72" w:right="183"/>
              <w:rPr>
                <w:b/>
                <w:sz w:val="18"/>
              </w:rPr>
            </w:pPr>
            <w:r>
              <w:rPr>
                <w:b/>
                <w:sz w:val="18"/>
              </w:rPr>
              <w:t>Producto</w:t>
            </w:r>
            <w:r>
              <w:rPr>
                <w:b/>
                <w:spacing w:val="-3"/>
                <w:sz w:val="18"/>
              </w:rPr>
              <w:t> </w:t>
            </w:r>
            <w:r>
              <w:rPr>
                <w:b/>
                <w:sz w:val="18"/>
              </w:rPr>
              <w:t>PAC</w:t>
            </w:r>
            <w:r>
              <w:rPr>
                <w:b/>
                <w:spacing w:val="-5"/>
                <w:sz w:val="18"/>
              </w:rPr>
              <w:t> </w:t>
            </w:r>
            <w:r>
              <w:rPr>
                <w:b/>
                <w:sz w:val="18"/>
              </w:rPr>
              <w:t>2.46: Negocios nuevos</w:t>
            </w:r>
            <w:r>
              <w:rPr>
                <w:b/>
                <w:spacing w:val="-3"/>
                <w:sz w:val="18"/>
              </w:rPr>
              <w:t> </w:t>
            </w:r>
            <w:r>
              <w:rPr>
                <w:b/>
                <w:sz w:val="18"/>
              </w:rPr>
              <w:t>inscritos</w:t>
            </w:r>
            <w:r>
              <w:rPr>
                <w:b/>
                <w:spacing w:val="-3"/>
                <w:sz w:val="18"/>
              </w:rPr>
              <w:t> </w:t>
            </w:r>
            <w:r>
              <w:rPr>
                <w:b/>
                <w:sz w:val="18"/>
              </w:rPr>
              <w:t>que</w:t>
            </w:r>
            <w:r>
              <w:rPr>
                <w:b/>
                <w:spacing w:val="-3"/>
                <w:sz w:val="18"/>
              </w:rPr>
              <w:t> </w:t>
            </w:r>
            <w:r>
              <w:rPr>
                <w:b/>
                <w:sz w:val="18"/>
              </w:rPr>
              <w:t>contribuyan</w:t>
            </w:r>
            <w:r>
              <w:rPr>
                <w:b/>
                <w:spacing w:val="-4"/>
                <w:sz w:val="18"/>
              </w:rPr>
              <w:t> </w:t>
            </w:r>
            <w:r>
              <w:rPr>
                <w:b/>
                <w:sz w:val="18"/>
              </w:rPr>
              <w:t>a</w:t>
            </w:r>
            <w:r>
              <w:rPr>
                <w:b/>
                <w:spacing w:val="-3"/>
                <w:sz w:val="18"/>
              </w:rPr>
              <w:t> </w:t>
            </w:r>
            <w:r>
              <w:rPr>
                <w:b/>
                <w:sz w:val="18"/>
              </w:rPr>
              <w:t>incrementar</w:t>
            </w:r>
            <w:r>
              <w:rPr>
                <w:b/>
                <w:spacing w:val="-1"/>
                <w:sz w:val="18"/>
              </w:rPr>
              <w:t> </w:t>
            </w:r>
            <w:r>
              <w:rPr>
                <w:b/>
                <w:sz w:val="18"/>
              </w:rPr>
              <w:t>la</w:t>
            </w:r>
            <w:r>
              <w:rPr>
                <w:b/>
                <w:spacing w:val="-3"/>
                <w:sz w:val="18"/>
              </w:rPr>
              <w:t> </w:t>
            </w:r>
            <w:r>
              <w:rPr>
                <w:b/>
                <w:sz w:val="18"/>
              </w:rPr>
              <w:t>recaudación</w:t>
            </w:r>
            <w:r>
              <w:rPr>
                <w:b/>
                <w:spacing w:val="-4"/>
                <w:sz w:val="18"/>
              </w:rPr>
              <w:t> </w:t>
            </w:r>
            <w:r>
              <w:rPr>
                <w:b/>
                <w:sz w:val="18"/>
              </w:rPr>
              <w:t>del tributo</w:t>
            </w:r>
            <w:r>
              <w:rPr>
                <w:b/>
                <w:spacing w:val="-4"/>
                <w:sz w:val="18"/>
              </w:rPr>
              <w:t> </w:t>
            </w:r>
            <w:r>
              <w:rPr>
                <w:b/>
                <w:sz w:val="18"/>
              </w:rPr>
              <w:t>de</w:t>
            </w:r>
            <w:r>
              <w:rPr>
                <w:b/>
                <w:spacing w:val="-3"/>
                <w:sz w:val="18"/>
              </w:rPr>
              <w:t> </w:t>
            </w:r>
            <w:r>
              <w:rPr>
                <w:b/>
                <w:sz w:val="18"/>
              </w:rPr>
              <w:t>moteles a</w:t>
            </w:r>
            <w:r>
              <w:rPr>
                <w:b/>
                <w:spacing w:val="-3"/>
                <w:sz w:val="18"/>
              </w:rPr>
              <w:t> </w:t>
            </w:r>
            <w:r>
              <w:rPr>
                <w:b/>
                <w:sz w:val="18"/>
              </w:rPr>
              <w:t>partir de</w:t>
            </w:r>
            <w:r>
              <w:rPr>
                <w:b/>
                <w:spacing w:val="-3"/>
                <w:sz w:val="18"/>
              </w:rPr>
              <w:t> </w:t>
            </w:r>
            <w:r>
              <w:rPr>
                <w:b/>
                <w:sz w:val="18"/>
              </w:rPr>
              <w:t>la</w:t>
            </w:r>
            <w:r>
              <w:rPr>
                <w:b/>
                <w:spacing w:val="-3"/>
                <w:sz w:val="18"/>
              </w:rPr>
              <w:t> </w:t>
            </w:r>
            <w:r>
              <w:rPr>
                <w:b/>
                <w:sz w:val="18"/>
              </w:rPr>
              <w:t>gestión</w:t>
            </w:r>
            <w:r>
              <w:rPr>
                <w:b/>
                <w:spacing w:val="-4"/>
                <w:sz w:val="18"/>
              </w:rPr>
              <w:t> </w:t>
            </w:r>
            <w:r>
              <w:rPr>
                <w:b/>
                <w:sz w:val="18"/>
              </w:rPr>
              <w:t>con</w:t>
            </w:r>
            <w:r>
              <w:rPr>
                <w:b/>
                <w:spacing w:val="-4"/>
                <w:sz w:val="18"/>
              </w:rPr>
              <w:t> </w:t>
            </w:r>
            <w:r>
              <w:rPr>
                <w:b/>
                <w:sz w:val="18"/>
              </w:rPr>
              <w:t>Municipalidades</w:t>
            </w:r>
            <w:r>
              <w:rPr>
                <w:b/>
                <w:spacing w:val="-3"/>
                <w:sz w:val="18"/>
              </w:rPr>
              <w:t> </w:t>
            </w:r>
            <w:r>
              <w:rPr>
                <w:b/>
                <w:sz w:val="18"/>
              </w:rPr>
              <w:t>y visitas a campo efectuadas.</w:t>
            </w:r>
          </w:p>
        </w:tc>
      </w:tr>
      <w:tr>
        <w:trPr>
          <w:trHeight w:val="1680" w:hRule="atLeast"/>
        </w:trPr>
        <w:tc>
          <w:tcPr>
            <w:tcW w:w="2550" w:type="dxa"/>
          </w:tcPr>
          <w:p>
            <w:pPr>
              <w:pStyle w:val="TableParagraph"/>
              <w:spacing w:before="113"/>
              <w:rPr>
                <w:b/>
                <w:sz w:val="18"/>
              </w:rPr>
            </w:pPr>
          </w:p>
          <w:p>
            <w:pPr>
              <w:pStyle w:val="TableParagraph"/>
              <w:ind w:left="72" w:right="141"/>
              <w:rPr>
                <w:sz w:val="18"/>
              </w:rPr>
            </w:pPr>
            <w:r>
              <w:rPr>
                <w:b/>
                <w:sz w:val="18"/>
              </w:rPr>
              <w:t>Actividad PAC 2.46.1: </w:t>
            </w:r>
            <w:r>
              <w:rPr>
                <w:sz w:val="18"/>
              </w:rPr>
              <w:t>Investigar y localizar potenciales</w:t>
            </w:r>
            <w:r>
              <w:rPr>
                <w:spacing w:val="-13"/>
                <w:sz w:val="18"/>
              </w:rPr>
              <w:t> </w:t>
            </w:r>
            <w:r>
              <w:rPr>
                <w:sz w:val="18"/>
              </w:rPr>
              <w:t>contribuyentes del Impuesto</w:t>
            </w:r>
            <w:r>
              <w:rPr>
                <w:spacing w:val="-2"/>
                <w:sz w:val="18"/>
              </w:rPr>
              <w:t> </w:t>
            </w:r>
            <w:r>
              <w:rPr>
                <w:sz w:val="18"/>
              </w:rPr>
              <w:t>de</w:t>
            </w:r>
            <w:r>
              <w:rPr>
                <w:spacing w:val="-7"/>
                <w:sz w:val="18"/>
              </w:rPr>
              <w:t> </w:t>
            </w:r>
            <w:r>
              <w:rPr>
                <w:sz w:val="18"/>
              </w:rPr>
              <w:t>Moteles y lugares afines.</w:t>
            </w:r>
          </w:p>
        </w:tc>
        <w:tc>
          <w:tcPr>
            <w:tcW w:w="1273"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8" w:right="5"/>
              <w:jc w:val="center"/>
              <w:rPr>
                <w:sz w:val="18"/>
              </w:rPr>
            </w:pPr>
            <w:r>
              <w:rPr>
                <w:spacing w:val="-5"/>
                <w:sz w:val="18"/>
              </w:rPr>
              <w:t>ND</w:t>
            </w:r>
          </w:p>
        </w:tc>
        <w:tc>
          <w:tcPr>
            <w:tcW w:w="1561"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96" w:right="94"/>
              <w:jc w:val="center"/>
              <w:rPr>
                <w:sz w:val="18"/>
              </w:rPr>
            </w:pPr>
            <w:r>
              <w:rPr>
                <w:spacing w:val="-5"/>
                <w:sz w:val="18"/>
              </w:rPr>
              <w:t>96</w:t>
            </w:r>
          </w:p>
        </w:tc>
        <w:tc>
          <w:tcPr>
            <w:tcW w:w="1431" w:type="dxa"/>
          </w:tcPr>
          <w:p>
            <w:pPr>
              <w:pStyle w:val="TableParagraph"/>
              <w:spacing w:before="113"/>
              <w:rPr>
                <w:b/>
                <w:sz w:val="18"/>
              </w:rPr>
            </w:pPr>
          </w:p>
          <w:p>
            <w:pPr>
              <w:pStyle w:val="TableParagraph"/>
              <w:ind w:left="65" w:right="55"/>
              <w:rPr>
                <w:sz w:val="18"/>
              </w:rPr>
            </w:pPr>
            <w:r>
              <w:rPr>
                <w:spacing w:val="-2"/>
                <w:sz w:val="18"/>
              </w:rPr>
              <w:t>Cantidad posibles contribuyentes </w:t>
            </w:r>
            <w:r>
              <w:rPr>
                <w:sz w:val="18"/>
              </w:rPr>
              <w:t>investigados</w:t>
            </w:r>
            <w:r>
              <w:rPr>
                <w:spacing w:val="-2"/>
                <w:sz w:val="18"/>
              </w:rPr>
              <w:t> </w:t>
            </w:r>
            <w:r>
              <w:rPr>
                <w:sz w:val="18"/>
              </w:rPr>
              <w:t>y </w:t>
            </w:r>
            <w:r>
              <w:rPr>
                <w:spacing w:val="-2"/>
                <w:sz w:val="18"/>
              </w:rPr>
              <w:t>localizados</w:t>
            </w:r>
          </w:p>
        </w:tc>
        <w:tc>
          <w:tcPr>
            <w:tcW w:w="1829" w:type="dxa"/>
          </w:tcPr>
          <w:p>
            <w:pPr>
              <w:pStyle w:val="TableParagraph"/>
              <w:spacing w:before="113"/>
              <w:rPr>
                <w:b/>
                <w:sz w:val="18"/>
              </w:rPr>
            </w:pPr>
          </w:p>
          <w:p>
            <w:pPr>
              <w:pStyle w:val="TableParagraph"/>
              <w:ind w:left="65" w:right="56"/>
              <w:rPr>
                <w:sz w:val="18"/>
              </w:rPr>
            </w:pPr>
            <w:r>
              <w:rPr>
                <w:sz w:val="18"/>
              </w:rPr>
              <w:t>Documentación de </w:t>
            </w:r>
            <w:r>
              <w:rPr>
                <w:spacing w:val="-2"/>
                <w:sz w:val="18"/>
              </w:rPr>
              <w:t>investigaciones, </w:t>
            </w:r>
            <w:r>
              <w:rPr>
                <w:sz w:val="18"/>
              </w:rPr>
              <w:t>visitas</w:t>
            </w:r>
            <w:r>
              <w:rPr>
                <w:spacing w:val="-13"/>
                <w:sz w:val="18"/>
              </w:rPr>
              <w:t> </w:t>
            </w:r>
            <w:r>
              <w:rPr>
                <w:sz w:val="18"/>
              </w:rPr>
              <w:t>a</w:t>
            </w:r>
            <w:r>
              <w:rPr>
                <w:spacing w:val="-9"/>
                <w:sz w:val="18"/>
              </w:rPr>
              <w:t> </w:t>
            </w:r>
            <w:r>
              <w:rPr>
                <w:sz w:val="18"/>
              </w:rPr>
              <w:t>negocios</w:t>
            </w:r>
            <w:r>
              <w:rPr>
                <w:spacing w:val="-13"/>
                <w:sz w:val="18"/>
              </w:rPr>
              <w:t> </w:t>
            </w:r>
            <w:r>
              <w:rPr>
                <w:sz w:val="18"/>
              </w:rPr>
              <w:t>y de potenciales </w:t>
            </w:r>
            <w:r>
              <w:rPr>
                <w:spacing w:val="-2"/>
                <w:sz w:val="18"/>
              </w:rPr>
              <w:t>investigados</w:t>
            </w:r>
          </w:p>
        </w:tc>
        <w:tc>
          <w:tcPr>
            <w:tcW w:w="1421" w:type="dxa"/>
          </w:tcPr>
          <w:p>
            <w:pPr>
              <w:pStyle w:val="TableParagraph"/>
              <w:rPr>
                <w:b/>
                <w:sz w:val="18"/>
              </w:rPr>
            </w:pPr>
          </w:p>
          <w:p>
            <w:pPr>
              <w:pStyle w:val="TableParagraph"/>
              <w:rPr>
                <w:b/>
                <w:sz w:val="18"/>
              </w:rPr>
            </w:pPr>
          </w:p>
          <w:p>
            <w:pPr>
              <w:pStyle w:val="TableParagraph"/>
              <w:spacing w:before="12"/>
              <w:rPr>
                <w:b/>
                <w:sz w:val="18"/>
              </w:rPr>
            </w:pPr>
          </w:p>
          <w:p>
            <w:pPr>
              <w:pStyle w:val="TableParagraph"/>
              <w:ind w:left="70"/>
              <w:rPr>
                <w:sz w:val="18"/>
              </w:rPr>
            </w:pPr>
            <w:r>
              <w:rPr>
                <w:spacing w:val="-2"/>
                <w:sz w:val="18"/>
              </w:rPr>
              <w:t>Administración Tributaria</w:t>
            </w:r>
          </w:p>
        </w:tc>
        <w:tc>
          <w:tcPr>
            <w:tcW w:w="1696" w:type="dxa"/>
          </w:tcPr>
          <w:p>
            <w:pPr>
              <w:pStyle w:val="TableParagraph"/>
              <w:rPr>
                <w:rFonts w:ascii="Times New Roman"/>
                <w:sz w:val="18"/>
              </w:rPr>
            </w:pPr>
          </w:p>
        </w:tc>
        <w:tc>
          <w:tcPr>
            <w:tcW w:w="2699"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ind w:left="74"/>
              <w:rPr>
                <w:sz w:val="18"/>
              </w:rPr>
            </w:pPr>
            <w:r>
              <w:rPr>
                <w:sz w:val="18"/>
              </w:rPr>
              <w:t>Evento:</w:t>
            </w:r>
            <w:r>
              <w:rPr>
                <w:spacing w:val="34"/>
                <w:sz w:val="18"/>
              </w:rPr>
              <w:t> </w:t>
            </w:r>
            <w:r>
              <w:rPr>
                <w:sz w:val="18"/>
              </w:rPr>
              <w:t>Poca</w:t>
            </w:r>
            <w:r>
              <w:rPr>
                <w:spacing w:val="-8"/>
                <w:sz w:val="18"/>
              </w:rPr>
              <w:t> </w:t>
            </w:r>
            <w:r>
              <w:rPr>
                <w:sz w:val="18"/>
              </w:rPr>
              <w:t>inscripción</w:t>
            </w:r>
            <w:r>
              <w:rPr>
                <w:spacing w:val="-11"/>
                <w:sz w:val="18"/>
              </w:rPr>
              <w:t> </w:t>
            </w:r>
            <w:r>
              <w:rPr>
                <w:sz w:val="18"/>
              </w:rPr>
              <w:t>de negocios nuevos.</w:t>
            </w:r>
          </w:p>
        </w:tc>
      </w:tr>
      <w:tr>
        <w:trPr>
          <w:trHeight w:val="1200" w:hRule="atLeast"/>
        </w:trPr>
        <w:tc>
          <w:tcPr>
            <w:tcW w:w="2550" w:type="dxa"/>
          </w:tcPr>
          <w:p>
            <w:pPr>
              <w:pStyle w:val="TableParagraph"/>
              <w:spacing w:before="85"/>
              <w:ind w:left="72"/>
              <w:rPr>
                <w:sz w:val="18"/>
              </w:rPr>
            </w:pPr>
            <w:r>
              <w:rPr>
                <w:b/>
                <w:sz w:val="18"/>
              </w:rPr>
              <w:t>Actividad PAC 2.46.2: </w:t>
            </w:r>
            <w:r>
              <w:rPr>
                <w:sz w:val="18"/>
              </w:rPr>
              <w:t>Gestionar la inscripción de nuevos negocios como contribuyentes</w:t>
            </w:r>
            <w:r>
              <w:rPr>
                <w:spacing w:val="-13"/>
                <w:sz w:val="18"/>
              </w:rPr>
              <w:t> </w:t>
            </w:r>
            <w:r>
              <w:rPr>
                <w:sz w:val="18"/>
              </w:rPr>
              <w:t>del</w:t>
            </w:r>
            <w:r>
              <w:rPr>
                <w:spacing w:val="-10"/>
                <w:sz w:val="18"/>
              </w:rPr>
              <w:t> </w:t>
            </w:r>
            <w:r>
              <w:rPr>
                <w:sz w:val="18"/>
              </w:rPr>
              <w:t>impuesto</w:t>
            </w:r>
            <w:r>
              <w:rPr>
                <w:spacing w:val="-13"/>
                <w:sz w:val="18"/>
              </w:rPr>
              <w:t> </w:t>
            </w:r>
            <w:r>
              <w:rPr>
                <w:sz w:val="18"/>
              </w:rPr>
              <w:t>a moteles y lugares afines.</w:t>
            </w:r>
          </w:p>
        </w:tc>
        <w:tc>
          <w:tcPr>
            <w:tcW w:w="1273" w:type="dxa"/>
          </w:tcPr>
          <w:p>
            <w:pPr>
              <w:pStyle w:val="TableParagraph"/>
              <w:rPr>
                <w:b/>
                <w:sz w:val="18"/>
              </w:rPr>
            </w:pPr>
          </w:p>
          <w:p>
            <w:pPr>
              <w:pStyle w:val="TableParagraph"/>
              <w:spacing w:before="84"/>
              <w:rPr>
                <w:b/>
                <w:sz w:val="18"/>
              </w:rPr>
            </w:pPr>
          </w:p>
          <w:p>
            <w:pPr>
              <w:pStyle w:val="TableParagraph"/>
              <w:ind w:left="8" w:right="5"/>
              <w:jc w:val="center"/>
              <w:rPr>
                <w:sz w:val="18"/>
              </w:rPr>
            </w:pPr>
            <w:r>
              <w:rPr>
                <w:spacing w:val="-5"/>
                <w:sz w:val="18"/>
              </w:rPr>
              <w:t>10</w:t>
            </w:r>
          </w:p>
        </w:tc>
        <w:tc>
          <w:tcPr>
            <w:tcW w:w="1561" w:type="dxa"/>
          </w:tcPr>
          <w:p>
            <w:pPr>
              <w:pStyle w:val="TableParagraph"/>
              <w:rPr>
                <w:b/>
                <w:sz w:val="18"/>
              </w:rPr>
            </w:pPr>
          </w:p>
          <w:p>
            <w:pPr>
              <w:pStyle w:val="TableParagraph"/>
              <w:spacing w:before="84"/>
              <w:rPr>
                <w:b/>
                <w:sz w:val="18"/>
              </w:rPr>
            </w:pPr>
          </w:p>
          <w:p>
            <w:pPr>
              <w:pStyle w:val="TableParagraph"/>
              <w:ind w:left="96" w:right="94"/>
              <w:jc w:val="center"/>
              <w:rPr>
                <w:sz w:val="18"/>
              </w:rPr>
            </w:pPr>
            <w:r>
              <w:rPr>
                <w:spacing w:val="-5"/>
                <w:sz w:val="18"/>
              </w:rPr>
              <w:t>10</w:t>
            </w:r>
          </w:p>
        </w:tc>
        <w:tc>
          <w:tcPr>
            <w:tcW w:w="1431" w:type="dxa"/>
          </w:tcPr>
          <w:p>
            <w:pPr>
              <w:pStyle w:val="TableParagraph"/>
              <w:spacing w:before="186"/>
              <w:ind w:left="65" w:right="238"/>
              <w:rPr>
                <w:sz w:val="18"/>
              </w:rPr>
            </w:pPr>
            <w:r>
              <w:rPr>
                <w:sz w:val="18"/>
              </w:rPr>
              <w:t>Cantidad</w:t>
            </w:r>
            <w:r>
              <w:rPr>
                <w:spacing w:val="-13"/>
                <w:sz w:val="18"/>
              </w:rPr>
              <w:t> </w:t>
            </w:r>
            <w:r>
              <w:rPr>
                <w:sz w:val="18"/>
              </w:rPr>
              <w:t>de </w:t>
            </w:r>
            <w:r>
              <w:rPr>
                <w:spacing w:val="-2"/>
                <w:sz w:val="18"/>
              </w:rPr>
              <w:t>nuevos negocios inscritos</w:t>
            </w:r>
          </w:p>
        </w:tc>
        <w:tc>
          <w:tcPr>
            <w:tcW w:w="1829" w:type="dxa"/>
          </w:tcPr>
          <w:p>
            <w:pPr>
              <w:pStyle w:val="TableParagraph"/>
              <w:spacing w:before="85"/>
              <w:rPr>
                <w:b/>
                <w:sz w:val="18"/>
              </w:rPr>
            </w:pPr>
          </w:p>
          <w:p>
            <w:pPr>
              <w:pStyle w:val="TableParagraph"/>
              <w:ind w:left="65" w:right="396"/>
              <w:rPr>
                <w:sz w:val="18"/>
              </w:rPr>
            </w:pPr>
            <w:r>
              <w:rPr>
                <w:sz w:val="18"/>
              </w:rPr>
              <w:t>Información de nuevos</w:t>
            </w:r>
            <w:r>
              <w:rPr>
                <w:spacing w:val="-13"/>
                <w:sz w:val="18"/>
              </w:rPr>
              <w:t> </w:t>
            </w:r>
            <w:r>
              <w:rPr>
                <w:sz w:val="18"/>
              </w:rPr>
              <w:t>negocios </w:t>
            </w:r>
            <w:r>
              <w:rPr>
                <w:spacing w:val="-2"/>
                <w:sz w:val="18"/>
              </w:rPr>
              <w:t>inscritos</w:t>
            </w:r>
          </w:p>
        </w:tc>
        <w:tc>
          <w:tcPr>
            <w:tcW w:w="1421" w:type="dxa"/>
          </w:tcPr>
          <w:p>
            <w:pPr>
              <w:pStyle w:val="TableParagraph"/>
              <w:spacing w:before="185"/>
              <w:rPr>
                <w:b/>
                <w:sz w:val="18"/>
              </w:rPr>
            </w:pPr>
          </w:p>
          <w:p>
            <w:pPr>
              <w:pStyle w:val="TableParagraph"/>
              <w:spacing w:before="1"/>
              <w:ind w:left="70"/>
              <w:rPr>
                <w:sz w:val="18"/>
              </w:rPr>
            </w:pPr>
            <w:r>
              <w:rPr>
                <w:spacing w:val="-2"/>
                <w:sz w:val="18"/>
              </w:rPr>
              <w:t>Administración Tributaria</w:t>
            </w:r>
          </w:p>
        </w:tc>
        <w:tc>
          <w:tcPr>
            <w:tcW w:w="1696" w:type="dxa"/>
          </w:tcPr>
          <w:p>
            <w:pPr>
              <w:pStyle w:val="TableParagraph"/>
              <w:rPr>
                <w:rFonts w:ascii="Times New Roman"/>
                <w:sz w:val="18"/>
              </w:rPr>
            </w:pPr>
          </w:p>
        </w:tc>
        <w:tc>
          <w:tcPr>
            <w:tcW w:w="2699" w:type="dxa"/>
            <w:vMerge/>
            <w:tcBorders>
              <w:top w:val="nil"/>
            </w:tcBorders>
          </w:tcPr>
          <w:p>
            <w:pPr>
              <w:rPr>
                <w:sz w:val="2"/>
                <w:szCs w:val="2"/>
              </w:rPr>
            </w:pPr>
          </w:p>
        </w:tc>
      </w:tr>
      <w:tr>
        <w:trPr>
          <w:trHeight w:val="1656" w:hRule="atLeast"/>
        </w:trPr>
        <w:tc>
          <w:tcPr>
            <w:tcW w:w="2550" w:type="dxa"/>
          </w:tcPr>
          <w:p>
            <w:pPr>
              <w:pStyle w:val="TableParagraph"/>
              <w:ind w:left="72" w:right="66"/>
              <w:rPr>
                <w:sz w:val="18"/>
              </w:rPr>
            </w:pPr>
            <w:r>
              <w:rPr>
                <w:b/>
                <w:sz w:val="18"/>
              </w:rPr>
              <w:t>Actividad PAC 2.46.3: </w:t>
            </w:r>
            <w:r>
              <w:rPr>
                <w:sz w:val="18"/>
              </w:rPr>
              <w:t>Concretar con las municipalidades la obtención de información relevante sobre contactos y contribuyentes</w:t>
            </w:r>
            <w:r>
              <w:rPr>
                <w:spacing w:val="-11"/>
                <w:sz w:val="18"/>
              </w:rPr>
              <w:t> </w:t>
            </w:r>
            <w:r>
              <w:rPr>
                <w:sz w:val="18"/>
              </w:rPr>
              <w:t>relacionados</w:t>
            </w:r>
            <w:r>
              <w:rPr>
                <w:spacing w:val="-10"/>
                <w:sz w:val="18"/>
              </w:rPr>
              <w:t> a</w:t>
            </w:r>
          </w:p>
          <w:p>
            <w:pPr>
              <w:pStyle w:val="TableParagraph"/>
              <w:spacing w:line="200" w:lineRule="atLeast"/>
              <w:ind w:left="72"/>
              <w:rPr>
                <w:sz w:val="18"/>
              </w:rPr>
            </w:pPr>
            <w:r>
              <w:rPr>
                <w:sz w:val="18"/>
              </w:rPr>
              <w:t>la</w:t>
            </w:r>
            <w:r>
              <w:rPr>
                <w:spacing w:val="-4"/>
                <w:sz w:val="18"/>
              </w:rPr>
              <w:t> </w:t>
            </w:r>
            <w:r>
              <w:rPr>
                <w:sz w:val="18"/>
              </w:rPr>
              <w:t>actividad</w:t>
            </w:r>
            <w:r>
              <w:rPr>
                <w:spacing w:val="-12"/>
                <w:sz w:val="18"/>
              </w:rPr>
              <w:t> </w:t>
            </w:r>
            <w:r>
              <w:rPr>
                <w:sz w:val="18"/>
              </w:rPr>
              <w:t>regulada</w:t>
            </w:r>
            <w:r>
              <w:rPr>
                <w:spacing w:val="-8"/>
                <w:sz w:val="18"/>
              </w:rPr>
              <w:t> </w:t>
            </w:r>
            <w:r>
              <w:rPr>
                <w:sz w:val="18"/>
              </w:rPr>
              <w:t>en</w:t>
            </w:r>
            <w:r>
              <w:rPr>
                <w:spacing w:val="-8"/>
                <w:sz w:val="18"/>
              </w:rPr>
              <w:t> </w:t>
            </w:r>
            <w:r>
              <w:rPr>
                <w:sz w:val="18"/>
              </w:rPr>
              <w:t>la</w:t>
            </w:r>
            <w:r>
              <w:rPr>
                <w:spacing w:val="-4"/>
                <w:sz w:val="18"/>
              </w:rPr>
              <w:t> </w:t>
            </w:r>
            <w:r>
              <w:rPr>
                <w:sz w:val="18"/>
              </w:rPr>
              <w:t>ley </w:t>
            </w:r>
            <w:r>
              <w:rPr>
                <w:spacing w:val="-2"/>
                <w:sz w:val="18"/>
              </w:rPr>
              <w:t>9326.</w:t>
            </w:r>
          </w:p>
        </w:tc>
        <w:tc>
          <w:tcPr>
            <w:tcW w:w="1273"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8" w:right="5"/>
              <w:jc w:val="center"/>
              <w:rPr>
                <w:sz w:val="18"/>
              </w:rPr>
            </w:pPr>
            <w:r>
              <w:rPr>
                <w:spacing w:val="-5"/>
                <w:sz w:val="18"/>
              </w:rPr>
              <w:t>24</w:t>
            </w:r>
          </w:p>
        </w:tc>
        <w:tc>
          <w:tcPr>
            <w:tcW w:w="1561"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96" w:right="94"/>
              <w:jc w:val="center"/>
              <w:rPr>
                <w:sz w:val="18"/>
              </w:rPr>
            </w:pPr>
            <w:r>
              <w:rPr>
                <w:spacing w:val="-5"/>
                <w:sz w:val="18"/>
              </w:rPr>
              <w:t>24</w:t>
            </w:r>
          </w:p>
        </w:tc>
        <w:tc>
          <w:tcPr>
            <w:tcW w:w="1431" w:type="dxa"/>
          </w:tcPr>
          <w:p>
            <w:pPr>
              <w:pStyle w:val="TableParagraph"/>
              <w:rPr>
                <w:b/>
                <w:sz w:val="18"/>
              </w:rPr>
            </w:pPr>
          </w:p>
          <w:p>
            <w:pPr>
              <w:pStyle w:val="TableParagraph"/>
              <w:spacing w:before="3"/>
              <w:rPr>
                <w:b/>
                <w:sz w:val="18"/>
              </w:rPr>
            </w:pPr>
          </w:p>
          <w:p>
            <w:pPr>
              <w:pStyle w:val="TableParagraph"/>
              <w:ind w:left="65"/>
              <w:rPr>
                <w:sz w:val="18"/>
              </w:rPr>
            </w:pPr>
            <w:r>
              <w:rPr>
                <w:sz w:val="18"/>
              </w:rPr>
              <w:t>Cantidad de </w:t>
            </w:r>
            <w:r>
              <w:rPr>
                <w:spacing w:val="-2"/>
                <w:sz w:val="18"/>
              </w:rPr>
              <w:t>municipalidades </w:t>
            </w:r>
            <w:r>
              <w:rPr>
                <w:sz w:val="18"/>
              </w:rPr>
              <w:t>que brindaron </w:t>
            </w:r>
            <w:r>
              <w:rPr>
                <w:spacing w:val="-2"/>
                <w:sz w:val="18"/>
              </w:rPr>
              <w:t>información</w:t>
            </w:r>
          </w:p>
        </w:tc>
        <w:tc>
          <w:tcPr>
            <w:tcW w:w="1829"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5" w:right="56"/>
              <w:rPr>
                <w:sz w:val="18"/>
              </w:rPr>
            </w:pPr>
            <w:r>
              <w:rPr>
                <w:sz w:val="18"/>
              </w:rPr>
              <w:t>Informe</w:t>
            </w:r>
            <w:r>
              <w:rPr>
                <w:spacing w:val="-15"/>
                <w:sz w:val="18"/>
              </w:rPr>
              <w:t> </w:t>
            </w:r>
            <w:r>
              <w:rPr>
                <w:sz w:val="18"/>
              </w:rPr>
              <w:t>trimestral</w:t>
            </w:r>
            <w:r>
              <w:rPr>
                <w:spacing w:val="-12"/>
                <w:sz w:val="18"/>
              </w:rPr>
              <w:t> </w:t>
            </w:r>
            <w:r>
              <w:rPr>
                <w:sz w:val="18"/>
              </w:rPr>
              <w:t>de </w:t>
            </w:r>
            <w:r>
              <w:rPr>
                <w:spacing w:val="-2"/>
                <w:sz w:val="18"/>
              </w:rPr>
              <w:t>labores</w:t>
            </w:r>
          </w:p>
        </w:tc>
        <w:tc>
          <w:tcPr>
            <w:tcW w:w="142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0"/>
              <w:rPr>
                <w:sz w:val="18"/>
              </w:rPr>
            </w:pPr>
            <w:r>
              <w:rPr>
                <w:spacing w:val="-2"/>
                <w:sz w:val="18"/>
              </w:rPr>
              <w:t>Administración Tributaria</w:t>
            </w:r>
          </w:p>
        </w:tc>
        <w:tc>
          <w:tcPr>
            <w:tcW w:w="1696" w:type="dxa"/>
          </w:tcPr>
          <w:p>
            <w:pPr>
              <w:pStyle w:val="TableParagraph"/>
              <w:rPr>
                <w:rFonts w:ascii="Times New Roman"/>
                <w:sz w:val="18"/>
              </w:rPr>
            </w:pPr>
          </w:p>
        </w:tc>
        <w:tc>
          <w:tcPr>
            <w:tcW w:w="2699" w:type="dxa"/>
            <w:vMerge/>
            <w:tcBorders>
              <w:top w:val="nil"/>
            </w:tcBorders>
          </w:tcPr>
          <w:p>
            <w:pPr>
              <w:rPr>
                <w:sz w:val="2"/>
                <w:szCs w:val="2"/>
              </w:rPr>
            </w:pPr>
          </w:p>
        </w:tc>
      </w:tr>
      <w:tr>
        <w:trPr>
          <w:trHeight w:val="436" w:hRule="atLeast"/>
        </w:trPr>
        <w:tc>
          <w:tcPr>
            <w:tcW w:w="14460" w:type="dxa"/>
            <w:gridSpan w:val="8"/>
            <w:shd w:val="clear" w:color="auto" w:fill="EFF8F9"/>
          </w:tcPr>
          <w:p>
            <w:pPr>
              <w:pStyle w:val="TableParagraph"/>
              <w:spacing w:before="114"/>
              <w:ind w:left="72"/>
              <w:rPr>
                <w:b/>
                <w:sz w:val="18"/>
              </w:rPr>
            </w:pPr>
            <w:r>
              <w:rPr>
                <w:b/>
                <w:sz w:val="18"/>
              </w:rPr>
              <w:t>Producto</w:t>
            </w:r>
            <w:r>
              <w:rPr>
                <w:b/>
                <w:spacing w:val="-7"/>
                <w:sz w:val="18"/>
              </w:rPr>
              <w:t> </w:t>
            </w:r>
            <w:r>
              <w:rPr>
                <w:b/>
                <w:sz w:val="18"/>
              </w:rPr>
              <w:t>PAC</w:t>
            </w:r>
            <w:r>
              <w:rPr>
                <w:b/>
                <w:spacing w:val="-9"/>
                <w:sz w:val="18"/>
              </w:rPr>
              <w:t> </w:t>
            </w:r>
            <w:r>
              <w:rPr>
                <w:b/>
                <w:sz w:val="18"/>
              </w:rPr>
              <w:t>2.47:</w:t>
            </w:r>
            <w:r>
              <w:rPr>
                <w:b/>
                <w:spacing w:val="40"/>
                <w:sz w:val="18"/>
              </w:rPr>
              <w:t> </w:t>
            </w:r>
            <w:r>
              <w:rPr>
                <w:b/>
                <w:sz w:val="18"/>
              </w:rPr>
              <w:t>Gestiones</w:t>
            </w:r>
            <w:r>
              <w:rPr>
                <w:b/>
                <w:spacing w:val="-7"/>
                <w:sz w:val="18"/>
              </w:rPr>
              <w:t> </w:t>
            </w:r>
            <w:r>
              <w:rPr>
                <w:b/>
                <w:sz w:val="18"/>
              </w:rPr>
              <w:t>Operativas</w:t>
            </w:r>
            <w:r>
              <w:rPr>
                <w:b/>
                <w:spacing w:val="-3"/>
                <w:sz w:val="18"/>
              </w:rPr>
              <w:t> </w:t>
            </w:r>
            <w:r>
              <w:rPr>
                <w:b/>
                <w:sz w:val="18"/>
              </w:rPr>
              <w:t>de</w:t>
            </w:r>
            <w:r>
              <w:rPr>
                <w:b/>
                <w:spacing w:val="-6"/>
                <w:sz w:val="18"/>
              </w:rPr>
              <w:t> </w:t>
            </w:r>
            <w:r>
              <w:rPr>
                <w:b/>
                <w:sz w:val="18"/>
              </w:rPr>
              <w:t>Administración</w:t>
            </w:r>
            <w:r>
              <w:rPr>
                <w:b/>
                <w:spacing w:val="-11"/>
                <w:sz w:val="18"/>
              </w:rPr>
              <w:t> </w:t>
            </w:r>
            <w:r>
              <w:rPr>
                <w:b/>
                <w:spacing w:val="-2"/>
                <w:sz w:val="18"/>
              </w:rPr>
              <w:t>Tributaria</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50"/>
        <w:gridCol w:w="1273"/>
        <w:gridCol w:w="1561"/>
        <w:gridCol w:w="1431"/>
        <w:gridCol w:w="1829"/>
        <w:gridCol w:w="1421"/>
        <w:gridCol w:w="1698"/>
        <w:gridCol w:w="2697"/>
      </w:tblGrid>
      <w:tr>
        <w:trPr>
          <w:trHeight w:val="777" w:hRule="atLeast"/>
        </w:trPr>
        <w:tc>
          <w:tcPr>
            <w:tcW w:w="2550" w:type="dxa"/>
            <w:shd w:val="clear" w:color="auto" w:fill="E8E8E8"/>
          </w:tcPr>
          <w:p>
            <w:pPr>
              <w:pStyle w:val="TableParagraph"/>
              <w:spacing w:before="75"/>
              <w:rPr>
                <w:b/>
                <w:sz w:val="18"/>
              </w:rPr>
            </w:pPr>
          </w:p>
          <w:p>
            <w:pPr>
              <w:pStyle w:val="TableParagraph"/>
              <w:ind w:left="302"/>
              <w:rPr>
                <w:b/>
                <w:sz w:val="18"/>
              </w:rPr>
            </w:pPr>
            <w:r>
              <w:rPr>
                <w:b/>
                <w:sz w:val="18"/>
              </w:rPr>
              <w:t>Objetivos</w:t>
            </w:r>
            <w:r>
              <w:rPr>
                <w:b/>
                <w:spacing w:val="-5"/>
                <w:sz w:val="18"/>
              </w:rPr>
              <w:t> </w:t>
            </w:r>
            <w:r>
              <w:rPr>
                <w:b/>
                <w:sz w:val="18"/>
              </w:rPr>
              <w:t>/</w:t>
            </w:r>
            <w:r>
              <w:rPr>
                <w:b/>
                <w:spacing w:val="-2"/>
                <w:sz w:val="18"/>
              </w:rPr>
              <w:t> Resultados</w:t>
            </w:r>
          </w:p>
        </w:tc>
        <w:tc>
          <w:tcPr>
            <w:tcW w:w="1273" w:type="dxa"/>
            <w:shd w:val="clear" w:color="auto" w:fill="E8E8E8"/>
          </w:tcPr>
          <w:p>
            <w:pPr>
              <w:pStyle w:val="TableParagraph"/>
              <w:spacing w:before="181"/>
              <w:ind w:left="373" w:hanging="216"/>
              <w:rPr>
                <w:b/>
                <w:sz w:val="18"/>
              </w:rPr>
            </w:pPr>
            <w:r>
              <w:rPr>
                <w:b/>
                <w:sz w:val="18"/>
              </w:rPr>
              <w:t>Línea</w:t>
            </w:r>
            <w:r>
              <w:rPr>
                <w:b/>
                <w:spacing w:val="-13"/>
                <w:sz w:val="18"/>
              </w:rPr>
              <w:t> </w:t>
            </w:r>
            <w:r>
              <w:rPr>
                <w:b/>
                <w:sz w:val="18"/>
              </w:rPr>
              <w:t>Base </w:t>
            </w:r>
            <w:r>
              <w:rPr>
                <w:b/>
                <w:spacing w:val="-2"/>
                <w:sz w:val="18"/>
              </w:rPr>
              <w:t>(2024)</w:t>
            </w:r>
          </w:p>
        </w:tc>
        <w:tc>
          <w:tcPr>
            <w:tcW w:w="1561" w:type="dxa"/>
            <w:shd w:val="clear" w:color="auto" w:fill="E8E8E8"/>
          </w:tcPr>
          <w:p>
            <w:pPr>
              <w:pStyle w:val="TableParagraph"/>
              <w:spacing w:before="75"/>
              <w:ind w:left="96" w:right="92"/>
              <w:jc w:val="center"/>
              <w:rPr>
                <w:b/>
                <w:sz w:val="18"/>
              </w:rPr>
            </w:pPr>
            <w:r>
              <w:rPr>
                <w:b/>
                <w:spacing w:val="-4"/>
                <w:sz w:val="18"/>
              </w:rPr>
              <w:t>Meta </w:t>
            </w:r>
            <w:r>
              <w:rPr>
                <w:b/>
                <w:spacing w:val="-2"/>
                <w:sz w:val="18"/>
              </w:rPr>
              <w:t>programada </w:t>
            </w:r>
            <w:r>
              <w:rPr>
                <w:b/>
                <w:spacing w:val="-4"/>
                <w:sz w:val="18"/>
              </w:rPr>
              <w:t>2026</w:t>
            </w:r>
          </w:p>
        </w:tc>
        <w:tc>
          <w:tcPr>
            <w:tcW w:w="1431" w:type="dxa"/>
            <w:shd w:val="clear" w:color="auto" w:fill="E8E8E8"/>
          </w:tcPr>
          <w:p>
            <w:pPr>
              <w:pStyle w:val="TableParagraph"/>
              <w:spacing w:before="75"/>
              <w:rPr>
                <w:b/>
                <w:sz w:val="18"/>
              </w:rPr>
            </w:pPr>
          </w:p>
          <w:p>
            <w:pPr>
              <w:pStyle w:val="TableParagraph"/>
              <w:ind w:left="305"/>
              <w:rPr>
                <w:b/>
                <w:sz w:val="18"/>
              </w:rPr>
            </w:pPr>
            <w:r>
              <w:rPr>
                <w:b/>
                <w:spacing w:val="-2"/>
                <w:sz w:val="18"/>
              </w:rPr>
              <w:t>Indicador</w:t>
            </w:r>
          </w:p>
        </w:tc>
        <w:tc>
          <w:tcPr>
            <w:tcW w:w="1829" w:type="dxa"/>
            <w:shd w:val="clear" w:color="auto" w:fill="E8E8E8"/>
          </w:tcPr>
          <w:p>
            <w:pPr>
              <w:pStyle w:val="TableParagraph"/>
              <w:spacing w:before="181"/>
              <w:ind w:left="411" w:right="56" w:firstLine="57"/>
              <w:rPr>
                <w:b/>
                <w:sz w:val="18"/>
              </w:rPr>
            </w:pPr>
            <w:r>
              <w:rPr>
                <w:b/>
                <w:sz w:val="18"/>
              </w:rPr>
              <w:t>Medios de </w:t>
            </w:r>
            <w:r>
              <w:rPr>
                <w:b/>
                <w:spacing w:val="-2"/>
                <w:sz w:val="18"/>
              </w:rPr>
              <w:t>verificación</w:t>
            </w:r>
          </w:p>
        </w:tc>
        <w:tc>
          <w:tcPr>
            <w:tcW w:w="1421" w:type="dxa"/>
            <w:shd w:val="clear" w:color="auto" w:fill="E8E8E8"/>
          </w:tcPr>
          <w:p>
            <w:pPr>
              <w:pStyle w:val="TableParagraph"/>
              <w:spacing w:before="75"/>
              <w:rPr>
                <w:b/>
                <w:sz w:val="18"/>
              </w:rPr>
            </w:pPr>
          </w:p>
          <w:p>
            <w:pPr>
              <w:pStyle w:val="TableParagraph"/>
              <w:ind w:left="147"/>
              <w:rPr>
                <w:b/>
                <w:sz w:val="18"/>
              </w:rPr>
            </w:pPr>
            <w:r>
              <w:rPr>
                <w:b/>
                <w:spacing w:val="-2"/>
                <w:sz w:val="18"/>
              </w:rPr>
              <w:t>Responsable</w:t>
            </w:r>
          </w:p>
        </w:tc>
        <w:tc>
          <w:tcPr>
            <w:tcW w:w="1698" w:type="dxa"/>
            <w:shd w:val="clear" w:color="auto" w:fill="E8E8E8"/>
          </w:tcPr>
          <w:p>
            <w:pPr>
              <w:pStyle w:val="TableParagraph"/>
              <w:spacing w:before="181"/>
              <w:ind w:left="450" w:hanging="154"/>
              <w:rPr>
                <w:b/>
                <w:sz w:val="18"/>
              </w:rPr>
            </w:pPr>
            <w:r>
              <w:rPr>
                <w:b/>
                <w:spacing w:val="-2"/>
                <w:sz w:val="18"/>
              </w:rPr>
              <w:t>Presupuesto asignado</w:t>
            </w:r>
          </w:p>
        </w:tc>
        <w:tc>
          <w:tcPr>
            <w:tcW w:w="2697" w:type="dxa"/>
            <w:shd w:val="clear" w:color="auto" w:fill="E8E8E8"/>
          </w:tcPr>
          <w:p>
            <w:pPr>
              <w:pStyle w:val="TableParagraph"/>
              <w:spacing w:before="75"/>
              <w:rPr>
                <w:b/>
                <w:sz w:val="18"/>
              </w:rPr>
            </w:pPr>
          </w:p>
          <w:p>
            <w:pPr>
              <w:pStyle w:val="TableParagraph"/>
              <w:ind w:left="12"/>
              <w:jc w:val="center"/>
              <w:rPr>
                <w:b/>
                <w:sz w:val="18"/>
              </w:rPr>
            </w:pPr>
            <w:r>
              <w:rPr>
                <w:b/>
                <w:spacing w:val="-2"/>
                <w:sz w:val="18"/>
              </w:rPr>
              <w:t>Riesgo</w:t>
            </w:r>
          </w:p>
        </w:tc>
      </w:tr>
      <w:tr>
        <w:trPr>
          <w:trHeight w:val="1709" w:hRule="atLeast"/>
        </w:trPr>
        <w:tc>
          <w:tcPr>
            <w:tcW w:w="2550" w:type="dxa"/>
          </w:tcPr>
          <w:p>
            <w:pPr>
              <w:pStyle w:val="TableParagraph"/>
              <w:rPr>
                <w:b/>
                <w:sz w:val="18"/>
              </w:rPr>
            </w:pPr>
          </w:p>
          <w:p>
            <w:pPr>
              <w:pStyle w:val="TableParagraph"/>
              <w:spacing w:before="27"/>
              <w:rPr>
                <w:b/>
                <w:sz w:val="18"/>
              </w:rPr>
            </w:pPr>
          </w:p>
          <w:p>
            <w:pPr>
              <w:pStyle w:val="TableParagraph"/>
              <w:ind w:left="72" w:right="141"/>
              <w:rPr>
                <w:sz w:val="18"/>
              </w:rPr>
            </w:pPr>
            <w:r>
              <w:rPr>
                <w:b/>
                <w:sz w:val="18"/>
              </w:rPr>
              <w:t>Actividad PAC 2.47.1: </w:t>
            </w:r>
            <w:r>
              <w:rPr>
                <w:sz w:val="18"/>
              </w:rPr>
              <w:t>Realizar mensualmente el proceso</w:t>
            </w:r>
            <w:r>
              <w:rPr>
                <w:spacing w:val="-12"/>
                <w:sz w:val="18"/>
              </w:rPr>
              <w:t> </w:t>
            </w:r>
            <w:r>
              <w:rPr>
                <w:sz w:val="18"/>
              </w:rPr>
              <w:t>para</w:t>
            </w:r>
            <w:r>
              <w:rPr>
                <w:spacing w:val="-13"/>
                <w:sz w:val="18"/>
              </w:rPr>
              <w:t> </w:t>
            </w:r>
            <w:r>
              <w:rPr>
                <w:sz w:val="18"/>
              </w:rPr>
              <w:t>la</w:t>
            </w:r>
            <w:r>
              <w:rPr>
                <w:spacing w:val="-10"/>
                <w:sz w:val="18"/>
              </w:rPr>
              <w:t> </w:t>
            </w:r>
            <w:r>
              <w:rPr>
                <w:sz w:val="18"/>
              </w:rPr>
              <w:t>depuración de la cuenta por cobrar.</w:t>
            </w:r>
          </w:p>
        </w:tc>
        <w:tc>
          <w:tcPr>
            <w:tcW w:w="1273" w:type="dxa"/>
          </w:tcPr>
          <w:p>
            <w:pPr>
              <w:pStyle w:val="TableParagraph"/>
              <w:rPr>
                <w:b/>
                <w:sz w:val="18"/>
              </w:rPr>
            </w:pPr>
          </w:p>
          <w:p>
            <w:pPr>
              <w:pStyle w:val="TableParagraph"/>
              <w:rPr>
                <w:b/>
                <w:sz w:val="18"/>
              </w:rPr>
            </w:pPr>
          </w:p>
          <w:p>
            <w:pPr>
              <w:pStyle w:val="TableParagraph"/>
              <w:spacing w:before="127"/>
              <w:rPr>
                <w:b/>
                <w:sz w:val="18"/>
              </w:rPr>
            </w:pPr>
          </w:p>
          <w:p>
            <w:pPr>
              <w:pStyle w:val="TableParagraph"/>
              <w:ind w:left="8" w:right="5"/>
              <w:jc w:val="center"/>
              <w:rPr>
                <w:sz w:val="18"/>
              </w:rPr>
            </w:pPr>
            <w:r>
              <w:rPr>
                <w:spacing w:val="-5"/>
                <w:sz w:val="18"/>
              </w:rPr>
              <w:t>ND</w:t>
            </w:r>
          </w:p>
        </w:tc>
        <w:tc>
          <w:tcPr>
            <w:tcW w:w="1561" w:type="dxa"/>
          </w:tcPr>
          <w:p>
            <w:pPr>
              <w:pStyle w:val="TableParagraph"/>
              <w:rPr>
                <w:b/>
                <w:sz w:val="18"/>
              </w:rPr>
            </w:pPr>
          </w:p>
          <w:p>
            <w:pPr>
              <w:pStyle w:val="TableParagraph"/>
              <w:rPr>
                <w:b/>
                <w:sz w:val="18"/>
              </w:rPr>
            </w:pPr>
          </w:p>
          <w:p>
            <w:pPr>
              <w:pStyle w:val="TableParagraph"/>
              <w:spacing w:before="127"/>
              <w:rPr>
                <w:b/>
                <w:sz w:val="18"/>
              </w:rPr>
            </w:pPr>
          </w:p>
          <w:p>
            <w:pPr>
              <w:pStyle w:val="TableParagraph"/>
              <w:ind w:left="96" w:right="94"/>
              <w:jc w:val="center"/>
              <w:rPr>
                <w:sz w:val="18"/>
              </w:rPr>
            </w:pPr>
            <w:r>
              <w:rPr>
                <w:sz w:val="18"/>
              </w:rPr>
              <w:t>20</w:t>
            </w:r>
            <w:r>
              <w:rPr>
                <w:spacing w:val="2"/>
                <w:sz w:val="18"/>
              </w:rPr>
              <w:t> </w:t>
            </w:r>
            <w:r>
              <w:rPr>
                <w:spacing w:val="-5"/>
                <w:sz w:val="18"/>
              </w:rPr>
              <w:t>000</w:t>
            </w:r>
          </w:p>
        </w:tc>
        <w:tc>
          <w:tcPr>
            <w:tcW w:w="1431" w:type="dxa"/>
          </w:tcPr>
          <w:p>
            <w:pPr>
              <w:pStyle w:val="TableParagraph"/>
              <w:spacing w:before="128"/>
              <w:rPr>
                <w:b/>
                <w:sz w:val="18"/>
              </w:rPr>
            </w:pPr>
          </w:p>
          <w:p>
            <w:pPr>
              <w:pStyle w:val="TableParagraph"/>
              <w:ind w:left="65"/>
              <w:rPr>
                <w:sz w:val="18"/>
              </w:rPr>
            </w:pPr>
            <w:r>
              <w:rPr>
                <w:sz w:val="18"/>
              </w:rPr>
              <w:t>Cantidad de casos</w:t>
            </w:r>
            <w:r>
              <w:rPr>
                <w:spacing w:val="-13"/>
                <w:sz w:val="18"/>
              </w:rPr>
              <w:t> </w:t>
            </w:r>
            <w:r>
              <w:rPr>
                <w:sz w:val="18"/>
              </w:rPr>
              <w:t>aplicados en</w:t>
            </w:r>
            <w:r>
              <w:rPr>
                <w:spacing w:val="-4"/>
                <w:sz w:val="18"/>
              </w:rPr>
              <w:t> </w:t>
            </w:r>
            <w:r>
              <w:rPr>
                <w:sz w:val="18"/>
              </w:rPr>
              <w:t>el</w:t>
            </w:r>
            <w:r>
              <w:rPr>
                <w:spacing w:val="-5"/>
                <w:sz w:val="18"/>
              </w:rPr>
              <w:t> </w:t>
            </w:r>
            <w:r>
              <w:rPr>
                <w:sz w:val="18"/>
              </w:rPr>
              <w:t>auxiliar</w:t>
            </w:r>
            <w:r>
              <w:rPr>
                <w:spacing w:val="-3"/>
                <w:sz w:val="18"/>
              </w:rPr>
              <w:t> </w:t>
            </w:r>
            <w:r>
              <w:rPr>
                <w:sz w:val="18"/>
              </w:rPr>
              <w:t>de la cuenta por </w:t>
            </w:r>
            <w:r>
              <w:rPr>
                <w:spacing w:val="-2"/>
                <w:sz w:val="18"/>
              </w:rPr>
              <w:t>cobrar.</w:t>
            </w:r>
          </w:p>
        </w:tc>
        <w:tc>
          <w:tcPr>
            <w:tcW w:w="1829" w:type="dxa"/>
          </w:tcPr>
          <w:p>
            <w:pPr>
              <w:pStyle w:val="TableParagraph"/>
              <w:rPr>
                <w:b/>
                <w:sz w:val="18"/>
              </w:rPr>
            </w:pPr>
          </w:p>
          <w:p>
            <w:pPr>
              <w:pStyle w:val="TableParagraph"/>
              <w:spacing w:before="128"/>
              <w:rPr>
                <w:b/>
                <w:sz w:val="18"/>
              </w:rPr>
            </w:pPr>
          </w:p>
          <w:p>
            <w:pPr>
              <w:pStyle w:val="TableParagraph"/>
              <w:ind w:left="65" w:right="56"/>
              <w:rPr>
                <w:sz w:val="18"/>
              </w:rPr>
            </w:pPr>
            <w:r>
              <w:rPr>
                <w:sz w:val="18"/>
              </w:rPr>
              <w:t>Minuta</w:t>
            </w:r>
            <w:r>
              <w:rPr>
                <w:spacing w:val="-15"/>
                <w:sz w:val="18"/>
              </w:rPr>
              <w:t> </w:t>
            </w:r>
            <w:r>
              <w:rPr>
                <w:sz w:val="18"/>
              </w:rPr>
              <w:t>de</w:t>
            </w:r>
            <w:r>
              <w:rPr>
                <w:spacing w:val="-12"/>
                <w:sz w:val="18"/>
              </w:rPr>
              <w:t> </w:t>
            </w:r>
            <w:r>
              <w:rPr>
                <w:sz w:val="18"/>
              </w:rPr>
              <w:t>reunión mensual de </w:t>
            </w:r>
            <w:r>
              <w:rPr>
                <w:spacing w:val="-2"/>
                <w:sz w:val="18"/>
              </w:rPr>
              <w:t>seguimiento</w:t>
            </w:r>
          </w:p>
        </w:tc>
        <w:tc>
          <w:tcPr>
            <w:tcW w:w="1421" w:type="dxa"/>
          </w:tcPr>
          <w:p>
            <w:pPr>
              <w:pStyle w:val="TableParagraph"/>
              <w:rPr>
                <w:b/>
                <w:sz w:val="18"/>
              </w:rPr>
            </w:pPr>
          </w:p>
          <w:p>
            <w:pPr>
              <w:pStyle w:val="TableParagraph"/>
              <w:rPr>
                <w:b/>
                <w:sz w:val="18"/>
              </w:rPr>
            </w:pPr>
          </w:p>
          <w:p>
            <w:pPr>
              <w:pStyle w:val="TableParagraph"/>
              <w:spacing w:before="26"/>
              <w:rPr>
                <w:b/>
                <w:sz w:val="18"/>
              </w:rPr>
            </w:pPr>
          </w:p>
          <w:p>
            <w:pPr>
              <w:pStyle w:val="TableParagraph"/>
              <w:ind w:left="70"/>
              <w:rPr>
                <w:sz w:val="18"/>
              </w:rPr>
            </w:pPr>
            <w:r>
              <w:rPr>
                <w:spacing w:val="-2"/>
                <w:sz w:val="18"/>
              </w:rPr>
              <w:t>Administración Tributaria</w:t>
            </w:r>
          </w:p>
        </w:tc>
        <w:tc>
          <w:tcPr>
            <w:tcW w:w="1698" w:type="dxa"/>
          </w:tcPr>
          <w:p>
            <w:pPr>
              <w:pStyle w:val="TableParagraph"/>
              <w:rPr>
                <w:rFonts w:ascii="Times New Roman"/>
                <w:sz w:val="18"/>
              </w:rPr>
            </w:pPr>
          </w:p>
        </w:tc>
        <w:tc>
          <w:tcPr>
            <w:tcW w:w="2697" w:type="dxa"/>
            <w:vMerge w:val="restart"/>
          </w:tcPr>
          <w:p>
            <w:pPr>
              <w:pStyle w:val="TableParagraph"/>
              <w:rPr>
                <w:b/>
                <w:sz w:val="18"/>
              </w:rPr>
            </w:pPr>
          </w:p>
          <w:p>
            <w:pPr>
              <w:pStyle w:val="TableParagraph"/>
              <w:rPr>
                <w:b/>
                <w:sz w:val="18"/>
              </w:rPr>
            </w:pPr>
          </w:p>
          <w:p>
            <w:pPr>
              <w:pStyle w:val="TableParagraph"/>
              <w:spacing w:before="41"/>
              <w:rPr>
                <w:b/>
                <w:sz w:val="18"/>
              </w:rPr>
            </w:pPr>
          </w:p>
          <w:p>
            <w:pPr>
              <w:pStyle w:val="TableParagraph"/>
              <w:spacing w:line="207" w:lineRule="exact"/>
              <w:ind w:left="72"/>
              <w:rPr>
                <w:sz w:val="18"/>
              </w:rPr>
            </w:pPr>
            <w:r>
              <w:rPr>
                <w:spacing w:val="-2"/>
                <w:sz w:val="18"/>
              </w:rPr>
              <w:t>Eventos:</w:t>
            </w:r>
          </w:p>
          <w:p>
            <w:pPr>
              <w:pStyle w:val="TableParagraph"/>
              <w:numPr>
                <w:ilvl w:val="0"/>
                <w:numId w:val="124"/>
              </w:numPr>
              <w:tabs>
                <w:tab w:pos="286" w:val="left" w:leader="none"/>
              </w:tabs>
              <w:spacing w:line="240" w:lineRule="auto" w:before="0" w:after="0"/>
              <w:ind w:left="72" w:right="114" w:firstLine="0"/>
              <w:jc w:val="left"/>
              <w:rPr>
                <w:sz w:val="18"/>
              </w:rPr>
            </w:pPr>
            <w:r>
              <w:rPr>
                <w:sz w:val="18"/>
              </w:rPr>
              <w:t>Posible no localización oportuna de los patronos o no existe</w:t>
            </w:r>
            <w:r>
              <w:rPr>
                <w:spacing w:val="-9"/>
                <w:sz w:val="18"/>
              </w:rPr>
              <w:t> </w:t>
            </w:r>
            <w:r>
              <w:rPr>
                <w:sz w:val="18"/>
              </w:rPr>
              <w:t>disposición</w:t>
            </w:r>
            <w:r>
              <w:rPr>
                <w:spacing w:val="-9"/>
                <w:sz w:val="18"/>
              </w:rPr>
              <w:t> </w:t>
            </w:r>
            <w:r>
              <w:rPr>
                <w:sz w:val="18"/>
              </w:rPr>
              <w:t>a</w:t>
            </w:r>
            <w:r>
              <w:rPr>
                <w:spacing w:val="-9"/>
                <w:sz w:val="18"/>
              </w:rPr>
              <w:t> </w:t>
            </w:r>
            <w:r>
              <w:rPr>
                <w:sz w:val="18"/>
              </w:rPr>
              <w:t>negociar</w:t>
            </w:r>
            <w:r>
              <w:rPr>
                <w:spacing w:val="-4"/>
                <w:sz w:val="18"/>
              </w:rPr>
              <w:t> </w:t>
            </w:r>
            <w:r>
              <w:rPr>
                <w:sz w:val="18"/>
              </w:rPr>
              <w:t>el pago o no pagan </w:t>
            </w:r>
            <w:r>
              <w:rPr>
                <w:spacing w:val="-2"/>
                <w:sz w:val="18"/>
              </w:rPr>
              <w:t>definitivamente.</w:t>
            </w:r>
          </w:p>
          <w:p>
            <w:pPr>
              <w:pStyle w:val="TableParagraph"/>
              <w:numPr>
                <w:ilvl w:val="0"/>
                <w:numId w:val="124"/>
              </w:numPr>
              <w:tabs>
                <w:tab w:pos="287" w:val="left" w:leader="none"/>
              </w:tabs>
              <w:spacing w:line="240" w:lineRule="auto" w:before="2" w:after="0"/>
              <w:ind w:left="72" w:right="255" w:firstLine="0"/>
              <w:jc w:val="left"/>
              <w:rPr>
                <w:sz w:val="18"/>
              </w:rPr>
            </w:pPr>
            <w:r>
              <w:rPr>
                <w:sz w:val="18"/>
              </w:rPr>
              <w:t>digitación</w:t>
            </w:r>
            <w:r>
              <w:rPr>
                <w:spacing w:val="-13"/>
                <w:sz w:val="18"/>
              </w:rPr>
              <w:t> </w:t>
            </w:r>
            <w:r>
              <w:rPr>
                <w:sz w:val="18"/>
              </w:rPr>
              <w:t>manual</w:t>
            </w:r>
            <w:r>
              <w:rPr>
                <w:spacing w:val="-12"/>
                <w:sz w:val="18"/>
              </w:rPr>
              <w:t> </w:t>
            </w:r>
            <w:r>
              <w:rPr>
                <w:sz w:val="18"/>
              </w:rPr>
              <w:t>de</w:t>
            </w:r>
            <w:r>
              <w:rPr>
                <w:spacing w:val="-12"/>
                <w:sz w:val="18"/>
              </w:rPr>
              <w:t> </w:t>
            </w:r>
            <w:r>
              <w:rPr>
                <w:sz w:val="18"/>
              </w:rPr>
              <w:t>datos podría generar retrasos y errores en la gestión de </w:t>
            </w:r>
            <w:r>
              <w:rPr>
                <w:spacing w:val="-2"/>
                <w:sz w:val="18"/>
              </w:rPr>
              <w:t>moteles.</w:t>
            </w:r>
          </w:p>
        </w:tc>
      </w:tr>
      <w:tr>
        <w:trPr>
          <w:trHeight w:val="1680" w:hRule="atLeast"/>
        </w:trPr>
        <w:tc>
          <w:tcPr>
            <w:tcW w:w="2550" w:type="dxa"/>
          </w:tcPr>
          <w:p>
            <w:pPr>
              <w:pStyle w:val="TableParagraph"/>
              <w:spacing w:before="12"/>
              <w:rPr>
                <w:b/>
                <w:sz w:val="18"/>
              </w:rPr>
            </w:pPr>
          </w:p>
          <w:p>
            <w:pPr>
              <w:pStyle w:val="TableParagraph"/>
              <w:ind w:left="72" w:right="80"/>
              <w:rPr>
                <w:sz w:val="18"/>
              </w:rPr>
            </w:pPr>
            <w:r>
              <w:rPr>
                <w:b/>
                <w:sz w:val="18"/>
              </w:rPr>
              <w:t>Actividad PAC 2.47.2: </w:t>
            </w:r>
            <w:r>
              <w:rPr>
                <w:sz w:val="18"/>
              </w:rPr>
              <w:t>Construir la propuesta de un sistema para la gestión de cobro</w:t>
            </w:r>
            <w:r>
              <w:rPr>
                <w:spacing w:val="-9"/>
                <w:sz w:val="18"/>
              </w:rPr>
              <w:t> </w:t>
            </w:r>
            <w:r>
              <w:rPr>
                <w:sz w:val="18"/>
              </w:rPr>
              <w:t>del</w:t>
            </w:r>
            <w:r>
              <w:rPr>
                <w:spacing w:val="-7"/>
                <w:sz w:val="18"/>
              </w:rPr>
              <w:t> </w:t>
            </w:r>
            <w:r>
              <w:rPr>
                <w:sz w:val="18"/>
              </w:rPr>
              <w:t>impuesto</w:t>
            </w:r>
            <w:r>
              <w:rPr>
                <w:spacing w:val="-9"/>
                <w:sz w:val="18"/>
              </w:rPr>
              <w:t> </w:t>
            </w:r>
            <w:r>
              <w:rPr>
                <w:sz w:val="18"/>
              </w:rPr>
              <w:t>a</w:t>
            </w:r>
            <w:r>
              <w:rPr>
                <w:spacing w:val="-9"/>
                <w:sz w:val="18"/>
              </w:rPr>
              <w:t> </w:t>
            </w:r>
            <w:r>
              <w:rPr>
                <w:sz w:val="18"/>
              </w:rPr>
              <w:t>moteles y lugares afines. (SIAT </w:t>
            </w:r>
            <w:r>
              <w:rPr>
                <w:spacing w:val="-2"/>
                <w:sz w:val="18"/>
              </w:rPr>
              <w:t>Moteles)</w:t>
            </w:r>
          </w:p>
        </w:tc>
        <w:tc>
          <w:tcPr>
            <w:tcW w:w="1273" w:type="dxa"/>
          </w:tcPr>
          <w:p>
            <w:pPr>
              <w:pStyle w:val="TableParagraph"/>
              <w:rPr>
                <w:b/>
                <w:sz w:val="18"/>
              </w:rPr>
            </w:pPr>
          </w:p>
          <w:p>
            <w:pPr>
              <w:pStyle w:val="TableParagraph"/>
              <w:rPr>
                <w:b/>
                <w:sz w:val="18"/>
              </w:rPr>
            </w:pPr>
          </w:p>
          <w:p>
            <w:pPr>
              <w:pStyle w:val="TableParagraph"/>
              <w:spacing w:before="112"/>
              <w:rPr>
                <w:b/>
                <w:sz w:val="18"/>
              </w:rPr>
            </w:pPr>
          </w:p>
          <w:p>
            <w:pPr>
              <w:pStyle w:val="TableParagraph"/>
              <w:ind w:left="8" w:right="5"/>
              <w:jc w:val="center"/>
              <w:rPr>
                <w:sz w:val="18"/>
              </w:rPr>
            </w:pPr>
            <w:r>
              <w:rPr>
                <w:spacing w:val="-5"/>
                <w:sz w:val="18"/>
              </w:rPr>
              <w:t>ND</w:t>
            </w:r>
          </w:p>
        </w:tc>
        <w:tc>
          <w:tcPr>
            <w:tcW w:w="1561" w:type="dxa"/>
          </w:tcPr>
          <w:p>
            <w:pPr>
              <w:pStyle w:val="TableParagraph"/>
              <w:rPr>
                <w:b/>
                <w:sz w:val="18"/>
              </w:rPr>
            </w:pPr>
          </w:p>
          <w:p>
            <w:pPr>
              <w:pStyle w:val="TableParagraph"/>
              <w:rPr>
                <w:b/>
                <w:sz w:val="18"/>
              </w:rPr>
            </w:pPr>
          </w:p>
          <w:p>
            <w:pPr>
              <w:pStyle w:val="TableParagraph"/>
              <w:spacing w:before="112"/>
              <w:rPr>
                <w:b/>
                <w:sz w:val="18"/>
              </w:rPr>
            </w:pPr>
          </w:p>
          <w:p>
            <w:pPr>
              <w:pStyle w:val="TableParagraph"/>
              <w:ind w:left="96" w:right="96"/>
              <w:jc w:val="center"/>
              <w:rPr>
                <w:sz w:val="18"/>
              </w:rPr>
            </w:pPr>
            <w:r>
              <w:rPr>
                <w:spacing w:val="-5"/>
                <w:sz w:val="18"/>
              </w:rPr>
              <w:t>50%</w:t>
            </w:r>
          </w:p>
        </w:tc>
        <w:tc>
          <w:tcPr>
            <w:tcW w:w="1431" w:type="dxa"/>
          </w:tcPr>
          <w:p>
            <w:pPr>
              <w:pStyle w:val="TableParagraph"/>
              <w:spacing w:before="12"/>
              <w:rPr>
                <w:b/>
                <w:sz w:val="18"/>
              </w:rPr>
            </w:pPr>
          </w:p>
          <w:p>
            <w:pPr>
              <w:pStyle w:val="TableParagraph"/>
              <w:ind w:left="65" w:right="55"/>
              <w:rPr>
                <w:sz w:val="18"/>
              </w:rPr>
            </w:pPr>
            <w:r>
              <w:rPr>
                <w:sz w:val="18"/>
              </w:rPr>
              <w:t>Porcentaje de avance de elaboración de la</w:t>
            </w:r>
            <w:r>
              <w:rPr>
                <w:spacing w:val="-15"/>
                <w:sz w:val="18"/>
              </w:rPr>
              <w:t> </w:t>
            </w:r>
            <w:r>
              <w:rPr>
                <w:sz w:val="18"/>
              </w:rPr>
              <w:t>propuesta</w:t>
            </w:r>
            <w:r>
              <w:rPr>
                <w:spacing w:val="-12"/>
                <w:sz w:val="18"/>
              </w:rPr>
              <w:t> </w:t>
            </w:r>
            <w:r>
              <w:rPr>
                <w:sz w:val="18"/>
              </w:rPr>
              <w:t>del sistema SIAT - </w:t>
            </w:r>
            <w:r>
              <w:rPr>
                <w:spacing w:val="-2"/>
                <w:sz w:val="18"/>
              </w:rPr>
              <w:t>Moteles.</w:t>
            </w:r>
          </w:p>
        </w:tc>
        <w:tc>
          <w:tcPr>
            <w:tcW w:w="1829" w:type="dxa"/>
          </w:tcPr>
          <w:p>
            <w:pPr>
              <w:pStyle w:val="TableParagraph"/>
              <w:spacing w:before="12"/>
              <w:rPr>
                <w:b/>
                <w:sz w:val="18"/>
              </w:rPr>
            </w:pPr>
          </w:p>
          <w:p>
            <w:pPr>
              <w:pStyle w:val="TableParagraph"/>
              <w:ind w:left="65" w:right="56"/>
              <w:rPr>
                <w:sz w:val="18"/>
              </w:rPr>
            </w:pPr>
            <w:r>
              <w:rPr>
                <w:sz w:val="18"/>
              </w:rPr>
              <w:t>Requerimientos</w:t>
            </w:r>
            <w:r>
              <w:rPr>
                <w:spacing w:val="-13"/>
                <w:sz w:val="18"/>
              </w:rPr>
              <w:t> </w:t>
            </w:r>
            <w:r>
              <w:rPr>
                <w:sz w:val="18"/>
              </w:rPr>
              <w:t>del sistema y coordinación</w:t>
            </w:r>
            <w:r>
              <w:rPr>
                <w:spacing w:val="-15"/>
                <w:sz w:val="18"/>
              </w:rPr>
              <w:t> </w:t>
            </w:r>
            <w:r>
              <w:rPr>
                <w:sz w:val="18"/>
              </w:rPr>
              <w:t>con</w:t>
            </w:r>
            <w:r>
              <w:rPr>
                <w:spacing w:val="-12"/>
                <w:sz w:val="18"/>
              </w:rPr>
              <w:t> </w:t>
            </w:r>
            <w:r>
              <w:rPr>
                <w:sz w:val="18"/>
              </w:rPr>
              <w:t>TI para efectuar las pruebas</w:t>
            </w:r>
            <w:r>
              <w:rPr>
                <w:spacing w:val="-15"/>
                <w:sz w:val="18"/>
              </w:rPr>
              <w:t> </w:t>
            </w:r>
            <w:r>
              <w:rPr>
                <w:sz w:val="18"/>
              </w:rPr>
              <w:t>al</w:t>
            </w:r>
            <w:r>
              <w:rPr>
                <w:spacing w:val="-12"/>
                <w:sz w:val="18"/>
              </w:rPr>
              <w:t> </w:t>
            </w:r>
            <w:r>
              <w:rPr>
                <w:sz w:val="18"/>
              </w:rPr>
              <w:t>software </w:t>
            </w:r>
            <w:r>
              <w:rPr>
                <w:spacing w:val="-2"/>
                <w:sz w:val="18"/>
              </w:rPr>
              <w:t>desarrollado.</w:t>
            </w:r>
          </w:p>
        </w:tc>
        <w:tc>
          <w:tcPr>
            <w:tcW w:w="1421" w:type="dxa"/>
          </w:tcPr>
          <w:p>
            <w:pPr>
              <w:pStyle w:val="TableParagraph"/>
              <w:rPr>
                <w:b/>
                <w:sz w:val="18"/>
              </w:rPr>
            </w:pPr>
          </w:p>
          <w:p>
            <w:pPr>
              <w:pStyle w:val="TableParagraph"/>
              <w:rPr>
                <w:b/>
                <w:sz w:val="18"/>
              </w:rPr>
            </w:pPr>
          </w:p>
          <w:p>
            <w:pPr>
              <w:pStyle w:val="TableParagraph"/>
              <w:spacing w:before="11"/>
              <w:rPr>
                <w:b/>
                <w:sz w:val="18"/>
              </w:rPr>
            </w:pPr>
          </w:p>
          <w:p>
            <w:pPr>
              <w:pStyle w:val="TableParagraph"/>
              <w:ind w:left="70"/>
              <w:rPr>
                <w:sz w:val="18"/>
              </w:rPr>
            </w:pPr>
            <w:r>
              <w:rPr>
                <w:spacing w:val="-2"/>
                <w:sz w:val="18"/>
              </w:rPr>
              <w:t>Administración Tributaria</w:t>
            </w:r>
          </w:p>
        </w:tc>
        <w:tc>
          <w:tcPr>
            <w:tcW w:w="1698" w:type="dxa"/>
          </w:tcPr>
          <w:p>
            <w:pPr>
              <w:pStyle w:val="TableParagraph"/>
              <w:rPr>
                <w:rFonts w:ascii="Times New Roman"/>
                <w:sz w:val="18"/>
              </w:rPr>
            </w:pPr>
          </w:p>
        </w:tc>
        <w:tc>
          <w:tcPr>
            <w:tcW w:w="2697" w:type="dxa"/>
            <w:vMerge/>
            <w:tcBorders>
              <w:top w:val="nil"/>
            </w:tcBorders>
          </w:tcPr>
          <w:p>
            <w:pPr>
              <w:rPr>
                <w:sz w:val="2"/>
                <w:szCs w:val="2"/>
              </w:rPr>
            </w:pPr>
          </w:p>
        </w:tc>
      </w:tr>
    </w:tbl>
    <w:p>
      <w:pPr>
        <w:pStyle w:val="BodyText"/>
        <w:spacing w:before="203"/>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5"/>
        <w:gridCol w:w="1282"/>
        <w:gridCol w:w="1561"/>
        <w:gridCol w:w="1417"/>
        <w:gridCol w:w="1844"/>
        <w:gridCol w:w="1277"/>
        <w:gridCol w:w="1839"/>
        <w:gridCol w:w="2694"/>
      </w:tblGrid>
      <w:tr>
        <w:trPr>
          <w:trHeight w:val="777" w:hRule="atLeast"/>
        </w:trPr>
        <w:tc>
          <w:tcPr>
            <w:tcW w:w="2545" w:type="dxa"/>
            <w:shd w:val="clear" w:color="auto" w:fill="F1F1F1"/>
          </w:tcPr>
          <w:p>
            <w:pPr>
              <w:pStyle w:val="TableParagraph"/>
              <w:spacing w:before="80"/>
              <w:rPr>
                <w:b/>
                <w:sz w:val="18"/>
              </w:rPr>
            </w:pPr>
          </w:p>
          <w:p>
            <w:pPr>
              <w:pStyle w:val="TableParagraph"/>
              <w:ind w:left="302"/>
              <w:rPr>
                <w:b/>
                <w:sz w:val="18"/>
              </w:rPr>
            </w:pPr>
            <w:r>
              <w:rPr>
                <w:b/>
                <w:sz w:val="18"/>
              </w:rPr>
              <w:t>Objetivos</w:t>
            </w:r>
            <w:r>
              <w:rPr>
                <w:b/>
                <w:spacing w:val="-5"/>
                <w:sz w:val="18"/>
              </w:rPr>
              <w:t> </w:t>
            </w:r>
            <w:r>
              <w:rPr>
                <w:b/>
                <w:sz w:val="18"/>
              </w:rPr>
              <w:t>/</w:t>
            </w:r>
            <w:r>
              <w:rPr>
                <w:b/>
                <w:spacing w:val="-2"/>
                <w:sz w:val="18"/>
              </w:rPr>
              <w:t> Resultados</w:t>
            </w:r>
          </w:p>
        </w:tc>
        <w:tc>
          <w:tcPr>
            <w:tcW w:w="1282" w:type="dxa"/>
            <w:shd w:val="clear" w:color="auto" w:fill="F1F1F1"/>
          </w:tcPr>
          <w:p>
            <w:pPr>
              <w:pStyle w:val="TableParagraph"/>
              <w:spacing w:before="181"/>
              <w:ind w:left="378" w:hanging="216"/>
              <w:rPr>
                <w:b/>
                <w:sz w:val="18"/>
              </w:rPr>
            </w:pPr>
            <w:r>
              <w:rPr>
                <w:b/>
                <w:sz w:val="18"/>
              </w:rPr>
              <w:t>Línea</w:t>
            </w:r>
            <w:r>
              <w:rPr>
                <w:b/>
                <w:spacing w:val="-13"/>
                <w:sz w:val="18"/>
              </w:rPr>
              <w:t> </w:t>
            </w:r>
            <w:r>
              <w:rPr>
                <w:b/>
                <w:sz w:val="18"/>
              </w:rPr>
              <w:t>Base </w:t>
            </w:r>
            <w:r>
              <w:rPr>
                <w:b/>
                <w:spacing w:val="-2"/>
                <w:sz w:val="18"/>
              </w:rPr>
              <w:t>(2024)</w:t>
            </w:r>
          </w:p>
        </w:tc>
        <w:tc>
          <w:tcPr>
            <w:tcW w:w="1561" w:type="dxa"/>
            <w:shd w:val="clear" w:color="auto" w:fill="F1F1F1"/>
          </w:tcPr>
          <w:p>
            <w:pPr>
              <w:pStyle w:val="TableParagraph"/>
              <w:spacing w:line="242" w:lineRule="auto" w:before="76"/>
              <w:ind w:left="97" w:right="91"/>
              <w:jc w:val="center"/>
              <w:rPr>
                <w:b/>
                <w:sz w:val="18"/>
              </w:rPr>
            </w:pPr>
            <w:r>
              <w:rPr>
                <w:b/>
                <w:spacing w:val="-4"/>
                <w:sz w:val="18"/>
              </w:rPr>
              <w:t>Meta </w:t>
            </w:r>
            <w:r>
              <w:rPr>
                <w:b/>
                <w:spacing w:val="-2"/>
                <w:sz w:val="18"/>
              </w:rPr>
              <w:t>programada </w:t>
            </w:r>
            <w:r>
              <w:rPr>
                <w:b/>
                <w:spacing w:val="-4"/>
                <w:sz w:val="18"/>
              </w:rPr>
              <w:t>2026</w:t>
            </w:r>
          </w:p>
        </w:tc>
        <w:tc>
          <w:tcPr>
            <w:tcW w:w="1417" w:type="dxa"/>
            <w:shd w:val="clear" w:color="auto" w:fill="F1F1F1"/>
          </w:tcPr>
          <w:p>
            <w:pPr>
              <w:pStyle w:val="TableParagraph"/>
              <w:spacing w:before="80"/>
              <w:rPr>
                <w:b/>
                <w:sz w:val="18"/>
              </w:rPr>
            </w:pPr>
          </w:p>
          <w:p>
            <w:pPr>
              <w:pStyle w:val="TableParagraph"/>
              <w:ind w:left="301"/>
              <w:rPr>
                <w:b/>
                <w:sz w:val="18"/>
              </w:rPr>
            </w:pPr>
            <w:r>
              <w:rPr>
                <w:b/>
                <w:spacing w:val="-2"/>
                <w:sz w:val="18"/>
              </w:rPr>
              <w:t>Indicador</w:t>
            </w:r>
          </w:p>
        </w:tc>
        <w:tc>
          <w:tcPr>
            <w:tcW w:w="1844" w:type="dxa"/>
            <w:shd w:val="clear" w:color="auto" w:fill="F1F1F1"/>
          </w:tcPr>
          <w:p>
            <w:pPr>
              <w:pStyle w:val="TableParagraph"/>
              <w:spacing w:before="181"/>
              <w:ind w:left="421" w:right="150" w:firstLine="57"/>
              <w:rPr>
                <w:b/>
                <w:sz w:val="18"/>
              </w:rPr>
            </w:pPr>
            <w:r>
              <w:rPr>
                <w:b/>
                <w:sz w:val="18"/>
              </w:rPr>
              <w:t>Medios de </w:t>
            </w:r>
            <w:r>
              <w:rPr>
                <w:b/>
                <w:spacing w:val="-2"/>
                <w:sz w:val="18"/>
              </w:rPr>
              <w:t>verificación</w:t>
            </w:r>
          </w:p>
        </w:tc>
        <w:tc>
          <w:tcPr>
            <w:tcW w:w="1277" w:type="dxa"/>
            <w:shd w:val="clear" w:color="auto" w:fill="F1F1F1"/>
          </w:tcPr>
          <w:p>
            <w:pPr>
              <w:pStyle w:val="TableParagraph"/>
              <w:spacing w:before="80"/>
              <w:rPr>
                <w:b/>
                <w:sz w:val="18"/>
              </w:rPr>
            </w:pPr>
          </w:p>
          <w:p>
            <w:pPr>
              <w:pStyle w:val="TableParagraph"/>
              <w:ind w:left="75"/>
              <w:rPr>
                <w:b/>
                <w:sz w:val="18"/>
              </w:rPr>
            </w:pPr>
            <w:r>
              <w:rPr>
                <w:b/>
                <w:spacing w:val="-2"/>
                <w:sz w:val="18"/>
              </w:rPr>
              <w:t>Responsable</w:t>
            </w:r>
          </w:p>
        </w:tc>
        <w:tc>
          <w:tcPr>
            <w:tcW w:w="1839" w:type="dxa"/>
            <w:shd w:val="clear" w:color="auto" w:fill="F1F1F1"/>
          </w:tcPr>
          <w:p>
            <w:pPr>
              <w:pStyle w:val="TableParagraph"/>
              <w:spacing w:before="181"/>
              <w:ind w:left="522" w:right="123" w:hanging="149"/>
              <w:rPr>
                <w:b/>
                <w:sz w:val="18"/>
              </w:rPr>
            </w:pPr>
            <w:r>
              <w:rPr>
                <w:b/>
                <w:spacing w:val="-2"/>
                <w:sz w:val="18"/>
              </w:rPr>
              <w:t>Presupuesto asignado</w:t>
            </w:r>
          </w:p>
        </w:tc>
        <w:tc>
          <w:tcPr>
            <w:tcW w:w="2694" w:type="dxa"/>
            <w:shd w:val="clear" w:color="auto" w:fill="F1F1F1"/>
          </w:tcPr>
          <w:p>
            <w:pPr>
              <w:pStyle w:val="TableParagraph"/>
              <w:spacing w:before="80"/>
              <w:rPr>
                <w:b/>
                <w:sz w:val="18"/>
              </w:rPr>
            </w:pPr>
          </w:p>
          <w:p>
            <w:pPr>
              <w:pStyle w:val="TableParagraph"/>
              <w:ind w:left="589"/>
              <w:rPr>
                <w:b/>
                <w:sz w:val="18"/>
              </w:rPr>
            </w:pPr>
            <w:r>
              <w:rPr>
                <w:b/>
                <w:sz w:val="18"/>
              </w:rPr>
              <w:t>Riesgo</w:t>
            </w:r>
            <w:r>
              <w:rPr>
                <w:b/>
                <w:spacing w:val="-4"/>
                <w:sz w:val="18"/>
              </w:rPr>
              <w:t> </w:t>
            </w:r>
            <w:r>
              <w:rPr>
                <w:b/>
                <w:spacing w:val="-2"/>
                <w:sz w:val="18"/>
              </w:rPr>
              <w:t>Vinculado</w:t>
            </w:r>
          </w:p>
        </w:tc>
      </w:tr>
      <w:tr>
        <w:trPr>
          <w:trHeight w:val="796" w:hRule="atLeast"/>
        </w:trPr>
        <w:tc>
          <w:tcPr>
            <w:tcW w:w="14459" w:type="dxa"/>
            <w:gridSpan w:val="8"/>
            <w:shd w:val="clear" w:color="auto" w:fill="F1F1F1"/>
          </w:tcPr>
          <w:p>
            <w:pPr>
              <w:pStyle w:val="TableParagraph"/>
              <w:spacing w:before="191"/>
              <w:ind w:left="72" w:right="87"/>
              <w:rPr>
                <w:b/>
                <w:sz w:val="18"/>
              </w:rPr>
            </w:pPr>
            <w:r>
              <w:rPr>
                <w:b/>
                <w:sz w:val="18"/>
              </w:rPr>
              <w:t>Efecto:</w:t>
            </w:r>
            <w:r>
              <w:rPr>
                <w:b/>
                <w:spacing w:val="-2"/>
                <w:sz w:val="18"/>
              </w:rPr>
              <w:t> </w:t>
            </w:r>
            <w:r>
              <w:rPr>
                <w:b/>
                <w:sz w:val="18"/>
              </w:rPr>
              <w:t>Realizar una efectiva gestión</w:t>
            </w:r>
            <w:r>
              <w:rPr>
                <w:b/>
                <w:spacing w:val="-5"/>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4"/>
                <w:sz w:val="18"/>
              </w:rPr>
              <w:t> </w:t>
            </w:r>
            <w:r>
              <w:rPr>
                <w:b/>
                <w:sz w:val="18"/>
              </w:rPr>
              <w:t>y</w:t>
            </w:r>
            <w:r>
              <w:rPr>
                <w:b/>
                <w:spacing w:val="-4"/>
                <w:sz w:val="18"/>
              </w:rPr>
              <w:t> </w:t>
            </w:r>
            <w:r>
              <w:rPr>
                <w:b/>
                <w:sz w:val="18"/>
              </w:rPr>
              <w:t>tecnológicos, con el</w:t>
            </w:r>
            <w:r>
              <w:rPr>
                <w:b/>
                <w:spacing w:val="-2"/>
                <w:sz w:val="18"/>
              </w:rPr>
              <w:t> </w:t>
            </w:r>
            <w:r>
              <w:rPr>
                <w:b/>
                <w:sz w:val="18"/>
              </w:rPr>
              <w:t>fin</w:t>
            </w:r>
            <w:r>
              <w:rPr>
                <w:b/>
                <w:spacing w:val="-5"/>
                <w:sz w:val="18"/>
              </w:rPr>
              <w:t> </w:t>
            </w:r>
            <w:r>
              <w:rPr>
                <w:b/>
                <w:sz w:val="18"/>
              </w:rPr>
              <w:t>de contribuir</w:t>
            </w:r>
            <w:r>
              <w:rPr>
                <w:b/>
                <w:spacing w:val="-3"/>
                <w:sz w:val="18"/>
              </w:rPr>
              <w:t> </w:t>
            </w:r>
            <w:r>
              <w:rPr>
                <w:b/>
                <w:sz w:val="18"/>
              </w:rPr>
              <w:t>con</w:t>
            </w:r>
            <w:r>
              <w:rPr>
                <w:b/>
                <w:spacing w:val="-5"/>
                <w:sz w:val="18"/>
              </w:rPr>
              <w:t> </w:t>
            </w:r>
            <w:r>
              <w:rPr>
                <w:b/>
                <w:sz w:val="18"/>
              </w:rPr>
              <w:t>la</w:t>
            </w:r>
            <w:r>
              <w:rPr>
                <w:b/>
                <w:spacing w:val="-4"/>
                <w:sz w:val="18"/>
              </w:rPr>
              <w:t> </w:t>
            </w:r>
            <w:r>
              <w:rPr>
                <w:b/>
                <w:sz w:val="18"/>
              </w:rPr>
              <w:t>institucionalización de</w:t>
            </w:r>
            <w:r>
              <w:rPr>
                <w:b/>
                <w:spacing w:val="-4"/>
                <w:sz w:val="18"/>
              </w:rPr>
              <w:t> </w:t>
            </w:r>
            <w:r>
              <w:rPr>
                <w:b/>
                <w:sz w:val="18"/>
              </w:rPr>
              <w:t>la estrategia de intervención de la población en situación de pobreza y pobreza extrema.</w:t>
            </w:r>
          </w:p>
        </w:tc>
      </w:tr>
      <w:tr>
        <w:trPr>
          <w:trHeight w:val="508" w:hRule="atLeast"/>
        </w:trPr>
        <w:tc>
          <w:tcPr>
            <w:tcW w:w="14459" w:type="dxa"/>
            <w:gridSpan w:val="8"/>
            <w:shd w:val="clear" w:color="auto" w:fill="EFF8F9"/>
          </w:tcPr>
          <w:p>
            <w:pPr>
              <w:pStyle w:val="TableParagraph"/>
              <w:spacing w:before="147"/>
              <w:ind w:left="72"/>
              <w:rPr>
                <w:b/>
                <w:sz w:val="18"/>
              </w:rPr>
            </w:pPr>
            <w:r>
              <w:rPr>
                <w:b/>
                <w:sz w:val="18"/>
              </w:rPr>
              <w:t>Producto</w:t>
            </w:r>
            <w:r>
              <w:rPr>
                <w:b/>
                <w:spacing w:val="-7"/>
                <w:sz w:val="18"/>
              </w:rPr>
              <w:t> </w:t>
            </w:r>
            <w:r>
              <w:rPr>
                <w:b/>
                <w:sz w:val="18"/>
              </w:rPr>
              <w:t>PAC</w:t>
            </w:r>
            <w:r>
              <w:rPr>
                <w:b/>
                <w:spacing w:val="-8"/>
                <w:sz w:val="18"/>
              </w:rPr>
              <w:t> </w:t>
            </w:r>
            <w:r>
              <w:rPr>
                <w:b/>
                <w:sz w:val="18"/>
              </w:rPr>
              <w:t>2.48:</w:t>
            </w:r>
            <w:r>
              <w:rPr>
                <w:b/>
                <w:spacing w:val="-4"/>
                <w:sz w:val="18"/>
              </w:rPr>
              <w:t> </w:t>
            </w:r>
            <w:r>
              <w:rPr>
                <w:b/>
                <w:sz w:val="18"/>
              </w:rPr>
              <w:t>Estrategias</w:t>
            </w:r>
            <w:r>
              <w:rPr>
                <w:b/>
                <w:spacing w:val="-6"/>
                <w:sz w:val="18"/>
              </w:rPr>
              <w:t> </w:t>
            </w:r>
            <w:r>
              <w:rPr>
                <w:b/>
                <w:sz w:val="18"/>
              </w:rPr>
              <w:t>diseñadas</w:t>
            </w:r>
            <w:r>
              <w:rPr>
                <w:b/>
                <w:spacing w:val="-3"/>
                <w:sz w:val="18"/>
              </w:rPr>
              <w:t> </w:t>
            </w:r>
            <w:r>
              <w:rPr>
                <w:b/>
                <w:sz w:val="18"/>
              </w:rPr>
              <w:t>y</w:t>
            </w:r>
            <w:r>
              <w:rPr>
                <w:b/>
                <w:spacing w:val="-6"/>
                <w:sz w:val="18"/>
              </w:rPr>
              <w:t> </w:t>
            </w:r>
            <w:r>
              <w:rPr>
                <w:b/>
                <w:sz w:val="18"/>
              </w:rPr>
              <w:t>ejecutadas</w:t>
            </w:r>
            <w:r>
              <w:rPr>
                <w:b/>
                <w:spacing w:val="-10"/>
                <w:sz w:val="18"/>
              </w:rPr>
              <w:t> </w:t>
            </w:r>
            <w:r>
              <w:rPr>
                <w:b/>
                <w:sz w:val="18"/>
              </w:rPr>
              <w:t>para</w:t>
            </w:r>
            <w:r>
              <w:rPr>
                <w:b/>
                <w:spacing w:val="-7"/>
                <w:sz w:val="18"/>
              </w:rPr>
              <w:t> </w:t>
            </w:r>
            <w:r>
              <w:rPr>
                <w:b/>
                <w:sz w:val="18"/>
              </w:rPr>
              <w:t>la</w:t>
            </w:r>
            <w:r>
              <w:rPr>
                <w:b/>
                <w:spacing w:val="-6"/>
                <w:sz w:val="18"/>
              </w:rPr>
              <w:t> </w:t>
            </w:r>
            <w:r>
              <w:rPr>
                <w:b/>
                <w:sz w:val="18"/>
              </w:rPr>
              <w:t>gestión</w:t>
            </w:r>
            <w:r>
              <w:rPr>
                <w:b/>
                <w:spacing w:val="-7"/>
                <w:sz w:val="18"/>
              </w:rPr>
              <w:t> </w:t>
            </w:r>
            <w:r>
              <w:rPr>
                <w:b/>
                <w:sz w:val="18"/>
              </w:rPr>
              <w:t>con</w:t>
            </w:r>
            <w:r>
              <w:rPr>
                <w:b/>
                <w:spacing w:val="-7"/>
                <w:sz w:val="18"/>
              </w:rPr>
              <w:t> </w:t>
            </w:r>
            <w:r>
              <w:rPr>
                <w:b/>
                <w:sz w:val="18"/>
              </w:rPr>
              <w:t>potenciales</w:t>
            </w:r>
            <w:r>
              <w:rPr>
                <w:b/>
                <w:spacing w:val="-2"/>
                <w:sz w:val="18"/>
              </w:rPr>
              <w:t> </w:t>
            </w:r>
            <w:r>
              <w:rPr>
                <w:b/>
                <w:sz w:val="18"/>
              </w:rPr>
              <w:t>donantes</w:t>
            </w:r>
            <w:r>
              <w:rPr>
                <w:b/>
                <w:spacing w:val="-3"/>
                <w:sz w:val="18"/>
              </w:rPr>
              <w:t> </w:t>
            </w:r>
            <w:r>
              <w:rPr>
                <w:b/>
                <w:sz w:val="18"/>
              </w:rPr>
              <w:t>de</w:t>
            </w:r>
            <w:r>
              <w:rPr>
                <w:b/>
                <w:spacing w:val="-6"/>
                <w:sz w:val="18"/>
              </w:rPr>
              <w:t> </w:t>
            </w:r>
            <w:r>
              <w:rPr>
                <w:b/>
                <w:spacing w:val="-2"/>
                <w:sz w:val="18"/>
              </w:rPr>
              <w:t>bienes.</w:t>
            </w:r>
          </w:p>
        </w:tc>
      </w:tr>
      <w:tr>
        <w:trPr>
          <w:trHeight w:val="1656" w:hRule="atLeast"/>
        </w:trPr>
        <w:tc>
          <w:tcPr>
            <w:tcW w:w="2545" w:type="dxa"/>
          </w:tcPr>
          <w:p>
            <w:pPr>
              <w:pStyle w:val="TableParagraph"/>
              <w:ind w:left="72"/>
              <w:rPr>
                <w:sz w:val="18"/>
              </w:rPr>
            </w:pPr>
            <w:r>
              <w:rPr>
                <w:b/>
                <w:sz w:val="18"/>
              </w:rPr>
              <w:t>Actividad PAC 2.48.1: </w:t>
            </w:r>
            <w:r>
              <w:rPr>
                <w:sz w:val="18"/>
              </w:rPr>
              <w:t>Impulsar campañas de incomunicación en redes sociales y en medios de prensa, con apoyo de Comunicación</w:t>
            </w:r>
            <w:r>
              <w:rPr>
                <w:spacing w:val="-12"/>
                <w:sz w:val="18"/>
              </w:rPr>
              <w:t> </w:t>
            </w:r>
            <w:r>
              <w:rPr>
                <w:spacing w:val="-2"/>
                <w:sz w:val="18"/>
              </w:rPr>
              <w:t>Institucional,</w:t>
            </w:r>
          </w:p>
          <w:p>
            <w:pPr>
              <w:pStyle w:val="TableParagraph"/>
              <w:spacing w:line="200" w:lineRule="atLeast"/>
              <w:ind w:left="72" w:right="137"/>
              <w:rPr>
                <w:sz w:val="18"/>
              </w:rPr>
            </w:pPr>
            <w:r>
              <w:rPr>
                <w:sz w:val="18"/>
              </w:rPr>
              <w:t>para</w:t>
            </w:r>
            <w:r>
              <w:rPr>
                <w:spacing w:val="-13"/>
                <w:sz w:val="18"/>
              </w:rPr>
              <w:t> </w:t>
            </w:r>
            <w:r>
              <w:rPr>
                <w:sz w:val="18"/>
              </w:rPr>
              <w:t>promover</w:t>
            </w:r>
            <w:r>
              <w:rPr>
                <w:spacing w:val="-12"/>
                <w:sz w:val="18"/>
              </w:rPr>
              <w:t> </w:t>
            </w:r>
            <w:r>
              <w:rPr>
                <w:sz w:val="18"/>
              </w:rPr>
              <w:t>la</w:t>
            </w:r>
            <w:r>
              <w:rPr>
                <w:spacing w:val="-11"/>
                <w:sz w:val="18"/>
              </w:rPr>
              <w:t> </w:t>
            </w:r>
            <w:r>
              <w:rPr>
                <w:sz w:val="18"/>
              </w:rPr>
              <w:t>captación de bienes para donar.</w:t>
            </w:r>
          </w:p>
        </w:tc>
        <w:tc>
          <w:tcPr>
            <w:tcW w:w="1282"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0" w:right="16"/>
              <w:jc w:val="center"/>
              <w:rPr>
                <w:sz w:val="18"/>
              </w:rPr>
            </w:pPr>
            <w:r>
              <w:rPr>
                <w:spacing w:val="-5"/>
                <w:sz w:val="18"/>
              </w:rPr>
              <w:t>ND</w:t>
            </w:r>
          </w:p>
        </w:tc>
        <w:tc>
          <w:tcPr>
            <w:tcW w:w="1561"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96" w:right="96"/>
              <w:jc w:val="center"/>
              <w:rPr>
                <w:sz w:val="18"/>
              </w:rPr>
            </w:pPr>
            <w:r>
              <w:rPr>
                <w:spacing w:val="-10"/>
                <w:sz w:val="18"/>
              </w:rPr>
              <w:t>4</w:t>
            </w:r>
          </w:p>
        </w:tc>
        <w:tc>
          <w:tcPr>
            <w:tcW w:w="1417" w:type="dxa"/>
          </w:tcPr>
          <w:p>
            <w:pPr>
              <w:pStyle w:val="TableParagraph"/>
              <w:rPr>
                <w:b/>
                <w:sz w:val="18"/>
              </w:rPr>
            </w:pPr>
          </w:p>
          <w:p>
            <w:pPr>
              <w:pStyle w:val="TableParagraph"/>
              <w:spacing w:before="104"/>
              <w:rPr>
                <w:b/>
                <w:sz w:val="18"/>
              </w:rPr>
            </w:pPr>
          </w:p>
          <w:p>
            <w:pPr>
              <w:pStyle w:val="TableParagraph"/>
              <w:ind w:left="71" w:right="330"/>
              <w:rPr>
                <w:sz w:val="18"/>
              </w:rPr>
            </w:pPr>
            <w:r>
              <w:rPr>
                <w:sz w:val="18"/>
              </w:rPr>
              <w:t>Cantidad</w:t>
            </w:r>
            <w:r>
              <w:rPr>
                <w:spacing w:val="-13"/>
                <w:sz w:val="18"/>
              </w:rPr>
              <w:t> </w:t>
            </w:r>
            <w:r>
              <w:rPr>
                <w:sz w:val="18"/>
              </w:rPr>
              <w:t>de </w:t>
            </w:r>
            <w:r>
              <w:rPr>
                <w:spacing w:val="-2"/>
                <w:sz w:val="18"/>
              </w:rPr>
              <w:t>Campañas Promovidas</w:t>
            </w:r>
          </w:p>
        </w:tc>
        <w:tc>
          <w:tcPr>
            <w:tcW w:w="1844" w:type="dxa"/>
          </w:tcPr>
          <w:p>
            <w:pPr>
              <w:pStyle w:val="TableParagraph"/>
              <w:spacing w:before="205"/>
              <w:rPr>
                <w:b/>
                <w:sz w:val="18"/>
              </w:rPr>
            </w:pPr>
          </w:p>
          <w:p>
            <w:pPr>
              <w:pStyle w:val="TableParagraph"/>
              <w:ind w:left="70" w:right="150"/>
              <w:rPr>
                <w:sz w:val="18"/>
              </w:rPr>
            </w:pPr>
            <w:r>
              <w:rPr>
                <w:sz w:val="18"/>
              </w:rPr>
              <w:t>Material</w:t>
            </w:r>
            <w:r>
              <w:rPr>
                <w:spacing w:val="-15"/>
                <w:sz w:val="18"/>
              </w:rPr>
              <w:t> </w:t>
            </w:r>
            <w:r>
              <w:rPr>
                <w:sz w:val="18"/>
              </w:rPr>
              <w:t>generado</w:t>
            </w:r>
            <w:r>
              <w:rPr>
                <w:spacing w:val="-12"/>
                <w:sz w:val="18"/>
              </w:rPr>
              <w:t> </w:t>
            </w:r>
            <w:r>
              <w:rPr>
                <w:sz w:val="18"/>
              </w:rPr>
              <w:t>y referido a </w:t>
            </w:r>
            <w:r>
              <w:rPr>
                <w:spacing w:val="-2"/>
                <w:sz w:val="18"/>
              </w:rPr>
              <w:t>Comunicación Institucional</w:t>
            </w:r>
          </w:p>
        </w:tc>
        <w:tc>
          <w:tcPr>
            <w:tcW w:w="1277" w:type="dxa"/>
          </w:tcPr>
          <w:p>
            <w:pPr>
              <w:pStyle w:val="TableParagraph"/>
              <w:rPr>
                <w:b/>
                <w:sz w:val="18"/>
              </w:rPr>
            </w:pPr>
          </w:p>
          <w:p>
            <w:pPr>
              <w:pStyle w:val="TableParagraph"/>
              <w:spacing w:before="204"/>
              <w:rPr>
                <w:b/>
                <w:sz w:val="18"/>
              </w:rPr>
            </w:pPr>
          </w:p>
          <w:p>
            <w:pPr>
              <w:pStyle w:val="TableParagraph"/>
              <w:ind w:left="65"/>
              <w:rPr>
                <w:sz w:val="18"/>
              </w:rPr>
            </w:pPr>
            <w:r>
              <w:rPr>
                <w:spacing w:val="-2"/>
                <w:sz w:val="18"/>
              </w:rPr>
              <w:t>Unidad Donaciones</w:t>
            </w:r>
          </w:p>
        </w:tc>
        <w:tc>
          <w:tcPr>
            <w:tcW w:w="1839" w:type="dxa"/>
          </w:tcPr>
          <w:p>
            <w:pPr>
              <w:pStyle w:val="TableParagraph"/>
              <w:rPr>
                <w:rFonts w:ascii="Times New Roman"/>
                <w:sz w:val="18"/>
              </w:rPr>
            </w:pPr>
          </w:p>
        </w:tc>
        <w:tc>
          <w:tcPr>
            <w:tcW w:w="2694" w:type="dxa"/>
          </w:tcPr>
          <w:p>
            <w:pPr>
              <w:pStyle w:val="TableParagraph"/>
              <w:spacing w:before="104"/>
              <w:rPr>
                <w:b/>
                <w:sz w:val="18"/>
              </w:rPr>
            </w:pPr>
          </w:p>
          <w:p>
            <w:pPr>
              <w:pStyle w:val="TableParagraph"/>
              <w:ind w:left="70" w:right="56"/>
              <w:rPr>
                <w:sz w:val="18"/>
              </w:rPr>
            </w:pPr>
            <w:r>
              <w:rPr>
                <w:sz w:val="18"/>
              </w:rPr>
              <w:t>Evento: Campañas de publicidad</w:t>
            </w:r>
            <w:r>
              <w:rPr>
                <w:spacing w:val="-10"/>
                <w:sz w:val="18"/>
              </w:rPr>
              <w:t> </w:t>
            </w:r>
            <w:r>
              <w:rPr>
                <w:sz w:val="18"/>
              </w:rPr>
              <w:t>no</w:t>
            </w:r>
            <w:r>
              <w:rPr>
                <w:spacing w:val="-13"/>
                <w:sz w:val="18"/>
              </w:rPr>
              <w:t> </w:t>
            </w:r>
            <w:r>
              <w:rPr>
                <w:sz w:val="18"/>
              </w:rPr>
              <w:t>sean</w:t>
            </w:r>
            <w:r>
              <w:rPr>
                <w:spacing w:val="-12"/>
                <w:sz w:val="18"/>
              </w:rPr>
              <w:t> </w:t>
            </w:r>
            <w:r>
              <w:rPr>
                <w:sz w:val="18"/>
              </w:rPr>
              <w:t>publicadas en el tiempo oportuno para la captación de donantes de </w:t>
            </w:r>
            <w:r>
              <w:rPr>
                <w:spacing w:val="-2"/>
                <w:sz w:val="18"/>
              </w:rPr>
              <w:t>bienes.</w:t>
            </w:r>
          </w:p>
        </w:tc>
      </w:tr>
    </w:tbl>
    <w:p>
      <w:pPr>
        <w:pStyle w:val="TableParagraph"/>
        <w:spacing w:after="0"/>
        <w:rPr>
          <w:sz w:val="18"/>
        </w:rPr>
        <w:sectPr>
          <w:type w:val="continuous"/>
          <w:pgSz w:w="15840" w:h="12240" w:orient="landscape"/>
          <w:pgMar w:header="0" w:footer="1806" w:top="700" w:bottom="2725"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5"/>
        <w:gridCol w:w="1282"/>
        <w:gridCol w:w="1561"/>
        <w:gridCol w:w="1417"/>
        <w:gridCol w:w="1844"/>
        <w:gridCol w:w="1277"/>
        <w:gridCol w:w="1837"/>
        <w:gridCol w:w="2697"/>
      </w:tblGrid>
      <w:tr>
        <w:trPr>
          <w:trHeight w:val="777" w:hRule="atLeast"/>
        </w:trPr>
        <w:tc>
          <w:tcPr>
            <w:tcW w:w="2545" w:type="dxa"/>
            <w:shd w:val="clear" w:color="auto" w:fill="F1F1F1"/>
          </w:tcPr>
          <w:p>
            <w:pPr>
              <w:pStyle w:val="TableParagraph"/>
              <w:spacing w:before="75"/>
              <w:rPr>
                <w:b/>
                <w:sz w:val="18"/>
              </w:rPr>
            </w:pPr>
          </w:p>
          <w:p>
            <w:pPr>
              <w:pStyle w:val="TableParagraph"/>
              <w:ind w:left="302"/>
              <w:rPr>
                <w:b/>
                <w:sz w:val="18"/>
              </w:rPr>
            </w:pPr>
            <w:r>
              <w:rPr>
                <w:b/>
                <w:sz w:val="18"/>
              </w:rPr>
              <w:t>Objetivos</w:t>
            </w:r>
            <w:r>
              <w:rPr>
                <w:b/>
                <w:spacing w:val="-5"/>
                <w:sz w:val="18"/>
              </w:rPr>
              <w:t> </w:t>
            </w:r>
            <w:r>
              <w:rPr>
                <w:b/>
                <w:sz w:val="18"/>
              </w:rPr>
              <w:t>/</w:t>
            </w:r>
            <w:r>
              <w:rPr>
                <w:b/>
                <w:spacing w:val="-2"/>
                <w:sz w:val="18"/>
              </w:rPr>
              <w:t> Resultados</w:t>
            </w:r>
          </w:p>
        </w:tc>
        <w:tc>
          <w:tcPr>
            <w:tcW w:w="1282" w:type="dxa"/>
            <w:shd w:val="clear" w:color="auto" w:fill="F1F1F1"/>
          </w:tcPr>
          <w:p>
            <w:pPr>
              <w:pStyle w:val="TableParagraph"/>
              <w:spacing w:before="181"/>
              <w:ind w:left="378" w:hanging="216"/>
              <w:rPr>
                <w:b/>
                <w:sz w:val="18"/>
              </w:rPr>
            </w:pPr>
            <w:r>
              <w:rPr>
                <w:b/>
                <w:sz w:val="18"/>
              </w:rPr>
              <w:t>Línea</w:t>
            </w:r>
            <w:r>
              <w:rPr>
                <w:b/>
                <w:spacing w:val="-13"/>
                <w:sz w:val="18"/>
              </w:rPr>
              <w:t> </w:t>
            </w:r>
            <w:r>
              <w:rPr>
                <w:b/>
                <w:sz w:val="18"/>
              </w:rPr>
              <w:t>Base </w:t>
            </w:r>
            <w:r>
              <w:rPr>
                <w:b/>
                <w:spacing w:val="-2"/>
                <w:sz w:val="18"/>
              </w:rPr>
              <w:t>(2024)</w:t>
            </w:r>
          </w:p>
        </w:tc>
        <w:tc>
          <w:tcPr>
            <w:tcW w:w="1561" w:type="dxa"/>
            <w:shd w:val="clear" w:color="auto" w:fill="F1F1F1"/>
          </w:tcPr>
          <w:p>
            <w:pPr>
              <w:pStyle w:val="TableParagraph"/>
              <w:spacing w:before="75"/>
              <w:ind w:left="97" w:right="91"/>
              <w:jc w:val="center"/>
              <w:rPr>
                <w:b/>
                <w:sz w:val="18"/>
              </w:rPr>
            </w:pPr>
            <w:r>
              <w:rPr>
                <w:b/>
                <w:spacing w:val="-4"/>
                <w:sz w:val="18"/>
              </w:rPr>
              <w:t>Meta </w:t>
            </w:r>
            <w:r>
              <w:rPr>
                <w:b/>
                <w:spacing w:val="-2"/>
                <w:sz w:val="18"/>
              </w:rPr>
              <w:t>programada </w:t>
            </w:r>
            <w:r>
              <w:rPr>
                <w:b/>
                <w:spacing w:val="-4"/>
                <w:sz w:val="18"/>
              </w:rPr>
              <w:t>2026</w:t>
            </w:r>
          </w:p>
        </w:tc>
        <w:tc>
          <w:tcPr>
            <w:tcW w:w="1417" w:type="dxa"/>
            <w:shd w:val="clear" w:color="auto" w:fill="F1F1F1"/>
          </w:tcPr>
          <w:p>
            <w:pPr>
              <w:pStyle w:val="TableParagraph"/>
              <w:spacing w:before="75"/>
              <w:rPr>
                <w:b/>
                <w:sz w:val="18"/>
              </w:rPr>
            </w:pPr>
          </w:p>
          <w:p>
            <w:pPr>
              <w:pStyle w:val="TableParagraph"/>
              <w:ind w:left="301"/>
              <w:rPr>
                <w:b/>
                <w:sz w:val="18"/>
              </w:rPr>
            </w:pPr>
            <w:r>
              <w:rPr>
                <w:b/>
                <w:spacing w:val="-2"/>
                <w:sz w:val="18"/>
              </w:rPr>
              <w:t>Indicador</w:t>
            </w:r>
          </w:p>
        </w:tc>
        <w:tc>
          <w:tcPr>
            <w:tcW w:w="1844" w:type="dxa"/>
            <w:shd w:val="clear" w:color="auto" w:fill="F1F1F1"/>
          </w:tcPr>
          <w:p>
            <w:pPr>
              <w:pStyle w:val="TableParagraph"/>
              <w:spacing w:before="181"/>
              <w:ind w:left="421" w:right="150" w:firstLine="57"/>
              <w:rPr>
                <w:b/>
                <w:sz w:val="18"/>
              </w:rPr>
            </w:pPr>
            <w:r>
              <w:rPr>
                <w:b/>
                <w:sz w:val="18"/>
              </w:rPr>
              <w:t>Medios de </w:t>
            </w:r>
            <w:r>
              <w:rPr>
                <w:b/>
                <w:spacing w:val="-2"/>
                <w:sz w:val="18"/>
              </w:rPr>
              <w:t>verificación</w:t>
            </w:r>
          </w:p>
        </w:tc>
        <w:tc>
          <w:tcPr>
            <w:tcW w:w="1277" w:type="dxa"/>
            <w:shd w:val="clear" w:color="auto" w:fill="F1F1F1"/>
          </w:tcPr>
          <w:p>
            <w:pPr>
              <w:pStyle w:val="TableParagraph"/>
              <w:spacing w:before="75"/>
              <w:rPr>
                <w:b/>
                <w:sz w:val="18"/>
              </w:rPr>
            </w:pPr>
          </w:p>
          <w:p>
            <w:pPr>
              <w:pStyle w:val="TableParagraph"/>
              <w:ind w:left="75"/>
              <w:rPr>
                <w:b/>
                <w:sz w:val="18"/>
              </w:rPr>
            </w:pPr>
            <w:r>
              <w:rPr>
                <w:b/>
                <w:spacing w:val="-2"/>
                <w:sz w:val="18"/>
              </w:rPr>
              <w:t>Responsable</w:t>
            </w:r>
          </w:p>
        </w:tc>
        <w:tc>
          <w:tcPr>
            <w:tcW w:w="1837" w:type="dxa"/>
            <w:shd w:val="clear" w:color="auto" w:fill="F1F1F1"/>
          </w:tcPr>
          <w:p>
            <w:pPr>
              <w:pStyle w:val="TableParagraph"/>
              <w:spacing w:before="181"/>
              <w:ind w:left="522" w:hanging="149"/>
              <w:rPr>
                <w:b/>
                <w:sz w:val="18"/>
              </w:rPr>
            </w:pPr>
            <w:r>
              <w:rPr>
                <w:b/>
                <w:spacing w:val="-2"/>
                <w:sz w:val="18"/>
              </w:rPr>
              <w:t>Presupuesto asignado</w:t>
            </w:r>
          </w:p>
        </w:tc>
        <w:tc>
          <w:tcPr>
            <w:tcW w:w="2697" w:type="dxa"/>
            <w:tcBorders>
              <w:bottom w:val="nil"/>
            </w:tcBorders>
            <w:shd w:val="clear" w:color="auto" w:fill="F1F1F1"/>
          </w:tcPr>
          <w:p>
            <w:pPr>
              <w:pStyle w:val="TableParagraph"/>
              <w:spacing w:before="75"/>
              <w:rPr>
                <w:b/>
                <w:sz w:val="18"/>
              </w:rPr>
            </w:pPr>
          </w:p>
          <w:p>
            <w:pPr>
              <w:pStyle w:val="TableParagraph"/>
              <w:ind w:left="591"/>
              <w:rPr>
                <w:b/>
                <w:sz w:val="18"/>
              </w:rPr>
            </w:pPr>
            <w:r>
              <w:rPr>
                <w:b/>
                <w:sz w:val="18"/>
              </w:rPr>
              <w:t>Riesgo</w:t>
            </w:r>
            <w:r>
              <w:rPr>
                <w:b/>
                <w:spacing w:val="-4"/>
                <w:sz w:val="18"/>
              </w:rPr>
              <w:t> </w:t>
            </w:r>
            <w:r>
              <w:rPr>
                <w:b/>
                <w:spacing w:val="-2"/>
                <w:sz w:val="18"/>
              </w:rPr>
              <w:t>Vinculado</w:t>
            </w:r>
          </w:p>
        </w:tc>
      </w:tr>
      <w:tr>
        <w:trPr>
          <w:trHeight w:val="2482" w:hRule="atLeast"/>
        </w:trPr>
        <w:tc>
          <w:tcPr>
            <w:tcW w:w="2545" w:type="dxa"/>
          </w:tcPr>
          <w:p>
            <w:pPr>
              <w:pStyle w:val="TableParagraph"/>
              <w:ind w:left="72" w:right="81"/>
              <w:rPr>
                <w:sz w:val="18"/>
              </w:rPr>
            </w:pPr>
            <w:r>
              <w:rPr>
                <w:b/>
                <w:sz w:val="18"/>
              </w:rPr>
              <w:t>Actividad PAC 2.48.2: </w:t>
            </w:r>
            <w:r>
              <w:rPr>
                <w:sz w:val="18"/>
              </w:rPr>
              <w:t>Realizar la identificación, selección y gestión de potenciales Donantes, mediante el acercamiento a organizaciones tanto de la empresa privada e instituciones públicas, para dar</w:t>
            </w:r>
            <w:r>
              <w:rPr>
                <w:spacing w:val="-7"/>
                <w:sz w:val="18"/>
              </w:rPr>
              <w:t> </w:t>
            </w:r>
            <w:r>
              <w:rPr>
                <w:sz w:val="18"/>
              </w:rPr>
              <w:t>a</w:t>
            </w:r>
            <w:r>
              <w:rPr>
                <w:spacing w:val="-6"/>
                <w:sz w:val="18"/>
              </w:rPr>
              <w:t> </w:t>
            </w:r>
            <w:r>
              <w:rPr>
                <w:sz w:val="18"/>
              </w:rPr>
              <w:t>conocer</w:t>
            </w:r>
            <w:r>
              <w:rPr>
                <w:spacing w:val="-4"/>
                <w:sz w:val="18"/>
              </w:rPr>
              <w:t> </w:t>
            </w:r>
            <w:r>
              <w:rPr>
                <w:sz w:val="18"/>
              </w:rPr>
              <w:t>el</w:t>
            </w:r>
            <w:r>
              <w:rPr>
                <w:spacing w:val="-11"/>
                <w:sz w:val="18"/>
              </w:rPr>
              <w:t> </w:t>
            </w:r>
            <w:r>
              <w:rPr>
                <w:sz w:val="18"/>
              </w:rPr>
              <w:t>programa</w:t>
            </w:r>
            <w:r>
              <w:rPr>
                <w:spacing w:val="-9"/>
                <w:sz w:val="18"/>
              </w:rPr>
              <w:t> </w:t>
            </w:r>
            <w:r>
              <w:rPr>
                <w:sz w:val="18"/>
              </w:rPr>
              <w:t>de donaciones e impulsar la</w:t>
            </w:r>
          </w:p>
          <w:p>
            <w:pPr>
              <w:pStyle w:val="TableParagraph"/>
              <w:spacing w:line="206" w:lineRule="exact"/>
              <w:ind w:left="72" w:right="81"/>
              <w:rPr>
                <w:sz w:val="18"/>
              </w:rPr>
            </w:pPr>
            <w:r>
              <w:rPr>
                <w:sz w:val="18"/>
              </w:rPr>
              <w:t>captación</w:t>
            </w:r>
            <w:r>
              <w:rPr>
                <w:spacing w:val="-9"/>
                <w:sz w:val="18"/>
              </w:rPr>
              <w:t> </w:t>
            </w:r>
            <w:r>
              <w:rPr>
                <w:sz w:val="18"/>
              </w:rPr>
              <w:t>de</w:t>
            </w:r>
            <w:r>
              <w:rPr>
                <w:spacing w:val="-12"/>
                <w:sz w:val="18"/>
              </w:rPr>
              <w:t> </w:t>
            </w:r>
            <w:r>
              <w:rPr>
                <w:sz w:val="18"/>
              </w:rPr>
              <w:t>bienes</w:t>
            </w:r>
            <w:r>
              <w:rPr>
                <w:spacing w:val="-12"/>
                <w:sz w:val="18"/>
              </w:rPr>
              <w:t> </w:t>
            </w:r>
            <w:r>
              <w:rPr>
                <w:sz w:val="18"/>
              </w:rPr>
              <w:t>para </w:t>
            </w:r>
            <w:r>
              <w:rPr>
                <w:spacing w:val="-2"/>
                <w:sz w:val="18"/>
              </w:rPr>
              <w:t>donar.</w:t>
            </w:r>
          </w:p>
        </w:tc>
        <w:tc>
          <w:tcPr>
            <w:tcW w:w="12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0" w:right="16"/>
              <w:jc w:val="center"/>
              <w:rPr>
                <w:sz w:val="18"/>
              </w:rPr>
            </w:pPr>
            <w:r>
              <w:rPr>
                <w:spacing w:val="-5"/>
                <w:sz w:val="18"/>
              </w:rPr>
              <w:t>ND</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96" w:right="93"/>
              <w:jc w:val="center"/>
              <w:rPr>
                <w:sz w:val="18"/>
              </w:rPr>
            </w:pPr>
            <w:r>
              <w:rPr>
                <w:spacing w:val="-5"/>
                <w:sz w:val="18"/>
              </w:rPr>
              <w:t>48</w:t>
            </w:r>
          </w:p>
        </w:tc>
        <w:tc>
          <w:tcPr>
            <w:tcW w:w="1417" w:type="dxa"/>
          </w:tcPr>
          <w:p>
            <w:pPr>
              <w:pStyle w:val="TableParagraph"/>
              <w:rPr>
                <w:b/>
                <w:sz w:val="18"/>
              </w:rPr>
            </w:pPr>
          </w:p>
          <w:p>
            <w:pPr>
              <w:pStyle w:val="TableParagraph"/>
              <w:spacing w:before="204"/>
              <w:rPr>
                <w:b/>
                <w:sz w:val="18"/>
              </w:rPr>
            </w:pPr>
          </w:p>
          <w:p>
            <w:pPr>
              <w:pStyle w:val="TableParagraph"/>
              <w:ind w:left="71" w:right="218"/>
              <w:rPr>
                <w:sz w:val="18"/>
              </w:rPr>
            </w:pPr>
            <w:r>
              <w:rPr>
                <w:sz w:val="18"/>
              </w:rPr>
              <w:t>Cantidad de </w:t>
            </w:r>
            <w:r>
              <w:rPr>
                <w:spacing w:val="-2"/>
                <w:sz w:val="18"/>
              </w:rPr>
              <w:t>potenciales Donantes Gestionados </w:t>
            </w:r>
            <w:r>
              <w:rPr>
                <w:sz w:val="18"/>
              </w:rPr>
              <w:t>para captar </w:t>
            </w:r>
            <w:r>
              <w:rPr>
                <w:spacing w:val="-2"/>
                <w:sz w:val="18"/>
              </w:rPr>
              <w:t>donaciones</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0" w:right="150"/>
              <w:rPr>
                <w:sz w:val="18"/>
              </w:rPr>
            </w:pPr>
            <w:r>
              <w:rPr>
                <w:sz w:val="18"/>
              </w:rPr>
              <w:t>Oficios</w:t>
            </w:r>
            <w:r>
              <w:rPr>
                <w:spacing w:val="-11"/>
                <w:sz w:val="18"/>
              </w:rPr>
              <w:t> </w:t>
            </w:r>
            <w:r>
              <w:rPr>
                <w:sz w:val="18"/>
              </w:rPr>
              <w:t>o</w:t>
            </w:r>
            <w:r>
              <w:rPr>
                <w:spacing w:val="-11"/>
                <w:sz w:val="18"/>
              </w:rPr>
              <w:t> </w:t>
            </w:r>
            <w:r>
              <w:rPr>
                <w:sz w:val="18"/>
              </w:rPr>
              <w:t>Minuta</w:t>
            </w:r>
            <w:r>
              <w:rPr>
                <w:spacing w:val="-11"/>
                <w:sz w:val="18"/>
              </w:rPr>
              <w:t> </w:t>
            </w:r>
            <w:r>
              <w:rPr>
                <w:sz w:val="18"/>
              </w:rPr>
              <w:t>de </w:t>
            </w:r>
            <w:r>
              <w:rPr>
                <w:spacing w:val="-2"/>
                <w:sz w:val="18"/>
              </w:rPr>
              <w:t>reuniones efectuadas</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65"/>
              <w:rPr>
                <w:sz w:val="18"/>
              </w:rPr>
            </w:pPr>
            <w:r>
              <w:rPr>
                <w:spacing w:val="-2"/>
                <w:sz w:val="18"/>
              </w:rPr>
              <w:t>Unidad Donaciones</w:t>
            </w:r>
          </w:p>
        </w:tc>
        <w:tc>
          <w:tcPr>
            <w:tcW w:w="1837" w:type="dxa"/>
          </w:tcPr>
          <w:p>
            <w:pPr>
              <w:pStyle w:val="TableParagraph"/>
              <w:rPr>
                <w:rFonts w:ascii="Times New Roman"/>
                <w:sz w:val="18"/>
              </w:rPr>
            </w:pPr>
          </w:p>
        </w:tc>
        <w:tc>
          <w:tcPr>
            <w:tcW w:w="2697" w:type="dxa"/>
            <w:tcBorders>
              <w:top w:val="nil"/>
            </w:tcBorders>
          </w:tcPr>
          <w:p>
            <w:pPr>
              <w:pStyle w:val="TableParagraph"/>
              <w:rPr>
                <w:rFonts w:ascii="Times New Roman"/>
                <w:sz w:val="18"/>
              </w:rPr>
            </w:pPr>
          </w:p>
        </w:tc>
      </w:tr>
      <w:tr>
        <w:trPr>
          <w:trHeight w:val="408" w:hRule="atLeast"/>
        </w:trPr>
        <w:tc>
          <w:tcPr>
            <w:tcW w:w="14460" w:type="dxa"/>
            <w:gridSpan w:val="8"/>
            <w:shd w:val="clear" w:color="auto" w:fill="EFF8F9"/>
          </w:tcPr>
          <w:p>
            <w:pPr>
              <w:pStyle w:val="TableParagraph"/>
              <w:spacing w:before="100"/>
              <w:ind w:left="72"/>
              <w:rPr>
                <w:b/>
                <w:sz w:val="18"/>
              </w:rPr>
            </w:pPr>
            <w:r>
              <w:rPr>
                <w:b/>
                <w:sz w:val="18"/>
              </w:rPr>
              <w:t>Producto</w:t>
            </w:r>
            <w:r>
              <w:rPr>
                <w:b/>
                <w:spacing w:val="-8"/>
                <w:sz w:val="18"/>
              </w:rPr>
              <w:t> </w:t>
            </w:r>
            <w:r>
              <w:rPr>
                <w:b/>
                <w:sz w:val="18"/>
              </w:rPr>
              <w:t>PAC</w:t>
            </w:r>
            <w:r>
              <w:rPr>
                <w:b/>
                <w:spacing w:val="-9"/>
                <w:sz w:val="18"/>
              </w:rPr>
              <w:t> </w:t>
            </w:r>
            <w:r>
              <w:rPr>
                <w:b/>
                <w:sz w:val="18"/>
              </w:rPr>
              <w:t>2.49:</w:t>
            </w:r>
            <w:r>
              <w:rPr>
                <w:b/>
                <w:spacing w:val="-5"/>
                <w:sz w:val="18"/>
              </w:rPr>
              <w:t> </w:t>
            </w:r>
            <w:r>
              <w:rPr>
                <w:b/>
                <w:sz w:val="18"/>
              </w:rPr>
              <w:t>Normativa</w:t>
            </w:r>
            <w:r>
              <w:rPr>
                <w:b/>
                <w:spacing w:val="-7"/>
                <w:sz w:val="18"/>
              </w:rPr>
              <w:t> </w:t>
            </w:r>
            <w:r>
              <w:rPr>
                <w:b/>
                <w:sz w:val="18"/>
              </w:rPr>
              <w:t>institucional</w:t>
            </w:r>
            <w:r>
              <w:rPr>
                <w:b/>
                <w:spacing w:val="-6"/>
                <w:sz w:val="18"/>
              </w:rPr>
              <w:t> </w:t>
            </w:r>
            <w:r>
              <w:rPr>
                <w:b/>
                <w:sz w:val="18"/>
              </w:rPr>
              <w:t>de</w:t>
            </w:r>
            <w:r>
              <w:rPr>
                <w:b/>
                <w:spacing w:val="-3"/>
                <w:sz w:val="18"/>
              </w:rPr>
              <w:t> </w:t>
            </w:r>
            <w:r>
              <w:rPr>
                <w:b/>
                <w:sz w:val="18"/>
              </w:rPr>
              <w:t>donaciones</w:t>
            </w:r>
            <w:r>
              <w:rPr>
                <w:b/>
                <w:spacing w:val="-4"/>
                <w:sz w:val="18"/>
              </w:rPr>
              <w:t> </w:t>
            </w:r>
            <w:r>
              <w:rPr>
                <w:b/>
                <w:sz w:val="18"/>
              </w:rPr>
              <w:t>ajustada,</w:t>
            </w:r>
            <w:r>
              <w:rPr>
                <w:b/>
                <w:spacing w:val="-5"/>
                <w:sz w:val="18"/>
              </w:rPr>
              <w:t> </w:t>
            </w:r>
            <w:r>
              <w:rPr>
                <w:b/>
                <w:sz w:val="18"/>
              </w:rPr>
              <w:t>para</w:t>
            </w:r>
            <w:r>
              <w:rPr>
                <w:b/>
                <w:spacing w:val="-7"/>
                <w:sz w:val="18"/>
              </w:rPr>
              <w:t> </w:t>
            </w:r>
            <w:r>
              <w:rPr>
                <w:b/>
                <w:sz w:val="18"/>
              </w:rPr>
              <w:t>incrementar</w:t>
            </w:r>
            <w:r>
              <w:rPr>
                <w:b/>
                <w:spacing w:val="-7"/>
                <w:sz w:val="18"/>
              </w:rPr>
              <w:t> </w:t>
            </w:r>
            <w:r>
              <w:rPr>
                <w:b/>
                <w:sz w:val="18"/>
              </w:rPr>
              <w:t>la</w:t>
            </w:r>
            <w:r>
              <w:rPr>
                <w:b/>
                <w:spacing w:val="-7"/>
                <w:sz w:val="18"/>
              </w:rPr>
              <w:t> </w:t>
            </w:r>
            <w:r>
              <w:rPr>
                <w:b/>
                <w:sz w:val="18"/>
              </w:rPr>
              <w:t>captación</w:t>
            </w:r>
            <w:r>
              <w:rPr>
                <w:b/>
                <w:spacing w:val="-3"/>
                <w:sz w:val="18"/>
              </w:rPr>
              <w:t> </w:t>
            </w:r>
            <w:r>
              <w:rPr>
                <w:b/>
                <w:sz w:val="18"/>
              </w:rPr>
              <w:t>y</w:t>
            </w:r>
            <w:r>
              <w:rPr>
                <w:b/>
                <w:spacing w:val="-8"/>
                <w:sz w:val="18"/>
              </w:rPr>
              <w:t> </w:t>
            </w:r>
            <w:r>
              <w:rPr>
                <w:b/>
                <w:sz w:val="18"/>
              </w:rPr>
              <w:t>donación</w:t>
            </w:r>
            <w:r>
              <w:rPr>
                <w:b/>
                <w:spacing w:val="-8"/>
                <w:sz w:val="18"/>
              </w:rPr>
              <w:t> </w:t>
            </w:r>
            <w:r>
              <w:rPr>
                <w:b/>
                <w:sz w:val="18"/>
              </w:rPr>
              <w:t>de</w:t>
            </w:r>
            <w:r>
              <w:rPr>
                <w:b/>
                <w:spacing w:val="-7"/>
                <w:sz w:val="18"/>
              </w:rPr>
              <w:t> </w:t>
            </w:r>
            <w:r>
              <w:rPr>
                <w:b/>
                <w:sz w:val="18"/>
              </w:rPr>
              <w:t>bienes</w:t>
            </w:r>
            <w:r>
              <w:rPr>
                <w:b/>
                <w:spacing w:val="-7"/>
                <w:sz w:val="18"/>
              </w:rPr>
              <w:t> </w:t>
            </w:r>
            <w:r>
              <w:rPr>
                <w:b/>
                <w:sz w:val="18"/>
              </w:rPr>
              <w:t>y</w:t>
            </w:r>
            <w:r>
              <w:rPr>
                <w:b/>
                <w:spacing w:val="-4"/>
                <w:sz w:val="18"/>
              </w:rPr>
              <w:t> </w:t>
            </w:r>
            <w:r>
              <w:rPr>
                <w:b/>
                <w:spacing w:val="-2"/>
                <w:sz w:val="18"/>
              </w:rPr>
              <w:t>dinero.</w:t>
            </w:r>
          </w:p>
        </w:tc>
      </w:tr>
      <w:tr>
        <w:trPr>
          <w:trHeight w:val="1108" w:hRule="atLeast"/>
        </w:trPr>
        <w:tc>
          <w:tcPr>
            <w:tcW w:w="2545" w:type="dxa"/>
          </w:tcPr>
          <w:p>
            <w:pPr>
              <w:pStyle w:val="TableParagraph"/>
              <w:spacing w:before="36"/>
              <w:rPr>
                <w:b/>
                <w:sz w:val="18"/>
              </w:rPr>
            </w:pPr>
          </w:p>
          <w:p>
            <w:pPr>
              <w:pStyle w:val="TableParagraph"/>
              <w:ind w:left="72"/>
              <w:rPr>
                <w:sz w:val="18"/>
              </w:rPr>
            </w:pPr>
            <w:r>
              <w:rPr>
                <w:b/>
                <w:sz w:val="18"/>
              </w:rPr>
              <w:t>Actividad PAC 2.49.1: </w:t>
            </w:r>
            <w:r>
              <w:rPr>
                <w:sz w:val="18"/>
              </w:rPr>
              <w:t>Realizar la</w:t>
            </w:r>
            <w:r>
              <w:rPr>
                <w:spacing w:val="-3"/>
                <w:sz w:val="18"/>
              </w:rPr>
              <w:t> </w:t>
            </w:r>
            <w:r>
              <w:rPr>
                <w:sz w:val="18"/>
              </w:rPr>
              <w:t>modificación</w:t>
            </w:r>
            <w:r>
              <w:rPr>
                <w:spacing w:val="-3"/>
                <w:sz w:val="18"/>
              </w:rPr>
              <w:t> </w:t>
            </w:r>
            <w:r>
              <w:rPr>
                <w:sz w:val="18"/>
              </w:rPr>
              <w:t>del Reglamento</w:t>
            </w:r>
            <w:r>
              <w:rPr>
                <w:spacing w:val="-5"/>
                <w:sz w:val="18"/>
              </w:rPr>
              <w:t> </w:t>
            </w:r>
            <w:r>
              <w:rPr>
                <w:sz w:val="18"/>
              </w:rPr>
              <w:t>de</w:t>
            </w:r>
            <w:r>
              <w:rPr>
                <w:spacing w:val="-1"/>
                <w:sz w:val="18"/>
              </w:rPr>
              <w:t> </w:t>
            </w:r>
            <w:r>
              <w:rPr>
                <w:spacing w:val="-2"/>
                <w:sz w:val="18"/>
              </w:rPr>
              <w:t>Donaciones</w:t>
            </w:r>
          </w:p>
        </w:tc>
        <w:tc>
          <w:tcPr>
            <w:tcW w:w="1282" w:type="dxa"/>
          </w:tcPr>
          <w:p>
            <w:pPr>
              <w:pStyle w:val="TableParagraph"/>
              <w:rPr>
                <w:b/>
                <w:sz w:val="18"/>
              </w:rPr>
            </w:pPr>
          </w:p>
          <w:p>
            <w:pPr>
              <w:pStyle w:val="TableParagraph"/>
              <w:spacing w:before="36"/>
              <w:rPr>
                <w:b/>
                <w:sz w:val="18"/>
              </w:rPr>
            </w:pPr>
          </w:p>
          <w:p>
            <w:pPr>
              <w:pStyle w:val="TableParagraph"/>
              <w:ind w:left="20" w:right="16"/>
              <w:jc w:val="center"/>
              <w:rPr>
                <w:sz w:val="18"/>
              </w:rPr>
            </w:pPr>
            <w:r>
              <w:rPr>
                <w:spacing w:val="-5"/>
                <w:sz w:val="18"/>
              </w:rPr>
              <w:t>ND</w:t>
            </w:r>
          </w:p>
        </w:tc>
        <w:tc>
          <w:tcPr>
            <w:tcW w:w="1561" w:type="dxa"/>
          </w:tcPr>
          <w:p>
            <w:pPr>
              <w:pStyle w:val="TableParagraph"/>
              <w:rPr>
                <w:b/>
                <w:sz w:val="18"/>
              </w:rPr>
            </w:pPr>
          </w:p>
          <w:p>
            <w:pPr>
              <w:pStyle w:val="TableParagraph"/>
              <w:spacing w:before="36"/>
              <w:rPr>
                <w:b/>
                <w:sz w:val="18"/>
              </w:rPr>
            </w:pPr>
          </w:p>
          <w:p>
            <w:pPr>
              <w:pStyle w:val="TableParagraph"/>
              <w:ind w:left="96" w:right="94"/>
              <w:jc w:val="center"/>
              <w:rPr>
                <w:sz w:val="18"/>
              </w:rPr>
            </w:pPr>
            <w:r>
              <w:rPr>
                <w:spacing w:val="-5"/>
                <w:sz w:val="18"/>
              </w:rPr>
              <w:t>50%</w:t>
            </w:r>
          </w:p>
        </w:tc>
        <w:tc>
          <w:tcPr>
            <w:tcW w:w="1417" w:type="dxa"/>
          </w:tcPr>
          <w:p>
            <w:pPr>
              <w:pStyle w:val="TableParagraph"/>
              <w:spacing w:before="138"/>
              <w:ind w:left="71" w:right="93"/>
              <w:rPr>
                <w:sz w:val="18"/>
              </w:rPr>
            </w:pPr>
            <w:r>
              <w:rPr>
                <w:sz w:val="18"/>
              </w:rPr>
              <w:t>% de avance en la </w:t>
            </w:r>
            <w:r>
              <w:rPr>
                <w:spacing w:val="-2"/>
                <w:sz w:val="18"/>
              </w:rPr>
              <w:t>actualización </w:t>
            </w:r>
            <w:r>
              <w:rPr>
                <w:sz w:val="18"/>
              </w:rPr>
              <w:t>del</w:t>
            </w:r>
            <w:r>
              <w:rPr>
                <w:spacing w:val="-13"/>
                <w:sz w:val="18"/>
              </w:rPr>
              <w:t> </w:t>
            </w:r>
            <w:r>
              <w:rPr>
                <w:sz w:val="18"/>
              </w:rPr>
              <w:t>reglamento.</w:t>
            </w:r>
          </w:p>
        </w:tc>
        <w:tc>
          <w:tcPr>
            <w:tcW w:w="1844" w:type="dxa"/>
          </w:tcPr>
          <w:p>
            <w:pPr>
              <w:pStyle w:val="TableParagraph"/>
              <w:spacing w:before="138"/>
              <w:ind w:left="70" w:right="150"/>
              <w:rPr>
                <w:sz w:val="18"/>
              </w:rPr>
            </w:pPr>
            <w:r>
              <w:rPr>
                <w:sz w:val="18"/>
              </w:rPr>
              <w:t>Reglamento</w:t>
            </w:r>
            <w:r>
              <w:rPr>
                <w:spacing w:val="-13"/>
                <w:sz w:val="18"/>
              </w:rPr>
              <w:t> </w:t>
            </w:r>
            <w:r>
              <w:rPr>
                <w:sz w:val="18"/>
              </w:rPr>
              <w:t>de </w:t>
            </w:r>
            <w:r>
              <w:rPr>
                <w:spacing w:val="-2"/>
                <w:sz w:val="18"/>
              </w:rPr>
              <w:t>Donaciones </w:t>
            </w:r>
            <w:r>
              <w:rPr>
                <w:sz w:val="18"/>
              </w:rPr>
              <w:t>aprobado y </w:t>
            </w:r>
            <w:r>
              <w:rPr>
                <w:spacing w:val="-2"/>
                <w:sz w:val="18"/>
              </w:rPr>
              <w:t>publicado</w:t>
            </w:r>
          </w:p>
        </w:tc>
        <w:tc>
          <w:tcPr>
            <w:tcW w:w="1277" w:type="dxa"/>
          </w:tcPr>
          <w:p>
            <w:pPr>
              <w:pStyle w:val="TableParagraph"/>
              <w:spacing w:before="137"/>
              <w:rPr>
                <w:b/>
                <w:sz w:val="18"/>
              </w:rPr>
            </w:pPr>
          </w:p>
          <w:p>
            <w:pPr>
              <w:pStyle w:val="TableParagraph"/>
              <w:ind w:left="65"/>
              <w:rPr>
                <w:sz w:val="18"/>
              </w:rPr>
            </w:pPr>
            <w:r>
              <w:rPr>
                <w:spacing w:val="-2"/>
                <w:sz w:val="18"/>
              </w:rPr>
              <w:t>Unidad Donaciones</w:t>
            </w:r>
          </w:p>
        </w:tc>
        <w:tc>
          <w:tcPr>
            <w:tcW w:w="1837" w:type="dxa"/>
          </w:tcPr>
          <w:p>
            <w:pPr>
              <w:pStyle w:val="TableParagraph"/>
              <w:rPr>
                <w:rFonts w:ascii="Times New Roman"/>
                <w:sz w:val="18"/>
              </w:rPr>
            </w:pPr>
          </w:p>
        </w:tc>
        <w:tc>
          <w:tcPr>
            <w:tcW w:w="2697" w:type="dxa"/>
            <w:vMerge w:val="restart"/>
          </w:tcPr>
          <w:p>
            <w:pPr>
              <w:pStyle w:val="TableParagraph"/>
              <w:rPr>
                <w:b/>
                <w:sz w:val="18"/>
              </w:rPr>
            </w:pPr>
          </w:p>
          <w:p>
            <w:pPr>
              <w:pStyle w:val="TableParagraph"/>
              <w:spacing w:before="2"/>
              <w:rPr>
                <w:b/>
                <w:sz w:val="18"/>
              </w:rPr>
            </w:pPr>
          </w:p>
          <w:p>
            <w:pPr>
              <w:pStyle w:val="TableParagraph"/>
              <w:ind w:left="72" w:right="110"/>
              <w:rPr>
                <w:sz w:val="18"/>
              </w:rPr>
            </w:pPr>
            <w:r>
              <w:rPr>
                <w:sz w:val="18"/>
              </w:rPr>
              <w:t>Evento: Que no se tenga respuesta oportuna en las diferentes</w:t>
            </w:r>
            <w:r>
              <w:rPr>
                <w:spacing w:val="-11"/>
                <w:sz w:val="18"/>
              </w:rPr>
              <w:t> </w:t>
            </w:r>
            <w:r>
              <w:rPr>
                <w:sz w:val="18"/>
              </w:rPr>
              <w:t>fases</w:t>
            </w:r>
            <w:r>
              <w:rPr>
                <w:spacing w:val="-8"/>
                <w:sz w:val="18"/>
              </w:rPr>
              <w:t> </w:t>
            </w:r>
            <w:r>
              <w:rPr>
                <w:sz w:val="18"/>
              </w:rPr>
              <w:t>del</w:t>
            </w:r>
            <w:r>
              <w:rPr>
                <w:spacing w:val="-10"/>
                <w:sz w:val="18"/>
              </w:rPr>
              <w:t> </w:t>
            </w:r>
            <w:r>
              <w:rPr>
                <w:sz w:val="18"/>
              </w:rPr>
              <w:t>proceso</w:t>
            </w:r>
            <w:r>
              <w:rPr>
                <w:spacing w:val="-8"/>
                <w:sz w:val="18"/>
              </w:rPr>
              <w:t> </w:t>
            </w:r>
            <w:r>
              <w:rPr>
                <w:sz w:val="18"/>
              </w:rPr>
              <w:t>o que la respuesta no sea favorable a la propuesta de </w:t>
            </w:r>
            <w:r>
              <w:rPr>
                <w:spacing w:val="-2"/>
                <w:sz w:val="18"/>
              </w:rPr>
              <w:t>reglamento.</w:t>
            </w:r>
          </w:p>
        </w:tc>
      </w:tr>
      <w:tr>
        <w:trPr>
          <w:trHeight w:val="959" w:hRule="atLeast"/>
        </w:trPr>
        <w:tc>
          <w:tcPr>
            <w:tcW w:w="2545" w:type="dxa"/>
          </w:tcPr>
          <w:p>
            <w:pPr>
              <w:pStyle w:val="TableParagraph"/>
              <w:spacing w:line="242" w:lineRule="auto" w:before="167"/>
              <w:ind w:left="72"/>
              <w:rPr>
                <w:sz w:val="18"/>
              </w:rPr>
            </w:pPr>
            <w:r>
              <w:rPr>
                <w:b/>
                <w:sz w:val="18"/>
              </w:rPr>
              <w:t>Actividad PAC 2.49.2: </w:t>
            </w:r>
            <w:r>
              <w:rPr>
                <w:sz w:val="18"/>
              </w:rPr>
              <w:t>Realizar</w:t>
            </w:r>
            <w:r>
              <w:rPr>
                <w:spacing w:val="-9"/>
                <w:sz w:val="18"/>
              </w:rPr>
              <w:t> </w:t>
            </w:r>
            <w:r>
              <w:rPr>
                <w:sz w:val="18"/>
              </w:rPr>
              <w:t>la</w:t>
            </w:r>
            <w:r>
              <w:rPr>
                <w:spacing w:val="-13"/>
                <w:sz w:val="18"/>
              </w:rPr>
              <w:t> </w:t>
            </w:r>
            <w:r>
              <w:rPr>
                <w:sz w:val="18"/>
              </w:rPr>
              <w:t>modificación</w:t>
            </w:r>
            <w:r>
              <w:rPr>
                <w:spacing w:val="-12"/>
                <w:sz w:val="18"/>
              </w:rPr>
              <w:t> </w:t>
            </w:r>
            <w:r>
              <w:rPr>
                <w:sz w:val="18"/>
              </w:rPr>
              <w:t>del Manual de Donaciones.</w:t>
            </w:r>
          </w:p>
        </w:tc>
        <w:tc>
          <w:tcPr>
            <w:tcW w:w="1282" w:type="dxa"/>
          </w:tcPr>
          <w:p>
            <w:pPr>
              <w:pStyle w:val="TableParagraph"/>
              <w:spacing w:before="166"/>
              <w:rPr>
                <w:b/>
                <w:sz w:val="18"/>
              </w:rPr>
            </w:pPr>
          </w:p>
          <w:p>
            <w:pPr>
              <w:pStyle w:val="TableParagraph"/>
              <w:ind w:left="20" w:right="16"/>
              <w:jc w:val="center"/>
              <w:rPr>
                <w:sz w:val="18"/>
              </w:rPr>
            </w:pPr>
            <w:r>
              <w:rPr>
                <w:spacing w:val="-5"/>
                <w:sz w:val="18"/>
              </w:rPr>
              <w:t>ND</w:t>
            </w:r>
          </w:p>
        </w:tc>
        <w:tc>
          <w:tcPr>
            <w:tcW w:w="1561" w:type="dxa"/>
          </w:tcPr>
          <w:p>
            <w:pPr>
              <w:pStyle w:val="TableParagraph"/>
              <w:spacing w:before="166"/>
              <w:rPr>
                <w:b/>
                <w:sz w:val="18"/>
              </w:rPr>
            </w:pPr>
          </w:p>
          <w:p>
            <w:pPr>
              <w:pStyle w:val="TableParagraph"/>
              <w:ind w:left="96" w:right="94"/>
              <w:jc w:val="center"/>
              <w:rPr>
                <w:sz w:val="18"/>
              </w:rPr>
            </w:pPr>
            <w:r>
              <w:rPr>
                <w:spacing w:val="-5"/>
                <w:sz w:val="18"/>
              </w:rPr>
              <w:t>50%</w:t>
            </w:r>
          </w:p>
        </w:tc>
        <w:tc>
          <w:tcPr>
            <w:tcW w:w="1417" w:type="dxa"/>
          </w:tcPr>
          <w:p>
            <w:pPr>
              <w:pStyle w:val="TableParagraph"/>
              <w:spacing w:before="66"/>
              <w:ind w:left="71" w:right="218"/>
              <w:rPr>
                <w:sz w:val="18"/>
              </w:rPr>
            </w:pPr>
            <w:r>
              <w:rPr>
                <w:sz w:val="18"/>
              </w:rPr>
              <w:t>%</w:t>
            </w:r>
            <w:r>
              <w:rPr>
                <w:spacing w:val="-15"/>
                <w:sz w:val="18"/>
              </w:rPr>
              <w:t> </w:t>
            </w:r>
            <w:r>
              <w:rPr>
                <w:sz w:val="18"/>
              </w:rPr>
              <w:t>de</w:t>
            </w:r>
            <w:r>
              <w:rPr>
                <w:spacing w:val="-12"/>
                <w:sz w:val="18"/>
              </w:rPr>
              <w:t> </w:t>
            </w:r>
            <w:r>
              <w:rPr>
                <w:sz w:val="18"/>
              </w:rPr>
              <w:t>avance en la </w:t>
            </w:r>
            <w:r>
              <w:rPr>
                <w:spacing w:val="-2"/>
                <w:sz w:val="18"/>
              </w:rPr>
              <w:t>actualización </w:t>
            </w:r>
            <w:r>
              <w:rPr>
                <w:sz w:val="18"/>
              </w:rPr>
              <w:t>del manual.</w:t>
            </w:r>
          </w:p>
        </w:tc>
        <w:tc>
          <w:tcPr>
            <w:tcW w:w="1844" w:type="dxa"/>
          </w:tcPr>
          <w:p>
            <w:pPr>
              <w:pStyle w:val="TableParagraph"/>
              <w:spacing w:line="242" w:lineRule="auto" w:before="167"/>
              <w:ind w:left="70"/>
              <w:rPr>
                <w:sz w:val="18"/>
              </w:rPr>
            </w:pPr>
            <w:r>
              <w:rPr>
                <w:sz w:val="18"/>
              </w:rPr>
              <w:t>Manual</w:t>
            </w:r>
            <w:r>
              <w:rPr>
                <w:spacing w:val="-1"/>
                <w:sz w:val="18"/>
              </w:rPr>
              <w:t> </w:t>
            </w:r>
            <w:r>
              <w:rPr>
                <w:sz w:val="18"/>
              </w:rPr>
              <w:t>de Donaciones con ajustes</w:t>
            </w:r>
            <w:r>
              <w:rPr>
                <w:spacing w:val="-13"/>
                <w:sz w:val="18"/>
              </w:rPr>
              <w:t> </w:t>
            </w:r>
            <w:r>
              <w:rPr>
                <w:sz w:val="18"/>
              </w:rPr>
              <w:t>incorporados</w:t>
            </w:r>
          </w:p>
        </w:tc>
        <w:tc>
          <w:tcPr>
            <w:tcW w:w="1277" w:type="dxa"/>
          </w:tcPr>
          <w:p>
            <w:pPr>
              <w:pStyle w:val="TableParagraph"/>
              <w:spacing w:before="65"/>
              <w:rPr>
                <w:b/>
                <w:sz w:val="18"/>
              </w:rPr>
            </w:pPr>
          </w:p>
          <w:p>
            <w:pPr>
              <w:pStyle w:val="TableParagraph"/>
              <w:ind w:left="65"/>
              <w:rPr>
                <w:sz w:val="18"/>
              </w:rPr>
            </w:pPr>
            <w:r>
              <w:rPr>
                <w:spacing w:val="-2"/>
                <w:sz w:val="18"/>
              </w:rPr>
              <w:t>Unidad Donaciones</w:t>
            </w:r>
          </w:p>
        </w:tc>
        <w:tc>
          <w:tcPr>
            <w:tcW w:w="1837" w:type="dxa"/>
          </w:tcPr>
          <w:p>
            <w:pPr>
              <w:pStyle w:val="TableParagraph"/>
              <w:rPr>
                <w:rFonts w:ascii="Times New Roman"/>
                <w:sz w:val="18"/>
              </w:rPr>
            </w:pPr>
          </w:p>
        </w:tc>
        <w:tc>
          <w:tcPr>
            <w:tcW w:w="2697" w:type="dxa"/>
            <w:vMerge/>
            <w:tcBorders>
              <w:top w:val="nil"/>
            </w:tcBorders>
          </w:tcPr>
          <w:p>
            <w:pPr>
              <w:rPr>
                <w:sz w:val="2"/>
                <w:szCs w:val="2"/>
              </w:rPr>
            </w:pPr>
          </w:p>
        </w:tc>
      </w:tr>
      <w:tr>
        <w:trPr>
          <w:trHeight w:val="614" w:hRule="atLeast"/>
        </w:trPr>
        <w:tc>
          <w:tcPr>
            <w:tcW w:w="14460" w:type="dxa"/>
            <w:gridSpan w:val="8"/>
            <w:shd w:val="clear" w:color="auto" w:fill="EFF8F9"/>
          </w:tcPr>
          <w:p>
            <w:pPr>
              <w:pStyle w:val="TableParagraph"/>
              <w:spacing w:before="100"/>
              <w:ind w:left="72" w:right="183"/>
              <w:rPr>
                <w:b/>
                <w:sz w:val="18"/>
              </w:rPr>
            </w:pPr>
            <w:r>
              <w:rPr>
                <w:b/>
                <w:sz w:val="18"/>
              </w:rPr>
              <w:t>Producto</w:t>
            </w:r>
            <w:r>
              <w:rPr>
                <w:b/>
                <w:spacing w:val="-3"/>
                <w:sz w:val="18"/>
              </w:rPr>
              <w:t> </w:t>
            </w:r>
            <w:r>
              <w:rPr>
                <w:b/>
                <w:sz w:val="18"/>
              </w:rPr>
              <w:t>PAC</w:t>
            </w:r>
            <w:r>
              <w:rPr>
                <w:b/>
                <w:spacing w:val="-5"/>
                <w:sz w:val="18"/>
              </w:rPr>
              <w:t> </w:t>
            </w:r>
            <w:r>
              <w:rPr>
                <w:b/>
                <w:sz w:val="18"/>
              </w:rPr>
              <w:t>2.50:</w:t>
            </w:r>
            <w:r>
              <w:rPr>
                <w:b/>
                <w:spacing w:val="-1"/>
                <w:sz w:val="18"/>
              </w:rPr>
              <w:t> </w:t>
            </w:r>
            <w:r>
              <w:rPr>
                <w:b/>
                <w:sz w:val="18"/>
              </w:rPr>
              <w:t>Diseñada</w:t>
            </w:r>
            <w:r>
              <w:rPr>
                <w:b/>
                <w:spacing w:val="-3"/>
                <w:sz w:val="18"/>
              </w:rPr>
              <w:t> </w:t>
            </w:r>
            <w:r>
              <w:rPr>
                <w:b/>
                <w:sz w:val="18"/>
              </w:rPr>
              <w:t>y ejecutada</w:t>
            </w:r>
            <w:r>
              <w:rPr>
                <w:b/>
                <w:spacing w:val="-3"/>
                <w:sz w:val="18"/>
              </w:rPr>
              <w:t> </w:t>
            </w:r>
            <w:r>
              <w:rPr>
                <w:b/>
                <w:sz w:val="18"/>
              </w:rPr>
              <w:t>la estrategia</w:t>
            </w:r>
            <w:r>
              <w:rPr>
                <w:b/>
                <w:spacing w:val="-3"/>
                <w:sz w:val="18"/>
              </w:rPr>
              <w:t> </w:t>
            </w:r>
            <w:r>
              <w:rPr>
                <w:b/>
                <w:sz w:val="18"/>
              </w:rPr>
              <w:t>de divulgación</w:t>
            </w:r>
            <w:r>
              <w:rPr>
                <w:b/>
                <w:spacing w:val="-4"/>
                <w:sz w:val="18"/>
              </w:rPr>
              <w:t> </w:t>
            </w:r>
            <w:r>
              <w:rPr>
                <w:b/>
                <w:sz w:val="18"/>
              </w:rPr>
              <w:t>y</w:t>
            </w:r>
            <w:r>
              <w:rPr>
                <w:b/>
                <w:spacing w:val="-3"/>
                <w:sz w:val="18"/>
              </w:rPr>
              <w:t> </w:t>
            </w:r>
            <w:r>
              <w:rPr>
                <w:b/>
                <w:sz w:val="18"/>
              </w:rPr>
              <w:t>soporte</w:t>
            </w:r>
            <w:r>
              <w:rPr>
                <w:b/>
                <w:spacing w:val="-3"/>
                <w:sz w:val="18"/>
              </w:rPr>
              <w:t> </w:t>
            </w:r>
            <w:r>
              <w:rPr>
                <w:b/>
                <w:sz w:val="18"/>
              </w:rPr>
              <w:t>dirigida</w:t>
            </w:r>
            <w:r>
              <w:rPr>
                <w:b/>
                <w:spacing w:val="-3"/>
                <w:sz w:val="18"/>
              </w:rPr>
              <w:t> </w:t>
            </w:r>
            <w:r>
              <w:rPr>
                <w:b/>
                <w:sz w:val="18"/>
              </w:rPr>
              <w:t>a</w:t>
            </w:r>
            <w:r>
              <w:rPr>
                <w:b/>
                <w:spacing w:val="-3"/>
                <w:sz w:val="18"/>
              </w:rPr>
              <w:t> </w:t>
            </w:r>
            <w:r>
              <w:rPr>
                <w:b/>
                <w:sz w:val="18"/>
              </w:rPr>
              <w:t>las</w:t>
            </w:r>
            <w:r>
              <w:rPr>
                <w:b/>
                <w:spacing w:val="-3"/>
                <w:sz w:val="18"/>
              </w:rPr>
              <w:t> </w:t>
            </w:r>
            <w:r>
              <w:rPr>
                <w:b/>
                <w:sz w:val="18"/>
              </w:rPr>
              <w:t>instancias del</w:t>
            </w:r>
            <w:r>
              <w:rPr>
                <w:b/>
                <w:spacing w:val="-1"/>
                <w:sz w:val="18"/>
              </w:rPr>
              <w:t> </w:t>
            </w:r>
            <w:r>
              <w:rPr>
                <w:b/>
                <w:sz w:val="18"/>
              </w:rPr>
              <w:t>Programa</w:t>
            </w:r>
            <w:r>
              <w:rPr>
                <w:b/>
                <w:spacing w:val="-3"/>
                <w:sz w:val="18"/>
              </w:rPr>
              <w:t> </w:t>
            </w:r>
            <w:r>
              <w:rPr>
                <w:b/>
                <w:sz w:val="18"/>
              </w:rPr>
              <w:t>de</w:t>
            </w:r>
            <w:r>
              <w:rPr>
                <w:b/>
                <w:spacing w:val="-3"/>
                <w:sz w:val="18"/>
              </w:rPr>
              <w:t> </w:t>
            </w:r>
            <w:r>
              <w:rPr>
                <w:b/>
                <w:sz w:val="18"/>
              </w:rPr>
              <w:t>Protección</w:t>
            </w:r>
            <w:r>
              <w:rPr>
                <w:b/>
                <w:spacing w:val="-4"/>
                <w:sz w:val="18"/>
              </w:rPr>
              <w:t> </w:t>
            </w:r>
            <w:r>
              <w:rPr>
                <w:b/>
                <w:sz w:val="18"/>
              </w:rPr>
              <w:t>y Promoción Social y</w:t>
            </w:r>
            <w:r>
              <w:rPr>
                <w:b/>
                <w:spacing w:val="-3"/>
                <w:sz w:val="18"/>
              </w:rPr>
              <w:t> </w:t>
            </w:r>
            <w:r>
              <w:rPr>
                <w:b/>
                <w:sz w:val="18"/>
              </w:rPr>
              <w:t>hacia entidades externas para el impulso de proyectos con organizaciones sociales de las Comunidades en coordinación con la Dirección de Desarrollo Social.</w:t>
            </w:r>
          </w:p>
        </w:tc>
      </w:tr>
      <w:tr>
        <w:trPr>
          <w:trHeight w:val="2074" w:hRule="atLeast"/>
        </w:trPr>
        <w:tc>
          <w:tcPr>
            <w:tcW w:w="2545" w:type="dxa"/>
          </w:tcPr>
          <w:p>
            <w:pPr>
              <w:pStyle w:val="TableParagraph"/>
              <w:ind w:left="72" w:right="81"/>
              <w:rPr>
                <w:sz w:val="18"/>
              </w:rPr>
            </w:pPr>
            <w:r>
              <w:rPr>
                <w:b/>
                <w:sz w:val="18"/>
              </w:rPr>
              <w:t>Actividad PAC 2.50.1: </w:t>
            </w:r>
            <w:r>
              <w:rPr>
                <w:sz w:val="18"/>
              </w:rPr>
              <w:t>Promover en las Unidades Locales y Áreas Regionales para que se involucren en la identificación de proyectos y </w:t>
            </w:r>
            <w:r>
              <w:rPr>
                <w:spacing w:val="-2"/>
                <w:sz w:val="18"/>
              </w:rPr>
              <w:t>organizaciones </w:t>
            </w:r>
            <w:r>
              <w:rPr>
                <w:sz w:val="18"/>
              </w:rPr>
              <w:t>potencialmente sujetas de donación, incluyendo</w:t>
            </w:r>
          </w:p>
          <w:p>
            <w:pPr>
              <w:pStyle w:val="TableParagraph"/>
              <w:spacing w:line="206" w:lineRule="exact"/>
              <w:ind w:left="72"/>
              <w:rPr>
                <w:sz w:val="18"/>
              </w:rPr>
            </w:pPr>
            <w:r>
              <w:rPr>
                <w:sz w:val="18"/>
              </w:rPr>
              <w:t>proyectos</w:t>
            </w:r>
            <w:r>
              <w:rPr>
                <w:spacing w:val="-15"/>
                <w:sz w:val="18"/>
              </w:rPr>
              <w:t> </w:t>
            </w:r>
            <w:r>
              <w:rPr>
                <w:sz w:val="18"/>
              </w:rPr>
              <w:t>de</w:t>
            </w:r>
            <w:r>
              <w:rPr>
                <w:spacing w:val="-12"/>
                <w:sz w:val="18"/>
              </w:rPr>
              <w:t> </w:t>
            </w:r>
            <w:r>
              <w:rPr>
                <w:sz w:val="18"/>
              </w:rPr>
              <w:t>responsabilidad </w:t>
            </w:r>
            <w:r>
              <w:rPr>
                <w:spacing w:val="-2"/>
                <w:sz w:val="18"/>
              </w:rPr>
              <w:t>empresarial.</w:t>
            </w:r>
          </w:p>
        </w:tc>
        <w:tc>
          <w:tcPr>
            <w:tcW w:w="128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0" w:right="16"/>
              <w:jc w:val="center"/>
              <w:rPr>
                <w:sz w:val="18"/>
              </w:rPr>
            </w:pPr>
            <w:r>
              <w:rPr>
                <w:spacing w:val="-5"/>
                <w:sz w:val="18"/>
              </w:rPr>
              <w:t>ND</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6" w:right="96"/>
              <w:jc w:val="center"/>
              <w:rPr>
                <w:sz w:val="18"/>
              </w:rPr>
            </w:pPr>
            <w:r>
              <w:rPr>
                <w:spacing w:val="-10"/>
                <w:sz w:val="18"/>
              </w:rPr>
              <w:t>4</w:t>
            </w:r>
          </w:p>
        </w:tc>
        <w:tc>
          <w:tcPr>
            <w:tcW w:w="1417" w:type="dxa"/>
          </w:tcPr>
          <w:p>
            <w:pPr>
              <w:pStyle w:val="TableParagraph"/>
              <w:spacing w:before="205"/>
              <w:ind w:left="71" w:right="69"/>
              <w:rPr>
                <w:sz w:val="18"/>
              </w:rPr>
            </w:pPr>
            <w:r>
              <w:rPr>
                <w:sz w:val="18"/>
              </w:rPr>
              <w:t>Cantidad de Reuniones - </w:t>
            </w:r>
            <w:r>
              <w:rPr>
                <w:spacing w:val="-2"/>
                <w:sz w:val="18"/>
              </w:rPr>
              <w:t>Capacitaciones </w:t>
            </w:r>
            <w:r>
              <w:rPr>
                <w:sz w:val="18"/>
              </w:rPr>
              <w:t>con Áreas Regionales y </w:t>
            </w:r>
            <w:r>
              <w:rPr>
                <w:spacing w:val="-2"/>
                <w:sz w:val="18"/>
              </w:rPr>
              <w:t>Unidades Locales efectuadas</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70" w:right="150"/>
              <w:rPr>
                <w:sz w:val="18"/>
              </w:rPr>
            </w:pPr>
            <w:r>
              <w:rPr>
                <w:sz w:val="18"/>
              </w:rPr>
              <w:t>Documentación</w:t>
            </w:r>
            <w:r>
              <w:rPr>
                <w:spacing w:val="-13"/>
                <w:sz w:val="18"/>
              </w:rPr>
              <w:t> </w:t>
            </w:r>
            <w:r>
              <w:rPr>
                <w:sz w:val="18"/>
              </w:rPr>
              <w:t>de reunión</w:t>
            </w:r>
            <w:r>
              <w:rPr>
                <w:spacing w:val="-3"/>
                <w:sz w:val="18"/>
              </w:rPr>
              <w:t> </w:t>
            </w:r>
            <w:r>
              <w:rPr>
                <w:spacing w:val="-2"/>
                <w:sz w:val="18"/>
              </w:rPr>
              <w:t>sostenidas</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65"/>
              <w:rPr>
                <w:sz w:val="18"/>
              </w:rPr>
            </w:pPr>
            <w:r>
              <w:rPr>
                <w:spacing w:val="-2"/>
                <w:sz w:val="18"/>
              </w:rPr>
              <w:t>Unidad Donaciones</w:t>
            </w:r>
          </w:p>
        </w:tc>
        <w:tc>
          <w:tcPr>
            <w:tcW w:w="1837" w:type="dxa"/>
          </w:tcPr>
          <w:p>
            <w:pPr>
              <w:pStyle w:val="TableParagraph"/>
              <w:rPr>
                <w:rFonts w:ascii="Times New Roman"/>
                <w:sz w:val="18"/>
              </w:rPr>
            </w:pPr>
          </w:p>
        </w:tc>
        <w:tc>
          <w:tcPr>
            <w:tcW w:w="269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2" w:right="110"/>
              <w:rPr>
                <w:sz w:val="18"/>
              </w:rPr>
            </w:pPr>
            <w:r>
              <w:rPr>
                <w:sz w:val="18"/>
              </w:rPr>
              <w:t>Evento:</w:t>
            </w:r>
            <w:r>
              <w:rPr>
                <w:spacing w:val="-15"/>
                <w:sz w:val="18"/>
              </w:rPr>
              <w:t> </w:t>
            </w:r>
            <w:r>
              <w:rPr>
                <w:sz w:val="18"/>
              </w:rPr>
              <w:t>Bienes</w:t>
            </w:r>
            <w:r>
              <w:rPr>
                <w:spacing w:val="-12"/>
                <w:sz w:val="18"/>
              </w:rPr>
              <w:t> </w:t>
            </w:r>
            <w:r>
              <w:rPr>
                <w:sz w:val="18"/>
              </w:rPr>
              <w:t>insuficientes que afecten las donaciones </w:t>
            </w:r>
            <w:r>
              <w:rPr>
                <w:spacing w:val="-2"/>
                <w:sz w:val="18"/>
              </w:rPr>
              <w:t>programadas.</w:t>
            </w:r>
          </w:p>
        </w:tc>
      </w:tr>
    </w:tbl>
    <w:p>
      <w:pPr>
        <w:pStyle w:val="TableParagraph"/>
        <w:spacing w:after="0"/>
        <w:rPr>
          <w:sz w:val="18"/>
        </w:rPr>
        <w:sectPr>
          <w:type w:val="continuous"/>
          <w:pgSz w:w="15840" w:h="12240" w:orient="landscape"/>
          <w:pgMar w:header="0" w:footer="1806" w:top="700" w:bottom="2649"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5"/>
        <w:gridCol w:w="1282"/>
        <w:gridCol w:w="1561"/>
        <w:gridCol w:w="1417"/>
        <w:gridCol w:w="1844"/>
        <w:gridCol w:w="1277"/>
        <w:gridCol w:w="1837"/>
        <w:gridCol w:w="2697"/>
      </w:tblGrid>
      <w:tr>
        <w:trPr>
          <w:trHeight w:val="777" w:hRule="atLeast"/>
        </w:trPr>
        <w:tc>
          <w:tcPr>
            <w:tcW w:w="2545" w:type="dxa"/>
            <w:shd w:val="clear" w:color="auto" w:fill="F1F1F1"/>
          </w:tcPr>
          <w:p>
            <w:pPr>
              <w:pStyle w:val="TableParagraph"/>
              <w:spacing w:before="75"/>
              <w:rPr>
                <w:b/>
                <w:sz w:val="18"/>
              </w:rPr>
            </w:pPr>
          </w:p>
          <w:p>
            <w:pPr>
              <w:pStyle w:val="TableParagraph"/>
              <w:ind w:left="302"/>
              <w:rPr>
                <w:b/>
                <w:sz w:val="18"/>
              </w:rPr>
            </w:pPr>
            <w:r>
              <w:rPr>
                <w:b/>
                <w:sz w:val="18"/>
              </w:rPr>
              <w:t>Objetivos</w:t>
            </w:r>
            <w:r>
              <w:rPr>
                <w:b/>
                <w:spacing w:val="-5"/>
                <w:sz w:val="18"/>
              </w:rPr>
              <w:t> </w:t>
            </w:r>
            <w:r>
              <w:rPr>
                <w:b/>
                <w:sz w:val="18"/>
              </w:rPr>
              <w:t>/</w:t>
            </w:r>
            <w:r>
              <w:rPr>
                <w:b/>
                <w:spacing w:val="-2"/>
                <w:sz w:val="18"/>
              </w:rPr>
              <w:t> Resultados</w:t>
            </w:r>
          </w:p>
        </w:tc>
        <w:tc>
          <w:tcPr>
            <w:tcW w:w="1282" w:type="dxa"/>
            <w:shd w:val="clear" w:color="auto" w:fill="F1F1F1"/>
          </w:tcPr>
          <w:p>
            <w:pPr>
              <w:pStyle w:val="TableParagraph"/>
              <w:spacing w:before="181"/>
              <w:ind w:left="378" w:hanging="216"/>
              <w:rPr>
                <w:b/>
                <w:sz w:val="18"/>
              </w:rPr>
            </w:pPr>
            <w:r>
              <w:rPr>
                <w:b/>
                <w:sz w:val="18"/>
              </w:rPr>
              <w:t>Línea</w:t>
            </w:r>
            <w:r>
              <w:rPr>
                <w:b/>
                <w:spacing w:val="-13"/>
                <w:sz w:val="18"/>
              </w:rPr>
              <w:t> </w:t>
            </w:r>
            <w:r>
              <w:rPr>
                <w:b/>
                <w:sz w:val="18"/>
              </w:rPr>
              <w:t>Base </w:t>
            </w:r>
            <w:r>
              <w:rPr>
                <w:b/>
                <w:spacing w:val="-2"/>
                <w:sz w:val="18"/>
              </w:rPr>
              <w:t>(2024)</w:t>
            </w:r>
          </w:p>
        </w:tc>
        <w:tc>
          <w:tcPr>
            <w:tcW w:w="1561" w:type="dxa"/>
            <w:shd w:val="clear" w:color="auto" w:fill="F1F1F1"/>
          </w:tcPr>
          <w:p>
            <w:pPr>
              <w:pStyle w:val="TableParagraph"/>
              <w:spacing w:before="75"/>
              <w:ind w:left="97" w:right="91"/>
              <w:jc w:val="center"/>
              <w:rPr>
                <w:b/>
                <w:sz w:val="18"/>
              </w:rPr>
            </w:pPr>
            <w:r>
              <w:rPr>
                <w:b/>
                <w:spacing w:val="-4"/>
                <w:sz w:val="18"/>
              </w:rPr>
              <w:t>Meta </w:t>
            </w:r>
            <w:r>
              <w:rPr>
                <w:b/>
                <w:spacing w:val="-2"/>
                <w:sz w:val="18"/>
              </w:rPr>
              <w:t>programada </w:t>
            </w:r>
            <w:r>
              <w:rPr>
                <w:b/>
                <w:spacing w:val="-4"/>
                <w:sz w:val="18"/>
              </w:rPr>
              <w:t>2026</w:t>
            </w:r>
          </w:p>
        </w:tc>
        <w:tc>
          <w:tcPr>
            <w:tcW w:w="1417" w:type="dxa"/>
            <w:shd w:val="clear" w:color="auto" w:fill="F1F1F1"/>
          </w:tcPr>
          <w:p>
            <w:pPr>
              <w:pStyle w:val="TableParagraph"/>
              <w:spacing w:before="75"/>
              <w:rPr>
                <w:b/>
                <w:sz w:val="18"/>
              </w:rPr>
            </w:pPr>
          </w:p>
          <w:p>
            <w:pPr>
              <w:pStyle w:val="TableParagraph"/>
              <w:ind w:left="301"/>
              <w:rPr>
                <w:b/>
                <w:sz w:val="18"/>
              </w:rPr>
            </w:pPr>
            <w:r>
              <w:rPr>
                <w:b/>
                <w:spacing w:val="-2"/>
                <w:sz w:val="18"/>
              </w:rPr>
              <w:t>Indicador</w:t>
            </w:r>
          </w:p>
        </w:tc>
        <w:tc>
          <w:tcPr>
            <w:tcW w:w="1844" w:type="dxa"/>
            <w:shd w:val="clear" w:color="auto" w:fill="F1F1F1"/>
          </w:tcPr>
          <w:p>
            <w:pPr>
              <w:pStyle w:val="TableParagraph"/>
              <w:spacing w:before="181"/>
              <w:ind w:left="421" w:right="150" w:firstLine="57"/>
              <w:rPr>
                <w:b/>
                <w:sz w:val="18"/>
              </w:rPr>
            </w:pPr>
            <w:r>
              <w:rPr>
                <w:b/>
                <w:sz w:val="18"/>
              </w:rPr>
              <w:t>Medios de </w:t>
            </w:r>
            <w:r>
              <w:rPr>
                <w:b/>
                <w:spacing w:val="-2"/>
                <w:sz w:val="18"/>
              </w:rPr>
              <w:t>verificación</w:t>
            </w:r>
          </w:p>
        </w:tc>
        <w:tc>
          <w:tcPr>
            <w:tcW w:w="1277" w:type="dxa"/>
            <w:shd w:val="clear" w:color="auto" w:fill="F1F1F1"/>
          </w:tcPr>
          <w:p>
            <w:pPr>
              <w:pStyle w:val="TableParagraph"/>
              <w:spacing w:before="75"/>
              <w:rPr>
                <w:b/>
                <w:sz w:val="18"/>
              </w:rPr>
            </w:pPr>
          </w:p>
          <w:p>
            <w:pPr>
              <w:pStyle w:val="TableParagraph"/>
              <w:ind w:left="75"/>
              <w:rPr>
                <w:b/>
                <w:sz w:val="18"/>
              </w:rPr>
            </w:pPr>
            <w:r>
              <w:rPr>
                <w:b/>
                <w:spacing w:val="-2"/>
                <w:sz w:val="18"/>
              </w:rPr>
              <w:t>Responsable</w:t>
            </w:r>
          </w:p>
        </w:tc>
        <w:tc>
          <w:tcPr>
            <w:tcW w:w="1837" w:type="dxa"/>
            <w:shd w:val="clear" w:color="auto" w:fill="F1F1F1"/>
          </w:tcPr>
          <w:p>
            <w:pPr>
              <w:pStyle w:val="TableParagraph"/>
              <w:spacing w:before="181"/>
              <w:ind w:left="522" w:hanging="149"/>
              <w:rPr>
                <w:b/>
                <w:sz w:val="18"/>
              </w:rPr>
            </w:pPr>
            <w:r>
              <w:rPr>
                <w:b/>
                <w:spacing w:val="-2"/>
                <w:sz w:val="18"/>
              </w:rPr>
              <w:t>Presupuesto asignado</w:t>
            </w:r>
          </w:p>
        </w:tc>
        <w:tc>
          <w:tcPr>
            <w:tcW w:w="2697" w:type="dxa"/>
            <w:tcBorders>
              <w:bottom w:val="nil"/>
            </w:tcBorders>
            <w:shd w:val="clear" w:color="auto" w:fill="F1F1F1"/>
          </w:tcPr>
          <w:p>
            <w:pPr>
              <w:pStyle w:val="TableParagraph"/>
              <w:spacing w:before="75"/>
              <w:rPr>
                <w:b/>
                <w:sz w:val="18"/>
              </w:rPr>
            </w:pPr>
          </w:p>
          <w:p>
            <w:pPr>
              <w:pStyle w:val="TableParagraph"/>
              <w:ind w:left="591"/>
              <w:rPr>
                <w:b/>
                <w:sz w:val="18"/>
              </w:rPr>
            </w:pPr>
            <w:r>
              <w:rPr>
                <w:b/>
                <w:sz w:val="18"/>
              </w:rPr>
              <w:t>Riesgo</w:t>
            </w:r>
            <w:r>
              <w:rPr>
                <w:b/>
                <w:spacing w:val="-4"/>
                <w:sz w:val="18"/>
              </w:rPr>
              <w:t> </w:t>
            </w:r>
            <w:r>
              <w:rPr>
                <w:b/>
                <w:spacing w:val="-2"/>
                <w:sz w:val="18"/>
              </w:rPr>
              <w:t>Vinculado</w:t>
            </w:r>
          </w:p>
        </w:tc>
      </w:tr>
      <w:tr>
        <w:trPr>
          <w:trHeight w:val="2275" w:hRule="atLeast"/>
        </w:trPr>
        <w:tc>
          <w:tcPr>
            <w:tcW w:w="2545" w:type="dxa"/>
          </w:tcPr>
          <w:p>
            <w:pPr>
              <w:pStyle w:val="TableParagraph"/>
              <w:rPr>
                <w:b/>
                <w:sz w:val="18"/>
              </w:rPr>
            </w:pPr>
          </w:p>
          <w:p>
            <w:pPr>
              <w:pStyle w:val="TableParagraph"/>
              <w:spacing w:before="204"/>
              <w:rPr>
                <w:b/>
                <w:sz w:val="18"/>
              </w:rPr>
            </w:pPr>
          </w:p>
          <w:p>
            <w:pPr>
              <w:pStyle w:val="TableParagraph"/>
              <w:ind w:left="72"/>
              <w:rPr>
                <w:sz w:val="18"/>
              </w:rPr>
            </w:pPr>
            <w:r>
              <w:rPr>
                <w:b/>
                <w:sz w:val="18"/>
              </w:rPr>
              <w:t>Actividad PAC 2.50.2: </w:t>
            </w:r>
            <w:r>
              <w:rPr>
                <w:sz w:val="18"/>
              </w:rPr>
              <w:t>Coordinar con las organizaciones</w:t>
            </w:r>
            <w:r>
              <w:rPr>
                <w:spacing w:val="-15"/>
                <w:sz w:val="18"/>
              </w:rPr>
              <w:t> </w:t>
            </w:r>
            <w:r>
              <w:rPr>
                <w:sz w:val="18"/>
              </w:rPr>
              <w:t>sociales,</w:t>
            </w:r>
            <w:r>
              <w:rPr>
                <w:spacing w:val="-12"/>
                <w:sz w:val="18"/>
              </w:rPr>
              <w:t> </w:t>
            </w:r>
            <w:r>
              <w:rPr>
                <w:sz w:val="18"/>
              </w:rPr>
              <w:t>el retiro de las donaciones </w:t>
            </w:r>
            <w:r>
              <w:rPr>
                <w:spacing w:val="-2"/>
                <w:sz w:val="18"/>
              </w:rPr>
              <w:t>aprobadas.</w:t>
            </w:r>
          </w:p>
        </w:tc>
        <w:tc>
          <w:tcPr>
            <w:tcW w:w="1282"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0" w:right="11"/>
              <w:jc w:val="center"/>
              <w:rPr>
                <w:sz w:val="18"/>
              </w:rPr>
            </w:pPr>
            <w:r>
              <w:rPr>
                <w:spacing w:val="-5"/>
                <w:sz w:val="18"/>
              </w:rPr>
              <w:t>247</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96" w:right="96"/>
              <w:jc w:val="center"/>
              <w:rPr>
                <w:sz w:val="18"/>
              </w:rPr>
            </w:pPr>
            <w:r>
              <w:rPr>
                <w:spacing w:val="-5"/>
                <w:sz w:val="18"/>
              </w:rPr>
              <w:t>225</w:t>
            </w:r>
          </w:p>
        </w:tc>
        <w:tc>
          <w:tcPr>
            <w:tcW w:w="1417" w:type="dxa"/>
          </w:tcPr>
          <w:p>
            <w:pPr>
              <w:pStyle w:val="TableParagraph"/>
              <w:ind w:left="71" w:right="69"/>
              <w:rPr>
                <w:sz w:val="18"/>
              </w:rPr>
            </w:pPr>
            <w:r>
              <w:rPr>
                <w:sz w:val="18"/>
              </w:rPr>
              <w:t>Cantidad de </w:t>
            </w:r>
            <w:r>
              <w:rPr>
                <w:spacing w:val="-2"/>
                <w:sz w:val="18"/>
              </w:rPr>
              <w:t>organizaciones </w:t>
            </w:r>
            <w:r>
              <w:rPr>
                <w:sz w:val="18"/>
              </w:rPr>
              <w:t>sociales con </w:t>
            </w:r>
            <w:r>
              <w:rPr>
                <w:spacing w:val="-2"/>
                <w:sz w:val="18"/>
              </w:rPr>
              <w:t>donaciones </w:t>
            </w:r>
            <w:r>
              <w:rPr>
                <w:sz w:val="18"/>
              </w:rPr>
              <w:t>recibidas, en </w:t>
            </w:r>
            <w:r>
              <w:rPr>
                <w:spacing w:val="-2"/>
                <w:sz w:val="18"/>
              </w:rPr>
              <w:t>coordinación </w:t>
            </w:r>
            <w:r>
              <w:rPr>
                <w:sz w:val="18"/>
              </w:rPr>
              <w:t>con Programa de Bienestar y </w:t>
            </w:r>
            <w:r>
              <w:rPr>
                <w:spacing w:val="-2"/>
                <w:sz w:val="18"/>
              </w:rPr>
              <w:t>Promoción</w:t>
            </w:r>
          </w:p>
          <w:p>
            <w:pPr>
              <w:pStyle w:val="TableParagraph"/>
              <w:spacing w:line="206" w:lineRule="exact"/>
              <w:ind w:left="71"/>
              <w:rPr>
                <w:sz w:val="18"/>
              </w:rPr>
            </w:pPr>
            <w:r>
              <w:rPr>
                <w:sz w:val="18"/>
              </w:rPr>
              <w:t>social</w:t>
            </w:r>
            <w:r>
              <w:rPr>
                <w:spacing w:val="-15"/>
                <w:sz w:val="18"/>
              </w:rPr>
              <w:t> </w:t>
            </w:r>
            <w:r>
              <w:rPr>
                <w:sz w:val="18"/>
              </w:rPr>
              <w:t>y</w:t>
            </w:r>
            <w:r>
              <w:rPr>
                <w:spacing w:val="-12"/>
                <w:sz w:val="18"/>
              </w:rPr>
              <w:t> </w:t>
            </w:r>
            <w:r>
              <w:rPr>
                <w:sz w:val="18"/>
              </w:rPr>
              <w:t>otros entes afines</w:t>
            </w:r>
          </w:p>
        </w:tc>
        <w:tc>
          <w:tcPr>
            <w:tcW w:w="1844" w:type="dxa"/>
          </w:tcPr>
          <w:p>
            <w:pPr>
              <w:pStyle w:val="TableParagraph"/>
              <w:rPr>
                <w:b/>
                <w:sz w:val="18"/>
              </w:rPr>
            </w:pPr>
          </w:p>
          <w:p>
            <w:pPr>
              <w:pStyle w:val="TableParagraph"/>
              <w:spacing w:before="204"/>
              <w:rPr>
                <w:b/>
                <w:sz w:val="18"/>
              </w:rPr>
            </w:pPr>
          </w:p>
          <w:p>
            <w:pPr>
              <w:pStyle w:val="TableParagraph"/>
              <w:ind w:left="70" w:right="150"/>
              <w:rPr>
                <w:sz w:val="18"/>
              </w:rPr>
            </w:pPr>
            <w:r>
              <w:rPr>
                <w:spacing w:val="-2"/>
                <w:sz w:val="18"/>
              </w:rPr>
              <w:t>Donaciones </w:t>
            </w:r>
            <w:r>
              <w:rPr>
                <w:sz w:val="18"/>
              </w:rPr>
              <w:t>gestionadas y entregadas a </w:t>
            </w:r>
            <w:r>
              <w:rPr>
                <w:spacing w:val="-2"/>
                <w:sz w:val="18"/>
              </w:rPr>
              <w:t>Organizaciones Sociales</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5"/>
              <w:rPr>
                <w:sz w:val="18"/>
              </w:rPr>
            </w:pPr>
            <w:r>
              <w:rPr>
                <w:spacing w:val="-2"/>
                <w:sz w:val="18"/>
              </w:rPr>
              <w:t>Unidad Donaciones</w:t>
            </w:r>
          </w:p>
        </w:tc>
        <w:tc>
          <w:tcPr>
            <w:tcW w:w="1837" w:type="dxa"/>
          </w:tcPr>
          <w:p>
            <w:pPr>
              <w:pStyle w:val="TableParagraph"/>
              <w:rPr>
                <w:rFonts w:ascii="Times New Roman"/>
                <w:sz w:val="18"/>
              </w:rPr>
            </w:pPr>
          </w:p>
        </w:tc>
        <w:tc>
          <w:tcPr>
            <w:tcW w:w="2697" w:type="dxa"/>
            <w:tcBorders>
              <w:top w:val="nil"/>
            </w:tcBorders>
          </w:tcPr>
          <w:p>
            <w:pPr>
              <w:pStyle w:val="TableParagraph"/>
              <w:rPr>
                <w:rFonts w:ascii="Times New Roman"/>
                <w:sz w:val="18"/>
              </w:rPr>
            </w:pPr>
          </w:p>
        </w:tc>
      </w:tr>
      <w:tr>
        <w:trPr>
          <w:trHeight w:val="451" w:hRule="atLeast"/>
        </w:trPr>
        <w:tc>
          <w:tcPr>
            <w:tcW w:w="14460" w:type="dxa"/>
            <w:gridSpan w:val="8"/>
            <w:shd w:val="clear" w:color="auto" w:fill="EFF8F9"/>
          </w:tcPr>
          <w:p>
            <w:pPr>
              <w:pStyle w:val="TableParagraph"/>
              <w:spacing w:before="119"/>
              <w:ind w:left="72"/>
              <w:rPr>
                <w:b/>
                <w:sz w:val="18"/>
              </w:rPr>
            </w:pPr>
            <w:r>
              <w:rPr>
                <w:b/>
                <w:sz w:val="18"/>
              </w:rPr>
              <w:t>Producto</w:t>
            </w:r>
            <w:r>
              <w:rPr>
                <w:b/>
                <w:spacing w:val="-9"/>
                <w:sz w:val="18"/>
              </w:rPr>
              <w:t> </w:t>
            </w:r>
            <w:r>
              <w:rPr>
                <w:b/>
                <w:sz w:val="18"/>
              </w:rPr>
              <w:t>2.51</w:t>
            </w:r>
            <w:r>
              <w:rPr>
                <w:b/>
                <w:spacing w:val="-8"/>
                <w:sz w:val="18"/>
              </w:rPr>
              <w:t> </w:t>
            </w:r>
            <w:r>
              <w:rPr>
                <w:b/>
                <w:sz w:val="18"/>
              </w:rPr>
              <w:t>PAC:</w:t>
            </w:r>
            <w:r>
              <w:rPr>
                <w:b/>
                <w:spacing w:val="-6"/>
                <w:sz w:val="18"/>
              </w:rPr>
              <w:t> </w:t>
            </w:r>
            <w:r>
              <w:rPr>
                <w:b/>
                <w:sz w:val="18"/>
              </w:rPr>
              <w:t>Proyectos</w:t>
            </w:r>
            <w:r>
              <w:rPr>
                <w:b/>
                <w:spacing w:val="-8"/>
                <w:sz w:val="18"/>
              </w:rPr>
              <w:t> </w:t>
            </w:r>
            <w:r>
              <w:rPr>
                <w:b/>
                <w:sz w:val="18"/>
              </w:rPr>
              <w:t>de</w:t>
            </w:r>
            <w:r>
              <w:rPr>
                <w:b/>
                <w:spacing w:val="-8"/>
                <w:sz w:val="18"/>
              </w:rPr>
              <w:t> </w:t>
            </w:r>
            <w:r>
              <w:rPr>
                <w:b/>
                <w:sz w:val="18"/>
              </w:rPr>
              <w:t>organizaciones</w:t>
            </w:r>
            <w:r>
              <w:rPr>
                <w:b/>
                <w:spacing w:val="-4"/>
                <w:sz w:val="18"/>
              </w:rPr>
              <w:t> </w:t>
            </w:r>
            <w:r>
              <w:rPr>
                <w:b/>
                <w:sz w:val="18"/>
              </w:rPr>
              <w:t>sociales</w:t>
            </w:r>
            <w:r>
              <w:rPr>
                <w:b/>
                <w:spacing w:val="-5"/>
                <w:sz w:val="18"/>
              </w:rPr>
              <w:t> </w:t>
            </w:r>
            <w:r>
              <w:rPr>
                <w:b/>
                <w:sz w:val="18"/>
              </w:rPr>
              <w:t>identificados</w:t>
            </w:r>
            <w:r>
              <w:rPr>
                <w:b/>
                <w:spacing w:val="-8"/>
                <w:sz w:val="18"/>
              </w:rPr>
              <w:t> </w:t>
            </w:r>
            <w:r>
              <w:rPr>
                <w:b/>
                <w:sz w:val="18"/>
              </w:rPr>
              <w:t>por</w:t>
            </w:r>
            <w:r>
              <w:rPr>
                <w:b/>
                <w:spacing w:val="-2"/>
                <w:sz w:val="18"/>
              </w:rPr>
              <w:t> </w:t>
            </w:r>
            <w:r>
              <w:rPr>
                <w:b/>
                <w:sz w:val="18"/>
              </w:rPr>
              <w:t>el</w:t>
            </w:r>
            <w:r>
              <w:rPr>
                <w:b/>
                <w:spacing w:val="-6"/>
                <w:sz w:val="18"/>
              </w:rPr>
              <w:t> </w:t>
            </w:r>
            <w:r>
              <w:rPr>
                <w:b/>
                <w:sz w:val="18"/>
              </w:rPr>
              <w:t>IMAS</w:t>
            </w:r>
            <w:r>
              <w:rPr>
                <w:b/>
                <w:spacing w:val="-9"/>
                <w:sz w:val="18"/>
              </w:rPr>
              <w:t> </w:t>
            </w:r>
            <w:r>
              <w:rPr>
                <w:b/>
                <w:sz w:val="18"/>
              </w:rPr>
              <w:t>vinculados</w:t>
            </w:r>
            <w:r>
              <w:rPr>
                <w:b/>
                <w:spacing w:val="-5"/>
                <w:sz w:val="18"/>
              </w:rPr>
              <w:t> </w:t>
            </w:r>
            <w:r>
              <w:rPr>
                <w:b/>
                <w:sz w:val="18"/>
              </w:rPr>
              <w:t>con</w:t>
            </w:r>
            <w:r>
              <w:rPr>
                <w:b/>
                <w:spacing w:val="-12"/>
                <w:sz w:val="18"/>
              </w:rPr>
              <w:t> </w:t>
            </w:r>
            <w:r>
              <w:rPr>
                <w:b/>
                <w:sz w:val="18"/>
              </w:rPr>
              <w:t>iniciativas</w:t>
            </w:r>
            <w:r>
              <w:rPr>
                <w:b/>
                <w:spacing w:val="-5"/>
                <w:sz w:val="18"/>
              </w:rPr>
              <w:t> </w:t>
            </w:r>
            <w:r>
              <w:rPr>
                <w:b/>
                <w:sz w:val="18"/>
              </w:rPr>
              <w:t>de</w:t>
            </w:r>
            <w:r>
              <w:rPr>
                <w:b/>
                <w:spacing w:val="-8"/>
                <w:sz w:val="18"/>
              </w:rPr>
              <w:t> </w:t>
            </w:r>
            <w:r>
              <w:rPr>
                <w:b/>
                <w:sz w:val="18"/>
              </w:rPr>
              <w:t>responsabilidad</w:t>
            </w:r>
            <w:r>
              <w:rPr>
                <w:b/>
                <w:spacing w:val="-9"/>
                <w:sz w:val="18"/>
              </w:rPr>
              <w:t> </w:t>
            </w:r>
            <w:r>
              <w:rPr>
                <w:b/>
                <w:sz w:val="18"/>
              </w:rPr>
              <w:t>social</w:t>
            </w:r>
            <w:r>
              <w:rPr>
                <w:b/>
                <w:spacing w:val="-1"/>
                <w:sz w:val="18"/>
              </w:rPr>
              <w:t> </w:t>
            </w:r>
            <w:r>
              <w:rPr>
                <w:b/>
                <w:spacing w:val="-2"/>
                <w:sz w:val="18"/>
              </w:rPr>
              <w:t>empresarial.</w:t>
            </w:r>
          </w:p>
        </w:tc>
      </w:tr>
      <w:tr>
        <w:trPr>
          <w:trHeight w:val="2068" w:hRule="atLeast"/>
        </w:trPr>
        <w:tc>
          <w:tcPr>
            <w:tcW w:w="2545" w:type="dxa"/>
          </w:tcPr>
          <w:p>
            <w:pPr>
              <w:pStyle w:val="TableParagraph"/>
              <w:ind w:left="72" w:right="93"/>
              <w:rPr>
                <w:sz w:val="18"/>
              </w:rPr>
            </w:pPr>
            <w:r>
              <w:rPr>
                <w:b/>
                <w:sz w:val="18"/>
              </w:rPr>
              <w:t>Actividad PAC 2.51.1: </w:t>
            </w:r>
            <w:r>
              <w:rPr>
                <w:sz w:val="18"/>
              </w:rPr>
              <w:t>Realizar la identificación y contacto de empresas o entidades con programas de responsabilidad social con potencial</w:t>
            </w:r>
            <w:r>
              <w:rPr>
                <w:spacing w:val="-13"/>
                <w:sz w:val="18"/>
              </w:rPr>
              <w:t> </w:t>
            </w:r>
            <w:r>
              <w:rPr>
                <w:sz w:val="18"/>
              </w:rPr>
              <w:t>para</w:t>
            </w:r>
            <w:r>
              <w:rPr>
                <w:spacing w:val="-11"/>
                <w:sz w:val="18"/>
              </w:rPr>
              <w:t> </w:t>
            </w:r>
            <w:r>
              <w:rPr>
                <w:sz w:val="18"/>
              </w:rPr>
              <w:t>ser</w:t>
            </w:r>
            <w:r>
              <w:rPr>
                <w:spacing w:val="-9"/>
                <w:sz w:val="18"/>
              </w:rPr>
              <w:t> </w:t>
            </w:r>
            <w:r>
              <w:rPr>
                <w:sz w:val="18"/>
              </w:rPr>
              <w:t>vinculadas a proyectos de organizaciones sociales sujetas del accionar</w:t>
            </w:r>
          </w:p>
          <w:p>
            <w:pPr>
              <w:pStyle w:val="TableParagraph"/>
              <w:spacing w:line="187" w:lineRule="exact"/>
              <w:ind w:left="72"/>
              <w:rPr>
                <w:sz w:val="18"/>
              </w:rPr>
            </w:pPr>
            <w:r>
              <w:rPr>
                <w:spacing w:val="-2"/>
                <w:sz w:val="18"/>
              </w:rPr>
              <w:t>institucional.</w:t>
            </w:r>
          </w:p>
        </w:tc>
        <w:tc>
          <w:tcPr>
            <w:tcW w:w="128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0" w:right="11"/>
              <w:jc w:val="center"/>
              <w:rPr>
                <w:sz w:val="18"/>
              </w:rPr>
            </w:pPr>
            <w:r>
              <w:rPr>
                <w:spacing w:val="-10"/>
                <w:sz w:val="18"/>
              </w:rPr>
              <w:t>2</w:t>
            </w: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96" w:right="93"/>
              <w:jc w:val="center"/>
              <w:rPr>
                <w:sz w:val="18"/>
              </w:rPr>
            </w:pPr>
            <w:r>
              <w:rPr>
                <w:spacing w:val="-5"/>
                <w:sz w:val="18"/>
              </w:rPr>
              <w:t>12</w:t>
            </w:r>
          </w:p>
        </w:tc>
        <w:tc>
          <w:tcPr>
            <w:tcW w:w="141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1" w:right="330"/>
              <w:rPr>
                <w:sz w:val="18"/>
              </w:rPr>
            </w:pPr>
            <w:r>
              <w:rPr>
                <w:sz w:val="18"/>
              </w:rPr>
              <w:t>Cantidad</w:t>
            </w:r>
            <w:r>
              <w:rPr>
                <w:spacing w:val="-13"/>
                <w:sz w:val="18"/>
              </w:rPr>
              <w:t> </w:t>
            </w:r>
            <w:r>
              <w:rPr>
                <w:sz w:val="18"/>
              </w:rPr>
              <w:t>de </w:t>
            </w:r>
            <w:r>
              <w:rPr>
                <w:spacing w:val="-2"/>
                <w:sz w:val="18"/>
              </w:rPr>
              <w:t>Empresas contactadas</w:t>
            </w:r>
          </w:p>
        </w:tc>
        <w:tc>
          <w:tcPr>
            <w:tcW w:w="184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0" w:right="170"/>
              <w:rPr>
                <w:sz w:val="18"/>
              </w:rPr>
            </w:pPr>
            <w:r>
              <w:rPr>
                <w:sz w:val="18"/>
              </w:rPr>
              <w:t>Documentación</w:t>
            </w:r>
            <w:r>
              <w:rPr>
                <w:spacing w:val="-13"/>
                <w:sz w:val="18"/>
              </w:rPr>
              <w:t> </w:t>
            </w:r>
            <w:r>
              <w:rPr>
                <w:sz w:val="18"/>
              </w:rPr>
              <w:t>de </w:t>
            </w:r>
            <w:r>
              <w:rPr>
                <w:spacing w:val="-2"/>
                <w:sz w:val="18"/>
              </w:rPr>
              <w:t>contactos efectuados</w:t>
            </w:r>
          </w:p>
        </w:tc>
        <w:tc>
          <w:tcPr>
            <w:tcW w:w="1277" w:type="dxa"/>
          </w:tcPr>
          <w:p>
            <w:pPr>
              <w:pStyle w:val="TableParagraph"/>
              <w:rPr>
                <w:b/>
                <w:sz w:val="18"/>
              </w:rPr>
            </w:pPr>
          </w:p>
          <w:p>
            <w:pPr>
              <w:pStyle w:val="TableParagraph"/>
              <w:spacing w:before="204"/>
              <w:rPr>
                <w:b/>
                <w:sz w:val="18"/>
              </w:rPr>
            </w:pPr>
          </w:p>
          <w:p>
            <w:pPr>
              <w:pStyle w:val="TableParagraph"/>
              <w:spacing w:line="242" w:lineRule="auto"/>
              <w:ind w:left="65" w:right="139"/>
              <w:rPr>
                <w:sz w:val="18"/>
              </w:rPr>
            </w:pPr>
            <w:r>
              <w:rPr>
                <w:spacing w:val="-2"/>
                <w:sz w:val="18"/>
              </w:rPr>
              <w:t>Unidad Donaciones </w:t>
            </w:r>
            <w:r>
              <w:rPr>
                <w:sz w:val="18"/>
              </w:rPr>
              <w:t>(con apoyo de DCR)</w:t>
            </w:r>
          </w:p>
        </w:tc>
        <w:tc>
          <w:tcPr>
            <w:tcW w:w="1837" w:type="dxa"/>
          </w:tcPr>
          <w:p>
            <w:pPr>
              <w:pStyle w:val="TableParagraph"/>
              <w:rPr>
                <w:rFonts w:ascii="Times New Roman"/>
                <w:sz w:val="18"/>
              </w:rPr>
            </w:pPr>
          </w:p>
        </w:tc>
        <w:tc>
          <w:tcPr>
            <w:tcW w:w="2697"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72"/>
              <w:rPr>
                <w:sz w:val="18"/>
              </w:rPr>
            </w:pPr>
            <w:r>
              <w:rPr>
                <w:sz w:val="18"/>
              </w:rPr>
              <w:t>Evento:</w:t>
            </w:r>
            <w:r>
              <w:rPr>
                <w:spacing w:val="80"/>
                <w:sz w:val="18"/>
              </w:rPr>
              <w:t> </w:t>
            </w:r>
            <w:r>
              <w:rPr>
                <w:sz w:val="18"/>
              </w:rPr>
              <w:t>Empresas no se identifiquen</w:t>
            </w:r>
            <w:r>
              <w:rPr>
                <w:spacing w:val="-9"/>
                <w:sz w:val="18"/>
              </w:rPr>
              <w:t> </w:t>
            </w:r>
            <w:r>
              <w:rPr>
                <w:sz w:val="18"/>
              </w:rPr>
              <w:t>con</w:t>
            </w:r>
            <w:r>
              <w:rPr>
                <w:spacing w:val="-9"/>
                <w:sz w:val="18"/>
              </w:rPr>
              <w:t> </w:t>
            </w:r>
            <w:r>
              <w:rPr>
                <w:sz w:val="18"/>
              </w:rPr>
              <w:t>los</w:t>
            </w:r>
            <w:r>
              <w:rPr>
                <w:spacing w:val="-9"/>
                <w:sz w:val="18"/>
              </w:rPr>
              <w:t> </w:t>
            </w:r>
            <w:r>
              <w:rPr>
                <w:sz w:val="18"/>
              </w:rPr>
              <w:t>objetivos</w:t>
            </w:r>
            <w:r>
              <w:rPr>
                <w:spacing w:val="-5"/>
                <w:sz w:val="18"/>
              </w:rPr>
              <w:t> </w:t>
            </w:r>
            <w:r>
              <w:rPr>
                <w:sz w:val="18"/>
              </w:rPr>
              <w:t>de la Institución.</w:t>
            </w:r>
          </w:p>
        </w:tc>
      </w:tr>
      <w:tr>
        <w:trPr>
          <w:trHeight w:val="1243" w:hRule="atLeast"/>
        </w:trPr>
        <w:tc>
          <w:tcPr>
            <w:tcW w:w="2545" w:type="dxa"/>
          </w:tcPr>
          <w:p>
            <w:pPr>
              <w:pStyle w:val="TableParagraph"/>
              <w:ind w:left="72"/>
              <w:rPr>
                <w:sz w:val="18"/>
              </w:rPr>
            </w:pPr>
            <w:r>
              <w:rPr>
                <w:b/>
                <w:sz w:val="18"/>
              </w:rPr>
              <w:t>Actividad PAC 2.51.2: </w:t>
            </w:r>
            <w:r>
              <w:rPr>
                <w:sz w:val="18"/>
              </w:rPr>
              <w:t>Vincular los proyectos de Organizaciones</w:t>
            </w:r>
            <w:r>
              <w:rPr>
                <w:spacing w:val="-15"/>
                <w:sz w:val="18"/>
              </w:rPr>
              <w:t> </w:t>
            </w:r>
            <w:r>
              <w:rPr>
                <w:sz w:val="18"/>
              </w:rPr>
              <w:t>sociales</w:t>
            </w:r>
            <w:r>
              <w:rPr>
                <w:spacing w:val="-12"/>
                <w:sz w:val="18"/>
              </w:rPr>
              <w:t> </w:t>
            </w:r>
            <w:r>
              <w:rPr>
                <w:sz w:val="18"/>
              </w:rPr>
              <w:t>con empresas</w:t>
            </w:r>
            <w:r>
              <w:rPr>
                <w:spacing w:val="-13"/>
                <w:sz w:val="18"/>
              </w:rPr>
              <w:t> </w:t>
            </w:r>
            <w:r>
              <w:rPr>
                <w:sz w:val="18"/>
              </w:rPr>
              <w:t>con</w:t>
            </w:r>
            <w:r>
              <w:rPr>
                <w:spacing w:val="-9"/>
                <w:sz w:val="18"/>
              </w:rPr>
              <w:t> </w:t>
            </w:r>
            <w:r>
              <w:rPr>
                <w:sz w:val="18"/>
              </w:rPr>
              <w:t>programas</w:t>
            </w:r>
            <w:r>
              <w:rPr>
                <w:spacing w:val="-13"/>
                <w:sz w:val="18"/>
              </w:rPr>
              <w:t> </w:t>
            </w:r>
            <w:r>
              <w:rPr>
                <w:sz w:val="18"/>
              </w:rPr>
              <w:t>de Responsabilidad Social</w:t>
            </w:r>
          </w:p>
          <w:p>
            <w:pPr>
              <w:pStyle w:val="TableParagraph"/>
              <w:spacing w:line="187" w:lineRule="exact" w:before="1"/>
              <w:ind w:left="72"/>
              <w:rPr>
                <w:sz w:val="18"/>
              </w:rPr>
            </w:pPr>
            <w:r>
              <w:rPr>
                <w:spacing w:val="-2"/>
                <w:sz w:val="18"/>
              </w:rPr>
              <w:t>empresarial.</w:t>
            </w:r>
          </w:p>
        </w:tc>
        <w:tc>
          <w:tcPr>
            <w:tcW w:w="1282" w:type="dxa"/>
          </w:tcPr>
          <w:p>
            <w:pPr>
              <w:pStyle w:val="TableParagraph"/>
              <w:rPr>
                <w:b/>
                <w:sz w:val="18"/>
              </w:rPr>
            </w:pPr>
          </w:p>
          <w:p>
            <w:pPr>
              <w:pStyle w:val="TableParagraph"/>
              <w:spacing w:before="103"/>
              <w:rPr>
                <w:b/>
                <w:sz w:val="18"/>
              </w:rPr>
            </w:pPr>
          </w:p>
          <w:p>
            <w:pPr>
              <w:pStyle w:val="TableParagraph"/>
              <w:ind w:left="20" w:right="11"/>
              <w:jc w:val="center"/>
              <w:rPr>
                <w:sz w:val="18"/>
              </w:rPr>
            </w:pPr>
            <w:r>
              <w:rPr>
                <w:spacing w:val="-10"/>
                <w:sz w:val="18"/>
              </w:rPr>
              <w:t>2</w:t>
            </w:r>
          </w:p>
        </w:tc>
        <w:tc>
          <w:tcPr>
            <w:tcW w:w="1561" w:type="dxa"/>
          </w:tcPr>
          <w:p>
            <w:pPr>
              <w:pStyle w:val="TableParagraph"/>
              <w:rPr>
                <w:b/>
                <w:sz w:val="18"/>
              </w:rPr>
            </w:pPr>
          </w:p>
          <w:p>
            <w:pPr>
              <w:pStyle w:val="TableParagraph"/>
              <w:spacing w:before="103"/>
              <w:rPr>
                <w:b/>
                <w:sz w:val="18"/>
              </w:rPr>
            </w:pPr>
          </w:p>
          <w:p>
            <w:pPr>
              <w:pStyle w:val="TableParagraph"/>
              <w:ind w:left="96" w:right="96"/>
              <w:jc w:val="center"/>
              <w:rPr>
                <w:sz w:val="18"/>
              </w:rPr>
            </w:pPr>
            <w:r>
              <w:rPr>
                <w:spacing w:val="-10"/>
                <w:sz w:val="18"/>
              </w:rPr>
              <w:t>4</w:t>
            </w:r>
          </w:p>
        </w:tc>
        <w:tc>
          <w:tcPr>
            <w:tcW w:w="1417" w:type="dxa"/>
          </w:tcPr>
          <w:p>
            <w:pPr>
              <w:pStyle w:val="TableParagraph"/>
              <w:spacing w:before="104"/>
              <w:rPr>
                <w:b/>
                <w:sz w:val="18"/>
              </w:rPr>
            </w:pPr>
          </w:p>
          <w:p>
            <w:pPr>
              <w:pStyle w:val="TableParagraph"/>
              <w:ind w:left="71" w:right="330"/>
              <w:rPr>
                <w:sz w:val="18"/>
              </w:rPr>
            </w:pPr>
            <w:r>
              <w:rPr>
                <w:sz w:val="18"/>
              </w:rPr>
              <w:t>Cantidad</w:t>
            </w:r>
            <w:r>
              <w:rPr>
                <w:spacing w:val="-13"/>
                <w:sz w:val="18"/>
              </w:rPr>
              <w:t> </w:t>
            </w:r>
            <w:r>
              <w:rPr>
                <w:sz w:val="18"/>
              </w:rPr>
              <w:t>de </w:t>
            </w:r>
            <w:r>
              <w:rPr>
                <w:spacing w:val="-2"/>
                <w:sz w:val="18"/>
              </w:rPr>
              <w:t>proyectos concretados</w:t>
            </w:r>
          </w:p>
        </w:tc>
        <w:tc>
          <w:tcPr>
            <w:tcW w:w="1844" w:type="dxa"/>
          </w:tcPr>
          <w:p>
            <w:pPr>
              <w:pStyle w:val="TableParagraph"/>
              <w:spacing w:before="104"/>
              <w:rPr>
                <w:b/>
                <w:sz w:val="18"/>
              </w:rPr>
            </w:pPr>
          </w:p>
          <w:p>
            <w:pPr>
              <w:pStyle w:val="TableParagraph"/>
              <w:ind w:left="70" w:right="150"/>
              <w:rPr>
                <w:sz w:val="18"/>
              </w:rPr>
            </w:pPr>
            <w:r>
              <w:rPr>
                <w:sz w:val="18"/>
              </w:rPr>
              <w:t>Confirmación</w:t>
            </w:r>
            <w:r>
              <w:rPr>
                <w:spacing w:val="-13"/>
                <w:sz w:val="18"/>
              </w:rPr>
              <w:t> </w:t>
            </w:r>
            <w:r>
              <w:rPr>
                <w:sz w:val="18"/>
              </w:rPr>
              <w:t>de realización de </w:t>
            </w:r>
            <w:r>
              <w:rPr>
                <w:spacing w:val="-2"/>
                <w:sz w:val="18"/>
              </w:rPr>
              <w:t>vinculaciones</w:t>
            </w:r>
          </w:p>
        </w:tc>
        <w:tc>
          <w:tcPr>
            <w:tcW w:w="1277" w:type="dxa"/>
          </w:tcPr>
          <w:p>
            <w:pPr>
              <w:pStyle w:val="TableParagraph"/>
              <w:spacing w:before="205"/>
              <w:rPr>
                <w:b/>
                <w:sz w:val="18"/>
              </w:rPr>
            </w:pPr>
          </w:p>
          <w:p>
            <w:pPr>
              <w:pStyle w:val="TableParagraph"/>
              <w:spacing w:line="244" w:lineRule="auto"/>
              <w:ind w:left="65"/>
              <w:rPr>
                <w:sz w:val="18"/>
              </w:rPr>
            </w:pPr>
            <w:r>
              <w:rPr>
                <w:spacing w:val="-2"/>
                <w:sz w:val="18"/>
              </w:rPr>
              <w:t>Unidad Donaciones</w:t>
            </w:r>
          </w:p>
        </w:tc>
        <w:tc>
          <w:tcPr>
            <w:tcW w:w="1837" w:type="dxa"/>
          </w:tcPr>
          <w:p>
            <w:pPr>
              <w:pStyle w:val="TableParagraph"/>
              <w:rPr>
                <w:rFonts w:ascii="Times New Roman"/>
                <w:sz w:val="18"/>
              </w:rPr>
            </w:pPr>
          </w:p>
        </w:tc>
        <w:tc>
          <w:tcPr>
            <w:tcW w:w="2697" w:type="dxa"/>
            <w:vMerge/>
            <w:tcBorders>
              <w:top w:val="nil"/>
            </w:tcBorders>
          </w:tcPr>
          <w:p>
            <w:pPr>
              <w:rPr>
                <w:sz w:val="2"/>
                <w:szCs w:val="2"/>
              </w:rPr>
            </w:pPr>
          </w:p>
        </w:tc>
      </w:tr>
      <w:tr>
        <w:trPr>
          <w:trHeight w:val="374" w:hRule="atLeast"/>
        </w:trPr>
        <w:tc>
          <w:tcPr>
            <w:tcW w:w="14460" w:type="dxa"/>
            <w:gridSpan w:val="8"/>
            <w:shd w:val="clear" w:color="auto" w:fill="EFF8F9"/>
          </w:tcPr>
          <w:p>
            <w:pPr>
              <w:pStyle w:val="TableParagraph"/>
              <w:spacing w:before="81"/>
              <w:ind w:left="72"/>
              <w:rPr>
                <w:b/>
                <w:sz w:val="18"/>
              </w:rPr>
            </w:pPr>
            <w:r>
              <w:rPr>
                <w:b/>
                <w:sz w:val="18"/>
              </w:rPr>
              <w:t>Producto</w:t>
            </w:r>
            <w:r>
              <w:rPr>
                <w:b/>
                <w:spacing w:val="-7"/>
                <w:sz w:val="18"/>
              </w:rPr>
              <w:t> </w:t>
            </w:r>
            <w:r>
              <w:rPr>
                <w:b/>
                <w:sz w:val="18"/>
              </w:rPr>
              <w:t>2.52</w:t>
            </w:r>
            <w:r>
              <w:rPr>
                <w:b/>
                <w:spacing w:val="-4"/>
                <w:sz w:val="18"/>
              </w:rPr>
              <w:t> </w:t>
            </w:r>
            <w:r>
              <w:rPr>
                <w:b/>
                <w:sz w:val="18"/>
              </w:rPr>
              <w:t>PAC:</w:t>
            </w:r>
            <w:r>
              <w:rPr>
                <w:b/>
                <w:spacing w:val="42"/>
                <w:sz w:val="18"/>
              </w:rPr>
              <w:t> </w:t>
            </w:r>
            <w:r>
              <w:rPr>
                <w:b/>
                <w:sz w:val="18"/>
              </w:rPr>
              <w:t>Gestiones</w:t>
            </w:r>
            <w:r>
              <w:rPr>
                <w:b/>
                <w:spacing w:val="-5"/>
                <w:sz w:val="18"/>
              </w:rPr>
              <w:t> </w:t>
            </w:r>
            <w:r>
              <w:rPr>
                <w:b/>
                <w:sz w:val="18"/>
              </w:rPr>
              <w:t>operativas</w:t>
            </w:r>
            <w:r>
              <w:rPr>
                <w:b/>
                <w:spacing w:val="-5"/>
                <w:sz w:val="18"/>
              </w:rPr>
              <w:t> </w:t>
            </w:r>
            <w:r>
              <w:rPr>
                <w:b/>
                <w:sz w:val="18"/>
              </w:rPr>
              <w:t>de</w:t>
            </w:r>
            <w:r>
              <w:rPr>
                <w:b/>
                <w:spacing w:val="-2"/>
                <w:sz w:val="18"/>
              </w:rPr>
              <w:t> Donaciones</w:t>
            </w:r>
          </w:p>
        </w:tc>
      </w:tr>
      <w:tr>
        <w:trPr>
          <w:trHeight w:val="1036" w:hRule="atLeast"/>
        </w:trPr>
        <w:tc>
          <w:tcPr>
            <w:tcW w:w="2545" w:type="dxa"/>
          </w:tcPr>
          <w:p>
            <w:pPr>
              <w:pStyle w:val="TableParagraph"/>
              <w:spacing w:line="242" w:lineRule="auto" w:before="205"/>
              <w:ind w:left="72"/>
              <w:rPr>
                <w:sz w:val="18"/>
              </w:rPr>
            </w:pPr>
            <w:r>
              <w:rPr>
                <w:b/>
                <w:sz w:val="18"/>
              </w:rPr>
              <w:t>Actividad PAC 2.52.1: </w:t>
            </w:r>
            <w:r>
              <w:rPr>
                <w:sz w:val="18"/>
              </w:rPr>
              <w:t>Realizar</w:t>
            </w:r>
            <w:r>
              <w:rPr>
                <w:spacing w:val="-9"/>
                <w:sz w:val="18"/>
              </w:rPr>
              <w:t> </w:t>
            </w:r>
            <w:r>
              <w:rPr>
                <w:sz w:val="18"/>
              </w:rPr>
              <w:t>la</w:t>
            </w:r>
            <w:r>
              <w:rPr>
                <w:spacing w:val="-13"/>
                <w:sz w:val="18"/>
              </w:rPr>
              <w:t> </w:t>
            </w:r>
            <w:r>
              <w:rPr>
                <w:sz w:val="18"/>
              </w:rPr>
              <w:t>supervisión</w:t>
            </w:r>
            <w:r>
              <w:rPr>
                <w:spacing w:val="-12"/>
                <w:sz w:val="18"/>
              </w:rPr>
              <w:t> </w:t>
            </w:r>
            <w:r>
              <w:rPr>
                <w:sz w:val="18"/>
              </w:rPr>
              <w:t>de donaciones otorgadas.</w:t>
            </w:r>
          </w:p>
        </w:tc>
        <w:tc>
          <w:tcPr>
            <w:tcW w:w="1282" w:type="dxa"/>
          </w:tcPr>
          <w:p>
            <w:pPr>
              <w:pStyle w:val="TableParagraph"/>
              <w:spacing w:before="204"/>
              <w:rPr>
                <w:b/>
                <w:sz w:val="18"/>
              </w:rPr>
            </w:pPr>
          </w:p>
          <w:p>
            <w:pPr>
              <w:pStyle w:val="TableParagraph"/>
              <w:ind w:left="20" w:right="16"/>
              <w:jc w:val="center"/>
              <w:rPr>
                <w:sz w:val="18"/>
              </w:rPr>
            </w:pPr>
            <w:r>
              <w:rPr>
                <w:spacing w:val="-5"/>
                <w:sz w:val="18"/>
              </w:rPr>
              <w:t>ND</w:t>
            </w:r>
          </w:p>
        </w:tc>
        <w:tc>
          <w:tcPr>
            <w:tcW w:w="1561" w:type="dxa"/>
          </w:tcPr>
          <w:p>
            <w:pPr>
              <w:pStyle w:val="TableParagraph"/>
              <w:spacing w:before="204"/>
              <w:rPr>
                <w:b/>
                <w:sz w:val="18"/>
              </w:rPr>
            </w:pPr>
          </w:p>
          <w:p>
            <w:pPr>
              <w:pStyle w:val="TableParagraph"/>
              <w:ind w:left="96" w:right="94"/>
              <w:jc w:val="center"/>
              <w:rPr>
                <w:sz w:val="18"/>
              </w:rPr>
            </w:pPr>
            <w:r>
              <w:rPr>
                <w:spacing w:val="-5"/>
                <w:sz w:val="18"/>
              </w:rPr>
              <w:t>50%</w:t>
            </w:r>
          </w:p>
        </w:tc>
        <w:tc>
          <w:tcPr>
            <w:tcW w:w="1417" w:type="dxa"/>
          </w:tcPr>
          <w:p>
            <w:pPr>
              <w:pStyle w:val="TableParagraph"/>
              <w:ind w:left="71"/>
              <w:rPr>
                <w:sz w:val="18"/>
              </w:rPr>
            </w:pPr>
            <w:r>
              <w:rPr>
                <w:sz w:val="18"/>
              </w:rPr>
              <w:t>Porcentaje de </w:t>
            </w:r>
            <w:r>
              <w:rPr>
                <w:spacing w:val="-2"/>
                <w:sz w:val="18"/>
              </w:rPr>
              <w:t>donaciones </w:t>
            </w:r>
            <w:r>
              <w:rPr>
                <w:sz w:val="18"/>
              </w:rPr>
              <w:t>otorgadas</w:t>
            </w:r>
            <w:r>
              <w:rPr>
                <w:spacing w:val="-13"/>
                <w:sz w:val="18"/>
              </w:rPr>
              <w:t> </w:t>
            </w:r>
            <w:r>
              <w:rPr>
                <w:sz w:val="18"/>
              </w:rPr>
              <w:t>con </w:t>
            </w:r>
            <w:r>
              <w:rPr>
                <w:spacing w:val="-2"/>
                <w:sz w:val="18"/>
              </w:rPr>
              <w:t>supervisión</w:t>
            </w:r>
          </w:p>
          <w:p>
            <w:pPr>
              <w:pStyle w:val="TableParagraph"/>
              <w:spacing w:line="187" w:lineRule="exact" w:before="2"/>
              <w:ind w:left="71"/>
              <w:rPr>
                <w:sz w:val="18"/>
              </w:rPr>
            </w:pPr>
            <w:r>
              <w:rPr>
                <w:spacing w:val="-2"/>
                <w:sz w:val="18"/>
              </w:rPr>
              <w:t>realizada</w:t>
            </w:r>
          </w:p>
        </w:tc>
        <w:tc>
          <w:tcPr>
            <w:tcW w:w="1844" w:type="dxa"/>
          </w:tcPr>
          <w:p>
            <w:pPr>
              <w:pStyle w:val="TableParagraph"/>
              <w:spacing w:line="242" w:lineRule="auto" w:before="205"/>
              <w:ind w:left="70"/>
              <w:rPr>
                <w:sz w:val="18"/>
              </w:rPr>
            </w:pPr>
            <w:r>
              <w:rPr>
                <w:sz w:val="18"/>
              </w:rPr>
              <w:t>Listado de supervisiones e informes</w:t>
            </w:r>
            <w:r>
              <w:rPr>
                <w:spacing w:val="-13"/>
                <w:sz w:val="18"/>
              </w:rPr>
              <w:t> </w:t>
            </w:r>
            <w:r>
              <w:rPr>
                <w:sz w:val="18"/>
              </w:rPr>
              <w:t>elaborados</w:t>
            </w:r>
          </w:p>
        </w:tc>
        <w:tc>
          <w:tcPr>
            <w:tcW w:w="1277" w:type="dxa"/>
          </w:tcPr>
          <w:p>
            <w:pPr>
              <w:pStyle w:val="TableParagraph"/>
              <w:spacing w:before="103"/>
              <w:rPr>
                <w:b/>
                <w:sz w:val="18"/>
              </w:rPr>
            </w:pPr>
          </w:p>
          <w:p>
            <w:pPr>
              <w:pStyle w:val="TableParagraph"/>
              <w:spacing w:before="1"/>
              <w:ind w:left="65"/>
              <w:rPr>
                <w:sz w:val="18"/>
              </w:rPr>
            </w:pPr>
            <w:r>
              <w:rPr>
                <w:spacing w:val="-2"/>
                <w:sz w:val="18"/>
              </w:rPr>
              <w:t>Unidad Donaciones</w:t>
            </w:r>
          </w:p>
        </w:tc>
        <w:tc>
          <w:tcPr>
            <w:tcW w:w="1837" w:type="dxa"/>
          </w:tcPr>
          <w:p>
            <w:pPr>
              <w:pStyle w:val="TableParagraph"/>
              <w:rPr>
                <w:rFonts w:ascii="Times New Roman"/>
                <w:sz w:val="18"/>
              </w:rPr>
            </w:pPr>
          </w:p>
        </w:tc>
        <w:tc>
          <w:tcPr>
            <w:tcW w:w="2697" w:type="dxa"/>
          </w:tcPr>
          <w:p>
            <w:pPr>
              <w:pStyle w:val="TableParagraph"/>
              <w:ind w:left="72" w:right="110"/>
              <w:rPr>
                <w:sz w:val="18"/>
              </w:rPr>
            </w:pPr>
            <w:r>
              <w:rPr>
                <w:sz w:val="18"/>
              </w:rPr>
              <w:t>Evento 1: Organizaciones realizando</w:t>
            </w:r>
            <w:r>
              <w:rPr>
                <w:spacing w:val="-12"/>
                <w:sz w:val="18"/>
              </w:rPr>
              <w:t> </w:t>
            </w:r>
            <w:r>
              <w:rPr>
                <w:sz w:val="18"/>
              </w:rPr>
              <w:t>uso</w:t>
            </w:r>
            <w:r>
              <w:rPr>
                <w:spacing w:val="-12"/>
                <w:sz w:val="18"/>
              </w:rPr>
              <w:t> </w:t>
            </w:r>
            <w:r>
              <w:rPr>
                <w:sz w:val="18"/>
              </w:rPr>
              <w:t>inadecuado</w:t>
            </w:r>
            <w:r>
              <w:rPr>
                <w:spacing w:val="-12"/>
                <w:sz w:val="18"/>
              </w:rPr>
              <w:t> </w:t>
            </w:r>
            <w:r>
              <w:rPr>
                <w:sz w:val="18"/>
              </w:rPr>
              <w:t>de los bienes donados.</w:t>
            </w:r>
          </w:p>
          <w:p>
            <w:pPr>
              <w:pStyle w:val="TableParagraph"/>
              <w:spacing w:before="1"/>
              <w:rPr>
                <w:b/>
                <w:sz w:val="18"/>
              </w:rPr>
            </w:pPr>
          </w:p>
          <w:p>
            <w:pPr>
              <w:pStyle w:val="TableParagraph"/>
              <w:spacing w:line="187" w:lineRule="exact" w:before="1"/>
              <w:ind w:left="72"/>
              <w:rPr>
                <w:sz w:val="18"/>
              </w:rPr>
            </w:pPr>
            <w:r>
              <w:rPr>
                <w:sz w:val="18"/>
              </w:rPr>
              <w:t>Evento</w:t>
            </w:r>
            <w:r>
              <w:rPr>
                <w:spacing w:val="-6"/>
                <w:sz w:val="18"/>
              </w:rPr>
              <w:t> </w:t>
            </w:r>
            <w:r>
              <w:rPr>
                <w:sz w:val="18"/>
              </w:rPr>
              <w:t>2:</w:t>
            </w:r>
            <w:r>
              <w:rPr>
                <w:spacing w:val="2"/>
                <w:sz w:val="18"/>
              </w:rPr>
              <w:t> </w:t>
            </w:r>
            <w:r>
              <w:rPr>
                <w:sz w:val="18"/>
              </w:rPr>
              <w:t>Los </w:t>
            </w:r>
            <w:r>
              <w:rPr>
                <w:spacing w:val="-2"/>
                <w:sz w:val="18"/>
              </w:rPr>
              <w:t>bienes</w:t>
            </w:r>
          </w:p>
        </w:tc>
      </w:tr>
    </w:tbl>
    <w:p>
      <w:pPr>
        <w:pStyle w:val="TableParagraph"/>
        <w:spacing w:after="0" w:line="187" w:lineRule="exact"/>
        <w:rPr>
          <w:sz w:val="18"/>
        </w:rPr>
        <w:sectPr>
          <w:type w:val="continuous"/>
          <w:pgSz w:w="15840" w:h="12240" w:orient="landscape"/>
          <w:pgMar w:header="0" w:footer="1806" w:top="700" w:bottom="2847"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45"/>
        <w:gridCol w:w="1282"/>
        <w:gridCol w:w="1561"/>
        <w:gridCol w:w="1417"/>
        <w:gridCol w:w="1844"/>
        <w:gridCol w:w="1277"/>
        <w:gridCol w:w="1837"/>
        <w:gridCol w:w="2697"/>
      </w:tblGrid>
      <w:tr>
        <w:trPr>
          <w:trHeight w:val="777" w:hRule="atLeast"/>
        </w:trPr>
        <w:tc>
          <w:tcPr>
            <w:tcW w:w="2545" w:type="dxa"/>
            <w:shd w:val="clear" w:color="auto" w:fill="F1F1F1"/>
          </w:tcPr>
          <w:p>
            <w:pPr>
              <w:pStyle w:val="TableParagraph"/>
              <w:spacing w:before="75"/>
              <w:rPr>
                <w:b/>
                <w:sz w:val="18"/>
              </w:rPr>
            </w:pPr>
          </w:p>
          <w:p>
            <w:pPr>
              <w:pStyle w:val="TableParagraph"/>
              <w:ind w:left="302"/>
              <w:rPr>
                <w:b/>
                <w:sz w:val="18"/>
              </w:rPr>
            </w:pPr>
            <w:r>
              <w:rPr>
                <w:b/>
                <w:sz w:val="18"/>
              </w:rPr>
              <w:t>Objetivos</w:t>
            </w:r>
            <w:r>
              <w:rPr>
                <w:b/>
                <w:spacing w:val="-5"/>
                <w:sz w:val="18"/>
              </w:rPr>
              <w:t> </w:t>
            </w:r>
            <w:r>
              <w:rPr>
                <w:b/>
                <w:sz w:val="18"/>
              </w:rPr>
              <w:t>/</w:t>
            </w:r>
            <w:r>
              <w:rPr>
                <w:b/>
                <w:spacing w:val="-2"/>
                <w:sz w:val="18"/>
              </w:rPr>
              <w:t> Resultados</w:t>
            </w:r>
          </w:p>
        </w:tc>
        <w:tc>
          <w:tcPr>
            <w:tcW w:w="1282" w:type="dxa"/>
            <w:shd w:val="clear" w:color="auto" w:fill="F1F1F1"/>
          </w:tcPr>
          <w:p>
            <w:pPr>
              <w:pStyle w:val="TableParagraph"/>
              <w:spacing w:before="181"/>
              <w:ind w:left="378" w:hanging="216"/>
              <w:rPr>
                <w:b/>
                <w:sz w:val="18"/>
              </w:rPr>
            </w:pPr>
            <w:r>
              <w:rPr>
                <w:b/>
                <w:sz w:val="18"/>
              </w:rPr>
              <w:t>Línea</w:t>
            </w:r>
            <w:r>
              <w:rPr>
                <w:b/>
                <w:spacing w:val="-13"/>
                <w:sz w:val="18"/>
              </w:rPr>
              <w:t> </w:t>
            </w:r>
            <w:r>
              <w:rPr>
                <w:b/>
                <w:sz w:val="18"/>
              </w:rPr>
              <w:t>Base </w:t>
            </w:r>
            <w:r>
              <w:rPr>
                <w:b/>
                <w:spacing w:val="-2"/>
                <w:sz w:val="18"/>
              </w:rPr>
              <w:t>(2024)</w:t>
            </w:r>
          </w:p>
        </w:tc>
        <w:tc>
          <w:tcPr>
            <w:tcW w:w="1561" w:type="dxa"/>
            <w:shd w:val="clear" w:color="auto" w:fill="F1F1F1"/>
          </w:tcPr>
          <w:p>
            <w:pPr>
              <w:pStyle w:val="TableParagraph"/>
              <w:spacing w:before="75"/>
              <w:ind w:left="97" w:right="91"/>
              <w:jc w:val="center"/>
              <w:rPr>
                <w:b/>
                <w:sz w:val="18"/>
              </w:rPr>
            </w:pPr>
            <w:r>
              <w:rPr>
                <w:b/>
                <w:spacing w:val="-4"/>
                <w:sz w:val="18"/>
              </w:rPr>
              <w:t>Meta </w:t>
            </w:r>
            <w:r>
              <w:rPr>
                <w:b/>
                <w:spacing w:val="-2"/>
                <w:sz w:val="18"/>
              </w:rPr>
              <w:t>programada </w:t>
            </w:r>
            <w:r>
              <w:rPr>
                <w:b/>
                <w:spacing w:val="-4"/>
                <w:sz w:val="18"/>
              </w:rPr>
              <w:t>2026</w:t>
            </w:r>
          </w:p>
        </w:tc>
        <w:tc>
          <w:tcPr>
            <w:tcW w:w="1417" w:type="dxa"/>
            <w:shd w:val="clear" w:color="auto" w:fill="F1F1F1"/>
          </w:tcPr>
          <w:p>
            <w:pPr>
              <w:pStyle w:val="TableParagraph"/>
              <w:spacing w:before="75"/>
              <w:rPr>
                <w:b/>
                <w:sz w:val="18"/>
              </w:rPr>
            </w:pPr>
          </w:p>
          <w:p>
            <w:pPr>
              <w:pStyle w:val="TableParagraph"/>
              <w:ind w:left="301"/>
              <w:rPr>
                <w:b/>
                <w:sz w:val="18"/>
              </w:rPr>
            </w:pPr>
            <w:r>
              <w:rPr>
                <w:b/>
                <w:spacing w:val="-2"/>
                <w:sz w:val="18"/>
              </w:rPr>
              <w:t>Indicador</w:t>
            </w:r>
          </w:p>
        </w:tc>
        <w:tc>
          <w:tcPr>
            <w:tcW w:w="1844" w:type="dxa"/>
            <w:shd w:val="clear" w:color="auto" w:fill="F1F1F1"/>
          </w:tcPr>
          <w:p>
            <w:pPr>
              <w:pStyle w:val="TableParagraph"/>
              <w:spacing w:before="181"/>
              <w:ind w:left="421" w:right="150" w:firstLine="57"/>
              <w:rPr>
                <w:b/>
                <w:sz w:val="18"/>
              </w:rPr>
            </w:pPr>
            <w:r>
              <w:rPr>
                <w:b/>
                <w:sz w:val="18"/>
              </w:rPr>
              <w:t>Medios de </w:t>
            </w:r>
            <w:r>
              <w:rPr>
                <w:b/>
                <w:spacing w:val="-2"/>
                <w:sz w:val="18"/>
              </w:rPr>
              <w:t>verificación</w:t>
            </w:r>
          </w:p>
        </w:tc>
        <w:tc>
          <w:tcPr>
            <w:tcW w:w="1277" w:type="dxa"/>
            <w:shd w:val="clear" w:color="auto" w:fill="F1F1F1"/>
          </w:tcPr>
          <w:p>
            <w:pPr>
              <w:pStyle w:val="TableParagraph"/>
              <w:spacing w:before="75"/>
              <w:rPr>
                <w:b/>
                <w:sz w:val="18"/>
              </w:rPr>
            </w:pPr>
          </w:p>
          <w:p>
            <w:pPr>
              <w:pStyle w:val="TableParagraph"/>
              <w:ind w:left="75"/>
              <w:rPr>
                <w:b/>
                <w:sz w:val="18"/>
              </w:rPr>
            </w:pPr>
            <w:r>
              <w:rPr>
                <w:b/>
                <w:spacing w:val="-2"/>
                <w:sz w:val="18"/>
              </w:rPr>
              <w:t>Responsable</w:t>
            </w:r>
          </w:p>
        </w:tc>
        <w:tc>
          <w:tcPr>
            <w:tcW w:w="1837" w:type="dxa"/>
            <w:shd w:val="clear" w:color="auto" w:fill="F1F1F1"/>
          </w:tcPr>
          <w:p>
            <w:pPr>
              <w:pStyle w:val="TableParagraph"/>
              <w:spacing w:before="181"/>
              <w:ind w:left="522" w:hanging="149"/>
              <w:rPr>
                <w:b/>
                <w:sz w:val="18"/>
              </w:rPr>
            </w:pPr>
            <w:r>
              <w:rPr>
                <w:b/>
                <w:spacing w:val="-2"/>
                <w:sz w:val="18"/>
              </w:rPr>
              <w:t>Presupuesto asignado</w:t>
            </w:r>
          </w:p>
        </w:tc>
        <w:tc>
          <w:tcPr>
            <w:tcW w:w="2697" w:type="dxa"/>
            <w:tcBorders>
              <w:bottom w:val="nil"/>
            </w:tcBorders>
            <w:shd w:val="clear" w:color="auto" w:fill="F1F1F1"/>
          </w:tcPr>
          <w:p>
            <w:pPr>
              <w:pStyle w:val="TableParagraph"/>
              <w:spacing w:before="75"/>
              <w:rPr>
                <w:b/>
                <w:sz w:val="18"/>
              </w:rPr>
            </w:pPr>
          </w:p>
          <w:p>
            <w:pPr>
              <w:pStyle w:val="TableParagraph"/>
              <w:ind w:left="591"/>
              <w:rPr>
                <w:b/>
                <w:sz w:val="18"/>
              </w:rPr>
            </w:pPr>
            <w:r>
              <w:rPr>
                <w:b/>
                <w:sz w:val="18"/>
              </w:rPr>
              <w:t>Riesgo</w:t>
            </w:r>
            <w:r>
              <w:rPr>
                <w:b/>
                <w:spacing w:val="-4"/>
                <w:sz w:val="18"/>
              </w:rPr>
              <w:t> </w:t>
            </w:r>
            <w:r>
              <w:rPr>
                <w:b/>
                <w:spacing w:val="-2"/>
                <w:sz w:val="18"/>
              </w:rPr>
              <w:t>Vinculado</w:t>
            </w:r>
          </w:p>
        </w:tc>
      </w:tr>
      <w:tr>
        <w:trPr>
          <w:trHeight w:val="1862" w:hRule="atLeast"/>
        </w:trPr>
        <w:tc>
          <w:tcPr>
            <w:tcW w:w="2545" w:type="dxa"/>
          </w:tcPr>
          <w:p>
            <w:pPr>
              <w:pStyle w:val="TableParagraph"/>
              <w:spacing w:before="205"/>
              <w:rPr>
                <w:b/>
                <w:sz w:val="18"/>
              </w:rPr>
            </w:pPr>
          </w:p>
          <w:p>
            <w:pPr>
              <w:pStyle w:val="TableParagraph"/>
              <w:ind w:left="72" w:right="76"/>
              <w:rPr>
                <w:sz w:val="18"/>
              </w:rPr>
            </w:pPr>
            <w:r>
              <w:rPr>
                <w:b/>
                <w:sz w:val="18"/>
              </w:rPr>
              <w:t>Actividad PAC 2.52.2:</w:t>
            </w:r>
            <w:r>
              <w:rPr>
                <w:b/>
                <w:spacing w:val="80"/>
                <w:sz w:val="18"/>
              </w:rPr>
              <w:t> </w:t>
            </w:r>
            <w:r>
              <w:rPr>
                <w:sz w:val="18"/>
              </w:rPr>
              <w:t>Retiro</w:t>
            </w:r>
            <w:r>
              <w:rPr>
                <w:spacing w:val="-7"/>
                <w:sz w:val="18"/>
              </w:rPr>
              <w:t> </w:t>
            </w:r>
            <w:r>
              <w:rPr>
                <w:sz w:val="18"/>
              </w:rPr>
              <w:t>y</w:t>
            </w:r>
            <w:r>
              <w:rPr>
                <w:spacing w:val="-7"/>
                <w:sz w:val="18"/>
              </w:rPr>
              <w:t> </w:t>
            </w:r>
            <w:r>
              <w:rPr>
                <w:sz w:val="18"/>
              </w:rPr>
              <w:t>registro</w:t>
            </w:r>
            <w:r>
              <w:rPr>
                <w:spacing w:val="-7"/>
                <w:sz w:val="18"/>
              </w:rPr>
              <w:t> </w:t>
            </w:r>
            <w:r>
              <w:rPr>
                <w:sz w:val="18"/>
              </w:rPr>
              <w:t>de</w:t>
            </w:r>
            <w:r>
              <w:rPr>
                <w:spacing w:val="-7"/>
                <w:sz w:val="18"/>
              </w:rPr>
              <w:t> </w:t>
            </w:r>
            <w:r>
              <w:rPr>
                <w:sz w:val="18"/>
              </w:rPr>
              <w:t>los</w:t>
            </w:r>
            <w:r>
              <w:rPr>
                <w:spacing w:val="-7"/>
                <w:sz w:val="18"/>
              </w:rPr>
              <w:t> </w:t>
            </w:r>
            <w:r>
              <w:rPr>
                <w:sz w:val="18"/>
              </w:rPr>
              <w:t>bienes adjudicados o donados al IMAS, dentro del plazo programado.</w:t>
            </w:r>
            <w:r>
              <w:rPr>
                <w:spacing w:val="-1"/>
                <w:sz w:val="18"/>
              </w:rPr>
              <w:t> </w:t>
            </w:r>
            <w:r>
              <w:rPr>
                <w:sz w:val="18"/>
              </w:rPr>
              <w:t>(DON)</w:t>
            </w:r>
          </w:p>
        </w:tc>
        <w:tc>
          <w:tcPr>
            <w:tcW w:w="1282"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0" w:right="8"/>
              <w:jc w:val="center"/>
              <w:rPr>
                <w:sz w:val="18"/>
              </w:rPr>
            </w:pPr>
            <w:r>
              <w:rPr>
                <w:spacing w:val="-5"/>
                <w:sz w:val="18"/>
              </w:rPr>
              <w:t>95%</w:t>
            </w:r>
          </w:p>
        </w:tc>
        <w:tc>
          <w:tcPr>
            <w:tcW w:w="1561"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96" w:right="94"/>
              <w:jc w:val="center"/>
              <w:rPr>
                <w:sz w:val="18"/>
              </w:rPr>
            </w:pPr>
            <w:r>
              <w:rPr>
                <w:spacing w:val="-5"/>
                <w:sz w:val="18"/>
              </w:rPr>
              <w:t>95%</w:t>
            </w:r>
          </w:p>
        </w:tc>
        <w:tc>
          <w:tcPr>
            <w:tcW w:w="1417" w:type="dxa"/>
          </w:tcPr>
          <w:p>
            <w:pPr>
              <w:pStyle w:val="TableParagraph"/>
              <w:ind w:left="71" w:right="218"/>
              <w:rPr>
                <w:sz w:val="18"/>
              </w:rPr>
            </w:pPr>
            <w:r>
              <w:rPr>
                <w:sz w:val="18"/>
              </w:rPr>
              <w:t>Porcentaje</w:t>
            </w:r>
            <w:r>
              <w:rPr>
                <w:spacing w:val="-13"/>
                <w:sz w:val="18"/>
              </w:rPr>
              <w:t> </w:t>
            </w:r>
            <w:r>
              <w:rPr>
                <w:sz w:val="18"/>
              </w:rPr>
              <w:t>de </w:t>
            </w:r>
            <w:r>
              <w:rPr>
                <w:spacing w:val="-2"/>
                <w:sz w:val="18"/>
              </w:rPr>
              <w:t>bienes </w:t>
            </w:r>
            <w:r>
              <w:rPr>
                <w:sz w:val="18"/>
              </w:rPr>
              <w:t>adjudicados</w:t>
            </w:r>
            <w:r>
              <w:rPr>
                <w:spacing w:val="-13"/>
                <w:sz w:val="18"/>
              </w:rPr>
              <w:t> </w:t>
            </w:r>
            <w:r>
              <w:rPr>
                <w:sz w:val="18"/>
              </w:rPr>
              <w:t>o </w:t>
            </w:r>
            <w:r>
              <w:rPr>
                <w:spacing w:val="-2"/>
                <w:sz w:val="18"/>
              </w:rPr>
              <w:t>donados, </w:t>
            </w:r>
            <w:r>
              <w:rPr>
                <w:sz w:val="18"/>
              </w:rPr>
              <w:t>recibidos y </w:t>
            </w:r>
            <w:r>
              <w:rPr>
                <w:spacing w:val="-2"/>
                <w:sz w:val="18"/>
              </w:rPr>
              <w:t>registrados </w:t>
            </w:r>
            <w:r>
              <w:rPr>
                <w:sz w:val="18"/>
              </w:rPr>
              <w:t>dentro del plazo de 45</w:t>
            </w:r>
          </w:p>
          <w:p>
            <w:pPr>
              <w:pStyle w:val="TableParagraph"/>
              <w:spacing w:line="187" w:lineRule="exact"/>
              <w:ind w:left="71"/>
              <w:rPr>
                <w:sz w:val="18"/>
              </w:rPr>
            </w:pPr>
            <w:r>
              <w:rPr>
                <w:sz w:val="18"/>
              </w:rPr>
              <w:t>días </w:t>
            </w:r>
            <w:r>
              <w:rPr>
                <w:spacing w:val="-2"/>
                <w:sz w:val="18"/>
              </w:rPr>
              <w:t>hábiles</w:t>
            </w:r>
          </w:p>
        </w:tc>
        <w:tc>
          <w:tcPr>
            <w:tcW w:w="1844"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70"/>
              <w:rPr>
                <w:sz w:val="18"/>
              </w:rPr>
            </w:pPr>
            <w:r>
              <w:rPr>
                <w:sz w:val="18"/>
              </w:rPr>
              <w:t>Registro</w:t>
            </w:r>
            <w:r>
              <w:rPr>
                <w:spacing w:val="-3"/>
                <w:sz w:val="18"/>
              </w:rPr>
              <w:t> </w:t>
            </w:r>
            <w:r>
              <w:rPr>
                <w:sz w:val="18"/>
              </w:rPr>
              <w:t>en</w:t>
            </w:r>
            <w:r>
              <w:rPr>
                <w:spacing w:val="-2"/>
                <w:sz w:val="18"/>
              </w:rPr>
              <w:t> </w:t>
            </w:r>
            <w:r>
              <w:rPr>
                <w:spacing w:val="-5"/>
                <w:sz w:val="18"/>
              </w:rPr>
              <w:t>SAP</w:t>
            </w:r>
          </w:p>
        </w:tc>
        <w:tc>
          <w:tcPr>
            <w:tcW w:w="127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5"/>
              <w:rPr>
                <w:sz w:val="18"/>
              </w:rPr>
            </w:pPr>
            <w:r>
              <w:rPr>
                <w:spacing w:val="-2"/>
                <w:sz w:val="18"/>
              </w:rPr>
              <w:t>Unidad Donaciones</w:t>
            </w:r>
          </w:p>
        </w:tc>
        <w:tc>
          <w:tcPr>
            <w:tcW w:w="1837" w:type="dxa"/>
          </w:tcPr>
          <w:p>
            <w:pPr>
              <w:pStyle w:val="TableParagraph"/>
              <w:rPr>
                <w:rFonts w:ascii="Times New Roman"/>
                <w:sz w:val="18"/>
              </w:rPr>
            </w:pPr>
          </w:p>
        </w:tc>
        <w:tc>
          <w:tcPr>
            <w:tcW w:w="2697" w:type="dxa"/>
            <w:vMerge w:val="restart"/>
            <w:tcBorders>
              <w:top w:val="nil"/>
            </w:tcBorders>
          </w:tcPr>
          <w:p>
            <w:pPr>
              <w:pStyle w:val="TableParagraph"/>
              <w:ind w:left="72" w:right="110"/>
              <w:rPr>
                <w:sz w:val="18"/>
              </w:rPr>
            </w:pPr>
            <w:r>
              <w:rPr>
                <w:sz w:val="18"/>
              </w:rPr>
              <w:t>adjudicados a la Institución no sean</w:t>
            </w:r>
            <w:r>
              <w:rPr>
                <w:spacing w:val="-8"/>
                <w:sz w:val="18"/>
              </w:rPr>
              <w:t> </w:t>
            </w:r>
            <w:r>
              <w:rPr>
                <w:sz w:val="18"/>
              </w:rPr>
              <w:t>retirados</w:t>
            </w:r>
            <w:r>
              <w:rPr>
                <w:spacing w:val="-8"/>
                <w:sz w:val="18"/>
              </w:rPr>
              <w:t> </w:t>
            </w:r>
            <w:r>
              <w:rPr>
                <w:sz w:val="18"/>
              </w:rPr>
              <w:t>y</w:t>
            </w:r>
            <w:r>
              <w:rPr>
                <w:spacing w:val="-8"/>
                <w:sz w:val="18"/>
              </w:rPr>
              <w:t> </w:t>
            </w:r>
            <w:r>
              <w:rPr>
                <w:sz w:val="18"/>
              </w:rPr>
              <w:t>registrados</w:t>
            </w:r>
            <w:r>
              <w:rPr>
                <w:spacing w:val="-8"/>
                <w:sz w:val="18"/>
              </w:rPr>
              <w:t> </w:t>
            </w:r>
            <w:r>
              <w:rPr>
                <w:sz w:val="18"/>
              </w:rPr>
              <w:t>en tiempo oportuno para las </w:t>
            </w:r>
            <w:r>
              <w:rPr>
                <w:spacing w:val="-2"/>
                <w:sz w:val="18"/>
              </w:rPr>
              <w:t>donaciones.</w:t>
            </w:r>
          </w:p>
        </w:tc>
      </w:tr>
      <w:tr>
        <w:trPr>
          <w:trHeight w:val="1656" w:hRule="atLeast"/>
        </w:trPr>
        <w:tc>
          <w:tcPr>
            <w:tcW w:w="2545" w:type="dxa"/>
          </w:tcPr>
          <w:p>
            <w:pPr>
              <w:pStyle w:val="TableParagraph"/>
              <w:ind w:left="72" w:right="55"/>
              <w:rPr>
                <w:sz w:val="18"/>
              </w:rPr>
            </w:pPr>
            <w:r>
              <w:rPr>
                <w:b/>
                <w:sz w:val="18"/>
              </w:rPr>
              <w:t>Actividad PAC 2.52.3: </w:t>
            </w:r>
            <w:r>
              <w:rPr>
                <w:sz w:val="18"/>
              </w:rPr>
              <w:t>Diseño e implementación de la</w:t>
            </w:r>
            <w:r>
              <w:rPr>
                <w:spacing w:val="-10"/>
                <w:sz w:val="18"/>
              </w:rPr>
              <w:t> </w:t>
            </w:r>
            <w:r>
              <w:rPr>
                <w:sz w:val="18"/>
              </w:rPr>
              <w:t>metodología</w:t>
            </w:r>
            <w:r>
              <w:rPr>
                <w:spacing w:val="-13"/>
                <w:sz w:val="18"/>
              </w:rPr>
              <w:t> </w:t>
            </w:r>
            <w:r>
              <w:rPr>
                <w:sz w:val="18"/>
              </w:rPr>
              <w:t>de</w:t>
            </w:r>
            <w:r>
              <w:rPr>
                <w:spacing w:val="-12"/>
                <w:sz w:val="18"/>
              </w:rPr>
              <w:t> </w:t>
            </w:r>
            <w:r>
              <w:rPr>
                <w:sz w:val="18"/>
              </w:rPr>
              <w:t>priorización a cada solicitud de donación recibida por las organizaciones sociales, que deberá imperar con el fin</w:t>
            </w:r>
          </w:p>
          <w:p>
            <w:pPr>
              <w:pStyle w:val="TableParagraph"/>
              <w:spacing w:line="187" w:lineRule="exact"/>
              <w:ind w:left="72"/>
              <w:rPr>
                <w:sz w:val="18"/>
              </w:rPr>
            </w:pPr>
            <w:r>
              <w:rPr>
                <w:sz w:val="18"/>
              </w:rPr>
              <w:t>social</w:t>
            </w:r>
            <w:r>
              <w:rPr>
                <w:spacing w:val="-2"/>
                <w:sz w:val="18"/>
              </w:rPr>
              <w:t> </w:t>
            </w:r>
            <w:r>
              <w:rPr>
                <w:sz w:val="18"/>
              </w:rPr>
              <w:t>de</w:t>
            </w:r>
            <w:r>
              <w:rPr>
                <w:spacing w:val="-4"/>
                <w:sz w:val="18"/>
              </w:rPr>
              <w:t> </w:t>
            </w:r>
            <w:r>
              <w:rPr>
                <w:sz w:val="18"/>
              </w:rPr>
              <w:t>la</w:t>
            </w:r>
            <w:r>
              <w:rPr>
                <w:spacing w:val="-3"/>
                <w:sz w:val="18"/>
              </w:rPr>
              <w:t> </w:t>
            </w:r>
            <w:r>
              <w:rPr>
                <w:spacing w:val="-2"/>
                <w:sz w:val="18"/>
              </w:rPr>
              <w:t>Institución.</w:t>
            </w:r>
          </w:p>
        </w:tc>
        <w:tc>
          <w:tcPr>
            <w:tcW w:w="1282"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0" w:right="16"/>
              <w:jc w:val="center"/>
              <w:rPr>
                <w:sz w:val="18"/>
              </w:rPr>
            </w:pPr>
            <w:r>
              <w:rPr>
                <w:spacing w:val="-5"/>
                <w:sz w:val="18"/>
              </w:rPr>
              <w:t>ND</w:t>
            </w:r>
          </w:p>
        </w:tc>
        <w:tc>
          <w:tcPr>
            <w:tcW w:w="1561"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97" w:right="91"/>
              <w:jc w:val="center"/>
              <w:rPr>
                <w:sz w:val="18"/>
              </w:rPr>
            </w:pPr>
            <w:r>
              <w:rPr>
                <w:spacing w:val="-4"/>
                <w:sz w:val="18"/>
              </w:rPr>
              <w:t>100%</w:t>
            </w:r>
          </w:p>
        </w:tc>
        <w:tc>
          <w:tcPr>
            <w:tcW w:w="1417" w:type="dxa"/>
          </w:tcPr>
          <w:p>
            <w:pPr>
              <w:pStyle w:val="TableParagraph"/>
              <w:spacing w:before="205"/>
              <w:ind w:left="71"/>
              <w:rPr>
                <w:sz w:val="18"/>
              </w:rPr>
            </w:pPr>
            <w:r>
              <w:rPr>
                <w:sz w:val="18"/>
              </w:rPr>
              <w:t>Porcentaje de avance en el diseño e </w:t>
            </w:r>
            <w:r>
              <w:rPr>
                <w:spacing w:val="-2"/>
                <w:sz w:val="18"/>
              </w:rPr>
              <w:t>implementación </w:t>
            </w:r>
            <w:r>
              <w:rPr>
                <w:sz w:val="18"/>
              </w:rPr>
              <w:t>de la </w:t>
            </w:r>
            <w:r>
              <w:rPr>
                <w:spacing w:val="-2"/>
                <w:sz w:val="18"/>
              </w:rPr>
              <w:t>metodología</w:t>
            </w:r>
          </w:p>
        </w:tc>
        <w:tc>
          <w:tcPr>
            <w:tcW w:w="1844" w:type="dxa"/>
          </w:tcPr>
          <w:p>
            <w:pPr>
              <w:pStyle w:val="TableParagraph"/>
              <w:rPr>
                <w:b/>
                <w:sz w:val="18"/>
              </w:rPr>
            </w:pPr>
          </w:p>
          <w:p>
            <w:pPr>
              <w:pStyle w:val="TableParagraph"/>
              <w:spacing w:before="103"/>
              <w:rPr>
                <w:b/>
                <w:sz w:val="18"/>
              </w:rPr>
            </w:pPr>
          </w:p>
          <w:p>
            <w:pPr>
              <w:pStyle w:val="TableParagraph"/>
              <w:ind w:left="70" w:right="150"/>
              <w:rPr>
                <w:sz w:val="18"/>
              </w:rPr>
            </w:pPr>
            <w:r>
              <w:rPr>
                <w:spacing w:val="-2"/>
                <w:sz w:val="18"/>
              </w:rPr>
              <w:t>Metodología </w:t>
            </w:r>
            <w:r>
              <w:rPr>
                <w:sz w:val="18"/>
              </w:rPr>
              <w:t>elaborada e </w:t>
            </w:r>
            <w:r>
              <w:rPr>
                <w:spacing w:val="-2"/>
                <w:sz w:val="18"/>
              </w:rPr>
              <w:t>implementada</w:t>
            </w:r>
          </w:p>
        </w:tc>
        <w:tc>
          <w:tcPr>
            <w:tcW w:w="1277" w:type="dxa"/>
          </w:tcPr>
          <w:p>
            <w:pPr>
              <w:pStyle w:val="TableParagraph"/>
              <w:rPr>
                <w:b/>
                <w:sz w:val="18"/>
              </w:rPr>
            </w:pPr>
          </w:p>
          <w:p>
            <w:pPr>
              <w:pStyle w:val="TableParagraph"/>
              <w:spacing w:before="204"/>
              <w:rPr>
                <w:b/>
                <w:sz w:val="18"/>
              </w:rPr>
            </w:pPr>
          </w:p>
          <w:p>
            <w:pPr>
              <w:pStyle w:val="TableParagraph"/>
              <w:ind w:left="65"/>
              <w:rPr>
                <w:sz w:val="18"/>
              </w:rPr>
            </w:pPr>
            <w:r>
              <w:rPr>
                <w:spacing w:val="-2"/>
                <w:sz w:val="18"/>
              </w:rPr>
              <w:t>Unidad Donaciones</w:t>
            </w:r>
          </w:p>
        </w:tc>
        <w:tc>
          <w:tcPr>
            <w:tcW w:w="1837" w:type="dxa"/>
          </w:tcPr>
          <w:p>
            <w:pPr>
              <w:pStyle w:val="TableParagraph"/>
              <w:rPr>
                <w:rFonts w:ascii="Times New Roman"/>
                <w:sz w:val="18"/>
              </w:rPr>
            </w:pPr>
          </w:p>
        </w:tc>
        <w:tc>
          <w:tcPr>
            <w:tcW w:w="2697" w:type="dxa"/>
            <w:vMerge/>
            <w:tcBorders>
              <w:top w:val="nil"/>
            </w:tcBorders>
          </w:tcPr>
          <w:p>
            <w:pPr>
              <w:rPr>
                <w:sz w:val="2"/>
                <w:szCs w:val="2"/>
              </w:rPr>
            </w:pPr>
          </w:p>
        </w:tc>
      </w:tr>
    </w:tbl>
    <w:p>
      <w:pPr>
        <w:pStyle w:val="BodyText"/>
        <w:spacing w:before="204"/>
        <w:rPr>
          <w:b/>
          <w:sz w:val="20"/>
        </w:rPr>
      </w:pPr>
    </w:p>
    <w:tbl>
      <w:tblPr>
        <w:tblW w:w="0" w:type="auto"/>
        <w:jc w:val="left"/>
        <w:tblInd w:w="3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5"/>
        <w:gridCol w:w="1277"/>
        <w:gridCol w:w="1700"/>
        <w:gridCol w:w="1133"/>
        <w:gridCol w:w="1983"/>
        <w:gridCol w:w="1277"/>
        <w:gridCol w:w="1844"/>
        <w:gridCol w:w="2627"/>
      </w:tblGrid>
      <w:tr>
        <w:trPr>
          <w:trHeight w:val="752" w:hRule="atLeast"/>
        </w:trPr>
        <w:tc>
          <w:tcPr>
            <w:tcW w:w="2545" w:type="dxa"/>
            <w:tcBorders>
              <w:right w:val="single" w:sz="4" w:space="0" w:color="000000"/>
            </w:tcBorders>
            <w:shd w:val="clear" w:color="auto" w:fill="F1F1F1"/>
          </w:tcPr>
          <w:p>
            <w:pPr>
              <w:pStyle w:val="TableParagraph"/>
              <w:spacing w:before="65"/>
              <w:rPr>
                <w:b/>
                <w:sz w:val="18"/>
              </w:rPr>
            </w:pPr>
          </w:p>
          <w:p>
            <w:pPr>
              <w:pStyle w:val="TableParagraph"/>
              <w:ind w:left="72"/>
              <w:rPr>
                <w:b/>
                <w:sz w:val="18"/>
              </w:rPr>
            </w:pPr>
            <w:r>
              <w:rPr>
                <w:b/>
                <w:sz w:val="18"/>
              </w:rPr>
              <w:t>Objetivos</w:t>
            </w:r>
            <w:r>
              <w:rPr>
                <w:b/>
                <w:spacing w:val="-5"/>
                <w:sz w:val="18"/>
              </w:rPr>
              <w:t> </w:t>
            </w:r>
            <w:r>
              <w:rPr>
                <w:b/>
                <w:sz w:val="18"/>
              </w:rPr>
              <w:t>/</w:t>
            </w:r>
            <w:r>
              <w:rPr>
                <w:b/>
                <w:spacing w:val="-2"/>
                <w:sz w:val="18"/>
              </w:rPr>
              <w:t> Resultados</w:t>
            </w:r>
          </w:p>
        </w:tc>
        <w:tc>
          <w:tcPr>
            <w:tcW w:w="1277" w:type="dxa"/>
            <w:tcBorders>
              <w:left w:val="single" w:sz="4" w:space="0" w:color="000000"/>
              <w:right w:val="single" w:sz="4" w:space="0" w:color="000000"/>
            </w:tcBorders>
            <w:shd w:val="clear" w:color="auto" w:fill="F1F1F1"/>
          </w:tcPr>
          <w:p>
            <w:pPr>
              <w:pStyle w:val="TableParagraph"/>
              <w:spacing w:before="166"/>
              <w:ind w:left="379" w:hanging="216"/>
              <w:rPr>
                <w:b/>
                <w:sz w:val="18"/>
              </w:rPr>
            </w:pPr>
            <w:r>
              <w:rPr>
                <w:b/>
                <w:sz w:val="18"/>
              </w:rPr>
              <w:t>Línea</w:t>
            </w:r>
            <w:r>
              <w:rPr>
                <w:b/>
                <w:spacing w:val="-13"/>
                <w:sz w:val="18"/>
              </w:rPr>
              <w:t> </w:t>
            </w:r>
            <w:r>
              <w:rPr>
                <w:b/>
                <w:sz w:val="18"/>
              </w:rPr>
              <w:t>Base </w:t>
            </w:r>
            <w:r>
              <w:rPr>
                <w:b/>
                <w:spacing w:val="-2"/>
                <w:sz w:val="18"/>
              </w:rPr>
              <w:t>(2024)</w:t>
            </w:r>
          </w:p>
        </w:tc>
        <w:tc>
          <w:tcPr>
            <w:tcW w:w="1700" w:type="dxa"/>
            <w:tcBorders>
              <w:left w:val="single" w:sz="4" w:space="0" w:color="000000"/>
              <w:right w:val="single" w:sz="4" w:space="0" w:color="000000"/>
            </w:tcBorders>
            <w:shd w:val="clear" w:color="auto" w:fill="F1F1F1"/>
          </w:tcPr>
          <w:p>
            <w:pPr>
              <w:pStyle w:val="TableParagraph"/>
              <w:spacing w:before="166"/>
              <w:ind w:left="652" w:hanging="552"/>
              <w:rPr>
                <w:b/>
                <w:sz w:val="18"/>
              </w:rPr>
            </w:pPr>
            <w:r>
              <w:rPr>
                <w:b/>
                <w:sz w:val="18"/>
              </w:rPr>
              <w:t>Meta</w:t>
            </w:r>
            <w:r>
              <w:rPr>
                <w:b/>
                <w:spacing w:val="-13"/>
                <w:sz w:val="18"/>
              </w:rPr>
              <w:t> </w:t>
            </w:r>
            <w:r>
              <w:rPr>
                <w:b/>
                <w:sz w:val="18"/>
              </w:rPr>
              <w:t>programada </w:t>
            </w:r>
            <w:r>
              <w:rPr>
                <w:b/>
                <w:spacing w:val="-4"/>
                <w:sz w:val="18"/>
              </w:rPr>
              <w:t>2026</w:t>
            </w:r>
          </w:p>
        </w:tc>
        <w:tc>
          <w:tcPr>
            <w:tcW w:w="1133" w:type="dxa"/>
            <w:tcBorders>
              <w:left w:val="single" w:sz="4" w:space="0" w:color="000000"/>
              <w:right w:val="single" w:sz="4" w:space="0" w:color="000000"/>
            </w:tcBorders>
            <w:shd w:val="clear" w:color="auto" w:fill="F1F1F1"/>
          </w:tcPr>
          <w:p>
            <w:pPr>
              <w:pStyle w:val="TableParagraph"/>
              <w:spacing w:before="65"/>
              <w:rPr>
                <w:b/>
                <w:sz w:val="18"/>
              </w:rPr>
            </w:pPr>
          </w:p>
          <w:p>
            <w:pPr>
              <w:pStyle w:val="TableParagraph"/>
              <w:ind w:left="163"/>
              <w:rPr>
                <w:b/>
                <w:sz w:val="18"/>
              </w:rPr>
            </w:pPr>
            <w:r>
              <w:rPr>
                <w:b/>
                <w:spacing w:val="-2"/>
                <w:sz w:val="18"/>
              </w:rPr>
              <w:t>Indicador</w:t>
            </w:r>
          </w:p>
        </w:tc>
        <w:tc>
          <w:tcPr>
            <w:tcW w:w="1983" w:type="dxa"/>
            <w:tcBorders>
              <w:left w:val="single" w:sz="4" w:space="0" w:color="000000"/>
              <w:right w:val="single" w:sz="4" w:space="0" w:color="000000"/>
            </w:tcBorders>
            <w:shd w:val="clear" w:color="auto" w:fill="F1F1F1"/>
          </w:tcPr>
          <w:p>
            <w:pPr>
              <w:pStyle w:val="TableParagraph"/>
              <w:spacing w:before="166"/>
              <w:ind w:left="499" w:firstLine="57"/>
              <w:rPr>
                <w:b/>
                <w:sz w:val="18"/>
              </w:rPr>
            </w:pPr>
            <w:r>
              <w:rPr>
                <w:b/>
                <w:sz w:val="18"/>
              </w:rPr>
              <w:t>Medios de </w:t>
            </w:r>
            <w:r>
              <w:rPr>
                <w:b/>
                <w:spacing w:val="-2"/>
                <w:sz w:val="18"/>
              </w:rPr>
              <w:t>verificación</w:t>
            </w:r>
          </w:p>
        </w:tc>
        <w:tc>
          <w:tcPr>
            <w:tcW w:w="1277" w:type="dxa"/>
            <w:tcBorders>
              <w:left w:val="single" w:sz="4" w:space="0" w:color="000000"/>
              <w:right w:val="single" w:sz="4" w:space="0" w:color="000000"/>
            </w:tcBorders>
            <w:shd w:val="clear" w:color="auto" w:fill="F1F1F1"/>
          </w:tcPr>
          <w:p>
            <w:pPr>
              <w:pStyle w:val="TableParagraph"/>
              <w:spacing w:before="65"/>
              <w:rPr>
                <w:b/>
                <w:sz w:val="18"/>
              </w:rPr>
            </w:pPr>
          </w:p>
          <w:p>
            <w:pPr>
              <w:pStyle w:val="TableParagraph"/>
              <w:ind w:left="86"/>
              <w:rPr>
                <w:b/>
                <w:sz w:val="18"/>
              </w:rPr>
            </w:pPr>
            <w:r>
              <w:rPr>
                <w:b/>
                <w:spacing w:val="-2"/>
                <w:sz w:val="18"/>
              </w:rPr>
              <w:t>Responsable</w:t>
            </w:r>
          </w:p>
        </w:tc>
        <w:tc>
          <w:tcPr>
            <w:tcW w:w="1844" w:type="dxa"/>
            <w:tcBorders>
              <w:left w:val="single" w:sz="4" w:space="0" w:color="000000"/>
              <w:right w:val="single" w:sz="4" w:space="0" w:color="000000"/>
            </w:tcBorders>
            <w:shd w:val="clear" w:color="auto" w:fill="F1F1F1"/>
          </w:tcPr>
          <w:p>
            <w:pPr>
              <w:pStyle w:val="TableParagraph"/>
              <w:spacing w:before="166"/>
              <w:ind w:left="528" w:hanging="149"/>
              <w:rPr>
                <w:b/>
                <w:sz w:val="18"/>
              </w:rPr>
            </w:pPr>
            <w:r>
              <w:rPr>
                <w:b/>
                <w:spacing w:val="-2"/>
                <w:sz w:val="18"/>
              </w:rPr>
              <w:t>Presupuesto asignado</w:t>
            </w:r>
          </w:p>
        </w:tc>
        <w:tc>
          <w:tcPr>
            <w:tcW w:w="2627" w:type="dxa"/>
            <w:tcBorders>
              <w:left w:val="single" w:sz="4" w:space="0" w:color="000000"/>
            </w:tcBorders>
            <w:shd w:val="clear" w:color="auto" w:fill="F1F1F1"/>
          </w:tcPr>
          <w:p>
            <w:pPr>
              <w:pStyle w:val="TableParagraph"/>
              <w:spacing w:before="166"/>
              <w:ind w:left="729"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522" w:hRule="atLeast"/>
        </w:trPr>
        <w:tc>
          <w:tcPr>
            <w:tcW w:w="14386" w:type="dxa"/>
            <w:gridSpan w:val="8"/>
            <w:shd w:val="clear" w:color="auto" w:fill="EFF8F9"/>
          </w:tcPr>
          <w:p>
            <w:pPr>
              <w:pStyle w:val="TableParagraph"/>
              <w:spacing w:before="51"/>
              <w:ind w:left="72" w:right="139"/>
              <w:rPr>
                <w:b/>
                <w:sz w:val="18"/>
              </w:rPr>
            </w:pPr>
            <w:r>
              <w:rPr>
                <w:b/>
                <w:sz w:val="18"/>
              </w:rPr>
              <w:t>Efecto:</w:t>
            </w:r>
            <w:r>
              <w:rPr>
                <w:b/>
                <w:spacing w:val="-1"/>
                <w:sz w:val="18"/>
              </w:rPr>
              <w:t> </w:t>
            </w:r>
            <w:r>
              <w:rPr>
                <w:b/>
                <w:sz w:val="18"/>
              </w:rPr>
              <w:t>Gestión</w:t>
            </w:r>
            <w:r>
              <w:rPr>
                <w:b/>
                <w:spacing w:val="-4"/>
                <w:sz w:val="18"/>
              </w:rPr>
              <w:t> </w:t>
            </w:r>
            <w:r>
              <w:rPr>
                <w:b/>
                <w:sz w:val="18"/>
              </w:rPr>
              <w:t>administrativa,</w:t>
            </w:r>
            <w:r>
              <w:rPr>
                <w:b/>
                <w:spacing w:val="-1"/>
                <w:sz w:val="18"/>
              </w:rPr>
              <w:t> </w:t>
            </w:r>
            <w:r>
              <w:rPr>
                <w:b/>
                <w:sz w:val="18"/>
              </w:rPr>
              <w:t>financiera,</w:t>
            </w:r>
            <w:r>
              <w:rPr>
                <w:b/>
                <w:spacing w:val="-1"/>
                <w:sz w:val="18"/>
              </w:rPr>
              <w:t> </w:t>
            </w:r>
            <w:r>
              <w:rPr>
                <w:b/>
                <w:sz w:val="18"/>
              </w:rPr>
              <w:t>tecnológica</w:t>
            </w:r>
            <w:r>
              <w:rPr>
                <w:b/>
                <w:spacing w:val="-3"/>
                <w:sz w:val="18"/>
              </w:rPr>
              <w:t> </w:t>
            </w:r>
            <w:r>
              <w:rPr>
                <w:b/>
                <w:sz w:val="18"/>
              </w:rPr>
              <w:t>y</w:t>
            </w:r>
            <w:r>
              <w:rPr>
                <w:b/>
                <w:spacing w:val="-3"/>
                <w:sz w:val="18"/>
              </w:rPr>
              <w:t> </w:t>
            </w:r>
            <w:r>
              <w:rPr>
                <w:b/>
                <w:sz w:val="18"/>
              </w:rPr>
              <w:t>asesora,</w:t>
            </w:r>
            <w:r>
              <w:rPr>
                <w:b/>
                <w:spacing w:val="-1"/>
                <w:sz w:val="18"/>
              </w:rPr>
              <w:t> </w:t>
            </w:r>
            <w:r>
              <w:rPr>
                <w:b/>
                <w:sz w:val="18"/>
              </w:rPr>
              <w:t>oportuna</w:t>
            </w:r>
            <w:r>
              <w:rPr>
                <w:b/>
                <w:spacing w:val="-3"/>
                <w:sz w:val="18"/>
              </w:rPr>
              <w:t> </w:t>
            </w:r>
            <w:r>
              <w:rPr>
                <w:b/>
                <w:sz w:val="18"/>
              </w:rPr>
              <w:t>para</w:t>
            </w:r>
            <w:r>
              <w:rPr>
                <w:b/>
                <w:spacing w:val="-3"/>
                <w:sz w:val="18"/>
              </w:rPr>
              <w:t> </w:t>
            </w:r>
            <w:r>
              <w:rPr>
                <w:b/>
                <w:sz w:val="18"/>
              </w:rPr>
              <w:t>coadyuvar</w:t>
            </w:r>
            <w:r>
              <w:rPr>
                <w:b/>
                <w:spacing w:val="-2"/>
                <w:sz w:val="18"/>
              </w:rPr>
              <w:t> </w:t>
            </w:r>
            <w:r>
              <w:rPr>
                <w:b/>
                <w:sz w:val="18"/>
              </w:rPr>
              <w:t>en</w:t>
            </w:r>
            <w:r>
              <w:rPr>
                <w:b/>
                <w:spacing w:val="-4"/>
                <w:sz w:val="18"/>
              </w:rPr>
              <w:t> </w:t>
            </w:r>
            <w:r>
              <w:rPr>
                <w:b/>
                <w:sz w:val="18"/>
              </w:rPr>
              <w:t>la ejecución</w:t>
            </w:r>
            <w:r>
              <w:rPr>
                <w:b/>
                <w:spacing w:val="-4"/>
                <w:sz w:val="18"/>
              </w:rPr>
              <w:t> </w:t>
            </w:r>
            <w:r>
              <w:rPr>
                <w:b/>
                <w:sz w:val="18"/>
              </w:rPr>
              <w:t>de</w:t>
            </w:r>
            <w:r>
              <w:rPr>
                <w:b/>
                <w:spacing w:val="-3"/>
                <w:sz w:val="18"/>
              </w:rPr>
              <w:t> </w:t>
            </w:r>
            <w:r>
              <w:rPr>
                <w:b/>
                <w:sz w:val="18"/>
              </w:rPr>
              <w:t>la</w:t>
            </w:r>
            <w:r>
              <w:rPr>
                <w:b/>
                <w:spacing w:val="-3"/>
                <w:sz w:val="18"/>
              </w:rPr>
              <w:t> </w:t>
            </w:r>
            <w:r>
              <w:rPr>
                <w:b/>
                <w:sz w:val="18"/>
              </w:rPr>
              <w:t>oferta programática</w:t>
            </w:r>
            <w:r>
              <w:rPr>
                <w:b/>
                <w:spacing w:val="-3"/>
                <w:sz w:val="18"/>
              </w:rPr>
              <w:t> </w:t>
            </w:r>
            <w:r>
              <w:rPr>
                <w:b/>
                <w:sz w:val="18"/>
              </w:rPr>
              <w:t>institucionalización</w:t>
            </w:r>
            <w:r>
              <w:rPr>
                <w:b/>
                <w:spacing w:val="-4"/>
                <w:sz w:val="18"/>
              </w:rPr>
              <w:t> </w:t>
            </w:r>
            <w:r>
              <w:rPr>
                <w:b/>
                <w:sz w:val="18"/>
              </w:rPr>
              <w:t>dirigida a</w:t>
            </w:r>
            <w:r>
              <w:rPr>
                <w:b/>
                <w:spacing w:val="-8"/>
                <w:sz w:val="18"/>
              </w:rPr>
              <w:t> </w:t>
            </w:r>
            <w:r>
              <w:rPr>
                <w:b/>
                <w:sz w:val="18"/>
              </w:rPr>
              <w:t>la población en situación de pobreza extrema y pobreza.</w:t>
            </w:r>
          </w:p>
        </w:tc>
      </w:tr>
      <w:tr>
        <w:trPr>
          <w:trHeight w:val="767" w:hRule="atLeast"/>
        </w:trPr>
        <w:tc>
          <w:tcPr>
            <w:tcW w:w="14386" w:type="dxa"/>
            <w:gridSpan w:val="8"/>
            <w:shd w:val="clear" w:color="auto" w:fill="DCE6F0"/>
          </w:tcPr>
          <w:p>
            <w:pPr>
              <w:pStyle w:val="TableParagraph"/>
              <w:spacing w:before="176"/>
              <w:ind w:left="72" w:right="139"/>
              <w:rPr>
                <w:b/>
                <w:sz w:val="18"/>
              </w:rPr>
            </w:pPr>
            <w:r>
              <w:rPr>
                <w:b/>
                <w:sz w:val="18"/>
              </w:rPr>
              <w:t>Producto</w:t>
            </w:r>
            <w:r>
              <w:rPr>
                <w:b/>
                <w:spacing w:val="-3"/>
                <w:sz w:val="18"/>
              </w:rPr>
              <w:t> </w:t>
            </w:r>
            <w:r>
              <w:rPr>
                <w:b/>
                <w:sz w:val="18"/>
              </w:rPr>
              <w:t>PAC</w:t>
            </w:r>
            <w:r>
              <w:rPr>
                <w:b/>
                <w:spacing w:val="-5"/>
                <w:sz w:val="18"/>
              </w:rPr>
              <w:t> </w:t>
            </w:r>
            <w:r>
              <w:rPr>
                <w:b/>
                <w:sz w:val="18"/>
              </w:rPr>
              <w:t>2.53:</w:t>
            </w:r>
            <w:r>
              <w:rPr>
                <w:b/>
                <w:spacing w:val="40"/>
                <w:sz w:val="18"/>
              </w:rPr>
              <w:t> </w:t>
            </w:r>
            <w:r>
              <w:rPr>
                <w:b/>
                <w:sz w:val="18"/>
              </w:rPr>
              <w:t>Promover</w:t>
            </w:r>
            <w:r>
              <w:rPr>
                <w:b/>
                <w:spacing w:val="-1"/>
                <w:sz w:val="18"/>
              </w:rPr>
              <w:t> </w:t>
            </w:r>
            <w:r>
              <w:rPr>
                <w:b/>
                <w:sz w:val="18"/>
              </w:rPr>
              <w:t>el conocimiento</w:t>
            </w:r>
            <w:r>
              <w:rPr>
                <w:b/>
                <w:spacing w:val="-3"/>
                <w:sz w:val="18"/>
              </w:rPr>
              <w:t> </w:t>
            </w:r>
            <w:r>
              <w:rPr>
                <w:b/>
                <w:sz w:val="18"/>
              </w:rPr>
              <w:t>de</w:t>
            </w:r>
            <w:r>
              <w:rPr>
                <w:b/>
                <w:spacing w:val="-2"/>
                <w:sz w:val="18"/>
              </w:rPr>
              <w:t> </w:t>
            </w:r>
            <w:r>
              <w:rPr>
                <w:b/>
                <w:sz w:val="18"/>
              </w:rPr>
              <w:t>temas</w:t>
            </w:r>
            <w:r>
              <w:rPr>
                <w:b/>
                <w:spacing w:val="-2"/>
                <w:sz w:val="18"/>
              </w:rPr>
              <w:t> </w:t>
            </w:r>
            <w:r>
              <w:rPr>
                <w:b/>
                <w:sz w:val="18"/>
              </w:rPr>
              <w:t>jurídicos</w:t>
            </w:r>
            <w:r>
              <w:rPr>
                <w:b/>
                <w:spacing w:val="-2"/>
                <w:sz w:val="18"/>
              </w:rPr>
              <w:t> </w:t>
            </w:r>
            <w:r>
              <w:rPr>
                <w:b/>
                <w:sz w:val="18"/>
              </w:rPr>
              <w:t>a</w:t>
            </w:r>
            <w:r>
              <w:rPr>
                <w:b/>
                <w:spacing w:val="-2"/>
                <w:sz w:val="18"/>
              </w:rPr>
              <w:t> </w:t>
            </w:r>
            <w:r>
              <w:rPr>
                <w:b/>
                <w:sz w:val="18"/>
              </w:rPr>
              <w:t>personas</w:t>
            </w:r>
            <w:r>
              <w:rPr>
                <w:b/>
                <w:spacing w:val="-2"/>
                <w:sz w:val="18"/>
              </w:rPr>
              <w:t> </w:t>
            </w:r>
            <w:r>
              <w:rPr>
                <w:b/>
                <w:sz w:val="18"/>
              </w:rPr>
              <w:t>funcionarias del IMAS, a</w:t>
            </w:r>
            <w:r>
              <w:rPr>
                <w:b/>
                <w:spacing w:val="-2"/>
                <w:sz w:val="18"/>
              </w:rPr>
              <w:t> </w:t>
            </w:r>
            <w:r>
              <w:rPr>
                <w:b/>
                <w:sz w:val="18"/>
              </w:rPr>
              <w:t>través</w:t>
            </w:r>
            <w:r>
              <w:rPr>
                <w:b/>
                <w:spacing w:val="-2"/>
                <w:sz w:val="18"/>
              </w:rPr>
              <w:t> </w:t>
            </w:r>
            <w:r>
              <w:rPr>
                <w:b/>
                <w:sz w:val="18"/>
              </w:rPr>
              <w:t>de</w:t>
            </w:r>
            <w:r>
              <w:rPr>
                <w:b/>
                <w:spacing w:val="-2"/>
                <w:sz w:val="18"/>
              </w:rPr>
              <w:t> </w:t>
            </w:r>
            <w:r>
              <w:rPr>
                <w:b/>
                <w:sz w:val="18"/>
              </w:rPr>
              <w:t>talleres</w:t>
            </w:r>
            <w:r>
              <w:rPr>
                <w:b/>
                <w:spacing w:val="-2"/>
                <w:sz w:val="18"/>
              </w:rPr>
              <w:t> </w:t>
            </w:r>
            <w:r>
              <w:rPr>
                <w:b/>
                <w:sz w:val="18"/>
              </w:rPr>
              <w:t>formativos</w:t>
            </w:r>
            <w:r>
              <w:rPr>
                <w:b/>
                <w:spacing w:val="-2"/>
                <w:sz w:val="18"/>
              </w:rPr>
              <w:t> </w:t>
            </w:r>
            <w:r>
              <w:rPr>
                <w:b/>
                <w:sz w:val="18"/>
              </w:rPr>
              <w:t>virtuales</w:t>
            </w:r>
            <w:r>
              <w:rPr>
                <w:b/>
                <w:spacing w:val="-2"/>
                <w:sz w:val="18"/>
              </w:rPr>
              <w:t> </w:t>
            </w:r>
            <w:r>
              <w:rPr>
                <w:b/>
                <w:sz w:val="18"/>
              </w:rPr>
              <w:t>o</w:t>
            </w:r>
            <w:r>
              <w:rPr>
                <w:b/>
                <w:spacing w:val="-3"/>
                <w:sz w:val="18"/>
              </w:rPr>
              <w:t> </w:t>
            </w:r>
            <w:r>
              <w:rPr>
                <w:b/>
                <w:sz w:val="18"/>
              </w:rPr>
              <w:t>presenciales, con</w:t>
            </w:r>
            <w:r>
              <w:rPr>
                <w:b/>
                <w:spacing w:val="-3"/>
                <w:sz w:val="18"/>
              </w:rPr>
              <w:t> </w:t>
            </w:r>
            <w:r>
              <w:rPr>
                <w:b/>
                <w:sz w:val="18"/>
              </w:rPr>
              <w:t>el fin de lograr el fortalecimiento de habilidades de resolución y abordaje de diversas situaciones jurídicas.</w:t>
            </w:r>
          </w:p>
        </w:tc>
      </w:tr>
      <w:tr>
        <w:trPr>
          <w:trHeight w:val="1031" w:hRule="atLeast"/>
        </w:trPr>
        <w:tc>
          <w:tcPr>
            <w:tcW w:w="2545" w:type="dxa"/>
            <w:tcBorders>
              <w:bottom w:val="single" w:sz="4" w:space="0" w:color="000000"/>
              <w:right w:val="single" w:sz="4" w:space="0" w:color="000000"/>
            </w:tcBorders>
          </w:tcPr>
          <w:p>
            <w:pPr>
              <w:pStyle w:val="TableParagraph"/>
              <w:spacing w:line="206" w:lineRule="exact"/>
              <w:ind w:left="72" w:right="107"/>
              <w:rPr>
                <w:sz w:val="18"/>
              </w:rPr>
            </w:pPr>
            <w:r>
              <w:rPr>
                <w:b/>
                <w:sz w:val="18"/>
              </w:rPr>
              <w:t>Actividad PAC 2.53.1: </w:t>
            </w:r>
            <w:r>
              <w:rPr>
                <w:sz w:val="18"/>
              </w:rPr>
              <w:t>Definir y planear los contenidos temáticos de los talleres</w:t>
            </w:r>
            <w:r>
              <w:rPr>
                <w:spacing w:val="-12"/>
                <w:sz w:val="18"/>
              </w:rPr>
              <w:t> </w:t>
            </w:r>
            <w:r>
              <w:rPr>
                <w:sz w:val="18"/>
              </w:rPr>
              <w:t>formativos</w:t>
            </w:r>
            <w:r>
              <w:rPr>
                <w:spacing w:val="-12"/>
                <w:sz w:val="18"/>
              </w:rPr>
              <w:t> </w:t>
            </w:r>
            <w:r>
              <w:rPr>
                <w:sz w:val="18"/>
              </w:rPr>
              <w:t>virtuales</w:t>
            </w:r>
            <w:r>
              <w:rPr>
                <w:spacing w:val="-8"/>
                <w:sz w:val="18"/>
              </w:rPr>
              <w:t> </w:t>
            </w:r>
            <w:r>
              <w:rPr>
                <w:sz w:val="18"/>
              </w:rPr>
              <w:t>o </w:t>
            </w:r>
            <w:r>
              <w:rPr>
                <w:spacing w:val="-2"/>
                <w:sz w:val="18"/>
              </w:rPr>
              <w:t>presenciales.</w:t>
            </w:r>
          </w:p>
        </w:tc>
        <w:tc>
          <w:tcPr>
            <w:tcW w:w="1277" w:type="dxa"/>
            <w:tcBorders>
              <w:left w:val="single" w:sz="4" w:space="0" w:color="000000"/>
              <w:bottom w:val="single" w:sz="4" w:space="0" w:color="000000"/>
              <w:right w:val="single" w:sz="4" w:space="0" w:color="000000"/>
            </w:tcBorders>
          </w:tcPr>
          <w:p>
            <w:pPr>
              <w:pStyle w:val="TableParagraph"/>
              <w:spacing w:before="205"/>
              <w:rPr>
                <w:b/>
                <w:sz w:val="18"/>
              </w:rPr>
            </w:pPr>
          </w:p>
          <w:p>
            <w:pPr>
              <w:pStyle w:val="TableParagraph"/>
              <w:ind w:left="22" w:right="8"/>
              <w:jc w:val="center"/>
              <w:rPr>
                <w:sz w:val="18"/>
              </w:rPr>
            </w:pPr>
            <w:r>
              <w:rPr>
                <w:spacing w:val="-10"/>
                <w:sz w:val="18"/>
              </w:rPr>
              <w:t>2</w:t>
            </w:r>
          </w:p>
        </w:tc>
        <w:tc>
          <w:tcPr>
            <w:tcW w:w="1700" w:type="dxa"/>
            <w:tcBorders>
              <w:left w:val="single" w:sz="4" w:space="0" w:color="000000"/>
              <w:bottom w:val="single" w:sz="4" w:space="0" w:color="000000"/>
              <w:right w:val="single" w:sz="4" w:space="0" w:color="000000"/>
            </w:tcBorders>
          </w:tcPr>
          <w:p>
            <w:pPr>
              <w:pStyle w:val="TableParagraph"/>
              <w:spacing w:before="205"/>
              <w:rPr>
                <w:b/>
                <w:sz w:val="18"/>
              </w:rPr>
            </w:pPr>
          </w:p>
          <w:p>
            <w:pPr>
              <w:pStyle w:val="TableParagraph"/>
              <w:ind w:left="17" w:right="3"/>
              <w:jc w:val="center"/>
              <w:rPr>
                <w:sz w:val="18"/>
              </w:rPr>
            </w:pPr>
            <w:r>
              <w:rPr>
                <w:spacing w:val="-10"/>
                <w:sz w:val="18"/>
              </w:rPr>
              <w:t>2</w:t>
            </w:r>
          </w:p>
        </w:tc>
        <w:tc>
          <w:tcPr>
            <w:tcW w:w="1133" w:type="dxa"/>
            <w:tcBorders>
              <w:left w:val="single" w:sz="4" w:space="0" w:color="000000"/>
              <w:bottom w:val="single" w:sz="4" w:space="0" w:color="000000"/>
              <w:right w:val="single" w:sz="4" w:space="0" w:color="000000"/>
            </w:tcBorders>
          </w:tcPr>
          <w:p>
            <w:pPr>
              <w:pStyle w:val="TableParagraph"/>
              <w:spacing w:before="105"/>
              <w:ind w:left="71"/>
              <w:rPr>
                <w:sz w:val="18"/>
              </w:rPr>
            </w:pPr>
            <w:r>
              <w:rPr>
                <w:sz w:val="18"/>
              </w:rPr>
              <w:t>Cantidad</w:t>
            </w:r>
            <w:r>
              <w:rPr>
                <w:spacing w:val="-13"/>
                <w:sz w:val="18"/>
              </w:rPr>
              <w:t> </w:t>
            </w:r>
            <w:r>
              <w:rPr>
                <w:sz w:val="18"/>
              </w:rPr>
              <w:t>de </w:t>
            </w:r>
            <w:r>
              <w:rPr>
                <w:spacing w:val="-2"/>
                <w:sz w:val="18"/>
              </w:rPr>
              <w:t>programas temáticos definidos.</w:t>
            </w:r>
          </w:p>
        </w:tc>
        <w:tc>
          <w:tcPr>
            <w:tcW w:w="1983" w:type="dxa"/>
            <w:tcBorders>
              <w:left w:val="single" w:sz="4" w:space="0" w:color="000000"/>
              <w:bottom w:val="single" w:sz="4" w:space="0" w:color="000000"/>
              <w:right w:val="single" w:sz="4" w:space="0" w:color="000000"/>
            </w:tcBorders>
          </w:tcPr>
          <w:p>
            <w:pPr>
              <w:pStyle w:val="TableParagraph"/>
              <w:spacing w:before="104"/>
              <w:rPr>
                <w:b/>
                <w:sz w:val="18"/>
              </w:rPr>
            </w:pPr>
          </w:p>
          <w:p>
            <w:pPr>
              <w:pStyle w:val="TableParagraph"/>
              <w:ind w:left="76"/>
              <w:rPr>
                <w:sz w:val="18"/>
              </w:rPr>
            </w:pPr>
            <w:r>
              <w:rPr>
                <w:sz w:val="18"/>
              </w:rPr>
              <w:t>Programa Temático / informe</w:t>
            </w:r>
            <w:r>
              <w:rPr>
                <w:spacing w:val="-15"/>
                <w:sz w:val="18"/>
              </w:rPr>
              <w:t> </w:t>
            </w:r>
            <w:r>
              <w:rPr>
                <w:sz w:val="18"/>
              </w:rPr>
              <w:t>de</w:t>
            </w:r>
            <w:r>
              <w:rPr>
                <w:spacing w:val="-12"/>
                <w:sz w:val="18"/>
              </w:rPr>
              <w:t> </w:t>
            </w:r>
            <w:r>
              <w:rPr>
                <w:sz w:val="18"/>
              </w:rPr>
              <w:t>planeación</w:t>
            </w:r>
          </w:p>
        </w:tc>
        <w:tc>
          <w:tcPr>
            <w:tcW w:w="1277" w:type="dxa"/>
            <w:tcBorders>
              <w:left w:val="single" w:sz="4" w:space="0" w:color="000000"/>
              <w:bottom w:val="single" w:sz="4" w:space="0" w:color="000000"/>
              <w:right w:val="single" w:sz="4" w:space="0" w:color="000000"/>
            </w:tcBorders>
          </w:tcPr>
          <w:p>
            <w:pPr>
              <w:pStyle w:val="TableParagraph"/>
              <w:spacing w:before="205"/>
              <w:rPr>
                <w:b/>
                <w:sz w:val="18"/>
              </w:rPr>
            </w:pPr>
          </w:p>
          <w:p>
            <w:pPr>
              <w:pStyle w:val="TableParagraph"/>
              <w:ind w:left="76"/>
              <w:rPr>
                <w:sz w:val="18"/>
              </w:rPr>
            </w:pPr>
            <w:r>
              <w:rPr>
                <w:spacing w:val="-5"/>
                <w:sz w:val="18"/>
              </w:rPr>
              <w:t>AJ</w:t>
            </w:r>
          </w:p>
        </w:tc>
        <w:tc>
          <w:tcPr>
            <w:tcW w:w="1844"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627" w:type="dxa"/>
            <w:tcBorders>
              <w:left w:val="single" w:sz="4" w:space="0" w:color="000000"/>
            </w:tcBorders>
          </w:tcPr>
          <w:p>
            <w:pPr>
              <w:pStyle w:val="TableParagraph"/>
              <w:spacing w:line="206" w:lineRule="exact"/>
              <w:ind w:left="71"/>
              <w:rPr>
                <w:sz w:val="18"/>
              </w:rPr>
            </w:pPr>
            <w:r>
              <w:rPr>
                <w:sz w:val="18"/>
              </w:rPr>
              <w:t>Evento: Desconocimiento jurídico por parte de las personas</w:t>
            </w:r>
            <w:r>
              <w:rPr>
                <w:spacing w:val="-12"/>
                <w:sz w:val="18"/>
              </w:rPr>
              <w:t> </w:t>
            </w:r>
            <w:r>
              <w:rPr>
                <w:sz w:val="18"/>
              </w:rPr>
              <w:t>funcionarias</w:t>
            </w:r>
            <w:r>
              <w:rPr>
                <w:spacing w:val="-12"/>
                <w:sz w:val="18"/>
              </w:rPr>
              <w:t> </w:t>
            </w:r>
            <w:r>
              <w:rPr>
                <w:sz w:val="18"/>
              </w:rPr>
              <w:t>sobre</w:t>
            </w:r>
            <w:r>
              <w:rPr>
                <w:spacing w:val="-12"/>
                <w:sz w:val="18"/>
              </w:rPr>
              <w:t> </w:t>
            </w:r>
            <w:r>
              <w:rPr>
                <w:sz w:val="18"/>
              </w:rPr>
              <w:t>la atención adecuada de las necesidades de la población</w:t>
            </w:r>
          </w:p>
        </w:tc>
      </w:tr>
    </w:tbl>
    <w:p>
      <w:pPr>
        <w:pStyle w:val="TableParagraph"/>
        <w:spacing w:after="0" w:line="206" w:lineRule="exact"/>
        <w:rPr>
          <w:sz w:val="18"/>
        </w:rPr>
        <w:sectPr>
          <w:type w:val="continuous"/>
          <w:pgSz w:w="15840" w:h="12240" w:orient="landscape"/>
          <w:pgMar w:header="0" w:footer="1806" w:top="700" w:bottom="3225" w:left="360" w:right="360"/>
        </w:sectPr>
      </w:pPr>
    </w:p>
    <w:tbl>
      <w:tblPr>
        <w:tblW w:w="0" w:type="auto"/>
        <w:jc w:val="left"/>
        <w:tblInd w:w="3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5"/>
        <w:gridCol w:w="1277"/>
        <w:gridCol w:w="1700"/>
        <w:gridCol w:w="1133"/>
        <w:gridCol w:w="1983"/>
        <w:gridCol w:w="1277"/>
        <w:gridCol w:w="1844"/>
        <w:gridCol w:w="2627"/>
      </w:tblGrid>
      <w:tr>
        <w:trPr>
          <w:trHeight w:val="747" w:hRule="atLeast"/>
        </w:trPr>
        <w:tc>
          <w:tcPr>
            <w:tcW w:w="2545" w:type="dxa"/>
            <w:tcBorders>
              <w:right w:val="single" w:sz="4" w:space="0" w:color="000000"/>
            </w:tcBorders>
            <w:shd w:val="clear" w:color="auto" w:fill="F1F1F1"/>
          </w:tcPr>
          <w:p>
            <w:pPr>
              <w:pStyle w:val="TableParagraph"/>
              <w:spacing w:before="65"/>
              <w:rPr>
                <w:b/>
                <w:sz w:val="18"/>
              </w:rPr>
            </w:pPr>
          </w:p>
          <w:p>
            <w:pPr>
              <w:pStyle w:val="TableParagraph"/>
              <w:ind w:left="72"/>
              <w:rPr>
                <w:b/>
                <w:sz w:val="18"/>
              </w:rPr>
            </w:pPr>
            <w:r>
              <w:rPr>
                <w:b/>
                <w:sz w:val="18"/>
              </w:rPr>
              <w:t>Objetivos</w:t>
            </w:r>
            <w:r>
              <w:rPr>
                <w:b/>
                <w:spacing w:val="-5"/>
                <w:sz w:val="18"/>
              </w:rPr>
              <w:t> </w:t>
            </w:r>
            <w:r>
              <w:rPr>
                <w:b/>
                <w:sz w:val="18"/>
              </w:rPr>
              <w:t>/</w:t>
            </w:r>
            <w:r>
              <w:rPr>
                <w:b/>
                <w:spacing w:val="-2"/>
                <w:sz w:val="18"/>
              </w:rPr>
              <w:t> Resultados</w:t>
            </w:r>
          </w:p>
        </w:tc>
        <w:tc>
          <w:tcPr>
            <w:tcW w:w="1277" w:type="dxa"/>
            <w:tcBorders>
              <w:left w:val="single" w:sz="4" w:space="0" w:color="000000"/>
              <w:right w:val="single" w:sz="4" w:space="0" w:color="000000"/>
            </w:tcBorders>
            <w:shd w:val="clear" w:color="auto" w:fill="F1F1F1"/>
          </w:tcPr>
          <w:p>
            <w:pPr>
              <w:pStyle w:val="TableParagraph"/>
              <w:spacing w:before="166"/>
              <w:ind w:left="379" w:hanging="216"/>
              <w:rPr>
                <w:b/>
                <w:sz w:val="18"/>
              </w:rPr>
            </w:pPr>
            <w:r>
              <w:rPr>
                <w:b/>
                <w:sz w:val="18"/>
              </w:rPr>
              <w:t>Línea</w:t>
            </w:r>
            <w:r>
              <w:rPr>
                <w:b/>
                <w:spacing w:val="-13"/>
                <w:sz w:val="18"/>
              </w:rPr>
              <w:t> </w:t>
            </w:r>
            <w:r>
              <w:rPr>
                <w:b/>
                <w:sz w:val="18"/>
              </w:rPr>
              <w:t>Base </w:t>
            </w:r>
            <w:r>
              <w:rPr>
                <w:b/>
                <w:spacing w:val="-2"/>
                <w:sz w:val="18"/>
              </w:rPr>
              <w:t>(2024)</w:t>
            </w:r>
          </w:p>
        </w:tc>
        <w:tc>
          <w:tcPr>
            <w:tcW w:w="1700" w:type="dxa"/>
            <w:tcBorders>
              <w:left w:val="single" w:sz="4" w:space="0" w:color="000000"/>
              <w:right w:val="single" w:sz="4" w:space="0" w:color="000000"/>
            </w:tcBorders>
            <w:shd w:val="clear" w:color="auto" w:fill="F1F1F1"/>
          </w:tcPr>
          <w:p>
            <w:pPr>
              <w:pStyle w:val="TableParagraph"/>
              <w:spacing w:before="166"/>
              <w:ind w:left="652" w:hanging="552"/>
              <w:rPr>
                <w:b/>
                <w:sz w:val="18"/>
              </w:rPr>
            </w:pPr>
            <w:r>
              <w:rPr>
                <w:b/>
                <w:sz w:val="18"/>
              </w:rPr>
              <w:t>Meta</w:t>
            </w:r>
            <w:r>
              <w:rPr>
                <w:b/>
                <w:spacing w:val="-13"/>
                <w:sz w:val="18"/>
              </w:rPr>
              <w:t> </w:t>
            </w:r>
            <w:r>
              <w:rPr>
                <w:b/>
                <w:sz w:val="18"/>
              </w:rPr>
              <w:t>programada </w:t>
            </w:r>
            <w:r>
              <w:rPr>
                <w:b/>
                <w:spacing w:val="-4"/>
                <w:sz w:val="18"/>
              </w:rPr>
              <w:t>2026</w:t>
            </w:r>
          </w:p>
        </w:tc>
        <w:tc>
          <w:tcPr>
            <w:tcW w:w="1133" w:type="dxa"/>
            <w:tcBorders>
              <w:left w:val="single" w:sz="4" w:space="0" w:color="000000"/>
              <w:right w:val="single" w:sz="4" w:space="0" w:color="000000"/>
            </w:tcBorders>
            <w:shd w:val="clear" w:color="auto" w:fill="F1F1F1"/>
          </w:tcPr>
          <w:p>
            <w:pPr>
              <w:pStyle w:val="TableParagraph"/>
              <w:spacing w:before="65"/>
              <w:rPr>
                <w:b/>
                <w:sz w:val="18"/>
              </w:rPr>
            </w:pPr>
          </w:p>
          <w:p>
            <w:pPr>
              <w:pStyle w:val="TableParagraph"/>
              <w:ind w:left="163"/>
              <w:rPr>
                <w:b/>
                <w:sz w:val="18"/>
              </w:rPr>
            </w:pPr>
            <w:r>
              <w:rPr>
                <w:b/>
                <w:spacing w:val="-2"/>
                <w:sz w:val="18"/>
              </w:rPr>
              <w:t>Indicador</w:t>
            </w:r>
          </w:p>
        </w:tc>
        <w:tc>
          <w:tcPr>
            <w:tcW w:w="1983" w:type="dxa"/>
            <w:tcBorders>
              <w:left w:val="single" w:sz="4" w:space="0" w:color="000000"/>
              <w:right w:val="single" w:sz="4" w:space="0" w:color="000000"/>
            </w:tcBorders>
            <w:shd w:val="clear" w:color="auto" w:fill="F1F1F1"/>
          </w:tcPr>
          <w:p>
            <w:pPr>
              <w:pStyle w:val="TableParagraph"/>
              <w:spacing w:before="166"/>
              <w:ind w:left="499" w:firstLine="57"/>
              <w:rPr>
                <w:b/>
                <w:sz w:val="18"/>
              </w:rPr>
            </w:pPr>
            <w:r>
              <w:rPr>
                <w:b/>
                <w:sz w:val="18"/>
              </w:rPr>
              <w:t>Medios de </w:t>
            </w:r>
            <w:r>
              <w:rPr>
                <w:b/>
                <w:spacing w:val="-2"/>
                <w:sz w:val="18"/>
              </w:rPr>
              <w:t>verificación</w:t>
            </w:r>
          </w:p>
        </w:tc>
        <w:tc>
          <w:tcPr>
            <w:tcW w:w="1277" w:type="dxa"/>
            <w:tcBorders>
              <w:left w:val="single" w:sz="4" w:space="0" w:color="000000"/>
              <w:right w:val="single" w:sz="4" w:space="0" w:color="000000"/>
            </w:tcBorders>
            <w:shd w:val="clear" w:color="auto" w:fill="F1F1F1"/>
          </w:tcPr>
          <w:p>
            <w:pPr>
              <w:pStyle w:val="TableParagraph"/>
              <w:spacing w:before="65"/>
              <w:rPr>
                <w:b/>
                <w:sz w:val="18"/>
              </w:rPr>
            </w:pPr>
          </w:p>
          <w:p>
            <w:pPr>
              <w:pStyle w:val="TableParagraph"/>
              <w:ind w:left="86"/>
              <w:rPr>
                <w:b/>
                <w:sz w:val="18"/>
              </w:rPr>
            </w:pPr>
            <w:r>
              <w:rPr>
                <w:b/>
                <w:spacing w:val="-2"/>
                <w:sz w:val="18"/>
              </w:rPr>
              <w:t>Responsable</w:t>
            </w:r>
          </w:p>
        </w:tc>
        <w:tc>
          <w:tcPr>
            <w:tcW w:w="1844" w:type="dxa"/>
            <w:tcBorders>
              <w:left w:val="single" w:sz="4" w:space="0" w:color="000000"/>
              <w:right w:val="single" w:sz="4" w:space="0" w:color="000000"/>
            </w:tcBorders>
            <w:shd w:val="clear" w:color="auto" w:fill="F1F1F1"/>
          </w:tcPr>
          <w:p>
            <w:pPr>
              <w:pStyle w:val="TableParagraph"/>
              <w:spacing w:before="166"/>
              <w:ind w:left="528" w:hanging="149"/>
              <w:rPr>
                <w:b/>
                <w:sz w:val="18"/>
              </w:rPr>
            </w:pPr>
            <w:r>
              <w:rPr>
                <w:b/>
                <w:spacing w:val="-2"/>
                <w:sz w:val="18"/>
              </w:rPr>
              <w:t>Presupuesto asignado</w:t>
            </w:r>
          </w:p>
        </w:tc>
        <w:tc>
          <w:tcPr>
            <w:tcW w:w="2627" w:type="dxa"/>
            <w:tcBorders>
              <w:left w:val="single" w:sz="4" w:space="0" w:color="000000"/>
            </w:tcBorders>
            <w:shd w:val="clear" w:color="auto" w:fill="F1F1F1"/>
          </w:tcPr>
          <w:p>
            <w:pPr>
              <w:pStyle w:val="TableParagraph"/>
              <w:spacing w:before="166"/>
              <w:ind w:left="729"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713" w:hRule="atLeast"/>
        </w:trPr>
        <w:tc>
          <w:tcPr>
            <w:tcW w:w="2545" w:type="dxa"/>
            <w:tcBorders>
              <w:right w:val="single" w:sz="4" w:space="0" w:color="000000"/>
            </w:tcBorders>
          </w:tcPr>
          <w:p>
            <w:pPr>
              <w:pStyle w:val="TableParagraph"/>
              <w:spacing w:before="27"/>
              <w:ind w:left="72"/>
              <w:rPr>
                <w:sz w:val="18"/>
              </w:rPr>
            </w:pPr>
            <w:r>
              <w:rPr>
                <w:b/>
                <w:sz w:val="18"/>
              </w:rPr>
              <w:t>Actividad PAC 2.53.2: </w:t>
            </w:r>
            <w:r>
              <w:rPr>
                <w:sz w:val="18"/>
              </w:rPr>
              <w:t>Ejecución de talleres formativos virtuales o presenciales, en temas jurídicos,</w:t>
            </w:r>
            <w:r>
              <w:rPr>
                <w:spacing w:val="-13"/>
                <w:sz w:val="18"/>
              </w:rPr>
              <w:t> </w:t>
            </w:r>
            <w:r>
              <w:rPr>
                <w:sz w:val="18"/>
              </w:rPr>
              <w:t>relevantes</w:t>
            </w:r>
            <w:r>
              <w:rPr>
                <w:spacing w:val="-10"/>
                <w:sz w:val="18"/>
              </w:rPr>
              <w:t> </w:t>
            </w:r>
            <w:r>
              <w:rPr>
                <w:sz w:val="18"/>
              </w:rPr>
              <w:t>para</w:t>
            </w:r>
            <w:r>
              <w:rPr>
                <w:spacing w:val="-13"/>
                <w:sz w:val="18"/>
              </w:rPr>
              <w:t> </w:t>
            </w:r>
            <w:r>
              <w:rPr>
                <w:sz w:val="18"/>
              </w:rPr>
              <w:t>las Áreas Regionales de Desarrollo</w:t>
            </w:r>
            <w:r>
              <w:rPr>
                <w:spacing w:val="-4"/>
                <w:sz w:val="18"/>
              </w:rPr>
              <w:t> </w:t>
            </w:r>
            <w:r>
              <w:rPr>
                <w:sz w:val="18"/>
              </w:rPr>
              <w:t>Social</w:t>
            </w:r>
            <w:r>
              <w:rPr>
                <w:spacing w:val="-5"/>
                <w:sz w:val="18"/>
              </w:rPr>
              <w:t> </w:t>
            </w:r>
            <w:r>
              <w:rPr>
                <w:sz w:val="18"/>
              </w:rPr>
              <w:t>del</w:t>
            </w:r>
            <w:r>
              <w:rPr>
                <w:spacing w:val="-9"/>
                <w:sz w:val="18"/>
              </w:rPr>
              <w:t> </w:t>
            </w:r>
            <w:r>
              <w:rPr>
                <w:sz w:val="18"/>
              </w:rPr>
              <w:t>IMAS</w:t>
            </w:r>
            <w:r>
              <w:rPr>
                <w:spacing w:val="-9"/>
                <w:sz w:val="18"/>
              </w:rPr>
              <w:t> </w:t>
            </w:r>
            <w:r>
              <w:rPr>
                <w:sz w:val="18"/>
              </w:rPr>
              <w:t>y las Áreas Administrativas</w:t>
            </w:r>
          </w:p>
        </w:tc>
        <w:tc>
          <w:tcPr>
            <w:tcW w:w="1277" w:type="dxa"/>
            <w:tcBorders>
              <w:left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132"/>
              <w:rPr>
                <w:b/>
                <w:sz w:val="18"/>
              </w:rPr>
            </w:pPr>
          </w:p>
          <w:p>
            <w:pPr>
              <w:pStyle w:val="TableParagraph"/>
              <w:ind w:left="22" w:right="8"/>
              <w:jc w:val="center"/>
              <w:rPr>
                <w:sz w:val="18"/>
              </w:rPr>
            </w:pPr>
            <w:r>
              <w:rPr>
                <w:spacing w:val="-10"/>
                <w:sz w:val="18"/>
              </w:rPr>
              <w:t>2</w:t>
            </w:r>
          </w:p>
        </w:tc>
        <w:tc>
          <w:tcPr>
            <w:tcW w:w="1700" w:type="dxa"/>
            <w:tcBorders>
              <w:left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132"/>
              <w:rPr>
                <w:b/>
                <w:sz w:val="18"/>
              </w:rPr>
            </w:pPr>
          </w:p>
          <w:p>
            <w:pPr>
              <w:pStyle w:val="TableParagraph"/>
              <w:ind w:left="17" w:right="3"/>
              <w:jc w:val="center"/>
              <w:rPr>
                <w:sz w:val="18"/>
              </w:rPr>
            </w:pPr>
            <w:r>
              <w:rPr>
                <w:spacing w:val="-10"/>
                <w:sz w:val="18"/>
              </w:rPr>
              <w:t>2</w:t>
            </w:r>
          </w:p>
        </w:tc>
        <w:tc>
          <w:tcPr>
            <w:tcW w:w="1133" w:type="dxa"/>
            <w:tcBorders>
              <w:left w:val="single" w:sz="4" w:space="0" w:color="000000"/>
              <w:right w:val="single" w:sz="4" w:space="0" w:color="000000"/>
            </w:tcBorders>
          </w:tcPr>
          <w:p>
            <w:pPr>
              <w:pStyle w:val="TableParagraph"/>
              <w:spacing w:before="133"/>
              <w:ind w:left="71" w:right="73"/>
              <w:rPr>
                <w:sz w:val="18"/>
              </w:rPr>
            </w:pPr>
            <w:r>
              <w:rPr>
                <w:sz w:val="18"/>
              </w:rPr>
              <w:t>Cantidad</w:t>
            </w:r>
            <w:r>
              <w:rPr>
                <w:spacing w:val="-13"/>
                <w:sz w:val="18"/>
              </w:rPr>
              <w:t> </w:t>
            </w:r>
            <w:r>
              <w:rPr>
                <w:sz w:val="18"/>
              </w:rPr>
              <w:t>de </w:t>
            </w:r>
            <w:r>
              <w:rPr>
                <w:spacing w:val="-2"/>
                <w:sz w:val="18"/>
              </w:rPr>
              <w:t>talleres formativos </w:t>
            </w:r>
            <w:r>
              <w:rPr>
                <w:sz w:val="18"/>
              </w:rPr>
              <w:t>virtuales</w:t>
            </w:r>
            <w:r>
              <w:rPr>
                <w:spacing w:val="-13"/>
                <w:sz w:val="18"/>
              </w:rPr>
              <w:t> </w:t>
            </w:r>
            <w:r>
              <w:rPr>
                <w:sz w:val="18"/>
              </w:rPr>
              <w:t>y/o </w:t>
            </w:r>
            <w:r>
              <w:rPr>
                <w:spacing w:val="-2"/>
                <w:sz w:val="18"/>
              </w:rPr>
              <w:t>presenciale </w:t>
            </w:r>
            <w:r>
              <w:rPr>
                <w:spacing w:val="-10"/>
                <w:sz w:val="18"/>
              </w:rPr>
              <w:t>s</w:t>
            </w:r>
            <w:r>
              <w:rPr>
                <w:spacing w:val="-2"/>
                <w:sz w:val="18"/>
              </w:rPr>
              <w:t> ejecutados.</w:t>
            </w:r>
          </w:p>
        </w:tc>
        <w:tc>
          <w:tcPr>
            <w:tcW w:w="1983" w:type="dxa"/>
            <w:tcBorders>
              <w:left w:val="single" w:sz="4" w:space="0" w:color="000000"/>
              <w:right w:val="single" w:sz="4" w:space="0" w:color="000000"/>
            </w:tcBorders>
          </w:tcPr>
          <w:p>
            <w:pPr>
              <w:pStyle w:val="TableParagraph"/>
              <w:rPr>
                <w:b/>
                <w:sz w:val="18"/>
              </w:rPr>
            </w:pPr>
          </w:p>
          <w:p>
            <w:pPr>
              <w:pStyle w:val="TableParagraph"/>
              <w:spacing w:before="132"/>
              <w:rPr>
                <w:b/>
                <w:sz w:val="18"/>
              </w:rPr>
            </w:pPr>
          </w:p>
          <w:p>
            <w:pPr>
              <w:pStyle w:val="TableParagraph"/>
              <w:ind w:left="76" w:right="169"/>
              <w:rPr>
                <w:sz w:val="18"/>
              </w:rPr>
            </w:pPr>
            <w:r>
              <w:rPr>
                <w:sz w:val="18"/>
              </w:rPr>
              <w:t>Respaldo digital o físico</w:t>
            </w:r>
            <w:r>
              <w:rPr>
                <w:spacing w:val="-10"/>
                <w:sz w:val="18"/>
              </w:rPr>
              <w:t> </w:t>
            </w:r>
            <w:r>
              <w:rPr>
                <w:sz w:val="18"/>
              </w:rPr>
              <w:t>de</w:t>
            </w:r>
            <w:r>
              <w:rPr>
                <w:spacing w:val="-13"/>
                <w:sz w:val="18"/>
              </w:rPr>
              <w:t> </w:t>
            </w:r>
            <w:r>
              <w:rPr>
                <w:sz w:val="18"/>
              </w:rPr>
              <w:t>la</w:t>
            </w:r>
            <w:r>
              <w:rPr>
                <w:spacing w:val="-9"/>
                <w:sz w:val="18"/>
              </w:rPr>
              <w:t> </w:t>
            </w:r>
            <w:r>
              <w:rPr>
                <w:sz w:val="18"/>
              </w:rPr>
              <w:t>actividad </w:t>
            </w:r>
            <w:r>
              <w:rPr>
                <w:spacing w:val="-2"/>
                <w:sz w:val="18"/>
              </w:rPr>
              <w:t>ejecutada.</w:t>
            </w:r>
          </w:p>
        </w:tc>
        <w:tc>
          <w:tcPr>
            <w:tcW w:w="1277" w:type="dxa"/>
            <w:tcBorders>
              <w:left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132"/>
              <w:rPr>
                <w:b/>
                <w:sz w:val="18"/>
              </w:rPr>
            </w:pPr>
          </w:p>
          <w:p>
            <w:pPr>
              <w:pStyle w:val="TableParagraph"/>
              <w:ind w:left="76"/>
              <w:rPr>
                <w:sz w:val="18"/>
              </w:rPr>
            </w:pPr>
            <w:r>
              <w:rPr>
                <w:spacing w:val="-5"/>
                <w:sz w:val="18"/>
              </w:rPr>
              <w:t>AJ</w:t>
            </w:r>
          </w:p>
        </w:tc>
        <w:tc>
          <w:tcPr>
            <w:tcW w:w="1844" w:type="dxa"/>
            <w:tcBorders>
              <w:left w:val="single" w:sz="4" w:space="0" w:color="000000"/>
              <w:right w:val="single" w:sz="4" w:space="0" w:color="000000"/>
            </w:tcBorders>
          </w:tcPr>
          <w:p>
            <w:pPr>
              <w:pStyle w:val="TableParagraph"/>
              <w:rPr>
                <w:rFonts w:ascii="Times New Roman"/>
                <w:sz w:val="18"/>
              </w:rPr>
            </w:pPr>
          </w:p>
        </w:tc>
        <w:tc>
          <w:tcPr>
            <w:tcW w:w="2627" w:type="dxa"/>
            <w:tcBorders>
              <w:left w:val="single" w:sz="4" w:space="0" w:color="000000"/>
            </w:tcBorders>
          </w:tcPr>
          <w:p>
            <w:pPr>
              <w:pStyle w:val="TableParagraph"/>
              <w:spacing w:before="3"/>
              <w:ind w:left="71"/>
              <w:rPr>
                <w:sz w:val="18"/>
              </w:rPr>
            </w:pPr>
            <w:r>
              <w:rPr>
                <w:sz w:val="18"/>
              </w:rPr>
              <w:t>objetivo, de sus derechos y sobre</w:t>
            </w:r>
            <w:r>
              <w:rPr>
                <w:spacing w:val="-10"/>
                <w:sz w:val="18"/>
              </w:rPr>
              <w:t> </w:t>
            </w:r>
            <w:r>
              <w:rPr>
                <w:sz w:val="18"/>
              </w:rPr>
              <w:t>la</w:t>
            </w:r>
            <w:r>
              <w:rPr>
                <w:spacing w:val="-6"/>
                <w:sz w:val="18"/>
              </w:rPr>
              <w:t> </w:t>
            </w:r>
            <w:r>
              <w:rPr>
                <w:sz w:val="18"/>
              </w:rPr>
              <w:t>actividad</w:t>
            </w:r>
            <w:r>
              <w:rPr>
                <w:spacing w:val="-10"/>
                <w:sz w:val="18"/>
              </w:rPr>
              <w:t> </w:t>
            </w:r>
            <w:r>
              <w:rPr>
                <w:sz w:val="18"/>
              </w:rPr>
              <w:t>interna</w:t>
            </w:r>
            <w:r>
              <w:rPr>
                <w:spacing w:val="-10"/>
                <w:sz w:val="18"/>
              </w:rPr>
              <w:t> </w:t>
            </w:r>
            <w:r>
              <w:rPr>
                <w:sz w:val="18"/>
              </w:rPr>
              <w:t>que deben desarrollar</w:t>
            </w:r>
          </w:p>
        </w:tc>
      </w:tr>
      <w:tr>
        <w:trPr>
          <w:trHeight w:val="556" w:hRule="atLeast"/>
        </w:trPr>
        <w:tc>
          <w:tcPr>
            <w:tcW w:w="14386" w:type="dxa"/>
            <w:gridSpan w:val="8"/>
            <w:shd w:val="clear" w:color="auto" w:fill="EFF8F9"/>
          </w:tcPr>
          <w:p>
            <w:pPr>
              <w:pStyle w:val="TableParagraph"/>
              <w:spacing w:before="70"/>
              <w:ind w:left="72" w:right="139"/>
              <w:rPr>
                <w:b/>
                <w:sz w:val="18"/>
              </w:rPr>
            </w:pPr>
            <w:r>
              <w:rPr>
                <w:b/>
                <w:sz w:val="18"/>
              </w:rPr>
              <w:t>Producto</w:t>
            </w:r>
            <w:r>
              <w:rPr>
                <w:b/>
                <w:spacing w:val="-4"/>
                <w:sz w:val="18"/>
              </w:rPr>
              <w:t> </w:t>
            </w:r>
            <w:r>
              <w:rPr>
                <w:b/>
                <w:sz w:val="18"/>
              </w:rPr>
              <w:t>PAC</w:t>
            </w:r>
            <w:r>
              <w:rPr>
                <w:b/>
                <w:spacing w:val="-5"/>
                <w:sz w:val="18"/>
              </w:rPr>
              <w:t> </w:t>
            </w:r>
            <w:r>
              <w:rPr>
                <w:b/>
                <w:sz w:val="18"/>
              </w:rPr>
              <w:t>2.54:</w:t>
            </w:r>
            <w:r>
              <w:rPr>
                <w:b/>
                <w:spacing w:val="40"/>
                <w:sz w:val="18"/>
              </w:rPr>
              <w:t> </w:t>
            </w:r>
            <w:r>
              <w:rPr>
                <w:b/>
                <w:sz w:val="18"/>
              </w:rPr>
              <w:t>Educación Jurídica</w:t>
            </w:r>
            <w:r>
              <w:rPr>
                <w:b/>
                <w:spacing w:val="-3"/>
                <w:sz w:val="18"/>
              </w:rPr>
              <w:t> </w:t>
            </w:r>
            <w:r>
              <w:rPr>
                <w:b/>
                <w:sz w:val="18"/>
              </w:rPr>
              <w:t>Continua</w:t>
            </w:r>
            <w:r>
              <w:rPr>
                <w:b/>
                <w:spacing w:val="-3"/>
                <w:sz w:val="18"/>
              </w:rPr>
              <w:t> </w:t>
            </w:r>
            <w:r>
              <w:rPr>
                <w:b/>
                <w:sz w:val="18"/>
              </w:rPr>
              <w:t>de</w:t>
            </w:r>
            <w:r>
              <w:rPr>
                <w:b/>
                <w:spacing w:val="-3"/>
                <w:sz w:val="18"/>
              </w:rPr>
              <w:t> </w:t>
            </w:r>
            <w:r>
              <w:rPr>
                <w:b/>
                <w:sz w:val="18"/>
              </w:rPr>
              <w:t>la Unidad</w:t>
            </w:r>
            <w:r>
              <w:rPr>
                <w:b/>
                <w:spacing w:val="-4"/>
                <w:sz w:val="18"/>
              </w:rPr>
              <w:t> </w:t>
            </w:r>
            <w:r>
              <w:rPr>
                <w:b/>
                <w:sz w:val="18"/>
              </w:rPr>
              <w:t>Asesora,</w:t>
            </w:r>
            <w:r>
              <w:rPr>
                <w:b/>
                <w:spacing w:val="-1"/>
                <w:sz w:val="18"/>
              </w:rPr>
              <w:t> </w:t>
            </w:r>
            <w:r>
              <w:rPr>
                <w:b/>
                <w:sz w:val="18"/>
              </w:rPr>
              <w:t>con</w:t>
            </w:r>
            <w:r>
              <w:rPr>
                <w:b/>
                <w:spacing w:val="-4"/>
                <w:sz w:val="18"/>
              </w:rPr>
              <w:t> </w:t>
            </w:r>
            <w:r>
              <w:rPr>
                <w:b/>
                <w:sz w:val="18"/>
              </w:rPr>
              <w:t>el</w:t>
            </w:r>
            <w:r>
              <w:rPr>
                <w:b/>
                <w:spacing w:val="-5"/>
                <w:sz w:val="18"/>
              </w:rPr>
              <w:t> </w:t>
            </w:r>
            <w:r>
              <w:rPr>
                <w:b/>
                <w:sz w:val="18"/>
              </w:rPr>
              <w:t>fin</w:t>
            </w:r>
            <w:r>
              <w:rPr>
                <w:b/>
                <w:spacing w:val="-4"/>
                <w:sz w:val="18"/>
              </w:rPr>
              <w:t> </w:t>
            </w:r>
            <w:r>
              <w:rPr>
                <w:b/>
                <w:sz w:val="18"/>
              </w:rPr>
              <w:t>de</w:t>
            </w:r>
            <w:r>
              <w:rPr>
                <w:b/>
                <w:spacing w:val="-3"/>
                <w:sz w:val="18"/>
              </w:rPr>
              <w:t> </w:t>
            </w:r>
            <w:r>
              <w:rPr>
                <w:b/>
                <w:sz w:val="18"/>
              </w:rPr>
              <w:t>implementar el</w:t>
            </w:r>
            <w:r>
              <w:rPr>
                <w:b/>
                <w:spacing w:val="-1"/>
                <w:sz w:val="18"/>
              </w:rPr>
              <w:t> </w:t>
            </w:r>
            <w:r>
              <w:rPr>
                <w:b/>
                <w:sz w:val="18"/>
              </w:rPr>
              <w:t>desarrollo</w:t>
            </w:r>
            <w:r>
              <w:rPr>
                <w:b/>
                <w:spacing w:val="-4"/>
                <w:sz w:val="18"/>
              </w:rPr>
              <w:t> </w:t>
            </w:r>
            <w:r>
              <w:rPr>
                <w:b/>
                <w:sz w:val="18"/>
              </w:rPr>
              <w:t>constante de</w:t>
            </w:r>
            <w:r>
              <w:rPr>
                <w:b/>
                <w:spacing w:val="-8"/>
                <w:sz w:val="18"/>
              </w:rPr>
              <w:t> </w:t>
            </w:r>
            <w:r>
              <w:rPr>
                <w:b/>
                <w:sz w:val="18"/>
              </w:rPr>
              <w:t>la</w:t>
            </w:r>
            <w:r>
              <w:rPr>
                <w:b/>
                <w:spacing w:val="14"/>
                <w:sz w:val="18"/>
              </w:rPr>
              <w:t> </w:t>
            </w:r>
            <w:r>
              <w:rPr>
                <w:b/>
                <w:sz w:val="18"/>
              </w:rPr>
              <w:t>profesión</w:t>
            </w:r>
            <w:r>
              <w:rPr>
                <w:b/>
                <w:spacing w:val="-4"/>
                <w:sz w:val="18"/>
              </w:rPr>
              <w:t> </w:t>
            </w:r>
            <w:r>
              <w:rPr>
                <w:b/>
                <w:sz w:val="18"/>
              </w:rPr>
              <w:t>legal</w:t>
            </w:r>
            <w:r>
              <w:rPr>
                <w:b/>
                <w:spacing w:val="-1"/>
                <w:sz w:val="18"/>
              </w:rPr>
              <w:t> </w:t>
            </w:r>
            <w:r>
              <w:rPr>
                <w:b/>
                <w:sz w:val="18"/>
              </w:rPr>
              <w:t>mediante un</w:t>
            </w:r>
            <w:r>
              <w:rPr>
                <w:b/>
                <w:spacing w:val="-4"/>
                <w:sz w:val="18"/>
              </w:rPr>
              <w:t> </w:t>
            </w:r>
            <w:r>
              <w:rPr>
                <w:b/>
                <w:sz w:val="18"/>
              </w:rPr>
              <w:t>sistema de educación continua que propenda con oferta institucional.</w:t>
            </w:r>
          </w:p>
        </w:tc>
      </w:tr>
      <w:tr>
        <w:trPr>
          <w:trHeight w:val="1027" w:hRule="atLeast"/>
        </w:trPr>
        <w:tc>
          <w:tcPr>
            <w:tcW w:w="2545" w:type="dxa"/>
            <w:tcBorders>
              <w:bottom w:val="single" w:sz="4" w:space="0" w:color="000000"/>
              <w:right w:val="single" w:sz="4" w:space="0" w:color="000000"/>
            </w:tcBorders>
          </w:tcPr>
          <w:p>
            <w:pPr>
              <w:pStyle w:val="TableParagraph"/>
              <w:ind w:left="72" w:right="107"/>
              <w:rPr>
                <w:sz w:val="18"/>
              </w:rPr>
            </w:pPr>
            <w:r>
              <w:rPr>
                <w:b/>
                <w:sz w:val="18"/>
              </w:rPr>
              <w:t>Actividad PAC 2.54.1: </w:t>
            </w:r>
            <w:r>
              <w:rPr>
                <w:sz w:val="18"/>
              </w:rPr>
              <w:t>Definir y planear los contenidos</w:t>
            </w:r>
            <w:r>
              <w:rPr>
                <w:spacing w:val="-7"/>
                <w:sz w:val="18"/>
              </w:rPr>
              <w:t> </w:t>
            </w:r>
            <w:r>
              <w:rPr>
                <w:sz w:val="18"/>
              </w:rPr>
              <w:t>temáticos</w:t>
            </w:r>
            <w:r>
              <w:rPr>
                <w:spacing w:val="-6"/>
                <w:sz w:val="18"/>
              </w:rPr>
              <w:t> </w:t>
            </w:r>
            <w:r>
              <w:rPr>
                <w:sz w:val="18"/>
              </w:rPr>
              <w:t>de</w:t>
            </w:r>
            <w:r>
              <w:rPr>
                <w:spacing w:val="-2"/>
                <w:sz w:val="18"/>
              </w:rPr>
              <w:t> </w:t>
            </w:r>
            <w:r>
              <w:rPr>
                <w:spacing w:val="-5"/>
                <w:sz w:val="18"/>
              </w:rPr>
              <w:t>las</w:t>
            </w:r>
          </w:p>
          <w:p>
            <w:pPr>
              <w:pStyle w:val="TableParagraph"/>
              <w:spacing w:line="206" w:lineRule="exact"/>
              <w:ind w:left="72"/>
              <w:rPr>
                <w:sz w:val="18"/>
              </w:rPr>
            </w:pPr>
            <w:r>
              <w:rPr>
                <w:sz w:val="18"/>
              </w:rPr>
              <w:t>capacitaciones</w:t>
            </w:r>
            <w:r>
              <w:rPr>
                <w:spacing w:val="-12"/>
                <w:sz w:val="18"/>
              </w:rPr>
              <w:t> </w:t>
            </w:r>
            <w:r>
              <w:rPr>
                <w:sz w:val="18"/>
              </w:rPr>
              <w:t>de</w:t>
            </w:r>
            <w:r>
              <w:rPr>
                <w:spacing w:val="-9"/>
                <w:sz w:val="18"/>
              </w:rPr>
              <w:t> </w:t>
            </w:r>
            <w:r>
              <w:rPr>
                <w:sz w:val="18"/>
              </w:rPr>
              <w:t>la</w:t>
            </w:r>
            <w:r>
              <w:rPr>
                <w:spacing w:val="-12"/>
                <w:sz w:val="18"/>
              </w:rPr>
              <w:t> </w:t>
            </w:r>
            <w:r>
              <w:rPr>
                <w:sz w:val="18"/>
              </w:rPr>
              <w:t>Unidad </w:t>
            </w:r>
            <w:r>
              <w:rPr>
                <w:spacing w:val="-2"/>
                <w:sz w:val="18"/>
              </w:rPr>
              <w:t>Asesora.</w:t>
            </w:r>
          </w:p>
        </w:tc>
        <w:tc>
          <w:tcPr>
            <w:tcW w:w="1277" w:type="dxa"/>
            <w:tcBorders>
              <w:left w:val="single" w:sz="4" w:space="0" w:color="000000"/>
              <w:bottom w:val="single" w:sz="4" w:space="0" w:color="000000"/>
              <w:right w:val="single" w:sz="4" w:space="0" w:color="000000"/>
            </w:tcBorders>
          </w:tcPr>
          <w:p>
            <w:pPr>
              <w:pStyle w:val="TableParagraph"/>
              <w:spacing w:before="205"/>
              <w:rPr>
                <w:b/>
                <w:sz w:val="18"/>
              </w:rPr>
            </w:pPr>
          </w:p>
          <w:p>
            <w:pPr>
              <w:pStyle w:val="TableParagraph"/>
              <w:ind w:left="22" w:right="8"/>
              <w:jc w:val="center"/>
              <w:rPr>
                <w:sz w:val="18"/>
              </w:rPr>
            </w:pPr>
            <w:r>
              <w:rPr>
                <w:spacing w:val="-10"/>
                <w:sz w:val="18"/>
              </w:rPr>
              <w:t>2</w:t>
            </w:r>
          </w:p>
        </w:tc>
        <w:tc>
          <w:tcPr>
            <w:tcW w:w="1700" w:type="dxa"/>
            <w:tcBorders>
              <w:left w:val="single" w:sz="4" w:space="0" w:color="000000"/>
              <w:bottom w:val="single" w:sz="4" w:space="0" w:color="000000"/>
              <w:right w:val="single" w:sz="4" w:space="0" w:color="000000"/>
            </w:tcBorders>
          </w:tcPr>
          <w:p>
            <w:pPr>
              <w:pStyle w:val="TableParagraph"/>
              <w:spacing w:before="205"/>
              <w:rPr>
                <w:b/>
                <w:sz w:val="18"/>
              </w:rPr>
            </w:pPr>
          </w:p>
          <w:p>
            <w:pPr>
              <w:pStyle w:val="TableParagraph"/>
              <w:ind w:left="17" w:right="3"/>
              <w:jc w:val="center"/>
              <w:rPr>
                <w:sz w:val="18"/>
              </w:rPr>
            </w:pPr>
            <w:r>
              <w:rPr>
                <w:spacing w:val="-10"/>
                <w:sz w:val="18"/>
              </w:rPr>
              <w:t>2</w:t>
            </w:r>
          </w:p>
        </w:tc>
        <w:tc>
          <w:tcPr>
            <w:tcW w:w="1133" w:type="dxa"/>
            <w:tcBorders>
              <w:left w:val="single" w:sz="4" w:space="0" w:color="000000"/>
              <w:bottom w:val="single" w:sz="4" w:space="0" w:color="000000"/>
              <w:right w:val="single" w:sz="4" w:space="0" w:color="000000"/>
            </w:tcBorders>
          </w:tcPr>
          <w:p>
            <w:pPr>
              <w:pStyle w:val="TableParagraph"/>
              <w:spacing w:line="242" w:lineRule="auto" w:before="99"/>
              <w:ind w:left="71"/>
              <w:rPr>
                <w:sz w:val="18"/>
              </w:rPr>
            </w:pPr>
            <w:r>
              <w:rPr>
                <w:sz w:val="18"/>
              </w:rPr>
              <w:t>Cantidad</w:t>
            </w:r>
            <w:r>
              <w:rPr>
                <w:spacing w:val="-13"/>
                <w:sz w:val="18"/>
              </w:rPr>
              <w:t> </w:t>
            </w:r>
            <w:r>
              <w:rPr>
                <w:sz w:val="18"/>
              </w:rPr>
              <w:t>de </w:t>
            </w:r>
            <w:r>
              <w:rPr>
                <w:spacing w:val="-2"/>
                <w:sz w:val="18"/>
              </w:rPr>
              <w:t>contenidos temáticos definidos.</w:t>
            </w:r>
          </w:p>
        </w:tc>
        <w:tc>
          <w:tcPr>
            <w:tcW w:w="1983" w:type="dxa"/>
            <w:tcBorders>
              <w:left w:val="single" w:sz="4" w:space="0" w:color="000000"/>
              <w:bottom w:val="single" w:sz="4" w:space="0" w:color="000000"/>
              <w:right w:val="single" w:sz="4" w:space="0" w:color="000000"/>
            </w:tcBorders>
          </w:tcPr>
          <w:p>
            <w:pPr>
              <w:pStyle w:val="TableParagraph"/>
              <w:spacing w:before="99"/>
              <w:rPr>
                <w:b/>
                <w:sz w:val="18"/>
              </w:rPr>
            </w:pPr>
          </w:p>
          <w:p>
            <w:pPr>
              <w:pStyle w:val="TableParagraph"/>
              <w:spacing w:line="244" w:lineRule="auto"/>
              <w:ind w:left="76"/>
              <w:rPr>
                <w:sz w:val="18"/>
              </w:rPr>
            </w:pPr>
            <w:r>
              <w:rPr>
                <w:sz w:val="18"/>
              </w:rPr>
              <w:t>Programa Temático / informe</w:t>
            </w:r>
            <w:r>
              <w:rPr>
                <w:spacing w:val="-15"/>
                <w:sz w:val="18"/>
              </w:rPr>
              <w:t> </w:t>
            </w:r>
            <w:r>
              <w:rPr>
                <w:sz w:val="18"/>
              </w:rPr>
              <w:t>de</w:t>
            </w:r>
            <w:r>
              <w:rPr>
                <w:spacing w:val="-12"/>
                <w:sz w:val="18"/>
              </w:rPr>
              <w:t> </w:t>
            </w:r>
            <w:r>
              <w:rPr>
                <w:sz w:val="18"/>
              </w:rPr>
              <w:t>planeación</w:t>
            </w:r>
          </w:p>
        </w:tc>
        <w:tc>
          <w:tcPr>
            <w:tcW w:w="1277" w:type="dxa"/>
            <w:tcBorders>
              <w:left w:val="single" w:sz="4" w:space="0" w:color="000000"/>
              <w:bottom w:val="single" w:sz="4" w:space="0" w:color="000000"/>
              <w:right w:val="single" w:sz="4" w:space="0" w:color="000000"/>
            </w:tcBorders>
          </w:tcPr>
          <w:p>
            <w:pPr>
              <w:pStyle w:val="TableParagraph"/>
              <w:spacing w:before="205"/>
              <w:rPr>
                <w:b/>
                <w:sz w:val="18"/>
              </w:rPr>
            </w:pPr>
          </w:p>
          <w:p>
            <w:pPr>
              <w:pStyle w:val="TableParagraph"/>
              <w:ind w:left="76"/>
              <w:rPr>
                <w:sz w:val="18"/>
              </w:rPr>
            </w:pPr>
            <w:r>
              <w:rPr>
                <w:spacing w:val="-5"/>
                <w:sz w:val="18"/>
              </w:rPr>
              <w:t>AJ</w:t>
            </w:r>
          </w:p>
        </w:tc>
        <w:tc>
          <w:tcPr>
            <w:tcW w:w="1844"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627" w:type="dxa"/>
            <w:vMerge w:val="restart"/>
            <w:tcBorders>
              <w:left w:val="single" w:sz="4" w:space="0" w:color="000000"/>
            </w:tcBorders>
          </w:tcPr>
          <w:p>
            <w:pPr>
              <w:pStyle w:val="TableParagraph"/>
              <w:rPr>
                <w:b/>
                <w:sz w:val="18"/>
              </w:rPr>
            </w:pPr>
          </w:p>
          <w:p>
            <w:pPr>
              <w:pStyle w:val="TableParagraph"/>
              <w:spacing w:before="41"/>
              <w:rPr>
                <w:b/>
                <w:sz w:val="18"/>
              </w:rPr>
            </w:pPr>
          </w:p>
          <w:p>
            <w:pPr>
              <w:pStyle w:val="TableParagraph"/>
              <w:ind w:left="71"/>
              <w:rPr>
                <w:sz w:val="18"/>
              </w:rPr>
            </w:pPr>
            <w:r>
              <w:rPr>
                <w:sz w:val="18"/>
              </w:rPr>
              <w:t>Evento: Personas</w:t>
            </w:r>
            <w:r>
              <w:rPr>
                <w:spacing w:val="-4"/>
                <w:sz w:val="18"/>
              </w:rPr>
              <w:t> </w:t>
            </w:r>
            <w:r>
              <w:rPr>
                <w:sz w:val="18"/>
              </w:rPr>
              <w:t>funcionarias de asesoría jurídica no sean capacitadas</w:t>
            </w:r>
            <w:r>
              <w:rPr>
                <w:spacing w:val="-15"/>
                <w:sz w:val="18"/>
              </w:rPr>
              <w:t> </w:t>
            </w:r>
            <w:r>
              <w:rPr>
                <w:sz w:val="18"/>
              </w:rPr>
              <w:t>oportunamente</w:t>
            </w:r>
            <w:r>
              <w:rPr>
                <w:spacing w:val="-12"/>
                <w:sz w:val="18"/>
              </w:rPr>
              <w:t> </w:t>
            </w:r>
            <w:r>
              <w:rPr>
                <w:sz w:val="18"/>
              </w:rPr>
              <w:t>de manera continua para la atención de necesidades </w:t>
            </w:r>
            <w:r>
              <w:rPr>
                <w:spacing w:val="-2"/>
                <w:sz w:val="18"/>
              </w:rPr>
              <w:t>institucionales</w:t>
            </w:r>
          </w:p>
        </w:tc>
      </w:tr>
      <w:tr>
        <w:trPr>
          <w:trHeight w:val="1102" w:hRule="atLeast"/>
        </w:trPr>
        <w:tc>
          <w:tcPr>
            <w:tcW w:w="2545" w:type="dxa"/>
            <w:tcBorders>
              <w:top w:val="single" w:sz="4" w:space="0" w:color="000000"/>
              <w:right w:val="single" w:sz="4" w:space="0" w:color="000000"/>
            </w:tcBorders>
          </w:tcPr>
          <w:p>
            <w:pPr>
              <w:pStyle w:val="TableParagraph"/>
              <w:spacing w:before="137"/>
              <w:ind w:left="72"/>
              <w:rPr>
                <w:sz w:val="18"/>
              </w:rPr>
            </w:pPr>
            <w:r>
              <w:rPr>
                <w:b/>
                <w:sz w:val="18"/>
              </w:rPr>
              <w:t>Actividad PAC 2.54.2: </w:t>
            </w:r>
            <w:r>
              <w:rPr>
                <w:sz w:val="18"/>
              </w:rPr>
              <w:t>Ejecución de las capacitaciones</w:t>
            </w:r>
            <w:r>
              <w:rPr>
                <w:spacing w:val="-12"/>
                <w:sz w:val="18"/>
              </w:rPr>
              <w:t> </w:t>
            </w:r>
            <w:r>
              <w:rPr>
                <w:sz w:val="18"/>
              </w:rPr>
              <w:t>de</w:t>
            </w:r>
            <w:r>
              <w:rPr>
                <w:spacing w:val="-9"/>
                <w:sz w:val="18"/>
              </w:rPr>
              <w:t> </w:t>
            </w:r>
            <w:r>
              <w:rPr>
                <w:sz w:val="18"/>
              </w:rPr>
              <w:t>la</w:t>
            </w:r>
            <w:r>
              <w:rPr>
                <w:spacing w:val="-12"/>
                <w:sz w:val="18"/>
              </w:rPr>
              <w:t> </w:t>
            </w:r>
            <w:r>
              <w:rPr>
                <w:sz w:val="18"/>
              </w:rPr>
              <w:t>Unidad </w:t>
            </w:r>
            <w:r>
              <w:rPr>
                <w:spacing w:val="-2"/>
                <w:sz w:val="18"/>
              </w:rPr>
              <w:t>Asesora</w:t>
            </w:r>
          </w:p>
        </w:tc>
        <w:tc>
          <w:tcPr>
            <w:tcW w:w="1277" w:type="dxa"/>
            <w:tcBorders>
              <w:top w:val="single" w:sz="4" w:space="0" w:color="000000"/>
              <w:left w:val="single" w:sz="4" w:space="0" w:color="000000"/>
              <w:right w:val="single" w:sz="4" w:space="0" w:color="000000"/>
            </w:tcBorders>
          </w:tcPr>
          <w:p>
            <w:pPr>
              <w:pStyle w:val="TableParagraph"/>
              <w:rPr>
                <w:b/>
                <w:sz w:val="18"/>
              </w:rPr>
            </w:pPr>
          </w:p>
          <w:p>
            <w:pPr>
              <w:pStyle w:val="TableParagraph"/>
              <w:spacing w:before="35"/>
              <w:rPr>
                <w:b/>
                <w:sz w:val="18"/>
              </w:rPr>
            </w:pPr>
          </w:p>
          <w:p>
            <w:pPr>
              <w:pStyle w:val="TableParagraph"/>
              <w:ind w:left="22" w:right="8"/>
              <w:jc w:val="center"/>
              <w:rPr>
                <w:sz w:val="18"/>
              </w:rPr>
            </w:pPr>
            <w:r>
              <w:rPr>
                <w:spacing w:val="-10"/>
                <w:sz w:val="18"/>
              </w:rPr>
              <w:t>2</w:t>
            </w:r>
          </w:p>
        </w:tc>
        <w:tc>
          <w:tcPr>
            <w:tcW w:w="1700" w:type="dxa"/>
            <w:tcBorders>
              <w:top w:val="single" w:sz="4" w:space="0" w:color="000000"/>
              <w:left w:val="single" w:sz="4" w:space="0" w:color="000000"/>
              <w:right w:val="single" w:sz="4" w:space="0" w:color="000000"/>
            </w:tcBorders>
          </w:tcPr>
          <w:p>
            <w:pPr>
              <w:pStyle w:val="TableParagraph"/>
              <w:rPr>
                <w:b/>
                <w:sz w:val="18"/>
              </w:rPr>
            </w:pPr>
          </w:p>
          <w:p>
            <w:pPr>
              <w:pStyle w:val="TableParagraph"/>
              <w:spacing w:before="35"/>
              <w:rPr>
                <w:b/>
                <w:sz w:val="18"/>
              </w:rPr>
            </w:pPr>
          </w:p>
          <w:p>
            <w:pPr>
              <w:pStyle w:val="TableParagraph"/>
              <w:ind w:left="17" w:right="3"/>
              <w:jc w:val="center"/>
              <w:rPr>
                <w:sz w:val="18"/>
              </w:rPr>
            </w:pPr>
            <w:r>
              <w:rPr>
                <w:spacing w:val="-10"/>
                <w:sz w:val="18"/>
              </w:rPr>
              <w:t>2</w:t>
            </w:r>
          </w:p>
        </w:tc>
        <w:tc>
          <w:tcPr>
            <w:tcW w:w="1133" w:type="dxa"/>
            <w:tcBorders>
              <w:top w:val="single" w:sz="4" w:space="0" w:color="000000"/>
              <w:left w:val="single" w:sz="4" w:space="0" w:color="000000"/>
              <w:right w:val="single" w:sz="4" w:space="0" w:color="000000"/>
            </w:tcBorders>
          </w:tcPr>
          <w:p>
            <w:pPr>
              <w:pStyle w:val="TableParagraph"/>
              <w:spacing w:before="137"/>
              <w:ind w:left="71"/>
              <w:rPr>
                <w:sz w:val="18"/>
              </w:rPr>
            </w:pPr>
            <w:r>
              <w:rPr>
                <w:sz w:val="18"/>
              </w:rPr>
              <w:t>Cantidad</w:t>
            </w:r>
            <w:r>
              <w:rPr>
                <w:spacing w:val="-13"/>
                <w:sz w:val="18"/>
              </w:rPr>
              <w:t> </w:t>
            </w:r>
            <w:r>
              <w:rPr>
                <w:sz w:val="18"/>
              </w:rPr>
              <w:t>de </w:t>
            </w:r>
            <w:r>
              <w:rPr>
                <w:spacing w:val="-2"/>
                <w:sz w:val="18"/>
              </w:rPr>
              <w:t>capacitacio </w:t>
            </w:r>
            <w:r>
              <w:rPr>
                <w:spacing w:val="-4"/>
                <w:sz w:val="18"/>
              </w:rPr>
              <w:t>nes </w:t>
            </w:r>
            <w:r>
              <w:rPr>
                <w:spacing w:val="-2"/>
                <w:sz w:val="18"/>
              </w:rPr>
              <w:t>ejecutados.</w:t>
            </w:r>
          </w:p>
        </w:tc>
        <w:tc>
          <w:tcPr>
            <w:tcW w:w="1983" w:type="dxa"/>
            <w:tcBorders>
              <w:top w:val="single" w:sz="4" w:space="0" w:color="000000"/>
              <w:left w:val="single" w:sz="4" w:space="0" w:color="000000"/>
              <w:right w:val="single" w:sz="4" w:space="0" w:color="000000"/>
            </w:tcBorders>
          </w:tcPr>
          <w:p>
            <w:pPr>
              <w:pStyle w:val="TableParagraph"/>
              <w:spacing w:before="35"/>
              <w:rPr>
                <w:b/>
                <w:sz w:val="18"/>
              </w:rPr>
            </w:pPr>
          </w:p>
          <w:p>
            <w:pPr>
              <w:pStyle w:val="TableParagraph"/>
              <w:ind w:left="76" w:right="169"/>
              <w:rPr>
                <w:sz w:val="18"/>
              </w:rPr>
            </w:pPr>
            <w:r>
              <w:rPr>
                <w:sz w:val="18"/>
              </w:rPr>
              <w:t>Respaldo digital o físico</w:t>
            </w:r>
            <w:r>
              <w:rPr>
                <w:spacing w:val="-10"/>
                <w:sz w:val="18"/>
              </w:rPr>
              <w:t> </w:t>
            </w:r>
            <w:r>
              <w:rPr>
                <w:sz w:val="18"/>
              </w:rPr>
              <w:t>de</w:t>
            </w:r>
            <w:r>
              <w:rPr>
                <w:spacing w:val="-13"/>
                <w:sz w:val="18"/>
              </w:rPr>
              <w:t> </w:t>
            </w:r>
            <w:r>
              <w:rPr>
                <w:sz w:val="18"/>
              </w:rPr>
              <w:t>la</w:t>
            </w:r>
            <w:r>
              <w:rPr>
                <w:spacing w:val="-9"/>
                <w:sz w:val="18"/>
              </w:rPr>
              <w:t> </w:t>
            </w:r>
            <w:r>
              <w:rPr>
                <w:sz w:val="18"/>
              </w:rPr>
              <w:t>actividad </w:t>
            </w:r>
            <w:r>
              <w:rPr>
                <w:spacing w:val="-2"/>
                <w:sz w:val="18"/>
              </w:rPr>
              <w:t>ejecutada.</w:t>
            </w:r>
          </w:p>
        </w:tc>
        <w:tc>
          <w:tcPr>
            <w:tcW w:w="1277" w:type="dxa"/>
            <w:tcBorders>
              <w:top w:val="single" w:sz="4" w:space="0" w:color="000000"/>
              <w:left w:val="single" w:sz="4" w:space="0" w:color="000000"/>
              <w:right w:val="single" w:sz="4" w:space="0" w:color="000000"/>
            </w:tcBorders>
          </w:tcPr>
          <w:p>
            <w:pPr>
              <w:pStyle w:val="TableParagraph"/>
              <w:rPr>
                <w:b/>
                <w:sz w:val="18"/>
              </w:rPr>
            </w:pPr>
          </w:p>
          <w:p>
            <w:pPr>
              <w:pStyle w:val="TableParagraph"/>
              <w:spacing w:before="35"/>
              <w:rPr>
                <w:b/>
                <w:sz w:val="18"/>
              </w:rPr>
            </w:pPr>
          </w:p>
          <w:p>
            <w:pPr>
              <w:pStyle w:val="TableParagraph"/>
              <w:ind w:left="76"/>
              <w:rPr>
                <w:sz w:val="18"/>
              </w:rPr>
            </w:pPr>
            <w:r>
              <w:rPr>
                <w:spacing w:val="-5"/>
                <w:sz w:val="18"/>
              </w:rPr>
              <w:t>AJ</w:t>
            </w:r>
          </w:p>
        </w:tc>
        <w:tc>
          <w:tcPr>
            <w:tcW w:w="1844" w:type="dxa"/>
            <w:tcBorders>
              <w:top w:val="single" w:sz="4" w:space="0" w:color="000000"/>
              <w:left w:val="single" w:sz="4" w:space="0" w:color="000000"/>
              <w:right w:val="single" w:sz="4" w:space="0" w:color="000000"/>
            </w:tcBorders>
          </w:tcPr>
          <w:p>
            <w:pPr>
              <w:pStyle w:val="TableParagraph"/>
              <w:rPr>
                <w:rFonts w:ascii="Times New Roman"/>
                <w:sz w:val="18"/>
              </w:rPr>
            </w:pPr>
          </w:p>
        </w:tc>
        <w:tc>
          <w:tcPr>
            <w:tcW w:w="2627" w:type="dxa"/>
            <w:vMerge/>
            <w:tcBorders>
              <w:top w:val="nil"/>
              <w:left w:val="single" w:sz="4" w:space="0" w:color="000000"/>
            </w:tcBorders>
          </w:tcPr>
          <w:p>
            <w:pPr>
              <w:rPr>
                <w:sz w:val="2"/>
                <w:szCs w:val="2"/>
              </w:rPr>
            </w:pPr>
          </w:p>
        </w:tc>
      </w:tr>
      <w:tr>
        <w:trPr>
          <w:trHeight w:val="426" w:hRule="atLeast"/>
        </w:trPr>
        <w:tc>
          <w:tcPr>
            <w:tcW w:w="14386" w:type="dxa"/>
            <w:gridSpan w:val="8"/>
            <w:tcBorders>
              <w:bottom w:val="single" w:sz="4" w:space="0" w:color="000000"/>
            </w:tcBorders>
            <w:shd w:val="clear" w:color="auto" w:fill="EFF8F9"/>
          </w:tcPr>
          <w:p>
            <w:pPr>
              <w:pStyle w:val="TableParagraph"/>
              <w:spacing w:before="109"/>
              <w:ind w:left="72"/>
              <w:rPr>
                <w:b/>
                <w:sz w:val="18"/>
              </w:rPr>
            </w:pPr>
            <w:r>
              <w:rPr>
                <w:b/>
                <w:sz w:val="18"/>
              </w:rPr>
              <w:t>Producto</w:t>
            </w:r>
            <w:r>
              <w:rPr>
                <w:b/>
                <w:spacing w:val="-7"/>
                <w:sz w:val="18"/>
              </w:rPr>
              <w:t> </w:t>
            </w:r>
            <w:r>
              <w:rPr>
                <w:b/>
                <w:sz w:val="18"/>
              </w:rPr>
              <w:t>PAC</w:t>
            </w:r>
            <w:r>
              <w:rPr>
                <w:b/>
                <w:spacing w:val="-7"/>
                <w:sz w:val="18"/>
              </w:rPr>
              <w:t> </w:t>
            </w:r>
            <w:r>
              <w:rPr>
                <w:b/>
                <w:sz w:val="18"/>
              </w:rPr>
              <w:t>2.55:</w:t>
            </w:r>
            <w:r>
              <w:rPr>
                <w:b/>
                <w:spacing w:val="-4"/>
                <w:sz w:val="18"/>
              </w:rPr>
              <w:t> </w:t>
            </w:r>
            <w:r>
              <w:rPr>
                <w:b/>
                <w:sz w:val="18"/>
              </w:rPr>
              <w:t>Atención</w:t>
            </w:r>
            <w:r>
              <w:rPr>
                <w:b/>
                <w:spacing w:val="-6"/>
                <w:sz w:val="18"/>
              </w:rPr>
              <w:t> </w:t>
            </w:r>
            <w:r>
              <w:rPr>
                <w:b/>
                <w:sz w:val="18"/>
              </w:rPr>
              <w:t>de</w:t>
            </w:r>
            <w:r>
              <w:rPr>
                <w:b/>
                <w:spacing w:val="-5"/>
                <w:sz w:val="18"/>
              </w:rPr>
              <w:t> </w:t>
            </w:r>
            <w:r>
              <w:rPr>
                <w:b/>
                <w:sz w:val="18"/>
              </w:rPr>
              <w:t>procesos</w:t>
            </w:r>
            <w:r>
              <w:rPr>
                <w:b/>
                <w:spacing w:val="-6"/>
                <w:sz w:val="18"/>
              </w:rPr>
              <w:t> </w:t>
            </w:r>
            <w:r>
              <w:rPr>
                <w:b/>
                <w:spacing w:val="-2"/>
                <w:sz w:val="18"/>
              </w:rPr>
              <w:t>judiciales</w:t>
            </w:r>
          </w:p>
        </w:tc>
      </w:tr>
      <w:tr>
        <w:trPr>
          <w:trHeight w:val="2189" w:hRule="atLeast"/>
        </w:trPr>
        <w:tc>
          <w:tcPr>
            <w:tcW w:w="2545"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160"/>
              <w:rPr>
                <w:b/>
                <w:sz w:val="18"/>
              </w:rPr>
            </w:pPr>
          </w:p>
          <w:p>
            <w:pPr>
              <w:pStyle w:val="TableParagraph"/>
              <w:spacing w:before="1"/>
              <w:ind w:left="77"/>
              <w:rPr>
                <w:sz w:val="18"/>
              </w:rPr>
            </w:pPr>
            <w:r>
              <w:rPr>
                <w:b/>
                <w:sz w:val="18"/>
              </w:rPr>
              <w:t>Actividad PAC 2.55.1: </w:t>
            </w:r>
            <w:r>
              <w:rPr>
                <w:sz w:val="18"/>
              </w:rPr>
              <w:t>Interposición</w:t>
            </w:r>
            <w:r>
              <w:rPr>
                <w:spacing w:val="-15"/>
                <w:sz w:val="18"/>
              </w:rPr>
              <w:t> </w:t>
            </w:r>
            <w:r>
              <w:rPr>
                <w:sz w:val="18"/>
              </w:rPr>
              <w:t>de</w:t>
            </w:r>
            <w:r>
              <w:rPr>
                <w:spacing w:val="-12"/>
                <w:sz w:val="18"/>
              </w:rPr>
              <w:t> </w:t>
            </w:r>
            <w:r>
              <w:rPr>
                <w:sz w:val="18"/>
              </w:rPr>
              <w:t>demandas </w:t>
            </w:r>
            <w:r>
              <w:rPr>
                <w:spacing w:val="-2"/>
                <w:sz w:val="18"/>
              </w:rPr>
              <w:t>judiciales</w:t>
            </w:r>
          </w:p>
        </w:tc>
        <w:tc>
          <w:tcPr>
            <w:tcW w:w="1277"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60"/>
              <w:rPr>
                <w:b/>
                <w:sz w:val="18"/>
              </w:rPr>
            </w:pPr>
          </w:p>
          <w:p>
            <w:pPr>
              <w:pStyle w:val="TableParagraph"/>
              <w:ind w:left="20" w:right="8"/>
              <w:jc w:val="center"/>
              <w:rPr>
                <w:sz w:val="18"/>
              </w:rPr>
            </w:pPr>
            <w:r>
              <w:rPr>
                <w:spacing w:val="-4"/>
                <w:sz w:val="18"/>
              </w:rPr>
              <w:t>100%</w:t>
            </w:r>
          </w:p>
        </w:tc>
        <w:tc>
          <w:tcPr>
            <w:tcW w:w="1700"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60"/>
              <w:rPr>
                <w:b/>
                <w:sz w:val="18"/>
              </w:rPr>
            </w:pPr>
          </w:p>
          <w:p>
            <w:pPr>
              <w:pStyle w:val="TableParagraph"/>
              <w:ind w:left="15" w:right="3"/>
              <w:jc w:val="center"/>
              <w:rPr>
                <w:sz w:val="18"/>
              </w:rPr>
            </w:pPr>
            <w:r>
              <w:rPr>
                <w:spacing w:val="-4"/>
                <w:sz w:val="18"/>
              </w:rPr>
              <w:t>100%</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60"/>
              <w:rPr>
                <w:b/>
                <w:sz w:val="18"/>
              </w:rPr>
            </w:pPr>
          </w:p>
          <w:p>
            <w:pPr>
              <w:pStyle w:val="TableParagraph"/>
              <w:ind w:left="71" w:right="64"/>
              <w:rPr>
                <w:sz w:val="18"/>
              </w:rPr>
            </w:pPr>
            <w:r>
              <w:rPr>
                <w:spacing w:val="-2"/>
                <w:sz w:val="18"/>
              </w:rPr>
              <w:t>Porcentaje </w:t>
            </w:r>
            <w:r>
              <w:rPr>
                <w:spacing w:val="-6"/>
                <w:sz w:val="18"/>
              </w:rPr>
              <w:t>de </w:t>
            </w:r>
            <w:r>
              <w:rPr>
                <w:spacing w:val="-2"/>
                <w:sz w:val="18"/>
              </w:rPr>
              <w:t>demandas interpuestas</w:t>
            </w:r>
          </w:p>
        </w:tc>
        <w:tc>
          <w:tcPr>
            <w:tcW w:w="1983" w:type="dxa"/>
            <w:tcBorders>
              <w:top w:val="single" w:sz="4" w:space="0" w:color="000000"/>
              <w:left w:val="single" w:sz="4" w:space="0" w:color="000000"/>
              <w:bottom w:val="single" w:sz="4" w:space="0" w:color="000000"/>
              <w:right w:val="single" w:sz="4" w:space="0" w:color="000000"/>
            </w:tcBorders>
          </w:tcPr>
          <w:p>
            <w:pPr>
              <w:pStyle w:val="TableParagraph"/>
              <w:ind w:left="76" w:right="79"/>
              <w:rPr>
                <w:sz w:val="18"/>
              </w:rPr>
            </w:pPr>
            <w:r>
              <w:rPr>
                <w:sz w:val="18"/>
              </w:rPr>
              <w:t>Control en el Sistema Interno de Procesos Judiciales (SIPJ) / base de datos y/o informe presentado por</w:t>
            </w:r>
            <w:r>
              <w:rPr>
                <w:spacing w:val="-9"/>
                <w:sz w:val="18"/>
              </w:rPr>
              <w:t> </w:t>
            </w:r>
            <w:r>
              <w:rPr>
                <w:sz w:val="18"/>
              </w:rPr>
              <w:t>la</w:t>
            </w:r>
            <w:r>
              <w:rPr>
                <w:spacing w:val="-13"/>
                <w:sz w:val="18"/>
              </w:rPr>
              <w:t> </w:t>
            </w:r>
            <w:r>
              <w:rPr>
                <w:sz w:val="18"/>
              </w:rPr>
              <w:t>Coordinación</w:t>
            </w:r>
            <w:r>
              <w:rPr>
                <w:spacing w:val="-12"/>
                <w:sz w:val="18"/>
              </w:rPr>
              <w:t> </w:t>
            </w:r>
            <w:r>
              <w:rPr>
                <w:sz w:val="18"/>
              </w:rPr>
              <w:t>en procesos judiciales</w:t>
            </w:r>
          </w:p>
        </w:tc>
        <w:tc>
          <w:tcPr>
            <w:tcW w:w="1277"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60"/>
              <w:rPr>
                <w:b/>
                <w:sz w:val="18"/>
              </w:rPr>
            </w:pPr>
          </w:p>
          <w:p>
            <w:pPr>
              <w:pStyle w:val="TableParagraph"/>
              <w:ind w:left="76"/>
              <w:rPr>
                <w:sz w:val="18"/>
              </w:rPr>
            </w:pPr>
            <w:r>
              <w:rPr>
                <w:spacing w:val="-5"/>
                <w:sz w:val="18"/>
              </w:rPr>
              <w:t>AJ</w:t>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2627"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160"/>
              <w:rPr>
                <w:b/>
                <w:sz w:val="18"/>
              </w:rPr>
            </w:pPr>
          </w:p>
          <w:p>
            <w:pPr>
              <w:pStyle w:val="TableParagraph"/>
              <w:spacing w:before="1"/>
              <w:ind w:left="71"/>
              <w:rPr>
                <w:sz w:val="18"/>
              </w:rPr>
            </w:pPr>
            <w:r>
              <w:rPr>
                <w:sz w:val="18"/>
              </w:rPr>
              <w:t>Evento: Situaciones no resueltas que generen responsabilidad</w:t>
            </w:r>
            <w:r>
              <w:rPr>
                <w:spacing w:val="-15"/>
                <w:sz w:val="18"/>
              </w:rPr>
              <w:t> </w:t>
            </w:r>
            <w:r>
              <w:rPr>
                <w:sz w:val="18"/>
              </w:rPr>
              <w:t>del</w:t>
            </w:r>
            <w:r>
              <w:rPr>
                <w:spacing w:val="-12"/>
                <w:sz w:val="18"/>
              </w:rPr>
              <w:t> </w:t>
            </w:r>
            <w:r>
              <w:rPr>
                <w:sz w:val="18"/>
              </w:rPr>
              <w:t>IMAS</w:t>
            </w:r>
          </w:p>
        </w:tc>
      </w:tr>
    </w:tbl>
    <w:p>
      <w:pPr>
        <w:pStyle w:val="TableParagraph"/>
        <w:spacing w:after="0"/>
        <w:rPr>
          <w:sz w:val="18"/>
        </w:rPr>
        <w:sectPr>
          <w:type w:val="continuous"/>
          <w:pgSz w:w="15840" w:h="12240" w:orient="landscape"/>
          <w:pgMar w:header="0" w:footer="1806" w:top="700" w:bottom="3260" w:left="360" w:right="360"/>
        </w:sectPr>
      </w:pPr>
    </w:p>
    <w:tbl>
      <w:tblPr>
        <w:tblW w:w="0" w:type="auto"/>
        <w:jc w:val="left"/>
        <w:tblInd w:w="37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545"/>
        <w:gridCol w:w="1277"/>
        <w:gridCol w:w="1700"/>
        <w:gridCol w:w="1133"/>
        <w:gridCol w:w="1983"/>
        <w:gridCol w:w="1277"/>
        <w:gridCol w:w="1844"/>
        <w:gridCol w:w="2627"/>
      </w:tblGrid>
      <w:tr>
        <w:trPr>
          <w:trHeight w:val="747" w:hRule="atLeast"/>
        </w:trPr>
        <w:tc>
          <w:tcPr>
            <w:tcW w:w="2545" w:type="dxa"/>
            <w:tcBorders>
              <w:right w:val="single" w:sz="4" w:space="0" w:color="000000"/>
            </w:tcBorders>
            <w:shd w:val="clear" w:color="auto" w:fill="F1F1F1"/>
          </w:tcPr>
          <w:p>
            <w:pPr>
              <w:pStyle w:val="TableParagraph"/>
              <w:spacing w:before="65"/>
              <w:rPr>
                <w:b/>
                <w:sz w:val="18"/>
              </w:rPr>
            </w:pPr>
          </w:p>
          <w:p>
            <w:pPr>
              <w:pStyle w:val="TableParagraph"/>
              <w:ind w:left="72"/>
              <w:rPr>
                <w:b/>
                <w:sz w:val="18"/>
              </w:rPr>
            </w:pPr>
            <w:r>
              <w:rPr>
                <w:b/>
                <w:sz w:val="18"/>
              </w:rPr>
              <w:t>Objetivos</w:t>
            </w:r>
            <w:r>
              <w:rPr>
                <w:b/>
                <w:spacing w:val="-5"/>
                <w:sz w:val="18"/>
              </w:rPr>
              <w:t> </w:t>
            </w:r>
            <w:r>
              <w:rPr>
                <w:b/>
                <w:sz w:val="18"/>
              </w:rPr>
              <w:t>/</w:t>
            </w:r>
            <w:r>
              <w:rPr>
                <w:b/>
                <w:spacing w:val="-2"/>
                <w:sz w:val="18"/>
              </w:rPr>
              <w:t> Resultados</w:t>
            </w:r>
          </w:p>
        </w:tc>
        <w:tc>
          <w:tcPr>
            <w:tcW w:w="1277" w:type="dxa"/>
            <w:tcBorders>
              <w:left w:val="single" w:sz="4" w:space="0" w:color="000000"/>
              <w:right w:val="single" w:sz="4" w:space="0" w:color="000000"/>
            </w:tcBorders>
            <w:shd w:val="clear" w:color="auto" w:fill="F1F1F1"/>
          </w:tcPr>
          <w:p>
            <w:pPr>
              <w:pStyle w:val="TableParagraph"/>
              <w:spacing w:before="166"/>
              <w:ind w:left="379" w:hanging="216"/>
              <w:rPr>
                <w:b/>
                <w:sz w:val="18"/>
              </w:rPr>
            </w:pPr>
            <w:r>
              <w:rPr>
                <w:b/>
                <w:sz w:val="18"/>
              </w:rPr>
              <w:t>Línea</w:t>
            </w:r>
            <w:r>
              <w:rPr>
                <w:b/>
                <w:spacing w:val="-13"/>
                <w:sz w:val="18"/>
              </w:rPr>
              <w:t> </w:t>
            </w:r>
            <w:r>
              <w:rPr>
                <w:b/>
                <w:sz w:val="18"/>
              </w:rPr>
              <w:t>Base </w:t>
            </w:r>
            <w:r>
              <w:rPr>
                <w:b/>
                <w:spacing w:val="-2"/>
                <w:sz w:val="18"/>
              </w:rPr>
              <w:t>(2024)</w:t>
            </w:r>
          </w:p>
        </w:tc>
        <w:tc>
          <w:tcPr>
            <w:tcW w:w="1700" w:type="dxa"/>
            <w:tcBorders>
              <w:left w:val="single" w:sz="4" w:space="0" w:color="000000"/>
              <w:right w:val="single" w:sz="4" w:space="0" w:color="000000"/>
            </w:tcBorders>
            <w:shd w:val="clear" w:color="auto" w:fill="F1F1F1"/>
          </w:tcPr>
          <w:p>
            <w:pPr>
              <w:pStyle w:val="TableParagraph"/>
              <w:spacing w:before="166"/>
              <w:ind w:left="652" w:hanging="552"/>
              <w:rPr>
                <w:b/>
                <w:sz w:val="18"/>
              </w:rPr>
            </w:pPr>
            <w:r>
              <w:rPr>
                <w:b/>
                <w:sz w:val="18"/>
              </w:rPr>
              <w:t>Meta</w:t>
            </w:r>
            <w:r>
              <w:rPr>
                <w:b/>
                <w:spacing w:val="-13"/>
                <w:sz w:val="18"/>
              </w:rPr>
              <w:t> </w:t>
            </w:r>
            <w:r>
              <w:rPr>
                <w:b/>
                <w:sz w:val="18"/>
              </w:rPr>
              <w:t>programada </w:t>
            </w:r>
            <w:r>
              <w:rPr>
                <w:b/>
                <w:spacing w:val="-4"/>
                <w:sz w:val="18"/>
              </w:rPr>
              <w:t>2026</w:t>
            </w:r>
          </w:p>
        </w:tc>
        <w:tc>
          <w:tcPr>
            <w:tcW w:w="1133" w:type="dxa"/>
            <w:tcBorders>
              <w:left w:val="single" w:sz="4" w:space="0" w:color="000000"/>
              <w:right w:val="single" w:sz="4" w:space="0" w:color="000000"/>
            </w:tcBorders>
            <w:shd w:val="clear" w:color="auto" w:fill="F1F1F1"/>
          </w:tcPr>
          <w:p>
            <w:pPr>
              <w:pStyle w:val="TableParagraph"/>
              <w:spacing w:before="65"/>
              <w:rPr>
                <w:b/>
                <w:sz w:val="18"/>
              </w:rPr>
            </w:pPr>
          </w:p>
          <w:p>
            <w:pPr>
              <w:pStyle w:val="TableParagraph"/>
              <w:ind w:left="163"/>
              <w:rPr>
                <w:b/>
                <w:sz w:val="18"/>
              </w:rPr>
            </w:pPr>
            <w:r>
              <w:rPr>
                <w:b/>
                <w:spacing w:val="-2"/>
                <w:sz w:val="18"/>
              </w:rPr>
              <w:t>Indicador</w:t>
            </w:r>
          </w:p>
        </w:tc>
        <w:tc>
          <w:tcPr>
            <w:tcW w:w="1983" w:type="dxa"/>
            <w:tcBorders>
              <w:left w:val="single" w:sz="4" w:space="0" w:color="000000"/>
              <w:right w:val="single" w:sz="4" w:space="0" w:color="000000"/>
            </w:tcBorders>
            <w:shd w:val="clear" w:color="auto" w:fill="F1F1F1"/>
          </w:tcPr>
          <w:p>
            <w:pPr>
              <w:pStyle w:val="TableParagraph"/>
              <w:spacing w:before="166"/>
              <w:ind w:left="499" w:firstLine="57"/>
              <w:rPr>
                <w:b/>
                <w:sz w:val="18"/>
              </w:rPr>
            </w:pPr>
            <w:r>
              <w:rPr>
                <w:b/>
                <w:sz w:val="18"/>
              </w:rPr>
              <w:t>Medios de </w:t>
            </w:r>
            <w:r>
              <w:rPr>
                <w:b/>
                <w:spacing w:val="-2"/>
                <w:sz w:val="18"/>
              </w:rPr>
              <w:t>verificación</w:t>
            </w:r>
          </w:p>
        </w:tc>
        <w:tc>
          <w:tcPr>
            <w:tcW w:w="1277" w:type="dxa"/>
            <w:tcBorders>
              <w:left w:val="single" w:sz="4" w:space="0" w:color="000000"/>
              <w:right w:val="single" w:sz="4" w:space="0" w:color="000000"/>
            </w:tcBorders>
            <w:shd w:val="clear" w:color="auto" w:fill="F1F1F1"/>
          </w:tcPr>
          <w:p>
            <w:pPr>
              <w:pStyle w:val="TableParagraph"/>
              <w:spacing w:before="65"/>
              <w:rPr>
                <w:b/>
                <w:sz w:val="18"/>
              </w:rPr>
            </w:pPr>
          </w:p>
          <w:p>
            <w:pPr>
              <w:pStyle w:val="TableParagraph"/>
              <w:ind w:left="86"/>
              <w:rPr>
                <w:b/>
                <w:sz w:val="18"/>
              </w:rPr>
            </w:pPr>
            <w:r>
              <w:rPr>
                <w:b/>
                <w:spacing w:val="-2"/>
                <w:sz w:val="18"/>
              </w:rPr>
              <w:t>Responsable</w:t>
            </w:r>
          </w:p>
        </w:tc>
        <w:tc>
          <w:tcPr>
            <w:tcW w:w="1844" w:type="dxa"/>
            <w:tcBorders>
              <w:left w:val="single" w:sz="4" w:space="0" w:color="000000"/>
              <w:right w:val="single" w:sz="4" w:space="0" w:color="000000"/>
            </w:tcBorders>
            <w:shd w:val="clear" w:color="auto" w:fill="F1F1F1"/>
          </w:tcPr>
          <w:p>
            <w:pPr>
              <w:pStyle w:val="TableParagraph"/>
              <w:spacing w:before="166"/>
              <w:ind w:left="528" w:hanging="149"/>
              <w:rPr>
                <w:b/>
                <w:sz w:val="18"/>
              </w:rPr>
            </w:pPr>
            <w:r>
              <w:rPr>
                <w:b/>
                <w:spacing w:val="-2"/>
                <w:sz w:val="18"/>
              </w:rPr>
              <w:t>Presupuesto asignado</w:t>
            </w:r>
          </w:p>
        </w:tc>
        <w:tc>
          <w:tcPr>
            <w:tcW w:w="2627" w:type="dxa"/>
            <w:tcBorders>
              <w:left w:val="single" w:sz="4" w:space="0" w:color="000000"/>
            </w:tcBorders>
            <w:shd w:val="clear" w:color="auto" w:fill="F1F1F1"/>
          </w:tcPr>
          <w:p>
            <w:pPr>
              <w:pStyle w:val="TableParagraph"/>
              <w:spacing w:before="166"/>
              <w:ind w:left="729"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2246" w:hRule="atLeast"/>
        </w:trPr>
        <w:tc>
          <w:tcPr>
            <w:tcW w:w="2545" w:type="dxa"/>
            <w:tcBorders>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84"/>
              <w:rPr>
                <w:b/>
                <w:sz w:val="18"/>
              </w:rPr>
            </w:pPr>
          </w:p>
          <w:p>
            <w:pPr>
              <w:pStyle w:val="TableParagraph"/>
              <w:ind w:left="77"/>
              <w:rPr>
                <w:sz w:val="18"/>
              </w:rPr>
            </w:pPr>
            <w:r>
              <w:rPr>
                <w:b/>
                <w:sz w:val="18"/>
              </w:rPr>
              <w:t>Actividad PAC 2.55.2: </w:t>
            </w:r>
            <w:r>
              <w:rPr>
                <w:sz w:val="18"/>
              </w:rPr>
              <w:t>Elaboración de respuestas ante</w:t>
            </w:r>
            <w:r>
              <w:rPr>
                <w:spacing w:val="-12"/>
                <w:sz w:val="18"/>
              </w:rPr>
              <w:t> </w:t>
            </w:r>
            <w:r>
              <w:rPr>
                <w:sz w:val="18"/>
              </w:rPr>
              <w:t>demandas</w:t>
            </w:r>
            <w:r>
              <w:rPr>
                <w:spacing w:val="-12"/>
                <w:sz w:val="18"/>
              </w:rPr>
              <w:t> </w:t>
            </w:r>
            <w:r>
              <w:rPr>
                <w:sz w:val="18"/>
              </w:rPr>
              <w:t>judiciales</w:t>
            </w:r>
            <w:r>
              <w:rPr>
                <w:spacing w:val="-12"/>
                <w:sz w:val="18"/>
              </w:rPr>
              <w:t> </w:t>
            </w:r>
            <w:r>
              <w:rPr>
                <w:sz w:val="18"/>
              </w:rPr>
              <w:t>y recursos de amparo</w:t>
            </w:r>
          </w:p>
        </w:tc>
        <w:tc>
          <w:tcPr>
            <w:tcW w:w="1277" w:type="dxa"/>
            <w:tcBorders>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89"/>
              <w:rPr>
                <w:b/>
                <w:sz w:val="18"/>
              </w:rPr>
            </w:pPr>
          </w:p>
          <w:p>
            <w:pPr>
              <w:pStyle w:val="TableParagraph"/>
              <w:ind w:left="20" w:right="8"/>
              <w:jc w:val="center"/>
              <w:rPr>
                <w:sz w:val="18"/>
              </w:rPr>
            </w:pPr>
            <w:r>
              <w:rPr>
                <w:spacing w:val="-4"/>
                <w:sz w:val="18"/>
              </w:rPr>
              <w:t>100%</w:t>
            </w:r>
          </w:p>
        </w:tc>
        <w:tc>
          <w:tcPr>
            <w:tcW w:w="1700" w:type="dxa"/>
            <w:tcBorders>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89"/>
              <w:rPr>
                <w:b/>
                <w:sz w:val="18"/>
              </w:rPr>
            </w:pPr>
          </w:p>
          <w:p>
            <w:pPr>
              <w:pStyle w:val="TableParagraph"/>
              <w:ind w:right="604"/>
              <w:jc w:val="right"/>
              <w:rPr>
                <w:sz w:val="18"/>
              </w:rPr>
            </w:pPr>
            <w:r>
              <w:rPr>
                <w:spacing w:val="-4"/>
                <w:sz w:val="18"/>
              </w:rPr>
              <w:t>100%</w:t>
            </w:r>
          </w:p>
        </w:tc>
        <w:tc>
          <w:tcPr>
            <w:tcW w:w="1133" w:type="dxa"/>
            <w:tcBorders>
              <w:left w:val="single" w:sz="4" w:space="0" w:color="000000"/>
              <w:bottom w:val="single" w:sz="4" w:space="0" w:color="000000"/>
              <w:right w:val="single" w:sz="4" w:space="0" w:color="000000"/>
            </w:tcBorders>
          </w:tcPr>
          <w:p>
            <w:pPr>
              <w:pStyle w:val="TableParagraph"/>
              <w:spacing w:before="85"/>
              <w:rPr>
                <w:b/>
                <w:sz w:val="18"/>
              </w:rPr>
            </w:pPr>
          </w:p>
          <w:p>
            <w:pPr>
              <w:pStyle w:val="TableParagraph"/>
              <w:ind w:left="71" w:right="64"/>
              <w:rPr>
                <w:sz w:val="18"/>
              </w:rPr>
            </w:pPr>
            <w:r>
              <w:rPr>
                <w:spacing w:val="-2"/>
                <w:sz w:val="18"/>
              </w:rPr>
              <w:t>Porcentaje </w:t>
            </w:r>
            <w:r>
              <w:rPr>
                <w:spacing w:val="-6"/>
                <w:sz w:val="18"/>
              </w:rPr>
              <w:t>de </w:t>
            </w:r>
            <w:r>
              <w:rPr>
                <w:spacing w:val="-2"/>
                <w:sz w:val="18"/>
              </w:rPr>
              <w:t>respuestas </w:t>
            </w:r>
            <w:r>
              <w:rPr>
                <w:spacing w:val="-6"/>
                <w:sz w:val="18"/>
              </w:rPr>
              <w:t>de </w:t>
            </w:r>
            <w:r>
              <w:rPr>
                <w:sz w:val="18"/>
              </w:rPr>
              <w:t>demandas</w:t>
            </w:r>
            <w:r>
              <w:rPr>
                <w:spacing w:val="-13"/>
                <w:sz w:val="18"/>
              </w:rPr>
              <w:t> </w:t>
            </w:r>
            <w:r>
              <w:rPr>
                <w:sz w:val="18"/>
              </w:rPr>
              <w:t>y recursos de </w:t>
            </w:r>
            <w:r>
              <w:rPr>
                <w:spacing w:val="-2"/>
                <w:sz w:val="18"/>
              </w:rPr>
              <w:t>amparo atendidos</w:t>
            </w:r>
          </w:p>
        </w:tc>
        <w:tc>
          <w:tcPr>
            <w:tcW w:w="1983" w:type="dxa"/>
            <w:tcBorders>
              <w:left w:val="single" w:sz="4" w:space="0" w:color="000000"/>
              <w:bottom w:val="single" w:sz="4" w:space="0" w:color="000000"/>
              <w:right w:val="single" w:sz="4" w:space="0" w:color="000000"/>
            </w:tcBorders>
          </w:tcPr>
          <w:p>
            <w:pPr>
              <w:pStyle w:val="TableParagraph"/>
              <w:ind w:left="76" w:right="79"/>
              <w:rPr>
                <w:sz w:val="18"/>
              </w:rPr>
            </w:pPr>
            <w:r>
              <w:rPr>
                <w:sz w:val="18"/>
              </w:rPr>
              <w:t>Control en el Sistema Interno de Procesos Judiciales (SIPJ) / base de datos y/o informe presentado por</w:t>
            </w:r>
            <w:r>
              <w:rPr>
                <w:spacing w:val="-9"/>
                <w:sz w:val="18"/>
              </w:rPr>
              <w:t> </w:t>
            </w:r>
            <w:r>
              <w:rPr>
                <w:sz w:val="18"/>
              </w:rPr>
              <w:t>la</w:t>
            </w:r>
            <w:r>
              <w:rPr>
                <w:spacing w:val="-13"/>
                <w:sz w:val="18"/>
              </w:rPr>
              <w:t> </w:t>
            </w:r>
            <w:r>
              <w:rPr>
                <w:sz w:val="18"/>
              </w:rPr>
              <w:t>Coordinación</w:t>
            </w:r>
            <w:r>
              <w:rPr>
                <w:spacing w:val="-12"/>
                <w:sz w:val="18"/>
              </w:rPr>
              <w:t> </w:t>
            </w:r>
            <w:r>
              <w:rPr>
                <w:sz w:val="18"/>
              </w:rPr>
              <w:t>en procesos judiciales</w:t>
            </w:r>
          </w:p>
        </w:tc>
        <w:tc>
          <w:tcPr>
            <w:tcW w:w="1277" w:type="dxa"/>
            <w:tcBorders>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89"/>
              <w:rPr>
                <w:b/>
                <w:sz w:val="18"/>
              </w:rPr>
            </w:pPr>
          </w:p>
          <w:p>
            <w:pPr>
              <w:pStyle w:val="TableParagraph"/>
              <w:ind w:left="76"/>
              <w:rPr>
                <w:sz w:val="18"/>
              </w:rPr>
            </w:pPr>
            <w:r>
              <w:rPr>
                <w:spacing w:val="-5"/>
                <w:sz w:val="18"/>
              </w:rPr>
              <w:t>AJ</w:t>
            </w:r>
          </w:p>
        </w:tc>
        <w:tc>
          <w:tcPr>
            <w:tcW w:w="1844" w:type="dxa"/>
            <w:tcBorders>
              <w:left w:val="single" w:sz="4" w:space="0" w:color="000000"/>
              <w:bottom w:val="single" w:sz="4" w:space="0" w:color="000000"/>
              <w:right w:val="single" w:sz="4" w:space="0" w:color="000000"/>
            </w:tcBorders>
          </w:tcPr>
          <w:p>
            <w:pPr>
              <w:pStyle w:val="TableParagraph"/>
              <w:rPr>
                <w:rFonts w:ascii="Times New Roman"/>
                <w:sz w:val="18"/>
              </w:rPr>
            </w:pPr>
          </w:p>
        </w:tc>
        <w:tc>
          <w:tcPr>
            <w:tcW w:w="2627" w:type="dxa"/>
            <w:tcBorders>
              <w:left w:val="single" w:sz="4" w:space="0" w:color="000000"/>
              <w:bottom w:val="single" w:sz="4" w:space="0" w:color="000000"/>
              <w:right w:val="single" w:sz="4" w:space="0" w:color="000000"/>
            </w:tcBorders>
          </w:tcPr>
          <w:p>
            <w:pPr>
              <w:pStyle w:val="TableParagraph"/>
              <w:rPr>
                <w:rFonts w:ascii="Times New Roman"/>
                <w:sz w:val="18"/>
              </w:rPr>
            </w:pPr>
          </w:p>
        </w:tc>
      </w:tr>
      <w:tr>
        <w:trPr>
          <w:trHeight w:val="648" w:hRule="atLeast"/>
        </w:trPr>
        <w:tc>
          <w:tcPr>
            <w:tcW w:w="14386" w:type="dxa"/>
            <w:gridSpan w:val="8"/>
            <w:tcBorders>
              <w:top w:val="single" w:sz="4" w:space="0" w:color="000000"/>
              <w:bottom w:val="single" w:sz="4" w:space="0" w:color="000000"/>
            </w:tcBorders>
            <w:shd w:val="clear" w:color="auto" w:fill="EFF8F9"/>
          </w:tcPr>
          <w:p>
            <w:pPr>
              <w:pStyle w:val="TableParagraph"/>
              <w:spacing w:before="12"/>
              <w:rPr>
                <w:b/>
                <w:sz w:val="18"/>
              </w:rPr>
            </w:pPr>
          </w:p>
          <w:p>
            <w:pPr>
              <w:pStyle w:val="TableParagraph"/>
              <w:ind w:left="72"/>
              <w:rPr>
                <w:b/>
                <w:sz w:val="18"/>
              </w:rPr>
            </w:pPr>
            <w:r>
              <w:rPr>
                <w:b/>
                <w:sz w:val="18"/>
              </w:rPr>
              <w:t>Producto</w:t>
            </w:r>
            <w:r>
              <w:rPr>
                <w:b/>
                <w:spacing w:val="-7"/>
                <w:sz w:val="18"/>
              </w:rPr>
              <w:t> </w:t>
            </w:r>
            <w:r>
              <w:rPr>
                <w:b/>
                <w:sz w:val="18"/>
              </w:rPr>
              <w:t>PAC</w:t>
            </w:r>
            <w:r>
              <w:rPr>
                <w:b/>
                <w:spacing w:val="-7"/>
                <w:sz w:val="18"/>
              </w:rPr>
              <w:t> </w:t>
            </w:r>
            <w:r>
              <w:rPr>
                <w:b/>
                <w:sz w:val="18"/>
              </w:rPr>
              <w:t>2.56:</w:t>
            </w:r>
            <w:r>
              <w:rPr>
                <w:b/>
                <w:spacing w:val="-3"/>
                <w:sz w:val="18"/>
              </w:rPr>
              <w:t> </w:t>
            </w:r>
            <w:r>
              <w:rPr>
                <w:b/>
                <w:sz w:val="18"/>
              </w:rPr>
              <w:t>Evaluación</w:t>
            </w:r>
            <w:r>
              <w:rPr>
                <w:b/>
                <w:spacing w:val="-2"/>
                <w:sz w:val="18"/>
              </w:rPr>
              <w:t> </w:t>
            </w:r>
            <w:r>
              <w:rPr>
                <w:b/>
                <w:sz w:val="18"/>
              </w:rPr>
              <w:t>de</w:t>
            </w:r>
            <w:r>
              <w:rPr>
                <w:b/>
                <w:spacing w:val="-5"/>
                <w:sz w:val="18"/>
              </w:rPr>
              <w:t> </w:t>
            </w:r>
            <w:r>
              <w:rPr>
                <w:b/>
                <w:sz w:val="18"/>
              </w:rPr>
              <w:t>cumplimiento</w:t>
            </w:r>
            <w:r>
              <w:rPr>
                <w:b/>
                <w:spacing w:val="-6"/>
                <w:sz w:val="18"/>
              </w:rPr>
              <w:t> </w:t>
            </w:r>
            <w:r>
              <w:rPr>
                <w:b/>
                <w:sz w:val="18"/>
              </w:rPr>
              <w:t>legal</w:t>
            </w:r>
            <w:r>
              <w:rPr>
                <w:b/>
                <w:spacing w:val="-3"/>
                <w:sz w:val="18"/>
              </w:rPr>
              <w:t> </w:t>
            </w:r>
            <w:r>
              <w:rPr>
                <w:b/>
                <w:sz w:val="18"/>
              </w:rPr>
              <w:t>en</w:t>
            </w:r>
            <w:r>
              <w:rPr>
                <w:b/>
                <w:spacing w:val="-7"/>
                <w:sz w:val="18"/>
              </w:rPr>
              <w:t> </w:t>
            </w:r>
            <w:r>
              <w:rPr>
                <w:b/>
                <w:sz w:val="18"/>
              </w:rPr>
              <w:t>materia</w:t>
            </w:r>
            <w:r>
              <w:rPr>
                <w:b/>
                <w:spacing w:val="-5"/>
                <w:sz w:val="18"/>
              </w:rPr>
              <w:t> </w:t>
            </w:r>
            <w:r>
              <w:rPr>
                <w:b/>
                <w:sz w:val="18"/>
              </w:rPr>
              <w:t>de</w:t>
            </w:r>
            <w:r>
              <w:rPr>
                <w:b/>
                <w:spacing w:val="-5"/>
                <w:sz w:val="18"/>
              </w:rPr>
              <w:t> </w:t>
            </w:r>
            <w:r>
              <w:rPr>
                <w:b/>
                <w:sz w:val="18"/>
              </w:rPr>
              <w:t>género</w:t>
            </w:r>
            <w:r>
              <w:rPr>
                <w:b/>
                <w:spacing w:val="-1"/>
                <w:sz w:val="18"/>
              </w:rPr>
              <w:t> </w:t>
            </w:r>
            <w:r>
              <w:rPr>
                <w:b/>
                <w:sz w:val="18"/>
              </w:rPr>
              <w:t>y</w:t>
            </w:r>
            <w:r>
              <w:rPr>
                <w:b/>
                <w:spacing w:val="-6"/>
                <w:sz w:val="18"/>
              </w:rPr>
              <w:t> </w:t>
            </w:r>
            <w:r>
              <w:rPr>
                <w:b/>
                <w:spacing w:val="-2"/>
                <w:sz w:val="18"/>
              </w:rPr>
              <w:t>diversidad</w:t>
            </w:r>
          </w:p>
        </w:tc>
      </w:tr>
      <w:tr>
        <w:trPr>
          <w:trHeight w:val="2063" w:hRule="atLeast"/>
        </w:trPr>
        <w:tc>
          <w:tcPr>
            <w:tcW w:w="2545" w:type="dxa"/>
            <w:tcBorders>
              <w:top w:val="single" w:sz="4" w:space="0" w:color="000000"/>
              <w:left w:val="single" w:sz="4" w:space="0" w:color="000000"/>
              <w:bottom w:val="single" w:sz="4" w:space="0" w:color="000000"/>
              <w:right w:val="single" w:sz="4" w:space="0" w:color="000000"/>
            </w:tcBorders>
          </w:tcPr>
          <w:p>
            <w:pPr>
              <w:pStyle w:val="TableParagraph"/>
              <w:ind w:left="77" w:right="66"/>
              <w:rPr>
                <w:sz w:val="18"/>
              </w:rPr>
            </w:pPr>
            <w:r>
              <w:rPr>
                <w:b/>
                <w:sz w:val="18"/>
              </w:rPr>
              <w:t>Actividad PAC 2.56.1: </w:t>
            </w:r>
            <w:r>
              <w:rPr>
                <w:sz w:val="18"/>
              </w:rPr>
              <w:t>Elaboración de instrucción</w:t>
            </w:r>
            <w:r>
              <w:rPr>
                <w:spacing w:val="40"/>
                <w:sz w:val="18"/>
              </w:rPr>
              <w:t> </w:t>
            </w:r>
            <w:r>
              <w:rPr>
                <w:sz w:val="18"/>
              </w:rPr>
              <w:t>por parte del Asesor Jurídico General al equipo, para que toda revisión de normativa que sea remitida a la</w:t>
            </w:r>
            <w:r>
              <w:rPr>
                <w:spacing w:val="40"/>
                <w:sz w:val="18"/>
              </w:rPr>
              <w:t> </w:t>
            </w:r>
            <w:r>
              <w:rPr>
                <w:sz w:val="18"/>
              </w:rPr>
              <w:t>Asesoría Jurídica se verifique en</w:t>
            </w:r>
            <w:r>
              <w:rPr>
                <w:spacing w:val="-3"/>
                <w:sz w:val="18"/>
              </w:rPr>
              <w:t> </w:t>
            </w:r>
            <w:r>
              <w:rPr>
                <w:sz w:val="18"/>
              </w:rPr>
              <w:t>el</w:t>
            </w:r>
            <w:r>
              <w:rPr>
                <w:spacing w:val="-8"/>
                <w:sz w:val="18"/>
              </w:rPr>
              <w:t> </w:t>
            </w:r>
            <w:r>
              <w:rPr>
                <w:sz w:val="18"/>
              </w:rPr>
              <w:t>texto</w:t>
            </w:r>
            <w:r>
              <w:rPr>
                <w:spacing w:val="-6"/>
                <w:sz w:val="18"/>
              </w:rPr>
              <w:t> </w:t>
            </w:r>
            <w:r>
              <w:rPr>
                <w:sz w:val="18"/>
              </w:rPr>
              <w:t>que</w:t>
            </w:r>
            <w:r>
              <w:rPr>
                <w:spacing w:val="-6"/>
                <w:sz w:val="18"/>
              </w:rPr>
              <w:t> </w:t>
            </w:r>
            <w:r>
              <w:rPr>
                <w:sz w:val="18"/>
              </w:rPr>
              <w:t>se</w:t>
            </w:r>
            <w:r>
              <w:rPr>
                <w:spacing w:val="-6"/>
                <w:sz w:val="18"/>
              </w:rPr>
              <w:t> </w:t>
            </w:r>
            <w:r>
              <w:rPr>
                <w:sz w:val="18"/>
              </w:rPr>
              <w:t>garantiza</w:t>
            </w:r>
            <w:r>
              <w:rPr>
                <w:spacing w:val="-6"/>
                <w:sz w:val="18"/>
              </w:rPr>
              <w:t> </w:t>
            </w:r>
            <w:r>
              <w:rPr>
                <w:sz w:val="18"/>
              </w:rPr>
              <w:t>el cumplimiento</w:t>
            </w:r>
            <w:r>
              <w:rPr>
                <w:spacing w:val="-6"/>
                <w:sz w:val="18"/>
              </w:rPr>
              <w:t> </w:t>
            </w:r>
            <w:r>
              <w:rPr>
                <w:sz w:val="18"/>
              </w:rPr>
              <w:t>legal</w:t>
            </w:r>
            <w:r>
              <w:rPr>
                <w:spacing w:val="-2"/>
                <w:sz w:val="18"/>
              </w:rPr>
              <w:t> </w:t>
            </w:r>
            <w:r>
              <w:rPr>
                <w:sz w:val="18"/>
              </w:rPr>
              <w:t>en</w:t>
            </w:r>
            <w:r>
              <w:rPr>
                <w:spacing w:val="-10"/>
                <w:sz w:val="18"/>
              </w:rPr>
              <w:t> </w:t>
            </w:r>
            <w:r>
              <w:rPr>
                <w:spacing w:val="-2"/>
                <w:sz w:val="18"/>
              </w:rPr>
              <w:t>materia</w:t>
            </w:r>
          </w:p>
          <w:p>
            <w:pPr>
              <w:pStyle w:val="TableParagraph"/>
              <w:spacing w:line="182" w:lineRule="exact"/>
              <w:ind w:left="77"/>
              <w:rPr>
                <w:sz w:val="18"/>
              </w:rPr>
            </w:pPr>
            <w:r>
              <w:rPr>
                <w:sz w:val="18"/>
              </w:rPr>
              <w:t>de género</w:t>
            </w:r>
            <w:r>
              <w:rPr>
                <w:spacing w:val="-3"/>
                <w:sz w:val="18"/>
              </w:rPr>
              <w:t> </w:t>
            </w:r>
            <w:r>
              <w:rPr>
                <w:sz w:val="18"/>
              </w:rPr>
              <w:t>y</w:t>
            </w:r>
            <w:r>
              <w:rPr>
                <w:spacing w:val="-3"/>
                <w:sz w:val="18"/>
              </w:rPr>
              <w:t> </w:t>
            </w:r>
            <w:r>
              <w:rPr>
                <w:spacing w:val="-2"/>
                <w:sz w:val="18"/>
              </w:rPr>
              <w:t>diversidad.</w:t>
            </w:r>
          </w:p>
        </w:tc>
        <w:tc>
          <w:tcPr>
            <w:tcW w:w="1277"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1700"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2"/>
              <w:rPr>
                <w:sz w:val="18"/>
              </w:rPr>
            </w:pPr>
            <w:r>
              <w:rPr>
                <w:spacing w:val="-10"/>
                <w:sz w:val="18"/>
              </w:rPr>
              <w:t>1</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1"/>
              <w:rPr>
                <w:sz w:val="18"/>
              </w:rPr>
            </w:pPr>
            <w:r>
              <w:rPr>
                <w:sz w:val="18"/>
              </w:rPr>
              <w:t>Cantidad</w:t>
            </w:r>
            <w:r>
              <w:rPr>
                <w:spacing w:val="-13"/>
                <w:sz w:val="18"/>
              </w:rPr>
              <w:t> </w:t>
            </w:r>
            <w:r>
              <w:rPr>
                <w:sz w:val="18"/>
              </w:rPr>
              <w:t>de </w:t>
            </w:r>
            <w:r>
              <w:rPr>
                <w:spacing w:val="-2"/>
                <w:sz w:val="18"/>
              </w:rPr>
              <w:t>Instrucción emitida</w:t>
            </w:r>
          </w:p>
        </w:tc>
        <w:tc>
          <w:tcPr>
            <w:tcW w:w="1983"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6"/>
              <w:rPr>
                <w:sz w:val="18"/>
              </w:rPr>
            </w:pPr>
            <w:r>
              <w:rPr>
                <w:sz w:val="18"/>
              </w:rPr>
              <w:t>Oficio</w:t>
            </w:r>
            <w:r>
              <w:rPr>
                <w:spacing w:val="-15"/>
                <w:sz w:val="18"/>
              </w:rPr>
              <w:t> </w:t>
            </w:r>
            <w:r>
              <w:rPr>
                <w:sz w:val="18"/>
              </w:rPr>
              <w:t>de</w:t>
            </w:r>
            <w:r>
              <w:rPr>
                <w:spacing w:val="-12"/>
                <w:sz w:val="18"/>
              </w:rPr>
              <w:t> </w:t>
            </w:r>
            <w:r>
              <w:rPr>
                <w:sz w:val="18"/>
              </w:rPr>
              <w:t>cumplimiento emitido por el titular </w:t>
            </w:r>
            <w:r>
              <w:rPr>
                <w:spacing w:val="-2"/>
                <w:sz w:val="18"/>
              </w:rPr>
              <w:t>subordinado</w:t>
            </w:r>
          </w:p>
        </w:tc>
        <w:tc>
          <w:tcPr>
            <w:tcW w:w="1277"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6"/>
              <w:rPr>
                <w:sz w:val="18"/>
              </w:rPr>
            </w:pPr>
            <w:r>
              <w:rPr>
                <w:spacing w:val="-5"/>
                <w:sz w:val="18"/>
              </w:rPr>
              <w:t>AJ</w:t>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2627" w:type="dxa"/>
            <w:vMerge w:val="restart"/>
            <w:tcBorders>
              <w:top w:val="single" w:sz="4" w:space="0" w:color="000000"/>
              <w:left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ind w:left="71" w:right="119"/>
              <w:jc w:val="both"/>
              <w:rPr>
                <w:sz w:val="18"/>
              </w:rPr>
            </w:pPr>
            <w:r>
              <w:rPr>
                <w:sz w:val="18"/>
              </w:rPr>
              <w:t>Evento: Emisión</w:t>
            </w:r>
            <w:r>
              <w:rPr>
                <w:spacing w:val="-4"/>
                <w:sz w:val="18"/>
              </w:rPr>
              <w:t> </w:t>
            </w:r>
            <w:r>
              <w:rPr>
                <w:sz w:val="18"/>
              </w:rPr>
              <w:t>de</w:t>
            </w:r>
            <w:r>
              <w:rPr>
                <w:spacing w:val="-4"/>
                <w:sz w:val="18"/>
              </w:rPr>
              <w:t> </w:t>
            </w:r>
            <w:r>
              <w:rPr>
                <w:sz w:val="18"/>
              </w:rPr>
              <w:t>normativa insuficiente para la protección de</w:t>
            </w:r>
            <w:r>
              <w:rPr>
                <w:spacing w:val="-4"/>
                <w:sz w:val="18"/>
              </w:rPr>
              <w:t> </w:t>
            </w:r>
            <w:r>
              <w:rPr>
                <w:sz w:val="18"/>
              </w:rPr>
              <w:t>los</w:t>
            </w:r>
            <w:r>
              <w:rPr>
                <w:spacing w:val="-8"/>
                <w:sz w:val="18"/>
              </w:rPr>
              <w:t> </w:t>
            </w:r>
            <w:r>
              <w:rPr>
                <w:sz w:val="18"/>
              </w:rPr>
              <w:t>derechos</w:t>
            </w:r>
            <w:r>
              <w:rPr>
                <w:spacing w:val="-8"/>
                <w:sz w:val="18"/>
              </w:rPr>
              <w:t> </w:t>
            </w:r>
            <w:r>
              <w:rPr>
                <w:sz w:val="18"/>
              </w:rPr>
              <w:t>en</w:t>
            </w:r>
            <w:r>
              <w:rPr>
                <w:spacing w:val="-12"/>
                <w:sz w:val="18"/>
              </w:rPr>
              <w:t> </w:t>
            </w:r>
            <w:r>
              <w:rPr>
                <w:sz w:val="18"/>
              </w:rPr>
              <w:t>materia</w:t>
            </w:r>
            <w:r>
              <w:rPr>
                <w:spacing w:val="-4"/>
                <w:sz w:val="18"/>
              </w:rPr>
              <w:t> </w:t>
            </w:r>
            <w:r>
              <w:rPr>
                <w:sz w:val="18"/>
              </w:rPr>
              <w:t>de género y diversidad</w:t>
            </w:r>
          </w:p>
        </w:tc>
      </w:tr>
      <w:tr>
        <w:trPr>
          <w:trHeight w:val="830" w:hRule="atLeast"/>
        </w:trPr>
        <w:tc>
          <w:tcPr>
            <w:tcW w:w="2545" w:type="dxa"/>
            <w:tcBorders>
              <w:top w:val="single" w:sz="4" w:space="0" w:color="000000"/>
              <w:left w:val="single" w:sz="4" w:space="0" w:color="000000"/>
              <w:bottom w:val="single" w:sz="8" w:space="0" w:color="EFF8F9"/>
              <w:right w:val="single" w:sz="4" w:space="0" w:color="000000"/>
            </w:tcBorders>
          </w:tcPr>
          <w:p>
            <w:pPr>
              <w:pStyle w:val="TableParagraph"/>
              <w:spacing w:line="206" w:lineRule="exact"/>
              <w:ind w:left="77" w:right="81"/>
              <w:rPr>
                <w:sz w:val="18"/>
              </w:rPr>
            </w:pPr>
            <w:r>
              <w:rPr>
                <w:b/>
                <w:sz w:val="18"/>
              </w:rPr>
              <w:t>Actividad PAC 2.56.2</w:t>
            </w:r>
            <w:r>
              <w:rPr>
                <w:sz w:val="18"/>
              </w:rPr>
              <w:t>: Revisión</w:t>
            </w:r>
            <w:r>
              <w:rPr>
                <w:spacing w:val="-9"/>
                <w:sz w:val="18"/>
              </w:rPr>
              <w:t> </w:t>
            </w:r>
            <w:r>
              <w:rPr>
                <w:sz w:val="18"/>
              </w:rPr>
              <w:t>de</w:t>
            </w:r>
            <w:r>
              <w:rPr>
                <w:spacing w:val="-13"/>
                <w:sz w:val="18"/>
              </w:rPr>
              <w:t> </w:t>
            </w:r>
            <w:r>
              <w:rPr>
                <w:sz w:val="18"/>
              </w:rPr>
              <w:t>normativa</w:t>
            </w:r>
            <w:r>
              <w:rPr>
                <w:spacing w:val="-12"/>
                <w:sz w:val="18"/>
              </w:rPr>
              <w:t> </w:t>
            </w:r>
            <w:r>
              <w:rPr>
                <w:sz w:val="18"/>
              </w:rPr>
              <w:t>en materia de género y </w:t>
            </w:r>
            <w:r>
              <w:rPr>
                <w:spacing w:val="-2"/>
                <w:sz w:val="18"/>
              </w:rPr>
              <w:t>diversidad.</w:t>
            </w:r>
          </w:p>
        </w:tc>
        <w:tc>
          <w:tcPr>
            <w:tcW w:w="1277" w:type="dxa"/>
            <w:tcBorders>
              <w:top w:val="single" w:sz="4" w:space="0" w:color="000000"/>
              <w:left w:val="single" w:sz="4" w:space="0" w:color="000000"/>
              <w:bottom w:val="single" w:sz="8" w:space="0" w:color="EFF8F9"/>
              <w:right w:val="single" w:sz="4" w:space="0" w:color="000000"/>
            </w:tcBorders>
          </w:tcPr>
          <w:p>
            <w:pPr>
              <w:pStyle w:val="TableParagraph"/>
              <w:rPr>
                <w:rFonts w:ascii="Times New Roman"/>
                <w:sz w:val="18"/>
              </w:rPr>
            </w:pPr>
          </w:p>
        </w:tc>
        <w:tc>
          <w:tcPr>
            <w:tcW w:w="1700" w:type="dxa"/>
            <w:tcBorders>
              <w:top w:val="single" w:sz="4" w:space="0" w:color="000000"/>
              <w:left w:val="single" w:sz="4" w:space="0" w:color="000000"/>
              <w:bottom w:val="single" w:sz="8" w:space="0" w:color="EFF8F9"/>
              <w:right w:val="single" w:sz="4" w:space="0" w:color="000000"/>
            </w:tcBorders>
          </w:tcPr>
          <w:p>
            <w:pPr>
              <w:pStyle w:val="TableParagraph"/>
              <w:spacing w:before="108"/>
              <w:rPr>
                <w:b/>
                <w:sz w:val="18"/>
              </w:rPr>
            </w:pPr>
          </w:p>
          <w:p>
            <w:pPr>
              <w:pStyle w:val="TableParagraph"/>
              <w:spacing w:before="1"/>
              <w:ind w:left="72"/>
              <w:rPr>
                <w:sz w:val="18"/>
              </w:rPr>
            </w:pPr>
            <w:r>
              <w:rPr>
                <w:spacing w:val="-4"/>
                <w:sz w:val="18"/>
              </w:rPr>
              <w:t>100%</w:t>
            </w:r>
          </w:p>
        </w:tc>
        <w:tc>
          <w:tcPr>
            <w:tcW w:w="1133" w:type="dxa"/>
            <w:tcBorders>
              <w:top w:val="single" w:sz="4" w:space="0" w:color="000000"/>
              <w:left w:val="single" w:sz="4" w:space="0" w:color="000000"/>
              <w:bottom w:val="single" w:sz="8" w:space="0" w:color="EFF8F9"/>
              <w:right w:val="single" w:sz="4" w:space="0" w:color="000000"/>
            </w:tcBorders>
          </w:tcPr>
          <w:p>
            <w:pPr>
              <w:pStyle w:val="TableParagraph"/>
              <w:spacing w:line="206" w:lineRule="exact"/>
              <w:ind w:left="71" w:right="116"/>
              <w:rPr>
                <w:sz w:val="18"/>
              </w:rPr>
            </w:pPr>
            <w:r>
              <w:rPr>
                <w:spacing w:val="-2"/>
                <w:sz w:val="18"/>
              </w:rPr>
              <w:t>Porcentaje </w:t>
            </w:r>
            <w:r>
              <w:rPr>
                <w:spacing w:val="-6"/>
                <w:sz w:val="18"/>
              </w:rPr>
              <w:t>de </w:t>
            </w:r>
            <w:r>
              <w:rPr>
                <w:spacing w:val="-2"/>
                <w:sz w:val="18"/>
              </w:rPr>
              <w:t>normativa revisada</w:t>
            </w:r>
          </w:p>
        </w:tc>
        <w:tc>
          <w:tcPr>
            <w:tcW w:w="1983" w:type="dxa"/>
            <w:tcBorders>
              <w:top w:val="single" w:sz="4" w:space="0" w:color="000000"/>
              <w:left w:val="single" w:sz="4" w:space="0" w:color="000000"/>
              <w:bottom w:val="single" w:sz="8" w:space="0" w:color="EFF8F9"/>
              <w:right w:val="single" w:sz="4" w:space="0" w:color="000000"/>
            </w:tcBorders>
          </w:tcPr>
          <w:p>
            <w:pPr>
              <w:pStyle w:val="TableParagraph"/>
              <w:spacing w:before="4"/>
              <w:ind w:left="76" w:right="229"/>
              <w:jc w:val="both"/>
              <w:rPr>
                <w:sz w:val="18"/>
              </w:rPr>
            </w:pPr>
            <w:r>
              <w:rPr>
                <w:sz w:val="18"/>
              </w:rPr>
              <w:t>Normativa</w:t>
            </w:r>
            <w:r>
              <w:rPr>
                <w:spacing w:val="-12"/>
                <w:sz w:val="18"/>
              </w:rPr>
              <w:t> </w:t>
            </w:r>
            <w:r>
              <w:rPr>
                <w:sz w:val="18"/>
              </w:rPr>
              <w:t>revisada</w:t>
            </w:r>
            <w:r>
              <w:rPr>
                <w:spacing w:val="-12"/>
                <w:sz w:val="18"/>
              </w:rPr>
              <w:t> </w:t>
            </w:r>
            <w:r>
              <w:rPr>
                <w:sz w:val="18"/>
              </w:rPr>
              <w:t>/ oficio</w:t>
            </w:r>
            <w:r>
              <w:rPr>
                <w:spacing w:val="-9"/>
                <w:sz w:val="18"/>
              </w:rPr>
              <w:t> </w:t>
            </w:r>
            <w:r>
              <w:rPr>
                <w:sz w:val="18"/>
              </w:rPr>
              <w:t>de</w:t>
            </w:r>
            <w:r>
              <w:rPr>
                <w:spacing w:val="-13"/>
                <w:sz w:val="18"/>
              </w:rPr>
              <w:t> </w:t>
            </w:r>
            <w:r>
              <w:rPr>
                <w:sz w:val="18"/>
              </w:rPr>
              <w:t>respuesta</w:t>
            </w:r>
            <w:r>
              <w:rPr>
                <w:spacing w:val="-12"/>
                <w:sz w:val="18"/>
              </w:rPr>
              <w:t> </w:t>
            </w:r>
            <w:r>
              <w:rPr>
                <w:sz w:val="18"/>
              </w:rPr>
              <w:t>a normativa revisada</w:t>
            </w:r>
          </w:p>
        </w:tc>
        <w:tc>
          <w:tcPr>
            <w:tcW w:w="1277" w:type="dxa"/>
            <w:tcBorders>
              <w:top w:val="single" w:sz="4" w:space="0" w:color="000000"/>
              <w:left w:val="single" w:sz="4" w:space="0" w:color="000000"/>
              <w:bottom w:val="single" w:sz="8" w:space="0" w:color="EFF8F9"/>
              <w:right w:val="single" w:sz="4" w:space="0" w:color="000000"/>
            </w:tcBorders>
          </w:tcPr>
          <w:p>
            <w:pPr>
              <w:pStyle w:val="TableParagraph"/>
              <w:spacing w:before="108"/>
              <w:rPr>
                <w:b/>
                <w:sz w:val="18"/>
              </w:rPr>
            </w:pPr>
          </w:p>
          <w:p>
            <w:pPr>
              <w:pStyle w:val="TableParagraph"/>
              <w:spacing w:before="1"/>
              <w:ind w:left="76"/>
              <w:rPr>
                <w:sz w:val="18"/>
              </w:rPr>
            </w:pPr>
            <w:r>
              <w:rPr>
                <w:spacing w:val="-5"/>
                <w:sz w:val="18"/>
              </w:rPr>
              <w:t>AJ</w:t>
            </w:r>
          </w:p>
        </w:tc>
        <w:tc>
          <w:tcPr>
            <w:tcW w:w="1844" w:type="dxa"/>
            <w:tcBorders>
              <w:top w:val="single" w:sz="4" w:space="0" w:color="000000"/>
              <w:left w:val="single" w:sz="4" w:space="0" w:color="000000"/>
              <w:bottom w:val="single" w:sz="8" w:space="0" w:color="EFF8F9"/>
              <w:right w:val="single" w:sz="4" w:space="0" w:color="000000"/>
            </w:tcBorders>
          </w:tcPr>
          <w:p>
            <w:pPr>
              <w:pStyle w:val="TableParagraph"/>
              <w:rPr>
                <w:rFonts w:ascii="Times New Roman"/>
                <w:sz w:val="18"/>
              </w:rPr>
            </w:pPr>
          </w:p>
        </w:tc>
        <w:tc>
          <w:tcPr>
            <w:tcW w:w="2627" w:type="dxa"/>
            <w:vMerge/>
            <w:tcBorders>
              <w:top w:val="nil"/>
              <w:left w:val="single" w:sz="4" w:space="0" w:color="000000"/>
              <w:right w:val="single" w:sz="4" w:space="0" w:color="000000"/>
            </w:tcBorders>
          </w:tcPr>
          <w:p>
            <w:pPr>
              <w:rPr>
                <w:sz w:val="2"/>
                <w:szCs w:val="2"/>
              </w:rPr>
            </w:pPr>
          </w:p>
        </w:tc>
      </w:tr>
      <w:tr>
        <w:trPr>
          <w:trHeight w:val="556" w:hRule="atLeast"/>
        </w:trPr>
        <w:tc>
          <w:tcPr>
            <w:tcW w:w="14386" w:type="dxa"/>
            <w:gridSpan w:val="8"/>
            <w:tcBorders>
              <w:bottom w:val="single" w:sz="4" w:space="0" w:color="000000"/>
            </w:tcBorders>
            <w:shd w:val="clear" w:color="auto" w:fill="EFF8F9"/>
          </w:tcPr>
          <w:p>
            <w:pPr>
              <w:pStyle w:val="TableParagraph"/>
              <w:spacing w:before="176"/>
              <w:ind w:left="72"/>
              <w:rPr>
                <w:b/>
                <w:sz w:val="18"/>
              </w:rPr>
            </w:pPr>
            <w:r>
              <w:rPr>
                <w:b/>
                <w:sz w:val="18"/>
              </w:rPr>
              <w:t>Producto</w:t>
            </w:r>
            <w:r>
              <w:rPr>
                <w:b/>
                <w:spacing w:val="-8"/>
                <w:sz w:val="18"/>
              </w:rPr>
              <w:t> </w:t>
            </w:r>
            <w:r>
              <w:rPr>
                <w:b/>
                <w:sz w:val="18"/>
              </w:rPr>
              <w:t>PAC</w:t>
            </w:r>
            <w:r>
              <w:rPr>
                <w:b/>
                <w:spacing w:val="-8"/>
                <w:sz w:val="18"/>
              </w:rPr>
              <w:t> </w:t>
            </w:r>
            <w:r>
              <w:rPr>
                <w:b/>
                <w:sz w:val="18"/>
              </w:rPr>
              <w:t>2.57:</w:t>
            </w:r>
            <w:r>
              <w:rPr>
                <w:b/>
                <w:spacing w:val="-5"/>
                <w:sz w:val="18"/>
              </w:rPr>
              <w:t> </w:t>
            </w:r>
            <w:r>
              <w:rPr>
                <w:b/>
                <w:sz w:val="18"/>
              </w:rPr>
              <w:t>Servicios</w:t>
            </w:r>
            <w:r>
              <w:rPr>
                <w:b/>
                <w:spacing w:val="-6"/>
                <w:sz w:val="18"/>
              </w:rPr>
              <w:t> </w:t>
            </w:r>
            <w:r>
              <w:rPr>
                <w:b/>
                <w:sz w:val="18"/>
              </w:rPr>
              <w:t>Jurídicos</w:t>
            </w:r>
            <w:r>
              <w:rPr>
                <w:b/>
                <w:spacing w:val="-4"/>
                <w:sz w:val="18"/>
              </w:rPr>
              <w:t> </w:t>
            </w:r>
            <w:r>
              <w:rPr>
                <w:b/>
                <w:sz w:val="18"/>
              </w:rPr>
              <w:t>-</w:t>
            </w:r>
            <w:r>
              <w:rPr>
                <w:b/>
                <w:spacing w:val="1"/>
                <w:sz w:val="18"/>
              </w:rPr>
              <w:t> </w:t>
            </w:r>
            <w:r>
              <w:rPr>
                <w:b/>
                <w:sz w:val="18"/>
              </w:rPr>
              <w:t>Notarios</w:t>
            </w:r>
            <w:r>
              <w:rPr>
                <w:b/>
                <w:spacing w:val="-7"/>
                <w:sz w:val="18"/>
              </w:rPr>
              <w:t> </w:t>
            </w:r>
            <w:r>
              <w:rPr>
                <w:b/>
                <w:spacing w:val="-2"/>
                <w:sz w:val="18"/>
              </w:rPr>
              <w:t>externos</w:t>
            </w:r>
          </w:p>
        </w:tc>
      </w:tr>
      <w:tr>
        <w:trPr>
          <w:trHeight w:val="1449" w:hRule="atLeast"/>
        </w:trPr>
        <w:tc>
          <w:tcPr>
            <w:tcW w:w="2545" w:type="dxa"/>
            <w:tcBorders>
              <w:top w:val="single" w:sz="4" w:space="0" w:color="000000"/>
              <w:left w:val="single" w:sz="4" w:space="0" w:color="000000"/>
              <w:bottom w:val="single" w:sz="4" w:space="0" w:color="000000"/>
              <w:right w:val="single" w:sz="4" w:space="0" w:color="000000"/>
            </w:tcBorders>
          </w:tcPr>
          <w:p>
            <w:pPr>
              <w:pStyle w:val="TableParagraph"/>
              <w:spacing w:before="205"/>
              <w:ind w:left="77"/>
              <w:rPr>
                <w:sz w:val="18"/>
              </w:rPr>
            </w:pPr>
            <w:r>
              <w:rPr>
                <w:b/>
                <w:sz w:val="18"/>
              </w:rPr>
              <w:t>Actividad PAC 2.57.1: </w:t>
            </w:r>
            <w:r>
              <w:rPr>
                <w:sz w:val="18"/>
              </w:rPr>
              <w:t>Asignación de gestiones notariales</w:t>
            </w:r>
            <w:r>
              <w:rPr>
                <w:spacing w:val="-15"/>
                <w:sz w:val="18"/>
              </w:rPr>
              <w:t> </w:t>
            </w:r>
            <w:r>
              <w:rPr>
                <w:sz w:val="18"/>
              </w:rPr>
              <w:t>realizadas</w:t>
            </w:r>
            <w:r>
              <w:rPr>
                <w:spacing w:val="-12"/>
                <w:sz w:val="18"/>
              </w:rPr>
              <w:t> </w:t>
            </w:r>
            <w:r>
              <w:rPr>
                <w:sz w:val="18"/>
              </w:rPr>
              <w:t>según requerimientos de otras instancias institucionales.</w:t>
            </w:r>
          </w:p>
        </w:tc>
        <w:tc>
          <w:tcPr>
            <w:tcW w:w="1277"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2"/>
              <w:rPr>
                <w:b/>
                <w:sz w:val="18"/>
              </w:rPr>
            </w:pPr>
          </w:p>
          <w:p>
            <w:pPr>
              <w:pStyle w:val="TableParagraph"/>
              <w:ind w:left="20" w:right="8"/>
              <w:jc w:val="center"/>
              <w:rPr>
                <w:sz w:val="18"/>
              </w:rPr>
            </w:pPr>
            <w:r>
              <w:rPr>
                <w:spacing w:val="-4"/>
                <w:sz w:val="18"/>
              </w:rPr>
              <w:t>100%</w:t>
            </w:r>
          </w:p>
        </w:tc>
        <w:tc>
          <w:tcPr>
            <w:tcW w:w="1700"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2"/>
              <w:rPr>
                <w:b/>
                <w:sz w:val="18"/>
              </w:rPr>
            </w:pPr>
          </w:p>
          <w:p>
            <w:pPr>
              <w:pStyle w:val="TableParagraph"/>
              <w:ind w:right="604"/>
              <w:jc w:val="right"/>
              <w:rPr>
                <w:sz w:val="18"/>
              </w:rPr>
            </w:pPr>
            <w:r>
              <w:rPr>
                <w:spacing w:val="-4"/>
                <w:sz w:val="18"/>
              </w:rPr>
              <w:t>100%</w:t>
            </w:r>
          </w:p>
        </w:tc>
        <w:tc>
          <w:tcPr>
            <w:tcW w:w="1133" w:type="dxa"/>
            <w:tcBorders>
              <w:top w:val="single" w:sz="4" w:space="0" w:color="000000"/>
              <w:left w:val="single" w:sz="4" w:space="0" w:color="000000"/>
              <w:bottom w:val="single" w:sz="4" w:space="0" w:color="000000"/>
              <w:right w:val="single" w:sz="4" w:space="0" w:color="000000"/>
            </w:tcBorders>
          </w:tcPr>
          <w:p>
            <w:pPr>
              <w:pStyle w:val="TableParagraph"/>
              <w:spacing w:before="103"/>
              <w:rPr>
                <w:b/>
                <w:sz w:val="18"/>
              </w:rPr>
            </w:pPr>
          </w:p>
          <w:p>
            <w:pPr>
              <w:pStyle w:val="TableParagraph"/>
              <w:spacing w:before="1"/>
              <w:ind w:left="71" w:right="64"/>
              <w:rPr>
                <w:sz w:val="18"/>
              </w:rPr>
            </w:pPr>
            <w:r>
              <w:rPr>
                <w:spacing w:val="-2"/>
                <w:sz w:val="18"/>
              </w:rPr>
              <w:t>Porcentaje </w:t>
            </w:r>
            <w:r>
              <w:rPr>
                <w:spacing w:val="-6"/>
                <w:sz w:val="18"/>
              </w:rPr>
              <w:t>de </w:t>
            </w:r>
            <w:r>
              <w:rPr>
                <w:spacing w:val="-2"/>
                <w:sz w:val="18"/>
              </w:rPr>
              <w:t>asignacione </w:t>
            </w:r>
            <w:r>
              <w:rPr>
                <w:sz w:val="18"/>
              </w:rPr>
              <w:t>s</w:t>
            </w:r>
            <w:r>
              <w:rPr>
                <w:spacing w:val="2"/>
                <w:sz w:val="18"/>
              </w:rPr>
              <w:t> </w:t>
            </w:r>
            <w:r>
              <w:rPr>
                <w:spacing w:val="-2"/>
                <w:sz w:val="18"/>
              </w:rPr>
              <w:t>realizadas</w:t>
            </w:r>
          </w:p>
        </w:tc>
        <w:tc>
          <w:tcPr>
            <w:tcW w:w="1983" w:type="dxa"/>
            <w:tcBorders>
              <w:top w:val="single" w:sz="4" w:space="0" w:color="000000"/>
              <w:left w:val="single" w:sz="4" w:space="0" w:color="000000"/>
              <w:bottom w:val="single" w:sz="4" w:space="0" w:color="000000"/>
              <w:right w:val="single" w:sz="4" w:space="0" w:color="000000"/>
            </w:tcBorders>
          </w:tcPr>
          <w:p>
            <w:pPr>
              <w:pStyle w:val="TableParagraph"/>
              <w:ind w:left="76" w:right="169"/>
              <w:rPr>
                <w:sz w:val="18"/>
              </w:rPr>
            </w:pPr>
            <w:r>
              <w:rPr>
                <w:sz w:val="18"/>
              </w:rPr>
              <w:t>Informe</w:t>
            </w:r>
            <w:r>
              <w:rPr>
                <w:spacing w:val="-13"/>
                <w:sz w:val="18"/>
              </w:rPr>
              <w:t> </w:t>
            </w:r>
            <w:r>
              <w:rPr>
                <w:sz w:val="18"/>
              </w:rPr>
              <w:t>presentado por la persona fiscalizadora de Contrato</w:t>
            </w:r>
            <w:r>
              <w:rPr>
                <w:spacing w:val="-15"/>
                <w:sz w:val="18"/>
              </w:rPr>
              <w:t> </w:t>
            </w:r>
            <w:r>
              <w:rPr>
                <w:sz w:val="18"/>
              </w:rPr>
              <w:t>y/o</w:t>
            </w:r>
            <w:r>
              <w:rPr>
                <w:spacing w:val="-12"/>
                <w:sz w:val="18"/>
              </w:rPr>
              <w:t> </w:t>
            </w:r>
            <w:r>
              <w:rPr>
                <w:sz w:val="18"/>
              </w:rPr>
              <w:t>control interno de asignaciones a</w:t>
            </w:r>
          </w:p>
          <w:p>
            <w:pPr>
              <w:pStyle w:val="TableParagraph"/>
              <w:spacing w:line="187" w:lineRule="exact"/>
              <w:ind w:left="76"/>
              <w:rPr>
                <w:sz w:val="18"/>
              </w:rPr>
            </w:pPr>
            <w:r>
              <w:rPr>
                <w:spacing w:val="-2"/>
                <w:sz w:val="18"/>
              </w:rPr>
              <w:t>notarios</w:t>
            </w:r>
          </w:p>
        </w:tc>
        <w:tc>
          <w:tcPr>
            <w:tcW w:w="1277"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2"/>
              <w:rPr>
                <w:b/>
                <w:sz w:val="18"/>
              </w:rPr>
            </w:pPr>
          </w:p>
          <w:p>
            <w:pPr>
              <w:pStyle w:val="TableParagraph"/>
              <w:ind w:left="76"/>
              <w:rPr>
                <w:sz w:val="18"/>
              </w:rPr>
            </w:pPr>
            <w:r>
              <w:rPr>
                <w:spacing w:val="-5"/>
                <w:sz w:val="18"/>
              </w:rPr>
              <w:t>AJ</w:t>
            </w:r>
          </w:p>
        </w:tc>
        <w:tc>
          <w:tcPr>
            <w:tcW w:w="1844"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spacing w:before="2"/>
              <w:rPr>
                <w:b/>
                <w:sz w:val="18"/>
              </w:rPr>
            </w:pPr>
          </w:p>
          <w:p>
            <w:pPr>
              <w:pStyle w:val="TableParagraph"/>
              <w:ind w:left="773"/>
              <w:rPr>
                <w:sz w:val="18"/>
              </w:rPr>
            </w:pPr>
            <w:r>
              <w:rPr>
                <w:sz w:val="18"/>
              </w:rPr>
              <w:t>100</w:t>
            </w:r>
            <w:r>
              <w:rPr>
                <w:spacing w:val="2"/>
                <w:sz w:val="18"/>
              </w:rPr>
              <w:t> </w:t>
            </w:r>
            <w:r>
              <w:rPr>
                <w:sz w:val="18"/>
              </w:rPr>
              <w:t>000</w:t>
            </w:r>
            <w:r>
              <w:rPr>
                <w:spacing w:val="-2"/>
                <w:sz w:val="18"/>
              </w:rPr>
              <w:t> </w:t>
            </w:r>
            <w:r>
              <w:rPr>
                <w:spacing w:val="-5"/>
                <w:sz w:val="18"/>
              </w:rPr>
              <w:t>000</w:t>
            </w:r>
          </w:p>
        </w:tc>
        <w:tc>
          <w:tcPr>
            <w:tcW w:w="2627" w:type="dxa"/>
            <w:tcBorders>
              <w:top w:val="single" w:sz="4" w:space="0" w:color="000000"/>
              <w:left w:val="single" w:sz="4" w:space="0" w:color="000000"/>
              <w:bottom w:val="single" w:sz="4" w:space="0" w:color="000000"/>
              <w:right w:val="single" w:sz="4" w:space="0" w:color="000000"/>
            </w:tcBorders>
          </w:tcPr>
          <w:p>
            <w:pPr>
              <w:pStyle w:val="TableParagraph"/>
              <w:spacing w:before="103"/>
              <w:rPr>
                <w:b/>
                <w:sz w:val="18"/>
              </w:rPr>
            </w:pPr>
          </w:p>
          <w:p>
            <w:pPr>
              <w:pStyle w:val="TableParagraph"/>
              <w:spacing w:before="1"/>
              <w:ind w:left="71"/>
              <w:rPr>
                <w:sz w:val="18"/>
              </w:rPr>
            </w:pPr>
            <w:r>
              <w:rPr>
                <w:sz w:val="18"/>
              </w:rPr>
              <w:t>Evento: Las instancias solicitantes</w:t>
            </w:r>
            <w:r>
              <w:rPr>
                <w:spacing w:val="-13"/>
                <w:sz w:val="18"/>
              </w:rPr>
              <w:t> </w:t>
            </w:r>
            <w:r>
              <w:rPr>
                <w:sz w:val="18"/>
              </w:rPr>
              <w:t>no</w:t>
            </w:r>
            <w:r>
              <w:rPr>
                <w:spacing w:val="-12"/>
                <w:sz w:val="18"/>
              </w:rPr>
              <w:t> </w:t>
            </w:r>
            <w:r>
              <w:rPr>
                <w:sz w:val="18"/>
              </w:rPr>
              <w:t>podría</w:t>
            </w:r>
            <w:r>
              <w:rPr>
                <w:spacing w:val="-13"/>
                <w:sz w:val="18"/>
              </w:rPr>
              <w:t> </w:t>
            </w:r>
            <w:r>
              <w:rPr>
                <w:sz w:val="18"/>
              </w:rPr>
              <w:t>cumplir sus objetivos respecto a las gestiones notariales</w:t>
            </w:r>
          </w:p>
        </w:tc>
      </w:tr>
    </w:tbl>
    <w:p>
      <w:pPr>
        <w:pStyle w:val="TableParagraph"/>
        <w:spacing w:after="0"/>
        <w:rPr>
          <w:sz w:val="18"/>
        </w:rPr>
        <w:sectPr>
          <w:type w:val="continuous"/>
          <w:pgSz w:w="15840" w:h="12240" w:orient="landscape"/>
          <w:pgMar w:header="0" w:footer="1806" w:top="700" w:bottom="2320" w:left="360" w:right="360"/>
        </w:sectPr>
      </w:pPr>
    </w:p>
    <w:p>
      <w:pPr>
        <w:pStyle w:val="BodyText"/>
        <w:spacing w:before="6" w:after="1"/>
        <w:rPr>
          <w:b/>
          <w:sz w:val="8"/>
        </w:rPr>
      </w:pPr>
    </w:p>
    <w:tbl>
      <w:tblPr>
        <w:tblW w:w="0" w:type="auto"/>
        <w:jc w:val="left"/>
        <w:tblInd w:w="3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2972"/>
        <w:gridCol w:w="1109"/>
        <w:gridCol w:w="1220"/>
        <w:gridCol w:w="2079"/>
        <w:gridCol w:w="1316"/>
        <w:gridCol w:w="1460"/>
        <w:gridCol w:w="1773"/>
        <w:gridCol w:w="2323"/>
      </w:tblGrid>
      <w:tr>
        <w:trPr>
          <w:trHeight w:val="681" w:hRule="atLeast"/>
        </w:trPr>
        <w:tc>
          <w:tcPr>
            <w:tcW w:w="2972" w:type="dxa"/>
            <w:tcBorders>
              <w:left w:val="single" w:sz="4" w:space="0" w:color="000000"/>
              <w:bottom w:val="single" w:sz="4" w:space="0" w:color="000000"/>
              <w:right w:val="single" w:sz="4" w:space="0" w:color="000000"/>
            </w:tcBorders>
            <w:shd w:val="clear" w:color="auto" w:fill="F1F1F1"/>
          </w:tcPr>
          <w:p>
            <w:pPr>
              <w:pStyle w:val="TableParagraph"/>
              <w:spacing w:before="32"/>
              <w:rPr>
                <w:b/>
                <w:sz w:val="18"/>
              </w:rPr>
            </w:pPr>
          </w:p>
          <w:p>
            <w:pPr>
              <w:pStyle w:val="TableParagraph"/>
              <w:ind w:left="518"/>
              <w:rPr>
                <w:b/>
                <w:sz w:val="18"/>
              </w:rPr>
            </w:pPr>
            <w:r>
              <w:rPr>
                <w:b/>
                <w:sz w:val="18"/>
              </w:rPr>
              <w:t>Objetivos</w:t>
            </w:r>
            <w:r>
              <w:rPr>
                <w:b/>
                <w:spacing w:val="-5"/>
                <w:sz w:val="18"/>
              </w:rPr>
              <w:t> </w:t>
            </w:r>
            <w:r>
              <w:rPr>
                <w:b/>
                <w:sz w:val="18"/>
              </w:rPr>
              <w:t>/</w:t>
            </w:r>
            <w:r>
              <w:rPr>
                <w:b/>
                <w:spacing w:val="-2"/>
                <w:sz w:val="18"/>
              </w:rPr>
              <w:t> Resultados</w:t>
            </w:r>
          </w:p>
        </w:tc>
        <w:tc>
          <w:tcPr>
            <w:tcW w:w="1109" w:type="dxa"/>
            <w:tcBorders>
              <w:left w:val="single" w:sz="4" w:space="0" w:color="000000"/>
              <w:bottom w:val="single" w:sz="4" w:space="0" w:color="000000"/>
              <w:right w:val="single" w:sz="4" w:space="0" w:color="000000"/>
            </w:tcBorders>
            <w:shd w:val="clear" w:color="auto" w:fill="F1F1F1"/>
          </w:tcPr>
          <w:p>
            <w:pPr>
              <w:pStyle w:val="TableParagraph"/>
              <w:spacing w:before="133"/>
              <w:ind w:left="292" w:hanging="216"/>
              <w:rPr>
                <w:b/>
                <w:sz w:val="18"/>
              </w:rPr>
            </w:pPr>
            <w:r>
              <w:rPr>
                <w:b/>
                <w:sz w:val="18"/>
              </w:rPr>
              <w:t>Línea</w:t>
            </w:r>
            <w:r>
              <w:rPr>
                <w:b/>
                <w:spacing w:val="-13"/>
                <w:sz w:val="18"/>
              </w:rPr>
              <w:t> </w:t>
            </w:r>
            <w:r>
              <w:rPr>
                <w:b/>
                <w:sz w:val="18"/>
              </w:rPr>
              <w:t>Base </w:t>
            </w:r>
            <w:r>
              <w:rPr>
                <w:b/>
                <w:spacing w:val="-2"/>
                <w:sz w:val="18"/>
              </w:rPr>
              <w:t>(2024)</w:t>
            </w:r>
          </w:p>
        </w:tc>
        <w:tc>
          <w:tcPr>
            <w:tcW w:w="1220" w:type="dxa"/>
            <w:tcBorders>
              <w:left w:val="single" w:sz="4" w:space="0" w:color="000000"/>
              <w:bottom w:val="single" w:sz="4" w:space="0" w:color="000000"/>
              <w:right w:val="single" w:sz="4" w:space="0" w:color="000000"/>
            </w:tcBorders>
            <w:shd w:val="clear" w:color="auto" w:fill="F1F1F1"/>
          </w:tcPr>
          <w:p>
            <w:pPr>
              <w:pStyle w:val="TableParagraph"/>
              <w:spacing w:line="242" w:lineRule="auto" w:before="27"/>
              <w:ind w:left="86" w:right="74" w:hanging="10"/>
              <w:jc w:val="center"/>
              <w:rPr>
                <w:b/>
                <w:sz w:val="18"/>
              </w:rPr>
            </w:pPr>
            <w:r>
              <w:rPr>
                <w:b/>
                <w:spacing w:val="-4"/>
                <w:sz w:val="18"/>
              </w:rPr>
              <w:t>Meta </w:t>
            </w:r>
            <w:r>
              <w:rPr>
                <w:b/>
                <w:spacing w:val="-2"/>
                <w:sz w:val="18"/>
              </w:rPr>
              <w:t>programada </w:t>
            </w:r>
            <w:r>
              <w:rPr>
                <w:b/>
                <w:spacing w:val="-4"/>
                <w:sz w:val="18"/>
              </w:rPr>
              <w:t>2026</w:t>
            </w:r>
          </w:p>
        </w:tc>
        <w:tc>
          <w:tcPr>
            <w:tcW w:w="2079" w:type="dxa"/>
            <w:tcBorders>
              <w:left w:val="single" w:sz="4" w:space="0" w:color="000000"/>
              <w:bottom w:val="single" w:sz="4" w:space="0" w:color="000000"/>
              <w:right w:val="single" w:sz="4" w:space="0" w:color="000000"/>
            </w:tcBorders>
            <w:shd w:val="clear" w:color="auto" w:fill="F1F1F1"/>
          </w:tcPr>
          <w:p>
            <w:pPr>
              <w:pStyle w:val="TableParagraph"/>
              <w:spacing w:before="32"/>
              <w:rPr>
                <w:b/>
                <w:sz w:val="18"/>
              </w:rPr>
            </w:pPr>
          </w:p>
          <w:p>
            <w:pPr>
              <w:pStyle w:val="TableParagraph"/>
              <w:ind w:left="633"/>
              <w:rPr>
                <w:b/>
                <w:sz w:val="18"/>
              </w:rPr>
            </w:pPr>
            <w:r>
              <w:rPr>
                <w:b/>
                <w:spacing w:val="-2"/>
                <w:sz w:val="18"/>
              </w:rPr>
              <w:t>Indicador</w:t>
            </w:r>
          </w:p>
        </w:tc>
        <w:tc>
          <w:tcPr>
            <w:tcW w:w="1316" w:type="dxa"/>
            <w:tcBorders>
              <w:left w:val="single" w:sz="4" w:space="0" w:color="000000"/>
              <w:bottom w:val="single" w:sz="4" w:space="0" w:color="000000"/>
              <w:right w:val="single" w:sz="4" w:space="0" w:color="000000"/>
            </w:tcBorders>
            <w:shd w:val="clear" w:color="auto" w:fill="F1F1F1"/>
          </w:tcPr>
          <w:p>
            <w:pPr>
              <w:pStyle w:val="TableParagraph"/>
              <w:spacing w:before="133"/>
              <w:ind w:left="153" w:firstLine="57"/>
              <w:rPr>
                <w:b/>
                <w:sz w:val="18"/>
              </w:rPr>
            </w:pPr>
            <w:r>
              <w:rPr>
                <w:b/>
                <w:sz w:val="18"/>
              </w:rPr>
              <w:t>Medios de </w:t>
            </w:r>
            <w:r>
              <w:rPr>
                <w:b/>
                <w:spacing w:val="-2"/>
                <w:sz w:val="18"/>
              </w:rPr>
              <w:t>verificación</w:t>
            </w:r>
          </w:p>
        </w:tc>
        <w:tc>
          <w:tcPr>
            <w:tcW w:w="1460" w:type="dxa"/>
            <w:tcBorders>
              <w:left w:val="single" w:sz="4" w:space="0" w:color="000000"/>
              <w:bottom w:val="single" w:sz="4" w:space="0" w:color="000000"/>
              <w:right w:val="single" w:sz="4" w:space="0" w:color="000000"/>
            </w:tcBorders>
            <w:shd w:val="clear" w:color="auto" w:fill="F1F1F1"/>
          </w:tcPr>
          <w:p>
            <w:pPr>
              <w:pStyle w:val="TableParagraph"/>
              <w:spacing w:before="32"/>
              <w:rPr>
                <w:b/>
                <w:sz w:val="18"/>
              </w:rPr>
            </w:pPr>
          </w:p>
          <w:p>
            <w:pPr>
              <w:pStyle w:val="TableParagraph"/>
              <w:ind w:left="167"/>
              <w:rPr>
                <w:b/>
                <w:sz w:val="18"/>
              </w:rPr>
            </w:pPr>
            <w:r>
              <w:rPr>
                <w:b/>
                <w:spacing w:val="-2"/>
                <w:sz w:val="18"/>
              </w:rPr>
              <w:t>Responsable</w:t>
            </w:r>
          </w:p>
        </w:tc>
        <w:tc>
          <w:tcPr>
            <w:tcW w:w="1773" w:type="dxa"/>
            <w:tcBorders>
              <w:left w:val="single" w:sz="4" w:space="0" w:color="000000"/>
              <w:bottom w:val="single" w:sz="4" w:space="0" w:color="000000"/>
              <w:right w:val="single" w:sz="4" w:space="0" w:color="000000"/>
            </w:tcBorders>
            <w:shd w:val="clear" w:color="auto" w:fill="F1F1F1"/>
          </w:tcPr>
          <w:p>
            <w:pPr>
              <w:pStyle w:val="TableParagraph"/>
              <w:spacing w:before="133"/>
              <w:ind w:left="493" w:right="325" w:hanging="154"/>
              <w:rPr>
                <w:b/>
                <w:sz w:val="18"/>
              </w:rPr>
            </w:pPr>
            <w:r>
              <w:rPr>
                <w:b/>
                <w:spacing w:val="-2"/>
                <w:sz w:val="18"/>
              </w:rPr>
              <w:t>Presupuesto asignado</w:t>
            </w:r>
          </w:p>
        </w:tc>
        <w:tc>
          <w:tcPr>
            <w:tcW w:w="2323" w:type="dxa"/>
            <w:tcBorders>
              <w:top w:val="single" w:sz="4" w:space="0" w:color="000000"/>
              <w:left w:val="single" w:sz="4" w:space="0" w:color="000000"/>
              <w:bottom w:val="single" w:sz="4" w:space="0" w:color="000000"/>
              <w:right w:val="single" w:sz="4" w:space="0" w:color="000000"/>
            </w:tcBorders>
            <w:shd w:val="clear" w:color="auto" w:fill="F1F1F1"/>
          </w:tcPr>
          <w:p>
            <w:pPr>
              <w:pStyle w:val="TableParagraph"/>
              <w:spacing w:before="133"/>
              <w:ind w:left="573" w:right="238"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719" w:hRule="atLeast"/>
        </w:trPr>
        <w:tc>
          <w:tcPr>
            <w:tcW w:w="14252" w:type="dxa"/>
            <w:gridSpan w:val="8"/>
            <w:tcBorders>
              <w:top w:val="single" w:sz="4" w:space="0" w:color="000000"/>
              <w:left w:val="single" w:sz="4" w:space="0" w:color="000000"/>
              <w:bottom w:val="single" w:sz="4" w:space="0" w:color="000000"/>
              <w:right w:val="single" w:sz="4" w:space="0" w:color="000000"/>
            </w:tcBorders>
            <w:shd w:val="clear" w:color="auto" w:fill="F1F1F1"/>
          </w:tcPr>
          <w:p>
            <w:pPr>
              <w:pStyle w:val="TableParagraph"/>
              <w:spacing w:before="152"/>
              <w:ind w:left="72" w:right="178"/>
              <w:rPr>
                <w:b/>
                <w:sz w:val="18"/>
              </w:rPr>
            </w:pPr>
            <w:r>
              <w:rPr>
                <w:b/>
                <w:sz w:val="18"/>
              </w:rPr>
              <w:t>Efecto:</w:t>
            </w:r>
            <w:r>
              <w:rPr>
                <w:b/>
                <w:spacing w:val="-1"/>
                <w:sz w:val="18"/>
              </w:rPr>
              <w:t> </w:t>
            </w:r>
            <w:r>
              <w:rPr>
                <w:b/>
                <w:sz w:val="18"/>
              </w:rPr>
              <w:t>Gestión</w:t>
            </w:r>
            <w:r>
              <w:rPr>
                <w:b/>
                <w:spacing w:val="-4"/>
                <w:sz w:val="18"/>
              </w:rPr>
              <w:t> </w:t>
            </w:r>
            <w:r>
              <w:rPr>
                <w:b/>
                <w:sz w:val="18"/>
              </w:rPr>
              <w:t>administrativa,</w:t>
            </w:r>
            <w:r>
              <w:rPr>
                <w:b/>
                <w:spacing w:val="-1"/>
                <w:sz w:val="18"/>
              </w:rPr>
              <w:t> </w:t>
            </w:r>
            <w:r>
              <w:rPr>
                <w:b/>
                <w:sz w:val="18"/>
              </w:rPr>
              <w:t>financiera,</w:t>
            </w:r>
            <w:r>
              <w:rPr>
                <w:b/>
                <w:spacing w:val="-1"/>
                <w:sz w:val="18"/>
              </w:rPr>
              <w:t> </w:t>
            </w:r>
            <w:r>
              <w:rPr>
                <w:b/>
                <w:sz w:val="18"/>
              </w:rPr>
              <w:t>tecnológica</w:t>
            </w:r>
            <w:r>
              <w:rPr>
                <w:b/>
                <w:spacing w:val="-3"/>
                <w:sz w:val="18"/>
              </w:rPr>
              <w:t> </w:t>
            </w:r>
            <w:r>
              <w:rPr>
                <w:b/>
                <w:sz w:val="18"/>
              </w:rPr>
              <w:t>y</w:t>
            </w:r>
            <w:r>
              <w:rPr>
                <w:b/>
                <w:spacing w:val="-3"/>
                <w:sz w:val="18"/>
              </w:rPr>
              <w:t> </w:t>
            </w:r>
            <w:r>
              <w:rPr>
                <w:b/>
                <w:sz w:val="18"/>
              </w:rPr>
              <w:t>asesora,</w:t>
            </w:r>
            <w:r>
              <w:rPr>
                <w:b/>
                <w:spacing w:val="-1"/>
                <w:sz w:val="18"/>
              </w:rPr>
              <w:t> </w:t>
            </w:r>
            <w:r>
              <w:rPr>
                <w:b/>
                <w:sz w:val="18"/>
              </w:rPr>
              <w:t>oportuna</w:t>
            </w:r>
            <w:r>
              <w:rPr>
                <w:b/>
                <w:spacing w:val="-3"/>
                <w:sz w:val="18"/>
              </w:rPr>
              <w:t> </w:t>
            </w:r>
            <w:r>
              <w:rPr>
                <w:b/>
                <w:sz w:val="18"/>
              </w:rPr>
              <w:t>para</w:t>
            </w:r>
            <w:r>
              <w:rPr>
                <w:b/>
                <w:spacing w:val="-3"/>
                <w:sz w:val="18"/>
              </w:rPr>
              <w:t> </w:t>
            </w:r>
            <w:r>
              <w:rPr>
                <w:b/>
                <w:sz w:val="18"/>
              </w:rPr>
              <w:t>coadyuvar</w:t>
            </w:r>
            <w:r>
              <w:rPr>
                <w:b/>
                <w:spacing w:val="-2"/>
                <w:sz w:val="18"/>
              </w:rPr>
              <w:t> </w:t>
            </w:r>
            <w:r>
              <w:rPr>
                <w:b/>
                <w:sz w:val="18"/>
              </w:rPr>
              <w:t>en</w:t>
            </w:r>
            <w:r>
              <w:rPr>
                <w:b/>
                <w:spacing w:val="-4"/>
                <w:sz w:val="18"/>
              </w:rPr>
              <w:t> </w:t>
            </w:r>
            <w:r>
              <w:rPr>
                <w:b/>
                <w:sz w:val="18"/>
              </w:rPr>
              <w:t>la ejecución</w:t>
            </w:r>
            <w:r>
              <w:rPr>
                <w:b/>
                <w:spacing w:val="-4"/>
                <w:sz w:val="18"/>
              </w:rPr>
              <w:t> </w:t>
            </w:r>
            <w:r>
              <w:rPr>
                <w:b/>
                <w:sz w:val="18"/>
              </w:rPr>
              <w:t>de</w:t>
            </w:r>
            <w:r>
              <w:rPr>
                <w:b/>
                <w:spacing w:val="-3"/>
                <w:sz w:val="18"/>
              </w:rPr>
              <w:t> </w:t>
            </w:r>
            <w:r>
              <w:rPr>
                <w:b/>
                <w:sz w:val="18"/>
              </w:rPr>
              <w:t>la</w:t>
            </w:r>
            <w:r>
              <w:rPr>
                <w:b/>
                <w:spacing w:val="-3"/>
                <w:sz w:val="18"/>
              </w:rPr>
              <w:t> </w:t>
            </w:r>
            <w:r>
              <w:rPr>
                <w:b/>
                <w:sz w:val="18"/>
              </w:rPr>
              <w:t>oferta programática</w:t>
            </w:r>
            <w:r>
              <w:rPr>
                <w:b/>
                <w:spacing w:val="-3"/>
                <w:sz w:val="18"/>
              </w:rPr>
              <w:t> </w:t>
            </w:r>
            <w:r>
              <w:rPr>
                <w:b/>
                <w:sz w:val="18"/>
              </w:rPr>
              <w:t>institucionalización</w:t>
            </w:r>
            <w:r>
              <w:rPr>
                <w:b/>
                <w:spacing w:val="-4"/>
                <w:sz w:val="18"/>
              </w:rPr>
              <w:t> </w:t>
            </w:r>
            <w:r>
              <w:rPr>
                <w:b/>
                <w:sz w:val="18"/>
              </w:rPr>
              <w:t>dirigida a la población en situación de pobreza extrema y pobreza.</w:t>
            </w:r>
          </w:p>
        </w:tc>
      </w:tr>
      <w:tr>
        <w:trPr>
          <w:trHeight w:val="691" w:hRule="atLeast"/>
        </w:trPr>
        <w:tc>
          <w:tcPr>
            <w:tcW w:w="14252" w:type="dxa"/>
            <w:gridSpan w:val="8"/>
            <w:tcBorders>
              <w:top w:val="single" w:sz="4" w:space="0" w:color="000000"/>
              <w:left w:val="single" w:sz="4" w:space="0" w:color="000000"/>
              <w:bottom w:val="single" w:sz="4" w:space="0" w:color="000000"/>
              <w:right w:val="single" w:sz="4" w:space="0" w:color="000000"/>
            </w:tcBorders>
            <w:shd w:val="clear" w:color="auto" w:fill="EFF8F9"/>
          </w:tcPr>
          <w:p>
            <w:pPr>
              <w:pStyle w:val="TableParagraph"/>
              <w:spacing w:line="242" w:lineRule="auto" w:before="33"/>
              <w:ind w:left="72" w:right="178"/>
              <w:rPr>
                <w:b/>
                <w:sz w:val="18"/>
              </w:rPr>
            </w:pPr>
            <w:r>
              <w:rPr>
                <w:b/>
                <w:sz w:val="18"/>
              </w:rPr>
              <w:t>Producto</w:t>
            </w:r>
            <w:r>
              <w:rPr>
                <w:b/>
                <w:spacing w:val="-2"/>
                <w:sz w:val="18"/>
              </w:rPr>
              <w:t> </w:t>
            </w:r>
            <w:r>
              <w:rPr>
                <w:b/>
                <w:sz w:val="18"/>
              </w:rPr>
              <w:t>PAC</w:t>
            </w:r>
            <w:r>
              <w:rPr>
                <w:b/>
                <w:spacing w:val="-3"/>
                <w:sz w:val="18"/>
              </w:rPr>
              <w:t> </w:t>
            </w:r>
            <w:r>
              <w:rPr>
                <w:b/>
                <w:sz w:val="18"/>
              </w:rPr>
              <w:t>2.58:</w:t>
            </w:r>
            <w:r>
              <w:rPr>
                <w:b/>
                <w:spacing w:val="40"/>
                <w:sz w:val="18"/>
              </w:rPr>
              <w:t> </w:t>
            </w:r>
            <w:r>
              <w:rPr>
                <w:b/>
                <w:sz w:val="18"/>
              </w:rPr>
              <w:t>Población</w:t>
            </w:r>
            <w:r>
              <w:rPr>
                <w:b/>
                <w:spacing w:val="-2"/>
                <w:sz w:val="18"/>
              </w:rPr>
              <w:t> </w:t>
            </w:r>
            <w:r>
              <w:rPr>
                <w:b/>
                <w:sz w:val="18"/>
              </w:rPr>
              <w:t>informada</w:t>
            </w:r>
            <w:r>
              <w:rPr>
                <w:b/>
                <w:spacing w:val="-1"/>
                <w:sz w:val="18"/>
              </w:rPr>
              <w:t> </w:t>
            </w:r>
            <w:r>
              <w:rPr>
                <w:b/>
                <w:sz w:val="18"/>
              </w:rPr>
              <w:t>sobre</w:t>
            </w:r>
            <w:r>
              <w:rPr>
                <w:b/>
                <w:spacing w:val="-1"/>
                <w:sz w:val="18"/>
              </w:rPr>
              <w:t> </w:t>
            </w:r>
            <w:r>
              <w:rPr>
                <w:b/>
                <w:sz w:val="18"/>
              </w:rPr>
              <w:t>los</w:t>
            </w:r>
            <w:r>
              <w:rPr>
                <w:b/>
                <w:spacing w:val="-1"/>
                <w:sz w:val="18"/>
              </w:rPr>
              <w:t> </w:t>
            </w:r>
            <w:r>
              <w:rPr>
                <w:b/>
                <w:sz w:val="18"/>
              </w:rPr>
              <w:t>derechos y</w:t>
            </w:r>
            <w:r>
              <w:rPr>
                <w:b/>
                <w:spacing w:val="-1"/>
                <w:sz w:val="18"/>
              </w:rPr>
              <w:t> </w:t>
            </w:r>
            <w:r>
              <w:rPr>
                <w:b/>
                <w:sz w:val="18"/>
              </w:rPr>
              <w:t>deberes</w:t>
            </w:r>
            <w:r>
              <w:rPr>
                <w:b/>
                <w:spacing w:val="-1"/>
                <w:sz w:val="18"/>
              </w:rPr>
              <w:t> </w:t>
            </w:r>
            <w:r>
              <w:rPr>
                <w:b/>
                <w:sz w:val="18"/>
              </w:rPr>
              <w:t>que</w:t>
            </w:r>
            <w:r>
              <w:rPr>
                <w:b/>
                <w:spacing w:val="-1"/>
                <w:sz w:val="18"/>
              </w:rPr>
              <w:t> </w:t>
            </w:r>
            <w:r>
              <w:rPr>
                <w:b/>
                <w:sz w:val="18"/>
              </w:rPr>
              <w:t>tiene</w:t>
            </w:r>
            <w:r>
              <w:rPr>
                <w:b/>
                <w:spacing w:val="-1"/>
                <w:sz w:val="18"/>
              </w:rPr>
              <w:t> </w:t>
            </w:r>
            <w:r>
              <w:rPr>
                <w:b/>
                <w:sz w:val="18"/>
              </w:rPr>
              <w:t>como personas</w:t>
            </w:r>
            <w:r>
              <w:rPr>
                <w:b/>
                <w:spacing w:val="-1"/>
                <w:sz w:val="18"/>
              </w:rPr>
              <w:t> </w:t>
            </w:r>
            <w:r>
              <w:rPr>
                <w:b/>
                <w:sz w:val="18"/>
              </w:rPr>
              <w:t>usuarias de</w:t>
            </w:r>
            <w:r>
              <w:rPr>
                <w:b/>
                <w:spacing w:val="-1"/>
                <w:sz w:val="18"/>
              </w:rPr>
              <w:t> </w:t>
            </w:r>
            <w:r>
              <w:rPr>
                <w:b/>
                <w:sz w:val="18"/>
              </w:rPr>
              <w:t>los</w:t>
            </w:r>
            <w:r>
              <w:rPr>
                <w:b/>
                <w:spacing w:val="-1"/>
                <w:sz w:val="18"/>
              </w:rPr>
              <w:t> </w:t>
            </w:r>
            <w:r>
              <w:rPr>
                <w:b/>
                <w:sz w:val="18"/>
              </w:rPr>
              <w:t>servicios</w:t>
            </w:r>
            <w:r>
              <w:rPr>
                <w:b/>
                <w:spacing w:val="-1"/>
                <w:sz w:val="18"/>
              </w:rPr>
              <w:t> </w:t>
            </w:r>
            <w:r>
              <w:rPr>
                <w:b/>
                <w:sz w:val="18"/>
              </w:rPr>
              <w:t>que</w:t>
            </w:r>
            <w:r>
              <w:rPr>
                <w:b/>
                <w:spacing w:val="-1"/>
                <w:sz w:val="18"/>
              </w:rPr>
              <w:t> </w:t>
            </w:r>
            <w:r>
              <w:rPr>
                <w:b/>
                <w:sz w:val="18"/>
              </w:rPr>
              <w:t>presta</w:t>
            </w:r>
            <w:r>
              <w:rPr>
                <w:b/>
                <w:spacing w:val="-1"/>
                <w:sz w:val="18"/>
              </w:rPr>
              <w:t> </w:t>
            </w:r>
            <w:r>
              <w:rPr>
                <w:b/>
                <w:sz w:val="18"/>
              </w:rPr>
              <w:t>el IMAS, y</w:t>
            </w:r>
            <w:r>
              <w:rPr>
                <w:b/>
                <w:spacing w:val="-1"/>
                <w:sz w:val="18"/>
              </w:rPr>
              <w:t> </w:t>
            </w:r>
            <w:r>
              <w:rPr>
                <w:b/>
                <w:sz w:val="18"/>
              </w:rPr>
              <w:t>del rol de</w:t>
            </w:r>
            <w:r>
              <w:rPr>
                <w:b/>
                <w:spacing w:val="-6"/>
                <w:sz w:val="18"/>
              </w:rPr>
              <w:t> </w:t>
            </w:r>
            <w:r>
              <w:rPr>
                <w:b/>
                <w:sz w:val="18"/>
              </w:rPr>
              <w:t>la Contraloría</w:t>
            </w:r>
            <w:r>
              <w:rPr>
                <w:b/>
                <w:spacing w:val="-4"/>
                <w:sz w:val="18"/>
              </w:rPr>
              <w:t> </w:t>
            </w:r>
            <w:r>
              <w:rPr>
                <w:b/>
                <w:sz w:val="18"/>
              </w:rPr>
              <w:t>de Servicios a</w:t>
            </w:r>
            <w:r>
              <w:rPr>
                <w:b/>
                <w:spacing w:val="-4"/>
                <w:sz w:val="18"/>
              </w:rPr>
              <w:t> </w:t>
            </w:r>
            <w:r>
              <w:rPr>
                <w:b/>
                <w:sz w:val="18"/>
              </w:rPr>
              <w:t>través</w:t>
            </w:r>
            <w:r>
              <w:rPr>
                <w:b/>
                <w:spacing w:val="-4"/>
                <w:sz w:val="18"/>
              </w:rPr>
              <w:t> </w:t>
            </w:r>
            <w:r>
              <w:rPr>
                <w:b/>
                <w:sz w:val="18"/>
              </w:rPr>
              <w:t>de</w:t>
            </w:r>
            <w:r>
              <w:rPr>
                <w:b/>
                <w:spacing w:val="-4"/>
                <w:sz w:val="18"/>
              </w:rPr>
              <w:t> </w:t>
            </w:r>
            <w:r>
              <w:rPr>
                <w:b/>
                <w:sz w:val="18"/>
              </w:rPr>
              <w:t>encuestas o</w:t>
            </w:r>
            <w:r>
              <w:rPr>
                <w:b/>
                <w:spacing w:val="-5"/>
                <w:sz w:val="18"/>
              </w:rPr>
              <w:t> </w:t>
            </w:r>
            <w:r>
              <w:rPr>
                <w:b/>
                <w:sz w:val="18"/>
              </w:rPr>
              <w:t>ferias ciudadanas</w:t>
            </w:r>
            <w:r>
              <w:rPr>
                <w:b/>
                <w:spacing w:val="-4"/>
                <w:sz w:val="18"/>
              </w:rPr>
              <w:t> </w:t>
            </w:r>
            <w:r>
              <w:rPr>
                <w:b/>
                <w:sz w:val="18"/>
              </w:rPr>
              <w:t>y cualquier herramienta que</w:t>
            </w:r>
            <w:r>
              <w:rPr>
                <w:b/>
                <w:spacing w:val="-4"/>
                <w:sz w:val="18"/>
              </w:rPr>
              <w:t> </w:t>
            </w:r>
            <w:r>
              <w:rPr>
                <w:b/>
                <w:sz w:val="18"/>
              </w:rPr>
              <w:t>permita conocer</w:t>
            </w:r>
            <w:r>
              <w:rPr>
                <w:b/>
                <w:spacing w:val="-7"/>
                <w:sz w:val="18"/>
              </w:rPr>
              <w:t> </w:t>
            </w:r>
            <w:r>
              <w:rPr>
                <w:b/>
                <w:sz w:val="18"/>
              </w:rPr>
              <w:t>la percepción de</w:t>
            </w:r>
            <w:r>
              <w:rPr>
                <w:b/>
                <w:spacing w:val="-4"/>
                <w:sz w:val="18"/>
              </w:rPr>
              <w:t> </w:t>
            </w:r>
            <w:r>
              <w:rPr>
                <w:b/>
                <w:sz w:val="18"/>
              </w:rPr>
              <w:t>las</w:t>
            </w:r>
            <w:r>
              <w:rPr>
                <w:b/>
                <w:spacing w:val="-4"/>
                <w:sz w:val="18"/>
              </w:rPr>
              <w:t> </w:t>
            </w:r>
            <w:r>
              <w:rPr>
                <w:b/>
                <w:sz w:val="18"/>
              </w:rPr>
              <w:t>familias</w:t>
            </w:r>
            <w:r>
              <w:rPr>
                <w:b/>
                <w:spacing w:val="-4"/>
                <w:sz w:val="18"/>
              </w:rPr>
              <w:t> </w:t>
            </w:r>
            <w:r>
              <w:rPr>
                <w:b/>
                <w:sz w:val="18"/>
              </w:rPr>
              <w:t>beneficiarias</w:t>
            </w:r>
            <w:r>
              <w:rPr>
                <w:b/>
                <w:spacing w:val="-4"/>
                <w:sz w:val="18"/>
              </w:rPr>
              <w:t> </w:t>
            </w:r>
            <w:r>
              <w:rPr>
                <w:b/>
                <w:sz w:val="18"/>
              </w:rPr>
              <w:t>en relación con los servicios que reciben.</w:t>
            </w:r>
          </w:p>
        </w:tc>
      </w:tr>
      <w:tr>
        <w:trPr>
          <w:trHeight w:val="1065" w:hRule="atLeast"/>
        </w:trPr>
        <w:tc>
          <w:tcPr>
            <w:tcW w:w="2972" w:type="dxa"/>
            <w:tcBorders>
              <w:top w:val="single" w:sz="4" w:space="0" w:color="000000"/>
              <w:left w:val="single" w:sz="4" w:space="0" w:color="000000"/>
              <w:bottom w:val="single" w:sz="4" w:space="0" w:color="000000"/>
              <w:right w:val="single" w:sz="4" w:space="0" w:color="000000"/>
            </w:tcBorders>
          </w:tcPr>
          <w:p>
            <w:pPr>
              <w:pStyle w:val="TableParagraph"/>
              <w:spacing w:before="119"/>
              <w:ind w:left="72" w:right="86"/>
              <w:rPr>
                <w:sz w:val="18"/>
              </w:rPr>
            </w:pPr>
            <w:r>
              <w:rPr>
                <w:b/>
                <w:sz w:val="18"/>
              </w:rPr>
              <w:t>Actividad PAC 2.58.1: </w:t>
            </w:r>
            <w:r>
              <w:rPr>
                <w:sz w:val="18"/>
              </w:rPr>
              <w:t>Respuestas a las Gestiones ciudadanas que formaliza la Contraloría</w:t>
            </w:r>
            <w:r>
              <w:rPr>
                <w:spacing w:val="-5"/>
                <w:sz w:val="18"/>
              </w:rPr>
              <w:t> </w:t>
            </w:r>
            <w:r>
              <w:rPr>
                <w:sz w:val="18"/>
              </w:rPr>
              <w:t>ante</w:t>
            </w:r>
            <w:r>
              <w:rPr>
                <w:spacing w:val="-9"/>
                <w:sz w:val="18"/>
              </w:rPr>
              <w:t> </w:t>
            </w:r>
            <w:r>
              <w:rPr>
                <w:sz w:val="18"/>
              </w:rPr>
              <w:t>las</w:t>
            </w:r>
            <w:r>
              <w:rPr>
                <w:spacing w:val="-5"/>
                <w:sz w:val="18"/>
              </w:rPr>
              <w:t> </w:t>
            </w:r>
            <w:r>
              <w:rPr>
                <w:sz w:val="18"/>
              </w:rPr>
              <w:t>ARDS</w:t>
            </w:r>
            <w:r>
              <w:rPr>
                <w:spacing w:val="-10"/>
                <w:sz w:val="18"/>
              </w:rPr>
              <w:t> </w:t>
            </w:r>
            <w:r>
              <w:rPr>
                <w:sz w:val="18"/>
              </w:rPr>
              <w:t>o</w:t>
            </w:r>
            <w:r>
              <w:rPr>
                <w:spacing w:val="-9"/>
                <w:sz w:val="18"/>
              </w:rPr>
              <w:t> </w:t>
            </w:r>
            <w:r>
              <w:rPr>
                <w:sz w:val="18"/>
              </w:rPr>
              <w:t>ULDS</w:t>
            </w:r>
          </w:p>
        </w:tc>
        <w:tc>
          <w:tcPr>
            <w:tcW w:w="1109"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spacing w:before="12"/>
              <w:rPr>
                <w:b/>
                <w:sz w:val="18"/>
              </w:rPr>
            </w:pPr>
          </w:p>
          <w:p>
            <w:pPr>
              <w:pStyle w:val="TableParagraph"/>
              <w:ind w:left="12"/>
              <w:jc w:val="center"/>
              <w:rPr>
                <w:sz w:val="18"/>
              </w:rPr>
            </w:pPr>
            <w:r>
              <w:rPr>
                <w:spacing w:val="-5"/>
                <w:sz w:val="18"/>
              </w:rPr>
              <w:t>95%</w:t>
            </w:r>
          </w:p>
        </w:tc>
        <w:tc>
          <w:tcPr>
            <w:tcW w:w="1220"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spacing w:before="12"/>
              <w:rPr>
                <w:b/>
                <w:sz w:val="18"/>
              </w:rPr>
            </w:pPr>
          </w:p>
          <w:p>
            <w:pPr>
              <w:pStyle w:val="TableParagraph"/>
              <w:ind w:left="7"/>
              <w:jc w:val="center"/>
              <w:rPr>
                <w:sz w:val="18"/>
              </w:rPr>
            </w:pPr>
            <w:r>
              <w:rPr>
                <w:spacing w:val="-5"/>
                <w:sz w:val="18"/>
              </w:rPr>
              <w:t>95%</w:t>
            </w:r>
          </w:p>
        </w:tc>
        <w:tc>
          <w:tcPr>
            <w:tcW w:w="2079" w:type="dxa"/>
            <w:tcBorders>
              <w:top w:val="single" w:sz="4" w:space="0" w:color="000000"/>
              <w:left w:val="single" w:sz="4" w:space="0" w:color="000000"/>
              <w:bottom w:val="single" w:sz="4" w:space="0" w:color="000000"/>
              <w:right w:val="single" w:sz="4" w:space="0" w:color="000000"/>
            </w:tcBorders>
          </w:tcPr>
          <w:p>
            <w:pPr>
              <w:pStyle w:val="TableParagraph"/>
              <w:spacing w:before="13"/>
              <w:ind w:left="71" w:right="169"/>
              <w:rPr>
                <w:sz w:val="18"/>
              </w:rPr>
            </w:pPr>
            <w:r>
              <w:rPr>
                <w:sz w:val="18"/>
              </w:rPr>
              <w:t>Porcentaje de Gestiones</w:t>
            </w:r>
            <w:r>
              <w:rPr>
                <w:spacing w:val="-13"/>
                <w:sz w:val="18"/>
              </w:rPr>
              <w:t> </w:t>
            </w:r>
            <w:r>
              <w:rPr>
                <w:sz w:val="18"/>
              </w:rPr>
              <w:t>Ciudadanas con respuesta en Informe remitido a las</w:t>
            </w:r>
          </w:p>
          <w:p>
            <w:pPr>
              <w:pStyle w:val="TableParagraph"/>
              <w:spacing w:line="201" w:lineRule="exact" w:before="3"/>
              <w:ind w:left="71"/>
              <w:rPr>
                <w:sz w:val="18"/>
              </w:rPr>
            </w:pPr>
            <w:r>
              <w:rPr>
                <w:sz w:val="18"/>
              </w:rPr>
              <w:t>personas</w:t>
            </w:r>
            <w:r>
              <w:rPr>
                <w:spacing w:val="-6"/>
                <w:sz w:val="18"/>
              </w:rPr>
              <w:t> </w:t>
            </w:r>
            <w:r>
              <w:rPr>
                <w:spacing w:val="-2"/>
                <w:sz w:val="18"/>
              </w:rPr>
              <w:t>competentes</w:t>
            </w: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118"/>
              <w:rPr>
                <w:b/>
                <w:sz w:val="18"/>
              </w:rPr>
            </w:pPr>
          </w:p>
          <w:p>
            <w:pPr>
              <w:pStyle w:val="TableParagraph"/>
              <w:ind w:left="67"/>
              <w:rPr>
                <w:sz w:val="18"/>
              </w:rPr>
            </w:pPr>
            <w:r>
              <w:rPr>
                <w:sz w:val="18"/>
              </w:rPr>
              <w:t>Informe de </w:t>
            </w:r>
            <w:r>
              <w:rPr>
                <w:spacing w:val="-2"/>
                <w:sz w:val="18"/>
              </w:rPr>
              <w:t>seguimiento</w:t>
            </w:r>
          </w:p>
        </w:tc>
        <w:tc>
          <w:tcPr>
            <w:tcW w:w="1460" w:type="dxa"/>
            <w:tcBorders>
              <w:top w:val="single" w:sz="4" w:space="0" w:color="000000"/>
              <w:left w:val="single" w:sz="4" w:space="0" w:color="000000"/>
              <w:bottom w:val="single" w:sz="4" w:space="0" w:color="000000"/>
              <w:right w:val="single" w:sz="4" w:space="0" w:color="000000"/>
            </w:tcBorders>
          </w:tcPr>
          <w:p>
            <w:pPr>
              <w:pStyle w:val="TableParagraph"/>
              <w:spacing w:before="118"/>
              <w:rPr>
                <w:b/>
                <w:sz w:val="18"/>
              </w:rPr>
            </w:pPr>
          </w:p>
          <w:p>
            <w:pPr>
              <w:pStyle w:val="TableParagraph"/>
              <w:ind w:left="66"/>
              <w:rPr>
                <w:sz w:val="18"/>
              </w:rPr>
            </w:pPr>
            <w:r>
              <w:rPr>
                <w:sz w:val="18"/>
              </w:rPr>
              <w:t>Contraloría</w:t>
            </w:r>
            <w:r>
              <w:rPr>
                <w:spacing w:val="-13"/>
                <w:sz w:val="18"/>
              </w:rPr>
              <w:t> </w:t>
            </w:r>
            <w:r>
              <w:rPr>
                <w:sz w:val="18"/>
              </w:rPr>
              <w:t>de </w:t>
            </w:r>
            <w:r>
              <w:rPr>
                <w:spacing w:val="-2"/>
                <w:sz w:val="18"/>
              </w:rPr>
              <w:t>Servicios</w:t>
            </w:r>
          </w:p>
        </w:tc>
        <w:tc>
          <w:tcPr>
            <w:tcW w:w="177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2323" w:type="dxa"/>
            <w:vMerge w:val="restart"/>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74" w:right="87"/>
              <w:rPr>
                <w:sz w:val="18"/>
              </w:rPr>
            </w:pPr>
            <w:r>
              <w:rPr>
                <w:sz w:val="18"/>
              </w:rPr>
              <w:t>Evento 1 y 3. atención de las</w:t>
            </w:r>
            <w:r>
              <w:rPr>
                <w:spacing w:val="-11"/>
                <w:sz w:val="18"/>
              </w:rPr>
              <w:t> </w:t>
            </w:r>
            <w:r>
              <w:rPr>
                <w:sz w:val="18"/>
              </w:rPr>
              <w:t>ULDS</w:t>
            </w:r>
            <w:r>
              <w:rPr>
                <w:spacing w:val="-11"/>
                <w:sz w:val="18"/>
              </w:rPr>
              <w:t> </w:t>
            </w:r>
            <w:r>
              <w:rPr>
                <w:sz w:val="18"/>
              </w:rPr>
              <w:t>y</w:t>
            </w:r>
            <w:r>
              <w:rPr>
                <w:spacing w:val="-13"/>
                <w:sz w:val="18"/>
              </w:rPr>
              <w:t> </w:t>
            </w:r>
            <w:r>
              <w:rPr>
                <w:sz w:val="18"/>
              </w:rPr>
              <w:t>departamentos no sea oportuna para dar respuesta a las formalizaciones que</w:t>
            </w:r>
            <w:r>
              <w:rPr>
                <w:spacing w:val="40"/>
                <w:sz w:val="18"/>
              </w:rPr>
              <w:t> </w:t>
            </w:r>
            <w:r>
              <w:rPr>
                <w:sz w:val="18"/>
              </w:rPr>
              <w:t>realiza la CS</w:t>
            </w:r>
          </w:p>
          <w:p>
            <w:pPr>
              <w:pStyle w:val="TableParagraph"/>
              <w:spacing w:before="2"/>
              <w:ind w:left="74"/>
              <w:rPr>
                <w:sz w:val="18"/>
              </w:rPr>
            </w:pPr>
            <w:r>
              <w:rPr>
                <w:sz w:val="18"/>
              </w:rPr>
              <w:t>Evento 2. Posible no respuesta en el tiempo estipulado</w:t>
            </w:r>
            <w:r>
              <w:rPr>
                <w:spacing w:val="-2"/>
                <w:sz w:val="18"/>
              </w:rPr>
              <w:t> </w:t>
            </w:r>
            <w:r>
              <w:rPr>
                <w:sz w:val="18"/>
              </w:rPr>
              <w:t>por la</w:t>
            </w:r>
            <w:r>
              <w:rPr>
                <w:spacing w:val="-2"/>
                <w:sz w:val="18"/>
              </w:rPr>
              <w:t> </w:t>
            </w:r>
            <w:r>
              <w:rPr>
                <w:sz w:val="18"/>
              </w:rPr>
              <w:t>Ley</w:t>
            </w:r>
            <w:r>
              <w:rPr>
                <w:spacing w:val="-2"/>
                <w:sz w:val="18"/>
              </w:rPr>
              <w:t> </w:t>
            </w:r>
            <w:r>
              <w:rPr>
                <w:sz w:val="18"/>
              </w:rPr>
              <w:t>7319 de la Defensoría de los Habitantes</w:t>
            </w:r>
            <w:r>
              <w:rPr>
                <w:spacing w:val="-13"/>
                <w:sz w:val="18"/>
              </w:rPr>
              <w:t> </w:t>
            </w:r>
            <w:r>
              <w:rPr>
                <w:sz w:val="18"/>
              </w:rPr>
              <w:t>(5</w:t>
            </w:r>
            <w:r>
              <w:rPr>
                <w:spacing w:val="-12"/>
                <w:sz w:val="18"/>
              </w:rPr>
              <w:t> </w:t>
            </w:r>
            <w:r>
              <w:rPr>
                <w:sz w:val="18"/>
              </w:rPr>
              <w:t>días</w:t>
            </w:r>
            <w:r>
              <w:rPr>
                <w:spacing w:val="-11"/>
                <w:sz w:val="18"/>
              </w:rPr>
              <w:t> </w:t>
            </w:r>
            <w:r>
              <w:rPr>
                <w:sz w:val="18"/>
              </w:rPr>
              <w:t>hábiles)</w:t>
            </w:r>
          </w:p>
        </w:tc>
      </w:tr>
      <w:tr>
        <w:trPr>
          <w:trHeight w:val="988" w:hRule="atLeast"/>
        </w:trPr>
        <w:tc>
          <w:tcPr>
            <w:tcW w:w="2972" w:type="dxa"/>
            <w:tcBorders>
              <w:top w:val="single" w:sz="4" w:space="0" w:color="000000"/>
              <w:left w:val="single" w:sz="4" w:space="0" w:color="000000"/>
              <w:bottom w:val="single" w:sz="4" w:space="0" w:color="000000"/>
              <w:right w:val="single" w:sz="4" w:space="0" w:color="000000"/>
            </w:tcBorders>
          </w:tcPr>
          <w:p>
            <w:pPr>
              <w:pStyle w:val="TableParagraph"/>
              <w:spacing w:before="80"/>
              <w:ind w:left="72" w:right="113"/>
              <w:rPr>
                <w:sz w:val="18"/>
              </w:rPr>
            </w:pPr>
            <w:r>
              <w:rPr>
                <w:b/>
                <w:sz w:val="18"/>
              </w:rPr>
              <w:t>Actividad PAC 2.58.2: </w:t>
            </w:r>
            <w:r>
              <w:rPr>
                <w:sz w:val="18"/>
              </w:rPr>
              <w:t>Respuestas</w:t>
            </w:r>
            <w:r>
              <w:rPr>
                <w:spacing w:val="-10"/>
                <w:sz w:val="18"/>
              </w:rPr>
              <w:t> </w:t>
            </w:r>
            <w:r>
              <w:rPr>
                <w:sz w:val="18"/>
              </w:rPr>
              <w:t>a</w:t>
            </w:r>
            <w:r>
              <w:rPr>
                <w:spacing w:val="-7"/>
                <w:sz w:val="18"/>
              </w:rPr>
              <w:t> </w:t>
            </w:r>
            <w:r>
              <w:rPr>
                <w:sz w:val="18"/>
              </w:rPr>
              <w:t>las</w:t>
            </w:r>
            <w:r>
              <w:rPr>
                <w:spacing w:val="-10"/>
                <w:sz w:val="18"/>
              </w:rPr>
              <w:t> </w:t>
            </w:r>
            <w:r>
              <w:rPr>
                <w:sz w:val="18"/>
              </w:rPr>
              <w:t>notificaciones</w:t>
            </w:r>
            <w:r>
              <w:rPr>
                <w:spacing w:val="-10"/>
                <w:sz w:val="18"/>
              </w:rPr>
              <w:t> </w:t>
            </w:r>
            <w:r>
              <w:rPr>
                <w:sz w:val="18"/>
              </w:rPr>
              <w:t>de admisibilidad formalizadas por la Defensoría de los Habitantes</w:t>
            </w:r>
          </w:p>
        </w:tc>
        <w:tc>
          <w:tcPr>
            <w:tcW w:w="1109" w:type="dxa"/>
            <w:tcBorders>
              <w:top w:val="single" w:sz="4" w:space="0" w:color="000000"/>
              <w:left w:val="single" w:sz="4" w:space="0" w:color="000000"/>
              <w:bottom w:val="single" w:sz="4" w:space="0" w:color="000000"/>
              <w:right w:val="single" w:sz="4" w:space="0" w:color="000000"/>
            </w:tcBorders>
          </w:tcPr>
          <w:p>
            <w:pPr>
              <w:pStyle w:val="TableParagraph"/>
              <w:spacing w:before="180"/>
              <w:rPr>
                <w:b/>
                <w:sz w:val="18"/>
              </w:rPr>
            </w:pPr>
          </w:p>
          <w:p>
            <w:pPr>
              <w:pStyle w:val="TableParagraph"/>
              <w:ind w:left="12"/>
              <w:jc w:val="center"/>
              <w:rPr>
                <w:sz w:val="18"/>
              </w:rPr>
            </w:pPr>
            <w:r>
              <w:rPr>
                <w:spacing w:val="-5"/>
                <w:sz w:val="18"/>
              </w:rPr>
              <w:t>95%</w:t>
            </w:r>
          </w:p>
        </w:tc>
        <w:tc>
          <w:tcPr>
            <w:tcW w:w="1220" w:type="dxa"/>
            <w:tcBorders>
              <w:top w:val="single" w:sz="4" w:space="0" w:color="000000"/>
              <w:left w:val="single" w:sz="4" w:space="0" w:color="000000"/>
              <w:bottom w:val="single" w:sz="4" w:space="0" w:color="000000"/>
              <w:right w:val="single" w:sz="4" w:space="0" w:color="000000"/>
            </w:tcBorders>
          </w:tcPr>
          <w:p>
            <w:pPr>
              <w:pStyle w:val="TableParagraph"/>
              <w:spacing w:before="180"/>
              <w:rPr>
                <w:b/>
                <w:sz w:val="18"/>
              </w:rPr>
            </w:pPr>
          </w:p>
          <w:p>
            <w:pPr>
              <w:pStyle w:val="TableParagraph"/>
              <w:ind w:left="7"/>
              <w:jc w:val="center"/>
              <w:rPr>
                <w:sz w:val="18"/>
              </w:rPr>
            </w:pPr>
            <w:r>
              <w:rPr>
                <w:spacing w:val="-5"/>
                <w:sz w:val="18"/>
              </w:rPr>
              <w:t>95%</w:t>
            </w:r>
          </w:p>
        </w:tc>
        <w:tc>
          <w:tcPr>
            <w:tcW w:w="2079" w:type="dxa"/>
            <w:tcBorders>
              <w:top w:val="single" w:sz="4" w:space="0" w:color="000000"/>
              <w:left w:val="single" w:sz="4" w:space="0" w:color="000000"/>
              <w:bottom w:val="single" w:sz="4" w:space="0" w:color="000000"/>
              <w:right w:val="single" w:sz="4" w:space="0" w:color="000000"/>
            </w:tcBorders>
          </w:tcPr>
          <w:p>
            <w:pPr>
              <w:pStyle w:val="TableParagraph"/>
              <w:spacing w:before="80"/>
              <w:ind w:left="71"/>
              <w:rPr>
                <w:sz w:val="18"/>
              </w:rPr>
            </w:pPr>
            <w:r>
              <w:rPr>
                <w:sz w:val="18"/>
              </w:rPr>
              <w:t>Porcentaje de notificaciones de admisibilidad</w:t>
            </w:r>
            <w:r>
              <w:rPr>
                <w:spacing w:val="-13"/>
                <w:sz w:val="18"/>
              </w:rPr>
              <w:t> </w:t>
            </w:r>
            <w:r>
              <w:rPr>
                <w:sz w:val="18"/>
              </w:rPr>
              <w:t>con </w:t>
            </w:r>
            <w:r>
              <w:rPr>
                <w:spacing w:val="-2"/>
                <w:sz w:val="18"/>
              </w:rPr>
              <w:t>respuesta</w:t>
            </w:r>
          </w:p>
        </w:tc>
        <w:tc>
          <w:tcPr>
            <w:tcW w:w="1316" w:type="dxa"/>
            <w:tcBorders>
              <w:top w:val="single" w:sz="4" w:space="0" w:color="000000"/>
              <w:left w:val="single" w:sz="4" w:space="0" w:color="000000"/>
              <w:bottom w:val="single" w:sz="4" w:space="0" w:color="000000"/>
              <w:right w:val="single" w:sz="4" w:space="0" w:color="000000"/>
            </w:tcBorders>
          </w:tcPr>
          <w:p>
            <w:pPr>
              <w:pStyle w:val="TableParagraph"/>
              <w:spacing w:before="79"/>
              <w:rPr>
                <w:b/>
                <w:sz w:val="18"/>
              </w:rPr>
            </w:pPr>
          </w:p>
          <w:p>
            <w:pPr>
              <w:pStyle w:val="TableParagraph"/>
              <w:spacing w:before="1"/>
              <w:ind w:left="67"/>
              <w:rPr>
                <w:sz w:val="18"/>
              </w:rPr>
            </w:pPr>
            <w:r>
              <w:rPr>
                <w:sz w:val="18"/>
              </w:rPr>
              <w:t>Informe de </w:t>
            </w:r>
            <w:r>
              <w:rPr>
                <w:spacing w:val="-2"/>
                <w:sz w:val="18"/>
              </w:rPr>
              <w:t>seguimiento</w:t>
            </w:r>
          </w:p>
        </w:tc>
        <w:tc>
          <w:tcPr>
            <w:tcW w:w="1460" w:type="dxa"/>
            <w:tcBorders>
              <w:top w:val="single" w:sz="4" w:space="0" w:color="000000"/>
              <w:left w:val="single" w:sz="4" w:space="0" w:color="000000"/>
              <w:bottom w:val="single" w:sz="4" w:space="0" w:color="000000"/>
              <w:right w:val="single" w:sz="4" w:space="0" w:color="000000"/>
            </w:tcBorders>
          </w:tcPr>
          <w:p>
            <w:pPr>
              <w:pStyle w:val="TableParagraph"/>
              <w:spacing w:before="79"/>
              <w:rPr>
                <w:b/>
                <w:sz w:val="18"/>
              </w:rPr>
            </w:pPr>
          </w:p>
          <w:p>
            <w:pPr>
              <w:pStyle w:val="TableParagraph"/>
              <w:spacing w:before="1"/>
              <w:ind w:left="66"/>
              <w:rPr>
                <w:sz w:val="18"/>
              </w:rPr>
            </w:pPr>
            <w:r>
              <w:rPr>
                <w:sz w:val="18"/>
              </w:rPr>
              <w:t>Contraloría</w:t>
            </w:r>
            <w:r>
              <w:rPr>
                <w:spacing w:val="-13"/>
                <w:sz w:val="18"/>
              </w:rPr>
              <w:t> </w:t>
            </w:r>
            <w:r>
              <w:rPr>
                <w:sz w:val="18"/>
              </w:rPr>
              <w:t>de </w:t>
            </w:r>
            <w:r>
              <w:rPr>
                <w:spacing w:val="-2"/>
                <w:sz w:val="18"/>
              </w:rPr>
              <w:t>Servicios</w:t>
            </w:r>
          </w:p>
        </w:tc>
        <w:tc>
          <w:tcPr>
            <w:tcW w:w="177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2323" w:type="dxa"/>
            <w:vMerge/>
            <w:tcBorders>
              <w:top w:val="nil"/>
              <w:left w:val="single" w:sz="4" w:space="0" w:color="000000"/>
              <w:bottom w:val="single" w:sz="4" w:space="0" w:color="000000"/>
              <w:right w:val="single" w:sz="4" w:space="0" w:color="000000"/>
            </w:tcBorders>
          </w:tcPr>
          <w:p>
            <w:pPr>
              <w:rPr>
                <w:sz w:val="2"/>
                <w:szCs w:val="2"/>
              </w:rPr>
            </w:pPr>
          </w:p>
        </w:tc>
      </w:tr>
      <w:tr>
        <w:trPr>
          <w:trHeight w:val="2899" w:hRule="atLeast"/>
        </w:trPr>
        <w:tc>
          <w:tcPr>
            <w:tcW w:w="2972" w:type="dxa"/>
            <w:tcBorders>
              <w:top w:val="single" w:sz="4" w:space="0" w:color="000000"/>
              <w:left w:val="single" w:sz="4" w:space="0" w:color="000000"/>
              <w:bottom w:val="single" w:sz="4" w:space="0" w:color="000000"/>
              <w:right w:val="single" w:sz="4" w:space="0" w:color="000000"/>
            </w:tcBorders>
          </w:tcPr>
          <w:p>
            <w:pPr>
              <w:pStyle w:val="TableParagraph"/>
              <w:spacing w:before="204"/>
              <w:rPr>
                <w:b/>
                <w:sz w:val="18"/>
              </w:rPr>
            </w:pPr>
          </w:p>
          <w:p>
            <w:pPr>
              <w:pStyle w:val="TableParagraph"/>
              <w:ind w:left="72" w:right="83"/>
              <w:rPr>
                <w:sz w:val="18"/>
              </w:rPr>
            </w:pPr>
            <w:r>
              <w:rPr>
                <w:b/>
                <w:sz w:val="18"/>
              </w:rPr>
              <w:t>Actividad</w:t>
            </w:r>
            <w:r>
              <w:rPr>
                <w:b/>
                <w:spacing w:val="-2"/>
                <w:sz w:val="18"/>
              </w:rPr>
              <w:t> </w:t>
            </w:r>
            <w:r>
              <w:rPr>
                <w:b/>
                <w:sz w:val="18"/>
              </w:rPr>
              <w:t>PAC 2.58.3:</w:t>
            </w:r>
            <w:r>
              <w:rPr>
                <w:b/>
                <w:spacing w:val="40"/>
                <w:sz w:val="18"/>
              </w:rPr>
              <w:t> </w:t>
            </w:r>
            <w:r>
              <w:rPr>
                <w:sz w:val="18"/>
              </w:rPr>
              <w:t>Registro</w:t>
            </w:r>
            <w:r>
              <w:rPr>
                <w:spacing w:val="-1"/>
                <w:sz w:val="18"/>
              </w:rPr>
              <w:t> </w:t>
            </w:r>
            <w:r>
              <w:rPr>
                <w:sz w:val="18"/>
              </w:rPr>
              <w:t>y atención</w:t>
            </w:r>
            <w:r>
              <w:rPr>
                <w:spacing w:val="-7"/>
                <w:sz w:val="18"/>
              </w:rPr>
              <w:t> </w:t>
            </w:r>
            <w:r>
              <w:rPr>
                <w:sz w:val="18"/>
              </w:rPr>
              <w:t>de</w:t>
            </w:r>
            <w:r>
              <w:rPr>
                <w:spacing w:val="-7"/>
                <w:sz w:val="18"/>
              </w:rPr>
              <w:t> </w:t>
            </w:r>
            <w:r>
              <w:rPr>
                <w:sz w:val="18"/>
              </w:rPr>
              <w:t>las</w:t>
            </w:r>
            <w:r>
              <w:rPr>
                <w:spacing w:val="-7"/>
                <w:sz w:val="18"/>
              </w:rPr>
              <w:t> </w:t>
            </w:r>
            <w:r>
              <w:rPr>
                <w:sz w:val="18"/>
              </w:rPr>
              <w:t>denuncias</w:t>
            </w:r>
            <w:r>
              <w:rPr>
                <w:spacing w:val="-7"/>
                <w:sz w:val="18"/>
              </w:rPr>
              <w:t> </w:t>
            </w:r>
            <w:r>
              <w:rPr>
                <w:sz w:val="18"/>
              </w:rPr>
              <w:t>y</w:t>
            </w:r>
            <w:r>
              <w:rPr>
                <w:spacing w:val="-7"/>
                <w:sz w:val="18"/>
              </w:rPr>
              <w:t> </w:t>
            </w:r>
            <w:r>
              <w:rPr>
                <w:sz w:val="18"/>
              </w:rPr>
              <w:t>quejas con resolución de casos de funcionarios/as públicos investigados por incumplimiento y/o revictimización a mujeres en situación de violencia, desagregados por sexo, motivo de denuncia, tipo de resolución, institución y cantón.</w:t>
            </w:r>
          </w:p>
        </w:tc>
        <w:tc>
          <w:tcPr>
            <w:tcW w:w="1109"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12" w:right="4"/>
              <w:jc w:val="center"/>
              <w:rPr>
                <w:sz w:val="18"/>
              </w:rPr>
            </w:pPr>
            <w:r>
              <w:rPr>
                <w:spacing w:val="-4"/>
                <w:sz w:val="18"/>
              </w:rPr>
              <w:t>100%</w:t>
            </w:r>
          </w:p>
        </w:tc>
        <w:tc>
          <w:tcPr>
            <w:tcW w:w="1220"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7" w:right="4"/>
              <w:jc w:val="center"/>
              <w:rPr>
                <w:sz w:val="18"/>
              </w:rPr>
            </w:pPr>
            <w:r>
              <w:rPr>
                <w:spacing w:val="-4"/>
                <w:sz w:val="18"/>
              </w:rPr>
              <w:t>100%</w:t>
            </w:r>
          </w:p>
        </w:tc>
        <w:tc>
          <w:tcPr>
            <w:tcW w:w="2079" w:type="dxa"/>
            <w:tcBorders>
              <w:top w:val="single" w:sz="4" w:space="0" w:color="000000"/>
              <w:left w:val="single" w:sz="4" w:space="0" w:color="000000"/>
              <w:bottom w:val="single" w:sz="4" w:space="0" w:color="000000"/>
              <w:right w:val="single" w:sz="4" w:space="0" w:color="000000"/>
            </w:tcBorders>
          </w:tcPr>
          <w:p>
            <w:pPr>
              <w:pStyle w:val="TableParagraph"/>
              <w:ind w:left="71" w:right="69"/>
              <w:rPr>
                <w:sz w:val="18"/>
              </w:rPr>
            </w:pPr>
            <w:r>
              <w:rPr>
                <w:sz w:val="18"/>
              </w:rPr>
              <w:t>Porcentaje de las denuncias y quejas con resolución de casos de funcionarios/as</w:t>
            </w:r>
            <w:r>
              <w:rPr>
                <w:spacing w:val="-13"/>
                <w:sz w:val="18"/>
              </w:rPr>
              <w:t> </w:t>
            </w:r>
            <w:r>
              <w:rPr>
                <w:sz w:val="18"/>
              </w:rPr>
              <w:t>públicos investigados por incumplimiento y/o revictimización a mujeres en</w:t>
            </w:r>
            <w:r>
              <w:rPr>
                <w:spacing w:val="-1"/>
                <w:sz w:val="18"/>
              </w:rPr>
              <w:t> </w:t>
            </w:r>
            <w:r>
              <w:rPr>
                <w:sz w:val="18"/>
              </w:rPr>
              <w:t>situación</w:t>
            </w:r>
            <w:r>
              <w:rPr>
                <w:spacing w:val="-5"/>
                <w:sz w:val="18"/>
              </w:rPr>
              <w:t> </w:t>
            </w:r>
            <w:r>
              <w:rPr>
                <w:sz w:val="18"/>
              </w:rPr>
              <w:t>de </w:t>
            </w:r>
            <w:r>
              <w:rPr>
                <w:spacing w:val="-2"/>
                <w:sz w:val="18"/>
              </w:rPr>
              <w:t>violencia,</w:t>
            </w:r>
            <w:r>
              <w:rPr>
                <w:spacing w:val="80"/>
                <w:sz w:val="18"/>
              </w:rPr>
              <w:t> </w:t>
            </w:r>
            <w:r>
              <w:rPr>
                <w:sz w:val="18"/>
              </w:rPr>
              <w:t>desagregados</w:t>
            </w:r>
            <w:r>
              <w:rPr>
                <w:spacing w:val="-15"/>
                <w:sz w:val="18"/>
              </w:rPr>
              <w:t> </w:t>
            </w:r>
            <w:r>
              <w:rPr>
                <w:sz w:val="18"/>
              </w:rPr>
              <w:t>por</w:t>
            </w:r>
            <w:r>
              <w:rPr>
                <w:spacing w:val="-12"/>
                <w:sz w:val="18"/>
              </w:rPr>
              <w:t> </w:t>
            </w:r>
            <w:r>
              <w:rPr>
                <w:sz w:val="18"/>
              </w:rPr>
              <w:t>sexo, motivo de denuncia,</w:t>
            </w:r>
            <w:r>
              <w:rPr>
                <w:spacing w:val="40"/>
                <w:sz w:val="18"/>
              </w:rPr>
              <w:t> </w:t>
            </w:r>
            <w:r>
              <w:rPr>
                <w:sz w:val="18"/>
              </w:rPr>
              <w:t>tipo de resolución, institución y cantón</w:t>
            </w:r>
          </w:p>
          <w:p>
            <w:pPr>
              <w:pStyle w:val="TableParagraph"/>
              <w:spacing w:line="187" w:lineRule="exact" w:before="2"/>
              <w:ind w:left="71"/>
              <w:rPr>
                <w:sz w:val="18"/>
              </w:rPr>
            </w:pPr>
            <w:r>
              <w:rPr>
                <w:sz w:val="18"/>
              </w:rPr>
              <w:t>atendidos</w:t>
            </w:r>
            <w:r>
              <w:rPr>
                <w:spacing w:val="-3"/>
                <w:sz w:val="18"/>
              </w:rPr>
              <w:t> </w:t>
            </w:r>
            <w:r>
              <w:rPr>
                <w:sz w:val="18"/>
              </w:rPr>
              <w:t>y</w:t>
            </w:r>
            <w:r>
              <w:rPr>
                <w:spacing w:val="-3"/>
                <w:sz w:val="18"/>
              </w:rPr>
              <w:t> </w:t>
            </w:r>
            <w:r>
              <w:rPr>
                <w:spacing w:val="-2"/>
                <w:sz w:val="18"/>
              </w:rPr>
              <w:t>registrados.</w:t>
            </w:r>
          </w:p>
        </w:tc>
        <w:tc>
          <w:tcPr>
            <w:tcW w:w="1316"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7" w:right="70"/>
              <w:rPr>
                <w:sz w:val="18"/>
              </w:rPr>
            </w:pPr>
            <w:r>
              <w:rPr>
                <w:sz w:val="18"/>
              </w:rPr>
              <w:t>Reportes de </w:t>
            </w:r>
            <w:r>
              <w:rPr>
                <w:spacing w:val="-2"/>
                <w:sz w:val="18"/>
              </w:rPr>
              <w:t>seguimiento </w:t>
            </w:r>
            <w:r>
              <w:rPr>
                <w:sz w:val="18"/>
              </w:rPr>
              <w:t>del</w:t>
            </w:r>
            <w:r>
              <w:rPr>
                <w:spacing w:val="-15"/>
                <w:sz w:val="18"/>
              </w:rPr>
              <w:t> </w:t>
            </w:r>
            <w:r>
              <w:rPr>
                <w:sz w:val="18"/>
              </w:rPr>
              <w:t>sistema</w:t>
            </w:r>
            <w:r>
              <w:rPr>
                <w:spacing w:val="-12"/>
                <w:sz w:val="18"/>
              </w:rPr>
              <w:t> </w:t>
            </w:r>
            <w:r>
              <w:rPr>
                <w:sz w:val="18"/>
              </w:rPr>
              <w:t>de </w:t>
            </w:r>
            <w:r>
              <w:rPr>
                <w:spacing w:val="-2"/>
                <w:sz w:val="18"/>
              </w:rPr>
              <w:t>Atenciones Ciudadanas</w:t>
            </w:r>
          </w:p>
        </w:tc>
        <w:tc>
          <w:tcPr>
            <w:tcW w:w="1460" w:type="dxa"/>
            <w:tcBorders>
              <w:top w:val="single" w:sz="4" w:space="0" w:color="000000"/>
              <w:left w:val="single" w:sz="4" w:space="0" w:color="000000"/>
              <w:bottom w:val="single" w:sz="4" w:space="0" w:color="000000"/>
              <w:right w:val="single" w:sz="4" w:space="0" w:color="00000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66"/>
              <w:rPr>
                <w:sz w:val="18"/>
              </w:rPr>
            </w:pPr>
            <w:r>
              <w:rPr>
                <w:sz w:val="18"/>
              </w:rPr>
              <w:t>Contraloría</w:t>
            </w:r>
            <w:r>
              <w:rPr>
                <w:spacing w:val="-13"/>
                <w:sz w:val="18"/>
              </w:rPr>
              <w:t> </w:t>
            </w:r>
            <w:r>
              <w:rPr>
                <w:sz w:val="18"/>
              </w:rPr>
              <w:t>de </w:t>
            </w:r>
            <w:r>
              <w:rPr>
                <w:spacing w:val="-2"/>
                <w:sz w:val="18"/>
              </w:rPr>
              <w:t>Servicios</w:t>
            </w:r>
          </w:p>
        </w:tc>
        <w:tc>
          <w:tcPr>
            <w:tcW w:w="1773" w:type="dxa"/>
            <w:tcBorders>
              <w:top w:val="single" w:sz="4" w:space="0" w:color="000000"/>
              <w:left w:val="single" w:sz="4" w:space="0" w:color="000000"/>
              <w:bottom w:val="single" w:sz="4" w:space="0" w:color="000000"/>
              <w:right w:val="single" w:sz="4" w:space="0" w:color="000000"/>
            </w:tcBorders>
          </w:tcPr>
          <w:p>
            <w:pPr>
              <w:pStyle w:val="TableParagraph"/>
              <w:rPr>
                <w:rFonts w:ascii="Times New Roman"/>
                <w:sz w:val="18"/>
              </w:rPr>
            </w:pPr>
          </w:p>
        </w:tc>
        <w:tc>
          <w:tcPr>
            <w:tcW w:w="2323" w:type="dxa"/>
            <w:vMerge/>
            <w:tcBorders>
              <w:top w:val="nil"/>
              <w:left w:val="single" w:sz="4" w:space="0" w:color="000000"/>
              <w:bottom w:val="single" w:sz="4" w:space="0" w:color="000000"/>
              <w:right w:val="single" w:sz="4" w:space="0" w:color="000000"/>
            </w:tcBorders>
          </w:tcPr>
          <w:p>
            <w:pPr>
              <w:rPr>
                <w:sz w:val="2"/>
                <w:szCs w:val="2"/>
              </w:rPr>
            </w:pPr>
          </w:p>
        </w:tc>
      </w:tr>
    </w:tbl>
    <w:p>
      <w:pPr>
        <w:spacing w:after="0"/>
        <w:rPr>
          <w:sz w:val="2"/>
          <w:szCs w:val="2"/>
        </w:rPr>
        <w:sectPr>
          <w:pgSz w:w="15840" w:h="12240" w:orient="landscape"/>
          <w:pgMar w:header="0" w:footer="1806" w:top="138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133"/>
        <w:gridCol w:w="1277"/>
        <w:gridCol w:w="1987"/>
        <w:gridCol w:w="1843"/>
        <w:gridCol w:w="1272"/>
        <w:gridCol w:w="1560"/>
        <w:gridCol w:w="2347"/>
      </w:tblGrid>
      <w:tr>
        <w:trPr>
          <w:trHeight w:val="902" w:hRule="atLeast"/>
        </w:trPr>
        <w:tc>
          <w:tcPr>
            <w:tcW w:w="2972" w:type="dxa"/>
            <w:shd w:val="clear" w:color="auto" w:fill="E7E6E6"/>
          </w:tcPr>
          <w:p>
            <w:pPr>
              <w:pStyle w:val="TableParagraph"/>
              <w:spacing w:before="138"/>
              <w:rPr>
                <w:b/>
                <w:sz w:val="18"/>
              </w:rPr>
            </w:pPr>
          </w:p>
          <w:p>
            <w:pPr>
              <w:pStyle w:val="TableParagraph"/>
              <w:ind w:left="518"/>
              <w:rPr>
                <w:b/>
                <w:sz w:val="18"/>
              </w:rPr>
            </w:pPr>
            <w:r>
              <w:rPr>
                <w:b/>
                <w:sz w:val="18"/>
              </w:rPr>
              <w:t>Objetivos</w:t>
            </w:r>
            <w:r>
              <w:rPr>
                <w:b/>
                <w:spacing w:val="-5"/>
                <w:sz w:val="18"/>
              </w:rPr>
              <w:t> </w:t>
            </w:r>
            <w:r>
              <w:rPr>
                <w:b/>
                <w:sz w:val="18"/>
              </w:rPr>
              <w:t>/</w:t>
            </w:r>
            <w:r>
              <w:rPr>
                <w:b/>
                <w:spacing w:val="-2"/>
                <w:sz w:val="18"/>
              </w:rPr>
              <w:t> Resultados</w:t>
            </w:r>
          </w:p>
        </w:tc>
        <w:tc>
          <w:tcPr>
            <w:tcW w:w="1133" w:type="dxa"/>
            <w:shd w:val="clear" w:color="auto" w:fill="E7E6E6"/>
          </w:tcPr>
          <w:p>
            <w:pPr>
              <w:pStyle w:val="TableParagraph"/>
              <w:spacing w:before="36"/>
              <w:rPr>
                <w:b/>
                <w:sz w:val="18"/>
              </w:rPr>
            </w:pPr>
          </w:p>
          <w:p>
            <w:pPr>
              <w:pStyle w:val="TableParagraph"/>
              <w:ind w:left="307" w:hanging="216"/>
              <w:rPr>
                <w:b/>
                <w:sz w:val="18"/>
              </w:rPr>
            </w:pPr>
            <w:r>
              <w:rPr>
                <w:b/>
                <w:sz w:val="18"/>
              </w:rPr>
              <w:t>Línea</w:t>
            </w:r>
            <w:r>
              <w:rPr>
                <w:b/>
                <w:spacing w:val="-13"/>
                <w:sz w:val="18"/>
              </w:rPr>
              <w:t> </w:t>
            </w:r>
            <w:r>
              <w:rPr>
                <w:b/>
                <w:sz w:val="18"/>
              </w:rPr>
              <w:t>Base </w:t>
            </w:r>
            <w:r>
              <w:rPr>
                <w:b/>
                <w:spacing w:val="-2"/>
                <w:sz w:val="18"/>
              </w:rPr>
              <w:t>(2024)</w:t>
            </w:r>
          </w:p>
        </w:tc>
        <w:tc>
          <w:tcPr>
            <w:tcW w:w="1277" w:type="dxa"/>
            <w:shd w:val="clear" w:color="auto" w:fill="E7E6E6"/>
          </w:tcPr>
          <w:p>
            <w:pPr>
              <w:pStyle w:val="TableParagraph"/>
              <w:spacing w:before="138"/>
              <w:ind w:left="20" w:right="8"/>
              <w:jc w:val="center"/>
              <w:rPr>
                <w:b/>
                <w:sz w:val="18"/>
              </w:rPr>
            </w:pPr>
            <w:r>
              <w:rPr>
                <w:b/>
                <w:spacing w:val="-4"/>
                <w:sz w:val="18"/>
              </w:rPr>
              <w:t>Meta </w:t>
            </w:r>
            <w:r>
              <w:rPr>
                <w:b/>
                <w:spacing w:val="-2"/>
                <w:sz w:val="18"/>
              </w:rPr>
              <w:t>programada </w:t>
            </w:r>
            <w:r>
              <w:rPr>
                <w:b/>
                <w:spacing w:val="-4"/>
                <w:sz w:val="18"/>
              </w:rPr>
              <w:t>2026</w:t>
            </w:r>
          </w:p>
        </w:tc>
        <w:tc>
          <w:tcPr>
            <w:tcW w:w="1987" w:type="dxa"/>
            <w:shd w:val="clear" w:color="auto" w:fill="E7E6E6"/>
          </w:tcPr>
          <w:p>
            <w:pPr>
              <w:pStyle w:val="TableParagraph"/>
              <w:spacing w:before="138"/>
              <w:rPr>
                <w:b/>
                <w:sz w:val="18"/>
              </w:rPr>
            </w:pPr>
          </w:p>
          <w:p>
            <w:pPr>
              <w:pStyle w:val="TableParagraph"/>
              <w:ind w:left="590"/>
              <w:rPr>
                <w:b/>
                <w:sz w:val="18"/>
              </w:rPr>
            </w:pPr>
            <w:r>
              <w:rPr>
                <w:b/>
                <w:spacing w:val="-2"/>
                <w:sz w:val="18"/>
              </w:rPr>
              <w:t>Indicador</w:t>
            </w:r>
          </w:p>
        </w:tc>
        <w:tc>
          <w:tcPr>
            <w:tcW w:w="1843" w:type="dxa"/>
            <w:shd w:val="clear" w:color="auto" w:fill="E7E6E6"/>
          </w:tcPr>
          <w:p>
            <w:pPr>
              <w:pStyle w:val="TableParagraph"/>
              <w:spacing w:before="36"/>
              <w:rPr>
                <w:b/>
                <w:sz w:val="18"/>
              </w:rPr>
            </w:pPr>
          </w:p>
          <w:p>
            <w:pPr>
              <w:pStyle w:val="TableParagraph"/>
              <w:ind w:left="418" w:right="49" w:firstLine="57"/>
              <w:rPr>
                <w:b/>
                <w:sz w:val="18"/>
              </w:rPr>
            </w:pPr>
            <w:r>
              <w:rPr>
                <w:b/>
                <w:sz w:val="18"/>
              </w:rPr>
              <w:t>Medios de </w:t>
            </w:r>
            <w:r>
              <w:rPr>
                <w:b/>
                <w:spacing w:val="-2"/>
                <w:sz w:val="18"/>
              </w:rPr>
              <w:t>verificación</w:t>
            </w:r>
          </w:p>
        </w:tc>
        <w:tc>
          <w:tcPr>
            <w:tcW w:w="1272" w:type="dxa"/>
            <w:shd w:val="clear" w:color="auto" w:fill="E7E6E6"/>
          </w:tcPr>
          <w:p>
            <w:pPr>
              <w:pStyle w:val="TableParagraph"/>
              <w:spacing w:before="138"/>
              <w:rPr>
                <w:b/>
                <w:sz w:val="18"/>
              </w:rPr>
            </w:pPr>
          </w:p>
          <w:p>
            <w:pPr>
              <w:pStyle w:val="TableParagraph"/>
              <w:ind w:left="78"/>
              <w:rPr>
                <w:b/>
                <w:sz w:val="18"/>
              </w:rPr>
            </w:pPr>
            <w:r>
              <w:rPr>
                <w:b/>
                <w:spacing w:val="-2"/>
                <w:sz w:val="18"/>
              </w:rPr>
              <w:t>Responsable</w:t>
            </w:r>
          </w:p>
        </w:tc>
        <w:tc>
          <w:tcPr>
            <w:tcW w:w="1560" w:type="dxa"/>
            <w:shd w:val="clear" w:color="auto" w:fill="E7E6E6"/>
          </w:tcPr>
          <w:p>
            <w:pPr>
              <w:pStyle w:val="TableParagraph"/>
              <w:spacing w:before="36"/>
              <w:rPr>
                <w:b/>
                <w:sz w:val="18"/>
              </w:rPr>
            </w:pPr>
          </w:p>
          <w:p>
            <w:pPr>
              <w:pStyle w:val="TableParagraph"/>
              <w:ind w:left="386" w:right="58" w:hanging="149"/>
              <w:rPr>
                <w:b/>
                <w:sz w:val="18"/>
              </w:rPr>
            </w:pPr>
            <w:r>
              <w:rPr>
                <w:b/>
                <w:spacing w:val="-2"/>
                <w:sz w:val="18"/>
              </w:rPr>
              <w:t>Presupuesto asignado</w:t>
            </w:r>
          </w:p>
        </w:tc>
        <w:tc>
          <w:tcPr>
            <w:tcW w:w="2347" w:type="dxa"/>
            <w:shd w:val="clear" w:color="auto" w:fill="E7E6E6"/>
          </w:tcPr>
          <w:p>
            <w:pPr>
              <w:pStyle w:val="TableParagraph"/>
              <w:spacing w:before="36"/>
              <w:rPr>
                <w:b/>
                <w:sz w:val="18"/>
              </w:rPr>
            </w:pPr>
          </w:p>
          <w:p>
            <w:pPr>
              <w:pStyle w:val="TableParagraph"/>
              <w:ind w:left="593"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791" w:hRule="atLeast"/>
        </w:trPr>
        <w:tc>
          <w:tcPr>
            <w:tcW w:w="14391" w:type="dxa"/>
            <w:gridSpan w:val="8"/>
            <w:shd w:val="clear" w:color="auto" w:fill="E7E6E6"/>
          </w:tcPr>
          <w:p>
            <w:pPr>
              <w:pStyle w:val="TableParagraph"/>
              <w:spacing w:before="186"/>
              <w:ind w:left="72" w:right="84"/>
              <w:rPr>
                <w:b/>
                <w:sz w:val="18"/>
              </w:rPr>
            </w:pPr>
            <w:r>
              <w:rPr>
                <w:b/>
                <w:sz w:val="18"/>
              </w:rPr>
              <w:t>Efecto:</w:t>
            </w:r>
            <w:r>
              <w:rPr>
                <w:b/>
                <w:spacing w:val="-1"/>
                <w:sz w:val="18"/>
              </w:rPr>
              <w:t> </w:t>
            </w:r>
            <w:r>
              <w:rPr>
                <w:b/>
                <w:sz w:val="18"/>
              </w:rPr>
              <w:t>Gestión</w:t>
            </w:r>
            <w:r>
              <w:rPr>
                <w:b/>
                <w:spacing w:val="-4"/>
                <w:sz w:val="18"/>
              </w:rPr>
              <w:t> </w:t>
            </w:r>
            <w:r>
              <w:rPr>
                <w:b/>
                <w:sz w:val="18"/>
              </w:rPr>
              <w:t>administrativa,</w:t>
            </w:r>
            <w:r>
              <w:rPr>
                <w:b/>
                <w:spacing w:val="-1"/>
                <w:sz w:val="18"/>
              </w:rPr>
              <w:t> </w:t>
            </w:r>
            <w:r>
              <w:rPr>
                <w:b/>
                <w:sz w:val="18"/>
              </w:rPr>
              <w:t>financiera,</w:t>
            </w:r>
            <w:r>
              <w:rPr>
                <w:b/>
                <w:spacing w:val="-1"/>
                <w:sz w:val="18"/>
              </w:rPr>
              <w:t> </w:t>
            </w:r>
            <w:r>
              <w:rPr>
                <w:b/>
                <w:sz w:val="18"/>
              </w:rPr>
              <w:t>tecnológica</w:t>
            </w:r>
            <w:r>
              <w:rPr>
                <w:b/>
                <w:spacing w:val="-3"/>
                <w:sz w:val="18"/>
              </w:rPr>
              <w:t> </w:t>
            </w:r>
            <w:r>
              <w:rPr>
                <w:b/>
                <w:sz w:val="18"/>
              </w:rPr>
              <w:t>y</w:t>
            </w:r>
            <w:r>
              <w:rPr>
                <w:b/>
                <w:spacing w:val="-3"/>
                <w:sz w:val="18"/>
              </w:rPr>
              <w:t> </w:t>
            </w:r>
            <w:r>
              <w:rPr>
                <w:b/>
                <w:sz w:val="18"/>
              </w:rPr>
              <w:t>asesora</w:t>
            </w:r>
            <w:r>
              <w:rPr>
                <w:b/>
                <w:spacing w:val="-3"/>
                <w:sz w:val="18"/>
              </w:rPr>
              <w:t> </w:t>
            </w:r>
            <w:r>
              <w:rPr>
                <w:b/>
                <w:sz w:val="18"/>
              </w:rPr>
              <w:t>oportuna</w:t>
            </w:r>
            <w:r>
              <w:rPr>
                <w:b/>
                <w:spacing w:val="-3"/>
                <w:sz w:val="18"/>
              </w:rPr>
              <w:t> </w:t>
            </w:r>
            <w:r>
              <w:rPr>
                <w:b/>
                <w:sz w:val="18"/>
              </w:rPr>
              <w:t>para coadyuvar</w:t>
            </w:r>
            <w:r>
              <w:rPr>
                <w:b/>
                <w:spacing w:val="-2"/>
                <w:sz w:val="18"/>
              </w:rPr>
              <w:t> </w:t>
            </w:r>
            <w:r>
              <w:rPr>
                <w:b/>
                <w:sz w:val="18"/>
              </w:rPr>
              <w:t>en</w:t>
            </w:r>
            <w:r>
              <w:rPr>
                <w:b/>
                <w:spacing w:val="-4"/>
                <w:sz w:val="18"/>
              </w:rPr>
              <w:t> </w:t>
            </w:r>
            <w:r>
              <w:rPr>
                <w:b/>
                <w:sz w:val="18"/>
              </w:rPr>
              <w:t>la</w:t>
            </w:r>
            <w:r>
              <w:rPr>
                <w:b/>
                <w:spacing w:val="-3"/>
                <w:sz w:val="18"/>
              </w:rPr>
              <w:t> </w:t>
            </w:r>
            <w:r>
              <w:rPr>
                <w:b/>
                <w:sz w:val="18"/>
              </w:rPr>
              <w:t>ejecución de</w:t>
            </w:r>
            <w:r>
              <w:rPr>
                <w:b/>
                <w:spacing w:val="-8"/>
                <w:sz w:val="18"/>
              </w:rPr>
              <w:t> </w:t>
            </w:r>
            <w:r>
              <w:rPr>
                <w:b/>
                <w:sz w:val="18"/>
              </w:rPr>
              <w:t>la oferta</w:t>
            </w:r>
            <w:r>
              <w:rPr>
                <w:b/>
                <w:spacing w:val="-3"/>
                <w:sz w:val="18"/>
              </w:rPr>
              <w:t> </w:t>
            </w:r>
            <w:r>
              <w:rPr>
                <w:b/>
                <w:sz w:val="18"/>
              </w:rPr>
              <w:t>programática</w:t>
            </w:r>
            <w:r>
              <w:rPr>
                <w:b/>
                <w:spacing w:val="-3"/>
                <w:sz w:val="18"/>
              </w:rPr>
              <w:t> </w:t>
            </w:r>
            <w:r>
              <w:rPr>
                <w:b/>
                <w:sz w:val="18"/>
              </w:rPr>
              <w:t>institucional</w:t>
            </w:r>
            <w:r>
              <w:rPr>
                <w:b/>
                <w:spacing w:val="-1"/>
                <w:sz w:val="18"/>
              </w:rPr>
              <w:t> </w:t>
            </w:r>
            <w:r>
              <w:rPr>
                <w:b/>
                <w:sz w:val="18"/>
              </w:rPr>
              <w:t>dirigida</w:t>
            </w:r>
            <w:r>
              <w:rPr>
                <w:b/>
                <w:spacing w:val="-3"/>
                <w:sz w:val="18"/>
              </w:rPr>
              <w:t> </w:t>
            </w:r>
            <w:r>
              <w:rPr>
                <w:b/>
                <w:sz w:val="18"/>
              </w:rPr>
              <w:t>a</w:t>
            </w:r>
            <w:r>
              <w:rPr>
                <w:b/>
                <w:spacing w:val="-3"/>
                <w:sz w:val="18"/>
              </w:rPr>
              <w:t> </w:t>
            </w:r>
            <w:r>
              <w:rPr>
                <w:b/>
                <w:sz w:val="18"/>
              </w:rPr>
              <w:t>la población en situación de pobreza y pobreza extrema.</w:t>
            </w:r>
          </w:p>
        </w:tc>
      </w:tr>
      <w:tr>
        <w:trPr>
          <w:trHeight w:val="599" w:hRule="atLeast"/>
        </w:trPr>
        <w:tc>
          <w:tcPr>
            <w:tcW w:w="14391" w:type="dxa"/>
            <w:gridSpan w:val="8"/>
            <w:shd w:val="clear" w:color="auto" w:fill="EFF8F9"/>
          </w:tcPr>
          <w:p>
            <w:pPr>
              <w:pStyle w:val="TableParagraph"/>
              <w:spacing w:before="195"/>
              <w:ind w:left="72"/>
              <w:rPr>
                <w:b/>
                <w:sz w:val="18"/>
              </w:rPr>
            </w:pPr>
            <w:r>
              <w:rPr>
                <w:b/>
                <w:sz w:val="18"/>
              </w:rPr>
              <w:t>Producto</w:t>
            </w:r>
            <w:r>
              <w:rPr>
                <w:b/>
                <w:spacing w:val="-9"/>
                <w:sz w:val="18"/>
              </w:rPr>
              <w:t> </w:t>
            </w:r>
            <w:r>
              <w:rPr>
                <w:b/>
                <w:sz w:val="18"/>
              </w:rPr>
              <w:t>PAC</w:t>
            </w:r>
            <w:r>
              <w:rPr>
                <w:b/>
                <w:spacing w:val="-8"/>
                <w:sz w:val="18"/>
              </w:rPr>
              <w:t> </w:t>
            </w:r>
            <w:r>
              <w:rPr>
                <w:b/>
                <w:sz w:val="18"/>
              </w:rPr>
              <w:t>2.59:</w:t>
            </w:r>
            <w:r>
              <w:rPr>
                <w:b/>
                <w:spacing w:val="42"/>
                <w:sz w:val="18"/>
              </w:rPr>
              <w:t> </w:t>
            </w:r>
            <w:r>
              <w:rPr>
                <w:b/>
                <w:sz w:val="18"/>
              </w:rPr>
              <w:t>CEDAW,</w:t>
            </w:r>
            <w:r>
              <w:rPr>
                <w:b/>
                <w:spacing w:val="-6"/>
                <w:sz w:val="18"/>
              </w:rPr>
              <w:t> </w:t>
            </w:r>
            <w:r>
              <w:rPr>
                <w:b/>
                <w:sz w:val="18"/>
              </w:rPr>
              <w:t>Belém</w:t>
            </w:r>
            <w:r>
              <w:rPr>
                <w:b/>
                <w:spacing w:val="-6"/>
                <w:sz w:val="18"/>
              </w:rPr>
              <w:t> </w:t>
            </w:r>
            <w:r>
              <w:rPr>
                <w:b/>
                <w:sz w:val="18"/>
              </w:rPr>
              <w:t>Do</w:t>
            </w:r>
            <w:r>
              <w:rPr>
                <w:b/>
                <w:spacing w:val="-3"/>
                <w:sz w:val="18"/>
              </w:rPr>
              <w:t> </w:t>
            </w:r>
            <w:r>
              <w:rPr>
                <w:b/>
                <w:sz w:val="18"/>
              </w:rPr>
              <w:t>Pará,</w:t>
            </w:r>
            <w:r>
              <w:rPr>
                <w:b/>
                <w:spacing w:val="-1"/>
                <w:sz w:val="18"/>
              </w:rPr>
              <w:t> </w:t>
            </w:r>
            <w:r>
              <w:rPr>
                <w:b/>
                <w:sz w:val="18"/>
              </w:rPr>
              <w:t>PIEG</w:t>
            </w:r>
            <w:r>
              <w:rPr>
                <w:b/>
                <w:spacing w:val="-1"/>
                <w:sz w:val="18"/>
              </w:rPr>
              <w:t> </w:t>
            </w:r>
            <w:r>
              <w:rPr>
                <w:b/>
                <w:sz w:val="18"/>
              </w:rPr>
              <w:t>y</w:t>
            </w:r>
            <w:r>
              <w:rPr>
                <w:b/>
                <w:spacing w:val="-7"/>
                <w:sz w:val="18"/>
              </w:rPr>
              <w:t> </w:t>
            </w:r>
            <w:r>
              <w:rPr>
                <w:b/>
                <w:sz w:val="18"/>
              </w:rPr>
              <w:t>PLANOVI,</w:t>
            </w:r>
            <w:r>
              <w:rPr>
                <w:b/>
                <w:spacing w:val="-5"/>
                <w:sz w:val="18"/>
              </w:rPr>
              <w:t> </w:t>
            </w:r>
            <w:r>
              <w:rPr>
                <w:b/>
                <w:sz w:val="18"/>
              </w:rPr>
              <w:t>implementados</w:t>
            </w:r>
            <w:r>
              <w:rPr>
                <w:b/>
                <w:spacing w:val="-7"/>
                <w:sz w:val="18"/>
              </w:rPr>
              <w:t> </w:t>
            </w:r>
            <w:r>
              <w:rPr>
                <w:b/>
                <w:sz w:val="18"/>
              </w:rPr>
              <w:t>eficientemente</w:t>
            </w:r>
            <w:r>
              <w:rPr>
                <w:b/>
                <w:spacing w:val="-8"/>
                <w:sz w:val="18"/>
              </w:rPr>
              <w:t> </w:t>
            </w:r>
            <w:r>
              <w:rPr>
                <w:b/>
                <w:sz w:val="18"/>
              </w:rPr>
              <w:t>con</w:t>
            </w:r>
            <w:r>
              <w:rPr>
                <w:b/>
                <w:spacing w:val="-8"/>
                <w:sz w:val="18"/>
              </w:rPr>
              <w:t> </w:t>
            </w:r>
            <w:r>
              <w:rPr>
                <w:b/>
                <w:sz w:val="18"/>
              </w:rPr>
              <w:t>una</w:t>
            </w:r>
            <w:r>
              <w:rPr>
                <w:b/>
                <w:spacing w:val="-7"/>
                <w:sz w:val="18"/>
              </w:rPr>
              <w:t> </w:t>
            </w:r>
            <w:r>
              <w:rPr>
                <w:b/>
                <w:sz w:val="18"/>
              </w:rPr>
              <w:t>asesoría</w:t>
            </w:r>
            <w:r>
              <w:rPr>
                <w:b/>
                <w:spacing w:val="-7"/>
                <w:sz w:val="18"/>
              </w:rPr>
              <w:t> </w:t>
            </w:r>
            <w:r>
              <w:rPr>
                <w:b/>
                <w:spacing w:val="-2"/>
                <w:sz w:val="18"/>
              </w:rPr>
              <w:t>oportuna.</w:t>
            </w:r>
          </w:p>
        </w:tc>
      </w:tr>
      <w:tr>
        <w:trPr>
          <w:trHeight w:val="979" w:hRule="atLeast"/>
        </w:trPr>
        <w:tc>
          <w:tcPr>
            <w:tcW w:w="2972" w:type="dxa"/>
          </w:tcPr>
          <w:p>
            <w:pPr>
              <w:pStyle w:val="TableParagraph"/>
              <w:spacing w:before="75"/>
              <w:ind w:left="72" w:right="105"/>
              <w:rPr>
                <w:sz w:val="18"/>
              </w:rPr>
            </w:pPr>
            <w:r>
              <w:rPr>
                <w:b/>
                <w:sz w:val="18"/>
              </w:rPr>
              <w:t>Actividad PAC 2.59.1: </w:t>
            </w:r>
            <w:r>
              <w:rPr>
                <w:sz w:val="18"/>
              </w:rPr>
              <w:t>Ejecución de</w:t>
            </w:r>
            <w:r>
              <w:rPr>
                <w:spacing w:val="-5"/>
                <w:sz w:val="18"/>
              </w:rPr>
              <w:t> </w:t>
            </w:r>
            <w:r>
              <w:rPr>
                <w:sz w:val="18"/>
              </w:rPr>
              <w:t>acciones</w:t>
            </w:r>
            <w:r>
              <w:rPr>
                <w:spacing w:val="-8"/>
                <w:sz w:val="18"/>
              </w:rPr>
              <w:t> </w:t>
            </w:r>
            <w:r>
              <w:rPr>
                <w:sz w:val="18"/>
              </w:rPr>
              <w:t>de</w:t>
            </w:r>
            <w:r>
              <w:rPr>
                <w:spacing w:val="-8"/>
                <w:sz w:val="18"/>
              </w:rPr>
              <w:t> </w:t>
            </w:r>
            <w:r>
              <w:rPr>
                <w:sz w:val="18"/>
              </w:rPr>
              <w:t>seguimiento</w:t>
            </w:r>
            <w:r>
              <w:rPr>
                <w:spacing w:val="-8"/>
                <w:sz w:val="18"/>
              </w:rPr>
              <w:t> </w:t>
            </w:r>
            <w:r>
              <w:rPr>
                <w:sz w:val="18"/>
              </w:rPr>
              <w:t>de</w:t>
            </w:r>
            <w:r>
              <w:rPr>
                <w:spacing w:val="-8"/>
                <w:sz w:val="18"/>
              </w:rPr>
              <w:t> </w:t>
            </w:r>
            <w:r>
              <w:rPr>
                <w:sz w:val="18"/>
              </w:rPr>
              <w:t>los ejes estructurales de PIEG y </w:t>
            </w:r>
            <w:r>
              <w:rPr>
                <w:spacing w:val="-2"/>
                <w:sz w:val="18"/>
              </w:rPr>
              <w:t>PLANOVI.</w:t>
            </w:r>
          </w:p>
        </w:tc>
        <w:tc>
          <w:tcPr>
            <w:tcW w:w="1133" w:type="dxa"/>
          </w:tcPr>
          <w:p>
            <w:pPr>
              <w:pStyle w:val="TableParagraph"/>
              <w:spacing w:before="176"/>
              <w:rPr>
                <w:b/>
                <w:sz w:val="18"/>
              </w:rPr>
            </w:pPr>
          </w:p>
          <w:p>
            <w:pPr>
              <w:pStyle w:val="TableParagraph"/>
              <w:ind w:left="10"/>
              <w:jc w:val="center"/>
              <w:rPr>
                <w:sz w:val="18"/>
              </w:rPr>
            </w:pPr>
            <w:r>
              <w:rPr>
                <w:spacing w:val="-5"/>
                <w:sz w:val="18"/>
              </w:rPr>
              <w:t>16</w:t>
            </w:r>
          </w:p>
        </w:tc>
        <w:tc>
          <w:tcPr>
            <w:tcW w:w="1277" w:type="dxa"/>
          </w:tcPr>
          <w:p>
            <w:pPr>
              <w:pStyle w:val="TableParagraph"/>
              <w:spacing w:before="176"/>
              <w:rPr>
                <w:b/>
                <w:sz w:val="18"/>
              </w:rPr>
            </w:pPr>
          </w:p>
          <w:p>
            <w:pPr>
              <w:pStyle w:val="TableParagraph"/>
              <w:ind w:left="18" w:right="8"/>
              <w:jc w:val="center"/>
              <w:rPr>
                <w:sz w:val="18"/>
              </w:rPr>
            </w:pPr>
            <w:r>
              <w:rPr>
                <w:spacing w:val="-5"/>
                <w:sz w:val="18"/>
              </w:rPr>
              <w:t>16</w:t>
            </w:r>
          </w:p>
        </w:tc>
        <w:tc>
          <w:tcPr>
            <w:tcW w:w="1987" w:type="dxa"/>
          </w:tcPr>
          <w:p>
            <w:pPr>
              <w:pStyle w:val="TableParagraph"/>
              <w:spacing w:line="242" w:lineRule="auto" w:before="176"/>
              <w:ind w:left="72" w:right="123"/>
              <w:rPr>
                <w:sz w:val="18"/>
              </w:rPr>
            </w:pPr>
            <w:r>
              <w:rPr>
                <w:sz w:val="18"/>
              </w:rPr>
              <w:t>Cantidad</w:t>
            </w:r>
            <w:r>
              <w:rPr>
                <w:spacing w:val="-15"/>
                <w:sz w:val="18"/>
              </w:rPr>
              <w:t> </w:t>
            </w:r>
            <w:r>
              <w:rPr>
                <w:sz w:val="18"/>
              </w:rPr>
              <w:t>de</w:t>
            </w:r>
            <w:r>
              <w:rPr>
                <w:spacing w:val="-12"/>
                <w:sz w:val="18"/>
              </w:rPr>
              <w:t> </w:t>
            </w:r>
            <w:r>
              <w:rPr>
                <w:sz w:val="18"/>
              </w:rPr>
              <w:t>acciones de seguimiento </w:t>
            </w:r>
            <w:r>
              <w:rPr>
                <w:spacing w:val="-2"/>
                <w:sz w:val="18"/>
              </w:rPr>
              <w:t>ejecutadas</w:t>
            </w:r>
          </w:p>
        </w:tc>
        <w:tc>
          <w:tcPr>
            <w:tcW w:w="1843" w:type="dxa"/>
          </w:tcPr>
          <w:p>
            <w:pPr>
              <w:pStyle w:val="TableParagraph"/>
              <w:spacing w:before="75"/>
              <w:rPr>
                <w:b/>
                <w:sz w:val="18"/>
              </w:rPr>
            </w:pPr>
          </w:p>
          <w:p>
            <w:pPr>
              <w:pStyle w:val="TableParagraph"/>
              <w:ind w:left="68" w:right="49"/>
              <w:rPr>
                <w:sz w:val="18"/>
              </w:rPr>
            </w:pPr>
            <w:r>
              <w:rPr>
                <w:sz w:val="18"/>
              </w:rPr>
              <w:t>Agendas,</w:t>
            </w:r>
            <w:r>
              <w:rPr>
                <w:spacing w:val="-13"/>
                <w:sz w:val="18"/>
              </w:rPr>
              <w:t> </w:t>
            </w:r>
            <w:r>
              <w:rPr>
                <w:sz w:val="18"/>
              </w:rPr>
              <w:t>minutas, oficios, correos</w:t>
            </w:r>
          </w:p>
        </w:tc>
        <w:tc>
          <w:tcPr>
            <w:tcW w:w="1272" w:type="dxa"/>
          </w:tcPr>
          <w:p>
            <w:pPr>
              <w:pStyle w:val="TableParagraph"/>
              <w:spacing w:before="176"/>
              <w:rPr>
                <w:b/>
                <w:sz w:val="18"/>
              </w:rPr>
            </w:pPr>
          </w:p>
          <w:p>
            <w:pPr>
              <w:pStyle w:val="TableParagraph"/>
              <w:ind w:left="73"/>
              <w:rPr>
                <w:sz w:val="18"/>
              </w:rPr>
            </w:pPr>
            <w:r>
              <w:rPr>
                <w:spacing w:val="-4"/>
                <w:sz w:val="18"/>
              </w:rPr>
              <w:t>UEIG</w:t>
            </w:r>
          </w:p>
        </w:tc>
        <w:tc>
          <w:tcPr>
            <w:tcW w:w="1560" w:type="dxa"/>
          </w:tcPr>
          <w:p>
            <w:pPr>
              <w:pStyle w:val="TableParagraph"/>
              <w:spacing w:before="176"/>
              <w:rPr>
                <w:b/>
                <w:sz w:val="18"/>
              </w:rPr>
            </w:pPr>
          </w:p>
          <w:p>
            <w:pPr>
              <w:pStyle w:val="TableParagraph"/>
              <w:ind w:left="463"/>
              <w:rPr>
                <w:sz w:val="18"/>
              </w:rPr>
            </w:pPr>
            <w:r>
              <w:rPr>
                <w:sz w:val="18"/>
              </w:rPr>
              <w:t>₡1</w:t>
            </w:r>
            <w:r>
              <w:rPr>
                <w:spacing w:val="2"/>
                <w:sz w:val="18"/>
              </w:rPr>
              <w:t> </w:t>
            </w:r>
            <w:r>
              <w:rPr>
                <w:sz w:val="18"/>
              </w:rPr>
              <w:t>500</w:t>
            </w:r>
            <w:r>
              <w:rPr>
                <w:spacing w:val="-3"/>
                <w:sz w:val="18"/>
              </w:rPr>
              <w:t> </w:t>
            </w:r>
            <w:r>
              <w:rPr>
                <w:spacing w:val="-5"/>
                <w:sz w:val="18"/>
              </w:rPr>
              <w:t>000</w:t>
            </w:r>
          </w:p>
        </w:tc>
        <w:tc>
          <w:tcPr>
            <w:tcW w:w="2347" w:type="dxa"/>
            <w:vMerge w:val="restart"/>
          </w:tcPr>
          <w:p>
            <w:pPr>
              <w:pStyle w:val="TableParagraph"/>
              <w:spacing w:line="207" w:lineRule="exact" w:before="23"/>
              <w:ind w:left="74"/>
              <w:rPr>
                <w:sz w:val="18"/>
              </w:rPr>
            </w:pPr>
            <w:r>
              <w:rPr>
                <w:spacing w:val="-2"/>
                <w:sz w:val="18"/>
              </w:rPr>
              <w:t>Eventos:</w:t>
            </w:r>
          </w:p>
          <w:p>
            <w:pPr>
              <w:pStyle w:val="TableParagraph"/>
              <w:numPr>
                <w:ilvl w:val="0"/>
                <w:numId w:val="125"/>
              </w:numPr>
              <w:tabs>
                <w:tab w:pos="226" w:val="left" w:leader="none"/>
              </w:tabs>
              <w:spacing w:line="240" w:lineRule="auto" w:before="0" w:after="0"/>
              <w:ind w:left="74" w:right="153" w:firstLine="0"/>
              <w:jc w:val="left"/>
              <w:rPr>
                <w:sz w:val="18"/>
              </w:rPr>
            </w:pPr>
            <w:r>
              <w:rPr>
                <w:sz w:val="18"/>
              </w:rPr>
              <w:t>Limitado</w:t>
            </w:r>
            <w:r>
              <w:rPr>
                <w:spacing w:val="-15"/>
                <w:sz w:val="18"/>
              </w:rPr>
              <w:t> </w:t>
            </w:r>
            <w:r>
              <w:rPr>
                <w:sz w:val="18"/>
              </w:rPr>
              <w:t>seguimiento</w:t>
            </w:r>
            <w:r>
              <w:rPr>
                <w:spacing w:val="-12"/>
                <w:sz w:val="18"/>
              </w:rPr>
              <w:t> </w:t>
            </w:r>
            <w:r>
              <w:rPr>
                <w:sz w:val="18"/>
              </w:rPr>
              <w:t>de la ejecución de las acciones vinculadas a la PLANOVI y PIEG.</w:t>
            </w:r>
          </w:p>
          <w:p>
            <w:pPr>
              <w:pStyle w:val="TableParagraph"/>
              <w:numPr>
                <w:ilvl w:val="0"/>
                <w:numId w:val="125"/>
              </w:numPr>
              <w:tabs>
                <w:tab w:pos="226" w:val="left" w:leader="none"/>
              </w:tabs>
              <w:spacing w:line="240" w:lineRule="auto" w:before="204" w:after="0"/>
              <w:ind w:left="74" w:right="59" w:firstLine="0"/>
              <w:jc w:val="left"/>
              <w:rPr>
                <w:sz w:val="18"/>
              </w:rPr>
            </w:pPr>
            <w:r>
              <w:rPr>
                <w:sz w:val="18"/>
              </w:rPr>
              <w:t>Limitada participación de las</w:t>
            </w:r>
            <w:r>
              <w:rPr>
                <w:spacing w:val="-6"/>
                <w:sz w:val="18"/>
              </w:rPr>
              <w:t> </w:t>
            </w:r>
            <w:r>
              <w:rPr>
                <w:sz w:val="18"/>
              </w:rPr>
              <w:t>personas</w:t>
            </w:r>
            <w:r>
              <w:rPr>
                <w:spacing w:val="-13"/>
                <w:sz w:val="18"/>
              </w:rPr>
              <w:t> </w:t>
            </w:r>
            <w:r>
              <w:rPr>
                <w:sz w:val="18"/>
              </w:rPr>
              <w:t>funcionarias</w:t>
            </w:r>
            <w:r>
              <w:rPr>
                <w:spacing w:val="-9"/>
                <w:sz w:val="18"/>
              </w:rPr>
              <w:t> </w:t>
            </w:r>
            <w:r>
              <w:rPr>
                <w:sz w:val="18"/>
              </w:rPr>
              <w:t>o jefaturas en las capacitaciones respecto a las</w:t>
            </w:r>
            <w:r>
              <w:rPr>
                <w:spacing w:val="-9"/>
                <w:sz w:val="18"/>
              </w:rPr>
              <w:t> </w:t>
            </w:r>
            <w:r>
              <w:rPr>
                <w:sz w:val="18"/>
              </w:rPr>
              <w:t>acciones</w:t>
            </w:r>
            <w:r>
              <w:rPr>
                <w:spacing w:val="-9"/>
                <w:sz w:val="18"/>
              </w:rPr>
              <w:t> </w:t>
            </w:r>
            <w:r>
              <w:rPr>
                <w:sz w:val="18"/>
              </w:rPr>
              <w:t>de</w:t>
            </w:r>
            <w:r>
              <w:rPr>
                <w:spacing w:val="-9"/>
                <w:sz w:val="18"/>
              </w:rPr>
              <w:t> </w:t>
            </w:r>
            <w:r>
              <w:rPr>
                <w:sz w:val="18"/>
              </w:rPr>
              <w:t>la</w:t>
            </w:r>
            <w:r>
              <w:rPr>
                <w:spacing w:val="-13"/>
                <w:sz w:val="18"/>
              </w:rPr>
              <w:t> </w:t>
            </w:r>
            <w:r>
              <w:rPr>
                <w:sz w:val="18"/>
              </w:rPr>
              <w:t>CEDAW, Belem Do Pará, PIEG, </w:t>
            </w:r>
            <w:r>
              <w:rPr>
                <w:spacing w:val="-2"/>
                <w:sz w:val="18"/>
              </w:rPr>
              <w:t>PLANOVI</w:t>
            </w:r>
          </w:p>
          <w:p>
            <w:pPr>
              <w:pStyle w:val="TableParagraph"/>
              <w:spacing w:before="1"/>
              <w:rPr>
                <w:b/>
                <w:sz w:val="18"/>
              </w:rPr>
            </w:pPr>
          </w:p>
          <w:p>
            <w:pPr>
              <w:pStyle w:val="TableParagraph"/>
              <w:numPr>
                <w:ilvl w:val="0"/>
                <w:numId w:val="125"/>
              </w:numPr>
              <w:tabs>
                <w:tab w:pos="279" w:val="left" w:leader="none"/>
              </w:tabs>
              <w:spacing w:line="240" w:lineRule="auto" w:before="0" w:after="0"/>
              <w:ind w:left="74" w:right="143" w:firstLine="0"/>
              <w:jc w:val="left"/>
              <w:rPr>
                <w:sz w:val="18"/>
              </w:rPr>
            </w:pPr>
            <w:r>
              <w:rPr>
                <w:sz w:val="18"/>
              </w:rPr>
              <w:t>Limitadas asesorías a las instancias institucionales</w:t>
            </w:r>
            <w:r>
              <w:rPr>
                <w:spacing w:val="40"/>
                <w:sz w:val="18"/>
              </w:rPr>
              <w:t> </w:t>
            </w:r>
            <w:r>
              <w:rPr>
                <w:sz w:val="18"/>
              </w:rPr>
              <w:t>en la ejecución de las acciones vinculadas</w:t>
            </w:r>
            <w:r>
              <w:rPr>
                <w:spacing w:val="40"/>
                <w:sz w:val="18"/>
              </w:rPr>
              <w:t> </w:t>
            </w:r>
            <w:r>
              <w:rPr>
                <w:sz w:val="18"/>
              </w:rPr>
              <w:t>instrumentos de</w:t>
            </w:r>
            <w:r>
              <w:rPr>
                <w:spacing w:val="-10"/>
                <w:sz w:val="18"/>
              </w:rPr>
              <w:t> </w:t>
            </w:r>
            <w:r>
              <w:rPr>
                <w:sz w:val="18"/>
              </w:rPr>
              <w:t>protección</w:t>
            </w:r>
            <w:r>
              <w:rPr>
                <w:spacing w:val="-13"/>
                <w:sz w:val="18"/>
              </w:rPr>
              <w:t> </w:t>
            </w:r>
            <w:r>
              <w:rPr>
                <w:sz w:val="18"/>
              </w:rPr>
              <w:t>y</w:t>
            </w:r>
            <w:r>
              <w:rPr>
                <w:spacing w:val="-9"/>
                <w:sz w:val="18"/>
              </w:rPr>
              <w:t> </w:t>
            </w:r>
            <w:r>
              <w:rPr>
                <w:sz w:val="18"/>
              </w:rPr>
              <w:t>promoción de los derechos humanos de las mujeres.</w:t>
            </w:r>
          </w:p>
          <w:p>
            <w:pPr>
              <w:pStyle w:val="TableParagraph"/>
              <w:rPr>
                <w:b/>
                <w:sz w:val="18"/>
              </w:rPr>
            </w:pPr>
          </w:p>
          <w:p>
            <w:pPr>
              <w:pStyle w:val="TableParagraph"/>
              <w:numPr>
                <w:ilvl w:val="0"/>
                <w:numId w:val="125"/>
              </w:numPr>
              <w:tabs>
                <w:tab w:pos="226" w:val="left" w:leader="none"/>
              </w:tabs>
              <w:spacing w:line="242" w:lineRule="auto" w:before="0" w:after="0"/>
              <w:ind w:left="74" w:right="156" w:firstLine="0"/>
              <w:jc w:val="left"/>
              <w:rPr>
                <w:sz w:val="18"/>
              </w:rPr>
            </w:pPr>
            <w:r>
              <w:rPr>
                <w:sz w:val="18"/>
              </w:rPr>
              <w:t>Informes de ejecución (CEDAW,</w:t>
            </w:r>
            <w:r>
              <w:rPr>
                <w:spacing w:val="-12"/>
                <w:sz w:val="18"/>
              </w:rPr>
              <w:t> </w:t>
            </w:r>
            <w:r>
              <w:rPr>
                <w:sz w:val="18"/>
              </w:rPr>
              <w:t>Belém</w:t>
            </w:r>
            <w:r>
              <w:rPr>
                <w:spacing w:val="-10"/>
                <w:sz w:val="18"/>
              </w:rPr>
              <w:t> </w:t>
            </w:r>
            <w:r>
              <w:rPr>
                <w:sz w:val="18"/>
              </w:rPr>
              <w:t>Do</w:t>
            </w:r>
            <w:r>
              <w:rPr>
                <w:spacing w:val="-13"/>
                <w:sz w:val="18"/>
              </w:rPr>
              <w:t> </w:t>
            </w:r>
            <w:r>
              <w:rPr>
                <w:sz w:val="18"/>
              </w:rPr>
              <w:t>Pará, PLANOVI, PIEG ) con</w:t>
            </w:r>
          </w:p>
          <w:p>
            <w:pPr>
              <w:pStyle w:val="TableParagraph"/>
              <w:spacing w:line="206" w:lineRule="exact"/>
              <w:ind w:left="74"/>
              <w:rPr>
                <w:sz w:val="18"/>
              </w:rPr>
            </w:pPr>
            <w:r>
              <w:rPr>
                <w:sz w:val="18"/>
              </w:rPr>
              <w:t>información</w:t>
            </w:r>
            <w:r>
              <w:rPr>
                <w:spacing w:val="-15"/>
                <w:sz w:val="18"/>
              </w:rPr>
              <w:t> </w:t>
            </w:r>
            <w:r>
              <w:rPr>
                <w:sz w:val="18"/>
              </w:rPr>
              <w:t>incompleta</w:t>
            </w:r>
            <w:r>
              <w:rPr>
                <w:spacing w:val="-12"/>
                <w:sz w:val="18"/>
              </w:rPr>
              <w:t> </w:t>
            </w:r>
            <w:r>
              <w:rPr>
                <w:sz w:val="18"/>
              </w:rPr>
              <w:t>e </w:t>
            </w:r>
            <w:r>
              <w:rPr>
                <w:spacing w:val="-2"/>
                <w:sz w:val="18"/>
              </w:rPr>
              <w:t>imprecisa.</w:t>
            </w:r>
          </w:p>
        </w:tc>
      </w:tr>
      <w:tr>
        <w:trPr>
          <w:trHeight w:val="1123" w:hRule="atLeast"/>
        </w:trPr>
        <w:tc>
          <w:tcPr>
            <w:tcW w:w="2972" w:type="dxa"/>
          </w:tcPr>
          <w:p>
            <w:pPr>
              <w:pStyle w:val="TableParagraph"/>
              <w:spacing w:before="42"/>
              <w:ind w:left="72" w:right="105"/>
              <w:rPr>
                <w:sz w:val="18"/>
              </w:rPr>
            </w:pPr>
            <w:r>
              <w:rPr>
                <w:b/>
                <w:sz w:val="18"/>
              </w:rPr>
              <w:t>Actividad</w:t>
            </w:r>
            <w:r>
              <w:rPr>
                <w:b/>
                <w:spacing w:val="-13"/>
                <w:sz w:val="18"/>
              </w:rPr>
              <w:t> </w:t>
            </w:r>
            <w:r>
              <w:rPr>
                <w:b/>
                <w:sz w:val="18"/>
              </w:rPr>
              <w:t>PAC</w:t>
            </w:r>
            <w:r>
              <w:rPr>
                <w:b/>
                <w:spacing w:val="-12"/>
                <w:sz w:val="18"/>
              </w:rPr>
              <w:t> </w:t>
            </w:r>
            <w:r>
              <w:rPr>
                <w:b/>
                <w:sz w:val="18"/>
              </w:rPr>
              <w:t>2.59.2:</w:t>
            </w:r>
            <w:r>
              <w:rPr>
                <w:b/>
                <w:spacing w:val="-10"/>
                <w:sz w:val="18"/>
              </w:rPr>
              <w:t> </w:t>
            </w:r>
            <w:r>
              <w:rPr>
                <w:sz w:val="18"/>
              </w:rPr>
              <w:t>Personas funcionarias sensibilizadas para dar respuesta a las acciones de CEDAW,</w:t>
            </w:r>
            <w:r>
              <w:rPr>
                <w:spacing w:val="-7"/>
                <w:sz w:val="18"/>
              </w:rPr>
              <w:t> </w:t>
            </w:r>
            <w:r>
              <w:rPr>
                <w:sz w:val="18"/>
              </w:rPr>
              <w:t>Belem</w:t>
            </w:r>
            <w:r>
              <w:rPr>
                <w:spacing w:val="-7"/>
                <w:sz w:val="18"/>
              </w:rPr>
              <w:t> </w:t>
            </w:r>
            <w:r>
              <w:rPr>
                <w:sz w:val="18"/>
              </w:rPr>
              <w:t>Do</w:t>
            </w:r>
            <w:r>
              <w:rPr>
                <w:spacing w:val="-9"/>
                <w:sz w:val="18"/>
              </w:rPr>
              <w:t> </w:t>
            </w:r>
            <w:r>
              <w:rPr>
                <w:sz w:val="18"/>
              </w:rPr>
              <w:t>Pará,</w:t>
            </w:r>
            <w:r>
              <w:rPr>
                <w:spacing w:val="-7"/>
                <w:sz w:val="18"/>
              </w:rPr>
              <w:t> </w:t>
            </w:r>
            <w:r>
              <w:rPr>
                <w:sz w:val="18"/>
              </w:rPr>
              <w:t>PIEG</w:t>
            </w:r>
            <w:r>
              <w:rPr>
                <w:spacing w:val="-7"/>
                <w:sz w:val="18"/>
              </w:rPr>
              <w:t> </w:t>
            </w:r>
            <w:r>
              <w:rPr>
                <w:sz w:val="18"/>
              </w:rPr>
              <w:t>y </w:t>
            </w:r>
            <w:r>
              <w:rPr>
                <w:spacing w:val="-2"/>
                <w:sz w:val="18"/>
              </w:rPr>
              <w:t>PLANOVI.</w:t>
            </w:r>
          </w:p>
        </w:tc>
        <w:tc>
          <w:tcPr>
            <w:tcW w:w="1133" w:type="dxa"/>
          </w:tcPr>
          <w:p>
            <w:pPr>
              <w:pStyle w:val="TableParagraph"/>
              <w:rPr>
                <w:b/>
                <w:sz w:val="18"/>
              </w:rPr>
            </w:pPr>
          </w:p>
          <w:p>
            <w:pPr>
              <w:pStyle w:val="TableParagraph"/>
              <w:spacing w:before="41"/>
              <w:rPr>
                <w:b/>
                <w:sz w:val="18"/>
              </w:rPr>
            </w:pPr>
          </w:p>
          <w:p>
            <w:pPr>
              <w:pStyle w:val="TableParagraph"/>
              <w:ind w:left="14"/>
              <w:jc w:val="center"/>
              <w:rPr>
                <w:sz w:val="18"/>
              </w:rPr>
            </w:pPr>
            <w:r>
              <w:rPr>
                <w:spacing w:val="-5"/>
                <w:sz w:val="18"/>
              </w:rPr>
              <w:t>500</w:t>
            </w:r>
          </w:p>
        </w:tc>
        <w:tc>
          <w:tcPr>
            <w:tcW w:w="1277" w:type="dxa"/>
          </w:tcPr>
          <w:p>
            <w:pPr>
              <w:pStyle w:val="TableParagraph"/>
              <w:rPr>
                <w:b/>
                <w:sz w:val="18"/>
              </w:rPr>
            </w:pPr>
          </w:p>
          <w:p>
            <w:pPr>
              <w:pStyle w:val="TableParagraph"/>
              <w:spacing w:before="41"/>
              <w:rPr>
                <w:b/>
                <w:sz w:val="18"/>
              </w:rPr>
            </w:pPr>
          </w:p>
          <w:p>
            <w:pPr>
              <w:pStyle w:val="TableParagraph"/>
              <w:ind w:left="16" w:right="11"/>
              <w:jc w:val="center"/>
              <w:rPr>
                <w:sz w:val="18"/>
              </w:rPr>
            </w:pPr>
            <w:r>
              <w:rPr>
                <w:spacing w:val="-5"/>
                <w:sz w:val="18"/>
              </w:rPr>
              <w:t>300</w:t>
            </w:r>
          </w:p>
        </w:tc>
        <w:tc>
          <w:tcPr>
            <w:tcW w:w="1987" w:type="dxa"/>
          </w:tcPr>
          <w:p>
            <w:pPr>
              <w:pStyle w:val="TableParagraph"/>
              <w:spacing w:before="41"/>
              <w:rPr>
                <w:b/>
                <w:sz w:val="18"/>
              </w:rPr>
            </w:pPr>
          </w:p>
          <w:p>
            <w:pPr>
              <w:pStyle w:val="TableParagraph"/>
              <w:ind w:left="72"/>
              <w:rPr>
                <w:sz w:val="18"/>
              </w:rPr>
            </w:pPr>
            <w:r>
              <w:rPr>
                <w:sz w:val="18"/>
              </w:rPr>
              <w:t>Cantidad</w:t>
            </w:r>
            <w:r>
              <w:rPr>
                <w:spacing w:val="-15"/>
                <w:sz w:val="18"/>
              </w:rPr>
              <w:t> </w:t>
            </w:r>
            <w:r>
              <w:rPr>
                <w:sz w:val="18"/>
              </w:rPr>
              <w:t>de</w:t>
            </w:r>
            <w:r>
              <w:rPr>
                <w:spacing w:val="-12"/>
                <w:sz w:val="18"/>
              </w:rPr>
              <w:t> </w:t>
            </w:r>
            <w:r>
              <w:rPr>
                <w:sz w:val="18"/>
              </w:rPr>
              <w:t>personas </w:t>
            </w:r>
            <w:r>
              <w:rPr>
                <w:spacing w:val="-2"/>
                <w:sz w:val="18"/>
              </w:rPr>
              <w:t>funcionarias sensibilizadas</w:t>
            </w:r>
          </w:p>
        </w:tc>
        <w:tc>
          <w:tcPr>
            <w:tcW w:w="1843" w:type="dxa"/>
          </w:tcPr>
          <w:p>
            <w:pPr>
              <w:pStyle w:val="TableParagraph"/>
              <w:spacing w:before="147"/>
              <w:rPr>
                <w:b/>
                <w:sz w:val="18"/>
              </w:rPr>
            </w:pPr>
          </w:p>
          <w:p>
            <w:pPr>
              <w:pStyle w:val="TableParagraph"/>
              <w:ind w:left="68" w:right="49"/>
              <w:rPr>
                <w:sz w:val="18"/>
              </w:rPr>
            </w:pPr>
            <w:r>
              <w:rPr>
                <w:sz w:val="18"/>
              </w:rPr>
              <w:t>Listas</w:t>
            </w:r>
            <w:r>
              <w:rPr>
                <w:spacing w:val="-15"/>
                <w:sz w:val="18"/>
              </w:rPr>
              <w:t> </w:t>
            </w:r>
            <w:r>
              <w:rPr>
                <w:sz w:val="18"/>
              </w:rPr>
              <w:t>de</w:t>
            </w:r>
            <w:r>
              <w:rPr>
                <w:spacing w:val="-12"/>
                <w:sz w:val="18"/>
              </w:rPr>
              <w:t> </w:t>
            </w:r>
            <w:r>
              <w:rPr>
                <w:sz w:val="18"/>
              </w:rPr>
              <w:t>asistencia, fotos, oficios.</w:t>
            </w:r>
          </w:p>
        </w:tc>
        <w:tc>
          <w:tcPr>
            <w:tcW w:w="1272" w:type="dxa"/>
          </w:tcPr>
          <w:p>
            <w:pPr>
              <w:pStyle w:val="TableParagraph"/>
              <w:rPr>
                <w:b/>
                <w:sz w:val="18"/>
              </w:rPr>
            </w:pPr>
          </w:p>
          <w:p>
            <w:pPr>
              <w:pStyle w:val="TableParagraph"/>
              <w:spacing w:before="41"/>
              <w:rPr>
                <w:b/>
                <w:sz w:val="18"/>
              </w:rPr>
            </w:pPr>
          </w:p>
          <w:p>
            <w:pPr>
              <w:pStyle w:val="TableParagraph"/>
              <w:ind w:left="73"/>
              <w:rPr>
                <w:sz w:val="18"/>
              </w:rPr>
            </w:pPr>
            <w:r>
              <w:rPr>
                <w:spacing w:val="-4"/>
                <w:sz w:val="18"/>
              </w:rPr>
              <w:t>UEIG</w:t>
            </w:r>
          </w:p>
        </w:tc>
        <w:tc>
          <w:tcPr>
            <w:tcW w:w="1560" w:type="dxa"/>
          </w:tcPr>
          <w:p>
            <w:pPr>
              <w:pStyle w:val="TableParagraph"/>
              <w:rPr>
                <w:rFonts w:ascii="Times New Roman"/>
                <w:sz w:val="18"/>
              </w:rPr>
            </w:pPr>
          </w:p>
        </w:tc>
        <w:tc>
          <w:tcPr>
            <w:tcW w:w="2347" w:type="dxa"/>
            <w:vMerge/>
            <w:tcBorders>
              <w:top w:val="nil"/>
            </w:tcBorders>
          </w:tcPr>
          <w:p>
            <w:pPr>
              <w:rPr>
                <w:sz w:val="2"/>
                <w:szCs w:val="2"/>
              </w:rPr>
            </w:pPr>
          </w:p>
        </w:tc>
      </w:tr>
      <w:tr>
        <w:trPr>
          <w:trHeight w:val="1603" w:hRule="atLeast"/>
        </w:trPr>
        <w:tc>
          <w:tcPr>
            <w:tcW w:w="2972" w:type="dxa"/>
          </w:tcPr>
          <w:p>
            <w:pPr>
              <w:pStyle w:val="TableParagraph"/>
              <w:spacing w:before="75"/>
              <w:ind w:left="72" w:right="38"/>
              <w:rPr>
                <w:sz w:val="18"/>
              </w:rPr>
            </w:pPr>
            <w:r>
              <w:rPr>
                <w:b/>
                <w:sz w:val="18"/>
              </w:rPr>
              <w:t>Actividad PAC 2.59.3:</w:t>
            </w:r>
            <w:r>
              <w:rPr>
                <w:b/>
                <w:spacing w:val="40"/>
                <w:sz w:val="18"/>
              </w:rPr>
              <w:t> </w:t>
            </w:r>
            <w:r>
              <w:rPr>
                <w:sz w:val="18"/>
              </w:rPr>
              <w:t>Acciones de asesoría brindadas a las instancias institucionales involucradas en la implementación de</w:t>
            </w:r>
            <w:r>
              <w:rPr>
                <w:spacing w:val="-4"/>
                <w:sz w:val="18"/>
              </w:rPr>
              <w:t> </w:t>
            </w:r>
            <w:r>
              <w:rPr>
                <w:sz w:val="18"/>
              </w:rPr>
              <w:t>los</w:t>
            </w:r>
            <w:r>
              <w:rPr>
                <w:spacing w:val="-8"/>
                <w:sz w:val="18"/>
              </w:rPr>
              <w:t> </w:t>
            </w:r>
            <w:r>
              <w:rPr>
                <w:sz w:val="18"/>
              </w:rPr>
              <w:t>instrumentos</w:t>
            </w:r>
            <w:r>
              <w:rPr>
                <w:spacing w:val="-8"/>
                <w:sz w:val="18"/>
              </w:rPr>
              <w:t> </w:t>
            </w:r>
            <w:r>
              <w:rPr>
                <w:sz w:val="18"/>
              </w:rPr>
              <w:t>de</w:t>
            </w:r>
            <w:r>
              <w:rPr>
                <w:spacing w:val="-8"/>
                <w:sz w:val="18"/>
              </w:rPr>
              <w:t> </w:t>
            </w:r>
            <w:r>
              <w:rPr>
                <w:sz w:val="18"/>
              </w:rPr>
              <w:t>protección</w:t>
            </w:r>
            <w:r>
              <w:rPr>
                <w:spacing w:val="-8"/>
                <w:sz w:val="18"/>
              </w:rPr>
              <w:t> </w:t>
            </w:r>
            <w:r>
              <w:rPr>
                <w:sz w:val="18"/>
              </w:rPr>
              <w:t>y promoción de los derechos humanos de las mujeres.</w:t>
            </w:r>
          </w:p>
        </w:tc>
        <w:tc>
          <w:tcPr>
            <w:tcW w:w="1133" w:type="dxa"/>
          </w:tcPr>
          <w:p>
            <w:pPr>
              <w:pStyle w:val="TableParagraph"/>
              <w:rPr>
                <w:b/>
                <w:sz w:val="18"/>
              </w:rPr>
            </w:pPr>
          </w:p>
          <w:p>
            <w:pPr>
              <w:pStyle w:val="TableParagraph"/>
              <w:rPr>
                <w:b/>
                <w:sz w:val="18"/>
              </w:rPr>
            </w:pPr>
          </w:p>
          <w:p>
            <w:pPr>
              <w:pStyle w:val="TableParagraph"/>
              <w:spacing w:before="79"/>
              <w:rPr>
                <w:b/>
                <w:sz w:val="18"/>
              </w:rPr>
            </w:pPr>
          </w:p>
          <w:p>
            <w:pPr>
              <w:pStyle w:val="TableParagraph"/>
              <w:ind w:left="10"/>
              <w:jc w:val="center"/>
              <w:rPr>
                <w:sz w:val="18"/>
              </w:rPr>
            </w:pPr>
            <w:r>
              <w:rPr>
                <w:spacing w:val="-5"/>
                <w:sz w:val="18"/>
              </w:rPr>
              <w:t>12</w:t>
            </w:r>
          </w:p>
        </w:tc>
        <w:tc>
          <w:tcPr>
            <w:tcW w:w="1277" w:type="dxa"/>
          </w:tcPr>
          <w:p>
            <w:pPr>
              <w:pStyle w:val="TableParagraph"/>
              <w:rPr>
                <w:b/>
                <w:sz w:val="18"/>
              </w:rPr>
            </w:pPr>
          </w:p>
          <w:p>
            <w:pPr>
              <w:pStyle w:val="TableParagraph"/>
              <w:rPr>
                <w:b/>
                <w:sz w:val="18"/>
              </w:rPr>
            </w:pPr>
          </w:p>
          <w:p>
            <w:pPr>
              <w:pStyle w:val="TableParagraph"/>
              <w:spacing w:before="79"/>
              <w:rPr>
                <w:b/>
                <w:sz w:val="18"/>
              </w:rPr>
            </w:pPr>
          </w:p>
          <w:p>
            <w:pPr>
              <w:pStyle w:val="TableParagraph"/>
              <w:ind w:left="18" w:right="8"/>
              <w:jc w:val="center"/>
              <w:rPr>
                <w:sz w:val="18"/>
              </w:rPr>
            </w:pPr>
            <w:r>
              <w:rPr>
                <w:spacing w:val="-5"/>
                <w:sz w:val="18"/>
              </w:rPr>
              <w:t>15</w:t>
            </w:r>
          </w:p>
        </w:tc>
        <w:tc>
          <w:tcPr>
            <w:tcW w:w="1987" w:type="dxa"/>
          </w:tcPr>
          <w:p>
            <w:pPr>
              <w:pStyle w:val="TableParagraph"/>
              <w:spacing w:before="180"/>
              <w:rPr>
                <w:b/>
                <w:sz w:val="18"/>
              </w:rPr>
            </w:pPr>
          </w:p>
          <w:p>
            <w:pPr>
              <w:pStyle w:val="TableParagraph"/>
              <w:ind w:left="72" w:right="76"/>
              <w:rPr>
                <w:sz w:val="18"/>
              </w:rPr>
            </w:pPr>
            <w:r>
              <w:rPr>
                <w:sz w:val="18"/>
              </w:rPr>
              <w:t>Cantidad de acciones de</w:t>
            </w:r>
            <w:r>
              <w:rPr>
                <w:spacing w:val="-15"/>
                <w:sz w:val="18"/>
              </w:rPr>
              <w:t> </w:t>
            </w:r>
            <w:r>
              <w:rPr>
                <w:sz w:val="18"/>
              </w:rPr>
              <w:t>asesoría</w:t>
            </w:r>
            <w:r>
              <w:rPr>
                <w:spacing w:val="-12"/>
                <w:sz w:val="18"/>
              </w:rPr>
              <w:t> </w:t>
            </w:r>
            <w:r>
              <w:rPr>
                <w:sz w:val="18"/>
              </w:rPr>
              <w:t>brindadas a las instancias </w:t>
            </w:r>
            <w:r>
              <w:rPr>
                <w:spacing w:val="-2"/>
                <w:sz w:val="18"/>
              </w:rPr>
              <w:t>correspondientes.</w:t>
            </w:r>
          </w:p>
        </w:tc>
        <w:tc>
          <w:tcPr>
            <w:tcW w:w="1843" w:type="dxa"/>
          </w:tcPr>
          <w:p>
            <w:pPr>
              <w:pStyle w:val="TableParagraph"/>
              <w:rPr>
                <w:b/>
                <w:sz w:val="18"/>
              </w:rPr>
            </w:pPr>
          </w:p>
          <w:p>
            <w:pPr>
              <w:pStyle w:val="TableParagraph"/>
              <w:spacing w:before="79"/>
              <w:rPr>
                <w:b/>
                <w:sz w:val="18"/>
              </w:rPr>
            </w:pPr>
          </w:p>
          <w:p>
            <w:pPr>
              <w:pStyle w:val="TableParagraph"/>
              <w:ind w:left="68" w:right="49"/>
              <w:rPr>
                <w:sz w:val="18"/>
              </w:rPr>
            </w:pPr>
            <w:r>
              <w:rPr>
                <w:sz w:val="18"/>
              </w:rPr>
              <w:t>Listas</w:t>
            </w:r>
            <w:r>
              <w:rPr>
                <w:spacing w:val="-15"/>
                <w:sz w:val="18"/>
              </w:rPr>
              <w:t> </w:t>
            </w:r>
            <w:r>
              <w:rPr>
                <w:sz w:val="18"/>
              </w:rPr>
              <w:t>de</w:t>
            </w:r>
            <w:r>
              <w:rPr>
                <w:spacing w:val="-12"/>
                <w:sz w:val="18"/>
              </w:rPr>
              <w:t> </w:t>
            </w:r>
            <w:r>
              <w:rPr>
                <w:sz w:val="18"/>
              </w:rPr>
              <w:t>asistencia, minutas, oficios, correos</w:t>
            </w:r>
            <w:r>
              <w:rPr>
                <w:spacing w:val="-13"/>
                <w:sz w:val="18"/>
              </w:rPr>
              <w:t> </w:t>
            </w:r>
            <w:r>
              <w:rPr>
                <w:sz w:val="18"/>
              </w:rPr>
              <w:t>electrónicos</w:t>
            </w:r>
          </w:p>
        </w:tc>
        <w:tc>
          <w:tcPr>
            <w:tcW w:w="1272" w:type="dxa"/>
          </w:tcPr>
          <w:p>
            <w:pPr>
              <w:pStyle w:val="TableParagraph"/>
              <w:rPr>
                <w:b/>
                <w:sz w:val="18"/>
              </w:rPr>
            </w:pPr>
          </w:p>
          <w:p>
            <w:pPr>
              <w:pStyle w:val="TableParagraph"/>
              <w:rPr>
                <w:b/>
                <w:sz w:val="18"/>
              </w:rPr>
            </w:pPr>
          </w:p>
          <w:p>
            <w:pPr>
              <w:pStyle w:val="TableParagraph"/>
              <w:spacing w:before="79"/>
              <w:rPr>
                <w:b/>
                <w:sz w:val="18"/>
              </w:rPr>
            </w:pPr>
          </w:p>
          <w:p>
            <w:pPr>
              <w:pStyle w:val="TableParagraph"/>
              <w:ind w:left="73"/>
              <w:rPr>
                <w:sz w:val="18"/>
              </w:rPr>
            </w:pPr>
            <w:r>
              <w:rPr>
                <w:spacing w:val="-4"/>
                <w:sz w:val="18"/>
              </w:rPr>
              <w:t>UEIG</w:t>
            </w:r>
          </w:p>
        </w:tc>
        <w:tc>
          <w:tcPr>
            <w:tcW w:w="1560" w:type="dxa"/>
          </w:tcPr>
          <w:p>
            <w:pPr>
              <w:pStyle w:val="TableParagraph"/>
              <w:rPr>
                <w:rFonts w:ascii="Times New Roman"/>
                <w:sz w:val="18"/>
              </w:rPr>
            </w:pPr>
          </w:p>
        </w:tc>
        <w:tc>
          <w:tcPr>
            <w:tcW w:w="2347" w:type="dxa"/>
            <w:vMerge/>
            <w:tcBorders>
              <w:top w:val="nil"/>
            </w:tcBorders>
          </w:tcPr>
          <w:p>
            <w:pPr>
              <w:rPr>
                <w:sz w:val="2"/>
                <w:szCs w:val="2"/>
              </w:rPr>
            </w:pPr>
          </w:p>
        </w:tc>
      </w:tr>
      <w:tr>
        <w:trPr>
          <w:trHeight w:val="2103" w:hRule="atLeast"/>
        </w:trPr>
        <w:tc>
          <w:tcPr>
            <w:tcW w:w="2972" w:type="dxa"/>
          </w:tcPr>
          <w:p>
            <w:pPr>
              <w:pStyle w:val="TableParagraph"/>
              <w:spacing w:before="18"/>
              <w:ind w:left="72" w:right="68"/>
              <w:rPr>
                <w:sz w:val="18"/>
              </w:rPr>
            </w:pPr>
            <w:r>
              <w:rPr>
                <w:b/>
                <w:sz w:val="18"/>
              </w:rPr>
              <w:t>Actividad PAC 2.59.4:</w:t>
            </w:r>
            <w:r>
              <w:rPr>
                <w:b/>
                <w:spacing w:val="40"/>
                <w:sz w:val="18"/>
              </w:rPr>
              <w:t> </w:t>
            </w:r>
            <w:r>
              <w:rPr>
                <w:sz w:val="18"/>
              </w:rPr>
              <w:t>Elaboración de informes de ejecución acerca de la normativa internacional</w:t>
            </w:r>
            <w:r>
              <w:rPr>
                <w:spacing w:val="-1"/>
                <w:sz w:val="18"/>
              </w:rPr>
              <w:t> </w:t>
            </w:r>
            <w:r>
              <w:rPr>
                <w:sz w:val="18"/>
              </w:rPr>
              <w:t>y</w:t>
            </w:r>
            <w:r>
              <w:rPr>
                <w:spacing w:val="-4"/>
                <w:sz w:val="18"/>
              </w:rPr>
              <w:t> </w:t>
            </w:r>
            <w:r>
              <w:rPr>
                <w:sz w:val="18"/>
              </w:rPr>
              <w:t>nacional, a</w:t>
            </w:r>
            <w:r>
              <w:rPr>
                <w:spacing w:val="-4"/>
                <w:sz w:val="18"/>
              </w:rPr>
              <w:t> </w:t>
            </w:r>
            <w:r>
              <w:rPr>
                <w:sz w:val="18"/>
              </w:rPr>
              <w:t>partir de la sistematización de los informes presentados por las Unidades y Áreas con responsabilidades en la ejecución de la normativa internacional</w:t>
            </w:r>
            <w:r>
              <w:rPr>
                <w:spacing w:val="-6"/>
                <w:sz w:val="18"/>
              </w:rPr>
              <w:t> </w:t>
            </w:r>
            <w:r>
              <w:rPr>
                <w:sz w:val="18"/>
              </w:rPr>
              <w:t>y</w:t>
            </w:r>
            <w:r>
              <w:rPr>
                <w:spacing w:val="-9"/>
                <w:sz w:val="18"/>
              </w:rPr>
              <w:t> </w:t>
            </w:r>
            <w:r>
              <w:rPr>
                <w:sz w:val="18"/>
              </w:rPr>
              <w:t>nacional</w:t>
            </w:r>
            <w:r>
              <w:rPr>
                <w:spacing w:val="-10"/>
                <w:sz w:val="18"/>
              </w:rPr>
              <w:t> </w:t>
            </w:r>
            <w:r>
              <w:rPr>
                <w:sz w:val="18"/>
              </w:rPr>
              <w:t>de</w:t>
            </w:r>
            <w:r>
              <w:rPr>
                <w:spacing w:val="-9"/>
                <w:sz w:val="18"/>
              </w:rPr>
              <w:t> </w:t>
            </w:r>
            <w:r>
              <w:rPr>
                <w:sz w:val="18"/>
              </w:rPr>
              <w:t>equidad</w:t>
            </w:r>
          </w:p>
          <w:p>
            <w:pPr>
              <w:pStyle w:val="TableParagraph"/>
              <w:spacing w:line="201" w:lineRule="exact"/>
              <w:ind w:left="72"/>
              <w:rPr>
                <w:sz w:val="18"/>
              </w:rPr>
            </w:pPr>
            <w:r>
              <w:rPr>
                <w:sz w:val="18"/>
              </w:rPr>
              <w:t>e igualdad</w:t>
            </w:r>
            <w:r>
              <w:rPr>
                <w:spacing w:val="-4"/>
                <w:sz w:val="18"/>
              </w:rPr>
              <w:t> </w:t>
            </w:r>
            <w:r>
              <w:rPr>
                <w:sz w:val="18"/>
              </w:rPr>
              <w:t>de</w:t>
            </w:r>
            <w:r>
              <w:rPr>
                <w:spacing w:val="-4"/>
                <w:sz w:val="18"/>
              </w:rPr>
              <w:t> </w:t>
            </w:r>
            <w:r>
              <w:rPr>
                <w:spacing w:val="-2"/>
                <w:sz w:val="18"/>
              </w:rPr>
              <w:t>género.</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spacing w:before="122"/>
              <w:rPr>
                <w:b/>
                <w:sz w:val="18"/>
              </w:rPr>
            </w:pPr>
          </w:p>
          <w:p>
            <w:pPr>
              <w:pStyle w:val="TableParagraph"/>
              <w:ind w:left="16"/>
              <w:jc w:val="center"/>
              <w:rPr>
                <w:sz w:val="18"/>
              </w:rPr>
            </w:pPr>
            <w:r>
              <w:rPr>
                <w:spacing w:val="-10"/>
                <w:sz w:val="18"/>
              </w:rPr>
              <w:t>4</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22"/>
              <w:rPr>
                <w:b/>
                <w:sz w:val="18"/>
              </w:rPr>
            </w:pPr>
          </w:p>
          <w:p>
            <w:pPr>
              <w:pStyle w:val="TableParagraph"/>
              <w:ind w:left="16" w:right="10"/>
              <w:jc w:val="center"/>
              <w:rPr>
                <w:sz w:val="18"/>
              </w:rPr>
            </w:pPr>
            <w:r>
              <w:rPr>
                <w:spacing w:val="-10"/>
                <w:sz w:val="18"/>
              </w:rPr>
              <w:t>3</w:t>
            </w:r>
          </w:p>
        </w:tc>
        <w:tc>
          <w:tcPr>
            <w:tcW w:w="1987" w:type="dxa"/>
          </w:tcPr>
          <w:p>
            <w:pPr>
              <w:pStyle w:val="TableParagraph"/>
              <w:rPr>
                <w:b/>
                <w:sz w:val="18"/>
              </w:rPr>
            </w:pPr>
          </w:p>
          <w:p>
            <w:pPr>
              <w:pStyle w:val="TableParagraph"/>
              <w:rPr>
                <w:b/>
                <w:sz w:val="18"/>
              </w:rPr>
            </w:pPr>
          </w:p>
          <w:p>
            <w:pPr>
              <w:pStyle w:val="TableParagraph"/>
              <w:spacing w:before="122"/>
              <w:rPr>
                <w:b/>
                <w:sz w:val="18"/>
              </w:rPr>
            </w:pPr>
          </w:p>
          <w:p>
            <w:pPr>
              <w:pStyle w:val="TableParagraph"/>
              <w:ind w:left="72" w:right="123"/>
              <w:rPr>
                <w:sz w:val="18"/>
              </w:rPr>
            </w:pPr>
            <w:r>
              <w:rPr>
                <w:sz w:val="18"/>
              </w:rPr>
              <w:t>Cantidad</w:t>
            </w:r>
            <w:r>
              <w:rPr>
                <w:spacing w:val="-15"/>
                <w:sz w:val="18"/>
              </w:rPr>
              <w:t> </w:t>
            </w:r>
            <w:r>
              <w:rPr>
                <w:sz w:val="18"/>
              </w:rPr>
              <w:t>de</w:t>
            </w:r>
            <w:r>
              <w:rPr>
                <w:spacing w:val="-12"/>
                <w:sz w:val="18"/>
              </w:rPr>
              <w:t> </w:t>
            </w:r>
            <w:r>
              <w:rPr>
                <w:sz w:val="18"/>
              </w:rPr>
              <w:t>informes de sistematización </w:t>
            </w:r>
            <w:r>
              <w:rPr>
                <w:spacing w:val="-2"/>
                <w:sz w:val="18"/>
              </w:rPr>
              <w:t>realizados</w:t>
            </w:r>
          </w:p>
        </w:tc>
        <w:tc>
          <w:tcPr>
            <w:tcW w:w="1843" w:type="dxa"/>
          </w:tcPr>
          <w:p>
            <w:pPr>
              <w:pStyle w:val="TableParagraph"/>
              <w:rPr>
                <w:b/>
                <w:sz w:val="18"/>
              </w:rPr>
            </w:pPr>
          </w:p>
          <w:p>
            <w:pPr>
              <w:pStyle w:val="TableParagraph"/>
              <w:rPr>
                <w:b/>
                <w:sz w:val="18"/>
              </w:rPr>
            </w:pPr>
          </w:p>
          <w:p>
            <w:pPr>
              <w:pStyle w:val="TableParagraph"/>
              <w:rPr>
                <w:b/>
                <w:sz w:val="18"/>
              </w:rPr>
            </w:pPr>
          </w:p>
          <w:p>
            <w:pPr>
              <w:pStyle w:val="TableParagraph"/>
              <w:spacing w:before="16"/>
              <w:rPr>
                <w:b/>
                <w:sz w:val="18"/>
              </w:rPr>
            </w:pPr>
          </w:p>
          <w:p>
            <w:pPr>
              <w:pStyle w:val="TableParagraph"/>
              <w:ind w:left="68" w:right="157"/>
              <w:rPr>
                <w:sz w:val="18"/>
              </w:rPr>
            </w:pPr>
            <w:r>
              <w:rPr>
                <w:spacing w:val="-2"/>
                <w:sz w:val="18"/>
              </w:rPr>
              <w:t>Informes </w:t>
            </w:r>
            <w:r>
              <w:rPr>
                <w:sz w:val="18"/>
              </w:rPr>
              <w:t>presentados,</w:t>
            </w:r>
            <w:r>
              <w:rPr>
                <w:spacing w:val="-13"/>
                <w:sz w:val="18"/>
              </w:rPr>
              <w:t> </w:t>
            </w:r>
            <w:r>
              <w:rPr>
                <w:sz w:val="18"/>
              </w:rPr>
              <w:t>oficios</w:t>
            </w:r>
          </w:p>
        </w:tc>
        <w:tc>
          <w:tcPr>
            <w:tcW w:w="1272" w:type="dxa"/>
          </w:tcPr>
          <w:p>
            <w:pPr>
              <w:pStyle w:val="TableParagraph"/>
              <w:rPr>
                <w:b/>
                <w:sz w:val="18"/>
              </w:rPr>
            </w:pPr>
          </w:p>
          <w:p>
            <w:pPr>
              <w:pStyle w:val="TableParagraph"/>
              <w:rPr>
                <w:b/>
                <w:sz w:val="18"/>
              </w:rPr>
            </w:pPr>
          </w:p>
          <w:p>
            <w:pPr>
              <w:pStyle w:val="TableParagraph"/>
              <w:rPr>
                <w:b/>
                <w:sz w:val="18"/>
              </w:rPr>
            </w:pPr>
          </w:p>
          <w:p>
            <w:pPr>
              <w:pStyle w:val="TableParagraph"/>
              <w:spacing w:before="122"/>
              <w:rPr>
                <w:b/>
                <w:sz w:val="18"/>
              </w:rPr>
            </w:pPr>
          </w:p>
          <w:p>
            <w:pPr>
              <w:pStyle w:val="TableParagraph"/>
              <w:ind w:left="73"/>
              <w:rPr>
                <w:sz w:val="18"/>
              </w:rPr>
            </w:pPr>
            <w:r>
              <w:rPr>
                <w:spacing w:val="-4"/>
                <w:sz w:val="18"/>
              </w:rPr>
              <w:t>UEIG</w:t>
            </w:r>
          </w:p>
        </w:tc>
        <w:tc>
          <w:tcPr>
            <w:tcW w:w="1560" w:type="dxa"/>
          </w:tcPr>
          <w:p>
            <w:pPr>
              <w:pStyle w:val="TableParagraph"/>
              <w:rPr>
                <w:rFonts w:ascii="Times New Roman"/>
                <w:sz w:val="18"/>
              </w:rPr>
            </w:pPr>
          </w:p>
        </w:tc>
        <w:tc>
          <w:tcPr>
            <w:tcW w:w="2347" w:type="dxa"/>
            <w:vMerge/>
            <w:tcBorders>
              <w:top w:val="nil"/>
            </w:tcBorders>
          </w:tcPr>
          <w:p>
            <w:pPr>
              <w:rPr>
                <w:sz w:val="2"/>
                <w:szCs w:val="2"/>
              </w:rPr>
            </w:pPr>
          </w:p>
        </w:tc>
      </w:tr>
    </w:tbl>
    <w:p>
      <w:pPr>
        <w:spacing w:after="0"/>
        <w:rPr>
          <w:sz w:val="2"/>
          <w:szCs w:val="2"/>
        </w:rPr>
        <w:sectPr>
          <w:pgSz w:w="15840" w:h="12240" w:orient="landscape"/>
          <w:pgMar w:header="0" w:footer="1806" w:top="126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2"/>
        <w:gridCol w:w="1133"/>
        <w:gridCol w:w="1277"/>
        <w:gridCol w:w="1987"/>
        <w:gridCol w:w="1843"/>
        <w:gridCol w:w="1272"/>
        <w:gridCol w:w="1560"/>
        <w:gridCol w:w="2347"/>
      </w:tblGrid>
      <w:tr>
        <w:trPr>
          <w:trHeight w:val="902" w:hRule="atLeast"/>
        </w:trPr>
        <w:tc>
          <w:tcPr>
            <w:tcW w:w="2972" w:type="dxa"/>
            <w:shd w:val="clear" w:color="auto" w:fill="E7E6E6"/>
          </w:tcPr>
          <w:p>
            <w:pPr>
              <w:pStyle w:val="TableParagraph"/>
              <w:spacing w:before="137"/>
              <w:rPr>
                <w:b/>
                <w:sz w:val="18"/>
              </w:rPr>
            </w:pPr>
          </w:p>
          <w:p>
            <w:pPr>
              <w:pStyle w:val="TableParagraph"/>
              <w:ind w:left="518"/>
              <w:rPr>
                <w:b/>
                <w:sz w:val="18"/>
              </w:rPr>
            </w:pPr>
            <w:r>
              <w:rPr>
                <w:b/>
                <w:sz w:val="18"/>
              </w:rPr>
              <w:t>Objetivos</w:t>
            </w:r>
            <w:r>
              <w:rPr>
                <w:b/>
                <w:spacing w:val="-5"/>
                <w:sz w:val="18"/>
              </w:rPr>
              <w:t> </w:t>
            </w:r>
            <w:r>
              <w:rPr>
                <w:b/>
                <w:sz w:val="18"/>
              </w:rPr>
              <w:t>/</w:t>
            </w:r>
            <w:r>
              <w:rPr>
                <w:b/>
                <w:spacing w:val="-2"/>
                <w:sz w:val="18"/>
              </w:rPr>
              <w:t> Resultados</w:t>
            </w:r>
          </w:p>
        </w:tc>
        <w:tc>
          <w:tcPr>
            <w:tcW w:w="1133" w:type="dxa"/>
            <w:shd w:val="clear" w:color="auto" w:fill="E7E6E6"/>
          </w:tcPr>
          <w:p>
            <w:pPr>
              <w:pStyle w:val="TableParagraph"/>
              <w:spacing w:before="36"/>
              <w:rPr>
                <w:b/>
                <w:sz w:val="18"/>
              </w:rPr>
            </w:pPr>
          </w:p>
          <w:p>
            <w:pPr>
              <w:pStyle w:val="TableParagraph"/>
              <w:ind w:left="307" w:hanging="216"/>
              <w:rPr>
                <w:b/>
                <w:sz w:val="18"/>
              </w:rPr>
            </w:pPr>
            <w:r>
              <w:rPr>
                <w:b/>
                <w:sz w:val="18"/>
              </w:rPr>
              <w:t>Línea</w:t>
            </w:r>
            <w:r>
              <w:rPr>
                <w:b/>
                <w:spacing w:val="-13"/>
                <w:sz w:val="18"/>
              </w:rPr>
              <w:t> </w:t>
            </w:r>
            <w:r>
              <w:rPr>
                <w:b/>
                <w:sz w:val="18"/>
              </w:rPr>
              <w:t>Base </w:t>
            </w:r>
            <w:r>
              <w:rPr>
                <w:b/>
                <w:spacing w:val="-2"/>
                <w:sz w:val="18"/>
              </w:rPr>
              <w:t>(2024)</w:t>
            </w:r>
          </w:p>
        </w:tc>
        <w:tc>
          <w:tcPr>
            <w:tcW w:w="1277" w:type="dxa"/>
            <w:shd w:val="clear" w:color="auto" w:fill="E7E6E6"/>
          </w:tcPr>
          <w:p>
            <w:pPr>
              <w:pStyle w:val="TableParagraph"/>
              <w:spacing w:before="138"/>
              <w:ind w:left="20" w:right="8"/>
              <w:jc w:val="center"/>
              <w:rPr>
                <w:b/>
                <w:sz w:val="18"/>
              </w:rPr>
            </w:pPr>
            <w:r>
              <w:rPr>
                <w:b/>
                <w:spacing w:val="-4"/>
                <w:sz w:val="18"/>
              </w:rPr>
              <w:t>Meta </w:t>
            </w:r>
            <w:r>
              <w:rPr>
                <w:b/>
                <w:spacing w:val="-2"/>
                <w:sz w:val="18"/>
              </w:rPr>
              <w:t>programada </w:t>
            </w:r>
            <w:r>
              <w:rPr>
                <w:b/>
                <w:spacing w:val="-4"/>
                <w:sz w:val="18"/>
              </w:rPr>
              <w:t>2026</w:t>
            </w:r>
          </w:p>
        </w:tc>
        <w:tc>
          <w:tcPr>
            <w:tcW w:w="1987" w:type="dxa"/>
            <w:shd w:val="clear" w:color="auto" w:fill="E7E6E6"/>
          </w:tcPr>
          <w:p>
            <w:pPr>
              <w:pStyle w:val="TableParagraph"/>
              <w:spacing w:before="137"/>
              <w:rPr>
                <w:b/>
                <w:sz w:val="18"/>
              </w:rPr>
            </w:pPr>
          </w:p>
          <w:p>
            <w:pPr>
              <w:pStyle w:val="TableParagraph"/>
              <w:ind w:left="590"/>
              <w:rPr>
                <w:b/>
                <w:sz w:val="18"/>
              </w:rPr>
            </w:pPr>
            <w:r>
              <w:rPr>
                <w:b/>
                <w:spacing w:val="-2"/>
                <w:sz w:val="18"/>
              </w:rPr>
              <w:t>Indicador</w:t>
            </w:r>
          </w:p>
        </w:tc>
        <w:tc>
          <w:tcPr>
            <w:tcW w:w="1843" w:type="dxa"/>
            <w:shd w:val="clear" w:color="auto" w:fill="E7E6E6"/>
          </w:tcPr>
          <w:p>
            <w:pPr>
              <w:pStyle w:val="TableParagraph"/>
              <w:spacing w:before="36"/>
              <w:rPr>
                <w:b/>
                <w:sz w:val="18"/>
              </w:rPr>
            </w:pPr>
          </w:p>
          <w:p>
            <w:pPr>
              <w:pStyle w:val="TableParagraph"/>
              <w:ind w:left="418" w:right="49" w:firstLine="57"/>
              <w:rPr>
                <w:b/>
                <w:sz w:val="18"/>
              </w:rPr>
            </w:pPr>
            <w:r>
              <w:rPr>
                <w:b/>
                <w:sz w:val="18"/>
              </w:rPr>
              <w:t>Medios de </w:t>
            </w:r>
            <w:r>
              <w:rPr>
                <w:b/>
                <w:spacing w:val="-2"/>
                <w:sz w:val="18"/>
              </w:rPr>
              <w:t>verificación</w:t>
            </w:r>
          </w:p>
        </w:tc>
        <w:tc>
          <w:tcPr>
            <w:tcW w:w="1272" w:type="dxa"/>
            <w:shd w:val="clear" w:color="auto" w:fill="E7E6E6"/>
          </w:tcPr>
          <w:p>
            <w:pPr>
              <w:pStyle w:val="TableParagraph"/>
              <w:spacing w:before="137"/>
              <w:rPr>
                <w:b/>
                <w:sz w:val="18"/>
              </w:rPr>
            </w:pPr>
          </w:p>
          <w:p>
            <w:pPr>
              <w:pStyle w:val="TableParagraph"/>
              <w:ind w:left="20" w:right="1"/>
              <w:jc w:val="center"/>
              <w:rPr>
                <w:b/>
                <w:sz w:val="18"/>
              </w:rPr>
            </w:pPr>
            <w:r>
              <w:rPr>
                <w:b/>
                <w:spacing w:val="-2"/>
                <w:sz w:val="18"/>
              </w:rPr>
              <w:t>Responsable</w:t>
            </w:r>
          </w:p>
        </w:tc>
        <w:tc>
          <w:tcPr>
            <w:tcW w:w="1560" w:type="dxa"/>
            <w:shd w:val="clear" w:color="auto" w:fill="E7E6E6"/>
          </w:tcPr>
          <w:p>
            <w:pPr>
              <w:pStyle w:val="TableParagraph"/>
              <w:spacing w:before="36"/>
              <w:rPr>
                <w:b/>
                <w:sz w:val="18"/>
              </w:rPr>
            </w:pPr>
          </w:p>
          <w:p>
            <w:pPr>
              <w:pStyle w:val="TableParagraph"/>
              <w:ind w:left="386" w:right="58" w:hanging="149"/>
              <w:rPr>
                <w:b/>
                <w:sz w:val="18"/>
              </w:rPr>
            </w:pPr>
            <w:r>
              <w:rPr>
                <w:b/>
                <w:spacing w:val="-2"/>
                <w:sz w:val="18"/>
              </w:rPr>
              <w:t>Presupuesto asignado</w:t>
            </w:r>
          </w:p>
        </w:tc>
        <w:tc>
          <w:tcPr>
            <w:tcW w:w="2347" w:type="dxa"/>
            <w:shd w:val="clear" w:color="auto" w:fill="E7E6E6"/>
          </w:tcPr>
          <w:p>
            <w:pPr>
              <w:pStyle w:val="TableParagraph"/>
              <w:spacing w:before="36"/>
              <w:rPr>
                <w:b/>
                <w:sz w:val="18"/>
              </w:rPr>
            </w:pPr>
          </w:p>
          <w:p>
            <w:pPr>
              <w:pStyle w:val="TableParagraph"/>
              <w:ind w:left="593"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465" w:hRule="atLeast"/>
        </w:trPr>
        <w:tc>
          <w:tcPr>
            <w:tcW w:w="14391" w:type="dxa"/>
            <w:gridSpan w:val="8"/>
            <w:shd w:val="clear" w:color="auto" w:fill="EFF8F9"/>
          </w:tcPr>
          <w:p>
            <w:pPr>
              <w:pStyle w:val="TableParagraph"/>
              <w:spacing w:before="129"/>
              <w:ind w:left="72"/>
              <w:rPr>
                <w:b/>
                <w:sz w:val="18"/>
              </w:rPr>
            </w:pPr>
            <w:r>
              <w:rPr>
                <w:b/>
                <w:sz w:val="18"/>
              </w:rPr>
              <w:t>Producto</w:t>
            </w:r>
            <w:r>
              <w:rPr>
                <w:b/>
                <w:spacing w:val="-8"/>
                <w:sz w:val="18"/>
              </w:rPr>
              <w:t> </w:t>
            </w:r>
            <w:r>
              <w:rPr>
                <w:b/>
                <w:sz w:val="18"/>
              </w:rPr>
              <w:t>PAC</w:t>
            </w:r>
            <w:r>
              <w:rPr>
                <w:b/>
                <w:spacing w:val="-8"/>
                <w:sz w:val="18"/>
              </w:rPr>
              <w:t> </w:t>
            </w:r>
            <w:r>
              <w:rPr>
                <w:b/>
                <w:sz w:val="18"/>
              </w:rPr>
              <w:t>2.60:</w:t>
            </w:r>
            <w:r>
              <w:rPr>
                <w:b/>
                <w:spacing w:val="43"/>
                <w:sz w:val="18"/>
              </w:rPr>
              <w:t> </w:t>
            </w:r>
            <w:r>
              <w:rPr>
                <w:b/>
                <w:sz w:val="18"/>
              </w:rPr>
              <w:t>Política</w:t>
            </w:r>
            <w:r>
              <w:rPr>
                <w:b/>
                <w:spacing w:val="-7"/>
                <w:sz w:val="18"/>
              </w:rPr>
              <w:t> </w:t>
            </w:r>
            <w:r>
              <w:rPr>
                <w:b/>
                <w:sz w:val="18"/>
              </w:rPr>
              <w:t>Igualdad</w:t>
            </w:r>
            <w:r>
              <w:rPr>
                <w:b/>
                <w:spacing w:val="-7"/>
                <w:sz w:val="18"/>
              </w:rPr>
              <w:t> </w:t>
            </w:r>
            <w:r>
              <w:rPr>
                <w:b/>
                <w:sz w:val="18"/>
              </w:rPr>
              <w:t>de</w:t>
            </w:r>
            <w:r>
              <w:rPr>
                <w:b/>
                <w:spacing w:val="-7"/>
                <w:sz w:val="18"/>
              </w:rPr>
              <w:t> </w:t>
            </w:r>
            <w:r>
              <w:rPr>
                <w:b/>
                <w:sz w:val="18"/>
              </w:rPr>
              <w:t>Género</w:t>
            </w:r>
            <w:r>
              <w:rPr>
                <w:b/>
                <w:spacing w:val="-7"/>
                <w:sz w:val="18"/>
              </w:rPr>
              <w:t> </w:t>
            </w:r>
            <w:r>
              <w:rPr>
                <w:b/>
                <w:sz w:val="18"/>
              </w:rPr>
              <w:t>con</w:t>
            </w:r>
            <w:r>
              <w:rPr>
                <w:b/>
                <w:spacing w:val="-8"/>
                <w:sz w:val="18"/>
              </w:rPr>
              <w:t> </w:t>
            </w:r>
            <w:r>
              <w:rPr>
                <w:b/>
                <w:sz w:val="18"/>
              </w:rPr>
              <w:t>Enfoque</w:t>
            </w:r>
            <w:r>
              <w:rPr>
                <w:b/>
                <w:spacing w:val="-6"/>
                <w:sz w:val="18"/>
              </w:rPr>
              <w:t> </w:t>
            </w:r>
            <w:r>
              <w:rPr>
                <w:b/>
                <w:sz w:val="18"/>
              </w:rPr>
              <w:t>Interseccional</w:t>
            </w:r>
            <w:r>
              <w:rPr>
                <w:b/>
                <w:spacing w:val="-5"/>
                <w:sz w:val="18"/>
              </w:rPr>
              <w:t> </w:t>
            </w:r>
            <w:r>
              <w:rPr>
                <w:b/>
                <w:sz w:val="18"/>
              </w:rPr>
              <w:t>del</w:t>
            </w:r>
            <w:r>
              <w:rPr>
                <w:b/>
                <w:spacing w:val="-5"/>
                <w:sz w:val="18"/>
              </w:rPr>
              <w:t> </w:t>
            </w:r>
            <w:r>
              <w:rPr>
                <w:b/>
                <w:sz w:val="18"/>
              </w:rPr>
              <w:t>IMAS,</w:t>
            </w:r>
            <w:r>
              <w:rPr>
                <w:b/>
                <w:spacing w:val="-4"/>
                <w:sz w:val="18"/>
              </w:rPr>
              <w:t> </w:t>
            </w:r>
            <w:r>
              <w:rPr>
                <w:b/>
                <w:sz w:val="18"/>
              </w:rPr>
              <w:t>implementada</w:t>
            </w:r>
            <w:r>
              <w:rPr>
                <w:b/>
                <w:spacing w:val="-7"/>
                <w:sz w:val="18"/>
              </w:rPr>
              <w:t> </w:t>
            </w:r>
            <w:r>
              <w:rPr>
                <w:b/>
                <w:sz w:val="18"/>
              </w:rPr>
              <w:t>eficientemente</w:t>
            </w:r>
            <w:r>
              <w:rPr>
                <w:b/>
                <w:spacing w:val="-3"/>
                <w:sz w:val="18"/>
              </w:rPr>
              <w:t> </w:t>
            </w:r>
            <w:r>
              <w:rPr>
                <w:b/>
                <w:sz w:val="18"/>
              </w:rPr>
              <w:t>con</w:t>
            </w:r>
            <w:r>
              <w:rPr>
                <w:b/>
                <w:spacing w:val="-3"/>
                <w:sz w:val="18"/>
              </w:rPr>
              <w:t> </w:t>
            </w:r>
            <w:r>
              <w:rPr>
                <w:b/>
                <w:sz w:val="18"/>
              </w:rPr>
              <w:t>una</w:t>
            </w:r>
            <w:r>
              <w:rPr>
                <w:b/>
                <w:spacing w:val="-2"/>
                <w:sz w:val="18"/>
              </w:rPr>
              <w:t> </w:t>
            </w:r>
            <w:r>
              <w:rPr>
                <w:b/>
                <w:sz w:val="18"/>
              </w:rPr>
              <w:t>asesoría</w:t>
            </w:r>
            <w:r>
              <w:rPr>
                <w:b/>
                <w:spacing w:val="-7"/>
                <w:sz w:val="18"/>
              </w:rPr>
              <w:t> </w:t>
            </w:r>
            <w:r>
              <w:rPr>
                <w:b/>
                <w:spacing w:val="-2"/>
                <w:sz w:val="18"/>
              </w:rPr>
              <w:t>oportuna.</w:t>
            </w:r>
          </w:p>
        </w:tc>
      </w:tr>
      <w:tr>
        <w:trPr>
          <w:trHeight w:val="1483" w:hRule="atLeast"/>
        </w:trPr>
        <w:tc>
          <w:tcPr>
            <w:tcW w:w="2972" w:type="dxa"/>
          </w:tcPr>
          <w:p>
            <w:pPr>
              <w:pStyle w:val="TableParagraph"/>
              <w:spacing w:before="12"/>
              <w:rPr>
                <w:b/>
                <w:sz w:val="18"/>
              </w:rPr>
            </w:pPr>
          </w:p>
          <w:p>
            <w:pPr>
              <w:pStyle w:val="TableParagraph"/>
              <w:ind w:left="72" w:right="141"/>
              <w:rPr>
                <w:sz w:val="18"/>
              </w:rPr>
            </w:pPr>
            <w:r>
              <w:rPr>
                <w:b/>
                <w:sz w:val="18"/>
              </w:rPr>
              <w:t>Actividad PAC 2.60.1: </w:t>
            </w:r>
            <w:r>
              <w:rPr>
                <w:sz w:val="18"/>
              </w:rPr>
              <w:t>Acciones de asesoría y seguimiento a las instancias</w:t>
            </w:r>
            <w:r>
              <w:rPr>
                <w:spacing w:val="-15"/>
                <w:sz w:val="18"/>
              </w:rPr>
              <w:t> </w:t>
            </w:r>
            <w:r>
              <w:rPr>
                <w:sz w:val="18"/>
              </w:rPr>
              <w:t>correspondientes,</w:t>
            </w:r>
            <w:r>
              <w:rPr>
                <w:spacing w:val="-12"/>
                <w:sz w:val="18"/>
              </w:rPr>
              <w:t> </w:t>
            </w:r>
            <w:r>
              <w:rPr>
                <w:sz w:val="18"/>
              </w:rPr>
              <w:t>para la implementación de la PIGI-</w:t>
            </w:r>
            <w:r>
              <w:rPr>
                <w:spacing w:val="-2"/>
                <w:sz w:val="18"/>
              </w:rPr>
              <w:t>IMAS.</w:t>
            </w:r>
          </w:p>
        </w:tc>
        <w:tc>
          <w:tcPr>
            <w:tcW w:w="1133" w:type="dxa"/>
          </w:tcPr>
          <w:p>
            <w:pPr>
              <w:pStyle w:val="TableParagraph"/>
              <w:rPr>
                <w:b/>
                <w:sz w:val="18"/>
              </w:rPr>
            </w:pPr>
          </w:p>
          <w:p>
            <w:pPr>
              <w:pStyle w:val="TableParagraph"/>
              <w:rPr>
                <w:b/>
                <w:sz w:val="18"/>
              </w:rPr>
            </w:pPr>
          </w:p>
          <w:p>
            <w:pPr>
              <w:pStyle w:val="TableParagraph"/>
              <w:spacing w:before="16"/>
              <w:rPr>
                <w:b/>
                <w:sz w:val="18"/>
              </w:rPr>
            </w:pPr>
          </w:p>
          <w:p>
            <w:pPr>
              <w:pStyle w:val="TableParagraph"/>
              <w:ind w:left="10"/>
              <w:jc w:val="center"/>
              <w:rPr>
                <w:sz w:val="18"/>
              </w:rPr>
            </w:pPr>
            <w:r>
              <w:rPr>
                <w:spacing w:val="-5"/>
                <w:sz w:val="18"/>
              </w:rPr>
              <w:t>16</w:t>
            </w:r>
          </w:p>
        </w:tc>
        <w:tc>
          <w:tcPr>
            <w:tcW w:w="1277" w:type="dxa"/>
          </w:tcPr>
          <w:p>
            <w:pPr>
              <w:pStyle w:val="TableParagraph"/>
              <w:rPr>
                <w:b/>
                <w:sz w:val="18"/>
              </w:rPr>
            </w:pPr>
          </w:p>
          <w:p>
            <w:pPr>
              <w:pStyle w:val="TableParagraph"/>
              <w:rPr>
                <w:b/>
                <w:sz w:val="18"/>
              </w:rPr>
            </w:pPr>
          </w:p>
          <w:p>
            <w:pPr>
              <w:pStyle w:val="TableParagraph"/>
              <w:spacing w:before="16"/>
              <w:rPr>
                <w:b/>
                <w:sz w:val="18"/>
              </w:rPr>
            </w:pPr>
          </w:p>
          <w:p>
            <w:pPr>
              <w:pStyle w:val="TableParagraph"/>
              <w:ind w:left="18" w:right="8"/>
              <w:jc w:val="center"/>
              <w:rPr>
                <w:sz w:val="18"/>
              </w:rPr>
            </w:pPr>
            <w:r>
              <w:rPr>
                <w:spacing w:val="-5"/>
                <w:sz w:val="18"/>
              </w:rPr>
              <w:t>15</w:t>
            </w:r>
          </w:p>
        </w:tc>
        <w:tc>
          <w:tcPr>
            <w:tcW w:w="1987" w:type="dxa"/>
          </w:tcPr>
          <w:p>
            <w:pPr>
              <w:pStyle w:val="TableParagraph"/>
              <w:spacing w:before="118"/>
              <w:rPr>
                <w:b/>
                <w:sz w:val="18"/>
              </w:rPr>
            </w:pPr>
          </w:p>
          <w:p>
            <w:pPr>
              <w:pStyle w:val="TableParagraph"/>
              <w:ind w:left="72" w:right="116" w:firstLine="52"/>
              <w:rPr>
                <w:sz w:val="18"/>
              </w:rPr>
            </w:pPr>
            <w:r>
              <w:rPr>
                <w:sz w:val="18"/>
              </w:rPr>
              <w:t>Cantidad</w:t>
            </w:r>
            <w:r>
              <w:rPr>
                <w:spacing w:val="-15"/>
                <w:sz w:val="18"/>
              </w:rPr>
              <w:t> </w:t>
            </w:r>
            <w:r>
              <w:rPr>
                <w:sz w:val="18"/>
              </w:rPr>
              <w:t>de</w:t>
            </w:r>
            <w:r>
              <w:rPr>
                <w:spacing w:val="-12"/>
                <w:sz w:val="18"/>
              </w:rPr>
              <w:t> </w:t>
            </w:r>
            <w:r>
              <w:rPr>
                <w:sz w:val="18"/>
              </w:rPr>
              <w:t>acciones de asesoría y </w:t>
            </w:r>
            <w:r>
              <w:rPr>
                <w:spacing w:val="-2"/>
                <w:sz w:val="18"/>
              </w:rPr>
              <w:t>seguimiento realizadas.</w:t>
            </w:r>
          </w:p>
        </w:tc>
        <w:tc>
          <w:tcPr>
            <w:tcW w:w="1843" w:type="dxa"/>
          </w:tcPr>
          <w:p>
            <w:pPr>
              <w:pStyle w:val="TableParagraph"/>
              <w:spacing w:before="12"/>
              <w:rPr>
                <w:b/>
                <w:sz w:val="18"/>
              </w:rPr>
            </w:pPr>
          </w:p>
          <w:p>
            <w:pPr>
              <w:pStyle w:val="TableParagraph"/>
              <w:ind w:left="68" w:right="49"/>
              <w:rPr>
                <w:sz w:val="18"/>
              </w:rPr>
            </w:pPr>
            <w:r>
              <w:rPr>
                <w:sz w:val="18"/>
              </w:rPr>
              <w:t>Listas</w:t>
            </w:r>
            <w:r>
              <w:rPr>
                <w:spacing w:val="-15"/>
                <w:sz w:val="18"/>
              </w:rPr>
              <w:t> </w:t>
            </w:r>
            <w:r>
              <w:rPr>
                <w:sz w:val="18"/>
              </w:rPr>
              <w:t>de</w:t>
            </w:r>
            <w:r>
              <w:rPr>
                <w:spacing w:val="-12"/>
                <w:sz w:val="18"/>
              </w:rPr>
              <w:t> </w:t>
            </w:r>
            <w:r>
              <w:rPr>
                <w:sz w:val="18"/>
              </w:rPr>
              <w:t>asistencia, </w:t>
            </w:r>
            <w:r>
              <w:rPr>
                <w:spacing w:val="-2"/>
                <w:sz w:val="18"/>
              </w:rPr>
              <w:t>convocatorias </w:t>
            </w:r>
            <w:r>
              <w:rPr>
                <w:sz w:val="18"/>
              </w:rPr>
              <w:t>reuniones, correos, oficios, entre otros </w:t>
            </w:r>
            <w:r>
              <w:rPr>
                <w:spacing w:val="-2"/>
                <w:sz w:val="18"/>
              </w:rPr>
              <w:t>documentos.</w:t>
            </w:r>
          </w:p>
        </w:tc>
        <w:tc>
          <w:tcPr>
            <w:tcW w:w="1272" w:type="dxa"/>
          </w:tcPr>
          <w:p>
            <w:pPr>
              <w:pStyle w:val="TableParagraph"/>
              <w:rPr>
                <w:b/>
                <w:sz w:val="18"/>
              </w:rPr>
            </w:pPr>
          </w:p>
          <w:p>
            <w:pPr>
              <w:pStyle w:val="TableParagraph"/>
              <w:rPr>
                <w:b/>
                <w:sz w:val="18"/>
              </w:rPr>
            </w:pPr>
          </w:p>
          <w:p>
            <w:pPr>
              <w:pStyle w:val="TableParagraph"/>
              <w:spacing w:before="16"/>
              <w:rPr>
                <w:b/>
                <w:sz w:val="18"/>
              </w:rPr>
            </w:pPr>
          </w:p>
          <w:p>
            <w:pPr>
              <w:pStyle w:val="TableParagraph"/>
              <w:ind w:left="20"/>
              <w:jc w:val="center"/>
              <w:rPr>
                <w:sz w:val="18"/>
              </w:rPr>
            </w:pPr>
            <w:r>
              <w:rPr>
                <w:spacing w:val="-4"/>
                <w:sz w:val="18"/>
              </w:rPr>
              <w:t>UEIG</w:t>
            </w:r>
          </w:p>
        </w:tc>
        <w:tc>
          <w:tcPr>
            <w:tcW w:w="1560" w:type="dxa"/>
          </w:tcPr>
          <w:p>
            <w:pPr>
              <w:pStyle w:val="TableParagraph"/>
              <w:rPr>
                <w:rFonts w:ascii="Times New Roman"/>
                <w:sz w:val="18"/>
              </w:rPr>
            </w:pPr>
          </w:p>
        </w:tc>
        <w:tc>
          <w:tcPr>
            <w:tcW w:w="2347" w:type="dxa"/>
            <w:vMerge w:val="restart"/>
          </w:tcPr>
          <w:p>
            <w:pPr>
              <w:pStyle w:val="TableParagraph"/>
              <w:spacing w:before="99"/>
              <w:ind w:left="74"/>
              <w:rPr>
                <w:sz w:val="18"/>
              </w:rPr>
            </w:pPr>
            <w:r>
              <w:rPr>
                <w:spacing w:val="-2"/>
                <w:sz w:val="18"/>
              </w:rPr>
              <w:t>Eventos:</w:t>
            </w:r>
          </w:p>
          <w:p>
            <w:pPr>
              <w:pStyle w:val="TableParagraph"/>
              <w:numPr>
                <w:ilvl w:val="0"/>
                <w:numId w:val="126"/>
              </w:numPr>
              <w:tabs>
                <w:tab w:pos="226" w:val="left" w:leader="none"/>
              </w:tabs>
              <w:spacing w:line="240" w:lineRule="auto" w:before="206" w:after="0"/>
              <w:ind w:left="74" w:right="143" w:firstLine="0"/>
              <w:jc w:val="left"/>
              <w:rPr>
                <w:sz w:val="18"/>
              </w:rPr>
            </w:pPr>
            <w:r>
              <w:rPr>
                <w:sz w:val="18"/>
              </w:rPr>
              <w:t>Limitadas asesorías y seguimiento a las instancias institucionales para</w:t>
            </w:r>
            <w:r>
              <w:rPr>
                <w:spacing w:val="-12"/>
                <w:sz w:val="18"/>
              </w:rPr>
              <w:t> </w:t>
            </w:r>
            <w:r>
              <w:rPr>
                <w:sz w:val="18"/>
              </w:rPr>
              <w:t>la</w:t>
            </w:r>
            <w:r>
              <w:rPr>
                <w:spacing w:val="-9"/>
                <w:sz w:val="18"/>
              </w:rPr>
              <w:t> </w:t>
            </w:r>
            <w:r>
              <w:rPr>
                <w:sz w:val="18"/>
              </w:rPr>
              <w:t>implementación</w:t>
            </w:r>
            <w:r>
              <w:rPr>
                <w:spacing w:val="-12"/>
                <w:sz w:val="18"/>
              </w:rPr>
              <w:t> </w:t>
            </w:r>
            <w:r>
              <w:rPr>
                <w:sz w:val="18"/>
              </w:rPr>
              <w:t>de la PIGI-IMAS</w:t>
            </w:r>
          </w:p>
          <w:p>
            <w:pPr>
              <w:pStyle w:val="TableParagraph"/>
              <w:spacing w:before="2"/>
              <w:rPr>
                <w:b/>
                <w:sz w:val="18"/>
              </w:rPr>
            </w:pPr>
          </w:p>
          <w:p>
            <w:pPr>
              <w:pStyle w:val="TableParagraph"/>
              <w:numPr>
                <w:ilvl w:val="0"/>
                <w:numId w:val="126"/>
              </w:numPr>
              <w:tabs>
                <w:tab w:pos="226" w:val="left" w:leader="none"/>
              </w:tabs>
              <w:spacing w:line="240" w:lineRule="auto" w:before="0" w:after="0"/>
              <w:ind w:left="74" w:right="96" w:firstLine="0"/>
              <w:jc w:val="left"/>
              <w:rPr>
                <w:sz w:val="18"/>
              </w:rPr>
            </w:pPr>
            <w:r>
              <w:rPr>
                <w:sz w:val="18"/>
              </w:rPr>
              <w:t>Informes</w:t>
            </w:r>
            <w:r>
              <w:rPr>
                <w:spacing w:val="-13"/>
                <w:sz w:val="18"/>
              </w:rPr>
              <w:t> </w:t>
            </w:r>
            <w:r>
              <w:rPr>
                <w:sz w:val="18"/>
              </w:rPr>
              <w:t>de</w:t>
            </w:r>
            <w:r>
              <w:rPr>
                <w:spacing w:val="-11"/>
                <w:sz w:val="18"/>
              </w:rPr>
              <w:t> </w:t>
            </w:r>
            <w:r>
              <w:rPr>
                <w:sz w:val="18"/>
              </w:rPr>
              <w:t>ejecución</w:t>
            </w:r>
            <w:r>
              <w:rPr>
                <w:spacing w:val="-13"/>
                <w:sz w:val="18"/>
              </w:rPr>
              <w:t> </w:t>
            </w:r>
            <w:r>
              <w:rPr>
                <w:sz w:val="18"/>
              </w:rPr>
              <w:t>de la PIGI con información incompleta e imprecisa.</w:t>
            </w:r>
          </w:p>
          <w:p>
            <w:pPr>
              <w:pStyle w:val="TableParagraph"/>
              <w:numPr>
                <w:ilvl w:val="0"/>
                <w:numId w:val="126"/>
              </w:numPr>
              <w:tabs>
                <w:tab w:pos="222" w:val="left" w:leader="none"/>
              </w:tabs>
              <w:spacing w:line="240" w:lineRule="auto" w:before="205" w:after="0"/>
              <w:ind w:left="74" w:right="133" w:firstLine="0"/>
              <w:jc w:val="left"/>
              <w:rPr>
                <w:sz w:val="18"/>
              </w:rPr>
            </w:pPr>
            <w:r>
              <w:rPr>
                <w:sz w:val="18"/>
              </w:rPr>
              <w:t>Qué no se cuente con presupuesto para</w:t>
            </w:r>
            <w:r>
              <w:rPr>
                <w:spacing w:val="-3"/>
                <w:sz w:val="18"/>
              </w:rPr>
              <w:t> </w:t>
            </w:r>
            <w:r>
              <w:rPr>
                <w:sz w:val="18"/>
              </w:rPr>
              <w:t>hacer</w:t>
            </w:r>
            <w:r>
              <w:rPr>
                <w:spacing w:val="-1"/>
                <w:sz w:val="18"/>
              </w:rPr>
              <w:t> </w:t>
            </w:r>
            <w:r>
              <w:rPr>
                <w:sz w:val="18"/>
              </w:rPr>
              <w:t>la contratación de los servicios profesionales requeridos</w:t>
            </w:r>
            <w:r>
              <w:rPr>
                <w:spacing w:val="-11"/>
                <w:sz w:val="18"/>
              </w:rPr>
              <w:t> </w:t>
            </w:r>
            <w:r>
              <w:rPr>
                <w:sz w:val="18"/>
              </w:rPr>
              <w:t>para</w:t>
            </w:r>
            <w:r>
              <w:rPr>
                <w:spacing w:val="-11"/>
                <w:sz w:val="18"/>
              </w:rPr>
              <w:t> </w:t>
            </w:r>
            <w:r>
              <w:rPr>
                <w:sz w:val="18"/>
              </w:rPr>
              <w:t>la</w:t>
            </w:r>
            <w:r>
              <w:rPr>
                <w:spacing w:val="-11"/>
                <w:sz w:val="18"/>
              </w:rPr>
              <w:t> </w:t>
            </w:r>
            <w:r>
              <w:rPr>
                <w:sz w:val="18"/>
              </w:rPr>
              <w:t>revisión de la normativa.</w:t>
            </w:r>
          </w:p>
          <w:p>
            <w:pPr>
              <w:pStyle w:val="TableParagraph"/>
              <w:spacing w:before="1"/>
              <w:rPr>
                <w:b/>
                <w:sz w:val="18"/>
              </w:rPr>
            </w:pPr>
          </w:p>
          <w:p>
            <w:pPr>
              <w:pStyle w:val="TableParagraph"/>
              <w:ind w:left="74" w:firstLine="105"/>
              <w:rPr>
                <w:sz w:val="18"/>
              </w:rPr>
            </w:pPr>
            <w:r>
              <w:rPr>
                <w:sz w:val="18"/>
              </w:rPr>
              <w:t>4. Falta de apoyo de las jefaturas</w:t>
            </w:r>
            <w:r>
              <w:rPr>
                <w:spacing w:val="-10"/>
                <w:sz w:val="18"/>
              </w:rPr>
              <w:t> </w:t>
            </w:r>
            <w:r>
              <w:rPr>
                <w:sz w:val="18"/>
              </w:rPr>
              <w:t>para</w:t>
            </w:r>
            <w:r>
              <w:rPr>
                <w:spacing w:val="-7"/>
                <w:sz w:val="18"/>
              </w:rPr>
              <w:t> </w:t>
            </w:r>
            <w:r>
              <w:rPr>
                <w:sz w:val="18"/>
              </w:rPr>
              <w:t>la</w:t>
            </w:r>
            <w:r>
              <w:rPr>
                <w:spacing w:val="-10"/>
                <w:sz w:val="18"/>
              </w:rPr>
              <w:t> </w:t>
            </w:r>
            <w:r>
              <w:rPr>
                <w:sz w:val="18"/>
              </w:rPr>
              <w:t>revisión</w:t>
            </w:r>
            <w:r>
              <w:rPr>
                <w:spacing w:val="-4"/>
                <w:sz w:val="18"/>
              </w:rPr>
              <w:t> </w:t>
            </w:r>
            <w:r>
              <w:rPr>
                <w:sz w:val="18"/>
              </w:rPr>
              <w:t>y aprobación del plan </w:t>
            </w:r>
            <w:r>
              <w:rPr>
                <w:spacing w:val="-2"/>
                <w:sz w:val="18"/>
              </w:rPr>
              <w:t>quinquenal.</w:t>
            </w:r>
          </w:p>
        </w:tc>
      </w:tr>
      <w:tr>
        <w:trPr>
          <w:trHeight w:val="777" w:hRule="atLeast"/>
        </w:trPr>
        <w:tc>
          <w:tcPr>
            <w:tcW w:w="2972" w:type="dxa"/>
          </w:tcPr>
          <w:p>
            <w:pPr>
              <w:pStyle w:val="TableParagraph"/>
              <w:spacing w:line="242" w:lineRule="auto" w:before="75"/>
              <w:ind w:left="72" w:right="141"/>
              <w:rPr>
                <w:sz w:val="18"/>
              </w:rPr>
            </w:pPr>
            <w:r>
              <w:rPr>
                <w:b/>
                <w:sz w:val="18"/>
              </w:rPr>
              <w:t>Actividad PAC 2.60.2: </w:t>
            </w:r>
            <w:r>
              <w:rPr>
                <w:sz w:val="18"/>
              </w:rPr>
              <w:t>Elaboración</w:t>
            </w:r>
            <w:r>
              <w:rPr>
                <w:spacing w:val="-10"/>
                <w:sz w:val="18"/>
              </w:rPr>
              <w:t> </w:t>
            </w:r>
            <w:r>
              <w:rPr>
                <w:sz w:val="18"/>
              </w:rPr>
              <w:t>de</w:t>
            </w:r>
            <w:r>
              <w:rPr>
                <w:spacing w:val="-7"/>
                <w:sz w:val="18"/>
              </w:rPr>
              <w:t> </w:t>
            </w:r>
            <w:r>
              <w:rPr>
                <w:sz w:val="18"/>
              </w:rPr>
              <w:t>informe</w:t>
            </w:r>
            <w:r>
              <w:rPr>
                <w:spacing w:val="-10"/>
                <w:sz w:val="18"/>
              </w:rPr>
              <w:t> </w:t>
            </w:r>
            <w:r>
              <w:rPr>
                <w:sz w:val="18"/>
              </w:rPr>
              <w:t>anual</w:t>
            </w:r>
            <w:r>
              <w:rPr>
                <w:spacing w:val="-8"/>
                <w:sz w:val="18"/>
              </w:rPr>
              <w:t> </w:t>
            </w:r>
            <w:r>
              <w:rPr>
                <w:sz w:val="18"/>
              </w:rPr>
              <w:t>de ejecución de la PIGI IMAS.</w:t>
            </w:r>
          </w:p>
        </w:tc>
        <w:tc>
          <w:tcPr>
            <w:tcW w:w="1133" w:type="dxa"/>
          </w:tcPr>
          <w:p>
            <w:pPr>
              <w:pStyle w:val="TableParagraph"/>
              <w:spacing w:before="79"/>
              <w:rPr>
                <w:b/>
                <w:sz w:val="18"/>
              </w:rPr>
            </w:pPr>
          </w:p>
          <w:p>
            <w:pPr>
              <w:pStyle w:val="TableParagraph"/>
              <w:spacing w:before="1"/>
              <w:ind w:left="16"/>
              <w:jc w:val="center"/>
              <w:rPr>
                <w:sz w:val="18"/>
              </w:rPr>
            </w:pPr>
            <w:r>
              <w:rPr>
                <w:spacing w:val="-10"/>
                <w:sz w:val="18"/>
              </w:rPr>
              <w:t>1</w:t>
            </w:r>
          </w:p>
        </w:tc>
        <w:tc>
          <w:tcPr>
            <w:tcW w:w="1277" w:type="dxa"/>
          </w:tcPr>
          <w:p>
            <w:pPr>
              <w:pStyle w:val="TableParagraph"/>
              <w:spacing w:before="79"/>
              <w:rPr>
                <w:b/>
                <w:sz w:val="18"/>
              </w:rPr>
            </w:pPr>
          </w:p>
          <w:p>
            <w:pPr>
              <w:pStyle w:val="TableParagraph"/>
              <w:spacing w:before="1"/>
              <w:ind w:left="16" w:right="10"/>
              <w:jc w:val="center"/>
              <w:rPr>
                <w:sz w:val="18"/>
              </w:rPr>
            </w:pPr>
            <w:r>
              <w:rPr>
                <w:spacing w:val="-10"/>
                <w:sz w:val="18"/>
              </w:rPr>
              <w:t>1</w:t>
            </w:r>
          </w:p>
        </w:tc>
        <w:tc>
          <w:tcPr>
            <w:tcW w:w="1987" w:type="dxa"/>
          </w:tcPr>
          <w:p>
            <w:pPr>
              <w:pStyle w:val="TableParagraph"/>
              <w:spacing w:before="79"/>
              <w:rPr>
                <w:b/>
                <w:sz w:val="18"/>
              </w:rPr>
            </w:pPr>
          </w:p>
          <w:p>
            <w:pPr>
              <w:pStyle w:val="TableParagraph"/>
              <w:spacing w:before="1"/>
              <w:ind w:left="72"/>
              <w:rPr>
                <w:sz w:val="18"/>
              </w:rPr>
            </w:pPr>
            <w:r>
              <w:rPr>
                <w:sz w:val="18"/>
              </w:rPr>
              <w:t>Informe</w:t>
            </w:r>
            <w:r>
              <w:rPr>
                <w:spacing w:val="-5"/>
                <w:sz w:val="18"/>
              </w:rPr>
              <w:t> </w:t>
            </w:r>
            <w:r>
              <w:rPr>
                <w:spacing w:val="-2"/>
                <w:sz w:val="18"/>
              </w:rPr>
              <w:t>realizado</w:t>
            </w:r>
          </w:p>
        </w:tc>
        <w:tc>
          <w:tcPr>
            <w:tcW w:w="1843" w:type="dxa"/>
          </w:tcPr>
          <w:p>
            <w:pPr>
              <w:pStyle w:val="TableParagraph"/>
              <w:spacing w:before="79"/>
              <w:rPr>
                <w:b/>
                <w:sz w:val="18"/>
              </w:rPr>
            </w:pPr>
          </w:p>
          <w:p>
            <w:pPr>
              <w:pStyle w:val="TableParagraph"/>
              <w:spacing w:before="1"/>
              <w:ind w:left="68"/>
              <w:rPr>
                <w:sz w:val="18"/>
              </w:rPr>
            </w:pPr>
            <w:r>
              <w:rPr>
                <w:sz w:val="18"/>
              </w:rPr>
              <w:t>Informe,</w:t>
            </w:r>
            <w:r>
              <w:rPr>
                <w:spacing w:val="-4"/>
                <w:sz w:val="18"/>
              </w:rPr>
              <w:t> </w:t>
            </w:r>
            <w:r>
              <w:rPr>
                <w:spacing w:val="-2"/>
                <w:sz w:val="18"/>
              </w:rPr>
              <w:t>oficios.</w:t>
            </w:r>
          </w:p>
        </w:tc>
        <w:tc>
          <w:tcPr>
            <w:tcW w:w="1272" w:type="dxa"/>
          </w:tcPr>
          <w:p>
            <w:pPr>
              <w:pStyle w:val="TableParagraph"/>
              <w:spacing w:before="79"/>
              <w:rPr>
                <w:b/>
                <w:sz w:val="18"/>
              </w:rPr>
            </w:pPr>
          </w:p>
          <w:p>
            <w:pPr>
              <w:pStyle w:val="TableParagraph"/>
              <w:spacing w:before="1"/>
              <w:ind w:left="20"/>
              <w:jc w:val="center"/>
              <w:rPr>
                <w:sz w:val="18"/>
              </w:rPr>
            </w:pPr>
            <w:r>
              <w:rPr>
                <w:spacing w:val="-4"/>
                <w:sz w:val="18"/>
              </w:rPr>
              <w:t>UEIG</w:t>
            </w:r>
          </w:p>
        </w:tc>
        <w:tc>
          <w:tcPr>
            <w:tcW w:w="1560" w:type="dxa"/>
          </w:tcPr>
          <w:p>
            <w:pPr>
              <w:pStyle w:val="TableParagraph"/>
              <w:rPr>
                <w:rFonts w:ascii="Times New Roman"/>
                <w:sz w:val="18"/>
              </w:rPr>
            </w:pPr>
          </w:p>
        </w:tc>
        <w:tc>
          <w:tcPr>
            <w:tcW w:w="2347" w:type="dxa"/>
            <w:vMerge/>
            <w:tcBorders>
              <w:top w:val="nil"/>
            </w:tcBorders>
          </w:tcPr>
          <w:p>
            <w:pPr>
              <w:rPr>
                <w:sz w:val="2"/>
                <w:szCs w:val="2"/>
              </w:rPr>
            </w:pPr>
          </w:p>
        </w:tc>
      </w:tr>
      <w:tr>
        <w:trPr>
          <w:trHeight w:val="1622" w:hRule="atLeast"/>
        </w:trPr>
        <w:tc>
          <w:tcPr>
            <w:tcW w:w="2972" w:type="dxa"/>
          </w:tcPr>
          <w:p>
            <w:pPr>
              <w:pStyle w:val="TableParagraph"/>
              <w:spacing w:before="85"/>
              <w:ind w:left="72" w:right="105"/>
              <w:rPr>
                <w:sz w:val="18"/>
              </w:rPr>
            </w:pPr>
            <w:r>
              <w:rPr>
                <w:b/>
                <w:sz w:val="18"/>
              </w:rPr>
              <w:t>Actividad PAC 2.60.3: </w:t>
            </w:r>
            <w:r>
              <w:rPr>
                <w:sz w:val="18"/>
              </w:rPr>
              <w:t>Actualización de la normativa institucional relacionada con resolución</w:t>
            </w:r>
            <w:r>
              <w:rPr>
                <w:spacing w:val="-13"/>
                <w:sz w:val="18"/>
              </w:rPr>
              <w:t> </w:t>
            </w:r>
            <w:r>
              <w:rPr>
                <w:sz w:val="18"/>
              </w:rPr>
              <w:t>de</w:t>
            </w:r>
            <w:r>
              <w:rPr>
                <w:spacing w:val="-12"/>
                <w:sz w:val="18"/>
              </w:rPr>
              <w:t> </w:t>
            </w:r>
            <w:r>
              <w:rPr>
                <w:sz w:val="18"/>
              </w:rPr>
              <w:t>conflictos,</w:t>
            </w:r>
            <w:r>
              <w:rPr>
                <w:spacing w:val="-11"/>
                <w:sz w:val="18"/>
              </w:rPr>
              <w:t> </w:t>
            </w:r>
            <w:r>
              <w:rPr>
                <w:sz w:val="18"/>
              </w:rPr>
              <w:t>violencia, discriminación, hostigamiento sexual o acoso laboral y lenguaje inclusivo, entre otras.</w:t>
            </w:r>
          </w:p>
        </w:tc>
        <w:tc>
          <w:tcPr>
            <w:tcW w:w="1133" w:type="dxa"/>
          </w:tcPr>
          <w:p>
            <w:pPr>
              <w:pStyle w:val="TableParagraph"/>
              <w:rPr>
                <w:b/>
                <w:sz w:val="18"/>
              </w:rPr>
            </w:pPr>
          </w:p>
          <w:p>
            <w:pPr>
              <w:pStyle w:val="TableParagraph"/>
              <w:rPr>
                <w:b/>
                <w:sz w:val="18"/>
              </w:rPr>
            </w:pPr>
          </w:p>
          <w:p>
            <w:pPr>
              <w:pStyle w:val="TableParagraph"/>
              <w:spacing w:before="88"/>
              <w:rPr>
                <w:b/>
                <w:sz w:val="18"/>
              </w:rPr>
            </w:pPr>
          </w:p>
          <w:p>
            <w:pPr>
              <w:pStyle w:val="TableParagraph"/>
              <w:ind w:left="16"/>
              <w:jc w:val="center"/>
              <w:rPr>
                <w:sz w:val="18"/>
              </w:rPr>
            </w:pPr>
            <w:r>
              <w:rPr>
                <w:spacing w:val="-10"/>
                <w:sz w:val="18"/>
              </w:rPr>
              <w:t>0</w:t>
            </w:r>
          </w:p>
        </w:tc>
        <w:tc>
          <w:tcPr>
            <w:tcW w:w="1277" w:type="dxa"/>
          </w:tcPr>
          <w:p>
            <w:pPr>
              <w:pStyle w:val="TableParagraph"/>
              <w:rPr>
                <w:b/>
                <w:sz w:val="18"/>
              </w:rPr>
            </w:pPr>
          </w:p>
          <w:p>
            <w:pPr>
              <w:pStyle w:val="TableParagraph"/>
              <w:rPr>
                <w:b/>
                <w:sz w:val="18"/>
              </w:rPr>
            </w:pPr>
          </w:p>
          <w:p>
            <w:pPr>
              <w:pStyle w:val="TableParagraph"/>
              <w:spacing w:before="88"/>
              <w:rPr>
                <w:b/>
                <w:sz w:val="18"/>
              </w:rPr>
            </w:pPr>
          </w:p>
          <w:p>
            <w:pPr>
              <w:pStyle w:val="TableParagraph"/>
              <w:ind w:left="16" w:right="10"/>
              <w:jc w:val="center"/>
              <w:rPr>
                <w:sz w:val="18"/>
              </w:rPr>
            </w:pPr>
            <w:r>
              <w:rPr>
                <w:spacing w:val="-10"/>
                <w:sz w:val="18"/>
              </w:rPr>
              <w:t>2</w:t>
            </w:r>
          </w:p>
        </w:tc>
        <w:tc>
          <w:tcPr>
            <w:tcW w:w="1987" w:type="dxa"/>
          </w:tcPr>
          <w:p>
            <w:pPr>
              <w:pStyle w:val="TableParagraph"/>
              <w:spacing w:before="84"/>
              <w:rPr>
                <w:b/>
                <w:sz w:val="18"/>
              </w:rPr>
            </w:pPr>
          </w:p>
          <w:p>
            <w:pPr>
              <w:pStyle w:val="TableParagraph"/>
              <w:ind w:left="72" w:right="66"/>
              <w:rPr>
                <w:sz w:val="18"/>
              </w:rPr>
            </w:pPr>
            <w:r>
              <w:rPr>
                <w:sz w:val="18"/>
              </w:rPr>
              <w:t>Número de </w:t>
            </w:r>
            <w:r>
              <w:rPr>
                <w:spacing w:val="-2"/>
                <w:sz w:val="18"/>
              </w:rPr>
              <w:t>procedimientos </w:t>
            </w:r>
            <w:r>
              <w:rPr>
                <w:sz w:val="18"/>
              </w:rPr>
              <w:t>revisados con recomendaciones</w:t>
            </w:r>
            <w:r>
              <w:rPr>
                <w:spacing w:val="-13"/>
                <w:sz w:val="18"/>
              </w:rPr>
              <w:t> </w:t>
            </w:r>
            <w:r>
              <w:rPr>
                <w:sz w:val="18"/>
              </w:rPr>
              <w:t>para la mejora</w:t>
            </w:r>
          </w:p>
        </w:tc>
        <w:tc>
          <w:tcPr>
            <w:tcW w:w="1843" w:type="dxa"/>
          </w:tcPr>
          <w:p>
            <w:pPr>
              <w:pStyle w:val="TableParagraph"/>
              <w:rPr>
                <w:b/>
                <w:sz w:val="18"/>
              </w:rPr>
            </w:pPr>
          </w:p>
          <w:p>
            <w:pPr>
              <w:pStyle w:val="TableParagraph"/>
              <w:rPr>
                <w:b/>
                <w:sz w:val="18"/>
              </w:rPr>
            </w:pPr>
          </w:p>
          <w:p>
            <w:pPr>
              <w:pStyle w:val="TableParagraph"/>
              <w:spacing w:before="88"/>
              <w:rPr>
                <w:b/>
                <w:sz w:val="18"/>
              </w:rPr>
            </w:pPr>
          </w:p>
          <w:p>
            <w:pPr>
              <w:pStyle w:val="TableParagraph"/>
              <w:ind w:left="68"/>
              <w:rPr>
                <w:sz w:val="18"/>
              </w:rPr>
            </w:pPr>
            <w:r>
              <w:rPr>
                <w:sz w:val="18"/>
              </w:rPr>
              <w:t>Informes,</w:t>
            </w:r>
            <w:r>
              <w:rPr>
                <w:spacing w:val="-3"/>
                <w:sz w:val="18"/>
              </w:rPr>
              <w:t> </w:t>
            </w:r>
            <w:r>
              <w:rPr>
                <w:spacing w:val="-2"/>
                <w:sz w:val="18"/>
              </w:rPr>
              <w:t>oficios</w:t>
            </w:r>
          </w:p>
        </w:tc>
        <w:tc>
          <w:tcPr>
            <w:tcW w:w="1272" w:type="dxa"/>
          </w:tcPr>
          <w:p>
            <w:pPr>
              <w:pStyle w:val="TableParagraph"/>
              <w:rPr>
                <w:b/>
                <w:sz w:val="18"/>
              </w:rPr>
            </w:pPr>
          </w:p>
          <w:p>
            <w:pPr>
              <w:pStyle w:val="TableParagraph"/>
              <w:rPr>
                <w:b/>
                <w:sz w:val="18"/>
              </w:rPr>
            </w:pPr>
          </w:p>
          <w:p>
            <w:pPr>
              <w:pStyle w:val="TableParagraph"/>
              <w:spacing w:before="88"/>
              <w:rPr>
                <w:b/>
                <w:sz w:val="18"/>
              </w:rPr>
            </w:pPr>
          </w:p>
          <w:p>
            <w:pPr>
              <w:pStyle w:val="TableParagraph"/>
              <w:ind w:left="20"/>
              <w:jc w:val="center"/>
              <w:rPr>
                <w:sz w:val="18"/>
              </w:rPr>
            </w:pPr>
            <w:r>
              <w:rPr>
                <w:spacing w:val="-4"/>
                <w:sz w:val="18"/>
              </w:rPr>
              <w:t>UEIG</w:t>
            </w:r>
          </w:p>
        </w:tc>
        <w:tc>
          <w:tcPr>
            <w:tcW w:w="1560" w:type="dxa"/>
          </w:tcPr>
          <w:p>
            <w:pPr>
              <w:pStyle w:val="TableParagraph"/>
              <w:rPr>
                <w:b/>
                <w:sz w:val="18"/>
              </w:rPr>
            </w:pPr>
          </w:p>
          <w:p>
            <w:pPr>
              <w:pStyle w:val="TableParagraph"/>
              <w:rPr>
                <w:b/>
                <w:sz w:val="18"/>
              </w:rPr>
            </w:pPr>
          </w:p>
          <w:p>
            <w:pPr>
              <w:pStyle w:val="TableParagraph"/>
              <w:spacing w:before="88"/>
              <w:rPr>
                <w:b/>
                <w:sz w:val="18"/>
              </w:rPr>
            </w:pPr>
          </w:p>
          <w:p>
            <w:pPr>
              <w:pStyle w:val="TableParagraph"/>
              <w:ind w:right="47"/>
              <w:jc w:val="right"/>
              <w:rPr>
                <w:sz w:val="18"/>
              </w:rPr>
            </w:pPr>
            <w:r>
              <w:rPr>
                <w:spacing w:val="-2"/>
                <w:sz w:val="18"/>
              </w:rPr>
              <w:t>₡1.500.000</w:t>
            </w:r>
          </w:p>
        </w:tc>
        <w:tc>
          <w:tcPr>
            <w:tcW w:w="2347" w:type="dxa"/>
            <w:vMerge/>
            <w:tcBorders>
              <w:top w:val="nil"/>
            </w:tcBorders>
          </w:tcPr>
          <w:p>
            <w:pPr>
              <w:rPr>
                <w:sz w:val="2"/>
                <w:szCs w:val="2"/>
              </w:rPr>
            </w:pPr>
          </w:p>
        </w:tc>
      </w:tr>
      <w:tr>
        <w:trPr>
          <w:trHeight w:val="1051" w:hRule="atLeast"/>
        </w:trPr>
        <w:tc>
          <w:tcPr>
            <w:tcW w:w="2972" w:type="dxa"/>
          </w:tcPr>
          <w:p>
            <w:pPr>
              <w:pStyle w:val="TableParagraph"/>
              <w:spacing w:before="7"/>
              <w:rPr>
                <w:b/>
                <w:sz w:val="18"/>
              </w:rPr>
            </w:pPr>
          </w:p>
          <w:p>
            <w:pPr>
              <w:pStyle w:val="TableParagraph"/>
              <w:spacing w:before="1"/>
              <w:ind w:left="72" w:right="322"/>
              <w:rPr>
                <w:sz w:val="18"/>
              </w:rPr>
            </w:pPr>
            <w:r>
              <w:rPr>
                <w:b/>
                <w:sz w:val="18"/>
              </w:rPr>
              <w:t>Actividad PAC 2.60.4: </w:t>
            </w:r>
            <w:r>
              <w:rPr>
                <w:sz w:val="18"/>
              </w:rPr>
              <w:t>Elaboración</w:t>
            </w:r>
            <w:r>
              <w:rPr>
                <w:spacing w:val="-13"/>
                <w:sz w:val="18"/>
              </w:rPr>
              <w:t> </w:t>
            </w:r>
            <w:r>
              <w:rPr>
                <w:sz w:val="18"/>
              </w:rPr>
              <w:t>del</w:t>
            </w:r>
            <w:r>
              <w:rPr>
                <w:spacing w:val="-10"/>
                <w:sz w:val="18"/>
              </w:rPr>
              <w:t> </w:t>
            </w:r>
            <w:r>
              <w:rPr>
                <w:sz w:val="18"/>
              </w:rPr>
              <w:t>plan</w:t>
            </w:r>
            <w:r>
              <w:rPr>
                <w:spacing w:val="-13"/>
                <w:sz w:val="18"/>
              </w:rPr>
              <w:t> </w:t>
            </w:r>
            <w:r>
              <w:rPr>
                <w:sz w:val="18"/>
              </w:rPr>
              <w:t>quinquenal 2027-2031 de la PIGI IMAS</w:t>
            </w:r>
          </w:p>
        </w:tc>
        <w:tc>
          <w:tcPr>
            <w:tcW w:w="1133" w:type="dxa"/>
          </w:tcPr>
          <w:p>
            <w:pPr>
              <w:pStyle w:val="TableParagraph"/>
              <w:rPr>
                <w:b/>
                <w:sz w:val="18"/>
              </w:rPr>
            </w:pPr>
          </w:p>
          <w:p>
            <w:pPr>
              <w:pStyle w:val="TableParagraph"/>
              <w:spacing w:before="7"/>
              <w:rPr>
                <w:b/>
                <w:sz w:val="18"/>
              </w:rPr>
            </w:pPr>
          </w:p>
          <w:p>
            <w:pPr>
              <w:pStyle w:val="TableParagraph"/>
              <w:ind w:left="16"/>
              <w:jc w:val="center"/>
              <w:rPr>
                <w:sz w:val="18"/>
              </w:rPr>
            </w:pPr>
            <w:r>
              <w:rPr>
                <w:spacing w:val="-10"/>
                <w:sz w:val="18"/>
              </w:rPr>
              <w:t>1</w:t>
            </w:r>
          </w:p>
        </w:tc>
        <w:tc>
          <w:tcPr>
            <w:tcW w:w="1277" w:type="dxa"/>
          </w:tcPr>
          <w:p>
            <w:pPr>
              <w:pStyle w:val="TableParagraph"/>
              <w:rPr>
                <w:b/>
                <w:sz w:val="18"/>
              </w:rPr>
            </w:pPr>
          </w:p>
          <w:p>
            <w:pPr>
              <w:pStyle w:val="TableParagraph"/>
              <w:spacing w:before="7"/>
              <w:rPr>
                <w:b/>
                <w:sz w:val="18"/>
              </w:rPr>
            </w:pPr>
          </w:p>
          <w:p>
            <w:pPr>
              <w:pStyle w:val="TableParagraph"/>
              <w:ind w:left="16" w:right="10"/>
              <w:jc w:val="center"/>
              <w:rPr>
                <w:sz w:val="18"/>
              </w:rPr>
            </w:pPr>
            <w:r>
              <w:rPr>
                <w:spacing w:val="-10"/>
                <w:sz w:val="18"/>
              </w:rPr>
              <w:t>1</w:t>
            </w:r>
          </w:p>
        </w:tc>
        <w:tc>
          <w:tcPr>
            <w:tcW w:w="1987" w:type="dxa"/>
          </w:tcPr>
          <w:p>
            <w:pPr>
              <w:pStyle w:val="TableParagraph"/>
              <w:spacing w:line="242" w:lineRule="auto" w:before="109"/>
              <w:ind w:left="72"/>
              <w:rPr>
                <w:sz w:val="18"/>
              </w:rPr>
            </w:pPr>
            <w:r>
              <w:rPr>
                <w:sz w:val="18"/>
              </w:rPr>
              <w:t>Cantidad de Planes Elaborados (Plan quinquenal</w:t>
            </w:r>
            <w:r>
              <w:rPr>
                <w:spacing w:val="-13"/>
                <w:sz w:val="18"/>
              </w:rPr>
              <w:t> </w:t>
            </w:r>
            <w:r>
              <w:rPr>
                <w:sz w:val="18"/>
              </w:rPr>
              <w:t>2027-2031 </w:t>
            </w:r>
            <w:r>
              <w:rPr>
                <w:spacing w:val="-2"/>
                <w:sz w:val="18"/>
              </w:rPr>
              <w:t>elaborado)</w:t>
            </w:r>
          </w:p>
        </w:tc>
        <w:tc>
          <w:tcPr>
            <w:tcW w:w="1843" w:type="dxa"/>
          </w:tcPr>
          <w:p>
            <w:pPr>
              <w:pStyle w:val="TableParagraph"/>
              <w:spacing w:before="108"/>
              <w:rPr>
                <w:b/>
                <w:sz w:val="18"/>
              </w:rPr>
            </w:pPr>
          </w:p>
          <w:p>
            <w:pPr>
              <w:pStyle w:val="TableParagraph"/>
              <w:ind w:left="68" w:right="747"/>
              <w:rPr>
                <w:sz w:val="18"/>
              </w:rPr>
            </w:pPr>
            <w:r>
              <w:rPr>
                <w:sz w:val="18"/>
              </w:rPr>
              <w:t>Oficios,</w:t>
            </w:r>
            <w:r>
              <w:rPr>
                <w:spacing w:val="-13"/>
                <w:sz w:val="18"/>
              </w:rPr>
              <w:t> </w:t>
            </w:r>
            <w:r>
              <w:rPr>
                <w:sz w:val="18"/>
              </w:rPr>
              <w:t>Plan </w:t>
            </w:r>
            <w:r>
              <w:rPr>
                <w:spacing w:val="-2"/>
                <w:sz w:val="18"/>
              </w:rPr>
              <w:t>Quinquenal</w:t>
            </w:r>
          </w:p>
        </w:tc>
        <w:tc>
          <w:tcPr>
            <w:tcW w:w="1272" w:type="dxa"/>
          </w:tcPr>
          <w:p>
            <w:pPr>
              <w:pStyle w:val="TableParagraph"/>
              <w:rPr>
                <w:b/>
                <w:sz w:val="18"/>
              </w:rPr>
            </w:pPr>
          </w:p>
          <w:p>
            <w:pPr>
              <w:pStyle w:val="TableParagraph"/>
              <w:spacing w:before="7"/>
              <w:rPr>
                <w:b/>
                <w:sz w:val="18"/>
              </w:rPr>
            </w:pPr>
          </w:p>
          <w:p>
            <w:pPr>
              <w:pStyle w:val="TableParagraph"/>
              <w:ind w:left="20"/>
              <w:jc w:val="center"/>
              <w:rPr>
                <w:sz w:val="18"/>
              </w:rPr>
            </w:pPr>
            <w:r>
              <w:rPr>
                <w:spacing w:val="-4"/>
                <w:sz w:val="18"/>
              </w:rPr>
              <w:t>UEIG</w:t>
            </w:r>
          </w:p>
        </w:tc>
        <w:tc>
          <w:tcPr>
            <w:tcW w:w="1560" w:type="dxa"/>
          </w:tcPr>
          <w:p>
            <w:pPr>
              <w:pStyle w:val="TableParagraph"/>
              <w:rPr>
                <w:b/>
                <w:sz w:val="18"/>
              </w:rPr>
            </w:pPr>
          </w:p>
          <w:p>
            <w:pPr>
              <w:pStyle w:val="TableParagraph"/>
              <w:spacing w:before="7"/>
              <w:rPr>
                <w:b/>
                <w:sz w:val="18"/>
              </w:rPr>
            </w:pPr>
          </w:p>
          <w:p>
            <w:pPr>
              <w:pStyle w:val="TableParagraph"/>
              <w:ind w:right="47"/>
              <w:jc w:val="right"/>
              <w:rPr>
                <w:sz w:val="18"/>
              </w:rPr>
            </w:pPr>
            <w:r>
              <w:rPr>
                <w:spacing w:val="-2"/>
                <w:sz w:val="18"/>
              </w:rPr>
              <w:t>₡2.000.000</w:t>
            </w:r>
          </w:p>
        </w:tc>
        <w:tc>
          <w:tcPr>
            <w:tcW w:w="2347"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599" w:hRule="atLeast"/>
        </w:trPr>
        <w:tc>
          <w:tcPr>
            <w:tcW w:w="14598" w:type="dxa"/>
            <w:gridSpan w:val="8"/>
            <w:shd w:val="clear" w:color="auto" w:fill="D9D9D9"/>
          </w:tcPr>
          <w:p>
            <w:pPr>
              <w:pStyle w:val="TableParagraph"/>
              <w:spacing w:line="244" w:lineRule="auto" w:before="90"/>
              <w:ind w:left="72"/>
              <w:rPr>
                <w:b/>
                <w:sz w:val="18"/>
              </w:rPr>
            </w:pPr>
            <w:r>
              <w:rPr>
                <w:b/>
                <w:sz w:val="18"/>
              </w:rPr>
              <w:t>Efecto: Eficiente</w:t>
            </w:r>
            <w:r>
              <w:rPr>
                <w:b/>
                <w:spacing w:val="-2"/>
                <w:sz w:val="18"/>
              </w:rPr>
              <w:t> </w:t>
            </w:r>
            <w:r>
              <w:rPr>
                <w:b/>
                <w:sz w:val="18"/>
              </w:rPr>
              <w:t>gestión administrativa,</w:t>
            </w:r>
            <w:r>
              <w:rPr>
                <w:b/>
                <w:spacing w:val="-5"/>
                <w:sz w:val="18"/>
              </w:rPr>
              <w:t> </w:t>
            </w:r>
            <w:r>
              <w:rPr>
                <w:b/>
                <w:sz w:val="18"/>
              </w:rPr>
              <w:t>financiera</w:t>
            </w:r>
            <w:r>
              <w:rPr>
                <w:b/>
                <w:spacing w:val="-2"/>
                <w:sz w:val="18"/>
              </w:rPr>
              <w:t> </w:t>
            </w:r>
            <w:r>
              <w:rPr>
                <w:b/>
                <w:sz w:val="18"/>
              </w:rPr>
              <w:t>y</w:t>
            </w:r>
            <w:r>
              <w:rPr>
                <w:b/>
                <w:spacing w:val="-2"/>
                <w:sz w:val="18"/>
              </w:rPr>
              <w:t> </w:t>
            </w:r>
            <w:r>
              <w:rPr>
                <w:b/>
                <w:sz w:val="18"/>
              </w:rPr>
              <w:t>tecnológica, orientada</w:t>
            </w:r>
            <w:r>
              <w:rPr>
                <w:b/>
                <w:spacing w:val="-2"/>
                <w:sz w:val="18"/>
              </w:rPr>
              <w:t> </w:t>
            </w:r>
            <w:r>
              <w:rPr>
                <w:b/>
                <w:sz w:val="18"/>
              </w:rPr>
              <w:t>a</w:t>
            </w:r>
            <w:r>
              <w:rPr>
                <w:b/>
                <w:spacing w:val="-2"/>
                <w:sz w:val="18"/>
              </w:rPr>
              <w:t> </w:t>
            </w:r>
            <w:r>
              <w:rPr>
                <w:b/>
                <w:sz w:val="18"/>
              </w:rPr>
              <w:t>la</w:t>
            </w:r>
            <w:r>
              <w:rPr>
                <w:b/>
                <w:spacing w:val="-2"/>
                <w:sz w:val="18"/>
              </w:rPr>
              <w:t> </w:t>
            </w:r>
            <w:r>
              <w:rPr>
                <w:b/>
                <w:sz w:val="18"/>
              </w:rPr>
              <w:t>institucionalización</w:t>
            </w:r>
            <w:r>
              <w:rPr>
                <w:b/>
                <w:spacing w:val="-4"/>
                <w:sz w:val="18"/>
              </w:rPr>
              <w:t> </w:t>
            </w:r>
            <w:r>
              <w:rPr>
                <w:b/>
                <w:sz w:val="18"/>
              </w:rPr>
              <w:t>de</w:t>
            </w:r>
            <w:r>
              <w:rPr>
                <w:b/>
                <w:spacing w:val="-2"/>
                <w:sz w:val="18"/>
              </w:rPr>
              <w:t> </w:t>
            </w:r>
            <w:r>
              <w:rPr>
                <w:b/>
                <w:sz w:val="18"/>
              </w:rPr>
              <w:t>la</w:t>
            </w:r>
            <w:r>
              <w:rPr>
                <w:b/>
                <w:spacing w:val="-2"/>
                <w:sz w:val="18"/>
              </w:rPr>
              <w:t> </w:t>
            </w:r>
            <w:r>
              <w:rPr>
                <w:b/>
                <w:sz w:val="18"/>
              </w:rPr>
              <w:t>estrategia de</w:t>
            </w:r>
            <w:r>
              <w:rPr>
                <w:b/>
                <w:spacing w:val="-2"/>
                <w:sz w:val="18"/>
              </w:rPr>
              <w:t> </w:t>
            </w:r>
            <w:r>
              <w:rPr>
                <w:b/>
                <w:sz w:val="18"/>
              </w:rPr>
              <w:t>intervención de</w:t>
            </w:r>
            <w:r>
              <w:rPr>
                <w:b/>
                <w:spacing w:val="-8"/>
                <w:sz w:val="18"/>
              </w:rPr>
              <w:t> </w:t>
            </w:r>
            <w:r>
              <w:rPr>
                <w:b/>
                <w:sz w:val="18"/>
              </w:rPr>
              <w:t>la población</w:t>
            </w:r>
            <w:r>
              <w:rPr>
                <w:b/>
                <w:spacing w:val="-4"/>
                <w:sz w:val="18"/>
              </w:rPr>
              <w:t> </w:t>
            </w:r>
            <w:r>
              <w:rPr>
                <w:b/>
                <w:sz w:val="18"/>
              </w:rPr>
              <w:t>en</w:t>
            </w:r>
            <w:r>
              <w:rPr>
                <w:b/>
                <w:spacing w:val="-4"/>
                <w:sz w:val="18"/>
              </w:rPr>
              <w:t> </w:t>
            </w:r>
            <w:r>
              <w:rPr>
                <w:b/>
                <w:sz w:val="18"/>
              </w:rPr>
              <w:t>situación</w:t>
            </w:r>
            <w:r>
              <w:rPr>
                <w:b/>
                <w:spacing w:val="-4"/>
                <w:sz w:val="18"/>
              </w:rPr>
              <w:t> </w:t>
            </w:r>
            <w:r>
              <w:rPr>
                <w:b/>
                <w:sz w:val="18"/>
              </w:rPr>
              <w:t>de pobreza extrema y pobreza</w:t>
            </w:r>
          </w:p>
        </w:tc>
      </w:tr>
      <w:tr>
        <w:trPr>
          <w:trHeight w:val="465" w:hRule="atLeast"/>
        </w:trPr>
        <w:tc>
          <w:tcPr>
            <w:tcW w:w="14598" w:type="dxa"/>
            <w:gridSpan w:val="8"/>
            <w:shd w:val="clear" w:color="auto" w:fill="EFF8F9"/>
          </w:tcPr>
          <w:p>
            <w:pPr>
              <w:pStyle w:val="TableParagraph"/>
              <w:spacing w:before="128"/>
              <w:ind w:left="72"/>
              <w:rPr>
                <w:b/>
                <w:sz w:val="18"/>
              </w:rPr>
            </w:pPr>
            <w:r>
              <w:rPr>
                <w:b/>
                <w:sz w:val="18"/>
              </w:rPr>
              <w:t>Producto</w:t>
            </w:r>
            <w:r>
              <w:rPr>
                <w:b/>
                <w:spacing w:val="-7"/>
                <w:sz w:val="18"/>
              </w:rPr>
              <w:t> </w:t>
            </w:r>
            <w:r>
              <w:rPr>
                <w:b/>
                <w:sz w:val="18"/>
              </w:rPr>
              <w:t>PAC</w:t>
            </w:r>
            <w:r>
              <w:rPr>
                <w:b/>
                <w:spacing w:val="-8"/>
                <w:sz w:val="18"/>
              </w:rPr>
              <w:t> </w:t>
            </w:r>
            <w:r>
              <w:rPr>
                <w:b/>
                <w:sz w:val="18"/>
              </w:rPr>
              <w:t>2.61:</w:t>
            </w:r>
            <w:r>
              <w:rPr>
                <w:b/>
                <w:spacing w:val="-4"/>
                <w:sz w:val="18"/>
              </w:rPr>
              <w:t> </w:t>
            </w:r>
            <w:r>
              <w:rPr>
                <w:b/>
                <w:sz w:val="18"/>
              </w:rPr>
              <w:t>Normativa</w:t>
            </w:r>
            <w:r>
              <w:rPr>
                <w:b/>
                <w:spacing w:val="-6"/>
                <w:sz w:val="18"/>
              </w:rPr>
              <w:t> </w:t>
            </w:r>
            <w:r>
              <w:rPr>
                <w:b/>
                <w:sz w:val="18"/>
              </w:rPr>
              <w:t>y</w:t>
            </w:r>
            <w:r>
              <w:rPr>
                <w:b/>
                <w:spacing w:val="-6"/>
                <w:sz w:val="18"/>
              </w:rPr>
              <w:t> </w:t>
            </w:r>
            <w:r>
              <w:rPr>
                <w:b/>
                <w:sz w:val="18"/>
              </w:rPr>
              <w:t>procedimientos</w:t>
            </w:r>
            <w:r>
              <w:rPr>
                <w:b/>
                <w:spacing w:val="-5"/>
                <w:sz w:val="18"/>
              </w:rPr>
              <w:t> </w:t>
            </w:r>
            <w:r>
              <w:rPr>
                <w:b/>
                <w:sz w:val="18"/>
              </w:rPr>
              <w:t>ajustados,</w:t>
            </w:r>
            <w:r>
              <w:rPr>
                <w:b/>
                <w:spacing w:val="-4"/>
                <w:sz w:val="18"/>
              </w:rPr>
              <w:t> </w:t>
            </w:r>
            <w:r>
              <w:rPr>
                <w:b/>
                <w:sz w:val="18"/>
              </w:rPr>
              <w:t>para</w:t>
            </w:r>
            <w:r>
              <w:rPr>
                <w:b/>
                <w:spacing w:val="-6"/>
                <w:sz w:val="18"/>
              </w:rPr>
              <w:t> </w:t>
            </w:r>
            <w:r>
              <w:rPr>
                <w:b/>
                <w:sz w:val="18"/>
              </w:rPr>
              <w:t>la</w:t>
            </w:r>
            <w:r>
              <w:rPr>
                <w:b/>
                <w:spacing w:val="-6"/>
                <w:sz w:val="18"/>
              </w:rPr>
              <w:t> </w:t>
            </w:r>
            <w:r>
              <w:rPr>
                <w:b/>
                <w:sz w:val="18"/>
              </w:rPr>
              <w:t>implementación</w:t>
            </w:r>
            <w:r>
              <w:rPr>
                <w:b/>
                <w:spacing w:val="-2"/>
                <w:sz w:val="18"/>
              </w:rPr>
              <w:t> </w:t>
            </w:r>
            <w:r>
              <w:rPr>
                <w:b/>
                <w:sz w:val="18"/>
              </w:rPr>
              <w:t>de</w:t>
            </w:r>
            <w:r>
              <w:rPr>
                <w:b/>
                <w:spacing w:val="-6"/>
                <w:sz w:val="18"/>
              </w:rPr>
              <w:t> </w:t>
            </w:r>
            <w:r>
              <w:rPr>
                <w:b/>
                <w:sz w:val="18"/>
              </w:rPr>
              <w:t>la</w:t>
            </w:r>
            <w:r>
              <w:rPr>
                <w:b/>
                <w:spacing w:val="-6"/>
                <w:sz w:val="18"/>
              </w:rPr>
              <w:t> </w:t>
            </w:r>
            <w:r>
              <w:rPr>
                <w:b/>
                <w:sz w:val="18"/>
              </w:rPr>
              <w:t>GpRD</w:t>
            </w:r>
            <w:r>
              <w:rPr>
                <w:b/>
                <w:spacing w:val="-8"/>
                <w:sz w:val="18"/>
              </w:rPr>
              <w:t> </w:t>
            </w:r>
            <w:r>
              <w:rPr>
                <w:b/>
                <w:sz w:val="18"/>
              </w:rPr>
              <w:t>en</w:t>
            </w:r>
            <w:r>
              <w:rPr>
                <w:b/>
                <w:spacing w:val="-6"/>
                <w:sz w:val="18"/>
              </w:rPr>
              <w:t> </w:t>
            </w:r>
            <w:r>
              <w:rPr>
                <w:b/>
                <w:sz w:val="18"/>
              </w:rPr>
              <w:t>el</w:t>
            </w:r>
            <w:r>
              <w:rPr>
                <w:b/>
                <w:spacing w:val="-4"/>
                <w:sz w:val="18"/>
              </w:rPr>
              <w:t> </w:t>
            </w:r>
            <w:r>
              <w:rPr>
                <w:b/>
                <w:sz w:val="18"/>
              </w:rPr>
              <w:t>IMAS. E1</w:t>
            </w:r>
            <w:r>
              <w:rPr>
                <w:b/>
                <w:spacing w:val="-5"/>
                <w:sz w:val="18"/>
              </w:rPr>
              <w:t> </w:t>
            </w:r>
            <w:r>
              <w:rPr>
                <w:b/>
                <w:sz w:val="18"/>
              </w:rPr>
              <w:t>AE1</w:t>
            </w:r>
            <w:r>
              <w:rPr>
                <w:b/>
                <w:spacing w:val="-2"/>
                <w:sz w:val="18"/>
              </w:rPr>
              <w:t> </w:t>
            </w:r>
            <w:r>
              <w:rPr>
                <w:b/>
                <w:sz w:val="18"/>
              </w:rPr>
              <w:t>R1</w:t>
            </w:r>
            <w:r>
              <w:rPr>
                <w:b/>
                <w:spacing w:val="-6"/>
                <w:sz w:val="18"/>
              </w:rPr>
              <w:t> </w:t>
            </w:r>
            <w:r>
              <w:rPr>
                <w:b/>
                <w:spacing w:val="-2"/>
                <w:sz w:val="18"/>
              </w:rPr>
              <w:t>(60%)</w:t>
            </w:r>
          </w:p>
        </w:tc>
      </w:tr>
      <w:tr>
        <w:trPr>
          <w:trHeight w:val="2275" w:hRule="atLeast"/>
        </w:trPr>
        <w:tc>
          <w:tcPr>
            <w:tcW w:w="3193" w:type="dxa"/>
          </w:tcPr>
          <w:p>
            <w:pPr>
              <w:pStyle w:val="TableParagraph"/>
              <w:spacing w:before="205"/>
              <w:rPr>
                <w:b/>
                <w:sz w:val="18"/>
              </w:rPr>
            </w:pPr>
          </w:p>
          <w:p>
            <w:pPr>
              <w:pStyle w:val="TableParagraph"/>
              <w:ind w:left="72" w:right="111"/>
              <w:rPr>
                <w:sz w:val="18"/>
              </w:rPr>
            </w:pPr>
            <w:r>
              <w:rPr>
                <w:b/>
                <w:sz w:val="18"/>
              </w:rPr>
              <w:t>Actividad</w:t>
            </w:r>
            <w:r>
              <w:rPr>
                <w:b/>
                <w:spacing w:val="-13"/>
                <w:sz w:val="18"/>
              </w:rPr>
              <w:t> </w:t>
            </w:r>
            <w:r>
              <w:rPr>
                <w:b/>
                <w:sz w:val="18"/>
              </w:rPr>
              <w:t>PAC</w:t>
            </w:r>
            <w:r>
              <w:rPr>
                <w:b/>
                <w:spacing w:val="-10"/>
                <w:sz w:val="18"/>
              </w:rPr>
              <w:t> </w:t>
            </w:r>
            <w:r>
              <w:rPr>
                <w:b/>
                <w:sz w:val="18"/>
              </w:rPr>
              <w:t>2.61.1:</w:t>
            </w:r>
            <w:r>
              <w:rPr>
                <w:b/>
                <w:spacing w:val="-5"/>
                <w:sz w:val="18"/>
              </w:rPr>
              <w:t> </w:t>
            </w:r>
            <w:r>
              <w:rPr>
                <w:sz w:val="18"/>
              </w:rPr>
              <w:t>Verificar</w:t>
            </w:r>
            <w:r>
              <w:rPr>
                <w:spacing w:val="-8"/>
                <w:sz w:val="18"/>
              </w:rPr>
              <w:t> </w:t>
            </w:r>
            <w:r>
              <w:rPr>
                <w:sz w:val="18"/>
              </w:rPr>
              <w:t>que, en toda la normativa remitida a Planificación Institucional para emisión de criterio, esté incluida la metodología de Gestión para Resultados (GpRD) de Desarrollo y Valor Público</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9" w:right="4"/>
              <w:jc w:val="center"/>
              <w:rPr>
                <w:sz w:val="18"/>
              </w:rPr>
            </w:pPr>
            <w:r>
              <w:rPr>
                <w:spacing w:val="-10"/>
                <w:sz w:val="18"/>
              </w:rPr>
              <w:t>1</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9" w:right="7"/>
              <w:jc w:val="center"/>
              <w:rPr>
                <w:sz w:val="18"/>
              </w:rPr>
            </w:pPr>
            <w:r>
              <w:rPr>
                <w:spacing w:val="-4"/>
                <w:sz w:val="18"/>
              </w:rPr>
              <w:t>100%</w:t>
            </w:r>
          </w:p>
        </w:tc>
        <w:tc>
          <w:tcPr>
            <w:tcW w:w="1776" w:type="dxa"/>
          </w:tcPr>
          <w:p>
            <w:pPr>
              <w:pStyle w:val="TableParagraph"/>
              <w:rPr>
                <w:b/>
                <w:sz w:val="18"/>
              </w:rPr>
            </w:pPr>
          </w:p>
          <w:p>
            <w:pPr>
              <w:pStyle w:val="TableParagraph"/>
              <w:spacing w:before="103"/>
              <w:rPr>
                <w:b/>
                <w:sz w:val="18"/>
              </w:rPr>
            </w:pPr>
          </w:p>
          <w:p>
            <w:pPr>
              <w:pStyle w:val="TableParagraph"/>
              <w:ind w:left="67" w:right="60"/>
              <w:rPr>
                <w:sz w:val="18"/>
              </w:rPr>
            </w:pPr>
            <w:r>
              <w:rPr>
                <w:sz w:val="18"/>
              </w:rPr>
              <w:t>Porcentaje de criterios</w:t>
            </w:r>
            <w:r>
              <w:rPr>
                <w:spacing w:val="-15"/>
                <w:sz w:val="18"/>
              </w:rPr>
              <w:t> </w:t>
            </w:r>
            <w:r>
              <w:rPr>
                <w:sz w:val="18"/>
              </w:rPr>
              <w:t>con</w:t>
            </w:r>
            <w:r>
              <w:rPr>
                <w:spacing w:val="-12"/>
                <w:sz w:val="18"/>
              </w:rPr>
              <w:t> </w:t>
            </w:r>
            <w:r>
              <w:rPr>
                <w:sz w:val="18"/>
              </w:rPr>
              <w:t>análisis de inclusión de la metodología de GpRD y Valor </w:t>
            </w:r>
            <w:r>
              <w:rPr>
                <w:spacing w:val="-2"/>
                <w:sz w:val="18"/>
              </w:rPr>
              <w:t>Público</w:t>
            </w:r>
          </w:p>
        </w:tc>
        <w:tc>
          <w:tcPr>
            <w:tcW w:w="1483" w:type="dxa"/>
          </w:tcPr>
          <w:p>
            <w:pPr>
              <w:pStyle w:val="TableParagraph"/>
              <w:ind w:left="67" w:right="198"/>
              <w:rPr>
                <w:sz w:val="18"/>
              </w:rPr>
            </w:pPr>
            <w:r>
              <w:rPr>
                <w:sz w:val="18"/>
              </w:rPr>
              <w:t>Oficios de emisión de </w:t>
            </w:r>
            <w:r>
              <w:rPr>
                <w:spacing w:val="-2"/>
                <w:sz w:val="18"/>
              </w:rPr>
              <w:t>criterio </w:t>
            </w:r>
            <w:r>
              <w:rPr>
                <w:sz w:val="18"/>
              </w:rPr>
              <w:t>elaborados</w:t>
            </w:r>
            <w:r>
              <w:rPr>
                <w:spacing w:val="-13"/>
                <w:sz w:val="18"/>
              </w:rPr>
              <w:t> </w:t>
            </w:r>
            <w:r>
              <w:rPr>
                <w:sz w:val="18"/>
              </w:rPr>
              <w:t>por el equipo de </w:t>
            </w:r>
            <w:r>
              <w:rPr>
                <w:spacing w:val="-2"/>
                <w:sz w:val="18"/>
              </w:rPr>
              <w:t>Planificación Institucional según </w:t>
            </w:r>
            <w:r>
              <w:rPr>
                <w:sz w:val="18"/>
              </w:rPr>
              <w:t>asignación</w:t>
            </w:r>
            <w:r>
              <w:rPr>
                <w:spacing w:val="-5"/>
                <w:sz w:val="18"/>
              </w:rPr>
              <w:t> </w:t>
            </w:r>
            <w:r>
              <w:rPr>
                <w:sz w:val="18"/>
              </w:rPr>
              <w:t>por parte de la</w:t>
            </w:r>
          </w:p>
          <w:p>
            <w:pPr>
              <w:pStyle w:val="TableParagraph"/>
              <w:spacing w:line="187" w:lineRule="exact"/>
              <w:ind w:left="67"/>
              <w:rPr>
                <w:sz w:val="18"/>
              </w:rPr>
            </w:pPr>
            <w:r>
              <w:rPr>
                <w:spacing w:val="-2"/>
                <w:sz w:val="18"/>
              </w:rPr>
              <w:t>jefatura</w:t>
            </w:r>
          </w:p>
        </w:tc>
        <w:tc>
          <w:tcPr>
            <w:tcW w:w="129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5"/>
              <w:rPr>
                <w:b/>
                <w:sz w:val="18"/>
              </w:rPr>
            </w:pPr>
          </w:p>
          <w:p>
            <w:pPr>
              <w:pStyle w:val="TableParagraph"/>
              <w:ind w:left="74" w:right="112"/>
              <w:rPr>
                <w:sz w:val="18"/>
              </w:rPr>
            </w:pPr>
            <w:r>
              <w:rPr>
                <w:sz w:val="18"/>
              </w:rPr>
              <w:t>Evento: Normativa y procedimientos no ajustados para la implementación</w:t>
            </w:r>
            <w:r>
              <w:rPr>
                <w:spacing w:val="-15"/>
                <w:sz w:val="18"/>
              </w:rPr>
              <w:t> </w:t>
            </w:r>
            <w:r>
              <w:rPr>
                <w:sz w:val="18"/>
              </w:rPr>
              <w:t>de</w:t>
            </w:r>
            <w:r>
              <w:rPr>
                <w:spacing w:val="-12"/>
                <w:sz w:val="18"/>
              </w:rPr>
              <w:t> </w:t>
            </w:r>
            <w:r>
              <w:rPr>
                <w:sz w:val="18"/>
              </w:rPr>
              <w:t>la GpRD en el IMAS</w:t>
            </w:r>
          </w:p>
        </w:tc>
      </w:tr>
      <w:tr>
        <w:trPr>
          <w:trHeight w:val="1517" w:hRule="atLeast"/>
        </w:trPr>
        <w:tc>
          <w:tcPr>
            <w:tcW w:w="3193" w:type="dxa"/>
          </w:tcPr>
          <w:p>
            <w:pPr>
              <w:pStyle w:val="TableParagraph"/>
              <w:spacing w:before="137"/>
              <w:rPr>
                <w:b/>
                <w:sz w:val="18"/>
              </w:rPr>
            </w:pPr>
          </w:p>
          <w:p>
            <w:pPr>
              <w:pStyle w:val="TableParagraph"/>
              <w:spacing w:before="1"/>
              <w:ind w:left="72" w:right="111"/>
              <w:rPr>
                <w:sz w:val="18"/>
              </w:rPr>
            </w:pPr>
            <w:r>
              <w:rPr>
                <w:b/>
                <w:sz w:val="18"/>
              </w:rPr>
              <w:t>Actividad PAC 2.61.2: </w:t>
            </w:r>
            <w:r>
              <w:rPr>
                <w:sz w:val="18"/>
              </w:rPr>
              <w:t>Publicar la normativa</w:t>
            </w:r>
            <w:r>
              <w:rPr>
                <w:spacing w:val="-10"/>
                <w:sz w:val="18"/>
              </w:rPr>
              <w:t> </w:t>
            </w:r>
            <w:r>
              <w:rPr>
                <w:sz w:val="18"/>
              </w:rPr>
              <w:t>institucional</w:t>
            </w:r>
            <w:r>
              <w:rPr>
                <w:spacing w:val="-12"/>
                <w:sz w:val="18"/>
              </w:rPr>
              <w:t> </w:t>
            </w:r>
            <w:r>
              <w:rPr>
                <w:sz w:val="18"/>
              </w:rPr>
              <w:t>e</w:t>
            </w:r>
            <w:r>
              <w:rPr>
                <w:spacing w:val="-7"/>
                <w:sz w:val="18"/>
              </w:rPr>
              <w:t> </w:t>
            </w:r>
            <w:r>
              <w:rPr>
                <w:sz w:val="18"/>
              </w:rPr>
              <w:t>identificar</w:t>
            </w:r>
            <w:r>
              <w:rPr>
                <w:spacing w:val="-8"/>
                <w:sz w:val="18"/>
              </w:rPr>
              <w:t> </w:t>
            </w:r>
            <w:r>
              <w:rPr>
                <w:sz w:val="18"/>
              </w:rPr>
              <w:t>su vinculado a la metodología de GpRD y Valor Público</w:t>
            </w:r>
          </w:p>
        </w:tc>
        <w:tc>
          <w:tcPr>
            <w:tcW w:w="1354" w:type="dxa"/>
          </w:tcPr>
          <w:p>
            <w:pPr>
              <w:pStyle w:val="TableParagraph"/>
              <w:rPr>
                <w:b/>
                <w:sz w:val="18"/>
              </w:rPr>
            </w:pPr>
          </w:p>
          <w:p>
            <w:pPr>
              <w:pStyle w:val="TableParagraph"/>
              <w:rPr>
                <w:b/>
                <w:sz w:val="18"/>
              </w:rPr>
            </w:pPr>
          </w:p>
          <w:p>
            <w:pPr>
              <w:pStyle w:val="TableParagraph"/>
              <w:spacing w:before="36"/>
              <w:rPr>
                <w:b/>
                <w:sz w:val="18"/>
              </w:rPr>
            </w:pPr>
          </w:p>
          <w:p>
            <w:pPr>
              <w:pStyle w:val="TableParagraph"/>
              <w:ind w:left="19" w:right="6"/>
              <w:jc w:val="center"/>
              <w:rPr>
                <w:sz w:val="18"/>
              </w:rPr>
            </w:pPr>
            <w:r>
              <w:rPr>
                <w:spacing w:val="-4"/>
                <w:sz w:val="18"/>
              </w:rPr>
              <w:t>100%</w:t>
            </w:r>
          </w:p>
        </w:tc>
        <w:tc>
          <w:tcPr>
            <w:tcW w:w="1354" w:type="dxa"/>
          </w:tcPr>
          <w:p>
            <w:pPr>
              <w:pStyle w:val="TableParagraph"/>
              <w:rPr>
                <w:b/>
                <w:sz w:val="18"/>
              </w:rPr>
            </w:pPr>
          </w:p>
          <w:p>
            <w:pPr>
              <w:pStyle w:val="TableParagraph"/>
              <w:rPr>
                <w:b/>
                <w:sz w:val="18"/>
              </w:rPr>
            </w:pPr>
          </w:p>
          <w:p>
            <w:pPr>
              <w:pStyle w:val="TableParagraph"/>
              <w:spacing w:before="36"/>
              <w:rPr>
                <w:b/>
                <w:sz w:val="18"/>
              </w:rPr>
            </w:pPr>
          </w:p>
          <w:p>
            <w:pPr>
              <w:pStyle w:val="TableParagraph"/>
              <w:ind w:left="19" w:right="7"/>
              <w:jc w:val="center"/>
              <w:rPr>
                <w:sz w:val="18"/>
              </w:rPr>
            </w:pPr>
            <w:r>
              <w:rPr>
                <w:spacing w:val="-4"/>
                <w:sz w:val="18"/>
              </w:rPr>
              <w:t>100%</w:t>
            </w:r>
          </w:p>
        </w:tc>
        <w:tc>
          <w:tcPr>
            <w:tcW w:w="1776" w:type="dxa"/>
          </w:tcPr>
          <w:p>
            <w:pPr>
              <w:pStyle w:val="TableParagraph"/>
              <w:rPr>
                <w:b/>
                <w:sz w:val="18"/>
              </w:rPr>
            </w:pPr>
          </w:p>
          <w:p>
            <w:pPr>
              <w:pStyle w:val="TableParagraph"/>
              <w:spacing w:before="137"/>
              <w:rPr>
                <w:b/>
                <w:sz w:val="18"/>
              </w:rPr>
            </w:pPr>
          </w:p>
          <w:p>
            <w:pPr>
              <w:pStyle w:val="TableParagraph"/>
              <w:ind w:left="67"/>
              <w:rPr>
                <w:sz w:val="18"/>
              </w:rPr>
            </w:pPr>
            <w:r>
              <w:rPr>
                <w:sz w:val="18"/>
              </w:rPr>
              <w:t>Porcentaje de normativa</w:t>
            </w:r>
            <w:r>
              <w:rPr>
                <w:spacing w:val="-13"/>
                <w:sz w:val="18"/>
              </w:rPr>
              <w:t> </w:t>
            </w:r>
            <w:r>
              <w:rPr>
                <w:sz w:val="18"/>
              </w:rPr>
              <w:t>publicada</w:t>
            </w:r>
          </w:p>
        </w:tc>
        <w:tc>
          <w:tcPr>
            <w:tcW w:w="1483" w:type="dxa"/>
          </w:tcPr>
          <w:p>
            <w:pPr>
              <w:pStyle w:val="TableParagraph"/>
              <w:spacing w:before="33"/>
              <w:ind w:left="67" w:right="72"/>
              <w:rPr>
                <w:sz w:val="18"/>
              </w:rPr>
            </w:pPr>
            <w:r>
              <w:rPr>
                <w:sz w:val="18"/>
              </w:rPr>
              <w:t>Informe de publicación</w:t>
            </w:r>
            <w:r>
              <w:rPr>
                <w:spacing w:val="-15"/>
                <w:sz w:val="18"/>
              </w:rPr>
              <w:t> </w:t>
            </w:r>
            <w:r>
              <w:rPr>
                <w:sz w:val="18"/>
              </w:rPr>
              <w:t>de</w:t>
            </w:r>
            <w:r>
              <w:rPr>
                <w:spacing w:val="-12"/>
                <w:sz w:val="18"/>
              </w:rPr>
              <w:t> </w:t>
            </w:r>
            <w:r>
              <w:rPr>
                <w:sz w:val="18"/>
              </w:rPr>
              <w:t>la </w:t>
            </w:r>
            <w:r>
              <w:rPr>
                <w:spacing w:val="-2"/>
                <w:sz w:val="18"/>
              </w:rPr>
              <w:t>normativa ajustada</w:t>
            </w:r>
            <w:r>
              <w:rPr>
                <w:spacing w:val="40"/>
                <w:sz w:val="18"/>
              </w:rPr>
              <w:t> </w:t>
            </w:r>
            <w:r>
              <w:rPr>
                <w:sz w:val="18"/>
              </w:rPr>
              <w:t>remitido a la jefatura de </w:t>
            </w:r>
            <w:r>
              <w:rPr>
                <w:spacing w:val="-2"/>
                <w:sz w:val="18"/>
              </w:rPr>
              <w:t>planificación</w:t>
            </w:r>
          </w:p>
        </w:tc>
        <w:tc>
          <w:tcPr>
            <w:tcW w:w="1296" w:type="dxa"/>
          </w:tcPr>
          <w:p>
            <w:pPr>
              <w:pStyle w:val="TableParagraph"/>
              <w:rPr>
                <w:b/>
                <w:sz w:val="18"/>
              </w:rPr>
            </w:pPr>
          </w:p>
          <w:p>
            <w:pPr>
              <w:pStyle w:val="TableParagraph"/>
              <w:spacing w:before="137"/>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756" w:hRule="atLeast"/>
        </w:trPr>
        <w:tc>
          <w:tcPr>
            <w:tcW w:w="3193" w:type="dxa"/>
          </w:tcPr>
          <w:p>
            <w:pPr>
              <w:pStyle w:val="TableParagraph"/>
              <w:rPr>
                <w:b/>
                <w:sz w:val="18"/>
              </w:rPr>
            </w:pPr>
          </w:p>
          <w:p>
            <w:pPr>
              <w:pStyle w:val="TableParagraph"/>
              <w:spacing w:before="50"/>
              <w:rPr>
                <w:b/>
                <w:sz w:val="18"/>
              </w:rPr>
            </w:pPr>
          </w:p>
          <w:p>
            <w:pPr>
              <w:pStyle w:val="TableParagraph"/>
              <w:ind w:left="72" w:right="111"/>
              <w:rPr>
                <w:sz w:val="18"/>
              </w:rPr>
            </w:pPr>
            <w:r>
              <w:rPr>
                <w:b/>
                <w:sz w:val="18"/>
              </w:rPr>
              <w:t>Actividad</w:t>
            </w:r>
            <w:r>
              <w:rPr>
                <w:b/>
                <w:spacing w:val="-10"/>
                <w:sz w:val="18"/>
              </w:rPr>
              <w:t> </w:t>
            </w:r>
            <w:r>
              <w:rPr>
                <w:b/>
                <w:sz w:val="18"/>
              </w:rPr>
              <w:t>PAC</w:t>
            </w:r>
            <w:r>
              <w:rPr>
                <w:b/>
                <w:spacing w:val="-7"/>
                <w:sz w:val="18"/>
              </w:rPr>
              <w:t> </w:t>
            </w:r>
            <w:r>
              <w:rPr>
                <w:b/>
                <w:sz w:val="18"/>
              </w:rPr>
              <w:t>2.61.3:</w:t>
            </w:r>
            <w:r>
              <w:rPr>
                <w:b/>
                <w:spacing w:val="40"/>
                <w:sz w:val="18"/>
              </w:rPr>
              <w:t> </w:t>
            </w:r>
            <w:r>
              <w:rPr>
                <w:sz w:val="18"/>
              </w:rPr>
              <w:t>Elaborar</w:t>
            </w:r>
            <w:r>
              <w:rPr>
                <w:spacing w:val="-8"/>
                <w:sz w:val="18"/>
              </w:rPr>
              <w:t> </w:t>
            </w:r>
            <w:r>
              <w:rPr>
                <w:sz w:val="18"/>
              </w:rPr>
              <w:t>un informe anual sobre la normativa publicada que considera elementos de GpRD y Valor Público</w:t>
            </w:r>
          </w:p>
        </w:tc>
        <w:tc>
          <w:tcPr>
            <w:tcW w:w="1354" w:type="dxa"/>
          </w:tcPr>
          <w:p>
            <w:pPr>
              <w:pStyle w:val="TableParagraph"/>
              <w:rPr>
                <w:b/>
                <w:sz w:val="18"/>
              </w:rPr>
            </w:pPr>
          </w:p>
          <w:p>
            <w:pPr>
              <w:pStyle w:val="TableParagraph"/>
              <w:rPr>
                <w:b/>
                <w:sz w:val="18"/>
              </w:rPr>
            </w:pPr>
          </w:p>
          <w:p>
            <w:pPr>
              <w:pStyle w:val="TableParagraph"/>
              <w:spacing w:before="150"/>
              <w:rPr>
                <w:b/>
                <w:sz w:val="18"/>
              </w:rPr>
            </w:pPr>
          </w:p>
          <w:p>
            <w:pPr>
              <w:pStyle w:val="TableParagraph"/>
              <w:spacing w:before="1"/>
              <w:ind w:left="19" w:right="4"/>
              <w:jc w:val="center"/>
              <w:rPr>
                <w:sz w:val="18"/>
              </w:rPr>
            </w:pPr>
            <w:r>
              <w:rPr>
                <w:spacing w:val="-10"/>
                <w:sz w:val="18"/>
              </w:rPr>
              <w:t>1</w:t>
            </w:r>
          </w:p>
        </w:tc>
        <w:tc>
          <w:tcPr>
            <w:tcW w:w="1354" w:type="dxa"/>
          </w:tcPr>
          <w:p>
            <w:pPr>
              <w:pStyle w:val="TableParagraph"/>
              <w:rPr>
                <w:b/>
                <w:sz w:val="18"/>
              </w:rPr>
            </w:pPr>
          </w:p>
          <w:p>
            <w:pPr>
              <w:pStyle w:val="TableParagraph"/>
              <w:rPr>
                <w:b/>
                <w:sz w:val="18"/>
              </w:rPr>
            </w:pPr>
          </w:p>
          <w:p>
            <w:pPr>
              <w:pStyle w:val="TableParagraph"/>
              <w:spacing w:before="150"/>
              <w:rPr>
                <w:b/>
                <w:sz w:val="18"/>
              </w:rPr>
            </w:pPr>
          </w:p>
          <w:p>
            <w:pPr>
              <w:pStyle w:val="TableParagraph"/>
              <w:spacing w:before="1"/>
              <w:ind w:left="19" w:right="4"/>
              <w:jc w:val="center"/>
              <w:rPr>
                <w:sz w:val="18"/>
              </w:rPr>
            </w:pPr>
            <w:r>
              <w:rPr>
                <w:spacing w:val="-10"/>
                <w:sz w:val="18"/>
              </w:rPr>
              <w:t>1</w:t>
            </w:r>
          </w:p>
        </w:tc>
        <w:tc>
          <w:tcPr>
            <w:tcW w:w="1776"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67" w:right="60"/>
              <w:rPr>
                <w:sz w:val="18"/>
              </w:rPr>
            </w:pPr>
            <w:r>
              <w:rPr>
                <w:sz w:val="18"/>
              </w:rPr>
              <w:t>Cantidad de informes</w:t>
            </w:r>
            <w:r>
              <w:rPr>
                <w:spacing w:val="-13"/>
                <w:sz w:val="18"/>
              </w:rPr>
              <w:t> </w:t>
            </w:r>
            <w:r>
              <w:rPr>
                <w:sz w:val="18"/>
              </w:rPr>
              <w:t>elaborados</w:t>
            </w:r>
          </w:p>
        </w:tc>
        <w:tc>
          <w:tcPr>
            <w:tcW w:w="1483" w:type="dxa"/>
          </w:tcPr>
          <w:p>
            <w:pPr>
              <w:pStyle w:val="TableParagraph"/>
              <w:rPr>
                <w:b/>
                <w:sz w:val="18"/>
              </w:rPr>
            </w:pPr>
          </w:p>
          <w:p>
            <w:pPr>
              <w:pStyle w:val="TableParagraph"/>
              <w:spacing w:before="151"/>
              <w:rPr>
                <w:b/>
                <w:sz w:val="18"/>
              </w:rPr>
            </w:pPr>
          </w:p>
          <w:p>
            <w:pPr>
              <w:pStyle w:val="TableParagraph"/>
              <w:spacing w:line="242" w:lineRule="auto"/>
              <w:ind w:left="67"/>
              <w:rPr>
                <w:sz w:val="18"/>
              </w:rPr>
            </w:pPr>
            <w:r>
              <w:rPr>
                <w:sz w:val="18"/>
              </w:rPr>
              <w:t>Informe</w:t>
            </w:r>
            <w:r>
              <w:rPr>
                <w:spacing w:val="-15"/>
                <w:sz w:val="18"/>
              </w:rPr>
              <w:t> </w:t>
            </w:r>
            <w:r>
              <w:rPr>
                <w:sz w:val="18"/>
              </w:rPr>
              <w:t>sobre</w:t>
            </w:r>
            <w:r>
              <w:rPr>
                <w:spacing w:val="-12"/>
                <w:sz w:val="18"/>
              </w:rPr>
              <w:t> </w:t>
            </w:r>
            <w:r>
              <w:rPr>
                <w:sz w:val="18"/>
              </w:rPr>
              <w:t>la </w:t>
            </w:r>
            <w:r>
              <w:rPr>
                <w:spacing w:val="-2"/>
                <w:sz w:val="18"/>
              </w:rPr>
              <w:t>normativa ajustada</w:t>
            </w:r>
          </w:p>
        </w:tc>
        <w:tc>
          <w:tcPr>
            <w:tcW w:w="1296"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422" w:hRule="atLeast"/>
        </w:trPr>
        <w:tc>
          <w:tcPr>
            <w:tcW w:w="14598" w:type="dxa"/>
            <w:gridSpan w:val="8"/>
            <w:shd w:val="clear" w:color="auto" w:fill="EFF8F9"/>
          </w:tcPr>
          <w:p>
            <w:pPr>
              <w:pStyle w:val="TableParagraph"/>
              <w:spacing w:before="104"/>
              <w:ind w:left="72"/>
              <w:rPr>
                <w:b/>
                <w:sz w:val="18"/>
              </w:rPr>
            </w:pPr>
            <w:r>
              <w:rPr>
                <w:b/>
                <w:sz w:val="18"/>
              </w:rPr>
              <w:t>Producto</w:t>
            </w:r>
            <w:r>
              <w:rPr>
                <w:b/>
                <w:spacing w:val="-7"/>
                <w:sz w:val="18"/>
              </w:rPr>
              <w:t> </w:t>
            </w:r>
            <w:r>
              <w:rPr>
                <w:b/>
                <w:sz w:val="18"/>
              </w:rPr>
              <w:t>PAC</w:t>
            </w:r>
            <w:r>
              <w:rPr>
                <w:b/>
                <w:spacing w:val="-8"/>
                <w:sz w:val="18"/>
              </w:rPr>
              <w:t> </w:t>
            </w:r>
            <w:r>
              <w:rPr>
                <w:b/>
                <w:sz w:val="18"/>
              </w:rPr>
              <w:t>2.62:</w:t>
            </w:r>
            <w:r>
              <w:rPr>
                <w:b/>
                <w:spacing w:val="-3"/>
                <w:sz w:val="18"/>
              </w:rPr>
              <w:t> </w:t>
            </w:r>
            <w:r>
              <w:rPr>
                <w:b/>
                <w:sz w:val="18"/>
              </w:rPr>
              <w:t>Jefaturas</w:t>
            </w:r>
            <w:r>
              <w:rPr>
                <w:b/>
                <w:spacing w:val="-6"/>
                <w:sz w:val="18"/>
              </w:rPr>
              <w:t> </w:t>
            </w:r>
            <w:r>
              <w:rPr>
                <w:b/>
                <w:sz w:val="18"/>
              </w:rPr>
              <w:t>y</w:t>
            </w:r>
            <w:r>
              <w:rPr>
                <w:b/>
                <w:spacing w:val="-2"/>
                <w:sz w:val="18"/>
              </w:rPr>
              <w:t> </w:t>
            </w:r>
            <w:r>
              <w:rPr>
                <w:b/>
                <w:sz w:val="18"/>
              </w:rPr>
              <w:t>enlaces</w:t>
            </w:r>
            <w:r>
              <w:rPr>
                <w:b/>
                <w:spacing w:val="-1"/>
                <w:sz w:val="18"/>
              </w:rPr>
              <w:t> </w:t>
            </w:r>
            <w:r>
              <w:rPr>
                <w:b/>
                <w:sz w:val="18"/>
              </w:rPr>
              <w:t>de</w:t>
            </w:r>
            <w:r>
              <w:rPr>
                <w:b/>
                <w:spacing w:val="-6"/>
                <w:sz w:val="18"/>
              </w:rPr>
              <w:t> </w:t>
            </w:r>
            <w:r>
              <w:rPr>
                <w:b/>
                <w:sz w:val="18"/>
              </w:rPr>
              <w:t>unidades</w:t>
            </w:r>
            <w:r>
              <w:rPr>
                <w:b/>
                <w:spacing w:val="-6"/>
                <w:sz w:val="18"/>
              </w:rPr>
              <w:t> </w:t>
            </w:r>
            <w:r>
              <w:rPr>
                <w:b/>
                <w:sz w:val="18"/>
              </w:rPr>
              <w:t>a</w:t>
            </w:r>
            <w:r>
              <w:rPr>
                <w:b/>
                <w:spacing w:val="-5"/>
                <w:sz w:val="18"/>
              </w:rPr>
              <w:t> </w:t>
            </w:r>
            <w:r>
              <w:rPr>
                <w:b/>
                <w:sz w:val="18"/>
              </w:rPr>
              <w:t>cargo</w:t>
            </w:r>
            <w:r>
              <w:rPr>
                <w:b/>
                <w:spacing w:val="-2"/>
                <w:sz w:val="18"/>
              </w:rPr>
              <w:t> </w:t>
            </w:r>
            <w:r>
              <w:rPr>
                <w:b/>
                <w:sz w:val="18"/>
              </w:rPr>
              <w:t>de</w:t>
            </w:r>
            <w:r>
              <w:rPr>
                <w:b/>
                <w:spacing w:val="-6"/>
                <w:sz w:val="18"/>
              </w:rPr>
              <w:t> </w:t>
            </w:r>
            <w:r>
              <w:rPr>
                <w:b/>
                <w:sz w:val="18"/>
              </w:rPr>
              <w:t>procesos</w:t>
            </w:r>
            <w:r>
              <w:rPr>
                <w:b/>
                <w:spacing w:val="-5"/>
                <w:sz w:val="18"/>
              </w:rPr>
              <w:t> </w:t>
            </w:r>
            <w:r>
              <w:rPr>
                <w:b/>
                <w:sz w:val="18"/>
              </w:rPr>
              <w:t>de</w:t>
            </w:r>
            <w:r>
              <w:rPr>
                <w:b/>
                <w:spacing w:val="-6"/>
                <w:sz w:val="18"/>
              </w:rPr>
              <w:t> </w:t>
            </w:r>
            <w:r>
              <w:rPr>
                <w:b/>
                <w:sz w:val="18"/>
              </w:rPr>
              <w:t>Planificación,</w:t>
            </w:r>
            <w:r>
              <w:rPr>
                <w:b/>
                <w:spacing w:val="-3"/>
                <w:sz w:val="18"/>
              </w:rPr>
              <w:t> </w:t>
            </w:r>
            <w:r>
              <w:rPr>
                <w:b/>
                <w:sz w:val="18"/>
              </w:rPr>
              <w:t>capacitados</w:t>
            </w:r>
            <w:r>
              <w:rPr>
                <w:b/>
                <w:spacing w:val="-6"/>
                <w:sz w:val="18"/>
              </w:rPr>
              <w:t> </w:t>
            </w:r>
            <w:r>
              <w:rPr>
                <w:b/>
                <w:sz w:val="18"/>
              </w:rPr>
              <w:t>en</w:t>
            </w:r>
            <w:r>
              <w:rPr>
                <w:b/>
                <w:spacing w:val="-7"/>
                <w:sz w:val="18"/>
              </w:rPr>
              <w:t> </w:t>
            </w:r>
            <w:r>
              <w:rPr>
                <w:b/>
                <w:sz w:val="18"/>
              </w:rPr>
              <w:t>GpRD</w:t>
            </w:r>
            <w:r>
              <w:rPr>
                <w:b/>
                <w:spacing w:val="-11"/>
                <w:sz w:val="18"/>
              </w:rPr>
              <w:t> </w:t>
            </w:r>
            <w:r>
              <w:rPr>
                <w:b/>
                <w:sz w:val="18"/>
              </w:rPr>
              <w:t>y</w:t>
            </w:r>
            <w:r>
              <w:rPr>
                <w:b/>
                <w:spacing w:val="-2"/>
                <w:sz w:val="18"/>
              </w:rPr>
              <w:t> </w:t>
            </w:r>
            <w:r>
              <w:rPr>
                <w:b/>
                <w:sz w:val="18"/>
              </w:rPr>
              <w:t>valor</w:t>
            </w:r>
            <w:r>
              <w:rPr>
                <w:b/>
                <w:spacing w:val="-4"/>
                <w:sz w:val="18"/>
              </w:rPr>
              <w:t> </w:t>
            </w:r>
            <w:r>
              <w:rPr>
                <w:b/>
                <w:sz w:val="18"/>
              </w:rPr>
              <w:t>público.</w:t>
            </w:r>
            <w:r>
              <w:rPr>
                <w:b/>
                <w:spacing w:val="6"/>
                <w:sz w:val="18"/>
              </w:rPr>
              <w:t> </w:t>
            </w:r>
            <w:r>
              <w:rPr>
                <w:b/>
                <w:sz w:val="18"/>
              </w:rPr>
              <w:t>E1</w:t>
            </w:r>
            <w:r>
              <w:rPr>
                <w:b/>
                <w:spacing w:val="-1"/>
                <w:sz w:val="18"/>
              </w:rPr>
              <w:t> </w:t>
            </w:r>
            <w:r>
              <w:rPr>
                <w:b/>
                <w:sz w:val="18"/>
              </w:rPr>
              <w:t>AE1</w:t>
            </w:r>
            <w:r>
              <w:rPr>
                <w:b/>
                <w:spacing w:val="-6"/>
                <w:sz w:val="18"/>
              </w:rPr>
              <w:t> </w:t>
            </w:r>
            <w:r>
              <w:rPr>
                <w:b/>
                <w:sz w:val="18"/>
              </w:rPr>
              <w:t>R2</w:t>
            </w:r>
            <w:r>
              <w:rPr>
                <w:b/>
                <w:spacing w:val="-6"/>
                <w:sz w:val="18"/>
              </w:rPr>
              <w:t> </w:t>
            </w:r>
            <w:r>
              <w:rPr>
                <w:b/>
                <w:spacing w:val="-2"/>
                <w:sz w:val="18"/>
              </w:rPr>
              <w:t>(100%)</w:t>
            </w:r>
          </w:p>
        </w:tc>
      </w:tr>
    </w:tbl>
    <w:p>
      <w:pPr>
        <w:pStyle w:val="TableParagraph"/>
        <w:spacing w:after="0"/>
        <w:rPr>
          <w:b/>
          <w:sz w:val="18"/>
        </w:rPr>
        <w:sectPr>
          <w:pgSz w:w="15840" w:h="12240" w:orient="landscape"/>
          <w:pgMar w:header="0" w:footer="1806" w:top="700" w:bottom="2828"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785" w:hRule="atLeast"/>
        </w:trPr>
        <w:tc>
          <w:tcPr>
            <w:tcW w:w="3193" w:type="dxa"/>
          </w:tcPr>
          <w:p>
            <w:pPr>
              <w:pStyle w:val="TableParagraph"/>
              <w:spacing w:before="167"/>
              <w:ind w:left="72" w:right="111"/>
              <w:rPr>
                <w:sz w:val="18"/>
              </w:rPr>
            </w:pPr>
            <w:r>
              <w:rPr>
                <w:b/>
                <w:sz w:val="18"/>
              </w:rPr>
              <w:t>Actividad PAC 2.62.1:</w:t>
            </w:r>
            <w:r>
              <w:rPr>
                <w:b/>
                <w:spacing w:val="40"/>
                <w:sz w:val="18"/>
              </w:rPr>
              <w:t> </w:t>
            </w:r>
            <w:r>
              <w:rPr>
                <w:sz w:val="18"/>
              </w:rPr>
              <w:t>Coordinar con Desarrollo Humano la implementación del módulo de capacitación en temas de GpRD y valor público en</w:t>
            </w:r>
            <w:r>
              <w:rPr>
                <w:spacing w:val="-1"/>
                <w:sz w:val="18"/>
              </w:rPr>
              <w:t> </w:t>
            </w:r>
            <w:r>
              <w:rPr>
                <w:sz w:val="18"/>
              </w:rPr>
              <w:t>formato presencia, virtual</w:t>
            </w:r>
            <w:r>
              <w:rPr>
                <w:spacing w:val="-7"/>
                <w:sz w:val="18"/>
              </w:rPr>
              <w:t> </w:t>
            </w:r>
            <w:r>
              <w:rPr>
                <w:sz w:val="18"/>
              </w:rPr>
              <w:t>y</w:t>
            </w:r>
            <w:r>
              <w:rPr>
                <w:spacing w:val="-5"/>
                <w:sz w:val="18"/>
              </w:rPr>
              <w:t> </w:t>
            </w:r>
            <w:r>
              <w:rPr>
                <w:sz w:val="18"/>
              </w:rPr>
              <w:t>por</w:t>
            </w:r>
            <w:r>
              <w:rPr>
                <w:spacing w:val="-8"/>
                <w:sz w:val="18"/>
              </w:rPr>
              <w:t> </w:t>
            </w:r>
            <w:r>
              <w:rPr>
                <w:sz w:val="18"/>
              </w:rPr>
              <w:t>medio</w:t>
            </w:r>
            <w:r>
              <w:rPr>
                <w:spacing w:val="-1"/>
                <w:sz w:val="18"/>
              </w:rPr>
              <w:t> </w:t>
            </w:r>
            <w:r>
              <w:rPr>
                <w:sz w:val="18"/>
              </w:rPr>
              <w:t>de</w:t>
            </w:r>
            <w:r>
              <w:rPr>
                <w:spacing w:val="-1"/>
                <w:sz w:val="18"/>
              </w:rPr>
              <w:t> </w:t>
            </w:r>
            <w:r>
              <w:rPr>
                <w:sz w:val="18"/>
              </w:rPr>
              <w:t>un</w:t>
            </w:r>
            <w:r>
              <w:rPr>
                <w:spacing w:val="-10"/>
                <w:sz w:val="18"/>
              </w:rPr>
              <w:t> </w:t>
            </w:r>
            <w:r>
              <w:rPr>
                <w:sz w:val="18"/>
              </w:rPr>
              <w:t>módulo</w:t>
            </w:r>
            <w:r>
              <w:rPr>
                <w:spacing w:val="-5"/>
                <w:sz w:val="18"/>
              </w:rPr>
              <w:t> </w:t>
            </w:r>
            <w:r>
              <w:rPr>
                <w:sz w:val="18"/>
              </w:rPr>
              <w:t>de </w:t>
            </w:r>
            <w:r>
              <w:rPr>
                <w:spacing w:val="-2"/>
                <w:sz w:val="18"/>
              </w:rPr>
              <w:t>autoaprendizaje.</w:t>
            </w:r>
          </w:p>
        </w:tc>
        <w:tc>
          <w:tcPr>
            <w:tcW w:w="1354" w:type="dxa"/>
          </w:tcPr>
          <w:p>
            <w:pPr>
              <w:pStyle w:val="TableParagraph"/>
              <w:rPr>
                <w:b/>
                <w:sz w:val="18"/>
              </w:rPr>
            </w:pPr>
          </w:p>
          <w:p>
            <w:pPr>
              <w:pStyle w:val="TableParagraph"/>
              <w:rPr>
                <w:b/>
                <w:sz w:val="18"/>
              </w:rPr>
            </w:pPr>
          </w:p>
          <w:p>
            <w:pPr>
              <w:pStyle w:val="TableParagraph"/>
              <w:spacing w:before="165"/>
              <w:rPr>
                <w:b/>
                <w:sz w:val="18"/>
              </w:rPr>
            </w:pPr>
          </w:p>
          <w:p>
            <w:pPr>
              <w:pStyle w:val="TableParagraph"/>
              <w:ind w:left="19" w:right="4"/>
              <w:jc w:val="center"/>
              <w:rPr>
                <w:sz w:val="18"/>
              </w:rPr>
            </w:pPr>
            <w:r>
              <w:rPr>
                <w:spacing w:val="-10"/>
                <w:sz w:val="18"/>
              </w:rPr>
              <w:t>1</w:t>
            </w:r>
          </w:p>
        </w:tc>
        <w:tc>
          <w:tcPr>
            <w:tcW w:w="1354" w:type="dxa"/>
          </w:tcPr>
          <w:p>
            <w:pPr>
              <w:pStyle w:val="TableParagraph"/>
              <w:rPr>
                <w:b/>
                <w:sz w:val="18"/>
              </w:rPr>
            </w:pPr>
          </w:p>
          <w:p>
            <w:pPr>
              <w:pStyle w:val="TableParagraph"/>
              <w:rPr>
                <w:b/>
                <w:sz w:val="18"/>
              </w:rPr>
            </w:pPr>
          </w:p>
          <w:p>
            <w:pPr>
              <w:pStyle w:val="TableParagraph"/>
              <w:spacing w:before="165"/>
              <w:rPr>
                <w:b/>
                <w:sz w:val="18"/>
              </w:rPr>
            </w:pPr>
          </w:p>
          <w:p>
            <w:pPr>
              <w:pStyle w:val="TableParagraph"/>
              <w:ind w:left="19" w:right="4"/>
              <w:jc w:val="center"/>
              <w:rPr>
                <w:sz w:val="18"/>
              </w:rPr>
            </w:pPr>
            <w:r>
              <w:rPr>
                <w:spacing w:val="-10"/>
                <w:sz w:val="18"/>
              </w:rPr>
              <w:t>1</w:t>
            </w:r>
          </w:p>
        </w:tc>
        <w:tc>
          <w:tcPr>
            <w:tcW w:w="1776" w:type="dxa"/>
          </w:tcPr>
          <w:p>
            <w:pPr>
              <w:pStyle w:val="TableParagraph"/>
              <w:rPr>
                <w:b/>
                <w:sz w:val="18"/>
              </w:rPr>
            </w:pPr>
          </w:p>
          <w:p>
            <w:pPr>
              <w:pStyle w:val="TableParagraph"/>
              <w:spacing w:before="165"/>
              <w:rPr>
                <w:b/>
                <w:sz w:val="18"/>
              </w:rPr>
            </w:pPr>
          </w:p>
          <w:p>
            <w:pPr>
              <w:pStyle w:val="TableParagraph"/>
              <w:spacing w:line="242" w:lineRule="auto"/>
              <w:ind w:left="67" w:right="131"/>
              <w:rPr>
                <w:sz w:val="18"/>
              </w:rPr>
            </w:pPr>
            <w:r>
              <w:rPr>
                <w:sz w:val="18"/>
              </w:rPr>
              <w:t>Cantidad de módulos</w:t>
            </w:r>
            <w:r>
              <w:rPr>
                <w:spacing w:val="-13"/>
                <w:sz w:val="18"/>
              </w:rPr>
              <w:t> </w:t>
            </w:r>
            <w:r>
              <w:rPr>
                <w:sz w:val="18"/>
              </w:rPr>
              <w:t>impartidos a funcionarios</w:t>
            </w:r>
          </w:p>
        </w:tc>
        <w:tc>
          <w:tcPr>
            <w:tcW w:w="1483" w:type="dxa"/>
          </w:tcPr>
          <w:p>
            <w:pPr>
              <w:pStyle w:val="TableParagraph"/>
              <w:spacing w:before="166"/>
              <w:rPr>
                <w:b/>
                <w:sz w:val="18"/>
              </w:rPr>
            </w:pPr>
          </w:p>
          <w:p>
            <w:pPr>
              <w:pStyle w:val="TableParagraph"/>
              <w:ind w:left="67" w:right="89"/>
              <w:rPr>
                <w:sz w:val="18"/>
              </w:rPr>
            </w:pPr>
            <w:r>
              <w:rPr>
                <w:spacing w:val="-2"/>
                <w:sz w:val="18"/>
              </w:rPr>
              <w:t>Programación</w:t>
            </w:r>
            <w:r>
              <w:rPr>
                <w:spacing w:val="40"/>
                <w:sz w:val="18"/>
              </w:rPr>
              <w:t> </w:t>
            </w:r>
            <w:r>
              <w:rPr>
                <w:sz w:val="18"/>
              </w:rPr>
              <w:t>de las </w:t>
            </w:r>
            <w:r>
              <w:rPr>
                <w:spacing w:val="-2"/>
                <w:sz w:val="18"/>
              </w:rPr>
              <w:t>capacitaciones </w:t>
            </w:r>
            <w:r>
              <w:rPr>
                <w:sz w:val="18"/>
              </w:rPr>
              <w:t>en</w:t>
            </w:r>
            <w:r>
              <w:rPr>
                <w:spacing w:val="-13"/>
                <w:sz w:val="18"/>
              </w:rPr>
              <w:t> </w:t>
            </w:r>
            <w:r>
              <w:rPr>
                <w:sz w:val="18"/>
              </w:rPr>
              <w:t>GpRD</w:t>
            </w:r>
            <w:r>
              <w:rPr>
                <w:spacing w:val="-12"/>
                <w:sz w:val="18"/>
              </w:rPr>
              <w:t> </w:t>
            </w:r>
            <w:r>
              <w:rPr>
                <w:sz w:val="18"/>
              </w:rPr>
              <w:t>y</w:t>
            </w:r>
            <w:r>
              <w:rPr>
                <w:spacing w:val="-10"/>
                <w:sz w:val="18"/>
              </w:rPr>
              <w:t> </w:t>
            </w:r>
            <w:r>
              <w:rPr>
                <w:sz w:val="18"/>
              </w:rPr>
              <w:t>valor </w:t>
            </w:r>
            <w:r>
              <w:rPr>
                <w:spacing w:val="-2"/>
                <w:sz w:val="18"/>
              </w:rPr>
              <w:t>público</w:t>
            </w:r>
          </w:p>
        </w:tc>
        <w:tc>
          <w:tcPr>
            <w:tcW w:w="1296" w:type="dxa"/>
          </w:tcPr>
          <w:p>
            <w:pPr>
              <w:pStyle w:val="TableParagraph"/>
              <w:rPr>
                <w:b/>
                <w:sz w:val="18"/>
              </w:rPr>
            </w:pPr>
          </w:p>
          <w:p>
            <w:pPr>
              <w:pStyle w:val="TableParagraph"/>
              <w:rPr>
                <w:b/>
                <w:sz w:val="18"/>
              </w:rPr>
            </w:pPr>
          </w:p>
          <w:p>
            <w:pPr>
              <w:pStyle w:val="TableParagraph"/>
              <w:spacing w:before="64"/>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6"/>
              <w:rPr>
                <w:b/>
                <w:sz w:val="18"/>
              </w:rPr>
            </w:pPr>
          </w:p>
          <w:p>
            <w:pPr>
              <w:pStyle w:val="TableParagraph"/>
              <w:ind w:left="74" w:right="112"/>
              <w:rPr>
                <w:sz w:val="18"/>
              </w:rPr>
            </w:pPr>
            <w:r>
              <w:rPr>
                <w:sz w:val="18"/>
              </w:rPr>
              <w:t>Evento: Jefaturas y enlaces sin conocimiento</w:t>
            </w:r>
            <w:r>
              <w:rPr>
                <w:spacing w:val="-15"/>
                <w:sz w:val="18"/>
              </w:rPr>
              <w:t> </w:t>
            </w:r>
            <w:r>
              <w:rPr>
                <w:sz w:val="18"/>
              </w:rPr>
              <w:t>en</w:t>
            </w:r>
            <w:r>
              <w:rPr>
                <w:spacing w:val="-12"/>
                <w:sz w:val="18"/>
              </w:rPr>
              <w:t> </w:t>
            </w:r>
            <w:r>
              <w:rPr>
                <w:sz w:val="18"/>
              </w:rPr>
              <w:t>como implementar GpRD y Valor Público</w:t>
            </w:r>
          </w:p>
        </w:tc>
      </w:tr>
      <w:tr>
        <w:trPr>
          <w:trHeight w:val="1449" w:hRule="atLeast"/>
        </w:trPr>
        <w:tc>
          <w:tcPr>
            <w:tcW w:w="3193" w:type="dxa"/>
          </w:tcPr>
          <w:p>
            <w:pPr>
              <w:pStyle w:val="TableParagraph"/>
              <w:ind w:left="72"/>
              <w:rPr>
                <w:sz w:val="18"/>
              </w:rPr>
            </w:pPr>
            <w:r>
              <w:rPr>
                <w:b/>
                <w:sz w:val="18"/>
              </w:rPr>
              <w:t>Actividad PAC 2.62.2: </w:t>
            </w:r>
            <w:r>
              <w:rPr>
                <w:sz w:val="18"/>
              </w:rPr>
              <w:t>Dar seguimiento</w:t>
            </w:r>
            <w:r>
              <w:rPr>
                <w:spacing w:val="-12"/>
                <w:sz w:val="18"/>
              </w:rPr>
              <w:t> </w:t>
            </w:r>
            <w:r>
              <w:rPr>
                <w:sz w:val="18"/>
              </w:rPr>
              <w:t>a</w:t>
            </w:r>
            <w:r>
              <w:rPr>
                <w:spacing w:val="-9"/>
                <w:sz w:val="18"/>
              </w:rPr>
              <w:t> </w:t>
            </w:r>
            <w:r>
              <w:rPr>
                <w:sz w:val="18"/>
              </w:rPr>
              <w:t>la</w:t>
            </w:r>
            <w:r>
              <w:rPr>
                <w:spacing w:val="-12"/>
                <w:sz w:val="18"/>
              </w:rPr>
              <w:t> </w:t>
            </w:r>
            <w:r>
              <w:rPr>
                <w:sz w:val="18"/>
              </w:rPr>
              <w:t>implementación,</w:t>
            </w:r>
            <w:r>
              <w:rPr>
                <w:spacing w:val="-6"/>
                <w:sz w:val="18"/>
              </w:rPr>
              <w:t> </w:t>
            </w:r>
            <w:r>
              <w:rPr>
                <w:sz w:val="18"/>
              </w:rPr>
              <w:t>por parte de Desarrollo Humano, de capacitaciones en la</w:t>
            </w:r>
            <w:r>
              <w:rPr>
                <w:spacing w:val="-1"/>
                <w:sz w:val="18"/>
              </w:rPr>
              <w:t> </w:t>
            </w:r>
            <w:r>
              <w:rPr>
                <w:sz w:val="18"/>
              </w:rPr>
              <w:t>metodología de GpRD y valor público en formato presencial, virtual y en el módulo de</w:t>
            </w:r>
          </w:p>
          <w:p>
            <w:pPr>
              <w:pStyle w:val="TableParagraph"/>
              <w:spacing w:line="187" w:lineRule="exact" w:before="1"/>
              <w:ind w:left="72"/>
              <w:rPr>
                <w:sz w:val="18"/>
              </w:rPr>
            </w:pPr>
            <w:r>
              <w:rPr>
                <w:spacing w:val="-2"/>
                <w:sz w:val="18"/>
              </w:rPr>
              <w:t>autoaprendizaje.</w:t>
            </w:r>
          </w:p>
        </w:tc>
        <w:tc>
          <w:tcPr>
            <w:tcW w:w="1354" w:type="dxa"/>
          </w:tcPr>
          <w:p>
            <w:pPr>
              <w:pStyle w:val="TableParagraph"/>
              <w:rPr>
                <w:b/>
                <w:sz w:val="18"/>
              </w:rPr>
            </w:pPr>
          </w:p>
          <w:p>
            <w:pPr>
              <w:pStyle w:val="TableParagraph"/>
              <w:spacing w:before="204"/>
              <w:rPr>
                <w:b/>
                <w:sz w:val="18"/>
              </w:rPr>
            </w:pPr>
          </w:p>
          <w:p>
            <w:pPr>
              <w:pStyle w:val="TableParagraph"/>
              <w:ind w:left="19" w:right="4"/>
              <w:jc w:val="center"/>
              <w:rPr>
                <w:sz w:val="18"/>
              </w:rPr>
            </w:pPr>
            <w:r>
              <w:rPr>
                <w:spacing w:val="-10"/>
                <w:sz w:val="18"/>
              </w:rPr>
              <w:t>1</w:t>
            </w:r>
          </w:p>
        </w:tc>
        <w:tc>
          <w:tcPr>
            <w:tcW w:w="1354" w:type="dxa"/>
          </w:tcPr>
          <w:p>
            <w:pPr>
              <w:pStyle w:val="TableParagraph"/>
              <w:rPr>
                <w:b/>
                <w:sz w:val="18"/>
              </w:rPr>
            </w:pPr>
          </w:p>
          <w:p>
            <w:pPr>
              <w:pStyle w:val="TableParagraph"/>
              <w:spacing w:before="204"/>
              <w:rPr>
                <w:b/>
                <w:sz w:val="18"/>
              </w:rPr>
            </w:pPr>
          </w:p>
          <w:p>
            <w:pPr>
              <w:pStyle w:val="TableParagraph"/>
              <w:ind w:left="19" w:right="4"/>
              <w:jc w:val="center"/>
              <w:rPr>
                <w:sz w:val="18"/>
              </w:rPr>
            </w:pPr>
            <w:r>
              <w:rPr>
                <w:spacing w:val="-10"/>
                <w:sz w:val="18"/>
              </w:rPr>
              <w:t>3</w:t>
            </w:r>
          </w:p>
        </w:tc>
        <w:tc>
          <w:tcPr>
            <w:tcW w:w="1776" w:type="dxa"/>
          </w:tcPr>
          <w:p>
            <w:pPr>
              <w:pStyle w:val="TableParagraph"/>
              <w:spacing w:before="103"/>
              <w:rPr>
                <w:b/>
                <w:sz w:val="18"/>
              </w:rPr>
            </w:pPr>
          </w:p>
          <w:p>
            <w:pPr>
              <w:pStyle w:val="TableParagraph"/>
              <w:spacing w:before="1"/>
              <w:ind w:left="67" w:right="60"/>
              <w:rPr>
                <w:sz w:val="18"/>
              </w:rPr>
            </w:pPr>
            <w:r>
              <w:rPr>
                <w:sz w:val="18"/>
              </w:rPr>
              <w:t>Cantidad de sesiones de </w:t>
            </w:r>
            <w:r>
              <w:rPr>
                <w:spacing w:val="-2"/>
                <w:sz w:val="18"/>
              </w:rPr>
              <w:t>coordinación desarrolladas</w:t>
            </w:r>
          </w:p>
        </w:tc>
        <w:tc>
          <w:tcPr>
            <w:tcW w:w="1483" w:type="dxa"/>
          </w:tcPr>
          <w:p>
            <w:pPr>
              <w:pStyle w:val="TableParagraph"/>
              <w:ind w:left="67" w:right="68"/>
              <w:rPr>
                <w:sz w:val="18"/>
              </w:rPr>
            </w:pPr>
            <w:r>
              <w:rPr>
                <w:sz w:val="18"/>
              </w:rPr>
              <w:t>Plan de </w:t>
            </w:r>
            <w:r>
              <w:rPr>
                <w:spacing w:val="-2"/>
                <w:sz w:val="18"/>
              </w:rPr>
              <w:t>capacitación Institucional/ </w:t>
            </w:r>
            <w:r>
              <w:rPr>
                <w:sz w:val="18"/>
              </w:rPr>
              <w:t>Programa de </w:t>
            </w:r>
            <w:r>
              <w:rPr>
                <w:spacing w:val="-2"/>
                <w:sz w:val="18"/>
              </w:rPr>
              <w:t>capacitaciones </w:t>
            </w:r>
            <w:r>
              <w:rPr>
                <w:sz w:val="18"/>
              </w:rPr>
              <w:t>en</w:t>
            </w:r>
            <w:r>
              <w:rPr>
                <w:spacing w:val="-13"/>
                <w:sz w:val="18"/>
              </w:rPr>
              <w:t> </w:t>
            </w:r>
            <w:r>
              <w:rPr>
                <w:sz w:val="18"/>
              </w:rPr>
              <w:t>GpRD</w:t>
            </w:r>
            <w:r>
              <w:rPr>
                <w:spacing w:val="-12"/>
                <w:sz w:val="18"/>
              </w:rPr>
              <w:t> </w:t>
            </w:r>
            <w:r>
              <w:rPr>
                <w:sz w:val="18"/>
              </w:rPr>
              <w:t>y</w:t>
            </w:r>
            <w:r>
              <w:rPr>
                <w:spacing w:val="-10"/>
                <w:sz w:val="18"/>
              </w:rPr>
              <w:t> </w:t>
            </w:r>
            <w:r>
              <w:rPr>
                <w:sz w:val="18"/>
              </w:rPr>
              <w:t>valor</w:t>
            </w:r>
          </w:p>
          <w:p>
            <w:pPr>
              <w:pStyle w:val="TableParagraph"/>
              <w:spacing w:line="187" w:lineRule="exact" w:before="1"/>
              <w:ind w:left="67"/>
              <w:rPr>
                <w:sz w:val="18"/>
              </w:rPr>
            </w:pPr>
            <w:r>
              <w:rPr>
                <w:spacing w:val="-2"/>
                <w:sz w:val="18"/>
              </w:rPr>
              <w:t>público</w:t>
            </w:r>
          </w:p>
        </w:tc>
        <w:tc>
          <w:tcPr>
            <w:tcW w:w="1296" w:type="dxa"/>
          </w:tcPr>
          <w:p>
            <w:pPr>
              <w:pStyle w:val="TableParagraph"/>
              <w:rPr>
                <w:b/>
                <w:sz w:val="18"/>
              </w:rPr>
            </w:pPr>
          </w:p>
          <w:p>
            <w:pPr>
              <w:pStyle w:val="TableParagraph"/>
              <w:spacing w:before="104"/>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862" w:hRule="atLeast"/>
        </w:trPr>
        <w:tc>
          <w:tcPr>
            <w:tcW w:w="3193" w:type="dxa"/>
          </w:tcPr>
          <w:p>
            <w:pPr>
              <w:pStyle w:val="TableParagraph"/>
              <w:spacing w:before="205"/>
              <w:ind w:left="72" w:right="111"/>
              <w:rPr>
                <w:sz w:val="18"/>
              </w:rPr>
            </w:pPr>
            <w:r>
              <w:rPr>
                <w:b/>
                <w:sz w:val="18"/>
              </w:rPr>
              <w:t>Actividad</w:t>
            </w:r>
            <w:r>
              <w:rPr>
                <w:b/>
                <w:spacing w:val="-10"/>
                <w:sz w:val="18"/>
              </w:rPr>
              <w:t> </w:t>
            </w:r>
            <w:r>
              <w:rPr>
                <w:b/>
                <w:sz w:val="18"/>
              </w:rPr>
              <w:t>PAC</w:t>
            </w:r>
            <w:r>
              <w:rPr>
                <w:b/>
                <w:spacing w:val="-6"/>
                <w:sz w:val="18"/>
              </w:rPr>
              <w:t> </w:t>
            </w:r>
            <w:r>
              <w:rPr>
                <w:b/>
                <w:sz w:val="18"/>
              </w:rPr>
              <w:t>2.62.3:</w:t>
            </w:r>
            <w:r>
              <w:rPr>
                <w:b/>
                <w:spacing w:val="-5"/>
                <w:sz w:val="18"/>
              </w:rPr>
              <w:t> </w:t>
            </w:r>
            <w:r>
              <w:rPr>
                <w:sz w:val="18"/>
              </w:rPr>
              <w:t>Identificar</w:t>
            </w:r>
            <w:r>
              <w:rPr>
                <w:spacing w:val="-4"/>
                <w:sz w:val="18"/>
              </w:rPr>
              <w:t> </w:t>
            </w:r>
            <w:r>
              <w:rPr>
                <w:sz w:val="18"/>
              </w:rPr>
              <w:t>el porcentaje de dependencias administrativas</w:t>
            </w:r>
            <w:r>
              <w:rPr>
                <w:spacing w:val="-11"/>
                <w:sz w:val="18"/>
              </w:rPr>
              <w:t> </w:t>
            </w:r>
            <w:r>
              <w:rPr>
                <w:sz w:val="18"/>
              </w:rPr>
              <w:t>IMAS</w:t>
            </w:r>
            <w:r>
              <w:rPr>
                <w:spacing w:val="-12"/>
                <w:sz w:val="18"/>
              </w:rPr>
              <w:t> </w:t>
            </w:r>
            <w:r>
              <w:rPr>
                <w:sz w:val="18"/>
              </w:rPr>
              <w:t>que</w:t>
            </w:r>
            <w:r>
              <w:rPr>
                <w:spacing w:val="-12"/>
                <w:sz w:val="18"/>
              </w:rPr>
              <w:t> </w:t>
            </w:r>
            <w:r>
              <w:rPr>
                <w:sz w:val="18"/>
              </w:rPr>
              <w:t>recibieron capacitación en la metodología de GpRD y valor público según modalidad presencial, virtual y </w:t>
            </w:r>
            <w:r>
              <w:rPr>
                <w:spacing w:val="-2"/>
                <w:sz w:val="18"/>
              </w:rPr>
              <w:t>autoaprendizaje</w:t>
            </w:r>
          </w:p>
        </w:tc>
        <w:tc>
          <w:tcPr>
            <w:tcW w:w="1354"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19" w:right="7"/>
              <w:jc w:val="center"/>
              <w:rPr>
                <w:sz w:val="18"/>
              </w:rPr>
            </w:pPr>
            <w:r>
              <w:rPr>
                <w:spacing w:val="-4"/>
                <w:sz w:val="18"/>
              </w:rPr>
              <w:t>100%</w:t>
            </w:r>
          </w:p>
        </w:tc>
        <w:tc>
          <w:tcPr>
            <w:tcW w:w="1776" w:type="dxa"/>
          </w:tcPr>
          <w:p>
            <w:pPr>
              <w:pStyle w:val="TableParagraph"/>
              <w:spacing w:before="205"/>
              <w:rPr>
                <w:b/>
                <w:sz w:val="18"/>
              </w:rPr>
            </w:pPr>
          </w:p>
          <w:p>
            <w:pPr>
              <w:pStyle w:val="TableParagraph"/>
              <w:ind w:left="67" w:right="131"/>
              <w:rPr>
                <w:sz w:val="18"/>
              </w:rPr>
            </w:pPr>
            <w:r>
              <w:rPr>
                <w:sz w:val="18"/>
              </w:rPr>
              <w:t>Porcentaje de </w:t>
            </w:r>
            <w:r>
              <w:rPr>
                <w:spacing w:val="-2"/>
                <w:sz w:val="18"/>
              </w:rPr>
              <w:t>dependencias administrativas </w:t>
            </w:r>
            <w:r>
              <w:rPr>
                <w:sz w:val="18"/>
              </w:rPr>
              <w:t>IMAS capacitadas en</w:t>
            </w:r>
            <w:r>
              <w:rPr>
                <w:spacing w:val="-9"/>
                <w:sz w:val="18"/>
              </w:rPr>
              <w:t> </w:t>
            </w:r>
            <w:r>
              <w:rPr>
                <w:sz w:val="18"/>
              </w:rPr>
              <w:t>temas</w:t>
            </w:r>
            <w:r>
              <w:rPr>
                <w:spacing w:val="-12"/>
                <w:sz w:val="18"/>
              </w:rPr>
              <w:t> </w:t>
            </w:r>
            <w:r>
              <w:rPr>
                <w:sz w:val="18"/>
              </w:rPr>
              <w:t>de</w:t>
            </w:r>
            <w:r>
              <w:rPr>
                <w:spacing w:val="-12"/>
                <w:sz w:val="18"/>
              </w:rPr>
              <w:t> </w:t>
            </w:r>
            <w:r>
              <w:rPr>
                <w:sz w:val="18"/>
              </w:rPr>
              <w:t>GpRD</w:t>
            </w:r>
          </w:p>
        </w:tc>
        <w:tc>
          <w:tcPr>
            <w:tcW w:w="1483" w:type="dxa"/>
          </w:tcPr>
          <w:p>
            <w:pPr>
              <w:pStyle w:val="TableParagraph"/>
              <w:ind w:left="67" w:right="108"/>
              <w:rPr>
                <w:sz w:val="18"/>
              </w:rPr>
            </w:pPr>
            <w:r>
              <w:rPr>
                <w:sz w:val="18"/>
              </w:rPr>
              <w:t>Listas de asistencia a las sesiones de capacitación en la metodología de GpRD coordinadas</w:t>
            </w:r>
            <w:r>
              <w:rPr>
                <w:spacing w:val="-13"/>
                <w:sz w:val="18"/>
              </w:rPr>
              <w:t> </w:t>
            </w:r>
            <w:r>
              <w:rPr>
                <w:sz w:val="18"/>
              </w:rPr>
              <w:t>por</w:t>
            </w:r>
          </w:p>
          <w:p>
            <w:pPr>
              <w:pStyle w:val="TableParagraph"/>
              <w:spacing w:line="206" w:lineRule="exact"/>
              <w:ind w:left="67"/>
              <w:rPr>
                <w:sz w:val="18"/>
              </w:rPr>
            </w:pPr>
            <w:r>
              <w:rPr>
                <w:spacing w:val="-2"/>
                <w:sz w:val="18"/>
              </w:rPr>
              <w:t>Desarrollo Humano</w:t>
            </w:r>
          </w:p>
        </w:tc>
        <w:tc>
          <w:tcPr>
            <w:tcW w:w="129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479" w:hRule="atLeast"/>
        </w:trPr>
        <w:tc>
          <w:tcPr>
            <w:tcW w:w="14598" w:type="dxa"/>
            <w:gridSpan w:val="8"/>
            <w:shd w:val="clear" w:color="auto" w:fill="EFF8F9"/>
          </w:tcPr>
          <w:p>
            <w:pPr>
              <w:pStyle w:val="TableParagraph"/>
              <w:spacing w:before="138"/>
              <w:ind w:left="72"/>
              <w:rPr>
                <w:b/>
                <w:sz w:val="18"/>
              </w:rPr>
            </w:pPr>
            <w:r>
              <w:rPr>
                <w:b/>
                <w:sz w:val="18"/>
              </w:rPr>
              <w:t>Producto</w:t>
            </w:r>
            <w:r>
              <w:rPr>
                <w:b/>
                <w:spacing w:val="-7"/>
                <w:sz w:val="18"/>
              </w:rPr>
              <w:t> </w:t>
            </w:r>
            <w:r>
              <w:rPr>
                <w:b/>
                <w:sz w:val="18"/>
              </w:rPr>
              <w:t>PAC</w:t>
            </w:r>
            <w:r>
              <w:rPr>
                <w:b/>
                <w:spacing w:val="-8"/>
                <w:sz w:val="18"/>
              </w:rPr>
              <w:t> </w:t>
            </w:r>
            <w:r>
              <w:rPr>
                <w:b/>
                <w:sz w:val="18"/>
              </w:rPr>
              <w:t>2.63:</w:t>
            </w:r>
            <w:r>
              <w:rPr>
                <w:b/>
                <w:spacing w:val="-4"/>
                <w:sz w:val="18"/>
              </w:rPr>
              <w:t> </w:t>
            </w:r>
            <w:r>
              <w:rPr>
                <w:b/>
                <w:sz w:val="18"/>
              </w:rPr>
              <w:t>Sistema</w:t>
            </w:r>
            <w:r>
              <w:rPr>
                <w:b/>
                <w:spacing w:val="-2"/>
                <w:sz w:val="18"/>
              </w:rPr>
              <w:t> </w:t>
            </w:r>
            <w:r>
              <w:rPr>
                <w:b/>
                <w:sz w:val="18"/>
              </w:rPr>
              <w:t>de</w:t>
            </w:r>
            <w:r>
              <w:rPr>
                <w:b/>
                <w:spacing w:val="-6"/>
                <w:sz w:val="18"/>
              </w:rPr>
              <w:t> </w:t>
            </w:r>
            <w:r>
              <w:rPr>
                <w:b/>
                <w:sz w:val="18"/>
              </w:rPr>
              <w:t>indicadores</w:t>
            </w:r>
            <w:r>
              <w:rPr>
                <w:b/>
                <w:spacing w:val="-2"/>
                <w:sz w:val="18"/>
              </w:rPr>
              <w:t> </w:t>
            </w:r>
            <w:r>
              <w:rPr>
                <w:b/>
                <w:sz w:val="18"/>
              </w:rPr>
              <w:t>diseñado</w:t>
            </w:r>
            <w:r>
              <w:rPr>
                <w:b/>
                <w:spacing w:val="-3"/>
                <w:sz w:val="18"/>
              </w:rPr>
              <w:t> </w:t>
            </w:r>
            <w:r>
              <w:rPr>
                <w:b/>
                <w:sz w:val="18"/>
              </w:rPr>
              <w:t>y</w:t>
            </w:r>
            <w:r>
              <w:rPr>
                <w:b/>
                <w:spacing w:val="-10"/>
                <w:sz w:val="18"/>
              </w:rPr>
              <w:t> </w:t>
            </w:r>
            <w:r>
              <w:rPr>
                <w:b/>
                <w:sz w:val="18"/>
              </w:rPr>
              <w:t>listo,</w:t>
            </w:r>
            <w:r>
              <w:rPr>
                <w:b/>
                <w:spacing w:val="-4"/>
                <w:sz w:val="18"/>
              </w:rPr>
              <w:t> </w:t>
            </w:r>
            <w:r>
              <w:rPr>
                <w:b/>
                <w:sz w:val="18"/>
              </w:rPr>
              <w:t>para</w:t>
            </w:r>
            <w:r>
              <w:rPr>
                <w:b/>
                <w:spacing w:val="-2"/>
                <w:sz w:val="18"/>
              </w:rPr>
              <w:t> </w:t>
            </w:r>
            <w:r>
              <w:rPr>
                <w:b/>
                <w:sz w:val="18"/>
              </w:rPr>
              <w:t>el</w:t>
            </w:r>
            <w:r>
              <w:rPr>
                <w:b/>
                <w:spacing w:val="-4"/>
                <w:sz w:val="18"/>
              </w:rPr>
              <w:t> </w:t>
            </w:r>
            <w:r>
              <w:rPr>
                <w:b/>
                <w:sz w:val="18"/>
              </w:rPr>
              <w:t>monitoreo</w:t>
            </w:r>
            <w:r>
              <w:rPr>
                <w:b/>
                <w:spacing w:val="-7"/>
                <w:sz w:val="18"/>
              </w:rPr>
              <w:t> </w:t>
            </w:r>
            <w:r>
              <w:rPr>
                <w:b/>
                <w:sz w:val="18"/>
              </w:rPr>
              <w:t>de</w:t>
            </w:r>
            <w:r>
              <w:rPr>
                <w:b/>
                <w:spacing w:val="-6"/>
                <w:sz w:val="18"/>
              </w:rPr>
              <w:t> </w:t>
            </w:r>
            <w:r>
              <w:rPr>
                <w:b/>
                <w:sz w:val="18"/>
              </w:rPr>
              <w:t>los</w:t>
            </w:r>
            <w:r>
              <w:rPr>
                <w:b/>
                <w:spacing w:val="-2"/>
                <w:sz w:val="18"/>
              </w:rPr>
              <w:t> </w:t>
            </w:r>
            <w:r>
              <w:rPr>
                <w:b/>
                <w:sz w:val="18"/>
              </w:rPr>
              <w:t>servicios</w:t>
            </w:r>
            <w:r>
              <w:rPr>
                <w:b/>
                <w:spacing w:val="-6"/>
                <w:sz w:val="18"/>
              </w:rPr>
              <w:t> </w:t>
            </w:r>
            <w:r>
              <w:rPr>
                <w:b/>
                <w:sz w:val="18"/>
              </w:rPr>
              <w:t>institucionales</w:t>
            </w:r>
            <w:r>
              <w:rPr>
                <w:b/>
                <w:spacing w:val="-2"/>
                <w:sz w:val="18"/>
              </w:rPr>
              <w:t> </w:t>
            </w:r>
            <w:r>
              <w:rPr>
                <w:b/>
                <w:sz w:val="18"/>
              </w:rPr>
              <w:t>desde</w:t>
            </w:r>
            <w:r>
              <w:rPr>
                <w:b/>
                <w:spacing w:val="-6"/>
                <w:sz w:val="18"/>
              </w:rPr>
              <w:t> </w:t>
            </w:r>
            <w:r>
              <w:rPr>
                <w:b/>
                <w:sz w:val="18"/>
              </w:rPr>
              <w:t>la</w:t>
            </w:r>
            <w:r>
              <w:rPr>
                <w:b/>
                <w:spacing w:val="-6"/>
                <w:sz w:val="18"/>
              </w:rPr>
              <w:t> </w:t>
            </w:r>
            <w:r>
              <w:rPr>
                <w:b/>
                <w:sz w:val="18"/>
              </w:rPr>
              <w:t>GpRD</w:t>
            </w:r>
            <w:r>
              <w:rPr>
                <w:b/>
                <w:spacing w:val="3"/>
                <w:sz w:val="18"/>
              </w:rPr>
              <w:t> </w:t>
            </w:r>
            <w:r>
              <w:rPr>
                <w:b/>
                <w:sz w:val="18"/>
              </w:rPr>
              <w:t>y</w:t>
            </w:r>
            <w:r>
              <w:rPr>
                <w:b/>
                <w:spacing w:val="-6"/>
                <w:sz w:val="18"/>
              </w:rPr>
              <w:t> </w:t>
            </w:r>
            <w:r>
              <w:rPr>
                <w:b/>
                <w:sz w:val="18"/>
              </w:rPr>
              <w:t>el</w:t>
            </w:r>
            <w:r>
              <w:rPr>
                <w:b/>
                <w:spacing w:val="-4"/>
                <w:sz w:val="18"/>
              </w:rPr>
              <w:t> </w:t>
            </w:r>
            <w:r>
              <w:rPr>
                <w:b/>
                <w:sz w:val="18"/>
              </w:rPr>
              <w:t>valor</w:t>
            </w:r>
            <w:r>
              <w:rPr>
                <w:b/>
                <w:spacing w:val="-5"/>
                <w:sz w:val="18"/>
              </w:rPr>
              <w:t> </w:t>
            </w:r>
            <w:r>
              <w:rPr>
                <w:b/>
                <w:sz w:val="18"/>
              </w:rPr>
              <w:t>público.</w:t>
            </w:r>
            <w:r>
              <w:rPr>
                <w:b/>
                <w:spacing w:val="-4"/>
                <w:sz w:val="18"/>
              </w:rPr>
              <w:t> </w:t>
            </w:r>
            <w:r>
              <w:rPr>
                <w:b/>
                <w:sz w:val="18"/>
              </w:rPr>
              <w:t>E1</w:t>
            </w:r>
            <w:r>
              <w:rPr>
                <w:b/>
                <w:spacing w:val="-2"/>
                <w:sz w:val="18"/>
              </w:rPr>
              <w:t> </w:t>
            </w:r>
            <w:r>
              <w:rPr>
                <w:b/>
                <w:sz w:val="18"/>
              </w:rPr>
              <w:t>AE1</w:t>
            </w:r>
            <w:r>
              <w:rPr>
                <w:b/>
                <w:spacing w:val="-6"/>
                <w:sz w:val="18"/>
              </w:rPr>
              <w:t> </w:t>
            </w:r>
            <w:r>
              <w:rPr>
                <w:b/>
                <w:sz w:val="18"/>
              </w:rPr>
              <w:t>R3</w:t>
            </w:r>
            <w:r>
              <w:rPr>
                <w:b/>
                <w:spacing w:val="-6"/>
                <w:sz w:val="18"/>
              </w:rPr>
              <w:t> </w:t>
            </w:r>
            <w:r>
              <w:rPr>
                <w:b/>
                <w:spacing w:val="-2"/>
                <w:sz w:val="18"/>
              </w:rPr>
              <w:t>(60%)</w:t>
            </w:r>
          </w:p>
        </w:tc>
      </w:tr>
      <w:tr>
        <w:trPr>
          <w:trHeight w:val="2266" w:hRule="atLeast"/>
        </w:trPr>
        <w:tc>
          <w:tcPr>
            <w:tcW w:w="3193" w:type="dxa"/>
          </w:tcPr>
          <w:p>
            <w:pPr>
              <w:pStyle w:val="TableParagraph"/>
              <w:spacing w:before="200"/>
              <w:rPr>
                <w:b/>
                <w:sz w:val="18"/>
              </w:rPr>
            </w:pPr>
          </w:p>
          <w:p>
            <w:pPr>
              <w:pStyle w:val="TableParagraph"/>
              <w:ind w:left="72"/>
              <w:rPr>
                <w:sz w:val="18"/>
              </w:rPr>
            </w:pPr>
            <w:r>
              <w:rPr>
                <w:b/>
                <w:sz w:val="18"/>
              </w:rPr>
              <w:t>Actividad</w:t>
            </w:r>
            <w:r>
              <w:rPr>
                <w:b/>
                <w:spacing w:val="-10"/>
                <w:sz w:val="18"/>
              </w:rPr>
              <w:t> </w:t>
            </w:r>
            <w:r>
              <w:rPr>
                <w:b/>
                <w:sz w:val="18"/>
              </w:rPr>
              <w:t>PAC</w:t>
            </w:r>
            <w:r>
              <w:rPr>
                <w:b/>
                <w:spacing w:val="-7"/>
                <w:sz w:val="18"/>
              </w:rPr>
              <w:t> </w:t>
            </w:r>
            <w:r>
              <w:rPr>
                <w:b/>
                <w:sz w:val="18"/>
              </w:rPr>
              <w:t>2.63.1</w:t>
            </w:r>
            <w:r>
              <w:rPr>
                <w:sz w:val="18"/>
              </w:rPr>
              <w:t>:</w:t>
            </w:r>
            <w:r>
              <w:rPr>
                <w:spacing w:val="-3"/>
                <w:sz w:val="18"/>
              </w:rPr>
              <w:t> </w:t>
            </w:r>
            <w:r>
              <w:rPr>
                <w:sz w:val="18"/>
              </w:rPr>
              <w:t>Ajustar</w:t>
            </w:r>
            <w:r>
              <w:rPr>
                <w:spacing w:val="-8"/>
                <w:sz w:val="18"/>
              </w:rPr>
              <w:t> </w:t>
            </w:r>
            <w:r>
              <w:rPr>
                <w:sz w:val="18"/>
              </w:rPr>
              <w:t>la</w:t>
            </w:r>
            <w:r>
              <w:rPr>
                <w:spacing w:val="-10"/>
                <w:sz w:val="18"/>
              </w:rPr>
              <w:t> </w:t>
            </w:r>
            <w:r>
              <w:rPr>
                <w:sz w:val="18"/>
              </w:rPr>
              <w:t>guía metodológica para la aplicación de la estrategia regional y territorial con análisis prospectivo para la Inversión Social según Modelo de intervención</w:t>
            </w:r>
          </w:p>
          <w:p>
            <w:pPr>
              <w:pStyle w:val="TableParagraph"/>
              <w:spacing w:line="207" w:lineRule="exact" w:before="3"/>
              <w:ind w:left="72"/>
              <w:rPr>
                <w:sz w:val="18"/>
              </w:rPr>
            </w:pPr>
            <w:r>
              <w:rPr>
                <w:sz w:val="18"/>
              </w:rPr>
              <w:t>3.1</w:t>
            </w:r>
            <w:r>
              <w:rPr>
                <w:spacing w:val="-4"/>
                <w:sz w:val="18"/>
              </w:rPr>
              <w:t> </w:t>
            </w:r>
            <w:r>
              <w:rPr>
                <w:sz w:val="18"/>
              </w:rPr>
              <w:t>(IMAS</w:t>
            </w:r>
            <w:r>
              <w:rPr>
                <w:spacing w:val="-5"/>
                <w:sz w:val="18"/>
              </w:rPr>
              <w:t> </w:t>
            </w:r>
            <w:r>
              <w:rPr>
                <w:sz w:val="18"/>
              </w:rPr>
              <w:t>IMPULSA)</w:t>
            </w:r>
            <w:r>
              <w:rPr>
                <w:spacing w:val="-2"/>
                <w:sz w:val="18"/>
              </w:rPr>
              <w:t> </w:t>
            </w:r>
            <w:r>
              <w:rPr>
                <w:sz w:val="18"/>
              </w:rPr>
              <w:t>a </w:t>
            </w:r>
            <w:r>
              <w:rPr>
                <w:spacing w:val="-5"/>
                <w:sz w:val="18"/>
              </w:rPr>
              <w:t>la</w:t>
            </w:r>
          </w:p>
          <w:p>
            <w:pPr>
              <w:pStyle w:val="TableParagraph"/>
              <w:spacing w:line="207" w:lineRule="exact"/>
              <w:ind w:left="72"/>
              <w:rPr>
                <w:sz w:val="18"/>
              </w:rPr>
            </w:pPr>
            <w:r>
              <w:rPr>
                <w:sz w:val="18"/>
              </w:rPr>
              <w:t>metodología</w:t>
            </w:r>
            <w:r>
              <w:rPr>
                <w:spacing w:val="-8"/>
                <w:sz w:val="18"/>
              </w:rPr>
              <w:t> </w:t>
            </w:r>
            <w:r>
              <w:rPr>
                <w:spacing w:val="-4"/>
                <w:sz w:val="18"/>
              </w:rPr>
              <w:t>GpRD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19" w:right="4"/>
              <w:jc w:val="center"/>
              <w:rPr>
                <w:sz w:val="18"/>
              </w:rPr>
            </w:pPr>
            <w:r>
              <w:rPr>
                <w:spacing w:val="-10"/>
                <w:sz w:val="18"/>
              </w:rPr>
              <w:t>1</w:t>
            </w:r>
          </w:p>
        </w:tc>
        <w:tc>
          <w:tcPr>
            <w:tcW w:w="1776" w:type="dxa"/>
          </w:tcPr>
          <w:p>
            <w:pPr>
              <w:pStyle w:val="TableParagraph"/>
              <w:spacing w:before="200"/>
              <w:rPr>
                <w:b/>
                <w:sz w:val="18"/>
              </w:rPr>
            </w:pPr>
          </w:p>
          <w:p>
            <w:pPr>
              <w:pStyle w:val="TableParagraph"/>
              <w:ind w:left="67" w:right="72"/>
              <w:rPr>
                <w:sz w:val="18"/>
              </w:rPr>
            </w:pPr>
            <w:r>
              <w:rPr>
                <w:sz w:val="18"/>
              </w:rPr>
              <w:t>Informe de ajustes según</w:t>
            </w:r>
            <w:r>
              <w:rPr>
                <w:spacing w:val="-11"/>
                <w:sz w:val="18"/>
              </w:rPr>
              <w:t> </w:t>
            </w:r>
            <w:r>
              <w:rPr>
                <w:sz w:val="18"/>
              </w:rPr>
              <w:t>GpRD</w:t>
            </w:r>
            <w:r>
              <w:rPr>
                <w:spacing w:val="-13"/>
                <w:sz w:val="18"/>
              </w:rPr>
              <w:t> </w:t>
            </w:r>
            <w:r>
              <w:rPr>
                <w:sz w:val="18"/>
              </w:rPr>
              <w:t>y</w:t>
            </w:r>
            <w:r>
              <w:rPr>
                <w:spacing w:val="-10"/>
                <w:sz w:val="18"/>
              </w:rPr>
              <w:t> </w:t>
            </w:r>
            <w:r>
              <w:rPr>
                <w:sz w:val="18"/>
              </w:rPr>
              <w:t>valor público a la guía metodológica para la inversión social con análisis </w:t>
            </w:r>
            <w:r>
              <w:rPr>
                <w:spacing w:val="-2"/>
                <w:sz w:val="18"/>
              </w:rPr>
              <w:t>prospectivo</w:t>
            </w:r>
          </w:p>
        </w:tc>
        <w:tc>
          <w:tcPr>
            <w:tcW w:w="1483" w:type="dxa"/>
          </w:tcPr>
          <w:p>
            <w:pPr>
              <w:pStyle w:val="TableParagraph"/>
              <w:spacing w:before="200"/>
              <w:rPr>
                <w:b/>
                <w:sz w:val="18"/>
              </w:rPr>
            </w:pPr>
          </w:p>
          <w:p>
            <w:pPr>
              <w:pStyle w:val="TableParagraph"/>
              <w:ind w:left="67" w:right="68"/>
              <w:rPr>
                <w:sz w:val="18"/>
              </w:rPr>
            </w:pPr>
            <w:r>
              <w:rPr>
                <w:sz w:val="18"/>
              </w:rPr>
              <w:t>Informe de ajustes</w:t>
            </w:r>
            <w:r>
              <w:rPr>
                <w:spacing w:val="-9"/>
                <w:sz w:val="18"/>
              </w:rPr>
              <w:t> </w:t>
            </w:r>
            <w:r>
              <w:rPr>
                <w:sz w:val="18"/>
              </w:rPr>
              <w:t>a</w:t>
            </w:r>
            <w:r>
              <w:rPr>
                <w:spacing w:val="-9"/>
                <w:sz w:val="18"/>
              </w:rPr>
              <w:t> </w:t>
            </w:r>
            <w:r>
              <w:rPr>
                <w:sz w:val="18"/>
              </w:rPr>
              <w:t>la</w:t>
            </w:r>
            <w:r>
              <w:rPr>
                <w:spacing w:val="-6"/>
                <w:sz w:val="18"/>
              </w:rPr>
              <w:t> </w:t>
            </w:r>
            <w:r>
              <w:rPr>
                <w:sz w:val="18"/>
              </w:rPr>
              <w:t>guía </w:t>
            </w:r>
            <w:r>
              <w:rPr>
                <w:spacing w:val="-2"/>
                <w:sz w:val="18"/>
              </w:rPr>
              <w:t>metodológica </w:t>
            </w:r>
            <w:r>
              <w:rPr>
                <w:sz w:val="18"/>
              </w:rPr>
              <w:t>para</w:t>
            </w:r>
            <w:r>
              <w:rPr>
                <w:spacing w:val="-15"/>
                <w:sz w:val="18"/>
              </w:rPr>
              <w:t> </w:t>
            </w:r>
            <w:r>
              <w:rPr>
                <w:sz w:val="18"/>
              </w:rPr>
              <w:t>la</w:t>
            </w:r>
            <w:r>
              <w:rPr>
                <w:spacing w:val="-12"/>
                <w:sz w:val="18"/>
              </w:rPr>
              <w:t> </w:t>
            </w:r>
            <w:r>
              <w:rPr>
                <w:sz w:val="18"/>
              </w:rPr>
              <w:t>inversión social con </w:t>
            </w:r>
            <w:r>
              <w:rPr>
                <w:spacing w:val="-2"/>
                <w:sz w:val="18"/>
              </w:rPr>
              <w:t>análisis prospectivo</w:t>
            </w:r>
          </w:p>
        </w:tc>
        <w:tc>
          <w:tcPr>
            <w:tcW w:w="1296" w:type="dxa"/>
          </w:tcPr>
          <w:p>
            <w:pPr>
              <w:pStyle w:val="TableParagraph"/>
              <w:rPr>
                <w:b/>
                <w:sz w:val="18"/>
              </w:rPr>
            </w:pPr>
          </w:p>
          <w:p>
            <w:pPr>
              <w:pStyle w:val="TableParagraph"/>
              <w:rPr>
                <w:b/>
                <w:sz w:val="18"/>
              </w:rPr>
            </w:pPr>
          </w:p>
          <w:p>
            <w:pPr>
              <w:pStyle w:val="TableParagraph"/>
              <w:rPr>
                <w:b/>
                <w:sz w:val="18"/>
              </w:rPr>
            </w:pPr>
          </w:p>
          <w:p>
            <w:pPr>
              <w:pStyle w:val="TableParagraph"/>
              <w:spacing w:before="98"/>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tcPr>
          <w:p>
            <w:pPr>
              <w:pStyle w:val="TableParagraph"/>
              <w:spacing w:before="200"/>
              <w:rPr>
                <w:b/>
                <w:sz w:val="18"/>
              </w:rPr>
            </w:pPr>
          </w:p>
          <w:p>
            <w:pPr>
              <w:pStyle w:val="TableParagraph"/>
              <w:ind w:left="74" w:right="100"/>
              <w:rPr>
                <w:sz w:val="18"/>
              </w:rPr>
            </w:pPr>
            <w:r>
              <w:rPr>
                <w:sz w:val="18"/>
              </w:rPr>
              <w:t>Evento: Carencia de un mecanismo</w:t>
            </w:r>
            <w:r>
              <w:rPr>
                <w:spacing w:val="-15"/>
                <w:sz w:val="18"/>
              </w:rPr>
              <w:t> </w:t>
            </w:r>
            <w:r>
              <w:rPr>
                <w:sz w:val="18"/>
              </w:rPr>
              <w:t>de</w:t>
            </w:r>
            <w:r>
              <w:rPr>
                <w:spacing w:val="-12"/>
                <w:sz w:val="18"/>
              </w:rPr>
              <w:t> </w:t>
            </w:r>
            <w:r>
              <w:rPr>
                <w:sz w:val="18"/>
              </w:rPr>
              <w:t>medición del logro de objetivos, políticas, programas y proyectos en el IMAS desde la GpRD y el valor público.</w:t>
            </w:r>
          </w:p>
        </w:tc>
      </w:tr>
    </w:tbl>
    <w:p>
      <w:pPr>
        <w:pStyle w:val="TableParagraph"/>
        <w:spacing w:after="0"/>
        <w:rPr>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502" w:hRule="atLeast"/>
        </w:trPr>
        <w:tc>
          <w:tcPr>
            <w:tcW w:w="3193" w:type="dxa"/>
          </w:tcPr>
          <w:p>
            <w:pPr>
              <w:pStyle w:val="TableParagraph"/>
              <w:spacing w:before="23"/>
              <w:ind w:left="72" w:right="135"/>
              <w:rPr>
                <w:sz w:val="18"/>
              </w:rPr>
            </w:pPr>
            <w:r>
              <w:rPr>
                <w:b/>
                <w:sz w:val="18"/>
              </w:rPr>
              <w:t>Actividad PAC 2.63.2: </w:t>
            </w:r>
            <w:r>
              <w:rPr>
                <w:sz w:val="18"/>
              </w:rPr>
              <w:t>Actualizar, mediante capacitaciones, a las UIPER en el uso de la guía metodológica</w:t>
            </w:r>
            <w:r>
              <w:rPr>
                <w:spacing w:val="-9"/>
                <w:sz w:val="18"/>
              </w:rPr>
              <w:t> </w:t>
            </w:r>
            <w:r>
              <w:rPr>
                <w:sz w:val="18"/>
              </w:rPr>
              <w:t>para</w:t>
            </w:r>
            <w:r>
              <w:rPr>
                <w:spacing w:val="-6"/>
                <w:sz w:val="18"/>
              </w:rPr>
              <w:t> </w:t>
            </w:r>
            <w:r>
              <w:rPr>
                <w:sz w:val="18"/>
              </w:rPr>
              <w:t>la</w:t>
            </w:r>
            <w:r>
              <w:rPr>
                <w:spacing w:val="-9"/>
                <w:sz w:val="18"/>
              </w:rPr>
              <w:t> </w:t>
            </w:r>
            <w:r>
              <w:rPr>
                <w:sz w:val="18"/>
              </w:rPr>
              <w:t>aplicación</w:t>
            </w:r>
            <w:r>
              <w:rPr>
                <w:spacing w:val="-6"/>
                <w:sz w:val="18"/>
              </w:rPr>
              <w:t> </w:t>
            </w:r>
            <w:r>
              <w:rPr>
                <w:sz w:val="18"/>
              </w:rPr>
              <w:t>de</w:t>
            </w:r>
            <w:r>
              <w:rPr>
                <w:spacing w:val="-6"/>
                <w:sz w:val="18"/>
              </w:rPr>
              <w:t> </w:t>
            </w:r>
            <w:r>
              <w:rPr>
                <w:sz w:val="18"/>
              </w:rPr>
              <w:t>la estrategia regional y territorial con análisis prospectivo con enfoque de </w:t>
            </w:r>
            <w:r>
              <w:rPr>
                <w:spacing w:val="-4"/>
                <w:sz w:val="18"/>
              </w:rPr>
              <w:t>GpRD</w:t>
            </w:r>
          </w:p>
        </w:tc>
        <w:tc>
          <w:tcPr>
            <w:tcW w:w="1354" w:type="dxa"/>
          </w:tcPr>
          <w:p>
            <w:pPr>
              <w:pStyle w:val="TableParagraph"/>
              <w:rPr>
                <w:b/>
                <w:sz w:val="18"/>
              </w:rPr>
            </w:pPr>
          </w:p>
          <w:p>
            <w:pPr>
              <w:pStyle w:val="TableParagraph"/>
              <w:rPr>
                <w:b/>
                <w:sz w:val="18"/>
              </w:rPr>
            </w:pPr>
          </w:p>
          <w:p>
            <w:pPr>
              <w:pStyle w:val="TableParagraph"/>
              <w:spacing w:before="26"/>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26"/>
              <w:rPr>
                <w:b/>
                <w:sz w:val="18"/>
              </w:rPr>
            </w:pPr>
          </w:p>
          <w:p>
            <w:pPr>
              <w:pStyle w:val="TableParagraph"/>
              <w:ind w:left="19" w:right="4"/>
              <w:jc w:val="center"/>
              <w:rPr>
                <w:sz w:val="18"/>
              </w:rPr>
            </w:pPr>
            <w:r>
              <w:rPr>
                <w:spacing w:val="-10"/>
                <w:sz w:val="18"/>
              </w:rPr>
              <w:t>9</w:t>
            </w:r>
          </w:p>
        </w:tc>
        <w:tc>
          <w:tcPr>
            <w:tcW w:w="1776" w:type="dxa"/>
          </w:tcPr>
          <w:p>
            <w:pPr>
              <w:pStyle w:val="TableParagraph"/>
              <w:rPr>
                <w:b/>
                <w:sz w:val="18"/>
              </w:rPr>
            </w:pPr>
          </w:p>
          <w:p>
            <w:pPr>
              <w:pStyle w:val="TableParagraph"/>
              <w:spacing w:before="26"/>
              <w:rPr>
                <w:b/>
                <w:sz w:val="18"/>
              </w:rPr>
            </w:pPr>
          </w:p>
          <w:p>
            <w:pPr>
              <w:pStyle w:val="TableParagraph"/>
              <w:ind w:left="67"/>
              <w:rPr>
                <w:sz w:val="18"/>
              </w:rPr>
            </w:pPr>
            <w:r>
              <w:rPr>
                <w:sz w:val="18"/>
              </w:rPr>
              <w:t>Cantidad de </w:t>
            </w:r>
            <w:r>
              <w:rPr>
                <w:spacing w:val="-2"/>
                <w:sz w:val="18"/>
              </w:rPr>
              <w:t>capacitaciones realizadas</w:t>
            </w:r>
          </w:p>
        </w:tc>
        <w:tc>
          <w:tcPr>
            <w:tcW w:w="1483" w:type="dxa"/>
          </w:tcPr>
          <w:p>
            <w:pPr>
              <w:pStyle w:val="TableParagraph"/>
              <w:rPr>
                <w:b/>
                <w:sz w:val="18"/>
              </w:rPr>
            </w:pPr>
          </w:p>
          <w:p>
            <w:pPr>
              <w:pStyle w:val="TableParagraph"/>
              <w:spacing w:before="26"/>
              <w:rPr>
                <w:b/>
                <w:sz w:val="18"/>
              </w:rPr>
            </w:pPr>
          </w:p>
          <w:p>
            <w:pPr>
              <w:pStyle w:val="TableParagraph"/>
              <w:ind w:left="67"/>
              <w:rPr>
                <w:sz w:val="18"/>
              </w:rPr>
            </w:pPr>
            <w:r>
              <w:rPr>
                <w:sz w:val="18"/>
              </w:rPr>
              <w:t>Listas de asistencia</w:t>
            </w:r>
            <w:r>
              <w:rPr>
                <w:spacing w:val="-15"/>
                <w:sz w:val="18"/>
              </w:rPr>
              <w:t> </w:t>
            </w:r>
            <w:r>
              <w:rPr>
                <w:sz w:val="18"/>
              </w:rPr>
              <w:t>de</w:t>
            </w:r>
            <w:r>
              <w:rPr>
                <w:spacing w:val="-12"/>
                <w:sz w:val="18"/>
              </w:rPr>
              <w:t> </w:t>
            </w:r>
            <w:r>
              <w:rPr>
                <w:sz w:val="18"/>
              </w:rPr>
              <w:t>las </w:t>
            </w:r>
            <w:r>
              <w:rPr>
                <w:spacing w:val="-2"/>
                <w:sz w:val="18"/>
              </w:rPr>
              <w:t>capacitaciones</w:t>
            </w:r>
          </w:p>
        </w:tc>
        <w:tc>
          <w:tcPr>
            <w:tcW w:w="1296" w:type="dxa"/>
          </w:tcPr>
          <w:p>
            <w:pPr>
              <w:pStyle w:val="TableParagraph"/>
              <w:rPr>
                <w:b/>
                <w:sz w:val="18"/>
              </w:rPr>
            </w:pPr>
          </w:p>
          <w:p>
            <w:pPr>
              <w:pStyle w:val="TableParagraph"/>
              <w:spacing w:before="127"/>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rFonts w:ascii="Times New Roman"/>
                <w:sz w:val="18"/>
              </w:rPr>
            </w:pPr>
          </w:p>
        </w:tc>
      </w:tr>
      <w:tr>
        <w:trPr>
          <w:trHeight w:val="1444" w:hRule="atLeast"/>
        </w:trPr>
        <w:tc>
          <w:tcPr>
            <w:tcW w:w="3193" w:type="dxa"/>
          </w:tcPr>
          <w:p>
            <w:pPr>
              <w:pStyle w:val="TableParagraph"/>
              <w:spacing w:before="205"/>
              <w:ind w:left="72" w:right="74"/>
              <w:rPr>
                <w:sz w:val="18"/>
              </w:rPr>
            </w:pPr>
            <w:r>
              <w:rPr>
                <w:b/>
                <w:sz w:val="18"/>
              </w:rPr>
              <w:t>Actividad PAC 2.63.3: </w:t>
            </w:r>
            <w:r>
              <w:rPr>
                <w:sz w:val="18"/>
              </w:rPr>
              <w:t>Seleccionar beneficios</w:t>
            </w:r>
            <w:r>
              <w:rPr>
                <w:spacing w:val="-13"/>
                <w:sz w:val="18"/>
              </w:rPr>
              <w:t> </w:t>
            </w:r>
            <w:r>
              <w:rPr>
                <w:sz w:val="18"/>
              </w:rPr>
              <w:t>(servicios)</w:t>
            </w:r>
            <w:r>
              <w:rPr>
                <w:spacing w:val="-10"/>
                <w:sz w:val="18"/>
              </w:rPr>
              <w:t> </w:t>
            </w:r>
            <w:r>
              <w:rPr>
                <w:sz w:val="18"/>
              </w:rPr>
              <w:t>de</w:t>
            </w:r>
            <w:r>
              <w:rPr>
                <w:spacing w:val="-13"/>
                <w:sz w:val="18"/>
              </w:rPr>
              <w:t> </w:t>
            </w:r>
            <w:r>
              <w:rPr>
                <w:sz w:val="18"/>
              </w:rPr>
              <w:t>otorgamiento condicionado y no condicionados del Programa Protección Promoción </w:t>
            </w:r>
            <w:r>
              <w:rPr>
                <w:spacing w:val="-2"/>
                <w:sz w:val="18"/>
              </w:rPr>
              <w:t>Social</w:t>
            </w:r>
          </w:p>
        </w:tc>
        <w:tc>
          <w:tcPr>
            <w:tcW w:w="1354" w:type="dxa"/>
          </w:tcPr>
          <w:p>
            <w:pPr>
              <w:pStyle w:val="TableParagraph"/>
              <w:rPr>
                <w:b/>
                <w:sz w:val="18"/>
              </w:rPr>
            </w:pPr>
          </w:p>
          <w:p>
            <w:pPr>
              <w:pStyle w:val="TableParagraph"/>
              <w:spacing w:before="204"/>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spacing w:before="204"/>
              <w:rPr>
                <w:b/>
                <w:sz w:val="18"/>
              </w:rPr>
            </w:pPr>
          </w:p>
          <w:p>
            <w:pPr>
              <w:pStyle w:val="TableParagraph"/>
              <w:ind w:left="19" w:right="4"/>
              <w:jc w:val="center"/>
              <w:rPr>
                <w:sz w:val="18"/>
              </w:rPr>
            </w:pPr>
            <w:r>
              <w:rPr>
                <w:spacing w:val="-10"/>
                <w:sz w:val="18"/>
              </w:rPr>
              <w:t>4</w:t>
            </w:r>
          </w:p>
        </w:tc>
        <w:tc>
          <w:tcPr>
            <w:tcW w:w="1776" w:type="dxa"/>
          </w:tcPr>
          <w:p>
            <w:pPr>
              <w:pStyle w:val="TableParagraph"/>
              <w:ind w:left="67" w:right="291"/>
              <w:rPr>
                <w:sz w:val="18"/>
              </w:rPr>
            </w:pPr>
            <w:r>
              <w:rPr>
                <w:sz w:val="18"/>
              </w:rPr>
              <w:t>Cantidad de </w:t>
            </w:r>
            <w:r>
              <w:rPr>
                <w:spacing w:val="-2"/>
                <w:sz w:val="18"/>
              </w:rPr>
              <w:t>beneficios </w:t>
            </w:r>
            <w:r>
              <w:rPr>
                <w:sz w:val="18"/>
              </w:rPr>
              <w:t>(servicios) del </w:t>
            </w:r>
            <w:r>
              <w:rPr>
                <w:spacing w:val="-2"/>
                <w:sz w:val="18"/>
              </w:rPr>
              <w:t>programa </w:t>
            </w:r>
            <w:r>
              <w:rPr>
                <w:sz w:val="18"/>
              </w:rPr>
              <w:t>Protección y Promoción</w:t>
            </w:r>
            <w:r>
              <w:rPr>
                <w:spacing w:val="-13"/>
                <w:sz w:val="18"/>
              </w:rPr>
              <w:t> </w:t>
            </w:r>
            <w:r>
              <w:rPr>
                <w:sz w:val="18"/>
              </w:rPr>
              <w:t>Social</w:t>
            </w:r>
          </w:p>
          <w:p>
            <w:pPr>
              <w:pStyle w:val="TableParagraph"/>
              <w:spacing w:line="184" w:lineRule="exact"/>
              <w:ind w:left="67"/>
              <w:rPr>
                <w:sz w:val="18"/>
              </w:rPr>
            </w:pPr>
            <w:r>
              <w:rPr>
                <w:spacing w:val="-2"/>
                <w:sz w:val="18"/>
              </w:rPr>
              <w:t>identificados</w:t>
            </w:r>
          </w:p>
        </w:tc>
        <w:tc>
          <w:tcPr>
            <w:tcW w:w="1483" w:type="dxa"/>
          </w:tcPr>
          <w:p>
            <w:pPr>
              <w:pStyle w:val="TableParagraph"/>
              <w:ind w:left="67" w:right="198"/>
              <w:rPr>
                <w:sz w:val="18"/>
              </w:rPr>
            </w:pPr>
            <w:r>
              <w:rPr>
                <w:sz w:val="18"/>
              </w:rPr>
              <w:t>Informe de beneficios</w:t>
            </w:r>
            <w:r>
              <w:rPr>
                <w:spacing w:val="-13"/>
                <w:sz w:val="18"/>
              </w:rPr>
              <w:t> </w:t>
            </w:r>
            <w:r>
              <w:rPr>
                <w:sz w:val="18"/>
              </w:rPr>
              <w:t>del </w:t>
            </w:r>
            <w:r>
              <w:rPr>
                <w:spacing w:val="-2"/>
                <w:sz w:val="18"/>
              </w:rPr>
              <w:t>programa </w:t>
            </w:r>
            <w:r>
              <w:rPr>
                <w:sz w:val="18"/>
              </w:rPr>
              <w:t>protección y </w:t>
            </w:r>
            <w:r>
              <w:rPr>
                <w:spacing w:val="-2"/>
                <w:sz w:val="18"/>
              </w:rPr>
              <w:t>promoción social</w:t>
            </w:r>
          </w:p>
          <w:p>
            <w:pPr>
              <w:pStyle w:val="TableParagraph"/>
              <w:spacing w:line="184" w:lineRule="exact"/>
              <w:ind w:left="67"/>
              <w:rPr>
                <w:sz w:val="18"/>
              </w:rPr>
            </w:pPr>
            <w:r>
              <w:rPr>
                <w:spacing w:val="-2"/>
                <w:sz w:val="18"/>
              </w:rPr>
              <w:t>identificados</w:t>
            </w:r>
          </w:p>
        </w:tc>
        <w:tc>
          <w:tcPr>
            <w:tcW w:w="1296" w:type="dxa"/>
          </w:tcPr>
          <w:p>
            <w:pPr>
              <w:pStyle w:val="TableParagraph"/>
              <w:rPr>
                <w:b/>
                <w:sz w:val="18"/>
              </w:rPr>
            </w:pPr>
          </w:p>
          <w:p>
            <w:pPr>
              <w:pStyle w:val="TableParagraph"/>
              <w:spacing w:before="98"/>
              <w:rPr>
                <w:b/>
                <w:sz w:val="18"/>
              </w:rPr>
            </w:pPr>
          </w:p>
          <w:p>
            <w:pPr>
              <w:pStyle w:val="TableParagraph"/>
              <w:spacing w:line="244" w:lineRule="auto"/>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545" w:hRule="atLeast"/>
        </w:trPr>
        <w:tc>
          <w:tcPr>
            <w:tcW w:w="3193" w:type="dxa"/>
          </w:tcPr>
          <w:p>
            <w:pPr>
              <w:pStyle w:val="TableParagraph"/>
              <w:spacing w:before="51"/>
              <w:ind w:left="72" w:right="88"/>
              <w:rPr>
                <w:sz w:val="18"/>
              </w:rPr>
            </w:pPr>
            <w:r>
              <w:rPr>
                <w:b/>
                <w:sz w:val="18"/>
              </w:rPr>
              <w:t>Actividad PAC 2.63.4</w:t>
            </w:r>
            <w:r>
              <w:rPr>
                <w:sz w:val="18"/>
              </w:rPr>
              <w:t>: Realizar fichas de descripción técnicas de los indicadores de monitoreo contenidos en la Guía Metodológica para la Aplicación</w:t>
            </w:r>
            <w:r>
              <w:rPr>
                <w:spacing w:val="-5"/>
                <w:sz w:val="18"/>
              </w:rPr>
              <w:t> </w:t>
            </w:r>
            <w:r>
              <w:rPr>
                <w:sz w:val="18"/>
              </w:rPr>
              <w:t>de</w:t>
            </w:r>
            <w:r>
              <w:rPr>
                <w:spacing w:val="-9"/>
                <w:sz w:val="18"/>
              </w:rPr>
              <w:t> </w:t>
            </w:r>
            <w:r>
              <w:rPr>
                <w:sz w:val="18"/>
              </w:rPr>
              <w:t>la</w:t>
            </w:r>
            <w:r>
              <w:rPr>
                <w:spacing w:val="-5"/>
                <w:sz w:val="18"/>
              </w:rPr>
              <w:t> </w:t>
            </w:r>
            <w:r>
              <w:rPr>
                <w:sz w:val="18"/>
              </w:rPr>
              <w:t>Estrategia</w:t>
            </w:r>
            <w:r>
              <w:rPr>
                <w:spacing w:val="-9"/>
                <w:sz w:val="18"/>
              </w:rPr>
              <w:t> </w:t>
            </w:r>
            <w:r>
              <w:rPr>
                <w:sz w:val="18"/>
              </w:rPr>
              <w:t>Regional</w:t>
            </w:r>
            <w:r>
              <w:rPr>
                <w:spacing w:val="-11"/>
                <w:sz w:val="18"/>
              </w:rPr>
              <w:t> </w:t>
            </w:r>
            <w:r>
              <w:rPr>
                <w:sz w:val="18"/>
              </w:rPr>
              <w:t>y Territorial con Análisis Prospectivo para la Inversión Social</w:t>
            </w:r>
          </w:p>
        </w:tc>
        <w:tc>
          <w:tcPr>
            <w:tcW w:w="1354"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19" w:right="4"/>
              <w:jc w:val="center"/>
              <w:rPr>
                <w:sz w:val="18"/>
              </w:rPr>
            </w:pPr>
            <w:r>
              <w:rPr>
                <w:spacing w:val="-10"/>
                <w:sz w:val="18"/>
              </w:rPr>
              <w:t>9</w:t>
            </w:r>
          </w:p>
        </w:tc>
        <w:tc>
          <w:tcPr>
            <w:tcW w:w="1776" w:type="dxa"/>
          </w:tcPr>
          <w:p>
            <w:pPr>
              <w:pStyle w:val="TableParagraph"/>
              <w:spacing w:before="151"/>
              <w:rPr>
                <w:b/>
                <w:sz w:val="18"/>
              </w:rPr>
            </w:pPr>
          </w:p>
          <w:p>
            <w:pPr>
              <w:pStyle w:val="TableParagraph"/>
              <w:spacing w:line="242" w:lineRule="auto" w:before="1"/>
              <w:ind w:left="67" w:right="136"/>
              <w:rPr>
                <w:sz w:val="18"/>
              </w:rPr>
            </w:pPr>
            <w:r>
              <w:rPr>
                <w:sz w:val="18"/>
              </w:rPr>
              <w:t>Cantidad</w:t>
            </w:r>
            <w:r>
              <w:rPr>
                <w:spacing w:val="-15"/>
                <w:sz w:val="18"/>
              </w:rPr>
              <w:t> </w:t>
            </w:r>
            <w:r>
              <w:rPr>
                <w:sz w:val="18"/>
              </w:rPr>
              <w:t>de</w:t>
            </w:r>
            <w:r>
              <w:rPr>
                <w:spacing w:val="-12"/>
                <w:sz w:val="18"/>
              </w:rPr>
              <w:t> </w:t>
            </w:r>
            <w:r>
              <w:rPr>
                <w:sz w:val="18"/>
              </w:rPr>
              <w:t>fichas de indicadores de </w:t>
            </w:r>
            <w:r>
              <w:rPr>
                <w:spacing w:val="-2"/>
                <w:sz w:val="18"/>
              </w:rPr>
              <w:t>monitoreo realizadas</w:t>
            </w:r>
          </w:p>
        </w:tc>
        <w:tc>
          <w:tcPr>
            <w:tcW w:w="1483" w:type="dxa"/>
          </w:tcPr>
          <w:p>
            <w:pPr>
              <w:pStyle w:val="TableParagraph"/>
              <w:rPr>
                <w:b/>
                <w:sz w:val="18"/>
              </w:rPr>
            </w:pPr>
          </w:p>
          <w:p>
            <w:pPr>
              <w:pStyle w:val="TableParagraph"/>
              <w:spacing w:before="51"/>
              <w:rPr>
                <w:b/>
                <w:sz w:val="18"/>
              </w:rPr>
            </w:pPr>
          </w:p>
          <w:p>
            <w:pPr>
              <w:pStyle w:val="TableParagraph"/>
              <w:ind w:left="67"/>
              <w:rPr>
                <w:sz w:val="18"/>
              </w:rPr>
            </w:pPr>
            <w:r>
              <w:rPr>
                <w:sz w:val="18"/>
              </w:rPr>
              <w:t>Fichas de indicadores</w:t>
            </w:r>
            <w:r>
              <w:rPr>
                <w:spacing w:val="-13"/>
                <w:sz w:val="18"/>
              </w:rPr>
              <w:t> </w:t>
            </w:r>
            <w:r>
              <w:rPr>
                <w:sz w:val="18"/>
              </w:rPr>
              <w:t>de </w:t>
            </w:r>
            <w:r>
              <w:rPr>
                <w:spacing w:val="-2"/>
                <w:sz w:val="18"/>
              </w:rPr>
              <w:t>monitoreo</w:t>
            </w:r>
          </w:p>
        </w:tc>
        <w:tc>
          <w:tcPr>
            <w:tcW w:w="1296" w:type="dxa"/>
          </w:tcPr>
          <w:p>
            <w:pPr>
              <w:pStyle w:val="TableParagraph"/>
              <w:rPr>
                <w:b/>
                <w:sz w:val="18"/>
              </w:rPr>
            </w:pPr>
          </w:p>
          <w:p>
            <w:pPr>
              <w:pStyle w:val="TableParagraph"/>
              <w:spacing w:before="151"/>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450" w:hRule="atLeast"/>
        </w:trPr>
        <w:tc>
          <w:tcPr>
            <w:tcW w:w="3193" w:type="dxa"/>
          </w:tcPr>
          <w:p>
            <w:pPr>
              <w:pStyle w:val="TableParagraph"/>
              <w:spacing w:before="105"/>
              <w:ind w:left="72" w:right="79"/>
              <w:rPr>
                <w:sz w:val="18"/>
              </w:rPr>
            </w:pPr>
            <w:r>
              <w:rPr>
                <w:b/>
                <w:sz w:val="18"/>
              </w:rPr>
              <w:t>Actividad</w:t>
            </w:r>
            <w:r>
              <w:rPr>
                <w:b/>
                <w:spacing w:val="-13"/>
                <w:sz w:val="18"/>
              </w:rPr>
              <w:t> </w:t>
            </w:r>
            <w:r>
              <w:rPr>
                <w:b/>
                <w:sz w:val="18"/>
              </w:rPr>
              <w:t>PAC</w:t>
            </w:r>
            <w:r>
              <w:rPr>
                <w:b/>
                <w:spacing w:val="-9"/>
                <w:sz w:val="18"/>
              </w:rPr>
              <w:t> </w:t>
            </w:r>
            <w:r>
              <w:rPr>
                <w:b/>
                <w:sz w:val="18"/>
              </w:rPr>
              <w:t>2.63.5:</w:t>
            </w:r>
            <w:r>
              <w:rPr>
                <w:b/>
                <w:spacing w:val="-8"/>
                <w:sz w:val="18"/>
              </w:rPr>
              <w:t> </w:t>
            </w:r>
            <w:r>
              <w:rPr>
                <w:sz w:val="18"/>
              </w:rPr>
              <w:t>Monitorear</w:t>
            </w:r>
            <w:r>
              <w:rPr>
                <w:spacing w:val="-7"/>
                <w:sz w:val="18"/>
              </w:rPr>
              <w:t> </w:t>
            </w:r>
            <w:r>
              <w:rPr>
                <w:sz w:val="18"/>
              </w:rPr>
              <w:t>los servicios y beneficios institucionales del Programa Protección Promoción Social a partir de la guía</w:t>
            </w:r>
            <w:r>
              <w:rPr>
                <w:spacing w:val="40"/>
                <w:sz w:val="18"/>
              </w:rPr>
              <w:t> </w:t>
            </w:r>
            <w:r>
              <w:rPr>
                <w:sz w:val="18"/>
              </w:rPr>
              <w:t>metodológica ajustada a la metodología GpRD</w:t>
            </w:r>
          </w:p>
        </w:tc>
        <w:tc>
          <w:tcPr>
            <w:tcW w:w="1354"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right="4"/>
              <w:jc w:val="center"/>
              <w:rPr>
                <w:sz w:val="18"/>
              </w:rPr>
            </w:pPr>
            <w:r>
              <w:rPr>
                <w:spacing w:val="-5"/>
                <w:sz w:val="18"/>
              </w:rPr>
              <w:t>n/d</w:t>
            </w:r>
          </w:p>
        </w:tc>
        <w:tc>
          <w:tcPr>
            <w:tcW w:w="1354" w:type="dxa"/>
          </w:tcPr>
          <w:p>
            <w:pPr>
              <w:pStyle w:val="TableParagraph"/>
              <w:spacing w:before="105"/>
              <w:ind w:left="71" w:right="56"/>
              <w:jc w:val="center"/>
              <w:rPr>
                <w:sz w:val="18"/>
              </w:rPr>
            </w:pPr>
            <w:r>
              <w:rPr>
                <w:sz w:val="18"/>
              </w:rPr>
              <w:t>4 (2 beneficios </w:t>
            </w:r>
            <w:r>
              <w:rPr>
                <w:spacing w:val="-6"/>
                <w:sz w:val="18"/>
              </w:rPr>
              <w:t>no </w:t>
            </w:r>
            <w:r>
              <w:rPr>
                <w:spacing w:val="-2"/>
                <w:sz w:val="18"/>
              </w:rPr>
              <w:t>condicionados) </w:t>
            </w:r>
            <w:r>
              <w:rPr>
                <w:sz w:val="18"/>
              </w:rPr>
              <w:t>(2 beneficios </w:t>
            </w:r>
            <w:r>
              <w:rPr>
                <w:spacing w:val="-6"/>
                <w:sz w:val="18"/>
              </w:rPr>
              <w:t>no </w:t>
            </w:r>
            <w:r>
              <w:rPr>
                <w:spacing w:val="-2"/>
                <w:sz w:val="18"/>
              </w:rPr>
              <w:t>condicionados)</w:t>
            </w:r>
          </w:p>
        </w:tc>
        <w:tc>
          <w:tcPr>
            <w:tcW w:w="1776" w:type="dxa"/>
          </w:tcPr>
          <w:p>
            <w:pPr>
              <w:pStyle w:val="TableParagraph"/>
              <w:spacing w:before="3"/>
              <w:ind w:left="67" w:right="131"/>
              <w:rPr>
                <w:sz w:val="18"/>
              </w:rPr>
            </w:pPr>
            <w:r>
              <w:rPr>
                <w:sz w:val="18"/>
              </w:rPr>
              <w:t>Informe de resultados del monitoreo</w:t>
            </w:r>
            <w:r>
              <w:rPr>
                <w:spacing w:val="-15"/>
                <w:sz w:val="18"/>
              </w:rPr>
              <w:t> </w:t>
            </w:r>
            <w:r>
              <w:rPr>
                <w:sz w:val="18"/>
              </w:rPr>
              <w:t>a</w:t>
            </w:r>
            <w:r>
              <w:rPr>
                <w:spacing w:val="-12"/>
                <w:sz w:val="18"/>
              </w:rPr>
              <w:t> </w:t>
            </w:r>
            <w:r>
              <w:rPr>
                <w:sz w:val="18"/>
              </w:rPr>
              <w:t>los </w:t>
            </w:r>
            <w:r>
              <w:rPr>
                <w:spacing w:val="-2"/>
                <w:sz w:val="18"/>
              </w:rPr>
              <w:t>beneficios (servicios)</w:t>
            </w:r>
          </w:p>
          <w:p>
            <w:pPr>
              <w:pStyle w:val="TableParagraph"/>
              <w:spacing w:line="206" w:lineRule="exact"/>
              <w:ind w:left="67"/>
              <w:rPr>
                <w:sz w:val="18"/>
              </w:rPr>
            </w:pPr>
            <w:r>
              <w:rPr>
                <w:spacing w:val="-2"/>
                <w:sz w:val="18"/>
              </w:rPr>
              <w:t>institucionales seleccionados</w:t>
            </w:r>
          </w:p>
        </w:tc>
        <w:tc>
          <w:tcPr>
            <w:tcW w:w="1483" w:type="dxa"/>
          </w:tcPr>
          <w:p>
            <w:pPr>
              <w:pStyle w:val="TableParagraph"/>
              <w:spacing w:before="104"/>
              <w:rPr>
                <w:b/>
                <w:sz w:val="18"/>
              </w:rPr>
            </w:pPr>
          </w:p>
          <w:p>
            <w:pPr>
              <w:pStyle w:val="TableParagraph"/>
              <w:ind w:left="67"/>
              <w:rPr>
                <w:sz w:val="18"/>
              </w:rPr>
            </w:pPr>
            <w:r>
              <w:rPr>
                <w:sz w:val="18"/>
              </w:rPr>
              <w:t>Informes de monitoreo de </w:t>
            </w:r>
            <w:r>
              <w:rPr>
                <w:spacing w:val="-2"/>
                <w:sz w:val="18"/>
              </w:rPr>
              <w:t>servicios institucionales</w:t>
            </w:r>
          </w:p>
        </w:tc>
        <w:tc>
          <w:tcPr>
            <w:tcW w:w="1296" w:type="dxa"/>
          </w:tcPr>
          <w:p>
            <w:pPr>
              <w:pStyle w:val="TableParagraph"/>
              <w:rPr>
                <w:b/>
                <w:sz w:val="18"/>
              </w:rPr>
            </w:pPr>
          </w:p>
          <w:p>
            <w:pPr>
              <w:pStyle w:val="TableParagraph"/>
              <w:spacing w:before="103"/>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556" w:hRule="atLeast"/>
        </w:trPr>
        <w:tc>
          <w:tcPr>
            <w:tcW w:w="14598" w:type="dxa"/>
            <w:gridSpan w:val="8"/>
            <w:shd w:val="clear" w:color="auto" w:fill="EFF8F9"/>
          </w:tcPr>
          <w:p>
            <w:pPr>
              <w:pStyle w:val="TableParagraph"/>
              <w:spacing w:before="71"/>
              <w:ind w:left="72" w:right="173"/>
              <w:rPr>
                <w:b/>
                <w:sz w:val="18"/>
              </w:rPr>
            </w:pPr>
            <w:r>
              <w:rPr>
                <w:b/>
                <w:sz w:val="18"/>
              </w:rPr>
              <w:t>Producto</w:t>
            </w:r>
            <w:r>
              <w:rPr>
                <w:b/>
                <w:spacing w:val="-5"/>
                <w:sz w:val="18"/>
              </w:rPr>
              <w:t> </w:t>
            </w:r>
            <w:r>
              <w:rPr>
                <w:b/>
                <w:sz w:val="18"/>
              </w:rPr>
              <w:t>PAC</w:t>
            </w:r>
            <w:r>
              <w:rPr>
                <w:b/>
                <w:spacing w:val="-6"/>
                <w:sz w:val="18"/>
              </w:rPr>
              <w:t> </w:t>
            </w:r>
            <w:r>
              <w:rPr>
                <w:b/>
                <w:sz w:val="18"/>
              </w:rPr>
              <w:t>2.64:</w:t>
            </w:r>
            <w:r>
              <w:rPr>
                <w:b/>
                <w:spacing w:val="-2"/>
                <w:sz w:val="18"/>
              </w:rPr>
              <w:t> </w:t>
            </w:r>
            <w:r>
              <w:rPr>
                <w:b/>
                <w:sz w:val="18"/>
              </w:rPr>
              <w:t>Políticas,</w:t>
            </w:r>
            <w:r>
              <w:rPr>
                <w:b/>
                <w:spacing w:val="-2"/>
                <w:sz w:val="18"/>
              </w:rPr>
              <w:t> </w:t>
            </w:r>
            <w:r>
              <w:rPr>
                <w:b/>
                <w:sz w:val="18"/>
              </w:rPr>
              <w:t>programas,</w:t>
            </w:r>
            <w:r>
              <w:rPr>
                <w:b/>
                <w:spacing w:val="-2"/>
                <w:sz w:val="18"/>
              </w:rPr>
              <w:t> </w:t>
            </w:r>
            <w:r>
              <w:rPr>
                <w:b/>
                <w:sz w:val="18"/>
              </w:rPr>
              <w:t>proyectos,</w:t>
            </w:r>
            <w:r>
              <w:rPr>
                <w:b/>
                <w:spacing w:val="-2"/>
                <w:sz w:val="18"/>
              </w:rPr>
              <w:t> </w:t>
            </w:r>
            <w:r>
              <w:rPr>
                <w:b/>
                <w:sz w:val="18"/>
              </w:rPr>
              <w:t>beneficios</w:t>
            </w:r>
            <w:r>
              <w:rPr>
                <w:b/>
                <w:spacing w:val="-4"/>
                <w:sz w:val="18"/>
              </w:rPr>
              <w:t> </w:t>
            </w:r>
            <w:r>
              <w:rPr>
                <w:b/>
                <w:sz w:val="18"/>
              </w:rPr>
              <w:t>y</w:t>
            </w:r>
            <w:r>
              <w:rPr>
                <w:b/>
                <w:spacing w:val="-4"/>
                <w:sz w:val="18"/>
              </w:rPr>
              <w:t> </w:t>
            </w:r>
            <w:r>
              <w:rPr>
                <w:b/>
                <w:sz w:val="18"/>
              </w:rPr>
              <w:t>servicios</w:t>
            </w:r>
            <w:r>
              <w:rPr>
                <w:b/>
                <w:spacing w:val="-4"/>
                <w:sz w:val="18"/>
              </w:rPr>
              <w:t> </w:t>
            </w:r>
            <w:r>
              <w:rPr>
                <w:b/>
                <w:sz w:val="18"/>
              </w:rPr>
              <w:t>identificados</w:t>
            </w:r>
            <w:r>
              <w:rPr>
                <w:b/>
                <w:spacing w:val="-4"/>
                <w:sz w:val="18"/>
              </w:rPr>
              <w:t> </w:t>
            </w:r>
            <w:r>
              <w:rPr>
                <w:b/>
                <w:sz w:val="18"/>
              </w:rPr>
              <w:t>y</w:t>
            </w:r>
            <w:r>
              <w:rPr>
                <w:b/>
                <w:spacing w:val="-4"/>
                <w:sz w:val="18"/>
              </w:rPr>
              <w:t> </w:t>
            </w:r>
            <w:r>
              <w:rPr>
                <w:b/>
                <w:sz w:val="18"/>
              </w:rPr>
              <w:t>caracterizados, para</w:t>
            </w:r>
            <w:r>
              <w:rPr>
                <w:b/>
                <w:spacing w:val="-4"/>
                <w:sz w:val="18"/>
              </w:rPr>
              <w:t> </w:t>
            </w:r>
            <w:r>
              <w:rPr>
                <w:b/>
                <w:sz w:val="18"/>
              </w:rPr>
              <w:t>el</w:t>
            </w:r>
            <w:r>
              <w:rPr>
                <w:b/>
                <w:spacing w:val="-6"/>
                <w:sz w:val="18"/>
              </w:rPr>
              <w:t> </w:t>
            </w:r>
            <w:r>
              <w:rPr>
                <w:b/>
                <w:sz w:val="18"/>
              </w:rPr>
              <w:t>desarrollo e</w:t>
            </w:r>
            <w:r>
              <w:rPr>
                <w:b/>
                <w:spacing w:val="-9"/>
                <w:sz w:val="18"/>
              </w:rPr>
              <w:t> </w:t>
            </w:r>
            <w:r>
              <w:rPr>
                <w:b/>
                <w:sz w:val="18"/>
              </w:rPr>
              <w:t>implementación del</w:t>
            </w:r>
            <w:r>
              <w:rPr>
                <w:b/>
                <w:spacing w:val="-2"/>
                <w:sz w:val="18"/>
              </w:rPr>
              <w:t> </w:t>
            </w:r>
            <w:r>
              <w:rPr>
                <w:b/>
                <w:sz w:val="18"/>
              </w:rPr>
              <w:t>Sistema de Evaluación y Seguimiento. E1 AE2 R1 (100%)</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2025" w:hRule="atLeast"/>
        </w:trPr>
        <w:tc>
          <w:tcPr>
            <w:tcW w:w="3193" w:type="dxa"/>
          </w:tcPr>
          <w:p>
            <w:pPr>
              <w:pStyle w:val="TableParagraph"/>
              <w:rPr>
                <w:b/>
                <w:sz w:val="18"/>
              </w:rPr>
            </w:pPr>
          </w:p>
          <w:p>
            <w:pPr>
              <w:pStyle w:val="TableParagraph"/>
              <w:spacing w:before="79"/>
              <w:rPr>
                <w:b/>
                <w:sz w:val="18"/>
              </w:rPr>
            </w:pPr>
          </w:p>
          <w:p>
            <w:pPr>
              <w:pStyle w:val="TableParagraph"/>
              <w:ind w:left="72"/>
              <w:rPr>
                <w:sz w:val="18"/>
              </w:rPr>
            </w:pPr>
            <w:r>
              <w:rPr>
                <w:b/>
                <w:sz w:val="18"/>
              </w:rPr>
              <w:t>Actividad PAC 2.64.1: </w:t>
            </w:r>
            <w:r>
              <w:rPr>
                <w:sz w:val="18"/>
              </w:rPr>
              <w:t>Construir un sistema de indicadores para el monitoreo de los servicios institucionales</w:t>
            </w:r>
            <w:r>
              <w:rPr>
                <w:spacing w:val="-8"/>
                <w:sz w:val="18"/>
              </w:rPr>
              <w:t> </w:t>
            </w:r>
            <w:r>
              <w:rPr>
                <w:sz w:val="18"/>
              </w:rPr>
              <w:t>desde</w:t>
            </w:r>
            <w:r>
              <w:rPr>
                <w:spacing w:val="-8"/>
                <w:sz w:val="18"/>
              </w:rPr>
              <w:t> </w:t>
            </w:r>
            <w:r>
              <w:rPr>
                <w:sz w:val="18"/>
              </w:rPr>
              <w:t>el</w:t>
            </w:r>
            <w:r>
              <w:rPr>
                <w:spacing w:val="-10"/>
                <w:sz w:val="18"/>
              </w:rPr>
              <w:t> </w:t>
            </w:r>
            <w:r>
              <w:rPr>
                <w:sz w:val="18"/>
              </w:rPr>
              <w:t>GpRD</w:t>
            </w:r>
            <w:r>
              <w:rPr>
                <w:spacing w:val="-10"/>
                <w:sz w:val="18"/>
              </w:rPr>
              <w:t> </w:t>
            </w:r>
            <w:r>
              <w:rPr>
                <w:sz w:val="18"/>
              </w:rPr>
              <w:t>y</w:t>
            </w:r>
            <w:r>
              <w:rPr>
                <w:spacing w:val="-3"/>
                <w:sz w:val="18"/>
              </w:rPr>
              <w:t> </w:t>
            </w:r>
            <w:r>
              <w:rPr>
                <w:sz w:val="18"/>
              </w:rPr>
              <w:t>Valor </w:t>
            </w:r>
            <w:r>
              <w:rPr>
                <w:spacing w:val="-2"/>
                <w:sz w:val="18"/>
              </w:rPr>
              <w:t>Público.</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78"/>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78"/>
              <w:rPr>
                <w:b/>
                <w:sz w:val="18"/>
              </w:rPr>
            </w:pPr>
          </w:p>
          <w:p>
            <w:pPr>
              <w:pStyle w:val="TableParagraph"/>
              <w:ind w:left="19" w:right="4"/>
              <w:jc w:val="center"/>
              <w:rPr>
                <w:sz w:val="18"/>
              </w:rPr>
            </w:pPr>
            <w:r>
              <w:rPr>
                <w:spacing w:val="-10"/>
                <w:sz w:val="18"/>
              </w:rPr>
              <w:t>4</w:t>
            </w:r>
          </w:p>
        </w:tc>
        <w:tc>
          <w:tcPr>
            <w:tcW w:w="1776" w:type="dxa"/>
          </w:tcPr>
          <w:p>
            <w:pPr>
              <w:pStyle w:val="TableParagraph"/>
              <w:spacing w:before="80"/>
              <w:ind w:left="67" w:right="291"/>
              <w:rPr>
                <w:sz w:val="18"/>
              </w:rPr>
            </w:pPr>
            <w:r>
              <w:rPr>
                <w:sz w:val="18"/>
              </w:rPr>
              <w:t>Cantidad de servicios del </w:t>
            </w:r>
            <w:r>
              <w:rPr>
                <w:spacing w:val="-2"/>
                <w:sz w:val="18"/>
              </w:rPr>
              <w:t>Programa </w:t>
            </w:r>
            <w:r>
              <w:rPr>
                <w:sz w:val="18"/>
              </w:rPr>
              <w:t>Protección y Promoción</w:t>
            </w:r>
            <w:r>
              <w:rPr>
                <w:spacing w:val="-13"/>
                <w:sz w:val="18"/>
              </w:rPr>
              <w:t> </w:t>
            </w:r>
            <w:r>
              <w:rPr>
                <w:sz w:val="18"/>
              </w:rPr>
              <w:t>Social con indicadores ajustados a la GpRD y valor </w:t>
            </w:r>
            <w:r>
              <w:rPr>
                <w:spacing w:val="-2"/>
                <w:sz w:val="18"/>
              </w:rPr>
              <w:t>público</w:t>
            </w:r>
          </w:p>
        </w:tc>
        <w:tc>
          <w:tcPr>
            <w:tcW w:w="1483" w:type="dxa"/>
          </w:tcPr>
          <w:p>
            <w:pPr>
              <w:pStyle w:val="TableParagraph"/>
              <w:rPr>
                <w:b/>
                <w:sz w:val="18"/>
              </w:rPr>
            </w:pPr>
          </w:p>
          <w:p>
            <w:pPr>
              <w:pStyle w:val="TableParagraph"/>
              <w:spacing w:before="79"/>
              <w:rPr>
                <w:b/>
                <w:sz w:val="18"/>
              </w:rPr>
            </w:pPr>
          </w:p>
          <w:p>
            <w:pPr>
              <w:pStyle w:val="TableParagraph"/>
              <w:ind w:left="67" w:right="68"/>
              <w:rPr>
                <w:sz w:val="18"/>
              </w:rPr>
            </w:pPr>
            <w:r>
              <w:rPr>
                <w:spacing w:val="-2"/>
                <w:sz w:val="18"/>
              </w:rPr>
              <w:t>Documento </w:t>
            </w:r>
            <w:r>
              <w:rPr>
                <w:sz w:val="18"/>
              </w:rPr>
              <w:t>metodológico</w:t>
            </w:r>
            <w:r>
              <w:rPr>
                <w:spacing w:val="-13"/>
                <w:sz w:val="18"/>
              </w:rPr>
              <w:t> </w:t>
            </w:r>
            <w:r>
              <w:rPr>
                <w:sz w:val="18"/>
              </w:rPr>
              <w:t>de </w:t>
            </w:r>
            <w:r>
              <w:rPr>
                <w:spacing w:val="-4"/>
                <w:sz w:val="18"/>
              </w:rPr>
              <w:t>las </w:t>
            </w:r>
            <w:r>
              <w:rPr>
                <w:sz w:val="18"/>
              </w:rPr>
              <w:t>intervenciones</w:t>
            </w:r>
            <w:r>
              <w:rPr>
                <w:spacing w:val="-13"/>
                <w:sz w:val="18"/>
              </w:rPr>
              <w:t> </w:t>
            </w:r>
            <w:r>
              <w:rPr>
                <w:sz w:val="18"/>
              </w:rPr>
              <w:t>a </w:t>
            </w:r>
            <w:r>
              <w:rPr>
                <w:spacing w:val="-2"/>
                <w:sz w:val="18"/>
              </w:rPr>
              <w:t>realizar</w:t>
            </w:r>
          </w:p>
        </w:tc>
        <w:tc>
          <w:tcPr>
            <w:tcW w:w="1296" w:type="dxa"/>
          </w:tcPr>
          <w:p>
            <w:pPr>
              <w:pStyle w:val="TableParagraph"/>
              <w:rPr>
                <w:b/>
                <w:sz w:val="18"/>
              </w:rPr>
            </w:pPr>
          </w:p>
          <w:p>
            <w:pPr>
              <w:pStyle w:val="TableParagraph"/>
              <w:rPr>
                <w:b/>
                <w:sz w:val="18"/>
              </w:rPr>
            </w:pPr>
          </w:p>
          <w:p>
            <w:pPr>
              <w:pStyle w:val="TableParagraph"/>
              <w:spacing w:before="184"/>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8"/>
              <w:rPr>
                <w:b/>
                <w:sz w:val="18"/>
              </w:rPr>
            </w:pPr>
          </w:p>
          <w:p>
            <w:pPr>
              <w:pStyle w:val="TableParagraph"/>
              <w:spacing w:before="1"/>
              <w:ind w:left="74"/>
              <w:rPr>
                <w:sz w:val="18"/>
              </w:rPr>
            </w:pPr>
            <w:r>
              <w:rPr>
                <w:sz w:val="18"/>
              </w:rPr>
              <w:t>Evento: Políticas, programas, proyectos, beneficios</w:t>
            </w:r>
            <w:r>
              <w:rPr>
                <w:spacing w:val="-6"/>
                <w:sz w:val="18"/>
              </w:rPr>
              <w:t> </w:t>
            </w:r>
            <w:r>
              <w:rPr>
                <w:sz w:val="18"/>
              </w:rPr>
              <w:t>y</w:t>
            </w:r>
            <w:r>
              <w:rPr>
                <w:spacing w:val="-6"/>
                <w:sz w:val="18"/>
              </w:rPr>
              <w:t> </w:t>
            </w:r>
            <w:r>
              <w:rPr>
                <w:sz w:val="18"/>
              </w:rPr>
              <w:t>servicios</w:t>
            </w:r>
            <w:r>
              <w:rPr>
                <w:spacing w:val="-1"/>
                <w:sz w:val="18"/>
              </w:rPr>
              <w:t> </w:t>
            </w:r>
            <w:r>
              <w:rPr>
                <w:sz w:val="18"/>
              </w:rPr>
              <w:t>no identificados ni caracterizados para el desarrollo e implementación del Sistema</w:t>
            </w:r>
            <w:r>
              <w:rPr>
                <w:spacing w:val="-10"/>
                <w:sz w:val="18"/>
              </w:rPr>
              <w:t> </w:t>
            </w:r>
            <w:r>
              <w:rPr>
                <w:sz w:val="18"/>
              </w:rPr>
              <w:t>de</w:t>
            </w:r>
            <w:r>
              <w:rPr>
                <w:spacing w:val="-13"/>
                <w:sz w:val="18"/>
              </w:rPr>
              <w:t> </w:t>
            </w:r>
            <w:r>
              <w:rPr>
                <w:sz w:val="18"/>
              </w:rPr>
              <w:t>Evaluación</w:t>
            </w:r>
            <w:r>
              <w:rPr>
                <w:spacing w:val="-9"/>
                <w:sz w:val="18"/>
              </w:rPr>
              <w:t> </w:t>
            </w:r>
            <w:r>
              <w:rPr>
                <w:sz w:val="18"/>
              </w:rPr>
              <w:t>y </w:t>
            </w:r>
            <w:r>
              <w:rPr>
                <w:spacing w:val="-2"/>
                <w:sz w:val="18"/>
              </w:rPr>
              <w:t>Seguimiento.</w:t>
            </w:r>
          </w:p>
        </w:tc>
      </w:tr>
      <w:tr>
        <w:trPr>
          <w:trHeight w:val="2251" w:hRule="atLeast"/>
        </w:trPr>
        <w:tc>
          <w:tcPr>
            <w:tcW w:w="3193" w:type="dxa"/>
          </w:tcPr>
          <w:p>
            <w:pPr>
              <w:pStyle w:val="TableParagraph"/>
              <w:rPr>
                <w:b/>
                <w:sz w:val="18"/>
              </w:rPr>
            </w:pPr>
          </w:p>
          <w:p>
            <w:pPr>
              <w:pStyle w:val="TableParagraph"/>
              <w:rPr>
                <w:b/>
                <w:sz w:val="18"/>
              </w:rPr>
            </w:pPr>
          </w:p>
          <w:p>
            <w:pPr>
              <w:pStyle w:val="TableParagraph"/>
              <w:spacing w:before="194"/>
              <w:rPr>
                <w:b/>
                <w:sz w:val="18"/>
              </w:rPr>
            </w:pPr>
          </w:p>
          <w:p>
            <w:pPr>
              <w:pStyle w:val="TableParagraph"/>
              <w:ind w:left="72"/>
              <w:rPr>
                <w:sz w:val="18"/>
              </w:rPr>
            </w:pPr>
            <w:r>
              <w:rPr>
                <w:b/>
                <w:sz w:val="18"/>
              </w:rPr>
              <w:t>Actividad</w:t>
            </w:r>
            <w:r>
              <w:rPr>
                <w:b/>
                <w:spacing w:val="-13"/>
                <w:sz w:val="18"/>
              </w:rPr>
              <w:t> </w:t>
            </w:r>
            <w:r>
              <w:rPr>
                <w:b/>
                <w:sz w:val="18"/>
              </w:rPr>
              <w:t>PAC</w:t>
            </w:r>
            <w:r>
              <w:rPr>
                <w:b/>
                <w:spacing w:val="-9"/>
                <w:sz w:val="18"/>
              </w:rPr>
              <w:t> </w:t>
            </w:r>
            <w:r>
              <w:rPr>
                <w:b/>
                <w:sz w:val="18"/>
              </w:rPr>
              <w:t>2.64.2:</w:t>
            </w:r>
            <w:r>
              <w:rPr>
                <w:b/>
                <w:spacing w:val="-4"/>
                <w:sz w:val="18"/>
              </w:rPr>
              <w:t> </w:t>
            </w:r>
            <w:r>
              <w:rPr>
                <w:sz w:val="18"/>
              </w:rPr>
              <w:t>Diseñar</w:t>
            </w:r>
            <w:r>
              <w:rPr>
                <w:spacing w:val="-10"/>
                <w:sz w:val="18"/>
              </w:rPr>
              <w:t> </w:t>
            </w:r>
            <w:r>
              <w:rPr>
                <w:sz w:val="18"/>
              </w:rPr>
              <w:t>y validar las fichas técnicas de </w:t>
            </w:r>
            <w:r>
              <w:rPr>
                <w:spacing w:val="-2"/>
                <w:sz w:val="18"/>
              </w:rPr>
              <w:t>indicadores</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94"/>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94"/>
              <w:rPr>
                <w:b/>
                <w:sz w:val="18"/>
              </w:rPr>
            </w:pPr>
          </w:p>
          <w:p>
            <w:pPr>
              <w:pStyle w:val="TableParagraph"/>
              <w:ind w:left="19" w:right="7"/>
              <w:jc w:val="center"/>
              <w:rPr>
                <w:sz w:val="18"/>
              </w:rPr>
            </w:pPr>
            <w:r>
              <w:rPr>
                <w:spacing w:val="-4"/>
                <w:sz w:val="18"/>
              </w:rPr>
              <w:t>100%</w:t>
            </w:r>
          </w:p>
        </w:tc>
        <w:tc>
          <w:tcPr>
            <w:tcW w:w="1776" w:type="dxa"/>
          </w:tcPr>
          <w:p>
            <w:pPr>
              <w:pStyle w:val="TableParagraph"/>
              <w:spacing w:before="90"/>
              <w:ind w:left="67" w:right="68"/>
              <w:rPr>
                <w:sz w:val="18"/>
              </w:rPr>
            </w:pPr>
            <w:r>
              <w:rPr>
                <w:sz w:val="18"/>
              </w:rPr>
              <w:t>Porcentaje</w:t>
            </w:r>
            <w:r>
              <w:rPr>
                <w:spacing w:val="-15"/>
                <w:sz w:val="18"/>
              </w:rPr>
              <w:t> </w:t>
            </w:r>
            <w:r>
              <w:rPr>
                <w:sz w:val="18"/>
              </w:rPr>
              <w:t>de</w:t>
            </w:r>
            <w:r>
              <w:rPr>
                <w:spacing w:val="-12"/>
                <w:sz w:val="18"/>
              </w:rPr>
              <w:t> </w:t>
            </w:r>
            <w:r>
              <w:rPr>
                <w:sz w:val="18"/>
              </w:rPr>
              <w:t>fichas técnicas de los indicadores de la oferta de servicios del Programa Promoción y Protección Social ajustados a la</w:t>
            </w:r>
            <w:r>
              <w:rPr>
                <w:spacing w:val="40"/>
                <w:sz w:val="18"/>
              </w:rPr>
              <w:t> </w:t>
            </w:r>
            <w:r>
              <w:rPr>
                <w:sz w:val="18"/>
              </w:rPr>
              <w:t>GpRD y valor </w:t>
            </w:r>
            <w:r>
              <w:rPr>
                <w:spacing w:val="-2"/>
                <w:sz w:val="18"/>
              </w:rPr>
              <w:t>público</w:t>
            </w:r>
          </w:p>
        </w:tc>
        <w:tc>
          <w:tcPr>
            <w:tcW w:w="1483" w:type="dxa"/>
          </w:tcPr>
          <w:p>
            <w:pPr>
              <w:pStyle w:val="TableParagraph"/>
              <w:rPr>
                <w:b/>
                <w:sz w:val="18"/>
              </w:rPr>
            </w:pPr>
          </w:p>
          <w:p>
            <w:pPr>
              <w:pStyle w:val="TableParagraph"/>
              <w:rPr>
                <w:b/>
                <w:sz w:val="18"/>
              </w:rPr>
            </w:pPr>
          </w:p>
          <w:p>
            <w:pPr>
              <w:pStyle w:val="TableParagraph"/>
              <w:spacing w:before="89"/>
              <w:rPr>
                <w:b/>
                <w:sz w:val="18"/>
              </w:rPr>
            </w:pPr>
          </w:p>
          <w:p>
            <w:pPr>
              <w:pStyle w:val="TableParagraph"/>
              <w:ind w:left="67" w:right="158"/>
              <w:rPr>
                <w:sz w:val="18"/>
              </w:rPr>
            </w:pPr>
            <w:r>
              <w:rPr>
                <w:sz w:val="18"/>
              </w:rPr>
              <w:t>Fichas</w:t>
            </w:r>
            <w:r>
              <w:rPr>
                <w:spacing w:val="-13"/>
                <w:sz w:val="18"/>
              </w:rPr>
              <w:t> </w:t>
            </w:r>
            <w:r>
              <w:rPr>
                <w:sz w:val="18"/>
              </w:rPr>
              <w:t>técnicas de las </w:t>
            </w:r>
            <w:r>
              <w:rPr>
                <w:spacing w:val="-2"/>
                <w:sz w:val="18"/>
              </w:rPr>
              <w:t>intervenciones validadas</w:t>
            </w:r>
          </w:p>
        </w:tc>
        <w:tc>
          <w:tcPr>
            <w:tcW w:w="1296" w:type="dxa"/>
          </w:tcPr>
          <w:p>
            <w:pPr>
              <w:pStyle w:val="TableParagraph"/>
              <w:rPr>
                <w:b/>
                <w:sz w:val="18"/>
              </w:rPr>
            </w:pPr>
          </w:p>
          <w:p>
            <w:pPr>
              <w:pStyle w:val="TableParagraph"/>
              <w:rPr>
                <w:b/>
                <w:sz w:val="18"/>
              </w:rPr>
            </w:pPr>
          </w:p>
          <w:p>
            <w:pPr>
              <w:pStyle w:val="TableParagraph"/>
              <w:rPr>
                <w:b/>
                <w:sz w:val="18"/>
              </w:rPr>
            </w:pPr>
          </w:p>
          <w:p>
            <w:pPr>
              <w:pStyle w:val="TableParagraph"/>
              <w:spacing w:before="93"/>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600" w:hRule="atLeast"/>
        </w:trPr>
        <w:tc>
          <w:tcPr>
            <w:tcW w:w="14598" w:type="dxa"/>
            <w:gridSpan w:val="8"/>
            <w:shd w:val="clear" w:color="auto" w:fill="EFF8F9"/>
          </w:tcPr>
          <w:p>
            <w:pPr>
              <w:pStyle w:val="TableParagraph"/>
              <w:spacing w:before="195"/>
              <w:ind w:left="72"/>
              <w:rPr>
                <w:b/>
                <w:sz w:val="18"/>
              </w:rPr>
            </w:pPr>
            <w:r>
              <w:rPr>
                <w:b/>
                <w:sz w:val="18"/>
              </w:rPr>
              <w:t>Producto</w:t>
            </w:r>
            <w:r>
              <w:rPr>
                <w:b/>
                <w:spacing w:val="-7"/>
                <w:sz w:val="18"/>
              </w:rPr>
              <w:t> </w:t>
            </w:r>
            <w:r>
              <w:rPr>
                <w:b/>
                <w:sz w:val="18"/>
              </w:rPr>
              <w:t>PAC</w:t>
            </w:r>
            <w:r>
              <w:rPr>
                <w:b/>
                <w:spacing w:val="-8"/>
                <w:sz w:val="18"/>
              </w:rPr>
              <w:t> </w:t>
            </w:r>
            <w:r>
              <w:rPr>
                <w:b/>
                <w:sz w:val="18"/>
              </w:rPr>
              <w:t>2.65:</w:t>
            </w:r>
            <w:r>
              <w:rPr>
                <w:b/>
                <w:spacing w:val="45"/>
                <w:sz w:val="18"/>
              </w:rPr>
              <w:t> </w:t>
            </w:r>
            <w:r>
              <w:rPr>
                <w:b/>
                <w:sz w:val="18"/>
              </w:rPr>
              <w:t>Políticas, programas,</w:t>
            </w:r>
            <w:r>
              <w:rPr>
                <w:b/>
                <w:spacing w:val="-4"/>
                <w:sz w:val="18"/>
              </w:rPr>
              <w:t> </w:t>
            </w:r>
            <w:r>
              <w:rPr>
                <w:b/>
                <w:sz w:val="18"/>
              </w:rPr>
              <w:t>proyectos,</w:t>
            </w:r>
            <w:r>
              <w:rPr>
                <w:b/>
                <w:spacing w:val="-4"/>
                <w:sz w:val="18"/>
              </w:rPr>
              <w:t> </w:t>
            </w:r>
            <w:r>
              <w:rPr>
                <w:b/>
                <w:sz w:val="18"/>
              </w:rPr>
              <w:t>beneficios</w:t>
            </w:r>
            <w:r>
              <w:rPr>
                <w:b/>
                <w:spacing w:val="-6"/>
                <w:sz w:val="18"/>
              </w:rPr>
              <w:t> </w:t>
            </w:r>
            <w:r>
              <w:rPr>
                <w:b/>
                <w:sz w:val="18"/>
              </w:rPr>
              <w:t>y</w:t>
            </w:r>
            <w:r>
              <w:rPr>
                <w:b/>
                <w:spacing w:val="-6"/>
                <w:sz w:val="18"/>
              </w:rPr>
              <w:t> </w:t>
            </w:r>
            <w:r>
              <w:rPr>
                <w:b/>
                <w:sz w:val="18"/>
              </w:rPr>
              <w:t>servicios</w:t>
            </w:r>
            <w:r>
              <w:rPr>
                <w:b/>
                <w:spacing w:val="-6"/>
                <w:sz w:val="18"/>
              </w:rPr>
              <w:t> </w:t>
            </w:r>
            <w:r>
              <w:rPr>
                <w:b/>
                <w:sz w:val="18"/>
              </w:rPr>
              <w:t>evaluados</w:t>
            </w:r>
            <w:r>
              <w:rPr>
                <w:b/>
                <w:spacing w:val="-5"/>
                <w:sz w:val="18"/>
              </w:rPr>
              <w:t> </w:t>
            </w:r>
            <w:r>
              <w:rPr>
                <w:b/>
                <w:sz w:val="18"/>
              </w:rPr>
              <w:t>y</w:t>
            </w:r>
            <w:r>
              <w:rPr>
                <w:b/>
                <w:spacing w:val="-6"/>
                <w:sz w:val="18"/>
              </w:rPr>
              <w:t> </w:t>
            </w:r>
            <w:r>
              <w:rPr>
                <w:b/>
                <w:sz w:val="18"/>
              </w:rPr>
              <w:t>con</w:t>
            </w:r>
            <w:r>
              <w:rPr>
                <w:b/>
                <w:spacing w:val="-7"/>
                <w:sz w:val="18"/>
              </w:rPr>
              <w:t> </w:t>
            </w:r>
            <w:r>
              <w:rPr>
                <w:b/>
                <w:sz w:val="18"/>
              </w:rPr>
              <w:t>el</w:t>
            </w:r>
            <w:r>
              <w:rPr>
                <w:b/>
                <w:spacing w:val="-4"/>
                <w:sz w:val="18"/>
              </w:rPr>
              <w:t> </w:t>
            </w:r>
            <w:r>
              <w:rPr>
                <w:b/>
                <w:sz w:val="18"/>
              </w:rPr>
              <w:t>desarrollo</w:t>
            </w:r>
            <w:r>
              <w:rPr>
                <w:b/>
                <w:spacing w:val="-2"/>
                <w:sz w:val="18"/>
              </w:rPr>
              <w:t> </w:t>
            </w:r>
            <w:r>
              <w:rPr>
                <w:b/>
                <w:sz w:val="18"/>
              </w:rPr>
              <w:t>de</w:t>
            </w:r>
            <w:r>
              <w:rPr>
                <w:b/>
                <w:spacing w:val="-6"/>
                <w:sz w:val="18"/>
              </w:rPr>
              <w:t> </w:t>
            </w:r>
            <w:r>
              <w:rPr>
                <w:b/>
                <w:sz w:val="18"/>
              </w:rPr>
              <w:t>la</w:t>
            </w:r>
            <w:r>
              <w:rPr>
                <w:b/>
                <w:spacing w:val="-6"/>
                <w:sz w:val="18"/>
              </w:rPr>
              <w:t> </w:t>
            </w:r>
            <w:r>
              <w:rPr>
                <w:b/>
                <w:sz w:val="18"/>
              </w:rPr>
              <w:t>mejora</w:t>
            </w:r>
            <w:r>
              <w:rPr>
                <w:b/>
                <w:spacing w:val="-6"/>
                <w:sz w:val="18"/>
              </w:rPr>
              <w:t> </w:t>
            </w:r>
            <w:r>
              <w:rPr>
                <w:b/>
                <w:sz w:val="18"/>
              </w:rPr>
              <w:t>continua.</w:t>
            </w:r>
            <w:r>
              <w:rPr>
                <w:b/>
                <w:spacing w:val="46"/>
                <w:sz w:val="18"/>
              </w:rPr>
              <w:t> </w:t>
            </w:r>
            <w:r>
              <w:rPr>
                <w:b/>
                <w:sz w:val="18"/>
              </w:rPr>
              <w:t>E1</w:t>
            </w:r>
            <w:r>
              <w:rPr>
                <w:b/>
                <w:spacing w:val="-3"/>
                <w:sz w:val="18"/>
              </w:rPr>
              <w:t> </w:t>
            </w:r>
            <w:r>
              <w:rPr>
                <w:b/>
                <w:sz w:val="18"/>
              </w:rPr>
              <w:t>AE2</w:t>
            </w:r>
            <w:r>
              <w:rPr>
                <w:b/>
                <w:spacing w:val="-6"/>
                <w:sz w:val="18"/>
              </w:rPr>
              <w:t> </w:t>
            </w:r>
            <w:r>
              <w:rPr>
                <w:b/>
                <w:sz w:val="18"/>
              </w:rPr>
              <w:t>R3</w:t>
            </w:r>
            <w:r>
              <w:rPr>
                <w:b/>
                <w:spacing w:val="-5"/>
                <w:sz w:val="18"/>
              </w:rPr>
              <w:t> </w:t>
            </w:r>
            <w:r>
              <w:rPr>
                <w:b/>
                <w:spacing w:val="-2"/>
                <w:sz w:val="18"/>
              </w:rPr>
              <w:t>(60%)</w:t>
            </w:r>
          </w:p>
        </w:tc>
      </w:tr>
      <w:tr>
        <w:trPr>
          <w:trHeight w:val="1089" w:hRule="atLeast"/>
        </w:trPr>
        <w:tc>
          <w:tcPr>
            <w:tcW w:w="3193" w:type="dxa"/>
          </w:tcPr>
          <w:p>
            <w:pPr>
              <w:pStyle w:val="TableParagraph"/>
              <w:spacing w:before="27"/>
              <w:rPr>
                <w:b/>
                <w:sz w:val="18"/>
              </w:rPr>
            </w:pPr>
          </w:p>
          <w:p>
            <w:pPr>
              <w:pStyle w:val="TableParagraph"/>
              <w:spacing w:line="242" w:lineRule="auto"/>
              <w:ind w:left="72" w:right="105"/>
              <w:rPr>
                <w:sz w:val="18"/>
              </w:rPr>
            </w:pPr>
            <w:r>
              <w:rPr>
                <w:b/>
                <w:sz w:val="18"/>
              </w:rPr>
              <w:t>Actividad PAC 2.65.1:</w:t>
            </w:r>
            <w:r>
              <w:rPr>
                <w:b/>
                <w:spacing w:val="40"/>
                <w:sz w:val="18"/>
              </w:rPr>
              <w:t> </w:t>
            </w:r>
            <w:r>
              <w:rPr>
                <w:sz w:val="18"/>
              </w:rPr>
              <w:t>Coordinar con</w:t>
            </w:r>
            <w:r>
              <w:rPr>
                <w:spacing w:val="-4"/>
                <w:sz w:val="18"/>
              </w:rPr>
              <w:t> </w:t>
            </w:r>
            <w:r>
              <w:rPr>
                <w:sz w:val="18"/>
              </w:rPr>
              <w:t>los</w:t>
            </w:r>
            <w:r>
              <w:rPr>
                <w:spacing w:val="-8"/>
                <w:sz w:val="18"/>
              </w:rPr>
              <w:t> </w:t>
            </w:r>
            <w:r>
              <w:rPr>
                <w:sz w:val="18"/>
              </w:rPr>
              <w:t>departamentos</w:t>
            </w:r>
            <w:r>
              <w:rPr>
                <w:spacing w:val="-3"/>
                <w:sz w:val="18"/>
              </w:rPr>
              <w:t> </w:t>
            </w:r>
            <w:r>
              <w:rPr>
                <w:sz w:val="18"/>
              </w:rPr>
              <w:t>a</w:t>
            </w:r>
            <w:r>
              <w:rPr>
                <w:spacing w:val="-8"/>
                <w:sz w:val="18"/>
              </w:rPr>
              <w:t> </w:t>
            </w:r>
            <w:r>
              <w:rPr>
                <w:sz w:val="18"/>
              </w:rPr>
              <w:t>cargo</w:t>
            </w:r>
            <w:r>
              <w:rPr>
                <w:spacing w:val="-8"/>
                <w:sz w:val="18"/>
              </w:rPr>
              <w:t> </w:t>
            </w:r>
            <w:r>
              <w:rPr>
                <w:sz w:val="18"/>
              </w:rPr>
              <w:t>de</w:t>
            </w:r>
            <w:r>
              <w:rPr>
                <w:spacing w:val="-8"/>
                <w:sz w:val="18"/>
              </w:rPr>
              <w:t> </w:t>
            </w:r>
            <w:r>
              <w:rPr>
                <w:sz w:val="18"/>
              </w:rPr>
              <w:t>los servicios a evaluar en el 2026</w:t>
            </w:r>
          </w:p>
        </w:tc>
        <w:tc>
          <w:tcPr>
            <w:tcW w:w="1354" w:type="dxa"/>
          </w:tcPr>
          <w:p>
            <w:pPr>
              <w:pStyle w:val="TableParagraph"/>
              <w:rPr>
                <w:b/>
                <w:sz w:val="18"/>
              </w:rPr>
            </w:pPr>
          </w:p>
          <w:p>
            <w:pPr>
              <w:pStyle w:val="TableParagraph"/>
              <w:spacing w:before="26"/>
              <w:rPr>
                <w:b/>
                <w:sz w:val="18"/>
              </w:rPr>
            </w:pPr>
          </w:p>
          <w:p>
            <w:pPr>
              <w:pStyle w:val="TableParagraph"/>
              <w:ind w:left="19" w:right="4"/>
              <w:jc w:val="center"/>
              <w:rPr>
                <w:sz w:val="18"/>
              </w:rPr>
            </w:pPr>
            <w:r>
              <w:rPr>
                <w:spacing w:val="-10"/>
                <w:sz w:val="18"/>
              </w:rPr>
              <w:t>5</w:t>
            </w:r>
          </w:p>
        </w:tc>
        <w:tc>
          <w:tcPr>
            <w:tcW w:w="1354" w:type="dxa"/>
          </w:tcPr>
          <w:p>
            <w:pPr>
              <w:pStyle w:val="TableParagraph"/>
              <w:rPr>
                <w:b/>
                <w:sz w:val="18"/>
              </w:rPr>
            </w:pPr>
          </w:p>
          <w:p>
            <w:pPr>
              <w:pStyle w:val="TableParagraph"/>
              <w:spacing w:before="26"/>
              <w:rPr>
                <w:b/>
                <w:sz w:val="18"/>
              </w:rPr>
            </w:pPr>
          </w:p>
          <w:p>
            <w:pPr>
              <w:pStyle w:val="TableParagraph"/>
              <w:ind w:left="19" w:right="4"/>
              <w:jc w:val="center"/>
              <w:rPr>
                <w:sz w:val="18"/>
              </w:rPr>
            </w:pPr>
            <w:r>
              <w:rPr>
                <w:spacing w:val="-10"/>
                <w:sz w:val="18"/>
              </w:rPr>
              <w:t>5</w:t>
            </w:r>
          </w:p>
        </w:tc>
        <w:tc>
          <w:tcPr>
            <w:tcW w:w="1776" w:type="dxa"/>
          </w:tcPr>
          <w:p>
            <w:pPr>
              <w:pStyle w:val="TableParagraph"/>
              <w:spacing w:before="27"/>
              <w:rPr>
                <w:b/>
                <w:sz w:val="18"/>
              </w:rPr>
            </w:pPr>
          </w:p>
          <w:p>
            <w:pPr>
              <w:pStyle w:val="TableParagraph"/>
              <w:spacing w:line="242" w:lineRule="auto"/>
              <w:ind w:left="67" w:right="668"/>
              <w:jc w:val="both"/>
              <w:rPr>
                <w:sz w:val="18"/>
              </w:rPr>
            </w:pPr>
            <w:r>
              <w:rPr>
                <w:sz w:val="18"/>
              </w:rPr>
              <w:t>Cantidad de sesiones de </w:t>
            </w:r>
            <w:r>
              <w:rPr>
                <w:spacing w:val="-2"/>
                <w:sz w:val="18"/>
              </w:rPr>
              <w:t>coordinación</w:t>
            </w:r>
          </w:p>
        </w:tc>
        <w:tc>
          <w:tcPr>
            <w:tcW w:w="1483" w:type="dxa"/>
          </w:tcPr>
          <w:p>
            <w:pPr>
              <w:pStyle w:val="TableParagraph"/>
              <w:spacing w:before="27"/>
              <w:rPr>
                <w:b/>
                <w:sz w:val="18"/>
              </w:rPr>
            </w:pPr>
          </w:p>
          <w:p>
            <w:pPr>
              <w:pStyle w:val="TableParagraph"/>
              <w:spacing w:line="242" w:lineRule="auto"/>
              <w:ind w:left="67"/>
              <w:rPr>
                <w:sz w:val="18"/>
              </w:rPr>
            </w:pPr>
            <w:r>
              <w:rPr>
                <w:sz w:val="18"/>
              </w:rPr>
              <w:t>Minutas de sesiones de </w:t>
            </w:r>
            <w:r>
              <w:rPr>
                <w:spacing w:val="-2"/>
                <w:sz w:val="18"/>
              </w:rPr>
              <w:t>coordinación</w:t>
            </w:r>
          </w:p>
        </w:tc>
        <w:tc>
          <w:tcPr>
            <w:tcW w:w="1296" w:type="dxa"/>
          </w:tcPr>
          <w:p>
            <w:pPr>
              <w:pStyle w:val="TableParagraph"/>
              <w:spacing w:before="132"/>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spacing w:before="117"/>
              <w:rPr>
                <w:b/>
                <w:sz w:val="18"/>
              </w:rPr>
            </w:pPr>
          </w:p>
          <w:p>
            <w:pPr>
              <w:pStyle w:val="TableParagraph"/>
              <w:ind w:left="74" w:right="112"/>
              <w:rPr>
                <w:sz w:val="18"/>
              </w:rPr>
            </w:pPr>
            <w:r>
              <w:rPr>
                <w:sz w:val="18"/>
              </w:rPr>
              <w:t>Evento: Oferta de servicios con baja contribución</w:t>
            </w:r>
            <w:r>
              <w:rPr>
                <w:spacing w:val="-15"/>
                <w:sz w:val="18"/>
              </w:rPr>
              <w:t> </w:t>
            </w:r>
            <w:r>
              <w:rPr>
                <w:sz w:val="18"/>
              </w:rPr>
              <w:t>al</w:t>
            </w:r>
            <w:r>
              <w:rPr>
                <w:spacing w:val="-12"/>
                <w:sz w:val="18"/>
              </w:rPr>
              <w:t> </w:t>
            </w:r>
            <w:r>
              <w:rPr>
                <w:sz w:val="18"/>
              </w:rPr>
              <w:t>valor </w:t>
            </w:r>
            <w:r>
              <w:rPr>
                <w:spacing w:val="-2"/>
                <w:sz w:val="18"/>
              </w:rPr>
              <w:t>público.</w:t>
            </w:r>
          </w:p>
        </w:tc>
      </w:tr>
      <w:tr>
        <w:trPr>
          <w:trHeight w:val="1204" w:hRule="atLeast"/>
        </w:trPr>
        <w:tc>
          <w:tcPr>
            <w:tcW w:w="3193" w:type="dxa"/>
          </w:tcPr>
          <w:p>
            <w:pPr>
              <w:pStyle w:val="TableParagraph"/>
              <w:spacing w:before="186"/>
              <w:ind w:left="72"/>
              <w:rPr>
                <w:sz w:val="18"/>
              </w:rPr>
            </w:pPr>
            <w:r>
              <w:rPr>
                <w:b/>
                <w:sz w:val="18"/>
              </w:rPr>
              <w:t>Actividad</w:t>
            </w:r>
            <w:r>
              <w:rPr>
                <w:b/>
                <w:spacing w:val="-13"/>
                <w:sz w:val="18"/>
              </w:rPr>
              <w:t> </w:t>
            </w:r>
            <w:r>
              <w:rPr>
                <w:b/>
                <w:sz w:val="18"/>
              </w:rPr>
              <w:t>PAC</w:t>
            </w:r>
            <w:r>
              <w:rPr>
                <w:b/>
                <w:spacing w:val="-12"/>
                <w:sz w:val="18"/>
              </w:rPr>
              <w:t> </w:t>
            </w:r>
            <w:r>
              <w:rPr>
                <w:b/>
                <w:sz w:val="18"/>
              </w:rPr>
              <w:t>2.65.2:</w:t>
            </w:r>
            <w:r>
              <w:rPr>
                <w:b/>
                <w:spacing w:val="-11"/>
                <w:sz w:val="18"/>
              </w:rPr>
              <w:t> </w:t>
            </w:r>
            <w:r>
              <w:rPr>
                <w:sz w:val="18"/>
              </w:rPr>
              <w:t>Contratar entidad de apoyo al proceso de evaluación de los servicios </w:t>
            </w:r>
            <w:r>
              <w:rPr>
                <w:spacing w:val="-2"/>
                <w:sz w:val="18"/>
              </w:rPr>
              <w:t>seleccionados</w:t>
            </w:r>
          </w:p>
        </w:tc>
        <w:tc>
          <w:tcPr>
            <w:tcW w:w="1354" w:type="dxa"/>
          </w:tcPr>
          <w:p>
            <w:pPr>
              <w:pStyle w:val="TableParagraph"/>
              <w:rPr>
                <w:b/>
                <w:sz w:val="18"/>
              </w:rPr>
            </w:pPr>
          </w:p>
          <w:p>
            <w:pPr>
              <w:pStyle w:val="TableParagraph"/>
              <w:spacing w:before="84"/>
              <w:rPr>
                <w:b/>
                <w:sz w:val="18"/>
              </w:rPr>
            </w:pPr>
          </w:p>
          <w:p>
            <w:pPr>
              <w:pStyle w:val="TableParagraph"/>
              <w:ind w:left="19" w:right="4"/>
              <w:jc w:val="center"/>
              <w:rPr>
                <w:sz w:val="18"/>
              </w:rPr>
            </w:pPr>
            <w:r>
              <w:rPr>
                <w:spacing w:val="-10"/>
                <w:sz w:val="18"/>
              </w:rPr>
              <w:t>5</w:t>
            </w:r>
          </w:p>
        </w:tc>
        <w:tc>
          <w:tcPr>
            <w:tcW w:w="1354" w:type="dxa"/>
          </w:tcPr>
          <w:p>
            <w:pPr>
              <w:pStyle w:val="TableParagraph"/>
              <w:rPr>
                <w:b/>
                <w:sz w:val="18"/>
              </w:rPr>
            </w:pPr>
          </w:p>
          <w:p>
            <w:pPr>
              <w:pStyle w:val="TableParagraph"/>
              <w:spacing w:before="84"/>
              <w:rPr>
                <w:b/>
                <w:sz w:val="18"/>
              </w:rPr>
            </w:pPr>
          </w:p>
          <w:p>
            <w:pPr>
              <w:pStyle w:val="TableParagraph"/>
              <w:ind w:left="19" w:right="4"/>
              <w:jc w:val="center"/>
              <w:rPr>
                <w:sz w:val="18"/>
              </w:rPr>
            </w:pPr>
            <w:r>
              <w:rPr>
                <w:spacing w:val="-10"/>
                <w:sz w:val="18"/>
              </w:rPr>
              <w:t>5</w:t>
            </w:r>
          </w:p>
        </w:tc>
        <w:tc>
          <w:tcPr>
            <w:tcW w:w="1776" w:type="dxa"/>
          </w:tcPr>
          <w:p>
            <w:pPr>
              <w:pStyle w:val="TableParagraph"/>
              <w:spacing w:before="185"/>
              <w:rPr>
                <w:b/>
                <w:sz w:val="18"/>
              </w:rPr>
            </w:pPr>
          </w:p>
          <w:p>
            <w:pPr>
              <w:pStyle w:val="TableParagraph"/>
              <w:ind w:left="67"/>
              <w:rPr>
                <w:sz w:val="18"/>
              </w:rPr>
            </w:pPr>
            <w:r>
              <w:rPr>
                <w:sz w:val="18"/>
              </w:rPr>
              <w:t>Cantidad</w:t>
            </w:r>
            <w:r>
              <w:rPr>
                <w:spacing w:val="-15"/>
                <w:sz w:val="18"/>
              </w:rPr>
              <w:t> </w:t>
            </w:r>
            <w:r>
              <w:rPr>
                <w:sz w:val="18"/>
              </w:rPr>
              <w:t>de</w:t>
            </w:r>
            <w:r>
              <w:rPr>
                <w:spacing w:val="-12"/>
                <w:sz w:val="18"/>
              </w:rPr>
              <w:t> </w:t>
            </w:r>
            <w:r>
              <w:rPr>
                <w:sz w:val="18"/>
              </w:rPr>
              <w:t>ofertas </w:t>
            </w:r>
            <w:r>
              <w:rPr>
                <w:spacing w:val="-2"/>
                <w:sz w:val="18"/>
              </w:rPr>
              <w:t>recibidas</w:t>
            </w:r>
          </w:p>
        </w:tc>
        <w:tc>
          <w:tcPr>
            <w:tcW w:w="1483" w:type="dxa"/>
          </w:tcPr>
          <w:p>
            <w:pPr>
              <w:pStyle w:val="TableParagraph"/>
              <w:spacing w:before="84"/>
              <w:rPr>
                <w:b/>
                <w:sz w:val="18"/>
              </w:rPr>
            </w:pPr>
          </w:p>
          <w:p>
            <w:pPr>
              <w:pStyle w:val="TableParagraph"/>
              <w:ind w:left="67"/>
              <w:rPr>
                <w:sz w:val="18"/>
              </w:rPr>
            </w:pPr>
            <w:r>
              <w:rPr>
                <w:sz w:val="18"/>
              </w:rPr>
              <w:t>Cartel</w:t>
            </w:r>
            <w:r>
              <w:rPr>
                <w:spacing w:val="-1"/>
                <w:sz w:val="18"/>
              </w:rPr>
              <w:t> </w:t>
            </w:r>
            <w:r>
              <w:rPr>
                <w:sz w:val="18"/>
              </w:rPr>
              <w:t>de contratación y ofertas</w:t>
            </w:r>
            <w:r>
              <w:rPr>
                <w:spacing w:val="-13"/>
                <w:sz w:val="18"/>
              </w:rPr>
              <w:t> </w:t>
            </w:r>
            <w:r>
              <w:rPr>
                <w:sz w:val="18"/>
              </w:rPr>
              <w:t>recibidas</w:t>
            </w:r>
          </w:p>
        </w:tc>
        <w:tc>
          <w:tcPr>
            <w:tcW w:w="1296" w:type="dxa"/>
          </w:tcPr>
          <w:p>
            <w:pPr>
              <w:pStyle w:val="TableParagraph"/>
              <w:spacing w:before="185"/>
              <w:rPr>
                <w:b/>
                <w:sz w:val="18"/>
              </w:rPr>
            </w:pPr>
          </w:p>
          <w:p>
            <w:pPr>
              <w:pStyle w:val="TableParagraph"/>
              <w:ind w:left="72"/>
              <w:rPr>
                <w:sz w:val="18"/>
              </w:rPr>
            </w:pPr>
            <w:r>
              <w:rPr>
                <w:spacing w:val="-2"/>
                <w:sz w:val="18"/>
              </w:rPr>
              <w:t>Planificación Institucional</w:t>
            </w:r>
          </w:p>
        </w:tc>
        <w:tc>
          <w:tcPr>
            <w:tcW w:w="2011" w:type="dxa"/>
          </w:tcPr>
          <w:p>
            <w:pPr>
              <w:pStyle w:val="TableParagraph"/>
              <w:rPr>
                <w:b/>
                <w:sz w:val="18"/>
              </w:rPr>
            </w:pPr>
          </w:p>
          <w:p>
            <w:pPr>
              <w:pStyle w:val="TableParagraph"/>
              <w:spacing w:before="84"/>
              <w:rPr>
                <w:b/>
                <w:sz w:val="18"/>
              </w:rPr>
            </w:pPr>
          </w:p>
          <w:p>
            <w:pPr>
              <w:pStyle w:val="TableParagraph"/>
              <w:ind w:left="913"/>
              <w:rPr>
                <w:sz w:val="18"/>
              </w:rPr>
            </w:pPr>
            <w:r>
              <w:rPr>
                <w:spacing w:val="-2"/>
                <w:sz w:val="18"/>
              </w:rPr>
              <w:t>₡25.000.000</w:t>
            </w:r>
          </w:p>
        </w:tc>
        <w:tc>
          <w:tcPr>
            <w:tcW w:w="2131" w:type="dxa"/>
            <w:vMerge/>
            <w:tcBorders>
              <w:top w:val="nil"/>
            </w:tcBorders>
          </w:tcPr>
          <w:p>
            <w:pPr>
              <w:rPr>
                <w:sz w:val="2"/>
                <w:szCs w:val="2"/>
              </w:rPr>
            </w:pPr>
          </w:p>
        </w:tc>
      </w:tr>
    </w:tbl>
    <w:p>
      <w:pPr>
        <w:spacing w:after="0"/>
        <w:rPr>
          <w:sz w:val="2"/>
          <w:szCs w:val="2"/>
        </w:rPr>
        <w:sectPr>
          <w:pgSz w:w="15840" w:h="12240" w:orient="landscape"/>
          <w:pgMar w:header="0" w:footer="1806" w:top="700" w:bottom="2703"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199" w:hRule="atLeast"/>
        </w:trPr>
        <w:tc>
          <w:tcPr>
            <w:tcW w:w="3193" w:type="dxa"/>
          </w:tcPr>
          <w:p>
            <w:pPr>
              <w:pStyle w:val="TableParagraph"/>
              <w:spacing w:before="79"/>
              <w:rPr>
                <w:b/>
                <w:sz w:val="18"/>
              </w:rPr>
            </w:pPr>
          </w:p>
          <w:p>
            <w:pPr>
              <w:pStyle w:val="TableParagraph"/>
              <w:spacing w:line="242" w:lineRule="auto" w:before="1"/>
              <w:ind w:left="72" w:right="111"/>
              <w:rPr>
                <w:sz w:val="18"/>
              </w:rPr>
            </w:pPr>
            <w:r>
              <w:rPr>
                <w:b/>
                <w:sz w:val="18"/>
              </w:rPr>
              <w:t>Actividad</w:t>
            </w:r>
            <w:r>
              <w:rPr>
                <w:b/>
                <w:spacing w:val="-12"/>
                <w:sz w:val="18"/>
              </w:rPr>
              <w:t> </w:t>
            </w:r>
            <w:r>
              <w:rPr>
                <w:b/>
                <w:sz w:val="18"/>
              </w:rPr>
              <w:t>PAC</w:t>
            </w:r>
            <w:r>
              <w:rPr>
                <w:b/>
                <w:spacing w:val="-9"/>
                <w:sz w:val="18"/>
              </w:rPr>
              <w:t> </w:t>
            </w:r>
            <w:r>
              <w:rPr>
                <w:b/>
                <w:sz w:val="18"/>
              </w:rPr>
              <w:t>2.65.3:</w:t>
            </w:r>
            <w:r>
              <w:rPr>
                <w:b/>
                <w:spacing w:val="36"/>
                <w:sz w:val="18"/>
              </w:rPr>
              <w:t> </w:t>
            </w:r>
            <w:r>
              <w:rPr>
                <w:sz w:val="18"/>
              </w:rPr>
              <w:t>Ejecutar proceso de evaluación de los servicios seleccionados</w:t>
            </w:r>
          </w:p>
        </w:tc>
        <w:tc>
          <w:tcPr>
            <w:tcW w:w="1354" w:type="dxa"/>
          </w:tcPr>
          <w:p>
            <w:pPr>
              <w:pStyle w:val="TableParagraph"/>
              <w:rPr>
                <w:b/>
                <w:sz w:val="18"/>
              </w:rPr>
            </w:pPr>
          </w:p>
          <w:p>
            <w:pPr>
              <w:pStyle w:val="TableParagraph"/>
              <w:spacing w:before="79"/>
              <w:rPr>
                <w:b/>
                <w:sz w:val="18"/>
              </w:rPr>
            </w:pPr>
          </w:p>
          <w:p>
            <w:pPr>
              <w:pStyle w:val="TableParagraph"/>
              <w:ind w:left="19" w:right="4"/>
              <w:jc w:val="center"/>
              <w:rPr>
                <w:sz w:val="18"/>
              </w:rPr>
            </w:pPr>
            <w:r>
              <w:rPr>
                <w:spacing w:val="-10"/>
                <w:sz w:val="18"/>
              </w:rPr>
              <w:t>1</w:t>
            </w:r>
          </w:p>
        </w:tc>
        <w:tc>
          <w:tcPr>
            <w:tcW w:w="1354" w:type="dxa"/>
          </w:tcPr>
          <w:p>
            <w:pPr>
              <w:pStyle w:val="TableParagraph"/>
              <w:rPr>
                <w:b/>
                <w:sz w:val="18"/>
              </w:rPr>
            </w:pPr>
          </w:p>
          <w:p>
            <w:pPr>
              <w:pStyle w:val="TableParagraph"/>
              <w:spacing w:before="79"/>
              <w:rPr>
                <w:b/>
                <w:sz w:val="18"/>
              </w:rPr>
            </w:pPr>
          </w:p>
          <w:p>
            <w:pPr>
              <w:pStyle w:val="TableParagraph"/>
              <w:ind w:left="19" w:right="4"/>
              <w:jc w:val="center"/>
              <w:rPr>
                <w:sz w:val="18"/>
              </w:rPr>
            </w:pPr>
            <w:r>
              <w:rPr>
                <w:spacing w:val="-10"/>
                <w:sz w:val="18"/>
              </w:rPr>
              <w:t>1</w:t>
            </w:r>
          </w:p>
        </w:tc>
        <w:tc>
          <w:tcPr>
            <w:tcW w:w="1776" w:type="dxa"/>
          </w:tcPr>
          <w:p>
            <w:pPr>
              <w:pStyle w:val="TableParagraph"/>
              <w:spacing w:before="185"/>
              <w:rPr>
                <w:b/>
                <w:sz w:val="18"/>
              </w:rPr>
            </w:pPr>
          </w:p>
          <w:p>
            <w:pPr>
              <w:pStyle w:val="TableParagraph"/>
              <w:ind w:left="100" w:firstLine="297"/>
              <w:rPr>
                <w:sz w:val="18"/>
              </w:rPr>
            </w:pPr>
            <w:r>
              <w:rPr>
                <w:sz w:val="18"/>
              </w:rPr>
              <w:t>Cantidad de servicios</w:t>
            </w:r>
            <w:r>
              <w:rPr>
                <w:spacing w:val="-13"/>
                <w:sz w:val="18"/>
              </w:rPr>
              <w:t> </w:t>
            </w:r>
            <w:r>
              <w:rPr>
                <w:sz w:val="18"/>
              </w:rPr>
              <w:t>evaluados</w:t>
            </w:r>
          </w:p>
        </w:tc>
        <w:tc>
          <w:tcPr>
            <w:tcW w:w="1483" w:type="dxa"/>
          </w:tcPr>
          <w:p>
            <w:pPr>
              <w:pStyle w:val="TableParagraph"/>
              <w:spacing w:before="185"/>
              <w:rPr>
                <w:b/>
                <w:sz w:val="18"/>
              </w:rPr>
            </w:pPr>
          </w:p>
          <w:p>
            <w:pPr>
              <w:pStyle w:val="TableParagraph"/>
              <w:ind w:left="307" w:hanging="192"/>
              <w:rPr>
                <w:sz w:val="18"/>
              </w:rPr>
            </w:pPr>
            <w:r>
              <w:rPr>
                <w:sz w:val="18"/>
              </w:rPr>
              <w:t>Informe</w:t>
            </w:r>
            <w:r>
              <w:rPr>
                <w:spacing w:val="-15"/>
                <w:sz w:val="18"/>
              </w:rPr>
              <w:t> </w:t>
            </w:r>
            <w:r>
              <w:rPr>
                <w:sz w:val="18"/>
              </w:rPr>
              <w:t>final</w:t>
            </w:r>
            <w:r>
              <w:rPr>
                <w:spacing w:val="-12"/>
                <w:sz w:val="18"/>
              </w:rPr>
              <w:t> </w:t>
            </w:r>
            <w:r>
              <w:rPr>
                <w:sz w:val="18"/>
              </w:rPr>
              <w:t>de </w:t>
            </w:r>
            <w:r>
              <w:rPr>
                <w:spacing w:val="-2"/>
                <w:sz w:val="18"/>
              </w:rPr>
              <w:t>evaluación</w:t>
            </w:r>
          </w:p>
        </w:tc>
        <w:tc>
          <w:tcPr>
            <w:tcW w:w="1296" w:type="dxa"/>
          </w:tcPr>
          <w:p>
            <w:pPr>
              <w:pStyle w:val="TableParagraph"/>
              <w:spacing w:before="185"/>
              <w:rPr>
                <w:b/>
                <w:sz w:val="18"/>
              </w:rPr>
            </w:pPr>
          </w:p>
          <w:p>
            <w:pPr>
              <w:pStyle w:val="TableParagraph"/>
              <w:ind w:left="173" w:hanging="29"/>
              <w:rPr>
                <w:sz w:val="18"/>
              </w:rPr>
            </w:pPr>
            <w:r>
              <w:rPr>
                <w:spacing w:val="-2"/>
                <w:sz w:val="18"/>
              </w:rPr>
              <w:t>Planificación Institucional</w:t>
            </w:r>
          </w:p>
        </w:tc>
        <w:tc>
          <w:tcPr>
            <w:tcW w:w="2011" w:type="dxa"/>
          </w:tcPr>
          <w:p>
            <w:pPr>
              <w:pStyle w:val="TableParagraph"/>
              <w:rPr>
                <w:rFonts w:ascii="Times New Roman"/>
                <w:sz w:val="18"/>
              </w:rPr>
            </w:pPr>
          </w:p>
        </w:tc>
        <w:tc>
          <w:tcPr>
            <w:tcW w:w="2131" w:type="dxa"/>
          </w:tcPr>
          <w:p>
            <w:pPr>
              <w:pStyle w:val="TableParagraph"/>
              <w:rPr>
                <w:rFonts w:ascii="Times New Roman"/>
                <w:sz w:val="18"/>
              </w:rPr>
            </w:pPr>
          </w:p>
        </w:tc>
      </w:tr>
      <w:tr>
        <w:trPr>
          <w:trHeight w:val="628" w:hRule="atLeast"/>
        </w:trPr>
        <w:tc>
          <w:tcPr>
            <w:tcW w:w="14598" w:type="dxa"/>
            <w:gridSpan w:val="8"/>
            <w:shd w:val="clear" w:color="auto" w:fill="EFF8F9"/>
          </w:tcPr>
          <w:p>
            <w:pPr>
              <w:pStyle w:val="TableParagraph"/>
              <w:spacing w:before="109"/>
              <w:ind w:left="72" w:right="173"/>
              <w:rPr>
                <w:b/>
                <w:sz w:val="18"/>
              </w:rPr>
            </w:pPr>
            <w:r>
              <w:rPr>
                <w:b/>
                <w:sz w:val="18"/>
              </w:rPr>
              <w:t>Producto</w:t>
            </w:r>
            <w:r>
              <w:rPr>
                <w:b/>
                <w:spacing w:val="-4"/>
                <w:sz w:val="18"/>
              </w:rPr>
              <w:t> </w:t>
            </w:r>
            <w:r>
              <w:rPr>
                <w:b/>
                <w:sz w:val="18"/>
              </w:rPr>
              <w:t>PAC</w:t>
            </w:r>
            <w:r>
              <w:rPr>
                <w:b/>
                <w:spacing w:val="-5"/>
                <w:sz w:val="18"/>
              </w:rPr>
              <w:t> </w:t>
            </w:r>
            <w:r>
              <w:rPr>
                <w:b/>
                <w:sz w:val="18"/>
              </w:rPr>
              <w:t>2.66:</w:t>
            </w:r>
            <w:r>
              <w:rPr>
                <w:b/>
                <w:spacing w:val="-1"/>
                <w:sz w:val="18"/>
              </w:rPr>
              <w:t> </w:t>
            </w:r>
            <w:r>
              <w:rPr>
                <w:b/>
                <w:sz w:val="18"/>
              </w:rPr>
              <w:t>Unidades,</w:t>
            </w:r>
            <w:r>
              <w:rPr>
                <w:b/>
                <w:spacing w:val="-1"/>
                <w:sz w:val="18"/>
              </w:rPr>
              <w:t> </w:t>
            </w:r>
            <w:r>
              <w:rPr>
                <w:b/>
                <w:sz w:val="18"/>
              </w:rPr>
              <w:t>responsabilidades y</w:t>
            </w:r>
            <w:r>
              <w:rPr>
                <w:b/>
                <w:spacing w:val="-8"/>
                <w:sz w:val="18"/>
              </w:rPr>
              <w:t> </w:t>
            </w:r>
            <w:r>
              <w:rPr>
                <w:b/>
                <w:sz w:val="18"/>
              </w:rPr>
              <w:t>funciones</w:t>
            </w:r>
            <w:r>
              <w:rPr>
                <w:b/>
                <w:spacing w:val="-3"/>
                <w:sz w:val="18"/>
              </w:rPr>
              <w:t> </w:t>
            </w:r>
            <w:r>
              <w:rPr>
                <w:b/>
                <w:sz w:val="18"/>
              </w:rPr>
              <w:t>mapeadas por</w:t>
            </w:r>
            <w:r>
              <w:rPr>
                <w:b/>
                <w:spacing w:val="-2"/>
                <w:sz w:val="18"/>
              </w:rPr>
              <w:t> </w:t>
            </w:r>
            <w:r>
              <w:rPr>
                <w:b/>
                <w:sz w:val="18"/>
              </w:rPr>
              <w:t>cada</w:t>
            </w:r>
            <w:r>
              <w:rPr>
                <w:b/>
                <w:spacing w:val="-3"/>
                <w:sz w:val="18"/>
              </w:rPr>
              <w:t> </w:t>
            </w:r>
            <w:r>
              <w:rPr>
                <w:b/>
                <w:sz w:val="18"/>
              </w:rPr>
              <w:t>proceso</w:t>
            </w:r>
            <w:r>
              <w:rPr>
                <w:b/>
                <w:spacing w:val="-4"/>
                <w:sz w:val="18"/>
              </w:rPr>
              <w:t> </w:t>
            </w:r>
            <w:r>
              <w:rPr>
                <w:b/>
                <w:sz w:val="18"/>
              </w:rPr>
              <w:t>(mapa</w:t>
            </w:r>
            <w:r>
              <w:rPr>
                <w:b/>
                <w:spacing w:val="-3"/>
                <w:sz w:val="18"/>
              </w:rPr>
              <w:t> </w:t>
            </w:r>
            <w:r>
              <w:rPr>
                <w:b/>
                <w:sz w:val="18"/>
              </w:rPr>
              <w:t>de procesos), para</w:t>
            </w:r>
            <w:r>
              <w:rPr>
                <w:b/>
                <w:spacing w:val="-3"/>
                <w:sz w:val="18"/>
              </w:rPr>
              <w:t> </w:t>
            </w:r>
            <w:r>
              <w:rPr>
                <w:b/>
                <w:sz w:val="18"/>
              </w:rPr>
              <w:t>la</w:t>
            </w:r>
            <w:r>
              <w:rPr>
                <w:b/>
                <w:spacing w:val="-3"/>
                <w:sz w:val="18"/>
              </w:rPr>
              <w:t> </w:t>
            </w:r>
            <w:r>
              <w:rPr>
                <w:b/>
                <w:sz w:val="18"/>
              </w:rPr>
              <w:t>implementación</w:t>
            </w:r>
            <w:r>
              <w:rPr>
                <w:b/>
                <w:spacing w:val="-4"/>
                <w:sz w:val="18"/>
              </w:rPr>
              <w:t> </w:t>
            </w:r>
            <w:r>
              <w:rPr>
                <w:b/>
                <w:sz w:val="18"/>
              </w:rPr>
              <w:t>de</w:t>
            </w:r>
            <w:r>
              <w:rPr>
                <w:b/>
                <w:spacing w:val="-3"/>
                <w:sz w:val="18"/>
              </w:rPr>
              <w:t> </w:t>
            </w:r>
            <w:r>
              <w:rPr>
                <w:b/>
                <w:sz w:val="18"/>
              </w:rPr>
              <w:t>la</w:t>
            </w:r>
            <w:r>
              <w:rPr>
                <w:b/>
                <w:spacing w:val="-8"/>
                <w:sz w:val="18"/>
              </w:rPr>
              <w:t> </w:t>
            </w:r>
            <w:r>
              <w:rPr>
                <w:b/>
                <w:sz w:val="18"/>
              </w:rPr>
              <w:t>metodología</w:t>
            </w:r>
            <w:r>
              <w:rPr>
                <w:b/>
                <w:spacing w:val="-3"/>
                <w:sz w:val="18"/>
              </w:rPr>
              <w:t> </w:t>
            </w:r>
            <w:r>
              <w:rPr>
                <w:b/>
                <w:sz w:val="18"/>
              </w:rPr>
              <w:t>de</w:t>
            </w:r>
            <w:r>
              <w:rPr>
                <w:b/>
                <w:spacing w:val="-3"/>
                <w:sz w:val="18"/>
              </w:rPr>
              <w:t> </w:t>
            </w:r>
            <w:r>
              <w:rPr>
                <w:b/>
                <w:sz w:val="18"/>
              </w:rPr>
              <w:t>gestión por procesos. E1 AE3 R1 (80%)</w:t>
            </w:r>
          </w:p>
        </w:tc>
      </w:tr>
      <w:tr>
        <w:trPr>
          <w:trHeight w:val="1488" w:hRule="atLeast"/>
        </w:trPr>
        <w:tc>
          <w:tcPr>
            <w:tcW w:w="3193" w:type="dxa"/>
          </w:tcPr>
          <w:p>
            <w:pPr>
              <w:pStyle w:val="TableParagraph"/>
              <w:spacing w:before="123"/>
              <w:rPr>
                <w:b/>
                <w:sz w:val="18"/>
              </w:rPr>
            </w:pPr>
          </w:p>
          <w:p>
            <w:pPr>
              <w:pStyle w:val="TableParagraph"/>
              <w:ind w:left="72"/>
              <w:rPr>
                <w:sz w:val="18"/>
              </w:rPr>
            </w:pPr>
            <w:r>
              <w:rPr>
                <w:b/>
                <w:sz w:val="18"/>
              </w:rPr>
              <w:t>Actividad PAC 2.66.1: </w:t>
            </w:r>
            <w:r>
              <w:rPr>
                <w:sz w:val="18"/>
              </w:rPr>
              <w:t>Priorizar las unidades</w:t>
            </w:r>
            <w:r>
              <w:rPr>
                <w:spacing w:val="-9"/>
                <w:sz w:val="18"/>
              </w:rPr>
              <w:t> </w:t>
            </w:r>
            <w:r>
              <w:rPr>
                <w:sz w:val="18"/>
              </w:rPr>
              <w:t>administrativas</w:t>
            </w:r>
            <w:r>
              <w:rPr>
                <w:spacing w:val="-9"/>
                <w:sz w:val="18"/>
              </w:rPr>
              <w:t> </w:t>
            </w:r>
            <w:r>
              <w:rPr>
                <w:sz w:val="18"/>
              </w:rPr>
              <w:t>a</w:t>
            </w:r>
            <w:r>
              <w:rPr>
                <w:spacing w:val="-9"/>
                <w:sz w:val="18"/>
              </w:rPr>
              <w:t> </w:t>
            </w:r>
            <w:r>
              <w:rPr>
                <w:sz w:val="18"/>
              </w:rPr>
              <w:t>las</w:t>
            </w:r>
            <w:r>
              <w:rPr>
                <w:spacing w:val="-9"/>
                <w:sz w:val="18"/>
              </w:rPr>
              <w:t> </w:t>
            </w:r>
            <w:r>
              <w:rPr>
                <w:sz w:val="18"/>
              </w:rPr>
              <w:t>cuales se les van a identificar las relaciones </w:t>
            </w:r>
            <w:r>
              <w:rPr>
                <w:spacing w:val="-2"/>
                <w:sz w:val="18"/>
              </w:rPr>
              <w:t>funcionales</w:t>
            </w:r>
          </w:p>
        </w:tc>
        <w:tc>
          <w:tcPr>
            <w:tcW w:w="1354" w:type="dxa"/>
          </w:tcPr>
          <w:p>
            <w:pPr>
              <w:pStyle w:val="TableParagraph"/>
              <w:rPr>
                <w:b/>
                <w:sz w:val="18"/>
              </w:rPr>
            </w:pPr>
          </w:p>
          <w:p>
            <w:pPr>
              <w:pStyle w:val="TableParagraph"/>
              <w:rPr>
                <w:b/>
                <w:sz w:val="18"/>
              </w:rPr>
            </w:pPr>
          </w:p>
          <w:p>
            <w:pPr>
              <w:pStyle w:val="TableParagraph"/>
              <w:spacing w:before="21"/>
              <w:rPr>
                <w:b/>
                <w:sz w:val="18"/>
              </w:rPr>
            </w:pPr>
          </w:p>
          <w:p>
            <w:pPr>
              <w:pStyle w:val="TableParagraph"/>
              <w:spacing w:before="1"/>
              <w:ind w:left="19"/>
              <w:jc w:val="center"/>
              <w:rPr>
                <w:sz w:val="18"/>
              </w:rPr>
            </w:pPr>
            <w:r>
              <w:rPr>
                <w:sz w:val="18"/>
              </w:rPr>
              <w:t>No </w:t>
            </w:r>
            <w:r>
              <w:rPr>
                <w:spacing w:val="-2"/>
                <w:sz w:val="18"/>
              </w:rPr>
              <w:t>disponible</w:t>
            </w:r>
          </w:p>
        </w:tc>
        <w:tc>
          <w:tcPr>
            <w:tcW w:w="1354" w:type="dxa"/>
          </w:tcPr>
          <w:p>
            <w:pPr>
              <w:pStyle w:val="TableParagraph"/>
              <w:rPr>
                <w:b/>
                <w:sz w:val="18"/>
              </w:rPr>
            </w:pPr>
          </w:p>
          <w:p>
            <w:pPr>
              <w:pStyle w:val="TableParagraph"/>
              <w:rPr>
                <w:b/>
                <w:sz w:val="18"/>
              </w:rPr>
            </w:pPr>
          </w:p>
          <w:p>
            <w:pPr>
              <w:pStyle w:val="TableParagraph"/>
              <w:spacing w:before="21"/>
              <w:rPr>
                <w:b/>
                <w:sz w:val="18"/>
              </w:rPr>
            </w:pPr>
          </w:p>
          <w:p>
            <w:pPr>
              <w:pStyle w:val="TableParagraph"/>
              <w:spacing w:before="1"/>
              <w:ind w:left="19" w:right="9"/>
              <w:jc w:val="center"/>
              <w:rPr>
                <w:sz w:val="18"/>
              </w:rPr>
            </w:pPr>
            <w:r>
              <w:rPr>
                <w:spacing w:val="-5"/>
                <w:sz w:val="18"/>
              </w:rPr>
              <w:t>10</w:t>
            </w:r>
          </w:p>
        </w:tc>
        <w:tc>
          <w:tcPr>
            <w:tcW w:w="1776" w:type="dxa"/>
          </w:tcPr>
          <w:p>
            <w:pPr>
              <w:pStyle w:val="TableParagraph"/>
              <w:rPr>
                <w:b/>
                <w:sz w:val="18"/>
              </w:rPr>
            </w:pPr>
          </w:p>
          <w:p>
            <w:pPr>
              <w:pStyle w:val="TableParagraph"/>
              <w:spacing w:before="17"/>
              <w:rPr>
                <w:b/>
                <w:sz w:val="18"/>
              </w:rPr>
            </w:pPr>
          </w:p>
          <w:p>
            <w:pPr>
              <w:pStyle w:val="TableParagraph"/>
              <w:spacing w:line="242" w:lineRule="auto"/>
              <w:ind w:left="67" w:right="291"/>
              <w:rPr>
                <w:sz w:val="18"/>
              </w:rPr>
            </w:pPr>
            <w:r>
              <w:rPr>
                <w:sz w:val="18"/>
              </w:rPr>
              <w:t>Cantidad</w:t>
            </w:r>
            <w:r>
              <w:rPr>
                <w:spacing w:val="-13"/>
                <w:sz w:val="18"/>
              </w:rPr>
              <w:t> </w:t>
            </w:r>
            <w:r>
              <w:rPr>
                <w:sz w:val="18"/>
              </w:rPr>
              <w:t>de </w:t>
            </w:r>
            <w:r>
              <w:rPr>
                <w:spacing w:val="-2"/>
                <w:sz w:val="18"/>
              </w:rPr>
              <w:t>unidades priorizadas</w:t>
            </w:r>
          </w:p>
        </w:tc>
        <w:tc>
          <w:tcPr>
            <w:tcW w:w="1483" w:type="dxa"/>
          </w:tcPr>
          <w:p>
            <w:pPr>
              <w:pStyle w:val="TableParagraph"/>
              <w:rPr>
                <w:b/>
                <w:sz w:val="18"/>
              </w:rPr>
            </w:pPr>
          </w:p>
          <w:p>
            <w:pPr>
              <w:pStyle w:val="TableParagraph"/>
              <w:spacing w:before="17"/>
              <w:rPr>
                <w:b/>
                <w:sz w:val="18"/>
              </w:rPr>
            </w:pPr>
          </w:p>
          <w:p>
            <w:pPr>
              <w:pStyle w:val="TableParagraph"/>
              <w:spacing w:line="242" w:lineRule="auto"/>
              <w:ind w:left="67"/>
              <w:rPr>
                <w:sz w:val="18"/>
              </w:rPr>
            </w:pPr>
            <w:r>
              <w:rPr>
                <w:sz w:val="18"/>
              </w:rPr>
              <w:t>Tabla de priorización</w:t>
            </w:r>
            <w:r>
              <w:rPr>
                <w:spacing w:val="-13"/>
                <w:sz w:val="18"/>
              </w:rPr>
              <w:t> </w:t>
            </w:r>
            <w:r>
              <w:rPr>
                <w:sz w:val="18"/>
              </w:rPr>
              <w:t>de </w:t>
            </w:r>
            <w:r>
              <w:rPr>
                <w:spacing w:val="-2"/>
                <w:sz w:val="18"/>
              </w:rPr>
              <w:t>unidades</w:t>
            </w:r>
          </w:p>
        </w:tc>
        <w:tc>
          <w:tcPr>
            <w:tcW w:w="1296" w:type="dxa"/>
          </w:tcPr>
          <w:p>
            <w:pPr>
              <w:pStyle w:val="TableParagraph"/>
              <w:rPr>
                <w:b/>
                <w:sz w:val="18"/>
              </w:rPr>
            </w:pPr>
          </w:p>
          <w:p>
            <w:pPr>
              <w:pStyle w:val="TableParagraph"/>
              <w:spacing w:before="123"/>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6"/>
              <w:rPr>
                <w:b/>
                <w:sz w:val="18"/>
              </w:rPr>
            </w:pPr>
          </w:p>
          <w:p>
            <w:pPr>
              <w:pStyle w:val="TableParagraph"/>
              <w:ind w:left="74" w:right="78"/>
              <w:rPr>
                <w:sz w:val="18"/>
              </w:rPr>
            </w:pPr>
            <w:r>
              <w:rPr>
                <w:sz w:val="18"/>
              </w:rPr>
              <w:t>Evento: No lograr identificar</w:t>
            </w:r>
            <w:r>
              <w:rPr>
                <w:spacing w:val="-8"/>
                <w:sz w:val="18"/>
              </w:rPr>
              <w:t> </w:t>
            </w:r>
            <w:r>
              <w:rPr>
                <w:sz w:val="18"/>
              </w:rPr>
              <w:t>y</w:t>
            </w:r>
            <w:r>
              <w:rPr>
                <w:spacing w:val="-13"/>
                <w:sz w:val="18"/>
              </w:rPr>
              <w:t> </w:t>
            </w:r>
            <w:r>
              <w:rPr>
                <w:sz w:val="18"/>
              </w:rPr>
              <w:t>actualizar</w:t>
            </w:r>
            <w:r>
              <w:rPr>
                <w:spacing w:val="-11"/>
                <w:sz w:val="18"/>
              </w:rPr>
              <w:t> </w:t>
            </w:r>
            <w:r>
              <w:rPr>
                <w:sz w:val="18"/>
              </w:rPr>
              <w:t>de forma adecuada el</w:t>
            </w:r>
            <w:r>
              <w:rPr>
                <w:spacing w:val="40"/>
                <w:sz w:val="18"/>
              </w:rPr>
              <w:t> </w:t>
            </w:r>
            <w:r>
              <w:rPr>
                <w:sz w:val="18"/>
              </w:rPr>
              <w:t>mapa de procesos institucional</w:t>
            </w:r>
            <w:r>
              <w:rPr>
                <w:spacing w:val="-1"/>
                <w:sz w:val="18"/>
              </w:rPr>
              <w:t> </w:t>
            </w:r>
            <w:r>
              <w:rPr>
                <w:sz w:val="18"/>
              </w:rPr>
              <w:t>ni implementar la metodología de gestión por procesos a nivel </w:t>
            </w:r>
            <w:r>
              <w:rPr>
                <w:spacing w:val="-2"/>
                <w:sz w:val="18"/>
              </w:rPr>
              <w:t>institucional.</w:t>
            </w:r>
          </w:p>
        </w:tc>
      </w:tr>
      <w:tr>
        <w:trPr>
          <w:trHeight w:val="1200" w:hRule="atLeast"/>
        </w:trPr>
        <w:tc>
          <w:tcPr>
            <w:tcW w:w="3193" w:type="dxa"/>
          </w:tcPr>
          <w:p>
            <w:pPr>
              <w:pStyle w:val="TableParagraph"/>
              <w:spacing w:before="80"/>
              <w:rPr>
                <w:b/>
                <w:sz w:val="18"/>
              </w:rPr>
            </w:pPr>
          </w:p>
          <w:p>
            <w:pPr>
              <w:pStyle w:val="TableParagraph"/>
              <w:ind w:left="72" w:right="155"/>
              <w:rPr>
                <w:sz w:val="18"/>
              </w:rPr>
            </w:pPr>
            <w:r>
              <w:rPr>
                <w:b/>
                <w:sz w:val="18"/>
              </w:rPr>
              <w:t>Actividad PAC 2.66.2: </w:t>
            </w:r>
            <w:r>
              <w:rPr>
                <w:sz w:val="18"/>
              </w:rPr>
              <w:t>Establecer relaciones</w:t>
            </w:r>
            <w:r>
              <w:rPr>
                <w:spacing w:val="-11"/>
                <w:sz w:val="18"/>
              </w:rPr>
              <w:t> </w:t>
            </w:r>
            <w:r>
              <w:rPr>
                <w:sz w:val="18"/>
              </w:rPr>
              <w:t>funcionales</w:t>
            </w:r>
            <w:r>
              <w:rPr>
                <w:spacing w:val="-11"/>
                <w:sz w:val="18"/>
              </w:rPr>
              <w:t> </w:t>
            </w:r>
            <w:r>
              <w:rPr>
                <w:sz w:val="18"/>
              </w:rPr>
              <w:t>en</w:t>
            </w:r>
            <w:r>
              <w:rPr>
                <w:spacing w:val="-11"/>
                <w:sz w:val="18"/>
              </w:rPr>
              <w:t> </w:t>
            </w:r>
            <w:r>
              <w:rPr>
                <w:sz w:val="18"/>
              </w:rPr>
              <w:t>unidades de interés especial</w:t>
            </w:r>
          </w:p>
        </w:tc>
        <w:tc>
          <w:tcPr>
            <w:tcW w:w="1354" w:type="dxa"/>
          </w:tcPr>
          <w:p>
            <w:pPr>
              <w:pStyle w:val="TableParagraph"/>
              <w:rPr>
                <w:b/>
                <w:sz w:val="18"/>
              </w:rPr>
            </w:pPr>
          </w:p>
          <w:p>
            <w:pPr>
              <w:pStyle w:val="TableParagraph"/>
              <w:spacing w:before="79"/>
              <w:rPr>
                <w:b/>
                <w:sz w:val="18"/>
              </w:rPr>
            </w:pPr>
          </w:p>
          <w:p>
            <w:pPr>
              <w:pStyle w:val="TableParagraph"/>
              <w:ind w:left="19"/>
              <w:jc w:val="center"/>
              <w:rPr>
                <w:sz w:val="18"/>
              </w:rPr>
            </w:pPr>
            <w:r>
              <w:rPr>
                <w:sz w:val="18"/>
              </w:rPr>
              <w:t>No </w:t>
            </w:r>
            <w:r>
              <w:rPr>
                <w:spacing w:val="-2"/>
                <w:sz w:val="18"/>
              </w:rPr>
              <w:t>disponible</w:t>
            </w:r>
          </w:p>
        </w:tc>
        <w:tc>
          <w:tcPr>
            <w:tcW w:w="1354" w:type="dxa"/>
          </w:tcPr>
          <w:p>
            <w:pPr>
              <w:pStyle w:val="TableParagraph"/>
              <w:rPr>
                <w:b/>
                <w:sz w:val="18"/>
              </w:rPr>
            </w:pPr>
          </w:p>
          <w:p>
            <w:pPr>
              <w:pStyle w:val="TableParagraph"/>
              <w:spacing w:before="79"/>
              <w:rPr>
                <w:b/>
                <w:sz w:val="18"/>
              </w:rPr>
            </w:pPr>
          </w:p>
          <w:p>
            <w:pPr>
              <w:pStyle w:val="TableParagraph"/>
              <w:ind w:left="19" w:right="9"/>
              <w:jc w:val="center"/>
              <w:rPr>
                <w:sz w:val="18"/>
              </w:rPr>
            </w:pPr>
            <w:r>
              <w:rPr>
                <w:spacing w:val="-5"/>
                <w:sz w:val="18"/>
              </w:rPr>
              <w:t>10</w:t>
            </w:r>
          </w:p>
        </w:tc>
        <w:tc>
          <w:tcPr>
            <w:tcW w:w="1776" w:type="dxa"/>
          </w:tcPr>
          <w:p>
            <w:pPr>
              <w:pStyle w:val="TableParagraph"/>
              <w:spacing w:before="81"/>
              <w:ind w:left="67" w:right="131"/>
              <w:rPr>
                <w:sz w:val="18"/>
              </w:rPr>
            </w:pPr>
            <w:r>
              <w:rPr>
                <w:sz w:val="18"/>
              </w:rPr>
              <w:t>Número de unidades</w:t>
            </w:r>
            <w:r>
              <w:rPr>
                <w:spacing w:val="-13"/>
                <w:sz w:val="18"/>
              </w:rPr>
              <w:t> </w:t>
            </w:r>
            <w:r>
              <w:rPr>
                <w:sz w:val="18"/>
              </w:rPr>
              <w:t>con </w:t>
            </w:r>
            <w:r>
              <w:rPr>
                <w:spacing w:val="-2"/>
                <w:sz w:val="18"/>
              </w:rPr>
              <w:t>relaciones funcionales establecidas</w:t>
            </w:r>
          </w:p>
        </w:tc>
        <w:tc>
          <w:tcPr>
            <w:tcW w:w="1483" w:type="dxa"/>
          </w:tcPr>
          <w:p>
            <w:pPr>
              <w:pStyle w:val="TableParagraph"/>
              <w:spacing w:before="81"/>
              <w:ind w:left="67"/>
              <w:rPr>
                <w:sz w:val="18"/>
              </w:rPr>
            </w:pPr>
            <w:r>
              <w:rPr>
                <w:sz w:val="18"/>
              </w:rPr>
              <w:t>Matrices de </w:t>
            </w:r>
            <w:r>
              <w:rPr>
                <w:spacing w:val="-2"/>
                <w:sz w:val="18"/>
              </w:rPr>
              <w:t>relaciones </w:t>
            </w:r>
            <w:r>
              <w:rPr>
                <w:sz w:val="18"/>
              </w:rPr>
              <w:t>funcionales y Minutas</w:t>
            </w:r>
            <w:r>
              <w:rPr>
                <w:spacing w:val="-15"/>
                <w:sz w:val="18"/>
              </w:rPr>
              <w:t> </w:t>
            </w:r>
            <w:r>
              <w:rPr>
                <w:sz w:val="18"/>
              </w:rPr>
              <w:t>de</w:t>
            </w:r>
            <w:r>
              <w:rPr>
                <w:spacing w:val="-12"/>
                <w:sz w:val="18"/>
              </w:rPr>
              <w:t> </w:t>
            </w:r>
            <w:r>
              <w:rPr>
                <w:sz w:val="18"/>
              </w:rPr>
              <w:t>las </w:t>
            </w:r>
            <w:r>
              <w:rPr>
                <w:spacing w:val="-2"/>
                <w:sz w:val="18"/>
              </w:rPr>
              <w:t>sesiones</w:t>
            </w:r>
          </w:p>
        </w:tc>
        <w:tc>
          <w:tcPr>
            <w:tcW w:w="1296" w:type="dxa"/>
          </w:tcPr>
          <w:p>
            <w:pPr>
              <w:pStyle w:val="TableParagraph"/>
              <w:spacing w:before="185"/>
              <w:rPr>
                <w:b/>
                <w:sz w:val="18"/>
              </w:rPr>
            </w:pPr>
          </w:p>
          <w:p>
            <w:pPr>
              <w:pStyle w:val="TableParagraph"/>
              <w:spacing w:before="1"/>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454" w:hRule="atLeast"/>
        </w:trPr>
        <w:tc>
          <w:tcPr>
            <w:tcW w:w="3193" w:type="dxa"/>
          </w:tcPr>
          <w:p>
            <w:pPr>
              <w:pStyle w:val="TableParagraph"/>
              <w:spacing w:before="104"/>
              <w:rPr>
                <w:b/>
                <w:sz w:val="18"/>
              </w:rPr>
            </w:pPr>
          </w:p>
          <w:p>
            <w:pPr>
              <w:pStyle w:val="TableParagraph"/>
              <w:ind w:left="72" w:right="135"/>
              <w:rPr>
                <w:sz w:val="18"/>
              </w:rPr>
            </w:pPr>
            <w:r>
              <w:rPr>
                <w:b/>
                <w:sz w:val="18"/>
              </w:rPr>
              <w:t>Actividad</w:t>
            </w:r>
            <w:r>
              <w:rPr>
                <w:b/>
                <w:spacing w:val="-13"/>
                <w:sz w:val="18"/>
              </w:rPr>
              <w:t> </w:t>
            </w:r>
            <w:r>
              <w:rPr>
                <w:b/>
                <w:sz w:val="18"/>
              </w:rPr>
              <w:t>PAC</w:t>
            </w:r>
            <w:r>
              <w:rPr>
                <w:b/>
                <w:spacing w:val="-9"/>
                <w:sz w:val="18"/>
              </w:rPr>
              <w:t> </w:t>
            </w:r>
            <w:r>
              <w:rPr>
                <w:b/>
                <w:sz w:val="18"/>
              </w:rPr>
              <w:t>2.66.3:</w:t>
            </w:r>
            <w:r>
              <w:rPr>
                <w:b/>
                <w:spacing w:val="-4"/>
                <w:sz w:val="18"/>
              </w:rPr>
              <w:t> </w:t>
            </w:r>
            <w:r>
              <w:rPr>
                <w:sz w:val="18"/>
              </w:rPr>
              <w:t>Validar</w:t>
            </w:r>
            <w:r>
              <w:rPr>
                <w:spacing w:val="-10"/>
                <w:sz w:val="18"/>
              </w:rPr>
              <w:t> </w:t>
            </w:r>
            <w:r>
              <w:rPr>
                <w:sz w:val="18"/>
              </w:rPr>
              <w:t>con las unidades administrativas seleccionadas, las relaciones funcionales establecidas</w:t>
            </w:r>
          </w:p>
        </w:tc>
        <w:tc>
          <w:tcPr>
            <w:tcW w:w="1354"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jc w:val="center"/>
              <w:rPr>
                <w:sz w:val="18"/>
              </w:rPr>
            </w:pPr>
            <w:r>
              <w:rPr>
                <w:sz w:val="18"/>
              </w:rPr>
              <w:t>No </w:t>
            </w:r>
            <w:r>
              <w:rPr>
                <w:spacing w:val="-2"/>
                <w:sz w:val="18"/>
              </w:rPr>
              <w:t>disponible</w:t>
            </w:r>
          </w:p>
        </w:tc>
        <w:tc>
          <w:tcPr>
            <w:tcW w:w="1354"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right="7"/>
              <w:jc w:val="center"/>
              <w:rPr>
                <w:sz w:val="18"/>
              </w:rPr>
            </w:pPr>
            <w:r>
              <w:rPr>
                <w:spacing w:val="-4"/>
                <w:sz w:val="18"/>
              </w:rPr>
              <w:t>100%</w:t>
            </w:r>
          </w:p>
        </w:tc>
        <w:tc>
          <w:tcPr>
            <w:tcW w:w="1776" w:type="dxa"/>
          </w:tcPr>
          <w:p>
            <w:pPr>
              <w:pStyle w:val="TableParagraph"/>
              <w:spacing w:before="104"/>
              <w:rPr>
                <w:b/>
                <w:sz w:val="18"/>
              </w:rPr>
            </w:pPr>
          </w:p>
          <w:p>
            <w:pPr>
              <w:pStyle w:val="TableParagraph"/>
              <w:ind w:left="67"/>
              <w:rPr>
                <w:sz w:val="18"/>
              </w:rPr>
            </w:pPr>
            <w:r>
              <w:rPr>
                <w:sz w:val="18"/>
              </w:rPr>
              <w:t>Porcentaje de unidades</w:t>
            </w:r>
            <w:r>
              <w:rPr>
                <w:spacing w:val="-13"/>
                <w:sz w:val="18"/>
              </w:rPr>
              <w:t> </w:t>
            </w:r>
            <w:r>
              <w:rPr>
                <w:sz w:val="18"/>
              </w:rPr>
              <w:t>validadas en sus relaciones </w:t>
            </w:r>
            <w:r>
              <w:rPr>
                <w:spacing w:val="-2"/>
                <w:sz w:val="18"/>
              </w:rPr>
              <w:t>funcionales</w:t>
            </w:r>
          </w:p>
        </w:tc>
        <w:tc>
          <w:tcPr>
            <w:tcW w:w="1483" w:type="dxa"/>
          </w:tcPr>
          <w:p>
            <w:pPr>
              <w:pStyle w:val="TableParagraph"/>
              <w:spacing w:before="104"/>
              <w:rPr>
                <w:b/>
                <w:sz w:val="18"/>
              </w:rPr>
            </w:pPr>
          </w:p>
          <w:p>
            <w:pPr>
              <w:pStyle w:val="TableParagraph"/>
              <w:ind w:left="67" w:right="68"/>
              <w:rPr>
                <w:sz w:val="18"/>
              </w:rPr>
            </w:pPr>
            <w:r>
              <w:rPr>
                <w:sz w:val="18"/>
              </w:rPr>
              <w:t>Minutas de sesiones de trabajo</w:t>
            </w:r>
            <w:r>
              <w:rPr>
                <w:spacing w:val="-15"/>
                <w:sz w:val="18"/>
              </w:rPr>
              <w:t> </w:t>
            </w:r>
            <w:r>
              <w:rPr>
                <w:sz w:val="18"/>
              </w:rPr>
              <w:t>y</w:t>
            </w:r>
            <w:r>
              <w:rPr>
                <w:spacing w:val="-12"/>
                <w:sz w:val="18"/>
              </w:rPr>
              <w:t> </w:t>
            </w:r>
            <w:r>
              <w:rPr>
                <w:sz w:val="18"/>
              </w:rPr>
              <w:t>oficios de validación</w:t>
            </w:r>
          </w:p>
        </w:tc>
        <w:tc>
          <w:tcPr>
            <w:tcW w:w="1296" w:type="dxa"/>
          </w:tcPr>
          <w:p>
            <w:pPr>
              <w:pStyle w:val="TableParagraph"/>
              <w:rPr>
                <w:b/>
                <w:sz w:val="18"/>
              </w:rPr>
            </w:pPr>
          </w:p>
          <w:p>
            <w:pPr>
              <w:pStyle w:val="TableParagraph"/>
              <w:spacing w:before="103"/>
              <w:rPr>
                <w:b/>
                <w:sz w:val="18"/>
              </w:rPr>
            </w:pPr>
          </w:p>
          <w:p>
            <w:pPr>
              <w:pStyle w:val="TableParagraph"/>
              <w:spacing w:line="244" w:lineRule="auto"/>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513" w:hRule="atLeast"/>
        </w:trPr>
        <w:tc>
          <w:tcPr>
            <w:tcW w:w="14598" w:type="dxa"/>
            <w:gridSpan w:val="8"/>
            <w:shd w:val="clear" w:color="auto" w:fill="EFF8F9"/>
          </w:tcPr>
          <w:p>
            <w:pPr>
              <w:pStyle w:val="TableParagraph"/>
              <w:spacing w:before="152"/>
              <w:ind w:left="72"/>
              <w:rPr>
                <w:b/>
                <w:sz w:val="18"/>
              </w:rPr>
            </w:pPr>
            <w:r>
              <w:rPr>
                <w:b/>
                <w:sz w:val="18"/>
              </w:rPr>
              <w:t>Producto</w:t>
            </w:r>
            <w:r>
              <w:rPr>
                <w:b/>
                <w:spacing w:val="-8"/>
                <w:sz w:val="18"/>
              </w:rPr>
              <w:t> </w:t>
            </w:r>
            <w:r>
              <w:rPr>
                <w:b/>
                <w:sz w:val="18"/>
              </w:rPr>
              <w:t>PAC</w:t>
            </w:r>
            <w:r>
              <w:rPr>
                <w:b/>
                <w:spacing w:val="-9"/>
                <w:sz w:val="18"/>
              </w:rPr>
              <w:t> </w:t>
            </w:r>
            <w:r>
              <w:rPr>
                <w:b/>
                <w:sz w:val="18"/>
              </w:rPr>
              <w:t>2.67:</w:t>
            </w:r>
            <w:r>
              <w:rPr>
                <w:b/>
                <w:spacing w:val="-6"/>
                <w:sz w:val="18"/>
              </w:rPr>
              <w:t> </w:t>
            </w:r>
            <w:r>
              <w:rPr>
                <w:b/>
                <w:sz w:val="18"/>
              </w:rPr>
              <w:t>Estructura</w:t>
            </w:r>
            <w:r>
              <w:rPr>
                <w:b/>
                <w:spacing w:val="-7"/>
                <w:sz w:val="18"/>
              </w:rPr>
              <w:t> </w:t>
            </w:r>
            <w:r>
              <w:rPr>
                <w:b/>
                <w:sz w:val="18"/>
              </w:rPr>
              <w:t>institucional</w:t>
            </w:r>
            <w:r>
              <w:rPr>
                <w:b/>
                <w:spacing w:val="-6"/>
                <w:sz w:val="18"/>
              </w:rPr>
              <w:t> </w:t>
            </w:r>
            <w:r>
              <w:rPr>
                <w:b/>
                <w:sz w:val="18"/>
              </w:rPr>
              <w:t>revisada</w:t>
            </w:r>
            <w:r>
              <w:rPr>
                <w:b/>
                <w:spacing w:val="-7"/>
                <w:sz w:val="18"/>
              </w:rPr>
              <w:t> </w:t>
            </w:r>
            <w:r>
              <w:rPr>
                <w:b/>
                <w:sz w:val="18"/>
              </w:rPr>
              <w:t>y</w:t>
            </w:r>
            <w:r>
              <w:rPr>
                <w:b/>
                <w:spacing w:val="-8"/>
                <w:sz w:val="18"/>
              </w:rPr>
              <w:t> </w:t>
            </w:r>
            <w:r>
              <w:rPr>
                <w:b/>
                <w:sz w:val="18"/>
              </w:rPr>
              <w:t>actualizada</w:t>
            </w:r>
            <w:r>
              <w:rPr>
                <w:b/>
                <w:spacing w:val="-3"/>
                <w:sz w:val="18"/>
              </w:rPr>
              <w:t> </w:t>
            </w:r>
            <w:r>
              <w:rPr>
                <w:b/>
                <w:sz w:val="18"/>
              </w:rPr>
              <w:t>con</w:t>
            </w:r>
            <w:r>
              <w:rPr>
                <w:b/>
                <w:spacing w:val="-4"/>
                <w:sz w:val="18"/>
              </w:rPr>
              <w:t> </w:t>
            </w:r>
            <w:r>
              <w:rPr>
                <w:b/>
                <w:sz w:val="18"/>
              </w:rPr>
              <w:t>procesos</w:t>
            </w:r>
            <w:r>
              <w:rPr>
                <w:b/>
                <w:spacing w:val="-4"/>
                <w:sz w:val="18"/>
              </w:rPr>
              <w:t> </w:t>
            </w:r>
            <w:r>
              <w:rPr>
                <w:b/>
                <w:sz w:val="18"/>
              </w:rPr>
              <w:t>de</w:t>
            </w:r>
            <w:r>
              <w:rPr>
                <w:b/>
                <w:spacing w:val="-8"/>
                <w:sz w:val="18"/>
              </w:rPr>
              <w:t> </w:t>
            </w:r>
            <w:r>
              <w:rPr>
                <w:b/>
                <w:sz w:val="18"/>
              </w:rPr>
              <w:t>reorganización</w:t>
            </w:r>
            <w:r>
              <w:rPr>
                <w:b/>
                <w:spacing w:val="-8"/>
                <w:sz w:val="18"/>
              </w:rPr>
              <w:t> </w:t>
            </w:r>
            <w:r>
              <w:rPr>
                <w:b/>
                <w:sz w:val="18"/>
              </w:rPr>
              <w:t>administrativa.</w:t>
            </w:r>
            <w:r>
              <w:rPr>
                <w:b/>
                <w:spacing w:val="-1"/>
                <w:sz w:val="18"/>
              </w:rPr>
              <w:t> </w:t>
            </w:r>
            <w:r>
              <w:rPr>
                <w:b/>
                <w:sz w:val="18"/>
              </w:rPr>
              <w:t>E1</w:t>
            </w:r>
            <w:r>
              <w:rPr>
                <w:b/>
                <w:spacing w:val="-7"/>
                <w:sz w:val="18"/>
              </w:rPr>
              <w:t> </w:t>
            </w:r>
            <w:r>
              <w:rPr>
                <w:b/>
                <w:sz w:val="18"/>
              </w:rPr>
              <w:t>AE3</w:t>
            </w:r>
            <w:r>
              <w:rPr>
                <w:b/>
                <w:spacing w:val="-8"/>
                <w:sz w:val="18"/>
              </w:rPr>
              <w:t> </w:t>
            </w:r>
            <w:r>
              <w:rPr>
                <w:b/>
                <w:sz w:val="18"/>
              </w:rPr>
              <w:t>R2</w:t>
            </w:r>
            <w:r>
              <w:rPr>
                <w:b/>
                <w:spacing w:val="-7"/>
                <w:sz w:val="18"/>
              </w:rPr>
              <w:t> </w:t>
            </w:r>
            <w:r>
              <w:rPr>
                <w:b/>
                <w:sz w:val="18"/>
              </w:rPr>
              <w:t>(2</w:t>
            </w:r>
            <w:r>
              <w:rPr>
                <w:b/>
                <w:spacing w:val="-8"/>
                <w:sz w:val="18"/>
              </w:rPr>
              <w:t> </w:t>
            </w:r>
            <w:r>
              <w:rPr>
                <w:b/>
                <w:spacing w:val="-2"/>
                <w:sz w:val="18"/>
              </w:rPr>
              <w:t>reorganizaciones)</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531" w:hRule="atLeast"/>
        </w:trPr>
        <w:tc>
          <w:tcPr>
            <w:tcW w:w="3193" w:type="dxa"/>
          </w:tcPr>
          <w:p>
            <w:pPr>
              <w:pStyle w:val="TableParagraph"/>
              <w:spacing w:before="41"/>
              <w:rPr>
                <w:b/>
                <w:sz w:val="18"/>
              </w:rPr>
            </w:pPr>
          </w:p>
          <w:p>
            <w:pPr>
              <w:pStyle w:val="TableParagraph"/>
              <w:ind w:left="72" w:right="111"/>
              <w:rPr>
                <w:sz w:val="18"/>
              </w:rPr>
            </w:pPr>
            <w:r>
              <w:rPr>
                <w:b/>
                <w:sz w:val="18"/>
              </w:rPr>
              <w:t>Actividad</w:t>
            </w:r>
            <w:r>
              <w:rPr>
                <w:b/>
                <w:spacing w:val="-11"/>
                <w:sz w:val="18"/>
              </w:rPr>
              <w:t> </w:t>
            </w:r>
            <w:r>
              <w:rPr>
                <w:b/>
                <w:sz w:val="18"/>
              </w:rPr>
              <w:t>PAC</w:t>
            </w:r>
            <w:r>
              <w:rPr>
                <w:b/>
                <w:spacing w:val="-8"/>
                <w:sz w:val="18"/>
              </w:rPr>
              <w:t> </w:t>
            </w:r>
            <w:r>
              <w:rPr>
                <w:b/>
                <w:sz w:val="18"/>
              </w:rPr>
              <w:t>2.67.1:</w:t>
            </w:r>
            <w:r>
              <w:rPr>
                <w:b/>
                <w:spacing w:val="-7"/>
                <w:sz w:val="18"/>
              </w:rPr>
              <w:t> </w:t>
            </w:r>
            <w:r>
              <w:rPr>
                <w:sz w:val="18"/>
              </w:rPr>
              <w:t>Identificar,</w:t>
            </w:r>
            <w:r>
              <w:rPr>
                <w:spacing w:val="-9"/>
                <w:sz w:val="18"/>
              </w:rPr>
              <w:t> </w:t>
            </w:r>
            <w:r>
              <w:rPr>
                <w:sz w:val="18"/>
              </w:rPr>
              <w:t>en conjunto con la Gerencia o las Direcciones, posibles reorganizaciones de la estructura administrativa del IMAS</w:t>
            </w:r>
          </w:p>
        </w:tc>
        <w:tc>
          <w:tcPr>
            <w:tcW w:w="1354" w:type="dxa"/>
          </w:tcPr>
          <w:p>
            <w:pPr>
              <w:pStyle w:val="TableParagraph"/>
              <w:rPr>
                <w:b/>
                <w:sz w:val="18"/>
              </w:rPr>
            </w:pPr>
          </w:p>
          <w:p>
            <w:pPr>
              <w:pStyle w:val="TableParagraph"/>
              <w:rPr>
                <w:b/>
                <w:sz w:val="18"/>
              </w:rPr>
            </w:pPr>
          </w:p>
          <w:p>
            <w:pPr>
              <w:pStyle w:val="TableParagraph"/>
              <w:spacing w:before="40"/>
              <w:rPr>
                <w:b/>
                <w:sz w:val="18"/>
              </w:rPr>
            </w:pPr>
          </w:p>
          <w:p>
            <w:pPr>
              <w:pStyle w:val="TableParagraph"/>
              <w:ind w:left="19"/>
              <w:jc w:val="center"/>
              <w:rPr>
                <w:sz w:val="18"/>
              </w:rPr>
            </w:pPr>
            <w:r>
              <w:rPr>
                <w:sz w:val="18"/>
              </w:rPr>
              <w:t>No </w:t>
            </w:r>
            <w:r>
              <w:rPr>
                <w:spacing w:val="-2"/>
                <w:sz w:val="18"/>
              </w:rPr>
              <w:t>disponible</w:t>
            </w:r>
          </w:p>
        </w:tc>
        <w:tc>
          <w:tcPr>
            <w:tcW w:w="1354" w:type="dxa"/>
          </w:tcPr>
          <w:p>
            <w:pPr>
              <w:pStyle w:val="TableParagraph"/>
              <w:rPr>
                <w:b/>
                <w:sz w:val="18"/>
              </w:rPr>
            </w:pPr>
          </w:p>
          <w:p>
            <w:pPr>
              <w:pStyle w:val="TableParagraph"/>
              <w:rPr>
                <w:b/>
                <w:sz w:val="18"/>
              </w:rPr>
            </w:pPr>
          </w:p>
          <w:p>
            <w:pPr>
              <w:pStyle w:val="TableParagraph"/>
              <w:spacing w:before="40"/>
              <w:rPr>
                <w:b/>
                <w:sz w:val="18"/>
              </w:rPr>
            </w:pPr>
          </w:p>
          <w:p>
            <w:pPr>
              <w:pStyle w:val="TableParagraph"/>
              <w:ind w:left="19" w:right="4"/>
              <w:jc w:val="center"/>
              <w:rPr>
                <w:sz w:val="18"/>
              </w:rPr>
            </w:pPr>
            <w:r>
              <w:rPr>
                <w:spacing w:val="-10"/>
                <w:sz w:val="18"/>
              </w:rPr>
              <w:t>4</w:t>
            </w:r>
          </w:p>
        </w:tc>
        <w:tc>
          <w:tcPr>
            <w:tcW w:w="1776" w:type="dxa"/>
          </w:tcPr>
          <w:p>
            <w:pPr>
              <w:pStyle w:val="TableParagraph"/>
              <w:spacing w:before="143"/>
              <w:ind w:left="67" w:right="131"/>
              <w:rPr>
                <w:sz w:val="18"/>
              </w:rPr>
            </w:pPr>
            <w:r>
              <w:rPr>
                <w:sz w:val="18"/>
              </w:rPr>
              <w:t>Número de </w:t>
            </w:r>
            <w:r>
              <w:rPr>
                <w:spacing w:val="-2"/>
                <w:sz w:val="18"/>
              </w:rPr>
              <w:t>unidades </w:t>
            </w:r>
            <w:r>
              <w:rPr>
                <w:sz w:val="18"/>
              </w:rPr>
              <w:t>identificadas con requerimientos</w:t>
            </w:r>
            <w:r>
              <w:rPr>
                <w:spacing w:val="-13"/>
                <w:sz w:val="18"/>
              </w:rPr>
              <w:t> </w:t>
            </w:r>
            <w:r>
              <w:rPr>
                <w:sz w:val="18"/>
              </w:rPr>
              <w:t>de proceso de </w:t>
            </w:r>
            <w:r>
              <w:rPr>
                <w:spacing w:val="-2"/>
                <w:sz w:val="18"/>
              </w:rPr>
              <w:t>reorganización</w:t>
            </w:r>
          </w:p>
        </w:tc>
        <w:tc>
          <w:tcPr>
            <w:tcW w:w="1483" w:type="dxa"/>
          </w:tcPr>
          <w:p>
            <w:pPr>
              <w:pStyle w:val="TableParagraph"/>
              <w:spacing w:before="142"/>
              <w:rPr>
                <w:b/>
                <w:sz w:val="18"/>
              </w:rPr>
            </w:pPr>
          </w:p>
          <w:p>
            <w:pPr>
              <w:pStyle w:val="TableParagraph"/>
              <w:ind w:left="67" w:right="78"/>
              <w:rPr>
                <w:sz w:val="18"/>
              </w:rPr>
            </w:pPr>
            <w:r>
              <w:rPr>
                <w:sz w:val="18"/>
              </w:rPr>
              <w:t>Solicitudes</w:t>
            </w:r>
            <w:r>
              <w:rPr>
                <w:spacing w:val="-15"/>
                <w:sz w:val="18"/>
              </w:rPr>
              <w:t> </w:t>
            </w:r>
            <w:r>
              <w:rPr>
                <w:sz w:val="18"/>
              </w:rPr>
              <w:t>de</w:t>
            </w:r>
            <w:r>
              <w:rPr>
                <w:spacing w:val="-12"/>
                <w:sz w:val="18"/>
              </w:rPr>
              <w:t> </w:t>
            </w:r>
            <w:r>
              <w:rPr>
                <w:sz w:val="18"/>
              </w:rPr>
              <w:t>la </w:t>
            </w:r>
            <w:r>
              <w:rPr>
                <w:spacing w:val="-2"/>
                <w:sz w:val="18"/>
              </w:rPr>
              <w:t>Gerencia </w:t>
            </w:r>
            <w:r>
              <w:rPr>
                <w:sz w:val="18"/>
              </w:rPr>
              <w:t>General o </w:t>
            </w:r>
            <w:r>
              <w:rPr>
                <w:spacing w:val="-2"/>
                <w:sz w:val="18"/>
              </w:rPr>
              <w:t>Direcciones.</w:t>
            </w:r>
          </w:p>
        </w:tc>
        <w:tc>
          <w:tcPr>
            <w:tcW w:w="1296" w:type="dxa"/>
          </w:tcPr>
          <w:p>
            <w:pPr>
              <w:pStyle w:val="TableParagraph"/>
              <w:rPr>
                <w:b/>
                <w:sz w:val="18"/>
              </w:rPr>
            </w:pPr>
          </w:p>
          <w:p>
            <w:pPr>
              <w:pStyle w:val="TableParagraph"/>
              <w:spacing w:before="141"/>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rFonts w:ascii="Times New Roman"/>
                <w:sz w:val="18"/>
              </w:rPr>
            </w:pPr>
          </w:p>
        </w:tc>
      </w:tr>
      <w:tr>
        <w:trPr>
          <w:trHeight w:val="1483" w:hRule="atLeast"/>
        </w:trPr>
        <w:tc>
          <w:tcPr>
            <w:tcW w:w="3193" w:type="dxa"/>
          </w:tcPr>
          <w:p>
            <w:pPr>
              <w:pStyle w:val="TableParagraph"/>
              <w:spacing w:before="17"/>
              <w:rPr>
                <w:b/>
                <w:sz w:val="18"/>
              </w:rPr>
            </w:pPr>
          </w:p>
          <w:p>
            <w:pPr>
              <w:pStyle w:val="TableParagraph"/>
              <w:ind w:left="72" w:right="155"/>
              <w:rPr>
                <w:sz w:val="18"/>
              </w:rPr>
            </w:pPr>
            <w:r>
              <w:rPr>
                <w:b/>
                <w:sz w:val="18"/>
              </w:rPr>
              <w:t>Actividad PAC 2.67.2: </w:t>
            </w:r>
            <w:r>
              <w:rPr>
                <w:sz w:val="18"/>
              </w:rPr>
              <w:t>Elaborar criterios de reorganización de la estructura administrativa del IMAS según</w:t>
            </w:r>
            <w:r>
              <w:rPr>
                <w:spacing w:val="-8"/>
                <w:sz w:val="18"/>
              </w:rPr>
              <w:t> </w:t>
            </w:r>
            <w:r>
              <w:rPr>
                <w:sz w:val="18"/>
              </w:rPr>
              <w:t>solicitud</w:t>
            </w:r>
            <w:r>
              <w:rPr>
                <w:spacing w:val="-8"/>
                <w:sz w:val="18"/>
              </w:rPr>
              <w:t> </w:t>
            </w:r>
            <w:r>
              <w:rPr>
                <w:sz w:val="18"/>
              </w:rPr>
              <w:t>de</w:t>
            </w:r>
            <w:r>
              <w:rPr>
                <w:spacing w:val="-8"/>
                <w:sz w:val="18"/>
              </w:rPr>
              <w:t> </w:t>
            </w:r>
            <w:r>
              <w:rPr>
                <w:sz w:val="18"/>
              </w:rPr>
              <w:t>Gerencia</w:t>
            </w:r>
            <w:r>
              <w:rPr>
                <w:spacing w:val="-12"/>
                <w:sz w:val="18"/>
              </w:rPr>
              <w:t> </w:t>
            </w:r>
            <w:r>
              <w:rPr>
                <w:sz w:val="18"/>
              </w:rPr>
              <w:t>General o de las Direcciones</w:t>
            </w:r>
          </w:p>
        </w:tc>
        <w:tc>
          <w:tcPr>
            <w:tcW w:w="1354" w:type="dxa"/>
          </w:tcPr>
          <w:p>
            <w:pPr>
              <w:pStyle w:val="TableParagraph"/>
              <w:rPr>
                <w:b/>
                <w:sz w:val="18"/>
              </w:rPr>
            </w:pPr>
          </w:p>
          <w:p>
            <w:pPr>
              <w:pStyle w:val="TableParagraph"/>
              <w:rPr>
                <w:b/>
                <w:sz w:val="18"/>
              </w:rPr>
            </w:pPr>
          </w:p>
          <w:p>
            <w:pPr>
              <w:pStyle w:val="TableParagraph"/>
              <w:spacing w:before="16"/>
              <w:rPr>
                <w:b/>
                <w:sz w:val="18"/>
              </w:rPr>
            </w:pPr>
          </w:p>
          <w:p>
            <w:pPr>
              <w:pStyle w:val="TableParagraph"/>
              <w:ind w:left="19"/>
              <w:jc w:val="center"/>
              <w:rPr>
                <w:sz w:val="18"/>
              </w:rPr>
            </w:pPr>
            <w:r>
              <w:rPr>
                <w:sz w:val="18"/>
              </w:rPr>
              <w:t>No </w:t>
            </w:r>
            <w:r>
              <w:rPr>
                <w:spacing w:val="-2"/>
                <w:sz w:val="18"/>
              </w:rPr>
              <w:t>disponible</w:t>
            </w:r>
          </w:p>
        </w:tc>
        <w:tc>
          <w:tcPr>
            <w:tcW w:w="1354" w:type="dxa"/>
          </w:tcPr>
          <w:p>
            <w:pPr>
              <w:pStyle w:val="TableParagraph"/>
              <w:rPr>
                <w:b/>
                <w:sz w:val="18"/>
              </w:rPr>
            </w:pPr>
          </w:p>
          <w:p>
            <w:pPr>
              <w:pStyle w:val="TableParagraph"/>
              <w:rPr>
                <w:b/>
                <w:sz w:val="18"/>
              </w:rPr>
            </w:pPr>
          </w:p>
          <w:p>
            <w:pPr>
              <w:pStyle w:val="TableParagraph"/>
              <w:spacing w:before="16"/>
              <w:rPr>
                <w:b/>
                <w:sz w:val="18"/>
              </w:rPr>
            </w:pPr>
          </w:p>
          <w:p>
            <w:pPr>
              <w:pStyle w:val="TableParagraph"/>
              <w:ind w:left="19" w:right="4"/>
              <w:jc w:val="center"/>
              <w:rPr>
                <w:sz w:val="18"/>
              </w:rPr>
            </w:pPr>
            <w:r>
              <w:rPr>
                <w:spacing w:val="-10"/>
                <w:sz w:val="18"/>
              </w:rPr>
              <w:t>2</w:t>
            </w:r>
          </w:p>
        </w:tc>
        <w:tc>
          <w:tcPr>
            <w:tcW w:w="1776" w:type="dxa"/>
          </w:tcPr>
          <w:p>
            <w:pPr>
              <w:pStyle w:val="TableParagraph"/>
              <w:spacing w:before="118"/>
              <w:rPr>
                <w:b/>
                <w:sz w:val="18"/>
              </w:rPr>
            </w:pPr>
          </w:p>
          <w:p>
            <w:pPr>
              <w:pStyle w:val="TableParagraph"/>
              <w:spacing w:line="242" w:lineRule="auto"/>
              <w:ind w:left="67" w:right="131"/>
              <w:rPr>
                <w:sz w:val="18"/>
              </w:rPr>
            </w:pPr>
            <w:r>
              <w:rPr>
                <w:sz w:val="18"/>
              </w:rPr>
              <w:t>Cantidad de criterios de </w:t>
            </w:r>
            <w:r>
              <w:rPr>
                <w:spacing w:val="-2"/>
                <w:sz w:val="18"/>
              </w:rPr>
              <w:t>reorganización desarrollados.</w:t>
            </w:r>
          </w:p>
        </w:tc>
        <w:tc>
          <w:tcPr>
            <w:tcW w:w="1483" w:type="dxa"/>
          </w:tcPr>
          <w:p>
            <w:pPr>
              <w:pStyle w:val="TableParagraph"/>
              <w:spacing w:before="118"/>
              <w:rPr>
                <w:b/>
                <w:sz w:val="18"/>
              </w:rPr>
            </w:pPr>
          </w:p>
          <w:p>
            <w:pPr>
              <w:pStyle w:val="TableParagraph"/>
              <w:spacing w:line="242" w:lineRule="auto"/>
              <w:ind w:left="67" w:right="198"/>
              <w:rPr>
                <w:sz w:val="18"/>
              </w:rPr>
            </w:pPr>
            <w:r>
              <w:rPr>
                <w:spacing w:val="-2"/>
                <w:sz w:val="18"/>
              </w:rPr>
              <w:t>Criterios técnicos </w:t>
            </w:r>
            <w:r>
              <w:rPr>
                <w:sz w:val="18"/>
              </w:rPr>
              <w:t>elaborados</w:t>
            </w:r>
            <w:r>
              <w:rPr>
                <w:spacing w:val="-13"/>
                <w:sz w:val="18"/>
              </w:rPr>
              <w:t> </w:t>
            </w:r>
            <w:r>
              <w:rPr>
                <w:sz w:val="18"/>
              </w:rPr>
              <w:t>y </w:t>
            </w:r>
            <w:r>
              <w:rPr>
                <w:spacing w:val="-2"/>
                <w:sz w:val="18"/>
              </w:rPr>
              <w:t>presentados</w:t>
            </w:r>
          </w:p>
        </w:tc>
        <w:tc>
          <w:tcPr>
            <w:tcW w:w="1296" w:type="dxa"/>
          </w:tcPr>
          <w:p>
            <w:pPr>
              <w:pStyle w:val="TableParagraph"/>
              <w:rPr>
                <w:b/>
                <w:sz w:val="18"/>
              </w:rPr>
            </w:pPr>
          </w:p>
          <w:p>
            <w:pPr>
              <w:pStyle w:val="TableParagraph"/>
              <w:spacing w:before="117"/>
              <w:rPr>
                <w:b/>
                <w:sz w:val="18"/>
              </w:rPr>
            </w:pPr>
          </w:p>
          <w:p>
            <w:pPr>
              <w:pStyle w:val="TableParagraph"/>
              <w:spacing w:line="244" w:lineRule="auto"/>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757" w:hRule="atLeast"/>
        </w:trPr>
        <w:tc>
          <w:tcPr>
            <w:tcW w:w="3193" w:type="dxa"/>
          </w:tcPr>
          <w:p>
            <w:pPr>
              <w:pStyle w:val="TableParagraph"/>
              <w:spacing w:before="152"/>
              <w:rPr>
                <w:b/>
                <w:sz w:val="18"/>
              </w:rPr>
            </w:pPr>
          </w:p>
          <w:p>
            <w:pPr>
              <w:pStyle w:val="TableParagraph"/>
              <w:ind w:left="72" w:right="111"/>
              <w:rPr>
                <w:sz w:val="18"/>
              </w:rPr>
            </w:pPr>
            <w:r>
              <w:rPr>
                <w:b/>
                <w:sz w:val="18"/>
              </w:rPr>
              <w:t>Actividad</w:t>
            </w:r>
            <w:r>
              <w:rPr>
                <w:b/>
                <w:spacing w:val="-12"/>
                <w:sz w:val="18"/>
              </w:rPr>
              <w:t> </w:t>
            </w:r>
            <w:r>
              <w:rPr>
                <w:b/>
                <w:sz w:val="18"/>
              </w:rPr>
              <w:t>PAC</w:t>
            </w:r>
            <w:r>
              <w:rPr>
                <w:b/>
                <w:spacing w:val="-8"/>
                <w:sz w:val="18"/>
              </w:rPr>
              <w:t> </w:t>
            </w:r>
            <w:r>
              <w:rPr>
                <w:b/>
                <w:sz w:val="18"/>
              </w:rPr>
              <w:t>2.67.3:</w:t>
            </w:r>
            <w:r>
              <w:rPr>
                <w:b/>
                <w:spacing w:val="-3"/>
                <w:sz w:val="18"/>
              </w:rPr>
              <w:t> </w:t>
            </w:r>
            <w:r>
              <w:rPr>
                <w:sz w:val="18"/>
              </w:rPr>
              <w:t>Atención</w:t>
            </w:r>
            <w:r>
              <w:rPr>
                <w:spacing w:val="-11"/>
                <w:sz w:val="18"/>
              </w:rPr>
              <w:t> </w:t>
            </w:r>
            <w:r>
              <w:rPr>
                <w:sz w:val="18"/>
              </w:rPr>
              <w:t>de consultas de MIDEPLAN las consultas sobre los procesos de reestructuración remitidos para </w:t>
            </w:r>
            <w:r>
              <w:rPr>
                <w:spacing w:val="-2"/>
                <w:sz w:val="18"/>
              </w:rPr>
              <w:t>aprobación</w:t>
            </w:r>
          </w:p>
        </w:tc>
        <w:tc>
          <w:tcPr>
            <w:tcW w:w="1354" w:type="dxa"/>
          </w:tcPr>
          <w:p>
            <w:pPr>
              <w:pStyle w:val="TableParagraph"/>
              <w:rPr>
                <w:b/>
                <w:sz w:val="18"/>
              </w:rPr>
            </w:pPr>
          </w:p>
          <w:p>
            <w:pPr>
              <w:pStyle w:val="TableParagraph"/>
              <w:rPr>
                <w:b/>
                <w:sz w:val="18"/>
              </w:rPr>
            </w:pPr>
          </w:p>
          <w:p>
            <w:pPr>
              <w:pStyle w:val="TableParagraph"/>
              <w:spacing w:before="156"/>
              <w:rPr>
                <w:b/>
                <w:sz w:val="18"/>
              </w:rPr>
            </w:pPr>
          </w:p>
          <w:p>
            <w:pPr>
              <w:pStyle w:val="TableParagraph"/>
              <w:ind w:left="19"/>
              <w:jc w:val="center"/>
              <w:rPr>
                <w:sz w:val="18"/>
              </w:rPr>
            </w:pPr>
            <w:r>
              <w:rPr>
                <w:sz w:val="18"/>
              </w:rPr>
              <w:t>No </w:t>
            </w:r>
            <w:r>
              <w:rPr>
                <w:spacing w:val="-2"/>
                <w:sz w:val="18"/>
              </w:rPr>
              <w:t>disponible</w:t>
            </w:r>
          </w:p>
        </w:tc>
        <w:tc>
          <w:tcPr>
            <w:tcW w:w="1354" w:type="dxa"/>
          </w:tcPr>
          <w:p>
            <w:pPr>
              <w:pStyle w:val="TableParagraph"/>
              <w:rPr>
                <w:b/>
                <w:sz w:val="18"/>
              </w:rPr>
            </w:pPr>
          </w:p>
          <w:p>
            <w:pPr>
              <w:pStyle w:val="TableParagraph"/>
              <w:rPr>
                <w:b/>
                <w:sz w:val="18"/>
              </w:rPr>
            </w:pPr>
          </w:p>
          <w:p>
            <w:pPr>
              <w:pStyle w:val="TableParagraph"/>
              <w:spacing w:before="156"/>
              <w:rPr>
                <w:b/>
                <w:sz w:val="18"/>
              </w:rPr>
            </w:pPr>
          </w:p>
          <w:p>
            <w:pPr>
              <w:pStyle w:val="TableParagraph"/>
              <w:ind w:left="19" w:right="4"/>
              <w:jc w:val="center"/>
              <w:rPr>
                <w:sz w:val="18"/>
              </w:rPr>
            </w:pPr>
            <w:r>
              <w:rPr>
                <w:spacing w:val="-10"/>
                <w:sz w:val="18"/>
              </w:rPr>
              <w:t>2</w:t>
            </w:r>
          </w:p>
        </w:tc>
        <w:tc>
          <w:tcPr>
            <w:tcW w:w="1776" w:type="dxa"/>
          </w:tcPr>
          <w:p>
            <w:pPr>
              <w:pStyle w:val="TableParagraph"/>
              <w:rPr>
                <w:b/>
                <w:sz w:val="18"/>
              </w:rPr>
            </w:pPr>
          </w:p>
          <w:p>
            <w:pPr>
              <w:pStyle w:val="TableParagraph"/>
              <w:spacing w:before="51"/>
              <w:rPr>
                <w:b/>
                <w:sz w:val="18"/>
              </w:rPr>
            </w:pPr>
          </w:p>
          <w:p>
            <w:pPr>
              <w:pStyle w:val="TableParagraph"/>
              <w:ind w:left="67" w:right="678"/>
              <w:jc w:val="both"/>
              <w:rPr>
                <w:sz w:val="18"/>
              </w:rPr>
            </w:pPr>
            <w:r>
              <w:rPr>
                <w:sz w:val="18"/>
              </w:rPr>
              <w:t>Cantidad de consultas</w:t>
            </w:r>
            <w:r>
              <w:rPr>
                <w:spacing w:val="-13"/>
                <w:sz w:val="18"/>
              </w:rPr>
              <w:t> </w:t>
            </w:r>
            <w:r>
              <w:rPr>
                <w:sz w:val="18"/>
              </w:rPr>
              <w:t>de </w:t>
            </w:r>
            <w:r>
              <w:rPr>
                <w:spacing w:val="-2"/>
                <w:sz w:val="18"/>
              </w:rPr>
              <w:t>MIDEPLAM</w:t>
            </w:r>
          </w:p>
          <w:p>
            <w:pPr>
              <w:pStyle w:val="TableParagraph"/>
              <w:spacing w:line="205" w:lineRule="exact"/>
              <w:ind w:left="67"/>
              <w:rPr>
                <w:sz w:val="18"/>
              </w:rPr>
            </w:pPr>
            <w:r>
              <w:rPr>
                <w:spacing w:val="-2"/>
                <w:sz w:val="18"/>
              </w:rPr>
              <w:t>atendidas</w:t>
            </w:r>
          </w:p>
        </w:tc>
        <w:tc>
          <w:tcPr>
            <w:tcW w:w="1483" w:type="dxa"/>
          </w:tcPr>
          <w:p>
            <w:pPr>
              <w:pStyle w:val="TableParagraph"/>
              <w:rPr>
                <w:b/>
                <w:sz w:val="18"/>
              </w:rPr>
            </w:pPr>
          </w:p>
          <w:p>
            <w:pPr>
              <w:pStyle w:val="TableParagraph"/>
              <w:rPr>
                <w:b/>
                <w:sz w:val="18"/>
              </w:rPr>
            </w:pPr>
          </w:p>
          <w:p>
            <w:pPr>
              <w:pStyle w:val="TableParagraph"/>
              <w:spacing w:before="156"/>
              <w:rPr>
                <w:b/>
                <w:sz w:val="18"/>
              </w:rPr>
            </w:pPr>
          </w:p>
          <w:p>
            <w:pPr>
              <w:pStyle w:val="TableParagraph"/>
              <w:ind w:left="67"/>
              <w:rPr>
                <w:sz w:val="18"/>
              </w:rPr>
            </w:pPr>
            <w:r>
              <w:rPr>
                <w:sz w:val="18"/>
              </w:rPr>
              <w:t>Oficios,</w:t>
            </w:r>
            <w:r>
              <w:rPr>
                <w:spacing w:val="-6"/>
                <w:sz w:val="18"/>
              </w:rPr>
              <w:t> </w:t>
            </w:r>
            <w:r>
              <w:rPr>
                <w:spacing w:val="-2"/>
                <w:sz w:val="18"/>
              </w:rPr>
              <w:t>correos</w:t>
            </w:r>
          </w:p>
        </w:tc>
        <w:tc>
          <w:tcPr>
            <w:tcW w:w="1296"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397" w:hRule="atLeast"/>
        </w:trPr>
        <w:tc>
          <w:tcPr>
            <w:tcW w:w="3193" w:type="dxa"/>
          </w:tcPr>
          <w:p>
            <w:pPr>
              <w:pStyle w:val="TableParagraph"/>
              <w:spacing w:before="75"/>
              <w:rPr>
                <w:b/>
                <w:sz w:val="18"/>
              </w:rPr>
            </w:pPr>
          </w:p>
          <w:p>
            <w:pPr>
              <w:pStyle w:val="TableParagraph"/>
              <w:ind w:left="72"/>
              <w:rPr>
                <w:sz w:val="18"/>
              </w:rPr>
            </w:pPr>
            <w:r>
              <w:rPr>
                <w:b/>
                <w:sz w:val="18"/>
              </w:rPr>
              <w:t>Actividad PAC 2.67.4: </w:t>
            </w:r>
            <w:r>
              <w:rPr>
                <w:sz w:val="18"/>
              </w:rPr>
              <w:t>Realizar sesiones de inducción sobre los procesos de reorganización de la estructura</w:t>
            </w:r>
            <w:r>
              <w:rPr>
                <w:spacing w:val="-15"/>
                <w:sz w:val="18"/>
              </w:rPr>
              <w:t> </w:t>
            </w:r>
            <w:r>
              <w:rPr>
                <w:sz w:val="18"/>
              </w:rPr>
              <w:t>organizacional</w:t>
            </w:r>
            <w:r>
              <w:rPr>
                <w:spacing w:val="-12"/>
                <w:sz w:val="18"/>
              </w:rPr>
              <w:t> </w:t>
            </w:r>
            <w:r>
              <w:rPr>
                <w:sz w:val="18"/>
              </w:rPr>
              <w:t>definidos</w:t>
            </w:r>
          </w:p>
        </w:tc>
        <w:tc>
          <w:tcPr>
            <w:tcW w:w="1354" w:type="dxa"/>
          </w:tcPr>
          <w:p>
            <w:pPr>
              <w:pStyle w:val="TableParagraph"/>
              <w:rPr>
                <w:b/>
                <w:sz w:val="18"/>
              </w:rPr>
            </w:pPr>
          </w:p>
          <w:p>
            <w:pPr>
              <w:pStyle w:val="TableParagraph"/>
              <w:spacing w:before="180"/>
              <w:rPr>
                <w:b/>
                <w:sz w:val="18"/>
              </w:rPr>
            </w:pPr>
          </w:p>
          <w:p>
            <w:pPr>
              <w:pStyle w:val="TableParagraph"/>
              <w:ind w:left="19"/>
              <w:jc w:val="center"/>
              <w:rPr>
                <w:sz w:val="18"/>
              </w:rPr>
            </w:pPr>
            <w:r>
              <w:rPr>
                <w:sz w:val="18"/>
              </w:rPr>
              <w:t>No </w:t>
            </w:r>
            <w:r>
              <w:rPr>
                <w:spacing w:val="-2"/>
                <w:sz w:val="18"/>
              </w:rPr>
              <w:t>disponible</w:t>
            </w:r>
          </w:p>
        </w:tc>
        <w:tc>
          <w:tcPr>
            <w:tcW w:w="1354" w:type="dxa"/>
          </w:tcPr>
          <w:p>
            <w:pPr>
              <w:pStyle w:val="TableParagraph"/>
              <w:rPr>
                <w:b/>
                <w:sz w:val="18"/>
              </w:rPr>
            </w:pPr>
          </w:p>
          <w:p>
            <w:pPr>
              <w:pStyle w:val="TableParagraph"/>
              <w:spacing w:before="180"/>
              <w:rPr>
                <w:b/>
                <w:sz w:val="18"/>
              </w:rPr>
            </w:pPr>
          </w:p>
          <w:p>
            <w:pPr>
              <w:pStyle w:val="TableParagraph"/>
              <w:ind w:left="19" w:right="4"/>
              <w:jc w:val="center"/>
              <w:rPr>
                <w:sz w:val="18"/>
              </w:rPr>
            </w:pPr>
            <w:r>
              <w:rPr>
                <w:spacing w:val="-10"/>
                <w:sz w:val="18"/>
              </w:rPr>
              <w:t>2</w:t>
            </w:r>
          </w:p>
        </w:tc>
        <w:tc>
          <w:tcPr>
            <w:tcW w:w="1776" w:type="dxa"/>
          </w:tcPr>
          <w:p>
            <w:pPr>
              <w:pStyle w:val="TableParagraph"/>
              <w:spacing w:before="75"/>
              <w:rPr>
                <w:b/>
                <w:sz w:val="18"/>
              </w:rPr>
            </w:pPr>
          </w:p>
          <w:p>
            <w:pPr>
              <w:pStyle w:val="TableParagraph"/>
              <w:ind w:left="67" w:right="131"/>
              <w:rPr>
                <w:sz w:val="18"/>
              </w:rPr>
            </w:pPr>
            <w:r>
              <w:rPr>
                <w:sz w:val="18"/>
              </w:rPr>
              <w:t>Cantidad</w:t>
            </w:r>
            <w:r>
              <w:rPr>
                <w:spacing w:val="-13"/>
                <w:sz w:val="18"/>
              </w:rPr>
              <w:t> </w:t>
            </w:r>
            <w:r>
              <w:rPr>
                <w:sz w:val="18"/>
              </w:rPr>
              <w:t>de </w:t>
            </w:r>
            <w:r>
              <w:rPr>
                <w:spacing w:val="-2"/>
                <w:sz w:val="18"/>
              </w:rPr>
              <w:t>sesiones inducciones realizadas</w:t>
            </w:r>
          </w:p>
        </w:tc>
        <w:tc>
          <w:tcPr>
            <w:tcW w:w="1483" w:type="dxa"/>
          </w:tcPr>
          <w:p>
            <w:pPr>
              <w:pStyle w:val="TableParagraph"/>
              <w:spacing w:before="75"/>
              <w:rPr>
                <w:b/>
                <w:sz w:val="18"/>
              </w:rPr>
            </w:pPr>
          </w:p>
          <w:p>
            <w:pPr>
              <w:pStyle w:val="TableParagraph"/>
              <w:ind w:left="67" w:right="68"/>
              <w:rPr>
                <w:sz w:val="18"/>
              </w:rPr>
            </w:pPr>
            <w:r>
              <w:rPr>
                <w:sz w:val="18"/>
              </w:rPr>
              <w:t>Oficios de aclaración,</w:t>
            </w:r>
            <w:r>
              <w:rPr>
                <w:spacing w:val="-13"/>
                <w:sz w:val="18"/>
              </w:rPr>
              <w:t> </w:t>
            </w:r>
            <w:r>
              <w:rPr>
                <w:sz w:val="18"/>
              </w:rPr>
              <w:t>listas de sesiones de </w:t>
            </w:r>
            <w:r>
              <w:rPr>
                <w:spacing w:val="-2"/>
                <w:sz w:val="18"/>
              </w:rPr>
              <w:t>inducción</w:t>
            </w:r>
          </w:p>
        </w:tc>
        <w:tc>
          <w:tcPr>
            <w:tcW w:w="1296" w:type="dxa"/>
          </w:tcPr>
          <w:p>
            <w:pPr>
              <w:pStyle w:val="TableParagraph"/>
              <w:rPr>
                <w:b/>
                <w:sz w:val="18"/>
              </w:rPr>
            </w:pPr>
          </w:p>
          <w:p>
            <w:pPr>
              <w:pStyle w:val="TableParagraph"/>
              <w:spacing w:before="74"/>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508" w:hRule="atLeast"/>
        </w:trPr>
        <w:tc>
          <w:tcPr>
            <w:tcW w:w="14598" w:type="dxa"/>
            <w:gridSpan w:val="8"/>
            <w:shd w:val="clear" w:color="auto" w:fill="EFF8F9"/>
          </w:tcPr>
          <w:p>
            <w:pPr>
              <w:pStyle w:val="TableParagraph"/>
              <w:spacing w:before="147"/>
              <w:ind w:left="72"/>
              <w:rPr>
                <w:b/>
                <w:sz w:val="18"/>
              </w:rPr>
            </w:pPr>
            <w:r>
              <w:rPr>
                <w:b/>
                <w:sz w:val="18"/>
              </w:rPr>
              <w:t>Producto</w:t>
            </w:r>
            <w:r>
              <w:rPr>
                <w:b/>
                <w:spacing w:val="-6"/>
                <w:sz w:val="18"/>
              </w:rPr>
              <w:t> </w:t>
            </w:r>
            <w:r>
              <w:rPr>
                <w:b/>
                <w:sz w:val="18"/>
              </w:rPr>
              <w:t>PAC</w:t>
            </w:r>
            <w:r>
              <w:rPr>
                <w:b/>
                <w:spacing w:val="-8"/>
                <w:sz w:val="18"/>
              </w:rPr>
              <w:t> </w:t>
            </w:r>
            <w:r>
              <w:rPr>
                <w:b/>
                <w:sz w:val="18"/>
              </w:rPr>
              <w:t>2.68:</w:t>
            </w:r>
            <w:r>
              <w:rPr>
                <w:b/>
                <w:spacing w:val="41"/>
                <w:sz w:val="18"/>
              </w:rPr>
              <w:t> </w:t>
            </w:r>
            <w:r>
              <w:rPr>
                <w:b/>
                <w:sz w:val="18"/>
              </w:rPr>
              <w:t>Manual</w:t>
            </w:r>
            <w:r>
              <w:rPr>
                <w:b/>
                <w:spacing w:val="-4"/>
                <w:sz w:val="18"/>
              </w:rPr>
              <w:t> </w:t>
            </w:r>
            <w:r>
              <w:rPr>
                <w:b/>
                <w:sz w:val="18"/>
              </w:rPr>
              <w:t>de</w:t>
            </w:r>
            <w:r>
              <w:rPr>
                <w:b/>
                <w:spacing w:val="-6"/>
                <w:sz w:val="18"/>
              </w:rPr>
              <w:t> </w:t>
            </w:r>
            <w:r>
              <w:rPr>
                <w:b/>
                <w:sz w:val="18"/>
              </w:rPr>
              <w:t>Organización</w:t>
            </w:r>
            <w:r>
              <w:rPr>
                <w:b/>
                <w:spacing w:val="-6"/>
                <w:sz w:val="18"/>
              </w:rPr>
              <w:t> </w:t>
            </w:r>
            <w:r>
              <w:rPr>
                <w:b/>
                <w:sz w:val="18"/>
              </w:rPr>
              <w:t>ajustado</w:t>
            </w:r>
            <w:r>
              <w:rPr>
                <w:b/>
                <w:spacing w:val="-7"/>
                <w:sz w:val="18"/>
              </w:rPr>
              <w:t> </w:t>
            </w:r>
            <w:r>
              <w:rPr>
                <w:b/>
                <w:sz w:val="18"/>
              </w:rPr>
              <w:t>y</w:t>
            </w:r>
            <w:r>
              <w:rPr>
                <w:b/>
                <w:spacing w:val="-11"/>
                <w:sz w:val="18"/>
              </w:rPr>
              <w:t> </w:t>
            </w:r>
            <w:r>
              <w:rPr>
                <w:b/>
                <w:sz w:val="18"/>
              </w:rPr>
              <w:t>actualizado</w:t>
            </w:r>
            <w:r>
              <w:rPr>
                <w:b/>
                <w:spacing w:val="-6"/>
                <w:sz w:val="18"/>
              </w:rPr>
              <w:t> </w:t>
            </w:r>
            <w:r>
              <w:rPr>
                <w:b/>
                <w:sz w:val="18"/>
              </w:rPr>
              <w:t>a</w:t>
            </w:r>
            <w:r>
              <w:rPr>
                <w:b/>
                <w:spacing w:val="-6"/>
                <w:sz w:val="18"/>
              </w:rPr>
              <w:t> </w:t>
            </w:r>
            <w:r>
              <w:rPr>
                <w:b/>
                <w:sz w:val="18"/>
              </w:rPr>
              <w:t>la</w:t>
            </w:r>
            <w:r>
              <w:rPr>
                <w:b/>
                <w:spacing w:val="-6"/>
                <w:sz w:val="18"/>
              </w:rPr>
              <w:t> </w:t>
            </w:r>
            <w:r>
              <w:rPr>
                <w:b/>
                <w:sz w:val="18"/>
              </w:rPr>
              <w:t>estructura</w:t>
            </w:r>
            <w:r>
              <w:rPr>
                <w:b/>
                <w:spacing w:val="-1"/>
                <w:sz w:val="18"/>
              </w:rPr>
              <w:t> </w:t>
            </w:r>
            <w:r>
              <w:rPr>
                <w:b/>
                <w:sz w:val="18"/>
              </w:rPr>
              <w:t>institucional</w:t>
            </w:r>
            <w:r>
              <w:rPr>
                <w:b/>
                <w:spacing w:val="1"/>
                <w:sz w:val="18"/>
              </w:rPr>
              <w:t> </w:t>
            </w:r>
            <w:r>
              <w:rPr>
                <w:b/>
                <w:sz w:val="18"/>
              </w:rPr>
              <w:t>E1</w:t>
            </w:r>
            <w:r>
              <w:rPr>
                <w:b/>
                <w:spacing w:val="-2"/>
                <w:sz w:val="18"/>
              </w:rPr>
              <w:t> </w:t>
            </w:r>
            <w:r>
              <w:rPr>
                <w:b/>
                <w:sz w:val="18"/>
              </w:rPr>
              <w:t>AE3</w:t>
            </w:r>
            <w:r>
              <w:rPr>
                <w:b/>
                <w:spacing w:val="-6"/>
                <w:sz w:val="18"/>
              </w:rPr>
              <w:t> </w:t>
            </w:r>
            <w:r>
              <w:rPr>
                <w:b/>
                <w:spacing w:val="-5"/>
                <w:sz w:val="18"/>
              </w:rPr>
              <w:t>R3</w:t>
            </w:r>
          </w:p>
        </w:tc>
      </w:tr>
      <w:tr>
        <w:trPr>
          <w:trHeight w:val="1200" w:hRule="atLeast"/>
        </w:trPr>
        <w:tc>
          <w:tcPr>
            <w:tcW w:w="3193" w:type="dxa"/>
          </w:tcPr>
          <w:p>
            <w:pPr>
              <w:pStyle w:val="TableParagraph"/>
              <w:spacing w:before="80"/>
              <w:ind w:left="72" w:right="135"/>
              <w:rPr>
                <w:sz w:val="18"/>
              </w:rPr>
            </w:pPr>
            <w:r>
              <w:rPr>
                <w:b/>
                <w:sz w:val="18"/>
              </w:rPr>
              <w:t>Actividad PAC 2.68.1: </w:t>
            </w:r>
            <w:r>
              <w:rPr>
                <w:sz w:val="18"/>
              </w:rPr>
              <w:t>Ajustar el manual de la estructura organizacional</w:t>
            </w:r>
            <w:r>
              <w:rPr>
                <w:spacing w:val="-6"/>
                <w:sz w:val="18"/>
              </w:rPr>
              <w:t> </w:t>
            </w:r>
            <w:r>
              <w:rPr>
                <w:sz w:val="18"/>
              </w:rPr>
              <w:t>del</w:t>
            </w:r>
            <w:r>
              <w:rPr>
                <w:spacing w:val="-10"/>
                <w:sz w:val="18"/>
              </w:rPr>
              <w:t> </w:t>
            </w:r>
            <w:r>
              <w:rPr>
                <w:sz w:val="18"/>
              </w:rPr>
              <w:t>IMAS</w:t>
            </w:r>
            <w:r>
              <w:rPr>
                <w:spacing w:val="-6"/>
                <w:sz w:val="18"/>
              </w:rPr>
              <w:t> </w:t>
            </w:r>
            <w:r>
              <w:rPr>
                <w:sz w:val="18"/>
              </w:rPr>
              <w:t>a</w:t>
            </w:r>
            <w:r>
              <w:rPr>
                <w:spacing w:val="-9"/>
                <w:sz w:val="18"/>
              </w:rPr>
              <w:t> </w:t>
            </w:r>
            <w:r>
              <w:rPr>
                <w:sz w:val="18"/>
              </w:rPr>
              <w:t>partir</w:t>
            </w:r>
            <w:r>
              <w:rPr>
                <w:spacing w:val="-3"/>
                <w:sz w:val="18"/>
              </w:rPr>
              <w:t> </w:t>
            </w:r>
            <w:r>
              <w:rPr>
                <w:sz w:val="18"/>
              </w:rPr>
              <w:t>de los procesos de reorganización </w:t>
            </w:r>
            <w:r>
              <w:rPr>
                <w:spacing w:val="-2"/>
                <w:sz w:val="18"/>
              </w:rPr>
              <w:t>realizados</w:t>
            </w:r>
          </w:p>
        </w:tc>
        <w:tc>
          <w:tcPr>
            <w:tcW w:w="1354" w:type="dxa"/>
          </w:tcPr>
          <w:p>
            <w:pPr>
              <w:pStyle w:val="TableParagraph"/>
              <w:rPr>
                <w:b/>
                <w:sz w:val="18"/>
              </w:rPr>
            </w:pPr>
          </w:p>
          <w:p>
            <w:pPr>
              <w:pStyle w:val="TableParagraph"/>
              <w:spacing w:before="84"/>
              <w:rPr>
                <w:b/>
                <w:sz w:val="18"/>
              </w:rPr>
            </w:pPr>
          </w:p>
          <w:p>
            <w:pPr>
              <w:pStyle w:val="TableParagraph"/>
              <w:ind w:left="19"/>
              <w:jc w:val="center"/>
              <w:rPr>
                <w:sz w:val="18"/>
              </w:rPr>
            </w:pPr>
            <w:r>
              <w:rPr>
                <w:sz w:val="18"/>
              </w:rPr>
              <w:t>No </w:t>
            </w:r>
            <w:r>
              <w:rPr>
                <w:spacing w:val="-2"/>
                <w:sz w:val="18"/>
              </w:rPr>
              <w:t>disponible</w:t>
            </w:r>
          </w:p>
        </w:tc>
        <w:tc>
          <w:tcPr>
            <w:tcW w:w="1354" w:type="dxa"/>
          </w:tcPr>
          <w:p>
            <w:pPr>
              <w:pStyle w:val="TableParagraph"/>
              <w:rPr>
                <w:b/>
                <w:sz w:val="18"/>
              </w:rPr>
            </w:pPr>
          </w:p>
          <w:p>
            <w:pPr>
              <w:pStyle w:val="TableParagraph"/>
              <w:spacing w:before="84"/>
              <w:rPr>
                <w:b/>
                <w:sz w:val="18"/>
              </w:rPr>
            </w:pPr>
          </w:p>
          <w:p>
            <w:pPr>
              <w:pStyle w:val="TableParagraph"/>
              <w:ind w:left="19" w:right="4"/>
              <w:jc w:val="center"/>
              <w:rPr>
                <w:sz w:val="18"/>
              </w:rPr>
            </w:pPr>
            <w:r>
              <w:rPr>
                <w:spacing w:val="-10"/>
                <w:sz w:val="18"/>
              </w:rPr>
              <w:t>2</w:t>
            </w:r>
          </w:p>
        </w:tc>
        <w:tc>
          <w:tcPr>
            <w:tcW w:w="1776" w:type="dxa"/>
          </w:tcPr>
          <w:p>
            <w:pPr>
              <w:pStyle w:val="TableParagraph"/>
              <w:spacing w:before="80"/>
              <w:ind w:left="67" w:right="60"/>
              <w:rPr>
                <w:sz w:val="18"/>
              </w:rPr>
            </w:pPr>
            <w:r>
              <w:rPr>
                <w:sz w:val="18"/>
              </w:rPr>
              <w:t>Cantidad</w:t>
            </w:r>
            <w:r>
              <w:rPr>
                <w:spacing w:val="-15"/>
                <w:sz w:val="18"/>
              </w:rPr>
              <w:t> </w:t>
            </w:r>
            <w:r>
              <w:rPr>
                <w:sz w:val="18"/>
              </w:rPr>
              <w:t>de</w:t>
            </w:r>
            <w:r>
              <w:rPr>
                <w:spacing w:val="-12"/>
                <w:sz w:val="18"/>
              </w:rPr>
              <w:t> </w:t>
            </w:r>
            <w:r>
              <w:rPr>
                <w:sz w:val="18"/>
              </w:rPr>
              <w:t>ajustes al Manual de la </w:t>
            </w:r>
            <w:r>
              <w:rPr>
                <w:spacing w:val="-2"/>
                <w:sz w:val="18"/>
              </w:rPr>
              <w:t>Estructura Organizacional realizados</w:t>
            </w:r>
          </w:p>
        </w:tc>
        <w:tc>
          <w:tcPr>
            <w:tcW w:w="1483" w:type="dxa"/>
          </w:tcPr>
          <w:p>
            <w:pPr>
              <w:pStyle w:val="TableParagraph"/>
              <w:spacing w:before="80"/>
              <w:ind w:left="67"/>
              <w:rPr>
                <w:sz w:val="18"/>
              </w:rPr>
            </w:pPr>
            <w:r>
              <w:rPr>
                <w:sz w:val="18"/>
              </w:rPr>
              <w:t>Manual de la </w:t>
            </w:r>
            <w:r>
              <w:rPr>
                <w:spacing w:val="-2"/>
                <w:sz w:val="18"/>
              </w:rPr>
              <w:t>Estructura Organizacional </w:t>
            </w:r>
            <w:r>
              <w:rPr>
                <w:sz w:val="18"/>
              </w:rPr>
              <w:t>con ajustes </w:t>
            </w:r>
            <w:r>
              <w:rPr>
                <w:spacing w:val="-2"/>
                <w:sz w:val="18"/>
              </w:rPr>
              <w:t>incorporados</w:t>
            </w:r>
          </w:p>
        </w:tc>
        <w:tc>
          <w:tcPr>
            <w:tcW w:w="1296" w:type="dxa"/>
          </w:tcPr>
          <w:p>
            <w:pPr>
              <w:pStyle w:val="TableParagraph"/>
              <w:spacing w:before="185"/>
              <w:rPr>
                <w:b/>
                <w:sz w:val="18"/>
              </w:rPr>
            </w:pPr>
          </w:p>
          <w:p>
            <w:pPr>
              <w:pStyle w:val="TableParagraph"/>
              <w:spacing w:before="1"/>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tcPr>
          <w:p>
            <w:pPr>
              <w:pStyle w:val="TableParagraph"/>
              <w:spacing w:before="186"/>
              <w:ind w:left="74"/>
              <w:rPr>
                <w:sz w:val="18"/>
              </w:rPr>
            </w:pPr>
            <w:r>
              <w:rPr>
                <w:sz w:val="18"/>
              </w:rPr>
              <w:t>Evento: Contar con un manual</w:t>
            </w:r>
            <w:r>
              <w:rPr>
                <w:spacing w:val="-15"/>
                <w:sz w:val="18"/>
              </w:rPr>
              <w:t> </w:t>
            </w:r>
            <w:r>
              <w:rPr>
                <w:sz w:val="18"/>
              </w:rPr>
              <w:t>de</w:t>
            </w:r>
            <w:r>
              <w:rPr>
                <w:spacing w:val="-12"/>
                <w:sz w:val="18"/>
              </w:rPr>
              <w:t> </w:t>
            </w:r>
            <w:r>
              <w:rPr>
                <w:sz w:val="18"/>
              </w:rPr>
              <w:t>Organización desactualizado</w:t>
            </w:r>
            <w:r>
              <w:rPr>
                <w:spacing w:val="-11"/>
                <w:sz w:val="18"/>
              </w:rPr>
              <w:t> </w:t>
            </w:r>
            <w:r>
              <w:rPr>
                <w:sz w:val="18"/>
              </w:rPr>
              <w:t>y</w:t>
            </w:r>
            <w:r>
              <w:rPr>
                <w:spacing w:val="-7"/>
                <w:sz w:val="18"/>
              </w:rPr>
              <w:t> </w:t>
            </w:r>
            <w:r>
              <w:rPr>
                <w:sz w:val="18"/>
              </w:rPr>
              <w:t>que</w:t>
            </w:r>
            <w:r>
              <w:rPr>
                <w:spacing w:val="-8"/>
                <w:sz w:val="18"/>
              </w:rPr>
              <w:t> </w:t>
            </w:r>
            <w:r>
              <w:rPr>
                <w:sz w:val="18"/>
              </w:rPr>
              <w:t>no esté ajustado a la</w:t>
            </w:r>
          </w:p>
        </w:tc>
      </w:tr>
    </w:tbl>
    <w:p>
      <w:pPr>
        <w:pStyle w:val="TableParagraph"/>
        <w:spacing w:after="0"/>
        <w:rPr>
          <w:sz w:val="18"/>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439" w:hRule="atLeast"/>
        </w:trPr>
        <w:tc>
          <w:tcPr>
            <w:tcW w:w="3193" w:type="dxa"/>
          </w:tcPr>
          <w:p>
            <w:pPr>
              <w:pStyle w:val="TableParagraph"/>
              <w:spacing w:before="199"/>
              <w:rPr>
                <w:b/>
                <w:sz w:val="18"/>
              </w:rPr>
            </w:pPr>
          </w:p>
          <w:p>
            <w:pPr>
              <w:pStyle w:val="TableParagraph"/>
              <w:spacing w:line="242" w:lineRule="auto" w:before="1"/>
              <w:ind w:left="72"/>
              <w:rPr>
                <w:sz w:val="18"/>
              </w:rPr>
            </w:pPr>
            <w:r>
              <w:rPr>
                <w:b/>
                <w:sz w:val="18"/>
              </w:rPr>
              <w:t>Actividad</w:t>
            </w:r>
            <w:r>
              <w:rPr>
                <w:b/>
                <w:spacing w:val="-12"/>
                <w:sz w:val="18"/>
              </w:rPr>
              <w:t> </w:t>
            </w:r>
            <w:r>
              <w:rPr>
                <w:b/>
                <w:sz w:val="18"/>
              </w:rPr>
              <w:t>PAC</w:t>
            </w:r>
            <w:r>
              <w:rPr>
                <w:b/>
                <w:spacing w:val="-8"/>
                <w:sz w:val="18"/>
              </w:rPr>
              <w:t> </w:t>
            </w:r>
            <w:r>
              <w:rPr>
                <w:b/>
                <w:sz w:val="18"/>
              </w:rPr>
              <w:t>2.68.2:</w:t>
            </w:r>
            <w:r>
              <w:rPr>
                <w:b/>
                <w:spacing w:val="-3"/>
                <w:sz w:val="18"/>
              </w:rPr>
              <w:t> </w:t>
            </w:r>
            <w:r>
              <w:rPr>
                <w:sz w:val="18"/>
              </w:rPr>
              <w:t>Remitir,</w:t>
            </w:r>
            <w:r>
              <w:rPr>
                <w:spacing w:val="-9"/>
                <w:sz w:val="18"/>
              </w:rPr>
              <w:t> </w:t>
            </w:r>
            <w:r>
              <w:rPr>
                <w:sz w:val="18"/>
              </w:rPr>
              <w:t>para aprobación del CD, el Manual de la Estructura Organizacional del IMAS</w:t>
            </w:r>
          </w:p>
        </w:tc>
        <w:tc>
          <w:tcPr>
            <w:tcW w:w="1354" w:type="dxa"/>
          </w:tcPr>
          <w:p>
            <w:pPr>
              <w:pStyle w:val="TableParagraph"/>
              <w:rPr>
                <w:b/>
                <w:sz w:val="18"/>
              </w:rPr>
            </w:pPr>
          </w:p>
          <w:p>
            <w:pPr>
              <w:pStyle w:val="TableParagraph"/>
              <w:spacing w:before="199"/>
              <w:rPr>
                <w:b/>
                <w:sz w:val="18"/>
              </w:rPr>
            </w:pPr>
          </w:p>
          <w:p>
            <w:pPr>
              <w:pStyle w:val="TableParagraph"/>
              <w:ind w:left="19"/>
              <w:jc w:val="center"/>
              <w:rPr>
                <w:sz w:val="18"/>
              </w:rPr>
            </w:pPr>
            <w:r>
              <w:rPr>
                <w:sz w:val="18"/>
              </w:rPr>
              <w:t>No </w:t>
            </w:r>
            <w:r>
              <w:rPr>
                <w:spacing w:val="-2"/>
                <w:sz w:val="18"/>
              </w:rPr>
              <w:t>disponible</w:t>
            </w:r>
          </w:p>
        </w:tc>
        <w:tc>
          <w:tcPr>
            <w:tcW w:w="1354" w:type="dxa"/>
          </w:tcPr>
          <w:p>
            <w:pPr>
              <w:pStyle w:val="TableParagraph"/>
              <w:rPr>
                <w:b/>
                <w:sz w:val="18"/>
              </w:rPr>
            </w:pPr>
          </w:p>
          <w:p>
            <w:pPr>
              <w:pStyle w:val="TableParagraph"/>
              <w:spacing w:before="199"/>
              <w:rPr>
                <w:b/>
                <w:sz w:val="18"/>
              </w:rPr>
            </w:pPr>
          </w:p>
          <w:p>
            <w:pPr>
              <w:pStyle w:val="TableParagraph"/>
              <w:ind w:left="19" w:right="4"/>
              <w:jc w:val="center"/>
              <w:rPr>
                <w:sz w:val="18"/>
              </w:rPr>
            </w:pPr>
            <w:r>
              <w:rPr>
                <w:spacing w:val="-10"/>
                <w:sz w:val="18"/>
              </w:rPr>
              <w:t>1</w:t>
            </w:r>
          </w:p>
        </w:tc>
        <w:tc>
          <w:tcPr>
            <w:tcW w:w="1776" w:type="dxa"/>
          </w:tcPr>
          <w:p>
            <w:pPr>
              <w:pStyle w:val="TableParagraph"/>
              <w:spacing w:before="99"/>
              <w:ind w:left="67"/>
              <w:rPr>
                <w:sz w:val="18"/>
              </w:rPr>
            </w:pPr>
            <w:r>
              <w:rPr>
                <w:sz w:val="18"/>
              </w:rPr>
              <w:t>Cantidad de Manuales de la </w:t>
            </w:r>
            <w:r>
              <w:rPr>
                <w:spacing w:val="-2"/>
                <w:sz w:val="18"/>
              </w:rPr>
              <w:t>estructura </w:t>
            </w:r>
            <w:r>
              <w:rPr>
                <w:sz w:val="18"/>
              </w:rPr>
              <w:t>organizacional del IMAS remitidos y aprobador</w:t>
            </w:r>
            <w:r>
              <w:rPr>
                <w:spacing w:val="-11"/>
                <w:sz w:val="18"/>
              </w:rPr>
              <w:t> </w:t>
            </w:r>
            <w:r>
              <w:rPr>
                <w:sz w:val="18"/>
              </w:rPr>
              <w:t>por</w:t>
            </w:r>
            <w:r>
              <w:rPr>
                <w:spacing w:val="-11"/>
                <w:sz w:val="18"/>
              </w:rPr>
              <w:t> </w:t>
            </w:r>
            <w:r>
              <w:rPr>
                <w:sz w:val="18"/>
              </w:rPr>
              <w:t>el</w:t>
            </w:r>
            <w:r>
              <w:rPr>
                <w:spacing w:val="-10"/>
                <w:sz w:val="18"/>
              </w:rPr>
              <w:t> </w:t>
            </w:r>
            <w:r>
              <w:rPr>
                <w:sz w:val="18"/>
              </w:rPr>
              <w:t>CD</w:t>
            </w:r>
          </w:p>
        </w:tc>
        <w:tc>
          <w:tcPr>
            <w:tcW w:w="1483" w:type="dxa"/>
          </w:tcPr>
          <w:p>
            <w:pPr>
              <w:pStyle w:val="TableParagraph"/>
              <w:rPr>
                <w:b/>
                <w:sz w:val="18"/>
              </w:rPr>
            </w:pPr>
          </w:p>
          <w:p>
            <w:pPr>
              <w:pStyle w:val="TableParagraph"/>
              <w:spacing w:before="199"/>
              <w:rPr>
                <w:b/>
                <w:sz w:val="18"/>
              </w:rPr>
            </w:pPr>
          </w:p>
          <w:p>
            <w:pPr>
              <w:pStyle w:val="TableParagraph"/>
              <w:ind w:left="67"/>
              <w:rPr>
                <w:sz w:val="18"/>
              </w:rPr>
            </w:pPr>
            <w:r>
              <w:rPr>
                <w:sz w:val="18"/>
              </w:rPr>
              <w:t>Acuerdo</w:t>
            </w:r>
            <w:r>
              <w:rPr>
                <w:spacing w:val="-2"/>
                <w:sz w:val="18"/>
              </w:rPr>
              <w:t> </w:t>
            </w:r>
            <w:r>
              <w:rPr>
                <w:sz w:val="18"/>
              </w:rPr>
              <w:t>del</w:t>
            </w:r>
            <w:r>
              <w:rPr>
                <w:spacing w:val="1"/>
                <w:sz w:val="18"/>
              </w:rPr>
              <w:t> </w:t>
            </w:r>
            <w:r>
              <w:rPr>
                <w:spacing w:val="-5"/>
                <w:sz w:val="18"/>
              </w:rPr>
              <w:t>CD</w:t>
            </w:r>
          </w:p>
        </w:tc>
        <w:tc>
          <w:tcPr>
            <w:tcW w:w="1296" w:type="dxa"/>
          </w:tcPr>
          <w:p>
            <w:pPr>
              <w:pStyle w:val="TableParagraph"/>
              <w:rPr>
                <w:b/>
                <w:sz w:val="18"/>
              </w:rPr>
            </w:pPr>
          </w:p>
          <w:p>
            <w:pPr>
              <w:pStyle w:val="TableParagraph"/>
              <w:spacing w:before="98"/>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ind w:left="74" w:right="112"/>
              <w:rPr>
                <w:sz w:val="18"/>
              </w:rPr>
            </w:pPr>
            <w:r>
              <w:rPr>
                <w:sz w:val="18"/>
              </w:rPr>
              <w:t>metodología</w:t>
            </w:r>
            <w:r>
              <w:rPr>
                <w:spacing w:val="-15"/>
                <w:sz w:val="18"/>
              </w:rPr>
              <w:t> </w:t>
            </w:r>
            <w:r>
              <w:rPr>
                <w:sz w:val="18"/>
              </w:rPr>
              <w:t>de</w:t>
            </w:r>
            <w:r>
              <w:rPr>
                <w:spacing w:val="-12"/>
                <w:sz w:val="18"/>
              </w:rPr>
              <w:t> </w:t>
            </w:r>
            <w:r>
              <w:rPr>
                <w:sz w:val="18"/>
              </w:rPr>
              <w:t>gestión por procesos.</w:t>
            </w:r>
          </w:p>
        </w:tc>
      </w:tr>
      <w:tr>
        <w:trPr>
          <w:trHeight w:val="1200" w:hRule="atLeast"/>
        </w:trPr>
        <w:tc>
          <w:tcPr>
            <w:tcW w:w="3193" w:type="dxa"/>
          </w:tcPr>
          <w:p>
            <w:pPr>
              <w:pStyle w:val="TableParagraph"/>
              <w:spacing w:before="80"/>
              <w:ind w:left="72"/>
              <w:rPr>
                <w:sz w:val="18"/>
              </w:rPr>
            </w:pPr>
            <w:r>
              <w:rPr>
                <w:b/>
                <w:sz w:val="18"/>
              </w:rPr>
              <w:t>Actividad PAC 2.68.3: </w:t>
            </w:r>
            <w:r>
              <w:rPr>
                <w:sz w:val="18"/>
              </w:rPr>
              <w:t>Coordinar la divulgación</w:t>
            </w:r>
            <w:r>
              <w:rPr>
                <w:spacing w:val="-6"/>
                <w:sz w:val="18"/>
              </w:rPr>
              <w:t> </w:t>
            </w:r>
            <w:r>
              <w:rPr>
                <w:sz w:val="18"/>
              </w:rPr>
              <w:t>de</w:t>
            </w:r>
            <w:r>
              <w:rPr>
                <w:spacing w:val="-9"/>
                <w:sz w:val="18"/>
              </w:rPr>
              <w:t> </w:t>
            </w:r>
            <w:r>
              <w:rPr>
                <w:sz w:val="18"/>
              </w:rPr>
              <w:t>la</w:t>
            </w:r>
            <w:r>
              <w:rPr>
                <w:spacing w:val="-9"/>
                <w:sz w:val="18"/>
              </w:rPr>
              <w:t> </w:t>
            </w:r>
            <w:r>
              <w:rPr>
                <w:sz w:val="18"/>
              </w:rPr>
              <w:t>versión</w:t>
            </w:r>
            <w:r>
              <w:rPr>
                <w:spacing w:val="-9"/>
                <w:sz w:val="18"/>
              </w:rPr>
              <w:t> </w:t>
            </w:r>
            <w:r>
              <w:rPr>
                <w:sz w:val="18"/>
              </w:rPr>
              <w:t>actualizada del Manual de la Estructura Organizacional del IMAS entre la comunidad institucional</w:t>
            </w:r>
          </w:p>
        </w:tc>
        <w:tc>
          <w:tcPr>
            <w:tcW w:w="1354" w:type="dxa"/>
          </w:tcPr>
          <w:p>
            <w:pPr>
              <w:pStyle w:val="TableParagraph"/>
              <w:rPr>
                <w:b/>
                <w:sz w:val="18"/>
              </w:rPr>
            </w:pPr>
          </w:p>
          <w:p>
            <w:pPr>
              <w:pStyle w:val="TableParagraph"/>
              <w:spacing w:before="84"/>
              <w:rPr>
                <w:b/>
                <w:sz w:val="18"/>
              </w:rPr>
            </w:pPr>
          </w:p>
          <w:p>
            <w:pPr>
              <w:pStyle w:val="TableParagraph"/>
              <w:ind w:left="19"/>
              <w:jc w:val="center"/>
              <w:rPr>
                <w:sz w:val="18"/>
              </w:rPr>
            </w:pPr>
            <w:r>
              <w:rPr>
                <w:sz w:val="18"/>
              </w:rPr>
              <w:t>No </w:t>
            </w:r>
            <w:r>
              <w:rPr>
                <w:spacing w:val="-2"/>
                <w:sz w:val="18"/>
              </w:rPr>
              <w:t>disponible</w:t>
            </w:r>
          </w:p>
        </w:tc>
        <w:tc>
          <w:tcPr>
            <w:tcW w:w="1354" w:type="dxa"/>
          </w:tcPr>
          <w:p>
            <w:pPr>
              <w:pStyle w:val="TableParagraph"/>
              <w:rPr>
                <w:b/>
                <w:sz w:val="18"/>
              </w:rPr>
            </w:pPr>
          </w:p>
          <w:p>
            <w:pPr>
              <w:pStyle w:val="TableParagraph"/>
              <w:spacing w:before="84"/>
              <w:rPr>
                <w:b/>
                <w:sz w:val="18"/>
              </w:rPr>
            </w:pPr>
          </w:p>
          <w:p>
            <w:pPr>
              <w:pStyle w:val="TableParagraph"/>
              <w:ind w:left="19" w:right="4"/>
              <w:jc w:val="center"/>
              <w:rPr>
                <w:sz w:val="18"/>
              </w:rPr>
            </w:pPr>
            <w:r>
              <w:rPr>
                <w:spacing w:val="-10"/>
                <w:sz w:val="18"/>
              </w:rPr>
              <w:t>1</w:t>
            </w:r>
          </w:p>
        </w:tc>
        <w:tc>
          <w:tcPr>
            <w:tcW w:w="1776" w:type="dxa"/>
          </w:tcPr>
          <w:p>
            <w:pPr>
              <w:pStyle w:val="TableParagraph"/>
              <w:spacing w:before="79"/>
              <w:rPr>
                <w:b/>
                <w:sz w:val="18"/>
              </w:rPr>
            </w:pPr>
          </w:p>
          <w:p>
            <w:pPr>
              <w:pStyle w:val="TableParagraph"/>
              <w:spacing w:line="242" w:lineRule="auto" w:before="1"/>
              <w:ind w:left="67"/>
              <w:rPr>
                <w:sz w:val="18"/>
              </w:rPr>
            </w:pPr>
            <w:r>
              <w:rPr>
                <w:sz w:val="18"/>
              </w:rPr>
              <w:t>Número de </w:t>
            </w:r>
            <w:r>
              <w:rPr>
                <w:spacing w:val="-2"/>
                <w:sz w:val="18"/>
              </w:rPr>
              <w:t>divulgaciones coordinadas</w:t>
            </w:r>
          </w:p>
        </w:tc>
        <w:tc>
          <w:tcPr>
            <w:tcW w:w="1483" w:type="dxa"/>
          </w:tcPr>
          <w:p>
            <w:pPr>
              <w:pStyle w:val="TableParagraph"/>
              <w:spacing w:before="186"/>
              <w:ind w:left="67"/>
              <w:rPr>
                <w:sz w:val="18"/>
              </w:rPr>
            </w:pPr>
            <w:r>
              <w:rPr>
                <w:spacing w:val="-2"/>
                <w:sz w:val="18"/>
              </w:rPr>
              <w:t>Comunicados </w:t>
            </w:r>
            <w:r>
              <w:rPr>
                <w:sz w:val="18"/>
              </w:rPr>
              <w:t>realizados</w:t>
            </w:r>
            <w:r>
              <w:rPr>
                <w:spacing w:val="-15"/>
                <w:sz w:val="18"/>
              </w:rPr>
              <w:t> </w:t>
            </w:r>
            <w:r>
              <w:rPr>
                <w:sz w:val="18"/>
              </w:rPr>
              <w:t>a</w:t>
            </w:r>
            <w:r>
              <w:rPr>
                <w:spacing w:val="-12"/>
                <w:sz w:val="18"/>
              </w:rPr>
              <w:t> </w:t>
            </w:r>
            <w:r>
              <w:rPr>
                <w:sz w:val="18"/>
              </w:rPr>
              <w:t>la </w:t>
            </w:r>
            <w:r>
              <w:rPr>
                <w:spacing w:val="-2"/>
                <w:sz w:val="18"/>
              </w:rPr>
              <w:t>comunidad institucional</w:t>
            </w:r>
          </w:p>
        </w:tc>
        <w:tc>
          <w:tcPr>
            <w:tcW w:w="1296" w:type="dxa"/>
          </w:tcPr>
          <w:p>
            <w:pPr>
              <w:pStyle w:val="TableParagraph"/>
              <w:spacing w:before="185"/>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647" w:hRule="atLeast"/>
        </w:trPr>
        <w:tc>
          <w:tcPr>
            <w:tcW w:w="14598" w:type="dxa"/>
            <w:gridSpan w:val="8"/>
            <w:shd w:val="clear" w:color="auto" w:fill="EFF8F9"/>
          </w:tcPr>
          <w:p>
            <w:pPr>
              <w:pStyle w:val="TableParagraph"/>
              <w:spacing w:before="114"/>
              <w:ind w:left="72"/>
              <w:rPr>
                <w:b/>
                <w:sz w:val="18"/>
              </w:rPr>
            </w:pPr>
            <w:r>
              <w:rPr>
                <w:b/>
                <w:sz w:val="18"/>
              </w:rPr>
              <w:t>Producto</w:t>
            </w:r>
            <w:r>
              <w:rPr>
                <w:b/>
                <w:spacing w:val="-5"/>
                <w:sz w:val="18"/>
              </w:rPr>
              <w:t> </w:t>
            </w:r>
            <w:r>
              <w:rPr>
                <w:b/>
                <w:sz w:val="18"/>
              </w:rPr>
              <w:t>PAC</w:t>
            </w:r>
            <w:r>
              <w:rPr>
                <w:b/>
                <w:spacing w:val="-6"/>
                <w:sz w:val="18"/>
              </w:rPr>
              <w:t> </w:t>
            </w:r>
            <w:r>
              <w:rPr>
                <w:b/>
                <w:sz w:val="18"/>
              </w:rPr>
              <w:t>2.69:</w:t>
            </w:r>
            <w:r>
              <w:rPr>
                <w:b/>
                <w:spacing w:val="-2"/>
                <w:sz w:val="18"/>
              </w:rPr>
              <w:t> </w:t>
            </w:r>
            <w:r>
              <w:rPr>
                <w:b/>
                <w:sz w:val="18"/>
              </w:rPr>
              <w:t>Indicadores</w:t>
            </w:r>
            <w:r>
              <w:rPr>
                <w:b/>
                <w:spacing w:val="-4"/>
                <w:sz w:val="18"/>
              </w:rPr>
              <w:t> </w:t>
            </w:r>
            <w:r>
              <w:rPr>
                <w:b/>
                <w:sz w:val="18"/>
              </w:rPr>
              <w:t>de</w:t>
            </w:r>
            <w:r>
              <w:rPr>
                <w:b/>
                <w:spacing w:val="-4"/>
                <w:sz w:val="18"/>
              </w:rPr>
              <w:t> </w:t>
            </w:r>
            <w:r>
              <w:rPr>
                <w:b/>
                <w:sz w:val="18"/>
              </w:rPr>
              <w:t>gestión</w:t>
            </w:r>
            <w:r>
              <w:rPr>
                <w:b/>
                <w:spacing w:val="-5"/>
                <w:sz w:val="18"/>
              </w:rPr>
              <w:t> </w:t>
            </w:r>
            <w:r>
              <w:rPr>
                <w:b/>
                <w:sz w:val="18"/>
              </w:rPr>
              <w:t>por</w:t>
            </w:r>
            <w:r>
              <w:rPr>
                <w:b/>
                <w:spacing w:val="-3"/>
                <w:sz w:val="18"/>
              </w:rPr>
              <w:t> </w:t>
            </w:r>
            <w:r>
              <w:rPr>
                <w:b/>
                <w:sz w:val="18"/>
              </w:rPr>
              <w:t>procesos</w:t>
            </w:r>
            <w:r>
              <w:rPr>
                <w:b/>
                <w:spacing w:val="-4"/>
                <w:sz w:val="18"/>
              </w:rPr>
              <w:t> </w:t>
            </w:r>
            <w:r>
              <w:rPr>
                <w:b/>
                <w:sz w:val="18"/>
              </w:rPr>
              <w:t>(KPIS)</w:t>
            </w:r>
            <w:r>
              <w:rPr>
                <w:b/>
                <w:spacing w:val="-2"/>
                <w:sz w:val="18"/>
              </w:rPr>
              <w:t> </w:t>
            </w:r>
            <w:r>
              <w:rPr>
                <w:b/>
                <w:sz w:val="18"/>
              </w:rPr>
              <w:t>definidos</w:t>
            </w:r>
            <w:r>
              <w:rPr>
                <w:b/>
                <w:spacing w:val="-4"/>
                <w:sz w:val="18"/>
              </w:rPr>
              <w:t> </w:t>
            </w:r>
            <w:r>
              <w:rPr>
                <w:b/>
                <w:sz w:val="18"/>
              </w:rPr>
              <w:t>y diseñados, para</w:t>
            </w:r>
            <w:r>
              <w:rPr>
                <w:b/>
                <w:spacing w:val="-4"/>
                <w:sz w:val="18"/>
              </w:rPr>
              <w:t> </w:t>
            </w:r>
            <w:r>
              <w:rPr>
                <w:b/>
                <w:sz w:val="18"/>
              </w:rPr>
              <w:t>medir</w:t>
            </w:r>
            <w:r>
              <w:rPr>
                <w:b/>
                <w:spacing w:val="-3"/>
                <w:sz w:val="18"/>
              </w:rPr>
              <w:t> </w:t>
            </w:r>
            <w:r>
              <w:rPr>
                <w:b/>
                <w:sz w:val="18"/>
              </w:rPr>
              <w:t>el cumplimiento de</w:t>
            </w:r>
            <w:r>
              <w:rPr>
                <w:b/>
                <w:spacing w:val="-4"/>
                <w:sz w:val="18"/>
              </w:rPr>
              <w:t> </w:t>
            </w:r>
            <w:r>
              <w:rPr>
                <w:b/>
                <w:sz w:val="18"/>
              </w:rPr>
              <w:t>las</w:t>
            </w:r>
            <w:r>
              <w:rPr>
                <w:b/>
                <w:spacing w:val="-9"/>
                <w:sz w:val="18"/>
              </w:rPr>
              <w:t> </w:t>
            </w:r>
            <w:r>
              <w:rPr>
                <w:b/>
                <w:sz w:val="18"/>
              </w:rPr>
              <w:t>metas de</w:t>
            </w:r>
            <w:r>
              <w:rPr>
                <w:b/>
                <w:spacing w:val="-4"/>
                <w:sz w:val="18"/>
              </w:rPr>
              <w:t> </w:t>
            </w:r>
            <w:r>
              <w:rPr>
                <w:b/>
                <w:sz w:val="18"/>
              </w:rPr>
              <w:t>cada uno</w:t>
            </w:r>
            <w:r>
              <w:rPr>
                <w:b/>
                <w:spacing w:val="-5"/>
                <w:sz w:val="18"/>
              </w:rPr>
              <w:t> </w:t>
            </w:r>
            <w:r>
              <w:rPr>
                <w:b/>
                <w:sz w:val="18"/>
              </w:rPr>
              <w:t>de</w:t>
            </w:r>
            <w:r>
              <w:rPr>
                <w:b/>
                <w:spacing w:val="-4"/>
                <w:sz w:val="18"/>
              </w:rPr>
              <w:t> </w:t>
            </w:r>
            <w:r>
              <w:rPr>
                <w:b/>
                <w:sz w:val="18"/>
              </w:rPr>
              <w:t>los procesos institucionales. E1 AE3 R4 (60%)</w:t>
            </w:r>
          </w:p>
        </w:tc>
      </w:tr>
      <w:tr>
        <w:trPr>
          <w:trHeight w:val="1771" w:hRule="atLeast"/>
        </w:trPr>
        <w:tc>
          <w:tcPr>
            <w:tcW w:w="3193" w:type="dxa"/>
          </w:tcPr>
          <w:p>
            <w:pPr>
              <w:pStyle w:val="TableParagraph"/>
              <w:spacing w:before="157"/>
              <w:rPr>
                <w:b/>
                <w:sz w:val="18"/>
              </w:rPr>
            </w:pPr>
          </w:p>
          <w:p>
            <w:pPr>
              <w:pStyle w:val="TableParagraph"/>
              <w:ind w:left="72"/>
              <w:rPr>
                <w:sz w:val="18"/>
              </w:rPr>
            </w:pPr>
            <w:r>
              <w:rPr>
                <w:b/>
                <w:sz w:val="18"/>
              </w:rPr>
              <w:t>Actividad PAC 2.69.1: </w:t>
            </w:r>
            <w:r>
              <w:rPr>
                <w:sz w:val="18"/>
              </w:rPr>
              <w:t>Identificar y diseñar</w:t>
            </w:r>
            <w:r>
              <w:rPr>
                <w:spacing w:val="-7"/>
                <w:sz w:val="18"/>
              </w:rPr>
              <w:t> </w:t>
            </w:r>
            <w:r>
              <w:rPr>
                <w:sz w:val="18"/>
              </w:rPr>
              <w:t>los</w:t>
            </w:r>
            <w:r>
              <w:rPr>
                <w:spacing w:val="-5"/>
                <w:sz w:val="18"/>
              </w:rPr>
              <w:t> </w:t>
            </w:r>
            <w:r>
              <w:rPr>
                <w:sz w:val="18"/>
              </w:rPr>
              <w:t>indicadores</w:t>
            </w:r>
            <w:r>
              <w:rPr>
                <w:spacing w:val="-5"/>
                <w:sz w:val="18"/>
              </w:rPr>
              <w:t> </w:t>
            </w:r>
            <w:r>
              <w:rPr>
                <w:sz w:val="18"/>
              </w:rPr>
              <w:t>de</w:t>
            </w:r>
            <w:r>
              <w:rPr>
                <w:spacing w:val="-8"/>
                <w:sz w:val="18"/>
              </w:rPr>
              <w:t> </w:t>
            </w:r>
            <w:r>
              <w:rPr>
                <w:sz w:val="18"/>
              </w:rPr>
              <w:t>gestión</w:t>
            </w:r>
            <w:r>
              <w:rPr>
                <w:spacing w:val="-9"/>
                <w:sz w:val="18"/>
              </w:rPr>
              <w:t> </w:t>
            </w:r>
            <w:r>
              <w:rPr>
                <w:sz w:val="18"/>
              </w:rPr>
              <w:t>por procesos para cada una de las unidades con relaciones funcionales </w:t>
            </w:r>
            <w:r>
              <w:rPr>
                <w:spacing w:val="-2"/>
                <w:sz w:val="18"/>
              </w:rPr>
              <w:t>identificadas</w:t>
            </w:r>
          </w:p>
        </w:tc>
        <w:tc>
          <w:tcPr>
            <w:tcW w:w="1354" w:type="dxa"/>
          </w:tcPr>
          <w:p>
            <w:pPr>
              <w:pStyle w:val="TableParagraph"/>
              <w:spacing w:before="157"/>
              <w:ind w:left="105" w:right="91" w:firstLine="2"/>
              <w:jc w:val="center"/>
              <w:rPr>
                <w:sz w:val="18"/>
              </w:rPr>
            </w:pPr>
            <w:r>
              <w:rPr>
                <w:sz w:val="18"/>
              </w:rPr>
              <w:t>Cantidad de unidades con </w:t>
            </w:r>
            <w:r>
              <w:rPr>
                <w:spacing w:val="-2"/>
                <w:sz w:val="18"/>
              </w:rPr>
              <w:t>indicadores identificados </w:t>
            </w:r>
            <w:r>
              <w:rPr>
                <w:sz w:val="18"/>
              </w:rPr>
              <w:t>de</w:t>
            </w:r>
            <w:r>
              <w:rPr>
                <w:spacing w:val="-15"/>
                <w:sz w:val="18"/>
              </w:rPr>
              <w:t> </w:t>
            </w:r>
            <w:r>
              <w:rPr>
                <w:sz w:val="18"/>
              </w:rPr>
              <w:t>gestión</w:t>
            </w:r>
            <w:r>
              <w:rPr>
                <w:spacing w:val="-12"/>
                <w:sz w:val="18"/>
              </w:rPr>
              <w:t> </w:t>
            </w:r>
            <w:r>
              <w:rPr>
                <w:sz w:val="18"/>
              </w:rPr>
              <w:t>por procesos y </w:t>
            </w:r>
            <w:r>
              <w:rPr>
                <w:spacing w:val="-2"/>
                <w:sz w:val="18"/>
              </w:rPr>
              <w:t>diseñados</w:t>
            </w:r>
          </w:p>
        </w:tc>
        <w:tc>
          <w:tcPr>
            <w:tcW w:w="1354" w:type="dxa"/>
          </w:tcPr>
          <w:p>
            <w:pPr>
              <w:pStyle w:val="TableParagraph"/>
              <w:rPr>
                <w:b/>
                <w:sz w:val="18"/>
              </w:rPr>
            </w:pPr>
          </w:p>
          <w:p>
            <w:pPr>
              <w:pStyle w:val="TableParagraph"/>
              <w:rPr>
                <w:b/>
                <w:sz w:val="18"/>
              </w:rPr>
            </w:pPr>
          </w:p>
          <w:p>
            <w:pPr>
              <w:pStyle w:val="TableParagraph"/>
              <w:spacing w:before="160"/>
              <w:rPr>
                <w:b/>
                <w:sz w:val="18"/>
              </w:rPr>
            </w:pPr>
          </w:p>
          <w:p>
            <w:pPr>
              <w:pStyle w:val="TableParagraph"/>
              <w:spacing w:before="1"/>
              <w:ind w:left="19" w:right="9"/>
              <w:jc w:val="center"/>
              <w:rPr>
                <w:sz w:val="18"/>
              </w:rPr>
            </w:pPr>
            <w:r>
              <w:rPr>
                <w:spacing w:val="-5"/>
                <w:sz w:val="18"/>
              </w:rPr>
              <w:t>10</w:t>
            </w:r>
          </w:p>
        </w:tc>
        <w:tc>
          <w:tcPr>
            <w:tcW w:w="1776" w:type="dxa"/>
          </w:tcPr>
          <w:p>
            <w:pPr>
              <w:pStyle w:val="TableParagraph"/>
              <w:rPr>
                <w:b/>
                <w:sz w:val="18"/>
              </w:rPr>
            </w:pPr>
          </w:p>
          <w:p>
            <w:pPr>
              <w:pStyle w:val="TableParagraph"/>
              <w:spacing w:before="55"/>
              <w:rPr>
                <w:b/>
                <w:sz w:val="18"/>
              </w:rPr>
            </w:pPr>
          </w:p>
          <w:p>
            <w:pPr>
              <w:pStyle w:val="TableParagraph"/>
              <w:ind w:left="67" w:right="60"/>
              <w:rPr>
                <w:sz w:val="18"/>
              </w:rPr>
            </w:pPr>
            <w:r>
              <w:rPr>
                <w:sz w:val="18"/>
              </w:rPr>
              <w:t>Cantidad de unidades</w:t>
            </w:r>
            <w:r>
              <w:rPr>
                <w:spacing w:val="-13"/>
                <w:sz w:val="18"/>
              </w:rPr>
              <w:t> </w:t>
            </w:r>
            <w:r>
              <w:rPr>
                <w:sz w:val="18"/>
              </w:rPr>
              <w:t>con </w:t>
            </w:r>
            <w:r>
              <w:rPr>
                <w:spacing w:val="-2"/>
                <w:sz w:val="18"/>
              </w:rPr>
              <w:t>indicadores diseñados</w:t>
            </w:r>
          </w:p>
        </w:tc>
        <w:tc>
          <w:tcPr>
            <w:tcW w:w="1483" w:type="dxa"/>
          </w:tcPr>
          <w:p>
            <w:pPr>
              <w:pStyle w:val="TableParagraph"/>
              <w:rPr>
                <w:b/>
                <w:sz w:val="18"/>
              </w:rPr>
            </w:pPr>
          </w:p>
          <w:p>
            <w:pPr>
              <w:pStyle w:val="TableParagraph"/>
              <w:spacing w:before="161"/>
              <w:rPr>
                <w:b/>
                <w:sz w:val="18"/>
              </w:rPr>
            </w:pPr>
          </w:p>
          <w:p>
            <w:pPr>
              <w:pStyle w:val="TableParagraph"/>
              <w:ind w:left="67"/>
              <w:rPr>
                <w:sz w:val="18"/>
              </w:rPr>
            </w:pPr>
            <w:r>
              <w:rPr>
                <w:sz w:val="18"/>
              </w:rPr>
              <w:t>Documento</w:t>
            </w:r>
            <w:r>
              <w:rPr>
                <w:spacing w:val="-13"/>
                <w:sz w:val="18"/>
              </w:rPr>
              <w:t> </w:t>
            </w:r>
            <w:r>
              <w:rPr>
                <w:sz w:val="18"/>
              </w:rPr>
              <w:t>con los indicadores </w:t>
            </w:r>
            <w:r>
              <w:rPr>
                <w:spacing w:val="-2"/>
                <w:sz w:val="18"/>
              </w:rPr>
              <w:t>diseñados</w:t>
            </w:r>
          </w:p>
        </w:tc>
        <w:tc>
          <w:tcPr>
            <w:tcW w:w="1296" w:type="dxa"/>
          </w:tcPr>
          <w:p>
            <w:pPr>
              <w:pStyle w:val="TableParagraph"/>
              <w:rPr>
                <w:b/>
                <w:sz w:val="18"/>
              </w:rPr>
            </w:pPr>
          </w:p>
          <w:p>
            <w:pPr>
              <w:pStyle w:val="TableParagraph"/>
              <w:rPr>
                <w:b/>
                <w:sz w:val="18"/>
              </w:rPr>
            </w:pPr>
          </w:p>
          <w:p>
            <w:pPr>
              <w:pStyle w:val="TableParagraph"/>
              <w:spacing w:before="55"/>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ind w:left="74" w:right="112"/>
              <w:rPr>
                <w:sz w:val="18"/>
              </w:rPr>
            </w:pPr>
            <w:r>
              <w:rPr>
                <w:sz w:val="18"/>
              </w:rPr>
              <w:t>Evento: Contar con indicadores de gestión por procesos que no están</w:t>
            </w:r>
            <w:r>
              <w:rPr>
                <w:spacing w:val="-11"/>
                <w:sz w:val="18"/>
              </w:rPr>
              <w:t> </w:t>
            </w:r>
            <w:r>
              <w:rPr>
                <w:sz w:val="18"/>
              </w:rPr>
              <w:t>alineados</w:t>
            </w:r>
            <w:r>
              <w:rPr>
                <w:spacing w:val="-11"/>
                <w:sz w:val="18"/>
              </w:rPr>
              <w:t> </w:t>
            </w:r>
            <w:r>
              <w:rPr>
                <w:sz w:val="18"/>
              </w:rPr>
              <w:t>con</w:t>
            </w:r>
            <w:r>
              <w:rPr>
                <w:spacing w:val="-11"/>
                <w:sz w:val="18"/>
              </w:rPr>
              <w:t> </w:t>
            </w:r>
            <w:r>
              <w:rPr>
                <w:sz w:val="18"/>
              </w:rPr>
              <w:t>los objetivos y metas de cada uno de los procesos a nivel </w:t>
            </w:r>
            <w:r>
              <w:rPr>
                <w:spacing w:val="-2"/>
                <w:sz w:val="18"/>
              </w:rPr>
              <w:t>institucional.</w:t>
            </w:r>
          </w:p>
        </w:tc>
      </w:tr>
      <w:tr>
        <w:trPr>
          <w:trHeight w:val="1094" w:hRule="atLeast"/>
        </w:trPr>
        <w:tc>
          <w:tcPr>
            <w:tcW w:w="3193" w:type="dxa"/>
          </w:tcPr>
          <w:p>
            <w:pPr>
              <w:pStyle w:val="TableParagraph"/>
              <w:spacing w:before="133"/>
              <w:ind w:left="72" w:right="135"/>
              <w:rPr>
                <w:sz w:val="18"/>
              </w:rPr>
            </w:pPr>
            <w:r>
              <w:rPr>
                <w:b/>
                <w:sz w:val="18"/>
              </w:rPr>
              <w:t>Actividad</w:t>
            </w:r>
            <w:r>
              <w:rPr>
                <w:b/>
                <w:spacing w:val="-13"/>
                <w:sz w:val="18"/>
              </w:rPr>
              <w:t> </w:t>
            </w:r>
            <w:r>
              <w:rPr>
                <w:b/>
                <w:sz w:val="18"/>
              </w:rPr>
              <w:t>PAC</w:t>
            </w:r>
            <w:r>
              <w:rPr>
                <w:b/>
                <w:spacing w:val="-12"/>
                <w:sz w:val="18"/>
              </w:rPr>
              <w:t> </w:t>
            </w:r>
            <w:r>
              <w:rPr>
                <w:b/>
                <w:sz w:val="18"/>
              </w:rPr>
              <w:t>2.69.2</w:t>
            </w:r>
            <w:r>
              <w:rPr>
                <w:sz w:val="18"/>
              </w:rPr>
              <w:t>:</w:t>
            </w:r>
            <w:r>
              <w:rPr>
                <w:spacing w:val="-8"/>
                <w:sz w:val="18"/>
              </w:rPr>
              <w:t> </w:t>
            </w:r>
            <w:r>
              <w:rPr>
                <w:sz w:val="18"/>
              </w:rPr>
              <w:t>Elaborar fichas de descripción de los indicadores en conjunto con las unidades identificadas</w:t>
            </w:r>
          </w:p>
        </w:tc>
        <w:tc>
          <w:tcPr>
            <w:tcW w:w="1354" w:type="dxa"/>
          </w:tcPr>
          <w:p>
            <w:pPr>
              <w:pStyle w:val="TableParagraph"/>
              <w:spacing w:before="27"/>
              <w:ind w:left="76" w:right="58" w:hanging="6"/>
              <w:jc w:val="center"/>
              <w:rPr>
                <w:sz w:val="18"/>
              </w:rPr>
            </w:pPr>
            <w:r>
              <w:rPr>
                <w:sz w:val="18"/>
              </w:rPr>
              <w:t>Número de fichas de descripción</w:t>
            </w:r>
            <w:r>
              <w:rPr>
                <w:spacing w:val="-13"/>
                <w:sz w:val="18"/>
              </w:rPr>
              <w:t> </w:t>
            </w:r>
            <w:r>
              <w:rPr>
                <w:sz w:val="18"/>
              </w:rPr>
              <w:t>del </w:t>
            </w:r>
            <w:r>
              <w:rPr>
                <w:spacing w:val="-2"/>
                <w:sz w:val="18"/>
              </w:rPr>
              <w:t>indicador elaboradas</w:t>
            </w:r>
          </w:p>
        </w:tc>
        <w:tc>
          <w:tcPr>
            <w:tcW w:w="1354" w:type="dxa"/>
          </w:tcPr>
          <w:p>
            <w:pPr>
              <w:pStyle w:val="TableParagraph"/>
              <w:rPr>
                <w:b/>
                <w:sz w:val="18"/>
              </w:rPr>
            </w:pPr>
          </w:p>
          <w:p>
            <w:pPr>
              <w:pStyle w:val="TableParagraph"/>
              <w:spacing w:before="26"/>
              <w:rPr>
                <w:b/>
                <w:sz w:val="18"/>
              </w:rPr>
            </w:pPr>
          </w:p>
          <w:p>
            <w:pPr>
              <w:pStyle w:val="TableParagraph"/>
              <w:ind w:left="19" w:right="9"/>
              <w:jc w:val="center"/>
              <w:rPr>
                <w:sz w:val="18"/>
              </w:rPr>
            </w:pPr>
            <w:r>
              <w:rPr>
                <w:spacing w:val="-5"/>
                <w:sz w:val="18"/>
              </w:rPr>
              <w:t>10</w:t>
            </w:r>
          </w:p>
        </w:tc>
        <w:tc>
          <w:tcPr>
            <w:tcW w:w="1776" w:type="dxa"/>
          </w:tcPr>
          <w:p>
            <w:pPr>
              <w:pStyle w:val="TableParagraph"/>
              <w:spacing w:before="132"/>
              <w:rPr>
                <w:b/>
                <w:sz w:val="18"/>
              </w:rPr>
            </w:pPr>
          </w:p>
          <w:p>
            <w:pPr>
              <w:pStyle w:val="TableParagraph"/>
              <w:ind w:left="67"/>
              <w:rPr>
                <w:sz w:val="18"/>
              </w:rPr>
            </w:pPr>
            <w:r>
              <w:rPr>
                <w:sz w:val="18"/>
              </w:rPr>
              <w:t>Numero</w:t>
            </w:r>
            <w:r>
              <w:rPr>
                <w:spacing w:val="-15"/>
                <w:sz w:val="18"/>
              </w:rPr>
              <w:t> </w:t>
            </w:r>
            <w:r>
              <w:rPr>
                <w:sz w:val="18"/>
              </w:rPr>
              <w:t>de</w:t>
            </w:r>
            <w:r>
              <w:rPr>
                <w:spacing w:val="-12"/>
                <w:sz w:val="18"/>
              </w:rPr>
              <w:t> </w:t>
            </w:r>
            <w:r>
              <w:rPr>
                <w:sz w:val="18"/>
              </w:rPr>
              <w:t>fichas </w:t>
            </w:r>
            <w:r>
              <w:rPr>
                <w:spacing w:val="-2"/>
                <w:sz w:val="18"/>
              </w:rPr>
              <w:t>elaboradas</w:t>
            </w:r>
          </w:p>
        </w:tc>
        <w:tc>
          <w:tcPr>
            <w:tcW w:w="1483" w:type="dxa"/>
          </w:tcPr>
          <w:p>
            <w:pPr>
              <w:pStyle w:val="TableParagraph"/>
              <w:spacing w:before="132"/>
              <w:rPr>
                <w:b/>
                <w:sz w:val="18"/>
              </w:rPr>
            </w:pPr>
          </w:p>
          <w:p>
            <w:pPr>
              <w:pStyle w:val="TableParagraph"/>
              <w:ind w:left="67" w:right="198"/>
              <w:rPr>
                <w:sz w:val="18"/>
              </w:rPr>
            </w:pPr>
            <w:r>
              <w:rPr>
                <w:spacing w:val="-2"/>
                <w:sz w:val="18"/>
              </w:rPr>
              <w:t>Fichas elaboradas</w:t>
            </w:r>
          </w:p>
        </w:tc>
        <w:tc>
          <w:tcPr>
            <w:tcW w:w="1296" w:type="dxa"/>
          </w:tcPr>
          <w:p>
            <w:pPr>
              <w:pStyle w:val="TableParagraph"/>
              <w:spacing w:before="132"/>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897" w:hRule="atLeast"/>
        </w:trPr>
        <w:tc>
          <w:tcPr>
            <w:tcW w:w="3193" w:type="dxa"/>
          </w:tcPr>
          <w:p>
            <w:pPr>
              <w:pStyle w:val="TableParagraph"/>
              <w:spacing w:before="138"/>
              <w:ind w:left="72" w:right="304"/>
              <w:jc w:val="both"/>
              <w:rPr>
                <w:sz w:val="18"/>
              </w:rPr>
            </w:pPr>
            <w:r>
              <w:rPr>
                <w:b/>
                <w:sz w:val="18"/>
              </w:rPr>
              <w:t>Actividad</w:t>
            </w:r>
            <w:r>
              <w:rPr>
                <w:b/>
                <w:spacing w:val="-13"/>
                <w:sz w:val="18"/>
              </w:rPr>
              <w:t> </w:t>
            </w:r>
            <w:r>
              <w:rPr>
                <w:b/>
                <w:sz w:val="18"/>
              </w:rPr>
              <w:t>PAC</w:t>
            </w:r>
            <w:r>
              <w:rPr>
                <w:b/>
                <w:spacing w:val="-9"/>
                <w:sz w:val="18"/>
              </w:rPr>
              <w:t> </w:t>
            </w:r>
            <w:r>
              <w:rPr>
                <w:b/>
                <w:sz w:val="18"/>
              </w:rPr>
              <w:t>2.69.3:</w:t>
            </w:r>
            <w:r>
              <w:rPr>
                <w:b/>
                <w:spacing w:val="-4"/>
                <w:sz w:val="18"/>
              </w:rPr>
              <w:t> </w:t>
            </w:r>
            <w:r>
              <w:rPr>
                <w:sz w:val="18"/>
              </w:rPr>
              <w:t>Validar</w:t>
            </w:r>
            <w:r>
              <w:rPr>
                <w:spacing w:val="-10"/>
                <w:sz w:val="18"/>
              </w:rPr>
              <w:t> </w:t>
            </w:r>
            <w:r>
              <w:rPr>
                <w:sz w:val="18"/>
              </w:rPr>
              <w:t>con las unidades</w:t>
            </w:r>
            <w:r>
              <w:rPr>
                <w:spacing w:val="-1"/>
                <w:sz w:val="18"/>
              </w:rPr>
              <w:t> </w:t>
            </w:r>
            <w:r>
              <w:rPr>
                <w:sz w:val="18"/>
              </w:rPr>
              <w:t>de</w:t>
            </w:r>
            <w:r>
              <w:rPr>
                <w:spacing w:val="-1"/>
                <w:sz w:val="18"/>
              </w:rPr>
              <w:t> </w:t>
            </w:r>
            <w:r>
              <w:rPr>
                <w:sz w:val="18"/>
              </w:rPr>
              <w:t>los</w:t>
            </w:r>
            <w:r>
              <w:rPr>
                <w:spacing w:val="-1"/>
                <w:sz w:val="18"/>
              </w:rPr>
              <w:t> </w:t>
            </w:r>
            <w:r>
              <w:rPr>
                <w:sz w:val="18"/>
              </w:rPr>
              <w:t>indicadores</w:t>
            </w:r>
            <w:r>
              <w:rPr>
                <w:spacing w:val="-1"/>
                <w:sz w:val="18"/>
              </w:rPr>
              <w:t> </w:t>
            </w:r>
            <w:r>
              <w:rPr>
                <w:sz w:val="18"/>
              </w:rPr>
              <w:t>de gestión definidos para cada una</w:t>
            </w:r>
          </w:p>
        </w:tc>
        <w:tc>
          <w:tcPr>
            <w:tcW w:w="1354" w:type="dxa"/>
          </w:tcPr>
          <w:p>
            <w:pPr>
              <w:pStyle w:val="TableParagraph"/>
              <w:spacing w:before="32"/>
              <w:ind w:left="19" w:right="8"/>
              <w:jc w:val="center"/>
              <w:rPr>
                <w:sz w:val="18"/>
              </w:rPr>
            </w:pPr>
            <w:r>
              <w:rPr>
                <w:sz w:val="18"/>
              </w:rPr>
              <w:t>Porcentaje</w:t>
            </w:r>
            <w:r>
              <w:rPr>
                <w:spacing w:val="-13"/>
                <w:sz w:val="18"/>
              </w:rPr>
              <w:t> </w:t>
            </w:r>
            <w:r>
              <w:rPr>
                <w:sz w:val="18"/>
              </w:rPr>
              <w:t>de unidades con </w:t>
            </w:r>
            <w:r>
              <w:rPr>
                <w:spacing w:val="-2"/>
                <w:sz w:val="18"/>
              </w:rPr>
              <w:t>indicadores validados</w:t>
            </w:r>
          </w:p>
        </w:tc>
        <w:tc>
          <w:tcPr>
            <w:tcW w:w="1354" w:type="dxa"/>
          </w:tcPr>
          <w:p>
            <w:pPr>
              <w:pStyle w:val="TableParagraph"/>
              <w:spacing w:before="137"/>
              <w:rPr>
                <w:b/>
                <w:sz w:val="18"/>
              </w:rPr>
            </w:pPr>
          </w:p>
          <w:p>
            <w:pPr>
              <w:pStyle w:val="TableParagraph"/>
              <w:ind w:left="19" w:right="7"/>
              <w:jc w:val="center"/>
              <w:rPr>
                <w:sz w:val="18"/>
              </w:rPr>
            </w:pPr>
            <w:r>
              <w:rPr>
                <w:spacing w:val="-4"/>
                <w:sz w:val="18"/>
              </w:rPr>
              <w:t>100%</w:t>
            </w:r>
          </w:p>
        </w:tc>
        <w:tc>
          <w:tcPr>
            <w:tcW w:w="1776" w:type="dxa"/>
          </w:tcPr>
          <w:p>
            <w:pPr>
              <w:pStyle w:val="TableParagraph"/>
              <w:spacing w:before="138"/>
              <w:ind w:left="67" w:right="583"/>
              <w:jc w:val="both"/>
              <w:rPr>
                <w:sz w:val="18"/>
              </w:rPr>
            </w:pPr>
            <w:r>
              <w:rPr>
                <w:sz w:val="18"/>
              </w:rPr>
              <w:t>Porcentaje</w:t>
            </w:r>
            <w:r>
              <w:rPr>
                <w:spacing w:val="-13"/>
                <w:sz w:val="18"/>
              </w:rPr>
              <w:t> </w:t>
            </w:r>
            <w:r>
              <w:rPr>
                <w:sz w:val="18"/>
              </w:rPr>
              <w:t>de unidades</w:t>
            </w:r>
            <w:r>
              <w:rPr>
                <w:spacing w:val="-6"/>
                <w:sz w:val="18"/>
              </w:rPr>
              <w:t> </w:t>
            </w:r>
            <w:r>
              <w:rPr>
                <w:sz w:val="18"/>
              </w:rPr>
              <w:t>que </w:t>
            </w:r>
            <w:r>
              <w:rPr>
                <w:spacing w:val="-2"/>
                <w:sz w:val="18"/>
              </w:rPr>
              <w:t>validan</w:t>
            </w:r>
          </w:p>
        </w:tc>
        <w:tc>
          <w:tcPr>
            <w:tcW w:w="1483" w:type="dxa"/>
          </w:tcPr>
          <w:p>
            <w:pPr>
              <w:pStyle w:val="TableParagraph"/>
              <w:spacing w:before="32"/>
              <w:ind w:left="67" w:right="68"/>
              <w:rPr>
                <w:sz w:val="18"/>
              </w:rPr>
            </w:pPr>
            <w:r>
              <w:rPr>
                <w:sz w:val="18"/>
              </w:rPr>
              <w:t>Minutas de sesiones de trabajo</w:t>
            </w:r>
            <w:r>
              <w:rPr>
                <w:spacing w:val="-15"/>
                <w:sz w:val="18"/>
              </w:rPr>
              <w:t> </w:t>
            </w:r>
            <w:r>
              <w:rPr>
                <w:sz w:val="18"/>
              </w:rPr>
              <w:t>y</w:t>
            </w:r>
            <w:r>
              <w:rPr>
                <w:spacing w:val="-12"/>
                <w:sz w:val="18"/>
              </w:rPr>
              <w:t> </w:t>
            </w:r>
            <w:r>
              <w:rPr>
                <w:sz w:val="18"/>
              </w:rPr>
              <w:t>oficios de validación</w:t>
            </w:r>
          </w:p>
        </w:tc>
        <w:tc>
          <w:tcPr>
            <w:tcW w:w="1296" w:type="dxa"/>
          </w:tcPr>
          <w:p>
            <w:pPr>
              <w:pStyle w:val="TableParagraph"/>
              <w:spacing w:before="137"/>
              <w:rPr>
                <w:b/>
                <w:sz w:val="18"/>
              </w:rPr>
            </w:pPr>
          </w:p>
          <w:p>
            <w:pPr>
              <w:pStyle w:val="TableParagraph"/>
              <w:ind w:left="72"/>
              <w:rPr>
                <w:sz w:val="18"/>
              </w:rPr>
            </w:pPr>
            <w:r>
              <w:rPr>
                <w:spacing w:val="-2"/>
                <w:sz w:val="18"/>
              </w:rPr>
              <w:t>Fabricio</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662" w:hRule="atLeast"/>
        </w:trPr>
        <w:tc>
          <w:tcPr>
            <w:tcW w:w="14598" w:type="dxa"/>
            <w:gridSpan w:val="8"/>
            <w:shd w:val="clear" w:color="auto" w:fill="EFF8F9"/>
          </w:tcPr>
          <w:p>
            <w:pPr>
              <w:pStyle w:val="TableParagraph"/>
              <w:spacing w:before="22"/>
              <w:rPr>
                <w:b/>
                <w:sz w:val="18"/>
              </w:rPr>
            </w:pPr>
          </w:p>
          <w:p>
            <w:pPr>
              <w:pStyle w:val="TableParagraph"/>
              <w:ind w:left="72"/>
              <w:rPr>
                <w:b/>
                <w:sz w:val="18"/>
              </w:rPr>
            </w:pPr>
            <w:r>
              <w:rPr>
                <w:b/>
                <w:sz w:val="18"/>
              </w:rPr>
              <w:t>Producto</w:t>
            </w:r>
            <w:r>
              <w:rPr>
                <w:b/>
                <w:spacing w:val="-8"/>
                <w:sz w:val="18"/>
              </w:rPr>
              <w:t> </w:t>
            </w:r>
            <w:r>
              <w:rPr>
                <w:b/>
                <w:sz w:val="18"/>
              </w:rPr>
              <w:t>PAC</w:t>
            </w:r>
            <w:r>
              <w:rPr>
                <w:b/>
                <w:spacing w:val="-8"/>
                <w:sz w:val="18"/>
              </w:rPr>
              <w:t> </w:t>
            </w:r>
            <w:r>
              <w:rPr>
                <w:b/>
                <w:sz w:val="18"/>
              </w:rPr>
              <w:t>2.70:</w:t>
            </w:r>
            <w:r>
              <w:rPr>
                <w:b/>
                <w:spacing w:val="-4"/>
                <w:sz w:val="18"/>
              </w:rPr>
              <w:t> </w:t>
            </w:r>
            <w:r>
              <w:rPr>
                <w:b/>
                <w:sz w:val="18"/>
              </w:rPr>
              <w:t>Personas</w:t>
            </w:r>
            <w:r>
              <w:rPr>
                <w:b/>
                <w:spacing w:val="-6"/>
                <w:sz w:val="18"/>
              </w:rPr>
              <w:t> </w:t>
            </w:r>
            <w:r>
              <w:rPr>
                <w:b/>
                <w:sz w:val="18"/>
              </w:rPr>
              <w:t>funcionarias</w:t>
            </w:r>
            <w:r>
              <w:rPr>
                <w:b/>
                <w:spacing w:val="-6"/>
                <w:sz w:val="18"/>
              </w:rPr>
              <w:t> </w:t>
            </w:r>
            <w:r>
              <w:rPr>
                <w:b/>
                <w:sz w:val="18"/>
              </w:rPr>
              <w:t>de</w:t>
            </w:r>
            <w:r>
              <w:rPr>
                <w:b/>
                <w:spacing w:val="-7"/>
                <w:sz w:val="18"/>
              </w:rPr>
              <w:t> </w:t>
            </w:r>
            <w:r>
              <w:rPr>
                <w:b/>
                <w:sz w:val="18"/>
              </w:rPr>
              <w:t>la</w:t>
            </w:r>
            <w:r>
              <w:rPr>
                <w:b/>
                <w:spacing w:val="-6"/>
                <w:sz w:val="18"/>
              </w:rPr>
              <w:t> </w:t>
            </w:r>
            <w:r>
              <w:rPr>
                <w:b/>
                <w:sz w:val="18"/>
              </w:rPr>
              <w:t>institución</w:t>
            </w:r>
            <w:r>
              <w:rPr>
                <w:b/>
                <w:spacing w:val="-2"/>
                <w:sz w:val="18"/>
              </w:rPr>
              <w:t> </w:t>
            </w:r>
            <w:r>
              <w:rPr>
                <w:b/>
                <w:sz w:val="18"/>
              </w:rPr>
              <w:t>capacitadas</w:t>
            </w:r>
            <w:r>
              <w:rPr>
                <w:b/>
                <w:spacing w:val="-6"/>
                <w:sz w:val="18"/>
              </w:rPr>
              <w:t> </w:t>
            </w:r>
            <w:r>
              <w:rPr>
                <w:b/>
                <w:sz w:val="18"/>
              </w:rPr>
              <w:t>y</w:t>
            </w:r>
            <w:r>
              <w:rPr>
                <w:b/>
                <w:spacing w:val="-7"/>
                <w:sz w:val="18"/>
              </w:rPr>
              <w:t> </w:t>
            </w:r>
            <w:r>
              <w:rPr>
                <w:b/>
                <w:sz w:val="18"/>
              </w:rPr>
              <w:t>aplicando</w:t>
            </w:r>
            <w:r>
              <w:rPr>
                <w:b/>
                <w:spacing w:val="-10"/>
                <w:sz w:val="18"/>
              </w:rPr>
              <w:t> </w:t>
            </w:r>
            <w:r>
              <w:rPr>
                <w:b/>
                <w:sz w:val="18"/>
              </w:rPr>
              <w:t>la</w:t>
            </w:r>
            <w:r>
              <w:rPr>
                <w:b/>
                <w:spacing w:val="-7"/>
                <w:sz w:val="18"/>
              </w:rPr>
              <w:t> </w:t>
            </w:r>
            <w:r>
              <w:rPr>
                <w:b/>
                <w:sz w:val="18"/>
              </w:rPr>
              <w:t>metodología</w:t>
            </w:r>
            <w:r>
              <w:rPr>
                <w:b/>
                <w:spacing w:val="-6"/>
                <w:sz w:val="18"/>
              </w:rPr>
              <w:t> </w:t>
            </w:r>
            <w:r>
              <w:rPr>
                <w:b/>
                <w:sz w:val="18"/>
              </w:rPr>
              <w:t>de</w:t>
            </w:r>
            <w:r>
              <w:rPr>
                <w:b/>
                <w:spacing w:val="-6"/>
                <w:sz w:val="18"/>
              </w:rPr>
              <w:t> </w:t>
            </w:r>
            <w:r>
              <w:rPr>
                <w:b/>
                <w:sz w:val="18"/>
              </w:rPr>
              <w:t>gestión</w:t>
            </w:r>
            <w:r>
              <w:rPr>
                <w:b/>
                <w:spacing w:val="-3"/>
                <w:sz w:val="18"/>
              </w:rPr>
              <w:t> </w:t>
            </w:r>
            <w:r>
              <w:rPr>
                <w:b/>
                <w:sz w:val="18"/>
              </w:rPr>
              <w:t>por procesos. E1</w:t>
            </w:r>
            <w:r>
              <w:rPr>
                <w:b/>
                <w:spacing w:val="8"/>
                <w:sz w:val="18"/>
              </w:rPr>
              <w:t> </w:t>
            </w:r>
            <w:r>
              <w:rPr>
                <w:b/>
                <w:sz w:val="18"/>
              </w:rPr>
              <w:t>AE3</w:t>
            </w:r>
            <w:r>
              <w:rPr>
                <w:b/>
                <w:spacing w:val="-6"/>
                <w:sz w:val="18"/>
              </w:rPr>
              <w:t> </w:t>
            </w:r>
            <w:r>
              <w:rPr>
                <w:b/>
                <w:sz w:val="18"/>
              </w:rPr>
              <w:t>R5</w:t>
            </w:r>
            <w:r>
              <w:rPr>
                <w:b/>
                <w:spacing w:val="-6"/>
                <w:sz w:val="18"/>
              </w:rPr>
              <w:t> </w:t>
            </w:r>
            <w:r>
              <w:rPr>
                <w:b/>
                <w:spacing w:val="-2"/>
                <w:sz w:val="18"/>
              </w:rPr>
              <w:t>(60%)</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694" w:hRule="atLeast"/>
        </w:trPr>
        <w:tc>
          <w:tcPr>
            <w:tcW w:w="3193" w:type="dxa"/>
          </w:tcPr>
          <w:p>
            <w:pPr>
              <w:pStyle w:val="TableParagraph"/>
              <w:spacing w:before="17"/>
              <w:rPr>
                <w:b/>
                <w:sz w:val="18"/>
              </w:rPr>
            </w:pPr>
          </w:p>
          <w:p>
            <w:pPr>
              <w:pStyle w:val="TableParagraph"/>
              <w:ind w:left="72"/>
              <w:rPr>
                <w:sz w:val="18"/>
              </w:rPr>
            </w:pPr>
            <w:r>
              <w:rPr>
                <w:b/>
                <w:sz w:val="18"/>
              </w:rPr>
              <w:t>Actividad</w:t>
            </w:r>
            <w:r>
              <w:rPr>
                <w:b/>
                <w:spacing w:val="-13"/>
                <w:sz w:val="18"/>
              </w:rPr>
              <w:t> </w:t>
            </w:r>
            <w:r>
              <w:rPr>
                <w:b/>
                <w:sz w:val="18"/>
              </w:rPr>
              <w:t>PAC</w:t>
            </w:r>
            <w:r>
              <w:rPr>
                <w:b/>
                <w:spacing w:val="-9"/>
                <w:sz w:val="18"/>
              </w:rPr>
              <w:t> </w:t>
            </w:r>
            <w:r>
              <w:rPr>
                <w:b/>
                <w:sz w:val="18"/>
              </w:rPr>
              <w:t>2.70.1:</w:t>
            </w:r>
            <w:r>
              <w:rPr>
                <w:b/>
                <w:spacing w:val="-4"/>
                <w:sz w:val="18"/>
              </w:rPr>
              <w:t> </w:t>
            </w:r>
            <w:r>
              <w:rPr>
                <w:sz w:val="18"/>
              </w:rPr>
              <w:t>Coordinar</w:t>
            </w:r>
            <w:r>
              <w:rPr>
                <w:spacing w:val="-10"/>
                <w:sz w:val="18"/>
              </w:rPr>
              <w:t> </w:t>
            </w:r>
            <w:r>
              <w:rPr>
                <w:sz w:val="18"/>
              </w:rPr>
              <w:t>con DH el diseño del módulo de capacitación en la metodología de gestión por procesos, dentro de la herramienta de autoaprendizaje del </w:t>
            </w:r>
            <w:r>
              <w:rPr>
                <w:spacing w:val="-4"/>
                <w:sz w:val="18"/>
              </w:rPr>
              <w:t>IMAS</w:t>
            </w:r>
          </w:p>
        </w:tc>
        <w:tc>
          <w:tcPr>
            <w:tcW w:w="1354" w:type="dxa"/>
          </w:tcPr>
          <w:p>
            <w:pPr>
              <w:pStyle w:val="TableParagraph"/>
              <w:rPr>
                <w:b/>
                <w:sz w:val="18"/>
              </w:rPr>
            </w:pPr>
          </w:p>
          <w:p>
            <w:pPr>
              <w:pStyle w:val="TableParagraph"/>
              <w:rPr>
                <w:b/>
                <w:sz w:val="18"/>
              </w:rPr>
            </w:pPr>
          </w:p>
          <w:p>
            <w:pPr>
              <w:pStyle w:val="TableParagraph"/>
              <w:spacing w:before="122"/>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122"/>
              <w:rPr>
                <w:b/>
                <w:sz w:val="18"/>
              </w:rPr>
            </w:pPr>
          </w:p>
          <w:p>
            <w:pPr>
              <w:pStyle w:val="TableParagraph"/>
              <w:ind w:left="19" w:right="2"/>
              <w:jc w:val="center"/>
              <w:rPr>
                <w:sz w:val="18"/>
              </w:rPr>
            </w:pPr>
            <w:r>
              <w:rPr>
                <w:spacing w:val="-5"/>
                <w:sz w:val="18"/>
              </w:rPr>
              <w:t>60%</w:t>
            </w:r>
          </w:p>
        </w:tc>
        <w:tc>
          <w:tcPr>
            <w:tcW w:w="1776" w:type="dxa"/>
          </w:tcPr>
          <w:p>
            <w:pPr>
              <w:pStyle w:val="TableParagraph"/>
              <w:rPr>
                <w:b/>
                <w:sz w:val="18"/>
              </w:rPr>
            </w:pPr>
          </w:p>
          <w:p>
            <w:pPr>
              <w:pStyle w:val="TableParagraph"/>
              <w:spacing w:before="17"/>
              <w:rPr>
                <w:b/>
                <w:sz w:val="18"/>
              </w:rPr>
            </w:pPr>
          </w:p>
          <w:p>
            <w:pPr>
              <w:pStyle w:val="TableParagraph"/>
              <w:spacing w:line="242" w:lineRule="auto"/>
              <w:ind w:left="67" w:right="60"/>
              <w:rPr>
                <w:sz w:val="18"/>
              </w:rPr>
            </w:pPr>
            <w:r>
              <w:rPr>
                <w:sz w:val="18"/>
              </w:rPr>
              <w:t>Porcentaje de avance</w:t>
            </w:r>
            <w:r>
              <w:rPr>
                <w:spacing w:val="-11"/>
                <w:sz w:val="18"/>
              </w:rPr>
              <w:t> </w:t>
            </w:r>
            <w:r>
              <w:rPr>
                <w:sz w:val="18"/>
              </w:rPr>
              <w:t>en</w:t>
            </w:r>
            <w:r>
              <w:rPr>
                <w:spacing w:val="-11"/>
                <w:sz w:val="18"/>
              </w:rPr>
              <w:t> </w:t>
            </w:r>
            <w:r>
              <w:rPr>
                <w:sz w:val="18"/>
              </w:rPr>
              <w:t>el</w:t>
            </w:r>
            <w:r>
              <w:rPr>
                <w:spacing w:val="-9"/>
                <w:sz w:val="18"/>
              </w:rPr>
              <w:t> </w:t>
            </w:r>
            <w:r>
              <w:rPr>
                <w:sz w:val="18"/>
              </w:rPr>
              <w:t>diseño del módulo de </w:t>
            </w:r>
            <w:r>
              <w:rPr>
                <w:spacing w:val="-2"/>
                <w:sz w:val="18"/>
              </w:rPr>
              <w:t>capacitación</w:t>
            </w:r>
          </w:p>
        </w:tc>
        <w:tc>
          <w:tcPr>
            <w:tcW w:w="1483" w:type="dxa"/>
          </w:tcPr>
          <w:p>
            <w:pPr>
              <w:pStyle w:val="TableParagraph"/>
              <w:rPr>
                <w:b/>
                <w:sz w:val="18"/>
              </w:rPr>
            </w:pPr>
          </w:p>
          <w:p>
            <w:pPr>
              <w:pStyle w:val="TableParagraph"/>
              <w:spacing w:before="122"/>
              <w:rPr>
                <w:b/>
                <w:sz w:val="18"/>
              </w:rPr>
            </w:pPr>
          </w:p>
          <w:p>
            <w:pPr>
              <w:pStyle w:val="TableParagraph"/>
              <w:ind w:left="67"/>
              <w:rPr>
                <w:sz w:val="18"/>
              </w:rPr>
            </w:pPr>
            <w:r>
              <w:rPr>
                <w:sz w:val="18"/>
              </w:rPr>
              <w:t>Minutas de sesiones de </w:t>
            </w:r>
            <w:r>
              <w:rPr>
                <w:spacing w:val="-2"/>
                <w:sz w:val="18"/>
              </w:rPr>
              <w:t>coordinación</w:t>
            </w:r>
          </w:p>
        </w:tc>
        <w:tc>
          <w:tcPr>
            <w:tcW w:w="1296" w:type="dxa"/>
          </w:tcPr>
          <w:p>
            <w:pPr>
              <w:pStyle w:val="TableParagraph"/>
              <w:rPr>
                <w:b/>
                <w:sz w:val="18"/>
              </w:rPr>
            </w:pPr>
          </w:p>
          <w:p>
            <w:pPr>
              <w:pStyle w:val="TableParagraph"/>
              <w:rPr>
                <w:b/>
                <w:sz w:val="18"/>
              </w:rPr>
            </w:pPr>
          </w:p>
          <w:p>
            <w:pPr>
              <w:pStyle w:val="TableParagraph"/>
              <w:spacing w:before="16"/>
              <w:rPr>
                <w:b/>
                <w:sz w:val="18"/>
              </w:rPr>
            </w:pPr>
          </w:p>
          <w:p>
            <w:pPr>
              <w:pStyle w:val="TableParagraph"/>
              <w:spacing w:line="244" w:lineRule="auto"/>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2"/>
              <w:rPr>
                <w:b/>
                <w:sz w:val="18"/>
              </w:rPr>
            </w:pPr>
          </w:p>
          <w:p>
            <w:pPr>
              <w:pStyle w:val="TableParagraph"/>
              <w:spacing w:before="1"/>
              <w:ind w:left="74"/>
              <w:rPr>
                <w:sz w:val="18"/>
              </w:rPr>
            </w:pPr>
            <w:r>
              <w:rPr>
                <w:sz w:val="18"/>
              </w:rPr>
              <w:t>Evento: Metodología de gestión</w:t>
            </w:r>
            <w:r>
              <w:rPr>
                <w:spacing w:val="-13"/>
                <w:sz w:val="18"/>
              </w:rPr>
              <w:t> </w:t>
            </w:r>
            <w:r>
              <w:rPr>
                <w:sz w:val="18"/>
              </w:rPr>
              <w:t>por</w:t>
            </w:r>
            <w:r>
              <w:rPr>
                <w:spacing w:val="-11"/>
                <w:sz w:val="18"/>
              </w:rPr>
              <w:t> </w:t>
            </w:r>
            <w:r>
              <w:rPr>
                <w:sz w:val="18"/>
              </w:rPr>
              <w:t>procesos</w:t>
            </w:r>
            <w:r>
              <w:rPr>
                <w:spacing w:val="-13"/>
                <w:sz w:val="18"/>
              </w:rPr>
              <w:t> </w:t>
            </w:r>
            <w:r>
              <w:rPr>
                <w:sz w:val="18"/>
              </w:rPr>
              <w:t>sin implementarse</w:t>
            </w:r>
            <w:r>
              <w:rPr>
                <w:spacing w:val="-3"/>
                <w:sz w:val="18"/>
              </w:rPr>
              <w:t> </w:t>
            </w:r>
            <w:r>
              <w:rPr>
                <w:sz w:val="18"/>
              </w:rPr>
              <w:t>debido</w:t>
            </w:r>
            <w:r>
              <w:rPr>
                <w:spacing w:val="-3"/>
                <w:sz w:val="18"/>
              </w:rPr>
              <w:t> </w:t>
            </w:r>
            <w:r>
              <w:rPr>
                <w:sz w:val="18"/>
              </w:rPr>
              <w:t>a que las personas funcionarias no cuenten con la capacitación </w:t>
            </w:r>
            <w:r>
              <w:rPr>
                <w:spacing w:val="-2"/>
                <w:sz w:val="18"/>
              </w:rPr>
              <w:t>necesaria.</w:t>
            </w:r>
          </w:p>
        </w:tc>
      </w:tr>
      <w:tr>
        <w:trPr>
          <w:trHeight w:val="1531" w:hRule="atLeast"/>
        </w:trPr>
        <w:tc>
          <w:tcPr>
            <w:tcW w:w="3193" w:type="dxa"/>
          </w:tcPr>
          <w:p>
            <w:pPr>
              <w:pStyle w:val="TableParagraph"/>
              <w:spacing w:before="41"/>
              <w:rPr>
                <w:b/>
                <w:sz w:val="18"/>
              </w:rPr>
            </w:pPr>
          </w:p>
          <w:p>
            <w:pPr>
              <w:pStyle w:val="TableParagraph"/>
              <w:ind w:left="72" w:right="111"/>
              <w:rPr>
                <w:sz w:val="18"/>
              </w:rPr>
            </w:pPr>
            <w:r>
              <w:rPr>
                <w:b/>
                <w:sz w:val="18"/>
              </w:rPr>
              <w:t>Actividad PAC 2.70.2: </w:t>
            </w:r>
            <w:r>
              <w:rPr>
                <w:sz w:val="18"/>
              </w:rPr>
              <w:t>Desarrollar, en</w:t>
            </w:r>
            <w:r>
              <w:rPr>
                <w:spacing w:val="-5"/>
                <w:sz w:val="18"/>
              </w:rPr>
              <w:t> </w:t>
            </w:r>
            <w:r>
              <w:rPr>
                <w:sz w:val="18"/>
              </w:rPr>
              <w:t>coordinación</w:t>
            </w:r>
            <w:r>
              <w:rPr>
                <w:spacing w:val="-8"/>
                <w:sz w:val="18"/>
              </w:rPr>
              <w:t> </w:t>
            </w:r>
            <w:r>
              <w:rPr>
                <w:sz w:val="18"/>
              </w:rPr>
              <w:t>con</w:t>
            </w:r>
            <w:r>
              <w:rPr>
                <w:spacing w:val="-8"/>
                <w:sz w:val="18"/>
              </w:rPr>
              <w:t> </w:t>
            </w:r>
            <w:r>
              <w:rPr>
                <w:sz w:val="18"/>
              </w:rPr>
              <w:t>DH,</w:t>
            </w:r>
            <w:r>
              <w:rPr>
                <w:spacing w:val="-7"/>
                <w:sz w:val="18"/>
              </w:rPr>
              <w:t> </w:t>
            </w:r>
            <w:r>
              <w:rPr>
                <w:sz w:val="18"/>
              </w:rPr>
              <w:t>los</w:t>
            </w:r>
            <w:r>
              <w:rPr>
                <w:spacing w:val="-8"/>
                <w:sz w:val="18"/>
              </w:rPr>
              <w:t> </w:t>
            </w:r>
            <w:r>
              <w:rPr>
                <w:sz w:val="18"/>
              </w:rPr>
              <w:t>módulos de</w:t>
            </w:r>
            <w:r>
              <w:rPr>
                <w:spacing w:val="-6"/>
                <w:sz w:val="18"/>
              </w:rPr>
              <w:t> </w:t>
            </w:r>
            <w:r>
              <w:rPr>
                <w:sz w:val="18"/>
              </w:rPr>
              <w:t>capacitación</w:t>
            </w:r>
            <w:r>
              <w:rPr>
                <w:spacing w:val="-10"/>
                <w:sz w:val="18"/>
              </w:rPr>
              <w:t> </w:t>
            </w:r>
            <w:r>
              <w:rPr>
                <w:sz w:val="18"/>
              </w:rPr>
              <w:t>sobre</w:t>
            </w:r>
            <w:r>
              <w:rPr>
                <w:spacing w:val="-10"/>
                <w:sz w:val="18"/>
              </w:rPr>
              <w:t> </w:t>
            </w:r>
            <w:r>
              <w:rPr>
                <w:sz w:val="18"/>
              </w:rPr>
              <w:t>la</w:t>
            </w:r>
            <w:r>
              <w:rPr>
                <w:spacing w:val="-10"/>
                <w:sz w:val="18"/>
              </w:rPr>
              <w:t> </w:t>
            </w:r>
            <w:r>
              <w:rPr>
                <w:sz w:val="18"/>
              </w:rPr>
              <w:t>metodología de gestión a las personas involucradas en esos procesos</w:t>
            </w:r>
          </w:p>
        </w:tc>
        <w:tc>
          <w:tcPr>
            <w:tcW w:w="1354"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19" w:right="9"/>
              <w:jc w:val="center"/>
              <w:rPr>
                <w:sz w:val="18"/>
              </w:rPr>
            </w:pPr>
            <w:r>
              <w:rPr>
                <w:spacing w:val="-5"/>
                <w:sz w:val="18"/>
              </w:rPr>
              <w:t>20</w:t>
            </w:r>
          </w:p>
        </w:tc>
        <w:tc>
          <w:tcPr>
            <w:tcW w:w="1776" w:type="dxa"/>
          </w:tcPr>
          <w:p>
            <w:pPr>
              <w:pStyle w:val="TableParagraph"/>
              <w:spacing w:before="142"/>
              <w:rPr>
                <w:b/>
                <w:sz w:val="18"/>
              </w:rPr>
            </w:pPr>
          </w:p>
          <w:p>
            <w:pPr>
              <w:pStyle w:val="TableParagraph"/>
              <w:spacing w:line="242" w:lineRule="auto"/>
              <w:ind w:left="67" w:right="611"/>
              <w:jc w:val="both"/>
              <w:rPr>
                <w:sz w:val="18"/>
              </w:rPr>
            </w:pPr>
            <w:r>
              <w:rPr>
                <w:sz w:val="18"/>
              </w:rPr>
              <w:t>Cantidad de módulos de </w:t>
            </w:r>
            <w:r>
              <w:rPr>
                <w:spacing w:val="-2"/>
                <w:sz w:val="18"/>
              </w:rPr>
              <w:t>capacitación desarrollados</w:t>
            </w:r>
          </w:p>
        </w:tc>
        <w:tc>
          <w:tcPr>
            <w:tcW w:w="1483" w:type="dxa"/>
          </w:tcPr>
          <w:p>
            <w:pPr>
              <w:pStyle w:val="TableParagraph"/>
              <w:rPr>
                <w:b/>
                <w:sz w:val="18"/>
              </w:rPr>
            </w:pPr>
          </w:p>
          <w:p>
            <w:pPr>
              <w:pStyle w:val="TableParagraph"/>
              <w:spacing w:before="147"/>
              <w:rPr>
                <w:b/>
                <w:sz w:val="18"/>
              </w:rPr>
            </w:pPr>
          </w:p>
          <w:p>
            <w:pPr>
              <w:pStyle w:val="TableParagraph"/>
              <w:ind w:left="67" w:right="198"/>
              <w:rPr>
                <w:sz w:val="18"/>
              </w:rPr>
            </w:pPr>
            <w:r>
              <w:rPr>
                <w:spacing w:val="-2"/>
                <w:sz w:val="18"/>
              </w:rPr>
              <w:t>Módulo diseñado</w:t>
            </w:r>
          </w:p>
        </w:tc>
        <w:tc>
          <w:tcPr>
            <w:tcW w:w="1296" w:type="dxa"/>
          </w:tcPr>
          <w:p>
            <w:pPr>
              <w:pStyle w:val="TableParagraph"/>
              <w:rPr>
                <w:b/>
                <w:sz w:val="18"/>
              </w:rPr>
            </w:pPr>
          </w:p>
          <w:p>
            <w:pPr>
              <w:pStyle w:val="TableParagraph"/>
              <w:spacing w:before="147"/>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449" w:hRule="atLeast"/>
        </w:trPr>
        <w:tc>
          <w:tcPr>
            <w:tcW w:w="3193" w:type="dxa"/>
          </w:tcPr>
          <w:p>
            <w:pPr>
              <w:pStyle w:val="TableParagraph"/>
              <w:spacing w:before="104"/>
              <w:rPr>
                <w:b/>
                <w:sz w:val="18"/>
              </w:rPr>
            </w:pPr>
          </w:p>
          <w:p>
            <w:pPr>
              <w:pStyle w:val="TableParagraph"/>
              <w:ind w:left="72" w:right="135"/>
              <w:rPr>
                <w:sz w:val="18"/>
              </w:rPr>
            </w:pPr>
            <w:r>
              <w:rPr>
                <w:b/>
                <w:sz w:val="18"/>
              </w:rPr>
              <w:t>Actividad PAC 2.70.3: </w:t>
            </w:r>
            <w:r>
              <w:rPr>
                <w:sz w:val="18"/>
              </w:rPr>
              <w:t>Ejecutar sesiones</w:t>
            </w:r>
            <w:r>
              <w:rPr>
                <w:spacing w:val="-12"/>
                <w:sz w:val="18"/>
              </w:rPr>
              <w:t> </w:t>
            </w:r>
            <w:r>
              <w:rPr>
                <w:sz w:val="18"/>
              </w:rPr>
              <w:t>de</w:t>
            </w:r>
            <w:r>
              <w:rPr>
                <w:spacing w:val="-12"/>
                <w:sz w:val="18"/>
              </w:rPr>
              <w:t> </w:t>
            </w:r>
            <w:r>
              <w:rPr>
                <w:sz w:val="18"/>
              </w:rPr>
              <w:t>capacitación</w:t>
            </w:r>
            <w:r>
              <w:rPr>
                <w:spacing w:val="-12"/>
                <w:sz w:val="18"/>
              </w:rPr>
              <w:t> </w:t>
            </w:r>
            <w:r>
              <w:rPr>
                <w:sz w:val="18"/>
              </w:rPr>
              <w:t>(presencial y autoaprendizaje) según plan de </w:t>
            </w:r>
            <w:r>
              <w:rPr>
                <w:spacing w:val="-2"/>
                <w:sz w:val="18"/>
              </w:rPr>
              <w:t>capacitación</w:t>
            </w:r>
          </w:p>
        </w:tc>
        <w:tc>
          <w:tcPr>
            <w:tcW w:w="1354" w:type="dxa"/>
          </w:tcPr>
          <w:p>
            <w:pPr>
              <w:pStyle w:val="TableParagraph"/>
              <w:rPr>
                <w:b/>
                <w:sz w:val="18"/>
              </w:rPr>
            </w:pPr>
          </w:p>
          <w:p>
            <w:pPr>
              <w:pStyle w:val="TableParagraph"/>
              <w:spacing w:before="204"/>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spacing w:before="204"/>
              <w:rPr>
                <w:b/>
                <w:sz w:val="18"/>
              </w:rPr>
            </w:pPr>
          </w:p>
          <w:p>
            <w:pPr>
              <w:pStyle w:val="TableParagraph"/>
              <w:ind w:left="19" w:right="2"/>
              <w:jc w:val="center"/>
              <w:rPr>
                <w:sz w:val="18"/>
              </w:rPr>
            </w:pPr>
            <w:r>
              <w:rPr>
                <w:spacing w:val="-5"/>
                <w:sz w:val="18"/>
              </w:rPr>
              <w:t>60%</w:t>
            </w:r>
          </w:p>
        </w:tc>
        <w:tc>
          <w:tcPr>
            <w:tcW w:w="1776" w:type="dxa"/>
          </w:tcPr>
          <w:p>
            <w:pPr>
              <w:pStyle w:val="TableParagraph"/>
              <w:ind w:left="67"/>
              <w:rPr>
                <w:sz w:val="18"/>
              </w:rPr>
            </w:pPr>
            <w:r>
              <w:rPr>
                <w:sz w:val="18"/>
              </w:rPr>
              <w:t>Porcentaje de sesiones de capacitación</w:t>
            </w:r>
            <w:r>
              <w:rPr>
                <w:spacing w:val="-15"/>
                <w:sz w:val="18"/>
              </w:rPr>
              <w:t> </w:t>
            </w:r>
            <w:r>
              <w:rPr>
                <w:sz w:val="18"/>
              </w:rPr>
              <w:t>en</w:t>
            </w:r>
            <w:r>
              <w:rPr>
                <w:spacing w:val="-12"/>
                <w:sz w:val="18"/>
              </w:rPr>
              <w:t> </w:t>
            </w:r>
            <w:r>
              <w:rPr>
                <w:sz w:val="18"/>
              </w:rPr>
              <w:t>la metodología de gestión por</w:t>
            </w:r>
          </w:p>
          <w:p>
            <w:pPr>
              <w:pStyle w:val="TableParagraph"/>
              <w:spacing w:line="206" w:lineRule="exact"/>
              <w:ind w:left="67" w:right="291"/>
              <w:rPr>
                <w:sz w:val="18"/>
              </w:rPr>
            </w:pPr>
            <w:r>
              <w:rPr>
                <w:spacing w:val="-2"/>
                <w:sz w:val="18"/>
              </w:rPr>
              <w:t>procesos ejecutadas</w:t>
            </w:r>
          </w:p>
        </w:tc>
        <w:tc>
          <w:tcPr>
            <w:tcW w:w="1483" w:type="dxa"/>
          </w:tcPr>
          <w:p>
            <w:pPr>
              <w:pStyle w:val="TableParagraph"/>
              <w:spacing w:before="205"/>
              <w:ind w:left="67"/>
              <w:rPr>
                <w:sz w:val="18"/>
              </w:rPr>
            </w:pPr>
            <w:r>
              <w:rPr>
                <w:sz w:val="18"/>
              </w:rPr>
              <w:t>Listado de </w:t>
            </w:r>
            <w:r>
              <w:rPr>
                <w:spacing w:val="-2"/>
                <w:sz w:val="18"/>
              </w:rPr>
              <w:t>personas </w:t>
            </w:r>
            <w:r>
              <w:rPr>
                <w:sz w:val="18"/>
              </w:rPr>
              <w:t>responsables</w:t>
            </w:r>
            <w:r>
              <w:rPr>
                <w:spacing w:val="-13"/>
                <w:sz w:val="18"/>
              </w:rPr>
              <w:t> </w:t>
            </w:r>
            <w:r>
              <w:rPr>
                <w:sz w:val="18"/>
              </w:rPr>
              <w:t>de </w:t>
            </w:r>
            <w:r>
              <w:rPr>
                <w:spacing w:val="-2"/>
                <w:sz w:val="18"/>
              </w:rPr>
              <w:t>procesos capacitadas</w:t>
            </w:r>
          </w:p>
        </w:tc>
        <w:tc>
          <w:tcPr>
            <w:tcW w:w="1296" w:type="dxa"/>
          </w:tcPr>
          <w:p>
            <w:pPr>
              <w:pStyle w:val="TableParagraph"/>
              <w:rPr>
                <w:b/>
                <w:sz w:val="18"/>
              </w:rPr>
            </w:pPr>
          </w:p>
          <w:p>
            <w:pPr>
              <w:pStyle w:val="TableParagraph"/>
              <w:spacing w:before="103"/>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494" w:hRule="atLeast"/>
        </w:trPr>
        <w:tc>
          <w:tcPr>
            <w:tcW w:w="14598" w:type="dxa"/>
            <w:gridSpan w:val="8"/>
            <w:shd w:val="clear" w:color="auto" w:fill="EFF8F9"/>
          </w:tcPr>
          <w:p>
            <w:pPr>
              <w:pStyle w:val="TableParagraph"/>
              <w:spacing w:before="143"/>
              <w:ind w:left="72"/>
              <w:rPr>
                <w:b/>
                <w:sz w:val="18"/>
              </w:rPr>
            </w:pPr>
            <w:r>
              <w:rPr>
                <w:b/>
                <w:sz w:val="18"/>
              </w:rPr>
              <w:t>Producto</w:t>
            </w:r>
            <w:r>
              <w:rPr>
                <w:b/>
                <w:spacing w:val="-7"/>
                <w:sz w:val="18"/>
              </w:rPr>
              <w:t> </w:t>
            </w:r>
            <w:r>
              <w:rPr>
                <w:b/>
                <w:sz w:val="18"/>
              </w:rPr>
              <w:t>PAC</w:t>
            </w:r>
            <w:r>
              <w:rPr>
                <w:b/>
                <w:spacing w:val="-7"/>
                <w:sz w:val="18"/>
              </w:rPr>
              <w:t> </w:t>
            </w:r>
            <w:r>
              <w:rPr>
                <w:b/>
                <w:sz w:val="18"/>
              </w:rPr>
              <w:t>2.71:</w:t>
            </w:r>
            <w:r>
              <w:rPr>
                <w:b/>
                <w:spacing w:val="-3"/>
                <w:sz w:val="18"/>
              </w:rPr>
              <w:t> </w:t>
            </w:r>
            <w:r>
              <w:rPr>
                <w:b/>
                <w:sz w:val="18"/>
              </w:rPr>
              <w:t>Sistema</w:t>
            </w:r>
            <w:r>
              <w:rPr>
                <w:b/>
                <w:spacing w:val="-2"/>
                <w:sz w:val="18"/>
              </w:rPr>
              <w:t> </w:t>
            </w:r>
            <w:r>
              <w:rPr>
                <w:b/>
                <w:sz w:val="18"/>
              </w:rPr>
              <w:t>de</w:t>
            </w:r>
            <w:r>
              <w:rPr>
                <w:b/>
                <w:spacing w:val="-5"/>
                <w:sz w:val="18"/>
              </w:rPr>
              <w:t> </w:t>
            </w:r>
            <w:r>
              <w:rPr>
                <w:b/>
                <w:sz w:val="18"/>
              </w:rPr>
              <w:t>indicadores</w:t>
            </w:r>
            <w:r>
              <w:rPr>
                <w:b/>
                <w:spacing w:val="-2"/>
                <w:sz w:val="18"/>
              </w:rPr>
              <w:t> </w:t>
            </w:r>
            <w:r>
              <w:rPr>
                <w:b/>
                <w:sz w:val="18"/>
              </w:rPr>
              <w:t>de</w:t>
            </w:r>
            <w:r>
              <w:rPr>
                <w:b/>
                <w:spacing w:val="-5"/>
                <w:sz w:val="18"/>
              </w:rPr>
              <w:t> </w:t>
            </w:r>
            <w:r>
              <w:rPr>
                <w:b/>
                <w:sz w:val="18"/>
              </w:rPr>
              <w:t>resultados</w:t>
            </w:r>
            <w:r>
              <w:rPr>
                <w:b/>
                <w:spacing w:val="-2"/>
                <w:sz w:val="18"/>
              </w:rPr>
              <w:t> </w:t>
            </w:r>
            <w:r>
              <w:rPr>
                <w:b/>
                <w:sz w:val="18"/>
              </w:rPr>
              <w:t>y</w:t>
            </w:r>
            <w:r>
              <w:rPr>
                <w:b/>
                <w:spacing w:val="-5"/>
                <w:sz w:val="18"/>
              </w:rPr>
              <w:t> </w:t>
            </w:r>
            <w:r>
              <w:rPr>
                <w:b/>
                <w:sz w:val="18"/>
              </w:rPr>
              <w:t>de</w:t>
            </w:r>
            <w:r>
              <w:rPr>
                <w:b/>
                <w:spacing w:val="-6"/>
                <w:sz w:val="18"/>
              </w:rPr>
              <w:t> </w:t>
            </w:r>
            <w:r>
              <w:rPr>
                <w:b/>
                <w:sz w:val="18"/>
              </w:rPr>
              <w:t>impacto</w:t>
            </w:r>
            <w:r>
              <w:rPr>
                <w:b/>
                <w:spacing w:val="-1"/>
                <w:sz w:val="18"/>
              </w:rPr>
              <w:t> </w:t>
            </w:r>
            <w:r>
              <w:rPr>
                <w:b/>
                <w:sz w:val="18"/>
              </w:rPr>
              <w:t>de</w:t>
            </w:r>
            <w:r>
              <w:rPr>
                <w:b/>
                <w:spacing w:val="-5"/>
                <w:sz w:val="18"/>
              </w:rPr>
              <w:t> </w:t>
            </w:r>
            <w:r>
              <w:rPr>
                <w:b/>
                <w:sz w:val="18"/>
              </w:rPr>
              <w:t>cada</w:t>
            </w:r>
            <w:r>
              <w:rPr>
                <w:b/>
                <w:spacing w:val="-6"/>
                <w:sz w:val="18"/>
              </w:rPr>
              <w:t> </w:t>
            </w:r>
            <w:r>
              <w:rPr>
                <w:b/>
                <w:sz w:val="18"/>
              </w:rPr>
              <w:t>servicio</w:t>
            </w:r>
            <w:r>
              <w:rPr>
                <w:b/>
                <w:spacing w:val="-6"/>
                <w:sz w:val="18"/>
              </w:rPr>
              <w:t> </w:t>
            </w:r>
            <w:r>
              <w:rPr>
                <w:b/>
                <w:sz w:val="18"/>
              </w:rPr>
              <w:t>de</w:t>
            </w:r>
            <w:r>
              <w:rPr>
                <w:b/>
                <w:spacing w:val="-5"/>
                <w:sz w:val="18"/>
              </w:rPr>
              <w:t> </w:t>
            </w:r>
            <w:r>
              <w:rPr>
                <w:b/>
                <w:sz w:val="18"/>
              </w:rPr>
              <w:t>inversión</w:t>
            </w:r>
            <w:r>
              <w:rPr>
                <w:b/>
                <w:spacing w:val="-7"/>
                <w:sz w:val="18"/>
              </w:rPr>
              <w:t> </w:t>
            </w:r>
            <w:r>
              <w:rPr>
                <w:b/>
                <w:sz w:val="18"/>
              </w:rPr>
              <w:t>social</w:t>
            </w:r>
            <w:r>
              <w:rPr>
                <w:b/>
                <w:spacing w:val="-3"/>
                <w:sz w:val="18"/>
              </w:rPr>
              <w:t> </w:t>
            </w:r>
            <w:r>
              <w:rPr>
                <w:b/>
                <w:sz w:val="18"/>
              </w:rPr>
              <w:t>del</w:t>
            </w:r>
            <w:r>
              <w:rPr>
                <w:b/>
                <w:spacing w:val="-4"/>
                <w:sz w:val="18"/>
              </w:rPr>
              <w:t> </w:t>
            </w:r>
            <w:r>
              <w:rPr>
                <w:b/>
                <w:sz w:val="18"/>
              </w:rPr>
              <w:t>IMAS,</w:t>
            </w:r>
            <w:r>
              <w:rPr>
                <w:b/>
                <w:spacing w:val="-7"/>
                <w:sz w:val="18"/>
              </w:rPr>
              <w:t> </w:t>
            </w:r>
            <w:r>
              <w:rPr>
                <w:b/>
                <w:sz w:val="18"/>
              </w:rPr>
              <w:t>monitoreado</w:t>
            </w:r>
            <w:r>
              <w:rPr>
                <w:b/>
                <w:spacing w:val="-1"/>
                <w:sz w:val="18"/>
              </w:rPr>
              <w:t> </w:t>
            </w:r>
            <w:r>
              <w:rPr>
                <w:b/>
                <w:sz w:val="18"/>
              </w:rPr>
              <w:t>desde</w:t>
            </w:r>
            <w:r>
              <w:rPr>
                <w:b/>
                <w:spacing w:val="-6"/>
                <w:sz w:val="18"/>
              </w:rPr>
              <w:t> </w:t>
            </w:r>
            <w:r>
              <w:rPr>
                <w:b/>
                <w:sz w:val="18"/>
              </w:rPr>
              <w:t>el</w:t>
            </w:r>
            <w:r>
              <w:rPr>
                <w:b/>
                <w:spacing w:val="-3"/>
                <w:sz w:val="18"/>
              </w:rPr>
              <w:t> </w:t>
            </w:r>
            <w:r>
              <w:rPr>
                <w:b/>
                <w:sz w:val="18"/>
              </w:rPr>
              <w:t>SINIRUBE.</w:t>
            </w:r>
            <w:r>
              <w:rPr>
                <w:b/>
                <w:spacing w:val="-4"/>
                <w:sz w:val="18"/>
              </w:rPr>
              <w:t> </w:t>
            </w:r>
            <w:r>
              <w:rPr>
                <w:b/>
                <w:sz w:val="18"/>
              </w:rPr>
              <w:t>E1</w:t>
            </w:r>
            <w:r>
              <w:rPr>
                <w:b/>
                <w:spacing w:val="-5"/>
                <w:sz w:val="18"/>
              </w:rPr>
              <w:t> </w:t>
            </w:r>
            <w:r>
              <w:rPr>
                <w:b/>
                <w:sz w:val="18"/>
              </w:rPr>
              <w:t>AE4</w:t>
            </w:r>
            <w:r>
              <w:rPr>
                <w:b/>
                <w:spacing w:val="-2"/>
                <w:sz w:val="18"/>
              </w:rPr>
              <w:t> </w:t>
            </w:r>
            <w:r>
              <w:rPr>
                <w:b/>
                <w:sz w:val="18"/>
              </w:rPr>
              <w:t>R1</w:t>
            </w:r>
            <w:r>
              <w:rPr>
                <w:b/>
                <w:spacing w:val="-5"/>
                <w:sz w:val="18"/>
              </w:rPr>
              <w:t> </w:t>
            </w:r>
            <w:r>
              <w:rPr>
                <w:b/>
                <w:spacing w:val="-2"/>
                <w:sz w:val="18"/>
              </w:rPr>
              <w:t>(60%)</w:t>
            </w:r>
          </w:p>
        </w:tc>
      </w:tr>
      <w:tr>
        <w:trPr>
          <w:trHeight w:val="1454" w:hRule="atLeast"/>
        </w:trPr>
        <w:tc>
          <w:tcPr>
            <w:tcW w:w="3193" w:type="dxa"/>
          </w:tcPr>
          <w:p>
            <w:pPr>
              <w:pStyle w:val="TableParagraph"/>
              <w:spacing w:before="3"/>
              <w:rPr>
                <w:b/>
                <w:sz w:val="18"/>
              </w:rPr>
            </w:pPr>
          </w:p>
          <w:p>
            <w:pPr>
              <w:pStyle w:val="TableParagraph"/>
              <w:ind w:left="72" w:right="74"/>
              <w:rPr>
                <w:sz w:val="18"/>
              </w:rPr>
            </w:pPr>
            <w:r>
              <w:rPr>
                <w:b/>
                <w:sz w:val="18"/>
              </w:rPr>
              <w:t>Actividad</w:t>
            </w:r>
            <w:r>
              <w:rPr>
                <w:b/>
                <w:spacing w:val="-13"/>
                <w:sz w:val="18"/>
              </w:rPr>
              <w:t> </w:t>
            </w:r>
            <w:r>
              <w:rPr>
                <w:b/>
                <w:sz w:val="18"/>
              </w:rPr>
              <w:t>PAC</w:t>
            </w:r>
            <w:r>
              <w:rPr>
                <w:b/>
                <w:spacing w:val="-9"/>
                <w:sz w:val="18"/>
              </w:rPr>
              <w:t> </w:t>
            </w:r>
            <w:r>
              <w:rPr>
                <w:b/>
                <w:sz w:val="18"/>
              </w:rPr>
              <w:t>2.71.1:</w:t>
            </w:r>
            <w:r>
              <w:rPr>
                <w:b/>
                <w:spacing w:val="-4"/>
                <w:sz w:val="18"/>
              </w:rPr>
              <w:t> </w:t>
            </w:r>
            <w:r>
              <w:rPr>
                <w:sz w:val="18"/>
              </w:rPr>
              <w:t>Coordinar</w:t>
            </w:r>
            <w:r>
              <w:rPr>
                <w:spacing w:val="-10"/>
                <w:sz w:val="18"/>
              </w:rPr>
              <w:t> </w:t>
            </w:r>
            <w:r>
              <w:rPr>
                <w:sz w:val="18"/>
              </w:rPr>
              <w:t>con DDS y SINIRUBE para el diseño de un plan de monitoreo y seguimiento de los indicadores de los servicios definidos en el 2024</w:t>
            </w:r>
          </w:p>
        </w:tc>
        <w:tc>
          <w:tcPr>
            <w:tcW w:w="1354"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right="4"/>
              <w:jc w:val="center"/>
              <w:rPr>
                <w:sz w:val="18"/>
              </w:rPr>
            </w:pPr>
            <w:r>
              <w:rPr>
                <w:spacing w:val="-10"/>
                <w:sz w:val="18"/>
              </w:rPr>
              <w:t>4</w:t>
            </w:r>
          </w:p>
        </w:tc>
        <w:tc>
          <w:tcPr>
            <w:tcW w:w="1776" w:type="dxa"/>
          </w:tcPr>
          <w:p>
            <w:pPr>
              <w:pStyle w:val="TableParagraph"/>
              <w:spacing w:before="108"/>
              <w:rPr>
                <w:b/>
                <w:sz w:val="18"/>
              </w:rPr>
            </w:pPr>
          </w:p>
          <w:p>
            <w:pPr>
              <w:pStyle w:val="TableParagraph"/>
              <w:ind w:left="67" w:right="60"/>
              <w:rPr>
                <w:sz w:val="18"/>
              </w:rPr>
            </w:pPr>
            <w:r>
              <w:rPr>
                <w:sz w:val="18"/>
              </w:rPr>
              <w:t>Cantidad de sesiones de </w:t>
            </w:r>
            <w:r>
              <w:rPr>
                <w:spacing w:val="-2"/>
                <w:sz w:val="18"/>
              </w:rPr>
              <w:t>coordinación realizadas</w:t>
            </w:r>
          </w:p>
        </w:tc>
        <w:tc>
          <w:tcPr>
            <w:tcW w:w="1483" w:type="dxa"/>
          </w:tcPr>
          <w:p>
            <w:pPr>
              <w:pStyle w:val="TableParagraph"/>
              <w:rPr>
                <w:b/>
                <w:sz w:val="18"/>
              </w:rPr>
            </w:pPr>
          </w:p>
          <w:p>
            <w:pPr>
              <w:pStyle w:val="TableParagraph"/>
              <w:spacing w:before="108"/>
              <w:rPr>
                <w:b/>
                <w:sz w:val="18"/>
              </w:rPr>
            </w:pPr>
          </w:p>
          <w:p>
            <w:pPr>
              <w:pStyle w:val="TableParagraph"/>
              <w:ind w:left="67"/>
              <w:rPr>
                <w:sz w:val="18"/>
              </w:rPr>
            </w:pPr>
            <w:r>
              <w:rPr>
                <w:spacing w:val="-2"/>
                <w:sz w:val="18"/>
              </w:rPr>
              <w:t>PI-DDS-SINIRUBE</w:t>
            </w:r>
          </w:p>
        </w:tc>
        <w:tc>
          <w:tcPr>
            <w:tcW w:w="1296" w:type="dxa"/>
          </w:tcPr>
          <w:p>
            <w:pPr>
              <w:pStyle w:val="TableParagraph"/>
              <w:rPr>
                <w:b/>
                <w:sz w:val="18"/>
              </w:rPr>
            </w:pPr>
          </w:p>
          <w:p>
            <w:pPr>
              <w:pStyle w:val="TableParagraph"/>
              <w:spacing w:before="108"/>
              <w:rPr>
                <w:b/>
                <w:sz w:val="18"/>
              </w:rPr>
            </w:pPr>
          </w:p>
          <w:p>
            <w:pPr>
              <w:pStyle w:val="TableParagraph"/>
              <w:ind w:left="72"/>
              <w:rPr>
                <w:sz w:val="18"/>
              </w:rPr>
            </w:pPr>
            <w:r>
              <w:rPr>
                <w:spacing w:val="-2"/>
                <w:sz w:val="18"/>
              </w:rPr>
              <w:t>PI-DDS-SINIRUBE</w:t>
            </w:r>
          </w:p>
        </w:tc>
        <w:tc>
          <w:tcPr>
            <w:tcW w:w="2011" w:type="dxa"/>
          </w:tcPr>
          <w:p>
            <w:pPr>
              <w:pStyle w:val="TableParagraph"/>
              <w:rPr>
                <w:rFonts w:ascii="Times New Roman"/>
                <w:sz w:val="18"/>
              </w:rPr>
            </w:pPr>
          </w:p>
        </w:tc>
        <w:tc>
          <w:tcPr>
            <w:tcW w:w="2131" w:type="dxa"/>
          </w:tcPr>
          <w:p>
            <w:pPr>
              <w:pStyle w:val="TableParagraph"/>
              <w:spacing w:before="3"/>
              <w:rPr>
                <w:b/>
                <w:sz w:val="18"/>
              </w:rPr>
            </w:pPr>
          </w:p>
          <w:p>
            <w:pPr>
              <w:pStyle w:val="TableParagraph"/>
              <w:ind w:left="74" w:right="76"/>
              <w:rPr>
                <w:sz w:val="18"/>
              </w:rPr>
            </w:pPr>
            <w:r>
              <w:rPr>
                <w:sz w:val="18"/>
              </w:rPr>
              <w:t>Evento: Que no puedan ser medidos los</w:t>
            </w:r>
            <w:r>
              <w:rPr>
                <w:spacing w:val="40"/>
                <w:sz w:val="18"/>
              </w:rPr>
              <w:t> </w:t>
            </w:r>
            <w:r>
              <w:rPr>
                <w:sz w:val="18"/>
              </w:rPr>
              <w:t>servicios institucionales mediante</w:t>
            </w:r>
            <w:r>
              <w:rPr>
                <w:spacing w:val="-15"/>
                <w:sz w:val="18"/>
              </w:rPr>
              <w:t> </w:t>
            </w:r>
            <w:r>
              <w:rPr>
                <w:sz w:val="18"/>
              </w:rPr>
              <w:t>indicadores</w:t>
            </w:r>
            <w:r>
              <w:rPr>
                <w:spacing w:val="-12"/>
                <w:sz w:val="18"/>
              </w:rPr>
              <w:t> </w:t>
            </w:r>
            <w:r>
              <w:rPr>
                <w:sz w:val="18"/>
              </w:rPr>
              <w:t>de resultado e impacto.</w:t>
            </w:r>
          </w:p>
        </w:tc>
      </w:tr>
    </w:tbl>
    <w:p>
      <w:pPr>
        <w:pStyle w:val="TableParagraph"/>
        <w:spacing w:after="0"/>
        <w:rPr>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531" w:hRule="atLeast"/>
        </w:trPr>
        <w:tc>
          <w:tcPr>
            <w:tcW w:w="3193" w:type="dxa"/>
          </w:tcPr>
          <w:p>
            <w:pPr>
              <w:pStyle w:val="TableParagraph"/>
              <w:spacing w:before="142"/>
              <w:rPr>
                <w:b/>
                <w:sz w:val="18"/>
              </w:rPr>
            </w:pPr>
          </w:p>
          <w:p>
            <w:pPr>
              <w:pStyle w:val="TableParagraph"/>
              <w:ind w:left="72" w:right="111"/>
              <w:rPr>
                <w:sz w:val="18"/>
              </w:rPr>
            </w:pPr>
            <w:r>
              <w:rPr>
                <w:b/>
                <w:sz w:val="18"/>
              </w:rPr>
              <w:t>Actividad</w:t>
            </w:r>
            <w:r>
              <w:rPr>
                <w:b/>
                <w:spacing w:val="-5"/>
                <w:sz w:val="18"/>
              </w:rPr>
              <w:t> </w:t>
            </w:r>
            <w:r>
              <w:rPr>
                <w:b/>
                <w:sz w:val="18"/>
              </w:rPr>
              <w:t>PAC</w:t>
            </w:r>
            <w:r>
              <w:rPr>
                <w:b/>
                <w:spacing w:val="-1"/>
                <w:sz w:val="18"/>
              </w:rPr>
              <w:t> </w:t>
            </w:r>
            <w:r>
              <w:rPr>
                <w:b/>
                <w:sz w:val="18"/>
              </w:rPr>
              <w:t>2.71.2:</w:t>
            </w:r>
            <w:r>
              <w:rPr>
                <w:b/>
                <w:spacing w:val="40"/>
                <w:sz w:val="18"/>
              </w:rPr>
              <w:t> </w:t>
            </w:r>
            <w:r>
              <w:rPr>
                <w:sz w:val="18"/>
              </w:rPr>
              <w:t>Diseñar</w:t>
            </w:r>
            <w:r>
              <w:rPr>
                <w:spacing w:val="-2"/>
                <w:sz w:val="18"/>
              </w:rPr>
              <w:t> </w:t>
            </w:r>
            <w:r>
              <w:rPr>
                <w:sz w:val="18"/>
              </w:rPr>
              <w:t>un plan</w:t>
            </w:r>
            <w:r>
              <w:rPr>
                <w:spacing w:val="-4"/>
                <w:sz w:val="18"/>
              </w:rPr>
              <w:t> </w:t>
            </w:r>
            <w:r>
              <w:rPr>
                <w:sz w:val="18"/>
              </w:rPr>
              <w:t>de</w:t>
            </w:r>
            <w:r>
              <w:rPr>
                <w:spacing w:val="-8"/>
                <w:sz w:val="18"/>
              </w:rPr>
              <w:t> </w:t>
            </w:r>
            <w:r>
              <w:rPr>
                <w:sz w:val="18"/>
              </w:rPr>
              <w:t>monitoreo</w:t>
            </w:r>
            <w:r>
              <w:rPr>
                <w:spacing w:val="-8"/>
                <w:sz w:val="18"/>
              </w:rPr>
              <w:t> </w:t>
            </w:r>
            <w:r>
              <w:rPr>
                <w:sz w:val="18"/>
              </w:rPr>
              <w:t>y</w:t>
            </w:r>
            <w:r>
              <w:rPr>
                <w:spacing w:val="-8"/>
                <w:sz w:val="18"/>
              </w:rPr>
              <w:t> </w:t>
            </w:r>
            <w:r>
              <w:rPr>
                <w:sz w:val="18"/>
              </w:rPr>
              <w:t>seguimiento</w:t>
            </w:r>
            <w:r>
              <w:rPr>
                <w:spacing w:val="-8"/>
                <w:sz w:val="18"/>
              </w:rPr>
              <w:t> </w:t>
            </w:r>
            <w:r>
              <w:rPr>
                <w:sz w:val="18"/>
              </w:rPr>
              <w:t>de los indicadores de los servicios definidos en el 2024</w:t>
            </w:r>
          </w:p>
        </w:tc>
        <w:tc>
          <w:tcPr>
            <w:tcW w:w="1354" w:type="dxa"/>
          </w:tcPr>
          <w:p>
            <w:pPr>
              <w:pStyle w:val="TableParagraph"/>
              <w:rPr>
                <w:b/>
                <w:sz w:val="18"/>
              </w:rPr>
            </w:pPr>
          </w:p>
          <w:p>
            <w:pPr>
              <w:pStyle w:val="TableParagraph"/>
              <w:rPr>
                <w:b/>
                <w:sz w:val="18"/>
              </w:rPr>
            </w:pPr>
          </w:p>
          <w:p>
            <w:pPr>
              <w:pStyle w:val="TableParagraph"/>
              <w:spacing w:before="40"/>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40"/>
              <w:rPr>
                <w:b/>
                <w:sz w:val="18"/>
              </w:rPr>
            </w:pPr>
          </w:p>
          <w:p>
            <w:pPr>
              <w:pStyle w:val="TableParagraph"/>
              <w:ind w:left="19" w:right="4"/>
              <w:jc w:val="center"/>
              <w:rPr>
                <w:sz w:val="18"/>
              </w:rPr>
            </w:pPr>
            <w:r>
              <w:rPr>
                <w:spacing w:val="-10"/>
                <w:sz w:val="18"/>
              </w:rPr>
              <w:t>1</w:t>
            </w:r>
          </w:p>
        </w:tc>
        <w:tc>
          <w:tcPr>
            <w:tcW w:w="1776" w:type="dxa"/>
          </w:tcPr>
          <w:p>
            <w:pPr>
              <w:pStyle w:val="TableParagraph"/>
              <w:spacing w:before="41"/>
              <w:rPr>
                <w:b/>
                <w:sz w:val="18"/>
              </w:rPr>
            </w:pPr>
          </w:p>
          <w:p>
            <w:pPr>
              <w:pStyle w:val="TableParagraph"/>
              <w:ind w:left="67" w:right="91"/>
              <w:rPr>
                <w:sz w:val="18"/>
              </w:rPr>
            </w:pPr>
            <w:r>
              <w:rPr>
                <w:sz w:val="18"/>
              </w:rPr>
              <w:t>Cantidad</w:t>
            </w:r>
            <w:r>
              <w:rPr>
                <w:spacing w:val="-15"/>
                <w:sz w:val="18"/>
              </w:rPr>
              <w:t> </w:t>
            </w:r>
            <w:r>
              <w:rPr>
                <w:sz w:val="18"/>
              </w:rPr>
              <w:t>de</w:t>
            </w:r>
            <w:r>
              <w:rPr>
                <w:spacing w:val="-12"/>
                <w:sz w:val="18"/>
              </w:rPr>
              <w:t> </w:t>
            </w:r>
            <w:r>
              <w:rPr>
                <w:sz w:val="18"/>
              </w:rPr>
              <w:t>Planes de monitoreo y </w:t>
            </w:r>
            <w:r>
              <w:rPr>
                <w:spacing w:val="-2"/>
                <w:sz w:val="18"/>
              </w:rPr>
              <w:t>seguimiento </w:t>
            </w:r>
            <w:r>
              <w:rPr>
                <w:sz w:val="18"/>
              </w:rPr>
              <w:t>diseñados en el </w:t>
            </w:r>
            <w:r>
              <w:rPr>
                <w:spacing w:val="-4"/>
                <w:sz w:val="18"/>
              </w:rPr>
              <w:t>2025</w:t>
            </w:r>
          </w:p>
        </w:tc>
        <w:tc>
          <w:tcPr>
            <w:tcW w:w="1483" w:type="dxa"/>
          </w:tcPr>
          <w:p>
            <w:pPr>
              <w:pStyle w:val="TableParagraph"/>
              <w:rPr>
                <w:b/>
                <w:sz w:val="18"/>
              </w:rPr>
            </w:pPr>
          </w:p>
          <w:p>
            <w:pPr>
              <w:pStyle w:val="TableParagraph"/>
              <w:spacing w:before="141"/>
              <w:rPr>
                <w:b/>
                <w:sz w:val="18"/>
              </w:rPr>
            </w:pPr>
          </w:p>
          <w:p>
            <w:pPr>
              <w:pStyle w:val="TableParagraph"/>
              <w:ind w:left="67"/>
              <w:rPr>
                <w:sz w:val="18"/>
              </w:rPr>
            </w:pPr>
            <w:r>
              <w:rPr>
                <w:spacing w:val="-2"/>
                <w:sz w:val="18"/>
              </w:rPr>
              <w:t>PI-DDS-SINIRUBE</w:t>
            </w:r>
          </w:p>
        </w:tc>
        <w:tc>
          <w:tcPr>
            <w:tcW w:w="1296" w:type="dxa"/>
          </w:tcPr>
          <w:p>
            <w:pPr>
              <w:pStyle w:val="TableParagraph"/>
              <w:rPr>
                <w:b/>
                <w:sz w:val="18"/>
              </w:rPr>
            </w:pPr>
          </w:p>
          <w:p>
            <w:pPr>
              <w:pStyle w:val="TableParagraph"/>
              <w:spacing w:before="141"/>
              <w:rPr>
                <w:b/>
                <w:sz w:val="18"/>
              </w:rPr>
            </w:pPr>
          </w:p>
          <w:p>
            <w:pPr>
              <w:pStyle w:val="TableParagraph"/>
              <w:ind w:left="72"/>
              <w:rPr>
                <w:sz w:val="18"/>
              </w:rPr>
            </w:pPr>
            <w:r>
              <w:rPr>
                <w:spacing w:val="-2"/>
                <w:sz w:val="18"/>
              </w:rPr>
              <w:t>PI-DDS-SINIRUBE</w:t>
            </w:r>
          </w:p>
        </w:tc>
        <w:tc>
          <w:tcPr>
            <w:tcW w:w="2011" w:type="dxa"/>
          </w:tcPr>
          <w:p>
            <w:pPr>
              <w:pStyle w:val="TableParagraph"/>
              <w:rPr>
                <w:rFonts w:ascii="Times New Roman"/>
                <w:sz w:val="18"/>
              </w:rPr>
            </w:pPr>
          </w:p>
        </w:tc>
        <w:tc>
          <w:tcPr>
            <w:tcW w:w="2131" w:type="dxa"/>
            <w:vMerge w:val="restart"/>
          </w:tcPr>
          <w:p>
            <w:pPr>
              <w:pStyle w:val="TableParagraph"/>
              <w:rPr>
                <w:rFonts w:ascii="Times New Roman"/>
                <w:sz w:val="18"/>
              </w:rPr>
            </w:pPr>
          </w:p>
        </w:tc>
      </w:tr>
      <w:tr>
        <w:trPr>
          <w:trHeight w:val="1320" w:hRule="atLeast"/>
        </w:trPr>
        <w:tc>
          <w:tcPr>
            <w:tcW w:w="3193" w:type="dxa"/>
          </w:tcPr>
          <w:p>
            <w:pPr>
              <w:pStyle w:val="TableParagraph"/>
              <w:spacing w:before="36"/>
              <w:rPr>
                <w:b/>
                <w:sz w:val="18"/>
              </w:rPr>
            </w:pPr>
          </w:p>
          <w:p>
            <w:pPr>
              <w:pStyle w:val="TableParagraph"/>
              <w:ind w:left="72" w:right="111"/>
              <w:rPr>
                <w:sz w:val="18"/>
              </w:rPr>
            </w:pPr>
            <w:r>
              <w:rPr>
                <w:b/>
                <w:sz w:val="18"/>
              </w:rPr>
              <w:t>Actividad PAC 2.71.3: </w:t>
            </w:r>
            <w:r>
              <w:rPr>
                <w:sz w:val="18"/>
              </w:rPr>
              <w:t>Elaborar cubos de información para el monitoreo</w:t>
            </w:r>
            <w:r>
              <w:rPr>
                <w:spacing w:val="-10"/>
                <w:sz w:val="18"/>
              </w:rPr>
              <w:t> </w:t>
            </w:r>
            <w:r>
              <w:rPr>
                <w:sz w:val="18"/>
              </w:rPr>
              <w:t>de</w:t>
            </w:r>
            <w:r>
              <w:rPr>
                <w:spacing w:val="-10"/>
                <w:sz w:val="18"/>
              </w:rPr>
              <w:t> </w:t>
            </w:r>
            <w:r>
              <w:rPr>
                <w:sz w:val="18"/>
              </w:rPr>
              <w:t>los</w:t>
            </w:r>
            <w:r>
              <w:rPr>
                <w:spacing w:val="-5"/>
                <w:sz w:val="18"/>
              </w:rPr>
              <w:t> </w:t>
            </w:r>
            <w:r>
              <w:rPr>
                <w:sz w:val="18"/>
              </w:rPr>
              <w:t>indicadores</w:t>
            </w:r>
            <w:r>
              <w:rPr>
                <w:spacing w:val="-5"/>
                <w:sz w:val="18"/>
              </w:rPr>
              <w:t> </w:t>
            </w:r>
            <w:r>
              <w:rPr>
                <w:sz w:val="18"/>
              </w:rPr>
              <w:t>de</w:t>
            </w:r>
            <w:r>
              <w:rPr>
                <w:spacing w:val="-6"/>
                <w:sz w:val="18"/>
              </w:rPr>
              <w:t> </w:t>
            </w:r>
            <w:r>
              <w:rPr>
                <w:sz w:val="18"/>
              </w:rPr>
              <w:t>los servicios definidos en el 2024</w:t>
            </w:r>
          </w:p>
        </w:tc>
        <w:tc>
          <w:tcPr>
            <w:tcW w:w="1354" w:type="dxa"/>
          </w:tcPr>
          <w:p>
            <w:pPr>
              <w:pStyle w:val="TableParagraph"/>
              <w:rPr>
                <w:b/>
                <w:sz w:val="18"/>
              </w:rPr>
            </w:pPr>
          </w:p>
          <w:p>
            <w:pPr>
              <w:pStyle w:val="TableParagraph"/>
              <w:spacing w:before="141"/>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spacing w:before="141"/>
              <w:rPr>
                <w:b/>
                <w:sz w:val="18"/>
              </w:rPr>
            </w:pPr>
          </w:p>
          <w:p>
            <w:pPr>
              <w:pStyle w:val="TableParagraph"/>
              <w:ind w:left="19" w:right="4"/>
              <w:jc w:val="center"/>
              <w:rPr>
                <w:sz w:val="18"/>
              </w:rPr>
            </w:pPr>
            <w:r>
              <w:rPr>
                <w:spacing w:val="-10"/>
                <w:sz w:val="18"/>
              </w:rPr>
              <w:t>5</w:t>
            </w:r>
          </w:p>
        </w:tc>
        <w:tc>
          <w:tcPr>
            <w:tcW w:w="1776" w:type="dxa"/>
          </w:tcPr>
          <w:p>
            <w:pPr>
              <w:pStyle w:val="TableParagraph"/>
              <w:rPr>
                <w:b/>
                <w:sz w:val="18"/>
              </w:rPr>
            </w:pPr>
          </w:p>
          <w:p>
            <w:pPr>
              <w:pStyle w:val="TableParagraph"/>
              <w:spacing w:before="36"/>
              <w:rPr>
                <w:b/>
                <w:sz w:val="18"/>
              </w:rPr>
            </w:pPr>
          </w:p>
          <w:p>
            <w:pPr>
              <w:pStyle w:val="TableParagraph"/>
              <w:ind w:left="67"/>
              <w:rPr>
                <w:sz w:val="18"/>
              </w:rPr>
            </w:pPr>
            <w:r>
              <w:rPr>
                <w:sz w:val="18"/>
              </w:rPr>
              <w:t>Cantidad</w:t>
            </w:r>
            <w:r>
              <w:rPr>
                <w:spacing w:val="-15"/>
                <w:sz w:val="18"/>
              </w:rPr>
              <w:t> </w:t>
            </w:r>
            <w:r>
              <w:rPr>
                <w:sz w:val="18"/>
              </w:rPr>
              <w:t>de</w:t>
            </w:r>
            <w:r>
              <w:rPr>
                <w:spacing w:val="-12"/>
                <w:sz w:val="18"/>
              </w:rPr>
              <w:t> </w:t>
            </w:r>
            <w:r>
              <w:rPr>
                <w:sz w:val="18"/>
              </w:rPr>
              <w:t>cubos </w:t>
            </w:r>
            <w:r>
              <w:rPr>
                <w:spacing w:val="-2"/>
                <w:sz w:val="18"/>
              </w:rPr>
              <w:t>elaborados</w:t>
            </w:r>
          </w:p>
        </w:tc>
        <w:tc>
          <w:tcPr>
            <w:tcW w:w="1483" w:type="dxa"/>
          </w:tcPr>
          <w:p>
            <w:pPr>
              <w:pStyle w:val="TableParagraph"/>
              <w:rPr>
                <w:b/>
                <w:sz w:val="18"/>
              </w:rPr>
            </w:pPr>
          </w:p>
          <w:p>
            <w:pPr>
              <w:pStyle w:val="TableParagraph"/>
              <w:spacing w:before="36"/>
              <w:rPr>
                <w:b/>
                <w:sz w:val="18"/>
              </w:rPr>
            </w:pPr>
          </w:p>
          <w:p>
            <w:pPr>
              <w:pStyle w:val="TableParagraph"/>
              <w:ind w:left="67"/>
              <w:rPr>
                <w:sz w:val="18"/>
              </w:rPr>
            </w:pPr>
            <w:r>
              <w:rPr>
                <w:spacing w:val="-2"/>
                <w:sz w:val="18"/>
              </w:rPr>
              <w:t>PI-DDS-SINIRUBE</w:t>
            </w:r>
          </w:p>
        </w:tc>
        <w:tc>
          <w:tcPr>
            <w:tcW w:w="1296" w:type="dxa"/>
          </w:tcPr>
          <w:p>
            <w:pPr>
              <w:pStyle w:val="TableParagraph"/>
              <w:rPr>
                <w:b/>
                <w:sz w:val="18"/>
              </w:rPr>
            </w:pPr>
          </w:p>
          <w:p>
            <w:pPr>
              <w:pStyle w:val="TableParagraph"/>
              <w:spacing w:before="36"/>
              <w:rPr>
                <w:b/>
                <w:sz w:val="18"/>
              </w:rPr>
            </w:pPr>
          </w:p>
          <w:p>
            <w:pPr>
              <w:pStyle w:val="TableParagraph"/>
              <w:ind w:left="72"/>
              <w:rPr>
                <w:sz w:val="18"/>
              </w:rPr>
            </w:pPr>
            <w:r>
              <w:rPr>
                <w:spacing w:val="-2"/>
                <w:sz w:val="18"/>
              </w:rPr>
              <w:t>PI-DDS-SINIRUBE</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599" w:hRule="atLeast"/>
        </w:trPr>
        <w:tc>
          <w:tcPr>
            <w:tcW w:w="14598" w:type="dxa"/>
            <w:gridSpan w:val="8"/>
            <w:shd w:val="clear" w:color="auto" w:fill="EFF8F9"/>
          </w:tcPr>
          <w:p>
            <w:pPr>
              <w:pStyle w:val="TableParagraph"/>
              <w:spacing w:before="195"/>
              <w:ind w:left="72"/>
              <w:rPr>
                <w:b/>
                <w:sz w:val="18"/>
              </w:rPr>
            </w:pPr>
            <w:r>
              <w:rPr>
                <w:b/>
                <w:sz w:val="18"/>
              </w:rPr>
              <w:t>Producto</w:t>
            </w:r>
            <w:r>
              <w:rPr>
                <w:b/>
                <w:spacing w:val="-7"/>
                <w:sz w:val="18"/>
              </w:rPr>
              <w:t> </w:t>
            </w:r>
            <w:r>
              <w:rPr>
                <w:b/>
                <w:sz w:val="18"/>
              </w:rPr>
              <w:t>PAC</w:t>
            </w:r>
            <w:r>
              <w:rPr>
                <w:b/>
                <w:spacing w:val="-7"/>
                <w:sz w:val="18"/>
              </w:rPr>
              <w:t> </w:t>
            </w:r>
            <w:r>
              <w:rPr>
                <w:b/>
                <w:sz w:val="18"/>
              </w:rPr>
              <w:t>2.72:</w:t>
            </w:r>
            <w:r>
              <w:rPr>
                <w:b/>
                <w:spacing w:val="-4"/>
                <w:sz w:val="18"/>
              </w:rPr>
              <w:t> </w:t>
            </w:r>
            <w:r>
              <w:rPr>
                <w:b/>
                <w:sz w:val="18"/>
              </w:rPr>
              <w:t>Información</w:t>
            </w:r>
            <w:r>
              <w:rPr>
                <w:b/>
                <w:spacing w:val="-7"/>
                <w:sz w:val="18"/>
              </w:rPr>
              <w:t> </w:t>
            </w:r>
            <w:r>
              <w:rPr>
                <w:b/>
                <w:sz w:val="18"/>
              </w:rPr>
              <w:t>generada</w:t>
            </w:r>
            <w:r>
              <w:rPr>
                <w:b/>
                <w:spacing w:val="-5"/>
                <w:sz w:val="18"/>
              </w:rPr>
              <w:t> </w:t>
            </w:r>
            <w:r>
              <w:rPr>
                <w:b/>
                <w:sz w:val="18"/>
              </w:rPr>
              <w:t>desde</w:t>
            </w:r>
            <w:r>
              <w:rPr>
                <w:b/>
                <w:spacing w:val="-6"/>
                <w:sz w:val="18"/>
              </w:rPr>
              <w:t> </w:t>
            </w:r>
            <w:r>
              <w:rPr>
                <w:b/>
                <w:sz w:val="18"/>
              </w:rPr>
              <w:t>el</w:t>
            </w:r>
            <w:r>
              <w:rPr>
                <w:b/>
                <w:spacing w:val="-3"/>
                <w:sz w:val="18"/>
              </w:rPr>
              <w:t> </w:t>
            </w:r>
            <w:r>
              <w:rPr>
                <w:b/>
                <w:sz w:val="18"/>
              </w:rPr>
              <w:t>SINIRUBE</w:t>
            </w:r>
            <w:r>
              <w:rPr>
                <w:b/>
                <w:spacing w:val="-3"/>
                <w:sz w:val="18"/>
              </w:rPr>
              <w:t> </w:t>
            </w:r>
            <w:r>
              <w:rPr>
                <w:b/>
                <w:sz w:val="18"/>
              </w:rPr>
              <w:t>accesada</w:t>
            </w:r>
            <w:r>
              <w:rPr>
                <w:b/>
                <w:spacing w:val="-2"/>
                <w:sz w:val="18"/>
              </w:rPr>
              <w:t> </w:t>
            </w:r>
            <w:r>
              <w:rPr>
                <w:b/>
                <w:sz w:val="18"/>
              </w:rPr>
              <w:t>desde</w:t>
            </w:r>
            <w:r>
              <w:rPr>
                <w:b/>
                <w:spacing w:val="-6"/>
                <w:sz w:val="18"/>
              </w:rPr>
              <w:t> </w:t>
            </w:r>
            <w:r>
              <w:rPr>
                <w:b/>
                <w:sz w:val="18"/>
              </w:rPr>
              <w:t>el</w:t>
            </w:r>
            <w:r>
              <w:rPr>
                <w:b/>
                <w:spacing w:val="-3"/>
                <w:sz w:val="18"/>
              </w:rPr>
              <w:t> </w:t>
            </w:r>
            <w:r>
              <w:rPr>
                <w:b/>
                <w:sz w:val="18"/>
              </w:rPr>
              <w:t>IMAS,</w:t>
            </w:r>
            <w:r>
              <w:rPr>
                <w:b/>
                <w:spacing w:val="1"/>
                <w:sz w:val="18"/>
              </w:rPr>
              <w:t> </w:t>
            </w:r>
            <w:r>
              <w:rPr>
                <w:b/>
                <w:sz w:val="18"/>
              </w:rPr>
              <w:t>para</w:t>
            </w:r>
            <w:r>
              <w:rPr>
                <w:b/>
                <w:spacing w:val="-6"/>
                <w:sz w:val="18"/>
              </w:rPr>
              <w:t> </w:t>
            </w:r>
            <w:r>
              <w:rPr>
                <w:b/>
                <w:sz w:val="18"/>
              </w:rPr>
              <w:t>la</w:t>
            </w:r>
            <w:r>
              <w:rPr>
                <w:b/>
                <w:spacing w:val="-5"/>
                <w:sz w:val="18"/>
              </w:rPr>
              <w:t> </w:t>
            </w:r>
            <w:r>
              <w:rPr>
                <w:b/>
                <w:sz w:val="18"/>
              </w:rPr>
              <w:t>toma</w:t>
            </w:r>
            <w:r>
              <w:rPr>
                <w:b/>
                <w:spacing w:val="-6"/>
                <w:sz w:val="18"/>
              </w:rPr>
              <w:t> </w:t>
            </w:r>
            <w:r>
              <w:rPr>
                <w:b/>
                <w:sz w:val="18"/>
              </w:rPr>
              <w:t>de</w:t>
            </w:r>
            <w:r>
              <w:rPr>
                <w:b/>
                <w:spacing w:val="-5"/>
                <w:sz w:val="18"/>
              </w:rPr>
              <w:t> </w:t>
            </w:r>
            <w:r>
              <w:rPr>
                <w:b/>
                <w:sz w:val="18"/>
              </w:rPr>
              <w:t>decisiones</w:t>
            </w:r>
            <w:r>
              <w:rPr>
                <w:b/>
                <w:spacing w:val="-6"/>
                <w:sz w:val="18"/>
              </w:rPr>
              <w:t> </w:t>
            </w:r>
            <w:r>
              <w:rPr>
                <w:b/>
                <w:sz w:val="18"/>
              </w:rPr>
              <w:t>sobre</w:t>
            </w:r>
            <w:r>
              <w:rPr>
                <w:b/>
                <w:spacing w:val="-10"/>
                <w:sz w:val="18"/>
              </w:rPr>
              <w:t> </w:t>
            </w:r>
            <w:r>
              <w:rPr>
                <w:b/>
                <w:sz w:val="18"/>
              </w:rPr>
              <w:t>la</w:t>
            </w:r>
            <w:r>
              <w:rPr>
                <w:b/>
                <w:spacing w:val="-6"/>
                <w:sz w:val="18"/>
              </w:rPr>
              <w:t> </w:t>
            </w:r>
            <w:r>
              <w:rPr>
                <w:b/>
                <w:sz w:val="18"/>
              </w:rPr>
              <w:t>inversión</w:t>
            </w:r>
            <w:r>
              <w:rPr>
                <w:b/>
                <w:spacing w:val="-2"/>
                <w:sz w:val="18"/>
              </w:rPr>
              <w:t> </w:t>
            </w:r>
            <w:r>
              <w:rPr>
                <w:b/>
                <w:sz w:val="18"/>
              </w:rPr>
              <w:t>social.</w:t>
            </w:r>
            <w:r>
              <w:rPr>
                <w:b/>
                <w:spacing w:val="1"/>
                <w:sz w:val="18"/>
              </w:rPr>
              <w:t> </w:t>
            </w:r>
            <w:r>
              <w:rPr>
                <w:b/>
                <w:sz w:val="18"/>
              </w:rPr>
              <w:t>E1</w:t>
            </w:r>
            <w:r>
              <w:rPr>
                <w:b/>
                <w:spacing w:val="-5"/>
                <w:sz w:val="18"/>
              </w:rPr>
              <w:t> </w:t>
            </w:r>
            <w:r>
              <w:rPr>
                <w:b/>
                <w:sz w:val="18"/>
              </w:rPr>
              <w:t>AE4</w:t>
            </w:r>
            <w:r>
              <w:rPr>
                <w:b/>
                <w:spacing w:val="-6"/>
                <w:sz w:val="18"/>
              </w:rPr>
              <w:t> </w:t>
            </w:r>
            <w:r>
              <w:rPr>
                <w:b/>
                <w:sz w:val="18"/>
              </w:rPr>
              <w:t>R2</w:t>
            </w:r>
            <w:r>
              <w:rPr>
                <w:b/>
                <w:spacing w:val="-5"/>
                <w:sz w:val="18"/>
              </w:rPr>
              <w:t> </w:t>
            </w:r>
            <w:r>
              <w:rPr>
                <w:b/>
                <w:spacing w:val="-2"/>
                <w:sz w:val="18"/>
              </w:rPr>
              <w:t>(100%)</w:t>
            </w:r>
          </w:p>
        </w:tc>
      </w:tr>
      <w:tr>
        <w:trPr>
          <w:trHeight w:val="1862" w:hRule="atLeast"/>
        </w:trPr>
        <w:tc>
          <w:tcPr>
            <w:tcW w:w="3193" w:type="dxa"/>
          </w:tcPr>
          <w:p>
            <w:pPr>
              <w:pStyle w:val="TableParagraph"/>
              <w:spacing w:before="205"/>
              <w:rPr>
                <w:b/>
                <w:sz w:val="18"/>
              </w:rPr>
            </w:pPr>
          </w:p>
          <w:p>
            <w:pPr>
              <w:pStyle w:val="TableParagraph"/>
              <w:ind w:left="72" w:right="52"/>
              <w:rPr>
                <w:sz w:val="18"/>
              </w:rPr>
            </w:pPr>
            <w:r>
              <w:rPr>
                <w:b/>
                <w:sz w:val="18"/>
              </w:rPr>
              <w:t>Actividad</w:t>
            </w:r>
            <w:r>
              <w:rPr>
                <w:b/>
                <w:spacing w:val="-10"/>
                <w:sz w:val="18"/>
              </w:rPr>
              <w:t> </w:t>
            </w:r>
            <w:r>
              <w:rPr>
                <w:b/>
                <w:sz w:val="18"/>
              </w:rPr>
              <w:t>PAC</w:t>
            </w:r>
            <w:r>
              <w:rPr>
                <w:b/>
                <w:spacing w:val="-7"/>
                <w:sz w:val="18"/>
              </w:rPr>
              <w:t> </w:t>
            </w:r>
            <w:r>
              <w:rPr>
                <w:b/>
                <w:sz w:val="18"/>
              </w:rPr>
              <w:t>2.72.1:</w:t>
            </w:r>
            <w:r>
              <w:rPr>
                <w:b/>
                <w:spacing w:val="-2"/>
                <w:sz w:val="18"/>
              </w:rPr>
              <w:t> </w:t>
            </w:r>
            <w:r>
              <w:rPr>
                <w:sz w:val="18"/>
              </w:rPr>
              <w:t>Asesorar</w:t>
            </w:r>
            <w:r>
              <w:rPr>
                <w:spacing w:val="-8"/>
                <w:sz w:val="18"/>
              </w:rPr>
              <w:t> </w:t>
            </w:r>
            <w:r>
              <w:rPr>
                <w:sz w:val="18"/>
              </w:rPr>
              <w:t>a</w:t>
            </w:r>
            <w:r>
              <w:rPr>
                <w:spacing w:val="-6"/>
                <w:sz w:val="18"/>
              </w:rPr>
              <w:t> </w:t>
            </w:r>
            <w:r>
              <w:rPr>
                <w:sz w:val="18"/>
              </w:rPr>
              <w:t>las UIPER en la revisión y validación de</w:t>
            </w:r>
            <w:r>
              <w:rPr>
                <w:spacing w:val="40"/>
                <w:sz w:val="18"/>
              </w:rPr>
              <w:t> </w:t>
            </w:r>
            <w:r>
              <w:rPr>
                <w:sz w:val="18"/>
              </w:rPr>
              <w:t>la estructura de datos disponibles en los dashboards elaborados en Power BI por Planificación</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19" w:right="7"/>
              <w:jc w:val="center"/>
              <w:rPr>
                <w:sz w:val="18"/>
              </w:rPr>
            </w:pPr>
            <w:r>
              <w:rPr>
                <w:spacing w:val="-4"/>
                <w:sz w:val="18"/>
              </w:rPr>
              <w:t>100%</w:t>
            </w:r>
          </w:p>
        </w:tc>
        <w:tc>
          <w:tcPr>
            <w:tcW w:w="1776" w:type="dxa"/>
          </w:tcPr>
          <w:p>
            <w:pPr>
              <w:pStyle w:val="TableParagraph"/>
              <w:ind w:left="67" w:right="131"/>
              <w:rPr>
                <w:sz w:val="18"/>
              </w:rPr>
            </w:pPr>
            <w:r>
              <w:rPr>
                <w:sz w:val="18"/>
              </w:rPr>
              <w:t>% de UIPER con estructura</w:t>
            </w:r>
            <w:r>
              <w:rPr>
                <w:spacing w:val="-15"/>
                <w:sz w:val="18"/>
              </w:rPr>
              <w:t> </w:t>
            </w:r>
            <w:r>
              <w:rPr>
                <w:sz w:val="18"/>
              </w:rPr>
              <w:t>de</w:t>
            </w:r>
            <w:r>
              <w:rPr>
                <w:spacing w:val="-12"/>
                <w:sz w:val="18"/>
              </w:rPr>
              <w:t> </w:t>
            </w:r>
            <w:r>
              <w:rPr>
                <w:sz w:val="18"/>
              </w:rPr>
              <w:t>datos contenidos en los </w:t>
            </w:r>
            <w:r>
              <w:rPr>
                <w:spacing w:val="-2"/>
                <w:sz w:val="18"/>
              </w:rPr>
              <w:t>dashboards </w:t>
            </w:r>
            <w:r>
              <w:rPr>
                <w:sz w:val="18"/>
              </w:rPr>
              <w:t>disponibles en Power</w:t>
            </w:r>
            <w:r>
              <w:rPr>
                <w:spacing w:val="-15"/>
                <w:sz w:val="18"/>
              </w:rPr>
              <w:t> </w:t>
            </w:r>
            <w:r>
              <w:rPr>
                <w:sz w:val="18"/>
              </w:rPr>
              <w:t>Bi</w:t>
            </w:r>
            <w:r>
              <w:rPr>
                <w:spacing w:val="-12"/>
                <w:sz w:val="18"/>
              </w:rPr>
              <w:t> </w:t>
            </w:r>
            <w:r>
              <w:rPr>
                <w:sz w:val="18"/>
              </w:rPr>
              <w:t>revisados y validados por </w:t>
            </w:r>
            <w:r>
              <w:rPr>
                <w:spacing w:val="-2"/>
                <w:sz w:val="18"/>
              </w:rPr>
              <w:t>Planificación</w:t>
            </w:r>
          </w:p>
          <w:p>
            <w:pPr>
              <w:pStyle w:val="TableParagraph"/>
              <w:spacing w:line="187" w:lineRule="exact"/>
              <w:ind w:left="67"/>
              <w:rPr>
                <w:sz w:val="18"/>
              </w:rPr>
            </w:pPr>
            <w:r>
              <w:rPr>
                <w:spacing w:val="-2"/>
                <w:sz w:val="18"/>
              </w:rPr>
              <w:t>Institucional</w:t>
            </w:r>
          </w:p>
        </w:tc>
        <w:tc>
          <w:tcPr>
            <w:tcW w:w="1483" w:type="dxa"/>
          </w:tcPr>
          <w:p>
            <w:pPr>
              <w:pStyle w:val="TableParagraph"/>
              <w:rPr>
                <w:b/>
                <w:sz w:val="18"/>
              </w:rPr>
            </w:pPr>
          </w:p>
          <w:p>
            <w:pPr>
              <w:pStyle w:val="TableParagraph"/>
              <w:spacing w:before="103"/>
              <w:rPr>
                <w:b/>
                <w:sz w:val="18"/>
              </w:rPr>
            </w:pPr>
          </w:p>
          <w:p>
            <w:pPr>
              <w:pStyle w:val="TableParagraph"/>
              <w:ind w:left="67"/>
              <w:rPr>
                <w:sz w:val="18"/>
              </w:rPr>
            </w:pPr>
            <w:r>
              <w:rPr>
                <w:sz w:val="18"/>
              </w:rPr>
              <w:t>Actas,</w:t>
            </w:r>
            <w:r>
              <w:rPr>
                <w:spacing w:val="-2"/>
                <w:sz w:val="18"/>
              </w:rPr>
              <w:t> </w:t>
            </w:r>
            <w:r>
              <w:rPr>
                <w:sz w:val="18"/>
              </w:rPr>
              <w:t>registros de asistencia técnica,</w:t>
            </w:r>
            <w:r>
              <w:rPr>
                <w:spacing w:val="-13"/>
                <w:sz w:val="18"/>
              </w:rPr>
              <w:t> </w:t>
            </w:r>
            <w:r>
              <w:rPr>
                <w:sz w:val="18"/>
              </w:rPr>
              <w:t>correos de</w:t>
            </w:r>
            <w:r>
              <w:rPr>
                <w:spacing w:val="2"/>
                <w:sz w:val="18"/>
              </w:rPr>
              <w:t> </w:t>
            </w:r>
            <w:r>
              <w:rPr>
                <w:spacing w:val="-2"/>
                <w:sz w:val="18"/>
              </w:rPr>
              <w:t>seguimiento.</w:t>
            </w:r>
          </w:p>
        </w:tc>
        <w:tc>
          <w:tcPr>
            <w:tcW w:w="129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8"/>
              <w:rPr>
                <w:b/>
                <w:sz w:val="18"/>
              </w:rPr>
            </w:pPr>
          </w:p>
          <w:p>
            <w:pPr>
              <w:pStyle w:val="TableParagraph"/>
              <w:ind w:left="74" w:right="439"/>
              <w:rPr>
                <w:sz w:val="18"/>
              </w:rPr>
            </w:pPr>
            <w:r>
              <w:rPr>
                <w:sz w:val="18"/>
              </w:rPr>
              <w:t>Evento:</w:t>
            </w:r>
            <w:r>
              <w:rPr>
                <w:spacing w:val="-13"/>
                <w:sz w:val="18"/>
              </w:rPr>
              <w:t> </w:t>
            </w:r>
            <w:r>
              <w:rPr>
                <w:sz w:val="18"/>
              </w:rPr>
              <w:t>Información generada desde el SINIRUBE sea</w:t>
            </w:r>
          </w:p>
          <w:p>
            <w:pPr>
              <w:pStyle w:val="TableParagraph"/>
              <w:spacing w:line="205" w:lineRule="exact"/>
              <w:ind w:left="74"/>
              <w:rPr>
                <w:sz w:val="18"/>
              </w:rPr>
            </w:pPr>
            <w:r>
              <w:rPr>
                <w:spacing w:val="-2"/>
                <w:sz w:val="18"/>
              </w:rPr>
              <w:t>incorrecta</w:t>
            </w:r>
          </w:p>
        </w:tc>
      </w:tr>
      <w:tr>
        <w:trPr>
          <w:trHeight w:val="1954" w:hRule="atLeast"/>
        </w:trPr>
        <w:tc>
          <w:tcPr>
            <w:tcW w:w="3193" w:type="dxa"/>
          </w:tcPr>
          <w:p>
            <w:pPr>
              <w:pStyle w:val="TableParagraph"/>
              <w:spacing w:before="147"/>
              <w:rPr>
                <w:b/>
                <w:sz w:val="18"/>
              </w:rPr>
            </w:pPr>
          </w:p>
          <w:p>
            <w:pPr>
              <w:pStyle w:val="TableParagraph"/>
              <w:ind w:left="72" w:right="31"/>
              <w:rPr>
                <w:sz w:val="18"/>
              </w:rPr>
            </w:pPr>
            <w:r>
              <w:rPr>
                <w:b/>
                <w:sz w:val="18"/>
              </w:rPr>
              <w:t>Actividad PAC 2.72.2: </w:t>
            </w:r>
            <w:r>
              <w:rPr>
                <w:sz w:val="18"/>
              </w:rPr>
              <w:t>Guiar a las UIPER</w:t>
            </w:r>
            <w:r>
              <w:rPr>
                <w:spacing w:val="-8"/>
                <w:sz w:val="18"/>
              </w:rPr>
              <w:t> </w:t>
            </w:r>
            <w:r>
              <w:rPr>
                <w:sz w:val="18"/>
              </w:rPr>
              <w:t>en</w:t>
            </w:r>
            <w:r>
              <w:rPr>
                <w:spacing w:val="-11"/>
                <w:sz w:val="18"/>
              </w:rPr>
              <w:t> </w:t>
            </w:r>
            <w:r>
              <w:rPr>
                <w:sz w:val="18"/>
              </w:rPr>
              <w:t>la</w:t>
            </w:r>
            <w:r>
              <w:rPr>
                <w:spacing w:val="-7"/>
                <w:sz w:val="18"/>
              </w:rPr>
              <w:t> </w:t>
            </w:r>
            <w:r>
              <w:rPr>
                <w:sz w:val="18"/>
              </w:rPr>
              <w:t>extracción,</w:t>
            </w:r>
            <w:r>
              <w:rPr>
                <w:spacing w:val="-9"/>
                <w:sz w:val="18"/>
              </w:rPr>
              <w:t> </w:t>
            </w:r>
            <w:r>
              <w:rPr>
                <w:sz w:val="18"/>
              </w:rPr>
              <w:t>interpretación y tratamiento de los datos contenidos en los dashboards de Power BI, alineados con los requerimientos del informe técnico.</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45"/>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45"/>
              <w:rPr>
                <w:b/>
                <w:sz w:val="18"/>
              </w:rPr>
            </w:pPr>
          </w:p>
          <w:p>
            <w:pPr>
              <w:pStyle w:val="TableParagraph"/>
              <w:ind w:left="19" w:right="4"/>
              <w:jc w:val="center"/>
              <w:rPr>
                <w:sz w:val="18"/>
              </w:rPr>
            </w:pPr>
            <w:r>
              <w:rPr>
                <w:spacing w:val="-10"/>
                <w:sz w:val="18"/>
              </w:rPr>
              <w:t>9</w:t>
            </w:r>
          </w:p>
        </w:tc>
        <w:tc>
          <w:tcPr>
            <w:tcW w:w="1776" w:type="dxa"/>
          </w:tcPr>
          <w:p>
            <w:pPr>
              <w:pStyle w:val="TableParagraph"/>
              <w:rPr>
                <w:b/>
                <w:sz w:val="18"/>
              </w:rPr>
            </w:pPr>
          </w:p>
          <w:p>
            <w:pPr>
              <w:pStyle w:val="TableParagraph"/>
              <w:spacing w:before="147"/>
              <w:rPr>
                <w:b/>
                <w:sz w:val="18"/>
              </w:rPr>
            </w:pPr>
          </w:p>
          <w:p>
            <w:pPr>
              <w:pStyle w:val="TableParagraph"/>
              <w:ind w:left="67"/>
              <w:rPr>
                <w:sz w:val="18"/>
              </w:rPr>
            </w:pPr>
            <w:r>
              <w:rPr>
                <w:sz w:val="18"/>
              </w:rPr>
              <w:t>Número</w:t>
            </w:r>
            <w:r>
              <w:rPr>
                <w:spacing w:val="-15"/>
                <w:sz w:val="18"/>
              </w:rPr>
              <w:t> </w:t>
            </w:r>
            <w:r>
              <w:rPr>
                <w:sz w:val="18"/>
              </w:rPr>
              <w:t>de</w:t>
            </w:r>
            <w:r>
              <w:rPr>
                <w:spacing w:val="-12"/>
                <w:sz w:val="18"/>
              </w:rPr>
              <w:t> </w:t>
            </w:r>
            <w:r>
              <w:rPr>
                <w:sz w:val="18"/>
              </w:rPr>
              <w:t>UIPER que aplican el protocolo de </w:t>
            </w:r>
            <w:r>
              <w:rPr>
                <w:spacing w:val="-2"/>
                <w:sz w:val="18"/>
              </w:rPr>
              <w:t>extracción</w:t>
            </w:r>
          </w:p>
        </w:tc>
        <w:tc>
          <w:tcPr>
            <w:tcW w:w="1483" w:type="dxa"/>
          </w:tcPr>
          <w:p>
            <w:pPr>
              <w:pStyle w:val="TableParagraph"/>
              <w:spacing w:before="147"/>
              <w:rPr>
                <w:b/>
                <w:sz w:val="18"/>
              </w:rPr>
            </w:pPr>
          </w:p>
          <w:p>
            <w:pPr>
              <w:pStyle w:val="TableParagraph"/>
              <w:ind w:left="67"/>
              <w:rPr>
                <w:sz w:val="18"/>
              </w:rPr>
            </w:pPr>
            <w:r>
              <w:rPr>
                <w:spacing w:val="-2"/>
                <w:sz w:val="18"/>
              </w:rPr>
              <w:t>Documentos técnicos, </w:t>
            </w:r>
            <w:r>
              <w:rPr>
                <w:sz w:val="18"/>
              </w:rPr>
              <w:t>pantallazos</w:t>
            </w:r>
            <w:r>
              <w:rPr>
                <w:spacing w:val="-13"/>
                <w:sz w:val="18"/>
              </w:rPr>
              <w:t> </w:t>
            </w:r>
            <w:r>
              <w:rPr>
                <w:sz w:val="18"/>
              </w:rPr>
              <w:t>de </w:t>
            </w:r>
            <w:r>
              <w:rPr>
                <w:spacing w:val="-2"/>
                <w:sz w:val="18"/>
              </w:rPr>
              <w:t>extracción, insumos procesados.</w:t>
            </w:r>
          </w:p>
        </w:tc>
        <w:tc>
          <w:tcPr>
            <w:tcW w:w="1296" w:type="dxa"/>
          </w:tcPr>
          <w:p>
            <w:pPr>
              <w:pStyle w:val="TableParagraph"/>
              <w:rPr>
                <w:b/>
                <w:sz w:val="18"/>
              </w:rPr>
            </w:pPr>
          </w:p>
          <w:p>
            <w:pPr>
              <w:pStyle w:val="TableParagraph"/>
              <w:rPr>
                <w:b/>
                <w:sz w:val="18"/>
              </w:rPr>
            </w:pPr>
          </w:p>
          <w:p>
            <w:pPr>
              <w:pStyle w:val="TableParagraph"/>
              <w:spacing w:before="146"/>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bl>
    <w:p>
      <w:pPr>
        <w:spacing w:after="0"/>
        <w:rPr>
          <w:sz w:val="2"/>
          <w:szCs w:val="2"/>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982" w:hRule="atLeast"/>
        </w:trPr>
        <w:tc>
          <w:tcPr>
            <w:tcW w:w="3193" w:type="dxa"/>
          </w:tcPr>
          <w:p>
            <w:pPr>
              <w:pStyle w:val="TableParagraph"/>
              <w:spacing w:before="161"/>
              <w:rPr>
                <w:b/>
                <w:sz w:val="18"/>
              </w:rPr>
            </w:pPr>
          </w:p>
          <w:p>
            <w:pPr>
              <w:pStyle w:val="TableParagraph"/>
              <w:ind w:left="72" w:right="111"/>
              <w:rPr>
                <w:sz w:val="18"/>
              </w:rPr>
            </w:pPr>
            <w:r>
              <w:rPr>
                <w:b/>
                <w:sz w:val="18"/>
              </w:rPr>
              <w:t>Actividad</w:t>
            </w:r>
            <w:r>
              <w:rPr>
                <w:b/>
                <w:spacing w:val="-12"/>
                <w:sz w:val="18"/>
              </w:rPr>
              <w:t> </w:t>
            </w:r>
            <w:r>
              <w:rPr>
                <w:b/>
                <w:sz w:val="18"/>
              </w:rPr>
              <w:t>PAC</w:t>
            </w:r>
            <w:r>
              <w:rPr>
                <w:b/>
                <w:spacing w:val="-9"/>
                <w:sz w:val="18"/>
              </w:rPr>
              <w:t> </w:t>
            </w:r>
            <w:r>
              <w:rPr>
                <w:b/>
                <w:sz w:val="18"/>
              </w:rPr>
              <w:t>2.72.3:</w:t>
            </w:r>
            <w:r>
              <w:rPr>
                <w:b/>
                <w:spacing w:val="-4"/>
                <w:sz w:val="18"/>
              </w:rPr>
              <w:t> </w:t>
            </w:r>
            <w:r>
              <w:rPr>
                <w:sz w:val="18"/>
              </w:rPr>
              <w:t>Acompañar</w:t>
            </w:r>
            <w:r>
              <w:rPr>
                <w:spacing w:val="-9"/>
                <w:sz w:val="18"/>
              </w:rPr>
              <w:t> </w:t>
            </w:r>
            <w:r>
              <w:rPr>
                <w:sz w:val="18"/>
              </w:rPr>
              <w:t>a las UIPER en la elaboración de informes regionales de análisis de inversión social con base en la información generada en Power BI </w:t>
            </w:r>
            <w:r>
              <w:rPr>
                <w:spacing w:val="-4"/>
                <w:sz w:val="18"/>
              </w:rPr>
              <w:t>por</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19" w:right="4"/>
              <w:jc w:val="center"/>
              <w:rPr>
                <w:sz w:val="18"/>
              </w:rPr>
            </w:pPr>
            <w:r>
              <w:rPr>
                <w:spacing w:val="-5"/>
                <w:sz w:val="18"/>
              </w:rPr>
              <w:t>n/d</w:t>
            </w:r>
          </w:p>
        </w:tc>
        <w:tc>
          <w:tcPr>
            <w:tcW w:w="1354" w:type="dxa"/>
          </w:tcPr>
          <w:p>
            <w:pPr>
              <w:pStyle w:val="TableParagraph"/>
              <w:spacing w:before="55"/>
              <w:rPr>
                <w:b/>
                <w:sz w:val="18"/>
              </w:rPr>
            </w:pPr>
          </w:p>
          <w:p>
            <w:pPr>
              <w:pStyle w:val="TableParagraph"/>
              <w:spacing w:before="1"/>
              <w:ind w:left="110" w:right="93" w:firstLine="3"/>
              <w:jc w:val="center"/>
              <w:rPr>
                <w:sz w:val="18"/>
              </w:rPr>
            </w:pPr>
            <w:r>
              <w:rPr>
                <w:sz w:val="18"/>
              </w:rPr>
              <w:t>9 informes </w:t>
            </w:r>
            <w:r>
              <w:rPr>
                <w:spacing w:val="-2"/>
                <w:sz w:val="18"/>
              </w:rPr>
              <w:t>regionales elaborados </w:t>
            </w:r>
            <w:r>
              <w:rPr>
                <w:sz w:val="18"/>
              </w:rPr>
              <w:t>con datos del dashboard y orientación</w:t>
            </w:r>
            <w:r>
              <w:rPr>
                <w:spacing w:val="-13"/>
                <w:sz w:val="18"/>
              </w:rPr>
              <w:t> </w:t>
            </w:r>
            <w:r>
              <w:rPr>
                <w:sz w:val="18"/>
              </w:rPr>
              <w:t>de </w:t>
            </w:r>
            <w:r>
              <w:rPr>
                <w:spacing w:val="-2"/>
                <w:sz w:val="18"/>
              </w:rPr>
              <w:t>Planificación.</w:t>
            </w:r>
          </w:p>
        </w:tc>
        <w:tc>
          <w:tcPr>
            <w:tcW w:w="1776" w:type="dxa"/>
          </w:tcPr>
          <w:p>
            <w:pPr>
              <w:pStyle w:val="TableParagraph"/>
              <w:rPr>
                <w:b/>
                <w:sz w:val="18"/>
              </w:rPr>
            </w:pPr>
          </w:p>
          <w:p>
            <w:pPr>
              <w:pStyle w:val="TableParagraph"/>
              <w:spacing w:before="161"/>
              <w:rPr>
                <w:b/>
                <w:sz w:val="18"/>
              </w:rPr>
            </w:pPr>
          </w:p>
          <w:p>
            <w:pPr>
              <w:pStyle w:val="TableParagraph"/>
              <w:ind w:left="67" w:right="60"/>
              <w:rPr>
                <w:sz w:val="18"/>
              </w:rPr>
            </w:pPr>
            <w:r>
              <w:rPr>
                <w:sz w:val="18"/>
              </w:rPr>
              <w:t>Número</w:t>
            </w:r>
            <w:r>
              <w:rPr>
                <w:spacing w:val="-15"/>
                <w:sz w:val="18"/>
              </w:rPr>
              <w:t> </w:t>
            </w:r>
            <w:r>
              <w:rPr>
                <w:sz w:val="18"/>
              </w:rPr>
              <w:t>de</w:t>
            </w:r>
            <w:r>
              <w:rPr>
                <w:spacing w:val="-12"/>
                <w:sz w:val="18"/>
              </w:rPr>
              <w:t> </w:t>
            </w:r>
            <w:r>
              <w:rPr>
                <w:sz w:val="18"/>
              </w:rPr>
              <w:t>informes construidos con base en dashboard </w:t>
            </w:r>
            <w:r>
              <w:rPr>
                <w:spacing w:val="-2"/>
                <w:sz w:val="18"/>
              </w:rPr>
              <w:t>institucional.</w:t>
            </w:r>
          </w:p>
        </w:tc>
        <w:tc>
          <w:tcPr>
            <w:tcW w:w="1483" w:type="dxa"/>
          </w:tcPr>
          <w:p>
            <w:pPr>
              <w:pStyle w:val="TableParagraph"/>
              <w:rPr>
                <w:b/>
                <w:sz w:val="18"/>
              </w:rPr>
            </w:pPr>
          </w:p>
          <w:p>
            <w:pPr>
              <w:pStyle w:val="TableParagraph"/>
              <w:spacing w:before="161"/>
              <w:rPr>
                <w:b/>
                <w:sz w:val="18"/>
              </w:rPr>
            </w:pPr>
          </w:p>
          <w:p>
            <w:pPr>
              <w:pStyle w:val="TableParagraph"/>
              <w:ind w:left="67" w:right="78"/>
              <w:rPr>
                <w:sz w:val="18"/>
              </w:rPr>
            </w:pPr>
            <w:r>
              <w:rPr>
                <w:sz w:val="18"/>
              </w:rPr>
              <w:t>Informes</w:t>
            </w:r>
            <w:r>
              <w:rPr>
                <w:spacing w:val="-13"/>
                <w:sz w:val="18"/>
              </w:rPr>
              <w:t> </w:t>
            </w:r>
            <w:r>
              <w:rPr>
                <w:sz w:val="18"/>
              </w:rPr>
              <w:t>finales, fichas técnicas, actas de </w:t>
            </w:r>
            <w:r>
              <w:rPr>
                <w:spacing w:val="-2"/>
                <w:sz w:val="18"/>
              </w:rPr>
              <w:t>revisión.</w:t>
            </w:r>
          </w:p>
        </w:tc>
        <w:tc>
          <w:tcPr>
            <w:tcW w:w="1296" w:type="dxa"/>
          </w:tcPr>
          <w:p>
            <w:pPr>
              <w:pStyle w:val="TableParagraph"/>
              <w:rPr>
                <w:b/>
                <w:sz w:val="18"/>
              </w:rPr>
            </w:pPr>
          </w:p>
          <w:p>
            <w:pPr>
              <w:pStyle w:val="TableParagraph"/>
              <w:rPr>
                <w:b/>
                <w:sz w:val="18"/>
              </w:rPr>
            </w:pPr>
          </w:p>
          <w:p>
            <w:pPr>
              <w:pStyle w:val="TableParagraph"/>
              <w:spacing w:before="160"/>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rFonts w:ascii="Times New Roman"/>
                <w:sz w:val="18"/>
              </w:rPr>
            </w:pPr>
          </w:p>
        </w:tc>
      </w:tr>
      <w:tr>
        <w:trPr>
          <w:trHeight w:val="1829" w:hRule="atLeast"/>
        </w:trPr>
        <w:tc>
          <w:tcPr>
            <w:tcW w:w="3193" w:type="dxa"/>
          </w:tcPr>
          <w:p>
            <w:pPr>
              <w:pStyle w:val="TableParagraph"/>
              <w:spacing w:before="85"/>
              <w:rPr>
                <w:b/>
                <w:sz w:val="18"/>
              </w:rPr>
            </w:pPr>
          </w:p>
          <w:p>
            <w:pPr>
              <w:pStyle w:val="TableParagraph"/>
              <w:ind w:left="72" w:right="111"/>
              <w:rPr>
                <w:sz w:val="18"/>
              </w:rPr>
            </w:pPr>
            <w:r>
              <w:rPr>
                <w:b/>
                <w:sz w:val="18"/>
              </w:rPr>
              <w:t>Actividad PAC 2.72.4: </w:t>
            </w:r>
            <w:r>
              <w:rPr>
                <w:sz w:val="18"/>
              </w:rPr>
              <w:t>Validar los informes</w:t>
            </w:r>
            <w:r>
              <w:rPr>
                <w:spacing w:val="-10"/>
                <w:sz w:val="18"/>
              </w:rPr>
              <w:t> </w:t>
            </w:r>
            <w:r>
              <w:rPr>
                <w:sz w:val="18"/>
              </w:rPr>
              <w:t>construidos</w:t>
            </w:r>
            <w:r>
              <w:rPr>
                <w:spacing w:val="-10"/>
                <w:sz w:val="18"/>
              </w:rPr>
              <w:t> </w:t>
            </w:r>
            <w:r>
              <w:rPr>
                <w:sz w:val="18"/>
              </w:rPr>
              <w:t>por</w:t>
            </w:r>
            <w:r>
              <w:rPr>
                <w:spacing w:val="-9"/>
                <w:sz w:val="18"/>
              </w:rPr>
              <w:t> </w:t>
            </w:r>
            <w:r>
              <w:rPr>
                <w:sz w:val="18"/>
              </w:rPr>
              <w:t>las</w:t>
            </w:r>
            <w:r>
              <w:rPr>
                <w:spacing w:val="-10"/>
                <w:sz w:val="18"/>
              </w:rPr>
              <w:t> </w:t>
            </w:r>
            <w:r>
              <w:rPr>
                <w:sz w:val="18"/>
              </w:rPr>
              <w:t>UIPER, asegurando consistencia con los datos</w:t>
            </w:r>
            <w:r>
              <w:rPr>
                <w:spacing w:val="-1"/>
                <w:sz w:val="18"/>
              </w:rPr>
              <w:t> </w:t>
            </w:r>
            <w:r>
              <w:rPr>
                <w:sz w:val="18"/>
              </w:rPr>
              <w:t>del</w:t>
            </w:r>
            <w:r>
              <w:rPr>
                <w:spacing w:val="-4"/>
                <w:sz w:val="18"/>
              </w:rPr>
              <w:t> </w:t>
            </w:r>
            <w:r>
              <w:rPr>
                <w:sz w:val="18"/>
              </w:rPr>
              <w:t>dashboard</w:t>
            </w:r>
            <w:r>
              <w:rPr>
                <w:spacing w:val="-1"/>
                <w:sz w:val="18"/>
              </w:rPr>
              <w:t> </w:t>
            </w:r>
            <w:r>
              <w:rPr>
                <w:sz w:val="18"/>
              </w:rPr>
              <w:t>institucional</w:t>
            </w:r>
            <w:r>
              <w:rPr>
                <w:spacing w:val="-4"/>
                <w:sz w:val="18"/>
              </w:rPr>
              <w:t> </w:t>
            </w:r>
            <w:r>
              <w:rPr>
                <w:sz w:val="18"/>
              </w:rPr>
              <w:t>de Power BI y pertinencia</w:t>
            </w:r>
            <w:r>
              <w:rPr>
                <w:spacing w:val="-1"/>
                <w:sz w:val="18"/>
              </w:rPr>
              <w:t> </w:t>
            </w:r>
            <w:r>
              <w:rPr>
                <w:sz w:val="18"/>
              </w:rPr>
              <w:t>para</w:t>
            </w:r>
            <w:r>
              <w:rPr>
                <w:spacing w:val="-1"/>
                <w:sz w:val="18"/>
              </w:rPr>
              <w:t> </w:t>
            </w:r>
            <w:r>
              <w:rPr>
                <w:sz w:val="18"/>
              </w:rPr>
              <w:t>la</w:t>
            </w:r>
            <w:r>
              <w:rPr>
                <w:spacing w:val="-1"/>
                <w:sz w:val="18"/>
              </w:rPr>
              <w:t> </w:t>
            </w:r>
            <w:r>
              <w:rPr>
                <w:sz w:val="18"/>
              </w:rPr>
              <w:t>toma de decisiones.</w:t>
            </w:r>
          </w:p>
        </w:tc>
        <w:tc>
          <w:tcPr>
            <w:tcW w:w="1354" w:type="dxa"/>
          </w:tcPr>
          <w:p>
            <w:pPr>
              <w:pStyle w:val="TableParagraph"/>
              <w:rPr>
                <w:b/>
                <w:sz w:val="18"/>
              </w:rPr>
            </w:pPr>
          </w:p>
          <w:p>
            <w:pPr>
              <w:pStyle w:val="TableParagraph"/>
              <w:rPr>
                <w:b/>
                <w:sz w:val="18"/>
              </w:rPr>
            </w:pPr>
          </w:p>
          <w:p>
            <w:pPr>
              <w:pStyle w:val="TableParagraph"/>
              <w:spacing w:before="189"/>
              <w:rPr>
                <w:b/>
                <w:sz w:val="18"/>
              </w:rPr>
            </w:pPr>
          </w:p>
          <w:p>
            <w:pPr>
              <w:pStyle w:val="TableParagraph"/>
              <w:spacing w:before="1"/>
              <w:ind w:left="19" w:right="4"/>
              <w:jc w:val="center"/>
              <w:rPr>
                <w:sz w:val="18"/>
              </w:rPr>
            </w:pPr>
            <w:r>
              <w:rPr>
                <w:spacing w:val="-5"/>
                <w:sz w:val="18"/>
              </w:rPr>
              <w:t>n/d</w:t>
            </w:r>
          </w:p>
        </w:tc>
        <w:tc>
          <w:tcPr>
            <w:tcW w:w="1354" w:type="dxa"/>
          </w:tcPr>
          <w:p>
            <w:pPr>
              <w:pStyle w:val="TableParagraph"/>
              <w:spacing w:before="186"/>
              <w:rPr>
                <w:b/>
                <w:sz w:val="18"/>
              </w:rPr>
            </w:pPr>
          </w:p>
          <w:p>
            <w:pPr>
              <w:pStyle w:val="TableParagraph"/>
              <w:ind w:left="143" w:right="124" w:hanging="3"/>
              <w:jc w:val="center"/>
              <w:rPr>
                <w:sz w:val="18"/>
              </w:rPr>
            </w:pPr>
            <w:r>
              <w:rPr>
                <w:sz w:val="18"/>
              </w:rPr>
              <w:t>100% de </w:t>
            </w:r>
            <w:r>
              <w:rPr>
                <w:spacing w:val="-2"/>
                <w:sz w:val="18"/>
              </w:rPr>
              <w:t>informes regionales </w:t>
            </w:r>
            <w:r>
              <w:rPr>
                <w:sz w:val="18"/>
              </w:rPr>
              <w:t>validados</w:t>
            </w:r>
            <w:r>
              <w:rPr>
                <w:spacing w:val="-13"/>
                <w:sz w:val="18"/>
              </w:rPr>
              <w:t> </w:t>
            </w:r>
            <w:r>
              <w:rPr>
                <w:sz w:val="18"/>
              </w:rPr>
              <w:t>por </w:t>
            </w:r>
            <w:r>
              <w:rPr>
                <w:spacing w:val="-2"/>
                <w:sz w:val="18"/>
              </w:rPr>
              <w:t>Planificación</w:t>
            </w:r>
          </w:p>
        </w:tc>
        <w:tc>
          <w:tcPr>
            <w:tcW w:w="1776" w:type="dxa"/>
          </w:tcPr>
          <w:p>
            <w:pPr>
              <w:pStyle w:val="TableParagraph"/>
              <w:rPr>
                <w:b/>
                <w:sz w:val="18"/>
              </w:rPr>
            </w:pPr>
          </w:p>
          <w:p>
            <w:pPr>
              <w:pStyle w:val="TableParagraph"/>
              <w:spacing w:before="84"/>
              <w:rPr>
                <w:b/>
                <w:sz w:val="18"/>
              </w:rPr>
            </w:pPr>
          </w:p>
          <w:p>
            <w:pPr>
              <w:pStyle w:val="TableParagraph"/>
              <w:ind w:left="67"/>
              <w:rPr>
                <w:sz w:val="18"/>
              </w:rPr>
            </w:pPr>
            <w:r>
              <w:rPr>
                <w:sz w:val="18"/>
              </w:rPr>
              <w:t>%</w:t>
            </w:r>
            <w:r>
              <w:rPr>
                <w:spacing w:val="-15"/>
                <w:sz w:val="18"/>
              </w:rPr>
              <w:t> </w:t>
            </w:r>
            <w:r>
              <w:rPr>
                <w:sz w:val="18"/>
              </w:rPr>
              <w:t>de</w:t>
            </w:r>
            <w:r>
              <w:rPr>
                <w:spacing w:val="-12"/>
                <w:sz w:val="18"/>
              </w:rPr>
              <w:t> </w:t>
            </w:r>
            <w:r>
              <w:rPr>
                <w:sz w:val="18"/>
              </w:rPr>
              <w:t>informes validados por </w:t>
            </w:r>
            <w:r>
              <w:rPr>
                <w:spacing w:val="-2"/>
                <w:sz w:val="18"/>
              </w:rPr>
              <w:t>planificación institucional</w:t>
            </w:r>
          </w:p>
        </w:tc>
        <w:tc>
          <w:tcPr>
            <w:tcW w:w="1483" w:type="dxa"/>
          </w:tcPr>
          <w:p>
            <w:pPr>
              <w:pStyle w:val="TableParagraph"/>
              <w:spacing w:before="85"/>
              <w:rPr>
                <w:b/>
                <w:sz w:val="18"/>
              </w:rPr>
            </w:pPr>
          </w:p>
          <w:p>
            <w:pPr>
              <w:pStyle w:val="TableParagraph"/>
              <w:ind w:left="67" w:right="198"/>
              <w:rPr>
                <w:sz w:val="18"/>
              </w:rPr>
            </w:pPr>
            <w:r>
              <w:rPr>
                <w:sz w:val="18"/>
              </w:rPr>
              <w:t>Correos de </w:t>
            </w:r>
            <w:r>
              <w:rPr>
                <w:spacing w:val="-2"/>
                <w:sz w:val="18"/>
              </w:rPr>
              <w:t>validación, observaciones </w:t>
            </w:r>
            <w:r>
              <w:rPr>
                <w:sz w:val="18"/>
              </w:rPr>
              <w:t>de revisión, </w:t>
            </w:r>
            <w:r>
              <w:rPr>
                <w:spacing w:val="-2"/>
                <w:sz w:val="18"/>
              </w:rPr>
              <w:t>versiones finales.</w:t>
            </w:r>
          </w:p>
        </w:tc>
        <w:tc>
          <w:tcPr>
            <w:tcW w:w="1296" w:type="dxa"/>
          </w:tcPr>
          <w:p>
            <w:pPr>
              <w:pStyle w:val="TableParagraph"/>
              <w:rPr>
                <w:b/>
                <w:sz w:val="18"/>
              </w:rPr>
            </w:pPr>
          </w:p>
          <w:p>
            <w:pPr>
              <w:pStyle w:val="TableParagraph"/>
              <w:rPr>
                <w:b/>
                <w:sz w:val="18"/>
              </w:rPr>
            </w:pPr>
          </w:p>
          <w:p>
            <w:pPr>
              <w:pStyle w:val="TableParagraph"/>
              <w:spacing w:before="84"/>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537" w:hRule="atLeast"/>
        </w:trPr>
        <w:tc>
          <w:tcPr>
            <w:tcW w:w="14598" w:type="dxa"/>
            <w:gridSpan w:val="8"/>
            <w:shd w:val="clear" w:color="auto" w:fill="EFF8F9"/>
          </w:tcPr>
          <w:p>
            <w:pPr>
              <w:pStyle w:val="TableParagraph"/>
              <w:spacing w:before="167"/>
              <w:ind w:left="72"/>
              <w:rPr>
                <w:b/>
                <w:sz w:val="18"/>
              </w:rPr>
            </w:pPr>
            <w:r>
              <w:rPr>
                <w:b/>
                <w:sz w:val="18"/>
              </w:rPr>
              <w:t>Producto</w:t>
            </w:r>
            <w:r>
              <w:rPr>
                <w:b/>
                <w:spacing w:val="-7"/>
                <w:sz w:val="18"/>
              </w:rPr>
              <w:t> </w:t>
            </w:r>
            <w:r>
              <w:rPr>
                <w:b/>
                <w:sz w:val="18"/>
              </w:rPr>
              <w:t>PAC</w:t>
            </w:r>
            <w:r>
              <w:rPr>
                <w:b/>
                <w:spacing w:val="-8"/>
                <w:sz w:val="18"/>
              </w:rPr>
              <w:t> </w:t>
            </w:r>
            <w:r>
              <w:rPr>
                <w:b/>
                <w:sz w:val="18"/>
              </w:rPr>
              <w:t>2.73:</w:t>
            </w:r>
            <w:r>
              <w:rPr>
                <w:b/>
                <w:spacing w:val="-4"/>
                <w:sz w:val="18"/>
              </w:rPr>
              <w:t> </w:t>
            </w:r>
            <w:r>
              <w:rPr>
                <w:b/>
                <w:sz w:val="18"/>
              </w:rPr>
              <w:t>Planes</w:t>
            </w:r>
            <w:r>
              <w:rPr>
                <w:b/>
                <w:spacing w:val="-2"/>
                <w:sz w:val="18"/>
              </w:rPr>
              <w:t> </w:t>
            </w:r>
            <w:r>
              <w:rPr>
                <w:b/>
                <w:sz w:val="18"/>
              </w:rPr>
              <w:t>y</w:t>
            </w:r>
            <w:r>
              <w:rPr>
                <w:b/>
                <w:spacing w:val="-6"/>
                <w:sz w:val="18"/>
              </w:rPr>
              <w:t> </w:t>
            </w:r>
            <w:r>
              <w:rPr>
                <w:b/>
                <w:sz w:val="18"/>
              </w:rPr>
              <w:t>presupuestos</w:t>
            </w:r>
            <w:r>
              <w:rPr>
                <w:b/>
                <w:spacing w:val="-6"/>
                <w:sz w:val="18"/>
              </w:rPr>
              <w:t> </w:t>
            </w:r>
            <w:r>
              <w:rPr>
                <w:b/>
                <w:sz w:val="18"/>
              </w:rPr>
              <w:t>de</w:t>
            </w:r>
            <w:r>
              <w:rPr>
                <w:b/>
                <w:spacing w:val="-6"/>
                <w:sz w:val="18"/>
              </w:rPr>
              <w:t> </w:t>
            </w:r>
            <w:r>
              <w:rPr>
                <w:b/>
                <w:sz w:val="18"/>
              </w:rPr>
              <w:t>inversión</w:t>
            </w:r>
            <w:r>
              <w:rPr>
                <w:b/>
                <w:spacing w:val="-7"/>
                <w:sz w:val="18"/>
              </w:rPr>
              <w:t> </w:t>
            </w:r>
            <w:r>
              <w:rPr>
                <w:b/>
                <w:sz w:val="18"/>
              </w:rPr>
              <w:t>social</w:t>
            </w:r>
            <w:r>
              <w:rPr>
                <w:b/>
                <w:spacing w:val="1"/>
                <w:sz w:val="18"/>
              </w:rPr>
              <w:t> </w:t>
            </w:r>
            <w:r>
              <w:rPr>
                <w:b/>
                <w:sz w:val="18"/>
              </w:rPr>
              <w:t>del</w:t>
            </w:r>
            <w:r>
              <w:rPr>
                <w:b/>
                <w:spacing w:val="-4"/>
                <w:sz w:val="18"/>
              </w:rPr>
              <w:t> </w:t>
            </w:r>
            <w:r>
              <w:rPr>
                <w:b/>
                <w:sz w:val="18"/>
              </w:rPr>
              <w:t>IMAS,</w:t>
            </w:r>
            <w:r>
              <w:rPr>
                <w:b/>
                <w:spacing w:val="-5"/>
                <w:sz w:val="18"/>
              </w:rPr>
              <w:t> </w:t>
            </w:r>
            <w:r>
              <w:rPr>
                <w:b/>
                <w:sz w:val="18"/>
              </w:rPr>
              <w:t>formulados</w:t>
            </w:r>
            <w:r>
              <w:rPr>
                <w:b/>
                <w:spacing w:val="-5"/>
                <w:sz w:val="18"/>
              </w:rPr>
              <w:t> </w:t>
            </w:r>
            <w:r>
              <w:rPr>
                <w:b/>
                <w:sz w:val="18"/>
              </w:rPr>
              <w:t>con</w:t>
            </w:r>
            <w:r>
              <w:rPr>
                <w:b/>
                <w:spacing w:val="-7"/>
                <w:sz w:val="18"/>
              </w:rPr>
              <w:t> </w:t>
            </w:r>
            <w:r>
              <w:rPr>
                <w:b/>
                <w:sz w:val="18"/>
              </w:rPr>
              <w:t>base</w:t>
            </w:r>
            <w:r>
              <w:rPr>
                <w:b/>
                <w:spacing w:val="-6"/>
                <w:sz w:val="18"/>
              </w:rPr>
              <w:t> </w:t>
            </w:r>
            <w:r>
              <w:rPr>
                <w:b/>
                <w:sz w:val="18"/>
              </w:rPr>
              <w:t>en</w:t>
            </w:r>
            <w:r>
              <w:rPr>
                <w:b/>
                <w:spacing w:val="-7"/>
                <w:sz w:val="18"/>
              </w:rPr>
              <w:t> </w:t>
            </w:r>
            <w:r>
              <w:rPr>
                <w:b/>
                <w:sz w:val="18"/>
              </w:rPr>
              <w:t>datos</w:t>
            </w:r>
            <w:r>
              <w:rPr>
                <w:b/>
                <w:spacing w:val="-6"/>
                <w:sz w:val="18"/>
              </w:rPr>
              <w:t> </w:t>
            </w:r>
            <w:r>
              <w:rPr>
                <w:b/>
                <w:sz w:val="18"/>
              </w:rPr>
              <w:t>del</w:t>
            </w:r>
            <w:r>
              <w:rPr>
                <w:b/>
                <w:spacing w:val="1"/>
                <w:sz w:val="18"/>
              </w:rPr>
              <w:t> </w:t>
            </w:r>
            <w:r>
              <w:rPr>
                <w:b/>
                <w:sz w:val="18"/>
              </w:rPr>
              <w:t>SINIRUBE. E1</w:t>
            </w:r>
            <w:r>
              <w:rPr>
                <w:b/>
                <w:spacing w:val="-6"/>
                <w:sz w:val="18"/>
              </w:rPr>
              <w:t> </w:t>
            </w:r>
            <w:r>
              <w:rPr>
                <w:b/>
                <w:sz w:val="18"/>
              </w:rPr>
              <w:t>AE4</w:t>
            </w:r>
            <w:r>
              <w:rPr>
                <w:b/>
                <w:spacing w:val="-2"/>
                <w:sz w:val="18"/>
              </w:rPr>
              <w:t> </w:t>
            </w:r>
            <w:r>
              <w:rPr>
                <w:b/>
                <w:sz w:val="18"/>
              </w:rPr>
              <w:t>R3</w:t>
            </w:r>
            <w:r>
              <w:rPr>
                <w:b/>
                <w:spacing w:val="-11"/>
                <w:sz w:val="18"/>
              </w:rPr>
              <w:t> </w:t>
            </w:r>
            <w:r>
              <w:rPr>
                <w:b/>
                <w:spacing w:val="-2"/>
                <w:sz w:val="18"/>
              </w:rPr>
              <w:t>(80%)</w:t>
            </w:r>
          </w:p>
        </w:tc>
      </w:tr>
      <w:tr>
        <w:trPr>
          <w:trHeight w:val="1425" w:hRule="atLeast"/>
        </w:trPr>
        <w:tc>
          <w:tcPr>
            <w:tcW w:w="3193" w:type="dxa"/>
          </w:tcPr>
          <w:p>
            <w:pPr>
              <w:pStyle w:val="TableParagraph"/>
              <w:spacing w:before="195"/>
              <w:rPr>
                <w:b/>
                <w:sz w:val="18"/>
              </w:rPr>
            </w:pPr>
          </w:p>
          <w:p>
            <w:pPr>
              <w:pStyle w:val="TableParagraph"/>
              <w:spacing w:line="242" w:lineRule="auto"/>
              <w:ind w:left="72"/>
              <w:rPr>
                <w:sz w:val="18"/>
              </w:rPr>
            </w:pPr>
            <w:r>
              <w:rPr>
                <w:b/>
                <w:sz w:val="18"/>
              </w:rPr>
              <w:t>Actividad</w:t>
            </w:r>
            <w:r>
              <w:rPr>
                <w:b/>
                <w:spacing w:val="-10"/>
                <w:sz w:val="18"/>
              </w:rPr>
              <w:t> </w:t>
            </w:r>
            <w:r>
              <w:rPr>
                <w:b/>
                <w:sz w:val="18"/>
              </w:rPr>
              <w:t>PAC</w:t>
            </w:r>
            <w:r>
              <w:rPr>
                <w:b/>
                <w:spacing w:val="-7"/>
                <w:sz w:val="18"/>
              </w:rPr>
              <w:t> </w:t>
            </w:r>
            <w:r>
              <w:rPr>
                <w:b/>
                <w:sz w:val="18"/>
              </w:rPr>
              <w:t>2.73.1:</w:t>
            </w:r>
            <w:r>
              <w:rPr>
                <w:b/>
                <w:spacing w:val="-2"/>
                <w:sz w:val="18"/>
              </w:rPr>
              <w:t> </w:t>
            </w:r>
            <w:r>
              <w:rPr>
                <w:sz w:val="18"/>
              </w:rPr>
              <w:t>Asesorar</w:t>
            </w:r>
            <w:r>
              <w:rPr>
                <w:spacing w:val="-8"/>
                <w:sz w:val="18"/>
              </w:rPr>
              <w:t> </w:t>
            </w:r>
            <w:r>
              <w:rPr>
                <w:sz w:val="18"/>
              </w:rPr>
              <w:t>a</w:t>
            </w:r>
            <w:r>
              <w:rPr>
                <w:spacing w:val="-6"/>
                <w:sz w:val="18"/>
              </w:rPr>
              <w:t> </w:t>
            </w:r>
            <w:r>
              <w:rPr>
                <w:sz w:val="18"/>
              </w:rPr>
              <w:t>las UIPER en la formulación del Plan de Inversión Regional</w:t>
            </w:r>
          </w:p>
        </w:tc>
        <w:tc>
          <w:tcPr>
            <w:tcW w:w="1354" w:type="dxa"/>
          </w:tcPr>
          <w:p>
            <w:pPr>
              <w:pStyle w:val="TableParagraph"/>
              <w:rPr>
                <w:b/>
                <w:sz w:val="18"/>
              </w:rPr>
            </w:pPr>
          </w:p>
          <w:p>
            <w:pPr>
              <w:pStyle w:val="TableParagraph"/>
              <w:spacing w:before="195"/>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spacing w:before="195"/>
              <w:rPr>
                <w:b/>
                <w:sz w:val="18"/>
              </w:rPr>
            </w:pPr>
          </w:p>
          <w:p>
            <w:pPr>
              <w:pStyle w:val="TableParagraph"/>
              <w:ind w:left="19" w:right="9"/>
              <w:jc w:val="center"/>
              <w:rPr>
                <w:sz w:val="18"/>
              </w:rPr>
            </w:pPr>
            <w:r>
              <w:rPr>
                <w:spacing w:val="-5"/>
                <w:sz w:val="18"/>
              </w:rPr>
              <w:t>18</w:t>
            </w:r>
          </w:p>
        </w:tc>
        <w:tc>
          <w:tcPr>
            <w:tcW w:w="1776" w:type="dxa"/>
          </w:tcPr>
          <w:p>
            <w:pPr>
              <w:pStyle w:val="TableParagraph"/>
              <w:spacing w:before="195"/>
              <w:rPr>
                <w:b/>
                <w:sz w:val="18"/>
              </w:rPr>
            </w:pPr>
          </w:p>
          <w:p>
            <w:pPr>
              <w:pStyle w:val="TableParagraph"/>
              <w:spacing w:line="242" w:lineRule="auto"/>
              <w:ind w:left="67" w:right="131"/>
              <w:rPr>
                <w:sz w:val="18"/>
              </w:rPr>
            </w:pPr>
            <w:r>
              <w:rPr>
                <w:sz w:val="18"/>
              </w:rPr>
              <w:t>Cantidad de sesiones de asesoría</w:t>
            </w:r>
            <w:r>
              <w:rPr>
                <w:spacing w:val="-13"/>
                <w:sz w:val="18"/>
              </w:rPr>
              <w:t> </w:t>
            </w:r>
            <w:r>
              <w:rPr>
                <w:sz w:val="18"/>
              </w:rPr>
              <w:t>realizadas</w:t>
            </w:r>
          </w:p>
        </w:tc>
        <w:tc>
          <w:tcPr>
            <w:tcW w:w="1483" w:type="dxa"/>
          </w:tcPr>
          <w:p>
            <w:pPr>
              <w:pStyle w:val="TableParagraph"/>
              <w:spacing w:before="195"/>
              <w:rPr>
                <w:b/>
                <w:sz w:val="18"/>
              </w:rPr>
            </w:pPr>
          </w:p>
          <w:p>
            <w:pPr>
              <w:pStyle w:val="TableParagraph"/>
              <w:spacing w:line="242" w:lineRule="auto"/>
              <w:ind w:left="67"/>
              <w:rPr>
                <w:sz w:val="18"/>
              </w:rPr>
            </w:pPr>
            <w:r>
              <w:rPr>
                <w:sz w:val="18"/>
              </w:rPr>
              <w:t>Minutas de reuniones</w:t>
            </w:r>
            <w:r>
              <w:rPr>
                <w:spacing w:val="-13"/>
                <w:sz w:val="18"/>
              </w:rPr>
              <w:t> </w:t>
            </w:r>
            <w:r>
              <w:rPr>
                <w:sz w:val="18"/>
              </w:rPr>
              <w:t>de </w:t>
            </w:r>
            <w:r>
              <w:rPr>
                <w:spacing w:val="-2"/>
                <w:sz w:val="18"/>
              </w:rPr>
              <w:t>asesoría</w:t>
            </w:r>
          </w:p>
        </w:tc>
        <w:tc>
          <w:tcPr>
            <w:tcW w:w="1296" w:type="dxa"/>
          </w:tcPr>
          <w:p>
            <w:pPr>
              <w:pStyle w:val="TableParagraph"/>
              <w:rPr>
                <w:b/>
                <w:sz w:val="18"/>
              </w:rPr>
            </w:pPr>
          </w:p>
          <w:p>
            <w:pPr>
              <w:pStyle w:val="TableParagraph"/>
              <w:spacing w:before="94"/>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74" w:right="112"/>
              <w:rPr>
                <w:sz w:val="18"/>
              </w:rPr>
            </w:pPr>
            <w:r>
              <w:rPr>
                <w:sz w:val="18"/>
              </w:rPr>
              <w:t>Evento:</w:t>
            </w:r>
            <w:r>
              <w:rPr>
                <w:spacing w:val="-15"/>
                <w:sz w:val="18"/>
              </w:rPr>
              <w:t> </w:t>
            </w:r>
            <w:r>
              <w:rPr>
                <w:sz w:val="18"/>
              </w:rPr>
              <w:t>Presupuesto</w:t>
            </w:r>
            <w:r>
              <w:rPr>
                <w:spacing w:val="-12"/>
                <w:sz w:val="18"/>
              </w:rPr>
              <w:t> </w:t>
            </w:r>
            <w:r>
              <w:rPr>
                <w:sz w:val="18"/>
              </w:rPr>
              <w:t>de inversión social se ejecute sin criterios de priorización y </w:t>
            </w:r>
            <w:r>
              <w:rPr>
                <w:spacing w:val="-2"/>
                <w:sz w:val="18"/>
              </w:rPr>
              <w:t>regionalización</w:t>
            </w:r>
          </w:p>
        </w:tc>
      </w:tr>
      <w:tr>
        <w:trPr>
          <w:trHeight w:val="1368" w:hRule="atLeast"/>
        </w:trPr>
        <w:tc>
          <w:tcPr>
            <w:tcW w:w="3193" w:type="dxa"/>
          </w:tcPr>
          <w:p>
            <w:pPr>
              <w:pStyle w:val="TableParagraph"/>
              <w:spacing w:before="166"/>
              <w:rPr>
                <w:b/>
                <w:sz w:val="18"/>
              </w:rPr>
            </w:pPr>
          </w:p>
          <w:p>
            <w:pPr>
              <w:pStyle w:val="TableParagraph"/>
              <w:spacing w:before="1"/>
              <w:ind w:left="72" w:right="270"/>
              <w:jc w:val="both"/>
              <w:rPr>
                <w:sz w:val="18"/>
              </w:rPr>
            </w:pPr>
            <w:r>
              <w:rPr>
                <w:b/>
                <w:sz w:val="18"/>
              </w:rPr>
              <w:t>Actividad</w:t>
            </w:r>
            <w:r>
              <w:rPr>
                <w:b/>
                <w:spacing w:val="-12"/>
                <w:sz w:val="18"/>
              </w:rPr>
              <w:t> </w:t>
            </w:r>
            <w:r>
              <w:rPr>
                <w:b/>
                <w:sz w:val="18"/>
              </w:rPr>
              <w:t>PAC</w:t>
            </w:r>
            <w:r>
              <w:rPr>
                <w:b/>
                <w:spacing w:val="-8"/>
                <w:sz w:val="18"/>
              </w:rPr>
              <w:t> </w:t>
            </w:r>
            <w:r>
              <w:rPr>
                <w:b/>
                <w:sz w:val="18"/>
              </w:rPr>
              <w:t>2.73.2:</w:t>
            </w:r>
            <w:r>
              <w:rPr>
                <w:b/>
                <w:spacing w:val="-3"/>
                <w:sz w:val="18"/>
              </w:rPr>
              <w:t> </w:t>
            </w:r>
            <w:r>
              <w:rPr>
                <w:sz w:val="18"/>
              </w:rPr>
              <w:t>Elaborar</w:t>
            </w:r>
            <w:r>
              <w:rPr>
                <w:spacing w:val="-9"/>
                <w:sz w:val="18"/>
              </w:rPr>
              <w:t> </w:t>
            </w:r>
            <w:r>
              <w:rPr>
                <w:sz w:val="18"/>
              </w:rPr>
              <w:t>un informe</w:t>
            </w:r>
            <w:r>
              <w:rPr>
                <w:spacing w:val="-1"/>
                <w:sz w:val="18"/>
              </w:rPr>
              <w:t> </w:t>
            </w:r>
            <w:r>
              <w:rPr>
                <w:sz w:val="18"/>
              </w:rPr>
              <w:t>de</w:t>
            </w:r>
            <w:r>
              <w:rPr>
                <w:spacing w:val="-1"/>
                <w:sz w:val="18"/>
              </w:rPr>
              <w:t> </w:t>
            </w:r>
            <w:r>
              <w:rPr>
                <w:sz w:val="18"/>
              </w:rPr>
              <w:t>resultados de</w:t>
            </w:r>
            <w:r>
              <w:rPr>
                <w:spacing w:val="-1"/>
                <w:sz w:val="18"/>
              </w:rPr>
              <w:t> </w:t>
            </w:r>
            <w:r>
              <w:rPr>
                <w:sz w:val="18"/>
              </w:rPr>
              <w:t>los nueve planes de inversión regional</w:t>
            </w:r>
          </w:p>
        </w:tc>
        <w:tc>
          <w:tcPr>
            <w:tcW w:w="1354" w:type="dxa"/>
          </w:tcPr>
          <w:p>
            <w:pPr>
              <w:pStyle w:val="TableParagraph"/>
              <w:rPr>
                <w:b/>
                <w:sz w:val="18"/>
              </w:rPr>
            </w:pPr>
          </w:p>
          <w:p>
            <w:pPr>
              <w:pStyle w:val="TableParagraph"/>
              <w:spacing w:before="166"/>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spacing w:before="166"/>
              <w:rPr>
                <w:b/>
                <w:sz w:val="18"/>
              </w:rPr>
            </w:pPr>
          </w:p>
          <w:p>
            <w:pPr>
              <w:pStyle w:val="TableParagraph"/>
              <w:ind w:left="19" w:right="4"/>
              <w:jc w:val="center"/>
              <w:rPr>
                <w:sz w:val="18"/>
              </w:rPr>
            </w:pPr>
            <w:r>
              <w:rPr>
                <w:spacing w:val="-10"/>
                <w:sz w:val="18"/>
              </w:rPr>
              <w:t>1</w:t>
            </w:r>
          </w:p>
        </w:tc>
        <w:tc>
          <w:tcPr>
            <w:tcW w:w="1776" w:type="dxa"/>
          </w:tcPr>
          <w:p>
            <w:pPr>
              <w:pStyle w:val="TableParagraph"/>
              <w:spacing w:before="166"/>
              <w:rPr>
                <w:b/>
                <w:sz w:val="18"/>
              </w:rPr>
            </w:pPr>
          </w:p>
          <w:p>
            <w:pPr>
              <w:pStyle w:val="TableParagraph"/>
              <w:spacing w:before="1"/>
              <w:ind w:left="67" w:right="712"/>
              <w:jc w:val="both"/>
              <w:rPr>
                <w:sz w:val="18"/>
              </w:rPr>
            </w:pPr>
            <w:r>
              <w:rPr>
                <w:sz w:val="18"/>
              </w:rPr>
              <w:t>Cantidad</w:t>
            </w:r>
            <w:r>
              <w:rPr>
                <w:spacing w:val="-13"/>
                <w:sz w:val="18"/>
              </w:rPr>
              <w:t> </w:t>
            </w:r>
            <w:r>
              <w:rPr>
                <w:sz w:val="18"/>
              </w:rPr>
              <w:t>de </w:t>
            </w:r>
            <w:r>
              <w:rPr>
                <w:spacing w:val="-2"/>
                <w:sz w:val="18"/>
              </w:rPr>
              <w:t>documentos elaborados</w:t>
            </w:r>
          </w:p>
        </w:tc>
        <w:tc>
          <w:tcPr>
            <w:tcW w:w="1483" w:type="dxa"/>
          </w:tcPr>
          <w:p>
            <w:pPr>
              <w:pStyle w:val="TableParagraph"/>
              <w:spacing w:before="166"/>
              <w:rPr>
                <w:b/>
                <w:sz w:val="18"/>
              </w:rPr>
            </w:pPr>
          </w:p>
          <w:p>
            <w:pPr>
              <w:pStyle w:val="TableParagraph"/>
              <w:spacing w:before="1"/>
              <w:ind w:left="67" w:right="198"/>
              <w:rPr>
                <w:sz w:val="18"/>
              </w:rPr>
            </w:pPr>
            <w:r>
              <w:rPr>
                <w:spacing w:val="-2"/>
                <w:sz w:val="18"/>
              </w:rPr>
              <w:t>Informe </w:t>
            </w:r>
            <w:r>
              <w:rPr>
                <w:sz w:val="18"/>
              </w:rPr>
              <w:t>elaborado</w:t>
            </w:r>
            <w:r>
              <w:rPr>
                <w:spacing w:val="-13"/>
                <w:sz w:val="18"/>
              </w:rPr>
              <w:t> </w:t>
            </w:r>
            <w:r>
              <w:rPr>
                <w:sz w:val="18"/>
              </w:rPr>
              <w:t>y </w:t>
            </w:r>
            <w:r>
              <w:rPr>
                <w:spacing w:val="-2"/>
                <w:sz w:val="18"/>
              </w:rPr>
              <w:t>remitido</w:t>
            </w:r>
          </w:p>
        </w:tc>
        <w:tc>
          <w:tcPr>
            <w:tcW w:w="1296" w:type="dxa"/>
          </w:tcPr>
          <w:p>
            <w:pPr>
              <w:pStyle w:val="TableParagraph"/>
              <w:rPr>
                <w:b/>
                <w:sz w:val="18"/>
              </w:rPr>
            </w:pPr>
          </w:p>
          <w:p>
            <w:pPr>
              <w:pStyle w:val="TableParagraph"/>
              <w:spacing w:before="65"/>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731"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199" w:hRule="atLeast"/>
        </w:trPr>
        <w:tc>
          <w:tcPr>
            <w:tcW w:w="3193" w:type="dxa"/>
          </w:tcPr>
          <w:p>
            <w:pPr>
              <w:pStyle w:val="TableParagraph"/>
              <w:spacing w:before="79"/>
              <w:rPr>
                <w:b/>
                <w:sz w:val="18"/>
              </w:rPr>
            </w:pPr>
          </w:p>
          <w:p>
            <w:pPr>
              <w:pStyle w:val="TableParagraph"/>
              <w:spacing w:line="242" w:lineRule="auto" w:before="1"/>
              <w:ind w:left="72"/>
              <w:rPr>
                <w:sz w:val="18"/>
              </w:rPr>
            </w:pPr>
            <w:r>
              <w:rPr>
                <w:b/>
                <w:sz w:val="18"/>
              </w:rPr>
              <w:t>Actividad PAC 2.73.3: </w:t>
            </w:r>
            <w:r>
              <w:rPr>
                <w:sz w:val="18"/>
              </w:rPr>
              <w:t>Dar seguimiento</w:t>
            </w:r>
            <w:r>
              <w:rPr>
                <w:spacing w:val="-8"/>
                <w:sz w:val="18"/>
              </w:rPr>
              <w:t> </w:t>
            </w:r>
            <w:r>
              <w:rPr>
                <w:sz w:val="18"/>
              </w:rPr>
              <w:t>a</w:t>
            </w:r>
            <w:r>
              <w:rPr>
                <w:spacing w:val="-4"/>
                <w:sz w:val="18"/>
              </w:rPr>
              <w:t> </w:t>
            </w:r>
            <w:r>
              <w:rPr>
                <w:sz w:val="18"/>
              </w:rPr>
              <w:t>los</w:t>
            </w:r>
            <w:r>
              <w:rPr>
                <w:spacing w:val="-8"/>
                <w:sz w:val="18"/>
              </w:rPr>
              <w:t> </w:t>
            </w:r>
            <w:r>
              <w:rPr>
                <w:sz w:val="18"/>
              </w:rPr>
              <w:t>planes</w:t>
            </w:r>
            <w:r>
              <w:rPr>
                <w:spacing w:val="-8"/>
                <w:sz w:val="18"/>
              </w:rPr>
              <w:t> </w:t>
            </w:r>
            <w:r>
              <w:rPr>
                <w:sz w:val="18"/>
              </w:rPr>
              <w:t>de</w:t>
            </w:r>
            <w:r>
              <w:rPr>
                <w:spacing w:val="-8"/>
                <w:sz w:val="18"/>
              </w:rPr>
              <w:t> </w:t>
            </w:r>
            <w:r>
              <w:rPr>
                <w:sz w:val="18"/>
              </w:rPr>
              <w:t>inversión </w:t>
            </w:r>
            <w:r>
              <w:rPr>
                <w:spacing w:val="-2"/>
                <w:sz w:val="18"/>
              </w:rPr>
              <w:t>regional</w:t>
            </w:r>
          </w:p>
        </w:tc>
        <w:tc>
          <w:tcPr>
            <w:tcW w:w="1354" w:type="dxa"/>
          </w:tcPr>
          <w:p>
            <w:pPr>
              <w:pStyle w:val="TableParagraph"/>
              <w:rPr>
                <w:b/>
                <w:sz w:val="18"/>
              </w:rPr>
            </w:pPr>
          </w:p>
          <w:p>
            <w:pPr>
              <w:pStyle w:val="TableParagraph"/>
              <w:spacing w:before="79"/>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spacing w:before="79"/>
              <w:rPr>
                <w:b/>
                <w:sz w:val="18"/>
              </w:rPr>
            </w:pPr>
          </w:p>
          <w:p>
            <w:pPr>
              <w:pStyle w:val="TableParagraph"/>
              <w:ind w:left="19" w:right="4"/>
              <w:jc w:val="center"/>
              <w:rPr>
                <w:sz w:val="18"/>
              </w:rPr>
            </w:pPr>
            <w:r>
              <w:rPr>
                <w:spacing w:val="-10"/>
                <w:sz w:val="18"/>
              </w:rPr>
              <w:t>2</w:t>
            </w:r>
          </w:p>
        </w:tc>
        <w:tc>
          <w:tcPr>
            <w:tcW w:w="1776" w:type="dxa"/>
          </w:tcPr>
          <w:p>
            <w:pPr>
              <w:pStyle w:val="TableParagraph"/>
              <w:spacing w:before="79"/>
              <w:rPr>
                <w:b/>
                <w:sz w:val="18"/>
              </w:rPr>
            </w:pPr>
          </w:p>
          <w:p>
            <w:pPr>
              <w:pStyle w:val="TableParagraph"/>
              <w:spacing w:line="242" w:lineRule="auto" w:before="1"/>
              <w:ind w:left="67"/>
              <w:rPr>
                <w:sz w:val="18"/>
              </w:rPr>
            </w:pPr>
            <w:r>
              <w:rPr>
                <w:sz w:val="18"/>
              </w:rPr>
              <w:t>Cantidad de </w:t>
            </w:r>
            <w:r>
              <w:rPr>
                <w:spacing w:val="-2"/>
                <w:sz w:val="18"/>
              </w:rPr>
              <w:t>seguimientos realizados</w:t>
            </w:r>
          </w:p>
        </w:tc>
        <w:tc>
          <w:tcPr>
            <w:tcW w:w="1483" w:type="dxa"/>
          </w:tcPr>
          <w:p>
            <w:pPr>
              <w:pStyle w:val="TableParagraph"/>
              <w:spacing w:before="185"/>
              <w:rPr>
                <w:b/>
                <w:sz w:val="18"/>
              </w:rPr>
            </w:pPr>
          </w:p>
          <w:p>
            <w:pPr>
              <w:pStyle w:val="TableParagraph"/>
              <w:ind w:left="67"/>
              <w:rPr>
                <w:sz w:val="18"/>
              </w:rPr>
            </w:pPr>
            <w:r>
              <w:rPr>
                <w:spacing w:val="-2"/>
                <w:sz w:val="18"/>
              </w:rPr>
              <w:t>Informes elaborados</w:t>
            </w:r>
          </w:p>
        </w:tc>
        <w:tc>
          <w:tcPr>
            <w:tcW w:w="1296" w:type="dxa"/>
          </w:tcPr>
          <w:p>
            <w:pPr>
              <w:pStyle w:val="TableParagraph"/>
              <w:spacing w:before="185"/>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tcPr>
          <w:p>
            <w:pPr>
              <w:pStyle w:val="TableParagraph"/>
              <w:rPr>
                <w:rFonts w:ascii="Times New Roman"/>
                <w:sz w:val="18"/>
              </w:rPr>
            </w:pPr>
          </w:p>
        </w:tc>
      </w:tr>
      <w:tr>
        <w:trPr>
          <w:trHeight w:val="542" w:hRule="atLeast"/>
        </w:trPr>
        <w:tc>
          <w:tcPr>
            <w:tcW w:w="14598" w:type="dxa"/>
            <w:gridSpan w:val="8"/>
            <w:shd w:val="clear" w:color="auto" w:fill="EFF8F9"/>
          </w:tcPr>
          <w:p>
            <w:pPr>
              <w:pStyle w:val="TableParagraph"/>
              <w:spacing w:before="167"/>
              <w:ind w:left="72"/>
              <w:rPr>
                <w:b/>
                <w:sz w:val="18"/>
              </w:rPr>
            </w:pPr>
            <w:r>
              <w:rPr>
                <w:b/>
                <w:sz w:val="18"/>
              </w:rPr>
              <w:t>Producto</w:t>
            </w:r>
            <w:r>
              <w:rPr>
                <w:b/>
                <w:spacing w:val="-8"/>
                <w:sz w:val="18"/>
              </w:rPr>
              <w:t> </w:t>
            </w:r>
            <w:r>
              <w:rPr>
                <w:b/>
                <w:sz w:val="18"/>
              </w:rPr>
              <w:t>PAC</w:t>
            </w:r>
            <w:r>
              <w:rPr>
                <w:b/>
                <w:spacing w:val="-7"/>
                <w:sz w:val="18"/>
              </w:rPr>
              <w:t> </w:t>
            </w:r>
            <w:r>
              <w:rPr>
                <w:b/>
                <w:sz w:val="18"/>
              </w:rPr>
              <w:t>2.74:</w:t>
            </w:r>
            <w:r>
              <w:rPr>
                <w:b/>
                <w:spacing w:val="-5"/>
                <w:sz w:val="18"/>
              </w:rPr>
              <w:t> </w:t>
            </w:r>
            <w:r>
              <w:rPr>
                <w:b/>
                <w:sz w:val="18"/>
              </w:rPr>
              <w:t>Normativa</w:t>
            </w:r>
            <w:r>
              <w:rPr>
                <w:b/>
                <w:spacing w:val="-6"/>
                <w:sz w:val="18"/>
              </w:rPr>
              <w:t> </w:t>
            </w:r>
            <w:r>
              <w:rPr>
                <w:b/>
                <w:sz w:val="18"/>
              </w:rPr>
              <w:t>de</w:t>
            </w:r>
            <w:r>
              <w:rPr>
                <w:b/>
                <w:spacing w:val="-6"/>
                <w:sz w:val="18"/>
              </w:rPr>
              <w:t> </w:t>
            </w:r>
            <w:r>
              <w:rPr>
                <w:b/>
                <w:sz w:val="18"/>
              </w:rPr>
              <w:t>control</w:t>
            </w:r>
            <w:r>
              <w:rPr>
                <w:b/>
                <w:spacing w:val="-4"/>
                <w:sz w:val="18"/>
              </w:rPr>
              <w:t> </w:t>
            </w:r>
            <w:r>
              <w:rPr>
                <w:b/>
                <w:sz w:val="18"/>
              </w:rPr>
              <w:t>interno</w:t>
            </w:r>
            <w:r>
              <w:rPr>
                <w:b/>
                <w:spacing w:val="-7"/>
                <w:sz w:val="18"/>
              </w:rPr>
              <w:t> </w:t>
            </w:r>
            <w:r>
              <w:rPr>
                <w:b/>
                <w:sz w:val="18"/>
              </w:rPr>
              <w:t>y</w:t>
            </w:r>
            <w:r>
              <w:rPr>
                <w:b/>
                <w:spacing w:val="-6"/>
                <w:sz w:val="18"/>
              </w:rPr>
              <w:t> </w:t>
            </w:r>
            <w:r>
              <w:rPr>
                <w:b/>
                <w:sz w:val="18"/>
              </w:rPr>
              <w:t>del</w:t>
            </w:r>
            <w:r>
              <w:rPr>
                <w:b/>
                <w:spacing w:val="-4"/>
                <w:sz w:val="18"/>
              </w:rPr>
              <w:t> </w:t>
            </w:r>
            <w:r>
              <w:rPr>
                <w:b/>
                <w:sz w:val="18"/>
              </w:rPr>
              <w:t>sistema</w:t>
            </w:r>
            <w:r>
              <w:rPr>
                <w:b/>
                <w:spacing w:val="-3"/>
                <w:sz w:val="18"/>
              </w:rPr>
              <w:t> </w:t>
            </w:r>
            <w:r>
              <w:rPr>
                <w:b/>
                <w:sz w:val="18"/>
              </w:rPr>
              <w:t>de</w:t>
            </w:r>
            <w:r>
              <w:rPr>
                <w:b/>
                <w:spacing w:val="-6"/>
                <w:sz w:val="18"/>
              </w:rPr>
              <w:t> </w:t>
            </w:r>
            <w:r>
              <w:rPr>
                <w:b/>
                <w:sz w:val="18"/>
              </w:rPr>
              <w:t>planificación</w:t>
            </w:r>
            <w:r>
              <w:rPr>
                <w:b/>
                <w:spacing w:val="-7"/>
                <w:sz w:val="18"/>
              </w:rPr>
              <w:t> </w:t>
            </w:r>
            <w:r>
              <w:rPr>
                <w:b/>
                <w:sz w:val="18"/>
              </w:rPr>
              <w:t>alineada</w:t>
            </w:r>
            <w:r>
              <w:rPr>
                <w:b/>
                <w:spacing w:val="-6"/>
                <w:sz w:val="18"/>
              </w:rPr>
              <w:t> </w:t>
            </w:r>
            <w:r>
              <w:rPr>
                <w:b/>
                <w:sz w:val="18"/>
              </w:rPr>
              <w:t>sobre</w:t>
            </w:r>
            <w:r>
              <w:rPr>
                <w:b/>
                <w:spacing w:val="-6"/>
                <w:sz w:val="18"/>
              </w:rPr>
              <w:t> </w:t>
            </w:r>
            <w:r>
              <w:rPr>
                <w:b/>
                <w:sz w:val="18"/>
              </w:rPr>
              <w:t>la</w:t>
            </w:r>
            <w:r>
              <w:rPr>
                <w:b/>
                <w:spacing w:val="-6"/>
                <w:sz w:val="18"/>
              </w:rPr>
              <w:t> </w:t>
            </w:r>
            <w:r>
              <w:rPr>
                <w:b/>
                <w:sz w:val="18"/>
              </w:rPr>
              <w:t>base</w:t>
            </w:r>
            <w:r>
              <w:rPr>
                <w:b/>
                <w:spacing w:val="-6"/>
                <w:sz w:val="18"/>
              </w:rPr>
              <w:t> </w:t>
            </w:r>
            <w:r>
              <w:rPr>
                <w:b/>
                <w:sz w:val="18"/>
              </w:rPr>
              <w:t>riesgos</w:t>
            </w:r>
            <w:r>
              <w:rPr>
                <w:b/>
                <w:spacing w:val="-2"/>
                <w:sz w:val="18"/>
              </w:rPr>
              <w:t> </w:t>
            </w:r>
            <w:r>
              <w:rPr>
                <w:b/>
                <w:sz w:val="18"/>
              </w:rPr>
              <w:t>estratégicos</w:t>
            </w:r>
            <w:r>
              <w:rPr>
                <w:b/>
                <w:spacing w:val="-7"/>
                <w:sz w:val="18"/>
              </w:rPr>
              <w:t> </w:t>
            </w:r>
            <w:r>
              <w:rPr>
                <w:b/>
                <w:sz w:val="18"/>
              </w:rPr>
              <w:t>y</w:t>
            </w:r>
            <w:r>
              <w:rPr>
                <w:b/>
                <w:spacing w:val="5"/>
                <w:sz w:val="18"/>
              </w:rPr>
              <w:t> </w:t>
            </w:r>
            <w:r>
              <w:rPr>
                <w:b/>
                <w:sz w:val="18"/>
              </w:rPr>
              <w:t>operativos.</w:t>
            </w:r>
            <w:r>
              <w:rPr>
                <w:b/>
                <w:spacing w:val="46"/>
                <w:sz w:val="18"/>
              </w:rPr>
              <w:t> </w:t>
            </w:r>
            <w:r>
              <w:rPr>
                <w:b/>
                <w:sz w:val="18"/>
              </w:rPr>
              <w:t>E1</w:t>
            </w:r>
            <w:r>
              <w:rPr>
                <w:b/>
                <w:spacing w:val="-2"/>
                <w:sz w:val="18"/>
              </w:rPr>
              <w:t> </w:t>
            </w:r>
            <w:r>
              <w:rPr>
                <w:b/>
                <w:sz w:val="18"/>
              </w:rPr>
              <w:t>AE5</w:t>
            </w:r>
            <w:r>
              <w:rPr>
                <w:b/>
                <w:spacing w:val="-3"/>
                <w:sz w:val="18"/>
              </w:rPr>
              <w:t> </w:t>
            </w:r>
            <w:r>
              <w:rPr>
                <w:b/>
                <w:sz w:val="18"/>
              </w:rPr>
              <w:t>R1</w:t>
            </w:r>
            <w:r>
              <w:rPr>
                <w:b/>
                <w:spacing w:val="-6"/>
                <w:sz w:val="18"/>
              </w:rPr>
              <w:t> </w:t>
            </w:r>
            <w:r>
              <w:rPr>
                <w:b/>
                <w:spacing w:val="-2"/>
                <w:sz w:val="18"/>
              </w:rPr>
              <w:t>(100%)</w:t>
            </w:r>
          </w:p>
        </w:tc>
      </w:tr>
      <w:tr>
        <w:trPr>
          <w:trHeight w:val="1694" w:hRule="atLeast"/>
        </w:trPr>
        <w:tc>
          <w:tcPr>
            <w:tcW w:w="3193" w:type="dxa"/>
          </w:tcPr>
          <w:p>
            <w:pPr>
              <w:pStyle w:val="TableParagraph"/>
              <w:rPr>
                <w:b/>
                <w:sz w:val="18"/>
              </w:rPr>
            </w:pPr>
          </w:p>
          <w:p>
            <w:pPr>
              <w:pStyle w:val="TableParagraph"/>
              <w:spacing w:before="17"/>
              <w:rPr>
                <w:b/>
                <w:sz w:val="18"/>
              </w:rPr>
            </w:pPr>
          </w:p>
          <w:p>
            <w:pPr>
              <w:pStyle w:val="TableParagraph"/>
              <w:ind w:left="72" w:right="105"/>
              <w:rPr>
                <w:sz w:val="18"/>
              </w:rPr>
            </w:pPr>
            <w:r>
              <w:rPr>
                <w:b/>
                <w:sz w:val="18"/>
              </w:rPr>
              <w:t>Actividad PAC 2.74.1: </w:t>
            </w:r>
            <w:r>
              <w:rPr>
                <w:sz w:val="18"/>
              </w:rPr>
              <w:t>Identificar la normativa</w:t>
            </w:r>
            <w:r>
              <w:rPr>
                <w:spacing w:val="-8"/>
                <w:sz w:val="18"/>
              </w:rPr>
              <w:t> </w:t>
            </w:r>
            <w:r>
              <w:rPr>
                <w:sz w:val="18"/>
              </w:rPr>
              <w:t>interna</w:t>
            </w:r>
            <w:r>
              <w:rPr>
                <w:spacing w:val="-8"/>
                <w:sz w:val="18"/>
              </w:rPr>
              <w:t> </w:t>
            </w:r>
            <w:r>
              <w:rPr>
                <w:sz w:val="18"/>
              </w:rPr>
              <w:t>sobre</w:t>
            </w:r>
            <w:r>
              <w:rPr>
                <w:spacing w:val="-8"/>
                <w:sz w:val="18"/>
              </w:rPr>
              <w:t> </w:t>
            </w:r>
            <w:r>
              <w:rPr>
                <w:sz w:val="18"/>
              </w:rPr>
              <w:t>el</w:t>
            </w:r>
            <w:r>
              <w:rPr>
                <w:spacing w:val="-5"/>
                <w:sz w:val="18"/>
              </w:rPr>
              <w:t> </w:t>
            </w:r>
            <w:r>
              <w:rPr>
                <w:sz w:val="18"/>
              </w:rPr>
              <w:t>sistema</w:t>
            </w:r>
            <w:r>
              <w:rPr>
                <w:spacing w:val="-8"/>
                <w:sz w:val="18"/>
              </w:rPr>
              <w:t> </w:t>
            </w:r>
            <w:r>
              <w:rPr>
                <w:sz w:val="18"/>
              </w:rPr>
              <w:t>de Control Interno que se debe actualizar, modificar o eliminar</w:t>
            </w:r>
          </w:p>
        </w:tc>
        <w:tc>
          <w:tcPr>
            <w:tcW w:w="1354" w:type="dxa"/>
          </w:tcPr>
          <w:p>
            <w:pPr>
              <w:pStyle w:val="TableParagraph"/>
              <w:rPr>
                <w:b/>
                <w:sz w:val="18"/>
              </w:rPr>
            </w:pPr>
          </w:p>
          <w:p>
            <w:pPr>
              <w:pStyle w:val="TableParagraph"/>
              <w:rPr>
                <w:b/>
                <w:sz w:val="18"/>
              </w:rPr>
            </w:pPr>
          </w:p>
          <w:p>
            <w:pPr>
              <w:pStyle w:val="TableParagraph"/>
              <w:spacing w:before="122"/>
              <w:rPr>
                <w:b/>
                <w:sz w:val="18"/>
              </w:rPr>
            </w:pPr>
          </w:p>
          <w:p>
            <w:pPr>
              <w:pStyle w:val="TableParagraph"/>
              <w:ind w:left="19" w:right="6"/>
              <w:jc w:val="center"/>
              <w:rPr>
                <w:sz w:val="18"/>
              </w:rPr>
            </w:pPr>
            <w:r>
              <w:rPr>
                <w:spacing w:val="-4"/>
                <w:sz w:val="18"/>
              </w:rPr>
              <w:t>100%</w:t>
            </w:r>
          </w:p>
        </w:tc>
        <w:tc>
          <w:tcPr>
            <w:tcW w:w="1354" w:type="dxa"/>
          </w:tcPr>
          <w:p>
            <w:pPr>
              <w:pStyle w:val="TableParagraph"/>
              <w:rPr>
                <w:b/>
                <w:sz w:val="18"/>
              </w:rPr>
            </w:pPr>
          </w:p>
          <w:p>
            <w:pPr>
              <w:pStyle w:val="TableParagraph"/>
              <w:rPr>
                <w:b/>
                <w:sz w:val="18"/>
              </w:rPr>
            </w:pPr>
          </w:p>
          <w:p>
            <w:pPr>
              <w:pStyle w:val="TableParagraph"/>
              <w:spacing w:before="122"/>
              <w:rPr>
                <w:b/>
                <w:sz w:val="18"/>
              </w:rPr>
            </w:pPr>
          </w:p>
          <w:p>
            <w:pPr>
              <w:pStyle w:val="TableParagraph"/>
              <w:ind w:left="19" w:right="7"/>
              <w:jc w:val="center"/>
              <w:rPr>
                <w:sz w:val="18"/>
              </w:rPr>
            </w:pPr>
            <w:r>
              <w:rPr>
                <w:spacing w:val="-4"/>
                <w:sz w:val="18"/>
              </w:rPr>
              <w:t>100%</w:t>
            </w:r>
          </w:p>
        </w:tc>
        <w:tc>
          <w:tcPr>
            <w:tcW w:w="1776" w:type="dxa"/>
          </w:tcPr>
          <w:p>
            <w:pPr>
              <w:pStyle w:val="TableParagraph"/>
              <w:rPr>
                <w:b/>
                <w:sz w:val="18"/>
              </w:rPr>
            </w:pPr>
          </w:p>
          <w:p>
            <w:pPr>
              <w:pStyle w:val="TableParagraph"/>
              <w:spacing w:before="17"/>
              <w:rPr>
                <w:b/>
                <w:sz w:val="18"/>
              </w:rPr>
            </w:pPr>
          </w:p>
          <w:p>
            <w:pPr>
              <w:pStyle w:val="TableParagraph"/>
              <w:ind w:left="67" w:right="60"/>
              <w:rPr>
                <w:sz w:val="18"/>
              </w:rPr>
            </w:pPr>
            <w:r>
              <w:rPr>
                <w:sz w:val="18"/>
              </w:rPr>
              <w:t>Porcentaje de </w:t>
            </w:r>
            <w:r>
              <w:rPr>
                <w:spacing w:val="-2"/>
                <w:sz w:val="18"/>
              </w:rPr>
              <w:t>normativa </w:t>
            </w:r>
            <w:r>
              <w:rPr>
                <w:sz w:val="18"/>
              </w:rPr>
              <w:t>identificada</w:t>
            </w:r>
            <w:r>
              <w:rPr>
                <w:spacing w:val="-15"/>
                <w:sz w:val="18"/>
              </w:rPr>
              <w:t> </w:t>
            </w:r>
            <w:r>
              <w:rPr>
                <w:sz w:val="18"/>
              </w:rPr>
              <w:t>que</w:t>
            </w:r>
            <w:r>
              <w:rPr>
                <w:spacing w:val="-12"/>
                <w:sz w:val="18"/>
              </w:rPr>
              <w:t> </w:t>
            </w:r>
            <w:r>
              <w:rPr>
                <w:sz w:val="18"/>
              </w:rPr>
              <w:t>se requiere ajustar</w:t>
            </w:r>
          </w:p>
        </w:tc>
        <w:tc>
          <w:tcPr>
            <w:tcW w:w="1483" w:type="dxa"/>
          </w:tcPr>
          <w:p>
            <w:pPr>
              <w:pStyle w:val="TableParagraph"/>
              <w:rPr>
                <w:b/>
                <w:sz w:val="18"/>
              </w:rPr>
            </w:pPr>
          </w:p>
          <w:p>
            <w:pPr>
              <w:pStyle w:val="TableParagraph"/>
              <w:spacing w:before="123"/>
              <w:rPr>
                <w:b/>
                <w:sz w:val="18"/>
              </w:rPr>
            </w:pPr>
          </w:p>
          <w:p>
            <w:pPr>
              <w:pStyle w:val="TableParagraph"/>
              <w:ind w:left="67"/>
              <w:rPr>
                <w:sz w:val="18"/>
              </w:rPr>
            </w:pPr>
            <w:r>
              <w:rPr>
                <w:sz w:val="18"/>
              </w:rPr>
              <w:t>Documento</w:t>
            </w:r>
            <w:r>
              <w:rPr>
                <w:spacing w:val="-13"/>
                <w:sz w:val="18"/>
              </w:rPr>
              <w:t> </w:t>
            </w:r>
            <w:r>
              <w:rPr>
                <w:sz w:val="18"/>
              </w:rPr>
              <w:t>de </w:t>
            </w:r>
            <w:r>
              <w:rPr>
                <w:spacing w:val="-2"/>
                <w:sz w:val="18"/>
              </w:rPr>
              <w:t>normativa actualizada.</w:t>
            </w:r>
          </w:p>
        </w:tc>
        <w:tc>
          <w:tcPr>
            <w:tcW w:w="1296" w:type="dxa"/>
          </w:tcPr>
          <w:p>
            <w:pPr>
              <w:pStyle w:val="TableParagraph"/>
              <w:rPr>
                <w:b/>
                <w:sz w:val="18"/>
              </w:rPr>
            </w:pPr>
          </w:p>
          <w:p>
            <w:pPr>
              <w:pStyle w:val="TableParagraph"/>
              <w:rPr>
                <w:b/>
                <w:sz w:val="18"/>
              </w:rPr>
            </w:pPr>
          </w:p>
          <w:p>
            <w:pPr>
              <w:pStyle w:val="TableParagraph"/>
              <w:spacing w:before="17"/>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ind w:left="74" w:right="112"/>
              <w:rPr>
                <w:sz w:val="18"/>
              </w:rPr>
            </w:pPr>
            <w:r>
              <w:rPr>
                <w:sz w:val="18"/>
              </w:rPr>
              <w:t>Evento:</w:t>
            </w:r>
            <w:r>
              <w:rPr>
                <w:spacing w:val="-13"/>
                <w:sz w:val="18"/>
              </w:rPr>
              <w:t> </w:t>
            </w:r>
            <w:r>
              <w:rPr>
                <w:sz w:val="18"/>
              </w:rPr>
              <w:t>Desvinculación del sistema de Planificación con el de Control</w:t>
            </w:r>
            <w:r>
              <w:rPr>
                <w:spacing w:val="-1"/>
                <w:sz w:val="18"/>
              </w:rPr>
              <w:t> </w:t>
            </w:r>
            <w:r>
              <w:rPr>
                <w:sz w:val="18"/>
              </w:rPr>
              <w:t>Interno.</w:t>
            </w:r>
          </w:p>
        </w:tc>
      </w:tr>
      <w:tr>
        <w:trPr>
          <w:trHeight w:val="1603" w:hRule="atLeast"/>
        </w:trPr>
        <w:tc>
          <w:tcPr>
            <w:tcW w:w="3193" w:type="dxa"/>
          </w:tcPr>
          <w:p>
            <w:pPr>
              <w:pStyle w:val="TableParagraph"/>
              <w:spacing w:before="181"/>
              <w:rPr>
                <w:b/>
                <w:sz w:val="18"/>
              </w:rPr>
            </w:pPr>
          </w:p>
          <w:p>
            <w:pPr>
              <w:pStyle w:val="TableParagraph"/>
              <w:ind w:left="72"/>
              <w:rPr>
                <w:sz w:val="18"/>
              </w:rPr>
            </w:pPr>
            <w:r>
              <w:rPr>
                <w:b/>
                <w:sz w:val="18"/>
              </w:rPr>
              <w:t>Actividad PAC 2.74.2: </w:t>
            </w:r>
            <w:r>
              <w:rPr>
                <w:sz w:val="18"/>
              </w:rPr>
              <w:t>Trasladar al órgano o ente competente para la aprobación</w:t>
            </w:r>
            <w:r>
              <w:rPr>
                <w:spacing w:val="-15"/>
                <w:sz w:val="18"/>
              </w:rPr>
              <w:t> </w:t>
            </w:r>
            <w:r>
              <w:rPr>
                <w:sz w:val="18"/>
              </w:rPr>
              <w:t>/actualización/</w:t>
            </w:r>
            <w:r>
              <w:rPr>
                <w:spacing w:val="-12"/>
                <w:sz w:val="18"/>
              </w:rPr>
              <w:t> </w:t>
            </w:r>
            <w:r>
              <w:rPr>
                <w:sz w:val="18"/>
              </w:rPr>
              <w:t>derogación de la normativa.</w:t>
            </w:r>
          </w:p>
        </w:tc>
        <w:tc>
          <w:tcPr>
            <w:tcW w:w="1354" w:type="dxa"/>
          </w:tcPr>
          <w:p>
            <w:pPr>
              <w:pStyle w:val="TableParagraph"/>
              <w:rPr>
                <w:b/>
                <w:sz w:val="18"/>
              </w:rPr>
            </w:pPr>
          </w:p>
          <w:p>
            <w:pPr>
              <w:pStyle w:val="TableParagraph"/>
              <w:rPr>
                <w:b/>
                <w:sz w:val="18"/>
              </w:rPr>
            </w:pPr>
          </w:p>
          <w:p>
            <w:pPr>
              <w:pStyle w:val="TableParagraph"/>
              <w:spacing w:before="79"/>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79"/>
              <w:rPr>
                <w:b/>
                <w:sz w:val="18"/>
              </w:rPr>
            </w:pPr>
          </w:p>
          <w:p>
            <w:pPr>
              <w:pStyle w:val="TableParagraph"/>
              <w:ind w:left="19" w:right="4"/>
              <w:jc w:val="center"/>
              <w:rPr>
                <w:sz w:val="18"/>
              </w:rPr>
            </w:pPr>
            <w:r>
              <w:rPr>
                <w:spacing w:val="-10"/>
                <w:sz w:val="18"/>
              </w:rPr>
              <w:t>1</w:t>
            </w:r>
          </w:p>
        </w:tc>
        <w:tc>
          <w:tcPr>
            <w:tcW w:w="1776" w:type="dxa"/>
          </w:tcPr>
          <w:p>
            <w:pPr>
              <w:pStyle w:val="TableParagraph"/>
              <w:spacing w:before="75"/>
              <w:rPr>
                <w:b/>
                <w:sz w:val="18"/>
              </w:rPr>
            </w:pPr>
          </w:p>
          <w:p>
            <w:pPr>
              <w:pStyle w:val="TableParagraph"/>
              <w:ind w:left="67" w:right="491"/>
              <w:rPr>
                <w:sz w:val="18"/>
              </w:rPr>
            </w:pPr>
            <w:r>
              <w:rPr>
                <w:sz w:val="18"/>
              </w:rPr>
              <w:t>Cantidad de propuesta de ajustes de normativa</w:t>
            </w:r>
            <w:r>
              <w:rPr>
                <w:spacing w:val="-13"/>
                <w:sz w:val="18"/>
              </w:rPr>
              <w:t> </w:t>
            </w:r>
            <w:r>
              <w:rPr>
                <w:sz w:val="18"/>
              </w:rPr>
              <w:t>para </w:t>
            </w:r>
            <w:r>
              <w:rPr>
                <w:spacing w:val="-2"/>
                <w:sz w:val="18"/>
              </w:rPr>
              <w:t>aprobación</w:t>
            </w:r>
          </w:p>
        </w:tc>
        <w:tc>
          <w:tcPr>
            <w:tcW w:w="1483" w:type="dxa"/>
          </w:tcPr>
          <w:p>
            <w:pPr>
              <w:pStyle w:val="TableParagraph"/>
              <w:spacing w:before="181"/>
              <w:rPr>
                <w:b/>
                <w:sz w:val="18"/>
              </w:rPr>
            </w:pPr>
          </w:p>
          <w:p>
            <w:pPr>
              <w:pStyle w:val="TableParagraph"/>
              <w:ind w:left="67" w:right="198"/>
              <w:rPr>
                <w:sz w:val="18"/>
              </w:rPr>
            </w:pPr>
            <w:r>
              <w:rPr>
                <w:sz w:val="18"/>
              </w:rPr>
              <w:t>Oficio</w:t>
            </w:r>
            <w:r>
              <w:rPr>
                <w:spacing w:val="-15"/>
                <w:sz w:val="18"/>
              </w:rPr>
              <w:t> </w:t>
            </w:r>
            <w:r>
              <w:rPr>
                <w:sz w:val="18"/>
              </w:rPr>
              <w:t>o</w:t>
            </w:r>
            <w:r>
              <w:rPr>
                <w:spacing w:val="-12"/>
                <w:sz w:val="18"/>
              </w:rPr>
              <w:t> </w:t>
            </w:r>
            <w:r>
              <w:rPr>
                <w:sz w:val="18"/>
              </w:rPr>
              <w:t>correo de envío al órgano o ente </w:t>
            </w:r>
            <w:r>
              <w:rPr>
                <w:spacing w:val="-2"/>
                <w:sz w:val="18"/>
              </w:rPr>
              <w:t>competente.</w:t>
            </w:r>
          </w:p>
        </w:tc>
        <w:tc>
          <w:tcPr>
            <w:tcW w:w="1296" w:type="dxa"/>
          </w:tcPr>
          <w:p>
            <w:pPr>
              <w:pStyle w:val="TableParagraph"/>
              <w:rPr>
                <w:b/>
                <w:sz w:val="18"/>
              </w:rPr>
            </w:pPr>
          </w:p>
          <w:p>
            <w:pPr>
              <w:pStyle w:val="TableParagraph"/>
              <w:spacing w:before="180"/>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656" w:hRule="atLeast"/>
        </w:trPr>
        <w:tc>
          <w:tcPr>
            <w:tcW w:w="3193" w:type="dxa"/>
          </w:tcPr>
          <w:p>
            <w:pPr>
              <w:pStyle w:val="TableParagraph"/>
              <w:rPr>
                <w:b/>
                <w:sz w:val="18"/>
              </w:rPr>
            </w:pPr>
          </w:p>
          <w:p>
            <w:pPr>
              <w:pStyle w:val="TableParagraph"/>
              <w:spacing w:before="2"/>
              <w:rPr>
                <w:b/>
                <w:sz w:val="18"/>
              </w:rPr>
            </w:pPr>
          </w:p>
          <w:p>
            <w:pPr>
              <w:pStyle w:val="TableParagraph"/>
              <w:ind w:left="72"/>
              <w:rPr>
                <w:sz w:val="18"/>
              </w:rPr>
            </w:pPr>
            <w:r>
              <w:rPr>
                <w:b/>
                <w:sz w:val="18"/>
              </w:rPr>
              <w:t>Actividad PAC 2.74.3: </w:t>
            </w:r>
            <w:r>
              <w:rPr>
                <w:sz w:val="18"/>
              </w:rPr>
              <w:t>Coordinar la divulgación</w:t>
            </w:r>
            <w:r>
              <w:rPr>
                <w:spacing w:val="-8"/>
                <w:sz w:val="18"/>
              </w:rPr>
              <w:t> </w:t>
            </w:r>
            <w:r>
              <w:rPr>
                <w:sz w:val="18"/>
              </w:rPr>
              <w:t>de</w:t>
            </w:r>
            <w:r>
              <w:rPr>
                <w:spacing w:val="-12"/>
                <w:sz w:val="18"/>
              </w:rPr>
              <w:t> </w:t>
            </w:r>
            <w:r>
              <w:rPr>
                <w:sz w:val="18"/>
              </w:rPr>
              <w:t>la</w:t>
            </w:r>
            <w:r>
              <w:rPr>
                <w:spacing w:val="-8"/>
                <w:sz w:val="18"/>
              </w:rPr>
              <w:t> </w:t>
            </w:r>
            <w:r>
              <w:rPr>
                <w:sz w:val="18"/>
              </w:rPr>
              <w:t>normativa</w:t>
            </w:r>
            <w:r>
              <w:rPr>
                <w:spacing w:val="-8"/>
                <w:sz w:val="18"/>
              </w:rPr>
              <w:t> </w:t>
            </w:r>
            <w:r>
              <w:rPr>
                <w:sz w:val="18"/>
              </w:rPr>
              <w:t>aprobada</w:t>
            </w:r>
          </w:p>
          <w:p>
            <w:pPr>
              <w:pStyle w:val="TableParagraph"/>
              <w:ind w:left="72" w:right="111"/>
              <w:rPr>
                <w:sz w:val="18"/>
              </w:rPr>
            </w:pPr>
            <w:r>
              <w:rPr>
                <w:sz w:val="18"/>
              </w:rPr>
              <w:t>/modificada/</w:t>
            </w:r>
            <w:r>
              <w:rPr>
                <w:spacing w:val="-7"/>
                <w:sz w:val="18"/>
              </w:rPr>
              <w:t> </w:t>
            </w:r>
            <w:r>
              <w:rPr>
                <w:sz w:val="18"/>
              </w:rPr>
              <w:t>eliminada</w:t>
            </w:r>
            <w:r>
              <w:rPr>
                <w:spacing w:val="-9"/>
                <w:sz w:val="18"/>
              </w:rPr>
              <w:t> </w:t>
            </w:r>
            <w:r>
              <w:rPr>
                <w:sz w:val="18"/>
              </w:rPr>
              <w:t>por</w:t>
            </w:r>
            <w:r>
              <w:rPr>
                <w:spacing w:val="-12"/>
                <w:sz w:val="18"/>
              </w:rPr>
              <w:t> </w:t>
            </w:r>
            <w:r>
              <w:rPr>
                <w:sz w:val="18"/>
              </w:rPr>
              <w:t>medio</w:t>
            </w:r>
            <w:r>
              <w:rPr>
                <w:spacing w:val="-9"/>
                <w:sz w:val="18"/>
              </w:rPr>
              <w:t> </w:t>
            </w:r>
            <w:r>
              <w:rPr>
                <w:sz w:val="18"/>
              </w:rPr>
              <w:t>de los canales institucionales.</w:t>
            </w:r>
          </w:p>
        </w:tc>
        <w:tc>
          <w:tcPr>
            <w:tcW w:w="135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9" w:right="4"/>
              <w:jc w:val="center"/>
              <w:rPr>
                <w:sz w:val="18"/>
              </w:rPr>
            </w:pPr>
            <w:r>
              <w:rPr>
                <w:spacing w:val="-10"/>
                <w:sz w:val="18"/>
              </w:rPr>
              <w:t>3</w:t>
            </w:r>
          </w:p>
        </w:tc>
        <w:tc>
          <w:tcPr>
            <w:tcW w:w="1776" w:type="dxa"/>
          </w:tcPr>
          <w:p>
            <w:pPr>
              <w:pStyle w:val="TableParagraph"/>
              <w:spacing w:before="205"/>
              <w:ind w:left="67"/>
              <w:rPr>
                <w:sz w:val="18"/>
              </w:rPr>
            </w:pPr>
            <w:r>
              <w:rPr>
                <w:sz w:val="18"/>
              </w:rPr>
              <w:t>Cantidad de coordinaciones</w:t>
            </w:r>
            <w:r>
              <w:rPr>
                <w:spacing w:val="-13"/>
                <w:sz w:val="18"/>
              </w:rPr>
              <w:t> </w:t>
            </w:r>
            <w:r>
              <w:rPr>
                <w:sz w:val="18"/>
              </w:rPr>
              <w:t>para divulgar por los </w:t>
            </w:r>
            <w:r>
              <w:rPr>
                <w:spacing w:val="-2"/>
                <w:sz w:val="18"/>
              </w:rPr>
              <w:t>canales </w:t>
            </w:r>
            <w:r>
              <w:rPr>
                <w:sz w:val="18"/>
              </w:rPr>
              <w:t>institucionales la normativa</w:t>
            </w:r>
            <w:r>
              <w:rPr>
                <w:spacing w:val="-11"/>
                <w:sz w:val="18"/>
              </w:rPr>
              <w:t> </w:t>
            </w:r>
            <w:r>
              <w:rPr>
                <w:sz w:val="18"/>
              </w:rPr>
              <w:t>aprobada</w:t>
            </w:r>
          </w:p>
        </w:tc>
        <w:tc>
          <w:tcPr>
            <w:tcW w:w="1483" w:type="dxa"/>
          </w:tcPr>
          <w:p>
            <w:pPr>
              <w:pStyle w:val="TableParagraph"/>
              <w:ind w:left="67" w:right="198"/>
              <w:rPr>
                <w:sz w:val="18"/>
              </w:rPr>
            </w:pPr>
            <w:r>
              <w:rPr>
                <w:sz w:val="18"/>
              </w:rPr>
              <w:t>Correos de divulgación</w:t>
            </w:r>
            <w:r>
              <w:rPr>
                <w:spacing w:val="-3"/>
                <w:sz w:val="18"/>
              </w:rPr>
              <w:t> </w:t>
            </w:r>
            <w:r>
              <w:rPr>
                <w:sz w:val="18"/>
              </w:rPr>
              <w:t>de </w:t>
            </w:r>
            <w:r>
              <w:rPr>
                <w:spacing w:val="-2"/>
                <w:sz w:val="18"/>
              </w:rPr>
              <w:t>normativa; </w:t>
            </w:r>
            <w:r>
              <w:rPr>
                <w:sz w:val="18"/>
              </w:rPr>
              <w:t>captura de pantallas</w:t>
            </w:r>
            <w:r>
              <w:rPr>
                <w:spacing w:val="-8"/>
                <w:sz w:val="18"/>
              </w:rPr>
              <w:t> </w:t>
            </w:r>
            <w:r>
              <w:rPr>
                <w:sz w:val="18"/>
              </w:rPr>
              <w:t>de</w:t>
            </w:r>
            <w:r>
              <w:rPr>
                <w:spacing w:val="-5"/>
                <w:sz w:val="18"/>
              </w:rPr>
              <w:t> </w:t>
            </w:r>
            <w:r>
              <w:rPr>
                <w:sz w:val="18"/>
              </w:rPr>
              <w:t>la intranet</w:t>
            </w:r>
            <w:r>
              <w:rPr>
                <w:spacing w:val="-11"/>
                <w:sz w:val="18"/>
              </w:rPr>
              <w:t> </w:t>
            </w:r>
            <w:r>
              <w:rPr>
                <w:sz w:val="18"/>
              </w:rPr>
              <w:t>y</w:t>
            </w:r>
            <w:r>
              <w:rPr>
                <w:spacing w:val="-13"/>
                <w:sz w:val="18"/>
              </w:rPr>
              <w:t> </w:t>
            </w:r>
            <w:r>
              <w:rPr>
                <w:sz w:val="18"/>
              </w:rPr>
              <w:t>de</w:t>
            </w:r>
            <w:r>
              <w:rPr>
                <w:spacing w:val="-9"/>
                <w:sz w:val="18"/>
              </w:rPr>
              <w:t> </w:t>
            </w:r>
            <w:r>
              <w:rPr>
                <w:sz w:val="18"/>
              </w:rPr>
              <w:t>la página web</w:t>
            </w:r>
          </w:p>
          <w:p>
            <w:pPr>
              <w:pStyle w:val="TableParagraph"/>
              <w:spacing w:line="187" w:lineRule="exact"/>
              <w:ind w:left="67"/>
              <w:rPr>
                <w:sz w:val="18"/>
              </w:rPr>
            </w:pPr>
            <w:r>
              <w:rPr>
                <w:spacing w:val="-2"/>
                <w:sz w:val="18"/>
              </w:rPr>
              <w:t>institucional</w:t>
            </w:r>
          </w:p>
        </w:tc>
        <w:tc>
          <w:tcPr>
            <w:tcW w:w="129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393" w:hRule="atLeast"/>
        </w:trPr>
        <w:tc>
          <w:tcPr>
            <w:tcW w:w="14598" w:type="dxa"/>
            <w:gridSpan w:val="8"/>
            <w:shd w:val="clear" w:color="auto" w:fill="EFF8F9"/>
          </w:tcPr>
          <w:p>
            <w:pPr>
              <w:pStyle w:val="TableParagraph"/>
              <w:spacing w:before="90"/>
              <w:ind w:left="72"/>
              <w:rPr>
                <w:b/>
                <w:sz w:val="18"/>
              </w:rPr>
            </w:pPr>
            <w:r>
              <w:rPr>
                <w:b/>
                <w:sz w:val="18"/>
              </w:rPr>
              <w:t>Producto</w:t>
            </w:r>
            <w:r>
              <w:rPr>
                <w:b/>
                <w:spacing w:val="-8"/>
                <w:sz w:val="18"/>
              </w:rPr>
              <w:t> </w:t>
            </w:r>
            <w:r>
              <w:rPr>
                <w:b/>
                <w:sz w:val="18"/>
              </w:rPr>
              <w:t>PAC</w:t>
            </w:r>
            <w:r>
              <w:rPr>
                <w:b/>
                <w:spacing w:val="-9"/>
                <w:sz w:val="18"/>
              </w:rPr>
              <w:t> </w:t>
            </w:r>
            <w:r>
              <w:rPr>
                <w:b/>
                <w:sz w:val="18"/>
              </w:rPr>
              <w:t>2.75:</w:t>
            </w:r>
            <w:r>
              <w:rPr>
                <w:b/>
                <w:spacing w:val="-5"/>
                <w:sz w:val="18"/>
              </w:rPr>
              <w:t> </w:t>
            </w:r>
            <w:r>
              <w:rPr>
                <w:b/>
                <w:sz w:val="18"/>
              </w:rPr>
              <w:t>Sistema</w:t>
            </w:r>
            <w:r>
              <w:rPr>
                <w:b/>
                <w:spacing w:val="-7"/>
                <w:sz w:val="18"/>
              </w:rPr>
              <w:t> </w:t>
            </w:r>
            <w:r>
              <w:rPr>
                <w:b/>
                <w:sz w:val="18"/>
              </w:rPr>
              <w:t>informático</w:t>
            </w:r>
            <w:r>
              <w:rPr>
                <w:b/>
                <w:spacing w:val="-8"/>
                <w:sz w:val="18"/>
              </w:rPr>
              <w:t> </w:t>
            </w:r>
            <w:r>
              <w:rPr>
                <w:b/>
                <w:sz w:val="18"/>
              </w:rPr>
              <w:t>de</w:t>
            </w:r>
            <w:r>
              <w:rPr>
                <w:b/>
                <w:spacing w:val="-7"/>
                <w:sz w:val="18"/>
              </w:rPr>
              <w:t> </w:t>
            </w:r>
            <w:r>
              <w:rPr>
                <w:b/>
                <w:sz w:val="18"/>
              </w:rPr>
              <w:t>Planificación</w:t>
            </w:r>
            <w:r>
              <w:rPr>
                <w:b/>
                <w:spacing w:val="-8"/>
                <w:sz w:val="18"/>
              </w:rPr>
              <w:t> </w:t>
            </w:r>
            <w:r>
              <w:rPr>
                <w:b/>
                <w:sz w:val="18"/>
              </w:rPr>
              <w:t>Institucional</w:t>
            </w:r>
            <w:r>
              <w:rPr>
                <w:b/>
                <w:spacing w:val="-5"/>
                <w:sz w:val="18"/>
              </w:rPr>
              <w:t> </w:t>
            </w:r>
            <w:r>
              <w:rPr>
                <w:b/>
                <w:sz w:val="18"/>
              </w:rPr>
              <w:t>integrado</w:t>
            </w:r>
            <w:r>
              <w:rPr>
                <w:b/>
                <w:spacing w:val="-3"/>
                <w:sz w:val="18"/>
              </w:rPr>
              <w:t> </w:t>
            </w:r>
            <w:r>
              <w:rPr>
                <w:b/>
                <w:sz w:val="18"/>
              </w:rPr>
              <w:t>al</w:t>
            </w:r>
            <w:r>
              <w:rPr>
                <w:b/>
                <w:spacing w:val="-6"/>
                <w:sz w:val="18"/>
              </w:rPr>
              <w:t> </w:t>
            </w:r>
            <w:r>
              <w:rPr>
                <w:b/>
                <w:sz w:val="18"/>
              </w:rPr>
              <w:t>de</w:t>
            </w:r>
            <w:r>
              <w:rPr>
                <w:b/>
                <w:spacing w:val="-3"/>
                <w:sz w:val="18"/>
              </w:rPr>
              <w:t> </w:t>
            </w:r>
            <w:r>
              <w:rPr>
                <w:b/>
                <w:sz w:val="18"/>
              </w:rPr>
              <w:t>Control</w:t>
            </w:r>
            <w:r>
              <w:rPr>
                <w:b/>
                <w:spacing w:val="-5"/>
                <w:sz w:val="18"/>
              </w:rPr>
              <w:t> </w:t>
            </w:r>
            <w:r>
              <w:rPr>
                <w:b/>
                <w:sz w:val="18"/>
              </w:rPr>
              <w:t>Interno.</w:t>
            </w:r>
            <w:r>
              <w:rPr>
                <w:b/>
                <w:spacing w:val="-5"/>
                <w:sz w:val="18"/>
              </w:rPr>
              <w:t> </w:t>
            </w:r>
            <w:r>
              <w:rPr>
                <w:b/>
                <w:sz w:val="18"/>
              </w:rPr>
              <w:t>E1</w:t>
            </w:r>
            <w:r>
              <w:rPr>
                <w:b/>
                <w:spacing w:val="-3"/>
                <w:sz w:val="18"/>
              </w:rPr>
              <w:t> </w:t>
            </w:r>
            <w:r>
              <w:rPr>
                <w:b/>
                <w:sz w:val="18"/>
              </w:rPr>
              <w:t>AE5</w:t>
            </w:r>
            <w:r>
              <w:rPr>
                <w:b/>
                <w:spacing w:val="-7"/>
                <w:sz w:val="18"/>
              </w:rPr>
              <w:t> </w:t>
            </w:r>
            <w:r>
              <w:rPr>
                <w:b/>
                <w:sz w:val="18"/>
              </w:rPr>
              <w:t>R2</w:t>
            </w:r>
            <w:r>
              <w:rPr>
                <w:b/>
                <w:spacing w:val="-7"/>
                <w:sz w:val="18"/>
              </w:rPr>
              <w:t> </w:t>
            </w:r>
            <w:r>
              <w:rPr>
                <w:b/>
                <w:spacing w:val="-2"/>
                <w:sz w:val="18"/>
              </w:rPr>
              <w:t>(100%)</w:t>
            </w:r>
          </w:p>
        </w:tc>
      </w:tr>
    </w:tbl>
    <w:p>
      <w:pPr>
        <w:pStyle w:val="TableParagraph"/>
        <w:spacing w:after="0"/>
        <w:rPr>
          <w:b/>
          <w:sz w:val="18"/>
        </w:rPr>
        <w:sectPr>
          <w:type w:val="continuous"/>
          <w:pgSz w:w="15840" w:h="12240" w:orient="landscape"/>
          <w:pgMar w:header="0" w:footer="1806" w:top="700" w:bottom="2775"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18"/>
              <w:jc w:val="center"/>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2275" w:hRule="atLeast"/>
        </w:trPr>
        <w:tc>
          <w:tcPr>
            <w:tcW w:w="3193" w:type="dxa"/>
          </w:tcPr>
          <w:p>
            <w:pPr>
              <w:pStyle w:val="TableParagraph"/>
              <w:rPr>
                <w:b/>
                <w:sz w:val="18"/>
              </w:rPr>
            </w:pPr>
          </w:p>
          <w:p>
            <w:pPr>
              <w:pStyle w:val="TableParagraph"/>
              <w:spacing w:before="103"/>
              <w:rPr>
                <w:b/>
                <w:sz w:val="18"/>
              </w:rPr>
            </w:pPr>
          </w:p>
          <w:p>
            <w:pPr>
              <w:pStyle w:val="TableParagraph"/>
              <w:ind w:left="72"/>
              <w:rPr>
                <w:sz w:val="18"/>
              </w:rPr>
            </w:pPr>
            <w:r>
              <w:rPr>
                <w:b/>
                <w:sz w:val="18"/>
              </w:rPr>
              <w:t>Actividad PAC 2.75.1: </w:t>
            </w:r>
            <w:r>
              <w:rPr>
                <w:sz w:val="18"/>
              </w:rPr>
              <w:t>Realizar un estudio de razonabilidad de precios para</w:t>
            </w:r>
            <w:r>
              <w:rPr>
                <w:spacing w:val="-8"/>
                <w:sz w:val="18"/>
              </w:rPr>
              <w:t> </w:t>
            </w:r>
            <w:r>
              <w:rPr>
                <w:sz w:val="18"/>
              </w:rPr>
              <w:t>la</w:t>
            </w:r>
            <w:r>
              <w:rPr>
                <w:spacing w:val="-5"/>
                <w:sz w:val="18"/>
              </w:rPr>
              <w:t> </w:t>
            </w:r>
            <w:r>
              <w:rPr>
                <w:sz w:val="18"/>
              </w:rPr>
              <w:t>implementación</w:t>
            </w:r>
            <w:r>
              <w:rPr>
                <w:spacing w:val="-8"/>
                <w:sz w:val="18"/>
              </w:rPr>
              <w:t> </w:t>
            </w:r>
            <w:r>
              <w:rPr>
                <w:sz w:val="18"/>
              </w:rPr>
              <w:t>de</w:t>
            </w:r>
            <w:r>
              <w:rPr>
                <w:spacing w:val="-8"/>
                <w:sz w:val="18"/>
              </w:rPr>
              <w:t> </w:t>
            </w:r>
            <w:r>
              <w:rPr>
                <w:sz w:val="18"/>
              </w:rPr>
              <w:t>un</w:t>
            </w:r>
            <w:r>
              <w:rPr>
                <w:spacing w:val="-8"/>
                <w:sz w:val="18"/>
              </w:rPr>
              <w:t> </w:t>
            </w:r>
            <w:r>
              <w:rPr>
                <w:sz w:val="18"/>
              </w:rPr>
              <w:t>sistema informático de seguimiento a las actividades de Control Interno</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9" w:right="4"/>
              <w:jc w:val="center"/>
              <w:rPr>
                <w:sz w:val="18"/>
              </w:rPr>
            </w:pPr>
            <w:r>
              <w:rPr>
                <w:spacing w:val="-10"/>
                <w:sz w:val="18"/>
              </w:rPr>
              <w:t>1</w:t>
            </w:r>
          </w:p>
        </w:tc>
        <w:tc>
          <w:tcPr>
            <w:tcW w:w="177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7" w:right="131"/>
              <w:rPr>
                <w:sz w:val="18"/>
              </w:rPr>
            </w:pPr>
            <w:r>
              <w:rPr>
                <w:sz w:val="18"/>
              </w:rPr>
              <w:t>Cantidad de estudios de razonabilidad de precio</w:t>
            </w:r>
            <w:r>
              <w:rPr>
                <w:spacing w:val="-4"/>
                <w:sz w:val="18"/>
              </w:rPr>
              <w:t> </w:t>
            </w:r>
            <w:r>
              <w:rPr>
                <w:spacing w:val="-2"/>
                <w:sz w:val="18"/>
              </w:rPr>
              <w:t>realizados</w:t>
            </w:r>
          </w:p>
        </w:tc>
        <w:tc>
          <w:tcPr>
            <w:tcW w:w="1483" w:type="dxa"/>
          </w:tcPr>
          <w:p>
            <w:pPr>
              <w:pStyle w:val="TableParagraph"/>
              <w:ind w:left="67" w:right="75"/>
              <w:rPr>
                <w:sz w:val="18"/>
              </w:rPr>
            </w:pPr>
            <w:r>
              <w:rPr>
                <w:sz w:val="18"/>
              </w:rPr>
              <w:t>Documento de </w:t>
            </w:r>
            <w:r>
              <w:rPr>
                <w:spacing w:val="-2"/>
                <w:sz w:val="18"/>
              </w:rPr>
              <w:t>análisis </w:t>
            </w:r>
            <w:r>
              <w:rPr>
                <w:sz w:val="18"/>
              </w:rPr>
              <w:t>comparativo de precios de oferentes de sistemas de informativos</w:t>
            </w:r>
            <w:r>
              <w:rPr>
                <w:spacing w:val="-13"/>
                <w:sz w:val="18"/>
              </w:rPr>
              <w:t> </w:t>
            </w:r>
            <w:r>
              <w:rPr>
                <w:sz w:val="18"/>
              </w:rPr>
              <w:t>que permitan dar seguimiento a los procesos de</w:t>
            </w:r>
          </w:p>
          <w:p>
            <w:pPr>
              <w:pStyle w:val="TableParagraph"/>
              <w:spacing w:line="186" w:lineRule="exact"/>
              <w:ind w:left="67"/>
              <w:rPr>
                <w:sz w:val="18"/>
              </w:rPr>
            </w:pPr>
            <w:r>
              <w:rPr>
                <w:sz w:val="18"/>
              </w:rPr>
              <w:t>control</w:t>
            </w:r>
            <w:r>
              <w:rPr>
                <w:spacing w:val="-1"/>
                <w:sz w:val="18"/>
              </w:rPr>
              <w:t> </w:t>
            </w:r>
            <w:r>
              <w:rPr>
                <w:spacing w:val="-2"/>
                <w:sz w:val="18"/>
              </w:rPr>
              <w:t>interno</w:t>
            </w:r>
          </w:p>
        </w:tc>
        <w:tc>
          <w:tcPr>
            <w:tcW w:w="129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4"/>
              <w:rPr>
                <w:b/>
                <w:sz w:val="18"/>
              </w:rPr>
            </w:pPr>
          </w:p>
          <w:p>
            <w:pPr>
              <w:pStyle w:val="TableParagraph"/>
              <w:ind w:left="74" w:right="112"/>
              <w:rPr>
                <w:sz w:val="18"/>
              </w:rPr>
            </w:pPr>
            <w:r>
              <w:rPr>
                <w:sz w:val="18"/>
              </w:rPr>
              <w:t>Evento:</w:t>
            </w:r>
            <w:r>
              <w:rPr>
                <w:spacing w:val="-3"/>
                <w:sz w:val="18"/>
              </w:rPr>
              <w:t> </w:t>
            </w:r>
            <w:r>
              <w:rPr>
                <w:sz w:val="18"/>
              </w:rPr>
              <w:t>Sistema</w:t>
            </w:r>
            <w:r>
              <w:rPr>
                <w:spacing w:val="-10"/>
                <w:sz w:val="18"/>
              </w:rPr>
              <w:t> </w:t>
            </w:r>
            <w:r>
              <w:rPr>
                <w:sz w:val="18"/>
              </w:rPr>
              <w:t>de </w:t>
            </w:r>
            <w:r>
              <w:rPr>
                <w:spacing w:val="-2"/>
                <w:sz w:val="18"/>
              </w:rPr>
              <w:t>Planificación </w:t>
            </w:r>
            <w:r>
              <w:rPr>
                <w:sz w:val="18"/>
              </w:rPr>
              <w:t>desvinculado</w:t>
            </w:r>
            <w:r>
              <w:rPr>
                <w:spacing w:val="-15"/>
                <w:sz w:val="18"/>
              </w:rPr>
              <w:t> </w:t>
            </w:r>
            <w:r>
              <w:rPr>
                <w:sz w:val="18"/>
              </w:rPr>
              <w:t>con</w:t>
            </w:r>
            <w:r>
              <w:rPr>
                <w:spacing w:val="-12"/>
                <w:sz w:val="18"/>
              </w:rPr>
              <w:t> </w:t>
            </w:r>
            <w:r>
              <w:rPr>
                <w:sz w:val="18"/>
              </w:rPr>
              <w:t>el Sistema de Control </w:t>
            </w:r>
            <w:r>
              <w:rPr>
                <w:spacing w:val="-2"/>
                <w:sz w:val="18"/>
              </w:rPr>
              <w:t>Interno</w:t>
            </w:r>
          </w:p>
        </w:tc>
      </w:tr>
      <w:tr>
        <w:trPr>
          <w:trHeight w:val="1651" w:hRule="atLeast"/>
        </w:trPr>
        <w:tc>
          <w:tcPr>
            <w:tcW w:w="3193" w:type="dxa"/>
          </w:tcPr>
          <w:p>
            <w:pPr>
              <w:pStyle w:val="TableParagraph"/>
              <w:spacing w:before="206"/>
              <w:ind w:left="72"/>
              <w:rPr>
                <w:sz w:val="18"/>
              </w:rPr>
            </w:pPr>
            <w:r>
              <w:rPr>
                <w:b/>
                <w:sz w:val="18"/>
              </w:rPr>
              <w:t>Actividad PAC 2.75.2: </w:t>
            </w:r>
            <w:r>
              <w:rPr>
                <w:sz w:val="18"/>
              </w:rPr>
              <w:t>Contratar, a través del respectivo proceso de contratación pública, un sistema informático</w:t>
            </w:r>
            <w:r>
              <w:rPr>
                <w:spacing w:val="-6"/>
                <w:sz w:val="18"/>
              </w:rPr>
              <w:t> </w:t>
            </w:r>
            <w:r>
              <w:rPr>
                <w:sz w:val="18"/>
              </w:rPr>
              <w:t>para</w:t>
            </w:r>
            <w:r>
              <w:rPr>
                <w:spacing w:val="-10"/>
                <w:sz w:val="18"/>
              </w:rPr>
              <w:t> </w:t>
            </w:r>
            <w:r>
              <w:rPr>
                <w:sz w:val="18"/>
              </w:rPr>
              <w:t>el</w:t>
            </w:r>
            <w:r>
              <w:rPr>
                <w:spacing w:val="-7"/>
                <w:sz w:val="18"/>
              </w:rPr>
              <w:t> </w:t>
            </w:r>
            <w:r>
              <w:rPr>
                <w:sz w:val="18"/>
              </w:rPr>
              <w:t>seguimiento</w:t>
            </w:r>
            <w:r>
              <w:rPr>
                <w:spacing w:val="-10"/>
                <w:sz w:val="18"/>
              </w:rPr>
              <w:t> </w:t>
            </w:r>
            <w:r>
              <w:rPr>
                <w:sz w:val="18"/>
              </w:rPr>
              <w:t>de</w:t>
            </w:r>
            <w:r>
              <w:rPr>
                <w:spacing w:val="-6"/>
                <w:sz w:val="18"/>
              </w:rPr>
              <w:t> </w:t>
            </w:r>
            <w:r>
              <w:rPr>
                <w:sz w:val="18"/>
              </w:rPr>
              <w:t>las actividades del sistema de control </w:t>
            </w:r>
            <w:r>
              <w:rPr>
                <w:spacing w:val="-2"/>
                <w:sz w:val="18"/>
              </w:rPr>
              <w:t>interno</w:t>
            </w:r>
          </w:p>
        </w:tc>
        <w:tc>
          <w:tcPr>
            <w:tcW w:w="135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9" w:right="4"/>
              <w:jc w:val="center"/>
              <w:rPr>
                <w:sz w:val="18"/>
              </w:rPr>
            </w:pPr>
            <w:r>
              <w:rPr>
                <w:spacing w:val="-10"/>
                <w:sz w:val="18"/>
              </w:rPr>
              <w:t>1</w:t>
            </w:r>
          </w:p>
        </w:tc>
        <w:tc>
          <w:tcPr>
            <w:tcW w:w="1776" w:type="dxa"/>
          </w:tcPr>
          <w:p>
            <w:pPr>
              <w:pStyle w:val="TableParagraph"/>
              <w:spacing w:before="205"/>
              <w:rPr>
                <w:b/>
                <w:sz w:val="18"/>
              </w:rPr>
            </w:pPr>
          </w:p>
          <w:p>
            <w:pPr>
              <w:pStyle w:val="TableParagraph"/>
              <w:ind w:left="67" w:right="131"/>
              <w:rPr>
                <w:sz w:val="18"/>
              </w:rPr>
            </w:pPr>
            <w:r>
              <w:rPr>
                <w:sz w:val="18"/>
              </w:rPr>
              <w:t>Cantidad</w:t>
            </w:r>
            <w:r>
              <w:rPr>
                <w:spacing w:val="-13"/>
                <w:sz w:val="18"/>
              </w:rPr>
              <w:t> </w:t>
            </w:r>
            <w:r>
              <w:rPr>
                <w:sz w:val="18"/>
              </w:rPr>
              <w:t>de </w:t>
            </w:r>
            <w:r>
              <w:rPr>
                <w:spacing w:val="-2"/>
                <w:sz w:val="18"/>
              </w:rPr>
              <w:t>sistemas informáticos contratados</w:t>
            </w:r>
          </w:p>
        </w:tc>
        <w:tc>
          <w:tcPr>
            <w:tcW w:w="1483" w:type="dxa"/>
          </w:tcPr>
          <w:p>
            <w:pPr>
              <w:pStyle w:val="TableParagraph"/>
              <w:rPr>
                <w:b/>
                <w:sz w:val="18"/>
              </w:rPr>
            </w:pPr>
          </w:p>
          <w:p>
            <w:pPr>
              <w:pStyle w:val="TableParagraph"/>
              <w:spacing w:before="104"/>
              <w:rPr>
                <w:b/>
                <w:sz w:val="18"/>
              </w:rPr>
            </w:pPr>
          </w:p>
          <w:p>
            <w:pPr>
              <w:pStyle w:val="TableParagraph"/>
              <w:ind w:left="67"/>
              <w:rPr>
                <w:sz w:val="18"/>
              </w:rPr>
            </w:pPr>
            <w:r>
              <w:rPr>
                <w:sz w:val="18"/>
              </w:rPr>
              <w:t>Documento de formalización</w:t>
            </w:r>
            <w:r>
              <w:rPr>
                <w:spacing w:val="-13"/>
                <w:sz w:val="18"/>
              </w:rPr>
              <w:t> </w:t>
            </w:r>
            <w:r>
              <w:rPr>
                <w:sz w:val="18"/>
              </w:rPr>
              <w:t>de la contratación</w:t>
            </w:r>
          </w:p>
        </w:tc>
        <w:tc>
          <w:tcPr>
            <w:tcW w:w="1296" w:type="dxa"/>
          </w:tcPr>
          <w:p>
            <w:pPr>
              <w:pStyle w:val="TableParagraph"/>
              <w:rPr>
                <w:b/>
                <w:sz w:val="18"/>
              </w:rPr>
            </w:pPr>
          </w:p>
          <w:p>
            <w:pPr>
              <w:pStyle w:val="TableParagraph"/>
              <w:spacing w:before="204"/>
              <w:rPr>
                <w:b/>
                <w:sz w:val="18"/>
              </w:rPr>
            </w:pPr>
          </w:p>
          <w:p>
            <w:pPr>
              <w:pStyle w:val="TableParagraph"/>
              <w:ind w:left="72"/>
              <w:rPr>
                <w:sz w:val="18"/>
              </w:rPr>
            </w:pPr>
            <w:r>
              <w:rPr>
                <w:spacing w:val="-2"/>
                <w:sz w:val="18"/>
              </w:rPr>
              <w:t>Planificación Institucional</w:t>
            </w:r>
          </w:p>
        </w:tc>
        <w:tc>
          <w:tcPr>
            <w:tcW w:w="2011"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8"/>
              <w:jc w:val="center"/>
              <w:rPr>
                <w:sz w:val="18"/>
              </w:rPr>
            </w:pPr>
            <w:r>
              <w:rPr>
                <w:spacing w:val="-2"/>
                <w:sz w:val="18"/>
              </w:rPr>
              <w:t>¢40.000.000,00</w:t>
            </w:r>
          </w:p>
        </w:tc>
        <w:tc>
          <w:tcPr>
            <w:tcW w:w="2131" w:type="dxa"/>
            <w:vMerge/>
            <w:tcBorders>
              <w:top w:val="nil"/>
            </w:tcBorders>
          </w:tcPr>
          <w:p>
            <w:pPr>
              <w:rPr>
                <w:sz w:val="2"/>
                <w:szCs w:val="2"/>
              </w:rPr>
            </w:pPr>
          </w:p>
        </w:tc>
      </w:tr>
      <w:tr>
        <w:trPr>
          <w:trHeight w:val="1862" w:hRule="atLeast"/>
        </w:trPr>
        <w:tc>
          <w:tcPr>
            <w:tcW w:w="3193" w:type="dxa"/>
          </w:tcPr>
          <w:p>
            <w:pPr>
              <w:pStyle w:val="TableParagraph"/>
              <w:rPr>
                <w:b/>
                <w:sz w:val="18"/>
              </w:rPr>
            </w:pPr>
          </w:p>
          <w:p>
            <w:pPr>
              <w:pStyle w:val="TableParagraph"/>
              <w:spacing w:before="103"/>
              <w:rPr>
                <w:b/>
                <w:sz w:val="18"/>
              </w:rPr>
            </w:pPr>
          </w:p>
          <w:p>
            <w:pPr>
              <w:pStyle w:val="TableParagraph"/>
              <w:ind w:left="72" w:right="111"/>
              <w:rPr>
                <w:sz w:val="18"/>
              </w:rPr>
            </w:pPr>
            <w:r>
              <w:rPr>
                <w:b/>
                <w:sz w:val="18"/>
              </w:rPr>
              <w:t>Actividad PAC 2.75.3</w:t>
            </w:r>
            <w:r>
              <w:rPr>
                <w:sz w:val="18"/>
              </w:rPr>
              <w:t>: Ingresar la información</w:t>
            </w:r>
            <w:r>
              <w:rPr>
                <w:spacing w:val="-7"/>
                <w:sz w:val="18"/>
              </w:rPr>
              <w:t> </w:t>
            </w:r>
            <w:r>
              <w:rPr>
                <w:sz w:val="18"/>
              </w:rPr>
              <w:t>de</w:t>
            </w:r>
            <w:r>
              <w:rPr>
                <w:spacing w:val="-7"/>
                <w:sz w:val="18"/>
              </w:rPr>
              <w:t> </w:t>
            </w:r>
            <w:r>
              <w:rPr>
                <w:sz w:val="18"/>
              </w:rPr>
              <w:t>riesgos</w:t>
            </w:r>
            <w:r>
              <w:rPr>
                <w:spacing w:val="-7"/>
                <w:sz w:val="18"/>
              </w:rPr>
              <w:t> </w:t>
            </w:r>
            <w:r>
              <w:rPr>
                <w:sz w:val="18"/>
              </w:rPr>
              <w:t>en</w:t>
            </w:r>
            <w:r>
              <w:rPr>
                <w:spacing w:val="-3"/>
                <w:sz w:val="18"/>
              </w:rPr>
              <w:t> </w:t>
            </w:r>
            <w:r>
              <w:rPr>
                <w:sz w:val="18"/>
              </w:rPr>
              <w:t>el</w:t>
            </w:r>
            <w:r>
              <w:rPr>
                <w:spacing w:val="-9"/>
                <w:sz w:val="18"/>
              </w:rPr>
              <w:t> </w:t>
            </w:r>
            <w:r>
              <w:rPr>
                <w:sz w:val="18"/>
              </w:rPr>
              <w:t>sistema informático de Control Interno </w:t>
            </w:r>
            <w:r>
              <w:rPr>
                <w:spacing w:val="-2"/>
                <w:sz w:val="18"/>
              </w:rPr>
              <w:t>adquirido</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19" w:right="7"/>
              <w:jc w:val="center"/>
              <w:rPr>
                <w:sz w:val="18"/>
              </w:rPr>
            </w:pPr>
            <w:r>
              <w:rPr>
                <w:spacing w:val="-4"/>
                <w:sz w:val="18"/>
              </w:rPr>
              <w:t>100%</w:t>
            </w:r>
          </w:p>
        </w:tc>
        <w:tc>
          <w:tcPr>
            <w:tcW w:w="1776" w:type="dxa"/>
          </w:tcPr>
          <w:p>
            <w:pPr>
              <w:pStyle w:val="TableParagraph"/>
              <w:spacing w:before="205"/>
              <w:ind w:left="67" w:right="131"/>
              <w:rPr>
                <w:sz w:val="18"/>
              </w:rPr>
            </w:pPr>
            <w:r>
              <w:rPr>
                <w:sz w:val="18"/>
              </w:rPr>
              <w:t>Porcentaje de información de riesgos</w:t>
            </w:r>
            <w:r>
              <w:rPr>
                <w:spacing w:val="-13"/>
                <w:sz w:val="18"/>
              </w:rPr>
              <w:t> </w:t>
            </w:r>
            <w:r>
              <w:rPr>
                <w:sz w:val="18"/>
              </w:rPr>
              <w:t>ingresada en el sistema informático de control interno </w:t>
            </w:r>
            <w:r>
              <w:rPr>
                <w:spacing w:val="-2"/>
                <w:sz w:val="18"/>
              </w:rPr>
              <w:t>adquirido</w:t>
            </w:r>
          </w:p>
        </w:tc>
        <w:tc>
          <w:tcPr>
            <w:tcW w:w="1483" w:type="dxa"/>
          </w:tcPr>
          <w:p>
            <w:pPr>
              <w:pStyle w:val="TableParagraph"/>
              <w:ind w:left="67" w:right="108"/>
              <w:rPr>
                <w:sz w:val="18"/>
              </w:rPr>
            </w:pPr>
            <w:r>
              <w:rPr>
                <w:sz w:val="18"/>
              </w:rPr>
              <w:t>Capturas de pantalla de información de </w:t>
            </w:r>
            <w:r>
              <w:rPr>
                <w:spacing w:val="-2"/>
                <w:sz w:val="18"/>
              </w:rPr>
              <w:t>riesgos </w:t>
            </w:r>
            <w:r>
              <w:rPr>
                <w:sz w:val="18"/>
              </w:rPr>
              <w:t>ingresada</w:t>
            </w:r>
            <w:r>
              <w:rPr>
                <w:spacing w:val="-15"/>
                <w:sz w:val="18"/>
              </w:rPr>
              <w:t> </w:t>
            </w:r>
            <w:r>
              <w:rPr>
                <w:sz w:val="18"/>
              </w:rPr>
              <w:t>en</w:t>
            </w:r>
            <w:r>
              <w:rPr>
                <w:spacing w:val="-12"/>
                <w:sz w:val="18"/>
              </w:rPr>
              <w:t> </w:t>
            </w:r>
            <w:r>
              <w:rPr>
                <w:sz w:val="18"/>
              </w:rPr>
              <w:t>el </w:t>
            </w:r>
            <w:r>
              <w:rPr>
                <w:spacing w:val="-2"/>
                <w:sz w:val="18"/>
              </w:rPr>
              <w:t>sistema </w:t>
            </w:r>
            <w:r>
              <w:rPr>
                <w:sz w:val="18"/>
              </w:rPr>
              <w:t>informático de control interno</w:t>
            </w:r>
          </w:p>
          <w:p>
            <w:pPr>
              <w:pStyle w:val="TableParagraph"/>
              <w:spacing w:line="187" w:lineRule="exact"/>
              <w:ind w:left="67"/>
              <w:rPr>
                <w:sz w:val="18"/>
              </w:rPr>
            </w:pPr>
            <w:r>
              <w:rPr>
                <w:spacing w:val="-2"/>
                <w:sz w:val="18"/>
              </w:rPr>
              <w:t>adquirido</w:t>
            </w:r>
          </w:p>
        </w:tc>
        <w:tc>
          <w:tcPr>
            <w:tcW w:w="129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517" w:hRule="atLeast"/>
        </w:trPr>
        <w:tc>
          <w:tcPr>
            <w:tcW w:w="3193" w:type="dxa"/>
          </w:tcPr>
          <w:p>
            <w:pPr>
              <w:pStyle w:val="TableParagraph"/>
              <w:spacing w:before="138"/>
              <w:ind w:left="72" w:right="111"/>
              <w:rPr>
                <w:sz w:val="18"/>
              </w:rPr>
            </w:pPr>
            <w:r>
              <w:rPr>
                <w:b/>
                <w:sz w:val="18"/>
              </w:rPr>
              <w:t>Actividad PAC 2.75.4: </w:t>
            </w:r>
            <w:r>
              <w:rPr>
                <w:sz w:val="18"/>
              </w:rPr>
              <w:t>Capacitar a los</w:t>
            </w:r>
            <w:r>
              <w:rPr>
                <w:spacing w:val="-5"/>
                <w:sz w:val="18"/>
              </w:rPr>
              <w:t> </w:t>
            </w:r>
            <w:r>
              <w:rPr>
                <w:sz w:val="18"/>
              </w:rPr>
              <w:t>enlaces</w:t>
            </w:r>
            <w:r>
              <w:rPr>
                <w:spacing w:val="-9"/>
                <w:sz w:val="18"/>
              </w:rPr>
              <w:t> </w:t>
            </w:r>
            <w:r>
              <w:rPr>
                <w:sz w:val="18"/>
              </w:rPr>
              <w:t>institucionales</w:t>
            </w:r>
            <w:r>
              <w:rPr>
                <w:spacing w:val="-9"/>
                <w:sz w:val="18"/>
              </w:rPr>
              <w:t> </w:t>
            </w:r>
            <w:r>
              <w:rPr>
                <w:sz w:val="18"/>
              </w:rPr>
              <w:t>de</w:t>
            </w:r>
            <w:r>
              <w:rPr>
                <w:spacing w:val="-9"/>
                <w:sz w:val="18"/>
              </w:rPr>
              <w:t> </w:t>
            </w:r>
            <w:r>
              <w:rPr>
                <w:sz w:val="18"/>
              </w:rPr>
              <w:t>Control Interno, sobre el uso sistema informático adquirido para el seguimiento de las actividades del sistema de control interno</w:t>
            </w:r>
          </w:p>
        </w:tc>
        <w:tc>
          <w:tcPr>
            <w:tcW w:w="1354" w:type="dxa"/>
          </w:tcPr>
          <w:p>
            <w:pPr>
              <w:pStyle w:val="TableParagraph"/>
              <w:rPr>
                <w:b/>
                <w:sz w:val="18"/>
              </w:rPr>
            </w:pPr>
          </w:p>
          <w:p>
            <w:pPr>
              <w:pStyle w:val="TableParagraph"/>
              <w:rPr>
                <w:b/>
                <w:sz w:val="18"/>
              </w:rPr>
            </w:pPr>
          </w:p>
          <w:p>
            <w:pPr>
              <w:pStyle w:val="TableParagraph"/>
              <w:spacing w:before="36"/>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36"/>
              <w:rPr>
                <w:b/>
                <w:sz w:val="18"/>
              </w:rPr>
            </w:pPr>
          </w:p>
          <w:p>
            <w:pPr>
              <w:pStyle w:val="TableParagraph"/>
              <w:ind w:left="19" w:right="9"/>
              <w:jc w:val="center"/>
              <w:rPr>
                <w:sz w:val="18"/>
              </w:rPr>
            </w:pPr>
            <w:r>
              <w:rPr>
                <w:spacing w:val="-5"/>
                <w:sz w:val="18"/>
              </w:rPr>
              <w:t>15</w:t>
            </w:r>
          </w:p>
        </w:tc>
        <w:tc>
          <w:tcPr>
            <w:tcW w:w="1776" w:type="dxa"/>
          </w:tcPr>
          <w:p>
            <w:pPr>
              <w:pStyle w:val="TableParagraph"/>
              <w:rPr>
                <w:b/>
                <w:sz w:val="18"/>
              </w:rPr>
            </w:pPr>
          </w:p>
          <w:p>
            <w:pPr>
              <w:pStyle w:val="TableParagraph"/>
              <w:spacing w:before="36"/>
              <w:rPr>
                <w:b/>
                <w:sz w:val="18"/>
              </w:rPr>
            </w:pPr>
          </w:p>
          <w:p>
            <w:pPr>
              <w:pStyle w:val="TableParagraph"/>
              <w:ind w:left="67" w:right="130"/>
              <w:rPr>
                <w:sz w:val="18"/>
              </w:rPr>
            </w:pPr>
            <w:r>
              <w:rPr>
                <w:sz w:val="18"/>
              </w:rPr>
              <w:t>Cantidad de enlaces de control interno</w:t>
            </w:r>
            <w:r>
              <w:rPr>
                <w:spacing w:val="-13"/>
                <w:sz w:val="18"/>
              </w:rPr>
              <w:t> </w:t>
            </w:r>
            <w:r>
              <w:rPr>
                <w:sz w:val="18"/>
              </w:rPr>
              <w:t>capacitados</w:t>
            </w:r>
          </w:p>
        </w:tc>
        <w:tc>
          <w:tcPr>
            <w:tcW w:w="1483" w:type="dxa"/>
          </w:tcPr>
          <w:p>
            <w:pPr>
              <w:pStyle w:val="TableParagraph"/>
              <w:spacing w:before="32"/>
              <w:rPr>
                <w:b/>
                <w:sz w:val="18"/>
              </w:rPr>
            </w:pPr>
          </w:p>
          <w:p>
            <w:pPr>
              <w:pStyle w:val="TableParagraph"/>
              <w:ind w:left="67"/>
              <w:rPr>
                <w:sz w:val="18"/>
              </w:rPr>
            </w:pPr>
            <w:r>
              <w:rPr>
                <w:sz w:val="18"/>
              </w:rPr>
              <w:t>Listas de </w:t>
            </w:r>
            <w:r>
              <w:rPr>
                <w:spacing w:val="-2"/>
                <w:sz w:val="18"/>
              </w:rPr>
              <w:t>asistencia, </w:t>
            </w:r>
            <w:r>
              <w:rPr>
                <w:sz w:val="18"/>
              </w:rPr>
              <w:t>grabación</w:t>
            </w:r>
            <w:r>
              <w:rPr>
                <w:spacing w:val="-15"/>
                <w:sz w:val="18"/>
              </w:rPr>
              <w:t> </w:t>
            </w:r>
            <w:r>
              <w:rPr>
                <w:sz w:val="18"/>
              </w:rPr>
              <w:t>de</w:t>
            </w:r>
            <w:r>
              <w:rPr>
                <w:spacing w:val="-12"/>
                <w:sz w:val="18"/>
              </w:rPr>
              <w:t> </w:t>
            </w:r>
            <w:r>
              <w:rPr>
                <w:sz w:val="18"/>
              </w:rPr>
              <w:t>las sesiones de </w:t>
            </w:r>
            <w:r>
              <w:rPr>
                <w:spacing w:val="-2"/>
                <w:sz w:val="18"/>
              </w:rPr>
              <w:t>capacitación</w:t>
            </w:r>
          </w:p>
        </w:tc>
        <w:tc>
          <w:tcPr>
            <w:tcW w:w="1296" w:type="dxa"/>
          </w:tcPr>
          <w:p>
            <w:pPr>
              <w:pStyle w:val="TableParagraph"/>
              <w:rPr>
                <w:b/>
                <w:sz w:val="18"/>
              </w:rPr>
            </w:pPr>
          </w:p>
          <w:p>
            <w:pPr>
              <w:pStyle w:val="TableParagraph"/>
              <w:spacing w:before="137"/>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609" w:hRule="atLeast"/>
        </w:trPr>
        <w:tc>
          <w:tcPr>
            <w:tcW w:w="14598" w:type="dxa"/>
            <w:gridSpan w:val="8"/>
            <w:shd w:val="clear" w:color="auto" w:fill="EFF8F9"/>
          </w:tcPr>
          <w:p>
            <w:pPr>
              <w:pStyle w:val="TableParagraph"/>
              <w:spacing w:line="244" w:lineRule="auto" w:before="95"/>
              <w:ind w:left="72" w:right="173"/>
              <w:rPr>
                <w:b/>
                <w:sz w:val="18"/>
              </w:rPr>
            </w:pPr>
            <w:r>
              <w:rPr>
                <w:b/>
                <w:sz w:val="18"/>
              </w:rPr>
              <w:t>Producto</w:t>
            </w:r>
            <w:r>
              <w:rPr>
                <w:b/>
                <w:spacing w:val="-4"/>
                <w:sz w:val="18"/>
              </w:rPr>
              <w:t> </w:t>
            </w:r>
            <w:r>
              <w:rPr>
                <w:b/>
                <w:sz w:val="18"/>
              </w:rPr>
              <w:t>PAC</w:t>
            </w:r>
            <w:r>
              <w:rPr>
                <w:b/>
                <w:spacing w:val="-5"/>
                <w:sz w:val="18"/>
              </w:rPr>
              <w:t> </w:t>
            </w:r>
            <w:r>
              <w:rPr>
                <w:b/>
                <w:sz w:val="18"/>
              </w:rPr>
              <w:t>2.76:</w:t>
            </w:r>
            <w:r>
              <w:rPr>
                <w:b/>
                <w:spacing w:val="-1"/>
                <w:sz w:val="18"/>
              </w:rPr>
              <w:t> </w:t>
            </w:r>
            <w:r>
              <w:rPr>
                <w:b/>
                <w:sz w:val="18"/>
              </w:rPr>
              <w:t>Personas</w:t>
            </w:r>
            <w:r>
              <w:rPr>
                <w:b/>
                <w:spacing w:val="-3"/>
                <w:sz w:val="18"/>
              </w:rPr>
              <w:t> </w:t>
            </w:r>
            <w:r>
              <w:rPr>
                <w:b/>
                <w:sz w:val="18"/>
              </w:rPr>
              <w:t>funcionarias</w:t>
            </w:r>
            <w:r>
              <w:rPr>
                <w:b/>
                <w:spacing w:val="-3"/>
                <w:sz w:val="18"/>
              </w:rPr>
              <w:t> </w:t>
            </w:r>
            <w:r>
              <w:rPr>
                <w:b/>
                <w:sz w:val="18"/>
              </w:rPr>
              <w:t>que</w:t>
            </w:r>
            <w:r>
              <w:rPr>
                <w:b/>
                <w:spacing w:val="-3"/>
                <w:sz w:val="18"/>
              </w:rPr>
              <w:t> </w:t>
            </w:r>
            <w:r>
              <w:rPr>
                <w:b/>
                <w:sz w:val="18"/>
              </w:rPr>
              <w:t>ejercen como</w:t>
            </w:r>
            <w:r>
              <w:rPr>
                <w:b/>
                <w:spacing w:val="-4"/>
                <w:sz w:val="18"/>
              </w:rPr>
              <w:t> </w:t>
            </w:r>
            <w:r>
              <w:rPr>
                <w:b/>
                <w:sz w:val="18"/>
              </w:rPr>
              <w:t>enlaces</w:t>
            </w:r>
            <w:r>
              <w:rPr>
                <w:b/>
                <w:spacing w:val="-3"/>
                <w:sz w:val="18"/>
              </w:rPr>
              <w:t> </w:t>
            </w:r>
            <w:r>
              <w:rPr>
                <w:b/>
                <w:sz w:val="18"/>
              </w:rPr>
              <w:t>de planificación</w:t>
            </w:r>
            <w:r>
              <w:rPr>
                <w:b/>
                <w:spacing w:val="-4"/>
                <w:sz w:val="18"/>
              </w:rPr>
              <w:t> </w:t>
            </w:r>
            <w:r>
              <w:rPr>
                <w:b/>
                <w:sz w:val="18"/>
              </w:rPr>
              <w:t>con</w:t>
            </w:r>
            <w:r>
              <w:rPr>
                <w:b/>
                <w:spacing w:val="-4"/>
                <w:sz w:val="18"/>
              </w:rPr>
              <w:t> </w:t>
            </w:r>
            <w:r>
              <w:rPr>
                <w:b/>
                <w:sz w:val="18"/>
              </w:rPr>
              <w:t>un nivel</w:t>
            </w:r>
            <w:r>
              <w:rPr>
                <w:b/>
                <w:spacing w:val="-1"/>
                <w:sz w:val="18"/>
              </w:rPr>
              <w:t> </w:t>
            </w:r>
            <w:r>
              <w:rPr>
                <w:b/>
                <w:sz w:val="18"/>
              </w:rPr>
              <w:t>homologado de conocimiento</w:t>
            </w:r>
            <w:r>
              <w:rPr>
                <w:b/>
                <w:spacing w:val="-4"/>
                <w:sz w:val="18"/>
              </w:rPr>
              <w:t> </w:t>
            </w:r>
            <w:r>
              <w:rPr>
                <w:b/>
                <w:sz w:val="18"/>
              </w:rPr>
              <w:t>en temas</w:t>
            </w:r>
            <w:r>
              <w:rPr>
                <w:b/>
                <w:spacing w:val="-3"/>
                <w:sz w:val="18"/>
              </w:rPr>
              <w:t> </w:t>
            </w:r>
            <w:r>
              <w:rPr>
                <w:b/>
                <w:sz w:val="18"/>
              </w:rPr>
              <w:t>del</w:t>
            </w:r>
            <w:r>
              <w:rPr>
                <w:b/>
                <w:spacing w:val="-1"/>
                <w:sz w:val="18"/>
              </w:rPr>
              <w:t> </w:t>
            </w:r>
            <w:r>
              <w:rPr>
                <w:b/>
                <w:sz w:val="18"/>
              </w:rPr>
              <w:t>Sistema</w:t>
            </w:r>
            <w:r>
              <w:rPr>
                <w:b/>
                <w:spacing w:val="-3"/>
                <w:sz w:val="18"/>
              </w:rPr>
              <w:t> </w:t>
            </w:r>
            <w:r>
              <w:rPr>
                <w:b/>
                <w:sz w:val="18"/>
              </w:rPr>
              <w:t>de</w:t>
            </w:r>
            <w:r>
              <w:rPr>
                <w:b/>
                <w:spacing w:val="-3"/>
                <w:sz w:val="18"/>
              </w:rPr>
              <w:t> </w:t>
            </w:r>
            <w:r>
              <w:rPr>
                <w:b/>
                <w:sz w:val="18"/>
              </w:rPr>
              <w:t>Control Interno. E1 AE5 R3 (100%)</w:t>
            </w:r>
          </w:p>
        </w:tc>
      </w:tr>
    </w:tbl>
    <w:p>
      <w:pPr>
        <w:pStyle w:val="TableParagraph"/>
        <w:spacing w:after="0" w:line="244" w:lineRule="auto"/>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2251" w:hRule="atLeast"/>
        </w:trPr>
        <w:tc>
          <w:tcPr>
            <w:tcW w:w="3193" w:type="dxa"/>
          </w:tcPr>
          <w:p>
            <w:pPr>
              <w:pStyle w:val="TableParagraph"/>
              <w:rPr>
                <w:b/>
                <w:sz w:val="18"/>
              </w:rPr>
            </w:pPr>
          </w:p>
          <w:p>
            <w:pPr>
              <w:pStyle w:val="TableParagraph"/>
              <w:spacing w:before="194"/>
              <w:rPr>
                <w:b/>
                <w:sz w:val="18"/>
              </w:rPr>
            </w:pPr>
          </w:p>
          <w:p>
            <w:pPr>
              <w:pStyle w:val="TableParagraph"/>
              <w:ind w:left="72" w:right="94"/>
              <w:jc w:val="both"/>
              <w:rPr>
                <w:sz w:val="18"/>
              </w:rPr>
            </w:pPr>
            <w:r>
              <w:rPr>
                <w:b/>
                <w:sz w:val="18"/>
              </w:rPr>
              <w:t>Actividad PAC 2.76.1: </w:t>
            </w:r>
            <w:r>
              <w:rPr>
                <w:sz w:val="18"/>
              </w:rPr>
              <w:t>Capacitar en temas</w:t>
            </w:r>
            <w:r>
              <w:rPr>
                <w:spacing w:val="-2"/>
                <w:sz w:val="18"/>
              </w:rPr>
              <w:t> </w:t>
            </w:r>
            <w:r>
              <w:rPr>
                <w:sz w:val="18"/>
              </w:rPr>
              <w:t>del Sistema de</w:t>
            </w:r>
            <w:r>
              <w:rPr>
                <w:spacing w:val="-2"/>
                <w:sz w:val="18"/>
              </w:rPr>
              <w:t> </w:t>
            </w:r>
            <w:r>
              <w:rPr>
                <w:sz w:val="18"/>
              </w:rPr>
              <w:t>Control Interno (SCI) para las personas funcionarias y</w:t>
            </w:r>
            <w:r>
              <w:rPr>
                <w:spacing w:val="-3"/>
                <w:sz w:val="18"/>
              </w:rPr>
              <w:t> </w:t>
            </w:r>
            <w:r>
              <w:rPr>
                <w:sz w:val="18"/>
              </w:rPr>
              <w:t>trabajadoras</w:t>
            </w:r>
            <w:r>
              <w:rPr>
                <w:spacing w:val="-8"/>
                <w:sz w:val="18"/>
              </w:rPr>
              <w:t> </w:t>
            </w:r>
            <w:r>
              <w:rPr>
                <w:sz w:val="18"/>
              </w:rPr>
              <w:t>de</w:t>
            </w:r>
            <w:r>
              <w:rPr>
                <w:spacing w:val="-8"/>
                <w:sz w:val="18"/>
              </w:rPr>
              <w:t> </w:t>
            </w:r>
            <w:r>
              <w:rPr>
                <w:sz w:val="18"/>
              </w:rPr>
              <w:t>nuevo</w:t>
            </w:r>
            <w:r>
              <w:rPr>
                <w:spacing w:val="-4"/>
                <w:sz w:val="18"/>
              </w:rPr>
              <w:t> </w:t>
            </w:r>
            <w:r>
              <w:rPr>
                <w:sz w:val="18"/>
              </w:rPr>
              <w:t>ingreso</w:t>
            </w:r>
            <w:r>
              <w:rPr>
                <w:spacing w:val="-8"/>
                <w:sz w:val="18"/>
              </w:rPr>
              <w:t> </w:t>
            </w:r>
            <w:r>
              <w:rPr>
                <w:sz w:val="18"/>
              </w:rPr>
              <w:t>en</w:t>
            </w:r>
            <w:r>
              <w:rPr>
                <w:spacing w:val="-8"/>
                <w:sz w:val="18"/>
              </w:rPr>
              <w:t> </w:t>
            </w:r>
            <w:r>
              <w:rPr>
                <w:sz w:val="18"/>
              </w:rPr>
              <w:t>el </w:t>
            </w:r>
            <w:r>
              <w:rPr>
                <w:spacing w:val="-4"/>
                <w:sz w:val="18"/>
              </w:rPr>
              <w:t>IMAS</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spacing w:before="1"/>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spacing w:before="1"/>
              <w:ind w:left="19" w:right="7"/>
              <w:jc w:val="center"/>
              <w:rPr>
                <w:sz w:val="18"/>
              </w:rPr>
            </w:pPr>
            <w:r>
              <w:rPr>
                <w:spacing w:val="-4"/>
                <w:sz w:val="18"/>
              </w:rPr>
              <w:t>100%</w:t>
            </w:r>
          </w:p>
        </w:tc>
        <w:tc>
          <w:tcPr>
            <w:tcW w:w="1776" w:type="dxa"/>
          </w:tcPr>
          <w:p>
            <w:pPr>
              <w:pStyle w:val="TableParagraph"/>
              <w:spacing w:before="190"/>
              <w:rPr>
                <w:b/>
                <w:sz w:val="18"/>
              </w:rPr>
            </w:pPr>
          </w:p>
          <w:p>
            <w:pPr>
              <w:pStyle w:val="TableParagraph"/>
              <w:ind w:left="67" w:right="60"/>
              <w:rPr>
                <w:sz w:val="18"/>
              </w:rPr>
            </w:pPr>
            <w:r>
              <w:rPr>
                <w:sz w:val="18"/>
              </w:rPr>
              <w:t>Porcentaje de </w:t>
            </w:r>
            <w:r>
              <w:rPr>
                <w:spacing w:val="-2"/>
                <w:sz w:val="18"/>
              </w:rPr>
              <w:t>personas </w:t>
            </w:r>
            <w:r>
              <w:rPr>
                <w:sz w:val="18"/>
              </w:rPr>
              <w:t>funcionarias y trabajadoras</w:t>
            </w:r>
            <w:r>
              <w:rPr>
                <w:spacing w:val="-13"/>
                <w:sz w:val="18"/>
              </w:rPr>
              <w:t> </w:t>
            </w:r>
            <w:r>
              <w:rPr>
                <w:sz w:val="18"/>
              </w:rPr>
              <w:t>de nuevo ingreso capacitadas en temas del SCI</w:t>
            </w:r>
          </w:p>
        </w:tc>
        <w:tc>
          <w:tcPr>
            <w:tcW w:w="1483" w:type="dxa"/>
          </w:tcPr>
          <w:p>
            <w:pPr>
              <w:pStyle w:val="TableParagraph"/>
              <w:spacing w:before="90"/>
              <w:ind w:left="67"/>
              <w:rPr>
                <w:sz w:val="18"/>
              </w:rPr>
            </w:pPr>
            <w:r>
              <w:rPr>
                <w:sz w:val="18"/>
              </w:rPr>
              <w:t>Oficios</w:t>
            </w:r>
            <w:r>
              <w:rPr>
                <w:spacing w:val="-15"/>
                <w:sz w:val="18"/>
              </w:rPr>
              <w:t> </w:t>
            </w:r>
            <w:r>
              <w:rPr>
                <w:sz w:val="18"/>
              </w:rPr>
              <w:t>y</w:t>
            </w:r>
            <w:r>
              <w:rPr>
                <w:spacing w:val="-12"/>
                <w:sz w:val="18"/>
              </w:rPr>
              <w:t> </w:t>
            </w:r>
            <w:r>
              <w:rPr>
                <w:sz w:val="18"/>
              </w:rPr>
              <w:t>correos enviados a DH para la identificación de personal de nuevo ingreso que</w:t>
            </w:r>
            <w:r>
              <w:rPr>
                <w:spacing w:val="-3"/>
                <w:sz w:val="18"/>
              </w:rPr>
              <w:t> </w:t>
            </w:r>
            <w:r>
              <w:rPr>
                <w:sz w:val="18"/>
              </w:rPr>
              <w:t>requiere</w:t>
            </w:r>
            <w:r>
              <w:rPr>
                <w:spacing w:val="-3"/>
                <w:sz w:val="18"/>
              </w:rPr>
              <w:t> </w:t>
            </w:r>
            <w:r>
              <w:rPr>
                <w:sz w:val="18"/>
              </w:rPr>
              <w:t>ser capacitado en temas</w:t>
            </w:r>
            <w:r>
              <w:rPr>
                <w:spacing w:val="-13"/>
                <w:sz w:val="18"/>
              </w:rPr>
              <w:t> </w:t>
            </w:r>
            <w:r>
              <w:rPr>
                <w:sz w:val="18"/>
              </w:rPr>
              <w:t>de</w:t>
            </w:r>
            <w:r>
              <w:rPr>
                <w:spacing w:val="-12"/>
                <w:sz w:val="18"/>
              </w:rPr>
              <w:t> </w:t>
            </w:r>
            <w:r>
              <w:rPr>
                <w:sz w:val="18"/>
              </w:rPr>
              <w:t>control </w:t>
            </w:r>
            <w:r>
              <w:rPr>
                <w:spacing w:val="-2"/>
                <w:sz w:val="18"/>
              </w:rPr>
              <w:t>interno</w:t>
            </w:r>
          </w:p>
        </w:tc>
        <w:tc>
          <w:tcPr>
            <w:tcW w:w="1296" w:type="dxa"/>
          </w:tcPr>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spacing w:before="1"/>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8"/>
              <w:rPr>
                <w:b/>
                <w:sz w:val="18"/>
              </w:rPr>
            </w:pPr>
          </w:p>
          <w:p>
            <w:pPr>
              <w:pStyle w:val="TableParagraph"/>
              <w:ind w:left="74" w:right="112"/>
              <w:rPr>
                <w:sz w:val="18"/>
              </w:rPr>
            </w:pPr>
            <w:r>
              <w:rPr>
                <w:sz w:val="18"/>
              </w:rPr>
              <w:t>Evento:</w:t>
            </w:r>
            <w:r>
              <w:rPr>
                <w:spacing w:val="-5"/>
                <w:sz w:val="18"/>
              </w:rPr>
              <w:t> </w:t>
            </w:r>
            <w:r>
              <w:rPr>
                <w:sz w:val="18"/>
              </w:rPr>
              <w:t>En</w:t>
            </w:r>
            <w:r>
              <w:rPr>
                <w:spacing w:val="-8"/>
                <w:sz w:val="18"/>
              </w:rPr>
              <w:t> </w:t>
            </w:r>
            <w:r>
              <w:rPr>
                <w:sz w:val="18"/>
              </w:rPr>
              <w:t>la</w:t>
            </w:r>
            <w:r>
              <w:rPr>
                <w:spacing w:val="-11"/>
                <w:sz w:val="18"/>
              </w:rPr>
              <w:t> </w:t>
            </w:r>
            <w:r>
              <w:rPr>
                <w:sz w:val="18"/>
              </w:rPr>
              <w:t>ejecución de los procesos de Control Interno las personas enlaces no cuenten con el conocimiento</w:t>
            </w:r>
            <w:r>
              <w:rPr>
                <w:spacing w:val="-13"/>
                <w:sz w:val="18"/>
              </w:rPr>
              <w:t> </w:t>
            </w:r>
            <w:r>
              <w:rPr>
                <w:sz w:val="18"/>
              </w:rPr>
              <w:t>necesario para desarrollar los </w:t>
            </w:r>
            <w:r>
              <w:rPr>
                <w:spacing w:val="-2"/>
                <w:sz w:val="18"/>
              </w:rPr>
              <w:t>productos.</w:t>
            </w:r>
          </w:p>
        </w:tc>
      </w:tr>
      <w:tr>
        <w:trPr>
          <w:trHeight w:val="2069" w:hRule="atLeast"/>
        </w:trPr>
        <w:tc>
          <w:tcPr>
            <w:tcW w:w="3193" w:type="dxa"/>
          </w:tcPr>
          <w:p>
            <w:pPr>
              <w:pStyle w:val="TableParagraph"/>
              <w:rPr>
                <w:b/>
                <w:sz w:val="18"/>
              </w:rPr>
            </w:pPr>
          </w:p>
          <w:p>
            <w:pPr>
              <w:pStyle w:val="TableParagraph"/>
              <w:spacing w:before="104"/>
              <w:rPr>
                <w:b/>
                <w:sz w:val="18"/>
              </w:rPr>
            </w:pPr>
          </w:p>
          <w:p>
            <w:pPr>
              <w:pStyle w:val="TableParagraph"/>
              <w:ind w:left="72"/>
              <w:rPr>
                <w:sz w:val="18"/>
              </w:rPr>
            </w:pPr>
            <w:r>
              <w:rPr>
                <w:b/>
                <w:sz w:val="18"/>
              </w:rPr>
              <w:t>Actividad</w:t>
            </w:r>
            <w:r>
              <w:rPr>
                <w:b/>
                <w:spacing w:val="-12"/>
                <w:sz w:val="18"/>
              </w:rPr>
              <w:t> </w:t>
            </w:r>
            <w:r>
              <w:rPr>
                <w:b/>
                <w:sz w:val="18"/>
              </w:rPr>
              <w:t>PAC</w:t>
            </w:r>
            <w:r>
              <w:rPr>
                <w:b/>
                <w:spacing w:val="-9"/>
                <w:sz w:val="18"/>
              </w:rPr>
              <w:t> </w:t>
            </w:r>
            <w:r>
              <w:rPr>
                <w:b/>
                <w:sz w:val="18"/>
              </w:rPr>
              <w:t>2.76.2:</w:t>
            </w:r>
            <w:r>
              <w:rPr>
                <w:b/>
                <w:spacing w:val="-8"/>
                <w:sz w:val="18"/>
              </w:rPr>
              <w:t> </w:t>
            </w:r>
            <w:r>
              <w:rPr>
                <w:sz w:val="18"/>
              </w:rPr>
              <w:t>Identificar</w:t>
            </w:r>
            <w:r>
              <w:rPr>
                <w:spacing w:val="-6"/>
                <w:sz w:val="18"/>
              </w:rPr>
              <w:t> </w:t>
            </w:r>
            <w:r>
              <w:rPr>
                <w:sz w:val="18"/>
              </w:rPr>
              <w:t>y capacitar en temas del SCI a las nuevas personas funcionarias y trabajadoras que sean designadas como enlaces en este tema</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9" w:right="7"/>
              <w:jc w:val="center"/>
              <w:rPr>
                <w:sz w:val="18"/>
              </w:rPr>
            </w:pPr>
            <w:r>
              <w:rPr>
                <w:spacing w:val="-4"/>
                <w:sz w:val="18"/>
              </w:rPr>
              <w:t>100%</w:t>
            </w:r>
          </w:p>
        </w:tc>
        <w:tc>
          <w:tcPr>
            <w:tcW w:w="1776" w:type="dxa"/>
          </w:tcPr>
          <w:p>
            <w:pPr>
              <w:pStyle w:val="TableParagraph"/>
              <w:spacing w:before="206"/>
              <w:ind w:left="67" w:right="131"/>
              <w:rPr>
                <w:sz w:val="18"/>
              </w:rPr>
            </w:pPr>
            <w:r>
              <w:rPr>
                <w:sz w:val="18"/>
              </w:rPr>
              <w:t>Porcentaje de </w:t>
            </w:r>
            <w:r>
              <w:rPr>
                <w:spacing w:val="-2"/>
                <w:sz w:val="18"/>
              </w:rPr>
              <w:t>personas </w:t>
            </w:r>
            <w:r>
              <w:rPr>
                <w:sz w:val="18"/>
              </w:rPr>
              <w:t>funcionarias y </w:t>
            </w:r>
            <w:r>
              <w:rPr>
                <w:spacing w:val="-2"/>
                <w:sz w:val="18"/>
              </w:rPr>
              <w:t>trabajadoras </w:t>
            </w:r>
            <w:r>
              <w:rPr>
                <w:sz w:val="18"/>
              </w:rPr>
              <w:t>enlaces con </w:t>
            </w:r>
            <w:r>
              <w:rPr>
                <w:spacing w:val="-2"/>
                <w:sz w:val="18"/>
              </w:rPr>
              <w:t>Planificación </w:t>
            </w:r>
            <w:r>
              <w:rPr>
                <w:sz w:val="18"/>
              </w:rPr>
              <w:t>capacitadas</w:t>
            </w:r>
            <w:r>
              <w:rPr>
                <w:spacing w:val="-13"/>
                <w:sz w:val="18"/>
              </w:rPr>
              <w:t> </w:t>
            </w:r>
            <w:r>
              <w:rPr>
                <w:sz w:val="18"/>
              </w:rPr>
              <w:t>en temas del SCI</w:t>
            </w:r>
          </w:p>
        </w:tc>
        <w:tc>
          <w:tcPr>
            <w:tcW w:w="1483" w:type="dxa"/>
          </w:tcPr>
          <w:p>
            <w:pPr>
              <w:pStyle w:val="TableParagraph"/>
              <w:ind w:left="67" w:right="106"/>
              <w:rPr>
                <w:sz w:val="18"/>
              </w:rPr>
            </w:pPr>
            <w:r>
              <w:rPr>
                <w:sz w:val="18"/>
              </w:rPr>
              <w:t>Oficios o</w:t>
            </w:r>
            <w:r>
              <w:rPr>
                <w:spacing w:val="40"/>
                <w:sz w:val="18"/>
              </w:rPr>
              <w:t> </w:t>
            </w:r>
            <w:r>
              <w:rPr>
                <w:spacing w:val="-2"/>
                <w:sz w:val="18"/>
              </w:rPr>
              <w:t>correos </w:t>
            </w:r>
            <w:r>
              <w:rPr>
                <w:sz w:val="18"/>
              </w:rPr>
              <w:t>enviados a DH para la identificación</w:t>
            </w:r>
            <w:r>
              <w:rPr>
                <w:spacing w:val="-13"/>
                <w:sz w:val="18"/>
              </w:rPr>
              <w:t> </w:t>
            </w:r>
            <w:r>
              <w:rPr>
                <w:sz w:val="18"/>
              </w:rPr>
              <w:t>de personal de nuevo ingreso que requiere </w:t>
            </w:r>
            <w:r>
              <w:rPr>
                <w:spacing w:val="-2"/>
                <w:sz w:val="18"/>
              </w:rPr>
              <w:t>capacitación</w:t>
            </w:r>
          </w:p>
          <w:p>
            <w:pPr>
              <w:pStyle w:val="TableParagraph"/>
              <w:spacing w:line="187" w:lineRule="exact"/>
              <w:ind w:left="67"/>
              <w:rPr>
                <w:sz w:val="18"/>
              </w:rPr>
            </w:pPr>
            <w:r>
              <w:rPr>
                <w:sz w:val="18"/>
              </w:rPr>
              <w:t>sobre</w:t>
            </w:r>
            <w:r>
              <w:rPr>
                <w:spacing w:val="-2"/>
                <w:sz w:val="18"/>
              </w:rPr>
              <w:t> </w:t>
            </w:r>
            <w:r>
              <w:rPr>
                <w:sz w:val="18"/>
              </w:rPr>
              <w:t>el</w:t>
            </w:r>
            <w:r>
              <w:rPr>
                <w:spacing w:val="1"/>
                <w:sz w:val="18"/>
              </w:rPr>
              <w:t> </w:t>
            </w:r>
            <w:r>
              <w:rPr>
                <w:spacing w:val="-5"/>
                <w:sz w:val="18"/>
              </w:rPr>
              <w:t>SCI</w:t>
            </w:r>
          </w:p>
        </w:tc>
        <w:tc>
          <w:tcPr>
            <w:tcW w:w="1296"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449" w:hRule="atLeast"/>
        </w:trPr>
        <w:tc>
          <w:tcPr>
            <w:tcW w:w="3193" w:type="dxa"/>
          </w:tcPr>
          <w:p>
            <w:pPr>
              <w:pStyle w:val="TableParagraph"/>
              <w:spacing w:before="104"/>
              <w:ind w:left="72" w:right="111"/>
              <w:rPr>
                <w:sz w:val="18"/>
              </w:rPr>
            </w:pPr>
            <w:r>
              <w:rPr>
                <w:b/>
                <w:sz w:val="18"/>
              </w:rPr>
              <w:t>Actividad PAC 2.76.3: </w:t>
            </w:r>
            <w:r>
              <w:rPr>
                <w:sz w:val="18"/>
              </w:rPr>
              <w:t>Asesorar sobre la implementación de los procesos del Sistema de Control Interno</w:t>
            </w:r>
            <w:r>
              <w:rPr>
                <w:spacing w:val="-8"/>
                <w:sz w:val="18"/>
              </w:rPr>
              <w:t> </w:t>
            </w:r>
            <w:r>
              <w:rPr>
                <w:sz w:val="18"/>
              </w:rPr>
              <w:t>a</w:t>
            </w:r>
            <w:r>
              <w:rPr>
                <w:spacing w:val="-8"/>
                <w:sz w:val="18"/>
              </w:rPr>
              <w:t> </w:t>
            </w:r>
            <w:r>
              <w:rPr>
                <w:sz w:val="18"/>
              </w:rPr>
              <w:t>personas</w:t>
            </w:r>
            <w:r>
              <w:rPr>
                <w:spacing w:val="-11"/>
                <w:sz w:val="18"/>
              </w:rPr>
              <w:t> </w:t>
            </w:r>
            <w:r>
              <w:rPr>
                <w:sz w:val="18"/>
              </w:rPr>
              <w:t>trabajadoras</w:t>
            </w:r>
            <w:r>
              <w:rPr>
                <w:spacing w:val="-8"/>
                <w:sz w:val="18"/>
              </w:rPr>
              <w:t> </w:t>
            </w:r>
            <w:r>
              <w:rPr>
                <w:sz w:val="18"/>
              </w:rPr>
              <w:t>y funcionarias del IMAS u órganos externos que lo soliciten</w:t>
            </w:r>
          </w:p>
        </w:tc>
        <w:tc>
          <w:tcPr>
            <w:tcW w:w="1354"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right="5"/>
              <w:jc w:val="center"/>
              <w:rPr>
                <w:sz w:val="18"/>
              </w:rPr>
            </w:pPr>
            <w:r>
              <w:rPr>
                <w:spacing w:val="-5"/>
                <w:sz w:val="18"/>
              </w:rPr>
              <w:t>170</w:t>
            </w:r>
          </w:p>
        </w:tc>
        <w:tc>
          <w:tcPr>
            <w:tcW w:w="1354"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right="5"/>
              <w:jc w:val="center"/>
              <w:rPr>
                <w:sz w:val="18"/>
              </w:rPr>
            </w:pPr>
            <w:r>
              <w:rPr>
                <w:spacing w:val="-5"/>
                <w:sz w:val="18"/>
              </w:rPr>
              <w:t>170</w:t>
            </w:r>
          </w:p>
        </w:tc>
        <w:tc>
          <w:tcPr>
            <w:tcW w:w="1776" w:type="dxa"/>
          </w:tcPr>
          <w:p>
            <w:pPr>
              <w:pStyle w:val="TableParagraph"/>
              <w:spacing w:before="205"/>
              <w:ind w:left="67" w:right="581"/>
              <w:rPr>
                <w:sz w:val="18"/>
              </w:rPr>
            </w:pPr>
            <w:r>
              <w:rPr>
                <w:sz w:val="18"/>
              </w:rPr>
              <w:t>Cantidad de </w:t>
            </w:r>
            <w:r>
              <w:rPr>
                <w:spacing w:val="-2"/>
                <w:sz w:val="18"/>
              </w:rPr>
              <w:t>personas </w:t>
            </w:r>
            <w:r>
              <w:rPr>
                <w:sz w:val="18"/>
              </w:rPr>
              <w:t>funcionarias</w:t>
            </w:r>
            <w:r>
              <w:rPr>
                <w:spacing w:val="-13"/>
                <w:sz w:val="18"/>
              </w:rPr>
              <w:t> </w:t>
            </w:r>
            <w:r>
              <w:rPr>
                <w:sz w:val="18"/>
              </w:rPr>
              <w:t>y </w:t>
            </w:r>
            <w:r>
              <w:rPr>
                <w:spacing w:val="-2"/>
                <w:sz w:val="18"/>
              </w:rPr>
              <w:t>trabajadoras asesoradas</w:t>
            </w:r>
          </w:p>
        </w:tc>
        <w:tc>
          <w:tcPr>
            <w:tcW w:w="1483" w:type="dxa"/>
          </w:tcPr>
          <w:p>
            <w:pPr>
              <w:pStyle w:val="TableParagraph"/>
              <w:ind w:left="67" w:right="278"/>
              <w:rPr>
                <w:sz w:val="18"/>
              </w:rPr>
            </w:pPr>
            <w:r>
              <w:rPr>
                <w:sz w:val="18"/>
              </w:rPr>
              <w:t>Registro de asesoría a </w:t>
            </w:r>
            <w:r>
              <w:rPr>
                <w:spacing w:val="-2"/>
                <w:sz w:val="18"/>
              </w:rPr>
              <w:t>personas trabajadoras, </w:t>
            </w:r>
            <w:r>
              <w:rPr>
                <w:sz w:val="18"/>
              </w:rPr>
              <w:t>funcionarias</w:t>
            </w:r>
            <w:r>
              <w:rPr>
                <w:spacing w:val="-13"/>
                <w:sz w:val="18"/>
              </w:rPr>
              <w:t> </w:t>
            </w:r>
            <w:r>
              <w:rPr>
                <w:sz w:val="18"/>
              </w:rPr>
              <w:t>u</w:t>
            </w:r>
          </w:p>
          <w:p>
            <w:pPr>
              <w:pStyle w:val="TableParagraph"/>
              <w:spacing w:line="206" w:lineRule="exact"/>
              <w:ind w:left="67" w:right="198"/>
              <w:rPr>
                <w:sz w:val="18"/>
              </w:rPr>
            </w:pPr>
            <w:r>
              <w:rPr>
                <w:spacing w:val="-2"/>
                <w:sz w:val="18"/>
              </w:rPr>
              <w:t>órganos externos</w:t>
            </w:r>
          </w:p>
        </w:tc>
        <w:tc>
          <w:tcPr>
            <w:tcW w:w="1296" w:type="dxa"/>
          </w:tcPr>
          <w:p>
            <w:pPr>
              <w:pStyle w:val="TableParagraph"/>
              <w:rPr>
                <w:b/>
                <w:sz w:val="18"/>
              </w:rPr>
            </w:pPr>
          </w:p>
          <w:p>
            <w:pPr>
              <w:pStyle w:val="TableParagraph"/>
              <w:spacing w:before="103"/>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2026" w:hRule="atLeast"/>
        </w:trPr>
        <w:tc>
          <w:tcPr>
            <w:tcW w:w="3193" w:type="dxa"/>
          </w:tcPr>
          <w:p>
            <w:pPr>
              <w:pStyle w:val="TableParagraph"/>
              <w:rPr>
                <w:b/>
                <w:sz w:val="18"/>
              </w:rPr>
            </w:pPr>
          </w:p>
          <w:p>
            <w:pPr>
              <w:pStyle w:val="TableParagraph"/>
              <w:rPr>
                <w:b/>
                <w:sz w:val="18"/>
              </w:rPr>
            </w:pPr>
          </w:p>
          <w:p>
            <w:pPr>
              <w:pStyle w:val="TableParagraph"/>
              <w:spacing w:before="79"/>
              <w:rPr>
                <w:b/>
                <w:sz w:val="18"/>
              </w:rPr>
            </w:pPr>
          </w:p>
          <w:p>
            <w:pPr>
              <w:pStyle w:val="TableParagraph"/>
              <w:spacing w:line="242" w:lineRule="auto"/>
              <w:ind w:left="72" w:right="322"/>
              <w:jc w:val="both"/>
              <w:rPr>
                <w:b/>
                <w:sz w:val="18"/>
              </w:rPr>
            </w:pPr>
            <w:r>
              <w:rPr>
                <w:b/>
                <w:sz w:val="18"/>
              </w:rPr>
              <w:t>Actividad</w:t>
            </w:r>
            <w:r>
              <w:rPr>
                <w:b/>
                <w:spacing w:val="-13"/>
                <w:sz w:val="18"/>
              </w:rPr>
              <w:t> </w:t>
            </w:r>
            <w:r>
              <w:rPr>
                <w:b/>
                <w:sz w:val="18"/>
              </w:rPr>
              <w:t>PAC</w:t>
            </w:r>
            <w:r>
              <w:rPr>
                <w:b/>
                <w:spacing w:val="-12"/>
                <w:sz w:val="18"/>
              </w:rPr>
              <w:t> </w:t>
            </w:r>
            <w:r>
              <w:rPr>
                <w:b/>
                <w:sz w:val="18"/>
              </w:rPr>
              <w:t>2.76.4:</w:t>
            </w:r>
            <w:r>
              <w:rPr>
                <w:b/>
                <w:spacing w:val="-8"/>
                <w:sz w:val="18"/>
              </w:rPr>
              <w:t> </w:t>
            </w:r>
            <w:r>
              <w:rPr>
                <w:sz w:val="18"/>
              </w:rPr>
              <w:t>Desarrollar procesos</w:t>
            </w:r>
            <w:r>
              <w:rPr>
                <w:spacing w:val="-7"/>
                <w:sz w:val="18"/>
              </w:rPr>
              <w:t> </w:t>
            </w:r>
            <w:r>
              <w:rPr>
                <w:sz w:val="18"/>
              </w:rPr>
              <w:t>de</w:t>
            </w:r>
            <w:r>
              <w:rPr>
                <w:spacing w:val="-3"/>
                <w:sz w:val="18"/>
              </w:rPr>
              <w:t> </w:t>
            </w:r>
            <w:r>
              <w:rPr>
                <w:sz w:val="18"/>
              </w:rPr>
              <w:t>autoevaluación</w:t>
            </w:r>
            <w:r>
              <w:rPr>
                <w:spacing w:val="-7"/>
                <w:sz w:val="18"/>
              </w:rPr>
              <w:t> </w:t>
            </w:r>
            <w:r>
              <w:rPr>
                <w:sz w:val="18"/>
              </w:rPr>
              <w:t>en</w:t>
            </w:r>
            <w:r>
              <w:rPr>
                <w:spacing w:val="-7"/>
                <w:sz w:val="18"/>
              </w:rPr>
              <w:t> </w:t>
            </w:r>
            <w:r>
              <w:rPr>
                <w:sz w:val="18"/>
              </w:rPr>
              <w:t>las unidades</w:t>
            </w:r>
            <w:r>
              <w:rPr>
                <w:spacing w:val="-8"/>
                <w:sz w:val="18"/>
              </w:rPr>
              <w:t> </w:t>
            </w:r>
            <w:r>
              <w:rPr>
                <w:sz w:val="18"/>
              </w:rPr>
              <w:t>administrativas</w:t>
            </w:r>
            <w:r>
              <w:rPr>
                <w:spacing w:val="-8"/>
                <w:sz w:val="18"/>
              </w:rPr>
              <w:t> </w:t>
            </w:r>
            <w:r>
              <w:rPr>
                <w:sz w:val="18"/>
              </w:rPr>
              <w:t>de</w:t>
            </w:r>
            <w:r>
              <w:rPr>
                <w:b/>
                <w:sz w:val="18"/>
              </w:rPr>
              <w:t>l</w:t>
            </w:r>
            <w:r>
              <w:rPr>
                <w:b/>
                <w:spacing w:val="-6"/>
                <w:sz w:val="18"/>
              </w:rPr>
              <w:t> </w:t>
            </w:r>
            <w:r>
              <w:rPr>
                <w:b/>
                <w:spacing w:val="-4"/>
                <w:sz w:val="18"/>
              </w:rPr>
              <w:t>IMAS</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78"/>
              <w:rPr>
                <w:b/>
                <w:sz w:val="18"/>
              </w:rPr>
            </w:pPr>
          </w:p>
          <w:p>
            <w:pPr>
              <w:pStyle w:val="TableParagraph"/>
              <w:spacing w:before="1"/>
              <w:ind w:left="19" w:right="4"/>
              <w:jc w:val="center"/>
              <w:rPr>
                <w:sz w:val="18"/>
              </w:rPr>
            </w:pPr>
            <w:r>
              <w:rPr>
                <w:spacing w:val="-10"/>
                <w:sz w:val="18"/>
              </w:rPr>
              <w:t>1</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78"/>
              <w:rPr>
                <w:b/>
                <w:sz w:val="18"/>
              </w:rPr>
            </w:pPr>
          </w:p>
          <w:p>
            <w:pPr>
              <w:pStyle w:val="TableParagraph"/>
              <w:spacing w:before="1"/>
              <w:ind w:left="19" w:right="4"/>
              <w:jc w:val="center"/>
              <w:rPr>
                <w:sz w:val="18"/>
              </w:rPr>
            </w:pPr>
            <w:r>
              <w:rPr>
                <w:spacing w:val="-10"/>
                <w:sz w:val="18"/>
              </w:rPr>
              <w:t>1</w:t>
            </w:r>
          </w:p>
        </w:tc>
        <w:tc>
          <w:tcPr>
            <w:tcW w:w="1776" w:type="dxa"/>
          </w:tcPr>
          <w:p>
            <w:pPr>
              <w:pStyle w:val="TableParagraph"/>
              <w:spacing w:before="186"/>
              <w:ind w:left="67" w:right="60"/>
              <w:rPr>
                <w:sz w:val="18"/>
              </w:rPr>
            </w:pPr>
            <w:r>
              <w:rPr>
                <w:sz w:val="18"/>
              </w:rPr>
              <w:t>Cantidad de informes de resultados del desarrollo de procesos de </w:t>
            </w:r>
            <w:r>
              <w:rPr>
                <w:spacing w:val="-2"/>
                <w:sz w:val="18"/>
              </w:rPr>
              <w:t>autoevaluación </w:t>
            </w:r>
            <w:r>
              <w:rPr>
                <w:sz w:val="18"/>
              </w:rPr>
              <w:t>elaborados y </w:t>
            </w:r>
            <w:r>
              <w:rPr>
                <w:spacing w:val="-2"/>
                <w:sz w:val="18"/>
              </w:rPr>
              <w:t>remitidos</w:t>
            </w:r>
          </w:p>
        </w:tc>
        <w:tc>
          <w:tcPr>
            <w:tcW w:w="1483" w:type="dxa"/>
          </w:tcPr>
          <w:p>
            <w:pPr>
              <w:pStyle w:val="TableParagraph"/>
              <w:rPr>
                <w:b/>
                <w:sz w:val="18"/>
              </w:rPr>
            </w:pPr>
          </w:p>
          <w:p>
            <w:pPr>
              <w:pStyle w:val="TableParagraph"/>
              <w:rPr>
                <w:b/>
                <w:sz w:val="18"/>
              </w:rPr>
            </w:pPr>
          </w:p>
          <w:p>
            <w:pPr>
              <w:pStyle w:val="TableParagraph"/>
              <w:spacing w:before="79"/>
              <w:rPr>
                <w:b/>
                <w:sz w:val="18"/>
              </w:rPr>
            </w:pPr>
          </w:p>
          <w:p>
            <w:pPr>
              <w:pStyle w:val="TableParagraph"/>
              <w:spacing w:line="242" w:lineRule="auto"/>
              <w:ind w:left="67"/>
              <w:rPr>
                <w:sz w:val="18"/>
              </w:rPr>
            </w:pPr>
            <w:r>
              <w:rPr>
                <w:sz w:val="18"/>
              </w:rPr>
              <w:t>Informe de </w:t>
            </w:r>
            <w:r>
              <w:rPr>
                <w:spacing w:val="-2"/>
                <w:sz w:val="18"/>
              </w:rPr>
              <w:t>autoevaluación remitido.</w:t>
            </w:r>
          </w:p>
        </w:tc>
        <w:tc>
          <w:tcPr>
            <w:tcW w:w="1296" w:type="dxa"/>
          </w:tcPr>
          <w:p>
            <w:pPr>
              <w:pStyle w:val="TableParagraph"/>
              <w:rPr>
                <w:b/>
                <w:sz w:val="18"/>
              </w:rPr>
            </w:pPr>
          </w:p>
          <w:p>
            <w:pPr>
              <w:pStyle w:val="TableParagraph"/>
              <w:rPr>
                <w:b/>
                <w:sz w:val="18"/>
              </w:rPr>
            </w:pPr>
          </w:p>
          <w:p>
            <w:pPr>
              <w:pStyle w:val="TableParagraph"/>
              <w:spacing w:before="185"/>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1707"/>
        <w:gridCol w:w="1354"/>
        <w:gridCol w:w="1354"/>
        <w:gridCol w:w="1776"/>
        <w:gridCol w:w="1483"/>
        <w:gridCol w:w="1296"/>
        <w:gridCol w:w="2011"/>
        <w:gridCol w:w="2131"/>
      </w:tblGrid>
      <w:tr>
        <w:trPr>
          <w:trHeight w:val="1065" w:hRule="atLeast"/>
        </w:trPr>
        <w:tc>
          <w:tcPr>
            <w:tcW w:w="3193" w:type="dxa"/>
            <w:gridSpan w:val="2"/>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348" w:hRule="atLeast"/>
        </w:trPr>
        <w:tc>
          <w:tcPr>
            <w:tcW w:w="3193" w:type="dxa"/>
            <w:gridSpan w:val="2"/>
          </w:tcPr>
          <w:p>
            <w:pPr>
              <w:pStyle w:val="TableParagraph"/>
              <w:spacing w:before="156"/>
              <w:rPr>
                <w:b/>
                <w:sz w:val="18"/>
              </w:rPr>
            </w:pPr>
          </w:p>
          <w:p>
            <w:pPr>
              <w:pStyle w:val="TableParagraph"/>
              <w:ind w:left="72"/>
              <w:rPr>
                <w:sz w:val="18"/>
              </w:rPr>
            </w:pPr>
            <w:r>
              <w:rPr>
                <w:b/>
                <w:sz w:val="18"/>
              </w:rPr>
              <w:t>Actividad PAC 2.76.5: </w:t>
            </w:r>
            <w:r>
              <w:rPr>
                <w:sz w:val="18"/>
              </w:rPr>
              <w:t>Dar seguimiento</w:t>
            </w:r>
            <w:r>
              <w:rPr>
                <w:spacing w:val="-8"/>
                <w:sz w:val="18"/>
              </w:rPr>
              <w:t> </w:t>
            </w:r>
            <w:r>
              <w:rPr>
                <w:sz w:val="18"/>
              </w:rPr>
              <w:t>al</w:t>
            </w:r>
            <w:r>
              <w:rPr>
                <w:spacing w:val="-5"/>
                <w:sz w:val="18"/>
              </w:rPr>
              <w:t> </w:t>
            </w:r>
            <w:r>
              <w:rPr>
                <w:sz w:val="18"/>
              </w:rPr>
              <w:t>plan</w:t>
            </w:r>
            <w:r>
              <w:rPr>
                <w:spacing w:val="-8"/>
                <w:sz w:val="18"/>
              </w:rPr>
              <w:t> </w:t>
            </w:r>
            <w:r>
              <w:rPr>
                <w:sz w:val="18"/>
              </w:rPr>
              <w:t>de</w:t>
            </w:r>
            <w:r>
              <w:rPr>
                <w:spacing w:val="-8"/>
                <w:sz w:val="18"/>
              </w:rPr>
              <w:t> </w:t>
            </w:r>
            <w:r>
              <w:rPr>
                <w:sz w:val="18"/>
              </w:rPr>
              <w:t>mejora</w:t>
            </w:r>
            <w:r>
              <w:rPr>
                <w:spacing w:val="-8"/>
                <w:sz w:val="18"/>
              </w:rPr>
              <w:t> </w:t>
            </w:r>
            <w:r>
              <w:rPr>
                <w:sz w:val="18"/>
              </w:rPr>
              <w:t>de procesos de autoevaluación.</w:t>
            </w:r>
          </w:p>
        </w:tc>
        <w:tc>
          <w:tcPr>
            <w:tcW w:w="1354" w:type="dxa"/>
          </w:tcPr>
          <w:p>
            <w:pPr>
              <w:pStyle w:val="TableParagraph"/>
              <w:rPr>
                <w:b/>
                <w:sz w:val="18"/>
              </w:rPr>
            </w:pPr>
          </w:p>
          <w:p>
            <w:pPr>
              <w:pStyle w:val="TableParagraph"/>
              <w:spacing w:before="156"/>
              <w:rPr>
                <w:b/>
                <w:sz w:val="18"/>
              </w:rPr>
            </w:pPr>
          </w:p>
          <w:p>
            <w:pPr>
              <w:pStyle w:val="TableParagraph"/>
              <w:ind w:left="19" w:right="4"/>
              <w:jc w:val="center"/>
              <w:rPr>
                <w:sz w:val="18"/>
              </w:rPr>
            </w:pPr>
            <w:r>
              <w:rPr>
                <w:spacing w:val="-10"/>
                <w:sz w:val="18"/>
              </w:rPr>
              <w:t>2</w:t>
            </w:r>
          </w:p>
        </w:tc>
        <w:tc>
          <w:tcPr>
            <w:tcW w:w="1354" w:type="dxa"/>
          </w:tcPr>
          <w:p>
            <w:pPr>
              <w:pStyle w:val="TableParagraph"/>
              <w:rPr>
                <w:b/>
                <w:sz w:val="18"/>
              </w:rPr>
            </w:pPr>
          </w:p>
          <w:p>
            <w:pPr>
              <w:pStyle w:val="TableParagraph"/>
              <w:spacing w:before="156"/>
              <w:rPr>
                <w:b/>
                <w:sz w:val="18"/>
              </w:rPr>
            </w:pPr>
          </w:p>
          <w:p>
            <w:pPr>
              <w:pStyle w:val="TableParagraph"/>
              <w:ind w:left="19" w:right="4"/>
              <w:jc w:val="center"/>
              <w:rPr>
                <w:sz w:val="18"/>
              </w:rPr>
            </w:pPr>
            <w:r>
              <w:rPr>
                <w:spacing w:val="-10"/>
                <w:sz w:val="18"/>
              </w:rPr>
              <w:t>2</w:t>
            </w:r>
          </w:p>
        </w:tc>
        <w:tc>
          <w:tcPr>
            <w:tcW w:w="1776" w:type="dxa"/>
          </w:tcPr>
          <w:p>
            <w:pPr>
              <w:pStyle w:val="TableParagraph"/>
              <w:spacing w:before="51"/>
              <w:ind w:left="67" w:right="211"/>
              <w:rPr>
                <w:sz w:val="18"/>
              </w:rPr>
            </w:pPr>
            <w:r>
              <w:rPr>
                <w:sz w:val="18"/>
              </w:rPr>
              <w:t>Cantidad de </w:t>
            </w:r>
            <w:r>
              <w:rPr>
                <w:spacing w:val="-2"/>
                <w:sz w:val="18"/>
              </w:rPr>
              <w:t>seguimientos </w:t>
            </w:r>
            <w:r>
              <w:rPr>
                <w:sz w:val="18"/>
              </w:rPr>
              <w:t>realizados y remitidos a la Dirección</w:t>
            </w:r>
            <w:r>
              <w:rPr>
                <w:spacing w:val="-13"/>
                <w:sz w:val="18"/>
              </w:rPr>
              <w:t> </w:t>
            </w:r>
            <w:r>
              <w:rPr>
                <w:sz w:val="18"/>
              </w:rPr>
              <w:t>Superior del IMAS</w:t>
            </w:r>
          </w:p>
        </w:tc>
        <w:tc>
          <w:tcPr>
            <w:tcW w:w="1483" w:type="dxa"/>
          </w:tcPr>
          <w:p>
            <w:pPr>
              <w:pStyle w:val="TableParagraph"/>
              <w:spacing w:before="51"/>
              <w:ind w:left="67" w:right="125"/>
              <w:rPr>
                <w:sz w:val="18"/>
              </w:rPr>
            </w:pPr>
            <w:r>
              <w:rPr>
                <w:sz w:val="18"/>
              </w:rPr>
              <w:t>Oficios o correos de </w:t>
            </w:r>
            <w:r>
              <w:rPr>
                <w:spacing w:val="-2"/>
                <w:sz w:val="18"/>
              </w:rPr>
              <w:t>seguimiento </w:t>
            </w:r>
            <w:r>
              <w:rPr>
                <w:sz w:val="18"/>
              </w:rPr>
              <w:t>realizados</w:t>
            </w:r>
            <w:r>
              <w:rPr>
                <w:spacing w:val="-15"/>
                <w:sz w:val="18"/>
              </w:rPr>
              <w:t> </w:t>
            </w:r>
            <w:r>
              <w:rPr>
                <w:sz w:val="18"/>
              </w:rPr>
              <w:t>a</w:t>
            </w:r>
            <w:r>
              <w:rPr>
                <w:spacing w:val="-12"/>
                <w:sz w:val="18"/>
              </w:rPr>
              <w:t> </w:t>
            </w:r>
            <w:r>
              <w:rPr>
                <w:sz w:val="18"/>
              </w:rPr>
              <w:t>las instancias del </w:t>
            </w:r>
            <w:r>
              <w:rPr>
                <w:spacing w:val="-2"/>
                <w:sz w:val="18"/>
              </w:rPr>
              <w:t>IMAS.</w:t>
            </w:r>
          </w:p>
        </w:tc>
        <w:tc>
          <w:tcPr>
            <w:tcW w:w="1296" w:type="dxa"/>
          </w:tcPr>
          <w:p>
            <w:pPr>
              <w:pStyle w:val="TableParagraph"/>
              <w:rPr>
                <w:b/>
                <w:sz w:val="18"/>
              </w:rPr>
            </w:pPr>
          </w:p>
          <w:p>
            <w:pPr>
              <w:pStyle w:val="TableParagraph"/>
              <w:spacing w:before="55"/>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tcPr>
          <w:p>
            <w:pPr>
              <w:pStyle w:val="TableParagraph"/>
              <w:rPr>
                <w:rFonts w:ascii="Times New Roman"/>
                <w:sz w:val="18"/>
              </w:rPr>
            </w:pPr>
          </w:p>
        </w:tc>
      </w:tr>
      <w:tr>
        <w:trPr>
          <w:trHeight w:val="527" w:hRule="atLeast"/>
        </w:trPr>
        <w:tc>
          <w:tcPr>
            <w:tcW w:w="14598" w:type="dxa"/>
            <w:gridSpan w:val="9"/>
            <w:shd w:val="clear" w:color="auto" w:fill="EFF8F9"/>
          </w:tcPr>
          <w:p>
            <w:pPr>
              <w:pStyle w:val="TableParagraph"/>
              <w:spacing w:before="162"/>
              <w:ind w:left="72"/>
              <w:rPr>
                <w:b/>
                <w:sz w:val="18"/>
              </w:rPr>
            </w:pPr>
            <w:r>
              <w:rPr>
                <w:b/>
                <w:sz w:val="18"/>
              </w:rPr>
              <w:t>Producto</w:t>
            </w:r>
            <w:r>
              <w:rPr>
                <w:b/>
                <w:spacing w:val="-7"/>
                <w:sz w:val="18"/>
              </w:rPr>
              <w:t> </w:t>
            </w:r>
            <w:r>
              <w:rPr>
                <w:b/>
                <w:sz w:val="18"/>
              </w:rPr>
              <w:t>PAC</w:t>
            </w:r>
            <w:r>
              <w:rPr>
                <w:b/>
                <w:spacing w:val="-7"/>
                <w:sz w:val="18"/>
              </w:rPr>
              <w:t> </w:t>
            </w:r>
            <w:r>
              <w:rPr>
                <w:b/>
                <w:sz w:val="18"/>
              </w:rPr>
              <w:t>2.77:</w:t>
            </w:r>
            <w:r>
              <w:rPr>
                <w:b/>
                <w:spacing w:val="-4"/>
                <w:sz w:val="18"/>
              </w:rPr>
              <w:t> </w:t>
            </w:r>
            <w:r>
              <w:rPr>
                <w:b/>
                <w:sz w:val="18"/>
              </w:rPr>
              <w:t>Unidades</w:t>
            </w:r>
            <w:r>
              <w:rPr>
                <w:b/>
                <w:spacing w:val="-2"/>
                <w:sz w:val="18"/>
              </w:rPr>
              <w:t> </w:t>
            </w:r>
            <w:r>
              <w:rPr>
                <w:b/>
                <w:sz w:val="18"/>
              </w:rPr>
              <w:t>del</w:t>
            </w:r>
            <w:r>
              <w:rPr>
                <w:b/>
                <w:spacing w:val="-4"/>
                <w:sz w:val="18"/>
              </w:rPr>
              <w:t> </w:t>
            </w:r>
            <w:r>
              <w:rPr>
                <w:b/>
                <w:sz w:val="18"/>
              </w:rPr>
              <w:t>IMAS</w:t>
            </w:r>
            <w:r>
              <w:rPr>
                <w:b/>
                <w:spacing w:val="-6"/>
                <w:sz w:val="18"/>
              </w:rPr>
              <w:t> </w:t>
            </w:r>
            <w:r>
              <w:rPr>
                <w:b/>
                <w:sz w:val="18"/>
              </w:rPr>
              <w:t>incluyen</w:t>
            </w:r>
            <w:r>
              <w:rPr>
                <w:b/>
                <w:spacing w:val="-2"/>
                <w:sz w:val="18"/>
              </w:rPr>
              <w:t> </w:t>
            </w:r>
            <w:r>
              <w:rPr>
                <w:b/>
                <w:sz w:val="18"/>
              </w:rPr>
              <w:t>en</w:t>
            </w:r>
            <w:r>
              <w:rPr>
                <w:b/>
                <w:spacing w:val="-6"/>
                <w:sz w:val="18"/>
              </w:rPr>
              <w:t> </w:t>
            </w:r>
            <w:r>
              <w:rPr>
                <w:b/>
                <w:sz w:val="18"/>
              </w:rPr>
              <w:t>sus</w:t>
            </w:r>
            <w:r>
              <w:rPr>
                <w:b/>
                <w:spacing w:val="-6"/>
                <w:sz w:val="18"/>
              </w:rPr>
              <w:t> </w:t>
            </w:r>
            <w:r>
              <w:rPr>
                <w:b/>
                <w:sz w:val="18"/>
              </w:rPr>
              <w:t>planes</w:t>
            </w:r>
            <w:r>
              <w:rPr>
                <w:b/>
                <w:spacing w:val="-6"/>
                <w:sz w:val="18"/>
              </w:rPr>
              <w:t> </w:t>
            </w:r>
            <w:r>
              <w:rPr>
                <w:b/>
                <w:sz w:val="18"/>
              </w:rPr>
              <w:t>gerenciales</w:t>
            </w:r>
            <w:r>
              <w:rPr>
                <w:b/>
                <w:spacing w:val="-10"/>
                <w:sz w:val="18"/>
              </w:rPr>
              <w:t> </w:t>
            </w:r>
            <w:r>
              <w:rPr>
                <w:b/>
                <w:sz w:val="18"/>
              </w:rPr>
              <w:t>la</w:t>
            </w:r>
            <w:r>
              <w:rPr>
                <w:b/>
                <w:spacing w:val="-2"/>
                <w:sz w:val="18"/>
              </w:rPr>
              <w:t> </w:t>
            </w:r>
            <w:r>
              <w:rPr>
                <w:b/>
                <w:sz w:val="18"/>
              </w:rPr>
              <w:t>gestión</w:t>
            </w:r>
            <w:r>
              <w:rPr>
                <w:b/>
                <w:spacing w:val="-6"/>
                <w:sz w:val="18"/>
              </w:rPr>
              <w:t> </w:t>
            </w:r>
            <w:r>
              <w:rPr>
                <w:b/>
                <w:sz w:val="18"/>
              </w:rPr>
              <w:t>de</w:t>
            </w:r>
            <w:r>
              <w:rPr>
                <w:b/>
                <w:spacing w:val="-6"/>
                <w:sz w:val="18"/>
              </w:rPr>
              <w:t> </w:t>
            </w:r>
            <w:r>
              <w:rPr>
                <w:b/>
                <w:sz w:val="18"/>
              </w:rPr>
              <w:t>riesgos.</w:t>
            </w:r>
            <w:r>
              <w:rPr>
                <w:b/>
                <w:spacing w:val="1"/>
                <w:sz w:val="18"/>
              </w:rPr>
              <w:t> </w:t>
            </w:r>
            <w:r>
              <w:rPr>
                <w:b/>
                <w:sz w:val="18"/>
              </w:rPr>
              <w:t>E1</w:t>
            </w:r>
            <w:r>
              <w:rPr>
                <w:b/>
                <w:spacing w:val="-5"/>
                <w:sz w:val="18"/>
              </w:rPr>
              <w:t> </w:t>
            </w:r>
            <w:r>
              <w:rPr>
                <w:b/>
                <w:sz w:val="18"/>
              </w:rPr>
              <w:t>AE5</w:t>
            </w:r>
            <w:r>
              <w:rPr>
                <w:b/>
                <w:spacing w:val="-6"/>
                <w:sz w:val="18"/>
              </w:rPr>
              <w:t> </w:t>
            </w:r>
            <w:r>
              <w:rPr>
                <w:b/>
                <w:sz w:val="18"/>
              </w:rPr>
              <w:t>R4</w:t>
            </w:r>
            <w:r>
              <w:rPr>
                <w:b/>
                <w:spacing w:val="-5"/>
                <w:sz w:val="18"/>
              </w:rPr>
              <w:t> </w:t>
            </w:r>
            <w:r>
              <w:rPr>
                <w:b/>
                <w:spacing w:val="-2"/>
                <w:sz w:val="18"/>
              </w:rPr>
              <w:t>(100%)</w:t>
            </w:r>
          </w:p>
        </w:tc>
      </w:tr>
      <w:tr>
        <w:trPr>
          <w:trHeight w:val="1656" w:hRule="atLeast"/>
        </w:trPr>
        <w:tc>
          <w:tcPr>
            <w:tcW w:w="3193" w:type="dxa"/>
            <w:gridSpan w:val="2"/>
          </w:tcPr>
          <w:p>
            <w:pPr>
              <w:pStyle w:val="TableParagraph"/>
              <w:spacing w:before="205"/>
              <w:rPr>
                <w:b/>
                <w:sz w:val="18"/>
              </w:rPr>
            </w:pPr>
          </w:p>
          <w:p>
            <w:pPr>
              <w:pStyle w:val="TableParagraph"/>
              <w:ind w:left="72"/>
              <w:rPr>
                <w:sz w:val="18"/>
              </w:rPr>
            </w:pPr>
            <w:r>
              <w:rPr>
                <w:b/>
                <w:sz w:val="18"/>
              </w:rPr>
              <w:t>Actividad</w:t>
            </w:r>
            <w:r>
              <w:rPr>
                <w:b/>
                <w:spacing w:val="-11"/>
                <w:sz w:val="18"/>
              </w:rPr>
              <w:t> </w:t>
            </w:r>
            <w:r>
              <w:rPr>
                <w:b/>
                <w:sz w:val="18"/>
              </w:rPr>
              <w:t>PAC</w:t>
            </w:r>
            <w:r>
              <w:rPr>
                <w:b/>
                <w:spacing w:val="-8"/>
                <w:sz w:val="18"/>
              </w:rPr>
              <w:t> </w:t>
            </w:r>
            <w:r>
              <w:rPr>
                <w:b/>
                <w:sz w:val="18"/>
              </w:rPr>
              <w:t>2.77.1:</w:t>
            </w:r>
            <w:r>
              <w:rPr>
                <w:b/>
                <w:spacing w:val="39"/>
                <w:sz w:val="18"/>
              </w:rPr>
              <w:t> </w:t>
            </w:r>
            <w:r>
              <w:rPr>
                <w:sz w:val="18"/>
              </w:rPr>
              <w:t>Revisar</w:t>
            </w:r>
            <w:r>
              <w:rPr>
                <w:spacing w:val="-5"/>
                <w:sz w:val="18"/>
              </w:rPr>
              <w:t> </w:t>
            </w:r>
            <w:r>
              <w:rPr>
                <w:sz w:val="18"/>
              </w:rPr>
              <w:t>los resultados anuales de gestión de riesgos del PEI de cara a la formulación del POI-POGE 2027</w:t>
            </w:r>
          </w:p>
        </w:tc>
        <w:tc>
          <w:tcPr>
            <w:tcW w:w="135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9" w:right="7"/>
              <w:jc w:val="center"/>
              <w:rPr>
                <w:sz w:val="18"/>
              </w:rPr>
            </w:pPr>
            <w:r>
              <w:rPr>
                <w:spacing w:val="-4"/>
                <w:sz w:val="18"/>
              </w:rPr>
              <w:t>100%</w:t>
            </w:r>
          </w:p>
        </w:tc>
        <w:tc>
          <w:tcPr>
            <w:tcW w:w="1776" w:type="dxa"/>
          </w:tcPr>
          <w:p>
            <w:pPr>
              <w:pStyle w:val="TableParagraph"/>
              <w:ind w:left="67" w:right="91"/>
              <w:rPr>
                <w:sz w:val="18"/>
              </w:rPr>
            </w:pPr>
            <w:r>
              <w:rPr>
                <w:sz w:val="18"/>
              </w:rPr>
              <w:t>Porcentaje de </w:t>
            </w:r>
            <w:r>
              <w:rPr>
                <w:spacing w:val="-2"/>
                <w:sz w:val="18"/>
              </w:rPr>
              <w:t>resultados, </w:t>
            </w:r>
            <w:r>
              <w:rPr>
                <w:sz w:val="18"/>
              </w:rPr>
              <w:t>objetivos,</w:t>
            </w:r>
            <w:r>
              <w:rPr>
                <w:spacing w:val="-13"/>
                <w:sz w:val="18"/>
              </w:rPr>
              <w:t> </w:t>
            </w:r>
            <w:r>
              <w:rPr>
                <w:sz w:val="18"/>
              </w:rPr>
              <w:t>productos o actividades cuya meta PEI inicia el año 2026 incluidos en la gestión de</w:t>
            </w:r>
          </w:p>
          <w:p>
            <w:pPr>
              <w:pStyle w:val="TableParagraph"/>
              <w:spacing w:line="187" w:lineRule="exact"/>
              <w:ind w:left="67"/>
              <w:rPr>
                <w:sz w:val="18"/>
              </w:rPr>
            </w:pPr>
            <w:r>
              <w:rPr>
                <w:spacing w:val="-2"/>
                <w:sz w:val="18"/>
              </w:rPr>
              <w:t>riesgos</w:t>
            </w:r>
          </w:p>
        </w:tc>
        <w:tc>
          <w:tcPr>
            <w:tcW w:w="1483" w:type="dxa"/>
          </w:tcPr>
          <w:p>
            <w:pPr>
              <w:pStyle w:val="TableParagraph"/>
              <w:spacing w:before="205"/>
              <w:ind w:left="67"/>
              <w:rPr>
                <w:sz w:val="18"/>
              </w:rPr>
            </w:pPr>
            <w:r>
              <w:rPr>
                <w:spacing w:val="-2"/>
                <w:sz w:val="18"/>
              </w:rPr>
              <w:t>Matrices </w:t>
            </w:r>
            <w:r>
              <w:rPr>
                <w:sz w:val="18"/>
              </w:rPr>
              <w:t>depuradas y enviadas</w:t>
            </w:r>
            <w:r>
              <w:rPr>
                <w:spacing w:val="-15"/>
                <w:sz w:val="18"/>
              </w:rPr>
              <w:t> </w:t>
            </w:r>
            <w:r>
              <w:rPr>
                <w:sz w:val="18"/>
              </w:rPr>
              <w:t>a</w:t>
            </w:r>
            <w:r>
              <w:rPr>
                <w:spacing w:val="-12"/>
                <w:sz w:val="18"/>
              </w:rPr>
              <w:t> </w:t>
            </w:r>
            <w:r>
              <w:rPr>
                <w:sz w:val="18"/>
              </w:rPr>
              <w:t>los enlaces de </w:t>
            </w:r>
            <w:r>
              <w:rPr>
                <w:spacing w:val="-2"/>
                <w:sz w:val="18"/>
              </w:rPr>
              <w:t>Planificación Institucional.</w:t>
            </w:r>
          </w:p>
        </w:tc>
        <w:tc>
          <w:tcPr>
            <w:tcW w:w="1296" w:type="dxa"/>
          </w:tcPr>
          <w:p>
            <w:pPr>
              <w:pStyle w:val="TableParagraph"/>
              <w:rPr>
                <w:b/>
                <w:sz w:val="18"/>
              </w:rPr>
            </w:pPr>
          </w:p>
          <w:p>
            <w:pPr>
              <w:pStyle w:val="TableParagraph"/>
              <w:spacing w:before="204"/>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spacing w:before="27"/>
              <w:rPr>
                <w:b/>
                <w:sz w:val="18"/>
              </w:rPr>
            </w:pPr>
          </w:p>
          <w:p>
            <w:pPr>
              <w:pStyle w:val="TableParagraph"/>
              <w:ind w:left="74" w:right="58"/>
              <w:rPr>
                <w:sz w:val="18"/>
              </w:rPr>
            </w:pPr>
            <w:r>
              <w:rPr>
                <w:sz w:val="18"/>
              </w:rPr>
              <w:t>Evento:</w:t>
            </w:r>
            <w:r>
              <w:rPr>
                <w:spacing w:val="-15"/>
                <w:sz w:val="18"/>
              </w:rPr>
              <w:t> </w:t>
            </w:r>
            <w:r>
              <w:rPr>
                <w:sz w:val="18"/>
              </w:rPr>
              <w:t>Posibles</w:t>
            </w:r>
            <w:r>
              <w:rPr>
                <w:spacing w:val="-12"/>
                <w:sz w:val="18"/>
              </w:rPr>
              <w:t> </w:t>
            </w:r>
            <w:r>
              <w:rPr>
                <w:sz w:val="18"/>
              </w:rPr>
              <w:t>atrasos para contar con los insumos que están vinculados a los planes </w:t>
            </w:r>
            <w:r>
              <w:rPr>
                <w:spacing w:val="-2"/>
                <w:sz w:val="18"/>
              </w:rPr>
              <w:t>institucionales </w:t>
            </w:r>
            <w:r>
              <w:rPr>
                <w:sz w:val="18"/>
              </w:rPr>
              <w:t>relacionados al proceso de Valoración de Riesgos para la trabajarlos con las </w:t>
            </w:r>
            <w:r>
              <w:rPr>
                <w:spacing w:val="-2"/>
                <w:sz w:val="18"/>
              </w:rPr>
              <w:t>instancias.</w:t>
            </w:r>
          </w:p>
        </w:tc>
      </w:tr>
      <w:tr>
        <w:trPr>
          <w:trHeight w:val="1291" w:hRule="atLeast"/>
        </w:trPr>
        <w:tc>
          <w:tcPr>
            <w:tcW w:w="3193" w:type="dxa"/>
            <w:gridSpan w:val="2"/>
          </w:tcPr>
          <w:p>
            <w:pPr>
              <w:pStyle w:val="TableParagraph"/>
              <w:rPr>
                <w:b/>
                <w:sz w:val="18"/>
              </w:rPr>
            </w:pPr>
          </w:p>
          <w:p>
            <w:pPr>
              <w:pStyle w:val="TableParagraph"/>
              <w:spacing w:before="21"/>
              <w:rPr>
                <w:b/>
                <w:sz w:val="18"/>
              </w:rPr>
            </w:pPr>
          </w:p>
          <w:p>
            <w:pPr>
              <w:pStyle w:val="TableParagraph"/>
              <w:ind w:left="72"/>
              <w:rPr>
                <w:sz w:val="18"/>
              </w:rPr>
            </w:pPr>
            <w:r>
              <w:rPr>
                <w:b/>
                <w:sz w:val="18"/>
              </w:rPr>
              <w:t>Actividad PAC 2.77.2: </w:t>
            </w:r>
            <w:r>
              <w:rPr>
                <w:sz w:val="18"/>
              </w:rPr>
              <w:t>Dar seguimiento</w:t>
            </w:r>
            <w:r>
              <w:rPr>
                <w:spacing w:val="-7"/>
                <w:sz w:val="18"/>
              </w:rPr>
              <w:t> </w:t>
            </w:r>
            <w:r>
              <w:rPr>
                <w:sz w:val="18"/>
              </w:rPr>
              <w:t>al</w:t>
            </w:r>
            <w:r>
              <w:rPr>
                <w:spacing w:val="-4"/>
                <w:sz w:val="18"/>
              </w:rPr>
              <w:t> </w:t>
            </w:r>
            <w:r>
              <w:rPr>
                <w:sz w:val="18"/>
              </w:rPr>
              <w:t>plan</w:t>
            </w:r>
            <w:r>
              <w:rPr>
                <w:spacing w:val="-7"/>
                <w:sz w:val="18"/>
              </w:rPr>
              <w:t> </w:t>
            </w:r>
            <w:r>
              <w:rPr>
                <w:sz w:val="18"/>
              </w:rPr>
              <w:t>interno</w:t>
            </w:r>
            <w:r>
              <w:rPr>
                <w:spacing w:val="-7"/>
                <w:sz w:val="18"/>
              </w:rPr>
              <w:t> </w:t>
            </w:r>
            <w:r>
              <w:rPr>
                <w:sz w:val="18"/>
              </w:rPr>
              <w:t>de</w:t>
            </w:r>
            <w:r>
              <w:rPr>
                <w:spacing w:val="-7"/>
                <w:sz w:val="18"/>
              </w:rPr>
              <w:t> </w:t>
            </w:r>
            <w:r>
              <w:rPr>
                <w:sz w:val="18"/>
              </w:rPr>
              <w:t>riesgos</w:t>
            </w:r>
          </w:p>
        </w:tc>
        <w:tc>
          <w:tcPr>
            <w:tcW w:w="1354" w:type="dxa"/>
          </w:tcPr>
          <w:p>
            <w:pPr>
              <w:pStyle w:val="TableParagraph"/>
              <w:rPr>
                <w:b/>
                <w:sz w:val="18"/>
              </w:rPr>
            </w:pPr>
          </w:p>
          <w:p>
            <w:pPr>
              <w:pStyle w:val="TableParagraph"/>
              <w:spacing w:before="127"/>
              <w:rPr>
                <w:b/>
                <w:sz w:val="18"/>
              </w:rPr>
            </w:pPr>
          </w:p>
          <w:p>
            <w:pPr>
              <w:pStyle w:val="TableParagraph"/>
              <w:ind w:left="19" w:right="4"/>
              <w:jc w:val="center"/>
              <w:rPr>
                <w:sz w:val="18"/>
              </w:rPr>
            </w:pPr>
            <w:r>
              <w:rPr>
                <w:spacing w:val="-10"/>
                <w:sz w:val="18"/>
              </w:rPr>
              <w:t>2</w:t>
            </w:r>
          </w:p>
        </w:tc>
        <w:tc>
          <w:tcPr>
            <w:tcW w:w="1354" w:type="dxa"/>
          </w:tcPr>
          <w:p>
            <w:pPr>
              <w:pStyle w:val="TableParagraph"/>
              <w:rPr>
                <w:b/>
                <w:sz w:val="18"/>
              </w:rPr>
            </w:pPr>
          </w:p>
          <w:p>
            <w:pPr>
              <w:pStyle w:val="TableParagraph"/>
              <w:spacing w:before="127"/>
              <w:rPr>
                <w:b/>
                <w:sz w:val="18"/>
              </w:rPr>
            </w:pPr>
          </w:p>
          <w:p>
            <w:pPr>
              <w:pStyle w:val="TableParagraph"/>
              <w:ind w:left="19" w:right="4"/>
              <w:jc w:val="center"/>
              <w:rPr>
                <w:sz w:val="18"/>
              </w:rPr>
            </w:pPr>
            <w:r>
              <w:rPr>
                <w:spacing w:val="-10"/>
                <w:sz w:val="18"/>
              </w:rPr>
              <w:t>2</w:t>
            </w:r>
          </w:p>
        </w:tc>
        <w:tc>
          <w:tcPr>
            <w:tcW w:w="1776" w:type="dxa"/>
          </w:tcPr>
          <w:p>
            <w:pPr>
              <w:pStyle w:val="TableParagraph"/>
              <w:spacing w:before="123"/>
              <w:ind w:left="67"/>
              <w:rPr>
                <w:sz w:val="18"/>
              </w:rPr>
            </w:pPr>
            <w:r>
              <w:rPr>
                <w:sz w:val="18"/>
              </w:rPr>
              <w:t>Cantidad de </w:t>
            </w:r>
            <w:r>
              <w:rPr>
                <w:spacing w:val="-2"/>
                <w:sz w:val="18"/>
              </w:rPr>
              <w:t>seguimientos </w:t>
            </w:r>
            <w:r>
              <w:rPr>
                <w:sz w:val="18"/>
              </w:rPr>
              <w:t>realizados</w:t>
            </w:r>
            <w:r>
              <w:rPr>
                <w:spacing w:val="-15"/>
                <w:sz w:val="18"/>
              </w:rPr>
              <w:t> </w:t>
            </w:r>
            <w:r>
              <w:rPr>
                <w:sz w:val="18"/>
              </w:rPr>
              <w:t>a</w:t>
            </w:r>
            <w:r>
              <w:rPr>
                <w:spacing w:val="-12"/>
                <w:sz w:val="18"/>
              </w:rPr>
              <w:t> </w:t>
            </w:r>
            <w:r>
              <w:rPr>
                <w:sz w:val="18"/>
              </w:rPr>
              <w:t>las </w:t>
            </w:r>
            <w:r>
              <w:rPr>
                <w:spacing w:val="-2"/>
                <w:sz w:val="18"/>
              </w:rPr>
              <w:t>instancias institucionales</w:t>
            </w:r>
          </w:p>
        </w:tc>
        <w:tc>
          <w:tcPr>
            <w:tcW w:w="1483" w:type="dxa"/>
          </w:tcPr>
          <w:p>
            <w:pPr>
              <w:pStyle w:val="TableParagraph"/>
              <w:spacing w:before="23"/>
              <w:ind w:left="67" w:right="125"/>
              <w:rPr>
                <w:sz w:val="18"/>
              </w:rPr>
            </w:pPr>
            <w:r>
              <w:rPr>
                <w:sz w:val="18"/>
              </w:rPr>
              <w:t>Oficios o correos de </w:t>
            </w:r>
            <w:r>
              <w:rPr>
                <w:spacing w:val="-2"/>
                <w:sz w:val="18"/>
              </w:rPr>
              <w:t>seguimiento </w:t>
            </w:r>
            <w:r>
              <w:rPr>
                <w:sz w:val="18"/>
              </w:rPr>
              <w:t>realizadas</w:t>
            </w:r>
            <w:r>
              <w:rPr>
                <w:spacing w:val="-15"/>
                <w:sz w:val="18"/>
              </w:rPr>
              <w:t> </w:t>
            </w:r>
            <w:r>
              <w:rPr>
                <w:sz w:val="18"/>
              </w:rPr>
              <w:t>a</w:t>
            </w:r>
            <w:r>
              <w:rPr>
                <w:spacing w:val="-12"/>
                <w:sz w:val="18"/>
              </w:rPr>
              <w:t> </w:t>
            </w:r>
            <w:r>
              <w:rPr>
                <w:sz w:val="18"/>
              </w:rPr>
              <w:t>las instancias del </w:t>
            </w:r>
            <w:r>
              <w:rPr>
                <w:spacing w:val="-2"/>
                <w:sz w:val="18"/>
              </w:rPr>
              <w:t>IMAS.</w:t>
            </w:r>
          </w:p>
        </w:tc>
        <w:tc>
          <w:tcPr>
            <w:tcW w:w="1296" w:type="dxa"/>
          </w:tcPr>
          <w:p>
            <w:pPr>
              <w:pStyle w:val="TableParagraph"/>
              <w:rPr>
                <w:b/>
                <w:sz w:val="18"/>
              </w:rPr>
            </w:pPr>
          </w:p>
          <w:p>
            <w:pPr>
              <w:pStyle w:val="TableParagraph"/>
              <w:spacing w:before="21"/>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685" w:hRule="atLeast"/>
        </w:trPr>
        <w:tc>
          <w:tcPr>
            <w:tcW w:w="14598" w:type="dxa"/>
            <w:gridSpan w:val="9"/>
            <w:shd w:val="clear" w:color="auto" w:fill="EFF8F9"/>
          </w:tcPr>
          <w:p>
            <w:pPr>
              <w:pStyle w:val="TableParagraph"/>
              <w:spacing w:line="244" w:lineRule="auto" w:before="133"/>
              <w:ind w:left="72" w:right="173" w:firstLine="52"/>
              <w:rPr>
                <w:b/>
                <w:sz w:val="18"/>
              </w:rPr>
            </w:pPr>
            <w:r>
              <w:rPr>
                <w:b/>
                <w:sz w:val="18"/>
              </w:rPr>
              <w:t>Producto</w:t>
            </w:r>
            <w:r>
              <w:rPr>
                <w:b/>
                <w:spacing w:val="-3"/>
                <w:sz w:val="18"/>
              </w:rPr>
              <w:t> </w:t>
            </w:r>
            <w:r>
              <w:rPr>
                <w:b/>
                <w:sz w:val="18"/>
              </w:rPr>
              <w:t>PAC 2.78:</w:t>
            </w:r>
            <w:r>
              <w:rPr>
                <w:b/>
                <w:spacing w:val="40"/>
                <w:sz w:val="18"/>
              </w:rPr>
              <w:t> </w:t>
            </w:r>
            <w:r>
              <w:rPr>
                <w:b/>
                <w:sz w:val="18"/>
              </w:rPr>
              <w:t>Metodología</w:t>
            </w:r>
            <w:r>
              <w:rPr>
                <w:b/>
                <w:spacing w:val="-2"/>
                <w:sz w:val="18"/>
              </w:rPr>
              <w:t> </w:t>
            </w:r>
            <w:r>
              <w:rPr>
                <w:b/>
                <w:sz w:val="18"/>
              </w:rPr>
              <w:t>elaborada</w:t>
            </w:r>
            <w:r>
              <w:rPr>
                <w:b/>
                <w:spacing w:val="-2"/>
                <w:sz w:val="18"/>
              </w:rPr>
              <w:t> </w:t>
            </w:r>
            <w:r>
              <w:rPr>
                <w:b/>
                <w:sz w:val="18"/>
              </w:rPr>
              <w:t>para</w:t>
            </w:r>
            <w:r>
              <w:rPr>
                <w:b/>
                <w:spacing w:val="-2"/>
                <w:sz w:val="18"/>
              </w:rPr>
              <w:t> </w:t>
            </w:r>
            <w:r>
              <w:rPr>
                <w:b/>
                <w:sz w:val="18"/>
              </w:rPr>
              <w:t>el desarrollo</w:t>
            </w:r>
            <w:r>
              <w:rPr>
                <w:b/>
                <w:spacing w:val="-3"/>
                <w:sz w:val="18"/>
              </w:rPr>
              <w:t> </w:t>
            </w:r>
            <w:r>
              <w:rPr>
                <w:b/>
                <w:sz w:val="18"/>
              </w:rPr>
              <w:t>de</w:t>
            </w:r>
            <w:r>
              <w:rPr>
                <w:b/>
                <w:spacing w:val="-2"/>
                <w:sz w:val="18"/>
              </w:rPr>
              <w:t> </w:t>
            </w:r>
            <w:r>
              <w:rPr>
                <w:b/>
                <w:sz w:val="18"/>
              </w:rPr>
              <w:t>estudios</w:t>
            </w:r>
            <w:r>
              <w:rPr>
                <w:b/>
                <w:spacing w:val="-2"/>
                <w:sz w:val="18"/>
              </w:rPr>
              <w:t> </w:t>
            </w:r>
            <w:r>
              <w:rPr>
                <w:b/>
                <w:sz w:val="18"/>
              </w:rPr>
              <w:t>de</w:t>
            </w:r>
            <w:r>
              <w:rPr>
                <w:b/>
                <w:spacing w:val="-2"/>
                <w:sz w:val="18"/>
              </w:rPr>
              <w:t> </w:t>
            </w:r>
            <w:r>
              <w:rPr>
                <w:b/>
                <w:sz w:val="18"/>
              </w:rPr>
              <w:t>la</w:t>
            </w:r>
            <w:r>
              <w:rPr>
                <w:b/>
                <w:spacing w:val="-2"/>
                <w:sz w:val="18"/>
              </w:rPr>
              <w:t> </w:t>
            </w:r>
            <w:r>
              <w:rPr>
                <w:b/>
                <w:sz w:val="18"/>
              </w:rPr>
              <w:t>realidad</w:t>
            </w:r>
            <w:r>
              <w:rPr>
                <w:b/>
                <w:spacing w:val="-3"/>
                <w:sz w:val="18"/>
              </w:rPr>
              <w:t> </w:t>
            </w:r>
            <w:r>
              <w:rPr>
                <w:b/>
                <w:sz w:val="18"/>
              </w:rPr>
              <w:t>social, económica, regional y</w:t>
            </w:r>
            <w:r>
              <w:rPr>
                <w:b/>
                <w:spacing w:val="-2"/>
                <w:sz w:val="18"/>
              </w:rPr>
              <w:t> </w:t>
            </w:r>
            <w:r>
              <w:rPr>
                <w:b/>
                <w:sz w:val="18"/>
              </w:rPr>
              <w:t>territorial, que</w:t>
            </w:r>
            <w:r>
              <w:rPr>
                <w:b/>
                <w:spacing w:val="-2"/>
                <w:sz w:val="18"/>
              </w:rPr>
              <w:t> </w:t>
            </w:r>
            <w:r>
              <w:rPr>
                <w:b/>
                <w:sz w:val="18"/>
              </w:rPr>
              <w:t>genere</w:t>
            </w:r>
            <w:r>
              <w:rPr>
                <w:b/>
                <w:spacing w:val="-2"/>
                <w:sz w:val="18"/>
              </w:rPr>
              <w:t> </w:t>
            </w:r>
            <w:r>
              <w:rPr>
                <w:b/>
                <w:sz w:val="18"/>
              </w:rPr>
              <w:t>los</w:t>
            </w:r>
            <w:r>
              <w:rPr>
                <w:b/>
                <w:spacing w:val="-2"/>
                <w:sz w:val="18"/>
              </w:rPr>
              <w:t> </w:t>
            </w:r>
            <w:r>
              <w:rPr>
                <w:b/>
                <w:sz w:val="18"/>
              </w:rPr>
              <w:t>insumos</w:t>
            </w:r>
            <w:r>
              <w:rPr>
                <w:b/>
                <w:spacing w:val="-2"/>
                <w:sz w:val="18"/>
              </w:rPr>
              <w:t> </w:t>
            </w:r>
            <w:r>
              <w:rPr>
                <w:b/>
                <w:sz w:val="18"/>
              </w:rPr>
              <w:t>necesarios para facilitar la orientación de la inversión y el desarrollo de la oferta programática. E3 AE10 R1 (60%)</w:t>
            </w:r>
          </w:p>
        </w:tc>
      </w:tr>
      <w:tr>
        <w:trPr>
          <w:trHeight w:val="2428" w:hRule="atLeast"/>
        </w:trPr>
        <w:tc>
          <w:tcPr>
            <w:tcW w:w="3193" w:type="dxa"/>
            <w:gridSpan w:val="2"/>
            <w:tcBorders>
              <w:bottom w:val="thickThinMediumGap" w:sz="9" w:space="0" w:color="808080"/>
            </w:tcBorders>
          </w:tcPr>
          <w:p>
            <w:pPr>
              <w:pStyle w:val="TableParagraph"/>
              <w:rPr>
                <w:b/>
                <w:sz w:val="18"/>
              </w:rPr>
            </w:pPr>
          </w:p>
          <w:p>
            <w:pPr>
              <w:pStyle w:val="TableParagraph"/>
              <w:spacing w:before="70"/>
              <w:rPr>
                <w:b/>
                <w:sz w:val="18"/>
              </w:rPr>
            </w:pPr>
          </w:p>
          <w:p>
            <w:pPr>
              <w:pStyle w:val="TableParagraph"/>
              <w:ind w:left="72" w:right="119"/>
              <w:rPr>
                <w:sz w:val="18"/>
              </w:rPr>
            </w:pPr>
            <w:r>
              <w:rPr>
                <w:b/>
                <w:sz w:val="18"/>
              </w:rPr>
              <w:t>Actividad PAC 2.78.1: </w:t>
            </w:r>
            <w:r>
              <w:rPr>
                <w:sz w:val="18"/>
              </w:rPr>
              <w:t>Elaborar ajustes a la metodología para el desarrollo de estudios de inversión social, económica, regional y territorial a partir de proceso de consulta</w:t>
            </w:r>
            <w:r>
              <w:rPr>
                <w:spacing w:val="-7"/>
                <w:sz w:val="18"/>
              </w:rPr>
              <w:t> </w:t>
            </w:r>
            <w:r>
              <w:rPr>
                <w:sz w:val="18"/>
              </w:rPr>
              <w:t>y</w:t>
            </w:r>
            <w:r>
              <w:rPr>
                <w:spacing w:val="-7"/>
                <w:sz w:val="18"/>
              </w:rPr>
              <w:t> </w:t>
            </w:r>
            <w:r>
              <w:rPr>
                <w:sz w:val="18"/>
              </w:rPr>
              <w:t>de</w:t>
            </w:r>
            <w:r>
              <w:rPr>
                <w:spacing w:val="-7"/>
                <w:sz w:val="18"/>
              </w:rPr>
              <w:t> </w:t>
            </w:r>
            <w:r>
              <w:rPr>
                <w:sz w:val="18"/>
              </w:rPr>
              <w:t>operación</w:t>
            </w:r>
            <w:r>
              <w:rPr>
                <w:spacing w:val="-7"/>
                <w:sz w:val="18"/>
              </w:rPr>
              <w:t> </w:t>
            </w:r>
            <w:r>
              <w:rPr>
                <w:sz w:val="18"/>
              </w:rPr>
              <w:t>práctica</w:t>
            </w:r>
            <w:r>
              <w:rPr>
                <w:spacing w:val="-7"/>
                <w:sz w:val="18"/>
              </w:rPr>
              <w:t> </w:t>
            </w:r>
            <w:r>
              <w:rPr>
                <w:sz w:val="18"/>
              </w:rPr>
              <w:t>con las UIPER.</w:t>
            </w:r>
          </w:p>
        </w:tc>
        <w:tc>
          <w:tcPr>
            <w:tcW w:w="1354" w:type="dxa"/>
            <w:tcBorders>
              <w:bottom w:val="thickThinMediumGap" w:sz="9" w:space="0" w:color="80808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3"/>
              <w:rPr>
                <w:b/>
                <w:sz w:val="18"/>
              </w:rPr>
            </w:pPr>
          </w:p>
          <w:p>
            <w:pPr>
              <w:pStyle w:val="TableParagraph"/>
              <w:ind w:left="19" w:right="4"/>
              <w:jc w:val="center"/>
              <w:rPr>
                <w:sz w:val="18"/>
              </w:rPr>
            </w:pPr>
            <w:r>
              <w:rPr>
                <w:spacing w:val="-5"/>
                <w:sz w:val="18"/>
              </w:rPr>
              <w:t>n/d</w:t>
            </w:r>
          </w:p>
        </w:tc>
        <w:tc>
          <w:tcPr>
            <w:tcW w:w="1354" w:type="dxa"/>
            <w:tcBorders>
              <w:bottom w:val="thickThinMediumGap" w:sz="9" w:space="0" w:color="808080"/>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3"/>
              <w:rPr>
                <w:b/>
                <w:sz w:val="18"/>
              </w:rPr>
            </w:pPr>
          </w:p>
          <w:p>
            <w:pPr>
              <w:pStyle w:val="TableParagraph"/>
              <w:ind w:left="19" w:right="4"/>
              <w:jc w:val="center"/>
              <w:rPr>
                <w:sz w:val="18"/>
              </w:rPr>
            </w:pPr>
            <w:r>
              <w:rPr>
                <w:spacing w:val="-10"/>
                <w:sz w:val="18"/>
              </w:rPr>
              <w:t>3</w:t>
            </w:r>
          </w:p>
        </w:tc>
        <w:tc>
          <w:tcPr>
            <w:tcW w:w="1776" w:type="dxa"/>
            <w:tcBorders>
              <w:bottom w:val="thickThinMediumGap" w:sz="9" w:space="0" w:color="808080"/>
            </w:tcBorders>
          </w:tcPr>
          <w:p>
            <w:pPr>
              <w:pStyle w:val="TableParagraph"/>
              <w:rPr>
                <w:b/>
                <w:sz w:val="18"/>
              </w:rPr>
            </w:pPr>
          </w:p>
          <w:p>
            <w:pPr>
              <w:pStyle w:val="TableParagraph"/>
              <w:rPr>
                <w:b/>
                <w:sz w:val="18"/>
              </w:rPr>
            </w:pPr>
          </w:p>
          <w:p>
            <w:pPr>
              <w:pStyle w:val="TableParagraph"/>
              <w:spacing w:before="175"/>
              <w:rPr>
                <w:b/>
                <w:sz w:val="18"/>
              </w:rPr>
            </w:pPr>
          </w:p>
          <w:p>
            <w:pPr>
              <w:pStyle w:val="TableParagraph"/>
              <w:ind w:left="67"/>
              <w:rPr>
                <w:sz w:val="18"/>
              </w:rPr>
            </w:pPr>
            <w:r>
              <w:rPr>
                <w:sz w:val="18"/>
              </w:rPr>
              <w:t>Cantidad</w:t>
            </w:r>
            <w:r>
              <w:rPr>
                <w:spacing w:val="-15"/>
                <w:sz w:val="18"/>
              </w:rPr>
              <w:t> </w:t>
            </w:r>
            <w:r>
              <w:rPr>
                <w:sz w:val="18"/>
              </w:rPr>
              <w:t>de</w:t>
            </w:r>
            <w:r>
              <w:rPr>
                <w:spacing w:val="-12"/>
                <w:sz w:val="18"/>
              </w:rPr>
              <w:t> </w:t>
            </w:r>
            <w:r>
              <w:rPr>
                <w:sz w:val="18"/>
              </w:rPr>
              <w:t>ajustes realizados a la </w:t>
            </w:r>
            <w:r>
              <w:rPr>
                <w:spacing w:val="-2"/>
                <w:sz w:val="18"/>
              </w:rPr>
              <w:t>metodológica elaborada</w:t>
            </w:r>
          </w:p>
        </w:tc>
        <w:tc>
          <w:tcPr>
            <w:tcW w:w="1483" w:type="dxa"/>
            <w:tcBorders>
              <w:bottom w:val="thickThinMediumGap" w:sz="9" w:space="0" w:color="808080"/>
            </w:tcBorders>
          </w:tcPr>
          <w:p>
            <w:pPr>
              <w:pStyle w:val="TableParagraph"/>
              <w:rPr>
                <w:b/>
                <w:sz w:val="18"/>
              </w:rPr>
            </w:pPr>
          </w:p>
          <w:p>
            <w:pPr>
              <w:pStyle w:val="TableParagraph"/>
              <w:rPr>
                <w:b/>
                <w:sz w:val="18"/>
              </w:rPr>
            </w:pPr>
          </w:p>
          <w:p>
            <w:pPr>
              <w:pStyle w:val="TableParagraph"/>
              <w:spacing w:before="69"/>
              <w:rPr>
                <w:b/>
                <w:sz w:val="18"/>
              </w:rPr>
            </w:pPr>
          </w:p>
          <w:p>
            <w:pPr>
              <w:pStyle w:val="TableParagraph"/>
              <w:spacing w:before="1"/>
              <w:ind w:left="67" w:right="58"/>
              <w:rPr>
                <w:sz w:val="18"/>
              </w:rPr>
            </w:pPr>
            <w:r>
              <w:rPr>
                <w:sz w:val="18"/>
              </w:rPr>
              <w:t>Fichas de ajustes. Oficios de</w:t>
            </w:r>
            <w:r>
              <w:rPr>
                <w:spacing w:val="-15"/>
                <w:sz w:val="18"/>
              </w:rPr>
              <w:t> </w:t>
            </w:r>
            <w:r>
              <w:rPr>
                <w:sz w:val="18"/>
              </w:rPr>
              <w:t>solicitudes</w:t>
            </w:r>
            <w:r>
              <w:rPr>
                <w:spacing w:val="-12"/>
                <w:sz w:val="18"/>
              </w:rPr>
              <w:t> </w:t>
            </w:r>
            <w:r>
              <w:rPr>
                <w:sz w:val="18"/>
              </w:rPr>
              <w:t>de ajustes de las </w:t>
            </w:r>
            <w:r>
              <w:rPr>
                <w:spacing w:val="-2"/>
                <w:sz w:val="18"/>
              </w:rPr>
              <w:t>UIPER.</w:t>
            </w:r>
          </w:p>
        </w:tc>
        <w:tc>
          <w:tcPr>
            <w:tcW w:w="1296" w:type="dxa"/>
            <w:tcBorders>
              <w:bottom w:val="thickThinMediumGap" w:sz="9" w:space="0" w:color="808080"/>
            </w:tcBorders>
          </w:tcPr>
          <w:p>
            <w:pPr>
              <w:pStyle w:val="TableParagraph"/>
              <w:rPr>
                <w:b/>
                <w:sz w:val="18"/>
              </w:rPr>
            </w:pPr>
          </w:p>
          <w:p>
            <w:pPr>
              <w:pStyle w:val="TableParagraph"/>
              <w:rPr>
                <w:b/>
                <w:sz w:val="18"/>
              </w:rPr>
            </w:pPr>
          </w:p>
          <w:p>
            <w:pPr>
              <w:pStyle w:val="TableParagraph"/>
              <w:rPr>
                <w:b/>
                <w:sz w:val="18"/>
              </w:rPr>
            </w:pPr>
          </w:p>
          <w:p>
            <w:pPr>
              <w:pStyle w:val="TableParagraph"/>
              <w:spacing w:before="174"/>
              <w:rPr>
                <w:b/>
                <w:sz w:val="18"/>
              </w:rPr>
            </w:pPr>
          </w:p>
          <w:p>
            <w:pPr>
              <w:pStyle w:val="TableParagraph"/>
              <w:spacing w:before="1"/>
              <w:ind w:left="72"/>
              <w:rPr>
                <w:sz w:val="18"/>
              </w:rPr>
            </w:pPr>
            <w:r>
              <w:rPr>
                <w:spacing w:val="-2"/>
                <w:sz w:val="18"/>
              </w:rPr>
              <w:t>Planificación Institucional</w:t>
            </w:r>
          </w:p>
        </w:tc>
        <w:tc>
          <w:tcPr>
            <w:tcW w:w="2011" w:type="dxa"/>
            <w:tcBorders>
              <w:bottom w:val="thickThinMediumGap" w:sz="9" w:space="0" w:color="808080"/>
            </w:tcBorders>
          </w:tcPr>
          <w:p>
            <w:pPr>
              <w:pStyle w:val="TableParagraph"/>
              <w:rPr>
                <w:rFonts w:ascii="Times New Roman"/>
                <w:sz w:val="18"/>
              </w:rPr>
            </w:pPr>
          </w:p>
        </w:tc>
        <w:tc>
          <w:tcPr>
            <w:tcW w:w="2131" w:type="dxa"/>
            <w:tcBorders>
              <w:bottom w:val="thickThinMediumGap" w:sz="9" w:space="0" w:color="808080"/>
            </w:tcBorders>
          </w:tcPr>
          <w:p>
            <w:pPr>
              <w:pStyle w:val="TableParagraph"/>
              <w:rPr>
                <w:rFonts w:ascii="Times New Roman"/>
                <w:sz w:val="18"/>
              </w:rPr>
            </w:pPr>
          </w:p>
        </w:tc>
      </w:tr>
      <w:tr>
        <w:trPr>
          <w:trHeight w:val="1391" w:hRule="atLeast"/>
        </w:trPr>
        <w:tc>
          <w:tcPr>
            <w:tcW w:w="1486" w:type="dxa"/>
            <w:tcBorders>
              <w:top w:val="thinThickMediumGap" w:sz="9" w:space="0" w:color="808080"/>
              <w:left w:val="nil"/>
              <w:bottom w:val="nil"/>
              <w:right w:val="single" w:sz="18" w:space="0" w:color="808080"/>
            </w:tcBorders>
          </w:tcPr>
          <w:p>
            <w:pPr>
              <w:pStyle w:val="TableParagraph"/>
              <w:spacing w:before="8"/>
              <w:ind w:left="106"/>
              <w:rPr>
                <w:b/>
                <w:sz w:val="24"/>
              </w:rPr>
            </w:pPr>
            <w:r>
              <w:rPr>
                <w:b/>
                <w:spacing w:val="-5"/>
                <w:sz w:val="24"/>
              </w:rPr>
              <w:t>252</w:t>
            </w:r>
          </w:p>
        </w:tc>
        <w:tc>
          <w:tcPr>
            <w:tcW w:w="13112" w:type="dxa"/>
            <w:gridSpan w:val="8"/>
            <w:tcBorders>
              <w:top w:val="nil"/>
              <w:left w:val="single" w:sz="18" w:space="0" w:color="808080"/>
              <w:bottom w:val="nil"/>
              <w:right w:val="nil"/>
            </w:tcBorders>
          </w:tcPr>
          <w:p>
            <w:pPr>
              <w:pStyle w:val="TableParagraph"/>
              <w:spacing w:line="242" w:lineRule="auto" w:before="8"/>
              <w:ind w:left="95" w:right="9388"/>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78"/>
          <w:pgSz w:w="15840" w:h="12240" w:orient="landscape"/>
          <w:pgMar w:header="0" w:footer="0" w:top="700" w:bottom="2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862" w:hRule="atLeast"/>
        </w:trPr>
        <w:tc>
          <w:tcPr>
            <w:tcW w:w="3193" w:type="dxa"/>
          </w:tcPr>
          <w:p>
            <w:pPr>
              <w:pStyle w:val="TableParagraph"/>
              <w:spacing w:before="204"/>
              <w:rPr>
                <w:b/>
                <w:sz w:val="18"/>
              </w:rPr>
            </w:pPr>
          </w:p>
          <w:p>
            <w:pPr>
              <w:pStyle w:val="TableParagraph"/>
              <w:ind w:left="72" w:right="111"/>
              <w:rPr>
                <w:sz w:val="18"/>
              </w:rPr>
            </w:pPr>
            <w:r>
              <w:rPr>
                <w:b/>
                <w:sz w:val="18"/>
              </w:rPr>
              <w:t>Actividad</w:t>
            </w:r>
            <w:r>
              <w:rPr>
                <w:b/>
                <w:spacing w:val="-13"/>
                <w:sz w:val="18"/>
              </w:rPr>
              <w:t> </w:t>
            </w:r>
            <w:r>
              <w:rPr>
                <w:b/>
                <w:sz w:val="18"/>
              </w:rPr>
              <w:t>PAC</w:t>
            </w:r>
            <w:r>
              <w:rPr>
                <w:b/>
                <w:spacing w:val="-10"/>
                <w:sz w:val="18"/>
              </w:rPr>
              <w:t> </w:t>
            </w:r>
            <w:r>
              <w:rPr>
                <w:b/>
                <w:sz w:val="18"/>
              </w:rPr>
              <w:t>2.78.2:</w:t>
            </w:r>
            <w:r>
              <w:rPr>
                <w:b/>
                <w:spacing w:val="-9"/>
                <w:sz w:val="18"/>
              </w:rPr>
              <w:t> </w:t>
            </w:r>
            <w:r>
              <w:rPr>
                <w:sz w:val="18"/>
              </w:rPr>
              <w:t>Identificación de unidades administrativas clave para la validación de la metodología de inversión social, económica, regional y territorial</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9" w:right="4"/>
              <w:jc w:val="center"/>
              <w:rPr>
                <w:sz w:val="18"/>
              </w:rPr>
            </w:pPr>
            <w:r>
              <w:rPr>
                <w:spacing w:val="-10"/>
                <w:sz w:val="18"/>
              </w:rPr>
              <w:t>1</w:t>
            </w:r>
          </w:p>
        </w:tc>
        <w:tc>
          <w:tcPr>
            <w:tcW w:w="1776" w:type="dxa"/>
          </w:tcPr>
          <w:p>
            <w:pPr>
              <w:pStyle w:val="TableParagraph"/>
              <w:ind w:left="67" w:right="81"/>
              <w:rPr>
                <w:sz w:val="18"/>
              </w:rPr>
            </w:pPr>
            <w:r>
              <w:rPr>
                <w:sz w:val="18"/>
              </w:rPr>
              <w:t>Cantidad de informes de identificación de actores clave para la validación de la metodología de inversión social, económica,</w:t>
            </w:r>
            <w:r>
              <w:rPr>
                <w:spacing w:val="-13"/>
                <w:sz w:val="18"/>
              </w:rPr>
              <w:t> </w:t>
            </w:r>
            <w:r>
              <w:rPr>
                <w:sz w:val="18"/>
              </w:rPr>
              <w:t>regional</w:t>
            </w:r>
          </w:p>
          <w:p>
            <w:pPr>
              <w:pStyle w:val="TableParagraph"/>
              <w:spacing w:line="187" w:lineRule="exact"/>
              <w:ind w:left="67"/>
              <w:rPr>
                <w:sz w:val="18"/>
              </w:rPr>
            </w:pPr>
            <w:r>
              <w:rPr>
                <w:sz w:val="18"/>
              </w:rPr>
              <w:t>y</w:t>
            </w:r>
            <w:r>
              <w:rPr>
                <w:spacing w:val="2"/>
                <w:sz w:val="18"/>
              </w:rPr>
              <w:t> </w:t>
            </w:r>
            <w:r>
              <w:rPr>
                <w:spacing w:val="-2"/>
                <w:sz w:val="18"/>
              </w:rPr>
              <w:t>territorial</w:t>
            </w:r>
          </w:p>
        </w:tc>
        <w:tc>
          <w:tcPr>
            <w:tcW w:w="1483" w:type="dxa"/>
          </w:tcPr>
          <w:p>
            <w:pPr>
              <w:pStyle w:val="TableParagraph"/>
              <w:rPr>
                <w:b/>
                <w:sz w:val="18"/>
              </w:rPr>
            </w:pPr>
          </w:p>
          <w:p>
            <w:pPr>
              <w:pStyle w:val="TableParagraph"/>
              <w:spacing w:before="204"/>
              <w:rPr>
                <w:b/>
                <w:sz w:val="18"/>
              </w:rPr>
            </w:pPr>
          </w:p>
          <w:p>
            <w:pPr>
              <w:pStyle w:val="TableParagraph"/>
              <w:spacing w:line="242" w:lineRule="auto"/>
              <w:ind w:left="67"/>
              <w:rPr>
                <w:sz w:val="18"/>
              </w:rPr>
            </w:pPr>
            <w:r>
              <w:rPr>
                <w:sz w:val="18"/>
              </w:rPr>
              <w:t>Informe de identificación</w:t>
            </w:r>
            <w:r>
              <w:rPr>
                <w:spacing w:val="-13"/>
                <w:sz w:val="18"/>
              </w:rPr>
              <w:t> </w:t>
            </w:r>
            <w:r>
              <w:rPr>
                <w:sz w:val="18"/>
              </w:rPr>
              <w:t>de actores clave</w:t>
            </w:r>
          </w:p>
        </w:tc>
        <w:tc>
          <w:tcPr>
            <w:tcW w:w="129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rFonts w:ascii="Times New Roman"/>
                <w:sz w:val="18"/>
              </w:rPr>
            </w:pPr>
          </w:p>
        </w:tc>
      </w:tr>
      <w:tr>
        <w:trPr>
          <w:trHeight w:val="1771" w:hRule="atLeast"/>
        </w:trPr>
        <w:tc>
          <w:tcPr>
            <w:tcW w:w="3193" w:type="dxa"/>
          </w:tcPr>
          <w:p>
            <w:pPr>
              <w:pStyle w:val="TableParagraph"/>
              <w:spacing w:before="55"/>
              <w:rPr>
                <w:b/>
                <w:sz w:val="18"/>
              </w:rPr>
            </w:pPr>
          </w:p>
          <w:p>
            <w:pPr>
              <w:pStyle w:val="TableParagraph"/>
              <w:spacing w:before="1"/>
              <w:ind w:left="72" w:right="135"/>
              <w:rPr>
                <w:sz w:val="18"/>
              </w:rPr>
            </w:pPr>
            <w:r>
              <w:rPr>
                <w:b/>
                <w:sz w:val="18"/>
              </w:rPr>
              <w:t>Actividad PAC 2.78.3: </w:t>
            </w:r>
            <w:r>
              <w:rPr>
                <w:sz w:val="18"/>
              </w:rPr>
              <w:t>Validar, mediante consultas técnicas a unidades clave, la metodología para el</w:t>
            </w:r>
            <w:r>
              <w:rPr>
                <w:spacing w:val="-7"/>
                <w:sz w:val="18"/>
              </w:rPr>
              <w:t> </w:t>
            </w:r>
            <w:r>
              <w:rPr>
                <w:sz w:val="18"/>
              </w:rPr>
              <w:t>desarrollo</w:t>
            </w:r>
            <w:r>
              <w:rPr>
                <w:spacing w:val="-7"/>
                <w:sz w:val="18"/>
              </w:rPr>
              <w:t> </w:t>
            </w:r>
            <w:r>
              <w:rPr>
                <w:sz w:val="18"/>
              </w:rPr>
              <w:t>de</w:t>
            </w:r>
            <w:r>
              <w:rPr>
                <w:spacing w:val="-7"/>
                <w:sz w:val="18"/>
              </w:rPr>
              <w:t> </w:t>
            </w:r>
            <w:r>
              <w:rPr>
                <w:sz w:val="18"/>
              </w:rPr>
              <w:t>estudios</w:t>
            </w:r>
            <w:r>
              <w:rPr>
                <w:spacing w:val="-6"/>
                <w:sz w:val="18"/>
              </w:rPr>
              <w:t> </w:t>
            </w:r>
            <w:r>
              <w:rPr>
                <w:sz w:val="18"/>
              </w:rPr>
              <w:t>de</w:t>
            </w:r>
            <w:r>
              <w:rPr>
                <w:spacing w:val="-10"/>
                <w:sz w:val="18"/>
              </w:rPr>
              <w:t> </w:t>
            </w:r>
            <w:r>
              <w:rPr>
                <w:sz w:val="18"/>
              </w:rPr>
              <w:t>inversión social, económica, regional y </w:t>
            </w:r>
            <w:r>
              <w:rPr>
                <w:spacing w:val="-2"/>
                <w:sz w:val="18"/>
              </w:rPr>
              <w:t>territorial</w:t>
            </w:r>
          </w:p>
        </w:tc>
        <w:tc>
          <w:tcPr>
            <w:tcW w:w="1354" w:type="dxa"/>
          </w:tcPr>
          <w:p>
            <w:pPr>
              <w:pStyle w:val="TableParagraph"/>
              <w:rPr>
                <w:b/>
                <w:sz w:val="18"/>
              </w:rPr>
            </w:pPr>
          </w:p>
          <w:p>
            <w:pPr>
              <w:pStyle w:val="TableParagraph"/>
              <w:rPr>
                <w:b/>
                <w:sz w:val="18"/>
              </w:rPr>
            </w:pPr>
          </w:p>
          <w:p>
            <w:pPr>
              <w:pStyle w:val="TableParagraph"/>
              <w:spacing w:before="161"/>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161"/>
              <w:rPr>
                <w:b/>
                <w:sz w:val="18"/>
              </w:rPr>
            </w:pPr>
          </w:p>
          <w:p>
            <w:pPr>
              <w:pStyle w:val="TableParagraph"/>
              <w:ind w:left="19" w:right="4"/>
              <w:jc w:val="center"/>
              <w:rPr>
                <w:sz w:val="18"/>
              </w:rPr>
            </w:pPr>
            <w:r>
              <w:rPr>
                <w:spacing w:val="-10"/>
                <w:sz w:val="18"/>
              </w:rPr>
              <w:t>2</w:t>
            </w:r>
          </w:p>
        </w:tc>
        <w:tc>
          <w:tcPr>
            <w:tcW w:w="1776" w:type="dxa"/>
          </w:tcPr>
          <w:p>
            <w:pPr>
              <w:pStyle w:val="TableParagraph"/>
              <w:rPr>
                <w:b/>
                <w:sz w:val="18"/>
              </w:rPr>
            </w:pPr>
          </w:p>
          <w:p>
            <w:pPr>
              <w:pStyle w:val="TableParagraph"/>
              <w:spacing w:before="56"/>
              <w:rPr>
                <w:b/>
                <w:sz w:val="18"/>
              </w:rPr>
            </w:pPr>
          </w:p>
          <w:p>
            <w:pPr>
              <w:pStyle w:val="TableParagraph"/>
              <w:ind w:left="67"/>
              <w:rPr>
                <w:sz w:val="18"/>
              </w:rPr>
            </w:pPr>
            <w:r>
              <w:rPr>
                <w:sz w:val="18"/>
              </w:rPr>
              <w:t>Cantidad de consultas de validación</w:t>
            </w:r>
            <w:r>
              <w:rPr>
                <w:spacing w:val="-15"/>
                <w:sz w:val="18"/>
              </w:rPr>
              <w:t> </w:t>
            </w:r>
            <w:r>
              <w:rPr>
                <w:sz w:val="18"/>
              </w:rPr>
              <w:t>sobre</w:t>
            </w:r>
            <w:r>
              <w:rPr>
                <w:spacing w:val="-12"/>
                <w:sz w:val="18"/>
              </w:rPr>
              <w:t> </w:t>
            </w:r>
            <w:r>
              <w:rPr>
                <w:sz w:val="18"/>
              </w:rPr>
              <w:t>la </w:t>
            </w:r>
            <w:r>
              <w:rPr>
                <w:spacing w:val="-2"/>
                <w:sz w:val="18"/>
              </w:rPr>
              <w:t>metodología</w:t>
            </w:r>
          </w:p>
        </w:tc>
        <w:tc>
          <w:tcPr>
            <w:tcW w:w="1483" w:type="dxa"/>
          </w:tcPr>
          <w:p>
            <w:pPr>
              <w:pStyle w:val="TableParagraph"/>
              <w:rPr>
                <w:b/>
                <w:sz w:val="18"/>
              </w:rPr>
            </w:pPr>
          </w:p>
          <w:p>
            <w:pPr>
              <w:pStyle w:val="TableParagraph"/>
              <w:spacing w:before="161"/>
              <w:rPr>
                <w:b/>
                <w:sz w:val="18"/>
              </w:rPr>
            </w:pPr>
          </w:p>
          <w:p>
            <w:pPr>
              <w:pStyle w:val="TableParagraph"/>
              <w:ind w:left="67" w:right="538"/>
              <w:rPr>
                <w:sz w:val="18"/>
              </w:rPr>
            </w:pPr>
            <w:r>
              <w:rPr>
                <w:sz w:val="18"/>
              </w:rPr>
              <w:t>Informe</w:t>
            </w:r>
            <w:r>
              <w:rPr>
                <w:spacing w:val="-13"/>
                <w:sz w:val="18"/>
              </w:rPr>
              <w:t> </w:t>
            </w:r>
            <w:r>
              <w:rPr>
                <w:sz w:val="18"/>
              </w:rPr>
              <w:t>de </w:t>
            </w:r>
            <w:r>
              <w:rPr>
                <w:spacing w:val="-2"/>
                <w:sz w:val="18"/>
              </w:rPr>
              <w:t>validación técnica</w:t>
            </w:r>
          </w:p>
        </w:tc>
        <w:tc>
          <w:tcPr>
            <w:tcW w:w="1296" w:type="dxa"/>
          </w:tcPr>
          <w:p>
            <w:pPr>
              <w:pStyle w:val="TableParagraph"/>
              <w:rPr>
                <w:b/>
                <w:sz w:val="18"/>
              </w:rPr>
            </w:pPr>
          </w:p>
          <w:p>
            <w:pPr>
              <w:pStyle w:val="TableParagraph"/>
              <w:rPr>
                <w:b/>
                <w:sz w:val="18"/>
              </w:rPr>
            </w:pPr>
          </w:p>
          <w:p>
            <w:pPr>
              <w:pStyle w:val="TableParagraph"/>
              <w:spacing w:before="55"/>
              <w:rPr>
                <w:b/>
                <w:sz w:val="18"/>
              </w:rPr>
            </w:pPr>
          </w:p>
          <w:p>
            <w:pPr>
              <w:pStyle w:val="TableParagraph"/>
              <w:spacing w:line="244" w:lineRule="auto"/>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2899" w:hRule="atLeast"/>
        </w:trPr>
        <w:tc>
          <w:tcPr>
            <w:tcW w:w="319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2" w:right="135"/>
              <w:rPr>
                <w:sz w:val="18"/>
              </w:rPr>
            </w:pPr>
            <w:r>
              <w:rPr>
                <w:b/>
                <w:sz w:val="18"/>
              </w:rPr>
              <w:t>Actividad PAC 2.78.4: </w:t>
            </w:r>
            <w:r>
              <w:rPr>
                <w:sz w:val="18"/>
              </w:rPr>
              <w:t>Ajustar la metodología para el desarrollo de estudios de inversión social, económica,</w:t>
            </w:r>
            <w:r>
              <w:rPr>
                <w:spacing w:val="-9"/>
                <w:sz w:val="18"/>
              </w:rPr>
              <w:t> </w:t>
            </w:r>
            <w:r>
              <w:rPr>
                <w:sz w:val="18"/>
              </w:rPr>
              <w:t>regional</w:t>
            </w:r>
            <w:r>
              <w:rPr>
                <w:spacing w:val="-9"/>
                <w:sz w:val="18"/>
              </w:rPr>
              <w:t> </w:t>
            </w:r>
            <w:r>
              <w:rPr>
                <w:sz w:val="18"/>
              </w:rPr>
              <w:t>y</w:t>
            </w:r>
            <w:r>
              <w:rPr>
                <w:spacing w:val="-11"/>
                <w:sz w:val="18"/>
              </w:rPr>
              <w:t> </w:t>
            </w:r>
            <w:r>
              <w:rPr>
                <w:sz w:val="18"/>
              </w:rPr>
              <w:t>territorial</w:t>
            </w:r>
            <w:r>
              <w:rPr>
                <w:spacing w:val="-9"/>
                <w:sz w:val="18"/>
              </w:rPr>
              <w:t> </w:t>
            </w:r>
            <w:r>
              <w:rPr>
                <w:sz w:val="18"/>
              </w:rPr>
              <w:t>para la elaboración del documento final</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9" w:right="4"/>
              <w:jc w:val="center"/>
              <w:rPr>
                <w:sz w:val="18"/>
              </w:rPr>
            </w:pPr>
            <w:r>
              <w:rPr>
                <w:spacing w:val="-10"/>
                <w:sz w:val="18"/>
              </w:rPr>
              <w:t>1</w:t>
            </w:r>
          </w:p>
        </w:tc>
        <w:tc>
          <w:tcPr>
            <w:tcW w:w="1776" w:type="dxa"/>
          </w:tcPr>
          <w:p>
            <w:pPr>
              <w:pStyle w:val="TableParagraph"/>
              <w:spacing w:before="204"/>
              <w:rPr>
                <w:b/>
                <w:sz w:val="18"/>
              </w:rPr>
            </w:pPr>
          </w:p>
          <w:p>
            <w:pPr>
              <w:pStyle w:val="TableParagraph"/>
              <w:ind w:left="67" w:right="72"/>
              <w:rPr>
                <w:sz w:val="18"/>
              </w:rPr>
            </w:pPr>
            <w:r>
              <w:rPr>
                <w:sz w:val="18"/>
              </w:rPr>
              <w:t>Cantidad de documentos de metodología</w:t>
            </w:r>
            <w:r>
              <w:rPr>
                <w:spacing w:val="-1"/>
                <w:sz w:val="18"/>
              </w:rPr>
              <w:t> </w:t>
            </w:r>
            <w:r>
              <w:rPr>
                <w:sz w:val="18"/>
              </w:rPr>
              <w:t>para</w:t>
            </w:r>
            <w:r>
              <w:rPr>
                <w:spacing w:val="-5"/>
                <w:sz w:val="18"/>
              </w:rPr>
              <w:t> </w:t>
            </w:r>
            <w:r>
              <w:rPr>
                <w:sz w:val="18"/>
              </w:rPr>
              <w:t>el desarrollo de estudios de inversión social, económica,</w:t>
            </w:r>
            <w:r>
              <w:rPr>
                <w:spacing w:val="-13"/>
                <w:sz w:val="18"/>
              </w:rPr>
              <w:t> </w:t>
            </w:r>
            <w:r>
              <w:rPr>
                <w:sz w:val="18"/>
              </w:rPr>
              <w:t>regional y</w:t>
            </w:r>
            <w:r>
              <w:rPr>
                <w:spacing w:val="-15"/>
                <w:sz w:val="18"/>
              </w:rPr>
              <w:t> </w:t>
            </w:r>
            <w:r>
              <w:rPr>
                <w:sz w:val="18"/>
              </w:rPr>
              <w:t>territorial</w:t>
            </w:r>
            <w:r>
              <w:rPr>
                <w:spacing w:val="-12"/>
                <w:sz w:val="18"/>
              </w:rPr>
              <w:t> </w:t>
            </w:r>
            <w:r>
              <w:rPr>
                <w:sz w:val="18"/>
              </w:rPr>
              <w:t>ajustada, aprobada y </w:t>
            </w:r>
            <w:r>
              <w:rPr>
                <w:spacing w:val="-2"/>
                <w:sz w:val="18"/>
              </w:rPr>
              <w:t>divulgada</w:t>
            </w:r>
          </w:p>
        </w:tc>
        <w:tc>
          <w:tcPr>
            <w:tcW w:w="1483" w:type="dxa"/>
          </w:tcPr>
          <w:p>
            <w:pPr>
              <w:pStyle w:val="TableParagraph"/>
              <w:ind w:left="67" w:right="65"/>
              <w:rPr>
                <w:sz w:val="18"/>
              </w:rPr>
            </w:pPr>
            <w:r>
              <w:rPr>
                <w:sz w:val="18"/>
              </w:rPr>
              <w:t>Documento final de metodología para el desarrollo de estudios de inversión social, </w:t>
            </w:r>
            <w:r>
              <w:rPr>
                <w:spacing w:val="-2"/>
                <w:sz w:val="18"/>
              </w:rPr>
              <w:t>económica, </w:t>
            </w:r>
            <w:r>
              <w:rPr>
                <w:sz w:val="18"/>
              </w:rPr>
              <w:t>regional y </w:t>
            </w:r>
            <w:r>
              <w:rPr>
                <w:spacing w:val="-2"/>
                <w:sz w:val="18"/>
              </w:rPr>
              <w:t>territorial ajustada/ </w:t>
            </w:r>
            <w:r>
              <w:rPr>
                <w:sz w:val="18"/>
              </w:rPr>
              <w:t>capturas de pantalla de la</w:t>
            </w:r>
          </w:p>
          <w:p>
            <w:pPr>
              <w:pStyle w:val="TableParagraph"/>
              <w:spacing w:line="206" w:lineRule="exact"/>
              <w:ind w:left="67"/>
              <w:rPr>
                <w:sz w:val="18"/>
              </w:rPr>
            </w:pPr>
            <w:r>
              <w:rPr>
                <w:sz w:val="18"/>
              </w:rPr>
              <w:t>divulgación</w:t>
            </w:r>
            <w:r>
              <w:rPr>
                <w:spacing w:val="-15"/>
                <w:sz w:val="18"/>
              </w:rPr>
              <w:t> </w:t>
            </w:r>
            <w:r>
              <w:rPr>
                <w:sz w:val="18"/>
              </w:rPr>
              <w:t>de</w:t>
            </w:r>
            <w:r>
              <w:rPr>
                <w:spacing w:val="-12"/>
                <w:sz w:val="18"/>
              </w:rPr>
              <w:t> </w:t>
            </w:r>
            <w:r>
              <w:rPr>
                <w:sz w:val="18"/>
              </w:rPr>
              <w:t>la </w:t>
            </w:r>
            <w:r>
              <w:rPr>
                <w:spacing w:val="-2"/>
                <w:sz w:val="18"/>
              </w:rPr>
              <w:t>metodología</w:t>
            </w:r>
          </w:p>
        </w:tc>
        <w:tc>
          <w:tcPr>
            <w:tcW w:w="129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537" w:hRule="atLeast"/>
        </w:trPr>
        <w:tc>
          <w:tcPr>
            <w:tcW w:w="14598" w:type="dxa"/>
            <w:gridSpan w:val="8"/>
            <w:shd w:val="clear" w:color="auto" w:fill="EFF8F9"/>
          </w:tcPr>
          <w:p>
            <w:pPr>
              <w:pStyle w:val="TableParagraph"/>
              <w:spacing w:before="167"/>
              <w:ind w:left="125"/>
              <w:rPr>
                <w:b/>
                <w:sz w:val="18"/>
              </w:rPr>
            </w:pPr>
            <w:r>
              <w:rPr>
                <w:b/>
                <w:sz w:val="18"/>
              </w:rPr>
              <w:t>Producto</w:t>
            </w:r>
            <w:r>
              <w:rPr>
                <w:b/>
                <w:spacing w:val="-7"/>
                <w:sz w:val="18"/>
              </w:rPr>
              <w:t> </w:t>
            </w:r>
            <w:r>
              <w:rPr>
                <w:b/>
                <w:sz w:val="18"/>
              </w:rPr>
              <w:t>PAC</w:t>
            </w:r>
            <w:r>
              <w:rPr>
                <w:b/>
                <w:spacing w:val="-2"/>
                <w:sz w:val="18"/>
              </w:rPr>
              <w:t> </w:t>
            </w:r>
            <w:r>
              <w:rPr>
                <w:b/>
                <w:sz w:val="18"/>
              </w:rPr>
              <w:t>2.79:</w:t>
            </w:r>
            <w:r>
              <w:rPr>
                <w:b/>
                <w:spacing w:val="46"/>
                <w:sz w:val="18"/>
              </w:rPr>
              <w:t> </w:t>
            </w:r>
            <w:r>
              <w:rPr>
                <w:b/>
                <w:sz w:val="18"/>
              </w:rPr>
              <w:t>Sistema</w:t>
            </w:r>
            <w:r>
              <w:rPr>
                <w:b/>
                <w:spacing w:val="-5"/>
                <w:sz w:val="18"/>
              </w:rPr>
              <w:t> </w:t>
            </w:r>
            <w:r>
              <w:rPr>
                <w:b/>
                <w:sz w:val="18"/>
              </w:rPr>
              <w:t>de</w:t>
            </w:r>
            <w:r>
              <w:rPr>
                <w:b/>
                <w:spacing w:val="-6"/>
                <w:sz w:val="18"/>
              </w:rPr>
              <w:t> </w:t>
            </w:r>
            <w:r>
              <w:rPr>
                <w:b/>
                <w:sz w:val="18"/>
              </w:rPr>
              <w:t>monitoreo</w:t>
            </w:r>
            <w:r>
              <w:rPr>
                <w:b/>
                <w:spacing w:val="-6"/>
                <w:sz w:val="18"/>
              </w:rPr>
              <w:t> </w:t>
            </w:r>
            <w:r>
              <w:rPr>
                <w:b/>
                <w:sz w:val="18"/>
              </w:rPr>
              <w:t>de</w:t>
            </w:r>
            <w:r>
              <w:rPr>
                <w:b/>
                <w:spacing w:val="-5"/>
                <w:sz w:val="18"/>
              </w:rPr>
              <w:t> </w:t>
            </w:r>
            <w:r>
              <w:rPr>
                <w:b/>
                <w:sz w:val="18"/>
              </w:rPr>
              <w:t>metas</w:t>
            </w:r>
            <w:r>
              <w:rPr>
                <w:b/>
                <w:spacing w:val="-6"/>
                <w:sz w:val="18"/>
              </w:rPr>
              <w:t> </w:t>
            </w:r>
            <w:r>
              <w:rPr>
                <w:b/>
                <w:sz w:val="18"/>
              </w:rPr>
              <w:t>del</w:t>
            </w:r>
            <w:r>
              <w:rPr>
                <w:b/>
                <w:spacing w:val="-7"/>
                <w:sz w:val="18"/>
              </w:rPr>
              <w:t> </w:t>
            </w:r>
            <w:r>
              <w:rPr>
                <w:b/>
                <w:sz w:val="18"/>
              </w:rPr>
              <w:t>PAISS</w:t>
            </w:r>
            <w:r>
              <w:rPr>
                <w:b/>
                <w:spacing w:val="-2"/>
                <w:sz w:val="18"/>
              </w:rPr>
              <w:t> </w:t>
            </w:r>
            <w:r>
              <w:rPr>
                <w:b/>
                <w:sz w:val="18"/>
              </w:rPr>
              <w:t>y</w:t>
            </w:r>
            <w:r>
              <w:rPr>
                <w:b/>
                <w:spacing w:val="-5"/>
                <w:sz w:val="18"/>
              </w:rPr>
              <w:t> </w:t>
            </w:r>
            <w:r>
              <w:rPr>
                <w:b/>
                <w:sz w:val="18"/>
              </w:rPr>
              <w:t>Plan</w:t>
            </w:r>
            <w:r>
              <w:rPr>
                <w:b/>
                <w:spacing w:val="-2"/>
                <w:sz w:val="18"/>
              </w:rPr>
              <w:t> </w:t>
            </w:r>
            <w:r>
              <w:rPr>
                <w:b/>
                <w:sz w:val="18"/>
              </w:rPr>
              <w:t>de</w:t>
            </w:r>
            <w:r>
              <w:rPr>
                <w:b/>
                <w:spacing w:val="-5"/>
                <w:sz w:val="18"/>
              </w:rPr>
              <w:t> </w:t>
            </w:r>
            <w:r>
              <w:rPr>
                <w:b/>
                <w:sz w:val="18"/>
              </w:rPr>
              <w:t>acción</w:t>
            </w:r>
            <w:r>
              <w:rPr>
                <w:b/>
                <w:spacing w:val="-6"/>
                <w:sz w:val="18"/>
              </w:rPr>
              <w:t> </w:t>
            </w:r>
            <w:r>
              <w:rPr>
                <w:b/>
                <w:sz w:val="18"/>
              </w:rPr>
              <w:t>de</w:t>
            </w:r>
            <w:r>
              <w:rPr>
                <w:b/>
                <w:spacing w:val="-6"/>
                <w:sz w:val="18"/>
              </w:rPr>
              <w:t> </w:t>
            </w:r>
            <w:r>
              <w:rPr>
                <w:b/>
                <w:sz w:val="18"/>
              </w:rPr>
              <w:t>la</w:t>
            </w:r>
            <w:r>
              <w:rPr>
                <w:b/>
                <w:spacing w:val="-5"/>
                <w:sz w:val="18"/>
              </w:rPr>
              <w:t> </w:t>
            </w:r>
            <w:r>
              <w:rPr>
                <w:b/>
                <w:sz w:val="18"/>
              </w:rPr>
              <w:t>Política</w:t>
            </w:r>
            <w:r>
              <w:rPr>
                <w:b/>
                <w:spacing w:val="-2"/>
                <w:sz w:val="18"/>
              </w:rPr>
              <w:t> </w:t>
            </w:r>
            <w:r>
              <w:rPr>
                <w:b/>
                <w:sz w:val="18"/>
              </w:rPr>
              <w:t>Pública</w:t>
            </w:r>
            <w:r>
              <w:rPr>
                <w:b/>
                <w:spacing w:val="-5"/>
                <w:sz w:val="18"/>
              </w:rPr>
              <w:t> </w:t>
            </w:r>
            <w:r>
              <w:rPr>
                <w:b/>
                <w:sz w:val="18"/>
              </w:rPr>
              <w:t>operando</w:t>
            </w:r>
            <w:r>
              <w:rPr>
                <w:b/>
                <w:spacing w:val="-1"/>
                <w:sz w:val="18"/>
              </w:rPr>
              <w:t> </w:t>
            </w:r>
            <w:r>
              <w:rPr>
                <w:b/>
                <w:sz w:val="18"/>
              </w:rPr>
              <w:t>E4</w:t>
            </w:r>
            <w:r>
              <w:rPr>
                <w:b/>
                <w:spacing w:val="-2"/>
                <w:sz w:val="18"/>
              </w:rPr>
              <w:t> </w:t>
            </w:r>
            <w:r>
              <w:rPr>
                <w:b/>
                <w:sz w:val="18"/>
              </w:rPr>
              <w:t>AE1</w:t>
            </w:r>
            <w:r>
              <w:rPr>
                <w:b/>
                <w:spacing w:val="-1"/>
                <w:sz w:val="18"/>
              </w:rPr>
              <w:t> </w:t>
            </w:r>
            <w:r>
              <w:rPr>
                <w:b/>
                <w:sz w:val="18"/>
              </w:rPr>
              <w:t>R5</w:t>
            </w:r>
            <w:r>
              <w:rPr>
                <w:b/>
                <w:spacing w:val="-10"/>
                <w:sz w:val="18"/>
              </w:rPr>
              <w:t> </w:t>
            </w:r>
            <w:r>
              <w:rPr>
                <w:b/>
                <w:spacing w:val="-2"/>
                <w:sz w:val="18"/>
              </w:rPr>
              <w:t>(60%)</w:t>
            </w:r>
          </w:p>
        </w:tc>
      </w:tr>
    </w:tbl>
    <w:p>
      <w:pPr>
        <w:pStyle w:val="TableParagraph"/>
        <w:spacing w:after="0"/>
        <w:rPr>
          <w:b/>
          <w:sz w:val="18"/>
        </w:rPr>
        <w:sectPr>
          <w:footerReference w:type="default" r:id="rId79"/>
          <w:pgSz w:w="15840" w:h="12240" w:orient="landscape"/>
          <w:pgMar w:header="0" w:footer="1806" w:top="700" w:bottom="2813" w:left="360" w:right="360"/>
          <w:pgNumType w:start="253"/>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425" w:hRule="atLeast"/>
        </w:trPr>
        <w:tc>
          <w:tcPr>
            <w:tcW w:w="3193" w:type="dxa"/>
          </w:tcPr>
          <w:p>
            <w:pPr>
              <w:pStyle w:val="TableParagraph"/>
              <w:spacing w:before="195"/>
              <w:ind w:left="72"/>
              <w:rPr>
                <w:sz w:val="18"/>
              </w:rPr>
            </w:pPr>
            <w:r>
              <w:rPr>
                <w:b/>
                <w:sz w:val="18"/>
              </w:rPr>
              <w:t>Actividad PAC 2.79.1: </w:t>
            </w:r>
            <w:r>
              <w:rPr>
                <w:sz w:val="18"/>
              </w:rPr>
              <w:t>Coordinar sesiones técnicas con unidades responsables del PAISS para la revisión</w:t>
            </w:r>
            <w:r>
              <w:rPr>
                <w:spacing w:val="-9"/>
                <w:sz w:val="18"/>
              </w:rPr>
              <w:t> </w:t>
            </w:r>
            <w:r>
              <w:rPr>
                <w:sz w:val="18"/>
              </w:rPr>
              <w:t>y</w:t>
            </w:r>
            <w:r>
              <w:rPr>
                <w:spacing w:val="-4"/>
                <w:sz w:val="18"/>
              </w:rPr>
              <w:t> </w:t>
            </w:r>
            <w:r>
              <w:rPr>
                <w:sz w:val="18"/>
              </w:rPr>
              <w:t>validación</w:t>
            </w:r>
            <w:r>
              <w:rPr>
                <w:spacing w:val="-5"/>
                <w:sz w:val="18"/>
              </w:rPr>
              <w:t> </w:t>
            </w:r>
            <w:r>
              <w:rPr>
                <w:sz w:val="18"/>
              </w:rPr>
              <w:t>de</w:t>
            </w:r>
            <w:r>
              <w:rPr>
                <w:spacing w:val="-9"/>
                <w:sz w:val="18"/>
              </w:rPr>
              <w:t> </w:t>
            </w:r>
            <w:r>
              <w:rPr>
                <w:sz w:val="18"/>
              </w:rPr>
              <w:t>acciones</w:t>
            </w:r>
            <w:r>
              <w:rPr>
                <w:spacing w:val="-9"/>
                <w:sz w:val="18"/>
              </w:rPr>
              <w:t> </w:t>
            </w:r>
            <w:r>
              <w:rPr>
                <w:sz w:val="18"/>
              </w:rPr>
              <w:t>e </w:t>
            </w:r>
            <w:r>
              <w:rPr>
                <w:spacing w:val="-2"/>
                <w:sz w:val="18"/>
              </w:rPr>
              <w:t>indicadores</w:t>
            </w:r>
          </w:p>
        </w:tc>
        <w:tc>
          <w:tcPr>
            <w:tcW w:w="1354" w:type="dxa"/>
          </w:tcPr>
          <w:p>
            <w:pPr>
              <w:pStyle w:val="TableParagraph"/>
              <w:rPr>
                <w:b/>
                <w:sz w:val="18"/>
              </w:rPr>
            </w:pPr>
          </w:p>
          <w:p>
            <w:pPr>
              <w:pStyle w:val="TableParagraph"/>
              <w:spacing w:before="194"/>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spacing w:before="194"/>
              <w:rPr>
                <w:b/>
                <w:sz w:val="18"/>
              </w:rPr>
            </w:pPr>
          </w:p>
          <w:p>
            <w:pPr>
              <w:pStyle w:val="TableParagraph"/>
              <w:ind w:left="19" w:right="4"/>
              <w:jc w:val="center"/>
              <w:rPr>
                <w:sz w:val="18"/>
              </w:rPr>
            </w:pPr>
            <w:r>
              <w:rPr>
                <w:spacing w:val="-10"/>
                <w:sz w:val="18"/>
              </w:rPr>
              <w:t>4</w:t>
            </w:r>
          </w:p>
        </w:tc>
        <w:tc>
          <w:tcPr>
            <w:tcW w:w="1776" w:type="dxa"/>
          </w:tcPr>
          <w:p>
            <w:pPr>
              <w:pStyle w:val="TableParagraph"/>
              <w:spacing w:before="90"/>
              <w:ind w:left="67" w:right="60"/>
              <w:rPr>
                <w:sz w:val="18"/>
              </w:rPr>
            </w:pPr>
            <w:r>
              <w:rPr>
                <w:sz w:val="18"/>
              </w:rPr>
              <w:t>Cantidad de sesiones</w:t>
            </w:r>
            <w:r>
              <w:rPr>
                <w:spacing w:val="-13"/>
                <w:sz w:val="18"/>
              </w:rPr>
              <w:t> </w:t>
            </w:r>
            <w:r>
              <w:rPr>
                <w:sz w:val="18"/>
              </w:rPr>
              <w:t>técnicas realizadas</w:t>
            </w:r>
            <w:r>
              <w:rPr>
                <w:spacing w:val="-15"/>
                <w:sz w:val="18"/>
              </w:rPr>
              <w:t> </w:t>
            </w:r>
            <w:r>
              <w:rPr>
                <w:sz w:val="18"/>
              </w:rPr>
              <w:t>con</w:t>
            </w:r>
            <w:r>
              <w:rPr>
                <w:spacing w:val="-12"/>
                <w:sz w:val="18"/>
              </w:rPr>
              <w:t> </w:t>
            </w:r>
            <w:r>
              <w:rPr>
                <w:sz w:val="18"/>
              </w:rPr>
              <w:t>las </w:t>
            </w:r>
            <w:r>
              <w:rPr>
                <w:spacing w:val="-2"/>
                <w:sz w:val="18"/>
              </w:rPr>
              <w:t>unidades </w:t>
            </w:r>
            <w:r>
              <w:rPr>
                <w:sz w:val="18"/>
              </w:rPr>
              <w:t>responsables del </w:t>
            </w:r>
            <w:r>
              <w:rPr>
                <w:spacing w:val="-2"/>
                <w:sz w:val="18"/>
              </w:rPr>
              <w:t>PAISS</w:t>
            </w:r>
          </w:p>
        </w:tc>
        <w:tc>
          <w:tcPr>
            <w:tcW w:w="1483" w:type="dxa"/>
          </w:tcPr>
          <w:p>
            <w:pPr>
              <w:pStyle w:val="TableParagraph"/>
              <w:spacing w:before="89"/>
              <w:rPr>
                <w:b/>
                <w:sz w:val="18"/>
              </w:rPr>
            </w:pPr>
          </w:p>
          <w:p>
            <w:pPr>
              <w:pStyle w:val="TableParagraph"/>
              <w:ind w:left="67"/>
              <w:rPr>
                <w:sz w:val="18"/>
              </w:rPr>
            </w:pPr>
            <w:r>
              <w:rPr>
                <w:sz w:val="18"/>
              </w:rPr>
              <w:t>Lista de </w:t>
            </w:r>
            <w:r>
              <w:rPr>
                <w:spacing w:val="-2"/>
                <w:sz w:val="18"/>
              </w:rPr>
              <w:t>participación. </w:t>
            </w:r>
            <w:r>
              <w:rPr>
                <w:sz w:val="18"/>
              </w:rPr>
              <w:t>Registro de </w:t>
            </w:r>
            <w:r>
              <w:rPr>
                <w:spacing w:val="-2"/>
                <w:sz w:val="18"/>
              </w:rPr>
              <w:t>TEAMS</w:t>
            </w:r>
          </w:p>
        </w:tc>
        <w:tc>
          <w:tcPr>
            <w:tcW w:w="1296" w:type="dxa"/>
          </w:tcPr>
          <w:p>
            <w:pPr>
              <w:pStyle w:val="TableParagraph"/>
              <w:rPr>
                <w:b/>
                <w:sz w:val="18"/>
              </w:rPr>
            </w:pPr>
          </w:p>
          <w:p>
            <w:pPr>
              <w:pStyle w:val="TableParagraph"/>
              <w:spacing w:before="89"/>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8"/>
              <w:rPr>
                <w:b/>
                <w:sz w:val="18"/>
              </w:rPr>
            </w:pPr>
          </w:p>
          <w:p>
            <w:pPr>
              <w:pStyle w:val="TableParagraph"/>
              <w:ind w:left="74" w:right="90"/>
              <w:rPr>
                <w:sz w:val="18"/>
              </w:rPr>
            </w:pPr>
            <w:r>
              <w:rPr>
                <w:sz w:val="18"/>
              </w:rPr>
              <w:t>Evento:</w:t>
            </w:r>
            <w:r>
              <w:rPr>
                <w:spacing w:val="-15"/>
                <w:sz w:val="18"/>
              </w:rPr>
              <w:t> </w:t>
            </w:r>
            <w:r>
              <w:rPr>
                <w:sz w:val="18"/>
              </w:rPr>
              <w:t>Instituciones</w:t>
            </w:r>
            <w:r>
              <w:rPr>
                <w:spacing w:val="-12"/>
                <w:sz w:val="18"/>
              </w:rPr>
              <w:t> </w:t>
            </w:r>
            <w:r>
              <w:rPr>
                <w:sz w:val="18"/>
              </w:rPr>
              <w:t>del sector que forman parte del Plan de Articulación Interinstitucional</w:t>
            </w:r>
            <w:r>
              <w:rPr>
                <w:spacing w:val="-1"/>
                <w:sz w:val="18"/>
              </w:rPr>
              <w:t> </w:t>
            </w:r>
            <w:r>
              <w:rPr>
                <w:sz w:val="18"/>
              </w:rPr>
              <w:t>del Sector Social (PAISS) no incorporen dentro</w:t>
            </w:r>
            <w:r>
              <w:rPr>
                <w:spacing w:val="-1"/>
                <w:sz w:val="18"/>
              </w:rPr>
              <w:t> </w:t>
            </w:r>
            <w:r>
              <w:rPr>
                <w:sz w:val="18"/>
              </w:rPr>
              <w:t>de sus Planes Operativos Institucionales, las acciones que les </w:t>
            </w:r>
            <w:r>
              <w:rPr>
                <w:spacing w:val="-2"/>
                <w:sz w:val="18"/>
              </w:rPr>
              <w:t>corresponden.</w:t>
            </w:r>
          </w:p>
        </w:tc>
      </w:tr>
      <w:tr>
        <w:trPr>
          <w:trHeight w:val="1708" w:hRule="atLeast"/>
        </w:trPr>
        <w:tc>
          <w:tcPr>
            <w:tcW w:w="3193" w:type="dxa"/>
          </w:tcPr>
          <w:p>
            <w:pPr>
              <w:pStyle w:val="TableParagraph"/>
              <w:rPr>
                <w:b/>
                <w:sz w:val="18"/>
              </w:rPr>
            </w:pPr>
          </w:p>
          <w:p>
            <w:pPr>
              <w:pStyle w:val="TableParagraph"/>
              <w:spacing w:before="26"/>
              <w:rPr>
                <w:b/>
                <w:sz w:val="18"/>
              </w:rPr>
            </w:pPr>
          </w:p>
          <w:p>
            <w:pPr>
              <w:pStyle w:val="TableParagraph"/>
              <w:ind w:left="72" w:right="111" w:firstLine="52"/>
              <w:rPr>
                <w:sz w:val="18"/>
              </w:rPr>
            </w:pPr>
            <w:r>
              <w:rPr>
                <w:b/>
                <w:sz w:val="18"/>
              </w:rPr>
              <w:t>Actividad</w:t>
            </w:r>
            <w:r>
              <w:rPr>
                <w:b/>
                <w:spacing w:val="-6"/>
                <w:sz w:val="18"/>
              </w:rPr>
              <w:t> </w:t>
            </w:r>
            <w:r>
              <w:rPr>
                <w:b/>
                <w:sz w:val="18"/>
              </w:rPr>
              <w:t>PAC</w:t>
            </w:r>
            <w:r>
              <w:rPr>
                <w:b/>
                <w:spacing w:val="-11"/>
                <w:sz w:val="18"/>
              </w:rPr>
              <w:t> </w:t>
            </w:r>
            <w:r>
              <w:rPr>
                <w:b/>
                <w:sz w:val="18"/>
              </w:rPr>
              <w:t>2.79.2:</w:t>
            </w:r>
            <w:r>
              <w:rPr>
                <w:b/>
                <w:spacing w:val="-6"/>
                <w:sz w:val="18"/>
              </w:rPr>
              <w:t> </w:t>
            </w:r>
            <w:r>
              <w:rPr>
                <w:sz w:val="18"/>
              </w:rPr>
              <w:t>Remitir</w:t>
            </w:r>
            <w:r>
              <w:rPr>
                <w:spacing w:val="-7"/>
                <w:sz w:val="18"/>
              </w:rPr>
              <w:t> </w:t>
            </w:r>
            <w:r>
              <w:rPr>
                <w:sz w:val="18"/>
              </w:rPr>
              <w:t>a</w:t>
            </w:r>
            <w:r>
              <w:rPr>
                <w:spacing w:val="-6"/>
                <w:sz w:val="18"/>
              </w:rPr>
              <w:t> </w:t>
            </w:r>
            <w:r>
              <w:rPr>
                <w:sz w:val="18"/>
              </w:rPr>
              <w:t>las instituciones</w:t>
            </w:r>
            <w:r>
              <w:rPr>
                <w:spacing w:val="-5"/>
                <w:sz w:val="18"/>
              </w:rPr>
              <w:t> </w:t>
            </w:r>
            <w:r>
              <w:rPr>
                <w:sz w:val="18"/>
              </w:rPr>
              <w:t>con</w:t>
            </w:r>
            <w:r>
              <w:rPr>
                <w:spacing w:val="-5"/>
                <w:sz w:val="18"/>
              </w:rPr>
              <w:t> </w:t>
            </w:r>
            <w:r>
              <w:rPr>
                <w:sz w:val="18"/>
              </w:rPr>
              <w:t>metas</w:t>
            </w:r>
            <w:r>
              <w:rPr>
                <w:spacing w:val="-5"/>
                <w:sz w:val="18"/>
              </w:rPr>
              <w:t> </w:t>
            </w:r>
            <w:r>
              <w:rPr>
                <w:sz w:val="18"/>
              </w:rPr>
              <w:t>en</w:t>
            </w:r>
            <w:r>
              <w:rPr>
                <w:spacing w:val="-5"/>
                <w:sz w:val="18"/>
              </w:rPr>
              <w:t> </w:t>
            </w:r>
            <w:r>
              <w:rPr>
                <w:sz w:val="18"/>
              </w:rPr>
              <w:t>el</w:t>
            </w:r>
            <w:r>
              <w:rPr>
                <w:spacing w:val="-3"/>
                <w:sz w:val="18"/>
              </w:rPr>
              <w:t> </w:t>
            </w:r>
            <w:r>
              <w:rPr>
                <w:sz w:val="18"/>
              </w:rPr>
              <w:t>PAISS, oficios para la inclusión de acciones en su programación operativa anual</w:t>
            </w:r>
          </w:p>
        </w:tc>
        <w:tc>
          <w:tcPr>
            <w:tcW w:w="1354"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19" w:right="4"/>
              <w:jc w:val="center"/>
              <w:rPr>
                <w:sz w:val="18"/>
              </w:rPr>
            </w:pPr>
            <w:r>
              <w:rPr>
                <w:spacing w:val="-10"/>
                <w:sz w:val="18"/>
              </w:rPr>
              <w:t>2</w:t>
            </w:r>
          </w:p>
        </w:tc>
        <w:tc>
          <w:tcPr>
            <w:tcW w:w="1776" w:type="dxa"/>
          </w:tcPr>
          <w:p>
            <w:pPr>
              <w:pStyle w:val="TableParagraph"/>
              <w:spacing w:before="27"/>
              <w:ind w:left="67"/>
              <w:rPr>
                <w:sz w:val="18"/>
              </w:rPr>
            </w:pPr>
            <w:r>
              <w:rPr>
                <w:sz w:val="18"/>
              </w:rPr>
              <w:t>Cantidad</w:t>
            </w:r>
            <w:r>
              <w:rPr>
                <w:spacing w:val="-15"/>
                <w:sz w:val="18"/>
              </w:rPr>
              <w:t> </w:t>
            </w:r>
            <w:r>
              <w:rPr>
                <w:sz w:val="18"/>
              </w:rPr>
              <w:t>de</w:t>
            </w:r>
            <w:r>
              <w:rPr>
                <w:spacing w:val="-12"/>
                <w:sz w:val="18"/>
              </w:rPr>
              <w:t> </w:t>
            </w:r>
            <w:r>
              <w:rPr>
                <w:sz w:val="18"/>
              </w:rPr>
              <w:t>oficios remitidos a las </w:t>
            </w:r>
            <w:r>
              <w:rPr>
                <w:spacing w:val="-2"/>
                <w:sz w:val="18"/>
              </w:rPr>
              <w:t>instituciones </w:t>
            </w:r>
            <w:r>
              <w:rPr>
                <w:sz w:val="18"/>
              </w:rPr>
              <w:t>responsables para incluir</w:t>
            </w:r>
            <w:r>
              <w:rPr>
                <w:spacing w:val="-11"/>
                <w:sz w:val="18"/>
              </w:rPr>
              <w:t> </w:t>
            </w:r>
            <w:r>
              <w:rPr>
                <w:sz w:val="18"/>
              </w:rPr>
              <w:t>acciones</w:t>
            </w:r>
            <w:r>
              <w:rPr>
                <w:spacing w:val="-12"/>
                <w:sz w:val="18"/>
              </w:rPr>
              <w:t> </w:t>
            </w:r>
            <w:r>
              <w:rPr>
                <w:sz w:val="18"/>
              </w:rPr>
              <w:t>del PAISS en su </w:t>
            </w:r>
            <w:r>
              <w:rPr>
                <w:spacing w:val="-2"/>
                <w:sz w:val="18"/>
              </w:rPr>
              <w:t>programación operativa.</w:t>
            </w:r>
          </w:p>
        </w:tc>
        <w:tc>
          <w:tcPr>
            <w:tcW w:w="1483" w:type="dxa"/>
          </w:tcPr>
          <w:p>
            <w:pPr>
              <w:pStyle w:val="TableParagraph"/>
              <w:rPr>
                <w:b/>
                <w:sz w:val="18"/>
              </w:rPr>
            </w:pPr>
          </w:p>
          <w:p>
            <w:pPr>
              <w:pStyle w:val="TableParagraph"/>
              <w:spacing w:before="26"/>
              <w:rPr>
                <w:b/>
                <w:sz w:val="18"/>
              </w:rPr>
            </w:pPr>
          </w:p>
          <w:p>
            <w:pPr>
              <w:pStyle w:val="TableParagraph"/>
              <w:ind w:left="67" w:right="108"/>
              <w:rPr>
                <w:sz w:val="18"/>
              </w:rPr>
            </w:pPr>
            <w:r>
              <w:rPr>
                <w:sz w:val="18"/>
              </w:rPr>
              <w:t>Oficios</w:t>
            </w:r>
            <w:r>
              <w:rPr>
                <w:spacing w:val="-13"/>
                <w:sz w:val="18"/>
              </w:rPr>
              <w:t> </w:t>
            </w:r>
            <w:r>
              <w:rPr>
                <w:sz w:val="18"/>
              </w:rPr>
              <w:t>emitidos a las </w:t>
            </w:r>
            <w:r>
              <w:rPr>
                <w:spacing w:val="-2"/>
                <w:sz w:val="18"/>
              </w:rPr>
              <w:t>instituciones responsables</w:t>
            </w:r>
          </w:p>
        </w:tc>
        <w:tc>
          <w:tcPr>
            <w:tcW w:w="1296" w:type="dxa"/>
          </w:tcPr>
          <w:p>
            <w:pPr>
              <w:pStyle w:val="TableParagraph"/>
              <w:rPr>
                <w:b/>
                <w:sz w:val="18"/>
              </w:rPr>
            </w:pPr>
          </w:p>
          <w:p>
            <w:pPr>
              <w:pStyle w:val="TableParagraph"/>
              <w:rPr>
                <w:b/>
                <w:sz w:val="18"/>
              </w:rPr>
            </w:pPr>
          </w:p>
          <w:p>
            <w:pPr>
              <w:pStyle w:val="TableParagraph"/>
              <w:spacing w:before="26"/>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891" w:hRule="atLeast"/>
        </w:trPr>
        <w:tc>
          <w:tcPr>
            <w:tcW w:w="3193" w:type="dxa"/>
          </w:tcPr>
          <w:p>
            <w:pPr>
              <w:pStyle w:val="TableParagraph"/>
              <w:rPr>
                <w:b/>
                <w:sz w:val="18"/>
              </w:rPr>
            </w:pPr>
          </w:p>
          <w:p>
            <w:pPr>
              <w:pStyle w:val="TableParagraph"/>
              <w:spacing w:before="118"/>
              <w:rPr>
                <w:b/>
                <w:sz w:val="18"/>
              </w:rPr>
            </w:pPr>
          </w:p>
          <w:p>
            <w:pPr>
              <w:pStyle w:val="TableParagraph"/>
              <w:ind w:left="72" w:firstLine="52"/>
              <w:rPr>
                <w:sz w:val="18"/>
              </w:rPr>
            </w:pPr>
            <w:r>
              <w:rPr>
                <w:b/>
                <w:sz w:val="18"/>
              </w:rPr>
              <w:t>Actividad PAC 2.79.3: </w:t>
            </w:r>
            <w:r>
              <w:rPr>
                <w:sz w:val="18"/>
              </w:rPr>
              <w:t>Identificar instituciones</w:t>
            </w:r>
            <w:r>
              <w:rPr>
                <w:spacing w:val="-8"/>
                <w:sz w:val="18"/>
              </w:rPr>
              <w:t> </w:t>
            </w:r>
            <w:r>
              <w:rPr>
                <w:sz w:val="18"/>
              </w:rPr>
              <w:t>que</w:t>
            </w:r>
            <w:r>
              <w:rPr>
                <w:spacing w:val="-8"/>
                <w:sz w:val="18"/>
              </w:rPr>
              <w:t> </w:t>
            </w:r>
            <w:r>
              <w:rPr>
                <w:sz w:val="18"/>
              </w:rPr>
              <w:t>incorporaron</w:t>
            </w:r>
            <w:r>
              <w:rPr>
                <w:spacing w:val="-11"/>
                <w:sz w:val="18"/>
              </w:rPr>
              <w:t> </w:t>
            </w:r>
            <w:r>
              <w:rPr>
                <w:sz w:val="18"/>
              </w:rPr>
              <w:t>en</w:t>
            </w:r>
            <w:r>
              <w:rPr>
                <w:spacing w:val="-9"/>
                <w:sz w:val="18"/>
              </w:rPr>
              <w:t> </w:t>
            </w:r>
            <w:r>
              <w:rPr>
                <w:sz w:val="18"/>
              </w:rPr>
              <w:t>su programación operativa anual las metas asignadas dentro del PAISS</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6"/>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6"/>
              <w:rPr>
                <w:b/>
                <w:sz w:val="18"/>
              </w:rPr>
            </w:pPr>
          </w:p>
          <w:p>
            <w:pPr>
              <w:pStyle w:val="TableParagraph"/>
              <w:ind w:left="19" w:right="4"/>
              <w:jc w:val="center"/>
              <w:rPr>
                <w:sz w:val="18"/>
              </w:rPr>
            </w:pPr>
            <w:r>
              <w:rPr>
                <w:spacing w:val="-10"/>
                <w:sz w:val="18"/>
              </w:rPr>
              <w:t>9</w:t>
            </w:r>
          </w:p>
        </w:tc>
        <w:tc>
          <w:tcPr>
            <w:tcW w:w="1776" w:type="dxa"/>
          </w:tcPr>
          <w:p>
            <w:pPr>
              <w:pStyle w:val="TableParagraph"/>
              <w:spacing w:before="12"/>
              <w:rPr>
                <w:b/>
                <w:sz w:val="18"/>
              </w:rPr>
            </w:pPr>
          </w:p>
          <w:p>
            <w:pPr>
              <w:pStyle w:val="TableParagraph"/>
              <w:ind w:left="67"/>
              <w:rPr>
                <w:sz w:val="18"/>
              </w:rPr>
            </w:pPr>
            <w:r>
              <w:rPr>
                <w:sz w:val="18"/>
              </w:rPr>
              <w:t>Cantidad de instituciones que incorporaron</w:t>
            </w:r>
            <w:r>
              <w:rPr>
                <w:spacing w:val="-11"/>
                <w:sz w:val="18"/>
              </w:rPr>
              <w:t> </w:t>
            </w:r>
            <w:r>
              <w:rPr>
                <w:sz w:val="18"/>
              </w:rPr>
              <w:t>en</w:t>
            </w:r>
            <w:r>
              <w:rPr>
                <w:spacing w:val="-12"/>
                <w:sz w:val="18"/>
              </w:rPr>
              <w:t> </w:t>
            </w:r>
            <w:r>
              <w:rPr>
                <w:sz w:val="18"/>
              </w:rPr>
              <w:t>su </w:t>
            </w:r>
            <w:r>
              <w:rPr>
                <w:spacing w:val="-2"/>
                <w:sz w:val="18"/>
              </w:rPr>
              <w:t>programación </w:t>
            </w:r>
            <w:r>
              <w:rPr>
                <w:sz w:val="18"/>
              </w:rPr>
              <w:t>operativa</w:t>
            </w:r>
            <w:r>
              <w:rPr>
                <w:spacing w:val="-15"/>
                <w:sz w:val="18"/>
              </w:rPr>
              <w:t> </w:t>
            </w:r>
            <w:r>
              <w:rPr>
                <w:sz w:val="18"/>
              </w:rPr>
              <w:t>anual</w:t>
            </w:r>
            <w:r>
              <w:rPr>
                <w:spacing w:val="-12"/>
                <w:sz w:val="18"/>
              </w:rPr>
              <w:t> </w:t>
            </w:r>
            <w:r>
              <w:rPr>
                <w:sz w:val="18"/>
              </w:rPr>
              <w:t>las metas asignadas dentro del PAISS</w:t>
            </w:r>
          </w:p>
        </w:tc>
        <w:tc>
          <w:tcPr>
            <w:tcW w:w="1483" w:type="dxa"/>
          </w:tcPr>
          <w:p>
            <w:pPr>
              <w:pStyle w:val="TableParagraph"/>
              <w:spacing w:before="13"/>
              <w:ind w:left="67"/>
              <w:rPr>
                <w:sz w:val="18"/>
              </w:rPr>
            </w:pPr>
            <w:r>
              <w:rPr>
                <w:sz w:val="18"/>
              </w:rPr>
              <w:t>Oficios de respuesta</w:t>
            </w:r>
            <w:r>
              <w:rPr>
                <w:spacing w:val="-12"/>
                <w:sz w:val="18"/>
              </w:rPr>
              <w:t> </w:t>
            </w:r>
            <w:r>
              <w:rPr>
                <w:sz w:val="18"/>
              </w:rPr>
              <w:t>de</w:t>
            </w:r>
            <w:r>
              <w:rPr>
                <w:spacing w:val="-12"/>
                <w:sz w:val="18"/>
              </w:rPr>
              <w:t> </w:t>
            </w:r>
            <w:r>
              <w:rPr>
                <w:sz w:val="18"/>
              </w:rPr>
              <w:t>las instituciones</w:t>
            </w:r>
            <w:r>
              <w:rPr>
                <w:spacing w:val="-13"/>
                <w:sz w:val="18"/>
              </w:rPr>
              <w:t> </w:t>
            </w:r>
            <w:r>
              <w:rPr>
                <w:sz w:val="18"/>
              </w:rPr>
              <w:t>con la información sobre metas del </w:t>
            </w:r>
            <w:r>
              <w:rPr>
                <w:spacing w:val="-2"/>
                <w:sz w:val="18"/>
              </w:rPr>
              <w:t>PAISS</w:t>
            </w:r>
          </w:p>
          <w:p>
            <w:pPr>
              <w:pStyle w:val="TableParagraph"/>
              <w:spacing w:line="206" w:lineRule="exact"/>
              <w:ind w:left="67" w:right="58"/>
              <w:jc w:val="both"/>
              <w:rPr>
                <w:sz w:val="18"/>
              </w:rPr>
            </w:pPr>
            <w:r>
              <w:rPr>
                <w:sz w:val="18"/>
              </w:rPr>
              <w:t>incorporadas en su</w:t>
            </w:r>
            <w:r>
              <w:rPr>
                <w:spacing w:val="-13"/>
                <w:sz w:val="18"/>
              </w:rPr>
              <w:t> </w:t>
            </w:r>
            <w:r>
              <w:rPr>
                <w:sz w:val="18"/>
              </w:rPr>
              <w:t>programación </w:t>
            </w:r>
            <w:r>
              <w:rPr>
                <w:spacing w:val="-2"/>
                <w:sz w:val="18"/>
              </w:rPr>
              <w:t>operativa</w:t>
            </w:r>
          </w:p>
        </w:tc>
        <w:tc>
          <w:tcPr>
            <w:tcW w:w="1296"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719" w:hRule="atLeast"/>
        </w:trPr>
        <w:tc>
          <w:tcPr>
            <w:tcW w:w="14598" w:type="dxa"/>
            <w:gridSpan w:val="8"/>
            <w:shd w:val="clear" w:color="auto" w:fill="EFF8F9"/>
          </w:tcPr>
          <w:p>
            <w:pPr>
              <w:pStyle w:val="TableParagraph"/>
              <w:spacing w:before="152"/>
              <w:ind w:left="72"/>
              <w:rPr>
                <w:b/>
                <w:sz w:val="18"/>
              </w:rPr>
            </w:pPr>
            <w:r>
              <w:rPr>
                <w:b/>
                <w:sz w:val="18"/>
              </w:rPr>
              <w:t>Producto</w:t>
            </w:r>
            <w:r>
              <w:rPr>
                <w:b/>
                <w:spacing w:val="-4"/>
                <w:sz w:val="18"/>
              </w:rPr>
              <w:t> </w:t>
            </w:r>
            <w:r>
              <w:rPr>
                <w:b/>
                <w:sz w:val="18"/>
              </w:rPr>
              <w:t>PAC</w:t>
            </w:r>
            <w:r>
              <w:rPr>
                <w:b/>
                <w:spacing w:val="-5"/>
                <w:sz w:val="18"/>
              </w:rPr>
              <w:t> </w:t>
            </w:r>
            <w:r>
              <w:rPr>
                <w:b/>
                <w:sz w:val="18"/>
              </w:rPr>
              <w:t>2.80:</w:t>
            </w:r>
            <w:r>
              <w:rPr>
                <w:b/>
                <w:spacing w:val="-1"/>
                <w:sz w:val="18"/>
              </w:rPr>
              <w:t> </w:t>
            </w:r>
            <w:r>
              <w:rPr>
                <w:b/>
                <w:sz w:val="18"/>
              </w:rPr>
              <w:t>Sistema de</w:t>
            </w:r>
            <w:r>
              <w:rPr>
                <w:b/>
                <w:spacing w:val="-3"/>
                <w:sz w:val="18"/>
              </w:rPr>
              <w:t> </w:t>
            </w:r>
            <w:r>
              <w:rPr>
                <w:b/>
                <w:sz w:val="18"/>
              </w:rPr>
              <w:t>Indicadores para</w:t>
            </w:r>
            <w:r>
              <w:rPr>
                <w:b/>
                <w:spacing w:val="-3"/>
                <w:sz w:val="18"/>
              </w:rPr>
              <w:t> </w:t>
            </w:r>
            <w:r>
              <w:rPr>
                <w:b/>
                <w:sz w:val="18"/>
              </w:rPr>
              <w:t>medición del avance</w:t>
            </w:r>
            <w:r>
              <w:rPr>
                <w:b/>
                <w:spacing w:val="-3"/>
                <w:sz w:val="18"/>
              </w:rPr>
              <w:t> </w:t>
            </w:r>
            <w:r>
              <w:rPr>
                <w:b/>
                <w:sz w:val="18"/>
              </w:rPr>
              <w:t>en el</w:t>
            </w:r>
            <w:r>
              <w:rPr>
                <w:b/>
                <w:spacing w:val="-1"/>
                <w:sz w:val="18"/>
              </w:rPr>
              <w:t> </w:t>
            </w:r>
            <w:r>
              <w:rPr>
                <w:b/>
                <w:sz w:val="18"/>
              </w:rPr>
              <w:t>cumplimiento</w:t>
            </w:r>
            <w:r>
              <w:rPr>
                <w:b/>
                <w:spacing w:val="-4"/>
                <w:sz w:val="18"/>
              </w:rPr>
              <w:t> </w:t>
            </w:r>
            <w:r>
              <w:rPr>
                <w:b/>
                <w:sz w:val="18"/>
              </w:rPr>
              <w:t>de</w:t>
            </w:r>
            <w:r>
              <w:rPr>
                <w:b/>
                <w:spacing w:val="-3"/>
                <w:sz w:val="18"/>
              </w:rPr>
              <w:t> </w:t>
            </w:r>
            <w:r>
              <w:rPr>
                <w:b/>
                <w:sz w:val="18"/>
              </w:rPr>
              <w:t>los</w:t>
            </w:r>
            <w:r>
              <w:rPr>
                <w:b/>
                <w:spacing w:val="-8"/>
                <w:sz w:val="18"/>
              </w:rPr>
              <w:t> </w:t>
            </w:r>
            <w:r>
              <w:rPr>
                <w:b/>
                <w:sz w:val="18"/>
              </w:rPr>
              <w:t>ODS 1</w:t>
            </w:r>
            <w:r>
              <w:rPr>
                <w:b/>
                <w:spacing w:val="-3"/>
                <w:sz w:val="18"/>
              </w:rPr>
              <w:t> </w:t>
            </w:r>
            <w:r>
              <w:rPr>
                <w:b/>
                <w:sz w:val="18"/>
              </w:rPr>
              <w:t>y</w:t>
            </w:r>
            <w:r>
              <w:rPr>
                <w:b/>
                <w:spacing w:val="-3"/>
                <w:sz w:val="18"/>
              </w:rPr>
              <w:t> </w:t>
            </w:r>
            <w:r>
              <w:rPr>
                <w:b/>
                <w:sz w:val="18"/>
              </w:rPr>
              <w:t>afines</w:t>
            </w:r>
            <w:r>
              <w:rPr>
                <w:b/>
                <w:spacing w:val="-3"/>
                <w:sz w:val="18"/>
              </w:rPr>
              <w:t> </w:t>
            </w:r>
            <w:r>
              <w:rPr>
                <w:b/>
                <w:sz w:val="18"/>
              </w:rPr>
              <w:t>de</w:t>
            </w:r>
            <w:r>
              <w:rPr>
                <w:b/>
                <w:spacing w:val="-3"/>
                <w:sz w:val="18"/>
              </w:rPr>
              <w:t> </w:t>
            </w:r>
            <w:r>
              <w:rPr>
                <w:b/>
                <w:sz w:val="18"/>
              </w:rPr>
              <w:t>las</w:t>
            </w:r>
            <w:r>
              <w:rPr>
                <w:b/>
                <w:spacing w:val="-8"/>
                <w:sz w:val="18"/>
              </w:rPr>
              <w:t> </w:t>
            </w:r>
            <w:r>
              <w:rPr>
                <w:b/>
                <w:sz w:val="18"/>
              </w:rPr>
              <w:t>instituciones que ejecutan</w:t>
            </w:r>
            <w:r>
              <w:rPr>
                <w:b/>
                <w:spacing w:val="-4"/>
                <w:sz w:val="18"/>
              </w:rPr>
              <w:t> </w:t>
            </w:r>
            <w:r>
              <w:rPr>
                <w:b/>
                <w:sz w:val="18"/>
              </w:rPr>
              <w:t>programas</w:t>
            </w:r>
            <w:r>
              <w:rPr>
                <w:b/>
                <w:spacing w:val="-3"/>
                <w:sz w:val="18"/>
              </w:rPr>
              <w:t> </w:t>
            </w:r>
            <w:r>
              <w:rPr>
                <w:b/>
                <w:sz w:val="18"/>
              </w:rPr>
              <w:t>sociales implementándose. E4 AE3 R2 (60%)</w:t>
            </w:r>
          </w:p>
        </w:tc>
      </w:tr>
      <w:tr>
        <w:trPr>
          <w:trHeight w:val="1455" w:hRule="atLeast"/>
        </w:trPr>
        <w:tc>
          <w:tcPr>
            <w:tcW w:w="3193" w:type="dxa"/>
          </w:tcPr>
          <w:p>
            <w:pPr>
              <w:pStyle w:val="TableParagraph"/>
              <w:spacing w:before="3"/>
              <w:rPr>
                <w:b/>
                <w:sz w:val="18"/>
              </w:rPr>
            </w:pPr>
          </w:p>
          <w:p>
            <w:pPr>
              <w:pStyle w:val="TableParagraph"/>
              <w:ind w:left="72" w:right="135"/>
              <w:rPr>
                <w:sz w:val="18"/>
              </w:rPr>
            </w:pPr>
            <w:r>
              <w:rPr>
                <w:b/>
                <w:sz w:val="18"/>
              </w:rPr>
              <w:t>Actividad</w:t>
            </w:r>
            <w:r>
              <w:rPr>
                <w:b/>
                <w:spacing w:val="-12"/>
                <w:sz w:val="18"/>
              </w:rPr>
              <w:t> </w:t>
            </w:r>
            <w:r>
              <w:rPr>
                <w:b/>
                <w:sz w:val="18"/>
              </w:rPr>
              <w:t>PAC</w:t>
            </w:r>
            <w:r>
              <w:rPr>
                <w:b/>
                <w:spacing w:val="-8"/>
                <w:sz w:val="18"/>
              </w:rPr>
              <w:t> </w:t>
            </w:r>
            <w:r>
              <w:rPr>
                <w:b/>
                <w:sz w:val="18"/>
              </w:rPr>
              <w:t>2.80.1:</w:t>
            </w:r>
            <w:r>
              <w:rPr>
                <w:b/>
                <w:spacing w:val="37"/>
                <w:sz w:val="18"/>
              </w:rPr>
              <w:t> </w:t>
            </w:r>
            <w:r>
              <w:rPr>
                <w:sz w:val="18"/>
              </w:rPr>
              <w:t>Coordinar con SINIRUBE la recopilación y remisión de información para el informe</w:t>
            </w:r>
            <w:r>
              <w:rPr>
                <w:spacing w:val="-8"/>
                <w:sz w:val="18"/>
              </w:rPr>
              <w:t> </w:t>
            </w:r>
            <w:r>
              <w:rPr>
                <w:sz w:val="18"/>
              </w:rPr>
              <w:t>anual</w:t>
            </w:r>
            <w:r>
              <w:rPr>
                <w:spacing w:val="-10"/>
                <w:sz w:val="18"/>
              </w:rPr>
              <w:t> </w:t>
            </w:r>
            <w:r>
              <w:rPr>
                <w:sz w:val="18"/>
              </w:rPr>
              <w:t>de</w:t>
            </w:r>
            <w:r>
              <w:rPr>
                <w:spacing w:val="-8"/>
                <w:sz w:val="18"/>
              </w:rPr>
              <w:t> </w:t>
            </w:r>
            <w:r>
              <w:rPr>
                <w:sz w:val="18"/>
              </w:rPr>
              <w:t>cumplimiento</w:t>
            </w:r>
            <w:r>
              <w:rPr>
                <w:spacing w:val="-8"/>
                <w:sz w:val="18"/>
              </w:rPr>
              <w:t> </w:t>
            </w:r>
            <w:r>
              <w:rPr>
                <w:sz w:val="18"/>
              </w:rPr>
              <w:t>del </w:t>
            </w:r>
            <w:r>
              <w:rPr>
                <w:spacing w:val="-4"/>
                <w:sz w:val="18"/>
              </w:rPr>
              <w:t>ODS1</w:t>
            </w:r>
          </w:p>
        </w:tc>
        <w:tc>
          <w:tcPr>
            <w:tcW w:w="1354"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right="4"/>
              <w:jc w:val="center"/>
              <w:rPr>
                <w:sz w:val="18"/>
              </w:rPr>
            </w:pPr>
            <w:r>
              <w:rPr>
                <w:spacing w:val="-10"/>
                <w:sz w:val="18"/>
              </w:rPr>
              <w:t>2</w:t>
            </w:r>
          </w:p>
        </w:tc>
        <w:tc>
          <w:tcPr>
            <w:tcW w:w="1776" w:type="dxa"/>
          </w:tcPr>
          <w:p>
            <w:pPr>
              <w:pStyle w:val="TableParagraph"/>
              <w:spacing w:before="105"/>
              <w:ind w:left="67"/>
              <w:rPr>
                <w:sz w:val="18"/>
              </w:rPr>
            </w:pPr>
            <w:r>
              <w:rPr>
                <w:sz w:val="18"/>
              </w:rPr>
              <w:t>Cantidad de gestiones para recabar</w:t>
            </w:r>
            <w:r>
              <w:rPr>
                <w:spacing w:val="-11"/>
                <w:sz w:val="18"/>
              </w:rPr>
              <w:t> </w:t>
            </w:r>
            <w:r>
              <w:rPr>
                <w:sz w:val="18"/>
              </w:rPr>
              <w:t>información del seguimiento de ODS</w:t>
            </w:r>
            <w:r>
              <w:rPr>
                <w:spacing w:val="-6"/>
                <w:sz w:val="18"/>
              </w:rPr>
              <w:t> </w:t>
            </w:r>
            <w:r>
              <w:rPr>
                <w:sz w:val="18"/>
              </w:rPr>
              <w:t>1</w:t>
            </w:r>
            <w:r>
              <w:rPr>
                <w:spacing w:val="-9"/>
                <w:sz w:val="18"/>
              </w:rPr>
              <w:t> </w:t>
            </w:r>
            <w:r>
              <w:rPr>
                <w:sz w:val="18"/>
              </w:rPr>
              <w:t>y</w:t>
            </w:r>
            <w:r>
              <w:rPr>
                <w:spacing w:val="-9"/>
                <w:sz w:val="18"/>
              </w:rPr>
              <w:t> </w:t>
            </w:r>
            <w:r>
              <w:rPr>
                <w:sz w:val="18"/>
              </w:rPr>
              <w:t>afines</w:t>
            </w:r>
            <w:r>
              <w:rPr>
                <w:spacing w:val="-9"/>
                <w:sz w:val="18"/>
              </w:rPr>
              <w:t> </w:t>
            </w:r>
            <w:r>
              <w:rPr>
                <w:sz w:val="18"/>
              </w:rPr>
              <w:t>ante </w:t>
            </w:r>
            <w:r>
              <w:rPr>
                <w:spacing w:val="-2"/>
                <w:sz w:val="18"/>
              </w:rPr>
              <w:t>SINIRUBE</w:t>
            </w:r>
          </w:p>
        </w:tc>
        <w:tc>
          <w:tcPr>
            <w:tcW w:w="1483" w:type="dxa"/>
          </w:tcPr>
          <w:p>
            <w:pPr>
              <w:pStyle w:val="TableParagraph"/>
              <w:rPr>
                <w:b/>
                <w:sz w:val="18"/>
              </w:rPr>
            </w:pPr>
          </w:p>
          <w:p>
            <w:pPr>
              <w:pStyle w:val="TableParagraph"/>
              <w:spacing w:before="3"/>
              <w:rPr>
                <w:b/>
                <w:sz w:val="18"/>
              </w:rPr>
            </w:pPr>
          </w:p>
          <w:p>
            <w:pPr>
              <w:pStyle w:val="TableParagraph"/>
              <w:ind w:left="67" w:right="238"/>
              <w:rPr>
                <w:sz w:val="18"/>
              </w:rPr>
            </w:pPr>
            <w:r>
              <w:rPr>
                <w:sz w:val="18"/>
              </w:rPr>
              <w:t>Oficio.</w:t>
            </w:r>
            <w:r>
              <w:rPr>
                <w:spacing w:val="-13"/>
                <w:sz w:val="18"/>
              </w:rPr>
              <w:t> </w:t>
            </w:r>
            <w:r>
              <w:rPr>
                <w:sz w:val="18"/>
              </w:rPr>
              <w:t>Correo. Registros de </w:t>
            </w:r>
            <w:r>
              <w:rPr>
                <w:spacing w:val="-2"/>
                <w:sz w:val="18"/>
              </w:rPr>
              <w:t>TEAMS</w:t>
            </w:r>
          </w:p>
        </w:tc>
        <w:tc>
          <w:tcPr>
            <w:tcW w:w="1296" w:type="dxa"/>
          </w:tcPr>
          <w:p>
            <w:pPr>
              <w:pStyle w:val="TableParagraph"/>
              <w:rPr>
                <w:b/>
                <w:sz w:val="18"/>
              </w:rPr>
            </w:pPr>
          </w:p>
          <w:p>
            <w:pPr>
              <w:pStyle w:val="TableParagraph"/>
              <w:spacing w:before="108"/>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tcPr>
          <w:p>
            <w:pPr>
              <w:pStyle w:val="TableParagraph"/>
              <w:spacing w:before="109"/>
              <w:rPr>
                <w:b/>
                <w:sz w:val="18"/>
              </w:rPr>
            </w:pPr>
          </w:p>
          <w:p>
            <w:pPr>
              <w:pStyle w:val="TableParagraph"/>
              <w:ind w:left="74" w:right="100"/>
              <w:rPr>
                <w:sz w:val="18"/>
              </w:rPr>
            </w:pPr>
            <w:r>
              <w:rPr>
                <w:spacing w:val="-2"/>
                <w:sz w:val="18"/>
              </w:rPr>
              <w:t>Evento: </w:t>
            </w:r>
            <w:r>
              <w:rPr>
                <w:sz w:val="18"/>
              </w:rPr>
              <w:t>Desconocimiento del avance</w:t>
            </w:r>
            <w:r>
              <w:rPr>
                <w:spacing w:val="-15"/>
                <w:sz w:val="18"/>
              </w:rPr>
              <w:t> </w:t>
            </w:r>
            <w:r>
              <w:rPr>
                <w:sz w:val="18"/>
              </w:rPr>
              <w:t>en</w:t>
            </w:r>
            <w:r>
              <w:rPr>
                <w:spacing w:val="-12"/>
                <w:sz w:val="18"/>
              </w:rPr>
              <w:t> </w:t>
            </w:r>
            <w:r>
              <w:rPr>
                <w:sz w:val="18"/>
              </w:rPr>
              <w:t>cumplimiento de ODS 1.</w:t>
            </w:r>
          </w:p>
        </w:tc>
      </w:tr>
    </w:tbl>
    <w:p>
      <w:pPr>
        <w:pStyle w:val="TableParagraph"/>
        <w:spacing w:after="0"/>
        <w:rPr>
          <w:sz w:val="18"/>
        </w:rPr>
        <w:sectPr>
          <w:type w:val="continuous"/>
          <w:pgSz w:w="15840" w:h="12240" w:orient="landscape"/>
          <w:pgMar w:header="0" w:footer="1806" w:top="700" w:bottom="2674"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742" w:hRule="atLeast"/>
        </w:trPr>
        <w:tc>
          <w:tcPr>
            <w:tcW w:w="3193" w:type="dxa"/>
          </w:tcPr>
          <w:p>
            <w:pPr>
              <w:pStyle w:val="TableParagraph"/>
              <w:rPr>
                <w:b/>
                <w:sz w:val="18"/>
              </w:rPr>
            </w:pPr>
          </w:p>
          <w:p>
            <w:pPr>
              <w:pStyle w:val="TableParagraph"/>
              <w:spacing w:before="146"/>
              <w:rPr>
                <w:b/>
                <w:sz w:val="18"/>
              </w:rPr>
            </w:pPr>
          </w:p>
          <w:p>
            <w:pPr>
              <w:pStyle w:val="TableParagraph"/>
              <w:ind w:left="72"/>
              <w:rPr>
                <w:sz w:val="18"/>
              </w:rPr>
            </w:pPr>
            <w:r>
              <w:rPr>
                <w:b/>
                <w:sz w:val="18"/>
              </w:rPr>
              <w:t>Actividad</w:t>
            </w:r>
            <w:r>
              <w:rPr>
                <w:b/>
                <w:spacing w:val="-12"/>
                <w:sz w:val="18"/>
              </w:rPr>
              <w:t> </w:t>
            </w:r>
            <w:r>
              <w:rPr>
                <w:b/>
                <w:sz w:val="18"/>
              </w:rPr>
              <w:t>PAC</w:t>
            </w:r>
            <w:r>
              <w:rPr>
                <w:b/>
                <w:spacing w:val="-9"/>
                <w:sz w:val="18"/>
              </w:rPr>
              <w:t> </w:t>
            </w:r>
            <w:r>
              <w:rPr>
                <w:b/>
                <w:sz w:val="18"/>
              </w:rPr>
              <w:t>2.80.2:</w:t>
            </w:r>
            <w:r>
              <w:rPr>
                <w:b/>
                <w:spacing w:val="-3"/>
                <w:sz w:val="18"/>
              </w:rPr>
              <w:t> </w:t>
            </w:r>
            <w:r>
              <w:rPr>
                <w:sz w:val="18"/>
              </w:rPr>
              <w:t>Elaborar</w:t>
            </w:r>
            <w:r>
              <w:rPr>
                <w:spacing w:val="-9"/>
                <w:sz w:val="18"/>
              </w:rPr>
              <w:t> </w:t>
            </w:r>
            <w:r>
              <w:rPr>
                <w:sz w:val="18"/>
              </w:rPr>
              <w:t>y remitir el informe anual de cumplimiento del ODS1</w:t>
            </w:r>
          </w:p>
        </w:tc>
        <w:tc>
          <w:tcPr>
            <w:tcW w:w="1354" w:type="dxa"/>
          </w:tcPr>
          <w:p>
            <w:pPr>
              <w:pStyle w:val="TableParagraph"/>
              <w:rPr>
                <w:b/>
                <w:sz w:val="18"/>
              </w:rPr>
            </w:pPr>
          </w:p>
          <w:p>
            <w:pPr>
              <w:pStyle w:val="TableParagraph"/>
              <w:rPr>
                <w:b/>
                <w:sz w:val="18"/>
              </w:rPr>
            </w:pPr>
          </w:p>
          <w:p>
            <w:pPr>
              <w:pStyle w:val="TableParagraph"/>
              <w:spacing w:before="146"/>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spacing w:before="146"/>
              <w:rPr>
                <w:b/>
                <w:sz w:val="18"/>
              </w:rPr>
            </w:pPr>
          </w:p>
          <w:p>
            <w:pPr>
              <w:pStyle w:val="TableParagraph"/>
              <w:ind w:left="19" w:right="4"/>
              <w:jc w:val="center"/>
              <w:rPr>
                <w:sz w:val="18"/>
              </w:rPr>
            </w:pPr>
            <w:r>
              <w:rPr>
                <w:spacing w:val="-10"/>
                <w:sz w:val="18"/>
              </w:rPr>
              <w:t>1</w:t>
            </w:r>
          </w:p>
        </w:tc>
        <w:tc>
          <w:tcPr>
            <w:tcW w:w="1776" w:type="dxa"/>
          </w:tcPr>
          <w:p>
            <w:pPr>
              <w:pStyle w:val="TableParagraph"/>
              <w:spacing w:before="42"/>
              <w:ind w:left="67" w:right="69"/>
              <w:rPr>
                <w:sz w:val="18"/>
              </w:rPr>
            </w:pPr>
            <w:r>
              <w:rPr>
                <w:sz w:val="18"/>
              </w:rPr>
              <w:t>Cantidad de informes</w:t>
            </w:r>
            <w:r>
              <w:rPr>
                <w:spacing w:val="-15"/>
                <w:sz w:val="18"/>
              </w:rPr>
              <w:t> </w:t>
            </w:r>
            <w:r>
              <w:rPr>
                <w:sz w:val="18"/>
              </w:rPr>
              <w:t>anuales</w:t>
            </w:r>
            <w:r>
              <w:rPr>
                <w:spacing w:val="-12"/>
                <w:sz w:val="18"/>
              </w:rPr>
              <w:t> </w:t>
            </w:r>
            <w:r>
              <w:rPr>
                <w:sz w:val="18"/>
              </w:rPr>
              <w:t>de cumplimiento sobre </w:t>
            </w:r>
            <w:r>
              <w:rPr>
                <w:spacing w:val="-2"/>
                <w:sz w:val="18"/>
              </w:rPr>
              <w:t>acciones programáticas </w:t>
            </w:r>
            <w:r>
              <w:rPr>
                <w:sz w:val="18"/>
              </w:rPr>
              <w:t>alineadas al ODS 1 y afines elaborados y remitidos.</w:t>
            </w:r>
          </w:p>
        </w:tc>
        <w:tc>
          <w:tcPr>
            <w:tcW w:w="1483" w:type="dxa"/>
          </w:tcPr>
          <w:p>
            <w:pPr>
              <w:pStyle w:val="TableParagraph"/>
              <w:rPr>
                <w:b/>
                <w:sz w:val="18"/>
              </w:rPr>
            </w:pPr>
          </w:p>
          <w:p>
            <w:pPr>
              <w:pStyle w:val="TableParagraph"/>
              <w:spacing w:before="146"/>
              <w:rPr>
                <w:b/>
                <w:sz w:val="18"/>
              </w:rPr>
            </w:pPr>
          </w:p>
          <w:p>
            <w:pPr>
              <w:pStyle w:val="TableParagraph"/>
              <w:ind w:left="67"/>
              <w:rPr>
                <w:sz w:val="18"/>
              </w:rPr>
            </w:pPr>
            <w:r>
              <w:rPr>
                <w:sz w:val="18"/>
              </w:rPr>
              <w:t>Oficio</w:t>
            </w:r>
            <w:r>
              <w:rPr>
                <w:spacing w:val="-15"/>
                <w:sz w:val="18"/>
              </w:rPr>
              <w:t> </w:t>
            </w:r>
            <w:r>
              <w:rPr>
                <w:sz w:val="18"/>
              </w:rPr>
              <w:t>e</w:t>
            </w:r>
            <w:r>
              <w:rPr>
                <w:spacing w:val="-12"/>
                <w:sz w:val="18"/>
              </w:rPr>
              <w:t> </w:t>
            </w:r>
            <w:r>
              <w:rPr>
                <w:sz w:val="18"/>
              </w:rPr>
              <w:t>informe de remisión e </w:t>
            </w:r>
            <w:r>
              <w:rPr>
                <w:spacing w:val="-2"/>
                <w:sz w:val="18"/>
              </w:rPr>
              <w:t>informe</w:t>
            </w:r>
          </w:p>
        </w:tc>
        <w:tc>
          <w:tcPr>
            <w:tcW w:w="1296" w:type="dxa"/>
          </w:tcPr>
          <w:p>
            <w:pPr>
              <w:pStyle w:val="TableParagraph"/>
              <w:rPr>
                <w:b/>
                <w:sz w:val="18"/>
              </w:rPr>
            </w:pPr>
          </w:p>
          <w:p>
            <w:pPr>
              <w:pStyle w:val="TableParagraph"/>
              <w:rPr>
                <w:b/>
                <w:sz w:val="18"/>
              </w:rPr>
            </w:pPr>
          </w:p>
          <w:p>
            <w:pPr>
              <w:pStyle w:val="TableParagraph"/>
              <w:spacing w:before="40"/>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tcPr>
          <w:p>
            <w:pPr>
              <w:pStyle w:val="TableParagraph"/>
              <w:rPr>
                <w:rFonts w:ascii="Times New Roman"/>
                <w:sz w:val="18"/>
              </w:rPr>
            </w:pPr>
          </w:p>
        </w:tc>
      </w:tr>
      <w:tr>
        <w:trPr>
          <w:trHeight w:val="792" w:hRule="atLeast"/>
        </w:trPr>
        <w:tc>
          <w:tcPr>
            <w:tcW w:w="14598" w:type="dxa"/>
            <w:gridSpan w:val="8"/>
            <w:shd w:val="clear" w:color="auto" w:fill="EFF8F9"/>
          </w:tcPr>
          <w:p>
            <w:pPr>
              <w:pStyle w:val="TableParagraph"/>
              <w:spacing w:before="186"/>
              <w:ind w:left="72" w:right="173"/>
              <w:rPr>
                <w:b/>
                <w:sz w:val="18"/>
              </w:rPr>
            </w:pPr>
            <w:r>
              <w:rPr>
                <w:b/>
                <w:sz w:val="18"/>
              </w:rPr>
              <w:t>Producto</w:t>
            </w:r>
            <w:r>
              <w:rPr>
                <w:b/>
                <w:spacing w:val="-4"/>
                <w:sz w:val="18"/>
              </w:rPr>
              <w:t> </w:t>
            </w:r>
            <w:r>
              <w:rPr>
                <w:b/>
                <w:sz w:val="18"/>
              </w:rPr>
              <w:t>PAC</w:t>
            </w:r>
            <w:r>
              <w:rPr>
                <w:b/>
                <w:spacing w:val="-5"/>
                <w:sz w:val="18"/>
              </w:rPr>
              <w:t> </w:t>
            </w:r>
            <w:r>
              <w:rPr>
                <w:b/>
                <w:sz w:val="18"/>
              </w:rPr>
              <w:t>2.81:</w:t>
            </w:r>
            <w:r>
              <w:rPr>
                <w:b/>
                <w:spacing w:val="-1"/>
                <w:sz w:val="18"/>
              </w:rPr>
              <w:t> </w:t>
            </w:r>
            <w:r>
              <w:rPr>
                <w:b/>
                <w:sz w:val="18"/>
              </w:rPr>
              <w:t>Instituciones</w:t>
            </w:r>
            <w:r>
              <w:rPr>
                <w:b/>
                <w:spacing w:val="-3"/>
                <w:sz w:val="18"/>
              </w:rPr>
              <w:t> </w:t>
            </w:r>
            <w:r>
              <w:rPr>
                <w:b/>
                <w:sz w:val="18"/>
              </w:rPr>
              <w:t>que</w:t>
            </w:r>
            <w:r>
              <w:rPr>
                <w:b/>
                <w:spacing w:val="-3"/>
                <w:sz w:val="18"/>
              </w:rPr>
              <w:t> </w:t>
            </w:r>
            <w:r>
              <w:rPr>
                <w:b/>
                <w:sz w:val="18"/>
              </w:rPr>
              <w:t>ejecutan programas sociales,</w:t>
            </w:r>
            <w:r>
              <w:rPr>
                <w:b/>
                <w:spacing w:val="-1"/>
                <w:sz w:val="18"/>
              </w:rPr>
              <w:t> </w:t>
            </w:r>
            <w:r>
              <w:rPr>
                <w:b/>
                <w:sz w:val="18"/>
              </w:rPr>
              <w:t>incorporando</w:t>
            </w:r>
            <w:r>
              <w:rPr>
                <w:b/>
                <w:spacing w:val="-4"/>
                <w:sz w:val="18"/>
              </w:rPr>
              <w:t> </w:t>
            </w:r>
            <w:r>
              <w:rPr>
                <w:b/>
                <w:sz w:val="18"/>
              </w:rPr>
              <w:t>acciones</w:t>
            </w:r>
            <w:r>
              <w:rPr>
                <w:b/>
                <w:spacing w:val="-3"/>
                <w:sz w:val="18"/>
              </w:rPr>
              <w:t> </w:t>
            </w:r>
            <w:r>
              <w:rPr>
                <w:b/>
                <w:sz w:val="18"/>
              </w:rPr>
              <w:t>en</w:t>
            </w:r>
            <w:r>
              <w:rPr>
                <w:b/>
                <w:spacing w:val="-4"/>
                <w:sz w:val="18"/>
              </w:rPr>
              <w:t> </w:t>
            </w:r>
            <w:r>
              <w:rPr>
                <w:b/>
                <w:sz w:val="18"/>
              </w:rPr>
              <w:t>sus</w:t>
            </w:r>
            <w:r>
              <w:rPr>
                <w:b/>
                <w:spacing w:val="-3"/>
                <w:sz w:val="18"/>
              </w:rPr>
              <w:t> </w:t>
            </w:r>
            <w:r>
              <w:rPr>
                <w:b/>
                <w:sz w:val="18"/>
              </w:rPr>
              <w:t>instrumentos</w:t>
            </w:r>
            <w:r>
              <w:rPr>
                <w:b/>
                <w:spacing w:val="-3"/>
                <w:sz w:val="18"/>
              </w:rPr>
              <w:t> </w:t>
            </w:r>
            <w:r>
              <w:rPr>
                <w:b/>
                <w:sz w:val="18"/>
              </w:rPr>
              <w:t>de planificación para</w:t>
            </w:r>
            <w:r>
              <w:rPr>
                <w:b/>
                <w:spacing w:val="-3"/>
                <w:sz w:val="18"/>
              </w:rPr>
              <w:t> </w:t>
            </w:r>
            <w:r>
              <w:rPr>
                <w:b/>
                <w:sz w:val="18"/>
              </w:rPr>
              <w:t>el</w:t>
            </w:r>
            <w:r>
              <w:rPr>
                <w:b/>
                <w:spacing w:val="-1"/>
                <w:sz w:val="18"/>
              </w:rPr>
              <w:t> </w:t>
            </w:r>
            <w:r>
              <w:rPr>
                <w:b/>
                <w:sz w:val="18"/>
              </w:rPr>
              <w:t>cumplimiento</w:t>
            </w:r>
            <w:r>
              <w:rPr>
                <w:b/>
                <w:spacing w:val="-4"/>
                <w:sz w:val="18"/>
              </w:rPr>
              <w:t> </w:t>
            </w:r>
            <w:r>
              <w:rPr>
                <w:b/>
                <w:sz w:val="18"/>
              </w:rPr>
              <w:t>del</w:t>
            </w:r>
            <w:r>
              <w:rPr>
                <w:b/>
                <w:spacing w:val="-1"/>
                <w:sz w:val="18"/>
              </w:rPr>
              <w:t> </w:t>
            </w:r>
            <w:r>
              <w:rPr>
                <w:b/>
                <w:sz w:val="18"/>
              </w:rPr>
              <w:t>ODS</w:t>
            </w:r>
            <w:r>
              <w:rPr>
                <w:b/>
                <w:spacing w:val="-4"/>
                <w:sz w:val="18"/>
              </w:rPr>
              <w:t> </w:t>
            </w:r>
            <w:r>
              <w:rPr>
                <w:b/>
                <w:sz w:val="18"/>
              </w:rPr>
              <w:t>1 y afines.</w:t>
            </w:r>
            <w:r>
              <w:rPr>
                <w:b/>
                <w:spacing w:val="40"/>
                <w:sz w:val="18"/>
              </w:rPr>
              <w:t> </w:t>
            </w:r>
            <w:r>
              <w:rPr>
                <w:b/>
                <w:sz w:val="18"/>
              </w:rPr>
              <w:t>E4 AE3 R3 (60%)</w:t>
            </w:r>
          </w:p>
        </w:tc>
      </w:tr>
      <w:tr>
        <w:trPr>
          <w:trHeight w:val="1862" w:hRule="atLeast"/>
        </w:trPr>
        <w:tc>
          <w:tcPr>
            <w:tcW w:w="3193" w:type="dxa"/>
          </w:tcPr>
          <w:p>
            <w:pPr>
              <w:pStyle w:val="TableParagraph"/>
              <w:rPr>
                <w:b/>
                <w:sz w:val="18"/>
              </w:rPr>
            </w:pPr>
          </w:p>
          <w:p>
            <w:pPr>
              <w:pStyle w:val="TableParagraph"/>
              <w:spacing w:before="2"/>
              <w:rPr>
                <w:b/>
                <w:sz w:val="18"/>
              </w:rPr>
            </w:pPr>
          </w:p>
          <w:p>
            <w:pPr>
              <w:pStyle w:val="TableParagraph"/>
              <w:ind w:left="72" w:right="111"/>
              <w:rPr>
                <w:sz w:val="18"/>
              </w:rPr>
            </w:pPr>
            <w:r>
              <w:rPr>
                <w:b/>
                <w:sz w:val="18"/>
              </w:rPr>
              <w:t>Actividad</w:t>
            </w:r>
            <w:r>
              <w:rPr>
                <w:b/>
                <w:spacing w:val="-11"/>
                <w:sz w:val="18"/>
              </w:rPr>
              <w:t> </w:t>
            </w:r>
            <w:r>
              <w:rPr>
                <w:b/>
                <w:sz w:val="18"/>
              </w:rPr>
              <w:t>PAC</w:t>
            </w:r>
            <w:r>
              <w:rPr>
                <w:b/>
                <w:spacing w:val="-8"/>
                <w:sz w:val="18"/>
              </w:rPr>
              <w:t> </w:t>
            </w:r>
            <w:r>
              <w:rPr>
                <w:b/>
                <w:sz w:val="18"/>
              </w:rPr>
              <w:t>2.81.1:</w:t>
            </w:r>
            <w:r>
              <w:rPr>
                <w:b/>
                <w:spacing w:val="-2"/>
                <w:sz w:val="18"/>
              </w:rPr>
              <w:t> </w:t>
            </w:r>
            <w:r>
              <w:rPr>
                <w:sz w:val="18"/>
              </w:rPr>
              <w:t>Convocar</w:t>
            </w:r>
            <w:r>
              <w:rPr>
                <w:spacing w:val="-5"/>
                <w:sz w:val="18"/>
              </w:rPr>
              <w:t> </w:t>
            </w:r>
            <w:r>
              <w:rPr>
                <w:sz w:val="18"/>
              </w:rPr>
              <w:t>la participación de instituciones del sector social en las sesiones del Comité</w:t>
            </w:r>
            <w:r>
              <w:rPr>
                <w:spacing w:val="-11"/>
                <w:sz w:val="18"/>
              </w:rPr>
              <w:t> </w:t>
            </w:r>
            <w:r>
              <w:rPr>
                <w:sz w:val="18"/>
              </w:rPr>
              <w:t>Técnico</w:t>
            </w:r>
            <w:r>
              <w:rPr>
                <w:spacing w:val="-7"/>
                <w:sz w:val="18"/>
              </w:rPr>
              <w:t> </w:t>
            </w:r>
            <w:r>
              <w:rPr>
                <w:sz w:val="18"/>
              </w:rPr>
              <w:t>para</w:t>
            </w:r>
            <w:r>
              <w:rPr>
                <w:spacing w:val="-11"/>
                <w:sz w:val="18"/>
              </w:rPr>
              <w:t> </w:t>
            </w:r>
            <w:r>
              <w:rPr>
                <w:sz w:val="18"/>
              </w:rPr>
              <w:t>el</w:t>
            </w:r>
            <w:r>
              <w:rPr>
                <w:spacing w:val="-8"/>
                <w:sz w:val="18"/>
              </w:rPr>
              <w:t> </w:t>
            </w:r>
            <w:r>
              <w:rPr>
                <w:sz w:val="18"/>
              </w:rPr>
              <w:t>seguimiento del ODS 1 y afines.</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19" w:right="4"/>
              <w:jc w:val="center"/>
              <w:rPr>
                <w:sz w:val="18"/>
              </w:rPr>
            </w:pPr>
            <w:r>
              <w:rPr>
                <w:spacing w:val="-10"/>
                <w:sz w:val="18"/>
              </w:rPr>
              <w:t>2</w:t>
            </w:r>
          </w:p>
        </w:tc>
        <w:tc>
          <w:tcPr>
            <w:tcW w:w="177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7" w:right="721"/>
              <w:jc w:val="both"/>
              <w:rPr>
                <w:sz w:val="18"/>
              </w:rPr>
            </w:pPr>
            <w:r>
              <w:rPr>
                <w:sz w:val="18"/>
              </w:rPr>
              <w:t>Cantidad</w:t>
            </w:r>
            <w:r>
              <w:rPr>
                <w:spacing w:val="-13"/>
                <w:sz w:val="18"/>
              </w:rPr>
              <w:t> </w:t>
            </w:r>
            <w:r>
              <w:rPr>
                <w:sz w:val="18"/>
              </w:rPr>
              <w:t>de </w:t>
            </w:r>
            <w:r>
              <w:rPr>
                <w:spacing w:val="-2"/>
                <w:sz w:val="18"/>
              </w:rPr>
              <w:t>invitaciones realizadas</w:t>
            </w:r>
          </w:p>
        </w:tc>
        <w:tc>
          <w:tcPr>
            <w:tcW w:w="1483" w:type="dxa"/>
          </w:tcPr>
          <w:p>
            <w:pPr>
              <w:pStyle w:val="TableParagraph"/>
              <w:ind w:left="67" w:right="68"/>
              <w:rPr>
                <w:sz w:val="18"/>
              </w:rPr>
            </w:pPr>
            <w:r>
              <w:rPr>
                <w:sz w:val="18"/>
              </w:rPr>
              <w:t>Oficios</w:t>
            </w:r>
            <w:r>
              <w:rPr>
                <w:spacing w:val="-13"/>
                <w:sz w:val="18"/>
              </w:rPr>
              <w:t> </w:t>
            </w:r>
            <w:r>
              <w:rPr>
                <w:sz w:val="18"/>
              </w:rPr>
              <w:t>remitidos a las instituciones del sector social, registros de atención de </w:t>
            </w:r>
            <w:r>
              <w:rPr>
                <w:spacing w:val="-2"/>
                <w:sz w:val="18"/>
              </w:rPr>
              <w:t>consultas/ confirmaciones</w:t>
            </w:r>
          </w:p>
          <w:p>
            <w:pPr>
              <w:pStyle w:val="TableParagraph"/>
              <w:spacing w:line="187" w:lineRule="exact"/>
              <w:ind w:left="67"/>
              <w:rPr>
                <w:sz w:val="18"/>
              </w:rPr>
            </w:pPr>
            <w:r>
              <w:rPr>
                <w:sz w:val="18"/>
              </w:rPr>
              <w:t>vía</w:t>
            </w:r>
            <w:r>
              <w:rPr>
                <w:spacing w:val="1"/>
                <w:sz w:val="18"/>
              </w:rPr>
              <w:t> </w:t>
            </w:r>
            <w:r>
              <w:rPr>
                <w:spacing w:val="-2"/>
                <w:sz w:val="18"/>
              </w:rPr>
              <w:t>TEAMS</w:t>
            </w:r>
          </w:p>
        </w:tc>
        <w:tc>
          <w:tcPr>
            <w:tcW w:w="129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4"/>
              <w:rPr>
                <w:b/>
                <w:sz w:val="18"/>
              </w:rPr>
            </w:pPr>
          </w:p>
          <w:p>
            <w:pPr>
              <w:pStyle w:val="TableParagraph"/>
              <w:ind w:left="74" w:right="90"/>
              <w:rPr>
                <w:sz w:val="18"/>
              </w:rPr>
            </w:pPr>
            <w:r>
              <w:rPr>
                <w:sz w:val="18"/>
              </w:rPr>
              <w:t>Evento: Instituciones no incorporen metas y actividades para el cumplimiento</w:t>
            </w:r>
            <w:r>
              <w:rPr>
                <w:spacing w:val="-8"/>
                <w:sz w:val="18"/>
              </w:rPr>
              <w:t> </w:t>
            </w:r>
            <w:r>
              <w:rPr>
                <w:sz w:val="18"/>
              </w:rPr>
              <w:t>del</w:t>
            </w:r>
            <w:r>
              <w:rPr>
                <w:spacing w:val="-10"/>
                <w:sz w:val="18"/>
              </w:rPr>
              <w:t> </w:t>
            </w:r>
            <w:r>
              <w:rPr>
                <w:sz w:val="18"/>
              </w:rPr>
              <w:t>ODS</w:t>
            </w:r>
            <w:r>
              <w:rPr>
                <w:spacing w:val="-9"/>
                <w:sz w:val="18"/>
              </w:rPr>
              <w:t> </w:t>
            </w:r>
            <w:r>
              <w:rPr>
                <w:sz w:val="18"/>
              </w:rPr>
              <w:t>1 y</w:t>
            </w:r>
            <w:r>
              <w:rPr>
                <w:spacing w:val="-13"/>
                <w:sz w:val="18"/>
              </w:rPr>
              <w:t> </w:t>
            </w:r>
            <w:r>
              <w:rPr>
                <w:sz w:val="18"/>
              </w:rPr>
              <w:t>afines</w:t>
            </w:r>
            <w:r>
              <w:rPr>
                <w:spacing w:val="-12"/>
                <w:sz w:val="18"/>
              </w:rPr>
              <w:t> </w:t>
            </w:r>
            <w:r>
              <w:rPr>
                <w:sz w:val="18"/>
              </w:rPr>
              <w:t>en</w:t>
            </w:r>
            <w:r>
              <w:rPr>
                <w:spacing w:val="-12"/>
                <w:sz w:val="18"/>
              </w:rPr>
              <w:t> </w:t>
            </w:r>
            <w:r>
              <w:rPr>
                <w:sz w:val="18"/>
              </w:rPr>
              <w:t>instrumentos de planificación.</w:t>
            </w:r>
          </w:p>
        </w:tc>
      </w:tr>
      <w:tr>
        <w:trPr>
          <w:trHeight w:val="1906" w:hRule="atLeast"/>
        </w:trPr>
        <w:tc>
          <w:tcPr>
            <w:tcW w:w="3193" w:type="dxa"/>
          </w:tcPr>
          <w:p>
            <w:pPr>
              <w:pStyle w:val="TableParagraph"/>
              <w:spacing w:before="128"/>
              <w:rPr>
                <w:b/>
                <w:sz w:val="18"/>
              </w:rPr>
            </w:pPr>
          </w:p>
          <w:p>
            <w:pPr>
              <w:pStyle w:val="TableParagraph"/>
              <w:ind w:left="72" w:right="31"/>
              <w:rPr>
                <w:sz w:val="18"/>
              </w:rPr>
            </w:pPr>
            <w:r>
              <w:rPr>
                <w:b/>
                <w:sz w:val="18"/>
              </w:rPr>
              <w:t>Actividad PAC 2.81.2: </w:t>
            </w:r>
            <w:r>
              <w:rPr>
                <w:sz w:val="18"/>
              </w:rPr>
              <w:t>Gestionar el envío de</w:t>
            </w:r>
            <w:r>
              <w:rPr>
                <w:spacing w:val="-2"/>
                <w:sz w:val="18"/>
              </w:rPr>
              <w:t> </w:t>
            </w:r>
            <w:r>
              <w:rPr>
                <w:sz w:val="18"/>
              </w:rPr>
              <w:t>oficios</w:t>
            </w:r>
            <w:r>
              <w:rPr>
                <w:spacing w:val="-2"/>
                <w:sz w:val="18"/>
              </w:rPr>
              <w:t> </w:t>
            </w:r>
            <w:r>
              <w:rPr>
                <w:sz w:val="18"/>
              </w:rPr>
              <w:t>a</w:t>
            </w:r>
            <w:r>
              <w:rPr>
                <w:spacing w:val="-2"/>
                <w:sz w:val="18"/>
              </w:rPr>
              <w:t> </w:t>
            </w:r>
            <w:r>
              <w:rPr>
                <w:sz w:val="18"/>
              </w:rPr>
              <w:t>las instituciones</w:t>
            </w:r>
            <w:r>
              <w:rPr>
                <w:spacing w:val="-2"/>
                <w:sz w:val="18"/>
              </w:rPr>
              <w:t> </w:t>
            </w:r>
            <w:r>
              <w:rPr>
                <w:sz w:val="18"/>
              </w:rPr>
              <w:t>del sector social para promover la incorporación, en sus planificaciones anuales,</w:t>
            </w:r>
            <w:r>
              <w:rPr>
                <w:spacing w:val="-5"/>
                <w:sz w:val="18"/>
              </w:rPr>
              <w:t> </w:t>
            </w:r>
            <w:r>
              <w:rPr>
                <w:sz w:val="18"/>
              </w:rPr>
              <w:t>acciones</w:t>
            </w:r>
            <w:r>
              <w:rPr>
                <w:spacing w:val="-7"/>
                <w:sz w:val="18"/>
              </w:rPr>
              <w:t> </w:t>
            </w:r>
            <w:r>
              <w:rPr>
                <w:sz w:val="18"/>
              </w:rPr>
              <w:t>alineadas</w:t>
            </w:r>
            <w:r>
              <w:rPr>
                <w:spacing w:val="-7"/>
                <w:sz w:val="18"/>
              </w:rPr>
              <w:t> </w:t>
            </w:r>
            <w:r>
              <w:rPr>
                <w:sz w:val="18"/>
              </w:rPr>
              <w:t>al</w:t>
            </w:r>
            <w:r>
              <w:rPr>
                <w:spacing w:val="-9"/>
                <w:sz w:val="18"/>
              </w:rPr>
              <w:t> </w:t>
            </w:r>
            <w:r>
              <w:rPr>
                <w:sz w:val="18"/>
              </w:rPr>
              <w:t>ODS</w:t>
            </w:r>
            <w:r>
              <w:rPr>
                <w:spacing w:val="-4"/>
                <w:sz w:val="18"/>
              </w:rPr>
              <w:t> </w:t>
            </w:r>
            <w:r>
              <w:rPr>
                <w:sz w:val="18"/>
              </w:rPr>
              <w:t>1 y afines</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21"/>
              <w:rPr>
                <w:b/>
                <w:sz w:val="18"/>
              </w:rPr>
            </w:pPr>
          </w:p>
          <w:p>
            <w:pPr>
              <w:pStyle w:val="TableParagraph"/>
              <w:ind w:left="19" w:right="4"/>
              <w:jc w:val="center"/>
              <w:rPr>
                <w:sz w:val="18"/>
              </w:rPr>
            </w:pPr>
            <w:r>
              <w:rPr>
                <w:spacing w:val="-5"/>
                <w:sz w:val="18"/>
              </w:rPr>
              <w:t>n/d</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21"/>
              <w:rPr>
                <w:b/>
                <w:sz w:val="18"/>
              </w:rPr>
            </w:pPr>
          </w:p>
          <w:p>
            <w:pPr>
              <w:pStyle w:val="TableParagraph"/>
              <w:ind w:left="19" w:right="4"/>
              <w:jc w:val="center"/>
              <w:rPr>
                <w:sz w:val="18"/>
              </w:rPr>
            </w:pPr>
            <w:r>
              <w:rPr>
                <w:spacing w:val="-10"/>
                <w:sz w:val="18"/>
              </w:rPr>
              <w:t>9</w:t>
            </w:r>
          </w:p>
        </w:tc>
        <w:tc>
          <w:tcPr>
            <w:tcW w:w="1776" w:type="dxa"/>
          </w:tcPr>
          <w:p>
            <w:pPr>
              <w:pStyle w:val="TableParagraph"/>
              <w:rPr>
                <w:b/>
                <w:sz w:val="18"/>
              </w:rPr>
            </w:pPr>
          </w:p>
          <w:p>
            <w:pPr>
              <w:pStyle w:val="TableParagraph"/>
              <w:rPr>
                <w:b/>
                <w:sz w:val="18"/>
              </w:rPr>
            </w:pPr>
          </w:p>
          <w:p>
            <w:pPr>
              <w:pStyle w:val="TableParagraph"/>
              <w:spacing w:before="127"/>
              <w:rPr>
                <w:b/>
                <w:sz w:val="18"/>
              </w:rPr>
            </w:pPr>
          </w:p>
          <w:p>
            <w:pPr>
              <w:pStyle w:val="TableParagraph"/>
              <w:ind w:left="67"/>
              <w:rPr>
                <w:sz w:val="18"/>
              </w:rPr>
            </w:pPr>
            <w:r>
              <w:rPr>
                <w:sz w:val="18"/>
              </w:rPr>
              <w:t>Cantidad</w:t>
            </w:r>
            <w:r>
              <w:rPr>
                <w:spacing w:val="-15"/>
                <w:sz w:val="18"/>
              </w:rPr>
              <w:t> </w:t>
            </w:r>
            <w:r>
              <w:rPr>
                <w:sz w:val="18"/>
              </w:rPr>
              <w:t>de</w:t>
            </w:r>
            <w:r>
              <w:rPr>
                <w:spacing w:val="-12"/>
                <w:sz w:val="18"/>
              </w:rPr>
              <w:t> </w:t>
            </w:r>
            <w:r>
              <w:rPr>
                <w:sz w:val="18"/>
              </w:rPr>
              <w:t>oficios </w:t>
            </w:r>
            <w:r>
              <w:rPr>
                <w:spacing w:val="-2"/>
                <w:sz w:val="18"/>
              </w:rPr>
              <w:t>enviados</w:t>
            </w:r>
          </w:p>
        </w:tc>
        <w:tc>
          <w:tcPr>
            <w:tcW w:w="1483" w:type="dxa"/>
          </w:tcPr>
          <w:p>
            <w:pPr>
              <w:pStyle w:val="TableParagraph"/>
              <w:rPr>
                <w:b/>
                <w:sz w:val="18"/>
              </w:rPr>
            </w:pPr>
          </w:p>
          <w:p>
            <w:pPr>
              <w:pStyle w:val="TableParagraph"/>
              <w:spacing w:before="127"/>
              <w:rPr>
                <w:b/>
                <w:sz w:val="18"/>
              </w:rPr>
            </w:pPr>
          </w:p>
          <w:p>
            <w:pPr>
              <w:pStyle w:val="TableParagraph"/>
              <w:ind w:left="67"/>
              <w:rPr>
                <w:sz w:val="18"/>
              </w:rPr>
            </w:pPr>
            <w:r>
              <w:rPr>
                <w:sz w:val="18"/>
              </w:rPr>
              <w:t>Oficios</w:t>
            </w:r>
            <w:r>
              <w:rPr>
                <w:spacing w:val="-15"/>
                <w:sz w:val="18"/>
              </w:rPr>
              <w:t> </w:t>
            </w:r>
            <w:r>
              <w:rPr>
                <w:sz w:val="18"/>
              </w:rPr>
              <w:t>y</w:t>
            </w:r>
            <w:r>
              <w:rPr>
                <w:spacing w:val="-12"/>
                <w:sz w:val="18"/>
              </w:rPr>
              <w:t> </w:t>
            </w:r>
            <w:r>
              <w:rPr>
                <w:sz w:val="18"/>
              </w:rPr>
              <w:t>correos remitidos a las instituciones del sector social</w:t>
            </w:r>
          </w:p>
        </w:tc>
        <w:tc>
          <w:tcPr>
            <w:tcW w:w="1296" w:type="dxa"/>
          </w:tcPr>
          <w:p>
            <w:pPr>
              <w:pStyle w:val="TableParagraph"/>
              <w:rPr>
                <w:b/>
                <w:sz w:val="18"/>
              </w:rPr>
            </w:pPr>
          </w:p>
          <w:p>
            <w:pPr>
              <w:pStyle w:val="TableParagraph"/>
              <w:rPr>
                <w:b/>
                <w:sz w:val="18"/>
              </w:rPr>
            </w:pPr>
          </w:p>
          <w:p>
            <w:pPr>
              <w:pStyle w:val="TableParagraph"/>
              <w:spacing w:before="127"/>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556" w:hRule="atLeast"/>
        </w:trPr>
        <w:tc>
          <w:tcPr>
            <w:tcW w:w="14598" w:type="dxa"/>
            <w:gridSpan w:val="8"/>
            <w:shd w:val="clear" w:color="auto" w:fill="EFF8F9"/>
          </w:tcPr>
          <w:p>
            <w:pPr>
              <w:pStyle w:val="TableParagraph"/>
              <w:spacing w:before="176"/>
              <w:ind w:left="72"/>
              <w:rPr>
                <w:b/>
                <w:sz w:val="18"/>
              </w:rPr>
            </w:pPr>
            <w:r>
              <w:rPr>
                <w:b/>
                <w:sz w:val="18"/>
              </w:rPr>
              <w:t>Producto</w:t>
            </w:r>
            <w:r>
              <w:rPr>
                <w:b/>
                <w:spacing w:val="-7"/>
                <w:sz w:val="18"/>
              </w:rPr>
              <w:t> </w:t>
            </w:r>
            <w:r>
              <w:rPr>
                <w:b/>
                <w:sz w:val="18"/>
              </w:rPr>
              <w:t>PAC</w:t>
            </w:r>
            <w:r>
              <w:rPr>
                <w:b/>
                <w:spacing w:val="-8"/>
                <w:sz w:val="18"/>
              </w:rPr>
              <w:t> </w:t>
            </w:r>
            <w:r>
              <w:rPr>
                <w:b/>
                <w:sz w:val="18"/>
              </w:rPr>
              <w:t>2.82:</w:t>
            </w:r>
            <w:r>
              <w:rPr>
                <w:b/>
                <w:spacing w:val="-4"/>
                <w:sz w:val="18"/>
              </w:rPr>
              <w:t> </w:t>
            </w:r>
            <w:r>
              <w:rPr>
                <w:b/>
                <w:sz w:val="18"/>
              </w:rPr>
              <w:t>Planes,</w:t>
            </w:r>
            <w:r>
              <w:rPr>
                <w:b/>
                <w:spacing w:val="-4"/>
                <w:sz w:val="18"/>
              </w:rPr>
              <w:t> </w:t>
            </w:r>
            <w:r>
              <w:rPr>
                <w:b/>
                <w:sz w:val="18"/>
              </w:rPr>
              <w:t>programas</w:t>
            </w:r>
            <w:r>
              <w:rPr>
                <w:b/>
                <w:spacing w:val="-5"/>
                <w:sz w:val="18"/>
              </w:rPr>
              <w:t> </w:t>
            </w:r>
            <w:r>
              <w:rPr>
                <w:b/>
                <w:sz w:val="18"/>
              </w:rPr>
              <w:t>y</w:t>
            </w:r>
            <w:r>
              <w:rPr>
                <w:b/>
                <w:spacing w:val="-2"/>
                <w:sz w:val="18"/>
              </w:rPr>
              <w:t> </w:t>
            </w:r>
            <w:r>
              <w:rPr>
                <w:b/>
                <w:sz w:val="18"/>
              </w:rPr>
              <w:t>proyectos</w:t>
            </w:r>
            <w:r>
              <w:rPr>
                <w:b/>
                <w:spacing w:val="-6"/>
                <w:sz w:val="18"/>
              </w:rPr>
              <w:t> </w:t>
            </w:r>
            <w:r>
              <w:rPr>
                <w:b/>
                <w:sz w:val="18"/>
              </w:rPr>
              <w:t>formulados</w:t>
            </w:r>
            <w:r>
              <w:rPr>
                <w:b/>
                <w:spacing w:val="-6"/>
                <w:sz w:val="18"/>
              </w:rPr>
              <w:t> </w:t>
            </w:r>
            <w:r>
              <w:rPr>
                <w:b/>
                <w:sz w:val="18"/>
              </w:rPr>
              <w:t>y</w:t>
            </w:r>
            <w:r>
              <w:rPr>
                <w:b/>
                <w:spacing w:val="-6"/>
                <w:sz w:val="18"/>
              </w:rPr>
              <w:t> </w:t>
            </w:r>
            <w:r>
              <w:rPr>
                <w:b/>
                <w:sz w:val="18"/>
              </w:rPr>
              <w:t>operando</w:t>
            </w:r>
            <w:r>
              <w:rPr>
                <w:b/>
                <w:spacing w:val="-2"/>
                <w:sz w:val="18"/>
              </w:rPr>
              <w:t> </w:t>
            </w:r>
            <w:r>
              <w:rPr>
                <w:b/>
                <w:sz w:val="18"/>
              </w:rPr>
              <w:t>como</w:t>
            </w:r>
            <w:r>
              <w:rPr>
                <w:b/>
                <w:spacing w:val="-6"/>
                <w:sz w:val="18"/>
              </w:rPr>
              <w:t> </w:t>
            </w:r>
            <w:r>
              <w:rPr>
                <w:b/>
                <w:sz w:val="18"/>
              </w:rPr>
              <w:t>insumos</w:t>
            </w:r>
            <w:r>
              <w:rPr>
                <w:b/>
                <w:spacing w:val="-2"/>
                <w:sz w:val="18"/>
              </w:rPr>
              <w:t> </w:t>
            </w:r>
            <w:r>
              <w:rPr>
                <w:b/>
                <w:sz w:val="18"/>
              </w:rPr>
              <w:t>para</w:t>
            </w:r>
            <w:r>
              <w:rPr>
                <w:b/>
                <w:spacing w:val="-6"/>
                <w:sz w:val="18"/>
              </w:rPr>
              <w:t> </w:t>
            </w:r>
            <w:r>
              <w:rPr>
                <w:b/>
                <w:sz w:val="18"/>
              </w:rPr>
              <w:t>la</w:t>
            </w:r>
            <w:r>
              <w:rPr>
                <w:b/>
                <w:spacing w:val="-6"/>
                <w:sz w:val="18"/>
              </w:rPr>
              <w:t> </w:t>
            </w:r>
            <w:r>
              <w:rPr>
                <w:b/>
                <w:sz w:val="18"/>
              </w:rPr>
              <w:t>toma</w:t>
            </w:r>
            <w:r>
              <w:rPr>
                <w:b/>
                <w:spacing w:val="-6"/>
                <w:sz w:val="18"/>
              </w:rPr>
              <w:t> </w:t>
            </w:r>
            <w:r>
              <w:rPr>
                <w:b/>
                <w:sz w:val="18"/>
              </w:rPr>
              <w:t>de</w:t>
            </w:r>
            <w:r>
              <w:rPr>
                <w:b/>
                <w:spacing w:val="-6"/>
                <w:sz w:val="18"/>
              </w:rPr>
              <w:t> </w:t>
            </w:r>
            <w:r>
              <w:rPr>
                <w:b/>
                <w:spacing w:val="-2"/>
                <w:sz w:val="18"/>
              </w:rPr>
              <w:t>decisiones</w:t>
            </w:r>
          </w:p>
        </w:tc>
      </w:tr>
    </w:tbl>
    <w:p>
      <w:pPr>
        <w:pStyle w:val="TableParagraph"/>
        <w:spacing w:after="0"/>
        <w:rPr>
          <w:b/>
          <w:sz w:val="18"/>
        </w:rPr>
        <w:sectPr>
          <w:type w:val="continuous"/>
          <w:pgSz w:w="15840" w:h="12240" w:orient="landscape"/>
          <w:pgMar w:header="0" w:footer="1806" w:top="700" w:bottom="3014"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18"/>
              <w:jc w:val="center"/>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449" w:hRule="atLeast"/>
        </w:trPr>
        <w:tc>
          <w:tcPr>
            <w:tcW w:w="3193" w:type="dxa"/>
          </w:tcPr>
          <w:p>
            <w:pPr>
              <w:pStyle w:val="TableParagraph"/>
              <w:spacing w:before="204"/>
              <w:rPr>
                <w:b/>
                <w:sz w:val="18"/>
              </w:rPr>
            </w:pPr>
          </w:p>
          <w:p>
            <w:pPr>
              <w:pStyle w:val="TableParagraph"/>
              <w:spacing w:line="242" w:lineRule="auto"/>
              <w:ind w:left="72"/>
              <w:rPr>
                <w:sz w:val="18"/>
              </w:rPr>
            </w:pPr>
            <w:r>
              <w:rPr>
                <w:b/>
                <w:sz w:val="18"/>
              </w:rPr>
              <w:t>Actividad PAC 2.82.1: </w:t>
            </w:r>
            <w:r>
              <w:rPr>
                <w:sz w:val="18"/>
              </w:rPr>
              <w:t>Formular los planes</w:t>
            </w:r>
            <w:r>
              <w:rPr>
                <w:spacing w:val="-9"/>
                <w:sz w:val="18"/>
              </w:rPr>
              <w:t> </w:t>
            </w:r>
            <w:r>
              <w:rPr>
                <w:sz w:val="18"/>
              </w:rPr>
              <w:t>Operativo</w:t>
            </w:r>
            <w:r>
              <w:rPr>
                <w:spacing w:val="-9"/>
                <w:sz w:val="18"/>
              </w:rPr>
              <w:t> </w:t>
            </w:r>
            <w:r>
              <w:rPr>
                <w:sz w:val="18"/>
              </w:rPr>
              <w:t>Institucional</w:t>
            </w:r>
            <w:r>
              <w:rPr>
                <w:spacing w:val="-11"/>
                <w:sz w:val="18"/>
              </w:rPr>
              <w:t> </w:t>
            </w:r>
            <w:r>
              <w:rPr>
                <w:sz w:val="18"/>
              </w:rPr>
              <w:t>(POI)</w:t>
            </w:r>
            <w:r>
              <w:rPr>
                <w:spacing w:val="-6"/>
                <w:sz w:val="18"/>
              </w:rPr>
              <w:t> </w:t>
            </w:r>
            <w:r>
              <w:rPr>
                <w:sz w:val="18"/>
              </w:rPr>
              <w:t>y Operativo Gerencial (POGE)</w:t>
            </w:r>
          </w:p>
        </w:tc>
        <w:tc>
          <w:tcPr>
            <w:tcW w:w="1354" w:type="dxa"/>
          </w:tcPr>
          <w:p>
            <w:pPr>
              <w:pStyle w:val="TableParagraph"/>
              <w:spacing w:before="204"/>
              <w:rPr>
                <w:b/>
                <w:sz w:val="18"/>
              </w:rPr>
            </w:pPr>
          </w:p>
          <w:p>
            <w:pPr>
              <w:pStyle w:val="TableParagraph"/>
              <w:spacing w:line="242" w:lineRule="auto"/>
              <w:ind w:left="162" w:right="142" w:hanging="4"/>
              <w:jc w:val="center"/>
              <w:rPr>
                <w:sz w:val="18"/>
              </w:rPr>
            </w:pPr>
            <w:r>
              <w:rPr>
                <w:sz w:val="18"/>
              </w:rPr>
              <w:t>2 planes formulados</w:t>
            </w:r>
            <w:r>
              <w:rPr>
                <w:spacing w:val="-13"/>
                <w:sz w:val="18"/>
              </w:rPr>
              <w:t> </w:t>
            </w:r>
            <w:r>
              <w:rPr>
                <w:sz w:val="18"/>
              </w:rPr>
              <w:t>y</w:t>
            </w:r>
            <w:r>
              <w:rPr>
                <w:sz w:val="18"/>
              </w:rPr>
              <w:t> </w:t>
            </w:r>
            <w:r>
              <w:rPr>
                <w:spacing w:val="-2"/>
                <w:sz w:val="18"/>
              </w:rPr>
              <w:t>aprobados</w:t>
            </w:r>
          </w:p>
        </w:tc>
        <w:tc>
          <w:tcPr>
            <w:tcW w:w="1354" w:type="dxa"/>
          </w:tcPr>
          <w:p>
            <w:pPr>
              <w:pStyle w:val="TableParagraph"/>
              <w:rPr>
                <w:b/>
                <w:sz w:val="18"/>
              </w:rPr>
            </w:pPr>
          </w:p>
          <w:p>
            <w:pPr>
              <w:pStyle w:val="TableParagraph"/>
              <w:spacing w:before="204"/>
              <w:rPr>
                <w:b/>
                <w:sz w:val="18"/>
              </w:rPr>
            </w:pPr>
          </w:p>
          <w:p>
            <w:pPr>
              <w:pStyle w:val="TableParagraph"/>
              <w:ind w:left="19" w:right="4"/>
              <w:jc w:val="center"/>
              <w:rPr>
                <w:sz w:val="18"/>
              </w:rPr>
            </w:pPr>
            <w:r>
              <w:rPr>
                <w:spacing w:val="-10"/>
                <w:sz w:val="18"/>
              </w:rPr>
              <w:t>2</w:t>
            </w:r>
          </w:p>
        </w:tc>
        <w:tc>
          <w:tcPr>
            <w:tcW w:w="1776" w:type="dxa"/>
          </w:tcPr>
          <w:p>
            <w:pPr>
              <w:pStyle w:val="TableParagraph"/>
              <w:spacing w:before="204"/>
              <w:rPr>
                <w:b/>
                <w:sz w:val="18"/>
              </w:rPr>
            </w:pPr>
          </w:p>
          <w:p>
            <w:pPr>
              <w:pStyle w:val="TableParagraph"/>
              <w:spacing w:line="242" w:lineRule="auto"/>
              <w:ind w:left="67"/>
              <w:rPr>
                <w:sz w:val="18"/>
              </w:rPr>
            </w:pPr>
            <w:r>
              <w:rPr>
                <w:sz w:val="18"/>
              </w:rPr>
              <w:t>Cantidad</w:t>
            </w:r>
            <w:r>
              <w:rPr>
                <w:spacing w:val="-15"/>
                <w:sz w:val="18"/>
              </w:rPr>
              <w:t> </w:t>
            </w:r>
            <w:r>
              <w:rPr>
                <w:sz w:val="18"/>
              </w:rPr>
              <w:t>de</w:t>
            </w:r>
            <w:r>
              <w:rPr>
                <w:spacing w:val="-12"/>
                <w:sz w:val="18"/>
              </w:rPr>
              <w:t> </w:t>
            </w:r>
            <w:r>
              <w:rPr>
                <w:sz w:val="18"/>
              </w:rPr>
              <w:t>planes formulados y </w:t>
            </w:r>
            <w:r>
              <w:rPr>
                <w:spacing w:val="-2"/>
                <w:sz w:val="18"/>
              </w:rPr>
              <w:t>aprobados</w:t>
            </w:r>
          </w:p>
        </w:tc>
        <w:tc>
          <w:tcPr>
            <w:tcW w:w="1483" w:type="dxa"/>
          </w:tcPr>
          <w:p>
            <w:pPr>
              <w:pStyle w:val="TableParagraph"/>
              <w:ind w:left="67"/>
              <w:rPr>
                <w:sz w:val="18"/>
              </w:rPr>
            </w:pPr>
            <w:r>
              <w:rPr>
                <w:sz w:val="18"/>
              </w:rPr>
              <w:t>Acuerdo de aprobación del POI</w:t>
            </w:r>
            <w:r>
              <w:rPr>
                <w:spacing w:val="-9"/>
                <w:sz w:val="18"/>
              </w:rPr>
              <w:t> </w:t>
            </w:r>
            <w:r>
              <w:rPr>
                <w:sz w:val="18"/>
              </w:rPr>
              <w:t>por</w:t>
            </w:r>
            <w:r>
              <w:rPr>
                <w:spacing w:val="-9"/>
                <w:sz w:val="18"/>
              </w:rPr>
              <w:t> </w:t>
            </w:r>
            <w:r>
              <w:rPr>
                <w:sz w:val="18"/>
              </w:rPr>
              <w:t>el</w:t>
            </w:r>
            <w:r>
              <w:rPr>
                <w:spacing w:val="-8"/>
                <w:sz w:val="18"/>
              </w:rPr>
              <w:t> </w:t>
            </w:r>
            <w:r>
              <w:rPr>
                <w:sz w:val="18"/>
              </w:rPr>
              <w:t>CD</w:t>
            </w:r>
            <w:r>
              <w:rPr>
                <w:spacing w:val="-12"/>
                <w:sz w:val="18"/>
              </w:rPr>
              <w:t> </w:t>
            </w:r>
            <w:r>
              <w:rPr>
                <w:sz w:val="18"/>
              </w:rPr>
              <w:t>/ acuerdo de aprobación del POGE por la</w:t>
            </w:r>
          </w:p>
          <w:p>
            <w:pPr>
              <w:pStyle w:val="TableParagraph"/>
              <w:spacing w:line="187" w:lineRule="exact"/>
              <w:ind w:left="67"/>
              <w:rPr>
                <w:sz w:val="18"/>
              </w:rPr>
            </w:pPr>
            <w:r>
              <w:rPr>
                <w:spacing w:val="-5"/>
                <w:sz w:val="18"/>
              </w:rPr>
              <w:t>GG</w:t>
            </w:r>
          </w:p>
        </w:tc>
        <w:tc>
          <w:tcPr>
            <w:tcW w:w="1296" w:type="dxa"/>
          </w:tcPr>
          <w:p>
            <w:pPr>
              <w:pStyle w:val="TableParagraph"/>
              <w:rPr>
                <w:b/>
                <w:sz w:val="18"/>
              </w:rPr>
            </w:pPr>
          </w:p>
          <w:p>
            <w:pPr>
              <w:pStyle w:val="TableParagraph"/>
              <w:spacing w:before="103"/>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6"/>
              <w:rPr>
                <w:b/>
                <w:sz w:val="18"/>
              </w:rPr>
            </w:pPr>
          </w:p>
          <w:p>
            <w:pPr>
              <w:pStyle w:val="TableParagraph"/>
              <w:ind w:left="74"/>
              <w:rPr>
                <w:sz w:val="18"/>
              </w:rPr>
            </w:pPr>
            <w:r>
              <w:rPr>
                <w:spacing w:val="-2"/>
                <w:sz w:val="18"/>
              </w:rPr>
              <w:t>Eventos:</w:t>
            </w:r>
          </w:p>
          <w:p>
            <w:pPr>
              <w:pStyle w:val="TableParagraph"/>
              <w:spacing w:before="207"/>
              <w:ind w:left="74" w:right="95"/>
              <w:rPr>
                <w:sz w:val="18"/>
              </w:rPr>
            </w:pPr>
            <w:r>
              <w:rPr>
                <w:sz w:val="18"/>
              </w:rPr>
              <w:t>1 No contar con un POI y</w:t>
            </w:r>
            <w:r>
              <w:rPr>
                <w:spacing w:val="-15"/>
                <w:sz w:val="18"/>
              </w:rPr>
              <w:t> </w:t>
            </w:r>
            <w:r>
              <w:rPr>
                <w:sz w:val="18"/>
              </w:rPr>
              <w:t>presupuesto</w:t>
            </w:r>
            <w:r>
              <w:rPr>
                <w:spacing w:val="-12"/>
                <w:sz w:val="18"/>
              </w:rPr>
              <w:t> </w:t>
            </w:r>
            <w:r>
              <w:rPr>
                <w:sz w:val="18"/>
              </w:rPr>
              <w:t>aprobado por parte de la CGR para el año siguiente.</w:t>
            </w:r>
          </w:p>
          <w:p>
            <w:pPr>
              <w:pStyle w:val="TableParagraph"/>
              <w:spacing w:before="2"/>
              <w:ind w:left="74" w:right="187"/>
              <w:rPr>
                <w:sz w:val="18"/>
              </w:rPr>
            </w:pPr>
            <w:r>
              <w:rPr>
                <w:sz w:val="18"/>
              </w:rPr>
              <w:t>2 No contar con la asignación</w:t>
            </w:r>
            <w:r>
              <w:rPr>
                <w:spacing w:val="-4"/>
                <w:sz w:val="18"/>
              </w:rPr>
              <w:t> </w:t>
            </w:r>
            <w:r>
              <w:rPr>
                <w:sz w:val="18"/>
              </w:rPr>
              <w:t>de</w:t>
            </w:r>
            <w:r>
              <w:rPr>
                <w:spacing w:val="-8"/>
                <w:sz w:val="18"/>
              </w:rPr>
              <w:t> </w:t>
            </w:r>
            <w:r>
              <w:rPr>
                <w:sz w:val="18"/>
              </w:rPr>
              <w:t>recursos por</w:t>
            </w:r>
            <w:r>
              <w:rPr>
                <w:spacing w:val="-11"/>
                <w:sz w:val="18"/>
              </w:rPr>
              <w:t> </w:t>
            </w:r>
            <w:r>
              <w:rPr>
                <w:sz w:val="18"/>
              </w:rPr>
              <w:t>parte</w:t>
            </w:r>
            <w:r>
              <w:rPr>
                <w:spacing w:val="-12"/>
                <w:sz w:val="18"/>
              </w:rPr>
              <w:t> </w:t>
            </w:r>
            <w:r>
              <w:rPr>
                <w:sz w:val="18"/>
              </w:rPr>
              <w:t>de</w:t>
            </w:r>
            <w:r>
              <w:rPr>
                <w:spacing w:val="-9"/>
                <w:sz w:val="18"/>
              </w:rPr>
              <w:t> </w:t>
            </w:r>
            <w:r>
              <w:rPr>
                <w:sz w:val="18"/>
              </w:rPr>
              <w:t>FODESAF para el año siguiente.</w:t>
            </w:r>
            <w:r>
              <w:rPr>
                <w:spacing w:val="80"/>
                <w:sz w:val="18"/>
              </w:rPr>
              <w:t> </w:t>
            </w:r>
            <w:r>
              <w:rPr>
                <w:sz w:val="18"/>
              </w:rPr>
              <w:t>3 Atrasos en la publicación de </w:t>
            </w:r>
            <w:r>
              <w:rPr>
                <w:spacing w:val="-2"/>
                <w:sz w:val="18"/>
              </w:rPr>
              <w:t>normativa.</w:t>
            </w:r>
          </w:p>
          <w:p>
            <w:pPr>
              <w:pStyle w:val="TableParagraph"/>
              <w:spacing w:before="2"/>
              <w:ind w:left="74" w:right="112"/>
              <w:rPr>
                <w:sz w:val="18"/>
              </w:rPr>
            </w:pPr>
            <w:r>
              <w:rPr>
                <w:sz w:val="18"/>
              </w:rPr>
              <w:t>4</w:t>
            </w:r>
            <w:r>
              <w:rPr>
                <w:spacing w:val="-9"/>
                <w:sz w:val="18"/>
              </w:rPr>
              <w:t> </w:t>
            </w:r>
            <w:r>
              <w:rPr>
                <w:sz w:val="18"/>
              </w:rPr>
              <w:t>Generar</w:t>
            </w:r>
            <w:r>
              <w:rPr>
                <w:spacing w:val="-7"/>
                <w:sz w:val="18"/>
              </w:rPr>
              <w:t> </w:t>
            </w:r>
            <w:r>
              <w:rPr>
                <w:sz w:val="18"/>
              </w:rPr>
              <w:t>la</w:t>
            </w:r>
            <w:r>
              <w:rPr>
                <w:spacing w:val="-9"/>
                <w:sz w:val="18"/>
              </w:rPr>
              <w:t> </w:t>
            </w:r>
            <w:r>
              <w:rPr>
                <w:sz w:val="18"/>
              </w:rPr>
              <w:t>MACU</w:t>
            </w:r>
            <w:r>
              <w:rPr>
                <w:spacing w:val="-11"/>
                <w:sz w:val="18"/>
              </w:rPr>
              <w:t> </w:t>
            </w:r>
            <w:r>
              <w:rPr>
                <w:sz w:val="18"/>
              </w:rPr>
              <w:t>con </w:t>
            </w:r>
            <w:r>
              <w:rPr>
                <w:spacing w:val="-2"/>
                <w:sz w:val="18"/>
              </w:rPr>
              <w:t>información </w:t>
            </w:r>
            <w:r>
              <w:rPr>
                <w:sz w:val="18"/>
              </w:rPr>
              <w:t>desactualizada o con </w:t>
            </w:r>
            <w:r>
              <w:rPr>
                <w:spacing w:val="-2"/>
                <w:sz w:val="18"/>
              </w:rPr>
              <w:t>errores.</w:t>
            </w:r>
          </w:p>
        </w:tc>
      </w:tr>
      <w:tr>
        <w:trPr>
          <w:trHeight w:val="945" w:hRule="atLeast"/>
        </w:trPr>
        <w:tc>
          <w:tcPr>
            <w:tcW w:w="3193" w:type="dxa"/>
          </w:tcPr>
          <w:p>
            <w:pPr>
              <w:pStyle w:val="TableParagraph"/>
              <w:spacing w:before="162"/>
              <w:ind w:left="72"/>
              <w:rPr>
                <w:sz w:val="18"/>
              </w:rPr>
            </w:pPr>
            <w:r>
              <w:rPr>
                <w:b/>
                <w:sz w:val="18"/>
              </w:rPr>
              <w:t>Actividad PAC 2.82.2: </w:t>
            </w:r>
            <w:r>
              <w:rPr>
                <w:sz w:val="18"/>
              </w:rPr>
              <w:t>Formular del Plan</w:t>
            </w:r>
            <w:r>
              <w:rPr>
                <w:spacing w:val="-11"/>
                <w:sz w:val="18"/>
              </w:rPr>
              <w:t> </w:t>
            </w:r>
            <w:r>
              <w:rPr>
                <w:sz w:val="18"/>
              </w:rPr>
              <w:t>Operativo</w:t>
            </w:r>
            <w:r>
              <w:rPr>
                <w:spacing w:val="-13"/>
                <w:sz w:val="18"/>
              </w:rPr>
              <w:t> </w:t>
            </w:r>
            <w:r>
              <w:rPr>
                <w:sz w:val="18"/>
              </w:rPr>
              <w:t>Institucional</w:t>
            </w:r>
            <w:r>
              <w:rPr>
                <w:spacing w:val="-11"/>
                <w:sz w:val="18"/>
              </w:rPr>
              <w:t> </w:t>
            </w:r>
            <w:r>
              <w:rPr>
                <w:sz w:val="18"/>
              </w:rPr>
              <w:t>solicitado por FODESAF</w:t>
            </w:r>
          </w:p>
        </w:tc>
        <w:tc>
          <w:tcPr>
            <w:tcW w:w="1354" w:type="dxa"/>
          </w:tcPr>
          <w:p>
            <w:pPr>
              <w:pStyle w:val="TableParagraph"/>
              <w:spacing w:before="162"/>
              <w:ind w:left="143" w:right="124" w:hanging="2"/>
              <w:jc w:val="center"/>
              <w:rPr>
                <w:sz w:val="18"/>
              </w:rPr>
            </w:pPr>
            <w:r>
              <w:rPr>
                <w:sz w:val="18"/>
              </w:rPr>
              <w:t>1 plan aprobado</w:t>
            </w:r>
            <w:r>
              <w:rPr>
                <w:spacing w:val="-13"/>
                <w:sz w:val="18"/>
              </w:rPr>
              <w:t> </w:t>
            </w:r>
            <w:r>
              <w:rPr>
                <w:sz w:val="18"/>
              </w:rPr>
              <w:t>po</w:t>
            </w:r>
            <w:r>
              <w:rPr>
                <w:sz w:val="18"/>
              </w:rPr>
              <w:t>r</w:t>
            </w:r>
            <w:r>
              <w:rPr>
                <w:sz w:val="18"/>
              </w:rPr>
              <w:t> </w:t>
            </w:r>
            <w:r>
              <w:rPr>
                <w:spacing w:val="-2"/>
                <w:sz w:val="18"/>
              </w:rPr>
              <w:t>FODESAF</w:t>
            </w:r>
          </w:p>
        </w:tc>
        <w:tc>
          <w:tcPr>
            <w:tcW w:w="1354" w:type="dxa"/>
          </w:tcPr>
          <w:p>
            <w:pPr>
              <w:pStyle w:val="TableParagraph"/>
              <w:spacing w:before="161"/>
              <w:rPr>
                <w:b/>
                <w:sz w:val="18"/>
              </w:rPr>
            </w:pPr>
          </w:p>
          <w:p>
            <w:pPr>
              <w:pStyle w:val="TableParagraph"/>
              <w:ind w:left="19" w:right="4"/>
              <w:jc w:val="center"/>
              <w:rPr>
                <w:sz w:val="18"/>
              </w:rPr>
            </w:pPr>
            <w:r>
              <w:rPr>
                <w:spacing w:val="-10"/>
                <w:sz w:val="18"/>
              </w:rPr>
              <w:t>1</w:t>
            </w:r>
          </w:p>
        </w:tc>
        <w:tc>
          <w:tcPr>
            <w:tcW w:w="1776" w:type="dxa"/>
          </w:tcPr>
          <w:p>
            <w:pPr>
              <w:pStyle w:val="TableParagraph"/>
              <w:spacing w:before="55"/>
              <w:rPr>
                <w:b/>
                <w:sz w:val="18"/>
              </w:rPr>
            </w:pPr>
          </w:p>
          <w:p>
            <w:pPr>
              <w:pStyle w:val="TableParagraph"/>
              <w:spacing w:before="1"/>
              <w:ind w:left="67"/>
              <w:rPr>
                <w:sz w:val="18"/>
              </w:rPr>
            </w:pPr>
            <w:r>
              <w:rPr>
                <w:sz w:val="18"/>
              </w:rPr>
              <w:t>Cantidad</w:t>
            </w:r>
            <w:r>
              <w:rPr>
                <w:spacing w:val="-15"/>
                <w:sz w:val="18"/>
              </w:rPr>
              <w:t> </w:t>
            </w:r>
            <w:r>
              <w:rPr>
                <w:sz w:val="18"/>
              </w:rPr>
              <w:t>de</w:t>
            </w:r>
            <w:r>
              <w:rPr>
                <w:spacing w:val="-12"/>
                <w:sz w:val="18"/>
              </w:rPr>
              <w:t> </w:t>
            </w:r>
            <w:r>
              <w:rPr>
                <w:sz w:val="18"/>
              </w:rPr>
              <w:t>planes </w:t>
            </w:r>
            <w:r>
              <w:rPr>
                <w:spacing w:val="-2"/>
                <w:sz w:val="18"/>
              </w:rPr>
              <w:t>aprobados</w:t>
            </w:r>
          </w:p>
        </w:tc>
        <w:tc>
          <w:tcPr>
            <w:tcW w:w="1483" w:type="dxa"/>
          </w:tcPr>
          <w:p>
            <w:pPr>
              <w:pStyle w:val="TableParagraph"/>
              <w:spacing w:before="162"/>
              <w:ind w:left="67"/>
              <w:rPr>
                <w:sz w:val="18"/>
              </w:rPr>
            </w:pPr>
            <w:r>
              <w:rPr>
                <w:sz w:val="18"/>
              </w:rPr>
              <w:t>Oficio de aprobación del POI</w:t>
            </w:r>
            <w:r>
              <w:rPr>
                <w:spacing w:val="-15"/>
                <w:sz w:val="18"/>
              </w:rPr>
              <w:t> </w:t>
            </w:r>
            <w:r>
              <w:rPr>
                <w:sz w:val="18"/>
              </w:rPr>
              <w:t>por</w:t>
            </w:r>
            <w:r>
              <w:rPr>
                <w:spacing w:val="-12"/>
                <w:sz w:val="18"/>
              </w:rPr>
              <w:t> </w:t>
            </w:r>
            <w:r>
              <w:rPr>
                <w:sz w:val="18"/>
              </w:rPr>
              <w:t>DESAF</w:t>
            </w:r>
          </w:p>
        </w:tc>
        <w:tc>
          <w:tcPr>
            <w:tcW w:w="1296" w:type="dxa"/>
          </w:tcPr>
          <w:p>
            <w:pPr>
              <w:pStyle w:val="TableParagraph"/>
              <w:spacing w:before="55"/>
              <w:rPr>
                <w:b/>
                <w:sz w:val="18"/>
              </w:rPr>
            </w:pPr>
          </w:p>
          <w:p>
            <w:pPr>
              <w:pStyle w:val="TableParagraph"/>
              <w:spacing w:before="1"/>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449" w:hRule="atLeast"/>
        </w:trPr>
        <w:tc>
          <w:tcPr>
            <w:tcW w:w="3193" w:type="dxa"/>
          </w:tcPr>
          <w:p>
            <w:pPr>
              <w:pStyle w:val="TableParagraph"/>
              <w:spacing w:before="205"/>
              <w:ind w:left="72"/>
              <w:rPr>
                <w:sz w:val="18"/>
              </w:rPr>
            </w:pPr>
            <w:r>
              <w:rPr>
                <w:b/>
                <w:sz w:val="18"/>
              </w:rPr>
              <w:t>Actividad PAC 2.82.3: </w:t>
            </w:r>
            <w:r>
              <w:rPr>
                <w:sz w:val="18"/>
              </w:rPr>
              <w:t>Realizar las publicaciones</w:t>
            </w:r>
            <w:r>
              <w:rPr>
                <w:spacing w:val="-2"/>
                <w:sz w:val="18"/>
              </w:rPr>
              <w:t> </w:t>
            </w:r>
            <w:r>
              <w:rPr>
                <w:sz w:val="18"/>
              </w:rPr>
              <w:t>de normativa publicada el diario oficial La Gaceta y lineamientos</w:t>
            </w:r>
            <w:r>
              <w:rPr>
                <w:spacing w:val="-13"/>
                <w:sz w:val="18"/>
              </w:rPr>
              <w:t> </w:t>
            </w:r>
            <w:r>
              <w:rPr>
                <w:sz w:val="18"/>
              </w:rPr>
              <w:t>institucionales</w:t>
            </w:r>
            <w:r>
              <w:rPr>
                <w:spacing w:val="-11"/>
                <w:sz w:val="18"/>
              </w:rPr>
              <w:t> </w:t>
            </w:r>
            <w:r>
              <w:rPr>
                <w:sz w:val="18"/>
              </w:rPr>
              <w:t>por</w:t>
            </w:r>
            <w:r>
              <w:rPr>
                <w:spacing w:val="-12"/>
                <w:sz w:val="18"/>
              </w:rPr>
              <w:t> </w:t>
            </w:r>
            <w:r>
              <w:rPr>
                <w:sz w:val="18"/>
              </w:rPr>
              <w:t>medio del CIRE</w:t>
            </w:r>
          </w:p>
        </w:tc>
        <w:tc>
          <w:tcPr>
            <w:tcW w:w="1354" w:type="dxa"/>
          </w:tcPr>
          <w:p>
            <w:pPr>
              <w:pStyle w:val="TableParagraph"/>
              <w:rPr>
                <w:b/>
                <w:sz w:val="18"/>
              </w:rPr>
            </w:pPr>
          </w:p>
          <w:p>
            <w:pPr>
              <w:pStyle w:val="TableParagraph"/>
              <w:spacing w:before="204"/>
              <w:rPr>
                <w:b/>
                <w:sz w:val="18"/>
              </w:rPr>
            </w:pPr>
          </w:p>
          <w:p>
            <w:pPr>
              <w:pStyle w:val="TableParagraph"/>
              <w:ind w:left="19" w:right="4"/>
              <w:jc w:val="center"/>
              <w:rPr>
                <w:sz w:val="18"/>
              </w:rPr>
            </w:pPr>
            <w:r>
              <w:rPr>
                <w:spacing w:val="-10"/>
                <w:sz w:val="18"/>
              </w:rPr>
              <w:t>1</w:t>
            </w:r>
          </w:p>
        </w:tc>
        <w:tc>
          <w:tcPr>
            <w:tcW w:w="1354" w:type="dxa"/>
          </w:tcPr>
          <w:p>
            <w:pPr>
              <w:pStyle w:val="TableParagraph"/>
              <w:rPr>
                <w:b/>
                <w:sz w:val="18"/>
              </w:rPr>
            </w:pPr>
          </w:p>
          <w:p>
            <w:pPr>
              <w:pStyle w:val="TableParagraph"/>
              <w:spacing w:before="204"/>
              <w:rPr>
                <w:b/>
                <w:sz w:val="18"/>
              </w:rPr>
            </w:pPr>
          </w:p>
          <w:p>
            <w:pPr>
              <w:pStyle w:val="TableParagraph"/>
              <w:ind w:left="19" w:right="4"/>
              <w:jc w:val="center"/>
              <w:rPr>
                <w:sz w:val="18"/>
              </w:rPr>
            </w:pPr>
            <w:r>
              <w:rPr>
                <w:spacing w:val="-10"/>
                <w:sz w:val="18"/>
              </w:rPr>
              <w:t>4</w:t>
            </w:r>
          </w:p>
        </w:tc>
        <w:tc>
          <w:tcPr>
            <w:tcW w:w="1776" w:type="dxa"/>
          </w:tcPr>
          <w:p>
            <w:pPr>
              <w:pStyle w:val="TableParagraph"/>
              <w:spacing w:before="99"/>
              <w:ind w:left="67" w:right="60"/>
              <w:rPr>
                <w:sz w:val="18"/>
              </w:rPr>
            </w:pPr>
            <w:r>
              <w:rPr>
                <w:sz w:val="18"/>
              </w:rPr>
              <w:t>Cantidad de normativa</w:t>
            </w:r>
            <w:r>
              <w:rPr>
                <w:spacing w:val="-13"/>
                <w:sz w:val="18"/>
              </w:rPr>
              <w:t> </w:t>
            </w:r>
            <w:r>
              <w:rPr>
                <w:sz w:val="18"/>
              </w:rPr>
              <w:t>publicada en La Gaceta y </w:t>
            </w:r>
            <w:r>
              <w:rPr>
                <w:spacing w:val="-2"/>
                <w:sz w:val="18"/>
              </w:rPr>
              <w:t>normativa </w:t>
            </w:r>
            <w:r>
              <w:rPr>
                <w:sz w:val="18"/>
              </w:rPr>
              <w:t>institucional</w:t>
            </w:r>
            <w:r>
              <w:rPr>
                <w:spacing w:val="-13"/>
                <w:sz w:val="18"/>
              </w:rPr>
              <w:t> </w:t>
            </w:r>
            <w:r>
              <w:rPr>
                <w:sz w:val="18"/>
              </w:rPr>
              <w:t>remitida a PI y publicada</w:t>
            </w:r>
          </w:p>
        </w:tc>
        <w:tc>
          <w:tcPr>
            <w:tcW w:w="1483" w:type="dxa"/>
          </w:tcPr>
          <w:p>
            <w:pPr>
              <w:pStyle w:val="TableParagraph"/>
              <w:ind w:left="67" w:right="508"/>
              <w:rPr>
                <w:sz w:val="18"/>
              </w:rPr>
            </w:pPr>
            <w:r>
              <w:rPr>
                <w:sz w:val="18"/>
              </w:rPr>
              <w:t>Correos</w:t>
            </w:r>
            <w:r>
              <w:rPr>
                <w:spacing w:val="-13"/>
                <w:sz w:val="18"/>
              </w:rPr>
              <w:t> </w:t>
            </w:r>
            <w:r>
              <w:rPr>
                <w:sz w:val="18"/>
              </w:rPr>
              <w:t>de </w:t>
            </w:r>
            <w:r>
              <w:rPr>
                <w:spacing w:val="-4"/>
                <w:sz w:val="18"/>
              </w:rPr>
              <w:t>CIRE</w:t>
            </w:r>
          </w:p>
          <w:p>
            <w:pPr>
              <w:pStyle w:val="TableParagraph"/>
              <w:spacing w:line="242" w:lineRule="auto"/>
              <w:ind w:left="67"/>
              <w:rPr>
                <w:sz w:val="18"/>
              </w:rPr>
            </w:pPr>
            <w:r>
              <w:rPr>
                <w:sz w:val="18"/>
              </w:rPr>
              <w:t>divulgando los </w:t>
            </w:r>
            <w:r>
              <w:rPr>
                <w:spacing w:val="-2"/>
                <w:sz w:val="18"/>
              </w:rPr>
              <w:t>documentos </w:t>
            </w:r>
            <w:r>
              <w:rPr>
                <w:sz w:val="18"/>
              </w:rPr>
              <w:t>publicados</w:t>
            </w:r>
            <w:r>
              <w:rPr>
                <w:spacing w:val="-15"/>
                <w:sz w:val="18"/>
              </w:rPr>
              <w:t> </w:t>
            </w:r>
            <w:r>
              <w:rPr>
                <w:sz w:val="18"/>
              </w:rPr>
              <w:t>y/o</w:t>
            </w:r>
            <w:r>
              <w:rPr>
                <w:spacing w:val="-12"/>
                <w:sz w:val="18"/>
              </w:rPr>
              <w:t> </w:t>
            </w:r>
            <w:r>
              <w:rPr>
                <w:sz w:val="18"/>
              </w:rPr>
              <w:t>la </w:t>
            </w:r>
            <w:r>
              <w:rPr>
                <w:spacing w:val="-2"/>
                <w:sz w:val="18"/>
              </w:rPr>
              <w:t>normativa</w:t>
            </w:r>
          </w:p>
          <w:p>
            <w:pPr>
              <w:pStyle w:val="TableParagraph"/>
              <w:spacing w:line="182" w:lineRule="exact"/>
              <w:ind w:left="67"/>
              <w:rPr>
                <w:sz w:val="18"/>
              </w:rPr>
            </w:pPr>
            <w:r>
              <w:rPr>
                <w:spacing w:val="-2"/>
                <w:sz w:val="18"/>
              </w:rPr>
              <w:t>aprobada</w:t>
            </w:r>
          </w:p>
        </w:tc>
        <w:tc>
          <w:tcPr>
            <w:tcW w:w="1296" w:type="dxa"/>
          </w:tcPr>
          <w:p>
            <w:pPr>
              <w:pStyle w:val="TableParagraph"/>
              <w:rPr>
                <w:b/>
                <w:sz w:val="18"/>
              </w:rPr>
            </w:pPr>
          </w:p>
          <w:p>
            <w:pPr>
              <w:pStyle w:val="TableParagraph"/>
              <w:spacing w:before="103"/>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200" w:hRule="atLeast"/>
        </w:trPr>
        <w:tc>
          <w:tcPr>
            <w:tcW w:w="3193" w:type="dxa"/>
          </w:tcPr>
          <w:p>
            <w:pPr>
              <w:pStyle w:val="TableParagraph"/>
              <w:spacing w:before="80"/>
              <w:ind w:left="72"/>
              <w:rPr>
                <w:sz w:val="18"/>
              </w:rPr>
            </w:pPr>
            <w:r>
              <w:rPr>
                <w:b/>
                <w:sz w:val="18"/>
              </w:rPr>
              <w:t>Actividad PAC 2.82.4: </w:t>
            </w:r>
            <w:r>
              <w:rPr>
                <w:sz w:val="18"/>
              </w:rPr>
              <w:t>Compilar y remitir en tiempo y forma, la información de la Matriz de Cumplimiento de Disposiciones de Auditoría</w:t>
            </w:r>
            <w:r>
              <w:rPr>
                <w:spacing w:val="-8"/>
                <w:sz w:val="18"/>
              </w:rPr>
              <w:t> </w:t>
            </w:r>
            <w:r>
              <w:rPr>
                <w:sz w:val="18"/>
              </w:rPr>
              <w:t>Interna</w:t>
            </w:r>
            <w:r>
              <w:rPr>
                <w:spacing w:val="-8"/>
                <w:sz w:val="18"/>
              </w:rPr>
              <w:t> </w:t>
            </w:r>
            <w:r>
              <w:rPr>
                <w:sz w:val="18"/>
              </w:rPr>
              <w:t>(MACU)</w:t>
            </w:r>
            <w:r>
              <w:rPr>
                <w:spacing w:val="-6"/>
                <w:sz w:val="18"/>
              </w:rPr>
              <w:t> </w:t>
            </w:r>
            <w:r>
              <w:rPr>
                <w:sz w:val="18"/>
              </w:rPr>
              <w:t>del</w:t>
            </w:r>
            <w:r>
              <w:rPr>
                <w:spacing w:val="-10"/>
                <w:sz w:val="18"/>
              </w:rPr>
              <w:t> </w:t>
            </w:r>
            <w:r>
              <w:rPr>
                <w:sz w:val="18"/>
              </w:rPr>
              <w:t>IMAS</w:t>
            </w:r>
          </w:p>
        </w:tc>
        <w:tc>
          <w:tcPr>
            <w:tcW w:w="1354" w:type="dxa"/>
          </w:tcPr>
          <w:p>
            <w:pPr>
              <w:pStyle w:val="TableParagraph"/>
              <w:rPr>
                <w:b/>
                <w:sz w:val="18"/>
              </w:rPr>
            </w:pPr>
          </w:p>
          <w:p>
            <w:pPr>
              <w:pStyle w:val="TableParagraph"/>
              <w:spacing w:before="79"/>
              <w:rPr>
                <w:b/>
                <w:sz w:val="18"/>
              </w:rPr>
            </w:pPr>
          </w:p>
          <w:p>
            <w:pPr>
              <w:pStyle w:val="TableParagraph"/>
              <w:ind w:left="19" w:right="4"/>
              <w:jc w:val="center"/>
              <w:rPr>
                <w:sz w:val="18"/>
              </w:rPr>
            </w:pPr>
            <w:r>
              <w:rPr>
                <w:spacing w:val="-10"/>
                <w:sz w:val="18"/>
              </w:rPr>
              <w:t>2</w:t>
            </w:r>
          </w:p>
        </w:tc>
        <w:tc>
          <w:tcPr>
            <w:tcW w:w="1354" w:type="dxa"/>
          </w:tcPr>
          <w:p>
            <w:pPr>
              <w:pStyle w:val="TableParagraph"/>
              <w:rPr>
                <w:b/>
                <w:sz w:val="18"/>
              </w:rPr>
            </w:pPr>
          </w:p>
          <w:p>
            <w:pPr>
              <w:pStyle w:val="TableParagraph"/>
              <w:spacing w:before="79"/>
              <w:rPr>
                <w:b/>
                <w:sz w:val="18"/>
              </w:rPr>
            </w:pPr>
          </w:p>
          <w:p>
            <w:pPr>
              <w:pStyle w:val="TableParagraph"/>
              <w:ind w:left="19" w:right="4"/>
              <w:jc w:val="center"/>
              <w:rPr>
                <w:sz w:val="18"/>
              </w:rPr>
            </w:pPr>
            <w:r>
              <w:rPr>
                <w:spacing w:val="-10"/>
                <w:sz w:val="18"/>
              </w:rPr>
              <w:t>2</w:t>
            </w:r>
          </w:p>
        </w:tc>
        <w:tc>
          <w:tcPr>
            <w:tcW w:w="1776" w:type="dxa"/>
          </w:tcPr>
          <w:p>
            <w:pPr>
              <w:pStyle w:val="TableParagraph"/>
              <w:spacing w:before="79"/>
              <w:rPr>
                <w:b/>
                <w:sz w:val="18"/>
              </w:rPr>
            </w:pPr>
          </w:p>
          <w:p>
            <w:pPr>
              <w:pStyle w:val="TableParagraph"/>
              <w:spacing w:before="1"/>
              <w:ind w:left="67" w:right="291"/>
              <w:rPr>
                <w:sz w:val="18"/>
              </w:rPr>
            </w:pPr>
            <w:r>
              <w:rPr>
                <w:sz w:val="18"/>
              </w:rPr>
              <w:t>Cantidad</w:t>
            </w:r>
            <w:r>
              <w:rPr>
                <w:spacing w:val="-13"/>
                <w:sz w:val="18"/>
              </w:rPr>
              <w:t> </w:t>
            </w:r>
            <w:r>
              <w:rPr>
                <w:sz w:val="18"/>
              </w:rPr>
              <w:t>de </w:t>
            </w:r>
            <w:r>
              <w:rPr>
                <w:spacing w:val="-2"/>
                <w:sz w:val="18"/>
              </w:rPr>
              <w:t>matrices compiladas</w:t>
            </w:r>
          </w:p>
        </w:tc>
        <w:tc>
          <w:tcPr>
            <w:tcW w:w="1483" w:type="dxa"/>
          </w:tcPr>
          <w:p>
            <w:pPr>
              <w:pStyle w:val="TableParagraph"/>
              <w:spacing w:before="79"/>
              <w:rPr>
                <w:b/>
                <w:sz w:val="18"/>
              </w:rPr>
            </w:pPr>
          </w:p>
          <w:p>
            <w:pPr>
              <w:pStyle w:val="TableParagraph"/>
              <w:spacing w:before="1"/>
              <w:ind w:left="67"/>
              <w:rPr>
                <w:sz w:val="18"/>
              </w:rPr>
            </w:pPr>
            <w:r>
              <w:rPr>
                <w:spacing w:val="-2"/>
                <w:sz w:val="18"/>
              </w:rPr>
              <w:t>Matrices </w:t>
            </w:r>
            <w:r>
              <w:rPr>
                <w:sz w:val="18"/>
              </w:rPr>
              <w:t>compiladas</w:t>
            </w:r>
            <w:r>
              <w:rPr>
                <w:spacing w:val="-13"/>
                <w:sz w:val="18"/>
              </w:rPr>
              <w:t> </w:t>
            </w:r>
            <w:r>
              <w:rPr>
                <w:sz w:val="18"/>
              </w:rPr>
              <w:t>y </w:t>
            </w:r>
            <w:r>
              <w:rPr>
                <w:spacing w:val="-2"/>
                <w:sz w:val="18"/>
              </w:rPr>
              <w:t>remitidas</w:t>
            </w:r>
          </w:p>
        </w:tc>
        <w:tc>
          <w:tcPr>
            <w:tcW w:w="1296" w:type="dxa"/>
          </w:tcPr>
          <w:p>
            <w:pPr>
              <w:pStyle w:val="TableParagraph"/>
              <w:spacing w:before="185"/>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2275" w:hRule="atLeast"/>
        </w:trPr>
        <w:tc>
          <w:tcPr>
            <w:tcW w:w="3193" w:type="dxa"/>
          </w:tcPr>
          <w:p>
            <w:pPr>
              <w:pStyle w:val="TableParagraph"/>
              <w:rPr>
                <w:b/>
                <w:sz w:val="18"/>
              </w:rPr>
            </w:pPr>
          </w:p>
          <w:p>
            <w:pPr>
              <w:pStyle w:val="TableParagraph"/>
              <w:spacing w:before="103"/>
              <w:rPr>
                <w:b/>
                <w:sz w:val="18"/>
              </w:rPr>
            </w:pPr>
          </w:p>
          <w:p>
            <w:pPr>
              <w:pStyle w:val="TableParagraph"/>
              <w:ind w:left="72" w:right="51"/>
              <w:rPr>
                <w:sz w:val="18"/>
              </w:rPr>
            </w:pPr>
            <w:r>
              <w:rPr>
                <w:b/>
                <w:sz w:val="18"/>
              </w:rPr>
              <w:t>Actividad</w:t>
            </w:r>
            <w:r>
              <w:rPr>
                <w:b/>
                <w:spacing w:val="-11"/>
                <w:sz w:val="18"/>
              </w:rPr>
              <w:t> </w:t>
            </w:r>
            <w:r>
              <w:rPr>
                <w:b/>
                <w:sz w:val="18"/>
              </w:rPr>
              <w:t>PAC</w:t>
            </w:r>
            <w:r>
              <w:rPr>
                <w:b/>
                <w:spacing w:val="-8"/>
                <w:sz w:val="18"/>
              </w:rPr>
              <w:t> </w:t>
            </w:r>
            <w:r>
              <w:rPr>
                <w:b/>
                <w:sz w:val="18"/>
              </w:rPr>
              <w:t>2.82.5:</w:t>
            </w:r>
            <w:r>
              <w:rPr>
                <w:b/>
                <w:spacing w:val="-7"/>
                <w:sz w:val="18"/>
              </w:rPr>
              <w:t> </w:t>
            </w:r>
            <w:r>
              <w:rPr>
                <w:sz w:val="18"/>
              </w:rPr>
              <w:t>Implementar</w:t>
            </w:r>
            <w:r>
              <w:rPr>
                <w:spacing w:val="-6"/>
                <w:sz w:val="18"/>
              </w:rPr>
              <w:t> </w:t>
            </w:r>
            <w:r>
              <w:rPr>
                <w:sz w:val="18"/>
              </w:rPr>
              <w:t>a nivel institucional, la Herramienta DELPHOS, módulo DELPPHOS Net, para el seguimiento de los instrumentos de Planificación PEI,</w:t>
            </w:r>
            <w:r>
              <w:rPr>
                <w:spacing w:val="40"/>
                <w:sz w:val="18"/>
              </w:rPr>
              <w:t> </w:t>
            </w:r>
            <w:r>
              <w:rPr>
                <w:sz w:val="18"/>
              </w:rPr>
              <w:t>POI y POGE</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9" w:right="6"/>
              <w:jc w:val="center"/>
              <w:rPr>
                <w:sz w:val="18"/>
              </w:rPr>
            </w:pPr>
            <w:r>
              <w:rPr>
                <w:spacing w:val="-4"/>
                <w:sz w:val="18"/>
              </w:rPr>
              <w:t>100%</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9" w:right="7"/>
              <w:jc w:val="center"/>
              <w:rPr>
                <w:sz w:val="18"/>
              </w:rPr>
            </w:pPr>
            <w:r>
              <w:rPr>
                <w:spacing w:val="-4"/>
                <w:sz w:val="18"/>
              </w:rPr>
              <w:t>100%</w:t>
            </w:r>
          </w:p>
        </w:tc>
        <w:tc>
          <w:tcPr>
            <w:tcW w:w="1776" w:type="dxa"/>
          </w:tcPr>
          <w:p>
            <w:pPr>
              <w:pStyle w:val="TableParagraph"/>
              <w:rPr>
                <w:b/>
                <w:sz w:val="18"/>
              </w:rPr>
            </w:pPr>
          </w:p>
          <w:p>
            <w:pPr>
              <w:pStyle w:val="TableParagraph"/>
              <w:spacing w:before="204"/>
              <w:rPr>
                <w:b/>
                <w:sz w:val="18"/>
              </w:rPr>
            </w:pPr>
          </w:p>
          <w:p>
            <w:pPr>
              <w:pStyle w:val="TableParagraph"/>
              <w:ind w:left="67" w:right="131"/>
              <w:rPr>
                <w:sz w:val="18"/>
              </w:rPr>
            </w:pPr>
            <w:r>
              <w:rPr>
                <w:sz w:val="18"/>
              </w:rPr>
              <w:t>Porcentaje de implementación de la Herramienta DELPHOS,</w:t>
            </w:r>
            <w:r>
              <w:rPr>
                <w:spacing w:val="-13"/>
                <w:sz w:val="18"/>
              </w:rPr>
              <w:t> </w:t>
            </w:r>
            <w:r>
              <w:rPr>
                <w:sz w:val="18"/>
              </w:rPr>
              <w:t>módulo DELPHOS NET</w:t>
            </w:r>
          </w:p>
        </w:tc>
        <w:tc>
          <w:tcPr>
            <w:tcW w:w="1483" w:type="dxa"/>
          </w:tcPr>
          <w:p>
            <w:pPr>
              <w:pStyle w:val="TableParagraph"/>
              <w:ind w:left="67" w:right="88"/>
              <w:rPr>
                <w:sz w:val="18"/>
              </w:rPr>
            </w:pPr>
            <w:r>
              <w:rPr>
                <w:sz w:val="18"/>
              </w:rPr>
              <w:t>Informe de seguimiento a los</w:t>
            </w:r>
            <w:r>
              <w:rPr>
                <w:spacing w:val="-13"/>
                <w:sz w:val="18"/>
              </w:rPr>
              <w:t> </w:t>
            </w:r>
            <w:r>
              <w:rPr>
                <w:sz w:val="18"/>
              </w:rPr>
              <w:t>instrumentos </w:t>
            </w:r>
            <w:r>
              <w:rPr>
                <w:spacing w:val="-2"/>
                <w:sz w:val="18"/>
              </w:rPr>
              <w:t>institucionales</w:t>
            </w:r>
            <w:r>
              <w:rPr>
                <w:spacing w:val="40"/>
                <w:sz w:val="18"/>
              </w:rPr>
              <w:t> </w:t>
            </w:r>
            <w:r>
              <w:rPr>
                <w:sz w:val="18"/>
              </w:rPr>
              <w:t>de Planificación realizado por medio de la </w:t>
            </w:r>
            <w:r>
              <w:rPr>
                <w:spacing w:val="-2"/>
                <w:sz w:val="18"/>
              </w:rPr>
              <w:t>herramienta DELPHOS</w:t>
            </w:r>
          </w:p>
          <w:p>
            <w:pPr>
              <w:pStyle w:val="TableParagraph"/>
              <w:spacing w:line="200" w:lineRule="atLeast"/>
              <w:ind w:left="67" w:right="68"/>
              <w:rPr>
                <w:sz w:val="18"/>
              </w:rPr>
            </w:pPr>
            <w:r>
              <w:rPr>
                <w:spacing w:val="-2"/>
                <w:sz w:val="18"/>
              </w:rPr>
              <w:t>(Módulo </w:t>
            </w:r>
            <w:r>
              <w:rPr>
                <w:sz w:val="18"/>
              </w:rPr>
              <w:t>DELPHOS</w:t>
            </w:r>
            <w:r>
              <w:rPr>
                <w:spacing w:val="-13"/>
                <w:sz w:val="18"/>
              </w:rPr>
              <w:t> </w:t>
            </w:r>
            <w:r>
              <w:rPr>
                <w:sz w:val="18"/>
              </w:rPr>
              <w:t>NET)</w:t>
            </w:r>
          </w:p>
        </w:tc>
        <w:tc>
          <w:tcPr>
            <w:tcW w:w="129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2"/>
              <w:rPr>
                <w:sz w:val="18"/>
              </w:rPr>
            </w:pPr>
            <w:r>
              <w:rPr>
                <w:spacing w:val="-2"/>
                <w:sz w:val="18"/>
              </w:rPr>
              <w:t>Planificación Institucional</w:t>
            </w:r>
          </w:p>
        </w:tc>
        <w:tc>
          <w:tcPr>
            <w:tcW w:w="201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8"/>
              <w:jc w:val="center"/>
              <w:rPr>
                <w:sz w:val="18"/>
              </w:rPr>
            </w:pPr>
            <w:r>
              <w:rPr>
                <w:sz w:val="18"/>
              </w:rPr>
              <w:t>₡20</w:t>
            </w:r>
            <w:r>
              <w:rPr>
                <w:spacing w:val="1"/>
                <w:sz w:val="18"/>
              </w:rPr>
              <w:t> </w:t>
            </w:r>
            <w:r>
              <w:rPr>
                <w:sz w:val="18"/>
              </w:rPr>
              <w:t>000</w:t>
            </w:r>
            <w:r>
              <w:rPr>
                <w:spacing w:val="-3"/>
                <w:sz w:val="18"/>
              </w:rPr>
              <w:t> </w:t>
            </w:r>
            <w:r>
              <w:rPr>
                <w:spacing w:val="-5"/>
                <w:sz w:val="18"/>
              </w:rPr>
              <w:t>000</w:t>
            </w:r>
          </w:p>
        </w:tc>
        <w:tc>
          <w:tcPr>
            <w:tcW w:w="2131"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2275" w:hRule="atLeast"/>
        </w:trPr>
        <w:tc>
          <w:tcPr>
            <w:tcW w:w="319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2" w:right="105"/>
              <w:rPr>
                <w:sz w:val="18"/>
              </w:rPr>
            </w:pPr>
            <w:r>
              <w:rPr>
                <w:b/>
                <w:sz w:val="18"/>
              </w:rPr>
              <w:t>Actividad PAC 2.82.6: </w:t>
            </w:r>
            <w:r>
              <w:rPr>
                <w:sz w:val="18"/>
              </w:rPr>
              <w:t>Elaborar informes</w:t>
            </w:r>
            <w:r>
              <w:rPr>
                <w:spacing w:val="-10"/>
                <w:sz w:val="18"/>
              </w:rPr>
              <w:t> </w:t>
            </w:r>
            <w:r>
              <w:rPr>
                <w:sz w:val="18"/>
              </w:rPr>
              <w:t>de</w:t>
            </w:r>
            <w:r>
              <w:rPr>
                <w:spacing w:val="-10"/>
                <w:sz w:val="18"/>
              </w:rPr>
              <w:t> </w:t>
            </w:r>
            <w:r>
              <w:rPr>
                <w:sz w:val="18"/>
              </w:rPr>
              <w:t>seguimiento</w:t>
            </w:r>
            <w:r>
              <w:rPr>
                <w:spacing w:val="-6"/>
                <w:sz w:val="18"/>
              </w:rPr>
              <w:t> </w:t>
            </w:r>
            <w:r>
              <w:rPr>
                <w:sz w:val="18"/>
              </w:rPr>
              <w:t>del</w:t>
            </w:r>
            <w:r>
              <w:rPr>
                <w:spacing w:val="-11"/>
                <w:sz w:val="18"/>
              </w:rPr>
              <w:t> </w:t>
            </w:r>
            <w:r>
              <w:rPr>
                <w:sz w:val="18"/>
              </w:rPr>
              <w:t>PEI,</w:t>
            </w:r>
            <w:r>
              <w:rPr>
                <w:spacing w:val="-3"/>
                <w:sz w:val="18"/>
              </w:rPr>
              <w:t> </w:t>
            </w:r>
            <w:r>
              <w:rPr>
                <w:sz w:val="18"/>
              </w:rPr>
              <w:t>POI y POGE usando la herramienta DELPHOS NET</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9" w:right="4"/>
              <w:jc w:val="center"/>
              <w:rPr>
                <w:sz w:val="18"/>
              </w:rPr>
            </w:pPr>
            <w:r>
              <w:rPr>
                <w:spacing w:val="-10"/>
                <w:sz w:val="18"/>
              </w:rPr>
              <w:t>6</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9" w:right="4"/>
              <w:jc w:val="center"/>
              <w:rPr>
                <w:sz w:val="18"/>
              </w:rPr>
            </w:pPr>
            <w:r>
              <w:rPr>
                <w:spacing w:val="-10"/>
                <w:sz w:val="18"/>
              </w:rPr>
              <w:t>6</w:t>
            </w:r>
          </w:p>
        </w:tc>
        <w:tc>
          <w:tcPr>
            <w:tcW w:w="1776"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67" w:right="721"/>
              <w:jc w:val="both"/>
              <w:rPr>
                <w:sz w:val="18"/>
              </w:rPr>
            </w:pPr>
            <w:r>
              <w:rPr>
                <w:sz w:val="18"/>
              </w:rPr>
              <w:t>Cantidad</w:t>
            </w:r>
            <w:r>
              <w:rPr>
                <w:spacing w:val="-13"/>
                <w:sz w:val="18"/>
              </w:rPr>
              <w:t> </w:t>
            </w:r>
            <w:r>
              <w:rPr>
                <w:sz w:val="18"/>
              </w:rPr>
              <w:t>de informes</w:t>
            </w:r>
            <w:r>
              <w:rPr>
                <w:spacing w:val="-3"/>
                <w:sz w:val="18"/>
              </w:rPr>
              <w:t> </w:t>
            </w:r>
            <w:r>
              <w:rPr>
                <w:sz w:val="18"/>
              </w:rPr>
              <w:t>de </w:t>
            </w:r>
            <w:r>
              <w:rPr>
                <w:spacing w:val="-2"/>
                <w:sz w:val="18"/>
              </w:rPr>
              <w:t>seguimiento</w:t>
            </w:r>
          </w:p>
        </w:tc>
        <w:tc>
          <w:tcPr>
            <w:tcW w:w="1483" w:type="dxa"/>
          </w:tcPr>
          <w:p>
            <w:pPr>
              <w:pStyle w:val="TableParagraph"/>
              <w:ind w:left="67" w:right="88"/>
              <w:rPr>
                <w:sz w:val="18"/>
              </w:rPr>
            </w:pPr>
            <w:r>
              <w:rPr>
                <w:sz w:val="18"/>
              </w:rPr>
              <w:t>Informe de seguimiento a los</w:t>
            </w:r>
            <w:r>
              <w:rPr>
                <w:spacing w:val="-13"/>
                <w:sz w:val="18"/>
              </w:rPr>
              <w:t> </w:t>
            </w:r>
            <w:r>
              <w:rPr>
                <w:sz w:val="18"/>
              </w:rPr>
              <w:t>instrumentos </w:t>
            </w:r>
            <w:r>
              <w:rPr>
                <w:spacing w:val="-2"/>
                <w:sz w:val="18"/>
              </w:rPr>
              <w:t>institucionales</w:t>
            </w:r>
            <w:r>
              <w:rPr>
                <w:spacing w:val="40"/>
                <w:sz w:val="18"/>
              </w:rPr>
              <w:t> </w:t>
            </w:r>
            <w:r>
              <w:rPr>
                <w:sz w:val="18"/>
              </w:rPr>
              <w:t>de Planificación realizado por medio de la </w:t>
            </w:r>
            <w:r>
              <w:rPr>
                <w:spacing w:val="-2"/>
                <w:sz w:val="18"/>
              </w:rPr>
              <w:t>herramienta DELPHOS</w:t>
            </w:r>
          </w:p>
          <w:p>
            <w:pPr>
              <w:pStyle w:val="TableParagraph"/>
              <w:spacing w:line="206" w:lineRule="exact"/>
              <w:ind w:left="67" w:right="68"/>
              <w:rPr>
                <w:sz w:val="18"/>
              </w:rPr>
            </w:pPr>
            <w:r>
              <w:rPr>
                <w:spacing w:val="-2"/>
                <w:sz w:val="18"/>
              </w:rPr>
              <w:t>(Módulo </w:t>
            </w:r>
            <w:r>
              <w:rPr>
                <w:sz w:val="18"/>
              </w:rPr>
              <w:t>DELPHOS</w:t>
            </w:r>
            <w:r>
              <w:rPr>
                <w:spacing w:val="-13"/>
                <w:sz w:val="18"/>
              </w:rPr>
              <w:t> </w:t>
            </w:r>
            <w:r>
              <w:rPr>
                <w:sz w:val="18"/>
              </w:rPr>
              <w:t>NET)</w:t>
            </w:r>
          </w:p>
        </w:tc>
        <w:tc>
          <w:tcPr>
            <w:tcW w:w="129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tcPr>
          <w:p>
            <w:pPr>
              <w:pStyle w:val="TableParagraph"/>
              <w:rPr>
                <w:rFonts w:ascii="Times New Roman"/>
                <w:sz w:val="18"/>
              </w:rPr>
            </w:pPr>
          </w:p>
        </w:tc>
      </w:tr>
      <w:tr>
        <w:trPr>
          <w:trHeight w:val="513" w:hRule="atLeast"/>
        </w:trPr>
        <w:tc>
          <w:tcPr>
            <w:tcW w:w="14598" w:type="dxa"/>
            <w:gridSpan w:val="8"/>
            <w:shd w:val="clear" w:color="auto" w:fill="EFF8F9"/>
          </w:tcPr>
          <w:p>
            <w:pPr>
              <w:pStyle w:val="TableParagraph"/>
              <w:spacing w:before="153"/>
              <w:ind w:left="72"/>
              <w:rPr>
                <w:b/>
                <w:sz w:val="18"/>
              </w:rPr>
            </w:pPr>
            <w:r>
              <w:rPr>
                <w:b/>
                <w:sz w:val="18"/>
              </w:rPr>
              <w:t>Producto</w:t>
            </w:r>
            <w:r>
              <w:rPr>
                <w:b/>
                <w:spacing w:val="-8"/>
                <w:sz w:val="18"/>
              </w:rPr>
              <w:t> </w:t>
            </w:r>
            <w:r>
              <w:rPr>
                <w:b/>
                <w:sz w:val="18"/>
              </w:rPr>
              <w:t>PAC</w:t>
            </w:r>
            <w:r>
              <w:rPr>
                <w:b/>
                <w:spacing w:val="-9"/>
                <w:sz w:val="18"/>
              </w:rPr>
              <w:t> </w:t>
            </w:r>
            <w:r>
              <w:rPr>
                <w:b/>
                <w:sz w:val="18"/>
              </w:rPr>
              <w:t>2.83:</w:t>
            </w:r>
            <w:r>
              <w:rPr>
                <w:b/>
                <w:spacing w:val="-5"/>
                <w:sz w:val="18"/>
              </w:rPr>
              <w:t> </w:t>
            </w:r>
            <w:r>
              <w:rPr>
                <w:b/>
                <w:sz w:val="18"/>
              </w:rPr>
              <w:t>Asesoramiento</w:t>
            </w:r>
            <w:r>
              <w:rPr>
                <w:b/>
                <w:spacing w:val="-4"/>
                <w:sz w:val="18"/>
              </w:rPr>
              <w:t> </w:t>
            </w:r>
            <w:r>
              <w:rPr>
                <w:b/>
                <w:sz w:val="18"/>
              </w:rPr>
              <w:t>a</w:t>
            </w:r>
            <w:r>
              <w:rPr>
                <w:b/>
                <w:spacing w:val="-11"/>
                <w:sz w:val="18"/>
              </w:rPr>
              <w:t> </w:t>
            </w:r>
            <w:r>
              <w:rPr>
                <w:b/>
                <w:sz w:val="18"/>
              </w:rPr>
              <w:t>Instituciones</w:t>
            </w:r>
            <w:r>
              <w:rPr>
                <w:b/>
                <w:spacing w:val="-4"/>
                <w:sz w:val="18"/>
              </w:rPr>
              <w:t> </w:t>
            </w:r>
            <w:r>
              <w:rPr>
                <w:b/>
                <w:sz w:val="18"/>
              </w:rPr>
              <w:t>del</w:t>
            </w:r>
            <w:r>
              <w:rPr>
                <w:b/>
                <w:spacing w:val="-5"/>
                <w:sz w:val="18"/>
              </w:rPr>
              <w:t> </w:t>
            </w:r>
            <w:r>
              <w:rPr>
                <w:b/>
                <w:sz w:val="18"/>
              </w:rPr>
              <w:t>Sector</w:t>
            </w:r>
            <w:r>
              <w:rPr>
                <w:b/>
                <w:spacing w:val="-6"/>
                <w:sz w:val="18"/>
              </w:rPr>
              <w:t> </w:t>
            </w:r>
            <w:r>
              <w:rPr>
                <w:b/>
                <w:sz w:val="18"/>
              </w:rPr>
              <w:t>Bienestar,</w:t>
            </w:r>
            <w:r>
              <w:rPr>
                <w:b/>
                <w:spacing w:val="-5"/>
                <w:sz w:val="18"/>
              </w:rPr>
              <w:t> </w:t>
            </w:r>
            <w:r>
              <w:rPr>
                <w:b/>
                <w:sz w:val="18"/>
              </w:rPr>
              <w:t>Trabajo</w:t>
            </w:r>
            <w:r>
              <w:rPr>
                <w:b/>
                <w:spacing w:val="-4"/>
                <w:sz w:val="18"/>
              </w:rPr>
              <w:t> </w:t>
            </w:r>
            <w:r>
              <w:rPr>
                <w:b/>
                <w:sz w:val="18"/>
              </w:rPr>
              <w:t>e</w:t>
            </w:r>
            <w:r>
              <w:rPr>
                <w:b/>
                <w:spacing w:val="-11"/>
                <w:sz w:val="18"/>
              </w:rPr>
              <w:t> </w:t>
            </w:r>
            <w:r>
              <w:rPr>
                <w:b/>
                <w:sz w:val="18"/>
              </w:rPr>
              <w:t>Inclusión</w:t>
            </w:r>
            <w:r>
              <w:rPr>
                <w:b/>
                <w:spacing w:val="-4"/>
                <w:sz w:val="18"/>
              </w:rPr>
              <w:t> </w:t>
            </w:r>
            <w:r>
              <w:rPr>
                <w:b/>
                <w:sz w:val="18"/>
              </w:rPr>
              <w:t>Social,</w:t>
            </w:r>
            <w:r>
              <w:rPr>
                <w:b/>
                <w:spacing w:val="-5"/>
                <w:sz w:val="18"/>
              </w:rPr>
              <w:t> </w:t>
            </w:r>
            <w:r>
              <w:rPr>
                <w:b/>
                <w:sz w:val="18"/>
              </w:rPr>
              <w:t>incluyendo</w:t>
            </w:r>
            <w:r>
              <w:rPr>
                <w:b/>
                <w:spacing w:val="-8"/>
                <w:sz w:val="18"/>
              </w:rPr>
              <w:t> </w:t>
            </w:r>
            <w:r>
              <w:rPr>
                <w:b/>
                <w:sz w:val="18"/>
              </w:rPr>
              <w:t>al</w:t>
            </w:r>
            <w:r>
              <w:rPr>
                <w:b/>
                <w:spacing w:val="-5"/>
                <w:sz w:val="18"/>
              </w:rPr>
              <w:t> </w:t>
            </w:r>
            <w:r>
              <w:rPr>
                <w:b/>
                <w:sz w:val="18"/>
              </w:rPr>
              <w:t>IMAS</w:t>
            </w:r>
            <w:r>
              <w:rPr>
                <w:b/>
                <w:spacing w:val="-8"/>
                <w:sz w:val="18"/>
              </w:rPr>
              <w:t> </w:t>
            </w:r>
            <w:r>
              <w:rPr>
                <w:b/>
                <w:spacing w:val="-2"/>
                <w:sz w:val="18"/>
              </w:rPr>
              <w:t>(100%)</w:t>
            </w:r>
          </w:p>
        </w:tc>
      </w:tr>
      <w:tr>
        <w:trPr>
          <w:trHeight w:val="1305" w:hRule="atLeast"/>
        </w:trPr>
        <w:tc>
          <w:tcPr>
            <w:tcW w:w="3193" w:type="dxa"/>
          </w:tcPr>
          <w:p>
            <w:pPr>
              <w:pStyle w:val="TableParagraph"/>
              <w:spacing w:before="132"/>
              <w:rPr>
                <w:b/>
                <w:sz w:val="18"/>
              </w:rPr>
            </w:pPr>
          </w:p>
          <w:p>
            <w:pPr>
              <w:pStyle w:val="TableParagraph"/>
              <w:ind w:left="72" w:right="111"/>
              <w:rPr>
                <w:sz w:val="18"/>
              </w:rPr>
            </w:pPr>
            <w:r>
              <w:rPr>
                <w:b/>
                <w:sz w:val="18"/>
              </w:rPr>
              <w:t>Actividad</w:t>
            </w:r>
            <w:r>
              <w:rPr>
                <w:b/>
                <w:spacing w:val="-12"/>
                <w:sz w:val="18"/>
              </w:rPr>
              <w:t> </w:t>
            </w:r>
            <w:r>
              <w:rPr>
                <w:b/>
                <w:sz w:val="18"/>
              </w:rPr>
              <w:t>PAC</w:t>
            </w:r>
            <w:r>
              <w:rPr>
                <w:b/>
                <w:spacing w:val="-8"/>
                <w:sz w:val="18"/>
              </w:rPr>
              <w:t> </w:t>
            </w:r>
            <w:r>
              <w:rPr>
                <w:b/>
                <w:sz w:val="18"/>
              </w:rPr>
              <w:t>2.83.1:</w:t>
            </w:r>
            <w:r>
              <w:rPr>
                <w:b/>
                <w:spacing w:val="-3"/>
                <w:sz w:val="18"/>
              </w:rPr>
              <w:t> </w:t>
            </w:r>
            <w:r>
              <w:rPr>
                <w:sz w:val="18"/>
              </w:rPr>
              <w:t>Emitir</w:t>
            </w:r>
            <w:r>
              <w:rPr>
                <w:spacing w:val="-9"/>
                <w:sz w:val="18"/>
              </w:rPr>
              <w:t> </w:t>
            </w:r>
            <w:r>
              <w:rPr>
                <w:sz w:val="18"/>
              </w:rPr>
              <w:t>de criterio técnico de la normativa remitida a PI</w:t>
            </w:r>
          </w:p>
        </w:tc>
        <w:tc>
          <w:tcPr>
            <w:tcW w:w="1354" w:type="dxa"/>
          </w:tcPr>
          <w:p>
            <w:pPr>
              <w:pStyle w:val="TableParagraph"/>
              <w:rPr>
                <w:b/>
                <w:sz w:val="18"/>
              </w:rPr>
            </w:pPr>
          </w:p>
          <w:p>
            <w:pPr>
              <w:pStyle w:val="TableParagraph"/>
              <w:spacing w:before="132"/>
              <w:rPr>
                <w:b/>
                <w:sz w:val="18"/>
              </w:rPr>
            </w:pPr>
          </w:p>
          <w:p>
            <w:pPr>
              <w:pStyle w:val="TableParagraph"/>
              <w:ind w:left="19" w:right="4"/>
              <w:jc w:val="center"/>
              <w:rPr>
                <w:sz w:val="18"/>
              </w:rPr>
            </w:pPr>
            <w:r>
              <w:rPr>
                <w:spacing w:val="-10"/>
                <w:sz w:val="18"/>
              </w:rPr>
              <w:t>4</w:t>
            </w:r>
          </w:p>
        </w:tc>
        <w:tc>
          <w:tcPr>
            <w:tcW w:w="1354" w:type="dxa"/>
          </w:tcPr>
          <w:p>
            <w:pPr>
              <w:pStyle w:val="TableParagraph"/>
              <w:rPr>
                <w:b/>
                <w:sz w:val="18"/>
              </w:rPr>
            </w:pPr>
          </w:p>
          <w:p>
            <w:pPr>
              <w:pStyle w:val="TableParagraph"/>
              <w:spacing w:before="132"/>
              <w:rPr>
                <w:b/>
                <w:sz w:val="18"/>
              </w:rPr>
            </w:pPr>
          </w:p>
          <w:p>
            <w:pPr>
              <w:pStyle w:val="TableParagraph"/>
              <w:ind w:left="19" w:right="7"/>
              <w:jc w:val="center"/>
              <w:rPr>
                <w:sz w:val="18"/>
              </w:rPr>
            </w:pPr>
            <w:r>
              <w:rPr>
                <w:spacing w:val="-4"/>
                <w:sz w:val="18"/>
              </w:rPr>
              <w:t>100%</w:t>
            </w:r>
          </w:p>
        </w:tc>
        <w:tc>
          <w:tcPr>
            <w:tcW w:w="1776" w:type="dxa"/>
          </w:tcPr>
          <w:p>
            <w:pPr>
              <w:pStyle w:val="TableParagraph"/>
              <w:spacing w:before="27"/>
              <w:rPr>
                <w:b/>
                <w:sz w:val="18"/>
              </w:rPr>
            </w:pPr>
          </w:p>
          <w:p>
            <w:pPr>
              <w:pStyle w:val="TableParagraph"/>
              <w:spacing w:line="242" w:lineRule="auto"/>
              <w:ind w:left="67"/>
              <w:rPr>
                <w:sz w:val="18"/>
              </w:rPr>
            </w:pPr>
            <w:r>
              <w:rPr>
                <w:sz w:val="18"/>
              </w:rPr>
              <w:t>Porcentaje de normativa</w:t>
            </w:r>
            <w:r>
              <w:rPr>
                <w:spacing w:val="-15"/>
                <w:sz w:val="18"/>
              </w:rPr>
              <w:t> </w:t>
            </w:r>
            <w:r>
              <w:rPr>
                <w:sz w:val="18"/>
              </w:rPr>
              <w:t>remitida</w:t>
            </w:r>
            <w:r>
              <w:rPr>
                <w:spacing w:val="-12"/>
                <w:sz w:val="18"/>
              </w:rPr>
              <w:t> </w:t>
            </w:r>
            <w:r>
              <w:rPr>
                <w:sz w:val="18"/>
              </w:rPr>
              <w:t>a PI, con criterio técnico emitido</w:t>
            </w:r>
          </w:p>
        </w:tc>
        <w:tc>
          <w:tcPr>
            <w:tcW w:w="1483" w:type="dxa"/>
          </w:tcPr>
          <w:p>
            <w:pPr>
              <w:pStyle w:val="TableParagraph"/>
              <w:spacing w:before="132"/>
              <w:rPr>
                <w:b/>
                <w:sz w:val="18"/>
              </w:rPr>
            </w:pPr>
          </w:p>
          <w:p>
            <w:pPr>
              <w:pStyle w:val="TableParagraph"/>
              <w:ind w:left="67" w:right="58"/>
              <w:rPr>
                <w:sz w:val="18"/>
              </w:rPr>
            </w:pPr>
            <w:r>
              <w:rPr>
                <w:sz w:val="18"/>
              </w:rPr>
              <w:t>Oficios con la emisión de criterios</w:t>
            </w:r>
            <w:r>
              <w:rPr>
                <w:spacing w:val="-13"/>
                <w:sz w:val="18"/>
              </w:rPr>
              <w:t> </w:t>
            </w:r>
            <w:r>
              <w:rPr>
                <w:sz w:val="18"/>
              </w:rPr>
              <w:t>técnicos</w:t>
            </w:r>
          </w:p>
        </w:tc>
        <w:tc>
          <w:tcPr>
            <w:tcW w:w="1296" w:type="dxa"/>
          </w:tcPr>
          <w:p>
            <w:pPr>
              <w:pStyle w:val="TableParagraph"/>
              <w:rPr>
                <w:b/>
                <w:sz w:val="18"/>
              </w:rPr>
            </w:pPr>
          </w:p>
          <w:p>
            <w:pPr>
              <w:pStyle w:val="TableParagraph"/>
              <w:spacing w:before="31"/>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spacing w:before="8"/>
              <w:ind w:left="74"/>
              <w:rPr>
                <w:sz w:val="18"/>
              </w:rPr>
            </w:pPr>
            <w:r>
              <w:rPr>
                <w:spacing w:val="-2"/>
                <w:sz w:val="18"/>
              </w:rPr>
              <w:t>Eventos:</w:t>
            </w:r>
          </w:p>
          <w:p>
            <w:pPr>
              <w:pStyle w:val="TableParagraph"/>
              <w:spacing w:before="206"/>
              <w:ind w:left="74"/>
              <w:rPr>
                <w:sz w:val="18"/>
              </w:rPr>
            </w:pPr>
            <w:r>
              <w:rPr>
                <w:sz w:val="18"/>
              </w:rPr>
              <w:t>1</w:t>
            </w:r>
            <w:r>
              <w:rPr>
                <w:spacing w:val="-7"/>
                <w:sz w:val="18"/>
              </w:rPr>
              <w:t> </w:t>
            </w:r>
            <w:r>
              <w:rPr>
                <w:sz w:val="18"/>
              </w:rPr>
              <w:t>Emisión</w:t>
            </w:r>
            <w:r>
              <w:rPr>
                <w:spacing w:val="-10"/>
                <w:sz w:val="18"/>
              </w:rPr>
              <w:t> </w:t>
            </w:r>
            <w:r>
              <w:rPr>
                <w:sz w:val="18"/>
              </w:rPr>
              <w:t>de</w:t>
            </w:r>
            <w:r>
              <w:rPr>
                <w:spacing w:val="-10"/>
                <w:sz w:val="18"/>
              </w:rPr>
              <w:t> </w:t>
            </w:r>
            <w:r>
              <w:rPr>
                <w:sz w:val="18"/>
              </w:rPr>
              <w:t>criterios</w:t>
            </w:r>
            <w:r>
              <w:rPr>
                <w:spacing w:val="-6"/>
                <w:sz w:val="18"/>
              </w:rPr>
              <w:t> </w:t>
            </w:r>
            <w:r>
              <w:rPr>
                <w:sz w:val="18"/>
              </w:rPr>
              <w:t>en un plazo mayor al indicado</w:t>
            </w:r>
            <w:r>
              <w:rPr>
                <w:spacing w:val="-3"/>
                <w:sz w:val="18"/>
              </w:rPr>
              <w:t> </w:t>
            </w:r>
            <w:r>
              <w:rPr>
                <w:sz w:val="18"/>
              </w:rPr>
              <w:t>en</w:t>
            </w:r>
            <w:r>
              <w:rPr>
                <w:spacing w:val="-7"/>
                <w:sz w:val="18"/>
              </w:rPr>
              <w:t> </w:t>
            </w:r>
            <w:r>
              <w:rPr>
                <w:sz w:val="18"/>
              </w:rPr>
              <w:t>la</w:t>
            </w:r>
            <w:r>
              <w:rPr>
                <w:spacing w:val="-3"/>
                <w:sz w:val="18"/>
              </w:rPr>
              <w:t> </w:t>
            </w:r>
            <w:r>
              <w:rPr>
                <w:sz w:val="18"/>
              </w:rPr>
              <w:t>normativa </w:t>
            </w:r>
            <w:r>
              <w:rPr>
                <w:spacing w:val="-2"/>
                <w:sz w:val="18"/>
              </w:rPr>
              <w:t>interna</w:t>
            </w:r>
          </w:p>
          <w:p>
            <w:pPr>
              <w:pStyle w:val="TableParagraph"/>
              <w:spacing w:line="242" w:lineRule="auto"/>
              <w:ind w:left="74"/>
              <w:rPr>
                <w:sz w:val="18"/>
              </w:rPr>
            </w:pPr>
            <w:r>
              <w:rPr>
                <w:sz w:val="18"/>
              </w:rPr>
              <w:t>2 Que no se pueda presentar</w:t>
            </w:r>
            <w:r>
              <w:rPr>
                <w:spacing w:val="-5"/>
                <w:sz w:val="18"/>
              </w:rPr>
              <w:t> </w:t>
            </w:r>
            <w:r>
              <w:rPr>
                <w:sz w:val="18"/>
              </w:rPr>
              <w:t>el</w:t>
            </w:r>
            <w:r>
              <w:rPr>
                <w:spacing w:val="-12"/>
                <w:sz w:val="18"/>
              </w:rPr>
              <w:t> </w:t>
            </w:r>
            <w:r>
              <w:rPr>
                <w:sz w:val="18"/>
              </w:rPr>
              <w:t>criterio</w:t>
            </w:r>
            <w:r>
              <w:rPr>
                <w:spacing w:val="-10"/>
                <w:sz w:val="18"/>
              </w:rPr>
              <w:t> </w:t>
            </w:r>
            <w:r>
              <w:rPr>
                <w:sz w:val="18"/>
              </w:rPr>
              <w:t>en</w:t>
            </w:r>
            <w:r>
              <w:rPr>
                <w:spacing w:val="-10"/>
                <w:sz w:val="18"/>
              </w:rPr>
              <w:t> </w:t>
            </w:r>
            <w:r>
              <w:rPr>
                <w:sz w:val="18"/>
              </w:rPr>
              <w:t>el plazo requerido</w:t>
            </w:r>
          </w:p>
          <w:p>
            <w:pPr>
              <w:pStyle w:val="TableParagraph"/>
              <w:ind w:left="74" w:right="58"/>
              <w:rPr>
                <w:sz w:val="18"/>
              </w:rPr>
            </w:pPr>
            <w:r>
              <w:rPr>
                <w:sz w:val="18"/>
              </w:rPr>
              <w:t>3 Generar criterios técnicos que no están alineados con la normativa</w:t>
            </w:r>
            <w:r>
              <w:rPr>
                <w:spacing w:val="-13"/>
                <w:sz w:val="18"/>
              </w:rPr>
              <w:t> </w:t>
            </w:r>
            <w:r>
              <w:rPr>
                <w:sz w:val="18"/>
              </w:rPr>
              <w:t>vigente</w:t>
            </w:r>
            <w:r>
              <w:rPr>
                <w:spacing w:val="-12"/>
                <w:sz w:val="18"/>
              </w:rPr>
              <w:t> </w:t>
            </w:r>
            <w:r>
              <w:rPr>
                <w:sz w:val="18"/>
              </w:rPr>
              <w:t>ni</w:t>
            </w:r>
            <w:r>
              <w:rPr>
                <w:spacing w:val="-11"/>
                <w:sz w:val="18"/>
              </w:rPr>
              <w:t> </w:t>
            </w:r>
            <w:r>
              <w:rPr>
                <w:sz w:val="18"/>
              </w:rPr>
              <w:t>con la finalidad inicial del proceso de </w:t>
            </w:r>
            <w:r>
              <w:rPr>
                <w:spacing w:val="-2"/>
                <w:sz w:val="18"/>
              </w:rPr>
              <w:t>reestructuración administrativa.</w:t>
            </w:r>
          </w:p>
          <w:p>
            <w:pPr>
              <w:pStyle w:val="TableParagraph"/>
              <w:spacing w:line="206" w:lineRule="exact"/>
              <w:ind w:left="74" w:right="112"/>
              <w:rPr>
                <w:sz w:val="18"/>
              </w:rPr>
            </w:pPr>
            <w:r>
              <w:rPr>
                <w:sz w:val="18"/>
              </w:rPr>
              <w:t>4</w:t>
            </w:r>
            <w:r>
              <w:rPr>
                <w:spacing w:val="-7"/>
                <w:sz w:val="18"/>
              </w:rPr>
              <w:t> </w:t>
            </w:r>
            <w:r>
              <w:rPr>
                <w:sz w:val="18"/>
              </w:rPr>
              <w:t>Atrasos</w:t>
            </w:r>
            <w:r>
              <w:rPr>
                <w:spacing w:val="-6"/>
                <w:sz w:val="18"/>
              </w:rPr>
              <w:t> </w:t>
            </w:r>
            <w:r>
              <w:rPr>
                <w:sz w:val="18"/>
              </w:rPr>
              <w:t>en</w:t>
            </w:r>
            <w:r>
              <w:rPr>
                <w:spacing w:val="-10"/>
                <w:sz w:val="18"/>
              </w:rPr>
              <w:t> </w:t>
            </w:r>
            <w:r>
              <w:rPr>
                <w:sz w:val="18"/>
              </w:rPr>
              <w:t>la</w:t>
            </w:r>
            <w:r>
              <w:rPr>
                <w:spacing w:val="-10"/>
                <w:sz w:val="18"/>
              </w:rPr>
              <w:t> </w:t>
            </w:r>
            <w:r>
              <w:rPr>
                <w:sz w:val="18"/>
              </w:rPr>
              <w:t>emisión de criterios técnicos</w:t>
            </w:r>
          </w:p>
        </w:tc>
      </w:tr>
      <w:tr>
        <w:trPr>
          <w:trHeight w:val="1574" w:hRule="atLeast"/>
        </w:trPr>
        <w:tc>
          <w:tcPr>
            <w:tcW w:w="3193" w:type="dxa"/>
          </w:tcPr>
          <w:p>
            <w:pPr>
              <w:pStyle w:val="TableParagraph"/>
              <w:rPr>
                <w:b/>
                <w:sz w:val="18"/>
              </w:rPr>
            </w:pPr>
          </w:p>
          <w:p>
            <w:pPr>
              <w:pStyle w:val="TableParagraph"/>
              <w:spacing w:before="60"/>
              <w:rPr>
                <w:b/>
                <w:sz w:val="18"/>
              </w:rPr>
            </w:pPr>
          </w:p>
          <w:p>
            <w:pPr>
              <w:pStyle w:val="TableParagraph"/>
              <w:ind w:left="72"/>
              <w:rPr>
                <w:sz w:val="18"/>
              </w:rPr>
            </w:pPr>
            <w:r>
              <w:rPr>
                <w:b/>
                <w:sz w:val="18"/>
              </w:rPr>
              <w:t>Actividad</w:t>
            </w:r>
            <w:r>
              <w:rPr>
                <w:b/>
                <w:spacing w:val="-13"/>
                <w:sz w:val="18"/>
              </w:rPr>
              <w:t> </w:t>
            </w:r>
            <w:r>
              <w:rPr>
                <w:b/>
                <w:sz w:val="18"/>
              </w:rPr>
              <w:t>PAC</w:t>
            </w:r>
            <w:r>
              <w:rPr>
                <w:b/>
                <w:spacing w:val="-9"/>
                <w:sz w:val="18"/>
              </w:rPr>
              <w:t> </w:t>
            </w:r>
            <w:r>
              <w:rPr>
                <w:b/>
                <w:sz w:val="18"/>
              </w:rPr>
              <w:t>2.83.2:</w:t>
            </w:r>
            <w:r>
              <w:rPr>
                <w:b/>
                <w:spacing w:val="-4"/>
                <w:sz w:val="18"/>
              </w:rPr>
              <w:t> </w:t>
            </w:r>
            <w:r>
              <w:rPr>
                <w:sz w:val="18"/>
              </w:rPr>
              <w:t>Emitir</w:t>
            </w:r>
            <w:r>
              <w:rPr>
                <w:spacing w:val="-10"/>
                <w:sz w:val="18"/>
              </w:rPr>
              <w:t> </w:t>
            </w:r>
            <w:r>
              <w:rPr>
                <w:sz w:val="18"/>
              </w:rPr>
              <w:t>criterios sobre presupuestos extraordinarios y modificaciones presupuestarias</w:t>
            </w:r>
          </w:p>
        </w:tc>
        <w:tc>
          <w:tcPr>
            <w:tcW w:w="1354" w:type="dxa"/>
          </w:tcPr>
          <w:p>
            <w:pPr>
              <w:pStyle w:val="TableParagraph"/>
              <w:spacing w:before="162"/>
              <w:ind w:left="71" w:right="56" w:firstLine="58"/>
              <w:jc w:val="center"/>
              <w:rPr>
                <w:sz w:val="18"/>
              </w:rPr>
            </w:pPr>
            <w:r>
              <w:rPr>
                <w:sz w:val="18"/>
              </w:rPr>
              <w:t>6 criterios de </w:t>
            </w:r>
            <w:r>
              <w:rPr>
                <w:spacing w:val="-2"/>
                <w:sz w:val="18"/>
              </w:rPr>
              <w:t>Modificaciones </w:t>
            </w:r>
            <w:r>
              <w:rPr>
                <w:sz w:val="18"/>
              </w:rPr>
              <w:t>Generales/ 3 criterios de </w:t>
            </w:r>
            <w:r>
              <w:rPr>
                <w:spacing w:val="-2"/>
                <w:sz w:val="18"/>
              </w:rPr>
              <w:t>Presupuestos Extraordinarios</w:t>
            </w:r>
          </w:p>
        </w:tc>
        <w:tc>
          <w:tcPr>
            <w:tcW w:w="1354" w:type="dxa"/>
          </w:tcPr>
          <w:p>
            <w:pPr>
              <w:pStyle w:val="TableParagraph"/>
              <w:rPr>
                <w:b/>
                <w:sz w:val="18"/>
              </w:rPr>
            </w:pPr>
          </w:p>
          <w:p>
            <w:pPr>
              <w:pStyle w:val="TableParagraph"/>
              <w:rPr>
                <w:b/>
                <w:sz w:val="18"/>
              </w:rPr>
            </w:pPr>
          </w:p>
          <w:p>
            <w:pPr>
              <w:pStyle w:val="TableParagraph"/>
              <w:spacing w:before="60"/>
              <w:rPr>
                <w:b/>
                <w:sz w:val="18"/>
              </w:rPr>
            </w:pPr>
          </w:p>
          <w:p>
            <w:pPr>
              <w:pStyle w:val="TableParagraph"/>
              <w:ind w:left="19" w:right="7"/>
              <w:jc w:val="center"/>
              <w:rPr>
                <w:sz w:val="18"/>
              </w:rPr>
            </w:pPr>
            <w:r>
              <w:rPr>
                <w:spacing w:val="-4"/>
                <w:sz w:val="18"/>
              </w:rPr>
              <w:t>100%</w:t>
            </w:r>
          </w:p>
        </w:tc>
        <w:tc>
          <w:tcPr>
            <w:tcW w:w="1776" w:type="dxa"/>
          </w:tcPr>
          <w:p>
            <w:pPr>
              <w:pStyle w:val="TableParagraph"/>
              <w:rPr>
                <w:b/>
                <w:sz w:val="18"/>
              </w:rPr>
            </w:pPr>
          </w:p>
          <w:p>
            <w:pPr>
              <w:pStyle w:val="TableParagraph"/>
              <w:spacing w:before="166"/>
              <w:rPr>
                <w:b/>
                <w:sz w:val="18"/>
              </w:rPr>
            </w:pPr>
          </w:p>
          <w:p>
            <w:pPr>
              <w:pStyle w:val="TableParagraph"/>
              <w:ind w:left="67" w:right="121"/>
              <w:rPr>
                <w:sz w:val="18"/>
              </w:rPr>
            </w:pPr>
            <w:r>
              <w:rPr>
                <w:sz w:val="18"/>
              </w:rPr>
              <w:t>Porcentaje de criterios</w:t>
            </w:r>
            <w:r>
              <w:rPr>
                <w:spacing w:val="-13"/>
                <w:sz w:val="18"/>
              </w:rPr>
              <w:t> </w:t>
            </w:r>
            <w:r>
              <w:rPr>
                <w:sz w:val="18"/>
              </w:rPr>
              <w:t>elaborados</w:t>
            </w:r>
          </w:p>
        </w:tc>
        <w:tc>
          <w:tcPr>
            <w:tcW w:w="1483" w:type="dxa"/>
          </w:tcPr>
          <w:p>
            <w:pPr>
              <w:pStyle w:val="TableParagraph"/>
              <w:rPr>
                <w:b/>
                <w:sz w:val="18"/>
              </w:rPr>
            </w:pPr>
          </w:p>
          <w:p>
            <w:pPr>
              <w:pStyle w:val="TableParagraph"/>
              <w:spacing w:before="60"/>
              <w:rPr>
                <w:b/>
                <w:sz w:val="18"/>
              </w:rPr>
            </w:pPr>
          </w:p>
          <w:p>
            <w:pPr>
              <w:pStyle w:val="TableParagraph"/>
              <w:ind w:left="67"/>
              <w:rPr>
                <w:sz w:val="18"/>
              </w:rPr>
            </w:pPr>
            <w:r>
              <w:rPr>
                <w:sz w:val="18"/>
              </w:rPr>
              <w:t>Oficios de remisión</w:t>
            </w:r>
            <w:r>
              <w:rPr>
                <w:spacing w:val="-15"/>
                <w:sz w:val="18"/>
              </w:rPr>
              <w:t> </w:t>
            </w:r>
            <w:r>
              <w:rPr>
                <w:sz w:val="18"/>
              </w:rPr>
              <w:t>de</w:t>
            </w:r>
            <w:r>
              <w:rPr>
                <w:spacing w:val="-12"/>
                <w:sz w:val="18"/>
              </w:rPr>
              <w:t> </w:t>
            </w:r>
            <w:r>
              <w:rPr>
                <w:sz w:val="18"/>
              </w:rPr>
              <w:t>los </w:t>
            </w:r>
            <w:r>
              <w:rPr>
                <w:spacing w:val="-2"/>
                <w:sz w:val="18"/>
              </w:rPr>
              <w:t>criterios</w:t>
            </w:r>
          </w:p>
        </w:tc>
        <w:tc>
          <w:tcPr>
            <w:tcW w:w="1296" w:type="dxa"/>
          </w:tcPr>
          <w:p>
            <w:pPr>
              <w:pStyle w:val="TableParagraph"/>
              <w:rPr>
                <w:b/>
                <w:sz w:val="18"/>
              </w:rPr>
            </w:pPr>
          </w:p>
          <w:p>
            <w:pPr>
              <w:pStyle w:val="TableParagraph"/>
              <w:spacing w:before="166"/>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051" w:hRule="atLeast"/>
        </w:trPr>
        <w:tc>
          <w:tcPr>
            <w:tcW w:w="3193" w:type="dxa"/>
          </w:tcPr>
          <w:p>
            <w:pPr>
              <w:pStyle w:val="TableParagraph"/>
              <w:spacing w:before="110"/>
              <w:ind w:left="72" w:right="59"/>
              <w:rPr>
                <w:sz w:val="18"/>
              </w:rPr>
            </w:pPr>
            <w:r>
              <w:rPr>
                <w:b/>
                <w:sz w:val="18"/>
              </w:rPr>
              <w:t>Actividad</w:t>
            </w:r>
            <w:r>
              <w:rPr>
                <w:b/>
                <w:spacing w:val="-13"/>
                <w:sz w:val="18"/>
              </w:rPr>
              <w:t> </w:t>
            </w:r>
            <w:r>
              <w:rPr>
                <w:b/>
                <w:sz w:val="18"/>
              </w:rPr>
              <w:t>PAC</w:t>
            </w:r>
            <w:r>
              <w:rPr>
                <w:b/>
                <w:spacing w:val="-9"/>
                <w:sz w:val="18"/>
              </w:rPr>
              <w:t> </w:t>
            </w:r>
            <w:r>
              <w:rPr>
                <w:b/>
                <w:sz w:val="18"/>
              </w:rPr>
              <w:t>2.83.3:</w:t>
            </w:r>
            <w:r>
              <w:rPr>
                <w:b/>
                <w:spacing w:val="-4"/>
                <w:sz w:val="18"/>
              </w:rPr>
              <w:t> </w:t>
            </w:r>
            <w:r>
              <w:rPr>
                <w:sz w:val="18"/>
              </w:rPr>
              <w:t>Emitir</w:t>
            </w:r>
            <w:r>
              <w:rPr>
                <w:spacing w:val="-10"/>
                <w:sz w:val="18"/>
              </w:rPr>
              <w:t> </w:t>
            </w:r>
            <w:r>
              <w:rPr>
                <w:sz w:val="18"/>
              </w:rPr>
              <w:t>criterios técnicos para avales de reorganización</w:t>
            </w:r>
            <w:r>
              <w:rPr>
                <w:spacing w:val="-1"/>
                <w:sz w:val="18"/>
              </w:rPr>
              <w:t> </w:t>
            </w:r>
            <w:r>
              <w:rPr>
                <w:sz w:val="18"/>
              </w:rPr>
              <w:t>del SBTIS, incluyendo al IMAS</w:t>
            </w:r>
          </w:p>
        </w:tc>
        <w:tc>
          <w:tcPr>
            <w:tcW w:w="1354" w:type="dxa"/>
          </w:tcPr>
          <w:p>
            <w:pPr>
              <w:pStyle w:val="TableParagraph"/>
              <w:rPr>
                <w:b/>
                <w:sz w:val="18"/>
              </w:rPr>
            </w:pPr>
          </w:p>
          <w:p>
            <w:pPr>
              <w:pStyle w:val="TableParagraph"/>
              <w:spacing w:before="8"/>
              <w:rPr>
                <w:b/>
                <w:sz w:val="18"/>
              </w:rPr>
            </w:pPr>
          </w:p>
          <w:p>
            <w:pPr>
              <w:pStyle w:val="TableParagraph"/>
              <w:ind w:left="19" w:right="4"/>
              <w:jc w:val="center"/>
              <w:rPr>
                <w:sz w:val="18"/>
              </w:rPr>
            </w:pPr>
            <w:r>
              <w:rPr>
                <w:spacing w:val="-10"/>
                <w:sz w:val="18"/>
              </w:rPr>
              <w:t>1</w:t>
            </w:r>
          </w:p>
        </w:tc>
        <w:tc>
          <w:tcPr>
            <w:tcW w:w="1354" w:type="dxa"/>
          </w:tcPr>
          <w:p>
            <w:pPr>
              <w:pStyle w:val="TableParagraph"/>
              <w:rPr>
                <w:b/>
                <w:sz w:val="18"/>
              </w:rPr>
            </w:pPr>
          </w:p>
          <w:p>
            <w:pPr>
              <w:pStyle w:val="TableParagraph"/>
              <w:spacing w:before="8"/>
              <w:rPr>
                <w:b/>
                <w:sz w:val="18"/>
              </w:rPr>
            </w:pPr>
          </w:p>
          <w:p>
            <w:pPr>
              <w:pStyle w:val="TableParagraph"/>
              <w:ind w:left="19" w:right="7"/>
              <w:jc w:val="center"/>
              <w:rPr>
                <w:sz w:val="18"/>
              </w:rPr>
            </w:pPr>
            <w:r>
              <w:rPr>
                <w:spacing w:val="-4"/>
                <w:sz w:val="18"/>
              </w:rPr>
              <w:t>100%</w:t>
            </w:r>
          </w:p>
        </w:tc>
        <w:tc>
          <w:tcPr>
            <w:tcW w:w="1776" w:type="dxa"/>
          </w:tcPr>
          <w:p>
            <w:pPr>
              <w:pStyle w:val="TableParagraph"/>
              <w:spacing w:before="109"/>
              <w:rPr>
                <w:b/>
                <w:sz w:val="18"/>
              </w:rPr>
            </w:pPr>
          </w:p>
          <w:p>
            <w:pPr>
              <w:pStyle w:val="TableParagraph"/>
              <w:ind w:left="67" w:right="341"/>
              <w:rPr>
                <w:sz w:val="18"/>
              </w:rPr>
            </w:pPr>
            <w:r>
              <w:rPr>
                <w:sz w:val="18"/>
              </w:rPr>
              <w:t>Porcentaje de criterios</w:t>
            </w:r>
            <w:r>
              <w:rPr>
                <w:spacing w:val="-13"/>
                <w:sz w:val="18"/>
              </w:rPr>
              <w:t> </w:t>
            </w:r>
            <w:r>
              <w:rPr>
                <w:sz w:val="18"/>
              </w:rPr>
              <w:t>emitidos</w:t>
            </w:r>
          </w:p>
        </w:tc>
        <w:tc>
          <w:tcPr>
            <w:tcW w:w="1483" w:type="dxa"/>
          </w:tcPr>
          <w:p>
            <w:pPr>
              <w:pStyle w:val="TableParagraph"/>
              <w:spacing w:before="8"/>
              <w:rPr>
                <w:b/>
                <w:sz w:val="18"/>
              </w:rPr>
            </w:pPr>
          </w:p>
          <w:p>
            <w:pPr>
              <w:pStyle w:val="TableParagraph"/>
              <w:ind w:left="67" w:right="58"/>
              <w:rPr>
                <w:sz w:val="18"/>
              </w:rPr>
            </w:pPr>
            <w:r>
              <w:rPr>
                <w:sz w:val="18"/>
              </w:rPr>
              <w:t>Oficios con la emisión de criterios</w:t>
            </w:r>
            <w:r>
              <w:rPr>
                <w:spacing w:val="-13"/>
                <w:sz w:val="18"/>
              </w:rPr>
              <w:t> </w:t>
            </w:r>
            <w:r>
              <w:rPr>
                <w:sz w:val="18"/>
              </w:rPr>
              <w:t>técnicos</w:t>
            </w:r>
          </w:p>
        </w:tc>
        <w:tc>
          <w:tcPr>
            <w:tcW w:w="1296" w:type="dxa"/>
          </w:tcPr>
          <w:p>
            <w:pPr>
              <w:pStyle w:val="TableParagraph"/>
              <w:spacing w:before="109"/>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3154"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2131" w:hRule="atLeast"/>
        </w:trPr>
        <w:tc>
          <w:tcPr>
            <w:tcW w:w="3193" w:type="dxa"/>
          </w:tcPr>
          <w:p>
            <w:pPr>
              <w:pStyle w:val="TableParagraph"/>
              <w:spacing w:before="133"/>
              <w:ind w:left="72" w:right="111"/>
              <w:rPr>
                <w:sz w:val="18"/>
              </w:rPr>
            </w:pPr>
            <w:r>
              <w:rPr>
                <w:b/>
                <w:sz w:val="18"/>
              </w:rPr>
              <w:t>Actividad PAC 2.83.4: </w:t>
            </w:r>
            <w:r>
              <w:rPr>
                <w:sz w:val="18"/>
              </w:rPr>
              <w:t>Emisión de criterios técnicos y asesoramiento para avales de los proyectos de inversión</w:t>
            </w:r>
            <w:r>
              <w:rPr>
                <w:spacing w:val="-10"/>
                <w:sz w:val="18"/>
              </w:rPr>
              <w:t> </w:t>
            </w:r>
            <w:r>
              <w:rPr>
                <w:sz w:val="18"/>
              </w:rPr>
              <w:t>social,</w:t>
            </w:r>
            <w:r>
              <w:rPr>
                <w:spacing w:val="-8"/>
                <w:sz w:val="18"/>
              </w:rPr>
              <w:t> </w:t>
            </w:r>
            <w:r>
              <w:rPr>
                <w:sz w:val="18"/>
              </w:rPr>
              <w:t>según</w:t>
            </w:r>
            <w:r>
              <w:rPr>
                <w:spacing w:val="-7"/>
                <w:sz w:val="18"/>
              </w:rPr>
              <w:t> </w:t>
            </w:r>
            <w:r>
              <w:rPr>
                <w:sz w:val="18"/>
              </w:rPr>
              <w:t>las</w:t>
            </w:r>
            <w:r>
              <w:rPr>
                <w:spacing w:val="-10"/>
                <w:sz w:val="18"/>
              </w:rPr>
              <w:t> </w:t>
            </w:r>
            <w:r>
              <w:rPr>
                <w:sz w:val="18"/>
              </w:rPr>
              <w:t>solicitudes de las</w:t>
            </w:r>
            <w:r>
              <w:rPr>
                <w:spacing w:val="-3"/>
                <w:sz w:val="18"/>
              </w:rPr>
              <w:t> </w:t>
            </w:r>
            <w:r>
              <w:rPr>
                <w:sz w:val="18"/>
              </w:rPr>
              <w:t>instituciones</w:t>
            </w:r>
            <w:r>
              <w:rPr>
                <w:spacing w:val="-3"/>
                <w:sz w:val="18"/>
              </w:rPr>
              <w:t> </w:t>
            </w:r>
            <w:r>
              <w:rPr>
                <w:sz w:val="18"/>
              </w:rPr>
              <w:t>que</w:t>
            </w:r>
            <w:r>
              <w:rPr>
                <w:spacing w:val="-3"/>
                <w:sz w:val="18"/>
              </w:rPr>
              <w:t> </w:t>
            </w:r>
            <w:r>
              <w:rPr>
                <w:sz w:val="18"/>
              </w:rPr>
              <w:t>conforman el Sector Bienestar, Trabajo</w:t>
            </w:r>
            <w:r>
              <w:rPr>
                <w:spacing w:val="-1"/>
                <w:sz w:val="18"/>
              </w:rPr>
              <w:t> </w:t>
            </w:r>
            <w:r>
              <w:rPr>
                <w:sz w:val="18"/>
              </w:rPr>
              <w:t>e</w:t>
            </w:r>
            <w:r>
              <w:rPr>
                <w:spacing w:val="-1"/>
                <w:sz w:val="18"/>
              </w:rPr>
              <w:t> </w:t>
            </w:r>
            <w:r>
              <w:rPr>
                <w:sz w:val="18"/>
              </w:rPr>
              <w:t>Inclusión Social, para ser incorporados en el Banco de Proyectos de Inversión Social de MIDEPLAN</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31"/>
              <w:rPr>
                <w:b/>
                <w:sz w:val="18"/>
              </w:rPr>
            </w:pPr>
          </w:p>
          <w:p>
            <w:pPr>
              <w:pStyle w:val="TableParagraph"/>
              <w:ind w:left="19" w:right="4"/>
              <w:jc w:val="center"/>
              <w:rPr>
                <w:sz w:val="18"/>
              </w:rPr>
            </w:pPr>
            <w:r>
              <w:rPr>
                <w:spacing w:val="-10"/>
                <w:sz w:val="18"/>
              </w:rPr>
              <w:t>1</w:t>
            </w:r>
          </w:p>
        </w:tc>
        <w:tc>
          <w:tcPr>
            <w:tcW w:w="1354" w:type="dxa"/>
          </w:tcPr>
          <w:p>
            <w:pPr>
              <w:pStyle w:val="TableParagraph"/>
              <w:rPr>
                <w:b/>
                <w:sz w:val="18"/>
              </w:rPr>
            </w:pPr>
          </w:p>
          <w:p>
            <w:pPr>
              <w:pStyle w:val="TableParagraph"/>
              <w:rPr>
                <w:b/>
                <w:sz w:val="18"/>
              </w:rPr>
            </w:pPr>
          </w:p>
          <w:p>
            <w:pPr>
              <w:pStyle w:val="TableParagraph"/>
              <w:rPr>
                <w:b/>
                <w:sz w:val="18"/>
              </w:rPr>
            </w:pPr>
          </w:p>
          <w:p>
            <w:pPr>
              <w:pStyle w:val="TableParagraph"/>
              <w:spacing w:before="131"/>
              <w:rPr>
                <w:b/>
                <w:sz w:val="18"/>
              </w:rPr>
            </w:pPr>
          </w:p>
          <w:p>
            <w:pPr>
              <w:pStyle w:val="TableParagraph"/>
              <w:ind w:left="19" w:right="7"/>
              <w:jc w:val="center"/>
              <w:rPr>
                <w:sz w:val="18"/>
              </w:rPr>
            </w:pPr>
            <w:r>
              <w:rPr>
                <w:spacing w:val="-4"/>
                <w:sz w:val="18"/>
              </w:rPr>
              <w:t>100%</w:t>
            </w:r>
          </w:p>
        </w:tc>
        <w:tc>
          <w:tcPr>
            <w:tcW w:w="1776" w:type="dxa"/>
          </w:tcPr>
          <w:p>
            <w:pPr>
              <w:pStyle w:val="TableParagraph"/>
              <w:rPr>
                <w:b/>
                <w:sz w:val="18"/>
              </w:rPr>
            </w:pPr>
          </w:p>
          <w:p>
            <w:pPr>
              <w:pStyle w:val="TableParagraph"/>
              <w:spacing w:before="31"/>
              <w:rPr>
                <w:b/>
                <w:sz w:val="18"/>
              </w:rPr>
            </w:pPr>
          </w:p>
          <w:p>
            <w:pPr>
              <w:pStyle w:val="TableParagraph"/>
              <w:ind w:left="67" w:right="131"/>
              <w:rPr>
                <w:sz w:val="18"/>
              </w:rPr>
            </w:pPr>
            <w:r>
              <w:rPr>
                <w:sz w:val="18"/>
              </w:rPr>
              <w:t>Porcentaje de </w:t>
            </w:r>
            <w:r>
              <w:rPr>
                <w:spacing w:val="-2"/>
                <w:sz w:val="18"/>
              </w:rPr>
              <w:t>proyectos </w:t>
            </w:r>
            <w:r>
              <w:rPr>
                <w:sz w:val="18"/>
              </w:rPr>
              <w:t>identificados con seguimiento para ser</w:t>
            </w:r>
            <w:r>
              <w:rPr>
                <w:spacing w:val="-15"/>
                <w:sz w:val="18"/>
              </w:rPr>
              <w:t> </w:t>
            </w:r>
            <w:r>
              <w:rPr>
                <w:sz w:val="18"/>
              </w:rPr>
              <w:t>incorporados</w:t>
            </w:r>
            <w:r>
              <w:rPr>
                <w:spacing w:val="-12"/>
                <w:sz w:val="18"/>
              </w:rPr>
              <w:t> </w:t>
            </w:r>
            <w:r>
              <w:rPr>
                <w:sz w:val="18"/>
              </w:rPr>
              <w:t>al </w:t>
            </w:r>
            <w:r>
              <w:rPr>
                <w:spacing w:val="-4"/>
                <w:sz w:val="18"/>
              </w:rPr>
              <w:t>BPIP</w:t>
            </w:r>
          </w:p>
        </w:tc>
        <w:tc>
          <w:tcPr>
            <w:tcW w:w="1483" w:type="dxa"/>
          </w:tcPr>
          <w:p>
            <w:pPr>
              <w:pStyle w:val="TableParagraph"/>
              <w:rPr>
                <w:b/>
                <w:sz w:val="18"/>
              </w:rPr>
            </w:pPr>
          </w:p>
          <w:p>
            <w:pPr>
              <w:pStyle w:val="TableParagraph"/>
              <w:rPr>
                <w:b/>
                <w:sz w:val="18"/>
              </w:rPr>
            </w:pPr>
          </w:p>
          <w:p>
            <w:pPr>
              <w:pStyle w:val="TableParagraph"/>
              <w:spacing w:before="131"/>
              <w:rPr>
                <w:b/>
                <w:sz w:val="18"/>
              </w:rPr>
            </w:pPr>
          </w:p>
          <w:p>
            <w:pPr>
              <w:pStyle w:val="TableParagraph"/>
              <w:ind w:left="67"/>
              <w:rPr>
                <w:sz w:val="18"/>
              </w:rPr>
            </w:pPr>
            <w:r>
              <w:rPr>
                <w:sz w:val="18"/>
              </w:rPr>
              <w:t>Oficios de remisión</w:t>
            </w:r>
            <w:r>
              <w:rPr>
                <w:spacing w:val="-15"/>
                <w:sz w:val="18"/>
              </w:rPr>
              <w:t> </w:t>
            </w:r>
            <w:r>
              <w:rPr>
                <w:sz w:val="18"/>
              </w:rPr>
              <w:t>de</w:t>
            </w:r>
            <w:r>
              <w:rPr>
                <w:spacing w:val="-12"/>
                <w:sz w:val="18"/>
              </w:rPr>
              <w:t> </w:t>
            </w:r>
            <w:r>
              <w:rPr>
                <w:sz w:val="18"/>
              </w:rPr>
              <w:t>los </w:t>
            </w:r>
            <w:r>
              <w:rPr>
                <w:spacing w:val="-2"/>
                <w:sz w:val="18"/>
              </w:rPr>
              <w:t>criterios</w:t>
            </w:r>
          </w:p>
        </w:tc>
        <w:tc>
          <w:tcPr>
            <w:tcW w:w="1296" w:type="dxa"/>
          </w:tcPr>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ind w:left="74" w:right="112"/>
              <w:rPr>
                <w:sz w:val="18"/>
              </w:rPr>
            </w:pPr>
            <w:r>
              <w:rPr>
                <w:sz w:val="18"/>
              </w:rPr>
              <w:t>necesarios para la inclusión</w:t>
            </w:r>
            <w:r>
              <w:rPr>
                <w:spacing w:val="-15"/>
                <w:sz w:val="18"/>
              </w:rPr>
              <w:t> </w:t>
            </w:r>
            <w:r>
              <w:rPr>
                <w:sz w:val="18"/>
              </w:rPr>
              <w:t>de</w:t>
            </w:r>
            <w:r>
              <w:rPr>
                <w:spacing w:val="-12"/>
                <w:sz w:val="18"/>
              </w:rPr>
              <w:t> </w:t>
            </w:r>
            <w:r>
              <w:rPr>
                <w:sz w:val="18"/>
              </w:rPr>
              <w:t>proyectos en el BPIP.</w:t>
            </w:r>
          </w:p>
          <w:p>
            <w:pPr>
              <w:pStyle w:val="TableParagraph"/>
              <w:ind w:left="74" w:right="68"/>
              <w:rPr>
                <w:sz w:val="18"/>
              </w:rPr>
            </w:pPr>
            <w:r>
              <w:rPr>
                <w:sz w:val="18"/>
              </w:rPr>
              <w:t>5 y 6 Secretaria</w:t>
            </w:r>
            <w:r>
              <w:rPr>
                <w:spacing w:val="40"/>
                <w:sz w:val="18"/>
              </w:rPr>
              <w:t> </w:t>
            </w:r>
            <w:r>
              <w:rPr>
                <w:sz w:val="18"/>
              </w:rPr>
              <w:t>Sectorial no da la atención</w:t>
            </w:r>
            <w:r>
              <w:rPr>
                <w:spacing w:val="-12"/>
                <w:sz w:val="18"/>
              </w:rPr>
              <w:t> </w:t>
            </w:r>
            <w:r>
              <w:rPr>
                <w:sz w:val="18"/>
              </w:rPr>
              <w:t>oportuna</w:t>
            </w:r>
            <w:r>
              <w:rPr>
                <w:spacing w:val="-12"/>
                <w:sz w:val="18"/>
              </w:rPr>
              <w:t> </w:t>
            </w:r>
            <w:r>
              <w:rPr>
                <w:sz w:val="18"/>
              </w:rPr>
              <w:t>en</w:t>
            </w:r>
            <w:r>
              <w:rPr>
                <w:spacing w:val="-9"/>
                <w:sz w:val="18"/>
              </w:rPr>
              <w:t> </w:t>
            </w:r>
            <w:r>
              <w:rPr>
                <w:sz w:val="18"/>
              </w:rPr>
              <w:t>las asesorías que se brindan a las </w:t>
            </w:r>
            <w:r>
              <w:rPr>
                <w:spacing w:val="-2"/>
                <w:sz w:val="18"/>
              </w:rPr>
              <w:t>instituciones</w:t>
            </w:r>
          </w:p>
        </w:tc>
      </w:tr>
      <w:tr>
        <w:trPr>
          <w:trHeight w:val="1200" w:hRule="atLeast"/>
        </w:trPr>
        <w:tc>
          <w:tcPr>
            <w:tcW w:w="3193" w:type="dxa"/>
          </w:tcPr>
          <w:p>
            <w:pPr>
              <w:pStyle w:val="TableParagraph"/>
              <w:spacing w:before="81"/>
              <w:ind w:left="72"/>
              <w:rPr>
                <w:sz w:val="18"/>
              </w:rPr>
            </w:pPr>
            <w:r>
              <w:rPr>
                <w:b/>
                <w:sz w:val="18"/>
              </w:rPr>
              <w:t>Actividad</w:t>
            </w:r>
            <w:r>
              <w:rPr>
                <w:b/>
                <w:spacing w:val="-10"/>
                <w:sz w:val="18"/>
              </w:rPr>
              <w:t> </w:t>
            </w:r>
            <w:r>
              <w:rPr>
                <w:b/>
                <w:sz w:val="18"/>
              </w:rPr>
              <w:t>PAC</w:t>
            </w:r>
            <w:r>
              <w:rPr>
                <w:b/>
                <w:spacing w:val="-7"/>
                <w:sz w:val="18"/>
              </w:rPr>
              <w:t> </w:t>
            </w:r>
            <w:r>
              <w:rPr>
                <w:b/>
                <w:sz w:val="18"/>
              </w:rPr>
              <w:t>2.83.5:</w:t>
            </w:r>
            <w:r>
              <w:rPr>
                <w:b/>
                <w:spacing w:val="-2"/>
                <w:sz w:val="18"/>
              </w:rPr>
              <w:t> </w:t>
            </w:r>
            <w:r>
              <w:rPr>
                <w:sz w:val="18"/>
              </w:rPr>
              <w:t>Asesorar</w:t>
            </w:r>
            <w:r>
              <w:rPr>
                <w:spacing w:val="-8"/>
                <w:sz w:val="18"/>
              </w:rPr>
              <w:t> </w:t>
            </w:r>
            <w:r>
              <w:rPr>
                <w:sz w:val="18"/>
              </w:rPr>
              <w:t>a</w:t>
            </w:r>
            <w:r>
              <w:rPr>
                <w:spacing w:val="-6"/>
                <w:sz w:val="18"/>
              </w:rPr>
              <w:t> </w:t>
            </w:r>
            <w:r>
              <w:rPr>
                <w:sz w:val="18"/>
              </w:rPr>
              <w:t>las instituciones del SBTIS para el seguimiento al PNDIP 2023-2026, compromisos del FMI, OCDE, ODS, </w:t>
            </w:r>
            <w:r>
              <w:rPr>
                <w:spacing w:val="-2"/>
                <w:sz w:val="18"/>
              </w:rPr>
              <w:t>otros</w:t>
            </w:r>
          </w:p>
        </w:tc>
        <w:tc>
          <w:tcPr>
            <w:tcW w:w="1354" w:type="dxa"/>
          </w:tcPr>
          <w:p>
            <w:pPr>
              <w:pStyle w:val="TableParagraph"/>
              <w:rPr>
                <w:b/>
                <w:sz w:val="18"/>
              </w:rPr>
            </w:pPr>
          </w:p>
          <w:p>
            <w:pPr>
              <w:pStyle w:val="TableParagraph"/>
              <w:spacing w:before="80"/>
              <w:rPr>
                <w:b/>
                <w:sz w:val="18"/>
              </w:rPr>
            </w:pPr>
          </w:p>
          <w:p>
            <w:pPr>
              <w:pStyle w:val="TableParagraph"/>
              <w:ind w:left="19" w:right="4"/>
              <w:jc w:val="center"/>
              <w:rPr>
                <w:sz w:val="18"/>
              </w:rPr>
            </w:pPr>
            <w:r>
              <w:rPr>
                <w:spacing w:val="-10"/>
                <w:sz w:val="18"/>
              </w:rPr>
              <w:t>1</w:t>
            </w:r>
          </w:p>
        </w:tc>
        <w:tc>
          <w:tcPr>
            <w:tcW w:w="1354" w:type="dxa"/>
          </w:tcPr>
          <w:p>
            <w:pPr>
              <w:pStyle w:val="TableParagraph"/>
              <w:rPr>
                <w:b/>
                <w:sz w:val="18"/>
              </w:rPr>
            </w:pPr>
          </w:p>
          <w:p>
            <w:pPr>
              <w:pStyle w:val="TableParagraph"/>
              <w:spacing w:before="80"/>
              <w:rPr>
                <w:b/>
                <w:sz w:val="18"/>
              </w:rPr>
            </w:pPr>
          </w:p>
          <w:p>
            <w:pPr>
              <w:pStyle w:val="TableParagraph"/>
              <w:ind w:left="19" w:right="7"/>
              <w:jc w:val="center"/>
              <w:rPr>
                <w:sz w:val="18"/>
              </w:rPr>
            </w:pPr>
            <w:r>
              <w:rPr>
                <w:spacing w:val="-4"/>
                <w:sz w:val="18"/>
              </w:rPr>
              <w:t>100%</w:t>
            </w:r>
          </w:p>
        </w:tc>
        <w:tc>
          <w:tcPr>
            <w:tcW w:w="1776" w:type="dxa"/>
          </w:tcPr>
          <w:p>
            <w:pPr>
              <w:pStyle w:val="TableParagraph"/>
              <w:spacing w:before="80"/>
              <w:rPr>
                <w:b/>
                <w:sz w:val="18"/>
              </w:rPr>
            </w:pPr>
          </w:p>
          <w:p>
            <w:pPr>
              <w:pStyle w:val="TableParagraph"/>
              <w:ind w:left="67" w:right="581"/>
              <w:rPr>
                <w:sz w:val="18"/>
              </w:rPr>
            </w:pPr>
            <w:r>
              <w:rPr>
                <w:sz w:val="18"/>
              </w:rPr>
              <w:t>Porcentaje</w:t>
            </w:r>
            <w:r>
              <w:rPr>
                <w:spacing w:val="-13"/>
                <w:sz w:val="18"/>
              </w:rPr>
              <w:t> </w:t>
            </w:r>
            <w:r>
              <w:rPr>
                <w:sz w:val="18"/>
              </w:rPr>
              <w:t>de </w:t>
            </w:r>
            <w:r>
              <w:rPr>
                <w:spacing w:val="-2"/>
                <w:sz w:val="18"/>
              </w:rPr>
              <w:t>asesorías realizadas</w:t>
            </w:r>
          </w:p>
        </w:tc>
        <w:tc>
          <w:tcPr>
            <w:tcW w:w="1483" w:type="dxa"/>
          </w:tcPr>
          <w:p>
            <w:pPr>
              <w:pStyle w:val="TableParagraph"/>
              <w:spacing w:before="80"/>
              <w:rPr>
                <w:b/>
                <w:sz w:val="18"/>
              </w:rPr>
            </w:pPr>
          </w:p>
          <w:p>
            <w:pPr>
              <w:pStyle w:val="TableParagraph"/>
              <w:ind w:left="67" w:right="72"/>
              <w:rPr>
                <w:sz w:val="18"/>
              </w:rPr>
            </w:pPr>
            <w:r>
              <w:rPr>
                <w:sz w:val="18"/>
              </w:rPr>
              <w:t>Correos</w:t>
            </w:r>
            <w:r>
              <w:rPr>
                <w:spacing w:val="-15"/>
                <w:sz w:val="18"/>
              </w:rPr>
              <w:t> </w:t>
            </w:r>
            <w:r>
              <w:rPr>
                <w:sz w:val="18"/>
              </w:rPr>
              <w:t>y</w:t>
            </w:r>
            <w:r>
              <w:rPr>
                <w:spacing w:val="-12"/>
                <w:sz w:val="18"/>
              </w:rPr>
              <w:t> </w:t>
            </w:r>
            <w:r>
              <w:rPr>
                <w:sz w:val="18"/>
              </w:rPr>
              <w:t>oficios </w:t>
            </w:r>
            <w:r>
              <w:rPr>
                <w:spacing w:val="-2"/>
                <w:sz w:val="18"/>
              </w:rPr>
              <w:t>relacionados</w:t>
            </w:r>
            <w:r>
              <w:rPr>
                <w:spacing w:val="80"/>
                <w:sz w:val="18"/>
              </w:rPr>
              <w:t> </w:t>
            </w:r>
            <w:r>
              <w:rPr>
                <w:sz w:val="18"/>
              </w:rPr>
              <w:t>con la temática</w:t>
            </w:r>
          </w:p>
        </w:tc>
        <w:tc>
          <w:tcPr>
            <w:tcW w:w="1296" w:type="dxa"/>
          </w:tcPr>
          <w:p>
            <w:pPr>
              <w:pStyle w:val="TableParagraph"/>
              <w:spacing w:before="186"/>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771" w:hRule="atLeast"/>
        </w:trPr>
        <w:tc>
          <w:tcPr>
            <w:tcW w:w="3193" w:type="dxa"/>
          </w:tcPr>
          <w:p>
            <w:pPr>
              <w:pStyle w:val="TableParagraph"/>
              <w:spacing w:before="56"/>
              <w:rPr>
                <w:b/>
                <w:sz w:val="18"/>
              </w:rPr>
            </w:pPr>
          </w:p>
          <w:p>
            <w:pPr>
              <w:pStyle w:val="TableParagraph"/>
              <w:ind w:left="72" w:right="135"/>
              <w:rPr>
                <w:sz w:val="18"/>
              </w:rPr>
            </w:pPr>
            <w:r>
              <w:rPr>
                <w:b/>
                <w:sz w:val="18"/>
              </w:rPr>
              <w:t>Actividad</w:t>
            </w:r>
            <w:r>
              <w:rPr>
                <w:b/>
                <w:spacing w:val="-1"/>
                <w:sz w:val="18"/>
              </w:rPr>
              <w:t> </w:t>
            </w:r>
            <w:r>
              <w:rPr>
                <w:b/>
                <w:sz w:val="18"/>
              </w:rPr>
              <w:t>PAC 2.83.6: </w:t>
            </w:r>
            <w:r>
              <w:rPr>
                <w:sz w:val="18"/>
              </w:rPr>
              <w:t>Asesorar en la</w:t>
            </w:r>
            <w:r>
              <w:rPr>
                <w:spacing w:val="-4"/>
                <w:sz w:val="18"/>
              </w:rPr>
              <w:t> </w:t>
            </w:r>
            <w:r>
              <w:rPr>
                <w:sz w:val="18"/>
              </w:rPr>
              <w:t>evaluación</w:t>
            </w:r>
            <w:r>
              <w:rPr>
                <w:spacing w:val="-7"/>
                <w:sz w:val="18"/>
              </w:rPr>
              <w:t> </w:t>
            </w:r>
            <w:r>
              <w:rPr>
                <w:sz w:val="18"/>
              </w:rPr>
              <w:t>de</w:t>
            </w:r>
            <w:r>
              <w:rPr>
                <w:spacing w:val="-7"/>
                <w:sz w:val="18"/>
              </w:rPr>
              <w:t> </w:t>
            </w:r>
            <w:r>
              <w:rPr>
                <w:sz w:val="18"/>
              </w:rPr>
              <w:t>programas</w:t>
            </w:r>
            <w:r>
              <w:rPr>
                <w:spacing w:val="-7"/>
                <w:sz w:val="18"/>
              </w:rPr>
              <w:t> </w:t>
            </w:r>
            <w:r>
              <w:rPr>
                <w:sz w:val="18"/>
              </w:rPr>
              <w:t>sociales de las instituciones del Sector Bienestar,</w:t>
            </w:r>
            <w:r>
              <w:rPr>
                <w:spacing w:val="-8"/>
                <w:sz w:val="18"/>
              </w:rPr>
              <w:t> </w:t>
            </w:r>
            <w:r>
              <w:rPr>
                <w:sz w:val="18"/>
              </w:rPr>
              <w:t>Trabajo</w:t>
            </w:r>
            <w:r>
              <w:rPr>
                <w:spacing w:val="-6"/>
                <w:sz w:val="18"/>
              </w:rPr>
              <w:t> </w:t>
            </w:r>
            <w:r>
              <w:rPr>
                <w:sz w:val="18"/>
              </w:rPr>
              <w:t>e</w:t>
            </w:r>
            <w:r>
              <w:rPr>
                <w:spacing w:val="-13"/>
                <w:sz w:val="18"/>
              </w:rPr>
              <w:t> </w:t>
            </w:r>
            <w:r>
              <w:rPr>
                <w:sz w:val="18"/>
              </w:rPr>
              <w:t>Inclusión</w:t>
            </w:r>
            <w:r>
              <w:rPr>
                <w:spacing w:val="-9"/>
                <w:sz w:val="18"/>
              </w:rPr>
              <w:t> </w:t>
            </w:r>
            <w:r>
              <w:rPr>
                <w:sz w:val="18"/>
              </w:rPr>
              <w:t>Social (SBTIS), que correspondan a la Agenda Nacional de Evaluación</w:t>
            </w:r>
          </w:p>
        </w:tc>
        <w:tc>
          <w:tcPr>
            <w:tcW w:w="1354" w:type="dxa"/>
          </w:tcPr>
          <w:p>
            <w:pPr>
              <w:pStyle w:val="TableParagraph"/>
              <w:rPr>
                <w:b/>
                <w:sz w:val="18"/>
              </w:rPr>
            </w:pPr>
          </w:p>
          <w:p>
            <w:pPr>
              <w:pStyle w:val="TableParagraph"/>
              <w:rPr>
                <w:b/>
                <w:sz w:val="18"/>
              </w:rPr>
            </w:pPr>
          </w:p>
          <w:p>
            <w:pPr>
              <w:pStyle w:val="TableParagraph"/>
              <w:spacing w:before="160"/>
              <w:rPr>
                <w:b/>
                <w:sz w:val="18"/>
              </w:rPr>
            </w:pPr>
          </w:p>
          <w:p>
            <w:pPr>
              <w:pStyle w:val="TableParagraph"/>
              <w:spacing w:before="1"/>
              <w:ind w:left="19" w:right="4"/>
              <w:jc w:val="center"/>
              <w:rPr>
                <w:sz w:val="18"/>
              </w:rPr>
            </w:pPr>
            <w:r>
              <w:rPr>
                <w:spacing w:val="-10"/>
                <w:sz w:val="18"/>
              </w:rPr>
              <w:t>1</w:t>
            </w:r>
          </w:p>
        </w:tc>
        <w:tc>
          <w:tcPr>
            <w:tcW w:w="1354" w:type="dxa"/>
          </w:tcPr>
          <w:p>
            <w:pPr>
              <w:pStyle w:val="TableParagraph"/>
              <w:rPr>
                <w:b/>
                <w:sz w:val="18"/>
              </w:rPr>
            </w:pPr>
          </w:p>
          <w:p>
            <w:pPr>
              <w:pStyle w:val="TableParagraph"/>
              <w:rPr>
                <w:b/>
                <w:sz w:val="18"/>
              </w:rPr>
            </w:pPr>
          </w:p>
          <w:p>
            <w:pPr>
              <w:pStyle w:val="TableParagraph"/>
              <w:spacing w:before="160"/>
              <w:rPr>
                <w:b/>
                <w:sz w:val="18"/>
              </w:rPr>
            </w:pPr>
          </w:p>
          <w:p>
            <w:pPr>
              <w:pStyle w:val="TableParagraph"/>
              <w:spacing w:before="1"/>
              <w:ind w:left="19" w:right="7"/>
              <w:jc w:val="center"/>
              <w:rPr>
                <w:sz w:val="18"/>
              </w:rPr>
            </w:pPr>
            <w:r>
              <w:rPr>
                <w:spacing w:val="-4"/>
                <w:sz w:val="18"/>
              </w:rPr>
              <w:t>100%</w:t>
            </w:r>
          </w:p>
        </w:tc>
        <w:tc>
          <w:tcPr>
            <w:tcW w:w="1776" w:type="dxa"/>
          </w:tcPr>
          <w:p>
            <w:pPr>
              <w:pStyle w:val="TableParagraph"/>
              <w:rPr>
                <w:b/>
                <w:sz w:val="18"/>
              </w:rPr>
            </w:pPr>
          </w:p>
          <w:p>
            <w:pPr>
              <w:pStyle w:val="TableParagraph"/>
              <w:spacing w:before="161"/>
              <w:rPr>
                <w:b/>
                <w:sz w:val="18"/>
              </w:rPr>
            </w:pPr>
          </w:p>
          <w:p>
            <w:pPr>
              <w:pStyle w:val="TableParagraph"/>
              <w:ind w:left="67" w:right="581"/>
              <w:rPr>
                <w:sz w:val="18"/>
              </w:rPr>
            </w:pPr>
            <w:r>
              <w:rPr>
                <w:sz w:val="18"/>
              </w:rPr>
              <w:t>Porcentaje</w:t>
            </w:r>
            <w:r>
              <w:rPr>
                <w:spacing w:val="-13"/>
                <w:sz w:val="18"/>
              </w:rPr>
              <w:t> </w:t>
            </w:r>
            <w:r>
              <w:rPr>
                <w:sz w:val="18"/>
              </w:rPr>
              <w:t>de </w:t>
            </w:r>
            <w:r>
              <w:rPr>
                <w:spacing w:val="-2"/>
                <w:sz w:val="18"/>
              </w:rPr>
              <w:t>asesorías realizadas</w:t>
            </w:r>
          </w:p>
        </w:tc>
        <w:tc>
          <w:tcPr>
            <w:tcW w:w="1483" w:type="dxa"/>
          </w:tcPr>
          <w:p>
            <w:pPr>
              <w:pStyle w:val="TableParagraph"/>
              <w:rPr>
                <w:b/>
                <w:sz w:val="18"/>
              </w:rPr>
            </w:pPr>
          </w:p>
          <w:p>
            <w:pPr>
              <w:pStyle w:val="TableParagraph"/>
              <w:spacing w:before="161"/>
              <w:rPr>
                <w:b/>
                <w:sz w:val="18"/>
              </w:rPr>
            </w:pPr>
          </w:p>
          <w:p>
            <w:pPr>
              <w:pStyle w:val="TableParagraph"/>
              <w:ind w:left="67" w:right="72"/>
              <w:rPr>
                <w:sz w:val="18"/>
              </w:rPr>
            </w:pPr>
            <w:r>
              <w:rPr>
                <w:sz w:val="18"/>
              </w:rPr>
              <w:t>Correos</w:t>
            </w:r>
            <w:r>
              <w:rPr>
                <w:spacing w:val="-15"/>
                <w:sz w:val="18"/>
              </w:rPr>
              <w:t> </w:t>
            </w:r>
            <w:r>
              <w:rPr>
                <w:sz w:val="18"/>
              </w:rPr>
              <w:t>y</w:t>
            </w:r>
            <w:r>
              <w:rPr>
                <w:spacing w:val="-12"/>
                <w:sz w:val="18"/>
              </w:rPr>
              <w:t> </w:t>
            </w:r>
            <w:r>
              <w:rPr>
                <w:sz w:val="18"/>
              </w:rPr>
              <w:t>oficios </w:t>
            </w:r>
            <w:r>
              <w:rPr>
                <w:spacing w:val="-2"/>
                <w:sz w:val="18"/>
              </w:rPr>
              <w:t>relacionados</w:t>
            </w:r>
            <w:r>
              <w:rPr>
                <w:spacing w:val="80"/>
                <w:sz w:val="18"/>
              </w:rPr>
              <w:t> </w:t>
            </w:r>
            <w:r>
              <w:rPr>
                <w:sz w:val="18"/>
              </w:rPr>
              <w:t>con la temática</w:t>
            </w:r>
          </w:p>
        </w:tc>
        <w:tc>
          <w:tcPr>
            <w:tcW w:w="1296" w:type="dxa"/>
          </w:tcPr>
          <w:p>
            <w:pPr>
              <w:pStyle w:val="TableParagraph"/>
              <w:rPr>
                <w:b/>
                <w:sz w:val="18"/>
              </w:rPr>
            </w:pPr>
          </w:p>
          <w:p>
            <w:pPr>
              <w:pStyle w:val="TableParagraph"/>
              <w:rPr>
                <w:b/>
                <w:sz w:val="18"/>
              </w:rPr>
            </w:pPr>
          </w:p>
          <w:p>
            <w:pPr>
              <w:pStyle w:val="TableParagraph"/>
              <w:spacing w:before="55"/>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656" w:hRule="atLeast"/>
        </w:trPr>
        <w:tc>
          <w:tcPr>
            <w:tcW w:w="3193" w:type="dxa"/>
          </w:tcPr>
          <w:p>
            <w:pPr>
              <w:pStyle w:val="TableParagraph"/>
              <w:spacing w:before="99"/>
              <w:rPr>
                <w:b/>
                <w:sz w:val="18"/>
              </w:rPr>
            </w:pPr>
          </w:p>
          <w:p>
            <w:pPr>
              <w:pStyle w:val="TableParagraph"/>
              <w:ind w:left="72" w:right="111"/>
              <w:rPr>
                <w:sz w:val="18"/>
              </w:rPr>
            </w:pPr>
            <w:r>
              <w:rPr>
                <w:b/>
                <w:sz w:val="18"/>
              </w:rPr>
              <w:t>Actividad PAC 2.83.7: </w:t>
            </w:r>
            <w:r>
              <w:rPr>
                <w:sz w:val="18"/>
              </w:rPr>
              <w:t>Atender solicitudes de información sobre temas específicos (normativa, investigaciones,</w:t>
            </w:r>
            <w:r>
              <w:rPr>
                <w:spacing w:val="-15"/>
                <w:sz w:val="18"/>
              </w:rPr>
              <w:t> </w:t>
            </w:r>
            <w:r>
              <w:rPr>
                <w:sz w:val="18"/>
              </w:rPr>
              <w:t>evaluaciones,</w:t>
            </w:r>
            <w:r>
              <w:rPr>
                <w:spacing w:val="-12"/>
                <w:sz w:val="18"/>
              </w:rPr>
              <w:t> </w:t>
            </w:r>
            <w:r>
              <w:rPr>
                <w:sz w:val="18"/>
              </w:rPr>
              <w:t>entre </w:t>
            </w:r>
            <w:r>
              <w:rPr>
                <w:spacing w:val="-2"/>
                <w:sz w:val="18"/>
              </w:rPr>
              <w:t>otros)</w:t>
            </w:r>
          </w:p>
        </w:tc>
        <w:tc>
          <w:tcPr>
            <w:tcW w:w="135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9" w:right="4"/>
              <w:jc w:val="center"/>
              <w:rPr>
                <w:sz w:val="18"/>
              </w:rPr>
            </w:pPr>
            <w:r>
              <w:rPr>
                <w:spacing w:val="-10"/>
                <w:sz w:val="18"/>
              </w:rPr>
              <w:t>1</w:t>
            </w:r>
          </w:p>
        </w:tc>
        <w:tc>
          <w:tcPr>
            <w:tcW w:w="135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9" w:right="4"/>
              <w:jc w:val="center"/>
              <w:rPr>
                <w:sz w:val="18"/>
              </w:rPr>
            </w:pPr>
            <w:r>
              <w:rPr>
                <w:spacing w:val="-10"/>
                <w:sz w:val="18"/>
              </w:rPr>
              <w:t>8</w:t>
            </w:r>
          </w:p>
        </w:tc>
        <w:tc>
          <w:tcPr>
            <w:tcW w:w="1776" w:type="dxa"/>
          </w:tcPr>
          <w:p>
            <w:pPr>
              <w:pStyle w:val="TableParagraph"/>
              <w:spacing w:before="204"/>
              <w:rPr>
                <w:b/>
                <w:sz w:val="18"/>
              </w:rPr>
            </w:pPr>
          </w:p>
          <w:p>
            <w:pPr>
              <w:pStyle w:val="TableParagraph"/>
              <w:ind w:left="67" w:right="60"/>
              <w:rPr>
                <w:sz w:val="18"/>
              </w:rPr>
            </w:pPr>
            <w:r>
              <w:rPr>
                <w:sz w:val="18"/>
              </w:rPr>
              <w:t>Cantidad de solicitudes</w:t>
            </w:r>
            <w:r>
              <w:rPr>
                <w:spacing w:val="-13"/>
                <w:sz w:val="18"/>
              </w:rPr>
              <w:t> </w:t>
            </w:r>
            <w:r>
              <w:rPr>
                <w:sz w:val="18"/>
              </w:rPr>
              <w:t>de </w:t>
            </w:r>
            <w:r>
              <w:rPr>
                <w:spacing w:val="-2"/>
                <w:sz w:val="18"/>
              </w:rPr>
              <w:t>información atendidas</w:t>
            </w:r>
          </w:p>
        </w:tc>
        <w:tc>
          <w:tcPr>
            <w:tcW w:w="1483" w:type="dxa"/>
          </w:tcPr>
          <w:p>
            <w:pPr>
              <w:pStyle w:val="TableParagraph"/>
              <w:ind w:left="67"/>
              <w:rPr>
                <w:sz w:val="18"/>
              </w:rPr>
            </w:pPr>
            <w:r>
              <w:rPr>
                <w:sz w:val="18"/>
              </w:rPr>
              <w:t>Correos de respuesta a solicitudes</w:t>
            </w:r>
            <w:r>
              <w:rPr>
                <w:spacing w:val="-13"/>
                <w:sz w:val="18"/>
              </w:rPr>
              <w:t> </w:t>
            </w:r>
            <w:r>
              <w:rPr>
                <w:sz w:val="18"/>
              </w:rPr>
              <w:t>de </w:t>
            </w:r>
            <w:r>
              <w:rPr>
                <w:spacing w:val="-2"/>
                <w:sz w:val="18"/>
              </w:rPr>
              <w:t>información </w:t>
            </w:r>
            <w:r>
              <w:rPr>
                <w:sz w:val="18"/>
              </w:rPr>
              <w:t>recibidas por correo o por </w:t>
            </w:r>
            <w:r>
              <w:rPr>
                <w:spacing w:val="-2"/>
                <w:sz w:val="18"/>
              </w:rPr>
              <w:t>Microsoft</w:t>
            </w:r>
          </w:p>
          <w:p>
            <w:pPr>
              <w:pStyle w:val="TableParagraph"/>
              <w:spacing w:line="187" w:lineRule="exact"/>
              <w:ind w:left="67"/>
              <w:rPr>
                <w:sz w:val="18"/>
              </w:rPr>
            </w:pPr>
            <w:r>
              <w:rPr>
                <w:spacing w:val="-2"/>
                <w:sz w:val="18"/>
              </w:rPr>
              <w:t>TEAMS</w:t>
            </w:r>
          </w:p>
        </w:tc>
        <w:tc>
          <w:tcPr>
            <w:tcW w:w="1296" w:type="dxa"/>
          </w:tcPr>
          <w:p>
            <w:pPr>
              <w:pStyle w:val="TableParagraph"/>
              <w:rPr>
                <w:b/>
                <w:sz w:val="18"/>
              </w:rPr>
            </w:pPr>
          </w:p>
          <w:p>
            <w:pPr>
              <w:pStyle w:val="TableParagraph"/>
              <w:spacing w:before="204"/>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436" w:hRule="atLeast"/>
        </w:trPr>
        <w:tc>
          <w:tcPr>
            <w:tcW w:w="14598" w:type="dxa"/>
            <w:gridSpan w:val="8"/>
            <w:shd w:val="clear" w:color="auto" w:fill="EFF8F9"/>
          </w:tcPr>
          <w:p>
            <w:pPr>
              <w:pStyle w:val="TableParagraph"/>
              <w:spacing w:before="114"/>
              <w:ind w:left="72"/>
              <w:rPr>
                <w:b/>
                <w:sz w:val="18"/>
              </w:rPr>
            </w:pPr>
            <w:r>
              <w:rPr>
                <w:b/>
                <w:sz w:val="18"/>
              </w:rPr>
              <w:t>Producto</w:t>
            </w:r>
            <w:r>
              <w:rPr>
                <w:b/>
                <w:spacing w:val="-8"/>
                <w:sz w:val="18"/>
              </w:rPr>
              <w:t> </w:t>
            </w:r>
            <w:r>
              <w:rPr>
                <w:b/>
                <w:sz w:val="18"/>
              </w:rPr>
              <w:t>PAC</w:t>
            </w:r>
            <w:r>
              <w:rPr>
                <w:b/>
                <w:spacing w:val="-8"/>
                <w:sz w:val="18"/>
              </w:rPr>
              <w:t> </w:t>
            </w:r>
            <w:r>
              <w:rPr>
                <w:b/>
                <w:sz w:val="18"/>
              </w:rPr>
              <w:t>2.84:</w:t>
            </w:r>
            <w:r>
              <w:rPr>
                <w:b/>
                <w:spacing w:val="-4"/>
                <w:sz w:val="18"/>
              </w:rPr>
              <w:t> </w:t>
            </w:r>
            <w:r>
              <w:rPr>
                <w:b/>
                <w:sz w:val="18"/>
              </w:rPr>
              <w:t>Informes</w:t>
            </w:r>
            <w:r>
              <w:rPr>
                <w:b/>
                <w:spacing w:val="-7"/>
                <w:sz w:val="18"/>
              </w:rPr>
              <w:t> </w:t>
            </w:r>
            <w:r>
              <w:rPr>
                <w:b/>
                <w:sz w:val="18"/>
              </w:rPr>
              <w:t>para</w:t>
            </w:r>
            <w:r>
              <w:rPr>
                <w:b/>
                <w:spacing w:val="-2"/>
                <w:sz w:val="18"/>
              </w:rPr>
              <w:t> </w:t>
            </w:r>
            <w:r>
              <w:rPr>
                <w:b/>
                <w:sz w:val="18"/>
              </w:rPr>
              <w:t>Entidades</w:t>
            </w:r>
            <w:r>
              <w:rPr>
                <w:b/>
                <w:spacing w:val="-7"/>
                <w:sz w:val="18"/>
              </w:rPr>
              <w:t> </w:t>
            </w:r>
            <w:r>
              <w:rPr>
                <w:b/>
                <w:sz w:val="18"/>
              </w:rPr>
              <w:t>financieras</w:t>
            </w:r>
            <w:r>
              <w:rPr>
                <w:b/>
                <w:spacing w:val="-6"/>
                <w:sz w:val="18"/>
              </w:rPr>
              <w:t> </w:t>
            </w:r>
            <w:r>
              <w:rPr>
                <w:b/>
                <w:sz w:val="18"/>
              </w:rPr>
              <w:t>nacionales</w:t>
            </w:r>
            <w:r>
              <w:rPr>
                <w:b/>
                <w:spacing w:val="-6"/>
                <w:sz w:val="18"/>
              </w:rPr>
              <w:t> </w:t>
            </w:r>
            <w:r>
              <w:rPr>
                <w:b/>
                <w:sz w:val="18"/>
              </w:rPr>
              <w:t>e</w:t>
            </w:r>
            <w:r>
              <w:rPr>
                <w:b/>
                <w:spacing w:val="-7"/>
                <w:sz w:val="18"/>
              </w:rPr>
              <w:t> </w:t>
            </w:r>
            <w:r>
              <w:rPr>
                <w:b/>
                <w:sz w:val="18"/>
              </w:rPr>
              <w:t>internacionales</w:t>
            </w:r>
            <w:r>
              <w:rPr>
                <w:b/>
                <w:spacing w:val="-6"/>
                <w:sz w:val="18"/>
              </w:rPr>
              <w:t> </w:t>
            </w:r>
            <w:r>
              <w:rPr>
                <w:b/>
                <w:sz w:val="18"/>
              </w:rPr>
              <w:t>y</w:t>
            </w:r>
            <w:r>
              <w:rPr>
                <w:b/>
                <w:spacing w:val="-6"/>
                <w:sz w:val="18"/>
              </w:rPr>
              <w:t> </w:t>
            </w:r>
            <w:r>
              <w:rPr>
                <w:b/>
                <w:sz w:val="18"/>
              </w:rPr>
              <w:t>órganos</w:t>
            </w:r>
            <w:r>
              <w:rPr>
                <w:b/>
                <w:spacing w:val="-7"/>
                <w:sz w:val="18"/>
              </w:rPr>
              <w:t> </w:t>
            </w:r>
            <w:r>
              <w:rPr>
                <w:b/>
                <w:sz w:val="18"/>
              </w:rPr>
              <w:t>de</w:t>
            </w:r>
            <w:r>
              <w:rPr>
                <w:b/>
                <w:spacing w:val="-2"/>
                <w:sz w:val="18"/>
              </w:rPr>
              <w:t> control</w:t>
            </w:r>
          </w:p>
        </w:tc>
      </w:tr>
    </w:tbl>
    <w:p>
      <w:pPr>
        <w:pStyle w:val="TableParagraph"/>
        <w:spacing w:after="0"/>
        <w:rPr>
          <w:b/>
          <w:sz w:val="18"/>
        </w:rPr>
        <w:sectPr>
          <w:type w:val="continuous"/>
          <w:pgSz w:w="15840" w:h="12240" w:orient="landscape"/>
          <w:pgMar w:header="0" w:footer="1806" w:top="700" w:bottom="2678"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93"/>
        <w:gridCol w:w="1354"/>
        <w:gridCol w:w="1354"/>
        <w:gridCol w:w="1776"/>
        <w:gridCol w:w="1483"/>
        <w:gridCol w:w="1296"/>
        <w:gridCol w:w="2011"/>
        <w:gridCol w:w="2131"/>
      </w:tblGrid>
      <w:tr>
        <w:trPr>
          <w:trHeight w:val="1065" w:hRule="atLeast"/>
        </w:trPr>
        <w:tc>
          <w:tcPr>
            <w:tcW w:w="3193" w:type="dxa"/>
            <w:shd w:val="clear" w:color="auto" w:fill="D9D9D9"/>
          </w:tcPr>
          <w:p>
            <w:pPr>
              <w:pStyle w:val="TableParagraph"/>
              <w:rPr>
                <w:b/>
                <w:sz w:val="18"/>
              </w:rPr>
            </w:pPr>
          </w:p>
          <w:p>
            <w:pPr>
              <w:pStyle w:val="TableParagraph"/>
              <w:spacing w:before="12"/>
              <w:rPr>
                <w:b/>
                <w:sz w:val="18"/>
              </w:rPr>
            </w:pPr>
          </w:p>
          <w:p>
            <w:pPr>
              <w:pStyle w:val="TableParagraph"/>
              <w:ind w:left="629"/>
              <w:rPr>
                <w:b/>
                <w:sz w:val="18"/>
              </w:rPr>
            </w:pPr>
            <w:r>
              <w:rPr>
                <w:b/>
                <w:sz w:val="18"/>
              </w:rPr>
              <w:t>Objetivos</w:t>
            </w:r>
            <w:r>
              <w:rPr>
                <w:b/>
                <w:spacing w:val="-5"/>
                <w:sz w:val="18"/>
              </w:rPr>
              <w:t> </w:t>
            </w:r>
            <w:r>
              <w:rPr>
                <w:b/>
                <w:sz w:val="18"/>
              </w:rPr>
              <w:t>/</w:t>
            </w:r>
            <w:r>
              <w:rPr>
                <w:b/>
                <w:spacing w:val="-2"/>
                <w:sz w:val="18"/>
              </w:rPr>
              <w:t> Resultados</w:t>
            </w:r>
          </w:p>
        </w:tc>
        <w:tc>
          <w:tcPr>
            <w:tcW w:w="1354" w:type="dxa"/>
            <w:shd w:val="clear" w:color="auto" w:fill="D9D9D9"/>
          </w:tcPr>
          <w:p>
            <w:pPr>
              <w:pStyle w:val="TableParagraph"/>
              <w:spacing w:before="118"/>
              <w:rPr>
                <w:b/>
                <w:sz w:val="18"/>
              </w:rPr>
            </w:pPr>
          </w:p>
          <w:p>
            <w:pPr>
              <w:pStyle w:val="TableParagraph"/>
              <w:ind w:left="417" w:hanging="217"/>
              <w:rPr>
                <w:b/>
                <w:sz w:val="18"/>
              </w:rPr>
            </w:pPr>
            <w:r>
              <w:rPr>
                <w:b/>
                <w:sz w:val="18"/>
              </w:rPr>
              <w:t>Línea</w:t>
            </w:r>
            <w:r>
              <w:rPr>
                <w:b/>
                <w:spacing w:val="-13"/>
                <w:sz w:val="18"/>
              </w:rPr>
              <w:t> </w:t>
            </w:r>
            <w:r>
              <w:rPr>
                <w:b/>
                <w:sz w:val="18"/>
              </w:rPr>
              <w:t>Base </w:t>
            </w:r>
            <w:r>
              <w:rPr>
                <w:b/>
                <w:spacing w:val="-2"/>
                <w:sz w:val="18"/>
              </w:rPr>
              <w:t>(2024)</w:t>
            </w:r>
          </w:p>
        </w:tc>
        <w:tc>
          <w:tcPr>
            <w:tcW w:w="1354" w:type="dxa"/>
            <w:shd w:val="clear" w:color="auto" w:fill="D9D9D9"/>
          </w:tcPr>
          <w:p>
            <w:pPr>
              <w:pStyle w:val="TableParagraph"/>
              <w:spacing w:before="12"/>
              <w:rPr>
                <w:b/>
                <w:sz w:val="18"/>
              </w:rPr>
            </w:pPr>
          </w:p>
          <w:p>
            <w:pPr>
              <w:pStyle w:val="TableParagraph"/>
              <w:spacing w:line="242" w:lineRule="auto"/>
              <w:ind w:left="158" w:right="137" w:hanging="10"/>
              <w:jc w:val="center"/>
              <w:rPr>
                <w:b/>
                <w:sz w:val="18"/>
              </w:rPr>
            </w:pPr>
            <w:r>
              <w:rPr>
                <w:b/>
                <w:spacing w:val="-4"/>
                <w:sz w:val="18"/>
              </w:rPr>
              <w:t>Meta </w:t>
            </w:r>
            <w:r>
              <w:rPr>
                <w:b/>
                <w:spacing w:val="-2"/>
                <w:sz w:val="18"/>
              </w:rPr>
              <w:t>programada </w:t>
            </w:r>
            <w:r>
              <w:rPr>
                <w:b/>
                <w:spacing w:val="-4"/>
                <w:sz w:val="18"/>
              </w:rPr>
              <w:t>2026</w:t>
            </w:r>
          </w:p>
        </w:tc>
        <w:tc>
          <w:tcPr>
            <w:tcW w:w="1776" w:type="dxa"/>
            <w:shd w:val="clear" w:color="auto" w:fill="D9D9D9"/>
          </w:tcPr>
          <w:p>
            <w:pPr>
              <w:pStyle w:val="TableParagraph"/>
              <w:rPr>
                <w:b/>
                <w:sz w:val="18"/>
              </w:rPr>
            </w:pPr>
          </w:p>
          <w:p>
            <w:pPr>
              <w:pStyle w:val="TableParagraph"/>
              <w:spacing w:before="12"/>
              <w:rPr>
                <w:b/>
                <w:sz w:val="18"/>
              </w:rPr>
            </w:pPr>
          </w:p>
          <w:p>
            <w:pPr>
              <w:pStyle w:val="TableParagraph"/>
              <w:ind w:left="480"/>
              <w:rPr>
                <w:b/>
                <w:sz w:val="18"/>
              </w:rPr>
            </w:pPr>
            <w:r>
              <w:rPr>
                <w:b/>
                <w:spacing w:val="-2"/>
                <w:sz w:val="18"/>
              </w:rPr>
              <w:t>Indicador</w:t>
            </w:r>
          </w:p>
        </w:tc>
        <w:tc>
          <w:tcPr>
            <w:tcW w:w="1483" w:type="dxa"/>
            <w:shd w:val="clear" w:color="auto" w:fill="D9D9D9"/>
          </w:tcPr>
          <w:p>
            <w:pPr>
              <w:pStyle w:val="TableParagraph"/>
              <w:spacing w:before="118"/>
              <w:rPr>
                <w:b/>
                <w:sz w:val="18"/>
              </w:rPr>
            </w:pPr>
          </w:p>
          <w:p>
            <w:pPr>
              <w:pStyle w:val="TableParagraph"/>
              <w:ind w:left="240" w:firstLine="57"/>
              <w:rPr>
                <w:b/>
                <w:sz w:val="18"/>
              </w:rPr>
            </w:pPr>
            <w:r>
              <w:rPr>
                <w:b/>
                <w:sz w:val="18"/>
              </w:rPr>
              <w:t>Medios de </w:t>
            </w:r>
            <w:r>
              <w:rPr>
                <w:b/>
                <w:spacing w:val="-2"/>
                <w:sz w:val="18"/>
              </w:rPr>
              <w:t>verificación</w:t>
            </w:r>
          </w:p>
        </w:tc>
        <w:tc>
          <w:tcPr>
            <w:tcW w:w="1296" w:type="dxa"/>
            <w:shd w:val="clear" w:color="auto" w:fill="D9D9D9"/>
          </w:tcPr>
          <w:p>
            <w:pPr>
              <w:pStyle w:val="TableParagraph"/>
              <w:rPr>
                <w:b/>
                <w:sz w:val="18"/>
              </w:rPr>
            </w:pPr>
          </w:p>
          <w:p>
            <w:pPr>
              <w:pStyle w:val="TableParagraph"/>
              <w:spacing w:before="12"/>
              <w:rPr>
                <w:b/>
                <w:sz w:val="18"/>
              </w:rPr>
            </w:pPr>
          </w:p>
          <w:p>
            <w:pPr>
              <w:pStyle w:val="TableParagraph"/>
              <w:ind w:left="92"/>
              <w:rPr>
                <w:b/>
                <w:sz w:val="18"/>
              </w:rPr>
            </w:pPr>
            <w:r>
              <w:rPr>
                <w:b/>
                <w:spacing w:val="-2"/>
                <w:sz w:val="18"/>
              </w:rPr>
              <w:t>Responsable</w:t>
            </w:r>
          </w:p>
        </w:tc>
        <w:tc>
          <w:tcPr>
            <w:tcW w:w="2011" w:type="dxa"/>
            <w:shd w:val="clear" w:color="auto" w:fill="D9D9D9"/>
          </w:tcPr>
          <w:p>
            <w:pPr>
              <w:pStyle w:val="TableParagraph"/>
              <w:rPr>
                <w:b/>
                <w:sz w:val="18"/>
              </w:rPr>
            </w:pPr>
          </w:p>
          <w:p>
            <w:pPr>
              <w:pStyle w:val="TableParagraph"/>
              <w:spacing w:before="12"/>
              <w:rPr>
                <w:b/>
                <w:sz w:val="18"/>
              </w:rPr>
            </w:pPr>
          </w:p>
          <w:p>
            <w:pPr>
              <w:pStyle w:val="TableParagraph"/>
              <w:ind w:left="462"/>
              <w:rPr>
                <w:b/>
                <w:sz w:val="18"/>
              </w:rPr>
            </w:pPr>
            <w:r>
              <w:rPr>
                <w:b/>
                <w:spacing w:val="-2"/>
                <w:sz w:val="18"/>
              </w:rPr>
              <w:t>Presupuesto</w:t>
            </w:r>
          </w:p>
        </w:tc>
        <w:tc>
          <w:tcPr>
            <w:tcW w:w="2131" w:type="dxa"/>
            <w:shd w:val="clear" w:color="auto" w:fill="D9D9D9"/>
          </w:tcPr>
          <w:p>
            <w:pPr>
              <w:pStyle w:val="TableParagraph"/>
              <w:spacing w:before="118"/>
              <w:rPr>
                <w:b/>
                <w:sz w:val="18"/>
              </w:rPr>
            </w:pPr>
          </w:p>
          <w:p>
            <w:pPr>
              <w:pStyle w:val="TableParagraph"/>
              <w:ind w:left="482" w:right="100" w:hanging="332"/>
              <w:rPr>
                <w:b/>
                <w:sz w:val="18"/>
              </w:rPr>
            </w:pPr>
            <w:r>
              <w:rPr>
                <w:b/>
                <w:sz w:val="18"/>
              </w:rPr>
              <w:t>Riesgos</w:t>
            </w:r>
            <w:r>
              <w:rPr>
                <w:b/>
                <w:spacing w:val="-15"/>
                <w:sz w:val="18"/>
              </w:rPr>
              <w:t> </w:t>
            </w:r>
            <w:r>
              <w:rPr>
                <w:b/>
                <w:sz w:val="18"/>
              </w:rPr>
              <w:t>asociados</w:t>
            </w:r>
            <w:r>
              <w:rPr>
                <w:b/>
                <w:spacing w:val="-12"/>
                <w:sz w:val="18"/>
              </w:rPr>
              <w:t> </w:t>
            </w:r>
            <w:r>
              <w:rPr>
                <w:b/>
                <w:sz w:val="18"/>
              </w:rPr>
              <w:t>al </w:t>
            </w:r>
            <w:r>
              <w:rPr>
                <w:b/>
                <w:spacing w:val="-2"/>
                <w:sz w:val="18"/>
              </w:rPr>
              <w:t>cumplimiento</w:t>
            </w:r>
          </w:p>
        </w:tc>
      </w:tr>
      <w:tr>
        <w:trPr>
          <w:trHeight w:val="1334" w:hRule="atLeast"/>
        </w:trPr>
        <w:tc>
          <w:tcPr>
            <w:tcW w:w="3193" w:type="dxa"/>
          </w:tcPr>
          <w:p>
            <w:pPr>
              <w:pStyle w:val="TableParagraph"/>
              <w:spacing w:before="46"/>
              <w:rPr>
                <w:b/>
                <w:sz w:val="18"/>
              </w:rPr>
            </w:pPr>
          </w:p>
          <w:p>
            <w:pPr>
              <w:pStyle w:val="TableParagraph"/>
              <w:ind w:left="72"/>
              <w:rPr>
                <w:sz w:val="18"/>
              </w:rPr>
            </w:pPr>
            <w:r>
              <w:rPr>
                <w:b/>
                <w:sz w:val="18"/>
              </w:rPr>
              <w:t>Actividad</w:t>
            </w:r>
            <w:r>
              <w:rPr>
                <w:b/>
                <w:spacing w:val="-10"/>
                <w:sz w:val="18"/>
              </w:rPr>
              <w:t> </w:t>
            </w:r>
            <w:r>
              <w:rPr>
                <w:b/>
                <w:sz w:val="18"/>
              </w:rPr>
              <w:t>PAC</w:t>
            </w:r>
            <w:r>
              <w:rPr>
                <w:b/>
                <w:spacing w:val="-7"/>
                <w:sz w:val="18"/>
              </w:rPr>
              <w:t> </w:t>
            </w:r>
            <w:r>
              <w:rPr>
                <w:b/>
                <w:sz w:val="18"/>
              </w:rPr>
              <w:t>2.84.1</w:t>
            </w:r>
            <w:r>
              <w:rPr>
                <w:sz w:val="18"/>
              </w:rPr>
              <w:t>:</w:t>
            </w:r>
            <w:r>
              <w:rPr>
                <w:spacing w:val="-3"/>
                <w:sz w:val="18"/>
              </w:rPr>
              <w:t> </w:t>
            </w:r>
            <w:r>
              <w:rPr>
                <w:sz w:val="18"/>
              </w:rPr>
              <w:t>Remitir</w:t>
            </w:r>
            <w:r>
              <w:rPr>
                <w:spacing w:val="-8"/>
                <w:sz w:val="18"/>
              </w:rPr>
              <w:t> </w:t>
            </w:r>
            <w:r>
              <w:rPr>
                <w:sz w:val="18"/>
              </w:rPr>
              <w:t>a</w:t>
            </w:r>
            <w:r>
              <w:rPr>
                <w:spacing w:val="-9"/>
                <w:sz w:val="18"/>
              </w:rPr>
              <w:t> </w:t>
            </w:r>
            <w:r>
              <w:rPr>
                <w:sz w:val="18"/>
              </w:rPr>
              <w:t>las instancias correspondientes, recordatorios de vencimiento de las disposiciones de la CGR</w:t>
            </w:r>
          </w:p>
        </w:tc>
        <w:tc>
          <w:tcPr>
            <w:tcW w:w="1354" w:type="dxa"/>
          </w:tcPr>
          <w:p>
            <w:pPr>
              <w:pStyle w:val="TableParagraph"/>
              <w:rPr>
                <w:b/>
                <w:sz w:val="18"/>
              </w:rPr>
            </w:pPr>
          </w:p>
          <w:p>
            <w:pPr>
              <w:pStyle w:val="TableParagraph"/>
              <w:spacing w:before="151"/>
              <w:rPr>
                <w:b/>
                <w:sz w:val="18"/>
              </w:rPr>
            </w:pPr>
          </w:p>
          <w:p>
            <w:pPr>
              <w:pStyle w:val="TableParagraph"/>
              <w:ind w:left="19" w:right="9"/>
              <w:jc w:val="center"/>
              <w:rPr>
                <w:sz w:val="18"/>
              </w:rPr>
            </w:pPr>
            <w:r>
              <w:rPr>
                <w:spacing w:val="-5"/>
                <w:sz w:val="18"/>
              </w:rPr>
              <w:t>12</w:t>
            </w:r>
          </w:p>
        </w:tc>
        <w:tc>
          <w:tcPr>
            <w:tcW w:w="1354" w:type="dxa"/>
          </w:tcPr>
          <w:p>
            <w:pPr>
              <w:pStyle w:val="TableParagraph"/>
              <w:rPr>
                <w:b/>
                <w:sz w:val="18"/>
              </w:rPr>
            </w:pPr>
          </w:p>
          <w:p>
            <w:pPr>
              <w:pStyle w:val="TableParagraph"/>
              <w:spacing w:before="151"/>
              <w:rPr>
                <w:b/>
                <w:sz w:val="18"/>
              </w:rPr>
            </w:pPr>
          </w:p>
          <w:p>
            <w:pPr>
              <w:pStyle w:val="TableParagraph"/>
              <w:ind w:left="19" w:right="9"/>
              <w:jc w:val="center"/>
              <w:rPr>
                <w:sz w:val="18"/>
              </w:rPr>
            </w:pPr>
            <w:r>
              <w:rPr>
                <w:spacing w:val="-5"/>
                <w:sz w:val="18"/>
              </w:rPr>
              <w:t>12</w:t>
            </w:r>
          </w:p>
        </w:tc>
        <w:tc>
          <w:tcPr>
            <w:tcW w:w="1776" w:type="dxa"/>
          </w:tcPr>
          <w:p>
            <w:pPr>
              <w:pStyle w:val="TableParagraph"/>
              <w:spacing w:before="47"/>
              <w:ind w:left="67" w:right="131"/>
              <w:rPr>
                <w:sz w:val="18"/>
              </w:rPr>
            </w:pPr>
            <w:r>
              <w:rPr>
                <w:sz w:val="18"/>
              </w:rPr>
              <w:t>Cantidad</w:t>
            </w:r>
            <w:r>
              <w:rPr>
                <w:spacing w:val="-15"/>
                <w:sz w:val="18"/>
              </w:rPr>
              <w:t> </w:t>
            </w:r>
            <w:r>
              <w:rPr>
                <w:sz w:val="18"/>
              </w:rPr>
              <w:t>de</w:t>
            </w:r>
            <w:r>
              <w:rPr>
                <w:spacing w:val="-12"/>
                <w:sz w:val="18"/>
              </w:rPr>
              <w:t> </w:t>
            </w:r>
            <w:r>
              <w:rPr>
                <w:sz w:val="18"/>
              </w:rPr>
              <w:t>oficios de recordatorio de vencimiento de disposiciones</w:t>
            </w:r>
            <w:r>
              <w:rPr>
                <w:spacing w:val="-13"/>
                <w:sz w:val="18"/>
              </w:rPr>
              <w:t> </w:t>
            </w:r>
            <w:r>
              <w:rPr>
                <w:sz w:val="18"/>
              </w:rPr>
              <w:t>de</w:t>
            </w:r>
            <w:r>
              <w:rPr>
                <w:spacing w:val="-10"/>
                <w:sz w:val="18"/>
              </w:rPr>
              <w:t> </w:t>
            </w:r>
            <w:r>
              <w:rPr>
                <w:sz w:val="18"/>
              </w:rPr>
              <w:t>la CGR emitidos por </w:t>
            </w:r>
            <w:r>
              <w:rPr>
                <w:spacing w:val="-6"/>
                <w:sz w:val="18"/>
              </w:rPr>
              <w:t>PI</w:t>
            </w:r>
          </w:p>
        </w:tc>
        <w:tc>
          <w:tcPr>
            <w:tcW w:w="1483" w:type="dxa"/>
          </w:tcPr>
          <w:p>
            <w:pPr>
              <w:pStyle w:val="TableParagraph"/>
              <w:spacing w:before="147"/>
              <w:rPr>
                <w:b/>
                <w:sz w:val="18"/>
              </w:rPr>
            </w:pPr>
          </w:p>
          <w:p>
            <w:pPr>
              <w:pStyle w:val="TableParagraph"/>
              <w:spacing w:line="242" w:lineRule="auto"/>
              <w:ind w:left="67" w:right="198"/>
              <w:rPr>
                <w:sz w:val="18"/>
              </w:rPr>
            </w:pPr>
            <w:r>
              <w:rPr>
                <w:sz w:val="18"/>
              </w:rPr>
              <w:t>Oficios</w:t>
            </w:r>
            <w:r>
              <w:rPr>
                <w:spacing w:val="-15"/>
                <w:sz w:val="18"/>
              </w:rPr>
              <w:t> </w:t>
            </w:r>
            <w:r>
              <w:rPr>
                <w:sz w:val="18"/>
              </w:rPr>
              <w:t>de</w:t>
            </w:r>
            <w:r>
              <w:rPr>
                <w:spacing w:val="-12"/>
                <w:sz w:val="18"/>
              </w:rPr>
              <w:t> </w:t>
            </w:r>
            <w:r>
              <w:rPr>
                <w:sz w:val="18"/>
              </w:rPr>
              <w:t>PI </w:t>
            </w:r>
            <w:r>
              <w:rPr>
                <w:spacing w:val="-2"/>
                <w:sz w:val="18"/>
              </w:rPr>
              <w:t>remitido remitidos</w:t>
            </w:r>
          </w:p>
        </w:tc>
        <w:tc>
          <w:tcPr>
            <w:tcW w:w="1296" w:type="dxa"/>
          </w:tcPr>
          <w:p>
            <w:pPr>
              <w:pStyle w:val="TableParagraph"/>
              <w:rPr>
                <w:b/>
                <w:sz w:val="18"/>
              </w:rPr>
            </w:pPr>
          </w:p>
          <w:p>
            <w:pPr>
              <w:pStyle w:val="TableParagraph"/>
              <w:spacing w:before="45"/>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4"/>
              <w:rPr>
                <w:sz w:val="18"/>
              </w:rPr>
            </w:pPr>
            <w:r>
              <w:rPr>
                <w:spacing w:val="-2"/>
                <w:sz w:val="18"/>
              </w:rPr>
              <w:t>Eventos:</w:t>
            </w:r>
          </w:p>
          <w:p>
            <w:pPr>
              <w:pStyle w:val="TableParagraph"/>
              <w:spacing w:before="206"/>
              <w:ind w:left="74" w:right="58"/>
              <w:rPr>
                <w:sz w:val="18"/>
              </w:rPr>
            </w:pPr>
            <w:r>
              <w:rPr>
                <w:sz w:val="18"/>
              </w:rPr>
              <w:t>1 No se emitan oficios mensuales de recordatorio de vencimiento de disposiciones</w:t>
            </w:r>
            <w:r>
              <w:rPr>
                <w:spacing w:val="-13"/>
                <w:sz w:val="18"/>
              </w:rPr>
              <w:t> </w:t>
            </w:r>
            <w:r>
              <w:rPr>
                <w:sz w:val="18"/>
              </w:rPr>
              <w:t>de</w:t>
            </w:r>
            <w:r>
              <w:rPr>
                <w:spacing w:val="-9"/>
                <w:sz w:val="18"/>
              </w:rPr>
              <w:t> </w:t>
            </w:r>
            <w:r>
              <w:rPr>
                <w:sz w:val="18"/>
              </w:rPr>
              <w:t>la</w:t>
            </w:r>
            <w:r>
              <w:rPr>
                <w:spacing w:val="-13"/>
                <w:sz w:val="18"/>
              </w:rPr>
              <w:t> </w:t>
            </w:r>
            <w:r>
              <w:rPr>
                <w:sz w:val="18"/>
              </w:rPr>
              <w:t>CGR 2 No se entreguen a tiempo los informes de acuerdo de Consejo </w:t>
            </w:r>
            <w:r>
              <w:rPr>
                <w:spacing w:val="-2"/>
                <w:sz w:val="18"/>
              </w:rPr>
              <w:t>Directivo.</w:t>
            </w:r>
          </w:p>
          <w:p>
            <w:pPr>
              <w:pStyle w:val="TableParagraph"/>
              <w:ind w:left="74" w:right="112"/>
              <w:rPr>
                <w:sz w:val="18"/>
              </w:rPr>
            </w:pPr>
            <w:r>
              <w:rPr>
                <w:sz w:val="18"/>
              </w:rPr>
              <w:t>3 Incumplimiento en la presentación de informes</w:t>
            </w:r>
            <w:r>
              <w:rPr>
                <w:spacing w:val="-12"/>
                <w:sz w:val="18"/>
              </w:rPr>
              <w:t> </w:t>
            </w:r>
            <w:r>
              <w:rPr>
                <w:sz w:val="18"/>
              </w:rPr>
              <w:t>ante</w:t>
            </w:r>
            <w:r>
              <w:rPr>
                <w:spacing w:val="-9"/>
                <w:sz w:val="18"/>
              </w:rPr>
              <w:t> </w:t>
            </w:r>
            <w:r>
              <w:rPr>
                <w:sz w:val="18"/>
              </w:rPr>
              <w:t>los</w:t>
            </w:r>
            <w:r>
              <w:rPr>
                <w:spacing w:val="-12"/>
                <w:sz w:val="18"/>
              </w:rPr>
              <w:t> </w:t>
            </w:r>
            <w:r>
              <w:rPr>
                <w:sz w:val="18"/>
              </w:rPr>
              <w:t>entes contralores y </w:t>
            </w:r>
            <w:r>
              <w:rPr>
                <w:spacing w:val="-2"/>
                <w:sz w:val="18"/>
              </w:rPr>
              <w:t>fiscalizadores.</w:t>
            </w:r>
          </w:p>
          <w:p>
            <w:pPr>
              <w:pStyle w:val="TableParagraph"/>
              <w:spacing w:before="3"/>
              <w:ind w:left="74" w:right="57"/>
              <w:jc w:val="both"/>
              <w:rPr>
                <w:sz w:val="18"/>
              </w:rPr>
            </w:pPr>
            <w:r>
              <w:rPr>
                <w:sz w:val="18"/>
              </w:rPr>
              <w:t>4</w:t>
            </w:r>
            <w:r>
              <w:rPr>
                <w:spacing w:val="-6"/>
                <w:sz w:val="18"/>
              </w:rPr>
              <w:t> </w:t>
            </w:r>
            <w:r>
              <w:rPr>
                <w:sz w:val="18"/>
              </w:rPr>
              <w:t>Rectoría</w:t>
            </w:r>
            <w:r>
              <w:rPr>
                <w:spacing w:val="-9"/>
                <w:sz w:val="18"/>
              </w:rPr>
              <w:t> </w:t>
            </w:r>
            <w:r>
              <w:rPr>
                <w:sz w:val="18"/>
              </w:rPr>
              <w:t>se</w:t>
            </w:r>
            <w:r>
              <w:rPr>
                <w:spacing w:val="-9"/>
                <w:sz w:val="18"/>
              </w:rPr>
              <w:t> </w:t>
            </w:r>
            <w:r>
              <w:rPr>
                <w:sz w:val="18"/>
              </w:rPr>
              <w:t>demora</w:t>
            </w:r>
            <w:r>
              <w:rPr>
                <w:spacing w:val="-9"/>
                <w:sz w:val="18"/>
              </w:rPr>
              <w:t> </w:t>
            </w:r>
            <w:r>
              <w:rPr>
                <w:sz w:val="18"/>
              </w:rPr>
              <w:t>en entrega</w:t>
            </w:r>
            <w:r>
              <w:rPr>
                <w:spacing w:val="-12"/>
                <w:sz w:val="18"/>
              </w:rPr>
              <w:t> </w:t>
            </w:r>
            <w:r>
              <w:rPr>
                <w:sz w:val="18"/>
              </w:rPr>
              <w:t>de</w:t>
            </w:r>
            <w:r>
              <w:rPr>
                <w:spacing w:val="-9"/>
                <w:sz w:val="18"/>
              </w:rPr>
              <w:t> </w:t>
            </w:r>
            <w:r>
              <w:rPr>
                <w:sz w:val="18"/>
              </w:rPr>
              <w:t>los</w:t>
            </w:r>
            <w:r>
              <w:rPr>
                <w:spacing w:val="-12"/>
                <w:sz w:val="18"/>
              </w:rPr>
              <w:t> </w:t>
            </w:r>
            <w:r>
              <w:rPr>
                <w:sz w:val="18"/>
              </w:rPr>
              <w:t>productos </w:t>
            </w:r>
            <w:r>
              <w:rPr>
                <w:spacing w:val="-2"/>
                <w:sz w:val="18"/>
              </w:rPr>
              <w:t>solicitados.</w:t>
            </w:r>
          </w:p>
          <w:p>
            <w:pPr>
              <w:pStyle w:val="TableParagraph"/>
              <w:ind w:left="74" w:right="58"/>
              <w:rPr>
                <w:sz w:val="18"/>
              </w:rPr>
            </w:pPr>
            <w:r>
              <w:rPr>
                <w:sz w:val="18"/>
              </w:rPr>
              <w:t>5 No elaboren los informes</w:t>
            </w:r>
            <w:r>
              <w:rPr>
                <w:spacing w:val="-15"/>
                <w:sz w:val="18"/>
              </w:rPr>
              <w:t> </w:t>
            </w:r>
            <w:r>
              <w:rPr>
                <w:sz w:val="18"/>
              </w:rPr>
              <w:t>de</w:t>
            </w:r>
            <w:r>
              <w:rPr>
                <w:spacing w:val="-12"/>
                <w:sz w:val="18"/>
              </w:rPr>
              <w:t> </w:t>
            </w:r>
            <w:r>
              <w:rPr>
                <w:sz w:val="18"/>
              </w:rPr>
              <w:t>seguimiento a las disposiciones de a</w:t>
            </w:r>
          </w:p>
          <w:p>
            <w:pPr>
              <w:pStyle w:val="TableParagraph"/>
              <w:spacing w:line="187" w:lineRule="exact" w:before="1"/>
              <w:ind w:left="74"/>
              <w:rPr>
                <w:sz w:val="18"/>
              </w:rPr>
            </w:pPr>
            <w:r>
              <w:rPr>
                <w:spacing w:val="-4"/>
                <w:sz w:val="18"/>
              </w:rPr>
              <w:t>CGR.</w:t>
            </w:r>
          </w:p>
        </w:tc>
      </w:tr>
      <w:tr>
        <w:trPr>
          <w:trHeight w:val="1320" w:hRule="atLeast"/>
        </w:trPr>
        <w:tc>
          <w:tcPr>
            <w:tcW w:w="3193" w:type="dxa"/>
          </w:tcPr>
          <w:p>
            <w:pPr>
              <w:pStyle w:val="TableParagraph"/>
              <w:spacing w:before="41"/>
              <w:rPr>
                <w:b/>
                <w:sz w:val="18"/>
              </w:rPr>
            </w:pPr>
          </w:p>
          <w:p>
            <w:pPr>
              <w:pStyle w:val="TableParagraph"/>
              <w:ind w:left="72"/>
              <w:rPr>
                <w:sz w:val="18"/>
              </w:rPr>
            </w:pPr>
            <w:r>
              <w:rPr>
                <w:b/>
                <w:sz w:val="18"/>
              </w:rPr>
              <w:t>Actividad PAC 2.84.2: </w:t>
            </w:r>
            <w:r>
              <w:rPr>
                <w:sz w:val="18"/>
              </w:rPr>
              <w:t>Elaborar informe</w:t>
            </w:r>
            <w:r>
              <w:rPr>
                <w:spacing w:val="-10"/>
                <w:sz w:val="18"/>
              </w:rPr>
              <w:t> </w:t>
            </w:r>
            <w:r>
              <w:rPr>
                <w:sz w:val="18"/>
              </w:rPr>
              <w:t>de</w:t>
            </w:r>
            <w:r>
              <w:rPr>
                <w:spacing w:val="-10"/>
                <w:sz w:val="18"/>
              </w:rPr>
              <w:t> </w:t>
            </w:r>
            <w:r>
              <w:rPr>
                <w:sz w:val="18"/>
              </w:rPr>
              <w:t>cumplimiento</w:t>
            </w:r>
            <w:r>
              <w:rPr>
                <w:spacing w:val="-7"/>
                <w:sz w:val="18"/>
              </w:rPr>
              <w:t> </w:t>
            </w:r>
            <w:r>
              <w:rPr>
                <w:sz w:val="18"/>
              </w:rPr>
              <w:t>de</w:t>
            </w:r>
            <w:r>
              <w:rPr>
                <w:spacing w:val="-10"/>
                <w:sz w:val="18"/>
              </w:rPr>
              <w:t> </w:t>
            </w:r>
            <w:r>
              <w:rPr>
                <w:sz w:val="18"/>
              </w:rPr>
              <w:t>acuerdos de CD, dirigidos a Planificación Institucional y CIRE</w:t>
            </w:r>
          </w:p>
        </w:tc>
        <w:tc>
          <w:tcPr>
            <w:tcW w:w="1354" w:type="dxa"/>
          </w:tcPr>
          <w:p>
            <w:pPr>
              <w:pStyle w:val="TableParagraph"/>
              <w:rPr>
                <w:b/>
                <w:sz w:val="18"/>
              </w:rPr>
            </w:pPr>
          </w:p>
          <w:p>
            <w:pPr>
              <w:pStyle w:val="TableParagraph"/>
              <w:spacing w:before="141"/>
              <w:rPr>
                <w:b/>
                <w:sz w:val="18"/>
              </w:rPr>
            </w:pPr>
          </w:p>
          <w:p>
            <w:pPr>
              <w:pStyle w:val="TableParagraph"/>
              <w:ind w:left="19" w:right="4"/>
              <w:jc w:val="center"/>
              <w:rPr>
                <w:sz w:val="18"/>
              </w:rPr>
            </w:pPr>
            <w:r>
              <w:rPr>
                <w:spacing w:val="-10"/>
                <w:sz w:val="18"/>
              </w:rPr>
              <w:t>4</w:t>
            </w:r>
          </w:p>
        </w:tc>
        <w:tc>
          <w:tcPr>
            <w:tcW w:w="1354" w:type="dxa"/>
          </w:tcPr>
          <w:p>
            <w:pPr>
              <w:pStyle w:val="TableParagraph"/>
              <w:rPr>
                <w:b/>
                <w:sz w:val="18"/>
              </w:rPr>
            </w:pPr>
          </w:p>
          <w:p>
            <w:pPr>
              <w:pStyle w:val="TableParagraph"/>
              <w:spacing w:before="141"/>
              <w:rPr>
                <w:b/>
                <w:sz w:val="18"/>
              </w:rPr>
            </w:pPr>
          </w:p>
          <w:p>
            <w:pPr>
              <w:pStyle w:val="TableParagraph"/>
              <w:ind w:left="19" w:right="9"/>
              <w:jc w:val="center"/>
              <w:rPr>
                <w:sz w:val="18"/>
              </w:rPr>
            </w:pPr>
            <w:r>
              <w:rPr>
                <w:spacing w:val="-5"/>
                <w:sz w:val="18"/>
              </w:rPr>
              <w:t>12</w:t>
            </w:r>
          </w:p>
        </w:tc>
        <w:tc>
          <w:tcPr>
            <w:tcW w:w="1776" w:type="dxa"/>
          </w:tcPr>
          <w:p>
            <w:pPr>
              <w:pStyle w:val="TableParagraph"/>
              <w:spacing w:before="37"/>
              <w:ind w:left="67" w:right="131"/>
              <w:rPr>
                <w:sz w:val="18"/>
              </w:rPr>
            </w:pPr>
            <w:r>
              <w:rPr>
                <w:sz w:val="18"/>
              </w:rPr>
              <w:t>Cantidad de informes de seguimiento de acuerdos de CD remitidos a Gerencia</w:t>
            </w:r>
            <w:r>
              <w:rPr>
                <w:spacing w:val="-13"/>
                <w:sz w:val="18"/>
              </w:rPr>
              <w:t> </w:t>
            </w:r>
            <w:r>
              <w:rPr>
                <w:sz w:val="18"/>
              </w:rPr>
              <w:t>General</w:t>
            </w:r>
          </w:p>
        </w:tc>
        <w:tc>
          <w:tcPr>
            <w:tcW w:w="1483" w:type="dxa"/>
          </w:tcPr>
          <w:p>
            <w:pPr>
              <w:pStyle w:val="TableParagraph"/>
              <w:spacing w:before="143"/>
              <w:ind w:left="67" w:right="198"/>
              <w:rPr>
                <w:sz w:val="18"/>
              </w:rPr>
            </w:pPr>
            <w:r>
              <w:rPr>
                <w:sz w:val="18"/>
              </w:rPr>
              <w:t>Informes</w:t>
            </w:r>
            <w:r>
              <w:rPr>
                <w:spacing w:val="-13"/>
                <w:sz w:val="18"/>
              </w:rPr>
              <w:t> </w:t>
            </w:r>
            <w:r>
              <w:rPr>
                <w:sz w:val="18"/>
              </w:rPr>
              <w:t>y correos</w:t>
            </w:r>
            <w:r>
              <w:rPr>
                <w:spacing w:val="-13"/>
                <w:sz w:val="18"/>
              </w:rPr>
              <w:t> </w:t>
            </w:r>
            <w:r>
              <w:rPr>
                <w:sz w:val="18"/>
              </w:rPr>
              <w:t>de remisión</w:t>
            </w:r>
            <w:r>
              <w:rPr>
                <w:spacing w:val="-13"/>
                <w:sz w:val="18"/>
              </w:rPr>
              <w:t> </w:t>
            </w:r>
            <w:r>
              <w:rPr>
                <w:sz w:val="18"/>
              </w:rPr>
              <w:t>a </w:t>
            </w:r>
            <w:r>
              <w:rPr>
                <w:spacing w:val="-2"/>
                <w:sz w:val="18"/>
              </w:rPr>
              <w:t>Gerencia General</w:t>
            </w:r>
          </w:p>
        </w:tc>
        <w:tc>
          <w:tcPr>
            <w:tcW w:w="1296" w:type="dxa"/>
          </w:tcPr>
          <w:p>
            <w:pPr>
              <w:pStyle w:val="TableParagraph"/>
              <w:rPr>
                <w:b/>
                <w:sz w:val="18"/>
              </w:rPr>
            </w:pPr>
          </w:p>
          <w:p>
            <w:pPr>
              <w:pStyle w:val="TableParagraph"/>
              <w:spacing w:before="41"/>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440" w:hRule="atLeast"/>
        </w:trPr>
        <w:tc>
          <w:tcPr>
            <w:tcW w:w="3193" w:type="dxa"/>
          </w:tcPr>
          <w:p>
            <w:pPr>
              <w:pStyle w:val="TableParagraph"/>
              <w:spacing w:before="205"/>
              <w:ind w:left="72" w:right="111"/>
              <w:rPr>
                <w:sz w:val="18"/>
              </w:rPr>
            </w:pPr>
            <w:r>
              <w:rPr>
                <w:b/>
                <w:sz w:val="18"/>
              </w:rPr>
              <w:t>Actividad PAC 2.84.3: </w:t>
            </w:r>
            <w:r>
              <w:rPr>
                <w:sz w:val="18"/>
              </w:rPr>
              <w:t>Elaborar informes</w:t>
            </w:r>
            <w:r>
              <w:rPr>
                <w:spacing w:val="-9"/>
                <w:sz w:val="18"/>
              </w:rPr>
              <w:t> </w:t>
            </w:r>
            <w:r>
              <w:rPr>
                <w:sz w:val="18"/>
              </w:rPr>
              <w:t>de</w:t>
            </w:r>
            <w:r>
              <w:rPr>
                <w:spacing w:val="-9"/>
                <w:sz w:val="18"/>
              </w:rPr>
              <w:t> </w:t>
            </w:r>
            <w:r>
              <w:rPr>
                <w:sz w:val="18"/>
              </w:rPr>
              <w:t>cumplimiento</w:t>
            </w:r>
            <w:r>
              <w:rPr>
                <w:spacing w:val="-9"/>
                <w:sz w:val="18"/>
              </w:rPr>
              <w:t> </w:t>
            </w:r>
            <w:r>
              <w:rPr>
                <w:sz w:val="18"/>
              </w:rPr>
              <w:t>de</w:t>
            </w:r>
            <w:r>
              <w:rPr>
                <w:spacing w:val="-9"/>
                <w:sz w:val="18"/>
              </w:rPr>
              <w:t> </w:t>
            </w:r>
            <w:r>
              <w:rPr>
                <w:sz w:val="18"/>
              </w:rPr>
              <w:t>metas que se deben remitir a entes contralores y fiscalizadores (PND; CGR y FODESAF)</w:t>
            </w:r>
          </w:p>
        </w:tc>
        <w:tc>
          <w:tcPr>
            <w:tcW w:w="1354" w:type="dxa"/>
          </w:tcPr>
          <w:p>
            <w:pPr>
              <w:pStyle w:val="TableParagraph"/>
              <w:rPr>
                <w:b/>
                <w:sz w:val="18"/>
              </w:rPr>
            </w:pPr>
          </w:p>
          <w:p>
            <w:pPr>
              <w:pStyle w:val="TableParagraph"/>
              <w:spacing w:before="204"/>
              <w:rPr>
                <w:b/>
                <w:sz w:val="18"/>
              </w:rPr>
            </w:pPr>
          </w:p>
          <w:p>
            <w:pPr>
              <w:pStyle w:val="TableParagraph"/>
              <w:ind w:left="19" w:right="9"/>
              <w:jc w:val="center"/>
              <w:rPr>
                <w:sz w:val="18"/>
              </w:rPr>
            </w:pPr>
            <w:r>
              <w:rPr>
                <w:spacing w:val="-5"/>
                <w:sz w:val="18"/>
              </w:rPr>
              <w:t>10</w:t>
            </w:r>
          </w:p>
        </w:tc>
        <w:tc>
          <w:tcPr>
            <w:tcW w:w="1354" w:type="dxa"/>
          </w:tcPr>
          <w:p>
            <w:pPr>
              <w:pStyle w:val="TableParagraph"/>
              <w:spacing w:line="207" w:lineRule="exact" w:before="205"/>
              <w:ind w:left="19" w:right="6"/>
              <w:jc w:val="center"/>
              <w:rPr>
                <w:sz w:val="18"/>
              </w:rPr>
            </w:pPr>
            <w:r>
              <w:rPr>
                <w:sz w:val="18"/>
              </w:rPr>
              <w:t>10</w:t>
            </w:r>
            <w:r>
              <w:rPr>
                <w:spacing w:val="-2"/>
                <w:sz w:val="18"/>
              </w:rPr>
              <w:t> </w:t>
            </w:r>
            <w:r>
              <w:rPr>
                <w:sz w:val="18"/>
              </w:rPr>
              <w:t>informes</w:t>
            </w:r>
            <w:r>
              <w:rPr>
                <w:spacing w:val="-6"/>
                <w:sz w:val="18"/>
              </w:rPr>
              <w:t> </w:t>
            </w:r>
            <w:r>
              <w:rPr>
                <w:spacing w:val="-5"/>
                <w:sz w:val="18"/>
              </w:rPr>
              <w:t>(4</w:t>
            </w:r>
          </w:p>
          <w:p>
            <w:pPr>
              <w:pStyle w:val="TableParagraph"/>
              <w:spacing w:line="206" w:lineRule="exact"/>
              <w:ind w:left="19" w:right="10"/>
              <w:jc w:val="center"/>
              <w:rPr>
                <w:sz w:val="18"/>
              </w:rPr>
            </w:pPr>
            <w:r>
              <w:rPr>
                <w:sz w:val="18"/>
              </w:rPr>
              <w:t>PND-Marta;</w:t>
            </w:r>
            <w:r>
              <w:rPr>
                <w:spacing w:val="-6"/>
                <w:sz w:val="18"/>
              </w:rPr>
              <w:t> </w:t>
            </w:r>
            <w:r>
              <w:rPr>
                <w:spacing w:val="-10"/>
                <w:sz w:val="18"/>
              </w:rPr>
              <w:t>2</w:t>
            </w:r>
          </w:p>
          <w:p>
            <w:pPr>
              <w:pStyle w:val="TableParagraph"/>
              <w:ind w:left="115" w:right="102"/>
              <w:jc w:val="center"/>
              <w:rPr>
                <w:sz w:val="18"/>
              </w:rPr>
            </w:pPr>
            <w:r>
              <w:rPr>
                <w:sz w:val="18"/>
              </w:rPr>
              <w:t>CGR-Angie,</w:t>
            </w:r>
            <w:r>
              <w:rPr>
                <w:spacing w:val="-13"/>
                <w:sz w:val="18"/>
              </w:rPr>
              <w:t> </w:t>
            </w:r>
            <w:r>
              <w:rPr>
                <w:sz w:val="18"/>
              </w:rPr>
              <w:t>4 </w:t>
            </w:r>
            <w:r>
              <w:rPr>
                <w:spacing w:val="-2"/>
                <w:sz w:val="18"/>
              </w:rPr>
              <w:t>FODESAF-</w:t>
            </w:r>
          </w:p>
          <w:p>
            <w:pPr>
              <w:pStyle w:val="TableParagraph"/>
              <w:spacing w:line="206" w:lineRule="exact"/>
              <w:ind w:left="19" w:right="7"/>
              <w:jc w:val="center"/>
              <w:rPr>
                <w:sz w:val="18"/>
              </w:rPr>
            </w:pPr>
            <w:r>
              <w:rPr>
                <w:spacing w:val="-2"/>
                <w:sz w:val="18"/>
              </w:rPr>
              <w:t>Angie)</w:t>
            </w:r>
          </w:p>
        </w:tc>
        <w:tc>
          <w:tcPr>
            <w:tcW w:w="1776" w:type="dxa"/>
          </w:tcPr>
          <w:p>
            <w:pPr>
              <w:pStyle w:val="TableParagraph"/>
              <w:spacing w:before="204"/>
              <w:rPr>
                <w:b/>
                <w:sz w:val="18"/>
              </w:rPr>
            </w:pPr>
          </w:p>
          <w:p>
            <w:pPr>
              <w:pStyle w:val="TableParagraph"/>
              <w:ind w:left="67" w:right="291"/>
              <w:rPr>
                <w:sz w:val="18"/>
              </w:rPr>
            </w:pPr>
            <w:r>
              <w:rPr>
                <w:sz w:val="18"/>
              </w:rPr>
              <w:t>Cantidad</w:t>
            </w:r>
            <w:r>
              <w:rPr>
                <w:spacing w:val="-13"/>
                <w:sz w:val="18"/>
              </w:rPr>
              <w:t> </w:t>
            </w:r>
            <w:r>
              <w:rPr>
                <w:sz w:val="18"/>
              </w:rPr>
              <w:t>de </w:t>
            </w:r>
            <w:r>
              <w:rPr>
                <w:spacing w:val="-2"/>
                <w:sz w:val="18"/>
              </w:rPr>
              <w:t>Informes elaborados</w:t>
            </w:r>
          </w:p>
        </w:tc>
        <w:tc>
          <w:tcPr>
            <w:tcW w:w="1483" w:type="dxa"/>
          </w:tcPr>
          <w:p>
            <w:pPr>
              <w:pStyle w:val="TableParagraph"/>
              <w:spacing w:before="205"/>
              <w:ind w:left="67"/>
              <w:rPr>
                <w:sz w:val="18"/>
              </w:rPr>
            </w:pPr>
            <w:r>
              <w:rPr>
                <w:sz w:val="18"/>
              </w:rPr>
              <w:t>Oficios de remisión de informes</w:t>
            </w:r>
            <w:r>
              <w:rPr>
                <w:spacing w:val="-15"/>
                <w:sz w:val="18"/>
              </w:rPr>
              <w:t> </w:t>
            </w:r>
            <w:r>
              <w:rPr>
                <w:sz w:val="18"/>
              </w:rPr>
              <w:t>a</w:t>
            </w:r>
            <w:r>
              <w:rPr>
                <w:spacing w:val="-12"/>
                <w:sz w:val="18"/>
              </w:rPr>
              <w:t> </w:t>
            </w:r>
            <w:r>
              <w:rPr>
                <w:sz w:val="18"/>
              </w:rPr>
              <w:t>entes contralores y </w:t>
            </w:r>
            <w:r>
              <w:rPr>
                <w:spacing w:val="-2"/>
                <w:sz w:val="18"/>
              </w:rPr>
              <w:t>fiscalizadores</w:t>
            </w:r>
          </w:p>
        </w:tc>
        <w:tc>
          <w:tcPr>
            <w:tcW w:w="1296" w:type="dxa"/>
          </w:tcPr>
          <w:p>
            <w:pPr>
              <w:pStyle w:val="TableParagraph"/>
              <w:rPr>
                <w:b/>
                <w:sz w:val="18"/>
              </w:rPr>
            </w:pPr>
          </w:p>
          <w:p>
            <w:pPr>
              <w:pStyle w:val="TableParagraph"/>
              <w:spacing w:before="98"/>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291" w:hRule="atLeast"/>
        </w:trPr>
        <w:tc>
          <w:tcPr>
            <w:tcW w:w="3193" w:type="dxa"/>
          </w:tcPr>
          <w:p>
            <w:pPr>
              <w:pStyle w:val="TableParagraph"/>
              <w:spacing w:before="128"/>
              <w:ind w:left="72" w:right="111"/>
              <w:rPr>
                <w:sz w:val="18"/>
              </w:rPr>
            </w:pPr>
            <w:r>
              <w:rPr>
                <w:b/>
                <w:sz w:val="18"/>
              </w:rPr>
              <w:t>Actividad PAC 2.84.4: </w:t>
            </w:r>
            <w:r>
              <w:rPr>
                <w:sz w:val="18"/>
              </w:rPr>
              <w:t>Elaborar informes vinculados con los compromisos</w:t>
            </w:r>
            <w:r>
              <w:rPr>
                <w:spacing w:val="-12"/>
                <w:sz w:val="18"/>
              </w:rPr>
              <w:t> </w:t>
            </w:r>
            <w:r>
              <w:rPr>
                <w:sz w:val="18"/>
              </w:rPr>
              <w:t>sociales</w:t>
            </w:r>
            <w:r>
              <w:rPr>
                <w:spacing w:val="-12"/>
                <w:sz w:val="18"/>
              </w:rPr>
              <w:t> </w:t>
            </w:r>
            <w:r>
              <w:rPr>
                <w:sz w:val="18"/>
              </w:rPr>
              <w:t>sectoriales</w:t>
            </w:r>
            <w:r>
              <w:rPr>
                <w:spacing w:val="-8"/>
                <w:sz w:val="18"/>
              </w:rPr>
              <w:t> </w:t>
            </w:r>
            <w:r>
              <w:rPr>
                <w:sz w:val="18"/>
              </w:rPr>
              <w:t>en el PNDIP, OCDE, ODS, Secretaría del Sector BTIS, MIDEPLAN y otros</w:t>
            </w:r>
          </w:p>
        </w:tc>
        <w:tc>
          <w:tcPr>
            <w:tcW w:w="1354" w:type="dxa"/>
          </w:tcPr>
          <w:p>
            <w:pPr>
              <w:pStyle w:val="TableParagraph"/>
              <w:rPr>
                <w:b/>
                <w:sz w:val="18"/>
              </w:rPr>
            </w:pPr>
          </w:p>
          <w:p>
            <w:pPr>
              <w:pStyle w:val="TableParagraph"/>
              <w:spacing w:before="127"/>
              <w:rPr>
                <w:b/>
                <w:sz w:val="18"/>
              </w:rPr>
            </w:pPr>
          </w:p>
          <w:p>
            <w:pPr>
              <w:pStyle w:val="TableParagraph"/>
              <w:ind w:left="19" w:right="4"/>
              <w:jc w:val="center"/>
              <w:rPr>
                <w:sz w:val="18"/>
              </w:rPr>
            </w:pPr>
            <w:r>
              <w:rPr>
                <w:spacing w:val="-10"/>
                <w:sz w:val="18"/>
              </w:rPr>
              <w:t>1</w:t>
            </w:r>
          </w:p>
        </w:tc>
        <w:tc>
          <w:tcPr>
            <w:tcW w:w="1354" w:type="dxa"/>
          </w:tcPr>
          <w:p>
            <w:pPr>
              <w:pStyle w:val="TableParagraph"/>
              <w:rPr>
                <w:b/>
                <w:sz w:val="18"/>
              </w:rPr>
            </w:pPr>
          </w:p>
          <w:p>
            <w:pPr>
              <w:pStyle w:val="TableParagraph"/>
              <w:spacing w:before="127"/>
              <w:rPr>
                <w:b/>
                <w:sz w:val="18"/>
              </w:rPr>
            </w:pPr>
          </w:p>
          <w:p>
            <w:pPr>
              <w:pStyle w:val="TableParagraph"/>
              <w:ind w:left="19" w:right="7"/>
              <w:jc w:val="center"/>
              <w:rPr>
                <w:sz w:val="18"/>
              </w:rPr>
            </w:pPr>
            <w:r>
              <w:rPr>
                <w:spacing w:val="-4"/>
                <w:sz w:val="18"/>
              </w:rPr>
              <w:t>100%</w:t>
            </w:r>
          </w:p>
        </w:tc>
        <w:tc>
          <w:tcPr>
            <w:tcW w:w="1776" w:type="dxa"/>
          </w:tcPr>
          <w:p>
            <w:pPr>
              <w:pStyle w:val="TableParagraph"/>
              <w:rPr>
                <w:b/>
                <w:sz w:val="18"/>
              </w:rPr>
            </w:pPr>
          </w:p>
          <w:p>
            <w:pPr>
              <w:pStyle w:val="TableParagraph"/>
              <w:spacing w:before="26"/>
              <w:rPr>
                <w:b/>
                <w:sz w:val="18"/>
              </w:rPr>
            </w:pPr>
          </w:p>
          <w:p>
            <w:pPr>
              <w:pStyle w:val="TableParagraph"/>
              <w:ind w:left="67"/>
              <w:rPr>
                <w:sz w:val="18"/>
              </w:rPr>
            </w:pPr>
            <w:r>
              <w:rPr>
                <w:sz w:val="18"/>
              </w:rPr>
              <w:t>Porcentaje de informes</w:t>
            </w:r>
            <w:r>
              <w:rPr>
                <w:spacing w:val="-13"/>
                <w:sz w:val="18"/>
              </w:rPr>
              <w:t> </w:t>
            </w:r>
            <w:r>
              <w:rPr>
                <w:sz w:val="18"/>
              </w:rPr>
              <w:t>elaborados</w:t>
            </w:r>
          </w:p>
        </w:tc>
        <w:tc>
          <w:tcPr>
            <w:tcW w:w="1483" w:type="dxa"/>
          </w:tcPr>
          <w:p>
            <w:pPr>
              <w:pStyle w:val="TableParagraph"/>
              <w:rPr>
                <w:b/>
                <w:sz w:val="18"/>
              </w:rPr>
            </w:pPr>
          </w:p>
          <w:p>
            <w:pPr>
              <w:pStyle w:val="TableParagraph"/>
              <w:spacing w:before="26"/>
              <w:rPr>
                <w:b/>
                <w:sz w:val="18"/>
              </w:rPr>
            </w:pPr>
          </w:p>
          <w:p>
            <w:pPr>
              <w:pStyle w:val="TableParagraph"/>
              <w:ind w:left="67" w:right="198"/>
              <w:rPr>
                <w:sz w:val="18"/>
              </w:rPr>
            </w:pPr>
            <w:r>
              <w:rPr>
                <w:spacing w:val="-2"/>
                <w:sz w:val="18"/>
              </w:rPr>
              <w:t>Informes remitidos</w:t>
            </w:r>
          </w:p>
        </w:tc>
        <w:tc>
          <w:tcPr>
            <w:tcW w:w="1296" w:type="dxa"/>
          </w:tcPr>
          <w:p>
            <w:pPr>
              <w:pStyle w:val="TableParagraph"/>
              <w:rPr>
                <w:b/>
                <w:sz w:val="18"/>
              </w:rPr>
            </w:pPr>
          </w:p>
          <w:p>
            <w:pPr>
              <w:pStyle w:val="TableParagraph"/>
              <w:spacing w:before="26"/>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094" w:hRule="atLeast"/>
        </w:trPr>
        <w:tc>
          <w:tcPr>
            <w:tcW w:w="3193" w:type="dxa"/>
          </w:tcPr>
          <w:p>
            <w:pPr>
              <w:pStyle w:val="TableParagraph"/>
              <w:spacing w:before="133"/>
              <w:ind w:left="72" w:right="111"/>
              <w:rPr>
                <w:sz w:val="18"/>
              </w:rPr>
            </w:pPr>
            <w:r>
              <w:rPr>
                <w:b/>
                <w:sz w:val="18"/>
              </w:rPr>
              <w:t>Actividad PAC 2.84.5: </w:t>
            </w:r>
            <w:r>
              <w:rPr>
                <w:sz w:val="18"/>
              </w:rPr>
              <w:t>Elaboración informe semestral de avance en el cumplimiento</w:t>
            </w:r>
            <w:r>
              <w:rPr>
                <w:spacing w:val="-10"/>
                <w:sz w:val="18"/>
              </w:rPr>
              <w:t> </w:t>
            </w:r>
            <w:r>
              <w:rPr>
                <w:sz w:val="18"/>
              </w:rPr>
              <w:t>de</w:t>
            </w:r>
            <w:r>
              <w:rPr>
                <w:spacing w:val="-10"/>
                <w:sz w:val="18"/>
              </w:rPr>
              <w:t> </w:t>
            </w:r>
            <w:r>
              <w:rPr>
                <w:sz w:val="18"/>
              </w:rPr>
              <w:t>las</w:t>
            </w:r>
            <w:r>
              <w:rPr>
                <w:spacing w:val="-5"/>
                <w:sz w:val="18"/>
              </w:rPr>
              <w:t> </w:t>
            </w:r>
            <w:r>
              <w:rPr>
                <w:sz w:val="18"/>
              </w:rPr>
              <w:t>disposiciones</w:t>
            </w:r>
            <w:r>
              <w:rPr>
                <w:spacing w:val="-10"/>
                <w:sz w:val="18"/>
              </w:rPr>
              <w:t> </w:t>
            </w:r>
            <w:r>
              <w:rPr>
                <w:sz w:val="18"/>
              </w:rPr>
              <w:t>de la</w:t>
            </w:r>
            <w:r>
              <w:rPr>
                <w:spacing w:val="1"/>
                <w:sz w:val="18"/>
              </w:rPr>
              <w:t> </w:t>
            </w:r>
            <w:r>
              <w:rPr>
                <w:sz w:val="18"/>
              </w:rPr>
              <w:t>CGR</w:t>
            </w:r>
            <w:r>
              <w:rPr>
                <w:spacing w:val="-5"/>
                <w:sz w:val="18"/>
              </w:rPr>
              <w:t> </w:t>
            </w:r>
            <w:r>
              <w:rPr>
                <w:sz w:val="18"/>
              </w:rPr>
              <w:t>dirigidas</w:t>
            </w:r>
            <w:r>
              <w:rPr>
                <w:spacing w:val="-3"/>
                <w:sz w:val="18"/>
              </w:rPr>
              <w:t> </w:t>
            </w:r>
            <w:r>
              <w:rPr>
                <w:sz w:val="18"/>
              </w:rPr>
              <w:t>al</w:t>
            </w:r>
            <w:r>
              <w:rPr>
                <w:spacing w:val="-5"/>
                <w:sz w:val="18"/>
              </w:rPr>
              <w:t> </w:t>
            </w:r>
            <w:r>
              <w:rPr>
                <w:sz w:val="18"/>
              </w:rPr>
              <w:t>IMAS</w:t>
            </w:r>
            <w:r>
              <w:rPr>
                <w:spacing w:val="-4"/>
                <w:sz w:val="18"/>
              </w:rPr>
              <w:t> </w:t>
            </w:r>
            <w:r>
              <w:rPr>
                <w:sz w:val="18"/>
              </w:rPr>
              <w:t>o</w:t>
            </w:r>
            <w:r>
              <w:rPr>
                <w:spacing w:val="-2"/>
                <w:sz w:val="18"/>
              </w:rPr>
              <w:t> </w:t>
            </w:r>
            <w:r>
              <w:rPr>
                <w:sz w:val="18"/>
              </w:rPr>
              <w:t>al</w:t>
            </w:r>
            <w:r>
              <w:rPr>
                <w:spacing w:val="-5"/>
                <w:sz w:val="18"/>
              </w:rPr>
              <w:t> </w:t>
            </w:r>
            <w:r>
              <w:rPr>
                <w:spacing w:val="-4"/>
                <w:sz w:val="18"/>
              </w:rPr>
              <w:t>MDHIS</w:t>
            </w:r>
          </w:p>
        </w:tc>
        <w:tc>
          <w:tcPr>
            <w:tcW w:w="1354" w:type="dxa"/>
          </w:tcPr>
          <w:p>
            <w:pPr>
              <w:pStyle w:val="TableParagraph"/>
              <w:rPr>
                <w:b/>
                <w:sz w:val="18"/>
              </w:rPr>
            </w:pPr>
          </w:p>
          <w:p>
            <w:pPr>
              <w:pStyle w:val="TableParagraph"/>
              <w:spacing w:before="32"/>
              <w:rPr>
                <w:b/>
                <w:sz w:val="18"/>
              </w:rPr>
            </w:pPr>
          </w:p>
          <w:p>
            <w:pPr>
              <w:pStyle w:val="TableParagraph"/>
              <w:ind w:left="19" w:right="4"/>
              <w:jc w:val="center"/>
              <w:rPr>
                <w:sz w:val="18"/>
              </w:rPr>
            </w:pPr>
            <w:r>
              <w:rPr>
                <w:spacing w:val="-10"/>
                <w:sz w:val="18"/>
              </w:rPr>
              <w:t>2</w:t>
            </w:r>
          </w:p>
        </w:tc>
        <w:tc>
          <w:tcPr>
            <w:tcW w:w="1354" w:type="dxa"/>
          </w:tcPr>
          <w:p>
            <w:pPr>
              <w:pStyle w:val="TableParagraph"/>
              <w:rPr>
                <w:b/>
                <w:sz w:val="18"/>
              </w:rPr>
            </w:pPr>
          </w:p>
          <w:p>
            <w:pPr>
              <w:pStyle w:val="TableParagraph"/>
              <w:spacing w:before="32"/>
              <w:rPr>
                <w:b/>
                <w:sz w:val="18"/>
              </w:rPr>
            </w:pPr>
          </w:p>
          <w:p>
            <w:pPr>
              <w:pStyle w:val="TableParagraph"/>
              <w:ind w:left="19" w:right="4"/>
              <w:jc w:val="center"/>
              <w:rPr>
                <w:sz w:val="18"/>
              </w:rPr>
            </w:pPr>
            <w:r>
              <w:rPr>
                <w:spacing w:val="-10"/>
                <w:sz w:val="18"/>
              </w:rPr>
              <w:t>2</w:t>
            </w:r>
          </w:p>
        </w:tc>
        <w:tc>
          <w:tcPr>
            <w:tcW w:w="1776" w:type="dxa"/>
          </w:tcPr>
          <w:p>
            <w:pPr>
              <w:pStyle w:val="TableParagraph"/>
              <w:spacing w:before="32"/>
              <w:ind w:left="67" w:right="78"/>
              <w:rPr>
                <w:sz w:val="18"/>
              </w:rPr>
            </w:pPr>
            <w:r>
              <w:rPr>
                <w:sz w:val="18"/>
              </w:rPr>
              <w:t>Cantidad de informes</w:t>
            </w:r>
            <w:r>
              <w:rPr>
                <w:spacing w:val="-15"/>
                <w:sz w:val="18"/>
              </w:rPr>
              <w:t> </w:t>
            </w:r>
            <w:r>
              <w:rPr>
                <w:sz w:val="18"/>
              </w:rPr>
              <w:t>remitidos</w:t>
            </w:r>
            <w:r>
              <w:rPr>
                <w:spacing w:val="-12"/>
                <w:sz w:val="18"/>
              </w:rPr>
              <w:t> </w:t>
            </w:r>
            <w:r>
              <w:rPr>
                <w:sz w:val="18"/>
              </w:rPr>
              <w:t>a </w:t>
            </w:r>
            <w:r>
              <w:rPr>
                <w:spacing w:val="-2"/>
                <w:sz w:val="18"/>
              </w:rPr>
              <w:t>Presidencia </w:t>
            </w:r>
            <w:r>
              <w:rPr>
                <w:sz w:val="18"/>
              </w:rPr>
              <w:t>Ejecutiva y</w:t>
            </w:r>
            <w:r>
              <w:rPr>
                <w:spacing w:val="40"/>
                <w:sz w:val="18"/>
              </w:rPr>
              <w:t> </w:t>
            </w:r>
            <w:r>
              <w:rPr>
                <w:sz w:val="18"/>
              </w:rPr>
              <w:t>Gerencia General</w:t>
            </w:r>
          </w:p>
        </w:tc>
        <w:tc>
          <w:tcPr>
            <w:tcW w:w="1483" w:type="dxa"/>
          </w:tcPr>
          <w:p>
            <w:pPr>
              <w:pStyle w:val="TableParagraph"/>
              <w:spacing w:before="132"/>
              <w:rPr>
                <w:b/>
                <w:sz w:val="18"/>
              </w:rPr>
            </w:pPr>
          </w:p>
          <w:p>
            <w:pPr>
              <w:pStyle w:val="TableParagraph"/>
              <w:ind w:left="67" w:right="198"/>
              <w:rPr>
                <w:sz w:val="18"/>
              </w:rPr>
            </w:pPr>
            <w:r>
              <w:rPr>
                <w:spacing w:val="-2"/>
                <w:sz w:val="18"/>
              </w:rPr>
              <w:t>Informes remitidos</w:t>
            </w:r>
          </w:p>
        </w:tc>
        <w:tc>
          <w:tcPr>
            <w:tcW w:w="1296" w:type="dxa"/>
          </w:tcPr>
          <w:p>
            <w:pPr>
              <w:pStyle w:val="TableParagraph"/>
              <w:spacing w:before="132"/>
              <w:rPr>
                <w:b/>
                <w:sz w:val="18"/>
              </w:rPr>
            </w:pPr>
          </w:p>
          <w:p>
            <w:pPr>
              <w:pStyle w:val="TableParagraph"/>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r>
        <w:trPr>
          <w:trHeight w:val="1233" w:hRule="atLeast"/>
        </w:trPr>
        <w:tc>
          <w:tcPr>
            <w:tcW w:w="3193" w:type="dxa"/>
          </w:tcPr>
          <w:p>
            <w:pPr>
              <w:pStyle w:val="TableParagraph"/>
              <w:spacing w:line="242" w:lineRule="auto" w:before="200"/>
              <w:ind w:left="72" w:right="111"/>
              <w:rPr>
                <w:sz w:val="18"/>
              </w:rPr>
            </w:pPr>
            <w:r>
              <w:rPr>
                <w:b/>
                <w:sz w:val="18"/>
              </w:rPr>
              <w:t>Actividad PAC 2.84.6: </w:t>
            </w:r>
            <w:r>
              <w:rPr>
                <w:sz w:val="18"/>
              </w:rPr>
              <w:t>Recopilar la información</w:t>
            </w:r>
            <w:r>
              <w:rPr>
                <w:spacing w:val="-13"/>
                <w:sz w:val="18"/>
              </w:rPr>
              <w:t> </w:t>
            </w:r>
            <w:r>
              <w:rPr>
                <w:sz w:val="18"/>
              </w:rPr>
              <w:t>requerida</w:t>
            </w:r>
            <w:r>
              <w:rPr>
                <w:spacing w:val="-12"/>
                <w:sz w:val="18"/>
              </w:rPr>
              <w:t> </w:t>
            </w:r>
            <w:r>
              <w:rPr>
                <w:sz w:val="18"/>
              </w:rPr>
              <w:t>para</w:t>
            </w:r>
            <w:r>
              <w:rPr>
                <w:spacing w:val="-13"/>
                <w:sz w:val="18"/>
              </w:rPr>
              <w:t> </w:t>
            </w:r>
            <w:r>
              <w:rPr>
                <w:sz w:val="18"/>
              </w:rPr>
              <w:t>completar el Índice de Capacidad de Gestión Institucional (ICGI) de la CGR</w:t>
            </w:r>
          </w:p>
        </w:tc>
        <w:tc>
          <w:tcPr>
            <w:tcW w:w="1354" w:type="dxa"/>
          </w:tcPr>
          <w:p>
            <w:pPr>
              <w:pStyle w:val="TableParagraph"/>
              <w:rPr>
                <w:b/>
                <w:sz w:val="18"/>
              </w:rPr>
            </w:pPr>
          </w:p>
          <w:p>
            <w:pPr>
              <w:pStyle w:val="TableParagraph"/>
              <w:spacing w:before="99"/>
              <w:rPr>
                <w:b/>
                <w:sz w:val="18"/>
              </w:rPr>
            </w:pPr>
          </w:p>
          <w:p>
            <w:pPr>
              <w:pStyle w:val="TableParagraph"/>
              <w:ind w:left="19" w:right="4"/>
              <w:jc w:val="center"/>
              <w:rPr>
                <w:sz w:val="18"/>
              </w:rPr>
            </w:pPr>
            <w:r>
              <w:rPr>
                <w:spacing w:val="-10"/>
                <w:sz w:val="18"/>
              </w:rPr>
              <w:t>1</w:t>
            </w:r>
          </w:p>
        </w:tc>
        <w:tc>
          <w:tcPr>
            <w:tcW w:w="1354" w:type="dxa"/>
          </w:tcPr>
          <w:p>
            <w:pPr>
              <w:pStyle w:val="TableParagraph"/>
              <w:rPr>
                <w:b/>
                <w:sz w:val="18"/>
              </w:rPr>
            </w:pPr>
          </w:p>
          <w:p>
            <w:pPr>
              <w:pStyle w:val="TableParagraph"/>
              <w:spacing w:before="99"/>
              <w:rPr>
                <w:b/>
                <w:sz w:val="18"/>
              </w:rPr>
            </w:pPr>
          </w:p>
          <w:p>
            <w:pPr>
              <w:pStyle w:val="TableParagraph"/>
              <w:ind w:left="19" w:right="4"/>
              <w:jc w:val="center"/>
              <w:rPr>
                <w:sz w:val="18"/>
              </w:rPr>
            </w:pPr>
            <w:r>
              <w:rPr>
                <w:spacing w:val="-10"/>
                <w:sz w:val="18"/>
              </w:rPr>
              <w:t>1</w:t>
            </w:r>
          </w:p>
        </w:tc>
        <w:tc>
          <w:tcPr>
            <w:tcW w:w="1776" w:type="dxa"/>
          </w:tcPr>
          <w:p>
            <w:pPr>
              <w:pStyle w:val="TableParagraph"/>
              <w:spacing w:line="242" w:lineRule="auto" w:before="200"/>
              <w:ind w:left="67"/>
              <w:rPr>
                <w:sz w:val="18"/>
              </w:rPr>
            </w:pPr>
            <w:r>
              <w:rPr>
                <w:sz w:val="18"/>
              </w:rPr>
              <w:t>Cantidad de formularios de respuesta al ICG remitidos</w:t>
            </w:r>
            <w:r>
              <w:rPr>
                <w:spacing w:val="-12"/>
                <w:sz w:val="18"/>
              </w:rPr>
              <w:t> </w:t>
            </w:r>
            <w:r>
              <w:rPr>
                <w:sz w:val="18"/>
              </w:rPr>
              <w:t>a</w:t>
            </w:r>
            <w:r>
              <w:rPr>
                <w:spacing w:val="-9"/>
                <w:sz w:val="18"/>
              </w:rPr>
              <w:t> </w:t>
            </w:r>
            <w:r>
              <w:rPr>
                <w:sz w:val="18"/>
              </w:rPr>
              <w:t>la</w:t>
            </w:r>
            <w:r>
              <w:rPr>
                <w:spacing w:val="-12"/>
                <w:sz w:val="18"/>
              </w:rPr>
              <w:t> </w:t>
            </w:r>
            <w:r>
              <w:rPr>
                <w:sz w:val="18"/>
              </w:rPr>
              <w:t>CGR</w:t>
            </w:r>
          </w:p>
        </w:tc>
        <w:tc>
          <w:tcPr>
            <w:tcW w:w="1483" w:type="dxa"/>
          </w:tcPr>
          <w:p>
            <w:pPr>
              <w:pStyle w:val="TableParagraph"/>
              <w:spacing w:before="199"/>
              <w:rPr>
                <w:b/>
                <w:sz w:val="18"/>
              </w:rPr>
            </w:pPr>
          </w:p>
          <w:p>
            <w:pPr>
              <w:pStyle w:val="TableParagraph"/>
              <w:spacing w:line="244" w:lineRule="auto" w:before="1"/>
              <w:ind w:left="67"/>
              <w:rPr>
                <w:sz w:val="18"/>
              </w:rPr>
            </w:pPr>
            <w:r>
              <w:rPr>
                <w:sz w:val="18"/>
              </w:rPr>
              <w:t>Formulario de respuesta</w:t>
            </w:r>
            <w:r>
              <w:rPr>
                <w:spacing w:val="-9"/>
                <w:sz w:val="18"/>
              </w:rPr>
              <w:t> </w:t>
            </w:r>
            <w:r>
              <w:rPr>
                <w:spacing w:val="-5"/>
                <w:sz w:val="18"/>
              </w:rPr>
              <w:t>ICG</w:t>
            </w:r>
          </w:p>
        </w:tc>
        <w:tc>
          <w:tcPr>
            <w:tcW w:w="1296" w:type="dxa"/>
          </w:tcPr>
          <w:p>
            <w:pPr>
              <w:pStyle w:val="TableParagraph"/>
              <w:spacing w:before="199"/>
              <w:rPr>
                <w:b/>
                <w:sz w:val="18"/>
              </w:rPr>
            </w:pPr>
          </w:p>
          <w:p>
            <w:pPr>
              <w:pStyle w:val="TableParagraph"/>
              <w:spacing w:line="244" w:lineRule="auto" w:before="1"/>
              <w:ind w:left="72"/>
              <w:rPr>
                <w:sz w:val="18"/>
              </w:rPr>
            </w:pPr>
            <w:r>
              <w:rPr>
                <w:spacing w:val="-2"/>
                <w:sz w:val="18"/>
              </w:rPr>
              <w:t>Planificación Institucional</w:t>
            </w:r>
          </w:p>
        </w:tc>
        <w:tc>
          <w:tcPr>
            <w:tcW w:w="2011" w:type="dxa"/>
          </w:tcPr>
          <w:p>
            <w:pPr>
              <w:pStyle w:val="TableParagraph"/>
              <w:rPr>
                <w:rFonts w:ascii="Times New Roman"/>
                <w:sz w:val="18"/>
              </w:rPr>
            </w:pPr>
          </w:p>
        </w:tc>
        <w:tc>
          <w:tcPr>
            <w:tcW w:w="2131"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2" w:after="1"/>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4"/>
        <w:gridCol w:w="1781"/>
        <w:gridCol w:w="1599"/>
        <w:gridCol w:w="1431"/>
        <w:gridCol w:w="2017"/>
        <w:gridCol w:w="1259"/>
        <w:gridCol w:w="1235"/>
        <w:gridCol w:w="2358"/>
      </w:tblGrid>
      <w:tr>
        <w:trPr>
          <w:trHeight w:val="671" w:hRule="atLeast"/>
        </w:trPr>
        <w:tc>
          <w:tcPr>
            <w:tcW w:w="2574" w:type="dxa"/>
            <w:shd w:val="clear" w:color="auto" w:fill="F1F1F1"/>
          </w:tcPr>
          <w:p>
            <w:pPr>
              <w:pStyle w:val="TableParagraph"/>
              <w:spacing w:before="22"/>
              <w:rPr>
                <w:b/>
                <w:sz w:val="18"/>
              </w:rPr>
            </w:pPr>
          </w:p>
          <w:p>
            <w:pPr>
              <w:pStyle w:val="TableParagraph"/>
              <w:ind w:left="317"/>
              <w:rPr>
                <w:b/>
                <w:sz w:val="18"/>
              </w:rPr>
            </w:pPr>
            <w:r>
              <w:rPr>
                <w:b/>
                <w:sz w:val="18"/>
              </w:rPr>
              <w:t>Objetivos</w:t>
            </w:r>
            <w:r>
              <w:rPr>
                <w:b/>
                <w:spacing w:val="-5"/>
                <w:sz w:val="18"/>
              </w:rPr>
              <w:t> </w:t>
            </w:r>
            <w:r>
              <w:rPr>
                <w:b/>
                <w:sz w:val="18"/>
              </w:rPr>
              <w:t>/</w:t>
            </w:r>
            <w:r>
              <w:rPr>
                <w:b/>
                <w:spacing w:val="-2"/>
                <w:sz w:val="18"/>
              </w:rPr>
              <w:t> Resultados</w:t>
            </w:r>
          </w:p>
        </w:tc>
        <w:tc>
          <w:tcPr>
            <w:tcW w:w="1781" w:type="dxa"/>
            <w:shd w:val="clear" w:color="auto" w:fill="F1F1F1"/>
          </w:tcPr>
          <w:p>
            <w:pPr>
              <w:pStyle w:val="TableParagraph"/>
              <w:spacing w:before="22"/>
              <w:rPr>
                <w:b/>
                <w:sz w:val="18"/>
              </w:rPr>
            </w:pPr>
          </w:p>
          <w:p>
            <w:pPr>
              <w:pStyle w:val="TableParagraph"/>
              <w:ind w:left="11"/>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599" w:type="dxa"/>
            <w:shd w:val="clear" w:color="auto" w:fill="F1F1F1"/>
          </w:tcPr>
          <w:p>
            <w:pPr>
              <w:pStyle w:val="TableParagraph"/>
              <w:spacing w:before="23"/>
              <w:ind w:left="115" w:right="109"/>
              <w:jc w:val="center"/>
              <w:rPr>
                <w:b/>
                <w:sz w:val="18"/>
              </w:rPr>
            </w:pPr>
            <w:r>
              <w:rPr>
                <w:b/>
                <w:spacing w:val="-4"/>
                <w:sz w:val="18"/>
              </w:rPr>
              <w:t>Meta </w:t>
            </w:r>
            <w:r>
              <w:rPr>
                <w:b/>
                <w:spacing w:val="-2"/>
                <w:sz w:val="18"/>
              </w:rPr>
              <w:t>programada </w:t>
            </w:r>
            <w:r>
              <w:rPr>
                <w:b/>
                <w:spacing w:val="-4"/>
                <w:sz w:val="18"/>
              </w:rPr>
              <w:t>2026</w:t>
            </w:r>
          </w:p>
        </w:tc>
        <w:tc>
          <w:tcPr>
            <w:tcW w:w="1431" w:type="dxa"/>
            <w:shd w:val="clear" w:color="auto" w:fill="F1F1F1"/>
          </w:tcPr>
          <w:p>
            <w:pPr>
              <w:pStyle w:val="TableParagraph"/>
              <w:spacing w:before="22"/>
              <w:rPr>
                <w:b/>
                <w:sz w:val="18"/>
              </w:rPr>
            </w:pPr>
          </w:p>
          <w:p>
            <w:pPr>
              <w:pStyle w:val="TableParagraph"/>
              <w:ind w:left="311"/>
              <w:rPr>
                <w:b/>
                <w:sz w:val="18"/>
              </w:rPr>
            </w:pPr>
            <w:r>
              <w:rPr>
                <w:b/>
                <w:spacing w:val="-2"/>
                <w:sz w:val="18"/>
              </w:rPr>
              <w:t>Indicador</w:t>
            </w:r>
          </w:p>
        </w:tc>
        <w:tc>
          <w:tcPr>
            <w:tcW w:w="2017" w:type="dxa"/>
            <w:shd w:val="clear" w:color="auto" w:fill="F1F1F1"/>
          </w:tcPr>
          <w:p>
            <w:pPr>
              <w:pStyle w:val="TableParagraph"/>
              <w:spacing w:before="128"/>
              <w:ind w:left="508" w:right="121" w:firstLine="57"/>
              <w:rPr>
                <w:b/>
                <w:sz w:val="18"/>
              </w:rPr>
            </w:pPr>
            <w:r>
              <w:rPr>
                <w:b/>
                <w:sz w:val="18"/>
              </w:rPr>
              <w:t>Medios de </w:t>
            </w:r>
            <w:r>
              <w:rPr>
                <w:b/>
                <w:spacing w:val="-2"/>
                <w:sz w:val="18"/>
              </w:rPr>
              <w:t>verificación</w:t>
            </w:r>
          </w:p>
        </w:tc>
        <w:tc>
          <w:tcPr>
            <w:tcW w:w="1259" w:type="dxa"/>
            <w:shd w:val="clear" w:color="auto" w:fill="F1F1F1"/>
          </w:tcPr>
          <w:p>
            <w:pPr>
              <w:pStyle w:val="TableParagraph"/>
              <w:spacing w:before="22"/>
              <w:rPr>
                <w:b/>
                <w:sz w:val="18"/>
              </w:rPr>
            </w:pPr>
          </w:p>
          <w:p>
            <w:pPr>
              <w:pStyle w:val="TableParagraph"/>
              <w:ind w:left="7"/>
              <w:jc w:val="center"/>
              <w:rPr>
                <w:b/>
                <w:sz w:val="18"/>
              </w:rPr>
            </w:pPr>
            <w:r>
              <w:rPr>
                <w:b/>
                <w:spacing w:val="-2"/>
                <w:sz w:val="18"/>
              </w:rPr>
              <w:t>Responsable</w:t>
            </w:r>
          </w:p>
        </w:tc>
        <w:tc>
          <w:tcPr>
            <w:tcW w:w="1235" w:type="dxa"/>
            <w:shd w:val="clear" w:color="auto" w:fill="F1F1F1"/>
          </w:tcPr>
          <w:p>
            <w:pPr>
              <w:pStyle w:val="TableParagraph"/>
              <w:spacing w:before="128"/>
              <w:ind w:left="218" w:hanging="149"/>
              <w:rPr>
                <w:b/>
                <w:sz w:val="18"/>
              </w:rPr>
            </w:pPr>
            <w:r>
              <w:rPr>
                <w:b/>
                <w:spacing w:val="-2"/>
                <w:sz w:val="18"/>
              </w:rPr>
              <w:t>Presupuesto asignado</w:t>
            </w:r>
          </w:p>
        </w:tc>
        <w:tc>
          <w:tcPr>
            <w:tcW w:w="2358" w:type="dxa"/>
            <w:shd w:val="clear" w:color="auto" w:fill="F1F1F1"/>
          </w:tcPr>
          <w:p>
            <w:pPr>
              <w:pStyle w:val="TableParagraph"/>
              <w:spacing w:before="128"/>
              <w:ind w:left="587" w:right="235" w:hanging="231"/>
              <w:rPr>
                <w:b/>
                <w:sz w:val="18"/>
              </w:rPr>
            </w:pPr>
            <w:r>
              <w:rPr>
                <w:b/>
                <w:sz w:val="18"/>
              </w:rPr>
              <w:t>Riesgo</w:t>
            </w:r>
            <w:r>
              <w:rPr>
                <w:b/>
                <w:spacing w:val="-15"/>
                <w:sz w:val="18"/>
              </w:rPr>
              <w:t> </w:t>
            </w:r>
            <w:r>
              <w:rPr>
                <w:b/>
                <w:sz w:val="18"/>
              </w:rPr>
              <w:t>asociado</w:t>
            </w:r>
            <w:r>
              <w:rPr>
                <w:b/>
                <w:spacing w:val="-12"/>
                <w:sz w:val="18"/>
              </w:rPr>
              <w:t> </w:t>
            </w:r>
            <w:r>
              <w:rPr>
                <w:b/>
                <w:sz w:val="18"/>
              </w:rPr>
              <w:t>al </w:t>
            </w:r>
            <w:r>
              <w:rPr>
                <w:b/>
                <w:spacing w:val="-2"/>
                <w:sz w:val="18"/>
              </w:rPr>
              <w:t>cumplimiento</w:t>
            </w:r>
          </w:p>
        </w:tc>
      </w:tr>
      <w:tr>
        <w:trPr>
          <w:trHeight w:val="537" w:hRule="atLeast"/>
        </w:trPr>
        <w:tc>
          <w:tcPr>
            <w:tcW w:w="14254" w:type="dxa"/>
            <w:gridSpan w:val="8"/>
            <w:shd w:val="clear" w:color="auto" w:fill="F1F1F1"/>
          </w:tcPr>
          <w:p>
            <w:pPr>
              <w:pStyle w:val="TableParagraph"/>
              <w:spacing w:before="61"/>
              <w:ind w:left="72" w:right="72"/>
              <w:rPr>
                <w:b/>
                <w:sz w:val="18"/>
              </w:rPr>
            </w:pPr>
            <w:r>
              <w:rPr>
                <w:b/>
                <w:sz w:val="18"/>
              </w:rPr>
              <w:t>Efecto:</w:t>
            </w:r>
            <w:r>
              <w:rPr>
                <w:b/>
                <w:spacing w:val="40"/>
                <w:sz w:val="18"/>
              </w:rPr>
              <w:t> </w:t>
            </w:r>
            <w:r>
              <w:rPr>
                <w:b/>
                <w:sz w:val="18"/>
              </w:rPr>
              <w:t>Realizar</w:t>
            </w:r>
            <w:r>
              <w:rPr>
                <w:b/>
                <w:spacing w:val="-2"/>
                <w:sz w:val="18"/>
              </w:rPr>
              <w:t> </w:t>
            </w:r>
            <w:r>
              <w:rPr>
                <w:b/>
                <w:sz w:val="18"/>
              </w:rPr>
              <w:t>una</w:t>
            </w:r>
            <w:r>
              <w:rPr>
                <w:b/>
                <w:spacing w:val="-3"/>
                <w:sz w:val="18"/>
              </w:rPr>
              <w:t> </w:t>
            </w:r>
            <w:r>
              <w:rPr>
                <w:b/>
                <w:sz w:val="18"/>
              </w:rPr>
              <w:t>efectiva</w:t>
            </w:r>
            <w:r>
              <w:rPr>
                <w:b/>
                <w:spacing w:val="-3"/>
                <w:sz w:val="18"/>
              </w:rPr>
              <w:t> </w:t>
            </w:r>
            <w:r>
              <w:rPr>
                <w:b/>
                <w:sz w:val="18"/>
              </w:rPr>
              <w:t>gestión</w:t>
            </w:r>
            <w:r>
              <w:rPr>
                <w:b/>
                <w:spacing w:val="-4"/>
                <w:sz w:val="18"/>
              </w:rPr>
              <w:t> </w:t>
            </w:r>
            <w:r>
              <w:rPr>
                <w:b/>
                <w:sz w:val="18"/>
              </w:rPr>
              <w:t>de</w:t>
            </w:r>
            <w:r>
              <w:rPr>
                <w:b/>
                <w:spacing w:val="-3"/>
                <w:sz w:val="18"/>
              </w:rPr>
              <w:t> </w:t>
            </w:r>
            <w:r>
              <w:rPr>
                <w:b/>
                <w:sz w:val="18"/>
              </w:rPr>
              <w:t>los</w:t>
            </w:r>
            <w:r>
              <w:rPr>
                <w:b/>
                <w:spacing w:val="-3"/>
                <w:sz w:val="18"/>
              </w:rPr>
              <w:t> </w:t>
            </w:r>
            <w:r>
              <w:rPr>
                <w:b/>
                <w:sz w:val="18"/>
              </w:rPr>
              <w:t>recursos</w:t>
            </w:r>
            <w:r>
              <w:rPr>
                <w:b/>
                <w:spacing w:val="-3"/>
                <w:sz w:val="18"/>
              </w:rPr>
              <w:t> </w:t>
            </w:r>
            <w:r>
              <w:rPr>
                <w:b/>
                <w:sz w:val="18"/>
              </w:rPr>
              <w:t>humanos,</w:t>
            </w:r>
            <w:r>
              <w:rPr>
                <w:b/>
                <w:spacing w:val="-1"/>
                <w:sz w:val="18"/>
              </w:rPr>
              <w:t> </w:t>
            </w:r>
            <w:r>
              <w:rPr>
                <w:b/>
                <w:sz w:val="18"/>
              </w:rPr>
              <w:t>financieros,</w:t>
            </w:r>
            <w:r>
              <w:rPr>
                <w:b/>
                <w:spacing w:val="-1"/>
                <w:sz w:val="18"/>
              </w:rPr>
              <w:t> </w:t>
            </w:r>
            <w:r>
              <w:rPr>
                <w:b/>
                <w:sz w:val="18"/>
              </w:rPr>
              <w:t>materiales</w:t>
            </w:r>
            <w:r>
              <w:rPr>
                <w:b/>
                <w:spacing w:val="-3"/>
                <w:sz w:val="18"/>
              </w:rPr>
              <w:t> </w:t>
            </w:r>
            <w:r>
              <w:rPr>
                <w:b/>
                <w:sz w:val="18"/>
              </w:rPr>
              <w:t>y</w:t>
            </w:r>
            <w:r>
              <w:rPr>
                <w:b/>
                <w:spacing w:val="-3"/>
                <w:sz w:val="18"/>
              </w:rPr>
              <w:t> </w:t>
            </w:r>
            <w:r>
              <w:rPr>
                <w:b/>
                <w:sz w:val="18"/>
              </w:rPr>
              <w:t>tecnológicos, con el</w:t>
            </w:r>
            <w:r>
              <w:rPr>
                <w:b/>
                <w:spacing w:val="-1"/>
                <w:sz w:val="18"/>
              </w:rPr>
              <w:t> </w:t>
            </w:r>
            <w:r>
              <w:rPr>
                <w:b/>
                <w:sz w:val="18"/>
              </w:rPr>
              <w:t>fin</w:t>
            </w:r>
            <w:r>
              <w:rPr>
                <w:b/>
                <w:spacing w:val="-4"/>
                <w:sz w:val="18"/>
              </w:rPr>
              <w:t> </w:t>
            </w:r>
            <w:r>
              <w:rPr>
                <w:b/>
                <w:sz w:val="18"/>
              </w:rPr>
              <w:t>de contribuir</w:t>
            </w:r>
            <w:r>
              <w:rPr>
                <w:b/>
                <w:spacing w:val="-2"/>
                <w:sz w:val="18"/>
              </w:rPr>
              <w:t> </w:t>
            </w:r>
            <w:r>
              <w:rPr>
                <w:b/>
                <w:sz w:val="18"/>
              </w:rPr>
              <w:t>con</w:t>
            </w:r>
            <w:r>
              <w:rPr>
                <w:b/>
                <w:spacing w:val="-4"/>
                <w:sz w:val="18"/>
              </w:rPr>
              <w:t> </w:t>
            </w:r>
            <w:r>
              <w:rPr>
                <w:b/>
                <w:sz w:val="18"/>
              </w:rPr>
              <w:t>la</w:t>
            </w:r>
            <w:r>
              <w:rPr>
                <w:b/>
                <w:spacing w:val="-3"/>
                <w:sz w:val="18"/>
              </w:rPr>
              <w:t> </w:t>
            </w:r>
            <w:r>
              <w:rPr>
                <w:b/>
                <w:sz w:val="18"/>
              </w:rPr>
              <w:t>institucionalización de</w:t>
            </w:r>
            <w:r>
              <w:rPr>
                <w:b/>
                <w:spacing w:val="-3"/>
                <w:sz w:val="18"/>
              </w:rPr>
              <w:t> </w:t>
            </w:r>
            <w:r>
              <w:rPr>
                <w:b/>
                <w:sz w:val="18"/>
              </w:rPr>
              <w:t>la estrategia de intervención de la población en situación de pobreza y pobreza extrema</w:t>
            </w:r>
          </w:p>
        </w:tc>
      </w:tr>
      <w:tr>
        <w:trPr>
          <w:trHeight w:val="360" w:hRule="atLeast"/>
        </w:trPr>
        <w:tc>
          <w:tcPr>
            <w:tcW w:w="14254" w:type="dxa"/>
            <w:gridSpan w:val="8"/>
            <w:shd w:val="clear" w:color="auto" w:fill="EFF8F9"/>
          </w:tcPr>
          <w:p>
            <w:pPr>
              <w:pStyle w:val="TableParagraph"/>
              <w:spacing w:before="75"/>
              <w:ind w:left="72"/>
              <w:rPr>
                <w:b/>
                <w:sz w:val="18"/>
              </w:rPr>
            </w:pPr>
            <w:r>
              <w:rPr>
                <w:b/>
                <w:sz w:val="18"/>
              </w:rPr>
              <w:t>Producto</w:t>
            </w:r>
            <w:r>
              <w:rPr>
                <w:b/>
                <w:spacing w:val="-8"/>
                <w:sz w:val="18"/>
              </w:rPr>
              <w:t> </w:t>
            </w:r>
            <w:r>
              <w:rPr>
                <w:b/>
                <w:sz w:val="18"/>
              </w:rPr>
              <w:t>PAC</w:t>
            </w:r>
            <w:r>
              <w:rPr>
                <w:b/>
                <w:spacing w:val="-8"/>
                <w:sz w:val="18"/>
              </w:rPr>
              <w:t> </w:t>
            </w:r>
            <w:r>
              <w:rPr>
                <w:b/>
                <w:sz w:val="18"/>
              </w:rPr>
              <w:t>2.85:</w:t>
            </w:r>
            <w:r>
              <w:rPr>
                <w:b/>
                <w:spacing w:val="-4"/>
                <w:sz w:val="18"/>
              </w:rPr>
              <w:t> </w:t>
            </w:r>
            <w:r>
              <w:rPr>
                <w:b/>
                <w:sz w:val="18"/>
              </w:rPr>
              <w:t>Instituciones</w:t>
            </w:r>
            <w:r>
              <w:rPr>
                <w:b/>
                <w:spacing w:val="-7"/>
                <w:sz w:val="18"/>
              </w:rPr>
              <w:t> </w:t>
            </w:r>
            <w:r>
              <w:rPr>
                <w:b/>
                <w:sz w:val="18"/>
              </w:rPr>
              <w:t>del</w:t>
            </w:r>
            <w:r>
              <w:rPr>
                <w:b/>
                <w:spacing w:val="1"/>
                <w:sz w:val="18"/>
              </w:rPr>
              <w:t> </w:t>
            </w:r>
            <w:r>
              <w:rPr>
                <w:b/>
                <w:sz w:val="18"/>
              </w:rPr>
              <w:t>Sector</w:t>
            </w:r>
            <w:r>
              <w:rPr>
                <w:b/>
                <w:spacing w:val="-1"/>
                <w:sz w:val="18"/>
              </w:rPr>
              <w:t> </w:t>
            </w:r>
            <w:r>
              <w:rPr>
                <w:b/>
                <w:sz w:val="18"/>
              </w:rPr>
              <w:t>Social participando</w:t>
            </w:r>
            <w:r>
              <w:rPr>
                <w:b/>
                <w:spacing w:val="-7"/>
                <w:sz w:val="18"/>
              </w:rPr>
              <w:t> </w:t>
            </w:r>
            <w:r>
              <w:rPr>
                <w:b/>
                <w:sz w:val="18"/>
              </w:rPr>
              <w:t>en</w:t>
            </w:r>
            <w:r>
              <w:rPr>
                <w:b/>
                <w:spacing w:val="-7"/>
                <w:sz w:val="18"/>
              </w:rPr>
              <w:t> </w:t>
            </w:r>
            <w:r>
              <w:rPr>
                <w:b/>
                <w:sz w:val="18"/>
              </w:rPr>
              <w:t>la</w:t>
            </w:r>
            <w:r>
              <w:rPr>
                <w:b/>
                <w:spacing w:val="-7"/>
                <w:sz w:val="18"/>
              </w:rPr>
              <w:t> </w:t>
            </w:r>
            <w:r>
              <w:rPr>
                <w:b/>
                <w:sz w:val="18"/>
              </w:rPr>
              <w:t>ejecución</w:t>
            </w:r>
            <w:r>
              <w:rPr>
                <w:b/>
                <w:spacing w:val="-7"/>
                <w:sz w:val="18"/>
              </w:rPr>
              <w:t> </w:t>
            </w:r>
            <w:r>
              <w:rPr>
                <w:b/>
                <w:sz w:val="18"/>
              </w:rPr>
              <w:t>de</w:t>
            </w:r>
            <w:r>
              <w:rPr>
                <w:b/>
                <w:spacing w:val="-6"/>
                <w:sz w:val="18"/>
              </w:rPr>
              <w:t> </w:t>
            </w:r>
            <w:r>
              <w:rPr>
                <w:b/>
                <w:sz w:val="18"/>
              </w:rPr>
              <w:t>la</w:t>
            </w:r>
            <w:r>
              <w:rPr>
                <w:b/>
                <w:spacing w:val="-6"/>
                <w:sz w:val="18"/>
              </w:rPr>
              <w:t> </w:t>
            </w:r>
            <w:r>
              <w:rPr>
                <w:b/>
                <w:sz w:val="18"/>
              </w:rPr>
              <w:t>política</w:t>
            </w:r>
            <w:r>
              <w:rPr>
                <w:b/>
                <w:spacing w:val="-7"/>
                <w:sz w:val="18"/>
              </w:rPr>
              <w:t> </w:t>
            </w:r>
            <w:r>
              <w:rPr>
                <w:b/>
                <w:sz w:val="18"/>
              </w:rPr>
              <w:t>pública.</w:t>
            </w:r>
            <w:r>
              <w:rPr>
                <w:b/>
                <w:spacing w:val="-4"/>
                <w:sz w:val="18"/>
              </w:rPr>
              <w:t> </w:t>
            </w:r>
            <w:r>
              <w:rPr>
                <w:b/>
                <w:sz w:val="18"/>
              </w:rPr>
              <w:t>(E4</w:t>
            </w:r>
            <w:r>
              <w:rPr>
                <w:b/>
                <w:spacing w:val="-3"/>
                <w:sz w:val="18"/>
              </w:rPr>
              <w:t> </w:t>
            </w:r>
            <w:r>
              <w:rPr>
                <w:b/>
                <w:sz w:val="18"/>
              </w:rPr>
              <w:t>AE1</w:t>
            </w:r>
            <w:r>
              <w:rPr>
                <w:b/>
                <w:spacing w:val="-6"/>
                <w:sz w:val="18"/>
              </w:rPr>
              <w:t> </w:t>
            </w:r>
            <w:r>
              <w:rPr>
                <w:b/>
                <w:sz w:val="18"/>
              </w:rPr>
              <w:t>R4)</w:t>
            </w:r>
            <w:r>
              <w:rPr>
                <w:b/>
                <w:spacing w:val="7"/>
                <w:sz w:val="18"/>
              </w:rPr>
              <w:t> </w:t>
            </w:r>
            <w:r>
              <w:rPr>
                <w:b/>
                <w:sz w:val="18"/>
              </w:rPr>
              <w:t>4</w:t>
            </w:r>
            <w:r>
              <w:rPr>
                <w:b/>
                <w:spacing w:val="-6"/>
                <w:sz w:val="18"/>
              </w:rPr>
              <w:t> </w:t>
            </w:r>
            <w:r>
              <w:rPr>
                <w:b/>
                <w:spacing w:val="-2"/>
                <w:sz w:val="18"/>
              </w:rPr>
              <w:t>INSTITUCIONES</w:t>
            </w:r>
          </w:p>
        </w:tc>
      </w:tr>
      <w:tr>
        <w:trPr>
          <w:trHeight w:val="1171" w:hRule="atLeast"/>
        </w:trPr>
        <w:tc>
          <w:tcPr>
            <w:tcW w:w="2574" w:type="dxa"/>
          </w:tcPr>
          <w:p>
            <w:pPr>
              <w:pStyle w:val="TableParagraph"/>
              <w:spacing w:before="66"/>
              <w:ind w:left="72" w:right="82"/>
              <w:rPr>
                <w:sz w:val="18"/>
              </w:rPr>
            </w:pPr>
            <w:r>
              <w:rPr>
                <w:b/>
                <w:sz w:val="18"/>
              </w:rPr>
              <w:t>Actividad PAC 2.85.1: </w:t>
            </w:r>
            <w:r>
              <w:rPr>
                <w:sz w:val="18"/>
              </w:rPr>
              <w:t>Elaborar y oficializar vía decreto</w:t>
            </w:r>
            <w:r>
              <w:rPr>
                <w:spacing w:val="-9"/>
                <w:sz w:val="18"/>
              </w:rPr>
              <w:t> </w:t>
            </w:r>
            <w:r>
              <w:rPr>
                <w:sz w:val="18"/>
              </w:rPr>
              <w:t>la</w:t>
            </w:r>
            <w:r>
              <w:rPr>
                <w:spacing w:val="-5"/>
                <w:sz w:val="18"/>
              </w:rPr>
              <w:t> </w:t>
            </w:r>
            <w:r>
              <w:rPr>
                <w:sz w:val="18"/>
              </w:rPr>
              <w:t>Política</w:t>
            </w:r>
            <w:r>
              <w:rPr>
                <w:spacing w:val="-9"/>
                <w:sz w:val="18"/>
              </w:rPr>
              <w:t> </w:t>
            </w:r>
            <w:r>
              <w:rPr>
                <w:sz w:val="18"/>
              </w:rPr>
              <w:t>y</w:t>
            </w:r>
            <w:r>
              <w:rPr>
                <w:spacing w:val="-5"/>
                <w:sz w:val="18"/>
              </w:rPr>
              <w:t> </w:t>
            </w:r>
            <w:r>
              <w:rPr>
                <w:sz w:val="18"/>
              </w:rPr>
              <w:t>Plan</w:t>
            </w:r>
            <w:r>
              <w:rPr>
                <w:spacing w:val="-9"/>
                <w:sz w:val="18"/>
              </w:rPr>
              <w:t> </w:t>
            </w:r>
            <w:r>
              <w:rPr>
                <w:sz w:val="18"/>
              </w:rPr>
              <w:t>para la Superación de la Pobreza IMAS IMPULSA</w:t>
            </w:r>
          </w:p>
        </w:tc>
        <w:tc>
          <w:tcPr>
            <w:tcW w:w="1781" w:type="dxa"/>
          </w:tcPr>
          <w:p>
            <w:pPr>
              <w:pStyle w:val="TableParagraph"/>
              <w:rPr>
                <w:b/>
                <w:sz w:val="18"/>
              </w:rPr>
            </w:pPr>
          </w:p>
          <w:p>
            <w:pPr>
              <w:pStyle w:val="TableParagraph"/>
              <w:spacing w:before="69"/>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rPr>
                <w:b/>
                <w:sz w:val="18"/>
              </w:rPr>
            </w:pPr>
          </w:p>
          <w:p>
            <w:pPr>
              <w:pStyle w:val="TableParagraph"/>
              <w:spacing w:before="69"/>
              <w:rPr>
                <w:b/>
                <w:sz w:val="18"/>
              </w:rPr>
            </w:pPr>
          </w:p>
          <w:p>
            <w:pPr>
              <w:pStyle w:val="TableParagraph"/>
              <w:ind w:left="115" w:right="114"/>
              <w:jc w:val="center"/>
              <w:rPr>
                <w:sz w:val="18"/>
              </w:rPr>
            </w:pPr>
            <w:r>
              <w:rPr>
                <w:spacing w:val="-10"/>
                <w:sz w:val="18"/>
              </w:rPr>
              <w:t>1</w:t>
            </w:r>
          </w:p>
        </w:tc>
        <w:tc>
          <w:tcPr>
            <w:tcW w:w="1431" w:type="dxa"/>
          </w:tcPr>
          <w:p>
            <w:pPr>
              <w:pStyle w:val="TableParagraph"/>
              <w:spacing w:before="66"/>
              <w:ind w:left="71" w:right="55"/>
              <w:rPr>
                <w:sz w:val="18"/>
              </w:rPr>
            </w:pPr>
            <w:r>
              <w:rPr>
                <w:sz w:val="18"/>
              </w:rPr>
              <w:t>Cantidad de Políticas y </w:t>
            </w:r>
            <w:r>
              <w:rPr>
                <w:spacing w:val="-2"/>
                <w:sz w:val="18"/>
              </w:rPr>
              <w:t>Planes </w:t>
            </w:r>
            <w:r>
              <w:rPr>
                <w:sz w:val="18"/>
              </w:rPr>
              <w:t>elaborados</w:t>
            </w:r>
            <w:r>
              <w:rPr>
                <w:spacing w:val="-13"/>
                <w:sz w:val="18"/>
              </w:rPr>
              <w:t> </w:t>
            </w:r>
            <w:r>
              <w:rPr>
                <w:sz w:val="18"/>
              </w:rPr>
              <w:t>y </w:t>
            </w:r>
            <w:r>
              <w:rPr>
                <w:spacing w:val="-2"/>
                <w:sz w:val="18"/>
              </w:rPr>
              <w:t>oficializados</w:t>
            </w:r>
          </w:p>
        </w:tc>
        <w:tc>
          <w:tcPr>
            <w:tcW w:w="2017" w:type="dxa"/>
          </w:tcPr>
          <w:p>
            <w:pPr>
              <w:pStyle w:val="TableParagraph"/>
              <w:spacing w:before="66"/>
              <w:ind w:left="71" w:right="121"/>
              <w:rPr>
                <w:sz w:val="18"/>
              </w:rPr>
            </w:pPr>
            <w:r>
              <w:rPr>
                <w:sz w:val="18"/>
              </w:rPr>
              <w:t>Decreto de oficialización de la Política</w:t>
            </w:r>
            <w:r>
              <w:rPr>
                <w:spacing w:val="-15"/>
                <w:sz w:val="18"/>
              </w:rPr>
              <w:t> </w:t>
            </w:r>
            <w:r>
              <w:rPr>
                <w:sz w:val="18"/>
              </w:rPr>
              <w:t>de</w:t>
            </w:r>
            <w:r>
              <w:rPr>
                <w:spacing w:val="-12"/>
                <w:sz w:val="18"/>
              </w:rPr>
              <w:t> </w:t>
            </w:r>
            <w:r>
              <w:rPr>
                <w:sz w:val="18"/>
              </w:rPr>
              <w:t>Superación de la Pobreza IMAS </w:t>
            </w:r>
            <w:r>
              <w:rPr>
                <w:spacing w:val="-2"/>
                <w:sz w:val="18"/>
              </w:rPr>
              <w:t>IMPULSA</w:t>
            </w:r>
          </w:p>
        </w:tc>
        <w:tc>
          <w:tcPr>
            <w:tcW w:w="1259" w:type="dxa"/>
          </w:tcPr>
          <w:p>
            <w:pPr>
              <w:pStyle w:val="TableParagraph"/>
              <w:rPr>
                <w:b/>
                <w:sz w:val="18"/>
              </w:rPr>
            </w:pPr>
          </w:p>
          <w:p>
            <w:pPr>
              <w:pStyle w:val="TableParagraph"/>
              <w:spacing w:before="69"/>
              <w:rPr>
                <w:b/>
                <w:sz w:val="18"/>
              </w:rPr>
            </w:pPr>
          </w:p>
          <w:p>
            <w:pPr>
              <w:pStyle w:val="TableParagraph"/>
              <w:ind w:left="7" w:right="1"/>
              <w:jc w:val="center"/>
              <w:rPr>
                <w:sz w:val="18"/>
              </w:rPr>
            </w:pPr>
            <w:r>
              <w:rPr>
                <w:spacing w:val="-5"/>
                <w:sz w:val="18"/>
              </w:rPr>
              <w:t>PE</w:t>
            </w:r>
          </w:p>
        </w:tc>
        <w:tc>
          <w:tcPr>
            <w:tcW w:w="1235" w:type="dxa"/>
          </w:tcPr>
          <w:p>
            <w:pPr>
              <w:pStyle w:val="TableParagraph"/>
              <w:rPr>
                <w:rFonts w:ascii="Times New Roman"/>
                <w:sz w:val="18"/>
              </w:rPr>
            </w:pPr>
          </w:p>
        </w:tc>
        <w:tc>
          <w:tcPr>
            <w:tcW w:w="2358" w:type="dxa"/>
          </w:tcPr>
          <w:p>
            <w:pPr>
              <w:pStyle w:val="TableParagraph"/>
              <w:spacing w:before="70"/>
              <w:rPr>
                <w:b/>
                <w:sz w:val="18"/>
              </w:rPr>
            </w:pPr>
          </w:p>
          <w:p>
            <w:pPr>
              <w:pStyle w:val="TableParagraph"/>
              <w:ind w:left="64" w:right="107"/>
              <w:rPr>
                <w:sz w:val="18"/>
              </w:rPr>
            </w:pPr>
            <w:r>
              <w:rPr>
                <w:sz w:val="18"/>
              </w:rPr>
              <w:t>Evento:</w:t>
            </w:r>
            <w:r>
              <w:rPr>
                <w:spacing w:val="-10"/>
                <w:sz w:val="18"/>
              </w:rPr>
              <w:t> </w:t>
            </w:r>
            <w:r>
              <w:rPr>
                <w:sz w:val="18"/>
              </w:rPr>
              <w:t>La</w:t>
            </w:r>
            <w:r>
              <w:rPr>
                <w:spacing w:val="-8"/>
                <w:sz w:val="18"/>
              </w:rPr>
              <w:t> </w:t>
            </w:r>
            <w:r>
              <w:rPr>
                <w:sz w:val="18"/>
              </w:rPr>
              <w:t>no</w:t>
            </w:r>
            <w:r>
              <w:rPr>
                <w:spacing w:val="-8"/>
                <w:sz w:val="18"/>
              </w:rPr>
              <w:t> </w:t>
            </w:r>
            <w:r>
              <w:rPr>
                <w:sz w:val="18"/>
              </w:rPr>
              <w:t>ejecución</w:t>
            </w:r>
            <w:r>
              <w:rPr>
                <w:spacing w:val="-11"/>
                <w:sz w:val="18"/>
              </w:rPr>
              <w:t> </w:t>
            </w:r>
            <w:r>
              <w:rPr>
                <w:sz w:val="18"/>
              </w:rPr>
              <w:t>de la política por parte de las </w:t>
            </w:r>
            <w:r>
              <w:rPr>
                <w:spacing w:val="-2"/>
                <w:sz w:val="18"/>
              </w:rPr>
              <w:t>instituciones</w:t>
            </w:r>
          </w:p>
        </w:tc>
      </w:tr>
    </w:tbl>
    <w:p>
      <w:pPr>
        <w:pStyle w:val="TableParagraph"/>
        <w:spacing w:after="0"/>
        <w:rPr>
          <w:sz w:val="18"/>
        </w:rPr>
        <w:sectPr>
          <w:pgSz w:w="15840" w:h="12240" w:orient="landscape"/>
          <w:pgMar w:header="0" w:footer="1806" w:top="1380" w:bottom="2873"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4"/>
        <w:gridCol w:w="1781"/>
        <w:gridCol w:w="1599"/>
        <w:gridCol w:w="1431"/>
        <w:gridCol w:w="2017"/>
        <w:gridCol w:w="1259"/>
        <w:gridCol w:w="1231"/>
        <w:gridCol w:w="2363"/>
      </w:tblGrid>
      <w:tr>
        <w:trPr>
          <w:trHeight w:val="671" w:hRule="atLeast"/>
        </w:trPr>
        <w:tc>
          <w:tcPr>
            <w:tcW w:w="2574" w:type="dxa"/>
            <w:shd w:val="clear" w:color="auto" w:fill="F1F1F1"/>
          </w:tcPr>
          <w:p>
            <w:pPr>
              <w:pStyle w:val="TableParagraph"/>
              <w:spacing w:before="22"/>
              <w:rPr>
                <w:b/>
                <w:sz w:val="18"/>
              </w:rPr>
            </w:pPr>
          </w:p>
          <w:p>
            <w:pPr>
              <w:pStyle w:val="TableParagraph"/>
              <w:ind w:left="317"/>
              <w:rPr>
                <w:b/>
                <w:sz w:val="18"/>
              </w:rPr>
            </w:pPr>
            <w:r>
              <w:rPr>
                <w:b/>
                <w:sz w:val="18"/>
              </w:rPr>
              <w:t>Objetivos</w:t>
            </w:r>
            <w:r>
              <w:rPr>
                <w:b/>
                <w:spacing w:val="-5"/>
                <w:sz w:val="18"/>
              </w:rPr>
              <w:t> </w:t>
            </w:r>
            <w:r>
              <w:rPr>
                <w:b/>
                <w:sz w:val="18"/>
              </w:rPr>
              <w:t>/</w:t>
            </w:r>
            <w:r>
              <w:rPr>
                <w:b/>
                <w:spacing w:val="-2"/>
                <w:sz w:val="18"/>
              </w:rPr>
              <w:t> Resultados</w:t>
            </w:r>
          </w:p>
        </w:tc>
        <w:tc>
          <w:tcPr>
            <w:tcW w:w="1781" w:type="dxa"/>
            <w:shd w:val="clear" w:color="auto" w:fill="F1F1F1"/>
          </w:tcPr>
          <w:p>
            <w:pPr>
              <w:pStyle w:val="TableParagraph"/>
              <w:spacing w:before="22"/>
              <w:rPr>
                <w:b/>
                <w:sz w:val="18"/>
              </w:rPr>
            </w:pPr>
          </w:p>
          <w:p>
            <w:pPr>
              <w:pStyle w:val="TableParagraph"/>
              <w:ind w:left="11"/>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599" w:type="dxa"/>
            <w:shd w:val="clear" w:color="auto" w:fill="F1F1F1"/>
          </w:tcPr>
          <w:p>
            <w:pPr>
              <w:pStyle w:val="TableParagraph"/>
              <w:spacing w:before="23"/>
              <w:ind w:left="115" w:right="109"/>
              <w:jc w:val="center"/>
              <w:rPr>
                <w:b/>
                <w:sz w:val="18"/>
              </w:rPr>
            </w:pPr>
            <w:r>
              <w:rPr>
                <w:b/>
                <w:spacing w:val="-4"/>
                <w:sz w:val="18"/>
              </w:rPr>
              <w:t>Meta </w:t>
            </w:r>
            <w:r>
              <w:rPr>
                <w:b/>
                <w:spacing w:val="-2"/>
                <w:sz w:val="18"/>
              </w:rPr>
              <w:t>programada </w:t>
            </w:r>
            <w:r>
              <w:rPr>
                <w:b/>
                <w:spacing w:val="-4"/>
                <w:sz w:val="18"/>
              </w:rPr>
              <w:t>2026</w:t>
            </w:r>
          </w:p>
        </w:tc>
        <w:tc>
          <w:tcPr>
            <w:tcW w:w="1431" w:type="dxa"/>
            <w:shd w:val="clear" w:color="auto" w:fill="F1F1F1"/>
          </w:tcPr>
          <w:p>
            <w:pPr>
              <w:pStyle w:val="TableParagraph"/>
              <w:spacing w:before="22"/>
              <w:rPr>
                <w:b/>
                <w:sz w:val="18"/>
              </w:rPr>
            </w:pPr>
          </w:p>
          <w:p>
            <w:pPr>
              <w:pStyle w:val="TableParagraph"/>
              <w:ind w:left="311"/>
              <w:rPr>
                <w:b/>
                <w:sz w:val="18"/>
              </w:rPr>
            </w:pPr>
            <w:r>
              <w:rPr>
                <w:b/>
                <w:spacing w:val="-2"/>
                <w:sz w:val="18"/>
              </w:rPr>
              <w:t>Indicador</w:t>
            </w:r>
          </w:p>
        </w:tc>
        <w:tc>
          <w:tcPr>
            <w:tcW w:w="2017" w:type="dxa"/>
            <w:shd w:val="clear" w:color="auto" w:fill="F1F1F1"/>
          </w:tcPr>
          <w:p>
            <w:pPr>
              <w:pStyle w:val="TableParagraph"/>
              <w:spacing w:before="128"/>
              <w:ind w:left="508" w:right="121" w:firstLine="57"/>
              <w:rPr>
                <w:b/>
                <w:sz w:val="18"/>
              </w:rPr>
            </w:pPr>
            <w:r>
              <w:rPr>
                <w:b/>
                <w:sz w:val="18"/>
              </w:rPr>
              <w:t>Medios de </w:t>
            </w:r>
            <w:r>
              <w:rPr>
                <w:b/>
                <w:spacing w:val="-2"/>
                <w:sz w:val="18"/>
              </w:rPr>
              <w:t>verificación</w:t>
            </w:r>
          </w:p>
        </w:tc>
        <w:tc>
          <w:tcPr>
            <w:tcW w:w="1259" w:type="dxa"/>
            <w:shd w:val="clear" w:color="auto" w:fill="F1F1F1"/>
          </w:tcPr>
          <w:p>
            <w:pPr>
              <w:pStyle w:val="TableParagraph"/>
              <w:spacing w:before="22"/>
              <w:rPr>
                <w:b/>
                <w:sz w:val="18"/>
              </w:rPr>
            </w:pPr>
          </w:p>
          <w:p>
            <w:pPr>
              <w:pStyle w:val="TableParagraph"/>
              <w:ind w:left="7"/>
              <w:jc w:val="center"/>
              <w:rPr>
                <w:b/>
                <w:sz w:val="18"/>
              </w:rPr>
            </w:pPr>
            <w:r>
              <w:rPr>
                <w:b/>
                <w:spacing w:val="-2"/>
                <w:sz w:val="18"/>
              </w:rPr>
              <w:t>Responsable</w:t>
            </w:r>
          </w:p>
        </w:tc>
        <w:tc>
          <w:tcPr>
            <w:tcW w:w="1231" w:type="dxa"/>
            <w:shd w:val="clear" w:color="auto" w:fill="F1F1F1"/>
          </w:tcPr>
          <w:p>
            <w:pPr>
              <w:pStyle w:val="TableParagraph"/>
              <w:spacing w:before="128"/>
              <w:ind w:left="218" w:hanging="149"/>
              <w:rPr>
                <w:b/>
                <w:sz w:val="18"/>
              </w:rPr>
            </w:pPr>
            <w:r>
              <w:rPr>
                <w:b/>
                <w:spacing w:val="-2"/>
                <w:sz w:val="18"/>
              </w:rPr>
              <w:t>Presupuesto asignado</w:t>
            </w:r>
          </w:p>
        </w:tc>
        <w:tc>
          <w:tcPr>
            <w:tcW w:w="2363" w:type="dxa"/>
            <w:tcBorders>
              <w:bottom w:val="nil"/>
            </w:tcBorders>
            <w:shd w:val="clear" w:color="auto" w:fill="F1F1F1"/>
          </w:tcPr>
          <w:p>
            <w:pPr>
              <w:pStyle w:val="TableParagraph"/>
              <w:spacing w:before="128"/>
              <w:ind w:left="591" w:right="53" w:hanging="231"/>
              <w:rPr>
                <w:b/>
                <w:sz w:val="18"/>
              </w:rPr>
            </w:pPr>
            <w:r>
              <w:rPr>
                <w:b/>
                <w:sz w:val="18"/>
              </w:rPr>
              <w:t>Riesgo</w:t>
            </w:r>
            <w:r>
              <w:rPr>
                <w:b/>
                <w:spacing w:val="-15"/>
                <w:sz w:val="18"/>
              </w:rPr>
              <w:t> </w:t>
            </w:r>
            <w:r>
              <w:rPr>
                <w:b/>
                <w:sz w:val="18"/>
              </w:rPr>
              <w:t>asociado</w:t>
            </w:r>
            <w:r>
              <w:rPr>
                <w:b/>
                <w:spacing w:val="-12"/>
                <w:sz w:val="18"/>
              </w:rPr>
              <w:t> </w:t>
            </w:r>
            <w:r>
              <w:rPr>
                <w:b/>
                <w:sz w:val="18"/>
              </w:rPr>
              <w:t>al </w:t>
            </w:r>
            <w:r>
              <w:rPr>
                <w:b/>
                <w:spacing w:val="-2"/>
                <w:sz w:val="18"/>
              </w:rPr>
              <w:t>cumplimiento</w:t>
            </w:r>
          </w:p>
        </w:tc>
      </w:tr>
      <w:tr>
        <w:trPr>
          <w:trHeight w:val="1560" w:hRule="atLeast"/>
        </w:trPr>
        <w:tc>
          <w:tcPr>
            <w:tcW w:w="2574" w:type="dxa"/>
          </w:tcPr>
          <w:p>
            <w:pPr>
              <w:pStyle w:val="TableParagraph"/>
              <w:spacing w:before="51"/>
              <w:rPr>
                <w:b/>
                <w:sz w:val="18"/>
              </w:rPr>
            </w:pPr>
          </w:p>
          <w:p>
            <w:pPr>
              <w:pStyle w:val="TableParagraph"/>
              <w:ind w:left="72" w:right="82"/>
              <w:rPr>
                <w:sz w:val="18"/>
              </w:rPr>
            </w:pPr>
            <w:r>
              <w:rPr>
                <w:b/>
                <w:sz w:val="18"/>
              </w:rPr>
              <w:t>Actividad PAC 2.85.2: </w:t>
            </w:r>
            <w:r>
              <w:rPr>
                <w:sz w:val="18"/>
              </w:rPr>
              <w:t>Realizar sesiones de sensibilización sobre el plan de</w:t>
            </w:r>
            <w:r>
              <w:rPr>
                <w:spacing w:val="-4"/>
                <w:sz w:val="18"/>
              </w:rPr>
              <w:t> </w:t>
            </w:r>
            <w:r>
              <w:rPr>
                <w:sz w:val="18"/>
              </w:rPr>
              <w:t>acción</w:t>
            </w:r>
            <w:r>
              <w:rPr>
                <w:spacing w:val="-4"/>
                <w:sz w:val="18"/>
              </w:rPr>
              <w:t> </w:t>
            </w:r>
            <w:r>
              <w:rPr>
                <w:sz w:val="18"/>
              </w:rPr>
              <w:t>de</w:t>
            </w:r>
            <w:r>
              <w:rPr>
                <w:spacing w:val="-8"/>
                <w:sz w:val="18"/>
              </w:rPr>
              <w:t> </w:t>
            </w:r>
            <w:r>
              <w:rPr>
                <w:sz w:val="18"/>
              </w:rPr>
              <w:t>la</w:t>
            </w:r>
            <w:r>
              <w:rPr>
                <w:spacing w:val="-4"/>
                <w:sz w:val="18"/>
              </w:rPr>
              <w:t> </w:t>
            </w:r>
            <w:r>
              <w:rPr>
                <w:sz w:val="18"/>
              </w:rPr>
              <w:t>Política</w:t>
            </w:r>
            <w:r>
              <w:rPr>
                <w:spacing w:val="-12"/>
                <w:sz w:val="18"/>
              </w:rPr>
              <w:t> </w:t>
            </w:r>
            <w:r>
              <w:rPr>
                <w:sz w:val="18"/>
              </w:rPr>
              <w:t>IMAS </w:t>
            </w:r>
            <w:r>
              <w:rPr>
                <w:spacing w:val="-2"/>
                <w:sz w:val="18"/>
              </w:rPr>
              <w:t>IMPULSA</w:t>
            </w:r>
          </w:p>
        </w:tc>
        <w:tc>
          <w:tcPr>
            <w:tcW w:w="1781" w:type="dxa"/>
          </w:tcPr>
          <w:p>
            <w:pPr>
              <w:pStyle w:val="TableParagraph"/>
              <w:rPr>
                <w:b/>
                <w:sz w:val="18"/>
              </w:rPr>
            </w:pPr>
          </w:p>
          <w:p>
            <w:pPr>
              <w:pStyle w:val="TableParagraph"/>
              <w:rPr>
                <w:b/>
                <w:sz w:val="18"/>
              </w:rPr>
            </w:pPr>
          </w:p>
          <w:p>
            <w:pPr>
              <w:pStyle w:val="TableParagraph"/>
              <w:spacing w:before="55"/>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rPr>
                <w:b/>
                <w:sz w:val="18"/>
              </w:rPr>
            </w:pPr>
          </w:p>
          <w:p>
            <w:pPr>
              <w:pStyle w:val="TableParagraph"/>
              <w:spacing w:before="156"/>
              <w:rPr>
                <w:b/>
                <w:sz w:val="18"/>
              </w:rPr>
            </w:pPr>
          </w:p>
          <w:p>
            <w:pPr>
              <w:pStyle w:val="TableParagraph"/>
              <w:ind w:left="235" w:hanging="10"/>
              <w:rPr>
                <w:sz w:val="18"/>
              </w:rPr>
            </w:pPr>
            <w:r>
              <w:rPr>
                <w:sz w:val="18"/>
              </w:rPr>
              <w:t>4</w:t>
            </w:r>
            <w:r>
              <w:rPr>
                <w:spacing w:val="-13"/>
                <w:sz w:val="18"/>
              </w:rPr>
              <w:t> </w:t>
            </w:r>
            <w:r>
              <w:rPr>
                <w:sz w:val="18"/>
              </w:rPr>
              <w:t>instituciones </w:t>
            </w:r>
            <w:r>
              <w:rPr>
                <w:spacing w:val="-2"/>
                <w:sz w:val="18"/>
              </w:rPr>
              <w:t>sensibilizadas</w:t>
            </w:r>
          </w:p>
        </w:tc>
        <w:tc>
          <w:tcPr>
            <w:tcW w:w="1431" w:type="dxa"/>
          </w:tcPr>
          <w:p>
            <w:pPr>
              <w:pStyle w:val="TableParagraph"/>
              <w:spacing w:before="157"/>
              <w:ind w:left="71"/>
              <w:rPr>
                <w:sz w:val="18"/>
              </w:rPr>
            </w:pPr>
            <w:r>
              <w:rPr>
                <w:sz w:val="18"/>
              </w:rPr>
              <w:t>Cantidad de </w:t>
            </w:r>
            <w:r>
              <w:rPr>
                <w:spacing w:val="-2"/>
                <w:sz w:val="18"/>
              </w:rPr>
              <w:t>instituciones sensibilizadas </w:t>
            </w:r>
            <w:r>
              <w:rPr>
                <w:sz w:val="18"/>
              </w:rPr>
              <w:t>sobre los alcances de la política</w:t>
            </w:r>
            <w:r>
              <w:rPr>
                <w:spacing w:val="-5"/>
                <w:sz w:val="18"/>
              </w:rPr>
              <w:t> </w:t>
            </w:r>
            <w:r>
              <w:rPr>
                <w:spacing w:val="-2"/>
                <w:sz w:val="18"/>
              </w:rPr>
              <w:t>pública</w:t>
            </w:r>
          </w:p>
        </w:tc>
        <w:tc>
          <w:tcPr>
            <w:tcW w:w="2017" w:type="dxa"/>
          </w:tcPr>
          <w:p>
            <w:pPr>
              <w:pStyle w:val="TableParagraph"/>
              <w:rPr>
                <w:b/>
                <w:sz w:val="18"/>
              </w:rPr>
            </w:pPr>
          </w:p>
          <w:p>
            <w:pPr>
              <w:pStyle w:val="TableParagraph"/>
              <w:spacing w:before="56"/>
              <w:rPr>
                <w:b/>
                <w:sz w:val="18"/>
              </w:rPr>
            </w:pPr>
          </w:p>
          <w:p>
            <w:pPr>
              <w:pStyle w:val="TableParagraph"/>
              <w:ind w:left="71" w:right="68"/>
              <w:rPr>
                <w:sz w:val="18"/>
              </w:rPr>
            </w:pPr>
            <w:r>
              <w:rPr>
                <w:sz w:val="18"/>
              </w:rPr>
              <w:t>Lista de asistencia a</w:t>
            </w:r>
            <w:r>
              <w:rPr>
                <w:spacing w:val="40"/>
                <w:sz w:val="18"/>
              </w:rPr>
              <w:t> </w:t>
            </w:r>
            <w:r>
              <w:rPr>
                <w:spacing w:val="-4"/>
                <w:sz w:val="18"/>
              </w:rPr>
              <w:t>las </w:t>
            </w:r>
            <w:r>
              <w:rPr>
                <w:spacing w:val="-2"/>
                <w:sz w:val="18"/>
              </w:rPr>
              <w:t>sesiones/convocatorias</w:t>
            </w:r>
          </w:p>
        </w:tc>
        <w:tc>
          <w:tcPr>
            <w:tcW w:w="1259" w:type="dxa"/>
          </w:tcPr>
          <w:p>
            <w:pPr>
              <w:pStyle w:val="TableParagraph"/>
              <w:rPr>
                <w:b/>
                <w:sz w:val="18"/>
              </w:rPr>
            </w:pPr>
          </w:p>
          <w:p>
            <w:pPr>
              <w:pStyle w:val="TableParagraph"/>
              <w:rPr>
                <w:b/>
                <w:sz w:val="18"/>
              </w:rPr>
            </w:pPr>
          </w:p>
          <w:p>
            <w:pPr>
              <w:pStyle w:val="TableParagraph"/>
              <w:spacing w:before="55"/>
              <w:rPr>
                <w:b/>
                <w:sz w:val="18"/>
              </w:rPr>
            </w:pPr>
          </w:p>
          <w:p>
            <w:pPr>
              <w:pStyle w:val="TableParagraph"/>
              <w:ind w:left="7" w:right="1"/>
              <w:jc w:val="center"/>
              <w:rPr>
                <w:sz w:val="18"/>
              </w:rPr>
            </w:pPr>
            <w:r>
              <w:rPr>
                <w:spacing w:val="-5"/>
                <w:sz w:val="18"/>
              </w:rPr>
              <w:t>PE</w:t>
            </w:r>
          </w:p>
        </w:tc>
        <w:tc>
          <w:tcPr>
            <w:tcW w:w="1231" w:type="dxa"/>
          </w:tcPr>
          <w:p>
            <w:pPr>
              <w:pStyle w:val="TableParagraph"/>
              <w:rPr>
                <w:rFonts w:ascii="Times New Roman"/>
                <w:sz w:val="18"/>
              </w:rPr>
            </w:pPr>
          </w:p>
        </w:tc>
        <w:tc>
          <w:tcPr>
            <w:tcW w:w="2363" w:type="dxa"/>
            <w:vMerge w:val="restart"/>
            <w:tcBorders>
              <w:top w:val="nil"/>
            </w:tcBorders>
          </w:tcPr>
          <w:p>
            <w:pPr>
              <w:pStyle w:val="TableParagraph"/>
              <w:rPr>
                <w:rFonts w:ascii="Times New Roman"/>
                <w:sz w:val="18"/>
              </w:rPr>
            </w:pPr>
          </w:p>
        </w:tc>
      </w:tr>
      <w:tr>
        <w:trPr>
          <w:trHeight w:val="1776" w:hRule="atLeast"/>
        </w:trPr>
        <w:tc>
          <w:tcPr>
            <w:tcW w:w="2574" w:type="dxa"/>
          </w:tcPr>
          <w:p>
            <w:pPr>
              <w:pStyle w:val="TableParagraph"/>
              <w:spacing w:before="61"/>
              <w:ind w:left="72" w:right="65"/>
              <w:rPr>
                <w:sz w:val="18"/>
              </w:rPr>
            </w:pPr>
            <w:r>
              <w:rPr>
                <w:b/>
                <w:sz w:val="18"/>
              </w:rPr>
              <w:t>Actividad PAC 2.85.3: </w:t>
            </w:r>
            <w:r>
              <w:rPr>
                <w:sz w:val="18"/>
              </w:rPr>
              <w:t>Comunicación formal a las instituciones participantes según</w:t>
            </w:r>
            <w:r>
              <w:rPr>
                <w:spacing w:val="-9"/>
                <w:sz w:val="18"/>
              </w:rPr>
              <w:t> </w:t>
            </w:r>
            <w:r>
              <w:rPr>
                <w:sz w:val="18"/>
              </w:rPr>
              <w:t>decreto</w:t>
            </w:r>
            <w:r>
              <w:rPr>
                <w:spacing w:val="-9"/>
                <w:sz w:val="18"/>
              </w:rPr>
              <w:t> </w:t>
            </w:r>
            <w:r>
              <w:rPr>
                <w:sz w:val="18"/>
              </w:rPr>
              <w:t>de</w:t>
            </w:r>
            <w:r>
              <w:rPr>
                <w:spacing w:val="-9"/>
                <w:sz w:val="18"/>
              </w:rPr>
              <w:t> </w:t>
            </w:r>
            <w:r>
              <w:rPr>
                <w:sz w:val="18"/>
              </w:rPr>
              <w:t>política</w:t>
            </w:r>
            <w:r>
              <w:rPr>
                <w:spacing w:val="-9"/>
                <w:sz w:val="18"/>
              </w:rPr>
              <w:t> </w:t>
            </w:r>
            <w:r>
              <w:rPr>
                <w:sz w:val="18"/>
              </w:rPr>
              <w:t>para la superación de la pobreza IMAS IMPULSA de los tiempos e instrumentos a utilizar para el seguimiento.</w:t>
            </w:r>
          </w:p>
        </w:tc>
        <w:tc>
          <w:tcPr>
            <w:tcW w:w="1781" w:type="dxa"/>
          </w:tcPr>
          <w:p>
            <w:pPr>
              <w:pStyle w:val="TableParagraph"/>
              <w:rPr>
                <w:b/>
                <w:sz w:val="18"/>
              </w:rPr>
            </w:pPr>
          </w:p>
          <w:p>
            <w:pPr>
              <w:pStyle w:val="TableParagraph"/>
              <w:rPr>
                <w:b/>
                <w:sz w:val="18"/>
              </w:rPr>
            </w:pPr>
          </w:p>
          <w:p>
            <w:pPr>
              <w:pStyle w:val="TableParagraph"/>
              <w:spacing w:before="165"/>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rPr>
                <w:b/>
                <w:sz w:val="18"/>
              </w:rPr>
            </w:pPr>
          </w:p>
          <w:p>
            <w:pPr>
              <w:pStyle w:val="TableParagraph"/>
              <w:rPr>
                <w:b/>
                <w:sz w:val="18"/>
              </w:rPr>
            </w:pPr>
          </w:p>
          <w:p>
            <w:pPr>
              <w:pStyle w:val="TableParagraph"/>
              <w:spacing w:before="165"/>
              <w:rPr>
                <w:b/>
                <w:sz w:val="18"/>
              </w:rPr>
            </w:pPr>
          </w:p>
          <w:p>
            <w:pPr>
              <w:pStyle w:val="TableParagraph"/>
              <w:ind w:left="115" w:right="114"/>
              <w:jc w:val="center"/>
              <w:rPr>
                <w:sz w:val="18"/>
              </w:rPr>
            </w:pPr>
            <w:r>
              <w:rPr>
                <w:spacing w:val="-10"/>
                <w:sz w:val="18"/>
              </w:rPr>
              <w:t>2</w:t>
            </w:r>
          </w:p>
        </w:tc>
        <w:tc>
          <w:tcPr>
            <w:tcW w:w="1431" w:type="dxa"/>
          </w:tcPr>
          <w:p>
            <w:pPr>
              <w:pStyle w:val="TableParagraph"/>
              <w:rPr>
                <w:b/>
                <w:sz w:val="18"/>
              </w:rPr>
            </w:pPr>
          </w:p>
          <w:p>
            <w:pPr>
              <w:pStyle w:val="TableParagraph"/>
              <w:spacing w:before="161"/>
              <w:rPr>
                <w:b/>
                <w:sz w:val="18"/>
              </w:rPr>
            </w:pPr>
          </w:p>
          <w:p>
            <w:pPr>
              <w:pStyle w:val="TableParagraph"/>
              <w:spacing w:line="242" w:lineRule="auto"/>
              <w:ind w:left="71"/>
              <w:rPr>
                <w:sz w:val="18"/>
              </w:rPr>
            </w:pPr>
            <w:r>
              <w:rPr>
                <w:sz w:val="18"/>
              </w:rPr>
              <w:t>Número de </w:t>
            </w:r>
            <w:r>
              <w:rPr>
                <w:spacing w:val="-2"/>
                <w:sz w:val="18"/>
              </w:rPr>
              <w:t>comunicados realizados</w:t>
            </w:r>
          </w:p>
        </w:tc>
        <w:tc>
          <w:tcPr>
            <w:tcW w:w="2017" w:type="dxa"/>
          </w:tcPr>
          <w:p>
            <w:pPr>
              <w:pStyle w:val="TableParagraph"/>
              <w:rPr>
                <w:b/>
                <w:sz w:val="18"/>
              </w:rPr>
            </w:pPr>
          </w:p>
          <w:p>
            <w:pPr>
              <w:pStyle w:val="TableParagraph"/>
              <w:spacing w:before="60"/>
              <w:rPr>
                <w:b/>
                <w:sz w:val="18"/>
              </w:rPr>
            </w:pPr>
          </w:p>
          <w:p>
            <w:pPr>
              <w:pStyle w:val="TableParagraph"/>
              <w:ind w:left="71" w:right="538"/>
              <w:rPr>
                <w:sz w:val="18"/>
              </w:rPr>
            </w:pPr>
            <w:r>
              <w:rPr>
                <w:sz w:val="18"/>
              </w:rPr>
              <w:t>Oficios de comunicación</w:t>
            </w:r>
            <w:r>
              <w:rPr>
                <w:spacing w:val="-13"/>
                <w:sz w:val="18"/>
              </w:rPr>
              <w:t> </w:t>
            </w:r>
            <w:r>
              <w:rPr>
                <w:sz w:val="18"/>
              </w:rPr>
              <w:t>del decreto a las </w:t>
            </w:r>
            <w:r>
              <w:rPr>
                <w:spacing w:val="-2"/>
                <w:sz w:val="18"/>
              </w:rPr>
              <w:t>instituciones</w:t>
            </w:r>
          </w:p>
        </w:tc>
        <w:tc>
          <w:tcPr>
            <w:tcW w:w="1259" w:type="dxa"/>
          </w:tcPr>
          <w:p>
            <w:pPr>
              <w:pStyle w:val="TableParagraph"/>
              <w:rPr>
                <w:b/>
                <w:sz w:val="18"/>
              </w:rPr>
            </w:pPr>
          </w:p>
          <w:p>
            <w:pPr>
              <w:pStyle w:val="TableParagraph"/>
              <w:spacing w:before="60"/>
              <w:rPr>
                <w:b/>
                <w:sz w:val="18"/>
              </w:rPr>
            </w:pPr>
          </w:p>
          <w:p>
            <w:pPr>
              <w:pStyle w:val="TableParagraph"/>
              <w:ind w:left="138" w:right="128" w:hanging="1"/>
              <w:jc w:val="center"/>
              <w:rPr>
                <w:sz w:val="18"/>
              </w:rPr>
            </w:pPr>
            <w:r>
              <w:rPr>
                <w:spacing w:val="-2"/>
                <w:sz w:val="18"/>
              </w:rPr>
              <w:t>Secretaría Sectorial-</w:t>
            </w:r>
            <w:r>
              <w:rPr>
                <w:sz w:val="18"/>
              </w:rPr>
              <w:t>Rectoría</w:t>
            </w:r>
            <w:r>
              <w:rPr>
                <w:spacing w:val="-13"/>
                <w:sz w:val="18"/>
              </w:rPr>
              <w:t> </w:t>
            </w:r>
            <w:r>
              <w:rPr>
                <w:sz w:val="18"/>
              </w:rPr>
              <w:t>del Sector </w:t>
            </w:r>
            <w:r>
              <w:rPr>
                <w:spacing w:val="-4"/>
                <w:sz w:val="18"/>
              </w:rPr>
              <w:t>BTIS</w:t>
            </w:r>
          </w:p>
        </w:tc>
        <w:tc>
          <w:tcPr>
            <w:tcW w:w="1231" w:type="dxa"/>
          </w:tcPr>
          <w:p>
            <w:pPr>
              <w:pStyle w:val="TableParagraph"/>
              <w:rPr>
                <w:rFonts w:ascii="Times New Roman"/>
                <w:sz w:val="18"/>
              </w:rPr>
            </w:pPr>
          </w:p>
        </w:tc>
        <w:tc>
          <w:tcPr>
            <w:tcW w:w="2363" w:type="dxa"/>
            <w:vMerge/>
            <w:tcBorders>
              <w:top w:val="nil"/>
            </w:tcBorders>
          </w:tcPr>
          <w:p>
            <w:pPr>
              <w:rPr>
                <w:sz w:val="2"/>
                <w:szCs w:val="2"/>
              </w:rPr>
            </w:pPr>
          </w:p>
        </w:tc>
      </w:tr>
      <w:tr>
        <w:trPr>
          <w:trHeight w:val="590" w:hRule="atLeast"/>
        </w:trPr>
        <w:tc>
          <w:tcPr>
            <w:tcW w:w="14255" w:type="dxa"/>
            <w:gridSpan w:val="8"/>
            <w:shd w:val="clear" w:color="auto" w:fill="EFF8F9"/>
          </w:tcPr>
          <w:p>
            <w:pPr>
              <w:pStyle w:val="TableParagraph"/>
              <w:spacing w:before="191"/>
              <w:ind w:left="72"/>
              <w:rPr>
                <w:b/>
                <w:sz w:val="18"/>
              </w:rPr>
            </w:pPr>
            <w:r>
              <w:rPr>
                <w:b/>
                <w:sz w:val="18"/>
              </w:rPr>
              <w:t>Producto</w:t>
            </w:r>
            <w:r>
              <w:rPr>
                <w:b/>
                <w:spacing w:val="-7"/>
                <w:sz w:val="18"/>
              </w:rPr>
              <w:t> </w:t>
            </w:r>
            <w:r>
              <w:rPr>
                <w:b/>
                <w:sz w:val="18"/>
              </w:rPr>
              <w:t>PAC</w:t>
            </w:r>
            <w:r>
              <w:rPr>
                <w:b/>
                <w:spacing w:val="-7"/>
                <w:sz w:val="18"/>
              </w:rPr>
              <w:t> </w:t>
            </w:r>
            <w:r>
              <w:rPr>
                <w:b/>
                <w:sz w:val="18"/>
              </w:rPr>
              <w:t>2.86:</w:t>
            </w:r>
            <w:r>
              <w:rPr>
                <w:b/>
                <w:spacing w:val="-3"/>
                <w:sz w:val="18"/>
              </w:rPr>
              <w:t> </w:t>
            </w:r>
            <w:r>
              <w:rPr>
                <w:b/>
                <w:sz w:val="18"/>
              </w:rPr>
              <w:t>Sistema</w:t>
            </w:r>
            <w:r>
              <w:rPr>
                <w:b/>
                <w:spacing w:val="-2"/>
                <w:sz w:val="18"/>
              </w:rPr>
              <w:t> </w:t>
            </w:r>
            <w:r>
              <w:rPr>
                <w:b/>
                <w:sz w:val="18"/>
              </w:rPr>
              <w:t>de</w:t>
            </w:r>
            <w:r>
              <w:rPr>
                <w:b/>
                <w:spacing w:val="-5"/>
                <w:sz w:val="18"/>
              </w:rPr>
              <w:t> </w:t>
            </w:r>
            <w:r>
              <w:rPr>
                <w:b/>
                <w:sz w:val="18"/>
              </w:rPr>
              <w:t>monitoreo</w:t>
            </w:r>
            <w:r>
              <w:rPr>
                <w:b/>
                <w:spacing w:val="-7"/>
                <w:sz w:val="18"/>
              </w:rPr>
              <w:t> </w:t>
            </w:r>
            <w:r>
              <w:rPr>
                <w:b/>
                <w:sz w:val="18"/>
              </w:rPr>
              <w:t>de</w:t>
            </w:r>
            <w:r>
              <w:rPr>
                <w:b/>
                <w:spacing w:val="-5"/>
                <w:sz w:val="18"/>
              </w:rPr>
              <w:t> </w:t>
            </w:r>
            <w:r>
              <w:rPr>
                <w:b/>
                <w:sz w:val="18"/>
              </w:rPr>
              <w:t>metas</w:t>
            </w:r>
            <w:r>
              <w:rPr>
                <w:b/>
                <w:spacing w:val="-5"/>
                <w:sz w:val="18"/>
              </w:rPr>
              <w:t> </w:t>
            </w:r>
            <w:r>
              <w:rPr>
                <w:b/>
                <w:sz w:val="18"/>
              </w:rPr>
              <w:t>del</w:t>
            </w:r>
            <w:r>
              <w:rPr>
                <w:b/>
                <w:spacing w:val="-8"/>
                <w:sz w:val="18"/>
              </w:rPr>
              <w:t> </w:t>
            </w:r>
            <w:r>
              <w:rPr>
                <w:b/>
                <w:sz w:val="18"/>
              </w:rPr>
              <w:t>PAISS</w:t>
            </w:r>
            <w:r>
              <w:rPr>
                <w:b/>
                <w:spacing w:val="-2"/>
                <w:sz w:val="18"/>
              </w:rPr>
              <w:t> </w:t>
            </w:r>
            <w:r>
              <w:rPr>
                <w:b/>
                <w:sz w:val="18"/>
              </w:rPr>
              <w:t>y</w:t>
            </w:r>
            <w:r>
              <w:rPr>
                <w:b/>
                <w:spacing w:val="-5"/>
                <w:sz w:val="18"/>
              </w:rPr>
              <w:t> </w:t>
            </w:r>
            <w:r>
              <w:rPr>
                <w:b/>
                <w:sz w:val="18"/>
              </w:rPr>
              <w:t>Plan</w:t>
            </w:r>
            <w:r>
              <w:rPr>
                <w:b/>
                <w:spacing w:val="-2"/>
                <w:sz w:val="18"/>
              </w:rPr>
              <w:t> </w:t>
            </w:r>
            <w:r>
              <w:rPr>
                <w:b/>
                <w:sz w:val="18"/>
              </w:rPr>
              <w:t>de</w:t>
            </w:r>
            <w:r>
              <w:rPr>
                <w:b/>
                <w:spacing w:val="-5"/>
                <w:sz w:val="18"/>
              </w:rPr>
              <w:t> </w:t>
            </w:r>
            <w:r>
              <w:rPr>
                <w:b/>
                <w:sz w:val="18"/>
              </w:rPr>
              <w:t>acción</w:t>
            </w:r>
            <w:r>
              <w:rPr>
                <w:b/>
                <w:spacing w:val="-7"/>
                <w:sz w:val="18"/>
              </w:rPr>
              <w:t> </w:t>
            </w:r>
            <w:r>
              <w:rPr>
                <w:b/>
                <w:sz w:val="18"/>
              </w:rPr>
              <w:t>de</w:t>
            </w:r>
            <w:r>
              <w:rPr>
                <w:b/>
                <w:spacing w:val="-5"/>
                <w:sz w:val="18"/>
              </w:rPr>
              <w:t> </w:t>
            </w:r>
            <w:r>
              <w:rPr>
                <w:b/>
                <w:sz w:val="18"/>
              </w:rPr>
              <w:t>la</w:t>
            </w:r>
            <w:r>
              <w:rPr>
                <w:b/>
                <w:spacing w:val="-5"/>
                <w:sz w:val="18"/>
              </w:rPr>
              <w:t> </w:t>
            </w:r>
            <w:r>
              <w:rPr>
                <w:b/>
                <w:sz w:val="18"/>
              </w:rPr>
              <w:t>Política</w:t>
            </w:r>
            <w:r>
              <w:rPr>
                <w:b/>
                <w:spacing w:val="-2"/>
                <w:sz w:val="18"/>
              </w:rPr>
              <w:t> </w:t>
            </w:r>
            <w:r>
              <w:rPr>
                <w:b/>
                <w:sz w:val="18"/>
              </w:rPr>
              <w:t>Pública</w:t>
            </w:r>
            <w:r>
              <w:rPr>
                <w:b/>
                <w:spacing w:val="-5"/>
                <w:sz w:val="18"/>
              </w:rPr>
              <w:t> </w:t>
            </w:r>
            <w:r>
              <w:rPr>
                <w:b/>
                <w:sz w:val="18"/>
              </w:rPr>
              <w:t>operando.</w:t>
            </w:r>
            <w:r>
              <w:rPr>
                <w:b/>
                <w:spacing w:val="-4"/>
                <w:sz w:val="18"/>
              </w:rPr>
              <w:t> </w:t>
            </w:r>
            <w:r>
              <w:rPr>
                <w:b/>
                <w:sz w:val="18"/>
              </w:rPr>
              <w:t>(E4</w:t>
            </w:r>
            <w:r>
              <w:rPr>
                <w:b/>
                <w:spacing w:val="-1"/>
                <w:sz w:val="18"/>
              </w:rPr>
              <w:t> </w:t>
            </w:r>
            <w:r>
              <w:rPr>
                <w:b/>
                <w:sz w:val="18"/>
              </w:rPr>
              <w:t>AE1</w:t>
            </w:r>
            <w:r>
              <w:rPr>
                <w:b/>
                <w:spacing w:val="-2"/>
                <w:sz w:val="18"/>
              </w:rPr>
              <w:t> </w:t>
            </w:r>
            <w:r>
              <w:rPr>
                <w:b/>
                <w:sz w:val="18"/>
              </w:rPr>
              <w:t>R5)</w:t>
            </w:r>
            <w:r>
              <w:rPr>
                <w:b/>
                <w:spacing w:val="7"/>
                <w:sz w:val="18"/>
              </w:rPr>
              <w:t> </w:t>
            </w:r>
            <w:r>
              <w:rPr>
                <w:b/>
                <w:spacing w:val="-2"/>
                <w:sz w:val="18"/>
              </w:rPr>
              <w:t>(60%)</w:t>
            </w:r>
          </w:p>
        </w:tc>
      </w:tr>
      <w:tr>
        <w:trPr>
          <w:trHeight w:val="1516" w:hRule="atLeast"/>
        </w:trPr>
        <w:tc>
          <w:tcPr>
            <w:tcW w:w="2574" w:type="dxa"/>
          </w:tcPr>
          <w:p>
            <w:pPr>
              <w:pStyle w:val="TableParagraph"/>
              <w:spacing w:before="31"/>
              <w:rPr>
                <w:b/>
                <w:sz w:val="18"/>
              </w:rPr>
            </w:pPr>
          </w:p>
          <w:p>
            <w:pPr>
              <w:pStyle w:val="TableParagraph"/>
              <w:spacing w:before="1"/>
              <w:ind w:left="72" w:right="120"/>
              <w:rPr>
                <w:sz w:val="18"/>
              </w:rPr>
            </w:pPr>
            <w:r>
              <w:rPr>
                <w:b/>
                <w:sz w:val="18"/>
              </w:rPr>
              <w:t>Actividad PAC 2.86.1: </w:t>
            </w:r>
            <w:r>
              <w:rPr>
                <w:sz w:val="18"/>
              </w:rPr>
              <w:t>Desarrollo de fichas descriptivas de los indicadores del Plan de acción</w:t>
            </w:r>
            <w:r>
              <w:rPr>
                <w:spacing w:val="-7"/>
                <w:sz w:val="18"/>
              </w:rPr>
              <w:t> </w:t>
            </w:r>
            <w:r>
              <w:rPr>
                <w:sz w:val="18"/>
              </w:rPr>
              <w:t>de</w:t>
            </w:r>
            <w:r>
              <w:rPr>
                <w:spacing w:val="-11"/>
                <w:sz w:val="18"/>
              </w:rPr>
              <w:t> </w:t>
            </w:r>
            <w:r>
              <w:rPr>
                <w:sz w:val="18"/>
              </w:rPr>
              <w:t>la</w:t>
            </w:r>
            <w:r>
              <w:rPr>
                <w:spacing w:val="-11"/>
                <w:sz w:val="18"/>
              </w:rPr>
              <w:t> </w:t>
            </w:r>
            <w:r>
              <w:rPr>
                <w:sz w:val="18"/>
              </w:rPr>
              <w:t>política</w:t>
            </w:r>
            <w:r>
              <w:rPr>
                <w:spacing w:val="-7"/>
                <w:sz w:val="18"/>
              </w:rPr>
              <w:t> </w:t>
            </w:r>
            <w:r>
              <w:rPr>
                <w:sz w:val="18"/>
              </w:rPr>
              <w:t>pública.</w:t>
            </w:r>
          </w:p>
        </w:tc>
        <w:tc>
          <w:tcPr>
            <w:tcW w:w="1781" w:type="dxa"/>
          </w:tcPr>
          <w:p>
            <w:pPr>
              <w:pStyle w:val="TableParagraph"/>
              <w:rPr>
                <w:b/>
                <w:sz w:val="18"/>
              </w:rPr>
            </w:pPr>
          </w:p>
          <w:p>
            <w:pPr>
              <w:pStyle w:val="TableParagraph"/>
              <w:rPr>
                <w:b/>
                <w:sz w:val="18"/>
              </w:rPr>
            </w:pPr>
          </w:p>
          <w:p>
            <w:pPr>
              <w:pStyle w:val="TableParagraph"/>
              <w:spacing w:before="30"/>
              <w:rPr>
                <w:b/>
                <w:sz w:val="18"/>
              </w:rPr>
            </w:pPr>
          </w:p>
          <w:p>
            <w:pPr>
              <w:pStyle w:val="TableParagraph"/>
              <w:spacing w:before="1"/>
              <w:ind w:left="11" w:right="2"/>
              <w:jc w:val="center"/>
              <w:rPr>
                <w:sz w:val="18"/>
              </w:rPr>
            </w:pPr>
            <w:r>
              <w:rPr>
                <w:color w:val="12501A"/>
                <w:sz w:val="18"/>
              </w:rPr>
              <w:t>No </w:t>
            </w:r>
            <w:r>
              <w:rPr>
                <w:color w:val="12501A"/>
                <w:spacing w:val="-2"/>
                <w:sz w:val="18"/>
              </w:rPr>
              <w:t>existe</w:t>
            </w:r>
          </w:p>
        </w:tc>
        <w:tc>
          <w:tcPr>
            <w:tcW w:w="1599" w:type="dxa"/>
          </w:tcPr>
          <w:p>
            <w:pPr>
              <w:pStyle w:val="TableParagraph"/>
              <w:rPr>
                <w:b/>
                <w:sz w:val="18"/>
              </w:rPr>
            </w:pPr>
          </w:p>
          <w:p>
            <w:pPr>
              <w:pStyle w:val="TableParagraph"/>
              <w:rPr>
                <w:b/>
                <w:sz w:val="18"/>
              </w:rPr>
            </w:pPr>
          </w:p>
          <w:p>
            <w:pPr>
              <w:pStyle w:val="TableParagraph"/>
              <w:spacing w:before="30"/>
              <w:rPr>
                <w:b/>
                <w:sz w:val="18"/>
              </w:rPr>
            </w:pPr>
          </w:p>
          <w:p>
            <w:pPr>
              <w:pStyle w:val="TableParagraph"/>
              <w:spacing w:before="1"/>
              <w:ind w:left="115" w:right="113"/>
              <w:jc w:val="center"/>
              <w:rPr>
                <w:sz w:val="18"/>
              </w:rPr>
            </w:pPr>
            <w:r>
              <w:rPr>
                <w:spacing w:val="-5"/>
                <w:sz w:val="18"/>
              </w:rPr>
              <w:t>60%</w:t>
            </w:r>
          </w:p>
        </w:tc>
        <w:tc>
          <w:tcPr>
            <w:tcW w:w="1431" w:type="dxa"/>
          </w:tcPr>
          <w:p>
            <w:pPr>
              <w:pStyle w:val="TableParagraph"/>
              <w:spacing w:before="31"/>
              <w:rPr>
                <w:b/>
                <w:sz w:val="18"/>
              </w:rPr>
            </w:pPr>
          </w:p>
          <w:p>
            <w:pPr>
              <w:pStyle w:val="TableParagraph"/>
              <w:spacing w:before="1"/>
              <w:ind w:left="71"/>
              <w:rPr>
                <w:sz w:val="18"/>
              </w:rPr>
            </w:pPr>
            <w:r>
              <w:rPr>
                <w:sz w:val="18"/>
              </w:rPr>
              <w:t>Porcentaje de indicadores</w:t>
            </w:r>
            <w:r>
              <w:rPr>
                <w:spacing w:val="-13"/>
                <w:sz w:val="18"/>
              </w:rPr>
              <w:t> </w:t>
            </w:r>
            <w:r>
              <w:rPr>
                <w:sz w:val="18"/>
              </w:rPr>
              <w:t>que cuentan con la respectiva</w:t>
            </w:r>
            <w:r>
              <w:rPr>
                <w:spacing w:val="-10"/>
                <w:sz w:val="18"/>
              </w:rPr>
              <w:t> </w:t>
            </w:r>
            <w:r>
              <w:rPr>
                <w:sz w:val="18"/>
              </w:rPr>
              <w:t>ficha </w:t>
            </w:r>
            <w:r>
              <w:rPr>
                <w:spacing w:val="-2"/>
                <w:sz w:val="18"/>
              </w:rPr>
              <w:t>descriptiva</w:t>
            </w:r>
          </w:p>
        </w:tc>
        <w:tc>
          <w:tcPr>
            <w:tcW w:w="2017" w:type="dxa"/>
          </w:tcPr>
          <w:p>
            <w:pPr>
              <w:pStyle w:val="TableParagraph"/>
              <w:rPr>
                <w:b/>
                <w:sz w:val="18"/>
              </w:rPr>
            </w:pPr>
          </w:p>
          <w:p>
            <w:pPr>
              <w:pStyle w:val="TableParagraph"/>
              <w:spacing w:before="137"/>
              <w:rPr>
                <w:b/>
                <w:sz w:val="18"/>
              </w:rPr>
            </w:pPr>
          </w:p>
          <w:p>
            <w:pPr>
              <w:pStyle w:val="TableParagraph"/>
              <w:ind w:left="71" w:right="121"/>
              <w:rPr>
                <w:sz w:val="18"/>
              </w:rPr>
            </w:pPr>
            <w:r>
              <w:rPr>
                <w:sz w:val="18"/>
              </w:rPr>
              <w:t>Fichas</w:t>
            </w:r>
            <w:r>
              <w:rPr>
                <w:spacing w:val="-15"/>
                <w:sz w:val="18"/>
              </w:rPr>
              <w:t> </w:t>
            </w:r>
            <w:r>
              <w:rPr>
                <w:sz w:val="18"/>
              </w:rPr>
              <w:t>de</w:t>
            </w:r>
            <w:r>
              <w:rPr>
                <w:spacing w:val="-12"/>
                <w:sz w:val="18"/>
              </w:rPr>
              <w:t> </w:t>
            </w:r>
            <w:r>
              <w:rPr>
                <w:sz w:val="18"/>
              </w:rPr>
              <w:t>descripción de indicadores</w:t>
            </w:r>
          </w:p>
        </w:tc>
        <w:tc>
          <w:tcPr>
            <w:tcW w:w="1259" w:type="dxa"/>
          </w:tcPr>
          <w:p>
            <w:pPr>
              <w:pStyle w:val="TableParagraph"/>
              <w:rPr>
                <w:b/>
                <w:sz w:val="18"/>
              </w:rPr>
            </w:pPr>
          </w:p>
          <w:p>
            <w:pPr>
              <w:pStyle w:val="TableParagraph"/>
              <w:spacing w:before="31"/>
              <w:rPr>
                <w:b/>
                <w:sz w:val="18"/>
              </w:rPr>
            </w:pPr>
          </w:p>
          <w:p>
            <w:pPr>
              <w:pStyle w:val="TableParagraph"/>
              <w:ind w:left="66"/>
              <w:rPr>
                <w:sz w:val="18"/>
              </w:rPr>
            </w:pPr>
            <w:r>
              <w:rPr>
                <w:spacing w:val="-2"/>
                <w:sz w:val="18"/>
              </w:rPr>
              <w:t>Secretaría </w:t>
            </w:r>
            <w:r>
              <w:rPr>
                <w:sz w:val="18"/>
              </w:rPr>
              <w:t>Sector</w:t>
            </w:r>
            <w:r>
              <w:rPr>
                <w:spacing w:val="-15"/>
                <w:sz w:val="18"/>
              </w:rPr>
              <w:t> </w:t>
            </w:r>
            <w:r>
              <w:rPr>
                <w:sz w:val="18"/>
              </w:rPr>
              <w:t>BTIS</w:t>
            </w:r>
            <w:r>
              <w:rPr>
                <w:spacing w:val="-12"/>
                <w:sz w:val="18"/>
              </w:rPr>
              <w:t> </w:t>
            </w:r>
            <w:r>
              <w:rPr>
                <w:sz w:val="18"/>
              </w:rPr>
              <w:t>e </w:t>
            </w:r>
            <w:r>
              <w:rPr>
                <w:spacing w:val="-2"/>
                <w:sz w:val="18"/>
              </w:rPr>
              <w:t>Instituciones</w:t>
            </w:r>
          </w:p>
        </w:tc>
        <w:tc>
          <w:tcPr>
            <w:tcW w:w="1231" w:type="dxa"/>
          </w:tcPr>
          <w:p>
            <w:pPr>
              <w:pStyle w:val="TableParagraph"/>
              <w:rPr>
                <w:rFonts w:ascii="Times New Roman"/>
                <w:sz w:val="18"/>
              </w:rPr>
            </w:pPr>
          </w:p>
        </w:tc>
        <w:tc>
          <w:tcPr>
            <w:tcW w:w="2363"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68" w:right="53"/>
              <w:rPr>
                <w:sz w:val="18"/>
              </w:rPr>
            </w:pPr>
            <w:r>
              <w:rPr>
                <w:sz w:val="18"/>
              </w:rPr>
              <w:t>Evento: Resistencia a que las</w:t>
            </w:r>
            <w:r>
              <w:rPr>
                <w:spacing w:val="-15"/>
                <w:sz w:val="18"/>
              </w:rPr>
              <w:t> </w:t>
            </w:r>
            <w:r>
              <w:rPr>
                <w:sz w:val="18"/>
              </w:rPr>
              <w:t>Instituciones</w:t>
            </w:r>
            <w:r>
              <w:rPr>
                <w:spacing w:val="-12"/>
                <w:sz w:val="18"/>
              </w:rPr>
              <w:t> </w:t>
            </w:r>
            <w:r>
              <w:rPr>
                <w:sz w:val="18"/>
              </w:rPr>
              <w:t>incorporen en sus instrumentos de planificación</w:t>
            </w:r>
            <w:r>
              <w:rPr>
                <w:spacing w:val="-6"/>
                <w:sz w:val="18"/>
              </w:rPr>
              <w:t> </w:t>
            </w:r>
            <w:r>
              <w:rPr>
                <w:sz w:val="18"/>
              </w:rPr>
              <w:t>acciones</w:t>
            </w:r>
            <w:r>
              <w:rPr>
                <w:spacing w:val="-9"/>
                <w:sz w:val="18"/>
              </w:rPr>
              <w:t> </w:t>
            </w:r>
            <w:r>
              <w:rPr>
                <w:sz w:val="18"/>
              </w:rPr>
              <w:t>para la operacionalización y seguimiento de la Política </w:t>
            </w:r>
            <w:r>
              <w:rPr>
                <w:spacing w:val="-2"/>
                <w:sz w:val="18"/>
              </w:rPr>
              <w:t>Pública</w:t>
            </w:r>
          </w:p>
        </w:tc>
      </w:tr>
      <w:tr>
        <w:trPr>
          <w:trHeight w:val="1137" w:hRule="atLeast"/>
        </w:trPr>
        <w:tc>
          <w:tcPr>
            <w:tcW w:w="2574" w:type="dxa"/>
          </w:tcPr>
          <w:p>
            <w:pPr>
              <w:pStyle w:val="TableParagraph"/>
              <w:spacing w:line="242" w:lineRule="auto" w:before="152"/>
              <w:ind w:left="72"/>
              <w:rPr>
                <w:sz w:val="18"/>
              </w:rPr>
            </w:pPr>
            <w:r>
              <w:rPr>
                <w:b/>
                <w:sz w:val="18"/>
              </w:rPr>
              <w:t>Actividad PAC 2.86.2</w:t>
            </w:r>
            <w:r>
              <w:rPr>
                <w:sz w:val="18"/>
              </w:rPr>
              <w:t>: Elaboración de informes de seguimiento</w:t>
            </w:r>
            <w:r>
              <w:rPr>
                <w:spacing w:val="-10"/>
                <w:sz w:val="18"/>
              </w:rPr>
              <w:t> </w:t>
            </w:r>
            <w:r>
              <w:rPr>
                <w:sz w:val="18"/>
              </w:rPr>
              <w:t>por</w:t>
            </w:r>
            <w:r>
              <w:rPr>
                <w:spacing w:val="-8"/>
                <w:sz w:val="18"/>
              </w:rPr>
              <w:t> </w:t>
            </w:r>
            <w:r>
              <w:rPr>
                <w:sz w:val="18"/>
              </w:rPr>
              <w:t>parte</w:t>
            </w:r>
            <w:r>
              <w:rPr>
                <w:spacing w:val="-10"/>
                <w:sz w:val="18"/>
              </w:rPr>
              <w:t> </w:t>
            </w:r>
            <w:r>
              <w:rPr>
                <w:sz w:val="18"/>
              </w:rPr>
              <w:t>de</w:t>
            </w:r>
            <w:r>
              <w:rPr>
                <w:spacing w:val="-10"/>
                <w:sz w:val="18"/>
              </w:rPr>
              <w:t> </w:t>
            </w:r>
            <w:r>
              <w:rPr>
                <w:sz w:val="18"/>
              </w:rPr>
              <w:t>las </w:t>
            </w:r>
            <w:r>
              <w:rPr>
                <w:spacing w:val="-2"/>
                <w:sz w:val="18"/>
              </w:rPr>
              <w:t>instituciones</w:t>
            </w:r>
          </w:p>
        </w:tc>
        <w:tc>
          <w:tcPr>
            <w:tcW w:w="1781" w:type="dxa"/>
          </w:tcPr>
          <w:p>
            <w:pPr>
              <w:pStyle w:val="TableParagraph"/>
              <w:rPr>
                <w:b/>
                <w:sz w:val="18"/>
              </w:rPr>
            </w:pPr>
          </w:p>
          <w:p>
            <w:pPr>
              <w:pStyle w:val="TableParagraph"/>
              <w:spacing w:before="50"/>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spacing w:line="242" w:lineRule="auto" w:before="152"/>
              <w:ind w:left="65" w:right="54"/>
              <w:jc w:val="center"/>
              <w:rPr>
                <w:sz w:val="18"/>
              </w:rPr>
            </w:pPr>
            <w:r>
              <w:rPr>
                <w:sz w:val="18"/>
              </w:rPr>
              <w:t>60%</w:t>
            </w:r>
            <w:r>
              <w:rPr>
                <w:spacing w:val="-13"/>
                <w:sz w:val="18"/>
              </w:rPr>
              <w:t> </w:t>
            </w:r>
            <w:r>
              <w:rPr>
                <w:sz w:val="18"/>
              </w:rPr>
              <w:t>instituciones del</w:t>
            </w:r>
            <w:r>
              <w:rPr>
                <w:spacing w:val="-10"/>
                <w:sz w:val="18"/>
              </w:rPr>
              <w:t> </w:t>
            </w:r>
            <w:r>
              <w:rPr>
                <w:sz w:val="18"/>
              </w:rPr>
              <w:t>decreto</w:t>
            </w:r>
            <w:r>
              <w:rPr>
                <w:spacing w:val="-12"/>
                <w:sz w:val="18"/>
              </w:rPr>
              <w:t> </w:t>
            </w:r>
            <w:r>
              <w:rPr>
                <w:sz w:val="18"/>
              </w:rPr>
              <w:t>sobre la Política IMAS </w:t>
            </w:r>
            <w:r>
              <w:rPr>
                <w:spacing w:val="-2"/>
                <w:sz w:val="18"/>
              </w:rPr>
              <w:t>IMPULSA</w:t>
            </w:r>
          </w:p>
        </w:tc>
        <w:tc>
          <w:tcPr>
            <w:tcW w:w="1431" w:type="dxa"/>
          </w:tcPr>
          <w:p>
            <w:pPr>
              <w:pStyle w:val="TableParagraph"/>
              <w:spacing w:line="242" w:lineRule="auto" w:before="152"/>
              <w:ind w:left="71" w:right="232"/>
              <w:rPr>
                <w:sz w:val="18"/>
              </w:rPr>
            </w:pPr>
            <w:r>
              <w:rPr>
                <w:sz w:val="18"/>
              </w:rPr>
              <w:t>Porcentaje</w:t>
            </w:r>
            <w:r>
              <w:rPr>
                <w:spacing w:val="-13"/>
                <w:sz w:val="18"/>
              </w:rPr>
              <w:t> </w:t>
            </w:r>
            <w:r>
              <w:rPr>
                <w:sz w:val="18"/>
              </w:rPr>
              <w:t>de </w:t>
            </w:r>
            <w:r>
              <w:rPr>
                <w:spacing w:val="-2"/>
                <w:sz w:val="18"/>
              </w:rPr>
              <w:t>instituciones </w:t>
            </w:r>
            <w:r>
              <w:rPr>
                <w:sz w:val="18"/>
              </w:rPr>
              <w:t>que remiten </w:t>
            </w:r>
            <w:r>
              <w:rPr>
                <w:spacing w:val="-2"/>
                <w:sz w:val="18"/>
              </w:rPr>
              <w:t>información</w:t>
            </w:r>
          </w:p>
        </w:tc>
        <w:tc>
          <w:tcPr>
            <w:tcW w:w="2017" w:type="dxa"/>
          </w:tcPr>
          <w:p>
            <w:pPr>
              <w:pStyle w:val="TableParagraph"/>
              <w:spacing w:before="51"/>
              <w:ind w:left="71" w:right="121"/>
              <w:rPr>
                <w:sz w:val="18"/>
              </w:rPr>
            </w:pPr>
            <w:r>
              <w:rPr>
                <w:sz w:val="18"/>
              </w:rPr>
              <w:t>Matrices</w:t>
            </w:r>
            <w:r>
              <w:rPr>
                <w:spacing w:val="-15"/>
                <w:sz w:val="18"/>
              </w:rPr>
              <w:t> </w:t>
            </w:r>
            <w:r>
              <w:rPr>
                <w:sz w:val="18"/>
              </w:rPr>
              <w:t>remitidas</w:t>
            </w:r>
            <w:r>
              <w:rPr>
                <w:spacing w:val="-12"/>
                <w:sz w:val="18"/>
              </w:rPr>
              <w:t> </w:t>
            </w:r>
            <w:r>
              <w:rPr>
                <w:sz w:val="18"/>
              </w:rPr>
              <w:t>por las instituciones que establezca el decreto IMAS IMPULSA</w:t>
            </w:r>
          </w:p>
          <w:p>
            <w:pPr>
              <w:pStyle w:val="TableParagraph"/>
              <w:spacing w:line="205" w:lineRule="exact"/>
              <w:ind w:left="71"/>
              <w:rPr>
                <w:sz w:val="18"/>
              </w:rPr>
            </w:pPr>
            <w:r>
              <w:rPr>
                <w:sz w:val="18"/>
              </w:rPr>
              <w:t>(Próximo</w:t>
            </w:r>
            <w:r>
              <w:rPr>
                <w:spacing w:val="-3"/>
                <w:sz w:val="18"/>
              </w:rPr>
              <w:t> </w:t>
            </w:r>
            <w:r>
              <w:rPr>
                <w:sz w:val="18"/>
              </w:rPr>
              <w:t>a</w:t>
            </w:r>
            <w:r>
              <w:rPr>
                <w:spacing w:val="1"/>
                <w:sz w:val="18"/>
              </w:rPr>
              <w:t> </w:t>
            </w:r>
            <w:r>
              <w:rPr>
                <w:spacing w:val="-2"/>
                <w:sz w:val="18"/>
              </w:rPr>
              <w:t>publicarse)</w:t>
            </w:r>
          </w:p>
        </w:tc>
        <w:tc>
          <w:tcPr>
            <w:tcW w:w="1259" w:type="dxa"/>
          </w:tcPr>
          <w:p>
            <w:pPr>
              <w:pStyle w:val="TableParagraph"/>
              <w:spacing w:before="51"/>
              <w:rPr>
                <w:b/>
                <w:sz w:val="18"/>
              </w:rPr>
            </w:pPr>
          </w:p>
          <w:p>
            <w:pPr>
              <w:pStyle w:val="TableParagraph"/>
              <w:ind w:left="66" w:right="179"/>
              <w:rPr>
                <w:sz w:val="18"/>
              </w:rPr>
            </w:pPr>
            <w:r>
              <w:rPr>
                <w:spacing w:val="-2"/>
                <w:sz w:val="18"/>
              </w:rPr>
              <w:t>Secretaría Sectorial-Instituciones</w:t>
            </w:r>
          </w:p>
        </w:tc>
        <w:tc>
          <w:tcPr>
            <w:tcW w:w="1231" w:type="dxa"/>
          </w:tcPr>
          <w:p>
            <w:pPr>
              <w:pStyle w:val="TableParagraph"/>
              <w:rPr>
                <w:rFonts w:ascii="Times New Roman"/>
                <w:sz w:val="18"/>
              </w:rPr>
            </w:pPr>
          </w:p>
        </w:tc>
        <w:tc>
          <w:tcPr>
            <w:tcW w:w="2363" w:type="dxa"/>
            <w:vMerge/>
            <w:tcBorders>
              <w:top w:val="nil"/>
            </w:tcBorders>
          </w:tcPr>
          <w:p>
            <w:pPr>
              <w:rPr>
                <w:sz w:val="2"/>
                <w:szCs w:val="2"/>
              </w:rPr>
            </w:pPr>
          </w:p>
        </w:tc>
      </w:tr>
      <w:tr>
        <w:trPr>
          <w:trHeight w:val="1473" w:hRule="atLeast"/>
        </w:trPr>
        <w:tc>
          <w:tcPr>
            <w:tcW w:w="2574" w:type="dxa"/>
          </w:tcPr>
          <w:p>
            <w:pPr>
              <w:pStyle w:val="TableParagraph"/>
              <w:rPr>
                <w:b/>
                <w:sz w:val="18"/>
              </w:rPr>
            </w:pPr>
          </w:p>
          <w:p>
            <w:pPr>
              <w:pStyle w:val="TableParagraph"/>
              <w:spacing w:before="12"/>
              <w:rPr>
                <w:b/>
                <w:sz w:val="18"/>
              </w:rPr>
            </w:pPr>
          </w:p>
          <w:p>
            <w:pPr>
              <w:pStyle w:val="TableParagraph"/>
              <w:ind w:left="72" w:right="120"/>
              <w:rPr>
                <w:sz w:val="18"/>
              </w:rPr>
            </w:pPr>
            <w:r>
              <w:rPr>
                <w:b/>
                <w:sz w:val="18"/>
              </w:rPr>
              <w:t>Actividad PAC 2.86.3: </w:t>
            </w:r>
            <w:r>
              <w:rPr>
                <w:sz w:val="18"/>
              </w:rPr>
              <w:t>Sistematización</w:t>
            </w:r>
            <w:r>
              <w:rPr>
                <w:spacing w:val="-15"/>
                <w:sz w:val="18"/>
              </w:rPr>
              <w:t> </w:t>
            </w:r>
            <w:r>
              <w:rPr>
                <w:sz w:val="18"/>
              </w:rPr>
              <w:t>de</w:t>
            </w:r>
            <w:r>
              <w:rPr>
                <w:spacing w:val="-12"/>
                <w:sz w:val="18"/>
              </w:rPr>
              <w:t> </w:t>
            </w:r>
            <w:r>
              <w:rPr>
                <w:sz w:val="18"/>
              </w:rPr>
              <w:t>informe por parte de la SBTIS</w:t>
            </w:r>
          </w:p>
        </w:tc>
        <w:tc>
          <w:tcPr>
            <w:tcW w:w="1781" w:type="dxa"/>
          </w:tcPr>
          <w:p>
            <w:pPr>
              <w:pStyle w:val="TableParagraph"/>
              <w:rPr>
                <w:b/>
                <w:sz w:val="18"/>
              </w:rPr>
            </w:pPr>
          </w:p>
          <w:p>
            <w:pPr>
              <w:pStyle w:val="TableParagraph"/>
              <w:rPr>
                <w:b/>
                <w:sz w:val="18"/>
              </w:rPr>
            </w:pPr>
          </w:p>
          <w:p>
            <w:pPr>
              <w:pStyle w:val="TableParagraph"/>
              <w:spacing w:before="11"/>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rPr>
                <w:b/>
                <w:sz w:val="18"/>
              </w:rPr>
            </w:pPr>
          </w:p>
          <w:p>
            <w:pPr>
              <w:pStyle w:val="TableParagraph"/>
              <w:rPr>
                <w:b/>
                <w:sz w:val="18"/>
              </w:rPr>
            </w:pPr>
          </w:p>
          <w:p>
            <w:pPr>
              <w:pStyle w:val="TableParagraph"/>
              <w:spacing w:before="11"/>
              <w:rPr>
                <w:b/>
                <w:sz w:val="18"/>
              </w:rPr>
            </w:pPr>
          </w:p>
          <w:p>
            <w:pPr>
              <w:pStyle w:val="TableParagraph"/>
              <w:ind w:left="115" w:right="112"/>
              <w:jc w:val="center"/>
              <w:rPr>
                <w:sz w:val="18"/>
              </w:rPr>
            </w:pPr>
            <w:r>
              <w:rPr>
                <w:sz w:val="18"/>
              </w:rPr>
              <w:t>2</w:t>
            </w:r>
            <w:r>
              <w:rPr>
                <w:spacing w:val="2"/>
                <w:sz w:val="18"/>
              </w:rPr>
              <w:t> </w:t>
            </w:r>
            <w:r>
              <w:rPr>
                <w:spacing w:val="-2"/>
                <w:sz w:val="18"/>
              </w:rPr>
              <w:t>informes</w:t>
            </w:r>
          </w:p>
        </w:tc>
        <w:tc>
          <w:tcPr>
            <w:tcW w:w="1431" w:type="dxa"/>
          </w:tcPr>
          <w:p>
            <w:pPr>
              <w:pStyle w:val="TableParagraph"/>
              <w:rPr>
                <w:b/>
                <w:sz w:val="18"/>
              </w:rPr>
            </w:pPr>
          </w:p>
          <w:p>
            <w:pPr>
              <w:pStyle w:val="TableParagraph"/>
              <w:spacing w:before="12"/>
              <w:rPr>
                <w:b/>
                <w:sz w:val="18"/>
              </w:rPr>
            </w:pPr>
          </w:p>
          <w:p>
            <w:pPr>
              <w:pStyle w:val="TableParagraph"/>
              <w:ind w:left="71"/>
              <w:rPr>
                <w:sz w:val="18"/>
              </w:rPr>
            </w:pPr>
            <w:r>
              <w:rPr>
                <w:sz w:val="18"/>
              </w:rPr>
              <w:t>Número de </w:t>
            </w:r>
            <w:r>
              <w:rPr>
                <w:spacing w:val="-2"/>
                <w:sz w:val="18"/>
              </w:rPr>
              <w:t>informes sistematizados</w:t>
            </w:r>
          </w:p>
        </w:tc>
        <w:tc>
          <w:tcPr>
            <w:tcW w:w="2017" w:type="dxa"/>
          </w:tcPr>
          <w:p>
            <w:pPr>
              <w:pStyle w:val="TableParagraph"/>
              <w:rPr>
                <w:b/>
                <w:sz w:val="18"/>
              </w:rPr>
            </w:pPr>
          </w:p>
          <w:p>
            <w:pPr>
              <w:pStyle w:val="TableParagraph"/>
              <w:rPr>
                <w:b/>
                <w:sz w:val="18"/>
              </w:rPr>
            </w:pPr>
          </w:p>
          <w:p>
            <w:pPr>
              <w:pStyle w:val="TableParagraph"/>
              <w:spacing w:before="11"/>
              <w:rPr>
                <w:b/>
                <w:sz w:val="18"/>
              </w:rPr>
            </w:pPr>
          </w:p>
          <w:p>
            <w:pPr>
              <w:pStyle w:val="TableParagraph"/>
              <w:ind w:left="71"/>
              <w:rPr>
                <w:sz w:val="18"/>
              </w:rPr>
            </w:pPr>
            <w:r>
              <w:rPr>
                <w:spacing w:val="-2"/>
                <w:sz w:val="18"/>
              </w:rPr>
              <w:t>Informes</w:t>
            </w:r>
          </w:p>
        </w:tc>
        <w:tc>
          <w:tcPr>
            <w:tcW w:w="1259" w:type="dxa"/>
          </w:tcPr>
          <w:p>
            <w:pPr>
              <w:pStyle w:val="TableParagraph"/>
              <w:rPr>
                <w:b/>
                <w:sz w:val="18"/>
              </w:rPr>
            </w:pPr>
          </w:p>
          <w:p>
            <w:pPr>
              <w:pStyle w:val="TableParagraph"/>
              <w:spacing w:before="113"/>
              <w:rPr>
                <w:b/>
                <w:sz w:val="18"/>
              </w:rPr>
            </w:pPr>
          </w:p>
          <w:p>
            <w:pPr>
              <w:pStyle w:val="TableParagraph"/>
              <w:spacing w:line="244" w:lineRule="auto"/>
              <w:ind w:left="66"/>
              <w:rPr>
                <w:sz w:val="18"/>
              </w:rPr>
            </w:pPr>
            <w:r>
              <w:rPr>
                <w:spacing w:val="-2"/>
                <w:sz w:val="18"/>
              </w:rPr>
              <w:t>Secretaría SBTIS</w:t>
            </w:r>
          </w:p>
        </w:tc>
        <w:tc>
          <w:tcPr>
            <w:tcW w:w="1231" w:type="dxa"/>
          </w:tcPr>
          <w:p>
            <w:pPr>
              <w:pStyle w:val="TableParagraph"/>
              <w:rPr>
                <w:rFonts w:ascii="Times New Roman"/>
                <w:sz w:val="18"/>
              </w:rPr>
            </w:pPr>
          </w:p>
        </w:tc>
        <w:tc>
          <w:tcPr>
            <w:tcW w:w="2363"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1088"/>
        <w:gridCol w:w="1781"/>
        <w:gridCol w:w="1599"/>
        <w:gridCol w:w="1431"/>
        <w:gridCol w:w="2017"/>
        <w:gridCol w:w="1259"/>
        <w:gridCol w:w="1235"/>
        <w:gridCol w:w="2358"/>
      </w:tblGrid>
      <w:tr>
        <w:trPr>
          <w:trHeight w:val="671" w:hRule="atLeast"/>
        </w:trPr>
        <w:tc>
          <w:tcPr>
            <w:tcW w:w="2574" w:type="dxa"/>
            <w:gridSpan w:val="2"/>
            <w:shd w:val="clear" w:color="auto" w:fill="F1F1F1"/>
          </w:tcPr>
          <w:p>
            <w:pPr>
              <w:pStyle w:val="TableParagraph"/>
              <w:spacing w:before="22"/>
              <w:rPr>
                <w:b/>
                <w:sz w:val="18"/>
              </w:rPr>
            </w:pPr>
          </w:p>
          <w:p>
            <w:pPr>
              <w:pStyle w:val="TableParagraph"/>
              <w:ind w:left="317"/>
              <w:rPr>
                <w:b/>
                <w:sz w:val="18"/>
              </w:rPr>
            </w:pPr>
            <w:r>
              <w:rPr>
                <w:b/>
                <w:sz w:val="18"/>
              </w:rPr>
              <w:t>Objetivos</w:t>
            </w:r>
            <w:r>
              <w:rPr>
                <w:b/>
                <w:spacing w:val="-5"/>
                <w:sz w:val="18"/>
              </w:rPr>
              <w:t> </w:t>
            </w:r>
            <w:r>
              <w:rPr>
                <w:b/>
                <w:sz w:val="18"/>
              </w:rPr>
              <w:t>/</w:t>
            </w:r>
            <w:r>
              <w:rPr>
                <w:b/>
                <w:spacing w:val="-2"/>
                <w:sz w:val="18"/>
              </w:rPr>
              <w:t> Resultados</w:t>
            </w:r>
          </w:p>
        </w:tc>
        <w:tc>
          <w:tcPr>
            <w:tcW w:w="1781" w:type="dxa"/>
            <w:shd w:val="clear" w:color="auto" w:fill="F1F1F1"/>
          </w:tcPr>
          <w:p>
            <w:pPr>
              <w:pStyle w:val="TableParagraph"/>
              <w:spacing w:before="22"/>
              <w:rPr>
                <w:b/>
                <w:sz w:val="18"/>
              </w:rPr>
            </w:pPr>
          </w:p>
          <w:p>
            <w:pPr>
              <w:pStyle w:val="TableParagraph"/>
              <w:ind w:left="11"/>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599" w:type="dxa"/>
            <w:shd w:val="clear" w:color="auto" w:fill="F1F1F1"/>
          </w:tcPr>
          <w:p>
            <w:pPr>
              <w:pStyle w:val="TableParagraph"/>
              <w:spacing w:before="23"/>
              <w:ind w:left="115" w:right="109"/>
              <w:jc w:val="center"/>
              <w:rPr>
                <w:b/>
                <w:sz w:val="18"/>
              </w:rPr>
            </w:pPr>
            <w:r>
              <w:rPr>
                <w:b/>
                <w:spacing w:val="-4"/>
                <w:sz w:val="18"/>
              </w:rPr>
              <w:t>Meta </w:t>
            </w:r>
            <w:r>
              <w:rPr>
                <w:b/>
                <w:spacing w:val="-2"/>
                <w:sz w:val="18"/>
              </w:rPr>
              <w:t>programada </w:t>
            </w:r>
            <w:r>
              <w:rPr>
                <w:b/>
                <w:spacing w:val="-4"/>
                <w:sz w:val="18"/>
              </w:rPr>
              <w:t>2026</w:t>
            </w:r>
          </w:p>
        </w:tc>
        <w:tc>
          <w:tcPr>
            <w:tcW w:w="1431" w:type="dxa"/>
            <w:shd w:val="clear" w:color="auto" w:fill="F1F1F1"/>
          </w:tcPr>
          <w:p>
            <w:pPr>
              <w:pStyle w:val="TableParagraph"/>
              <w:spacing w:before="22"/>
              <w:rPr>
                <w:b/>
                <w:sz w:val="18"/>
              </w:rPr>
            </w:pPr>
          </w:p>
          <w:p>
            <w:pPr>
              <w:pStyle w:val="TableParagraph"/>
              <w:ind w:left="311"/>
              <w:rPr>
                <w:b/>
                <w:sz w:val="18"/>
              </w:rPr>
            </w:pPr>
            <w:r>
              <w:rPr>
                <w:b/>
                <w:spacing w:val="-2"/>
                <w:sz w:val="18"/>
              </w:rPr>
              <w:t>Indicador</w:t>
            </w:r>
          </w:p>
        </w:tc>
        <w:tc>
          <w:tcPr>
            <w:tcW w:w="2017" w:type="dxa"/>
            <w:shd w:val="clear" w:color="auto" w:fill="F1F1F1"/>
          </w:tcPr>
          <w:p>
            <w:pPr>
              <w:pStyle w:val="TableParagraph"/>
              <w:spacing w:before="128"/>
              <w:ind w:left="508" w:right="121" w:firstLine="57"/>
              <w:rPr>
                <w:b/>
                <w:sz w:val="18"/>
              </w:rPr>
            </w:pPr>
            <w:r>
              <w:rPr>
                <w:b/>
                <w:sz w:val="18"/>
              </w:rPr>
              <w:t>Medios de </w:t>
            </w:r>
            <w:r>
              <w:rPr>
                <w:b/>
                <w:spacing w:val="-2"/>
                <w:sz w:val="18"/>
              </w:rPr>
              <w:t>verificación</w:t>
            </w:r>
          </w:p>
        </w:tc>
        <w:tc>
          <w:tcPr>
            <w:tcW w:w="1259" w:type="dxa"/>
            <w:shd w:val="clear" w:color="auto" w:fill="F1F1F1"/>
          </w:tcPr>
          <w:p>
            <w:pPr>
              <w:pStyle w:val="TableParagraph"/>
              <w:spacing w:before="22"/>
              <w:rPr>
                <w:b/>
                <w:sz w:val="18"/>
              </w:rPr>
            </w:pPr>
          </w:p>
          <w:p>
            <w:pPr>
              <w:pStyle w:val="TableParagraph"/>
              <w:ind w:left="66"/>
              <w:rPr>
                <w:b/>
                <w:sz w:val="18"/>
              </w:rPr>
            </w:pPr>
            <w:r>
              <w:rPr>
                <w:b/>
                <w:spacing w:val="-2"/>
                <w:sz w:val="18"/>
              </w:rPr>
              <w:t>Responsable</w:t>
            </w:r>
          </w:p>
        </w:tc>
        <w:tc>
          <w:tcPr>
            <w:tcW w:w="1235" w:type="dxa"/>
            <w:shd w:val="clear" w:color="auto" w:fill="F1F1F1"/>
          </w:tcPr>
          <w:p>
            <w:pPr>
              <w:pStyle w:val="TableParagraph"/>
              <w:spacing w:before="128"/>
              <w:ind w:left="218" w:hanging="149"/>
              <w:rPr>
                <w:b/>
                <w:sz w:val="18"/>
              </w:rPr>
            </w:pPr>
            <w:r>
              <w:rPr>
                <w:b/>
                <w:spacing w:val="-2"/>
                <w:sz w:val="18"/>
              </w:rPr>
              <w:t>Presupuesto asignado</w:t>
            </w:r>
          </w:p>
        </w:tc>
        <w:tc>
          <w:tcPr>
            <w:tcW w:w="2358" w:type="dxa"/>
            <w:tcBorders>
              <w:bottom w:val="nil"/>
            </w:tcBorders>
            <w:shd w:val="clear" w:color="auto" w:fill="F1F1F1"/>
          </w:tcPr>
          <w:p>
            <w:pPr>
              <w:pStyle w:val="TableParagraph"/>
              <w:spacing w:before="128"/>
              <w:ind w:left="587" w:right="235" w:hanging="231"/>
              <w:rPr>
                <w:b/>
                <w:sz w:val="18"/>
              </w:rPr>
            </w:pPr>
            <w:r>
              <w:rPr>
                <w:b/>
                <w:sz w:val="18"/>
              </w:rPr>
              <w:t>Riesgo</w:t>
            </w:r>
            <w:r>
              <w:rPr>
                <w:b/>
                <w:spacing w:val="-15"/>
                <w:sz w:val="18"/>
              </w:rPr>
              <w:t> </w:t>
            </w:r>
            <w:r>
              <w:rPr>
                <w:b/>
                <w:sz w:val="18"/>
              </w:rPr>
              <w:t>asociado</w:t>
            </w:r>
            <w:r>
              <w:rPr>
                <w:b/>
                <w:spacing w:val="-12"/>
                <w:sz w:val="18"/>
              </w:rPr>
              <w:t> </w:t>
            </w:r>
            <w:r>
              <w:rPr>
                <w:b/>
                <w:sz w:val="18"/>
              </w:rPr>
              <w:t>al </w:t>
            </w:r>
            <w:r>
              <w:rPr>
                <w:b/>
                <w:spacing w:val="-2"/>
                <w:sz w:val="18"/>
              </w:rPr>
              <w:t>cumplimiento</w:t>
            </w:r>
          </w:p>
        </w:tc>
      </w:tr>
      <w:tr>
        <w:trPr>
          <w:trHeight w:val="1468" w:hRule="atLeast"/>
        </w:trPr>
        <w:tc>
          <w:tcPr>
            <w:tcW w:w="2574" w:type="dxa"/>
            <w:gridSpan w:val="2"/>
          </w:tcPr>
          <w:p>
            <w:pPr>
              <w:pStyle w:val="TableParagraph"/>
              <w:spacing w:before="8"/>
              <w:rPr>
                <w:b/>
                <w:sz w:val="18"/>
              </w:rPr>
            </w:pPr>
          </w:p>
          <w:p>
            <w:pPr>
              <w:pStyle w:val="TableParagraph"/>
              <w:ind w:left="72"/>
              <w:rPr>
                <w:sz w:val="18"/>
              </w:rPr>
            </w:pPr>
            <w:r>
              <w:rPr>
                <w:b/>
                <w:sz w:val="18"/>
              </w:rPr>
              <w:t>Actividad PAC 2.86.4: </w:t>
            </w:r>
            <w:r>
              <w:rPr>
                <w:sz w:val="18"/>
              </w:rPr>
              <w:t>Sesiones</w:t>
            </w:r>
            <w:r>
              <w:rPr>
                <w:spacing w:val="-12"/>
                <w:sz w:val="18"/>
              </w:rPr>
              <w:t> </w:t>
            </w:r>
            <w:r>
              <w:rPr>
                <w:sz w:val="18"/>
              </w:rPr>
              <w:t>semestrales</w:t>
            </w:r>
            <w:r>
              <w:rPr>
                <w:spacing w:val="-12"/>
                <w:sz w:val="18"/>
              </w:rPr>
              <w:t> </w:t>
            </w:r>
            <w:r>
              <w:rPr>
                <w:sz w:val="18"/>
              </w:rPr>
              <w:t>con</w:t>
            </w:r>
            <w:r>
              <w:rPr>
                <w:spacing w:val="-12"/>
                <w:sz w:val="18"/>
              </w:rPr>
              <w:t> </w:t>
            </w:r>
            <w:r>
              <w:rPr>
                <w:sz w:val="18"/>
              </w:rPr>
              <w:t>las instituciones del sector social para analizar los informes de </w:t>
            </w:r>
            <w:r>
              <w:rPr>
                <w:spacing w:val="-2"/>
                <w:sz w:val="18"/>
              </w:rPr>
              <w:t>seguimiento</w:t>
            </w:r>
          </w:p>
        </w:tc>
        <w:tc>
          <w:tcPr>
            <w:tcW w:w="1781" w:type="dxa"/>
          </w:tcPr>
          <w:p>
            <w:pPr>
              <w:pStyle w:val="TableParagraph"/>
              <w:rPr>
                <w:b/>
                <w:sz w:val="18"/>
              </w:rPr>
            </w:pPr>
          </w:p>
          <w:p>
            <w:pPr>
              <w:pStyle w:val="TableParagraph"/>
              <w:rPr>
                <w:b/>
                <w:sz w:val="18"/>
              </w:rPr>
            </w:pPr>
          </w:p>
          <w:p>
            <w:pPr>
              <w:pStyle w:val="TableParagraph"/>
              <w:spacing w:before="7"/>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rPr>
                <w:b/>
                <w:sz w:val="18"/>
              </w:rPr>
            </w:pPr>
          </w:p>
          <w:p>
            <w:pPr>
              <w:pStyle w:val="TableParagraph"/>
              <w:rPr>
                <w:b/>
                <w:sz w:val="18"/>
              </w:rPr>
            </w:pPr>
          </w:p>
          <w:p>
            <w:pPr>
              <w:pStyle w:val="TableParagraph"/>
              <w:spacing w:before="7"/>
              <w:rPr>
                <w:b/>
                <w:sz w:val="18"/>
              </w:rPr>
            </w:pPr>
          </w:p>
          <w:p>
            <w:pPr>
              <w:pStyle w:val="TableParagraph"/>
              <w:ind w:left="115" w:right="111"/>
              <w:jc w:val="center"/>
              <w:rPr>
                <w:sz w:val="18"/>
              </w:rPr>
            </w:pPr>
            <w:r>
              <w:rPr>
                <w:sz w:val="18"/>
              </w:rPr>
              <w:t>2</w:t>
            </w:r>
            <w:r>
              <w:rPr>
                <w:spacing w:val="2"/>
                <w:sz w:val="18"/>
              </w:rPr>
              <w:t> </w:t>
            </w:r>
            <w:r>
              <w:rPr>
                <w:spacing w:val="-2"/>
                <w:sz w:val="18"/>
              </w:rPr>
              <w:t>sesiones</w:t>
            </w:r>
          </w:p>
        </w:tc>
        <w:tc>
          <w:tcPr>
            <w:tcW w:w="1431" w:type="dxa"/>
          </w:tcPr>
          <w:p>
            <w:pPr>
              <w:pStyle w:val="TableParagraph"/>
              <w:spacing w:before="114"/>
              <w:rPr>
                <w:b/>
                <w:sz w:val="18"/>
              </w:rPr>
            </w:pPr>
          </w:p>
          <w:p>
            <w:pPr>
              <w:pStyle w:val="TableParagraph"/>
              <w:ind w:left="71" w:right="54"/>
              <w:rPr>
                <w:sz w:val="18"/>
              </w:rPr>
            </w:pPr>
            <w:r>
              <w:rPr>
                <w:sz w:val="18"/>
              </w:rPr>
              <w:t>Número de sesiones con</w:t>
            </w:r>
            <w:r>
              <w:rPr>
                <w:spacing w:val="40"/>
                <w:sz w:val="18"/>
              </w:rPr>
              <w:t> </w:t>
            </w:r>
            <w:r>
              <w:rPr>
                <w:sz w:val="18"/>
              </w:rPr>
              <w:t>las</w:t>
            </w:r>
            <w:r>
              <w:rPr>
                <w:spacing w:val="-13"/>
                <w:sz w:val="18"/>
              </w:rPr>
              <w:t> </w:t>
            </w:r>
            <w:r>
              <w:rPr>
                <w:sz w:val="18"/>
              </w:rPr>
              <w:t>instituciones del</w:t>
            </w:r>
            <w:r>
              <w:rPr>
                <w:spacing w:val="-1"/>
                <w:sz w:val="18"/>
              </w:rPr>
              <w:t> </w:t>
            </w:r>
            <w:r>
              <w:rPr>
                <w:sz w:val="18"/>
              </w:rPr>
              <w:t>sector</w:t>
            </w:r>
            <w:r>
              <w:rPr>
                <w:spacing w:val="-2"/>
                <w:sz w:val="18"/>
              </w:rPr>
              <w:t> social</w:t>
            </w:r>
          </w:p>
        </w:tc>
        <w:tc>
          <w:tcPr>
            <w:tcW w:w="2017" w:type="dxa"/>
          </w:tcPr>
          <w:p>
            <w:pPr>
              <w:pStyle w:val="TableParagraph"/>
              <w:rPr>
                <w:b/>
                <w:sz w:val="18"/>
              </w:rPr>
            </w:pPr>
          </w:p>
          <w:p>
            <w:pPr>
              <w:pStyle w:val="TableParagraph"/>
              <w:spacing w:before="8"/>
              <w:rPr>
                <w:b/>
                <w:sz w:val="18"/>
              </w:rPr>
            </w:pPr>
          </w:p>
          <w:p>
            <w:pPr>
              <w:pStyle w:val="TableParagraph"/>
              <w:ind w:left="71" w:right="68"/>
              <w:rPr>
                <w:sz w:val="18"/>
              </w:rPr>
            </w:pPr>
            <w:r>
              <w:rPr>
                <w:sz w:val="18"/>
              </w:rPr>
              <w:t>Lista de asistencia a</w:t>
            </w:r>
            <w:r>
              <w:rPr>
                <w:spacing w:val="40"/>
                <w:sz w:val="18"/>
              </w:rPr>
              <w:t> </w:t>
            </w:r>
            <w:r>
              <w:rPr>
                <w:spacing w:val="-4"/>
                <w:sz w:val="18"/>
              </w:rPr>
              <w:t>las </w:t>
            </w:r>
            <w:r>
              <w:rPr>
                <w:spacing w:val="-2"/>
                <w:sz w:val="18"/>
              </w:rPr>
              <w:t>sesiones/convocatorias</w:t>
            </w:r>
          </w:p>
        </w:tc>
        <w:tc>
          <w:tcPr>
            <w:tcW w:w="1259" w:type="dxa"/>
          </w:tcPr>
          <w:p>
            <w:pPr>
              <w:pStyle w:val="TableParagraph"/>
              <w:rPr>
                <w:b/>
                <w:sz w:val="18"/>
              </w:rPr>
            </w:pPr>
          </w:p>
          <w:p>
            <w:pPr>
              <w:pStyle w:val="TableParagraph"/>
              <w:spacing w:before="8"/>
              <w:rPr>
                <w:b/>
                <w:sz w:val="18"/>
              </w:rPr>
            </w:pPr>
          </w:p>
          <w:p>
            <w:pPr>
              <w:pStyle w:val="TableParagraph"/>
              <w:ind w:left="66"/>
              <w:rPr>
                <w:sz w:val="18"/>
              </w:rPr>
            </w:pPr>
            <w:r>
              <w:rPr>
                <w:spacing w:val="-2"/>
                <w:sz w:val="18"/>
              </w:rPr>
              <w:t>Secretaría </w:t>
            </w:r>
            <w:r>
              <w:rPr>
                <w:sz w:val="18"/>
              </w:rPr>
              <w:t>SBTIS e</w:t>
            </w:r>
          </w:p>
          <w:p>
            <w:pPr>
              <w:pStyle w:val="TableParagraph"/>
              <w:spacing w:line="206" w:lineRule="exact"/>
              <w:ind w:left="66"/>
              <w:rPr>
                <w:sz w:val="18"/>
              </w:rPr>
            </w:pPr>
            <w:r>
              <w:rPr>
                <w:spacing w:val="-2"/>
                <w:sz w:val="18"/>
              </w:rPr>
              <w:t>Instituciones</w:t>
            </w:r>
          </w:p>
        </w:tc>
        <w:tc>
          <w:tcPr>
            <w:tcW w:w="1235" w:type="dxa"/>
          </w:tcPr>
          <w:p>
            <w:pPr>
              <w:pStyle w:val="TableParagraph"/>
              <w:rPr>
                <w:rFonts w:ascii="Times New Roman"/>
                <w:sz w:val="18"/>
              </w:rPr>
            </w:pPr>
          </w:p>
        </w:tc>
        <w:tc>
          <w:tcPr>
            <w:tcW w:w="2358" w:type="dxa"/>
            <w:tcBorders>
              <w:top w:val="nil"/>
            </w:tcBorders>
          </w:tcPr>
          <w:p>
            <w:pPr>
              <w:pStyle w:val="TableParagraph"/>
              <w:rPr>
                <w:rFonts w:ascii="Times New Roman"/>
                <w:sz w:val="18"/>
              </w:rPr>
            </w:pPr>
          </w:p>
        </w:tc>
      </w:tr>
      <w:tr>
        <w:trPr>
          <w:trHeight w:val="662" w:hRule="atLeast"/>
        </w:trPr>
        <w:tc>
          <w:tcPr>
            <w:tcW w:w="14254" w:type="dxa"/>
            <w:gridSpan w:val="9"/>
            <w:shd w:val="clear" w:color="auto" w:fill="EFF8F9"/>
          </w:tcPr>
          <w:p>
            <w:pPr>
              <w:pStyle w:val="TableParagraph"/>
              <w:spacing w:before="17"/>
              <w:rPr>
                <w:b/>
                <w:sz w:val="18"/>
              </w:rPr>
            </w:pPr>
          </w:p>
          <w:p>
            <w:pPr>
              <w:pStyle w:val="TableParagraph"/>
              <w:spacing w:before="1"/>
              <w:ind w:left="72"/>
              <w:rPr>
                <w:b/>
                <w:sz w:val="18"/>
              </w:rPr>
            </w:pPr>
            <w:r>
              <w:rPr>
                <w:b/>
                <w:sz w:val="18"/>
              </w:rPr>
              <w:t>Producto</w:t>
            </w:r>
            <w:r>
              <w:rPr>
                <w:b/>
                <w:spacing w:val="-8"/>
                <w:sz w:val="18"/>
              </w:rPr>
              <w:t> </w:t>
            </w:r>
            <w:r>
              <w:rPr>
                <w:b/>
                <w:sz w:val="18"/>
              </w:rPr>
              <w:t>PAC</w:t>
            </w:r>
            <w:r>
              <w:rPr>
                <w:b/>
                <w:spacing w:val="-9"/>
                <w:sz w:val="18"/>
              </w:rPr>
              <w:t> </w:t>
            </w:r>
            <w:r>
              <w:rPr>
                <w:b/>
                <w:sz w:val="18"/>
              </w:rPr>
              <w:t>2.87:</w:t>
            </w:r>
            <w:r>
              <w:rPr>
                <w:b/>
                <w:spacing w:val="-5"/>
                <w:sz w:val="18"/>
              </w:rPr>
              <w:t> </w:t>
            </w:r>
            <w:r>
              <w:rPr>
                <w:b/>
                <w:sz w:val="18"/>
              </w:rPr>
              <w:t>Estructura</w:t>
            </w:r>
            <w:r>
              <w:rPr>
                <w:b/>
                <w:spacing w:val="-7"/>
                <w:sz w:val="18"/>
              </w:rPr>
              <w:t> </w:t>
            </w:r>
            <w:r>
              <w:rPr>
                <w:b/>
                <w:sz w:val="18"/>
              </w:rPr>
              <w:t>de</w:t>
            </w:r>
            <w:r>
              <w:rPr>
                <w:b/>
                <w:spacing w:val="-7"/>
                <w:sz w:val="18"/>
              </w:rPr>
              <w:t> </w:t>
            </w:r>
            <w:r>
              <w:rPr>
                <w:b/>
                <w:sz w:val="18"/>
              </w:rPr>
              <w:t>articulación</w:t>
            </w:r>
            <w:r>
              <w:rPr>
                <w:b/>
                <w:spacing w:val="-8"/>
                <w:sz w:val="18"/>
              </w:rPr>
              <w:t> </w:t>
            </w:r>
            <w:r>
              <w:rPr>
                <w:b/>
                <w:sz w:val="18"/>
              </w:rPr>
              <w:t>interinstitucional</w:t>
            </w:r>
            <w:r>
              <w:rPr>
                <w:b/>
                <w:spacing w:val="-1"/>
                <w:sz w:val="18"/>
              </w:rPr>
              <w:t> </w:t>
            </w:r>
            <w:r>
              <w:rPr>
                <w:b/>
                <w:sz w:val="18"/>
              </w:rPr>
              <w:t>de</w:t>
            </w:r>
            <w:r>
              <w:rPr>
                <w:b/>
                <w:spacing w:val="-7"/>
                <w:sz w:val="18"/>
              </w:rPr>
              <w:t> </w:t>
            </w:r>
            <w:r>
              <w:rPr>
                <w:b/>
                <w:sz w:val="18"/>
              </w:rPr>
              <w:t>la</w:t>
            </w:r>
            <w:r>
              <w:rPr>
                <w:b/>
                <w:spacing w:val="-6"/>
                <w:sz w:val="18"/>
              </w:rPr>
              <w:t> </w:t>
            </w:r>
            <w:r>
              <w:rPr>
                <w:b/>
                <w:sz w:val="18"/>
              </w:rPr>
              <w:t>oferta</w:t>
            </w:r>
            <w:r>
              <w:rPr>
                <w:b/>
                <w:spacing w:val="-7"/>
                <w:sz w:val="18"/>
              </w:rPr>
              <w:t> </w:t>
            </w:r>
            <w:r>
              <w:rPr>
                <w:b/>
                <w:sz w:val="18"/>
              </w:rPr>
              <w:t>de</w:t>
            </w:r>
            <w:r>
              <w:rPr>
                <w:b/>
                <w:spacing w:val="-7"/>
                <w:sz w:val="18"/>
              </w:rPr>
              <w:t> </w:t>
            </w:r>
            <w:r>
              <w:rPr>
                <w:b/>
                <w:sz w:val="18"/>
              </w:rPr>
              <w:t>servicios</w:t>
            </w:r>
            <w:r>
              <w:rPr>
                <w:b/>
                <w:spacing w:val="-7"/>
                <w:sz w:val="18"/>
              </w:rPr>
              <w:t> </w:t>
            </w:r>
            <w:r>
              <w:rPr>
                <w:b/>
                <w:sz w:val="18"/>
              </w:rPr>
              <w:t>sociales</w:t>
            </w:r>
            <w:r>
              <w:rPr>
                <w:b/>
                <w:spacing w:val="-4"/>
                <w:sz w:val="18"/>
              </w:rPr>
              <w:t> </w:t>
            </w:r>
            <w:r>
              <w:rPr>
                <w:b/>
                <w:sz w:val="18"/>
              </w:rPr>
              <w:t>diseñada</w:t>
            </w:r>
            <w:r>
              <w:rPr>
                <w:b/>
                <w:spacing w:val="-3"/>
                <w:sz w:val="18"/>
              </w:rPr>
              <w:t> </w:t>
            </w:r>
            <w:r>
              <w:rPr>
                <w:b/>
                <w:sz w:val="18"/>
              </w:rPr>
              <w:t>y</w:t>
            </w:r>
            <w:r>
              <w:rPr>
                <w:b/>
                <w:spacing w:val="-7"/>
                <w:sz w:val="18"/>
              </w:rPr>
              <w:t> </w:t>
            </w:r>
            <w:r>
              <w:rPr>
                <w:b/>
                <w:sz w:val="18"/>
              </w:rPr>
              <w:t>ejecutándose.</w:t>
            </w:r>
            <w:r>
              <w:rPr>
                <w:b/>
                <w:spacing w:val="6"/>
                <w:sz w:val="18"/>
              </w:rPr>
              <w:t> </w:t>
            </w:r>
            <w:r>
              <w:rPr>
                <w:b/>
                <w:sz w:val="18"/>
              </w:rPr>
              <w:t>(E4</w:t>
            </w:r>
            <w:r>
              <w:rPr>
                <w:b/>
                <w:spacing w:val="-7"/>
                <w:sz w:val="18"/>
              </w:rPr>
              <w:t> </w:t>
            </w:r>
            <w:r>
              <w:rPr>
                <w:b/>
                <w:sz w:val="18"/>
              </w:rPr>
              <w:t>AE2</w:t>
            </w:r>
            <w:r>
              <w:rPr>
                <w:b/>
                <w:spacing w:val="-3"/>
                <w:sz w:val="18"/>
              </w:rPr>
              <w:t> </w:t>
            </w:r>
            <w:r>
              <w:rPr>
                <w:b/>
                <w:sz w:val="18"/>
              </w:rPr>
              <w:t>R2)</w:t>
            </w:r>
            <w:r>
              <w:rPr>
                <w:b/>
                <w:spacing w:val="-5"/>
                <w:sz w:val="18"/>
              </w:rPr>
              <w:t> </w:t>
            </w:r>
            <w:r>
              <w:rPr>
                <w:b/>
                <w:spacing w:val="-2"/>
                <w:sz w:val="18"/>
              </w:rPr>
              <w:t>(100%)</w:t>
            </w:r>
          </w:p>
        </w:tc>
      </w:tr>
      <w:tr>
        <w:trPr>
          <w:trHeight w:val="1238" w:hRule="atLeast"/>
        </w:trPr>
        <w:tc>
          <w:tcPr>
            <w:tcW w:w="2574" w:type="dxa"/>
            <w:gridSpan w:val="2"/>
          </w:tcPr>
          <w:p>
            <w:pPr>
              <w:pStyle w:val="TableParagraph"/>
              <w:ind w:left="72" w:right="82"/>
              <w:rPr>
                <w:sz w:val="18"/>
              </w:rPr>
            </w:pPr>
            <w:r>
              <w:rPr>
                <w:b/>
                <w:sz w:val="18"/>
              </w:rPr>
              <w:t>Actividad PAC 2.87.1: </w:t>
            </w:r>
            <w:r>
              <w:rPr>
                <w:sz w:val="18"/>
              </w:rPr>
              <w:t>Socialización</w:t>
            </w:r>
            <w:r>
              <w:rPr>
                <w:spacing w:val="-10"/>
                <w:sz w:val="18"/>
              </w:rPr>
              <w:t> </w:t>
            </w:r>
            <w:r>
              <w:rPr>
                <w:sz w:val="18"/>
              </w:rPr>
              <w:t>a</w:t>
            </w:r>
            <w:r>
              <w:rPr>
                <w:spacing w:val="-13"/>
                <w:sz w:val="18"/>
              </w:rPr>
              <w:t> </w:t>
            </w:r>
            <w:r>
              <w:rPr>
                <w:sz w:val="18"/>
              </w:rPr>
              <w:t>nivel</w:t>
            </w:r>
            <w:r>
              <w:rPr>
                <w:spacing w:val="-10"/>
                <w:sz w:val="18"/>
              </w:rPr>
              <w:t> </w:t>
            </w:r>
            <w:r>
              <w:rPr>
                <w:sz w:val="18"/>
              </w:rPr>
              <w:t>regional del plan de articulación interinstitucional de la oferta de servicios y beneficios</w:t>
            </w:r>
          </w:p>
          <w:p>
            <w:pPr>
              <w:pStyle w:val="TableParagraph"/>
              <w:spacing w:line="185" w:lineRule="exact"/>
              <w:ind w:left="72"/>
              <w:rPr>
                <w:sz w:val="18"/>
              </w:rPr>
            </w:pPr>
            <w:r>
              <w:rPr>
                <w:spacing w:val="-2"/>
                <w:sz w:val="18"/>
              </w:rPr>
              <w:t>sociales</w:t>
            </w:r>
          </w:p>
        </w:tc>
        <w:tc>
          <w:tcPr>
            <w:tcW w:w="1781" w:type="dxa"/>
          </w:tcPr>
          <w:p>
            <w:pPr>
              <w:pStyle w:val="TableParagraph"/>
              <w:rPr>
                <w:b/>
                <w:sz w:val="18"/>
              </w:rPr>
            </w:pPr>
          </w:p>
          <w:p>
            <w:pPr>
              <w:pStyle w:val="TableParagraph"/>
              <w:spacing w:before="99"/>
              <w:rPr>
                <w:b/>
                <w:sz w:val="18"/>
              </w:rPr>
            </w:pPr>
          </w:p>
          <w:p>
            <w:pPr>
              <w:pStyle w:val="TableParagraph"/>
              <w:ind w:left="11" w:right="2"/>
              <w:jc w:val="center"/>
              <w:rPr>
                <w:sz w:val="18"/>
              </w:rPr>
            </w:pPr>
            <w:r>
              <w:rPr>
                <w:spacing w:val="-10"/>
                <w:sz w:val="18"/>
              </w:rPr>
              <w:t>0</w:t>
            </w:r>
          </w:p>
        </w:tc>
        <w:tc>
          <w:tcPr>
            <w:tcW w:w="1599" w:type="dxa"/>
          </w:tcPr>
          <w:p>
            <w:pPr>
              <w:pStyle w:val="TableParagraph"/>
              <w:spacing w:before="99"/>
              <w:rPr>
                <w:b/>
                <w:sz w:val="18"/>
              </w:rPr>
            </w:pPr>
          </w:p>
          <w:p>
            <w:pPr>
              <w:pStyle w:val="TableParagraph"/>
              <w:spacing w:line="242" w:lineRule="auto"/>
              <w:ind w:left="340" w:right="328" w:hanging="10"/>
              <w:jc w:val="center"/>
              <w:rPr>
                <w:sz w:val="18"/>
              </w:rPr>
            </w:pPr>
            <w:r>
              <w:rPr>
                <w:sz w:val="18"/>
              </w:rPr>
              <w:t>1 plan de </w:t>
            </w:r>
            <w:r>
              <w:rPr>
                <w:spacing w:val="-2"/>
                <w:sz w:val="18"/>
              </w:rPr>
              <w:t>articulación elaborado</w:t>
            </w:r>
          </w:p>
        </w:tc>
        <w:tc>
          <w:tcPr>
            <w:tcW w:w="1431" w:type="dxa"/>
          </w:tcPr>
          <w:p>
            <w:pPr>
              <w:pStyle w:val="TableParagraph"/>
              <w:spacing w:before="205"/>
              <w:ind w:left="71"/>
              <w:rPr>
                <w:sz w:val="18"/>
              </w:rPr>
            </w:pPr>
            <w:r>
              <w:rPr>
                <w:sz w:val="18"/>
              </w:rPr>
              <w:t>Plan de </w:t>
            </w:r>
            <w:r>
              <w:rPr>
                <w:spacing w:val="-2"/>
                <w:sz w:val="18"/>
              </w:rPr>
              <w:t>articulación interinstitucional elaborado</w:t>
            </w:r>
          </w:p>
        </w:tc>
        <w:tc>
          <w:tcPr>
            <w:tcW w:w="2017" w:type="dxa"/>
          </w:tcPr>
          <w:p>
            <w:pPr>
              <w:pStyle w:val="TableParagraph"/>
              <w:spacing w:before="99"/>
              <w:rPr>
                <w:b/>
                <w:sz w:val="18"/>
              </w:rPr>
            </w:pPr>
          </w:p>
          <w:p>
            <w:pPr>
              <w:pStyle w:val="TableParagraph"/>
              <w:spacing w:line="242" w:lineRule="auto"/>
              <w:ind w:left="71" w:right="121"/>
              <w:rPr>
                <w:sz w:val="18"/>
              </w:rPr>
            </w:pPr>
            <w:r>
              <w:rPr>
                <w:sz w:val="18"/>
              </w:rPr>
              <w:t>Documento</w:t>
            </w:r>
            <w:r>
              <w:rPr>
                <w:spacing w:val="-15"/>
                <w:sz w:val="18"/>
              </w:rPr>
              <w:t> </w:t>
            </w:r>
            <w:r>
              <w:rPr>
                <w:sz w:val="18"/>
              </w:rPr>
              <w:t>Plan</w:t>
            </w:r>
            <w:r>
              <w:rPr>
                <w:spacing w:val="-12"/>
                <w:sz w:val="18"/>
              </w:rPr>
              <w:t> </w:t>
            </w:r>
            <w:r>
              <w:rPr>
                <w:sz w:val="18"/>
              </w:rPr>
              <w:t>de articulación sector </w:t>
            </w:r>
            <w:r>
              <w:rPr>
                <w:spacing w:val="-4"/>
                <w:sz w:val="18"/>
              </w:rPr>
              <w:t>BTIS</w:t>
            </w:r>
          </w:p>
        </w:tc>
        <w:tc>
          <w:tcPr>
            <w:tcW w:w="1259" w:type="dxa"/>
          </w:tcPr>
          <w:p>
            <w:pPr>
              <w:pStyle w:val="TableParagraph"/>
              <w:spacing w:before="99"/>
              <w:rPr>
                <w:b/>
                <w:sz w:val="18"/>
              </w:rPr>
            </w:pPr>
          </w:p>
          <w:p>
            <w:pPr>
              <w:pStyle w:val="TableParagraph"/>
              <w:spacing w:line="242" w:lineRule="auto"/>
              <w:ind w:left="138" w:right="128"/>
              <w:jc w:val="both"/>
              <w:rPr>
                <w:sz w:val="18"/>
              </w:rPr>
            </w:pPr>
            <w:r>
              <w:rPr>
                <w:sz w:val="18"/>
              </w:rPr>
              <w:t>Secretaría</w:t>
            </w:r>
            <w:r>
              <w:rPr>
                <w:spacing w:val="-13"/>
                <w:sz w:val="18"/>
              </w:rPr>
              <w:t> </w:t>
            </w:r>
            <w:r>
              <w:rPr>
                <w:sz w:val="18"/>
              </w:rPr>
              <w:t>y Rectoría</w:t>
            </w:r>
            <w:r>
              <w:rPr>
                <w:spacing w:val="-13"/>
                <w:sz w:val="18"/>
              </w:rPr>
              <w:t> </w:t>
            </w:r>
            <w:r>
              <w:rPr>
                <w:sz w:val="18"/>
              </w:rPr>
              <w:t>del Sector </w:t>
            </w:r>
            <w:r>
              <w:rPr>
                <w:spacing w:val="-4"/>
                <w:sz w:val="18"/>
              </w:rPr>
              <w:t>BTIS</w:t>
            </w:r>
          </w:p>
        </w:tc>
        <w:tc>
          <w:tcPr>
            <w:tcW w:w="1235" w:type="dxa"/>
          </w:tcPr>
          <w:p>
            <w:pPr>
              <w:pStyle w:val="TableParagraph"/>
              <w:rPr>
                <w:rFonts w:ascii="Times New Roman"/>
                <w:sz w:val="18"/>
              </w:rPr>
            </w:pPr>
          </w:p>
        </w:tc>
        <w:tc>
          <w:tcPr>
            <w:tcW w:w="2358"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5"/>
              <w:rPr>
                <w:b/>
                <w:sz w:val="18"/>
              </w:rPr>
            </w:pPr>
          </w:p>
          <w:p>
            <w:pPr>
              <w:pStyle w:val="TableParagraph"/>
              <w:ind w:left="64" w:right="235"/>
              <w:rPr>
                <w:sz w:val="18"/>
              </w:rPr>
            </w:pPr>
            <w:r>
              <w:rPr>
                <w:sz w:val="18"/>
              </w:rPr>
              <w:t>Evento:</w:t>
            </w:r>
            <w:r>
              <w:rPr>
                <w:spacing w:val="-13"/>
                <w:sz w:val="18"/>
              </w:rPr>
              <w:t> </w:t>
            </w:r>
            <w:r>
              <w:rPr>
                <w:sz w:val="18"/>
              </w:rPr>
              <w:t>Desconocimiento de la oferta</w:t>
            </w:r>
            <w:r>
              <w:rPr>
                <w:spacing w:val="-1"/>
                <w:sz w:val="18"/>
              </w:rPr>
              <w:t> </w:t>
            </w:r>
            <w:r>
              <w:rPr>
                <w:sz w:val="18"/>
              </w:rPr>
              <w:t>programática del sector social </w:t>
            </w:r>
            <w:r>
              <w:rPr>
                <w:spacing w:val="-2"/>
                <w:sz w:val="18"/>
              </w:rPr>
              <w:t>costarricense.</w:t>
            </w:r>
          </w:p>
        </w:tc>
      </w:tr>
      <w:tr>
        <w:trPr>
          <w:trHeight w:val="1757" w:hRule="atLeast"/>
        </w:trPr>
        <w:tc>
          <w:tcPr>
            <w:tcW w:w="2574" w:type="dxa"/>
            <w:gridSpan w:val="2"/>
          </w:tcPr>
          <w:p>
            <w:pPr>
              <w:pStyle w:val="TableParagraph"/>
              <w:spacing w:before="151"/>
              <w:rPr>
                <w:b/>
                <w:sz w:val="18"/>
              </w:rPr>
            </w:pPr>
          </w:p>
          <w:p>
            <w:pPr>
              <w:pStyle w:val="TableParagraph"/>
              <w:spacing w:before="1"/>
              <w:ind w:left="72" w:right="82"/>
              <w:rPr>
                <w:sz w:val="18"/>
              </w:rPr>
            </w:pPr>
            <w:r>
              <w:rPr>
                <w:b/>
                <w:sz w:val="18"/>
              </w:rPr>
              <w:t>Actividad PAC 2.87.2: </w:t>
            </w:r>
            <w:r>
              <w:rPr>
                <w:sz w:val="18"/>
              </w:rPr>
              <w:t>Implementar plan de articulación y coordinación interinstitucional</w:t>
            </w:r>
            <w:r>
              <w:rPr>
                <w:spacing w:val="-12"/>
                <w:sz w:val="18"/>
              </w:rPr>
              <w:t> </w:t>
            </w:r>
            <w:r>
              <w:rPr>
                <w:sz w:val="18"/>
              </w:rPr>
              <w:t>a</w:t>
            </w:r>
            <w:r>
              <w:rPr>
                <w:spacing w:val="-10"/>
                <w:sz w:val="18"/>
              </w:rPr>
              <w:t> </w:t>
            </w:r>
            <w:r>
              <w:rPr>
                <w:sz w:val="18"/>
              </w:rPr>
              <w:t>través</w:t>
            </w:r>
            <w:r>
              <w:rPr>
                <w:spacing w:val="-10"/>
                <w:sz w:val="18"/>
              </w:rPr>
              <w:t> </w:t>
            </w:r>
            <w:r>
              <w:rPr>
                <w:sz w:val="18"/>
              </w:rPr>
              <w:t>de los CIR Sociales</w:t>
            </w:r>
          </w:p>
        </w:tc>
        <w:tc>
          <w:tcPr>
            <w:tcW w:w="1781" w:type="dxa"/>
          </w:tcPr>
          <w:p>
            <w:pPr>
              <w:pStyle w:val="TableParagraph"/>
              <w:rPr>
                <w:b/>
                <w:sz w:val="18"/>
              </w:rPr>
            </w:pPr>
          </w:p>
          <w:p>
            <w:pPr>
              <w:pStyle w:val="TableParagraph"/>
              <w:rPr>
                <w:b/>
                <w:sz w:val="18"/>
              </w:rPr>
            </w:pPr>
          </w:p>
          <w:p>
            <w:pPr>
              <w:pStyle w:val="TableParagraph"/>
              <w:spacing w:before="156"/>
              <w:rPr>
                <w:b/>
                <w:sz w:val="18"/>
              </w:rPr>
            </w:pPr>
          </w:p>
          <w:p>
            <w:pPr>
              <w:pStyle w:val="TableParagraph"/>
              <w:ind w:left="11" w:right="2"/>
              <w:jc w:val="center"/>
              <w:rPr>
                <w:sz w:val="18"/>
              </w:rPr>
            </w:pPr>
            <w:r>
              <w:rPr>
                <w:spacing w:val="-10"/>
                <w:sz w:val="18"/>
              </w:rPr>
              <w:t>0</w:t>
            </w:r>
          </w:p>
        </w:tc>
        <w:tc>
          <w:tcPr>
            <w:tcW w:w="1599" w:type="dxa"/>
          </w:tcPr>
          <w:p>
            <w:pPr>
              <w:pStyle w:val="TableParagraph"/>
              <w:rPr>
                <w:b/>
                <w:sz w:val="18"/>
              </w:rPr>
            </w:pPr>
          </w:p>
          <w:p>
            <w:pPr>
              <w:pStyle w:val="TableParagraph"/>
              <w:rPr>
                <w:b/>
                <w:sz w:val="18"/>
              </w:rPr>
            </w:pPr>
          </w:p>
          <w:p>
            <w:pPr>
              <w:pStyle w:val="TableParagraph"/>
              <w:spacing w:before="156"/>
              <w:rPr>
                <w:b/>
                <w:sz w:val="18"/>
              </w:rPr>
            </w:pPr>
          </w:p>
          <w:p>
            <w:pPr>
              <w:pStyle w:val="TableParagraph"/>
              <w:ind w:left="116" w:right="109"/>
              <w:jc w:val="center"/>
              <w:rPr>
                <w:sz w:val="18"/>
              </w:rPr>
            </w:pPr>
            <w:r>
              <w:rPr>
                <w:spacing w:val="-4"/>
                <w:sz w:val="18"/>
              </w:rPr>
              <w:t>100%</w:t>
            </w:r>
          </w:p>
        </w:tc>
        <w:tc>
          <w:tcPr>
            <w:tcW w:w="1431" w:type="dxa"/>
          </w:tcPr>
          <w:p>
            <w:pPr>
              <w:pStyle w:val="TableParagraph"/>
              <w:spacing w:before="152"/>
              <w:ind w:left="71" w:right="55"/>
              <w:rPr>
                <w:sz w:val="18"/>
              </w:rPr>
            </w:pPr>
            <w:r>
              <w:rPr>
                <w:sz w:val="18"/>
              </w:rPr>
              <w:t>Porcentaje de </w:t>
            </w:r>
            <w:r>
              <w:rPr>
                <w:spacing w:val="-2"/>
                <w:sz w:val="18"/>
              </w:rPr>
              <w:t>planes regionales implementados </w:t>
            </w:r>
            <w:r>
              <w:rPr>
                <w:sz w:val="18"/>
              </w:rPr>
              <w:t>de conformidad con el decreto IMAS</w:t>
            </w:r>
            <w:r>
              <w:rPr>
                <w:spacing w:val="-13"/>
                <w:sz w:val="18"/>
              </w:rPr>
              <w:t> </w:t>
            </w:r>
            <w:r>
              <w:rPr>
                <w:sz w:val="18"/>
              </w:rPr>
              <w:t>IMPULSA</w:t>
            </w:r>
          </w:p>
        </w:tc>
        <w:tc>
          <w:tcPr>
            <w:tcW w:w="2017" w:type="dxa"/>
          </w:tcPr>
          <w:p>
            <w:pPr>
              <w:pStyle w:val="TableParagraph"/>
              <w:rPr>
                <w:b/>
                <w:sz w:val="18"/>
              </w:rPr>
            </w:pPr>
          </w:p>
          <w:p>
            <w:pPr>
              <w:pStyle w:val="TableParagraph"/>
              <w:rPr>
                <w:b/>
                <w:sz w:val="18"/>
              </w:rPr>
            </w:pPr>
          </w:p>
          <w:p>
            <w:pPr>
              <w:pStyle w:val="TableParagraph"/>
              <w:spacing w:before="156"/>
              <w:rPr>
                <w:b/>
                <w:sz w:val="18"/>
              </w:rPr>
            </w:pPr>
          </w:p>
          <w:p>
            <w:pPr>
              <w:pStyle w:val="TableParagraph"/>
              <w:ind w:left="71"/>
              <w:rPr>
                <w:sz w:val="18"/>
              </w:rPr>
            </w:pPr>
            <w:r>
              <w:rPr>
                <w:sz w:val="18"/>
              </w:rPr>
              <w:t>Documentos</w:t>
            </w:r>
            <w:r>
              <w:rPr>
                <w:spacing w:val="-5"/>
                <w:sz w:val="18"/>
              </w:rPr>
              <w:t> </w:t>
            </w:r>
            <w:r>
              <w:rPr>
                <w:spacing w:val="-2"/>
                <w:sz w:val="18"/>
              </w:rPr>
              <w:t>Planes</w:t>
            </w:r>
          </w:p>
        </w:tc>
        <w:tc>
          <w:tcPr>
            <w:tcW w:w="1259" w:type="dxa"/>
          </w:tcPr>
          <w:p>
            <w:pPr>
              <w:pStyle w:val="TableParagraph"/>
              <w:rPr>
                <w:b/>
                <w:sz w:val="18"/>
              </w:rPr>
            </w:pPr>
          </w:p>
          <w:p>
            <w:pPr>
              <w:pStyle w:val="TableParagraph"/>
              <w:spacing w:before="156"/>
              <w:rPr>
                <w:b/>
                <w:sz w:val="18"/>
              </w:rPr>
            </w:pPr>
          </w:p>
          <w:p>
            <w:pPr>
              <w:pStyle w:val="TableParagraph"/>
              <w:ind w:left="138" w:right="128"/>
              <w:jc w:val="both"/>
              <w:rPr>
                <w:sz w:val="18"/>
              </w:rPr>
            </w:pPr>
            <w:r>
              <w:rPr>
                <w:sz w:val="18"/>
              </w:rPr>
              <w:t>Secretaría</w:t>
            </w:r>
            <w:r>
              <w:rPr>
                <w:spacing w:val="-13"/>
                <w:sz w:val="18"/>
              </w:rPr>
              <w:t> </w:t>
            </w:r>
            <w:r>
              <w:rPr>
                <w:sz w:val="18"/>
              </w:rPr>
              <w:t>y Rectoría</w:t>
            </w:r>
            <w:r>
              <w:rPr>
                <w:spacing w:val="-13"/>
                <w:sz w:val="18"/>
              </w:rPr>
              <w:t> </w:t>
            </w:r>
            <w:r>
              <w:rPr>
                <w:sz w:val="18"/>
              </w:rPr>
              <w:t>del Sector </w:t>
            </w:r>
            <w:r>
              <w:rPr>
                <w:spacing w:val="-4"/>
                <w:sz w:val="18"/>
              </w:rPr>
              <w:t>BTIS</w:t>
            </w:r>
          </w:p>
        </w:tc>
        <w:tc>
          <w:tcPr>
            <w:tcW w:w="1235" w:type="dxa"/>
          </w:tcPr>
          <w:p>
            <w:pPr>
              <w:pStyle w:val="TableParagraph"/>
              <w:rPr>
                <w:rFonts w:ascii="Times New Roman"/>
                <w:sz w:val="18"/>
              </w:rPr>
            </w:pPr>
          </w:p>
        </w:tc>
        <w:tc>
          <w:tcPr>
            <w:tcW w:w="2358" w:type="dxa"/>
            <w:vMerge/>
            <w:tcBorders>
              <w:top w:val="nil"/>
            </w:tcBorders>
          </w:tcPr>
          <w:p>
            <w:pPr>
              <w:rPr>
                <w:sz w:val="2"/>
                <w:szCs w:val="2"/>
              </w:rPr>
            </w:pPr>
          </w:p>
        </w:tc>
      </w:tr>
      <w:tr>
        <w:trPr>
          <w:trHeight w:val="1036" w:hRule="atLeast"/>
        </w:trPr>
        <w:tc>
          <w:tcPr>
            <w:tcW w:w="2574" w:type="dxa"/>
            <w:gridSpan w:val="2"/>
          </w:tcPr>
          <w:p>
            <w:pPr>
              <w:pStyle w:val="TableParagraph"/>
              <w:ind w:left="72" w:right="82"/>
              <w:rPr>
                <w:sz w:val="18"/>
              </w:rPr>
            </w:pPr>
            <w:r>
              <w:rPr>
                <w:b/>
                <w:sz w:val="18"/>
              </w:rPr>
              <w:t>Actividad PAC 2.87.3: </w:t>
            </w:r>
            <w:r>
              <w:rPr>
                <w:sz w:val="18"/>
              </w:rPr>
              <w:t>Realizar sesiones de seguimiento del plan de articulación</w:t>
            </w:r>
            <w:r>
              <w:rPr>
                <w:spacing w:val="-9"/>
                <w:sz w:val="18"/>
              </w:rPr>
              <w:t> </w:t>
            </w:r>
            <w:r>
              <w:rPr>
                <w:sz w:val="18"/>
              </w:rPr>
              <w:t>en</w:t>
            </w:r>
            <w:r>
              <w:rPr>
                <w:spacing w:val="-9"/>
                <w:sz w:val="18"/>
              </w:rPr>
              <w:t> </w:t>
            </w:r>
            <w:r>
              <w:rPr>
                <w:sz w:val="18"/>
              </w:rPr>
              <w:t>el</w:t>
            </w:r>
            <w:r>
              <w:rPr>
                <w:spacing w:val="-10"/>
                <w:sz w:val="18"/>
              </w:rPr>
              <w:t> </w:t>
            </w:r>
            <w:r>
              <w:rPr>
                <w:sz w:val="18"/>
              </w:rPr>
              <w:t>marco</w:t>
            </w:r>
            <w:r>
              <w:rPr>
                <w:spacing w:val="-9"/>
                <w:sz w:val="18"/>
              </w:rPr>
              <w:t> </w:t>
            </w:r>
            <w:r>
              <w:rPr>
                <w:sz w:val="18"/>
              </w:rPr>
              <w:t>del</w:t>
            </w:r>
          </w:p>
          <w:p>
            <w:pPr>
              <w:pStyle w:val="TableParagraph"/>
              <w:spacing w:line="187" w:lineRule="exact" w:before="1"/>
              <w:ind w:left="72"/>
              <w:rPr>
                <w:sz w:val="18"/>
              </w:rPr>
            </w:pPr>
            <w:r>
              <w:rPr>
                <w:sz w:val="18"/>
              </w:rPr>
              <w:t>Consejo</w:t>
            </w:r>
            <w:r>
              <w:rPr>
                <w:spacing w:val="-7"/>
                <w:sz w:val="18"/>
              </w:rPr>
              <w:t> </w:t>
            </w:r>
            <w:r>
              <w:rPr>
                <w:sz w:val="18"/>
              </w:rPr>
              <w:t>Sectorial</w:t>
            </w:r>
            <w:r>
              <w:rPr>
                <w:spacing w:val="-4"/>
                <w:sz w:val="18"/>
              </w:rPr>
              <w:t> SBTIS</w:t>
            </w:r>
          </w:p>
        </w:tc>
        <w:tc>
          <w:tcPr>
            <w:tcW w:w="1781" w:type="dxa"/>
          </w:tcPr>
          <w:p>
            <w:pPr>
              <w:pStyle w:val="TableParagraph"/>
              <w:spacing w:before="204"/>
              <w:rPr>
                <w:b/>
                <w:sz w:val="18"/>
              </w:rPr>
            </w:pPr>
          </w:p>
          <w:p>
            <w:pPr>
              <w:pStyle w:val="TableParagraph"/>
              <w:ind w:left="11" w:right="2"/>
              <w:jc w:val="center"/>
              <w:rPr>
                <w:sz w:val="18"/>
              </w:rPr>
            </w:pPr>
            <w:r>
              <w:rPr>
                <w:spacing w:val="-10"/>
                <w:sz w:val="18"/>
              </w:rPr>
              <w:t>3</w:t>
            </w:r>
          </w:p>
        </w:tc>
        <w:tc>
          <w:tcPr>
            <w:tcW w:w="1599" w:type="dxa"/>
          </w:tcPr>
          <w:p>
            <w:pPr>
              <w:pStyle w:val="TableParagraph"/>
              <w:spacing w:before="204"/>
              <w:rPr>
                <w:b/>
                <w:sz w:val="18"/>
              </w:rPr>
            </w:pPr>
          </w:p>
          <w:p>
            <w:pPr>
              <w:pStyle w:val="TableParagraph"/>
              <w:ind w:left="115" w:right="114"/>
              <w:jc w:val="center"/>
              <w:rPr>
                <w:sz w:val="18"/>
              </w:rPr>
            </w:pPr>
            <w:r>
              <w:rPr>
                <w:spacing w:val="-10"/>
                <w:sz w:val="18"/>
              </w:rPr>
              <w:t>3</w:t>
            </w:r>
          </w:p>
        </w:tc>
        <w:tc>
          <w:tcPr>
            <w:tcW w:w="1431" w:type="dxa"/>
          </w:tcPr>
          <w:p>
            <w:pPr>
              <w:pStyle w:val="TableParagraph"/>
              <w:spacing w:before="104"/>
              <w:ind w:left="48" w:right="37"/>
              <w:jc w:val="center"/>
              <w:rPr>
                <w:sz w:val="18"/>
              </w:rPr>
            </w:pPr>
            <w:r>
              <w:rPr>
                <w:sz w:val="18"/>
              </w:rPr>
              <w:t>Número</w:t>
            </w:r>
            <w:r>
              <w:rPr>
                <w:spacing w:val="-13"/>
                <w:sz w:val="18"/>
              </w:rPr>
              <w:t> </w:t>
            </w:r>
            <w:r>
              <w:rPr>
                <w:sz w:val="18"/>
              </w:rPr>
              <w:t>de </w:t>
            </w:r>
            <w:r>
              <w:rPr>
                <w:spacing w:val="-2"/>
                <w:sz w:val="18"/>
              </w:rPr>
              <w:t>sesiones sectoriales (SBTIS)</w:t>
            </w:r>
          </w:p>
        </w:tc>
        <w:tc>
          <w:tcPr>
            <w:tcW w:w="2017" w:type="dxa"/>
          </w:tcPr>
          <w:p>
            <w:pPr>
              <w:pStyle w:val="TableParagraph"/>
              <w:spacing w:before="103"/>
              <w:rPr>
                <w:b/>
                <w:sz w:val="18"/>
              </w:rPr>
            </w:pPr>
          </w:p>
          <w:p>
            <w:pPr>
              <w:pStyle w:val="TableParagraph"/>
              <w:spacing w:before="1"/>
              <w:ind w:left="71"/>
              <w:rPr>
                <w:sz w:val="18"/>
              </w:rPr>
            </w:pPr>
            <w:r>
              <w:rPr>
                <w:sz w:val="18"/>
              </w:rPr>
              <w:t>Agendas</w:t>
            </w:r>
            <w:r>
              <w:rPr>
                <w:spacing w:val="-9"/>
                <w:sz w:val="18"/>
              </w:rPr>
              <w:t> </w:t>
            </w:r>
            <w:r>
              <w:rPr>
                <w:sz w:val="18"/>
              </w:rPr>
              <w:t>y</w:t>
            </w:r>
            <w:r>
              <w:rPr>
                <w:spacing w:val="-9"/>
                <w:sz w:val="18"/>
              </w:rPr>
              <w:t> </w:t>
            </w:r>
            <w:r>
              <w:rPr>
                <w:sz w:val="18"/>
              </w:rPr>
              <w:t>actas</w:t>
            </w:r>
            <w:r>
              <w:rPr>
                <w:spacing w:val="-9"/>
                <w:sz w:val="18"/>
              </w:rPr>
              <w:t> </w:t>
            </w:r>
            <w:r>
              <w:rPr>
                <w:sz w:val="18"/>
              </w:rPr>
              <w:t>de</w:t>
            </w:r>
            <w:r>
              <w:rPr>
                <w:spacing w:val="-5"/>
                <w:sz w:val="18"/>
              </w:rPr>
              <w:t> </w:t>
            </w:r>
            <w:r>
              <w:rPr>
                <w:sz w:val="18"/>
              </w:rPr>
              <w:t>las sesiones del SBTIS</w:t>
            </w:r>
          </w:p>
        </w:tc>
        <w:tc>
          <w:tcPr>
            <w:tcW w:w="1259" w:type="dxa"/>
          </w:tcPr>
          <w:p>
            <w:pPr>
              <w:pStyle w:val="TableParagraph"/>
              <w:spacing w:line="242" w:lineRule="auto" w:before="205"/>
              <w:ind w:left="66" w:right="204"/>
              <w:jc w:val="both"/>
              <w:rPr>
                <w:sz w:val="18"/>
              </w:rPr>
            </w:pPr>
            <w:r>
              <w:rPr>
                <w:sz w:val="18"/>
              </w:rPr>
              <w:t>Secretaría</w:t>
            </w:r>
            <w:r>
              <w:rPr>
                <w:spacing w:val="-13"/>
                <w:sz w:val="18"/>
              </w:rPr>
              <w:t> </w:t>
            </w:r>
            <w:r>
              <w:rPr>
                <w:sz w:val="18"/>
              </w:rPr>
              <w:t>y Rectoría</w:t>
            </w:r>
            <w:r>
              <w:rPr>
                <w:spacing w:val="-13"/>
                <w:sz w:val="18"/>
              </w:rPr>
              <w:t> </w:t>
            </w:r>
            <w:r>
              <w:rPr>
                <w:sz w:val="18"/>
              </w:rPr>
              <w:t>del Sector </w:t>
            </w:r>
            <w:r>
              <w:rPr>
                <w:spacing w:val="-4"/>
                <w:sz w:val="18"/>
              </w:rPr>
              <w:t>BTIS</w:t>
            </w:r>
          </w:p>
        </w:tc>
        <w:tc>
          <w:tcPr>
            <w:tcW w:w="1235" w:type="dxa"/>
          </w:tcPr>
          <w:p>
            <w:pPr>
              <w:pStyle w:val="TableParagraph"/>
              <w:rPr>
                <w:rFonts w:ascii="Times New Roman"/>
                <w:sz w:val="18"/>
              </w:rPr>
            </w:pPr>
          </w:p>
        </w:tc>
        <w:tc>
          <w:tcPr>
            <w:tcW w:w="2358" w:type="dxa"/>
            <w:vMerge/>
            <w:tcBorders>
              <w:top w:val="nil"/>
            </w:tcBorders>
          </w:tcPr>
          <w:p>
            <w:pPr>
              <w:rPr>
                <w:sz w:val="2"/>
                <w:szCs w:val="2"/>
              </w:rPr>
            </w:pPr>
          </w:p>
        </w:tc>
      </w:tr>
      <w:tr>
        <w:trPr>
          <w:trHeight w:val="1709" w:hRule="atLeast"/>
        </w:trPr>
        <w:tc>
          <w:tcPr>
            <w:tcW w:w="2574" w:type="dxa"/>
            <w:gridSpan w:val="2"/>
          </w:tcPr>
          <w:p>
            <w:pPr>
              <w:pStyle w:val="TableParagraph"/>
              <w:spacing w:before="27"/>
              <w:rPr>
                <w:b/>
                <w:sz w:val="18"/>
              </w:rPr>
            </w:pPr>
          </w:p>
          <w:p>
            <w:pPr>
              <w:pStyle w:val="TableParagraph"/>
              <w:ind w:left="72" w:right="82"/>
              <w:rPr>
                <w:sz w:val="18"/>
              </w:rPr>
            </w:pPr>
            <w:r>
              <w:rPr>
                <w:b/>
                <w:sz w:val="18"/>
              </w:rPr>
              <w:t>Actividad PAC 2.87.4: </w:t>
            </w:r>
            <w:r>
              <w:rPr>
                <w:sz w:val="18"/>
              </w:rPr>
              <w:t>Sesiones</w:t>
            </w:r>
            <w:r>
              <w:rPr>
                <w:spacing w:val="-11"/>
                <w:sz w:val="18"/>
              </w:rPr>
              <w:t> </w:t>
            </w:r>
            <w:r>
              <w:rPr>
                <w:sz w:val="18"/>
              </w:rPr>
              <w:t>de</w:t>
            </w:r>
            <w:r>
              <w:rPr>
                <w:spacing w:val="-11"/>
                <w:sz w:val="18"/>
              </w:rPr>
              <w:t> </w:t>
            </w:r>
            <w:r>
              <w:rPr>
                <w:sz w:val="18"/>
              </w:rPr>
              <w:t>seguimiento</w:t>
            </w:r>
            <w:r>
              <w:rPr>
                <w:spacing w:val="-13"/>
                <w:sz w:val="18"/>
              </w:rPr>
              <w:t> </w:t>
            </w:r>
            <w:r>
              <w:rPr>
                <w:sz w:val="18"/>
              </w:rPr>
              <w:t>del Plan de Articulación Interinstitucional en cada región</w:t>
            </w:r>
            <w:r>
              <w:rPr>
                <w:spacing w:val="-8"/>
                <w:sz w:val="18"/>
              </w:rPr>
              <w:t> </w:t>
            </w:r>
            <w:r>
              <w:rPr>
                <w:sz w:val="18"/>
              </w:rPr>
              <w:t>de</w:t>
            </w:r>
            <w:r>
              <w:rPr>
                <w:spacing w:val="-8"/>
                <w:sz w:val="18"/>
              </w:rPr>
              <w:t> </w:t>
            </w:r>
            <w:r>
              <w:rPr>
                <w:sz w:val="18"/>
              </w:rPr>
              <w:t>trabajo</w:t>
            </w:r>
            <w:r>
              <w:rPr>
                <w:spacing w:val="-4"/>
                <w:sz w:val="18"/>
              </w:rPr>
              <w:t> </w:t>
            </w:r>
            <w:r>
              <w:rPr>
                <w:sz w:val="18"/>
              </w:rPr>
              <w:t>de</w:t>
            </w:r>
            <w:r>
              <w:rPr>
                <w:spacing w:val="-8"/>
                <w:sz w:val="18"/>
              </w:rPr>
              <w:t> </w:t>
            </w:r>
            <w:r>
              <w:rPr>
                <w:sz w:val="18"/>
              </w:rPr>
              <w:t>los</w:t>
            </w:r>
            <w:r>
              <w:rPr>
                <w:spacing w:val="-8"/>
                <w:sz w:val="18"/>
              </w:rPr>
              <w:t> </w:t>
            </w:r>
            <w:r>
              <w:rPr>
                <w:sz w:val="18"/>
              </w:rPr>
              <w:t>CIR-</w:t>
            </w:r>
            <w:r>
              <w:rPr>
                <w:spacing w:val="-2"/>
                <w:sz w:val="18"/>
              </w:rPr>
              <w:t>Sociales</w:t>
            </w:r>
          </w:p>
        </w:tc>
        <w:tc>
          <w:tcPr>
            <w:tcW w:w="1781" w:type="dxa"/>
          </w:tcPr>
          <w:p>
            <w:pPr>
              <w:pStyle w:val="TableParagraph"/>
              <w:rPr>
                <w:b/>
                <w:sz w:val="18"/>
              </w:rPr>
            </w:pPr>
          </w:p>
          <w:p>
            <w:pPr>
              <w:pStyle w:val="TableParagraph"/>
              <w:rPr>
                <w:b/>
                <w:sz w:val="18"/>
              </w:rPr>
            </w:pPr>
          </w:p>
          <w:p>
            <w:pPr>
              <w:pStyle w:val="TableParagraph"/>
              <w:spacing w:before="127"/>
              <w:rPr>
                <w:b/>
                <w:sz w:val="18"/>
              </w:rPr>
            </w:pPr>
          </w:p>
          <w:p>
            <w:pPr>
              <w:pStyle w:val="TableParagraph"/>
              <w:ind w:left="11" w:right="2"/>
              <w:jc w:val="center"/>
              <w:rPr>
                <w:sz w:val="18"/>
              </w:rPr>
            </w:pPr>
            <w:r>
              <w:rPr>
                <w:spacing w:val="-10"/>
                <w:sz w:val="18"/>
              </w:rPr>
              <w:t>0</w:t>
            </w:r>
          </w:p>
        </w:tc>
        <w:tc>
          <w:tcPr>
            <w:tcW w:w="1599" w:type="dxa"/>
          </w:tcPr>
          <w:p>
            <w:pPr>
              <w:pStyle w:val="TableParagraph"/>
              <w:spacing w:before="128"/>
              <w:rPr>
                <w:b/>
                <w:sz w:val="18"/>
              </w:rPr>
            </w:pPr>
          </w:p>
          <w:p>
            <w:pPr>
              <w:pStyle w:val="TableParagraph"/>
              <w:ind w:left="86" w:right="74" w:hanging="1"/>
              <w:jc w:val="center"/>
              <w:rPr>
                <w:sz w:val="18"/>
              </w:rPr>
            </w:pPr>
            <w:r>
              <w:rPr>
                <w:sz w:val="18"/>
              </w:rPr>
              <w:t>18</w:t>
            </w:r>
            <w:r>
              <w:rPr>
                <w:spacing w:val="-6"/>
                <w:sz w:val="18"/>
              </w:rPr>
              <w:t> </w:t>
            </w:r>
            <w:r>
              <w:rPr>
                <w:sz w:val="18"/>
              </w:rPr>
              <w:t>sesiones,</w:t>
            </w:r>
            <w:r>
              <w:rPr>
                <w:spacing w:val="-8"/>
                <w:sz w:val="18"/>
              </w:rPr>
              <w:t> </w:t>
            </w:r>
            <w:r>
              <w:rPr>
                <w:sz w:val="18"/>
              </w:rPr>
              <w:t>2</w:t>
            </w:r>
            <w:r>
              <w:rPr>
                <w:spacing w:val="-9"/>
                <w:sz w:val="18"/>
              </w:rPr>
              <w:t> </w:t>
            </w:r>
            <w:r>
              <w:rPr>
                <w:sz w:val="18"/>
              </w:rPr>
              <w:t>en cada</w:t>
            </w:r>
            <w:r>
              <w:rPr>
                <w:spacing w:val="-8"/>
                <w:sz w:val="18"/>
              </w:rPr>
              <w:t> </w:t>
            </w:r>
            <w:r>
              <w:rPr>
                <w:sz w:val="18"/>
              </w:rPr>
              <w:t>una</w:t>
            </w:r>
            <w:r>
              <w:rPr>
                <w:spacing w:val="-8"/>
                <w:sz w:val="18"/>
              </w:rPr>
              <w:t> </w:t>
            </w:r>
            <w:r>
              <w:rPr>
                <w:sz w:val="18"/>
              </w:rPr>
              <w:t>de</w:t>
            </w:r>
            <w:r>
              <w:rPr>
                <w:spacing w:val="-8"/>
                <w:sz w:val="18"/>
              </w:rPr>
              <w:t> </w:t>
            </w:r>
            <w:r>
              <w:rPr>
                <w:sz w:val="18"/>
              </w:rPr>
              <w:t>las</w:t>
            </w:r>
            <w:r>
              <w:rPr>
                <w:spacing w:val="-11"/>
                <w:sz w:val="18"/>
              </w:rPr>
              <w:t> </w:t>
            </w:r>
            <w:r>
              <w:rPr>
                <w:sz w:val="18"/>
              </w:rPr>
              <w:t>9 Áreas</w:t>
            </w:r>
            <w:r>
              <w:rPr>
                <w:spacing w:val="-13"/>
                <w:sz w:val="18"/>
              </w:rPr>
              <w:t> </w:t>
            </w:r>
            <w:r>
              <w:rPr>
                <w:sz w:val="18"/>
              </w:rPr>
              <w:t>Regionales de Desarrollo Social del IMAS</w:t>
            </w:r>
          </w:p>
        </w:tc>
        <w:tc>
          <w:tcPr>
            <w:tcW w:w="1431" w:type="dxa"/>
          </w:tcPr>
          <w:p>
            <w:pPr>
              <w:pStyle w:val="TableParagraph"/>
              <w:spacing w:before="129"/>
              <w:ind w:left="148" w:right="134" w:firstLine="2"/>
              <w:jc w:val="center"/>
              <w:rPr>
                <w:sz w:val="18"/>
              </w:rPr>
            </w:pPr>
            <w:r>
              <w:rPr>
                <w:sz w:val="18"/>
              </w:rPr>
              <w:t>Cantidad de </w:t>
            </w:r>
            <w:r>
              <w:rPr>
                <w:spacing w:val="-2"/>
                <w:sz w:val="18"/>
              </w:rPr>
              <w:t>sesiones </w:t>
            </w:r>
            <w:r>
              <w:rPr>
                <w:sz w:val="18"/>
              </w:rPr>
              <w:t>realizadas</w:t>
            </w:r>
            <w:r>
              <w:rPr>
                <w:spacing w:val="-13"/>
                <w:sz w:val="18"/>
              </w:rPr>
              <w:t> </w:t>
            </w:r>
            <w:r>
              <w:rPr>
                <w:sz w:val="18"/>
              </w:rPr>
              <w:t>por cada Área Regional de </w:t>
            </w:r>
            <w:r>
              <w:rPr>
                <w:spacing w:val="-2"/>
                <w:sz w:val="18"/>
              </w:rPr>
              <w:t>Desarrollo Social</w:t>
            </w:r>
          </w:p>
        </w:tc>
        <w:tc>
          <w:tcPr>
            <w:tcW w:w="2017" w:type="dxa"/>
          </w:tcPr>
          <w:p>
            <w:pPr>
              <w:pStyle w:val="TableParagraph"/>
              <w:rPr>
                <w:b/>
                <w:sz w:val="18"/>
              </w:rPr>
            </w:pPr>
          </w:p>
          <w:p>
            <w:pPr>
              <w:pStyle w:val="TableParagraph"/>
              <w:rPr>
                <w:b/>
                <w:sz w:val="18"/>
              </w:rPr>
            </w:pPr>
          </w:p>
          <w:p>
            <w:pPr>
              <w:pStyle w:val="TableParagraph"/>
              <w:spacing w:before="127"/>
              <w:rPr>
                <w:b/>
                <w:sz w:val="18"/>
              </w:rPr>
            </w:pPr>
          </w:p>
          <w:p>
            <w:pPr>
              <w:pStyle w:val="TableParagraph"/>
              <w:ind w:left="71"/>
              <w:rPr>
                <w:sz w:val="18"/>
              </w:rPr>
            </w:pPr>
            <w:r>
              <w:rPr>
                <w:sz w:val="18"/>
              </w:rPr>
              <w:t>Agendas</w:t>
            </w:r>
            <w:r>
              <w:rPr>
                <w:spacing w:val="-3"/>
                <w:sz w:val="18"/>
              </w:rPr>
              <w:t> </w:t>
            </w:r>
            <w:r>
              <w:rPr>
                <w:sz w:val="18"/>
              </w:rPr>
              <w:t>y</w:t>
            </w:r>
            <w:r>
              <w:rPr>
                <w:spacing w:val="-2"/>
                <w:sz w:val="18"/>
              </w:rPr>
              <w:t> actas</w:t>
            </w:r>
          </w:p>
        </w:tc>
        <w:tc>
          <w:tcPr>
            <w:tcW w:w="1259" w:type="dxa"/>
          </w:tcPr>
          <w:p>
            <w:pPr>
              <w:pStyle w:val="TableParagraph"/>
              <w:spacing w:before="128"/>
              <w:rPr>
                <w:b/>
                <w:sz w:val="18"/>
              </w:rPr>
            </w:pPr>
          </w:p>
          <w:p>
            <w:pPr>
              <w:pStyle w:val="TableParagraph"/>
              <w:ind w:left="66" w:right="105"/>
              <w:rPr>
                <w:sz w:val="18"/>
              </w:rPr>
            </w:pPr>
            <w:r>
              <w:rPr>
                <w:spacing w:val="-2"/>
                <w:sz w:val="18"/>
              </w:rPr>
              <w:t>Áreas Regionales </w:t>
            </w:r>
            <w:r>
              <w:rPr>
                <w:sz w:val="18"/>
              </w:rPr>
              <w:t>de</w:t>
            </w:r>
            <w:r>
              <w:rPr>
                <w:spacing w:val="-13"/>
                <w:sz w:val="18"/>
              </w:rPr>
              <w:t> </w:t>
            </w:r>
            <w:r>
              <w:rPr>
                <w:sz w:val="18"/>
              </w:rPr>
              <w:t>Desarrollo Social del </w:t>
            </w:r>
            <w:r>
              <w:rPr>
                <w:spacing w:val="-4"/>
                <w:sz w:val="18"/>
              </w:rPr>
              <w:t>IMAS</w:t>
            </w:r>
          </w:p>
        </w:tc>
        <w:tc>
          <w:tcPr>
            <w:tcW w:w="1235" w:type="dxa"/>
          </w:tcPr>
          <w:p>
            <w:pPr>
              <w:pStyle w:val="TableParagraph"/>
              <w:rPr>
                <w:rFonts w:ascii="Times New Roman"/>
                <w:sz w:val="18"/>
              </w:rPr>
            </w:pPr>
          </w:p>
        </w:tc>
        <w:tc>
          <w:tcPr>
            <w:tcW w:w="2358" w:type="dxa"/>
            <w:vMerge/>
            <w:tcBorders>
              <w:top w:val="nil"/>
            </w:tcBorders>
          </w:tcPr>
          <w:p>
            <w:pPr>
              <w:rPr>
                <w:sz w:val="2"/>
                <w:szCs w:val="2"/>
              </w:rPr>
            </w:pPr>
          </w:p>
        </w:tc>
      </w:tr>
      <w:tr>
        <w:trPr>
          <w:trHeight w:val="456" w:hRule="atLeast"/>
        </w:trPr>
        <w:tc>
          <w:tcPr>
            <w:tcW w:w="14254" w:type="dxa"/>
            <w:gridSpan w:val="9"/>
            <w:tcBorders>
              <w:bottom w:val="nil"/>
            </w:tcBorders>
            <w:shd w:val="clear" w:color="auto" w:fill="EFF8F9"/>
          </w:tcPr>
          <w:p>
            <w:pPr>
              <w:pStyle w:val="TableParagraph"/>
              <w:spacing w:before="18"/>
              <w:ind w:left="72" w:right="72"/>
              <w:rPr>
                <w:b/>
                <w:sz w:val="18"/>
              </w:rPr>
            </w:pPr>
            <w:r>
              <w:rPr>
                <w:b/>
                <w:sz w:val="18"/>
              </w:rPr>
              <mc:AlternateContent>
                <mc:Choice Requires="wps">
                  <w:drawing>
                    <wp:anchor distT="0" distB="0" distL="0" distR="0" allowOverlap="1" layoutInCell="1" locked="0" behindDoc="1" simplePos="0" relativeHeight="459708416">
                      <wp:simplePos x="0" y="0"/>
                      <wp:positionH relativeFrom="column">
                        <wp:posOffset>957325</wp:posOffset>
                      </wp:positionH>
                      <wp:positionV relativeFrom="paragraph">
                        <wp:posOffset>310666</wp:posOffset>
                      </wp:positionV>
                      <wp:extent cx="8186420" cy="27940"/>
                      <wp:effectExtent l="0" t="0" r="0" b="0"/>
                      <wp:wrapNone/>
                      <wp:docPr id="127" name="Group 127"/>
                      <wp:cNvGraphicFramePr>
                        <a:graphicFrameLocks/>
                      </wp:cNvGraphicFramePr>
                      <a:graphic>
                        <a:graphicData uri="http://schemas.microsoft.com/office/word/2010/wordprocessingGroup">
                          <wpg:wgp>
                            <wpg:cNvPr id="127" name="Group 127"/>
                            <wpg:cNvGrpSpPr/>
                            <wpg:grpSpPr>
                              <a:xfrm>
                                <a:off x="0" y="0"/>
                                <a:ext cx="8186420" cy="27940"/>
                                <a:chExt cx="8186420" cy="27940"/>
                              </a:xfrm>
                            </wpg:grpSpPr>
                            <wps:wsp>
                              <wps:cNvPr id="128" name="Graphic 128"/>
                              <wps:cNvSpPr/>
                              <wps:spPr>
                                <a:xfrm>
                                  <a:off x="0" y="0"/>
                                  <a:ext cx="8186420" cy="27940"/>
                                </a:xfrm>
                                <a:custGeom>
                                  <a:avLst/>
                                  <a:gdLst/>
                                  <a:ahLst/>
                                  <a:cxnLst/>
                                  <a:rect l="l" t="t" r="r" b="b"/>
                                  <a:pathLst>
                                    <a:path w="8186420" h="27940">
                                      <a:moveTo>
                                        <a:pt x="8186293" y="0"/>
                                      </a:moveTo>
                                      <a:lnTo>
                                        <a:pt x="0" y="0"/>
                                      </a:lnTo>
                                      <a:lnTo>
                                        <a:pt x="0" y="27431"/>
                                      </a:lnTo>
                                      <a:lnTo>
                                        <a:pt x="8186293" y="27431"/>
                                      </a:lnTo>
                                      <a:lnTo>
                                        <a:pt x="8186293"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w:pict>
                    <v:group style="position:absolute;margin-left:75.379997pt;margin-top:24.461899pt;width:644.6pt;height:2.2pt;mso-position-horizontal-relative:column;mso-position-vertical-relative:paragraph;z-index:-43608064" id="docshapegroup105" coordorigin="1508,489" coordsize="12892,44">
                      <v:rect style="position:absolute;left:1507;top:489;width:12892;height:44" id="docshape106" filled="true" fillcolor="#808080" stroked="false">
                        <v:fill type="solid"/>
                      </v:rect>
                      <w10:wrap type="none"/>
                    </v:group>
                  </w:pict>
                </mc:Fallback>
              </mc:AlternateContent>
            </w:r>
            <w:r>
              <w:rPr>
                <w:b/>
                <w:sz w:val="18"/>
              </w:rPr>
              <w:t>Producto</w:t>
            </w:r>
            <w:r>
              <w:rPr>
                <w:b/>
                <w:spacing w:val="-4"/>
                <w:sz w:val="18"/>
              </w:rPr>
              <w:t> </w:t>
            </w:r>
            <w:r>
              <w:rPr>
                <w:b/>
                <w:sz w:val="18"/>
              </w:rPr>
              <w:t>PAC</w:t>
            </w:r>
            <w:r>
              <w:rPr>
                <w:b/>
                <w:spacing w:val="-5"/>
                <w:sz w:val="18"/>
              </w:rPr>
              <w:t> </w:t>
            </w:r>
            <w:r>
              <w:rPr>
                <w:b/>
                <w:sz w:val="18"/>
              </w:rPr>
              <w:t>2.88:</w:t>
            </w:r>
            <w:r>
              <w:rPr>
                <w:b/>
                <w:spacing w:val="-1"/>
                <w:sz w:val="18"/>
              </w:rPr>
              <w:t> </w:t>
            </w:r>
            <w:r>
              <w:rPr>
                <w:b/>
                <w:sz w:val="18"/>
              </w:rPr>
              <w:t>Sistema de Referencias costarricense SIREC</w:t>
            </w:r>
            <w:r>
              <w:rPr>
                <w:b/>
                <w:spacing w:val="-5"/>
                <w:sz w:val="18"/>
              </w:rPr>
              <w:t> </w:t>
            </w:r>
            <w:r>
              <w:rPr>
                <w:b/>
                <w:sz w:val="18"/>
              </w:rPr>
              <w:t>(referencias</w:t>
            </w:r>
            <w:r>
              <w:rPr>
                <w:b/>
                <w:spacing w:val="-3"/>
                <w:sz w:val="18"/>
              </w:rPr>
              <w:t> </w:t>
            </w:r>
            <w:r>
              <w:rPr>
                <w:b/>
                <w:sz w:val="18"/>
              </w:rPr>
              <w:t>y</w:t>
            </w:r>
            <w:r>
              <w:rPr>
                <w:b/>
                <w:spacing w:val="-3"/>
                <w:sz w:val="18"/>
              </w:rPr>
              <w:t> </w:t>
            </w:r>
            <w:r>
              <w:rPr>
                <w:b/>
                <w:sz w:val="18"/>
              </w:rPr>
              <w:t>contra</w:t>
            </w:r>
            <w:r>
              <w:rPr>
                <w:b/>
                <w:spacing w:val="-3"/>
                <w:sz w:val="18"/>
              </w:rPr>
              <w:t> </w:t>
            </w:r>
            <w:r>
              <w:rPr>
                <w:b/>
                <w:sz w:val="18"/>
              </w:rPr>
              <w:t>referencias)</w:t>
            </w:r>
            <w:r>
              <w:rPr>
                <w:b/>
                <w:spacing w:val="-1"/>
                <w:sz w:val="18"/>
              </w:rPr>
              <w:t> </w:t>
            </w:r>
            <w:r>
              <w:rPr>
                <w:b/>
                <w:sz w:val="18"/>
              </w:rPr>
              <w:t>integradas</w:t>
            </w:r>
            <w:r>
              <w:rPr>
                <w:b/>
                <w:spacing w:val="-3"/>
                <w:sz w:val="18"/>
              </w:rPr>
              <w:t> </w:t>
            </w:r>
            <w:r>
              <w:rPr>
                <w:b/>
                <w:sz w:val="18"/>
              </w:rPr>
              <w:t>al</w:t>
            </w:r>
            <w:r>
              <w:rPr>
                <w:b/>
                <w:spacing w:val="-5"/>
                <w:sz w:val="18"/>
              </w:rPr>
              <w:t> </w:t>
            </w:r>
            <w:r>
              <w:rPr>
                <w:b/>
                <w:sz w:val="18"/>
              </w:rPr>
              <w:t>SINIRUBE</w:t>
            </w:r>
            <w:r>
              <w:rPr>
                <w:b/>
                <w:spacing w:val="-4"/>
                <w:sz w:val="18"/>
              </w:rPr>
              <w:t> </w:t>
            </w:r>
            <w:r>
              <w:rPr>
                <w:b/>
                <w:sz w:val="18"/>
              </w:rPr>
              <w:t>operando.</w:t>
            </w:r>
            <w:r>
              <w:rPr>
                <w:b/>
                <w:spacing w:val="-1"/>
                <w:sz w:val="18"/>
              </w:rPr>
              <w:t> </w:t>
            </w:r>
            <w:r>
              <w:rPr>
                <w:b/>
                <w:sz w:val="18"/>
              </w:rPr>
              <w:t>(E4</w:t>
            </w:r>
            <w:r>
              <w:rPr>
                <w:b/>
                <w:spacing w:val="-3"/>
                <w:sz w:val="18"/>
              </w:rPr>
              <w:t> </w:t>
            </w:r>
            <w:r>
              <w:rPr>
                <w:b/>
                <w:sz w:val="18"/>
              </w:rPr>
              <w:t>AE2</w:t>
            </w:r>
            <w:r>
              <w:rPr>
                <w:b/>
                <w:spacing w:val="-3"/>
                <w:sz w:val="18"/>
              </w:rPr>
              <w:t> </w:t>
            </w:r>
            <w:r>
              <w:rPr>
                <w:b/>
                <w:sz w:val="18"/>
              </w:rPr>
              <w:t>R3)</w:t>
            </w:r>
            <w:r>
              <w:rPr>
                <w:b/>
                <w:spacing w:val="-1"/>
                <w:sz w:val="18"/>
              </w:rPr>
              <w:t> </w:t>
            </w:r>
            <w:r>
              <w:rPr>
                <w:b/>
                <w:sz w:val="18"/>
              </w:rPr>
              <w:t>10 INSTITUCIONES CON SISTEMA DE REFERENCIAS Y CONTRAREFERENCIAS</w:t>
            </w:r>
          </w:p>
        </w:tc>
      </w:tr>
      <w:tr>
        <w:trPr>
          <w:trHeight w:val="1383" w:hRule="atLeast"/>
        </w:trPr>
        <w:tc>
          <w:tcPr>
            <w:tcW w:w="1486" w:type="dxa"/>
            <w:tcBorders>
              <w:top w:val="thinThickMediumGap" w:sz="9" w:space="0" w:color="808080"/>
              <w:left w:val="nil"/>
              <w:bottom w:val="nil"/>
              <w:right w:val="single" w:sz="18" w:space="0" w:color="808080"/>
            </w:tcBorders>
          </w:tcPr>
          <w:p>
            <w:pPr>
              <w:pStyle w:val="TableParagraph"/>
              <w:spacing w:before="1"/>
              <w:ind w:left="106"/>
              <w:rPr>
                <w:b/>
                <w:sz w:val="24"/>
              </w:rPr>
            </w:pPr>
            <w:r>
              <w:rPr>
                <w:b/>
                <w:spacing w:val="-5"/>
                <w:sz w:val="24"/>
              </w:rPr>
              <w:t>262</w:t>
            </w:r>
          </w:p>
        </w:tc>
        <w:tc>
          <w:tcPr>
            <w:tcW w:w="12768" w:type="dxa"/>
            <w:gridSpan w:val="8"/>
            <w:tcBorders>
              <w:top w:val="single" w:sz="4" w:space="0" w:color="808080"/>
              <w:left w:val="single" w:sz="18" w:space="0" w:color="808080"/>
              <w:bottom w:val="nil"/>
              <w:right w:val="nil"/>
            </w:tcBorders>
          </w:tcPr>
          <w:p>
            <w:pPr>
              <w:pStyle w:val="TableParagraph"/>
              <w:spacing w:line="242" w:lineRule="auto" w:before="1"/>
              <w:ind w:left="95" w:right="8587"/>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80"/>
          <w:pgSz w:w="15840" w:h="12240" w:orient="landscape"/>
          <w:pgMar w:header="0" w:footer="0" w:top="700" w:bottom="2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4"/>
        <w:gridCol w:w="1781"/>
        <w:gridCol w:w="1599"/>
        <w:gridCol w:w="1431"/>
        <w:gridCol w:w="2017"/>
        <w:gridCol w:w="1259"/>
        <w:gridCol w:w="1230"/>
        <w:gridCol w:w="2362"/>
      </w:tblGrid>
      <w:tr>
        <w:trPr>
          <w:trHeight w:val="671" w:hRule="atLeast"/>
        </w:trPr>
        <w:tc>
          <w:tcPr>
            <w:tcW w:w="2574" w:type="dxa"/>
            <w:shd w:val="clear" w:color="auto" w:fill="F1F1F1"/>
          </w:tcPr>
          <w:p>
            <w:pPr>
              <w:pStyle w:val="TableParagraph"/>
              <w:spacing w:before="22"/>
              <w:rPr>
                <w:b/>
                <w:sz w:val="18"/>
              </w:rPr>
            </w:pPr>
          </w:p>
          <w:p>
            <w:pPr>
              <w:pStyle w:val="TableParagraph"/>
              <w:ind w:left="317"/>
              <w:rPr>
                <w:b/>
                <w:sz w:val="18"/>
              </w:rPr>
            </w:pPr>
            <w:r>
              <w:rPr>
                <w:b/>
                <w:sz w:val="18"/>
              </w:rPr>
              <w:t>Objetivos</w:t>
            </w:r>
            <w:r>
              <w:rPr>
                <w:b/>
                <w:spacing w:val="-5"/>
                <w:sz w:val="18"/>
              </w:rPr>
              <w:t> </w:t>
            </w:r>
            <w:r>
              <w:rPr>
                <w:b/>
                <w:sz w:val="18"/>
              </w:rPr>
              <w:t>/</w:t>
            </w:r>
            <w:r>
              <w:rPr>
                <w:b/>
                <w:spacing w:val="-2"/>
                <w:sz w:val="18"/>
              </w:rPr>
              <w:t> Resultados</w:t>
            </w:r>
          </w:p>
        </w:tc>
        <w:tc>
          <w:tcPr>
            <w:tcW w:w="1781" w:type="dxa"/>
            <w:shd w:val="clear" w:color="auto" w:fill="F1F1F1"/>
          </w:tcPr>
          <w:p>
            <w:pPr>
              <w:pStyle w:val="TableParagraph"/>
              <w:spacing w:before="22"/>
              <w:rPr>
                <w:b/>
                <w:sz w:val="18"/>
              </w:rPr>
            </w:pPr>
          </w:p>
          <w:p>
            <w:pPr>
              <w:pStyle w:val="TableParagraph"/>
              <w:ind w:left="11"/>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599" w:type="dxa"/>
            <w:shd w:val="clear" w:color="auto" w:fill="F1F1F1"/>
          </w:tcPr>
          <w:p>
            <w:pPr>
              <w:pStyle w:val="TableParagraph"/>
              <w:spacing w:before="23"/>
              <w:ind w:left="115" w:right="109"/>
              <w:jc w:val="center"/>
              <w:rPr>
                <w:b/>
                <w:sz w:val="18"/>
              </w:rPr>
            </w:pPr>
            <w:r>
              <w:rPr>
                <w:b/>
                <w:spacing w:val="-4"/>
                <w:sz w:val="18"/>
              </w:rPr>
              <w:t>Meta </w:t>
            </w:r>
            <w:r>
              <w:rPr>
                <w:b/>
                <w:spacing w:val="-2"/>
                <w:sz w:val="18"/>
              </w:rPr>
              <w:t>programada </w:t>
            </w:r>
            <w:r>
              <w:rPr>
                <w:b/>
                <w:spacing w:val="-4"/>
                <w:sz w:val="18"/>
              </w:rPr>
              <w:t>2026</w:t>
            </w:r>
          </w:p>
        </w:tc>
        <w:tc>
          <w:tcPr>
            <w:tcW w:w="1431" w:type="dxa"/>
            <w:shd w:val="clear" w:color="auto" w:fill="F1F1F1"/>
          </w:tcPr>
          <w:p>
            <w:pPr>
              <w:pStyle w:val="TableParagraph"/>
              <w:spacing w:before="22"/>
              <w:rPr>
                <w:b/>
                <w:sz w:val="18"/>
              </w:rPr>
            </w:pPr>
          </w:p>
          <w:p>
            <w:pPr>
              <w:pStyle w:val="TableParagraph"/>
              <w:ind w:left="311"/>
              <w:rPr>
                <w:b/>
                <w:sz w:val="18"/>
              </w:rPr>
            </w:pPr>
            <w:r>
              <w:rPr>
                <w:b/>
                <w:spacing w:val="-2"/>
                <w:sz w:val="18"/>
              </w:rPr>
              <w:t>Indicador</w:t>
            </w:r>
          </w:p>
        </w:tc>
        <w:tc>
          <w:tcPr>
            <w:tcW w:w="2017" w:type="dxa"/>
            <w:shd w:val="clear" w:color="auto" w:fill="F1F1F1"/>
          </w:tcPr>
          <w:p>
            <w:pPr>
              <w:pStyle w:val="TableParagraph"/>
              <w:spacing w:before="128"/>
              <w:ind w:left="508" w:right="121" w:firstLine="57"/>
              <w:rPr>
                <w:b/>
                <w:sz w:val="18"/>
              </w:rPr>
            </w:pPr>
            <w:r>
              <w:rPr>
                <w:b/>
                <w:sz w:val="18"/>
              </w:rPr>
              <w:t>Medios de </w:t>
            </w:r>
            <w:r>
              <w:rPr>
                <w:b/>
                <w:spacing w:val="-2"/>
                <w:sz w:val="18"/>
              </w:rPr>
              <w:t>verificación</w:t>
            </w:r>
          </w:p>
        </w:tc>
        <w:tc>
          <w:tcPr>
            <w:tcW w:w="1259" w:type="dxa"/>
            <w:shd w:val="clear" w:color="auto" w:fill="F1F1F1"/>
          </w:tcPr>
          <w:p>
            <w:pPr>
              <w:pStyle w:val="TableParagraph"/>
              <w:spacing w:before="22"/>
              <w:rPr>
                <w:b/>
                <w:sz w:val="18"/>
              </w:rPr>
            </w:pPr>
          </w:p>
          <w:p>
            <w:pPr>
              <w:pStyle w:val="TableParagraph"/>
              <w:ind w:left="66"/>
              <w:rPr>
                <w:b/>
                <w:sz w:val="18"/>
              </w:rPr>
            </w:pPr>
            <w:r>
              <w:rPr>
                <w:b/>
                <w:spacing w:val="-2"/>
                <w:sz w:val="18"/>
              </w:rPr>
              <w:t>Responsable</w:t>
            </w:r>
          </w:p>
        </w:tc>
        <w:tc>
          <w:tcPr>
            <w:tcW w:w="1230" w:type="dxa"/>
            <w:shd w:val="clear" w:color="auto" w:fill="F1F1F1"/>
          </w:tcPr>
          <w:p>
            <w:pPr>
              <w:pStyle w:val="TableParagraph"/>
              <w:spacing w:before="128"/>
              <w:ind w:left="218" w:right="52" w:hanging="149"/>
              <w:rPr>
                <w:b/>
                <w:sz w:val="18"/>
              </w:rPr>
            </w:pPr>
            <w:r>
              <w:rPr>
                <w:b/>
                <w:spacing w:val="-2"/>
                <w:sz w:val="18"/>
              </w:rPr>
              <w:t>Presupuesto asignado</w:t>
            </w:r>
          </w:p>
        </w:tc>
        <w:tc>
          <w:tcPr>
            <w:tcW w:w="2362" w:type="dxa"/>
            <w:shd w:val="clear" w:color="auto" w:fill="F1F1F1"/>
          </w:tcPr>
          <w:p>
            <w:pPr>
              <w:pStyle w:val="TableParagraph"/>
              <w:spacing w:before="128"/>
              <w:ind w:left="592" w:right="56" w:hanging="231"/>
              <w:rPr>
                <w:b/>
                <w:sz w:val="18"/>
              </w:rPr>
            </w:pPr>
            <w:r>
              <w:rPr>
                <w:b/>
                <w:sz w:val="18"/>
              </w:rPr>
              <w:t>Riesgo</w:t>
            </w:r>
            <w:r>
              <w:rPr>
                <w:b/>
                <w:spacing w:val="-15"/>
                <w:sz w:val="18"/>
              </w:rPr>
              <w:t> </w:t>
            </w:r>
            <w:r>
              <w:rPr>
                <w:b/>
                <w:sz w:val="18"/>
              </w:rPr>
              <w:t>asociado</w:t>
            </w:r>
            <w:r>
              <w:rPr>
                <w:b/>
                <w:spacing w:val="-12"/>
                <w:sz w:val="18"/>
              </w:rPr>
              <w:t> </w:t>
            </w:r>
            <w:r>
              <w:rPr>
                <w:b/>
                <w:sz w:val="18"/>
              </w:rPr>
              <w:t>al </w:t>
            </w:r>
            <w:r>
              <w:rPr>
                <w:b/>
                <w:spacing w:val="-2"/>
                <w:sz w:val="18"/>
              </w:rPr>
              <w:t>cumplimiento</w:t>
            </w:r>
          </w:p>
        </w:tc>
      </w:tr>
      <w:tr>
        <w:trPr>
          <w:trHeight w:val="945" w:hRule="atLeast"/>
        </w:trPr>
        <w:tc>
          <w:tcPr>
            <w:tcW w:w="2574" w:type="dxa"/>
          </w:tcPr>
          <w:p>
            <w:pPr>
              <w:pStyle w:val="TableParagraph"/>
              <w:spacing w:before="56"/>
              <w:ind w:left="72"/>
              <w:rPr>
                <w:sz w:val="18"/>
              </w:rPr>
            </w:pPr>
            <w:r>
              <w:rPr>
                <w:b/>
                <w:sz w:val="18"/>
              </w:rPr>
              <w:t>Actividad PAC 2.88.1: </w:t>
            </w:r>
            <w:r>
              <w:rPr>
                <w:sz w:val="18"/>
              </w:rPr>
              <w:t>Coordinar</w:t>
            </w:r>
            <w:r>
              <w:rPr>
                <w:spacing w:val="-11"/>
                <w:sz w:val="18"/>
              </w:rPr>
              <w:t> </w:t>
            </w:r>
            <w:r>
              <w:rPr>
                <w:sz w:val="18"/>
              </w:rPr>
              <w:t>sesiones</w:t>
            </w:r>
            <w:r>
              <w:rPr>
                <w:spacing w:val="-12"/>
                <w:sz w:val="18"/>
              </w:rPr>
              <w:t> </w:t>
            </w:r>
            <w:r>
              <w:rPr>
                <w:sz w:val="18"/>
              </w:rPr>
              <w:t>de</w:t>
            </w:r>
            <w:r>
              <w:rPr>
                <w:spacing w:val="-12"/>
                <w:sz w:val="18"/>
              </w:rPr>
              <w:t> </w:t>
            </w:r>
            <w:r>
              <w:rPr>
                <w:sz w:val="18"/>
              </w:rPr>
              <w:t>trabajo con las instituciones que utilizarán el sistema</w:t>
            </w:r>
          </w:p>
        </w:tc>
        <w:tc>
          <w:tcPr>
            <w:tcW w:w="1781" w:type="dxa"/>
          </w:tcPr>
          <w:p>
            <w:pPr>
              <w:pStyle w:val="TableParagraph"/>
              <w:spacing w:before="162"/>
              <w:rPr>
                <w:b/>
                <w:sz w:val="18"/>
              </w:rPr>
            </w:pPr>
          </w:p>
          <w:p>
            <w:pPr>
              <w:pStyle w:val="TableParagraph"/>
              <w:ind w:left="11" w:right="1"/>
              <w:jc w:val="center"/>
              <w:rPr>
                <w:sz w:val="18"/>
              </w:rPr>
            </w:pPr>
            <w:r>
              <w:rPr>
                <w:spacing w:val="-5"/>
                <w:sz w:val="18"/>
              </w:rPr>
              <w:t>N/A</w:t>
            </w:r>
          </w:p>
        </w:tc>
        <w:tc>
          <w:tcPr>
            <w:tcW w:w="1599" w:type="dxa"/>
          </w:tcPr>
          <w:p>
            <w:pPr>
              <w:pStyle w:val="TableParagraph"/>
              <w:spacing w:before="162"/>
              <w:rPr>
                <w:b/>
                <w:sz w:val="18"/>
              </w:rPr>
            </w:pPr>
          </w:p>
          <w:p>
            <w:pPr>
              <w:pStyle w:val="TableParagraph"/>
              <w:ind w:left="115" w:right="114"/>
              <w:jc w:val="center"/>
              <w:rPr>
                <w:sz w:val="18"/>
              </w:rPr>
            </w:pPr>
            <w:r>
              <w:rPr>
                <w:spacing w:val="-10"/>
                <w:sz w:val="18"/>
              </w:rPr>
              <w:t>2</w:t>
            </w:r>
          </w:p>
        </w:tc>
        <w:tc>
          <w:tcPr>
            <w:tcW w:w="1431" w:type="dxa"/>
          </w:tcPr>
          <w:p>
            <w:pPr>
              <w:pStyle w:val="TableParagraph"/>
              <w:spacing w:before="162"/>
              <w:ind w:left="81" w:right="60" w:hanging="4"/>
              <w:jc w:val="center"/>
              <w:rPr>
                <w:sz w:val="18"/>
              </w:rPr>
            </w:pPr>
            <w:r>
              <w:rPr>
                <w:sz w:val="18"/>
              </w:rPr>
              <w:t>Cantidad de sesiones con las</w:t>
            </w:r>
            <w:r>
              <w:rPr>
                <w:spacing w:val="-13"/>
                <w:sz w:val="18"/>
              </w:rPr>
              <w:t> </w:t>
            </w:r>
            <w:r>
              <w:rPr>
                <w:sz w:val="18"/>
              </w:rPr>
              <w:t>instituciones</w:t>
            </w:r>
          </w:p>
        </w:tc>
        <w:tc>
          <w:tcPr>
            <w:tcW w:w="2017" w:type="dxa"/>
          </w:tcPr>
          <w:p>
            <w:pPr>
              <w:pStyle w:val="TableParagraph"/>
              <w:spacing w:before="162"/>
              <w:ind w:left="71" w:right="68"/>
              <w:rPr>
                <w:sz w:val="18"/>
              </w:rPr>
            </w:pPr>
            <w:r>
              <w:rPr>
                <w:sz w:val="18"/>
              </w:rPr>
              <w:t>Lista de asistencia a</w:t>
            </w:r>
            <w:r>
              <w:rPr>
                <w:spacing w:val="40"/>
                <w:sz w:val="18"/>
              </w:rPr>
              <w:t> </w:t>
            </w:r>
            <w:r>
              <w:rPr>
                <w:spacing w:val="-4"/>
                <w:sz w:val="18"/>
              </w:rPr>
              <w:t>las </w:t>
            </w:r>
            <w:r>
              <w:rPr>
                <w:spacing w:val="-2"/>
                <w:sz w:val="18"/>
              </w:rPr>
              <w:t>sesiones/convocatorias</w:t>
            </w:r>
          </w:p>
        </w:tc>
        <w:tc>
          <w:tcPr>
            <w:tcW w:w="1259" w:type="dxa"/>
          </w:tcPr>
          <w:p>
            <w:pPr>
              <w:pStyle w:val="TableParagraph"/>
              <w:spacing w:before="162"/>
              <w:rPr>
                <w:b/>
                <w:sz w:val="18"/>
              </w:rPr>
            </w:pPr>
          </w:p>
          <w:p>
            <w:pPr>
              <w:pStyle w:val="TableParagraph"/>
              <w:ind w:left="66"/>
              <w:rPr>
                <w:sz w:val="18"/>
              </w:rPr>
            </w:pPr>
            <w:r>
              <w:rPr>
                <w:spacing w:val="-5"/>
                <w:sz w:val="18"/>
              </w:rPr>
              <w:t>PE</w:t>
            </w:r>
          </w:p>
        </w:tc>
        <w:tc>
          <w:tcPr>
            <w:tcW w:w="1230" w:type="dxa"/>
          </w:tcPr>
          <w:p>
            <w:pPr>
              <w:pStyle w:val="TableParagraph"/>
              <w:rPr>
                <w:rFonts w:ascii="Times New Roman"/>
                <w:sz w:val="18"/>
              </w:rPr>
            </w:pPr>
          </w:p>
        </w:tc>
        <w:tc>
          <w:tcPr>
            <w:tcW w:w="2362"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160"/>
              <w:rPr>
                <w:b/>
                <w:sz w:val="18"/>
              </w:rPr>
            </w:pPr>
          </w:p>
          <w:p>
            <w:pPr>
              <w:pStyle w:val="TableParagraph"/>
              <w:ind w:left="69" w:right="56"/>
              <w:rPr>
                <w:sz w:val="18"/>
              </w:rPr>
            </w:pPr>
            <w:r>
              <w:rPr>
                <w:sz w:val="18"/>
              </w:rPr>
              <w:t>Evento:</w:t>
            </w:r>
            <w:r>
              <w:rPr>
                <w:spacing w:val="-15"/>
                <w:sz w:val="18"/>
              </w:rPr>
              <w:t> </w:t>
            </w:r>
            <w:r>
              <w:rPr>
                <w:sz w:val="18"/>
              </w:rPr>
              <w:t>Pocas</w:t>
            </w:r>
            <w:r>
              <w:rPr>
                <w:spacing w:val="-12"/>
                <w:sz w:val="18"/>
              </w:rPr>
              <w:t> </w:t>
            </w:r>
            <w:r>
              <w:rPr>
                <w:sz w:val="18"/>
              </w:rPr>
              <w:t>instituciones utilizando el SIREC</w:t>
            </w:r>
          </w:p>
        </w:tc>
      </w:tr>
      <w:tr>
        <w:trPr>
          <w:trHeight w:val="1435" w:hRule="atLeast"/>
        </w:trPr>
        <w:tc>
          <w:tcPr>
            <w:tcW w:w="2574" w:type="dxa"/>
          </w:tcPr>
          <w:p>
            <w:pPr>
              <w:pStyle w:val="TableParagraph"/>
              <w:spacing w:before="94"/>
              <w:rPr>
                <w:b/>
                <w:sz w:val="18"/>
              </w:rPr>
            </w:pPr>
          </w:p>
          <w:p>
            <w:pPr>
              <w:pStyle w:val="TableParagraph"/>
              <w:spacing w:line="242" w:lineRule="auto"/>
              <w:ind w:left="72" w:right="82"/>
              <w:rPr>
                <w:sz w:val="18"/>
              </w:rPr>
            </w:pPr>
            <w:r>
              <w:rPr>
                <w:b/>
                <w:sz w:val="18"/>
              </w:rPr>
              <w:t>Actividad PAC 2.88.2: </w:t>
            </w:r>
            <w:r>
              <w:rPr>
                <w:sz w:val="18"/>
              </w:rPr>
              <w:t>coordinar para que instituciones</w:t>
            </w:r>
            <w:r>
              <w:rPr>
                <w:spacing w:val="-10"/>
                <w:sz w:val="18"/>
              </w:rPr>
              <w:t> </w:t>
            </w:r>
            <w:r>
              <w:rPr>
                <w:sz w:val="18"/>
              </w:rPr>
              <w:t>del</w:t>
            </w:r>
            <w:r>
              <w:rPr>
                <w:spacing w:val="-11"/>
                <w:sz w:val="18"/>
              </w:rPr>
              <w:t> </w:t>
            </w:r>
            <w:r>
              <w:rPr>
                <w:sz w:val="18"/>
              </w:rPr>
              <w:t>Sector</w:t>
            </w:r>
            <w:r>
              <w:rPr>
                <w:spacing w:val="-12"/>
                <w:sz w:val="18"/>
              </w:rPr>
              <w:t> </w:t>
            </w:r>
            <w:r>
              <w:rPr>
                <w:sz w:val="18"/>
              </w:rPr>
              <w:t>Social utilicen el SIREC</w:t>
            </w:r>
          </w:p>
        </w:tc>
        <w:tc>
          <w:tcPr>
            <w:tcW w:w="1781" w:type="dxa"/>
          </w:tcPr>
          <w:p>
            <w:pPr>
              <w:pStyle w:val="TableParagraph"/>
              <w:rPr>
                <w:b/>
                <w:sz w:val="18"/>
              </w:rPr>
            </w:pPr>
          </w:p>
          <w:p>
            <w:pPr>
              <w:pStyle w:val="TableParagraph"/>
              <w:spacing w:before="199"/>
              <w:rPr>
                <w:b/>
                <w:sz w:val="18"/>
              </w:rPr>
            </w:pPr>
          </w:p>
          <w:p>
            <w:pPr>
              <w:pStyle w:val="TableParagraph"/>
              <w:ind w:left="11" w:right="1"/>
              <w:jc w:val="center"/>
              <w:rPr>
                <w:sz w:val="18"/>
              </w:rPr>
            </w:pPr>
            <w:r>
              <w:rPr>
                <w:spacing w:val="-5"/>
                <w:sz w:val="18"/>
              </w:rPr>
              <w:t>N/A</w:t>
            </w:r>
          </w:p>
        </w:tc>
        <w:tc>
          <w:tcPr>
            <w:tcW w:w="1599" w:type="dxa"/>
          </w:tcPr>
          <w:p>
            <w:pPr>
              <w:pStyle w:val="TableParagraph"/>
              <w:rPr>
                <w:b/>
                <w:sz w:val="18"/>
              </w:rPr>
            </w:pPr>
          </w:p>
          <w:p>
            <w:pPr>
              <w:pStyle w:val="TableParagraph"/>
              <w:spacing w:before="199"/>
              <w:rPr>
                <w:b/>
                <w:sz w:val="18"/>
              </w:rPr>
            </w:pPr>
          </w:p>
          <w:p>
            <w:pPr>
              <w:pStyle w:val="TableParagraph"/>
              <w:ind w:left="115" w:right="111"/>
              <w:jc w:val="center"/>
              <w:rPr>
                <w:sz w:val="18"/>
              </w:rPr>
            </w:pPr>
            <w:r>
              <w:rPr>
                <w:spacing w:val="-5"/>
                <w:sz w:val="18"/>
              </w:rPr>
              <w:t>10</w:t>
            </w:r>
          </w:p>
        </w:tc>
        <w:tc>
          <w:tcPr>
            <w:tcW w:w="1431" w:type="dxa"/>
          </w:tcPr>
          <w:p>
            <w:pPr>
              <w:pStyle w:val="TableParagraph"/>
              <w:spacing w:before="94"/>
              <w:rPr>
                <w:b/>
                <w:sz w:val="18"/>
              </w:rPr>
            </w:pPr>
          </w:p>
          <w:p>
            <w:pPr>
              <w:pStyle w:val="TableParagraph"/>
              <w:spacing w:line="242" w:lineRule="auto"/>
              <w:ind w:left="53" w:right="37"/>
              <w:jc w:val="center"/>
              <w:rPr>
                <w:sz w:val="18"/>
              </w:rPr>
            </w:pPr>
            <w:r>
              <w:rPr>
                <w:sz w:val="18"/>
              </w:rPr>
              <w:t>Cantidad</w:t>
            </w:r>
            <w:r>
              <w:rPr>
                <w:spacing w:val="-13"/>
                <w:sz w:val="18"/>
              </w:rPr>
              <w:t> </w:t>
            </w:r>
            <w:r>
              <w:rPr>
                <w:sz w:val="18"/>
              </w:rPr>
              <w:t>de </w:t>
            </w:r>
            <w:r>
              <w:rPr>
                <w:spacing w:val="-2"/>
                <w:sz w:val="18"/>
              </w:rPr>
              <w:t>instituciones </w:t>
            </w:r>
            <w:r>
              <w:rPr>
                <w:sz w:val="18"/>
              </w:rPr>
              <w:t>utilizando el </w:t>
            </w:r>
            <w:r>
              <w:rPr>
                <w:spacing w:val="-2"/>
                <w:sz w:val="18"/>
              </w:rPr>
              <w:t>SIREC</w:t>
            </w:r>
          </w:p>
        </w:tc>
        <w:tc>
          <w:tcPr>
            <w:tcW w:w="2017" w:type="dxa"/>
          </w:tcPr>
          <w:p>
            <w:pPr>
              <w:pStyle w:val="TableParagraph"/>
              <w:rPr>
                <w:b/>
                <w:sz w:val="18"/>
              </w:rPr>
            </w:pPr>
          </w:p>
          <w:p>
            <w:pPr>
              <w:pStyle w:val="TableParagraph"/>
              <w:spacing w:before="199"/>
              <w:rPr>
                <w:b/>
                <w:sz w:val="18"/>
              </w:rPr>
            </w:pPr>
          </w:p>
          <w:p>
            <w:pPr>
              <w:pStyle w:val="TableParagraph"/>
              <w:ind w:left="71"/>
              <w:rPr>
                <w:sz w:val="18"/>
              </w:rPr>
            </w:pPr>
            <w:r>
              <w:rPr>
                <w:sz w:val="18"/>
              </w:rPr>
              <w:t>Reporte del</w:t>
            </w:r>
            <w:r>
              <w:rPr>
                <w:spacing w:val="-6"/>
                <w:sz w:val="18"/>
              </w:rPr>
              <w:t> </w:t>
            </w:r>
            <w:r>
              <w:rPr>
                <w:spacing w:val="-2"/>
                <w:sz w:val="18"/>
              </w:rPr>
              <w:t>SIREC</w:t>
            </w:r>
          </w:p>
        </w:tc>
        <w:tc>
          <w:tcPr>
            <w:tcW w:w="1259" w:type="dxa"/>
          </w:tcPr>
          <w:p>
            <w:pPr>
              <w:pStyle w:val="TableParagraph"/>
              <w:rPr>
                <w:b/>
                <w:sz w:val="18"/>
              </w:rPr>
            </w:pPr>
          </w:p>
          <w:p>
            <w:pPr>
              <w:pStyle w:val="TableParagraph"/>
              <w:spacing w:before="199"/>
              <w:rPr>
                <w:b/>
                <w:sz w:val="18"/>
              </w:rPr>
            </w:pPr>
          </w:p>
          <w:p>
            <w:pPr>
              <w:pStyle w:val="TableParagraph"/>
              <w:ind w:left="66"/>
              <w:rPr>
                <w:sz w:val="18"/>
              </w:rPr>
            </w:pPr>
            <w:r>
              <w:rPr>
                <w:spacing w:val="-5"/>
                <w:sz w:val="18"/>
              </w:rPr>
              <w:t>PE</w:t>
            </w:r>
          </w:p>
        </w:tc>
        <w:tc>
          <w:tcPr>
            <w:tcW w:w="1230" w:type="dxa"/>
          </w:tcPr>
          <w:p>
            <w:pPr>
              <w:pStyle w:val="TableParagraph"/>
              <w:rPr>
                <w:rFonts w:ascii="Times New Roman"/>
                <w:sz w:val="18"/>
              </w:rPr>
            </w:pPr>
          </w:p>
        </w:tc>
        <w:tc>
          <w:tcPr>
            <w:tcW w:w="2362" w:type="dxa"/>
            <w:vMerge/>
            <w:tcBorders>
              <w:top w:val="nil"/>
            </w:tcBorders>
          </w:tcPr>
          <w:p>
            <w:pPr>
              <w:rPr>
                <w:sz w:val="2"/>
                <w:szCs w:val="2"/>
              </w:rPr>
            </w:pPr>
          </w:p>
        </w:tc>
      </w:tr>
      <w:tr>
        <w:trPr>
          <w:trHeight w:val="710" w:hRule="atLeast"/>
        </w:trPr>
        <w:tc>
          <w:tcPr>
            <w:tcW w:w="14253" w:type="dxa"/>
            <w:gridSpan w:val="8"/>
            <w:shd w:val="clear" w:color="auto" w:fill="EFF8F9"/>
          </w:tcPr>
          <w:p>
            <w:pPr>
              <w:pStyle w:val="TableParagraph"/>
              <w:spacing w:before="147"/>
              <w:ind w:left="72" w:right="78"/>
              <w:rPr>
                <w:b/>
                <w:sz w:val="18"/>
              </w:rPr>
            </w:pPr>
            <w:r>
              <w:rPr>
                <w:b/>
                <w:sz w:val="18"/>
              </w:rPr>
              <w:t>Producto</w:t>
            </w:r>
            <w:r>
              <w:rPr>
                <w:b/>
                <w:spacing w:val="-4"/>
                <w:sz w:val="18"/>
              </w:rPr>
              <w:t> </w:t>
            </w:r>
            <w:r>
              <w:rPr>
                <w:b/>
                <w:sz w:val="18"/>
              </w:rPr>
              <w:t>PAC</w:t>
            </w:r>
            <w:r>
              <w:rPr>
                <w:b/>
                <w:spacing w:val="-5"/>
                <w:sz w:val="18"/>
              </w:rPr>
              <w:t> </w:t>
            </w:r>
            <w:r>
              <w:rPr>
                <w:b/>
                <w:sz w:val="18"/>
              </w:rPr>
              <w:t>2.89:</w:t>
            </w:r>
            <w:r>
              <w:rPr>
                <w:b/>
                <w:spacing w:val="-1"/>
                <w:sz w:val="18"/>
              </w:rPr>
              <w:t> </w:t>
            </w:r>
            <w:r>
              <w:rPr>
                <w:b/>
                <w:sz w:val="18"/>
              </w:rPr>
              <w:t>Sistema de</w:t>
            </w:r>
            <w:r>
              <w:rPr>
                <w:b/>
                <w:spacing w:val="-3"/>
                <w:sz w:val="18"/>
              </w:rPr>
              <w:t> </w:t>
            </w:r>
            <w:r>
              <w:rPr>
                <w:b/>
                <w:sz w:val="18"/>
              </w:rPr>
              <w:t>Indicadores para</w:t>
            </w:r>
            <w:r>
              <w:rPr>
                <w:b/>
                <w:spacing w:val="-3"/>
                <w:sz w:val="18"/>
              </w:rPr>
              <w:t> </w:t>
            </w:r>
            <w:r>
              <w:rPr>
                <w:b/>
                <w:sz w:val="18"/>
              </w:rPr>
              <w:t>medición del avance</w:t>
            </w:r>
            <w:r>
              <w:rPr>
                <w:b/>
                <w:spacing w:val="-3"/>
                <w:sz w:val="18"/>
              </w:rPr>
              <w:t> </w:t>
            </w:r>
            <w:r>
              <w:rPr>
                <w:b/>
                <w:sz w:val="18"/>
              </w:rPr>
              <w:t>en el</w:t>
            </w:r>
            <w:r>
              <w:rPr>
                <w:b/>
                <w:spacing w:val="-1"/>
                <w:sz w:val="18"/>
              </w:rPr>
              <w:t> </w:t>
            </w:r>
            <w:r>
              <w:rPr>
                <w:b/>
                <w:sz w:val="18"/>
              </w:rPr>
              <w:t>cumplimiento</w:t>
            </w:r>
            <w:r>
              <w:rPr>
                <w:b/>
                <w:spacing w:val="-4"/>
                <w:sz w:val="18"/>
              </w:rPr>
              <w:t> </w:t>
            </w:r>
            <w:r>
              <w:rPr>
                <w:b/>
                <w:sz w:val="18"/>
              </w:rPr>
              <w:t>de</w:t>
            </w:r>
            <w:r>
              <w:rPr>
                <w:b/>
                <w:spacing w:val="-3"/>
                <w:sz w:val="18"/>
              </w:rPr>
              <w:t> </w:t>
            </w:r>
            <w:r>
              <w:rPr>
                <w:b/>
                <w:sz w:val="18"/>
              </w:rPr>
              <w:t>los</w:t>
            </w:r>
            <w:r>
              <w:rPr>
                <w:b/>
                <w:spacing w:val="-8"/>
                <w:sz w:val="18"/>
              </w:rPr>
              <w:t> </w:t>
            </w:r>
            <w:r>
              <w:rPr>
                <w:b/>
                <w:sz w:val="18"/>
              </w:rPr>
              <w:t>ODS y</w:t>
            </w:r>
            <w:r>
              <w:rPr>
                <w:b/>
                <w:spacing w:val="-3"/>
                <w:sz w:val="18"/>
              </w:rPr>
              <w:t> </w:t>
            </w:r>
            <w:r>
              <w:rPr>
                <w:b/>
                <w:sz w:val="18"/>
              </w:rPr>
              <w:t>afines</w:t>
            </w:r>
            <w:r>
              <w:rPr>
                <w:b/>
                <w:spacing w:val="-3"/>
                <w:sz w:val="18"/>
              </w:rPr>
              <w:t> </w:t>
            </w:r>
            <w:r>
              <w:rPr>
                <w:b/>
                <w:sz w:val="18"/>
              </w:rPr>
              <w:t>de</w:t>
            </w:r>
            <w:r>
              <w:rPr>
                <w:b/>
                <w:spacing w:val="-3"/>
                <w:sz w:val="18"/>
              </w:rPr>
              <w:t> </w:t>
            </w:r>
            <w:r>
              <w:rPr>
                <w:b/>
                <w:sz w:val="18"/>
              </w:rPr>
              <w:t>las instituciones que ejecutan</w:t>
            </w:r>
            <w:r>
              <w:rPr>
                <w:b/>
                <w:spacing w:val="-4"/>
                <w:sz w:val="18"/>
              </w:rPr>
              <w:t> </w:t>
            </w:r>
            <w:r>
              <w:rPr>
                <w:b/>
                <w:sz w:val="18"/>
              </w:rPr>
              <w:t>programas</w:t>
            </w:r>
            <w:r>
              <w:rPr>
                <w:b/>
                <w:spacing w:val="-3"/>
                <w:sz w:val="18"/>
              </w:rPr>
              <w:t> </w:t>
            </w:r>
            <w:r>
              <w:rPr>
                <w:b/>
                <w:sz w:val="18"/>
              </w:rPr>
              <w:t>sociales ejecutándose. (E4 AE3 R2) (60%)</w:t>
            </w:r>
          </w:p>
        </w:tc>
      </w:tr>
      <w:tr>
        <w:trPr>
          <w:trHeight w:val="1656" w:hRule="atLeast"/>
        </w:trPr>
        <w:tc>
          <w:tcPr>
            <w:tcW w:w="2574" w:type="dxa"/>
          </w:tcPr>
          <w:p>
            <w:pPr>
              <w:pStyle w:val="TableParagraph"/>
              <w:ind w:left="72"/>
              <w:rPr>
                <w:sz w:val="18"/>
              </w:rPr>
            </w:pPr>
            <w:r>
              <w:rPr>
                <w:b/>
                <w:sz w:val="18"/>
              </w:rPr>
              <w:t>Actividad PAC 2.89.1: </w:t>
            </w:r>
            <w:r>
              <w:rPr>
                <w:sz w:val="18"/>
              </w:rPr>
              <w:t>Solicitud de reportes al SINIRUBE que recibieron al menos un beneficio de protección social al</w:t>
            </w:r>
            <w:r>
              <w:rPr>
                <w:spacing w:val="-1"/>
                <w:sz w:val="18"/>
              </w:rPr>
              <w:t> </w:t>
            </w:r>
            <w:r>
              <w:rPr>
                <w:sz w:val="18"/>
              </w:rPr>
              <w:t>cierre del 2025 para el cálculo del indicador</w:t>
            </w:r>
            <w:r>
              <w:rPr>
                <w:spacing w:val="-15"/>
                <w:sz w:val="18"/>
              </w:rPr>
              <w:t> </w:t>
            </w:r>
            <w:r>
              <w:rPr>
                <w:sz w:val="18"/>
              </w:rPr>
              <w:t>complementario</w:t>
            </w:r>
            <w:r>
              <w:rPr>
                <w:spacing w:val="-12"/>
                <w:sz w:val="18"/>
              </w:rPr>
              <w:t> </w:t>
            </w:r>
            <w:r>
              <w:rPr>
                <w:sz w:val="18"/>
              </w:rPr>
              <w:t>1.3</w:t>
            </w:r>
          </w:p>
          <w:p>
            <w:pPr>
              <w:pStyle w:val="TableParagraph"/>
              <w:spacing w:line="187" w:lineRule="exact"/>
              <w:ind w:left="72"/>
              <w:rPr>
                <w:sz w:val="18"/>
              </w:rPr>
            </w:pPr>
            <w:r>
              <w:rPr>
                <w:sz w:val="18"/>
              </w:rPr>
              <w:t>de los</w:t>
            </w:r>
            <w:r>
              <w:rPr>
                <w:spacing w:val="-3"/>
                <w:sz w:val="18"/>
              </w:rPr>
              <w:t> </w:t>
            </w:r>
            <w:r>
              <w:rPr>
                <w:spacing w:val="-5"/>
                <w:sz w:val="18"/>
              </w:rPr>
              <w:t>ODS</w:t>
            </w:r>
          </w:p>
        </w:tc>
        <w:tc>
          <w:tcPr>
            <w:tcW w:w="17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335" w:right="20" w:hanging="159"/>
              <w:rPr>
                <w:sz w:val="18"/>
              </w:rPr>
            </w:pPr>
            <w:r>
              <w:rPr>
                <w:sz w:val="18"/>
              </w:rPr>
              <w:t>100%</w:t>
            </w:r>
            <w:r>
              <w:rPr>
                <w:spacing w:val="-15"/>
                <w:sz w:val="18"/>
              </w:rPr>
              <w:t> </w:t>
            </w:r>
            <w:r>
              <w:rPr>
                <w:sz w:val="18"/>
              </w:rPr>
              <w:t>de</w:t>
            </w:r>
            <w:r>
              <w:rPr>
                <w:spacing w:val="-12"/>
                <w:sz w:val="18"/>
              </w:rPr>
              <w:t> </w:t>
            </w:r>
            <w:r>
              <w:rPr>
                <w:sz w:val="18"/>
              </w:rPr>
              <w:t>reportes de SINIRUBE</w:t>
            </w:r>
          </w:p>
        </w:tc>
        <w:tc>
          <w:tcPr>
            <w:tcW w:w="1599"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5" w:right="57"/>
              <w:jc w:val="center"/>
              <w:rPr>
                <w:sz w:val="18"/>
              </w:rPr>
            </w:pPr>
            <w:r>
              <w:rPr>
                <w:sz w:val="18"/>
              </w:rPr>
              <w:t>100%</w:t>
            </w:r>
            <w:r>
              <w:rPr>
                <w:spacing w:val="-1"/>
                <w:sz w:val="18"/>
              </w:rPr>
              <w:t> </w:t>
            </w:r>
            <w:r>
              <w:rPr>
                <w:sz w:val="18"/>
              </w:rPr>
              <w:t>de</w:t>
            </w:r>
            <w:r>
              <w:rPr>
                <w:spacing w:val="-2"/>
                <w:sz w:val="18"/>
              </w:rPr>
              <w:t> reportes</w:t>
            </w:r>
          </w:p>
        </w:tc>
        <w:tc>
          <w:tcPr>
            <w:tcW w:w="1431" w:type="dxa"/>
          </w:tcPr>
          <w:p>
            <w:pPr>
              <w:pStyle w:val="TableParagraph"/>
              <w:spacing w:before="103"/>
              <w:rPr>
                <w:b/>
                <w:sz w:val="18"/>
              </w:rPr>
            </w:pPr>
          </w:p>
          <w:p>
            <w:pPr>
              <w:pStyle w:val="TableParagraph"/>
              <w:spacing w:before="1"/>
              <w:ind w:left="48" w:right="37"/>
              <w:jc w:val="center"/>
              <w:rPr>
                <w:sz w:val="18"/>
              </w:rPr>
            </w:pPr>
            <w:r>
              <w:rPr>
                <w:sz w:val="18"/>
              </w:rPr>
              <w:t>Porcentaje</w:t>
            </w:r>
            <w:r>
              <w:rPr>
                <w:spacing w:val="-13"/>
                <w:sz w:val="18"/>
              </w:rPr>
              <w:t> </w:t>
            </w:r>
            <w:r>
              <w:rPr>
                <w:sz w:val="18"/>
              </w:rPr>
              <w:t>de </w:t>
            </w:r>
            <w:r>
              <w:rPr>
                <w:spacing w:val="-2"/>
                <w:sz w:val="18"/>
              </w:rPr>
              <w:t>reportes </w:t>
            </w:r>
            <w:r>
              <w:rPr>
                <w:sz w:val="18"/>
              </w:rPr>
              <w:t>remitidos por </w:t>
            </w:r>
            <w:r>
              <w:rPr>
                <w:spacing w:val="-2"/>
                <w:sz w:val="18"/>
              </w:rPr>
              <w:t>SINIRUBE</w:t>
            </w:r>
          </w:p>
          <w:p>
            <w:pPr>
              <w:pStyle w:val="TableParagraph"/>
              <w:spacing w:before="3"/>
              <w:ind w:left="56" w:right="37"/>
              <w:jc w:val="center"/>
              <w:rPr>
                <w:sz w:val="18"/>
              </w:rPr>
            </w:pPr>
            <w:r>
              <w:rPr>
                <w:spacing w:val="-2"/>
                <w:sz w:val="18"/>
              </w:rPr>
              <w:t>analizados</w:t>
            </w:r>
          </w:p>
        </w:tc>
        <w:tc>
          <w:tcPr>
            <w:tcW w:w="201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1"/>
              <w:rPr>
                <w:sz w:val="18"/>
              </w:rPr>
            </w:pPr>
            <w:r>
              <w:rPr>
                <w:sz w:val="18"/>
              </w:rPr>
              <w:t>Informes</w:t>
            </w:r>
            <w:r>
              <w:rPr>
                <w:spacing w:val="-4"/>
                <w:sz w:val="18"/>
              </w:rPr>
              <w:t> </w:t>
            </w:r>
            <w:r>
              <w:rPr>
                <w:sz w:val="18"/>
              </w:rPr>
              <w:t>de</w:t>
            </w:r>
            <w:r>
              <w:rPr>
                <w:spacing w:val="-3"/>
                <w:sz w:val="18"/>
              </w:rPr>
              <w:t> </w:t>
            </w:r>
            <w:r>
              <w:rPr>
                <w:spacing w:val="-2"/>
                <w:sz w:val="18"/>
              </w:rPr>
              <w:t>resultados</w:t>
            </w:r>
          </w:p>
        </w:tc>
        <w:tc>
          <w:tcPr>
            <w:tcW w:w="1259" w:type="dxa"/>
          </w:tcPr>
          <w:p>
            <w:pPr>
              <w:pStyle w:val="TableParagraph"/>
              <w:rPr>
                <w:b/>
                <w:sz w:val="18"/>
              </w:rPr>
            </w:pPr>
          </w:p>
          <w:p>
            <w:pPr>
              <w:pStyle w:val="TableParagraph"/>
              <w:spacing w:before="103"/>
              <w:rPr>
                <w:b/>
                <w:sz w:val="18"/>
              </w:rPr>
            </w:pPr>
          </w:p>
          <w:p>
            <w:pPr>
              <w:pStyle w:val="TableParagraph"/>
              <w:ind w:left="66"/>
              <w:rPr>
                <w:sz w:val="18"/>
              </w:rPr>
            </w:pPr>
            <w:r>
              <w:rPr>
                <w:spacing w:val="-2"/>
                <w:sz w:val="18"/>
              </w:rPr>
              <w:t>Secretaría </w:t>
            </w:r>
            <w:r>
              <w:rPr>
                <w:sz w:val="18"/>
              </w:rPr>
              <w:t>Sector</w:t>
            </w:r>
            <w:r>
              <w:rPr>
                <w:spacing w:val="-15"/>
                <w:sz w:val="18"/>
              </w:rPr>
              <w:t> </w:t>
            </w:r>
            <w:r>
              <w:rPr>
                <w:sz w:val="18"/>
              </w:rPr>
              <w:t>BTIS</w:t>
            </w:r>
            <w:r>
              <w:rPr>
                <w:spacing w:val="-12"/>
                <w:sz w:val="18"/>
              </w:rPr>
              <w:t> </w:t>
            </w:r>
            <w:r>
              <w:rPr>
                <w:sz w:val="18"/>
              </w:rPr>
              <w:t>y </w:t>
            </w:r>
            <w:r>
              <w:rPr>
                <w:spacing w:val="-2"/>
                <w:sz w:val="18"/>
              </w:rPr>
              <w:t>SINIRUBE</w:t>
            </w:r>
          </w:p>
        </w:tc>
        <w:tc>
          <w:tcPr>
            <w:tcW w:w="1230" w:type="dxa"/>
          </w:tcPr>
          <w:p>
            <w:pPr>
              <w:pStyle w:val="TableParagraph"/>
              <w:rPr>
                <w:rFonts w:ascii="Times New Roman"/>
                <w:sz w:val="18"/>
              </w:rPr>
            </w:pPr>
          </w:p>
        </w:tc>
        <w:tc>
          <w:tcPr>
            <w:tcW w:w="2362"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6"/>
              <w:rPr>
                <w:b/>
                <w:sz w:val="18"/>
              </w:rPr>
            </w:pPr>
          </w:p>
          <w:p>
            <w:pPr>
              <w:pStyle w:val="TableParagraph"/>
              <w:ind w:left="69" w:right="56"/>
              <w:rPr>
                <w:sz w:val="18"/>
              </w:rPr>
            </w:pPr>
            <w:r>
              <w:rPr>
                <w:sz w:val="18"/>
              </w:rPr>
              <w:t>Evento: Deficiente calidad de datos, por información incompleta, inconsistente o desactualizada</w:t>
            </w:r>
            <w:r>
              <w:rPr>
                <w:spacing w:val="-15"/>
                <w:sz w:val="18"/>
              </w:rPr>
              <w:t> </w:t>
            </w:r>
            <w:r>
              <w:rPr>
                <w:sz w:val="18"/>
              </w:rPr>
              <w:t>que</w:t>
            </w:r>
            <w:r>
              <w:rPr>
                <w:spacing w:val="-12"/>
                <w:sz w:val="18"/>
              </w:rPr>
              <w:t> </w:t>
            </w:r>
            <w:r>
              <w:rPr>
                <w:sz w:val="18"/>
              </w:rPr>
              <w:t>dificulte la medición de avance del cumplimiento de los ODS </w:t>
            </w:r>
            <w:r>
              <w:rPr>
                <w:spacing w:val="-2"/>
                <w:sz w:val="18"/>
              </w:rPr>
              <w:t>(ODS1)</w:t>
            </w:r>
          </w:p>
        </w:tc>
      </w:tr>
      <w:tr>
        <w:trPr>
          <w:trHeight w:val="1156" w:hRule="atLeast"/>
        </w:trPr>
        <w:tc>
          <w:tcPr>
            <w:tcW w:w="2574" w:type="dxa"/>
          </w:tcPr>
          <w:p>
            <w:pPr>
              <w:pStyle w:val="TableParagraph"/>
              <w:spacing w:line="242" w:lineRule="auto" w:before="162"/>
              <w:ind w:left="72" w:right="82"/>
              <w:rPr>
                <w:sz w:val="18"/>
              </w:rPr>
            </w:pPr>
            <w:r>
              <w:rPr>
                <w:b/>
                <w:sz w:val="18"/>
              </w:rPr>
              <w:t>Actividad PAC 2.89.2: </w:t>
            </w:r>
            <w:r>
              <w:rPr>
                <w:sz w:val="18"/>
              </w:rPr>
              <w:t>Cálculo del indicador ODS complementario</w:t>
            </w:r>
            <w:r>
              <w:rPr>
                <w:spacing w:val="-13"/>
                <w:sz w:val="18"/>
              </w:rPr>
              <w:t> </w:t>
            </w:r>
            <w:r>
              <w:rPr>
                <w:sz w:val="18"/>
              </w:rPr>
              <w:t>1.3</w:t>
            </w:r>
            <w:r>
              <w:rPr>
                <w:spacing w:val="-9"/>
                <w:sz w:val="18"/>
              </w:rPr>
              <w:t> </w:t>
            </w:r>
            <w:r>
              <w:rPr>
                <w:sz w:val="18"/>
              </w:rPr>
              <w:t>para</w:t>
            </w:r>
            <w:r>
              <w:rPr>
                <w:spacing w:val="-13"/>
                <w:sz w:val="18"/>
              </w:rPr>
              <w:t> </w:t>
            </w:r>
            <w:r>
              <w:rPr>
                <w:sz w:val="18"/>
              </w:rPr>
              <w:t>el </w:t>
            </w:r>
            <w:r>
              <w:rPr>
                <w:spacing w:val="-4"/>
                <w:sz w:val="18"/>
              </w:rPr>
              <w:t>2025</w:t>
            </w:r>
          </w:p>
        </w:tc>
        <w:tc>
          <w:tcPr>
            <w:tcW w:w="1781" w:type="dxa"/>
          </w:tcPr>
          <w:p>
            <w:pPr>
              <w:pStyle w:val="TableParagraph"/>
              <w:rPr>
                <w:b/>
                <w:sz w:val="18"/>
              </w:rPr>
            </w:pPr>
          </w:p>
          <w:p>
            <w:pPr>
              <w:pStyle w:val="TableParagraph"/>
              <w:spacing w:before="60"/>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spacing w:before="61"/>
              <w:ind w:left="124" w:right="117" w:hanging="3"/>
              <w:jc w:val="center"/>
              <w:rPr>
                <w:sz w:val="18"/>
              </w:rPr>
            </w:pPr>
            <w:r>
              <w:rPr>
                <w:sz w:val="18"/>
              </w:rPr>
              <w:t>1 indicador </w:t>
            </w:r>
            <w:r>
              <w:rPr>
                <w:spacing w:val="-2"/>
                <w:sz w:val="18"/>
              </w:rPr>
              <w:t>complementario </w:t>
            </w:r>
            <w:r>
              <w:rPr>
                <w:sz w:val="18"/>
              </w:rPr>
              <w:t>del ODS 1 calculado</w:t>
            </w:r>
            <w:r>
              <w:rPr>
                <w:spacing w:val="-15"/>
                <w:sz w:val="18"/>
              </w:rPr>
              <w:t> </w:t>
            </w:r>
            <w:r>
              <w:rPr>
                <w:sz w:val="18"/>
              </w:rPr>
              <w:t>a</w:t>
            </w:r>
            <w:r>
              <w:rPr>
                <w:spacing w:val="-12"/>
                <w:sz w:val="18"/>
              </w:rPr>
              <w:t> </w:t>
            </w:r>
            <w:r>
              <w:rPr>
                <w:sz w:val="18"/>
              </w:rPr>
              <w:t>junio </w:t>
            </w:r>
            <w:r>
              <w:rPr>
                <w:spacing w:val="-4"/>
                <w:sz w:val="18"/>
              </w:rPr>
              <w:t>2026</w:t>
            </w:r>
          </w:p>
        </w:tc>
        <w:tc>
          <w:tcPr>
            <w:tcW w:w="1431" w:type="dxa"/>
          </w:tcPr>
          <w:p>
            <w:pPr>
              <w:pStyle w:val="TableParagraph"/>
              <w:spacing w:line="242" w:lineRule="auto" w:before="162"/>
              <w:ind w:left="215" w:right="198" w:firstLine="52"/>
              <w:jc w:val="both"/>
              <w:rPr>
                <w:sz w:val="18"/>
              </w:rPr>
            </w:pPr>
            <w:r>
              <w:rPr>
                <w:sz w:val="18"/>
              </w:rPr>
              <w:t>Número de </w:t>
            </w:r>
            <w:r>
              <w:rPr>
                <w:spacing w:val="-2"/>
                <w:sz w:val="18"/>
              </w:rPr>
              <w:t>indicadores </w:t>
            </w:r>
            <w:r>
              <w:rPr>
                <w:sz w:val="18"/>
              </w:rPr>
              <w:t>calculados</w:t>
            </w:r>
            <w:r>
              <w:rPr>
                <w:spacing w:val="-13"/>
                <w:sz w:val="18"/>
              </w:rPr>
              <w:t> </w:t>
            </w:r>
            <w:r>
              <w:rPr>
                <w:sz w:val="18"/>
              </w:rPr>
              <w:t>a junio 2026</w:t>
            </w:r>
          </w:p>
        </w:tc>
        <w:tc>
          <w:tcPr>
            <w:tcW w:w="2017" w:type="dxa"/>
          </w:tcPr>
          <w:p>
            <w:pPr>
              <w:pStyle w:val="TableParagraph"/>
              <w:rPr>
                <w:b/>
                <w:sz w:val="18"/>
              </w:rPr>
            </w:pPr>
          </w:p>
          <w:p>
            <w:pPr>
              <w:pStyle w:val="TableParagraph"/>
              <w:spacing w:before="60"/>
              <w:rPr>
                <w:b/>
                <w:sz w:val="18"/>
              </w:rPr>
            </w:pPr>
          </w:p>
          <w:p>
            <w:pPr>
              <w:pStyle w:val="TableParagraph"/>
              <w:ind w:left="71"/>
              <w:rPr>
                <w:sz w:val="18"/>
              </w:rPr>
            </w:pPr>
            <w:r>
              <w:rPr>
                <w:sz w:val="18"/>
              </w:rPr>
              <w:t>Documentos</w:t>
            </w:r>
            <w:r>
              <w:rPr>
                <w:spacing w:val="-2"/>
                <w:sz w:val="18"/>
              </w:rPr>
              <w:t> </w:t>
            </w:r>
            <w:r>
              <w:rPr>
                <w:sz w:val="18"/>
              </w:rPr>
              <w:t>de</w:t>
            </w:r>
            <w:r>
              <w:rPr>
                <w:spacing w:val="-5"/>
                <w:sz w:val="18"/>
              </w:rPr>
              <w:t> </w:t>
            </w:r>
            <w:r>
              <w:rPr>
                <w:spacing w:val="-2"/>
                <w:sz w:val="18"/>
              </w:rPr>
              <w:t>cálculo</w:t>
            </w:r>
          </w:p>
        </w:tc>
        <w:tc>
          <w:tcPr>
            <w:tcW w:w="1259" w:type="dxa"/>
          </w:tcPr>
          <w:p>
            <w:pPr>
              <w:pStyle w:val="TableParagraph"/>
              <w:spacing w:before="166"/>
              <w:rPr>
                <w:b/>
                <w:sz w:val="18"/>
              </w:rPr>
            </w:pPr>
          </w:p>
          <w:p>
            <w:pPr>
              <w:pStyle w:val="TableParagraph"/>
              <w:ind w:left="66"/>
              <w:rPr>
                <w:sz w:val="18"/>
              </w:rPr>
            </w:pPr>
            <w:r>
              <w:rPr>
                <w:spacing w:val="-2"/>
                <w:sz w:val="18"/>
              </w:rPr>
              <w:t>Secretaría </w:t>
            </w:r>
            <w:r>
              <w:rPr>
                <w:sz w:val="18"/>
              </w:rPr>
              <w:t>Sector</w:t>
            </w:r>
            <w:r>
              <w:rPr>
                <w:spacing w:val="-13"/>
                <w:sz w:val="18"/>
              </w:rPr>
              <w:t> </w:t>
            </w:r>
            <w:r>
              <w:rPr>
                <w:sz w:val="18"/>
              </w:rPr>
              <w:t>BTIS</w:t>
            </w:r>
          </w:p>
        </w:tc>
        <w:tc>
          <w:tcPr>
            <w:tcW w:w="1230" w:type="dxa"/>
          </w:tcPr>
          <w:p>
            <w:pPr>
              <w:pStyle w:val="TableParagraph"/>
              <w:rPr>
                <w:rFonts w:ascii="Times New Roman"/>
                <w:sz w:val="18"/>
              </w:rPr>
            </w:pPr>
          </w:p>
        </w:tc>
        <w:tc>
          <w:tcPr>
            <w:tcW w:w="2362" w:type="dxa"/>
            <w:vMerge/>
            <w:tcBorders>
              <w:top w:val="nil"/>
            </w:tcBorders>
          </w:tcPr>
          <w:p>
            <w:pPr>
              <w:rPr>
                <w:sz w:val="2"/>
                <w:szCs w:val="2"/>
              </w:rPr>
            </w:pPr>
          </w:p>
        </w:tc>
      </w:tr>
      <w:tr>
        <w:trPr>
          <w:trHeight w:val="1037" w:hRule="atLeast"/>
        </w:trPr>
        <w:tc>
          <w:tcPr>
            <w:tcW w:w="2574" w:type="dxa"/>
          </w:tcPr>
          <w:p>
            <w:pPr>
              <w:pStyle w:val="TableParagraph"/>
              <w:spacing w:line="242" w:lineRule="auto"/>
              <w:ind w:left="72"/>
              <w:rPr>
                <w:sz w:val="18"/>
              </w:rPr>
            </w:pPr>
            <w:r>
              <w:rPr>
                <w:b/>
                <w:sz w:val="18"/>
              </w:rPr>
              <w:t>Actividad PAC 2.89.3: </w:t>
            </w:r>
            <w:r>
              <w:rPr>
                <w:sz w:val="18"/>
              </w:rPr>
              <w:t>Remisión a la Rectoría del Sector BTIS el cálculo del indicador</w:t>
            </w:r>
            <w:r>
              <w:rPr>
                <w:spacing w:val="-15"/>
                <w:sz w:val="18"/>
              </w:rPr>
              <w:t> </w:t>
            </w:r>
            <w:r>
              <w:rPr>
                <w:sz w:val="18"/>
              </w:rPr>
              <w:t>complementario</w:t>
            </w:r>
            <w:r>
              <w:rPr>
                <w:spacing w:val="-12"/>
                <w:sz w:val="18"/>
              </w:rPr>
              <w:t> </w:t>
            </w:r>
            <w:r>
              <w:rPr>
                <w:sz w:val="18"/>
              </w:rPr>
              <w:t>1.3</w:t>
            </w:r>
          </w:p>
          <w:p>
            <w:pPr>
              <w:pStyle w:val="TableParagraph"/>
              <w:spacing w:line="182" w:lineRule="exact"/>
              <w:ind w:left="72"/>
              <w:rPr>
                <w:sz w:val="18"/>
              </w:rPr>
            </w:pPr>
            <w:r>
              <w:rPr>
                <w:sz w:val="18"/>
              </w:rPr>
              <w:t>para</w:t>
            </w:r>
            <w:r>
              <w:rPr>
                <w:spacing w:val="-2"/>
                <w:sz w:val="18"/>
              </w:rPr>
              <w:t> </w:t>
            </w:r>
            <w:r>
              <w:rPr>
                <w:sz w:val="18"/>
              </w:rPr>
              <w:t>el</w:t>
            </w:r>
            <w:r>
              <w:rPr>
                <w:spacing w:val="2"/>
                <w:sz w:val="18"/>
              </w:rPr>
              <w:t> </w:t>
            </w:r>
            <w:r>
              <w:rPr>
                <w:spacing w:val="-4"/>
                <w:sz w:val="18"/>
              </w:rPr>
              <w:t>2025</w:t>
            </w:r>
          </w:p>
        </w:tc>
        <w:tc>
          <w:tcPr>
            <w:tcW w:w="1781" w:type="dxa"/>
          </w:tcPr>
          <w:p>
            <w:pPr>
              <w:pStyle w:val="TableParagraph"/>
              <w:spacing w:before="205"/>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spacing w:before="205"/>
              <w:rPr>
                <w:b/>
                <w:sz w:val="18"/>
              </w:rPr>
            </w:pPr>
          </w:p>
          <w:p>
            <w:pPr>
              <w:pStyle w:val="TableParagraph"/>
              <w:ind w:left="118" w:right="109"/>
              <w:jc w:val="center"/>
              <w:rPr>
                <w:sz w:val="18"/>
              </w:rPr>
            </w:pPr>
            <w:r>
              <w:rPr>
                <w:sz w:val="18"/>
              </w:rPr>
              <w:t>1</w:t>
            </w:r>
            <w:r>
              <w:rPr>
                <w:spacing w:val="2"/>
                <w:sz w:val="18"/>
              </w:rPr>
              <w:t> </w:t>
            </w:r>
            <w:r>
              <w:rPr>
                <w:spacing w:val="-2"/>
                <w:sz w:val="18"/>
              </w:rPr>
              <w:t>sesión</w:t>
            </w:r>
          </w:p>
        </w:tc>
        <w:tc>
          <w:tcPr>
            <w:tcW w:w="1431" w:type="dxa"/>
          </w:tcPr>
          <w:p>
            <w:pPr>
              <w:pStyle w:val="TableParagraph"/>
              <w:spacing w:line="242" w:lineRule="auto" w:before="205"/>
              <w:ind w:left="201" w:right="180" w:firstLine="67"/>
              <w:jc w:val="both"/>
              <w:rPr>
                <w:sz w:val="18"/>
              </w:rPr>
            </w:pPr>
            <w:r>
              <w:rPr>
                <w:sz w:val="18"/>
              </w:rPr>
              <w:t>Número de sesiones de </w:t>
            </w:r>
            <w:r>
              <w:rPr>
                <w:spacing w:val="-2"/>
                <w:sz w:val="18"/>
              </w:rPr>
              <w:t>presentación</w:t>
            </w:r>
          </w:p>
        </w:tc>
        <w:tc>
          <w:tcPr>
            <w:tcW w:w="2017" w:type="dxa"/>
          </w:tcPr>
          <w:p>
            <w:pPr>
              <w:pStyle w:val="TableParagraph"/>
              <w:spacing w:line="242" w:lineRule="auto" w:before="205"/>
              <w:ind w:left="71" w:right="377"/>
              <w:rPr>
                <w:sz w:val="18"/>
              </w:rPr>
            </w:pPr>
            <w:r>
              <w:rPr>
                <w:sz w:val="18"/>
              </w:rPr>
              <w:t>Documento de </w:t>
            </w:r>
            <w:r>
              <w:rPr>
                <w:spacing w:val="-2"/>
                <w:sz w:val="18"/>
              </w:rPr>
              <w:t>presentación-Oficio remitido</w:t>
            </w:r>
          </w:p>
        </w:tc>
        <w:tc>
          <w:tcPr>
            <w:tcW w:w="1259" w:type="dxa"/>
          </w:tcPr>
          <w:p>
            <w:pPr>
              <w:pStyle w:val="TableParagraph"/>
              <w:spacing w:line="242" w:lineRule="auto" w:before="205"/>
              <w:ind w:left="66" w:right="179"/>
              <w:rPr>
                <w:sz w:val="18"/>
              </w:rPr>
            </w:pPr>
            <w:r>
              <w:rPr>
                <w:sz w:val="18"/>
              </w:rPr>
              <w:t>Secretaría</w:t>
            </w:r>
            <w:r>
              <w:rPr>
                <w:spacing w:val="-13"/>
                <w:sz w:val="18"/>
              </w:rPr>
              <w:t> </w:t>
            </w:r>
            <w:r>
              <w:rPr>
                <w:sz w:val="18"/>
              </w:rPr>
              <w:t>y </w:t>
            </w:r>
            <w:r>
              <w:rPr>
                <w:spacing w:val="-2"/>
                <w:sz w:val="18"/>
              </w:rPr>
              <w:t>Rectoría </w:t>
            </w:r>
            <w:r>
              <w:rPr>
                <w:sz w:val="18"/>
              </w:rPr>
              <w:t>Sector</w:t>
            </w:r>
            <w:r>
              <w:rPr>
                <w:spacing w:val="-13"/>
                <w:sz w:val="18"/>
              </w:rPr>
              <w:t> </w:t>
            </w:r>
            <w:r>
              <w:rPr>
                <w:sz w:val="18"/>
              </w:rPr>
              <w:t>BTIS</w:t>
            </w:r>
          </w:p>
        </w:tc>
        <w:tc>
          <w:tcPr>
            <w:tcW w:w="1230" w:type="dxa"/>
          </w:tcPr>
          <w:p>
            <w:pPr>
              <w:pStyle w:val="TableParagraph"/>
              <w:rPr>
                <w:rFonts w:ascii="Times New Roman"/>
                <w:sz w:val="18"/>
              </w:rPr>
            </w:pPr>
          </w:p>
        </w:tc>
        <w:tc>
          <w:tcPr>
            <w:tcW w:w="2362" w:type="dxa"/>
            <w:vMerge/>
            <w:tcBorders>
              <w:top w:val="nil"/>
            </w:tcBorders>
          </w:tcPr>
          <w:p>
            <w:pPr>
              <w:rPr>
                <w:sz w:val="2"/>
                <w:szCs w:val="2"/>
              </w:rPr>
            </w:pPr>
          </w:p>
        </w:tc>
      </w:tr>
      <w:tr>
        <w:trPr>
          <w:trHeight w:val="1036" w:hRule="atLeast"/>
        </w:trPr>
        <w:tc>
          <w:tcPr>
            <w:tcW w:w="2574" w:type="dxa"/>
          </w:tcPr>
          <w:p>
            <w:pPr>
              <w:pStyle w:val="TableParagraph"/>
              <w:ind w:left="72" w:right="82"/>
              <w:rPr>
                <w:sz w:val="18"/>
              </w:rPr>
            </w:pPr>
            <w:r>
              <w:rPr>
                <w:b/>
                <w:sz w:val="18"/>
              </w:rPr>
              <w:t>Actividad PAC 2.89.4: </w:t>
            </w:r>
            <w:r>
              <w:rPr>
                <w:sz w:val="18"/>
              </w:rPr>
              <w:t>Sesiones</w:t>
            </w:r>
            <w:r>
              <w:rPr>
                <w:spacing w:val="-11"/>
                <w:sz w:val="18"/>
              </w:rPr>
              <w:t> </w:t>
            </w:r>
            <w:r>
              <w:rPr>
                <w:sz w:val="18"/>
              </w:rPr>
              <w:t>de</w:t>
            </w:r>
            <w:r>
              <w:rPr>
                <w:spacing w:val="-12"/>
                <w:sz w:val="18"/>
              </w:rPr>
              <w:t> </w:t>
            </w:r>
            <w:r>
              <w:rPr>
                <w:sz w:val="18"/>
              </w:rPr>
              <w:t>coordinación</w:t>
            </w:r>
            <w:r>
              <w:rPr>
                <w:spacing w:val="-12"/>
                <w:sz w:val="18"/>
              </w:rPr>
              <w:t> </w:t>
            </w:r>
            <w:r>
              <w:rPr>
                <w:sz w:val="18"/>
              </w:rPr>
              <w:t>con la Secretaría de los ODS (MIDEPLAN) sobre la</w:t>
            </w:r>
          </w:p>
          <w:p>
            <w:pPr>
              <w:pStyle w:val="TableParagraph"/>
              <w:spacing w:line="190" w:lineRule="exact"/>
              <w:ind w:left="72"/>
              <w:rPr>
                <w:sz w:val="18"/>
              </w:rPr>
            </w:pPr>
            <w:r>
              <w:rPr>
                <w:sz w:val="18"/>
              </w:rPr>
              <w:t>información</w:t>
            </w:r>
            <w:r>
              <w:rPr>
                <w:spacing w:val="-7"/>
                <w:sz w:val="18"/>
              </w:rPr>
              <w:t> </w:t>
            </w:r>
            <w:r>
              <w:rPr>
                <w:spacing w:val="-2"/>
                <w:sz w:val="18"/>
              </w:rPr>
              <w:t>reportada</w:t>
            </w:r>
          </w:p>
        </w:tc>
        <w:tc>
          <w:tcPr>
            <w:tcW w:w="1781" w:type="dxa"/>
          </w:tcPr>
          <w:p>
            <w:pPr>
              <w:pStyle w:val="TableParagraph"/>
              <w:spacing w:before="205"/>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spacing w:before="103"/>
              <w:rPr>
                <w:b/>
                <w:sz w:val="18"/>
              </w:rPr>
            </w:pPr>
          </w:p>
          <w:p>
            <w:pPr>
              <w:pStyle w:val="TableParagraph"/>
              <w:spacing w:before="1"/>
              <w:ind w:left="282" w:firstLine="52"/>
              <w:rPr>
                <w:sz w:val="18"/>
              </w:rPr>
            </w:pPr>
            <w:r>
              <w:rPr>
                <w:sz w:val="18"/>
              </w:rPr>
              <w:t>1 sesión de </w:t>
            </w:r>
            <w:r>
              <w:rPr>
                <w:spacing w:val="-2"/>
                <w:sz w:val="18"/>
              </w:rPr>
              <w:t>coordinación</w:t>
            </w:r>
          </w:p>
        </w:tc>
        <w:tc>
          <w:tcPr>
            <w:tcW w:w="1431" w:type="dxa"/>
          </w:tcPr>
          <w:p>
            <w:pPr>
              <w:pStyle w:val="TableParagraph"/>
              <w:spacing w:before="205"/>
              <w:ind w:left="206" w:right="184" w:firstLine="62"/>
              <w:jc w:val="both"/>
              <w:rPr>
                <w:sz w:val="18"/>
              </w:rPr>
            </w:pPr>
            <w:r>
              <w:rPr>
                <w:sz w:val="18"/>
              </w:rPr>
              <w:t>Número de sesiones de </w:t>
            </w:r>
            <w:r>
              <w:rPr>
                <w:spacing w:val="-2"/>
                <w:sz w:val="18"/>
              </w:rPr>
              <w:t>coordinación</w:t>
            </w:r>
          </w:p>
        </w:tc>
        <w:tc>
          <w:tcPr>
            <w:tcW w:w="2017" w:type="dxa"/>
          </w:tcPr>
          <w:p>
            <w:pPr>
              <w:pStyle w:val="TableParagraph"/>
              <w:spacing w:before="205"/>
              <w:rPr>
                <w:b/>
                <w:sz w:val="18"/>
              </w:rPr>
            </w:pPr>
          </w:p>
          <w:p>
            <w:pPr>
              <w:pStyle w:val="TableParagraph"/>
              <w:ind w:left="71"/>
              <w:rPr>
                <w:sz w:val="18"/>
              </w:rPr>
            </w:pPr>
            <w:r>
              <w:rPr>
                <w:sz w:val="18"/>
              </w:rPr>
              <w:t>Minuta</w:t>
            </w:r>
            <w:r>
              <w:rPr>
                <w:spacing w:val="-3"/>
                <w:sz w:val="18"/>
              </w:rPr>
              <w:t> </w:t>
            </w:r>
            <w:r>
              <w:rPr>
                <w:sz w:val="18"/>
              </w:rPr>
              <w:t>de</w:t>
            </w:r>
            <w:r>
              <w:rPr>
                <w:spacing w:val="-2"/>
                <w:sz w:val="18"/>
              </w:rPr>
              <w:t> </w:t>
            </w:r>
            <w:r>
              <w:rPr>
                <w:sz w:val="18"/>
              </w:rPr>
              <w:t>la</w:t>
            </w:r>
            <w:r>
              <w:rPr>
                <w:spacing w:val="-3"/>
                <w:sz w:val="18"/>
              </w:rPr>
              <w:t> </w:t>
            </w:r>
            <w:r>
              <w:rPr>
                <w:spacing w:val="-2"/>
                <w:sz w:val="18"/>
              </w:rPr>
              <w:t>sesión</w:t>
            </w:r>
          </w:p>
        </w:tc>
        <w:tc>
          <w:tcPr>
            <w:tcW w:w="1259" w:type="dxa"/>
          </w:tcPr>
          <w:p>
            <w:pPr>
              <w:pStyle w:val="TableParagraph"/>
              <w:spacing w:line="242" w:lineRule="auto" w:before="99"/>
              <w:ind w:left="66"/>
              <w:rPr>
                <w:sz w:val="18"/>
              </w:rPr>
            </w:pPr>
            <w:r>
              <w:rPr>
                <w:spacing w:val="-2"/>
                <w:sz w:val="18"/>
              </w:rPr>
              <w:t>Secretaría </w:t>
            </w:r>
            <w:r>
              <w:rPr>
                <w:sz w:val="18"/>
              </w:rPr>
              <w:t>Sector</w:t>
            </w:r>
            <w:r>
              <w:rPr>
                <w:spacing w:val="-15"/>
                <w:sz w:val="18"/>
              </w:rPr>
              <w:t> </w:t>
            </w:r>
            <w:r>
              <w:rPr>
                <w:sz w:val="18"/>
              </w:rPr>
              <w:t>BTIS</w:t>
            </w:r>
            <w:r>
              <w:rPr>
                <w:spacing w:val="-12"/>
                <w:sz w:val="18"/>
              </w:rPr>
              <w:t> </w:t>
            </w:r>
            <w:r>
              <w:rPr>
                <w:sz w:val="18"/>
              </w:rPr>
              <w:t>y Secretaría</w:t>
            </w:r>
            <w:r>
              <w:rPr>
                <w:spacing w:val="-6"/>
                <w:sz w:val="18"/>
              </w:rPr>
              <w:t> </w:t>
            </w:r>
            <w:r>
              <w:rPr>
                <w:sz w:val="18"/>
              </w:rPr>
              <w:t>de los ODS</w:t>
            </w:r>
          </w:p>
        </w:tc>
        <w:tc>
          <w:tcPr>
            <w:tcW w:w="1230" w:type="dxa"/>
          </w:tcPr>
          <w:p>
            <w:pPr>
              <w:pStyle w:val="TableParagraph"/>
              <w:rPr>
                <w:rFonts w:ascii="Times New Roman"/>
                <w:sz w:val="18"/>
              </w:rPr>
            </w:pPr>
          </w:p>
        </w:tc>
        <w:tc>
          <w:tcPr>
            <w:tcW w:w="2362" w:type="dxa"/>
            <w:vMerge/>
            <w:tcBorders>
              <w:top w:val="nil"/>
            </w:tcBorders>
          </w:tcPr>
          <w:p>
            <w:pPr>
              <w:rPr>
                <w:sz w:val="2"/>
                <w:szCs w:val="2"/>
              </w:rPr>
            </w:pPr>
          </w:p>
        </w:tc>
      </w:tr>
    </w:tbl>
    <w:p>
      <w:pPr>
        <w:spacing w:after="0"/>
        <w:rPr>
          <w:sz w:val="2"/>
          <w:szCs w:val="2"/>
        </w:rPr>
        <w:sectPr>
          <w:footerReference w:type="default" r:id="rId81"/>
          <w:pgSz w:w="15840" w:h="12240" w:orient="landscape"/>
          <w:pgMar w:header="0" w:footer="1806" w:top="700" w:bottom="2468" w:left="360" w:right="360"/>
          <w:pgNumType w:start="263"/>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4"/>
        <w:gridCol w:w="1781"/>
        <w:gridCol w:w="1599"/>
        <w:gridCol w:w="1431"/>
        <w:gridCol w:w="2017"/>
        <w:gridCol w:w="1259"/>
        <w:gridCol w:w="1231"/>
        <w:gridCol w:w="2363"/>
      </w:tblGrid>
      <w:tr>
        <w:trPr>
          <w:trHeight w:val="671" w:hRule="atLeast"/>
        </w:trPr>
        <w:tc>
          <w:tcPr>
            <w:tcW w:w="2574" w:type="dxa"/>
            <w:shd w:val="clear" w:color="auto" w:fill="F1F1F1"/>
          </w:tcPr>
          <w:p>
            <w:pPr>
              <w:pStyle w:val="TableParagraph"/>
              <w:spacing w:before="22"/>
              <w:rPr>
                <w:b/>
                <w:sz w:val="18"/>
              </w:rPr>
            </w:pPr>
          </w:p>
          <w:p>
            <w:pPr>
              <w:pStyle w:val="TableParagraph"/>
              <w:ind w:left="317"/>
              <w:rPr>
                <w:b/>
                <w:sz w:val="18"/>
              </w:rPr>
            </w:pPr>
            <w:r>
              <w:rPr>
                <w:b/>
                <w:sz w:val="18"/>
              </w:rPr>
              <w:t>Objetivos</w:t>
            </w:r>
            <w:r>
              <w:rPr>
                <w:b/>
                <w:spacing w:val="-5"/>
                <w:sz w:val="18"/>
              </w:rPr>
              <w:t> </w:t>
            </w:r>
            <w:r>
              <w:rPr>
                <w:b/>
                <w:sz w:val="18"/>
              </w:rPr>
              <w:t>/</w:t>
            </w:r>
            <w:r>
              <w:rPr>
                <w:b/>
                <w:spacing w:val="-2"/>
                <w:sz w:val="18"/>
              </w:rPr>
              <w:t> Resultados</w:t>
            </w:r>
          </w:p>
        </w:tc>
        <w:tc>
          <w:tcPr>
            <w:tcW w:w="1781" w:type="dxa"/>
            <w:shd w:val="clear" w:color="auto" w:fill="F1F1F1"/>
          </w:tcPr>
          <w:p>
            <w:pPr>
              <w:pStyle w:val="TableParagraph"/>
              <w:spacing w:before="22"/>
              <w:rPr>
                <w:b/>
                <w:sz w:val="18"/>
              </w:rPr>
            </w:pPr>
          </w:p>
          <w:p>
            <w:pPr>
              <w:pStyle w:val="TableParagraph"/>
              <w:ind w:left="11"/>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599" w:type="dxa"/>
            <w:shd w:val="clear" w:color="auto" w:fill="F1F1F1"/>
          </w:tcPr>
          <w:p>
            <w:pPr>
              <w:pStyle w:val="TableParagraph"/>
              <w:spacing w:before="23"/>
              <w:ind w:left="115" w:right="109"/>
              <w:jc w:val="center"/>
              <w:rPr>
                <w:b/>
                <w:sz w:val="18"/>
              </w:rPr>
            </w:pPr>
            <w:r>
              <w:rPr>
                <w:b/>
                <w:spacing w:val="-4"/>
                <w:sz w:val="18"/>
              </w:rPr>
              <w:t>Meta </w:t>
            </w:r>
            <w:r>
              <w:rPr>
                <w:b/>
                <w:spacing w:val="-2"/>
                <w:sz w:val="18"/>
              </w:rPr>
              <w:t>programada </w:t>
            </w:r>
            <w:r>
              <w:rPr>
                <w:b/>
                <w:spacing w:val="-4"/>
                <w:sz w:val="18"/>
              </w:rPr>
              <w:t>2026</w:t>
            </w:r>
          </w:p>
        </w:tc>
        <w:tc>
          <w:tcPr>
            <w:tcW w:w="1431" w:type="dxa"/>
            <w:shd w:val="clear" w:color="auto" w:fill="F1F1F1"/>
          </w:tcPr>
          <w:p>
            <w:pPr>
              <w:pStyle w:val="TableParagraph"/>
              <w:spacing w:before="22"/>
              <w:rPr>
                <w:b/>
                <w:sz w:val="18"/>
              </w:rPr>
            </w:pPr>
          </w:p>
          <w:p>
            <w:pPr>
              <w:pStyle w:val="TableParagraph"/>
              <w:ind w:left="311"/>
              <w:rPr>
                <w:b/>
                <w:sz w:val="18"/>
              </w:rPr>
            </w:pPr>
            <w:r>
              <w:rPr>
                <w:b/>
                <w:spacing w:val="-2"/>
                <w:sz w:val="18"/>
              </w:rPr>
              <w:t>Indicador</w:t>
            </w:r>
          </w:p>
        </w:tc>
        <w:tc>
          <w:tcPr>
            <w:tcW w:w="2017" w:type="dxa"/>
            <w:shd w:val="clear" w:color="auto" w:fill="F1F1F1"/>
          </w:tcPr>
          <w:p>
            <w:pPr>
              <w:pStyle w:val="TableParagraph"/>
              <w:spacing w:before="128"/>
              <w:ind w:left="508" w:right="121" w:firstLine="57"/>
              <w:rPr>
                <w:b/>
                <w:sz w:val="18"/>
              </w:rPr>
            </w:pPr>
            <w:r>
              <w:rPr>
                <w:b/>
                <w:sz w:val="18"/>
              </w:rPr>
              <w:t>Medios de </w:t>
            </w:r>
            <w:r>
              <w:rPr>
                <w:b/>
                <w:spacing w:val="-2"/>
                <w:sz w:val="18"/>
              </w:rPr>
              <w:t>verificación</w:t>
            </w:r>
          </w:p>
        </w:tc>
        <w:tc>
          <w:tcPr>
            <w:tcW w:w="1259" w:type="dxa"/>
            <w:shd w:val="clear" w:color="auto" w:fill="F1F1F1"/>
          </w:tcPr>
          <w:p>
            <w:pPr>
              <w:pStyle w:val="TableParagraph"/>
              <w:spacing w:before="22"/>
              <w:rPr>
                <w:b/>
                <w:sz w:val="18"/>
              </w:rPr>
            </w:pPr>
          </w:p>
          <w:p>
            <w:pPr>
              <w:pStyle w:val="TableParagraph"/>
              <w:ind w:left="66"/>
              <w:rPr>
                <w:b/>
                <w:sz w:val="18"/>
              </w:rPr>
            </w:pPr>
            <w:r>
              <w:rPr>
                <w:b/>
                <w:spacing w:val="-2"/>
                <w:sz w:val="18"/>
              </w:rPr>
              <w:t>Responsable</w:t>
            </w:r>
          </w:p>
        </w:tc>
        <w:tc>
          <w:tcPr>
            <w:tcW w:w="1231" w:type="dxa"/>
            <w:shd w:val="clear" w:color="auto" w:fill="F1F1F1"/>
          </w:tcPr>
          <w:p>
            <w:pPr>
              <w:pStyle w:val="TableParagraph"/>
              <w:spacing w:before="128"/>
              <w:ind w:left="218" w:hanging="149"/>
              <w:rPr>
                <w:b/>
                <w:sz w:val="18"/>
              </w:rPr>
            </w:pPr>
            <w:r>
              <w:rPr>
                <w:b/>
                <w:spacing w:val="-2"/>
                <w:sz w:val="18"/>
              </w:rPr>
              <w:t>Presupuesto asignado</w:t>
            </w:r>
          </w:p>
        </w:tc>
        <w:tc>
          <w:tcPr>
            <w:tcW w:w="2363" w:type="dxa"/>
            <w:shd w:val="clear" w:color="auto" w:fill="F1F1F1"/>
          </w:tcPr>
          <w:p>
            <w:pPr>
              <w:pStyle w:val="TableParagraph"/>
              <w:spacing w:before="128"/>
              <w:ind w:left="591" w:right="53" w:hanging="231"/>
              <w:rPr>
                <w:b/>
                <w:sz w:val="18"/>
              </w:rPr>
            </w:pPr>
            <w:r>
              <w:rPr>
                <w:b/>
                <w:sz w:val="18"/>
              </w:rPr>
              <w:t>Riesgo</w:t>
            </w:r>
            <w:r>
              <w:rPr>
                <w:b/>
                <w:spacing w:val="-15"/>
                <w:sz w:val="18"/>
              </w:rPr>
              <w:t> </w:t>
            </w:r>
            <w:r>
              <w:rPr>
                <w:b/>
                <w:sz w:val="18"/>
              </w:rPr>
              <w:t>asociado</w:t>
            </w:r>
            <w:r>
              <w:rPr>
                <w:b/>
                <w:spacing w:val="-12"/>
                <w:sz w:val="18"/>
              </w:rPr>
              <w:t> </w:t>
            </w:r>
            <w:r>
              <w:rPr>
                <w:b/>
                <w:sz w:val="18"/>
              </w:rPr>
              <w:t>al </w:t>
            </w:r>
            <w:r>
              <w:rPr>
                <w:b/>
                <w:spacing w:val="-2"/>
                <w:sz w:val="18"/>
              </w:rPr>
              <w:t>cumplimiento</w:t>
            </w:r>
          </w:p>
        </w:tc>
      </w:tr>
      <w:tr>
        <w:trPr>
          <w:trHeight w:val="734" w:hRule="atLeast"/>
        </w:trPr>
        <w:tc>
          <w:tcPr>
            <w:tcW w:w="14255" w:type="dxa"/>
            <w:gridSpan w:val="8"/>
            <w:shd w:val="clear" w:color="auto" w:fill="EFF8F9"/>
          </w:tcPr>
          <w:p>
            <w:pPr>
              <w:pStyle w:val="TableParagraph"/>
              <w:spacing w:before="157"/>
              <w:ind w:left="72"/>
              <w:rPr>
                <w:b/>
                <w:sz w:val="18"/>
              </w:rPr>
            </w:pPr>
            <w:r>
              <w:rPr>
                <w:b/>
                <w:sz w:val="18"/>
              </w:rPr>
              <w:t>Producto</w:t>
            </w:r>
            <w:r>
              <w:rPr>
                <w:b/>
                <w:spacing w:val="-4"/>
                <w:sz w:val="18"/>
              </w:rPr>
              <w:t> </w:t>
            </w:r>
            <w:r>
              <w:rPr>
                <w:b/>
                <w:sz w:val="18"/>
              </w:rPr>
              <w:t>PAC</w:t>
            </w:r>
            <w:r>
              <w:rPr>
                <w:b/>
                <w:spacing w:val="-5"/>
                <w:sz w:val="18"/>
              </w:rPr>
              <w:t> </w:t>
            </w:r>
            <w:r>
              <w:rPr>
                <w:b/>
                <w:sz w:val="18"/>
              </w:rPr>
              <w:t>2.90:</w:t>
            </w:r>
            <w:r>
              <w:rPr>
                <w:b/>
                <w:spacing w:val="40"/>
                <w:sz w:val="18"/>
              </w:rPr>
              <w:t> </w:t>
            </w:r>
            <w:r>
              <w:rPr>
                <w:b/>
                <w:sz w:val="18"/>
              </w:rPr>
              <w:t>Instituciones</w:t>
            </w:r>
            <w:r>
              <w:rPr>
                <w:b/>
                <w:spacing w:val="-3"/>
                <w:sz w:val="18"/>
              </w:rPr>
              <w:t> </w:t>
            </w:r>
            <w:r>
              <w:rPr>
                <w:b/>
                <w:sz w:val="18"/>
              </w:rPr>
              <w:t>que</w:t>
            </w:r>
            <w:r>
              <w:rPr>
                <w:b/>
                <w:spacing w:val="-3"/>
                <w:sz w:val="18"/>
              </w:rPr>
              <w:t> </w:t>
            </w:r>
            <w:r>
              <w:rPr>
                <w:b/>
                <w:sz w:val="18"/>
              </w:rPr>
              <w:t>ejecutan</w:t>
            </w:r>
            <w:r>
              <w:rPr>
                <w:b/>
                <w:spacing w:val="-4"/>
                <w:sz w:val="18"/>
              </w:rPr>
              <w:t> </w:t>
            </w:r>
            <w:r>
              <w:rPr>
                <w:b/>
                <w:sz w:val="18"/>
              </w:rPr>
              <w:t>programas sociales</w:t>
            </w:r>
            <w:r>
              <w:rPr>
                <w:b/>
                <w:spacing w:val="-3"/>
                <w:sz w:val="18"/>
              </w:rPr>
              <w:t> </w:t>
            </w:r>
            <w:r>
              <w:rPr>
                <w:b/>
                <w:sz w:val="18"/>
              </w:rPr>
              <w:t>incorporando</w:t>
            </w:r>
            <w:r>
              <w:rPr>
                <w:b/>
                <w:spacing w:val="-4"/>
                <w:sz w:val="18"/>
              </w:rPr>
              <w:t> </w:t>
            </w:r>
            <w:r>
              <w:rPr>
                <w:b/>
                <w:sz w:val="18"/>
              </w:rPr>
              <w:t>acciones</w:t>
            </w:r>
            <w:r>
              <w:rPr>
                <w:b/>
                <w:spacing w:val="-3"/>
                <w:sz w:val="18"/>
              </w:rPr>
              <w:t> </w:t>
            </w:r>
            <w:r>
              <w:rPr>
                <w:b/>
                <w:sz w:val="18"/>
              </w:rPr>
              <w:t>en sus</w:t>
            </w:r>
            <w:r>
              <w:rPr>
                <w:b/>
                <w:spacing w:val="-3"/>
                <w:sz w:val="18"/>
              </w:rPr>
              <w:t> </w:t>
            </w:r>
            <w:r>
              <w:rPr>
                <w:b/>
                <w:sz w:val="18"/>
              </w:rPr>
              <w:t>instrumentos</w:t>
            </w:r>
            <w:r>
              <w:rPr>
                <w:b/>
                <w:spacing w:val="-3"/>
                <w:sz w:val="18"/>
              </w:rPr>
              <w:t> </w:t>
            </w:r>
            <w:r>
              <w:rPr>
                <w:b/>
                <w:sz w:val="18"/>
              </w:rPr>
              <w:t>de planificación para</w:t>
            </w:r>
            <w:r>
              <w:rPr>
                <w:b/>
                <w:spacing w:val="-3"/>
                <w:sz w:val="18"/>
              </w:rPr>
              <w:t> </w:t>
            </w:r>
            <w:r>
              <w:rPr>
                <w:b/>
                <w:sz w:val="18"/>
              </w:rPr>
              <w:t>el</w:t>
            </w:r>
            <w:r>
              <w:rPr>
                <w:b/>
                <w:spacing w:val="-1"/>
                <w:sz w:val="18"/>
              </w:rPr>
              <w:t> </w:t>
            </w:r>
            <w:r>
              <w:rPr>
                <w:b/>
                <w:sz w:val="18"/>
              </w:rPr>
              <w:t>cumplimiento</w:t>
            </w:r>
            <w:r>
              <w:rPr>
                <w:b/>
                <w:spacing w:val="-4"/>
                <w:sz w:val="18"/>
              </w:rPr>
              <w:t> </w:t>
            </w:r>
            <w:r>
              <w:rPr>
                <w:b/>
                <w:sz w:val="18"/>
              </w:rPr>
              <w:t>del</w:t>
            </w:r>
            <w:r>
              <w:rPr>
                <w:b/>
                <w:spacing w:val="-1"/>
                <w:sz w:val="18"/>
              </w:rPr>
              <w:t> </w:t>
            </w:r>
            <w:r>
              <w:rPr>
                <w:b/>
                <w:sz w:val="18"/>
              </w:rPr>
              <w:t>ODS</w:t>
            </w:r>
            <w:r>
              <w:rPr>
                <w:b/>
                <w:spacing w:val="-4"/>
                <w:sz w:val="18"/>
              </w:rPr>
              <w:t> </w:t>
            </w:r>
            <w:r>
              <w:rPr>
                <w:b/>
                <w:sz w:val="18"/>
              </w:rPr>
              <w:t>1 y afines. (E4 AE3 R3) (60%)</w:t>
            </w:r>
          </w:p>
        </w:tc>
      </w:tr>
      <w:tr>
        <w:trPr>
          <w:trHeight w:val="1094" w:hRule="atLeast"/>
        </w:trPr>
        <w:tc>
          <w:tcPr>
            <w:tcW w:w="2574" w:type="dxa"/>
          </w:tcPr>
          <w:p>
            <w:pPr>
              <w:pStyle w:val="TableParagraph"/>
              <w:spacing w:before="27"/>
              <w:ind w:left="72"/>
              <w:rPr>
                <w:sz w:val="18"/>
              </w:rPr>
            </w:pPr>
            <w:r>
              <w:rPr>
                <w:b/>
                <w:sz w:val="18"/>
              </w:rPr>
              <w:t>Actividad PAC 2.90.1: </w:t>
            </w:r>
            <w:r>
              <w:rPr>
                <w:sz w:val="18"/>
              </w:rPr>
              <w:t>Solicitud</w:t>
            </w:r>
            <w:r>
              <w:rPr>
                <w:spacing w:val="-7"/>
                <w:sz w:val="18"/>
              </w:rPr>
              <w:t> </w:t>
            </w:r>
            <w:r>
              <w:rPr>
                <w:sz w:val="18"/>
              </w:rPr>
              <w:t>de</w:t>
            </w:r>
            <w:r>
              <w:rPr>
                <w:spacing w:val="-10"/>
                <w:sz w:val="18"/>
              </w:rPr>
              <w:t> </w:t>
            </w:r>
            <w:r>
              <w:rPr>
                <w:sz w:val="18"/>
              </w:rPr>
              <w:t>información</w:t>
            </w:r>
            <w:r>
              <w:rPr>
                <w:spacing w:val="-10"/>
                <w:sz w:val="18"/>
              </w:rPr>
              <w:t> </w:t>
            </w:r>
            <w:r>
              <w:rPr>
                <w:sz w:val="18"/>
              </w:rPr>
              <w:t>a</w:t>
            </w:r>
            <w:r>
              <w:rPr>
                <w:spacing w:val="-7"/>
                <w:sz w:val="18"/>
              </w:rPr>
              <w:t> </w:t>
            </w:r>
            <w:r>
              <w:rPr>
                <w:sz w:val="18"/>
              </w:rPr>
              <w:t>las instituciones sobre acciones vinculadas en sus POI para cumplir con el ODS 1</w:t>
            </w:r>
          </w:p>
        </w:tc>
        <w:tc>
          <w:tcPr>
            <w:tcW w:w="1781" w:type="dxa"/>
          </w:tcPr>
          <w:p>
            <w:pPr>
              <w:pStyle w:val="TableParagraph"/>
              <w:rPr>
                <w:b/>
                <w:sz w:val="18"/>
              </w:rPr>
            </w:pPr>
          </w:p>
          <w:p>
            <w:pPr>
              <w:pStyle w:val="TableParagraph"/>
              <w:spacing w:before="26"/>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spacing w:before="27"/>
              <w:rPr>
                <w:b/>
                <w:sz w:val="18"/>
              </w:rPr>
            </w:pPr>
          </w:p>
          <w:p>
            <w:pPr>
              <w:pStyle w:val="TableParagraph"/>
              <w:spacing w:line="207" w:lineRule="exact"/>
              <w:ind w:left="117" w:right="109"/>
              <w:jc w:val="center"/>
              <w:rPr>
                <w:sz w:val="18"/>
              </w:rPr>
            </w:pPr>
            <w:r>
              <w:rPr>
                <w:spacing w:val="-4"/>
                <w:sz w:val="18"/>
              </w:rPr>
              <w:t>100%</w:t>
            </w:r>
          </w:p>
          <w:p>
            <w:pPr>
              <w:pStyle w:val="TableParagraph"/>
              <w:spacing w:line="244" w:lineRule="auto"/>
              <w:ind w:left="115" w:right="114"/>
              <w:jc w:val="center"/>
              <w:rPr>
                <w:sz w:val="18"/>
              </w:rPr>
            </w:pPr>
            <w:r>
              <w:rPr>
                <w:spacing w:val="-2"/>
                <w:sz w:val="18"/>
              </w:rPr>
              <w:t>instituciones consultadas</w:t>
            </w:r>
          </w:p>
        </w:tc>
        <w:tc>
          <w:tcPr>
            <w:tcW w:w="1431" w:type="dxa"/>
          </w:tcPr>
          <w:p>
            <w:pPr>
              <w:pStyle w:val="TableParagraph"/>
              <w:spacing w:before="27"/>
              <w:rPr>
                <w:b/>
                <w:sz w:val="18"/>
              </w:rPr>
            </w:pPr>
          </w:p>
          <w:p>
            <w:pPr>
              <w:pStyle w:val="TableParagraph"/>
              <w:spacing w:line="242" w:lineRule="auto"/>
              <w:ind w:left="220" w:right="146" w:hanging="63"/>
              <w:rPr>
                <w:sz w:val="18"/>
              </w:rPr>
            </w:pPr>
            <w:r>
              <w:rPr>
                <w:sz w:val="18"/>
              </w:rPr>
              <w:t>Porcentaje</w:t>
            </w:r>
            <w:r>
              <w:rPr>
                <w:spacing w:val="-13"/>
                <w:sz w:val="18"/>
              </w:rPr>
              <w:t> </w:t>
            </w:r>
            <w:r>
              <w:rPr>
                <w:sz w:val="18"/>
              </w:rPr>
              <w:t>de </w:t>
            </w:r>
            <w:r>
              <w:rPr>
                <w:spacing w:val="-2"/>
                <w:sz w:val="18"/>
              </w:rPr>
              <w:t>instituciones consultadas</w:t>
            </w:r>
          </w:p>
        </w:tc>
        <w:tc>
          <w:tcPr>
            <w:tcW w:w="2017" w:type="dxa"/>
          </w:tcPr>
          <w:p>
            <w:pPr>
              <w:pStyle w:val="TableParagraph"/>
              <w:spacing w:before="133"/>
              <w:ind w:left="71" w:right="121"/>
              <w:rPr>
                <w:sz w:val="18"/>
              </w:rPr>
            </w:pPr>
            <w:r>
              <w:rPr>
                <w:sz w:val="18"/>
              </w:rPr>
              <w:t>Oficios</w:t>
            </w:r>
            <w:r>
              <w:rPr>
                <w:spacing w:val="-13"/>
                <w:sz w:val="18"/>
              </w:rPr>
              <w:t> </w:t>
            </w:r>
            <w:r>
              <w:rPr>
                <w:sz w:val="18"/>
              </w:rPr>
              <w:t>remitidos</w:t>
            </w:r>
            <w:r>
              <w:rPr>
                <w:spacing w:val="-12"/>
                <w:sz w:val="18"/>
              </w:rPr>
              <w:t> </w:t>
            </w:r>
            <w:r>
              <w:rPr>
                <w:sz w:val="18"/>
              </w:rPr>
              <w:t>a</w:t>
            </w:r>
            <w:r>
              <w:rPr>
                <w:spacing w:val="-8"/>
                <w:sz w:val="18"/>
              </w:rPr>
              <w:t> </w:t>
            </w:r>
            <w:r>
              <w:rPr>
                <w:sz w:val="18"/>
              </w:rPr>
              <w:t>las instituciones que indique el decreto IMAS IMPULSA</w:t>
            </w:r>
          </w:p>
        </w:tc>
        <w:tc>
          <w:tcPr>
            <w:tcW w:w="1259" w:type="dxa"/>
          </w:tcPr>
          <w:p>
            <w:pPr>
              <w:pStyle w:val="TableParagraph"/>
              <w:spacing w:before="132"/>
              <w:rPr>
                <w:b/>
                <w:sz w:val="18"/>
              </w:rPr>
            </w:pPr>
          </w:p>
          <w:p>
            <w:pPr>
              <w:pStyle w:val="TableParagraph"/>
              <w:ind w:left="66"/>
              <w:rPr>
                <w:sz w:val="18"/>
              </w:rPr>
            </w:pPr>
            <w:r>
              <w:rPr>
                <w:spacing w:val="-2"/>
                <w:sz w:val="18"/>
              </w:rPr>
              <w:t>Secretaría </w:t>
            </w:r>
            <w:r>
              <w:rPr>
                <w:sz w:val="18"/>
              </w:rPr>
              <w:t>Sector</w:t>
            </w:r>
            <w:r>
              <w:rPr>
                <w:spacing w:val="-13"/>
                <w:sz w:val="18"/>
              </w:rPr>
              <w:t> </w:t>
            </w:r>
            <w:r>
              <w:rPr>
                <w:sz w:val="18"/>
              </w:rPr>
              <w:t>BTIS</w:t>
            </w:r>
          </w:p>
        </w:tc>
        <w:tc>
          <w:tcPr>
            <w:tcW w:w="1231" w:type="dxa"/>
          </w:tcPr>
          <w:p>
            <w:pPr>
              <w:pStyle w:val="TableParagraph"/>
              <w:rPr>
                <w:rFonts w:ascii="Times New Roman"/>
                <w:sz w:val="18"/>
              </w:rPr>
            </w:pPr>
          </w:p>
        </w:tc>
        <w:tc>
          <w:tcPr>
            <w:tcW w:w="2363"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
              <w:rPr>
                <w:b/>
                <w:sz w:val="18"/>
              </w:rPr>
            </w:pPr>
          </w:p>
          <w:p>
            <w:pPr>
              <w:pStyle w:val="TableParagraph"/>
              <w:ind w:left="68" w:right="53"/>
              <w:rPr>
                <w:sz w:val="18"/>
              </w:rPr>
            </w:pPr>
            <w:r>
              <w:rPr>
                <w:sz w:val="18"/>
              </w:rPr>
              <w:t>Evento: Desinterés de las instituciones en incorporar en sus instrumentos de planificación</w:t>
            </w:r>
            <w:r>
              <w:rPr>
                <w:spacing w:val="-15"/>
                <w:sz w:val="18"/>
              </w:rPr>
              <w:t> </w:t>
            </w:r>
            <w:r>
              <w:rPr>
                <w:sz w:val="18"/>
              </w:rPr>
              <w:t>acciones</w:t>
            </w:r>
            <w:r>
              <w:rPr>
                <w:spacing w:val="-12"/>
                <w:sz w:val="18"/>
              </w:rPr>
              <w:t> </w:t>
            </w:r>
            <w:r>
              <w:rPr>
                <w:sz w:val="18"/>
              </w:rPr>
              <w:t>para el cumplimiento del ODS1</w:t>
            </w:r>
          </w:p>
        </w:tc>
      </w:tr>
      <w:tr>
        <w:trPr>
          <w:trHeight w:val="1036" w:hRule="atLeast"/>
        </w:trPr>
        <w:tc>
          <w:tcPr>
            <w:tcW w:w="2574" w:type="dxa"/>
          </w:tcPr>
          <w:p>
            <w:pPr>
              <w:pStyle w:val="TableParagraph"/>
              <w:spacing w:line="242" w:lineRule="auto" w:before="205"/>
              <w:ind w:left="72" w:right="82"/>
              <w:rPr>
                <w:sz w:val="18"/>
              </w:rPr>
            </w:pPr>
            <w:r>
              <w:rPr>
                <w:b/>
                <w:sz w:val="18"/>
              </w:rPr>
              <w:t>Actividad PAC 2.90.2: </w:t>
            </w:r>
            <w:r>
              <w:rPr>
                <w:sz w:val="18"/>
              </w:rPr>
              <w:t>Análisis de información remitida</w:t>
            </w:r>
            <w:r>
              <w:rPr>
                <w:spacing w:val="-12"/>
                <w:sz w:val="18"/>
              </w:rPr>
              <w:t> </w:t>
            </w:r>
            <w:r>
              <w:rPr>
                <w:sz w:val="18"/>
              </w:rPr>
              <w:t>por</w:t>
            </w:r>
            <w:r>
              <w:rPr>
                <w:spacing w:val="-13"/>
                <w:sz w:val="18"/>
              </w:rPr>
              <w:t> </w:t>
            </w:r>
            <w:r>
              <w:rPr>
                <w:sz w:val="18"/>
              </w:rPr>
              <w:t>las</w:t>
            </w:r>
            <w:r>
              <w:rPr>
                <w:spacing w:val="-10"/>
                <w:sz w:val="18"/>
              </w:rPr>
              <w:t> </w:t>
            </w:r>
            <w:r>
              <w:rPr>
                <w:sz w:val="18"/>
              </w:rPr>
              <w:t>instituciones</w:t>
            </w:r>
          </w:p>
        </w:tc>
        <w:tc>
          <w:tcPr>
            <w:tcW w:w="1781" w:type="dxa"/>
          </w:tcPr>
          <w:p>
            <w:pPr>
              <w:pStyle w:val="TableParagraph"/>
              <w:spacing w:before="204"/>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ind w:left="124" w:right="118" w:hanging="5"/>
              <w:jc w:val="center"/>
              <w:rPr>
                <w:sz w:val="18"/>
              </w:rPr>
            </w:pPr>
            <w:r>
              <w:rPr>
                <w:sz w:val="18"/>
              </w:rPr>
              <w:t>60% de análisis de las instituciones</w:t>
            </w:r>
            <w:r>
              <w:rPr>
                <w:spacing w:val="-13"/>
                <w:sz w:val="18"/>
              </w:rPr>
              <w:t> </w:t>
            </w:r>
            <w:r>
              <w:rPr>
                <w:sz w:val="18"/>
              </w:rPr>
              <w:t>que </w:t>
            </w:r>
            <w:r>
              <w:rPr>
                <w:spacing w:val="-2"/>
                <w:sz w:val="18"/>
              </w:rPr>
              <w:t>responden</w:t>
            </w:r>
          </w:p>
          <w:p>
            <w:pPr>
              <w:pStyle w:val="TableParagraph"/>
              <w:spacing w:line="187" w:lineRule="exact" w:before="2"/>
              <w:ind w:left="115" w:right="111"/>
              <w:jc w:val="center"/>
              <w:rPr>
                <w:sz w:val="18"/>
              </w:rPr>
            </w:pPr>
            <w:r>
              <w:rPr>
                <w:spacing w:val="-2"/>
                <w:sz w:val="18"/>
              </w:rPr>
              <w:t>solicitud</w:t>
            </w:r>
          </w:p>
        </w:tc>
        <w:tc>
          <w:tcPr>
            <w:tcW w:w="1431" w:type="dxa"/>
          </w:tcPr>
          <w:p>
            <w:pPr>
              <w:pStyle w:val="TableParagraph"/>
              <w:spacing w:line="242" w:lineRule="auto" w:before="205"/>
              <w:ind w:left="48" w:right="37"/>
              <w:jc w:val="center"/>
              <w:rPr>
                <w:sz w:val="18"/>
              </w:rPr>
            </w:pPr>
            <w:r>
              <w:rPr>
                <w:sz w:val="18"/>
              </w:rPr>
              <w:t>Porcentaje</w:t>
            </w:r>
            <w:r>
              <w:rPr>
                <w:spacing w:val="-13"/>
                <w:sz w:val="18"/>
              </w:rPr>
              <w:t> </w:t>
            </w:r>
            <w:r>
              <w:rPr>
                <w:sz w:val="18"/>
              </w:rPr>
              <w:t>de </w:t>
            </w:r>
            <w:r>
              <w:rPr>
                <w:spacing w:val="-2"/>
                <w:sz w:val="18"/>
              </w:rPr>
              <w:t>información analizada</w:t>
            </w:r>
          </w:p>
        </w:tc>
        <w:tc>
          <w:tcPr>
            <w:tcW w:w="2017" w:type="dxa"/>
          </w:tcPr>
          <w:p>
            <w:pPr>
              <w:pStyle w:val="TableParagraph"/>
              <w:spacing w:before="204"/>
              <w:rPr>
                <w:b/>
                <w:sz w:val="18"/>
              </w:rPr>
            </w:pPr>
          </w:p>
          <w:p>
            <w:pPr>
              <w:pStyle w:val="TableParagraph"/>
              <w:ind w:left="71"/>
              <w:rPr>
                <w:sz w:val="18"/>
              </w:rPr>
            </w:pPr>
            <w:r>
              <w:rPr>
                <w:sz w:val="18"/>
              </w:rPr>
              <w:t>Oficios,</w:t>
            </w:r>
            <w:r>
              <w:rPr>
                <w:spacing w:val="-6"/>
                <w:sz w:val="18"/>
              </w:rPr>
              <w:t> </w:t>
            </w:r>
            <w:r>
              <w:rPr>
                <w:spacing w:val="-2"/>
                <w:sz w:val="18"/>
              </w:rPr>
              <w:t>reportes</w:t>
            </w:r>
          </w:p>
        </w:tc>
        <w:tc>
          <w:tcPr>
            <w:tcW w:w="1259" w:type="dxa"/>
          </w:tcPr>
          <w:p>
            <w:pPr>
              <w:pStyle w:val="TableParagraph"/>
              <w:spacing w:before="104"/>
              <w:ind w:left="66" w:right="179"/>
              <w:rPr>
                <w:sz w:val="18"/>
              </w:rPr>
            </w:pPr>
            <w:r>
              <w:rPr>
                <w:spacing w:val="-2"/>
                <w:sz w:val="18"/>
              </w:rPr>
              <w:t>Instituciones </w:t>
            </w:r>
            <w:r>
              <w:rPr>
                <w:sz w:val="18"/>
              </w:rPr>
              <w:t>del decreto </w:t>
            </w:r>
            <w:r>
              <w:rPr>
                <w:spacing w:val="-4"/>
                <w:sz w:val="18"/>
              </w:rPr>
              <w:t>IMAS </w:t>
            </w:r>
            <w:r>
              <w:rPr>
                <w:spacing w:val="-2"/>
                <w:sz w:val="18"/>
              </w:rPr>
              <w:t>IMPULSA</w:t>
            </w:r>
          </w:p>
        </w:tc>
        <w:tc>
          <w:tcPr>
            <w:tcW w:w="1231" w:type="dxa"/>
          </w:tcPr>
          <w:p>
            <w:pPr>
              <w:pStyle w:val="TableParagraph"/>
              <w:rPr>
                <w:rFonts w:ascii="Times New Roman"/>
                <w:sz w:val="18"/>
              </w:rPr>
            </w:pPr>
          </w:p>
        </w:tc>
        <w:tc>
          <w:tcPr>
            <w:tcW w:w="2363" w:type="dxa"/>
            <w:vMerge/>
            <w:tcBorders>
              <w:top w:val="nil"/>
            </w:tcBorders>
          </w:tcPr>
          <w:p>
            <w:pPr>
              <w:rPr>
                <w:sz w:val="2"/>
                <w:szCs w:val="2"/>
              </w:rPr>
            </w:pPr>
          </w:p>
        </w:tc>
      </w:tr>
      <w:tr>
        <w:trPr>
          <w:trHeight w:val="988" w:hRule="atLeast"/>
        </w:trPr>
        <w:tc>
          <w:tcPr>
            <w:tcW w:w="2574" w:type="dxa"/>
          </w:tcPr>
          <w:p>
            <w:pPr>
              <w:pStyle w:val="TableParagraph"/>
              <w:spacing w:before="80"/>
              <w:ind w:left="72" w:right="82"/>
              <w:rPr>
                <w:sz w:val="18"/>
              </w:rPr>
            </w:pPr>
            <w:r>
              <w:rPr>
                <w:b/>
                <w:sz w:val="18"/>
              </w:rPr>
              <w:t>Actividad PAC 2.90.3: </w:t>
            </w:r>
            <w:r>
              <w:rPr>
                <w:sz w:val="18"/>
              </w:rPr>
              <w:t>Informe de acciones de la estrategia</w:t>
            </w:r>
            <w:r>
              <w:rPr>
                <w:spacing w:val="-9"/>
                <w:sz w:val="18"/>
              </w:rPr>
              <w:t> </w:t>
            </w:r>
            <w:r>
              <w:rPr>
                <w:sz w:val="18"/>
              </w:rPr>
              <w:t>de</w:t>
            </w:r>
            <w:r>
              <w:rPr>
                <w:spacing w:val="-12"/>
                <w:sz w:val="18"/>
              </w:rPr>
              <w:t> </w:t>
            </w:r>
            <w:r>
              <w:rPr>
                <w:sz w:val="18"/>
              </w:rPr>
              <w:t>ejecución</w:t>
            </w:r>
            <w:r>
              <w:rPr>
                <w:spacing w:val="-12"/>
                <w:sz w:val="18"/>
              </w:rPr>
              <w:t> </w:t>
            </w:r>
            <w:r>
              <w:rPr>
                <w:sz w:val="18"/>
              </w:rPr>
              <w:t>del ODS 1</w:t>
            </w:r>
          </w:p>
        </w:tc>
        <w:tc>
          <w:tcPr>
            <w:tcW w:w="1781" w:type="dxa"/>
          </w:tcPr>
          <w:p>
            <w:pPr>
              <w:pStyle w:val="TableParagraph"/>
              <w:spacing w:before="180"/>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spacing w:before="180"/>
              <w:rPr>
                <w:b/>
                <w:sz w:val="18"/>
              </w:rPr>
            </w:pPr>
          </w:p>
          <w:p>
            <w:pPr>
              <w:pStyle w:val="TableParagraph"/>
              <w:ind w:left="118" w:right="109"/>
              <w:jc w:val="center"/>
              <w:rPr>
                <w:sz w:val="18"/>
              </w:rPr>
            </w:pPr>
            <w:r>
              <w:rPr>
                <w:sz w:val="18"/>
              </w:rPr>
              <w:t>1</w:t>
            </w:r>
            <w:r>
              <w:rPr>
                <w:spacing w:val="2"/>
                <w:sz w:val="18"/>
              </w:rPr>
              <w:t> </w:t>
            </w:r>
            <w:r>
              <w:rPr>
                <w:spacing w:val="-2"/>
                <w:sz w:val="18"/>
              </w:rPr>
              <w:t>reporte</w:t>
            </w:r>
          </w:p>
        </w:tc>
        <w:tc>
          <w:tcPr>
            <w:tcW w:w="1431" w:type="dxa"/>
          </w:tcPr>
          <w:p>
            <w:pPr>
              <w:pStyle w:val="TableParagraph"/>
              <w:spacing w:line="242" w:lineRule="auto" w:before="181"/>
              <w:ind w:left="54" w:right="37"/>
              <w:jc w:val="center"/>
              <w:rPr>
                <w:sz w:val="18"/>
              </w:rPr>
            </w:pPr>
            <w:r>
              <w:rPr>
                <w:sz w:val="18"/>
              </w:rPr>
              <w:t>Cantidad</w:t>
            </w:r>
            <w:r>
              <w:rPr>
                <w:spacing w:val="-13"/>
                <w:sz w:val="18"/>
              </w:rPr>
              <w:t> </w:t>
            </w:r>
            <w:r>
              <w:rPr>
                <w:sz w:val="18"/>
              </w:rPr>
              <w:t>de </w:t>
            </w:r>
            <w:r>
              <w:rPr>
                <w:spacing w:val="-2"/>
                <w:sz w:val="18"/>
              </w:rPr>
              <w:t>informes elaborados</w:t>
            </w:r>
          </w:p>
        </w:tc>
        <w:tc>
          <w:tcPr>
            <w:tcW w:w="2017" w:type="dxa"/>
          </w:tcPr>
          <w:p>
            <w:pPr>
              <w:pStyle w:val="TableParagraph"/>
              <w:spacing w:before="180"/>
              <w:rPr>
                <w:b/>
                <w:sz w:val="18"/>
              </w:rPr>
            </w:pPr>
          </w:p>
          <w:p>
            <w:pPr>
              <w:pStyle w:val="TableParagraph"/>
              <w:ind w:left="71"/>
              <w:rPr>
                <w:sz w:val="18"/>
              </w:rPr>
            </w:pPr>
            <w:r>
              <w:rPr>
                <w:sz w:val="18"/>
              </w:rPr>
              <w:t>Informe</w:t>
            </w:r>
            <w:r>
              <w:rPr>
                <w:spacing w:val="-4"/>
                <w:sz w:val="18"/>
              </w:rPr>
              <w:t> </w:t>
            </w:r>
            <w:r>
              <w:rPr>
                <w:sz w:val="18"/>
              </w:rPr>
              <w:t>de</w:t>
            </w:r>
            <w:r>
              <w:rPr>
                <w:spacing w:val="1"/>
                <w:sz w:val="18"/>
              </w:rPr>
              <w:t> </w:t>
            </w:r>
            <w:r>
              <w:rPr>
                <w:spacing w:val="-2"/>
                <w:sz w:val="18"/>
              </w:rPr>
              <w:t>acciones</w:t>
            </w:r>
          </w:p>
        </w:tc>
        <w:tc>
          <w:tcPr>
            <w:tcW w:w="1259" w:type="dxa"/>
          </w:tcPr>
          <w:p>
            <w:pPr>
              <w:pStyle w:val="TableParagraph"/>
              <w:spacing w:before="79"/>
              <w:rPr>
                <w:b/>
                <w:sz w:val="18"/>
              </w:rPr>
            </w:pPr>
          </w:p>
          <w:p>
            <w:pPr>
              <w:pStyle w:val="TableParagraph"/>
              <w:spacing w:before="1"/>
              <w:ind w:left="66"/>
              <w:rPr>
                <w:sz w:val="18"/>
              </w:rPr>
            </w:pPr>
            <w:r>
              <w:rPr>
                <w:spacing w:val="-2"/>
                <w:sz w:val="18"/>
              </w:rPr>
              <w:t>Secretaría </w:t>
            </w:r>
            <w:r>
              <w:rPr>
                <w:sz w:val="18"/>
              </w:rPr>
              <w:t>Sector</w:t>
            </w:r>
            <w:r>
              <w:rPr>
                <w:spacing w:val="-13"/>
                <w:sz w:val="18"/>
              </w:rPr>
              <w:t> </w:t>
            </w:r>
            <w:r>
              <w:rPr>
                <w:sz w:val="18"/>
              </w:rPr>
              <w:t>BTIS</w:t>
            </w:r>
          </w:p>
        </w:tc>
        <w:tc>
          <w:tcPr>
            <w:tcW w:w="1231" w:type="dxa"/>
          </w:tcPr>
          <w:p>
            <w:pPr>
              <w:pStyle w:val="TableParagraph"/>
              <w:rPr>
                <w:rFonts w:ascii="Times New Roman"/>
                <w:sz w:val="18"/>
              </w:rPr>
            </w:pPr>
          </w:p>
        </w:tc>
        <w:tc>
          <w:tcPr>
            <w:tcW w:w="2363" w:type="dxa"/>
            <w:vMerge/>
            <w:tcBorders>
              <w:top w:val="nil"/>
            </w:tcBorders>
          </w:tcPr>
          <w:p>
            <w:pPr>
              <w:rPr>
                <w:sz w:val="2"/>
                <w:szCs w:val="2"/>
              </w:rPr>
            </w:pPr>
          </w:p>
        </w:tc>
      </w:tr>
      <w:tr>
        <w:trPr>
          <w:trHeight w:val="585" w:hRule="atLeast"/>
        </w:trPr>
        <w:tc>
          <w:tcPr>
            <w:tcW w:w="14255" w:type="dxa"/>
            <w:gridSpan w:val="8"/>
            <w:shd w:val="clear" w:color="auto" w:fill="EFF8F9"/>
          </w:tcPr>
          <w:p>
            <w:pPr>
              <w:pStyle w:val="TableParagraph"/>
              <w:spacing w:before="191"/>
              <w:ind w:left="72"/>
              <w:rPr>
                <w:b/>
                <w:sz w:val="18"/>
              </w:rPr>
            </w:pPr>
            <w:r>
              <w:rPr>
                <w:b/>
                <w:sz w:val="18"/>
              </w:rPr>
              <w:t>Producto</w:t>
            </w:r>
            <w:r>
              <w:rPr>
                <w:b/>
                <w:spacing w:val="-8"/>
                <w:sz w:val="18"/>
              </w:rPr>
              <w:t> </w:t>
            </w:r>
            <w:r>
              <w:rPr>
                <w:b/>
                <w:sz w:val="18"/>
              </w:rPr>
              <w:t>PAC</w:t>
            </w:r>
            <w:r>
              <w:rPr>
                <w:b/>
                <w:spacing w:val="-8"/>
                <w:sz w:val="18"/>
              </w:rPr>
              <w:t> </w:t>
            </w:r>
            <w:r>
              <w:rPr>
                <w:b/>
                <w:sz w:val="18"/>
              </w:rPr>
              <w:t>2.91:</w:t>
            </w:r>
            <w:r>
              <w:rPr>
                <w:b/>
                <w:spacing w:val="-3"/>
                <w:sz w:val="18"/>
              </w:rPr>
              <w:t> </w:t>
            </w:r>
            <w:r>
              <w:rPr>
                <w:b/>
                <w:sz w:val="18"/>
              </w:rPr>
              <w:t>IMAS</w:t>
            </w:r>
            <w:r>
              <w:rPr>
                <w:b/>
                <w:spacing w:val="-8"/>
                <w:sz w:val="18"/>
              </w:rPr>
              <w:t> </w:t>
            </w:r>
            <w:r>
              <w:rPr>
                <w:b/>
                <w:sz w:val="18"/>
              </w:rPr>
              <w:t>promoviendo</w:t>
            </w:r>
            <w:r>
              <w:rPr>
                <w:b/>
                <w:spacing w:val="-7"/>
                <w:sz w:val="18"/>
              </w:rPr>
              <w:t> </w:t>
            </w:r>
            <w:r>
              <w:rPr>
                <w:b/>
                <w:sz w:val="18"/>
              </w:rPr>
              <w:t>la</w:t>
            </w:r>
            <w:r>
              <w:rPr>
                <w:b/>
                <w:spacing w:val="-6"/>
                <w:sz w:val="18"/>
              </w:rPr>
              <w:t> </w:t>
            </w:r>
            <w:r>
              <w:rPr>
                <w:b/>
                <w:sz w:val="18"/>
              </w:rPr>
              <w:t>interconexión</w:t>
            </w:r>
            <w:r>
              <w:rPr>
                <w:b/>
                <w:spacing w:val="-11"/>
                <w:sz w:val="18"/>
              </w:rPr>
              <w:t> </w:t>
            </w:r>
            <w:r>
              <w:rPr>
                <w:b/>
                <w:sz w:val="18"/>
              </w:rPr>
              <w:t>e</w:t>
            </w:r>
            <w:r>
              <w:rPr>
                <w:b/>
                <w:spacing w:val="-3"/>
                <w:sz w:val="18"/>
              </w:rPr>
              <w:t> </w:t>
            </w:r>
            <w:r>
              <w:rPr>
                <w:b/>
                <w:sz w:val="18"/>
              </w:rPr>
              <w:t>intercambiando</w:t>
            </w:r>
            <w:r>
              <w:rPr>
                <w:b/>
                <w:spacing w:val="-2"/>
                <w:sz w:val="18"/>
              </w:rPr>
              <w:t> </w:t>
            </w:r>
            <w:r>
              <w:rPr>
                <w:b/>
                <w:sz w:val="18"/>
              </w:rPr>
              <w:t>de</w:t>
            </w:r>
            <w:r>
              <w:rPr>
                <w:b/>
                <w:spacing w:val="-11"/>
                <w:sz w:val="18"/>
              </w:rPr>
              <w:t> </w:t>
            </w:r>
            <w:r>
              <w:rPr>
                <w:b/>
                <w:sz w:val="18"/>
              </w:rPr>
              <w:t>información</w:t>
            </w:r>
            <w:r>
              <w:rPr>
                <w:b/>
                <w:spacing w:val="-7"/>
                <w:sz w:val="18"/>
              </w:rPr>
              <w:t> </w:t>
            </w:r>
            <w:r>
              <w:rPr>
                <w:b/>
                <w:sz w:val="18"/>
              </w:rPr>
              <w:t>entre</w:t>
            </w:r>
            <w:r>
              <w:rPr>
                <w:b/>
                <w:spacing w:val="-7"/>
                <w:sz w:val="18"/>
              </w:rPr>
              <w:t> </w:t>
            </w:r>
            <w:r>
              <w:rPr>
                <w:b/>
                <w:sz w:val="18"/>
              </w:rPr>
              <w:t>instituciones</w:t>
            </w:r>
            <w:r>
              <w:rPr>
                <w:b/>
                <w:spacing w:val="-6"/>
                <w:sz w:val="18"/>
              </w:rPr>
              <w:t> </w:t>
            </w:r>
            <w:r>
              <w:rPr>
                <w:b/>
                <w:sz w:val="18"/>
              </w:rPr>
              <w:t>(E4</w:t>
            </w:r>
            <w:r>
              <w:rPr>
                <w:b/>
                <w:spacing w:val="-6"/>
                <w:sz w:val="18"/>
              </w:rPr>
              <w:t> </w:t>
            </w:r>
            <w:r>
              <w:rPr>
                <w:b/>
                <w:sz w:val="18"/>
              </w:rPr>
              <w:t>AE4</w:t>
            </w:r>
            <w:r>
              <w:rPr>
                <w:b/>
                <w:spacing w:val="-3"/>
                <w:sz w:val="18"/>
              </w:rPr>
              <w:t> </w:t>
            </w:r>
            <w:r>
              <w:rPr>
                <w:b/>
                <w:spacing w:val="-5"/>
                <w:sz w:val="18"/>
              </w:rPr>
              <w:t>R1)</w:t>
            </w:r>
          </w:p>
        </w:tc>
      </w:tr>
      <w:tr>
        <w:trPr>
          <w:trHeight w:val="1243" w:hRule="atLeast"/>
        </w:trPr>
        <w:tc>
          <w:tcPr>
            <w:tcW w:w="2574" w:type="dxa"/>
          </w:tcPr>
          <w:p>
            <w:pPr>
              <w:pStyle w:val="TableParagraph"/>
              <w:ind w:left="72" w:right="82"/>
              <w:rPr>
                <w:sz w:val="18"/>
              </w:rPr>
            </w:pPr>
            <w:r>
              <w:rPr>
                <w:b/>
                <w:sz w:val="18"/>
              </w:rPr>
              <w:t>Actividad PAC 2.91.1: </w:t>
            </w:r>
            <w:r>
              <w:rPr>
                <w:sz w:val="18"/>
              </w:rPr>
              <w:t>Realizar sesiones con instituciones</w:t>
            </w:r>
            <w:r>
              <w:rPr>
                <w:spacing w:val="-11"/>
                <w:sz w:val="18"/>
              </w:rPr>
              <w:t> </w:t>
            </w:r>
            <w:r>
              <w:rPr>
                <w:sz w:val="18"/>
              </w:rPr>
              <w:t>del</w:t>
            </w:r>
            <w:r>
              <w:rPr>
                <w:spacing w:val="-12"/>
                <w:sz w:val="18"/>
              </w:rPr>
              <w:t> </w:t>
            </w:r>
            <w:r>
              <w:rPr>
                <w:sz w:val="18"/>
              </w:rPr>
              <w:t>sector</w:t>
            </w:r>
            <w:r>
              <w:rPr>
                <w:spacing w:val="-13"/>
                <w:sz w:val="18"/>
              </w:rPr>
              <w:t> </w:t>
            </w:r>
            <w:r>
              <w:rPr>
                <w:sz w:val="18"/>
              </w:rPr>
              <w:t>social para promover la firma de convenios con el IMAS y el</w:t>
            </w:r>
          </w:p>
          <w:p>
            <w:pPr>
              <w:pStyle w:val="TableParagraph"/>
              <w:spacing w:line="187" w:lineRule="exact" w:before="1"/>
              <w:ind w:left="72"/>
              <w:rPr>
                <w:sz w:val="18"/>
              </w:rPr>
            </w:pPr>
            <w:r>
              <w:rPr>
                <w:spacing w:val="-2"/>
                <w:sz w:val="18"/>
              </w:rPr>
              <w:t>SINIRUBE</w:t>
            </w:r>
          </w:p>
        </w:tc>
        <w:tc>
          <w:tcPr>
            <w:tcW w:w="1781" w:type="dxa"/>
          </w:tcPr>
          <w:p>
            <w:pPr>
              <w:pStyle w:val="TableParagraph"/>
              <w:rPr>
                <w:b/>
                <w:sz w:val="18"/>
              </w:rPr>
            </w:pPr>
          </w:p>
          <w:p>
            <w:pPr>
              <w:pStyle w:val="TableParagraph"/>
              <w:spacing w:before="103"/>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rPr>
                <w:b/>
                <w:sz w:val="18"/>
              </w:rPr>
            </w:pPr>
          </w:p>
          <w:p>
            <w:pPr>
              <w:pStyle w:val="TableParagraph"/>
              <w:spacing w:before="103"/>
              <w:rPr>
                <w:b/>
                <w:sz w:val="18"/>
              </w:rPr>
            </w:pPr>
          </w:p>
          <w:p>
            <w:pPr>
              <w:pStyle w:val="TableParagraph"/>
              <w:ind w:left="115" w:right="114"/>
              <w:jc w:val="center"/>
              <w:rPr>
                <w:sz w:val="18"/>
              </w:rPr>
            </w:pPr>
            <w:r>
              <w:rPr>
                <w:spacing w:val="-10"/>
                <w:sz w:val="18"/>
              </w:rPr>
              <w:t>2</w:t>
            </w:r>
          </w:p>
        </w:tc>
        <w:tc>
          <w:tcPr>
            <w:tcW w:w="1431" w:type="dxa"/>
          </w:tcPr>
          <w:p>
            <w:pPr>
              <w:pStyle w:val="TableParagraph"/>
              <w:spacing w:before="103"/>
              <w:rPr>
                <w:b/>
                <w:sz w:val="18"/>
              </w:rPr>
            </w:pPr>
          </w:p>
          <w:p>
            <w:pPr>
              <w:pStyle w:val="TableParagraph"/>
              <w:spacing w:before="1"/>
              <w:ind w:left="54" w:right="37"/>
              <w:jc w:val="center"/>
              <w:rPr>
                <w:sz w:val="18"/>
              </w:rPr>
            </w:pPr>
            <w:r>
              <w:rPr>
                <w:sz w:val="18"/>
              </w:rPr>
              <w:t>Cantidad</w:t>
            </w:r>
            <w:r>
              <w:rPr>
                <w:spacing w:val="-13"/>
                <w:sz w:val="18"/>
              </w:rPr>
              <w:t> </w:t>
            </w:r>
            <w:r>
              <w:rPr>
                <w:sz w:val="18"/>
              </w:rPr>
              <w:t>de </w:t>
            </w:r>
            <w:r>
              <w:rPr>
                <w:spacing w:val="-2"/>
                <w:sz w:val="18"/>
              </w:rPr>
              <w:t>sesiones realizadas</w:t>
            </w:r>
          </w:p>
        </w:tc>
        <w:tc>
          <w:tcPr>
            <w:tcW w:w="2017" w:type="dxa"/>
          </w:tcPr>
          <w:p>
            <w:pPr>
              <w:pStyle w:val="TableParagraph"/>
              <w:spacing w:before="103"/>
              <w:rPr>
                <w:b/>
                <w:sz w:val="18"/>
              </w:rPr>
            </w:pPr>
          </w:p>
          <w:p>
            <w:pPr>
              <w:pStyle w:val="TableParagraph"/>
              <w:spacing w:before="1"/>
              <w:ind w:left="71" w:right="68"/>
              <w:rPr>
                <w:sz w:val="18"/>
              </w:rPr>
            </w:pPr>
            <w:r>
              <w:rPr>
                <w:sz w:val="18"/>
              </w:rPr>
              <w:t>Lista de asistencia a</w:t>
            </w:r>
            <w:r>
              <w:rPr>
                <w:spacing w:val="40"/>
                <w:sz w:val="18"/>
              </w:rPr>
              <w:t> </w:t>
            </w:r>
            <w:r>
              <w:rPr>
                <w:spacing w:val="-4"/>
                <w:sz w:val="18"/>
              </w:rPr>
              <w:t>las </w:t>
            </w:r>
            <w:r>
              <w:rPr>
                <w:spacing w:val="-2"/>
                <w:sz w:val="18"/>
              </w:rPr>
              <w:t>sesiones/convocatorias</w:t>
            </w:r>
          </w:p>
        </w:tc>
        <w:tc>
          <w:tcPr>
            <w:tcW w:w="1259" w:type="dxa"/>
          </w:tcPr>
          <w:p>
            <w:pPr>
              <w:pStyle w:val="TableParagraph"/>
              <w:rPr>
                <w:b/>
                <w:sz w:val="18"/>
              </w:rPr>
            </w:pPr>
          </w:p>
          <w:p>
            <w:pPr>
              <w:pStyle w:val="TableParagraph"/>
              <w:spacing w:before="103"/>
              <w:rPr>
                <w:b/>
                <w:sz w:val="18"/>
              </w:rPr>
            </w:pPr>
          </w:p>
          <w:p>
            <w:pPr>
              <w:pStyle w:val="TableParagraph"/>
              <w:ind w:left="66"/>
              <w:rPr>
                <w:sz w:val="18"/>
              </w:rPr>
            </w:pPr>
            <w:r>
              <w:rPr>
                <w:spacing w:val="-5"/>
                <w:sz w:val="18"/>
              </w:rPr>
              <w:t>PE</w:t>
            </w:r>
          </w:p>
        </w:tc>
        <w:tc>
          <w:tcPr>
            <w:tcW w:w="1231" w:type="dxa"/>
          </w:tcPr>
          <w:p>
            <w:pPr>
              <w:pStyle w:val="TableParagraph"/>
              <w:rPr>
                <w:rFonts w:ascii="Times New Roman"/>
                <w:sz w:val="18"/>
              </w:rPr>
            </w:pPr>
          </w:p>
        </w:tc>
        <w:tc>
          <w:tcPr>
            <w:tcW w:w="2363" w:type="dxa"/>
            <w:vMerge w:val="restart"/>
          </w:tcPr>
          <w:p>
            <w:pPr>
              <w:pStyle w:val="TableParagraph"/>
              <w:rPr>
                <w:b/>
                <w:sz w:val="18"/>
              </w:rPr>
            </w:pPr>
          </w:p>
          <w:p>
            <w:pPr>
              <w:pStyle w:val="TableParagraph"/>
              <w:rPr>
                <w:b/>
                <w:sz w:val="18"/>
              </w:rPr>
            </w:pPr>
          </w:p>
          <w:p>
            <w:pPr>
              <w:pStyle w:val="TableParagraph"/>
              <w:spacing w:before="7"/>
              <w:rPr>
                <w:b/>
                <w:sz w:val="18"/>
              </w:rPr>
            </w:pPr>
          </w:p>
          <w:p>
            <w:pPr>
              <w:pStyle w:val="TableParagraph"/>
              <w:ind w:left="68" w:right="53"/>
              <w:rPr>
                <w:sz w:val="18"/>
              </w:rPr>
            </w:pPr>
            <w:r>
              <w:rPr>
                <w:sz w:val="18"/>
              </w:rPr>
              <w:t>Evento: La no aprobación de convenios para el intercambio</w:t>
            </w:r>
            <w:r>
              <w:rPr>
                <w:spacing w:val="-15"/>
                <w:sz w:val="18"/>
              </w:rPr>
              <w:t> </w:t>
            </w:r>
            <w:r>
              <w:rPr>
                <w:sz w:val="18"/>
              </w:rPr>
              <w:t>de</w:t>
            </w:r>
            <w:r>
              <w:rPr>
                <w:spacing w:val="-12"/>
                <w:sz w:val="18"/>
              </w:rPr>
              <w:t> </w:t>
            </w:r>
            <w:r>
              <w:rPr>
                <w:sz w:val="18"/>
              </w:rPr>
              <w:t>información por</w:t>
            </w:r>
            <w:r>
              <w:rPr>
                <w:spacing w:val="-4"/>
                <w:sz w:val="18"/>
              </w:rPr>
              <w:t> </w:t>
            </w:r>
            <w:r>
              <w:rPr>
                <w:sz w:val="18"/>
              </w:rPr>
              <w:t>medio</w:t>
            </w:r>
            <w:r>
              <w:rPr>
                <w:spacing w:val="-6"/>
                <w:sz w:val="18"/>
              </w:rPr>
              <w:t> </w:t>
            </w:r>
            <w:r>
              <w:rPr>
                <w:sz w:val="18"/>
              </w:rPr>
              <w:t>de</w:t>
            </w:r>
            <w:r>
              <w:rPr>
                <w:spacing w:val="-6"/>
                <w:sz w:val="18"/>
              </w:rPr>
              <w:t> </w:t>
            </w:r>
            <w:r>
              <w:rPr>
                <w:sz w:val="18"/>
              </w:rPr>
              <w:t>la</w:t>
            </w:r>
            <w:r>
              <w:rPr>
                <w:spacing w:val="-2"/>
                <w:sz w:val="18"/>
              </w:rPr>
              <w:t> </w:t>
            </w:r>
            <w:r>
              <w:rPr>
                <w:sz w:val="18"/>
              </w:rPr>
              <w:t>plataforma </w:t>
            </w:r>
            <w:r>
              <w:rPr>
                <w:spacing w:val="-2"/>
                <w:sz w:val="18"/>
              </w:rPr>
              <w:t>duplicidades.</w:t>
            </w:r>
          </w:p>
        </w:tc>
      </w:tr>
      <w:tr>
        <w:trPr>
          <w:trHeight w:val="1036" w:hRule="atLeast"/>
        </w:trPr>
        <w:tc>
          <w:tcPr>
            <w:tcW w:w="2574" w:type="dxa"/>
          </w:tcPr>
          <w:p>
            <w:pPr>
              <w:pStyle w:val="TableParagraph"/>
              <w:ind w:left="72" w:right="82"/>
              <w:rPr>
                <w:sz w:val="18"/>
              </w:rPr>
            </w:pPr>
            <w:r>
              <w:rPr>
                <w:b/>
                <w:sz w:val="18"/>
              </w:rPr>
              <w:t>Actividad PAC 2.91.2: </w:t>
            </w:r>
            <w:r>
              <w:rPr>
                <w:sz w:val="18"/>
              </w:rPr>
              <w:t>Gestionar la firma de convenios</w:t>
            </w:r>
            <w:r>
              <w:rPr>
                <w:spacing w:val="-15"/>
                <w:sz w:val="18"/>
              </w:rPr>
              <w:t> </w:t>
            </w:r>
            <w:r>
              <w:rPr>
                <w:sz w:val="18"/>
              </w:rPr>
              <w:t>con</w:t>
            </w:r>
            <w:r>
              <w:rPr>
                <w:spacing w:val="-12"/>
                <w:sz w:val="18"/>
              </w:rPr>
              <w:t> </w:t>
            </w:r>
            <w:r>
              <w:rPr>
                <w:sz w:val="18"/>
              </w:rPr>
              <w:t>instituciones</w:t>
            </w:r>
          </w:p>
          <w:p>
            <w:pPr>
              <w:pStyle w:val="TableParagraph"/>
              <w:spacing w:line="206" w:lineRule="exact"/>
              <w:ind w:left="72"/>
              <w:rPr>
                <w:sz w:val="18"/>
              </w:rPr>
            </w:pPr>
            <w:r>
              <w:rPr>
                <w:sz w:val="18"/>
              </w:rPr>
              <w:t>del Sector Social para el intercambio</w:t>
            </w:r>
            <w:r>
              <w:rPr>
                <w:spacing w:val="-15"/>
                <w:sz w:val="18"/>
              </w:rPr>
              <w:t> </w:t>
            </w:r>
            <w:r>
              <w:rPr>
                <w:sz w:val="18"/>
              </w:rPr>
              <w:t>de</w:t>
            </w:r>
            <w:r>
              <w:rPr>
                <w:spacing w:val="-12"/>
                <w:sz w:val="18"/>
              </w:rPr>
              <w:t> </w:t>
            </w:r>
            <w:r>
              <w:rPr>
                <w:sz w:val="18"/>
              </w:rPr>
              <w:t>información</w:t>
            </w:r>
          </w:p>
        </w:tc>
        <w:tc>
          <w:tcPr>
            <w:tcW w:w="1781" w:type="dxa"/>
          </w:tcPr>
          <w:p>
            <w:pPr>
              <w:pStyle w:val="TableParagraph"/>
              <w:spacing w:before="204"/>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spacing w:before="204"/>
              <w:rPr>
                <w:b/>
                <w:sz w:val="18"/>
              </w:rPr>
            </w:pPr>
          </w:p>
          <w:p>
            <w:pPr>
              <w:pStyle w:val="TableParagraph"/>
              <w:ind w:left="115" w:right="114"/>
              <w:jc w:val="center"/>
              <w:rPr>
                <w:sz w:val="18"/>
              </w:rPr>
            </w:pPr>
            <w:r>
              <w:rPr>
                <w:spacing w:val="-10"/>
                <w:sz w:val="18"/>
              </w:rPr>
              <w:t>4</w:t>
            </w:r>
          </w:p>
        </w:tc>
        <w:tc>
          <w:tcPr>
            <w:tcW w:w="1431" w:type="dxa"/>
          </w:tcPr>
          <w:p>
            <w:pPr>
              <w:pStyle w:val="TableParagraph"/>
              <w:spacing w:before="205"/>
              <w:ind w:left="292" w:hanging="63"/>
              <w:rPr>
                <w:sz w:val="18"/>
              </w:rPr>
            </w:pPr>
            <w:r>
              <w:rPr>
                <w:sz w:val="18"/>
              </w:rPr>
              <w:t>Cantidad</w:t>
            </w:r>
            <w:r>
              <w:rPr>
                <w:spacing w:val="-13"/>
                <w:sz w:val="18"/>
              </w:rPr>
              <w:t> </w:t>
            </w:r>
            <w:r>
              <w:rPr>
                <w:sz w:val="18"/>
              </w:rPr>
              <w:t>de </w:t>
            </w:r>
            <w:r>
              <w:rPr>
                <w:spacing w:val="-2"/>
                <w:sz w:val="18"/>
              </w:rPr>
              <w:t>convenios aprobados</w:t>
            </w:r>
          </w:p>
        </w:tc>
        <w:tc>
          <w:tcPr>
            <w:tcW w:w="2017" w:type="dxa"/>
          </w:tcPr>
          <w:p>
            <w:pPr>
              <w:pStyle w:val="TableParagraph"/>
              <w:spacing w:before="204"/>
              <w:rPr>
                <w:b/>
                <w:sz w:val="18"/>
              </w:rPr>
            </w:pPr>
          </w:p>
          <w:p>
            <w:pPr>
              <w:pStyle w:val="TableParagraph"/>
              <w:ind w:left="129"/>
              <w:rPr>
                <w:sz w:val="18"/>
              </w:rPr>
            </w:pPr>
            <w:r>
              <w:rPr>
                <w:sz w:val="18"/>
              </w:rPr>
              <w:t>Convenios</w:t>
            </w:r>
            <w:r>
              <w:rPr>
                <w:spacing w:val="-7"/>
                <w:sz w:val="18"/>
              </w:rPr>
              <w:t> </w:t>
            </w:r>
            <w:r>
              <w:rPr>
                <w:spacing w:val="-2"/>
                <w:sz w:val="18"/>
              </w:rPr>
              <w:t>aprobados</w:t>
            </w:r>
          </w:p>
        </w:tc>
        <w:tc>
          <w:tcPr>
            <w:tcW w:w="1259" w:type="dxa"/>
          </w:tcPr>
          <w:p>
            <w:pPr>
              <w:pStyle w:val="TableParagraph"/>
              <w:spacing w:before="204"/>
              <w:rPr>
                <w:b/>
                <w:sz w:val="18"/>
              </w:rPr>
            </w:pPr>
          </w:p>
          <w:p>
            <w:pPr>
              <w:pStyle w:val="TableParagraph"/>
              <w:ind w:left="66"/>
              <w:rPr>
                <w:sz w:val="18"/>
              </w:rPr>
            </w:pPr>
            <w:r>
              <w:rPr>
                <w:spacing w:val="-5"/>
                <w:sz w:val="18"/>
              </w:rPr>
              <w:t>PE</w:t>
            </w:r>
          </w:p>
        </w:tc>
        <w:tc>
          <w:tcPr>
            <w:tcW w:w="1231" w:type="dxa"/>
          </w:tcPr>
          <w:p>
            <w:pPr>
              <w:pStyle w:val="TableParagraph"/>
              <w:rPr>
                <w:rFonts w:ascii="Times New Roman"/>
                <w:sz w:val="18"/>
              </w:rPr>
            </w:pPr>
          </w:p>
        </w:tc>
        <w:tc>
          <w:tcPr>
            <w:tcW w:w="2363" w:type="dxa"/>
            <w:vMerge/>
            <w:tcBorders>
              <w:top w:val="nil"/>
            </w:tcBorders>
          </w:tcPr>
          <w:p>
            <w:pPr>
              <w:rPr>
                <w:sz w:val="2"/>
                <w:szCs w:val="2"/>
              </w:rPr>
            </w:pPr>
          </w:p>
        </w:tc>
      </w:tr>
      <w:tr>
        <w:trPr>
          <w:trHeight w:val="719" w:hRule="atLeast"/>
        </w:trPr>
        <w:tc>
          <w:tcPr>
            <w:tcW w:w="14255" w:type="dxa"/>
            <w:gridSpan w:val="8"/>
            <w:shd w:val="clear" w:color="auto" w:fill="EFF8F9"/>
          </w:tcPr>
          <w:p>
            <w:pPr>
              <w:pStyle w:val="TableParagraph"/>
              <w:spacing w:before="46"/>
              <w:rPr>
                <w:b/>
                <w:sz w:val="18"/>
              </w:rPr>
            </w:pPr>
          </w:p>
          <w:p>
            <w:pPr>
              <w:pStyle w:val="TableParagraph"/>
              <w:ind w:left="72"/>
              <w:rPr>
                <w:b/>
                <w:sz w:val="18"/>
              </w:rPr>
            </w:pPr>
            <w:r>
              <w:rPr>
                <w:b/>
                <w:sz w:val="18"/>
              </w:rPr>
              <w:t>Producto</w:t>
            </w:r>
            <w:r>
              <w:rPr>
                <w:b/>
                <w:spacing w:val="-7"/>
                <w:sz w:val="18"/>
              </w:rPr>
              <w:t> </w:t>
            </w:r>
            <w:r>
              <w:rPr>
                <w:b/>
                <w:sz w:val="18"/>
              </w:rPr>
              <w:t>PAC</w:t>
            </w:r>
            <w:r>
              <w:rPr>
                <w:b/>
                <w:spacing w:val="-8"/>
                <w:sz w:val="18"/>
              </w:rPr>
              <w:t> </w:t>
            </w:r>
            <w:r>
              <w:rPr>
                <w:b/>
                <w:sz w:val="18"/>
              </w:rPr>
              <w:t>2.92:</w:t>
            </w:r>
            <w:r>
              <w:rPr>
                <w:b/>
                <w:spacing w:val="-4"/>
                <w:sz w:val="18"/>
              </w:rPr>
              <w:t> </w:t>
            </w:r>
            <w:r>
              <w:rPr>
                <w:b/>
                <w:sz w:val="18"/>
              </w:rPr>
              <w:t>Acciones</w:t>
            </w:r>
            <w:r>
              <w:rPr>
                <w:b/>
                <w:spacing w:val="-6"/>
                <w:sz w:val="18"/>
              </w:rPr>
              <w:t> </w:t>
            </w:r>
            <w:r>
              <w:rPr>
                <w:b/>
                <w:sz w:val="18"/>
              </w:rPr>
              <w:t>de</w:t>
            </w:r>
            <w:r>
              <w:rPr>
                <w:b/>
                <w:spacing w:val="-6"/>
                <w:sz w:val="18"/>
              </w:rPr>
              <w:t> </w:t>
            </w:r>
            <w:r>
              <w:rPr>
                <w:b/>
                <w:sz w:val="18"/>
              </w:rPr>
              <w:t>fortalecimiento</w:t>
            </w:r>
            <w:r>
              <w:rPr>
                <w:b/>
                <w:spacing w:val="-2"/>
                <w:sz w:val="18"/>
              </w:rPr>
              <w:t> </w:t>
            </w:r>
            <w:r>
              <w:rPr>
                <w:b/>
                <w:sz w:val="18"/>
              </w:rPr>
              <w:t>para</w:t>
            </w:r>
            <w:r>
              <w:rPr>
                <w:b/>
                <w:spacing w:val="-5"/>
                <w:sz w:val="18"/>
              </w:rPr>
              <w:t> </w:t>
            </w:r>
            <w:r>
              <w:rPr>
                <w:b/>
                <w:sz w:val="18"/>
              </w:rPr>
              <w:t>el</w:t>
            </w:r>
            <w:r>
              <w:rPr>
                <w:b/>
                <w:spacing w:val="-8"/>
                <w:sz w:val="18"/>
              </w:rPr>
              <w:t> </w:t>
            </w:r>
            <w:r>
              <w:rPr>
                <w:b/>
                <w:sz w:val="18"/>
              </w:rPr>
              <w:t>SINIRUBE</w:t>
            </w:r>
            <w:r>
              <w:rPr>
                <w:b/>
                <w:spacing w:val="-7"/>
                <w:sz w:val="18"/>
              </w:rPr>
              <w:t> </w:t>
            </w:r>
            <w:r>
              <w:rPr>
                <w:b/>
                <w:sz w:val="18"/>
              </w:rPr>
              <w:t>dirigidas</w:t>
            </w:r>
            <w:r>
              <w:rPr>
                <w:b/>
                <w:spacing w:val="-6"/>
                <w:sz w:val="18"/>
              </w:rPr>
              <w:t> </w:t>
            </w:r>
            <w:r>
              <w:rPr>
                <w:b/>
                <w:sz w:val="18"/>
              </w:rPr>
              <w:t>a</w:t>
            </w:r>
            <w:r>
              <w:rPr>
                <w:b/>
                <w:spacing w:val="-5"/>
                <w:sz w:val="18"/>
              </w:rPr>
              <w:t> </w:t>
            </w:r>
            <w:r>
              <w:rPr>
                <w:b/>
                <w:sz w:val="18"/>
              </w:rPr>
              <w:t>estructura</w:t>
            </w:r>
            <w:r>
              <w:rPr>
                <w:b/>
                <w:spacing w:val="-6"/>
                <w:sz w:val="18"/>
              </w:rPr>
              <w:t> </w:t>
            </w:r>
            <w:r>
              <w:rPr>
                <w:b/>
                <w:sz w:val="18"/>
              </w:rPr>
              <w:t>operativa,</w:t>
            </w:r>
            <w:r>
              <w:rPr>
                <w:b/>
                <w:spacing w:val="-4"/>
                <w:sz w:val="18"/>
              </w:rPr>
              <w:t> </w:t>
            </w:r>
            <w:r>
              <w:rPr>
                <w:b/>
                <w:sz w:val="18"/>
              </w:rPr>
              <w:t>tecnológica</w:t>
            </w:r>
            <w:r>
              <w:rPr>
                <w:b/>
                <w:spacing w:val="-6"/>
                <w:sz w:val="18"/>
              </w:rPr>
              <w:t> </w:t>
            </w:r>
            <w:r>
              <w:rPr>
                <w:b/>
                <w:sz w:val="18"/>
              </w:rPr>
              <w:t>y</w:t>
            </w:r>
            <w:r>
              <w:rPr>
                <w:b/>
                <w:spacing w:val="-6"/>
                <w:sz w:val="18"/>
              </w:rPr>
              <w:t> </w:t>
            </w:r>
            <w:r>
              <w:rPr>
                <w:b/>
                <w:sz w:val="18"/>
              </w:rPr>
              <w:t>del</w:t>
            </w:r>
            <w:r>
              <w:rPr>
                <w:b/>
                <w:spacing w:val="-4"/>
                <w:sz w:val="18"/>
              </w:rPr>
              <w:t> </w:t>
            </w:r>
            <w:r>
              <w:rPr>
                <w:b/>
                <w:sz w:val="18"/>
              </w:rPr>
              <w:t>recurso</w:t>
            </w:r>
            <w:r>
              <w:rPr>
                <w:b/>
                <w:spacing w:val="-7"/>
                <w:sz w:val="18"/>
              </w:rPr>
              <w:t> </w:t>
            </w:r>
            <w:r>
              <w:rPr>
                <w:b/>
                <w:sz w:val="18"/>
              </w:rPr>
              <w:t>humano</w:t>
            </w:r>
            <w:r>
              <w:rPr>
                <w:b/>
                <w:spacing w:val="-6"/>
                <w:sz w:val="18"/>
              </w:rPr>
              <w:t> </w:t>
            </w:r>
            <w:r>
              <w:rPr>
                <w:b/>
                <w:sz w:val="18"/>
              </w:rPr>
              <w:t>(E4</w:t>
            </w:r>
            <w:r>
              <w:rPr>
                <w:b/>
                <w:spacing w:val="-2"/>
                <w:sz w:val="18"/>
              </w:rPr>
              <w:t> </w:t>
            </w:r>
            <w:r>
              <w:rPr>
                <w:b/>
                <w:sz w:val="18"/>
              </w:rPr>
              <w:t>AE4</w:t>
            </w:r>
            <w:r>
              <w:rPr>
                <w:b/>
                <w:spacing w:val="-2"/>
                <w:sz w:val="18"/>
              </w:rPr>
              <w:t> </w:t>
            </w:r>
            <w:r>
              <w:rPr>
                <w:b/>
                <w:spacing w:val="-5"/>
                <w:sz w:val="18"/>
              </w:rPr>
              <w:t>R2)</w:t>
            </w:r>
          </w:p>
        </w:tc>
      </w:tr>
    </w:tbl>
    <w:p>
      <w:pPr>
        <w:pStyle w:val="TableParagraph"/>
        <w:spacing w:after="0"/>
        <w:rPr>
          <w:b/>
          <w:sz w:val="18"/>
        </w:rPr>
        <w:sectPr>
          <w:type w:val="continuous"/>
          <w:pgSz w:w="15840" w:h="12240" w:orient="landscape"/>
          <w:pgMar w:header="0" w:footer="1806" w:top="700" w:bottom="2998"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4"/>
        <w:gridCol w:w="1781"/>
        <w:gridCol w:w="1599"/>
        <w:gridCol w:w="1431"/>
        <w:gridCol w:w="2017"/>
        <w:gridCol w:w="1259"/>
        <w:gridCol w:w="1231"/>
        <w:gridCol w:w="2363"/>
      </w:tblGrid>
      <w:tr>
        <w:trPr>
          <w:trHeight w:val="671" w:hRule="atLeast"/>
        </w:trPr>
        <w:tc>
          <w:tcPr>
            <w:tcW w:w="2574" w:type="dxa"/>
            <w:shd w:val="clear" w:color="auto" w:fill="F1F1F1"/>
          </w:tcPr>
          <w:p>
            <w:pPr>
              <w:pStyle w:val="TableParagraph"/>
              <w:spacing w:before="22"/>
              <w:rPr>
                <w:b/>
                <w:sz w:val="18"/>
              </w:rPr>
            </w:pPr>
          </w:p>
          <w:p>
            <w:pPr>
              <w:pStyle w:val="TableParagraph"/>
              <w:ind w:left="317"/>
              <w:rPr>
                <w:b/>
                <w:sz w:val="18"/>
              </w:rPr>
            </w:pPr>
            <w:r>
              <w:rPr>
                <w:b/>
                <w:sz w:val="18"/>
              </w:rPr>
              <w:t>Objetivos</w:t>
            </w:r>
            <w:r>
              <w:rPr>
                <w:b/>
                <w:spacing w:val="-5"/>
                <w:sz w:val="18"/>
              </w:rPr>
              <w:t> </w:t>
            </w:r>
            <w:r>
              <w:rPr>
                <w:b/>
                <w:sz w:val="18"/>
              </w:rPr>
              <w:t>/</w:t>
            </w:r>
            <w:r>
              <w:rPr>
                <w:b/>
                <w:spacing w:val="-2"/>
                <w:sz w:val="18"/>
              </w:rPr>
              <w:t> Resultados</w:t>
            </w:r>
          </w:p>
        </w:tc>
        <w:tc>
          <w:tcPr>
            <w:tcW w:w="1781" w:type="dxa"/>
            <w:shd w:val="clear" w:color="auto" w:fill="F1F1F1"/>
          </w:tcPr>
          <w:p>
            <w:pPr>
              <w:pStyle w:val="TableParagraph"/>
              <w:spacing w:before="22"/>
              <w:rPr>
                <w:b/>
                <w:sz w:val="18"/>
              </w:rPr>
            </w:pPr>
          </w:p>
          <w:p>
            <w:pPr>
              <w:pStyle w:val="TableParagraph"/>
              <w:ind w:left="11"/>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599" w:type="dxa"/>
            <w:shd w:val="clear" w:color="auto" w:fill="F1F1F1"/>
          </w:tcPr>
          <w:p>
            <w:pPr>
              <w:pStyle w:val="TableParagraph"/>
              <w:spacing w:before="23"/>
              <w:ind w:left="115" w:right="109"/>
              <w:jc w:val="center"/>
              <w:rPr>
                <w:b/>
                <w:sz w:val="18"/>
              </w:rPr>
            </w:pPr>
            <w:r>
              <w:rPr>
                <w:b/>
                <w:spacing w:val="-4"/>
                <w:sz w:val="18"/>
              </w:rPr>
              <w:t>Meta </w:t>
            </w:r>
            <w:r>
              <w:rPr>
                <w:b/>
                <w:spacing w:val="-2"/>
                <w:sz w:val="18"/>
              </w:rPr>
              <w:t>programada </w:t>
            </w:r>
            <w:r>
              <w:rPr>
                <w:b/>
                <w:spacing w:val="-4"/>
                <w:sz w:val="18"/>
              </w:rPr>
              <w:t>2026</w:t>
            </w:r>
          </w:p>
        </w:tc>
        <w:tc>
          <w:tcPr>
            <w:tcW w:w="1431" w:type="dxa"/>
            <w:shd w:val="clear" w:color="auto" w:fill="F1F1F1"/>
          </w:tcPr>
          <w:p>
            <w:pPr>
              <w:pStyle w:val="TableParagraph"/>
              <w:spacing w:before="22"/>
              <w:rPr>
                <w:b/>
                <w:sz w:val="18"/>
              </w:rPr>
            </w:pPr>
          </w:p>
          <w:p>
            <w:pPr>
              <w:pStyle w:val="TableParagraph"/>
              <w:ind w:left="311"/>
              <w:rPr>
                <w:b/>
                <w:sz w:val="18"/>
              </w:rPr>
            </w:pPr>
            <w:r>
              <w:rPr>
                <w:b/>
                <w:spacing w:val="-2"/>
                <w:sz w:val="18"/>
              </w:rPr>
              <w:t>Indicador</w:t>
            </w:r>
          </w:p>
        </w:tc>
        <w:tc>
          <w:tcPr>
            <w:tcW w:w="2017" w:type="dxa"/>
            <w:shd w:val="clear" w:color="auto" w:fill="F1F1F1"/>
          </w:tcPr>
          <w:p>
            <w:pPr>
              <w:pStyle w:val="TableParagraph"/>
              <w:spacing w:before="128"/>
              <w:ind w:left="508" w:right="121" w:firstLine="57"/>
              <w:rPr>
                <w:b/>
                <w:sz w:val="18"/>
              </w:rPr>
            </w:pPr>
            <w:r>
              <w:rPr>
                <w:b/>
                <w:sz w:val="18"/>
              </w:rPr>
              <w:t>Medios de </w:t>
            </w:r>
            <w:r>
              <w:rPr>
                <w:b/>
                <w:spacing w:val="-2"/>
                <w:sz w:val="18"/>
              </w:rPr>
              <w:t>verificación</w:t>
            </w:r>
          </w:p>
        </w:tc>
        <w:tc>
          <w:tcPr>
            <w:tcW w:w="1259" w:type="dxa"/>
            <w:shd w:val="clear" w:color="auto" w:fill="F1F1F1"/>
          </w:tcPr>
          <w:p>
            <w:pPr>
              <w:pStyle w:val="TableParagraph"/>
              <w:spacing w:before="22"/>
              <w:rPr>
                <w:b/>
                <w:sz w:val="18"/>
              </w:rPr>
            </w:pPr>
          </w:p>
          <w:p>
            <w:pPr>
              <w:pStyle w:val="TableParagraph"/>
              <w:ind w:left="66"/>
              <w:rPr>
                <w:b/>
                <w:sz w:val="18"/>
              </w:rPr>
            </w:pPr>
            <w:r>
              <w:rPr>
                <w:b/>
                <w:spacing w:val="-2"/>
                <w:sz w:val="18"/>
              </w:rPr>
              <w:t>Responsable</w:t>
            </w:r>
          </w:p>
        </w:tc>
        <w:tc>
          <w:tcPr>
            <w:tcW w:w="1231" w:type="dxa"/>
            <w:shd w:val="clear" w:color="auto" w:fill="F1F1F1"/>
          </w:tcPr>
          <w:p>
            <w:pPr>
              <w:pStyle w:val="TableParagraph"/>
              <w:spacing w:before="128"/>
              <w:ind w:left="218" w:hanging="149"/>
              <w:rPr>
                <w:b/>
                <w:sz w:val="18"/>
              </w:rPr>
            </w:pPr>
            <w:r>
              <w:rPr>
                <w:b/>
                <w:spacing w:val="-2"/>
                <w:sz w:val="18"/>
              </w:rPr>
              <w:t>Presupuesto asignado</w:t>
            </w:r>
          </w:p>
        </w:tc>
        <w:tc>
          <w:tcPr>
            <w:tcW w:w="2363" w:type="dxa"/>
            <w:shd w:val="clear" w:color="auto" w:fill="F1F1F1"/>
          </w:tcPr>
          <w:p>
            <w:pPr>
              <w:pStyle w:val="TableParagraph"/>
              <w:spacing w:before="128"/>
              <w:ind w:left="591" w:right="53" w:hanging="231"/>
              <w:rPr>
                <w:b/>
                <w:sz w:val="18"/>
              </w:rPr>
            </w:pPr>
            <w:r>
              <w:rPr>
                <w:b/>
                <w:sz w:val="18"/>
              </w:rPr>
              <w:t>Riesgo</w:t>
            </w:r>
            <w:r>
              <w:rPr>
                <w:b/>
                <w:spacing w:val="-15"/>
                <w:sz w:val="18"/>
              </w:rPr>
              <w:t> </w:t>
            </w:r>
            <w:r>
              <w:rPr>
                <w:b/>
                <w:sz w:val="18"/>
              </w:rPr>
              <w:t>asociado</w:t>
            </w:r>
            <w:r>
              <w:rPr>
                <w:b/>
                <w:spacing w:val="-12"/>
                <w:sz w:val="18"/>
              </w:rPr>
              <w:t> </w:t>
            </w:r>
            <w:r>
              <w:rPr>
                <w:b/>
                <w:sz w:val="18"/>
              </w:rPr>
              <w:t>al </w:t>
            </w:r>
            <w:r>
              <w:rPr>
                <w:b/>
                <w:spacing w:val="-2"/>
                <w:sz w:val="18"/>
              </w:rPr>
              <w:t>cumplimiento</w:t>
            </w:r>
          </w:p>
        </w:tc>
      </w:tr>
      <w:tr>
        <w:trPr>
          <w:trHeight w:val="1545" w:hRule="atLeast"/>
        </w:trPr>
        <w:tc>
          <w:tcPr>
            <w:tcW w:w="2574" w:type="dxa"/>
          </w:tcPr>
          <w:p>
            <w:pPr>
              <w:pStyle w:val="TableParagraph"/>
              <w:spacing w:before="46"/>
              <w:rPr>
                <w:b/>
                <w:sz w:val="18"/>
              </w:rPr>
            </w:pPr>
          </w:p>
          <w:p>
            <w:pPr>
              <w:pStyle w:val="TableParagraph"/>
              <w:spacing w:before="1"/>
              <w:ind w:left="72" w:right="120"/>
              <w:rPr>
                <w:sz w:val="18"/>
              </w:rPr>
            </w:pPr>
            <w:r>
              <w:rPr>
                <w:b/>
                <w:sz w:val="18"/>
              </w:rPr>
              <w:t>Actividad PAC 2.92.1: </w:t>
            </w:r>
            <w:r>
              <w:rPr>
                <w:sz w:val="18"/>
              </w:rPr>
              <w:t>Gestionar</w:t>
            </w:r>
            <w:r>
              <w:rPr>
                <w:spacing w:val="-15"/>
                <w:sz w:val="18"/>
              </w:rPr>
              <w:t> </w:t>
            </w:r>
            <w:r>
              <w:rPr>
                <w:sz w:val="18"/>
              </w:rPr>
              <w:t>apoyo</w:t>
            </w:r>
            <w:r>
              <w:rPr>
                <w:spacing w:val="-12"/>
                <w:sz w:val="18"/>
              </w:rPr>
              <w:t> </w:t>
            </w:r>
            <w:r>
              <w:rPr>
                <w:sz w:val="18"/>
              </w:rPr>
              <w:t>financiero para el desarrollo de proyectos</w:t>
            </w:r>
            <w:r>
              <w:rPr>
                <w:spacing w:val="-7"/>
                <w:sz w:val="18"/>
              </w:rPr>
              <w:t> </w:t>
            </w:r>
            <w:r>
              <w:rPr>
                <w:sz w:val="18"/>
              </w:rPr>
              <w:t>tecnológicos del </w:t>
            </w:r>
            <w:r>
              <w:rPr>
                <w:spacing w:val="-2"/>
                <w:sz w:val="18"/>
              </w:rPr>
              <w:t>SINIRUBE</w:t>
            </w:r>
          </w:p>
        </w:tc>
        <w:tc>
          <w:tcPr>
            <w:tcW w:w="1781" w:type="dxa"/>
          </w:tcPr>
          <w:p>
            <w:pPr>
              <w:pStyle w:val="TableParagraph"/>
              <w:rPr>
                <w:b/>
                <w:sz w:val="18"/>
              </w:rPr>
            </w:pPr>
          </w:p>
          <w:p>
            <w:pPr>
              <w:pStyle w:val="TableParagraph"/>
              <w:rPr>
                <w:b/>
                <w:sz w:val="18"/>
              </w:rPr>
            </w:pPr>
          </w:p>
          <w:p>
            <w:pPr>
              <w:pStyle w:val="TableParagraph"/>
              <w:spacing w:before="45"/>
              <w:rPr>
                <w:b/>
                <w:sz w:val="18"/>
              </w:rPr>
            </w:pPr>
          </w:p>
          <w:p>
            <w:pPr>
              <w:pStyle w:val="TableParagraph"/>
              <w:spacing w:before="1"/>
              <w:ind w:left="11" w:right="2"/>
              <w:jc w:val="center"/>
              <w:rPr>
                <w:sz w:val="18"/>
              </w:rPr>
            </w:pPr>
            <w:r>
              <w:rPr>
                <w:sz w:val="18"/>
              </w:rPr>
              <w:t>No </w:t>
            </w:r>
            <w:r>
              <w:rPr>
                <w:spacing w:val="-2"/>
                <w:sz w:val="18"/>
              </w:rPr>
              <w:t>existe</w:t>
            </w:r>
          </w:p>
        </w:tc>
        <w:tc>
          <w:tcPr>
            <w:tcW w:w="1599" w:type="dxa"/>
          </w:tcPr>
          <w:p>
            <w:pPr>
              <w:pStyle w:val="TableParagraph"/>
              <w:rPr>
                <w:b/>
                <w:sz w:val="18"/>
              </w:rPr>
            </w:pPr>
          </w:p>
          <w:p>
            <w:pPr>
              <w:pStyle w:val="TableParagraph"/>
              <w:rPr>
                <w:b/>
                <w:sz w:val="18"/>
              </w:rPr>
            </w:pPr>
          </w:p>
          <w:p>
            <w:pPr>
              <w:pStyle w:val="TableParagraph"/>
              <w:spacing w:before="45"/>
              <w:rPr>
                <w:b/>
                <w:sz w:val="18"/>
              </w:rPr>
            </w:pPr>
          </w:p>
          <w:p>
            <w:pPr>
              <w:pStyle w:val="TableParagraph"/>
              <w:spacing w:before="1"/>
              <w:ind w:left="115" w:right="114"/>
              <w:jc w:val="center"/>
              <w:rPr>
                <w:sz w:val="18"/>
              </w:rPr>
            </w:pPr>
            <w:r>
              <w:rPr>
                <w:spacing w:val="-10"/>
                <w:sz w:val="18"/>
              </w:rPr>
              <w:t>1</w:t>
            </w:r>
          </w:p>
        </w:tc>
        <w:tc>
          <w:tcPr>
            <w:tcW w:w="1431" w:type="dxa"/>
          </w:tcPr>
          <w:p>
            <w:pPr>
              <w:pStyle w:val="TableParagraph"/>
              <w:spacing w:before="47"/>
              <w:ind w:left="71" w:right="55"/>
              <w:rPr>
                <w:sz w:val="18"/>
              </w:rPr>
            </w:pPr>
            <w:r>
              <w:rPr>
                <w:sz w:val="18"/>
              </w:rPr>
              <w:t>Cantidad de </w:t>
            </w:r>
            <w:r>
              <w:rPr>
                <w:spacing w:val="-2"/>
                <w:sz w:val="18"/>
              </w:rPr>
              <w:t>apoyos obtenidos </w:t>
            </w:r>
            <w:r>
              <w:rPr>
                <w:sz w:val="18"/>
              </w:rPr>
              <w:t>mediante las gestiones</w:t>
            </w:r>
            <w:r>
              <w:rPr>
                <w:spacing w:val="-15"/>
                <w:sz w:val="18"/>
              </w:rPr>
              <w:t> </w:t>
            </w:r>
            <w:r>
              <w:rPr>
                <w:sz w:val="18"/>
              </w:rPr>
              <w:t>de</w:t>
            </w:r>
            <w:r>
              <w:rPr>
                <w:spacing w:val="-12"/>
                <w:sz w:val="18"/>
              </w:rPr>
              <w:t> </w:t>
            </w:r>
            <w:r>
              <w:rPr>
                <w:sz w:val="18"/>
              </w:rPr>
              <w:t>la </w:t>
            </w:r>
            <w:r>
              <w:rPr>
                <w:spacing w:val="-2"/>
                <w:sz w:val="18"/>
              </w:rPr>
              <w:t>Presidencia Ejecutiva</w:t>
            </w:r>
          </w:p>
        </w:tc>
        <w:tc>
          <w:tcPr>
            <w:tcW w:w="2017" w:type="dxa"/>
          </w:tcPr>
          <w:p>
            <w:pPr>
              <w:pStyle w:val="TableParagraph"/>
              <w:rPr>
                <w:b/>
                <w:sz w:val="18"/>
              </w:rPr>
            </w:pPr>
          </w:p>
          <w:p>
            <w:pPr>
              <w:pStyle w:val="TableParagraph"/>
              <w:spacing w:before="46"/>
              <w:rPr>
                <w:b/>
                <w:sz w:val="18"/>
              </w:rPr>
            </w:pPr>
          </w:p>
          <w:p>
            <w:pPr>
              <w:pStyle w:val="TableParagraph"/>
              <w:ind w:left="71" w:right="68"/>
              <w:rPr>
                <w:sz w:val="18"/>
              </w:rPr>
            </w:pPr>
            <w:r>
              <w:rPr>
                <w:sz w:val="18"/>
              </w:rPr>
              <w:t>Lista de asistencia a</w:t>
            </w:r>
            <w:r>
              <w:rPr>
                <w:spacing w:val="40"/>
                <w:sz w:val="18"/>
              </w:rPr>
              <w:t> </w:t>
            </w:r>
            <w:r>
              <w:rPr>
                <w:spacing w:val="-4"/>
                <w:sz w:val="18"/>
              </w:rPr>
              <w:t>las </w:t>
            </w:r>
            <w:r>
              <w:rPr>
                <w:spacing w:val="-2"/>
                <w:sz w:val="18"/>
              </w:rPr>
              <w:t>sesiones/convocatorias</w:t>
            </w:r>
          </w:p>
        </w:tc>
        <w:tc>
          <w:tcPr>
            <w:tcW w:w="1259" w:type="dxa"/>
          </w:tcPr>
          <w:p>
            <w:pPr>
              <w:pStyle w:val="TableParagraph"/>
              <w:rPr>
                <w:b/>
                <w:sz w:val="18"/>
              </w:rPr>
            </w:pPr>
          </w:p>
          <w:p>
            <w:pPr>
              <w:pStyle w:val="TableParagraph"/>
              <w:rPr>
                <w:b/>
                <w:sz w:val="18"/>
              </w:rPr>
            </w:pPr>
          </w:p>
          <w:p>
            <w:pPr>
              <w:pStyle w:val="TableParagraph"/>
              <w:spacing w:before="45"/>
              <w:rPr>
                <w:b/>
                <w:sz w:val="18"/>
              </w:rPr>
            </w:pPr>
          </w:p>
          <w:p>
            <w:pPr>
              <w:pStyle w:val="TableParagraph"/>
              <w:spacing w:before="1"/>
              <w:ind w:left="66"/>
              <w:rPr>
                <w:sz w:val="18"/>
              </w:rPr>
            </w:pPr>
            <w:r>
              <w:rPr>
                <w:spacing w:val="-5"/>
                <w:sz w:val="18"/>
              </w:rPr>
              <w:t>PE</w:t>
            </w:r>
          </w:p>
        </w:tc>
        <w:tc>
          <w:tcPr>
            <w:tcW w:w="1231" w:type="dxa"/>
          </w:tcPr>
          <w:p>
            <w:pPr>
              <w:pStyle w:val="TableParagraph"/>
              <w:rPr>
                <w:rFonts w:ascii="Times New Roman"/>
                <w:sz w:val="18"/>
              </w:rPr>
            </w:pPr>
          </w:p>
        </w:tc>
        <w:tc>
          <w:tcPr>
            <w:tcW w:w="2363"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68" w:right="53"/>
              <w:rPr>
                <w:sz w:val="18"/>
              </w:rPr>
            </w:pPr>
            <w:r>
              <w:rPr>
                <w:sz w:val="18"/>
              </w:rPr>
              <w:t>Evento:</w:t>
            </w:r>
            <w:r>
              <w:rPr>
                <w:spacing w:val="-11"/>
                <w:sz w:val="18"/>
              </w:rPr>
              <w:t> </w:t>
            </w:r>
            <w:r>
              <w:rPr>
                <w:sz w:val="18"/>
              </w:rPr>
              <w:t>Falta</w:t>
            </w:r>
            <w:r>
              <w:rPr>
                <w:spacing w:val="-12"/>
                <w:sz w:val="18"/>
              </w:rPr>
              <w:t> </w:t>
            </w:r>
            <w:r>
              <w:rPr>
                <w:sz w:val="18"/>
              </w:rPr>
              <w:t>de</w:t>
            </w:r>
            <w:r>
              <w:rPr>
                <w:spacing w:val="-12"/>
                <w:sz w:val="18"/>
              </w:rPr>
              <w:t> </w:t>
            </w:r>
            <w:r>
              <w:rPr>
                <w:sz w:val="18"/>
              </w:rPr>
              <w:t>obtención de patrocinios</w:t>
            </w:r>
          </w:p>
        </w:tc>
      </w:tr>
      <w:tr>
        <w:trPr>
          <w:trHeight w:val="1512" w:hRule="atLeast"/>
        </w:trPr>
        <w:tc>
          <w:tcPr>
            <w:tcW w:w="2574" w:type="dxa"/>
          </w:tcPr>
          <w:p>
            <w:pPr>
              <w:pStyle w:val="TableParagraph"/>
              <w:spacing w:before="133"/>
              <w:rPr>
                <w:b/>
                <w:sz w:val="18"/>
              </w:rPr>
            </w:pPr>
          </w:p>
          <w:p>
            <w:pPr>
              <w:pStyle w:val="TableParagraph"/>
              <w:ind w:left="72" w:right="82"/>
              <w:rPr>
                <w:sz w:val="18"/>
              </w:rPr>
            </w:pPr>
            <w:r>
              <w:rPr>
                <w:b/>
                <w:sz w:val="18"/>
              </w:rPr>
              <w:t>Actividad PAC 2.92.2: </w:t>
            </w:r>
            <w:r>
              <w:rPr>
                <w:sz w:val="18"/>
              </w:rPr>
              <w:t>Asesorar para la realización del</w:t>
            </w:r>
            <w:r>
              <w:rPr>
                <w:spacing w:val="-6"/>
                <w:sz w:val="18"/>
              </w:rPr>
              <w:t> </w:t>
            </w:r>
            <w:r>
              <w:rPr>
                <w:sz w:val="18"/>
              </w:rPr>
              <w:t>Plan</w:t>
            </w:r>
            <w:r>
              <w:rPr>
                <w:spacing w:val="-6"/>
                <w:sz w:val="18"/>
              </w:rPr>
              <w:t> </w:t>
            </w:r>
            <w:r>
              <w:rPr>
                <w:sz w:val="18"/>
              </w:rPr>
              <w:t>Estratégico</w:t>
            </w:r>
            <w:r>
              <w:rPr>
                <w:spacing w:val="-6"/>
                <w:sz w:val="18"/>
              </w:rPr>
              <w:t> </w:t>
            </w:r>
            <w:r>
              <w:rPr>
                <w:sz w:val="18"/>
              </w:rPr>
              <w:t>y</w:t>
            </w:r>
            <w:r>
              <w:rPr>
                <w:spacing w:val="-9"/>
                <w:sz w:val="18"/>
              </w:rPr>
              <w:t> </w:t>
            </w:r>
            <w:r>
              <w:rPr>
                <w:sz w:val="18"/>
              </w:rPr>
              <w:t>su</w:t>
            </w:r>
            <w:r>
              <w:rPr>
                <w:spacing w:val="-9"/>
                <w:sz w:val="18"/>
              </w:rPr>
              <w:t> </w:t>
            </w:r>
            <w:r>
              <w:rPr>
                <w:sz w:val="18"/>
              </w:rPr>
              <w:t>Plan </w:t>
            </w:r>
            <w:r>
              <w:rPr>
                <w:spacing w:val="-2"/>
                <w:sz w:val="18"/>
              </w:rPr>
              <w:t>Operativo</w:t>
            </w:r>
          </w:p>
        </w:tc>
        <w:tc>
          <w:tcPr>
            <w:tcW w:w="1781" w:type="dxa"/>
          </w:tcPr>
          <w:p>
            <w:pPr>
              <w:pStyle w:val="TableParagraph"/>
              <w:rPr>
                <w:b/>
                <w:sz w:val="18"/>
              </w:rPr>
            </w:pPr>
          </w:p>
          <w:p>
            <w:pPr>
              <w:pStyle w:val="TableParagraph"/>
              <w:rPr>
                <w:b/>
                <w:sz w:val="18"/>
              </w:rPr>
            </w:pPr>
          </w:p>
          <w:p>
            <w:pPr>
              <w:pStyle w:val="TableParagraph"/>
              <w:spacing w:before="31"/>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rPr>
                <w:b/>
                <w:sz w:val="18"/>
              </w:rPr>
            </w:pPr>
          </w:p>
          <w:p>
            <w:pPr>
              <w:pStyle w:val="TableParagraph"/>
              <w:rPr>
                <w:b/>
                <w:sz w:val="18"/>
              </w:rPr>
            </w:pPr>
          </w:p>
          <w:p>
            <w:pPr>
              <w:pStyle w:val="TableParagraph"/>
              <w:spacing w:before="31"/>
              <w:rPr>
                <w:b/>
                <w:sz w:val="18"/>
              </w:rPr>
            </w:pPr>
          </w:p>
          <w:p>
            <w:pPr>
              <w:pStyle w:val="TableParagraph"/>
              <w:ind w:left="115" w:right="114"/>
              <w:jc w:val="center"/>
              <w:rPr>
                <w:sz w:val="18"/>
              </w:rPr>
            </w:pPr>
            <w:r>
              <w:rPr>
                <w:spacing w:val="-10"/>
                <w:sz w:val="18"/>
              </w:rPr>
              <w:t>6</w:t>
            </w:r>
          </w:p>
        </w:tc>
        <w:tc>
          <w:tcPr>
            <w:tcW w:w="1431" w:type="dxa"/>
          </w:tcPr>
          <w:p>
            <w:pPr>
              <w:pStyle w:val="TableParagraph"/>
              <w:spacing w:before="133"/>
              <w:rPr>
                <w:b/>
                <w:sz w:val="18"/>
              </w:rPr>
            </w:pPr>
          </w:p>
          <w:p>
            <w:pPr>
              <w:pStyle w:val="TableParagraph"/>
              <w:ind w:left="71"/>
              <w:rPr>
                <w:sz w:val="18"/>
              </w:rPr>
            </w:pPr>
            <w:r>
              <w:rPr>
                <w:sz w:val="18"/>
              </w:rPr>
              <w:t>Cantidad</w:t>
            </w:r>
            <w:r>
              <w:rPr>
                <w:spacing w:val="-13"/>
                <w:sz w:val="18"/>
              </w:rPr>
              <w:t> </w:t>
            </w:r>
            <w:r>
              <w:rPr>
                <w:sz w:val="18"/>
              </w:rPr>
              <w:t>de sesiones</w:t>
            </w:r>
            <w:r>
              <w:rPr>
                <w:spacing w:val="-13"/>
                <w:sz w:val="18"/>
              </w:rPr>
              <w:t> </w:t>
            </w:r>
            <w:r>
              <w:rPr>
                <w:sz w:val="18"/>
              </w:rPr>
              <w:t>de </w:t>
            </w:r>
            <w:r>
              <w:rPr>
                <w:spacing w:val="-2"/>
                <w:sz w:val="18"/>
              </w:rPr>
              <w:t>asesoría realizadas</w:t>
            </w:r>
          </w:p>
        </w:tc>
        <w:tc>
          <w:tcPr>
            <w:tcW w:w="2017" w:type="dxa"/>
          </w:tcPr>
          <w:p>
            <w:pPr>
              <w:pStyle w:val="TableParagraph"/>
              <w:rPr>
                <w:b/>
                <w:sz w:val="18"/>
              </w:rPr>
            </w:pPr>
          </w:p>
          <w:p>
            <w:pPr>
              <w:pStyle w:val="TableParagraph"/>
              <w:spacing w:before="31"/>
              <w:rPr>
                <w:b/>
                <w:sz w:val="18"/>
              </w:rPr>
            </w:pPr>
          </w:p>
          <w:p>
            <w:pPr>
              <w:pStyle w:val="TableParagraph"/>
              <w:ind w:left="71" w:right="68"/>
              <w:rPr>
                <w:sz w:val="18"/>
              </w:rPr>
            </w:pPr>
            <w:r>
              <w:rPr>
                <w:sz w:val="18"/>
              </w:rPr>
              <w:t>Lista de asistencia a</w:t>
            </w:r>
            <w:r>
              <w:rPr>
                <w:spacing w:val="40"/>
                <w:sz w:val="18"/>
              </w:rPr>
              <w:t> </w:t>
            </w:r>
            <w:r>
              <w:rPr>
                <w:spacing w:val="-4"/>
                <w:sz w:val="18"/>
              </w:rPr>
              <w:t>las </w:t>
            </w:r>
            <w:r>
              <w:rPr>
                <w:spacing w:val="-2"/>
                <w:sz w:val="18"/>
              </w:rPr>
              <w:t>sesiones/convocatorias</w:t>
            </w:r>
          </w:p>
        </w:tc>
        <w:tc>
          <w:tcPr>
            <w:tcW w:w="1259" w:type="dxa"/>
          </w:tcPr>
          <w:p>
            <w:pPr>
              <w:pStyle w:val="TableParagraph"/>
              <w:rPr>
                <w:b/>
                <w:sz w:val="18"/>
              </w:rPr>
            </w:pPr>
          </w:p>
          <w:p>
            <w:pPr>
              <w:pStyle w:val="TableParagraph"/>
              <w:rPr>
                <w:b/>
                <w:sz w:val="18"/>
              </w:rPr>
            </w:pPr>
          </w:p>
          <w:p>
            <w:pPr>
              <w:pStyle w:val="TableParagraph"/>
              <w:spacing w:before="31"/>
              <w:rPr>
                <w:b/>
                <w:sz w:val="18"/>
              </w:rPr>
            </w:pPr>
          </w:p>
          <w:p>
            <w:pPr>
              <w:pStyle w:val="TableParagraph"/>
              <w:ind w:left="66"/>
              <w:rPr>
                <w:sz w:val="18"/>
              </w:rPr>
            </w:pPr>
            <w:r>
              <w:rPr>
                <w:spacing w:val="-5"/>
                <w:sz w:val="18"/>
              </w:rPr>
              <w:t>PI</w:t>
            </w:r>
          </w:p>
        </w:tc>
        <w:tc>
          <w:tcPr>
            <w:tcW w:w="1231" w:type="dxa"/>
          </w:tcPr>
          <w:p>
            <w:pPr>
              <w:pStyle w:val="TableParagraph"/>
              <w:rPr>
                <w:rFonts w:ascii="Times New Roman"/>
                <w:sz w:val="18"/>
              </w:rPr>
            </w:pPr>
          </w:p>
        </w:tc>
        <w:tc>
          <w:tcPr>
            <w:tcW w:w="2363" w:type="dxa"/>
            <w:vMerge/>
            <w:tcBorders>
              <w:top w:val="nil"/>
            </w:tcBorders>
          </w:tcPr>
          <w:p>
            <w:pPr>
              <w:rPr>
                <w:sz w:val="2"/>
                <w:szCs w:val="2"/>
              </w:rPr>
            </w:pPr>
          </w:p>
        </w:tc>
      </w:tr>
      <w:tr>
        <w:trPr>
          <w:trHeight w:val="1353" w:hRule="atLeast"/>
        </w:trPr>
        <w:tc>
          <w:tcPr>
            <w:tcW w:w="2574" w:type="dxa"/>
          </w:tcPr>
          <w:p>
            <w:pPr>
              <w:pStyle w:val="TableParagraph"/>
              <w:spacing w:before="55"/>
              <w:rPr>
                <w:b/>
                <w:sz w:val="18"/>
              </w:rPr>
            </w:pPr>
          </w:p>
          <w:p>
            <w:pPr>
              <w:pStyle w:val="TableParagraph"/>
              <w:spacing w:before="1"/>
              <w:ind w:left="72" w:right="82"/>
              <w:rPr>
                <w:sz w:val="18"/>
              </w:rPr>
            </w:pPr>
            <w:r>
              <w:rPr>
                <w:b/>
                <w:sz w:val="18"/>
              </w:rPr>
              <w:t>Actividad PAC 2.92.3: </w:t>
            </w:r>
            <w:r>
              <w:rPr>
                <w:sz w:val="18"/>
              </w:rPr>
              <w:t>Asesorar</w:t>
            </w:r>
            <w:r>
              <w:rPr>
                <w:spacing w:val="-11"/>
                <w:sz w:val="18"/>
              </w:rPr>
              <w:t> </w:t>
            </w:r>
            <w:r>
              <w:rPr>
                <w:sz w:val="18"/>
              </w:rPr>
              <w:t>en</w:t>
            </w:r>
            <w:r>
              <w:rPr>
                <w:spacing w:val="-13"/>
                <w:sz w:val="18"/>
              </w:rPr>
              <w:t> </w:t>
            </w:r>
            <w:r>
              <w:rPr>
                <w:sz w:val="18"/>
              </w:rPr>
              <w:t>el</w:t>
            </w:r>
            <w:r>
              <w:rPr>
                <w:spacing w:val="-10"/>
                <w:sz w:val="18"/>
              </w:rPr>
              <w:t> </w:t>
            </w:r>
            <w:r>
              <w:rPr>
                <w:sz w:val="18"/>
              </w:rPr>
              <w:t>cumplimiento de la normativa de Control </w:t>
            </w:r>
            <w:r>
              <w:rPr>
                <w:spacing w:val="-2"/>
                <w:sz w:val="18"/>
              </w:rPr>
              <w:t>Interno</w:t>
            </w:r>
          </w:p>
        </w:tc>
        <w:tc>
          <w:tcPr>
            <w:tcW w:w="1781" w:type="dxa"/>
          </w:tcPr>
          <w:p>
            <w:pPr>
              <w:pStyle w:val="TableParagraph"/>
              <w:rPr>
                <w:b/>
                <w:sz w:val="18"/>
              </w:rPr>
            </w:pPr>
          </w:p>
          <w:p>
            <w:pPr>
              <w:pStyle w:val="TableParagraph"/>
              <w:spacing w:before="156"/>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rPr>
                <w:b/>
                <w:sz w:val="18"/>
              </w:rPr>
            </w:pPr>
          </w:p>
          <w:p>
            <w:pPr>
              <w:pStyle w:val="TableParagraph"/>
              <w:spacing w:before="156"/>
              <w:rPr>
                <w:b/>
                <w:sz w:val="18"/>
              </w:rPr>
            </w:pPr>
          </w:p>
          <w:p>
            <w:pPr>
              <w:pStyle w:val="TableParagraph"/>
              <w:ind w:left="115" w:right="114"/>
              <w:jc w:val="center"/>
              <w:rPr>
                <w:sz w:val="18"/>
              </w:rPr>
            </w:pPr>
            <w:r>
              <w:rPr>
                <w:spacing w:val="-10"/>
                <w:sz w:val="18"/>
              </w:rPr>
              <w:t>1</w:t>
            </w:r>
          </w:p>
        </w:tc>
        <w:tc>
          <w:tcPr>
            <w:tcW w:w="1431" w:type="dxa"/>
          </w:tcPr>
          <w:p>
            <w:pPr>
              <w:pStyle w:val="TableParagraph"/>
              <w:spacing w:before="55"/>
              <w:rPr>
                <w:b/>
                <w:sz w:val="18"/>
              </w:rPr>
            </w:pPr>
          </w:p>
          <w:p>
            <w:pPr>
              <w:pStyle w:val="TableParagraph"/>
              <w:spacing w:before="1"/>
              <w:ind w:left="71"/>
              <w:rPr>
                <w:sz w:val="18"/>
              </w:rPr>
            </w:pPr>
            <w:r>
              <w:rPr>
                <w:sz w:val="18"/>
              </w:rPr>
              <w:t>Cantidad de asesorías</w:t>
            </w:r>
            <w:r>
              <w:rPr>
                <w:spacing w:val="-13"/>
                <w:sz w:val="18"/>
              </w:rPr>
              <w:t> </w:t>
            </w:r>
            <w:r>
              <w:rPr>
                <w:sz w:val="18"/>
              </w:rPr>
              <w:t>sobre control interno </w:t>
            </w:r>
            <w:r>
              <w:rPr>
                <w:spacing w:val="-2"/>
                <w:sz w:val="18"/>
              </w:rPr>
              <w:t>realizadas</w:t>
            </w:r>
          </w:p>
        </w:tc>
        <w:tc>
          <w:tcPr>
            <w:tcW w:w="2017" w:type="dxa"/>
          </w:tcPr>
          <w:p>
            <w:pPr>
              <w:pStyle w:val="TableParagraph"/>
              <w:spacing w:before="156"/>
              <w:rPr>
                <w:b/>
                <w:sz w:val="18"/>
              </w:rPr>
            </w:pPr>
          </w:p>
          <w:p>
            <w:pPr>
              <w:pStyle w:val="TableParagraph"/>
              <w:spacing w:line="242" w:lineRule="auto"/>
              <w:ind w:left="71" w:right="68"/>
              <w:rPr>
                <w:sz w:val="18"/>
              </w:rPr>
            </w:pPr>
            <w:r>
              <w:rPr>
                <w:sz w:val="18"/>
              </w:rPr>
              <w:t>Lista de asistencia a</w:t>
            </w:r>
            <w:r>
              <w:rPr>
                <w:spacing w:val="40"/>
                <w:sz w:val="18"/>
              </w:rPr>
              <w:t> </w:t>
            </w:r>
            <w:r>
              <w:rPr>
                <w:spacing w:val="-4"/>
                <w:sz w:val="18"/>
              </w:rPr>
              <w:t>las </w:t>
            </w:r>
            <w:r>
              <w:rPr>
                <w:spacing w:val="-2"/>
                <w:sz w:val="18"/>
              </w:rPr>
              <w:t>sesiones/convocatorias</w:t>
            </w:r>
          </w:p>
        </w:tc>
        <w:tc>
          <w:tcPr>
            <w:tcW w:w="1259" w:type="dxa"/>
          </w:tcPr>
          <w:p>
            <w:pPr>
              <w:pStyle w:val="TableParagraph"/>
              <w:rPr>
                <w:b/>
                <w:sz w:val="18"/>
              </w:rPr>
            </w:pPr>
          </w:p>
          <w:p>
            <w:pPr>
              <w:pStyle w:val="TableParagraph"/>
              <w:spacing w:before="156"/>
              <w:rPr>
                <w:b/>
                <w:sz w:val="18"/>
              </w:rPr>
            </w:pPr>
          </w:p>
          <w:p>
            <w:pPr>
              <w:pStyle w:val="TableParagraph"/>
              <w:ind w:left="66"/>
              <w:rPr>
                <w:sz w:val="18"/>
              </w:rPr>
            </w:pPr>
            <w:r>
              <w:rPr>
                <w:spacing w:val="-5"/>
                <w:sz w:val="18"/>
              </w:rPr>
              <w:t>PI</w:t>
            </w:r>
          </w:p>
        </w:tc>
        <w:tc>
          <w:tcPr>
            <w:tcW w:w="1231" w:type="dxa"/>
          </w:tcPr>
          <w:p>
            <w:pPr>
              <w:pStyle w:val="TableParagraph"/>
              <w:rPr>
                <w:rFonts w:ascii="Times New Roman"/>
                <w:sz w:val="18"/>
              </w:rPr>
            </w:pPr>
          </w:p>
        </w:tc>
        <w:tc>
          <w:tcPr>
            <w:tcW w:w="2363" w:type="dxa"/>
            <w:vMerge/>
            <w:tcBorders>
              <w:top w:val="nil"/>
            </w:tcBorders>
          </w:tcPr>
          <w:p>
            <w:pPr>
              <w:rPr>
                <w:sz w:val="2"/>
                <w:szCs w:val="2"/>
              </w:rPr>
            </w:pPr>
          </w:p>
        </w:tc>
      </w:tr>
      <w:tr>
        <w:trPr>
          <w:trHeight w:val="2803" w:hRule="atLeast"/>
        </w:trPr>
        <w:tc>
          <w:tcPr>
            <w:tcW w:w="2574" w:type="dxa"/>
          </w:tcPr>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72" w:right="82"/>
              <w:rPr>
                <w:sz w:val="18"/>
              </w:rPr>
            </w:pPr>
            <w:r>
              <w:rPr>
                <w:b/>
                <w:sz w:val="18"/>
              </w:rPr>
              <w:t>Actividad PAC 2.92.4: </w:t>
            </w:r>
            <w:r>
              <w:rPr>
                <w:sz w:val="18"/>
              </w:rPr>
              <w:t>Seguimiento</w:t>
            </w:r>
            <w:r>
              <w:rPr>
                <w:spacing w:val="-15"/>
                <w:sz w:val="18"/>
              </w:rPr>
              <w:t> </w:t>
            </w:r>
            <w:r>
              <w:rPr>
                <w:sz w:val="18"/>
              </w:rPr>
              <w:t>al</w:t>
            </w:r>
            <w:r>
              <w:rPr>
                <w:spacing w:val="-12"/>
                <w:sz w:val="18"/>
              </w:rPr>
              <w:t> </w:t>
            </w:r>
            <w:r>
              <w:rPr>
                <w:sz w:val="18"/>
              </w:rPr>
              <w:t>cumplimiento de las disposiciones de informes de la Contraloría General de la República</w:t>
            </w:r>
          </w:p>
        </w:tc>
        <w:tc>
          <w:tcPr>
            <w:tcW w:w="17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3"/>
              <w:rPr>
                <w:b/>
                <w:sz w:val="18"/>
              </w:rPr>
            </w:pPr>
          </w:p>
          <w:p>
            <w:pPr>
              <w:pStyle w:val="TableParagraph"/>
              <w:ind w:left="11" w:right="2"/>
              <w:jc w:val="center"/>
              <w:rPr>
                <w:sz w:val="18"/>
              </w:rPr>
            </w:pPr>
            <w:r>
              <w:rPr>
                <w:sz w:val="18"/>
              </w:rPr>
              <w:t>No </w:t>
            </w:r>
            <w:r>
              <w:rPr>
                <w:spacing w:val="-2"/>
                <w:sz w:val="18"/>
              </w:rPr>
              <w:t>existe</w:t>
            </w:r>
          </w:p>
        </w:tc>
        <w:tc>
          <w:tcPr>
            <w:tcW w:w="15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3"/>
              <w:rPr>
                <w:b/>
                <w:sz w:val="18"/>
              </w:rPr>
            </w:pPr>
          </w:p>
          <w:p>
            <w:pPr>
              <w:pStyle w:val="TableParagraph"/>
              <w:ind w:left="115" w:right="114"/>
              <w:jc w:val="center"/>
              <w:rPr>
                <w:sz w:val="18"/>
              </w:rPr>
            </w:pPr>
            <w:r>
              <w:rPr>
                <w:spacing w:val="-10"/>
                <w:sz w:val="18"/>
              </w:rPr>
              <w:t>2</w:t>
            </w:r>
          </w:p>
        </w:tc>
        <w:tc>
          <w:tcPr>
            <w:tcW w:w="1431" w:type="dxa"/>
          </w:tcPr>
          <w:p>
            <w:pPr>
              <w:pStyle w:val="TableParagraph"/>
              <w:spacing w:before="156"/>
              <w:rPr>
                <w:b/>
                <w:sz w:val="18"/>
              </w:rPr>
            </w:pPr>
          </w:p>
          <w:p>
            <w:pPr>
              <w:pStyle w:val="TableParagraph"/>
              <w:ind w:left="71" w:right="115"/>
              <w:rPr>
                <w:sz w:val="18"/>
              </w:rPr>
            </w:pPr>
            <w:r>
              <w:rPr>
                <w:sz w:val="18"/>
              </w:rPr>
              <w:t>Cantidad de informes de </w:t>
            </w:r>
            <w:r>
              <w:rPr>
                <w:spacing w:val="-2"/>
                <w:sz w:val="18"/>
              </w:rPr>
              <w:t>seguimiento </w:t>
            </w:r>
            <w:r>
              <w:rPr>
                <w:sz w:val="18"/>
              </w:rPr>
              <w:t>elaborados a partir de la matriz de control de </w:t>
            </w:r>
            <w:r>
              <w:rPr>
                <w:spacing w:val="-2"/>
                <w:sz w:val="18"/>
              </w:rPr>
              <w:t>disposiciones </w:t>
            </w:r>
            <w:r>
              <w:rPr>
                <w:sz w:val="18"/>
              </w:rPr>
              <w:t>de</w:t>
            </w:r>
            <w:r>
              <w:rPr>
                <w:spacing w:val="-15"/>
                <w:sz w:val="18"/>
              </w:rPr>
              <w:t> </w:t>
            </w:r>
            <w:r>
              <w:rPr>
                <w:sz w:val="18"/>
              </w:rPr>
              <w:t>informes</w:t>
            </w:r>
            <w:r>
              <w:rPr>
                <w:spacing w:val="-12"/>
                <w:sz w:val="18"/>
              </w:rPr>
              <w:t> </w:t>
            </w:r>
            <w:r>
              <w:rPr>
                <w:sz w:val="18"/>
              </w:rPr>
              <w:t>de la CGR</w:t>
            </w:r>
          </w:p>
        </w:tc>
        <w:tc>
          <w:tcPr>
            <w:tcW w:w="20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9"/>
              <w:rPr>
                <w:b/>
                <w:sz w:val="18"/>
              </w:rPr>
            </w:pPr>
          </w:p>
          <w:p>
            <w:pPr>
              <w:pStyle w:val="TableParagraph"/>
              <w:ind w:left="71" w:right="121"/>
              <w:rPr>
                <w:sz w:val="18"/>
              </w:rPr>
            </w:pPr>
            <w:r>
              <w:rPr>
                <w:sz w:val="18"/>
              </w:rPr>
              <w:t>Informes</w:t>
            </w:r>
            <w:r>
              <w:rPr>
                <w:spacing w:val="-11"/>
                <w:sz w:val="18"/>
              </w:rPr>
              <w:t> </w:t>
            </w:r>
            <w:r>
              <w:rPr>
                <w:sz w:val="18"/>
              </w:rPr>
              <w:t>de</w:t>
            </w:r>
            <w:r>
              <w:rPr>
                <w:spacing w:val="-11"/>
                <w:sz w:val="18"/>
              </w:rPr>
              <w:t> </w:t>
            </w:r>
            <w:r>
              <w:rPr>
                <w:sz w:val="18"/>
              </w:rPr>
              <w:t>control</w:t>
            </w:r>
            <w:r>
              <w:rPr>
                <w:spacing w:val="-13"/>
                <w:sz w:val="18"/>
              </w:rPr>
              <w:t> </w:t>
            </w:r>
            <w:r>
              <w:rPr>
                <w:sz w:val="18"/>
              </w:rPr>
              <w:t>de </w:t>
            </w:r>
            <w:r>
              <w:rPr>
                <w:spacing w:val="-2"/>
                <w:sz w:val="18"/>
              </w:rPr>
              <w:t>cumplimiento</w:t>
            </w:r>
          </w:p>
        </w:tc>
        <w:tc>
          <w:tcPr>
            <w:tcW w:w="12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3"/>
              <w:rPr>
                <w:b/>
                <w:sz w:val="18"/>
              </w:rPr>
            </w:pPr>
          </w:p>
          <w:p>
            <w:pPr>
              <w:pStyle w:val="TableParagraph"/>
              <w:ind w:left="66"/>
              <w:rPr>
                <w:sz w:val="18"/>
              </w:rPr>
            </w:pPr>
            <w:r>
              <w:rPr>
                <w:spacing w:val="-5"/>
                <w:sz w:val="18"/>
              </w:rPr>
              <w:t>PI</w:t>
            </w:r>
          </w:p>
        </w:tc>
        <w:tc>
          <w:tcPr>
            <w:tcW w:w="1231" w:type="dxa"/>
          </w:tcPr>
          <w:p>
            <w:pPr>
              <w:pStyle w:val="TableParagraph"/>
              <w:rPr>
                <w:rFonts w:ascii="Times New Roman"/>
                <w:sz w:val="18"/>
              </w:rPr>
            </w:pPr>
          </w:p>
        </w:tc>
        <w:tc>
          <w:tcPr>
            <w:tcW w:w="2363" w:type="dxa"/>
            <w:vMerge/>
            <w:tcBorders>
              <w:top w:val="nil"/>
            </w:tcBorders>
          </w:tcPr>
          <w:p>
            <w:pPr>
              <w:rPr>
                <w:sz w:val="2"/>
                <w:szCs w:val="2"/>
              </w:rPr>
            </w:pPr>
          </w:p>
        </w:tc>
      </w:tr>
      <w:tr>
        <w:trPr>
          <w:trHeight w:val="811" w:hRule="atLeast"/>
        </w:trPr>
        <w:tc>
          <w:tcPr>
            <w:tcW w:w="14255" w:type="dxa"/>
            <w:gridSpan w:val="8"/>
            <w:shd w:val="clear" w:color="auto" w:fill="EFF8F9"/>
          </w:tcPr>
          <w:p>
            <w:pPr>
              <w:pStyle w:val="TableParagraph"/>
              <w:spacing w:before="94"/>
              <w:rPr>
                <w:b/>
                <w:sz w:val="18"/>
              </w:rPr>
            </w:pPr>
          </w:p>
          <w:p>
            <w:pPr>
              <w:pStyle w:val="TableParagraph"/>
              <w:ind w:left="72"/>
              <w:rPr>
                <w:b/>
                <w:sz w:val="18"/>
              </w:rPr>
            </w:pPr>
            <w:r>
              <w:rPr>
                <w:b/>
                <w:sz w:val="18"/>
              </w:rPr>
              <w:t>Producto</w:t>
            </w:r>
            <w:r>
              <w:rPr>
                <w:b/>
                <w:spacing w:val="-8"/>
                <w:sz w:val="18"/>
              </w:rPr>
              <w:t> </w:t>
            </w:r>
            <w:r>
              <w:rPr>
                <w:b/>
                <w:sz w:val="18"/>
              </w:rPr>
              <w:t>PAC</w:t>
            </w:r>
            <w:r>
              <w:rPr>
                <w:b/>
                <w:spacing w:val="-8"/>
                <w:sz w:val="18"/>
              </w:rPr>
              <w:t> </w:t>
            </w:r>
            <w:r>
              <w:rPr>
                <w:b/>
                <w:sz w:val="18"/>
              </w:rPr>
              <w:t>2.93:</w:t>
            </w:r>
            <w:r>
              <w:rPr>
                <w:b/>
                <w:spacing w:val="-4"/>
                <w:sz w:val="18"/>
              </w:rPr>
              <w:t> </w:t>
            </w:r>
            <w:r>
              <w:rPr>
                <w:b/>
                <w:sz w:val="18"/>
              </w:rPr>
              <w:t>Garantizar</w:t>
            </w:r>
            <w:r>
              <w:rPr>
                <w:b/>
                <w:spacing w:val="-5"/>
                <w:sz w:val="18"/>
              </w:rPr>
              <w:t> </w:t>
            </w:r>
            <w:r>
              <w:rPr>
                <w:b/>
                <w:sz w:val="18"/>
              </w:rPr>
              <w:t>el</w:t>
            </w:r>
            <w:r>
              <w:rPr>
                <w:b/>
                <w:spacing w:val="-5"/>
                <w:sz w:val="18"/>
              </w:rPr>
              <w:t> </w:t>
            </w:r>
            <w:r>
              <w:rPr>
                <w:b/>
                <w:sz w:val="18"/>
              </w:rPr>
              <w:t>seguimiento,</w:t>
            </w:r>
            <w:r>
              <w:rPr>
                <w:b/>
                <w:spacing w:val="-4"/>
                <w:sz w:val="18"/>
              </w:rPr>
              <w:t> </w:t>
            </w:r>
            <w:r>
              <w:rPr>
                <w:b/>
                <w:sz w:val="18"/>
              </w:rPr>
              <w:t>cumplimiento</w:t>
            </w:r>
            <w:r>
              <w:rPr>
                <w:b/>
                <w:spacing w:val="-7"/>
                <w:sz w:val="18"/>
              </w:rPr>
              <w:t> </w:t>
            </w:r>
            <w:r>
              <w:rPr>
                <w:b/>
                <w:sz w:val="18"/>
              </w:rPr>
              <w:t>y</w:t>
            </w:r>
            <w:r>
              <w:rPr>
                <w:b/>
                <w:spacing w:val="-7"/>
                <w:sz w:val="18"/>
              </w:rPr>
              <w:t> </w:t>
            </w:r>
            <w:r>
              <w:rPr>
                <w:b/>
                <w:sz w:val="18"/>
              </w:rPr>
              <w:t>rendición</w:t>
            </w:r>
            <w:r>
              <w:rPr>
                <w:b/>
                <w:spacing w:val="-7"/>
                <w:sz w:val="18"/>
              </w:rPr>
              <w:t> </w:t>
            </w:r>
            <w:r>
              <w:rPr>
                <w:b/>
                <w:sz w:val="18"/>
              </w:rPr>
              <w:t>de</w:t>
            </w:r>
            <w:r>
              <w:rPr>
                <w:b/>
                <w:spacing w:val="-6"/>
                <w:sz w:val="18"/>
              </w:rPr>
              <w:t> </w:t>
            </w:r>
            <w:r>
              <w:rPr>
                <w:b/>
                <w:sz w:val="18"/>
              </w:rPr>
              <w:t>cuentas</w:t>
            </w:r>
            <w:r>
              <w:rPr>
                <w:b/>
                <w:spacing w:val="-6"/>
                <w:sz w:val="18"/>
              </w:rPr>
              <w:t> </w:t>
            </w:r>
            <w:r>
              <w:rPr>
                <w:b/>
                <w:sz w:val="18"/>
              </w:rPr>
              <w:t>respecto</w:t>
            </w:r>
            <w:r>
              <w:rPr>
                <w:b/>
                <w:spacing w:val="-8"/>
                <w:sz w:val="18"/>
              </w:rPr>
              <w:t> </w:t>
            </w:r>
            <w:r>
              <w:rPr>
                <w:b/>
                <w:sz w:val="18"/>
              </w:rPr>
              <w:t>a</w:t>
            </w:r>
            <w:r>
              <w:rPr>
                <w:b/>
                <w:spacing w:val="-6"/>
                <w:sz w:val="18"/>
              </w:rPr>
              <w:t> </w:t>
            </w:r>
            <w:r>
              <w:rPr>
                <w:b/>
                <w:sz w:val="18"/>
              </w:rPr>
              <w:t>los</w:t>
            </w:r>
            <w:r>
              <w:rPr>
                <w:b/>
                <w:spacing w:val="-2"/>
                <w:sz w:val="18"/>
              </w:rPr>
              <w:t> </w:t>
            </w:r>
            <w:r>
              <w:rPr>
                <w:b/>
                <w:sz w:val="18"/>
              </w:rPr>
              <w:t>compromisos</w:t>
            </w:r>
            <w:r>
              <w:rPr>
                <w:b/>
                <w:spacing w:val="-7"/>
                <w:sz w:val="18"/>
              </w:rPr>
              <w:t> </w:t>
            </w:r>
            <w:r>
              <w:rPr>
                <w:b/>
                <w:spacing w:val="-2"/>
                <w:sz w:val="18"/>
              </w:rPr>
              <w:t>institucionales</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4"/>
        <w:gridCol w:w="1781"/>
        <w:gridCol w:w="1599"/>
        <w:gridCol w:w="1431"/>
        <w:gridCol w:w="2017"/>
        <w:gridCol w:w="1259"/>
        <w:gridCol w:w="1232"/>
        <w:gridCol w:w="2360"/>
      </w:tblGrid>
      <w:tr>
        <w:trPr>
          <w:trHeight w:val="671" w:hRule="atLeast"/>
        </w:trPr>
        <w:tc>
          <w:tcPr>
            <w:tcW w:w="2574" w:type="dxa"/>
            <w:shd w:val="clear" w:color="auto" w:fill="F1F1F1"/>
          </w:tcPr>
          <w:p>
            <w:pPr>
              <w:pStyle w:val="TableParagraph"/>
              <w:spacing w:before="22"/>
              <w:rPr>
                <w:b/>
                <w:sz w:val="18"/>
              </w:rPr>
            </w:pPr>
          </w:p>
          <w:p>
            <w:pPr>
              <w:pStyle w:val="TableParagraph"/>
              <w:ind w:left="317"/>
              <w:rPr>
                <w:b/>
                <w:sz w:val="18"/>
              </w:rPr>
            </w:pPr>
            <w:r>
              <w:rPr>
                <w:b/>
                <w:sz w:val="18"/>
              </w:rPr>
              <w:t>Objetivos</w:t>
            </w:r>
            <w:r>
              <w:rPr>
                <w:b/>
                <w:spacing w:val="-5"/>
                <w:sz w:val="18"/>
              </w:rPr>
              <w:t> </w:t>
            </w:r>
            <w:r>
              <w:rPr>
                <w:b/>
                <w:sz w:val="18"/>
              </w:rPr>
              <w:t>/</w:t>
            </w:r>
            <w:r>
              <w:rPr>
                <w:b/>
                <w:spacing w:val="-2"/>
                <w:sz w:val="18"/>
              </w:rPr>
              <w:t> Resultados</w:t>
            </w:r>
          </w:p>
        </w:tc>
        <w:tc>
          <w:tcPr>
            <w:tcW w:w="1781" w:type="dxa"/>
            <w:shd w:val="clear" w:color="auto" w:fill="F1F1F1"/>
          </w:tcPr>
          <w:p>
            <w:pPr>
              <w:pStyle w:val="TableParagraph"/>
              <w:spacing w:before="22"/>
              <w:rPr>
                <w:b/>
                <w:sz w:val="18"/>
              </w:rPr>
            </w:pPr>
          </w:p>
          <w:p>
            <w:pPr>
              <w:pStyle w:val="TableParagraph"/>
              <w:ind w:left="11"/>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599" w:type="dxa"/>
            <w:shd w:val="clear" w:color="auto" w:fill="F1F1F1"/>
          </w:tcPr>
          <w:p>
            <w:pPr>
              <w:pStyle w:val="TableParagraph"/>
              <w:spacing w:before="23"/>
              <w:ind w:left="115" w:right="109"/>
              <w:jc w:val="center"/>
              <w:rPr>
                <w:b/>
                <w:sz w:val="18"/>
              </w:rPr>
            </w:pPr>
            <w:r>
              <w:rPr>
                <w:b/>
                <w:spacing w:val="-4"/>
                <w:sz w:val="18"/>
              </w:rPr>
              <w:t>Meta </w:t>
            </w:r>
            <w:r>
              <w:rPr>
                <w:b/>
                <w:spacing w:val="-2"/>
                <w:sz w:val="18"/>
              </w:rPr>
              <w:t>programada </w:t>
            </w:r>
            <w:r>
              <w:rPr>
                <w:b/>
                <w:spacing w:val="-4"/>
                <w:sz w:val="18"/>
              </w:rPr>
              <w:t>2026</w:t>
            </w:r>
          </w:p>
        </w:tc>
        <w:tc>
          <w:tcPr>
            <w:tcW w:w="1431" w:type="dxa"/>
            <w:shd w:val="clear" w:color="auto" w:fill="F1F1F1"/>
          </w:tcPr>
          <w:p>
            <w:pPr>
              <w:pStyle w:val="TableParagraph"/>
              <w:spacing w:before="22"/>
              <w:rPr>
                <w:b/>
                <w:sz w:val="18"/>
              </w:rPr>
            </w:pPr>
          </w:p>
          <w:p>
            <w:pPr>
              <w:pStyle w:val="TableParagraph"/>
              <w:ind w:left="311"/>
              <w:rPr>
                <w:b/>
                <w:sz w:val="18"/>
              </w:rPr>
            </w:pPr>
            <w:r>
              <w:rPr>
                <w:b/>
                <w:spacing w:val="-2"/>
                <w:sz w:val="18"/>
              </w:rPr>
              <w:t>Indicador</w:t>
            </w:r>
          </w:p>
        </w:tc>
        <w:tc>
          <w:tcPr>
            <w:tcW w:w="2017" w:type="dxa"/>
            <w:shd w:val="clear" w:color="auto" w:fill="F1F1F1"/>
          </w:tcPr>
          <w:p>
            <w:pPr>
              <w:pStyle w:val="TableParagraph"/>
              <w:spacing w:before="128"/>
              <w:ind w:left="508" w:right="121" w:firstLine="57"/>
              <w:rPr>
                <w:b/>
                <w:sz w:val="18"/>
              </w:rPr>
            </w:pPr>
            <w:r>
              <w:rPr>
                <w:b/>
                <w:sz w:val="18"/>
              </w:rPr>
              <w:t>Medios de </w:t>
            </w:r>
            <w:r>
              <w:rPr>
                <w:b/>
                <w:spacing w:val="-2"/>
                <w:sz w:val="18"/>
              </w:rPr>
              <w:t>verificación</w:t>
            </w:r>
          </w:p>
        </w:tc>
        <w:tc>
          <w:tcPr>
            <w:tcW w:w="1259" w:type="dxa"/>
            <w:shd w:val="clear" w:color="auto" w:fill="F1F1F1"/>
          </w:tcPr>
          <w:p>
            <w:pPr>
              <w:pStyle w:val="TableParagraph"/>
              <w:spacing w:before="22"/>
              <w:rPr>
                <w:b/>
                <w:sz w:val="18"/>
              </w:rPr>
            </w:pPr>
          </w:p>
          <w:p>
            <w:pPr>
              <w:pStyle w:val="TableParagraph"/>
              <w:ind w:left="66"/>
              <w:rPr>
                <w:b/>
                <w:sz w:val="18"/>
              </w:rPr>
            </w:pPr>
            <w:r>
              <w:rPr>
                <w:b/>
                <w:spacing w:val="-2"/>
                <w:sz w:val="18"/>
              </w:rPr>
              <w:t>Responsable</w:t>
            </w:r>
          </w:p>
        </w:tc>
        <w:tc>
          <w:tcPr>
            <w:tcW w:w="1232" w:type="dxa"/>
            <w:shd w:val="clear" w:color="auto" w:fill="F1F1F1"/>
          </w:tcPr>
          <w:p>
            <w:pPr>
              <w:pStyle w:val="TableParagraph"/>
              <w:spacing w:before="128"/>
              <w:ind w:left="218" w:right="54" w:hanging="149"/>
              <w:rPr>
                <w:b/>
                <w:sz w:val="18"/>
              </w:rPr>
            </w:pPr>
            <w:r>
              <w:rPr>
                <w:b/>
                <w:spacing w:val="-2"/>
                <w:sz w:val="18"/>
              </w:rPr>
              <w:t>Presupuesto asignado</w:t>
            </w:r>
          </w:p>
        </w:tc>
        <w:tc>
          <w:tcPr>
            <w:tcW w:w="2360" w:type="dxa"/>
            <w:shd w:val="clear" w:color="auto" w:fill="F1F1F1"/>
          </w:tcPr>
          <w:p>
            <w:pPr>
              <w:pStyle w:val="TableParagraph"/>
              <w:spacing w:before="128"/>
              <w:ind w:left="590" w:right="353" w:hanging="231"/>
              <w:rPr>
                <w:b/>
                <w:sz w:val="18"/>
              </w:rPr>
            </w:pPr>
            <w:r>
              <w:rPr>
                <w:b/>
                <w:sz w:val="18"/>
              </w:rPr>
              <w:t>Riesgo</w:t>
            </w:r>
            <w:r>
              <w:rPr>
                <w:b/>
                <w:spacing w:val="-15"/>
                <w:sz w:val="18"/>
              </w:rPr>
              <w:t> </w:t>
            </w:r>
            <w:r>
              <w:rPr>
                <w:b/>
                <w:sz w:val="18"/>
              </w:rPr>
              <w:t>asociado</w:t>
            </w:r>
            <w:r>
              <w:rPr>
                <w:b/>
                <w:spacing w:val="-12"/>
                <w:sz w:val="18"/>
              </w:rPr>
              <w:t> </w:t>
            </w:r>
            <w:r>
              <w:rPr>
                <w:b/>
                <w:sz w:val="18"/>
              </w:rPr>
              <w:t>al </w:t>
            </w:r>
            <w:r>
              <w:rPr>
                <w:b/>
                <w:spacing w:val="-2"/>
                <w:sz w:val="18"/>
              </w:rPr>
              <w:t>cumplimiento</w:t>
            </w:r>
          </w:p>
        </w:tc>
      </w:tr>
      <w:tr>
        <w:trPr>
          <w:trHeight w:val="3725" w:hRule="atLeast"/>
        </w:trPr>
        <w:tc>
          <w:tcPr>
            <w:tcW w:w="2574" w:type="dxa"/>
          </w:tcPr>
          <w:p>
            <w:pPr>
              <w:pStyle w:val="TableParagraph"/>
              <w:ind w:left="72" w:right="116"/>
              <w:rPr>
                <w:sz w:val="18"/>
              </w:rPr>
            </w:pPr>
            <w:r>
              <w:rPr>
                <w:b/>
                <w:sz w:val="18"/>
              </w:rPr>
              <w:t>Actividad PAC 2.93.1: </w:t>
            </w:r>
            <w:r>
              <w:rPr>
                <w:sz w:val="18"/>
              </w:rPr>
              <w:t>Implementar, a través de las redes sociales oficiales del IMAS</w:t>
            </w:r>
            <w:r>
              <w:rPr>
                <w:spacing w:val="-11"/>
                <w:sz w:val="18"/>
              </w:rPr>
              <w:t> </w:t>
            </w:r>
            <w:r>
              <w:rPr>
                <w:sz w:val="18"/>
              </w:rPr>
              <w:t>y</w:t>
            </w:r>
            <w:r>
              <w:rPr>
                <w:spacing w:val="-11"/>
                <w:sz w:val="18"/>
              </w:rPr>
              <w:t> </w:t>
            </w:r>
            <w:r>
              <w:rPr>
                <w:sz w:val="18"/>
              </w:rPr>
              <w:t>el</w:t>
            </w:r>
            <w:r>
              <w:rPr>
                <w:spacing w:val="-8"/>
                <w:sz w:val="18"/>
              </w:rPr>
              <w:t> </w:t>
            </w:r>
            <w:r>
              <w:rPr>
                <w:sz w:val="18"/>
              </w:rPr>
              <w:t>correo</w:t>
            </w:r>
            <w:r>
              <w:rPr>
                <w:spacing w:val="-7"/>
                <w:sz w:val="18"/>
              </w:rPr>
              <w:t> </w:t>
            </w:r>
            <w:r>
              <w:rPr>
                <w:sz w:val="18"/>
              </w:rPr>
              <w:t>institucional, acciones de comunicación que promuevan una cultura de igualdad y no violencia contra la mujer; denuncia de contenidos publicitarios y espectáculos públicos sexistas y machistas en la ciudadanía en general, construcción de masculinidades para la igualdad y no violencia, prevención, detección y</w:t>
            </w:r>
          </w:p>
          <w:p>
            <w:pPr>
              <w:pStyle w:val="TableParagraph"/>
              <w:spacing w:line="206" w:lineRule="exact"/>
              <w:ind w:left="72"/>
              <w:rPr>
                <w:sz w:val="18"/>
              </w:rPr>
            </w:pPr>
            <w:r>
              <w:rPr>
                <w:sz w:val="18"/>
              </w:rPr>
              <w:t>referencia</w:t>
            </w:r>
            <w:r>
              <w:rPr>
                <w:spacing w:val="-12"/>
                <w:sz w:val="18"/>
              </w:rPr>
              <w:t> </w:t>
            </w:r>
            <w:r>
              <w:rPr>
                <w:sz w:val="18"/>
              </w:rPr>
              <w:t>de</w:t>
            </w:r>
            <w:r>
              <w:rPr>
                <w:spacing w:val="-12"/>
                <w:sz w:val="18"/>
              </w:rPr>
              <w:t> </w:t>
            </w:r>
            <w:r>
              <w:rPr>
                <w:sz w:val="18"/>
              </w:rPr>
              <w:t>la</w:t>
            </w:r>
            <w:r>
              <w:rPr>
                <w:spacing w:val="-9"/>
                <w:sz w:val="18"/>
              </w:rPr>
              <w:t> </w:t>
            </w:r>
            <w:r>
              <w:rPr>
                <w:sz w:val="18"/>
              </w:rPr>
              <w:t>violencia </w:t>
            </w:r>
            <w:r>
              <w:rPr>
                <w:spacing w:val="-2"/>
                <w:sz w:val="18"/>
              </w:rPr>
              <w:t>sexual.</w:t>
            </w:r>
          </w:p>
        </w:tc>
        <w:tc>
          <w:tcPr>
            <w:tcW w:w="17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0"/>
              <w:rPr>
                <w:b/>
                <w:sz w:val="18"/>
              </w:rPr>
            </w:pPr>
          </w:p>
          <w:p>
            <w:pPr>
              <w:pStyle w:val="TableParagraph"/>
              <w:spacing w:before="1"/>
              <w:ind w:left="11" w:right="1"/>
              <w:jc w:val="center"/>
              <w:rPr>
                <w:sz w:val="18"/>
              </w:rPr>
            </w:pPr>
            <w:r>
              <w:rPr>
                <w:spacing w:val="-5"/>
                <w:sz w:val="18"/>
              </w:rPr>
              <w:t>N/A</w:t>
            </w:r>
          </w:p>
        </w:tc>
        <w:tc>
          <w:tcPr>
            <w:tcW w:w="15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0"/>
              <w:rPr>
                <w:b/>
                <w:sz w:val="18"/>
              </w:rPr>
            </w:pPr>
          </w:p>
          <w:p>
            <w:pPr>
              <w:pStyle w:val="TableParagraph"/>
              <w:spacing w:before="1"/>
              <w:ind w:left="115" w:right="114"/>
              <w:jc w:val="center"/>
              <w:rPr>
                <w:sz w:val="18"/>
              </w:rPr>
            </w:pPr>
            <w:r>
              <w:rPr>
                <w:spacing w:val="-10"/>
                <w:sz w:val="18"/>
              </w:rPr>
              <w:t>4</w:t>
            </w:r>
          </w:p>
        </w:tc>
        <w:tc>
          <w:tcPr>
            <w:tcW w:w="14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63" w:right="151" w:firstLine="4"/>
              <w:jc w:val="center"/>
              <w:rPr>
                <w:sz w:val="18"/>
              </w:rPr>
            </w:pPr>
            <w:r>
              <w:rPr>
                <w:sz w:val="18"/>
              </w:rPr>
              <w:t>Cantidad de acciones de </w:t>
            </w:r>
            <w:r>
              <w:rPr>
                <w:spacing w:val="-2"/>
                <w:sz w:val="18"/>
              </w:rPr>
              <w:t>comunicación realizadas</w:t>
            </w:r>
          </w:p>
        </w:tc>
        <w:tc>
          <w:tcPr>
            <w:tcW w:w="20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1" w:right="121"/>
              <w:rPr>
                <w:sz w:val="18"/>
              </w:rPr>
            </w:pPr>
            <w:r>
              <w:rPr>
                <w:sz w:val="18"/>
              </w:rPr>
              <w:t>Correos/capturas</w:t>
            </w:r>
            <w:r>
              <w:rPr>
                <w:spacing w:val="-13"/>
                <w:sz w:val="18"/>
              </w:rPr>
              <w:t> </w:t>
            </w:r>
            <w:r>
              <w:rPr>
                <w:sz w:val="18"/>
              </w:rPr>
              <w:t>de </w:t>
            </w:r>
            <w:r>
              <w:rPr>
                <w:spacing w:val="-2"/>
                <w:sz w:val="18"/>
              </w:rPr>
              <w:t>publicaciones</w:t>
            </w:r>
          </w:p>
        </w:tc>
        <w:tc>
          <w:tcPr>
            <w:tcW w:w="12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0"/>
              <w:rPr>
                <w:b/>
                <w:sz w:val="18"/>
              </w:rPr>
            </w:pPr>
          </w:p>
          <w:p>
            <w:pPr>
              <w:pStyle w:val="TableParagraph"/>
              <w:spacing w:before="1"/>
              <w:ind w:left="66"/>
              <w:rPr>
                <w:sz w:val="18"/>
              </w:rPr>
            </w:pPr>
            <w:r>
              <w:rPr>
                <w:spacing w:val="-5"/>
                <w:sz w:val="18"/>
              </w:rPr>
              <w:t>PE</w:t>
            </w:r>
          </w:p>
        </w:tc>
        <w:tc>
          <w:tcPr>
            <w:tcW w:w="1232" w:type="dxa"/>
          </w:tcPr>
          <w:p>
            <w:pPr>
              <w:pStyle w:val="TableParagraph"/>
              <w:rPr>
                <w:rFonts w:ascii="Times New Roman"/>
                <w:sz w:val="18"/>
              </w:rPr>
            </w:pPr>
          </w:p>
        </w:tc>
        <w:tc>
          <w:tcPr>
            <w:tcW w:w="2360"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5"/>
              <w:rPr>
                <w:b/>
                <w:sz w:val="18"/>
              </w:rPr>
            </w:pPr>
          </w:p>
          <w:p>
            <w:pPr>
              <w:pStyle w:val="TableParagraph"/>
              <w:ind w:left="67" w:right="106"/>
              <w:rPr>
                <w:sz w:val="18"/>
              </w:rPr>
            </w:pPr>
            <w:r>
              <w:rPr>
                <w:sz w:val="18"/>
              </w:rPr>
              <w:t>No contar con la información</w:t>
            </w:r>
            <w:r>
              <w:rPr>
                <w:spacing w:val="-15"/>
                <w:sz w:val="18"/>
              </w:rPr>
              <w:t> </w:t>
            </w:r>
            <w:r>
              <w:rPr>
                <w:sz w:val="18"/>
              </w:rPr>
              <w:t>necesaria</w:t>
            </w:r>
            <w:r>
              <w:rPr>
                <w:spacing w:val="-12"/>
                <w:sz w:val="18"/>
              </w:rPr>
              <w:t> </w:t>
            </w:r>
            <w:r>
              <w:rPr>
                <w:sz w:val="18"/>
              </w:rPr>
              <w:t>para el seguimiento y rendición de cuentas respecto a los </w:t>
            </w:r>
            <w:r>
              <w:rPr>
                <w:spacing w:val="-2"/>
                <w:sz w:val="18"/>
              </w:rPr>
              <w:t>compromisos</w:t>
            </w:r>
            <w:r>
              <w:rPr>
                <w:spacing w:val="40"/>
                <w:sz w:val="18"/>
              </w:rPr>
              <w:t> </w:t>
            </w:r>
            <w:r>
              <w:rPr>
                <w:spacing w:val="-2"/>
                <w:sz w:val="18"/>
              </w:rPr>
              <w:t>institucionales</w:t>
            </w:r>
          </w:p>
        </w:tc>
      </w:tr>
      <w:tr>
        <w:trPr>
          <w:trHeight w:val="3615" w:hRule="atLeast"/>
        </w:trPr>
        <w:tc>
          <w:tcPr>
            <w:tcW w:w="2574" w:type="dxa"/>
          </w:tcPr>
          <w:p>
            <w:pPr>
              <w:pStyle w:val="TableParagraph"/>
              <w:spacing w:before="47"/>
              <w:ind w:left="72" w:right="94"/>
              <w:rPr>
                <w:sz w:val="18"/>
              </w:rPr>
            </w:pPr>
            <w:r>
              <w:rPr>
                <w:b/>
                <w:sz w:val="18"/>
              </w:rPr>
              <w:t>Actividad PAC 2.93.2: </w:t>
            </w:r>
            <w:r>
              <w:rPr>
                <w:sz w:val="18"/>
              </w:rPr>
              <w:t>Identificar el alcance (envío de correos electrónicos, visitas, reacciones, etc.) de las</w:t>
            </w:r>
            <w:r>
              <w:rPr>
                <w:spacing w:val="-11"/>
                <w:sz w:val="18"/>
              </w:rPr>
              <w:t> </w:t>
            </w:r>
            <w:r>
              <w:rPr>
                <w:sz w:val="18"/>
              </w:rPr>
              <w:t>acciones</w:t>
            </w:r>
            <w:r>
              <w:rPr>
                <w:spacing w:val="-11"/>
                <w:sz w:val="18"/>
              </w:rPr>
              <w:t> </w:t>
            </w:r>
            <w:r>
              <w:rPr>
                <w:sz w:val="18"/>
              </w:rPr>
              <w:t>de</w:t>
            </w:r>
            <w:r>
              <w:rPr>
                <w:spacing w:val="-12"/>
                <w:sz w:val="18"/>
              </w:rPr>
              <w:t> </w:t>
            </w:r>
            <w:r>
              <w:rPr>
                <w:sz w:val="18"/>
              </w:rPr>
              <w:t>comunicación realizadas</w:t>
            </w:r>
            <w:r>
              <w:rPr>
                <w:spacing w:val="-7"/>
                <w:sz w:val="18"/>
              </w:rPr>
              <w:t> </w:t>
            </w:r>
            <w:r>
              <w:rPr>
                <w:sz w:val="18"/>
              </w:rPr>
              <w:t>por</w:t>
            </w:r>
            <w:r>
              <w:rPr>
                <w:spacing w:val="-5"/>
                <w:sz w:val="18"/>
              </w:rPr>
              <w:t> </w:t>
            </w:r>
            <w:r>
              <w:rPr>
                <w:sz w:val="18"/>
              </w:rPr>
              <w:t>el</w:t>
            </w:r>
            <w:r>
              <w:rPr>
                <w:spacing w:val="-9"/>
                <w:sz w:val="18"/>
              </w:rPr>
              <w:t> </w:t>
            </w:r>
            <w:r>
              <w:rPr>
                <w:sz w:val="18"/>
              </w:rPr>
              <w:t>IMAS</w:t>
            </w:r>
            <w:r>
              <w:rPr>
                <w:spacing w:val="-8"/>
                <w:sz w:val="18"/>
              </w:rPr>
              <w:t> </w:t>
            </w:r>
            <w:r>
              <w:rPr>
                <w:sz w:val="18"/>
              </w:rPr>
              <w:t>en</w:t>
            </w:r>
            <w:r>
              <w:rPr>
                <w:spacing w:val="-7"/>
                <w:sz w:val="18"/>
              </w:rPr>
              <w:t> </w:t>
            </w:r>
            <w:r>
              <w:rPr>
                <w:sz w:val="18"/>
              </w:rPr>
              <w:t>sus redes sociales oficiales para promover una cultura de igualdad</w:t>
            </w:r>
            <w:r>
              <w:rPr>
                <w:spacing w:val="-2"/>
                <w:sz w:val="18"/>
              </w:rPr>
              <w:t> </w:t>
            </w:r>
            <w:r>
              <w:rPr>
                <w:sz w:val="18"/>
              </w:rPr>
              <w:t>y</w:t>
            </w:r>
            <w:r>
              <w:rPr>
                <w:spacing w:val="-6"/>
                <w:sz w:val="18"/>
              </w:rPr>
              <w:t> </w:t>
            </w:r>
            <w:r>
              <w:rPr>
                <w:sz w:val="18"/>
              </w:rPr>
              <w:t>no</w:t>
            </w:r>
            <w:r>
              <w:rPr>
                <w:spacing w:val="-6"/>
                <w:sz w:val="18"/>
              </w:rPr>
              <w:t> </w:t>
            </w:r>
            <w:r>
              <w:rPr>
                <w:sz w:val="18"/>
              </w:rPr>
              <w:t>violencia</w:t>
            </w:r>
            <w:r>
              <w:rPr>
                <w:spacing w:val="-2"/>
                <w:sz w:val="18"/>
              </w:rPr>
              <w:t> </w:t>
            </w:r>
            <w:r>
              <w:rPr>
                <w:sz w:val="18"/>
              </w:rPr>
              <w:t>contra la mujer; la denuncia de contenidos publicitarios y espectáculos públicos sexistas y machistas en la ciudadanía en general, construcción de masculinidades para la igualdad y no violencia.</w:t>
            </w:r>
          </w:p>
        </w:tc>
        <w:tc>
          <w:tcPr>
            <w:tcW w:w="17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7"/>
              <w:rPr>
                <w:b/>
                <w:sz w:val="18"/>
              </w:rPr>
            </w:pPr>
          </w:p>
          <w:p>
            <w:pPr>
              <w:pStyle w:val="TableParagraph"/>
              <w:spacing w:before="1"/>
              <w:ind w:left="11" w:right="1"/>
              <w:jc w:val="center"/>
              <w:rPr>
                <w:sz w:val="18"/>
              </w:rPr>
            </w:pPr>
            <w:r>
              <w:rPr>
                <w:spacing w:val="-5"/>
                <w:sz w:val="18"/>
              </w:rPr>
              <w:t>N/A</w:t>
            </w:r>
          </w:p>
        </w:tc>
        <w:tc>
          <w:tcPr>
            <w:tcW w:w="15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7"/>
              <w:rPr>
                <w:b/>
                <w:sz w:val="18"/>
              </w:rPr>
            </w:pPr>
          </w:p>
          <w:p>
            <w:pPr>
              <w:pStyle w:val="TableParagraph"/>
              <w:spacing w:before="1"/>
              <w:ind w:left="115" w:right="111"/>
              <w:jc w:val="center"/>
              <w:rPr>
                <w:sz w:val="18"/>
              </w:rPr>
            </w:pPr>
            <w:r>
              <w:rPr>
                <w:spacing w:val="-4"/>
                <w:sz w:val="18"/>
              </w:rPr>
              <w:t>1000</w:t>
            </w:r>
          </w:p>
        </w:tc>
        <w:tc>
          <w:tcPr>
            <w:tcW w:w="1431" w:type="dxa"/>
          </w:tcPr>
          <w:p>
            <w:pPr>
              <w:pStyle w:val="TableParagraph"/>
              <w:rPr>
                <w:b/>
                <w:sz w:val="18"/>
              </w:rPr>
            </w:pPr>
          </w:p>
          <w:p>
            <w:pPr>
              <w:pStyle w:val="TableParagraph"/>
              <w:rPr>
                <w:b/>
                <w:sz w:val="18"/>
              </w:rPr>
            </w:pPr>
          </w:p>
          <w:p>
            <w:pPr>
              <w:pStyle w:val="TableParagraph"/>
              <w:rPr>
                <w:b/>
                <w:sz w:val="18"/>
              </w:rPr>
            </w:pPr>
          </w:p>
          <w:p>
            <w:pPr>
              <w:pStyle w:val="TableParagraph"/>
              <w:spacing w:before="49"/>
              <w:rPr>
                <w:b/>
                <w:sz w:val="18"/>
              </w:rPr>
            </w:pPr>
          </w:p>
          <w:p>
            <w:pPr>
              <w:pStyle w:val="TableParagraph"/>
              <w:spacing w:before="1"/>
              <w:ind w:left="91" w:right="69" w:hanging="5"/>
              <w:jc w:val="center"/>
              <w:rPr>
                <w:sz w:val="18"/>
              </w:rPr>
            </w:pPr>
            <w:r>
              <w:rPr>
                <w:sz w:val="18"/>
              </w:rPr>
              <w:t>Cantidad de </w:t>
            </w:r>
            <w:r>
              <w:rPr>
                <w:spacing w:val="-2"/>
                <w:sz w:val="18"/>
              </w:rPr>
              <w:t>correos electrónicos </w:t>
            </w:r>
            <w:r>
              <w:rPr>
                <w:sz w:val="18"/>
              </w:rPr>
              <w:t>remitidos e </w:t>
            </w:r>
            <w:r>
              <w:rPr>
                <w:spacing w:val="-2"/>
                <w:sz w:val="18"/>
              </w:rPr>
              <w:t>interacciones</w:t>
            </w:r>
            <w:r>
              <w:rPr>
                <w:spacing w:val="40"/>
                <w:sz w:val="18"/>
              </w:rPr>
              <w:t> </w:t>
            </w:r>
            <w:r>
              <w:rPr>
                <w:sz w:val="18"/>
              </w:rPr>
              <w:t>en redes </w:t>
            </w:r>
            <w:r>
              <w:rPr>
                <w:spacing w:val="-2"/>
                <w:sz w:val="18"/>
              </w:rPr>
              <w:t>sociales </w:t>
            </w:r>
            <w:r>
              <w:rPr>
                <w:sz w:val="18"/>
              </w:rPr>
              <w:t>alcanzadas</w:t>
            </w:r>
            <w:r>
              <w:rPr>
                <w:spacing w:val="-13"/>
                <w:sz w:val="18"/>
              </w:rPr>
              <w:t> </w:t>
            </w:r>
            <w:r>
              <w:rPr>
                <w:sz w:val="18"/>
              </w:rPr>
              <w:t>con cada acción</w:t>
            </w:r>
          </w:p>
        </w:tc>
        <w:tc>
          <w:tcPr>
            <w:tcW w:w="20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9"/>
              <w:rPr>
                <w:b/>
                <w:sz w:val="18"/>
              </w:rPr>
            </w:pPr>
          </w:p>
          <w:p>
            <w:pPr>
              <w:pStyle w:val="TableParagraph"/>
              <w:spacing w:line="244" w:lineRule="auto"/>
              <w:ind w:left="71"/>
              <w:rPr>
                <w:sz w:val="18"/>
              </w:rPr>
            </w:pPr>
            <w:r>
              <w:rPr>
                <w:sz w:val="18"/>
              </w:rPr>
              <w:t>Reporte</w:t>
            </w:r>
            <w:r>
              <w:rPr>
                <w:spacing w:val="-9"/>
                <w:sz w:val="18"/>
              </w:rPr>
              <w:t> </w:t>
            </w:r>
            <w:r>
              <w:rPr>
                <w:sz w:val="18"/>
              </w:rPr>
              <w:t>de</w:t>
            </w:r>
            <w:r>
              <w:rPr>
                <w:spacing w:val="-13"/>
                <w:sz w:val="18"/>
              </w:rPr>
              <w:t> </w:t>
            </w:r>
            <w:r>
              <w:rPr>
                <w:sz w:val="18"/>
              </w:rPr>
              <w:t>métricas</w:t>
            </w:r>
            <w:r>
              <w:rPr>
                <w:spacing w:val="-10"/>
                <w:sz w:val="18"/>
              </w:rPr>
              <w:t> </w:t>
            </w:r>
            <w:r>
              <w:rPr>
                <w:sz w:val="18"/>
              </w:rPr>
              <w:t>de redes sociales</w:t>
            </w:r>
          </w:p>
        </w:tc>
        <w:tc>
          <w:tcPr>
            <w:tcW w:w="12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7"/>
              <w:rPr>
                <w:b/>
                <w:sz w:val="18"/>
              </w:rPr>
            </w:pPr>
          </w:p>
          <w:p>
            <w:pPr>
              <w:pStyle w:val="TableParagraph"/>
              <w:spacing w:before="1"/>
              <w:ind w:left="66"/>
              <w:rPr>
                <w:sz w:val="18"/>
              </w:rPr>
            </w:pPr>
            <w:r>
              <w:rPr>
                <w:spacing w:val="-5"/>
                <w:sz w:val="18"/>
              </w:rPr>
              <w:t>PE</w:t>
            </w:r>
          </w:p>
        </w:tc>
        <w:tc>
          <w:tcPr>
            <w:tcW w:w="1232" w:type="dxa"/>
          </w:tcPr>
          <w:p>
            <w:pPr>
              <w:pStyle w:val="TableParagraph"/>
              <w:rPr>
                <w:rFonts w:ascii="Times New Roman"/>
                <w:sz w:val="18"/>
              </w:rPr>
            </w:pPr>
          </w:p>
        </w:tc>
        <w:tc>
          <w:tcPr>
            <w:tcW w:w="2360"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p>
      <w:pPr>
        <w:pStyle w:val="Heading1"/>
        <w:numPr>
          <w:ilvl w:val="1"/>
          <w:numId w:val="5"/>
        </w:numPr>
        <w:tabs>
          <w:tab w:pos="1624" w:val="left" w:leader="none"/>
        </w:tabs>
        <w:spacing w:line="240" w:lineRule="auto" w:before="167" w:after="0"/>
        <w:ind w:left="1624" w:right="0" w:hanging="400"/>
        <w:jc w:val="left"/>
      </w:pPr>
      <w:bookmarkStart w:name="_bookmark64" w:id="65"/>
      <w:bookmarkEnd w:id="65"/>
      <w:r>
        <w:rPr>
          <w:b w:val="0"/>
        </w:rPr>
      </w:r>
      <w:r>
        <w:rPr/>
        <w:t>Matriz</w:t>
      </w:r>
      <w:r>
        <w:rPr>
          <w:spacing w:val="-8"/>
        </w:rPr>
        <w:t> </w:t>
      </w:r>
      <w:r>
        <w:rPr/>
        <w:t>de</w:t>
      </w:r>
      <w:r>
        <w:rPr>
          <w:spacing w:val="-9"/>
        </w:rPr>
        <w:t> </w:t>
      </w:r>
      <w:r>
        <w:rPr/>
        <w:t>Trimestralización</w:t>
      </w:r>
      <w:r>
        <w:rPr>
          <w:spacing w:val="-3"/>
        </w:rPr>
        <w:t> </w:t>
      </w:r>
      <w:r>
        <w:rPr/>
        <w:t>del</w:t>
      </w:r>
      <w:r>
        <w:rPr>
          <w:spacing w:val="-6"/>
        </w:rPr>
        <w:t> </w:t>
      </w:r>
      <w:r>
        <w:rPr/>
        <w:t>Programa</w:t>
      </w:r>
      <w:r>
        <w:rPr>
          <w:spacing w:val="-5"/>
        </w:rPr>
        <w:t> </w:t>
      </w:r>
      <w:r>
        <w:rPr/>
        <w:t>Actividades</w:t>
      </w:r>
      <w:r>
        <w:rPr>
          <w:spacing w:val="-5"/>
        </w:rPr>
        <w:t> </w:t>
      </w:r>
      <w:r>
        <w:rPr>
          <w:spacing w:val="-2"/>
        </w:rPr>
        <w:t>Centrales</w:t>
      </w:r>
    </w:p>
    <w:p>
      <w:pPr>
        <w:pStyle w:val="BodyText"/>
        <w:rPr>
          <w:b/>
          <w:sz w:val="20"/>
        </w:rPr>
      </w:pPr>
    </w:p>
    <w:p>
      <w:pPr>
        <w:pStyle w:val="BodyText"/>
        <w:spacing w:before="94"/>
        <w:rPr>
          <w:b/>
          <w:sz w:val="20"/>
        </w:r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5"/>
        <w:gridCol w:w="1563"/>
        <w:gridCol w:w="1501"/>
        <w:gridCol w:w="1085"/>
        <w:gridCol w:w="1364"/>
        <w:gridCol w:w="1090"/>
        <w:gridCol w:w="1224"/>
        <w:gridCol w:w="951"/>
        <w:gridCol w:w="1498"/>
        <w:gridCol w:w="1781"/>
      </w:tblGrid>
      <w:tr>
        <w:trPr>
          <w:trHeight w:val="537" w:hRule="atLeast"/>
        </w:trPr>
        <w:tc>
          <w:tcPr>
            <w:tcW w:w="2195" w:type="dxa"/>
            <w:vMerge w:val="restart"/>
            <w:shd w:val="clear" w:color="auto" w:fill="F1F1F1"/>
          </w:tcPr>
          <w:p>
            <w:pPr>
              <w:pStyle w:val="TableParagraph"/>
              <w:spacing w:before="166"/>
              <w:rPr>
                <w:b/>
                <w:sz w:val="18"/>
              </w:rPr>
            </w:pPr>
          </w:p>
          <w:p>
            <w:pPr>
              <w:pStyle w:val="TableParagraph"/>
              <w:ind w:left="67"/>
              <w:rPr>
                <w:b/>
                <w:sz w:val="18"/>
              </w:rPr>
            </w:pPr>
            <w:r>
              <w:rPr>
                <w:b/>
                <w:sz w:val="18"/>
              </w:rPr>
              <w:t>Objetivos</w:t>
            </w:r>
            <w:r>
              <w:rPr>
                <w:b/>
                <w:spacing w:val="-5"/>
                <w:sz w:val="18"/>
              </w:rPr>
              <w:t> </w:t>
            </w:r>
            <w:r>
              <w:rPr>
                <w:b/>
                <w:sz w:val="18"/>
              </w:rPr>
              <w:t>/</w:t>
            </w:r>
            <w:r>
              <w:rPr>
                <w:b/>
                <w:spacing w:val="-2"/>
                <w:sz w:val="18"/>
              </w:rPr>
              <w:t> Resultados</w:t>
            </w:r>
          </w:p>
        </w:tc>
        <w:tc>
          <w:tcPr>
            <w:tcW w:w="1563" w:type="dxa"/>
            <w:vMerge w:val="restart"/>
            <w:shd w:val="clear" w:color="auto" w:fill="F1F1F1"/>
          </w:tcPr>
          <w:p>
            <w:pPr>
              <w:pStyle w:val="TableParagraph"/>
              <w:spacing w:before="166"/>
              <w:rPr>
                <w:b/>
                <w:sz w:val="18"/>
              </w:rPr>
            </w:pPr>
          </w:p>
          <w:p>
            <w:pPr>
              <w:pStyle w:val="TableParagraph"/>
              <w:ind w:left="66"/>
              <w:rPr>
                <w:b/>
                <w:sz w:val="18"/>
              </w:rPr>
            </w:pPr>
            <w:r>
              <w:rPr>
                <w:b/>
                <w:spacing w:val="-2"/>
                <w:sz w:val="18"/>
              </w:rPr>
              <w:t>Indicador</w:t>
            </w:r>
          </w:p>
        </w:tc>
        <w:tc>
          <w:tcPr>
            <w:tcW w:w="2586" w:type="dxa"/>
            <w:gridSpan w:val="2"/>
            <w:shd w:val="clear" w:color="auto" w:fill="F1F1F1"/>
          </w:tcPr>
          <w:p>
            <w:pPr>
              <w:pStyle w:val="TableParagraph"/>
              <w:spacing w:before="162"/>
              <w:ind w:left="822"/>
              <w:rPr>
                <w:b/>
                <w:sz w:val="18"/>
              </w:rPr>
            </w:pPr>
            <w:r>
              <w:rPr>
                <w:b/>
                <w:sz w:val="18"/>
              </w:rPr>
              <w:t>I</w:t>
            </w:r>
            <w:r>
              <w:rPr>
                <w:b/>
                <w:spacing w:val="-1"/>
                <w:sz w:val="18"/>
              </w:rPr>
              <w:t> </w:t>
            </w:r>
            <w:r>
              <w:rPr>
                <w:b/>
                <w:spacing w:val="-2"/>
                <w:sz w:val="18"/>
              </w:rPr>
              <w:t>Trimestre</w:t>
            </w:r>
          </w:p>
        </w:tc>
        <w:tc>
          <w:tcPr>
            <w:tcW w:w="2454" w:type="dxa"/>
            <w:gridSpan w:val="2"/>
            <w:shd w:val="clear" w:color="auto" w:fill="F1F1F1"/>
          </w:tcPr>
          <w:p>
            <w:pPr>
              <w:pStyle w:val="TableParagraph"/>
              <w:spacing w:before="162"/>
              <w:ind w:left="738"/>
              <w:rPr>
                <w:b/>
                <w:sz w:val="18"/>
              </w:rPr>
            </w:pPr>
            <w:r>
              <w:rPr>
                <w:b/>
                <w:sz w:val="18"/>
              </w:rPr>
              <w:t>II</w:t>
            </w:r>
            <w:r>
              <w:rPr>
                <w:b/>
                <w:spacing w:val="-3"/>
                <w:sz w:val="18"/>
              </w:rPr>
              <w:t> </w:t>
            </w:r>
            <w:r>
              <w:rPr>
                <w:b/>
                <w:spacing w:val="-2"/>
                <w:sz w:val="18"/>
              </w:rPr>
              <w:t>Trimestre</w:t>
            </w:r>
          </w:p>
        </w:tc>
        <w:tc>
          <w:tcPr>
            <w:tcW w:w="2175" w:type="dxa"/>
            <w:gridSpan w:val="2"/>
            <w:shd w:val="clear" w:color="auto" w:fill="F1F1F1"/>
          </w:tcPr>
          <w:p>
            <w:pPr>
              <w:pStyle w:val="TableParagraph"/>
              <w:spacing w:before="162"/>
              <w:ind w:left="569"/>
              <w:rPr>
                <w:b/>
                <w:sz w:val="18"/>
              </w:rPr>
            </w:pPr>
            <w:r>
              <w:rPr>
                <w:b/>
                <w:sz w:val="18"/>
              </w:rPr>
              <w:t>III</w:t>
            </w:r>
            <w:r>
              <w:rPr>
                <w:b/>
                <w:spacing w:val="-2"/>
                <w:sz w:val="18"/>
              </w:rPr>
              <w:t> Trimestre</w:t>
            </w:r>
          </w:p>
        </w:tc>
        <w:tc>
          <w:tcPr>
            <w:tcW w:w="3279" w:type="dxa"/>
            <w:gridSpan w:val="2"/>
            <w:shd w:val="clear" w:color="auto" w:fill="F1F1F1"/>
          </w:tcPr>
          <w:p>
            <w:pPr>
              <w:pStyle w:val="TableParagraph"/>
              <w:spacing w:before="162"/>
              <w:ind w:left="1"/>
              <w:jc w:val="center"/>
              <w:rPr>
                <w:b/>
                <w:sz w:val="18"/>
              </w:rPr>
            </w:pPr>
            <w:r>
              <w:rPr>
                <w:b/>
                <w:sz w:val="18"/>
              </w:rPr>
              <w:t>IV</w:t>
            </w:r>
            <w:r>
              <w:rPr>
                <w:b/>
                <w:spacing w:val="-2"/>
                <w:sz w:val="18"/>
              </w:rPr>
              <w:t> Trimestre</w:t>
            </w:r>
          </w:p>
        </w:tc>
      </w:tr>
      <w:tr>
        <w:trPr>
          <w:trHeight w:val="412" w:hRule="atLeast"/>
        </w:trPr>
        <w:tc>
          <w:tcPr>
            <w:tcW w:w="2195" w:type="dxa"/>
            <w:vMerge/>
            <w:tcBorders>
              <w:top w:val="nil"/>
            </w:tcBorders>
            <w:shd w:val="clear" w:color="auto" w:fill="F1F1F1"/>
          </w:tcPr>
          <w:p>
            <w:pPr>
              <w:rPr>
                <w:sz w:val="2"/>
                <w:szCs w:val="2"/>
              </w:rPr>
            </w:pPr>
          </w:p>
        </w:tc>
        <w:tc>
          <w:tcPr>
            <w:tcW w:w="1563" w:type="dxa"/>
            <w:vMerge/>
            <w:tcBorders>
              <w:top w:val="nil"/>
            </w:tcBorders>
            <w:shd w:val="clear" w:color="auto" w:fill="F1F1F1"/>
          </w:tcPr>
          <w:p>
            <w:pPr>
              <w:rPr>
                <w:sz w:val="2"/>
                <w:szCs w:val="2"/>
              </w:rPr>
            </w:pPr>
          </w:p>
        </w:tc>
        <w:tc>
          <w:tcPr>
            <w:tcW w:w="1501" w:type="dxa"/>
            <w:shd w:val="clear" w:color="auto" w:fill="F1F1F1"/>
          </w:tcPr>
          <w:p>
            <w:pPr>
              <w:pStyle w:val="TableParagraph"/>
              <w:spacing w:line="206" w:lineRule="exact"/>
              <w:ind w:left="222" w:firstLine="316"/>
              <w:rPr>
                <w:b/>
                <w:sz w:val="18"/>
              </w:rPr>
            </w:pPr>
            <w:r>
              <w:rPr>
                <w:b/>
                <w:spacing w:val="-4"/>
                <w:sz w:val="18"/>
              </w:rPr>
              <w:t>Meta </w:t>
            </w:r>
            <w:r>
              <w:rPr>
                <w:b/>
                <w:spacing w:val="-2"/>
                <w:sz w:val="18"/>
              </w:rPr>
              <w:t>programada</w:t>
            </w:r>
          </w:p>
        </w:tc>
        <w:tc>
          <w:tcPr>
            <w:tcW w:w="1085" w:type="dxa"/>
            <w:shd w:val="clear" w:color="auto" w:fill="F1F1F1"/>
          </w:tcPr>
          <w:p>
            <w:pPr>
              <w:pStyle w:val="TableParagraph"/>
              <w:spacing w:before="100"/>
              <w:ind w:right="4"/>
              <w:jc w:val="center"/>
              <w:rPr>
                <w:b/>
                <w:sz w:val="18"/>
              </w:rPr>
            </w:pPr>
            <w:r>
              <w:rPr>
                <w:b/>
                <w:spacing w:val="-10"/>
                <w:sz w:val="18"/>
              </w:rPr>
              <w:t>¢</w:t>
            </w:r>
          </w:p>
        </w:tc>
        <w:tc>
          <w:tcPr>
            <w:tcW w:w="1364" w:type="dxa"/>
            <w:shd w:val="clear" w:color="auto" w:fill="F1F1F1"/>
          </w:tcPr>
          <w:p>
            <w:pPr>
              <w:pStyle w:val="TableParagraph"/>
              <w:spacing w:line="206" w:lineRule="exact"/>
              <w:ind w:left="157" w:firstLine="312"/>
              <w:rPr>
                <w:b/>
                <w:sz w:val="18"/>
              </w:rPr>
            </w:pPr>
            <w:r>
              <w:rPr>
                <w:b/>
                <w:spacing w:val="-4"/>
                <w:sz w:val="18"/>
              </w:rPr>
              <w:t>Meta </w:t>
            </w:r>
            <w:r>
              <w:rPr>
                <w:b/>
                <w:spacing w:val="-2"/>
                <w:sz w:val="18"/>
              </w:rPr>
              <w:t>programada</w:t>
            </w:r>
          </w:p>
        </w:tc>
        <w:tc>
          <w:tcPr>
            <w:tcW w:w="1090" w:type="dxa"/>
            <w:shd w:val="clear" w:color="auto" w:fill="F1F1F1"/>
          </w:tcPr>
          <w:p>
            <w:pPr>
              <w:pStyle w:val="TableParagraph"/>
              <w:spacing w:before="100"/>
              <w:jc w:val="center"/>
              <w:rPr>
                <w:b/>
                <w:sz w:val="18"/>
              </w:rPr>
            </w:pPr>
            <w:r>
              <w:rPr>
                <w:b/>
                <w:spacing w:val="-10"/>
                <w:sz w:val="18"/>
              </w:rPr>
              <w:t>¢</w:t>
            </w:r>
          </w:p>
        </w:tc>
        <w:tc>
          <w:tcPr>
            <w:tcW w:w="1224" w:type="dxa"/>
            <w:shd w:val="clear" w:color="auto" w:fill="F1F1F1"/>
          </w:tcPr>
          <w:p>
            <w:pPr>
              <w:pStyle w:val="TableParagraph"/>
              <w:spacing w:line="206" w:lineRule="exact"/>
              <w:ind w:left="84" w:firstLine="316"/>
              <w:rPr>
                <w:b/>
                <w:sz w:val="18"/>
              </w:rPr>
            </w:pPr>
            <w:r>
              <w:rPr>
                <w:b/>
                <w:spacing w:val="-4"/>
                <w:sz w:val="18"/>
              </w:rPr>
              <w:t>Meta </w:t>
            </w:r>
            <w:r>
              <w:rPr>
                <w:b/>
                <w:spacing w:val="-2"/>
                <w:sz w:val="18"/>
              </w:rPr>
              <w:t>programada</w:t>
            </w:r>
          </w:p>
        </w:tc>
        <w:tc>
          <w:tcPr>
            <w:tcW w:w="951" w:type="dxa"/>
            <w:shd w:val="clear" w:color="auto" w:fill="F1F1F1"/>
          </w:tcPr>
          <w:p>
            <w:pPr>
              <w:pStyle w:val="TableParagraph"/>
              <w:spacing w:before="100"/>
              <w:ind w:left="2"/>
              <w:jc w:val="center"/>
              <w:rPr>
                <w:b/>
                <w:sz w:val="18"/>
              </w:rPr>
            </w:pPr>
            <w:r>
              <w:rPr>
                <w:b/>
                <w:spacing w:val="-10"/>
                <w:sz w:val="18"/>
              </w:rPr>
              <w:t>¢</w:t>
            </w:r>
          </w:p>
        </w:tc>
        <w:tc>
          <w:tcPr>
            <w:tcW w:w="1498" w:type="dxa"/>
            <w:shd w:val="clear" w:color="auto" w:fill="F1F1F1"/>
          </w:tcPr>
          <w:p>
            <w:pPr>
              <w:pStyle w:val="TableParagraph"/>
              <w:spacing w:line="206" w:lineRule="exact"/>
              <w:ind w:left="223" w:firstLine="312"/>
              <w:rPr>
                <w:b/>
                <w:sz w:val="18"/>
              </w:rPr>
            </w:pPr>
            <w:r>
              <w:rPr>
                <w:b/>
                <w:spacing w:val="-4"/>
                <w:sz w:val="18"/>
              </w:rPr>
              <w:t>Meta </w:t>
            </w:r>
            <w:r>
              <w:rPr>
                <w:b/>
                <w:spacing w:val="-2"/>
                <w:sz w:val="18"/>
              </w:rPr>
              <w:t>programada</w:t>
            </w:r>
          </w:p>
        </w:tc>
        <w:tc>
          <w:tcPr>
            <w:tcW w:w="1781" w:type="dxa"/>
            <w:shd w:val="clear" w:color="auto" w:fill="F1F1F1"/>
          </w:tcPr>
          <w:p>
            <w:pPr>
              <w:pStyle w:val="TableParagraph"/>
              <w:spacing w:before="100"/>
              <w:ind w:left="11" w:right="11"/>
              <w:jc w:val="center"/>
              <w:rPr>
                <w:b/>
                <w:sz w:val="18"/>
              </w:rPr>
            </w:pPr>
            <w:r>
              <w:rPr>
                <w:b/>
                <w:spacing w:val="-10"/>
                <w:sz w:val="18"/>
              </w:rPr>
              <w:t>¢</w:t>
            </w:r>
          </w:p>
        </w:tc>
      </w:tr>
      <w:tr>
        <w:trPr>
          <w:trHeight w:val="845" w:hRule="atLeast"/>
        </w:trPr>
        <w:tc>
          <w:tcPr>
            <w:tcW w:w="14252" w:type="dxa"/>
            <w:gridSpan w:val="10"/>
            <w:shd w:val="clear" w:color="auto" w:fill="E1EED9"/>
          </w:tcPr>
          <w:p>
            <w:pPr>
              <w:pStyle w:val="TableParagraph"/>
              <w:spacing w:before="7"/>
              <w:rPr>
                <w:b/>
                <w:sz w:val="18"/>
              </w:rPr>
            </w:pPr>
          </w:p>
          <w:p>
            <w:pPr>
              <w:pStyle w:val="TableParagraph"/>
              <w:spacing w:before="1"/>
              <w:ind w:left="67"/>
              <w:rPr>
                <w:b/>
                <w:sz w:val="18"/>
              </w:rPr>
            </w:pPr>
            <w:r>
              <w:rPr>
                <w:b/>
                <w:sz w:val="18"/>
              </w:rPr>
              <w:t>Efecto:</w:t>
            </w:r>
            <w:r>
              <w:rPr>
                <w:b/>
                <w:spacing w:val="-1"/>
                <w:sz w:val="18"/>
              </w:rPr>
              <w:t> </w:t>
            </w:r>
            <w:r>
              <w:rPr>
                <w:b/>
                <w:sz w:val="18"/>
              </w:rPr>
              <w:t>Efectiva gestión</w:t>
            </w:r>
            <w:r>
              <w:rPr>
                <w:b/>
                <w:spacing w:val="-4"/>
                <w:sz w:val="18"/>
              </w:rPr>
              <w:t> </w:t>
            </w:r>
            <w:r>
              <w:rPr>
                <w:b/>
                <w:sz w:val="18"/>
              </w:rPr>
              <w:t>de</w:t>
            </w:r>
            <w:r>
              <w:rPr>
                <w:b/>
                <w:spacing w:val="-3"/>
                <w:sz w:val="18"/>
              </w:rPr>
              <w:t> </w:t>
            </w:r>
            <w:r>
              <w:rPr>
                <w:b/>
                <w:sz w:val="18"/>
              </w:rPr>
              <w:t>los</w:t>
            </w:r>
            <w:r>
              <w:rPr>
                <w:b/>
                <w:spacing w:val="-3"/>
                <w:sz w:val="18"/>
              </w:rPr>
              <w:t> </w:t>
            </w:r>
            <w:r>
              <w:rPr>
                <w:b/>
                <w:sz w:val="18"/>
              </w:rPr>
              <w:t>recursos</w:t>
            </w:r>
            <w:r>
              <w:rPr>
                <w:b/>
                <w:spacing w:val="-3"/>
                <w:sz w:val="18"/>
              </w:rPr>
              <w:t> </w:t>
            </w:r>
            <w:r>
              <w:rPr>
                <w:b/>
                <w:sz w:val="18"/>
              </w:rPr>
              <w:t>humanos,</w:t>
            </w:r>
            <w:r>
              <w:rPr>
                <w:b/>
                <w:spacing w:val="-1"/>
                <w:sz w:val="18"/>
              </w:rPr>
              <w:t> </w:t>
            </w:r>
            <w:r>
              <w:rPr>
                <w:b/>
                <w:sz w:val="18"/>
              </w:rPr>
              <w:t>financieros,</w:t>
            </w:r>
            <w:r>
              <w:rPr>
                <w:b/>
                <w:spacing w:val="-1"/>
                <w:sz w:val="18"/>
              </w:rPr>
              <w:t> </w:t>
            </w:r>
            <w:r>
              <w:rPr>
                <w:b/>
                <w:sz w:val="18"/>
              </w:rPr>
              <w:t>materiales</w:t>
            </w:r>
            <w:r>
              <w:rPr>
                <w:b/>
                <w:spacing w:val="-3"/>
                <w:sz w:val="18"/>
              </w:rPr>
              <w:t> </w:t>
            </w:r>
            <w:r>
              <w:rPr>
                <w:b/>
                <w:sz w:val="18"/>
              </w:rPr>
              <w:t>y</w:t>
            </w:r>
            <w:r>
              <w:rPr>
                <w:b/>
                <w:spacing w:val="-3"/>
                <w:sz w:val="18"/>
              </w:rPr>
              <w:t> </w:t>
            </w:r>
            <w:r>
              <w:rPr>
                <w:b/>
                <w:sz w:val="18"/>
              </w:rPr>
              <w:t>tecnológicos, con el</w:t>
            </w:r>
            <w:r>
              <w:rPr>
                <w:b/>
                <w:spacing w:val="-1"/>
                <w:sz w:val="18"/>
              </w:rPr>
              <w:t> </w:t>
            </w:r>
            <w:r>
              <w:rPr>
                <w:b/>
                <w:sz w:val="18"/>
              </w:rPr>
              <w:t>fin de contribuir</w:t>
            </w:r>
            <w:r>
              <w:rPr>
                <w:b/>
                <w:spacing w:val="-6"/>
                <w:sz w:val="18"/>
              </w:rPr>
              <w:t> </w:t>
            </w:r>
            <w:r>
              <w:rPr>
                <w:b/>
                <w:sz w:val="18"/>
              </w:rPr>
              <w:t>con</w:t>
            </w:r>
            <w:r>
              <w:rPr>
                <w:b/>
                <w:spacing w:val="-4"/>
                <w:sz w:val="18"/>
              </w:rPr>
              <w:t> </w:t>
            </w:r>
            <w:r>
              <w:rPr>
                <w:b/>
                <w:sz w:val="18"/>
              </w:rPr>
              <w:t>la</w:t>
            </w:r>
            <w:r>
              <w:rPr>
                <w:b/>
                <w:spacing w:val="-3"/>
                <w:sz w:val="18"/>
              </w:rPr>
              <w:t> </w:t>
            </w:r>
            <w:r>
              <w:rPr>
                <w:b/>
                <w:sz w:val="18"/>
              </w:rPr>
              <w:t>institucionalización</w:t>
            </w:r>
            <w:r>
              <w:rPr>
                <w:b/>
                <w:spacing w:val="-4"/>
                <w:sz w:val="18"/>
              </w:rPr>
              <w:t> </w:t>
            </w:r>
            <w:r>
              <w:rPr>
                <w:b/>
                <w:sz w:val="18"/>
              </w:rPr>
              <w:t>de</w:t>
            </w:r>
            <w:r>
              <w:rPr>
                <w:b/>
                <w:spacing w:val="-3"/>
                <w:sz w:val="18"/>
              </w:rPr>
              <w:t> </w:t>
            </w:r>
            <w:r>
              <w:rPr>
                <w:b/>
                <w:sz w:val="18"/>
              </w:rPr>
              <w:t>la</w:t>
            </w:r>
            <w:r>
              <w:rPr>
                <w:b/>
                <w:spacing w:val="-3"/>
                <w:sz w:val="18"/>
              </w:rPr>
              <w:t> </w:t>
            </w:r>
            <w:r>
              <w:rPr>
                <w:b/>
                <w:sz w:val="18"/>
              </w:rPr>
              <w:t>estrategia</w:t>
            </w:r>
            <w:r>
              <w:rPr>
                <w:b/>
                <w:spacing w:val="-3"/>
                <w:sz w:val="18"/>
              </w:rPr>
              <w:t> </w:t>
            </w:r>
            <w:r>
              <w:rPr>
                <w:b/>
                <w:sz w:val="18"/>
              </w:rPr>
              <w:t>de intervención de la población en situación de pobreza y pobreza extrema.</w:t>
            </w:r>
          </w:p>
        </w:tc>
      </w:tr>
      <w:tr>
        <w:trPr>
          <w:trHeight w:val="844" w:hRule="atLeast"/>
        </w:trPr>
        <w:tc>
          <w:tcPr>
            <w:tcW w:w="14252" w:type="dxa"/>
            <w:gridSpan w:val="10"/>
            <w:shd w:val="clear" w:color="auto" w:fill="EFF8F9"/>
          </w:tcPr>
          <w:p>
            <w:pPr>
              <w:pStyle w:val="TableParagraph"/>
              <w:spacing w:before="113"/>
              <w:rPr>
                <w:b/>
                <w:sz w:val="18"/>
              </w:rPr>
            </w:pPr>
          </w:p>
          <w:p>
            <w:pPr>
              <w:pStyle w:val="TableParagraph"/>
              <w:ind w:left="67"/>
              <w:rPr>
                <w:b/>
                <w:sz w:val="18"/>
              </w:rPr>
            </w:pPr>
            <w:r>
              <w:rPr>
                <w:b/>
                <w:sz w:val="18"/>
              </w:rPr>
              <w:t>Producto</w:t>
            </w:r>
            <w:r>
              <w:rPr>
                <w:b/>
                <w:spacing w:val="-7"/>
                <w:sz w:val="18"/>
              </w:rPr>
              <w:t> </w:t>
            </w:r>
            <w:r>
              <w:rPr>
                <w:b/>
                <w:sz w:val="18"/>
              </w:rPr>
              <w:t>PAC</w:t>
            </w:r>
            <w:r>
              <w:rPr>
                <w:b/>
                <w:spacing w:val="-8"/>
                <w:sz w:val="18"/>
              </w:rPr>
              <w:t> </w:t>
            </w:r>
            <w:r>
              <w:rPr>
                <w:b/>
                <w:sz w:val="18"/>
              </w:rPr>
              <w:t>2.1:</w:t>
            </w:r>
            <w:r>
              <w:rPr>
                <w:b/>
                <w:spacing w:val="-3"/>
                <w:sz w:val="18"/>
              </w:rPr>
              <w:t> </w:t>
            </w:r>
            <w:r>
              <w:rPr>
                <w:b/>
                <w:sz w:val="18"/>
              </w:rPr>
              <w:t>Garantizar</w:t>
            </w:r>
            <w:r>
              <w:rPr>
                <w:b/>
                <w:spacing w:val="-5"/>
                <w:sz w:val="18"/>
              </w:rPr>
              <w:t> </w:t>
            </w:r>
            <w:r>
              <w:rPr>
                <w:b/>
                <w:sz w:val="18"/>
              </w:rPr>
              <w:t>en</w:t>
            </w:r>
            <w:r>
              <w:rPr>
                <w:b/>
                <w:spacing w:val="-7"/>
                <w:sz w:val="18"/>
              </w:rPr>
              <w:t> </w:t>
            </w:r>
            <w:r>
              <w:rPr>
                <w:b/>
                <w:sz w:val="18"/>
              </w:rPr>
              <w:t>tiempo</w:t>
            </w:r>
            <w:r>
              <w:rPr>
                <w:b/>
                <w:spacing w:val="-6"/>
                <w:sz w:val="18"/>
              </w:rPr>
              <w:t> </w:t>
            </w:r>
            <w:r>
              <w:rPr>
                <w:b/>
                <w:sz w:val="18"/>
              </w:rPr>
              <w:t>y</w:t>
            </w:r>
            <w:r>
              <w:rPr>
                <w:b/>
                <w:spacing w:val="-6"/>
                <w:sz w:val="18"/>
              </w:rPr>
              <w:t> </w:t>
            </w:r>
            <w:r>
              <w:rPr>
                <w:b/>
                <w:sz w:val="18"/>
              </w:rPr>
              <w:t>forma</w:t>
            </w:r>
            <w:r>
              <w:rPr>
                <w:b/>
                <w:spacing w:val="-2"/>
                <w:sz w:val="18"/>
              </w:rPr>
              <w:t> </w:t>
            </w:r>
            <w:r>
              <w:rPr>
                <w:b/>
                <w:sz w:val="18"/>
              </w:rPr>
              <w:t>el</w:t>
            </w:r>
            <w:r>
              <w:rPr>
                <w:b/>
                <w:spacing w:val="-4"/>
                <w:sz w:val="18"/>
              </w:rPr>
              <w:t> </w:t>
            </w:r>
            <w:r>
              <w:rPr>
                <w:b/>
                <w:sz w:val="18"/>
              </w:rPr>
              <w:t>cumplimiento</w:t>
            </w:r>
            <w:r>
              <w:rPr>
                <w:b/>
                <w:spacing w:val="-2"/>
                <w:sz w:val="18"/>
              </w:rPr>
              <w:t> </w:t>
            </w:r>
            <w:r>
              <w:rPr>
                <w:b/>
                <w:sz w:val="18"/>
              </w:rPr>
              <w:t>de</w:t>
            </w:r>
            <w:r>
              <w:rPr>
                <w:b/>
                <w:spacing w:val="-1"/>
                <w:sz w:val="18"/>
              </w:rPr>
              <w:t> </w:t>
            </w:r>
            <w:r>
              <w:rPr>
                <w:b/>
                <w:sz w:val="18"/>
              </w:rPr>
              <w:t>normativa</w:t>
            </w:r>
            <w:r>
              <w:rPr>
                <w:b/>
                <w:spacing w:val="-6"/>
                <w:sz w:val="18"/>
              </w:rPr>
              <w:t> </w:t>
            </w:r>
            <w:r>
              <w:rPr>
                <w:b/>
                <w:sz w:val="18"/>
              </w:rPr>
              <w:t>y</w:t>
            </w:r>
            <w:r>
              <w:rPr>
                <w:b/>
                <w:spacing w:val="-6"/>
                <w:sz w:val="18"/>
              </w:rPr>
              <w:t> </w:t>
            </w:r>
            <w:r>
              <w:rPr>
                <w:b/>
                <w:sz w:val="18"/>
              </w:rPr>
              <w:t>requerimientos</w:t>
            </w:r>
            <w:r>
              <w:rPr>
                <w:b/>
                <w:spacing w:val="-5"/>
                <w:sz w:val="18"/>
              </w:rPr>
              <w:t> </w:t>
            </w:r>
            <w:r>
              <w:rPr>
                <w:b/>
                <w:sz w:val="18"/>
              </w:rPr>
              <w:t>de</w:t>
            </w:r>
            <w:r>
              <w:rPr>
                <w:b/>
                <w:spacing w:val="-6"/>
                <w:sz w:val="18"/>
              </w:rPr>
              <w:t> </w:t>
            </w:r>
            <w:r>
              <w:rPr>
                <w:b/>
                <w:sz w:val="18"/>
              </w:rPr>
              <w:t>entes</w:t>
            </w:r>
            <w:r>
              <w:rPr>
                <w:b/>
                <w:spacing w:val="-6"/>
                <w:sz w:val="18"/>
              </w:rPr>
              <w:t> </w:t>
            </w:r>
            <w:r>
              <w:rPr>
                <w:b/>
                <w:sz w:val="18"/>
              </w:rPr>
              <w:t>internos</w:t>
            </w:r>
            <w:r>
              <w:rPr>
                <w:b/>
                <w:spacing w:val="-10"/>
                <w:sz w:val="18"/>
              </w:rPr>
              <w:t> </w:t>
            </w:r>
            <w:r>
              <w:rPr>
                <w:b/>
                <w:sz w:val="18"/>
              </w:rPr>
              <w:t>y</w:t>
            </w:r>
            <w:r>
              <w:rPr>
                <w:b/>
                <w:spacing w:val="-2"/>
                <w:sz w:val="18"/>
              </w:rPr>
              <w:t> externos.</w:t>
            </w:r>
          </w:p>
        </w:tc>
      </w:tr>
      <w:tr>
        <w:trPr>
          <w:trHeight w:val="1036" w:hRule="atLeast"/>
        </w:trPr>
        <w:tc>
          <w:tcPr>
            <w:tcW w:w="2195" w:type="dxa"/>
          </w:tcPr>
          <w:p>
            <w:pPr>
              <w:pStyle w:val="TableParagraph"/>
              <w:spacing w:line="242" w:lineRule="auto" w:before="205"/>
              <w:ind w:left="67"/>
              <w:rPr>
                <w:sz w:val="18"/>
              </w:rPr>
            </w:pPr>
            <w:r>
              <w:rPr>
                <w:b/>
                <w:sz w:val="18"/>
              </w:rPr>
              <w:t>Producto PAC 2.1.1: </w:t>
            </w:r>
            <w:r>
              <w:rPr>
                <w:sz w:val="18"/>
              </w:rPr>
              <w:t>Cumplir</w:t>
            </w:r>
            <w:r>
              <w:rPr>
                <w:spacing w:val="-13"/>
                <w:sz w:val="18"/>
              </w:rPr>
              <w:t> </w:t>
            </w:r>
            <w:r>
              <w:rPr>
                <w:sz w:val="18"/>
              </w:rPr>
              <w:t>con</w:t>
            </w:r>
            <w:r>
              <w:rPr>
                <w:spacing w:val="-12"/>
                <w:sz w:val="18"/>
              </w:rPr>
              <w:t> </w:t>
            </w:r>
            <w:r>
              <w:rPr>
                <w:sz w:val="18"/>
              </w:rPr>
              <w:t>los</w:t>
            </w:r>
            <w:r>
              <w:rPr>
                <w:spacing w:val="-10"/>
                <w:sz w:val="18"/>
              </w:rPr>
              <w:t> </w:t>
            </w:r>
            <w:r>
              <w:rPr>
                <w:sz w:val="18"/>
              </w:rPr>
              <w:t>Acuerdos del Consejo Directivo.</w:t>
            </w:r>
          </w:p>
        </w:tc>
        <w:tc>
          <w:tcPr>
            <w:tcW w:w="1563" w:type="dxa"/>
          </w:tcPr>
          <w:p>
            <w:pPr>
              <w:pStyle w:val="TableParagraph"/>
              <w:spacing w:line="242" w:lineRule="auto" w:before="205"/>
              <w:ind w:left="66" w:right="369"/>
              <w:rPr>
                <w:sz w:val="18"/>
              </w:rPr>
            </w:pPr>
            <w:r>
              <w:rPr>
                <w:sz w:val="18"/>
              </w:rPr>
              <w:t>Porcentaje</w:t>
            </w:r>
            <w:r>
              <w:rPr>
                <w:spacing w:val="-13"/>
                <w:sz w:val="18"/>
              </w:rPr>
              <w:t> </w:t>
            </w:r>
            <w:r>
              <w:rPr>
                <w:sz w:val="18"/>
              </w:rPr>
              <w:t>de </w:t>
            </w:r>
            <w:r>
              <w:rPr>
                <w:spacing w:val="-2"/>
                <w:sz w:val="18"/>
              </w:rPr>
              <w:t>acuerdos atendidos</w:t>
            </w:r>
          </w:p>
        </w:tc>
        <w:tc>
          <w:tcPr>
            <w:tcW w:w="1501" w:type="dxa"/>
          </w:tcPr>
          <w:p>
            <w:pPr>
              <w:pStyle w:val="TableParagraph"/>
              <w:spacing w:before="205"/>
              <w:rPr>
                <w:b/>
                <w:sz w:val="18"/>
              </w:rPr>
            </w:pPr>
          </w:p>
          <w:p>
            <w:pPr>
              <w:pStyle w:val="TableParagraph"/>
              <w:ind w:left="4" w:right="1"/>
              <w:jc w:val="center"/>
              <w:rPr>
                <w:sz w:val="18"/>
              </w:rPr>
            </w:pPr>
            <w:r>
              <w:rPr>
                <w:spacing w:val="-4"/>
                <w:sz w:val="18"/>
              </w:rPr>
              <w:t>100%</w:t>
            </w:r>
          </w:p>
        </w:tc>
        <w:tc>
          <w:tcPr>
            <w:tcW w:w="1085" w:type="dxa"/>
          </w:tcPr>
          <w:p>
            <w:pPr>
              <w:pStyle w:val="TableParagraph"/>
              <w:rPr>
                <w:rFonts w:ascii="Times New Roman"/>
                <w:sz w:val="18"/>
              </w:rPr>
            </w:pPr>
          </w:p>
        </w:tc>
        <w:tc>
          <w:tcPr>
            <w:tcW w:w="1364" w:type="dxa"/>
          </w:tcPr>
          <w:p>
            <w:pPr>
              <w:pStyle w:val="TableParagraph"/>
              <w:spacing w:before="205"/>
              <w:rPr>
                <w:b/>
                <w:sz w:val="18"/>
              </w:rPr>
            </w:pPr>
          </w:p>
          <w:p>
            <w:pPr>
              <w:pStyle w:val="TableParagraph"/>
              <w:ind w:left="42" w:right="42"/>
              <w:jc w:val="center"/>
              <w:rPr>
                <w:sz w:val="18"/>
              </w:rPr>
            </w:pPr>
            <w:r>
              <w:rPr>
                <w:spacing w:val="-4"/>
                <w:sz w:val="18"/>
              </w:rPr>
              <w:t>100%</w:t>
            </w:r>
          </w:p>
        </w:tc>
        <w:tc>
          <w:tcPr>
            <w:tcW w:w="1090" w:type="dxa"/>
          </w:tcPr>
          <w:p>
            <w:pPr>
              <w:pStyle w:val="TableParagraph"/>
              <w:rPr>
                <w:rFonts w:ascii="Times New Roman"/>
                <w:sz w:val="18"/>
              </w:rPr>
            </w:pPr>
          </w:p>
        </w:tc>
        <w:tc>
          <w:tcPr>
            <w:tcW w:w="1224" w:type="dxa"/>
          </w:tcPr>
          <w:p>
            <w:pPr>
              <w:pStyle w:val="TableParagraph"/>
              <w:spacing w:before="205"/>
              <w:rPr>
                <w:b/>
                <w:sz w:val="18"/>
              </w:rPr>
            </w:pPr>
          </w:p>
          <w:p>
            <w:pPr>
              <w:pStyle w:val="TableParagraph"/>
              <w:ind w:left="52" w:right="48"/>
              <w:jc w:val="center"/>
              <w:rPr>
                <w:sz w:val="18"/>
              </w:rPr>
            </w:pPr>
            <w:r>
              <w:rPr>
                <w:spacing w:val="-4"/>
                <w:sz w:val="18"/>
              </w:rPr>
              <w:t>100%</w:t>
            </w:r>
          </w:p>
        </w:tc>
        <w:tc>
          <w:tcPr>
            <w:tcW w:w="951" w:type="dxa"/>
          </w:tcPr>
          <w:p>
            <w:pPr>
              <w:pStyle w:val="TableParagraph"/>
              <w:rPr>
                <w:rFonts w:ascii="Times New Roman"/>
                <w:sz w:val="18"/>
              </w:rPr>
            </w:pPr>
          </w:p>
        </w:tc>
        <w:tc>
          <w:tcPr>
            <w:tcW w:w="1498" w:type="dxa"/>
          </w:tcPr>
          <w:p>
            <w:pPr>
              <w:pStyle w:val="TableParagraph"/>
              <w:spacing w:before="205"/>
              <w:rPr>
                <w:b/>
                <w:sz w:val="18"/>
              </w:rPr>
            </w:pPr>
          </w:p>
          <w:p>
            <w:pPr>
              <w:pStyle w:val="TableParagraph"/>
              <w:ind w:left="4" w:right="4"/>
              <w:jc w:val="center"/>
              <w:rPr>
                <w:sz w:val="18"/>
              </w:rPr>
            </w:pPr>
            <w:r>
              <w:rPr>
                <w:spacing w:val="-4"/>
                <w:sz w:val="18"/>
              </w:rPr>
              <w:t>100%</w:t>
            </w:r>
          </w:p>
        </w:tc>
        <w:tc>
          <w:tcPr>
            <w:tcW w:w="1781" w:type="dxa"/>
          </w:tcPr>
          <w:p>
            <w:pPr>
              <w:pStyle w:val="TableParagraph"/>
              <w:rPr>
                <w:rFonts w:ascii="Times New Roman"/>
                <w:sz w:val="18"/>
              </w:rPr>
            </w:pPr>
          </w:p>
        </w:tc>
      </w:tr>
      <w:tr>
        <w:trPr>
          <w:trHeight w:val="945" w:hRule="atLeast"/>
        </w:trPr>
        <w:tc>
          <w:tcPr>
            <w:tcW w:w="2195" w:type="dxa"/>
          </w:tcPr>
          <w:p>
            <w:pPr>
              <w:pStyle w:val="TableParagraph"/>
              <w:spacing w:before="56"/>
              <w:ind w:left="67"/>
              <w:rPr>
                <w:sz w:val="18"/>
              </w:rPr>
            </w:pPr>
            <w:r>
              <w:rPr>
                <w:b/>
                <w:sz w:val="18"/>
              </w:rPr>
              <w:t>Producto PAC 2.1.2: </w:t>
            </w:r>
            <w:r>
              <w:rPr>
                <w:sz w:val="18"/>
              </w:rPr>
              <w:t>Cumplir con las recomendaciones</w:t>
            </w:r>
            <w:r>
              <w:rPr>
                <w:spacing w:val="-15"/>
                <w:sz w:val="18"/>
              </w:rPr>
              <w:t> </w:t>
            </w:r>
            <w:r>
              <w:rPr>
                <w:sz w:val="18"/>
              </w:rPr>
              <w:t>de</w:t>
            </w:r>
            <w:r>
              <w:rPr>
                <w:spacing w:val="-12"/>
                <w:sz w:val="18"/>
              </w:rPr>
              <w:t> </w:t>
            </w:r>
            <w:r>
              <w:rPr>
                <w:sz w:val="18"/>
              </w:rPr>
              <w:t>la Auditoría Interna.</w:t>
            </w:r>
          </w:p>
        </w:tc>
        <w:tc>
          <w:tcPr>
            <w:tcW w:w="1563" w:type="dxa"/>
          </w:tcPr>
          <w:p>
            <w:pPr>
              <w:pStyle w:val="TableParagraph"/>
              <w:spacing w:before="162"/>
              <w:ind w:left="66"/>
              <w:rPr>
                <w:sz w:val="18"/>
              </w:rPr>
            </w:pPr>
            <w:r>
              <w:rPr>
                <w:sz w:val="18"/>
              </w:rPr>
              <w:t>Porcentaje de </w:t>
            </w:r>
            <w:r>
              <w:rPr>
                <w:spacing w:val="-2"/>
                <w:sz w:val="18"/>
              </w:rPr>
              <w:t>recomendaciones atendidas</w:t>
            </w:r>
          </w:p>
        </w:tc>
        <w:tc>
          <w:tcPr>
            <w:tcW w:w="1501" w:type="dxa"/>
          </w:tcPr>
          <w:p>
            <w:pPr>
              <w:pStyle w:val="TableParagraph"/>
              <w:spacing w:before="161"/>
              <w:rPr>
                <w:b/>
                <w:sz w:val="18"/>
              </w:rPr>
            </w:pPr>
          </w:p>
          <w:p>
            <w:pPr>
              <w:pStyle w:val="TableParagraph"/>
              <w:spacing w:before="1"/>
              <w:ind w:left="4" w:right="1"/>
              <w:jc w:val="center"/>
              <w:rPr>
                <w:sz w:val="18"/>
              </w:rPr>
            </w:pPr>
            <w:r>
              <w:rPr>
                <w:spacing w:val="-4"/>
                <w:sz w:val="18"/>
              </w:rPr>
              <w:t>100%</w:t>
            </w:r>
          </w:p>
        </w:tc>
        <w:tc>
          <w:tcPr>
            <w:tcW w:w="1085" w:type="dxa"/>
          </w:tcPr>
          <w:p>
            <w:pPr>
              <w:pStyle w:val="TableParagraph"/>
              <w:rPr>
                <w:rFonts w:ascii="Times New Roman"/>
                <w:sz w:val="18"/>
              </w:rPr>
            </w:pPr>
          </w:p>
        </w:tc>
        <w:tc>
          <w:tcPr>
            <w:tcW w:w="1364" w:type="dxa"/>
          </w:tcPr>
          <w:p>
            <w:pPr>
              <w:pStyle w:val="TableParagraph"/>
              <w:spacing w:before="161"/>
              <w:rPr>
                <w:b/>
                <w:sz w:val="18"/>
              </w:rPr>
            </w:pPr>
          </w:p>
          <w:p>
            <w:pPr>
              <w:pStyle w:val="TableParagraph"/>
              <w:spacing w:before="1"/>
              <w:ind w:left="42" w:right="42"/>
              <w:jc w:val="center"/>
              <w:rPr>
                <w:sz w:val="18"/>
              </w:rPr>
            </w:pPr>
            <w:r>
              <w:rPr>
                <w:spacing w:val="-4"/>
                <w:sz w:val="18"/>
              </w:rPr>
              <w:t>100%</w:t>
            </w:r>
          </w:p>
        </w:tc>
        <w:tc>
          <w:tcPr>
            <w:tcW w:w="1090" w:type="dxa"/>
          </w:tcPr>
          <w:p>
            <w:pPr>
              <w:pStyle w:val="TableParagraph"/>
              <w:rPr>
                <w:rFonts w:ascii="Times New Roman"/>
                <w:sz w:val="18"/>
              </w:rPr>
            </w:pPr>
          </w:p>
        </w:tc>
        <w:tc>
          <w:tcPr>
            <w:tcW w:w="1224" w:type="dxa"/>
          </w:tcPr>
          <w:p>
            <w:pPr>
              <w:pStyle w:val="TableParagraph"/>
              <w:spacing w:before="161"/>
              <w:rPr>
                <w:b/>
                <w:sz w:val="18"/>
              </w:rPr>
            </w:pPr>
          </w:p>
          <w:p>
            <w:pPr>
              <w:pStyle w:val="TableParagraph"/>
              <w:spacing w:before="1"/>
              <w:ind w:left="52" w:right="48"/>
              <w:jc w:val="center"/>
              <w:rPr>
                <w:sz w:val="18"/>
              </w:rPr>
            </w:pPr>
            <w:r>
              <w:rPr>
                <w:spacing w:val="-4"/>
                <w:sz w:val="18"/>
              </w:rPr>
              <w:t>100%</w:t>
            </w:r>
          </w:p>
        </w:tc>
        <w:tc>
          <w:tcPr>
            <w:tcW w:w="951" w:type="dxa"/>
          </w:tcPr>
          <w:p>
            <w:pPr>
              <w:pStyle w:val="TableParagraph"/>
              <w:rPr>
                <w:rFonts w:ascii="Times New Roman"/>
                <w:sz w:val="18"/>
              </w:rPr>
            </w:pPr>
          </w:p>
        </w:tc>
        <w:tc>
          <w:tcPr>
            <w:tcW w:w="1498" w:type="dxa"/>
          </w:tcPr>
          <w:p>
            <w:pPr>
              <w:pStyle w:val="TableParagraph"/>
              <w:spacing w:before="161"/>
              <w:rPr>
                <w:b/>
                <w:sz w:val="18"/>
              </w:rPr>
            </w:pPr>
          </w:p>
          <w:p>
            <w:pPr>
              <w:pStyle w:val="TableParagraph"/>
              <w:spacing w:before="1"/>
              <w:ind w:left="4" w:right="4"/>
              <w:jc w:val="center"/>
              <w:rPr>
                <w:sz w:val="18"/>
              </w:rPr>
            </w:pPr>
            <w:r>
              <w:rPr>
                <w:spacing w:val="-4"/>
                <w:sz w:val="18"/>
              </w:rPr>
              <w:t>100%</w:t>
            </w:r>
          </w:p>
        </w:tc>
        <w:tc>
          <w:tcPr>
            <w:tcW w:w="1781" w:type="dxa"/>
          </w:tcPr>
          <w:p>
            <w:pPr>
              <w:pStyle w:val="TableParagraph"/>
              <w:rPr>
                <w:rFonts w:ascii="Times New Roman"/>
                <w:sz w:val="18"/>
              </w:rPr>
            </w:pPr>
          </w:p>
        </w:tc>
      </w:tr>
      <w:tr>
        <w:trPr>
          <w:trHeight w:val="1200" w:hRule="atLeast"/>
        </w:trPr>
        <w:tc>
          <w:tcPr>
            <w:tcW w:w="2195" w:type="dxa"/>
          </w:tcPr>
          <w:p>
            <w:pPr>
              <w:pStyle w:val="TableParagraph"/>
              <w:spacing w:before="186"/>
              <w:ind w:left="67"/>
              <w:rPr>
                <w:sz w:val="18"/>
              </w:rPr>
            </w:pPr>
            <w:r>
              <w:rPr>
                <w:b/>
                <w:sz w:val="18"/>
              </w:rPr>
              <w:t>Producto PAC 2.1.3: </w:t>
            </w:r>
            <w:r>
              <w:rPr>
                <w:sz w:val="18"/>
              </w:rPr>
              <w:t>Cumplir con las recomendaciones</w:t>
            </w:r>
            <w:r>
              <w:rPr>
                <w:spacing w:val="-15"/>
                <w:sz w:val="18"/>
              </w:rPr>
              <w:t> </w:t>
            </w:r>
            <w:r>
              <w:rPr>
                <w:sz w:val="18"/>
              </w:rPr>
              <w:t>de</w:t>
            </w:r>
            <w:r>
              <w:rPr>
                <w:spacing w:val="-12"/>
                <w:sz w:val="18"/>
              </w:rPr>
              <w:t> </w:t>
            </w:r>
            <w:r>
              <w:rPr>
                <w:sz w:val="18"/>
              </w:rPr>
              <w:t>la Auditoría Externa.</w:t>
            </w:r>
          </w:p>
        </w:tc>
        <w:tc>
          <w:tcPr>
            <w:tcW w:w="1563" w:type="dxa"/>
          </w:tcPr>
          <w:p>
            <w:pPr>
              <w:pStyle w:val="TableParagraph"/>
              <w:spacing w:before="79"/>
              <w:rPr>
                <w:b/>
                <w:sz w:val="18"/>
              </w:rPr>
            </w:pPr>
          </w:p>
          <w:p>
            <w:pPr>
              <w:pStyle w:val="TableParagraph"/>
              <w:spacing w:before="1"/>
              <w:ind w:left="66"/>
              <w:rPr>
                <w:sz w:val="18"/>
              </w:rPr>
            </w:pPr>
            <w:r>
              <w:rPr>
                <w:sz w:val="18"/>
              </w:rPr>
              <w:t>Porcentaje de </w:t>
            </w:r>
            <w:r>
              <w:rPr>
                <w:spacing w:val="-2"/>
                <w:sz w:val="18"/>
              </w:rPr>
              <w:t>recomendaciones atendidas</w:t>
            </w:r>
          </w:p>
        </w:tc>
        <w:tc>
          <w:tcPr>
            <w:tcW w:w="1501" w:type="dxa"/>
          </w:tcPr>
          <w:p>
            <w:pPr>
              <w:pStyle w:val="TableParagraph"/>
              <w:rPr>
                <w:b/>
                <w:sz w:val="18"/>
              </w:rPr>
            </w:pPr>
          </w:p>
          <w:p>
            <w:pPr>
              <w:pStyle w:val="TableParagraph"/>
              <w:spacing w:before="79"/>
              <w:rPr>
                <w:b/>
                <w:sz w:val="18"/>
              </w:rPr>
            </w:pPr>
          </w:p>
          <w:p>
            <w:pPr>
              <w:pStyle w:val="TableParagraph"/>
              <w:ind w:left="4" w:right="1"/>
              <w:jc w:val="center"/>
              <w:rPr>
                <w:sz w:val="18"/>
              </w:rPr>
            </w:pPr>
            <w:r>
              <w:rPr>
                <w:spacing w:val="-4"/>
                <w:sz w:val="18"/>
              </w:rPr>
              <w:t>100%</w:t>
            </w:r>
          </w:p>
        </w:tc>
        <w:tc>
          <w:tcPr>
            <w:tcW w:w="1085" w:type="dxa"/>
          </w:tcPr>
          <w:p>
            <w:pPr>
              <w:pStyle w:val="TableParagraph"/>
              <w:rPr>
                <w:rFonts w:ascii="Times New Roman"/>
                <w:sz w:val="18"/>
              </w:rPr>
            </w:pPr>
          </w:p>
        </w:tc>
        <w:tc>
          <w:tcPr>
            <w:tcW w:w="1364" w:type="dxa"/>
          </w:tcPr>
          <w:p>
            <w:pPr>
              <w:pStyle w:val="TableParagraph"/>
              <w:rPr>
                <w:b/>
                <w:sz w:val="18"/>
              </w:rPr>
            </w:pPr>
          </w:p>
          <w:p>
            <w:pPr>
              <w:pStyle w:val="TableParagraph"/>
              <w:spacing w:before="79"/>
              <w:rPr>
                <w:b/>
                <w:sz w:val="18"/>
              </w:rPr>
            </w:pPr>
          </w:p>
          <w:p>
            <w:pPr>
              <w:pStyle w:val="TableParagraph"/>
              <w:ind w:left="42" w:right="42"/>
              <w:jc w:val="center"/>
              <w:rPr>
                <w:sz w:val="18"/>
              </w:rPr>
            </w:pPr>
            <w:r>
              <w:rPr>
                <w:spacing w:val="-4"/>
                <w:sz w:val="18"/>
              </w:rPr>
              <w:t>100%</w:t>
            </w:r>
          </w:p>
        </w:tc>
        <w:tc>
          <w:tcPr>
            <w:tcW w:w="1090" w:type="dxa"/>
          </w:tcPr>
          <w:p>
            <w:pPr>
              <w:pStyle w:val="TableParagraph"/>
              <w:rPr>
                <w:rFonts w:ascii="Times New Roman"/>
                <w:sz w:val="18"/>
              </w:rPr>
            </w:pPr>
          </w:p>
        </w:tc>
        <w:tc>
          <w:tcPr>
            <w:tcW w:w="1224" w:type="dxa"/>
          </w:tcPr>
          <w:p>
            <w:pPr>
              <w:pStyle w:val="TableParagraph"/>
              <w:rPr>
                <w:b/>
                <w:sz w:val="18"/>
              </w:rPr>
            </w:pPr>
          </w:p>
          <w:p>
            <w:pPr>
              <w:pStyle w:val="TableParagraph"/>
              <w:spacing w:before="79"/>
              <w:rPr>
                <w:b/>
                <w:sz w:val="18"/>
              </w:rPr>
            </w:pPr>
          </w:p>
          <w:p>
            <w:pPr>
              <w:pStyle w:val="TableParagraph"/>
              <w:ind w:left="52" w:right="48"/>
              <w:jc w:val="center"/>
              <w:rPr>
                <w:sz w:val="18"/>
              </w:rPr>
            </w:pPr>
            <w:r>
              <w:rPr>
                <w:spacing w:val="-4"/>
                <w:sz w:val="18"/>
              </w:rPr>
              <w:t>100%</w:t>
            </w: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spacing w:before="79"/>
              <w:rPr>
                <w:b/>
                <w:sz w:val="18"/>
              </w:rPr>
            </w:pPr>
          </w:p>
          <w:p>
            <w:pPr>
              <w:pStyle w:val="TableParagraph"/>
              <w:ind w:left="4" w:right="4"/>
              <w:jc w:val="center"/>
              <w:rPr>
                <w:sz w:val="18"/>
              </w:rPr>
            </w:pPr>
            <w:r>
              <w:rPr>
                <w:spacing w:val="-4"/>
                <w:sz w:val="18"/>
              </w:rPr>
              <w:t>100%</w:t>
            </w:r>
          </w:p>
        </w:tc>
        <w:tc>
          <w:tcPr>
            <w:tcW w:w="1781"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1380" w:bottom="2320" w:left="360" w:right="360"/>
        </w:sect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5"/>
        <w:gridCol w:w="1563"/>
        <w:gridCol w:w="1501"/>
        <w:gridCol w:w="1085"/>
        <w:gridCol w:w="1364"/>
        <w:gridCol w:w="1090"/>
        <w:gridCol w:w="1224"/>
        <w:gridCol w:w="951"/>
        <w:gridCol w:w="1498"/>
        <w:gridCol w:w="1781"/>
      </w:tblGrid>
      <w:tr>
        <w:trPr>
          <w:trHeight w:val="537" w:hRule="atLeast"/>
        </w:trPr>
        <w:tc>
          <w:tcPr>
            <w:tcW w:w="2195" w:type="dxa"/>
            <w:vMerge w:val="restart"/>
            <w:shd w:val="clear" w:color="auto" w:fill="F1F1F1"/>
          </w:tcPr>
          <w:p>
            <w:pPr>
              <w:pStyle w:val="TableParagraph"/>
              <w:spacing w:before="166"/>
              <w:rPr>
                <w:b/>
                <w:sz w:val="18"/>
              </w:rPr>
            </w:pPr>
          </w:p>
          <w:p>
            <w:pPr>
              <w:pStyle w:val="TableParagraph"/>
              <w:ind w:left="67"/>
              <w:rPr>
                <w:b/>
                <w:sz w:val="18"/>
              </w:rPr>
            </w:pPr>
            <w:r>
              <w:rPr>
                <w:b/>
                <w:sz w:val="18"/>
              </w:rPr>
              <w:t>Objetivos</w:t>
            </w:r>
            <w:r>
              <w:rPr>
                <w:b/>
                <w:spacing w:val="-5"/>
                <w:sz w:val="18"/>
              </w:rPr>
              <w:t> </w:t>
            </w:r>
            <w:r>
              <w:rPr>
                <w:b/>
                <w:sz w:val="18"/>
              </w:rPr>
              <w:t>/</w:t>
            </w:r>
            <w:r>
              <w:rPr>
                <w:b/>
                <w:spacing w:val="-2"/>
                <w:sz w:val="18"/>
              </w:rPr>
              <w:t> Resultados</w:t>
            </w:r>
          </w:p>
        </w:tc>
        <w:tc>
          <w:tcPr>
            <w:tcW w:w="1563" w:type="dxa"/>
            <w:vMerge w:val="restart"/>
            <w:shd w:val="clear" w:color="auto" w:fill="F1F1F1"/>
          </w:tcPr>
          <w:p>
            <w:pPr>
              <w:pStyle w:val="TableParagraph"/>
              <w:spacing w:before="166"/>
              <w:rPr>
                <w:b/>
                <w:sz w:val="18"/>
              </w:rPr>
            </w:pPr>
          </w:p>
          <w:p>
            <w:pPr>
              <w:pStyle w:val="TableParagraph"/>
              <w:ind w:left="66"/>
              <w:rPr>
                <w:b/>
                <w:sz w:val="18"/>
              </w:rPr>
            </w:pPr>
            <w:r>
              <w:rPr>
                <w:b/>
                <w:spacing w:val="-2"/>
                <w:sz w:val="18"/>
              </w:rPr>
              <w:t>Indicador</w:t>
            </w:r>
          </w:p>
        </w:tc>
        <w:tc>
          <w:tcPr>
            <w:tcW w:w="2586" w:type="dxa"/>
            <w:gridSpan w:val="2"/>
            <w:shd w:val="clear" w:color="auto" w:fill="F1F1F1"/>
          </w:tcPr>
          <w:p>
            <w:pPr>
              <w:pStyle w:val="TableParagraph"/>
              <w:spacing w:before="162"/>
              <w:ind w:left="822"/>
              <w:rPr>
                <w:b/>
                <w:sz w:val="18"/>
              </w:rPr>
            </w:pPr>
            <w:r>
              <w:rPr>
                <w:b/>
                <w:sz w:val="18"/>
              </w:rPr>
              <w:t>I</w:t>
            </w:r>
            <w:r>
              <w:rPr>
                <w:b/>
                <w:spacing w:val="-1"/>
                <w:sz w:val="18"/>
              </w:rPr>
              <w:t> </w:t>
            </w:r>
            <w:r>
              <w:rPr>
                <w:b/>
                <w:spacing w:val="-2"/>
                <w:sz w:val="18"/>
              </w:rPr>
              <w:t>Trimestre</w:t>
            </w:r>
          </w:p>
        </w:tc>
        <w:tc>
          <w:tcPr>
            <w:tcW w:w="2454" w:type="dxa"/>
            <w:gridSpan w:val="2"/>
            <w:shd w:val="clear" w:color="auto" w:fill="F1F1F1"/>
          </w:tcPr>
          <w:p>
            <w:pPr>
              <w:pStyle w:val="TableParagraph"/>
              <w:spacing w:before="162"/>
              <w:ind w:left="738"/>
              <w:rPr>
                <w:b/>
                <w:sz w:val="18"/>
              </w:rPr>
            </w:pPr>
            <w:r>
              <w:rPr>
                <w:b/>
                <w:sz w:val="18"/>
              </w:rPr>
              <w:t>II</w:t>
            </w:r>
            <w:r>
              <w:rPr>
                <w:b/>
                <w:spacing w:val="-3"/>
                <w:sz w:val="18"/>
              </w:rPr>
              <w:t> </w:t>
            </w:r>
            <w:r>
              <w:rPr>
                <w:b/>
                <w:spacing w:val="-2"/>
                <w:sz w:val="18"/>
              </w:rPr>
              <w:t>Trimestre</w:t>
            </w:r>
          </w:p>
        </w:tc>
        <w:tc>
          <w:tcPr>
            <w:tcW w:w="2175" w:type="dxa"/>
            <w:gridSpan w:val="2"/>
            <w:shd w:val="clear" w:color="auto" w:fill="F1F1F1"/>
          </w:tcPr>
          <w:p>
            <w:pPr>
              <w:pStyle w:val="TableParagraph"/>
              <w:spacing w:before="162"/>
              <w:ind w:left="569"/>
              <w:rPr>
                <w:b/>
                <w:sz w:val="18"/>
              </w:rPr>
            </w:pPr>
            <w:r>
              <w:rPr>
                <w:b/>
                <w:sz w:val="18"/>
              </w:rPr>
              <w:t>III</w:t>
            </w:r>
            <w:r>
              <w:rPr>
                <w:b/>
                <w:spacing w:val="-2"/>
                <w:sz w:val="18"/>
              </w:rPr>
              <w:t> Trimestre</w:t>
            </w:r>
          </w:p>
        </w:tc>
        <w:tc>
          <w:tcPr>
            <w:tcW w:w="3279" w:type="dxa"/>
            <w:gridSpan w:val="2"/>
            <w:shd w:val="clear" w:color="auto" w:fill="F1F1F1"/>
          </w:tcPr>
          <w:p>
            <w:pPr>
              <w:pStyle w:val="TableParagraph"/>
              <w:spacing w:before="162"/>
              <w:ind w:left="1"/>
              <w:jc w:val="center"/>
              <w:rPr>
                <w:b/>
                <w:sz w:val="18"/>
              </w:rPr>
            </w:pPr>
            <w:r>
              <w:rPr>
                <w:b/>
                <w:sz w:val="18"/>
              </w:rPr>
              <w:t>IV</w:t>
            </w:r>
            <w:r>
              <w:rPr>
                <w:b/>
                <w:spacing w:val="-2"/>
                <w:sz w:val="18"/>
              </w:rPr>
              <w:t> Trimestre</w:t>
            </w:r>
          </w:p>
        </w:tc>
      </w:tr>
      <w:tr>
        <w:trPr>
          <w:trHeight w:val="412" w:hRule="atLeast"/>
        </w:trPr>
        <w:tc>
          <w:tcPr>
            <w:tcW w:w="2195" w:type="dxa"/>
            <w:vMerge/>
            <w:tcBorders>
              <w:top w:val="nil"/>
            </w:tcBorders>
            <w:shd w:val="clear" w:color="auto" w:fill="F1F1F1"/>
          </w:tcPr>
          <w:p>
            <w:pPr>
              <w:rPr>
                <w:sz w:val="2"/>
                <w:szCs w:val="2"/>
              </w:rPr>
            </w:pPr>
          </w:p>
        </w:tc>
        <w:tc>
          <w:tcPr>
            <w:tcW w:w="1563" w:type="dxa"/>
            <w:vMerge/>
            <w:tcBorders>
              <w:top w:val="nil"/>
            </w:tcBorders>
            <w:shd w:val="clear" w:color="auto" w:fill="F1F1F1"/>
          </w:tcPr>
          <w:p>
            <w:pPr>
              <w:rPr>
                <w:sz w:val="2"/>
                <w:szCs w:val="2"/>
              </w:rPr>
            </w:pPr>
          </w:p>
        </w:tc>
        <w:tc>
          <w:tcPr>
            <w:tcW w:w="1501" w:type="dxa"/>
            <w:shd w:val="clear" w:color="auto" w:fill="F1F1F1"/>
          </w:tcPr>
          <w:p>
            <w:pPr>
              <w:pStyle w:val="TableParagraph"/>
              <w:spacing w:line="206" w:lineRule="exact"/>
              <w:ind w:left="222" w:firstLine="316"/>
              <w:rPr>
                <w:b/>
                <w:sz w:val="18"/>
              </w:rPr>
            </w:pPr>
            <w:r>
              <w:rPr>
                <w:b/>
                <w:spacing w:val="-4"/>
                <w:sz w:val="18"/>
              </w:rPr>
              <w:t>Meta </w:t>
            </w:r>
            <w:r>
              <w:rPr>
                <w:b/>
                <w:spacing w:val="-2"/>
                <w:sz w:val="18"/>
              </w:rPr>
              <w:t>programada</w:t>
            </w:r>
          </w:p>
        </w:tc>
        <w:tc>
          <w:tcPr>
            <w:tcW w:w="1085" w:type="dxa"/>
            <w:shd w:val="clear" w:color="auto" w:fill="F1F1F1"/>
          </w:tcPr>
          <w:p>
            <w:pPr>
              <w:pStyle w:val="TableParagraph"/>
              <w:spacing w:before="99"/>
              <w:ind w:right="4"/>
              <w:jc w:val="center"/>
              <w:rPr>
                <w:b/>
                <w:sz w:val="18"/>
              </w:rPr>
            </w:pPr>
            <w:r>
              <w:rPr>
                <w:b/>
                <w:spacing w:val="-10"/>
                <w:sz w:val="18"/>
              </w:rPr>
              <w:t>¢</w:t>
            </w:r>
          </w:p>
        </w:tc>
        <w:tc>
          <w:tcPr>
            <w:tcW w:w="1364" w:type="dxa"/>
            <w:shd w:val="clear" w:color="auto" w:fill="F1F1F1"/>
          </w:tcPr>
          <w:p>
            <w:pPr>
              <w:pStyle w:val="TableParagraph"/>
              <w:spacing w:line="206" w:lineRule="exact"/>
              <w:ind w:left="157" w:firstLine="312"/>
              <w:rPr>
                <w:b/>
                <w:sz w:val="18"/>
              </w:rPr>
            </w:pPr>
            <w:r>
              <w:rPr>
                <w:b/>
                <w:spacing w:val="-4"/>
                <w:sz w:val="18"/>
              </w:rPr>
              <w:t>Meta </w:t>
            </w:r>
            <w:r>
              <w:rPr>
                <w:b/>
                <w:spacing w:val="-2"/>
                <w:sz w:val="18"/>
              </w:rPr>
              <w:t>programada</w:t>
            </w:r>
          </w:p>
        </w:tc>
        <w:tc>
          <w:tcPr>
            <w:tcW w:w="1090" w:type="dxa"/>
            <w:shd w:val="clear" w:color="auto" w:fill="F1F1F1"/>
          </w:tcPr>
          <w:p>
            <w:pPr>
              <w:pStyle w:val="TableParagraph"/>
              <w:spacing w:before="99"/>
              <w:jc w:val="center"/>
              <w:rPr>
                <w:b/>
                <w:sz w:val="18"/>
              </w:rPr>
            </w:pPr>
            <w:r>
              <w:rPr>
                <w:b/>
                <w:spacing w:val="-10"/>
                <w:sz w:val="18"/>
              </w:rPr>
              <w:t>¢</w:t>
            </w:r>
          </w:p>
        </w:tc>
        <w:tc>
          <w:tcPr>
            <w:tcW w:w="1224" w:type="dxa"/>
            <w:shd w:val="clear" w:color="auto" w:fill="F1F1F1"/>
          </w:tcPr>
          <w:p>
            <w:pPr>
              <w:pStyle w:val="TableParagraph"/>
              <w:spacing w:line="206" w:lineRule="exact"/>
              <w:ind w:left="84" w:firstLine="316"/>
              <w:rPr>
                <w:b/>
                <w:sz w:val="18"/>
              </w:rPr>
            </w:pPr>
            <w:r>
              <w:rPr>
                <w:b/>
                <w:spacing w:val="-4"/>
                <w:sz w:val="18"/>
              </w:rPr>
              <w:t>Meta </w:t>
            </w:r>
            <w:r>
              <w:rPr>
                <w:b/>
                <w:spacing w:val="-2"/>
                <w:sz w:val="18"/>
              </w:rPr>
              <w:t>programada</w:t>
            </w:r>
          </w:p>
        </w:tc>
        <w:tc>
          <w:tcPr>
            <w:tcW w:w="951" w:type="dxa"/>
            <w:shd w:val="clear" w:color="auto" w:fill="F1F1F1"/>
          </w:tcPr>
          <w:p>
            <w:pPr>
              <w:pStyle w:val="TableParagraph"/>
              <w:spacing w:before="99"/>
              <w:ind w:left="2"/>
              <w:jc w:val="center"/>
              <w:rPr>
                <w:b/>
                <w:sz w:val="18"/>
              </w:rPr>
            </w:pPr>
            <w:r>
              <w:rPr>
                <w:b/>
                <w:spacing w:val="-10"/>
                <w:sz w:val="18"/>
              </w:rPr>
              <w:t>¢</w:t>
            </w:r>
          </w:p>
        </w:tc>
        <w:tc>
          <w:tcPr>
            <w:tcW w:w="1498" w:type="dxa"/>
            <w:shd w:val="clear" w:color="auto" w:fill="F1F1F1"/>
          </w:tcPr>
          <w:p>
            <w:pPr>
              <w:pStyle w:val="TableParagraph"/>
              <w:spacing w:line="206" w:lineRule="exact"/>
              <w:ind w:left="223" w:firstLine="312"/>
              <w:rPr>
                <w:b/>
                <w:sz w:val="18"/>
              </w:rPr>
            </w:pPr>
            <w:r>
              <w:rPr>
                <w:b/>
                <w:spacing w:val="-4"/>
                <w:sz w:val="18"/>
              </w:rPr>
              <w:t>Meta </w:t>
            </w:r>
            <w:r>
              <w:rPr>
                <w:b/>
                <w:spacing w:val="-2"/>
                <w:sz w:val="18"/>
              </w:rPr>
              <w:t>programada</w:t>
            </w:r>
          </w:p>
        </w:tc>
        <w:tc>
          <w:tcPr>
            <w:tcW w:w="1781" w:type="dxa"/>
            <w:shd w:val="clear" w:color="auto" w:fill="F1F1F1"/>
          </w:tcPr>
          <w:p>
            <w:pPr>
              <w:pStyle w:val="TableParagraph"/>
              <w:spacing w:before="99"/>
              <w:ind w:left="833"/>
              <w:rPr>
                <w:b/>
                <w:sz w:val="18"/>
              </w:rPr>
            </w:pPr>
            <w:r>
              <w:rPr>
                <w:b/>
                <w:spacing w:val="-10"/>
                <w:sz w:val="18"/>
              </w:rPr>
              <w:t>¢</w:t>
            </w:r>
          </w:p>
        </w:tc>
      </w:tr>
      <w:tr>
        <w:trPr>
          <w:trHeight w:val="1709" w:hRule="atLeast"/>
        </w:trPr>
        <w:tc>
          <w:tcPr>
            <w:tcW w:w="2195" w:type="dxa"/>
          </w:tcPr>
          <w:p>
            <w:pPr>
              <w:pStyle w:val="TableParagraph"/>
              <w:spacing w:before="27"/>
              <w:rPr>
                <w:b/>
                <w:sz w:val="18"/>
              </w:rPr>
            </w:pPr>
          </w:p>
          <w:p>
            <w:pPr>
              <w:pStyle w:val="TableParagraph"/>
              <w:ind w:left="67" w:right="76"/>
              <w:rPr>
                <w:sz w:val="18"/>
              </w:rPr>
            </w:pPr>
            <w:r>
              <w:rPr>
                <w:b/>
                <w:sz w:val="18"/>
              </w:rPr>
              <w:t>Producto PAC 2.1.4: </w:t>
            </w:r>
            <w:r>
              <w:rPr>
                <w:sz w:val="18"/>
              </w:rPr>
              <w:t>Cumplir con las disposiciones que emita la</w:t>
            </w:r>
            <w:r>
              <w:rPr>
                <w:spacing w:val="-10"/>
                <w:sz w:val="18"/>
              </w:rPr>
              <w:t> </w:t>
            </w:r>
            <w:r>
              <w:rPr>
                <w:sz w:val="18"/>
              </w:rPr>
              <w:t>Contraloría</w:t>
            </w:r>
            <w:r>
              <w:rPr>
                <w:spacing w:val="-12"/>
                <w:sz w:val="18"/>
              </w:rPr>
              <w:t> </w:t>
            </w:r>
            <w:r>
              <w:rPr>
                <w:sz w:val="18"/>
              </w:rPr>
              <w:t>General</w:t>
            </w:r>
            <w:r>
              <w:rPr>
                <w:spacing w:val="-13"/>
                <w:sz w:val="18"/>
              </w:rPr>
              <w:t> </w:t>
            </w:r>
            <w:r>
              <w:rPr>
                <w:sz w:val="18"/>
              </w:rPr>
              <w:t>de la República a la Gerencia General.</w:t>
            </w:r>
          </w:p>
        </w:tc>
        <w:tc>
          <w:tcPr>
            <w:tcW w:w="1563" w:type="dxa"/>
          </w:tcPr>
          <w:p>
            <w:pPr>
              <w:pStyle w:val="TableParagraph"/>
              <w:rPr>
                <w:b/>
                <w:sz w:val="18"/>
              </w:rPr>
            </w:pPr>
          </w:p>
          <w:p>
            <w:pPr>
              <w:pStyle w:val="TableParagraph"/>
              <w:spacing w:before="128"/>
              <w:rPr>
                <w:b/>
                <w:sz w:val="18"/>
              </w:rPr>
            </w:pPr>
          </w:p>
          <w:p>
            <w:pPr>
              <w:pStyle w:val="TableParagraph"/>
              <w:spacing w:line="242" w:lineRule="auto"/>
              <w:ind w:left="66" w:right="371"/>
              <w:jc w:val="both"/>
              <w:rPr>
                <w:sz w:val="18"/>
              </w:rPr>
            </w:pPr>
            <w:r>
              <w:rPr>
                <w:sz w:val="18"/>
              </w:rPr>
              <w:t>Porcentaje</w:t>
            </w:r>
            <w:r>
              <w:rPr>
                <w:spacing w:val="-13"/>
                <w:sz w:val="18"/>
              </w:rPr>
              <w:t> </w:t>
            </w:r>
            <w:r>
              <w:rPr>
                <w:sz w:val="18"/>
              </w:rPr>
              <w:t>de </w:t>
            </w:r>
            <w:r>
              <w:rPr>
                <w:spacing w:val="-2"/>
                <w:sz w:val="18"/>
              </w:rPr>
              <w:t>disposiciones atendidas</w:t>
            </w:r>
          </w:p>
        </w:tc>
        <w:tc>
          <w:tcPr>
            <w:tcW w:w="1501"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4" w:right="1"/>
              <w:jc w:val="center"/>
              <w:rPr>
                <w:sz w:val="18"/>
              </w:rPr>
            </w:pPr>
            <w:r>
              <w:rPr>
                <w:spacing w:val="-4"/>
                <w:sz w:val="18"/>
              </w:rPr>
              <w:t>100%</w:t>
            </w:r>
          </w:p>
        </w:tc>
        <w:tc>
          <w:tcPr>
            <w:tcW w:w="1085" w:type="dxa"/>
          </w:tcPr>
          <w:p>
            <w:pPr>
              <w:pStyle w:val="TableParagraph"/>
              <w:rPr>
                <w:rFonts w:ascii="Times New Roman"/>
                <w:sz w:val="18"/>
              </w:rPr>
            </w:pPr>
          </w:p>
        </w:tc>
        <w:tc>
          <w:tcPr>
            <w:tcW w:w="1364"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42" w:right="42"/>
              <w:jc w:val="center"/>
              <w:rPr>
                <w:sz w:val="18"/>
              </w:rPr>
            </w:pPr>
            <w:r>
              <w:rPr>
                <w:spacing w:val="-4"/>
                <w:sz w:val="18"/>
              </w:rPr>
              <w:t>100%</w:t>
            </w:r>
          </w:p>
        </w:tc>
        <w:tc>
          <w:tcPr>
            <w:tcW w:w="1090" w:type="dxa"/>
          </w:tcPr>
          <w:p>
            <w:pPr>
              <w:pStyle w:val="TableParagraph"/>
              <w:rPr>
                <w:rFonts w:ascii="Times New Roman"/>
                <w:sz w:val="18"/>
              </w:rPr>
            </w:pPr>
          </w:p>
        </w:tc>
        <w:tc>
          <w:tcPr>
            <w:tcW w:w="1224"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52" w:right="48"/>
              <w:jc w:val="center"/>
              <w:rPr>
                <w:sz w:val="18"/>
              </w:rPr>
            </w:pPr>
            <w:r>
              <w:rPr>
                <w:spacing w:val="-4"/>
                <w:sz w:val="18"/>
              </w:rPr>
              <w:t>100%</w:t>
            </w: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4" w:right="4"/>
              <w:jc w:val="center"/>
              <w:rPr>
                <w:sz w:val="18"/>
              </w:rPr>
            </w:pPr>
            <w:r>
              <w:rPr>
                <w:spacing w:val="-4"/>
                <w:sz w:val="18"/>
              </w:rPr>
              <w:t>100%</w:t>
            </w:r>
          </w:p>
        </w:tc>
        <w:tc>
          <w:tcPr>
            <w:tcW w:w="1781" w:type="dxa"/>
          </w:tcPr>
          <w:p>
            <w:pPr>
              <w:pStyle w:val="TableParagraph"/>
              <w:rPr>
                <w:rFonts w:ascii="Times New Roman"/>
                <w:sz w:val="18"/>
              </w:rPr>
            </w:pPr>
          </w:p>
        </w:tc>
      </w:tr>
      <w:tr>
        <w:trPr>
          <w:trHeight w:val="1637" w:hRule="atLeast"/>
        </w:trPr>
        <w:tc>
          <w:tcPr>
            <w:tcW w:w="2195" w:type="dxa"/>
          </w:tcPr>
          <w:p>
            <w:pPr>
              <w:pStyle w:val="TableParagraph"/>
              <w:spacing w:before="195"/>
              <w:ind w:left="67" w:right="144"/>
              <w:rPr>
                <w:sz w:val="18"/>
              </w:rPr>
            </w:pPr>
            <w:r>
              <w:rPr>
                <w:b/>
                <w:sz w:val="18"/>
              </w:rPr>
              <w:t>Producto PAC 2.1.5: </w:t>
            </w:r>
            <w:r>
              <w:rPr>
                <w:sz w:val="18"/>
              </w:rPr>
              <w:t>Elaborar y aprobar el Plan</w:t>
            </w:r>
            <w:r>
              <w:rPr>
                <w:spacing w:val="-11"/>
                <w:sz w:val="18"/>
              </w:rPr>
              <w:t> </w:t>
            </w:r>
            <w:r>
              <w:rPr>
                <w:sz w:val="18"/>
              </w:rPr>
              <w:t>institucional</w:t>
            </w:r>
            <w:r>
              <w:rPr>
                <w:spacing w:val="-11"/>
                <w:sz w:val="18"/>
              </w:rPr>
              <w:t> </w:t>
            </w:r>
            <w:r>
              <w:rPr>
                <w:sz w:val="18"/>
              </w:rPr>
              <w:t>para</w:t>
            </w:r>
            <w:r>
              <w:rPr>
                <w:spacing w:val="-13"/>
                <w:sz w:val="18"/>
              </w:rPr>
              <w:t> </w:t>
            </w:r>
            <w:r>
              <w:rPr>
                <w:sz w:val="18"/>
              </w:rPr>
              <w:t>la simplificación de trámites, de mejora regulatoria 2026.</w:t>
            </w:r>
          </w:p>
        </w:tc>
        <w:tc>
          <w:tcPr>
            <w:tcW w:w="1563" w:type="dxa"/>
          </w:tcPr>
          <w:p>
            <w:pPr>
              <w:pStyle w:val="TableParagraph"/>
              <w:spacing w:before="195"/>
              <w:rPr>
                <w:b/>
                <w:sz w:val="18"/>
              </w:rPr>
            </w:pPr>
          </w:p>
          <w:p>
            <w:pPr>
              <w:pStyle w:val="TableParagraph"/>
              <w:spacing w:line="242" w:lineRule="auto"/>
              <w:ind w:left="66" w:right="369"/>
              <w:rPr>
                <w:sz w:val="18"/>
              </w:rPr>
            </w:pPr>
            <w:r>
              <w:rPr>
                <w:sz w:val="18"/>
              </w:rPr>
              <w:t>Cantidad de </w:t>
            </w:r>
            <w:r>
              <w:rPr>
                <w:spacing w:val="-2"/>
                <w:sz w:val="18"/>
              </w:rPr>
              <w:t>planes </w:t>
            </w:r>
            <w:r>
              <w:rPr>
                <w:sz w:val="18"/>
              </w:rPr>
              <w:t>elaborados</w:t>
            </w:r>
            <w:r>
              <w:rPr>
                <w:spacing w:val="-13"/>
                <w:sz w:val="18"/>
              </w:rPr>
              <w:t> </w:t>
            </w:r>
            <w:r>
              <w:rPr>
                <w:sz w:val="18"/>
              </w:rPr>
              <w:t>y </w:t>
            </w:r>
            <w:r>
              <w:rPr>
                <w:spacing w:val="-2"/>
                <w:sz w:val="18"/>
              </w:rPr>
              <w:t>aprobados</w:t>
            </w:r>
          </w:p>
        </w:tc>
        <w:tc>
          <w:tcPr>
            <w:tcW w:w="1501" w:type="dxa"/>
          </w:tcPr>
          <w:p>
            <w:pPr>
              <w:pStyle w:val="TableParagraph"/>
              <w:rPr>
                <w:rFonts w:ascii="Times New Roman"/>
                <w:sz w:val="18"/>
              </w:rPr>
            </w:pPr>
          </w:p>
        </w:tc>
        <w:tc>
          <w:tcPr>
            <w:tcW w:w="1085" w:type="dxa"/>
          </w:tcPr>
          <w:p>
            <w:pPr>
              <w:pStyle w:val="TableParagraph"/>
              <w:rPr>
                <w:rFonts w:ascii="Times New Roman"/>
                <w:sz w:val="18"/>
              </w:rPr>
            </w:pPr>
          </w:p>
        </w:tc>
        <w:tc>
          <w:tcPr>
            <w:tcW w:w="1364" w:type="dxa"/>
          </w:tcPr>
          <w:p>
            <w:pPr>
              <w:pStyle w:val="TableParagraph"/>
              <w:rPr>
                <w:rFonts w:ascii="Times New Roman"/>
                <w:sz w:val="18"/>
              </w:rPr>
            </w:pPr>
          </w:p>
        </w:tc>
        <w:tc>
          <w:tcPr>
            <w:tcW w:w="1090" w:type="dxa"/>
          </w:tcPr>
          <w:p>
            <w:pPr>
              <w:pStyle w:val="TableParagraph"/>
              <w:rPr>
                <w:rFonts w:ascii="Times New Roman"/>
                <w:sz w:val="18"/>
              </w:rPr>
            </w:pPr>
          </w:p>
        </w:tc>
        <w:tc>
          <w:tcPr>
            <w:tcW w:w="1224" w:type="dxa"/>
          </w:tcPr>
          <w:p>
            <w:pPr>
              <w:pStyle w:val="TableParagraph"/>
              <w:rPr>
                <w:rFonts w:ascii="Times New Roman"/>
                <w:sz w:val="18"/>
              </w:rPr>
            </w:pP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rPr>
                <w:b/>
                <w:sz w:val="18"/>
              </w:rPr>
            </w:pPr>
          </w:p>
          <w:p>
            <w:pPr>
              <w:pStyle w:val="TableParagraph"/>
              <w:spacing w:before="93"/>
              <w:rPr>
                <w:b/>
                <w:sz w:val="18"/>
              </w:rPr>
            </w:pPr>
          </w:p>
          <w:p>
            <w:pPr>
              <w:pStyle w:val="TableParagraph"/>
              <w:spacing w:before="1"/>
              <w:ind w:left="4" w:right="3"/>
              <w:jc w:val="center"/>
              <w:rPr>
                <w:sz w:val="18"/>
              </w:rPr>
            </w:pPr>
            <w:r>
              <w:rPr>
                <w:spacing w:val="-10"/>
                <w:sz w:val="18"/>
              </w:rPr>
              <w:t>1</w:t>
            </w:r>
          </w:p>
        </w:tc>
        <w:tc>
          <w:tcPr>
            <w:tcW w:w="1781" w:type="dxa"/>
          </w:tcPr>
          <w:p>
            <w:pPr>
              <w:pStyle w:val="TableParagraph"/>
              <w:rPr>
                <w:rFonts w:ascii="Times New Roman"/>
                <w:sz w:val="18"/>
              </w:rPr>
            </w:pPr>
          </w:p>
        </w:tc>
      </w:tr>
      <w:tr>
        <w:trPr>
          <w:trHeight w:val="1637" w:hRule="atLeast"/>
        </w:trPr>
        <w:tc>
          <w:tcPr>
            <w:tcW w:w="2195" w:type="dxa"/>
          </w:tcPr>
          <w:p>
            <w:pPr>
              <w:pStyle w:val="TableParagraph"/>
              <w:spacing w:before="90"/>
              <w:ind w:left="67" w:right="144"/>
              <w:rPr>
                <w:sz w:val="18"/>
              </w:rPr>
            </w:pPr>
            <w:r>
              <w:rPr>
                <w:b/>
                <w:sz w:val="18"/>
              </w:rPr>
              <w:t>Producto</w:t>
            </w:r>
            <w:r>
              <w:rPr>
                <w:b/>
                <w:spacing w:val="-15"/>
                <w:sz w:val="18"/>
              </w:rPr>
              <w:t> </w:t>
            </w:r>
            <w:r>
              <w:rPr>
                <w:b/>
                <w:sz w:val="18"/>
              </w:rPr>
              <w:t>PAC</w:t>
            </w:r>
            <w:r>
              <w:rPr>
                <w:b/>
                <w:spacing w:val="-12"/>
                <w:sz w:val="18"/>
              </w:rPr>
              <w:t> </w:t>
            </w:r>
            <w:r>
              <w:rPr>
                <w:b/>
                <w:sz w:val="18"/>
              </w:rPr>
              <w:t>2.1.6: </w:t>
            </w:r>
            <w:r>
              <w:rPr>
                <w:sz w:val="18"/>
              </w:rPr>
              <w:t>Dar seguimiento a la ejecución del Plan institucional para la simplificación de trámites, de mejora regulatoria 2025.</w:t>
            </w:r>
          </w:p>
        </w:tc>
        <w:tc>
          <w:tcPr>
            <w:tcW w:w="1563" w:type="dxa"/>
          </w:tcPr>
          <w:p>
            <w:pPr>
              <w:pStyle w:val="TableParagraph"/>
              <w:spacing w:before="195"/>
              <w:rPr>
                <w:b/>
                <w:sz w:val="18"/>
              </w:rPr>
            </w:pPr>
          </w:p>
          <w:p>
            <w:pPr>
              <w:pStyle w:val="TableParagraph"/>
              <w:ind w:left="66"/>
              <w:rPr>
                <w:sz w:val="18"/>
              </w:rPr>
            </w:pPr>
            <w:r>
              <w:rPr>
                <w:sz w:val="18"/>
              </w:rPr>
              <w:t>Cantidad de reuniones</w:t>
            </w:r>
            <w:r>
              <w:rPr>
                <w:spacing w:val="-13"/>
                <w:sz w:val="18"/>
              </w:rPr>
              <w:t> </w:t>
            </w:r>
            <w:r>
              <w:rPr>
                <w:sz w:val="18"/>
              </w:rPr>
              <w:t>de </w:t>
            </w:r>
            <w:r>
              <w:rPr>
                <w:spacing w:val="-2"/>
                <w:sz w:val="18"/>
              </w:rPr>
              <w:t>seguimiento realizadas</w:t>
            </w:r>
          </w:p>
        </w:tc>
        <w:tc>
          <w:tcPr>
            <w:tcW w:w="1501" w:type="dxa"/>
          </w:tcPr>
          <w:p>
            <w:pPr>
              <w:pStyle w:val="TableParagraph"/>
              <w:rPr>
                <w:b/>
                <w:sz w:val="18"/>
              </w:rPr>
            </w:pPr>
          </w:p>
          <w:p>
            <w:pPr>
              <w:pStyle w:val="TableParagraph"/>
              <w:rPr>
                <w:b/>
                <w:sz w:val="18"/>
              </w:rPr>
            </w:pPr>
          </w:p>
          <w:p>
            <w:pPr>
              <w:pStyle w:val="TableParagraph"/>
              <w:spacing w:before="93"/>
              <w:rPr>
                <w:b/>
                <w:sz w:val="18"/>
              </w:rPr>
            </w:pPr>
          </w:p>
          <w:p>
            <w:pPr>
              <w:pStyle w:val="TableParagraph"/>
              <w:ind w:left="3" w:right="4"/>
              <w:jc w:val="center"/>
              <w:rPr>
                <w:sz w:val="18"/>
              </w:rPr>
            </w:pPr>
            <w:r>
              <w:rPr>
                <w:spacing w:val="-10"/>
                <w:sz w:val="18"/>
              </w:rPr>
              <w:t>2</w:t>
            </w:r>
          </w:p>
        </w:tc>
        <w:tc>
          <w:tcPr>
            <w:tcW w:w="1085" w:type="dxa"/>
          </w:tcPr>
          <w:p>
            <w:pPr>
              <w:pStyle w:val="TableParagraph"/>
              <w:rPr>
                <w:rFonts w:ascii="Times New Roman"/>
                <w:sz w:val="18"/>
              </w:rPr>
            </w:pPr>
          </w:p>
        </w:tc>
        <w:tc>
          <w:tcPr>
            <w:tcW w:w="1364" w:type="dxa"/>
          </w:tcPr>
          <w:p>
            <w:pPr>
              <w:pStyle w:val="TableParagraph"/>
              <w:rPr>
                <w:b/>
                <w:sz w:val="18"/>
              </w:rPr>
            </w:pPr>
          </w:p>
          <w:p>
            <w:pPr>
              <w:pStyle w:val="TableParagraph"/>
              <w:rPr>
                <w:b/>
                <w:sz w:val="18"/>
              </w:rPr>
            </w:pPr>
          </w:p>
          <w:p>
            <w:pPr>
              <w:pStyle w:val="TableParagraph"/>
              <w:spacing w:before="93"/>
              <w:rPr>
                <w:b/>
                <w:sz w:val="18"/>
              </w:rPr>
            </w:pPr>
          </w:p>
          <w:p>
            <w:pPr>
              <w:pStyle w:val="TableParagraph"/>
              <w:ind w:left="45" w:right="42"/>
              <w:jc w:val="center"/>
              <w:rPr>
                <w:sz w:val="18"/>
              </w:rPr>
            </w:pPr>
            <w:r>
              <w:rPr>
                <w:spacing w:val="-10"/>
                <w:sz w:val="18"/>
              </w:rPr>
              <w:t>4</w:t>
            </w:r>
          </w:p>
        </w:tc>
        <w:tc>
          <w:tcPr>
            <w:tcW w:w="1090" w:type="dxa"/>
          </w:tcPr>
          <w:p>
            <w:pPr>
              <w:pStyle w:val="TableParagraph"/>
              <w:rPr>
                <w:rFonts w:ascii="Times New Roman"/>
                <w:sz w:val="18"/>
              </w:rPr>
            </w:pPr>
          </w:p>
        </w:tc>
        <w:tc>
          <w:tcPr>
            <w:tcW w:w="1224" w:type="dxa"/>
          </w:tcPr>
          <w:p>
            <w:pPr>
              <w:pStyle w:val="TableParagraph"/>
              <w:rPr>
                <w:b/>
                <w:sz w:val="18"/>
              </w:rPr>
            </w:pPr>
          </w:p>
          <w:p>
            <w:pPr>
              <w:pStyle w:val="TableParagraph"/>
              <w:rPr>
                <w:b/>
                <w:sz w:val="18"/>
              </w:rPr>
            </w:pPr>
          </w:p>
          <w:p>
            <w:pPr>
              <w:pStyle w:val="TableParagraph"/>
              <w:spacing w:before="93"/>
              <w:rPr>
                <w:b/>
                <w:sz w:val="18"/>
              </w:rPr>
            </w:pPr>
          </w:p>
          <w:p>
            <w:pPr>
              <w:pStyle w:val="TableParagraph"/>
              <w:ind w:left="48" w:right="48"/>
              <w:jc w:val="center"/>
              <w:rPr>
                <w:sz w:val="18"/>
              </w:rPr>
            </w:pPr>
            <w:r>
              <w:rPr>
                <w:spacing w:val="-10"/>
                <w:sz w:val="18"/>
              </w:rPr>
              <w:t>6</w:t>
            </w: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rPr>
                <w:b/>
                <w:sz w:val="18"/>
              </w:rPr>
            </w:pPr>
          </w:p>
          <w:p>
            <w:pPr>
              <w:pStyle w:val="TableParagraph"/>
              <w:spacing w:before="93"/>
              <w:rPr>
                <w:b/>
                <w:sz w:val="18"/>
              </w:rPr>
            </w:pPr>
          </w:p>
          <w:p>
            <w:pPr>
              <w:pStyle w:val="TableParagraph"/>
              <w:ind w:left="4" w:right="3"/>
              <w:jc w:val="center"/>
              <w:rPr>
                <w:sz w:val="18"/>
              </w:rPr>
            </w:pPr>
            <w:r>
              <w:rPr>
                <w:spacing w:val="-10"/>
                <w:sz w:val="18"/>
              </w:rPr>
              <w:t>8</w:t>
            </w:r>
          </w:p>
        </w:tc>
        <w:tc>
          <w:tcPr>
            <w:tcW w:w="1781" w:type="dxa"/>
          </w:tcPr>
          <w:p>
            <w:pPr>
              <w:pStyle w:val="TableParagraph"/>
              <w:rPr>
                <w:rFonts w:ascii="Times New Roman"/>
                <w:sz w:val="18"/>
              </w:rPr>
            </w:pPr>
          </w:p>
        </w:tc>
      </w:tr>
      <w:tr>
        <w:trPr>
          <w:trHeight w:val="1334" w:hRule="atLeast"/>
        </w:trPr>
        <w:tc>
          <w:tcPr>
            <w:tcW w:w="2195" w:type="dxa"/>
          </w:tcPr>
          <w:p>
            <w:pPr>
              <w:pStyle w:val="TableParagraph"/>
              <w:spacing w:before="147"/>
              <w:rPr>
                <w:b/>
                <w:sz w:val="18"/>
              </w:rPr>
            </w:pPr>
          </w:p>
          <w:p>
            <w:pPr>
              <w:pStyle w:val="TableParagraph"/>
              <w:ind w:left="67"/>
              <w:rPr>
                <w:sz w:val="18"/>
              </w:rPr>
            </w:pPr>
            <w:r>
              <w:rPr>
                <w:b/>
                <w:sz w:val="18"/>
              </w:rPr>
              <w:t>Producto PAC 2.1.7: </w:t>
            </w:r>
            <w:r>
              <w:rPr>
                <w:sz w:val="18"/>
              </w:rPr>
              <w:t>Contratar</w:t>
            </w:r>
            <w:r>
              <w:rPr>
                <w:spacing w:val="-11"/>
                <w:sz w:val="18"/>
              </w:rPr>
              <w:t> </w:t>
            </w:r>
            <w:r>
              <w:rPr>
                <w:sz w:val="18"/>
              </w:rPr>
              <w:t>los</w:t>
            </w:r>
            <w:r>
              <w:rPr>
                <w:spacing w:val="-13"/>
                <w:sz w:val="18"/>
              </w:rPr>
              <w:t> </w:t>
            </w:r>
            <w:r>
              <w:rPr>
                <w:sz w:val="18"/>
              </w:rPr>
              <w:t>servicios</w:t>
            </w:r>
            <w:r>
              <w:rPr>
                <w:spacing w:val="-12"/>
                <w:sz w:val="18"/>
              </w:rPr>
              <w:t> </w:t>
            </w:r>
            <w:r>
              <w:rPr>
                <w:sz w:val="18"/>
              </w:rPr>
              <w:t>de auditoría externa.</w:t>
            </w:r>
          </w:p>
        </w:tc>
        <w:tc>
          <w:tcPr>
            <w:tcW w:w="1563" w:type="dxa"/>
          </w:tcPr>
          <w:p>
            <w:pPr>
              <w:pStyle w:val="TableParagraph"/>
              <w:spacing w:before="147"/>
              <w:rPr>
                <w:b/>
                <w:sz w:val="18"/>
              </w:rPr>
            </w:pPr>
          </w:p>
          <w:p>
            <w:pPr>
              <w:pStyle w:val="TableParagraph"/>
              <w:ind w:left="66"/>
              <w:rPr>
                <w:sz w:val="18"/>
              </w:rPr>
            </w:pPr>
            <w:r>
              <w:rPr>
                <w:sz w:val="18"/>
              </w:rPr>
              <w:t>Cantidad de </w:t>
            </w:r>
            <w:r>
              <w:rPr>
                <w:spacing w:val="-2"/>
                <w:sz w:val="18"/>
              </w:rPr>
              <w:t>contrataciones adjudicadas</w:t>
            </w:r>
          </w:p>
        </w:tc>
        <w:tc>
          <w:tcPr>
            <w:tcW w:w="1501" w:type="dxa"/>
          </w:tcPr>
          <w:p>
            <w:pPr>
              <w:pStyle w:val="TableParagraph"/>
              <w:rPr>
                <w:rFonts w:ascii="Times New Roman"/>
                <w:sz w:val="18"/>
              </w:rPr>
            </w:pPr>
          </w:p>
        </w:tc>
        <w:tc>
          <w:tcPr>
            <w:tcW w:w="1085" w:type="dxa"/>
          </w:tcPr>
          <w:p>
            <w:pPr>
              <w:pStyle w:val="TableParagraph"/>
              <w:rPr>
                <w:rFonts w:ascii="Times New Roman"/>
                <w:sz w:val="18"/>
              </w:rPr>
            </w:pPr>
          </w:p>
        </w:tc>
        <w:tc>
          <w:tcPr>
            <w:tcW w:w="1364" w:type="dxa"/>
          </w:tcPr>
          <w:p>
            <w:pPr>
              <w:pStyle w:val="TableParagraph"/>
              <w:rPr>
                <w:rFonts w:ascii="Times New Roman"/>
                <w:sz w:val="18"/>
              </w:rPr>
            </w:pPr>
          </w:p>
        </w:tc>
        <w:tc>
          <w:tcPr>
            <w:tcW w:w="1090" w:type="dxa"/>
          </w:tcPr>
          <w:p>
            <w:pPr>
              <w:pStyle w:val="TableParagraph"/>
              <w:rPr>
                <w:rFonts w:ascii="Times New Roman"/>
                <w:sz w:val="18"/>
              </w:rPr>
            </w:pPr>
          </w:p>
        </w:tc>
        <w:tc>
          <w:tcPr>
            <w:tcW w:w="1224" w:type="dxa"/>
          </w:tcPr>
          <w:p>
            <w:pPr>
              <w:pStyle w:val="TableParagraph"/>
              <w:rPr>
                <w:rFonts w:ascii="Times New Roman"/>
                <w:sz w:val="18"/>
              </w:rPr>
            </w:pP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spacing w:before="146"/>
              <w:rPr>
                <w:b/>
                <w:sz w:val="18"/>
              </w:rPr>
            </w:pPr>
          </w:p>
          <w:p>
            <w:pPr>
              <w:pStyle w:val="TableParagraph"/>
              <w:ind w:left="4" w:right="3"/>
              <w:jc w:val="center"/>
              <w:rPr>
                <w:sz w:val="18"/>
              </w:rPr>
            </w:pPr>
            <w:r>
              <w:rPr>
                <w:spacing w:val="-10"/>
                <w:sz w:val="18"/>
              </w:rPr>
              <w:t>1</w:t>
            </w:r>
          </w:p>
        </w:tc>
        <w:tc>
          <w:tcPr>
            <w:tcW w:w="1781" w:type="dxa"/>
          </w:tcPr>
          <w:p>
            <w:pPr>
              <w:pStyle w:val="TableParagraph"/>
              <w:rPr>
                <w:b/>
                <w:sz w:val="18"/>
              </w:rPr>
            </w:pPr>
          </w:p>
          <w:p>
            <w:pPr>
              <w:pStyle w:val="TableParagraph"/>
              <w:spacing w:before="146"/>
              <w:rPr>
                <w:b/>
                <w:sz w:val="18"/>
              </w:rPr>
            </w:pPr>
          </w:p>
          <w:p>
            <w:pPr>
              <w:pStyle w:val="TableParagraph"/>
              <w:ind w:left="804"/>
              <w:rPr>
                <w:sz w:val="18"/>
              </w:rPr>
            </w:pPr>
            <w:r>
              <w:rPr>
                <w:sz w:val="18"/>
              </w:rPr>
              <w:t>40</w:t>
            </w:r>
            <w:r>
              <w:rPr>
                <w:spacing w:val="2"/>
                <w:sz w:val="18"/>
              </w:rPr>
              <w:t> </w:t>
            </w:r>
            <w:r>
              <w:rPr>
                <w:sz w:val="18"/>
              </w:rPr>
              <w:t>000</w:t>
            </w:r>
            <w:r>
              <w:rPr>
                <w:spacing w:val="-2"/>
                <w:sz w:val="18"/>
              </w:rPr>
              <w:t> </w:t>
            </w:r>
            <w:r>
              <w:rPr>
                <w:spacing w:val="-5"/>
                <w:sz w:val="18"/>
              </w:rPr>
              <w:t>000</w:t>
            </w:r>
          </w:p>
        </w:tc>
      </w:tr>
      <w:tr>
        <w:trPr>
          <w:trHeight w:val="1464" w:hRule="atLeast"/>
        </w:trPr>
        <w:tc>
          <w:tcPr>
            <w:tcW w:w="2195" w:type="dxa"/>
          </w:tcPr>
          <w:p>
            <w:pPr>
              <w:pStyle w:val="TableParagraph"/>
              <w:spacing w:before="108"/>
              <w:rPr>
                <w:b/>
                <w:sz w:val="18"/>
              </w:rPr>
            </w:pPr>
          </w:p>
          <w:p>
            <w:pPr>
              <w:pStyle w:val="TableParagraph"/>
              <w:spacing w:line="242" w:lineRule="auto"/>
              <w:ind w:left="67" w:right="144"/>
              <w:rPr>
                <w:sz w:val="18"/>
              </w:rPr>
            </w:pPr>
            <w:r>
              <w:rPr>
                <w:b/>
                <w:sz w:val="18"/>
              </w:rPr>
              <w:t>Producto</w:t>
            </w:r>
            <w:r>
              <w:rPr>
                <w:b/>
                <w:spacing w:val="-15"/>
                <w:sz w:val="18"/>
              </w:rPr>
              <w:t> </w:t>
            </w:r>
            <w:r>
              <w:rPr>
                <w:b/>
                <w:sz w:val="18"/>
              </w:rPr>
              <w:t>PAC</w:t>
            </w:r>
            <w:r>
              <w:rPr>
                <w:b/>
                <w:spacing w:val="-12"/>
                <w:sz w:val="18"/>
              </w:rPr>
              <w:t> </w:t>
            </w:r>
            <w:r>
              <w:rPr>
                <w:b/>
                <w:sz w:val="18"/>
              </w:rPr>
              <w:t>2.1.8: </w:t>
            </w:r>
            <w:r>
              <w:rPr>
                <w:sz w:val="18"/>
              </w:rPr>
              <w:t>Dar seguimiento a la contratación de la Auditoría Externa.</w:t>
            </w:r>
          </w:p>
        </w:tc>
        <w:tc>
          <w:tcPr>
            <w:tcW w:w="1563" w:type="dxa"/>
          </w:tcPr>
          <w:p>
            <w:pPr>
              <w:pStyle w:val="TableParagraph"/>
              <w:spacing w:before="7"/>
              <w:rPr>
                <w:b/>
                <w:sz w:val="18"/>
              </w:rPr>
            </w:pPr>
          </w:p>
          <w:p>
            <w:pPr>
              <w:pStyle w:val="TableParagraph"/>
              <w:spacing w:before="1"/>
              <w:ind w:left="66"/>
              <w:rPr>
                <w:sz w:val="18"/>
              </w:rPr>
            </w:pPr>
            <w:r>
              <w:rPr>
                <w:sz w:val="18"/>
              </w:rPr>
              <w:t>Cantidad de </w:t>
            </w:r>
            <w:r>
              <w:rPr>
                <w:spacing w:val="-2"/>
                <w:sz w:val="18"/>
              </w:rPr>
              <w:t>entregables </w:t>
            </w:r>
            <w:r>
              <w:rPr>
                <w:sz w:val="18"/>
              </w:rPr>
              <w:t>recibidos con los resultados de la Auditoría</w:t>
            </w:r>
            <w:r>
              <w:rPr>
                <w:spacing w:val="-13"/>
                <w:sz w:val="18"/>
              </w:rPr>
              <w:t> </w:t>
            </w:r>
            <w:r>
              <w:rPr>
                <w:sz w:val="18"/>
              </w:rPr>
              <w:t>Externa</w:t>
            </w:r>
          </w:p>
        </w:tc>
        <w:tc>
          <w:tcPr>
            <w:tcW w:w="1501" w:type="dxa"/>
          </w:tcPr>
          <w:p>
            <w:pPr>
              <w:pStyle w:val="TableParagraph"/>
              <w:rPr>
                <w:rFonts w:ascii="Times New Roman"/>
                <w:sz w:val="18"/>
              </w:rPr>
            </w:pPr>
          </w:p>
        </w:tc>
        <w:tc>
          <w:tcPr>
            <w:tcW w:w="1085" w:type="dxa"/>
          </w:tcPr>
          <w:p>
            <w:pPr>
              <w:pStyle w:val="TableParagraph"/>
              <w:rPr>
                <w:rFonts w:ascii="Times New Roman"/>
                <w:sz w:val="18"/>
              </w:rPr>
            </w:pPr>
          </w:p>
        </w:tc>
        <w:tc>
          <w:tcPr>
            <w:tcW w:w="1364" w:type="dxa"/>
          </w:tcPr>
          <w:p>
            <w:pPr>
              <w:pStyle w:val="TableParagraph"/>
              <w:rPr>
                <w:rFonts w:ascii="Times New Roman"/>
                <w:sz w:val="18"/>
              </w:rPr>
            </w:pPr>
          </w:p>
        </w:tc>
        <w:tc>
          <w:tcPr>
            <w:tcW w:w="1090" w:type="dxa"/>
          </w:tcPr>
          <w:p>
            <w:pPr>
              <w:pStyle w:val="TableParagraph"/>
              <w:rPr>
                <w:rFonts w:ascii="Times New Roman"/>
                <w:sz w:val="18"/>
              </w:rPr>
            </w:pPr>
          </w:p>
        </w:tc>
        <w:tc>
          <w:tcPr>
            <w:tcW w:w="1224" w:type="dxa"/>
          </w:tcPr>
          <w:p>
            <w:pPr>
              <w:pStyle w:val="TableParagraph"/>
              <w:rPr>
                <w:rFonts w:ascii="Times New Roman"/>
                <w:sz w:val="18"/>
              </w:rPr>
            </w:pP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rPr>
                <w:b/>
                <w:sz w:val="18"/>
              </w:rPr>
            </w:pPr>
          </w:p>
          <w:p>
            <w:pPr>
              <w:pStyle w:val="TableParagraph"/>
              <w:spacing w:before="6"/>
              <w:rPr>
                <w:b/>
                <w:sz w:val="18"/>
              </w:rPr>
            </w:pPr>
          </w:p>
          <w:p>
            <w:pPr>
              <w:pStyle w:val="TableParagraph"/>
              <w:spacing w:before="1"/>
              <w:ind w:left="4" w:right="3"/>
              <w:jc w:val="center"/>
              <w:rPr>
                <w:sz w:val="18"/>
              </w:rPr>
            </w:pPr>
            <w:r>
              <w:rPr>
                <w:spacing w:val="-10"/>
                <w:sz w:val="18"/>
              </w:rPr>
              <w:t>4</w:t>
            </w:r>
          </w:p>
        </w:tc>
        <w:tc>
          <w:tcPr>
            <w:tcW w:w="1781"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700" w:bottom="2320" w:left="360" w:right="360"/>
        </w:sect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5"/>
        <w:gridCol w:w="1563"/>
        <w:gridCol w:w="1501"/>
        <w:gridCol w:w="1085"/>
        <w:gridCol w:w="1364"/>
        <w:gridCol w:w="1090"/>
        <w:gridCol w:w="1224"/>
        <w:gridCol w:w="951"/>
        <w:gridCol w:w="1498"/>
        <w:gridCol w:w="1781"/>
      </w:tblGrid>
      <w:tr>
        <w:trPr>
          <w:trHeight w:val="537" w:hRule="atLeast"/>
        </w:trPr>
        <w:tc>
          <w:tcPr>
            <w:tcW w:w="2195" w:type="dxa"/>
            <w:vMerge w:val="restart"/>
            <w:shd w:val="clear" w:color="auto" w:fill="F1F1F1"/>
          </w:tcPr>
          <w:p>
            <w:pPr>
              <w:pStyle w:val="TableParagraph"/>
              <w:spacing w:before="166"/>
              <w:rPr>
                <w:b/>
                <w:sz w:val="18"/>
              </w:rPr>
            </w:pPr>
          </w:p>
          <w:p>
            <w:pPr>
              <w:pStyle w:val="TableParagraph"/>
              <w:ind w:left="67"/>
              <w:rPr>
                <w:b/>
                <w:sz w:val="18"/>
              </w:rPr>
            </w:pPr>
            <w:r>
              <w:rPr>
                <w:b/>
                <w:sz w:val="18"/>
              </w:rPr>
              <w:t>Objetivos</w:t>
            </w:r>
            <w:r>
              <w:rPr>
                <w:b/>
                <w:spacing w:val="-5"/>
                <w:sz w:val="18"/>
              </w:rPr>
              <w:t> </w:t>
            </w:r>
            <w:r>
              <w:rPr>
                <w:b/>
                <w:sz w:val="18"/>
              </w:rPr>
              <w:t>/</w:t>
            </w:r>
            <w:r>
              <w:rPr>
                <w:b/>
                <w:spacing w:val="-2"/>
                <w:sz w:val="18"/>
              </w:rPr>
              <w:t> Resultados</w:t>
            </w:r>
          </w:p>
        </w:tc>
        <w:tc>
          <w:tcPr>
            <w:tcW w:w="1563" w:type="dxa"/>
            <w:vMerge w:val="restart"/>
            <w:shd w:val="clear" w:color="auto" w:fill="F1F1F1"/>
          </w:tcPr>
          <w:p>
            <w:pPr>
              <w:pStyle w:val="TableParagraph"/>
              <w:spacing w:before="166"/>
              <w:rPr>
                <w:b/>
                <w:sz w:val="18"/>
              </w:rPr>
            </w:pPr>
          </w:p>
          <w:p>
            <w:pPr>
              <w:pStyle w:val="TableParagraph"/>
              <w:ind w:left="66"/>
              <w:rPr>
                <w:b/>
                <w:sz w:val="18"/>
              </w:rPr>
            </w:pPr>
            <w:r>
              <w:rPr>
                <w:b/>
                <w:spacing w:val="-2"/>
                <w:sz w:val="18"/>
              </w:rPr>
              <w:t>Indicador</w:t>
            </w:r>
          </w:p>
        </w:tc>
        <w:tc>
          <w:tcPr>
            <w:tcW w:w="2586" w:type="dxa"/>
            <w:gridSpan w:val="2"/>
            <w:shd w:val="clear" w:color="auto" w:fill="F1F1F1"/>
          </w:tcPr>
          <w:p>
            <w:pPr>
              <w:pStyle w:val="TableParagraph"/>
              <w:spacing w:before="162"/>
              <w:ind w:left="822"/>
              <w:rPr>
                <w:b/>
                <w:sz w:val="18"/>
              </w:rPr>
            </w:pPr>
            <w:r>
              <w:rPr>
                <w:b/>
                <w:sz w:val="18"/>
              </w:rPr>
              <w:t>I</w:t>
            </w:r>
            <w:r>
              <w:rPr>
                <w:b/>
                <w:spacing w:val="-1"/>
                <w:sz w:val="18"/>
              </w:rPr>
              <w:t> </w:t>
            </w:r>
            <w:r>
              <w:rPr>
                <w:b/>
                <w:spacing w:val="-2"/>
                <w:sz w:val="18"/>
              </w:rPr>
              <w:t>Trimestre</w:t>
            </w:r>
          </w:p>
        </w:tc>
        <w:tc>
          <w:tcPr>
            <w:tcW w:w="2454" w:type="dxa"/>
            <w:gridSpan w:val="2"/>
            <w:shd w:val="clear" w:color="auto" w:fill="F1F1F1"/>
          </w:tcPr>
          <w:p>
            <w:pPr>
              <w:pStyle w:val="TableParagraph"/>
              <w:spacing w:before="162"/>
              <w:ind w:left="738"/>
              <w:rPr>
                <w:b/>
                <w:sz w:val="18"/>
              </w:rPr>
            </w:pPr>
            <w:r>
              <w:rPr>
                <w:b/>
                <w:sz w:val="18"/>
              </w:rPr>
              <w:t>II</w:t>
            </w:r>
            <w:r>
              <w:rPr>
                <w:b/>
                <w:spacing w:val="-3"/>
                <w:sz w:val="18"/>
              </w:rPr>
              <w:t> </w:t>
            </w:r>
            <w:r>
              <w:rPr>
                <w:b/>
                <w:spacing w:val="-2"/>
                <w:sz w:val="18"/>
              </w:rPr>
              <w:t>Trimestre</w:t>
            </w:r>
          </w:p>
        </w:tc>
        <w:tc>
          <w:tcPr>
            <w:tcW w:w="2175" w:type="dxa"/>
            <w:gridSpan w:val="2"/>
            <w:shd w:val="clear" w:color="auto" w:fill="F1F1F1"/>
          </w:tcPr>
          <w:p>
            <w:pPr>
              <w:pStyle w:val="TableParagraph"/>
              <w:spacing w:before="162"/>
              <w:ind w:left="569"/>
              <w:rPr>
                <w:b/>
                <w:sz w:val="18"/>
              </w:rPr>
            </w:pPr>
            <w:r>
              <w:rPr>
                <w:b/>
                <w:sz w:val="18"/>
              </w:rPr>
              <w:t>III</w:t>
            </w:r>
            <w:r>
              <w:rPr>
                <w:b/>
                <w:spacing w:val="-2"/>
                <w:sz w:val="18"/>
              </w:rPr>
              <w:t> Trimestre</w:t>
            </w:r>
          </w:p>
        </w:tc>
        <w:tc>
          <w:tcPr>
            <w:tcW w:w="3279" w:type="dxa"/>
            <w:gridSpan w:val="2"/>
            <w:shd w:val="clear" w:color="auto" w:fill="F1F1F1"/>
          </w:tcPr>
          <w:p>
            <w:pPr>
              <w:pStyle w:val="TableParagraph"/>
              <w:spacing w:before="162"/>
              <w:ind w:left="1"/>
              <w:jc w:val="center"/>
              <w:rPr>
                <w:b/>
                <w:sz w:val="18"/>
              </w:rPr>
            </w:pPr>
            <w:r>
              <w:rPr>
                <w:b/>
                <w:sz w:val="18"/>
              </w:rPr>
              <w:t>IV</w:t>
            </w:r>
            <w:r>
              <w:rPr>
                <w:b/>
                <w:spacing w:val="-2"/>
                <w:sz w:val="18"/>
              </w:rPr>
              <w:t> Trimestre</w:t>
            </w:r>
          </w:p>
        </w:tc>
      </w:tr>
      <w:tr>
        <w:trPr>
          <w:trHeight w:val="412" w:hRule="atLeast"/>
        </w:trPr>
        <w:tc>
          <w:tcPr>
            <w:tcW w:w="2195" w:type="dxa"/>
            <w:vMerge/>
            <w:tcBorders>
              <w:top w:val="nil"/>
            </w:tcBorders>
            <w:shd w:val="clear" w:color="auto" w:fill="F1F1F1"/>
          </w:tcPr>
          <w:p>
            <w:pPr>
              <w:rPr>
                <w:sz w:val="2"/>
                <w:szCs w:val="2"/>
              </w:rPr>
            </w:pPr>
          </w:p>
        </w:tc>
        <w:tc>
          <w:tcPr>
            <w:tcW w:w="1563" w:type="dxa"/>
            <w:vMerge/>
            <w:tcBorders>
              <w:top w:val="nil"/>
            </w:tcBorders>
            <w:shd w:val="clear" w:color="auto" w:fill="F1F1F1"/>
          </w:tcPr>
          <w:p>
            <w:pPr>
              <w:rPr>
                <w:sz w:val="2"/>
                <w:szCs w:val="2"/>
              </w:rPr>
            </w:pPr>
          </w:p>
        </w:tc>
        <w:tc>
          <w:tcPr>
            <w:tcW w:w="1501" w:type="dxa"/>
            <w:shd w:val="clear" w:color="auto" w:fill="F1F1F1"/>
          </w:tcPr>
          <w:p>
            <w:pPr>
              <w:pStyle w:val="TableParagraph"/>
              <w:spacing w:line="206" w:lineRule="exact"/>
              <w:ind w:left="222" w:firstLine="316"/>
              <w:rPr>
                <w:b/>
                <w:sz w:val="18"/>
              </w:rPr>
            </w:pPr>
            <w:r>
              <w:rPr>
                <w:b/>
                <w:spacing w:val="-4"/>
                <w:sz w:val="18"/>
              </w:rPr>
              <w:t>Meta </w:t>
            </w:r>
            <w:r>
              <w:rPr>
                <w:b/>
                <w:spacing w:val="-2"/>
                <w:sz w:val="18"/>
              </w:rPr>
              <w:t>programada</w:t>
            </w:r>
          </w:p>
        </w:tc>
        <w:tc>
          <w:tcPr>
            <w:tcW w:w="1085" w:type="dxa"/>
            <w:shd w:val="clear" w:color="auto" w:fill="F1F1F1"/>
          </w:tcPr>
          <w:p>
            <w:pPr>
              <w:pStyle w:val="TableParagraph"/>
              <w:spacing w:before="99"/>
              <w:ind w:right="4"/>
              <w:jc w:val="center"/>
              <w:rPr>
                <w:b/>
                <w:sz w:val="18"/>
              </w:rPr>
            </w:pPr>
            <w:r>
              <w:rPr>
                <w:b/>
                <w:spacing w:val="-10"/>
                <w:sz w:val="18"/>
              </w:rPr>
              <w:t>¢</w:t>
            </w:r>
          </w:p>
        </w:tc>
        <w:tc>
          <w:tcPr>
            <w:tcW w:w="1364" w:type="dxa"/>
            <w:shd w:val="clear" w:color="auto" w:fill="F1F1F1"/>
          </w:tcPr>
          <w:p>
            <w:pPr>
              <w:pStyle w:val="TableParagraph"/>
              <w:spacing w:line="206" w:lineRule="exact"/>
              <w:ind w:left="157" w:firstLine="312"/>
              <w:rPr>
                <w:b/>
                <w:sz w:val="18"/>
              </w:rPr>
            </w:pPr>
            <w:r>
              <w:rPr>
                <w:b/>
                <w:spacing w:val="-4"/>
                <w:sz w:val="18"/>
              </w:rPr>
              <w:t>Meta </w:t>
            </w:r>
            <w:r>
              <w:rPr>
                <w:b/>
                <w:spacing w:val="-2"/>
                <w:sz w:val="18"/>
              </w:rPr>
              <w:t>programada</w:t>
            </w:r>
          </w:p>
        </w:tc>
        <w:tc>
          <w:tcPr>
            <w:tcW w:w="1090" w:type="dxa"/>
            <w:shd w:val="clear" w:color="auto" w:fill="F1F1F1"/>
          </w:tcPr>
          <w:p>
            <w:pPr>
              <w:pStyle w:val="TableParagraph"/>
              <w:spacing w:before="99"/>
              <w:jc w:val="center"/>
              <w:rPr>
                <w:b/>
                <w:sz w:val="18"/>
              </w:rPr>
            </w:pPr>
            <w:r>
              <w:rPr>
                <w:b/>
                <w:spacing w:val="-10"/>
                <w:sz w:val="18"/>
              </w:rPr>
              <w:t>¢</w:t>
            </w:r>
          </w:p>
        </w:tc>
        <w:tc>
          <w:tcPr>
            <w:tcW w:w="1224" w:type="dxa"/>
            <w:shd w:val="clear" w:color="auto" w:fill="F1F1F1"/>
          </w:tcPr>
          <w:p>
            <w:pPr>
              <w:pStyle w:val="TableParagraph"/>
              <w:spacing w:line="206" w:lineRule="exact"/>
              <w:ind w:left="84" w:firstLine="316"/>
              <w:rPr>
                <w:b/>
                <w:sz w:val="18"/>
              </w:rPr>
            </w:pPr>
            <w:r>
              <w:rPr>
                <w:b/>
                <w:spacing w:val="-4"/>
                <w:sz w:val="18"/>
              </w:rPr>
              <w:t>Meta </w:t>
            </w:r>
            <w:r>
              <w:rPr>
                <w:b/>
                <w:spacing w:val="-2"/>
                <w:sz w:val="18"/>
              </w:rPr>
              <w:t>programada</w:t>
            </w:r>
          </w:p>
        </w:tc>
        <w:tc>
          <w:tcPr>
            <w:tcW w:w="951" w:type="dxa"/>
            <w:shd w:val="clear" w:color="auto" w:fill="F1F1F1"/>
          </w:tcPr>
          <w:p>
            <w:pPr>
              <w:pStyle w:val="TableParagraph"/>
              <w:spacing w:before="99"/>
              <w:ind w:left="2"/>
              <w:jc w:val="center"/>
              <w:rPr>
                <w:b/>
                <w:sz w:val="18"/>
              </w:rPr>
            </w:pPr>
            <w:r>
              <w:rPr>
                <w:b/>
                <w:spacing w:val="-10"/>
                <w:sz w:val="18"/>
              </w:rPr>
              <w:t>¢</w:t>
            </w:r>
          </w:p>
        </w:tc>
        <w:tc>
          <w:tcPr>
            <w:tcW w:w="1498" w:type="dxa"/>
            <w:shd w:val="clear" w:color="auto" w:fill="F1F1F1"/>
          </w:tcPr>
          <w:p>
            <w:pPr>
              <w:pStyle w:val="TableParagraph"/>
              <w:spacing w:line="206" w:lineRule="exact"/>
              <w:ind w:left="223" w:firstLine="312"/>
              <w:rPr>
                <w:b/>
                <w:sz w:val="18"/>
              </w:rPr>
            </w:pPr>
            <w:r>
              <w:rPr>
                <w:b/>
                <w:spacing w:val="-4"/>
                <w:sz w:val="18"/>
              </w:rPr>
              <w:t>Meta </w:t>
            </w:r>
            <w:r>
              <w:rPr>
                <w:b/>
                <w:spacing w:val="-2"/>
                <w:sz w:val="18"/>
              </w:rPr>
              <w:t>programada</w:t>
            </w:r>
          </w:p>
        </w:tc>
        <w:tc>
          <w:tcPr>
            <w:tcW w:w="1781" w:type="dxa"/>
            <w:shd w:val="clear" w:color="auto" w:fill="F1F1F1"/>
          </w:tcPr>
          <w:p>
            <w:pPr>
              <w:pStyle w:val="TableParagraph"/>
              <w:spacing w:before="99"/>
              <w:ind w:left="11" w:right="11"/>
              <w:jc w:val="center"/>
              <w:rPr>
                <w:b/>
                <w:sz w:val="18"/>
              </w:rPr>
            </w:pPr>
            <w:r>
              <w:rPr>
                <w:b/>
                <w:spacing w:val="-10"/>
                <w:sz w:val="18"/>
              </w:rPr>
              <w:t>¢</w:t>
            </w:r>
          </w:p>
        </w:tc>
      </w:tr>
      <w:tr>
        <w:trPr>
          <w:trHeight w:val="1335" w:hRule="atLeast"/>
        </w:trPr>
        <w:tc>
          <w:tcPr>
            <w:tcW w:w="2195" w:type="dxa"/>
          </w:tcPr>
          <w:p>
            <w:pPr>
              <w:pStyle w:val="TableParagraph"/>
              <w:spacing w:before="46"/>
              <w:rPr>
                <w:b/>
                <w:sz w:val="18"/>
              </w:rPr>
            </w:pPr>
          </w:p>
          <w:p>
            <w:pPr>
              <w:pStyle w:val="TableParagraph"/>
              <w:spacing w:before="1"/>
              <w:ind w:left="67"/>
              <w:rPr>
                <w:sz w:val="18"/>
              </w:rPr>
            </w:pPr>
            <w:r>
              <w:rPr>
                <w:b/>
                <w:sz w:val="18"/>
              </w:rPr>
              <w:t>Producto PAC 2.1.9: </w:t>
            </w:r>
            <w:r>
              <w:rPr>
                <w:sz w:val="18"/>
              </w:rPr>
              <w:t>Atención de casos de hostigamiento</w:t>
            </w:r>
            <w:r>
              <w:rPr>
                <w:spacing w:val="-15"/>
                <w:sz w:val="18"/>
              </w:rPr>
              <w:t> </w:t>
            </w:r>
            <w:r>
              <w:rPr>
                <w:sz w:val="18"/>
              </w:rPr>
              <w:t>sexual</w:t>
            </w:r>
            <w:r>
              <w:rPr>
                <w:spacing w:val="-12"/>
                <w:sz w:val="18"/>
              </w:rPr>
              <w:t> </w:t>
            </w:r>
            <w:r>
              <w:rPr>
                <w:sz w:val="18"/>
              </w:rPr>
              <w:t>con resolución final</w:t>
            </w:r>
          </w:p>
        </w:tc>
        <w:tc>
          <w:tcPr>
            <w:tcW w:w="1563" w:type="dxa"/>
          </w:tcPr>
          <w:p>
            <w:pPr>
              <w:pStyle w:val="TableParagraph"/>
              <w:spacing w:before="46"/>
              <w:rPr>
                <w:b/>
                <w:sz w:val="18"/>
              </w:rPr>
            </w:pPr>
          </w:p>
          <w:p>
            <w:pPr>
              <w:pStyle w:val="TableParagraph"/>
              <w:spacing w:before="1"/>
              <w:ind w:left="66" w:right="66"/>
              <w:rPr>
                <w:sz w:val="18"/>
              </w:rPr>
            </w:pPr>
            <w:r>
              <w:rPr>
                <w:sz w:val="18"/>
              </w:rPr>
              <w:t>Cantidad de casos</w:t>
            </w:r>
            <w:r>
              <w:rPr>
                <w:spacing w:val="-13"/>
                <w:sz w:val="18"/>
              </w:rPr>
              <w:t> </w:t>
            </w:r>
            <w:r>
              <w:rPr>
                <w:sz w:val="18"/>
              </w:rPr>
              <w:t>atendidos con resolución </w:t>
            </w:r>
            <w:r>
              <w:rPr>
                <w:spacing w:val="-2"/>
                <w:sz w:val="18"/>
              </w:rPr>
              <w:t>final</w:t>
            </w:r>
          </w:p>
        </w:tc>
        <w:tc>
          <w:tcPr>
            <w:tcW w:w="1501" w:type="dxa"/>
          </w:tcPr>
          <w:p>
            <w:pPr>
              <w:pStyle w:val="TableParagraph"/>
              <w:rPr>
                <w:rFonts w:ascii="Times New Roman"/>
                <w:sz w:val="18"/>
              </w:rPr>
            </w:pPr>
          </w:p>
        </w:tc>
        <w:tc>
          <w:tcPr>
            <w:tcW w:w="1085" w:type="dxa"/>
          </w:tcPr>
          <w:p>
            <w:pPr>
              <w:pStyle w:val="TableParagraph"/>
              <w:rPr>
                <w:rFonts w:ascii="Times New Roman"/>
                <w:sz w:val="18"/>
              </w:rPr>
            </w:pPr>
          </w:p>
        </w:tc>
        <w:tc>
          <w:tcPr>
            <w:tcW w:w="1364" w:type="dxa"/>
          </w:tcPr>
          <w:p>
            <w:pPr>
              <w:pStyle w:val="TableParagraph"/>
              <w:rPr>
                <w:rFonts w:ascii="Times New Roman"/>
                <w:sz w:val="18"/>
              </w:rPr>
            </w:pPr>
          </w:p>
        </w:tc>
        <w:tc>
          <w:tcPr>
            <w:tcW w:w="1090" w:type="dxa"/>
          </w:tcPr>
          <w:p>
            <w:pPr>
              <w:pStyle w:val="TableParagraph"/>
              <w:rPr>
                <w:rFonts w:ascii="Times New Roman"/>
                <w:sz w:val="18"/>
              </w:rPr>
            </w:pPr>
          </w:p>
        </w:tc>
        <w:tc>
          <w:tcPr>
            <w:tcW w:w="1224" w:type="dxa"/>
          </w:tcPr>
          <w:p>
            <w:pPr>
              <w:pStyle w:val="TableParagraph"/>
              <w:rPr>
                <w:rFonts w:ascii="Times New Roman"/>
                <w:sz w:val="18"/>
              </w:rPr>
            </w:pP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spacing w:before="147"/>
              <w:rPr>
                <w:b/>
                <w:sz w:val="18"/>
              </w:rPr>
            </w:pPr>
          </w:p>
          <w:p>
            <w:pPr>
              <w:pStyle w:val="TableParagraph"/>
              <w:ind w:left="4" w:right="4"/>
              <w:jc w:val="center"/>
              <w:rPr>
                <w:sz w:val="18"/>
              </w:rPr>
            </w:pPr>
            <w:r>
              <w:rPr>
                <w:spacing w:val="-4"/>
                <w:sz w:val="18"/>
              </w:rPr>
              <w:t>100%</w:t>
            </w:r>
          </w:p>
        </w:tc>
        <w:tc>
          <w:tcPr>
            <w:tcW w:w="1781" w:type="dxa"/>
          </w:tcPr>
          <w:p>
            <w:pPr>
              <w:pStyle w:val="TableParagraph"/>
              <w:rPr>
                <w:rFonts w:ascii="Times New Roman"/>
                <w:sz w:val="18"/>
              </w:rPr>
            </w:pPr>
          </w:p>
        </w:tc>
      </w:tr>
      <w:tr>
        <w:trPr>
          <w:trHeight w:val="493" w:hRule="atLeast"/>
        </w:trPr>
        <w:tc>
          <w:tcPr>
            <w:tcW w:w="14252" w:type="dxa"/>
            <w:gridSpan w:val="10"/>
            <w:shd w:val="clear" w:color="auto" w:fill="EFF8F9"/>
          </w:tcPr>
          <w:p>
            <w:pPr>
              <w:pStyle w:val="TableParagraph"/>
              <w:spacing w:before="143"/>
              <w:ind w:left="67"/>
              <w:rPr>
                <w:b/>
                <w:sz w:val="18"/>
              </w:rPr>
            </w:pPr>
            <w:r>
              <w:rPr>
                <w:b/>
                <w:sz w:val="18"/>
              </w:rPr>
              <w:t>Producto</w:t>
            </w:r>
            <w:r>
              <w:rPr>
                <w:b/>
                <w:spacing w:val="-8"/>
                <w:sz w:val="18"/>
              </w:rPr>
              <w:t> </w:t>
            </w:r>
            <w:r>
              <w:rPr>
                <w:b/>
                <w:sz w:val="18"/>
              </w:rPr>
              <w:t>PAC</w:t>
            </w:r>
            <w:r>
              <w:rPr>
                <w:b/>
                <w:spacing w:val="-9"/>
                <w:sz w:val="18"/>
              </w:rPr>
              <w:t> </w:t>
            </w:r>
            <w:r>
              <w:rPr>
                <w:b/>
                <w:sz w:val="18"/>
              </w:rPr>
              <w:t>2.2:</w:t>
            </w:r>
            <w:r>
              <w:rPr>
                <w:b/>
                <w:spacing w:val="-5"/>
                <w:sz w:val="18"/>
              </w:rPr>
              <w:t> </w:t>
            </w:r>
            <w:r>
              <w:rPr>
                <w:b/>
                <w:sz w:val="18"/>
              </w:rPr>
              <w:t>Optimizar</w:t>
            </w:r>
            <w:r>
              <w:rPr>
                <w:b/>
                <w:spacing w:val="-6"/>
                <w:sz w:val="18"/>
              </w:rPr>
              <w:t> </w:t>
            </w:r>
            <w:r>
              <w:rPr>
                <w:b/>
                <w:sz w:val="18"/>
              </w:rPr>
              <w:t>la</w:t>
            </w:r>
            <w:r>
              <w:rPr>
                <w:b/>
                <w:spacing w:val="-6"/>
                <w:sz w:val="18"/>
              </w:rPr>
              <w:t> </w:t>
            </w:r>
            <w:r>
              <w:rPr>
                <w:b/>
                <w:sz w:val="18"/>
              </w:rPr>
              <w:t>fiscalización</w:t>
            </w:r>
            <w:r>
              <w:rPr>
                <w:b/>
                <w:spacing w:val="-8"/>
                <w:sz w:val="18"/>
              </w:rPr>
              <w:t> </w:t>
            </w:r>
            <w:r>
              <w:rPr>
                <w:b/>
                <w:sz w:val="18"/>
              </w:rPr>
              <w:t>y</w:t>
            </w:r>
            <w:r>
              <w:rPr>
                <w:b/>
                <w:spacing w:val="-7"/>
                <w:sz w:val="18"/>
              </w:rPr>
              <w:t> </w:t>
            </w:r>
            <w:r>
              <w:rPr>
                <w:b/>
                <w:sz w:val="18"/>
              </w:rPr>
              <w:t>el</w:t>
            </w:r>
            <w:r>
              <w:rPr>
                <w:b/>
                <w:spacing w:val="-5"/>
                <w:sz w:val="18"/>
              </w:rPr>
              <w:t> </w:t>
            </w:r>
            <w:r>
              <w:rPr>
                <w:b/>
                <w:sz w:val="18"/>
              </w:rPr>
              <w:t>seguimiento</w:t>
            </w:r>
            <w:r>
              <w:rPr>
                <w:b/>
                <w:spacing w:val="-8"/>
                <w:sz w:val="18"/>
              </w:rPr>
              <w:t> </w:t>
            </w:r>
            <w:r>
              <w:rPr>
                <w:b/>
                <w:sz w:val="18"/>
              </w:rPr>
              <w:t>a</w:t>
            </w:r>
            <w:r>
              <w:rPr>
                <w:b/>
                <w:spacing w:val="-6"/>
                <w:sz w:val="18"/>
              </w:rPr>
              <w:t> </w:t>
            </w:r>
            <w:r>
              <w:rPr>
                <w:b/>
                <w:sz w:val="18"/>
              </w:rPr>
              <w:t>los</w:t>
            </w:r>
            <w:r>
              <w:rPr>
                <w:b/>
                <w:spacing w:val="-7"/>
                <w:sz w:val="18"/>
              </w:rPr>
              <w:t> </w:t>
            </w:r>
            <w:r>
              <w:rPr>
                <w:b/>
                <w:sz w:val="18"/>
              </w:rPr>
              <w:t>procesos</w:t>
            </w:r>
            <w:r>
              <w:rPr>
                <w:b/>
                <w:spacing w:val="-7"/>
                <w:sz w:val="18"/>
              </w:rPr>
              <w:t> </w:t>
            </w:r>
            <w:r>
              <w:rPr>
                <w:b/>
                <w:sz w:val="18"/>
              </w:rPr>
              <w:t>humanos,</w:t>
            </w:r>
            <w:r>
              <w:rPr>
                <w:b/>
                <w:spacing w:val="-5"/>
                <w:sz w:val="18"/>
              </w:rPr>
              <w:t> </w:t>
            </w:r>
            <w:r>
              <w:rPr>
                <w:b/>
                <w:sz w:val="18"/>
              </w:rPr>
              <w:t>financieros, de</w:t>
            </w:r>
            <w:r>
              <w:rPr>
                <w:b/>
                <w:spacing w:val="-7"/>
                <w:sz w:val="18"/>
              </w:rPr>
              <w:t> </w:t>
            </w:r>
            <w:r>
              <w:rPr>
                <w:b/>
                <w:sz w:val="18"/>
              </w:rPr>
              <w:t>programación,</w:t>
            </w:r>
            <w:r>
              <w:rPr>
                <w:b/>
                <w:spacing w:val="-5"/>
                <w:sz w:val="18"/>
              </w:rPr>
              <w:t> </w:t>
            </w:r>
            <w:r>
              <w:rPr>
                <w:b/>
                <w:sz w:val="18"/>
              </w:rPr>
              <w:t>presupuestarios,</w:t>
            </w:r>
            <w:r>
              <w:rPr>
                <w:b/>
                <w:spacing w:val="-5"/>
                <w:sz w:val="18"/>
              </w:rPr>
              <w:t> </w:t>
            </w:r>
            <w:r>
              <w:rPr>
                <w:b/>
                <w:sz w:val="18"/>
              </w:rPr>
              <w:t>tecnológicos</w:t>
            </w:r>
            <w:r>
              <w:rPr>
                <w:b/>
                <w:spacing w:val="-7"/>
                <w:sz w:val="18"/>
              </w:rPr>
              <w:t> </w:t>
            </w:r>
            <w:r>
              <w:rPr>
                <w:b/>
                <w:sz w:val="18"/>
              </w:rPr>
              <w:t>y</w:t>
            </w:r>
            <w:r>
              <w:rPr>
                <w:b/>
                <w:spacing w:val="-7"/>
                <w:sz w:val="18"/>
              </w:rPr>
              <w:t> </w:t>
            </w:r>
            <w:r>
              <w:rPr>
                <w:b/>
                <w:spacing w:val="-4"/>
                <w:sz w:val="18"/>
              </w:rPr>
              <w:t>GpRD</w:t>
            </w:r>
          </w:p>
        </w:tc>
      </w:tr>
      <w:tr>
        <w:trPr>
          <w:trHeight w:val="2342" w:hRule="atLeast"/>
        </w:trPr>
        <w:tc>
          <w:tcPr>
            <w:tcW w:w="2195" w:type="dxa"/>
          </w:tcPr>
          <w:p>
            <w:pPr>
              <w:pStyle w:val="TableParagraph"/>
              <w:spacing w:before="133"/>
              <w:ind w:left="67" w:right="61"/>
              <w:rPr>
                <w:sz w:val="18"/>
              </w:rPr>
            </w:pPr>
            <w:r>
              <w:rPr>
                <w:b/>
                <w:sz w:val="18"/>
              </w:rPr>
              <w:t>Producto PAC 2.2.1:</w:t>
            </w:r>
            <w:r>
              <w:rPr>
                <w:b/>
                <w:spacing w:val="40"/>
                <w:sz w:val="18"/>
              </w:rPr>
              <w:t> </w:t>
            </w:r>
            <w:r>
              <w:rPr>
                <w:sz w:val="18"/>
              </w:rPr>
              <w:t>Dar seguimiento al cumplimiento de metas de las Direcciones, acuerdos del CD, recomendaciones de Auditoría</w:t>
            </w:r>
            <w:r>
              <w:rPr>
                <w:spacing w:val="-15"/>
                <w:sz w:val="18"/>
              </w:rPr>
              <w:t> </w:t>
            </w:r>
            <w:r>
              <w:rPr>
                <w:sz w:val="18"/>
              </w:rPr>
              <w:t>Interna,</w:t>
            </w:r>
            <w:r>
              <w:rPr>
                <w:spacing w:val="-12"/>
                <w:sz w:val="18"/>
              </w:rPr>
              <w:t> </w:t>
            </w:r>
            <w:r>
              <w:rPr>
                <w:sz w:val="18"/>
              </w:rPr>
              <w:t>Externa y disposiciones de la Contraloría</w:t>
            </w:r>
            <w:r>
              <w:rPr>
                <w:spacing w:val="-4"/>
                <w:sz w:val="18"/>
              </w:rPr>
              <w:t> </w:t>
            </w:r>
            <w:r>
              <w:rPr>
                <w:sz w:val="18"/>
              </w:rPr>
              <w:t>General</w:t>
            </w:r>
            <w:r>
              <w:rPr>
                <w:spacing w:val="-1"/>
                <w:sz w:val="18"/>
              </w:rPr>
              <w:t> </w:t>
            </w:r>
            <w:r>
              <w:rPr>
                <w:sz w:val="18"/>
              </w:rPr>
              <w:t>de la </w:t>
            </w:r>
            <w:r>
              <w:rPr>
                <w:spacing w:val="-2"/>
                <w:sz w:val="18"/>
              </w:rPr>
              <w:t>República.</w:t>
            </w:r>
          </w:p>
        </w:tc>
        <w:tc>
          <w:tcPr>
            <w:tcW w:w="1563" w:type="dxa"/>
          </w:tcPr>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spacing w:before="1"/>
              <w:ind w:left="66"/>
              <w:rPr>
                <w:sz w:val="18"/>
              </w:rPr>
            </w:pPr>
            <w:r>
              <w:rPr>
                <w:sz w:val="18"/>
              </w:rPr>
              <w:t>Cantidad</w:t>
            </w:r>
            <w:r>
              <w:rPr>
                <w:spacing w:val="-13"/>
                <w:sz w:val="18"/>
              </w:rPr>
              <w:t> </w:t>
            </w:r>
            <w:r>
              <w:rPr>
                <w:sz w:val="18"/>
              </w:rPr>
              <w:t>de </w:t>
            </w:r>
            <w:r>
              <w:rPr>
                <w:spacing w:val="-2"/>
                <w:sz w:val="18"/>
              </w:rPr>
              <w:t>informes presentados</w:t>
            </w:r>
          </w:p>
        </w:tc>
        <w:tc>
          <w:tcPr>
            <w:tcW w:w="150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ind w:left="3" w:right="4"/>
              <w:jc w:val="center"/>
              <w:rPr>
                <w:sz w:val="18"/>
              </w:rPr>
            </w:pPr>
            <w:r>
              <w:rPr>
                <w:spacing w:val="-10"/>
                <w:sz w:val="18"/>
              </w:rPr>
              <w:t>3</w:t>
            </w:r>
          </w:p>
        </w:tc>
        <w:tc>
          <w:tcPr>
            <w:tcW w:w="1085" w:type="dxa"/>
          </w:tcPr>
          <w:p>
            <w:pPr>
              <w:pStyle w:val="TableParagraph"/>
              <w:rPr>
                <w:rFonts w:ascii="Times New Roman"/>
                <w:sz w:val="18"/>
              </w:rPr>
            </w:pPr>
          </w:p>
        </w:tc>
        <w:tc>
          <w:tcPr>
            <w:tcW w:w="136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ind w:left="45" w:right="42"/>
              <w:jc w:val="center"/>
              <w:rPr>
                <w:sz w:val="18"/>
              </w:rPr>
            </w:pPr>
            <w:r>
              <w:rPr>
                <w:spacing w:val="-10"/>
                <w:sz w:val="18"/>
              </w:rPr>
              <w:t>6</w:t>
            </w:r>
          </w:p>
        </w:tc>
        <w:tc>
          <w:tcPr>
            <w:tcW w:w="1090" w:type="dxa"/>
          </w:tcPr>
          <w:p>
            <w:pPr>
              <w:pStyle w:val="TableParagraph"/>
              <w:rPr>
                <w:rFonts w:ascii="Times New Roman"/>
                <w:sz w:val="18"/>
              </w:rPr>
            </w:pPr>
          </w:p>
        </w:tc>
        <w:tc>
          <w:tcPr>
            <w:tcW w:w="122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ind w:left="48" w:right="48"/>
              <w:jc w:val="center"/>
              <w:rPr>
                <w:sz w:val="18"/>
              </w:rPr>
            </w:pPr>
            <w:r>
              <w:rPr>
                <w:spacing w:val="-10"/>
                <w:sz w:val="18"/>
              </w:rPr>
              <w:t>9</w:t>
            </w: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ind w:left="4" w:right="5"/>
              <w:jc w:val="center"/>
              <w:rPr>
                <w:sz w:val="18"/>
              </w:rPr>
            </w:pPr>
            <w:r>
              <w:rPr>
                <w:spacing w:val="-5"/>
                <w:sz w:val="18"/>
              </w:rPr>
              <w:t>12</w:t>
            </w:r>
          </w:p>
        </w:tc>
        <w:tc>
          <w:tcPr>
            <w:tcW w:w="1781" w:type="dxa"/>
          </w:tcPr>
          <w:p>
            <w:pPr>
              <w:pStyle w:val="TableParagraph"/>
              <w:rPr>
                <w:rFonts w:ascii="Times New Roman"/>
                <w:sz w:val="18"/>
              </w:rPr>
            </w:pPr>
          </w:p>
        </w:tc>
      </w:tr>
      <w:tr>
        <w:trPr>
          <w:trHeight w:val="1665" w:hRule="atLeast"/>
        </w:trPr>
        <w:tc>
          <w:tcPr>
            <w:tcW w:w="2195" w:type="dxa"/>
          </w:tcPr>
          <w:p>
            <w:pPr>
              <w:pStyle w:val="TableParagraph"/>
              <w:rPr>
                <w:b/>
                <w:sz w:val="18"/>
              </w:rPr>
            </w:pPr>
          </w:p>
          <w:p>
            <w:pPr>
              <w:pStyle w:val="TableParagraph"/>
              <w:spacing w:before="2"/>
              <w:rPr>
                <w:b/>
                <w:sz w:val="18"/>
              </w:rPr>
            </w:pPr>
          </w:p>
          <w:p>
            <w:pPr>
              <w:pStyle w:val="TableParagraph"/>
              <w:spacing w:line="242" w:lineRule="auto"/>
              <w:ind w:left="67" w:right="109"/>
              <w:rPr>
                <w:sz w:val="18"/>
              </w:rPr>
            </w:pPr>
            <w:r>
              <w:rPr>
                <w:b/>
                <w:sz w:val="18"/>
              </w:rPr>
              <w:t>Producto PAC 2.2.2: </w:t>
            </w:r>
            <w:r>
              <w:rPr>
                <w:sz w:val="18"/>
              </w:rPr>
              <w:t>Dar seguimiento a la ejecución</w:t>
            </w:r>
            <w:r>
              <w:rPr>
                <w:spacing w:val="-13"/>
                <w:sz w:val="18"/>
              </w:rPr>
              <w:t> </w:t>
            </w:r>
            <w:r>
              <w:rPr>
                <w:sz w:val="18"/>
              </w:rPr>
              <w:t>presupuestaria </w:t>
            </w:r>
            <w:r>
              <w:rPr>
                <w:spacing w:val="-2"/>
                <w:sz w:val="18"/>
              </w:rPr>
              <w:t>institucional.</w:t>
            </w:r>
          </w:p>
        </w:tc>
        <w:tc>
          <w:tcPr>
            <w:tcW w:w="1563" w:type="dxa"/>
          </w:tcPr>
          <w:p>
            <w:pPr>
              <w:pStyle w:val="TableParagraph"/>
              <w:spacing w:before="3"/>
              <w:rPr>
                <w:b/>
                <w:sz w:val="18"/>
              </w:rPr>
            </w:pPr>
          </w:p>
          <w:p>
            <w:pPr>
              <w:pStyle w:val="TableParagraph"/>
              <w:ind w:left="66" w:right="88"/>
              <w:rPr>
                <w:sz w:val="18"/>
              </w:rPr>
            </w:pPr>
            <w:r>
              <w:rPr>
                <w:sz w:val="18"/>
              </w:rPr>
              <w:t>Cantidad de </w:t>
            </w:r>
            <w:r>
              <w:rPr>
                <w:spacing w:val="-2"/>
                <w:sz w:val="18"/>
              </w:rPr>
              <w:t>reuniones </w:t>
            </w:r>
            <w:r>
              <w:rPr>
                <w:sz w:val="18"/>
              </w:rPr>
              <w:t>realizadas con los responsables de</w:t>
            </w:r>
            <w:r>
              <w:rPr>
                <w:spacing w:val="-15"/>
                <w:sz w:val="18"/>
              </w:rPr>
              <w:t> </w:t>
            </w:r>
            <w:r>
              <w:rPr>
                <w:sz w:val="18"/>
              </w:rPr>
              <w:t>los</w:t>
            </w:r>
            <w:r>
              <w:rPr>
                <w:spacing w:val="-12"/>
                <w:sz w:val="18"/>
              </w:rPr>
              <w:t> </w:t>
            </w:r>
            <w:r>
              <w:rPr>
                <w:sz w:val="18"/>
              </w:rPr>
              <w:t>programas </w:t>
            </w:r>
            <w:r>
              <w:rPr>
                <w:spacing w:val="-2"/>
                <w:sz w:val="18"/>
              </w:rPr>
              <w:t>presupuestarios</w:t>
            </w:r>
          </w:p>
        </w:tc>
        <w:tc>
          <w:tcPr>
            <w:tcW w:w="1501" w:type="dxa"/>
          </w:tcPr>
          <w:p>
            <w:pPr>
              <w:pStyle w:val="TableParagraph"/>
              <w:rPr>
                <w:b/>
                <w:sz w:val="18"/>
              </w:rPr>
            </w:pPr>
          </w:p>
          <w:p>
            <w:pPr>
              <w:pStyle w:val="TableParagraph"/>
              <w:rPr>
                <w:b/>
                <w:sz w:val="18"/>
              </w:rPr>
            </w:pPr>
          </w:p>
          <w:p>
            <w:pPr>
              <w:pStyle w:val="TableParagraph"/>
              <w:spacing w:before="108"/>
              <w:rPr>
                <w:b/>
                <w:sz w:val="18"/>
              </w:rPr>
            </w:pPr>
          </w:p>
          <w:p>
            <w:pPr>
              <w:pStyle w:val="TableParagraph"/>
              <w:ind w:left="3" w:right="4"/>
              <w:jc w:val="center"/>
              <w:rPr>
                <w:sz w:val="18"/>
              </w:rPr>
            </w:pPr>
            <w:r>
              <w:rPr>
                <w:spacing w:val="-10"/>
                <w:sz w:val="18"/>
              </w:rPr>
              <w:t>2</w:t>
            </w:r>
          </w:p>
        </w:tc>
        <w:tc>
          <w:tcPr>
            <w:tcW w:w="1085" w:type="dxa"/>
          </w:tcPr>
          <w:p>
            <w:pPr>
              <w:pStyle w:val="TableParagraph"/>
              <w:rPr>
                <w:rFonts w:ascii="Times New Roman"/>
                <w:sz w:val="18"/>
              </w:rPr>
            </w:pPr>
          </w:p>
        </w:tc>
        <w:tc>
          <w:tcPr>
            <w:tcW w:w="1364" w:type="dxa"/>
          </w:tcPr>
          <w:p>
            <w:pPr>
              <w:pStyle w:val="TableParagraph"/>
              <w:rPr>
                <w:b/>
                <w:sz w:val="18"/>
              </w:rPr>
            </w:pPr>
          </w:p>
          <w:p>
            <w:pPr>
              <w:pStyle w:val="TableParagraph"/>
              <w:rPr>
                <w:b/>
                <w:sz w:val="18"/>
              </w:rPr>
            </w:pPr>
          </w:p>
          <w:p>
            <w:pPr>
              <w:pStyle w:val="TableParagraph"/>
              <w:spacing w:before="108"/>
              <w:rPr>
                <w:b/>
                <w:sz w:val="18"/>
              </w:rPr>
            </w:pPr>
          </w:p>
          <w:p>
            <w:pPr>
              <w:pStyle w:val="TableParagraph"/>
              <w:ind w:left="45" w:right="42"/>
              <w:jc w:val="center"/>
              <w:rPr>
                <w:sz w:val="18"/>
              </w:rPr>
            </w:pPr>
            <w:r>
              <w:rPr>
                <w:spacing w:val="-10"/>
                <w:sz w:val="18"/>
              </w:rPr>
              <w:t>5</w:t>
            </w:r>
          </w:p>
        </w:tc>
        <w:tc>
          <w:tcPr>
            <w:tcW w:w="1090" w:type="dxa"/>
          </w:tcPr>
          <w:p>
            <w:pPr>
              <w:pStyle w:val="TableParagraph"/>
              <w:rPr>
                <w:rFonts w:ascii="Times New Roman"/>
                <w:sz w:val="18"/>
              </w:rPr>
            </w:pPr>
          </w:p>
        </w:tc>
        <w:tc>
          <w:tcPr>
            <w:tcW w:w="1224" w:type="dxa"/>
          </w:tcPr>
          <w:p>
            <w:pPr>
              <w:pStyle w:val="TableParagraph"/>
              <w:rPr>
                <w:b/>
                <w:sz w:val="18"/>
              </w:rPr>
            </w:pPr>
          </w:p>
          <w:p>
            <w:pPr>
              <w:pStyle w:val="TableParagraph"/>
              <w:rPr>
                <w:b/>
                <w:sz w:val="18"/>
              </w:rPr>
            </w:pPr>
          </w:p>
          <w:p>
            <w:pPr>
              <w:pStyle w:val="TableParagraph"/>
              <w:spacing w:before="108"/>
              <w:rPr>
                <w:b/>
                <w:sz w:val="18"/>
              </w:rPr>
            </w:pPr>
          </w:p>
          <w:p>
            <w:pPr>
              <w:pStyle w:val="TableParagraph"/>
              <w:ind w:left="48" w:right="48"/>
              <w:jc w:val="center"/>
              <w:rPr>
                <w:sz w:val="18"/>
              </w:rPr>
            </w:pPr>
            <w:r>
              <w:rPr>
                <w:spacing w:val="-10"/>
                <w:sz w:val="18"/>
              </w:rPr>
              <w:t>8</w:t>
            </w: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rPr>
                <w:b/>
                <w:sz w:val="18"/>
              </w:rPr>
            </w:pPr>
          </w:p>
          <w:p>
            <w:pPr>
              <w:pStyle w:val="TableParagraph"/>
              <w:spacing w:before="108"/>
              <w:rPr>
                <w:b/>
                <w:sz w:val="18"/>
              </w:rPr>
            </w:pPr>
          </w:p>
          <w:p>
            <w:pPr>
              <w:pStyle w:val="TableParagraph"/>
              <w:ind w:left="4" w:right="5"/>
              <w:jc w:val="center"/>
              <w:rPr>
                <w:sz w:val="18"/>
              </w:rPr>
            </w:pPr>
            <w:r>
              <w:rPr>
                <w:spacing w:val="-5"/>
                <w:sz w:val="18"/>
              </w:rPr>
              <w:t>10</w:t>
            </w:r>
          </w:p>
        </w:tc>
        <w:tc>
          <w:tcPr>
            <w:tcW w:w="1781" w:type="dxa"/>
          </w:tcPr>
          <w:p>
            <w:pPr>
              <w:pStyle w:val="TableParagraph"/>
              <w:rPr>
                <w:rFonts w:ascii="Times New Roman"/>
                <w:sz w:val="18"/>
              </w:rPr>
            </w:pPr>
          </w:p>
        </w:tc>
      </w:tr>
      <w:tr>
        <w:trPr>
          <w:trHeight w:val="1440" w:hRule="atLeast"/>
        </w:trPr>
        <w:tc>
          <w:tcPr>
            <w:tcW w:w="2195" w:type="dxa"/>
          </w:tcPr>
          <w:p>
            <w:pPr>
              <w:pStyle w:val="TableParagraph"/>
              <w:spacing w:before="100"/>
              <w:ind w:left="67" w:right="89"/>
              <w:rPr>
                <w:sz w:val="18"/>
              </w:rPr>
            </w:pPr>
            <w:r>
              <w:rPr>
                <w:b/>
                <w:sz w:val="18"/>
              </w:rPr>
              <w:t>Producto PAC 2.2.3: </w:t>
            </w:r>
            <w:r>
              <w:rPr>
                <w:sz w:val="18"/>
              </w:rPr>
              <w:t>Dar seguimiento al cumplimiento de las metas establecidas a las instancias</w:t>
            </w:r>
            <w:r>
              <w:rPr>
                <w:spacing w:val="-11"/>
                <w:sz w:val="18"/>
              </w:rPr>
              <w:t> </w:t>
            </w:r>
            <w:r>
              <w:rPr>
                <w:sz w:val="18"/>
              </w:rPr>
              <w:t>de</w:t>
            </w:r>
            <w:r>
              <w:rPr>
                <w:spacing w:val="-11"/>
                <w:sz w:val="18"/>
              </w:rPr>
              <w:t> </w:t>
            </w:r>
            <w:r>
              <w:rPr>
                <w:sz w:val="18"/>
              </w:rPr>
              <w:t>la</w:t>
            </w:r>
            <w:r>
              <w:rPr>
                <w:spacing w:val="-11"/>
                <w:sz w:val="18"/>
              </w:rPr>
              <w:t> </w:t>
            </w:r>
            <w:r>
              <w:rPr>
                <w:sz w:val="18"/>
              </w:rPr>
              <w:t>Gerencia </w:t>
            </w:r>
            <w:r>
              <w:rPr>
                <w:spacing w:val="-2"/>
                <w:sz w:val="18"/>
              </w:rPr>
              <w:t>General.</w:t>
            </w:r>
          </w:p>
        </w:tc>
        <w:tc>
          <w:tcPr>
            <w:tcW w:w="1563" w:type="dxa"/>
          </w:tcPr>
          <w:p>
            <w:pPr>
              <w:pStyle w:val="TableParagraph"/>
              <w:spacing w:before="200"/>
              <w:rPr>
                <w:b/>
                <w:sz w:val="18"/>
              </w:rPr>
            </w:pPr>
          </w:p>
          <w:p>
            <w:pPr>
              <w:pStyle w:val="TableParagraph"/>
              <w:ind w:left="66"/>
              <w:rPr>
                <w:sz w:val="18"/>
              </w:rPr>
            </w:pPr>
            <w:r>
              <w:rPr>
                <w:sz w:val="18"/>
              </w:rPr>
              <w:t>Cantidad</w:t>
            </w:r>
            <w:r>
              <w:rPr>
                <w:spacing w:val="-13"/>
                <w:sz w:val="18"/>
              </w:rPr>
              <w:t> </w:t>
            </w:r>
            <w:r>
              <w:rPr>
                <w:sz w:val="18"/>
              </w:rPr>
              <w:t>de </w:t>
            </w:r>
            <w:r>
              <w:rPr>
                <w:spacing w:val="-2"/>
                <w:sz w:val="18"/>
              </w:rPr>
              <w:t>informes presentados</w:t>
            </w:r>
          </w:p>
        </w:tc>
        <w:tc>
          <w:tcPr>
            <w:tcW w:w="1501" w:type="dxa"/>
          </w:tcPr>
          <w:p>
            <w:pPr>
              <w:pStyle w:val="TableParagraph"/>
              <w:rPr>
                <w:b/>
                <w:sz w:val="18"/>
              </w:rPr>
            </w:pPr>
          </w:p>
          <w:p>
            <w:pPr>
              <w:pStyle w:val="TableParagraph"/>
              <w:spacing w:before="200"/>
              <w:rPr>
                <w:b/>
                <w:sz w:val="18"/>
              </w:rPr>
            </w:pPr>
          </w:p>
          <w:p>
            <w:pPr>
              <w:pStyle w:val="TableParagraph"/>
              <w:ind w:left="3" w:right="4"/>
              <w:jc w:val="center"/>
              <w:rPr>
                <w:sz w:val="18"/>
              </w:rPr>
            </w:pPr>
            <w:r>
              <w:rPr>
                <w:spacing w:val="-10"/>
                <w:sz w:val="18"/>
              </w:rPr>
              <w:t>2</w:t>
            </w:r>
          </w:p>
        </w:tc>
        <w:tc>
          <w:tcPr>
            <w:tcW w:w="1085" w:type="dxa"/>
          </w:tcPr>
          <w:p>
            <w:pPr>
              <w:pStyle w:val="TableParagraph"/>
              <w:rPr>
                <w:rFonts w:ascii="Times New Roman"/>
                <w:sz w:val="18"/>
              </w:rPr>
            </w:pPr>
          </w:p>
        </w:tc>
        <w:tc>
          <w:tcPr>
            <w:tcW w:w="1364" w:type="dxa"/>
          </w:tcPr>
          <w:p>
            <w:pPr>
              <w:pStyle w:val="TableParagraph"/>
              <w:rPr>
                <w:b/>
                <w:sz w:val="18"/>
              </w:rPr>
            </w:pPr>
          </w:p>
          <w:p>
            <w:pPr>
              <w:pStyle w:val="TableParagraph"/>
              <w:spacing w:before="200"/>
              <w:rPr>
                <w:b/>
                <w:sz w:val="18"/>
              </w:rPr>
            </w:pPr>
          </w:p>
          <w:p>
            <w:pPr>
              <w:pStyle w:val="TableParagraph"/>
              <w:ind w:left="45" w:right="42"/>
              <w:jc w:val="center"/>
              <w:rPr>
                <w:sz w:val="18"/>
              </w:rPr>
            </w:pPr>
            <w:r>
              <w:rPr>
                <w:spacing w:val="-10"/>
                <w:sz w:val="18"/>
              </w:rPr>
              <w:t>4</w:t>
            </w:r>
          </w:p>
        </w:tc>
        <w:tc>
          <w:tcPr>
            <w:tcW w:w="1090" w:type="dxa"/>
          </w:tcPr>
          <w:p>
            <w:pPr>
              <w:pStyle w:val="TableParagraph"/>
              <w:rPr>
                <w:rFonts w:ascii="Times New Roman"/>
                <w:sz w:val="18"/>
              </w:rPr>
            </w:pPr>
          </w:p>
        </w:tc>
        <w:tc>
          <w:tcPr>
            <w:tcW w:w="1224" w:type="dxa"/>
          </w:tcPr>
          <w:p>
            <w:pPr>
              <w:pStyle w:val="TableParagraph"/>
              <w:rPr>
                <w:b/>
                <w:sz w:val="18"/>
              </w:rPr>
            </w:pPr>
          </w:p>
          <w:p>
            <w:pPr>
              <w:pStyle w:val="TableParagraph"/>
              <w:spacing w:before="200"/>
              <w:rPr>
                <w:b/>
                <w:sz w:val="18"/>
              </w:rPr>
            </w:pPr>
          </w:p>
          <w:p>
            <w:pPr>
              <w:pStyle w:val="TableParagraph"/>
              <w:ind w:left="48" w:right="48"/>
              <w:jc w:val="center"/>
              <w:rPr>
                <w:sz w:val="18"/>
              </w:rPr>
            </w:pPr>
            <w:r>
              <w:rPr>
                <w:spacing w:val="-10"/>
                <w:sz w:val="18"/>
              </w:rPr>
              <w:t>6</w:t>
            </w: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spacing w:before="200"/>
              <w:rPr>
                <w:b/>
                <w:sz w:val="18"/>
              </w:rPr>
            </w:pPr>
          </w:p>
          <w:p>
            <w:pPr>
              <w:pStyle w:val="TableParagraph"/>
              <w:ind w:left="4" w:right="3"/>
              <w:jc w:val="center"/>
              <w:rPr>
                <w:sz w:val="18"/>
              </w:rPr>
            </w:pPr>
            <w:r>
              <w:rPr>
                <w:spacing w:val="-10"/>
                <w:sz w:val="18"/>
              </w:rPr>
              <w:t>8</w:t>
            </w:r>
          </w:p>
        </w:tc>
        <w:tc>
          <w:tcPr>
            <w:tcW w:w="1781"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967" w:left="360" w:right="360"/>
        </w:sect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5"/>
        <w:gridCol w:w="1563"/>
        <w:gridCol w:w="1501"/>
        <w:gridCol w:w="1085"/>
        <w:gridCol w:w="1364"/>
        <w:gridCol w:w="1090"/>
        <w:gridCol w:w="1224"/>
        <w:gridCol w:w="951"/>
        <w:gridCol w:w="1498"/>
        <w:gridCol w:w="1781"/>
      </w:tblGrid>
      <w:tr>
        <w:trPr>
          <w:trHeight w:val="537" w:hRule="atLeast"/>
        </w:trPr>
        <w:tc>
          <w:tcPr>
            <w:tcW w:w="2195" w:type="dxa"/>
            <w:vMerge w:val="restart"/>
            <w:shd w:val="clear" w:color="auto" w:fill="F1F1F1"/>
          </w:tcPr>
          <w:p>
            <w:pPr>
              <w:pStyle w:val="TableParagraph"/>
              <w:spacing w:before="166"/>
              <w:rPr>
                <w:b/>
                <w:sz w:val="18"/>
              </w:rPr>
            </w:pPr>
          </w:p>
          <w:p>
            <w:pPr>
              <w:pStyle w:val="TableParagraph"/>
              <w:ind w:left="67"/>
              <w:rPr>
                <w:b/>
                <w:sz w:val="18"/>
              </w:rPr>
            </w:pPr>
            <w:r>
              <w:rPr>
                <w:b/>
                <w:sz w:val="18"/>
              </w:rPr>
              <w:t>Objetivos</w:t>
            </w:r>
            <w:r>
              <w:rPr>
                <w:b/>
                <w:spacing w:val="-5"/>
                <w:sz w:val="18"/>
              </w:rPr>
              <w:t> </w:t>
            </w:r>
            <w:r>
              <w:rPr>
                <w:b/>
                <w:sz w:val="18"/>
              </w:rPr>
              <w:t>/</w:t>
            </w:r>
            <w:r>
              <w:rPr>
                <w:b/>
                <w:spacing w:val="-2"/>
                <w:sz w:val="18"/>
              </w:rPr>
              <w:t> Resultados</w:t>
            </w:r>
          </w:p>
        </w:tc>
        <w:tc>
          <w:tcPr>
            <w:tcW w:w="1563" w:type="dxa"/>
            <w:vMerge w:val="restart"/>
            <w:shd w:val="clear" w:color="auto" w:fill="F1F1F1"/>
          </w:tcPr>
          <w:p>
            <w:pPr>
              <w:pStyle w:val="TableParagraph"/>
              <w:spacing w:before="166"/>
              <w:rPr>
                <w:b/>
                <w:sz w:val="18"/>
              </w:rPr>
            </w:pPr>
          </w:p>
          <w:p>
            <w:pPr>
              <w:pStyle w:val="TableParagraph"/>
              <w:ind w:left="66"/>
              <w:rPr>
                <w:b/>
                <w:sz w:val="18"/>
              </w:rPr>
            </w:pPr>
            <w:r>
              <w:rPr>
                <w:b/>
                <w:spacing w:val="-2"/>
                <w:sz w:val="18"/>
              </w:rPr>
              <w:t>Indicador</w:t>
            </w:r>
          </w:p>
        </w:tc>
        <w:tc>
          <w:tcPr>
            <w:tcW w:w="2586" w:type="dxa"/>
            <w:gridSpan w:val="2"/>
            <w:shd w:val="clear" w:color="auto" w:fill="F1F1F1"/>
          </w:tcPr>
          <w:p>
            <w:pPr>
              <w:pStyle w:val="TableParagraph"/>
              <w:spacing w:before="162"/>
              <w:ind w:left="822"/>
              <w:rPr>
                <w:b/>
                <w:sz w:val="18"/>
              </w:rPr>
            </w:pPr>
            <w:r>
              <w:rPr>
                <w:b/>
                <w:sz w:val="18"/>
              </w:rPr>
              <w:t>I</w:t>
            </w:r>
            <w:r>
              <w:rPr>
                <w:b/>
                <w:spacing w:val="-1"/>
                <w:sz w:val="18"/>
              </w:rPr>
              <w:t> </w:t>
            </w:r>
            <w:r>
              <w:rPr>
                <w:b/>
                <w:spacing w:val="-2"/>
                <w:sz w:val="18"/>
              </w:rPr>
              <w:t>Trimestre</w:t>
            </w:r>
          </w:p>
        </w:tc>
        <w:tc>
          <w:tcPr>
            <w:tcW w:w="2454" w:type="dxa"/>
            <w:gridSpan w:val="2"/>
            <w:shd w:val="clear" w:color="auto" w:fill="F1F1F1"/>
          </w:tcPr>
          <w:p>
            <w:pPr>
              <w:pStyle w:val="TableParagraph"/>
              <w:spacing w:before="162"/>
              <w:ind w:left="738"/>
              <w:rPr>
                <w:b/>
                <w:sz w:val="18"/>
              </w:rPr>
            </w:pPr>
            <w:r>
              <w:rPr>
                <w:b/>
                <w:sz w:val="18"/>
              </w:rPr>
              <w:t>II</w:t>
            </w:r>
            <w:r>
              <w:rPr>
                <w:b/>
                <w:spacing w:val="-3"/>
                <w:sz w:val="18"/>
              </w:rPr>
              <w:t> </w:t>
            </w:r>
            <w:r>
              <w:rPr>
                <w:b/>
                <w:spacing w:val="-2"/>
                <w:sz w:val="18"/>
              </w:rPr>
              <w:t>Trimestre</w:t>
            </w:r>
          </w:p>
        </w:tc>
        <w:tc>
          <w:tcPr>
            <w:tcW w:w="2175" w:type="dxa"/>
            <w:gridSpan w:val="2"/>
            <w:shd w:val="clear" w:color="auto" w:fill="F1F1F1"/>
          </w:tcPr>
          <w:p>
            <w:pPr>
              <w:pStyle w:val="TableParagraph"/>
              <w:spacing w:before="162"/>
              <w:ind w:left="569"/>
              <w:rPr>
                <w:b/>
                <w:sz w:val="18"/>
              </w:rPr>
            </w:pPr>
            <w:r>
              <w:rPr>
                <w:b/>
                <w:sz w:val="18"/>
              </w:rPr>
              <w:t>III</w:t>
            </w:r>
            <w:r>
              <w:rPr>
                <w:b/>
                <w:spacing w:val="-2"/>
                <w:sz w:val="18"/>
              </w:rPr>
              <w:t> Trimestre</w:t>
            </w:r>
          </w:p>
        </w:tc>
        <w:tc>
          <w:tcPr>
            <w:tcW w:w="3279" w:type="dxa"/>
            <w:gridSpan w:val="2"/>
            <w:shd w:val="clear" w:color="auto" w:fill="F1F1F1"/>
          </w:tcPr>
          <w:p>
            <w:pPr>
              <w:pStyle w:val="TableParagraph"/>
              <w:spacing w:before="162"/>
              <w:ind w:left="1"/>
              <w:jc w:val="center"/>
              <w:rPr>
                <w:b/>
                <w:sz w:val="18"/>
              </w:rPr>
            </w:pPr>
            <w:r>
              <w:rPr>
                <w:b/>
                <w:sz w:val="18"/>
              </w:rPr>
              <w:t>IV</w:t>
            </w:r>
            <w:r>
              <w:rPr>
                <w:b/>
                <w:spacing w:val="-2"/>
                <w:sz w:val="18"/>
              </w:rPr>
              <w:t> Trimestre</w:t>
            </w:r>
          </w:p>
        </w:tc>
      </w:tr>
      <w:tr>
        <w:trPr>
          <w:trHeight w:val="412" w:hRule="atLeast"/>
        </w:trPr>
        <w:tc>
          <w:tcPr>
            <w:tcW w:w="2195" w:type="dxa"/>
            <w:vMerge/>
            <w:tcBorders>
              <w:top w:val="nil"/>
            </w:tcBorders>
            <w:shd w:val="clear" w:color="auto" w:fill="F1F1F1"/>
          </w:tcPr>
          <w:p>
            <w:pPr>
              <w:rPr>
                <w:sz w:val="2"/>
                <w:szCs w:val="2"/>
              </w:rPr>
            </w:pPr>
          </w:p>
        </w:tc>
        <w:tc>
          <w:tcPr>
            <w:tcW w:w="1563" w:type="dxa"/>
            <w:vMerge/>
            <w:tcBorders>
              <w:top w:val="nil"/>
            </w:tcBorders>
            <w:shd w:val="clear" w:color="auto" w:fill="F1F1F1"/>
          </w:tcPr>
          <w:p>
            <w:pPr>
              <w:rPr>
                <w:sz w:val="2"/>
                <w:szCs w:val="2"/>
              </w:rPr>
            </w:pPr>
          </w:p>
        </w:tc>
        <w:tc>
          <w:tcPr>
            <w:tcW w:w="1501" w:type="dxa"/>
            <w:shd w:val="clear" w:color="auto" w:fill="F1F1F1"/>
          </w:tcPr>
          <w:p>
            <w:pPr>
              <w:pStyle w:val="TableParagraph"/>
              <w:spacing w:line="206" w:lineRule="exact"/>
              <w:ind w:left="222" w:firstLine="316"/>
              <w:rPr>
                <w:b/>
                <w:sz w:val="18"/>
              </w:rPr>
            </w:pPr>
            <w:r>
              <w:rPr>
                <w:b/>
                <w:spacing w:val="-4"/>
                <w:sz w:val="18"/>
              </w:rPr>
              <w:t>Meta </w:t>
            </w:r>
            <w:r>
              <w:rPr>
                <w:b/>
                <w:spacing w:val="-2"/>
                <w:sz w:val="18"/>
              </w:rPr>
              <w:t>programada</w:t>
            </w:r>
          </w:p>
        </w:tc>
        <w:tc>
          <w:tcPr>
            <w:tcW w:w="1085" w:type="dxa"/>
            <w:shd w:val="clear" w:color="auto" w:fill="F1F1F1"/>
          </w:tcPr>
          <w:p>
            <w:pPr>
              <w:pStyle w:val="TableParagraph"/>
              <w:spacing w:before="99"/>
              <w:ind w:right="4"/>
              <w:jc w:val="center"/>
              <w:rPr>
                <w:b/>
                <w:sz w:val="18"/>
              </w:rPr>
            </w:pPr>
            <w:r>
              <w:rPr>
                <w:b/>
                <w:spacing w:val="-10"/>
                <w:sz w:val="18"/>
              </w:rPr>
              <w:t>¢</w:t>
            </w:r>
          </w:p>
        </w:tc>
        <w:tc>
          <w:tcPr>
            <w:tcW w:w="1364" w:type="dxa"/>
            <w:shd w:val="clear" w:color="auto" w:fill="F1F1F1"/>
          </w:tcPr>
          <w:p>
            <w:pPr>
              <w:pStyle w:val="TableParagraph"/>
              <w:spacing w:line="206" w:lineRule="exact"/>
              <w:ind w:left="157" w:firstLine="312"/>
              <w:rPr>
                <w:b/>
                <w:sz w:val="18"/>
              </w:rPr>
            </w:pPr>
            <w:r>
              <w:rPr>
                <w:b/>
                <w:spacing w:val="-4"/>
                <w:sz w:val="18"/>
              </w:rPr>
              <w:t>Meta </w:t>
            </w:r>
            <w:r>
              <w:rPr>
                <w:b/>
                <w:spacing w:val="-2"/>
                <w:sz w:val="18"/>
              </w:rPr>
              <w:t>programada</w:t>
            </w:r>
          </w:p>
        </w:tc>
        <w:tc>
          <w:tcPr>
            <w:tcW w:w="1090" w:type="dxa"/>
            <w:shd w:val="clear" w:color="auto" w:fill="F1F1F1"/>
          </w:tcPr>
          <w:p>
            <w:pPr>
              <w:pStyle w:val="TableParagraph"/>
              <w:spacing w:before="99"/>
              <w:jc w:val="center"/>
              <w:rPr>
                <w:b/>
                <w:sz w:val="18"/>
              </w:rPr>
            </w:pPr>
            <w:r>
              <w:rPr>
                <w:b/>
                <w:spacing w:val="-10"/>
                <w:sz w:val="18"/>
              </w:rPr>
              <w:t>¢</w:t>
            </w:r>
          </w:p>
        </w:tc>
        <w:tc>
          <w:tcPr>
            <w:tcW w:w="1224" w:type="dxa"/>
            <w:shd w:val="clear" w:color="auto" w:fill="F1F1F1"/>
          </w:tcPr>
          <w:p>
            <w:pPr>
              <w:pStyle w:val="TableParagraph"/>
              <w:spacing w:line="206" w:lineRule="exact"/>
              <w:ind w:left="84" w:firstLine="316"/>
              <w:rPr>
                <w:b/>
                <w:sz w:val="18"/>
              </w:rPr>
            </w:pPr>
            <w:r>
              <w:rPr>
                <w:b/>
                <w:spacing w:val="-4"/>
                <w:sz w:val="18"/>
              </w:rPr>
              <w:t>Meta </w:t>
            </w:r>
            <w:r>
              <w:rPr>
                <w:b/>
                <w:spacing w:val="-2"/>
                <w:sz w:val="18"/>
              </w:rPr>
              <w:t>programada</w:t>
            </w:r>
          </w:p>
        </w:tc>
        <w:tc>
          <w:tcPr>
            <w:tcW w:w="951" w:type="dxa"/>
            <w:shd w:val="clear" w:color="auto" w:fill="F1F1F1"/>
          </w:tcPr>
          <w:p>
            <w:pPr>
              <w:pStyle w:val="TableParagraph"/>
              <w:spacing w:before="99"/>
              <w:ind w:left="2"/>
              <w:jc w:val="center"/>
              <w:rPr>
                <w:b/>
                <w:sz w:val="18"/>
              </w:rPr>
            </w:pPr>
            <w:r>
              <w:rPr>
                <w:b/>
                <w:spacing w:val="-10"/>
                <w:sz w:val="18"/>
              </w:rPr>
              <w:t>¢</w:t>
            </w:r>
          </w:p>
        </w:tc>
        <w:tc>
          <w:tcPr>
            <w:tcW w:w="1498" w:type="dxa"/>
            <w:shd w:val="clear" w:color="auto" w:fill="F1F1F1"/>
          </w:tcPr>
          <w:p>
            <w:pPr>
              <w:pStyle w:val="TableParagraph"/>
              <w:spacing w:line="206" w:lineRule="exact"/>
              <w:ind w:left="223" w:firstLine="312"/>
              <w:rPr>
                <w:b/>
                <w:sz w:val="18"/>
              </w:rPr>
            </w:pPr>
            <w:r>
              <w:rPr>
                <w:b/>
                <w:spacing w:val="-4"/>
                <w:sz w:val="18"/>
              </w:rPr>
              <w:t>Meta </w:t>
            </w:r>
            <w:r>
              <w:rPr>
                <w:b/>
                <w:spacing w:val="-2"/>
                <w:sz w:val="18"/>
              </w:rPr>
              <w:t>programada</w:t>
            </w:r>
          </w:p>
        </w:tc>
        <w:tc>
          <w:tcPr>
            <w:tcW w:w="1781" w:type="dxa"/>
            <w:shd w:val="clear" w:color="auto" w:fill="F1F1F1"/>
          </w:tcPr>
          <w:p>
            <w:pPr>
              <w:pStyle w:val="TableParagraph"/>
              <w:spacing w:before="99"/>
              <w:ind w:left="11" w:right="11"/>
              <w:jc w:val="center"/>
              <w:rPr>
                <w:b/>
                <w:sz w:val="18"/>
              </w:rPr>
            </w:pPr>
            <w:r>
              <w:rPr>
                <w:b/>
                <w:spacing w:val="-10"/>
                <w:sz w:val="18"/>
              </w:rPr>
              <w:t>¢</w:t>
            </w:r>
          </w:p>
        </w:tc>
      </w:tr>
      <w:tr>
        <w:trPr>
          <w:trHeight w:val="1426" w:hRule="atLeast"/>
        </w:trPr>
        <w:tc>
          <w:tcPr>
            <w:tcW w:w="2195" w:type="dxa"/>
          </w:tcPr>
          <w:p>
            <w:pPr>
              <w:pStyle w:val="TableParagraph"/>
              <w:spacing w:before="195"/>
              <w:rPr>
                <w:b/>
                <w:sz w:val="18"/>
              </w:rPr>
            </w:pPr>
          </w:p>
          <w:p>
            <w:pPr>
              <w:pStyle w:val="TableParagraph"/>
              <w:ind w:left="67" w:right="144"/>
              <w:rPr>
                <w:sz w:val="18"/>
              </w:rPr>
            </w:pPr>
            <w:r>
              <w:rPr>
                <w:b/>
                <w:sz w:val="18"/>
              </w:rPr>
              <w:t>Producto</w:t>
            </w:r>
            <w:r>
              <w:rPr>
                <w:b/>
                <w:spacing w:val="-12"/>
                <w:sz w:val="18"/>
              </w:rPr>
              <w:t> </w:t>
            </w:r>
            <w:r>
              <w:rPr>
                <w:b/>
                <w:sz w:val="18"/>
              </w:rPr>
              <w:t>PAC</w:t>
            </w:r>
            <w:r>
              <w:rPr>
                <w:b/>
                <w:spacing w:val="-13"/>
                <w:sz w:val="18"/>
              </w:rPr>
              <w:t> </w:t>
            </w:r>
            <w:r>
              <w:rPr>
                <w:b/>
                <w:sz w:val="18"/>
              </w:rPr>
              <w:t>2.2.4: </w:t>
            </w:r>
            <w:r>
              <w:rPr>
                <w:sz w:val="18"/>
              </w:rPr>
              <w:t>Dar seguimiento al cumplimiento</w:t>
            </w:r>
            <w:r>
              <w:rPr>
                <w:spacing w:val="-15"/>
                <w:sz w:val="18"/>
              </w:rPr>
              <w:t> </w:t>
            </w:r>
            <w:r>
              <w:rPr>
                <w:sz w:val="18"/>
              </w:rPr>
              <w:t>del</w:t>
            </w:r>
            <w:r>
              <w:rPr>
                <w:spacing w:val="-12"/>
                <w:sz w:val="18"/>
              </w:rPr>
              <w:t> </w:t>
            </w:r>
            <w:r>
              <w:rPr>
                <w:sz w:val="18"/>
              </w:rPr>
              <w:t>PEI.</w:t>
            </w:r>
          </w:p>
        </w:tc>
        <w:tc>
          <w:tcPr>
            <w:tcW w:w="1563" w:type="dxa"/>
          </w:tcPr>
          <w:p>
            <w:pPr>
              <w:pStyle w:val="TableParagraph"/>
              <w:spacing w:before="90"/>
              <w:rPr>
                <w:b/>
                <w:sz w:val="18"/>
              </w:rPr>
            </w:pPr>
          </w:p>
          <w:p>
            <w:pPr>
              <w:pStyle w:val="TableParagraph"/>
              <w:ind w:left="66"/>
              <w:rPr>
                <w:sz w:val="18"/>
              </w:rPr>
            </w:pPr>
            <w:r>
              <w:rPr>
                <w:sz w:val="18"/>
              </w:rPr>
              <w:t>Cantidad de reuniones</w:t>
            </w:r>
            <w:r>
              <w:rPr>
                <w:spacing w:val="-13"/>
                <w:sz w:val="18"/>
              </w:rPr>
              <w:t> </w:t>
            </w:r>
            <w:r>
              <w:rPr>
                <w:sz w:val="18"/>
              </w:rPr>
              <w:t>de </w:t>
            </w:r>
            <w:r>
              <w:rPr>
                <w:spacing w:val="-2"/>
                <w:sz w:val="18"/>
              </w:rPr>
              <w:t>seguimiento realizadas</w:t>
            </w:r>
          </w:p>
        </w:tc>
        <w:tc>
          <w:tcPr>
            <w:tcW w:w="1501" w:type="dxa"/>
          </w:tcPr>
          <w:p>
            <w:pPr>
              <w:pStyle w:val="TableParagraph"/>
              <w:rPr>
                <w:b/>
                <w:sz w:val="18"/>
              </w:rPr>
            </w:pPr>
          </w:p>
          <w:p>
            <w:pPr>
              <w:pStyle w:val="TableParagraph"/>
              <w:spacing w:before="195"/>
              <w:rPr>
                <w:b/>
                <w:sz w:val="18"/>
              </w:rPr>
            </w:pPr>
          </w:p>
          <w:p>
            <w:pPr>
              <w:pStyle w:val="TableParagraph"/>
              <w:ind w:left="3" w:right="4"/>
              <w:jc w:val="center"/>
              <w:rPr>
                <w:sz w:val="18"/>
              </w:rPr>
            </w:pPr>
            <w:r>
              <w:rPr>
                <w:spacing w:val="-10"/>
                <w:sz w:val="18"/>
              </w:rPr>
              <w:t>2</w:t>
            </w:r>
          </w:p>
        </w:tc>
        <w:tc>
          <w:tcPr>
            <w:tcW w:w="1085" w:type="dxa"/>
          </w:tcPr>
          <w:p>
            <w:pPr>
              <w:pStyle w:val="TableParagraph"/>
              <w:rPr>
                <w:rFonts w:ascii="Times New Roman"/>
                <w:sz w:val="18"/>
              </w:rPr>
            </w:pPr>
          </w:p>
        </w:tc>
        <w:tc>
          <w:tcPr>
            <w:tcW w:w="1364" w:type="dxa"/>
          </w:tcPr>
          <w:p>
            <w:pPr>
              <w:pStyle w:val="TableParagraph"/>
              <w:rPr>
                <w:b/>
                <w:sz w:val="18"/>
              </w:rPr>
            </w:pPr>
          </w:p>
          <w:p>
            <w:pPr>
              <w:pStyle w:val="TableParagraph"/>
              <w:spacing w:before="195"/>
              <w:rPr>
                <w:b/>
                <w:sz w:val="18"/>
              </w:rPr>
            </w:pPr>
          </w:p>
          <w:p>
            <w:pPr>
              <w:pStyle w:val="TableParagraph"/>
              <w:ind w:left="45" w:right="42"/>
              <w:jc w:val="center"/>
              <w:rPr>
                <w:sz w:val="18"/>
              </w:rPr>
            </w:pPr>
            <w:r>
              <w:rPr>
                <w:spacing w:val="-10"/>
                <w:sz w:val="18"/>
              </w:rPr>
              <w:t>4</w:t>
            </w:r>
          </w:p>
        </w:tc>
        <w:tc>
          <w:tcPr>
            <w:tcW w:w="1090" w:type="dxa"/>
          </w:tcPr>
          <w:p>
            <w:pPr>
              <w:pStyle w:val="TableParagraph"/>
              <w:rPr>
                <w:rFonts w:ascii="Times New Roman"/>
                <w:sz w:val="18"/>
              </w:rPr>
            </w:pPr>
          </w:p>
        </w:tc>
        <w:tc>
          <w:tcPr>
            <w:tcW w:w="1224" w:type="dxa"/>
          </w:tcPr>
          <w:p>
            <w:pPr>
              <w:pStyle w:val="TableParagraph"/>
              <w:rPr>
                <w:b/>
                <w:sz w:val="18"/>
              </w:rPr>
            </w:pPr>
          </w:p>
          <w:p>
            <w:pPr>
              <w:pStyle w:val="TableParagraph"/>
              <w:spacing w:before="195"/>
              <w:rPr>
                <w:b/>
                <w:sz w:val="18"/>
              </w:rPr>
            </w:pPr>
          </w:p>
          <w:p>
            <w:pPr>
              <w:pStyle w:val="TableParagraph"/>
              <w:ind w:left="48" w:right="48"/>
              <w:jc w:val="center"/>
              <w:rPr>
                <w:sz w:val="18"/>
              </w:rPr>
            </w:pPr>
            <w:r>
              <w:rPr>
                <w:spacing w:val="-10"/>
                <w:sz w:val="18"/>
              </w:rPr>
              <w:t>6</w:t>
            </w: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spacing w:before="195"/>
              <w:rPr>
                <w:b/>
                <w:sz w:val="18"/>
              </w:rPr>
            </w:pPr>
          </w:p>
          <w:p>
            <w:pPr>
              <w:pStyle w:val="TableParagraph"/>
              <w:ind w:left="4" w:right="3"/>
              <w:jc w:val="center"/>
              <w:rPr>
                <w:sz w:val="18"/>
              </w:rPr>
            </w:pPr>
            <w:r>
              <w:rPr>
                <w:spacing w:val="-10"/>
                <w:sz w:val="18"/>
              </w:rPr>
              <w:t>8</w:t>
            </w:r>
          </w:p>
        </w:tc>
        <w:tc>
          <w:tcPr>
            <w:tcW w:w="1781" w:type="dxa"/>
          </w:tcPr>
          <w:p>
            <w:pPr>
              <w:pStyle w:val="TableParagraph"/>
              <w:rPr>
                <w:rFonts w:ascii="Times New Roman"/>
                <w:sz w:val="18"/>
              </w:rPr>
            </w:pPr>
          </w:p>
        </w:tc>
      </w:tr>
      <w:tr>
        <w:trPr>
          <w:trHeight w:val="1425" w:hRule="atLeast"/>
        </w:trPr>
        <w:tc>
          <w:tcPr>
            <w:tcW w:w="2195" w:type="dxa"/>
          </w:tcPr>
          <w:p>
            <w:pPr>
              <w:pStyle w:val="TableParagraph"/>
              <w:spacing w:before="195"/>
              <w:rPr>
                <w:b/>
                <w:sz w:val="18"/>
              </w:rPr>
            </w:pPr>
          </w:p>
          <w:p>
            <w:pPr>
              <w:pStyle w:val="TableParagraph"/>
              <w:ind w:left="67"/>
              <w:rPr>
                <w:sz w:val="18"/>
              </w:rPr>
            </w:pPr>
            <w:r>
              <w:rPr>
                <w:b/>
                <w:sz w:val="18"/>
              </w:rPr>
              <w:t>Producto PAC 2.2.5: </w:t>
            </w:r>
            <w:r>
              <w:rPr>
                <w:sz w:val="18"/>
              </w:rPr>
              <w:t>Sesiones</w:t>
            </w:r>
            <w:r>
              <w:rPr>
                <w:spacing w:val="-15"/>
                <w:sz w:val="18"/>
              </w:rPr>
              <w:t> </w:t>
            </w:r>
            <w:r>
              <w:rPr>
                <w:sz w:val="18"/>
              </w:rPr>
              <w:t>de</w:t>
            </w:r>
            <w:r>
              <w:rPr>
                <w:spacing w:val="-12"/>
                <w:sz w:val="18"/>
              </w:rPr>
              <w:t> </w:t>
            </w:r>
            <w:r>
              <w:rPr>
                <w:sz w:val="18"/>
              </w:rPr>
              <w:t>seguimiento del equipo de GpRD</w:t>
            </w:r>
          </w:p>
        </w:tc>
        <w:tc>
          <w:tcPr>
            <w:tcW w:w="1563" w:type="dxa"/>
          </w:tcPr>
          <w:p>
            <w:pPr>
              <w:pStyle w:val="TableParagraph"/>
              <w:spacing w:before="195"/>
              <w:rPr>
                <w:b/>
                <w:sz w:val="18"/>
              </w:rPr>
            </w:pPr>
          </w:p>
          <w:p>
            <w:pPr>
              <w:pStyle w:val="TableParagraph"/>
              <w:ind w:left="66"/>
              <w:rPr>
                <w:sz w:val="18"/>
              </w:rPr>
            </w:pPr>
            <w:r>
              <w:rPr>
                <w:sz w:val="18"/>
              </w:rPr>
              <w:t>Cantidad de reuniones</w:t>
            </w:r>
            <w:r>
              <w:rPr>
                <w:spacing w:val="-13"/>
                <w:sz w:val="18"/>
              </w:rPr>
              <w:t> </w:t>
            </w:r>
            <w:r>
              <w:rPr>
                <w:sz w:val="18"/>
              </w:rPr>
              <w:t>de </w:t>
            </w:r>
            <w:r>
              <w:rPr>
                <w:spacing w:val="-2"/>
                <w:sz w:val="18"/>
              </w:rPr>
              <w:t>realizadas</w:t>
            </w:r>
          </w:p>
        </w:tc>
        <w:tc>
          <w:tcPr>
            <w:tcW w:w="1501" w:type="dxa"/>
          </w:tcPr>
          <w:p>
            <w:pPr>
              <w:pStyle w:val="TableParagraph"/>
              <w:rPr>
                <w:rFonts w:ascii="Times New Roman"/>
                <w:sz w:val="18"/>
              </w:rPr>
            </w:pPr>
          </w:p>
        </w:tc>
        <w:tc>
          <w:tcPr>
            <w:tcW w:w="1085" w:type="dxa"/>
          </w:tcPr>
          <w:p>
            <w:pPr>
              <w:pStyle w:val="TableParagraph"/>
              <w:rPr>
                <w:rFonts w:ascii="Times New Roman"/>
                <w:sz w:val="18"/>
              </w:rPr>
            </w:pPr>
          </w:p>
        </w:tc>
        <w:tc>
          <w:tcPr>
            <w:tcW w:w="1364" w:type="dxa"/>
          </w:tcPr>
          <w:p>
            <w:pPr>
              <w:pStyle w:val="TableParagraph"/>
              <w:rPr>
                <w:b/>
                <w:sz w:val="18"/>
              </w:rPr>
            </w:pPr>
          </w:p>
          <w:p>
            <w:pPr>
              <w:pStyle w:val="TableParagraph"/>
              <w:spacing w:before="194"/>
              <w:rPr>
                <w:b/>
                <w:sz w:val="18"/>
              </w:rPr>
            </w:pPr>
          </w:p>
          <w:p>
            <w:pPr>
              <w:pStyle w:val="TableParagraph"/>
              <w:ind w:left="45" w:right="42"/>
              <w:jc w:val="center"/>
              <w:rPr>
                <w:sz w:val="18"/>
              </w:rPr>
            </w:pPr>
            <w:r>
              <w:rPr>
                <w:spacing w:val="-10"/>
                <w:sz w:val="18"/>
              </w:rPr>
              <w:t>1</w:t>
            </w:r>
          </w:p>
        </w:tc>
        <w:tc>
          <w:tcPr>
            <w:tcW w:w="1090" w:type="dxa"/>
          </w:tcPr>
          <w:p>
            <w:pPr>
              <w:pStyle w:val="TableParagraph"/>
              <w:rPr>
                <w:rFonts w:ascii="Times New Roman"/>
                <w:sz w:val="18"/>
              </w:rPr>
            </w:pPr>
          </w:p>
        </w:tc>
        <w:tc>
          <w:tcPr>
            <w:tcW w:w="1224" w:type="dxa"/>
          </w:tcPr>
          <w:p>
            <w:pPr>
              <w:pStyle w:val="TableParagraph"/>
              <w:rPr>
                <w:rFonts w:ascii="Times New Roman"/>
                <w:sz w:val="18"/>
              </w:rPr>
            </w:pP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spacing w:before="194"/>
              <w:rPr>
                <w:b/>
                <w:sz w:val="18"/>
              </w:rPr>
            </w:pPr>
          </w:p>
          <w:p>
            <w:pPr>
              <w:pStyle w:val="TableParagraph"/>
              <w:ind w:left="4" w:right="3"/>
              <w:jc w:val="center"/>
              <w:rPr>
                <w:sz w:val="18"/>
              </w:rPr>
            </w:pPr>
            <w:r>
              <w:rPr>
                <w:spacing w:val="-10"/>
                <w:sz w:val="18"/>
              </w:rPr>
              <w:t>2</w:t>
            </w:r>
          </w:p>
        </w:tc>
        <w:tc>
          <w:tcPr>
            <w:tcW w:w="1781" w:type="dxa"/>
          </w:tcPr>
          <w:p>
            <w:pPr>
              <w:pStyle w:val="TableParagraph"/>
              <w:rPr>
                <w:rFonts w:ascii="Times New Roman"/>
                <w:sz w:val="18"/>
              </w:rPr>
            </w:pPr>
          </w:p>
        </w:tc>
      </w:tr>
      <w:tr>
        <w:trPr>
          <w:trHeight w:val="1425" w:hRule="atLeast"/>
        </w:trPr>
        <w:tc>
          <w:tcPr>
            <w:tcW w:w="2195" w:type="dxa"/>
          </w:tcPr>
          <w:p>
            <w:pPr>
              <w:pStyle w:val="TableParagraph"/>
              <w:spacing w:before="195"/>
              <w:ind w:left="67"/>
              <w:rPr>
                <w:sz w:val="18"/>
              </w:rPr>
            </w:pPr>
            <w:r>
              <w:rPr>
                <w:b/>
                <w:sz w:val="18"/>
              </w:rPr>
              <w:t>Producto PAC 2.2.6: </w:t>
            </w:r>
            <w:r>
              <w:rPr>
                <w:sz w:val="18"/>
              </w:rPr>
              <w:t>Presentación</w:t>
            </w:r>
            <w:r>
              <w:rPr>
                <w:spacing w:val="-15"/>
                <w:sz w:val="18"/>
              </w:rPr>
              <w:t> </w:t>
            </w:r>
            <w:r>
              <w:rPr>
                <w:sz w:val="18"/>
              </w:rPr>
              <w:t>al</w:t>
            </w:r>
            <w:r>
              <w:rPr>
                <w:spacing w:val="-12"/>
                <w:sz w:val="18"/>
              </w:rPr>
              <w:t> </w:t>
            </w:r>
            <w:r>
              <w:rPr>
                <w:sz w:val="18"/>
              </w:rPr>
              <w:t>Equipo GpRD</w:t>
            </w:r>
            <w:r>
              <w:rPr>
                <w:spacing w:val="-13"/>
                <w:sz w:val="18"/>
              </w:rPr>
              <w:t> </w:t>
            </w:r>
            <w:r>
              <w:rPr>
                <w:sz w:val="18"/>
              </w:rPr>
              <w:t>y</w:t>
            </w:r>
            <w:r>
              <w:rPr>
                <w:spacing w:val="-9"/>
                <w:sz w:val="18"/>
              </w:rPr>
              <w:t> </w:t>
            </w:r>
            <w:r>
              <w:rPr>
                <w:sz w:val="18"/>
              </w:rPr>
              <w:t>Aprobación</w:t>
            </w:r>
            <w:r>
              <w:rPr>
                <w:spacing w:val="-9"/>
                <w:sz w:val="18"/>
              </w:rPr>
              <w:t> </w:t>
            </w:r>
            <w:r>
              <w:rPr>
                <w:sz w:val="18"/>
              </w:rPr>
              <w:t>de informes anuales Estrategia</w:t>
            </w:r>
            <w:r>
              <w:rPr>
                <w:spacing w:val="-7"/>
                <w:sz w:val="18"/>
              </w:rPr>
              <w:t> </w:t>
            </w:r>
            <w:r>
              <w:rPr>
                <w:sz w:val="18"/>
              </w:rPr>
              <w:t>GpRD</w:t>
            </w:r>
          </w:p>
        </w:tc>
        <w:tc>
          <w:tcPr>
            <w:tcW w:w="1563" w:type="dxa"/>
          </w:tcPr>
          <w:p>
            <w:pPr>
              <w:pStyle w:val="TableParagraph"/>
              <w:spacing w:before="89"/>
              <w:rPr>
                <w:b/>
                <w:sz w:val="18"/>
              </w:rPr>
            </w:pPr>
          </w:p>
          <w:p>
            <w:pPr>
              <w:pStyle w:val="TableParagraph"/>
              <w:ind w:left="66"/>
              <w:rPr>
                <w:sz w:val="18"/>
              </w:rPr>
            </w:pPr>
            <w:r>
              <w:rPr>
                <w:sz w:val="18"/>
              </w:rPr>
              <w:t>Cantidad de </w:t>
            </w:r>
            <w:r>
              <w:rPr>
                <w:spacing w:val="-2"/>
                <w:sz w:val="18"/>
              </w:rPr>
              <w:t>informes </w:t>
            </w:r>
            <w:r>
              <w:rPr>
                <w:sz w:val="18"/>
              </w:rPr>
              <w:t>aprobados</w:t>
            </w:r>
            <w:r>
              <w:rPr>
                <w:spacing w:val="-15"/>
                <w:sz w:val="18"/>
              </w:rPr>
              <w:t> </w:t>
            </w:r>
            <w:r>
              <w:rPr>
                <w:sz w:val="18"/>
              </w:rPr>
              <w:t>por</w:t>
            </w:r>
            <w:r>
              <w:rPr>
                <w:spacing w:val="-12"/>
                <w:sz w:val="18"/>
              </w:rPr>
              <w:t> </w:t>
            </w:r>
            <w:r>
              <w:rPr>
                <w:sz w:val="18"/>
              </w:rPr>
              <w:t>la Gerente</w:t>
            </w:r>
            <w:r>
              <w:rPr>
                <w:spacing w:val="-6"/>
                <w:sz w:val="18"/>
              </w:rPr>
              <w:t> </w:t>
            </w:r>
            <w:r>
              <w:rPr>
                <w:spacing w:val="-2"/>
                <w:sz w:val="18"/>
              </w:rPr>
              <w:t>General</w:t>
            </w:r>
          </w:p>
        </w:tc>
        <w:tc>
          <w:tcPr>
            <w:tcW w:w="1501" w:type="dxa"/>
          </w:tcPr>
          <w:p>
            <w:pPr>
              <w:pStyle w:val="TableParagraph"/>
              <w:rPr>
                <w:rFonts w:ascii="Times New Roman"/>
                <w:sz w:val="18"/>
              </w:rPr>
            </w:pPr>
          </w:p>
        </w:tc>
        <w:tc>
          <w:tcPr>
            <w:tcW w:w="1085" w:type="dxa"/>
          </w:tcPr>
          <w:p>
            <w:pPr>
              <w:pStyle w:val="TableParagraph"/>
              <w:rPr>
                <w:rFonts w:ascii="Times New Roman"/>
                <w:sz w:val="18"/>
              </w:rPr>
            </w:pPr>
          </w:p>
        </w:tc>
        <w:tc>
          <w:tcPr>
            <w:tcW w:w="1364" w:type="dxa"/>
          </w:tcPr>
          <w:p>
            <w:pPr>
              <w:pStyle w:val="TableParagraph"/>
              <w:rPr>
                <w:b/>
                <w:sz w:val="18"/>
              </w:rPr>
            </w:pPr>
          </w:p>
          <w:p>
            <w:pPr>
              <w:pStyle w:val="TableParagraph"/>
              <w:spacing w:before="194"/>
              <w:rPr>
                <w:b/>
                <w:sz w:val="18"/>
              </w:rPr>
            </w:pPr>
          </w:p>
          <w:p>
            <w:pPr>
              <w:pStyle w:val="TableParagraph"/>
              <w:ind w:left="13" w:right="55"/>
              <w:jc w:val="center"/>
              <w:rPr>
                <w:sz w:val="18"/>
              </w:rPr>
            </w:pPr>
            <w:r>
              <w:rPr>
                <w:spacing w:val="-10"/>
                <w:sz w:val="18"/>
              </w:rPr>
              <w:t>1</w:t>
            </w:r>
          </w:p>
        </w:tc>
        <w:tc>
          <w:tcPr>
            <w:tcW w:w="1090" w:type="dxa"/>
          </w:tcPr>
          <w:p>
            <w:pPr>
              <w:pStyle w:val="TableParagraph"/>
              <w:rPr>
                <w:rFonts w:ascii="Times New Roman"/>
                <w:sz w:val="18"/>
              </w:rPr>
            </w:pPr>
          </w:p>
        </w:tc>
        <w:tc>
          <w:tcPr>
            <w:tcW w:w="1224" w:type="dxa"/>
          </w:tcPr>
          <w:p>
            <w:pPr>
              <w:pStyle w:val="TableParagraph"/>
              <w:rPr>
                <w:rFonts w:ascii="Times New Roman"/>
                <w:sz w:val="18"/>
              </w:rPr>
            </w:pPr>
          </w:p>
        </w:tc>
        <w:tc>
          <w:tcPr>
            <w:tcW w:w="951" w:type="dxa"/>
          </w:tcPr>
          <w:p>
            <w:pPr>
              <w:pStyle w:val="TableParagraph"/>
              <w:rPr>
                <w:rFonts w:ascii="Times New Roman"/>
                <w:sz w:val="18"/>
              </w:rPr>
            </w:pPr>
          </w:p>
        </w:tc>
        <w:tc>
          <w:tcPr>
            <w:tcW w:w="1498" w:type="dxa"/>
          </w:tcPr>
          <w:p>
            <w:pPr>
              <w:pStyle w:val="TableParagraph"/>
              <w:rPr>
                <w:rFonts w:ascii="Times New Roman"/>
                <w:sz w:val="18"/>
              </w:rPr>
            </w:pPr>
          </w:p>
        </w:tc>
        <w:tc>
          <w:tcPr>
            <w:tcW w:w="1781" w:type="dxa"/>
          </w:tcPr>
          <w:p>
            <w:pPr>
              <w:pStyle w:val="TableParagraph"/>
              <w:rPr>
                <w:rFonts w:ascii="Times New Roman"/>
                <w:sz w:val="18"/>
              </w:rPr>
            </w:pPr>
          </w:p>
        </w:tc>
      </w:tr>
      <w:tr>
        <w:trPr>
          <w:trHeight w:val="1425" w:hRule="atLeast"/>
        </w:trPr>
        <w:tc>
          <w:tcPr>
            <w:tcW w:w="2195" w:type="dxa"/>
          </w:tcPr>
          <w:p>
            <w:pPr>
              <w:pStyle w:val="TableParagraph"/>
              <w:spacing w:before="191"/>
              <w:ind w:left="67"/>
              <w:rPr>
                <w:sz w:val="18"/>
              </w:rPr>
            </w:pPr>
            <w:r>
              <w:rPr>
                <w:b/>
                <w:sz w:val="18"/>
              </w:rPr>
              <w:t>Producto PAC 2.2.7: </w:t>
            </w:r>
            <w:r>
              <w:rPr>
                <w:sz w:val="18"/>
              </w:rPr>
              <w:t>Solicitud de acciones a unidades</w:t>
            </w:r>
            <w:r>
              <w:rPr>
                <w:spacing w:val="-11"/>
                <w:sz w:val="18"/>
              </w:rPr>
              <w:t> </w:t>
            </w:r>
            <w:r>
              <w:rPr>
                <w:sz w:val="18"/>
              </w:rPr>
              <w:t>del</w:t>
            </w:r>
            <w:r>
              <w:rPr>
                <w:spacing w:val="-9"/>
                <w:sz w:val="18"/>
              </w:rPr>
              <w:t> </w:t>
            </w:r>
            <w:r>
              <w:rPr>
                <w:sz w:val="18"/>
              </w:rPr>
              <w:t>Equipo</w:t>
            </w:r>
            <w:r>
              <w:rPr>
                <w:spacing w:val="-11"/>
                <w:sz w:val="18"/>
              </w:rPr>
              <w:t> </w:t>
            </w:r>
            <w:r>
              <w:rPr>
                <w:sz w:val="18"/>
              </w:rPr>
              <w:t>con atrasos en el plan de acción GpRD</w:t>
            </w:r>
          </w:p>
        </w:tc>
        <w:tc>
          <w:tcPr>
            <w:tcW w:w="1563" w:type="dxa"/>
          </w:tcPr>
          <w:p>
            <w:pPr>
              <w:pStyle w:val="TableParagraph"/>
              <w:spacing w:before="195"/>
              <w:rPr>
                <w:b/>
                <w:sz w:val="18"/>
              </w:rPr>
            </w:pPr>
          </w:p>
          <w:p>
            <w:pPr>
              <w:pStyle w:val="TableParagraph"/>
              <w:ind w:left="66"/>
              <w:rPr>
                <w:sz w:val="18"/>
              </w:rPr>
            </w:pPr>
            <w:r>
              <w:rPr>
                <w:sz w:val="18"/>
              </w:rPr>
              <w:t>Cantidad de reuniones</w:t>
            </w:r>
            <w:r>
              <w:rPr>
                <w:spacing w:val="-13"/>
                <w:sz w:val="18"/>
              </w:rPr>
              <w:t> </w:t>
            </w:r>
            <w:r>
              <w:rPr>
                <w:sz w:val="18"/>
              </w:rPr>
              <w:t>de </w:t>
            </w:r>
            <w:r>
              <w:rPr>
                <w:spacing w:val="-2"/>
                <w:sz w:val="18"/>
              </w:rPr>
              <w:t>realizadas</w:t>
            </w:r>
          </w:p>
        </w:tc>
        <w:tc>
          <w:tcPr>
            <w:tcW w:w="1501" w:type="dxa"/>
          </w:tcPr>
          <w:p>
            <w:pPr>
              <w:pStyle w:val="TableParagraph"/>
              <w:rPr>
                <w:rFonts w:ascii="Times New Roman"/>
                <w:sz w:val="18"/>
              </w:rPr>
            </w:pPr>
          </w:p>
        </w:tc>
        <w:tc>
          <w:tcPr>
            <w:tcW w:w="1085" w:type="dxa"/>
          </w:tcPr>
          <w:p>
            <w:pPr>
              <w:pStyle w:val="TableParagraph"/>
              <w:rPr>
                <w:rFonts w:ascii="Times New Roman"/>
                <w:sz w:val="18"/>
              </w:rPr>
            </w:pPr>
          </w:p>
        </w:tc>
        <w:tc>
          <w:tcPr>
            <w:tcW w:w="1364" w:type="dxa"/>
          </w:tcPr>
          <w:p>
            <w:pPr>
              <w:pStyle w:val="TableParagraph"/>
              <w:rPr>
                <w:rFonts w:ascii="Times New Roman"/>
                <w:sz w:val="18"/>
              </w:rPr>
            </w:pPr>
          </w:p>
        </w:tc>
        <w:tc>
          <w:tcPr>
            <w:tcW w:w="1090" w:type="dxa"/>
          </w:tcPr>
          <w:p>
            <w:pPr>
              <w:pStyle w:val="TableParagraph"/>
              <w:rPr>
                <w:rFonts w:ascii="Times New Roman"/>
                <w:sz w:val="18"/>
              </w:rPr>
            </w:pPr>
          </w:p>
        </w:tc>
        <w:tc>
          <w:tcPr>
            <w:tcW w:w="1224" w:type="dxa"/>
          </w:tcPr>
          <w:p>
            <w:pPr>
              <w:pStyle w:val="TableParagraph"/>
              <w:rPr>
                <w:b/>
                <w:sz w:val="18"/>
              </w:rPr>
            </w:pPr>
          </w:p>
          <w:p>
            <w:pPr>
              <w:pStyle w:val="TableParagraph"/>
              <w:spacing w:before="195"/>
              <w:rPr>
                <w:b/>
                <w:sz w:val="18"/>
              </w:rPr>
            </w:pPr>
          </w:p>
          <w:p>
            <w:pPr>
              <w:pStyle w:val="TableParagraph"/>
              <w:ind w:left="4" w:right="52"/>
              <w:jc w:val="center"/>
              <w:rPr>
                <w:sz w:val="18"/>
              </w:rPr>
            </w:pPr>
            <w:r>
              <w:rPr>
                <w:spacing w:val="-10"/>
                <w:sz w:val="18"/>
              </w:rPr>
              <w:t>1</w:t>
            </w:r>
          </w:p>
        </w:tc>
        <w:tc>
          <w:tcPr>
            <w:tcW w:w="951" w:type="dxa"/>
          </w:tcPr>
          <w:p>
            <w:pPr>
              <w:pStyle w:val="TableParagraph"/>
              <w:rPr>
                <w:rFonts w:ascii="Times New Roman"/>
                <w:sz w:val="18"/>
              </w:rPr>
            </w:pPr>
          </w:p>
        </w:tc>
        <w:tc>
          <w:tcPr>
            <w:tcW w:w="1498" w:type="dxa"/>
          </w:tcPr>
          <w:p>
            <w:pPr>
              <w:pStyle w:val="TableParagraph"/>
              <w:rPr>
                <w:rFonts w:ascii="Times New Roman"/>
                <w:sz w:val="18"/>
              </w:rPr>
            </w:pPr>
          </w:p>
        </w:tc>
        <w:tc>
          <w:tcPr>
            <w:tcW w:w="1781" w:type="dxa"/>
          </w:tcPr>
          <w:p>
            <w:pPr>
              <w:pStyle w:val="TableParagraph"/>
              <w:rPr>
                <w:rFonts w:ascii="Times New Roman"/>
                <w:sz w:val="18"/>
              </w:rPr>
            </w:pPr>
          </w:p>
        </w:tc>
      </w:tr>
      <w:tr>
        <w:trPr>
          <w:trHeight w:val="1425" w:hRule="atLeast"/>
        </w:trPr>
        <w:tc>
          <w:tcPr>
            <w:tcW w:w="2195" w:type="dxa"/>
          </w:tcPr>
          <w:p>
            <w:pPr>
              <w:pStyle w:val="TableParagraph"/>
              <w:spacing w:before="191"/>
              <w:ind w:left="67" w:right="76"/>
              <w:rPr>
                <w:sz w:val="18"/>
              </w:rPr>
            </w:pPr>
            <w:r>
              <w:rPr>
                <w:b/>
                <w:sz w:val="18"/>
              </w:rPr>
              <w:t>Actividad PAC 2.8: </w:t>
            </w:r>
            <w:r>
              <w:rPr>
                <w:sz w:val="18"/>
              </w:rPr>
              <w:t>Análisis de informes con actores responsables de las</w:t>
            </w:r>
            <w:r>
              <w:rPr>
                <w:spacing w:val="-15"/>
                <w:sz w:val="18"/>
              </w:rPr>
              <w:t> </w:t>
            </w:r>
            <w:r>
              <w:rPr>
                <w:sz w:val="18"/>
              </w:rPr>
              <w:t>procesos</w:t>
            </w:r>
            <w:r>
              <w:rPr>
                <w:spacing w:val="-12"/>
                <w:sz w:val="18"/>
              </w:rPr>
              <w:t> </w:t>
            </w:r>
            <w:r>
              <w:rPr>
                <w:sz w:val="18"/>
              </w:rPr>
              <w:t>estratégicos y operativos. GpRD</w:t>
            </w:r>
          </w:p>
        </w:tc>
        <w:tc>
          <w:tcPr>
            <w:tcW w:w="1563" w:type="dxa"/>
          </w:tcPr>
          <w:p>
            <w:pPr>
              <w:pStyle w:val="TableParagraph"/>
              <w:spacing w:before="195"/>
              <w:rPr>
                <w:b/>
                <w:sz w:val="18"/>
              </w:rPr>
            </w:pPr>
          </w:p>
          <w:p>
            <w:pPr>
              <w:pStyle w:val="TableParagraph"/>
              <w:ind w:left="66"/>
              <w:rPr>
                <w:sz w:val="18"/>
              </w:rPr>
            </w:pPr>
            <w:r>
              <w:rPr>
                <w:sz w:val="18"/>
              </w:rPr>
              <w:t>Número de sesiones</w:t>
            </w:r>
            <w:r>
              <w:rPr>
                <w:spacing w:val="-13"/>
                <w:sz w:val="18"/>
              </w:rPr>
              <w:t> </w:t>
            </w:r>
            <w:r>
              <w:rPr>
                <w:sz w:val="18"/>
              </w:rPr>
              <w:t>de </w:t>
            </w:r>
            <w:r>
              <w:rPr>
                <w:spacing w:val="-2"/>
                <w:sz w:val="18"/>
              </w:rPr>
              <w:t>análisis</w:t>
            </w:r>
          </w:p>
        </w:tc>
        <w:tc>
          <w:tcPr>
            <w:tcW w:w="1501" w:type="dxa"/>
          </w:tcPr>
          <w:p>
            <w:pPr>
              <w:pStyle w:val="TableParagraph"/>
              <w:rPr>
                <w:b/>
                <w:sz w:val="18"/>
              </w:rPr>
            </w:pPr>
          </w:p>
          <w:p>
            <w:pPr>
              <w:pStyle w:val="TableParagraph"/>
              <w:spacing w:before="195"/>
              <w:rPr>
                <w:b/>
                <w:sz w:val="18"/>
              </w:rPr>
            </w:pPr>
          </w:p>
          <w:p>
            <w:pPr>
              <w:pStyle w:val="TableParagraph"/>
              <w:ind w:left="3" w:right="4"/>
              <w:jc w:val="center"/>
              <w:rPr>
                <w:sz w:val="18"/>
              </w:rPr>
            </w:pPr>
            <w:r>
              <w:rPr>
                <w:spacing w:val="-10"/>
                <w:sz w:val="18"/>
              </w:rPr>
              <w:t>1</w:t>
            </w:r>
          </w:p>
        </w:tc>
        <w:tc>
          <w:tcPr>
            <w:tcW w:w="1085" w:type="dxa"/>
          </w:tcPr>
          <w:p>
            <w:pPr>
              <w:pStyle w:val="TableParagraph"/>
              <w:rPr>
                <w:rFonts w:ascii="Times New Roman"/>
                <w:sz w:val="18"/>
              </w:rPr>
            </w:pPr>
          </w:p>
        </w:tc>
        <w:tc>
          <w:tcPr>
            <w:tcW w:w="1364" w:type="dxa"/>
          </w:tcPr>
          <w:p>
            <w:pPr>
              <w:pStyle w:val="TableParagraph"/>
              <w:rPr>
                <w:b/>
                <w:sz w:val="18"/>
              </w:rPr>
            </w:pPr>
          </w:p>
          <w:p>
            <w:pPr>
              <w:pStyle w:val="TableParagraph"/>
              <w:spacing w:before="195"/>
              <w:rPr>
                <w:b/>
                <w:sz w:val="18"/>
              </w:rPr>
            </w:pPr>
          </w:p>
          <w:p>
            <w:pPr>
              <w:pStyle w:val="TableParagraph"/>
              <w:ind w:left="45" w:right="42"/>
              <w:jc w:val="center"/>
              <w:rPr>
                <w:sz w:val="18"/>
              </w:rPr>
            </w:pPr>
            <w:r>
              <w:rPr>
                <w:spacing w:val="-10"/>
                <w:sz w:val="18"/>
              </w:rPr>
              <w:t>2</w:t>
            </w:r>
          </w:p>
        </w:tc>
        <w:tc>
          <w:tcPr>
            <w:tcW w:w="1090" w:type="dxa"/>
          </w:tcPr>
          <w:p>
            <w:pPr>
              <w:pStyle w:val="TableParagraph"/>
              <w:rPr>
                <w:rFonts w:ascii="Times New Roman"/>
                <w:sz w:val="18"/>
              </w:rPr>
            </w:pPr>
          </w:p>
        </w:tc>
        <w:tc>
          <w:tcPr>
            <w:tcW w:w="1224" w:type="dxa"/>
          </w:tcPr>
          <w:p>
            <w:pPr>
              <w:pStyle w:val="TableParagraph"/>
              <w:rPr>
                <w:b/>
                <w:sz w:val="18"/>
              </w:rPr>
            </w:pPr>
          </w:p>
          <w:p>
            <w:pPr>
              <w:pStyle w:val="TableParagraph"/>
              <w:spacing w:before="195"/>
              <w:rPr>
                <w:b/>
                <w:sz w:val="18"/>
              </w:rPr>
            </w:pPr>
          </w:p>
          <w:p>
            <w:pPr>
              <w:pStyle w:val="TableParagraph"/>
              <w:ind w:left="48" w:right="48"/>
              <w:jc w:val="center"/>
              <w:rPr>
                <w:sz w:val="18"/>
              </w:rPr>
            </w:pPr>
            <w:r>
              <w:rPr>
                <w:spacing w:val="-10"/>
                <w:sz w:val="18"/>
              </w:rPr>
              <w:t>3</w:t>
            </w: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spacing w:before="195"/>
              <w:rPr>
                <w:b/>
                <w:sz w:val="18"/>
              </w:rPr>
            </w:pPr>
          </w:p>
          <w:p>
            <w:pPr>
              <w:pStyle w:val="TableParagraph"/>
              <w:ind w:left="4" w:right="3"/>
              <w:jc w:val="center"/>
              <w:rPr>
                <w:sz w:val="18"/>
              </w:rPr>
            </w:pPr>
            <w:r>
              <w:rPr>
                <w:spacing w:val="-10"/>
                <w:sz w:val="18"/>
              </w:rPr>
              <w:t>4</w:t>
            </w:r>
          </w:p>
        </w:tc>
        <w:tc>
          <w:tcPr>
            <w:tcW w:w="1781" w:type="dxa"/>
          </w:tcPr>
          <w:p>
            <w:pPr>
              <w:pStyle w:val="TableParagraph"/>
              <w:rPr>
                <w:rFonts w:ascii="Times New Roman"/>
                <w:sz w:val="18"/>
              </w:rPr>
            </w:pPr>
          </w:p>
        </w:tc>
      </w:tr>
      <w:tr>
        <w:trPr>
          <w:trHeight w:val="547" w:hRule="atLeast"/>
        </w:trPr>
        <w:tc>
          <w:tcPr>
            <w:tcW w:w="14252" w:type="dxa"/>
            <w:gridSpan w:val="10"/>
            <w:shd w:val="clear" w:color="auto" w:fill="EFF8F9"/>
          </w:tcPr>
          <w:p>
            <w:pPr>
              <w:pStyle w:val="TableParagraph"/>
              <w:spacing w:before="167"/>
              <w:ind w:left="67"/>
              <w:rPr>
                <w:b/>
                <w:sz w:val="18"/>
              </w:rPr>
            </w:pPr>
            <w:r>
              <w:rPr>
                <w:b/>
                <w:sz w:val="18"/>
              </w:rPr>
              <w:t>Producto</w:t>
            </w:r>
            <w:r>
              <w:rPr>
                <w:b/>
                <w:spacing w:val="-8"/>
                <w:sz w:val="18"/>
              </w:rPr>
              <w:t> </w:t>
            </w:r>
            <w:r>
              <w:rPr>
                <w:b/>
                <w:sz w:val="18"/>
              </w:rPr>
              <w:t>PAC</w:t>
            </w:r>
            <w:r>
              <w:rPr>
                <w:b/>
                <w:spacing w:val="-9"/>
                <w:sz w:val="18"/>
              </w:rPr>
              <w:t> </w:t>
            </w:r>
            <w:r>
              <w:rPr>
                <w:b/>
                <w:sz w:val="18"/>
              </w:rPr>
              <w:t>2.3:</w:t>
            </w:r>
            <w:r>
              <w:rPr>
                <w:b/>
                <w:spacing w:val="43"/>
                <w:sz w:val="18"/>
              </w:rPr>
              <w:t> </w:t>
            </w:r>
            <w:r>
              <w:rPr>
                <w:b/>
                <w:sz w:val="18"/>
              </w:rPr>
              <w:t>Plan</w:t>
            </w:r>
            <w:r>
              <w:rPr>
                <w:b/>
                <w:spacing w:val="-8"/>
                <w:sz w:val="18"/>
              </w:rPr>
              <w:t> </w:t>
            </w:r>
            <w:r>
              <w:rPr>
                <w:b/>
                <w:sz w:val="18"/>
              </w:rPr>
              <w:t>de</w:t>
            </w:r>
            <w:r>
              <w:rPr>
                <w:b/>
                <w:spacing w:val="-3"/>
                <w:sz w:val="18"/>
              </w:rPr>
              <w:t> </w:t>
            </w:r>
            <w:r>
              <w:rPr>
                <w:b/>
                <w:sz w:val="18"/>
              </w:rPr>
              <w:t>acción</w:t>
            </w:r>
            <w:r>
              <w:rPr>
                <w:b/>
                <w:spacing w:val="-11"/>
                <w:sz w:val="18"/>
              </w:rPr>
              <w:t> </w:t>
            </w:r>
            <w:r>
              <w:rPr>
                <w:b/>
                <w:sz w:val="18"/>
              </w:rPr>
              <w:t>institucional</w:t>
            </w:r>
            <w:r>
              <w:rPr>
                <w:b/>
                <w:spacing w:val="-5"/>
                <w:sz w:val="18"/>
              </w:rPr>
              <w:t> </w:t>
            </w:r>
            <w:r>
              <w:rPr>
                <w:b/>
                <w:sz w:val="18"/>
              </w:rPr>
              <w:t>de</w:t>
            </w:r>
            <w:r>
              <w:rPr>
                <w:b/>
                <w:spacing w:val="-7"/>
                <w:sz w:val="18"/>
              </w:rPr>
              <w:t> </w:t>
            </w:r>
            <w:r>
              <w:rPr>
                <w:b/>
                <w:sz w:val="18"/>
              </w:rPr>
              <w:t>inversión</w:t>
            </w:r>
            <w:r>
              <w:rPr>
                <w:b/>
                <w:spacing w:val="-7"/>
                <w:sz w:val="18"/>
              </w:rPr>
              <w:t> </w:t>
            </w:r>
            <w:r>
              <w:rPr>
                <w:b/>
                <w:sz w:val="18"/>
              </w:rPr>
              <w:t>en</w:t>
            </w:r>
            <w:r>
              <w:rPr>
                <w:b/>
                <w:spacing w:val="-4"/>
                <w:sz w:val="18"/>
              </w:rPr>
              <w:t> </w:t>
            </w:r>
            <w:r>
              <w:rPr>
                <w:b/>
                <w:sz w:val="18"/>
              </w:rPr>
              <w:t>herramientas</w:t>
            </w:r>
            <w:r>
              <w:rPr>
                <w:b/>
                <w:spacing w:val="-6"/>
                <w:sz w:val="18"/>
              </w:rPr>
              <w:t> </w:t>
            </w:r>
            <w:r>
              <w:rPr>
                <w:b/>
                <w:sz w:val="18"/>
              </w:rPr>
              <w:t>tecnológicas</w:t>
            </w:r>
            <w:r>
              <w:rPr>
                <w:b/>
                <w:spacing w:val="-7"/>
                <w:sz w:val="18"/>
              </w:rPr>
              <w:t> </w:t>
            </w:r>
            <w:r>
              <w:rPr>
                <w:b/>
                <w:sz w:val="18"/>
              </w:rPr>
              <w:t>con</w:t>
            </w:r>
            <w:r>
              <w:rPr>
                <w:b/>
                <w:spacing w:val="-8"/>
                <w:sz w:val="18"/>
              </w:rPr>
              <w:t> </w:t>
            </w:r>
            <w:r>
              <w:rPr>
                <w:b/>
                <w:sz w:val="18"/>
              </w:rPr>
              <w:t>seguimiento</w:t>
            </w:r>
            <w:r>
              <w:rPr>
                <w:b/>
                <w:spacing w:val="-3"/>
                <w:sz w:val="18"/>
              </w:rPr>
              <w:t> </w:t>
            </w:r>
            <w:r>
              <w:rPr>
                <w:b/>
                <w:sz w:val="18"/>
              </w:rPr>
              <w:t>semestral E1</w:t>
            </w:r>
            <w:r>
              <w:rPr>
                <w:b/>
                <w:spacing w:val="-3"/>
                <w:sz w:val="18"/>
              </w:rPr>
              <w:t> </w:t>
            </w:r>
            <w:r>
              <w:rPr>
                <w:b/>
                <w:sz w:val="18"/>
              </w:rPr>
              <w:t>AE13</w:t>
            </w:r>
            <w:r>
              <w:rPr>
                <w:b/>
                <w:spacing w:val="-7"/>
                <w:sz w:val="18"/>
              </w:rPr>
              <w:t> </w:t>
            </w:r>
            <w:r>
              <w:rPr>
                <w:b/>
                <w:spacing w:val="-5"/>
                <w:sz w:val="18"/>
              </w:rPr>
              <w:t>R3</w:t>
            </w:r>
          </w:p>
        </w:tc>
      </w:tr>
    </w:tbl>
    <w:p>
      <w:pPr>
        <w:pStyle w:val="TableParagraph"/>
        <w:spacing w:after="0"/>
        <w:rPr>
          <w:b/>
          <w:sz w:val="18"/>
        </w:rPr>
        <w:sectPr>
          <w:type w:val="continuous"/>
          <w:pgSz w:w="15840" w:h="12240" w:orient="landscape"/>
          <w:pgMar w:header="0" w:footer="1806" w:top="700" w:bottom="2559" w:left="360" w:right="360"/>
        </w:sectPr>
      </w:pPr>
    </w:p>
    <w:tbl>
      <w:tblPr>
        <w:tblW w:w="0" w:type="auto"/>
        <w:jc w:val="left"/>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5"/>
        <w:gridCol w:w="1563"/>
        <w:gridCol w:w="1501"/>
        <w:gridCol w:w="1085"/>
        <w:gridCol w:w="1364"/>
        <w:gridCol w:w="1090"/>
        <w:gridCol w:w="1224"/>
        <w:gridCol w:w="951"/>
        <w:gridCol w:w="1498"/>
        <w:gridCol w:w="1781"/>
      </w:tblGrid>
      <w:tr>
        <w:trPr>
          <w:trHeight w:val="537" w:hRule="atLeast"/>
        </w:trPr>
        <w:tc>
          <w:tcPr>
            <w:tcW w:w="2195" w:type="dxa"/>
            <w:vMerge w:val="restart"/>
            <w:shd w:val="clear" w:color="auto" w:fill="F1F1F1"/>
          </w:tcPr>
          <w:p>
            <w:pPr>
              <w:pStyle w:val="TableParagraph"/>
              <w:spacing w:before="166"/>
              <w:rPr>
                <w:b/>
                <w:sz w:val="18"/>
              </w:rPr>
            </w:pPr>
          </w:p>
          <w:p>
            <w:pPr>
              <w:pStyle w:val="TableParagraph"/>
              <w:ind w:left="67"/>
              <w:rPr>
                <w:b/>
                <w:sz w:val="18"/>
              </w:rPr>
            </w:pPr>
            <w:r>
              <w:rPr>
                <w:b/>
                <w:sz w:val="18"/>
              </w:rPr>
              <w:t>Objetivos</w:t>
            </w:r>
            <w:r>
              <w:rPr>
                <w:b/>
                <w:spacing w:val="-5"/>
                <w:sz w:val="18"/>
              </w:rPr>
              <w:t> </w:t>
            </w:r>
            <w:r>
              <w:rPr>
                <w:b/>
                <w:sz w:val="18"/>
              </w:rPr>
              <w:t>/</w:t>
            </w:r>
            <w:r>
              <w:rPr>
                <w:b/>
                <w:spacing w:val="-2"/>
                <w:sz w:val="18"/>
              </w:rPr>
              <w:t> Resultados</w:t>
            </w:r>
          </w:p>
        </w:tc>
        <w:tc>
          <w:tcPr>
            <w:tcW w:w="1563" w:type="dxa"/>
            <w:vMerge w:val="restart"/>
            <w:shd w:val="clear" w:color="auto" w:fill="F1F1F1"/>
          </w:tcPr>
          <w:p>
            <w:pPr>
              <w:pStyle w:val="TableParagraph"/>
              <w:spacing w:before="166"/>
              <w:rPr>
                <w:b/>
                <w:sz w:val="18"/>
              </w:rPr>
            </w:pPr>
          </w:p>
          <w:p>
            <w:pPr>
              <w:pStyle w:val="TableParagraph"/>
              <w:ind w:left="66"/>
              <w:rPr>
                <w:b/>
                <w:sz w:val="18"/>
              </w:rPr>
            </w:pPr>
            <w:r>
              <w:rPr>
                <w:b/>
                <w:spacing w:val="-2"/>
                <w:sz w:val="18"/>
              </w:rPr>
              <w:t>Indicador</w:t>
            </w:r>
          </w:p>
        </w:tc>
        <w:tc>
          <w:tcPr>
            <w:tcW w:w="2586" w:type="dxa"/>
            <w:gridSpan w:val="2"/>
            <w:shd w:val="clear" w:color="auto" w:fill="F1F1F1"/>
          </w:tcPr>
          <w:p>
            <w:pPr>
              <w:pStyle w:val="TableParagraph"/>
              <w:spacing w:before="162"/>
              <w:ind w:left="822"/>
              <w:rPr>
                <w:b/>
                <w:sz w:val="18"/>
              </w:rPr>
            </w:pPr>
            <w:r>
              <w:rPr>
                <w:b/>
                <w:sz w:val="18"/>
              </w:rPr>
              <w:t>I</w:t>
            </w:r>
            <w:r>
              <w:rPr>
                <w:b/>
                <w:spacing w:val="-1"/>
                <w:sz w:val="18"/>
              </w:rPr>
              <w:t> </w:t>
            </w:r>
            <w:r>
              <w:rPr>
                <w:b/>
                <w:spacing w:val="-2"/>
                <w:sz w:val="18"/>
              </w:rPr>
              <w:t>Trimestre</w:t>
            </w:r>
          </w:p>
        </w:tc>
        <w:tc>
          <w:tcPr>
            <w:tcW w:w="2454" w:type="dxa"/>
            <w:gridSpan w:val="2"/>
            <w:shd w:val="clear" w:color="auto" w:fill="F1F1F1"/>
          </w:tcPr>
          <w:p>
            <w:pPr>
              <w:pStyle w:val="TableParagraph"/>
              <w:spacing w:before="162"/>
              <w:ind w:left="738"/>
              <w:rPr>
                <w:b/>
                <w:sz w:val="18"/>
              </w:rPr>
            </w:pPr>
            <w:r>
              <w:rPr>
                <w:b/>
                <w:sz w:val="18"/>
              </w:rPr>
              <w:t>II</w:t>
            </w:r>
            <w:r>
              <w:rPr>
                <w:b/>
                <w:spacing w:val="-3"/>
                <w:sz w:val="18"/>
              </w:rPr>
              <w:t> </w:t>
            </w:r>
            <w:r>
              <w:rPr>
                <w:b/>
                <w:spacing w:val="-2"/>
                <w:sz w:val="18"/>
              </w:rPr>
              <w:t>Trimestre</w:t>
            </w:r>
          </w:p>
        </w:tc>
        <w:tc>
          <w:tcPr>
            <w:tcW w:w="2175" w:type="dxa"/>
            <w:gridSpan w:val="2"/>
            <w:shd w:val="clear" w:color="auto" w:fill="F1F1F1"/>
          </w:tcPr>
          <w:p>
            <w:pPr>
              <w:pStyle w:val="TableParagraph"/>
              <w:spacing w:before="162"/>
              <w:ind w:left="569"/>
              <w:rPr>
                <w:b/>
                <w:sz w:val="18"/>
              </w:rPr>
            </w:pPr>
            <w:r>
              <w:rPr>
                <w:b/>
                <w:sz w:val="18"/>
              </w:rPr>
              <w:t>III</w:t>
            </w:r>
            <w:r>
              <w:rPr>
                <w:b/>
                <w:spacing w:val="-2"/>
                <w:sz w:val="18"/>
              </w:rPr>
              <w:t> Trimestre</w:t>
            </w:r>
          </w:p>
        </w:tc>
        <w:tc>
          <w:tcPr>
            <w:tcW w:w="3279" w:type="dxa"/>
            <w:gridSpan w:val="2"/>
            <w:shd w:val="clear" w:color="auto" w:fill="F1F1F1"/>
          </w:tcPr>
          <w:p>
            <w:pPr>
              <w:pStyle w:val="TableParagraph"/>
              <w:spacing w:before="162"/>
              <w:ind w:left="1"/>
              <w:jc w:val="center"/>
              <w:rPr>
                <w:b/>
                <w:sz w:val="18"/>
              </w:rPr>
            </w:pPr>
            <w:r>
              <w:rPr>
                <w:b/>
                <w:sz w:val="18"/>
              </w:rPr>
              <w:t>IV</w:t>
            </w:r>
            <w:r>
              <w:rPr>
                <w:b/>
                <w:spacing w:val="-2"/>
                <w:sz w:val="18"/>
              </w:rPr>
              <w:t> Trimestre</w:t>
            </w:r>
          </w:p>
        </w:tc>
      </w:tr>
      <w:tr>
        <w:trPr>
          <w:trHeight w:val="412" w:hRule="atLeast"/>
        </w:trPr>
        <w:tc>
          <w:tcPr>
            <w:tcW w:w="2195" w:type="dxa"/>
            <w:vMerge/>
            <w:tcBorders>
              <w:top w:val="nil"/>
            </w:tcBorders>
            <w:shd w:val="clear" w:color="auto" w:fill="F1F1F1"/>
          </w:tcPr>
          <w:p>
            <w:pPr>
              <w:rPr>
                <w:sz w:val="2"/>
                <w:szCs w:val="2"/>
              </w:rPr>
            </w:pPr>
          </w:p>
        </w:tc>
        <w:tc>
          <w:tcPr>
            <w:tcW w:w="1563" w:type="dxa"/>
            <w:vMerge/>
            <w:tcBorders>
              <w:top w:val="nil"/>
            </w:tcBorders>
            <w:shd w:val="clear" w:color="auto" w:fill="F1F1F1"/>
          </w:tcPr>
          <w:p>
            <w:pPr>
              <w:rPr>
                <w:sz w:val="2"/>
                <w:szCs w:val="2"/>
              </w:rPr>
            </w:pPr>
          </w:p>
        </w:tc>
        <w:tc>
          <w:tcPr>
            <w:tcW w:w="1501" w:type="dxa"/>
            <w:shd w:val="clear" w:color="auto" w:fill="F1F1F1"/>
          </w:tcPr>
          <w:p>
            <w:pPr>
              <w:pStyle w:val="TableParagraph"/>
              <w:spacing w:line="206" w:lineRule="exact"/>
              <w:ind w:left="222" w:firstLine="316"/>
              <w:rPr>
                <w:b/>
                <w:sz w:val="18"/>
              </w:rPr>
            </w:pPr>
            <w:r>
              <w:rPr>
                <w:b/>
                <w:spacing w:val="-4"/>
                <w:sz w:val="18"/>
              </w:rPr>
              <w:t>Meta </w:t>
            </w:r>
            <w:r>
              <w:rPr>
                <w:b/>
                <w:spacing w:val="-2"/>
                <w:sz w:val="18"/>
              </w:rPr>
              <w:t>programada</w:t>
            </w:r>
          </w:p>
        </w:tc>
        <w:tc>
          <w:tcPr>
            <w:tcW w:w="1085" w:type="dxa"/>
            <w:shd w:val="clear" w:color="auto" w:fill="F1F1F1"/>
          </w:tcPr>
          <w:p>
            <w:pPr>
              <w:pStyle w:val="TableParagraph"/>
              <w:spacing w:before="99"/>
              <w:ind w:right="4"/>
              <w:jc w:val="center"/>
              <w:rPr>
                <w:b/>
                <w:sz w:val="18"/>
              </w:rPr>
            </w:pPr>
            <w:r>
              <w:rPr>
                <w:b/>
                <w:spacing w:val="-10"/>
                <w:sz w:val="18"/>
              </w:rPr>
              <w:t>¢</w:t>
            </w:r>
          </w:p>
        </w:tc>
        <w:tc>
          <w:tcPr>
            <w:tcW w:w="1364" w:type="dxa"/>
            <w:shd w:val="clear" w:color="auto" w:fill="F1F1F1"/>
          </w:tcPr>
          <w:p>
            <w:pPr>
              <w:pStyle w:val="TableParagraph"/>
              <w:spacing w:line="206" w:lineRule="exact"/>
              <w:ind w:left="157" w:firstLine="312"/>
              <w:rPr>
                <w:b/>
                <w:sz w:val="18"/>
              </w:rPr>
            </w:pPr>
            <w:r>
              <w:rPr>
                <w:b/>
                <w:spacing w:val="-4"/>
                <w:sz w:val="18"/>
              </w:rPr>
              <w:t>Meta </w:t>
            </w:r>
            <w:r>
              <w:rPr>
                <w:b/>
                <w:spacing w:val="-2"/>
                <w:sz w:val="18"/>
              </w:rPr>
              <w:t>programada</w:t>
            </w:r>
          </w:p>
        </w:tc>
        <w:tc>
          <w:tcPr>
            <w:tcW w:w="1090" w:type="dxa"/>
            <w:shd w:val="clear" w:color="auto" w:fill="F1F1F1"/>
          </w:tcPr>
          <w:p>
            <w:pPr>
              <w:pStyle w:val="TableParagraph"/>
              <w:spacing w:before="99"/>
              <w:jc w:val="center"/>
              <w:rPr>
                <w:b/>
                <w:sz w:val="18"/>
              </w:rPr>
            </w:pPr>
            <w:r>
              <w:rPr>
                <w:b/>
                <w:spacing w:val="-10"/>
                <w:sz w:val="18"/>
              </w:rPr>
              <w:t>¢</w:t>
            </w:r>
          </w:p>
        </w:tc>
        <w:tc>
          <w:tcPr>
            <w:tcW w:w="1224" w:type="dxa"/>
            <w:shd w:val="clear" w:color="auto" w:fill="F1F1F1"/>
          </w:tcPr>
          <w:p>
            <w:pPr>
              <w:pStyle w:val="TableParagraph"/>
              <w:spacing w:line="206" w:lineRule="exact"/>
              <w:ind w:left="84" w:firstLine="316"/>
              <w:rPr>
                <w:b/>
                <w:sz w:val="18"/>
              </w:rPr>
            </w:pPr>
            <w:r>
              <w:rPr>
                <w:b/>
                <w:spacing w:val="-4"/>
                <w:sz w:val="18"/>
              </w:rPr>
              <w:t>Meta </w:t>
            </w:r>
            <w:r>
              <w:rPr>
                <w:b/>
                <w:spacing w:val="-2"/>
                <w:sz w:val="18"/>
              </w:rPr>
              <w:t>programada</w:t>
            </w:r>
          </w:p>
        </w:tc>
        <w:tc>
          <w:tcPr>
            <w:tcW w:w="951" w:type="dxa"/>
            <w:shd w:val="clear" w:color="auto" w:fill="F1F1F1"/>
          </w:tcPr>
          <w:p>
            <w:pPr>
              <w:pStyle w:val="TableParagraph"/>
              <w:spacing w:before="99"/>
              <w:ind w:left="2"/>
              <w:jc w:val="center"/>
              <w:rPr>
                <w:b/>
                <w:sz w:val="18"/>
              </w:rPr>
            </w:pPr>
            <w:r>
              <w:rPr>
                <w:b/>
                <w:spacing w:val="-10"/>
                <w:sz w:val="18"/>
              </w:rPr>
              <w:t>¢</w:t>
            </w:r>
          </w:p>
        </w:tc>
        <w:tc>
          <w:tcPr>
            <w:tcW w:w="1498" w:type="dxa"/>
            <w:shd w:val="clear" w:color="auto" w:fill="F1F1F1"/>
          </w:tcPr>
          <w:p>
            <w:pPr>
              <w:pStyle w:val="TableParagraph"/>
              <w:spacing w:line="206" w:lineRule="exact"/>
              <w:ind w:left="223" w:firstLine="312"/>
              <w:rPr>
                <w:b/>
                <w:sz w:val="18"/>
              </w:rPr>
            </w:pPr>
            <w:r>
              <w:rPr>
                <w:b/>
                <w:spacing w:val="-4"/>
                <w:sz w:val="18"/>
              </w:rPr>
              <w:t>Meta </w:t>
            </w:r>
            <w:r>
              <w:rPr>
                <w:b/>
                <w:spacing w:val="-2"/>
                <w:sz w:val="18"/>
              </w:rPr>
              <w:t>programada</w:t>
            </w:r>
          </w:p>
        </w:tc>
        <w:tc>
          <w:tcPr>
            <w:tcW w:w="1781" w:type="dxa"/>
            <w:shd w:val="clear" w:color="auto" w:fill="F1F1F1"/>
          </w:tcPr>
          <w:p>
            <w:pPr>
              <w:pStyle w:val="TableParagraph"/>
              <w:spacing w:before="99"/>
              <w:ind w:left="11" w:right="11"/>
              <w:jc w:val="center"/>
              <w:rPr>
                <w:b/>
                <w:sz w:val="18"/>
              </w:rPr>
            </w:pPr>
            <w:r>
              <w:rPr>
                <w:b/>
                <w:spacing w:val="-10"/>
                <w:sz w:val="18"/>
              </w:rPr>
              <w:t>¢</w:t>
            </w:r>
          </w:p>
        </w:tc>
      </w:tr>
      <w:tr>
        <w:trPr>
          <w:trHeight w:val="1982" w:hRule="atLeast"/>
        </w:trPr>
        <w:tc>
          <w:tcPr>
            <w:tcW w:w="2195" w:type="dxa"/>
          </w:tcPr>
          <w:p>
            <w:pPr>
              <w:pStyle w:val="TableParagraph"/>
              <w:spacing w:before="162"/>
              <w:ind w:left="67" w:right="144"/>
              <w:rPr>
                <w:sz w:val="18"/>
              </w:rPr>
            </w:pPr>
            <w:r>
              <w:rPr>
                <w:b/>
                <w:sz w:val="18"/>
              </w:rPr>
              <w:t>Producto PAC 2.3.1: </w:t>
            </w:r>
            <w:r>
              <w:rPr>
                <w:sz w:val="18"/>
              </w:rPr>
              <w:t>Emisión de oficio para dar a conocer los avances en la ejecución del plan de acción institucional</w:t>
            </w:r>
            <w:r>
              <w:rPr>
                <w:spacing w:val="-15"/>
                <w:sz w:val="18"/>
              </w:rPr>
              <w:t> </w:t>
            </w:r>
            <w:r>
              <w:rPr>
                <w:sz w:val="18"/>
              </w:rPr>
              <w:t>de</w:t>
            </w:r>
            <w:r>
              <w:rPr>
                <w:spacing w:val="-12"/>
                <w:sz w:val="18"/>
              </w:rPr>
              <w:t> </w:t>
            </w:r>
            <w:r>
              <w:rPr>
                <w:sz w:val="18"/>
              </w:rPr>
              <w:t>inversión en herramientas </w:t>
            </w:r>
            <w:r>
              <w:rPr>
                <w:spacing w:val="-2"/>
                <w:sz w:val="18"/>
              </w:rPr>
              <w:t>tecnológicas</w:t>
            </w:r>
          </w:p>
        </w:tc>
        <w:tc>
          <w:tcPr>
            <w:tcW w:w="1563" w:type="dxa"/>
          </w:tcPr>
          <w:p>
            <w:pPr>
              <w:pStyle w:val="TableParagraph"/>
              <w:rPr>
                <w:b/>
                <w:sz w:val="18"/>
              </w:rPr>
            </w:pPr>
          </w:p>
          <w:p>
            <w:pPr>
              <w:pStyle w:val="TableParagraph"/>
              <w:rPr>
                <w:b/>
                <w:sz w:val="18"/>
              </w:rPr>
            </w:pPr>
          </w:p>
          <w:p>
            <w:pPr>
              <w:pStyle w:val="TableParagraph"/>
              <w:spacing w:before="60"/>
              <w:rPr>
                <w:b/>
                <w:sz w:val="18"/>
              </w:rPr>
            </w:pPr>
          </w:p>
          <w:p>
            <w:pPr>
              <w:pStyle w:val="TableParagraph"/>
              <w:ind w:left="66"/>
              <w:rPr>
                <w:sz w:val="18"/>
              </w:rPr>
            </w:pPr>
            <w:r>
              <w:rPr>
                <w:sz w:val="18"/>
              </w:rPr>
              <w:t>Cantidad de </w:t>
            </w:r>
            <w:r>
              <w:rPr>
                <w:spacing w:val="-2"/>
                <w:sz w:val="18"/>
              </w:rPr>
              <w:t>seguimientos realizados</w:t>
            </w:r>
          </w:p>
        </w:tc>
        <w:tc>
          <w:tcPr>
            <w:tcW w:w="1501" w:type="dxa"/>
          </w:tcPr>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3" w:right="4"/>
              <w:jc w:val="center"/>
              <w:rPr>
                <w:sz w:val="18"/>
              </w:rPr>
            </w:pPr>
            <w:r>
              <w:rPr>
                <w:spacing w:val="-10"/>
                <w:sz w:val="18"/>
              </w:rPr>
              <w:t>1</w:t>
            </w:r>
          </w:p>
        </w:tc>
        <w:tc>
          <w:tcPr>
            <w:tcW w:w="1085" w:type="dxa"/>
          </w:tcPr>
          <w:p>
            <w:pPr>
              <w:pStyle w:val="TableParagraph"/>
              <w:rPr>
                <w:rFonts w:ascii="Times New Roman"/>
                <w:sz w:val="18"/>
              </w:rPr>
            </w:pPr>
          </w:p>
        </w:tc>
        <w:tc>
          <w:tcPr>
            <w:tcW w:w="1364" w:type="dxa"/>
          </w:tcPr>
          <w:p>
            <w:pPr>
              <w:pStyle w:val="TableParagraph"/>
              <w:rPr>
                <w:rFonts w:ascii="Times New Roman"/>
                <w:sz w:val="18"/>
              </w:rPr>
            </w:pPr>
          </w:p>
        </w:tc>
        <w:tc>
          <w:tcPr>
            <w:tcW w:w="1090" w:type="dxa"/>
          </w:tcPr>
          <w:p>
            <w:pPr>
              <w:pStyle w:val="TableParagraph"/>
              <w:rPr>
                <w:rFonts w:ascii="Times New Roman"/>
                <w:sz w:val="18"/>
              </w:rPr>
            </w:pPr>
          </w:p>
        </w:tc>
        <w:tc>
          <w:tcPr>
            <w:tcW w:w="1224" w:type="dxa"/>
          </w:tcPr>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48" w:right="48"/>
              <w:jc w:val="center"/>
              <w:rPr>
                <w:sz w:val="18"/>
              </w:rPr>
            </w:pPr>
            <w:r>
              <w:rPr>
                <w:spacing w:val="-10"/>
                <w:sz w:val="18"/>
              </w:rPr>
              <w:t>2</w:t>
            </w:r>
          </w:p>
        </w:tc>
        <w:tc>
          <w:tcPr>
            <w:tcW w:w="951" w:type="dxa"/>
          </w:tcPr>
          <w:p>
            <w:pPr>
              <w:pStyle w:val="TableParagraph"/>
              <w:rPr>
                <w:rFonts w:ascii="Times New Roman"/>
                <w:sz w:val="18"/>
              </w:rPr>
            </w:pPr>
          </w:p>
        </w:tc>
        <w:tc>
          <w:tcPr>
            <w:tcW w:w="1498" w:type="dxa"/>
          </w:tcPr>
          <w:p>
            <w:pPr>
              <w:pStyle w:val="TableParagraph"/>
              <w:rPr>
                <w:rFonts w:ascii="Times New Roman"/>
                <w:sz w:val="18"/>
              </w:rPr>
            </w:pPr>
          </w:p>
        </w:tc>
        <w:tc>
          <w:tcPr>
            <w:tcW w:w="1781" w:type="dxa"/>
          </w:tcPr>
          <w:p>
            <w:pPr>
              <w:pStyle w:val="TableParagraph"/>
              <w:rPr>
                <w:rFonts w:ascii="Times New Roman"/>
                <w:sz w:val="18"/>
              </w:rPr>
            </w:pPr>
          </w:p>
        </w:tc>
      </w:tr>
      <w:tr>
        <w:trPr>
          <w:trHeight w:val="1262" w:hRule="atLeast"/>
        </w:trPr>
        <w:tc>
          <w:tcPr>
            <w:tcW w:w="2195" w:type="dxa"/>
          </w:tcPr>
          <w:p>
            <w:pPr>
              <w:pStyle w:val="TableParagraph"/>
              <w:spacing w:before="8"/>
              <w:ind w:left="67" w:right="144"/>
              <w:rPr>
                <w:sz w:val="18"/>
              </w:rPr>
            </w:pPr>
            <w:r>
              <w:rPr>
                <w:b/>
                <w:sz w:val="18"/>
              </w:rPr>
              <w:t>Producto PAC</w:t>
            </w:r>
            <w:r>
              <w:rPr>
                <w:b/>
                <w:spacing w:val="-1"/>
                <w:sz w:val="18"/>
              </w:rPr>
              <w:t> </w:t>
            </w:r>
            <w:r>
              <w:rPr>
                <w:b/>
                <w:sz w:val="18"/>
              </w:rPr>
              <w:t>2.3.2: </w:t>
            </w:r>
            <w:r>
              <w:rPr>
                <w:sz w:val="18"/>
              </w:rPr>
              <w:t>Ejecución del plan de acción</w:t>
            </w:r>
            <w:r>
              <w:rPr>
                <w:spacing w:val="-15"/>
                <w:sz w:val="18"/>
              </w:rPr>
              <w:t> </w:t>
            </w:r>
            <w:r>
              <w:rPr>
                <w:sz w:val="18"/>
              </w:rPr>
              <w:t>institucional</w:t>
            </w:r>
            <w:r>
              <w:rPr>
                <w:spacing w:val="-12"/>
                <w:sz w:val="18"/>
              </w:rPr>
              <w:t> </w:t>
            </w:r>
            <w:r>
              <w:rPr>
                <w:sz w:val="18"/>
              </w:rPr>
              <w:t>de inversión en </w:t>
            </w:r>
            <w:r>
              <w:rPr>
                <w:spacing w:val="-2"/>
                <w:sz w:val="18"/>
              </w:rPr>
              <w:t>herramientas</w:t>
            </w:r>
          </w:p>
          <w:p>
            <w:pPr>
              <w:pStyle w:val="TableParagraph"/>
              <w:spacing w:line="197" w:lineRule="exact" w:before="3"/>
              <w:ind w:left="67"/>
              <w:rPr>
                <w:sz w:val="18"/>
              </w:rPr>
            </w:pPr>
            <w:r>
              <w:rPr>
                <w:spacing w:val="-2"/>
                <w:sz w:val="18"/>
              </w:rPr>
              <w:t>tecnológicas</w:t>
            </w:r>
          </w:p>
        </w:tc>
        <w:tc>
          <w:tcPr>
            <w:tcW w:w="1563" w:type="dxa"/>
          </w:tcPr>
          <w:p>
            <w:pPr>
              <w:pStyle w:val="TableParagraph"/>
              <w:spacing w:before="114"/>
              <w:rPr>
                <w:b/>
                <w:sz w:val="18"/>
              </w:rPr>
            </w:pPr>
          </w:p>
          <w:p>
            <w:pPr>
              <w:pStyle w:val="TableParagraph"/>
              <w:ind w:left="66" w:right="369"/>
              <w:rPr>
                <w:sz w:val="18"/>
              </w:rPr>
            </w:pPr>
            <w:r>
              <w:rPr>
                <w:sz w:val="18"/>
              </w:rPr>
              <w:t>Porcentaje</w:t>
            </w:r>
            <w:r>
              <w:rPr>
                <w:spacing w:val="-13"/>
                <w:sz w:val="18"/>
              </w:rPr>
              <w:t> </w:t>
            </w:r>
            <w:r>
              <w:rPr>
                <w:sz w:val="18"/>
              </w:rPr>
              <w:t>de ejecución del </w:t>
            </w:r>
            <w:r>
              <w:rPr>
                <w:spacing w:val="-4"/>
                <w:sz w:val="18"/>
              </w:rPr>
              <w:t>Plan</w:t>
            </w:r>
          </w:p>
        </w:tc>
        <w:tc>
          <w:tcPr>
            <w:tcW w:w="1501" w:type="dxa"/>
          </w:tcPr>
          <w:p>
            <w:pPr>
              <w:pStyle w:val="TableParagraph"/>
              <w:rPr>
                <w:rFonts w:ascii="Times New Roman"/>
                <w:sz w:val="18"/>
              </w:rPr>
            </w:pPr>
          </w:p>
        </w:tc>
        <w:tc>
          <w:tcPr>
            <w:tcW w:w="1085" w:type="dxa"/>
          </w:tcPr>
          <w:p>
            <w:pPr>
              <w:pStyle w:val="TableParagraph"/>
              <w:rPr>
                <w:rFonts w:ascii="Times New Roman"/>
                <w:sz w:val="18"/>
              </w:rPr>
            </w:pPr>
          </w:p>
        </w:tc>
        <w:tc>
          <w:tcPr>
            <w:tcW w:w="1364" w:type="dxa"/>
          </w:tcPr>
          <w:p>
            <w:pPr>
              <w:pStyle w:val="TableParagraph"/>
              <w:rPr>
                <w:rFonts w:ascii="Times New Roman"/>
                <w:sz w:val="18"/>
              </w:rPr>
            </w:pPr>
          </w:p>
        </w:tc>
        <w:tc>
          <w:tcPr>
            <w:tcW w:w="1090" w:type="dxa"/>
          </w:tcPr>
          <w:p>
            <w:pPr>
              <w:pStyle w:val="TableParagraph"/>
              <w:rPr>
                <w:rFonts w:ascii="Times New Roman"/>
                <w:sz w:val="18"/>
              </w:rPr>
            </w:pPr>
          </w:p>
        </w:tc>
        <w:tc>
          <w:tcPr>
            <w:tcW w:w="1224" w:type="dxa"/>
          </w:tcPr>
          <w:p>
            <w:pPr>
              <w:pStyle w:val="TableParagraph"/>
              <w:rPr>
                <w:rFonts w:ascii="Times New Roman"/>
                <w:sz w:val="18"/>
              </w:rPr>
            </w:pPr>
          </w:p>
        </w:tc>
        <w:tc>
          <w:tcPr>
            <w:tcW w:w="951" w:type="dxa"/>
          </w:tcPr>
          <w:p>
            <w:pPr>
              <w:pStyle w:val="TableParagraph"/>
              <w:rPr>
                <w:rFonts w:ascii="Times New Roman"/>
                <w:sz w:val="18"/>
              </w:rPr>
            </w:pPr>
          </w:p>
        </w:tc>
        <w:tc>
          <w:tcPr>
            <w:tcW w:w="1498" w:type="dxa"/>
          </w:tcPr>
          <w:p>
            <w:pPr>
              <w:pStyle w:val="TableParagraph"/>
              <w:rPr>
                <w:b/>
                <w:sz w:val="18"/>
              </w:rPr>
            </w:pPr>
          </w:p>
          <w:p>
            <w:pPr>
              <w:pStyle w:val="TableParagraph"/>
              <w:spacing w:before="113"/>
              <w:rPr>
                <w:b/>
                <w:sz w:val="18"/>
              </w:rPr>
            </w:pPr>
          </w:p>
          <w:p>
            <w:pPr>
              <w:pStyle w:val="TableParagraph"/>
              <w:ind w:left="5" w:right="1"/>
              <w:jc w:val="center"/>
              <w:rPr>
                <w:sz w:val="18"/>
              </w:rPr>
            </w:pPr>
            <w:r>
              <w:rPr>
                <w:spacing w:val="-5"/>
                <w:sz w:val="18"/>
              </w:rPr>
              <w:t>60%</w:t>
            </w:r>
          </w:p>
        </w:tc>
        <w:tc>
          <w:tcPr>
            <w:tcW w:w="1781" w:type="dxa"/>
          </w:tcPr>
          <w:p>
            <w:pPr>
              <w:pStyle w:val="TableParagraph"/>
              <w:rPr>
                <w:rFonts w:ascii="Times New Roman"/>
                <w:sz w:val="18"/>
              </w:rPr>
            </w:pPr>
          </w:p>
        </w:tc>
      </w:tr>
    </w:tbl>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69"/>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3"/>
        <w:gridCol w:w="1426"/>
        <w:gridCol w:w="1181"/>
        <w:gridCol w:w="1334"/>
        <w:gridCol w:w="1181"/>
        <w:gridCol w:w="1392"/>
        <w:gridCol w:w="1181"/>
        <w:gridCol w:w="1488"/>
        <w:gridCol w:w="1181"/>
        <w:gridCol w:w="1436"/>
      </w:tblGrid>
      <w:tr>
        <w:trPr>
          <w:trHeight w:val="302" w:hRule="atLeast"/>
        </w:trPr>
        <w:tc>
          <w:tcPr>
            <w:tcW w:w="2593" w:type="dxa"/>
            <w:vMerge w:val="restart"/>
            <w:shd w:val="clear" w:color="auto" w:fill="D7D7D7"/>
          </w:tcPr>
          <w:p>
            <w:pPr>
              <w:pStyle w:val="TableParagraph"/>
              <w:rPr>
                <w:b/>
                <w:sz w:val="18"/>
              </w:rPr>
            </w:pPr>
          </w:p>
          <w:p>
            <w:pPr>
              <w:pStyle w:val="TableParagraph"/>
              <w:spacing w:before="141"/>
              <w:rPr>
                <w:b/>
                <w:sz w:val="18"/>
              </w:rPr>
            </w:pPr>
          </w:p>
          <w:p>
            <w:pPr>
              <w:pStyle w:val="TableParagraph"/>
              <w:ind w:left="326"/>
              <w:rPr>
                <w:b/>
                <w:sz w:val="18"/>
              </w:rPr>
            </w:pPr>
            <w:r>
              <w:rPr>
                <w:b/>
                <w:sz w:val="18"/>
              </w:rPr>
              <w:t>Objetivos</w:t>
            </w:r>
            <w:r>
              <w:rPr>
                <w:b/>
                <w:spacing w:val="-5"/>
                <w:sz w:val="18"/>
              </w:rPr>
              <w:t> </w:t>
            </w:r>
            <w:r>
              <w:rPr>
                <w:b/>
                <w:sz w:val="18"/>
              </w:rPr>
              <w:t>/</w:t>
            </w:r>
            <w:r>
              <w:rPr>
                <w:b/>
                <w:spacing w:val="-2"/>
                <w:sz w:val="18"/>
              </w:rPr>
              <w:t> Resultados</w:t>
            </w:r>
          </w:p>
        </w:tc>
        <w:tc>
          <w:tcPr>
            <w:tcW w:w="1426" w:type="dxa"/>
            <w:vMerge w:val="restart"/>
            <w:shd w:val="clear" w:color="auto" w:fill="D7D7D7"/>
          </w:tcPr>
          <w:p>
            <w:pPr>
              <w:pStyle w:val="TableParagraph"/>
              <w:rPr>
                <w:b/>
                <w:sz w:val="18"/>
              </w:rPr>
            </w:pPr>
          </w:p>
          <w:p>
            <w:pPr>
              <w:pStyle w:val="TableParagraph"/>
              <w:spacing w:before="141"/>
              <w:rPr>
                <w:b/>
                <w:sz w:val="18"/>
              </w:rPr>
            </w:pPr>
          </w:p>
          <w:p>
            <w:pPr>
              <w:pStyle w:val="TableParagraph"/>
              <w:ind w:left="71"/>
              <w:rPr>
                <w:b/>
                <w:sz w:val="18"/>
              </w:rPr>
            </w:pPr>
            <w:r>
              <w:rPr>
                <w:b/>
                <w:spacing w:val="-2"/>
                <w:sz w:val="18"/>
              </w:rPr>
              <w:t>Indicador</w:t>
            </w:r>
          </w:p>
        </w:tc>
        <w:tc>
          <w:tcPr>
            <w:tcW w:w="2515" w:type="dxa"/>
            <w:gridSpan w:val="2"/>
            <w:shd w:val="clear" w:color="auto" w:fill="D7D7D7"/>
          </w:tcPr>
          <w:p>
            <w:pPr>
              <w:pStyle w:val="TableParagraph"/>
              <w:spacing w:before="47"/>
              <w:ind w:left="791"/>
              <w:rPr>
                <w:b/>
                <w:sz w:val="18"/>
              </w:rPr>
            </w:pPr>
            <w:r>
              <w:rPr>
                <w:b/>
                <w:sz w:val="18"/>
              </w:rPr>
              <w:t>I</w:t>
            </w:r>
            <w:r>
              <w:rPr>
                <w:b/>
                <w:spacing w:val="-1"/>
                <w:sz w:val="18"/>
              </w:rPr>
              <w:t> </w:t>
            </w:r>
            <w:r>
              <w:rPr>
                <w:b/>
                <w:spacing w:val="-2"/>
                <w:sz w:val="18"/>
              </w:rPr>
              <w:t>Trimestre</w:t>
            </w:r>
          </w:p>
        </w:tc>
        <w:tc>
          <w:tcPr>
            <w:tcW w:w="2573" w:type="dxa"/>
            <w:gridSpan w:val="2"/>
            <w:shd w:val="clear" w:color="auto" w:fill="D7D7D7"/>
          </w:tcPr>
          <w:p>
            <w:pPr>
              <w:pStyle w:val="TableParagraph"/>
              <w:spacing w:before="47"/>
              <w:ind w:left="797"/>
              <w:rPr>
                <w:b/>
                <w:sz w:val="18"/>
              </w:rPr>
            </w:pPr>
            <w:r>
              <w:rPr>
                <w:b/>
                <w:sz w:val="18"/>
              </w:rPr>
              <w:t>II</w:t>
            </w:r>
            <w:r>
              <w:rPr>
                <w:b/>
                <w:spacing w:val="-3"/>
                <w:sz w:val="18"/>
              </w:rPr>
              <w:t> </w:t>
            </w:r>
            <w:r>
              <w:rPr>
                <w:b/>
                <w:spacing w:val="-2"/>
                <w:sz w:val="18"/>
              </w:rPr>
              <w:t>Trimestre</w:t>
            </w:r>
          </w:p>
        </w:tc>
        <w:tc>
          <w:tcPr>
            <w:tcW w:w="2669" w:type="dxa"/>
            <w:gridSpan w:val="2"/>
            <w:shd w:val="clear" w:color="auto" w:fill="D7D7D7"/>
          </w:tcPr>
          <w:p>
            <w:pPr>
              <w:pStyle w:val="TableParagraph"/>
              <w:spacing w:before="47"/>
              <w:ind w:left="822"/>
              <w:rPr>
                <w:b/>
                <w:sz w:val="18"/>
              </w:rPr>
            </w:pPr>
            <w:r>
              <w:rPr>
                <w:b/>
                <w:sz w:val="18"/>
              </w:rPr>
              <w:t>III</w:t>
            </w:r>
            <w:r>
              <w:rPr>
                <w:b/>
                <w:spacing w:val="-2"/>
                <w:sz w:val="18"/>
              </w:rPr>
              <w:t> Trimestre</w:t>
            </w:r>
          </w:p>
        </w:tc>
        <w:tc>
          <w:tcPr>
            <w:tcW w:w="2617" w:type="dxa"/>
            <w:gridSpan w:val="2"/>
            <w:shd w:val="clear" w:color="auto" w:fill="D7D7D7"/>
          </w:tcPr>
          <w:p>
            <w:pPr>
              <w:pStyle w:val="TableParagraph"/>
              <w:spacing w:before="47"/>
              <w:ind w:left="789"/>
              <w:rPr>
                <w:b/>
                <w:sz w:val="18"/>
              </w:rPr>
            </w:pPr>
            <w:r>
              <w:rPr>
                <w:b/>
                <w:sz w:val="18"/>
              </w:rPr>
              <w:t>IV</w:t>
            </w:r>
            <w:r>
              <w:rPr>
                <w:b/>
                <w:spacing w:val="-2"/>
                <w:sz w:val="18"/>
              </w:rPr>
              <w:t> Trimestre</w:t>
            </w:r>
          </w:p>
        </w:tc>
      </w:tr>
      <w:tr>
        <w:trPr>
          <w:trHeight w:val="1003" w:hRule="atLeast"/>
        </w:trPr>
        <w:tc>
          <w:tcPr>
            <w:tcW w:w="2593" w:type="dxa"/>
            <w:vMerge/>
            <w:tcBorders>
              <w:top w:val="nil"/>
            </w:tcBorders>
            <w:shd w:val="clear" w:color="auto" w:fill="D7D7D7"/>
          </w:tcPr>
          <w:p>
            <w:pPr>
              <w:rPr>
                <w:sz w:val="2"/>
                <w:szCs w:val="2"/>
              </w:rPr>
            </w:pPr>
          </w:p>
        </w:tc>
        <w:tc>
          <w:tcPr>
            <w:tcW w:w="1426" w:type="dxa"/>
            <w:vMerge/>
            <w:tcBorders>
              <w:top w:val="nil"/>
            </w:tcBorders>
            <w:shd w:val="clear" w:color="auto" w:fill="D7D7D7"/>
          </w:tcPr>
          <w:p>
            <w:pPr>
              <w:rPr>
                <w:sz w:val="2"/>
                <w:szCs w:val="2"/>
              </w:rPr>
            </w:pPr>
          </w:p>
        </w:tc>
        <w:tc>
          <w:tcPr>
            <w:tcW w:w="1181" w:type="dxa"/>
            <w:shd w:val="clear" w:color="auto" w:fill="D7D7D7"/>
          </w:tcPr>
          <w:p>
            <w:pPr>
              <w:pStyle w:val="TableParagraph"/>
              <w:spacing w:before="89"/>
              <w:rPr>
                <w:b/>
                <w:sz w:val="18"/>
              </w:rPr>
            </w:pPr>
          </w:p>
          <w:p>
            <w:pPr>
              <w:pStyle w:val="TableParagraph"/>
              <w:ind w:left="67" w:firstLine="312"/>
              <w:rPr>
                <w:b/>
                <w:sz w:val="18"/>
              </w:rPr>
            </w:pPr>
            <w:r>
              <w:rPr>
                <w:b/>
                <w:spacing w:val="-4"/>
                <w:sz w:val="18"/>
              </w:rPr>
              <w:t>Meta </w:t>
            </w:r>
            <w:r>
              <w:rPr>
                <w:b/>
                <w:spacing w:val="-2"/>
                <w:sz w:val="18"/>
              </w:rPr>
              <w:t>programada</w:t>
            </w:r>
          </w:p>
        </w:tc>
        <w:tc>
          <w:tcPr>
            <w:tcW w:w="1334" w:type="dxa"/>
            <w:shd w:val="clear" w:color="auto" w:fill="D7D7D7"/>
          </w:tcPr>
          <w:p>
            <w:pPr>
              <w:pStyle w:val="TableParagraph"/>
              <w:spacing w:before="190"/>
              <w:rPr>
                <w:b/>
                <w:sz w:val="18"/>
              </w:rPr>
            </w:pPr>
          </w:p>
          <w:p>
            <w:pPr>
              <w:pStyle w:val="TableParagraph"/>
              <w:ind w:left="6"/>
              <w:jc w:val="center"/>
              <w:rPr>
                <w:b/>
                <w:sz w:val="18"/>
              </w:rPr>
            </w:pPr>
            <w:r>
              <w:rPr>
                <w:b/>
                <w:spacing w:val="-10"/>
                <w:sz w:val="18"/>
              </w:rPr>
              <w:t>¢</w:t>
            </w:r>
          </w:p>
        </w:tc>
        <w:tc>
          <w:tcPr>
            <w:tcW w:w="1181" w:type="dxa"/>
            <w:shd w:val="clear" w:color="auto" w:fill="D7D7D7"/>
          </w:tcPr>
          <w:p>
            <w:pPr>
              <w:pStyle w:val="TableParagraph"/>
              <w:spacing w:before="89"/>
              <w:rPr>
                <w:b/>
                <w:sz w:val="18"/>
              </w:rPr>
            </w:pPr>
          </w:p>
          <w:p>
            <w:pPr>
              <w:pStyle w:val="TableParagraph"/>
              <w:ind w:left="67" w:firstLine="312"/>
              <w:rPr>
                <w:b/>
                <w:sz w:val="18"/>
              </w:rPr>
            </w:pPr>
            <w:r>
              <w:rPr>
                <w:b/>
                <w:spacing w:val="-4"/>
                <w:sz w:val="18"/>
              </w:rPr>
              <w:t>Meta </w:t>
            </w:r>
            <w:r>
              <w:rPr>
                <w:b/>
                <w:spacing w:val="-2"/>
                <w:sz w:val="18"/>
              </w:rPr>
              <w:t>programada</w:t>
            </w:r>
          </w:p>
        </w:tc>
        <w:tc>
          <w:tcPr>
            <w:tcW w:w="1392" w:type="dxa"/>
            <w:shd w:val="clear" w:color="auto" w:fill="D7D7D7"/>
          </w:tcPr>
          <w:p>
            <w:pPr>
              <w:pStyle w:val="TableParagraph"/>
              <w:spacing w:before="190"/>
              <w:rPr>
                <w:b/>
                <w:sz w:val="18"/>
              </w:rPr>
            </w:pPr>
          </w:p>
          <w:p>
            <w:pPr>
              <w:pStyle w:val="TableParagraph"/>
              <w:ind w:left="7"/>
              <w:jc w:val="center"/>
              <w:rPr>
                <w:b/>
                <w:sz w:val="18"/>
              </w:rPr>
            </w:pPr>
            <w:r>
              <w:rPr>
                <w:b/>
                <w:spacing w:val="-10"/>
                <w:sz w:val="18"/>
              </w:rPr>
              <w:t>¢</w:t>
            </w:r>
          </w:p>
        </w:tc>
        <w:tc>
          <w:tcPr>
            <w:tcW w:w="1181" w:type="dxa"/>
            <w:shd w:val="clear" w:color="auto" w:fill="D7D7D7"/>
          </w:tcPr>
          <w:p>
            <w:pPr>
              <w:pStyle w:val="TableParagraph"/>
              <w:spacing w:before="89"/>
              <w:rPr>
                <w:b/>
                <w:sz w:val="18"/>
              </w:rPr>
            </w:pPr>
          </w:p>
          <w:p>
            <w:pPr>
              <w:pStyle w:val="TableParagraph"/>
              <w:ind w:left="73" w:firstLine="312"/>
              <w:rPr>
                <w:b/>
                <w:sz w:val="18"/>
              </w:rPr>
            </w:pPr>
            <w:r>
              <w:rPr>
                <w:b/>
                <w:spacing w:val="-4"/>
                <w:sz w:val="18"/>
              </w:rPr>
              <w:t>Meta </w:t>
            </w:r>
            <w:r>
              <w:rPr>
                <w:b/>
                <w:spacing w:val="-2"/>
                <w:sz w:val="18"/>
              </w:rPr>
              <w:t>programada</w:t>
            </w:r>
          </w:p>
        </w:tc>
        <w:tc>
          <w:tcPr>
            <w:tcW w:w="1488" w:type="dxa"/>
            <w:shd w:val="clear" w:color="auto" w:fill="D7D7D7"/>
          </w:tcPr>
          <w:p>
            <w:pPr>
              <w:pStyle w:val="TableParagraph"/>
              <w:spacing w:before="190"/>
              <w:rPr>
                <w:b/>
                <w:sz w:val="18"/>
              </w:rPr>
            </w:pPr>
          </w:p>
          <w:p>
            <w:pPr>
              <w:pStyle w:val="TableParagraph"/>
              <w:ind w:left="9"/>
              <w:jc w:val="center"/>
              <w:rPr>
                <w:b/>
                <w:sz w:val="18"/>
              </w:rPr>
            </w:pPr>
            <w:r>
              <w:rPr>
                <w:b/>
                <w:spacing w:val="-10"/>
                <w:sz w:val="18"/>
              </w:rPr>
              <w:t>¢</w:t>
            </w:r>
          </w:p>
        </w:tc>
        <w:tc>
          <w:tcPr>
            <w:tcW w:w="1181" w:type="dxa"/>
            <w:shd w:val="clear" w:color="auto" w:fill="D7D7D7"/>
          </w:tcPr>
          <w:p>
            <w:pPr>
              <w:pStyle w:val="TableParagraph"/>
              <w:spacing w:before="89"/>
              <w:rPr>
                <w:b/>
                <w:sz w:val="18"/>
              </w:rPr>
            </w:pPr>
          </w:p>
          <w:p>
            <w:pPr>
              <w:pStyle w:val="TableParagraph"/>
              <w:ind w:left="74" w:firstLine="312"/>
              <w:rPr>
                <w:b/>
                <w:sz w:val="18"/>
              </w:rPr>
            </w:pPr>
            <w:r>
              <w:rPr>
                <w:b/>
                <w:spacing w:val="-4"/>
                <w:sz w:val="18"/>
              </w:rPr>
              <w:t>Meta </w:t>
            </w:r>
            <w:r>
              <w:rPr>
                <w:b/>
                <w:spacing w:val="-2"/>
                <w:sz w:val="18"/>
              </w:rPr>
              <w:t>programada</w:t>
            </w:r>
          </w:p>
        </w:tc>
        <w:tc>
          <w:tcPr>
            <w:tcW w:w="1436" w:type="dxa"/>
            <w:shd w:val="clear" w:color="auto" w:fill="D7D7D7"/>
          </w:tcPr>
          <w:p>
            <w:pPr>
              <w:pStyle w:val="TableParagraph"/>
              <w:spacing w:before="190"/>
              <w:rPr>
                <w:b/>
                <w:sz w:val="18"/>
              </w:rPr>
            </w:pPr>
          </w:p>
          <w:p>
            <w:pPr>
              <w:pStyle w:val="TableParagraph"/>
              <w:ind w:left="14"/>
              <w:jc w:val="center"/>
              <w:rPr>
                <w:b/>
                <w:sz w:val="18"/>
              </w:rPr>
            </w:pPr>
            <w:r>
              <w:rPr>
                <w:b/>
                <w:spacing w:val="-10"/>
                <w:sz w:val="18"/>
              </w:rPr>
              <w:t>¢</w:t>
            </w:r>
          </w:p>
        </w:tc>
      </w:tr>
      <w:tr>
        <w:trPr>
          <w:trHeight w:val="585" w:hRule="atLeast"/>
        </w:trPr>
        <w:tc>
          <w:tcPr>
            <w:tcW w:w="14393" w:type="dxa"/>
            <w:gridSpan w:val="10"/>
            <w:shd w:val="clear" w:color="auto" w:fill="F1F1F1"/>
          </w:tcPr>
          <w:p>
            <w:pPr>
              <w:pStyle w:val="TableParagraph"/>
              <w:spacing w:before="85"/>
              <w:ind w:left="72" w:right="28"/>
              <w:rPr>
                <w:b/>
                <w:sz w:val="18"/>
              </w:rPr>
            </w:pPr>
            <w:r>
              <w:rPr>
                <w:b/>
                <w:sz w:val="18"/>
              </w:rPr>
              <w:t>Efecto:</w:t>
            </w:r>
            <w:r>
              <w:rPr>
                <w:b/>
                <w:spacing w:val="-2"/>
                <w:sz w:val="18"/>
              </w:rPr>
              <w:t> </w:t>
            </w:r>
            <w:r>
              <w:rPr>
                <w:b/>
                <w:sz w:val="18"/>
              </w:rPr>
              <w:t>Realizar una efectiva gestión</w:t>
            </w:r>
            <w:r>
              <w:rPr>
                <w:b/>
                <w:spacing w:val="-5"/>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4"/>
                <w:sz w:val="18"/>
              </w:rPr>
              <w:t> </w:t>
            </w:r>
            <w:r>
              <w:rPr>
                <w:b/>
                <w:sz w:val="18"/>
              </w:rPr>
              <w:t>y</w:t>
            </w:r>
            <w:r>
              <w:rPr>
                <w:b/>
                <w:spacing w:val="-4"/>
                <w:sz w:val="18"/>
              </w:rPr>
              <w:t> </w:t>
            </w:r>
            <w:r>
              <w:rPr>
                <w:b/>
                <w:sz w:val="18"/>
              </w:rPr>
              <w:t>tecnológicos, con el</w:t>
            </w:r>
            <w:r>
              <w:rPr>
                <w:b/>
                <w:spacing w:val="-2"/>
                <w:sz w:val="18"/>
              </w:rPr>
              <w:t> </w:t>
            </w:r>
            <w:r>
              <w:rPr>
                <w:b/>
                <w:sz w:val="18"/>
              </w:rPr>
              <w:t>fin</w:t>
            </w:r>
            <w:r>
              <w:rPr>
                <w:b/>
                <w:spacing w:val="-5"/>
                <w:sz w:val="18"/>
              </w:rPr>
              <w:t> </w:t>
            </w:r>
            <w:r>
              <w:rPr>
                <w:b/>
                <w:sz w:val="18"/>
              </w:rPr>
              <w:t>de contribuir</w:t>
            </w:r>
            <w:r>
              <w:rPr>
                <w:b/>
                <w:spacing w:val="-3"/>
                <w:sz w:val="18"/>
              </w:rPr>
              <w:t> </w:t>
            </w:r>
            <w:r>
              <w:rPr>
                <w:b/>
                <w:sz w:val="18"/>
              </w:rPr>
              <w:t>con</w:t>
            </w:r>
            <w:r>
              <w:rPr>
                <w:b/>
                <w:spacing w:val="-5"/>
                <w:sz w:val="18"/>
              </w:rPr>
              <w:t> </w:t>
            </w:r>
            <w:r>
              <w:rPr>
                <w:b/>
                <w:sz w:val="18"/>
              </w:rPr>
              <w:t>la</w:t>
            </w:r>
            <w:r>
              <w:rPr>
                <w:b/>
                <w:spacing w:val="-4"/>
                <w:sz w:val="18"/>
              </w:rPr>
              <w:t> </w:t>
            </w:r>
            <w:r>
              <w:rPr>
                <w:b/>
                <w:sz w:val="18"/>
              </w:rPr>
              <w:t>institucionalización de</w:t>
            </w:r>
            <w:r>
              <w:rPr>
                <w:b/>
                <w:spacing w:val="-4"/>
                <w:sz w:val="18"/>
              </w:rPr>
              <w:t> </w:t>
            </w:r>
            <w:r>
              <w:rPr>
                <w:b/>
                <w:sz w:val="18"/>
              </w:rPr>
              <w:t>la estrategia de intervención de la población en situación de pobreza y pobreza extrema.</w:t>
            </w:r>
          </w:p>
        </w:tc>
      </w:tr>
      <w:tr>
        <w:trPr>
          <w:trHeight w:val="604" w:hRule="atLeast"/>
        </w:trPr>
        <w:tc>
          <w:tcPr>
            <w:tcW w:w="14393" w:type="dxa"/>
            <w:gridSpan w:val="10"/>
            <w:shd w:val="clear" w:color="auto" w:fill="EFF8F9"/>
          </w:tcPr>
          <w:p>
            <w:pPr>
              <w:pStyle w:val="TableParagraph"/>
              <w:spacing w:before="95"/>
              <w:ind w:left="72" w:right="28"/>
              <w:rPr>
                <w:b/>
                <w:sz w:val="18"/>
              </w:rPr>
            </w:pPr>
            <w:r>
              <w:rPr>
                <w:b/>
                <w:sz w:val="18"/>
              </w:rPr>
              <w:t>Producto</w:t>
            </w:r>
            <w:r>
              <w:rPr>
                <w:b/>
                <w:spacing w:val="-4"/>
                <w:sz w:val="18"/>
              </w:rPr>
              <w:t> </w:t>
            </w:r>
            <w:r>
              <w:rPr>
                <w:b/>
                <w:sz w:val="18"/>
              </w:rPr>
              <w:t>PAC</w:t>
            </w:r>
            <w:r>
              <w:rPr>
                <w:b/>
                <w:spacing w:val="-5"/>
                <w:sz w:val="18"/>
              </w:rPr>
              <w:t> </w:t>
            </w:r>
            <w:r>
              <w:rPr>
                <w:b/>
                <w:sz w:val="18"/>
              </w:rPr>
              <w:t>2.4:</w:t>
            </w:r>
            <w:r>
              <w:rPr>
                <w:b/>
                <w:spacing w:val="-1"/>
                <w:sz w:val="18"/>
              </w:rPr>
              <w:t> </w:t>
            </w:r>
            <w:r>
              <w:rPr>
                <w:b/>
                <w:sz w:val="18"/>
              </w:rPr>
              <w:t>Metodología del</w:t>
            </w:r>
            <w:r>
              <w:rPr>
                <w:b/>
                <w:spacing w:val="-1"/>
                <w:sz w:val="18"/>
              </w:rPr>
              <w:t> </w:t>
            </w:r>
            <w:r>
              <w:rPr>
                <w:b/>
                <w:sz w:val="18"/>
              </w:rPr>
              <w:t>programa anual</w:t>
            </w:r>
            <w:r>
              <w:rPr>
                <w:b/>
                <w:spacing w:val="-1"/>
                <w:sz w:val="18"/>
              </w:rPr>
              <w:t> </w:t>
            </w:r>
            <w:r>
              <w:rPr>
                <w:b/>
                <w:sz w:val="18"/>
              </w:rPr>
              <w:t>de</w:t>
            </w:r>
            <w:r>
              <w:rPr>
                <w:b/>
                <w:spacing w:val="-3"/>
                <w:sz w:val="18"/>
              </w:rPr>
              <w:t> </w:t>
            </w:r>
            <w:r>
              <w:rPr>
                <w:b/>
                <w:sz w:val="18"/>
              </w:rPr>
              <w:t>cómo</w:t>
            </w:r>
            <w:r>
              <w:rPr>
                <w:b/>
                <w:spacing w:val="-4"/>
                <w:sz w:val="18"/>
              </w:rPr>
              <w:t> </w:t>
            </w:r>
            <w:r>
              <w:rPr>
                <w:b/>
                <w:sz w:val="18"/>
              </w:rPr>
              <w:t>realizar</w:t>
            </w:r>
            <w:r>
              <w:rPr>
                <w:b/>
                <w:spacing w:val="-2"/>
                <w:sz w:val="18"/>
              </w:rPr>
              <w:t> </w:t>
            </w:r>
            <w:r>
              <w:rPr>
                <w:b/>
                <w:sz w:val="18"/>
              </w:rPr>
              <w:t>las sesiones e</w:t>
            </w:r>
            <w:r>
              <w:rPr>
                <w:b/>
                <w:spacing w:val="-8"/>
                <w:sz w:val="18"/>
              </w:rPr>
              <w:t> </w:t>
            </w:r>
            <w:r>
              <w:rPr>
                <w:b/>
                <w:sz w:val="18"/>
              </w:rPr>
              <w:t>intercambio</w:t>
            </w:r>
            <w:r>
              <w:rPr>
                <w:b/>
                <w:spacing w:val="-4"/>
                <w:sz w:val="18"/>
              </w:rPr>
              <w:t> </w:t>
            </w:r>
            <w:r>
              <w:rPr>
                <w:b/>
                <w:sz w:val="18"/>
              </w:rPr>
              <w:t>de</w:t>
            </w:r>
            <w:r>
              <w:rPr>
                <w:b/>
                <w:spacing w:val="-3"/>
                <w:sz w:val="18"/>
              </w:rPr>
              <w:t> </w:t>
            </w:r>
            <w:r>
              <w:rPr>
                <w:b/>
                <w:sz w:val="18"/>
              </w:rPr>
              <w:t>experiencias</w:t>
            </w:r>
            <w:r>
              <w:rPr>
                <w:b/>
                <w:spacing w:val="-3"/>
                <w:sz w:val="18"/>
              </w:rPr>
              <w:t> </w:t>
            </w:r>
            <w:r>
              <w:rPr>
                <w:b/>
                <w:sz w:val="18"/>
              </w:rPr>
              <w:t>de buenas prácticas</w:t>
            </w:r>
            <w:r>
              <w:rPr>
                <w:b/>
                <w:spacing w:val="-3"/>
                <w:sz w:val="18"/>
              </w:rPr>
              <w:t> </w:t>
            </w:r>
            <w:r>
              <w:rPr>
                <w:b/>
                <w:sz w:val="18"/>
              </w:rPr>
              <w:t>entre</w:t>
            </w:r>
            <w:r>
              <w:rPr>
                <w:b/>
                <w:spacing w:val="-3"/>
                <w:sz w:val="18"/>
              </w:rPr>
              <w:t> </w:t>
            </w:r>
            <w:r>
              <w:rPr>
                <w:b/>
                <w:sz w:val="18"/>
              </w:rPr>
              <w:t>personas</w:t>
            </w:r>
            <w:r>
              <w:rPr>
                <w:b/>
                <w:spacing w:val="-3"/>
                <w:sz w:val="18"/>
              </w:rPr>
              <w:t> </w:t>
            </w:r>
            <w:r>
              <w:rPr>
                <w:b/>
                <w:sz w:val="18"/>
              </w:rPr>
              <w:t>funcionarias</w:t>
            </w:r>
            <w:r>
              <w:rPr>
                <w:b/>
                <w:spacing w:val="-3"/>
                <w:sz w:val="18"/>
              </w:rPr>
              <w:t> </w:t>
            </w:r>
            <w:r>
              <w:rPr>
                <w:b/>
                <w:sz w:val="18"/>
              </w:rPr>
              <w:t>con un mismo cargo E6 AE1 R1 (meta programada 75%)</w:t>
            </w:r>
          </w:p>
        </w:tc>
      </w:tr>
    </w:tbl>
    <w:p>
      <w:pPr>
        <w:pStyle w:val="TableParagraph"/>
        <w:spacing w:after="0"/>
        <w:rPr>
          <w:b/>
          <w:sz w:val="18"/>
        </w:rPr>
        <w:sectPr>
          <w:type w:val="continuous"/>
          <w:pgSz w:w="15840" w:h="12240" w:orient="landscape"/>
          <w:pgMar w:header="0" w:footer="1806" w:top="700" w:bottom="2922"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3"/>
        <w:gridCol w:w="1426"/>
        <w:gridCol w:w="1181"/>
        <w:gridCol w:w="1334"/>
        <w:gridCol w:w="1181"/>
        <w:gridCol w:w="1392"/>
        <w:gridCol w:w="1181"/>
        <w:gridCol w:w="1488"/>
        <w:gridCol w:w="1181"/>
        <w:gridCol w:w="1436"/>
      </w:tblGrid>
      <w:tr>
        <w:trPr>
          <w:trHeight w:val="302" w:hRule="atLeast"/>
        </w:trPr>
        <w:tc>
          <w:tcPr>
            <w:tcW w:w="2593" w:type="dxa"/>
            <w:vMerge w:val="restart"/>
            <w:shd w:val="clear" w:color="auto" w:fill="D7D7D7"/>
          </w:tcPr>
          <w:p>
            <w:pPr>
              <w:pStyle w:val="TableParagraph"/>
              <w:rPr>
                <w:b/>
                <w:sz w:val="18"/>
              </w:rPr>
            </w:pPr>
          </w:p>
          <w:p>
            <w:pPr>
              <w:pStyle w:val="TableParagraph"/>
              <w:spacing w:before="141"/>
              <w:rPr>
                <w:b/>
                <w:sz w:val="18"/>
              </w:rPr>
            </w:pPr>
          </w:p>
          <w:p>
            <w:pPr>
              <w:pStyle w:val="TableParagraph"/>
              <w:ind w:left="326"/>
              <w:rPr>
                <w:b/>
                <w:sz w:val="18"/>
              </w:rPr>
            </w:pPr>
            <w:r>
              <w:rPr>
                <w:b/>
                <w:sz w:val="18"/>
              </w:rPr>
              <w:t>Objetivos</w:t>
            </w:r>
            <w:r>
              <w:rPr>
                <w:b/>
                <w:spacing w:val="-5"/>
                <w:sz w:val="18"/>
              </w:rPr>
              <w:t> </w:t>
            </w:r>
            <w:r>
              <w:rPr>
                <w:b/>
                <w:sz w:val="18"/>
              </w:rPr>
              <w:t>/</w:t>
            </w:r>
            <w:r>
              <w:rPr>
                <w:b/>
                <w:spacing w:val="-2"/>
                <w:sz w:val="18"/>
              </w:rPr>
              <w:t> Resultados</w:t>
            </w:r>
          </w:p>
        </w:tc>
        <w:tc>
          <w:tcPr>
            <w:tcW w:w="1426" w:type="dxa"/>
            <w:vMerge w:val="restart"/>
            <w:shd w:val="clear" w:color="auto" w:fill="D7D7D7"/>
          </w:tcPr>
          <w:p>
            <w:pPr>
              <w:pStyle w:val="TableParagraph"/>
              <w:rPr>
                <w:b/>
                <w:sz w:val="18"/>
              </w:rPr>
            </w:pPr>
          </w:p>
          <w:p>
            <w:pPr>
              <w:pStyle w:val="TableParagraph"/>
              <w:spacing w:before="141"/>
              <w:rPr>
                <w:b/>
                <w:sz w:val="18"/>
              </w:rPr>
            </w:pPr>
          </w:p>
          <w:p>
            <w:pPr>
              <w:pStyle w:val="TableParagraph"/>
              <w:ind w:left="71"/>
              <w:rPr>
                <w:b/>
                <w:sz w:val="18"/>
              </w:rPr>
            </w:pPr>
            <w:r>
              <w:rPr>
                <w:b/>
                <w:spacing w:val="-2"/>
                <w:sz w:val="18"/>
              </w:rPr>
              <w:t>Indicador</w:t>
            </w:r>
          </w:p>
        </w:tc>
        <w:tc>
          <w:tcPr>
            <w:tcW w:w="2515" w:type="dxa"/>
            <w:gridSpan w:val="2"/>
            <w:shd w:val="clear" w:color="auto" w:fill="D7D7D7"/>
          </w:tcPr>
          <w:p>
            <w:pPr>
              <w:pStyle w:val="TableParagraph"/>
              <w:spacing w:before="47"/>
              <w:ind w:left="791"/>
              <w:rPr>
                <w:b/>
                <w:sz w:val="18"/>
              </w:rPr>
            </w:pPr>
            <w:r>
              <w:rPr>
                <w:b/>
                <w:sz w:val="18"/>
              </w:rPr>
              <w:t>I</w:t>
            </w:r>
            <w:r>
              <w:rPr>
                <w:b/>
                <w:spacing w:val="-1"/>
                <w:sz w:val="18"/>
              </w:rPr>
              <w:t> </w:t>
            </w:r>
            <w:r>
              <w:rPr>
                <w:b/>
                <w:spacing w:val="-2"/>
                <w:sz w:val="18"/>
              </w:rPr>
              <w:t>Trimestre</w:t>
            </w:r>
          </w:p>
        </w:tc>
        <w:tc>
          <w:tcPr>
            <w:tcW w:w="2573" w:type="dxa"/>
            <w:gridSpan w:val="2"/>
            <w:shd w:val="clear" w:color="auto" w:fill="D7D7D7"/>
          </w:tcPr>
          <w:p>
            <w:pPr>
              <w:pStyle w:val="TableParagraph"/>
              <w:spacing w:before="47"/>
              <w:ind w:left="797"/>
              <w:rPr>
                <w:b/>
                <w:sz w:val="18"/>
              </w:rPr>
            </w:pPr>
            <w:r>
              <w:rPr>
                <w:b/>
                <w:sz w:val="18"/>
              </w:rPr>
              <w:t>II</w:t>
            </w:r>
            <w:r>
              <w:rPr>
                <w:b/>
                <w:spacing w:val="-3"/>
                <w:sz w:val="18"/>
              </w:rPr>
              <w:t> </w:t>
            </w:r>
            <w:r>
              <w:rPr>
                <w:b/>
                <w:spacing w:val="-2"/>
                <w:sz w:val="18"/>
              </w:rPr>
              <w:t>Trimestre</w:t>
            </w:r>
          </w:p>
        </w:tc>
        <w:tc>
          <w:tcPr>
            <w:tcW w:w="2669" w:type="dxa"/>
            <w:gridSpan w:val="2"/>
            <w:shd w:val="clear" w:color="auto" w:fill="D7D7D7"/>
          </w:tcPr>
          <w:p>
            <w:pPr>
              <w:pStyle w:val="TableParagraph"/>
              <w:spacing w:before="47"/>
              <w:ind w:left="822"/>
              <w:rPr>
                <w:b/>
                <w:sz w:val="18"/>
              </w:rPr>
            </w:pPr>
            <w:r>
              <w:rPr>
                <w:b/>
                <w:sz w:val="18"/>
              </w:rPr>
              <w:t>III</w:t>
            </w:r>
            <w:r>
              <w:rPr>
                <w:b/>
                <w:spacing w:val="-2"/>
                <w:sz w:val="18"/>
              </w:rPr>
              <w:t> Trimestre</w:t>
            </w:r>
          </w:p>
        </w:tc>
        <w:tc>
          <w:tcPr>
            <w:tcW w:w="2617" w:type="dxa"/>
            <w:gridSpan w:val="2"/>
            <w:shd w:val="clear" w:color="auto" w:fill="D7D7D7"/>
          </w:tcPr>
          <w:p>
            <w:pPr>
              <w:pStyle w:val="TableParagraph"/>
              <w:spacing w:before="47"/>
              <w:ind w:left="789"/>
              <w:rPr>
                <w:b/>
                <w:sz w:val="18"/>
              </w:rPr>
            </w:pPr>
            <w:r>
              <w:rPr>
                <w:b/>
                <w:sz w:val="18"/>
              </w:rPr>
              <w:t>IV</w:t>
            </w:r>
            <w:r>
              <w:rPr>
                <w:b/>
                <w:spacing w:val="-2"/>
                <w:sz w:val="18"/>
              </w:rPr>
              <w:t> Trimestre</w:t>
            </w:r>
          </w:p>
        </w:tc>
      </w:tr>
      <w:tr>
        <w:trPr>
          <w:trHeight w:val="1003" w:hRule="atLeast"/>
        </w:trPr>
        <w:tc>
          <w:tcPr>
            <w:tcW w:w="2593" w:type="dxa"/>
            <w:vMerge/>
            <w:tcBorders>
              <w:top w:val="nil"/>
            </w:tcBorders>
            <w:shd w:val="clear" w:color="auto" w:fill="D7D7D7"/>
          </w:tcPr>
          <w:p>
            <w:pPr>
              <w:rPr>
                <w:sz w:val="2"/>
                <w:szCs w:val="2"/>
              </w:rPr>
            </w:pPr>
          </w:p>
        </w:tc>
        <w:tc>
          <w:tcPr>
            <w:tcW w:w="1426" w:type="dxa"/>
            <w:vMerge/>
            <w:tcBorders>
              <w:top w:val="nil"/>
            </w:tcBorders>
            <w:shd w:val="clear" w:color="auto" w:fill="D7D7D7"/>
          </w:tcPr>
          <w:p>
            <w:pPr>
              <w:rPr>
                <w:sz w:val="2"/>
                <w:szCs w:val="2"/>
              </w:rPr>
            </w:pP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34" w:type="dxa"/>
            <w:shd w:val="clear" w:color="auto" w:fill="D7D7D7"/>
          </w:tcPr>
          <w:p>
            <w:pPr>
              <w:pStyle w:val="TableParagraph"/>
              <w:spacing w:before="190"/>
              <w:rPr>
                <w:b/>
                <w:sz w:val="18"/>
              </w:rPr>
            </w:pPr>
          </w:p>
          <w:p>
            <w:pPr>
              <w:pStyle w:val="TableParagraph"/>
              <w:ind w:left="6"/>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92" w:type="dxa"/>
            <w:shd w:val="clear" w:color="auto" w:fill="D7D7D7"/>
          </w:tcPr>
          <w:p>
            <w:pPr>
              <w:pStyle w:val="TableParagraph"/>
              <w:spacing w:before="190"/>
              <w:rPr>
                <w:b/>
                <w:sz w:val="18"/>
              </w:rPr>
            </w:pPr>
          </w:p>
          <w:p>
            <w:pPr>
              <w:pStyle w:val="TableParagraph"/>
              <w:ind w:left="7"/>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3" w:firstLine="312"/>
              <w:rPr>
                <w:b/>
                <w:sz w:val="18"/>
              </w:rPr>
            </w:pPr>
            <w:r>
              <w:rPr>
                <w:b/>
                <w:spacing w:val="-4"/>
                <w:sz w:val="18"/>
              </w:rPr>
              <w:t>Meta </w:t>
            </w:r>
            <w:r>
              <w:rPr>
                <w:b/>
                <w:spacing w:val="-2"/>
                <w:sz w:val="18"/>
              </w:rPr>
              <w:t>programada</w:t>
            </w:r>
          </w:p>
        </w:tc>
        <w:tc>
          <w:tcPr>
            <w:tcW w:w="1488" w:type="dxa"/>
            <w:shd w:val="clear" w:color="auto" w:fill="D7D7D7"/>
          </w:tcPr>
          <w:p>
            <w:pPr>
              <w:pStyle w:val="TableParagraph"/>
              <w:spacing w:before="190"/>
              <w:rPr>
                <w:b/>
                <w:sz w:val="18"/>
              </w:rPr>
            </w:pPr>
          </w:p>
          <w:p>
            <w:pPr>
              <w:pStyle w:val="TableParagraph"/>
              <w:ind w:left="9"/>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4" w:firstLine="312"/>
              <w:rPr>
                <w:b/>
                <w:sz w:val="18"/>
              </w:rPr>
            </w:pPr>
            <w:r>
              <w:rPr>
                <w:b/>
                <w:spacing w:val="-4"/>
                <w:sz w:val="18"/>
              </w:rPr>
              <w:t>Meta </w:t>
            </w:r>
            <w:r>
              <w:rPr>
                <w:b/>
                <w:spacing w:val="-2"/>
                <w:sz w:val="18"/>
              </w:rPr>
              <w:t>programada</w:t>
            </w:r>
          </w:p>
        </w:tc>
        <w:tc>
          <w:tcPr>
            <w:tcW w:w="1436" w:type="dxa"/>
            <w:shd w:val="clear" w:color="auto" w:fill="D7D7D7"/>
          </w:tcPr>
          <w:p>
            <w:pPr>
              <w:pStyle w:val="TableParagraph"/>
              <w:spacing w:before="190"/>
              <w:rPr>
                <w:b/>
                <w:sz w:val="18"/>
              </w:rPr>
            </w:pPr>
          </w:p>
          <w:p>
            <w:pPr>
              <w:pStyle w:val="TableParagraph"/>
              <w:ind w:left="14"/>
              <w:jc w:val="center"/>
              <w:rPr>
                <w:b/>
                <w:sz w:val="18"/>
              </w:rPr>
            </w:pPr>
            <w:r>
              <w:rPr>
                <w:b/>
                <w:spacing w:val="-10"/>
                <w:sz w:val="18"/>
              </w:rPr>
              <w:t>¢</w:t>
            </w:r>
          </w:p>
        </w:tc>
      </w:tr>
      <w:tr>
        <w:trPr>
          <w:trHeight w:val="1190" w:hRule="atLeast"/>
        </w:trPr>
        <w:tc>
          <w:tcPr>
            <w:tcW w:w="2593" w:type="dxa"/>
          </w:tcPr>
          <w:p>
            <w:pPr>
              <w:pStyle w:val="TableParagraph"/>
              <w:spacing w:before="75"/>
              <w:ind w:left="72" w:right="126"/>
              <w:rPr>
                <w:sz w:val="18"/>
              </w:rPr>
            </w:pPr>
            <w:r>
              <w:rPr>
                <w:b/>
                <w:sz w:val="18"/>
              </w:rPr>
              <w:t>Actividad PAC 2.4.1: </w:t>
            </w:r>
            <w:r>
              <w:rPr>
                <w:sz w:val="18"/>
              </w:rPr>
              <w:t>Implementar sesiones de intercambio</w:t>
            </w:r>
            <w:r>
              <w:rPr>
                <w:spacing w:val="-15"/>
                <w:sz w:val="18"/>
              </w:rPr>
              <w:t> </w:t>
            </w:r>
            <w:r>
              <w:rPr>
                <w:sz w:val="18"/>
              </w:rPr>
              <w:t>de</w:t>
            </w:r>
            <w:r>
              <w:rPr>
                <w:spacing w:val="-12"/>
                <w:sz w:val="18"/>
              </w:rPr>
              <w:t> </w:t>
            </w:r>
            <w:r>
              <w:rPr>
                <w:sz w:val="18"/>
              </w:rPr>
              <w:t>experiencias entre</w:t>
            </w:r>
            <w:r>
              <w:rPr>
                <w:spacing w:val="-5"/>
                <w:sz w:val="18"/>
              </w:rPr>
              <w:t> </w:t>
            </w:r>
            <w:r>
              <w:rPr>
                <w:sz w:val="18"/>
              </w:rPr>
              <w:t>personas</w:t>
            </w:r>
            <w:r>
              <w:rPr>
                <w:spacing w:val="-9"/>
                <w:sz w:val="18"/>
              </w:rPr>
              <w:t> </w:t>
            </w:r>
            <w:r>
              <w:rPr>
                <w:sz w:val="18"/>
              </w:rPr>
              <w:t>funcionarias con un mismo cargo.</w:t>
            </w:r>
          </w:p>
        </w:tc>
        <w:tc>
          <w:tcPr>
            <w:tcW w:w="1426" w:type="dxa"/>
          </w:tcPr>
          <w:p>
            <w:pPr>
              <w:pStyle w:val="TableParagraph"/>
              <w:spacing w:before="75"/>
              <w:ind w:left="71" w:right="24"/>
              <w:rPr>
                <w:sz w:val="18"/>
              </w:rPr>
            </w:pPr>
            <w:r>
              <w:rPr>
                <w:sz w:val="18"/>
              </w:rPr>
              <w:t>Cantidad de sesiones de intercambio</w:t>
            </w:r>
            <w:r>
              <w:rPr>
                <w:spacing w:val="-13"/>
                <w:sz w:val="18"/>
              </w:rPr>
              <w:t> </w:t>
            </w:r>
            <w:r>
              <w:rPr>
                <w:sz w:val="18"/>
              </w:rPr>
              <w:t>de </w:t>
            </w:r>
            <w:r>
              <w:rPr>
                <w:spacing w:val="-2"/>
                <w:sz w:val="18"/>
              </w:rPr>
              <w:t>experiencias realizadas</w:t>
            </w:r>
          </w:p>
        </w:tc>
        <w:tc>
          <w:tcPr>
            <w:tcW w:w="1181" w:type="dxa"/>
          </w:tcPr>
          <w:p>
            <w:pPr>
              <w:pStyle w:val="TableParagraph"/>
              <w:rPr>
                <w:b/>
                <w:sz w:val="18"/>
              </w:rPr>
            </w:pPr>
          </w:p>
          <w:p>
            <w:pPr>
              <w:pStyle w:val="TableParagraph"/>
              <w:spacing w:before="79"/>
              <w:rPr>
                <w:b/>
                <w:sz w:val="18"/>
              </w:rPr>
            </w:pPr>
          </w:p>
          <w:p>
            <w:pPr>
              <w:pStyle w:val="TableParagraph"/>
              <w:ind w:right="59"/>
              <w:jc w:val="right"/>
              <w:rPr>
                <w:sz w:val="18"/>
              </w:rPr>
            </w:pPr>
            <w:r>
              <w:rPr>
                <w:spacing w:val="-10"/>
                <w:sz w:val="18"/>
              </w:rPr>
              <w:t>1</w:t>
            </w: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spacing w:before="79"/>
              <w:rPr>
                <w:b/>
                <w:sz w:val="18"/>
              </w:rPr>
            </w:pPr>
          </w:p>
          <w:p>
            <w:pPr>
              <w:pStyle w:val="TableParagraph"/>
              <w:ind w:right="58"/>
              <w:jc w:val="right"/>
              <w:rPr>
                <w:sz w:val="18"/>
              </w:rPr>
            </w:pPr>
            <w:r>
              <w:rPr>
                <w:spacing w:val="-10"/>
                <w:sz w:val="18"/>
              </w:rPr>
              <w:t>2</w:t>
            </w: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spacing w:before="79"/>
              <w:rPr>
                <w:b/>
                <w:sz w:val="18"/>
              </w:rPr>
            </w:pPr>
          </w:p>
          <w:p>
            <w:pPr>
              <w:pStyle w:val="TableParagraph"/>
              <w:ind w:right="53"/>
              <w:jc w:val="right"/>
              <w:rPr>
                <w:sz w:val="18"/>
              </w:rPr>
            </w:pPr>
            <w:r>
              <w:rPr>
                <w:spacing w:val="-10"/>
                <w:sz w:val="18"/>
              </w:rPr>
              <w:t>3</w:t>
            </w: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r>
        <w:trPr>
          <w:trHeight w:val="1214" w:hRule="atLeast"/>
        </w:trPr>
        <w:tc>
          <w:tcPr>
            <w:tcW w:w="2593" w:type="dxa"/>
          </w:tcPr>
          <w:p>
            <w:pPr>
              <w:pStyle w:val="TableParagraph"/>
              <w:spacing w:before="90"/>
              <w:ind w:left="72" w:right="126"/>
              <w:rPr>
                <w:sz w:val="18"/>
              </w:rPr>
            </w:pPr>
            <w:r>
              <w:rPr>
                <w:b/>
                <w:sz w:val="18"/>
              </w:rPr>
              <w:t>Actividad PAC 2.4.2: </w:t>
            </w:r>
            <w:r>
              <w:rPr>
                <w:sz w:val="18"/>
              </w:rPr>
              <w:t>Sistematizar</w:t>
            </w:r>
            <w:r>
              <w:rPr>
                <w:spacing w:val="-15"/>
                <w:sz w:val="18"/>
              </w:rPr>
              <w:t> </w:t>
            </w:r>
            <w:r>
              <w:rPr>
                <w:sz w:val="18"/>
              </w:rPr>
              <w:t>los</w:t>
            </w:r>
            <w:r>
              <w:rPr>
                <w:spacing w:val="-12"/>
                <w:sz w:val="18"/>
              </w:rPr>
              <w:t> </w:t>
            </w:r>
            <w:r>
              <w:rPr>
                <w:sz w:val="18"/>
              </w:rPr>
              <w:t>aprendizajes y resultados de las sesiones ejecutadas, retroalimentar y ajustar la metodología.</w:t>
            </w:r>
          </w:p>
        </w:tc>
        <w:tc>
          <w:tcPr>
            <w:tcW w:w="1426" w:type="dxa"/>
          </w:tcPr>
          <w:p>
            <w:pPr>
              <w:pStyle w:val="TableParagraph"/>
              <w:spacing w:before="89"/>
              <w:rPr>
                <w:b/>
                <w:sz w:val="18"/>
              </w:rPr>
            </w:pPr>
          </w:p>
          <w:p>
            <w:pPr>
              <w:pStyle w:val="TableParagraph"/>
              <w:ind w:left="71" w:right="24"/>
              <w:rPr>
                <w:sz w:val="18"/>
              </w:rPr>
            </w:pPr>
            <w:r>
              <w:rPr>
                <w:sz w:val="18"/>
              </w:rPr>
              <w:t>Cantidad</w:t>
            </w:r>
            <w:r>
              <w:rPr>
                <w:spacing w:val="-13"/>
                <w:sz w:val="18"/>
              </w:rPr>
              <w:t> </w:t>
            </w:r>
            <w:r>
              <w:rPr>
                <w:sz w:val="18"/>
              </w:rPr>
              <w:t>de </w:t>
            </w:r>
            <w:r>
              <w:rPr>
                <w:spacing w:val="-2"/>
                <w:sz w:val="18"/>
              </w:rPr>
              <w:t>sesiones ejecutadas</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spacing w:before="89"/>
              <w:rPr>
                <w:b/>
                <w:sz w:val="18"/>
              </w:rPr>
            </w:pPr>
          </w:p>
          <w:p>
            <w:pPr>
              <w:pStyle w:val="TableParagraph"/>
              <w:ind w:right="52"/>
              <w:jc w:val="right"/>
              <w:rPr>
                <w:sz w:val="18"/>
              </w:rPr>
            </w:pPr>
            <w:r>
              <w:rPr>
                <w:spacing w:val="-10"/>
                <w:sz w:val="18"/>
              </w:rPr>
              <w:t>3</w:t>
            </w:r>
          </w:p>
        </w:tc>
        <w:tc>
          <w:tcPr>
            <w:tcW w:w="1436" w:type="dxa"/>
          </w:tcPr>
          <w:p>
            <w:pPr>
              <w:pStyle w:val="TableParagraph"/>
              <w:rPr>
                <w:rFonts w:ascii="Times New Roman"/>
                <w:sz w:val="18"/>
              </w:rPr>
            </w:pPr>
          </w:p>
        </w:tc>
      </w:tr>
      <w:tr>
        <w:trPr>
          <w:trHeight w:val="604" w:hRule="atLeast"/>
        </w:trPr>
        <w:tc>
          <w:tcPr>
            <w:tcW w:w="14393" w:type="dxa"/>
            <w:gridSpan w:val="10"/>
            <w:shd w:val="clear" w:color="auto" w:fill="EFF8F9"/>
          </w:tcPr>
          <w:p>
            <w:pPr>
              <w:pStyle w:val="TableParagraph"/>
              <w:spacing w:before="195"/>
              <w:ind w:left="72"/>
              <w:rPr>
                <w:b/>
                <w:sz w:val="18"/>
              </w:rPr>
            </w:pPr>
            <w:r>
              <w:rPr>
                <w:b/>
                <w:sz w:val="18"/>
              </w:rPr>
              <w:t>Producto</w:t>
            </w:r>
            <w:r>
              <w:rPr>
                <w:b/>
                <w:spacing w:val="-8"/>
                <w:sz w:val="18"/>
              </w:rPr>
              <w:t> </w:t>
            </w:r>
            <w:r>
              <w:rPr>
                <w:b/>
                <w:sz w:val="18"/>
              </w:rPr>
              <w:t>PAC</w:t>
            </w:r>
            <w:r>
              <w:rPr>
                <w:b/>
                <w:spacing w:val="-8"/>
                <w:sz w:val="18"/>
              </w:rPr>
              <w:t> </w:t>
            </w:r>
            <w:r>
              <w:rPr>
                <w:b/>
                <w:sz w:val="18"/>
              </w:rPr>
              <w:t>2.5:</w:t>
            </w:r>
            <w:r>
              <w:rPr>
                <w:b/>
                <w:spacing w:val="43"/>
                <w:sz w:val="18"/>
              </w:rPr>
              <w:t> </w:t>
            </w:r>
            <w:r>
              <w:rPr>
                <w:b/>
                <w:sz w:val="18"/>
              </w:rPr>
              <w:t>Programa</w:t>
            </w:r>
            <w:r>
              <w:rPr>
                <w:b/>
                <w:spacing w:val="-7"/>
                <w:sz w:val="18"/>
              </w:rPr>
              <w:t> </w:t>
            </w:r>
            <w:r>
              <w:rPr>
                <w:b/>
                <w:sz w:val="18"/>
              </w:rPr>
              <w:t>de</w:t>
            </w:r>
            <w:r>
              <w:rPr>
                <w:b/>
                <w:spacing w:val="-2"/>
                <w:sz w:val="18"/>
              </w:rPr>
              <w:t> </w:t>
            </w:r>
            <w:r>
              <w:rPr>
                <w:b/>
                <w:sz w:val="18"/>
              </w:rPr>
              <w:t>pasantías</w:t>
            </w:r>
            <w:r>
              <w:rPr>
                <w:b/>
                <w:spacing w:val="-12"/>
                <w:sz w:val="18"/>
              </w:rPr>
              <w:t> </w:t>
            </w:r>
            <w:r>
              <w:rPr>
                <w:b/>
                <w:sz w:val="18"/>
              </w:rPr>
              <w:t>interdepartamentales</w:t>
            </w:r>
            <w:r>
              <w:rPr>
                <w:b/>
                <w:spacing w:val="-2"/>
                <w:sz w:val="18"/>
              </w:rPr>
              <w:t> </w:t>
            </w:r>
            <w:r>
              <w:rPr>
                <w:b/>
                <w:sz w:val="18"/>
              </w:rPr>
              <w:t>E6</w:t>
            </w:r>
            <w:r>
              <w:rPr>
                <w:b/>
                <w:spacing w:val="-3"/>
                <w:sz w:val="18"/>
              </w:rPr>
              <w:t> </w:t>
            </w:r>
            <w:r>
              <w:rPr>
                <w:b/>
                <w:sz w:val="18"/>
              </w:rPr>
              <w:t>AE1</w:t>
            </w:r>
            <w:r>
              <w:rPr>
                <w:b/>
                <w:spacing w:val="-7"/>
                <w:sz w:val="18"/>
              </w:rPr>
              <w:t> </w:t>
            </w:r>
            <w:r>
              <w:rPr>
                <w:b/>
                <w:sz w:val="18"/>
              </w:rPr>
              <w:t>R2</w:t>
            </w:r>
            <w:r>
              <w:rPr>
                <w:b/>
                <w:spacing w:val="-6"/>
                <w:sz w:val="18"/>
              </w:rPr>
              <w:t> </w:t>
            </w:r>
            <w:r>
              <w:rPr>
                <w:b/>
                <w:sz w:val="18"/>
              </w:rPr>
              <w:t>(meta</w:t>
            </w:r>
            <w:r>
              <w:rPr>
                <w:b/>
                <w:spacing w:val="-7"/>
                <w:sz w:val="18"/>
              </w:rPr>
              <w:t> </w:t>
            </w:r>
            <w:r>
              <w:rPr>
                <w:b/>
                <w:sz w:val="18"/>
              </w:rPr>
              <w:t>programada</w:t>
            </w:r>
            <w:r>
              <w:rPr>
                <w:b/>
                <w:spacing w:val="-6"/>
                <w:sz w:val="18"/>
              </w:rPr>
              <w:t> </w:t>
            </w:r>
            <w:r>
              <w:rPr>
                <w:b/>
                <w:spacing w:val="-4"/>
                <w:sz w:val="18"/>
              </w:rPr>
              <w:t>50%)</w:t>
            </w:r>
          </w:p>
        </w:tc>
      </w:tr>
      <w:tr>
        <w:trPr>
          <w:trHeight w:val="1046" w:hRule="atLeast"/>
        </w:trPr>
        <w:tc>
          <w:tcPr>
            <w:tcW w:w="2593" w:type="dxa"/>
          </w:tcPr>
          <w:p>
            <w:pPr>
              <w:pStyle w:val="TableParagraph"/>
              <w:spacing w:before="109"/>
              <w:ind w:left="72"/>
              <w:rPr>
                <w:sz w:val="18"/>
              </w:rPr>
            </w:pPr>
            <w:r>
              <w:rPr>
                <w:b/>
                <w:sz w:val="18"/>
              </w:rPr>
              <w:t>Actividad PAC 2.5.1: </w:t>
            </w:r>
            <w:r>
              <w:rPr>
                <w:sz w:val="18"/>
              </w:rPr>
              <w:t>Implementar</w:t>
            </w:r>
            <w:r>
              <w:rPr>
                <w:spacing w:val="-11"/>
                <w:sz w:val="18"/>
              </w:rPr>
              <w:t> </w:t>
            </w:r>
            <w:r>
              <w:rPr>
                <w:sz w:val="18"/>
              </w:rPr>
              <w:t>el</w:t>
            </w:r>
            <w:r>
              <w:rPr>
                <w:spacing w:val="-13"/>
                <w:sz w:val="18"/>
              </w:rPr>
              <w:t> </w:t>
            </w:r>
            <w:r>
              <w:rPr>
                <w:sz w:val="18"/>
              </w:rPr>
              <w:t>programa institucional</w:t>
            </w:r>
            <w:r>
              <w:rPr>
                <w:spacing w:val="-15"/>
                <w:sz w:val="18"/>
              </w:rPr>
              <w:t> </w:t>
            </w:r>
            <w:r>
              <w:rPr>
                <w:sz w:val="18"/>
              </w:rPr>
              <w:t>de</w:t>
            </w:r>
            <w:r>
              <w:rPr>
                <w:spacing w:val="-12"/>
                <w:sz w:val="18"/>
              </w:rPr>
              <w:t> </w:t>
            </w:r>
            <w:r>
              <w:rPr>
                <w:sz w:val="18"/>
              </w:rPr>
              <w:t>pasantías </w:t>
            </w:r>
            <w:r>
              <w:rPr>
                <w:spacing w:val="-2"/>
                <w:sz w:val="18"/>
              </w:rPr>
              <w:t>interdepartamentales</w:t>
            </w:r>
          </w:p>
        </w:tc>
        <w:tc>
          <w:tcPr>
            <w:tcW w:w="1426" w:type="dxa"/>
          </w:tcPr>
          <w:p>
            <w:pPr>
              <w:pStyle w:val="TableParagraph"/>
              <w:spacing w:before="109"/>
              <w:ind w:left="71" w:right="187"/>
              <w:rPr>
                <w:sz w:val="18"/>
              </w:rPr>
            </w:pPr>
            <w:r>
              <w:rPr>
                <w:sz w:val="18"/>
              </w:rPr>
              <w:t>Porcentaje</w:t>
            </w:r>
            <w:r>
              <w:rPr>
                <w:spacing w:val="-13"/>
                <w:sz w:val="18"/>
              </w:rPr>
              <w:t> </w:t>
            </w:r>
            <w:r>
              <w:rPr>
                <w:sz w:val="18"/>
              </w:rPr>
              <w:t>del programa de </w:t>
            </w:r>
            <w:r>
              <w:rPr>
                <w:spacing w:val="-2"/>
                <w:sz w:val="18"/>
              </w:rPr>
              <w:t>pasantías implementado</w:t>
            </w:r>
          </w:p>
        </w:tc>
        <w:tc>
          <w:tcPr>
            <w:tcW w:w="1181" w:type="dxa"/>
          </w:tcPr>
          <w:p>
            <w:pPr>
              <w:pStyle w:val="TableParagraph"/>
              <w:rPr>
                <w:b/>
                <w:sz w:val="18"/>
              </w:rPr>
            </w:pPr>
          </w:p>
          <w:p>
            <w:pPr>
              <w:pStyle w:val="TableParagraph"/>
              <w:spacing w:before="3"/>
              <w:rPr>
                <w:b/>
                <w:sz w:val="18"/>
              </w:rPr>
            </w:pPr>
          </w:p>
          <w:p>
            <w:pPr>
              <w:pStyle w:val="TableParagraph"/>
              <w:ind w:right="57"/>
              <w:jc w:val="right"/>
              <w:rPr>
                <w:sz w:val="18"/>
              </w:rPr>
            </w:pPr>
            <w:r>
              <w:rPr>
                <w:spacing w:val="-5"/>
                <w:sz w:val="18"/>
              </w:rPr>
              <w:t>33%</w:t>
            </w: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spacing w:before="3"/>
              <w:rPr>
                <w:b/>
                <w:sz w:val="18"/>
              </w:rPr>
            </w:pPr>
          </w:p>
          <w:p>
            <w:pPr>
              <w:pStyle w:val="TableParagraph"/>
              <w:ind w:right="56"/>
              <w:jc w:val="right"/>
              <w:rPr>
                <w:sz w:val="18"/>
              </w:rPr>
            </w:pPr>
            <w:r>
              <w:rPr>
                <w:spacing w:val="-5"/>
                <w:sz w:val="18"/>
              </w:rPr>
              <w:t>66%</w:t>
            </w: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spacing w:before="3"/>
              <w:rPr>
                <w:b/>
                <w:sz w:val="18"/>
              </w:rPr>
            </w:pPr>
          </w:p>
          <w:p>
            <w:pPr>
              <w:pStyle w:val="TableParagraph"/>
              <w:ind w:right="51"/>
              <w:jc w:val="right"/>
              <w:rPr>
                <w:sz w:val="18"/>
              </w:rPr>
            </w:pPr>
            <w:r>
              <w:rPr>
                <w:spacing w:val="-4"/>
                <w:sz w:val="18"/>
              </w:rPr>
              <w:t>100%</w:t>
            </w: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r>
        <w:trPr>
          <w:trHeight w:val="1079" w:hRule="atLeast"/>
        </w:trPr>
        <w:tc>
          <w:tcPr>
            <w:tcW w:w="2593" w:type="dxa"/>
          </w:tcPr>
          <w:p>
            <w:pPr>
              <w:pStyle w:val="TableParagraph"/>
              <w:spacing w:before="23"/>
              <w:ind w:left="72" w:right="382"/>
              <w:rPr>
                <w:sz w:val="18"/>
              </w:rPr>
            </w:pPr>
            <w:r>
              <w:rPr>
                <w:b/>
                <w:sz w:val="18"/>
              </w:rPr>
              <w:t>Actividad PAC 2.5.2: </w:t>
            </w:r>
            <w:r>
              <w:rPr>
                <w:sz w:val="18"/>
              </w:rPr>
              <w:t>Evaluar las pasantías realizadas y ajustar el programa</w:t>
            </w:r>
            <w:r>
              <w:rPr>
                <w:spacing w:val="-8"/>
                <w:sz w:val="18"/>
              </w:rPr>
              <w:t> </w:t>
            </w:r>
            <w:r>
              <w:rPr>
                <w:sz w:val="18"/>
              </w:rPr>
              <w:t>con</w:t>
            </w:r>
            <w:r>
              <w:rPr>
                <w:spacing w:val="-8"/>
                <w:sz w:val="18"/>
              </w:rPr>
              <w:t> </w:t>
            </w:r>
            <w:r>
              <w:rPr>
                <w:sz w:val="18"/>
              </w:rPr>
              <w:t>base</w:t>
            </w:r>
            <w:r>
              <w:rPr>
                <w:spacing w:val="-11"/>
                <w:sz w:val="18"/>
              </w:rPr>
              <w:t> </w:t>
            </w:r>
            <w:r>
              <w:rPr>
                <w:sz w:val="18"/>
              </w:rPr>
              <w:t>en</w:t>
            </w:r>
            <w:r>
              <w:rPr>
                <w:spacing w:val="-8"/>
                <w:sz w:val="18"/>
              </w:rPr>
              <w:t> </w:t>
            </w:r>
            <w:r>
              <w:rPr>
                <w:sz w:val="18"/>
              </w:rPr>
              <w:t>los </w:t>
            </w:r>
            <w:r>
              <w:rPr>
                <w:spacing w:val="-2"/>
                <w:sz w:val="18"/>
              </w:rPr>
              <w:t>aprendizajes</w:t>
            </w:r>
          </w:p>
        </w:tc>
        <w:tc>
          <w:tcPr>
            <w:tcW w:w="1426" w:type="dxa"/>
          </w:tcPr>
          <w:p>
            <w:pPr>
              <w:pStyle w:val="TableParagraph"/>
              <w:spacing w:before="22"/>
              <w:rPr>
                <w:b/>
                <w:sz w:val="18"/>
              </w:rPr>
            </w:pPr>
          </w:p>
          <w:p>
            <w:pPr>
              <w:pStyle w:val="TableParagraph"/>
              <w:spacing w:line="242" w:lineRule="auto"/>
              <w:ind w:left="71" w:right="24"/>
              <w:rPr>
                <w:sz w:val="18"/>
              </w:rPr>
            </w:pPr>
            <w:r>
              <w:rPr>
                <w:sz w:val="18"/>
              </w:rPr>
              <w:t>Cantidad de </w:t>
            </w:r>
            <w:r>
              <w:rPr>
                <w:spacing w:val="-2"/>
                <w:sz w:val="18"/>
              </w:rPr>
              <w:t>evaluaciones realizadas</w:t>
            </w:r>
          </w:p>
        </w:tc>
        <w:tc>
          <w:tcPr>
            <w:tcW w:w="1181" w:type="dxa"/>
          </w:tcPr>
          <w:p>
            <w:pPr>
              <w:pStyle w:val="TableParagraph"/>
              <w:rPr>
                <w:b/>
                <w:sz w:val="18"/>
              </w:rPr>
            </w:pPr>
          </w:p>
          <w:p>
            <w:pPr>
              <w:pStyle w:val="TableParagraph"/>
              <w:spacing w:before="22"/>
              <w:rPr>
                <w:b/>
                <w:sz w:val="18"/>
              </w:rPr>
            </w:pPr>
          </w:p>
          <w:p>
            <w:pPr>
              <w:pStyle w:val="TableParagraph"/>
              <w:ind w:right="59"/>
              <w:jc w:val="right"/>
              <w:rPr>
                <w:sz w:val="18"/>
              </w:rPr>
            </w:pPr>
            <w:r>
              <w:rPr>
                <w:spacing w:val="-10"/>
                <w:sz w:val="18"/>
              </w:rPr>
              <w:t>2</w:t>
            </w: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spacing w:before="22"/>
              <w:rPr>
                <w:b/>
                <w:sz w:val="18"/>
              </w:rPr>
            </w:pPr>
          </w:p>
          <w:p>
            <w:pPr>
              <w:pStyle w:val="TableParagraph"/>
              <w:ind w:right="58"/>
              <w:jc w:val="right"/>
              <w:rPr>
                <w:sz w:val="18"/>
              </w:rPr>
            </w:pPr>
            <w:r>
              <w:rPr>
                <w:spacing w:val="-10"/>
                <w:sz w:val="18"/>
              </w:rPr>
              <w:t>4</w:t>
            </w: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spacing w:before="22"/>
              <w:rPr>
                <w:b/>
                <w:sz w:val="18"/>
              </w:rPr>
            </w:pPr>
          </w:p>
          <w:p>
            <w:pPr>
              <w:pStyle w:val="TableParagraph"/>
              <w:ind w:right="53"/>
              <w:jc w:val="right"/>
              <w:rPr>
                <w:sz w:val="18"/>
              </w:rPr>
            </w:pPr>
            <w:r>
              <w:rPr>
                <w:spacing w:val="-10"/>
                <w:sz w:val="18"/>
              </w:rPr>
              <w:t>6</w:t>
            </w: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r>
        <w:trPr>
          <w:trHeight w:val="604" w:hRule="atLeast"/>
        </w:trPr>
        <w:tc>
          <w:tcPr>
            <w:tcW w:w="14393" w:type="dxa"/>
            <w:gridSpan w:val="10"/>
            <w:shd w:val="clear" w:color="auto" w:fill="EFF8F9"/>
          </w:tcPr>
          <w:p>
            <w:pPr>
              <w:pStyle w:val="TableParagraph"/>
              <w:spacing w:before="95"/>
              <w:ind w:left="72" w:right="184"/>
              <w:rPr>
                <w:b/>
                <w:sz w:val="18"/>
              </w:rPr>
            </w:pPr>
            <w:r>
              <w:rPr>
                <w:b/>
                <w:sz w:val="18"/>
              </w:rPr>
              <w:t>Producto</w:t>
            </w:r>
            <w:r>
              <w:rPr>
                <w:b/>
                <w:spacing w:val="-4"/>
                <w:sz w:val="18"/>
              </w:rPr>
              <w:t> </w:t>
            </w:r>
            <w:r>
              <w:rPr>
                <w:b/>
                <w:sz w:val="18"/>
              </w:rPr>
              <w:t>PAC</w:t>
            </w:r>
            <w:r>
              <w:rPr>
                <w:b/>
                <w:spacing w:val="-5"/>
                <w:sz w:val="18"/>
              </w:rPr>
              <w:t> </w:t>
            </w:r>
            <w:r>
              <w:rPr>
                <w:b/>
                <w:sz w:val="18"/>
              </w:rPr>
              <w:t>2.6:</w:t>
            </w:r>
            <w:r>
              <w:rPr>
                <w:b/>
                <w:spacing w:val="40"/>
                <w:sz w:val="18"/>
              </w:rPr>
              <w:t> </w:t>
            </w:r>
            <w:r>
              <w:rPr>
                <w:b/>
                <w:sz w:val="18"/>
              </w:rPr>
              <w:t>Indicadores del</w:t>
            </w:r>
            <w:r>
              <w:rPr>
                <w:b/>
                <w:spacing w:val="-1"/>
                <w:sz w:val="18"/>
              </w:rPr>
              <w:t> </w:t>
            </w:r>
            <w:r>
              <w:rPr>
                <w:b/>
                <w:sz w:val="18"/>
              </w:rPr>
              <w:t>Desempeño</w:t>
            </w:r>
            <w:r>
              <w:rPr>
                <w:b/>
                <w:spacing w:val="-4"/>
                <w:sz w:val="18"/>
              </w:rPr>
              <w:t> </w:t>
            </w:r>
            <w:r>
              <w:rPr>
                <w:b/>
                <w:sz w:val="18"/>
              </w:rPr>
              <w:t>del</w:t>
            </w:r>
            <w:r>
              <w:rPr>
                <w:b/>
                <w:spacing w:val="-1"/>
                <w:sz w:val="18"/>
              </w:rPr>
              <w:t> </w:t>
            </w:r>
            <w:r>
              <w:rPr>
                <w:b/>
                <w:sz w:val="18"/>
              </w:rPr>
              <w:t>personal</w:t>
            </w:r>
            <w:r>
              <w:rPr>
                <w:b/>
                <w:spacing w:val="-1"/>
                <w:sz w:val="18"/>
              </w:rPr>
              <w:t> </w:t>
            </w:r>
            <w:r>
              <w:rPr>
                <w:b/>
                <w:sz w:val="18"/>
              </w:rPr>
              <w:t>institucional alineados</w:t>
            </w:r>
            <w:r>
              <w:rPr>
                <w:b/>
                <w:spacing w:val="-3"/>
                <w:sz w:val="18"/>
              </w:rPr>
              <w:t> </w:t>
            </w:r>
            <w:r>
              <w:rPr>
                <w:b/>
                <w:sz w:val="18"/>
              </w:rPr>
              <w:t>con</w:t>
            </w:r>
            <w:r>
              <w:rPr>
                <w:b/>
                <w:spacing w:val="-4"/>
                <w:sz w:val="18"/>
              </w:rPr>
              <w:t> </w:t>
            </w:r>
            <w:r>
              <w:rPr>
                <w:b/>
                <w:sz w:val="18"/>
              </w:rPr>
              <w:t>los objetivos de</w:t>
            </w:r>
            <w:r>
              <w:rPr>
                <w:b/>
                <w:spacing w:val="-8"/>
                <w:sz w:val="18"/>
              </w:rPr>
              <w:t> </w:t>
            </w:r>
            <w:r>
              <w:rPr>
                <w:b/>
                <w:sz w:val="18"/>
              </w:rPr>
              <w:t>las</w:t>
            </w:r>
            <w:r>
              <w:rPr>
                <w:b/>
                <w:spacing w:val="-3"/>
                <w:sz w:val="18"/>
              </w:rPr>
              <w:t> </w:t>
            </w:r>
            <w:r>
              <w:rPr>
                <w:b/>
                <w:sz w:val="18"/>
              </w:rPr>
              <w:t>dependencias</w:t>
            </w:r>
            <w:r>
              <w:rPr>
                <w:b/>
                <w:spacing w:val="-3"/>
                <w:sz w:val="18"/>
              </w:rPr>
              <w:t> </w:t>
            </w:r>
            <w:r>
              <w:rPr>
                <w:b/>
                <w:sz w:val="18"/>
              </w:rPr>
              <w:t>y</w:t>
            </w:r>
            <w:r>
              <w:rPr>
                <w:b/>
                <w:spacing w:val="-3"/>
                <w:sz w:val="18"/>
              </w:rPr>
              <w:t> </w:t>
            </w:r>
            <w:r>
              <w:rPr>
                <w:b/>
                <w:sz w:val="18"/>
              </w:rPr>
              <w:t>órganos</w:t>
            </w:r>
            <w:r>
              <w:rPr>
                <w:b/>
                <w:spacing w:val="-3"/>
                <w:sz w:val="18"/>
              </w:rPr>
              <w:t> </w:t>
            </w:r>
            <w:r>
              <w:rPr>
                <w:b/>
                <w:sz w:val="18"/>
              </w:rPr>
              <w:t>adscritos según</w:t>
            </w:r>
            <w:r>
              <w:rPr>
                <w:b/>
                <w:spacing w:val="-4"/>
                <w:sz w:val="18"/>
              </w:rPr>
              <w:t> </w:t>
            </w:r>
            <w:r>
              <w:rPr>
                <w:b/>
                <w:sz w:val="18"/>
              </w:rPr>
              <w:t>corresponda E6 AE2 R1 (meta programada 60%)</w:t>
            </w:r>
          </w:p>
        </w:tc>
      </w:tr>
      <w:tr>
        <w:trPr>
          <w:trHeight w:val="1152" w:hRule="atLeast"/>
        </w:trPr>
        <w:tc>
          <w:tcPr>
            <w:tcW w:w="2593" w:type="dxa"/>
          </w:tcPr>
          <w:p>
            <w:pPr>
              <w:pStyle w:val="TableParagraph"/>
              <w:spacing w:before="56"/>
              <w:ind w:left="72" w:right="79"/>
              <w:rPr>
                <w:sz w:val="18"/>
              </w:rPr>
            </w:pPr>
            <w:r>
              <w:rPr>
                <w:b/>
                <w:sz w:val="18"/>
              </w:rPr>
              <w:t>Actividad PAC 2.6.1: </w:t>
            </w:r>
            <w:r>
              <w:rPr>
                <w:sz w:val="18"/>
              </w:rPr>
              <w:t>Indicadores de desempeño</w:t>
            </w:r>
            <w:r>
              <w:rPr>
                <w:spacing w:val="40"/>
                <w:sz w:val="18"/>
              </w:rPr>
              <w:t> </w:t>
            </w:r>
            <w:r>
              <w:rPr>
                <w:sz w:val="18"/>
              </w:rPr>
              <w:t>del</w:t>
            </w:r>
            <w:r>
              <w:rPr>
                <w:spacing w:val="-3"/>
                <w:sz w:val="18"/>
              </w:rPr>
              <w:t> </w:t>
            </w:r>
            <w:r>
              <w:rPr>
                <w:sz w:val="18"/>
              </w:rPr>
              <w:t>personal</w:t>
            </w:r>
            <w:r>
              <w:rPr>
                <w:spacing w:val="-3"/>
                <w:sz w:val="18"/>
              </w:rPr>
              <w:t> </w:t>
            </w:r>
            <w:r>
              <w:rPr>
                <w:sz w:val="18"/>
              </w:rPr>
              <w:t>alineados</w:t>
            </w:r>
            <w:r>
              <w:rPr>
                <w:spacing w:val="-6"/>
                <w:sz w:val="18"/>
              </w:rPr>
              <w:t> </w:t>
            </w:r>
            <w:r>
              <w:rPr>
                <w:sz w:val="18"/>
              </w:rPr>
              <w:t>con</w:t>
            </w:r>
            <w:r>
              <w:rPr>
                <w:spacing w:val="-2"/>
                <w:sz w:val="18"/>
              </w:rPr>
              <w:t> </w:t>
            </w:r>
            <w:r>
              <w:rPr>
                <w:sz w:val="18"/>
              </w:rPr>
              <w:t>los objetivos</w:t>
            </w:r>
            <w:r>
              <w:rPr>
                <w:spacing w:val="-9"/>
                <w:sz w:val="18"/>
              </w:rPr>
              <w:t> </w:t>
            </w:r>
            <w:r>
              <w:rPr>
                <w:sz w:val="18"/>
              </w:rPr>
              <w:t>y</w:t>
            </w:r>
            <w:r>
              <w:rPr>
                <w:spacing w:val="-5"/>
                <w:sz w:val="18"/>
              </w:rPr>
              <w:t> </w:t>
            </w:r>
            <w:r>
              <w:rPr>
                <w:sz w:val="18"/>
              </w:rPr>
              <w:t>los</w:t>
            </w:r>
            <w:r>
              <w:rPr>
                <w:spacing w:val="-5"/>
                <w:sz w:val="18"/>
              </w:rPr>
              <w:t> </w:t>
            </w:r>
            <w:r>
              <w:rPr>
                <w:sz w:val="18"/>
              </w:rPr>
              <w:t>procesos</w:t>
            </w:r>
            <w:r>
              <w:rPr>
                <w:spacing w:val="-9"/>
                <w:sz w:val="18"/>
              </w:rPr>
              <w:t> </w:t>
            </w:r>
            <w:r>
              <w:rPr>
                <w:sz w:val="18"/>
              </w:rPr>
              <w:t>de</w:t>
            </w:r>
            <w:r>
              <w:rPr>
                <w:spacing w:val="-6"/>
                <w:sz w:val="18"/>
              </w:rPr>
              <w:t> </w:t>
            </w:r>
            <w:r>
              <w:rPr>
                <w:sz w:val="18"/>
              </w:rPr>
              <w:t>las </w:t>
            </w:r>
            <w:r>
              <w:rPr>
                <w:spacing w:val="-2"/>
                <w:sz w:val="18"/>
              </w:rPr>
              <w:t>dependencias</w:t>
            </w:r>
          </w:p>
        </w:tc>
        <w:tc>
          <w:tcPr>
            <w:tcW w:w="1426" w:type="dxa"/>
          </w:tcPr>
          <w:p>
            <w:pPr>
              <w:pStyle w:val="TableParagraph"/>
              <w:spacing w:before="162"/>
              <w:ind w:left="71" w:right="24"/>
              <w:rPr>
                <w:sz w:val="18"/>
              </w:rPr>
            </w:pPr>
            <w:r>
              <w:rPr>
                <w:sz w:val="18"/>
              </w:rPr>
              <w:t>Porcentaje de los</w:t>
            </w:r>
            <w:r>
              <w:rPr>
                <w:spacing w:val="-13"/>
                <w:sz w:val="18"/>
              </w:rPr>
              <w:t> </w:t>
            </w:r>
            <w:r>
              <w:rPr>
                <w:sz w:val="18"/>
              </w:rPr>
              <w:t>indicadores de</w:t>
            </w:r>
            <w:r>
              <w:rPr>
                <w:spacing w:val="-13"/>
                <w:sz w:val="18"/>
              </w:rPr>
              <w:t> </w:t>
            </w:r>
            <w:r>
              <w:rPr>
                <w:sz w:val="18"/>
              </w:rPr>
              <w:t>desempeño </w:t>
            </w:r>
            <w:r>
              <w:rPr>
                <w:spacing w:val="-2"/>
                <w:sz w:val="18"/>
              </w:rPr>
              <w:t>alineados</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spacing w:before="55"/>
              <w:rPr>
                <w:b/>
                <w:sz w:val="18"/>
              </w:rPr>
            </w:pPr>
          </w:p>
          <w:p>
            <w:pPr>
              <w:pStyle w:val="TableParagraph"/>
              <w:ind w:right="50"/>
              <w:jc w:val="right"/>
              <w:rPr>
                <w:sz w:val="18"/>
              </w:rPr>
            </w:pPr>
            <w:r>
              <w:rPr>
                <w:spacing w:val="-4"/>
                <w:sz w:val="18"/>
              </w:rPr>
              <w:t>100%</w:t>
            </w:r>
          </w:p>
        </w:tc>
        <w:tc>
          <w:tcPr>
            <w:tcW w:w="1436"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3094"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3"/>
        <w:gridCol w:w="1426"/>
        <w:gridCol w:w="1181"/>
        <w:gridCol w:w="1334"/>
        <w:gridCol w:w="1181"/>
        <w:gridCol w:w="1392"/>
        <w:gridCol w:w="1181"/>
        <w:gridCol w:w="1488"/>
        <w:gridCol w:w="1181"/>
        <w:gridCol w:w="1436"/>
      </w:tblGrid>
      <w:tr>
        <w:trPr>
          <w:trHeight w:val="302" w:hRule="atLeast"/>
        </w:trPr>
        <w:tc>
          <w:tcPr>
            <w:tcW w:w="2593" w:type="dxa"/>
            <w:vMerge w:val="restart"/>
            <w:shd w:val="clear" w:color="auto" w:fill="D7D7D7"/>
          </w:tcPr>
          <w:p>
            <w:pPr>
              <w:pStyle w:val="TableParagraph"/>
              <w:rPr>
                <w:b/>
                <w:sz w:val="18"/>
              </w:rPr>
            </w:pPr>
          </w:p>
          <w:p>
            <w:pPr>
              <w:pStyle w:val="TableParagraph"/>
              <w:spacing w:before="141"/>
              <w:rPr>
                <w:b/>
                <w:sz w:val="18"/>
              </w:rPr>
            </w:pPr>
          </w:p>
          <w:p>
            <w:pPr>
              <w:pStyle w:val="TableParagraph"/>
              <w:ind w:left="326"/>
              <w:rPr>
                <w:b/>
                <w:sz w:val="18"/>
              </w:rPr>
            </w:pPr>
            <w:r>
              <w:rPr>
                <w:b/>
                <w:sz w:val="18"/>
              </w:rPr>
              <w:t>Objetivos</w:t>
            </w:r>
            <w:r>
              <w:rPr>
                <w:b/>
                <w:spacing w:val="-5"/>
                <w:sz w:val="18"/>
              </w:rPr>
              <w:t> </w:t>
            </w:r>
            <w:r>
              <w:rPr>
                <w:b/>
                <w:sz w:val="18"/>
              </w:rPr>
              <w:t>/</w:t>
            </w:r>
            <w:r>
              <w:rPr>
                <w:b/>
                <w:spacing w:val="-2"/>
                <w:sz w:val="18"/>
              </w:rPr>
              <w:t> Resultados</w:t>
            </w:r>
          </w:p>
        </w:tc>
        <w:tc>
          <w:tcPr>
            <w:tcW w:w="1426" w:type="dxa"/>
            <w:vMerge w:val="restart"/>
            <w:shd w:val="clear" w:color="auto" w:fill="D7D7D7"/>
          </w:tcPr>
          <w:p>
            <w:pPr>
              <w:pStyle w:val="TableParagraph"/>
              <w:rPr>
                <w:b/>
                <w:sz w:val="18"/>
              </w:rPr>
            </w:pPr>
          </w:p>
          <w:p>
            <w:pPr>
              <w:pStyle w:val="TableParagraph"/>
              <w:spacing w:before="141"/>
              <w:rPr>
                <w:b/>
                <w:sz w:val="18"/>
              </w:rPr>
            </w:pPr>
          </w:p>
          <w:p>
            <w:pPr>
              <w:pStyle w:val="TableParagraph"/>
              <w:ind w:left="71"/>
              <w:rPr>
                <w:b/>
                <w:sz w:val="18"/>
              </w:rPr>
            </w:pPr>
            <w:r>
              <w:rPr>
                <w:b/>
                <w:spacing w:val="-2"/>
                <w:sz w:val="18"/>
              </w:rPr>
              <w:t>Indicador</w:t>
            </w:r>
          </w:p>
        </w:tc>
        <w:tc>
          <w:tcPr>
            <w:tcW w:w="2515" w:type="dxa"/>
            <w:gridSpan w:val="2"/>
            <w:shd w:val="clear" w:color="auto" w:fill="D7D7D7"/>
          </w:tcPr>
          <w:p>
            <w:pPr>
              <w:pStyle w:val="TableParagraph"/>
              <w:spacing w:before="47"/>
              <w:ind w:left="791"/>
              <w:rPr>
                <w:b/>
                <w:sz w:val="18"/>
              </w:rPr>
            </w:pPr>
            <w:r>
              <w:rPr>
                <w:b/>
                <w:sz w:val="18"/>
              </w:rPr>
              <w:t>I</w:t>
            </w:r>
            <w:r>
              <w:rPr>
                <w:b/>
                <w:spacing w:val="-1"/>
                <w:sz w:val="18"/>
              </w:rPr>
              <w:t> </w:t>
            </w:r>
            <w:r>
              <w:rPr>
                <w:b/>
                <w:spacing w:val="-2"/>
                <w:sz w:val="18"/>
              </w:rPr>
              <w:t>Trimestre</w:t>
            </w:r>
          </w:p>
        </w:tc>
        <w:tc>
          <w:tcPr>
            <w:tcW w:w="2573" w:type="dxa"/>
            <w:gridSpan w:val="2"/>
            <w:shd w:val="clear" w:color="auto" w:fill="D7D7D7"/>
          </w:tcPr>
          <w:p>
            <w:pPr>
              <w:pStyle w:val="TableParagraph"/>
              <w:spacing w:before="47"/>
              <w:ind w:left="797"/>
              <w:rPr>
                <w:b/>
                <w:sz w:val="18"/>
              </w:rPr>
            </w:pPr>
            <w:r>
              <w:rPr>
                <w:b/>
                <w:sz w:val="18"/>
              </w:rPr>
              <w:t>II</w:t>
            </w:r>
            <w:r>
              <w:rPr>
                <w:b/>
                <w:spacing w:val="-3"/>
                <w:sz w:val="18"/>
              </w:rPr>
              <w:t> </w:t>
            </w:r>
            <w:r>
              <w:rPr>
                <w:b/>
                <w:spacing w:val="-2"/>
                <w:sz w:val="18"/>
              </w:rPr>
              <w:t>Trimestre</w:t>
            </w:r>
          </w:p>
        </w:tc>
        <w:tc>
          <w:tcPr>
            <w:tcW w:w="2669" w:type="dxa"/>
            <w:gridSpan w:val="2"/>
            <w:shd w:val="clear" w:color="auto" w:fill="D7D7D7"/>
          </w:tcPr>
          <w:p>
            <w:pPr>
              <w:pStyle w:val="TableParagraph"/>
              <w:spacing w:before="47"/>
              <w:ind w:left="822"/>
              <w:rPr>
                <w:b/>
                <w:sz w:val="18"/>
              </w:rPr>
            </w:pPr>
            <w:r>
              <w:rPr>
                <w:b/>
                <w:sz w:val="18"/>
              </w:rPr>
              <w:t>III</w:t>
            </w:r>
            <w:r>
              <w:rPr>
                <w:b/>
                <w:spacing w:val="-2"/>
                <w:sz w:val="18"/>
              </w:rPr>
              <w:t> Trimestre</w:t>
            </w:r>
          </w:p>
        </w:tc>
        <w:tc>
          <w:tcPr>
            <w:tcW w:w="2617" w:type="dxa"/>
            <w:gridSpan w:val="2"/>
            <w:shd w:val="clear" w:color="auto" w:fill="D7D7D7"/>
          </w:tcPr>
          <w:p>
            <w:pPr>
              <w:pStyle w:val="TableParagraph"/>
              <w:spacing w:before="47"/>
              <w:ind w:left="789"/>
              <w:rPr>
                <w:b/>
                <w:sz w:val="18"/>
              </w:rPr>
            </w:pPr>
            <w:r>
              <w:rPr>
                <w:b/>
                <w:sz w:val="18"/>
              </w:rPr>
              <w:t>IV</w:t>
            </w:r>
            <w:r>
              <w:rPr>
                <w:b/>
                <w:spacing w:val="-2"/>
                <w:sz w:val="18"/>
              </w:rPr>
              <w:t> Trimestre</w:t>
            </w:r>
          </w:p>
        </w:tc>
      </w:tr>
      <w:tr>
        <w:trPr>
          <w:trHeight w:val="1003" w:hRule="atLeast"/>
        </w:trPr>
        <w:tc>
          <w:tcPr>
            <w:tcW w:w="2593" w:type="dxa"/>
            <w:vMerge/>
            <w:tcBorders>
              <w:top w:val="nil"/>
            </w:tcBorders>
            <w:shd w:val="clear" w:color="auto" w:fill="D7D7D7"/>
          </w:tcPr>
          <w:p>
            <w:pPr>
              <w:rPr>
                <w:sz w:val="2"/>
                <w:szCs w:val="2"/>
              </w:rPr>
            </w:pPr>
          </w:p>
        </w:tc>
        <w:tc>
          <w:tcPr>
            <w:tcW w:w="1426" w:type="dxa"/>
            <w:vMerge/>
            <w:tcBorders>
              <w:top w:val="nil"/>
            </w:tcBorders>
            <w:shd w:val="clear" w:color="auto" w:fill="D7D7D7"/>
          </w:tcPr>
          <w:p>
            <w:pPr>
              <w:rPr>
                <w:sz w:val="2"/>
                <w:szCs w:val="2"/>
              </w:rPr>
            </w:pP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34" w:type="dxa"/>
            <w:shd w:val="clear" w:color="auto" w:fill="D7D7D7"/>
          </w:tcPr>
          <w:p>
            <w:pPr>
              <w:pStyle w:val="TableParagraph"/>
              <w:spacing w:before="190"/>
              <w:rPr>
                <w:b/>
                <w:sz w:val="18"/>
              </w:rPr>
            </w:pPr>
          </w:p>
          <w:p>
            <w:pPr>
              <w:pStyle w:val="TableParagraph"/>
              <w:ind w:left="6"/>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92" w:type="dxa"/>
            <w:shd w:val="clear" w:color="auto" w:fill="D7D7D7"/>
          </w:tcPr>
          <w:p>
            <w:pPr>
              <w:pStyle w:val="TableParagraph"/>
              <w:spacing w:before="190"/>
              <w:rPr>
                <w:b/>
                <w:sz w:val="18"/>
              </w:rPr>
            </w:pPr>
          </w:p>
          <w:p>
            <w:pPr>
              <w:pStyle w:val="TableParagraph"/>
              <w:ind w:left="7"/>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3" w:firstLine="312"/>
              <w:rPr>
                <w:b/>
                <w:sz w:val="18"/>
              </w:rPr>
            </w:pPr>
            <w:r>
              <w:rPr>
                <w:b/>
                <w:spacing w:val="-4"/>
                <w:sz w:val="18"/>
              </w:rPr>
              <w:t>Meta </w:t>
            </w:r>
            <w:r>
              <w:rPr>
                <w:b/>
                <w:spacing w:val="-2"/>
                <w:sz w:val="18"/>
              </w:rPr>
              <w:t>programada</w:t>
            </w:r>
          </w:p>
        </w:tc>
        <w:tc>
          <w:tcPr>
            <w:tcW w:w="1488" w:type="dxa"/>
            <w:shd w:val="clear" w:color="auto" w:fill="D7D7D7"/>
          </w:tcPr>
          <w:p>
            <w:pPr>
              <w:pStyle w:val="TableParagraph"/>
              <w:spacing w:before="190"/>
              <w:rPr>
                <w:b/>
                <w:sz w:val="18"/>
              </w:rPr>
            </w:pPr>
          </w:p>
          <w:p>
            <w:pPr>
              <w:pStyle w:val="TableParagraph"/>
              <w:ind w:left="9"/>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4" w:firstLine="312"/>
              <w:rPr>
                <w:b/>
                <w:sz w:val="18"/>
              </w:rPr>
            </w:pPr>
            <w:r>
              <w:rPr>
                <w:b/>
                <w:spacing w:val="-4"/>
                <w:sz w:val="18"/>
              </w:rPr>
              <w:t>Meta </w:t>
            </w:r>
            <w:r>
              <w:rPr>
                <w:b/>
                <w:spacing w:val="-2"/>
                <w:sz w:val="18"/>
              </w:rPr>
              <w:t>programada</w:t>
            </w:r>
          </w:p>
        </w:tc>
        <w:tc>
          <w:tcPr>
            <w:tcW w:w="1436" w:type="dxa"/>
            <w:shd w:val="clear" w:color="auto" w:fill="D7D7D7"/>
          </w:tcPr>
          <w:p>
            <w:pPr>
              <w:pStyle w:val="TableParagraph"/>
              <w:spacing w:before="190"/>
              <w:rPr>
                <w:b/>
                <w:sz w:val="18"/>
              </w:rPr>
            </w:pPr>
          </w:p>
          <w:p>
            <w:pPr>
              <w:pStyle w:val="TableParagraph"/>
              <w:ind w:left="14"/>
              <w:jc w:val="center"/>
              <w:rPr>
                <w:b/>
                <w:sz w:val="18"/>
              </w:rPr>
            </w:pPr>
            <w:r>
              <w:rPr>
                <w:b/>
                <w:spacing w:val="-10"/>
                <w:sz w:val="18"/>
              </w:rPr>
              <w:t>¢</w:t>
            </w:r>
          </w:p>
        </w:tc>
      </w:tr>
      <w:tr>
        <w:trPr>
          <w:trHeight w:val="1200" w:hRule="atLeast"/>
        </w:trPr>
        <w:tc>
          <w:tcPr>
            <w:tcW w:w="2593" w:type="dxa"/>
          </w:tcPr>
          <w:p>
            <w:pPr>
              <w:pStyle w:val="TableParagraph"/>
              <w:spacing w:before="80"/>
              <w:ind w:left="72" w:right="126"/>
              <w:rPr>
                <w:sz w:val="18"/>
              </w:rPr>
            </w:pPr>
            <w:r>
              <w:rPr>
                <w:b/>
                <w:sz w:val="18"/>
              </w:rPr>
              <w:t>Actividad PAC 2.6.2: </w:t>
            </w:r>
            <w:r>
              <w:rPr>
                <w:sz w:val="18"/>
              </w:rPr>
              <w:t>Dependencias identificadas para</w:t>
            </w:r>
            <w:r>
              <w:rPr>
                <w:spacing w:val="-8"/>
                <w:sz w:val="18"/>
              </w:rPr>
              <w:t> </w:t>
            </w:r>
            <w:r>
              <w:rPr>
                <w:sz w:val="18"/>
              </w:rPr>
              <w:t>llevar</w:t>
            </w:r>
            <w:r>
              <w:rPr>
                <w:spacing w:val="-7"/>
                <w:sz w:val="18"/>
              </w:rPr>
              <w:t> </w:t>
            </w:r>
            <w:r>
              <w:rPr>
                <w:sz w:val="18"/>
              </w:rPr>
              <w:t>a</w:t>
            </w:r>
            <w:r>
              <w:rPr>
                <w:spacing w:val="-8"/>
                <w:sz w:val="18"/>
              </w:rPr>
              <w:t> </w:t>
            </w:r>
            <w:r>
              <w:rPr>
                <w:sz w:val="18"/>
              </w:rPr>
              <w:t>cabo</w:t>
            </w:r>
            <w:r>
              <w:rPr>
                <w:spacing w:val="-8"/>
                <w:sz w:val="18"/>
              </w:rPr>
              <w:t> </w:t>
            </w:r>
            <w:r>
              <w:rPr>
                <w:sz w:val="18"/>
              </w:rPr>
              <w:t>el</w:t>
            </w:r>
            <w:r>
              <w:rPr>
                <w:spacing w:val="-6"/>
                <w:sz w:val="18"/>
              </w:rPr>
              <w:t> </w:t>
            </w:r>
            <w:r>
              <w:rPr>
                <w:sz w:val="18"/>
              </w:rPr>
              <w:t>proceso de alineamiento con los objetivos institucionales</w:t>
            </w:r>
          </w:p>
        </w:tc>
        <w:tc>
          <w:tcPr>
            <w:tcW w:w="1426" w:type="dxa"/>
          </w:tcPr>
          <w:p>
            <w:pPr>
              <w:pStyle w:val="TableParagraph"/>
              <w:spacing w:before="79"/>
              <w:rPr>
                <w:b/>
                <w:sz w:val="18"/>
              </w:rPr>
            </w:pPr>
          </w:p>
          <w:p>
            <w:pPr>
              <w:pStyle w:val="TableParagraph"/>
              <w:spacing w:line="242" w:lineRule="auto" w:before="1"/>
              <w:ind w:left="71" w:right="24"/>
              <w:rPr>
                <w:sz w:val="18"/>
              </w:rPr>
            </w:pPr>
            <w:r>
              <w:rPr>
                <w:sz w:val="18"/>
              </w:rPr>
              <w:t>Cantidad de </w:t>
            </w:r>
            <w:r>
              <w:rPr>
                <w:spacing w:val="-2"/>
                <w:sz w:val="18"/>
              </w:rPr>
              <w:t>dependencias identificadas</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spacing w:before="84"/>
              <w:rPr>
                <w:b/>
                <w:sz w:val="18"/>
              </w:rPr>
            </w:pPr>
          </w:p>
          <w:p>
            <w:pPr>
              <w:pStyle w:val="TableParagraph"/>
              <w:ind w:right="53"/>
              <w:jc w:val="right"/>
              <w:rPr>
                <w:sz w:val="18"/>
              </w:rPr>
            </w:pPr>
            <w:r>
              <w:rPr>
                <w:spacing w:val="-5"/>
                <w:sz w:val="18"/>
              </w:rPr>
              <w:t>21</w:t>
            </w:r>
          </w:p>
        </w:tc>
        <w:tc>
          <w:tcPr>
            <w:tcW w:w="1436" w:type="dxa"/>
          </w:tcPr>
          <w:p>
            <w:pPr>
              <w:pStyle w:val="TableParagraph"/>
              <w:rPr>
                <w:rFonts w:ascii="Times New Roman"/>
                <w:sz w:val="18"/>
              </w:rPr>
            </w:pPr>
          </w:p>
        </w:tc>
      </w:tr>
      <w:tr>
        <w:trPr>
          <w:trHeight w:val="647" w:hRule="atLeast"/>
        </w:trPr>
        <w:tc>
          <w:tcPr>
            <w:tcW w:w="14393" w:type="dxa"/>
            <w:gridSpan w:val="10"/>
            <w:shd w:val="clear" w:color="auto" w:fill="EFF8F9"/>
          </w:tcPr>
          <w:p>
            <w:pPr>
              <w:pStyle w:val="TableParagraph"/>
              <w:spacing w:before="12"/>
              <w:rPr>
                <w:b/>
                <w:sz w:val="18"/>
              </w:rPr>
            </w:pPr>
          </w:p>
          <w:p>
            <w:pPr>
              <w:pStyle w:val="TableParagraph"/>
              <w:ind w:left="72"/>
              <w:rPr>
                <w:b/>
                <w:sz w:val="18"/>
              </w:rPr>
            </w:pPr>
            <w:r>
              <w:rPr>
                <w:b/>
                <w:sz w:val="18"/>
              </w:rPr>
              <w:t>Producto</w:t>
            </w:r>
            <w:r>
              <w:rPr>
                <w:b/>
                <w:spacing w:val="-8"/>
                <w:sz w:val="18"/>
              </w:rPr>
              <w:t> </w:t>
            </w:r>
            <w:r>
              <w:rPr>
                <w:b/>
                <w:sz w:val="18"/>
              </w:rPr>
              <w:t>PAC</w:t>
            </w:r>
            <w:r>
              <w:rPr>
                <w:b/>
                <w:spacing w:val="-8"/>
                <w:sz w:val="18"/>
              </w:rPr>
              <w:t> </w:t>
            </w:r>
            <w:r>
              <w:rPr>
                <w:b/>
                <w:sz w:val="18"/>
              </w:rPr>
              <w:t>2.7:</w:t>
            </w:r>
            <w:r>
              <w:rPr>
                <w:b/>
                <w:spacing w:val="-1"/>
                <w:sz w:val="18"/>
              </w:rPr>
              <w:t> </w:t>
            </w:r>
            <w:r>
              <w:rPr>
                <w:b/>
                <w:sz w:val="18"/>
              </w:rPr>
              <w:t>Normativa</w:t>
            </w:r>
            <w:r>
              <w:rPr>
                <w:b/>
                <w:spacing w:val="-7"/>
                <w:sz w:val="18"/>
              </w:rPr>
              <w:t> </w:t>
            </w:r>
            <w:r>
              <w:rPr>
                <w:b/>
                <w:sz w:val="18"/>
              </w:rPr>
              <w:t>institucional</w:t>
            </w:r>
            <w:r>
              <w:rPr>
                <w:b/>
                <w:spacing w:val="-5"/>
                <w:sz w:val="18"/>
              </w:rPr>
              <w:t> </w:t>
            </w:r>
            <w:r>
              <w:rPr>
                <w:b/>
                <w:sz w:val="18"/>
              </w:rPr>
              <w:t>actualizada</w:t>
            </w:r>
            <w:r>
              <w:rPr>
                <w:b/>
                <w:spacing w:val="-6"/>
                <w:sz w:val="18"/>
              </w:rPr>
              <w:t> </w:t>
            </w:r>
            <w:r>
              <w:rPr>
                <w:b/>
                <w:sz w:val="18"/>
              </w:rPr>
              <w:t>para</w:t>
            </w:r>
            <w:r>
              <w:rPr>
                <w:b/>
                <w:spacing w:val="-3"/>
                <w:sz w:val="18"/>
              </w:rPr>
              <w:t> </w:t>
            </w:r>
            <w:r>
              <w:rPr>
                <w:b/>
                <w:sz w:val="18"/>
              </w:rPr>
              <w:t>permitir</w:t>
            </w:r>
            <w:r>
              <w:rPr>
                <w:b/>
                <w:spacing w:val="-1"/>
                <w:sz w:val="18"/>
              </w:rPr>
              <w:t> </w:t>
            </w:r>
            <w:r>
              <w:rPr>
                <w:b/>
                <w:sz w:val="18"/>
              </w:rPr>
              <w:t>el</w:t>
            </w:r>
            <w:r>
              <w:rPr>
                <w:b/>
                <w:spacing w:val="-5"/>
                <w:sz w:val="18"/>
              </w:rPr>
              <w:t> </w:t>
            </w:r>
            <w:r>
              <w:rPr>
                <w:b/>
                <w:sz w:val="18"/>
              </w:rPr>
              <w:t>desarrollo</w:t>
            </w:r>
            <w:r>
              <w:rPr>
                <w:b/>
                <w:spacing w:val="-7"/>
                <w:sz w:val="18"/>
              </w:rPr>
              <w:t> </w:t>
            </w:r>
            <w:r>
              <w:rPr>
                <w:b/>
                <w:sz w:val="18"/>
              </w:rPr>
              <w:t>de</w:t>
            </w:r>
            <w:r>
              <w:rPr>
                <w:b/>
                <w:spacing w:val="-7"/>
                <w:sz w:val="18"/>
              </w:rPr>
              <w:t> </w:t>
            </w:r>
            <w:r>
              <w:rPr>
                <w:b/>
                <w:sz w:val="18"/>
              </w:rPr>
              <w:t>planes</w:t>
            </w:r>
            <w:r>
              <w:rPr>
                <w:b/>
                <w:spacing w:val="-2"/>
                <w:sz w:val="18"/>
              </w:rPr>
              <w:t> </w:t>
            </w:r>
            <w:r>
              <w:rPr>
                <w:b/>
                <w:sz w:val="18"/>
              </w:rPr>
              <w:t>de</w:t>
            </w:r>
            <w:r>
              <w:rPr>
                <w:b/>
                <w:spacing w:val="-3"/>
                <w:sz w:val="18"/>
              </w:rPr>
              <w:t> </w:t>
            </w:r>
            <w:r>
              <w:rPr>
                <w:b/>
                <w:sz w:val="18"/>
              </w:rPr>
              <w:t>carrera</w:t>
            </w:r>
            <w:r>
              <w:rPr>
                <w:b/>
                <w:spacing w:val="-7"/>
                <w:sz w:val="18"/>
              </w:rPr>
              <w:t> </w:t>
            </w:r>
            <w:r>
              <w:rPr>
                <w:b/>
                <w:sz w:val="18"/>
              </w:rPr>
              <w:t>y</w:t>
            </w:r>
            <w:r>
              <w:rPr>
                <w:b/>
                <w:spacing w:val="-3"/>
                <w:sz w:val="18"/>
              </w:rPr>
              <w:t> </w:t>
            </w:r>
            <w:r>
              <w:rPr>
                <w:b/>
                <w:sz w:val="18"/>
              </w:rPr>
              <w:t>sucesión</w:t>
            </w:r>
            <w:r>
              <w:rPr>
                <w:b/>
                <w:spacing w:val="-7"/>
                <w:sz w:val="18"/>
              </w:rPr>
              <w:t> </w:t>
            </w:r>
            <w:r>
              <w:rPr>
                <w:b/>
                <w:sz w:val="18"/>
              </w:rPr>
              <w:t>E6</w:t>
            </w:r>
            <w:r>
              <w:rPr>
                <w:b/>
                <w:spacing w:val="-3"/>
                <w:sz w:val="18"/>
              </w:rPr>
              <w:t> </w:t>
            </w:r>
            <w:r>
              <w:rPr>
                <w:b/>
                <w:sz w:val="18"/>
              </w:rPr>
              <w:t>AE1</w:t>
            </w:r>
            <w:r>
              <w:rPr>
                <w:b/>
                <w:spacing w:val="-3"/>
                <w:sz w:val="18"/>
              </w:rPr>
              <w:t> </w:t>
            </w:r>
            <w:r>
              <w:rPr>
                <w:b/>
                <w:sz w:val="18"/>
              </w:rPr>
              <w:t>R3</w:t>
            </w:r>
            <w:r>
              <w:rPr>
                <w:b/>
                <w:spacing w:val="-11"/>
                <w:sz w:val="18"/>
              </w:rPr>
              <w:t> </w:t>
            </w:r>
            <w:r>
              <w:rPr>
                <w:b/>
                <w:sz w:val="18"/>
              </w:rPr>
              <w:t>(meta</w:t>
            </w:r>
            <w:r>
              <w:rPr>
                <w:b/>
                <w:spacing w:val="-6"/>
                <w:sz w:val="18"/>
              </w:rPr>
              <w:t> </w:t>
            </w:r>
            <w:r>
              <w:rPr>
                <w:b/>
                <w:sz w:val="18"/>
              </w:rPr>
              <w:t>programada</w:t>
            </w:r>
            <w:r>
              <w:rPr>
                <w:b/>
                <w:spacing w:val="-7"/>
                <w:sz w:val="18"/>
              </w:rPr>
              <w:t> </w:t>
            </w:r>
            <w:r>
              <w:rPr>
                <w:b/>
                <w:spacing w:val="-2"/>
                <w:sz w:val="18"/>
              </w:rPr>
              <w:t>100%)</w:t>
            </w:r>
          </w:p>
        </w:tc>
      </w:tr>
      <w:tr>
        <w:trPr>
          <w:trHeight w:val="1032" w:hRule="atLeast"/>
        </w:trPr>
        <w:tc>
          <w:tcPr>
            <w:tcW w:w="2593" w:type="dxa"/>
          </w:tcPr>
          <w:p>
            <w:pPr>
              <w:pStyle w:val="TableParagraph"/>
              <w:ind w:left="72" w:right="126"/>
              <w:rPr>
                <w:sz w:val="18"/>
              </w:rPr>
            </w:pPr>
            <w:r>
              <w:rPr>
                <w:b/>
                <w:sz w:val="18"/>
              </w:rPr>
              <w:t>Actividad PAC 2.7.1: </w:t>
            </w:r>
            <w:r>
              <w:rPr>
                <w:sz w:val="18"/>
              </w:rPr>
              <w:t>Realizar diagnóstico normativo</w:t>
            </w:r>
            <w:r>
              <w:rPr>
                <w:spacing w:val="-12"/>
                <w:sz w:val="18"/>
              </w:rPr>
              <w:t> </w:t>
            </w:r>
            <w:r>
              <w:rPr>
                <w:sz w:val="18"/>
              </w:rPr>
              <w:t>interno</w:t>
            </w:r>
            <w:r>
              <w:rPr>
                <w:spacing w:val="-12"/>
                <w:sz w:val="18"/>
              </w:rPr>
              <w:t> </w:t>
            </w:r>
            <w:r>
              <w:rPr>
                <w:sz w:val="18"/>
              </w:rPr>
              <w:t>y</w:t>
            </w:r>
            <w:r>
              <w:rPr>
                <w:spacing w:val="-12"/>
                <w:sz w:val="18"/>
              </w:rPr>
              <w:t> </w:t>
            </w:r>
            <w:r>
              <w:rPr>
                <w:sz w:val="18"/>
              </w:rPr>
              <w:t>análisis</w:t>
            </w:r>
          </w:p>
          <w:p>
            <w:pPr>
              <w:pStyle w:val="TableParagraph"/>
              <w:spacing w:line="206" w:lineRule="exact"/>
              <w:ind w:left="72" w:right="126"/>
              <w:rPr>
                <w:sz w:val="18"/>
              </w:rPr>
            </w:pPr>
            <w:r>
              <w:rPr>
                <w:sz w:val="18"/>
              </w:rPr>
              <w:t>comparado</w:t>
            </w:r>
            <w:r>
              <w:rPr>
                <w:spacing w:val="-15"/>
                <w:sz w:val="18"/>
              </w:rPr>
              <w:t> </w:t>
            </w:r>
            <w:r>
              <w:rPr>
                <w:sz w:val="18"/>
              </w:rPr>
              <w:t>de</w:t>
            </w:r>
            <w:r>
              <w:rPr>
                <w:spacing w:val="-12"/>
                <w:sz w:val="18"/>
              </w:rPr>
              <w:t> </w:t>
            </w:r>
            <w:r>
              <w:rPr>
                <w:sz w:val="18"/>
              </w:rPr>
              <w:t>buenas </w:t>
            </w:r>
            <w:r>
              <w:rPr>
                <w:spacing w:val="-2"/>
                <w:sz w:val="18"/>
              </w:rPr>
              <w:t>prácticas</w:t>
            </w:r>
          </w:p>
        </w:tc>
        <w:tc>
          <w:tcPr>
            <w:tcW w:w="1426" w:type="dxa"/>
          </w:tcPr>
          <w:p>
            <w:pPr>
              <w:pStyle w:val="TableParagraph"/>
              <w:spacing w:before="206"/>
              <w:ind w:left="71" w:right="338"/>
              <w:jc w:val="both"/>
              <w:rPr>
                <w:sz w:val="18"/>
              </w:rPr>
            </w:pPr>
            <w:r>
              <w:rPr>
                <w:sz w:val="18"/>
              </w:rPr>
              <w:t>Cantidad</w:t>
            </w:r>
            <w:r>
              <w:rPr>
                <w:spacing w:val="-4"/>
                <w:sz w:val="18"/>
              </w:rPr>
              <w:t> </w:t>
            </w:r>
            <w:r>
              <w:rPr>
                <w:sz w:val="18"/>
              </w:rPr>
              <w:t>de </w:t>
            </w:r>
            <w:r>
              <w:rPr>
                <w:spacing w:val="-2"/>
                <w:sz w:val="18"/>
              </w:rPr>
              <w:t>diagnósticos elaborados</w:t>
            </w:r>
          </w:p>
        </w:tc>
        <w:tc>
          <w:tcPr>
            <w:tcW w:w="1181" w:type="dxa"/>
          </w:tcPr>
          <w:p>
            <w:pPr>
              <w:pStyle w:val="TableParagraph"/>
              <w:spacing w:before="205"/>
              <w:rPr>
                <w:b/>
                <w:sz w:val="18"/>
              </w:rPr>
            </w:pPr>
          </w:p>
          <w:p>
            <w:pPr>
              <w:pStyle w:val="TableParagraph"/>
              <w:ind w:right="59"/>
              <w:jc w:val="right"/>
              <w:rPr>
                <w:sz w:val="18"/>
              </w:rPr>
            </w:pPr>
            <w:r>
              <w:rPr>
                <w:spacing w:val="-10"/>
                <w:sz w:val="18"/>
              </w:rPr>
              <w:t>1</w:t>
            </w: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r>
        <w:trPr>
          <w:trHeight w:val="944" w:hRule="atLeast"/>
        </w:trPr>
        <w:tc>
          <w:tcPr>
            <w:tcW w:w="2593" w:type="dxa"/>
          </w:tcPr>
          <w:p>
            <w:pPr>
              <w:pStyle w:val="TableParagraph"/>
              <w:spacing w:before="60"/>
              <w:ind w:left="72" w:right="126"/>
              <w:rPr>
                <w:sz w:val="18"/>
              </w:rPr>
            </w:pPr>
            <w:r>
              <w:rPr>
                <w:b/>
                <w:sz w:val="18"/>
              </w:rPr>
              <w:t>Actividad PAC 2.7.2: </w:t>
            </w:r>
            <w:r>
              <w:rPr>
                <w:sz w:val="18"/>
              </w:rPr>
              <w:t>Desarrollar propuesta normativa</w:t>
            </w:r>
            <w:r>
              <w:rPr>
                <w:spacing w:val="-11"/>
                <w:sz w:val="18"/>
              </w:rPr>
              <w:t> </w:t>
            </w:r>
            <w:r>
              <w:rPr>
                <w:sz w:val="18"/>
              </w:rPr>
              <w:t>de</w:t>
            </w:r>
            <w:r>
              <w:rPr>
                <w:spacing w:val="-11"/>
                <w:sz w:val="18"/>
              </w:rPr>
              <w:t> </w:t>
            </w:r>
            <w:r>
              <w:rPr>
                <w:sz w:val="18"/>
              </w:rPr>
              <w:t>planes</w:t>
            </w:r>
            <w:r>
              <w:rPr>
                <w:spacing w:val="-11"/>
                <w:sz w:val="18"/>
              </w:rPr>
              <w:t> </w:t>
            </w:r>
            <w:r>
              <w:rPr>
                <w:sz w:val="18"/>
              </w:rPr>
              <w:t>de carrera y sucesión</w:t>
            </w:r>
          </w:p>
        </w:tc>
        <w:tc>
          <w:tcPr>
            <w:tcW w:w="1426" w:type="dxa"/>
          </w:tcPr>
          <w:p>
            <w:pPr>
              <w:pStyle w:val="TableParagraph"/>
              <w:spacing w:before="60"/>
              <w:ind w:left="71" w:right="24"/>
              <w:rPr>
                <w:sz w:val="18"/>
              </w:rPr>
            </w:pPr>
            <w:r>
              <w:rPr>
                <w:sz w:val="18"/>
              </w:rPr>
              <w:t>Cantidad de propuestas</w:t>
            </w:r>
            <w:r>
              <w:rPr>
                <w:spacing w:val="-13"/>
                <w:sz w:val="18"/>
              </w:rPr>
              <w:t> </w:t>
            </w:r>
            <w:r>
              <w:rPr>
                <w:sz w:val="18"/>
              </w:rPr>
              <w:t>de </w:t>
            </w:r>
            <w:r>
              <w:rPr>
                <w:spacing w:val="-2"/>
                <w:sz w:val="18"/>
              </w:rPr>
              <w:t>normativa desarrolladas</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spacing w:before="161"/>
              <w:rPr>
                <w:b/>
                <w:sz w:val="18"/>
              </w:rPr>
            </w:pPr>
          </w:p>
          <w:p>
            <w:pPr>
              <w:pStyle w:val="TableParagraph"/>
              <w:ind w:right="53"/>
              <w:jc w:val="right"/>
              <w:rPr>
                <w:sz w:val="18"/>
              </w:rPr>
            </w:pPr>
            <w:r>
              <w:rPr>
                <w:spacing w:val="-10"/>
                <w:sz w:val="18"/>
              </w:rPr>
              <w:t>1</w:t>
            </w: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r>
        <w:trPr>
          <w:trHeight w:val="782" w:hRule="atLeast"/>
        </w:trPr>
        <w:tc>
          <w:tcPr>
            <w:tcW w:w="2593" w:type="dxa"/>
          </w:tcPr>
          <w:p>
            <w:pPr>
              <w:pStyle w:val="TableParagraph"/>
              <w:spacing w:before="80"/>
              <w:ind w:left="72" w:right="126"/>
              <w:rPr>
                <w:sz w:val="18"/>
              </w:rPr>
            </w:pPr>
            <w:r>
              <w:rPr>
                <w:b/>
                <w:sz w:val="18"/>
              </w:rPr>
              <w:t>Actividad</w:t>
            </w:r>
            <w:r>
              <w:rPr>
                <w:b/>
                <w:spacing w:val="-13"/>
                <w:sz w:val="18"/>
              </w:rPr>
              <w:t> </w:t>
            </w:r>
            <w:r>
              <w:rPr>
                <w:b/>
                <w:sz w:val="18"/>
              </w:rPr>
              <w:t>PAC</w:t>
            </w:r>
            <w:r>
              <w:rPr>
                <w:b/>
                <w:spacing w:val="-11"/>
                <w:sz w:val="18"/>
              </w:rPr>
              <w:t> </w:t>
            </w:r>
            <w:r>
              <w:rPr>
                <w:b/>
                <w:sz w:val="18"/>
              </w:rPr>
              <w:t>2.7.3:</w:t>
            </w:r>
            <w:r>
              <w:rPr>
                <w:b/>
                <w:spacing w:val="-10"/>
                <w:sz w:val="18"/>
              </w:rPr>
              <w:t> </w:t>
            </w:r>
            <w:r>
              <w:rPr>
                <w:sz w:val="18"/>
              </w:rPr>
              <w:t>Validar y aprobar la normativa propuesta ante jefatura</w:t>
            </w:r>
          </w:p>
        </w:tc>
        <w:tc>
          <w:tcPr>
            <w:tcW w:w="1426" w:type="dxa"/>
          </w:tcPr>
          <w:p>
            <w:pPr>
              <w:pStyle w:val="TableParagraph"/>
              <w:spacing w:before="80"/>
              <w:ind w:left="71" w:right="227"/>
              <w:rPr>
                <w:sz w:val="18"/>
              </w:rPr>
            </w:pPr>
            <w:r>
              <w:rPr>
                <w:sz w:val="18"/>
              </w:rPr>
              <w:t>Porcentaje</w:t>
            </w:r>
            <w:r>
              <w:rPr>
                <w:spacing w:val="-13"/>
                <w:sz w:val="18"/>
              </w:rPr>
              <w:t> </w:t>
            </w:r>
            <w:r>
              <w:rPr>
                <w:sz w:val="18"/>
              </w:rPr>
              <w:t>de la normativa </w:t>
            </w:r>
            <w:r>
              <w:rPr>
                <w:spacing w:val="-2"/>
                <w:sz w:val="18"/>
              </w:rPr>
              <w:t>aprobada</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spacing w:before="79"/>
              <w:rPr>
                <w:b/>
                <w:sz w:val="18"/>
              </w:rPr>
            </w:pPr>
          </w:p>
          <w:p>
            <w:pPr>
              <w:pStyle w:val="TableParagraph"/>
              <w:spacing w:before="1"/>
              <w:ind w:right="50"/>
              <w:jc w:val="right"/>
              <w:rPr>
                <w:sz w:val="18"/>
              </w:rPr>
            </w:pPr>
            <w:r>
              <w:rPr>
                <w:spacing w:val="-4"/>
                <w:sz w:val="18"/>
              </w:rPr>
              <w:t>100%</w:t>
            </w:r>
          </w:p>
        </w:tc>
        <w:tc>
          <w:tcPr>
            <w:tcW w:w="1436" w:type="dxa"/>
          </w:tcPr>
          <w:p>
            <w:pPr>
              <w:pStyle w:val="TableParagraph"/>
              <w:rPr>
                <w:rFonts w:ascii="Times New Roman"/>
                <w:sz w:val="18"/>
              </w:rPr>
            </w:pPr>
          </w:p>
        </w:tc>
      </w:tr>
      <w:tr>
        <w:trPr>
          <w:trHeight w:val="599" w:hRule="atLeast"/>
        </w:trPr>
        <w:tc>
          <w:tcPr>
            <w:tcW w:w="14393" w:type="dxa"/>
            <w:gridSpan w:val="10"/>
            <w:shd w:val="clear" w:color="auto" w:fill="EFF8F9"/>
          </w:tcPr>
          <w:p>
            <w:pPr>
              <w:pStyle w:val="TableParagraph"/>
              <w:spacing w:before="90"/>
              <w:ind w:left="72" w:right="28"/>
              <w:rPr>
                <w:b/>
                <w:sz w:val="18"/>
              </w:rPr>
            </w:pPr>
            <w:r>
              <w:rPr>
                <w:b/>
                <w:sz w:val="18"/>
              </w:rPr>
              <w:t>Producto</w:t>
            </w:r>
            <w:r>
              <w:rPr>
                <w:b/>
                <w:spacing w:val="-4"/>
                <w:sz w:val="18"/>
              </w:rPr>
              <w:t> </w:t>
            </w:r>
            <w:r>
              <w:rPr>
                <w:b/>
                <w:sz w:val="18"/>
              </w:rPr>
              <w:t>PAC</w:t>
            </w:r>
            <w:r>
              <w:rPr>
                <w:b/>
                <w:spacing w:val="-5"/>
                <w:sz w:val="18"/>
              </w:rPr>
              <w:t> </w:t>
            </w:r>
            <w:r>
              <w:rPr>
                <w:b/>
                <w:sz w:val="18"/>
              </w:rPr>
              <w:t>2.8:</w:t>
            </w:r>
            <w:r>
              <w:rPr>
                <w:b/>
                <w:spacing w:val="40"/>
                <w:sz w:val="18"/>
              </w:rPr>
              <w:t> </w:t>
            </w:r>
            <w:r>
              <w:rPr>
                <w:b/>
                <w:sz w:val="18"/>
              </w:rPr>
              <w:t>Implementar</w:t>
            </w:r>
            <w:r>
              <w:rPr>
                <w:b/>
                <w:spacing w:val="-1"/>
                <w:sz w:val="18"/>
              </w:rPr>
              <w:t> </w:t>
            </w:r>
            <w:r>
              <w:rPr>
                <w:b/>
                <w:sz w:val="18"/>
              </w:rPr>
              <w:t>un</w:t>
            </w:r>
            <w:r>
              <w:rPr>
                <w:b/>
                <w:spacing w:val="-4"/>
                <w:sz w:val="18"/>
              </w:rPr>
              <w:t> </w:t>
            </w:r>
            <w:r>
              <w:rPr>
                <w:b/>
                <w:sz w:val="18"/>
              </w:rPr>
              <w:t>plan</w:t>
            </w:r>
            <w:r>
              <w:rPr>
                <w:b/>
                <w:spacing w:val="-4"/>
                <w:sz w:val="18"/>
              </w:rPr>
              <w:t> </w:t>
            </w:r>
            <w:r>
              <w:rPr>
                <w:b/>
                <w:sz w:val="18"/>
              </w:rPr>
              <w:t>de</w:t>
            </w:r>
            <w:r>
              <w:rPr>
                <w:b/>
                <w:spacing w:val="-3"/>
                <w:sz w:val="18"/>
              </w:rPr>
              <w:t> </w:t>
            </w:r>
            <w:r>
              <w:rPr>
                <w:b/>
                <w:sz w:val="18"/>
              </w:rPr>
              <w:t>capacitación</w:t>
            </w:r>
            <w:r>
              <w:rPr>
                <w:b/>
                <w:spacing w:val="-4"/>
                <w:sz w:val="18"/>
              </w:rPr>
              <w:t> </w:t>
            </w:r>
            <w:r>
              <w:rPr>
                <w:b/>
                <w:sz w:val="18"/>
              </w:rPr>
              <w:t>para</w:t>
            </w:r>
            <w:r>
              <w:rPr>
                <w:b/>
                <w:spacing w:val="-3"/>
                <w:sz w:val="18"/>
              </w:rPr>
              <w:t> </w:t>
            </w:r>
            <w:r>
              <w:rPr>
                <w:b/>
                <w:sz w:val="18"/>
              </w:rPr>
              <w:t>fomentar</w:t>
            </w:r>
            <w:r>
              <w:rPr>
                <w:b/>
                <w:spacing w:val="-1"/>
                <w:sz w:val="18"/>
              </w:rPr>
              <w:t> </w:t>
            </w:r>
            <w:r>
              <w:rPr>
                <w:b/>
                <w:sz w:val="18"/>
              </w:rPr>
              <w:t>el desarrollo de</w:t>
            </w:r>
            <w:r>
              <w:rPr>
                <w:b/>
                <w:spacing w:val="-3"/>
                <w:sz w:val="18"/>
              </w:rPr>
              <w:t> </w:t>
            </w:r>
            <w:r>
              <w:rPr>
                <w:b/>
                <w:sz w:val="18"/>
              </w:rPr>
              <w:t>competencias</w:t>
            </w:r>
            <w:r>
              <w:rPr>
                <w:b/>
                <w:spacing w:val="-3"/>
                <w:sz w:val="18"/>
              </w:rPr>
              <w:t> </w:t>
            </w:r>
            <w:r>
              <w:rPr>
                <w:b/>
                <w:sz w:val="18"/>
              </w:rPr>
              <w:t>innovadoras de</w:t>
            </w:r>
            <w:r>
              <w:rPr>
                <w:b/>
                <w:spacing w:val="-3"/>
                <w:sz w:val="18"/>
              </w:rPr>
              <w:t> </w:t>
            </w:r>
            <w:r>
              <w:rPr>
                <w:b/>
                <w:sz w:val="18"/>
              </w:rPr>
              <w:t>las</w:t>
            </w:r>
            <w:r>
              <w:rPr>
                <w:b/>
                <w:spacing w:val="-3"/>
                <w:sz w:val="18"/>
              </w:rPr>
              <w:t> </w:t>
            </w:r>
            <w:r>
              <w:rPr>
                <w:b/>
                <w:sz w:val="18"/>
              </w:rPr>
              <w:t>personas</w:t>
            </w:r>
            <w:r>
              <w:rPr>
                <w:b/>
                <w:spacing w:val="-3"/>
                <w:sz w:val="18"/>
              </w:rPr>
              <w:t> </w:t>
            </w:r>
            <w:r>
              <w:rPr>
                <w:b/>
                <w:sz w:val="18"/>
              </w:rPr>
              <w:t>trabajadoras</w:t>
            </w:r>
            <w:r>
              <w:rPr>
                <w:b/>
                <w:spacing w:val="-3"/>
                <w:sz w:val="18"/>
              </w:rPr>
              <w:t> </w:t>
            </w:r>
            <w:r>
              <w:rPr>
                <w:b/>
                <w:sz w:val="18"/>
              </w:rPr>
              <w:t>y</w:t>
            </w:r>
            <w:r>
              <w:rPr>
                <w:b/>
                <w:spacing w:val="-3"/>
                <w:sz w:val="18"/>
              </w:rPr>
              <w:t> </w:t>
            </w:r>
            <w:r>
              <w:rPr>
                <w:b/>
                <w:sz w:val="18"/>
              </w:rPr>
              <w:t>funcionarias, incluyendo componentes de integridad pública, ética y anticorrupción. E6 AE5 R1 (meta programada 60%)</w:t>
            </w:r>
          </w:p>
        </w:tc>
      </w:tr>
      <w:tr>
        <w:trPr>
          <w:trHeight w:val="825" w:hRule="atLeast"/>
        </w:trPr>
        <w:tc>
          <w:tcPr>
            <w:tcW w:w="2593" w:type="dxa"/>
          </w:tcPr>
          <w:p>
            <w:pPr>
              <w:pStyle w:val="TableParagraph"/>
              <w:spacing w:before="104"/>
              <w:ind w:left="72"/>
              <w:rPr>
                <w:sz w:val="18"/>
              </w:rPr>
            </w:pPr>
            <w:r>
              <w:rPr>
                <w:b/>
                <w:sz w:val="18"/>
              </w:rPr>
              <w:t>Actividad</w:t>
            </w:r>
            <w:r>
              <w:rPr>
                <w:b/>
                <w:spacing w:val="-11"/>
                <w:sz w:val="18"/>
              </w:rPr>
              <w:t> </w:t>
            </w:r>
            <w:r>
              <w:rPr>
                <w:b/>
                <w:sz w:val="18"/>
              </w:rPr>
              <w:t>PAC</w:t>
            </w:r>
            <w:r>
              <w:rPr>
                <w:b/>
                <w:spacing w:val="-7"/>
                <w:sz w:val="18"/>
              </w:rPr>
              <w:t> </w:t>
            </w:r>
            <w:r>
              <w:rPr>
                <w:b/>
                <w:sz w:val="18"/>
              </w:rPr>
              <w:t>2.8.1:</w:t>
            </w:r>
            <w:r>
              <w:rPr>
                <w:b/>
                <w:spacing w:val="-6"/>
                <w:sz w:val="18"/>
              </w:rPr>
              <w:t> </w:t>
            </w:r>
            <w:r>
              <w:rPr>
                <w:sz w:val="18"/>
              </w:rPr>
              <w:t>Plan</w:t>
            </w:r>
            <w:r>
              <w:rPr>
                <w:spacing w:val="-10"/>
                <w:sz w:val="18"/>
              </w:rPr>
              <w:t> </w:t>
            </w:r>
            <w:r>
              <w:rPr>
                <w:sz w:val="18"/>
              </w:rPr>
              <w:t>de capacitación institucional ejecutado en el 2026</w:t>
            </w:r>
          </w:p>
        </w:tc>
        <w:tc>
          <w:tcPr>
            <w:tcW w:w="1426" w:type="dxa"/>
          </w:tcPr>
          <w:p>
            <w:pPr>
              <w:pStyle w:val="TableParagraph"/>
              <w:ind w:left="71" w:right="187"/>
              <w:rPr>
                <w:sz w:val="18"/>
              </w:rPr>
            </w:pPr>
            <w:r>
              <w:rPr>
                <w:sz w:val="18"/>
              </w:rPr>
              <w:t>Porcentaje</w:t>
            </w:r>
            <w:r>
              <w:rPr>
                <w:spacing w:val="-13"/>
                <w:sz w:val="18"/>
              </w:rPr>
              <w:t> </w:t>
            </w:r>
            <w:r>
              <w:rPr>
                <w:sz w:val="18"/>
              </w:rPr>
              <w:t>del Plan de</w:t>
            </w:r>
          </w:p>
          <w:p>
            <w:pPr>
              <w:pStyle w:val="TableParagraph"/>
              <w:spacing w:line="206" w:lineRule="exact"/>
              <w:ind w:left="71" w:right="24"/>
              <w:rPr>
                <w:sz w:val="18"/>
              </w:rPr>
            </w:pPr>
            <w:r>
              <w:rPr>
                <w:spacing w:val="-2"/>
                <w:sz w:val="18"/>
              </w:rPr>
              <w:t>Capacitación ejecutado</w:t>
            </w:r>
          </w:p>
        </w:tc>
        <w:tc>
          <w:tcPr>
            <w:tcW w:w="1181" w:type="dxa"/>
          </w:tcPr>
          <w:p>
            <w:pPr>
              <w:pStyle w:val="TableParagraph"/>
              <w:spacing w:before="136"/>
              <w:rPr>
                <w:b/>
                <w:sz w:val="16"/>
              </w:rPr>
            </w:pPr>
          </w:p>
          <w:p>
            <w:pPr>
              <w:pStyle w:val="TableParagraph"/>
              <w:ind w:right="63"/>
              <w:jc w:val="right"/>
              <w:rPr>
                <w:sz w:val="16"/>
              </w:rPr>
            </w:pPr>
            <w:r>
              <w:rPr>
                <w:spacing w:val="-5"/>
                <w:sz w:val="16"/>
              </w:rPr>
              <w:t>25%</w:t>
            </w:r>
          </w:p>
        </w:tc>
        <w:tc>
          <w:tcPr>
            <w:tcW w:w="1334" w:type="dxa"/>
          </w:tcPr>
          <w:p>
            <w:pPr>
              <w:pStyle w:val="TableParagraph"/>
              <w:spacing w:before="136"/>
              <w:rPr>
                <w:b/>
                <w:sz w:val="16"/>
              </w:rPr>
            </w:pPr>
          </w:p>
          <w:p>
            <w:pPr>
              <w:pStyle w:val="TableParagraph"/>
              <w:tabs>
                <w:tab w:pos="404" w:val="left" w:leader="none"/>
              </w:tabs>
              <w:ind w:left="45"/>
              <w:jc w:val="center"/>
              <w:rPr>
                <w:sz w:val="16"/>
              </w:rPr>
            </w:pPr>
            <w:r>
              <w:rPr>
                <w:spacing w:val="-10"/>
                <w:sz w:val="16"/>
              </w:rPr>
              <w:t>₡</w:t>
            </w:r>
            <w:r>
              <w:rPr>
                <w:sz w:val="16"/>
              </w:rPr>
              <w:tab/>
              <w:t>43</w:t>
            </w:r>
            <w:r>
              <w:rPr>
                <w:spacing w:val="-7"/>
                <w:sz w:val="16"/>
              </w:rPr>
              <w:t> </w:t>
            </w:r>
            <w:r>
              <w:rPr>
                <w:sz w:val="16"/>
              </w:rPr>
              <w:t>750</w:t>
            </w:r>
            <w:r>
              <w:rPr>
                <w:spacing w:val="-7"/>
                <w:sz w:val="16"/>
              </w:rPr>
              <w:t> </w:t>
            </w:r>
            <w:r>
              <w:rPr>
                <w:spacing w:val="-5"/>
                <w:sz w:val="16"/>
              </w:rPr>
              <w:t>000</w:t>
            </w:r>
          </w:p>
        </w:tc>
        <w:tc>
          <w:tcPr>
            <w:tcW w:w="1181" w:type="dxa"/>
          </w:tcPr>
          <w:p>
            <w:pPr>
              <w:pStyle w:val="TableParagraph"/>
              <w:spacing w:before="136"/>
              <w:rPr>
                <w:b/>
                <w:sz w:val="16"/>
              </w:rPr>
            </w:pPr>
          </w:p>
          <w:p>
            <w:pPr>
              <w:pStyle w:val="TableParagraph"/>
              <w:ind w:right="62"/>
              <w:jc w:val="right"/>
              <w:rPr>
                <w:sz w:val="16"/>
              </w:rPr>
            </w:pPr>
            <w:r>
              <w:rPr>
                <w:spacing w:val="-5"/>
                <w:sz w:val="16"/>
              </w:rPr>
              <w:t>50%</w:t>
            </w:r>
          </w:p>
        </w:tc>
        <w:tc>
          <w:tcPr>
            <w:tcW w:w="1392" w:type="dxa"/>
          </w:tcPr>
          <w:p>
            <w:pPr>
              <w:pStyle w:val="TableParagraph"/>
              <w:spacing w:before="136"/>
              <w:rPr>
                <w:b/>
                <w:sz w:val="16"/>
              </w:rPr>
            </w:pPr>
          </w:p>
          <w:p>
            <w:pPr>
              <w:pStyle w:val="TableParagraph"/>
              <w:tabs>
                <w:tab w:pos="458" w:val="left" w:leader="none"/>
              </w:tabs>
              <w:ind w:left="79"/>
              <w:jc w:val="center"/>
              <w:rPr>
                <w:sz w:val="16"/>
              </w:rPr>
            </w:pPr>
            <w:r>
              <w:rPr>
                <w:spacing w:val="-10"/>
                <w:sz w:val="16"/>
              </w:rPr>
              <w:t>₡</w:t>
            </w:r>
            <w:r>
              <w:rPr>
                <w:sz w:val="16"/>
              </w:rPr>
              <w:tab/>
              <w:t>87</w:t>
            </w:r>
            <w:r>
              <w:rPr>
                <w:spacing w:val="-1"/>
                <w:sz w:val="16"/>
              </w:rPr>
              <w:t> </w:t>
            </w:r>
            <w:r>
              <w:rPr>
                <w:sz w:val="16"/>
              </w:rPr>
              <w:t>500 </w:t>
            </w:r>
            <w:r>
              <w:rPr>
                <w:spacing w:val="-5"/>
                <w:sz w:val="16"/>
              </w:rPr>
              <w:t>000</w:t>
            </w:r>
          </w:p>
        </w:tc>
        <w:tc>
          <w:tcPr>
            <w:tcW w:w="1181" w:type="dxa"/>
          </w:tcPr>
          <w:p>
            <w:pPr>
              <w:pStyle w:val="TableParagraph"/>
              <w:spacing w:before="136"/>
              <w:rPr>
                <w:b/>
                <w:sz w:val="16"/>
              </w:rPr>
            </w:pPr>
          </w:p>
          <w:p>
            <w:pPr>
              <w:pStyle w:val="TableParagraph"/>
              <w:ind w:right="57"/>
              <w:jc w:val="right"/>
              <w:rPr>
                <w:sz w:val="16"/>
              </w:rPr>
            </w:pPr>
            <w:r>
              <w:rPr>
                <w:spacing w:val="-5"/>
                <w:sz w:val="16"/>
              </w:rPr>
              <w:t>75%</w:t>
            </w:r>
          </w:p>
        </w:tc>
        <w:tc>
          <w:tcPr>
            <w:tcW w:w="1488" w:type="dxa"/>
          </w:tcPr>
          <w:p>
            <w:pPr>
              <w:pStyle w:val="TableParagraph"/>
              <w:spacing w:before="136"/>
              <w:rPr>
                <w:b/>
                <w:sz w:val="16"/>
              </w:rPr>
            </w:pPr>
          </w:p>
          <w:p>
            <w:pPr>
              <w:pStyle w:val="TableParagraph"/>
              <w:ind w:left="371"/>
              <w:rPr>
                <w:sz w:val="16"/>
              </w:rPr>
            </w:pPr>
            <w:r>
              <w:rPr>
                <w:sz w:val="16"/>
              </w:rPr>
              <w:t>₡</w:t>
            </w:r>
            <w:r>
              <w:rPr>
                <w:spacing w:val="-4"/>
                <w:sz w:val="16"/>
              </w:rPr>
              <w:t> </w:t>
            </w:r>
            <w:r>
              <w:rPr>
                <w:sz w:val="16"/>
              </w:rPr>
              <w:t>131</w:t>
            </w:r>
            <w:r>
              <w:rPr>
                <w:spacing w:val="-1"/>
                <w:sz w:val="16"/>
              </w:rPr>
              <w:t> </w:t>
            </w:r>
            <w:r>
              <w:rPr>
                <w:sz w:val="16"/>
              </w:rPr>
              <w:t>250</w:t>
            </w:r>
            <w:r>
              <w:rPr>
                <w:spacing w:val="-1"/>
                <w:sz w:val="16"/>
              </w:rPr>
              <w:t> </w:t>
            </w:r>
            <w:r>
              <w:rPr>
                <w:spacing w:val="-5"/>
                <w:sz w:val="16"/>
              </w:rPr>
              <w:t>000</w:t>
            </w:r>
          </w:p>
        </w:tc>
        <w:tc>
          <w:tcPr>
            <w:tcW w:w="1181" w:type="dxa"/>
          </w:tcPr>
          <w:p>
            <w:pPr>
              <w:pStyle w:val="TableParagraph"/>
              <w:spacing w:before="136"/>
              <w:rPr>
                <w:b/>
                <w:sz w:val="16"/>
              </w:rPr>
            </w:pPr>
          </w:p>
          <w:p>
            <w:pPr>
              <w:pStyle w:val="TableParagraph"/>
              <w:ind w:right="56"/>
              <w:jc w:val="right"/>
              <w:rPr>
                <w:sz w:val="16"/>
              </w:rPr>
            </w:pPr>
            <w:r>
              <w:rPr>
                <w:spacing w:val="-4"/>
                <w:sz w:val="16"/>
              </w:rPr>
              <w:t>100%</w:t>
            </w:r>
          </w:p>
        </w:tc>
        <w:tc>
          <w:tcPr>
            <w:tcW w:w="1436" w:type="dxa"/>
          </w:tcPr>
          <w:p>
            <w:pPr>
              <w:pStyle w:val="TableParagraph"/>
              <w:spacing w:before="136"/>
              <w:rPr>
                <w:b/>
                <w:sz w:val="16"/>
              </w:rPr>
            </w:pPr>
          </w:p>
          <w:p>
            <w:pPr>
              <w:pStyle w:val="TableParagraph"/>
              <w:tabs>
                <w:tab w:pos="425" w:val="left" w:leader="none"/>
              </w:tabs>
              <w:ind w:left="90"/>
              <w:jc w:val="center"/>
              <w:rPr>
                <w:sz w:val="16"/>
              </w:rPr>
            </w:pPr>
            <w:r>
              <w:rPr>
                <w:spacing w:val="-10"/>
                <w:sz w:val="16"/>
              </w:rPr>
              <w:t>₡</w:t>
            </w:r>
            <w:r>
              <w:rPr>
                <w:sz w:val="16"/>
              </w:rPr>
              <w:tab/>
              <w:t>175</w:t>
            </w:r>
            <w:r>
              <w:rPr>
                <w:spacing w:val="-2"/>
                <w:sz w:val="16"/>
              </w:rPr>
              <w:t> </w:t>
            </w:r>
            <w:r>
              <w:rPr>
                <w:sz w:val="16"/>
              </w:rPr>
              <w:t>000</w:t>
            </w:r>
            <w:r>
              <w:rPr>
                <w:spacing w:val="-2"/>
                <w:sz w:val="16"/>
              </w:rPr>
              <w:t> </w:t>
            </w:r>
            <w:r>
              <w:rPr>
                <w:spacing w:val="-5"/>
                <w:sz w:val="16"/>
              </w:rPr>
              <w:t>000</w:t>
            </w:r>
          </w:p>
        </w:tc>
      </w:tr>
      <w:tr>
        <w:trPr>
          <w:trHeight w:val="888" w:hRule="atLeast"/>
        </w:trPr>
        <w:tc>
          <w:tcPr>
            <w:tcW w:w="2593" w:type="dxa"/>
          </w:tcPr>
          <w:p>
            <w:pPr>
              <w:pStyle w:val="TableParagraph"/>
              <w:spacing w:line="242" w:lineRule="auto" w:before="27"/>
              <w:ind w:left="72"/>
              <w:rPr>
                <w:sz w:val="18"/>
              </w:rPr>
            </w:pPr>
            <w:r>
              <w:rPr>
                <w:b/>
                <w:sz w:val="18"/>
              </w:rPr>
              <w:t>Actividad</w:t>
            </w:r>
            <w:r>
              <w:rPr>
                <w:b/>
                <w:spacing w:val="-13"/>
                <w:sz w:val="18"/>
              </w:rPr>
              <w:t> </w:t>
            </w:r>
            <w:r>
              <w:rPr>
                <w:b/>
                <w:sz w:val="18"/>
              </w:rPr>
              <w:t>PAC</w:t>
            </w:r>
            <w:r>
              <w:rPr>
                <w:b/>
                <w:spacing w:val="-10"/>
                <w:sz w:val="18"/>
              </w:rPr>
              <w:t> </w:t>
            </w:r>
            <w:r>
              <w:rPr>
                <w:b/>
                <w:sz w:val="18"/>
              </w:rPr>
              <w:t>2.8.2:</w:t>
            </w:r>
            <w:r>
              <w:rPr>
                <w:b/>
                <w:spacing w:val="-10"/>
                <w:sz w:val="18"/>
              </w:rPr>
              <w:t> </w:t>
            </w:r>
            <w:r>
              <w:rPr>
                <w:sz w:val="18"/>
              </w:rPr>
              <w:t>Cursos de capacitación alineados al plan de capacitación </w:t>
            </w:r>
            <w:r>
              <w:rPr>
                <w:spacing w:val="-2"/>
                <w:sz w:val="18"/>
              </w:rPr>
              <w:t>institucional</w:t>
            </w:r>
          </w:p>
        </w:tc>
        <w:tc>
          <w:tcPr>
            <w:tcW w:w="1426" w:type="dxa"/>
          </w:tcPr>
          <w:p>
            <w:pPr>
              <w:pStyle w:val="TableParagraph"/>
              <w:spacing w:before="133"/>
              <w:ind w:left="71" w:right="24"/>
              <w:rPr>
                <w:sz w:val="18"/>
              </w:rPr>
            </w:pPr>
            <w:r>
              <w:rPr>
                <w:sz w:val="18"/>
              </w:rPr>
              <w:t>Cantidad de </w:t>
            </w:r>
            <w:r>
              <w:rPr>
                <w:spacing w:val="-2"/>
                <w:sz w:val="18"/>
              </w:rPr>
              <w:t>cursos desarrollados</w:t>
            </w:r>
          </w:p>
        </w:tc>
        <w:tc>
          <w:tcPr>
            <w:tcW w:w="1181" w:type="dxa"/>
          </w:tcPr>
          <w:p>
            <w:pPr>
              <w:pStyle w:val="TableParagraph"/>
              <w:spacing w:before="132"/>
              <w:rPr>
                <w:b/>
                <w:sz w:val="18"/>
              </w:rPr>
            </w:pPr>
          </w:p>
          <w:p>
            <w:pPr>
              <w:pStyle w:val="TableParagraph"/>
              <w:ind w:right="59"/>
              <w:jc w:val="right"/>
              <w:rPr>
                <w:sz w:val="18"/>
              </w:rPr>
            </w:pPr>
            <w:r>
              <w:rPr>
                <w:spacing w:val="-10"/>
                <w:sz w:val="18"/>
              </w:rPr>
              <w:t>2</w:t>
            </w:r>
          </w:p>
        </w:tc>
        <w:tc>
          <w:tcPr>
            <w:tcW w:w="1334" w:type="dxa"/>
          </w:tcPr>
          <w:p>
            <w:pPr>
              <w:pStyle w:val="TableParagraph"/>
              <w:rPr>
                <w:rFonts w:ascii="Times New Roman"/>
                <w:sz w:val="18"/>
              </w:rPr>
            </w:pPr>
          </w:p>
        </w:tc>
        <w:tc>
          <w:tcPr>
            <w:tcW w:w="1181" w:type="dxa"/>
          </w:tcPr>
          <w:p>
            <w:pPr>
              <w:pStyle w:val="TableParagraph"/>
              <w:spacing w:before="132"/>
              <w:rPr>
                <w:b/>
                <w:sz w:val="18"/>
              </w:rPr>
            </w:pPr>
          </w:p>
          <w:p>
            <w:pPr>
              <w:pStyle w:val="TableParagraph"/>
              <w:ind w:right="58"/>
              <w:jc w:val="right"/>
              <w:rPr>
                <w:sz w:val="18"/>
              </w:rPr>
            </w:pPr>
            <w:r>
              <w:rPr>
                <w:spacing w:val="-10"/>
                <w:sz w:val="18"/>
              </w:rPr>
              <w:t>5</w:t>
            </w:r>
          </w:p>
        </w:tc>
        <w:tc>
          <w:tcPr>
            <w:tcW w:w="1392" w:type="dxa"/>
          </w:tcPr>
          <w:p>
            <w:pPr>
              <w:pStyle w:val="TableParagraph"/>
              <w:rPr>
                <w:rFonts w:ascii="Times New Roman"/>
                <w:sz w:val="18"/>
              </w:rPr>
            </w:pPr>
          </w:p>
        </w:tc>
        <w:tc>
          <w:tcPr>
            <w:tcW w:w="1181" w:type="dxa"/>
          </w:tcPr>
          <w:p>
            <w:pPr>
              <w:pStyle w:val="TableParagraph"/>
              <w:spacing w:before="132"/>
              <w:rPr>
                <w:b/>
                <w:sz w:val="18"/>
              </w:rPr>
            </w:pPr>
          </w:p>
          <w:p>
            <w:pPr>
              <w:pStyle w:val="TableParagraph"/>
              <w:ind w:right="54"/>
              <w:jc w:val="right"/>
              <w:rPr>
                <w:sz w:val="18"/>
              </w:rPr>
            </w:pPr>
            <w:r>
              <w:rPr>
                <w:spacing w:val="-5"/>
                <w:sz w:val="18"/>
              </w:rPr>
              <w:t>12</w:t>
            </w:r>
          </w:p>
        </w:tc>
        <w:tc>
          <w:tcPr>
            <w:tcW w:w="1488" w:type="dxa"/>
          </w:tcPr>
          <w:p>
            <w:pPr>
              <w:pStyle w:val="TableParagraph"/>
              <w:rPr>
                <w:rFonts w:ascii="Times New Roman"/>
                <w:sz w:val="18"/>
              </w:rPr>
            </w:pPr>
          </w:p>
        </w:tc>
        <w:tc>
          <w:tcPr>
            <w:tcW w:w="1181" w:type="dxa"/>
          </w:tcPr>
          <w:p>
            <w:pPr>
              <w:pStyle w:val="TableParagraph"/>
              <w:spacing w:before="132"/>
              <w:rPr>
                <w:b/>
                <w:sz w:val="18"/>
              </w:rPr>
            </w:pPr>
          </w:p>
          <w:p>
            <w:pPr>
              <w:pStyle w:val="TableParagraph"/>
              <w:ind w:right="53"/>
              <w:jc w:val="right"/>
              <w:rPr>
                <w:sz w:val="18"/>
              </w:rPr>
            </w:pPr>
            <w:r>
              <w:rPr>
                <w:spacing w:val="-5"/>
                <w:sz w:val="18"/>
              </w:rPr>
              <w:t>15</w:t>
            </w:r>
          </w:p>
        </w:tc>
        <w:tc>
          <w:tcPr>
            <w:tcW w:w="1436" w:type="dxa"/>
          </w:tcPr>
          <w:p>
            <w:pPr>
              <w:pStyle w:val="TableParagraph"/>
              <w:rPr>
                <w:rFonts w:ascii="Times New Roman"/>
                <w:sz w:val="18"/>
              </w:rPr>
            </w:pPr>
          </w:p>
        </w:tc>
      </w:tr>
      <w:tr>
        <w:trPr>
          <w:trHeight w:val="599" w:hRule="atLeast"/>
        </w:trPr>
        <w:tc>
          <w:tcPr>
            <w:tcW w:w="14393" w:type="dxa"/>
            <w:gridSpan w:val="10"/>
            <w:shd w:val="clear" w:color="auto" w:fill="EFF8F9"/>
          </w:tcPr>
          <w:p>
            <w:pPr>
              <w:pStyle w:val="TableParagraph"/>
              <w:spacing w:before="195"/>
              <w:ind w:left="72"/>
              <w:rPr>
                <w:b/>
                <w:sz w:val="18"/>
              </w:rPr>
            </w:pPr>
            <w:r>
              <w:rPr>
                <w:b/>
                <w:sz w:val="18"/>
              </w:rPr>
              <w:t>Producto</w:t>
            </w:r>
            <w:r>
              <w:rPr>
                <w:b/>
                <w:spacing w:val="-8"/>
                <w:sz w:val="18"/>
              </w:rPr>
              <w:t> </w:t>
            </w:r>
            <w:r>
              <w:rPr>
                <w:b/>
                <w:sz w:val="18"/>
              </w:rPr>
              <w:t>PAC</w:t>
            </w:r>
            <w:r>
              <w:rPr>
                <w:b/>
                <w:spacing w:val="-8"/>
                <w:sz w:val="18"/>
              </w:rPr>
              <w:t> </w:t>
            </w:r>
            <w:r>
              <w:rPr>
                <w:b/>
                <w:sz w:val="18"/>
              </w:rPr>
              <w:t>2.9:</w:t>
            </w:r>
            <w:r>
              <w:rPr>
                <w:b/>
                <w:spacing w:val="44"/>
                <w:sz w:val="18"/>
              </w:rPr>
              <w:t> </w:t>
            </w:r>
            <w:r>
              <w:rPr>
                <w:b/>
                <w:sz w:val="18"/>
              </w:rPr>
              <w:t>Estimación</w:t>
            </w:r>
            <w:r>
              <w:rPr>
                <w:b/>
                <w:spacing w:val="-8"/>
                <w:sz w:val="18"/>
              </w:rPr>
              <w:t> </w:t>
            </w:r>
            <w:r>
              <w:rPr>
                <w:b/>
                <w:sz w:val="18"/>
              </w:rPr>
              <w:t>presupuestaria</w:t>
            </w:r>
            <w:r>
              <w:rPr>
                <w:b/>
                <w:spacing w:val="-2"/>
                <w:sz w:val="18"/>
              </w:rPr>
              <w:t> </w:t>
            </w:r>
            <w:r>
              <w:rPr>
                <w:b/>
                <w:sz w:val="18"/>
              </w:rPr>
              <w:t>de</w:t>
            </w:r>
            <w:r>
              <w:rPr>
                <w:b/>
                <w:spacing w:val="-7"/>
                <w:sz w:val="18"/>
              </w:rPr>
              <w:t> </w:t>
            </w:r>
            <w:r>
              <w:rPr>
                <w:b/>
                <w:sz w:val="18"/>
              </w:rPr>
              <w:t>los</w:t>
            </w:r>
            <w:r>
              <w:rPr>
                <w:b/>
                <w:spacing w:val="-6"/>
                <w:sz w:val="18"/>
              </w:rPr>
              <w:t> </w:t>
            </w:r>
            <w:r>
              <w:rPr>
                <w:b/>
                <w:sz w:val="18"/>
              </w:rPr>
              <w:t>recursos</w:t>
            </w:r>
            <w:r>
              <w:rPr>
                <w:b/>
                <w:spacing w:val="-6"/>
                <w:sz w:val="18"/>
              </w:rPr>
              <w:t> </w:t>
            </w:r>
            <w:r>
              <w:rPr>
                <w:b/>
                <w:sz w:val="18"/>
              </w:rPr>
              <w:t>necesarios</w:t>
            </w:r>
            <w:r>
              <w:rPr>
                <w:b/>
                <w:spacing w:val="-3"/>
                <w:sz w:val="18"/>
              </w:rPr>
              <w:t> </w:t>
            </w:r>
            <w:r>
              <w:rPr>
                <w:b/>
                <w:sz w:val="18"/>
              </w:rPr>
              <w:t>para</w:t>
            </w:r>
            <w:r>
              <w:rPr>
                <w:b/>
                <w:spacing w:val="-6"/>
                <w:sz w:val="18"/>
              </w:rPr>
              <w:t> </w:t>
            </w:r>
            <w:r>
              <w:rPr>
                <w:b/>
                <w:sz w:val="18"/>
              </w:rPr>
              <w:t>la</w:t>
            </w:r>
            <w:r>
              <w:rPr>
                <w:b/>
                <w:spacing w:val="-7"/>
                <w:sz w:val="18"/>
              </w:rPr>
              <w:t> </w:t>
            </w:r>
            <w:r>
              <w:rPr>
                <w:b/>
                <w:sz w:val="18"/>
              </w:rPr>
              <w:t>implementación</w:t>
            </w:r>
            <w:r>
              <w:rPr>
                <w:b/>
                <w:spacing w:val="-7"/>
                <w:sz w:val="18"/>
              </w:rPr>
              <w:t> </w:t>
            </w:r>
            <w:r>
              <w:rPr>
                <w:b/>
                <w:sz w:val="18"/>
              </w:rPr>
              <w:t>del Plan</w:t>
            </w:r>
            <w:r>
              <w:rPr>
                <w:b/>
                <w:spacing w:val="-7"/>
                <w:sz w:val="18"/>
              </w:rPr>
              <w:t> </w:t>
            </w:r>
            <w:r>
              <w:rPr>
                <w:b/>
                <w:sz w:val="18"/>
              </w:rPr>
              <w:t>de</w:t>
            </w:r>
            <w:r>
              <w:rPr>
                <w:b/>
                <w:spacing w:val="-7"/>
                <w:sz w:val="18"/>
              </w:rPr>
              <w:t> </w:t>
            </w:r>
            <w:r>
              <w:rPr>
                <w:b/>
                <w:sz w:val="18"/>
              </w:rPr>
              <w:t>Empleo</w:t>
            </w:r>
            <w:r>
              <w:rPr>
                <w:b/>
                <w:spacing w:val="-7"/>
                <w:sz w:val="18"/>
              </w:rPr>
              <w:t> </w:t>
            </w:r>
            <w:r>
              <w:rPr>
                <w:b/>
                <w:sz w:val="18"/>
              </w:rPr>
              <w:t>Público</w:t>
            </w:r>
            <w:r>
              <w:rPr>
                <w:b/>
                <w:spacing w:val="-7"/>
                <w:sz w:val="18"/>
              </w:rPr>
              <w:t> </w:t>
            </w:r>
            <w:r>
              <w:rPr>
                <w:b/>
                <w:sz w:val="18"/>
              </w:rPr>
              <w:t>E6</w:t>
            </w:r>
            <w:r>
              <w:rPr>
                <w:b/>
                <w:spacing w:val="9"/>
                <w:sz w:val="18"/>
              </w:rPr>
              <w:t> </w:t>
            </w:r>
            <w:r>
              <w:rPr>
                <w:b/>
                <w:sz w:val="18"/>
              </w:rPr>
              <w:t>AE6</w:t>
            </w:r>
            <w:r>
              <w:rPr>
                <w:b/>
                <w:spacing w:val="-6"/>
                <w:sz w:val="18"/>
              </w:rPr>
              <w:t> </w:t>
            </w:r>
            <w:r>
              <w:rPr>
                <w:b/>
                <w:sz w:val="18"/>
              </w:rPr>
              <w:t>R1</w:t>
            </w:r>
            <w:r>
              <w:rPr>
                <w:b/>
                <w:spacing w:val="-6"/>
                <w:sz w:val="18"/>
              </w:rPr>
              <w:t> </w:t>
            </w:r>
            <w:r>
              <w:rPr>
                <w:b/>
                <w:sz w:val="18"/>
              </w:rPr>
              <w:t>(meta</w:t>
            </w:r>
            <w:r>
              <w:rPr>
                <w:b/>
                <w:spacing w:val="-3"/>
                <w:sz w:val="18"/>
              </w:rPr>
              <w:t> </w:t>
            </w:r>
            <w:r>
              <w:rPr>
                <w:b/>
                <w:sz w:val="18"/>
              </w:rPr>
              <w:t>programada</w:t>
            </w:r>
            <w:r>
              <w:rPr>
                <w:b/>
                <w:spacing w:val="-3"/>
                <w:sz w:val="18"/>
              </w:rPr>
              <w:t> </w:t>
            </w:r>
            <w:r>
              <w:rPr>
                <w:b/>
                <w:spacing w:val="-4"/>
                <w:sz w:val="18"/>
              </w:rPr>
              <w:t>50%)</w:t>
            </w:r>
          </w:p>
        </w:tc>
      </w:tr>
    </w:tbl>
    <w:p>
      <w:pPr>
        <w:pStyle w:val="TableParagraph"/>
        <w:spacing w:after="0"/>
        <w:rPr>
          <w:b/>
          <w:sz w:val="18"/>
        </w:rPr>
        <w:sectPr>
          <w:type w:val="continuous"/>
          <w:pgSz w:w="15840" w:h="12240" w:orient="landscape"/>
          <w:pgMar w:header="0" w:footer="1806" w:top="700" w:bottom="2446"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3"/>
        <w:gridCol w:w="1426"/>
        <w:gridCol w:w="1181"/>
        <w:gridCol w:w="1334"/>
        <w:gridCol w:w="1181"/>
        <w:gridCol w:w="1392"/>
        <w:gridCol w:w="1181"/>
        <w:gridCol w:w="1488"/>
        <w:gridCol w:w="1181"/>
        <w:gridCol w:w="1436"/>
      </w:tblGrid>
      <w:tr>
        <w:trPr>
          <w:trHeight w:val="302" w:hRule="atLeast"/>
        </w:trPr>
        <w:tc>
          <w:tcPr>
            <w:tcW w:w="2593" w:type="dxa"/>
            <w:vMerge w:val="restart"/>
            <w:shd w:val="clear" w:color="auto" w:fill="D7D7D7"/>
          </w:tcPr>
          <w:p>
            <w:pPr>
              <w:pStyle w:val="TableParagraph"/>
              <w:rPr>
                <w:b/>
                <w:sz w:val="18"/>
              </w:rPr>
            </w:pPr>
          </w:p>
          <w:p>
            <w:pPr>
              <w:pStyle w:val="TableParagraph"/>
              <w:spacing w:before="141"/>
              <w:rPr>
                <w:b/>
                <w:sz w:val="18"/>
              </w:rPr>
            </w:pPr>
          </w:p>
          <w:p>
            <w:pPr>
              <w:pStyle w:val="TableParagraph"/>
              <w:ind w:left="326"/>
              <w:rPr>
                <w:b/>
                <w:sz w:val="18"/>
              </w:rPr>
            </w:pPr>
            <w:r>
              <w:rPr>
                <w:b/>
                <w:sz w:val="18"/>
              </w:rPr>
              <w:t>Objetivos</w:t>
            </w:r>
            <w:r>
              <w:rPr>
                <w:b/>
                <w:spacing w:val="-5"/>
                <w:sz w:val="18"/>
              </w:rPr>
              <w:t> </w:t>
            </w:r>
            <w:r>
              <w:rPr>
                <w:b/>
                <w:sz w:val="18"/>
              </w:rPr>
              <w:t>/</w:t>
            </w:r>
            <w:r>
              <w:rPr>
                <w:b/>
                <w:spacing w:val="-2"/>
                <w:sz w:val="18"/>
              </w:rPr>
              <w:t> Resultados</w:t>
            </w:r>
          </w:p>
        </w:tc>
        <w:tc>
          <w:tcPr>
            <w:tcW w:w="1426" w:type="dxa"/>
            <w:vMerge w:val="restart"/>
            <w:shd w:val="clear" w:color="auto" w:fill="D7D7D7"/>
          </w:tcPr>
          <w:p>
            <w:pPr>
              <w:pStyle w:val="TableParagraph"/>
              <w:rPr>
                <w:b/>
                <w:sz w:val="18"/>
              </w:rPr>
            </w:pPr>
          </w:p>
          <w:p>
            <w:pPr>
              <w:pStyle w:val="TableParagraph"/>
              <w:spacing w:before="141"/>
              <w:rPr>
                <w:b/>
                <w:sz w:val="18"/>
              </w:rPr>
            </w:pPr>
          </w:p>
          <w:p>
            <w:pPr>
              <w:pStyle w:val="TableParagraph"/>
              <w:ind w:left="71"/>
              <w:rPr>
                <w:b/>
                <w:sz w:val="18"/>
              </w:rPr>
            </w:pPr>
            <w:r>
              <w:rPr>
                <w:b/>
                <w:spacing w:val="-2"/>
                <w:sz w:val="18"/>
              </w:rPr>
              <w:t>Indicador</w:t>
            </w:r>
          </w:p>
        </w:tc>
        <w:tc>
          <w:tcPr>
            <w:tcW w:w="2515" w:type="dxa"/>
            <w:gridSpan w:val="2"/>
            <w:shd w:val="clear" w:color="auto" w:fill="D7D7D7"/>
          </w:tcPr>
          <w:p>
            <w:pPr>
              <w:pStyle w:val="TableParagraph"/>
              <w:spacing w:before="47"/>
              <w:ind w:left="791"/>
              <w:rPr>
                <w:b/>
                <w:sz w:val="18"/>
              </w:rPr>
            </w:pPr>
            <w:r>
              <w:rPr>
                <w:b/>
                <w:sz w:val="18"/>
              </w:rPr>
              <w:t>I</w:t>
            </w:r>
            <w:r>
              <w:rPr>
                <w:b/>
                <w:spacing w:val="-1"/>
                <w:sz w:val="18"/>
              </w:rPr>
              <w:t> </w:t>
            </w:r>
            <w:r>
              <w:rPr>
                <w:b/>
                <w:spacing w:val="-2"/>
                <w:sz w:val="18"/>
              </w:rPr>
              <w:t>Trimestre</w:t>
            </w:r>
          </w:p>
        </w:tc>
        <w:tc>
          <w:tcPr>
            <w:tcW w:w="2573" w:type="dxa"/>
            <w:gridSpan w:val="2"/>
            <w:shd w:val="clear" w:color="auto" w:fill="D7D7D7"/>
          </w:tcPr>
          <w:p>
            <w:pPr>
              <w:pStyle w:val="TableParagraph"/>
              <w:spacing w:before="47"/>
              <w:ind w:left="797"/>
              <w:rPr>
                <w:b/>
                <w:sz w:val="18"/>
              </w:rPr>
            </w:pPr>
            <w:r>
              <w:rPr>
                <w:b/>
                <w:sz w:val="18"/>
              </w:rPr>
              <w:t>II</w:t>
            </w:r>
            <w:r>
              <w:rPr>
                <w:b/>
                <w:spacing w:val="-3"/>
                <w:sz w:val="18"/>
              </w:rPr>
              <w:t> </w:t>
            </w:r>
            <w:r>
              <w:rPr>
                <w:b/>
                <w:spacing w:val="-2"/>
                <w:sz w:val="18"/>
              </w:rPr>
              <w:t>Trimestre</w:t>
            </w:r>
          </w:p>
        </w:tc>
        <w:tc>
          <w:tcPr>
            <w:tcW w:w="2669" w:type="dxa"/>
            <w:gridSpan w:val="2"/>
            <w:shd w:val="clear" w:color="auto" w:fill="D7D7D7"/>
          </w:tcPr>
          <w:p>
            <w:pPr>
              <w:pStyle w:val="TableParagraph"/>
              <w:spacing w:before="47"/>
              <w:ind w:left="822"/>
              <w:rPr>
                <w:b/>
                <w:sz w:val="18"/>
              </w:rPr>
            </w:pPr>
            <w:r>
              <w:rPr>
                <w:b/>
                <w:sz w:val="18"/>
              </w:rPr>
              <w:t>III</w:t>
            </w:r>
            <w:r>
              <w:rPr>
                <w:b/>
                <w:spacing w:val="-2"/>
                <w:sz w:val="18"/>
              </w:rPr>
              <w:t> Trimestre</w:t>
            </w:r>
          </w:p>
        </w:tc>
        <w:tc>
          <w:tcPr>
            <w:tcW w:w="2617" w:type="dxa"/>
            <w:gridSpan w:val="2"/>
            <w:shd w:val="clear" w:color="auto" w:fill="D7D7D7"/>
          </w:tcPr>
          <w:p>
            <w:pPr>
              <w:pStyle w:val="TableParagraph"/>
              <w:spacing w:before="47"/>
              <w:ind w:left="789"/>
              <w:rPr>
                <w:b/>
                <w:sz w:val="18"/>
              </w:rPr>
            </w:pPr>
            <w:r>
              <w:rPr>
                <w:b/>
                <w:sz w:val="18"/>
              </w:rPr>
              <w:t>IV</w:t>
            </w:r>
            <w:r>
              <w:rPr>
                <w:b/>
                <w:spacing w:val="-2"/>
                <w:sz w:val="18"/>
              </w:rPr>
              <w:t> Trimestre</w:t>
            </w:r>
          </w:p>
        </w:tc>
      </w:tr>
      <w:tr>
        <w:trPr>
          <w:trHeight w:val="1003" w:hRule="atLeast"/>
        </w:trPr>
        <w:tc>
          <w:tcPr>
            <w:tcW w:w="2593" w:type="dxa"/>
            <w:vMerge/>
            <w:tcBorders>
              <w:top w:val="nil"/>
            </w:tcBorders>
            <w:shd w:val="clear" w:color="auto" w:fill="D7D7D7"/>
          </w:tcPr>
          <w:p>
            <w:pPr>
              <w:rPr>
                <w:sz w:val="2"/>
                <w:szCs w:val="2"/>
              </w:rPr>
            </w:pPr>
          </w:p>
        </w:tc>
        <w:tc>
          <w:tcPr>
            <w:tcW w:w="1426" w:type="dxa"/>
            <w:vMerge/>
            <w:tcBorders>
              <w:top w:val="nil"/>
            </w:tcBorders>
            <w:shd w:val="clear" w:color="auto" w:fill="D7D7D7"/>
          </w:tcPr>
          <w:p>
            <w:pPr>
              <w:rPr>
                <w:sz w:val="2"/>
                <w:szCs w:val="2"/>
              </w:rPr>
            </w:pP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34" w:type="dxa"/>
            <w:shd w:val="clear" w:color="auto" w:fill="D7D7D7"/>
          </w:tcPr>
          <w:p>
            <w:pPr>
              <w:pStyle w:val="TableParagraph"/>
              <w:spacing w:before="190"/>
              <w:rPr>
                <w:b/>
                <w:sz w:val="18"/>
              </w:rPr>
            </w:pPr>
          </w:p>
          <w:p>
            <w:pPr>
              <w:pStyle w:val="TableParagraph"/>
              <w:ind w:left="6"/>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92" w:type="dxa"/>
            <w:shd w:val="clear" w:color="auto" w:fill="D7D7D7"/>
          </w:tcPr>
          <w:p>
            <w:pPr>
              <w:pStyle w:val="TableParagraph"/>
              <w:spacing w:before="190"/>
              <w:rPr>
                <w:b/>
                <w:sz w:val="18"/>
              </w:rPr>
            </w:pPr>
          </w:p>
          <w:p>
            <w:pPr>
              <w:pStyle w:val="TableParagraph"/>
              <w:ind w:left="7"/>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3" w:firstLine="312"/>
              <w:rPr>
                <w:b/>
                <w:sz w:val="18"/>
              </w:rPr>
            </w:pPr>
            <w:r>
              <w:rPr>
                <w:b/>
                <w:spacing w:val="-4"/>
                <w:sz w:val="18"/>
              </w:rPr>
              <w:t>Meta </w:t>
            </w:r>
            <w:r>
              <w:rPr>
                <w:b/>
                <w:spacing w:val="-2"/>
                <w:sz w:val="18"/>
              </w:rPr>
              <w:t>programada</w:t>
            </w:r>
          </w:p>
        </w:tc>
        <w:tc>
          <w:tcPr>
            <w:tcW w:w="1488" w:type="dxa"/>
            <w:shd w:val="clear" w:color="auto" w:fill="D7D7D7"/>
          </w:tcPr>
          <w:p>
            <w:pPr>
              <w:pStyle w:val="TableParagraph"/>
              <w:spacing w:before="190"/>
              <w:rPr>
                <w:b/>
                <w:sz w:val="18"/>
              </w:rPr>
            </w:pPr>
          </w:p>
          <w:p>
            <w:pPr>
              <w:pStyle w:val="TableParagraph"/>
              <w:ind w:left="9"/>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4" w:firstLine="312"/>
              <w:rPr>
                <w:b/>
                <w:sz w:val="18"/>
              </w:rPr>
            </w:pPr>
            <w:r>
              <w:rPr>
                <w:b/>
                <w:spacing w:val="-4"/>
                <w:sz w:val="18"/>
              </w:rPr>
              <w:t>Meta </w:t>
            </w:r>
            <w:r>
              <w:rPr>
                <w:b/>
                <w:spacing w:val="-2"/>
                <w:sz w:val="18"/>
              </w:rPr>
              <w:t>programada</w:t>
            </w:r>
          </w:p>
        </w:tc>
        <w:tc>
          <w:tcPr>
            <w:tcW w:w="1436" w:type="dxa"/>
            <w:shd w:val="clear" w:color="auto" w:fill="D7D7D7"/>
          </w:tcPr>
          <w:p>
            <w:pPr>
              <w:pStyle w:val="TableParagraph"/>
              <w:spacing w:before="190"/>
              <w:rPr>
                <w:b/>
                <w:sz w:val="18"/>
              </w:rPr>
            </w:pPr>
          </w:p>
          <w:p>
            <w:pPr>
              <w:pStyle w:val="TableParagraph"/>
              <w:ind w:left="14"/>
              <w:jc w:val="center"/>
              <w:rPr>
                <w:b/>
                <w:sz w:val="18"/>
              </w:rPr>
            </w:pPr>
            <w:r>
              <w:rPr>
                <w:b/>
                <w:spacing w:val="-10"/>
                <w:sz w:val="18"/>
              </w:rPr>
              <w:t>¢</w:t>
            </w:r>
          </w:p>
        </w:tc>
      </w:tr>
      <w:tr>
        <w:trPr>
          <w:trHeight w:val="1560" w:hRule="atLeast"/>
        </w:trPr>
        <w:tc>
          <w:tcPr>
            <w:tcW w:w="2593" w:type="dxa"/>
          </w:tcPr>
          <w:p>
            <w:pPr>
              <w:pStyle w:val="TableParagraph"/>
              <w:spacing w:before="156"/>
              <w:rPr>
                <w:b/>
                <w:sz w:val="18"/>
              </w:rPr>
            </w:pPr>
          </w:p>
          <w:p>
            <w:pPr>
              <w:pStyle w:val="TableParagraph"/>
              <w:ind w:left="72"/>
              <w:rPr>
                <w:sz w:val="18"/>
              </w:rPr>
            </w:pPr>
            <w:r>
              <w:rPr>
                <w:b/>
                <w:sz w:val="18"/>
              </w:rPr>
              <w:t>Actividad PAC 2.9.1: </w:t>
            </w:r>
            <w:r>
              <w:rPr>
                <w:sz w:val="18"/>
              </w:rPr>
              <w:t>Formulación presupuestaria acorde</w:t>
            </w:r>
            <w:r>
              <w:rPr>
                <w:spacing w:val="-13"/>
                <w:sz w:val="18"/>
              </w:rPr>
              <w:t> </w:t>
            </w:r>
            <w:r>
              <w:rPr>
                <w:sz w:val="18"/>
              </w:rPr>
              <w:t>con</w:t>
            </w:r>
            <w:r>
              <w:rPr>
                <w:spacing w:val="-12"/>
                <w:sz w:val="18"/>
              </w:rPr>
              <w:t> </w:t>
            </w:r>
            <w:r>
              <w:rPr>
                <w:sz w:val="18"/>
              </w:rPr>
              <w:t>la</w:t>
            </w:r>
            <w:r>
              <w:rPr>
                <w:spacing w:val="-10"/>
                <w:sz w:val="18"/>
              </w:rPr>
              <w:t> </w:t>
            </w:r>
            <w:r>
              <w:rPr>
                <w:sz w:val="18"/>
              </w:rPr>
              <w:t>implementación del Plan de Empleo Público</w:t>
            </w:r>
          </w:p>
        </w:tc>
        <w:tc>
          <w:tcPr>
            <w:tcW w:w="1426" w:type="dxa"/>
          </w:tcPr>
          <w:p>
            <w:pPr>
              <w:pStyle w:val="TableParagraph"/>
              <w:spacing w:before="51"/>
              <w:ind w:left="71" w:right="24"/>
              <w:rPr>
                <w:sz w:val="18"/>
              </w:rPr>
            </w:pPr>
            <w:r>
              <w:rPr>
                <w:sz w:val="18"/>
              </w:rPr>
              <w:t>Porcentaje de </w:t>
            </w:r>
            <w:r>
              <w:rPr>
                <w:spacing w:val="-2"/>
                <w:sz w:val="18"/>
              </w:rPr>
              <w:t>Formulación presupuestaria </w:t>
            </w:r>
            <w:r>
              <w:rPr>
                <w:sz w:val="18"/>
              </w:rPr>
              <w:t>acorde con la </w:t>
            </w:r>
            <w:r>
              <w:rPr>
                <w:spacing w:val="-2"/>
                <w:sz w:val="18"/>
              </w:rPr>
              <w:t>implementación </w:t>
            </w:r>
            <w:r>
              <w:rPr>
                <w:sz w:val="18"/>
              </w:rPr>
              <w:t>del Plan de Empleo</w:t>
            </w:r>
            <w:r>
              <w:rPr>
                <w:spacing w:val="-13"/>
                <w:sz w:val="18"/>
              </w:rPr>
              <w:t> </w:t>
            </w:r>
            <w:r>
              <w:rPr>
                <w:sz w:val="18"/>
              </w:rPr>
              <w:t>Público</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54"/>
              <w:rPr>
                <w:b/>
                <w:sz w:val="18"/>
              </w:rPr>
            </w:pPr>
          </w:p>
          <w:p>
            <w:pPr>
              <w:pStyle w:val="TableParagraph"/>
              <w:spacing w:before="1"/>
              <w:ind w:right="51"/>
              <w:jc w:val="right"/>
              <w:rPr>
                <w:sz w:val="18"/>
              </w:rPr>
            </w:pPr>
            <w:r>
              <w:rPr>
                <w:spacing w:val="-4"/>
                <w:sz w:val="18"/>
              </w:rPr>
              <w:t>100%</w:t>
            </w: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r>
        <w:trPr>
          <w:trHeight w:val="1094" w:hRule="atLeast"/>
        </w:trPr>
        <w:tc>
          <w:tcPr>
            <w:tcW w:w="2593" w:type="dxa"/>
          </w:tcPr>
          <w:p>
            <w:pPr>
              <w:pStyle w:val="TableParagraph"/>
              <w:spacing w:before="27"/>
              <w:ind w:left="72"/>
              <w:rPr>
                <w:sz w:val="18"/>
              </w:rPr>
            </w:pPr>
            <w:r>
              <w:rPr>
                <w:b/>
                <w:sz w:val="18"/>
              </w:rPr>
              <w:t>Actividad</w:t>
            </w:r>
            <w:r>
              <w:rPr>
                <w:b/>
                <w:spacing w:val="-2"/>
                <w:sz w:val="18"/>
              </w:rPr>
              <w:t> </w:t>
            </w:r>
            <w:r>
              <w:rPr>
                <w:b/>
                <w:sz w:val="18"/>
              </w:rPr>
              <w:t>PAC 2.9.2: </w:t>
            </w:r>
            <w:r>
              <w:rPr>
                <w:sz w:val="18"/>
              </w:rPr>
              <w:t>Planilla institucional</w:t>
            </w:r>
            <w:r>
              <w:rPr>
                <w:spacing w:val="-13"/>
                <w:sz w:val="18"/>
              </w:rPr>
              <w:t> </w:t>
            </w:r>
            <w:r>
              <w:rPr>
                <w:sz w:val="18"/>
              </w:rPr>
              <w:t>aplicada</w:t>
            </w:r>
            <w:r>
              <w:rPr>
                <w:spacing w:val="-11"/>
                <w:sz w:val="18"/>
              </w:rPr>
              <w:t> </w:t>
            </w:r>
            <w:r>
              <w:rPr>
                <w:sz w:val="18"/>
              </w:rPr>
              <w:t>en</w:t>
            </w:r>
            <w:r>
              <w:rPr>
                <w:spacing w:val="-11"/>
                <w:sz w:val="18"/>
              </w:rPr>
              <w:t> </w:t>
            </w:r>
            <w:r>
              <w:rPr>
                <w:sz w:val="18"/>
              </w:rPr>
              <w:t>forma oportuna para la implementación del Plan de Empleo Público</w:t>
            </w:r>
          </w:p>
        </w:tc>
        <w:tc>
          <w:tcPr>
            <w:tcW w:w="1426" w:type="dxa"/>
          </w:tcPr>
          <w:p>
            <w:pPr>
              <w:pStyle w:val="TableParagraph"/>
              <w:spacing w:line="242" w:lineRule="auto" w:before="128"/>
              <w:ind w:left="71" w:right="227"/>
              <w:rPr>
                <w:sz w:val="18"/>
              </w:rPr>
            </w:pPr>
            <w:r>
              <w:rPr>
                <w:sz w:val="18"/>
              </w:rPr>
              <w:t>Porcentaje</w:t>
            </w:r>
            <w:r>
              <w:rPr>
                <w:spacing w:val="-13"/>
                <w:sz w:val="18"/>
              </w:rPr>
              <w:t> </w:t>
            </w:r>
            <w:r>
              <w:rPr>
                <w:sz w:val="18"/>
              </w:rPr>
              <w:t>de la planilla </w:t>
            </w:r>
            <w:r>
              <w:rPr>
                <w:spacing w:val="-2"/>
                <w:sz w:val="18"/>
              </w:rPr>
              <w:t>institucional aplicada</w:t>
            </w:r>
          </w:p>
        </w:tc>
        <w:tc>
          <w:tcPr>
            <w:tcW w:w="1181" w:type="dxa"/>
          </w:tcPr>
          <w:p>
            <w:pPr>
              <w:pStyle w:val="TableParagraph"/>
              <w:rPr>
                <w:b/>
                <w:sz w:val="16"/>
              </w:rPr>
            </w:pPr>
          </w:p>
          <w:p>
            <w:pPr>
              <w:pStyle w:val="TableParagraph"/>
              <w:spacing w:before="82"/>
              <w:rPr>
                <w:b/>
                <w:sz w:val="16"/>
              </w:rPr>
            </w:pPr>
          </w:p>
          <w:p>
            <w:pPr>
              <w:pStyle w:val="TableParagraph"/>
              <w:ind w:right="63"/>
              <w:jc w:val="right"/>
              <w:rPr>
                <w:sz w:val="16"/>
              </w:rPr>
            </w:pPr>
            <w:r>
              <w:rPr>
                <w:spacing w:val="-5"/>
                <w:sz w:val="16"/>
              </w:rPr>
              <w:t>25%</w:t>
            </w:r>
          </w:p>
        </w:tc>
        <w:tc>
          <w:tcPr>
            <w:tcW w:w="1334" w:type="dxa"/>
          </w:tcPr>
          <w:p>
            <w:pPr>
              <w:pStyle w:val="TableParagraph"/>
              <w:rPr>
                <w:b/>
                <w:sz w:val="16"/>
              </w:rPr>
            </w:pPr>
          </w:p>
          <w:p>
            <w:pPr>
              <w:pStyle w:val="TableParagraph"/>
              <w:spacing w:before="82"/>
              <w:rPr>
                <w:b/>
                <w:sz w:val="16"/>
              </w:rPr>
            </w:pPr>
          </w:p>
          <w:p>
            <w:pPr>
              <w:pStyle w:val="TableParagraph"/>
              <w:ind w:left="45" w:right="46"/>
              <w:jc w:val="center"/>
              <w:rPr>
                <w:sz w:val="16"/>
              </w:rPr>
            </w:pPr>
            <w:r>
              <w:rPr>
                <w:sz w:val="16"/>
              </w:rPr>
              <w:t>₡</w:t>
            </w:r>
            <w:r>
              <w:rPr>
                <w:spacing w:val="-3"/>
                <w:sz w:val="16"/>
              </w:rPr>
              <w:t> </w:t>
            </w:r>
            <w:r>
              <w:rPr>
                <w:sz w:val="16"/>
              </w:rPr>
              <w:t>5</w:t>
            </w:r>
            <w:r>
              <w:rPr>
                <w:spacing w:val="-1"/>
                <w:sz w:val="16"/>
              </w:rPr>
              <w:t> </w:t>
            </w:r>
            <w:r>
              <w:rPr>
                <w:sz w:val="16"/>
              </w:rPr>
              <w:t>760</w:t>
            </w:r>
            <w:r>
              <w:rPr>
                <w:spacing w:val="-1"/>
                <w:sz w:val="16"/>
              </w:rPr>
              <w:t> </w:t>
            </w:r>
            <w:r>
              <w:rPr>
                <w:sz w:val="16"/>
              </w:rPr>
              <w:t>351</w:t>
            </w:r>
            <w:r>
              <w:rPr>
                <w:spacing w:val="-5"/>
                <w:sz w:val="16"/>
              </w:rPr>
              <w:t> 957</w:t>
            </w:r>
          </w:p>
        </w:tc>
        <w:tc>
          <w:tcPr>
            <w:tcW w:w="1181" w:type="dxa"/>
          </w:tcPr>
          <w:p>
            <w:pPr>
              <w:pStyle w:val="TableParagraph"/>
              <w:rPr>
                <w:b/>
                <w:sz w:val="16"/>
              </w:rPr>
            </w:pPr>
          </w:p>
          <w:p>
            <w:pPr>
              <w:pStyle w:val="TableParagraph"/>
              <w:spacing w:before="82"/>
              <w:rPr>
                <w:b/>
                <w:sz w:val="16"/>
              </w:rPr>
            </w:pPr>
          </w:p>
          <w:p>
            <w:pPr>
              <w:pStyle w:val="TableParagraph"/>
              <w:ind w:right="62"/>
              <w:jc w:val="right"/>
              <w:rPr>
                <w:sz w:val="16"/>
              </w:rPr>
            </w:pPr>
            <w:r>
              <w:rPr>
                <w:spacing w:val="-5"/>
                <w:sz w:val="16"/>
              </w:rPr>
              <w:t>50%</w:t>
            </w:r>
          </w:p>
        </w:tc>
        <w:tc>
          <w:tcPr>
            <w:tcW w:w="1392" w:type="dxa"/>
          </w:tcPr>
          <w:p>
            <w:pPr>
              <w:pStyle w:val="TableParagraph"/>
              <w:rPr>
                <w:b/>
                <w:sz w:val="16"/>
              </w:rPr>
            </w:pPr>
          </w:p>
          <w:p>
            <w:pPr>
              <w:pStyle w:val="TableParagraph"/>
              <w:spacing w:before="82"/>
              <w:rPr>
                <w:b/>
                <w:sz w:val="16"/>
              </w:rPr>
            </w:pPr>
          </w:p>
          <w:p>
            <w:pPr>
              <w:pStyle w:val="TableParagraph"/>
              <w:ind w:left="2"/>
              <w:jc w:val="center"/>
              <w:rPr>
                <w:sz w:val="16"/>
              </w:rPr>
            </w:pPr>
            <w:r>
              <w:rPr>
                <w:sz w:val="16"/>
              </w:rPr>
              <w:t>₡</w:t>
            </w:r>
            <w:r>
              <w:rPr>
                <w:spacing w:val="-9"/>
                <w:sz w:val="16"/>
              </w:rPr>
              <w:t> </w:t>
            </w:r>
            <w:r>
              <w:rPr>
                <w:sz w:val="16"/>
              </w:rPr>
              <w:t>11</w:t>
            </w:r>
            <w:r>
              <w:rPr>
                <w:spacing w:val="-7"/>
                <w:sz w:val="16"/>
              </w:rPr>
              <w:t> </w:t>
            </w:r>
            <w:r>
              <w:rPr>
                <w:sz w:val="16"/>
              </w:rPr>
              <w:t>520</w:t>
            </w:r>
            <w:r>
              <w:rPr>
                <w:spacing w:val="-6"/>
                <w:sz w:val="16"/>
              </w:rPr>
              <w:t> </w:t>
            </w:r>
            <w:r>
              <w:rPr>
                <w:sz w:val="16"/>
              </w:rPr>
              <w:t>703</w:t>
            </w:r>
            <w:r>
              <w:rPr>
                <w:spacing w:val="-7"/>
                <w:sz w:val="16"/>
              </w:rPr>
              <w:t> </w:t>
            </w:r>
            <w:r>
              <w:rPr>
                <w:spacing w:val="-5"/>
                <w:sz w:val="16"/>
              </w:rPr>
              <w:t>913</w:t>
            </w:r>
          </w:p>
        </w:tc>
        <w:tc>
          <w:tcPr>
            <w:tcW w:w="1181" w:type="dxa"/>
          </w:tcPr>
          <w:p>
            <w:pPr>
              <w:pStyle w:val="TableParagraph"/>
              <w:rPr>
                <w:b/>
                <w:sz w:val="16"/>
              </w:rPr>
            </w:pPr>
          </w:p>
          <w:p>
            <w:pPr>
              <w:pStyle w:val="TableParagraph"/>
              <w:spacing w:before="82"/>
              <w:rPr>
                <w:b/>
                <w:sz w:val="16"/>
              </w:rPr>
            </w:pPr>
          </w:p>
          <w:p>
            <w:pPr>
              <w:pStyle w:val="TableParagraph"/>
              <w:ind w:right="57"/>
              <w:jc w:val="right"/>
              <w:rPr>
                <w:sz w:val="16"/>
              </w:rPr>
            </w:pPr>
            <w:r>
              <w:rPr>
                <w:spacing w:val="-5"/>
                <w:sz w:val="16"/>
              </w:rPr>
              <w:t>75%</w:t>
            </w:r>
          </w:p>
        </w:tc>
        <w:tc>
          <w:tcPr>
            <w:tcW w:w="1488" w:type="dxa"/>
          </w:tcPr>
          <w:p>
            <w:pPr>
              <w:pStyle w:val="TableParagraph"/>
              <w:rPr>
                <w:b/>
                <w:sz w:val="16"/>
              </w:rPr>
            </w:pPr>
          </w:p>
          <w:p>
            <w:pPr>
              <w:pStyle w:val="TableParagraph"/>
              <w:spacing w:before="82"/>
              <w:rPr>
                <w:b/>
                <w:sz w:val="16"/>
              </w:rPr>
            </w:pPr>
          </w:p>
          <w:p>
            <w:pPr>
              <w:pStyle w:val="TableParagraph"/>
              <w:ind w:left="19" w:right="123"/>
              <w:jc w:val="center"/>
              <w:rPr>
                <w:sz w:val="16"/>
              </w:rPr>
            </w:pPr>
            <w:r>
              <w:rPr>
                <w:sz w:val="16"/>
              </w:rPr>
              <w:t>₡17</w:t>
            </w:r>
            <w:r>
              <w:rPr>
                <w:spacing w:val="-3"/>
                <w:sz w:val="16"/>
              </w:rPr>
              <w:t> </w:t>
            </w:r>
            <w:r>
              <w:rPr>
                <w:sz w:val="16"/>
              </w:rPr>
              <w:t>281</w:t>
            </w:r>
            <w:r>
              <w:rPr>
                <w:spacing w:val="-2"/>
                <w:sz w:val="16"/>
              </w:rPr>
              <w:t> </w:t>
            </w:r>
            <w:r>
              <w:rPr>
                <w:sz w:val="16"/>
              </w:rPr>
              <w:t>055</w:t>
            </w:r>
            <w:r>
              <w:rPr>
                <w:spacing w:val="-3"/>
                <w:sz w:val="16"/>
              </w:rPr>
              <w:t> </w:t>
            </w:r>
            <w:r>
              <w:rPr>
                <w:spacing w:val="-5"/>
                <w:sz w:val="16"/>
              </w:rPr>
              <w:t>870</w:t>
            </w:r>
          </w:p>
        </w:tc>
        <w:tc>
          <w:tcPr>
            <w:tcW w:w="1181" w:type="dxa"/>
          </w:tcPr>
          <w:p>
            <w:pPr>
              <w:pStyle w:val="TableParagraph"/>
              <w:rPr>
                <w:b/>
                <w:sz w:val="16"/>
              </w:rPr>
            </w:pPr>
          </w:p>
          <w:p>
            <w:pPr>
              <w:pStyle w:val="TableParagraph"/>
              <w:spacing w:before="82"/>
              <w:rPr>
                <w:b/>
                <w:sz w:val="16"/>
              </w:rPr>
            </w:pPr>
          </w:p>
          <w:p>
            <w:pPr>
              <w:pStyle w:val="TableParagraph"/>
              <w:ind w:right="56"/>
              <w:jc w:val="right"/>
              <w:rPr>
                <w:sz w:val="16"/>
              </w:rPr>
            </w:pPr>
            <w:r>
              <w:rPr>
                <w:spacing w:val="-4"/>
                <w:sz w:val="16"/>
              </w:rPr>
              <w:t>100%</w:t>
            </w:r>
          </w:p>
        </w:tc>
        <w:tc>
          <w:tcPr>
            <w:tcW w:w="1436" w:type="dxa"/>
          </w:tcPr>
          <w:p>
            <w:pPr>
              <w:pStyle w:val="TableParagraph"/>
              <w:rPr>
                <w:b/>
                <w:sz w:val="16"/>
              </w:rPr>
            </w:pPr>
          </w:p>
          <w:p>
            <w:pPr>
              <w:pStyle w:val="TableParagraph"/>
              <w:spacing w:before="82"/>
              <w:rPr>
                <w:b/>
                <w:sz w:val="16"/>
              </w:rPr>
            </w:pPr>
          </w:p>
          <w:p>
            <w:pPr>
              <w:pStyle w:val="TableParagraph"/>
              <w:ind w:left="56"/>
              <w:jc w:val="center"/>
              <w:rPr>
                <w:sz w:val="16"/>
              </w:rPr>
            </w:pPr>
            <w:r>
              <w:rPr>
                <w:sz w:val="16"/>
              </w:rPr>
              <w:t>₡</w:t>
            </w:r>
            <w:r>
              <w:rPr>
                <w:spacing w:val="-8"/>
                <w:sz w:val="16"/>
              </w:rPr>
              <w:t> </w:t>
            </w:r>
            <w:r>
              <w:rPr>
                <w:sz w:val="16"/>
              </w:rPr>
              <w:t>23</w:t>
            </w:r>
            <w:r>
              <w:rPr>
                <w:spacing w:val="-9"/>
                <w:sz w:val="16"/>
              </w:rPr>
              <w:t> </w:t>
            </w:r>
            <w:r>
              <w:rPr>
                <w:sz w:val="16"/>
              </w:rPr>
              <w:t>041</w:t>
            </w:r>
            <w:r>
              <w:rPr>
                <w:spacing w:val="-5"/>
                <w:sz w:val="16"/>
              </w:rPr>
              <w:t> </w:t>
            </w:r>
            <w:r>
              <w:rPr>
                <w:sz w:val="16"/>
              </w:rPr>
              <w:t>407</w:t>
            </w:r>
            <w:r>
              <w:rPr>
                <w:spacing w:val="-5"/>
                <w:sz w:val="16"/>
              </w:rPr>
              <w:t> 826</w:t>
            </w:r>
          </w:p>
        </w:tc>
      </w:tr>
      <w:tr>
        <w:trPr>
          <w:trHeight w:val="599" w:hRule="atLeast"/>
        </w:trPr>
        <w:tc>
          <w:tcPr>
            <w:tcW w:w="14393" w:type="dxa"/>
            <w:gridSpan w:val="10"/>
            <w:shd w:val="clear" w:color="auto" w:fill="EFF8F9"/>
          </w:tcPr>
          <w:p>
            <w:pPr>
              <w:pStyle w:val="TableParagraph"/>
              <w:spacing w:before="195"/>
              <w:ind w:left="72"/>
              <w:rPr>
                <w:b/>
                <w:sz w:val="18"/>
              </w:rPr>
            </w:pPr>
            <w:r>
              <w:rPr>
                <w:b/>
                <w:sz w:val="18"/>
              </w:rPr>
              <w:t>Producto</w:t>
            </w:r>
            <w:r>
              <w:rPr>
                <w:b/>
                <w:spacing w:val="-6"/>
                <w:sz w:val="18"/>
              </w:rPr>
              <w:t> </w:t>
            </w:r>
            <w:r>
              <w:rPr>
                <w:b/>
                <w:sz w:val="18"/>
              </w:rPr>
              <w:t>PAC</w:t>
            </w:r>
            <w:r>
              <w:rPr>
                <w:b/>
                <w:spacing w:val="-7"/>
                <w:sz w:val="18"/>
              </w:rPr>
              <w:t> </w:t>
            </w:r>
            <w:r>
              <w:rPr>
                <w:b/>
                <w:sz w:val="18"/>
              </w:rPr>
              <w:t>2.10:</w:t>
            </w:r>
            <w:r>
              <w:rPr>
                <w:b/>
                <w:spacing w:val="-3"/>
                <w:sz w:val="18"/>
              </w:rPr>
              <w:t> </w:t>
            </w:r>
            <w:r>
              <w:rPr>
                <w:b/>
                <w:sz w:val="18"/>
              </w:rPr>
              <w:t>Enlaces</w:t>
            </w:r>
            <w:r>
              <w:rPr>
                <w:b/>
                <w:spacing w:val="-4"/>
                <w:sz w:val="18"/>
              </w:rPr>
              <w:t> </w:t>
            </w:r>
            <w:r>
              <w:rPr>
                <w:b/>
                <w:sz w:val="18"/>
              </w:rPr>
              <w:t>de</w:t>
            </w:r>
            <w:r>
              <w:rPr>
                <w:b/>
                <w:spacing w:val="-5"/>
                <w:sz w:val="18"/>
              </w:rPr>
              <w:t> </w:t>
            </w:r>
            <w:r>
              <w:rPr>
                <w:b/>
                <w:sz w:val="18"/>
              </w:rPr>
              <w:t>riesgos</w:t>
            </w:r>
            <w:r>
              <w:rPr>
                <w:b/>
                <w:spacing w:val="-5"/>
                <w:sz w:val="18"/>
              </w:rPr>
              <w:t> </w:t>
            </w:r>
            <w:r>
              <w:rPr>
                <w:b/>
                <w:sz w:val="18"/>
              </w:rPr>
              <w:t>y</w:t>
            </w:r>
            <w:r>
              <w:rPr>
                <w:b/>
                <w:spacing w:val="-1"/>
                <w:sz w:val="18"/>
              </w:rPr>
              <w:t> </w:t>
            </w:r>
            <w:r>
              <w:rPr>
                <w:b/>
                <w:sz w:val="18"/>
              </w:rPr>
              <w:t>brigadas</w:t>
            </w:r>
            <w:r>
              <w:rPr>
                <w:b/>
                <w:spacing w:val="-4"/>
                <w:sz w:val="18"/>
              </w:rPr>
              <w:t> </w:t>
            </w:r>
            <w:r>
              <w:rPr>
                <w:b/>
                <w:sz w:val="18"/>
              </w:rPr>
              <w:t>capacitados</w:t>
            </w:r>
            <w:r>
              <w:rPr>
                <w:b/>
                <w:spacing w:val="-1"/>
                <w:sz w:val="18"/>
              </w:rPr>
              <w:t> </w:t>
            </w:r>
            <w:r>
              <w:rPr>
                <w:b/>
                <w:sz w:val="18"/>
              </w:rPr>
              <w:t>en</w:t>
            </w:r>
            <w:r>
              <w:rPr>
                <w:b/>
                <w:spacing w:val="-10"/>
                <w:sz w:val="18"/>
              </w:rPr>
              <w:t> </w:t>
            </w:r>
            <w:r>
              <w:rPr>
                <w:b/>
                <w:sz w:val="18"/>
              </w:rPr>
              <w:t>temas</w:t>
            </w:r>
            <w:r>
              <w:rPr>
                <w:b/>
                <w:spacing w:val="-1"/>
                <w:sz w:val="18"/>
              </w:rPr>
              <w:t> </w:t>
            </w:r>
            <w:r>
              <w:rPr>
                <w:b/>
                <w:sz w:val="18"/>
              </w:rPr>
              <w:t>de</w:t>
            </w:r>
            <w:r>
              <w:rPr>
                <w:b/>
                <w:spacing w:val="-5"/>
                <w:sz w:val="18"/>
              </w:rPr>
              <w:t> </w:t>
            </w:r>
            <w:r>
              <w:rPr>
                <w:b/>
                <w:sz w:val="18"/>
              </w:rPr>
              <w:t>salud</w:t>
            </w:r>
            <w:r>
              <w:rPr>
                <w:b/>
                <w:spacing w:val="-5"/>
                <w:sz w:val="18"/>
              </w:rPr>
              <w:t> </w:t>
            </w:r>
            <w:r>
              <w:rPr>
                <w:b/>
                <w:sz w:val="18"/>
              </w:rPr>
              <w:t>y</w:t>
            </w:r>
            <w:r>
              <w:rPr>
                <w:b/>
                <w:spacing w:val="-5"/>
                <w:sz w:val="18"/>
              </w:rPr>
              <w:t> </w:t>
            </w:r>
            <w:r>
              <w:rPr>
                <w:b/>
                <w:sz w:val="18"/>
              </w:rPr>
              <w:t>seguridad</w:t>
            </w:r>
            <w:r>
              <w:rPr>
                <w:b/>
                <w:spacing w:val="-6"/>
                <w:sz w:val="18"/>
              </w:rPr>
              <w:t> </w:t>
            </w:r>
            <w:r>
              <w:rPr>
                <w:b/>
                <w:sz w:val="18"/>
              </w:rPr>
              <w:t>laboral.</w:t>
            </w:r>
            <w:r>
              <w:rPr>
                <w:b/>
                <w:spacing w:val="-3"/>
                <w:sz w:val="18"/>
              </w:rPr>
              <w:t> </w:t>
            </w:r>
            <w:r>
              <w:rPr>
                <w:b/>
                <w:sz w:val="18"/>
              </w:rPr>
              <w:t>E6</w:t>
            </w:r>
            <w:r>
              <w:rPr>
                <w:b/>
                <w:spacing w:val="-4"/>
                <w:sz w:val="18"/>
              </w:rPr>
              <w:t> </w:t>
            </w:r>
            <w:r>
              <w:rPr>
                <w:b/>
                <w:sz w:val="18"/>
              </w:rPr>
              <w:t>AE7</w:t>
            </w:r>
            <w:r>
              <w:rPr>
                <w:b/>
                <w:spacing w:val="-1"/>
                <w:sz w:val="18"/>
              </w:rPr>
              <w:t> </w:t>
            </w:r>
            <w:r>
              <w:rPr>
                <w:b/>
                <w:sz w:val="18"/>
              </w:rPr>
              <w:t>R2</w:t>
            </w:r>
            <w:r>
              <w:rPr>
                <w:b/>
                <w:spacing w:val="-10"/>
                <w:sz w:val="18"/>
              </w:rPr>
              <w:t> </w:t>
            </w:r>
            <w:r>
              <w:rPr>
                <w:b/>
                <w:sz w:val="18"/>
              </w:rPr>
              <w:t>(meta</w:t>
            </w:r>
            <w:r>
              <w:rPr>
                <w:b/>
                <w:spacing w:val="-4"/>
                <w:sz w:val="18"/>
              </w:rPr>
              <w:t> </w:t>
            </w:r>
            <w:r>
              <w:rPr>
                <w:b/>
                <w:sz w:val="18"/>
              </w:rPr>
              <w:t>programada</w:t>
            </w:r>
            <w:r>
              <w:rPr>
                <w:b/>
                <w:spacing w:val="-5"/>
                <w:sz w:val="18"/>
              </w:rPr>
              <w:t> </w:t>
            </w:r>
            <w:r>
              <w:rPr>
                <w:b/>
                <w:spacing w:val="-4"/>
                <w:sz w:val="18"/>
              </w:rPr>
              <w:t>60%)</w:t>
            </w:r>
          </w:p>
        </w:tc>
      </w:tr>
      <w:tr>
        <w:trPr>
          <w:trHeight w:val="1156" w:hRule="atLeast"/>
        </w:trPr>
        <w:tc>
          <w:tcPr>
            <w:tcW w:w="2593" w:type="dxa"/>
          </w:tcPr>
          <w:p>
            <w:pPr>
              <w:pStyle w:val="TableParagraph"/>
              <w:spacing w:before="57"/>
              <w:ind w:left="72" w:right="51"/>
              <w:rPr>
                <w:sz w:val="18"/>
              </w:rPr>
            </w:pPr>
            <w:r>
              <w:rPr>
                <w:b/>
                <w:sz w:val="18"/>
              </w:rPr>
              <w:t>Actividad PAC 2.10.1: </w:t>
            </w:r>
            <w:r>
              <w:rPr>
                <w:sz w:val="18"/>
              </w:rPr>
              <w:t>Cantidad de enlaces o brigadas identificados para capacitarse</w:t>
            </w:r>
            <w:r>
              <w:rPr>
                <w:spacing w:val="-10"/>
                <w:sz w:val="18"/>
              </w:rPr>
              <w:t> </w:t>
            </w:r>
            <w:r>
              <w:rPr>
                <w:sz w:val="18"/>
              </w:rPr>
              <w:t>en</w:t>
            </w:r>
            <w:r>
              <w:rPr>
                <w:spacing w:val="-10"/>
                <w:sz w:val="18"/>
              </w:rPr>
              <w:t> </w:t>
            </w:r>
            <w:r>
              <w:rPr>
                <w:sz w:val="18"/>
              </w:rPr>
              <w:t>temas</w:t>
            </w:r>
            <w:r>
              <w:rPr>
                <w:spacing w:val="-6"/>
                <w:sz w:val="18"/>
              </w:rPr>
              <w:t> </w:t>
            </w:r>
            <w:r>
              <w:rPr>
                <w:sz w:val="18"/>
              </w:rPr>
              <w:t>de</w:t>
            </w:r>
            <w:r>
              <w:rPr>
                <w:spacing w:val="-7"/>
                <w:sz w:val="18"/>
              </w:rPr>
              <w:t> </w:t>
            </w:r>
            <w:r>
              <w:rPr>
                <w:sz w:val="18"/>
              </w:rPr>
              <w:t>salud y seguridad laboral</w:t>
            </w:r>
          </w:p>
        </w:tc>
        <w:tc>
          <w:tcPr>
            <w:tcW w:w="1426" w:type="dxa"/>
          </w:tcPr>
          <w:p>
            <w:pPr>
              <w:pStyle w:val="TableParagraph"/>
              <w:spacing w:before="61"/>
              <w:rPr>
                <w:b/>
                <w:sz w:val="18"/>
              </w:rPr>
            </w:pPr>
          </w:p>
          <w:p>
            <w:pPr>
              <w:pStyle w:val="TableParagraph"/>
              <w:ind w:left="71" w:right="24"/>
              <w:rPr>
                <w:sz w:val="18"/>
              </w:rPr>
            </w:pPr>
            <w:r>
              <w:rPr>
                <w:sz w:val="18"/>
              </w:rPr>
              <w:t>Cantidad</w:t>
            </w:r>
            <w:r>
              <w:rPr>
                <w:spacing w:val="-5"/>
                <w:sz w:val="18"/>
              </w:rPr>
              <w:t> </w:t>
            </w:r>
            <w:r>
              <w:rPr>
                <w:sz w:val="18"/>
              </w:rPr>
              <w:t>de </w:t>
            </w:r>
            <w:r>
              <w:rPr>
                <w:spacing w:val="-2"/>
                <w:sz w:val="18"/>
              </w:rPr>
              <w:t>brigadas identificadas</w:t>
            </w:r>
          </w:p>
        </w:tc>
        <w:tc>
          <w:tcPr>
            <w:tcW w:w="1181" w:type="dxa"/>
          </w:tcPr>
          <w:p>
            <w:pPr>
              <w:pStyle w:val="TableParagraph"/>
              <w:rPr>
                <w:b/>
                <w:sz w:val="18"/>
              </w:rPr>
            </w:pPr>
          </w:p>
          <w:p>
            <w:pPr>
              <w:pStyle w:val="TableParagraph"/>
              <w:spacing w:before="60"/>
              <w:rPr>
                <w:b/>
                <w:sz w:val="18"/>
              </w:rPr>
            </w:pPr>
          </w:p>
          <w:p>
            <w:pPr>
              <w:pStyle w:val="TableParagraph"/>
              <w:ind w:right="60"/>
              <w:jc w:val="right"/>
              <w:rPr>
                <w:sz w:val="18"/>
              </w:rPr>
            </w:pPr>
            <w:r>
              <w:rPr>
                <w:spacing w:val="-5"/>
                <w:sz w:val="18"/>
              </w:rPr>
              <w:t>27</w:t>
            </w: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r>
        <w:trPr>
          <w:trHeight w:val="1767" w:hRule="atLeast"/>
        </w:trPr>
        <w:tc>
          <w:tcPr>
            <w:tcW w:w="2593" w:type="dxa"/>
          </w:tcPr>
          <w:p>
            <w:pPr>
              <w:pStyle w:val="TableParagraph"/>
              <w:rPr>
                <w:b/>
                <w:sz w:val="18"/>
              </w:rPr>
            </w:pPr>
          </w:p>
          <w:p>
            <w:pPr>
              <w:pStyle w:val="TableParagraph"/>
              <w:spacing w:before="55"/>
              <w:rPr>
                <w:b/>
                <w:sz w:val="18"/>
              </w:rPr>
            </w:pPr>
          </w:p>
          <w:p>
            <w:pPr>
              <w:pStyle w:val="TableParagraph"/>
              <w:ind w:left="72"/>
              <w:rPr>
                <w:sz w:val="18"/>
              </w:rPr>
            </w:pPr>
            <w:r>
              <w:rPr>
                <w:b/>
                <w:sz w:val="18"/>
              </w:rPr>
              <w:t>Actividad PAC 2.10.2: </w:t>
            </w:r>
            <w:r>
              <w:rPr>
                <w:sz w:val="18"/>
              </w:rPr>
              <w:t>Personas</w:t>
            </w:r>
            <w:r>
              <w:rPr>
                <w:spacing w:val="-6"/>
                <w:sz w:val="18"/>
              </w:rPr>
              <w:t> </w:t>
            </w:r>
            <w:r>
              <w:rPr>
                <w:sz w:val="18"/>
              </w:rPr>
              <w:t>enlaces</w:t>
            </w:r>
            <w:r>
              <w:rPr>
                <w:spacing w:val="-10"/>
                <w:sz w:val="18"/>
              </w:rPr>
              <w:t> </w:t>
            </w:r>
            <w:r>
              <w:rPr>
                <w:sz w:val="18"/>
              </w:rPr>
              <w:t>de</w:t>
            </w:r>
            <w:r>
              <w:rPr>
                <w:spacing w:val="-10"/>
                <w:sz w:val="18"/>
              </w:rPr>
              <w:t> </w:t>
            </w:r>
            <w:r>
              <w:rPr>
                <w:sz w:val="18"/>
              </w:rPr>
              <w:t>riesgos</w:t>
            </w:r>
            <w:r>
              <w:rPr>
                <w:spacing w:val="-6"/>
                <w:sz w:val="18"/>
              </w:rPr>
              <w:t> </w:t>
            </w:r>
            <w:r>
              <w:rPr>
                <w:sz w:val="18"/>
              </w:rPr>
              <w:t>y brigadas en temas de salud y seguridad laboral capacitadas</w:t>
            </w:r>
          </w:p>
        </w:tc>
        <w:tc>
          <w:tcPr>
            <w:tcW w:w="1426" w:type="dxa"/>
          </w:tcPr>
          <w:p>
            <w:pPr>
              <w:pStyle w:val="TableParagraph"/>
              <w:spacing w:before="52"/>
              <w:ind w:left="71" w:right="104"/>
              <w:rPr>
                <w:sz w:val="18"/>
              </w:rPr>
            </w:pPr>
            <w:r>
              <w:rPr>
                <w:sz w:val="18"/>
              </w:rPr>
              <w:t>Porcentaje de </w:t>
            </w:r>
            <w:r>
              <w:rPr>
                <w:spacing w:val="-2"/>
                <w:sz w:val="18"/>
              </w:rPr>
              <w:t>personas enlaces (brigadistas) </w:t>
            </w:r>
            <w:r>
              <w:rPr>
                <w:sz w:val="18"/>
              </w:rPr>
              <w:t>capacitados</w:t>
            </w:r>
            <w:r>
              <w:rPr>
                <w:spacing w:val="-13"/>
                <w:sz w:val="18"/>
              </w:rPr>
              <w:t> </w:t>
            </w:r>
            <w:r>
              <w:rPr>
                <w:sz w:val="18"/>
              </w:rPr>
              <w:t>en temas</w:t>
            </w:r>
            <w:r>
              <w:rPr>
                <w:spacing w:val="-15"/>
                <w:sz w:val="18"/>
              </w:rPr>
              <w:t> </w:t>
            </w:r>
            <w:r>
              <w:rPr>
                <w:sz w:val="18"/>
              </w:rPr>
              <w:t>de</w:t>
            </w:r>
            <w:r>
              <w:rPr>
                <w:spacing w:val="-12"/>
                <w:sz w:val="18"/>
              </w:rPr>
              <w:t> </w:t>
            </w:r>
            <w:r>
              <w:rPr>
                <w:sz w:val="18"/>
              </w:rPr>
              <w:t>salud y seguridad </w:t>
            </w:r>
            <w:r>
              <w:rPr>
                <w:spacing w:val="-2"/>
                <w:sz w:val="18"/>
              </w:rPr>
              <w:t>laboral</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56"/>
              <w:rPr>
                <w:b/>
                <w:sz w:val="18"/>
              </w:rPr>
            </w:pPr>
          </w:p>
          <w:p>
            <w:pPr>
              <w:pStyle w:val="TableParagraph"/>
              <w:ind w:right="56"/>
              <w:jc w:val="right"/>
              <w:rPr>
                <w:sz w:val="18"/>
              </w:rPr>
            </w:pPr>
            <w:r>
              <w:rPr>
                <w:spacing w:val="-5"/>
                <w:sz w:val="18"/>
              </w:rPr>
              <w:t>30%</w:t>
            </w: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56"/>
              <w:rPr>
                <w:b/>
                <w:sz w:val="18"/>
              </w:rPr>
            </w:pPr>
          </w:p>
          <w:p>
            <w:pPr>
              <w:pStyle w:val="TableParagraph"/>
              <w:ind w:right="51"/>
              <w:jc w:val="right"/>
              <w:rPr>
                <w:sz w:val="18"/>
              </w:rPr>
            </w:pPr>
            <w:r>
              <w:rPr>
                <w:spacing w:val="-5"/>
                <w:sz w:val="18"/>
              </w:rPr>
              <w:t>60%</w:t>
            </w: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56"/>
              <w:rPr>
                <w:b/>
                <w:sz w:val="18"/>
              </w:rPr>
            </w:pPr>
          </w:p>
          <w:p>
            <w:pPr>
              <w:pStyle w:val="TableParagraph"/>
              <w:ind w:right="50"/>
              <w:jc w:val="right"/>
              <w:rPr>
                <w:sz w:val="18"/>
              </w:rPr>
            </w:pPr>
            <w:r>
              <w:rPr>
                <w:spacing w:val="-4"/>
                <w:sz w:val="18"/>
              </w:rPr>
              <w:t>100%</w:t>
            </w:r>
          </w:p>
        </w:tc>
        <w:tc>
          <w:tcPr>
            <w:tcW w:w="1436" w:type="dxa"/>
          </w:tcPr>
          <w:p>
            <w:pPr>
              <w:pStyle w:val="TableParagraph"/>
              <w:rPr>
                <w:rFonts w:ascii="Times New Roman"/>
                <w:sz w:val="18"/>
              </w:rPr>
            </w:pPr>
          </w:p>
        </w:tc>
      </w:tr>
      <w:tr>
        <w:trPr>
          <w:trHeight w:val="604" w:hRule="atLeast"/>
        </w:trPr>
        <w:tc>
          <w:tcPr>
            <w:tcW w:w="14393" w:type="dxa"/>
            <w:gridSpan w:val="10"/>
            <w:shd w:val="clear" w:color="auto" w:fill="EFF8F9"/>
          </w:tcPr>
          <w:p>
            <w:pPr>
              <w:pStyle w:val="TableParagraph"/>
              <w:spacing w:before="95"/>
              <w:ind w:left="72" w:right="184"/>
              <w:rPr>
                <w:b/>
                <w:sz w:val="18"/>
              </w:rPr>
            </w:pPr>
            <w:r>
              <w:rPr>
                <w:b/>
                <w:sz w:val="18"/>
              </w:rPr>
              <w:t>Producto</w:t>
            </w:r>
            <w:r>
              <w:rPr>
                <w:b/>
                <w:spacing w:val="-4"/>
                <w:sz w:val="18"/>
              </w:rPr>
              <w:t> </w:t>
            </w:r>
            <w:r>
              <w:rPr>
                <w:b/>
                <w:sz w:val="18"/>
              </w:rPr>
              <w:t>PAC</w:t>
            </w:r>
            <w:r>
              <w:rPr>
                <w:b/>
                <w:spacing w:val="-5"/>
                <w:sz w:val="18"/>
              </w:rPr>
              <w:t> </w:t>
            </w:r>
            <w:r>
              <w:rPr>
                <w:b/>
                <w:sz w:val="18"/>
              </w:rPr>
              <w:t>2.11:</w:t>
            </w:r>
            <w:r>
              <w:rPr>
                <w:b/>
                <w:spacing w:val="-1"/>
                <w:sz w:val="18"/>
              </w:rPr>
              <w:t> </w:t>
            </w:r>
            <w:r>
              <w:rPr>
                <w:b/>
                <w:sz w:val="18"/>
              </w:rPr>
              <w:t>Personas</w:t>
            </w:r>
            <w:r>
              <w:rPr>
                <w:b/>
                <w:spacing w:val="-3"/>
                <w:sz w:val="18"/>
              </w:rPr>
              <w:t> </w:t>
            </w:r>
            <w:r>
              <w:rPr>
                <w:b/>
                <w:sz w:val="18"/>
              </w:rPr>
              <w:t>funcionarias</w:t>
            </w:r>
            <w:r>
              <w:rPr>
                <w:b/>
                <w:spacing w:val="-3"/>
                <w:sz w:val="18"/>
              </w:rPr>
              <w:t> </w:t>
            </w:r>
            <w:r>
              <w:rPr>
                <w:b/>
                <w:sz w:val="18"/>
              </w:rPr>
              <w:t>del</w:t>
            </w:r>
            <w:r>
              <w:rPr>
                <w:b/>
                <w:spacing w:val="-1"/>
                <w:sz w:val="18"/>
              </w:rPr>
              <w:t> </w:t>
            </w:r>
            <w:r>
              <w:rPr>
                <w:b/>
                <w:sz w:val="18"/>
              </w:rPr>
              <w:t>IMAS con</w:t>
            </w:r>
            <w:r>
              <w:rPr>
                <w:b/>
                <w:spacing w:val="-4"/>
                <w:sz w:val="18"/>
              </w:rPr>
              <w:t> </w:t>
            </w:r>
            <w:r>
              <w:rPr>
                <w:b/>
                <w:sz w:val="18"/>
              </w:rPr>
              <w:t>una atención</w:t>
            </w:r>
            <w:r>
              <w:rPr>
                <w:b/>
                <w:spacing w:val="-4"/>
                <w:sz w:val="18"/>
              </w:rPr>
              <w:t> </w:t>
            </w:r>
            <w:r>
              <w:rPr>
                <w:b/>
                <w:sz w:val="18"/>
              </w:rPr>
              <w:t>médica</w:t>
            </w:r>
            <w:r>
              <w:rPr>
                <w:b/>
                <w:spacing w:val="-3"/>
                <w:sz w:val="18"/>
              </w:rPr>
              <w:t> </w:t>
            </w:r>
            <w:r>
              <w:rPr>
                <w:b/>
                <w:sz w:val="18"/>
              </w:rPr>
              <w:t>oportuna</w:t>
            </w:r>
            <w:r>
              <w:rPr>
                <w:b/>
                <w:spacing w:val="-3"/>
                <w:sz w:val="18"/>
              </w:rPr>
              <w:t> </w:t>
            </w:r>
            <w:r>
              <w:rPr>
                <w:b/>
                <w:sz w:val="18"/>
              </w:rPr>
              <w:t>para contribuir</w:t>
            </w:r>
            <w:r>
              <w:rPr>
                <w:b/>
                <w:spacing w:val="-2"/>
                <w:sz w:val="18"/>
              </w:rPr>
              <w:t> </w:t>
            </w:r>
            <w:r>
              <w:rPr>
                <w:b/>
                <w:sz w:val="18"/>
              </w:rPr>
              <w:t>a</w:t>
            </w:r>
            <w:r>
              <w:rPr>
                <w:b/>
                <w:spacing w:val="-3"/>
                <w:sz w:val="18"/>
              </w:rPr>
              <w:t> </w:t>
            </w:r>
            <w:r>
              <w:rPr>
                <w:b/>
                <w:sz w:val="18"/>
              </w:rPr>
              <w:t>su</w:t>
            </w:r>
            <w:r>
              <w:rPr>
                <w:b/>
                <w:spacing w:val="-4"/>
                <w:sz w:val="18"/>
              </w:rPr>
              <w:t> </w:t>
            </w:r>
            <w:r>
              <w:rPr>
                <w:b/>
                <w:sz w:val="18"/>
              </w:rPr>
              <w:t>buen</w:t>
            </w:r>
            <w:r>
              <w:rPr>
                <w:b/>
                <w:spacing w:val="-4"/>
                <w:sz w:val="18"/>
              </w:rPr>
              <w:t> </w:t>
            </w:r>
            <w:r>
              <w:rPr>
                <w:b/>
                <w:sz w:val="18"/>
              </w:rPr>
              <w:t>estado</w:t>
            </w:r>
            <w:r>
              <w:rPr>
                <w:b/>
                <w:spacing w:val="-4"/>
                <w:sz w:val="18"/>
              </w:rPr>
              <w:t> </w:t>
            </w:r>
            <w:r>
              <w:rPr>
                <w:b/>
                <w:sz w:val="18"/>
              </w:rPr>
              <w:t>de</w:t>
            </w:r>
            <w:r>
              <w:rPr>
                <w:b/>
                <w:spacing w:val="-3"/>
                <w:sz w:val="18"/>
              </w:rPr>
              <w:t> </w:t>
            </w:r>
            <w:r>
              <w:rPr>
                <w:b/>
                <w:sz w:val="18"/>
              </w:rPr>
              <w:t>salud. E6</w:t>
            </w:r>
            <w:r>
              <w:rPr>
                <w:b/>
                <w:spacing w:val="-3"/>
                <w:sz w:val="18"/>
              </w:rPr>
              <w:t> </w:t>
            </w:r>
            <w:r>
              <w:rPr>
                <w:b/>
                <w:sz w:val="18"/>
              </w:rPr>
              <w:t>AE7 R3</w:t>
            </w:r>
            <w:r>
              <w:rPr>
                <w:b/>
                <w:spacing w:val="-3"/>
                <w:sz w:val="18"/>
              </w:rPr>
              <w:t> </w:t>
            </w:r>
            <w:r>
              <w:rPr>
                <w:b/>
                <w:sz w:val="18"/>
              </w:rPr>
              <w:t>(meta programada </w:t>
            </w:r>
            <w:r>
              <w:rPr>
                <w:b/>
                <w:spacing w:val="-2"/>
                <w:sz w:val="18"/>
              </w:rPr>
              <w:t>100%)</w:t>
            </w:r>
          </w:p>
        </w:tc>
      </w:tr>
    </w:tbl>
    <w:p>
      <w:pPr>
        <w:pStyle w:val="TableParagraph"/>
        <w:spacing w:after="0"/>
        <w:rPr>
          <w:b/>
          <w:sz w:val="18"/>
        </w:rPr>
        <w:sectPr>
          <w:type w:val="continuous"/>
          <w:pgSz w:w="15840" w:h="12240" w:orient="landscape"/>
          <w:pgMar w:header="0" w:footer="1806" w:top="700" w:bottom="3213"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3"/>
        <w:gridCol w:w="1426"/>
        <w:gridCol w:w="1181"/>
        <w:gridCol w:w="1334"/>
        <w:gridCol w:w="1181"/>
        <w:gridCol w:w="1392"/>
        <w:gridCol w:w="1181"/>
        <w:gridCol w:w="1488"/>
        <w:gridCol w:w="1181"/>
        <w:gridCol w:w="1436"/>
      </w:tblGrid>
      <w:tr>
        <w:trPr>
          <w:trHeight w:val="302" w:hRule="atLeast"/>
        </w:trPr>
        <w:tc>
          <w:tcPr>
            <w:tcW w:w="2593" w:type="dxa"/>
            <w:vMerge w:val="restart"/>
            <w:shd w:val="clear" w:color="auto" w:fill="D7D7D7"/>
          </w:tcPr>
          <w:p>
            <w:pPr>
              <w:pStyle w:val="TableParagraph"/>
              <w:rPr>
                <w:b/>
                <w:sz w:val="18"/>
              </w:rPr>
            </w:pPr>
          </w:p>
          <w:p>
            <w:pPr>
              <w:pStyle w:val="TableParagraph"/>
              <w:spacing w:before="141"/>
              <w:rPr>
                <w:b/>
                <w:sz w:val="18"/>
              </w:rPr>
            </w:pPr>
          </w:p>
          <w:p>
            <w:pPr>
              <w:pStyle w:val="TableParagraph"/>
              <w:ind w:left="326"/>
              <w:rPr>
                <w:b/>
                <w:sz w:val="18"/>
              </w:rPr>
            </w:pPr>
            <w:r>
              <w:rPr>
                <w:b/>
                <w:sz w:val="18"/>
              </w:rPr>
              <w:t>Objetivos</w:t>
            </w:r>
            <w:r>
              <w:rPr>
                <w:b/>
                <w:spacing w:val="-5"/>
                <w:sz w:val="18"/>
              </w:rPr>
              <w:t> </w:t>
            </w:r>
            <w:r>
              <w:rPr>
                <w:b/>
                <w:sz w:val="18"/>
              </w:rPr>
              <w:t>/</w:t>
            </w:r>
            <w:r>
              <w:rPr>
                <w:b/>
                <w:spacing w:val="-2"/>
                <w:sz w:val="18"/>
              </w:rPr>
              <w:t> Resultados</w:t>
            </w:r>
          </w:p>
        </w:tc>
        <w:tc>
          <w:tcPr>
            <w:tcW w:w="1426" w:type="dxa"/>
            <w:vMerge w:val="restart"/>
            <w:shd w:val="clear" w:color="auto" w:fill="D7D7D7"/>
          </w:tcPr>
          <w:p>
            <w:pPr>
              <w:pStyle w:val="TableParagraph"/>
              <w:rPr>
                <w:b/>
                <w:sz w:val="18"/>
              </w:rPr>
            </w:pPr>
          </w:p>
          <w:p>
            <w:pPr>
              <w:pStyle w:val="TableParagraph"/>
              <w:spacing w:before="141"/>
              <w:rPr>
                <w:b/>
                <w:sz w:val="18"/>
              </w:rPr>
            </w:pPr>
          </w:p>
          <w:p>
            <w:pPr>
              <w:pStyle w:val="TableParagraph"/>
              <w:ind w:left="71"/>
              <w:rPr>
                <w:b/>
                <w:sz w:val="18"/>
              </w:rPr>
            </w:pPr>
            <w:r>
              <w:rPr>
                <w:b/>
                <w:spacing w:val="-2"/>
                <w:sz w:val="18"/>
              </w:rPr>
              <w:t>Indicador</w:t>
            </w:r>
          </w:p>
        </w:tc>
        <w:tc>
          <w:tcPr>
            <w:tcW w:w="2515" w:type="dxa"/>
            <w:gridSpan w:val="2"/>
            <w:shd w:val="clear" w:color="auto" w:fill="D7D7D7"/>
          </w:tcPr>
          <w:p>
            <w:pPr>
              <w:pStyle w:val="TableParagraph"/>
              <w:spacing w:before="47"/>
              <w:ind w:left="791"/>
              <w:rPr>
                <w:b/>
                <w:sz w:val="18"/>
              </w:rPr>
            </w:pPr>
            <w:r>
              <w:rPr>
                <w:b/>
                <w:sz w:val="18"/>
              </w:rPr>
              <w:t>I</w:t>
            </w:r>
            <w:r>
              <w:rPr>
                <w:b/>
                <w:spacing w:val="-1"/>
                <w:sz w:val="18"/>
              </w:rPr>
              <w:t> </w:t>
            </w:r>
            <w:r>
              <w:rPr>
                <w:b/>
                <w:spacing w:val="-2"/>
                <w:sz w:val="18"/>
              </w:rPr>
              <w:t>Trimestre</w:t>
            </w:r>
          </w:p>
        </w:tc>
        <w:tc>
          <w:tcPr>
            <w:tcW w:w="2573" w:type="dxa"/>
            <w:gridSpan w:val="2"/>
            <w:shd w:val="clear" w:color="auto" w:fill="D7D7D7"/>
          </w:tcPr>
          <w:p>
            <w:pPr>
              <w:pStyle w:val="TableParagraph"/>
              <w:spacing w:before="47"/>
              <w:ind w:left="797"/>
              <w:rPr>
                <w:b/>
                <w:sz w:val="18"/>
              </w:rPr>
            </w:pPr>
            <w:r>
              <w:rPr>
                <w:b/>
                <w:sz w:val="18"/>
              </w:rPr>
              <w:t>II</w:t>
            </w:r>
            <w:r>
              <w:rPr>
                <w:b/>
                <w:spacing w:val="-3"/>
                <w:sz w:val="18"/>
              </w:rPr>
              <w:t> </w:t>
            </w:r>
            <w:r>
              <w:rPr>
                <w:b/>
                <w:spacing w:val="-2"/>
                <w:sz w:val="18"/>
              </w:rPr>
              <w:t>Trimestre</w:t>
            </w:r>
          </w:p>
        </w:tc>
        <w:tc>
          <w:tcPr>
            <w:tcW w:w="2669" w:type="dxa"/>
            <w:gridSpan w:val="2"/>
            <w:shd w:val="clear" w:color="auto" w:fill="D7D7D7"/>
          </w:tcPr>
          <w:p>
            <w:pPr>
              <w:pStyle w:val="TableParagraph"/>
              <w:spacing w:before="47"/>
              <w:ind w:left="822"/>
              <w:rPr>
                <w:b/>
                <w:sz w:val="18"/>
              </w:rPr>
            </w:pPr>
            <w:r>
              <w:rPr>
                <w:b/>
                <w:sz w:val="18"/>
              </w:rPr>
              <w:t>III</w:t>
            </w:r>
            <w:r>
              <w:rPr>
                <w:b/>
                <w:spacing w:val="-2"/>
                <w:sz w:val="18"/>
              </w:rPr>
              <w:t> Trimestre</w:t>
            </w:r>
          </w:p>
        </w:tc>
        <w:tc>
          <w:tcPr>
            <w:tcW w:w="2617" w:type="dxa"/>
            <w:gridSpan w:val="2"/>
            <w:shd w:val="clear" w:color="auto" w:fill="D7D7D7"/>
          </w:tcPr>
          <w:p>
            <w:pPr>
              <w:pStyle w:val="TableParagraph"/>
              <w:spacing w:before="47"/>
              <w:ind w:left="789"/>
              <w:rPr>
                <w:b/>
                <w:sz w:val="18"/>
              </w:rPr>
            </w:pPr>
            <w:r>
              <w:rPr>
                <w:b/>
                <w:sz w:val="18"/>
              </w:rPr>
              <w:t>IV</w:t>
            </w:r>
            <w:r>
              <w:rPr>
                <w:b/>
                <w:spacing w:val="-2"/>
                <w:sz w:val="18"/>
              </w:rPr>
              <w:t> Trimestre</w:t>
            </w:r>
          </w:p>
        </w:tc>
      </w:tr>
      <w:tr>
        <w:trPr>
          <w:trHeight w:val="1003" w:hRule="atLeast"/>
        </w:trPr>
        <w:tc>
          <w:tcPr>
            <w:tcW w:w="2593" w:type="dxa"/>
            <w:vMerge/>
            <w:tcBorders>
              <w:top w:val="nil"/>
            </w:tcBorders>
            <w:shd w:val="clear" w:color="auto" w:fill="D7D7D7"/>
          </w:tcPr>
          <w:p>
            <w:pPr>
              <w:rPr>
                <w:sz w:val="2"/>
                <w:szCs w:val="2"/>
              </w:rPr>
            </w:pPr>
          </w:p>
        </w:tc>
        <w:tc>
          <w:tcPr>
            <w:tcW w:w="1426" w:type="dxa"/>
            <w:vMerge/>
            <w:tcBorders>
              <w:top w:val="nil"/>
            </w:tcBorders>
            <w:shd w:val="clear" w:color="auto" w:fill="D7D7D7"/>
          </w:tcPr>
          <w:p>
            <w:pPr>
              <w:rPr>
                <w:sz w:val="2"/>
                <w:szCs w:val="2"/>
              </w:rPr>
            </w:pP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34" w:type="dxa"/>
            <w:shd w:val="clear" w:color="auto" w:fill="D7D7D7"/>
          </w:tcPr>
          <w:p>
            <w:pPr>
              <w:pStyle w:val="TableParagraph"/>
              <w:spacing w:before="190"/>
              <w:rPr>
                <w:b/>
                <w:sz w:val="18"/>
              </w:rPr>
            </w:pPr>
          </w:p>
          <w:p>
            <w:pPr>
              <w:pStyle w:val="TableParagraph"/>
              <w:ind w:left="6"/>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92" w:type="dxa"/>
            <w:shd w:val="clear" w:color="auto" w:fill="D7D7D7"/>
          </w:tcPr>
          <w:p>
            <w:pPr>
              <w:pStyle w:val="TableParagraph"/>
              <w:spacing w:before="190"/>
              <w:rPr>
                <w:b/>
                <w:sz w:val="18"/>
              </w:rPr>
            </w:pPr>
          </w:p>
          <w:p>
            <w:pPr>
              <w:pStyle w:val="TableParagraph"/>
              <w:ind w:left="7"/>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3" w:firstLine="312"/>
              <w:rPr>
                <w:b/>
                <w:sz w:val="18"/>
              </w:rPr>
            </w:pPr>
            <w:r>
              <w:rPr>
                <w:b/>
                <w:spacing w:val="-4"/>
                <w:sz w:val="18"/>
              </w:rPr>
              <w:t>Meta </w:t>
            </w:r>
            <w:r>
              <w:rPr>
                <w:b/>
                <w:spacing w:val="-2"/>
                <w:sz w:val="18"/>
              </w:rPr>
              <w:t>programada</w:t>
            </w:r>
          </w:p>
        </w:tc>
        <w:tc>
          <w:tcPr>
            <w:tcW w:w="1488" w:type="dxa"/>
            <w:shd w:val="clear" w:color="auto" w:fill="D7D7D7"/>
          </w:tcPr>
          <w:p>
            <w:pPr>
              <w:pStyle w:val="TableParagraph"/>
              <w:spacing w:before="190"/>
              <w:rPr>
                <w:b/>
                <w:sz w:val="18"/>
              </w:rPr>
            </w:pPr>
          </w:p>
          <w:p>
            <w:pPr>
              <w:pStyle w:val="TableParagraph"/>
              <w:ind w:left="9"/>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4" w:firstLine="312"/>
              <w:rPr>
                <w:b/>
                <w:sz w:val="18"/>
              </w:rPr>
            </w:pPr>
            <w:r>
              <w:rPr>
                <w:b/>
                <w:spacing w:val="-4"/>
                <w:sz w:val="18"/>
              </w:rPr>
              <w:t>Meta </w:t>
            </w:r>
            <w:r>
              <w:rPr>
                <w:b/>
                <w:spacing w:val="-2"/>
                <w:sz w:val="18"/>
              </w:rPr>
              <w:t>programada</w:t>
            </w:r>
          </w:p>
        </w:tc>
        <w:tc>
          <w:tcPr>
            <w:tcW w:w="1436" w:type="dxa"/>
            <w:shd w:val="clear" w:color="auto" w:fill="D7D7D7"/>
          </w:tcPr>
          <w:p>
            <w:pPr>
              <w:pStyle w:val="TableParagraph"/>
              <w:spacing w:before="190"/>
              <w:rPr>
                <w:b/>
                <w:sz w:val="18"/>
              </w:rPr>
            </w:pPr>
          </w:p>
          <w:p>
            <w:pPr>
              <w:pStyle w:val="TableParagraph"/>
              <w:ind w:left="14"/>
              <w:jc w:val="center"/>
              <w:rPr>
                <w:b/>
                <w:sz w:val="18"/>
              </w:rPr>
            </w:pPr>
            <w:r>
              <w:rPr>
                <w:b/>
                <w:spacing w:val="-10"/>
                <w:sz w:val="18"/>
              </w:rPr>
              <w:t>¢</w:t>
            </w:r>
          </w:p>
        </w:tc>
      </w:tr>
      <w:tr>
        <w:trPr>
          <w:trHeight w:val="1708" w:hRule="atLeast"/>
        </w:trPr>
        <w:tc>
          <w:tcPr>
            <w:tcW w:w="2593" w:type="dxa"/>
          </w:tcPr>
          <w:p>
            <w:pPr>
              <w:pStyle w:val="TableParagraph"/>
              <w:spacing w:before="128"/>
              <w:ind w:left="72" w:right="51"/>
              <w:rPr>
                <w:sz w:val="18"/>
              </w:rPr>
            </w:pPr>
            <w:r>
              <w:rPr>
                <w:b/>
                <w:sz w:val="18"/>
              </w:rPr>
              <w:t>Actividad PAC 2.11.1: </w:t>
            </w:r>
            <w:r>
              <w:rPr>
                <w:sz w:val="18"/>
              </w:rPr>
              <w:t>Personas funcionarias atendidas por primera vez en el</w:t>
            </w:r>
            <w:r>
              <w:rPr>
                <w:spacing w:val="-3"/>
                <w:sz w:val="18"/>
              </w:rPr>
              <w:t> </w:t>
            </w:r>
            <w:r>
              <w:rPr>
                <w:sz w:val="18"/>
              </w:rPr>
              <w:t>año</w:t>
            </w:r>
            <w:r>
              <w:rPr>
                <w:spacing w:val="-6"/>
                <w:sz w:val="18"/>
              </w:rPr>
              <w:t> </w:t>
            </w:r>
            <w:r>
              <w:rPr>
                <w:sz w:val="18"/>
              </w:rPr>
              <w:t>a</w:t>
            </w:r>
            <w:r>
              <w:rPr>
                <w:spacing w:val="-6"/>
                <w:sz w:val="18"/>
              </w:rPr>
              <w:t> </w:t>
            </w:r>
            <w:r>
              <w:rPr>
                <w:sz w:val="18"/>
              </w:rPr>
              <w:t>través</w:t>
            </w:r>
            <w:r>
              <w:rPr>
                <w:spacing w:val="-5"/>
                <w:sz w:val="18"/>
              </w:rPr>
              <w:t> </w:t>
            </w:r>
            <w:r>
              <w:rPr>
                <w:sz w:val="18"/>
              </w:rPr>
              <w:t>de</w:t>
            </w:r>
            <w:r>
              <w:rPr>
                <w:spacing w:val="-6"/>
                <w:sz w:val="18"/>
              </w:rPr>
              <w:t> </w:t>
            </w:r>
            <w:r>
              <w:rPr>
                <w:sz w:val="18"/>
              </w:rPr>
              <w:t>las</w:t>
            </w:r>
            <w:r>
              <w:rPr>
                <w:spacing w:val="-6"/>
                <w:sz w:val="18"/>
              </w:rPr>
              <w:t> </w:t>
            </w:r>
            <w:r>
              <w:rPr>
                <w:sz w:val="18"/>
              </w:rPr>
              <w:t>ferias</w:t>
            </w:r>
            <w:r>
              <w:rPr>
                <w:spacing w:val="-6"/>
                <w:sz w:val="18"/>
              </w:rPr>
              <w:t> </w:t>
            </w:r>
            <w:r>
              <w:rPr>
                <w:sz w:val="18"/>
              </w:rPr>
              <w:t>de salud, visitas médicas, atención médica diaria </w:t>
            </w:r>
            <w:r>
              <w:rPr>
                <w:spacing w:val="-2"/>
                <w:sz w:val="18"/>
              </w:rPr>
              <w:t>realizadas</w:t>
            </w:r>
          </w:p>
        </w:tc>
        <w:tc>
          <w:tcPr>
            <w:tcW w:w="1426" w:type="dxa"/>
          </w:tcPr>
          <w:p>
            <w:pPr>
              <w:pStyle w:val="TableParagraph"/>
              <w:spacing w:before="127"/>
              <w:rPr>
                <w:b/>
                <w:sz w:val="18"/>
              </w:rPr>
            </w:pPr>
          </w:p>
          <w:p>
            <w:pPr>
              <w:pStyle w:val="TableParagraph"/>
              <w:spacing w:before="1"/>
              <w:ind w:left="71" w:right="104"/>
              <w:rPr>
                <w:sz w:val="18"/>
              </w:rPr>
            </w:pPr>
            <w:r>
              <w:rPr>
                <w:sz w:val="18"/>
              </w:rPr>
              <w:t>Cantidad de </w:t>
            </w:r>
            <w:r>
              <w:rPr>
                <w:spacing w:val="-2"/>
                <w:sz w:val="18"/>
              </w:rPr>
              <w:t>funcionarios </w:t>
            </w:r>
            <w:r>
              <w:rPr>
                <w:sz w:val="18"/>
              </w:rPr>
              <w:t>atendidos en las</w:t>
            </w:r>
            <w:r>
              <w:rPr>
                <w:spacing w:val="-9"/>
                <w:sz w:val="18"/>
              </w:rPr>
              <w:t> </w:t>
            </w:r>
            <w:r>
              <w:rPr>
                <w:sz w:val="18"/>
              </w:rPr>
              <w:t>ferias</w:t>
            </w:r>
            <w:r>
              <w:rPr>
                <w:spacing w:val="-13"/>
                <w:sz w:val="18"/>
              </w:rPr>
              <w:t> </w:t>
            </w:r>
            <w:r>
              <w:rPr>
                <w:sz w:val="18"/>
              </w:rPr>
              <w:t>de</w:t>
            </w:r>
            <w:r>
              <w:rPr>
                <w:spacing w:val="-9"/>
                <w:sz w:val="18"/>
              </w:rPr>
              <w:t> </w:t>
            </w:r>
            <w:r>
              <w:rPr>
                <w:sz w:val="18"/>
              </w:rPr>
              <w:t>la </w:t>
            </w:r>
            <w:r>
              <w:rPr>
                <w:spacing w:val="-2"/>
                <w:sz w:val="18"/>
              </w:rPr>
              <w:t>salud</w:t>
            </w:r>
          </w:p>
        </w:tc>
        <w:tc>
          <w:tcPr>
            <w:tcW w:w="1181" w:type="dxa"/>
          </w:tcPr>
          <w:p>
            <w:pPr>
              <w:pStyle w:val="TableParagraph"/>
              <w:rPr>
                <w:b/>
                <w:sz w:val="18"/>
              </w:rPr>
            </w:pPr>
          </w:p>
          <w:p>
            <w:pPr>
              <w:pStyle w:val="TableParagraph"/>
              <w:rPr>
                <w:b/>
                <w:sz w:val="18"/>
              </w:rPr>
            </w:pPr>
          </w:p>
          <w:p>
            <w:pPr>
              <w:pStyle w:val="TableParagraph"/>
              <w:spacing w:before="132"/>
              <w:rPr>
                <w:b/>
                <w:sz w:val="18"/>
              </w:rPr>
            </w:pPr>
          </w:p>
          <w:p>
            <w:pPr>
              <w:pStyle w:val="TableParagraph"/>
              <w:ind w:right="60"/>
              <w:jc w:val="right"/>
              <w:rPr>
                <w:sz w:val="18"/>
              </w:rPr>
            </w:pPr>
            <w:r>
              <w:rPr>
                <w:spacing w:val="-5"/>
                <w:sz w:val="18"/>
              </w:rPr>
              <w:t>55</w:t>
            </w: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32"/>
              <w:rPr>
                <w:b/>
                <w:sz w:val="18"/>
              </w:rPr>
            </w:pPr>
          </w:p>
          <w:p>
            <w:pPr>
              <w:pStyle w:val="TableParagraph"/>
              <w:ind w:right="59"/>
              <w:jc w:val="right"/>
              <w:rPr>
                <w:sz w:val="18"/>
              </w:rPr>
            </w:pPr>
            <w:r>
              <w:rPr>
                <w:spacing w:val="-5"/>
                <w:sz w:val="18"/>
              </w:rPr>
              <w:t>110</w:t>
            </w: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32"/>
              <w:rPr>
                <w:b/>
                <w:sz w:val="18"/>
              </w:rPr>
            </w:pPr>
          </w:p>
          <w:p>
            <w:pPr>
              <w:pStyle w:val="TableParagraph"/>
              <w:ind w:right="54"/>
              <w:jc w:val="right"/>
              <w:rPr>
                <w:sz w:val="18"/>
              </w:rPr>
            </w:pPr>
            <w:r>
              <w:rPr>
                <w:spacing w:val="-5"/>
                <w:sz w:val="18"/>
              </w:rPr>
              <w:t>165</w:t>
            </w: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32"/>
              <w:rPr>
                <w:b/>
                <w:sz w:val="18"/>
              </w:rPr>
            </w:pPr>
          </w:p>
          <w:p>
            <w:pPr>
              <w:pStyle w:val="TableParagraph"/>
              <w:ind w:right="53"/>
              <w:jc w:val="right"/>
              <w:rPr>
                <w:sz w:val="18"/>
              </w:rPr>
            </w:pPr>
            <w:r>
              <w:rPr>
                <w:spacing w:val="-5"/>
                <w:sz w:val="18"/>
              </w:rPr>
              <w:t>221</w:t>
            </w:r>
          </w:p>
        </w:tc>
        <w:tc>
          <w:tcPr>
            <w:tcW w:w="1436" w:type="dxa"/>
          </w:tcPr>
          <w:p>
            <w:pPr>
              <w:pStyle w:val="TableParagraph"/>
              <w:rPr>
                <w:rFonts w:ascii="Times New Roman"/>
                <w:sz w:val="18"/>
              </w:rPr>
            </w:pPr>
          </w:p>
        </w:tc>
      </w:tr>
      <w:tr>
        <w:trPr>
          <w:trHeight w:val="600" w:hRule="atLeast"/>
        </w:trPr>
        <w:tc>
          <w:tcPr>
            <w:tcW w:w="14393" w:type="dxa"/>
            <w:gridSpan w:val="10"/>
            <w:shd w:val="clear" w:color="auto" w:fill="EFF8F9"/>
          </w:tcPr>
          <w:p>
            <w:pPr>
              <w:pStyle w:val="TableParagraph"/>
              <w:spacing w:before="95"/>
              <w:ind w:left="72" w:right="28"/>
              <w:rPr>
                <w:b/>
                <w:sz w:val="18"/>
              </w:rPr>
            </w:pPr>
            <w:r>
              <w:rPr>
                <w:b/>
                <w:sz w:val="18"/>
              </w:rPr>
              <w:t>Producto</w:t>
            </w:r>
            <w:r>
              <w:rPr>
                <w:b/>
                <w:spacing w:val="-5"/>
                <w:sz w:val="18"/>
              </w:rPr>
              <w:t> </w:t>
            </w:r>
            <w:r>
              <w:rPr>
                <w:b/>
                <w:sz w:val="18"/>
              </w:rPr>
              <w:t>PAC</w:t>
            </w:r>
            <w:r>
              <w:rPr>
                <w:b/>
                <w:spacing w:val="-6"/>
                <w:sz w:val="18"/>
              </w:rPr>
              <w:t> </w:t>
            </w:r>
            <w:r>
              <w:rPr>
                <w:b/>
                <w:sz w:val="18"/>
              </w:rPr>
              <w:t>2.12:</w:t>
            </w:r>
            <w:r>
              <w:rPr>
                <w:b/>
                <w:spacing w:val="40"/>
                <w:sz w:val="18"/>
              </w:rPr>
              <w:t> </w:t>
            </w:r>
            <w:r>
              <w:rPr>
                <w:b/>
                <w:sz w:val="18"/>
              </w:rPr>
              <w:t>Ambiente</w:t>
            </w:r>
            <w:r>
              <w:rPr>
                <w:b/>
                <w:spacing w:val="-4"/>
                <w:sz w:val="18"/>
              </w:rPr>
              <w:t> </w:t>
            </w:r>
            <w:r>
              <w:rPr>
                <w:b/>
                <w:sz w:val="18"/>
              </w:rPr>
              <w:t>laboral</w:t>
            </w:r>
            <w:r>
              <w:rPr>
                <w:b/>
                <w:spacing w:val="-2"/>
                <w:sz w:val="18"/>
              </w:rPr>
              <w:t> </w:t>
            </w:r>
            <w:r>
              <w:rPr>
                <w:b/>
                <w:sz w:val="18"/>
              </w:rPr>
              <w:t>mejorado</w:t>
            </w:r>
            <w:r>
              <w:rPr>
                <w:b/>
                <w:spacing w:val="-5"/>
                <w:sz w:val="18"/>
              </w:rPr>
              <w:t> </w:t>
            </w:r>
            <w:r>
              <w:rPr>
                <w:b/>
                <w:sz w:val="18"/>
              </w:rPr>
              <w:t>a partir</w:t>
            </w:r>
            <w:r>
              <w:rPr>
                <w:b/>
                <w:spacing w:val="-7"/>
                <w:sz w:val="18"/>
              </w:rPr>
              <w:t> </w:t>
            </w:r>
            <w:r>
              <w:rPr>
                <w:b/>
                <w:sz w:val="18"/>
              </w:rPr>
              <w:t>de la</w:t>
            </w:r>
            <w:r>
              <w:rPr>
                <w:b/>
                <w:spacing w:val="-4"/>
                <w:sz w:val="18"/>
              </w:rPr>
              <w:t> </w:t>
            </w:r>
            <w:r>
              <w:rPr>
                <w:b/>
                <w:sz w:val="18"/>
              </w:rPr>
              <w:t>implementación de</w:t>
            </w:r>
            <w:r>
              <w:rPr>
                <w:b/>
                <w:spacing w:val="-4"/>
                <w:sz w:val="18"/>
              </w:rPr>
              <w:t> </w:t>
            </w:r>
            <w:r>
              <w:rPr>
                <w:b/>
                <w:sz w:val="18"/>
              </w:rPr>
              <w:t>las</w:t>
            </w:r>
            <w:r>
              <w:rPr>
                <w:b/>
                <w:spacing w:val="-4"/>
                <w:sz w:val="18"/>
              </w:rPr>
              <w:t> </w:t>
            </w:r>
            <w:r>
              <w:rPr>
                <w:b/>
                <w:sz w:val="18"/>
              </w:rPr>
              <w:t>acciones</w:t>
            </w:r>
            <w:r>
              <w:rPr>
                <w:b/>
                <w:spacing w:val="-4"/>
                <w:sz w:val="18"/>
              </w:rPr>
              <w:t> </w:t>
            </w:r>
            <w:r>
              <w:rPr>
                <w:b/>
                <w:sz w:val="18"/>
              </w:rPr>
              <w:t>de</w:t>
            </w:r>
            <w:r>
              <w:rPr>
                <w:b/>
                <w:spacing w:val="-4"/>
                <w:sz w:val="18"/>
              </w:rPr>
              <w:t> </w:t>
            </w:r>
            <w:r>
              <w:rPr>
                <w:b/>
                <w:sz w:val="18"/>
              </w:rPr>
              <w:t>mejora del</w:t>
            </w:r>
            <w:r>
              <w:rPr>
                <w:b/>
                <w:spacing w:val="-2"/>
                <w:sz w:val="18"/>
              </w:rPr>
              <w:t> </w:t>
            </w:r>
            <w:r>
              <w:rPr>
                <w:b/>
                <w:sz w:val="18"/>
              </w:rPr>
              <w:t>clima institucional identificadas. E6 AE7</w:t>
            </w:r>
            <w:r>
              <w:rPr>
                <w:b/>
                <w:spacing w:val="-4"/>
                <w:sz w:val="18"/>
              </w:rPr>
              <w:t> </w:t>
            </w:r>
            <w:r>
              <w:rPr>
                <w:b/>
                <w:sz w:val="18"/>
              </w:rPr>
              <w:t>R4</w:t>
            </w:r>
            <w:r>
              <w:rPr>
                <w:b/>
                <w:spacing w:val="-4"/>
                <w:sz w:val="18"/>
              </w:rPr>
              <w:t> </w:t>
            </w:r>
            <w:r>
              <w:rPr>
                <w:b/>
                <w:sz w:val="18"/>
              </w:rPr>
              <w:t>(meta programada 100%)</w:t>
            </w:r>
          </w:p>
        </w:tc>
      </w:tr>
      <w:tr>
        <w:trPr>
          <w:trHeight w:val="1339" w:hRule="atLeast"/>
        </w:trPr>
        <w:tc>
          <w:tcPr>
            <w:tcW w:w="2593" w:type="dxa"/>
          </w:tcPr>
          <w:p>
            <w:pPr>
              <w:pStyle w:val="TableParagraph"/>
              <w:spacing w:before="152"/>
              <w:ind w:left="72"/>
              <w:rPr>
                <w:sz w:val="18"/>
              </w:rPr>
            </w:pPr>
            <w:r>
              <w:rPr>
                <w:b/>
                <w:sz w:val="18"/>
              </w:rPr>
              <w:t>Producto PAC 2.12.1: </w:t>
            </w:r>
            <w:r>
              <w:rPr>
                <w:sz w:val="18"/>
              </w:rPr>
              <w:t>Comunicar los resultados obtenidos</w:t>
            </w:r>
            <w:r>
              <w:rPr>
                <w:spacing w:val="-8"/>
                <w:sz w:val="18"/>
              </w:rPr>
              <w:t> </w:t>
            </w:r>
            <w:r>
              <w:rPr>
                <w:sz w:val="18"/>
              </w:rPr>
              <w:t>de</w:t>
            </w:r>
            <w:r>
              <w:rPr>
                <w:spacing w:val="-8"/>
                <w:sz w:val="18"/>
              </w:rPr>
              <w:t> </w:t>
            </w:r>
            <w:r>
              <w:rPr>
                <w:sz w:val="18"/>
              </w:rPr>
              <w:t>las</w:t>
            </w:r>
            <w:r>
              <w:rPr>
                <w:spacing w:val="-8"/>
                <w:sz w:val="18"/>
              </w:rPr>
              <w:t> </w:t>
            </w:r>
            <w:r>
              <w:rPr>
                <w:sz w:val="18"/>
              </w:rPr>
              <w:t>acciones</w:t>
            </w:r>
            <w:r>
              <w:rPr>
                <w:spacing w:val="-3"/>
                <w:sz w:val="18"/>
              </w:rPr>
              <w:t> </w:t>
            </w:r>
            <w:r>
              <w:rPr>
                <w:sz w:val="18"/>
              </w:rPr>
              <w:t>de mejora, a las Unidades Administrativas</w:t>
            </w:r>
            <w:r>
              <w:rPr>
                <w:spacing w:val="-13"/>
                <w:sz w:val="18"/>
              </w:rPr>
              <w:t> </w:t>
            </w:r>
            <w:r>
              <w:rPr>
                <w:sz w:val="18"/>
              </w:rPr>
              <w:t>involucradas.</w:t>
            </w:r>
          </w:p>
        </w:tc>
        <w:tc>
          <w:tcPr>
            <w:tcW w:w="1426" w:type="dxa"/>
          </w:tcPr>
          <w:p>
            <w:pPr>
              <w:pStyle w:val="TableParagraph"/>
              <w:spacing w:before="151"/>
              <w:rPr>
                <w:b/>
                <w:sz w:val="18"/>
              </w:rPr>
            </w:pPr>
          </w:p>
          <w:p>
            <w:pPr>
              <w:pStyle w:val="TableParagraph"/>
              <w:spacing w:before="1"/>
              <w:ind w:left="71" w:right="228"/>
              <w:jc w:val="both"/>
              <w:rPr>
                <w:sz w:val="18"/>
              </w:rPr>
            </w:pPr>
            <w:r>
              <w:rPr>
                <w:sz w:val="18"/>
              </w:rPr>
              <w:t>Porcentaje</w:t>
            </w:r>
            <w:r>
              <w:rPr>
                <w:spacing w:val="-13"/>
                <w:sz w:val="18"/>
              </w:rPr>
              <w:t> </w:t>
            </w:r>
            <w:r>
              <w:rPr>
                <w:sz w:val="18"/>
              </w:rPr>
              <w:t>de </w:t>
            </w:r>
            <w:r>
              <w:rPr>
                <w:spacing w:val="-2"/>
                <w:sz w:val="18"/>
              </w:rPr>
              <w:t>comunicados realizados</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spacing w:before="151"/>
              <w:rPr>
                <w:b/>
                <w:sz w:val="18"/>
              </w:rPr>
            </w:pPr>
          </w:p>
          <w:p>
            <w:pPr>
              <w:pStyle w:val="TableParagraph"/>
              <w:ind w:right="56"/>
              <w:jc w:val="right"/>
              <w:rPr>
                <w:sz w:val="18"/>
              </w:rPr>
            </w:pPr>
            <w:r>
              <w:rPr>
                <w:spacing w:val="-4"/>
                <w:sz w:val="18"/>
              </w:rPr>
              <w:t>100%</w:t>
            </w: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r>
        <w:trPr>
          <w:trHeight w:val="599" w:hRule="atLeast"/>
        </w:trPr>
        <w:tc>
          <w:tcPr>
            <w:tcW w:w="14393" w:type="dxa"/>
            <w:gridSpan w:val="10"/>
            <w:shd w:val="clear" w:color="auto" w:fill="EFF8F9"/>
          </w:tcPr>
          <w:p>
            <w:pPr>
              <w:pStyle w:val="TableParagraph"/>
              <w:spacing w:before="90"/>
              <w:ind w:left="72" w:right="28"/>
              <w:rPr>
                <w:b/>
                <w:sz w:val="18"/>
              </w:rPr>
            </w:pPr>
            <w:r>
              <w:rPr>
                <w:b/>
                <w:sz w:val="18"/>
              </w:rPr>
              <w:t>Producto</w:t>
            </w:r>
            <w:r>
              <w:rPr>
                <w:b/>
                <w:spacing w:val="-3"/>
                <w:sz w:val="18"/>
              </w:rPr>
              <w:t> </w:t>
            </w:r>
            <w:r>
              <w:rPr>
                <w:b/>
                <w:sz w:val="18"/>
              </w:rPr>
              <w:t>PAC</w:t>
            </w:r>
            <w:r>
              <w:rPr>
                <w:b/>
                <w:spacing w:val="-4"/>
                <w:sz w:val="18"/>
              </w:rPr>
              <w:t> </w:t>
            </w:r>
            <w:r>
              <w:rPr>
                <w:b/>
                <w:sz w:val="18"/>
              </w:rPr>
              <w:t>2.13: Política</w:t>
            </w:r>
            <w:r>
              <w:rPr>
                <w:b/>
                <w:spacing w:val="-2"/>
                <w:sz w:val="18"/>
              </w:rPr>
              <w:t> </w:t>
            </w:r>
            <w:r>
              <w:rPr>
                <w:b/>
                <w:sz w:val="18"/>
              </w:rPr>
              <w:t>y</w:t>
            </w:r>
            <w:r>
              <w:rPr>
                <w:b/>
                <w:spacing w:val="-2"/>
                <w:sz w:val="18"/>
              </w:rPr>
              <w:t> </w:t>
            </w:r>
            <w:r>
              <w:rPr>
                <w:b/>
                <w:sz w:val="18"/>
              </w:rPr>
              <w:t>plan</w:t>
            </w:r>
            <w:r>
              <w:rPr>
                <w:b/>
                <w:spacing w:val="-3"/>
                <w:sz w:val="18"/>
              </w:rPr>
              <w:t> </w:t>
            </w:r>
            <w:r>
              <w:rPr>
                <w:b/>
                <w:sz w:val="18"/>
              </w:rPr>
              <w:t>de</w:t>
            </w:r>
            <w:r>
              <w:rPr>
                <w:b/>
                <w:spacing w:val="-2"/>
                <w:sz w:val="18"/>
              </w:rPr>
              <w:t> </w:t>
            </w:r>
            <w:r>
              <w:rPr>
                <w:b/>
                <w:sz w:val="18"/>
              </w:rPr>
              <w:t>acción</w:t>
            </w:r>
            <w:r>
              <w:rPr>
                <w:b/>
                <w:spacing w:val="-3"/>
                <w:sz w:val="18"/>
              </w:rPr>
              <w:t> </w:t>
            </w:r>
            <w:r>
              <w:rPr>
                <w:b/>
                <w:sz w:val="18"/>
              </w:rPr>
              <w:t>diseñado</w:t>
            </w:r>
            <w:r>
              <w:rPr>
                <w:b/>
                <w:spacing w:val="-3"/>
                <w:sz w:val="18"/>
              </w:rPr>
              <w:t> </w:t>
            </w:r>
            <w:r>
              <w:rPr>
                <w:b/>
                <w:sz w:val="18"/>
              </w:rPr>
              <w:t>e</w:t>
            </w:r>
            <w:r>
              <w:rPr>
                <w:b/>
                <w:spacing w:val="-2"/>
                <w:sz w:val="18"/>
              </w:rPr>
              <w:t> </w:t>
            </w:r>
            <w:r>
              <w:rPr>
                <w:b/>
                <w:sz w:val="18"/>
              </w:rPr>
              <w:t>implementada</w:t>
            </w:r>
            <w:r>
              <w:rPr>
                <w:b/>
                <w:spacing w:val="-2"/>
                <w:sz w:val="18"/>
              </w:rPr>
              <w:t> </w:t>
            </w:r>
            <w:r>
              <w:rPr>
                <w:b/>
                <w:sz w:val="18"/>
              </w:rPr>
              <w:t>para promover</w:t>
            </w:r>
            <w:r>
              <w:rPr>
                <w:b/>
                <w:spacing w:val="-5"/>
                <w:sz w:val="18"/>
              </w:rPr>
              <w:t> </w:t>
            </w:r>
            <w:r>
              <w:rPr>
                <w:b/>
                <w:sz w:val="18"/>
              </w:rPr>
              <w:t>la conciliación de</w:t>
            </w:r>
            <w:r>
              <w:rPr>
                <w:b/>
                <w:spacing w:val="-7"/>
                <w:sz w:val="18"/>
              </w:rPr>
              <w:t> </w:t>
            </w:r>
            <w:r>
              <w:rPr>
                <w:b/>
                <w:sz w:val="18"/>
              </w:rPr>
              <w:t>la vida</w:t>
            </w:r>
            <w:r>
              <w:rPr>
                <w:b/>
                <w:spacing w:val="-2"/>
                <w:sz w:val="18"/>
              </w:rPr>
              <w:t> </w:t>
            </w:r>
            <w:r>
              <w:rPr>
                <w:b/>
                <w:sz w:val="18"/>
              </w:rPr>
              <w:t>personal, familiar</w:t>
            </w:r>
            <w:r>
              <w:rPr>
                <w:b/>
                <w:spacing w:val="-1"/>
                <w:sz w:val="18"/>
              </w:rPr>
              <w:t> </w:t>
            </w:r>
            <w:r>
              <w:rPr>
                <w:b/>
                <w:sz w:val="18"/>
              </w:rPr>
              <w:t>y</w:t>
            </w:r>
            <w:r>
              <w:rPr>
                <w:b/>
                <w:spacing w:val="-2"/>
                <w:sz w:val="18"/>
              </w:rPr>
              <w:t> </w:t>
            </w:r>
            <w:r>
              <w:rPr>
                <w:b/>
                <w:sz w:val="18"/>
              </w:rPr>
              <w:t>laboral de</w:t>
            </w:r>
            <w:r>
              <w:rPr>
                <w:b/>
                <w:spacing w:val="-7"/>
                <w:sz w:val="18"/>
              </w:rPr>
              <w:t> </w:t>
            </w:r>
            <w:r>
              <w:rPr>
                <w:b/>
                <w:sz w:val="18"/>
              </w:rPr>
              <w:t>las</w:t>
            </w:r>
            <w:r>
              <w:rPr>
                <w:b/>
                <w:spacing w:val="-2"/>
                <w:sz w:val="18"/>
              </w:rPr>
              <w:t> </w:t>
            </w:r>
            <w:r>
              <w:rPr>
                <w:b/>
                <w:sz w:val="18"/>
              </w:rPr>
              <w:t>personas funcionarias de la institución E6 AE8 R1 (meta programada 60%)</w:t>
            </w:r>
          </w:p>
        </w:tc>
      </w:tr>
      <w:tr>
        <w:trPr>
          <w:trHeight w:val="2175" w:hRule="atLeast"/>
        </w:trPr>
        <w:tc>
          <w:tcPr>
            <w:tcW w:w="2593" w:type="dxa"/>
          </w:tcPr>
          <w:p>
            <w:pPr>
              <w:pStyle w:val="TableParagraph"/>
              <w:spacing w:before="153"/>
              <w:ind w:left="72" w:right="84"/>
              <w:rPr>
                <w:sz w:val="18"/>
              </w:rPr>
            </w:pPr>
            <w:r>
              <w:rPr>
                <w:b/>
                <w:sz w:val="18"/>
              </w:rPr>
              <w:t>Producto PAC 2.13.1: </w:t>
            </w:r>
            <w:r>
              <w:rPr>
                <w:sz w:val="18"/>
              </w:rPr>
              <w:t>Sistematización de la información</w:t>
            </w:r>
            <w:r>
              <w:rPr>
                <w:spacing w:val="-13"/>
                <w:sz w:val="18"/>
              </w:rPr>
              <w:t> </w:t>
            </w:r>
            <w:r>
              <w:rPr>
                <w:sz w:val="18"/>
              </w:rPr>
              <w:t>recopilada</w:t>
            </w:r>
            <w:r>
              <w:rPr>
                <w:spacing w:val="-12"/>
                <w:sz w:val="18"/>
              </w:rPr>
              <w:t> </w:t>
            </w:r>
            <w:r>
              <w:rPr>
                <w:sz w:val="18"/>
              </w:rPr>
              <w:t>a</w:t>
            </w:r>
            <w:r>
              <w:rPr>
                <w:spacing w:val="-13"/>
                <w:sz w:val="18"/>
              </w:rPr>
              <w:t> </w:t>
            </w:r>
            <w:r>
              <w:rPr>
                <w:sz w:val="18"/>
              </w:rPr>
              <w:t>partir de los insumos obtenidos (revisión</w:t>
            </w:r>
            <w:r>
              <w:rPr>
                <w:spacing w:val="-15"/>
                <w:sz w:val="18"/>
              </w:rPr>
              <w:t> </w:t>
            </w:r>
            <w:r>
              <w:rPr>
                <w:sz w:val="18"/>
              </w:rPr>
              <w:t>bibliográfica,</w:t>
            </w:r>
            <w:r>
              <w:rPr>
                <w:spacing w:val="-12"/>
                <w:sz w:val="18"/>
              </w:rPr>
              <w:t> </w:t>
            </w:r>
            <w:r>
              <w:rPr>
                <w:sz w:val="18"/>
              </w:rPr>
              <w:t>revisión de la normativa, consulta sobre buenas prácticas de otras instituciones, resultados de los grupos focales)</w:t>
            </w:r>
          </w:p>
        </w:tc>
        <w:tc>
          <w:tcPr>
            <w:tcW w:w="1426" w:type="dxa"/>
          </w:tcPr>
          <w:p>
            <w:pPr>
              <w:pStyle w:val="TableParagraph"/>
              <w:rPr>
                <w:b/>
                <w:sz w:val="18"/>
              </w:rPr>
            </w:pPr>
          </w:p>
          <w:p>
            <w:pPr>
              <w:pStyle w:val="TableParagraph"/>
              <w:rPr>
                <w:b/>
                <w:sz w:val="18"/>
              </w:rPr>
            </w:pPr>
          </w:p>
          <w:p>
            <w:pPr>
              <w:pStyle w:val="TableParagraph"/>
              <w:spacing w:before="156"/>
              <w:rPr>
                <w:b/>
                <w:sz w:val="18"/>
              </w:rPr>
            </w:pPr>
          </w:p>
          <w:p>
            <w:pPr>
              <w:pStyle w:val="TableParagraph"/>
              <w:ind w:left="71" w:right="218"/>
              <w:jc w:val="both"/>
              <w:rPr>
                <w:sz w:val="18"/>
              </w:rPr>
            </w:pPr>
            <w:r>
              <w:rPr>
                <w:sz w:val="18"/>
              </w:rPr>
              <w:t>Porcentaje</w:t>
            </w:r>
            <w:r>
              <w:rPr>
                <w:spacing w:val="-13"/>
                <w:sz w:val="18"/>
              </w:rPr>
              <w:t> </w:t>
            </w:r>
            <w:r>
              <w:rPr>
                <w:sz w:val="18"/>
              </w:rPr>
              <w:t>de la</w:t>
            </w:r>
            <w:r>
              <w:rPr>
                <w:spacing w:val="-13"/>
                <w:sz w:val="18"/>
              </w:rPr>
              <w:t> </w:t>
            </w:r>
            <w:r>
              <w:rPr>
                <w:sz w:val="18"/>
              </w:rPr>
              <w:t>información </w:t>
            </w:r>
            <w:r>
              <w:rPr>
                <w:spacing w:val="-2"/>
                <w:sz w:val="18"/>
              </w:rPr>
              <w:t>sistematizada</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155"/>
              <w:rPr>
                <w:b/>
                <w:sz w:val="18"/>
              </w:rPr>
            </w:pPr>
          </w:p>
          <w:p>
            <w:pPr>
              <w:pStyle w:val="TableParagraph"/>
              <w:ind w:right="50"/>
              <w:jc w:val="right"/>
              <w:rPr>
                <w:sz w:val="18"/>
              </w:rPr>
            </w:pPr>
            <w:r>
              <w:rPr>
                <w:spacing w:val="-4"/>
                <w:sz w:val="18"/>
              </w:rPr>
              <w:t>100%</w:t>
            </w:r>
          </w:p>
        </w:tc>
        <w:tc>
          <w:tcPr>
            <w:tcW w:w="1436" w:type="dxa"/>
          </w:tcPr>
          <w:p>
            <w:pPr>
              <w:pStyle w:val="TableParagraph"/>
              <w:rPr>
                <w:rFonts w:ascii="Times New Roman"/>
                <w:sz w:val="18"/>
              </w:rPr>
            </w:pPr>
          </w:p>
        </w:tc>
      </w:tr>
      <w:tr>
        <w:trPr>
          <w:trHeight w:val="1079" w:hRule="atLeast"/>
        </w:trPr>
        <w:tc>
          <w:tcPr>
            <w:tcW w:w="2593" w:type="dxa"/>
          </w:tcPr>
          <w:p>
            <w:pPr>
              <w:pStyle w:val="TableParagraph"/>
              <w:spacing w:before="22"/>
              <w:rPr>
                <w:b/>
                <w:sz w:val="18"/>
              </w:rPr>
            </w:pPr>
          </w:p>
          <w:p>
            <w:pPr>
              <w:pStyle w:val="TableParagraph"/>
              <w:ind w:left="72"/>
              <w:rPr>
                <w:sz w:val="18"/>
              </w:rPr>
            </w:pPr>
            <w:r>
              <w:rPr>
                <w:sz w:val="18"/>
              </w:rPr>
              <w:t>Producto PAC 2.13.2: Redacción</w:t>
            </w:r>
            <w:r>
              <w:rPr>
                <w:spacing w:val="-11"/>
                <w:sz w:val="18"/>
              </w:rPr>
              <w:t> </w:t>
            </w:r>
            <w:r>
              <w:rPr>
                <w:sz w:val="18"/>
              </w:rPr>
              <w:t>y</w:t>
            </w:r>
            <w:r>
              <w:rPr>
                <w:spacing w:val="-7"/>
                <w:sz w:val="18"/>
              </w:rPr>
              <w:t> </w:t>
            </w:r>
            <w:r>
              <w:rPr>
                <w:sz w:val="18"/>
              </w:rPr>
              <w:t>aprobación</w:t>
            </w:r>
            <w:r>
              <w:rPr>
                <w:spacing w:val="-8"/>
                <w:sz w:val="18"/>
              </w:rPr>
              <w:t> </w:t>
            </w:r>
            <w:r>
              <w:rPr>
                <w:sz w:val="18"/>
              </w:rPr>
              <w:t>de</w:t>
            </w:r>
            <w:r>
              <w:rPr>
                <w:spacing w:val="-8"/>
                <w:sz w:val="18"/>
              </w:rPr>
              <w:t> </w:t>
            </w:r>
            <w:r>
              <w:rPr>
                <w:sz w:val="18"/>
              </w:rPr>
              <w:t>la </w:t>
            </w:r>
            <w:r>
              <w:rPr>
                <w:spacing w:val="-2"/>
                <w:sz w:val="18"/>
              </w:rPr>
              <w:t>política</w:t>
            </w:r>
          </w:p>
        </w:tc>
        <w:tc>
          <w:tcPr>
            <w:tcW w:w="1426" w:type="dxa"/>
          </w:tcPr>
          <w:p>
            <w:pPr>
              <w:pStyle w:val="TableParagraph"/>
              <w:spacing w:line="242" w:lineRule="auto" w:before="123"/>
              <w:ind w:left="71" w:right="227"/>
              <w:rPr>
                <w:sz w:val="18"/>
              </w:rPr>
            </w:pPr>
            <w:r>
              <w:rPr>
                <w:sz w:val="18"/>
              </w:rPr>
              <w:t>Porcentaje</w:t>
            </w:r>
            <w:r>
              <w:rPr>
                <w:spacing w:val="-13"/>
                <w:sz w:val="18"/>
              </w:rPr>
              <w:t> </w:t>
            </w:r>
            <w:r>
              <w:rPr>
                <w:sz w:val="18"/>
              </w:rPr>
              <w:t>de la política redactada y </w:t>
            </w:r>
            <w:r>
              <w:rPr>
                <w:spacing w:val="-2"/>
                <w:sz w:val="18"/>
              </w:rPr>
              <w:t>aprobada</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spacing w:before="22"/>
              <w:rPr>
                <w:b/>
                <w:sz w:val="18"/>
              </w:rPr>
            </w:pPr>
          </w:p>
          <w:p>
            <w:pPr>
              <w:pStyle w:val="TableParagraph"/>
              <w:ind w:right="56"/>
              <w:jc w:val="right"/>
              <w:rPr>
                <w:sz w:val="18"/>
              </w:rPr>
            </w:pPr>
            <w:r>
              <w:rPr>
                <w:spacing w:val="-4"/>
                <w:sz w:val="18"/>
              </w:rPr>
              <w:t>100%</w:t>
            </w: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493"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3"/>
        <w:gridCol w:w="1426"/>
        <w:gridCol w:w="1181"/>
        <w:gridCol w:w="1334"/>
        <w:gridCol w:w="1181"/>
        <w:gridCol w:w="1392"/>
        <w:gridCol w:w="1181"/>
        <w:gridCol w:w="1488"/>
        <w:gridCol w:w="1181"/>
        <w:gridCol w:w="1436"/>
      </w:tblGrid>
      <w:tr>
        <w:trPr>
          <w:trHeight w:val="302" w:hRule="atLeast"/>
        </w:trPr>
        <w:tc>
          <w:tcPr>
            <w:tcW w:w="2593" w:type="dxa"/>
            <w:vMerge w:val="restart"/>
            <w:shd w:val="clear" w:color="auto" w:fill="D7D7D7"/>
          </w:tcPr>
          <w:p>
            <w:pPr>
              <w:pStyle w:val="TableParagraph"/>
              <w:rPr>
                <w:b/>
                <w:sz w:val="18"/>
              </w:rPr>
            </w:pPr>
          </w:p>
          <w:p>
            <w:pPr>
              <w:pStyle w:val="TableParagraph"/>
              <w:spacing w:before="141"/>
              <w:rPr>
                <w:b/>
                <w:sz w:val="18"/>
              </w:rPr>
            </w:pPr>
          </w:p>
          <w:p>
            <w:pPr>
              <w:pStyle w:val="TableParagraph"/>
              <w:ind w:left="326"/>
              <w:rPr>
                <w:b/>
                <w:sz w:val="18"/>
              </w:rPr>
            </w:pPr>
            <w:r>
              <w:rPr>
                <w:b/>
                <w:sz w:val="18"/>
              </w:rPr>
              <w:t>Objetivos</w:t>
            </w:r>
            <w:r>
              <w:rPr>
                <w:b/>
                <w:spacing w:val="-5"/>
                <w:sz w:val="18"/>
              </w:rPr>
              <w:t> </w:t>
            </w:r>
            <w:r>
              <w:rPr>
                <w:b/>
                <w:sz w:val="18"/>
              </w:rPr>
              <w:t>/</w:t>
            </w:r>
            <w:r>
              <w:rPr>
                <w:b/>
                <w:spacing w:val="-2"/>
                <w:sz w:val="18"/>
              </w:rPr>
              <w:t> Resultados</w:t>
            </w:r>
          </w:p>
        </w:tc>
        <w:tc>
          <w:tcPr>
            <w:tcW w:w="1426" w:type="dxa"/>
            <w:vMerge w:val="restart"/>
            <w:shd w:val="clear" w:color="auto" w:fill="D7D7D7"/>
          </w:tcPr>
          <w:p>
            <w:pPr>
              <w:pStyle w:val="TableParagraph"/>
              <w:rPr>
                <w:b/>
                <w:sz w:val="18"/>
              </w:rPr>
            </w:pPr>
          </w:p>
          <w:p>
            <w:pPr>
              <w:pStyle w:val="TableParagraph"/>
              <w:spacing w:before="141"/>
              <w:rPr>
                <w:b/>
                <w:sz w:val="18"/>
              </w:rPr>
            </w:pPr>
          </w:p>
          <w:p>
            <w:pPr>
              <w:pStyle w:val="TableParagraph"/>
              <w:ind w:left="71"/>
              <w:rPr>
                <w:b/>
                <w:sz w:val="18"/>
              </w:rPr>
            </w:pPr>
            <w:r>
              <w:rPr>
                <w:b/>
                <w:spacing w:val="-2"/>
                <w:sz w:val="18"/>
              </w:rPr>
              <w:t>Indicador</w:t>
            </w:r>
          </w:p>
        </w:tc>
        <w:tc>
          <w:tcPr>
            <w:tcW w:w="2515" w:type="dxa"/>
            <w:gridSpan w:val="2"/>
            <w:shd w:val="clear" w:color="auto" w:fill="D7D7D7"/>
          </w:tcPr>
          <w:p>
            <w:pPr>
              <w:pStyle w:val="TableParagraph"/>
              <w:spacing w:before="47"/>
              <w:ind w:left="791"/>
              <w:rPr>
                <w:b/>
                <w:sz w:val="18"/>
              </w:rPr>
            </w:pPr>
            <w:r>
              <w:rPr>
                <w:b/>
                <w:sz w:val="18"/>
              </w:rPr>
              <w:t>I</w:t>
            </w:r>
            <w:r>
              <w:rPr>
                <w:b/>
                <w:spacing w:val="-1"/>
                <w:sz w:val="18"/>
              </w:rPr>
              <w:t> </w:t>
            </w:r>
            <w:r>
              <w:rPr>
                <w:b/>
                <w:spacing w:val="-2"/>
                <w:sz w:val="18"/>
              </w:rPr>
              <w:t>Trimestre</w:t>
            </w:r>
          </w:p>
        </w:tc>
        <w:tc>
          <w:tcPr>
            <w:tcW w:w="2573" w:type="dxa"/>
            <w:gridSpan w:val="2"/>
            <w:shd w:val="clear" w:color="auto" w:fill="D7D7D7"/>
          </w:tcPr>
          <w:p>
            <w:pPr>
              <w:pStyle w:val="TableParagraph"/>
              <w:spacing w:before="47"/>
              <w:ind w:left="797"/>
              <w:rPr>
                <w:b/>
                <w:sz w:val="18"/>
              </w:rPr>
            </w:pPr>
            <w:r>
              <w:rPr>
                <w:b/>
                <w:sz w:val="18"/>
              </w:rPr>
              <w:t>II</w:t>
            </w:r>
            <w:r>
              <w:rPr>
                <w:b/>
                <w:spacing w:val="-3"/>
                <w:sz w:val="18"/>
              </w:rPr>
              <w:t> </w:t>
            </w:r>
            <w:r>
              <w:rPr>
                <w:b/>
                <w:spacing w:val="-2"/>
                <w:sz w:val="18"/>
              </w:rPr>
              <w:t>Trimestre</w:t>
            </w:r>
          </w:p>
        </w:tc>
        <w:tc>
          <w:tcPr>
            <w:tcW w:w="2669" w:type="dxa"/>
            <w:gridSpan w:val="2"/>
            <w:shd w:val="clear" w:color="auto" w:fill="D7D7D7"/>
          </w:tcPr>
          <w:p>
            <w:pPr>
              <w:pStyle w:val="TableParagraph"/>
              <w:spacing w:before="47"/>
              <w:ind w:left="822"/>
              <w:rPr>
                <w:b/>
                <w:sz w:val="18"/>
              </w:rPr>
            </w:pPr>
            <w:r>
              <w:rPr>
                <w:b/>
                <w:sz w:val="18"/>
              </w:rPr>
              <w:t>III</w:t>
            </w:r>
            <w:r>
              <w:rPr>
                <w:b/>
                <w:spacing w:val="-2"/>
                <w:sz w:val="18"/>
              </w:rPr>
              <w:t> Trimestre</w:t>
            </w:r>
          </w:p>
        </w:tc>
        <w:tc>
          <w:tcPr>
            <w:tcW w:w="2617" w:type="dxa"/>
            <w:gridSpan w:val="2"/>
            <w:shd w:val="clear" w:color="auto" w:fill="D7D7D7"/>
          </w:tcPr>
          <w:p>
            <w:pPr>
              <w:pStyle w:val="TableParagraph"/>
              <w:spacing w:before="47"/>
              <w:ind w:left="789"/>
              <w:rPr>
                <w:b/>
                <w:sz w:val="18"/>
              </w:rPr>
            </w:pPr>
            <w:r>
              <w:rPr>
                <w:b/>
                <w:sz w:val="18"/>
              </w:rPr>
              <w:t>IV</w:t>
            </w:r>
            <w:r>
              <w:rPr>
                <w:b/>
                <w:spacing w:val="-2"/>
                <w:sz w:val="18"/>
              </w:rPr>
              <w:t> Trimestre</w:t>
            </w:r>
          </w:p>
        </w:tc>
      </w:tr>
      <w:tr>
        <w:trPr>
          <w:trHeight w:val="1003" w:hRule="atLeast"/>
        </w:trPr>
        <w:tc>
          <w:tcPr>
            <w:tcW w:w="2593" w:type="dxa"/>
            <w:vMerge/>
            <w:tcBorders>
              <w:top w:val="nil"/>
            </w:tcBorders>
            <w:shd w:val="clear" w:color="auto" w:fill="D7D7D7"/>
          </w:tcPr>
          <w:p>
            <w:pPr>
              <w:rPr>
                <w:sz w:val="2"/>
                <w:szCs w:val="2"/>
              </w:rPr>
            </w:pPr>
          </w:p>
        </w:tc>
        <w:tc>
          <w:tcPr>
            <w:tcW w:w="1426" w:type="dxa"/>
            <w:vMerge/>
            <w:tcBorders>
              <w:top w:val="nil"/>
            </w:tcBorders>
            <w:shd w:val="clear" w:color="auto" w:fill="D7D7D7"/>
          </w:tcPr>
          <w:p>
            <w:pPr>
              <w:rPr>
                <w:sz w:val="2"/>
                <w:szCs w:val="2"/>
              </w:rPr>
            </w:pP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34" w:type="dxa"/>
            <w:shd w:val="clear" w:color="auto" w:fill="D7D7D7"/>
          </w:tcPr>
          <w:p>
            <w:pPr>
              <w:pStyle w:val="TableParagraph"/>
              <w:spacing w:before="190"/>
              <w:rPr>
                <w:b/>
                <w:sz w:val="18"/>
              </w:rPr>
            </w:pPr>
          </w:p>
          <w:p>
            <w:pPr>
              <w:pStyle w:val="TableParagraph"/>
              <w:ind w:left="6"/>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92" w:type="dxa"/>
            <w:shd w:val="clear" w:color="auto" w:fill="D7D7D7"/>
          </w:tcPr>
          <w:p>
            <w:pPr>
              <w:pStyle w:val="TableParagraph"/>
              <w:spacing w:before="190"/>
              <w:rPr>
                <w:b/>
                <w:sz w:val="18"/>
              </w:rPr>
            </w:pPr>
          </w:p>
          <w:p>
            <w:pPr>
              <w:pStyle w:val="TableParagraph"/>
              <w:ind w:left="7"/>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3" w:firstLine="312"/>
              <w:rPr>
                <w:b/>
                <w:sz w:val="18"/>
              </w:rPr>
            </w:pPr>
            <w:r>
              <w:rPr>
                <w:b/>
                <w:spacing w:val="-4"/>
                <w:sz w:val="18"/>
              </w:rPr>
              <w:t>Meta </w:t>
            </w:r>
            <w:r>
              <w:rPr>
                <w:b/>
                <w:spacing w:val="-2"/>
                <w:sz w:val="18"/>
              </w:rPr>
              <w:t>programada</w:t>
            </w:r>
          </w:p>
        </w:tc>
        <w:tc>
          <w:tcPr>
            <w:tcW w:w="1488" w:type="dxa"/>
            <w:shd w:val="clear" w:color="auto" w:fill="D7D7D7"/>
          </w:tcPr>
          <w:p>
            <w:pPr>
              <w:pStyle w:val="TableParagraph"/>
              <w:spacing w:before="190"/>
              <w:rPr>
                <w:b/>
                <w:sz w:val="18"/>
              </w:rPr>
            </w:pPr>
          </w:p>
          <w:p>
            <w:pPr>
              <w:pStyle w:val="TableParagraph"/>
              <w:ind w:left="9"/>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4" w:firstLine="312"/>
              <w:rPr>
                <w:b/>
                <w:sz w:val="18"/>
              </w:rPr>
            </w:pPr>
            <w:r>
              <w:rPr>
                <w:b/>
                <w:spacing w:val="-4"/>
                <w:sz w:val="18"/>
              </w:rPr>
              <w:t>Meta </w:t>
            </w:r>
            <w:r>
              <w:rPr>
                <w:b/>
                <w:spacing w:val="-2"/>
                <w:sz w:val="18"/>
              </w:rPr>
              <w:t>programada</w:t>
            </w:r>
          </w:p>
        </w:tc>
        <w:tc>
          <w:tcPr>
            <w:tcW w:w="1436" w:type="dxa"/>
            <w:shd w:val="clear" w:color="auto" w:fill="D7D7D7"/>
          </w:tcPr>
          <w:p>
            <w:pPr>
              <w:pStyle w:val="TableParagraph"/>
              <w:spacing w:before="190"/>
              <w:rPr>
                <w:b/>
                <w:sz w:val="18"/>
              </w:rPr>
            </w:pPr>
          </w:p>
          <w:p>
            <w:pPr>
              <w:pStyle w:val="TableParagraph"/>
              <w:ind w:left="14"/>
              <w:jc w:val="center"/>
              <w:rPr>
                <w:b/>
                <w:sz w:val="18"/>
              </w:rPr>
            </w:pPr>
            <w:r>
              <w:rPr>
                <w:b/>
                <w:spacing w:val="-10"/>
                <w:sz w:val="18"/>
              </w:rPr>
              <w:t>¢</w:t>
            </w:r>
          </w:p>
        </w:tc>
      </w:tr>
      <w:tr>
        <w:trPr>
          <w:trHeight w:val="494" w:hRule="atLeast"/>
        </w:trPr>
        <w:tc>
          <w:tcPr>
            <w:tcW w:w="14393" w:type="dxa"/>
            <w:gridSpan w:val="10"/>
            <w:shd w:val="clear" w:color="auto" w:fill="EFF8F9"/>
          </w:tcPr>
          <w:p>
            <w:pPr>
              <w:pStyle w:val="TableParagraph"/>
              <w:spacing w:before="143"/>
              <w:ind w:left="72"/>
              <w:rPr>
                <w:b/>
                <w:sz w:val="18"/>
              </w:rPr>
            </w:pPr>
            <w:r>
              <w:rPr>
                <w:b/>
                <w:sz w:val="18"/>
              </w:rPr>
              <w:t>Producto</w:t>
            </w:r>
            <w:r>
              <w:rPr>
                <w:b/>
                <w:spacing w:val="-8"/>
                <w:sz w:val="18"/>
              </w:rPr>
              <w:t> </w:t>
            </w:r>
            <w:r>
              <w:rPr>
                <w:b/>
                <w:sz w:val="18"/>
              </w:rPr>
              <w:t>PAC</w:t>
            </w:r>
            <w:r>
              <w:rPr>
                <w:b/>
                <w:spacing w:val="-8"/>
                <w:sz w:val="18"/>
              </w:rPr>
              <w:t> </w:t>
            </w:r>
            <w:r>
              <w:rPr>
                <w:b/>
                <w:sz w:val="18"/>
              </w:rPr>
              <w:t>2.14:</w:t>
            </w:r>
            <w:r>
              <w:rPr>
                <w:b/>
                <w:spacing w:val="-4"/>
                <w:sz w:val="18"/>
              </w:rPr>
              <w:t> </w:t>
            </w:r>
            <w:r>
              <w:rPr>
                <w:b/>
                <w:sz w:val="18"/>
              </w:rPr>
              <w:t>Elaborar</w:t>
            </w:r>
            <w:r>
              <w:rPr>
                <w:b/>
                <w:spacing w:val="-5"/>
                <w:sz w:val="18"/>
              </w:rPr>
              <w:t> </w:t>
            </w:r>
            <w:r>
              <w:rPr>
                <w:b/>
                <w:sz w:val="18"/>
              </w:rPr>
              <w:t>y/o</w:t>
            </w:r>
            <w:r>
              <w:rPr>
                <w:b/>
                <w:spacing w:val="-7"/>
                <w:sz w:val="18"/>
              </w:rPr>
              <w:t> </w:t>
            </w:r>
            <w:r>
              <w:rPr>
                <w:b/>
                <w:sz w:val="18"/>
              </w:rPr>
              <w:t>actualizar</w:t>
            </w:r>
            <w:r>
              <w:rPr>
                <w:b/>
                <w:spacing w:val="-5"/>
                <w:sz w:val="18"/>
              </w:rPr>
              <w:t> </w:t>
            </w:r>
            <w:r>
              <w:rPr>
                <w:b/>
                <w:sz w:val="18"/>
              </w:rPr>
              <w:t>normativa</w:t>
            </w:r>
            <w:r>
              <w:rPr>
                <w:b/>
                <w:spacing w:val="-6"/>
                <w:sz w:val="18"/>
              </w:rPr>
              <w:t> </w:t>
            </w:r>
            <w:r>
              <w:rPr>
                <w:b/>
                <w:sz w:val="18"/>
              </w:rPr>
              <w:t>de</w:t>
            </w:r>
            <w:r>
              <w:rPr>
                <w:b/>
                <w:spacing w:val="-6"/>
                <w:sz w:val="18"/>
              </w:rPr>
              <w:t> </w:t>
            </w:r>
            <w:r>
              <w:rPr>
                <w:b/>
                <w:sz w:val="18"/>
              </w:rPr>
              <w:t>Desarrollo</w:t>
            </w:r>
            <w:r>
              <w:rPr>
                <w:b/>
                <w:spacing w:val="-3"/>
                <w:sz w:val="18"/>
              </w:rPr>
              <w:t> </w:t>
            </w:r>
            <w:r>
              <w:rPr>
                <w:b/>
                <w:spacing w:val="-2"/>
                <w:sz w:val="18"/>
              </w:rPr>
              <w:t>Humano</w:t>
            </w:r>
          </w:p>
        </w:tc>
      </w:tr>
      <w:tr>
        <w:trPr>
          <w:trHeight w:val="1007" w:hRule="atLeast"/>
        </w:trPr>
        <w:tc>
          <w:tcPr>
            <w:tcW w:w="2593" w:type="dxa"/>
          </w:tcPr>
          <w:p>
            <w:pPr>
              <w:pStyle w:val="TableParagraph"/>
              <w:spacing w:before="90"/>
              <w:ind w:left="72"/>
              <w:rPr>
                <w:sz w:val="18"/>
              </w:rPr>
            </w:pPr>
            <w:r>
              <w:rPr>
                <w:b/>
                <w:sz w:val="18"/>
              </w:rPr>
              <w:t>Producto PAC 2.14.1: </w:t>
            </w:r>
            <w:r>
              <w:rPr>
                <w:sz w:val="18"/>
              </w:rPr>
              <w:t>Identificar</w:t>
            </w:r>
            <w:r>
              <w:rPr>
                <w:spacing w:val="-8"/>
                <w:sz w:val="18"/>
              </w:rPr>
              <w:t> </w:t>
            </w:r>
            <w:r>
              <w:rPr>
                <w:sz w:val="18"/>
              </w:rPr>
              <w:t>la</w:t>
            </w:r>
            <w:r>
              <w:rPr>
                <w:spacing w:val="-10"/>
                <w:sz w:val="18"/>
              </w:rPr>
              <w:t> </w:t>
            </w:r>
            <w:r>
              <w:rPr>
                <w:sz w:val="18"/>
              </w:rPr>
              <w:t>normativa</w:t>
            </w:r>
            <w:r>
              <w:rPr>
                <w:spacing w:val="-10"/>
                <w:sz w:val="18"/>
              </w:rPr>
              <w:t> </w:t>
            </w:r>
            <w:r>
              <w:rPr>
                <w:sz w:val="18"/>
              </w:rPr>
              <w:t>que</w:t>
            </w:r>
            <w:r>
              <w:rPr>
                <w:spacing w:val="-10"/>
                <w:sz w:val="18"/>
              </w:rPr>
              <w:t> </w:t>
            </w:r>
            <w:r>
              <w:rPr>
                <w:sz w:val="18"/>
              </w:rPr>
              <w:t>se debe elaborar o actualizar en Desarrollo Humano</w:t>
            </w:r>
          </w:p>
        </w:tc>
        <w:tc>
          <w:tcPr>
            <w:tcW w:w="1426" w:type="dxa"/>
          </w:tcPr>
          <w:p>
            <w:pPr>
              <w:pStyle w:val="TableParagraph"/>
              <w:spacing w:line="242" w:lineRule="auto" w:before="191"/>
              <w:ind w:left="71" w:right="24"/>
              <w:rPr>
                <w:sz w:val="18"/>
              </w:rPr>
            </w:pPr>
            <w:r>
              <w:rPr>
                <w:sz w:val="18"/>
              </w:rPr>
              <w:t>Cantidad</w:t>
            </w:r>
            <w:r>
              <w:rPr>
                <w:spacing w:val="-15"/>
                <w:sz w:val="18"/>
              </w:rPr>
              <w:t> </w:t>
            </w:r>
            <w:r>
              <w:rPr>
                <w:sz w:val="18"/>
              </w:rPr>
              <w:t>de</w:t>
            </w:r>
            <w:r>
              <w:rPr>
                <w:spacing w:val="-12"/>
                <w:sz w:val="18"/>
              </w:rPr>
              <w:t> </w:t>
            </w:r>
            <w:r>
              <w:rPr>
                <w:sz w:val="18"/>
              </w:rPr>
              <w:t>la </w:t>
            </w:r>
            <w:r>
              <w:rPr>
                <w:spacing w:val="-2"/>
                <w:sz w:val="18"/>
              </w:rPr>
              <w:t>normativa identificada</w:t>
            </w:r>
          </w:p>
        </w:tc>
        <w:tc>
          <w:tcPr>
            <w:tcW w:w="1181" w:type="dxa"/>
          </w:tcPr>
          <w:p>
            <w:pPr>
              <w:pStyle w:val="TableParagraph"/>
              <w:spacing w:before="190"/>
              <w:rPr>
                <w:b/>
                <w:sz w:val="18"/>
              </w:rPr>
            </w:pPr>
          </w:p>
          <w:p>
            <w:pPr>
              <w:pStyle w:val="TableParagraph"/>
              <w:ind w:right="59"/>
              <w:jc w:val="right"/>
              <w:rPr>
                <w:sz w:val="18"/>
              </w:rPr>
            </w:pPr>
            <w:r>
              <w:rPr>
                <w:spacing w:val="-10"/>
                <w:sz w:val="18"/>
              </w:rPr>
              <w:t>4</w:t>
            </w: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r>
        <w:trPr>
          <w:trHeight w:val="1449" w:hRule="atLeast"/>
        </w:trPr>
        <w:tc>
          <w:tcPr>
            <w:tcW w:w="2593" w:type="dxa"/>
          </w:tcPr>
          <w:p>
            <w:pPr>
              <w:pStyle w:val="TableParagraph"/>
              <w:spacing w:before="99"/>
              <w:rPr>
                <w:b/>
                <w:sz w:val="18"/>
              </w:rPr>
            </w:pPr>
          </w:p>
          <w:p>
            <w:pPr>
              <w:pStyle w:val="TableParagraph"/>
              <w:spacing w:line="242" w:lineRule="auto"/>
              <w:ind w:left="72" w:right="126"/>
              <w:rPr>
                <w:sz w:val="18"/>
              </w:rPr>
            </w:pPr>
            <w:r>
              <w:rPr>
                <w:b/>
                <w:sz w:val="18"/>
              </w:rPr>
              <w:t>Producto PAC 2.14.2: </w:t>
            </w:r>
            <w:r>
              <w:rPr>
                <w:sz w:val="18"/>
              </w:rPr>
              <w:t>Elaborar y/o actualizar normativa</w:t>
            </w:r>
            <w:r>
              <w:rPr>
                <w:spacing w:val="-15"/>
                <w:sz w:val="18"/>
              </w:rPr>
              <w:t> </w:t>
            </w:r>
            <w:r>
              <w:rPr>
                <w:sz w:val="18"/>
              </w:rPr>
              <w:t>de</w:t>
            </w:r>
            <w:r>
              <w:rPr>
                <w:spacing w:val="-12"/>
                <w:sz w:val="18"/>
              </w:rPr>
              <w:t> </w:t>
            </w:r>
            <w:r>
              <w:rPr>
                <w:sz w:val="18"/>
              </w:rPr>
              <w:t>Desarrollo Humano identificada</w:t>
            </w:r>
          </w:p>
        </w:tc>
        <w:tc>
          <w:tcPr>
            <w:tcW w:w="1426" w:type="dxa"/>
          </w:tcPr>
          <w:p>
            <w:pPr>
              <w:pStyle w:val="TableParagraph"/>
              <w:ind w:left="71" w:right="24"/>
              <w:rPr>
                <w:sz w:val="18"/>
              </w:rPr>
            </w:pPr>
            <w:r>
              <w:rPr>
                <w:sz w:val="18"/>
              </w:rPr>
              <w:t>Cantidad</w:t>
            </w:r>
            <w:r>
              <w:rPr>
                <w:spacing w:val="-15"/>
                <w:sz w:val="18"/>
              </w:rPr>
              <w:t> </w:t>
            </w:r>
            <w:r>
              <w:rPr>
                <w:sz w:val="18"/>
              </w:rPr>
              <w:t>de</w:t>
            </w:r>
            <w:r>
              <w:rPr>
                <w:spacing w:val="-12"/>
                <w:sz w:val="18"/>
              </w:rPr>
              <w:t> </w:t>
            </w:r>
            <w:r>
              <w:rPr>
                <w:sz w:val="18"/>
              </w:rPr>
              <w:t>la </w:t>
            </w:r>
            <w:r>
              <w:rPr>
                <w:spacing w:val="-2"/>
                <w:sz w:val="18"/>
              </w:rPr>
              <w:t>normativa </w:t>
            </w:r>
            <w:r>
              <w:rPr>
                <w:sz w:val="18"/>
              </w:rPr>
              <w:t>elaborada y/o actualizada y remitida a la </w:t>
            </w:r>
            <w:r>
              <w:rPr>
                <w:spacing w:val="-2"/>
                <w:sz w:val="18"/>
              </w:rPr>
              <w:t>Gerencia</w:t>
            </w:r>
          </w:p>
          <w:p>
            <w:pPr>
              <w:pStyle w:val="TableParagraph"/>
              <w:spacing w:line="187" w:lineRule="exact" w:before="1"/>
              <w:ind w:left="71"/>
              <w:rPr>
                <w:sz w:val="18"/>
              </w:rPr>
            </w:pPr>
            <w:r>
              <w:rPr>
                <w:spacing w:val="-2"/>
                <w:sz w:val="18"/>
              </w:rPr>
              <w:t>General</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spacing w:before="204"/>
              <w:rPr>
                <w:b/>
                <w:sz w:val="18"/>
              </w:rPr>
            </w:pPr>
          </w:p>
          <w:p>
            <w:pPr>
              <w:pStyle w:val="TableParagraph"/>
              <w:ind w:right="53"/>
              <w:jc w:val="right"/>
              <w:rPr>
                <w:sz w:val="18"/>
              </w:rPr>
            </w:pPr>
            <w:r>
              <w:rPr>
                <w:spacing w:val="-10"/>
                <w:sz w:val="18"/>
              </w:rPr>
              <w:t>2</w:t>
            </w: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spacing w:before="204"/>
              <w:rPr>
                <w:b/>
                <w:sz w:val="18"/>
              </w:rPr>
            </w:pPr>
          </w:p>
          <w:p>
            <w:pPr>
              <w:pStyle w:val="TableParagraph"/>
              <w:ind w:right="52"/>
              <w:jc w:val="right"/>
              <w:rPr>
                <w:sz w:val="18"/>
              </w:rPr>
            </w:pPr>
            <w:r>
              <w:rPr>
                <w:spacing w:val="-10"/>
                <w:sz w:val="18"/>
              </w:rPr>
              <w:t>4</w:t>
            </w:r>
          </w:p>
        </w:tc>
        <w:tc>
          <w:tcPr>
            <w:tcW w:w="1436" w:type="dxa"/>
          </w:tcPr>
          <w:p>
            <w:pPr>
              <w:pStyle w:val="TableParagraph"/>
              <w:rPr>
                <w:rFonts w:ascii="Times New Roman"/>
                <w:sz w:val="18"/>
              </w:rPr>
            </w:pPr>
          </w:p>
        </w:tc>
      </w:tr>
      <w:tr>
        <w:trPr>
          <w:trHeight w:val="537" w:hRule="atLeast"/>
        </w:trPr>
        <w:tc>
          <w:tcPr>
            <w:tcW w:w="14393" w:type="dxa"/>
            <w:gridSpan w:val="10"/>
            <w:shd w:val="clear" w:color="auto" w:fill="EFF8F9"/>
          </w:tcPr>
          <w:p>
            <w:pPr>
              <w:pStyle w:val="TableParagraph"/>
              <w:spacing w:before="162"/>
              <w:ind w:left="72"/>
              <w:rPr>
                <w:b/>
                <w:sz w:val="18"/>
              </w:rPr>
            </w:pPr>
            <w:r>
              <w:rPr>
                <w:b/>
                <w:sz w:val="18"/>
              </w:rPr>
              <w:t>Producto</w:t>
            </w:r>
            <w:r>
              <w:rPr>
                <w:b/>
                <w:spacing w:val="-9"/>
                <w:sz w:val="18"/>
              </w:rPr>
              <w:t> </w:t>
            </w:r>
            <w:r>
              <w:rPr>
                <w:b/>
                <w:sz w:val="18"/>
              </w:rPr>
              <w:t>PAC</w:t>
            </w:r>
            <w:r>
              <w:rPr>
                <w:b/>
                <w:spacing w:val="-9"/>
                <w:sz w:val="18"/>
              </w:rPr>
              <w:t> </w:t>
            </w:r>
            <w:r>
              <w:rPr>
                <w:b/>
                <w:sz w:val="18"/>
              </w:rPr>
              <w:t>2.15:</w:t>
            </w:r>
            <w:r>
              <w:rPr>
                <w:b/>
                <w:spacing w:val="-5"/>
                <w:sz w:val="18"/>
              </w:rPr>
              <w:t> </w:t>
            </w:r>
            <w:r>
              <w:rPr>
                <w:b/>
                <w:sz w:val="18"/>
              </w:rPr>
              <w:t>Desarrollo</w:t>
            </w:r>
            <w:r>
              <w:rPr>
                <w:b/>
                <w:spacing w:val="-8"/>
                <w:sz w:val="18"/>
              </w:rPr>
              <w:t> </w:t>
            </w:r>
            <w:r>
              <w:rPr>
                <w:b/>
                <w:sz w:val="18"/>
              </w:rPr>
              <w:t>de</w:t>
            </w:r>
            <w:r>
              <w:rPr>
                <w:b/>
                <w:spacing w:val="-6"/>
                <w:sz w:val="18"/>
              </w:rPr>
              <w:t> </w:t>
            </w:r>
            <w:r>
              <w:rPr>
                <w:b/>
                <w:sz w:val="18"/>
              </w:rPr>
              <w:t>metodología</w:t>
            </w:r>
            <w:r>
              <w:rPr>
                <w:b/>
                <w:spacing w:val="-2"/>
                <w:sz w:val="18"/>
              </w:rPr>
              <w:t> </w:t>
            </w:r>
            <w:r>
              <w:rPr>
                <w:b/>
                <w:sz w:val="18"/>
              </w:rPr>
              <w:t>de</w:t>
            </w:r>
            <w:r>
              <w:rPr>
                <w:b/>
                <w:spacing w:val="-7"/>
                <w:sz w:val="18"/>
              </w:rPr>
              <w:t> </w:t>
            </w:r>
            <w:r>
              <w:rPr>
                <w:b/>
                <w:sz w:val="18"/>
              </w:rPr>
              <w:t>capacitación</w:t>
            </w:r>
            <w:r>
              <w:rPr>
                <w:b/>
                <w:spacing w:val="-3"/>
                <w:sz w:val="18"/>
              </w:rPr>
              <w:t> </w:t>
            </w:r>
            <w:r>
              <w:rPr>
                <w:b/>
                <w:sz w:val="18"/>
              </w:rPr>
              <w:t>en</w:t>
            </w:r>
            <w:r>
              <w:rPr>
                <w:b/>
                <w:spacing w:val="-9"/>
                <w:sz w:val="18"/>
              </w:rPr>
              <w:t> </w:t>
            </w:r>
            <w:r>
              <w:rPr>
                <w:b/>
                <w:sz w:val="18"/>
              </w:rPr>
              <w:t>gestión</w:t>
            </w:r>
            <w:r>
              <w:rPr>
                <w:b/>
                <w:spacing w:val="-3"/>
                <w:sz w:val="18"/>
              </w:rPr>
              <w:t> </w:t>
            </w:r>
            <w:r>
              <w:rPr>
                <w:b/>
                <w:sz w:val="18"/>
              </w:rPr>
              <w:t>de</w:t>
            </w:r>
            <w:r>
              <w:rPr>
                <w:b/>
                <w:spacing w:val="-4"/>
                <w:sz w:val="18"/>
              </w:rPr>
              <w:t> </w:t>
            </w:r>
            <w:r>
              <w:rPr>
                <w:b/>
                <w:sz w:val="18"/>
              </w:rPr>
              <w:t>proyectos,</w:t>
            </w:r>
            <w:r>
              <w:rPr>
                <w:b/>
                <w:spacing w:val="-5"/>
                <w:sz w:val="18"/>
              </w:rPr>
              <w:t> </w:t>
            </w:r>
            <w:r>
              <w:rPr>
                <w:b/>
                <w:sz w:val="18"/>
              </w:rPr>
              <w:t>valor</w:t>
            </w:r>
            <w:r>
              <w:rPr>
                <w:b/>
                <w:spacing w:val="-7"/>
                <w:sz w:val="18"/>
              </w:rPr>
              <w:t> </w:t>
            </w:r>
            <w:r>
              <w:rPr>
                <w:b/>
                <w:sz w:val="18"/>
              </w:rPr>
              <w:t>público</w:t>
            </w:r>
            <w:r>
              <w:rPr>
                <w:b/>
                <w:spacing w:val="-3"/>
                <w:sz w:val="18"/>
              </w:rPr>
              <w:t> </w:t>
            </w:r>
            <w:r>
              <w:rPr>
                <w:b/>
                <w:sz w:val="18"/>
              </w:rPr>
              <w:t>y</w:t>
            </w:r>
            <w:r>
              <w:rPr>
                <w:b/>
                <w:spacing w:val="-7"/>
                <w:sz w:val="18"/>
              </w:rPr>
              <w:t> </w:t>
            </w:r>
            <w:r>
              <w:rPr>
                <w:b/>
                <w:sz w:val="18"/>
              </w:rPr>
              <w:t>desarrollo</w:t>
            </w:r>
            <w:r>
              <w:rPr>
                <w:b/>
                <w:spacing w:val="-4"/>
                <w:sz w:val="18"/>
              </w:rPr>
              <w:t> </w:t>
            </w:r>
            <w:r>
              <w:rPr>
                <w:b/>
                <w:sz w:val="18"/>
              </w:rPr>
              <w:t>sostenible,</w:t>
            </w:r>
            <w:r>
              <w:rPr>
                <w:b/>
                <w:spacing w:val="2"/>
                <w:sz w:val="18"/>
              </w:rPr>
              <w:t> </w:t>
            </w:r>
            <w:r>
              <w:rPr>
                <w:b/>
                <w:sz w:val="18"/>
              </w:rPr>
              <w:t>evaluación</w:t>
            </w:r>
            <w:r>
              <w:rPr>
                <w:b/>
                <w:spacing w:val="-3"/>
                <w:sz w:val="18"/>
              </w:rPr>
              <w:t> </w:t>
            </w:r>
            <w:r>
              <w:rPr>
                <w:b/>
                <w:sz w:val="18"/>
              </w:rPr>
              <w:t>y</w:t>
            </w:r>
            <w:r>
              <w:rPr>
                <w:b/>
                <w:spacing w:val="-7"/>
                <w:sz w:val="18"/>
              </w:rPr>
              <w:t> </w:t>
            </w:r>
            <w:r>
              <w:rPr>
                <w:b/>
                <w:spacing w:val="-2"/>
                <w:sz w:val="18"/>
              </w:rPr>
              <w:t>seguimiento.</w:t>
            </w:r>
          </w:p>
        </w:tc>
      </w:tr>
      <w:tr>
        <w:trPr>
          <w:trHeight w:val="1243" w:hRule="atLeast"/>
        </w:trPr>
        <w:tc>
          <w:tcPr>
            <w:tcW w:w="2593" w:type="dxa"/>
          </w:tcPr>
          <w:p>
            <w:pPr>
              <w:pStyle w:val="TableParagraph"/>
              <w:spacing w:before="103"/>
              <w:rPr>
                <w:b/>
                <w:sz w:val="18"/>
              </w:rPr>
            </w:pPr>
          </w:p>
          <w:p>
            <w:pPr>
              <w:pStyle w:val="TableParagraph"/>
              <w:spacing w:before="1"/>
              <w:ind w:left="72" w:right="677"/>
              <w:jc w:val="both"/>
              <w:rPr>
                <w:sz w:val="18"/>
              </w:rPr>
            </w:pPr>
            <w:r>
              <w:rPr>
                <w:b/>
                <w:sz w:val="18"/>
              </w:rPr>
              <w:t>Producto</w:t>
            </w:r>
            <w:r>
              <w:rPr>
                <w:b/>
                <w:spacing w:val="-15"/>
                <w:sz w:val="18"/>
              </w:rPr>
              <w:t> </w:t>
            </w:r>
            <w:r>
              <w:rPr>
                <w:b/>
                <w:sz w:val="18"/>
              </w:rPr>
              <w:t>PAC</w:t>
            </w:r>
            <w:r>
              <w:rPr>
                <w:b/>
                <w:spacing w:val="-12"/>
                <w:sz w:val="18"/>
              </w:rPr>
              <w:t> </w:t>
            </w:r>
            <w:r>
              <w:rPr>
                <w:b/>
                <w:sz w:val="18"/>
              </w:rPr>
              <w:t>2.15.1: </w:t>
            </w:r>
            <w:r>
              <w:rPr>
                <w:sz w:val="18"/>
              </w:rPr>
              <w:t>Gestionar</w:t>
            </w:r>
            <w:r>
              <w:rPr>
                <w:spacing w:val="-13"/>
                <w:sz w:val="18"/>
              </w:rPr>
              <w:t> </w:t>
            </w:r>
            <w:r>
              <w:rPr>
                <w:sz w:val="18"/>
              </w:rPr>
              <w:t>contratación capacitación</w:t>
            </w:r>
            <w:r>
              <w:rPr>
                <w:spacing w:val="-3"/>
                <w:sz w:val="18"/>
              </w:rPr>
              <w:t> </w:t>
            </w:r>
            <w:r>
              <w:rPr>
                <w:sz w:val="18"/>
              </w:rPr>
              <w:t>en</w:t>
            </w:r>
            <w:r>
              <w:rPr>
                <w:spacing w:val="-11"/>
                <w:sz w:val="18"/>
              </w:rPr>
              <w:t> </w:t>
            </w:r>
            <w:r>
              <w:rPr>
                <w:spacing w:val="-4"/>
                <w:sz w:val="18"/>
              </w:rPr>
              <w:t>GpRD</w:t>
            </w:r>
          </w:p>
        </w:tc>
        <w:tc>
          <w:tcPr>
            <w:tcW w:w="1426" w:type="dxa"/>
          </w:tcPr>
          <w:p>
            <w:pPr>
              <w:pStyle w:val="TableParagraph"/>
              <w:ind w:left="71" w:right="24"/>
              <w:rPr>
                <w:sz w:val="18"/>
              </w:rPr>
            </w:pPr>
            <w:r>
              <w:rPr>
                <w:sz w:val="18"/>
              </w:rPr>
              <w:t>Cantidad de </w:t>
            </w:r>
            <w:r>
              <w:rPr>
                <w:spacing w:val="-2"/>
                <w:sz w:val="18"/>
              </w:rPr>
              <w:t>personas funcionarias </w:t>
            </w:r>
            <w:r>
              <w:rPr>
                <w:sz w:val="18"/>
              </w:rPr>
              <w:t>jefaturas y </w:t>
            </w:r>
            <w:r>
              <w:rPr>
                <w:spacing w:val="-2"/>
                <w:sz w:val="18"/>
              </w:rPr>
              <w:t>enlaces</w:t>
            </w:r>
          </w:p>
          <w:p>
            <w:pPr>
              <w:pStyle w:val="TableParagraph"/>
              <w:spacing w:line="187" w:lineRule="exact" w:before="1"/>
              <w:ind w:left="71"/>
              <w:rPr>
                <w:sz w:val="18"/>
              </w:rPr>
            </w:pPr>
            <w:r>
              <w:rPr>
                <w:spacing w:val="-2"/>
                <w:sz w:val="18"/>
              </w:rPr>
              <w:t>capacitadas</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spacing w:before="103"/>
              <w:rPr>
                <w:b/>
                <w:sz w:val="18"/>
              </w:rPr>
            </w:pPr>
          </w:p>
          <w:p>
            <w:pPr>
              <w:pStyle w:val="TableParagraph"/>
              <w:ind w:right="59"/>
              <w:jc w:val="right"/>
              <w:rPr>
                <w:sz w:val="18"/>
              </w:rPr>
            </w:pPr>
            <w:r>
              <w:rPr>
                <w:spacing w:val="-5"/>
                <w:sz w:val="18"/>
              </w:rPr>
              <w:t>69</w:t>
            </w: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r>
        <w:trPr>
          <w:trHeight w:val="868" w:hRule="atLeast"/>
        </w:trPr>
        <w:tc>
          <w:tcPr>
            <w:tcW w:w="2593" w:type="dxa"/>
          </w:tcPr>
          <w:p>
            <w:pPr>
              <w:pStyle w:val="TableParagraph"/>
              <w:spacing w:before="123"/>
              <w:ind w:left="72" w:right="126"/>
              <w:rPr>
                <w:sz w:val="18"/>
              </w:rPr>
            </w:pPr>
            <w:r>
              <w:rPr>
                <w:b/>
                <w:sz w:val="18"/>
              </w:rPr>
              <w:t>Producto PAC 2.15.2: </w:t>
            </w:r>
            <w:r>
              <w:rPr>
                <w:sz w:val="18"/>
              </w:rPr>
              <w:t>Sesiones</w:t>
            </w:r>
            <w:r>
              <w:rPr>
                <w:spacing w:val="-15"/>
                <w:sz w:val="18"/>
              </w:rPr>
              <w:t> </w:t>
            </w:r>
            <w:r>
              <w:rPr>
                <w:sz w:val="18"/>
              </w:rPr>
              <w:t>de</w:t>
            </w:r>
            <w:r>
              <w:rPr>
                <w:spacing w:val="-12"/>
                <w:sz w:val="18"/>
              </w:rPr>
              <w:t> </w:t>
            </w:r>
            <w:r>
              <w:rPr>
                <w:sz w:val="18"/>
              </w:rPr>
              <w:t>capacitación sobre valor público</w:t>
            </w:r>
          </w:p>
        </w:tc>
        <w:tc>
          <w:tcPr>
            <w:tcW w:w="1426" w:type="dxa"/>
          </w:tcPr>
          <w:p>
            <w:pPr>
              <w:pStyle w:val="TableParagraph"/>
              <w:spacing w:before="123"/>
              <w:ind w:left="71" w:right="24"/>
              <w:rPr>
                <w:sz w:val="18"/>
              </w:rPr>
            </w:pPr>
            <w:r>
              <w:rPr>
                <w:sz w:val="18"/>
              </w:rPr>
              <w:t>Cantidad</w:t>
            </w:r>
            <w:r>
              <w:rPr>
                <w:spacing w:val="-13"/>
                <w:sz w:val="18"/>
              </w:rPr>
              <w:t> </w:t>
            </w:r>
            <w:r>
              <w:rPr>
                <w:sz w:val="18"/>
              </w:rPr>
              <w:t>de </w:t>
            </w:r>
            <w:r>
              <w:rPr>
                <w:spacing w:val="-2"/>
                <w:sz w:val="18"/>
              </w:rPr>
              <w:t>sesiones</w:t>
            </w:r>
          </w:p>
          <w:p>
            <w:pPr>
              <w:pStyle w:val="TableParagraph"/>
              <w:spacing w:line="206" w:lineRule="exact"/>
              <w:ind w:left="71"/>
              <w:rPr>
                <w:sz w:val="18"/>
              </w:rPr>
            </w:pPr>
            <w:r>
              <w:rPr>
                <w:sz w:val="18"/>
              </w:rPr>
              <w:t>de</w:t>
            </w:r>
            <w:r>
              <w:rPr>
                <w:spacing w:val="2"/>
                <w:sz w:val="18"/>
              </w:rPr>
              <w:t> </w:t>
            </w:r>
            <w:r>
              <w:rPr>
                <w:spacing w:val="-2"/>
                <w:sz w:val="18"/>
              </w:rPr>
              <w:t>capacitación</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spacing w:before="123"/>
              <w:rPr>
                <w:b/>
                <w:sz w:val="18"/>
              </w:rPr>
            </w:pPr>
          </w:p>
          <w:p>
            <w:pPr>
              <w:pStyle w:val="TableParagraph"/>
              <w:ind w:right="58"/>
              <w:jc w:val="right"/>
              <w:rPr>
                <w:sz w:val="18"/>
              </w:rPr>
            </w:pPr>
            <w:r>
              <w:rPr>
                <w:spacing w:val="-10"/>
                <w:sz w:val="18"/>
              </w:rPr>
              <w:t>1</w:t>
            </w:r>
          </w:p>
        </w:tc>
        <w:tc>
          <w:tcPr>
            <w:tcW w:w="1392" w:type="dxa"/>
          </w:tcPr>
          <w:p>
            <w:pPr>
              <w:pStyle w:val="TableParagraph"/>
              <w:rPr>
                <w:rFonts w:ascii="Times New Roman"/>
                <w:sz w:val="18"/>
              </w:rPr>
            </w:pPr>
          </w:p>
        </w:tc>
        <w:tc>
          <w:tcPr>
            <w:tcW w:w="1181" w:type="dxa"/>
          </w:tcPr>
          <w:p>
            <w:pPr>
              <w:pStyle w:val="TableParagraph"/>
              <w:spacing w:before="123"/>
              <w:rPr>
                <w:b/>
                <w:sz w:val="18"/>
              </w:rPr>
            </w:pPr>
          </w:p>
          <w:p>
            <w:pPr>
              <w:pStyle w:val="TableParagraph"/>
              <w:ind w:right="53"/>
              <w:jc w:val="right"/>
              <w:rPr>
                <w:sz w:val="18"/>
              </w:rPr>
            </w:pPr>
            <w:r>
              <w:rPr>
                <w:spacing w:val="-10"/>
                <w:sz w:val="18"/>
              </w:rPr>
              <w:t>2</w:t>
            </w: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3"/>
        <w:gridCol w:w="1426"/>
        <w:gridCol w:w="1181"/>
        <w:gridCol w:w="1334"/>
        <w:gridCol w:w="1181"/>
        <w:gridCol w:w="1392"/>
        <w:gridCol w:w="1181"/>
        <w:gridCol w:w="1488"/>
        <w:gridCol w:w="1181"/>
        <w:gridCol w:w="1436"/>
      </w:tblGrid>
      <w:tr>
        <w:trPr>
          <w:trHeight w:val="302" w:hRule="atLeast"/>
        </w:trPr>
        <w:tc>
          <w:tcPr>
            <w:tcW w:w="2593" w:type="dxa"/>
            <w:vMerge w:val="restart"/>
            <w:shd w:val="clear" w:color="auto" w:fill="D7D7D7"/>
          </w:tcPr>
          <w:p>
            <w:pPr>
              <w:pStyle w:val="TableParagraph"/>
              <w:rPr>
                <w:b/>
                <w:sz w:val="18"/>
              </w:rPr>
            </w:pPr>
          </w:p>
          <w:p>
            <w:pPr>
              <w:pStyle w:val="TableParagraph"/>
              <w:spacing w:before="141"/>
              <w:rPr>
                <w:b/>
                <w:sz w:val="18"/>
              </w:rPr>
            </w:pPr>
          </w:p>
          <w:p>
            <w:pPr>
              <w:pStyle w:val="TableParagraph"/>
              <w:ind w:left="326"/>
              <w:rPr>
                <w:b/>
                <w:sz w:val="18"/>
              </w:rPr>
            </w:pPr>
            <w:r>
              <w:rPr>
                <w:b/>
                <w:sz w:val="18"/>
              </w:rPr>
              <w:t>Objetivos</w:t>
            </w:r>
            <w:r>
              <w:rPr>
                <w:b/>
                <w:spacing w:val="-5"/>
                <w:sz w:val="18"/>
              </w:rPr>
              <w:t> </w:t>
            </w:r>
            <w:r>
              <w:rPr>
                <w:b/>
                <w:sz w:val="18"/>
              </w:rPr>
              <w:t>/</w:t>
            </w:r>
            <w:r>
              <w:rPr>
                <w:b/>
                <w:spacing w:val="-2"/>
                <w:sz w:val="18"/>
              </w:rPr>
              <w:t> Resultados</w:t>
            </w:r>
          </w:p>
        </w:tc>
        <w:tc>
          <w:tcPr>
            <w:tcW w:w="1426" w:type="dxa"/>
            <w:vMerge w:val="restart"/>
            <w:shd w:val="clear" w:color="auto" w:fill="D7D7D7"/>
          </w:tcPr>
          <w:p>
            <w:pPr>
              <w:pStyle w:val="TableParagraph"/>
              <w:rPr>
                <w:b/>
                <w:sz w:val="18"/>
              </w:rPr>
            </w:pPr>
          </w:p>
          <w:p>
            <w:pPr>
              <w:pStyle w:val="TableParagraph"/>
              <w:spacing w:before="141"/>
              <w:rPr>
                <w:b/>
                <w:sz w:val="18"/>
              </w:rPr>
            </w:pPr>
          </w:p>
          <w:p>
            <w:pPr>
              <w:pStyle w:val="TableParagraph"/>
              <w:ind w:left="71"/>
              <w:rPr>
                <w:b/>
                <w:sz w:val="18"/>
              </w:rPr>
            </w:pPr>
            <w:r>
              <w:rPr>
                <w:b/>
                <w:spacing w:val="-2"/>
                <w:sz w:val="18"/>
              </w:rPr>
              <w:t>Indicador</w:t>
            </w:r>
          </w:p>
        </w:tc>
        <w:tc>
          <w:tcPr>
            <w:tcW w:w="2515" w:type="dxa"/>
            <w:gridSpan w:val="2"/>
            <w:shd w:val="clear" w:color="auto" w:fill="D7D7D7"/>
          </w:tcPr>
          <w:p>
            <w:pPr>
              <w:pStyle w:val="TableParagraph"/>
              <w:spacing w:before="47"/>
              <w:ind w:left="791"/>
              <w:rPr>
                <w:b/>
                <w:sz w:val="18"/>
              </w:rPr>
            </w:pPr>
            <w:r>
              <w:rPr>
                <w:b/>
                <w:sz w:val="18"/>
              </w:rPr>
              <w:t>I</w:t>
            </w:r>
            <w:r>
              <w:rPr>
                <w:b/>
                <w:spacing w:val="-1"/>
                <w:sz w:val="18"/>
              </w:rPr>
              <w:t> </w:t>
            </w:r>
            <w:r>
              <w:rPr>
                <w:b/>
                <w:spacing w:val="-2"/>
                <w:sz w:val="18"/>
              </w:rPr>
              <w:t>Trimestre</w:t>
            </w:r>
          </w:p>
        </w:tc>
        <w:tc>
          <w:tcPr>
            <w:tcW w:w="2573" w:type="dxa"/>
            <w:gridSpan w:val="2"/>
            <w:shd w:val="clear" w:color="auto" w:fill="D7D7D7"/>
          </w:tcPr>
          <w:p>
            <w:pPr>
              <w:pStyle w:val="TableParagraph"/>
              <w:spacing w:before="47"/>
              <w:ind w:left="797"/>
              <w:rPr>
                <w:b/>
                <w:sz w:val="18"/>
              </w:rPr>
            </w:pPr>
            <w:r>
              <w:rPr>
                <w:b/>
                <w:sz w:val="18"/>
              </w:rPr>
              <w:t>II</w:t>
            </w:r>
            <w:r>
              <w:rPr>
                <w:b/>
                <w:spacing w:val="-3"/>
                <w:sz w:val="18"/>
              </w:rPr>
              <w:t> </w:t>
            </w:r>
            <w:r>
              <w:rPr>
                <w:b/>
                <w:spacing w:val="-2"/>
                <w:sz w:val="18"/>
              </w:rPr>
              <w:t>Trimestre</w:t>
            </w:r>
          </w:p>
        </w:tc>
        <w:tc>
          <w:tcPr>
            <w:tcW w:w="2669" w:type="dxa"/>
            <w:gridSpan w:val="2"/>
            <w:shd w:val="clear" w:color="auto" w:fill="D7D7D7"/>
          </w:tcPr>
          <w:p>
            <w:pPr>
              <w:pStyle w:val="TableParagraph"/>
              <w:spacing w:before="47"/>
              <w:ind w:left="822"/>
              <w:rPr>
                <w:b/>
                <w:sz w:val="18"/>
              </w:rPr>
            </w:pPr>
            <w:r>
              <w:rPr>
                <w:b/>
                <w:sz w:val="18"/>
              </w:rPr>
              <w:t>III</w:t>
            </w:r>
            <w:r>
              <w:rPr>
                <w:b/>
                <w:spacing w:val="-2"/>
                <w:sz w:val="18"/>
              </w:rPr>
              <w:t> Trimestre</w:t>
            </w:r>
          </w:p>
        </w:tc>
        <w:tc>
          <w:tcPr>
            <w:tcW w:w="2617" w:type="dxa"/>
            <w:gridSpan w:val="2"/>
            <w:shd w:val="clear" w:color="auto" w:fill="D7D7D7"/>
          </w:tcPr>
          <w:p>
            <w:pPr>
              <w:pStyle w:val="TableParagraph"/>
              <w:spacing w:before="47"/>
              <w:ind w:left="789"/>
              <w:rPr>
                <w:b/>
                <w:sz w:val="18"/>
              </w:rPr>
            </w:pPr>
            <w:r>
              <w:rPr>
                <w:b/>
                <w:sz w:val="18"/>
              </w:rPr>
              <w:t>IV</w:t>
            </w:r>
            <w:r>
              <w:rPr>
                <w:b/>
                <w:spacing w:val="-2"/>
                <w:sz w:val="18"/>
              </w:rPr>
              <w:t> Trimestre</w:t>
            </w:r>
          </w:p>
        </w:tc>
      </w:tr>
      <w:tr>
        <w:trPr>
          <w:trHeight w:val="1003" w:hRule="atLeast"/>
        </w:trPr>
        <w:tc>
          <w:tcPr>
            <w:tcW w:w="2593" w:type="dxa"/>
            <w:vMerge/>
            <w:tcBorders>
              <w:top w:val="nil"/>
            </w:tcBorders>
            <w:shd w:val="clear" w:color="auto" w:fill="D7D7D7"/>
          </w:tcPr>
          <w:p>
            <w:pPr>
              <w:rPr>
                <w:sz w:val="2"/>
                <w:szCs w:val="2"/>
              </w:rPr>
            </w:pPr>
          </w:p>
        </w:tc>
        <w:tc>
          <w:tcPr>
            <w:tcW w:w="1426" w:type="dxa"/>
            <w:vMerge/>
            <w:tcBorders>
              <w:top w:val="nil"/>
            </w:tcBorders>
            <w:shd w:val="clear" w:color="auto" w:fill="D7D7D7"/>
          </w:tcPr>
          <w:p>
            <w:pPr>
              <w:rPr>
                <w:sz w:val="2"/>
                <w:szCs w:val="2"/>
              </w:rPr>
            </w:pP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34" w:type="dxa"/>
            <w:shd w:val="clear" w:color="auto" w:fill="D7D7D7"/>
          </w:tcPr>
          <w:p>
            <w:pPr>
              <w:pStyle w:val="TableParagraph"/>
              <w:spacing w:before="190"/>
              <w:rPr>
                <w:b/>
                <w:sz w:val="18"/>
              </w:rPr>
            </w:pPr>
          </w:p>
          <w:p>
            <w:pPr>
              <w:pStyle w:val="TableParagraph"/>
              <w:ind w:left="6"/>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92" w:type="dxa"/>
            <w:shd w:val="clear" w:color="auto" w:fill="D7D7D7"/>
          </w:tcPr>
          <w:p>
            <w:pPr>
              <w:pStyle w:val="TableParagraph"/>
              <w:spacing w:before="190"/>
              <w:rPr>
                <w:b/>
                <w:sz w:val="18"/>
              </w:rPr>
            </w:pPr>
          </w:p>
          <w:p>
            <w:pPr>
              <w:pStyle w:val="TableParagraph"/>
              <w:ind w:left="7"/>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3" w:firstLine="312"/>
              <w:rPr>
                <w:b/>
                <w:sz w:val="18"/>
              </w:rPr>
            </w:pPr>
            <w:r>
              <w:rPr>
                <w:b/>
                <w:spacing w:val="-4"/>
                <w:sz w:val="18"/>
              </w:rPr>
              <w:t>Meta </w:t>
            </w:r>
            <w:r>
              <w:rPr>
                <w:b/>
                <w:spacing w:val="-2"/>
                <w:sz w:val="18"/>
              </w:rPr>
              <w:t>programada</w:t>
            </w:r>
          </w:p>
        </w:tc>
        <w:tc>
          <w:tcPr>
            <w:tcW w:w="1488" w:type="dxa"/>
            <w:shd w:val="clear" w:color="auto" w:fill="D7D7D7"/>
          </w:tcPr>
          <w:p>
            <w:pPr>
              <w:pStyle w:val="TableParagraph"/>
              <w:spacing w:before="190"/>
              <w:rPr>
                <w:b/>
                <w:sz w:val="18"/>
              </w:rPr>
            </w:pPr>
          </w:p>
          <w:p>
            <w:pPr>
              <w:pStyle w:val="TableParagraph"/>
              <w:ind w:left="9"/>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4" w:firstLine="312"/>
              <w:rPr>
                <w:b/>
                <w:sz w:val="18"/>
              </w:rPr>
            </w:pPr>
            <w:r>
              <w:rPr>
                <w:b/>
                <w:spacing w:val="-4"/>
                <w:sz w:val="18"/>
              </w:rPr>
              <w:t>Meta </w:t>
            </w:r>
            <w:r>
              <w:rPr>
                <w:b/>
                <w:spacing w:val="-2"/>
                <w:sz w:val="18"/>
              </w:rPr>
              <w:t>programada</w:t>
            </w:r>
          </w:p>
        </w:tc>
        <w:tc>
          <w:tcPr>
            <w:tcW w:w="1436" w:type="dxa"/>
            <w:shd w:val="clear" w:color="auto" w:fill="D7D7D7"/>
          </w:tcPr>
          <w:p>
            <w:pPr>
              <w:pStyle w:val="TableParagraph"/>
              <w:spacing w:before="190"/>
              <w:rPr>
                <w:b/>
                <w:sz w:val="18"/>
              </w:rPr>
            </w:pPr>
          </w:p>
          <w:p>
            <w:pPr>
              <w:pStyle w:val="TableParagraph"/>
              <w:ind w:left="14"/>
              <w:jc w:val="center"/>
              <w:rPr>
                <w:b/>
                <w:sz w:val="18"/>
              </w:rPr>
            </w:pPr>
            <w:r>
              <w:rPr>
                <w:b/>
                <w:spacing w:val="-10"/>
                <w:sz w:val="18"/>
              </w:rPr>
              <w:t>¢</w:t>
            </w:r>
          </w:p>
        </w:tc>
      </w:tr>
      <w:tr>
        <w:trPr>
          <w:trHeight w:val="2693" w:hRule="atLeast"/>
        </w:trPr>
        <w:tc>
          <w:tcPr>
            <w:tcW w:w="2593" w:type="dxa"/>
          </w:tcPr>
          <w:p>
            <w:pPr>
              <w:pStyle w:val="TableParagraph"/>
              <w:ind w:left="72" w:right="84"/>
              <w:rPr>
                <w:sz w:val="18"/>
              </w:rPr>
            </w:pPr>
            <w:r>
              <w:rPr>
                <w:b/>
                <w:sz w:val="18"/>
              </w:rPr>
              <w:t>Producto PAC 2.15.3: </w:t>
            </w:r>
            <w:r>
              <w:rPr>
                <w:sz w:val="18"/>
              </w:rPr>
              <w:t>Capacitar a las unidades ejecutoras para que puedan incorporar en los términos de referencia; los aspectos de desarrollo social, promoción de la inclusión social, promoción</w:t>
            </w:r>
            <w:r>
              <w:rPr>
                <w:spacing w:val="-13"/>
                <w:sz w:val="18"/>
              </w:rPr>
              <w:t> </w:t>
            </w:r>
            <w:r>
              <w:rPr>
                <w:sz w:val="18"/>
              </w:rPr>
              <w:t>de</w:t>
            </w:r>
            <w:r>
              <w:rPr>
                <w:spacing w:val="-10"/>
                <w:sz w:val="18"/>
              </w:rPr>
              <w:t> </w:t>
            </w:r>
            <w:r>
              <w:rPr>
                <w:sz w:val="18"/>
              </w:rPr>
              <w:t>la</w:t>
            </w:r>
            <w:r>
              <w:rPr>
                <w:spacing w:val="-13"/>
                <w:sz w:val="18"/>
              </w:rPr>
              <w:t> </w:t>
            </w:r>
            <w:r>
              <w:rPr>
                <w:sz w:val="18"/>
              </w:rPr>
              <w:t>sostenibilidad ambiental, promoción de innovación y promoción de participación PYMES, en los procedimientos de</w:t>
            </w:r>
          </w:p>
          <w:p>
            <w:pPr>
              <w:pStyle w:val="TableParagraph"/>
              <w:spacing w:line="187" w:lineRule="exact" w:before="2"/>
              <w:ind w:left="72"/>
              <w:rPr>
                <w:sz w:val="18"/>
              </w:rPr>
            </w:pPr>
            <w:r>
              <w:rPr>
                <w:spacing w:val="-2"/>
                <w:sz w:val="18"/>
              </w:rPr>
              <w:t>contratación.</w:t>
            </w:r>
          </w:p>
        </w:tc>
        <w:tc>
          <w:tcPr>
            <w:tcW w:w="1426" w:type="dxa"/>
          </w:tcPr>
          <w:p>
            <w:pPr>
              <w:pStyle w:val="TableParagraph"/>
              <w:rPr>
                <w:b/>
                <w:sz w:val="18"/>
              </w:rPr>
            </w:pPr>
          </w:p>
          <w:p>
            <w:pPr>
              <w:pStyle w:val="TableParagraph"/>
              <w:spacing w:before="204"/>
              <w:rPr>
                <w:b/>
                <w:sz w:val="18"/>
              </w:rPr>
            </w:pPr>
          </w:p>
          <w:p>
            <w:pPr>
              <w:pStyle w:val="TableParagraph"/>
              <w:ind w:left="71" w:right="24"/>
              <w:rPr>
                <w:sz w:val="18"/>
              </w:rPr>
            </w:pPr>
            <w:r>
              <w:rPr>
                <w:sz w:val="18"/>
              </w:rPr>
              <w:t>Porcentaje de </w:t>
            </w:r>
            <w:r>
              <w:rPr>
                <w:spacing w:val="-2"/>
                <w:sz w:val="18"/>
              </w:rPr>
              <w:t>personas administradoras </w:t>
            </w:r>
            <w:r>
              <w:rPr>
                <w:sz w:val="18"/>
              </w:rPr>
              <w:t>de contrato capacitadas en las unidades </w:t>
            </w:r>
            <w:r>
              <w:rPr>
                <w:spacing w:val="-2"/>
                <w:sz w:val="18"/>
              </w:rPr>
              <w:t>ejecutoras</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6"/>
              <w:jc w:val="right"/>
              <w:rPr>
                <w:sz w:val="18"/>
              </w:rPr>
            </w:pPr>
            <w:r>
              <w:rPr>
                <w:spacing w:val="-5"/>
                <w:sz w:val="18"/>
              </w:rPr>
              <w:t>25%</w:t>
            </w: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1"/>
              <w:jc w:val="right"/>
              <w:rPr>
                <w:sz w:val="18"/>
              </w:rPr>
            </w:pPr>
            <w:r>
              <w:rPr>
                <w:spacing w:val="-5"/>
                <w:sz w:val="18"/>
              </w:rPr>
              <w:t>75%</w:t>
            </w: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0"/>
              <w:jc w:val="right"/>
              <w:rPr>
                <w:sz w:val="18"/>
              </w:rPr>
            </w:pPr>
            <w:r>
              <w:rPr>
                <w:spacing w:val="-4"/>
                <w:sz w:val="18"/>
              </w:rPr>
              <w:t>100%</w:t>
            </w:r>
          </w:p>
        </w:tc>
        <w:tc>
          <w:tcPr>
            <w:tcW w:w="1436" w:type="dxa"/>
          </w:tcPr>
          <w:p>
            <w:pPr>
              <w:pStyle w:val="TableParagraph"/>
              <w:rPr>
                <w:rFonts w:ascii="Times New Roman"/>
                <w:sz w:val="18"/>
              </w:rPr>
            </w:pPr>
          </w:p>
        </w:tc>
      </w:tr>
      <w:tr>
        <w:trPr>
          <w:trHeight w:val="883" w:hRule="atLeast"/>
        </w:trPr>
        <w:tc>
          <w:tcPr>
            <w:tcW w:w="14393" w:type="dxa"/>
            <w:gridSpan w:val="10"/>
            <w:shd w:val="clear" w:color="auto" w:fill="EFF8F9"/>
          </w:tcPr>
          <w:p>
            <w:pPr>
              <w:pStyle w:val="TableParagraph"/>
              <w:spacing w:before="27"/>
              <w:ind w:left="72" w:right="28"/>
              <w:rPr>
                <w:b/>
                <w:sz w:val="18"/>
              </w:rPr>
            </w:pPr>
            <w:r>
              <w:rPr>
                <w:b/>
                <w:sz w:val="18"/>
              </w:rPr>
              <w:t>Producto PAC 2.16: Acciones integrales de sensibilización, capacitación y formación para la promoción de la igualdad de género, la no discriminación y la corresponsabilidad</w:t>
            </w:r>
            <w:r>
              <w:rPr>
                <w:b/>
                <w:spacing w:val="-5"/>
                <w:sz w:val="18"/>
              </w:rPr>
              <w:t> </w:t>
            </w:r>
            <w:r>
              <w:rPr>
                <w:b/>
                <w:sz w:val="18"/>
              </w:rPr>
              <w:t>social</w:t>
            </w:r>
            <w:r>
              <w:rPr>
                <w:b/>
                <w:spacing w:val="-2"/>
                <w:sz w:val="18"/>
              </w:rPr>
              <w:t> </w:t>
            </w:r>
            <w:r>
              <w:rPr>
                <w:b/>
                <w:sz w:val="18"/>
              </w:rPr>
              <w:t>de</w:t>
            </w:r>
            <w:r>
              <w:rPr>
                <w:b/>
                <w:spacing w:val="-4"/>
                <w:sz w:val="18"/>
              </w:rPr>
              <w:t> </w:t>
            </w:r>
            <w:r>
              <w:rPr>
                <w:b/>
                <w:sz w:val="18"/>
              </w:rPr>
              <w:t>los cuidados,</w:t>
            </w:r>
            <w:r>
              <w:rPr>
                <w:b/>
                <w:spacing w:val="-2"/>
                <w:sz w:val="18"/>
              </w:rPr>
              <w:t> </w:t>
            </w:r>
            <w:r>
              <w:rPr>
                <w:b/>
                <w:sz w:val="18"/>
              </w:rPr>
              <w:t>dirigidas al</w:t>
            </w:r>
            <w:r>
              <w:rPr>
                <w:b/>
                <w:spacing w:val="-2"/>
                <w:sz w:val="18"/>
              </w:rPr>
              <w:t> </w:t>
            </w:r>
            <w:r>
              <w:rPr>
                <w:b/>
                <w:sz w:val="18"/>
              </w:rPr>
              <w:t>personal del IMAS</w:t>
            </w:r>
            <w:r>
              <w:rPr>
                <w:b/>
                <w:spacing w:val="-5"/>
                <w:sz w:val="18"/>
              </w:rPr>
              <w:t> </w:t>
            </w:r>
            <w:r>
              <w:rPr>
                <w:b/>
                <w:sz w:val="18"/>
              </w:rPr>
              <w:t>y a</w:t>
            </w:r>
            <w:r>
              <w:rPr>
                <w:b/>
                <w:spacing w:val="-9"/>
                <w:sz w:val="18"/>
              </w:rPr>
              <w:t> </w:t>
            </w:r>
            <w:r>
              <w:rPr>
                <w:b/>
                <w:sz w:val="18"/>
              </w:rPr>
              <w:t>la ciudadanía,</w:t>
            </w:r>
            <w:r>
              <w:rPr>
                <w:b/>
                <w:spacing w:val="-2"/>
                <w:sz w:val="18"/>
              </w:rPr>
              <w:t> </w:t>
            </w:r>
            <w:r>
              <w:rPr>
                <w:b/>
                <w:sz w:val="18"/>
              </w:rPr>
              <w:t>orientadas</w:t>
            </w:r>
            <w:r>
              <w:rPr>
                <w:b/>
                <w:spacing w:val="-4"/>
                <w:sz w:val="18"/>
              </w:rPr>
              <w:t> </w:t>
            </w:r>
            <w:r>
              <w:rPr>
                <w:b/>
                <w:sz w:val="18"/>
              </w:rPr>
              <w:t>a prevenir</w:t>
            </w:r>
            <w:r>
              <w:rPr>
                <w:b/>
                <w:spacing w:val="-7"/>
                <w:sz w:val="18"/>
              </w:rPr>
              <w:t> </w:t>
            </w:r>
            <w:r>
              <w:rPr>
                <w:b/>
                <w:sz w:val="18"/>
              </w:rPr>
              <w:t>todas</w:t>
            </w:r>
            <w:r>
              <w:rPr>
                <w:b/>
                <w:spacing w:val="-4"/>
                <w:sz w:val="18"/>
              </w:rPr>
              <w:t> </w:t>
            </w:r>
            <w:r>
              <w:rPr>
                <w:b/>
                <w:sz w:val="18"/>
              </w:rPr>
              <w:t>las</w:t>
            </w:r>
            <w:r>
              <w:rPr>
                <w:b/>
                <w:spacing w:val="-9"/>
                <w:sz w:val="18"/>
              </w:rPr>
              <w:t> </w:t>
            </w:r>
            <w:r>
              <w:rPr>
                <w:b/>
                <w:sz w:val="18"/>
              </w:rPr>
              <w:t>formas</w:t>
            </w:r>
            <w:r>
              <w:rPr>
                <w:b/>
                <w:spacing w:val="-4"/>
                <w:sz w:val="18"/>
              </w:rPr>
              <w:t> </w:t>
            </w:r>
            <w:r>
              <w:rPr>
                <w:b/>
                <w:sz w:val="18"/>
              </w:rPr>
              <w:t>de</w:t>
            </w:r>
            <w:r>
              <w:rPr>
                <w:b/>
                <w:spacing w:val="-4"/>
                <w:sz w:val="18"/>
              </w:rPr>
              <w:t> </w:t>
            </w:r>
            <w:r>
              <w:rPr>
                <w:b/>
                <w:sz w:val="18"/>
              </w:rPr>
              <w:t>violencia</w:t>
            </w:r>
            <w:r>
              <w:rPr>
                <w:b/>
                <w:spacing w:val="-4"/>
                <w:sz w:val="18"/>
              </w:rPr>
              <w:t> </w:t>
            </w:r>
            <w:r>
              <w:rPr>
                <w:b/>
                <w:sz w:val="18"/>
              </w:rPr>
              <w:t>y discriminación,</w:t>
            </w:r>
            <w:r>
              <w:rPr>
                <w:b/>
                <w:spacing w:val="-2"/>
                <w:sz w:val="18"/>
              </w:rPr>
              <w:t> </w:t>
            </w:r>
            <w:r>
              <w:rPr>
                <w:b/>
                <w:sz w:val="18"/>
              </w:rPr>
              <w:t>y</w:t>
            </w:r>
            <w:r>
              <w:rPr>
                <w:b/>
                <w:spacing w:val="-4"/>
                <w:sz w:val="18"/>
              </w:rPr>
              <w:t> </w:t>
            </w:r>
            <w:r>
              <w:rPr>
                <w:b/>
                <w:sz w:val="18"/>
              </w:rPr>
              <w:t>a fortalecer entornos laborales inclusivos y respetuosos.</w:t>
            </w:r>
          </w:p>
          <w:p>
            <w:pPr>
              <w:pStyle w:val="TableParagraph"/>
              <w:spacing w:line="206" w:lineRule="exact"/>
              <w:ind w:left="72"/>
              <w:rPr>
                <w:b/>
                <w:sz w:val="18"/>
              </w:rPr>
            </w:pPr>
            <w:r>
              <w:rPr>
                <w:b/>
                <w:spacing w:val="-2"/>
                <w:sz w:val="18"/>
              </w:rPr>
              <w:t>(PIEG/PLANOVI/PIGI)</w:t>
            </w:r>
          </w:p>
        </w:tc>
      </w:tr>
      <w:tr>
        <w:trPr>
          <w:trHeight w:val="1531" w:hRule="atLeast"/>
        </w:trPr>
        <w:tc>
          <w:tcPr>
            <w:tcW w:w="2593" w:type="dxa"/>
          </w:tcPr>
          <w:p>
            <w:pPr>
              <w:pStyle w:val="TableParagraph"/>
              <w:spacing w:before="42"/>
              <w:ind w:left="72" w:right="62"/>
              <w:rPr>
                <w:sz w:val="18"/>
              </w:rPr>
            </w:pPr>
            <w:r>
              <w:rPr>
                <w:b/>
                <w:sz w:val="18"/>
              </w:rPr>
              <w:t>Producto PAC 2.16.1</w:t>
            </w:r>
            <w:r>
              <w:rPr>
                <w:sz w:val="18"/>
              </w:rPr>
              <w:t>:</w:t>
            </w:r>
            <w:r>
              <w:rPr>
                <w:spacing w:val="40"/>
                <w:sz w:val="18"/>
              </w:rPr>
              <w:t> </w:t>
            </w:r>
            <w:r>
              <w:rPr>
                <w:sz w:val="18"/>
              </w:rPr>
              <w:t>Impartir la cantidad programada de cursos y capacitaciones</w:t>
            </w:r>
            <w:r>
              <w:rPr>
                <w:spacing w:val="-8"/>
                <w:sz w:val="18"/>
              </w:rPr>
              <w:t> </w:t>
            </w:r>
            <w:r>
              <w:rPr>
                <w:sz w:val="18"/>
              </w:rPr>
              <w:t>sobre</w:t>
            </w:r>
            <w:r>
              <w:rPr>
                <w:spacing w:val="-5"/>
                <w:sz w:val="18"/>
              </w:rPr>
              <w:t> </w:t>
            </w:r>
            <w:r>
              <w:rPr>
                <w:sz w:val="18"/>
              </w:rPr>
              <w:t>igualdad de</w:t>
            </w:r>
            <w:r>
              <w:rPr>
                <w:spacing w:val="-9"/>
                <w:sz w:val="18"/>
              </w:rPr>
              <w:t> </w:t>
            </w:r>
            <w:r>
              <w:rPr>
                <w:sz w:val="18"/>
              </w:rPr>
              <w:t>género,</w:t>
            </w:r>
            <w:r>
              <w:rPr>
                <w:spacing w:val="-7"/>
                <w:sz w:val="18"/>
              </w:rPr>
              <w:t> </w:t>
            </w:r>
            <w:r>
              <w:rPr>
                <w:sz w:val="18"/>
              </w:rPr>
              <w:t>no</w:t>
            </w:r>
            <w:r>
              <w:rPr>
                <w:spacing w:val="-9"/>
                <w:sz w:val="18"/>
              </w:rPr>
              <w:t> </w:t>
            </w:r>
            <w:r>
              <w:rPr>
                <w:sz w:val="18"/>
              </w:rPr>
              <w:t>discriminación</w:t>
            </w:r>
            <w:r>
              <w:rPr>
                <w:spacing w:val="-9"/>
                <w:sz w:val="18"/>
              </w:rPr>
              <w:t> </w:t>
            </w:r>
            <w:r>
              <w:rPr>
                <w:sz w:val="18"/>
              </w:rPr>
              <w:t>y corresponsabilidad social de los cuidados.</w:t>
            </w:r>
          </w:p>
        </w:tc>
        <w:tc>
          <w:tcPr>
            <w:tcW w:w="1426" w:type="dxa"/>
          </w:tcPr>
          <w:p>
            <w:pPr>
              <w:pStyle w:val="TableParagraph"/>
              <w:rPr>
                <w:b/>
                <w:sz w:val="18"/>
              </w:rPr>
            </w:pPr>
          </w:p>
          <w:p>
            <w:pPr>
              <w:pStyle w:val="TableParagraph"/>
              <w:spacing w:before="141"/>
              <w:rPr>
                <w:b/>
                <w:sz w:val="18"/>
              </w:rPr>
            </w:pPr>
          </w:p>
          <w:p>
            <w:pPr>
              <w:pStyle w:val="TableParagraph"/>
              <w:spacing w:line="244" w:lineRule="auto"/>
              <w:ind w:left="71" w:right="24"/>
              <w:rPr>
                <w:sz w:val="18"/>
              </w:rPr>
            </w:pPr>
            <w:r>
              <w:rPr>
                <w:sz w:val="18"/>
              </w:rPr>
              <w:t>Cantidad</w:t>
            </w:r>
            <w:r>
              <w:rPr>
                <w:spacing w:val="-13"/>
                <w:sz w:val="18"/>
              </w:rPr>
              <w:t> </w:t>
            </w:r>
            <w:r>
              <w:rPr>
                <w:sz w:val="18"/>
              </w:rPr>
              <w:t>de </w:t>
            </w:r>
            <w:r>
              <w:rPr>
                <w:spacing w:val="-2"/>
                <w:sz w:val="18"/>
              </w:rPr>
              <w:t>cursos</w:t>
            </w:r>
          </w:p>
        </w:tc>
        <w:tc>
          <w:tcPr>
            <w:tcW w:w="1181" w:type="dxa"/>
          </w:tcPr>
          <w:p>
            <w:pPr>
              <w:pStyle w:val="TableParagraph"/>
              <w:rPr>
                <w:b/>
                <w:sz w:val="18"/>
              </w:rPr>
            </w:pPr>
          </w:p>
          <w:p>
            <w:pPr>
              <w:pStyle w:val="TableParagraph"/>
              <w:rPr>
                <w:b/>
                <w:sz w:val="18"/>
              </w:rPr>
            </w:pPr>
          </w:p>
          <w:p>
            <w:pPr>
              <w:pStyle w:val="TableParagraph"/>
              <w:spacing w:before="40"/>
              <w:rPr>
                <w:b/>
                <w:sz w:val="18"/>
              </w:rPr>
            </w:pPr>
          </w:p>
          <w:p>
            <w:pPr>
              <w:pStyle w:val="TableParagraph"/>
              <w:ind w:right="59"/>
              <w:jc w:val="right"/>
              <w:rPr>
                <w:sz w:val="18"/>
              </w:rPr>
            </w:pPr>
            <w:r>
              <w:rPr>
                <w:spacing w:val="-10"/>
                <w:sz w:val="18"/>
              </w:rPr>
              <w:t>5</w:t>
            </w: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40"/>
              <w:rPr>
                <w:b/>
                <w:sz w:val="18"/>
              </w:rPr>
            </w:pPr>
          </w:p>
          <w:p>
            <w:pPr>
              <w:pStyle w:val="TableParagraph"/>
              <w:ind w:right="59"/>
              <w:jc w:val="right"/>
              <w:rPr>
                <w:sz w:val="18"/>
              </w:rPr>
            </w:pPr>
            <w:r>
              <w:rPr>
                <w:spacing w:val="-5"/>
                <w:sz w:val="18"/>
              </w:rPr>
              <w:t>15</w:t>
            </w: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40"/>
              <w:rPr>
                <w:b/>
                <w:sz w:val="18"/>
              </w:rPr>
            </w:pPr>
          </w:p>
          <w:p>
            <w:pPr>
              <w:pStyle w:val="TableParagraph"/>
              <w:ind w:right="54"/>
              <w:jc w:val="right"/>
              <w:rPr>
                <w:sz w:val="18"/>
              </w:rPr>
            </w:pPr>
            <w:r>
              <w:rPr>
                <w:spacing w:val="-5"/>
                <w:sz w:val="18"/>
              </w:rPr>
              <w:t>20</w:t>
            </w: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40"/>
              <w:rPr>
                <w:b/>
                <w:sz w:val="18"/>
              </w:rPr>
            </w:pPr>
          </w:p>
          <w:p>
            <w:pPr>
              <w:pStyle w:val="TableParagraph"/>
              <w:ind w:right="53"/>
              <w:jc w:val="right"/>
              <w:rPr>
                <w:sz w:val="18"/>
              </w:rPr>
            </w:pPr>
            <w:r>
              <w:rPr>
                <w:spacing w:val="-5"/>
                <w:sz w:val="18"/>
              </w:rPr>
              <w:t>22</w:t>
            </w:r>
          </w:p>
        </w:tc>
        <w:tc>
          <w:tcPr>
            <w:tcW w:w="1436" w:type="dxa"/>
          </w:tcPr>
          <w:p>
            <w:pPr>
              <w:pStyle w:val="TableParagraph"/>
              <w:rPr>
                <w:rFonts w:ascii="Times New Roman"/>
                <w:sz w:val="18"/>
              </w:rPr>
            </w:pPr>
          </w:p>
        </w:tc>
      </w:tr>
      <w:tr>
        <w:trPr>
          <w:trHeight w:val="691" w:hRule="atLeast"/>
        </w:trPr>
        <w:tc>
          <w:tcPr>
            <w:tcW w:w="14393" w:type="dxa"/>
            <w:gridSpan w:val="10"/>
            <w:shd w:val="clear" w:color="auto" w:fill="EFF8F9"/>
          </w:tcPr>
          <w:p>
            <w:pPr>
              <w:pStyle w:val="TableParagraph"/>
              <w:spacing w:before="138"/>
              <w:ind w:left="72" w:right="28"/>
              <w:rPr>
                <w:b/>
                <w:sz w:val="18"/>
              </w:rPr>
            </w:pPr>
            <w:r>
              <w:rPr>
                <w:b/>
                <w:sz w:val="18"/>
              </w:rPr>
              <w:t>Producto</w:t>
            </w:r>
            <w:r>
              <w:rPr>
                <w:b/>
                <w:spacing w:val="-3"/>
                <w:sz w:val="18"/>
              </w:rPr>
              <w:t> </w:t>
            </w:r>
            <w:r>
              <w:rPr>
                <w:b/>
                <w:sz w:val="18"/>
              </w:rPr>
              <w:t>PAC</w:t>
            </w:r>
            <w:r>
              <w:rPr>
                <w:b/>
                <w:spacing w:val="-4"/>
                <w:sz w:val="18"/>
              </w:rPr>
              <w:t> </w:t>
            </w:r>
            <w:r>
              <w:rPr>
                <w:b/>
                <w:sz w:val="18"/>
              </w:rPr>
              <w:t>2.17: Implementación</w:t>
            </w:r>
            <w:r>
              <w:rPr>
                <w:b/>
                <w:spacing w:val="-3"/>
                <w:sz w:val="18"/>
              </w:rPr>
              <w:t> </w:t>
            </w:r>
            <w:r>
              <w:rPr>
                <w:b/>
                <w:sz w:val="18"/>
              </w:rPr>
              <w:t>de</w:t>
            </w:r>
            <w:r>
              <w:rPr>
                <w:b/>
                <w:spacing w:val="-2"/>
                <w:sz w:val="18"/>
              </w:rPr>
              <w:t> </w:t>
            </w:r>
            <w:r>
              <w:rPr>
                <w:b/>
                <w:sz w:val="18"/>
              </w:rPr>
              <w:t>acciones</w:t>
            </w:r>
            <w:r>
              <w:rPr>
                <w:b/>
                <w:spacing w:val="-2"/>
                <w:sz w:val="18"/>
              </w:rPr>
              <w:t> </w:t>
            </w:r>
            <w:r>
              <w:rPr>
                <w:b/>
                <w:sz w:val="18"/>
              </w:rPr>
              <w:t>para</w:t>
            </w:r>
            <w:r>
              <w:rPr>
                <w:b/>
                <w:spacing w:val="-7"/>
                <w:sz w:val="18"/>
              </w:rPr>
              <w:t> </w:t>
            </w:r>
            <w:r>
              <w:rPr>
                <w:b/>
                <w:sz w:val="18"/>
              </w:rPr>
              <w:t>la</w:t>
            </w:r>
            <w:r>
              <w:rPr>
                <w:b/>
                <w:spacing w:val="-2"/>
                <w:sz w:val="18"/>
              </w:rPr>
              <w:t> </w:t>
            </w:r>
            <w:r>
              <w:rPr>
                <w:b/>
                <w:sz w:val="18"/>
              </w:rPr>
              <w:t>identificación, valoración</w:t>
            </w:r>
            <w:r>
              <w:rPr>
                <w:b/>
                <w:spacing w:val="-3"/>
                <w:sz w:val="18"/>
              </w:rPr>
              <w:t> </w:t>
            </w:r>
            <w:r>
              <w:rPr>
                <w:b/>
                <w:sz w:val="18"/>
              </w:rPr>
              <w:t>y</w:t>
            </w:r>
            <w:r>
              <w:rPr>
                <w:b/>
                <w:spacing w:val="-2"/>
                <w:sz w:val="18"/>
              </w:rPr>
              <w:t> </w:t>
            </w:r>
            <w:r>
              <w:rPr>
                <w:b/>
                <w:sz w:val="18"/>
              </w:rPr>
              <w:t>abordaje</w:t>
            </w:r>
            <w:r>
              <w:rPr>
                <w:b/>
                <w:spacing w:val="-2"/>
                <w:sz w:val="18"/>
              </w:rPr>
              <w:t> </w:t>
            </w:r>
            <w:r>
              <w:rPr>
                <w:b/>
                <w:sz w:val="18"/>
              </w:rPr>
              <w:t>de</w:t>
            </w:r>
            <w:r>
              <w:rPr>
                <w:b/>
                <w:spacing w:val="-2"/>
                <w:sz w:val="18"/>
              </w:rPr>
              <w:t> </w:t>
            </w:r>
            <w:r>
              <w:rPr>
                <w:b/>
                <w:sz w:val="18"/>
              </w:rPr>
              <w:t>riesgos</w:t>
            </w:r>
            <w:r>
              <w:rPr>
                <w:b/>
                <w:spacing w:val="-7"/>
                <w:sz w:val="18"/>
              </w:rPr>
              <w:t> </w:t>
            </w:r>
            <w:r>
              <w:rPr>
                <w:b/>
                <w:sz w:val="18"/>
              </w:rPr>
              <w:t>laborales</w:t>
            </w:r>
            <w:r>
              <w:rPr>
                <w:b/>
                <w:spacing w:val="-7"/>
                <w:sz w:val="18"/>
              </w:rPr>
              <w:t> </w:t>
            </w:r>
            <w:r>
              <w:rPr>
                <w:b/>
                <w:sz w:val="18"/>
              </w:rPr>
              <w:t>con enfoque de</w:t>
            </w:r>
            <w:r>
              <w:rPr>
                <w:b/>
                <w:spacing w:val="-2"/>
                <w:sz w:val="18"/>
              </w:rPr>
              <w:t> </w:t>
            </w:r>
            <w:r>
              <w:rPr>
                <w:b/>
                <w:sz w:val="18"/>
              </w:rPr>
              <w:t>género y</w:t>
            </w:r>
            <w:r>
              <w:rPr>
                <w:b/>
                <w:spacing w:val="-2"/>
                <w:sz w:val="18"/>
              </w:rPr>
              <w:t> </w:t>
            </w:r>
            <w:r>
              <w:rPr>
                <w:b/>
                <w:sz w:val="18"/>
              </w:rPr>
              <w:t>diversidad, mediante</w:t>
            </w:r>
            <w:r>
              <w:rPr>
                <w:b/>
                <w:spacing w:val="-2"/>
                <w:sz w:val="18"/>
              </w:rPr>
              <w:t> </w:t>
            </w:r>
            <w:r>
              <w:rPr>
                <w:b/>
                <w:sz w:val="18"/>
              </w:rPr>
              <w:t>la aplicación de estudios en los puestos de trabajo y el desarrollo de medidas preventivas en materia de salud ocupacional. (PIGI IMAS)</w:t>
            </w:r>
          </w:p>
        </w:tc>
      </w:tr>
      <w:tr>
        <w:trPr>
          <w:trHeight w:val="1862" w:hRule="atLeast"/>
        </w:trPr>
        <w:tc>
          <w:tcPr>
            <w:tcW w:w="2593" w:type="dxa"/>
          </w:tcPr>
          <w:p>
            <w:pPr>
              <w:pStyle w:val="TableParagraph"/>
              <w:ind w:left="72" w:right="126"/>
              <w:rPr>
                <w:sz w:val="18"/>
              </w:rPr>
            </w:pPr>
            <w:r>
              <w:rPr>
                <w:b/>
                <w:sz w:val="18"/>
              </w:rPr>
              <w:t>Producto PAC 2.17.1: </w:t>
            </w:r>
            <w:r>
              <w:rPr>
                <w:sz w:val="18"/>
              </w:rPr>
              <w:t>Capacitar al personal de Desarrollo Humano en el abordaje de temas relacionados a género y diversidad</w:t>
            </w:r>
            <w:r>
              <w:rPr>
                <w:spacing w:val="-10"/>
                <w:sz w:val="18"/>
              </w:rPr>
              <w:t> </w:t>
            </w:r>
            <w:r>
              <w:rPr>
                <w:sz w:val="18"/>
              </w:rPr>
              <w:t>en</w:t>
            </w:r>
            <w:r>
              <w:rPr>
                <w:spacing w:val="-10"/>
                <w:sz w:val="18"/>
              </w:rPr>
              <w:t> </w:t>
            </w:r>
            <w:r>
              <w:rPr>
                <w:sz w:val="18"/>
              </w:rPr>
              <w:t>la</w:t>
            </w:r>
            <w:r>
              <w:rPr>
                <w:spacing w:val="-7"/>
                <w:sz w:val="18"/>
              </w:rPr>
              <w:t> </w:t>
            </w:r>
            <w:r>
              <w:rPr>
                <w:sz w:val="18"/>
              </w:rPr>
              <w:t>evaluación</w:t>
            </w:r>
            <w:r>
              <w:rPr>
                <w:spacing w:val="-10"/>
                <w:sz w:val="18"/>
              </w:rPr>
              <w:t> </w:t>
            </w:r>
            <w:r>
              <w:rPr>
                <w:sz w:val="18"/>
              </w:rPr>
              <w:t>y de los riesgos para la salud ocupacional, incluyendo los</w:t>
            </w:r>
          </w:p>
          <w:p>
            <w:pPr>
              <w:pStyle w:val="TableParagraph"/>
              <w:spacing w:line="187" w:lineRule="exact"/>
              <w:ind w:left="72"/>
              <w:rPr>
                <w:sz w:val="18"/>
              </w:rPr>
            </w:pPr>
            <w:r>
              <w:rPr>
                <w:sz w:val="18"/>
              </w:rPr>
              <w:t>factores</w:t>
            </w:r>
            <w:r>
              <w:rPr>
                <w:spacing w:val="-1"/>
                <w:sz w:val="18"/>
              </w:rPr>
              <w:t> </w:t>
            </w:r>
            <w:r>
              <w:rPr>
                <w:sz w:val="18"/>
              </w:rPr>
              <w:t>de</w:t>
            </w:r>
            <w:r>
              <w:rPr>
                <w:spacing w:val="-6"/>
                <w:sz w:val="18"/>
              </w:rPr>
              <w:t> </w:t>
            </w:r>
            <w:r>
              <w:rPr>
                <w:sz w:val="18"/>
              </w:rPr>
              <w:t>riesgo</w:t>
            </w:r>
            <w:r>
              <w:rPr>
                <w:spacing w:val="-5"/>
                <w:sz w:val="18"/>
              </w:rPr>
              <w:t> </w:t>
            </w:r>
            <w:r>
              <w:rPr>
                <w:spacing w:val="-2"/>
                <w:sz w:val="18"/>
              </w:rPr>
              <w:t>psicosocial.</w:t>
            </w:r>
          </w:p>
        </w:tc>
        <w:tc>
          <w:tcPr>
            <w:tcW w:w="1426" w:type="dxa"/>
          </w:tcPr>
          <w:p>
            <w:pPr>
              <w:pStyle w:val="TableParagraph"/>
              <w:spacing w:before="205"/>
              <w:ind w:left="71" w:right="187"/>
              <w:rPr>
                <w:sz w:val="18"/>
              </w:rPr>
            </w:pPr>
            <w:r>
              <w:rPr>
                <w:sz w:val="18"/>
              </w:rPr>
              <w:t>Porcentaje</w:t>
            </w:r>
            <w:r>
              <w:rPr>
                <w:spacing w:val="-13"/>
                <w:sz w:val="18"/>
              </w:rPr>
              <w:t> </w:t>
            </w:r>
            <w:r>
              <w:rPr>
                <w:sz w:val="18"/>
              </w:rPr>
              <w:t>del proceso de </w:t>
            </w:r>
            <w:r>
              <w:rPr>
                <w:spacing w:val="-2"/>
                <w:sz w:val="18"/>
              </w:rPr>
              <w:t>capacitación </w:t>
            </w:r>
            <w:r>
              <w:rPr>
                <w:sz w:val="18"/>
              </w:rPr>
              <w:t>realizada al personal de </w:t>
            </w:r>
            <w:r>
              <w:rPr>
                <w:spacing w:val="-2"/>
                <w:sz w:val="18"/>
              </w:rPr>
              <w:t>Desarrollo Humanos</w:t>
            </w:r>
          </w:p>
        </w:tc>
        <w:tc>
          <w:tcPr>
            <w:tcW w:w="1181" w:type="dxa"/>
          </w:tcPr>
          <w:p>
            <w:pPr>
              <w:pStyle w:val="TableParagraph"/>
              <w:rPr>
                <w:b/>
                <w:sz w:val="18"/>
              </w:rPr>
            </w:pPr>
          </w:p>
          <w:p>
            <w:pPr>
              <w:pStyle w:val="TableParagraph"/>
              <w:rPr>
                <w:b/>
                <w:sz w:val="18"/>
              </w:rPr>
            </w:pPr>
          </w:p>
          <w:p>
            <w:pPr>
              <w:pStyle w:val="TableParagraph"/>
              <w:spacing w:before="203"/>
              <w:rPr>
                <w:b/>
                <w:sz w:val="18"/>
              </w:rPr>
            </w:pPr>
          </w:p>
          <w:p>
            <w:pPr>
              <w:pStyle w:val="TableParagraph"/>
              <w:ind w:right="57"/>
              <w:jc w:val="right"/>
              <w:rPr>
                <w:sz w:val="18"/>
              </w:rPr>
            </w:pPr>
            <w:r>
              <w:rPr>
                <w:spacing w:val="-4"/>
                <w:sz w:val="18"/>
              </w:rPr>
              <w:t>100%</w:t>
            </w: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3"/>
        <w:gridCol w:w="1426"/>
        <w:gridCol w:w="1181"/>
        <w:gridCol w:w="1334"/>
        <w:gridCol w:w="1181"/>
        <w:gridCol w:w="1392"/>
        <w:gridCol w:w="1181"/>
        <w:gridCol w:w="1488"/>
        <w:gridCol w:w="1181"/>
        <w:gridCol w:w="1436"/>
      </w:tblGrid>
      <w:tr>
        <w:trPr>
          <w:trHeight w:val="302" w:hRule="atLeast"/>
        </w:trPr>
        <w:tc>
          <w:tcPr>
            <w:tcW w:w="2593" w:type="dxa"/>
            <w:vMerge w:val="restart"/>
            <w:shd w:val="clear" w:color="auto" w:fill="D7D7D7"/>
          </w:tcPr>
          <w:p>
            <w:pPr>
              <w:pStyle w:val="TableParagraph"/>
              <w:rPr>
                <w:b/>
                <w:sz w:val="18"/>
              </w:rPr>
            </w:pPr>
          </w:p>
          <w:p>
            <w:pPr>
              <w:pStyle w:val="TableParagraph"/>
              <w:spacing w:before="141"/>
              <w:rPr>
                <w:b/>
                <w:sz w:val="18"/>
              </w:rPr>
            </w:pPr>
          </w:p>
          <w:p>
            <w:pPr>
              <w:pStyle w:val="TableParagraph"/>
              <w:ind w:left="326"/>
              <w:rPr>
                <w:b/>
                <w:sz w:val="18"/>
              </w:rPr>
            </w:pPr>
            <w:r>
              <w:rPr>
                <w:b/>
                <w:sz w:val="18"/>
              </w:rPr>
              <w:t>Objetivos</w:t>
            </w:r>
            <w:r>
              <w:rPr>
                <w:b/>
                <w:spacing w:val="-5"/>
                <w:sz w:val="18"/>
              </w:rPr>
              <w:t> </w:t>
            </w:r>
            <w:r>
              <w:rPr>
                <w:b/>
                <w:sz w:val="18"/>
              </w:rPr>
              <w:t>/</w:t>
            </w:r>
            <w:r>
              <w:rPr>
                <w:b/>
                <w:spacing w:val="-2"/>
                <w:sz w:val="18"/>
              </w:rPr>
              <w:t> Resultados</w:t>
            </w:r>
          </w:p>
        </w:tc>
        <w:tc>
          <w:tcPr>
            <w:tcW w:w="1426" w:type="dxa"/>
            <w:vMerge w:val="restart"/>
            <w:shd w:val="clear" w:color="auto" w:fill="D7D7D7"/>
          </w:tcPr>
          <w:p>
            <w:pPr>
              <w:pStyle w:val="TableParagraph"/>
              <w:rPr>
                <w:b/>
                <w:sz w:val="18"/>
              </w:rPr>
            </w:pPr>
          </w:p>
          <w:p>
            <w:pPr>
              <w:pStyle w:val="TableParagraph"/>
              <w:spacing w:before="141"/>
              <w:rPr>
                <w:b/>
                <w:sz w:val="18"/>
              </w:rPr>
            </w:pPr>
          </w:p>
          <w:p>
            <w:pPr>
              <w:pStyle w:val="TableParagraph"/>
              <w:ind w:left="71"/>
              <w:rPr>
                <w:b/>
                <w:sz w:val="18"/>
              </w:rPr>
            </w:pPr>
            <w:r>
              <w:rPr>
                <w:b/>
                <w:spacing w:val="-2"/>
                <w:sz w:val="18"/>
              </w:rPr>
              <w:t>Indicador</w:t>
            </w:r>
          </w:p>
        </w:tc>
        <w:tc>
          <w:tcPr>
            <w:tcW w:w="2515" w:type="dxa"/>
            <w:gridSpan w:val="2"/>
            <w:shd w:val="clear" w:color="auto" w:fill="D7D7D7"/>
          </w:tcPr>
          <w:p>
            <w:pPr>
              <w:pStyle w:val="TableParagraph"/>
              <w:spacing w:before="47"/>
              <w:ind w:left="791"/>
              <w:rPr>
                <w:b/>
                <w:sz w:val="18"/>
              </w:rPr>
            </w:pPr>
            <w:r>
              <w:rPr>
                <w:b/>
                <w:sz w:val="18"/>
              </w:rPr>
              <w:t>I</w:t>
            </w:r>
            <w:r>
              <w:rPr>
                <w:b/>
                <w:spacing w:val="-1"/>
                <w:sz w:val="18"/>
              </w:rPr>
              <w:t> </w:t>
            </w:r>
            <w:r>
              <w:rPr>
                <w:b/>
                <w:spacing w:val="-2"/>
                <w:sz w:val="18"/>
              </w:rPr>
              <w:t>Trimestre</w:t>
            </w:r>
          </w:p>
        </w:tc>
        <w:tc>
          <w:tcPr>
            <w:tcW w:w="2573" w:type="dxa"/>
            <w:gridSpan w:val="2"/>
            <w:shd w:val="clear" w:color="auto" w:fill="D7D7D7"/>
          </w:tcPr>
          <w:p>
            <w:pPr>
              <w:pStyle w:val="TableParagraph"/>
              <w:spacing w:before="47"/>
              <w:ind w:left="797"/>
              <w:rPr>
                <w:b/>
                <w:sz w:val="18"/>
              </w:rPr>
            </w:pPr>
            <w:r>
              <w:rPr>
                <w:b/>
                <w:sz w:val="18"/>
              </w:rPr>
              <w:t>II</w:t>
            </w:r>
            <w:r>
              <w:rPr>
                <w:b/>
                <w:spacing w:val="-3"/>
                <w:sz w:val="18"/>
              </w:rPr>
              <w:t> </w:t>
            </w:r>
            <w:r>
              <w:rPr>
                <w:b/>
                <w:spacing w:val="-2"/>
                <w:sz w:val="18"/>
              </w:rPr>
              <w:t>Trimestre</w:t>
            </w:r>
          </w:p>
        </w:tc>
        <w:tc>
          <w:tcPr>
            <w:tcW w:w="2669" w:type="dxa"/>
            <w:gridSpan w:val="2"/>
            <w:shd w:val="clear" w:color="auto" w:fill="D7D7D7"/>
          </w:tcPr>
          <w:p>
            <w:pPr>
              <w:pStyle w:val="TableParagraph"/>
              <w:spacing w:before="47"/>
              <w:ind w:left="822"/>
              <w:rPr>
                <w:b/>
                <w:sz w:val="18"/>
              </w:rPr>
            </w:pPr>
            <w:r>
              <w:rPr>
                <w:b/>
                <w:sz w:val="18"/>
              </w:rPr>
              <w:t>III</w:t>
            </w:r>
            <w:r>
              <w:rPr>
                <w:b/>
                <w:spacing w:val="-2"/>
                <w:sz w:val="18"/>
              </w:rPr>
              <w:t> Trimestre</w:t>
            </w:r>
          </w:p>
        </w:tc>
        <w:tc>
          <w:tcPr>
            <w:tcW w:w="2617" w:type="dxa"/>
            <w:gridSpan w:val="2"/>
            <w:shd w:val="clear" w:color="auto" w:fill="D7D7D7"/>
          </w:tcPr>
          <w:p>
            <w:pPr>
              <w:pStyle w:val="TableParagraph"/>
              <w:spacing w:before="47"/>
              <w:ind w:left="789"/>
              <w:rPr>
                <w:b/>
                <w:sz w:val="18"/>
              </w:rPr>
            </w:pPr>
            <w:r>
              <w:rPr>
                <w:b/>
                <w:sz w:val="18"/>
              </w:rPr>
              <w:t>IV</w:t>
            </w:r>
            <w:r>
              <w:rPr>
                <w:b/>
                <w:spacing w:val="-2"/>
                <w:sz w:val="18"/>
              </w:rPr>
              <w:t> Trimestre</w:t>
            </w:r>
          </w:p>
        </w:tc>
      </w:tr>
      <w:tr>
        <w:trPr>
          <w:trHeight w:val="1003" w:hRule="atLeast"/>
        </w:trPr>
        <w:tc>
          <w:tcPr>
            <w:tcW w:w="2593" w:type="dxa"/>
            <w:vMerge/>
            <w:tcBorders>
              <w:top w:val="nil"/>
            </w:tcBorders>
            <w:shd w:val="clear" w:color="auto" w:fill="D7D7D7"/>
          </w:tcPr>
          <w:p>
            <w:pPr>
              <w:rPr>
                <w:sz w:val="2"/>
                <w:szCs w:val="2"/>
              </w:rPr>
            </w:pPr>
          </w:p>
        </w:tc>
        <w:tc>
          <w:tcPr>
            <w:tcW w:w="1426" w:type="dxa"/>
            <w:vMerge/>
            <w:tcBorders>
              <w:top w:val="nil"/>
            </w:tcBorders>
            <w:shd w:val="clear" w:color="auto" w:fill="D7D7D7"/>
          </w:tcPr>
          <w:p>
            <w:pPr>
              <w:rPr>
                <w:sz w:val="2"/>
                <w:szCs w:val="2"/>
              </w:rPr>
            </w:pP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34" w:type="dxa"/>
            <w:shd w:val="clear" w:color="auto" w:fill="D7D7D7"/>
          </w:tcPr>
          <w:p>
            <w:pPr>
              <w:pStyle w:val="TableParagraph"/>
              <w:spacing w:before="190"/>
              <w:rPr>
                <w:b/>
                <w:sz w:val="18"/>
              </w:rPr>
            </w:pPr>
          </w:p>
          <w:p>
            <w:pPr>
              <w:pStyle w:val="TableParagraph"/>
              <w:ind w:left="6"/>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92" w:type="dxa"/>
            <w:shd w:val="clear" w:color="auto" w:fill="D7D7D7"/>
          </w:tcPr>
          <w:p>
            <w:pPr>
              <w:pStyle w:val="TableParagraph"/>
              <w:spacing w:before="190"/>
              <w:rPr>
                <w:b/>
                <w:sz w:val="18"/>
              </w:rPr>
            </w:pPr>
          </w:p>
          <w:p>
            <w:pPr>
              <w:pStyle w:val="TableParagraph"/>
              <w:ind w:left="7"/>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3" w:firstLine="312"/>
              <w:rPr>
                <w:b/>
                <w:sz w:val="18"/>
              </w:rPr>
            </w:pPr>
            <w:r>
              <w:rPr>
                <w:b/>
                <w:spacing w:val="-4"/>
                <w:sz w:val="18"/>
              </w:rPr>
              <w:t>Meta </w:t>
            </w:r>
            <w:r>
              <w:rPr>
                <w:b/>
                <w:spacing w:val="-2"/>
                <w:sz w:val="18"/>
              </w:rPr>
              <w:t>programada</w:t>
            </w:r>
          </w:p>
        </w:tc>
        <w:tc>
          <w:tcPr>
            <w:tcW w:w="1488" w:type="dxa"/>
            <w:shd w:val="clear" w:color="auto" w:fill="D7D7D7"/>
          </w:tcPr>
          <w:p>
            <w:pPr>
              <w:pStyle w:val="TableParagraph"/>
              <w:spacing w:before="190"/>
              <w:rPr>
                <w:b/>
                <w:sz w:val="18"/>
              </w:rPr>
            </w:pPr>
          </w:p>
          <w:p>
            <w:pPr>
              <w:pStyle w:val="TableParagraph"/>
              <w:ind w:left="9"/>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4" w:firstLine="312"/>
              <w:rPr>
                <w:b/>
                <w:sz w:val="18"/>
              </w:rPr>
            </w:pPr>
            <w:r>
              <w:rPr>
                <w:b/>
                <w:spacing w:val="-4"/>
                <w:sz w:val="18"/>
              </w:rPr>
              <w:t>Meta </w:t>
            </w:r>
            <w:r>
              <w:rPr>
                <w:b/>
                <w:spacing w:val="-2"/>
                <w:sz w:val="18"/>
              </w:rPr>
              <w:t>programada</w:t>
            </w:r>
          </w:p>
        </w:tc>
        <w:tc>
          <w:tcPr>
            <w:tcW w:w="1436" w:type="dxa"/>
            <w:shd w:val="clear" w:color="auto" w:fill="D7D7D7"/>
          </w:tcPr>
          <w:p>
            <w:pPr>
              <w:pStyle w:val="TableParagraph"/>
              <w:spacing w:before="190"/>
              <w:rPr>
                <w:b/>
                <w:sz w:val="18"/>
              </w:rPr>
            </w:pPr>
          </w:p>
          <w:p>
            <w:pPr>
              <w:pStyle w:val="TableParagraph"/>
              <w:ind w:left="14"/>
              <w:jc w:val="center"/>
              <w:rPr>
                <w:b/>
                <w:sz w:val="18"/>
              </w:rPr>
            </w:pPr>
            <w:r>
              <w:rPr>
                <w:b/>
                <w:spacing w:val="-10"/>
                <w:sz w:val="18"/>
              </w:rPr>
              <w:t>¢</w:t>
            </w:r>
          </w:p>
        </w:tc>
      </w:tr>
      <w:tr>
        <w:trPr>
          <w:trHeight w:val="1891" w:hRule="atLeast"/>
        </w:trPr>
        <w:tc>
          <w:tcPr>
            <w:tcW w:w="2593" w:type="dxa"/>
          </w:tcPr>
          <w:p>
            <w:pPr>
              <w:pStyle w:val="TableParagraph"/>
              <w:spacing w:before="12"/>
              <w:rPr>
                <w:b/>
                <w:sz w:val="18"/>
              </w:rPr>
            </w:pPr>
          </w:p>
          <w:p>
            <w:pPr>
              <w:pStyle w:val="TableParagraph"/>
              <w:ind w:left="72" w:right="69"/>
              <w:rPr>
                <w:sz w:val="18"/>
              </w:rPr>
            </w:pPr>
            <w:r>
              <w:rPr>
                <w:sz w:val="18"/>
              </w:rPr>
              <w:t>Producto PAC 2.17.2: Implementación</w:t>
            </w:r>
            <w:r>
              <w:rPr>
                <w:spacing w:val="-13"/>
                <w:sz w:val="18"/>
              </w:rPr>
              <w:t> </w:t>
            </w:r>
            <w:r>
              <w:rPr>
                <w:sz w:val="18"/>
              </w:rPr>
              <w:t>de</w:t>
            </w:r>
            <w:r>
              <w:rPr>
                <w:spacing w:val="-12"/>
                <w:sz w:val="18"/>
              </w:rPr>
              <w:t> </w:t>
            </w:r>
            <w:r>
              <w:rPr>
                <w:sz w:val="18"/>
              </w:rPr>
              <w:t>criterios</w:t>
            </w:r>
            <w:r>
              <w:rPr>
                <w:spacing w:val="-9"/>
                <w:sz w:val="18"/>
              </w:rPr>
              <w:t> </w:t>
            </w:r>
            <w:r>
              <w:rPr>
                <w:sz w:val="18"/>
              </w:rPr>
              <w:t>de género y diversidad en la evaluación y el abordaje de</w:t>
            </w:r>
            <w:r>
              <w:rPr>
                <w:spacing w:val="40"/>
                <w:sz w:val="18"/>
              </w:rPr>
              <w:t> </w:t>
            </w:r>
            <w:r>
              <w:rPr>
                <w:sz w:val="18"/>
              </w:rPr>
              <w:t>los riesgos para la salud ocupacional, incluyendo los factores de riesgo psicosocial.</w:t>
            </w:r>
          </w:p>
        </w:tc>
        <w:tc>
          <w:tcPr>
            <w:tcW w:w="1426" w:type="dxa"/>
          </w:tcPr>
          <w:p>
            <w:pPr>
              <w:pStyle w:val="TableParagraph"/>
              <w:spacing w:before="118"/>
              <w:rPr>
                <w:b/>
                <w:sz w:val="18"/>
              </w:rPr>
            </w:pPr>
          </w:p>
          <w:p>
            <w:pPr>
              <w:pStyle w:val="TableParagraph"/>
              <w:ind w:left="71" w:right="24"/>
              <w:rPr>
                <w:sz w:val="18"/>
              </w:rPr>
            </w:pPr>
            <w:r>
              <w:rPr>
                <w:sz w:val="18"/>
              </w:rPr>
              <w:t>Porcentaje de </w:t>
            </w:r>
            <w:r>
              <w:rPr>
                <w:spacing w:val="-2"/>
                <w:sz w:val="18"/>
              </w:rPr>
              <w:t>implementación </w:t>
            </w:r>
            <w:r>
              <w:rPr>
                <w:sz w:val="18"/>
              </w:rPr>
              <w:t>de los criterios de género y </w:t>
            </w:r>
            <w:r>
              <w:rPr>
                <w:spacing w:val="-2"/>
                <w:sz w:val="18"/>
              </w:rPr>
              <w:t>diversidad implementados.</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11"/>
              <w:rPr>
                <w:b/>
                <w:sz w:val="18"/>
              </w:rPr>
            </w:pPr>
          </w:p>
          <w:p>
            <w:pPr>
              <w:pStyle w:val="TableParagraph"/>
              <w:ind w:right="50"/>
              <w:jc w:val="right"/>
              <w:rPr>
                <w:sz w:val="18"/>
              </w:rPr>
            </w:pPr>
            <w:r>
              <w:rPr>
                <w:spacing w:val="-5"/>
                <w:sz w:val="18"/>
              </w:rPr>
              <w:t>20%</w:t>
            </w:r>
          </w:p>
        </w:tc>
        <w:tc>
          <w:tcPr>
            <w:tcW w:w="1436" w:type="dxa"/>
          </w:tcPr>
          <w:p>
            <w:pPr>
              <w:pStyle w:val="TableParagraph"/>
              <w:rPr>
                <w:rFonts w:ascii="Times New Roman"/>
                <w:sz w:val="18"/>
              </w:rPr>
            </w:pPr>
          </w:p>
        </w:tc>
      </w:tr>
      <w:tr>
        <w:trPr>
          <w:trHeight w:val="705" w:hRule="atLeast"/>
        </w:trPr>
        <w:tc>
          <w:tcPr>
            <w:tcW w:w="14393" w:type="dxa"/>
            <w:gridSpan w:val="10"/>
            <w:shd w:val="clear" w:color="auto" w:fill="EFF8F9"/>
          </w:tcPr>
          <w:p>
            <w:pPr>
              <w:pStyle w:val="TableParagraph"/>
              <w:spacing w:before="143"/>
              <w:ind w:left="72" w:right="28"/>
              <w:rPr>
                <w:b/>
                <w:sz w:val="18"/>
              </w:rPr>
            </w:pPr>
            <w:r>
              <w:rPr>
                <w:b/>
                <w:sz w:val="18"/>
              </w:rPr>
              <w:t>Producto</w:t>
            </w:r>
            <w:r>
              <w:rPr>
                <w:b/>
                <w:spacing w:val="-4"/>
                <w:sz w:val="18"/>
              </w:rPr>
              <w:t> </w:t>
            </w:r>
            <w:r>
              <w:rPr>
                <w:b/>
                <w:sz w:val="18"/>
              </w:rPr>
              <w:t>PAC</w:t>
            </w:r>
            <w:r>
              <w:rPr>
                <w:b/>
                <w:spacing w:val="-5"/>
                <w:sz w:val="18"/>
              </w:rPr>
              <w:t> </w:t>
            </w:r>
            <w:r>
              <w:rPr>
                <w:b/>
                <w:sz w:val="18"/>
              </w:rPr>
              <w:t>2.18:</w:t>
            </w:r>
            <w:r>
              <w:rPr>
                <w:b/>
                <w:spacing w:val="-1"/>
                <w:sz w:val="18"/>
              </w:rPr>
              <w:t> </w:t>
            </w:r>
            <w:r>
              <w:rPr>
                <w:b/>
                <w:sz w:val="18"/>
              </w:rPr>
              <w:t>Ejecución</w:t>
            </w:r>
            <w:r>
              <w:rPr>
                <w:b/>
                <w:spacing w:val="-4"/>
                <w:sz w:val="18"/>
              </w:rPr>
              <w:t> </w:t>
            </w:r>
            <w:r>
              <w:rPr>
                <w:b/>
                <w:sz w:val="18"/>
              </w:rPr>
              <w:t>periódica</w:t>
            </w:r>
            <w:r>
              <w:rPr>
                <w:b/>
                <w:spacing w:val="-3"/>
                <w:sz w:val="18"/>
              </w:rPr>
              <w:t> </w:t>
            </w:r>
            <w:r>
              <w:rPr>
                <w:b/>
                <w:sz w:val="18"/>
              </w:rPr>
              <w:t>de</w:t>
            </w:r>
            <w:r>
              <w:rPr>
                <w:b/>
                <w:spacing w:val="-3"/>
                <w:sz w:val="18"/>
              </w:rPr>
              <w:t> </w:t>
            </w:r>
            <w:r>
              <w:rPr>
                <w:b/>
                <w:sz w:val="18"/>
              </w:rPr>
              <w:t>los estudios</w:t>
            </w:r>
            <w:r>
              <w:rPr>
                <w:b/>
                <w:spacing w:val="-8"/>
                <w:sz w:val="18"/>
              </w:rPr>
              <w:t> </w:t>
            </w:r>
            <w:r>
              <w:rPr>
                <w:b/>
                <w:sz w:val="18"/>
              </w:rPr>
              <w:t>de ergonomía,</w:t>
            </w:r>
            <w:r>
              <w:rPr>
                <w:b/>
                <w:spacing w:val="-1"/>
                <w:sz w:val="18"/>
              </w:rPr>
              <w:t> </w:t>
            </w:r>
            <w:r>
              <w:rPr>
                <w:b/>
                <w:sz w:val="18"/>
              </w:rPr>
              <w:t>instalaciones</w:t>
            </w:r>
            <w:r>
              <w:rPr>
                <w:b/>
                <w:spacing w:val="-3"/>
                <w:sz w:val="18"/>
              </w:rPr>
              <w:t> </w:t>
            </w:r>
            <w:r>
              <w:rPr>
                <w:b/>
                <w:sz w:val="18"/>
              </w:rPr>
              <w:t>y equipos</w:t>
            </w:r>
            <w:r>
              <w:rPr>
                <w:b/>
                <w:spacing w:val="-3"/>
                <w:sz w:val="18"/>
              </w:rPr>
              <w:t> </w:t>
            </w:r>
            <w:r>
              <w:rPr>
                <w:b/>
                <w:sz w:val="18"/>
              </w:rPr>
              <w:t>aplicados</w:t>
            </w:r>
            <w:r>
              <w:rPr>
                <w:b/>
                <w:spacing w:val="-3"/>
                <w:sz w:val="18"/>
              </w:rPr>
              <w:t> </w:t>
            </w:r>
            <w:r>
              <w:rPr>
                <w:b/>
                <w:sz w:val="18"/>
              </w:rPr>
              <w:t>considerando</w:t>
            </w:r>
            <w:r>
              <w:rPr>
                <w:b/>
                <w:spacing w:val="-4"/>
                <w:sz w:val="18"/>
              </w:rPr>
              <w:t> </w:t>
            </w:r>
            <w:r>
              <w:rPr>
                <w:b/>
                <w:sz w:val="18"/>
              </w:rPr>
              <w:t>de</w:t>
            </w:r>
            <w:r>
              <w:rPr>
                <w:b/>
                <w:spacing w:val="-3"/>
                <w:sz w:val="18"/>
              </w:rPr>
              <w:t> </w:t>
            </w:r>
            <w:r>
              <w:rPr>
                <w:b/>
                <w:sz w:val="18"/>
              </w:rPr>
              <w:t>forma individual</w:t>
            </w:r>
            <w:r>
              <w:rPr>
                <w:b/>
                <w:spacing w:val="-1"/>
                <w:sz w:val="18"/>
              </w:rPr>
              <w:t> </w:t>
            </w:r>
            <w:r>
              <w:rPr>
                <w:b/>
                <w:sz w:val="18"/>
              </w:rPr>
              <w:t>las</w:t>
            </w:r>
            <w:r>
              <w:rPr>
                <w:b/>
                <w:spacing w:val="-3"/>
                <w:sz w:val="18"/>
              </w:rPr>
              <w:t> </w:t>
            </w:r>
            <w:r>
              <w:rPr>
                <w:b/>
                <w:sz w:val="18"/>
              </w:rPr>
              <w:t>condiciones</w:t>
            </w:r>
            <w:r>
              <w:rPr>
                <w:b/>
                <w:spacing w:val="-3"/>
                <w:sz w:val="18"/>
              </w:rPr>
              <w:t> </w:t>
            </w:r>
            <w:r>
              <w:rPr>
                <w:b/>
                <w:sz w:val="18"/>
              </w:rPr>
              <w:t>de</w:t>
            </w:r>
            <w:r>
              <w:rPr>
                <w:b/>
                <w:spacing w:val="-3"/>
                <w:sz w:val="18"/>
              </w:rPr>
              <w:t> </w:t>
            </w:r>
            <w:r>
              <w:rPr>
                <w:b/>
                <w:sz w:val="18"/>
              </w:rPr>
              <w:t>cada persona funcionaria y trabajadora.</w:t>
            </w:r>
          </w:p>
        </w:tc>
      </w:tr>
      <w:tr>
        <w:trPr>
          <w:trHeight w:val="1708" w:hRule="atLeast"/>
        </w:trPr>
        <w:tc>
          <w:tcPr>
            <w:tcW w:w="2593" w:type="dxa"/>
          </w:tcPr>
          <w:p>
            <w:pPr>
              <w:pStyle w:val="TableParagraph"/>
              <w:spacing w:before="27"/>
              <w:ind w:left="72" w:right="126"/>
              <w:rPr>
                <w:sz w:val="18"/>
              </w:rPr>
            </w:pPr>
            <w:r>
              <w:rPr>
                <w:b/>
                <w:sz w:val="18"/>
              </w:rPr>
              <w:t>Producto PAC 2.18.1: </w:t>
            </w:r>
            <w:r>
              <w:rPr>
                <w:sz w:val="18"/>
              </w:rPr>
              <w:t>Aplicación del formulario de los estudios de ergonomía, instalaciones y equipos aplicados considerando de forma individual las condiciones</w:t>
            </w:r>
            <w:r>
              <w:rPr>
                <w:spacing w:val="-11"/>
                <w:sz w:val="18"/>
              </w:rPr>
              <w:t> </w:t>
            </w:r>
            <w:r>
              <w:rPr>
                <w:sz w:val="18"/>
              </w:rPr>
              <w:t>de</w:t>
            </w:r>
            <w:r>
              <w:rPr>
                <w:spacing w:val="-11"/>
                <w:sz w:val="18"/>
              </w:rPr>
              <w:t> </w:t>
            </w:r>
            <w:r>
              <w:rPr>
                <w:sz w:val="18"/>
              </w:rPr>
              <w:t>cada</w:t>
            </w:r>
            <w:r>
              <w:rPr>
                <w:spacing w:val="-11"/>
                <w:sz w:val="18"/>
              </w:rPr>
              <w:t> </w:t>
            </w:r>
            <w:r>
              <w:rPr>
                <w:sz w:val="18"/>
              </w:rPr>
              <w:t>persona funcionaria y trabajadora.</w:t>
            </w:r>
          </w:p>
        </w:tc>
        <w:tc>
          <w:tcPr>
            <w:tcW w:w="1426" w:type="dxa"/>
          </w:tcPr>
          <w:p>
            <w:pPr>
              <w:pStyle w:val="TableParagraph"/>
              <w:spacing w:before="127"/>
              <w:rPr>
                <w:b/>
                <w:sz w:val="18"/>
              </w:rPr>
            </w:pPr>
          </w:p>
          <w:p>
            <w:pPr>
              <w:pStyle w:val="TableParagraph"/>
              <w:spacing w:before="1"/>
              <w:ind w:left="71" w:right="24"/>
              <w:rPr>
                <w:sz w:val="18"/>
              </w:rPr>
            </w:pPr>
            <w:r>
              <w:rPr>
                <w:sz w:val="18"/>
              </w:rPr>
              <w:t>Porcentaje de formularios</w:t>
            </w:r>
            <w:r>
              <w:rPr>
                <w:spacing w:val="-13"/>
                <w:sz w:val="18"/>
              </w:rPr>
              <w:t> </w:t>
            </w:r>
            <w:r>
              <w:rPr>
                <w:sz w:val="18"/>
              </w:rPr>
              <w:t>de estudio de </w:t>
            </w:r>
            <w:r>
              <w:rPr>
                <w:spacing w:val="-2"/>
                <w:sz w:val="18"/>
              </w:rPr>
              <w:t>ergonomía aplicados.</w:t>
            </w:r>
          </w:p>
        </w:tc>
        <w:tc>
          <w:tcPr>
            <w:tcW w:w="1181" w:type="dxa"/>
          </w:tcPr>
          <w:p>
            <w:pPr>
              <w:pStyle w:val="TableParagraph"/>
              <w:rPr>
                <w:b/>
                <w:sz w:val="18"/>
              </w:rPr>
            </w:pPr>
          </w:p>
          <w:p>
            <w:pPr>
              <w:pStyle w:val="TableParagraph"/>
              <w:rPr>
                <w:b/>
                <w:sz w:val="18"/>
              </w:rPr>
            </w:pPr>
          </w:p>
          <w:p>
            <w:pPr>
              <w:pStyle w:val="TableParagraph"/>
              <w:spacing w:before="127"/>
              <w:rPr>
                <w:b/>
                <w:sz w:val="18"/>
              </w:rPr>
            </w:pPr>
          </w:p>
          <w:p>
            <w:pPr>
              <w:pStyle w:val="TableParagraph"/>
              <w:ind w:right="57"/>
              <w:jc w:val="right"/>
              <w:rPr>
                <w:sz w:val="18"/>
              </w:rPr>
            </w:pPr>
            <w:r>
              <w:rPr>
                <w:spacing w:val="-5"/>
                <w:sz w:val="18"/>
              </w:rPr>
              <w:t>15%</w:t>
            </w: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27"/>
              <w:rPr>
                <w:b/>
                <w:sz w:val="18"/>
              </w:rPr>
            </w:pPr>
          </w:p>
          <w:p>
            <w:pPr>
              <w:pStyle w:val="TableParagraph"/>
              <w:ind w:right="56"/>
              <w:jc w:val="right"/>
              <w:rPr>
                <w:sz w:val="18"/>
              </w:rPr>
            </w:pPr>
            <w:r>
              <w:rPr>
                <w:spacing w:val="-5"/>
                <w:sz w:val="18"/>
              </w:rPr>
              <w:t>40%</w:t>
            </w: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27"/>
              <w:rPr>
                <w:b/>
                <w:sz w:val="18"/>
              </w:rPr>
            </w:pPr>
          </w:p>
          <w:p>
            <w:pPr>
              <w:pStyle w:val="TableParagraph"/>
              <w:ind w:right="51"/>
              <w:jc w:val="right"/>
              <w:rPr>
                <w:sz w:val="18"/>
              </w:rPr>
            </w:pPr>
            <w:r>
              <w:rPr>
                <w:spacing w:val="-5"/>
                <w:sz w:val="18"/>
              </w:rPr>
              <w:t>60%</w:t>
            </w: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27"/>
              <w:rPr>
                <w:b/>
                <w:sz w:val="18"/>
              </w:rPr>
            </w:pPr>
          </w:p>
          <w:p>
            <w:pPr>
              <w:pStyle w:val="TableParagraph"/>
              <w:ind w:right="50"/>
              <w:jc w:val="right"/>
              <w:rPr>
                <w:sz w:val="18"/>
              </w:rPr>
            </w:pPr>
            <w:r>
              <w:rPr>
                <w:spacing w:val="-4"/>
                <w:sz w:val="18"/>
              </w:rPr>
              <w:t>100%</w:t>
            </w:r>
          </w:p>
        </w:tc>
        <w:tc>
          <w:tcPr>
            <w:tcW w:w="1436" w:type="dxa"/>
          </w:tcPr>
          <w:p>
            <w:pPr>
              <w:pStyle w:val="TableParagraph"/>
              <w:rPr>
                <w:rFonts w:ascii="Times New Roman"/>
                <w:sz w:val="18"/>
              </w:rPr>
            </w:pPr>
          </w:p>
        </w:tc>
      </w:tr>
      <w:tr>
        <w:trPr>
          <w:trHeight w:val="1199" w:hRule="atLeast"/>
        </w:trPr>
        <w:tc>
          <w:tcPr>
            <w:tcW w:w="2593" w:type="dxa"/>
          </w:tcPr>
          <w:p>
            <w:pPr>
              <w:pStyle w:val="TableParagraph"/>
              <w:spacing w:before="81"/>
              <w:ind w:left="72" w:right="382"/>
              <w:rPr>
                <w:sz w:val="18"/>
              </w:rPr>
            </w:pPr>
            <w:r>
              <w:rPr>
                <w:b/>
                <w:sz w:val="18"/>
              </w:rPr>
              <w:t>Producto PAC 2.18.2: </w:t>
            </w:r>
            <w:r>
              <w:rPr>
                <w:sz w:val="18"/>
              </w:rPr>
              <w:t>Generar el informe a las jefaturas</w:t>
            </w:r>
            <w:r>
              <w:rPr>
                <w:spacing w:val="-13"/>
                <w:sz w:val="18"/>
              </w:rPr>
              <w:t> </w:t>
            </w:r>
            <w:r>
              <w:rPr>
                <w:sz w:val="18"/>
              </w:rPr>
              <w:t>correspondientes para</w:t>
            </w:r>
            <w:r>
              <w:rPr>
                <w:spacing w:val="-9"/>
                <w:sz w:val="18"/>
              </w:rPr>
              <w:t> </w:t>
            </w:r>
            <w:r>
              <w:rPr>
                <w:sz w:val="18"/>
              </w:rPr>
              <w:t>la</w:t>
            </w:r>
            <w:r>
              <w:rPr>
                <w:spacing w:val="-6"/>
                <w:sz w:val="18"/>
              </w:rPr>
              <w:t> </w:t>
            </w:r>
            <w:r>
              <w:rPr>
                <w:sz w:val="18"/>
              </w:rPr>
              <w:t>implementación</w:t>
            </w:r>
            <w:r>
              <w:rPr>
                <w:spacing w:val="-9"/>
                <w:sz w:val="18"/>
              </w:rPr>
              <w:t> </w:t>
            </w:r>
            <w:r>
              <w:rPr>
                <w:sz w:val="18"/>
              </w:rPr>
              <w:t>de </w:t>
            </w:r>
            <w:r>
              <w:rPr>
                <w:spacing w:val="-2"/>
                <w:sz w:val="18"/>
              </w:rPr>
              <w:t>medidas.</w:t>
            </w:r>
          </w:p>
        </w:tc>
        <w:tc>
          <w:tcPr>
            <w:tcW w:w="1426" w:type="dxa"/>
          </w:tcPr>
          <w:p>
            <w:pPr>
              <w:pStyle w:val="TableParagraph"/>
              <w:spacing w:before="85"/>
              <w:rPr>
                <w:b/>
                <w:sz w:val="18"/>
              </w:rPr>
            </w:pPr>
          </w:p>
          <w:p>
            <w:pPr>
              <w:pStyle w:val="TableParagraph"/>
              <w:ind w:left="71" w:right="227"/>
              <w:rPr>
                <w:sz w:val="18"/>
              </w:rPr>
            </w:pPr>
            <w:r>
              <w:rPr>
                <w:sz w:val="18"/>
              </w:rPr>
              <w:t>Porcentaje</w:t>
            </w:r>
            <w:r>
              <w:rPr>
                <w:spacing w:val="-13"/>
                <w:sz w:val="18"/>
              </w:rPr>
              <w:t> </w:t>
            </w:r>
            <w:r>
              <w:rPr>
                <w:sz w:val="18"/>
              </w:rPr>
              <w:t>de </w:t>
            </w:r>
            <w:r>
              <w:rPr>
                <w:spacing w:val="-2"/>
                <w:sz w:val="18"/>
              </w:rPr>
              <w:t>informes generados.</w:t>
            </w:r>
          </w:p>
        </w:tc>
        <w:tc>
          <w:tcPr>
            <w:tcW w:w="1181" w:type="dxa"/>
          </w:tcPr>
          <w:p>
            <w:pPr>
              <w:pStyle w:val="TableParagraph"/>
              <w:rPr>
                <w:b/>
                <w:sz w:val="18"/>
              </w:rPr>
            </w:pPr>
          </w:p>
          <w:p>
            <w:pPr>
              <w:pStyle w:val="TableParagraph"/>
              <w:spacing w:before="84"/>
              <w:rPr>
                <w:b/>
                <w:sz w:val="18"/>
              </w:rPr>
            </w:pPr>
          </w:p>
          <w:p>
            <w:pPr>
              <w:pStyle w:val="TableParagraph"/>
              <w:ind w:right="57"/>
              <w:jc w:val="right"/>
              <w:rPr>
                <w:sz w:val="18"/>
              </w:rPr>
            </w:pPr>
            <w:r>
              <w:rPr>
                <w:spacing w:val="-5"/>
                <w:sz w:val="18"/>
              </w:rPr>
              <w:t>15%</w:t>
            </w: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spacing w:before="84"/>
              <w:rPr>
                <w:b/>
                <w:sz w:val="18"/>
              </w:rPr>
            </w:pPr>
          </w:p>
          <w:p>
            <w:pPr>
              <w:pStyle w:val="TableParagraph"/>
              <w:ind w:right="56"/>
              <w:jc w:val="right"/>
              <w:rPr>
                <w:sz w:val="18"/>
              </w:rPr>
            </w:pPr>
            <w:r>
              <w:rPr>
                <w:spacing w:val="-5"/>
                <w:sz w:val="18"/>
              </w:rPr>
              <w:t>40%</w:t>
            </w: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spacing w:before="84"/>
              <w:rPr>
                <w:b/>
                <w:sz w:val="18"/>
              </w:rPr>
            </w:pPr>
          </w:p>
          <w:p>
            <w:pPr>
              <w:pStyle w:val="TableParagraph"/>
              <w:ind w:right="51"/>
              <w:jc w:val="right"/>
              <w:rPr>
                <w:sz w:val="18"/>
              </w:rPr>
            </w:pPr>
            <w:r>
              <w:rPr>
                <w:spacing w:val="-5"/>
                <w:sz w:val="18"/>
              </w:rPr>
              <w:t>60%</w:t>
            </w: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spacing w:before="84"/>
              <w:rPr>
                <w:b/>
                <w:sz w:val="18"/>
              </w:rPr>
            </w:pPr>
          </w:p>
          <w:p>
            <w:pPr>
              <w:pStyle w:val="TableParagraph"/>
              <w:ind w:right="50"/>
              <w:jc w:val="right"/>
              <w:rPr>
                <w:sz w:val="18"/>
              </w:rPr>
            </w:pPr>
            <w:r>
              <w:rPr>
                <w:spacing w:val="-4"/>
                <w:sz w:val="18"/>
              </w:rPr>
              <w:t>100%</w:t>
            </w:r>
          </w:p>
        </w:tc>
        <w:tc>
          <w:tcPr>
            <w:tcW w:w="1436" w:type="dxa"/>
          </w:tcPr>
          <w:p>
            <w:pPr>
              <w:pStyle w:val="TableParagraph"/>
              <w:rPr>
                <w:rFonts w:ascii="Times New Roman"/>
                <w:sz w:val="18"/>
              </w:rPr>
            </w:pPr>
          </w:p>
        </w:tc>
      </w:tr>
      <w:tr>
        <w:trPr>
          <w:trHeight w:val="859" w:hRule="atLeast"/>
        </w:trPr>
        <w:tc>
          <w:tcPr>
            <w:tcW w:w="14393" w:type="dxa"/>
            <w:gridSpan w:val="10"/>
            <w:shd w:val="clear" w:color="auto" w:fill="EFF8F9"/>
          </w:tcPr>
          <w:p>
            <w:pPr>
              <w:pStyle w:val="TableParagraph"/>
              <w:spacing w:before="13"/>
              <w:rPr>
                <w:b/>
                <w:sz w:val="18"/>
              </w:rPr>
            </w:pPr>
          </w:p>
          <w:p>
            <w:pPr>
              <w:pStyle w:val="TableParagraph"/>
              <w:ind w:left="72" w:right="28"/>
              <w:rPr>
                <w:b/>
                <w:sz w:val="18"/>
              </w:rPr>
            </w:pPr>
            <w:r>
              <w:rPr>
                <w:b/>
                <w:sz w:val="18"/>
              </w:rPr>
              <w:t>Producto</w:t>
            </w:r>
            <w:r>
              <w:rPr>
                <w:b/>
                <w:spacing w:val="-4"/>
                <w:sz w:val="18"/>
              </w:rPr>
              <w:t> </w:t>
            </w:r>
            <w:r>
              <w:rPr>
                <w:b/>
                <w:sz w:val="18"/>
              </w:rPr>
              <w:t>PAC</w:t>
            </w:r>
            <w:r>
              <w:rPr>
                <w:b/>
                <w:spacing w:val="-5"/>
                <w:sz w:val="18"/>
              </w:rPr>
              <w:t> </w:t>
            </w:r>
            <w:r>
              <w:rPr>
                <w:b/>
                <w:sz w:val="18"/>
              </w:rPr>
              <w:t>2.19:</w:t>
            </w:r>
            <w:r>
              <w:rPr>
                <w:b/>
                <w:spacing w:val="40"/>
                <w:sz w:val="18"/>
              </w:rPr>
              <w:t> </w:t>
            </w:r>
            <w:r>
              <w:rPr>
                <w:b/>
                <w:sz w:val="18"/>
              </w:rPr>
              <w:t>Diseño</w:t>
            </w:r>
            <w:r>
              <w:rPr>
                <w:b/>
                <w:spacing w:val="-4"/>
                <w:sz w:val="18"/>
              </w:rPr>
              <w:t> </w:t>
            </w:r>
            <w:r>
              <w:rPr>
                <w:b/>
                <w:sz w:val="18"/>
              </w:rPr>
              <w:t>e</w:t>
            </w:r>
            <w:r>
              <w:rPr>
                <w:b/>
                <w:spacing w:val="-3"/>
                <w:sz w:val="18"/>
              </w:rPr>
              <w:t> </w:t>
            </w:r>
            <w:r>
              <w:rPr>
                <w:b/>
                <w:sz w:val="18"/>
              </w:rPr>
              <w:t>implementación</w:t>
            </w:r>
            <w:r>
              <w:rPr>
                <w:b/>
                <w:spacing w:val="-4"/>
                <w:sz w:val="18"/>
              </w:rPr>
              <w:t> </w:t>
            </w:r>
            <w:r>
              <w:rPr>
                <w:b/>
                <w:sz w:val="18"/>
              </w:rPr>
              <w:t>de</w:t>
            </w:r>
            <w:r>
              <w:rPr>
                <w:b/>
                <w:spacing w:val="-3"/>
                <w:sz w:val="18"/>
              </w:rPr>
              <w:t> </w:t>
            </w:r>
            <w:r>
              <w:rPr>
                <w:b/>
                <w:sz w:val="18"/>
              </w:rPr>
              <w:t>documentos</w:t>
            </w:r>
            <w:r>
              <w:rPr>
                <w:b/>
                <w:spacing w:val="-3"/>
                <w:sz w:val="18"/>
              </w:rPr>
              <w:t> </w:t>
            </w:r>
            <w:r>
              <w:rPr>
                <w:b/>
                <w:sz w:val="18"/>
              </w:rPr>
              <w:t>normativos</w:t>
            </w:r>
            <w:r>
              <w:rPr>
                <w:b/>
                <w:spacing w:val="-8"/>
                <w:sz w:val="18"/>
              </w:rPr>
              <w:t> </w:t>
            </w:r>
            <w:r>
              <w:rPr>
                <w:b/>
                <w:sz w:val="18"/>
              </w:rPr>
              <w:t>(políticas,</w:t>
            </w:r>
            <w:r>
              <w:rPr>
                <w:b/>
                <w:spacing w:val="-1"/>
                <w:sz w:val="18"/>
              </w:rPr>
              <w:t> </w:t>
            </w:r>
            <w:r>
              <w:rPr>
                <w:b/>
                <w:sz w:val="18"/>
              </w:rPr>
              <w:t>protocolos</w:t>
            </w:r>
            <w:r>
              <w:rPr>
                <w:b/>
                <w:spacing w:val="-3"/>
                <w:sz w:val="18"/>
              </w:rPr>
              <w:t> </w:t>
            </w:r>
            <w:r>
              <w:rPr>
                <w:b/>
                <w:sz w:val="18"/>
              </w:rPr>
              <w:t>y acciones</w:t>
            </w:r>
            <w:r>
              <w:rPr>
                <w:b/>
                <w:spacing w:val="-3"/>
                <w:sz w:val="18"/>
              </w:rPr>
              <w:t> </w:t>
            </w:r>
            <w:r>
              <w:rPr>
                <w:b/>
                <w:sz w:val="18"/>
              </w:rPr>
              <w:t>institucionales) de</w:t>
            </w:r>
            <w:r>
              <w:rPr>
                <w:b/>
                <w:spacing w:val="-3"/>
                <w:sz w:val="18"/>
              </w:rPr>
              <w:t> </w:t>
            </w:r>
            <w:r>
              <w:rPr>
                <w:b/>
                <w:sz w:val="18"/>
              </w:rPr>
              <w:t>corresponsabilidad</w:t>
            </w:r>
            <w:r>
              <w:rPr>
                <w:b/>
                <w:spacing w:val="-4"/>
                <w:sz w:val="18"/>
              </w:rPr>
              <w:t> </w:t>
            </w:r>
            <w:r>
              <w:rPr>
                <w:b/>
                <w:sz w:val="18"/>
              </w:rPr>
              <w:t>social</w:t>
            </w:r>
            <w:r>
              <w:rPr>
                <w:b/>
                <w:spacing w:val="-1"/>
                <w:sz w:val="18"/>
              </w:rPr>
              <w:t> </w:t>
            </w:r>
            <w:r>
              <w:rPr>
                <w:b/>
                <w:sz w:val="18"/>
              </w:rPr>
              <w:t>de</w:t>
            </w:r>
            <w:r>
              <w:rPr>
                <w:b/>
                <w:spacing w:val="-3"/>
                <w:sz w:val="18"/>
              </w:rPr>
              <w:t> </w:t>
            </w:r>
            <w:r>
              <w:rPr>
                <w:b/>
                <w:sz w:val="18"/>
              </w:rPr>
              <w:t>los cuidados y atención de situaciones de violencia de género o intrafamiliar, que garanticen condiciones laborales inclusivas y seguras para el personal.</w:t>
            </w:r>
            <w:r>
              <w:rPr>
                <w:b/>
                <w:spacing w:val="40"/>
                <w:sz w:val="18"/>
              </w:rPr>
              <w:t> </w:t>
            </w:r>
            <w:r>
              <w:rPr>
                <w:b/>
                <w:sz w:val="18"/>
              </w:rPr>
              <w:t>(PIGI)</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3"/>
        <w:gridCol w:w="1426"/>
        <w:gridCol w:w="1181"/>
        <w:gridCol w:w="1334"/>
        <w:gridCol w:w="1181"/>
        <w:gridCol w:w="1392"/>
        <w:gridCol w:w="1181"/>
        <w:gridCol w:w="1488"/>
        <w:gridCol w:w="1181"/>
        <w:gridCol w:w="1436"/>
      </w:tblGrid>
      <w:tr>
        <w:trPr>
          <w:trHeight w:val="302" w:hRule="atLeast"/>
        </w:trPr>
        <w:tc>
          <w:tcPr>
            <w:tcW w:w="2593" w:type="dxa"/>
            <w:vMerge w:val="restart"/>
            <w:shd w:val="clear" w:color="auto" w:fill="D7D7D7"/>
          </w:tcPr>
          <w:p>
            <w:pPr>
              <w:pStyle w:val="TableParagraph"/>
              <w:rPr>
                <w:b/>
                <w:sz w:val="18"/>
              </w:rPr>
            </w:pPr>
          </w:p>
          <w:p>
            <w:pPr>
              <w:pStyle w:val="TableParagraph"/>
              <w:spacing w:before="141"/>
              <w:rPr>
                <w:b/>
                <w:sz w:val="18"/>
              </w:rPr>
            </w:pPr>
          </w:p>
          <w:p>
            <w:pPr>
              <w:pStyle w:val="TableParagraph"/>
              <w:ind w:left="326"/>
              <w:rPr>
                <w:b/>
                <w:sz w:val="18"/>
              </w:rPr>
            </w:pPr>
            <w:r>
              <w:rPr>
                <w:b/>
                <w:sz w:val="18"/>
              </w:rPr>
              <w:t>Objetivos</w:t>
            </w:r>
            <w:r>
              <w:rPr>
                <w:b/>
                <w:spacing w:val="-5"/>
                <w:sz w:val="18"/>
              </w:rPr>
              <w:t> </w:t>
            </w:r>
            <w:r>
              <w:rPr>
                <w:b/>
                <w:sz w:val="18"/>
              </w:rPr>
              <w:t>/</w:t>
            </w:r>
            <w:r>
              <w:rPr>
                <w:b/>
                <w:spacing w:val="-2"/>
                <w:sz w:val="18"/>
              </w:rPr>
              <w:t> Resultados</w:t>
            </w:r>
          </w:p>
        </w:tc>
        <w:tc>
          <w:tcPr>
            <w:tcW w:w="1426" w:type="dxa"/>
            <w:vMerge w:val="restart"/>
            <w:shd w:val="clear" w:color="auto" w:fill="D7D7D7"/>
          </w:tcPr>
          <w:p>
            <w:pPr>
              <w:pStyle w:val="TableParagraph"/>
              <w:rPr>
                <w:b/>
                <w:sz w:val="18"/>
              </w:rPr>
            </w:pPr>
          </w:p>
          <w:p>
            <w:pPr>
              <w:pStyle w:val="TableParagraph"/>
              <w:spacing w:before="141"/>
              <w:rPr>
                <w:b/>
                <w:sz w:val="18"/>
              </w:rPr>
            </w:pPr>
          </w:p>
          <w:p>
            <w:pPr>
              <w:pStyle w:val="TableParagraph"/>
              <w:ind w:left="71"/>
              <w:rPr>
                <w:b/>
                <w:sz w:val="18"/>
              </w:rPr>
            </w:pPr>
            <w:r>
              <w:rPr>
                <w:b/>
                <w:spacing w:val="-2"/>
                <w:sz w:val="18"/>
              </w:rPr>
              <w:t>Indicador</w:t>
            </w:r>
          </w:p>
        </w:tc>
        <w:tc>
          <w:tcPr>
            <w:tcW w:w="2515" w:type="dxa"/>
            <w:gridSpan w:val="2"/>
            <w:shd w:val="clear" w:color="auto" w:fill="D7D7D7"/>
          </w:tcPr>
          <w:p>
            <w:pPr>
              <w:pStyle w:val="TableParagraph"/>
              <w:spacing w:before="47"/>
              <w:ind w:left="791"/>
              <w:rPr>
                <w:b/>
                <w:sz w:val="18"/>
              </w:rPr>
            </w:pPr>
            <w:r>
              <w:rPr>
                <w:b/>
                <w:sz w:val="18"/>
              </w:rPr>
              <w:t>I</w:t>
            </w:r>
            <w:r>
              <w:rPr>
                <w:b/>
                <w:spacing w:val="-1"/>
                <w:sz w:val="18"/>
              </w:rPr>
              <w:t> </w:t>
            </w:r>
            <w:r>
              <w:rPr>
                <w:b/>
                <w:spacing w:val="-2"/>
                <w:sz w:val="18"/>
              </w:rPr>
              <w:t>Trimestre</w:t>
            </w:r>
          </w:p>
        </w:tc>
        <w:tc>
          <w:tcPr>
            <w:tcW w:w="2573" w:type="dxa"/>
            <w:gridSpan w:val="2"/>
            <w:shd w:val="clear" w:color="auto" w:fill="D7D7D7"/>
          </w:tcPr>
          <w:p>
            <w:pPr>
              <w:pStyle w:val="TableParagraph"/>
              <w:spacing w:before="47"/>
              <w:ind w:left="797"/>
              <w:rPr>
                <w:b/>
                <w:sz w:val="18"/>
              </w:rPr>
            </w:pPr>
            <w:r>
              <w:rPr>
                <w:b/>
                <w:sz w:val="18"/>
              </w:rPr>
              <w:t>II</w:t>
            </w:r>
            <w:r>
              <w:rPr>
                <w:b/>
                <w:spacing w:val="-3"/>
                <w:sz w:val="18"/>
              </w:rPr>
              <w:t> </w:t>
            </w:r>
            <w:r>
              <w:rPr>
                <w:b/>
                <w:spacing w:val="-2"/>
                <w:sz w:val="18"/>
              </w:rPr>
              <w:t>Trimestre</w:t>
            </w:r>
          </w:p>
        </w:tc>
        <w:tc>
          <w:tcPr>
            <w:tcW w:w="2669" w:type="dxa"/>
            <w:gridSpan w:val="2"/>
            <w:shd w:val="clear" w:color="auto" w:fill="D7D7D7"/>
          </w:tcPr>
          <w:p>
            <w:pPr>
              <w:pStyle w:val="TableParagraph"/>
              <w:spacing w:before="47"/>
              <w:ind w:left="822"/>
              <w:rPr>
                <w:b/>
                <w:sz w:val="18"/>
              </w:rPr>
            </w:pPr>
            <w:r>
              <w:rPr>
                <w:b/>
                <w:sz w:val="18"/>
              </w:rPr>
              <w:t>III</w:t>
            </w:r>
            <w:r>
              <w:rPr>
                <w:b/>
                <w:spacing w:val="-2"/>
                <w:sz w:val="18"/>
              </w:rPr>
              <w:t> Trimestre</w:t>
            </w:r>
          </w:p>
        </w:tc>
        <w:tc>
          <w:tcPr>
            <w:tcW w:w="2617" w:type="dxa"/>
            <w:gridSpan w:val="2"/>
            <w:shd w:val="clear" w:color="auto" w:fill="D7D7D7"/>
          </w:tcPr>
          <w:p>
            <w:pPr>
              <w:pStyle w:val="TableParagraph"/>
              <w:spacing w:before="47"/>
              <w:ind w:left="789"/>
              <w:rPr>
                <w:b/>
                <w:sz w:val="18"/>
              </w:rPr>
            </w:pPr>
            <w:r>
              <w:rPr>
                <w:b/>
                <w:sz w:val="18"/>
              </w:rPr>
              <w:t>IV</w:t>
            </w:r>
            <w:r>
              <w:rPr>
                <w:b/>
                <w:spacing w:val="-2"/>
                <w:sz w:val="18"/>
              </w:rPr>
              <w:t> Trimestre</w:t>
            </w:r>
          </w:p>
        </w:tc>
      </w:tr>
      <w:tr>
        <w:trPr>
          <w:trHeight w:val="1003" w:hRule="atLeast"/>
        </w:trPr>
        <w:tc>
          <w:tcPr>
            <w:tcW w:w="2593" w:type="dxa"/>
            <w:vMerge/>
            <w:tcBorders>
              <w:top w:val="nil"/>
            </w:tcBorders>
            <w:shd w:val="clear" w:color="auto" w:fill="D7D7D7"/>
          </w:tcPr>
          <w:p>
            <w:pPr>
              <w:rPr>
                <w:sz w:val="2"/>
                <w:szCs w:val="2"/>
              </w:rPr>
            </w:pPr>
          </w:p>
        </w:tc>
        <w:tc>
          <w:tcPr>
            <w:tcW w:w="1426" w:type="dxa"/>
            <w:vMerge/>
            <w:tcBorders>
              <w:top w:val="nil"/>
            </w:tcBorders>
            <w:shd w:val="clear" w:color="auto" w:fill="D7D7D7"/>
          </w:tcPr>
          <w:p>
            <w:pPr>
              <w:rPr>
                <w:sz w:val="2"/>
                <w:szCs w:val="2"/>
              </w:rPr>
            </w:pP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34" w:type="dxa"/>
            <w:shd w:val="clear" w:color="auto" w:fill="D7D7D7"/>
          </w:tcPr>
          <w:p>
            <w:pPr>
              <w:pStyle w:val="TableParagraph"/>
              <w:spacing w:before="190"/>
              <w:rPr>
                <w:b/>
                <w:sz w:val="18"/>
              </w:rPr>
            </w:pPr>
          </w:p>
          <w:p>
            <w:pPr>
              <w:pStyle w:val="TableParagraph"/>
              <w:ind w:left="6"/>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92" w:type="dxa"/>
            <w:shd w:val="clear" w:color="auto" w:fill="D7D7D7"/>
          </w:tcPr>
          <w:p>
            <w:pPr>
              <w:pStyle w:val="TableParagraph"/>
              <w:spacing w:before="190"/>
              <w:rPr>
                <w:b/>
                <w:sz w:val="18"/>
              </w:rPr>
            </w:pPr>
          </w:p>
          <w:p>
            <w:pPr>
              <w:pStyle w:val="TableParagraph"/>
              <w:ind w:left="7"/>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3" w:firstLine="312"/>
              <w:rPr>
                <w:b/>
                <w:sz w:val="18"/>
              </w:rPr>
            </w:pPr>
            <w:r>
              <w:rPr>
                <w:b/>
                <w:spacing w:val="-4"/>
                <w:sz w:val="18"/>
              </w:rPr>
              <w:t>Meta </w:t>
            </w:r>
            <w:r>
              <w:rPr>
                <w:b/>
                <w:spacing w:val="-2"/>
                <w:sz w:val="18"/>
              </w:rPr>
              <w:t>programada</w:t>
            </w:r>
          </w:p>
        </w:tc>
        <w:tc>
          <w:tcPr>
            <w:tcW w:w="1488" w:type="dxa"/>
            <w:shd w:val="clear" w:color="auto" w:fill="D7D7D7"/>
          </w:tcPr>
          <w:p>
            <w:pPr>
              <w:pStyle w:val="TableParagraph"/>
              <w:spacing w:before="190"/>
              <w:rPr>
                <w:b/>
                <w:sz w:val="18"/>
              </w:rPr>
            </w:pPr>
          </w:p>
          <w:p>
            <w:pPr>
              <w:pStyle w:val="TableParagraph"/>
              <w:ind w:left="9"/>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4" w:firstLine="312"/>
              <w:rPr>
                <w:b/>
                <w:sz w:val="18"/>
              </w:rPr>
            </w:pPr>
            <w:r>
              <w:rPr>
                <w:b/>
                <w:spacing w:val="-4"/>
                <w:sz w:val="18"/>
              </w:rPr>
              <w:t>Meta </w:t>
            </w:r>
            <w:r>
              <w:rPr>
                <w:b/>
                <w:spacing w:val="-2"/>
                <w:sz w:val="18"/>
              </w:rPr>
              <w:t>programada</w:t>
            </w:r>
          </w:p>
        </w:tc>
        <w:tc>
          <w:tcPr>
            <w:tcW w:w="1436" w:type="dxa"/>
            <w:shd w:val="clear" w:color="auto" w:fill="D7D7D7"/>
          </w:tcPr>
          <w:p>
            <w:pPr>
              <w:pStyle w:val="TableParagraph"/>
              <w:spacing w:before="190"/>
              <w:rPr>
                <w:b/>
                <w:sz w:val="18"/>
              </w:rPr>
            </w:pPr>
          </w:p>
          <w:p>
            <w:pPr>
              <w:pStyle w:val="TableParagraph"/>
              <w:ind w:left="14"/>
              <w:jc w:val="center"/>
              <w:rPr>
                <w:b/>
                <w:sz w:val="18"/>
              </w:rPr>
            </w:pPr>
            <w:r>
              <w:rPr>
                <w:b/>
                <w:spacing w:val="-10"/>
                <w:sz w:val="18"/>
              </w:rPr>
              <w:t>¢</w:t>
            </w:r>
          </w:p>
        </w:tc>
      </w:tr>
      <w:tr>
        <w:trPr>
          <w:trHeight w:val="1828" w:hRule="atLeast"/>
        </w:trPr>
        <w:tc>
          <w:tcPr>
            <w:tcW w:w="2593" w:type="dxa"/>
          </w:tcPr>
          <w:p>
            <w:pPr>
              <w:pStyle w:val="TableParagraph"/>
              <w:spacing w:before="84"/>
              <w:rPr>
                <w:b/>
                <w:sz w:val="18"/>
              </w:rPr>
            </w:pPr>
          </w:p>
          <w:p>
            <w:pPr>
              <w:pStyle w:val="TableParagraph"/>
              <w:ind w:left="72" w:right="51"/>
              <w:rPr>
                <w:sz w:val="18"/>
              </w:rPr>
            </w:pPr>
            <w:r>
              <w:rPr>
                <w:b/>
                <w:sz w:val="18"/>
              </w:rPr>
              <w:t>Producto PAC 2.19.1: </w:t>
            </w:r>
            <w:r>
              <w:rPr>
                <w:sz w:val="18"/>
              </w:rPr>
              <w:t>Creación</w:t>
            </w:r>
            <w:r>
              <w:rPr>
                <w:spacing w:val="-10"/>
                <w:sz w:val="18"/>
              </w:rPr>
              <w:t> </w:t>
            </w:r>
            <w:r>
              <w:rPr>
                <w:sz w:val="18"/>
              </w:rPr>
              <w:t>de</w:t>
            </w:r>
            <w:r>
              <w:rPr>
                <w:spacing w:val="-10"/>
                <w:sz w:val="18"/>
              </w:rPr>
              <w:t> </w:t>
            </w:r>
            <w:r>
              <w:rPr>
                <w:sz w:val="18"/>
              </w:rPr>
              <w:t>un</w:t>
            </w:r>
            <w:r>
              <w:rPr>
                <w:spacing w:val="-7"/>
                <w:sz w:val="18"/>
              </w:rPr>
              <w:t> </w:t>
            </w:r>
            <w:r>
              <w:rPr>
                <w:sz w:val="18"/>
              </w:rPr>
              <w:t>protocolo</w:t>
            </w:r>
            <w:r>
              <w:rPr>
                <w:spacing w:val="-10"/>
                <w:sz w:val="18"/>
              </w:rPr>
              <w:t> </w:t>
            </w:r>
            <w:r>
              <w:rPr>
                <w:sz w:val="18"/>
              </w:rPr>
              <w:t>para la intervención en situaciones de violencia de género o intrafamiliar para el </w:t>
            </w:r>
            <w:r>
              <w:rPr>
                <w:spacing w:val="-2"/>
                <w:sz w:val="18"/>
              </w:rPr>
              <w:t>funcionariado</w:t>
            </w:r>
          </w:p>
        </w:tc>
        <w:tc>
          <w:tcPr>
            <w:tcW w:w="1426" w:type="dxa"/>
          </w:tcPr>
          <w:p>
            <w:pPr>
              <w:pStyle w:val="TableParagraph"/>
              <w:rPr>
                <w:b/>
                <w:sz w:val="18"/>
              </w:rPr>
            </w:pPr>
          </w:p>
          <w:p>
            <w:pPr>
              <w:pStyle w:val="TableParagraph"/>
              <w:spacing w:before="189"/>
              <w:rPr>
                <w:b/>
                <w:sz w:val="18"/>
              </w:rPr>
            </w:pPr>
          </w:p>
          <w:p>
            <w:pPr>
              <w:pStyle w:val="TableParagraph"/>
              <w:ind w:left="71" w:right="187"/>
              <w:rPr>
                <w:sz w:val="18"/>
              </w:rPr>
            </w:pPr>
            <w:r>
              <w:rPr>
                <w:sz w:val="18"/>
              </w:rPr>
              <w:t>Porcentaje</w:t>
            </w:r>
            <w:r>
              <w:rPr>
                <w:spacing w:val="-13"/>
                <w:sz w:val="18"/>
              </w:rPr>
              <w:t> </w:t>
            </w:r>
            <w:r>
              <w:rPr>
                <w:sz w:val="18"/>
              </w:rPr>
              <w:t>del </w:t>
            </w:r>
            <w:r>
              <w:rPr>
                <w:spacing w:val="-2"/>
                <w:sz w:val="18"/>
              </w:rPr>
              <w:t>protocolo elaborado</w:t>
            </w:r>
          </w:p>
        </w:tc>
        <w:tc>
          <w:tcPr>
            <w:tcW w:w="1181" w:type="dxa"/>
          </w:tcPr>
          <w:p>
            <w:pPr>
              <w:pStyle w:val="TableParagraph"/>
              <w:rPr>
                <w:b/>
                <w:sz w:val="18"/>
              </w:rPr>
            </w:pPr>
          </w:p>
          <w:p>
            <w:pPr>
              <w:pStyle w:val="TableParagraph"/>
              <w:rPr>
                <w:b/>
                <w:sz w:val="18"/>
              </w:rPr>
            </w:pPr>
          </w:p>
          <w:p>
            <w:pPr>
              <w:pStyle w:val="TableParagraph"/>
              <w:spacing w:before="189"/>
              <w:rPr>
                <w:b/>
                <w:sz w:val="18"/>
              </w:rPr>
            </w:pPr>
          </w:p>
          <w:p>
            <w:pPr>
              <w:pStyle w:val="TableParagraph"/>
              <w:ind w:right="57"/>
              <w:jc w:val="right"/>
              <w:rPr>
                <w:sz w:val="18"/>
              </w:rPr>
            </w:pPr>
            <w:r>
              <w:rPr>
                <w:spacing w:val="-5"/>
                <w:sz w:val="18"/>
              </w:rPr>
              <w:t>25%</w:t>
            </w: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89"/>
              <w:rPr>
                <w:b/>
                <w:sz w:val="18"/>
              </w:rPr>
            </w:pPr>
          </w:p>
          <w:p>
            <w:pPr>
              <w:pStyle w:val="TableParagraph"/>
              <w:ind w:right="56"/>
              <w:jc w:val="right"/>
              <w:rPr>
                <w:sz w:val="18"/>
              </w:rPr>
            </w:pPr>
            <w:r>
              <w:rPr>
                <w:spacing w:val="-5"/>
                <w:sz w:val="18"/>
              </w:rPr>
              <w:t>50%</w:t>
            </w: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89"/>
              <w:rPr>
                <w:b/>
                <w:sz w:val="18"/>
              </w:rPr>
            </w:pPr>
          </w:p>
          <w:p>
            <w:pPr>
              <w:pStyle w:val="TableParagraph"/>
              <w:ind w:right="51"/>
              <w:jc w:val="right"/>
              <w:rPr>
                <w:sz w:val="18"/>
              </w:rPr>
            </w:pPr>
            <w:r>
              <w:rPr>
                <w:spacing w:val="-5"/>
                <w:sz w:val="18"/>
              </w:rPr>
              <w:t>75%</w:t>
            </w: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89"/>
              <w:rPr>
                <w:b/>
                <w:sz w:val="18"/>
              </w:rPr>
            </w:pPr>
          </w:p>
          <w:p>
            <w:pPr>
              <w:pStyle w:val="TableParagraph"/>
              <w:ind w:right="50"/>
              <w:jc w:val="right"/>
              <w:rPr>
                <w:sz w:val="18"/>
              </w:rPr>
            </w:pPr>
            <w:r>
              <w:rPr>
                <w:spacing w:val="-4"/>
                <w:sz w:val="18"/>
              </w:rPr>
              <w:t>100%</w:t>
            </w:r>
          </w:p>
        </w:tc>
        <w:tc>
          <w:tcPr>
            <w:tcW w:w="1436" w:type="dxa"/>
          </w:tcPr>
          <w:p>
            <w:pPr>
              <w:pStyle w:val="TableParagraph"/>
              <w:rPr>
                <w:rFonts w:ascii="Times New Roman"/>
                <w:sz w:val="18"/>
              </w:rPr>
            </w:pPr>
          </w:p>
        </w:tc>
      </w:tr>
      <w:tr>
        <w:trPr>
          <w:trHeight w:val="2103" w:hRule="atLeast"/>
        </w:trPr>
        <w:tc>
          <w:tcPr>
            <w:tcW w:w="2593" w:type="dxa"/>
          </w:tcPr>
          <w:p>
            <w:pPr>
              <w:pStyle w:val="TableParagraph"/>
              <w:spacing w:before="119"/>
              <w:ind w:left="72" w:right="51"/>
              <w:rPr>
                <w:sz w:val="18"/>
              </w:rPr>
            </w:pPr>
            <w:r>
              <w:rPr>
                <w:b/>
                <w:sz w:val="18"/>
              </w:rPr>
              <w:t>Producto</w:t>
            </w:r>
            <w:r>
              <w:rPr>
                <w:b/>
                <w:spacing w:val="-13"/>
                <w:sz w:val="18"/>
              </w:rPr>
              <w:t> </w:t>
            </w:r>
            <w:r>
              <w:rPr>
                <w:b/>
                <w:sz w:val="18"/>
              </w:rPr>
              <w:t>PAC</w:t>
            </w:r>
            <w:r>
              <w:rPr>
                <w:b/>
                <w:spacing w:val="-12"/>
                <w:sz w:val="18"/>
              </w:rPr>
              <w:t> </w:t>
            </w:r>
            <w:r>
              <w:rPr>
                <w:b/>
                <w:sz w:val="18"/>
              </w:rPr>
              <w:t>2.19.2</w:t>
            </w:r>
            <w:r>
              <w:rPr>
                <w:sz w:val="18"/>
              </w:rPr>
              <w:t>:</w:t>
            </w:r>
            <w:r>
              <w:rPr>
                <w:spacing w:val="-9"/>
                <w:sz w:val="18"/>
              </w:rPr>
              <w:t> </w:t>
            </w:r>
            <w:r>
              <w:rPr>
                <w:sz w:val="18"/>
              </w:rPr>
              <w:t>Diseño e implementación de una política institucional de corresponsabilidad</w:t>
            </w:r>
            <w:r>
              <w:rPr>
                <w:spacing w:val="-7"/>
                <w:sz w:val="18"/>
              </w:rPr>
              <w:t> </w:t>
            </w:r>
            <w:r>
              <w:rPr>
                <w:sz w:val="18"/>
              </w:rPr>
              <w:t>d</w:t>
            </w:r>
            <w:r>
              <w:rPr>
                <w:spacing w:val="-11"/>
                <w:sz w:val="18"/>
              </w:rPr>
              <w:t> </w:t>
            </w:r>
            <w:r>
              <w:rPr>
                <w:sz w:val="18"/>
              </w:rPr>
              <w:t>social</w:t>
            </w:r>
            <w:r>
              <w:rPr>
                <w:spacing w:val="-8"/>
                <w:sz w:val="18"/>
              </w:rPr>
              <w:t> </w:t>
            </w:r>
            <w:r>
              <w:rPr>
                <w:sz w:val="18"/>
              </w:rPr>
              <w:t>de los</w:t>
            </w:r>
            <w:r>
              <w:rPr>
                <w:spacing w:val="-4"/>
                <w:sz w:val="18"/>
              </w:rPr>
              <w:t> </w:t>
            </w:r>
            <w:r>
              <w:rPr>
                <w:sz w:val="18"/>
              </w:rPr>
              <w:t>cuidados</w:t>
            </w:r>
            <w:r>
              <w:rPr>
                <w:spacing w:val="-4"/>
                <w:sz w:val="18"/>
              </w:rPr>
              <w:t> </w:t>
            </w:r>
            <w:r>
              <w:rPr>
                <w:sz w:val="18"/>
              </w:rPr>
              <w:t>considerando</w:t>
            </w:r>
            <w:r>
              <w:rPr>
                <w:spacing w:val="-8"/>
                <w:sz w:val="18"/>
              </w:rPr>
              <w:t> </w:t>
            </w:r>
            <w:r>
              <w:rPr>
                <w:sz w:val="18"/>
              </w:rPr>
              <w:t>las necesidades de las personas funcionarias y trabajadoras, incluyendo la gestión del </w:t>
            </w:r>
            <w:r>
              <w:rPr>
                <w:spacing w:val="-2"/>
                <w:sz w:val="18"/>
              </w:rPr>
              <w:t>teletrabajo.</w:t>
            </w:r>
          </w:p>
        </w:tc>
        <w:tc>
          <w:tcPr>
            <w:tcW w:w="1426" w:type="dxa"/>
          </w:tcPr>
          <w:p>
            <w:pPr>
              <w:pStyle w:val="TableParagraph"/>
              <w:rPr>
                <w:b/>
                <w:sz w:val="18"/>
              </w:rPr>
            </w:pPr>
          </w:p>
          <w:p>
            <w:pPr>
              <w:pStyle w:val="TableParagraph"/>
              <w:spacing w:before="118"/>
              <w:rPr>
                <w:b/>
                <w:sz w:val="18"/>
              </w:rPr>
            </w:pPr>
          </w:p>
          <w:p>
            <w:pPr>
              <w:pStyle w:val="TableParagraph"/>
              <w:ind w:left="71" w:right="24"/>
              <w:rPr>
                <w:sz w:val="18"/>
              </w:rPr>
            </w:pPr>
            <w:r>
              <w:rPr>
                <w:sz w:val="18"/>
              </w:rPr>
              <w:t>Porcentaje de avance en el diseño e </w:t>
            </w:r>
            <w:r>
              <w:rPr>
                <w:spacing w:val="-2"/>
                <w:sz w:val="18"/>
              </w:rPr>
              <w:t>implementación </w:t>
            </w:r>
            <w:r>
              <w:rPr>
                <w:sz w:val="18"/>
              </w:rPr>
              <w:t>de la política.</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122"/>
              <w:rPr>
                <w:b/>
                <w:sz w:val="18"/>
              </w:rPr>
            </w:pPr>
          </w:p>
          <w:p>
            <w:pPr>
              <w:pStyle w:val="TableParagraph"/>
              <w:ind w:right="57"/>
              <w:jc w:val="right"/>
              <w:rPr>
                <w:sz w:val="18"/>
              </w:rPr>
            </w:pPr>
            <w:r>
              <w:rPr>
                <w:spacing w:val="-5"/>
                <w:sz w:val="18"/>
              </w:rPr>
              <w:t>20%</w:t>
            </w: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122"/>
              <w:rPr>
                <w:b/>
                <w:sz w:val="18"/>
              </w:rPr>
            </w:pPr>
          </w:p>
          <w:p>
            <w:pPr>
              <w:pStyle w:val="TableParagraph"/>
              <w:ind w:right="56"/>
              <w:jc w:val="right"/>
              <w:rPr>
                <w:sz w:val="18"/>
              </w:rPr>
            </w:pPr>
            <w:r>
              <w:rPr>
                <w:spacing w:val="-5"/>
                <w:sz w:val="18"/>
              </w:rPr>
              <w:t>40%</w:t>
            </w: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122"/>
              <w:rPr>
                <w:b/>
                <w:sz w:val="18"/>
              </w:rPr>
            </w:pPr>
          </w:p>
          <w:p>
            <w:pPr>
              <w:pStyle w:val="TableParagraph"/>
              <w:ind w:right="51"/>
              <w:jc w:val="right"/>
              <w:rPr>
                <w:sz w:val="18"/>
              </w:rPr>
            </w:pPr>
            <w:r>
              <w:rPr>
                <w:spacing w:val="-5"/>
                <w:sz w:val="18"/>
              </w:rPr>
              <w:t>60%</w:t>
            </w: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122"/>
              <w:rPr>
                <w:b/>
                <w:sz w:val="18"/>
              </w:rPr>
            </w:pPr>
          </w:p>
          <w:p>
            <w:pPr>
              <w:pStyle w:val="TableParagraph"/>
              <w:ind w:right="50"/>
              <w:jc w:val="right"/>
              <w:rPr>
                <w:sz w:val="18"/>
              </w:rPr>
            </w:pPr>
            <w:r>
              <w:rPr>
                <w:spacing w:val="-5"/>
                <w:sz w:val="18"/>
              </w:rPr>
              <w:t>80%</w:t>
            </w:r>
          </w:p>
        </w:tc>
        <w:tc>
          <w:tcPr>
            <w:tcW w:w="1436" w:type="dxa"/>
          </w:tcPr>
          <w:p>
            <w:pPr>
              <w:pStyle w:val="TableParagraph"/>
              <w:rPr>
                <w:rFonts w:ascii="Times New Roman"/>
                <w:sz w:val="18"/>
              </w:rPr>
            </w:pPr>
          </w:p>
        </w:tc>
      </w:tr>
      <w:tr>
        <w:trPr>
          <w:trHeight w:val="811" w:hRule="atLeast"/>
        </w:trPr>
        <w:tc>
          <w:tcPr>
            <w:tcW w:w="14393" w:type="dxa"/>
            <w:gridSpan w:val="10"/>
            <w:shd w:val="clear" w:color="auto" w:fill="EFF8F9"/>
          </w:tcPr>
          <w:p>
            <w:pPr>
              <w:pStyle w:val="TableParagraph"/>
              <w:spacing w:before="195"/>
              <w:ind w:left="72" w:right="28"/>
              <w:rPr>
                <w:b/>
                <w:sz w:val="18"/>
              </w:rPr>
            </w:pPr>
            <w:r>
              <w:rPr>
                <w:b/>
                <w:sz w:val="18"/>
              </w:rPr>
              <w:t>Producto</w:t>
            </w:r>
            <w:r>
              <w:rPr>
                <w:b/>
                <w:spacing w:val="-3"/>
                <w:sz w:val="18"/>
              </w:rPr>
              <w:t> </w:t>
            </w:r>
            <w:r>
              <w:rPr>
                <w:b/>
                <w:sz w:val="18"/>
              </w:rPr>
              <w:t>PAC</w:t>
            </w:r>
            <w:r>
              <w:rPr>
                <w:b/>
                <w:spacing w:val="-3"/>
                <w:sz w:val="18"/>
              </w:rPr>
              <w:t> </w:t>
            </w:r>
            <w:r>
              <w:rPr>
                <w:b/>
                <w:sz w:val="18"/>
              </w:rPr>
              <w:t>2.20: Remozamiento</w:t>
            </w:r>
            <w:r>
              <w:rPr>
                <w:b/>
                <w:spacing w:val="-3"/>
                <w:sz w:val="18"/>
              </w:rPr>
              <w:t> </w:t>
            </w:r>
            <w:r>
              <w:rPr>
                <w:b/>
                <w:sz w:val="18"/>
              </w:rPr>
              <w:t>de</w:t>
            </w:r>
            <w:r>
              <w:rPr>
                <w:b/>
                <w:spacing w:val="-2"/>
                <w:sz w:val="18"/>
              </w:rPr>
              <w:t> </w:t>
            </w:r>
            <w:r>
              <w:rPr>
                <w:b/>
                <w:sz w:val="18"/>
              </w:rPr>
              <w:t>los</w:t>
            </w:r>
            <w:r>
              <w:rPr>
                <w:b/>
                <w:spacing w:val="-2"/>
                <w:sz w:val="18"/>
              </w:rPr>
              <w:t> </w:t>
            </w:r>
            <w:r>
              <w:rPr>
                <w:b/>
                <w:sz w:val="18"/>
              </w:rPr>
              <w:t>procesos</w:t>
            </w:r>
            <w:r>
              <w:rPr>
                <w:b/>
                <w:spacing w:val="-2"/>
                <w:sz w:val="18"/>
              </w:rPr>
              <w:t> </w:t>
            </w:r>
            <w:r>
              <w:rPr>
                <w:b/>
                <w:sz w:val="18"/>
              </w:rPr>
              <w:t>del</w:t>
            </w:r>
            <w:r>
              <w:rPr>
                <w:b/>
                <w:spacing w:val="-4"/>
                <w:sz w:val="18"/>
              </w:rPr>
              <w:t> </w:t>
            </w:r>
            <w:r>
              <w:rPr>
                <w:b/>
                <w:sz w:val="18"/>
              </w:rPr>
              <w:t>Área de</w:t>
            </w:r>
            <w:r>
              <w:rPr>
                <w:b/>
                <w:spacing w:val="-2"/>
                <w:sz w:val="18"/>
              </w:rPr>
              <w:t> </w:t>
            </w:r>
            <w:r>
              <w:rPr>
                <w:b/>
                <w:sz w:val="18"/>
              </w:rPr>
              <w:t>Desarrollo Humano</w:t>
            </w:r>
            <w:r>
              <w:rPr>
                <w:b/>
                <w:spacing w:val="-3"/>
                <w:sz w:val="18"/>
              </w:rPr>
              <w:t> </w:t>
            </w:r>
            <w:r>
              <w:rPr>
                <w:b/>
                <w:sz w:val="18"/>
              </w:rPr>
              <w:t>para</w:t>
            </w:r>
            <w:r>
              <w:rPr>
                <w:b/>
                <w:spacing w:val="-2"/>
                <w:sz w:val="18"/>
              </w:rPr>
              <w:t> </w:t>
            </w:r>
            <w:r>
              <w:rPr>
                <w:b/>
                <w:sz w:val="18"/>
              </w:rPr>
              <w:t>reducir</w:t>
            </w:r>
            <w:r>
              <w:rPr>
                <w:b/>
                <w:spacing w:val="-1"/>
                <w:sz w:val="18"/>
              </w:rPr>
              <w:t> </w:t>
            </w:r>
            <w:r>
              <w:rPr>
                <w:b/>
                <w:sz w:val="18"/>
              </w:rPr>
              <w:t>los</w:t>
            </w:r>
            <w:r>
              <w:rPr>
                <w:b/>
                <w:spacing w:val="-7"/>
                <w:sz w:val="18"/>
              </w:rPr>
              <w:t> </w:t>
            </w:r>
            <w:r>
              <w:rPr>
                <w:b/>
                <w:sz w:val="18"/>
              </w:rPr>
              <w:t>impactos</w:t>
            </w:r>
            <w:r>
              <w:rPr>
                <w:b/>
                <w:spacing w:val="-2"/>
                <w:sz w:val="18"/>
              </w:rPr>
              <w:t> </w:t>
            </w:r>
            <w:r>
              <w:rPr>
                <w:b/>
                <w:sz w:val="18"/>
              </w:rPr>
              <w:t>de</w:t>
            </w:r>
            <w:r>
              <w:rPr>
                <w:b/>
                <w:spacing w:val="-2"/>
                <w:sz w:val="18"/>
              </w:rPr>
              <w:t> </w:t>
            </w:r>
            <w:r>
              <w:rPr>
                <w:b/>
                <w:sz w:val="18"/>
              </w:rPr>
              <w:t>sesgos</w:t>
            </w:r>
            <w:r>
              <w:rPr>
                <w:b/>
                <w:spacing w:val="-2"/>
                <w:sz w:val="18"/>
              </w:rPr>
              <w:t> </w:t>
            </w:r>
            <w:r>
              <w:rPr>
                <w:b/>
                <w:sz w:val="18"/>
              </w:rPr>
              <w:t>conscientes</w:t>
            </w:r>
            <w:r>
              <w:rPr>
                <w:b/>
                <w:spacing w:val="-2"/>
                <w:sz w:val="18"/>
              </w:rPr>
              <w:t> </w:t>
            </w:r>
            <w:r>
              <w:rPr>
                <w:b/>
                <w:sz w:val="18"/>
              </w:rPr>
              <w:t>o</w:t>
            </w:r>
            <w:r>
              <w:rPr>
                <w:b/>
                <w:spacing w:val="-3"/>
                <w:sz w:val="18"/>
              </w:rPr>
              <w:t> </w:t>
            </w:r>
            <w:r>
              <w:rPr>
                <w:b/>
                <w:sz w:val="18"/>
              </w:rPr>
              <w:t>inconscientes</w:t>
            </w:r>
            <w:r>
              <w:rPr>
                <w:b/>
                <w:spacing w:val="-2"/>
                <w:sz w:val="18"/>
              </w:rPr>
              <w:t> </w:t>
            </w:r>
            <w:r>
              <w:rPr>
                <w:b/>
                <w:sz w:val="18"/>
              </w:rPr>
              <w:t>y otras conductas discriminatorias, tomando como referencia la norma</w:t>
            </w:r>
            <w:r>
              <w:rPr>
                <w:b/>
                <w:spacing w:val="-1"/>
                <w:sz w:val="18"/>
              </w:rPr>
              <w:t> </w:t>
            </w:r>
            <w:r>
              <w:rPr>
                <w:b/>
                <w:sz w:val="18"/>
              </w:rPr>
              <w:t>técnica nacional INTE</w:t>
            </w:r>
            <w:r>
              <w:rPr>
                <w:b/>
                <w:spacing w:val="-2"/>
                <w:sz w:val="18"/>
              </w:rPr>
              <w:t> </w:t>
            </w:r>
            <w:r>
              <w:rPr>
                <w:b/>
                <w:sz w:val="18"/>
              </w:rPr>
              <w:t>G38 en materia de gestión del talento humano.</w:t>
            </w:r>
          </w:p>
        </w:tc>
      </w:tr>
      <w:tr>
        <w:trPr>
          <w:trHeight w:val="2371" w:hRule="atLeast"/>
        </w:trPr>
        <w:tc>
          <w:tcPr>
            <w:tcW w:w="2593" w:type="dxa"/>
          </w:tcPr>
          <w:p>
            <w:pPr>
              <w:pStyle w:val="TableParagraph"/>
              <w:spacing w:before="147"/>
              <w:ind w:left="72" w:right="122"/>
              <w:rPr>
                <w:sz w:val="18"/>
              </w:rPr>
            </w:pPr>
            <w:r>
              <w:rPr>
                <w:b/>
                <w:sz w:val="18"/>
              </w:rPr>
              <w:t>Producto PAC 2.20.1: </w:t>
            </w:r>
            <w:r>
              <w:rPr>
                <w:sz w:val="18"/>
              </w:rPr>
              <w:t>Adquirir la norma técnica nacional INTE G38 como insumo de referencia para la mejora de procesos de reclutamiento, selección, promociones, evaluación de desempeño,</w:t>
            </w:r>
            <w:r>
              <w:rPr>
                <w:spacing w:val="-13"/>
                <w:sz w:val="18"/>
              </w:rPr>
              <w:t> </w:t>
            </w:r>
            <w:r>
              <w:rPr>
                <w:sz w:val="18"/>
              </w:rPr>
              <w:t>remuneraciones, jornadas de trabajo y salud </w:t>
            </w:r>
            <w:r>
              <w:rPr>
                <w:spacing w:val="-2"/>
                <w:sz w:val="18"/>
              </w:rPr>
              <w:t>integral.</w:t>
            </w:r>
          </w:p>
        </w:tc>
        <w:tc>
          <w:tcPr>
            <w:tcW w:w="1426" w:type="dxa"/>
          </w:tcPr>
          <w:p>
            <w:pPr>
              <w:pStyle w:val="TableParagraph"/>
              <w:rPr>
                <w:b/>
                <w:sz w:val="18"/>
              </w:rPr>
            </w:pPr>
          </w:p>
          <w:p>
            <w:pPr>
              <w:pStyle w:val="TableParagraph"/>
              <w:rPr>
                <w:b/>
                <w:sz w:val="18"/>
              </w:rPr>
            </w:pPr>
          </w:p>
          <w:p>
            <w:pPr>
              <w:pStyle w:val="TableParagraph"/>
              <w:rPr>
                <w:b/>
                <w:sz w:val="18"/>
              </w:rPr>
            </w:pPr>
          </w:p>
          <w:p>
            <w:pPr>
              <w:pStyle w:val="TableParagraph"/>
              <w:spacing w:before="45"/>
              <w:rPr>
                <w:b/>
                <w:sz w:val="18"/>
              </w:rPr>
            </w:pPr>
          </w:p>
          <w:p>
            <w:pPr>
              <w:pStyle w:val="TableParagraph"/>
              <w:ind w:left="71" w:right="24"/>
              <w:rPr>
                <w:sz w:val="18"/>
              </w:rPr>
            </w:pPr>
            <w:r>
              <w:rPr>
                <w:sz w:val="18"/>
              </w:rPr>
              <w:t>Cantidad</w:t>
            </w:r>
            <w:r>
              <w:rPr>
                <w:spacing w:val="-13"/>
                <w:sz w:val="18"/>
              </w:rPr>
              <w:t> </w:t>
            </w:r>
            <w:r>
              <w:rPr>
                <w:sz w:val="18"/>
              </w:rPr>
              <w:t>de </w:t>
            </w:r>
            <w:r>
              <w:rPr>
                <w:spacing w:val="-2"/>
                <w:sz w:val="18"/>
              </w:rPr>
              <w:t>normativa adquirida</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4"/>
              <w:rPr>
                <w:b/>
                <w:sz w:val="18"/>
              </w:rPr>
            </w:pPr>
          </w:p>
          <w:p>
            <w:pPr>
              <w:pStyle w:val="TableParagraph"/>
              <w:ind w:right="59"/>
              <w:jc w:val="right"/>
              <w:rPr>
                <w:sz w:val="18"/>
              </w:rPr>
            </w:pPr>
            <w:r>
              <w:rPr>
                <w:spacing w:val="-10"/>
                <w:sz w:val="18"/>
              </w:rPr>
              <w:t>1</w:t>
            </w: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700" w:bottom="290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3"/>
        <w:gridCol w:w="1426"/>
        <w:gridCol w:w="1181"/>
        <w:gridCol w:w="1334"/>
        <w:gridCol w:w="1181"/>
        <w:gridCol w:w="1392"/>
        <w:gridCol w:w="1181"/>
        <w:gridCol w:w="1488"/>
        <w:gridCol w:w="1181"/>
        <w:gridCol w:w="1436"/>
      </w:tblGrid>
      <w:tr>
        <w:trPr>
          <w:trHeight w:val="302" w:hRule="atLeast"/>
        </w:trPr>
        <w:tc>
          <w:tcPr>
            <w:tcW w:w="2593" w:type="dxa"/>
            <w:vMerge w:val="restart"/>
            <w:shd w:val="clear" w:color="auto" w:fill="D7D7D7"/>
          </w:tcPr>
          <w:p>
            <w:pPr>
              <w:pStyle w:val="TableParagraph"/>
              <w:rPr>
                <w:b/>
                <w:sz w:val="18"/>
              </w:rPr>
            </w:pPr>
          </w:p>
          <w:p>
            <w:pPr>
              <w:pStyle w:val="TableParagraph"/>
              <w:spacing w:before="141"/>
              <w:rPr>
                <w:b/>
                <w:sz w:val="18"/>
              </w:rPr>
            </w:pPr>
          </w:p>
          <w:p>
            <w:pPr>
              <w:pStyle w:val="TableParagraph"/>
              <w:ind w:left="326"/>
              <w:rPr>
                <w:b/>
                <w:sz w:val="18"/>
              </w:rPr>
            </w:pPr>
            <w:r>
              <w:rPr>
                <w:b/>
                <w:sz w:val="18"/>
              </w:rPr>
              <w:t>Objetivos</w:t>
            </w:r>
            <w:r>
              <w:rPr>
                <w:b/>
                <w:spacing w:val="-5"/>
                <w:sz w:val="18"/>
              </w:rPr>
              <w:t> </w:t>
            </w:r>
            <w:r>
              <w:rPr>
                <w:b/>
                <w:sz w:val="18"/>
              </w:rPr>
              <w:t>/</w:t>
            </w:r>
            <w:r>
              <w:rPr>
                <w:b/>
                <w:spacing w:val="-2"/>
                <w:sz w:val="18"/>
              </w:rPr>
              <w:t> Resultados</w:t>
            </w:r>
          </w:p>
        </w:tc>
        <w:tc>
          <w:tcPr>
            <w:tcW w:w="1426" w:type="dxa"/>
            <w:vMerge w:val="restart"/>
            <w:shd w:val="clear" w:color="auto" w:fill="D7D7D7"/>
          </w:tcPr>
          <w:p>
            <w:pPr>
              <w:pStyle w:val="TableParagraph"/>
              <w:rPr>
                <w:b/>
                <w:sz w:val="18"/>
              </w:rPr>
            </w:pPr>
          </w:p>
          <w:p>
            <w:pPr>
              <w:pStyle w:val="TableParagraph"/>
              <w:spacing w:before="141"/>
              <w:rPr>
                <w:b/>
                <w:sz w:val="18"/>
              </w:rPr>
            </w:pPr>
          </w:p>
          <w:p>
            <w:pPr>
              <w:pStyle w:val="TableParagraph"/>
              <w:ind w:left="71"/>
              <w:rPr>
                <w:b/>
                <w:sz w:val="18"/>
              </w:rPr>
            </w:pPr>
            <w:r>
              <w:rPr>
                <w:b/>
                <w:spacing w:val="-2"/>
                <w:sz w:val="18"/>
              </w:rPr>
              <w:t>Indicador</w:t>
            </w:r>
          </w:p>
        </w:tc>
        <w:tc>
          <w:tcPr>
            <w:tcW w:w="2515" w:type="dxa"/>
            <w:gridSpan w:val="2"/>
            <w:shd w:val="clear" w:color="auto" w:fill="D7D7D7"/>
          </w:tcPr>
          <w:p>
            <w:pPr>
              <w:pStyle w:val="TableParagraph"/>
              <w:spacing w:before="47"/>
              <w:ind w:left="791"/>
              <w:rPr>
                <w:b/>
                <w:sz w:val="18"/>
              </w:rPr>
            </w:pPr>
            <w:r>
              <w:rPr>
                <w:b/>
                <w:sz w:val="18"/>
              </w:rPr>
              <w:t>I</w:t>
            </w:r>
            <w:r>
              <w:rPr>
                <w:b/>
                <w:spacing w:val="-1"/>
                <w:sz w:val="18"/>
              </w:rPr>
              <w:t> </w:t>
            </w:r>
            <w:r>
              <w:rPr>
                <w:b/>
                <w:spacing w:val="-2"/>
                <w:sz w:val="18"/>
              </w:rPr>
              <w:t>Trimestre</w:t>
            </w:r>
          </w:p>
        </w:tc>
        <w:tc>
          <w:tcPr>
            <w:tcW w:w="2573" w:type="dxa"/>
            <w:gridSpan w:val="2"/>
            <w:shd w:val="clear" w:color="auto" w:fill="D7D7D7"/>
          </w:tcPr>
          <w:p>
            <w:pPr>
              <w:pStyle w:val="TableParagraph"/>
              <w:spacing w:before="47"/>
              <w:ind w:left="797"/>
              <w:rPr>
                <w:b/>
                <w:sz w:val="18"/>
              </w:rPr>
            </w:pPr>
            <w:r>
              <w:rPr>
                <w:b/>
                <w:sz w:val="18"/>
              </w:rPr>
              <w:t>II</w:t>
            </w:r>
            <w:r>
              <w:rPr>
                <w:b/>
                <w:spacing w:val="-3"/>
                <w:sz w:val="18"/>
              </w:rPr>
              <w:t> </w:t>
            </w:r>
            <w:r>
              <w:rPr>
                <w:b/>
                <w:spacing w:val="-2"/>
                <w:sz w:val="18"/>
              </w:rPr>
              <w:t>Trimestre</w:t>
            </w:r>
          </w:p>
        </w:tc>
        <w:tc>
          <w:tcPr>
            <w:tcW w:w="2669" w:type="dxa"/>
            <w:gridSpan w:val="2"/>
            <w:shd w:val="clear" w:color="auto" w:fill="D7D7D7"/>
          </w:tcPr>
          <w:p>
            <w:pPr>
              <w:pStyle w:val="TableParagraph"/>
              <w:spacing w:before="47"/>
              <w:ind w:left="822"/>
              <w:rPr>
                <w:b/>
                <w:sz w:val="18"/>
              </w:rPr>
            </w:pPr>
            <w:r>
              <w:rPr>
                <w:b/>
                <w:sz w:val="18"/>
              </w:rPr>
              <w:t>III</w:t>
            </w:r>
            <w:r>
              <w:rPr>
                <w:b/>
                <w:spacing w:val="-2"/>
                <w:sz w:val="18"/>
              </w:rPr>
              <w:t> Trimestre</w:t>
            </w:r>
          </w:p>
        </w:tc>
        <w:tc>
          <w:tcPr>
            <w:tcW w:w="2617" w:type="dxa"/>
            <w:gridSpan w:val="2"/>
            <w:shd w:val="clear" w:color="auto" w:fill="D7D7D7"/>
          </w:tcPr>
          <w:p>
            <w:pPr>
              <w:pStyle w:val="TableParagraph"/>
              <w:spacing w:before="47"/>
              <w:ind w:left="789"/>
              <w:rPr>
                <w:b/>
                <w:sz w:val="18"/>
              </w:rPr>
            </w:pPr>
            <w:r>
              <w:rPr>
                <w:b/>
                <w:sz w:val="18"/>
              </w:rPr>
              <w:t>IV</w:t>
            </w:r>
            <w:r>
              <w:rPr>
                <w:b/>
                <w:spacing w:val="-2"/>
                <w:sz w:val="18"/>
              </w:rPr>
              <w:t> Trimestre</w:t>
            </w:r>
          </w:p>
        </w:tc>
      </w:tr>
      <w:tr>
        <w:trPr>
          <w:trHeight w:val="1003" w:hRule="atLeast"/>
        </w:trPr>
        <w:tc>
          <w:tcPr>
            <w:tcW w:w="2593" w:type="dxa"/>
            <w:vMerge/>
            <w:tcBorders>
              <w:top w:val="nil"/>
            </w:tcBorders>
            <w:shd w:val="clear" w:color="auto" w:fill="D7D7D7"/>
          </w:tcPr>
          <w:p>
            <w:pPr>
              <w:rPr>
                <w:sz w:val="2"/>
                <w:szCs w:val="2"/>
              </w:rPr>
            </w:pPr>
          </w:p>
        </w:tc>
        <w:tc>
          <w:tcPr>
            <w:tcW w:w="1426" w:type="dxa"/>
            <w:vMerge/>
            <w:tcBorders>
              <w:top w:val="nil"/>
            </w:tcBorders>
            <w:shd w:val="clear" w:color="auto" w:fill="D7D7D7"/>
          </w:tcPr>
          <w:p>
            <w:pPr>
              <w:rPr>
                <w:sz w:val="2"/>
                <w:szCs w:val="2"/>
              </w:rPr>
            </w:pP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34" w:type="dxa"/>
            <w:shd w:val="clear" w:color="auto" w:fill="D7D7D7"/>
          </w:tcPr>
          <w:p>
            <w:pPr>
              <w:pStyle w:val="TableParagraph"/>
              <w:spacing w:before="190"/>
              <w:rPr>
                <w:b/>
                <w:sz w:val="18"/>
              </w:rPr>
            </w:pPr>
          </w:p>
          <w:p>
            <w:pPr>
              <w:pStyle w:val="TableParagraph"/>
              <w:ind w:left="6"/>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67" w:firstLine="312"/>
              <w:rPr>
                <w:b/>
                <w:sz w:val="18"/>
              </w:rPr>
            </w:pPr>
            <w:r>
              <w:rPr>
                <w:b/>
                <w:spacing w:val="-4"/>
                <w:sz w:val="18"/>
              </w:rPr>
              <w:t>Meta </w:t>
            </w:r>
            <w:r>
              <w:rPr>
                <w:b/>
                <w:spacing w:val="-2"/>
                <w:sz w:val="18"/>
              </w:rPr>
              <w:t>programada</w:t>
            </w:r>
          </w:p>
        </w:tc>
        <w:tc>
          <w:tcPr>
            <w:tcW w:w="1392" w:type="dxa"/>
            <w:shd w:val="clear" w:color="auto" w:fill="D7D7D7"/>
          </w:tcPr>
          <w:p>
            <w:pPr>
              <w:pStyle w:val="TableParagraph"/>
              <w:spacing w:before="190"/>
              <w:rPr>
                <w:b/>
                <w:sz w:val="18"/>
              </w:rPr>
            </w:pPr>
          </w:p>
          <w:p>
            <w:pPr>
              <w:pStyle w:val="TableParagraph"/>
              <w:ind w:left="7"/>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3" w:firstLine="312"/>
              <w:rPr>
                <w:b/>
                <w:sz w:val="18"/>
              </w:rPr>
            </w:pPr>
            <w:r>
              <w:rPr>
                <w:b/>
                <w:spacing w:val="-4"/>
                <w:sz w:val="18"/>
              </w:rPr>
              <w:t>Meta </w:t>
            </w:r>
            <w:r>
              <w:rPr>
                <w:b/>
                <w:spacing w:val="-2"/>
                <w:sz w:val="18"/>
              </w:rPr>
              <w:t>programada</w:t>
            </w:r>
          </w:p>
        </w:tc>
        <w:tc>
          <w:tcPr>
            <w:tcW w:w="1488" w:type="dxa"/>
            <w:shd w:val="clear" w:color="auto" w:fill="D7D7D7"/>
          </w:tcPr>
          <w:p>
            <w:pPr>
              <w:pStyle w:val="TableParagraph"/>
              <w:spacing w:before="190"/>
              <w:rPr>
                <w:b/>
                <w:sz w:val="18"/>
              </w:rPr>
            </w:pPr>
          </w:p>
          <w:p>
            <w:pPr>
              <w:pStyle w:val="TableParagraph"/>
              <w:ind w:left="9"/>
              <w:jc w:val="center"/>
              <w:rPr>
                <w:b/>
                <w:sz w:val="18"/>
              </w:rPr>
            </w:pPr>
            <w:r>
              <w:rPr>
                <w:b/>
                <w:spacing w:val="-10"/>
                <w:sz w:val="18"/>
              </w:rPr>
              <w:t>¢</w:t>
            </w:r>
          </w:p>
        </w:tc>
        <w:tc>
          <w:tcPr>
            <w:tcW w:w="1181" w:type="dxa"/>
            <w:shd w:val="clear" w:color="auto" w:fill="D7D7D7"/>
          </w:tcPr>
          <w:p>
            <w:pPr>
              <w:pStyle w:val="TableParagraph"/>
              <w:spacing w:before="84"/>
              <w:rPr>
                <w:b/>
                <w:sz w:val="18"/>
              </w:rPr>
            </w:pPr>
          </w:p>
          <w:p>
            <w:pPr>
              <w:pStyle w:val="TableParagraph"/>
              <w:ind w:left="74" w:firstLine="312"/>
              <w:rPr>
                <w:b/>
                <w:sz w:val="18"/>
              </w:rPr>
            </w:pPr>
            <w:r>
              <w:rPr>
                <w:b/>
                <w:spacing w:val="-4"/>
                <w:sz w:val="18"/>
              </w:rPr>
              <w:t>Meta </w:t>
            </w:r>
            <w:r>
              <w:rPr>
                <w:b/>
                <w:spacing w:val="-2"/>
                <w:sz w:val="18"/>
              </w:rPr>
              <w:t>programada</w:t>
            </w:r>
          </w:p>
        </w:tc>
        <w:tc>
          <w:tcPr>
            <w:tcW w:w="1436" w:type="dxa"/>
            <w:shd w:val="clear" w:color="auto" w:fill="D7D7D7"/>
          </w:tcPr>
          <w:p>
            <w:pPr>
              <w:pStyle w:val="TableParagraph"/>
              <w:spacing w:before="190"/>
              <w:rPr>
                <w:b/>
                <w:sz w:val="18"/>
              </w:rPr>
            </w:pPr>
          </w:p>
          <w:p>
            <w:pPr>
              <w:pStyle w:val="TableParagraph"/>
              <w:ind w:left="14"/>
              <w:jc w:val="center"/>
              <w:rPr>
                <w:b/>
                <w:sz w:val="18"/>
              </w:rPr>
            </w:pPr>
            <w:r>
              <w:rPr>
                <w:b/>
                <w:spacing w:val="-10"/>
                <w:sz w:val="18"/>
              </w:rPr>
              <w:t>¢</w:t>
            </w:r>
          </w:p>
        </w:tc>
      </w:tr>
      <w:tr>
        <w:trPr>
          <w:trHeight w:val="1828" w:hRule="atLeast"/>
        </w:trPr>
        <w:tc>
          <w:tcPr>
            <w:tcW w:w="2593" w:type="dxa"/>
          </w:tcPr>
          <w:p>
            <w:pPr>
              <w:pStyle w:val="TableParagraph"/>
              <w:spacing w:before="191"/>
              <w:ind w:left="72"/>
              <w:rPr>
                <w:sz w:val="18"/>
              </w:rPr>
            </w:pPr>
            <w:r>
              <w:rPr>
                <w:b/>
                <w:sz w:val="18"/>
              </w:rPr>
              <w:t>Producto PAC 2.20.2: </w:t>
            </w:r>
            <w:r>
              <w:rPr>
                <w:sz w:val="18"/>
              </w:rPr>
              <w:t>Capacitar</w:t>
            </w:r>
            <w:r>
              <w:rPr>
                <w:spacing w:val="-7"/>
                <w:sz w:val="18"/>
              </w:rPr>
              <w:t> </w:t>
            </w:r>
            <w:r>
              <w:rPr>
                <w:sz w:val="18"/>
              </w:rPr>
              <w:t>al</w:t>
            </w:r>
            <w:r>
              <w:rPr>
                <w:spacing w:val="-13"/>
                <w:sz w:val="18"/>
              </w:rPr>
              <w:t> </w:t>
            </w:r>
            <w:r>
              <w:rPr>
                <w:sz w:val="18"/>
              </w:rPr>
              <w:t>personal</w:t>
            </w:r>
            <w:r>
              <w:rPr>
                <w:spacing w:val="-8"/>
                <w:sz w:val="18"/>
              </w:rPr>
              <w:t> </w:t>
            </w:r>
            <w:r>
              <w:rPr>
                <w:sz w:val="18"/>
              </w:rPr>
              <w:t>del</w:t>
            </w:r>
            <w:r>
              <w:rPr>
                <w:spacing w:val="-9"/>
                <w:sz w:val="18"/>
              </w:rPr>
              <w:t> </w:t>
            </w:r>
            <w:r>
              <w:rPr>
                <w:sz w:val="18"/>
              </w:rPr>
              <w:t>Área de Desarrollo Humano en la aplicación</w:t>
            </w:r>
            <w:r>
              <w:rPr>
                <w:spacing w:val="-1"/>
                <w:sz w:val="18"/>
              </w:rPr>
              <w:t> </w:t>
            </w:r>
            <w:r>
              <w:rPr>
                <w:sz w:val="18"/>
              </w:rPr>
              <w:t>de</w:t>
            </w:r>
            <w:r>
              <w:rPr>
                <w:spacing w:val="-5"/>
                <w:sz w:val="18"/>
              </w:rPr>
              <w:t> </w:t>
            </w:r>
            <w:r>
              <w:rPr>
                <w:sz w:val="18"/>
              </w:rPr>
              <w:t>los lineamientos de la norma INTE G38 y en prácticas inclusivas libres de </w:t>
            </w:r>
            <w:r>
              <w:rPr>
                <w:spacing w:val="-2"/>
                <w:sz w:val="18"/>
              </w:rPr>
              <w:t>discriminación</w:t>
            </w:r>
          </w:p>
        </w:tc>
        <w:tc>
          <w:tcPr>
            <w:tcW w:w="1426" w:type="dxa"/>
          </w:tcPr>
          <w:p>
            <w:pPr>
              <w:pStyle w:val="TableParagraph"/>
              <w:rPr>
                <w:b/>
                <w:sz w:val="18"/>
              </w:rPr>
            </w:pPr>
          </w:p>
          <w:p>
            <w:pPr>
              <w:pStyle w:val="TableParagraph"/>
              <w:spacing w:before="189"/>
              <w:rPr>
                <w:b/>
                <w:sz w:val="18"/>
              </w:rPr>
            </w:pPr>
          </w:p>
          <w:p>
            <w:pPr>
              <w:pStyle w:val="TableParagraph"/>
              <w:ind w:left="71" w:right="24"/>
              <w:rPr>
                <w:sz w:val="18"/>
              </w:rPr>
            </w:pPr>
            <w:r>
              <w:rPr>
                <w:sz w:val="18"/>
              </w:rPr>
              <w:t>Cantidad de </w:t>
            </w:r>
            <w:r>
              <w:rPr>
                <w:spacing w:val="-2"/>
                <w:sz w:val="18"/>
              </w:rPr>
              <w:t>capacitaciones realizadas</w:t>
            </w:r>
          </w:p>
        </w:tc>
        <w:tc>
          <w:tcPr>
            <w:tcW w:w="1181" w:type="dxa"/>
          </w:tcPr>
          <w:p>
            <w:pPr>
              <w:pStyle w:val="TableParagraph"/>
              <w:rPr>
                <w:b/>
                <w:sz w:val="18"/>
              </w:rPr>
            </w:pPr>
          </w:p>
          <w:p>
            <w:pPr>
              <w:pStyle w:val="TableParagraph"/>
              <w:rPr>
                <w:b/>
                <w:sz w:val="18"/>
              </w:rPr>
            </w:pPr>
          </w:p>
          <w:p>
            <w:pPr>
              <w:pStyle w:val="TableParagraph"/>
              <w:spacing w:before="189"/>
              <w:rPr>
                <w:b/>
                <w:sz w:val="18"/>
              </w:rPr>
            </w:pPr>
          </w:p>
          <w:p>
            <w:pPr>
              <w:pStyle w:val="TableParagraph"/>
              <w:ind w:right="59"/>
              <w:jc w:val="right"/>
              <w:rPr>
                <w:sz w:val="18"/>
              </w:rPr>
            </w:pPr>
            <w:r>
              <w:rPr>
                <w:spacing w:val="-10"/>
                <w:sz w:val="18"/>
              </w:rPr>
              <w:t>1</w:t>
            </w:r>
          </w:p>
        </w:tc>
        <w:tc>
          <w:tcPr>
            <w:tcW w:w="1334"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89"/>
              <w:rPr>
                <w:b/>
                <w:sz w:val="18"/>
              </w:rPr>
            </w:pPr>
          </w:p>
          <w:p>
            <w:pPr>
              <w:pStyle w:val="TableParagraph"/>
              <w:ind w:right="58"/>
              <w:jc w:val="right"/>
              <w:rPr>
                <w:sz w:val="18"/>
              </w:rPr>
            </w:pPr>
            <w:r>
              <w:rPr>
                <w:spacing w:val="-10"/>
                <w:sz w:val="18"/>
              </w:rPr>
              <w:t>2</w:t>
            </w:r>
          </w:p>
        </w:tc>
        <w:tc>
          <w:tcPr>
            <w:tcW w:w="1392" w:type="dxa"/>
          </w:tcPr>
          <w:p>
            <w:pPr>
              <w:pStyle w:val="TableParagraph"/>
              <w:rPr>
                <w:rFonts w:ascii="Times New Roman"/>
                <w:sz w:val="18"/>
              </w:rPr>
            </w:pPr>
          </w:p>
        </w:tc>
        <w:tc>
          <w:tcPr>
            <w:tcW w:w="1181" w:type="dxa"/>
          </w:tcPr>
          <w:p>
            <w:pPr>
              <w:pStyle w:val="TableParagraph"/>
              <w:rPr>
                <w:rFonts w:ascii="Times New Roman"/>
                <w:sz w:val="18"/>
              </w:rPr>
            </w:pPr>
          </w:p>
        </w:tc>
        <w:tc>
          <w:tcPr>
            <w:tcW w:w="1488" w:type="dxa"/>
          </w:tcPr>
          <w:p>
            <w:pPr>
              <w:pStyle w:val="TableParagraph"/>
              <w:rPr>
                <w:rFonts w:ascii="Times New Roman"/>
                <w:sz w:val="18"/>
              </w:rPr>
            </w:pPr>
          </w:p>
        </w:tc>
        <w:tc>
          <w:tcPr>
            <w:tcW w:w="1181" w:type="dxa"/>
          </w:tcPr>
          <w:p>
            <w:pPr>
              <w:pStyle w:val="TableParagraph"/>
              <w:rPr>
                <w:rFonts w:ascii="Times New Roman"/>
                <w:sz w:val="18"/>
              </w:rPr>
            </w:pPr>
          </w:p>
        </w:tc>
        <w:tc>
          <w:tcPr>
            <w:tcW w:w="1436" w:type="dxa"/>
          </w:tcPr>
          <w:p>
            <w:pPr>
              <w:pStyle w:val="TableParagraph"/>
              <w:rPr>
                <w:rFonts w:ascii="Times New Roman"/>
                <w:sz w:val="18"/>
              </w:rPr>
            </w:pPr>
          </w:p>
        </w:tc>
      </w:tr>
      <w:tr>
        <w:trPr>
          <w:trHeight w:val="1459" w:hRule="atLeast"/>
        </w:trPr>
        <w:tc>
          <w:tcPr>
            <w:tcW w:w="2593" w:type="dxa"/>
          </w:tcPr>
          <w:p>
            <w:pPr>
              <w:pStyle w:val="TableParagraph"/>
              <w:rPr>
                <w:b/>
                <w:sz w:val="18"/>
              </w:rPr>
            </w:pPr>
          </w:p>
          <w:p>
            <w:pPr>
              <w:pStyle w:val="TableParagraph"/>
              <w:spacing w:before="3"/>
              <w:rPr>
                <w:b/>
                <w:sz w:val="18"/>
              </w:rPr>
            </w:pPr>
          </w:p>
          <w:p>
            <w:pPr>
              <w:pStyle w:val="TableParagraph"/>
              <w:spacing w:line="242" w:lineRule="auto"/>
              <w:ind w:left="72"/>
              <w:rPr>
                <w:sz w:val="18"/>
              </w:rPr>
            </w:pPr>
            <w:r>
              <w:rPr>
                <w:b/>
                <w:sz w:val="18"/>
              </w:rPr>
              <w:t>Producto PAC 2.20.3: </w:t>
            </w:r>
            <w:r>
              <w:rPr>
                <w:sz w:val="18"/>
              </w:rPr>
              <w:t>implementación</w:t>
            </w:r>
            <w:r>
              <w:rPr>
                <w:spacing w:val="-13"/>
                <w:sz w:val="18"/>
              </w:rPr>
              <w:t> </w:t>
            </w:r>
            <w:r>
              <w:rPr>
                <w:sz w:val="18"/>
              </w:rPr>
              <w:t>de</w:t>
            </w:r>
            <w:r>
              <w:rPr>
                <w:spacing w:val="-12"/>
                <w:sz w:val="18"/>
              </w:rPr>
              <w:t> </w:t>
            </w:r>
            <w:r>
              <w:rPr>
                <w:sz w:val="18"/>
              </w:rPr>
              <w:t>la</w:t>
            </w:r>
            <w:r>
              <w:rPr>
                <w:spacing w:val="-9"/>
                <w:sz w:val="18"/>
              </w:rPr>
              <w:t> </w:t>
            </w:r>
            <w:r>
              <w:rPr>
                <w:sz w:val="18"/>
              </w:rPr>
              <w:t>norma técnica INTE G38</w:t>
            </w:r>
          </w:p>
        </w:tc>
        <w:tc>
          <w:tcPr>
            <w:tcW w:w="1426" w:type="dxa"/>
          </w:tcPr>
          <w:p>
            <w:pPr>
              <w:pStyle w:val="TableParagraph"/>
              <w:spacing w:before="109"/>
              <w:rPr>
                <w:b/>
                <w:sz w:val="18"/>
              </w:rPr>
            </w:pPr>
          </w:p>
          <w:p>
            <w:pPr>
              <w:pStyle w:val="TableParagraph"/>
              <w:ind w:left="71" w:right="187"/>
              <w:rPr>
                <w:sz w:val="18"/>
              </w:rPr>
            </w:pPr>
            <w:r>
              <w:rPr>
                <w:sz w:val="18"/>
              </w:rPr>
              <w:t>Porcentaje</w:t>
            </w:r>
            <w:r>
              <w:rPr>
                <w:spacing w:val="-10"/>
                <w:sz w:val="18"/>
              </w:rPr>
              <w:t> </w:t>
            </w:r>
            <w:r>
              <w:rPr>
                <w:sz w:val="18"/>
              </w:rPr>
              <w:t>de la normativa </w:t>
            </w:r>
            <w:r>
              <w:rPr>
                <w:spacing w:val="-2"/>
                <w:sz w:val="18"/>
              </w:rPr>
              <w:t>técnica implementada</w:t>
            </w:r>
          </w:p>
        </w:tc>
        <w:tc>
          <w:tcPr>
            <w:tcW w:w="1181" w:type="dxa"/>
          </w:tcPr>
          <w:p>
            <w:pPr>
              <w:pStyle w:val="TableParagraph"/>
              <w:rPr>
                <w:rFonts w:ascii="Times New Roman"/>
                <w:sz w:val="18"/>
              </w:rPr>
            </w:pPr>
          </w:p>
        </w:tc>
        <w:tc>
          <w:tcPr>
            <w:tcW w:w="1334" w:type="dxa"/>
          </w:tcPr>
          <w:p>
            <w:pPr>
              <w:pStyle w:val="TableParagraph"/>
              <w:rPr>
                <w:rFonts w:ascii="Times New Roman"/>
                <w:sz w:val="18"/>
              </w:rPr>
            </w:pPr>
          </w:p>
        </w:tc>
        <w:tc>
          <w:tcPr>
            <w:tcW w:w="1181" w:type="dxa"/>
          </w:tcPr>
          <w:p>
            <w:pPr>
              <w:pStyle w:val="TableParagraph"/>
              <w:rPr>
                <w:rFonts w:ascii="Times New Roman"/>
                <w:sz w:val="18"/>
              </w:rPr>
            </w:pPr>
          </w:p>
        </w:tc>
        <w:tc>
          <w:tcPr>
            <w:tcW w:w="1392"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54"/>
              <w:rPr>
                <w:sz w:val="18"/>
              </w:rPr>
            </w:pPr>
            <w:r>
              <w:rPr>
                <w:spacing w:val="-5"/>
                <w:sz w:val="18"/>
              </w:rPr>
              <w:t>50%</w:t>
            </w:r>
          </w:p>
        </w:tc>
        <w:tc>
          <w:tcPr>
            <w:tcW w:w="148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54"/>
              <w:rPr>
                <w:sz w:val="18"/>
              </w:rPr>
            </w:pPr>
            <w:r>
              <w:rPr>
                <w:spacing w:val="-4"/>
                <w:sz w:val="18"/>
              </w:rPr>
              <w:t>100%</w:t>
            </w:r>
          </w:p>
        </w:tc>
        <w:tc>
          <w:tcPr>
            <w:tcW w:w="1436"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7"/>
        <w:gridCol w:w="1719"/>
        <w:gridCol w:w="1182"/>
        <w:gridCol w:w="1182"/>
        <w:gridCol w:w="1182"/>
        <w:gridCol w:w="1182"/>
        <w:gridCol w:w="1182"/>
        <w:gridCol w:w="1182"/>
        <w:gridCol w:w="1182"/>
        <w:gridCol w:w="1303"/>
      </w:tblGrid>
      <w:tr>
        <w:trPr>
          <w:trHeight w:val="277" w:hRule="atLeast"/>
        </w:trPr>
        <w:tc>
          <w:tcPr>
            <w:tcW w:w="3097" w:type="dxa"/>
            <w:vMerge w:val="restart"/>
            <w:tcBorders>
              <w:bottom w:val="single" w:sz="8" w:space="0" w:color="000000"/>
            </w:tcBorders>
            <w:shd w:val="clear" w:color="auto" w:fill="D7D7D7"/>
          </w:tcPr>
          <w:p>
            <w:pPr>
              <w:pStyle w:val="TableParagraph"/>
              <w:spacing w:before="70"/>
              <w:rPr>
                <w:b/>
                <w:sz w:val="18"/>
              </w:rPr>
            </w:pPr>
          </w:p>
          <w:p>
            <w:pPr>
              <w:pStyle w:val="TableParagraph"/>
              <w:ind w:left="585"/>
              <w:rPr>
                <w:b/>
                <w:sz w:val="18"/>
              </w:rPr>
            </w:pPr>
            <w:r>
              <w:rPr>
                <w:b/>
                <w:sz w:val="18"/>
              </w:rPr>
              <w:t>Objetivos</w:t>
            </w:r>
            <w:r>
              <w:rPr>
                <w:b/>
                <w:spacing w:val="-5"/>
                <w:sz w:val="18"/>
              </w:rPr>
              <w:t> </w:t>
            </w:r>
            <w:r>
              <w:rPr>
                <w:b/>
                <w:sz w:val="18"/>
              </w:rPr>
              <w:t>/</w:t>
            </w:r>
            <w:r>
              <w:rPr>
                <w:b/>
                <w:spacing w:val="-2"/>
                <w:sz w:val="18"/>
              </w:rPr>
              <w:t> Resultados</w:t>
            </w:r>
          </w:p>
        </w:tc>
        <w:tc>
          <w:tcPr>
            <w:tcW w:w="1719" w:type="dxa"/>
            <w:vMerge w:val="restart"/>
            <w:tcBorders>
              <w:bottom w:val="single" w:sz="8" w:space="0" w:color="000000"/>
            </w:tcBorders>
            <w:shd w:val="clear" w:color="auto" w:fill="D7D7D7"/>
          </w:tcPr>
          <w:p>
            <w:pPr>
              <w:pStyle w:val="TableParagraph"/>
              <w:spacing w:before="70"/>
              <w:rPr>
                <w:b/>
                <w:sz w:val="18"/>
              </w:rPr>
            </w:pPr>
          </w:p>
          <w:p>
            <w:pPr>
              <w:pStyle w:val="TableParagraph"/>
              <w:ind w:left="461"/>
              <w:rPr>
                <w:b/>
                <w:sz w:val="18"/>
              </w:rPr>
            </w:pPr>
            <w:r>
              <w:rPr>
                <w:b/>
                <w:spacing w:val="-2"/>
                <w:sz w:val="18"/>
              </w:rPr>
              <w:t>Indicador</w:t>
            </w:r>
          </w:p>
        </w:tc>
        <w:tc>
          <w:tcPr>
            <w:tcW w:w="2364" w:type="dxa"/>
            <w:gridSpan w:val="2"/>
            <w:shd w:val="clear" w:color="auto" w:fill="D7D7D7"/>
          </w:tcPr>
          <w:p>
            <w:pPr>
              <w:pStyle w:val="TableParagraph"/>
              <w:spacing w:before="37"/>
              <w:ind w:left="725"/>
              <w:rPr>
                <w:b/>
                <w:sz w:val="18"/>
              </w:rPr>
            </w:pPr>
            <w:r>
              <w:rPr>
                <w:b/>
                <w:sz w:val="18"/>
              </w:rPr>
              <w:t>I</w:t>
            </w:r>
            <w:r>
              <w:rPr>
                <w:b/>
                <w:spacing w:val="-1"/>
                <w:sz w:val="18"/>
              </w:rPr>
              <w:t> </w:t>
            </w:r>
            <w:r>
              <w:rPr>
                <w:b/>
                <w:spacing w:val="-2"/>
                <w:sz w:val="18"/>
              </w:rPr>
              <w:t>Trimestre</w:t>
            </w:r>
          </w:p>
        </w:tc>
        <w:tc>
          <w:tcPr>
            <w:tcW w:w="2364" w:type="dxa"/>
            <w:gridSpan w:val="2"/>
            <w:shd w:val="clear" w:color="auto" w:fill="D7D7D7"/>
          </w:tcPr>
          <w:p>
            <w:pPr>
              <w:pStyle w:val="TableParagraph"/>
              <w:spacing w:before="37"/>
              <w:ind w:left="699"/>
              <w:rPr>
                <w:b/>
                <w:sz w:val="18"/>
              </w:rPr>
            </w:pPr>
            <w:r>
              <w:rPr>
                <w:b/>
                <w:sz w:val="18"/>
              </w:rPr>
              <w:t>II</w:t>
            </w:r>
            <w:r>
              <w:rPr>
                <w:b/>
                <w:spacing w:val="-3"/>
                <w:sz w:val="18"/>
              </w:rPr>
              <w:t> </w:t>
            </w:r>
            <w:r>
              <w:rPr>
                <w:b/>
                <w:spacing w:val="-2"/>
                <w:sz w:val="18"/>
              </w:rPr>
              <w:t>Trimestre</w:t>
            </w:r>
          </w:p>
        </w:tc>
        <w:tc>
          <w:tcPr>
            <w:tcW w:w="2364" w:type="dxa"/>
            <w:gridSpan w:val="2"/>
            <w:shd w:val="clear" w:color="auto" w:fill="D7D7D7"/>
          </w:tcPr>
          <w:p>
            <w:pPr>
              <w:pStyle w:val="TableParagraph"/>
              <w:spacing w:before="37"/>
              <w:ind w:left="673"/>
              <w:rPr>
                <w:b/>
                <w:sz w:val="18"/>
              </w:rPr>
            </w:pPr>
            <w:r>
              <w:rPr>
                <w:b/>
                <w:sz w:val="18"/>
              </w:rPr>
              <w:t>III</w:t>
            </w:r>
            <w:r>
              <w:rPr>
                <w:b/>
                <w:spacing w:val="-2"/>
                <w:sz w:val="18"/>
              </w:rPr>
              <w:t> Trimestre</w:t>
            </w:r>
          </w:p>
        </w:tc>
        <w:tc>
          <w:tcPr>
            <w:tcW w:w="2485" w:type="dxa"/>
            <w:gridSpan w:val="2"/>
            <w:shd w:val="clear" w:color="auto" w:fill="D7D7D7"/>
          </w:tcPr>
          <w:p>
            <w:pPr>
              <w:pStyle w:val="TableParagraph"/>
              <w:spacing w:before="37"/>
              <w:ind w:left="719"/>
              <w:rPr>
                <w:b/>
                <w:sz w:val="18"/>
              </w:rPr>
            </w:pPr>
            <w:r>
              <w:rPr>
                <w:b/>
                <w:sz w:val="18"/>
              </w:rPr>
              <w:t>IV</w:t>
            </w:r>
            <w:r>
              <w:rPr>
                <w:b/>
                <w:spacing w:val="-2"/>
                <w:sz w:val="18"/>
              </w:rPr>
              <w:t> Trimestre</w:t>
            </w:r>
          </w:p>
        </w:tc>
      </w:tr>
      <w:tr>
        <w:trPr>
          <w:trHeight w:val="460" w:hRule="atLeast"/>
        </w:trPr>
        <w:tc>
          <w:tcPr>
            <w:tcW w:w="3097" w:type="dxa"/>
            <w:vMerge/>
            <w:tcBorders>
              <w:top w:val="nil"/>
              <w:bottom w:val="single" w:sz="8" w:space="0" w:color="000000"/>
            </w:tcBorders>
            <w:shd w:val="clear" w:color="auto" w:fill="D7D7D7"/>
          </w:tcPr>
          <w:p>
            <w:pPr>
              <w:rPr>
                <w:sz w:val="2"/>
                <w:szCs w:val="2"/>
              </w:rPr>
            </w:pPr>
          </w:p>
        </w:tc>
        <w:tc>
          <w:tcPr>
            <w:tcW w:w="1719" w:type="dxa"/>
            <w:vMerge/>
            <w:tcBorders>
              <w:top w:val="nil"/>
              <w:bottom w:val="single" w:sz="8" w:space="0" w:color="000000"/>
            </w:tcBorders>
            <w:shd w:val="clear" w:color="auto" w:fill="D7D7D7"/>
          </w:tcPr>
          <w:p>
            <w:pPr>
              <w:rPr>
                <w:sz w:val="2"/>
                <w:szCs w:val="2"/>
              </w:rPr>
            </w:pPr>
          </w:p>
        </w:tc>
        <w:tc>
          <w:tcPr>
            <w:tcW w:w="1182" w:type="dxa"/>
            <w:tcBorders>
              <w:bottom w:val="single" w:sz="8" w:space="0" w:color="000000"/>
            </w:tcBorders>
            <w:shd w:val="clear" w:color="auto" w:fill="D7D7D7"/>
          </w:tcPr>
          <w:p>
            <w:pPr>
              <w:pStyle w:val="TableParagraph"/>
              <w:spacing w:before="23"/>
              <w:ind w:left="76" w:firstLine="312"/>
              <w:rPr>
                <w:b/>
                <w:sz w:val="18"/>
              </w:rPr>
            </w:pPr>
            <w:r>
              <w:rPr>
                <w:b/>
                <w:spacing w:val="-4"/>
                <w:sz w:val="18"/>
              </w:rPr>
              <w:t>Meta </w:t>
            </w:r>
            <w:r>
              <w:rPr>
                <w:b/>
                <w:spacing w:val="-2"/>
                <w:sz w:val="18"/>
              </w:rPr>
              <w:t>programada</w:t>
            </w:r>
          </w:p>
        </w:tc>
        <w:tc>
          <w:tcPr>
            <w:tcW w:w="1182" w:type="dxa"/>
            <w:tcBorders>
              <w:bottom w:val="single" w:sz="8" w:space="0" w:color="000000"/>
            </w:tcBorders>
            <w:shd w:val="clear" w:color="auto" w:fill="D7D7D7"/>
          </w:tcPr>
          <w:p>
            <w:pPr>
              <w:pStyle w:val="TableParagraph"/>
              <w:spacing w:before="124"/>
              <w:ind w:left="30" w:right="9"/>
              <w:jc w:val="center"/>
              <w:rPr>
                <w:b/>
                <w:sz w:val="18"/>
              </w:rPr>
            </w:pPr>
            <w:r>
              <w:rPr>
                <w:b/>
                <w:spacing w:val="-10"/>
                <w:sz w:val="18"/>
              </w:rPr>
              <w:t>¢</w:t>
            </w:r>
          </w:p>
        </w:tc>
        <w:tc>
          <w:tcPr>
            <w:tcW w:w="1182" w:type="dxa"/>
            <w:tcBorders>
              <w:bottom w:val="single" w:sz="8" w:space="0" w:color="000000"/>
            </w:tcBorders>
            <w:shd w:val="clear" w:color="auto" w:fill="D7D7D7"/>
          </w:tcPr>
          <w:p>
            <w:pPr>
              <w:pStyle w:val="TableParagraph"/>
              <w:spacing w:before="23"/>
              <w:ind w:left="75" w:firstLine="312"/>
              <w:rPr>
                <w:b/>
                <w:sz w:val="18"/>
              </w:rPr>
            </w:pPr>
            <w:r>
              <w:rPr>
                <w:b/>
                <w:spacing w:val="-4"/>
                <w:sz w:val="18"/>
              </w:rPr>
              <w:t>Meta </w:t>
            </w:r>
            <w:r>
              <w:rPr>
                <w:b/>
                <w:spacing w:val="-2"/>
                <w:sz w:val="18"/>
              </w:rPr>
              <w:t>programada</w:t>
            </w:r>
          </w:p>
        </w:tc>
        <w:tc>
          <w:tcPr>
            <w:tcW w:w="1182" w:type="dxa"/>
            <w:tcBorders>
              <w:bottom w:val="single" w:sz="8" w:space="0" w:color="000000"/>
            </w:tcBorders>
            <w:shd w:val="clear" w:color="auto" w:fill="D7D7D7"/>
          </w:tcPr>
          <w:p>
            <w:pPr>
              <w:pStyle w:val="TableParagraph"/>
              <w:spacing w:before="124"/>
              <w:ind w:left="27" w:right="9"/>
              <w:jc w:val="center"/>
              <w:rPr>
                <w:b/>
                <w:sz w:val="18"/>
              </w:rPr>
            </w:pPr>
            <w:r>
              <w:rPr>
                <w:b/>
                <w:spacing w:val="-10"/>
                <w:sz w:val="18"/>
              </w:rPr>
              <w:t>¢</w:t>
            </w:r>
          </w:p>
        </w:tc>
        <w:tc>
          <w:tcPr>
            <w:tcW w:w="1182" w:type="dxa"/>
            <w:tcBorders>
              <w:bottom w:val="single" w:sz="8" w:space="0" w:color="000000"/>
            </w:tcBorders>
            <w:shd w:val="clear" w:color="auto" w:fill="D7D7D7"/>
          </w:tcPr>
          <w:p>
            <w:pPr>
              <w:pStyle w:val="TableParagraph"/>
              <w:spacing w:before="23"/>
              <w:ind w:left="73" w:firstLine="312"/>
              <w:rPr>
                <w:b/>
                <w:sz w:val="18"/>
              </w:rPr>
            </w:pPr>
            <w:r>
              <w:rPr>
                <w:b/>
                <w:spacing w:val="-4"/>
                <w:sz w:val="18"/>
              </w:rPr>
              <w:t>Meta </w:t>
            </w:r>
            <w:r>
              <w:rPr>
                <w:b/>
                <w:spacing w:val="-2"/>
                <w:sz w:val="18"/>
              </w:rPr>
              <w:t>programada</w:t>
            </w:r>
          </w:p>
        </w:tc>
        <w:tc>
          <w:tcPr>
            <w:tcW w:w="1182" w:type="dxa"/>
            <w:tcBorders>
              <w:bottom w:val="single" w:sz="8" w:space="0" w:color="000000"/>
            </w:tcBorders>
            <w:shd w:val="clear" w:color="auto" w:fill="D7D7D7"/>
          </w:tcPr>
          <w:p>
            <w:pPr>
              <w:pStyle w:val="TableParagraph"/>
              <w:spacing w:before="124"/>
              <w:ind w:left="24" w:right="9"/>
              <w:jc w:val="center"/>
              <w:rPr>
                <w:b/>
                <w:sz w:val="18"/>
              </w:rPr>
            </w:pPr>
            <w:r>
              <w:rPr>
                <w:b/>
                <w:spacing w:val="-10"/>
                <w:sz w:val="18"/>
              </w:rPr>
              <w:t>¢</w:t>
            </w:r>
          </w:p>
        </w:tc>
        <w:tc>
          <w:tcPr>
            <w:tcW w:w="1182" w:type="dxa"/>
            <w:tcBorders>
              <w:bottom w:val="single" w:sz="8" w:space="0" w:color="000000"/>
            </w:tcBorders>
            <w:shd w:val="clear" w:color="auto" w:fill="D7D7D7"/>
          </w:tcPr>
          <w:p>
            <w:pPr>
              <w:pStyle w:val="TableParagraph"/>
              <w:spacing w:before="23"/>
              <w:ind w:left="71" w:firstLine="312"/>
              <w:rPr>
                <w:b/>
                <w:sz w:val="18"/>
              </w:rPr>
            </w:pPr>
            <w:r>
              <w:rPr>
                <w:b/>
                <w:spacing w:val="-4"/>
                <w:sz w:val="18"/>
              </w:rPr>
              <w:t>Meta </w:t>
            </w:r>
            <w:r>
              <w:rPr>
                <w:b/>
                <w:spacing w:val="-2"/>
                <w:sz w:val="18"/>
              </w:rPr>
              <w:t>programada</w:t>
            </w:r>
          </w:p>
        </w:tc>
        <w:tc>
          <w:tcPr>
            <w:tcW w:w="1303" w:type="dxa"/>
            <w:tcBorders>
              <w:bottom w:val="single" w:sz="8" w:space="0" w:color="000000"/>
            </w:tcBorders>
            <w:shd w:val="clear" w:color="auto" w:fill="D7D7D7"/>
          </w:tcPr>
          <w:p>
            <w:pPr>
              <w:pStyle w:val="TableParagraph"/>
              <w:spacing w:before="124"/>
              <w:ind w:left="6"/>
              <w:jc w:val="center"/>
              <w:rPr>
                <w:b/>
                <w:sz w:val="18"/>
              </w:rPr>
            </w:pPr>
            <w:r>
              <w:rPr>
                <w:b/>
                <w:spacing w:val="-10"/>
                <w:sz w:val="18"/>
              </w:rPr>
              <w:t>¢</w:t>
            </w:r>
          </w:p>
        </w:tc>
      </w:tr>
      <w:tr>
        <w:trPr>
          <w:trHeight w:val="786" w:hRule="atLeast"/>
        </w:trPr>
        <w:tc>
          <w:tcPr>
            <w:tcW w:w="14393" w:type="dxa"/>
            <w:gridSpan w:val="10"/>
            <w:tcBorders>
              <w:top w:val="single" w:sz="8" w:space="0" w:color="000000"/>
              <w:left w:val="single" w:sz="8" w:space="0" w:color="000000"/>
              <w:bottom w:val="single" w:sz="8" w:space="0" w:color="000000"/>
              <w:right w:val="single" w:sz="8" w:space="0" w:color="000000"/>
            </w:tcBorders>
            <w:shd w:val="clear" w:color="auto" w:fill="EBF0DE"/>
          </w:tcPr>
          <w:p>
            <w:pPr>
              <w:pStyle w:val="TableParagraph"/>
              <w:spacing w:before="186"/>
              <w:ind w:left="72" w:right="11"/>
              <w:rPr>
                <w:b/>
                <w:sz w:val="18"/>
              </w:rPr>
            </w:pPr>
            <w:r>
              <w:rPr>
                <w:b/>
                <w:sz w:val="18"/>
              </w:rPr>
              <w:t>Efecto:</w:t>
            </w:r>
            <w:r>
              <w:rPr>
                <w:b/>
                <w:spacing w:val="-2"/>
                <w:sz w:val="18"/>
              </w:rPr>
              <w:t> </w:t>
            </w:r>
            <w:r>
              <w:rPr>
                <w:b/>
                <w:sz w:val="18"/>
              </w:rPr>
              <w:t>Realizar una efectiva gestión</w:t>
            </w:r>
            <w:r>
              <w:rPr>
                <w:b/>
                <w:spacing w:val="-5"/>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4"/>
                <w:sz w:val="18"/>
              </w:rPr>
              <w:t> </w:t>
            </w:r>
            <w:r>
              <w:rPr>
                <w:b/>
                <w:sz w:val="18"/>
              </w:rPr>
              <w:t>y</w:t>
            </w:r>
            <w:r>
              <w:rPr>
                <w:b/>
                <w:spacing w:val="-4"/>
                <w:sz w:val="18"/>
              </w:rPr>
              <w:t> </w:t>
            </w:r>
            <w:r>
              <w:rPr>
                <w:b/>
                <w:sz w:val="18"/>
              </w:rPr>
              <w:t>tecnológicos, con el</w:t>
            </w:r>
            <w:r>
              <w:rPr>
                <w:b/>
                <w:spacing w:val="-2"/>
                <w:sz w:val="18"/>
              </w:rPr>
              <w:t> </w:t>
            </w:r>
            <w:r>
              <w:rPr>
                <w:b/>
                <w:sz w:val="18"/>
              </w:rPr>
              <w:t>fin</w:t>
            </w:r>
            <w:r>
              <w:rPr>
                <w:b/>
                <w:spacing w:val="-5"/>
                <w:sz w:val="18"/>
              </w:rPr>
              <w:t> </w:t>
            </w:r>
            <w:r>
              <w:rPr>
                <w:b/>
                <w:sz w:val="18"/>
              </w:rPr>
              <w:t>de contribuir</w:t>
            </w:r>
            <w:r>
              <w:rPr>
                <w:b/>
                <w:spacing w:val="-3"/>
                <w:sz w:val="18"/>
              </w:rPr>
              <w:t> </w:t>
            </w:r>
            <w:r>
              <w:rPr>
                <w:b/>
                <w:sz w:val="18"/>
              </w:rPr>
              <w:t>con</w:t>
            </w:r>
            <w:r>
              <w:rPr>
                <w:b/>
                <w:spacing w:val="-5"/>
                <w:sz w:val="18"/>
              </w:rPr>
              <w:t> </w:t>
            </w:r>
            <w:r>
              <w:rPr>
                <w:b/>
                <w:sz w:val="18"/>
              </w:rPr>
              <w:t>la</w:t>
            </w:r>
            <w:r>
              <w:rPr>
                <w:b/>
                <w:spacing w:val="-4"/>
                <w:sz w:val="18"/>
              </w:rPr>
              <w:t> </w:t>
            </w:r>
            <w:r>
              <w:rPr>
                <w:b/>
                <w:sz w:val="18"/>
              </w:rPr>
              <w:t>institucionalización de</w:t>
            </w:r>
            <w:r>
              <w:rPr>
                <w:b/>
                <w:spacing w:val="-4"/>
                <w:sz w:val="18"/>
              </w:rPr>
              <w:t> </w:t>
            </w:r>
            <w:r>
              <w:rPr>
                <w:b/>
                <w:sz w:val="18"/>
              </w:rPr>
              <w:t>la estrategia de intervención de la población en situación de pobreza y pobreza extrema.</w:t>
            </w:r>
          </w:p>
        </w:tc>
      </w:tr>
      <w:tr>
        <w:trPr>
          <w:trHeight w:val="662" w:hRule="atLeast"/>
        </w:trPr>
        <w:tc>
          <w:tcPr>
            <w:tcW w:w="14393" w:type="dxa"/>
            <w:gridSpan w:val="10"/>
            <w:tcBorders>
              <w:top w:val="single" w:sz="8" w:space="0" w:color="000000"/>
              <w:left w:val="single" w:sz="8" w:space="0" w:color="000000"/>
              <w:right w:val="nil"/>
            </w:tcBorders>
            <w:shd w:val="clear" w:color="auto" w:fill="EFF8F9"/>
          </w:tcPr>
          <w:p>
            <w:pPr>
              <w:pStyle w:val="TableParagraph"/>
              <w:spacing w:before="124"/>
              <w:ind w:left="72" w:right="530"/>
              <w:rPr>
                <w:b/>
                <w:sz w:val="18"/>
              </w:rPr>
            </w:pPr>
            <w:r>
              <w:rPr>
                <w:b/>
                <w:sz w:val="18"/>
              </w:rPr>
              <w:t>Producto</w:t>
            </w:r>
            <w:r>
              <w:rPr>
                <w:b/>
                <w:spacing w:val="-3"/>
                <w:sz w:val="18"/>
              </w:rPr>
              <w:t> </w:t>
            </w:r>
            <w:r>
              <w:rPr>
                <w:b/>
                <w:sz w:val="18"/>
              </w:rPr>
              <w:t>PAC</w:t>
            </w:r>
            <w:r>
              <w:rPr>
                <w:b/>
                <w:spacing w:val="-4"/>
                <w:sz w:val="18"/>
              </w:rPr>
              <w:t> </w:t>
            </w:r>
            <w:r>
              <w:rPr>
                <w:b/>
                <w:sz w:val="18"/>
              </w:rPr>
              <w:t>2.21:</w:t>
            </w:r>
            <w:r>
              <w:rPr>
                <w:b/>
                <w:spacing w:val="40"/>
                <w:sz w:val="18"/>
              </w:rPr>
              <w:t> </w:t>
            </w:r>
            <w:r>
              <w:rPr>
                <w:b/>
                <w:sz w:val="18"/>
              </w:rPr>
              <w:t>Plan</w:t>
            </w:r>
            <w:r>
              <w:rPr>
                <w:b/>
                <w:spacing w:val="-3"/>
                <w:sz w:val="18"/>
              </w:rPr>
              <w:t> </w:t>
            </w:r>
            <w:r>
              <w:rPr>
                <w:b/>
                <w:sz w:val="18"/>
              </w:rPr>
              <w:t>de</w:t>
            </w:r>
            <w:r>
              <w:rPr>
                <w:b/>
                <w:spacing w:val="-2"/>
                <w:sz w:val="18"/>
              </w:rPr>
              <w:t> </w:t>
            </w:r>
            <w:r>
              <w:rPr>
                <w:b/>
                <w:sz w:val="18"/>
              </w:rPr>
              <w:t>acción</w:t>
            </w:r>
            <w:r>
              <w:rPr>
                <w:b/>
                <w:spacing w:val="-3"/>
                <w:sz w:val="18"/>
              </w:rPr>
              <w:t> </w:t>
            </w:r>
            <w:r>
              <w:rPr>
                <w:b/>
                <w:sz w:val="18"/>
              </w:rPr>
              <w:t>institucional de</w:t>
            </w:r>
            <w:r>
              <w:rPr>
                <w:b/>
                <w:spacing w:val="-2"/>
                <w:sz w:val="18"/>
              </w:rPr>
              <w:t> </w:t>
            </w:r>
            <w:r>
              <w:rPr>
                <w:b/>
                <w:sz w:val="18"/>
              </w:rPr>
              <w:t>inversión</w:t>
            </w:r>
            <w:r>
              <w:rPr>
                <w:b/>
                <w:spacing w:val="-3"/>
                <w:sz w:val="18"/>
              </w:rPr>
              <w:t> </w:t>
            </w:r>
            <w:r>
              <w:rPr>
                <w:b/>
                <w:sz w:val="18"/>
              </w:rPr>
              <w:t>en herramientas</w:t>
            </w:r>
            <w:r>
              <w:rPr>
                <w:b/>
                <w:spacing w:val="-2"/>
                <w:sz w:val="18"/>
              </w:rPr>
              <w:t> </w:t>
            </w:r>
            <w:r>
              <w:rPr>
                <w:b/>
                <w:sz w:val="18"/>
              </w:rPr>
              <w:t>tecnológicas</w:t>
            </w:r>
            <w:r>
              <w:rPr>
                <w:b/>
                <w:spacing w:val="-2"/>
                <w:sz w:val="18"/>
              </w:rPr>
              <w:t> </w:t>
            </w:r>
            <w:r>
              <w:rPr>
                <w:b/>
                <w:sz w:val="18"/>
              </w:rPr>
              <w:t>y</w:t>
            </w:r>
            <w:r>
              <w:rPr>
                <w:b/>
                <w:spacing w:val="-2"/>
                <w:sz w:val="18"/>
              </w:rPr>
              <w:t> </w:t>
            </w:r>
            <w:r>
              <w:rPr>
                <w:b/>
                <w:sz w:val="18"/>
              </w:rPr>
              <w:t>desarrollo</w:t>
            </w:r>
            <w:r>
              <w:rPr>
                <w:b/>
                <w:spacing w:val="-3"/>
                <w:sz w:val="18"/>
              </w:rPr>
              <w:t> </w:t>
            </w:r>
            <w:r>
              <w:rPr>
                <w:b/>
                <w:sz w:val="18"/>
              </w:rPr>
              <w:t>de</w:t>
            </w:r>
            <w:r>
              <w:rPr>
                <w:b/>
                <w:spacing w:val="-2"/>
                <w:sz w:val="18"/>
              </w:rPr>
              <w:t> </w:t>
            </w:r>
            <w:r>
              <w:rPr>
                <w:b/>
                <w:sz w:val="18"/>
              </w:rPr>
              <w:t>sistemas informáticos</w:t>
            </w:r>
            <w:r>
              <w:rPr>
                <w:b/>
                <w:spacing w:val="-2"/>
                <w:sz w:val="18"/>
              </w:rPr>
              <w:t> </w:t>
            </w:r>
            <w:r>
              <w:rPr>
                <w:b/>
                <w:sz w:val="18"/>
              </w:rPr>
              <w:t>ejecutándose</w:t>
            </w:r>
            <w:r>
              <w:rPr>
                <w:b/>
                <w:spacing w:val="-2"/>
                <w:sz w:val="18"/>
              </w:rPr>
              <w:t> </w:t>
            </w:r>
            <w:r>
              <w:rPr>
                <w:b/>
                <w:sz w:val="18"/>
              </w:rPr>
              <w:t>para</w:t>
            </w:r>
            <w:r>
              <w:rPr>
                <w:b/>
                <w:spacing w:val="-2"/>
                <w:sz w:val="18"/>
              </w:rPr>
              <w:t> </w:t>
            </w:r>
            <w:r>
              <w:rPr>
                <w:b/>
                <w:sz w:val="18"/>
              </w:rPr>
              <w:t>atender</w:t>
            </w:r>
            <w:r>
              <w:rPr>
                <w:b/>
                <w:spacing w:val="-5"/>
                <w:sz w:val="18"/>
              </w:rPr>
              <w:t> </w:t>
            </w:r>
            <w:r>
              <w:rPr>
                <w:b/>
                <w:sz w:val="18"/>
              </w:rPr>
              <w:t>los requerimientos organizativos y estructurales con visión prospectiva institucional. (1.12.2) E1 AE12 R2 (meta programada 60%)</w:t>
            </w:r>
          </w:p>
        </w:tc>
      </w:tr>
      <w:tr>
        <w:trPr>
          <w:trHeight w:val="1238" w:hRule="atLeast"/>
        </w:trPr>
        <w:tc>
          <w:tcPr>
            <w:tcW w:w="3097" w:type="dxa"/>
            <w:tcBorders>
              <w:left w:val="single" w:sz="8" w:space="0" w:color="000000"/>
            </w:tcBorders>
          </w:tcPr>
          <w:p>
            <w:pPr>
              <w:pStyle w:val="TableParagraph"/>
              <w:spacing w:before="99"/>
              <w:ind w:left="72" w:right="99"/>
              <w:rPr>
                <w:sz w:val="18"/>
              </w:rPr>
            </w:pPr>
            <w:r>
              <w:rPr>
                <w:b/>
                <w:sz w:val="18"/>
              </w:rPr>
              <w:t>Producto</w:t>
            </w:r>
            <w:r>
              <w:rPr>
                <w:b/>
                <w:spacing w:val="-13"/>
                <w:sz w:val="18"/>
              </w:rPr>
              <w:t> </w:t>
            </w:r>
            <w:r>
              <w:rPr>
                <w:b/>
                <w:sz w:val="18"/>
              </w:rPr>
              <w:t>PAC</w:t>
            </w:r>
            <w:r>
              <w:rPr>
                <w:b/>
                <w:spacing w:val="-12"/>
                <w:sz w:val="18"/>
              </w:rPr>
              <w:t> </w:t>
            </w:r>
            <w:r>
              <w:rPr>
                <w:b/>
                <w:sz w:val="18"/>
              </w:rPr>
              <w:t>2.21.1:</w:t>
            </w:r>
            <w:r>
              <w:rPr>
                <w:b/>
                <w:spacing w:val="-9"/>
                <w:sz w:val="18"/>
              </w:rPr>
              <w:t> </w:t>
            </w:r>
            <w:r>
              <w:rPr>
                <w:sz w:val="18"/>
              </w:rPr>
              <w:t>Seguimiento a la ejecución del cumplimiento de las metas del Plan de inversión quinquenal para garantizar su </w:t>
            </w:r>
            <w:r>
              <w:rPr>
                <w:spacing w:val="-2"/>
                <w:sz w:val="18"/>
              </w:rPr>
              <w:t>ejecución.</w:t>
            </w:r>
          </w:p>
        </w:tc>
        <w:tc>
          <w:tcPr>
            <w:tcW w:w="1719" w:type="dxa"/>
          </w:tcPr>
          <w:p>
            <w:pPr>
              <w:pStyle w:val="TableParagraph"/>
              <w:spacing w:before="205"/>
              <w:ind w:left="76"/>
              <w:rPr>
                <w:sz w:val="18"/>
              </w:rPr>
            </w:pPr>
            <w:r>
              <w:rPr>
                <w:sz w:val="18"/>
              </w:rPr>
              <w:t>Porcentaje de ejecución</w:t>
            </w:r>
            <w:r>
              <w:rPr>
                <w:spacing w:val="-15"/>
                <w:sz w:val="18"/>
              </w:rPr>
              <w:t> </w:t>
            </w:r>
            <w:r>
              <w:rPr>
                <w:sz w:val="18"/>
              </w:rPr>
              <w:t>del</w:t>
            </w:r>
            <w:r>
              <w:rPr>
                <w:spacing w:val="-12"/>
                <w:sz w:val="18"/>
              </w:rPr>
              <w:t> </w:t>
            </w:r>
            <w:r>
              <w:rPr>
                <w:sz w:val="18"/>
              </w:rPr>
              <w:t>plan quinquenal de </w:t>
            </w:r>
            <w:r>
              <w:rPr>
                <w:spacing w:val="-2"/>
                <w:sz w:val="18"/>
              </w:rPr>
              <w:t>inversión</w:t>
            </w: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b/>
                <w:sz w:val="18"/>
              </w:rPr>
            </w:pPr>
          </w:p>
          <w:p>
            <w:pPr>
              <w:pStyle w:val="TableParagraph"/>
              <w:spacing w:before="99"/>
              <w:rPr>
                <w:b/>
                <w:sz w:val="18"/>
              </w:rPr>
            </w:pPr>
          </w:p>
          <w:p>
            <w:pPr>
              <w:pStyle w:val="TableParagraph"/>
              <w:ind w:left="24" w:right="9"/>
              <w:jc w:val="center"/>
              <w:rPr>
                <w:sz w:val="18"/>
              </w:rPr>
            </w:pPr>
            <w:r>
              <w:rPr>
                <w:spacing w:val="-5"/>
                <w:sz w:val="18"/>
              </w:rPr>
              <w:t>60%</w:t>
            </w:r>
          </w:p>
        </w:tc>
        <w:tc>
          <w:tcPr>
            <w:tcW w:w="1303" w:type="dxa"/>
            <w:tcBorders>
              <w:right w:val="single" w:sz="8" w:space="0" w:color="000000"/>
            </w:tcBorders>
          </w:tcPr>
          <w:p>
            <w:pPr>
              <w:pStyle w:val="TableParagraph"/>
              <w:rPr>
                <w:rFonts w:ascii="Times New Roman"/>
                <w:sz w:val="18"/>
              </w:rPr>
            </w:pPr>
          </w:p>
        </w:tc>
      </w:tr>
      <w:tr>
        <w:trPr>
          <w:trHeight w:val="696" w:hRule="atLeast"/>
        </w:trPr>
        <w:tc>
          <w:tcPr>
            <w:tcW w:w="14393" w:type="dxa"/>
            <w:gridSpan w:val="10"/>
            <w:tcBorders>
              <w:left w:val="single" w:sz="8" w:space="0" w:color="000000"/>
              <w:right w:val="single" w:sz="8" w:space="0" w:color="000000"/>
            </w:tcBorders>
            <w:shd w:val="clear" w:color="auto" w:fill="EFF8F9"/>
          </w:tcPr>
          <w:p>
            <w:pPr>
              <w:pStyle w:val="TableParagraph"/>
              <w:spacing w:before="143"/>
              <w:ind w:left="72" w:right="11"/>
              <w:rPr>
                <w:b/>
                <w:sz w:val="18"/>
              </w:rPr>
            </w:pPr>
            <w:r>
              <w:rPr>
                <w:b/>
                <w:sz w:val="18"/>
              </w:rPr>
              <w:t>Producto</w:t>
            </w:r>
            <w:r>
              <w:rPr>
                <w:b/>
                <w:spacing w:val="-4"/>
                <w:sz w:val="18"/>
              </w:rPr>
              <w:t> </w:t>
            </w:r>
            <w:r>
              <w:rPr>
                <w:b/>
                <w:sz w:val="18"/>
              </w:rPr>
              <w:t>PAC</w:t>
            </w:r>
            <w:r>
              <w:rPr>
                <w:b/>
                <w:spacing w:val="-5"/>
                <w:sz w:val="18"/>
              </w:rPr>
              <w:t> </w:t>
            </w:r>
            <w:r>
              <w:rPr>
                <w:b/>
                <w:sz w:val="18"/>
              </w:rPr>
              <w:t>2.22:</w:t>
            </w:r>
            <w:r>
              <w:rPr>
                <w:b/>
                <w:spacing w:val="-1"/>
                <w:sz w:val="18"/>
              </w:rPr>
              <w:t> </w:t>
            </w:r>
            <w:r>
              <w:rPr>
                <w:b/>
                <w:sz w:val="18"/>
              </w:rPr>
              <w:t>Procesos y</w:t>
            </w:r>
            <w:r>
              <w:rPr>
                <w:b/>
                <w:spacing w:val="-3"/>
                <w:sz w:val="18"/>
              </w:rPr>
              <w:t> </w:t>
            </w:r>
            <w:r>
              <w:rPr>
                <w:b/>
                <w:sz w:val="18"/>
              </w:rPr>
              <w:t>servicios</w:t>
            </w:r>
            <w:r>
              <w:rPr>
                <w:b/>
                <w:spacing w:val="-8"/>
                <w:sz w:val="18"/>
              </w:rPr>
              <w:t> </w:t>
            </w:r>
            <w:r>
              <w:rPr>
                <w:b/>
                <w:sz w:val="18"/>
              </w:rPr>
              <w:t>institucionales</w:t>
            </w:r>
            <w:r>
              <w:rPr>
                <w:b/>
                <w:spacing w:val="-3"/>
                <w:sz w:val="18"/>
              </w:rPr>
              <w:t> </w:t>
            </w:r>
            <w:r>
              <w:rPr>
                <w:b/>
                <w:sz w:val="18"/>
              </w:rPr>
              <w:t>alineados</w:t>
            </w:r>
            <w:r>
              <w:rPr>
                <w:b/>
                <w:spacing w:val="-3"/>
                <w:sz w:val="18"/>
              </w:rPr>
              <w:t> </w:t>
            </w:r>
            <w:r>
              <w:rPr>
                <w:b/>
                <w:sz w:val="18"/>
              </w:rPr>
              <w:t>bajo el</w:t>
            </w:r>
            <w:r>
              <w:rPr>
                <w:b/>
                <w:spacing w:val="-1"/>
                <w:sz w:val="18"/>
              </w:rPr>
              <w:t> </w:t>
            </w:r>
            <w:r>
              <w:rPr>
                <w:b/>
                <w:sz w:val="18"/>
              </w:rPr>
              <w:t>marco</w:t>
            </w:r>
            <w:r>
              <w:rPr>
                <w:b/>
                <w:spacing w:val="-4"/>
                <w:sz w:val="18"/>
              </w:rPr>
              <w:t> </w:t>
            </w:r>
            <w:r>
              <w:rPr>
                <w:b/>
                <w:sz w:val="18"/>
              </w:rPr>
              <w:t>e</w:t>
            </w:r>
            <w:r>
              <w:rPr>
                <w:b/>
                <w:spacing w:val="-3"/>
                <w:sz w:val="18"/>
              </w:rPr>
              <w:t> </w:t>
            </w:r>
            <w:r>
              <w:rPr>
                <w:b/>
                <w:sz w:val="18"/>
              </w:rPr>
              <w:t>instrucciones</w:t>
            </w:r>
            <w:r>
              <w:rPr>
                <w:b/>
                <w:spacing w:val="-3"/>
                <w:sz w:val="18"/>
              </w:rPr>
              <w:t> </w:t>
            </w:r>
            <w:r>
              <w:rPr>
                <w:b/>
                <w:sz w:val="18"/>
              </w:rPr>
              <w:t>de</w:t>
            </w:r>
            <w:r>
              <w:rPr>
                <w:b/>
                <w:spacing w:val="-3"/>
                <w:sz w:val="18"/>
              </w:rPr>
              <w:t> </w:t>
            </w:r>
            <w:r>
              <w:rPr>
                <w:b/>
                <w:sz w:val="18"/>
              </w:rPr>
              <w:t>ciberseguridad emitidos por</w:t>
            </w:r>
            <w:r>
              <w:rPr>
                <w:b/>
                <w:spacing w:val="-2"/>
                <w:sz w:val="18"/>
              </w:rPr>
              <w:t> </w:t>
            </w:r>
            <w:r>
              <w:rPr>
                <w:b/>
                <w:sz w:val="18"/>
              </w:rPr>
              <w:t>instancias</w:t>
            </w:r>
            <w:r>
              <w:rPr>
                <w:b/>
                <w:spacing w:val="-3"/>
                <w:sz w:val="18"/>
              </w:rPr>
              <w:t> </w:t>
            </w:r>
            <w:r>
              <w:rPr>
                <w:b/>
                <w:sz w:val="18"/>
              </w:rPr>
              <w:t>nacionales y/o internacionales para regular la actividad de seguridad digital en el ámbito institucional. 1,13,2 E1 AE13 R2 (meta</w:t>
            </w:r>
            <w:r>
              <w:rPr>
                <w:b/>
                <w:spacing w:val="-1"/>
                <w:sz w:val="18"/>
              </w:rPr>
              <w:t> </w:t>
            </w:r>
            <w:r>
              <w:rPr>
                <w:b/>
                <w:sz w:val="18"/>
              </w:rPr>
              <w:t>programada 100%)</w:t>
            </w:r>
          </w:p>
        </w:tc>
      </w:tr>
      <w:tr>
        <w:trPr>
          <w:trHeight w:val="830" w:hRule="atLeast"/>
        </w:trPr>
        <w:tc>
          <w:tcPr>
            <w:tcW w:w="3097" w:type="dxa"/>
            <w:tcBorders>
              <w:left w:val="single" w:sz="8" w:space="0" w:color="000000"/>
            </w:tcBorders>
          </w:tcPr>
          <w:p>
            <w:pPr>
              <w:pStyle w:val="TableParagraph"/>
              <w:spacing w:before="205"/>
              <w:ind w:left="72"/>
              <w:rPr>
                <w:sz w:val="18"/>
              </w:rPr>
            </w:pPr>
            <w:r>
              <w:rPr>
                <w:b/>
                <w:sz w:val="18"/>
              </w:rPr>
              <w:t>Producto</w:t>
            </w:r>
            <w:r>
              <w:rPr>
                <w:b/>
                <w:spacing w:val="-10"/>
                <w:sz w:val="18"/>
              </w:rPr>
              <w:t> </w:t>
            </w:r>
            <w:r>
              <w:rPr>
                <w:b/>
                <w:sz w:val="18"/>
              </w:rPr>
              <w:t>PAC</w:t>
            </w:r>
            <w:r>
              <w:rPr>
                <w:b/>
                <w:spacing w:val="-11"/>
                <w:sz w:val="18"/>
              </w:rPr>
              <w:t> </w:t>
            </w:r>
            <w:r>
              <w:rPr>
                <w:b/>
                <w:sz w:val="18"/>
              </w:rPr>
              <w:t>2.22.1:</w:t>
            </w:r>
            <w:r>
              <w:rPr>
                <w:b/>
                <w:spacing w:val="-6"/>
                <w:sz w:val="18"/>
              </w:rPr>
              <w:t> </w:t>
            </w:r>
            <w:r>
              <w:rPr>
                <w:sz w:val="18"/>
              </w:rPr>
              <w:t>Monitoreo</w:t>
            </w:r>
            <w:r>
              <w:rPr>
                <w:spacing w:val="-6"/>
                <w:sz w:val="18"/>
              </w:rPr>
              <w:t> </w:t>
            </w:r>
            <w:r>
              <w:rPr>
                <w:sz w:val="18"/>
              </w:rPr>
              <w:t>de ciberseguridad institucional.</w:t>
            </w:r>
          </w:p>
        </w:tc>
        <w:tc>
          <w:tcPr>
            <w:tcW w:w="1719" w:type="dxa"/>
          </w:tcPr>
          <w:p>
            <w:pPr>
              <w:pStyle w:val="TableParagraph"/>
              <w:ind w:left="76" w:right="515"/>
              <w:rPr>
                <w:sz w:val="18"/>
              </w:rPr>
            </w:pPr>
            <w:r>
              <w:rPr>
                <w:sz w:val="18"/>
              </w:rPr>
              <w:t>Cantidad</w:t>
            </w:r>
            <w:r>
              <w:rPr>
                <w:spacing w:val="-13"/>
                <w:sz w:val="18"/>
              </w:rPr>
              <w:t> </w:t>
            </w:r>
            <w:r>
              <w:rPr>
                <w:sz w:val="18"/>
              </w:rPr>
              <w:t>de reportes de </w:t>
            </w:r>
            <w:r>
              <w:rPr>
                <w:spacing w:val="-2"/>
                <w:sz w:val="18"/>
              </w:rPr>
              <w:t>monitoreó</w:t>
            </w:r>
          </w:p>
          <w:p>
            <w:pPr>
              <w:pStyle w:val="TableParagraph"/>
              <w:spacing w:line="187" w:lineRule="exact" w:before="2"/>
              <w:ind w:left="76"/>
              <w:rPr>
                <w:sz w:val="18"/>
              </w:rPr>
            </w:pPr>
            <w:r>
              <w:rPr>
                <w:spacing w:val="-2"/>
                <w:sz w:val="18"/>
              </w:rPr>
              <w:t>elaborados</w:t>
            </w: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spacing w:before="103"/>
              <w:rPr>
                <w:b/>
                <w:sz w:val="18"/>
              </w:rPr>
            </w:pPr>
          </w:p>
          <w:p>
            <w:pPr>
              <w:pStyle w:val="TableParagraph"/>
              <w:spacing w:before="1"/>
              <w:ind w:left="29" w:right="9"/>
              <w:jc w:val="center"/>
              <w:rPr>
                <w:sz w:val="18"/>
              </w:rPr>
            </w:pPr>
            <w:r>
              <w:rPr>
                <w:spacing w:val="-10"/>
                <w:sz w:val="18"/>
              </w:rPr>
              <w:t>1</w:t>
            </w: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spacing w:before="103"/>
              <w:rPr>
                <w:b/>
                <w:sz w:val="18"/>
              </w:rPr>
            </w:pPr>
          </w:p>
          <w:p>
            <w:pPr>
              <w:pStyle w:val="TableParagraph"/>
              <w:spacing w:before="1"/>
              <w:ind w:left="22" w:right="9"/>
              <w:jc w:val="center"/>
              <w:rPr>
                <w:sz w:val="18"/>
              </w:rPr>
            </w:pPr>
            <w:r>
              <w:rPr>
                <w:spacing w:val="-10"/>
                <w:sz w:val="18"/>
              </w:rPr>
              <w:t>2</w:t>
            </w:r>
          </w:p>
        </w:tc>
        <w:tc>
          <w:tcPr>
            <w:tcW w:w="1303" w:type="dxa"/>
            <w:tcBorders>
              <w:right w:val="single" w:sz="8" w:space="0" w:color="000000"/>
            </w:tcBorders>
          </w:tcPr>
          <w:p>
            <w:pPr>
              <w:pStyle w:val="TableParagraph"/>
              <w:rPr>
                <w:rFonts w:ascii="Times New Roman"/>
                <w:sz w:val="18"/>
              </w:rPr>
            </w:pPr>
          </w:p>
        </w:tc>
      </w:tr>
      <w:tr>
        <w:trPr>
          <w:trHeight w:val="1036" w:hRule="atLeast"/>
        </w:trPr>
        <w:tc>
          <w:tcPr>
            <w:tcW w:w="3097" w:type="dxa"/>
            <w:tcBorders>
              <w:left w:val="single" w:sz="8" w:space="0" w:color="000000"/>
            </w:tcBorders>
          </w:tcPr>
          <w:p>
            <w:pPr>
              <w:pStyle w:val="TableParagraph"/>
              <w:spacing w:before="105"/>
              <w:ind w:left="72" w:right="99"/>
              <w:rPr>
                <w:sz w:val="18"/>
              </w:rPr>
            </w:pPr>
            <w:r>
              <w:rPr>
                <w:b/>
                <w:sz w:val="18"/>
              </w:rPr>
              <w:t>Producto</w:t>
            </w:r>
            <w:r>
              <w:rPr>
                <w:b/>
                <w:spacing w:val="-10"/>
                <w:sz w:val="18"/>
              </w:rPr>
              <w:t> </w:t>
            </w:r>
            <w:r>
              <w:rPr>
                <w:b/>
                <w:sz w:val="18"/>
              </w:rPr>
              <w:t>PAC</w:t>
            </w:r>
            <w:r>
              <w:rPr>
                <w:b/>
                <w:spacing w:val="-11"/>
                <w:sz w:val="18"/>
              </w:rPr>
              <w:t> </w:t>
            </w:r>
            <w:r>
              <w:rPr>
                <w:b/>
                <w:sz w:val="18"/>
              </w:rPr>
              <w:t>2.22.2:</w:t>
            </w:r>
            <w:r>
              <w:rPr>
                <w:b/>
                <w:spacing w:val="-2"/>
                <w:sz w:val="18"/>
              </w:rPr>
              <w:t> </w:t>
            </w:r>
            <w:r>
              <w:rPr>
                <w:sz w:val="18"/>
              </w:rPr>
              <w:t>Atención</w:t>
            </w:r>
            <w:r>
              <w:rPr>
                <w:spacing w:val="-9"/>
                <w:sz w:val="18"/>
              </w:rPr>
              <w:t> </w:t>
            </w:r>
            <w:r>
              <w:rPr>
                <w:sz w:val="18"/>
              </w:rPr>
              <w:t>de solicitudes remitidas por el MICITT en el tema de ciberseguridad, técnicamente viables de aplicación</w:t>
            </w:r>
          </w:p>
        </w:tc>
        <w:tc>
          <w:tcPr>
            <w:tcW w:w="1719" w:type="dxa"/>
          </w:tcPr>
          <w:p>
            <w:pPr>
              <w:pStyle w:val="TableParagraph"/>
              <w:spacing w:before="205"/>
              <w:ind w:left="76" w:right="515"/>
              <w:rPr>
                <w:sz w:val="18"/>
              </w:rPr>
            </w:pPr>
            <w:r>
              <w:rPr>
                <w:sz w:val="18"/>
              </w:rPr>
              <w:t>Porcentaje</w:t>
            </w:r>
            <w:r>
              <w:rPr>
                <w:spacing w:val="-13"/>
                <w:sz w:val="18"/>
              </w:rPr>
              <w:t> </w:t>
            </w:r>
            <w:r>
              <w:rPr>
                <w:sz w:val="18"/>
              </w:rPr>
              <w:t>de </w:t>
            </w:r>
            <w:r>
              <w:rPr>
                <w:spacing w:val="-2"/>
                <w:sz w:val="18"/>
              </w:rPr>
              <w:t>solicitudes aplicadas</w:t>
            </w: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spacing w:before="205"/>
              <w:rPr>
                <w:b/>
                <w:sz w:val="18"/>
              </w:rPr>
            </w:pPr>
          </w:p>
          <w:p>
            <w:pPr>
              <w:pStyle w:val="TableParagraph"/>
              <w:ind w:left="21" w:right="10"/>
              <w:jc w:val="center"/>
              <w:rPr>
                <w:sz w:val="18"/>
              </w:rPr>
            </w:pPr>
            <w:r>
              <w:rPr>
                <w:spacing w:val="-4"/>
                <w:sz w:val="18"/>
              </w:rPr>
              <w:t>100%</w:t>
            </w:r>
          </w:p>
        </w:tc>
        <w:tc>
          <w:tcPr>
            <w:tcW w:w="1303" w:type="dxa"/>
            <w:tcBorders>
              <w:right w:val="single" w:sz="8" w:space="0" w:color="000000"/>
            </w:tcBorders>
          </w:tcPr>
          <w:p>
            <w:pPr>
              <w:pStyle w:val="TableParagraph"/>
              <w:rPr>
                <w:rFonts w:ascii="Times New Roman"/>
                <w:sz w:val="18"/>
              </w:rPr>
            </w:pPr>
          </w:p>
        </w:tc>
      </w:tr>
      <w:tr>
        <w:trPr>
          <w:trHeight w:val="523" w:hRule="atLeast"/>
        </w:trPr>
        <w:tc>
          <w:tcPr>
            <w:tcW w:w="14393" w:type="dxa"/>
            <w:gridSpan w:val="10"/>
            <w:tcBorders>
              <w:left w:val="single" w:sz="8" w:space="0" w:color="000000"/>
              <w:right w:val="single" w:sz="8" w:space="0" w:color="000000"/>
            </w:tcBorders>
            <w:shd w:val="clear" w:color="auto" w:fill="EFF8F9"/>
          </w:tcPr>
          <w:p>
            <w:pPr>
              <w:pStyle w:val="TableParagraph"/>
              <w:spacing w:before="157"/>
              <w:ind w:left="72"/>
              <w:rPr>
                <w:b/>
                <w:sz w:val="18"/>
              </w:rPr>
            </w:pPr>
            <w:r>
              <w:rPr>
                <w:b/>
                <w:sz w:val="18"/>
              </w:rPr>
              <w:t>Producto</w:t>
            </w:r>
            <w:r>
              <w:rPr>
                <w:b/>
                <w:spacing w:val="-8"/>
                <w:sz w:val="18"/>
              </w:rPr>
              <w:t> </w:t>
            </w:r>
            <w:r>
              <w:rPr>
                <w:b/>
                <w:sz w:val="18"/>
              </w:rPr>
              <w:t>PAC</w:t>
            </w:r>
            <w:r>
              <w:rPr>
                <w:b/>
                <w:spacing w:val="-8"/>
                <w:sz w:val="18"/>
              </w:rPr>
              <w:t> </w:t>
            </w:r>
            <w:r>
              <w:rPr>
                <w:b/>
                <w:sz w:val="18"/>
              </w:rPr>
              <w:t>2.23:</w:t>
            </w:r>
            <w:r>
              <w:rPr>
                <w:b/>
                <w:spacing w:val="41"/>
                <w:sz w:val="18"/>
              </w:rPr>
              <w:t> </w:t>
            </w:r>
            <w:r>
              <w:rPr>
                <w:b/>
                <w:sz w:val="18"/>
              </w:rPr>
              <w:t>Infraestructura</w:t>
            </w:r>
            <w:r>
              <w:rPr>
                <w:b/>
                <w:spacing w:val="-6"/>
                <w:sz w:val="18"/>
              </w:rPr>
              <w:t> </w:t>
            </w:r>
            <w:r>
              <w:rPr>
                <w:b/>
                <w:sz w:val="18"/>
              </w:rPr>
              <w:t>tecnológica</w:t>
            </w:r>
            <w:r>
              <w:rPr>
                <w:b/>
                <w:spacing w:val="-3"/>
                <w:sz w:val="18"/>
              </w:rPr>
              <w:t> </w:t>
            </w:r>
            <w:r>
              <w:rPr>
                <w:b/>
                <w:sz w:val="18"/>
              </w:rPr>
              <w:t>brindando</w:t>
            </w:r>
            <w:r>
              <w:rPr>
                <w:b/>
                <w:spacing w:val="-2"/>
                <w:sz w:val="18"/>
              </w:rPr>
              <w:t> </w:t>
            </w:r>
            <w:r>
              <w:rPr>
                <w:b/>
                <w:sz w:val="18"/>
              </w:rPr>
              <w:t>servicios</w:t>
            </w:r>
            <w:r>
              <w:rPr>
                <w:b/>
                <w:spacing w:val="-6"/>
                <w:sz w:val="18"/>
              </w:rPr>
              <w:t> </w:t>
            </w:r>
            <w:r>
              <w:rPr>
                <w:b/>
                <w:sz w:val="18"/>
              </w:rPr>
              <w:t>a</w:t>
            </w:r>
            <w:r>
              <w:rPr>
                <w:b/>
                <w:spacing w:val="-6"/>
                <w:sz w:val="18"/>
              </w:rPr>
              <w:t> </w:t>
            </w:r>
            <w:r>
              <w:rPr>
                <w:b/>
                <w:sz w:val="18"/>
              </w:rPr>
              <w:t>todas</w:t>
            </w:r>
            <w:r>
              <w:rPr>
                <w:b/>
                <w:spacing w:val="-6"/>
                <w:sz w:val="18"/>
              </w:rPr>
              <w:t> </w:t>
            </w:r>
            <w:r>
              <w:rPr>
                <w:b/>
                <w:sz w:val="18"/>
              </w:rPr>
              <w:t>las</w:t>
            </w:r>
            <w:r>
              <w:rPr>
                <w:b/>
                <w:spacing w:val="-6"/>
                <w:sz w:val="18"/>
              </w:rPr>
              <w:t> </w:t>
            </w:r>
            <w:r>
              <w:rPr>
                <w:b/>
                <w:sz w:val="18"/>
              </w:rPr>
              <w:t>personas</w:t>
            </w:r>
            <w:r>
              <w:rPr>
                <w:b/>
                <w:spacing w:val="-7"/>
                <w:sz w:val="18"/>
              </w:rPr>
              <w:t> </w:t>
            </w:r>
            <w:r>
              <w:rPr>
                <w:b/>
                <w:sz w:val="18"/>
              </w:rPr>
              <w:t>usuarios</w:t>
            </w:r>
            <w:r>
              <w:rPr>
                <w:b/>
                <w:spacing w:val="-6"/>
                <w:sz w:val="18"/>
              </w:rPr>
              <w:t> </w:t>
            </w:r>
            <w:r>
              <w:rPr>
                <w:b/>
                <w:sz w:val="18"/>
              </w:rPr>
              <w:t>de</w:t>
            </w:r>
            <w:r>
              <w:rPr>
                <w:b/>
                <w:spacing w:val="-6"/>
                <w:sz w:val="18"/>
              </w:rPr>
              <w:t> </w:t>
            </w:r>
            <w:r>
              <w:rPr>
                <w:b/>
                <w:sz w:val="18"/>
              </w:rPr>
              <w:t>la</w:t>
            </w:r>
            <w:r>
              <w:rPr>
                <w:b/>
                <w:spacing w:val="-6"/>
                <w:sz w:val="18"/>
              </w:rPr>
              <w:t> </w:t>
            </w:r>
            <w:r>
              <w:rPr>
                <w:b/>
                <w:spacing w:val="-2"/>
                <w:sz w:val="18"/>
              </w:rPr>
              <w:t>institución.</w:t>
            </w:r>
          </w:p>
        </w:tc>
      </w:tr>
      <w:tr>
        <w:trPr>
          <w:trHeight w:val="1655" w:hRule="atLeast"/>
        </w:trPr>
        <w:tc>
          <w:tcPr>
            <w:tcW w:w="3097" w:type="dxa"/>
            <w:tcBorders>
              <w:left w:val="single" w:sz="8" w:space="0" w:color="000000"/>
            </w:tcBorders>
          </w:tcPr>
          <w:p>
            <w:pPr>
              <w:pStyle w:val="TableParagraph"/>
              <w:spacing w:before="204"/>
              <w:rPr>
                <w:b/>
                <w:sz w:val="18"/>
              </w:rPr>
            </w:pPr>
          </w:p>
          <w:p>
            <w:pPr>
              <w:pStyle w:val="TableParagraph"/>
              <w:ind w:left="72" w:right="99"/>
              <w:rPr>
                <w:sz w:val="18"/>
              </w:rPr>
            </w:pPr>
            <w:r>
              <w:rPr>
                <w:b/>
                <w:sz w:val="18"/>
              </w:rPr>
              <w:t>Producto</w:t>
            </w:r>
            <w:r>
              <w:rPr>
                <w:b/>
                <w:spacing w:val="-9"/>
                <w:sz w:val="18"/>
              </w:rPr>
              <w:t> </w:t>
            </w:r>
            <w:r>
              <w:rPr>
                <w:b/>
                <w:sz w:val="18"/>
              </w:rPr>
              <w:t>PAC</w:t>
            </w:r>
            <w:r>
              <w:rPr>
                <w:b/>
                <w:spacing w:val="-9"/>
                <w:sz w:val="18"/>
              </w:rPr>
              <w:t> </w:t>
            </w:r>
            <w:r>
              <w:rPr>
                <w:b/>
                <w:sz w:val="18"/>
              </w:rPr>
              <w:t>2.23.1:</w:t>
            </w:r>
            <w:r>
              <w:rPr>
                <w:b/>
                <w:spacing w:val="40"/>
                <w:sz w:val="18"/>
              </w:rPr>
              <w:t> </w:t>
            </w:r>
            <w:r>
              <w:rPr>
                <w:sz w:val="18"/>
              </w:rPr>
              <w:t>Gestionar</w:t>
            </w:r>
            <w:r>
              <w:rPr>
                <w:spacing w:val="-6"/>
                <w:sz w:val="18"/>
              </w:rPr>
              <w:t> </w:t>
            </w:r>
            <w:r>
              <w:rPr>
                <w:sz w:val="18"/>
              </w:rPr>
              <w:t>el mantenimiento y reparación de equipo de cómputo, sistemas de Información (partida 1.08.08) AC</w:t>
            </w:r>
          </w:p>
        </w:tc>
        <w:tc>
          <w:tcPr>
            <w:tcW w:w="1719" w:type="dxa"/>
          </w:tcPr>
          <w:p>
            <w:pPr>
              <w:pStyle w:val="TableParagraph"/>
              <w:ind w:left="76"/>
              <w:rPr>
                <w:sz w:val="18"/>
              </w:rPr>
            </w:pPr>
            <w:r>
              <w:rPr>
                <w:sz w:val="18"/>
              </w:rPr>
              <w:t>Porcentaje de gestiones de las </w:t>
            </w:r>
            <w:r>
              <w:rPr>
                <w:spacing w:val="-2"/>
                <w:sz w:val="18"/>
              </w:rPr>
              <w:t>solicitudes </w:t>
            </w:r>
            <w:r>
              <w:rPr>
                <w:sz w:val="18"/>
              </w:rPr>
              <w:t>efectuadas por las dependencias</w:t>
            </w:r>
            <w:r>
              <w:rPr>
                <w:spacing w:val="-13"/>
                <w:sz w:val="18"/>
              </w:rPr>
              <w:t> </w:t>
            </w:r>
            <w:r>
              <w:rPr>
                <w:sz w:val="18"/>
              </w:rPr>
              <w:t>para el</w:t>
            </w:r>
            <w:r>
              <w:rPr>
                <w:spacing w:val="-5"/>
                <w:sz w:val="18"/>
              </w:rPr>
              <w:t> </w:t>
            </w:r>
            <w:r>
              <w:rPr>
                <w:sz w:val="18"/>
              </w:rPr>
              <w:t>mantenimiento</w:t>
            </w:r>
            <w:r>
              <w:rPr>
                <w:spacing w:val="-8"/>
                <w:sz w:val="18"/>
              </w:rPr>
              <w:t> </w:t>
            </w:r>
            <w:r>
              <w:rPr>
                <w:sz w:val="18"/>
              </w:rPr>
              <w:t>y reparación de</w:t>
            </w:r>
          </w:p>
          <w:p>
            <w:pPr>
              <w:pStyle w:val="TableParagraph"/>
              <w:spacing w:line="187" w:lineRule="exact"/>
              <w:ind w:left="76"/>
              <w:rPr>
                <w:sz w:val="18"/>
              </w:rPr>
            </w:pPr>
            <w:r>
              <w:rPr>
                <w:sz w:val="18"/>
              </w:rPr>
              <w:t>equipo</w:t>
            </w:r>
            <w:r>
              <w:rPr>
                <w:spacing w:val="-1"/>
                <w:sz w:val="18"/>
              </w:rPr>
              <w:t> </w:t>
            </w:r>
            <w:r>
              <w:rPr>
                <w:spacing w:val="-5"/>
                <w:sz w:val="18"/>
              </w:rPr>
              <w:t>de</w:t>
            </w: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0"/>
              <w:jc w:val="center"/>
              <w:rPr>
                <w:sz w:val="18"/>
              </w:rPr>
            </w:pPr>
            <w:r>
              <w:rPr>
                <w:spacing w:val="-4"/>
                <w:sz w:val="18"/>
              </w:rPr>
              <w:t>100%</w:t>
            </w:r>
          </w:p>
        </w:tc>
        <w:tc>
          <w:tcPr>
            <w:tcW w:w="1303" w:type="dxa"/>
            <w:tcBorders>
              <w:right w:val="single" w:sz="8" w:space="0" w:color="000000"/>
            </w:tcBorders>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04"/>
              <w:rPr>
                <w:sz w:val="18"/>
              </w:rPr>
            </w:pPr>
            <w:r>
              <w:rPr>
                <w:sz w:val="18"/>
              </w:rPr>
              <w:t>₡617</w:t>
            </w:r>
            <w:r>
              <w:rPr>
                <w:spacing w:val="-4"/>
                <w:sz w:val="18"/>
              </w:rPr>
              <w:t> </w:t>
            </w:r>
            <w:r>
              <w:rPr>
                <w:sz w:val="18"/>
              </w:rPr>
              <w:t>200</w:t>
            </w:r>
            <w:r>
              <w:rPr>
                <w:spacing w:val="-4"/>
                <w:sz w:val="18"/>
              </w:rPr>
              <w:t> </w:t>
            </w:r>
            <w:r>
              <w:rPr>
                <w:spacing w:val="-5"/>
                <w:sz w:val="18"/>
              </w:rPr>
              <w:t>00</w:t>
            </w:r>
          </w:p>
        </w:tc>
      </w:tr>
    </w:tbl>
    <w:p>
      <w:pPr>
        <w:pStyle w:val="TableParagraph"/>
        <w:spacing w:after="0"/>
        <w:rPr>
          <w:sz w:val="18"/>
        </w:rPr>
        <w:sectPr>
          <w:pgSz w:w="15840" w:h="12240" w:orient="landscape"/>
          <w:pgMar w:header="0" w:footer="1806" w:top="1260" w:bottom="2535" w:left="360" w:right="360"/>
        </w:sectPr>
      </w:pP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7"/>
        <w:gridCol w:w="1719"/>
        <w:gridCol w:w="1182"/>
        <w:gridCol w:w="1182"/>
        <w:gridCol w:w="1182"/>
        <w:gridCol w:w="1182"/>
        <w:gridCol w:w="1182"/>
        <w:gridCol w:w="1182"/>
        <w:gridCol w:w="1182"/>
        <w:gridCol w:w="1303"/>
      </w:tblGrid>
      <w:tr>
        <w:trPr>
          <w:trHeight w:val="282" w:hRule="atLeast"/>
        </w:trPr>
        <w:tc>
          <w:tcPr>
            <w:tcW w:w="3097" w:type="dxa"/>
            <w:vMerge w:val="restart"/>
            <w:shd w:val="clear" w:color="auto" w:fill="D7D7D7"/>
          </w:tcPr>
          <w:p>
            <w:pPr>
              <w:pStyle w:val="TableParagraph"/>
              <w:spacing w:before="70"/>
              <w:rPr>
                <w:b/>
                <w:sz w:val="18"/>
              </w:rPr>
            </w:pPr>
          </w:p>
          <w:p>
            <w:pPr>
              <w:pStyle w:val="TableParagraph"/>
              <w:ind w:left="585"/>
              <w:rPr>
                <w:b/>
                <w:sz w:val="18"/>
              </w:rPr>
            </w:pPr>
            <w:r>
              <w:rPr>
                <w:b/>
                <w:sz w:val="18"/>
              </w:rPr>
              <w:t>Objetivos</w:t>
            </w:r>
            <w:r>
              <w:rPr>
                <w:b/>
                <w:spacing w:val="-5"/>
                <w:sz w:val="18"/>
              </w:rPr>
              <w:t> </w:t>
            </w:r>
            <w:r>
              <w:rPr>
                <w:b/>
                <w:sz w:val="18"/>
              </w:rPr>
              <w:t>/</w:t>
            </w:r>
            <w:r>
              <w:rPr>
                <w:b/>
                <w:spacing w:val="-2"/>
                <w:sz w:val="18"/>
              </w:rPr>
              <w:t> Resultados</w:t>
            </w:r>
          </w:p>
        </w:tc>
        <w:tc>
          <w:tcPr>
            <w:tcW w:w="1719" w:type="dxa"/>
            <w:vMerge w:val="restart"/>
            <w:shd w:val="clear" w:color="auto" w:fill="D7D7D7"/>
          </w:tcPr>
          <w:p>
            <w:pPr>
              <w:pStyle w:val="TableParagraph"/>
              <w:spacing w:before="70"/>
              <w:rPr>
                <w:b/>
                <w:sz w:val="18"/>
              </w:rPr>
            </w:pPr>
          </w:p>
          <w:p>
            <w:pPr>
              <w:pStyle w:val="TableParagraph"/>
              <w:ind w:left="461"/>
              <w:rPr>
                <w:b/>
                <w:sz w:val="18"/>
              </w:rPr>
            </w:pPr>
            <w:r>
              <w:rPr>
                <w:b/>
                <w:spacing w:val="-2"/>
                <w:sz w:val="18"/>
              </w:rPr>
              <w:t>Indicador</w:t>
            </w:r>
          </w:p>
        </w:tc>
        <w:tc>
          <w:tcPr>
            <w:tcW w:w="2364" w:type="dxa"/>
            <w:gridSpan w:val="2"/>
            <w:shd w:val="clear" w:color="auto" w:fill="D7D7D7"/>
          </w:tcPr>
          <w:p>
            <w:pPr>
              <w:pStyle w:val="TableParagraph"/>
              <w:spacing w:before="37"/>
              <w:ind w:left="725"/>
              <w:rPr>
                <w:b/>
                <w:sz w:val="18"/>
              </w:rPr>
            </w:pPr>
            <w:r>
              <w:rPr>
                <w:b/>
                <w:sz w:val="18"/>
              </w:rPr>
              <w:t>I</w:t>
            </w:r>
            <w:r>
              <w:rPr>
                <w:b/>
                <w:spacing w:val="-1"/>
                <w:sz w:val="18"/>
              </w:rPr>
              <w:t> </w:t>
            </w:r>
            <w:r>
              <w:rPr>
                <w:b/>
                <w:spacing w:val="-2"/>
                <w:sz w:val="18"/>
              </w:rPr>
              <w:t>Trimestre</w:t>
            </w:r>
          </w:p>
        </w:tc>
        <w:tc>
          <w:tcPr>
            <w:tcW w:w="2364" w:type="dxa"/>
            <w:gridSpan w:val="2"/>
            <w:shd w:val="clear" w:color="auto" w:fill="D7D7D7"/>
          </w:tcPr>
          <w:p>
            <w:pPr>
              <w:pStyle w:val="TableParagraph"/>
              <w:spacing w:before="37"/>
              <w:ind w:left="699"/>
              <w:rPr>
                <w:b/>
                <w:sz w:val="18"/>
              </w:rPr>
            </w:pPr>
            <w:r>
              <w:rPr>
                <w:b/>
                <w:sz w:val="18"/>
              </w:rPr>
              <w:t>II</w:t>
            </w:r>
            <w:r>
              <w:rPr>
                <w:b/>
                <w:spacing w:val="-3"/>
                <w:sz w:val="18"/>
              </w:rPr>
              <w:t> </w:t>
            </w:r>
            <w:r>
              <w:rPr>
                <w:b/>
                <w:spacing w:val="-2"/>
                <w:sz w:val="18"/>
              </w:rPr>
              <w:t>Trimestre</w:t>
            </w:r>
          </w:p>
        </w:tc>
        <w:tc>
          <w:tcPr>
            <w:tcW w:w="2364" w:type="dxa"/>
            <w:gridSpan w:val="2"/>
            <w:shd w:val="clear" w:color="auto" w:fill="D7D7D7"/>
          </w:tcPr>
          <w:p>
            <w:pPr>
              <w:pStyle w:val="TableParagraph"/>
              <w:spacing w:before="37"/>
              <w:ind w:left="673"/>
              <w:rPr>
                <w:b/>
                <w:sz w:val="18"/>
              </w:rPr>
            </w:pPr>
            <w:r>
              <w:rPr>
                <w:b/>
                <w:sz w:val="18"/>
              </w:rPr>
              <w:t>III</w:t>
            </w:r>
            <w:r>
              <w:rPr>
                <w:b/>
                <w:spacing w:val="-2"/>
                <w:sz w:val="18"/>
              </w:rPr>
              <w:t> Trimestre</w:t>
            </w:r>
          </w:p>
        </w:tc>
        <w:tc>
          <w:tcPr>
            <w:tcW w:w="2485" w:type="dxa"/>
            <w:gridSpan w:val="2"/>
            <w:shd w:val="clear" w:color="auto" w:fill="D7D7D7"/>
          </w:tcPr>
          <w:p>
            <w:pPr>
              <w:pStyle w:val="TableParagraph"/>
              <w:spacing w:before="37"/>
              <w:ind w:left="719"/>
              <w:rPr>
                <w:b/>
                <w:sz w:val="18"/>
              </w:rPr>
            </w:pPr>
            <w:r>
              <w:rPr>
                <w:b/>
                <w:sz w:val="18"/>
              </w:rPr>
              <w:t>IV</w:t>
            </w:r>
            <w:r>
              <w:rPr>
                <w:b/>
                <w:spacing w:val="-2"/>
                <w:sz w:val="18"/>
              </w:rPr>
              <w:t> Trimestre</w:t>
            </w:r>
          </w:p>
        </w:tc>
      </w:tr>
      <w:tr>
        <w:trPr>
          <w:trHeight w:val="465" w:hRule="atLeast"/>
        </w:trPr>
        <w:tc>
          <w:tcPr>
            <w:tcW w:w="3097" w:type="dxa"/>
            <w:vMerge/>
            <w:tcBorders>
              <w:top w:val="nil"/>
            </w:tcBorders>
            <w:shd w:val="clear" w:color="auto" w:fill="D7D7D7"/>
          </w:tcPr>
          <w:p>
            <w:pPr>
              <w:rPr>
                <w:sz w:val="2"/>
                <w:szCs w:val="2"/>
              </w:rPr>
            </w:pPr>
          </w:p>
        </w:tc>
        <w:tc>
          <w:tcPr>
            <w:tcW w:w="1719" w:type="dxa"/>
            <w:vMerge/>
            <w:tcBorders>
              <w:top w:val="nil"/>
            </w:tcBorders>
            <w:shd w:val="clear" w:color="auto" w:fill="D7D7D7"/>
          </w:tcPr>
          <w:p>
            <w:pPr>
              <w:rPr>
                <w:sz w:val="2"/>
                <w:szCs w:val="2"/>
              </w:rPr>
            </w:pPr>
          </w:p>
        </w:tc>
        <w:tc>
          <w:tcPr>
            <w:tcW w:w="1182" w:type="dxa"/>
            <w:tcBorders>
              <w:bottom w:val="nil"/>
            </w:tcBorders>
            <w:shd w:val="clear" w:color="auto" w:fill="D7D7D7"/>
          </w:tcPr>
          <w:p>
            <w:pPr>
              <w:pStyle w:val="TableParagraph"/>
              <w:spacing w:before="27"/>
              <w:ind w:left="76" w:firstLine="312"/>
              <w:rPr>
                <w:b/>
                <w:sz w:val="18"/>
              </w:rPr>
            </w:pPr>
            <w:r>
              <w:rPr>
                <w:b/>
                <w:spacing w:val="-4"/>
                <w:sz w:val="18"/>
              </w:rPr>
              <w:t>Meta </w:t>
            </w:r>
            <w:r>
              <w:rPr>
                <w:b/>
                <w:spacing w:val="-2"/>
                <w:sz w:val="18"/>
              </w:rPr>
              <w:t>programada</w:t>
            </w:r>
          </w:p>
        </w:tc>
        <w:tc>
          <w:tcPr>
            <w:tcW w:w="1182" w:type="dxa"/>
            <w:tcBorders>
              <w:bottom w:val="nil"/>
            </w:tcBorders>
            <w:shd w:val="clear" w:color="auto" w:fill="D7D7D7"/>
          </w:tcPr>
          <w:p>
            <w:pPr>
              <w:pStyle w:val="TableParagraph"/>
              <w:spacing w:before="128"/>
              <w:ind w:left="30" w:right="9"/>
              <w:jc w:val="center"/>
              <w:rPr>
                <w:b/>
                <w:sz w:val="18"/>
              </w:rPr>
            </w:pPr>
            <w:r>
              <w:rPr>
                <w:b/>
                <w:spacing w:val="-10"/>
                <w:sz w:val="18"/>
              </w:rPr>
              <w:t>¢</w:t>
            </w:r>
          </w:p>
        </w:tc>
        <w:tc>
          <w:tcPr>
            <w:tcW w:w="1182" w:type="dxa"/>
            <w:tcBorders>
              <w:bottom w:val="nil"/>
            </w:tcBorders>
            <w:shd w:val="clear" w:color="auto" w:fill="D7D7D7"/>
          </w:tcPr>
          <w:p>
            <w:pPr>
              <w:pStyle w:val="TableParagraph"/>
              <w:spacing w:before="27"/>
              <w:ind w:left="75" w:firstLine="312"/>
              <w:rPr>
                <w:b/>
                <w:sz w:val="18"/>
              </w:rPr>
            </w:pPr>
            <w:r>
              <w:rPr>
                <w:b/>
                <w:spacing w:val="-4"/>
                <w:sz w:val="18"/>
              </w:rPr>
              <w:t>Meta </w:t>
            </w:r>
            <w:r>
              <w:rPr>
                <w:b/>
                <w:spacing w:val="-2"/>
                <w:sz w:val="18"/>
              </w:rPr>
              <w:t>programada</w:t>
            </w:r>
          </w:p>
        </w:tc>
        <w:tc>
          <w:tcPr>
            <w:tcW w:w="1182" w:type="dxa"/>
            <w:tcBorders>
              <w:bottom w:val="nil"/>
            </w:tcBorders>
            <w:shd w:val="clear" w:color="auto" w:fill="D7D7D7"/>
          </w:tcPr>
          <w:p>
            <w:pPr>
              <w:pStyle w:val="TableParagraph"/>
              <w:spacing w:before="128"/>
              <w:ind w:left="27" w:right="9"/>
              <w:jc w:val="center"/>
              <w:rPr>
                <w:b/>
                <w:sz w:val="18"/>
              </w:rPr>
            </w:pPr>
            <w:r>
              <w:rPr>
                <w:b/>
                <w:spacing w:val="-10"/>
                <w:sz w:val="18"/>
              </w:rPr>
              <w:t>¢</w:t>
            </w:r>
          </w:p>
        </w:tc>
        <w:tc>
          <w:tcPr>
            <w:tcW w:w="1182" w:type="dxa"/>
            <w:tcBorders>
              <w:bottom w:val="nil"/>
            </w:tcBorders>
            <w:shd w:val="clear" w:color="auto" w:fill="D7D7D7"/>
          </w:tcPr>
          <w:p>
            <w:pPr>
              <w:pStyle w:val="TableParagraph"/>
              <w:spacing w:before="27"/>
              <w:ind w:left="73" w:firstLine="312"/>
              <w:rPr>
                <w:b/>
                <w:sz w:val="18"/>
              </w:rPr>
            </w:pPr>
            <w:r>
              <w:rPr>
                <w:b/>
                <w:spacing w:val="-4"/>
                <w:sz w:val="18"/>
              </w:rPr>
              <w:t>Meta </w:t>
            </w:r>
            <w:r>
              <w:rPr>
                <w:b/>
                <w:spacing w:val="-2"/>
                <w:sz w:val="18"/>
              </w:rPr>
              <w:t>programada</w:t>
            </w:r>
          </w:p>
        </w:tc>
        <w:tc>
          <w:tcPr>
            <w:tcW w:w="1182" w:type="dxa"/>
            <w:tcBorders>
              <w:bottom w:val="nil"/>
            </w:tcBorders>
            <w:shd w:val="clear" w:color="auto" w:fill="D7D7D7"/>
          </w:tcPr>
          <w:p>
            <w:pPr>
              <w:pStyle w:val="TableParagraph"/>
              <w:spacing w:before="128"/>
              <w:ind w:left="24" w:right="9"/>
              <w:jc w:val="center"/>
              <w:rPr>
                <w:b/>
                <w:sz w:val="18"/>
              </w:rPr>
            </w:pPr>
            <w:r>
              <w:rPr>
                <w:b/>
                <w:spacing w:val="-10"/>
                <w:sz w:val="18"/>
              </w:rPr>
              <w:t>¢</w:t>
            </w:r>
          </w:p>
        </w:tc>
        <w:tc>
          <w:tcPr>
            <w:tcW w:w="1182" w:type="dxa"/>
            <w:tcBorders>
              <w:bottom w:val="nil"/>
            </w:tcBorders>
            <w:shd w:val="clear" w:color="auto" w:fill="D7D7D7"/>
          </w:tcPr>
          <w:p>
            <w:pPr>
              <w:pStyle w:val="TableParagraph"/>
              <w:spacing w:before="27"/>
              <w:ind w:left="71" w:firstLine="312"/>
              <w:rPr>
                <w:b/>
                <w:sz w:val="18"/>
              </w:rPr>
            </w:pPr>
            <w:r>
              <w:rPr>
                <w:b/>
                <w:spacing w:val="-4"/>
                <w:sz w:val="18"/>
              </w:rPr>
              <w:t>Meta </w:t>
            </w:r>
            <w:r>
              <w:rPr>
                <w:b/>
                <w:spacing w:val="-2"/>
                <w:sz w:val="18"/>
              </w:rPr>
              <w:t>programada</w:t>
            </w:r>
          </w:p>
        </w:tc>
        <w:tc>
          <w:tcPr>
            <w:tcW w:w="1303" w:type="dxa"/>
            <w:tcBorders>
              <w:bottom w:val="nil"/>
            </w:tcBorders>
            <w:shd w:val="clear" w:color="auto" w:fill="D7D7D7"/>
          </w:tcPr>
          <w:p>
            <w:pPr>
              <w:pStyle w:val="TableParagraph"/>
              <w:spacing w:before="128"/>
              <w:ind w:left="6"/>
              <w:jc w:val="center"/>
              <w:rPr>
                <w:b/>
                <w:sz w:val="18"/>
              </w:rPr>
            </w:pPr>
            <w:r>
              <w:rPr>
                <w:b/>
                <w:spacing w:val="-10"/>
                <w:sz w:val="18"/>
              </w:rPr>
              <w:t>¢</w:t>
            </w:r>
          </w:p>
        </w:tc>
      </w:tr>
      <w:tr>
        <w:trPr>
          <w:trHeight w:val="1209" w:hRule="atLeast"/>
        </w:trPr>
        <w:tc>
          <w:tcPr>
            <w:tcW w:w="3097" w:type="dxa"/>
            <w:tcBorders>
              <w:left w:val="single" w:sz="8" w:space="0" w:color="000000"/>
            </w:tcBorders>
          </w:tcPr>
          <w:p>
            <w:pPr>
              <w:pStyle w:val="TableParagraph"/>
              <w:rPr>
                <w:rFonts w:ascii="Times New Roman"/>
                <w:sz w:val="18"/>
              </w:rPr>
            </w:pPr>
          </w:p>
        </w:tc>
        <w:tc>
          <w:tcPr>
            <w:tcW w:w="1719" w:type="dxa"/>
          </w:tcPr>
          <w:p>
            <w:pPr>
              <w:pStyle w:val="TableParagraph"/>
              <w:spacing w:line="244" w:lineRule="auto"/>
              <w:ind w:left="76"/>
              <w:rPr>
                <w:sz w:val="18"/>
              </w:rPr>
            </w:pPr>
            <w:r>
              <w:rPr>
                <w:sz w:val="18"/>
              </w:rPr>
              <w:t>cómputo,</w:t>
            </w:r>
            <w:r>
              <w:rPr>
                <w:spacing w:val="-13"/>
                <w:sz w:val="18"/>
              </w:rPr>
              <w:t> </w:t>
            </w:r>
            <w:r>
              <w:rPr>
                <w:sz w:val="18"/>
              </w:rPr>
              <w:t>sistemas de información.</w:t>
            </w:r>
          </w:p>
        </w:tc>
        <w:tc>
          <w:tcPr>
            <w:tcW w:w="1182" w:type="dxa"/>
            <w:tcBorders>
              <w:top w:val="nil"/>
            </w:tcBorders>
          </w:tcPr>
          <w:p>
            <w:pPr>
              <w:pStyle w:val="TableParagraph"/>
              <w:rPr>
                <w:rFonts w:ascii="Times New Roman"/>
                <w:sz w:val="18"/>
              </w:rPr>
            </w:pPr>
          </w:p>
        </w:tc>
        <w:tc>
          <w:tcPr>
            <w:tcW w:w="1182" w:type="dxa"/>
            <w:tcBorders>
              <w:top w:val="nil"/>
            </w:tcBorders>
          </w:tcPr>
          <w:p>
            <w:pPr>
              <w:pStyle w:val="TableParagraph"/>
              <w:rPr>
                <w:rFonts w:ascii="Times New Roman"/>
                <w:sz w:val="18"/>
              </w:rPr>
            </w:pPr>
          </w:p>
        </w:tc>
        <w:tc>
          <w:tcPr>
            <w:tcW w:w="1182" w:type="dxa"/>
            <w:tcBorders>
              <w:top w:val="nil"/>
            </w:tcBorders>
          </w:tcPr>
          <w:p>
            <w:pPr>
              <w:pStyle w:val="TableParagraph"/>
              <w:rPr>
                <w:rFonts w:ascii="Times New Roman"/>
                <w:sz w:val="18"/>
              </w:rPr>
            </w:pPr>
          </w:p>
        </w:tc>
        <w:tc>
          <w:tcPr>
            <w:tcW w:w="1182" w:type="dxa"/>
            <w:tcBorders>
              <w:top w:val="nil"/>
            </w:tcBorders>
          </w:tcPr>
          <w:p>
            <w:pPr>
              <w:pStyle w:val="TableParagraph"/>
              <w:rPr>
                <w:rFonts w:ascii="Times New Roman"/>
                <w:sz w:val="18"/>
              </w:rPr>
            </w:pPr>
          </w:p>
        </w:tc>
        <w:tc>
          <w:tcPr>
            <w:tcW w:w="1182" w:type="dxa"/>
            <w:tcBorders>
              <w:top w:val="nil"/>
            </w:tcBorders>
          </w:tcPr>
          <w:p>
            <w:pPr>
              <w:pStyle w:val="TableParagraph"/>
              <w:rPr>
                <w:rFonts w:ascii="Times New Roman"/>
                <w:sz w:val="18"/>
              </w:rPr>
            </w:pPr>
          </w:p>
        </w:tc>
        <w:tc>
          <w:tcPr>
            <w:tcW w:w="1182" w:type="dxa"/>
            <w:tcBorders>
              <w:top w:val="nil"/>
            </w:tcBorders>
          </w:tcPr>
          <w:p>
            <w:pPr>
              <w:pStyle w:val="TableParagraph"/>
              <w:rPr>
                <w:rFonts w:ascii="Times New Roman"/>
                <w:sz w:val="18"/>
              </w:rPr>
            </w:pPr>
          </w:p>
        </w:tc>
        <w:tc>
          <w:tcPr>
            <w:tcW w:w="1182" w:type="dxa"/>
            <w:tcBorders>
              <w:top w:val="nil"/>
            </w:tcBorders>
          </w:tcPr>
          <w:p>
            <w:pPr>
              <w:pStyle w:val="TableParagraph"/>
              <w:rPr>
                <w:rFonts w:ascii="Times New Roman"/>
                <w:sz w:val="18"/>
              </w:rPr>
            </w:pPr>
          </w:p>
        </w:tc>
        <w:tc>
          <w:tcPr>
            <w:tcW w:w="1303" w:type="dxa"/>
            <w:tcBorders>
              <w:top w:val="nil"/>
              <w:right w:val="single" w:sz="8" w:space="0" w:color="000000"/>
            </w:tcBorders>
          </w:tcPr>
          <w:p>
            <w:pPr>
              <w:pStyle w:val="TableParagraph"/>
              <w:rPr>
                <w:rFonts w:ascii="Times New Roman"/>
                <w:sz w:val="18"/>
              </w:rPr>
            </w:pPr>
          </w:p>
        </w:tc>
      </w:tr>
      <w:tr>
        <w:trPr>
          <w:trHeight w:val="1867" w:hRule="atLeast"/>
        </w:trPr>
        <w:tc>
          <w:tcPr>
            <w:tcW w:w="3097" w:type="dxa"/>
            <w:tcBorders>
              <w:left w:val="single" w:sz="8" w:space="0" w:color="000000"/>
            </w:tcBorders>
          </w:tcPr>
          <w:p>
            <w:pPr>
              <w:pStyle w:val="TableParagraph"/>
              <w:rPr>
                <w:b/>
                <w:sz w:val="18"/>
              </w:rPr>
            </w:pPr>
          </w:p>
          <w:p>
            <w:pPr>
              <w:pStyle w:val="TableParagraph"/>
              <w:rPr>
                <w:b/>
                <w:sz w:val="18"/>
              </w:rPr>
            </w:pPr>
          </w:p>
          <w:p>
            <w:pPr>
              <w:pStyle w:val="TableParagraph"/>
              <w:spacing w:before="2"/>
              <w:rPr>
                <w:b/>
                <w:sz w:val="18"/>
              </w:rPr>
            </w:pPr>
          </w:p>
          <w:p>
            <w:pPr>
              <w:pStyle w:val="TableParagraph"/>
              <w:ind w:left="72" w:right="99"/>
              <w:rPr>
                <w:sz w:val="18"/>
              </w:rPr>
            </w:pPr>
            <w:r>
              <w:rPr>
                <w:b/>
                <w:sz w:val="18"/>
              </w:rPr>
              <w:t>Producto PAC 2.23.2:</w:t>
            </w:r>
            <w:r>
              <w:rPr>
                <w:b/>
                <w:spacing w:val="40"/>
                <w:sz w:val="18"/>
              </w:rPr>
              <w:t> </w:t>
            </w:r>
            <w:r>
              <w:rPr>
                <w:sz w:val="18"/>
              </w:rPr>
              <w:t>Gestionar adquisición</w:t>
            </w:r>
            <w:r>
              <w:rPr>
                <w:spacing w:val="-6"/>
                <w:sz w:val="18"/>
              </w:rPr>
              <w:t> </w:t>
            </w:r>
            <w:r>
              <w:rPr>
                <w:sz w:val="18"/>
              </w:rPr>
              <w:t>de</w:t>
            </w:r>
            <w:r>
              <w:rPr>
                <w:spacing w:val="-9"/>
                <w:sz w:val="18"/>
              </w:rPr>
              <w:t> </w:t>
            </w:r>
            <w:r>
              <w:rPr>
                <w:sz w:val="18"/>
              </w:rPr>
              <w:t>equipo</w:t>
            </w:r>
            <w:r>
              <w:rPr>
                <w:spacing w:val="-9"/>
                <w:sz w:val="18"/>
              </w:rPr>
              <w:t> </w:t>
            </w:r>
            <w:r>
              <w:rPr>
                <w:sz w:val="18"/>
              </w:rPr>
              <w:t>y</w:t>
            </w:r>
            <w:r>
              <w:rPr>
                <w:spacing w:val="-9"/>
                <w:sz w:val="18"/>
              </w:rPr>
              <w:t> </w:t>
            </w:r>
            <w:r>
              <w:rPr>
                <w:sz w:val="18"/>
              </w:rPr>
              <w:t>programas de cómputo (partida 5.01.05) (AC)</w:t>
            </w:r>
          </w:p>
        </w:tc>
        <w:tc>
          <w:tcPr>
            <w:tcW w:w="1719" w:type="dxa"/>
          </w:tcPr>
          <w:p>
            <w:pPr>
              <w:pStyle w:val="TableParagraph"/>
              <w:ind w:left="76"/>
              <w:rPr>
                <w:sz w:val="18"/>
              </w:rPr>
            </w:pPr>
            <w:r>
              <w:rPr>
                <w:sz w:val="18"/>
              </w:rPr>
              <w:t>Porcentaje de gestiones de las </w:t>
            </w:r>
            <w:r>
              <w:rPr>
                <w:spacing w:val="-2"/>
                <w:sz w:val="18"/>
              </w:rPr>
              <w:t>solicitudes </w:t>
            </w:r>
            <w:r>
              <w:rPr>
                <w:sz w:val="18"/>
              </w:rPr>
              <w:t>efectuadas por las dependencias</w:t>
            </w:r>
            <w:r>
              <w:rPr>
                <w:spacing w:val="-13"/>
                <w:sz w:val="18"/>
              </w:rPr>
              <w:t> </w:t>
            </w:r>
            <w:r>
              <w:rPr>
                <w:sz w:val="18"/>
              </w:rPr>
              <w:t>para la adquisición de equipo y</w:t>
            </w:r>
          </w:p>
          <w:p>
            <w:pPr>
              <w:pStyle w:val="TableParagraph"/>
              <w:spacing w:line="206" w:lineRule="exact"/>
              <w:ind w:left="76"/>
              <w:rPr>
                <w:sz w:val="18"/>
              </w:rPr>
            </w:pPr>
            <w:r>
              <w:rPr>
                <w:sz w:val="18"/>
              </w:rPr>
              <w:t>programas</w:t>
            </w:r>
            <w:r>
              <w:rPr>
                <w:spacing w:val="-13"/>
                <w:sz w:val="18"/>
              </w:rPr>
              <w:t> </w:t>
            </w:r>
            <w:r>
              <w:rPr>
                <w:sz w:val="18"/>
              </w:rPr>
              <w:t>de </w:t>
            </w:r>
            <w:r>
              <w:rPr>
                <w:spacing w:val="-2"/>
                <w:sz w:val="18"/>
              </w:rPr>
              <w:t>cómputo</w:t>
            </w: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21" w:right="10"/>
              <w:jc w:val="center"/>
              <w:rPr>
                <w:sz w:val="18"/>
              </w:rPr>
            </w:pPr>
            <w:r>
              <w:rPr>
                <w:spacing w:val="-4"/>
                <w:sz w:val="18"/>
              </w:rPr>
              <w:t>100%</w:t>
            </w:r>
          </w:p>
        </w:tc>
        <w:tc>
          <w:tcPr>
            <w:tcW w:w="1303" w:type="dxa"/>
            <w:tcBorders>
              <w:right w:val="single" w:sz="8" w:space="0" w:color="000000"/>
            </w:tcBorders>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right="48"/>
              <w:jc w:val="right"/>
              <w:rPr>
                <w:sz w:val="18"/>
              </w:rPr>
            </w:pPr>
            <w:r>
              <w:rPr>
                <w:sz w:val="18"/>
              </w:rPr>
              <w:t>₡190</w:t>
            </w:r>
            <w:r>
              <w:rPr>
                <w:spacing w:val="1"/>
                <w:sz w:val="18"/>
              </w:rPr>
              <w:t> </w:t>
            </w:r>
            <w:r>
              <w:rPr>
                <w:sz w:val="18"/>
              </w:rPr>
              <w:t>730</w:t>
            </w:r>
            <w:r>
              <w:rPr>
                <w:spacing w:val="-3"/>
                <w:sz w:val="18"/>
              </w:rPr>
              <w:t> </w:t>
            </w:r>
            <w:r>
              <w:rPr>
                <w:spacing w:val="-5"/>
                <w:sz w:val="18"/>
              </w:rPr>
              <w:t>000</w:t>
            </w:r>
          </w:p>
        </w:tc>
      </w:tr>
      <w:tr>
        <w:trPr>
          <w:trHeight w:val="1655" w:hRule="atLeast"/>
        </w:trPr>
        <w:tc>
          <w:tcPr>
            <w:tcW w:w="3097" w:type="dxa"/>
            <w:tcBorders>
              <w:left w:val="single" w:sz="8" w:space="0" w:color="000000"/>
            </w:tcBorders>
          </w:tcPr>
          <w:p>
            <w:pPr>
              <w:pStyle w:val="TableParagraph"/>
              <w:rPr>
                <w:b/>
                <w:sz w:val="18"/>
              </w:rPr>
            </w:pPr>
          </w:p>
          <w:p>
            <w:pPr>
              <w:pStyle w:val="TableParagraph"/>
              <w:spacing w:before="98"/>
              <w:rPr>
                <w:b/>
                <w:sz w:val="18"/>
              </w:rPr>
            </w:pPr>
          </w:p>
          <w:p>
            <w:pPr>
              <w:pStyle w:val="TableParagraph"/>
              <w:spacing w:line="242" w:lineRule="auto"/>
              <w:ind w:left="72" w:right="99"/>
              <w:rPr>
                <w:sz w:val="18"/>
              </w:rPr>
            </w:pPr>
            <w:r>
              <w:rPr>
                <w:b/>
                <w:sz w:val="18"/>
              </w:rPr>
              <w:t>Producto PAC 2.23.3:</w:t>
            </w:r>
            <w:r>
              <w:rPr>
                <w:b/>
                <w:spacing w:val="40"/>
                <w:sz w:val="18"/>
              </w:rPr>
              <w:t> </w:t>
            </w:r>
            <w:r>
              <w:rPr>
                <w:sz w:val="18"/>
              </w:rPr>
              <w:t>Gestionar adquisición de equipo de comunicación</w:t>
            </w:r>
            <w:r>
              <w:rPr>
                <w:spacing w:val="-13"/>
                <w:sz w:val="18"/>
              </w:rPr>
              <w:t> </w:t>
            </w:r>
            <w:r>
              <w:rPr>
                <w:sz w:val="18"/>
              </w:rPr>
              <w:t>(partida</w:t>
            </w:r>
            <w:r>
              <w:rPr>
                <w:spacing w:val="-12"/>
                <w:sz w:val="18"/>
              </w:rPr>
              <w:t> </w:t>
            </w:r>
            <w:r>
              <w:rPr>
                <w:sz w:val="18"/>
              </w:rPr>
              <w:t>5.01.03)</w:t>
            </w:r>
            <w:r>
              <w:rPr>
                <w:spacing w:val="-13"/>
                <w:sz w:val="18"/>
              </w:rPr>
              <w:t> </w:t>
            </w:r>
            <w:r>
              <w:rPr>
                <w:sz w:val="18"/>
              </w:rPr>
              <w:t>(AC)</w:t>
            </w:r>
          </w:p>
        </w:tc>
        <w:tc>
          <w:tcPr>
            <w:tcW w:w="1719" w:type="dxa"/>
          </w:tcPr>
          <w:p>
            <w:pPr>
              <w:pStyle w:val="TableParagraph"/>
              <w:ind w:left="76"/>
              <w:rPr>
                <w:sz w:val="18"/>
              </w:rPr>
            </w:pPr>
            <w:r>
              <w:rPr>
                <w:sz w:val="18"/>
              </w:rPr>
              <w:t>Porcentaje de gestiones de las </w:t>
            </w:r>
            <w:r>
              <w:rPr>
                <w:spacing w:val="-2"/>
                <w:sz w:val="18"/>
              </w:rPr>
              <w:t>solicitudes </w:t>
            </w:r>
            <w:r>
              <w:rPr>
                <w:sz w:val="18"/>
              </w:rPr>
              <w:t>efectuadas por las dependencias</w:t>
            </w:r>
            <w:r>
              <w:rPr>
                <w:spacing w:val="-13"/>
                <w:sz w:val="18"/>
              </w:rPr>
              <w:t> </w:t>
            </w:r>
            <w:r>
              <w:rPr>
                <w:sz w:val="18"/>
              </w:rPr>
              <w:t>para la adquisición de equipo de</w:t>
            </w:r>
          </w:p>
          <w:p>
            <w:pPr>
              <w:pStyle w:val="TableParagraph"/>
              <w:spacing w:line="188" w:lineRule="exact"/>
              <w:ind w:left="76"/>
              <w:rPr>
                <w:sz w:val="18"/>
              </w:rPr>
            </w:pPr>
            <w:r>
              <w:rPr>
                <w:spacing w:val="-2"/>
                <w:sz w:val="18"/>
              </w:rPr>
              <w:t>comunicación</w:t>
            </w: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0"/>
              <w:jc w:val="center"/>
              <w:rPr>
                <w:sz w:val="18"/>
              </w:rPr>
            </w:pPr>
            <w:r>
              <w:rPr>
                <w:spacing w:val="-4"/>
                <w:sz w:val="18"/>
              </w:rPr>
              <w:t>100%</w:t>
            </w:r>
          </w:p>
        </w:tc>
        <w:tc>
          <w:tcPr>
            <w:tcW w:w="1303" w:type="dxa"/>
            <w:tcBorders>
              <w:right w:val="single" w:sz="8" w:space="0" w:color="000000"/>
            </w:tcBorders>
          </w:tcPr>
          <w:p>
            <w:pPr>
              <w:pStyle w:val="TableParagraph"/>
              <w:rPr>
                <w:b/>
                <w:sz w:val="18"/>
              </w:rPr>
            </w:pPr>
          </w:p>
          <w:p>
            <w:pPr>
              <w:pStyle w:val="TableParagraph"/>
              <w:rPr>
                <w:b/>
                <w:sz w:val="18"/>
              </w:rPr>
            </w:pPr>
          </w:p>
          <w:p>
            <w:pPr>
              <w:pStyle w:val="TableParagraph"/>
              <w:spacing w:before="103"/>
              <w:rPr>
                <w:b/>
                <w:sz w:val="18"/>
              </w:rPr>
            </w:pPr>
          </w:p>
          <w:p>
            <w:pPr>
              <w:pStyle w:val="TableParagraph"/>
              <w:ind w:right="48"/>
              <w:jc w:val="right"/>
              <w:rPr>
                <w:sz w:val="18"/>
              </w:rPr>
            </w:pPr>
            <w:r>
              <w:rPr>
                <w:sz w:val="18"/>
              </w:rPr>
              <w:t>₡26</w:t>
            </w:r>
            <w:r>
              <w:rPr>
                <w:spacing w:val="1"/>
                <w:sz w:val="18"/>
              </w:rPr>
              <w:t> </w:t>
            </w:r>
            <w:r>
              <w:rPr>
                <w:sz w:val="18"/>
              </w:rPr>
              <w:t>720</w:t>
            </w:r>
            <w:r>
              <w:rPr>
                <w:spacing w:val="-3"/>
                <w:sz w:val="18"/>
              </w:rPr>
              <w:t> </w:t>
            </w:r>
            <w:r>
              <w:rPr>
                <w:spacing w:val="-5"/>
                <w:sz w:val="18"/>
              </w:rPr>
              <w:t>000</w:t>
            </w:r>
          </w:p>
        </w:tc>
      </w:tr>
      <w:tr>
        <w:trPr>
          <w:trHeight w:val="1449" w:hRule="atLeast"/>
        </w:trPr>
        <w:tc>
          <w:tcPr>
            <w:tcW w:w="3097" w:type="dxa"/>
            <w:tcBorders>
              <w:left w:val="single" w:sz="8" w:space="0" w:color="000000"/>
            </w:tcBorders>
          </w:tcPr>
          <w:p>
            <w:pPr>
              <w:pStyle w:val="TableParagraph"/>
              <w:spacing w:before="205"/>
              <w:rPr>
                <w:b/>
                <w:sz w:val="18"/>
              </w:rPr>
            </w:pPr>
          </w:p>
          <w:p>
            <w:pPr>
              <w:pStyle w:val="TableParagraph"/>
              <w:ind w:left="72" w:right="99"/>
              <w:rPr>
                <w:sz w:val="18"/>
              </w:rPr>
            </w:pPr>
            <w:r>
              <w:rPr>
                <w:b/>
                <w:sz w:val="18"/>
              </w:rPr>
              <w:t>Producto</w:t>
            </w:r>
            <w:r>
              <w:rPr>
                <w:b/>
                <w:spacing w:val="-9"/>
                <w:sz w:val="18"/>
              </w:rPr>
              <w:t> </w:t>
            </w:r>
            <w:r>
              <w:rPr>
                <w:b/>
                <w:sz w:val="18"/>
              </w:rPr>
              <w:t>PAC</w:t>
            </w:r>
            <w:r>
              <w:rPr>
                <w:b/>
                <w:spacing w:val="-10"/>
                <w:sz w:val="18"/>
              </w:rPr>
              <w:t> </w:t>
            </w:r>
            <w:r>
              <w:rPr>
                <w:b/>
                <w:sz w:val="18"/>
              </w:rPr>
              <w:t>2.23.4:</w:t>
            </w:r>
            <w:r>
              <w:rPr>
                <w:b/>
                <w:spacing w:val="39"/>
                <w:sz w:val="18"/>
              </w:rPr>
              <w:t> </w:t>
            </w:r>
            <w:r>
              <w:rPr>
                <w:sz w:val="18"/>
              </w:rPr>
              <w:t>Gestionar</w:t>
            </w:r>
            <w:r>
              <w:rPr>
                <w:spacing w:val="-6"/>
                <w:sz w:val="18"/>
              </w:rPr>
              <w:t> </w:t>
            </w:r>
            <w:r>
              <w:rPr>
                <w:sz w:val="18"/>
              </w:rPr>
              <w:t>la adquisición de bienes intangibles (partida 5.99.03) AC</w:t>
            </w:r>
          </w:p>
        </w:tc>
        <w:tc>
          <w:tcPr>
            <w:tcW w:w="1719" w:type="dxa"/>
          </w:tcPr>
          <w:p>
            <w:pPr>
              <w:pStyle w:val="TableParagraph"/>
              <w:ind w:left="76"/>
              <w:rPr>
                <w:sz w:val="18"/>
              </w:rPr>
            </w:pPr>
            <w:r>
              <w:rPr>
                <w:sz w:val="18"/>
              </w:rPr>
              <w:t>Porcentaje de gestiones de las </w:t>
            </w:r>
            <w:r>
              <w:rPr>
                <w:spacing w:val="-2"/>
                <w:sz w:val="18"/>
              </w:rPr>
              <w:t>solicitudes </w:t>
            </w:r>
            <w:r>
              <w:rPr>
                <w:sz w:val="18"/>
              </w:rPr>
              <w:t>efectuadas por las dependencias</w:t>
            </w:r>
            <w:r>
              <w:rPr>
                <w:spacing w:val="-13"/>
                <w:sz w:val="18"/>
              </w:rPr>
              <w:t> </w:t>
            </w:r>
            <w:r>
              <w:rPr>
                <w:sz w:val="18"/>
              </w:rPr>
              <w:t>para</w:t>
            </w:r>
          </w:p>
          <w:p>
            <w:pPr>
              <w:pStyle w:val="TableParagraph"/>
              <w:spacing w:line="206" w:lineRule="exact"/>
              <w:ind w:left="76"/>
              <w:rPr>
                <w:sz w:val="18"/>
              </w:rPr>
            </w:pPr>
            <w:r>
              <w:rPr>
                <w:sz w:val="18"/>
              </w:rPr>
              <w:t>la adquisición de bienes</w:t>
            </w:r>
            <w:r>
              <w:rPr>
                <w:spacing w:val="-13"/>
                <w:sz w:val="18"/>
              </w:rPr>
              <w:t> </w:t>
            </w:r>
            <w:r>
              <w:rPr>
                <w:sz w:val="18"/>
              </w:rPr>
              <w:t>intangibles.</w:t>
            </w: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b/>
                <w:sz w:val="18"/>
              </w:rPr>
            </w:pPr>
          </w:p>
          <w:p>
            <w:pPr>
              <w:pStyle w:val="TableParagraph"/>
              <w:spacing w:before="204"/>
              <w:rPr>
                <w:b/>
                <w:sz w:val="18"/>
              </w:rPr>
            </w:pPr>
          </w:p>
          <w:p>
            <w:pPr>
              <w:pStyle w:val="TableParagraph"/>
              <w:ind w:left="21" w:right="10"/>
              <w:jc w:val="center"/>
              <w:rPr>
                <w:sz w:val="18"/>
              </w:rPr>
            </w:pPr>
            <w:r>
              <w:rPr>
                <w:spacing w:val="-4"/>
                <w:sz w:val="18"/>
              </w:rPr>
              <w:t>100%</w:t>
            </w:r>
          </w:p>
        </w:tc>
        <w:tc>
          <w:tcPr>
            <w:tcW w:w="1303" w:type="dxa"/>
            <w:tcBorders>
              <w:right w:val="single" w:sz="8" w:space="0" w:color="000000"/>
            </w:tcBorders>
          </w:tcPr>
          <w:p>
            <w:pPr>
              <w:pStyle w:val="TableParagraph"/>
              <w:rPr>
                <w:b/>
                <w:sz w:val="18"/>
              </w:rPr>
            </w:pPr>
          </w:p>
          <w:p>
            <w:pPr>
              <w:pStyle w:val="TableParagraph"/>
              <w:spacing w:before="204"/>
              <w:rPr>
                <w:b/>
                <w:sz w:val="18"/>
              </w:rPr>
            </w:pPr>
          </w:p>
          <w:p>
            <w:pPr>
              <w:pStyle w:val="TableParagraph"/>
              <w:ind w:right="48"/>
              <w:jc w:val="right"/>
              <w:rPr>
                <w:sz w:val="18"/>
              </w:rPr>
            </w:pPr>
            <w:r>
              <w:rPr>
                <w:sz w:val="18"/>
              </w:rPr>
              <w:t>₡50</w:t>
            </w:r>
            <w:r>
              <w:rPr>
                <w:spacing w:val="1"/>
                <w:sz w:val="18"/>
              </w:rPr>
              <w:t> </w:t>
            </w:r>
            <w:r>
              <w:rPr>
                <w:sz w:val="18"/>
              </w:rPr>
              <w:t>000</w:t>
            </w:r>
            <w:r>
              <w:rPr>
                <w:spacing w:val="-3"/>
                <w:sz w:val="18"/>
              </w:rPr>
              <w:t> </w:t>
            </w:r>
            <w:r>
              <w:rPr>
                <w:spacing w:val="-5"/>
                <w:sz w:val="18"/>
              </w:rPr>
              <w:t>000</w:t>
            </w:r>
          </w:p>
        </w:tc>
      </w:tr>
      <w:tr>
        <w:trPr>
          <w:trHeight w:val="1862" w:hRule="atLeast"/>
        </w:trPr>
        <w:tc>
          <w:tcPr>
            <w:tcW w:w="3097" w:type="dxa"/>
            <w:tcBorders>
              <w:left w:val="single" w:sz="8" w:space="0" w:color="000000"/>
            </w:tcBorders>
          </w:tcPr>
          <w:p>
            <w:pPr>
              <w:pStyle w:val="TableParagraph"/>
              <w:rPr>
                <w:b/>
                <w:sz w:val="18"/>
              </w:rPr>
            </w:pPr>
          </w:p>
          <w:p>
            <w:pPr>
              <w:pStyle w:val="TableParagraph"/>
              <w:spacing w:before="204"/>
              <w:rPr>
                <w:b/>
                <w:sz w:val="18"/>
              </w:rPr>
            </w:pPr>
          </w:p>
          <w:p>
            <w:pPr>
              <w:pStyle w:val="TableParagraph"/>
              <w:ind w:left="72" w:right="99"/>
              <w:rPr>
                <w:sz w:val="18"/>
              </w:rPr>
            </w:pPr>
            <w:r>
              <w:rPr>
                <w:b/>
                <w:sz w:val="18"/>
              </w:rPr>
              <w:t>Producto</w:t>
            </w:r>
            <w:r>
              <w:rPr>
                <w:b/>
                <w:spacing w:val="-9"/>
                <w:sz w:val="18"/>
              </w:rPr>
              <w:t> </w:t>
            </w:r>
            <w:r>
              <w:rPr>
                <w:b/>
                <w:sz w:val="18"/>
              </w:rPr>
              <w:t>PAC</w:t>
            </w:r>
            <w:r>
              <w:rPr>
                <w:b/>
                <w:spacing w:val="-9"/>
                <w:sz w:val="18"/>
              </w:rPr>
              <w:t> </w:t>
            </w:r>
            <w:r>
              <w:rPr>
                <w:b/>
                <w:sz w:val="18"/>
              </w:rPr>
              <w:t>2.23.5:</w:t>
            </w:r>
            <w:r>
              <w:rPr>
                <w:b/>
                <w:spacing w:val="40"/>
                <w:sz w:val="18"/>
              </w:rPr>
              <w:t> </w:t>
            </w:r>
            <w:r>
              <w:rPr>
                <w:sz w:val="18"/>
              </w:rPr>
              <w:t>Gestionar</w:t>
            </w:r>
            <w:r>
              <w:rPr>
                <w:spacing w:val="-6"/>
                <w:sz w:val="18"/>
              </w:rPr>
              <w:t> </w:t>
            </w:r>
            <w:r>
              <w:rPr>
                <w:sz w:val="18"/>
              </w:rPr>
              <w:t>el mantenimiento equipo de comunicación (partida 1.08.06) AC</w:t>
            </w:r>
          </w:p>
        </w:tc>
        <w:tc>
          <w:tcPr>
            <w:tcW w:w="1719" w:type="dxa"/>
          </w:tcPr>
          <w:p>
            <w:pPr>
              <w:pStyle w:val="TableParagraph"/>
              <w:ind w:left="76" w:right="11"/>
              <w:rPr>
                <w:sz w:val="18"/>
              </w:rPr>
            </w:pPr>
            <w:r>
              <w:rPr>
                <w:sz w:val="18"/>
              </w:rPr>
              <w:t>Porcentaje de gestiones de las </w:t>
            </w:r>
            <w:r>
              <w:rPr>
                <w:spacing w:val="-2"/>
                <w:sz w:val="18"/>
              </w:rPr>
              <w:t>solicitudes </w:t>
            </w:r>
            <w:r>
              <w:rPr>
                <w:sz w:val="18"/>
              </w:rPr>
              <w:t>efectuadas por las dependencias</w:t>
            </w:r>
            <w:r>
              <w:rPr>
                <w:spacing w:val="-13"/>
                <w:sz w:val="18"/>
              </w:rPr>
              <w:t> </w:t>
            </w:r>
            <w:r>
              <w:rPr>
                <w:sz w:val="18"/>
              </w:rPr>
              <w:t>para el</w:t>
            </w:r>
            <w:r>
              <w:rPr>
                <w:spacing w:val="-5"/>
                <w:sz w:val="18"/>
              </w:rPr>
              <w:t> </w:t>
            </w:r>
            <w:r>
              <w:rPr>
                <w:sz w:val="18"/>
              </w:rPr>
              <w:t>mantenimiento</w:t>
            </w:r>
            <w:r>
              <w:rPr>
                <w:spacing w:val="-8"/>
                <w:sz w:val="18"/>
              </w:rPr>
              <w:t> </w:t>
            </w:r>
            <w:r>
              <w:rPr>
                <w:sz w:val="18"/>
              </w:rPr>
              <w:t>y reparación de equipo de</w:t>
            </w:r>
          </w:p>
          <w:p>
            <w:pPr>
              <w:pStyle w:val="TableParagraph"/>
              <w:spacing w:line="187" w:lineRule="exact"/>
              <w:ind w:left="76"/>
              <w:rPr>
                <w:sz w:val="18"/>
              </w:rPr>
            </w:pPr>
            <w:r>
              <w:rPr>
                <w:spacing w:val="-2"/>
                <w:sz w:val="18"/>
              </w:rPr>
              <w:t>comunicación.</w:t>
            </w: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21" w:right="10"/>
              <w:jc w:val="center"/>
              <w:rPr>
                <w:sz w:val="18"/>
              </w:rPr>
            </w:pPr>
            <w:r>
              <w:rPr>
                <w:spacing w:val="-4"/>
                <w:sz w:val="18"/>
              </w:rPr>
              <w:t>100%</w:t>
            </w:r>
          </w:p>
        </w:tc>
        <w:tc>
          <w:tcPr>
            <w:tcW w:w="1303" w:type="dxa"/>
            <w:tcBorders>
              <w:right w:val="single" w:sz="8" w:space="0" w:color="000000"/>
            </w:tcBorders>
          </w:tcPr>
          <w:p>
            <w:pPr>
              <w:pStyle w:val="TableParagraph"/>
              <w:rPr>
                <w:b/>
                <w:sz w:val="18"/>
              </w:rPr>
            </w:pPr>
          </w:p>
          <w:p>
            <w:pPr>
              <w:pStyle w:val="TableParagraph"/>
              <w:rPr>
                <w:b/>
                <w:sz w:val="18"/>
              </w:rPr>
            </w:pPr>
          </w:p>
          <w:p>
            <w:pPr>
              <w:pStyle w:val="TableParagraph"/>
              <w:spacing w:before="204"/>
              <w:rPr>
                <w:b/>
                <w:sz w:val="18"/>
              </w:rPr>
            </w:pPr>
          </w:p>
          <w:p>
            <w:pPr>
              <w:pStyle w:val="TableParagraph"/>
              <w:ind w:right="48"/>
              <w:jc w:val="right"/>
              <w:rPr>
                <w:sz w:val="18"/>
              </w:rPr>
            </w:pPr>
            <w:r>
              <w:rPr>
                <w:sz w:val="18"/>
              </w:rPr>
              <w:t>₡79</w:t>
            </w:r>
            <w:r>
              <w:rPr>
                <w:spacing w:val="1"/>
                <w:sz w:val="18"/>
              </w:rPr>
              <w:t> </w:t>
            </w:r>
            <w:r>
              <w:rPr>
                <w:sz w:val="18"/>
              </w:rPr>
              <w:t>850</w:t>
            </w:r>
            <w:r>
              <w:rPr>
                <w:spacing w:val="-3"/>
                <w:sz w:val="18"/>
              </w:rPr>
              <w:t> </w:t>
            </w:r>
            <w:r>
              <w:rPr>
                <w:spacing w:val="-5"/>
                <w:sz w:val="18"/>
              </w:rPr>
              <w:t>000</w:t>
            </w:r>
          </w:p>
        </w:tc>
      </w:tr>
    </w:tbl>
    <w:p>
      <w:pPr>
        <w:pStyle w:val="TableParagraph"/>
        <w:spacing w:after="0"/>
        <w:jc w:val="right"/>
        <w:rPr>
          <w:sz w:val="18"/>
        </w:rPr>
        <w:sectPr>
          <w:type w:val="continuous"/>
          <w:pgSz w:w="15840" w:h="12240" w:orient="landscape"/>
          <w:pgMar w:header="0" w:footer="1806" w:top="700" w:bottom="2529" w:left="360" w:right="360"/>
        </w:sectPr>
      </w:pP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7"/>
        <w:gridCol w:w="1719"/>
        <w:gridCol w:w="1182"/>
        <w:gridCol w:w="1182"/>
        <w:gridCol w:w="1182"/>
        <w:gridCol w:w="1182"/>
        <w:gridCol w:w="1182"/>
        <w:gridCol w:w="1182"/>
        <w:gridCol w:w="1182"/>
        <w:gridCol w:w="1303"/>
      </w:tblGrid>
      <w:tr>
        <w:trPr>
          <w:trHeight w:val="282" w:hRule="atLeast"/>
        </w:trPr>
        <w:tc>
          <w:tcPr>
            <w:tcW w:w="3097" w:type="dxa"/>
            <w:vMerge w:val="restart"/>
            <w:shd w:val="clear" w:color="auto" w:fill="D7D7D7"/>
          </w:tcPr>
          <w:p>
            <w:pPr>
              <w:pStyle w:val="TableParagraph"/>
              <w:spacing w:before="70"/>
              <w:rPr>
                <w:b/>
                <w:sz w:val="18"/>
              </w:rPr>
            </w:pPr>
          </w:p>
          <w:p>
            <w:pPr>
              <w:pStyle w:val="TableParagraph"/>
              <w:ind w:left="585"/>
              <w:rPr>
                <w:b/>
                <w:sz w:val="18"/>
              </w:rPr>
            </w:pPr>
            <w:r>
              <w:rPr>
                <w:b/>
                <w:sz w:val="18"/>
              </w:rPr>
              <w:t>Objetivos</w:t>
            </w:r>
            <w:r>
              <w:rPr>
                <w:b/>
                <w:spacing w:val="-5"/>
                <w:sz w:val="18"/>
              </w:rPr>
              <w:t> </w:t>
            </w:r>
            <w:r>
              <w:rPr>
                <w:b/>
                <w:sz w:val="18"/>
              </w:rPr>
              <w:t>/</w:t>
            </w:r>
            <w:r>
              <w:rPr>
                <w:b/>
                <w:spacing w:val="-2"/>
                <w:sz w:val="18"/>
              </w:rPr>
              <w:t> Resultados</w:t>
            </w:r>
          </w:p>
        </w:tc>
        <w:tc>
          <w:tcPr>
            <w:tcW w:w="1719" w:type="dxa"/>
            <w:vMerge w:val="restart"/>
            <w:shd w:val="clear" w:color="auto" w:fill="D7D7D7"/>
          </w:tcPr>
          <w:p>
            <w:pPr>
              <w:pStyle w:val="TableParagraph"/>
              <w:spacing w:before="70"/>
              <w:rPr>
                <w:b/>
                <w:sz w:val="18"/>
              </w:rPr>
            </w:pPr>
          </w:p>
          <w:p>
            <w:pPr>
              <w:pStyle w:val="TableParagraph"/>
              <w:ind w:left="461"/>
              <w:rPr>
                <w:b/>
                <w:sz w:val="18"/>
              </w:rPr>
            </w:pPr>
            <w:r>
              <w:rPr>
                <w:b/>
                <w:spacing w:val="-2"/>
                <w:sz w:val="18"/>
              </w:rPr>
              <w:t>Indicador</w:t>
            </w:r>
          </w:p>
        </w:tc>
        <w:tc>
          <w:tcPr>
            <w:tcW w:w="2364" w:type="dxa"/>
            <w:gridSpan w:val="2"/>
            <w:shd w:val="clear" w:color="auto" w:fill="D7D7D7"/>
          </w:tcPr>
          <w:p>
            <w:pPr>
              <w:pStyle w:val="TableParagraph"/>
              <w:spacing w:before="37"/>
              <w:ind w:left="725"/>
              <w:rPr>
                <w:b/>
                <w:sz w:val="18"/>
              </w:rPr>
            </w:pPr>
            <w:r>
              <w:rPr>
                <w:b/>
                <w:sz w:val="18"/>
              </w:rPr>
              <w:t>I</w:t>
            </w:r>
            <w:r>
              <w:rPr>
                <w:b/>
                <w:spacing w:val="-1"/>
                <w:sz w:val="18"/>
              </w:rPr>
              <w:t> </w:t>
            </w:r>
            <w:r>
              <w:rPr>
                <w:b/>
                <w:spacing w:val="-2"/>
                <w:sz w:val="18"/>
              </w:rPr>
              <w:t>Trimestre</w:t>
            </w:r>
          </w:p>
        </w:tc>
        <w:tc>
          <w:tcPr>
            <w:tcW w:w="2364" w:type="dxa"/>
            <w:gridSpan w:val="2"/>
            <w:shd w:val="clear" w:color="auto" w:fill="D7D7D7"/>
          </w:tcPr>
          <w:p>
            <w:pPr>
              <w:pStyle w:val="TableParagraph"/>
              <w:spacing w:before="37"/>
              <w:ind w:left="699"/>
              <w:rPr>
                <w:b/>
                <w:sz w:val="18"/>
              </w:rPr>
            </w:pPr>
            <w:r>
              <w:rPr>
                <w:b/>
                <w:sz w:val="18"/>
              </w:rPr>
              <w:t>II</w:t>
            </w:r>
            <w:r>
              <w:rPr>
                <w:b/>
                <w:spacing w:val="-3"/>
                <w:sz w:val="18"/>
              </w:rPr>
              <w:t> </w:t>
            </w:r>
            <w:r>
              <w:rPr>
                <w:b/>
                <w:spacing w:val="-2"/>
                <w:sz w:val="18"/>
              </w:rPr>
              <w:t>Trimestre</w:t>
            </w:r>
          </w:p>
        </w:tc>
        <w:tc>
          <w:tcPr>
            <w:tcW w:w="2364" w:type="dxa"/>
            <w:gridSpan w:val="2"/>
            <w:shd w:val="clear" w:color="auto" w:fill="D7D7D7"/>
          </w:tcPr>
          <w:p>
            <w:pPr>
              <w:pStyle w:val="TableParagraph"/>
              <w:spacing w:before="37"/>
              <w:ind w:left="673"/>
              <w:rPr>
                <w:b/>
                <w:sz w:val="18"/>
              </w:rPr>
            </w:pPr>
            <w:r>
              <w:rPr>
                <w:b/>
                <w:sz w:val="18"/>
              </w:rPr>
              <w:t>III</w:t>
            </w:r>
            <w:r>
              <w:rPr>
                <w:b/>
                <w:spacing w:val="-2"/>
                <w:sz w:val="18"/>
              </w:rPr>
              <w:t> Trimestre</w:t>
            </w:r>
          </w:p>
        </w:tc>
        <w:tc>
          <w:tcPr>
            <w:tcW w:w="2485" w:type="dxa"/>
            <w:gridSpan w:val="2"/>
            <w:shd w:val="clear" w:color="auto" w:fill="D7D7D7"/>
          </w:tcPr>
          <w:p>
            <w:pPr>
              <w:pStyle w:val="TableParagraph"/>
              <w:spacing w:before="37"/>
              <w:ind w:left="719"/>
              <w:rPr>
                <w:b/>
                <w:sz w:val="18"/>
              </w:rPr>
            </w:pPr>
            <w:r>
              <w:rPr>
                <w:b/>
                <w:sz w:val="18"/>
              </w:rPr>
              <w:t>IV</w:t>
            </w:r>
            <w:r>
              <w:rPr>
                <w:b/>
                <w:spacing w:val="-2"/>
                <w:sz w:val="18"/>
              </w:rPr>
              <w:t> Trimestre</w:t>
            </w:r>
          </w:p>
        </w:tc>
      </w:tr>
      <w:tr>
        <w:trPr>
          <w:trHeight w:val="465" w:hRule="atLeast"/>
        </w:trPr>
        <w:tc>
          <w:tcPr>
            <w:tcW w:w="3097" w:type="dxa"/>
            <w:vMerge/>
            <w:tcBorders>
              <w:top w:val="nil"/>
            </w:tcBorders>
            <w:shd w:val="clear" w:color="auto" w:fill="D7D7D7"/>
          </w:tcPr>
          <w:p>
            <w:pPr>
              <w:rPr>
                <w:sz w:val="2"/>
                <w:szCs w:val="2"/>
              </w:rPr>
            </w:pPr>
          </w:p>
        </w:tc>
        <w:tc>
          <w:tcPr>
            <w:tcW w:w="1719" w:type="dxa"/>
            <w:vMerge/>
            <w:tcBorders>
              <w:top w:val="nil"/>
            </w:tcBorders>
            <w:shd w:val="clear" w:color="auto" w:fill="D7D7D7"/>
          </w:tcPr>
          <w:p>
            <w:pPr>
              <w:rPr>
                <w:sz w:val="2"/>
                <w:szCs w:val="2"/>
              </w:rPr>
            </w:pPr>
          </w:p>
        </w:tc>
        <w:tc>
          <w:tcPr>
            <w:tcW w:w="1182" w:type="dxa"/>
            <w:tcBorders>
              <w:bottom w:val="nil"/>
            </w:tcBorders>
            <w:shd w:val="clear" w:color="auto" w:fill="D7D7D7"/>
          </w:tcPr>
          <w:p>
            <w:pPr>
              <w:pStyle w:val="TableParagraph"/>
              <w:spacing w:before="27"/>
              <w:ind w:left="76" w:firstLine="312"/>
              <w:rPr>
                <w:b/>
                <w:sz w:val="18"/>
              </w:rPr>
            </w:pPr>
            <w:r>
              <w:rPr>
                <w:b/>
                <w:spacing w:val="-4"/>
                <w:sz w:val="18"/>
              </w:rPr>
              <w:t>Meta </w:t>
            </w:r>
            <w:r>
              <w:rPr>
                <w:b/>
                <w:spacing w:val="-2"/>
                <w:sz w:val="18"/>
              </w:rPr>
              <w:t>programada</w:t>
            </w:r>
          </w:p>
        </w:tc>
        <w:tc>
          <w:tcPr>
            <w:tcW w:w="1182" w:type="dxa"/>
            <w:tcBorders>
              <w:bottom w:val="nil"/>
            </w:tcBorders>
            <w:shd w:val="clear" w:color="auto" w:fill="D7D7D7"/>
          </w:tcPr>
          <w:p>
            <w:pPr>
              <w:pStyle w:val="TableParagraph"/>
              <w:spacing w:before="128"/>
              <w:ind w:left="30" w:right="9"/>
              <w:jc w:val="center"/>
              <w:rPr>
                <w:b/>
                <w:sz w:val="18"/>
              </w:rPr>
            </w:pPr>
            <w:r>
              <w:rPr>
                <w:b/>
                <w:spacing w:val="-10"/>
                <w:sz w:val="18"/>
              </w:rPr>
              <w:t>¢</w:t>
            </w:r>
          </w:p>
        </w:tc>
        <w:tc>
          <w:tcPr>
            <w:tcW w:w="1182" w:type="dxa"/>
            <w:tcBorders>
              <w:bottom w:val="nil"/>
            </w:tcBorders>
            <w:shd w:val="clear" w:color="auto" w:fill="D7D7D7"/>
          </w:tcPr>
          <w:p>
            <w:pPr>
              <w:pStyle w:val="TableParagraph"/>
              <w:spacing w:before="27"/>
              <w:ind w:left="75" w:firstLine="312"/>
              <w:rPr>
                <w:b/>
                <w:sz w:val="18"/>
              </w:rPr>
            </w:pPr>
            <w:r>
              <w:rPr>
                <w:b/>
                <w:spacing w:val="-4"/>
                <w:sz w:val="18"/>
              </w:rPr>
              <w:t>Meta </w:t>
            </w:r>
            <w:r>
              <w:rPr>
                <w:b/>
                <w:spacing w:val="-2"/>
                <w:sz w:val="18"/>
              </w:rPr>
              <w:t>programada</w:t>
            </w:r>
          </w:p>
        </w:tc>
        <w:tc>
          <w:tcPr>
            <w:tcW w:w="1182" w:type="dxa"/>
            <w:tcBorders>
              <w:bottom w:val="nil"/>
            </w:tcBorders>
            <w:shd w:val="clear" w:color="auto" w:fill="D7D7D7"/>
          </w:tcPr>
          <w:p>
            <w:pPr>
              <w:pStyle w:val="TableParagraph"/>
              <w:spacing w:before="128"/>
              <w:ind w:left="27" w:right="9"/>
              <w:jc w:val="center"/>
              <w:rPr>
                <w:b/>
                <w:sz w:val="18"/>
              </w:rPr>
            </w:pPr>
            <w:r>
              <w:rPr>
                <w:b/>
                <w:spacing w:val="-10"/>
                <w:sz w:val="18"/>
              </w:rPr>
              <w:t>¢</w:t>
            </w:r>
          </w:p>
        </w:tc>
        <w:tc>
          <w:tcPr>
            <w:tcW w:w="1182" w:type="dxa"/>
            <w:tcBorders>
              <w:bottom w:val="nil"/>
            </w:tcBorders>
            <w:shd w:val="clear" w:color="auto" w:fill="D7D7D7"/>
          </w:tcPr>
          <w:p>
            <w:pPr>
              <w:pStyle w:val="TableParagraph"/>
              <w:spacing w:before="27"/>
              <w:ind w:left="73" w:firstLine="312"/>
              <w:rPr>
                <w:b/>
                <w:sz w:val="18"/>
              </w:rPr>
            </w:pPr>
            <w:r>
              <w:rPr>
                <w:b/>
                <w:spacing w:val="-4"/>
                <w:sz w:val="18"/>
              </w:rPr>
              <w:t>Meta </w:t>
            </w:r>
            <w:r>
              <w:rPr>
                <w:b/>
                <w:spacing w:val="-2"/>
                <w:sz w:val="18"/>
              </w:rPr>
              <w:t>programada</w:t>
            </w:r>
          </w:p>
        </w:tc>
        <w:tc>
          <w:tcPr>
            <w:tcW w:w="1182" w:type="dxa"/>
            <w:tcBorders>
              <w:bottom w:val="nil"/>
            </w:tcBorders>
            <w:shd w:val="clear" w:color="auto" w:fill="D7D7D7"/>
          </w:tcPr>
          <w:p>
            <w:pPr>
              <w:pStyle w:val="TableParagraph"/>
              <w:spacing w:before="128"/>
              <w:ind w:left="24" w:right="9"/>
              <w:jc w:val="center"/>
              <w:rPr>
                <w:b/>
                <w:sz w:val="18"/>
              </w:rPr>
            </w:pPr>
            <w:r>
              <w:rPr>
                <w:b/>
                <w:spacing w:val="-10"/>
                <w:sz w:val="18"/>
              </w:rPr>
              <w:t>¢</w:t>
            </w:r>
          </w:p>
        </w:tc>
        <w:tc>
          <w:tcPr>
            <w:tcW w:w="1182" w:type="dxa"/>
            <w:tcBorders>
              <w:bottom w:val="nil"/>
            </w:tcBorders>
            <w:shd w:val="clear" w:color="auto" w:fill="D7D7D7"/>
          </w:tcPr>
          <w:p>
            <w:pPr>
              <w:pStyle w:val="TableParagraph"/>
              <w:spacing w:before="27"/>
              <w:ind w:left="71" w:firstLine="312"/>
              <w:rPr>
                <w:b/>
                <w:sz w:val="18"/>
              </w:rPr>
            </w:pPr>
            <w:r>
              <w:rPr>
                <w:b/>
                <w:spacing w:val="-4"/>
                <w:sz w:val="18"/>
              </w:rPr>
              <w:t>Meta </w:t>
            </w:r>
            <w:r>
              <w:rPr>
                <w:b/>
                <w:spacing w:val="-2"/>
                <w:sz w:val="18"/>
              </w:rPr>
              <w:t>programada</w:t>
            </w:r>
          </w:p>
        </w:tc>
        <w:tc>
          <w:tcPr>
            <w:tcW w:w="1303" w:type="dxa"/>
            <w:tcBorders>
              <w:bottom w:val="nil"/>
            </w:tcBorders>
            <w:shd w:val="clear" w:color="auto" w:fill="D7D7D7"/>
          </w:tcPr>
          <w:p>
            <w:pPr>
              <w:pStyle w:val="TableParagraph"/>
              <w:spacing w:before="128"/>
              <w:ind w:left="6"/>
              <w:jc w:val="center"/>
              <w:rPr>
                <w:b/>
                <w:sz w:val="18"/>
              </w:rPr>
            </w:pPr>
            <w:r>
              <w:rPr>
                <w:b/>
                <w:spacing w:val="-10"/>
                <w:sz w:val="18"/>
              </w:rPr>
              <w:t>¢</w:t>
            </w:r>
          </w:p>
        </w:tc>
      </w:tr>
      <w:tr>
        <w:trPr>
          <w:trHeight w:val="1656" w:hRule="atLeast"/>
        </w:trPr>
        <w:tc>
          <w:tcPr>
            <w:tcW w:w="3097" w:type="dxa"/>
            <w:tcBorders>
              <w:left w:val="single" w:sz="8" w:space="0" w:color="000000"/>
            </w:tcBorders>
          </w:tcPr>
          <w:p>
            <w:pPr>
              <w:pStyle w:val="TableParagraph"/>
              <w:rPr>
                <w:b/>
                <w:sz w:val="18"/>
              </w:rPr>
            </w:pPr>
          </w:p>
          <w:p>
            <w:pPr>
              <w:pStyle w:val="TableParagraph"/>
              <w:spacing w:before="104"/>
              <w:rPr>
                <w:b/>
                <w:sz w:val="18"/>
              </w:rPr>
            </w:pPr>
          </w:p>
          <w:p>
            <w:pPr>
              <w:pStyle w:val="TableParagraph"/>
              <w:spacing w:line="242" w:lineRule="auto"/>
              <w:ind w:left="72"/>
              <w:rPr>
                <w:sz w:val="18"/>
              </w:rPr>
            </w:pPr>
            <w:r>
              <w:rPr>
                <w:b/>
                <w:sz w:val="18"/>
              </w:rPr>
              <w:t>Producto</w:t>
            </w:r>
            <w:r>
              <w:rPr>
                <w:b/>
                <w:spacing w:val="-11"/>
                <w:sz w:val="18"/>
              </w:rPr>
              <w:t> </w:t>
            </w:r>
            <w:r>
              <w:rPr>
                <w:b/>
                <w:sz w:val="18"/>
              </w:rPr>
              <w:t>PAC</w:t>
            </w:r>
            <w:r>
              <w:rPr>
                <w:b/>
                <w:spacing w:val="-12"/>
                <w:sz w:val="18"/>
              </w:rPr>
              <w:t> </w:t>
            </w:r>
            <w:r>
              <w:rPr>
                <w:b/>
                <w:sz w:val="18"/>
              </w:rPr>
              <w:t>2.23.6:</w:t>
            </w:r>
            <w:r>
              <w:rPr>
                <w:b/>
                <w:spacing w:val="-6"/>
                <w:sz w:val="18"/>
              </w:rPr>
              <w:t> </w:t>
            </w:r>
            <w:r>
              <w:rPr>
                <w:sz w:val="18"/>
              </w:rPr>
              <w:t>Gestionar</w:t>
            </w:r>
            <w:r>
              <w:rPr>
                <w:spacing w:val="-5"/>
                <w:sz w:val="18"/>
              </w:rPr>
              <w:t> </w:t>
            </w:r>
            <w:r>
              <w:rPr>
                <w:sz w:val="18"/>
              </w:rPr>
              <w:t>los servicios de tecnologías de información (partida 1.03.07) AC</w:t>
            </w:r>
          </w:p>
        </w:tc>
        <w:tc>
          <w:tcPr>
            <w:tcW w:w="1719" w:type="dxa"/>
          </w:tcPr>
          <w:p>
            <w:pPr>
              <w:pStyle w:val="TableParagraph"/>
              <w:spacing w:before="3"/>
              <w:ind w:left="76"/>
              <w:rPr>
                <w:sz w:val="18"/>
              </w:rPr>
            </w:pPr>
            <w:r>
              <w:rPr>
                <w:sz w:val="18"/>
              </w:rPr>
              <w:t>Porcentaje de gestiones de las </w:t>
            </w:r>
            <w:r>
              <w:rPr>
                <w:spacing w:val="-2"/>
                <w:sz w:val="18"/>
              </w:rPr>
              <w:t>solicitudes </w:t>
            </w:r>
            <w:r>
              <w:rPr>
                <w:sz w:val="18"/>
              </w:rPr>
              <w:t>efectuadas por las dependencias</w:t>
            </w:r>
            <w:r>
              <w:rPr>
                <w:spacing w:val="-13"/>
                <w:sz w:val="18"/>
              </w:rPr>
              <w:t> </w:t>
            </w:r>
            <w:r>
              <w:rPr>
                <w:sz w:val="18"/>
              </w:rPr>
              <w:t>para los servicios de</w:t>
            </w:r>
          </w:p>
          <w:p>
            <w:pPr>
              <w:pStyle w:val="TableParagraph"/>
              <w:spacing w:line="206" w:lineRule="exact"/>
              <w:ind w:left="76"/>
              <w:rPr>
                <w:sz w:val="18"/>
              </w:rPr>
            </w:pPr>
            <w:r>
              <w:rPr>
                <w:sz w:val="18"/>
              </w:rPr>
              <w:t>tecnologías</w:t>
            </w:r>
            <w:r>
              <w:rPr>
                <w:spacing w:val="-13"/>
                <w:sz w:val="18"/>
              </w:rPr>
              <w:t> </w:t>
            </w:r>
            <w:r>
              <w:rPr>
                <w:sz w:val="18"/>
              </w:rPr>
              <w:t>de </w:t>
            </w:r>
            <w:r>
              <w:rPr>
                <w:spacing w:val="-2"/>
                <w:sz w:val="18"/>
              </w:rPr>
              <w:t>información.</w:t>
            </w:r>
          </w:p>
        </w:tc>
        <w:tc>
          <w:tcPr>
            <w:tcW w:w="1182" w:type="dxa"/>
            <w:tcBorders>
              <w:top w:val="nil"/>
            </w:tcBorders>
          </w:tcPr>
          <w:p>
            <w:pPr>
              <w:pStyle w:val="TableParagraph"/>
              <w:rPr>
                <w:rFonts w:ascii="Times New Roman"/>
                <w:sz w:val="18"/>
              </w:rPr>
            </w:pPr>
          </w:p>
        </w:tc>
        <w:tc>
          <w:tcPr>
            <w:tcW w:w="1182" w:type="dxa"/>
            <w:tcBorders>
              <w:top w:val="nil"/>
            </w:tcBorders>
          </w:tcPr>
          <w:p>
            <w:pPr>
              <w:pStyle w:val="TableParagraph"/>
              <w:rPr>
                <w:rFonts w:ascii="Times New Roman"/>
                <w:sz w:val="18"/>
              </w:rPr>
            </w:pPr>
          </w:p>
        </w:tc>
        <w:tc>
          <w:tcPr>
            <w:tcW w:w="1182" w:type="dxa"/>
            <w:tcBorders>
              <w:top w:val="nil"/>
            </w:tcBorders>
          </w:tcPr>
          <w:p>
            <w:pPr>
              <w:pStyle w:val="TableParagraph"/>
              <w:rPr>
                <w:rFonts w:ascii="Times New Roman"/>
                <w:sz w:val="18"/>
              </w:rPr>
            </w:pPr>
          </w:p>
        </w:tc>
        <w:tc>
          <w:tcPr>
            <w:tcW w:w="1182" w:type="dxa"/>
            <w:tcBorders>
              <w:top w:val="nil"/>
            </w:tcBorders>
          </w:tcPr>
          <w:p>
            <w:pPr>
              <w:pStyle w:val="TableParagraph"/>
              <w:rPr>
                <w:rFonts w:ascii="Times New Roman"/>
                <w:sz w:val="18"/>
              </w:rPr>
            </w:pPr>
          </w:p>
        </w:tc>
        <w:tc>
          <w:tcPr>
            <w:tcW w:w="1182" w:type="dxa"/>
            <w:tcBorders>
              <w:top w:val="nil"/>
            </w:tcBorders>
          </w:tcPr>
          <w:p>
            <w:pPr>
              <w:pStyle w:val="TableParagraph"/>
              <w:rPr>
                <w:rFonts w:ascii="Times New Roman"/>
                <w:sz w:val="18"/>
              </w:rPr>
            </w:pPr>
          </w:p>
        </w:tc>
        <w:tc>
          <w:tcPr>
            <w:tcW w:w="1182" w:type="dxa"/>
            <w:tcBorders>
              <w:top w:val="nil"/>
            </w:tcBorders>
          </w:tcPr>
          <w:p>
            <w:pPr>
              <w:pStyle w:val="TableParagraph"/>
              <w:rPr>
                <w:rFonts w:ascii="Times New Roman"/>
                <w:sz w:val="18"/>
              </w:rPr>
            </w:pPr>
          </w:p>
        </w:tc>
        <w:tc>
          <w:tcPr>
            <w:tcW w:w="1182" w:type="dxa"/>
            <w:tcBorders>
              <w:top w:val="nil"/>
            </w:tcBorders>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10"/>
              <w:jc w:val="center"/>
              <w:rPr>
                <w:sz w:val="18"/>
              </w:rPr>
            </w:pPr>
            <w:r>
              <w:rPr>
                <w:spacing w:val="-4"/>
                <w:sz w:val="18"/>
              </w:rPr>
              <w:t>100%</w:t>
            </w:r>
          </w:p>
        </w:tc>
        <w:tc>
          <w:tcPr>
            <w:tcW w:w="1303" w:type="dxa"/>
            <w:tcBorders>
              <w:top w:val="nil"/>
              <w:right w:val="single" w:sz="8" w:space="0" w:color="000000"/>
            </w:tcBorders>
          </w:tcPr>
          <w:p>
            <w:pPr>
              <w:pStyle w:val="TableParagraph"/>
              <w:rPr>
                <w:b/>
                <w:sz w:val="18"/>
              </w:rPr>
            </w:pPr>
          </w:p>
          <w:p>
            <w:pPr>
              <w:pStyle w:val="TableParagraph"/>
              <w:rPr>
                <w:b/>
                <w:sz w:val="18"/>
              </w:rPr>
            </w:pPr>
          </w:p>
          <w:p>
            <w:pPr>
              <w:pStyle w:val="TableParagraph"/>
              <w:spacing w:before="103"/>
              <w:rPr>
                <w:b/>
                <w:sz w:val="18"/>
              </w:rPr>
            </w:pPr>
          </w:p>
          <w:p>
            <w:pPr>
              <w:pStyle w:val="TableParagraph"/>
              <w:ind w:left="48"/>
              <w:jc w:val="center"/>
              <w:rPr>
                <w:sz w:val="18"/>
              </w:rPr>
            </w:pPr>
            <w:r>
              <w:rPr>
                <w:sz w:val="18"/>
              </w:rPr>
              <w:t>₡839</w:t>
            </w:r>
            <w:r>
              <w:rPr>
                <w:spacing w:val="1"/>
                <w:sz w:val="18"/>
              </w:rPr>
              <w:t> </w:t>
            </w:r>
            <w:r>
              <w:rPr>
                <w:sz w:val="18"/>
              </w:rPr>
              <w:t>972</w:t>
            </w:r>
            <w:r>
              <w:rPr>
                <w:spacing w:val="-3"/>
                <w:sz w:val="18"/>
              </w:rPr>
              <w:t> </w:t>
            </w:r>
            <w:r>
              <w:rPr>
                <w:spacing w:val="-5"/>
                <w:sz w:val="18"/>
              </w:rPr>
              <w:t>500</w:t>
            </w:r>
          </w:p>
        </w:tc>
      </w:tr>
      <w:tr>
        <w:trPr>
          <w:trHeight w:val="1454" w:hRule="atLeast"/>
        </w:trPr>
        <w:tc>
          <w:tcPr>
            <w:tcW w:w="3097" w:type="dxa"/>
            <w:tcBorders>
              <w:left w:val="single" w:sz="8" w:space="0" w:color="000000"/>
              <w:bottom w:val="single" w:sz="8" w:space="0" w:color="000000"/>
            </w:tcBorders>
          </w:tcPr>
          <w:p>
            <w:pPr>
              <w:pStyle w:val="TableParagraph"/>
              <w:rPr>
                <w:b/>
                <w:sz w:val="18"/>
              </w:rPr>
            </w:pPr>
          </w:p>
          <w:p>
            <w:pPr>
              <w:pStyle w:val="TableParagraph"/>
              <w:spacing w:before="2"/>
              <w:rPr>
                <w:b/>
                <w:sz w:val="18"/>
              </w:rPr>
            </w:pPr>
          </w:p>
          <w:p>
            <w:pPr>
              <w:pStyle w:val="TableParagraph"/>
              <w:ind w:left="72"/>
              <w:rPr>
                <w:sz w:val="18"/>
              </w:rPr>
            </w:pPr>
            <w:r>
              <w:rPr>
                <w:b/>
                <w:sz w:val="18"/>
              </w:rPr>
              <w:t>Producto</w:t>
            </w:r>
            <w:r>
              <w:rPr>
                <w:b/>
                <w:spacing w:val="-11"/>
                <w:sz w:val="18"/>
              </w:rPr>
              <w:t> </w:t>
            </w:r>
            <w:r>
              <w:rPr>
                <w:b/>
                <w:sz w:val="18"/>
              </w:rPr>
              <w:t>PAC</w:t>
            </w:r>
            <w:r>
              <w:rPr>
                <w:b/>
                <w:spacing w:val="-12"/>
                <w:sz w:val="18"/>
              </w:rPr>
              <w:t> </w:t>
            </w:r>
            <w:r>
              <w:rPr>
                <w:b/>
                <w:sz w:val="18"/>
              </w:rPr>
              <w:t>2.23.7:</w:t>
            </w:r>
            <w:r>
              <w:rPr>
                <w:b/>
                <w:spacing w:val="-6"/>
                <w:sz w:val="18"/>
              </w:rPr>
              <w:t> </w:t>
            </w:r>
            <w:r>
              <w:rPr>
                <w:sz w:val="18"/>
              </w:rPr>
              <w:t>Gestionar</w:t>
            </w:r>
            <w:r>
              <w:rPr>
                <w:spacing w:val="-5"/>
                <w:sz w:val="18"/>
              </w:rPr>
              <w:t> </w:t>
            </w:r>
            <w:r>
              <w:rPr>
                <w:sz w:val="18"/>
              </w:rPr>
              <w:t>los servicios informáticos (partida 1.04.05) AC</w:t>
            </w:r>
          </w:p>
        </w:tc>
        <w:tc>
          <w:tcPr>
            <w:tcW w:w="1719" w:type="dxa"/>
            <w:tcBorders>
              <w:bottom w:val="single" w:sz="8" w:space="0" w:color="000000"/>
            </w:tcBorders>
          </w:tcPr>
          <w:p>
            <w:pPr>
              <w:pStyle w:val="TableParagraph"/>
              <w:spacing w:before="3"/>
              <w:ind w:left="76"/>
              <w:rPr>
                <w:sz w:val="18"/>
              </w:rPr>
            </w:pPr>
            <w:r>
              <w:rPr>
                <w:sz w:val="18"/>
              </w:rPr>
              <w:t>Porcentaje de gestiones de las </w:t>
            </w:r>
            <w:r>
              <w:rPr>
                <w:spacing w:val="-2"/>
                <w:sz w:val="18"/>
              </w:rPr>
              <w:t>solicitudes </w:t>
            </w:r>
            <w:r>
              <w:rPr>
                <w:sz w:val="18"/>
              </w:rPr>
              <w:t>efectuadas por las dependencias</w:t>
            </w:r>
            <w:r>
              <w:rPr>
                <w:spacing w:val="-13"/>
                <w:sz w:val="18"/>
              </w:rPr>
              <w:t> </w:t>
            </w:r>
            <w:r>
              <w:rPr>
                <w:sz w:val="18"/>
              </w:rPr>
              <w:t>para los servicios</w:t>
            </w:r>
          </w:p>
          <w:p>
            <w:pPr>
              <w:pStyle w:val="TableParagraph"/>
              <w:spacing w:line="189" w:lineRule="exact"/>
              <w:ind w:left="76"/>
              <w:rPr>
                <w:sz w:val="18"/>
              </w:rPr>
            </w:pPr>
            <w:r>
              <w:rPr>
                <w:spacing w:val="-2"/>
                <w:sz w:val="18"/>
              </w:rPr>
              <w:t>informáticos.</w:t>
            </w:r>
          </w:p>
        </w:tc>
        <w:tc>
          <w:tcPr>
            <w:tcW w:w="1182" w:type="dxa"/>
            <w:tcBorders>
              <w:bottom w:val="single" w:sz="8" w:space="0" w:color="000000"/>
            </w:tcBorders>
          </w:tcPr>
          <w:p>
            <w:pPr>
              <w:pStyle w:val="TableParagraph"/>
              <w:rPr>
                <w:rFonts w:ascii="Times New Roman"/>
                <w:sz w:val="18"/>
              </w:rPr>
            </w:pPr>
          </w:p>
        </w:tc>
        <w:tc>
          <w:tcPr>
            <w:tcW w:w="1182" w:type="dxa"/>
            <w:tcBorders>
              <w:bottom w:val="single" w:sz="8" w:space="0" w:color="000000"/>
            </w:tcBorders>
          </w:tcPr>
          <w:p>
            <w:pPr>
              <w:pStyle w:val="TableParagraph"/>
              <w:rPr>
                <w:rFonts w:ascii="Times New Roman"/>
                <w:sz w:val="18"/>
              </w:rPr>
            </w:pPr>
          </w:p>
        </w:tc>
        <w:tc>
          <w:tcPr>
            <w:tcW w:w="1182" w:type="dxa"/>
            <w:tcBorders>
              <w:bottom w:val="single" w:sz="8" w:space="0" w:color="000000"/>
            </w:tcBorders>
          </w:tcPr>
          <w:p>
            <w:pPr>
              <w:pStyle w:val="TableParagraph"/>
              <w:rPr>
                <w:rFonts w:ascii="Times New Roman"/>
                <w:sz w:val="18"/>
              </w:rPr>
            </w:pPr>
          </w:p>
        </w:tc>
        <w:tc>
          <w:tcPr>
            <w:tcW w:w="1182" w:type="dxa"/>
            <w:tcBorders>
              <w:bottom w:val="single" w:sz="8" w:space="0" w:color="000000"/>
            </w:tcBorders>
          </w:tcPr>
          <w:p>
            <w:pPr>
              <w:pStyle w:val="TableParagraph"/>
              <w:rPr>
                <w:rFonts w:ascii="Times New Roman"/>
                <w:sz w:val="18"/>
              </w:rPr>
            </w:pPr>
          </w:p>
        </w:tc>
        <w:tc>
          <w:tcPr>
            <w:tcW w:w="1182" w:type="dxa"/>
            <w:tcBorders>
              <w:bottom w:val="single" w:sz="8" w:space="0" w:color="000000"/>
            </w:tcBorders>
          </w:tcPr>
          <w:p>
            <w:pPr>
              <w:pStyle w:val="TableParagraph"/>
              <w:rPr>
                <w:rFonts w:ascii="Times New Roman"/>
                <w:sz w:val="18"/>
              </w:rPr>
            </w:pPr>
          </w:p>
        </w:tc>
        <w:tc>
          <w:tcPr>
            <w:tcW w:w="1182" w:type="dxa"/>
            <w:tcBorders>
              <w:bottom w:val="single" w:sz="8" w:space="0" w:color="000000"/>
            </w:tcBorders>
          </w:tcPr>
          <w:p>
            <w:pPr>
              <w:pStyle w:val="TableParagraph"/>
              <w:rPr>
                <w:rFonts w:ascii="Times New Roman"/>
                <w:sz w:val="18"/>
              </w:rPr>
            </w:pPr>
          </w:p>
        </w:tc>
        <w:tc>
          <w:tcPr>
            <w:tcW w:w="1182" w:type="dxa"/>
            <w:tcBorders>
              <w:bottom w:val="single" w:sz="8" w:space="0" w:color="000000"/>
            </w:tcBorders>
          </w:tcPr>
          <w:p>
            <w:pPr>
              <w:pStyle w:val="TableParagraph"/>
              <w:rPr>
                <w:b/>
                <w:sz w:val="18"/>
              </w:rPr>
            </w:pPr>
          </w:p>
          <w:p>
            <w:pPr>
              <w:pStyle w:val="TableParagraph"/>
              <w:rPr>
                <w:b/>
                <w:sz w:val="18"/>
              </w:rPr>
            </w:pPr>
          </w:p>
          <w:p>
            <w:pPr>
              <w:pStyle w:val="TableParagraph"/>
              <w:spacing w:before="1"/>
              <w:rPr>
                <w:b/>
                <w:sz w:val="18"/>
              </w:rPr>
            </w:pPr>
          </w:p>
          <w:p>
            <w:pPr>
              <w:pStyle w:val="TableParagraph"/>
              <w:ind w:left="21" w:right="10"/>
              <w:jc w:val="center"/>
              <w:rPr>
                <w:sz w:val="18"/>
              </w:rPr>
            </w:pPr>
            <w:r>
              <w:rPr>
                <w:spacing w:val="-4"/>
                <w:sz w:val="18"/>
              </w:rPr>
              <w:t>100%</w:t>
            </w:r>
          </w:p>
        </w:tc>
        <w:tc>
          <w:tcPr>
            <w:tcW w:w="1303" w:type="dxa"/>
            <w:tcBorders>
              <w:right w:val="single" w:sz="8" w:space="0" w:color="000000"/>
            </w:tcBorders>
          </w:tcPr>
          <w:p>
            <w:pPr>
              <w:pStyle w:val="TableParagraph"/>
              <w:rPr>
                <w:b/>
                <w:sz w:val="18"/>
              </w:rPr>
            </w:pPr>
          </w:p>
          <w:p>
            <w:pPr>
              <w:pStyle w:val="TableParagraph"/>
              <w:rPr>
                <w:b/>
                <w:sz w:val="18"/>
              </w:rPr>
            </w:pPr>
          </w:p>
          <w:p>
            <w:pPr>
              <w:pStyle w:val="TableParagraph"/>
              <w:spacing w:before="1"/>
              <w:rPr>
                <w:b/>
                <w:sz w:val="18"/>
              </w:rPr>
            </w:pPr>
          </w:p>
          <w:p>
            <w:pPr>
              <w:pStyle w:val="TableParagraph"/>
              <w:ind w:left="48"/>
              <w:jc w:val="center"/>
              <w:rPr>
                <w:sz w:val="18"/>
              </w:rPr>
            </w:pPr>
            <w:r>
              <w:rPr>
                <w:sz w:val="18"/>
              </w:rPr>
              <w:t>₡813</w:t>
            </w:r>
            <w:r>
              <w:rPr>
                <w:spacing w:val="1"/>
                <w:sz w:val="18"/>
              </w:rPr>
              <w:t> </w:t>
            </w:r>
            <w:r>
              <w:rPr>
                <w:sz w:val="18"/>
              </w:rPr>
              <w:t>000</w:t>
            </w:r>
            <w:r>
              <w:rPr>
                <w:spacing w:val="-3"/>
                <w:sz w:val="18"/>
              </w:rPr>
              <w:t> </w:t>
            </w:r>
            <w:r>
              <w:rPr>
                <w:spacing w:val="-5"/>
                <w:sz w:val="18"/>
              </w:rPr>
              <w:t>000</w:t>
            </w:r>
          </w:p>
        </w:tc>
      </w:tr>
    </w:tbl>
    <w:p>
      <w:pPr>
        <w:pStyle w:val="BodyText"/>
        <w:rPr>
          <w:b/>
          <w:sz w:val="20"/>
        </w:rPr>
      </w:pPr>
    </w:p>
    <w:p>
      <w:pPr>
        <w:pStyle w:val="BodyText"/>
        <w:rPr>
          <w:b/>
          <w:sz w:val="20"/>
        </w:rPr>
      </w:pPr>
    </w:p>
    <w:p>
      <w:pPr>
        <w:pStyle w:val="BodyText"/>
        <w:spacing w:before="157" w:after="1"/>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90"/>
        <w:gridCol w:w="1820"/>
        <w:gridCol w:w="1249"/>
        <w:gridCol w:w="1278"/>
        <w:gridCol w:w="1182"/>
        <w:gridCol w:w="1134"/>
        <w:gridCol w:w="1278"/>
        <w:gridCol w:w="1134"/>
        <w:gridCol w:w="1182"/>
        <w:gridCol w:w="1279"/>
      </w:tblGrid>
      <w:tr>
        <w:trPr>
          <w:trHeight w:val="301" w:hRule="atLeast"/>
        </w:trPr>
        <w:tc>
          <w:tcPr>
            <w:tcW w:w="2790" w:type="dxa"/>
            <w:vMerge w:val="restart"/>
            <w:shd w:val="clear" w:color="auto" w:fill="D9D9D9"/>
          </w:tcPr>
          <w:p>
            <w:pPr>
              <w:pStyle w:val="TableParagraph"/>
              <w:spacing w:before="180"/>
              <w:rPr>
                <w:b/>
                <w:sz w:val="18"/>
              </w:rPr>
            </w:pPr>
          </w:p>
          <w:p>
            <w:pPr>
              <w:pStyle w:val="TableParagraph"/>
              <w:ind w:left="427"/>
              <w:rPr>
                <w:b/>
                <w:sz w:val="18"/>
              </w:rPr>
            </w:pPr>
            <w:r>
              <w:rPr>
                <w:b/>
                <w:sz w:val="18"/>
              </w:rPr>
              <w:t>Objetivos</w:t>
            </w:r>
            <w:r>
              <w:rPr>
                <w:b/>
                <w:spacing w:val="-5"/>
                <w:sz w:val="18"/>
              </w:rPr>
              <w:t> </w:t>
            </w:r>
            <w:r>
              <w:rPr>
                <w:b/>
                <w:sz w:val="18"/>
              </w:rPr>
              <w:t>/</w:t>
            </w:r>
            <w:r>
              <w:rPr>
                <w:b/>
                <w:spacing w:val="-2"/>
                <w:sz w:val="18"/>
              </w:rPr>
              <w:t> Resultados</w:t>
            </w:r>
          </w:p>
        </w:tc>
        <w:tc>
          <w:tcPr>
            <w:tcW w:w="1820" w:type="dxa"/>
            <w:vMerge w:val="restart"/>
            <w:shd w:val="clear" w:color="auto" w:fill="D9D9D9"/>
          </w:tcPr>
          <w:p>
            <w:pPr>
              <w:pStyle w:val="TableParagraph"/>
              <w:spacing w:before="180"/>
              <w:rPr>
                <w:b/>
                <w:sz w:val="18"/>
              </w:rPr>
            </w:pPr>
          </w:p>
          <w:p>
            <w:pPr>
              <w:pStyle w:val="TableParagraph"/>
              <w:ind w:left="498"/>
              <w:rPr>
                <w:b/>
                <w:sz w:val="18"/>
              </w:rPr>
            </w:pPr>
            <w:r>
              <w:rPr>
                <w:b/>
                <w:spacing w:val="-2"/>
                <w:sz w:val="18"/>
              </w:rPr>
              <w:t>Indicador</w:t>
            </w:r>
          </w:p>
        </w:tc>
        <w:tc>
          <w:tcPr>
            <w:tcW w:w="2527" w:type="dxa"/>
            <w:gridSpan w:val="2"/>
            <w:shd w:val="clear" w:color="auto" w:fill="D9D9D9"/>
          </w:tcPr>
          <w:p>
            <w:pPr>
              <w:pStyle w:val="TableParagraph"/>
              <w:spacing w:before="47"/>
              <w:ind w:left="796"/>
              <w:rPr>
                <w:b/>
                <w:sz w:val="18"/>
              </w:rPr>
            </w:pPr>
            <w:r>
              <w:rPr>
                <w:b/>
                <w:sz w:val="18"/>
              </w:rPr>
              <w:t>I</w:t>
            </w:r>
            <w:r>
              <w:rPr>
                <w:b/>
                <w:spacing w:val="-1"/>
                <w:sz w:val="18"/>
              </w:rPr>
              <w:t> </w:t>
            </w:r>
            <w:r>
              <w:rPr>
                <w:b/>
                <w:spacing w:val="-2"/>
                <w:sz w:val="18"/>
              </w:rPr>
              <w:t>Trimestre</w:t>
            </w:r>
          </w:p>
        </w:tc>
        <w:tc>
          <w:tcPr>
            <w:tcW w:w="2316" w:type="dxa"/>
            <w:gridSpan w:val="2"/>
            <w:shd w:val="clear" w:color="auto" w:fill="D9D9D9"/>
          </w:tcPr>
          <w:p>
            <w:pPr>
              <w:pStyle w:val="TableParagraph"/>
              <w:spacing w:before="47"/>
              <w:ind w:left="665"/>
              <w:rPr>
                <w:b/>
                <w:sz w:val="18"/>
              </w:rPr>
            </w:pPr>
            <w:r>
              <w:rPr>
                <w:b/>
                <w:sz w:val="18"/>
              </w:rPr>
              <w:t>II</w:t>
            </w:r>
            <w:r>
              <w:rPr>
                <w:b/>
                <w:spacing w:val="-3"/>
                <w:sz w:val="18"/>
              </w:rPr>
              <w:t> </w:t>
            </w:r>
            <w:r>
              <w:rPr>
                <w:b/>
                <w:spacing w:val="-2"/>
                <w:sz w:val="18"/>
              </w:rPr>
              <w:t>Trimestre</w:t>
            </w:r>
          </w:p>
        </w:tc>
        <w:tc>
          <w:tcPr>
            <w:tcW w:w="2412" w:type="dxa"/>
            <w:gridSpan w:val="2"/>
            <w:shd w:val="clear" w:color="auto" w:fill="D9D9D9"/>
          </w:tcPr>
          <w:p>
            <w:pPr>
              <w:pStyle w:val="TableParagraph"/>
              <w:spacing w:before="47"/>
              <w:ind w:left="692"/>
              <w:rPr>
                <w:b/>
                <w:sz w:val="18"/>
              </w:rPr>
            </w:pPr>
            <w:r>
              <w:rPr>
                <w:b/>
                <w:sz w:val="18"/>
              </w:rPr>
              <w:t>III</w:t>
            </w:r>
            <w:r>
              <w:rPr>
                <w:b/>
                <w:spacing w:val="-2"/>
                <w:sz w:val="18"/>
              </w:rPr>
              <w:t> Trimestre</w:t>
            </w:r>
          </w:p>
        </w:tc>
        <w:tc>
          <w:tcPr>
            <w:tcW w:w="2461" w:type="dxa"/>
            <w:gridSpan w:val="2"/>
            <w:shd w:val="clear" w:color="auto" w:fill="D9D9D9"/>
          </w:tcPr>
          <w:p>
            <w:pPr>
              <w:pStyle w:val="TableParagraph"/>
              <w:spacing w:before="47"/>
              <w:ind w:left="700"/>
              <w:rPr>
                <w:b/>
                <w:sz w:val="18"/>
              </w:rPr>
            </w:pPr>
            <w:r>
              <w:rPr>
                <w:b/>
                <w:sz w:val="18"/>
              </w:rPr>
              <w:t>IV</w:t>
            </w:r>
            <w:r>
              <w:rPr>
                <w:b/>
                <w:spacing w:val="-2"/>
                <w:sz w:val="18"/>
              </w:rPr>
              <w:t> Trimestre</w:t>
            </w:r>
          </w:p>
        </w:tc>
      </w:tr>
      <w:tr>
        <w:trPr>
          <w:trHeight w:val="671" w:hRule="atLeast"/>
        </w:trPr>
        <w:tc>
          <w:tcPr>
            <w:tcW w:w="2790" w:type="dxa"/>
            <w:vMerge/>
            <w:tcBorders>
              <w:top w:val="nil"/>
            </w:tcBorders>
            <w:shd w:val="clear" w:color="auto" w:fill="D9D9D9"/>
          </w:tcPr>
          <w:p>
            <w:pPr>
              <w:rPr>
                <w:sz w:val="2"/>
                <w:szCs w:val="2"/>
              </w:rPr>
            </w:pPr>
          </w:p>
        </w:tc>
        <w:tc>
          <w:tcPr>
            <w:tcW w:w="1820" w:type="dxa"/>
            <w:vMerge/>
            <w:tcBorders>
              <w:top w:val="nil"/>
            </w:tcBorders>
            <w:shd w:val="clear" w:color="auto" w:fill="D9D9D9"/>
          </w:tcPr>
          <w:p>
            <w:pPr>
              <w:rPr>
                <w:sz w:val="2"/>
                <w:szCs w:val="2"/>
              </w:rPr>
            </w:pPr>
          </w:p>
        </w:tc>
        <w:tc>
          <w:tcPr>
            <w:tcW w:w="1249" w:type="dxa"/>
            <w:shd w:val="clear" w:color="auto" w:fill="D9D9D9"/>
          </w:tcPr>
          <w:p>
            <w:pPr>
              <w:pStyle w:val="TableParagraph"/>
              <w:spacing w:before="128"/>
              <w:ind w:left="100" w:firstLine="312"/>
              <w:rPr>
                <w:b/>
                <w:sz w:val="18"/>
              </w:rPr>
            </w:pPr>
            <w:r>
              <w:rPr>
                <w:b/>
                <w:spacing w:val="-4"/>
                <w:sz w:val="18"/>
              </w:rPr>
              <w:t>Meta </w:t>
            </w:r>
            <w:r>
              <w:rPr>
                <w:b/>
                <w:spacing w:val="-2"/>
                <w:sz w:val="18"/>
              </w:rPr>
              <w:t>programada</w:t>
            </w:r>
          </w:p>
        </w:tc>
        <w:tc>
          <w:tcPr>
            <w:tcW w:w="1278" w:type="dxa"/>
            <w:shd w:val="clear" w:color="auto" w:fill="D9D9D9"/>
          </w:tcPr>
          <w:p>
            <w:pPr>
              <w:pStyle w:val="TableParagraph"/>
              <w:spacing w:before="22"/>
              <w:rPr>
                <w:b/>
                <w:sz w:val="18"/>
              </w:rPr>
            </w:pPr>
          </w:p>
          <w:p>
            <w:pPr>
              <w:pStyle w:val="TableParagraph"/>
              <w:ind w:left="21" w:right="19"/>
              <w:jc w:val="center"/>
              <w:rPr>
                <w:b/>
                <w:sz w:val="18"/>
              </w:rPr>
            </w:pPr>
            <w:r>
              <w:rPr>
                <w:b/>
                <w:spacing w:val="-10"/>
                <w:sz w:val="18"/>
              </w:rPr>
              <w:t>¢</w:t>
            </w:r>
          </w:p>
        </w:tc>
        <w:tc>
          <w:tcPr>
            <w:tcW w:w="1182" w:type="dxa"/>
            <w:shd w:val="clear" w:color="auto" w:fill="D9D9D9"/>
          </w:tcPr>
          <w:p>
            <w:pPr>
              <w:pStyle w:val="TableParagraph"/>
              <w:spacing w:before="128"/>
              <w:ind w:left="65" w:firstLine="312"/>
              <w:rPr>
                <w:b/>
                <w:sz w:val="18"/>
              </w:rPr>
            </w:pPr>
            <w:r>
              <w:rPr>
                <w:b/>
                <w:spacing w:val="-4"/>
                <w:sz w:val="18"/>
              </w:rPr>
              <w:t>Meta </w:t>
            </w:r>
            <w:r>
              <w:rPr>
                <w:b/>
                <w:spacing w:val="-2"/>
                <w:sz w:val="18"/>
              </w:rPr>
              <w:t>programada</w:t>
            </w:r>
          </w:p>
        </w:tc>
        <w:tc>
          <w:tcPr>
            <w:tcW w:w="1134" w:type="dxa"/>
            <w:shd w:val="clear" w:color="auto" w:fill="D9D9D9"/>
          </w:tcPr>
          <w:p>
            <w:pPr>
              <w:pStyle w:val="TableParagraph"/>
              <w:spacing w:before="22"/>
              <w:rPr>
                <w:b/>
                <w:sz w:val="18"/>
              </w:rPr>
            </w:pPr>
          </w:p>
          <w:p>
            <w:pPr>
              <w:pStyle w:val="TableParagraph"/>
              <w:jc w:val="center"/>
              <w:rPr>
                <w:b/>
                <w:sz w:val="18"/>
              </w:rPr>
            </w:pPr>
            <w:r>
              <w:rPr>
                <w:b/>
                <w:spacing w:val="-10"/>
                <w:sz w:val="18"/>
              </w:rPr>
              <w:t>¢</w:t>
            </w:r>
          </w:p>
        </w:tc>
        <w:tc>
          <w:tcPr>
            <w:tcW w:w="1278" w:type="dxa"/>
            <w:shd w:val="clear" w:color="auto" w:fill="D9D9D9"/>
          </w:tcPr>
          <w:p>
            <w:pPr>
              <w:pStyle w:val="TableParagraph"/>
              <w:spacing w:before="128"/>
              <w:ind w:left="111" w:firstLine="316"/>
              <w:rPr>
                <w:b/>
                <w:sz w:val="18"/>
              </w:rPr>
            </w:pPr>
            <w:r>
              <w:rPr>
                <w:b/>
                <w:spacing w:val="-4"/>
                <w:sz w:val="18"/>
              </w:rPr>
              <w:t>Meta </w:t>
            </w:r>
            <w:r>
              <w:rPr>
                <w:b/>
                <w:spacing w:val="-2"/>
                <w:sz w:val="18"/>
              </w:rPr>
              <w:t>programada</w:t>
            </w:r>
          </w:p>
        </w:tc>
        <w:tc>
          <w:tcPr>
            <w:tcW w:w="1134" w:type="dxa"/>
            <w:shd w:val="clear" w:color="auto" w:fill="D9D9D9"/>
          </w:tcPr>
          <w:p>
            <w:pPr>
              <w:pStyle w:val="TableParagraph"/>
              <w:spacing w:before="22"/>
              <w:rPr>
                <w:b/>
                <w:sz w:val="18"/>
              </w:rPr>
            </w:pPr>
          </w:p>
          <w:p>
            <w:pPr>
              <w:pStyle w:val="TableParagraph"/>
              <w:ind w:right="2"/>
              <w:jc w:val="center"/>
              <w:rPr>
                <w:b/>
                <w:sz w:val="18"/>
              </w:rPr>
            </w:pPr>
            <w:r>
              <w:rPr>
                <w:b/>
                <w:spacing w:val="-10"/>
                <w:sz w:val="18"/>
              </w:rPr>
              <w:t>¢</w:t>
            </w:r>
          </w:p>
        </w:tc>
        <w:tc>
          <w:tcPr>
            <w:tcW w:w="1182" w:type="dxa"/>
            <w:shd w:val="clear" w:color="auto" w:fill="D9D9D9"/>
          </w:tcPr>
          <w:p>
            <w:pPr>
              <w:pStyle w:val="TableParagraph"/>
              <w:spacing w:before="128"/>
              <w:ind w:left="61" w:firstLine="312"/>
              <w:rPr>
                <w:b/>
                <w:sz w:val="18"/>
              </w:rPr>
            </w:pPr>
            <w:r>
              <w:rPr>
                <w:b/>
                <w:spacing w:val="-4"/>
                <w:sz w:val="18"/>
              </w:rPr>
              <w:t>Meta </w:t>
            </w:r>
            <w:r>
              <w:rPr>
                <w:b/>
                <w:spacing w:val="-2"/>
                <w:sz w:val="18"/>
              </w:rPr>
              <w:t>programada</w:t>
            </w:r>
          </w:p>
        </w:tc>
        <w:tc>
          <w:tcPr>
            <w:tcW w:w="1279" w:type="dxa"/>
            <w:shd w:val="clear" w:color="auto" w:fill="D9D9D9"/>
          </w:tcPr>
          <w:p>
            <w:pPr>
              <w:pStyle w:val="TableParagraph"/>
              <w:spacing w:before="22"/>
              <w:rPr>
                <w:b/>
                <w:sz w:val="18"/>
              </w:rPr>
            </w:pPr>
          </w:p>
          <w:p>
            <w:pPr>
              <w:pStyle w:val="TableParagraph"/>
              <w:ind w:left="1" w:right="7"/>
              <w:jc w:val="center"/>
              <w:rPr>
                <w:b/>
                <w:sz w:val="18"/>
              </w:rPr>
            </w:pPr>
            <w:r>
              <w:rPr>
                <w:b/>
                <w:spacing w:val="-10"/>
                <w:sz w:val="18"/>
              </w:rPr>
              <w:t>¢</w:t>
            </w:r>
          </w:p>
        </w:tc>
      </w:tr>
      <w:tr>
        <w:trPr>
          <w:trHeight w:val="465" w:hRule="atLeast"/>
        </w:trPr>
        <w:tc>
          <w:tcPr>
            <w:tcW w:w="14326" w:type="dxa"/>
            <w:gridSpan w:val="10"/>
            <w:shd w:val="clear" w:color="auto" w:fill="D9D9D9"/>
          </w:tcPr>
          <w:p>
            <w:pPr>
              <w:pStyle w:val="TableParagraph"/>
              <w:spacing w:before="28"/>
              <w:ind w:left="72"/>
              <w:rPr>
                <w:b/>
                <w:sz w:val="18"/>
              </w:rPr>
            </w:pPr>
            <w:r>
              <w:rPr>
                <w:b/>
                <w:sz w:val="18"/>
              </w:rPr>
              <w:t>Efecto:</w:t>
            </w:r>
            <w:r>
              <w:rPr>
                <w:b/>
                <w:spacing w:val="-2"/>
                <w:sz w:val="18"/>
              </w:rPr>
              <w:t> </w:t>
            </w:r>
            <w:r>
              <w:rPr>
                <w:b/>
                <w:sz w:val="18"/>
              </w:rPr>
              <w:t>Realizar una efectiva gestión</w:t>
            </w:r>
            <w:r>
              <w:rPr>
                <w:b/>
                <w:spacing w:val="-5"/>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4"/>
                <w:sz w:val="18"/>
              </w:rPr>
              <w:t> </w:t>
            </w:r>
            <w:r>
              <w:rPr>
                <w:b/>
                <w:sz w:val="18"/>
              </w:rPr>
              <w:t>y</w:t>
            </w:r>
            <w:r>
              <w:rPr>
                <w:b/>
                <w:spacing w:val="-4"/>
                <w:sz w:val="18"/>
              </w:rPr>
              <w:t> </w:t>
            </w:r>
            <w:r>
              <w:rPr>
                <w:b/>
                <w:sz w:val="18"/>
              </w:rPr>
              <w:t>tecnológicos, con el</w:t>
            </w:r>
            <w:r>
              <w:rPr>
                <w:b/>
                <w:spacing w:val="-2"/>
                <w:sz w:val="18"/>
              </w:rPr>
              <w:t> </w:t>
            </w:r>
            <w:r>
              <w:rPr>
                <w:b/>
                <w:sz w:val="18"/>
              </w:rPr>
              <w:t>fin</w:t>
            </w:r>
            <w:r>
              <w:rPr>
                <w:b/>
                <w:spacing w:val="-5"/>
                <w:sz w:val="18"/>
              </w:rPr>
              <w:t> </w:t>
            </w:r>
            <w:r>
              <w:rPr>
                <w:b/>
                <w:sz w:val="18"/>
              </w:rPr>
              <w:t>de contribuir</w:t>
            </w:r>
            <w:r>
              <w:rPr>
                <w:b/>
                <w:spacing w:val="-3"/>
                <w:sz w:val="18"/>
              </w:rPr>
              <w:t> </w:t>
            </w:r>
            <w:r>
              <w:rPr>
                <w:b/>
                <w:sz w:val="18"/>
              </w:rPr>
              <w:t>con</w:t>
            </w:r>
            <w:r>
              <w:rPr>
                <w:b/>
                <w:spacing w:val="-5"/>
                <w:sz w:val="18"/>
              </w:rPr>
              <w:t> </w:t>
            </w:r>
            <w:r>
              <w:rPr>
                <w:b/>
                <w:sz w:val="18"/>
              </w:rPr>
              <w:t>la</w:t>
            </w:r>
            <w:r>
              <w:rPr>
                <w:b/>
                <w:spacing w:val="-4"/>
                <w:sz w:val="18"/>
              </w:rPr>
              <w:t> </w:t>
            </w:r>
            <w:r>
              <w:rPr>
                <w:b/>
                <w:sz w:val="18"/>
              </w:rPr>
              <w:t>institucionalización de</w:t>
            </w:r>
            <w:r>
              <w:rPr>
                <w:b/>
                <w:spacing w:val="-4"/>
                <w:sz w:val="18"/>
              </w:rPr>
              <w:t> </w:t>
            </w:r>
            <w:r>
              <w:rPr>
                <w:b/>
                <w:sz w:val="18"/>
              </w:rPr>
              <w:t>la estrategia de intervención de la población en situación de pobreza y pobreza extrema.</w:t>
            </w:r>
          </w:p>
        </w:tc>
      </w:tr>
      <w:tr>
        <w:trPr>
          <w:trHeight w:val="513" w:hRule="atLeast"/>
        </w:trPr>
        <w:tc>
          <w:tcPr>
            <w:tcW w:w="14326" w:type="dxa"/>
            <w:gridSpan w:val="10"/>
            <w:shd w:val="clear" w:color="auto" w:fill="DAE9F8"/>
          </w:tcPr>
          <w:p>
            <w:pPr>
              <w:pStyle w:val="TableParagraph"/>
              <w:spacing w:before="152"/>
              <w:ind w:left="72"/>
              <w:rPr>
                <w:b/>
                <w:sz w:val="18"/>
              </w:rPr>
            </w:pPr>
            <w:r>
              <w:rPr>
                <w:b/>
                <w:sz w:val="18"/>
              </w:rPr>
              <w:t>Producto</w:t>
            </w:r>
            <w:r>
              <w:rPr>
                <w:b/>
                <w:spacing w:val="-8"/>
                <w:sz w:val="18"/>
              </w:rPr>
              <w:t> </w:t>
            </w:r>
            <w:r>
              <w:rPr>
                <w:b/>
                <w:sz w:val="18"/>
              </w:rPr>
              <w:t>PAC</w:t>
            </w:r>
            <w:r>
              <w:rPr>
                <w:b/>
                <w:spacing w:val="-9"/>
                <w:sz w:val="18"/>
              </w:rPr>
              <w:t> </w:t>
            </w:r>
            <w:r>
              <w:rPr>
                <w:b/>
                <w:sz w:val="18"/>
              </w:rPr>
              <w:t>2.24:</w:t>
            </w:r>
            <w:r>
              <w:rPr>
                <w:b/>
                <w:spacing w:val="-6"/>
                <w:sz w:val="18"/>
              </w:rPr>
              <w:t> </w:t>
            </w:r>
            <w:r>
              <w:rPr>
                <w:b/>
                <w:sz w:val="18"/>
              </w:rPr>
              <w:t>Metodología</w:t>
            </w:r>
            <w:r>
              <w:rPr>
                <w:b/>
                <w:spacing w:val="-3"/>
                <w:sz w:val="18"/>
              </w:rPr>
              <w:t> </w:t>
            </w:r>
            <w:r>
              <w:rPr>
                <w:b/>
                <w:sz w:val="18"/>
              </w:rPr>
              <w:t>de</w:t>
            </w:r>
            <w:r>
              <w:rPr>
                <w:b/>
                <w:spacing w:val="-3"/>
                <w:sz w:val="18"/>
              </w:rPr>
              <w:t> </w:t>
            </w:r>
            <w:r>
              <w:rPr>
                <w:b/>
                <w:sz w:val="18"/>
              </w:rPr>
              <w:t>presupuestación</w:t>
            </w:r>
            <w:r>
              <w:rPr>
                <w:b/>
                <w:spacing w:val="-8"/>
                <w:sz w:val="18"/>
              </w:rPr>
              <w:t> </w:t>
            </w:r>
            <w:r>
              <w:rPr>
                <w:b/>
                <w:sz w:val="18"/>
              </w:rPr>
              <w:t>territorial</w:t>
            </w:r>
            <w:r>
              <w:rPr>
                <w:b/>
                <w:spacing w:val="-5"/>
                <w:sz w:val="18"/>
              </w:rPr>
              <w:t> </w:t>
            </w:r>
            <w:r>
              <w:rPr>
                <w:b/>
                <w:sz w:val="18"/>
              </w:rPr>
              <w:t>para</w:t>
            </w:r>
            <w:r>
              <w:rPr>
                <w:b/>
                <w:spacing w:val="-8"/>
                <w:sz w:val="18"/>
              </w:rPr>
              <w:t> </w:t>
            </w:r>
            <w:r>
              <w:rPr>
                <w:b/>
                <w:sz w:val="18"/>
              </w:rPr>
              <w:t>la</w:t>
            </w:r>
            <w:r>
              <w:rPr>
                <w:b/>
                <w:spacing w:val="-3"/>
                <w:sz w:val="18"/>
              </w:rPr>
              <w:t> </w:t>
            </w:r>
            <w:r>
              <w:rPr>
                <w:b/>
                <w:sz w:val="18"/>
              </w:rPr>
              <w:t>asignación</w:t>
            </w:r>
            <w:r>
              <w:rPr>
                <w:b/>
                <w:spacing w:val="-8"/>
                <w:sz w:val="18"/>
              </w:rPr>
              <w:t> </w:t>
            </w:r>
            <w:r>
              <w:rPr>
                <w:b/>
                <w:sz w:val="18"/>
              </w:rPr>
              <w:t>presupuestaria</w:t>
            </w:r>
            <w:r>
              <w:rPr>
                <w:b/>
                <w:spacing w:val="-7"/>
                <w:sz w:val="18"/>
              </w:rPr>
              <w:t> </w:t>
            </w:r>
            <w:r>
              <w:rPr>
                <w:b/>
                <w:sz w:val="18"/>
              </w:rPr>
              <w:t>regional</w:t>
            </w:r>
            <w:r>
              <w:rPr>
                <w:b/>
                <w:spacing w:val="-5"/>
                <w:sz w:val="18"/>
              </w:rPr>
              <w:t> </w:t>
            </w:r>
            <w:r>
              <w:rPr>
                <w:b/>
                <w:sz w:val="18"/>
              </w:rPr>
              <w:t>diseñada</w:t>
            </w:r>
            <w:r>
              <w:rPr>
                <w:b/>
                <w:spacing w:val="-4"/>
                <w:sz w:val="18"/>
              </w:rPr>
              <w:t> </w:t>
            </w:r>
            <w:r>
              <w:rPr>
                <w:b/>
                <w:sz w:val="18"/>
              </w:rPr>
              <w:t>y</w:t>
            </w:r>
            <w:r>
              <w:rPr>
                <w:b/>
                <w:spacing w:val="-7"/>
                <w:sz w:val="18"/>
              </w:rPr>
              <w:t> </w:t>
            </w:r>
            <w:r>
              <w:rPr>
                <w:b/>
                <w:sz w:val="18"/>
              </w:rPr>
              <w:t>ejecutándose.</w:t>
            </w:r>
            <w:r>
              <w:rPr>
                <w:b/>
                <w:spacing w:val="-5"/>
                <w:sz w:val="18"/>
              </w:rPr>
              <w:t> </w:t>
            </w:r>
            <w:r>
              <w:rPr>
                <w:b/>
                <w:sz w:val="18"/>
              </w:rPr>
              <w:t>(E1</w:t>
            </w:r>
            <w:r>
              <w:rPr>
                <w:b/>
                <w:spacing w:val="-3"/>
                <w:sz w:val="18"/>
              </w:rPr>
              <w:t> </w:t>
            </w:r>
            <w:r>
              <w:rPr>
                <w:b/>
                <w:sz w:val="18"/>
              </w:rPr>
              <w:t>AE8</w:t>
            </w:r>
            <w:r>
              <w:rPr>
                <w:b/>
                <w:spacing w:val="-7"/>
                <w:sz w:val="18"/>
              </w:rPr>
              <w:t> </w:t>
            </w:r>
            <w:r>
              <w:rPr>
                <w:b/>
                <w:sz w:val="18"/>
              </w:rPr>
              <w:t>R2).</w:t>
            </w:r>
            <w:r>
              <w:rPr>
                <w:b/>
                <w:spacing w:val="-5"/>
                <w:sz w:val="18"/>
              </w:rPr>
              <w:t> </w:t>
            </w:r>
            <w:r>
              <w:rPr>
                <w:b/>
                <w:sz w:val="18"/>
              </w:rPr>
              <w:t>100%</w:t>
            </w:r>
            <w:r>
              <w:rPr>
                <w:b/>
                <w:spacing w:val="-10"/>
                <w:sz w:val="18"/>
              </w:rPr>
              <w:t> </w:t>
            </w:r>
            <w:r>
              <w:rPr>
                <w:b/>
                <w:sz w:val="18"/>
              </w:rPr>
              <w:t>al</w:t>
            </w:r>
            <w:r>
              <w:rPr>
                <w:b/>
                <w:spacing w:val="-5"/>
                <w:sz w:val="18"/>
              </w:rPr>
              <w:t> </w:t>
            </w:r>
            <w:r>
              <w:rPr>
                <w:b/>
                <w:spacing w:val="-2"/>
                <w:sz w:val="18"/>
              </w:rPr>
              <w:t>2026.</w:t>
            </w:r>
          </w:p>
        </w:tc>
      </w:tr>
      <w:tr>
        <w:trPr>
          <w:trHeight w:val="1243" w:hRule="atLeast"/>
        </w:trPr>
        <w:tc>
          <w:tcPr>
            <w:tcW w:w="2790" w:type="dxa"/>
          </w:tcPr>
          <w:p>
            <w:pPr>
              <w:pStyle w:val="TableParagraph"/>
              <w:ind w:left="72" w:right="89"/>
              <w:rPr>
                <w:sz w:val="18"/>
              </w:rPr>
            </w:pPr>
            <w:r>
              <w:rPr>
                <w:b/>
                <w:sz w:val="18"/>
              </w:rPr>
              <w:t>Actividad PAC 2.24.1: </w:t>
            </w:r>
            <w:r>
              <w:rPr>
                <w:sz w:val="18"/>
              </w:rPr>
              <w:t>Capacitar a las personas funcionarias encargadas de la formulación</w:t>
            </w:r>
            <w:r>
              <w:rPr>
                <w:spacing w:val="-9"/>
                <w:sz w:val="18"/>
              </w:rPr>
              <w:t> </w:t>
            </w:r>
            <w:r>
              <w:rPr>
                <w:sz w:val="18"/>
              </w:rPr>
              <w:t>presupuestaria</w:t>
            </w:r>
            <w:r>
              <w:rPr>
                <w:spacing w:val="-6"/>
                <w:sz w:val="18"/>
              </w:rPr>
              <w:t> </w:t>
            </w:r>
            <w:r>
              <w:rPr>
                <w:sz w:val="18"/>
              </w:rPr>
              <w:t>en</w:t>
            </w:r>
            <w:r>
              <w:rPr>
                <w:spacing w:val="-5"/>
                <w:sz w:val="18"/>
              </w:rPr>
              <w:t> la</w:t>
            </w:r>
          </w:p>
          <w:p>
            <w:pPr>
              <w:pStyle w:val="TableParagraph"/>
              <w:spacing w:line="206" w:lineRule="exact"/>
              <w:ind w:left="72"/>
              <w:rPr>
                <w:sz w:val="18"/>
              </w:rPr>
            </w:pPr>
            <w:r>
              <w:rPr>
                <w:sz w:val="18"/>
              </w:rPr>
              <w:t>metodología</w:t>
            </w:r>
            <w:r>
              <w:rPr>
                <w:spacing w:val="-15"/>
                <w:sz w:val="18"/>
              </w:rPr>
              <w:t> </w:t>
            </w:r>
            <w:r>
              <w:rPr>
                <w:sz w:val="18"/>
              </w:rPr>
              <w:t>de</w:t>
            </w:r>
            <w:r>
              <w:rPr>
                <w:spacing w:val="-12"/>
                <w:sz w:val="18"/>
              </w:rPr>
              <w:t> </w:t>
            </w:r>
            <w:r>
              <w:rPr>
                <w:sz w:val="18"/>
              </w:rPr>
              <w:t>presupuestación </w:t>
            </w:r>
            <w:r>
              <w:rPr>
                <w:spacing w:val="-2"/>
                <w:sz w:val="18"/>
              </w:rPr>
              <w:t>territorial.</w:t>
            </w:r>
          </w:p>
        </w:tc>
        <w:tc>
          <w:tcPr>
            <w:tcW w:w="1820" w:type="dxa"/>
          </w:tcPr>
          <w:p>
            <w:pPr>
              <w:pStyle w:val="TableParagraph"/>
              <w:spacing w:before="99"/>
              <w:ind w:left="66" w:right="103"/>
              <w:rPr>
                <w:sz w:val="18"/>
              </w:rPr>
            </w:pPr>
            <w:r>
              <w:rPr>
                <w:sz w:val="18"/>
              </w:rPr>
              <w:t>Porcentaje de </w:t>
            </w:r>
            <w:r>
              <w:rPr>
                <w:spacing w:val="-2"/>
                <w:sz w:val="18"/>
              </w:rPr>
              <w:t>personas </w:t>
            </w:r>
            <w:r>
              <w:rPr>
                <w:sz w:val="18"/>
              </w:rPr>
              <w:t>capacitadas</w:t>
            </w:r>
            <w:r>
              <w:rPr>
                <w:spacing w:val="-13"/>
                <w:sz w:val="18"/>
              </w:rPr>
              <w:t> </w:t>
            </w:r>
            <w:r>
              <w:rPr>
                <w:sz w:val="18"/>
              </w:rPr>
              <w:t>que deben llevar la </w:t>
            </w:r>
            <w:r>
              <w:rPr>
                <w:spacing w:val="-2"/>
                <w:sz w:val="18"/>
              </w:rPr>
              <w:t>capacitación.</w:t>
            </w:r>
          </w:p>
        </w:tc>
        <w:tc>
          <w:tcPr>
            <w:tcW w:w="1249" w:type="dxa"/>
          </w:tcPr>
          <w:p>
            <w:pPr>
              <w:pStyle w:val="TableParagraph"/>
              <w:rPr>
                <w:rFonts w:ascii="Times New Roman"/>
                <w:sz w:val="18"/>
              </w:rPr>
            </w:pPr>
          </w:p>
        </w:tc>
        <w:tc>
          <w:tcPr>
            <w:tcW w:w="1278" w:type="dxa"/>
          </w:tcPr>
          <w:p>
            <w:pPr>
              <w:pStyle w:val="TableParagraph"/>
              <w:rPr>
                <w:rFonts w:ascii="Times New Roman"/>
                <w:sz w:val="18"/>
              </w:rPr>
            </w:pPr>
          </w:p>
        </w:tc>
        <w:tc>
          <w:tcPr>
            <w:tcW w:w="1182" w:type="dxa"/>
          </w:tcPr>
          <w:p>
            <w:pPr>
              <w:pStyle w:val="TableParagraph"/>
              <w:rPr>
                <w:b/>
                <w:sz w:val="18"/>
              </w:rPr>
            </w:pPr>
          </w:p>
          <w:p>
            <w:pPr>
              <w:pStyle w:val="TableParagraph"/>
              <w:spacing w:before="104"/>
              <w:rPr>
                <w:b/>
                <w:sz w:val="18"/>
              </w:rPr>
            </w:pPr>
          </w:p>
          <w:p>
            <w:pPr>
              <w:pStyle w:val="TableParagraph"/>
              <w:ind w:left="353"/>
              <w:rPr>
                <w:sz w:val="18"/>
              </w:rPr>
            </w:pPr>
            <w:r>
              <w:rPr>
                <w:spacing w:val="-4"/>
                <w:sz w:val="18"/>
              </w:rPr>
              <w:t>100%</w:t>
            </w: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rFonts w:ascii="Times New Roman"/>
                <w:sz w:val="18"/>
              </w:rPr>
            </w:pPr>
          </w:p>
        </w:tc>
        <w:tc>
          <w:tcPr>
            <w:tcW w:w="1279"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3371"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90"/>
        <w:gridCol w:w="1820"/>
        <w:gridCol w:w="1249"/>
        <w:gridCol w:w="1278"/>
        <w:gridCol w:w="1182"/>
        <w:gridCol w:w="1134"/>
        <w:gridCol w:w="1278"/>
        <w:gridCol w:w="1134"/>
        <w:gridCol w:w="1182"/>
        <w:gridCol w:w="1279"/>
      </w:tblGrid>
      <w:tr>
        <w:trPr>
          <w:trHeight w:val="302" w:hRule="atLeast"/>
        </w:trPr>
        <w:tc>
          <w:tcPr>
            <w:tcW w:w="2790" w:type="dxa"/>
            <w:vMerge w:val="restart"/>
            <w:shd w:val="clear" w:color="auto" w:fill="D9D9D9"/>
          </w:tcPr>
          <w:p>
            <w:pPr>
              <w:pStyle w:val="TableParagraph"/>
              <w:spacing w:before="180"/>
              <w:rPr>
                <w:b/>
                <w:sz w:val="18"/>
              </w:rPr>
            </w:pPr>
          </w:p>
          <w:p>
            <w:pPr>
              <w:pStyle w:val="TableParagraph"/>
              <w:ind w:left="427"/>
              <w:rPr>
                <w:b/>
                <w:sz w:val="18"/>
              </w:rPr>
            </w:pPr>
            <w:r>
              <w:rPr>
                <w:b/>
                <w:sz w:val="18"/>
              </w:rPr>
              <w:t>Objetivos</w:t>
            </w:r>
            <w:r>
              <w:rPr>
                <w:b/>
                <w:spacing w:val="-5"/>
                <w:sz w:val="18"/>
              </w:rPr>
              <w:t> </w:t>
            </w:r>
            <w:r>
              <w:rPr>
                <w:b/>
                <w:sz w:val="18"/>
              </w:rPr>
              <w:t>/</w:t>
            </w:r>
            <w:r>
              <w:rPr>
                <w:b/>
                <w:spacing w:val="-2"/>
                <w:sz w:val="18"/>
              </w:rPr>
              <w:t> Resultados</w:t>
            </w:r>
          </w:p>
        </w:tc>
        <w:tc>
          <w:tcPr>
            <w:tcW w:w="1820" w:type="dxa"/>
            <w:vMerge w:val="restart"/>
            <w:shd w:val="clear" w:color="auto" w:fill="D9D9D9"/>
          </w:tcPr>
          <w:p>
            <w:pPr>
              <w:pStyle w:val="TableParagraph"/>
              <w:spacing w:before="180"/>
              <w:rPr>
                <w:b/>
                <w:sz w:val="18"/>
              </w:rPr>
            </w:pPr>
          </w:p>
          <w:p>
            <w:pPr>
              <w:pStyle w:val="TableParagraph"/>
              <w:ind w:left="498"/>
              <w:rPr>
                <w:b/>
                <w:sz w:val="18"/>
              </w:rPr>
            </w:pPr>
            <w:r>
              <w:rPr>
                <w:b/>
                <w:spacing w:val="-2"/>
                <w:sz w:val="18"/>
              </w:rPr>
              <w:t>Indicador</w:t>
            </w:r>
          </w:p>
        </w:tc>
        <w:tc>
          <w:tcPr>
            <w:tcW w:w="2527" w:type="dxa"/>
            <w:gridSpan w:val="2"/>
            <w:shd w:val="clear" w:color="auto" w:fill="D9D9D9"/>
          </w:tcPr>
          <w:p>
            <w:pPr>
              <w:pStyle w:val="TableParagraph"/>
              <w:spacing w:before="47"/>
              <w:ind w:left="796"/>
              <w:rPr>
                <w:b/>
                <w:sz w:val="18"/>
              </w:rPr>
            </w:pPr>
            <w:r>
              <w:rPr>
                <w:b/>
                <w:sz w:val="18"/>
              </w:rPr>
              <w:t>I</w:t>
            </w:r>
            <w:r>
              <w:rPr>
                <w:b/>
                <w:spacing w:val="-1"/>
                <w:sz w:val="18"/>
              </w:rPr>
              <w:t> </w:t>
            </w:r>
            <w:r>
              <w:rPr>
                <w:b/>
                <w:spacing w:val="-2"/>
                <w:sz w:val="18"/>
              </w:rPr>
              <w:t>Trimestre</w:t>
            </w:r>
          </w:p>
        </w:tc>
        <w:tc>
          <w:tcPr>
            <w:tcW w:w="2316" w:type="dxa"/>
            <w:gridSpan w:val="2"/>
            <w:shd w:val="clear" w:color="auto" w:fill="D9D9D9"/>
          </w:tcPr>
          <w:p>
            <w:pPr>
              <w:pStyle w:val="TableParagraph"/>
              <w:spacing w:before="47"/>
              <w:ind w:left="665"/>
              <w:rPr>
                <w:b/>
                <w:sz w:val="18"/>
              </w:rPr>
            </w:pPr>
            <w:r>
              <w:rPr>
                <w:b/>
                <w:sz w:val="18"/>
              </w:rPr>
              <w:t>II</w:t>
            </w:r>
            <w:r>
              <w:rPr>
                <w:b/>
                <w:spacing w:val="-3"/>
                <w:sz w:val="18"/>
              </w:rPr>
              <w:t> </w:t>
            </w:r>
            <w:r>
              <w:rPr>
                <w:b/>
                <w:spacing w:val="-2"/>
                <w:sz w:val="18"/>
              </w:rPr>
              <w:t>Trimestre</w:t>
            </w:r>
          </w:p>
        </w:tc>
        <w:tc>
          <w:tcPr>
            <w:tcW w:w="2412" w:type="dxa"/>
            <w:gridSpan w:val="2"/>
            <w:shd w:val="clear" w:color="auto" w:fill="D9D9D9"/>
          </w:tcPr>
          <w:p>
            <w:pPr>
              <w:pStyle w:val="TableParagraph"/>
              <w:spacing w:before="47"/>
              <w:ind w:left="692"/>
              <w:rPr>
                <w:b/>
                <w:sz w:val="18"/>
              </w:rPr>
            </w:pPr>
            <w:r>
              <w:rPr>
                <w:b/>
                <w:sz w:val="18"/>
              </w:rPr>
              <w:t>III</w:t>
            </w:r>
            <w:r>
              <w:rPr>
                <w:b/>
                <w:spacing w:val="-2"/>
                <w:sz w:val="18"/>
              </w:rPr>
              <w:t> Trimestre</w:t>
            </w:r>
          </w:p>
        </w:tc>
        <w:tc>
          <w:tcPr>
            <w:tcW w:w="2461" w:type="dxa"/>
            <w:gridSpan w:val="2"/>
            <w:shd w:val="clear" w:color="auto" w:fill="D9D9D9"/>
          </w:tcPr>
          <w:p>
            <w:pPr>
              <w:pStyle w:val="TableParagraph"/>
              <w:spacing w:before="47"/>
              <w:ind w:left="700"/>
              <w:rPr>
                <w:b/>
                <w:sz w:val="18"/>
              </w:rPr>
            </w:pPr>
            <w:r>
              <w:rPr>
                <w:b/>
                <w:sz w:val="18"/>
              </w:rPr>
              <w:t>IV</w:t>
            </w:r>
            <w:r>
              <w:rPr>
                <w:b/>
                <w:spacing w:val="-2"/>
                <w:sz w:val="18"/>
              </w:rPr>
              <w:t> Trimestre</w:t>
            </w:r>
          </w:p>
        </w:tc>
      </w:tr>
      <w:tr>
        <w:trPr>
          <w:trHeight w:val="671" w:hRule="atLeast"/>
        </w:trPr>
        <w:tc>
          <w:tcPr>
            <w:tcW w:w="2790" w:type="dxa"/>
            <w:vMerge/>
            <w:tcBorders>
              <w:top w:val="nil"/>
            </w:tcBorders>
            <w:shd w:val="clear" w:color="auto" w:fill="D9D9D9"/>
          </w:tcPr>
          <w:p>
            <w:pPr>
              <w:rPr>
                <w:sz w:val="2"/>
                <w:szCs w:val="2"/>
              </w:rPr>
            </w:pPr>
          </w:p>
        </w:tc>
        <w:tc>
          <w:tcPr>
            <w:tcW w:w="1820" w:type="dxa"/>
            <w:vMerge/>
            <w:tcBorders>
              <w:top w:val="nil"/>
            </w:tcBorders>
            <w:shd w:val="clear" w:color="auto" w:fill="D9D9D9"/>
          </w:tcPr>
          <w:p>
            <w:pPr>
              <w:rPr>
                <w:sz w:val="2"/>
                <w:szCs w:val="2"/>
              </w:rPr>
            </w:pPr>
          </w:p>
        </w:tc>
        <w:tc>
          <w:tcPr>
            <w:tcW w:w="1249" w:type="dxa"/>
            <w:shd w:val="clear" w:color="auto" w:fill="D9D9D9"/>
          </w:tcPr>
          <w:p>
            <w:pPr>
              <w:pStyle w:val="TableParagraph"/>
              <w:spacing w:before="128"/>
              <w:ind w:left="100" w:firstLine="312"/>
              <w:rPr>
                <w:b/>
                <w:sz w:val="18"/>
              </w:rPr>
            </w:pPr>
            <w:r>
              <w:rPr>
                <w:b/>
                <w:spacing w:val="-4"/>
                <w:sz w:val="18"/>
              </w:rPr>
              <w:t>Meta </w:t>
            </w:r>
            <w:r>
              <w:rPr>
                <w:b/>
                <w:spacing w:val="-2"/>
                <w:sz w:val="18"/>
              </w:rPr>
              <w:t>programada</w:t>
            </w:r>
          </w:p>
        </w:tc>
        <w:tc>
          <w:tcPr>
            <w:tcW w:w="1278" w:type="dxa"/>
            <w:shd w:val="clear" w:color="auto" w:fill="D9D9D9"/>
          </w:tcPr>
          <w:p>
            <w:pPr>
              <w:pStyle w:val="TableParagraph"/>
              <w:spacing w:before="22"/>
              <w:rPr>
                <w:b/>
                <w:sz w:val="18"/>
              </w:rPr>
            </w:pPr>
          </w:p>
          <w:p>
            <w:pPr>
              <w:pStyle w:val="TableParagraph"/>
              <w:ind w:left="21" w:right="19"/>
              <w:jc w:val="center"/>
              <w:rPr>
                <w:b/>
                <w:sz w:val="18"/>
              </w:rPr>
            </w:pPr>
            <w:r>
              <w:rPr>
                <w:b/>
                <w:spacing w:val="-10"/>
                <w:sz w:val="18"/>
              </w:rPr>
              <w:t>¢</w:t>
            </w:r>
          </w:p>
        </w:tc>
        <w:tc>
          <w:tcPr>
            <w:tcW w:w="1182" w:type="dxa"/>
            <w:shd w:val="clear" w:color="auto" w:fill="D9D9D9"/>
          </w:tcPr>
          <w:p>
            <w:pPr>
              <w:pStyle w:val="TableParagraph"/>
              <w:spacing w:before="128"/>
              <w:ind w:left="65" w:firstLine="312"/>
              <w:rPr>
                <w:b/>
                <w:sz w:val="18"/>
              </w:rPr>
            </w:pPr>
            <w:r>
              <w:rPr>
                <w:b/>
                <w:spacing w:val="-4"/>
                <w:sz w:val="18"/>
              </w:rPr>
              <w:t>Meta </w:t>
            </w:r>
            <w:r>
              <w:rPr>
                <w:b/>
                <w:spacing w:val="-2"/>
                <w:sz w:val="18"/>
              </w:rPr>
              <w:t>programada</w:t>
            </w:r>
          </w:p>
        </w:tc>
        <w:tc>
          <w:tcPr>
            <w:tcW w:w="1134" w:type="dxa"/>
            <w:shd w:val="clear" w:color="auto" w:fill="D9D9D9"/>
          </w:tcPr>
          <w:p>
            <w:pPr>
              <w:pStyle w:val="TableParagraph"/>
              <w:spacing w:before="22"/>
              <w:rPr>
                <w:b/>
                <w:sz w:val="18"/>
              </w:rPr>
            </w:pPr>
          </w:p>
          <w:p>
            <w:pPr>
              <w:pStyle w:val="TableParagraph"/>
              <w:jc w:val="center"/>
              <w:rPr>
                <w:b/>
                <w:sz w:val="18"/>
              </w:rPr>
            </w:pPr>
            <w:r>
              <w:rPr>
                <w:b/>
                <w:spacing w:val="-10"/>
                <w:sz w:val="18"/>
              </w:rPr>
              <w:t>¢</w:t>
            </w:r>
          </w:p>
        </w:tc>
        <w:tc>
          <w:tcPr>
            <w:tcW w:w="1278" w:type="dxa"/>
            <w:shd w:val="clear" w:color="auto" w:fill="D9D9D9"/>
          </w:tcPr>
          <w:p>
            <w:pPr>
              <w:pStyle w:val="TableParagraph"/>
              <w:spacing w:before="128"/>
              <w:ind w:left="111" w:firstLine="316"/>
              <w:rPr>
                <w:b/>
                <w:sz w:val="18"/>
              </w:rPr>
            </w:pPr>
            <w:r>
              <w:rPr>
                <w:b/>
                <w:spacing w:val="-4"/>
                <w:sz w:val="18"/>
              </w:rPr>
              <w:t>Meta </w:t>
            </w:r>
            <w:r>
              <w:rPr>
                <w:b/>
                <w:spacing w:val="-2"/>
                <w:sz w:val="18"/>
              </w:rPr>
              <w:t>programada</w:t>
            </w:r>
          </w:p>
        </w:tc>
        <w:tc>
          <w:tcPr>
            <w:tcW w:w="1134" w:type="dxa"/>
            <w:shd w:val="clear" w:color="auto" w:fill="D9D9D9"/>
          </w:tcPr>
          <w:p>
            <w:pPr>
              <w:pStyle w:val="TableParagraph"/>
              <w:spacing w:before="22"/>
              <w:rPr>
                <w:b/>
                <w:sz w:val="18"/>
              </w:rPr>
            </w:pPr>
          </w:p>
          <w:p>
            <w:pPr>
              <w:pStyle w:val="TableParagraph"/>
              <w:ind w:right="2"/>
              <w:jc w:val="center"/>
              <w:rPr>
                <w:b/>
                <w:sz w:val="18"/>
              </w:rPr>
            </w:pPr>
            <w:r>
              <w:rPr>
                <w:b/>
                <w:spacing w:val="-10"/>
                <w:sz w:val="18"/>
              </w:rPr>
              <w:t>¢</w:t>
            </w:r>
          </w:p>
        </w:tc>
        <w:tc>
          <w:tcPr>
            <w:tcW w:w="1182" w:type="dxa"/>
            <w:shd w:val="clear" w:color="auto" w:fill="D9D9D9"/>
          </w:tcPr>
          <w:p>
            <w:pPr>
              <w:pStyle w:val="TableParagraph"/>
              <w:spacing w:before="128"/>
              <w:ind w:left="61" w:firstLine="312"/>
              <w:rPr>
                <w:b/>
                <w:sz w:val="18"/>
              </w:rPr>
            </w:pPr>
            <w:r>
              <w:rPr>
                <w:b/>
                <w:spacing w:val="-4"/>
                <w:sz w:val="18"/>
              </w:rPr>
              <w:t>Meta </w:t>
            </w:r>
            <w:r>
              <w:rPr>
                <w:b/>
                <w:spacing w:val="-2"/>
                <w:sz w:val="18"/>
              </w:rPr>
              <w:t>programada</w:t>
            </w:r>
          </w:p>
        </w:tc>
        <w:tc>
          <w:tcPr>
            <w:tcW w:w="1279" w:type="dxa"/>
            <w:shd w:val="clear" w:color="auto" w:fill="D9D9D9"/>
          </w:tcPr>
          <w:p>
            <w:pPr>
              <w:pStyle w:val="TableParagraph"/>
              <w:spacing w:before="22"/>
              <w:rPr>
                <w:b/>
                <w:sz w:val="18"/>
              </w:rPr>
            </w:pPr>
          </w:p>
          <w:p>
            <w:pPr>
              <w:pStyle w:val="TableParagraph"/>
              <w:ind w:left="1" w:right="7"/>
              <w:jc w:val="center"/>
              <w:rPr>
                <w:b/>
                <w:sz w:val="18"/>
              </w:rPr>
            </w:pPr>
            <w:r>
              <w:rPr>
                <w:b/>
                <w:spacing w:val="-10"/>
                <w:sz w:val="18"/>
              </w:rPr>
              <w:t>¢</w:t>
            </w:r>
          </w:p>
        </w:tc>
      </w:tr>
      <w:tr>
        <w:trPr>
          <w:trHeight w:val="1133" w:hRule="atLeast"/>
        </w:trPr>
        <w:tc>
          <w:tcPr>
            <w:tcW w:w="2790" w:type="dxa"/>
          </w:tcPr>
          <w:p>
            <w:pPr>
              <w:pStyle w:val="TableParagraph"/>
              <w:spacing w:before="52"/>
              <w:ind w:left="72" w:right="244"/>
              <w:rPr>
                <w:sz w:val="18"/>
              </w:rPr>
            </w:pPr>
            <w:r>
              <w:rPr>
                <w:b/>
                <w:sz w:val="18"/>
              </w:rPr>
              <w:t>Actividad PAC 2.24.2: </w:t>
            </w:r>
            <w:r>
              <w:rPr>
                <w:sz w:val="18"/>
              </w:rPr>
              <w:t>Verificar</w:t>
            </w:r>
            <w:r>
              <w:rPr>
                <w:spacing w:val="-9"/>
                <w:sz w:val="18"/>
              </w:rPr>
              <w:t> </w:t>
            </w:r>
            <w:r>
              <w:rPr>
                <w:sz w:val="18"/>
              </w:rPr>
              <w:t>que</w:t>
            </w:r>
            <w:r>
              <w:rPr>
                <w:spacing w:val="-7"/>
                <w:sz w:val="18"/>
              </w:rPr>
              <w:t> </w:t>
            </w:r>
            <w:r>
              <w:rPr>
                <w:sz w:val="18"/>
              </w:rPr>
              <w:t>en</w:t>
            </w:r>
            <w:r>
              <w:rPr>
                <w:spacing w:val="-10"/>
                <w:sz w:val="18"/>
              </w:rPr>
              <w:t> </w:t>
            </w:r>
            <w:r>
              <w:rPr>
                <w:sz w:val="18"/>
              </w:rPr>
              <w:t>la</w:t>
            </w:r>
            <w:r>
              <w:rPr>
                <w:spacing w:val="-10"/>
                <w:sz w:val="18"/>
              </w:rPr>
              <w:t> </w:t>
            </w:r>
            <w:r>
              <w:rPr>
                <w:sz w:val="18"/>
              </w:rPr>
              <w:t>formulación presupuestaria se realice una asignación</w:t>
            </w:r>
            <w:r>
              <w:rPr>
                <w:spacing w:val="-6"/>
                <w:sz w:val="18"/>
              </w:rPr>
              <w:t> </w:t>
            </w:r>
            <w:r>
              <w:rPr>
                <w:sz w:val="18"/>
              </w:rPr>
              <w:t>presupuestaria</w:t>
            </w:r>
            <w:r>
              <w:rPr>
                <w:spacing w:val="-10"/>
                <w:sz w:val="18"/>
              </w:rPr>
              <w:t> </w:t>
            </w:r>
            <w:r>
              <w:rPr>
                <w:sz w:val="18"/>
              </w:rPr>
              <w:t>por </w:t>
            </w:r>
            <w:r>
              <w:rPr>
                <w:spacing w:val="-2"/>
                <w:sz w:val="18"/>
              </w:rPr>
              <w:t>regiones.</w:t>
            </w:r>
          </w:p>
        </w:tc>
        <w:tc>
          <w:tcPr>
            <w:tcW w:w="1820" w:type="dxa"/>
          </w:tcPr>
          <w:p>
            <w:pPr>
              <w:pStyle w:val="TableParagraph"/>
              <w:spacing w:before="153"/>
              <w:ind w:left="66"/>
              <w:rPr>
                <w:sz w:val="18"/>
              </w:rPr>
            </w:pPr>
            <w:r>
              <w:rPr>
                <w:sz w:val="18"/>
              </w:rPr>
              <w:t>Porcentaje de regionales con </w:t>
            </w:r>
            <w:r>
              <w:rPr>
                <w:spacing w:val="-2"/>
                <w:sz w:val="18"/>
              </w:rPr>
              <w:t>asignación presupuestaria.</w:t>
            </w:r>
          </w:p>
        </w:tc>
        <w:tc>
          <w:tcPr>
            <w:tcW w:w="1249" w:type="dxa"/>
          </w:tcPr>
          <w:p>
            <w:pPr>
              <w:pStyle w:val="TableParagraph"/>
              <w:rPr>
                <w:rFonts w:ascii="Times New Roman"/>
                <w:sz w:val="18"/>
              </w:rPr>
            </w:pP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spacing w:before="51"/>
              <w:rPr>
                <w:b/>
                <w:sz w:val="18"/>
              </w:rPr>
            </w:pPr>
          </w:p>
          <w:p>
            <w:pPr>
              <w:pStyle w:val="TableParagraph"/>
              <w:ind w:left="21" w:right="27"/>
              <w:jc w:val="center"/>
              <w:rPr>
                <w:sz w:val="18"/>
              </w:rPr>
            </w:pPr>
            <w:r>
              <w:rPr>
                <w:spacing w:val="-4"/>
                <w:sz w:val="18"/>
              </w:rPr>
              <w:t>100%</w:t>
            </w:r>
          </w:p>
        </w:tc>
        <w:tc>
          <w:tcPr>
            <w:tcW w:w="1279" w:type="dxa"/>
          </w:tcPr>
          <w:p>
            <w:pPr>
              <w:pStyle w:val="TableParagraph"/>
              <w:rPr>
                <w:rFonts w:ascii="Times New Roman"/>
                <w:sz w:val="18"/>
              </w:rPr>
            </w:pPr>
          </w:p>
        </w:tc>
      </w:tr>
      <w:tr>
        <w:trPr>
          <w:trHeight w:val="513" w:hRule="atLeast"/>
        </w:trPr>
        <w:tc>
          <w:tcPr>
            <w:tcW w:w="14326" w:type="dxa"/>
            <w:gridSpan w:val="10"/>
            <w:shd w:val="clear" w:color="auto" w:fill="EFF8F9"/>
          </w:tcPr>
          <w:p>
            <w:pPr>
              <w:pStyle w:val="TableParagraph"/>
              <w:spacing w:before="153"/>
              <w:ind w:left="72"/>
              <w:rPr>
                <w:b/>
                <w:sz w:val="18"/>
              </w:rPr>
            </w:pPr>
            <w:r>
              <w:rPr>
                <w:b/>
                <w:sz w:val="18"/>
              </w:rPr>
              <w:t>Producto</w:t>
            </w:r>
            <w:r>
              <w:rPr>
                <w:b/>
                <w:spacing w:val="-7"/>
                <w:sz w:val="18"/>
              </w:rPr>
              <w:t> </w:t>
            </w:r>
            <w:r>
              <w:rPr>
                <w:b/>
                <w:sz w:val="18"/>
              </w:rPr>
              <w:t>PAC</w:t>
            </w:r>
            <w:r>
              <w:rPr>
                <w:b/>
                <w:spacing w:val="-7"/>
                <w:sz w:val="18"/>
              </w:rPr>
              <w:t> </w:t>
            </w:r>
            <w:r>
              <w:rPr>
                <w:b/>
                <w:sz w:val="18"/>
              </w:rPr>
              <w:t>2.25:</w:t>
            </w:r>
            <w:r>
              <w:rPr>
                <w:b/>
                <w:spacing w:val="-4"/>
                <w:sz w:val="18"/>
              </w:rPr>
              <w:t> </w:t>
            </w:r>
            <w:r>
              <w:rPr>
                <w:b/>
                <w:sz w:val="18"/>
              </w:rPr>
              <w:t>Personas</w:t>
            </w:r>
            <w:r>
              <w:rPr>
                <w:b/>
                <w:spacing w:val="-5"/>
                <w:sz w:val="18"/>
              </w:rPr>
              <w:t> </w:t>
            </w:r>
            <w:r>
              <w:rPr>
                <w:b/>
                <w:sz w:val="18"/>
              </w:rPr>
              <w:t>funcionarias</w:t>
            </w:r>
            <w:r>
              <w:rPr>
                <w:b/>
                <w:spacing w:val="-6"/>
                <w:sz w:val="18"/>
              </w:rPr>
              <w:t> </w:t>
            </w:r>
            <w:r>
              <w:rPr>
                <w:b/>
                <w:sz w:val="18"/>
              </w:rPr>
              <w:t>utilizando</w:t>
            </w:r>
            <w:r>
              <w:rPr>
                <w:b/>
                <w:spacing w:val="-6"/>
                <w:sz w:val="18"/>
              </w:rPr>
              <w:t> </w:t>
            </w:r>
            <w:r>
              <w:rPr>
                <w:b/>
                <w:sz w:val="18"/>
              </w:rPr>
              <w:t>las</w:t>
            </w:r>
            <w:r>
              <w:rPr>
                <w:b/>
                <w:spacing w:val="-6"/>
                <w:sz w:val="18"/>
              </w:rPr>
              <w:t> </w:t>
            </w:r>
            <w:r>
              <w:rPr>
                <w:b/>
                <w:sz w:val="18"/>
              </w:rPr>
              <w:t>Normas</w:t>
            </w:r>
            <w:r>
              <w:rPr>
                <w:b/>
                <w:spacing w:val="-5"/>
                <w:sz w:val="18"/>
              </w:rPr>
              <w:t> </w:t>
            </w:r>
            <w:r>
              <w:rPr>
                <w:b/>
                <w:sz w:val="18"/>
              </w:rPr>
              <w:t>NIC-SP</w:t>
            </w:r>
            <w:r>
              <w:rPr>
                <w:b/>
                <w:spacing w:val="-6"/>
                <w:sz w:val="18"/>
              </w:rPr>
              <w:t> </w:t>
            </w:r>
            <w:r>
              <w:rPr>
                <w:b/>
                <w:sz w:val="18"/>
              </w:rPr>
              <w:t>para</w:t>
            </w:r>
            <w:r>
              <w:rPr>
                <w:b/>
                <w:spacing w:val="-6"/>
                <w:sz w:val="18"/>
              </w:rPr>
              <w:t> </w:t>
            </w:r>
            <w:r>
              <w:rPr>
                <w:b/>
                <w:sz w:val="18"/>
              </w:rPr>
              <w:t>la</w:t>
            </w:r>
            <w:r>
              <w:rPr>
                <w:b/>
                <w:spacing w:val="-5"/>
                <w:sz w:val="18"/>
              </w:rPr>
              <w:t> </w:t>
            </w:r>
            <w:r>
              <w:rPr>
                <w:b/>
                <w:sz w:val="18"/>
              </w:rPr>
              <w:t>toma</w:t>
            </w:r>
            <w:r>
              <w:rPr>
                <w:b/>
                <w:spacing w:val="-2"/>
                <w:sz w:val="18"/>
              </w:rPr>
              <w:t> </w:t>
            </w:r>
            <w:r>
              <w:rPr>
                <w:b/>
                <w:sz w:val="18"/>
              </w:rPr>
              <w:t>decisiones.</w:t>
            </w:r>
            <w:r>
              <w:rPr>
                <w:b/>
                <w:spacing w:val="42"/>
                <w:sz w:val="18"/>
              </w:rPr>
              <w:t> </w:t>
            </w:r>
            <w:r>
              <w:rPr>
                <w:b/>
                <w:sz w:val="18"/>
              </w:rPr>
              <w:t>(E1</w:t>
            </w:r>
            <w:r>
              <w:rPr>
                <w:b/>
                <w:spacing w:val="-2"/>
                <w:sz w:val="18"/>
              </w:rPr>
              <w:t> </w:t>
            </w:r>
            <w:r>
              <w:rPr>
                <w:b/>
                <w:sz w:val="18"/>
              </w:rPr>
              <w:t>AE9</w:t>
            </w:r>
            <w:r>
              <w:rPr>
                <w:b/>
                <w:spacing w:val="-5"/>
                <w:sz w:val="18"/>
              </w:rPr>
              <w:t> </w:t>
            </w:r>
            <w:r>
              <w:rPr>
                <w:b/>
                <w:sz w:val="18"/>
              </w:rPr>
              <w:t>R3).</w:t>
            </w:r>
            <w:r>
              <w:rPr>
                <w:b/>
                <w:spacing w:val="-4"/>
                <w:sz w:val="18"/>
              </w:rPr>
              <w:t> </w:t>
            </w:r>
            <w:r>
              <w:rPr>
                <w:b/>
                <w:sz w:val="18"/>
              </w:rPr>
              <w:t>60%</w:t>
            </w:r>
            <w:r>
              <w:rPr>
                <w:b/>
                <w:spacing w:val="-4"/>
                <w:sz w:val="18"/>
              </w:rPr>
              <w:t> </w:t>
            </w:r>
            <w:r>
              <w:rPr>
                <w:b/>
                <w:sz w:val="18"/>
              </w:rPr>
              <w:t>al</w:t>
            </w:r>
            <w:r>
              <w:rPr>
                <w:b/>
                <w:spacing w:val="-4"/>
                <w:sz w:val="18"/>
              </w:rPr>
              <w:t> </w:t>
            </w:r>
            <w:r>
              <w:rPr>
                <w:b/>
                <w:spacing w:val="-2"/>
                <w:sz w:val="18"/>
              </w:rPr>
              <w:t>2026.</w:t>
            </w:r>
          </w:p>
        </w:tc>
      </w:tr>
      <w:tr>
        <w:trPr>
          <w:trHeight w:val="1080" w:hRule="atLeast"/>
        </w:trPr>
        <w:tc>
          <w:tcPr>
            <w:tcW w:w="2790" w:type="dxa"/>
          </w:tcPr>
          <w:p>
            <w:pPr>
              <w:pStyle w:val="TableParagraph"/>
              <w:spacing w:before="23"/>
              <w:ind w:left="72" w:right="197"/>
              <w:rPr>
                <w:sz w:val="18"/>
              </w:rPr>
            </w:pPr>
            <w:r>
              <w:rPr>
                <w:b/>
                <w:sz w:val="18"/>
              </w:rPr>
              <w:t>Actividad PAC 2.25.1: </w:t>
            </w:r>
            <w:r>
              <w:rPr>
                <w:sz w:val="18"/>
              </w:rPr>
              <w:t>Elaborar</w:t>
            </w:r>
            <w:r>
              <w:rPr>
                <w:spacing w:val="-10"/>
                <w:sz w:val="18"/>
              </w:rPr>
              <w:t> </w:t>
            </w:r>
            <w:r>
              <w:rPr>
                <w:sz w:val="18"/>
              </w:rPr>
              <w:t>lineamientos</w:t>
            </w:r>
            <w:r>
              <w:rPr>
                <w:spacing w:val="-12"/>
                <w:sz w:val="18"/>
              </w:rPr>
              <w:t> </w:t>
            </w:r>
            <w:r>
              <w:rPr>
                <w:sz w:val="18"/>
              </w:rPr>
              <w:t>para</w:t>
            </w:r>
            <w:r>
              <w:rPr>
                <w:spacing w:val="-12"/>
                <w:sz w:val="18"/>
              </w:rPr>
              <w:t> </w:t>
            </w:r>
            <w:r>
              <w:rPr>
                <w:sz w:val="18"/>
              </w:rPr>
              <w:t>que los informes financieros y contables cumplan con la normativa NICSP.</w:t>
            </w:r>
          </w:p>
        </w:tc>
        <w:tc>
          <w:tcPr>
            <w:tcW w:w="1820" w:type="dxa"/>
          </w:tcPr>
          <w:p>
            <w:pPr>
              <w:pStyle w:val="TableParagraph"/>
              <w:spacing w:before="22"/>
              <w:rPr>
                <w:b/>
                <w:sz w:val="18"/>
              </w:rPr>
            </w:pPr>
          </w:p>
          <w:p>
            <w:pPr>
              <w:pStyle w:val="TableParagraph"/>
              <w:ind w:left="66" w:right="723"/>
              <w:jc w:val="both"/>
              <w:rPr>
                <w:sz w:val="18"/>
              </w:rPr>
            </w:pPr>
            <w:r>
              <w:rPr>
                <w:sz w:val="18"/>
              </w:rPr>
              <w:t>Cantidad de </w:t>
            </w:r>
            <w:r>
              <w:rPr>
                <w:spacing w:val="-2"/>
                <w:sz w:val="18"/>
              </w:rPr>
              <w:t>lineamientos emitidos.</w:t>
            </w:r>
          </w:p>
        </w:tc>
        <w:tc>
          <w:tcPr>
            <w:tcW w:w="1249" w:type="dxa"/>
          </w:tcPr>
          <w:p>
            <w:pPr>
              <w:pStyle w:val="TableParagraph"/>
              <w:rPr>
                <w:rFonts w:ascii="Times New Roman"/>
                <w:sz w:val="18"/>
              </w:rPr>
            </w:pPr>
          </w:p>
        </w:tc>
        <w:tc>
          <w:tcPr>
            <w:tcW w:w="1278" w:type="dxa"/>
          </w:tcPr>
          <w:p>
            <w:pPr>
              <w:pStyle w:val="TableParagraph"/>
              <w:rPr>
                <w:rFonts w:ascii="Times New Roman"/>
                <w:sz w:val="18"/>
              </w:rPr>
            </w:pPr>
          </w:p>
        </w:tc>
        <w:tc>
          <w:tcPr>
            <w:tcW w:w="1182" w:type="dxa"/>
          </w:tcPr>
          <w:p>
            <w:pPr>
              <w:pStyle w:val="TableParagraph"/>
              <w:rPr>
                <w:b/>
                <w:sz w:val="18"/>
              </w:rPr>
            </w:pPr>
          </w:p>
          <w:p>
            <w:pPr>
              <w:pStyle w:val="TableParagraph"/>
              <w:spacing w:before="21"/>
              <w:rPr>
                <w:b/>
                <w:sz w:val="18"/>
              </w:rPr>
            </w:pPr>
          </w:p>
          <w:p>
            <w:pPr>
              <w:pStyle w:val="TableParagraph"/>
              <w:ind w:left="21" w:right="21"/>
              <w:jc w:val="center"/>
              <w:rPr>
                <w:sz w:val="18"/>
              </w:rPr>
            </w:pPr>
            <w:r>
              <w:rPr>
                <w:spacing w:val="-10"/>
                <w:sz w:val="18"/>
              </w:rPr>
              <w:t>1</w:t>
            </w: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rFonts w:ascii="Times New Roman"/>
                <w:sz w:val="18"/>
              </w:rPr>
            </w:pPr>
          </w:p>
        </w:tc>
        <w:tc>
          <w:tcPr>
            <w:tcW w:w="1279" w:type="dxa"/>
          </w:tcPr>
          <w:p>
            <w:pPr>
              <w:pStyle w:val="TableParagraph"/>
              <w:rPr>
                <w:rFonts w:ascii="Times New Roman"/>
                <w:sz w:val="18"/>
              </w:rPr>
            </w:pPr>
          </w:p>
        </w:tc>
      </w:tr>
      <w:tr>
        <w:trPr>
          <w:trHeight w:val="1243" w:hRule="atLeast"/>
        </w:trPr>
        <w:tc>
          <w:tcPr>
            <w:tcW w:w="2790" w:type="dxa"/>
          </w:tcPr>
          <w:p>
            <w:pPr>
              <w:pStyle w:val="TableParagraph"/>
              <w:ind w:left="72" w:right="244"/>
              <w:rPr>
                <w:sz w:val="18"/>
              </w:rPr>
            </w:pPr>
            <w:r>
              <w:rPr>
                <w:b/>
                <w:sz w:val="18"/>
              </w:rPr>
              <w:t>Actividad PAC 2.25.2: </w:t>
            </w:r>
            <w:r>
              <w:rPr>
                <w:sz w:val="18"/>
              </w:rPr>
              <w:t>Verificar que los informes financieros y contables elaborados</w:t>
            </w:r>
            <w:r>
              <w:rPr>
                <w:spacing w:val="-13"/>
                <w:sz w:val="18"/>
              </w:rPr>
              <w:t> </w:t>
            </w:r>
            <w:r>
              <w:rPr>
                <w:sz w:val="18"/>
              </w:rPr>
              <w:t>por</w:t>
            </w:r>
            <w:r>
              <w:rPr>
                <w:spacing w:val="-12"/>
                <w:sz w:val="18"/>
              </w:rPr>
              <w:t> </w:t>
            </w:r>
            <w:r>
              <w:rPr>
                <w:sz w:val="18"/>
              </w:rPr>
              <w:t>las</w:t>
            </w:r>
            <w:r>
              <w:rPr>
                <w:spacing w:val="-10"/>
                <w:sz w:val="18"/>
              </w:rPr>
              <w:t> </w:t>
            </w:r>
            <w:r>
              <w:rPr>
                <w:sz w:val="18"/>
              </w:rPr>
              <w:t>personas funcionarias</w:t>
            </w:r>
            <w:r>
              <w:rPr>
                <w:spacing w:val="-7"/>
                <w:sz w:val="18"/>
              </w:rPr>
              <w:t> </w:t>
            </w:r>
            <w:r>
              <w:rPr>
                <w:sz w:val="18"/>
              </w:rPr>
              <w:t>cumplen</w:t>
            </w:r>
            <w:r>
              <w:rPr>
                <w:spacing w:val="-6"/>
                <w:sz w:val="18"/>
              </w:rPr>
              <w:t> </w:t>
            </w:r>
            <w:r>
              <w:rPr>
                <w:sz w:val="18"/>
              </w:rPr>
              <w:t>con</w:t>
            </w:r>
            <w:r>
              <w:rPr>
                <w:spacing w:val="-2"/>
                <w:sz w:val="18"/>
              </w:rPr>
              <w:t> </w:t>
            </w:r>
            <w:r>
              <w:rPr>
                <w:spacing w:val="-5"/>
                <w:sz w:val="18"/>
              </w:rPr>
              <w:t>la</w:t>
            </w:r>
          </w:p>
          <w:p>
            <w:pPr>
              <w:pStyle w:val="TableParagraph"/>
              <w:spacing w:line="187" w:lineRule="exact" w:before="1"/>
              <w:ind w:left="72"/>
              <w:rPr>
                <w:sz w:val="18"/>
              </w:rPr>
            </w:pPr>
            <w:r>
              <w:rPr>
                <w:sz w:val="18"/>
              </w:rPr>
              <w:t>normativa</w:t>
            </w:r>
            <w:r>
              <w:rPr>
                <w:spacing w:val="-5"/>
                <w:sz w:val="18"/>
              </w:rPr>
              <w:t> </w:t>
            </w:r>
            <w:r>
              <w:rPr>
                <w:spacing w:val="-2"/>
                <w:sz w:val="18"/>
              </w:rPr>
              <w:t>NICSP.</w:t>
            </w:r>
          </w:p>
        </w:tc>
        <w:tc>
          <w:tcPr>
            <w:tcW w:w="1820" w:type="dxa"/>
          </w:tcPr>
          <w:p>
            <w:pPr>
              <w:pStyle w:val="TableParagraph"/>
              <w:ind w:left="66" w:right="103"/>
              <w:rPr>
                <w:sz w:val="18"/>
              </w:rPr>
            </w:pPr>
            <w:r>
              <w:rPr>
                <w:sz w:val="18"/>
              </w:rPr>
              <w:t>Cantidad de informes</w:t>
            </w:r>
            <w:r>
              <w:rPr>
                <w:spacing w:val="-13"/>
                <w:sz w:val="18"/>
              </w:rPr>
              <w:t> </w:t>
            </w:r>
            <w:r>
              <w:rPr>
                <w:sz w:val="18"/>
              </w:rPr>
              <w:t>elaborados que cumplen la </w:t>
            </w:r>
            <w:r>
              <w:rPr>
                <w:spacing w:val="-2"/>
                <w:sz w:val="18"/>
              </w:rPr>
              <w:t>normativa </w:t>
            </w:r>
            <w:r>
              <w:rPr>
                <w:sz w:val="18"/>
              </w:rPr>
              <w:t>establecida en las</w:t>
            </w:r>
          </w:p>
          <w:p>
            <w:pPr>
              <w:pStyle w:val="TableParagraph"/>
              <w:spacing w:line="187" w:lineRule="exact" w:before="1"/>
              <w:ind w:left="66"/>
              <w:rPr>
                <w:sz w:val="18"/>
              </w:rPr>
            </w:pPr>
            <w:r>
              <w:rPr>
                <w:sz w:val="18"/>
              </w:rPr>
              <w:t>NIC-</w:t>
            </w:r>
            <w:r>
              <w:rPr>
                <w:spacing w:val="-5"/>
                <w:sz w:val="18"/>
              </w:rPr>
              <w:t>SP.</w:t>
            </w:r>
          </w:p>
        </w:tc>
        <w:tc>
          <w:tcPr>
            <w:tcW w:w="1249" w:type="dxa"/>
          </w:tcPr>
          <w:p>
            <w:pPr>
              <w:pStyle w:val="TableParagraph"/>
              <w:rPr>
                <w:rFonts w:ascii="Times New Roman"/>
                <w:sz w:val="18"/>
              </w:rPr>
            </w:pP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spacing w:before="103"/>
              <w:rPr>
                <w:b/>
                <w:sz w:val="18"/>
              </w:rPr>
            </w:pPr>
          </w:p>
          <w:p>
            <w:pPr>
              <w:pStyle w:val="TableParagraph"/>
              <w:ind w:left="21" w:right="30"/>
              <w:jc w:val="center"/>
              <w:rPr>
                <w:sz w:val="18"/>
              </w:rPr>
            </w:pPr>
            <w:r>
              <w:rPr>
                <w:spacing w:val="-5"/>
                <w:sz w:val="18"/>
              </w:rPr>
              <w:t>12</w:t>
            </w:r>
          </w:p>
        </w:tc>
        <w:tc>
          <w:tcPr>
            <w:tcW w:w="1279" w:type="dxa"/>
          </w:tcPr>
          <w:p>
            <w:pPr>
              <w:pStyle w:val="TableParagraph"/>
              <w:rPr>
                <w:rFonts w:ascii="Times New Roman"/>
                <w:sz w:val="18"/>
              </w:rPr>
            </w:pPr>
          </w:p>
        </w:tc>
      </w:tr>
      <w:tr>
        <w:trPr>
          <w:trHeight w:val="508" w:hRule="atLeast"/>
        </w:trPr>
        <w:tc>
          <w:tcPr>
            <w:tcW w:w="14326" w:type="dxa"/>
            <w:gridSpan w:val="10"/>
            <w:shd w:val="clear" w:color="auto" w:fill="EFF8F9"/>
          </w:tcPr>
          <w:p>
            <w:pPr>
              <w:pStyle w:val="TableParagraph"/>
              <w:spacing w:before="147"/>
              <w:ind w:left="72"/>
              <w:rPr>
                <w:b/>
                <w:sz w:val="18"/>
              </w:rPr>
            </w:pPr>
            <w:r>
              <w:rPr>
                <w:b/>
                <w:sz w:val="18"/>
              </w:rPr>
              <w:t>Producto</w:t>
            </w:r>
            <w:r>
              <w:rPr>
                <w:b/>
                <w:spacing w:val="-8"/>
                <w:sz w:val="18"/>
              </w:rPr>
              <w:t> </w:t>
            </w:r>
            <w:r>
              <w:rPr>
                <w:b/>
                <w:sz w:val="18"/>
              </w:rPr>
              <w:t>PAC</w:t>
            </w:r>
            <w:r>
              <w:rPr>
                <w:b/>
                <w:spacing w:val="-8"/>
                <w:sz w:val="18"/>
              </w:rPr>
              <w:t> </w:t>
            </w:r>
            <w:r>
              <w:rPr>
                <w:b/>
                <w:sz w:val="18"/>
              </w:rPr>
              <w:t>2.26:</w:t>
            </w:r>
            <w:r>
              <w:rPr>
                <w:b/>
                <w:spacing w:val="-5"/>
                <w:sz w:val="18"/>
              </w:rPr>
              <w:t> </w:t>
            </w:r>
            <w:r>
              <w:rPr>
                <w:b/>
                <w:sz w:val="18"/>
              </w:rPr>
              <w:t>Plan</w:t>
            </w:r>
            <w:r>
              <w:rPr>
                <w:b/>
                <w:spacing w:val="-7"/>
                <w:sz w:val="18"/>
              </w:rPr>
              <w:t> </w:t>
            </w:r>
            <w:r>
              <w:rPr>
                <w:b/>
                <w:sz w:val="18"/>
              </w:rPr>
              <w:t>general de</w:t>
            </w:r>
            <w:r>
              <w:rPr>
                <w:b/>
                <w:spacing w:val="-6"/>
                <w:sz w:val="18"/>
              </w:rPr>
              <w:t> </w:t>
            </w:r>
            <w:r>
              <w:rPr>
                <w:b/>
                <w:sz w:val="18"/>
              </w:rPr>
              <w:t>contabilidad</w:t>
            </w:r>
            <w:r>
              <w:rPr>
                <w:b/>
                <w:spacing w:val="-8"/>
                <w:sz w:val="18"/>
              </w:rPr>
              <w:t> </w:t>
            </w:r>
            <w:r>
              <w:rPr>
                <w:b/>
                <w:sz w:val="18"/>
              </w:rPr>
              <w:t>formalizado</w:t>
            </w:r>
            <w:r>
              <w:rPr>
                <w:b/>
                <w:spacing w:val="-2"/>
                <w:sz w:val="18"/>
              </w:rPr>
              <w:t> </w:t>
            </w:r>
            <w:r>
              <w:rPr>
                <w:b/>
                <w:sz w:val="18"/>
              </w:rPr>
              <w:t>para</w:t>
            </w:r>
            <w:r>
              <w:rPr>
                <w:b/>
                <w:spacing w:val="-3"/>
                <w:sz w:val="18"/>
              </w:rPr>
              <w:t> </w:t>
            </w:r>
            <w:r>
              <w:rPr>
                <w:b/>
                <w:sz w:val="18"/>
              </w:rPr>
              <w:t>contar</w:t>
            </w:r>
            <w:r>
              <w:rPr>
                <w:b/>
                <w:spacing w:val="-1"/>
                <w:sz w:val="18"/>
              </w:rPr>
              <w:t> </w:t>
            </w:r>
            <w:r>
              <w:rPr>
                <w:b/>
                <w:sz w:val="18"/>
              </w:rPr>
              <w:t>con</w:t>
            </w:r>
            <w:r>
              <w:rPr>
                <w:b/>
                <w:spacing w:val="-3"/>
                <w:sz w:val="18"/>
              </w:rPr>
              <w:t> </w:t>
            </w:r>
            <w:r>
              <w:rPr>
                <w:b/>
                <w:sz w:val="18"/>
              </w:rPr>
              <w:t>criterios</w:t>
            </w:r>
            <w:r>
              <w:rPr>
                <w:b/>
                <w:spacing w:val="-6"/>
                <w:sz w:val="18"/>
              </w:rPr>
              <w:t> </w:t>
            </w:r>
            <w:r>
              <w:rPr>
                <w:b/>
                <w:sz w:val="18"/>
              </w:rPr>
              <w:t>homogéneos</w:t>
            </w:r>
            <w:r>
              <w:rPr>
                <w:b/>
                <w:spacing w:val="-3"/>
                <w:sz w:val="18"/>
              </w:rPr>
              <w:t> </w:t>
            </w:r>
            <w:r>
              <w:rPr>
                <w:b/>
                <w:sz w:val="18"/>
              </w:rPr>
              <w:t>de</w:t>
            </w:r>
            <w:r>
              <w:rPr>
                <w:b/>
                <w:spacing w:val="-6"/>
                <w:sz w:val="18"/>
              </w:rPr>
              <w:t> </w:t>
            </w:r>
            <w:r>
              <w:rPr>
                <w:b/>
                <w:sz w:val="18"/>
              </w:rPr>
              <w:t>registro</w:t>
            </w:r>
            <w:r>
              <w:rPr>
                <w:b/>
                <w:spacing w:val="-7"/>
                <w:sz w:val="18"/>
              </w:rPr>
              <w:t> </w:t>
            </w:r>
            <w:r>
              <w:rPr>
                <w:b/>
                <w:sz w:val="18"/>
              </w:rPr>
              <w:t>contable.</w:t>
            </w:r>
            <w:r>
              <w:rPr>
                <w:b/>
                <w:spacing w:val="-5"/>
                <w:sz w:val="18"/>
              </w:rPr>
              <w:t> </w:t>
            </w:r>
            <w:r>
              <w:rPr>
                <w:b/>
                <w:sz w:val="18"/>
              </w:rPr>
              <w:t>(E1</w:t>
            </w:r>
            <w:r>
              <w:rPr>
                <w:b/>
                <w:spacing w:val="-6"/>
                <w:sz w:val="18"/>
              </w:rPr>
              <w:t> </w:t>
            </w:r>
            <w:r>
              <w:rPr>
                <w:b/>
                <w:sz w:val="18"/>
              </w:rPr>
              <w:t>AE9</w:t>
            </w:r>
            <w:r>
              <w:rPr>
                <w:b/>
                <w:spacing w:val="-7"/>
                <w:sz w:val="18"/>
              </w:rPr>
              <w:t> </w:t>
            </w:r>
            <w:r>
              <w:rPr>
                <w:b/>
                <w:sz w:val="18"/>
              </w:rPr>
              <w:t>R4).</w:t>
            </w:r>
            <w:r>
              <w:rPr>
                <w:b/>
                <w:spacing w:val="-4"/>
                <w:sz w:val="18"/>
              </w:rPr>
              <w:t> </w:t>
            </w:r>
            <w:r>
              <w:rPr>
                <w:b/>
                <w:sz w:val="18"/>
              </w:rPr>
              <w:t>100%</w:t>
            </w:r>
            <w:r>
              <w:rPr>
                <w:b/>
                <w:spacing w:val="-6"/>
                <w:sz w:val="18"/>
              </w:rPr>
              <w:t> </w:t>
            </w:r>
            <w:r>
              <w:rPr>
                <w:b/>
                <w:sz w:val="18"/>
              </w:rPr>
              <w:t>al</w:t>
            </w:r>
            <w:r>
              <w:rPr>
                <w:b/>
                <w:spacing w:val="-4"/>
                <w:sz w:val="18"/>
              </w:rPr>
              <w:t> </w:t>
            </w:r>
            <w:r>
              <w:rPr>
                <w:b/>
                <w:spacing w:val="-2"/>
                <w:sz w:val="18"/>
              </w:rPr>
              <w:t>2026.</w:t>
            </w:r>
          </w:p>
        </w:tc>
      </w:tr>
      <w:tr>
        <w:trPr>
          <w:trHeight w:val="1449" w:hRule="atLeast"/>
        </w:trPr>
        <w:tc>
          <w:tcPr>
            <w:tcW w:w="2790" w:type="dxa"/>
          </w:tcPr>
          <w:p>
            <w:pPr>
              <w:pStyle w:val="TableParagraph"/>
              <w:spacing w:before="104"/>
              <w:ind w:left="72"/>
              <w:rPr>
                <w:b/>
                <w:sz w:val="18"/>
              </w:rPr>
            </w:pPr>
            <w:r>
              <w:rPr>
                <w:b/>
                <w:sz w:val="18"/>
              </w:rPr>
              <w:t>Actividad</w:t>
            </w:r>
            <w:r>
              <w:rPr>
                <w:b/>
                <w:spacing w:val="-6"/>
                <w:sz w:val="18"/>
              </w:rPr>
              <w:t> </w:t>
            </w:r>
            <w:r>
              <w:rPr>
                <w:b/>
                <w:sz w:val="18"/>
              </w:rPr>
              <w:t>PAC</w:t>
            </w:r>
            <w:r>
              <w:rPr>
                <w:b/>
                <w:spacing w:val="-2"/>
                <w:sz w:val="18"/>
              </w:rPr>
              <w:t> 2.26.1:</w:t>
            </w:r>
          </w:p>
          <w:p>
            <w:pPr>
              <w:pStyle w:val="TableParagraph"/>
              <w:ind w:left="72"/>
              <w:rPr>
                <w:sz w:val="18"/>
              </w:rPr>
            </w:pPr>
            <w:r>
              <w:rPr>
                <w:sz w:val="18"/>
              </w:rPr>
              <w:t>Dar seguimiento a las modificaciones</w:t>
            </w:r>
            <w:r>
              <w:rPr>
                <w:spacing w:val="-1"/>
                <w:sz w:val="18"/>
              </w:rPr>
              <w:t> </w:t>
            </w:r>
            <w:r>
              <w:rPr>
                <w:sz w:val="18"/>
              </w:rPr>
              <w:t>del Plan</w:t>
            </w:r>
            <w:r>
              <w:rPr>
                <w:spacing w:val="-7"/>
                <w:sz w:val="18"/>
              </w:rPr>
              <w:t> </w:t>
            </w:r>
            <w:r>
              <w:rPr>
                <w:sz w:val="18"/>
              </w:rPr>
              <w:t>General de Contabilidad del IMAS, para contar</w:t>
            </w:r>
            <w:r>
              <w:rPr>
                <w:spacing w:val="-11"/>
                <w:sz w:val="18"/>
              </w:rPr>
              <w:t> </w:t>
            </w:r>
            <w:r>
              <w:rPr>
                <w:sz w:val="18"/>
              </w:rPr>
              <w:t>con</w:t>
            </w:r>
            <w:r>
              <w:rPr>
                <w:spacing w:val="-13"/>
                <w:sz w:val="18"/>
              </w:rPr>
              <w:t> </w:t>
            </w:r>
            <w:r>
              <w:rPr>
                <w:sz w:val="18"/>
              </w:rPr>
              <w:t>criterios</w:t>
            </w:r>
            <w:r>
              <w:rPr>
                <w:spacing w:val="-12"/>
                <w:sz w:val="18"/>
              </w:rPr>
              <w:t> </w:t>
            </w:r>
            <w:r>
              <w:rPr>
                <w:sz w:val="18"/>
              </w:rPr>
              <w:t>homogéneos de registro contable.</w:t>
            </w:r>
          </w:p>
        </w:tc>
        <w:tc>
          <w:tcPr>
            <w:tcW w:w="1820" w:type="dxa"/>
          </w:tcPr>
          <w:p>
            <w:pPr>
              <w:pStyle w:val="TableParagraph"/>
              <w:ind w:left="66" w:right="336"/>
              <w:rPr>
                <w:sz w:val="18"/>
              </w:rPr>
            </w:pPr>
            <w:r>
              <w:rPr>
                <w:sz w:val="18"/>
              </w:rPr>
              <w:t>Cantidad de sesiones en Comisión</w:t>
            </w:r>
            <w:r>
              <w:rPr>
                <w:spacing w:val="-13"/>
                <w:sz w:val="18"/>
              </w:rPr>
              <w:t> </w:t>
            </w:r>
            <w:r>
              <w:rPr>
                <w:sz w:val="18"/>
              </w:rPr>
              <w:t>NICSP, que se aborden modificaciones</w:t>
            </w:r>
            <w:r>
              <w:rPr>
                <w:spacing w:val="-13"/>
                <w:sz w:val="18"/>
              </w:rPr>
              <w:t> </w:t>
            </w:r>
            <w:r>
              <w:rPr>
                <w:sz w:val="18"/>
              </w:rPr>
              <w:t>al</w:t>
            </w:r>
          </w:p>
          <w:p>
            <w:pPr>
              <w:pStyle w:val="TableParagraph"/>
              <w:spacing w:line="206" w:lineRule="exact"/>
              <w:ind w:left="66" w:right="103"/>
              <w:rPr>
                <w:sz w:val="18"/>
              </w:rPr>
            </w:pPr>
            <w:r>
              <w:rPr>
                <w:sz w:val="18"/>
              </w:rPr>
              <w:t>Plan</w:t>
            </w:r>
            <w:r>
              <w:rPr>
                <w:spacing w:val="-13"/>
                <w:sz w:val="18"/>
              </w:rPr>
              <w:t> </w:t>
            </w:r>
            <w:r>
              <w:rPr>
                <w:sz w:val="18"/>
              </w:rPr>
              <w:t>General </w:t>
            </w:r>
            <w:r>
              <w:rPr>
                <w:spacing w:val="-2"/>
                <w:sz w:val="18"/>
              </w:rPr>
              <w:t>Contable</w:t>
            </w:r>
          </w:p>
        </w:tc>
        <w:tc>
          <w:tcPr>
            <w:tcW w:w="1249" w:type="dxa"/>
          </w:tcPr>
          <w:p>
            <w:pPr>
              <w:pStyle w:val="TableParagraph"/>
              <w:rPr>
                <w:b/>
                <w:sz w:val="18"/>
              </w:rPr>
            </w:pPr>
          </w:p>
          <w:p>
            <w:pPr>
              <w:pStyle w:val="TableParagraph"/>
              <w:spacing w:before="204"/>
              <w:rPr>
                <w:b/>
                <w:sz w:val="18"/>
              </w:rPr>
            </w:pPr>
          </w:p>
          <w:p>
            <w:pPr>
              <w:pStyle w:val="TableParagraph"/>
              <w:ind w:left="14" w:right="10"/>
              <w:jc w:val="center"/>
              <w:rPr>
                <w:sz w:val="18"/>
              </w:rPr>
            </w:pPr>
            <w:r>
              <w:rPr>
                <w:spacing w:val="-10"/>
                <w:sz w:val="18"/>
              </w:rPr>
              <w:t>1</w:t>
            </w:r>
          </w:p>
        </w:tc>
        <w:tc>
          <w:tcPr>
            <w:tcW w:w="1278" w:type="dxa"/>
          </w:tcPr>
          <w:p>
            <w:pPr>
              <w:pStyle w:val="TableParagraph"/>
              <w:rPr>
                <w:rFonts w:ascii="Times New Roman"/>
                <w:sz w:val="18"/>
              </w:rPr>
            </w:pPr>
          </w:p>
        </w:tc>
        <w:tc>
          <w:tcPr>
            <w:tcW w:w="1182" w:type="dxa"/>
          </w:tcPr>
          <w:p>
            <w:pPr>
              <w:pStyle w:val="TableParagraph"/>
              <w:rPr>
                <w:b/>
                <w:sz w:val="18"/>
              </w:rPr>
            </w:pPr>
          </w:p>
          <w:p>
            <w:pPr>
              <w:pStyle w:val="TableParagraph"/>
              <w:spacing w:before="204"/>
              <w:rPr>
                <w:b/>
                <w:sz w:val="18"/>
              </w:rPr>
            </w:pPr>
          </w:p>
          <w:p>
            <w:pPr>
              <w:pStyle w:val="TableParagraph"/>
              <w:ind w:left="21" w:right="21"/>
              <w:jc w:val="center"/>
              <w:rPr>
                <w:sz w:val="18"/>
              </w:rPr>
            </w:pPr>
            <w:r>
              <w:rPr>
                <w:spacing w:val="-10"/>
                <w:sz w:val="18"/>
              </w:rPr>
              <w:t>2</w:t>
            </w:r>
          </w:p>
        </w:tc>
        <w:tc>
          <w:tcPr>
            <w:tcW w:w="1134" w:type="dxa"/>
          </w:tcPr>
          <w:p>
            <w:pPr>
              <w:pStyle w:val="TableParagraph"/>
              <w:rPr>
                <w:rFonts w:ascii="Times New Roman"/>
                <w:sz w:val="18"/>
              </w:rPr>
            </w:pPr>
          </w:p>
        </w:tc>
        <w:tc>
          <w:tcPr>
            <w:tcW w:w="1278" w:type="dxa"/>
          </w:tcPr>
          <w:p>
            <w:pPr>
              <w:pStyle w:val="TableParagraph"/>
              <w:rPr>
                <w:b/>
                <w:sz w:val="18"/>
              </w:rPr>
            </w:pPr>
          </w:p>
          <w:p>
            <w:pPr>
              <w:pStyle w:val="TableParagraph"/>
              <w:spacing w:before="204"/>
              <w:rPr>
                <w:b/>
                <w:sz w:val="18"/>
              </w:rPr>
            </w:pPr>
          </w:p>
          <w:p>
            <w:pPr>
              <w:pStyle w:val="TableParagraph"/>
              <w:ind w:left="21" w:right="22"/>
              <w:jc w:val="center"/>
              <w:rPr>
                <w:sz w:val="18"/>
              </w:rPr>
            </w:pPr>
            <w:r>
              <w:rPr>
                <w:spacing w:val="-10"/>
                <w:sz w:val="18"/>
              </w:rPr>
              <w:t>3</w:t>
            </w: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spacing w:before="204"/>
              <w:rPr>
                <w:b/>
                <w:sz w:val="18"/>
              </w:rPr>
            </w:pPr>
          </w:p>
          <w:p>
            <w:pPr>
              <w:pStyle w:val="TableParagraph"/>
              <w:ind w:left="21" w:right="25"/>
              <w:jc w:val="center"/>
              <w:rPr>
                <w:sz w:val="18"/>
              </w:rPr>
            </w:pPr>
            <w:r>
              <w:rPr>
                <w:spacing w:val="-10"/>
                <w:sz w:val="18"/>
              </w:rPr>
              <w:t>4</w:t>
            </w:r>
          </w:p>
        </w:tc>
        <w:tc>
          <w:tcPr>
            <w:tcW w:w="1279" w:type="dxa"/>
          </w:tcPr>
          <w:p>
            <w:pPr>
              <w:pStyle w:val="TableParagraph"/>
              <w:rPr>
                <w:rFonts w:ascii="Times New Roman"/>
                <w:sz w:val="18"/>
              </w:rPr>
            </w:pPr>
          </w:p>
        </w:tc>
      </w:tr>
      <w:tr>
        <w:trPr>
          <w:trHeight w:val="1243" w:hRule="atLeast"/>
        </w:trPr>
        <w:tc>
          <w:tcPr>
            <w:tcW w:w="2790" w:type="dxa"/>
          </w:tcPr>
          <w:p>
            <w:pPr>
              <w:pStyle w:val="TableParagraph"/>
              <w:spacing w:before="206"/>
              <w:ind w:left="72" w:right="244"/>
              <w:rPr>
                <w:sz w:val="18"/>
              </w:rPr>
            </w:pPr>
            <w:r>
              <w:rPr>
                <w:b/>
                <w:sz w:val="18"/>
              </w:rPr>
              <w:t>Actividad PAC 2.26.2: </w:t>
            </w:r>
            <w:r>
              <w:rPr>
                <w:sz w:val="18"/>
              </w:rPr>
              <w:t>Verificar que las unidades realicen</w:t>
            </w:r>
            <w:r>
              <w:rPr>
                <w:spacing w:val="-13"/>
                <w:sz w:val="18"/>
              </w:rPr>
              <w:t> </w:t>
            </w:r>
            <w:r>
              <w:rPr>
                <w:sz w:val="18"/>
              </w:rPr>
              <w:t>registros</w:t>
            </w:r>
            <w:r>
              <w:rPr>
                <w:spacing w:val="-9"/>
                <w:sz w:val="18"/>
              </w:rPr>
              <w:t> </w:t>
            </w:r>
            <w:r>
              <w:rPr>
                <w:sz w:val="18"/>
              </w:rPr>
              <w:t>contables</w:t>
            </w:r>
            <w:r>
              <w:rPr>
                <w:spacing w:val="-9"/>
                <w:sz w:val="18"/>
              </w:rPr>
              <w:t> </w:t>
            </w:r>
            <w:r>
              <w:rPr>
                <w:sz w:val="18"/>
              </w:rPr>
              <w:t>de acuerdo</w:t>
            </w:r>
            <w:r>
              <w:rPr>
                <w:spacing w:val="-2"/>
                <w:sz w:val="18"/>
              </w:rPr>
              <w:t> </w:t>
            </w:r>
            <w:r>
              <w:rPr>
                <w:sz w:val="18"/>
              </w:rPr>
              <w:t>con</w:t>
            </w:r>
            <w:r>
              <w:rPr>
                <w:spacing w:val="-1"/>
                <w:sz w:val="18"/>
              </w:rPr>
              <w:t> </w:t>
            </w:r>
            <w:r>
              <w:rPr>
                <w:sz w:val="18"/>
              </w:rPr>
              <w:t>el</w:t>
            </w:r>
            <w:r>
              <w:rPr>
                <w:spacing w:val="-7"/>
                <w:sz w:val="18"/>
              </w:rPr>
              <w:t> </w:t>
            </w:r>
            <w:r>
              <w:rPr>
                <w:sz w:val="18"/>
              </w:rPr>
              <w:t>Plan</w:t>
            </w:r>
            <w:r>
              <w:rPr>
                <w:spacing w:val="-1"/>
                <w:sz w:val="18"/>
              </w:rPr>
              <w:t> </w:t>
            </w:r>
            <w:r>
              <w:rPr>
                <w:spacing w:val="-2"/>
                <w:sz w:val="18"/>
              </w:rPr>
              <w:t>Contable.</w:t>
            </w:r>
          </w:p>
        </w:tc>
        <w:tc>
          <w:tcPr>
            <w:tcW w:w="1820" w:type="dxa"/>
          </w:tcPr>
          <w:p>
            <w:pPr>
              <w:pStyle w:val="TableParagraph"/>
              <w:ind w:left="66" w:right="336"/>
              <w:rPr>
                <w:sz w:val="18"/>
              </w:rPr>
            </w:pPr>
            <w:r>
              <w:rPr>
                <w:sz w:val="18"/>
              </w:rPr>
              <w:t>Porcentaje de unidades que aplican</w:t>
            </w:r>
            <w:r>
              <w:rPr>
                <w:spacing w:val="-13"/>
                <w:sz w:val="18"/>
              </w:rPr>
              <w:t> </w:t>
            </w:r>
            <w:r>
              <w:rPr>
                <w:sz w:val="18"/>
              </w:rPr>
              <w:t>registros contables con </w:t>
            </w:r>
            <w:r>
              <w:rPr>
                <w:spacing w:val="-2"/>
                <w:sz w:val="18"/>
              </w:rPr>
              <w:t>criterios</w:t>
            </w:r>
          </w:p>
          <w:p>
            <w:pPr>
              <w:pStyle w:val="TableParagraph"/>
              <w:spacing w:line="187" w:lineRule="exact" w:before="1"/>
              <w:ind w:left="66"/>
              <w:rPr>
                <w:sz w:val="18"/>
              </w:rPr>
            </w:pPr>
            <w:r>
              <w:rPr>
                <w:spacing w:val="-2"/>
                <w:sz w:val="18"/>
              </w:rPr>
              <w:t>homogéneos.</w:t>
            </w:r>
          </w:p>
        </w:tc>
        <w:tc>
          <w:tcPr>
            <w:tcW w:w="1249" w:type="dxa"/>
          </w:tcPr>
          <w:p>
            <w:pPr>
              <w:pStyle w:val="TableParagraph"/>
              <w:rPr>
                <w:rFonts w:ascii="Times New Roman"/>
                <w:sz w:val="18"/>
              </w:rPr>
            </w:pP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spacing w:before="104"/>
              <w:rPr>
                <w:b/>
                <w:sz w:val="18"/>
              </w:rPr>
            </w:pPr>
          </w:p>
          <w:p>
            <w:pPr>
              <w:pStyle w:val="TableParagraph"/>
              <w:ind w:left="21" w:right="27"/>
              <w:jc w:val="center"/>
              <w:rPr>
                <w:sz w:val="18"/>
              </w:rPr>
            </w:pPr>
            <w:r>
              <w:rPr>
                <w:spacing w:val="-4"/>
                <w:sz w:val="18"/>
              </w:rPr>
              <w:t>100%</w:t>
            </w:r>
          </w:p>
        </w:tc>
        <w:tc>
          <w:tcPr>
            <w:tcW w:w="1279" w:type="dxa"/>
          </w:tcPr>
          <w:p>
            <w:pPr>
              <w:pStyle w:val="TableParagraph"/>
              <w:rPr>
                <w:rFonts w:ascii="Times New Roman"/>
                <w:sz w:val="18"/>
              </w:rPr>
            </w:pPr>
          </w:p>
        </w:tc>
      </w:tr>
      <w:tr>
        <w:trPr>
          <w:trHeight w:val="508" w:hRule="atLeast"/>
        </w:trPr>
        <w:tc>
          <w:tcPr>
            <w:tcW w:w="14326" w:type="dxa"/>
            <w:gridSpan w:val="10"/>
            <w:shd w:val="clear" w:color="auto" w:fill="EFF8F9"/>
          </w:tcPr>
          <w:p>
            <w:pPr>
              <w:pStyle w:val="TableParagraph"/>
              <w:spacing w:before="47"/>
              <w:ind w:left="72" w:right="152"/>
              <w:rPr>
                <w:b/>
                <w:sz w:val="18"/>
              </w:rPr>
            </w:pPr>
            <w:r>
              <w:rPr>
                <w:b/>
                <w:sz w:val="18"/>
              </w:rPr>
              <w:t>Producto</w:t>
            </w:r>
            <w:r>
              <w:rPr>
                <w:b/>
                <w:spacing w:val="-4"/>
                <w:sz w:val="18"/>
              </w:rPr>
              <w:t> </w:t>
            </w:r>
            <w:r>
              <w:rPr>
                <w:b/>
                <w:sz w:val="18"/>
              </w:rPr>
              <w:t>PAC</w:t>
            </w:r>
            <w:r>
              <w:rPr>
                <w:b/>
                <w:spacing w:val="-5"/>
                <w:sz w:val="18"/>
              </w:rPr>
              <w:t> </w:t>
            </w:r>
            <w:r>
              <w:rPr>
                <w:b/>
                <w:sz w:val="18"/>
              </w:rPr>
              <w:t>2.27:</w:t>
            </w:r>
            <w:r>
              <w:rPr>
                <w:b/>
                <w:spacing w:val="40"/>
                <w:sz w:val="18"/>
              </w:rPr>
              <w:t> </w:t>
            </w:r>
            <w:r>
              <w:rPr>
                <w:b/>
                <w:sz w:val="18"/>
              </w:rPr>
              <w:t>Indicadores de gestión presupuestaria</w:t>
            </w:r>
            <w:r>
              <w:rPr>
                <w:b/>
                <w:spacing w:val="-3"/>
                <w:sz w:val="18"/>
              </w:rPr>
              <w:t> </w:t>
            </w:r>
            <w:r>
              <w:rPr>
                <w:b/>
                <w:sz w:val="18"/>
              </w:rPr>
              <w:t>diseñados</w:t>
            </w:r>
            <w:r>
              <w:rPr>
                <w:b/>
                <w:spacing w:val="-3"/>
                <w:sz w:val="18"/>
              </w:rPr>
              <w:t> </w:t>
            </w:r>
            <w:r>
              <w:rPr>
                <w:b/>
                <w:sz w:val="18"/>
              </w:rPr>
              <w:t>para</w:t>
            </w:r>
            <w:r>
              <w:rPr>
                <w:b/>
                <w:spacing w:val="-3"/>
                <w:sz w:val="18"/>
              </w:rPr>
              <w:t> </w:t>
            </w:r>
            <w:r>
              <w:rPr>
                <w:b/>
                <w:sz w:val="18"/>
              </w:rPr>
              <w:t>medir</w:t>
            </w:r>
            <w:r>
              <w:rPr>
                <w:b/>
                <w:spacing w:val="-2"/>
                <w:sz w:val="18"/>
              </w:rPr>
              <w:t> </w:t>
            </w:r>
            <w:r>
              <w:rPr>
                <w:b/>
                <w:sz w:val="18"/>
              </w:rPr>
              <w:t>el</w:t>
            </w:r>
            <w:r>
              <w:rPr>
                <w:b/>
                <w:spacing w:val="-1"/>
                <w:sz w:val="18"/>
              </w:rPr>
              <w:t> </w:t>
            </w:r>
            <w:r>
              <w:rPr>
                <w:b/>
                <w:sz w:val="18"/>
              </w:rPr>
              <w:t>cumplimiento</w:t>
            </w:r>
            <w:r>
              <w:rPr>
                <w:b/>
                <w:spacing w:val="-4"/>
                <w:sz w:val="18"/>
              </w:rPr>
              <w:t> </w:t>
            </w:r>
            <w:r>
              <w:rPr>
                <w:b/>
                <w:sz w:val="18"/>
              </w:rPr>
              <w:t>de</w:t>
            </w:r>
            <w:r>
              <w:rPr>
                <w:b/>
                <w:spacing w:val="-3"/>
                <w:sz w:val="18"/>
              </w:rPr>
              <w:t> </w:t>
            </w:r>
            <w:r>
              <w:rPr>
                <w:b/>
                <w:sz w:val="18"/>
              </w:rPr>
              <w:t>las</w:t>
            </w:r>
            <w:r>
              <w:rPr>
                <w:b/>
                <w:spacing w:val="-3"/>
                <w:sz w:val="18"/>
              </w:rPr>
              <w:t> </w:t>
            </w:r>
            <w:r>
              <w:rPr>
                <w:b/>
                <w:sz w:val="18"/>
              </w:rPr>
              <w:t>metas basadas</w:t>
            </w:r>
            <w:r>
              <w:rPr>
                <w:b/>
                <w:spacing w:val="-3"/>
                <w:sz w:val="18"/>
              </w:rPr>
              <w:t> </w:t>
            </w:r>
            <w:r>
              <w:rPr>
                <w:b/>
                <w:sz w:val="18"/>
              </w:rPr>
              <w:t>en</w:t>
            </w:r>
            <w:r>
              <w:rPr>
                <w:b/>
                <w:spacing w:val="-4"/>
                <w:sz w:val="18"/>
              </w:rPr>
              <w:t> </w:t>
            </w:r>
            <w:r>
              <w:rPr>
                <w:b/>
                <w:sz w:val="18"/>
              </w:rPr>
              <w:t>resultados y</w:t>
            </w:r>
            <w:r>
              <w:rPr>
                <w:b/>
                <w:spacing w:val="-3"/>
                <w:sz w:val="18"/>
              </w:rPr>
              <w:t> </w:t>
            </w:r>
            <w:r>
              <w:rPr>
                <w:b/>
                <w:sz w:val="18"/>
              </w:rPr>
              <w:t>género.</w:t>
            </w:r>
            <w:r>
              <w:rPr>
                <w:b/>
                <w:spacing w:val="-1"/>
                <w:sz w:val="18"/>
              </w:rPr>
              <w:t> </w:t>
            </w:r>
            <w:r>
              <w:rPr>
                <w:b/>
                <w:sz w:val="18"/>
              </w:rPr>
              <w:t>(E1 AE10 R2).</w:t>
            </w:r>
            <w:r>
              <w:rPr>
                <w:b/>
                <w:spacing w:val="-1"/>
                <w:sz w:val="18"/>
              </w:rPr>
              <w:t> </w:t>
            </w:r>
            <w:r>
              <w:rPr>
                <w:b/>
                <w:sz w:val="18"/>
              </w:rPr>
              <w:t>60% al 2026.</w:t>
            </w:r>
          </w:p>
        </w:tc>
      </w:tr>
    </w:tbl>
    <w:p>
      <w:pPr>
        <w:pStyle w:val="TableParagraph"/>
        <w:spacing w:after="0"/>
        <w:rPr>
          <w:b/>
          <w:sz w:val="18"/>
        </w:rPr>
        <w:sectPr>
          <w:type w:val="continuous"/>
          <w:pgSz w:w="15840" w:h="12240" w:orient="landscape"/>
          <w:pgMar w:header="0" w:footer="1806" w:top="700" w:bottom="2628" w:left="360" w:right="360"/>
        </w:sectPr>
      </w:pPr>
    </w:p>
    <w:tbl>
      <w:tblPr>
        <w:tblW w:w="0" w:type="auto"/>
        <w:jc w:val="left"/>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90"/>
        <w:gridCol w:w="1820"/>
        <w:gridCol w:w="1249"/>
        <w:gridCol w:w="1278"/>
        <w:gridCol w:w="1182"/>
        <w:gridCol w:w="1134"/>
        <w:gridCol w:w="1278"/>
        <w:gridCol w:w="1134"/>
        <w:gridCol w:w="1182"/>
        <w:gridCol w:w="1279"/>
      </w:tblGrid>
      <w:tr>
        <w:trPr>
          <w:trHeight w:val="302" w:hRule="atLeast"/>
        </w:trPr>
        <w:tc>
          <w:tcPr>
            <w:tcW w:w="2790" w:type="dxa"/>
            <w:vMerge w:val="restart"/>
            <w:shd w:val="clear" w:color="auto" w:fill="D9D9D9"/>
          </w:tcPr>
          <w:p>
            <w:pPr>
              <w:pStyle w:val="TableParagraph"/>
              <w:spacing w:before="180"/>
              <w:rPr>
                <w:b/>
                <w:sz w:val="18"/>
              </w:rPr>
            </w:pPr>
          </w:p>
          <w:p>
            <w:pPr>
              <w:pStyle w:val="TableParagraph"/>
              <w:ind w:left="432"/>
              <w:rPr>
                <w:b/>
                <w:sz w:val="18"/>
              </w:rPr>
            </w:pPr>
            <w:r>
              <w:rPr>
                <w:b/>
                <w:sz w:val="18"/>
              </w:rPr>
              <w:t>Objetivos</w:t>
            </w:r>
            <w:r>
              <w:rPr>
                <w:b/>
                <w:spacing w:val="-5"/>
                <w:sz w:val="18"/>
              </w:rPr>
              <w:t> </w:t>
            </w:r>
            <w:r>
              <w:rPr>
                <w:b/>
                <w:sz w:val="18"/>
              </w:rPr>
              <w:t>/</w:t>
            </w:r>
            <w:r>
              <w:rPr>
                <w:b/>
                <w:spacing w:val="-2"/>
                <w:sz w:val="18"/>
              </w:rPr>
              <w:t> Resultados</w:t>
            </w:r>
          </w:p>
        </w:tc>
        <w:tc>
          <w:tcPr>
            <w:tcW w:w="1820" w:type="dxa"/>
            <w:vMerge w:val="restart"/>
            <w:shd w:val="clear" w:color="auto" w:fill="D9D9D9"/>
          </w:tcPr>
          <w:p>
            <w:pPr>
              <w:pStyle w:val="TableParagraph"/>
              <w:spacing w:before="180"/>
              <w:rPr>
                <w:b/>
                <w:sz w:val="18"/>
              </w:rPr>
            </w:pPr>
          </w:p>
          <w:p>
            <w:pPr>
              <w:pStyle w:val="TableParagraph"/>
              <w:ind w:left="503"/>
              <w:rPr>
                <w:b/>
                <w:sz w:val="18"/>
              </w:rPr>
            </w:pPr>
            <w:r>
              <w:rPr>
                <w:b/>
                <w:spacing w:val="-2"/>
                <w:sz w:val="18"/>
              </w:rPr>
              <w:t>Indicador</w:t>
            </w:r>
          </w:p>
        </w:tc>
        <w:tc>
          <w:tcPr>
            <w:tcW w:w="2527" w:type="dxa"/>
            <w:gridSpan w:val="2"/>
            <w:shd w:val="clear" w:color="auto" w:fill="D9D9D9"/>
          </w:tcPr>
          <w:p>
            <w:pPr>
              <w:pStyle w:val="TableParagraph"/>
              <w:spacing w:before="47"/>
              <w:ind w:left="801"/>
              <w:rPr>
                <w:b/>
                <w:sz w:val="18"/>
              </w:rPr>
            </w:pPr>
            <w:r>
              <w:rPr>
                <w:b/>
                <w:sz w:val="18"/>
              </w:rPr>
              <w:t>I</w:t>
            </w:r>
            <w:r>
              <w:rPr>
                <w:b/>
                <w:spacing w:val="-1"/>
                <w:sz w:val="18"/>
              </w:rPr>
              <w:t> </w:t>
            </w:r>
            <w:r>
              <w:rPr>
                <w:b/>
                <w:spacing w:val="-2"/>
                <w:sz w:val="18"/>
              </w:rPr>
              <w:t>Trimestre</w:t>
            </w:r>
          </w:p>
        </w:tc>
        <w:tc>
          <w:tcPr>
            <w:tcW w:w="2316" w:type="dxa"/>
            <w:gridSpan w:val="2"/>
            <w:shd w:val="clear" w:color="auto" w:fill="D9D9D9"/>
          </w:tcPr>
          <w:p>
            <w:pPr>
              <w:pStyle w:val="TableParagraph"/>
              <w:spacing w:before="47"/>
              <w:ind w:left="670"/>
              <w:rPr>
                <w:b/>
                <w:sz w:val="18"/>
              </w:rPr>
            </w:pPr>
            <w:r>
              <w:rPr>
                <w:b/>
                <w:sz w:val="18"/>
              </w:rPr>
              <w:t>II</w:t>
            </w:r>
            <w:r>
              <w:rPr>
                <w:b/>
                <w:spacing w:val="-3"/>
                <w:sz w:val="18"/>
              </w:rPr>
              <w:t> </w:t>
            </w:r>
            <w:r>
              <w:rPr>
                <w:b/>
                <w:spacing w:val="-2"/>
                <w:sz w:val="18"/>
              </w:rPr>
              <w:t>Trimestre</w:t>
            </w:r>
          </w:p>
        </w:tc>
        <w:tc>
          <w:tcPr>
            <w:tcW w:w="2412" w:type="dxa"/>
            <w:gridSpan w:val="2"/>
            <w:shd w:val="clear" w:color="auto" w:fill="D9D9D9"/>
          </w:tcPr>
          <w:p>
            <w:pPr>
              <w:pStyle w:val="TableParagraph"/>
              <w:spacing w:before="47"/>
              <w:ind w:left="697"/>
              <w:rPr>
                <w:b/>
                <w:sz w:val="18"/>
              </w:rPr>
            </w:pPr>
            <w:r>
              <w:rPr>
                <w:b/>
                <w:sz w:val="18"/>
              </w:rPr>
              <w:t>III</w:t>
            </w:r>
            <w:r>
              <w:rPr>
                <w:b/>
                <w:spacing w:val="-2"/>
                <w:sz w:val="18"/>
              </w:rPr>
              <w:t> Trimestre</w:t>
            </w:r>
          </w:p>
        </w:tc>
        <w:tc>
          <w:tcPr>
            <w:tcW w:w="2461" w:type="dxa"/>
            <w:gridSpan w:val="2"/>
            <w:shd w:val="clear" w:color="auto" w:fill="D9D9D9"/>
          </w:tcPr>
          <w:p>
            <w:pPr>
              <w:pStyle w:val="TableParagraph"/>
              <w:spacing w:before="47"/>
              <w:ind w:left="705"/>
              <w:rPr>
                <w:b/>
                <w:sz w:val="18"/>
              </w:rPr>
            </w:pPr>
            <w:r>
              <w:rPr>
                <w:b/>
                <w:sz w:val="18"/>
              </w:rPr>
              <w:t>IV</w:t>
            </w:r>
            <w:r>
              <w:rPr>
                <w:b/>
                <w:spacing w:val="-2"/>
                <w:sz w:val="18"/>
              </w:rPr>
              <w:t> Trimestre</w:t>
            </w:r>
          </w:p>
        </w:tc>
      </w:tr>
      <w:tr>
        <w:trPr>
          <w:trHeight w:val="671" w:hRule="atLeast"/>
        </w:trPr>
        <w:tc>
          <w:tcPr>
            <w:tcW w:w="2790" w:type="dxa"/>
            <w:vMerge/>
            <w:tcBorders>
              <w:top w:val="nil"/>
            </w:tcBorders>
            <w:shd w:val="clear" w:color="auto" w:fill="D9D9D9"/>
          </w:tcPr>
          <w:p>
            <w:pPr>
              <w:rPr>
                <w:sz w:val="2"/>
                <w:szCs w:val="2"/>
              </w:rPr>
            </w:pPr>
          </w:p>
        </w:tc>
        <w:tc>
          <w:tcPr>
            <w:tcW w:w="1820" w:type="dxa"/>
            <w:vMerge/>
            <w:tcBorders>
              <w:top w:val="nil"/>
            </w:tcBorders>
            <w:shd w:val="clear" w:color="auto" w:fill="D9D9D9"/>
          </w:tcPr>
          <w:p>
            <w:pPr>
              <w:rPr>
                <w:sz w:val="2"/>
                <w:szCs w:val="2"/>
              </w:rPr>
            </w:pPr>
          </w:p>
        </w:tc>
        <w:tc>
          <w:tcPr>
            <w:tcW w:w="1249" w:type="dxa"/>
            <w:shd w:val="clear" w:color="auto" w:fill="D9D9D9"/>
          </w:tcPr>
          <w:p>
            <w:pPr>
              <w:pStyle w:val="TableParagraph"/>
              <w:spacing w:before="128"/>
              <w:ind w:left="104" w:firstLine="312"/>
              <w:rPr>
                <w:b/>
                <w:sz w:val="18"/>
              </w:rPr>
            </w:pPr>
            <w:r>
              <w:rPr>
                <w:b/>
                <w:spacing w:val="-4"/>
                <w:sz w:val="18"/>
              </w:rPr>
              <w:t>Meta </w:t>
            </w:r>
            <w:r>
              <w:rPr>
                <w:b/>
                <w:spacing w:val="-2"/>
                <w:sz w:val="18"/>
              </w:rPr>
              <w:t>programada</w:t>
            </w:r>
          </w:p>
        </w:tc>
        <w:tc>
          <w:tcPr>
            <w:tcW w:w="1278" w:type="dxa"/>
            <w:shd w:val="clear" w:color="auto" w:fill="D9D9D9"/>
          </w:tcPr>
          <w:p>
            <w:pPr>
              <w:pStyle w:val="TableParagraph"/>
              <w:spacing w:before="22"/>
              <w:rPr>
                <w:b/>
                <w:sz w:val="18"/>
              </w:rPr>
            </w:pPr>
          </w:p>
          <w:p>
            <w:pPr>
              <w:pStyle w:val="TableParagraph"/>
              <w:ind w:left="21" w:right="10"/>
              <w:jc w:val="center"/>
              <w:rPr>
                <w:b/>
                <w:sz w:val="18"/>
              </w:rPr>
            </w:pPr>
            <w:r>
              <w:rPr>
                <w:b/>
                <w:spacing w:val="-10"/>
                <w:sz w:val="18"/>
              </w:rPr>
              <w:t>¢</w:t>
            </w:r>
          </w:p>
        </w:tc>
        <w:tc>
          <w:tcPr>
            <w:tcW w:w="1182" w:type="dxa"/>
            <w:shd w:val="clear" w:color="auto" w:fill="D9D9D9"/>
          </w:tcPr>
          <w:p>
            <w:pPr>
              <w:pStyle w:val="TableParagraph"/>
              <w:spacing w:before="128"/>
              <w:ind w:left="70" w:firstLine="312"/>
              <w:rPr>
                <w:b/>
                <w:sz w:val="18"/>
              </w:rPr>
            </w:pPr>
            <w:r>
              <w:rPr>
                <w:b/>
                <w:spacing w:val="-4"/>
                <w:sz w:val="18"/>
              </w:rPr>
              <w:t>Meta </w:t>
            </w:r>
            <w:r>
              <w:rPr>
                <w:b/>
                <w:spacing w:val="-2"/>
                <w:sz w:val="18"/>
              </w:rPr>
              <w:t>programada</w:t>
            </w:r>
          </w:p>
        </w:tc>
        <w:tc>
          <w:tcPr>
            <w:tcW w:w="1134" w:type="dxa"/>
            <w:shd w:val="clear" w:color="auto" w:fill="D9D9D9"/>
          </w:tcPr>
          <w:p>
            <w:pPr>
              <w:pStyle w:val="TableParagraph"/>
              <w:spacing w:before="22"/>
              <w:rPr>
                <w:b/>
                <w:sz w:val="18"/>
              </w:rPr>
            </w:pPr>
          </w:p>
          <w:p>
            <w:pPr>
              <w:pStyle w:val="TableParagraph"/>
              <w:ind w:left="8"/>
              <w:jc w:val="center"/>
              <w:rPr>
                <w:b/>
                <w:sz w:val="18"/>
              </w:rPr>
            </w:pPr>
            <w:r>
              <w:rPr>
                <w:b/>
                <w:spacing w:val="-10"/>
                <w:sz w:val="18"/>
              </w:rPr>
              <w:t>¢</w:t>
            </w:r>
          </w:p>
        </w:tc>
        <w:tc>
          <w:tcPr>
            <w:tcW w:w="1278" w:type="dxa"/>
            <w:shd w:val="clear" w:color="auto" w:fill="D9D9D9"/>
          </w:tcPr>
          <w:p>
            <w:pPr>
              <w:pStyle w:val="TableParagraph"/>
              <w:spacing w:before="128"/>
              <w:ind w:left="116" w:firstLine="316"/>
              <w:rPr>
                <w:b/>
                <w:sz w:val="18"/>
              </w:rPr>
            </w:pPr>
            <w:r>
              <w:rPr>
                <w:b/>
                <w:spacing w:val="-4"/>
                <w:sz w:val="18"/>
              </w:rPr>
              <w:t>Meta </w:t>
            </w:r>
            <w:r>
              <w:rPr>
                <w:b/>
                <w:spacing w:val="-2"/>
                <w:sz w:val="18"/>
              </w:rPr>
              <w:t>programada</w:t>
            </w:r>
          </w:p>
        </w:tc>
        <w:tc>
          <w:tcPr>
            <w:tcW w:w="1134" w:type="dxa"/>
            <w:shd w:val="clear" w:color="auto" w:fill="D9D9D9"/>
          </w:tcPr>
          <w:p>
            <w:pPr>
              <w:pStyle w:val="TableParagraph"/>
              <w:spacing w:before="22"/>
              <w:rPr>
                <w:b/>
                <w:sz w:val="18"/>
              </w:rPr>
            </w:pPr>
          </w:p>
          <w:p>
            <w:pPr>
              <w:pStyle w:val="TableParagraph"/>
              <w:ind w:left="5"/>
              <w:jc w:val="center"/>
              <w:rPr>
                <w:b/>
                <w:sz w:val="18"/>
              </w:rPr>
            </w:pPr>
            <w:r>
              <w:rPr>
                <w:b/>
                <w:spacing w:val="-10"/>
                <w:sz w:val="18"/>
              </w:rPr>
              <w:t>¢</w:t>
            </w:r>
          </w:p>
        </w:tc>
        <w:tc>
          <w:tcPr>
            <w:tcW w:w="1182" w:type="dxa"/>
            <w:shd w:val="clear" w:color="auto" w:fill="D9D9D9"/>
          </w:tcPr>
          <w:p>
            <w:pPr>
              <w:pStyle w:val="TableParagraph"/>
              <w:spacing w:before="128"/>
              <w:ind w:left="66" w:firstLine="312"/>
              <w:rPr>
                <w:b/>
                <w:sz w:val="18"/>
              </w:rPr>
            </w:pPr>
            <w:r>
              <w:rPr>
                <w:b/>
                <w:spacing w:val="-4"/>
                <w:sz w:val="18"/>
              </w:rPr>
              <w:t>Meta </w:t>
            </w:r>
            <w:r>
              <w:rPr>
                <w:b/>
                <w:spacing w:val="-2"/>
                <w:sz w:val="18"/>
              </w:rPr>
              <w:t>programada</w:t>
            </w:r>
          </w:p>
        </w:tc>
        <w:tc>
          <w:tcPr>
            <w:tcW w:w="1279" w:type="dxa"/>
            <w:shd w:val="clear" w:color="auto" w:fill="D9D9D9"/>
          </w:tcPr>
          <w:p>
            <w:pPr>
              <w:pStyle w:val="TableParagraph"/>
              <w:spacing w:before="22"/>
              <w:rPr>
                <w:b/>
                <w:sz w:val="18"/>
              </w:rPr>
            </w:pPr>
          </w:p>
          <w:p>
            <w:pPr>
              <w:pStyle w:val="TableParagraph"/>
              <w:ind w:left="7" w:right="6"/>
              <w:jc w:val="center"/>
              <w:rPr>
                <w:b/>
                <w:sz w:val="18"/>
              </w:rPr>
            </w:pPr>
            <w:r>
              <w:rPr>
                <w:b/>
                <w:spacing w:val="-10"/>
                <w:sz w:val="18"/>
              </w:rPr>
              <w:t>¢</w:t>
            </w:r>
          </w:p>
        </w:tc>
      </w:tr>
      <w:tr>
        <w:trPr>
          <w:trHeight w:val="1243" w:hRule="atLeast"/>
        </w:trPr>
        <w:tc>
          <w:tcPr>
            <w:tcW w:w="2790" w:type="dxa"/>
            <w:tcBorders>
              <w:left w:val="single" w:sz="8" w:space="0" w:color="000000"/>
            </w:tcBorders>
          </w:tcPr>
          <w:p>
            <w:pPr>
              <w:pStyle w:val="TableParagraph"/>
              <w:spacing w:line="242" w:lineRule="auto"/>
              <w:ind w:left="72" w:right="609"/>
              <w:rPr>
                <w:sz w:val="18"/>
              </w:rPr>
            </w:pPr>
            <w:r>
              <w:rPr>
                <w:b/>
                <w:sz w:val="18"/>
              </w:rPr>
              <w:t>Actividad</w:t>
            </w:r>
            <w:r>
              <w:rPr>
                <w:b/>
                <w:spacing w:val="-15"/>
                <w:sz w:val="18"/>
              </w:rPr>
              <w:t> </w:t>
            </w:r>
            <w:r>
              <w:rPr>
                <w:b/>
                <w:sz w:val="18"/>
              </w:rPr>
              <w:t>PAC</w:t>
            </w:r>
            <w:r>
              <w:rPr>
                <w:b/>
                <w:spacing w:val="-12"/>
                <w:sz w:val="18"/>
              </w:rPr>
              <w:t> </w:t>
            </w:r>
            <w:r>
              <w:rPr>
                <w:b/>
                <w:sz w:val="18"/>
              </w:rPr>
              <w:t>2.27.1: </w:t>
            </w:r>
            <w:r>
              <w:rPr>
                <w:sz w:val="18"/>
              </w:rPr>
              <w:t>Dar seguimiento a los indicadores de gestión</w:t>
            </w:r>
          </w:p>
          <w:p>
            <w:pPr>
              <w:pStyle w:val="TableParagraph"/>
              <w:spacing w:line="206" w:lineRule="exact"/>
              <w:ind w:left="72"/>
              <w:rPr>
                <w:sz w:val="18"/>
              </w:rPr>
            </w:pPr>
            <w:r>
              <w:rPr>
                <w:sz w:val="18"/>
              </w:rPr>
              <w:t>presupuestaria idóneos para el cumplimiento</w:t>
            </w:r>
            <w:r>
              <w:rPr>
                <w:spacing w:val="-12"/>
                <w:sz w:val="18"/>
              </w:rPr>
              <w:t> </w:t>
            </w:r>
            <w:r>
              <w:rPr>
                <w:sz w:val="18"/>
              </w:rPr>
              <w:t>de</w:t>
            </w:r>
            <w:r>
              <w:rPr>
                <w:spacing w:val="-12"/>
                <w:sz w:val="18"/>
              </w:rPr>
              <w:t> </w:t>
            </w:r>
            <w:r>
              <w:rPr>
                <w:sz w:val="18"/>
              </w:rPr>
              <w:t>metas</w:t>
            </w:r>
            <w:r>
              <w:rPr>
                <w:spacing w:val="-12"/>
                <w:sz w:val="18"/>
              </w:rPr>
              <w:t> </w:t>
            </w:r>
            <w:r>
              <w:rPr>
                <w:sz w:val="18"/>
              </w:rPr>
              <w:t>basadas en resultado y género.</w:t>
            </w:r>
          </w:p>
        </w:tc>
        <w:tc>
          <w:tcPr>
            <w:tcW w:w="1820" w:type="dxa"/>
          </w:tcPr>
          <w:p>
            <w:pPr>
              <w:pStyle w:val="TableParagraph"/>
              <w:spacing w:before="104"/>
              <w:rPr>
                <w:b/>
                <w:sz w:val="18"/>
              </w:rPr>
            </w:pPr>
          </w:p>
          <w:p>
            <w:pPr>
              <w:pStyle w:val="TableParagraph"/>
              <w:ind w:left="71" w:right="103"/>
              <w:rPr>
                <w:sz w:val="18"/>
              </w:rPr>
            </w:pPr>
            <w:r>
              <w:rPr>
                <w:sz w:val="18"/>
              </w:rPr>
              <w:t>Cantidad de sesiones realizadas para</w:t>
            </w:r>
            <w:r>
              <w:rPr>
                <w:spacing w:val="-15"/>
                <w:sz w:val="18"/>
              </w:rPr>
              <w:t> </w:t>
            </w:r>
            <w:r>
              <w:rPr>
                <w:sz w:val="18"/>
              </w:rPr>
              <w:t>el</w:t>
            </w:r>
            <w:r>
              <w:rPr>
                <w:spacing w:val="-12"/>
                <w:sz w:val="18"/>
              </w:rPr>
              <w:t> </w:t>
            </w:r>
            <w:r>
              <w:rPr>
                <w:sz w:val="18"/>
              </w:rPr>
              <w:t>seguimiento.</w:t>
            </w:r>
          </w:p>
        </w:tc>
        <w:tc>
          <w:tcPr>
            <w:tcW w:w="1249" w:type="dxa"/>
          </w:tcPr>
          <w:p>
            <w:pPr>
              <w:pStyle w:val="TableParagraph"/>
              <w:rPr>
                <w:b/>
                <w:sz w:val="18"/>
              </w:rPr>
            </w:pPr>
          </w:p>
          <w:p>
            <w:pPr>
              <w:pStyle w:val="TableParagraph"/>
              <w:spacing w:before="104"/>
              <w:rPr>
                <w:b/>
                <w:sz w:val="18"/>
              </w:rPr>
            </w:pPr>
          </w:p>
          <w:p>
            <w:pPr>
              <w:pStyle w:val="TableParagraph"/>
              <w:ind w:left="14"/>
              <w:jc w:val="center"/>
              <w:rPr>
                <w:sz w:val="18"/>
              </w:rPr>
            </w:pPr>
            <w:r>
              <w:rPr>
                <w:spacing w:val="-10"/>
                <w:sz w:val="18"/>
              </w:rPr>
              <w:t>2</w:t>
            </w:r>
          </w:p>
        </w:tc>
        <w:tc>
          <w:tcPr>
            <w:tcW w:w="1278" w:type="dxa"/>
          </w:tcPr>
          <w:p>
            <w:pPr>
              <w:pStyle w:val="TableParagraph"/>
              <w:rPr>
                <w:rFonts w:ascii="Times New Roman"/>
                <w:sz w:val="18"/>
              </w:rPr>
            </w:pPr>
          </w:p>
        </w:tc>
        <w:tc>
          <w:tcPr>
            <w:tcW w:w="1182" w:type="dxa"/>
          </w:tcPr>
          <w:p>
            <w:pPr>
              <w:pStyle w:val="TableParagraph"/>
              <w:rPr>
                <w:b/>
                <w:sz w:val="18"/>
              </w:rPr>
            </w:pPr>
          </w:p>
          <w:p>
            <w:pPr>
              <w:pStyle w:val="TableParagraph"/>
              <w:spacing w:before="104"/>
              <w:rPr>
                <w:b/>
                <w:sz w:val="18"/>
              </w:rPr>
            </w:pPr>
          </w:p>
          <w:p>
            <w:pPr>
              <w:pStyle w:val="TableParagraph"/>
              <w:ind w:left="21" w:right="11"/>
              <w:jc w:val="center"/>
              <w:rPr>
                <w:sz w:val="18"/>
              </w:rPr>
            </w:pPr>
            <w:r>
              <w:rPr>
                <w:spacing w:val="-10"/>
                <w:sz w:val="18"/>
              </w:rPr>
              <w:t>4</w:t>
            </w:r>
          </w:p>
        </w:tc>
        <w:tc>
          <w:tcPr>
            <w:tcW w:w="1134" w:type="dxa"/>
          </w:tcPr>
          <w:p>
            <w:pPr>
              <w:pStyle w:val="TableParagraph"/>
              <w:rPr>
                <w:rFonts w:ascii="Times New Roman"/>
                <w:sz w:val="18"/>
              </w:rPr>
            </w:pPr>
          </w:p>
        </w:tc>
        <w:tc>
          <w:tcPr>
            <w:tcW w:w="1278" w:type="dxa"/>
          </w:tcPr>
          <w:p>
            <w:pPr>
              <w:pStyle w:val="TableParagraph"/>
              <w:rPr>
                <w:b/>
                <w:sz w:val="18"/>
              </w:rPr>
            </w:pPr>
          </w:p>
          <w:p>
            <w:pPr>
              <w:pStyle w:val="TableParagraph"/>
              <w:spacing w:before="104"/>
              <w:rPr>
                <w:b/>
                <w:sz w:val="18"/>
              </w:rPr>
            </w:pPr>
          </w:p>
          <w:p>
            <w:pPr>
              <w:pStyle w:val="TableParagraph"/>
              <w:ind w:left="21" w:right="15"/>
              <w:jc w:val="center"/>
              <w:rPr>
                <w:sz w:val="18"/>
              </w:rPr>
            </w:pPr>
            <w:r>
              <w:rPr>
                <w:spacing w:val="-10"/>
                <w:sz w:val="18"/>
              </w:rPr>
              <w:t>6</w:t>
            </w: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spacing w:before="104"/>
              <w:rPr>
                <w:b/>
                <w:sz w:val="18"/>
              </w:rPr>
            </w:pPr>
          </w:p>
          <w:p>
            <w:pPr>
              <w:pStyle w:val="TableParagraph"/>
              <w:ind w:left="21" w:right="18"/>
              <w:jc w:val="center"/>
              <w:rPr>
                <w:sz w:val="18"/>
              </w:rPr>
            </w:pPr>
            <w:r>
              <w:rPr>
                <w:spacing w:val="-10"/>
                <w:sz w:val="18"/>
              </w:rPr>
              <w:t>8</w:t>
            </w:r>
          </w:p>
        </w:tc>
        <w:tc>
          <w:tcPr>
            <w:tcW w:w="1279" w:type="dxa"/>
          </w:tcPr>
          <w:p>
            <w:pPr>
              <w:pStyle w:val="TableParagraph"/>
              <w:rPr>
                <w:rFonts w:ascii="Times New Roman"/>
                <w:sz w:val="18"/>
              </w:rPr>
            </w:pPr>
          </w:p>
        </w:tc>
      </w:tr>
      <w:tr>
        <w:trPr>
          <w:trHeight w:val="1448" w:hRule="atLeast"/>
        </w:trPr>
        <w:tc>
          <w:tcPr>
            <w:tcW w:w="2790" w:type="dxa"/>
          </w:tcPr>
          <w:p>
            <w:pPr>
              <w:pStyle w:val="TableParagraph"/>
              <w:spacing w:line="207" w:lineRule="exact" w:before="103"/>
              <w:ind w:left="77"/>
              <w:rPr>
                <w:b/>
                <w:sz w:val="18"/>
              </w:rPr>
            </w:pPr>
            <w:r>
              <w:rPr>
                <w:b/>
                <w:sz w:val="18"/>
              </w:rPr>
              <w:t>Actividad</w:t>
            </w:r>
            <w:r>
              <w:rPr>
                <w:b/>
                <w:spacing w:val="-6"/>
                <w:sz w:val="18"/>
              </w:rPr>
              <w:t> </w:t>
            </w:r>
            <w:r>
              <w:rPr>
                <w:b/>
                <w:sz w:val="18"/>
              </w:rPr>
              <w:t>PAC</w:t>
            </w:r>
            <w:r>
              <w:rPr>
                <w:b/>
                <w:spacing w:val="-2"/>
                <w:sz w:val="18"/>
              </w:rPr>
              <w:t> 2.27.2:</w:t>
            </w:r>
          </w:p>
          <w:p>
            <w:pPr>
              <w:pStyle w:val="TableParagraph"/>
              <w:ind w:left="77" w:right="81"/>
              <w:rPr>
                <w:sz w:val="18"/>
              </w:rPr>
            </w:pPr>
            <w:r>
              <w:rPr>
                <w:sz w:val="18"/>
              </w:rPr>
              <w:t>Incluir</w:t>
            </w:r>
            <w:r>
              <w:rPr>
                <w:spacing w:val="-7"/>
                <w:sz w:val="18"/>
              </w:rPr>
              <w:t> </w:t>
            </w:r>
            <w:r>
              <w:rPr>
                <w:sz w:val="18"/>
              </w:rPr>
              <w:t>en</w:t>
            </w:r>
            <w:r>
              <w:rPr>
                <w:spacing w:val="-9"/>
                <w:sz w:val="18"/>
              </w:rPr>
              <w:t> </w:t>
            </w:r>
            <w:r>
              <w:rPr>
                <w:sz w:val="18"/>
              </w:rPr>
              <w:t>el</w:t>
            </w:r>
            <w:r>
              <w:rPr>
                <w:spacing w:val="-6"/>
                <w:sz w:val="18"/>
              </w:rPr>
              <w:t> </w:t>
            </w:r>
            <w:r>
              <w:rPr>
                <w:sz w:val="18"/>
              </w:rPr>
              <w:t>informe</w:t>
            </w:r>
            <w:r>
              <w:rPr>
                <w:spacing w:val="-9"/>
                <w:sz w:val="18"/>
              </w:rPr>
              <w:t> </w:t>
            </w:r>
            <w:r>
              <w:rPr>
                <w:sz w:val="18"/>
              </w:rPr>
              <w:t>de</w:t>
            </w:r>
            <w:r>
              <w:rPr>
                <w:spacing w:val="-5"/>
                <w:sz w:val="18"/>
              </w:rPr>
              <w:t> </w:t>
            </w:r>
            <w:r>
              <w:rPr>
                <w:sz w:val="18"/>
              </w:rPr>
              <w:t>ejecución presupuestaria un resumen de los resultados de la aplicación</w:t>
            </w:r>
            <w:r>
              <w:rPr>
                <w:spacing w:val="40"/>
                <w:sz w:val="18"/>
              </w:rPr>
              <w:t> </w:t>
            </w:r>
            <w:r>
              <w:rPr>
                <w:sz w:val="18"/>
              </w:rPr>
              <w:t>de los indicadores de gestión </w:t>
            </w:r>
            <w:r>
              <w:rPr>
                <w:spacing w:val="-2"/>
                <w:sz w:val="18"/>
              </w:rPr>
              <w:t>presupuestaria.</w:t>
            </w:r>
          </w:p>
        </w:tc>
        <w:tc>
          <w:tcPr>
            <w:tcW w:w="1820" w:type="dxa"/>
          </w:tcPr>
          <w:p>
            <w:pPr>
              <w:pStyle w:val="TableParagraph"/>
              <w:ind w:left="71" w:right="103"/>
              <w:rPr>
                <w:sz w:val="18"/>
              </w:rPr>
            </w:pPr>
            <w:r>
              <w:rPr>
                <w:sz w:val="18"/>
              </w:rPr>
              <w:t>Cantidad de informes de ejecución con resultados de la aplicación</w:t>
            </w:r>
            <w:r>
              <w:rPr>
                <w:spacing w:val="-15"/>
                <w:sz w:val="18"/>
              </w:rPr>
              <w:t> </w:t>
            </w:r>
            <w:r>
              <w:rPr>
                <w:sz w:val="18"/>
              </w:rPr>
              <w:t>de</w:t>
            </w:r>
            <w:r>
              <w:rPr>
                <w:spacing w:val="-12"/>
                <w:sz w:val="18"/>
              </w:rPr>
              <w:t> </w:t>
            </w:r>
            <w:r>
              <w:rPr>
                <w:sz w:val="18"/>
              </w:rPr>
              <w:t>los</w:t>
            </w:r>
          </w:p>
          <w:p>
            <w:pPr>
              <w:pStyle w:val="TableParagraph"/>
              <w:spacing w:line="206" w:lineRule="exact"/>
              <w:ind w:left="71"/>
              <w:rPr>
                <w:sz w:val="18"/>
              </w:rPr>
            </w:pPr>
            <w:r>
              <w:rPr>
                <w:sz w:val="18"/>
              </w:rPr>
              <w:t>indicadores</w:t>
            </w:r>
            <w:r>
              <w:rPr>
                <w:spacing w:val="-13"/>
                <w:sz w:val="18"/>
              </w:rPr>
              <w:t> </w:t>
            </w:r>
            <w:r>
              <w:rPr>
                <w:sz w:val="18"/>
              </w:rPr>
              <w:t>de </w:t>
            </w:r>
            <w:r>
              <w:rPr>
                <w:spacing w:val="-2"/>
                <w:sz w:val="18"/>
              </w:rPr>
              <w:t>gestión.</w:t>
            </w:r>
          </w:p>
        </w:tc>
        <w:tc>
          <w:tcPr>
            <w:tcW w:w="1249" w:type="dxa"/>
          </w:tcPr>
          <w:p>
            <w:pPr>
              <w:pStyle w:val="TableParagraph"/>
              <w:rPr>
                <w:b/>
                <w:sz w:val="18"/>
              </w:rPr>
            </w:pPr>
          </w:p>
          <w:p>
            <w:pPr>
              <w:pStyle w:val="TableParagraph"/>
              <w:rPr>
                <w:b/>
                <w:sz w:val="18"/>
              </w:rPr>
            </w:pPr>
          </w:p>
          <w:p>
            <w:pPr>
              <w:pStyle w:val="TableParagraph"/>
              <w:rPr>
                <w:b/>
                <w:sz w:val="18"/>
              </w:rPr>
            </w:pPr>
          </w:p>
          <w:p>
            <w:pPr>
              <w:pStyle w:val="TableParagraph"/>
              <w:ind w:left="14"/>
              <w:jc w:val="center"/>
              <w:rPr>
                <w:sz w:val="18"/>
              </w:rPr>
            </w:pPr>
            <w:r>
              <w:rPr>
                <w:spacing w:val="-10"/>
                <w:sz w:val="18"/>
              </w:rPr>
              <w:t>1</w:t>
            </w: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rFonts w:ascii="Times New Roman"/>
                <w:sz w:val="18"/>
              </w:rPr>
            </w:pPr>
          </w:p>
        </w:tc>
        <w:tc>
          <w:tcPr>
            <w:tcW w:w="1279" w:type="dxa"/>
          </w:tcPr>
          <w:p>
            <w:pPr>
              <w:pStyle w:val="TableParagraph"/>
              <w:rPr>
                <w:rFonts w:ascii="Times New Roman"/>
                <w:sz w:val="18"/>
              </w:rPr>
            </w:pPr>
          </w:p>
        </w:tc>
      </w:tr>
      <w:tr>
        <w:trPr>
          <w:trHeight w:val="1655" w:hRule="atLeast"/>
        </w:trPr>
        <w:tc>
          <w:tcPr>
            <w:tcW w:w="2790" w:type="dxa"/>
          </w:tcPr>
          <w:p>
            <w:pPr>
              <w:pStyle w:val="TableParagraph"/>
              <w:spacing w:before="204"/>
              <w:rPr>
                <w:b/>
                <w:sz w:val="18"/>
              </w:rPr>
            </w:pPr>
          </w:p>
          <w:p>
            <w:pPr>
              <w:pStyle w:val="TableParagraph"/>
              <w:spacing w:line="207" w:lineRule="exact"/>
              <w:ind w:left="77"/>
              <w:rPr>
                <w:b/>
                <w:sz w:val="18"/>
              </w:rPr>
            </w:pPr>
            <w:r>
              <w:rPr>
                <w:b/>
                <w:sz w:val="18"/>
              </w:rPr>
              <w:t>Actividad</w:t>
            </w:r>
            <w:r>
              <w:rPr>
                <w:b/>
                <w:spacing w:val="-6"/>
                <w:sz w:val="18"/>
              </w:rPr>
              <w:t> </w:t>
            </w:r>
            <w:r>
              <w:rPr>
                <w:b/>
                <w:sz w:val="18"/>
              </w:rPr>
              <w:t>PAC</w:t>
            </w:r>
            <w:r>
              <w:rPr>
                <w:b/>
                <w:spacing w:val="-2"/>
                <w:sz w:val="18"/>
              </w:rPr>
              <w:t> 2.27.3:</w:t>
            </w:r>
          </w:p>
          <w:p>
            <w:pPr>
              <w:pStyle w:val="TableParagraph"/>
              <w:spacing w:line="242" w:lineRule="auto"/>
              <w:ind w:left="77"/>
              <w:rPr>
                <w:sz w:val="18"/>
              </w:rPr>
            </w:pPr>
            <w:r>
              <w:rPr>
                <w:sz w:val="18"/>
              </w:rPr>
              <w:t>Verificar</w:t>
            </w:r>
            <w:r>
              <w:rPr>
                <w:spacing w:val="-9"/>
                <w:sz w:val="18"/>
              </w:rPr>
              <w:t> </w:t>
            </w:r>
            <w:r>
              <w:rPr>
                <w:sz w:val="18"/>
              </w:rPr>
              <w:t>la</w:t>
            </w:r>
            <w:r>
              <w:rPr>
                <w:spacing w:val="-11"/>
                <w:sz w:val="18"/>
              </w:rPr>
              <w:t> </w:t>
            </w:r>
            <w:r>
              <w:rPr>
                <w:sz w:val="18"/>
              </w:rPr>
              <w:t>cantidad</w:t>
            </w:r>
            <w:r>
              <w:rPr>
                <w:spacing w:val="-8"/>
                <w:sz w:val="18"/>
              </w:rPr>
              <w:t> </w:t>
            </w:r>
            <w:r>
              <w:rPr>
                <w:sz w:val="18"/>
              </w:rPr>
              <w:t>de</w:t>
            </w:r>
            <w:r>
              <w:rPr>
                <w:spacing w:val="-8"/>
                <w:sz w:val="18"/>
              </w:rPr>
              <w:t> </w:t>
            </w:r>
            <w:r>
              <w:rPr>
                <w:sz w:val="18"/>
              </w:rPr>
              <w:t>unidades que aplican los indicadores de ejecución presupuestaria.</w:t>
            </w:r>
          </w:p>
        </w:tc>
        <w:tc>
          <w:tcPr>
            <w:tcW w:w="1820" w:type="dxa"/>
          </w:tcPr>
          <w:p>
            <w:pPr>
              <w:pStyle w:val="TableParagraph"/>
              <w:ind w:left="71" w:right="103"/>
              <w:rPr>
                <w:sz w:val="18"/>
              </w:rPr>
            </w:pPr>
            <w:r>
              <w:rPr>
                <w:sz w:val="18"/>
              </w:rPr>
              <w:t>Porcentaje de unidades que </w:t>
            </w:r>
            <w:r>
              <w:rPr>
                <w:spacing w:val="-2"/>
                <w:sz w:val="18"/>
              </w:rPr>
              <w:t>registran </w:t>
            </w:r>
            <w:r>
              <w:rPr>
                <w:sz w:val="18"/>
              </w:rPr>
              <w:t>presupuesto con enfoque de resultados</w:t>
            </w:r>
            <w:r>
              <w:rPr>
                <w:spacing w:val="-15"/>
                <w:sz w:val="18"/>
              </w:rPr>
              <w:t> </w:t>
            </w:r>
            <w:r>
              <w:rPr>
                <w:sz w:val="18"/>
              </w:rPr>
              <w:t>y</w:t>
            </w:r>
            <w:r>
              <w:rPr>
                <w:spacing w:val="-12"/>
                <w:sz w:val="18"/>
              </w:rPr>
              <w:t> </w:t>
            </w:r>
            <w:r>
              <w:rPr>
                <w:sz w:val="18"/>
              </w:rPr>
              <w:t>género </w:t>
            </w:r>
            <w:r>
              <w:rPr>
                <w:spacing w:val="-2"/>
                <w:sz w:val="18"/>
              </w:rPr>
              <w:t>aplicando</w:t>
            </w:r>
          </w:p>
          <w:p>
            <w:pPr>
              <w:pStyle w:val="TableParagraph"/>
              <w:spacing w:line="187" w:lineRule="exact"/>
              <w:ind w:left="71"/>
              <w:rPr>
                <w:sz w:val="18"/>
              </w:rPr>
            </w:pPr>
            <w:r>
              <w:rPr>
                <w:spacing w:val="-2"/>
                <w:sz w:val="18"/>
              </w:rPr>
              <w:t>indicadores.</w:t>
            </w:r>
          </w:p>
        </w:tc>
        <w:tc>
          <w:tcPr>
            <w:tcW w:w="1249" w:type="dxa"/>
          </w:tcPr>
          <w:p>
            <w:pPr>
              <w:pStyle w:val="TableParagraph"/>
              <w:rPr>
                <w:rFonts w:ascii="Times New Roman"/>
                <w:sz w:val="18"/>
              </w:rPr>
            </w:pP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1" w:right="16"/>
              <w:jc w:val="center"/>
              <w:rPr>
                <w:sz w:val="18"/>
              </w:rPr>
            </w:pPr>
            <w:r>
              <w:rPr>
                <w:spacing w:val="-5"/>
                <w:sz w:val="18"/>
              </w:rPr>
              <w:t>60%</w:t>
            </w:r>
          </w:p>
        </w:tc>
        <w:tc>
          <w:tcPr>
            <w:tcW w:w="1279" w:type="dxa"/>
          </w:tcPr>
          <w:p>
            <w:pPr>
              <w:pStyle w:val="TableParagraph"/>
              <w:rPr>
                <w:rFonts w:ascii="Times New Roman"/>
                <w:sz w:val="18"/>
              </w:rPr>
            </w:pPr>
          </w:p>
        </w:tc>
      </w:tr>
      <w:tr>
        <w:trPr>
          <w:trHeight w:val="508" w:hRule="atLeast"/>
        </w:trPr>
        <w:tc>
          <w:tcPr>
            <w:tcW w:w="14326" w:type="dxa"/>
            <w:gridSpan w:val="10"/>
            <w:shd w:val="clear" w:color="auto" w:fill="EFF8F9"/>
          </w:tcPr>
          <w:p>
            <w:pPr>
              <w:pStyle w:val="TableParagraph"/>
              <w:spacing w:before="152"/>
              <w:ind w:left="77"/>
              <w:rPr>
                <w:b/>
                <w:sz w:val="18"/>
              </w:rPr>
            </w:pPr>
            <w:r>
              <w:rPr>
                <w:b/>
                <w:sz w:val="18"/>
              </w:rPr>
              <w:t>Producto</w:t>
            </w:r>
            <w:r>
              <w:rPr>
                <w:b/>
                <w:spacing w:val="-9"/>
                <w:sz w:val="18"/>
              </w:rPr>
              <w:t> </w:t>
            </w:r>
            <w:r>
              <w:rPr>
                <w:b/>
                <w:sz w:val="18"/>
              </w:rPr>
              <w:t>PAC</w:t>
            </w:r>
            <w:r>
              <w:rPr>
                <w:b/>
                <w:spacing w:val="-8"/>
                <w:sz w:val="18"/>
              </w:rPr>
              <w:t> </w:t>
            </w:r>
            <w:r>
              <w:rPr>
                <w:b/>
                <w:sz w:val="18"/>
              </w:rPr>
              <w:t>2.28:</w:t>
            </w:r>
            <w:r>
              <w:rPr>
                <w:b/>
                <w:spacing w:val="-4"/>
                <w:sz w:val="18"/>
              </w:rPr>
              <w:t> </w:t>
            </w:r>
            <w:r>
              <w:rPr>
                <w:b/>
                <w:sz w:val="18"/>
              </w:rPr>
              <w:t>Prioridades</w:t>
            </w:r>
            <w:r>
              <w:rPr>
                <w:b/>
                <w:spacing w:val="-7"/>
                <w:sz w:val="18"/>
              </w:rPr>
              <w:t> </w:t>
            </w:r>
            <w:r>
              <w:rPr>
                <w:b/>
                <w:sz w:val="18"/>
              </w:rPr>
              <w:t>regionales</w:t>
            </w:r>
            <w:r>
              <w:rPr>
                <w:b/>
                <w:spacing w:val="-8"/>
                <w:sz w:val="18"/>
              </w:rPr>
              <w:t> </w:t>
            </w:r>
            <w:r>
              <w:rPr>
                <w:b/>
                <w:sz w:val="18"/>
              </w:rPr>
              <w:t>de</w:t>
            </w:r>
            <w:r>
              <w:rPr>
                <w:b/>
                <w:spacing w:val="-7"/>
                <w:sz w:val="18"/>
              </w:rPr>
              <w:t> </w:t>
            </w:r>
            <w:r>
              <w:rPr>
                <w:b/>
                <w:sz w:val="18"/>
              </w:rPr>
              <w:t>infraestructura</w:t>
            </w:r>
            <w:r>
              <w:rPr>
                <w:b/>
                <w:spacing w:val="-7"/>
                <w:sz w:val="18"/>
              </w:rPr>
              <w:t> </w:t>
            </w:r>
            <w:r>
              <w:rPr>
                <w:b/>
                <w:sz w:val="18"/>
              </w:rPr>
              <w:t>física</w:t>
            </w:r>
            <w:r>
              <w:rPr>
                <w:b/>
                <w:spacing w:val="-7"/>
                <w:sz w:val="18"/>
              </w:rPr>
              <w:t> </w:t>
            </w:r>
            <w:r>
              <w:rPr>
                <w:b/>
                <w:sz w:val="18"/>
              </w:rPr>
              <w:t>regional</w:t>
            </w:r>
            <w:r>
              <w:rPr>
                <w:b/>
                <w:spacing w:val="-1"/>
                <w:sz w:val="18"/>
              </w:rPr>
              <w:t> </w:t>
            </w:r>
            <w:r>
              <w:rPr>
                <w:b/>
                <w:sz w:val="18"/>
              </w:rPr>
              <w:t>y</w:t>
            </w:r>
            <w:r>
              <w:rPr>
                <w:b/>
                <w:spacing w:val="-7"/>
                <w:sz w:val="18"/>
              </w:rPr>
              <w:t> </w:t>
            </w:r>
            <w:r>
              <w:rPr>
                <w:b/>
                <w:sz w:val="18"/>
              </w:rPr>
              <w:t>territorial</w:t>
            </w:r>
            <w:r>
              <w:rPr>
                <w:b/>
                <w:spacing w:val="-6"/>
                <w:sz w:val="18"/>
              </w:rPr>
              <w:t> </w:t>
            </w:r>
            <w:r>
              <w:rPr>
                <w:b/>
                <w:sz w:val="18"/>
              </w:rPr>
              <w:t>identificadas.</w:t>
            </w:r>
            <w:r>
              <w:rPr>
                <w:b/>
                <w:spacing w:val="-5"/>
                <w:sz w:val="18"/>
              </w:rPr>
              <w:t> </w:t>
            </w:r>
            <w:r>
              <w:rPr>
                <w:b/>
                <w:sz w:val="18"/>
              </w:rPr>
              <w:t>(E3</w:t>
            </w:r>
            <w:r>
              <w:rPr>
                <w:b/>
                <w:spacing w:val="-4"/>
                <w:sz w:val="18"/>
              </w:rPr>
              <w:t> </w:t>
            </w:r>
            <w:r>
              <w:rPr>
                <w:b/>
                <w:sz w:val="18"/>
              </w:rPr>
              <w:t>AE12</w:t>
            </w:r>
            <w:r>
              <w:rPr>
                <w:b/>
                <w:spacing w:val="-7"/>
                <w:sz w:val="18"/>
              </w:rPr>
              <w:t> </w:t>
            </w:r>
            <w:r>
              <w:rPr>
                <w:b/>
                <w:sz w:val="18"/>
              </w:rPr>
              <w:t>R1)</w:t>
            </w:r>
            <w:r>
              <w:rPr>
                <w:b/>
                <w:spacing w:val="-1"/>
                <w:sz w:val="18"/>
              </w:rPr>
              <w:t> </w:t>
            </w:r>
            <w:r>
              <w:rPr>
                <w:b/>
                <w:sz w:val="18"/>
              </w:rPr>
              <w:t>60%</w:t>
            </w:r>
            <w:r>
              <w:rPr>
                <w:b/>
                <w:spacing w:val="-11"/>
                <w:sz w:val="18"/>
              </w:rPr>
              <w:t> </w:t>
            </w:r>
            <w:r>
              <w:rPr>
                <w:b/>
                <w:sz w:val="18"/>
              </w:rPr>
              <w:t>al</w:t>
            </w:r>
            <w:r>
              <w:rPr>
                <w:b/>
                <w:spacing w:val="-6"/>
                <w:sz w:val="18"/>
              </w:rPr>
              <w:t> </w:t>
            </w:r>
            <w:r>
              <w:rPr>
                <w:b/>
                <w:spacing w:val="-4"/>
                <w:sz w:val="18"/>
              </w:rPr>
              <w:t>2026</w:t>
            </w:r>
          </w:p>
        </w:tc>
      </w:tr>
      <w:tr>
        <w:trPr>
          <w:trHeight w:val="1425" w:hRule="atLeast"/>
        </w:trPr>
        <w:tc>
          <w:tcPr>
            <w:tcW w:w="2790" w:type="dxa"/>
          </w:tcPr>
          <w:p>
            <w:pPr>
              <w:pStyle w:val="TableParagraph"/>
              <w:spacing w:before="195"/>
              <w:ind w:left="77" w:right="89"/>
              <w:rPr>
                <w:sz w:val="18"/>
              </w:rPr>
            </w:pPr>
            <w:r>
              <w:rPr>
                <w:b/>
                <w:sz w:val="18"/>
              </w:rPr>
              <w:t>Actividad PAC 2.28.1: </w:t>
            </w:r>
            <w:r>
              <w:rPr>
                <w:sz w:val="18"/>
              </w:rPr>
              <w:t>Actualizar la información presupuestaria</w:t>
            </w:r>
            <w:r>
              <w:rPr>
                <w:spacing w:val="-12"/>
                <w:sz w:val="18"/>
              </w:rPr>
              <w:t> </w:t>
            </w:r>
            <w:r>
              <w:rPr>
                <w:sz w:val="18"/>
              </w:rPr>
              <w:t>de</w:t>
            </w:r>
            <w:r>
              <w:rPr>
                <w:spacing w:val="-7"/>
                <w:sz w:val="18"/>
              </w:rPr>
              <w:t> </w:t>
            </w:r>
            <w:r>
              <w:rPr>
                <w:sz w:val="18"/>
              </w:rPr>
              <w:t>la</w:t>
            </w:r>
            <w:r>
              <w:rPr>
                <w:spacing w:val="-13"/>
                <w:sz w:val="18"/>
              </w:rPr>
              <w:t> </w:t>
            </w:r>
            <w:r>
              <w:rPr>
                <w:sz w:val="18"/>
              </w:rPr>
              <w:t>matriz</w:t>
            </w:r>
            <w:r>
              <w:rPr>
                <w:spacing w:val="-5"/>
                <w:sz w:val="18"/>
              </w:rPr>
              <w:t> </w:t>
            </w:r>
            <w:r>
              <w:rPr>
                <w:sz w:val="18"/>
              </w:rPr>
              <w:t>de Seguimiento de Proyectos de </w:t>
            </w:r>
            <w:r>
              <w:rPr>
                <w:spacing w:val="-2"/>
                <w:sz w:val="18"/>
              </w:rPr>
              <w:t>Infraestructura.</w:t>
            </w:r>
          </w:p>
        </w:tc>
        <w:tc>
          <w:tcPr>
            <w:tcW w:w="1820" w:type="dxa"/>
          </w:tcPr>
          <w:p>
            <w:pPr>
              <w:pStyle w:val="TableParagraph"/>
              <w:spacing w:before="195"/>
              <w:ind w:left="71" w:right="18"/>
              <w:rPr>
                <w:sz w:val="18"/>
              </w:rPr>
            </w:pPr>
            <w:r>
              <w:rPr>
                <w:sz w:val="18"/>
              </w:rPr>
              <w:t>Cantidad de actualizaciones</w:t>
            </w:r>
            <w:r>
              <w:rPr>
                <w:spacing w:val="-15"/>
                <w:sz w:val="18"/>
              </w:rPr>
              <w:t> </w:t>
            </w:r>
            <w:r>
              <w:rPr>
                <w:sz w:val="18"/>
              </w:rPr>
              <w:t>de</w:t>
            </w:r>
            <w:r>
              <w:rPr>
                <w:spacing w:val="-12"/>
                <w:sz w:val="18"/>
              </w:rPr>
              <w:t> </w:t>
            </w:r>
            <w:r>
              <w:rPr>
                <w:sz w:val="18"/>
              </w:rPr>
              <w:t>la matriz de Seguimiento de </w:t>
            </w:r>
            <w:r>
              <w:rPr>
                <w:spacing w:val="-2"/>
                <w:sz w:val="18"/>
              </w:rPr>
              <w:t>Proyectos.</w:t>
            </w:r>
          </w:p>
        </w:tc>
        <w:tc>
          <w:tcPr>
            <w:tcW w:w="1249" w:type="dxa"/>
          </w:tcPr>
          <w:p>
            <w:pPr>
              <w:pStyle w:val="TableParagraph"/>
              <w:rPr>
                <w:rFonts w:ascii="Times New Roman"/>
                <w:sz w:val="18"/>
              </w:rPr>
            </w:pPr>
          </w:p>
        </w:tc>
        <w:tc>
          <w:tcPr>
            <w:tcW w:w="1278" w:type="dxa"/>
          </w:tcPr>
          <w:p>
            <w:pPr>
              <w:pStyle w:val="TableParagraph"/>
              <w:rPr>
                <w:rFonts w:ascii="Times New Roman"/>
                <w:sz w:val="18"/>
              </w:rPr>
            </w:pPr>
          </w:p>
        </w:tc>
        <w:tc>
          <w:tcPr>
            <w:tcW w:w="1182" w:type="dxa"/>
          </w:tcPr>
          <w:p>
            <w:pPr>
              <w:pStyle w:val="TableParagraph"/>
              <w:rPr>
                <w:b/>
                <w:sz w:val="18"/>
              </w:rPr>
            </w:pPr>
          </w:p>
          <w:p>
            <w:pPr>
              <w:pStyle w:val="TableParagraph"/>
              <w:spacing w:before="194"/>
              <w:rPr>
                <w:b/>
                <w:sz w:val="18"/>
              </w:rPr>
            </w:pPr>
          </w:p>
          <w:p>
            <w:pPr>
              <w:pStyle w:val="TableParagraph"/>
              <w:ind w:left="21" w:right="11"/>
              <w:jc w:val="center"/>
              <w:rPr>
                <w:sz w:val="18"/>
              </w:rPr>
            </w:pPr>
            <w:r>
              <w:rPr>
                <w:spacing w:val="-10"/>
                <w:sz w:val="18"/>
              </w:rPr>
              <w:t>1</w:t>
            </w: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spacing w:before="194"/>
              <w:rPr>
                <w:b/>
                <w:sz w:val="18"/>
              </w:rPr>
            </w:pPr>
          </w:p>
          <w:p>
            <w:pPr>
              <w:pStyle w:val="TableParagraph"/>
              <w:ind w:left="21" w:right="18"/>
              <w:jc w:val="center"/>
              <w:rPr>
                <w:sz w:val="18"/>
              </w:rPr>
            </w:pPr>
            <w:r>
              <w:rPr>
                <w:spacing w:val="-10"/>
                <w:sz w:val="18"/>
              </w:rPr>
              <w:t>2</w:t>
            </w:r>
          </w:p>
        </w:tc>
        <w:tc>
          <w:tcPr>
            <w:tcW w:w="1279" w:type="dxa"/>
          </w:tcPr>
          <w:p>
            <w:pPr>
              <w:pStyle w:val="TableParagraph"/>
              <w:rPr>
                <w:rFonts w:ascii="Times New Roman"/>
                <w:sz w:val="18"/>
              </w:rPr>
            </w:pPr>
          </w:p>
        </w:tc>
      </w:tr>
      <w:tr>
        <w:trPr>
          <w:trHeight w:val="1080" w:hRule="atLeast"/>
        </w:trPr>
        <w:tc>
          <w:tcPr>
            <w:tcW w:w="2790" w:type="dxa"/>
          </w:tcPr>
          <w:p>
            <w:pPr>
              <w:pStyle w:val="TableParagraph"/>
              <w:spacing w:before="128"/>
              <w:ind w:left="77" w:right="244"/>
              <w:rPr>
                <w:sz w:val="18"/>
              </w:rPr>
            </w:pPr>
            <w:r>
              <w:rPr>
                <w:b/>
                <w:sz w:val="18"/>
              </w:rPr>
              <w:t>Actividad PAC 2.28.2:</w:t>
            </w:r>
            <w:r>
              <w:rPr>
                <w:b/>
                <w:spacing w:val="40"/>
                <w:sz w:val="18"/>
              </w:rPr>
              <w:t> </w:t>
            </w:r>
            <w:r>
              <w:rPr>
                <w:sz w:val="18"/>
              </w:rPr>
              <w:t>Ajustar las prioridades de infraestructura</w:t>
            </w:r>
            <w:r>
              <w:rPr>
                <w:spacing w:val="-13"/>
                <w:sz w:val="18"/>
              </w:rPr>
              <w:t> </w:t>
            </w:r>
            <w:r>
              <w:rPr>
                <w:sz w:val="18"/>
              </w:rPr>
              <w:t>física</w:t>
            </w:r>
            <w:r>
              <w:rPr>
                <w:spacing w:val="-12"/>
                <w:sz w:val="18"/>
              </w:rPr>
              <w:t> </w:t>
            </w:r>
            <w:r>
              <w:rPr>
                <w:sz w:val="18"/>
              </w:rPr>
              <w:t>regional</w:t>
            </w:r>
            <w:r>
              <w:rPr>
                <w:spacing w:val="-8"/>
                <w:sz w:val="18"/>
              </w:rPr>
              <w:t> </w:t>
            </w:r>
            <w:r>
              <w:rPr>
                <w:sz w:val="18"/>
              </w:rPr>
              <w:t>y </w:t>
            </w:r>
            <w:r>
              <w:rPr>
                <w:spacing w:val="-2"/>
                <w:sz w:val="18"/>
              </w:rPr>
              <w:t>territorial.</w:t>
            </w:r>
          </w:p>
        </w:tc>
        <w:tc>
          <w:tcPr>
            <w:tcW w:w="1820" w:type="dxa"/>
          </w:tcPr>
          <w:p>
            <w:pPr>
              <w:pStyle w:val="TableParagraph"/>
              <w:spacing w:before="128"/>
              <w:ind w:left="71" w:right="64"/>
              <w:rPr>
                <w:sz w:val="18"/>
              </w:rPr>
            </w:pPr>
            <w:r>
              <w:rPr>
                <w:sz w:val="18"/>
              </w:rPr>
              <w:t>Cantidad de</w:t>
            </w:r>
            <w:r>
              <w:rPr>
                <w:spacing w:val="40"/>
                <w:sz w:val="18"/>
              </w:rPr>
              <w:t> </w:t>
            </w:r>
            <w:r>
              <w:rPr>
                <w:sz w:val="18"/>
              </w:rPr>
              <w:t>reportes de priorización de infraestructura</w:t>
            </w:r>
            <w:r>
              <w:rPr>
                <w:spacing w:val="-13"/>
                <w:sz w:val="18"/>
              </w:rPr>
              <w:t> </w:t>
            </w:r>
            <w:r>
              <w:rPr>
                <w:sz w:val="18"/>
              </w:rPr>
              <w:t>física.</w:t>
            </w:r>
          </w:p>
        </w:tc>
        <w:tc>
          <w:tcPr>
            <w:tcW w:w="1249" w:type="dxa"/>
          </w:tcPr>
          <w:p>
            <w:pPr>
              <w:pStyle w:val="TableParagraph"/>
              <w:rPr>
                <w:rFonts w:ascii="Times New Roman"/>
                <w:sz w:val="18"/>
              </w:rPr>
            </w:pP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spacing w:before="21"/>
              <w:rPr>
                <w:b/>
                <w:sz w:val="18"/>
              </w:rPr>
            </w:pPr>
          </w:p>
          <w:p>
            <w:pPr>
              <w:pStyle w:val="TableParagraph"/>
              <w:ind w:left="21" w:right="18"/>
              <w:jc w:val="center"/>
              <w:rPr>
                <w:sz w:val="18"/>
              </w:rPr>
            </w:pPr>
            <w:r>
              <w:rPr>
                <w:spacing w:val="-10"/>
                <w:sz w:val="18"/>
              </w:rPr>
              <w:t>1</w:t>
            </w:r>
          </w:p>
        </w:tc>
        <w:tc>
          <w:tcPr>
            <w:tcW w:w="1279" w:type="dxa"/>
          </w:tcPr>
          <w:p>
            <w:pPr>
              <w:pStyle w:val="TableParagraph"/>
              <w:rPr>
                <w:rFonts w:ascii="Times New Roman"/>
                <w:sz w:val="18"/>
              </w:rPr>
            </w:pPr>
          </w:p>
        </w:tc>
      </w:tr>
      <w:tr>
        <w:trPr>
          <w:trHeight w:val="513" w:hRule="atLeast"/>
        </w:trPr>
        <w:tc>
          <w:tcPr>
            <w:tcW w:w="14326" w:type="dxa"/>
            <w:gridSpan w:val="10"/>
            <w:shd w:val="clear" w:color="auto" w:fill="EFF8F9"/>
          </w:tcPr>
          <w:p>
            <w:pPr>
              <w:pStyle w:val="TableParagraph"/>
              <w:spacing w:before="152"/>
              <w:ind w:left="77"/>
              <w:rPr>
                <w:b/>
                <w:sz w:val="18"/>
              </w:rPr>
            </w:pPr>
            <w:r>
              <w:rPr>
                <w:b/>
                <w:sz w:val="18"/>
              </w:rPr>
              <w:t>Producto</w:t>
            </w:r>
            <w:r>
              <w:rPr>
                <w:b/>
                <w:spacing w:val="-7"/>
                <w:sz w:val="18"/>
              </w:rPr>
              <w:t> </w:t>
            </w:r>
            <w:r>
              <w:rPr>
                <w:b/>
                <w:sz w:val="18"/>
              </w:rPr>
              <w:t>PAC</w:t>
            </w:r>
            <w:r>
              <w:rPr>
                <w:b/>
                <w:spacing w:val="-7"/>
                <w:sz w:val="18"/>
              </w:rPr>
              <w:t> </w:t>
            </w:r>
            <w:r>
              <w:rPr>
                <w:b/>
                <w:sz w:val="18"/>
              </w:rPr>
              <w:t>2.29:</w:t>
            </w:r>
            <w:r>
              <w:rPr>
                <w:b/>
                <w:spacing w:val="-2"/>
                <w:sz w:val="18"/>
              </w:rPr>
              <w:t> </w:t>
            </w:r>
            <w:r>
              <w:rPr>
                <w:b/>
                <w:sz w:val="18"/>
              </w:rPr>
              <w:t>Proyectos</w:t>
            </w:r>
            <w:r>
              <w:rPr>
                <w:b/>
                <w:spacing w:val="-6"/>
                <w:sz w:val="18"/>
              </w:rPr>
              <w:t> </w:t>
            </w:r>
            <w:r>
              <w:rPr>
                <w:b/>
                <w:sz w:val="18"/>
              </w:rPr>
              <w:t>de</w:t>
            </w:r>
            <w:r>
              <w:rPr>
                <w:b/>
                <w:spacing w:val="-6"/>
                <w:sz w:val="18"/>
              </w:rPr>
              <w:t> </w:t>
            </w:r>
            <w:r>
              <w:rPr>
                <w:b/>
                <w:sz w:val="18"/>
              </w:rPr>
              <w:t>infraestructura</w:t>
            </w:r>
            <w:r>
              <w:rPr>
                <w:b/>
                <w:spacing w:val="-5"/>
                <w:sz w:val="18"/>
              </w:rPr>
              <w:t> </w:t>
            </w:r>
            <w:r>
              <w:rPr>
                <w:b/>
                <w:sz w:val="18"/>
              </w:rPr>
              <w:t>física</w:t>
            </w:r>
            <w:r>
              <w:rPr>
                <w:b/>
                <w:spacing w:val="-6"/>
                <w:sz w:val="18"/>
              </w:rPr>
              <w:t> </w:t>
            </w:r>
            <w:r>
              <w:rPr>
                <w:b/>
                <w:sz w:val="18"/>
              </w:rPr>
              <w:t>en</w:t>
            </w:r>
            <w:r>
              <w:rPr>
                <w:b/>
                <w:spacing w:val="-2"/>
                <w:sz w:val="18"/>
              </w:rPr>
              <w:t> </w:t>
            </w:r>
            <w:r>
              <w:rPr>
                <w:b/>
                <w:sz w:val="18"/>
              </w:rPr>
              <w:t>ejecución.</w:t>
            </w:r>
            <w:r>
              <w:rPr>
                <w:b/>
                <w:spacing w:val="42"/>
                <w:sz w:val="18"/>
              </w:rPr>
              <w:t> </w:t>
            </w:r>
            <w:r>
              <w:rPr>
                <w:b/>
                <w:sz w:val="18"/>
              </w:rPr>
              <w:t>(E3</w:t>
            </w:r>
            <w:r>
              <w:rPr>
                <w:b/>
                <w:spacing w:val="-6"/>
                <w:sz w:val="18"/>
              </w:rPr>
              <w:t> </w:t>
            </w:r>
            <w:r>
              <w:rPr>
                <w:b/>
                <w:sz w:val="18"/>
              </w:rPr>
              <w:t>AE12</w:t>
            </w:r>
            <w:r>
              <w:rPr>
                <w:b/>
                <w:spacing w:val="-5"/>
                <w:sz w:val="18"/>
              </w:rPr>
              <w:t> </w:t>
            </w:r>
            <w:r>
              <w:rPr>
                <w:b/>
                <w:sz w:val="18"/>
              </w:rPr>
              <w:t>R2)</w:t>
            </w:r>
            <w:r>
              <w:rPr>
                <w:b/>
                <w:spacing w:val="-4"/>
                <w:sz w:val="18"/>
              </w:rPr>
              <w:t> </w:t>
            </w:r>
            <w:r>
              <w:rPr>
                <w:b/>
                <w:sz w:val="18"/>
              </w:rPr>
              <w:t>60%</w:t>
            </w:r>
            <w:r>
              <w:rPr>
                <w:b/>
                <w:spacing w:val="-5"/>
                <w:sz w:val="18"/>
              </w:rPr>
              <w:t> </w:t>
            </w:r>
            <w:r>
              <w:rPr>
                <w:b/>
                <w:sz w:val="18"/>
              </w:rPr>
              <w:t>al</w:t>
            </w:r>
            <w:r>
              <w:rPr>
                <w:b/>
                <w:spacing w:val="-3"/>
                <w:sz w:val="18"/>
              </w:rPr>
              <w:t> </w:t>
            </w:r>
            <w:r>
              <w:rPr>
                <w:b/>
                <w:spacing w:val="-4"/>
                <w:sz w:val="18"/>
              </w:rPr>
              <w:t>2026</w:t>
            </w:r>
          </w:p>
        </w:tc>
      </w:tr>
    </w:tbl>
    <w:p>
      <w:pPr>
        <w:pStyle w:val="TableParagraph"/>
        <w:spacing w:after="0"/>
        <w:rPr>
          <w:b/>
          <w:sz w:val="18"/>
        </w:rPr>
        <w:sectPr>
          <w:type w:val="continuous"/>
          <w:pgSz w:w="15840" w:h="12240" w:orient="landscape"/>
          <w:pgMar w:header="0" w:footer="1806" w:top="700" w:bottom="2442"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90"/>
        <w:gridCol w:w="1820"/>
        <w:gridCol w:w="1249"/>
        <w:gridCol w:w="1278"/>
        <w:gridCol w:w="1182"/>
        <w:gridCol w:w="1134"/>
        <w:gridCol w:w="1278"/>
        <w:gridCol w:w="1134"/>
        <w:gridCol w:w="1182"/>
        <w:gridCol w:w="1279"/>
      </w:tblGrid>
      <w:tr>
        <w:trPr>
          <w:trHeight w:val="302" w:hRule="atLeast"/>
        </w:trPr>
        <w:tc>
          <w:tcPr>
            <w:tcW w:w="2790" w:type="dxa"/>
            <w:vMerge w:val="restart"/>
            <w:shd w:val="clear" w:color="auto" w:fill="D9D9D9"/>
          </w:tcPr>
          <w:p>
            <w:pPr>
              <w:pStyle w:val="TableParagraph"/>
              <w:spacing w:before="180"/>
              <w:rPr>
                <w:b/>
                <w:sz w:val="18"/>
              </w:rPr>
            </w:pPr>
          </w:p>
          <w:p>
            <w:pPr>
              <w:pStyle w:val="TableParagraph"/>
              <w:ind w:left="427"/>
              <w:rPr>
                <w:b/>
                <w:sz w:val="18"/>
              </w:rPr>
            </w:pPr>
            <w:r>
              <w:rPr>
                <w:b/>
                <w:sz w:val="18"/>
              </w:rPr>
              <w:t>Objetivos</w:t>
            </w:r>
            <w:r>
              <w:rPr>
                <w:b/>
                <w:spacing w:val="-5"/>
                <w:sz w:val="18"/>
              </w:rPr>
              <w:t> </w:t>
            </w:r>
            <w:r>
              <w:rPr>
                <w:b/>
                <w:sz w:val="18"/>
              </w:rPr>
              <w:t>/</w:t>
            </w:r>
            <w:r>
              <w:rPr>
                <w:b/>
                <w:spacing w:val="-2"/>
                <w:sz w:val="18"/>
              </w:rPr>
              <w:t> Resultados</w:t>
            </w:r>
          </w:p>
        </w:tc>
        <w:tc>
          <w:tcPr>
            <w:tcW w:w="1820" w:type="dxa"/>
            <w:vMerge w:val="restart"/>
            <w:shd w:val="clear" w:color="auto" w:fill="D9D9D9"/>
          </w:tcPr>
          <w:p>
            <w:pPr>
              <w:pStyle w:val="TableParagraph"/>
              <w:spacing w:before="180"/>
              <w:rPr>
                <w:b/>
                <w:sz w:val="18"/>
              </w:rPr>
            </w:pPr>
          </w:p>
          <w:p>
            <w:pPr>
              <w:pStyle w:val="TableParagraph"/>
              <w:ind w:left="498"/>
              <w:rPr>
                <w:b/>
                <w:sz w:val="18"/>
              </w:rPr>
            </w:pPr>
            <w:r>
              <w:rPr>
                <w:b/>
                <w:spacing w:val="-2"/>
                <w:sz w:val="18"/>
              </w:rPr>
              <w:t>Indicador</w:t>
            </w:r>
          </w:p>
        </w:tc>
        <w:tc>
          <w:tcPr>
            <w:tcW w:w="2527" w:type="dxa"/>
            <w:gridSpan w:val="2"/>
            <w:shd w:val="clear" w:color="auto" w:fill="D9D9D9"/>
          </w:tcPr>
          <w:p>
            <w:pPr>
              <w:pStyle w:val="TableParagraph"/>
              <w:spacing w:before="47"/>
              <w:ind w:left="796"/>
              <w:rPr>
                <w:b/>
                <w:sz w:val="18"/>
              </w:rPr>
            </w:pPr>
            <w:r>
              <w:rPr>
                <w:b/>
                <w:sz w:val="18"/>
              </w:rPr>
              <w:t>I</w:t>
            </w:r>
            <w:r>
              <w:rPr>
                <w:b/>
                <w:spacing w:val="-1"/>
                <w:sz w:val="18"/>
              </w:rPr>
              <w:t> </w:t>
            </w:r>
            <w:r>
              <w:rPr>
                <w:b/>
                <w:spacing w:val="-2"/>
                <w:sz w:val="18"/>
              </w:rPr>
              <w:t>Trimestre</w:t>
            </w:r>
          </w:p>
        </w:tc>
        <w:tc>
          <w:tcPr>
            <w:tcW w:w="2316" w:type="dxa"/>
            <w:gridSpan w:val="2"/>
            <w:shd w:val="clear" w:color="auto" w:fill="D9D9D9"/>
          </w:tcPr>
          <w:p>
            <w:pPr>
              <w:pStyle w:val="TableParagraph"/>
              <w:spacing w:before="47"/>
              <w:ind w:left="665"/>
              <w:rPr>
                <w:b/>
                <w:sz w:val="18"/>
              </w:rPr>
            </w:pPr>
            <w:r>
              <w:rPr>
                <w:b/>
                <w:sz w:val="18"/>
              </w:rPr>
              <w:t>II</w:t>
            </w:r>
            <w:r>
              <w:rPr>
                <w:b/>
                <w:spacing w:val="-3"/>
                <w:sz w:val="18"/>
              </w:rPr>
              <w:t> </w:t>
            </w:r>
            <w:r>
              <w:rPr>
                <w:b/>
                <w:spacing w:val="-2"/>
                <w:sz w:val="18"/>
              </w:rPr>
              <w:t>Trimestre</w:t>
            </w:r>
          </w:p>
        </w:tc>
        <w:tc>
          <w:tcPr>
            <w:tcW w:w="2412" w:type="dxa"/>
            <w:gridSpan w:val="2"/>
            <w:shd w:val="clear" w:color="auto" w:fill="D9D9D9"/>
          </w:tcPr>
          <w:p>
            <w:pPr>
              <w:pStyle w:val="TableParagraph"/>
              <w:spacing w:before="47"/>
              <w:ind w:left="692"/>
              <w:rPr>
                <w:b/>
                <w:sz w:val="18"/>
              </w:rPr>
            </w:pPr>
            <w:r>
              <w:rPr>
                <w:b/>
                <w:sz w:val="18"/>
              </w:rPr>
              <w:t>III</w:t>
            </w:r>
            <w:r>
              <w:rPr>
                <w:b/>
                <w:spacing w:val="-2"/>
                <w:sz w:val="18"/>
              </w:rPr>
              <w:t> Trimestre</w:t>
            </w:r>
          </w:p>
        </w:tc>
        <w:tc>
          <w:tcPr>
            <w:tcW w:w="2461" w:type="dxa"/>
            <w:gridSpan w:val="2"/>
            <w:shd w:val="clear" w:color="auto" w:fill="D9D9D9"/>
          </w:tcPr>
          <w:p>
            <w:pPr>
              <w:pStyle w:val="TableParagraph"/>
              <w:spacing w:before="47"/>
              <w:ind w:left="700"/>
              <w:rPr>
                <w:b/>
                <w:sz w:val="18"/>
              </w:rPr>
            </w:pPr>
            <w:r>
              <w:rPr>
                <w:b/>
                <w:sz w:val="18"/>
              </w:rPr>
              <w:t>IV</w:t>
            </w:r>
            <w:r>
              <w:rPr>
                <w:b/>
                <w:spacing w:val="-2"/>
                <w:sz w:val="18"/>
              </w:rPr>
              <w:t> Trimestre</w:t>
            </w:r>
          </w:p>
        </w:tc>
      </w:tr>
      <w:tr>
        <w:trPr>
          <w:trHeight w:val="671" w:hRule="atLeast"/>
        </w:trPr>
        <w:tc>
          <w:tcPr>
            <w:tcW w:w="2790" w:type="dxa"/>
            <w:vMerge/>
            <w:tcBorders>
              <w:top w:val="nil"/>
            </w:tcBorders>
            <w:shd w:val="clear" w:color="auto" w:fill="D9D9D9"/>
          </w:tcPr>
          <w:p>
            <w:pPr>
              <w:rPr>
                <w:sz w:val="2"/>
                <w:szCs w:val="2"/>
              </w:rPr>
            </w:pPr>
          </w:p>
        </w:tc>
        <w:tc>
          <w:tcPr>
            <w:tcW w:w="1820" w:type="dxa"/>
            <w:vMerge/>
            <w:tcBorders>
              <w:top w:val="nil"/>
            </w:tcBorders>
            <w:shd w:val="clear" w:color="auto" w:fill="D9D9D9"/>
          </w:tcPr>
          <w:p>
            <w:pPr>
              <w:rPr>
                <w:sz w:val="2"/>
                <w:szCs w:val="2"/>
              </w:rPr>
            </w:pPr>
          </w:p>
        </w:tc>
        <w:tc>
          <w:tcPr>
            <w:tcW w:w="1249" w:type="dxa"/>
            <w:shd w:val="clear" w:color="auto" w:fill="D9D9D9"/>
          </w:tcPr>
          <w:p>
            <w:pPr>
              <w:pStyle w:val="TableParagraph"/>
              <w:spacing w:before="128"/>
              <w:ind w:left="100" w:firstLine="312"/>
              <w:rPr>
                <w:b/>
                <w:sz w:val="18"/>
              </w:rPr>
            </w:pPr>
            <w:r>
              <w:rPr>
                <w:b/>
                <w:spacing w:val="-4"/>
                <w:sz w:val="18"/>
              </w:rPr>
              <w:t>Meta </w:t>
            </w:r>
            <w:r>
              <w:rPr>
                <w:b/>
                <w:spacing w:val="-2"/>
                <w:sz w:val="18"/>
              </w:rPr>
              <w:t>programada</w:t>
            </w:r>
          </w:p>
        </w:tc>
        <w:tc>
          <w:tcPr>
            <w:tcW w:w="1278" w:type="dxa"/>
            <w:shd w:val="clear" w:color="auto" w:fill="D9D9D9"/>
          </w:tcPr>
          <w:p>
            <w:pPr>
              <w:pStyle w:val="TableParagraph"/>
              <w:spacing w:before="22"/>
              <w:rPr>
                <w:b/>
                <w:sz w:val="18"/>
              </w:rPr>
            </w:pPr>
          </w:p>
          <w:p>
            <w:pPr>
              <w:pStyle w:val="TableParagraph"/>
              <w:ind w:left="21" w:right="19"/>
              <w:jc w:val="center"/>
              <w:rPr>
                <w:b/>
                <w:sz w:val="18"/>
              </w:rPr>
            </w:pPr>
            <w:r>
              <w:rPr>
                <w:b/>
                <w:spacing w:val="-10"/>
                <w:sz w:val="18"/>
              </w:rPr>
              <w:t>¢</w:t>
            </w:r>
          </w:p>
        </w:tc>
        <w:tc>
          <w:tcPr>
            <w:tcW w:w="1182" w:type="dxa"/>
            <w:shd w:val="clear" w:color="auto" w:fill="D9D9D9"/>
          </w:tcPr>
          <w:p>
            <w:pPr>
              <w:pStyle w:val="TableParagraph"/>
              <w:spacing w:before="128"/>
              <w:ind w:left="65" w:firstLine="312"/>
              <w:rPr>
                <w:b/>
                <w:sz w:val="18"/>
              </w:rPr>
            </w:pPr>
            <w:r>
              <w:rPr>
                <w:b/>
                <w:spacing w:val="-4"/>
                <w:sz w:val="18"/>
              </w:rPr>
              <w:t>Meta </w:t>
            </w:r>
            <w:r>
              <w:rPr>
                <w:b/>
                <w:spacing w:val="-2"/>
                <w:sz w:val="18"/>
              </w:rPr>
              <w:t>programada</w:t>
            </w:r>
          </w:p>
        </w:tc>
        <w:tc>
          <w:tcPr>
            <w:tcW w:w="1134" w:type="dxa"/>
            <w:shd w:val="clear" w:color="auto" w:fill="D9D9D9"/>
          </w:tcPr>
          <w:p>
            <w:pPr>
              <w:pStyle w:val="TableParagraph"/>
              <w:spacing w:before="22"/>
              <w:rPr>
                <w:b/>
                <w:sz w:val="18"/>
              </w:rPr>
            </w:pPr>
          </w:p>
          <w:p>
            <w:pPr>
              <w:pStyle w:val="TableParagraph"/>
              <w:jc w:val="center"/>
              <w:rPr>
                <w:b/>
                <w:sz w:val="18"/>
              </w:rPr>
            </w:pPr>
            <w:r>
              <w:rPr>
                <w:b/>
                <w:spacing w:val="-10"/>
                <w:sz w:val="18"/>
              </w:rPr>
              <w:t>¢</w:t>
            </w:r>
          </w:p>
        </w:tc>
        <w:tc>
          <w:tcPr>
            <w:tcW w:w="1278" w:type="dxa"/>
            <w:shd w:val="clear" w:color="auto" w:fill="D9D9D9"/>
          </w:tcPr>
          <w:p>
            <w:pPr>
              <w:pStyle w:val="TableParagraph"/>
              <w:spacing w:before="128"/>
              <w:ind w:left="111" w:firstLine="316"/>
              <w:rPr>
                <w:b/>
                <w:sz w:val="18"/>
              </w:rPr>
            </w:pPr>
            <w:r>
              <w:rPr>
                <w:b/>
                <w:spacing w:val="-4"/>
                <w:sz w:val="18"/>
              </w:rPr>
              <w:t>Meta </w:t>
            </w:r>
            <w:r>
              <w:rPr>
                <w:b/>
                <w:spacing w:val="-2"/>
                <w:sz w:val="18"/>
              </w:rPr>
              <w:t>programada</w:t>
            </w:r>
          </w:p>
        </w:tc>
        <w:tc>
          <w:tcPr>
            <w:tcW w:w="1134" w:type="dxa"/>
            <w:shd w:val="clear" w:color="auto" w:fill="D9D9D9"/>
          </w:tcPr>
          <w:p>
            <w:pPr>
              <w:pStyle w:val="TableParagraph"/>
              <w:spacing w:before="22"/>
              <w:rPr>
                <w:b/>
                <w:sz w:val="18"/>
              </w:rPr>
            </w:pPr>
          </w:p>
          <w:p>
            <w:pPr>
              <w:pStyle w:val="TableParagraph"/>
              <w:ind w:right="2"/>
              <w:jc w:val="center"/>
              <w:rPr>
                <w:b/>
                <w:sz w:val="18"/>
              </w:rPr>
            </w:pPr>
            <w:r>
              <w:rPr>
                <w:b/>
                <w:spacing w:val="-10"/>
                <w:sz w:val="18"/>
              </w:rPr>
              <w:t>¢</w:t>
            </w:r>
          </w:p>
        </w:tc>
        <w:tc>
          <w:tcPr>
            <w:tcW w:w="1182" w:type="dxa"/>
            <w:shd w:val="clear" w:color="auto" w:fill="D9D9D9"/>
          </w:tcPr>
          <w:p>
            <w:pPr>
              <w:pStyle w:val="TableParagraph"/>
              <w:spacing w:before="128"/>
              <w:ind w:left="61" w:firstLine="312"/>
              <w:rPr>
                <w:b/>
                <w:sz w:val="18"/>
              </w:rPr>
            </w:pPr>
            <w:r>
              <w:rPr>
                <w:b/>
                <w:spacing w:val="-4"/>
                <w:sz w:val="18"/>
              </w:rPr>
              <w:t>Meta </w:t>
            </w:r>
            <w:r>
              <w:rPr>
                <w:b/>
                <w:spacing w:val="-2"/>
                <w:sz w:val="18"/>
              </w:rPr>
              <w:t>programada</w:t>
            </w:r>
          </w:p>
        </w:tc>
        <w:tc>
          <w:tcPr>
            <w:tcW w:w="1279" w:type="dxa"/>
            <w:shd w:val="clear" w:color="auto" w:fill="D9D9D9"/>
          </w:tcPr>
          <w:p>
            <w:pPr>
              <w:pStyle w:val="TableParagraph"/>
              <w:spacing w:before="22"/>
              <w:rPr>
                <w:b/>
                <w:sz w:val="18"/>
              </w:rPr>
            </w:pPr>
          </w:p>
          <w:p>
            <w:pPr>
              <w:pStyle w:val="TableParagraph"/>
              <w:ind w:left="1" w:right="7"/>
              <w:jc w:val="center"/>
              <w:rPr>
                <w:b/>
                <w:sz w:val="18"/>
              </w:rPr>
            </w:pPr>
            <w:r>
              <w:rPr>
                <w:b/>
                <w:spacing w:val="-10"/>
                <w:sz w:val="18"/>
              </w:rPr>
              <w:t>¢</w:t>
            </w:r>
          </w:p>
        </w:tc>
      </w:tr>
      <w:tr>
        <w:trPr>
          <w:trHeight w:val="1656" w:hRule="atLeast"/>
        </w:trPr>
        <w:tc>
          <w:tcPr>
            <w:tcW w:w="2790" w:type="dxa"/>
          </w:tcPr>
          <w:p>
            <w:pPr>
              <w:pStyle w:val="TableParagraph"/>
              <w:ind w:left="72" w:right="177"/>
              <w:rPr>
                <w:sz w:val="18"/>
              </w:rPr>
            </w:pPr>
            <w:r>
              <w:rPr>
                <w:b/>
                <w:sz w:val="18"/>
              </w:rPr>
              <w:t>Actividad PAC 2.29.1:</w:t>
            </w:r>
            <w:r>
              <w:rPr>
                <w:b/>
                <w:spacing w:val="40"/>
                <w:sz w:val="18"/>
              </w:rPr>
              <w:t> </w:t>
            </w:r>
            <w:r>
              <w:rPr>
                <w:sz w:val="18"/>
              </w:rPr>
              <w:t>Realizar sesiones de seguimiento</w:t>
            </w:r>
            <w:r>
              <w:rPr>
                <w:spacing w:val="-10"/>
                <w:sz w:val="18"/>
              </w:rPr>
              <w:t> </w:t>
            </w:r>
            <w:r>
              <w:rPr>
                <w:sz w:val="18"/>
              </w:rPr>
              <w:t>sobre</w:t>
            </w:r>
            <w:r>
              <w:rPr>
                <w:spacing w:val="-7"/>
                <w:sz w:val="18"/>
              </w:rPr>
              <w:t> </w:t>
            </w:r>
            <w:r>
              <w:rPr>
                <w:sz w:val="18"/>
              </w:rPr>
              <w:t>el</w:t>
            </w:r>
            <w:r>
              <w:rPr>
                <w:spacing w:val="-12"/>
                <w:sz w:val="18"/>
              </w:rPr>
              <w:t> </w:t>
            </w:r>
            <w:r>
              <w:rPr>
                <w:sz w:val="18"/>
              </w:rPr>
              <w:t>avance</w:t>
            </w:r>
            <w:r>
              <w:rPr>
                <w:spacing w:val="-7"/>
                <w:sz w:val="18"/>
              </w:rPr>
              <w:t> </w:t>
            </w:r>
            <w:r>
              <w:rPr>
                <w:sz w:val="18"/>
              </w:rPr>
              <w:t>en la ejecución de proyectos de obra física identificados en la matriz de seguimiento</w:t>
            </w:r>
          </w:p>
          <w:p>
            <w:pPr>
              <w:pStyle w:val="TableParagraph"/>
              <w:spacing w:line="206" w:lineRule="exact"/>
              <w:ind w:left="72"/>
              <w:rPr>
                <w:sz w:val="18"/>
              </w:rPr>
            </w:pPr>
            <w:r>
              <w:rPr>
                <w:sz w:val="18"/>
              </w:rPr>
              <w:t>Infraestructura</w:t>
            </w:r>
            <w:r>
              <w:rPr>
                <w:spacing w:val="-12"/>
                <w:sz w:val="18"/>
              </w:rPr>
              <w:t> </w:t>
            </w:r>
            <w:r>
              <w:rPr>
                <w:sz w:val="18"/>
              </w:rPr>
              <w:t>física</w:t>
            </w:r>
            <w:r>
              <w:rPr>
                <w:spacing w:val="-12"/>
                <w:sz w:val="18"/>
              </w:rPr>
              <w:t> </w:t>
            </w:r>
            <w:r>
              <w:rPr>
                <w:sz w:val="18"/>
              </w:rPr>
              <w:t>regional</w:t>
            </w:r>
            <w:r>
              <w:rPr>
                <w:spacing w:val="-10"/>
                <w:sz w:val="18"/>
              </w:rPr>
              <w:t> </w:t>
            </w:r>
            <w:r>
              <w:rPr>
                <w:sz w:val="18"/>
              </w:rPr>
              <w:t>y </w:t>
            </w:r>
            <w:r>
              <w:rPr>
                <w:spacing w:val="-2"/>
                <w:sz w:val="18"/>
              </w:rPr>
              <w:t>territorial.</w:t>
            </w:r>
          </w:p>
        </w:tc>
        <w:tc>
          <w:tcPr>
            <w:tcW w:w="1820" w:type="dxa"/>
          </w:tcPr>
          <w:p>
            <w:pPr>
              <w:pStyle w:val="TableParagraph"/>
              <w:spacing w:before="206"/>
              <w:ind w:left="66" w:right="116"/>
              <w:rPr>
                <w:sz w:val="18"/>
              </w:rPr>
            </w:pPr>
            <w:r>
              <w:rPr>
                <w:sz w:val="18"/>
              </w:rPr>
              <w:t>Cantidad de sesiones realizadas para el seguimiento de los proyectos de infraestructura</w:t>
            </w:r>
            <w:r>
              <w:rPr>
                <w:spacing w:val="-13"/>
                <w:sz w:val="18"/>
              </w:rPr>
              <w:t> </w:t>
            </w:r>
            <w:r>
              <w:rPr>
                <w:sz w:val="18"/>
              </w:rPr>
              <w:t>física regional y</w:t>
            </w:r>
            <w:r>
              <w:rPr>
                <w:spacing w:val="-2"/>
                <w:sz w:val="18"/>
              </w:rPr>
              <w:t> </w:t>
            </w:r>
            <w:r>
              <w:rPr>
                <w:sz w:val="18"/>
              </w:rPr>
              <w:t>territorial.</w:t>
            </w:r>
          </w:p>
        </w:tc>
        <w:tc>
          <w:tcPr>
            <w:tcW w:w="1249"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4" w:right="10"/>
              <w:jc w:val="center"/>
              <w:rPr>
                <w:sz w:val="18"/>
              </w:rPr>
            </w:pPr>
            <w:r>
              <w:rPr>
                <w:spacing w:val="-10"/>
                <w:sz w:val="18"/>
              </w:rPr>
              <w:t>1</w:t>
            </w:r>
          </w:p>
        </w:tc>
        <w:tc>
          <w:tcPr>
            <w:tcW w:w="1278"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21"/>
              <w:jc w:val="center"/>
              <w:rPr>
                <w:sz w:val="18"/>
              </w:rPr>
            </w:pPr>
            <w:r>
              <w:rPr>
                <w:spacing w:val="-10"/>
                <w:sz w:val="18"/>
              </w:rPr>
              <w:t>2</w:t>
            </w:r>
          </w:p>
        </w:tc>
        <w:tc>
          <w:tcPr>
            <w:tcW w:w="1134" w:type="dxa"/>
          </w:tcPr>
          <w:p>
            <w:pPr>
              <w:pStyle w:val="TableParagraph"/>
              <w:rPr>
                <w:rFonts w:ascii="Times New Roman"/>
                <w:sz w:val="18"/>
              </w:rPr>
            </w:pPr>
          </w:p>
        </w:tc>
        <w:tc>
          <w:tcPr>
            <w:tcW w:w="1278"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1" w:right="22"/>
              <w:jc w:val="center"/>
              <w:rPr>
                <w:sz w:val="18"/>
              </w:rPr>
            </w:pPr>
            <w:r>
              <w:rPr>
                <w:spacing w:val="-10"/>
                <w:sz w:val="18"/>
              </w:rPr>
              <w:t>3</w:t>
            </w: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536"/>
              <w:jc w:val="right"/>
              <w:rPr>
                <w:sz w:val="18"/>
              </w:rPr>
            </w:pPr>
            <w:r>
              <w:rPr>
                <w:spacing w:val="-10"/>
                <w:sz w:val="18"/>
              </w:rPr>
              <w:t>4</w:t>
            </w:r>
          </w:p>
        </w:tc>
        <w:tc>
          <w:tcPr>
            <w:tcW w:w="1279" w:type="dxa"/>
          </w:tcPr>
          <w:p>
            <w:pPr>
              <w:pStyle w:val="TableParagraph"/>
              <w:rPr>
                <w:rFonts w:ascii="Times New Roman"/>
                <w:sz w:val="18"/>
              </w:rPr>
            </w:pPr>
          </w:p>
        </w:tc>
      </w:tr>
      <w:tr>
        <w:trPr>
          <w:trHeight w:val="1411" w:hRule="atLeast"/>
        </w:trPr>
        <w:tc>
          <w:tcPr>
            <w:tcW w:w="2790" w:type="dxa"/>
          </w:tcPr>
          <w:p>
            <w:pPr>
              <w:pStyle w:val="TableParagraph"/>
              <w:spacing w:before="191"/>
              <w:ind w:left="72" w:right="244"/>
              <w:rPr>
                <w:sz w:val="18"/>
              </w:rPr>
            </w:pPr>
            <w:r>
              <w:rPr>
                <w:b/>
                <w:sz w:val="18"/>
              </w:rPr>
              <w:t>Actividad PAC 2.29.2: </w:t>
            </w:r>
            <w:r>
              <w:rPr>
                <w:sz w:val="18"/>
              </w:rPr>
              <w:t>Actualizar el estado de los proyectos en la Matriz de Seguimiento</w:t>
            </w:r>
            <w:r>
              <w:rPr>
                <w:spacing w:val="-13"/>
                <w:sz w:val="18"/>
              </w:rPr>
              <w:t> </w:t>
            </w:r>
            <w:r>
              <w:rPr>
                <w:sz w:val="18"/>
              </w:rPr>
              <w:t>Infraestructura física regional y territorial.</w:t>
            </w:r>
          </w:p>
        </w:tc>
        <w:tc>
          <w:tcPr>
            <w:tcW w:w="1820" w:type="dxa"/>
          </w:tcPr>
          <w:p>
            <w:pPr>
              <w:pStyle w:val="TableParagraph"/>
              <w:spacing w:before="190"/>
              <w:rPr>
                <w:b/>
                <w:sz w:val="18"/>
              </w:rPr>
            </w:pPr>
          </w:p>
          <w:p>
            <w:pPr>
              <w:pStyle w:val="TableParagraph"/>
              <w:ind w:left="66" w:right="103"/>
              <w:rPr>
                <w:sz w:val="18"/>
              </w:rPr>
            </w:pPr>
            <w:r>
              <w:rPr>
                <w:sz w:val="18"/>
              </w:rPr>
              <w:t>Cantidad de proyectos de obra física</w:t>
            </w:r>
            <w:r>
              <w:rPr>
                <w:spacing w:val="-15"/>
                <w:sz w:val="18"/>
              </w:rPr>
              <w:t> </w:t>
            </w:r>
            <w:r>
              <w:rPr>
                <w:sz w:val="18"/>
              </w:rPr>
              <w:t>en</w:t>
            </w:r>
            <w:r>
              <w:rPr>
                <w:spacing w:val="-12"/>
                <w:sz w:val="18"/>
              </w:rPr>
              <w:t> </w:t>
            </w:r>
            <w:r>
              <w:rPr>
                <w:sz w:val="18"/>
              </w:rPr>
              <w:t>ejecución.</w:t>
            </w:r>
          </w:p>
        </w:tc>
        <w:tc>
          <w:tcPr>
            <w:tcW w:w="1249" w:type="dxa"/>
          </w:tcPr>
          <w:p>
            <w:pPr>
              <w:pStyle w:val="TableParagraph"/>
              <w:rPr>
                <w:b/>
                <w:sz w:val="18"/>
              </w:rPr>
            </w:pPr>
          </w:p>
          <w:p>
            <w:pPr>
              <w:pStyle w:val="TableParagraph"/>
              <w:spacing w:before="190"/>
              <w:rPr>
                <w:b/>
                <w:sz w:val="18"/>
              </w:rPr>
            </w:pPr>
          </w:p>
          <w:p>
            <w:pPr>
              <w:pStyle w:val="TableParagraph"/>
              <w:ind w:left="14" w:right="10"/>
              <w:jc w:val="center"/>
              <w:rPr>
                <w:sz w:val="18"/>
              </w:rPr>
            </w:pPr>
            <w:r>
              <w:rPr>
                <w:spacing w:val="-10"/>
                <w:sz w:val="18"/>
              </w:rPr>
              <w:t>1</w:t>
            </w: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spacing w:before="190"/>
              <w:rPr>
                <w:b/>
                <w:sz w:val="18"/>
              </w:rPr>
            </w:pPr>
          </w:p>
          <w:p>
            <w:pPr>
              <w:pStyle w:val="TableParagraph"/>
              <w:ind w:right="536"/>
              <w:jc w:val="right"/>
              <w:rPr>
                <w:sz w:val="18"/>
              </w:rPr>
            </w:pPr>
            <w:r>
              <w:rPr>
                <w:spacing w:val="-10"/>
                <w:sz w:val="18"/>
              </w:rPr>
              <w:t>2</w:t>
            </w:r>
          </w:p>
        </w:tc>
        <w:tc>
          <w:tcPr>
            <w:tcW w:w="1279" w:type="dxa"/>
          </w:tcPr>
          <w:p>
            <w:pPr>
              <w:pStyle w:val="TableParagraph"/>
              <w:rPr>
                <w:rFonts w:ascii="Times New Roman"/>
                <w:sz w:val="18"/>
              </w:rPr>
            </w:pPr>
          </w:p>
        </w:tc>
      </w:tr>
      <w:tr>
        <w:trPr>
          <w:trHeight w:val="513" w:hRule="atLeast"/>
        </w:trPr>
        <w:tc>
          <w:tcPr>
            <w:tcW w:w="14326" w:type="dxa"/>
            <w:gridSpan w:val="10"/>
            <w:shd w:val="clear" w:color="auto" w:fill="EFF8F9"/>
          </w:tcPr>
          <w:p>
            <w:pPr>
              <w:pStyle w:val="TableParagraph"/>
              <w:spacing w:before="152"/>
              <w:ind w:left="72"/>
              <w:rPr>
                <w:b/>
                <w:sz w:val="18"/>
              </w:rPr>
            </w:pPr>
            <w:r>
              <w:rPr>
                <w:b/>
                <w:sz w:val="18"/>
              </w:rPr>
              <w:t>Producto</w:t>
            </w:r>
            <w:r>
              <w:rPr>
                <w:b/>
                <w:spacing w:val="-8"/>
                <w:sz w:val="18"/>
              </w:rPr>
              <w:t> </w:t>
            </w:r>
            <w:r>
              <w:rPr>
                <w:b/>
                <w:sz w:val="18"/>
              </w:rPr>
              <w:t>PAC</w:t>
            </w:r>
            <w:r>
              <w:rPr>
                <w:b/>
                <w:spacing w:val="-7"/>
                <w:sz w:val="18"/>
              </w:rPr>
              <w:t> </w:t>
            </w:r>
            <w:r>
              <w:rPr>
                <w:b/>
                <w:sz w:val="18"/>
              </w:rPr>
              <w:t>2:30:</w:t>
            </w:r>
            <w:r>
              <w:rPr>
                <w:b/>
                <w:spacing w:val="-3"/>
                <w:sz w:val="18"/>
              </w:rPr>
              <w:t> </w:t>
            </w:r>
            <w:r>
              <w:rPr>
                <w:b/>
                <w:sz w:val="18"/>
              </w:rPr>
              <w:t>Estrategia</w:t>
            </w:r>
            <w:r>
              <w:rPr>
                <w:b/>
                <w:spacing w:val="-6"/>
                <w:sz w:val="18"/>
              </w:rPr>
              <w:t> </w:t>
            </w:r>
            <w:r>
              <w:rPr>
                <w:b/>
                <w:sz w:val="18"/>
              </w:rPr>
              <w:t>de</w:t>
            </w:r>
            <w:r>
              <w:rPr>
                <w:b/>
                <w:spacing w:val="-6"/>
                <w:sz w:val="18"/>
              </w:rPr>
              <w:t> </w:t>
            </w:r>
            <w:r>
              <w:rPr>
                <w:b/>
                <w:sz w:val="18"/>
              </w:rPr>
              <w:t>la</w:t>
            </w:r>
            <w:r>
              <w:rPr>
                <w:b/>
                <w:spacing w:val="-11"/>
                <w:sz w:val="18"/>
              </w:rPr>
              <w:t> </w:t>
            </w:r>
            <w:r>
              <w:rPr>
                <w:b/>
                <w:sz w:val="18"/>
              </w:rPr>
              <w:t>Gestión</w:t>
            </w:r>
            <w:r>
              <w:rPr>
                <w:b/>
                <w:spacing w:val="-7"/>
                <w:sz w:val="18"/>
              </w:rPr>
              <w:t> </w:t>
            </w:r>
            <w:r>
              <w:rPr>
                <w:b/>
                <w:sz w:val="18"/>
              </w:rPr>
              <w:t>para</w:t>
            </w:r>
            <w:r>
              <w:rPr>
                <w:b/>
                <w:spacing w:val="-3"/>
                <w:sz w:val="18"/>
              </w:rPr>
              <w:t> </w:t>
            </w:r>
            <w:r>
              <w:rPr>
                <w:b/>
                <w:sz w:val="18"/>
              </w:rPr>
              <w:t>Resultados</w:t>
            </w:r>
            <w:r>
              <w:rPr>
                <w:b/>
                <w:spacing w:val="-2"/>
                <w:sz w:val="18"/>
              </w:rPr>
              <w:t> </w:t>
            </w:r>
            <w:r>
              <w:rPr>
                <w:b/>
                <w:sz w:val="18"/>
              </w:rPr>
              <w:t>en</w:t>
            </w:r>
            <w:r>
              <w:rPr>
                <w:b/>
                <w:spacing w:val="-7"/>
                <w:sz w:val="18"/>
              </w:rPr>
              <w:t> </w:t>
            </w:r>
            <w:r>
              <w:rPr>
                <w:b/>
                <w:sz w:val="18"/>
              </w:rPr>
              <w:t>el Desarrollo</w:t>
            </w:r>
            <w:r>
              <w:rPr>
                <w:b/>
                <w:spacing w:val="-7"/>
                <w:sz w:val="18"/>
              </w:rPr>
              <w:t> </w:t>
            </w:r>
            <w:r>
              <w:rPr>
                <w:b/>
                <w:sz w:val="18"/>
              </w:rPr>
              <w:t>(GpRD)</w:t>
            </w:r>
            <w:r>
              <w:rPr>
                <w:b/>
                <w:spacing w:val="-4"/>
                <w:sz w:val="18"/>
              </w:rPr>
              <w:t> </w:t>
            </w:r>
            <w:r>
              <w:rPr>
                <w:b/>
                <w:spacing w:val="-2"/>
                <w:sz w:val="18"/>
              </w:rPr>
              <w:t>implementada</w:t>
            </w:r>
          </w:p>
        </w:tc>
      </w:tr>
      <w:tr>
        <w:trPr>
          <w:trHeight w:val="1896" w:hRule="atLeast"/>
        </w:trPr>
        <w:tc>
          <w:tcPr>
            <w:tcW w:w="2790" w:type="dxa"/>
          </w:tcPr>
          <w:p>
            <w:pPr>
              <w:pStyle w:val="TableParagraph"/>
              <w:spacing w:before="205"/>
              <w:ind w:left="72" w:right="89"/>
              <w:rPr>
                <w:sz w:val="18"/>
              </w:rPr>
            </w:pPr>
            <w:r>
              <w:rPr>
                <w:b/>
                <w:sz w:val="18"/>
              </w:rPr>
              <w:t>Actividad</w:t>
            </w:r>
            <w:r>
              <w:rPr>
                <w:b/>
                <w:spacing w:val="-13"/>
                <w:sz w:val="18"/>
              </w:rPr>
              <w:t> </w:t>
            </w:r>
            <w:r>
              <w:rPr>
                <w:b/>
                <w:sz w:val="18"/>
              </w:rPr>
              <w:t>PAC</w:t>
            </w:r>
            <w:r>
              <w:rPr>
                <w:b/>
                <w:spacing w:val="-12"/>
                <w:sz w:val="18"/>
              </w:rPr>
              <w:t> </w:t>
            </w:r>
            <w:r>
              <w:rPr>
                <w:b/>
                <w:sz w:val="18"/>
              </w:rPr>
              <w:t>2.30.1:</w:t>
            </w:r>
            <w:r>
              <w:rPr>
                <w:b/>
                <w:spacing w:val="-12"/>
                <w:sz w:val="18"/>
              </w:rPr>
              <w:t> </w:t>
            </w:r>
            <w:r>
              <w:rPr>
                <w:sz w:val="18"/>
              </w:rPr>
              <w:t>Realizar una ejecución presupuestaria asociada a los costos directos por centro gestor y trasladando costos indirectos a las oficinas institucionales de atención al </w:t>
            </w:r>
            <w:r>
              <w:rPr>
                <w:spacing w:val="-2"/>
                <w:sz w:val="18"/>
              </w:rPr>
              <w:t>público.</w:t>
            </w:r>
          </w:p>
        </w:tc>
        <w:tc>
          <w:tcPr>
            <w:tcW w:w="1820" w:type="dxa"/>
          </w:tcPr>
          <w:p>
            <w:pPr>
              <w:pStyle w:val="TableParagraph"/>
              <w:spacing w:before="119"/>
              <w:ind w:left="66" w:right="103"/>
              <w:rPr>
                <w:sz w:val="18"/>
              </w:rPr>
            </w:pPr>
            <w:r>
              <w:rPr>
                <w:sz w:val="18"/>
              </w:rPr>
              <w:t>Matriz de gasto ejecutado con </w:t>
            </w:r>
            <w:r>
              <w:rPr>
                <w:spacing w:val="-2"/>
                <w:sz w:val="18"/>
              </w:rPr>
              <w:t>posiciones </w:t>
            </w:r>
            <w:r>
              <w:rPr>
                <w:sz w:val="18"/>
              </w:rPr>
              <w:t>presupuestarias</w:t>
            </w:r>
            <w:r>
              <w:rPr>
                <w:spacing w:val="-13"/>
                <w:sz w:val="18"/>
              </w:rPr>
              <w:t> </w:t>
            </w:r>
            <w:r>
              <w:rPr>
                <w:sz w:val="18"/>
              </w:rPr>
              <w:t>en las filas</w:t>
            </w:r>
            <w:r>
              <w:rPr>
                <w:spacing w:val="-3"/>
                <w:sz w:val="18"/>
              </w:rPr>
              <w:t> </w:t>
            </w:r>
            <w:r>
              <w:rPr>
                <w:sz w:val="18"/>
              </w:rPr>
              <w:t>vinculadas con centros de costos en las </w:t>
            </w:r>
            <w:r>
              <w:rPr>
                <w:spacing w:val="-2"/>
                <w:sz w:val="18"/>
              </w:rPr>
              <w:t>columnas.</w:t>
            </w:r>
          </w:p>
        </w:tc>
        <w:tc>
          <w:tcPr>
            <w:tcW w:w="1249" w:type="dxa"/>
          </w:tcPr>
          <w:p>
            <w:pPr>
              <w:pStyle w:val="TableParagraph"/>
              <w:rPr>
                <w:rFonts w:ascii="Times New Roman"/>
                <w:sz w:val="18"/>
              </w:rPr>
            </w:pP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rPr>
                <w:b/>
                <w:sz w:val="18"/>
              </w:rPr>
            </w:pPr>
          </w:p>
          <w:p>
            <w:pPr>
              <w:pStyle w:val="TableParagraph"/>
              <w:spacing w:before="117"/>
              <w:rPr>
                <w:b/>
                <w:sz w:val="18"/>
              </w:rPr>
            </w:pPr>
          </w:p>
          <w:p>
            <w:pPr>
              <w:pStyle w:val="TableParagraph"/>
              <w:ind w:left="61"/>
              <w:rPr>
                <w:sz w:val="18"/>
              </w:rPr>
            </w:pPr>
            <w:r>
              <w:rPr>
                <w:spacing w:val="-10"/>
                <w:sz w:val="18"/>
              </w:rPr>
              <w:t>1</w:t>
            </w:r>
          </w:p>
        </w:tc>
        <w:tc>
          <w:tcPr>
            <w:tcW w:w="1279" w:type="dxa"/>
          </w:tcPr>
          <w:p>
            <w:pPr>
              <w:pStyle w:val="TableParagraph"/>
              <w:rPr>
                <w:rFonts w:ascii="Times New Roman"/>
                <w:sz w:val="18"/>
              </w:rPr>
            </w:pPr>
          </w:p>
        </w:tc>
      </w:tr>
      <w:tr>
        <w:trPr>
          <w:trHeight w:val="2069" w:hRule="atLeast"/>
        </w:trPr>
        <w:tc>
          <w:tcPr>
            <w:tcW w:w="2790" w:type="dxa"/>
          </w:tcPr>
          <w:p>
            <w:pPr>
              <w:pStyle w:val="TableParagraph"/>
              <w:spacing w:line="206" w:lineRule="exact"/>
              <w:ind w:left="72"/>
              <w:rPr>
                <w:b/>
                <w:sz w:val="18"/>
              </w:rPr>
            </w:pPr>
            <w:r>
              <w:rPr>
                <w:b/>
                <w:sz w:val="18"/>
              </w:rPr>
              <w:t>Actividad</w:t>
            </w:r>
            <w:r>
              <w:rPr>
                <w:b/>
                <w:spacing w:val="-6"/>
                <w:sz w:val="18"/>
              </w:rPr>
              <w:t> </w:t>
            </w:r>
            <w:r>
              <w:rPr>
                <w:b/>
                <w:sz w:val="18"/>
              </w:rPr>
              <w:t>PAC</w:t>
            </w:r>
            <w:r>
              <w:rPr>
                <w:b/>
                <w:spacing w:val="-2"/>
                <w:sz w:val="18"/>
              </w:rPr>
              <w:t> 2.30.2:</w:t>
            </w:r>
          </w:p>
          <w:p>
            <w:pPr>
              <w:pStyle w:val="TableParagraph"/>
              <w:ind w:left="72"/>
              <w:rPr>
                <w:sz w:val="18"/>
              </w:rPr>
            </w:pPr>
            <w:r>
              <w:rPr>
                <w:sz w:val="18"/>
              </w:rPr>
              <w:t>Generar un comunicado con las estimaciones</w:t>
            </w:r>
            <w:r>
              <w:rPr>
                <w:spacing w:val="-10"/>
                <w:sz w:val="18"/>
              </w:rPr>
              <w:t> </w:t>
            </w:r>
            <w:r>
              <w:rPr>
                <w:sz w:val="18"/>
              </w:rPr>
              <w:t>de</w:t>
            </w:r>
            <w:r>
              <w:rPr>
                <w:spacing w:val="-10"/>
                <w:sz w:val="18"/>
              </w:rPr>
              <w:t> </w:t>
            </w:r>
            <w:r>
              <w:rPr>
                <w:sz w:val="18"/>
              </w:rPr>
              <w:t>la</w:t>
            </w:r>
            <w:r>
              <w:rPr>
                <w:spacing w:val="-6"/>
                <w:sz w:val="18"/>
              </w:rPr>
              <w:t> </w:t>
            </w:r>
            <w:r>
              <w:rPr>
                <w:sz w:val="18"/>
              </w:rPr>
              <w:t>estructura</w:t>
            </w:r>
            <w:r>
              <w:rPr>
                <w:spacing w:val="-10"/>
                <w:sz w:val="18"/>
              </w:rPr>
              <w:t> </w:t>
            </w:r>
            <w:r>
              <w:rPr>
                <w:sz w:val="18"/>
              </w:rPr>
              <w:t>de costos por centro gestor y programa presupuestario como insumo</w:t>
            </w:r>
            <w:r>
              <w:rPr>
                <w:spacing w:val="-9"/>
                <w:sz w:val="18"/>
              </w:rPr>
              <w:t> </w:t>
            </w:r>
            <w:r>
              <w:rPr>
                <w:sz w:val="18"/>
              </w:rPr>
              <w:t>para</w:t>
            </w:r>
            <w:r>
              <w:rPr>
                <w:spacing w:val="-9"/>
                <w:sz w:val="18"/>
              </w:rPr>
              <w:t> </w:t>
            </w:r>
            <w:r>
              <w:rPr>
                <w:sz w:val="18"/>
              </w:rPr>
              <w:t>toma</w:t>
            </w:r>
            <w:r>
              <w:rPr>
                <w:spacing w:val="-9"/>
                <w:sz w:val="18"/>
              </w:rPr>
              <w:t> </w:t>
            </w:r>
            <w:r>
              <w:rPr>
                <w:sz w:val="18"/>
              </w:rPr>
              <w:t>de</w:t>
            </w:r>
            <w:r>
              <w:rPr>
                <w:spacing w:val="-9"/>
                <w:sz w:val="18"/>
              </w:rPr>
              <w:t> </w:t>
            </w:r>
            <w:r>
              <w:rPr>
                <w:sz w:val="18"/>
              </w:rPr>
              <w:t>decisiones en el servicio de atención social que brinda la institución por</w:t>
            </w:r>
          </w:p>
          <w:p>
            <w:pPr>
              <w:pStyle w:val="TableParagraph"/>
              <w:spacing w:line="206" w:lineRule="exact"/>
              <w:ind w:left="72"/>
              <w:rPr>
                <w:sz w:val="18"/>
              </w:rPr>
            </w:pPr>
            <w:r>
              <w:rPr>
                <w:sz w:val="18"/>
              </w:rPr>
              <w:t>territorios</w:t>
            </w:r>
            <w:r>
              <w:rPr>
                <w:spacing w:val="-12"/>
                <w:sz w:val="18"/>
              </w:rPr>
              <w:t> </w:t>
            </w:r>
            <w:r>
              <w:rPr>
                <w:sz w:val="18"/>
              </w:rPr>
              <w:t>de</w:t>
            </w:r>
            <w:r>
              <w:rPr>
                <w:spacing w:val="-10"/>
                <w:sz w:val="18"/>
              </w:rPr>
              <w:t> </w:t>
            </w:r>
            <w:r>
              <w:rPr>
                <w:sz w:val="18"/>
              </w:rPr>
              <w:t>planificación</w:t>
            </w:r>
            <w:r>
              <w:rPr>
                <w:spacing w:val="-13"/>
                <w:sz w:val="18"/>
              </w:rPr>
              <w:t> </w:t>
            </w:r>
            <w:r>
              <w:rPr>
                <w:sz w:val="18"/>
              </w:rPr>
              <w:t>del </w:t>
            </w:r>
            <w:r>
              <w:rPr>
                <w:spacing w:val="-2"/>
                <w:sz w:val="18"/>
              </w:rPr>
              <w:t>IMAS.</w:t>
            </w:r>
          </w:p>
        </w:tc>
        <w:tc>
          <w:tcPr>
            <w:tcW w:w="182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6"/>
              <w:rPr>
                <w:sz w:val="18"/>
              </w:rPr>
            </w:pPr>
            <w:r>
              <w:rPr>
                <w:sz w:val="18"/>
              </w:rPr>
              <w:t>Cantidad de </w:t>
            </w:r>
            <w:r>
              <w:rPr>
                <w:spacing w:val="-2"/>
                <w:sz w:val="18"/>
              </w:rPr>
              <w:t>estimaciones generadas.</w:t>
            </w:r>
          </w:p>
        </w:tc>
        <w:tc>
          <w:tcPr>
            <w:tcW w:w="1249" w:type="dxa"/>
          </w:tcPr>
          <w:p>
            <w:pPr>
              <w:pStyle w:val="TableParagraph"/>
              <w:rPr>
                <w:rFonts w:ascii="Times New Roman"/>
                <w:sz w:val="18"/>
              </w:rPr>
            </w:pP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36"/>
              <w:jc w:val="right"/>
              <w:rPr>
                <w:sz w:val="18"/>
              </w:rPr>
            </w:pPr>
            <w:r>
              <w:rPr>
                <w:spacing w:val="-10"/>
                <w:sz w:val="18"/>
              </w:rPr>
              <w:t>1</w:t>
            </w:r>
          </w:p>
        </w:tc>
        <w:tc>
          <w:tcPr>
            <w:tcW w:w="1279"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79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90"/>
        <w:gridCol w:w="1820"/>
        <w:gridCol w:w="1249"/>
        <w:gridCol w:w="1278"/>
        <w:gridCol w:w="1182"/>
        <w:gridCol w:w="1134"/>
        <w:gridCol w:w="1278"/>
        <w:gridCol w:w="1134"/>
        <w:gridCol w:w="1182"/>
        <w:gridCol w:w="1279"/>
      </w:tblGrid>
      <w:tr>
        <w:trPr>
          <w:trHeight w:val="302" w:hRule="atLeast"/>
        </w:trPr>
        <w:tc>
          <w:tcPr>
            <w:tcW w:w="2790" w:type="dxa"/>
            <w:vMerge w:val="restart"/>
            <w:shd w:val="clear" w:color="auto" w:fill="D9D9D9"/>
          </w:tcPr>
          <w:p>
            <w:pPr>
              <w:pStyle w:val="TableParagraph"/>
              <w:spacing w:before="180"/>
              <w:rPr>
                <w:b/>
                <w:sz w:val="18"/>
              </w:rPr>
            </w:pPr>
          </w:p>
          <w:p>
            <w:pPr>
              <w:pStyle w:val="TableParagraph"/>
              <w:ind w:left="427"/>
              <w:rPr>
                <w:b/>
                <w:sz w:val="18"/>
              </w:rPr>
            </w:pPr>
            <w:r>
              <w:rPr>
                <w:b/>
                <w:sz w:val="18"/>
              </w:rPr>
              <w:t>Objetivos</w:t>
            </w:r>
            <w:r>
              <w:rPr>
                <w:b/>
                <w:spacing w:val="-5"/>
                <w:sz w:val="18"/>
              </w:rPr>
              <w:t> </w:t>
            </w:r>
            <w:r>
              <w:rPr>
                <w:b/>
                <w:sz w:val="18"/>
              </w:rPr>
              <w:t>/</w:t>
            </w:r>
            <w:r>
              <w:rPr>
                <w:b/>
                <w:spacing w:val="-2"/>
                <w:sz w:val="18"/>
              </w:rPr>
              <w:t> Resultados</w:t>
            </w:r>
          </w:p>
        </w:tc>
        <w:tc>
          <w:tcPr>
            <w:tcW w:w="1820" w:type="dxa"/>
            <w:vMerge w:val="restart"/>
            <w:shd w:val="clear" w:color="auto" w:fill="D9D9D9"/>
          </w:tcPr>
          <w:p>
            <w:pPr>
              <w:pStyle w:val="TableParagraph"/>
              <w:spacing w:before="180"/>
              <w:rPr>
                <w:b/>
                <w:sz w:val="18"/>
              </w:rPr>
            </w:pPr>
          </w:p>
          <w:p>
            <w:pPr>
              <w:pStyle w:val="TableParagraph"/>
              <w:ind w:left="498"/>
              <w:rPr>
                <w:b/>
                <w:sz w:val="18"/>
              </w:rPr>
            </w:pPr>
            <w:r>
              <w:rPr>
                <w:b/>
                <w:spacing w:val="-2"/>
                <w:sz w:val="18"/>
              </w:rPr>
              <w:t>Indicador</w:t>
            </w:r>
          </w:p>
        </w:tc>
        <w:tc>
          <w:tcPr>
            <w:tcW w:w="2527" w:type="dxa"/>
            <w:gridSpan w:val="2"/>
            <w:shd w:val="clear" w:color="auto" w:fill="D9D9D9"/>
          </w:tcPr>
          <w:p>
            <w:pPr>
              <w:pStyle w:val="TableParagraph"/>
              <w:spacing w:before="47"/>
              <w:ind w:left="796"/>
              <w:rPr>
                <w:b/>
                <w:sz w:val="18"/>
              </w:rPr>
            </w:pPr>
            <w:r>
              <w:rPr>
                <w:b/>
                <w:sz w:val="18"/>
              </w:rPr>
              <w:t>I</w:t>
            </w:r>
            <w:r>
              <w:rPr>
                <w:b/>
                <w:spacing w:val="-1"/>
                <w:sz w:val="18"/>
              </w:rPr>
              <w:t> </w:t>
            </w:r>
            <w:r>
              <w:rPr>
                <w:b/>
                <w:spacing w:val="-2"/>
                <w:sz w:val="18"/>
              </w:rPr>
              <w:t>Trimestre</w:t>
            </w:r>
          </w:p>
        </w:tc>
        <w:tc>
          <w:tcPr>
            <w:tcW w:w="2316" w:type="dxa"/>
            <w:gridSpan w:val="2"/>
            <w:shd w:val="clear" w:color="auto" w:fill="D9D9D9"/>
          </w:tcPr>
          <w:p>
            <w:pPr>
              <w:pStyle w:val="TableParagraph"/>
              <w:spacing w:before="47"/>
              <w:ind w:left="665"/>
              <w:rPr>
                <w:b/>
                <w:sz w:val="18"/>
              </w:rPr>
            </w:pPr>
            <w:r>
              <w:rPr>
                <w:b/>
                <w:sz w:val="18"/>
              </w:rPr>
              <w:t>II</w:t>
            </w:r>
            <w:r>
              <w:rPr>
                <w:b/>
                <w:spacing w:val="-3"/>
                <w:sz w:val="18"/>
              </w:rPr>
              <w:t> </w:t>
            </w:r>
            <w:r>
              <w:rPr>
                <w:b/>
                <w:spacing w:val="-2"/>
                <w:sz w:val="18"/>
              </w:rPr>
              <w:t>Trimestre</w:t>
            </w:r>
          </w:p>
        </w:tc>
        <w:tc>
          <w:tcPr>
            <w:tcW w:w="2412" w:type="dxa"/>
            <w:gridSpan w:val="2"/>
            <w:shd w:val="clear" w:color="auto" w:fill="D9D9D9"/>
          </w:tcPr>
          <w:p>
            <w:pPr>
              <w:pStyle w:val="TableParagraph"/>
              <w:spacing w:before="47"/>
              <w:ind w:left="692"/>
              <w:rPr>
                <w:b/>
                <w:sz w:val="18"/>
              </w:rPr>
            </w:pPr>
            <w:r>
              <w:rPr>
                <w:b/>
                <w:sz w:val="18"/>
              </w:rPr>
              <w:t>III</w:t>
            </w:r>
            <w:r>
              <w:rPr>
                <w:b/>
                <w:spacing w:val="-2"/>
                <w:sz w:val="18"/>
              </w:rPr>
              <w:t> Trimestre</w:t>
            </w:r>
          </w:p>
        </w:tc>
        <w:tc>
          <w:tcPr>
            <w:tcW w:w="2461" w:type="dxa"/>
            <w:gridSpan w:val="2"/>
            <w:shd w:val="clear" w:color="auto" w:fill="D9D9D9"/>
          </w:tcPr>
          <w:p>
            <w:pPr>
              <w:pStyle w:val="TableParagraph"/>
              <w:spacing w:before="47"/>
              <w:ind w:left="700"/>
              <w:rPr>
                <w:b/>
                <w:sz w:val="18"/>
              </w:rPr>
            </w:pPr>
            <w:r>
              <w:rPr>
                <w:b/>
                <w:sz w:val="18"/>
              </w:rPr>
              <w:t>IV</w:t>
            </w:r>
            <w:r>
              <w:rPr>
                <w:b/>
                <w:spacing w:val="-2"/>
                <w:sz w:val="18"/>
              </w:rPr>
              <w:t> Trimestre</w:t>
            </w:r>
          </w:p>
        </w:tc>
      </w:tr>
      <w:tr>
        <w:trPr>
          <w:trHeight w:val="671" w:hRule="atLeast"/>
        </w:trPr>
        <w:tc>
          <w:tcPr>
            <w:tcW w:w="2790" w:type="dxa"/>
            <w:vMerge/>
            <w:tcBorders>
              <w:top w:val="nil"/>
            </w:tcBorders>
            <w:shd w:val="clear" w:color="auto" w:fill="D9D9D9"/>
          </w:tcPr>
          <w:p>
            <w:pPr>
              <w:rPr>
                <w:sz w:val="2"/>
                <w:szCs w:val="2"/>
              </w:rPr>
            </w:pPr>
          </w:p>
        </w:tc>
        <w:tc>
          <w:tcPr>
            <w:tcW w:w="1820" w:type="dxa"/>
            <w:vMerge/>
            <w:tcBorders>
              <w:top w:val="nil"/>
            </w:tcBorders>
            <w:shd w:val="clear" w:color="auto" w:fill="D9D9D9"/>
          </w:tcPr>
          <w:p>
            <w:pPr>
              <w:rPr>
                <w:sz w:val="2"/>
                <w:szCs w:val="2"/>
              </w:rPr>
            </w:pPr>
          </w:p>
        </w:tc>
        <w:tc>
          <w:tcPr>
            <w:tcW w:w="1249" w:type="dxa"/>
            <w:shd w:val="clear" w:color="auto" w:fill="D9D9D9"/>
          </w:tcPr>
          <w:p>
            <w:pPr>
              <w:pStyle w:val="TableParagraph"/>
              <w:spacing w:before="128"/>
              <w:ind w:left="100" w:firstLine="312"/>
              <w:rPr>
                <w:b/>
                <w:sz w:val="18"/>
              </w:rPr>
            </w:pPr>
            <w:r>
              <w:rPr>
                <w:b/>
                <w:spacing w:val="-4"/>
                <w:sz w:val="18"/>
              </w:rPr>
              <w:t>Meta </w:t>
            </w:r>
            <w:r>
              <w:rPr>
                <w:b/>
                <w:spacing w:val="-2"/>
                <w:sz w:val="18"/>
              </w:rPr>
              <w:t>programada</w:t>
            </w:r>
          </w:p>
        </w:tc>
        <w:tc>
          <w:tcPr>
            <w:tcW w:w="1278" w:type="dxa"/>
            <w:shd w:val="clear" w:color="auto" w:fill="D9D9D9"/>
          </w:tcPr>
          <w:p>
            <w:pPr>
              <w:pStyle w:val="TableParagraph"/>
              <w:spacing w:before="22"/>
              <w:rPr>
                <w:b/>
                <w:sz w:val="18"/>
              </w:rPr>
            </w:pPr>
          </w:p>
          <w:p>
            <w:pPr>
              <w:pStyle w:val="TableParagraph"/>
              <w:ind w:left="21" w:right="19"/>
              <w:jc w:val="center"/>
              <w:rPr>
                <w:b/>
                <w:sz w:val="18"/>
              </w:rPr>
            </w:pPr>
            <w:r>
              <w:rPr>
                <w:b/>
                <w:spacing w:val="-10"/>
                <w:sz w:val="18"/>
              </w:rPr>
              <w:t>¢</w:t>
            </w:r>
          </w:p>
        </w:tc>
        <w:tc>
          <w:tcPr>
            <w:tcW w:w="1182" w:type="dxa"/>
            <w:shd w:val="clear" w:color="auto" w:fill="D9D9D9"/>
          </w:tcPr>
          <w:p>
            <w:pPr>
              <w:pStyle w:val="TableParagraph"/>
              <w:spacing w:before="128"/>
              <w:ind w:left="65" w:firstLine="312"/>
              <w:rPr>
                <w:b/>
                <w:sz w:val="18"/>
              </w:rPr>
            </w:pPr>
            <w:r>
              <w:rPr>
                <w:b/>
                <w:spacing w:val="-4"/>
                <w:sz w:val="18"/>
              </w:rPr>
              <w:t>Meta </w:t>
            </w:r>
            <w:r>
              <w:rPr>
                <w:b/>
                <w:spacing w:val="-2"/>
                <w:sz w:val="18"/>
              </w:rPr>
              <w:t>programada</w:t>
            </w:r>
          </w:p>
        </w:tc>
        <w:tc>
          <w:tcPr>
            <w:tcW w:w="1134" w:type="dxa"/>
            <w:shd w:val="clear" w:color="auto" w:fill="D9D9D9"/>
          </w:tcPr>
          <w:p>
            <w:pPr>
              <w:pStyle w:val="TableParagraph"/>
              <w:spacing w:before="22"/>
              <w:rPr>
                <w:b/>
                <w:sz w:val="18"/>
              </w:rPr>
            </w:pPr>
          </w:p>
          <w:p>
            <w:pPr>
              <w:pStyle w:val="TableParagraph"/>
              <w:jc w:val="center"/>
              <w:rPr>
                <w:b/>
                <w:sz w:val="18"/>
              </w:rPr>
            </w:pPr>
            <w:r>
              <w:rPr>
                <w:b/>
                <w:spacing w:val="-10"/>
                <w:sz w:val="18"/>
              </w:rPr>
              <w:t>¢</w:t>
            </w:r>
          </w:p>
        </w:tc>
        <w:tc>
          <w:tcPr>
            <w:tcW w:w="1278" w:type="dxa"/>
            <w:shd w:val="clear" w:color="auto" w:fill="D9D9D9"/>
          </w:tcPr>
          <w:p>
            <w:pPr>
              <w:pStyle w:val="TableParagraph"/>
              <w:spacing w:before="128"/>
              <w:ind w:left="111" w:firstLine="316"/>
              <w:rPr>
                <w:b/>
                <w:sz w:val="18"/>
              </w:rPr>
            </w:pPr>
            <w:r>
              <w:rPr>
                <w:b/>
                <w:spacing w:val="-4"/>
                <w:sz w:val="18"/>
              </w:rPr>
              <w:t>Meta </w:t>
            </w:r>
            <w:r>
              <w:rPr>
                <w:b/>
                <w:spacing w:val="-2"/>
                <w:sz w:val="18"/>
              </w:rPr>
              <w:t>programada</w:t>
            </w:r>
          </w:p>
        </w:tc>
        <w:tc>
          <w:tcPr>
            <w:tcW w:w="1134" w:type="dxa"/>
            <w:shd w:val="clear" w:color="auto" w:fill="D9D9D9"/>
          </w:tcPr>
          <w:p>
            <w:pPr>
              <w:pStyle w:val="TableParagraph"/>
              <w:spacing w:before="22"/>
              <w:rPr>
                <w:b/>
                <w:sz w:val="18"/>
              </w:rPr>
            </w:pPr>
          </w:p>
          <w:p>
            <w:pPr>
              <w:pStyle w:val="TableParagraph"/>
              <w:ind w:right="2"/>
              <w:jc w:val="center"/>
              <w:rPr>
                <w:b/>
                <w:sz w:val="18"/>
              </w:rPr>
            </w:pPr>
            <w:r>
              <w:rPr>
                <w:b/>
                <w:spacing w:val="-10"/>
                <w:sz w:val="18"/>
              </w:rPr>
              <w:t>¢</w:t>
            </w:r>
          </w:p>
        </w:tc>
        <w:tc>
          <w:tcPr>
            <w:tcW w:w="1182" w:type="dxa"/>
            <w:shd w:val="clear" w:color="auto" w:fill="D9D9D9"/>
          </w:tcPr>
          <w:p>
            <w:pPr>
              <w:pStyle w:val="TableParagraph"/>
              <w:spacing w:before="128"/>
              <w:ind w:left="61" w:firstLine="312"/>
              <w:rPr>
                <w:b/>
                <w:sz w:val="18"/>
              </w:rPr>
            </w:pPr>
            <w:r>
              <w:rPr>
                <w:b/>
                <w:spacing w:val="-4"/>
                <w:sz w:val="18"/>
              </w:rPr>
              <w:t>Meta </w:t>
            </w:r>
            <w:r>
              <w:rPr>
                <w:b/>
                <w:spacing w:val="-2"/>
                <w:sz w:val="18"/>
              </w:rPr>
              <w:t>programada</w:t>
            </w:r>
          </w:p>
        </w:tc>
        <w:tc>
          <w:tcPr>
            <w:tcW w:w="1279" w:type="dxa"/>
            <w:shd w:val="clear" w:color="auto" w:fill="D9D9D9"/>
          </w:tcPr>
          <w:p>
            <w:pPr>
              <w:pStyle w:val="TableParagraph"/>
              <w:spacing w:before="22"/>
              <w:rPr>
                <w:b/>
                <w:sz w:val="18"/>
              </w:rPr>
            </w:pPr>
          </w:p>
          <w:p>
            <w:pPr>
              <w:pStyle w:val="TableParagraph"/>
              <w:ind w:left="1" w:right="7"/>
              <w:jc w:val="center"/>
              <w:rPr>
                <w:b/>
                <w:sz w:val="18"/>
              </w:rPr>
            </w:pPr>
            <w:r>
              <w:rPr>
                <w:b/>
                <w:spacing w:val="-10"/>
                <w:sz w:val="18"/>
              </w:rPr>
              <w:t>¢</w:t>
            </w:r>
          </w:p>
        </w:tc>
      </w:tr>
      <w:tr>
        <w:trPr>
          <w:trHeight w:val="1272" w:hRule="atLeast"/>
        </w:trPr>
        <w:tc>
          <w:tcPr>
            <w:tcW w:w="2790" w:type="dxa"/>
          </w:tcPr>
          <w:p>
            <w:pPr>
              <w:pStyle w:val="TableParagraph"/>
              <w:spacing w:line="206" w:lineRule="exact" w:before="16"/>
              <w:ind w:left="72" w:right="89"/>
              <w:rPr>
                <w:sz w:val="18"/>
              </w:rPr>
            </w:pPr>
            <w:r>
              <w:rPr>
                <w:b/>
                <w:sz w:val="18"/>
              </w:rPr>
              <w:t>Actividad PAC 2.30.3: </w:t>
            </w:r>
            <w:r>
              <w:rPr>
                <w:sz w:val="18"/>
              </w:rPr>
              <w:t>Monitorear</w:t>
            </w:r>
            <w:r>
              <w:rPr>
                <w:spacing w:val="-11"/>
                <w:sz w:val="18"/>
              </w:rPr>
              <w:t> </w:t>
            </w:r>
            <w:r>
              <w:rPr>
                <w:sz w:val="18"/>
              </w:rPr>
              <w:t>de</w:t>
            </w:r>
            <w:r>
              <w:rPr>
                <w:spacing w:val="-13"/>
                <w:sz w:val="18"/>
              </w:rPr>
              <w:t> </w:t>
            </w:r>
            <w:r>
              <w:rPr>
                <w:sz w:val="18"/>
              </w:rPr>
              <w:t>forma</w:t>
            </w:r>
            <w:r>
              <w:rPr>
                <w:spacing w:val="-12"/>
                <w:sz w:val="18"/>
              </w:rPr>
              <w:t> </w:t>
            </w:r>
            <w:r>
              <w:rPr>
                <w:sz w:val="18"/>
              </w:rPr>
              <w:t>semestral las desviaciones de las estimaciones de costos por centro gestor con sus </w:t>
            </w:r>
            <w:r>
              <w:rPr>
                <w:spacing w:val="-2"/>
                <w:sz w:val="18"/>
              </w:rPr>
              <w:t>justificaciones.</w:t>
            </w:r>
          </w:p>
        </w:tc>
        <w:tc>
          <w:tcPr>
            <w:tcW w:w="1820" w:type="dxa"/>
          </w:tcPr>
          <w:p>
            <w:pPr>
              <w:pStyle w:val="TableParagraph"/>
              <w:rPr>
                <w:b/>
                <w:sz w:val="18"/>
              </w:rPr>
            </w:pPr>
          </w:p>
          <w:p>
            <w:pPr>
              <w:pStyle w:val="TableParagraph"/>
              <w:spacing w:before="17"/>
              <w:rPr>
                <w:b/>
                <w:sz w:val="18"/>
              </w:rPr>
            </w:pPr>
          </w:p>
          <w:p>
            <w:pPr>
              <w:pStyle w:val="TableParagraph"/>
              <w:ind w:left="66" w:right="103"/>
              <w:rPr>
                <w:sz w:val="18"/>
              </w:rPr>
            </w:pPr>
            <w:r>
              <w:rPr>
                <w:sz w:val="18"/>
              </w:rPr>
              <w:t>Cantidad</w:t>
            </w:r>
            <w:r>
              <w:rPr>
                <w:spacing w:val="-13"/>
                <w:sz w:val="18"/>
              </w:rPr>
              <w:t> </w:t>
            </w:r>
            <w:r>
              <w:rPr>
                <w:sz w:val="18"/>
              </w:rPr>
              <w:t>de </w:t>
            </w:r>
            <w:r>
              <w:rPr>
                <w:spacing w:val="-2"/>
                <w:sz w:val="18"/>
              </w:rPr>
              <w:t>monitoreo</w:t>
            </w:r>
          </w:p>
        </w:tc>
        <w:tc>
          <w:tcPr>
            <w:tcW w:w="1249" w:type="dxa"/>
          </w:tcPr>
          <w:p>
            <w:pPr>
              <w:pStyle w:val="TableParagraph"/>
              <w:rPr>
                <w:rFonts w:ascii="Times New Roman"/>
                <w:sz w:val="18"/>
              </w:rPr>
            </w:pP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b/>
                <w:sz w:val="18"/>
              </w:rPr>
            </w:pPr>
          </w:p>
          <w:p>
            <w:pPr>
              <w:pStyle w:val="TableParagraph"/>
              <w:spacing w:before="118"/>
              <w:rPr>
                <w:b/>
                <w:sz w:val="18"/>
              </w:rPr>
            </w:pPr>
          </w:p>
          <w:p>
            <w:pPr>
              <w:pStyle w:val="TableParagraph"/>
              <w:ind w:left="21" w:right="22"/>
              <w:jc w:val="center"/>
              <w:rPr>
                <w:sz w:val="18"/>
              </w:rPr>
            </w:pPr>
            <w:r>
              <w:rPr>
                <w:spacing w:val="-10"/>
                <w:sz w:val="18"/>
              </w:rPr>
              <w:t>1</w:t>
            </w:r>
          </w:p>
        </w:tc>
        <w:tc>
          <w:tcPr>
            <w:tcW w:w="1134" w:type="dxa"/>
          </w:tcPr>
          <w:p>
            <w:pPr>
              <w:pStyle w:val="TableParagraph"/>
              <w:rPr>
                <w:rFonts w:ascii="Times New Roman"/>
                <w:sz w:val="18"/>
              </w:rPr>
            </w:pPr>
          </w:p>
        </w:tc>
        <w:tc>
          <w:tcPr>
            <w:tcW w:w="1182" w:type="dxa"/>
          </w:tcPr>
          <w:p>
            <w:pPr>
              <w:pStyle w:val="TableParagraph"/>
              <w:rPr>
                <w:rFonts w:ascii="Times New Roman"/>
                <w:sz w:val="18"/>
              </w:rPr>
            </w:pPr>
          </w:p>
        </w:tc>
        <w:tc>
          <w:tcPr>
            <w:tcW w:w="1279" w:type="dxa"/>
          </w:tcPr>
          <w:p>
            <w:pPr>
              <w:pStyle w:val="TableParagraph"/>
              <w:rPr>
                <w:rFonts w:ascii="Times New Roman"/>
                <w:sz w:val="18"/>
              </w:rPr>
            </w:pPr>
          </w:p>
        </w:tc>
      </w:tr>
      <w:tr>
        <w:trPr>
          <w:trHeight w:val="1248" w:hRule="atLeast"/>
        </w:trPr>
        <w:tc>
          <w:tcPr>
            <w:tcW w:w="2790" w:type="dxa"/>
          </w:tcPr>
          <w:p>
            <w:pPr>
              <w:pStyle w:val="TableParagraph"/>
              <w:spacing w:line="207" w:lineRule="exact" w:before="3"/>
              <w:ind w:left="72"/>
              <w:rPr>
                <w:b/>
                <w:sz w:val="18"/>
              </w:rPr>
            </w:pPr>
            <w:r>
              <w:rPr>
                <w:b/>
                <w:sz w:val="18"/>
              </w:rPr>
              <w:t>Actividad</w:t>
            </w:r>
            <w:r>
              <w:rPr>
                <w:b/>
                <w:spacing w:val="-6"/>
                <w:sz w:val="18"/>
              </w:rPr>
              <w:t> </w:t>
            </w:r>
            <w:r>
              <w:rPr>
                <w:b/>
                <w:sz w:val="18"/>
              </w:rPr>
              <w:t>PAC</w:t>
            </w:r>
            <w:r>
              <w:rPr>
                <w:b/>
                <w:spacing w:val="-2"/>
                <w:sz w:val="18"/>
              </w:rPr>
              <w:t> 2.30.4:</w:t>
            </w:r>
          </w:p>
          <w:p>
            <w:pPr>
              <w:pStyle w:val="TableParagraph"/>
              <w:ind w:left="72" w:right="109"/>
              <w:rPr>
                <w:sz w:val="18"/>
              </w:rPr>
            </w:pPr>
            <w:r>
              <w:rPr>
                <w:sz w:val="18"/>
              </w:rPr>
              <w:t>Ajustar</w:t>
            </w:r>
            <w:r>
              <w:rPr>
                <w:spacing w:val="-11"/>
                <w:sz w:val="18"/>
              </w:rPr>
              <w:t> </w:t>
            </w:r>
            <w:r>
              <w:rPr>
                <w:sz w:val="18"/>
              </w:rPr>
              <w:t>anualmente</w:t>
            </w:r>
            <w:r>
              <w:rPr>
                <w:spacing w:val="-13"/>
                <w:sz w:val="18"/>
              </w:rPr>
              <w:t> </w:t>
            </w:r>
            <w:r>
              <w:rPr>
                <w:sz w:val="18"/>
              </w:rPr>
              <w:t>la</w:t>
            </w:r>
            <w:r>
              <w:rPr>
                <w:spacing w:val="-9"/>
                <w:sz w:val="18"/>
              </w:rPr>
              <w:t> </w:t>
            </w:r>
            <w:r>
              <w:rPr>
                <w:sz w:val="18"/>
              </w:rPr>
              <w:t>estructura de costos institucionales, derivado de las desviaciones que se identifiquen en las</w:t>
            </w:r>
          </w:p>
          <w:p>
            <w:pPr>
              <w:pStyle w:val="TableParagraph"/>
              <w:spacing w:line="190" w:lineRule="exact"/>
              <w:ind w:left="72"/>
              <w:rPr>
                <w:sz w:val="18"/>
              </w:rPr>
            </w:pPr>
            <w:r>
              <w:rPr>
                <w:sz w:val="18"/>
              </w:rPr>
              <w:t>estimaciones</w:t>
            </w:r>
            <w:r>
              <w:rPr>
                <w:spacing w:val="-5"/>
                <w:sz w:val="18"/>
              </w:rPr>
              <w:t> </w:t>
            </w:r>
            <w:r>
              <w:rPr>
                <w:sz w:val="18"/>
              </w:rPr>
              <w:t>de</w:t>
            </w:r>
            <w:r>
              <w:rPr>
                <w:spacing w:val="-5"/>
                <w:sz w:val="18"/>
              </w:rPr>
              <w:t> </w:t>
            </w:r>
            <w:r>
              <w:rPr>
                <w:spacing w:val="-2"/>
                <w:sz w:val="18"/>
              </w:rPr>
              <w:t>costos.</w:t>
            </w:r>
          </w:p>
        </w:tc>
        <w:tc>
          <w:tcPr>
            <w:tcW w:w="1820" w:type="dxa"/>
          </w:tcPr>
          <w:p>
            <w:pPr>
              <w:pStyle w:val="TableParagraph"/>
              <w:spacing w:before="3"/>
              <w:rPr>
                <w:b/>
                <w:sz w:val="18"/>
              </w:rPr>
            </w:pPr>
          </w:p>
          <w:p>
            <w:pPr>
              <w:pStyle w:val="TableParagraph"/>
              <w:ind w:left="66" w:right="103"/>
              <w:rPr>
                <w:sz w:val="18"/>
              </w:rPr>
            </w:pPr>
            <w:r>
              <w:rPr>
                <w:sz w:val="18"/>
              </w:rPr>
              <w:t>Cantidad de ajuste anual de la estructura</w:t>
            </w:r>
            <w:r>
              <w:rPr>
                <w:spacing w:val="-15"/>
                <w:sz w:val="18"/>
              </w:rPr>
              <w:t> </w:t>
            </w:r>
            <w:r>
              <w:rPr>
                <w:sz w:val="18"/>
              </w:rPr>
              <w:t>de</w:t>
            </w:r>
            <w:r>
              <w:rPr>
                <w:spacing w:val="-12"/>
                <w:sz w:val="18"/>
              </w:rPr>
              <w:t> </w:t>
            </w:r>
            <w:r>
              <w:rPr>
                <w:sz w:val="18"/>
              </w:rPr>
              <w:t>costos </w:t>
            </w:r>
            <w:r>
              <w:rPr>
                <w:spacing w:val="-2"/>
                <w:sz w:val="18"/>
              </w:rPr>
              <w:t>necesarios.</w:t>
            </w:r>
          </w:p>
        </w:tc>
        <w:tc>
          <w:tcPr>
            <w:tcW w:w="1249" w:type="dxa"/>
          </w:tcPr>
          <w:p>
            <w:pPr>
              <w:pStyle w:val="TableParagraph"/>
              <w:rPr>
                <w:b/>
                <w:sz w:val="18"/>
              </w:rPr>
            </w:pPr>
          </w:p>
          <w:p>
            <w:pPr>
              <w:pStyle w:val="TableParagraph"/>
              <w:spacing w:before="108"/>
              <w:rPr>
                <w:b/>
                <w:sz w:val="18"/>
              </w:rPr>
            </w:pPr>
          </w:p>
          <w:p>
            <w:pPr>
              <w:pStyle w:val="TableParagraph"/>
              <w:ind w:left="14" w:right="10"/>
              <w:jc w:val="center"/>
              <w:rPr>
                <w:sz w:val="18"/>
              </w:rPr>
            </w:pPr>
            <w:r>
              <w:rPr>
                <w:spacing w:val="-10"/>
                <w:sz w:val="18"/>
              </w:rPr>
              <w:t>1</w:t>
            </w: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rFonts w:ascii="Times New Roman"/>
                <w:sz w:val="18"/>
              </w:rPr>
            </w:pPr>
          </w:p>
        </w:tc>
        <w:tc>
          <w:tcPr>
            <w:tcW w:w="1279" w:type="dxa"/>
          </w:tcPr>
          <w:p>
            <w:pPr>
              <w:pStyle w:val="TableParagraph"/>
              <w:rPr>
                <w:rFonts w:ascii="Times New Roman"/>
                <w:sz w:val="18"/>
              </w:rPr>
            </w:pPr>
          </w:p>
        </w:tc>
      </w:tr>
      <w:tr>
        <w:trPr>
          <w:trHeight w:val="2597" w:hRule="atLeast"/>
        </w:trPr>
        <w:tc>
          <w:tcPr>
            <w:tcW w:w="2790" w:type="dxa"/>
          </w:tcPr>
          <w:p>
            <w:pPr>
              <w:pStyle w:val="TableParagraph"/>
              <w:spacing w:line="207" w:lineRule="exact" w:before="56"/>
              <w:ind w:left="72"/>
              <w:rPr>
                <w:b/>
                <w:sz w:val="18"/>
              </w:rPr>
            </w:pPr>
            <w:r>
              <w:rPr>
                <w:b/>
                <w:sz w:val="18"/>
              </w:rPr>
              <w:t>Actividad</w:t>
            </w:r>
            <w:r>
              <w:rPr>
                <w:b/>
                <w:spacing w:val="-6"/>
                <w:sz w:val="18"/>
              </w:rPr>
              <w:t> </w:t>
            </w:r>
            <w:r>
              <w:rPr>
                <w:b/>
                <w:sz w:val="18"/>
              </w:rPr>
              <w:t>PAC</w:t>
            </w:r>
            <w:r>
              <w:rPr>
                <w:b/>
                <w:spacing w:val="-2"/>
                <w:sz w:val="18"/>
              </w:rPr>
              <w:t> 2.30.5:</w:t>
            </w:r>
          </w:p>
          <w:p>
            <w:pPr>
              <w:pStyle w:val="TableParagraph"/>
              <w:ind w:left="72" w:right="109"/>
              <w:rPr>
                <w:sz w:val="18"/>
              </w:rPr>
            </w:pPr>
            <w:r>
              <w:rPr>
                <w:sz w:val="18"/>
              </w:rPr>
              <w:t>Emitir lineamientos para que se incorporen cada uno de los aspectos de promoción del desarrollo social, promoción de la</w:t>
            </w:r>
            <w:r>
              <w:rPr>
                <w:spacing w:val="-7"/>
                <w:sz w:val="18"/>
              </w:rPr>
              <w:t> </w:t>
            </w:r>
            <w:r>
              <w:rPr>
                <w:sz w:val="18"/>
              </w:rPr>
              <w:t>inclusión</w:t>
            </w:r>
            <w:r>
              <w:rPr>
                <w:spacing w:val="-7"/>
                <w:sz w:val="18"/>
              </w:rPr>
              <w:t> </w:t>
            </w:r>
            <w:r>
              <w:rPr>
                <w:sz w:val="18"/>
              </w:rPr>
              <w:t>social,</w:t>
            </w:r>
            <w:r>
              <w:rPr>
                <w:spacing w:val="-9"/>
                <w:sz w:val="18"/>
              </w:rPr>
              <w:t> </w:t>
            </w:r>
            <w:r>
              <w:rPr>
                <w:sz w:val="18"/>
              </w:rPr>
              <w:t>promoción</w:t>
            </w:r>
            <w:r>
              <w:rPr>
                <w:spacing w:val="-10"/>
                <w:sz w:val="18"/>
              </w:rPr>
              <w:t> </w:t>
            </w:r>
            <w:r>
              <w:rPr>
                <w:sz w:val="18"/>
              </w:rPr>
              <w:t>de la sostenibilidad ambiental, promoción de la innovación de las compras públicas y promoción</w:t>
            </w:r>
            <w:r>
              <w:rPr>
                <w:spacing w:val="-9"/>
                <w:sz w:val="18"/>
              </w:rPr>
              <w:t> </w:t>
            </w:r>
            <w:r>
              <w:rPr>
                <w:sz w:val="18"/>
              </w:rPr>
              <w:t>de</w:t>
            </w:r>
            <w:r>
              <w:rPr>
                <w:spacing w:val="-6"/>
                <w:sz w:val="18"/>
              </w:rPr>
              <w:t> </w:t>
            </w:r>
            <w:r>
              <w:rPr>
                <w:sz w:val="18"/>
              </w:rPr>
              <w:t>la</w:t>
            </w:r>
            <w:r>
              <w:rPr>
                <w:spacing w:val="-9"/>
                <w:sz w:val="18"/>
              </w:rPr>
              <w:t> </w:t>
            </w:r>
            <w:r>
              <w:rPr>
                <w:sz w:val="18"/>
              </w:rPr>
              <w:t>participación</w:t>
            </w:r>
            <w:r>
              <w:rPr>
                <w:spacing w:val="-9"/>
                <w:sz w:val="18"/>
              </w:rPr>
              <w:t> </w:t>
            </w:r>
            <w:r>
              <w:rPr>
                <w:sz w:val="18"/>
              </w:rPr>
              <w:t>de PYMES en los procedimientos de contratación.</w:t>
            </w:r>
          </w:p>
        </w:tc>
        <w:tc>
          <w:tcPr>
            <w:tcW w:w="1820" w:type="dxa"/>
          </w:tcPr>
          <w:p>
            <w:pPr>
              <w:pStyle w:val="TableParagraph"/>
              <w:rPr>
                <w:b/>
                <w:sz w:val="18"/>
              </w:rPr>
            </w:pPr>
          </w:p>
          <w:p>
            <w:pPr>
              <w:pStyle w:val="TableParagraph"/>
              <w:rPr>
                <w:b/>
                <w:sz w:val="18"/>
              </w:rPr>
            </w:pPr>
          </w:p>
          <w:p>
            <w:pPr>
              <w:pStyle w:val="TableParagraph"/>
              <w:rPr>
                <w:b/>
                <w:sz w:val="18"/>
              </w:rPr>
            </w:pPr>
          </w:p>
          <w:p>
            <w:pPr>
              <w:pStyle w:val="TableParagraph"/>
              <w:spacing w:before="160"/>
              <w:rPr>
                <w:b/>
                <w:sz w:val="18"/>
              </w:rPr>
            </w:pPr>
          </w:p>
          <w:p>
            <w:pPr>
              <w:pStyle w:val="TableParagraph"/>
              <w:ind w:left="66" w:right="723"/>
              <w:jc w:val="both"/>
              <w:rPr>
                <w:sz w:val="18"/>
              </w:rPr>
            </w:pPr>
            <w:r>
              <w:rPr>
                <w:sz w:val="18"/>
              </w:rPr>
              <w:t>Cantidad de </w:t>
            </w:r>
            <w:r>
              <w:rPr>
                <w:spacing w:val="-2"/>
                <w:sz w:val="18"/>
              </w:rPr>
              <w:t>lineamientos emitidos</w:t>
            </w:r>
          </w:p>
        </w:tc>
        <w:tc>
          <w:tcPr>
            <w:tcW w:w="124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9"/>
              <w:rPr>
                <w:b/>
                <w:sz w:val="18"/>
              </w:rPr>
            </w:pPr>
          </w:p>
          <w:p>
            <w:pPr>
              <w:pStyle w:val="TableParagraph"/>
              <w:ind w:left="14" w:right="10"/>
              <w:jc w:val="center"/>
              <w:rPr>
                <w:sz w:val="18"/>
              </w:rPr>
            </w:pPr>
            <w:r>
              <w:rPr>
                <w:spacing w:val="-10"/>
                <w:sz w:val="18"/>
              </w:rPr>
              <w:t>1</w:t>
            </w: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rFonts w:ascii="Times New Roman"/>
                <w:sz w:val="18"/>
              </w:rPr>
            </w:pPr>
          </w:p>
        </w:tc>
        <w:tc>
          <w:tcPr>
            <w:tcW w:w="1279" w:type="dxa"/>
          </w:tcPr>
          <w:p>
            <w:pPr>
              <w:pStyle w:val="TableParagraph"/>
              <w:rPr>
                <w:rFonts w:ascii="Times New Roman"/>
                <w:sz w:val="18"/>
              </w:rPr>
            </w:pPr>
          </w:p>
        </w:tc>
      </w:tr>
      <w:tr>
        <w:trPr>
          <w:trHeight w:val="1080" w:hRule="atLeast"/>
        </w:trPr>
        <w:tc>
          <w:tcPr>
            <w:tcW w:w="2790" w:type="dxa"/>
          </w:tcPr>
          <w:p>
            <w:pPr>
              <w:pStyle w:val="TableParagraph"/>
              <w:spacing w:line="242" w:lineRule="auto" w:before="18"/>
              <w:ind w:left="72" w:right="244"/>
              <w:rPr>
                <w:sz w:val="18"/>
              </w:rPr>
            </w:pPr>
            <w:r>
              <w:rPr>
                <w:b/>
                <w:sz w:val="18"/>
              </w:rPr>
              <w:t>Actividad PAC 2.30.6: </w:t>
            </w:r>
            <w:r>
              <w:rPr>
                <w:sz w:val="18"/>
              </w:rPr>
              <w:t>Efectuar</w:t>
            </w:r>
            <w:r>
              <w:rPr>
                <w:spacing w:val="-6"/>
                <w:sz w:val="18"/>
              </w:rPr>
              <w:t> </w:t>
            </w:r>
            <w:r>
              <w:rPr>
                <w:sz w:val="18"/>
              </w:rPr>
              <w:t>reuniones</w:t>
            </w:r>
            <w:r>
              <w:rPr>
                <w:spacing w:val="-8"/>
                <w:sz w:val="18"/>
              </w:rPr>
              <w:t> </w:t>
            </w:r>
            <w:r>
              <w:rPr>
                <w:sz w:val="18"/>
              </w:rPr>
              <w:t>para</w:t>
            </w:r>
            <w:r>
              <w:rPr>
                <w:spacing w:val="-8"/>
                <w:sz w:val="18"/>
              </w:rPr>
              <w:t> </w:t>
            </w:r>
            <w:r>
              <w:rPr>
                <w:sz w:val="18"/>
              </w:rPr>
              <w:t>el seguimiento</w:t>
            </w:r>
            <w:r>
              <w:rPr>
                <w:spacing w:val="-5"/>
                <w:sz w:val="18"/>
              </w:rPr>
              <w:t> </w:t>
            </w:r>
            <w:r>
              <w:rPr>
                <w:sz w:val="18"/>
              </w:rPr>
              <w:t>a</w:t>
            </w:r>
            <w:r>
              <w:rPr>
                <w:spacing w:val="-1"/>
                <w:sz w:val="18"/>
              </w:rPr>
              <w:t> </w:t>
            </w:r>
            <w:r>
              <w:rPr>
                <w:sz w:val="18"/>
              </w:rPr>
              <w:t>la</w:t>
            </w:r>
            <w:r>
              <w:rPr>
                <w:spacing w:val="-5"/>
                <w:sz w:val="18"/>
              </w:rPr>
              <w:t> </w:t>
            </w:r>
            <w:r>
              <w:rPr>
                <w:spacing w:val="-2"/>
                <w:sz w:val="18"/>
              </w:rPr>
              <w:t>ejecución</w:t>
            </w:r>
          </w:p>
          <w:p>
            <w:pPr>
              <w:pStyle w:val="TableParagraph"/>
              <w:ind w:left="72"/>
              <w:rPr>
                <w:sz w:val="18"/>
              </w:rPr>
            </w:pPr>
            <w:r>
              <w:rPr>
                <w:sz w:val="18"/>
              </w:rPr>
              <w:t>presupuestaria</w:t>
            </w:r>
            <w:r>
              <w:rPr>
                <w:spacing w:val="-13"/>
                <w:sz w:val="18"/>
              </w:rPr>
              <w:t> </w:t>
            </w:r>
            <w:r>
              <w:rPr>
                <w:sz w:val="18"/>
              </w:rPr>
              <w:t>de</w:t>
            </w:r>
            <w:r>
              <w:rPr>
                <w:spacing w:val="-10"/>
                <w:sz w:val="18"/>
              </w:rPr>
              <w:t> </w:t>
            </w:r>
            <w:r>
              <w:rPr>
                <w:sz w:val="18"/>
              </w:rPr>
              <w:t>los</w:t>
            </w:r>
            <w:r>
              <w:rPr>
                <w:spacing w:val="-13"/>
                <w:sz w:val="18"/>
              </w:rPr>
              <w:t> </w:t>
            </w:r>
            <w:r>
              <w:rPr>
                <w:sz w:val="18"/>
              </w:rPr>
              <w:t>programas </w:t>
            </w:r>
            <w:r>
              <w:rPr>
                <w:spacing w:val="-2"/>
                <w:sz w:val="18"/>
              </w:rPr>
              <w:t>presupuestarios.</w:t>
            </w:r>
          </w:p>
        </w:tc>
        <w:tc>
          <w:tcPr>
            <w:tcW w:w="1820" w:type="dxa"/>
          </w:tcPr>
          <w:p>
            <w:pPr>
              <w:pStyle w:val="TableParagraph"/>
              <w:spacing w:before="17"/>
              <w:rPr>
                <w:b/>
                <w:sz w:val="18"/>
              </w:rPr>
            </w:pPr>
          </w:p>
          <w:p>
            <w:pPr>
              <w:pStyle w:val="TableParagraph"/>
              <w:spacing w:line="242" w:lineRule="auto"/>
              <w:ind w:left="66" w:right="336"/>
              <w:rPr>
                <w:sz w:val="18"/>
              </w:rPr>
            </w:pPr>
            <w:r>
              <w:rPr>
                <w:sz w:val="18"/>
              </w:rPr>
              <w:t>Cantidad</w:t>
            </w:r>
            <w:r>
              <w:rPr>
                <w:spacing w:val="-13"/>
                <w:sz w:val="18"/>
              </w:rPr>
              <w:t> </w:t>
            </w:r>
            <w:r>
              <w:rPr>
                <w:sz w:val="18"/>
              </w:rPr>
              <w:t>de </w:t>
            </w:r>
            <w:r>
              <w:rPr>
                <w:spacing w:val="-2"/>
                <w:sz w:val="18"/>
              </w:rPr>
              <w:t>reuniones realizadas.</w:t>
            </w:r>
          </w:p>
        </w:tc>
        <w:tc>
          <w:tcPr>
            <w:tcW w:w="1249" w:type="dxa"/>
          </w:tcPr>
          <w:p>
            <w:pPr>
              <w:pStyle w:val="TableParagraph"/>
              <w:rPr>
                <w:b/>
                <w:sz w:val="18"/>
              </w:rPr>
            </w:pPr>
          </w:p>
          <w:p>
            <w:pPr>
              <w:pStyle w:val="TableParagraph"/>
              <w:spacing w:before="21"/>
              <w:rPr>
                <w:b/>
                <w:sz w:val="18"/>
              </w:rPr>
            </w:pPr>
          </w:p>
          <w:p>
            <w:pPr>
              <w:pStyle w:val="TableParagraph"/>
              <w:ind w:left="14" w:right="10"/>
              <w:jc w:val="center"/>
              <w:rPr>
                <w:sz w:val="18"/>
              </w:rPr>
            </w:pPr>
            <w:r>
              <w:rPr>
                <w:spacing w:val="-10"/>
                <w:sz w:val="18"/>
              </w:rPr>
              <w:t>2</w:t>
            </w:r>
          </w:p>
        </w:tc>
        <w:tc>
          <w:tcPr>
            <w:tcW w:w="1278" w:type="dxa"/>
          </w:tcPr>
          <w:p>
            <w:pPr>
              <w:pStyle w:val="TableParagraph"/>
              <w:rPr>
                <w:rFonts w:ascii="Times New Roman"/>
                <w:sz w:val="18"/>
              </w:rPr>
            </w:pPr>
          </w:p>
        </w:tc>
        <w:tc>
          <w:tcPr>
            <w:tcW w:w="1182" w:type="dxa"/>
          </w:tcPr>
          <w:p>
            <w:pPr>
              <w:pStyle w:val="TableParagraph"/>
              <w:rPr>
                <w:b/>
                <w:sz w:val="18"/>
              </w:rPr>
            </w:pPr>
          </w:p>
          <w:p>
            <w:pPr>
              <w:pStyle w:val="TableParagraph"/>
              <w:spacing w:before="21"/>
              <w:rPr>
                <w:b/>
                <w:sz w:val="18"/>
              </w:rPr>
            </w:pPr>
          </w:p>
          <w:p>
            <w:pPr>
              <w:pStyle w:val="TableParagraph"/>
              <w:ind w:left="21" w:right="21"/>
              <w:jc w:val="center"/>
              <w:rPr>
                <w:sz w:val="18"/>
              </w:rPr>
            </w:pPr>
            <w:r>
              <w:rPr>
                <w:spacing w:val="-10"/>
                <w:sz w:val="18"/>
              </w:rPr>
              <w:t>5</w:t>
            </w:r>
          </w:p>
        </w:tc>
        <w:tc>
          <w:tcPr>
            <w:tcW w:w="1134" w:type="dxa"/>
          </w:tcPr>
          <w:p>
            <w:pPr>
              <w:pStyle w:val="TableParagraph"/>
              <w:rPr>
                <w:rFonts w:ascii="Times New Roman"/>
                <w:sz w:val="18"/>
              </w:rPr>
            </w:pPr>
          </w:p>
        </w:tc>
        <w:tc>
          <w:tcPr>
            <w:tcW w:w="1278" w:type="dxa"/>
          </w:tcPr>
          <w:p>
            <w:pPr>
              <w:pStyle w:val="TableParagraph"/>
              <w:rPr>
                <w:b/>
                <w:sz w:val="18"/>
              </w:rPr>
            </w:pPr>
          </w:p>
          <w:p>
            <w:pPr>
              <w:pStyle w:val="TableParagraph"/>
              <w:spacing w:before="21"/>
              <w:rPr>
                <w:b/>
                <w:sz w:val="18"/>
              </w:rPr>
            </w:pPr>
          </w:p>
          <w:p>
            <w:pPr>
              <w:pStyle w:val="TableParagraph"/>
              <w:ind w:left="21" w:right="22"/>
              <w:jc w:val="center"/>
              <w:rPr>
                <w:sz w:val="18"/>
              </w:rPr>
            </w:pPr>
            <w:r>
              <w:rPr>
                <w:spacing w:val="-10"/>
                <w:sz w:val="18"/>
              </w:rPr>
              <w:t>8</w:t>
            </w: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spacing w:before="21"/>
              <w:rPr>
                <w:b/>
                <w:sz w:val="18"/>
              </w:rPr>
            </w:pPr>
          </w:p>
          <w:p>
            <w:pPr>
              <w:pStyle w:val="TableParagraph"/>
              <w:ind w:left="21" w:right="30"/>
              <w:jc w:val="center"/>
              <w:rPr>
                <w:sz w:val="18"/>
              </w:rPr>
            </w:pPr>
            <w:r>
              <w:rPr>
                <w:spacing w:val="-5"/>
                <w:sz w:val="18"/>
              </w:rPr>
              <w:t>10</w:t>
            </w:r>
          </w:p>
        </w:tc>
        <w:tc>
          <w:tcPr>
            <w:tcW w:w="1279" w:type="dxa"/>
          </w:tcPr>
          <w:p>
            <w:pPr>
              <w:pStyle w:val="TableParagraph"/>
              <w:rPr>
                <w:rFonts w:ascii="Times New Roman"/>
                <w:sz w:val="18"/>
              </w:rPr>
            </w:pPr>
          </w:p>
        </w:tc>
      </w:tr>
      <w:tr>
        <w:trPr>
          <w:trHeight w:val="1243" w:hRule="atLeast"/>
        </w:trPr>
        <w:tc>
          <w:tcPr>
            <w:tcW w:w="2790" w:type="dxa"/>
          </w:tcPr>
          <w:p>
            <w:pPr>
              <w:pStyle w:val="TableParagraph"/>
              <w:ind w:left="72" w:right="189"/>
              <w:rPr>
                <w:sz w:val="18"/>
              </w:rPr>
            </w:pPr>
            <w:r>
              <w:rPr>
                <w:b/>
                <w:sz w:val="18"/>
              </w:rPr>
              <w:t>Actividad PAC 2.30.7: </w:t>
            </w:r>
            <w:r>
              <w:rPr>
                <w:sz w:val="18"/>
              </w:rPr>
              <w:t>Efectuar reuniones para el seguimiento</w:t>
            </w:r>
            <w:r>
              <w:rPr>
                <w:spacing w:val="-10"/>
                <w:sz w:val="18"/>
              </w:rPr>
              <w:t> </w:t>
            </w:r>
            <w:r>
              <w:rPr>
                <w:sz w:val="18"/>
              </w:rPr>
              <w:t>de</w:t>
            </w:r>
            <w:r>
              <w:rPr>
                <w:spacing w:val="-6"/>
                <w:sz w:val="18"/>
              </w:rPr>
              <w:t> </w:t>
            </w:r>
            <w:r>
              <w:rPr>
                <w:sz w:val="18"/>
              </w:rPr>
              <w:t>la</w:t>
            </w:r>
            <w:r>
              <w:rPr>
                <w:spacing w:val="-10"/>
                <w:sz w:val="18"/>
              </w:rPr>
              <w:t> </w:t>
            </w:r>
            <w:r>
              <w:rPr>
                <w:sz w:val="18"/>
              </w:rPr>
              <w:t>ejecución</w:t>
            </w:r>
            <w:r>
              <w:rPr>
                <w:spacing w:val="-10"/>
                <w:sz w:val="18"/>
              </w:rPr>
              <w:t> </w:t>
            </w:r>
            <w:r>
              <w:rPr>
                <w:sz w:val="18"/>
              </w:rPr>
              <w:t>del Programa Anual de Adquisiciones y la vinculación</w:t>
            </w:r>
          </w:p>
          <w:p>
            <w:pPr>
              <w:pStyle w:val="TableParagraph"/>
              <w:spacing w:line="189" w:lineRule="exact"/>
              <w:ind w:left="72"/>
              <w:rPr>
                <w:sz w:val="18"/>
              </w:rPr>
            </w:pPr>
            <w:r>
              <w:rPr>
                <w:sz w:val="18"/>
              </w:rPr>
              <w:t>con</w:t>
            </w:r>
            <w:r>
              <w:rPr>
                <w:spacing w:val="1"/>
                <w:sz w:val="18"/>
              </w:rPr>
              <w:t> </w:t>
            </w:r>
            <w:r>
              <w:rPr>
                <w:sz w:val="18"/>
              </w:rPr>
              <w:t>el</w:t>
            </w:r>
            <w:r>
              <w:rPr>
                <w:spacing w:val="-4"/>
                <w:sz w:val="18"/>
              </w:rPr>
              <w:t> </w:t>
            </w:r>
            <w:r>
              <w:rPr>
                <w:spacing w:val="-2"/>
                <w:sz w:val="18"/>
              </w:rPr>
              <w:t>presupuesto.</w:t>
            </w:r>
          </w:p>
        </w:tc>
        <w:tc>
          <w:tcPr>
            <w:tcW w:w="1820" w:type="dxa"/>
          </w:tcPr>
          <w:p>
            <w:pPr>
              <w:pStyle w:val="TableParagraph"/>
              <w:spacing w:before="99"/>
              <w:rPr>
                <w:b/>
                <w:sz w:val="18"/>
              </w:rPr>
            </w:pPr>
          </w:p>
          <w:p>
            <w:pPr>
              <w:pStyle w:val="TableParagraph"/>
              <w:spacing w:line="242" w:lineRule="auto"/>
              <w:ind w:left="66" w:right="336"/>
              <w:rPr>
                <w:sz w:val="18"/>
              </w:rPr>
            </w:pPr>
            <w:r>
              <w:rPr>
                <w:sz w:val="18"/>
              </w:rPr>
              <w:t>Cantidad</w:t>
            </w:r>
            <w:r>
              <w:rPr>
                <w:spacing w:val="-13"/>
                <w:sz w:val="18"/>
              </w:rPr>
              <w:t> </w:t>
            </w:r>
            <w:r>
              <w:rPr>
                <w:sz w:val="18"/>
              </w:rPr>
              <w:t>de </w:t>
            </w:r>
            <w:r>
              <w:rPr>
                <w:spacing w:val="-2"/>
                <w:sz w:val="18"/>
              </w:rPr>
              <w:t>reuniones realizadas.</w:t>
            </w:r>
          </w:p>
        </w:tc>
        <w:tc>
          <w:tcPr>
            <w:tcW w:w="1249" w:type="dxa"/>
          </w:tcPr>
          <w:p>
            <w:pPr>
              <w:pStyle w:val="TableParagraph"/>
              <w:rPr>
                <w:b/>
                <w:sz w:val="18"/>
              </w:rPr>
            </w:pPr>
          </w:p>
          <w:p>
            <w:pPr>
              <w:pStyle w:val="TableParagraph"/>
              <w:spacing w:before="103"/>
              <w:rPr>
                <w:b/>
                <w:sz w:val="18"/>
              </w:rPr>
            </w:pPr>
          </w:p>
          <w:p>
            <w:pPr>
              <w:pStyle w:val="TableParagraph"/>
              <w:ind w:left="14" w:right="10"/>
              <w:jc w:val="center"/>
              <w:rPr>
                <w:sz w:val="18"/>
              </w:rPr>
            </w:pPr>
            <w:r>
              <w:rPr>
                <w:spacing w:val="-10"/>
                <w:sz w:val="18"/>
              </w:rPr>
              <w:t>2</w:t>
            </w:r>
          </w:p>
        </w:tc>
        <w:tc>
          <w:tcPr>
            <w:tcW w:w="1278" w:type="dxa"/>
          </w:tcPr>
          <w:p>
            <w:pPr>
              <w:pStyle w:val="TableParagraph"/>
              <w:rPr>
                <w:rFonts w:ascii="Times New Roman"/>
                <w:sz w:val="18"/>
              </w:rPr>
            </w:pPr>
          </w:p>
        </w:tc>
        <w:tc>
          <w:tcPr>
            <w:tcW w:w="1182" w:type="dxa"/>
          </w:tcPr>
          <w:p>
            <w:pPr>
              <w:pStyle w:val="TableParagraph"/>
              <w:rPr>
                <w:b/>
                <w:sz w:val="18"/>
              </w:rPr>
            </w:pPr>
          </w:p>
          <w:p>
            <w:pPr>
              <w:pStyle w:val="TableParagraph"/>
              <w:spacing w:before="103"/>
              <w:rPr>
                <w:b/>
                <w:sz w:val="18"/>
              </w:rPr>
            </w:pPr>
          </w:p>
          <w:p>
            <w:pPr>
              <w:pStyle w:val="TableParagraph"/>
              <w:ind w:left="21" w:right="21"/>
              <w:jc w:val="center"/>
              <w:rPr>
                <w:sz w:val="18"/>
              </w:rPr>
            </w:pPr>
            <w:r>
              <w:rPr>
                <w:spacing w:val="-10"/>
                <w:sz w:val="18"/>
              </w:rPr>
              <w:t>5</w:t>
            </w:r>
          </w:p>
        </w:tc>
        <w:tc>
          <w:tcPr>
            <w:tcW w:w="1134" w:type="dxa"/>
          </w:tcPr>
          <w:p>
            <w:pPr>
              <w:pStyle w:val="TableParagraph"/>
              <w:rPr>
                <w:rFonts w:ascii="Times New Roman"/>
                <w:sz w:val="18"/>
              </w:rPr>
            </w:pPr>
          </w:p>
        </w:tc>
        <w:tc>
          <w:tcPr>
            <w:tcW w:w="1278" w:type="dxa"/>
          </w:tcPr>
          <w:p>
            <w:pPr>
              <w:pStyle w:val="TableParagraph"/>
              <w:rPr>
                <w:b/>
                <w:sz w:val="18"/>
              </w:rPr>
            </w:pPr>
          </w:p>
          <w:p>
            <w:pPr>
              <w:pStyle w:val="TableParagraph"/>
              <w:spacing w:before="103"/>
              <w:rPr>
                <w:b/>
                <w:sz w:val="18"/>
              </w:rPr>
            </w:pPr>
          </w:p>
          <w:p>
            <w:pPr>
              <w:pStyle w:val="TableParagraph"/>
              <w:ind w:left="21" w:right="22"/>
              <w:jc w:val="center"/>
              <w:rPr>
                <w:sz w:val="18"/>
              </w:rPr>
            </w:pPr>
            <w:r>
              <w:rPr>
                <w:spacing w:val="-10"/>
                <w:sz w:val="18"/>
              </w:rPr>
              <w:t>8</w:t>
            </w: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spacing w:before="103"/>
              <w:rPr>
                <w:b/>
                <w:sz w:val="18"/>
              </w:rPr>
            </w:pPr>
          </w:p>
          <w:p>
            <w:pPr>
              <w:pStyle w:val="TableParagraph"/>
              <w:ind w:left="21" w:right="30"/>
              <w:jc w:val="center"/>
              <w:rPr>
                <w:sz w:val="18"/>
              </w:rPr>
            </w:pPr>
            <w:r>
              <w:rPr>
                <w:spacing w:val="-5"/>
                <w:sz w:val="18"/>
              </w:rPr>
              <w:t>10</w:t>
            </w:r>
          </w:p>
        </w:tc>
        <w:tc>
          <w:tcPr>
            <w:tcW w:w="1279"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895"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90"/>
        <w:gridCol w:w="1820"/>
        <w:gridCol w:w="1249"/>
        <w:gridCol w:w="1278"/>
        <w:gridCol w:w="1182"/>
        <w:gridCol w:w="1134"/>
        <w:gridCol w:w="1278"/>
        <w:gridCol w:w="1134"/>
        <w:gridCol w:w="1182"/>
        <w:gridCol w:w="1279"/>
      </w:tblGrid>
      <w:tr>
        <w:trPr>
          <w:trHeight w:val="302" w:hRule="atLeast"/>
        </w:trPr>
        <w:tc>
          <w:tcPr>
            <w:tcW w:w="2790" w:type="dxa"/>
            <w:vMerge w:val="restart"/>
            <w:shd w:val="clear" w:color="auto" w:fill="D9D9D9"/>
          </w:tcPr>
          <w:p>
            <w:pPr>
              <w:pStyle w:val="TableParagraph"/>
              <w:spacing w:before="180"/>
              <w:rPr>
                <w:b/>
                <w:sz w:val="18"/>
              </w:rPr>
            </w:pPr>
          </w:p>
          <w:p>
            <w:pPr>
              <w:pStyle w:val="TableParagraph"/>
              <w:ind w:left="427"/>
              <w:rPr>
                <w:b/>
                <w:sz w:val="18"/>
              </w:rPr>
            </w:pPr>
            <w:r>
              <w:rPr>
                <w:b/>
                <w:sz w:val="18"/>
              </w:rPr>
              <w:t>Objetivos</w:t>
            </w:r>
            <w:r>
              <w:rPr>
                <w:b/>
                <w:spacing w:val="-5"/>
                <w:sz w:val="18"/>
              </w:rPr>
              <w:t> </w:t>
            </w:r>
            <w:r>
              <w:rPr>
                <w:b/>
                <w:sz w:val="18"/>
              </w:rPr>
              <w:t>/</w:t>
            </w:r>
            <w:r>
              <w:rPr>
                <w:b/>
                <w:spacing w:val="-2"/>
                <w:sz w:val="18"/>
              </w:rPr>
              <w:t> Resultados</w:t>
            </w:r>
          </w:p>
        </w:tc>
        <w:tc>
          <w:tcPr>
            <w:tcW w:w="1820" w:type="dxa"/>
            <w:vMerge w:val="restart"/>
            <w:shd w:val="clear" w:color="auto" w:fill="D9D9D9"/>
          </w:tcPr>
          <w:p>
            <w:pPr>
              <w:pStyle w:val="TableParagraph"/>
              <w:spacing w:before="180"/>
              <w:rPr>
                <w:b/>
                <w:sz w:val="18"/>
              </w:rPr>
            </w:pPr>
          </w:p>
          <w:p>
            <w:pPr>
              <w:pStyle w:val="TableParagraph"/>
              <w:ind w:left="498"/>
              <w:rPr>
                <w:b/>
                <w:sz w:val="18"/>
              </w:rPr>
            </w:pPr>
            <w:r>
              <w:rPr>
                <w:b/>
                <w:spacing w:val="-2"/>
                <w:sz w:val="18"/>
              </w:rPr>
              <w:t>Indicador</w:t>
            </w:r>
          </w:p>
        </w:tc>
        <w:tc>
          <w:tcPr>
            <w:tcW w:w="2527" w:type="dxa"/>
            <w:gridSpan w:val="2"/>
            <w:shd w:val="clear" w:color="auto" w:fill="D9D9D9"/>
          </w:tcPr>
          <w:p>
            <w:pPr>
              <w:pStyle w:val="TableParagraph"/>
              <w:spacing w:before="47"/>
              <w:ind w:left="796"/>
              <w:rPr>
                <w:b/>
                <w:sz w:val="18"/>
              </w:rPr>
            </w:pPr>
            <w:r>
              <w:rPr>
                <w:b/>
                <w:sz w:val="18"/>
              </w:rPr>
              <w:t>I</w:t>
            </w:r>
            <w:r>
              <w:rPr>
                <w:b/>
                <w:spacing w:val="-1"/>
                <w:sz w:val="18"/>
              </w:rPr>
              <w:t> </w:t>
            </w:r>
            <w:r>
              <w:rPr>
                <w:b/>
                <w:spacing w:val="-2"/>
                <w:sz w:val="18"/>
              </w:rPr>
              <w:t>Trimestre</w:t>
            </w:r>
          </w:p>
        </w:tc>
        <w:tc>
          <w:tcPr>
            <w:tcW w:w="2316" w:type="dxa"/>
            <w:gridSpan w:val="2"/>
            <w:shd w:val="clear" w:color="auto" w:fill="D9D9D9"/>
          </w:tcPr>
          <w:p>
            <w:pPr>
              <w:pStyle w:val="TableParagraph"/>
              <w:spacing w:before="47"/>
              <w:ind w:left="665"/>
              <w:rPr>
                <w:b/>
                <w:sz w:val="18"/>
              </w:rPr>
            </w:pPr>
            <w:r>
              <w:rPr>
                <w:b/>
                <w:sz w:val="18"/>
              </w:rPr>
              <w:t>II</w:t>
            </w:r>
            <w:r>
              <w:rPr>
                <w:b/>
                <w:spacing w:val="-3"/>
                <w:sz w:val="18"/>
              </w:rPr>
              <w:t> </w:t>
            </w:r>
            <w:r>
              <w:rPr>
                <w:b/>
                <w:spacing w:val="-2"/>
                <w:sz w:val="18"/>
              </w:rPr>
              <w:t>Trimestre</w:t>
            </w:r>
          </w:p>
        </w:tc>
        <w:tc>
          <w:tcPr>
            <w:tcW w:w="2412" w:type="dxa"/>
            <w:gridSpan w:val="2"/>
            <w:shd w:val="clear" w:color="auto" w:fill="D9D9D9"/>
          </w:tcPr>
          <w:p>
            <w:pPr>
              <w:pStyle w:val="TableParagraph"/>
              <w:spacing w:before="47"/>
              <w:ind w:left="692"/>
              <w:rPr>
                <w:b/>
                <w:sz w:val="18"/>
              </w:rPr>
            </w:pPr>
            <w:r>
              <w:rPr>
                <w:b/>
                <w:sz w:val="18"/>
              </w:rPr>
              <w:t>III</w:t>
            </w:r>
            <w:r>
              <w:rPr>
                <w:b/>
                <w:spacing w:val="-2"/>
                <w:sz w:val="18"/>
              </w:rPr>
              <w:t> Trimestre</w:t>
            </w:r>
          </w:p>
        </w:tc>
        <w:tc>
          <w:tcPr>
            <w:tcW w:w="2461" w:type="dxa"/>
            <w:gridSpan w:val="2"/>
            <w:shd w:val="clear" w:color="auto" w:fill="D9D9D9"/>
          </w:tcPr>
          <w:p>
            <w:pPr>
              <w:pStyle w:val="TableParagraph"/>
              <w:spacing w:before="47"/>
              <w:ind w:left="700"/>
              <w:rPr>
                <w:b/>
                <w:sz w:val="18"/>
              </w:rPr>
            </w:pPr>
            <w:r>
              <w:rPr>
                <w:b/>
                <w:sz w:val="18"/>
              </w:rPr>
              <w:t>IV</w:t>
            </w:r>
            <w:r>
              <w:rPr>
                <w:b/>
                <w:spacing w:val="-2"/>
                <w:sz w:val="18"/>
              </w:rPr>
              <w:t> Trimestre</w:t>
            </w:r>
          </w:p>
        </w:tc>
      </w:tr>
      <w:tr>
        <w:trPr>
          <w:trHeight w:val="671" w:hRule="atLeast"/>
        </w:trPr>
        <w:tc>
          <w:tcPr>
            <w:tcW w:w="2790" w:type="dxa"/>
            <w:vMerge/>
            <w:tcBorders>
              <w:top w:val="nil"/>
            </w:tcBorders>
            <w:shd w:val="clear" w:color="auto" w:fill="D9D9D9"/>
          </w:tcPr>
          <w:p>
            <w:pPr>
              <w:rPr>
                <w:sz w:val="2"/>
                <w:szCs w:val="2"/>
              </w:rPr>
            </w:pPr>
          </w:p>
        </w:tc>
        <w:tc>
          <w:tcPr>
            <w:tcW w:w="1820" w:type="dxa"/>
            <w:vMerge/>
            <w:tcBorders>
              <w:top w:val="nil"/>
            </w:tcBorders>
            <w:shd w:val="clear" w:color="auto" w:fill="D9D9D9"/>
          </w:tcPr>
          <w:p>
            <w:pPr>
              <w:rPr>
                <w:sz w:val="2"/>
                <w:szCs w:val="2"/>
              </w:rPr>
            </w:pPr>
          </w:p>
        </w:tc>
        <w:tc>
          <w:tcPr>
            <w:tcW w:w="1249" w:type="dxa"/>
            <w:shd w:val="clear" w:color="auto" w:fill="D9D9D9"/>
          </w:tcPr>
          <w:p>
            <w:pPr>
              <w:pStyle w:val="TableParagraph"/>
              <w:spacing w:before="128"/>
              <w:ind w:left="100" w:firstLine="312"/>
              <w:rPr>
                <w:b/>
                <w:sz w:val="18"/>
              </w:rPr>
            </w:pPr>
            <w:r>
              <w:rPr>
                <w:b/>
                <w:spacing w:val="-4"/>
                <w:sz w:val="18"/>
              </w:rPr>
              <w:t>Meta </w:t>
            </w:r>
            <w:r>
              <w:rPr>
                <w:b/>
                <w:spacing w:val="-2"/>
                <w:sz w:val="18"/>
              </w:rPr>
              <w:t>programada</w:t>
            </w:r>
          </w:p>
        </w:tc>
        <w:tc>
          <w:tcPr>
            <w:tcW w:w="1278" w:type="dxa"/>
            <w:shd w:val="clear" w:color="auto" w:fill="D9D9D9"/>
          </w:tcPr>
          <w:p>
            <w:pPr>
              <w:pStyle w:val="TableParagraph"/>
              <w:spacing w:before="22"/>
              <w:rPr>
                <w:b/>
                <w:sz w:val="18"/>
              </w:rPr>
            </w:pPr>
          </w:p>
          <w:p>
            <w:pPr>
              <w:pStyle w:val="TableParagraph"/>
              <w:ind w:left="21" w:right="19"/>
              <w:jc w:val="center"/>
              <w:rPr>
                <w:b/>
                <w:sz w:val="18"/>
              </w:rPr>
            </w:pPr>
            <w:r>
              <w:rPr>
                <w:b/>
                <w:spacing w:val="-10"/>
                <w:sz w:val="18"/>
              </w:rPr>
              <w:t>¢</w:t>
            </w:r>
          </w:p>
        </w:tc>
        <w:tc>
          <w:tcPr>
            <w:tcW w:w="1182" w:type="dxa"/>
            <w:shd w:val="clear" w:color="auto" w:fill="D9D9D9"/>
          </w:tcPr>
          <w:p>
            <w:pPr>
              <w:pStyle w:val="TableParagraph"/>
              <w:spacing w:before="128"/>
              <w:ind w:left="65" w:firstLine="312"/>
              <w:rPr>
                <w:b/>
                <w:sz w:val="18"/>
              </w:rPr>
            </w:pPr>
            <w:r>
              <w:rPr>
                <w:b/>
                <w:spacing w:val="-4"/>
                <w:sz w:val="18"/>
              </w:rPr>
              <w:t>Meta </w:t>
            </w:r>
            <w:r>
              <w:rPr>
                <w:b/>
                <w:spacing w:val="-2"/>
                <w:sz w:val="18"/>
              </w:rPr>
              <w:t>programada</w:t>
            </w:r>
          </w:p>
        </w:tc>
        <w:tc>
          <w:tcPr>
            <w:tcW w:w="1134" w:type="dxa"/>
            <w:shd w:val="clear" w:color="auto" w:fill="D9D9D9"/>
          </w:tcPr>
          <w:p>
            <w:pPr>
              <w:pStyle w:val="TableParagraph"/>
              <w:spacing w:before="22"/>
              <w:rPr>
                <w:b/>
                <w:sz w:val="18"/>
              </w:rPr>
            </w:pPr>
          </w:p>
          <w:p>
            <w:pPr>
              <w:pStyle w:val="TableParagraph"/>
              <w:jc w:val="center"/>
              <w:rPr>
                <w:b/>
                <w:sz w:val="18"/>
              </w:rPr>
            </w:pPr>
            <w:r>
              <w:rPr>
                <w:b/>
                <w:spacing w:val="-10"/>
                <w:sz w:val="18"/>
              </w:rPr>
              <w:t>¢</w:t>
            </w:r>
          </w:p>
        </w:tc>
        <w:tc>
          <w:tcPr>
            <w:tcW w:w="1278" w:type="dxa"/>
            <w:shd w:val="clear" w:color="auto" w:fill="D9D9D9"/>
          </w:tcPr>
          <w:p>
            <w:pPr>
              <w:pStyle w:val="TableParagraph"/>
              <w:spacing w:before="128"/>
              <w:ind w:left="111" w:firstLine="316"/>
              <w:rPr>
                <w:b/>
                <w:sz w:val="18"/>
              </w:rPr>
            </w:pPr>
            <w:r>
              <w:rPr>
                <w:b/>
                <w:spacing w:val="-4"/>
                <w:sz w:val="18"/>
              </w:rPr>
              <w:t>Meta </w:t>
            </w:r>
            <w:r>
              <w:rPr>
                <w:b/>
                <w:spacing w:val="-2"/>
                <w:sz w:val="18"/>
              </w:rPr>
              <w:t>programada</w:t>
            </w:r>
          </w:p>
        </w:tc>
        <w:tc>
          <w:tcPr>
            <w:tcW w:w="1134" w:type="dxa"/>
            <w:shd w:val="clear" w:color="auto" w:fill="D9D9D9"/>
          </w:tcPr>
          <w:p>
            <w:pPr>
              <w:pStyle w:val="TableParagraph"/>
              <w:spacing w:before="22"/>
              <w:rPr>
                <w:b/>
                <w:sz w:val="18"/>
              </w:rPr>
            </w:pPr>
          </w:p>
          <w:p>
            <w:pPr>
              <w:pStyle w:val="TableParagraph"/>
              <w:ind w:right="2"/>
              <w:jc w:val="center"/>
              <w:rPr>
                <w:b/>
                <w:sz w:val="18"/>
              </w:rPr>
            </w:pPr>
            <w:r>
              <w:rPr>
                <w:b/>
                <w:spacing w:val="-10"/>
                <w:sz w:val="18"/>
              </w:rPr>
              <w:t>¢</w:t>
            </w:r>
          </w:p>
        </w:tc>
        <w:tc>
          <w:tcPr>
            <w:tcW w:w="1182" w:type="dxa"/>
            <w:shd w:val="clear" w:color="auto" w:fill="D9D9D9"/>
          </w:tcPr>
          <w:p>
            <w:pPr>
              <w:pStyle w:val="TableParagraph"/>
              <w:spacing w:before="128"/>
              <w:ind w:left="61" w:firstLine="312"/>
              <w:rPr>
                <w:b/>
                <w:sz w:val="18"/>
              </w:rPr>
            </w:pPr>
            <w:r>
              <w:rPr>
                <w:b/>
                <w:spacing w:val="-4"/>
                <w:sz w:val="18"/>
              </w:rPr>
              <w:t>Meta </w:t>
            </w:r>
            <w:r>
              <w:rPr>
                <w:b/>
                <w:spacing w:val="-2"/>
                <w:sz w:val="18"/>
              </w:rPr>
              <w:t>programada</w:t>
            </w:r>
          </w:p>
        </w:tc>
        <w:tc>
          <w:tcPr>
            <w:tcW w:w="1279" w:type="dxa"/>
            <w:shd w:val="clear" w:color="auto" w:fill="D9D9D9"/>
          </w:tcPr>
          <w:p>
            <w:pPr>
              <w:pStyle w:val="TableParagraph"/>
              <w:spacing w:before="22"/>
              <w:rPr>
                <w:b/>
                <w:sz w:val="18"/>
              </w:rPr>
            </w:pPr>
          </w:p>
          <w:p>
            <w:pPr>
              <w:pStyle w:val="TableParagraph"/>
              <w:ind w:left="1" w:right="7"/>
              <w:jc w:val="center"/>
              <w:rPr>
                <w:b/>
                <w:sz w:val="18"/>
              </w:rPr>
            </w:pPr>
            <w:r>
              <w:rPr>
                <w:b/>
                <w:spacing w:val="-10"/>
                <w:sz w:val="18"/>
              </w:rPr>
              <w:t>¢</w:t>
            </w:r>
          </w:p>
        </w:tc>
      </w:tr>
      <w:tr>
        <w:trPr>
          <w:trHeight w:val="1354" w:hRule="atLeast"/>
        </w:trPr>
        <w:tc>
          <w:tcPr>
            <w:tcW w:w="2790" w:type="dxa"/>
          </w:tcPr>
          <w:p>
            <w:pPr>
              <w:pStyle w:val="TableParagraph"/>
              <w:rPr>
                <w:b/>
                <w:sz w:val="18"/>
              </w:rPr>
            </w:pPr>
          </w:p>
          <w:p>
            <w:pPr>
              <w:pStyle w:val="TableParagraph"/>
              <w:spacing w:before="56"/>
              <w:rPr>
                <w:b/>
                <w:sz w:val="18"/>
              </w:rPr>
            </w:pPr>
          </w:p>
          <w:p>
            <w:pPr>
              <w:pStyle w:val="TableParagraph"/>
              <w:spacing w:line="207" w:lineRule="exact"/>
              <w:ind w:left="72"/>
              <w:rPr>
                <w:b/>
                <w:sz w:val="18"/>
              </w:rPr>
            </w:pPr>
            <w:r>
              <w:rPr>
                <w:b/>
                <w:sz w:val="18"/>
              </w:rPr>
              <w:t>Actividad</w:t>
            </w:r>
            <w:r>
              <w:rPr>
                <w:b/>
                <w:spacing w:val="-6"/>
                <w:sz w:val="18"/>
              </w:rPr>
              <w:t> </w:t>
            </w:r>
            <w:r>
              <w:rPr>
                <w:b/>
                <w:sz w:val="18"/>
              </w:rPr>
              <w:t>PAC</w:t>
            </w:r>
            <w:r>
              <w:rPr>
                <w:b/>
                <w:spacing w:val="-2"/>
                <w:sz w:val="18"/>
              </w:rPr>
              <w:t> 2.30.8:</w:t>
            </w:r>
          </w:p>
          <w:p>
            <w:pPr>
              <w:pStyle w:val="TableParagraph"/>
              <w:spacing w:line="207" w:lineRule="exact"/>
              <w:ind w:left="72"/>
              <w:rPr>
                <w:sz w:val="18"/>
              </w:rPr>
            </w:pPr>
            <w:r>
              <w:rPr>
                <w:sz w:val="18"/>
              </w:rPr>
              <w:t>Ajustar</w:t>
            </w:r>
            <w:r>
              <w:rPr>
                <w:spacing w:val="-6"/>
                <w:sz w:val="18"/>
              </w:rPr>
              <w:t> </w:t>
            </w:r>
            <w:r>
              <w:rPr>
                <w:sz w:val="18"/>
              </w:rPr>
              <w:t>la</w:t>
            </w:r>
            <w:r>
              <w:rPr>
                <w:spacing w:val="-3"/>
                <w:sz w:val="18"/>
              </w:rPr>
              <w:t> </w:t>
            </w:r>
            <w:r>
              <w:rPr>
                <w:sz w:val="18"/>
              </w:rPr>
              <w:t>normativa</w:t>
            </w:r>
            <w:r>
              <w:rPr>
                <w:spacing w:val="-4"/>
                <w:sz w:val="18"/>
              </w:rPr>
              <w:t> </w:t>
            </w:r>
            <w:r>
              <w:rPr>
                <w:spacing w:val="-2"/>
                <w:sz w:val="18"/>
              </w:rPr>
              <w:t>identificada.</w:t>
            </w:r>
          </w:p>
        </w:tc>
        <w:tc>
          <w:tcPr>
            <w:tcW w:w="1820" w:type="dxa"/>
          </w:tcPr>
          <w:p>
            <w:pPr>
              <w:pStyle w:val="TableParagraph"/>
              <w:spacing w:before="57"/>
              <w:ind w:left="66" w:right="116"/>
              <w:rPr>
                <w:sz w:val="18"/>
              </w:rPr>
            </w:pPr>
            <w:r>
              <w:rPr>
                <w:sz w:val="18"/>
              </w:rPr>
              <w:t>Porcentaje de normativa con propuesta</w:t>
            </w:r>
            <w:r>
              <w:rPr>
                <w:spacing w:val="-15"/>
                <w:sz w:val="18"/>
              </w:rPr>
              <w:t> </w:t>
            </w:r>
            <w:r>
              <w:rPr>
                <w:sz w:val="18"/>
              </w:rPr>
              <w:t>de</w:t>
            </w:r>
            <w:r>
              <w:rPr>
                <w:spacing w:val="-12"/>
                <w:sz w:val="18"/>
              </w:rPr>
              <w:t> </w:t>
            </w:r>
            <w:r>
              <w:rPr>
                <w:sz w:val="18"/>
              </w:rPr>
              <w:t>ajuste a las instancias </w:t>
            </w:r>
            <w:r>
              <w:rPr>
                <w:spacing w:val="-2"/>
                <w:sz w:val="18"/>
              </w:rPr>
              <w:t>competentes identificadas.</w:t>
            </w:r>
          </w:p>
        </w:tc>
        <w:tc>
          <w:tcPr>
            <w:tcW w:w="1249" w:type="dxa"/>
          </w:tcPr>
          <w:p>
            <w:pPr>
              <w:pStyle w:val="TableParagraph"/>
              <w:rPr>
                <w:b/>
                <w:sz w:val="18"/>
              </w:rPr>
            </w:pPr>
          </w:p>
          <w:p>
            <w:pPr>
              <w:pStyle w:val="TableParagraph"/>
              <w:spacing w:before="156"/>
              <w:rPr>
                <w:b/>
                <w:sz w:val="18"/>
              </w:rPr>
            </w:pPr>
          </w:p>
          <w:p>
            <w:pPr>
              <w:pStyle w:val="TableParagraph"/>
              <w:ind w:left="387"/>
              <w:rPr>
                <w:sz w:val="18"/>
              </w:rPr>
            </w:pPr>
            <w:r>
              <w:rPr>
                <w:spacing w:val="-4"/>
                <w:sz w:val="18"/>
              </w:rPr>
              <w:t>100%</w:t>
            </w: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rFonts w:ascii="Times New Roman"/>
                <w:sz w:val="18"/>
              </w:rPr>
            </w:pPr>
          </w:p>
        </w:tc>
        <w:tc>
          <w:tcPr>
            <w:tcW w:w="1279" w:type="dxa"/>
          </w:tcPr>
          <w:p>
            <w:pPr>
              <w:pStyle w:val="TableParagraph"/>
              <w:rPr>
                <w:rFonts w:ascii="Times New Roman"/>
                <w:sz w:val="18"/>
              </w:rPr>
            </w:pPr>
          </w:p>
        </w:tc>
      </w:tr>
      <w:tr>
        <w:trPr>
          <w:trHeight w:val="897" w:hRule="atLeast"/>
        </w:trPr>
        <w:tc>
          <w:tcPr>
            <w:tcW w:w="2790" w:type="dxa"/>
          </w:tcPr>
          <w:p>
            <w:pPr>
              <w:pStyle w:val="TableParagraph"/>
              <w:spacing w:before="32"/>
              <w:ind w:left="72" w:right="209"/>
              <w:rPr>
                <w:sz w:val="18"/>
              </w:rPr>
            </w:pPr>
            <w:r>
              <w:rPr>
                <w:b/>
                <w:sz w:val="18"/>
              </w:rPr>
              <w:t>Actividad PAC 2.30.9: </w:t>
            </w:r>
            <w:r>
              <w:rPr>
                <w:sz w:val="18"/>
              </w:rPr>
              <w:t>Realizar</w:t>
            </w:r>
            <w:r>
              <w:rPr>
                <w:spacing w:val="-4"/>
                <w:sz w:val="18"/>
              </w:rPr>
              <w:t> </w:t>
            </w:r>
            <w:r>
              <w:rPr>
                <w:sz w:val="18"/>
              </w:rPr>
              <w:t>el</w:t>
            </w:r>
            <w:r>
              <w:rPr>
                <w:spacing w:val="-11"/>
                <w:sz w:val="18"/>
              </w:rPr>
              <w:t> </w:t>
            </w:r>
            <w:r>
              <w:rPr>
                <w:sz w:val="18"/>
              </w:rPr>
              <w:t>mapeo</w:t>
            </w:r>
            <w:r>
              <w:rPr>
                <w:spacing w:val="-9"/>
                <w:sz w:val="18"/>
              </w:rPr>
              <w:t> </w:t>
            </w:r>
            <w:r>
              <w:rPr>
                <w:sz w:val="18"/>
              </w:rPr>
              <w:t>y</w:t>
            </w:r>
            <w:r>
              <w:rPr>
                <w:spacing w:val="-5"/>
                <w:sz w:val="18"/>
              </w:rPr>
              <w:t> </w:t>
            </w:r>
            <w:r>
              <w:rPr>
                <w:sz w:val="18"/>
              </w:rPr>
              <w:t>análisis</w:t>
            </w:r>
            <w:r>
              <w:rPr>
                <w:spacing w:val="-5"/>
                <w:sz w:val="18"/>
              </w:rPr>
              <w:t> </w:t>
            </w:r>
            <w:r>
              <w:rPr>
                <w:sz w:val="18"/>
              </w:rPr>
              <w:t>de los procesos susceptibles de mejora de eficiencia y eficacia.</w:t>
            </w:r>
          </w:p>
        </w:tc>
        <w:tc>
          <w:tcPr>
            <w:tcW w:w="1820" w:type="dxa"/>
          </w:tcPr>
          <w:p>
            <w:pPr>
              <w:pStyle w:val="TableParagraph"/>
              <w:spacing w:before="138"/>
              <w:ind w:left="66" w:right="103"/>
              <w:rPr>
                <w:sz w:val="18"/>
              </w:rPr>
            </w:pPr>
            <w:r>
              <w:rPr>
                <w:sz w:val="18"/>
              </w:rPr>
              <w:t>Porcentaje de procesos</w:t>
            </w:r>
            <w:r>
              <w:rPr>
                <w:spacing w:val="-13"/>
                <w:sz w:val="18"/>
              </w:rPr>
              <w:t> </w:t>
            </w:r>
            <w:r>
              <w:rPr>
                <w:sz w:val="18"/>
              </w:rPr>
              <w:t>mapeados y analizados.</w:t>
            </w:r>
          </w:p>
        </w:tc>
        <w:tc>
          <w:tcPr>
            <w:tcW w:w="1249" w:type="dxa"/>
          </w:tcPr>
          <w:p>
            <w:pPr>
              <w:pStyle w:val="TableParagraph"/>
              <w:rPr>
                <w:rFonts w:ascii="Times New Roman"/>
                <w:sz w:val="18"/>
              </w:rPr>
            </w:pPr>
          </w:p>
        </w:tc>
        <w:tc>
          <w:tcPr>
            <w:tcW w:w="1278" w:type="dxa"/>
          </w:tcPr>
          <w:p>
            <w:pPr>
              <w:pStyle w:val="TableParagraph"/>
              <w:rPr>
                <w:rFonts w:ascii="Times New Roman"/>
                <w:sz w:val="18"/>
              </w:rPr>
            </w:pPr>
          </w:p>
        </w:tc>
        <w:tc>
          <w:tcPr>
            <w:tcW w:w="1182" w:type="dxa"/>
          </w:tcPr>
          <w:p>
            <w:pPr>
              <w:pStyle w:val="TableParagraph"/>
              <w:spacing w:before="137"/>
              <w:rPr>
                <w:b/>
                <w:sz w:val="18"/>
              </w:rPr>
            </w:pPr>
          </w:p>
          <w:p>
            <w:pPr>
              <w:pStyle w:val="TableParagraph"/>
              <w:ind w:left="353"/>
              <w:rPr>
                <w:sz w:val="18"/>
              </w:rPr>
            </w:pPr>
            <w:r>
              <w:rPr>
                <w:spacing w:val="-4"/>
                <w:sz w:val="18"/>
              </w:rPr>
              <w:t>100%</w:t>
            </w: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rFonts w:ascii="Times New Roman"/>
                <w:sz w:val="18"/>
              </w:rPr>
            </w:pPr>
          </w:p>
        </w:tc>
        <w:tc>
          <w:tcPr>
            <w:tcW w:w="1279" w:type="dxa"/>
          </w:tcPr>
          <w:p>
            <w:pPr>
              <w:pStyle w:val="TableParagraph"/>
              <w:rPr>
                <w:rFonts w:ascii="Times New Roman"/>
                <w:sz w:val="18"/>
              </w:rPr>
            </w:pPr>
          </w:p>
        </w:tc>
      </w:tr>
      <w:tr>
        <w:trPr>
          <w:trHeight w:val="1353" w:hRule="atLeast"/>
        </w:trPr>
        <w:tc>
          <w:tcPr>
            <w:tcW w:w="2790" w:type="dxa"/>
          </w:tcPr>
          <w:p>
            <w:pPr>
              <w:pStyle w:val="TableParagraph"/>
              <w:spacing w:before="158"/>
              <w:ind w:left="72" w:right="117"/>
              <w:rPr>
                <w:sz w:val="18"/>
              </w:rPr>
            </w:pPr>
            <w:r>
              <w:rPr>
                <w:b/>
                <w:sz w:val="18"/>
              </w:rPr>
              <w:t>Actividad PAC 2.30.10: </w:t>
            </w:r>
            <w:r>
              <w:rPr>
                <w:sz w:val="18"/>
              </w:rPr>
              <w:t>Realizar el proceso de cambio en</w:t>
            </w:r>
            <w:r>
              <w:rPr>
                <w:spacing w:val="-8"/>
                <w:sz w:val="18"/>
              </w:rPr>
              <w:t> </w:t>
            </w:r>
            <w:r>
              <w:rPr>
                <w:sz w:val="18"/>
              </w:rPr>
              <w:t>los</w:t>
            </w:r>
            <w:r>
              <w:rPr>
                <w:spacing w:val="-11"/>
                <w:sz w:val="18"/>
              </w:rPr>
              <w:t> </w:t>
            </w:r>
            <w:r>
              <w:rPr>
                <w:sz w:val="18"/>
              </w:rPr>
              <w:t>procesos</w:t>
            </w:r>
            <w:r>
              <w:rPr>
                <w:spacing w:val="-11"/>
                <w:sz w:val="18"/>
              </w:rPr>
              <w:t> </w:t>
            </w:r>
            <w:r>
              <w:rPr>
                <w:sz w:val="18"/>
              </w:rPr>
              <w:t>susceptibles</w:t>
            </w:r>
            <w:r>
              <w:rPr>
                <w:spacing w:val="-7"/>
                <w:sz w:val="18"/>
              </w:rPr>
              <w:t> </w:t>
            </w:r>
            <w:r>
              <w:rPr>
                <w:sz w:val="18"/>
              </w:rPr>
              <w:t>de mejora, para aumentar su eficiencia y eficacia.</w:t>
            </w:r>
          </w:p>
        </w:tc>
        <w:tc>
          <w:tcPr>
            <w:tcW w:w="1820" w:type="dxa"/>
          </w:tcPr>
          <w:p>
            <w:pPr>
              <w:pStyle w:val="TableParagraph"/>
              <w:spacing w:before="57"/>
              <w:ind w:left="66" w:right="103"/>
              <w:rPr>
                <w:sz w:val="18"/>
              </w:rPr>
            </w:pPr>
            <w:r>
              <w:rPr>
                <w:sz w:val="18"/>
              </w:rPr>
              <w:t>Porcentaje de procesos</w:t>
            </w:r>
            <w:r>
              <w:rPr>
                <w:spacing w:val="-15"/>
                <w:sz w:val="18"/>
              </w:rPr>
              <w:t> </w:t>
            </w:r>
            <w:r>
              <w:rPr>
                <w:sz w:val="18"/>
              </w:rPr>
              <w:t>de</w:t>
            </w:r>
            <w:r>
              <w:rPr>
                <w:spacing w:val="-12"/>
                <w:sz w:val="18"/>
              </w:rPr>
              <w:t> </w:t>
            </w:r>
            <w:r>
              <w:rPr>
                <w:sz w:val="18"/>
              </w:rPr>
              <w:t>cambio con propuesta de cambio remitidas a las instancias </w:t>
            </w:r>
            <w:r>
              <w:rPr>
                <w:spacing w:val="-2"/>
                <w:sz w:val="18"/>
              </w:rPr>
              <w:t>competentes.</w:t>
            </w:r>
          </w:p>
        </w:tc>
        <w:tc>
          <w:tcPr>
            <w:tcW w:w="1249" w:type="dxa"/>
          </w:tcPr>
          <w:p>
            <w:pPr>
              <w:pStyle w:val="TableParagraph"/>
              <w:rPr>
                <w:rFonts w:ascii="Times New Roman"/>
                <w:sz w:val="18"/>
              </w:rPr>
            </w:pPr>
          </w:p>
        </w:tc>
        <w:tc>
          <w:tcPr>
            <w:tcW w:w="1278" w:type="dxa"/>
          </w:tcPr>
          <w:p>
            <w:pPr>
              <w:pStyle w:val="TableParagraph"/>
              <w:rPr>
                <w:rFonts w:ascii="Times New Roman"/>
                <w:sz w:val="18"/>
              </w:rPr>
            </w:pPr>
          </w:p>
        </w:tc>
        <w:tc>
          <w:tcPr>
            <w:tcW w:w="1182" w:type="dxa"/>
          </w:tcPr>
          <w:p>
            <w:pPr>
              <w:pStyle w:val="TableParagraph"/>
              <w:rPr>
                <w:rFonts w:ascii="Times New Roman"/>
                <w:sz w:val="18"/>
              </w:rPr>
            </w:pPr>
          </w:p>
        </w:tc>
        <w:tc>
          <w:tcPr>
            <w:tcW w:w="1134" w:type="dxa"/>
          </w:tcPr>
          <w:p>
            <w:pPr>
              <w:pStyle w:val="TableParagraph"/>
              <w:rPr>
                <w:rFonts w:ascii="Times New Roman"/>
                <w:sz w:val="18"/>
              </w:rPr>
            </w:pPr>
          </w:p>
        </w:tc>
        <w:tc>
          <w:tcPr>
            <w:tcW w:w="1278" w:type="dxa"/>
          </w:tcPr>
          <w:p>
            <w:pPr>
              <w:pStyle w:val="TableParagraph"/>
              <w:rPr>
                <w:rFonts w:ascii="Times New Roman"/>
                <w:sz w:val="18"/>
              </w:rPr>
            </w:pPr>
          </w:p>
        </w:tc>
        <w:tc>
          <w:tcPr>
            <w:tcW w:w="1134" w:type="dxa"/>
          </w:tcPr>
          <w:p>
            <w:pPr>
              <w:pStyle w:val="TableParagraph"/>
              <w:rPr>
                <w:rFonts w:ascii="Times New Roman"/>
                <w:sz w:val="18"/>
              </w:rPr>
            </w:pPr>
          </w:p>
        </w:tc>
        <w:tc>
          <w:tcPr>
            <w:tcW w:w="1182" w:type="dxa"/>
          </w:tcPr>
          <w:p>
            <w:pPr>
              <w:pStyle w:val="TableParagraph"/>
              <w:rPr>
                <w:b/>
                <w:sz w:val="18"/>
              </w:rPr>
            </w:pPr>
          </w:p>
          <w:p>
            <w:pPr>
              <w:pStyle w:val="TableParagraph"/>
              <w:spacing w:before="156"/>
              <w:rPr>
                <w:b/>
                <w:sz w:val="18"/>
              </w:rPr>
            </w:pPr>
          </w:p>
          <w:p>
            <w:pPr>
              <w:pStyle w:val="TableParagraph"/>
              <w:ind w:left="349"/>
              <w:rPr>
                <w:sz w:val="18"/>
              </w:rPr>
            </w:pPr>
            <w:r>
              <w:rPr>
                <w:spacing w:val="-4"/>
                <w:sz w:val="18"/>
              </w:rPr>
              <w:t>100%</w:t>
            </w:r>
          </w:p>
        </w:tc>
        <w:tc>
          <w:tcPr>
            <w:tcW w:w="1279" w:type="dxa"/>
          </w:tcPr>
          <w:p>
            <w:pPr>
              <w:pStyle w:val="TableParagraph"/>
              <w:rPr>
                <w:rFonts w:ascii="Times New Roman"/>
                <w:sz w:val="18"/>
              </w:rPr>
            </w:pPr>
          </w:p>
        </w:tc>
      </w:tr>
    </w:tbl>
    <w:p>
      <w:pPr>
        <w:pStyle w:val="BodyText"/>
        <w:rPr>
          <w:b/>
          <w:sz w:val="20"/>
        </w:rPr>
      </w:pPr>
    </w:p>
    <w:p>
      <w:pPr>
        <w:pStyle w:val="BodyText"/>
        <w:spacing w:before="181"/>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96"/>
        <w:gridCol w:w="1843"/>
        <w:gridCol w:w="1181"/>
        <w:gridCol w:w="1132"/>
        <w:gridCol w:w="1420"/>
        <w:gridCol w:w="1132"/>
        <w:gridCol w:w="1670"/>
        <w:gridCol w:w="1022"/>
        <w:gridCol w:w="1396"/>
        <w:gridCol w:w="1257"/>
      </w:tblGrid>
      <w:tr>
        <w:trPr>
          <w:trHeight w:val="282" w:hRule="atLeast"/>
        </w:trPr>
        <w:tc>
          <w:tcPr>
            <w:tcW w:w="2396" w:type="dxa"/>
            <w:vMerge w:val="restart"/>
            <w:shd w:val="clear" w:color="auto" w:fill="D7D7D7"/>
          </w:tcPr>
          <w:p>
            <w:pPr>
              <w:pStyle w:val="TableParagraph"/>
              <w:spacing w:before="75"/>
              <w:rPr>
                <w:b/>
                <w:sz w:val="18"/>
              </w:rPr>
            </w:pPr>
          </w:p>
          <w:p>
            <w:pPr>
              <w:pStyle w:val="TableParagraph"/>
              <w:ind w:left="230"/>
              <w:rPr>
                <w:b/>
                <w:sz w:val="18"/>
              </w:rPr>
            </w:pPr>
            <w:r>
              <w:rPr>
                <w:b/>
                <w:sz w:val="18"/>
              </w:rPr>
              <w:t>Objetivos</w:t>
            </w:r>
            <w:r>
              <w:rPr>
                <w:b/>
                <w:spacing w:val="-5"/>
                <w:sz w:val="18"/>
              </w:rPr>
              <w:t> </w:t>
            </w:r>
            <w:r>
              <w:rPr>
                <w:b/>
                <w:sz w:val="18"/>
              </w:rPr>
              <w:t>/</w:t>
            </w:r>
            <w:r>
              <w:rPr>
                <w:b/>
                <w:spacing w:val="-2"/>
                <w:sz w:val="18"/>
              </w:rPr>
              <w:t> Resultados</w:t>
            </w:r>
          </w:p>
        </w:tc>
        <w:tc>
          <w:tcPr>
            <w:tcW w:w="1843" w:type="dxa"/>
            <w:vMerge w:val="restart"/>
            <w:shd w:val="clear" w:color="auto" w:fill="D7D7D7"/>
          </w:tcPr>
          <w:p>
            <w:pPr>
              <w:pStyle w:val="TableParagraph"/>
              <w:spacing w:before="75"/>
              <w:rPr>
                <w:b/>
                <w:sz w:val="18"/>
              </w:rPr>
            </w:pPr>
          </w:p>
          <w:p>
            <w:pPr>
              <w:pStyle w:val="TableParagraph"/>
              <w:ind w:left="518"/>
              <w:rPr>
                <w:b/>
                <w:sz w:val="18"/>
              </w:rPr>
            </w:pPr>
            <w:r>
              <w:rPr>
                <w:b/>
                <w:spacing w:val="-2"/>
                <w:sz w:val="18"/>
              </w:rPr>
              <w:t>Indicador</w:t>
            </w:r>
          </w:p>
        </w:tc>
        <w:tc>
          <w:tcPr>
            <w:tcW w:w="2313" w:type="dxa"/>
            <w:gridSpan w:val="2"/>
            <w:shd w:val="clear" w:color="auto" w:fill="D7D7D7"/>
          </w:tcPr>
          <w:p>
            <w:pPr>
              <w:pStyle w:val="TableParagraph"/>
              <w:spacing w:before="37"/>
              <w:ind w:left="696"/>
              <w:rPr>
                <w:b/>
                <w:sz w:val="18"/>
              </w:rPr>
            </w:pPr>
            <w:r>
              <w:rPr>
                <w:b/>
                <w:sz w:val="18"/>
              </w:rPr>
              <w:t>I</w:t>
            </w:r>
            <w:r>
              <w:rPr>
                <w:b/>
                <w:spacing w:val="-1"/>
                <w:sz w:val="18"/>
              </w:rPr>
              <w:t> </w:t>
            </w:r>
            <w:r>
              <w:rPr>
                <w:b/>
                <w:spacing w:val="-2"/>
                <w:sz w:val="18"/>
              </w:rPr>
              <w:t>Trimestre</w:t>
            </w:r>
          </w:p>
        </w:tc>
        <w:tc>
          <w:tcPr>
            <w:tcW w:w="2552" w:type="dxa"/>
            <w:gridSpan w:val="2"/>
            <w:shd w:val="clear" w:color="auto" w:fill="D7D7D7"/>
          </w:tcPr>
          <w:p>
            <w:pPr>
              <w:pStyle w:val="TableParagraph"/>
              <w:spacing w:before="37"/>
              <w:ind w:left="794"/>
              <w:rPr>
                <w:b/>
                <w:sz w:val="18"/>
              </w:rPr>
            </w:pPr>
            <w:r>
              <w:rPr>
                <w:b/>
                <w:sz w:val="18"/>
              </w:rPr>
              <w:t>II</w:t>
            </w:r>
            <w:r>
              <w:rPr>
                <w:b/>
                <w:spacing w:val="-3"/>
                <w:sz w:val="18"/>
              </w:rPr>
              <w:t> </w:t>
            </w:r>
            <w:r>
              <w:rPr>
                <w:b/>
                <w:spacing w:val="-2"/>
                <w:sz w:val="18"/>
              </w:rPr>
              <w:t>Trimestre</w:t>
            </w:r>
          </w:p>
        </w:tc>
        <w:tc>
          <w:tcPr>
            <w:tcW w:w="2692" w:type="dxa"/>
            <w:gridSpan w:val="2"/>
            <w:shd w:val="clear" w:color="auto" w:fill="D7D7D7"/>
          </w:tcPr>
          <w:p>
            <w:pPr>
              <w:pStyle w:val="TableParagraph"/>
              <w:spacing w:before="37"/>
              <w:ind w:left="839"/>
              <w:rPr>
                <w:b/>
                <w:sz w:val="18"/>
              </w:rPr>
            </w:pPr>
            <w:r>
              <w:rPr>
                <w:b/>
                <w:sz w:val="18"/>
              </w:rPr>
              <w:t>III</w:t>
            </w:r>
            <w:r>
              <w:rPr>
                <w:b/>
                <w:spacing w:val="-2"/>
                <w:sz w:val="18"/>
              </w:rPr>
              <w:t> Trimestre</w:t>
            </w:r>
          </w:p>
        </w:tc>
        <w:tc>
          <w:tcPr>
            <w:tcW w:w="2653" w:type="dxa"/>
            <w:gridSpan w:val="2"/>
            <w:shd w:val="clear" w:color="auto" w:fill="D7D7D7"/>
          </w:tcPr>
          <w:p>
            <w:pPr>
              <w:pStyle w:val="TableParagraph"/>
              <w:spacing w:before="37"/>
              <w:ind w:left="812"/>
              <w:rPr>
                <w:b/>
                <w:sz w:val="18"/>
              </w:rPr>
            </w:pPr>
            <w:r>
              <w:rPr>
                <w:b/>
                <w:sz w:val="18"/>
              </w:rPr>
              <w:t>IV</w:t>
            </w:r>
            <w:r>
              <w:rPr>
                <w:b/>
                <w:spacing w:val="-2"/>
                <w:sz w:val="18"/>
              </w:rPr>
              <w:t> Trimestre</w:t>
            </w:r>
          </w:p>
        </w:tc>
      </w:tr>
      <w:tr>
        <w:trPr>
          <w:trHeight w:val="484" w:hRule="atLeast"/>
        </w:trPr>
        <w:tc>
          <w:tcPr>
            <w:tcW w:w="2396" w:type="dxa"/>
            <w:vMerge/>
            <w:tcBorders>
              <w:top w:val="nil"/>
            </w:tcBorders>
            <w:shd w:val="clear" w:color="auto" w:fill="D7D7D7"/>
          </w:tcPr>
          <w:p>
            <w:pPr>
              <w:rPr>
                <w:sz w:val="2"/>
                <w:szCs w:val="2"/>
              </w:rPr>
            </w:pPr>
          </w:p>
        </w:tc>
        <w:tc>
          <w:tcPr>
            <w:tcW w:w="1843" w:type="dxa"/>
            <w:vMerge/>
            <w:tcBorders>
              <w:top w:val="nil"/>
            </w:tcBorders>
            <w:shd w:val="clear" w:color="auto" w:fill="D7D7D7"/>
          </w:tcPr>
          <w:p>
            <w:pPr>
              <w:rPr>
                <w:sz w:val="2"/>
                <w:szCs w:val="2"/>
              </w:rPr>
            </w:pPr>
          </w:p>
        </w:tc>
        <w:tc>
          <w:tcPr>
            <w:tcW w:w="1181" w:type="dxa"/>
            <w:shd w:val="clear" w:color="auto" w:fill="D7D7D7"/>
          </w:tcPr>
          <w:p>
            <w:pPr>
              <w:pStyle w:val="TableParagraph"/>
              <w:spacing w:line="244" w:lineRule="auto" w:before="32"/>
              <w:ind w:left="72" w:firstLine="312"/>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jc w:val="center"/>
              <w:rPr>
                <w:b/>
                <w:sz w:val="18"/>
              </w:rPr>
            </w:pPr>
            <w:r>
              <w:rPr>
                <w:b/>
                <w:spacing w:val="-10"/>
                <w:sz w:val="18"/>
              </w:rPr>
              <w:t>¢</w:t>
            </w:r>
          </w:p>
        </w:tc>
        <w:tc>
          <w:tcPr>
            <w:tcW w:w="1420" w:type="dxa"/>
            <w:shd w:val="clear" w:color="auto" w:fill="D7D7D7"/>
          </w:tcPr>
          <w:p>
            <w:pPr>
              <w:pStyle w:val="TableParagraph"/>
              <w:spacing w:line="244" w:lineRule="auto" w:before="32"/>
              <w:ind w:left="188" w:firstLine="317"/>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right="5"/>
              <w:jc w:val="center"/>
              <w:rPr>
                <w:b/>
                <w:sz w:val="18"/>
              </w:rPr>
            </w:pPr>
            <w:r>
              <w:rPr>
                <w:b/>
                <w:spacing w:val="-10"/>
                <w:sz w:val="18"/>
              </w:rPr>
              <w:t>¢</w:t>
            </w:r>
          </w:p>
        </w:tc>
        <w:tc>
          <w:tcPr>
            <w:tcW w:w="1670" w:type="dxa"/>
            <w:shd w:val="clear" w:color="auto" w:fill="D7D7D7"/>
          </w:tcPr>
          <w:p>
            <w:pPr>
              <w:pStyle w:val="TableParagraph"/>
              <w:spacing w:before="138"/>
              <w:ind w:left="28"/>
              <w:jc w:val="center"/>
              <w:rPr>
                <w:b/>
                <w:sz w:val="18"/>
              </w:rPr>
            </w:pPr>
            <w:r>
              <w:rPr>
                <w:b/>
                <w:sz w:val="18"/>
              </w:rPr>
              <w:t>Meta</w:t>
            </w:r>
            <w:r>
              <w:rPr>
                <w:b/>
                <w:spacing w:val="1"/>
                <w:sz w:val="18"/>
              </w:rPr>
              <w:t> </w:t>
            </w:r>
            <w:r>
              <w:rPr>
                <w:b/>
                <w:spacing w:val="-2"/>
                <w:sz w:val="18"/>
              </w:rPr>
              <w:t>programada</w:t>
            </w:r>
          </w:p>
        </w:tc>
        <w:tc>
          <w:tcPr>
            <w:tcW w:w="1022" w:type="dxa"/>
            <w:shd w:val="clear" w:color="auto" w:fill="D7D7D7"/>
          </w:tcPr>
          <w:p>
            <w:pPr>
              <w:pStyle w:val="TableParagraph"/>
              <w:spacing w:before="138"/>
              <w:ind w:left="21"/>
              <w:jc w:val="center"/>
              <w:rPr>
                <w:b/>
                <w:sz w:val="18"/>
              </w:rPr>
            </w:pPr>
            <w:r>
              <w:rPr>
                <w:b/>
                <w:spacing w:val="-10"/>
                <w:sz w:val="18"/>
              </w:rPr>
              <w:t>¢</w:t>
            </w:r>
          </w:p>
        </w:tc>
        <w:tc>
          <w:tcPr>
            <w:tcW w:w="1396" w:type="dxa"/>
            <w:shd w:val="clear" w:color="auto" w:fill="D7D7D7"/>
          </w:tcPr>
          <w:p>
            <w:pPr>
              <w:pStyle w:val="TableParagraph"/>
              <w:spacing w:line="244" w:lineRule="auto" w:before="32"/>
              <w:ind w:left="183" w:firstLine="316"/>
              <w:rPr>
                <w:b/>
                <w:sz w:val="18"/>
              </w:rPr>
            </w:pPr>
            <w:r>
              <w:rPr>
                <w:b/>
                <w:spacing w:val="-4"/>
                <w:sz w:val="18"/>
              </w:rPr>
              <w:t>Meta </w:t>
            </w:r>
            <w:r>
              <w:rPr>
                <w:b/>
                <w:spacing w:val="-2"/>
                <w:sz w:val="18"/>
              </w:rPr>
              <w:t>programada</w:t>
            </w:r>
          </w:p>
        </w:tc>
        <w:tc>
          <w:tcPr>
            <w:tcW w:w="1257" w:type="dxa"/>
            <w:shd w:val="clear" w:color="auto" w:fill="D7D7D7"/>
          </w:tcPr>
          <w:p>
            <w:pPr>
              <w:pStyle w:val="TableParagraph"/>
              <w:spacing w:before="138"/>
              <w:ind w:left="86" w:right="56"/>
              <w:jc w:val="center"/>
              <w:rPr>
                <w:b/>
                <w:sz w:val="18"/>
              </w:rPr>
            </w:pPr>
            <w:r>
              <w:rPr>
                <w:b/>
                <w:spacing w:val="-10"/>
                <w:sz w:val="18"/>
              </w:rPr>
              <w:t>¢</w:t>
            </w:r>
          </w:p>
        </w:tc>
      </w:tr>
      <w:tr>
        <w:trPr>
          <w:trHeight w:val="580" w:hRule="atLeast"/>
        </w:trPr>
        <w:tc>
          <w:tcPr>
            <w:tcW w:w="14449" w:type="dxa"/>
            <w:gridSpan w:val="10"/>
            <w:shd w:val="clear" w:color="auto" w:fill="F1F1F1"/>
          </w:tcPr>
          <w:p>
            <w:pPr>
              <w:pStyle w:val="TableParagraph"/>
              <w:spacing w:line="244" w:lineRule="auto" w:before="80"/>
              <w:ind w:left="72" w:right="77"/>
              <w:rPr>
                <w:b/>
                <w:sz w:val="18"/>
              </w:rPr>
            </w:pPr>
            <w:r>
              <w:rPr>
                <w:b/>
                <w:sz w:val="18"/>
              </w:rPr>
              <w:t>Efecto:</w:t>
            </w:r>
            <w:r>
              <w:rPr>
                <w:b/>
                <w:spacing w:val="-2"/>
                <w:sz w:val="18"/>
              </w:rPr>
              <w:t> </w:t>
            </w:r>
            <w:r>
              <w:rPr>
                <w:b/>
                <w:sz w:val="18"/>
              </w:rPr>
              <w:t>Realizar una efectiva gestión</w:t>
            </w:r>
            <w:r>
              <w:rPr>
                <w:b/>
                <w:spacing w:val="-5"/>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4"/>
                <w:sz w:val="18"/>
              </w:rPr>
              <w:t> </w:t>
            </w:r>
            <w:r>
              <w:rPr>
                <w:b/>
                <w:sz w:val="18"/>
              </w:rPr>
              <w:t>y</w:t>
            </w:r>
            <w:r>
              <w:rPr>
                <w:b/>
                <w:spacing w:val="-4"/>
                <w:sz w:val="18"/>
              </w:rPr>
              <w:t> </w:t>
            </w:r>
            <w:r>
              <w:rPr>
                <w:b/>
                <w:sz w:val="18"/>
              </w:rPr>
              <w:t>tecnológicos, con el</w:t>
            </w:r>
            <w:r>
              <w:rPr>
                <w:b/>
                <w:spacing w:val="-2"/>
                <w:sz w:val="18"/>
              </w:rPr>
              <w:t> </w:t>
            </w:r>
            <w:r>
              <w:rPr>
                <w:b/>
                <w:sz w:val="18"/>
              </w:rPr>
              <w:t>fin</w:t>
            </w:r>
            <w:r>
              <w:rPr>
                <w:b/>
                <w:spacing w:val="-5"/>
                <w:sz w:val="18"/>
              </w:rPr>
              <w:t> </w:t>
            </w:r>
            <w:r>
              <w:rPr>
                <w:b/>
                <w:sz w:val="18"/>
              </w:rPr>
              <w:t>de contribuir</w:t>
            </w:r>
            <w:r>
              <w:rPr>
                <w:b/>
                <w:spacing w:val="-3"/>
                <w:sz w:val="18"/>
              </w:rPr>
              <w:t> </w:t>
            </w:r>
            <w:r>
              <w:rPr>
                <w:b/>
                <w:sz w:val="18"/>
              </w:rPr>
              <w:t>con</w:t>
            </w:r>
            <w:r>
              <w:rPr>
                <w:b/>
                <w:spacing w:val="-5"/>
                <w:sz w:val="18"/>
              </w:rPr>
              <w:t> </w:t>
            </w:r>
            <w:r>
              <w:rPr>
                <w:b/>
                <w:sz w:val="18"/>
              </w:rPr>
              <w:t>la</w:t>
            </w:r>
            <w:r>
              <w:rPr>
                <w:b/>
                <w:spacing w:val="-4"/>
                <w:sz w:val="18"/>
              </w:rPr>
              <w:t> </w:t>
            </w:r>
            <w:r>
              <w:rPr>
                <w:b/>
                <w:sz w:val="18"/>
              </w:rPr>
              <w:t>institucionalización de</w:t>
            </w:r>
            <w:r>
              <w:rPr>
                <w:b/>
                <w:spacing w:val="-4"/>
                <w:sz w:val="18"/>
              </w:rPr>
              <w:t> </w:t>
            </w:r>
            <w:r>
              <w:rPr>
                <w:b/>
                <w:sz w:val="18"/>
              </w:rPr>
              <w:t>la estrategia de intervención de la población en situación de pobreza y pobreza extrema.</w:t>
            </w:r>
          </w:p>
        </w:tc>
      </w:tr>
      <w:tr>
        <w:trPr>
          <w:trHeight w:val="605" w:hRule="atLeast"/>
        </w:trPr>
        <w:tc>
          <w:tcPr>
            <w:tcW w:w="14449" w:type="dxa"/>
            <w:gridSpan w:val="10"/>
            <w:shd w:val="clear" w:color="auto" w:fill="EFF8F9"/>
          </w:tcPr>
          <w:p>
            <w:pPr>
              <w:pStyle w:val="TableParagraph"/>
              <w:spacing w:before="95"/>
              <w:ind w:left="72" w:right="77"/>
              <w:rPr>
                <w:b/>
                <w:sz w:val="18"/>
              </w:rPr>
            </w:pPr>
            <w:r>
              <w:rPr>
                <w:b/>
                <w:sz w:val="18"/>
              </w:rPr>
              <w:t>Producto</w:t>
            </w:r>
            <w:r>
              <w:rPr>
                <w:b/>
                <w:spacing w:val="-4"/>
                <w:sz w:val="18"/>
              </w:rPr>
              <w:t> </w:t>
            </w:r>
            <w:r>
              <w:rPr>
                <w:b/>
                <w:sz w:val="18"/>
              </w:rPr>
              <w:t>PAC</w:t>
            </w:r>
            <w:r>
              <w:rPr>
                <w:b/>
                <w:spacing w:val="-5"/>
                <w:sz w:val="18"/>
              </w:rPr>
              <w:t> </w:t>
            </w:r>
            <w:r>
              <w:rPr>
                <w:b/>
                <w:sz w:val="18"/>
              </w:rPr>
              <w:t>2:31:</w:t>
            </w:r>
            <w:r>
              <w:rPr>
                <w:b/>
                <w:spacing w:val="-1"/>
                <w:sz w:val="18"/>
              </w:rPr>
              <w:t> </w:t>
            </w:r>
            <w:r>
              <w:rPr>
                <w:b/>
                <w:sz w:val="18"/>
              </w:rPr>
              <w:t>Recursos Financieros</w:t>
            </w:r>
            <w:r>
              <w:rPr>
                <w:b/>
                <w:spacing w:val="-3"/>
                <w:sz w:val="18"/>
              </w:rPr>
              <w:t> </w:t>
            </w:r>
            <w:r>
              <w:rPr>
                <w:b/>
                <w:sz w:val="18"/>
              </w:rPr>
              <w:t>Institucionales gestionados</w:t>
            </w:r>
            <w:r>
              <w:rPr>
                <w:b/>
                <w:spacing w:val="-3"/>
                <w:sz w:val="18"/>
              </w:rPr>
              <w:t> </w:t>
            </w:r>
            <w:r>
              <w:rPr>
                <w:b/>
                <w:sz w:val="18"/>
              </w:rPr>
              <w:t>y administrados</w:t>
            </w:r>
            <w:r>
              <w:rPr>
                <w:b/>
                <w:spacing w:val="-3"/>
                <w:sz w:val="18"/>
              </w:rPr>
              <w:t> </w:t>
            </w:r>
            <w:r>
              <w:rPr>
                <w:b/>
                <w:sz w:val="18"/>
              </w:rPr>
              <w:t>de</w:t>
            </w:r>
            <w:r>
              <w:rPr>
                <w:b/>
                <w:spacing w:val="-3"/>
                <w:sz w:val="18"/>
              </w:rPr>
              <w:t> </w:t>
            </w:r>
            <w:r>
              <w:rPr>
                <w:b/>
                <w:sz w:val="18"/>
              </w:rPr>
              <w:t>manera</w:t>
            </w:r>
            <w:r>
              <w:rPr>
                <w:b/>
                <w:spacing w:val="-3"/>
                <w:sz w:val="18"/>
              </w:rPr>
              <w:t> </w:t>
            </w:r>
            <w:r>
              <w:rPr>
                <w:b/>
                <w:sz w:val="18"/>
              </w:rPr>
              <w:t>efectiva,</w:t>
            </w:r>
            <w:r>
              <w:rPr>
                <w:b/>
                <w:spacing w:val="-1"/>
                <w:sz w:val="18"/>
              </w:rPr>
              <w:t> </w:t>
            </w:r>
            <w:r>
              <w:rPr>
                <w:b/>
                <w:sz w:val="18"/>
              </w:rPr>
              <w:t>bajo</w:t>
            </w:r>
            <w:r>
              <w:rPr>
                <w:b/>
                <w:spacing w:val="-8"/>
                <w:sz w:val="18"/>
              </w:rPr>
              <w:t> </w:t>
            </w:r>
            <w:r>
              <w:rPr>
                <w:b/>
                <w:sz w:val="18"/>
              </w:rPr>
              <w:t>un enfoque</w:t>
            </w:r>
            <w:r>
              <w:rPr>
                <w:b/>
                <w:spacing w:val="-3"/>
                <w:sz w:val="18"/>
              </w:rPr>
              <w:t> </w:t>
            </w:r>
            <w:r>
              <w:rPr>
                <w:b/>
                <w:sz w:val="18"/>
              </w:rPr>
              <w:t>de</w:t>
            </w:r>
            <w:r>
              <w:rPr>
                <w:b/>
                <w:spacing w:val="-3"/>
                <w:sz w:val="18"/>
              </w:rPr>
              <w:t> </w:t>
            </w:r>
            <w:r>
              <w:rPr>
                <w:b/>
                <w:sz w:val="18"/>
              </w:rPr>
              <w:t>transparencia</w:t>
            </w:r>
            <w:r>
              <w:rPr>
                <w:b/>
                <w:spacing w:val="-3"/>
                <w:sz w:val="18"/>
              </w:rPr>
              <w:t> </w:t>
            </w:r>
            <w:r>
              <w:rPr>
                <w:b/>
                <w:sz w:val="18"/>
              </w:rPr>
              <w:t>en</w:t>
            </w:r>
            <w:r>
              <w:rPr>
                <w:b/>
                <w:spacing w:val="-4"/>
                <w:sz w:val="18"/>
              </w:rPr>
              <w:t> </w:t>
            </w:r>
            <w:r>
              <w:rPr>
                <w:b/>
                <w:sz w:val="18"/>
              </w:rPr>
              <w:t>procura</w:t>
            </w:r>
            <w:r>
              <w:rPr>
                <w:b/>
                <w:spacing w:val="-3"/>
                <w:sz w:val="18"/>
              </w:rPr>
              <w:t> </w:t>
            </w:r>
            <w:r>
              <w:rPr>
                <w:b/>
                <w:sz w:val="18"/>
              </w:rPr>
              <w:t>del cumplimiento normativo y los compromisos institucionales</w:t>
            </w:r>
          </w:p>
        </w:tc>
      </w:tr>
      <w:tr>
        <w:trPr>
          <w:trHeight w:val="1708" w:hRule="atLeast"/>
        </w:trPr>
        <w:tc>
          <w:tcPr>
            <w:tcW w:w="2396" w:type="dxa"/>
          </w:tcPr>
          <w:p>
            <w:pPr>
              <w:pStyle w:val="TableParagraph"/>
              <w:rPr>
                <w:b/>
                <w:sz w:val="18"/>
              </w:rPr>
            </w:pPr>
          </w:p>
          <w:p>
            <w:pPr>
              <w:pStyle w:val="TableParagraph"/>
              <w:spacing w:before="127"/>
              <w:rPr>
                <w:b/>
                <w:sz w:val="18"/>
              </w:rPr>
            </w:pPr>
          </w:p>
          <w:p>
            <w:pPr>
              <w:pStyle w:val="TableParagraph"/>
              <w:ind w:left="72"/>
              <w:rPr>
                <w:sz w:val="18"/>
              </w:rPr>
            </w:pPr>
            <w:r>
              <w:rPr>
                <w:b/>
                <w:sz w:val="18"/>
              </w:rPr>
              <w:t>Actividad PAC 2.31.1: </w:t>
            </w:r>
            <w:r>
              <w:rPr>
                <w:sz w:val="18"/>
              </w:rPr>
              <w:t>Seguimiento</w:t>
            </w:r>
            <w:r>
              <w:rPr>
                <w:spacing w:val="-9"/>
                <w:sz w:val="18"/>
              </w:rPr>
              <w:t> </w:t>
            </w:r>
            <w:r>
              <w:rPr>
                <w:sz w:val="18"/>
              </w:rPr>
              <w:t>de</w:t>
            </w:r>
            <w:r>
              <w:rPr>
                <w:spacing w:val="-12"/>
                <w:sz w:val="18"/>
              </w:rPr>
              <w:t> </w:t>
            </w:r>
            <w:r>
              <w:rPr>
                <w:sz w:val="18"/>
              </w:rPr>
              <w:t>la</w:t>
            </w:r>
            <w:r>
              <w:rPr>
                <w:spacing w:val="-12"/>
                <w:sz w:val="18"/>
              </w:rPr>
              <w:t> </w:t>
            </w:r>
            <w:r>
              <w:rPr>
                <w:sz w:val="18"/>
              </w:rPr>
              <w:t>ejecución presupuestaria de los programas presupuestarios</w:t>
            </w:r>
          </w:p>
        </w:tc>
        <w:tc>
          <w:tcPr>
            <w:tcW w:w="1843" w:type="dxa"/>
          </w:tcPr>
          <w:p>
            <w:pPr>
              <w:pStyle w:val="TableParagraph"/>
              <w:spacing w:before="128"/>
              <w:ind w:left="71" w:right="157"/>
              <w:rPr>
                <w:sz w:val="18"/>
              </w:rPr>
            </w:pPr>
            <w:r>
              <w:rPr>
                <w:color w:val="232323"/>
                <w:sz w:val="18"/>
              </w:rPr>
              <w:t>Cantidad de informes</w:t>
            </w:r>
            <w:r>
              <w:rPr>
                <w:color w:val="232323"/>
                <w:spacing w:val="-15"/>
                <w:sz w:val="18"/>
              </w:rPr>
              <w:t> </w:t>
            </w:r>
            <w:r>
              <w:rPr>
                <w:color w:val="232323"/>
                <w:sz w:val="18"/>
              </w:rPr>
              <w:t>donde</w:t>
            </w:r>
            <w:r>
              <w:rPr>
                <w:color w:val="232323"/>
                <w:spacing w:val="-12"/>
                <w:sz w:val="18"/>
              </w:rPr>
              <w:t> </w:t>
            </w:r>
            <w:r>
              <w:rPr>
                <w:color w:val="232323"/>
                <w:sz w:val="18"/>
              </w:rPr>
              <w:t>se demuestra la </w:t>
            </w:r>
            <w:r>
              <w:rPr>
                <w:color w:val="232323"/>
                <w:spacing w:val="-2"/>
                <w:sz w:val="18"/>
              </w:rPr>
              <w:t>ejecución </w:t>
            </w:r>
            <w:r>
              <w:rPr>
                <w:color w:val="232323"/>
                <w:sz w:val="18"/>
              </w:rPr>
              <w:t>presupuestaria de los programas </w:t>
            </w:r>
            <w:r>
              <w:rPr>
                <w:color w:val="232323"/>
                <w:spacing w:val="-2"/>
                <w:sz w:val="18"/>
              </w:rPr>
              <w:t>presupuestarios</w:t>
            </w:r>
          </w:p>
        </w:tc>
        <w:tc>
          <w:tcPr>
            <w:tcW w:w="1181" w:type="dxa"/>
          </w:tcPr>
          <w:p>
            <w:pPr>
              <w:pStyle w:val="TableParagraph"/>
              <w:rPr>
                <w:b/>
                <w:sz w:val="18"/>
              </w:rPr>
            </w:pPr>
          </w:p>
          <w:p>
            <w:pPr>
              <w:pStyle w:val="TableParagraph"/>
              <w:rPr>
                <w:b/>
                <w:sz w:val="18"/>
              </w:rPr>
            </w:pPr>
          </w:p>
          <w:p>
            <w:pPr>
              <w:pStyle w:val="TableParagraph"/>
              <w:spacing w:before="126"/>
              <w:rPr>
                <w:b/>
                <w:sz w:val="18"/>
              </w:rPr>
            </w:pPr>
          </w:p>
          <w:p>
            <w:pPr>
              <w:pStyle w:val="TableParagraph"/>
              <w:spacing w:before="1"/>
              <w:ind w:left="28" w:right="12"/>
              <w:jc w:val="center"/>
              <w:rPr>
                <w:sz w:val="18"/>
              </w:rPr>
            </w:pPr>
            <w:r>
              <w:rPr>
                <w:spacing w:val="-10"/>
                <w:sz w:val="18"/>
              </w:rPr>
              <w:t>1</w:t>
            </w: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rPr>
                <w:b/>
                <w:sz w:val="18"/>
              </w:rPr>
            </w:pPr>
          </w:p>
          <w:p>
            <w:pPr>
              <w:pStyle w:val="TableParagraph"/>
              <w:spacing w:before="126"/>
              <w:rPr>
                <w:b/>
                <w:sz w:val="18"/>
              </w:rPr>
            </w:pPr>
          </w:p>
          <w:p>
            <w:pPr>
              <w:pStyle w:val="TableParagraph"/>
              <w:spacing w:before="1"/>
              <w:ind w:left="18" w:right="7"/>
              <w:jc w:val="center"/>
              <w:rPr>
                <w:sz w:val="18"/>
              </w:rPr>
            </w:pPr>
            <w:r>
              <w:rPr>
                <w:spacing w:val="-10"/>
                <w:sz w:val="18"/>
              </w:rPr>
              <w:t>2</w:t>
            </w: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rPr>
                <w:b/>
                <w:sz w:val="18"/>
              </w:rPr>
            </w:pPr>
          </w:p>
          <w:p>
            <w:pPr>
              <w:pStyle w:val="TableParagraph"/>
              <w:spacing w:before="126"/>
              <w:rPr>
                <w:b/>
                <w:sz w:val="18"/>
              </w:rPr>
            </w:pPr>
          </w:p>
          <w:p>
            <w:pPr>
              <w:pStyle w:val="TableParagraph"/>
              <w:spacing w:before="1"/>
              <w:ind w:left="28" w:right="4"/>
              <w:jc w:val="center"/>
              <w:rPr>
                <w:sz w:val="18"/>
              </w:rPr>
            </w:pPr>
            <w:r>
              <w:rPr>
                <w:spacing w:val="-10"/>
                <w:sz w:val="18"/>
              </w:rPr>
              <w:t>3</w:t>
            </w: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rPr>
                <w:b/>
                <w:sz w:val="18"/>
              </w:rPr>
            </w:pPr>
          </w:p>
          <w:p>
            <w:pPr>
              <w:pStyle w:val="TableParagraph"/>
              <w:spacing w:before="126"/>
              <w:rPr>
                <w:b/>
                <w:sz w:val="18"/>
              </w:rPr>
            </w:pPr>
          </w:p>
          <w:p>
            <w:pPr>
              <w:pStyle w:val="TableParagraph"/>
              <w:spacing w:before="1"/>
              <w:ind w:left="30" w:right="7"/>
              <w:jc w:val="center"/>
              <w:rPr>
                <w:sz w:val="18"/>
              </w:rPr>
            </w:pPr>
            <w:r>
              <w:rPr>
                <w:spacing w:val="-10"/>
                <w:sz w:val="18"/>
              </w:rPr>
              <w:t>4</w:t>
            </w:r>
          </w:p>
        </w:tc>
        <w:tc>
          <w:tcPr>
            <w:tcW w:w="1257"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96"/>
        <w:gridCol w:w="1843"/>
        <w:gridCol w:w="1181"/>
        <w:gridCol w:w="1132"/>
        <w:gridCol w:w="1420"/>
        <w:gridCol w:w="1132"/>
        <w:gridCol w:w="1670"/>
        <w:gridCol w:w="1022"/>
        <w:gridCol w:w="1396"/>
        <w:gridCol w:w="1257"/>
      </w:tblGrid>
      <w:tr>
        <w:trPr>
          <w:trHeight w:val="282" w:hRule="atLeast"/>
        </w:trPr>
        <w:tc>
          <w:tcPr>
            <w:tcW w:w="2396" w:type="dxa"/>
            <w:vMerge w:val="restart"/>
            <w:shd w:val="clear" w:color="auto" w:fill="D7D7D7"/>
          </w:tcPr>
          <w:p>
            <w:pPr>
              <w:pStyle w:val="TableParagraph"/>
              <w:spacing w:before="75"/>
              <w:rPr>
                <w:b/>
                <w:sz w:val="18"/>
              </w:rPr>
            </w:pPr>
          </w:p>
          <w:p>
            <w:pPr>
              <w:pStyle w:val="TableParagraph"/>
              <w:ind w:left="230"/>
              <w:rPr>
                <w:b/>
                <w:sz w:val="18"/>
              </w:rPr>
            </w:pPr>
            <w:r>
              <w:rPr>
                <w:b/>
                <w:sz w:val="18"/>
              </w:rPr>
              <w:t>Objetivos</w:t>
            </w:r>
            <w:r>
              <w:rPr>
                <w:b/>
                <w:spacing w:val="-5"/>
                <w:sz w:val="18"/>
              </w:rPr>
              <w:t> </w:t>
            </w:r>
            <w:r>
              <w:rPr>
                <w:b/>
                <w:sz w:val="18"/>
              </w:rPr>
              <w:t>/</w:t>
            </w:r>
            <w:r>
              <w:rPr>
                <w:b/>
                <w:spacing w:val="-2"/>
                <w:sz w:val="18"/>
              </w:rPr>
              <w:t> Resultados</w:t>
            </w:r>
          </w:p>
        </w:tc>
        <w:tc>
          <w:tcPr>
            <w:tcW w:w="1843" w:type="dxa"/>
            <w:vMerge w:val="restart"/>
            <w:shd w:val="clear" w:color="auto" w:fill="D7D7D7"/>
          </w:tcPr>
          <w:p>
            <w:pPr>
              <w:pStyle w:val="TableParagraph"/>
              <w:spacing w:before="75"/>
              <w:rPr>
                <w:b/>
                <w:sz w:val="18"/>
              </w:rPr>
            </w:pPr>
          </w:p>
          <w:p>
            <w:pPr>
              <w:pStyle w:val="TableParagraph"/>
              <w:ind w:left="518"/>
              <w:rPr>
                <w:b/>
                <w:sz w:val="18"/>
              </w:rPr>
            </w:pPr>
            <w:r>
              <w:rPr>
                <w:b/>
                <w:spacing w:val="-2"/>
                <w:sz w:val="18"/>
              </w:rPr>
              <w:t>Indicador</w:t>
            </w:r>
          </w:p>
        </w:tc>
        <w:tc>
          <w:tcPr>
            <w:tcW w:w="2313" w:type="dxa"/>
            <w:gridSpan w:val="2"/>
            <w:shd w:val="clear" w:color="auto" w:fill="D7D7D7"/>
          </w:tcPr>
          <w:p>
            <w:pPr>
              <w:pStyle w:val="TableParagraph"/>
              <w:spacing w:before="37"/>
              <w:ind w:left="696"/>
              <w:rPr>
                <w:b/>
                <w:sz w:val="18"/>
              </w:rPr>
            </w:pPr>
            <w:r>
              <w:rPr>
                <w:b/>
                <w:sz w:val="18"/>
              </w:rPr>
              <w:t>I</w:t>
            </w:r>
            <w:r>
              <w:rPr>
                <w:b/>
                <w:spacing w:val="-1"/>
                <w:sz w:val="18"/>
              </w:rPr>
              <w:t> </w:t>
            </w:r>
            <w:r>
              <w:rPr>
                <w:b/>
                <w:spacing w:val="-2"/>
                <w:sz w:val="18"/>
              </w:rPr>
              <w:t>Trimestre</w:t>
            </w:r>
          </w:p>
        </w:tc>
        <w:tc>
          <w:tcPr>
            <w:tcW w:w="2552" w:type="dxa"/>
            <w:gridSpan w:val="2"/>
            <w:shd w:val="clear" w:color="auto" w:fill="D7D7D7"/>
          </w:tcPr>
          <w:p>
            <w:pPr>
              <w:pStyle w:val="TableParagraph"/>
              <w:spacing w:before="37"/>
              <w:ind w:left="794"/>
              <w:rPr>
                <w:b/>
                <w:sz w:val="18"/>
              </w:rPr>
            </w:pPr>
            <w:r>
              <w:rPr>
                <w:b/>
                <w:sz w:val="18"/>
              </w:rPr>
              <w:t>II</w:t>
            </w:r>
            <w:r>
              <w:rPr>
                <w:b/>
                <w:spacing w:val="-3"/>
                <w:sz w:val="18"/>
              </w:rPr>
              <w:t> </w:t>
            </w:r>
            <w:r>
              <w:rPr>
                <w:b/>
                <w:spacing w:val="-2"/>
                <w:sz w:val="18"/>
              </w:rPr>
              <w:t>Trimestre</w:t>
            </w:r>
          </w:p>
        </w:tc>
        <w:tc>
          <w:tcPr>
            <w:tcW w:w="2692" w:type="dxa"/>
            <w:gridSpan w:val="2"/>
            <w:shd w:val="clear" w:color="auto" w:fill="D7D7D7"/>
          </w:tcPr>
          <w:p>
            <w:pPr>
              <w:pStyle w:val="TableParagraph"/>
              <w:spacing w:before="37"/>
              <w:ind w:left="839"/>
              <w:rPr>
                <w:b/>
                <w:sz w:val="18"/>
              </w:rPr>
            </w:pPr>
            <w:r>
              <w:rPr>
                <w:b/>
                <w:sz w:val="18"/>
              </w:rPr>
              <w:t>III</w:t>
            </w:r>
            <w:r>
              <w:rPr>
                <w:b/>
                <w:spacing w:val="-2"/>
                <w:sz w:val="18"/>
              </w:rPr>
              <w:t> Trimestre</w:t>
            </w:r>
          </w:p>
        </w:tc>
        <w:tc>
          <w:tcPr>
            <w:tcW w:w="2653" w:type="dxa"/>
            <w:gridSpan w:val="2"/>
            <w:shd w:val="clear" w:color="auto" w:fill="D7D7D7"/>
          </w:tcPr>
          <w:p>
            <w:pPr>
              <w:pStyle w:val="TableParagraph"/>
              <w:spacing w:before="37"/>
              <w:ind w:left="812"/>
              <w:rPr>
                <w:b/>
                <w:sz w:val="18"/>
              </w:rPr>
            </w:pPr>
            <w:r>
              <w:rPr>
                <w:b/>
                <w:sz w:val="18"/>
              </w:rPr>
              <w:t>IV</w:t>
            </w:r>
            <w:r>
              <w:rPr>
                <w:b/>
                <w:spacing w:val="-2"/>
                <w:sz w:val="18"/>
              </w:rPr>
              <w:t> Trimestre</w:t>
            </w:r>
          </w:p>
        </w:tc>
      </w:tr>
      <w:tr>
        <w:trPr>
          <w:trHeight w:val="484" w:hRule="atLeast"/>
        </w:trPr>
        <w:tc>
          <w:tcPr>
            <w:tcW w:w="2396" w:type="dxa"/>
            <w:vMerge/>
            <w:tcBorders>
              <w:top w:val="nil"/>
            </w:tcBorders>
            <w:shd w:val="clear" w:color="auto" w:fill="D7D7D7"/>
          </w:tcPr>
          <w:p>
            <w:pPr>
              <w:rPr>
                <w:sz w:val="2"/>
                <w:szCs w:val="2"/>
              </w:rPr>
            </w:pPr>
          </w:p>
        </w:tc>
        <w:tc>
          <w:tcPr>
            <w:tcW w:w="1843" w:type="dxa"/>
            <w:vMerge/>
            <w:tcBorders>
              <w:top w:val="nil"/>
            </w:tcBorders>
            <w:shd w:val="clear" w:color="auto" w:fill="D7D7D7"/>
          </w:tcPr>
          <w:p>
            <w:pPr>
              <w:rPr>
                <w:sz w:val="2"/>
                <w:szCs w:val="2"/>
              </w:rPr>
            </w:pPr>
          </w:p>
        </w:tc>
        <w:tc>
          <w:tcPr>
            <w:tcW w:w="1181" w:type="dxa"/>
            <w:shd w:val="clear" w:color="auto" w:fill="D7D7D7"/>
          </w:tcPr>
          <w:p>
            <w:pPr>
              <w:pStyle w:val="TableParagraph"/>
              <w:spacing w:line="244" w:lineRule="auto" w:before="32"/>
              <w:ind w:left="72" w:firstLine="312"/>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jc w:val="center"/>
              <w:rPr>
                <w:b/>
                <w:sz w:val="18"/>
              </w:rPr>
            </w:pPr>
            <w:r>
              <w:rPr>
                <w:b/>
                <w:spacing w:val="-10"/>
                <w:sz w:val="18"/>
              </w:rPr>
              <w:t>¢</w:t>
            </w:r>
          </w:p>
        </w:tc>
        <w:tc>
          <w:tcPr>
            <w:tcW w:w="1420" w:type="dxa"/>
            <w:shd w:val="clear" w:color="auto" w:fill="D7D7D7"/>
          </w:tcPr>
          <w:p>
            <w:pPr>
              <w:pStyle w:val="TableParagraph"/>
              <w:spacing w:line="244" w:lineRule="auto" w:before="32"/>
              <w:ind w:left="188" w:firstLine="317"/>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right="5"/>
              <w:jc w:val="center"/>
              <w:rPr>
                <w:b/>
                <w:sz w:val="18"/>
              </w:rPr>
            </w:pPr>
            <w:r>
              <w:rPr>
                <w:b/>
                <w:spacing w:val="-10"/>
                <w:sz w:val="18"/>
              </w:rPr>
              <w:t>¢</w:t>
            </w:r>
          </w:p>
        </w:tc>
        <w:tc>
          <w:tcPr>
            <w:tcW w:w="1670" w:type="dxa"/>
            <w:shd w:val="clear" w:color="auto" w:fill="D7D7D7"/>
          </w:tcPr>
          <w:p>
            <w:pPr>
              <w:pStyle w:val="TableParagraph"/>
              <w:spacing w:before="138"/>
              <w:ind w:left="28"/>
              <w:jc w:val="center"/>
              <w:rPr>
                <w:b/>
                <w:sz w:val="18"/>
              </w:rPr>
            </w:pPr>
            <w:r>
              <w:rPr>
                <w:b/>
                <w:sz w:val="18"/>
              </w:rPr>
              <w:t>Meta</w:t>
            </w:r>
            <w:r>
              <w:rPr>
                <w:b/>
                <w:spacing w:val="1"/>
                <w:sz w:val="18"/>
              </w:rPr>
              <w:t> </w:t>
            </w:r>
            <w:r>
              <w:rPr>
                <w:b/>
                <w:spacing w:val="-2"/>
                <w:sz w:val="18"/>
              </w:rPr>
              <w:t>programada</w:t>
            </w:r>
          </w:p>
        </w:tc>
        <w:tc>
          <w:tcPr>
            <w:tcW w:w="1022" w:type="dxa"/>
            <w:shd w:val="clear" w:color="auto" w:fill="D7D7D7"/>
          </w:tcPr>
          <w:p>
            <w:pPr>
              <w:pStyle w:val="TableParagraph"/>
              <w:spacing w:before="138"/>
              <w:ind w:left="21"/>
              <w:jc w:val="center"/>
              <w:rPr>
                <w:b/>
                <w:sz w:val="18"/>
              </w:rPr>
            </w:pPr>
            <w:r>
              <w:rPr>
                <w:b/>
                <w:spacing w:val="-10"/>
                <w:sz w:val="18"/>
              </w:rPr>
              <w:t>¢</w:t>
            </w:r>
          </w:p>
        </w:tc>
        <w:tc>
          <w:tcPr>
            <w:tcW w:w="1396" w:type="dxa"/>
            <w:shd w:val="clear" w:color="auto" w:fill="D7D7D7"/>
          </w:tcPr>
          <w:p>
            <w:pPr>
              <w:pStyle w:val="TableParagraph"/>
              <w:spacing w:line="244" w:lineRule="auto" w:before="32"/>
              <w:ind w:left="183" w:firstLine="316"/>
              <w:rPr>
                <w:b/>
                <w:sz w:val="18"/>
              </w:rPr>
            </w:pPr>
            <w:r>
              <w:rPr>
                <w:b/>
                <w:spacing w:val="-4"/>
                <w:sz w:val="18"/>
              </w:rPr>
              <w:t>Meta </w:t>
            </w:r>
            <w:r>
              <w:rPr>
                <w:b/>
                <w:spacing w:val="-2"/>
                <w:sz w:val="18"/>
              </w:rPr>
              <w:t>programada</w:t>
            </w:r>
          </w:p>
        </w:tc>
        <w:tc>
          <w:tcPr>
            <w:tcW w:w="1257" w:type="dxa"/>
            <w:shd w:val="clear" w:color="auto" w:fill="D7D7D7"/>
          </w:tcPr>
          <w:p>
            <w:pPr>
              <w:pStyle w:val="TableParagraph"/>
              <w:spacing w:before="138"/>
              <w:ind w:left="86" w:right="56"/>
              <w:jc w:val="center"/>
              <w:rPr>
                <w:b/>
                <w:sz w:val="18"/>
              </w:rPr>
            </w:pPr>
            <w:r>
              <w:rPr>
                <w:b/>
                <w:spacing w:val="-10"/>
                <w:sz w:val="18"/>
              </w:rPr>
              <w:t>¢</w:t>
            </w:r>
          </w:p>
        </w:tc>
      </w:tr>
      <w:tr>
        <w:trPr>
          <w:trHeight w:val="1656" w:hRule="atLeast"/>
        </w:trPr>
        <w:tc>
          <w:tcPr>
            <w:tcW w:w="2396" w:type="dxa"/>
          </w:tcPr>
          <w:p>
            <w:pPr>
              <w:pStyle w:val="TableParagraph"/>
              <w:spacing w:before="206"/>
              <w:ind w:left="72" w:right="106"/>
              <w:rPr>
                <w:sz w:val="18"/>
              </w:rPr>
            </w:pPr>
            <w:r>
              <w:rPr>
                <w:b/>
                <w:sz w:val="18"/>
              </w:rPr>
              <w:t>Actividad PAC 2.31.2: </w:t>
            </w:r>
            <w:r>
              <w:rPr>
                <w:sz w:val="18"/>
              </w:rPr>
              <w:t>Realizar los Estudios Financieros de Precios de los procesos de Contratación</w:t>
            </w:r>
            <w:r>
              <w:rPr>
                <w:spacing w:val="-13"/>
                <w:sz w:val="18"/>
              </w:rPr>
              <w:t> </w:t>
            </w:r>
            <w:r>
              <w:rPr>
                <w:sz w:val="18"/>
              </w:rPr>
              <w:t>Administrativa remitidos por la</w:t>
            </w:r>
          </w:p>
          <w:p>
            <w:pPr>
              <w:pStyle w:val="TableParagraph"/>
              <w:spacing w:line="189" w:lineRule="exact"/>
              <w:ind w:left="72"/>
              <w:rPr>
                <w:sz w:val="18"/>
              </w:rPr>
            </w:pPr>
            <w:r>
              <w:rPr>
                <w:sz w:val="18"/>
              </w:rPr>
              <w:t>Proveeduría</w:t>
            </w:r>
            <w:r>
              <w:rPr>
                <w:spacing w:val="-8"/>
                <w:sz w:val="18"/>
              </w:rPr>
              <w:t> </w:t>
            </w:r>
            <w:r>
              <w:rPr>
                <w:spacing w:val="-2"/>
                <w:sz w:val="18"/>
              </w:rPr>
              <w:t>Institucional.</w:t>
            </w:r>
          </w:p>
        </w:tc>
        <w:tc>
          <w:tcPr>
            <w:tcW w:w="1843" w:type="dxa"/>
          </w:tcPr>
          <w:p>
            <w:pPr>
              <w:pStyle w:val="TableParagraph"/>
              <w:spacing w:before="99"/>
              <w:rPr>
                <w:b/>
                <w:sz w:val="18"/>
              </w:rPr>
            </w:pPr>
          </w:p>
          <w:p>
            <w:pPr>
              <w:pStyle w:val="TableParagraph"/>
              <w:ind w:left="71" w:right="71"/>
              <w:rPr>
                <w:sz w:val="18"/>
              </w:rPr>
            </w:pPr>
            <w:r>
              <w:rPr>
                <w:color w:val="232323"/>
                <w:sz w:val="18"/>
              </w:rPr>
              <w:t>Porcentaje de Estudios</w:t>
            </w:r>
            <w:r>
              <w:rPr>
                <w:color w:val="232323"/>
                <w:spacing w:val="-13"/>
                <w:sz w:val="18"/>
              </w:rPr>
              <w:t> </w:t>
            </w:r>
            <w:r>
              <w:rPr>
                <w:color w:val="232323"/>
                <w:sz w:val="18"/>
              </w:rPr>
              <w:t>Financieros de Precios realizados, en los plazos establecidos.</w:t>
            </w:r>
          </w:p>
        </w:tc>
        <w:tc>
          <w:tcPr>
            <w:tcW w:w="1181"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8" w:right="14"/>
              <w:jc w:val="center"/>
              <w:rPr>
                <w:sz w:val="18"/>
              </w:rPr>
            </w:pPr>
            <w:r>
              <w:rPr>
                <w:spacing w:val="-4"/>
                <w:sz w:val="18"/>
              </w:rPr>
              <w:t>100%</w:t>
            </w: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8"/>
              <w:jc w:val="center"/>
              <w:rPr>
                <w:sz w:val="18"/>
              </w:rPr>
            </w:pPr>
            <w:r>
              <w:rPr>
                <w:spacing w:val="-4"/>
                <w:sz w:val="18"/>
              </w:rPr>
              <w:t>100%</w:t>
            </w: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8" w:right="7"/>
              <w:jc w:val="center"/>
              <w:rPr>
                <w:sz w:val="18"/>
              </w:rPr>
            </w:pPr>
            <w:r>
              <w:rPr>
                <w:spacing w:val="-4"/>
                <w:sz w:val="18"/>
              </w:rPr>
              <w:t>100%</w:t>
            </w: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30"/>
              <w:jc w:val="center"/>
              <w:rPr>
                <w:sz w:val="18"/>
              </w:rPr>
            </w:pPr>
            <w:r>
              <w:rPr>
                <w:spacing w:val="-4"/>
                <w:sz w:val="18"/>
              </w:rPr>
              <w:t>100%</w:t>
            </w:r>
          </w:p>
        </w:tc>
        <w:tc>
          <w:tcPr>
            <w:tcW w:w="1257" w:type="dxa"/>
          </w:tcPr>
          <w:p>
            <w:pPr>
              <w:pStyle w:val="TableParagraph"/>
              <w:rPr>
                <w:rFonts w:ascii="Times New Roman"/>
                <w:sz w:val="18"/>
              </w:rPr>
            </w:pPr>
          </w:p>
        </w:tc>
      </w:tr>
      <w:tr>
        <w:trPr>
          <w:trHeight w:val="1656" w:hRule="atLeast"/>
        </w:trPr>
        <w:tc>
          <w:tcPr>
            <w:tcW w:w="2396" w:type="dxa"/>
          </w:tcPr>
          <w:p>
            <w:pPr>
              <w:pStyle w:val="TableParagraph"/>
              <w:spacing w:before="205"/>
              <w:ind w:left="72"/>
              <w:rPr>
                <w:sz w:val="18"/>
              </w:rPr>
            </w:pPr>
            <w:r>
              <w:rPr>
                <w:b/>
                <w:sz w:val="18"/>
              </w:rPr>
              <w:t>Actividad PAC 2.31.3: </w:t>
            </w:r>
            <w:r>
              <w:rPr>
                <w:sz w:val="18"/>
              </w:rPr>
              <w:t>Gestionar</w:t>
            </w:r>
            <w:r>
              <w:rPr>
                <w:spacing w:val="-15"/>
                <w:sz w:val="18"/>
              </w:rPr>
              <w:t> </w:t>
            </w:r>
            <w:r>
              <w:rPr>
                <w:sz w:val="18"/>
              </w:rPr>
              <w:t>oportunamente</w:t>
            </w:r>
            <w:r>
              <w:rPr>
                <w:spacing w:val="-12"/>
                <w:sz w:val="18"/>
              </w:rPr>
              <w:t> </w:t>
            </w:r>
            <w:r>
              <w:rPr>
                <w:sz w:val="18"/>
              </w:rPr>
              <w:t>el ingreso de los recursos financieros a las cuentas bancarias de la institución, según fuentes de</w:t>
            </w:r>
          </w:p>
          <w:p>
            <w:pPr>
              <w:pStyle w:val="TableParagraph"/>
              <w:spacing w:line="187" w:lineRule="exact" w:before="2"/>
              <w:ind w:left="72"/>
              <w:rPr>
                <w:sz w:val="18"/>
              </w:rPr>
            </w:pPr>
            <w:r>
              <w:rPr>
                <w:spacing w:val="-2"/>
                <w:sz w:val="18"/>
              </w:rPr>
              <w:t>financiamiento</w:t>
            </w:r>
          </w:p>
        </w:tc>
        <w:tc>
          <w:tcPr>
            <w:tcW w:w="1843" w:type="dxa"/>
          </w:tcPr>
          <w:p>
            <w:pPr>
              <w:pStyle w:val="TableParagraph"/>
              <w:spacing w:before="204"/>
              <w:rPr>
                <w:b/>
                <w:sz w:val="18"/>
              </w:rPr>
            </w:pPr>
          </w:p>
          <w:p>
            <w:pPr>
              <w:pStyle w:val="TableParagraph"/>
              <w:ind w:left="71" w:right="49"/>
              <w:rPr>
                <w:sz w:val="18"/>
              </w:rPr>
            </w:pPr>
            <w:r>
              <w:rPr>
                <w:color w:val="232323"/>
                <w:sz w:val="18"/>
              </w:rPr>
              <w:t>Porcentaje</w:t>
            </w:r>
            <w:r>
              <w:rPr>
                <w:color w:val="232323"/>
                <w:spacing w:val="-13"/>
                <w:sz w:val="18"/>
              </w:rPr>
              <w:t> </w:t>
            </w:r>
            <w:r>
              <w:rPr>
                <w:color w:val="232323"/>
                <w:sz w:val="18"/>
              </w:rPr>
              <w:t>efectivo que ingresa a la </w:t>
            </w:r>
            <w:r>
              <w:rPr>
                <w:color w:val="232323"/>
                <w:spacing w:val="-2"/>
                <w:sz w:val="18"/>
              </w:rPr>
              <w:t>institución, gestionado.</w:t>
            </w:r>
          </w:p>
        </w:tc>
        <w:tc>
          <w:tcPr>
            <w:tcW w:w="118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8" w:right="14"/>
              <w:jc w:val="center"/>
              <w:rPr>
                <w:sz w:val="18"/>
              </w:rPr>
            </w:pPr>
            <w:r>
              <w:rPr>
                <w:spacing w:val="-4"/>
                <w:sz w:val="18"/>
              </w:rPr>
              <w:t>100%</w:t>
            </w: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8"/>
              <w:jc w:val="center"/>
              <w:rPr>
                <w:sz w:val="18"/>
              </w:rPr>
            </w:pPr>
            <w:r>
              <w:rPr>
                <w:spacing w:val="-4"/>
                <w:sz w:val="18"/>
              </w:rPr>
              <w:t>100%</w:t>
            </w: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8" w:right="7"/>
              <w:jc w:val="center"/>
              <w:rPr>
                <w:sz w:val="18"/>
              </w:rPr>
            </w:pPr>
            <w:r>
              <w:rPr>
                <w:spacing w:val="-4"/>
                <w:sz w:val="18"/>
              </w:rPr>
              <w:t>100%</w:t>
            </w: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0"/>
              <w:jc w:val="center"/>
              <w:rPr>
                <w:sz w:val="18"/>
              </w:rPr>
            </w:pPr>
            <w:r>
              <w:rPr>
                <w:spacing w:val="-4"/>
                <w:sz w:val="18"/>
              </w:rPr>
              <w:t>100%</w:t>
            </w:r>
          </w:p>
        </w:tc>
        <w:tc>
          <w:tcPr>
            <w:tcW w:w="1257" w:type="dxa"/>
          </w:tcPr>
          <w:p>
            <w:pPr>
              <w:pStyle w:val="TableParagraph"/>
              <w:rPr>
                <w:rFonts w:ascii="Times New Roman"/>
                <w:sz w:val="18"/>
              </w:rPr>
            </w:pPr>
          </w:p>
        </w:tc>
      </w:tr>
      <w:tr>
        <w:trPr>
          <w:trHeight w:val="1363" w:hRule="atLeast"/>
        </w:trPr>
        <w:tc>
          <w:tcPr>
            <w:tcW w:w="2396"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169"/>
              <w:rPr>
                <w:b/>
                <w:sz w:val="18"/>
              </w:rPr>
            </w:pPr>
          </w:p>
          <w:p>
            <w:pPr>
              <w:pStyle w:val="TableParagraph"/>
              <w:spacing w:before="1"/>
              <w:ind w:left="72" w:right="106"/>
              <w:rPr>
                <w:sz w:val="18"/>
              </w:rPr>
            </w:pPr>
            <w:r>
              <w:rPr>
                <w:b/>
                <w:sz w:val="18"/>
              </w:rPr>
              <w:t>Actividad PAC 2.31.4: </w:t>
            </w:r>
            <w:r>
              <w:rPr>
                <w:sz w:val="18"/>
              </w:rPr>
              <w:t>Administrar</w:t>
            </w:r>
            <w:r>
              <w:rPr>
                <w:spacing w:val="-11"/>
                <w:sz w:val="18"/>
              </w:rPr>
              <w:t> </w:t>
            </w:r>
            <w:r>
              <w:rPr>
                <w:sz w:val="18"/>
              </w:rPr>
              <w:t>el</w:t>
            </w:r>
            <w:r>
              <w:rPr>
                <w:spacing w:val="-13"/>
                <w:sz w:val="18"/>
              </w:rPr>
              <w:t> </w:t>
            </w:r>
            <w:r>
              <w:rPr>
                <w:sz w:val="18"/>
              </w:rPr>
              <w:t>efectivo</w:t>
            </w:r>
            <w:r>
              <w:rPr>
                <w:spacing w:val="-12"/>
                <w:sz w:val="18"/>
              </w:rPr>
              <w:t> </w:t>
            </w:r>
            <w:r>
              <w:rPr>
                <w:sz w:val="18"/>
              </w:rPr>
              <w:t>para el giro oportuno de los recursos destinados a atender los compromisos </w:t>
            </w:r>
            <w:r>
              <w:rPr>
                <w:spacing w:val="-2"/>
                <w:sz w:val="18"/>
              </w:rPr>
              <w:t>sociales.</w:t>
            </w:r>
          </w:p>
        </w:tc>
        <w:tc>
          <w:tcPr>
            <w:tcW w:w="1843" w:type="dxa"/>
          </w:tcPr>
          <w:p>
            <w:pPr>
              <w:pStyle w:val="TableParagraph"/>
              <w:spacing w:before="60"/>
              <w:rPr>
                <w:b/>
                <w:sz w:val="18"/>
              </w:rPr>
            </w:pPr>
          </w:p>
          <w:p>
            <w:pPr>
              <w:pStyle w:val="TableParagraph"/>
              <w:ind w:left="71" w:right="49"/>
              <w:rPr>
                <w:sz w:val="18"/>
              </w:rPr>
            </w:pPr>
            <w:r>
              <w:rPr>
                <w:sz w:val="18"/>
              </w:rPr>
              <w:t>Cantidad</w:t>
            </w:r>
            <w:r>
              <w:rPr>
                <w:spacing w:val="-15"/>
                <w:sz w:val="18"/>
              </w:rPr>
              <w:t> </w:t>
            </w:r>
            <w:r>
              <w:rPr>
                <w:sz w:val="18"/>
              </w:rPr>
              <w:t>de</w:t>
            </w:r>
            <w:r>
              <w:rPr>
                <w:spacing w:val="-12"/>
                <w:sz w:val="18"/>
              </w:rPr>
              <w:t> </w:t>
            </w:r>
            <w:r>
              <w:rPr>
                <w:sz w:val="18"/>
              </w:rPr>
              <w:t>análisis semanales de disponibilidad de </w:t>
            </w:r>
            <w:r>
              <w:rPr>
                <w:spacing w:val="-2"/>
                <w:sz w:val="18"/>
              </w:rPr>
              <w:t>efectivo</w:t>
            </w:r>
          </w:p>
        </w:tc>
        <w:tc>
          <w:tcPr>
            <w:tcW w:w="1181" w:type="dxa"/>
          </w:tcPr>
          <w:p>
            <w:pPr>
              <w:pStyle w:val="TableParagraph"/>
              <w:rPr>
                <w:b/>
                <w:sz w:val="18"/>
              </w:rPr>
            </w:pPr>
          </w:p>
          <w:p>
            <w:pPr>
              <w:pStyle w:val="TableParagraph"/>
              <w:spacing w:before="161"/>
              <w:rPr>
                <w:b/>
                <w:sz w:val="18"/>
              </w:rPr>
            </w:pPr>
          </w:p>
          <w:p>
            <w:pPr>
              <w:pStyle w:val="TableParagraph"/>
              <w:ind w:left="28" w:right="17"/>
              <w:jc w:val="center"/>
              <w:rPr>
                <w:sz w:val="18"/>
              </w:rPr>
            </w:pPr>
            <w:r>
              <w:rPr>
                <w:spacing w:val="-5"/>
                <w:sz w:val="18"/>
              </w:rPr>
              <w:t>12</w:t>
            </w: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spacing w:before="161"/>
              <w:rPr>
                <w:b/>
                <w:sz w:val="18"/>
              </w:rPr>
            </w:pPr>
          </w:p>
          <w:p>
            <w:pPr>
              <w:pStyle w:val="TableParagraph"/>
              <w:ind w:left="18" w:right="3"/>
              <w:jc w:val="center"/>
              <w:rPr>
                <w:sz w:val="18"/>
              </w:rPr>
            </w:pPr>
            <w:r>
              <w:rPr>
                <w:spacing w:val="-5"/>
                <w:sz w:val="18"/>
              </w:rPr>
              <w:t>24</w:t>
            </w: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spacing w:before="161"/>
              <w:rPr>
                <w:b/>
                <w:sz w:val="18"/>
              </w:rPr>
            </w:pPr>
          </w:p>
          <w:p>
            <w:pPr>
              <w:pStyle w:val="TableParagraph"/>
              <w:ind w:left="28" w:right="10"/>
              <w:jc w:val="center"/>
              <w:rPr>
                <w:sz w:val="18"/>
              </w:rPr>
            </w:pPr>
            <w:r>
              <w:rPr>
                <w:spacing w:val="-5"/>
                <w:sz w:val="18"/>
              </w:rPr>
              <w:t>36</w:t>
            </w: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spacing w:before="161"/>
              <w:rPr>
                <w:b/>
                <w:sz w:val="18"/>
              </w:rPr>
            </w:pPr>
          </w:p>
          <w:p>
            <w:pPr>
              <w:pStyle w:val="TableParagraph"/>
              <w:ind w:left="30" w:right="3"/>
              <w:jc w:val="center"/>
              <w:rPr>
                <w:sz w:val="18"/>
              </w:rPr>
            </w:pPr>
            <w:r>
              <w:rPr>
                <w:spacing w:val="-5"/>
                <w:sz w:val="18"/>
              </w:rPr>
              <w:t>48</w:t>
            </w:r>
          </w:p>
        </w:tc>
        <w:tc>
          <w:tcPr>
            <w:tcW w:w="1257" w:type="dxa"/>
          </w:tcPr>
          <w:p>
            <w:pPr>
              <w:pStyle w:val="TableParagraph"/>
              <w:rPr>
                <w:rFonts w:ascii="Times New Roman"/>
                <w:sz w:val="18"/>
              </w:rPr>
            </w:pPr>
          </w:p>
        </w:tc>
      </w:tr>
      <w:tr>
        <w:trPr>
          <w:trHeight w:val="1862" w:hRule="atLeast"/>
        </w:trPr>
        <w:tc>
          <w:tcPr>
            <w:tcW w:w="2396" w:type="dxa"/>
            <w:vMerge/>
            <w:tcBorders>
              <w:top w:val="nil"/>
            </w:tcBorders>
          </w:tcPr>
          <w:p>
            <w:pPr>
              <w:rPr>
                <w:sz w:val="2"/>
                <w:szCs w:val="2"/>
              </w:rPr>
            </w:pPr>
          </w:p>
        </w:tc>
        <w:tc>
          <w:tcPr>
            <w:tcW w:w="1843" w:type="dxa"/>
          </w:tcPr>
          <w:p>
            <w:pPr>
              <w:pStyle w:val="TableParagraph"/>
              <w:ind w:left="71" w:right="111"/>
              <w:rPr>
                <w:sz w:val="18"/>
              </w:rPr>
            </w:pPr>
            <w:r>
              <w:rPr>
                <w:sz w:val="18"/>
              </w:rPr>
              <w:t>Porcentaje de requerimientos de efectivo</w:t>
            </w:r>
            <w:r>
              <w:rPr>
                <w:spacing w:val="-12"/>
                <w:sz w:val="18"/>
              </w:rPr>
              <w:t> </w:t>
            </w:r>
            <w:r>
              <w:rPr>
                <w:sz w:val="18"/>
              </w:rPr>
              <w:t>por</w:t>
            </w:r>
            <w:r>
              <w:rPr>
                <w:spacing w:val="-10"/>
                <w:sz w:val="18"/>
              </w:rPr>
              <w:t> </w:t>
            </w:r>
            <w:r>
              <w:rPr>
                <w:sz w:val="18"/>
              </w:rPr>
              <w:t>parte</w:t>
            </w:r>
            <w:r>
              <w:rPr>
                <w:spacing w:val="-12"/>
                <w:sz w:val="18"/>
              </w:rPr>
              <w:t> </w:t>
            </w:r>
            <w:r>
              <w:rPr>
                <w:sz w:val="18"/>
              </w:rPr>
              <w:t>de las ARDS a través de SABEN con </w:t>
            </w:r>
            <w:r>
              <w:rPr>
                <w:spacing w:val="-2"/>
                <w:sz w:val="18"/>
              </w:rPr>
              <w:t>transferencias </w:t>
            </w:r>
            <w:r>
              <w:rPr>
                <w:sz w:val="18"/>
              </w:rPr>
              <w:t>realizadas por parte</w:t>
            </w:r>
          </w:p>
          <w:p>
            <w:pPr>
              <w:pStyle w:val="TableParagraph"/>
              <w:spacing w:line="206" w:lineRule="exact"/>
              <w:ind w:left="71" w:right="49"/>
              <w:rPr>
                <w:sz w:val="18"/>
              </w:rPr>
            </w:pPr>
            <w:r>
              <w:rPr>
                <w:sz w:val="18"/>
              </w:rPr>
              <w:t>de</w:t>
            </w:r>
            <w:r>
              <w:rPr>
                <w:spacing w:val="-9"/>
                <w:sz w:val="18"/>
              </w:rPr>
              <w:t> </w:t>
            </w:r>
            <w:r>
              <w:rPr>
                <w:sz w:val="18"/>
              </w:rPr>
              <w:t>la</w:t>
            </w:r>
            <w:r>
              <w:rPr>
                <w:spacing w:val="-9"/>
                <w:sz w:val="18"/>
              </w:rPr>
              <w:t> </w:t>
            </w:r>
            <w:r>
              <w:rPr>
                <w:sz w:val="18"/>
              </w:rPr>
              <w:t>Unidad</w:t>
            </w:r>
            <w:r>
              <w:rPr>
                <w:spacing w:val="-13"/>
                <w:sz w:val="18"/>
              </w:rPr>
              <w:t> </w:t>
            </w:r>
            <w:r>
              <w:rPr>
                <w:sz w:val="18"/>
              </w:rPr>
              <w:t>de </w:t>
            </w:r>
            <w:r>
              <w:rPr>
                <w:spacing w:val="-2"/>
                <w:sz w:val="18"/>
              </w:rPr>
              <w:t>Tesorería.</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28" w:right="14"/>
              <w:jc w:val="center"/>
              <w:rPr>
                <w:sz w:val="18"/>
              </w:rPr>
            </w:pPr>
            <w:r>
              <w:rPr>
                <w:spacing w:val="-4"/>
                <w:sz w:val="18"/>
              </w:rPr>
              <w:t>100%</w:t>
            </w: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18"/>
              <w:jc w:val="center"/>
              <w:rPr>
                <w:sz w:val="18"/>
              </w:rPr>
            </w:pPr>
            <w:r>
              <w:rPr>
                <w:spacing w:val="-4"/>
                <w:sz w:val="18"/>
              </w:rPr>
              <w:t>100%</w:t>
            </w: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28" w:right="7"/>
              <w:jc w:val="center"/>
              <w:rPr>
                <w:sz w:val="18"/>
              </w:rPr>
            </w:pPr>
            <w:r>
              <w:rPr>
                <w:spacing w:val="-4"/>
                <w:sz w:val="18"/>
              </w:rPr>
              <w:t>100%</w:t>
            </w: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30"/>
              <w:jc w:val="center"/>
              <w:rPr>
                <w:sz w:val="18"/>
              </w:rPr>
            </w:pPr>
            <w:r>
              <w:rPr>
                <w:spacing w:val="-4"/>
                <w:sz w:val="18"/>
              </w:rPr>
              <w:t>100%</w:t>
            </w:r>
          </w:p>
        </w:tc>
        <w:tc>
          <w:tcPr>
            <w:tcW w:w="1257" w:type="dxa"/>
          </w:tcPr>
          <w:p>
            <w:pPr>
              <w:pStyle w:val="TableParagraph"/>
              <w:rPr>
                <w:rFonts w:ascii="Times New Roman"/>
                <w:sz w:val="18"/>
              </w:rPr>
            </w:pPr>
          </w:p>
        </w:tc>
      </w:tr>
      <w:tr>
        <w:trPr>
          <w:trHeight w:val="1368" w:hRule="atLeast"/>
        </w:trPr>
        <w:tc>
          <w:tcPr>
            <w:tcW w:w="2396" w:type="dxa"/>
          </w:tcPr>
          <w:p>
            <w:pPr>
              <w:pStyle w:val="TableParagraph"/>
              <w:spacing w:before="60"/>
              <w:rPr>
                <w:b/>
                <w:sz w:val="18"/>
              </w:rPr>
            </w:pPr>
          </w:p>
          <w:p>
            <w:pPr>
              <w:pStyle w:val="TableParagraph"/>
              <w:ind w:left="72" w:right="145"/>
              <w:rPr>
                <w:sz w:val="18"/>
              </w:rPr>
            </w:pPr>
            <w:r>
              <w:rPr>
                <w:b/>
                <w:sz w:val="18"/>
              </w:rPr>
              <w:t>Actividad PAC 2.31.5: </w:t>
            </w:r>
            <w:r>
              <w:rPr>
                <w:sz w:val="18"/>
              </w:rPr>
              <w:t>Realizar</w:t>
            </w:r>
            <w:r>
              <w:rPr>
                <w:spacing w:val="-10"/>
                <w:sz w:val="18"/>
              </w:rPr>
              <w:t> </w:t>
            </w:r>
            <w:r>
              <w:rPr>
                <w:sz w:val="18"/>
              </w:rPr>
              <w:t>el</w:t>
            </w:r>
            <w:r>
              <w:rPr>
                <w:spacing w:val="-13"/>
                <w:sz w:val="18"/>
              </w:rPr>
              <w:t> </w:t>
            </w:r>
            <w:r>
              <w:rPr>
                <w:sz w:val="18"/>
              </w:rPr>
              <w:t>pago</w:t>
            </w:r>
            <w:r>
              <w:rPr>
                <w:spacing w:val="-12"/>
                <w:sz w:val="18"/>
              </w:rPr>
              <w:t> </w:t>
            </w:r>
            <w:r>
              <w:rPr>
                <w:sz w:val="18"/>
              </w:rPr>
              <w:t>oportuno de los compromisos administrativos y </w:t>
            </w:r>
            <w:r>
              <w:rPr>
                <w:spacing w:val="-2"/>
                <w:sz w:val="18"/>
              </w:rPr>
              <w:t>operativos.</w:t>
            </w:r>
          </w:p>
        </w:tc>
        <w:tc>
          <w:tcPr>
            <w:tcW w:w="1843" w:type="dxa"/>
          </w:tcPr>
          <w:p>
            <w:pPr>
              <w:pStyle w:val="TableParagraph"/>
              <w:spacing w:before="61"/>
              <w:ind w:left="71" w:right="103"/>
              <w:rPr>
                <w:sz w:val="18"/>
              </w:rPr>
            </w:pPr>
            <w:r>
              <w:rPr>
                <w:sz w:val="18"/>
              </w:rPr>
              <w:t>Porcentaje</w:t>
            </w:r>
            <w:r>
              <w:rPr>
                <w:spacing w:val="-15"/>
                <w:sz w:val="18"/>
              </w:rPr>
              <w:t> </w:t>
            </w:r>
            <w:r>
              <w:rPr>
                <w:sz w:val="18"/>
              </w:rPr>
              <w:t>de</w:t>
            </w:r>
            <w:r>
              <w:rPr>
                <w:spacing w:val="-12"/>
                <w:sz w:val="18"/>
              </w:rPr>
              <w:t> </w:t>
            </w:r>
            <w:r>
              <w:rPr>
                <w:sz w:val="18"/>
              </w:rPr>
              <w:t>pagos de solicitudes</w:t>
            </w:r>
            <w:r>
              <w:rPr>
                <w:spacing w:val="-4"/>
                <w:sz w:val="18"/>
              </w:rPr>
              <w:t> </w:t>
            </w:r>
            <w:r>
              <w:rPr>
                <w:sz w:val="18"/>
              </w:rPr>
              <w:t>de los </w:t>
            </w:r>
            <w:r>
              <w:rPr>
                <w:spacing w:val="-2"/>
                <w:sz w:val="18"/>
              </w:rPr>
              <w:t>compromisos </w:t>
            </w:r>
            <w:r>
              <w:rPr>
                <w:sz w:val="18"/>
              </w:rPr>
              <w:t>administrativos y </w:t>
            </w:r>
            <w:r>
              <w:rPr>
                <w:spacing w:val="-2"/>
                <w:sz w:val="18"/>
              </w:rPr>
              <w:t>operativos realizadas.</w:t>
            </w:r>
          </w:p>
        </w:tc>
        <w:tc>
          <w:tcPr>
            <w:tcW w:w="1181" w:type="dxa"/>
          </w:tcPr>
          <w:p>
            <w:pPr>
              <w:pStyle w:val="TableParagraph"/>
              <w:rPr>
                <w:b/>
                <w:sz w:val="18"/>
              </w:rPr>
            </w:pPr>
          </w:p>
          <w:p>
            <w:pPr>
              <w:pStyle w:val="TableParagraph"/>
              <w:spacing w:before="165"/>
              <w:rPr>
                <w:b/>
                <w:sz w:val="18"/>
              </w:rPr>
            </w:pPr>
          </w:p>
          <w:p>
            <w:pPr>
              <w:pStyle w:val="TableParagraph"/>
              <w:ind w:left="28" w:right="14"/>
              <w:jc w:val="center"/>
              <w:rPr>
                <w:sz w:val="18"/>
              </w:rPr>
            </w:pPr>
            <w:r>
              <w:rPr>
                <w:spacing w:val="-4"/>
                <w:sz w:val="18"/>
              </w:rPr>
              <w:t>100%</w:t>
            </w: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spacing w:before="165"/>
              <w:rPr>
                <w:b/>
                <w:sz w:val="18"/>
              </w:rPr>
            </w:pPr>
          </w:p>
          <w:p>
            <w:pPr>
              <w:pStyle w:val="TableParagraph"/>
              <w:ind w:left="18"/>
              <w:jc w:val="center"/>
              <w:rPr>
                <w:sz w:val="18"/>
              </w:rPr>
            </w:pPr>
            <w:r>
              <w:rPr>
                <w:spacing w:val="-4"/>
                <w:sz w:val="18"/>
              </w:rPr>
              <w:t>100%</w:t>
            </w:r>
          </w:p>
        </w:tc>
        <w:tc>
          <w:tcPr>
            <w:tcW w:w="1132" w:type="dxa"/>
          </w:tcPr>
          <w:p>
            <w:pPr>
              <w:pStyle w:val="TableParagraph"/>
              <w:rPr>
                <w:rFonts w:ascii="Times New Roman"/>
                <w:sz w:val="18"/>
              </w:rPr>
            </w:pPr>
          </w:p>
        </w:tc>
        <w:tc>
          <w:tcPr>
            <w:tcW w:w="1670" w:type="dxa"/>
          </w:tcPr>
          <w:p>
            <w:pPr>
              <w:pStyle w:val="TableParagraph"/>
              <w:rPr>
                <w:rFonts w:ascii="Times New Roman"/>
                <w:sz w:val="18"/>
              </w:rPr>
            </w:pP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spacing w:before="165"/>
              <w:rPr>
                <w:b/>
                <w:sz w:val="18"/>
              </w:rPr>
            </w:pPr>
          </w:p>
          <w:p>
            <w:pPr>
              <w:pStyle w:val="TableParagraph"/>
              <w:ind w:left="30"/>
              <w:jc w:val="center"/>
              <w:rPr>
                <w:sz w:val="18"/>
              </w:rPr>
            </w:pPr>
            <w:r>
              <w:rPr>
                <w:spacing w:val="-4"/>
                <w:sz w:val="18"/>
              </w:rPr>
              <w:t>100%</w:t>
            </w:r>
          </w:p>
        </w:tc>
        <w:tc>
          <w:tcPr>
            <w:tcW w:w="1257"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647"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96"/>
        <w:gridCol w:w="1843"/>
        <w:gridCol w:w="1181"/>
        <w:gridCol w:w="1132"/>
        <w:gridCol w:w="1420"/>
        <w:gridCol w:w="1132"/>
        <w:gridCol w:w="1670"/>
        <w:gridCol w:w="1022"/>
        <w:gridCol w:w="1396"/>
        <w:gridCol w:w="1257"/>
      </w:tblGrid>
      <w:tr>
        <w:trPr>
          <w:trHeight w:val="282" w:hRule="atLeast"/>
        </w:trPr>
        <w:tc>
          <w:tcPr>
            <w:tcW w:w="2396" w:type="dxa"/>
            <w:vMerge w:val="restart"/>
            <w:shd w:val="clear" w:color="auto" w:fill="D7D7D7"/>
          </w:tcPr>
          <w:p>
            <w:pPr>
              <w:pStyle w:val="TableParagraph"/>
              <w:spacing w:before="75"/>
              <w:rPr>
                <w:b/>
                <w:sz w:val="18"/>
              </w:rPr>
            </w:pPr>
          </w:p>
          <w:p>
            <w:pPr>
              <w:pStyle w:val="TableParagraph"/>
              <w:ind w:left="230"/>
              <w:rPr>
                <w:b/>
                <w:sz w:val="18"/>
              </w:rPr>
            </w:pPr>
            <w:r>
              <w:rPr>
                <w:b/>
                <w:sz w:val="18"/>
              </w:rPr>
              <w:t>Objetivos</w:t>
            </w:r>
            <w:r>
              <w:rPr>
                <w:b/>
                <w:spacing w:val="-5"/>
                <w:sz w:val="18"/>
              </w:rPr>
              <w:t> </w:t>
            </w:r>
            <w:r>
              <w:rPr>
                <w:b/>
                <w:sz w:val="18"/>
              </w:rPr>
              <w:t>/</w:t>
            </w:r>
            <w:r>
              <w:rPr>
                <w:b/>
                <w:spacing w:val="-2"/>
                <w:sz w:val="18"/>
              </w:rPr>
              <w:t> Resultados</w:t>
            </w:r>
          </w:p>
        </w:tc>
        <w:tc>
          <w:tcPr>
            <w:tcW w:w="1843" w:type="dxa"/>
            <w:vMerge w:val="restart"/>
            <w:shd w:val="clear" w:color="auto" w:fill="D7D7D7"/>
          </w:tcPr>
          <w:p>
            <w:pPr>
              <w:pStyle w:val="TableParagraph"/>
              <w:spacing w:before="75"/>
              <w:rPr>
                <w:b/>
                <w:sz w:val="18"/>
              </w:rPr>
            </w:pPr>
          </w:p>
          <w:p>
            <w:pPr>
              <w:pStyle w:val="TableParagraph"/>
              <w:ind w:left="518"/>
              <w:rPr>
                <w:b/>
                <w:sz w:val="18"/>
              </w:rPr>
            </w:pPr>
            <w:r>
              <w:rPr>
                <w:b/>
                <w:spacing w:val="-2"/>
                <w:sz w:val="18"/>
              </w:rPr>
              <w:t>Indicador</w:t>
            </w:r>
          </w:p>
        </w:tc>
        <w:tc>
          <w:tcPr>
            <w:tcW w:w="2313" w:type="dxa"/>
            <w:gridSpan w:val="2"/>
            <w:shd w:val="clear" w:color="auto" w:fill="D7D7D7"/>
          </w:tcPr>
          <w:p>
            <w:pPr>
              <w:pStyle w:val="TableParagraph"/>
              <w:spacing w:before="37"/>
              <w:ind w:left="696"/>
              <w:rPr>
                <w:b/>
                <w:sz w:val="18"/>
              </w:rPr>
            </w:pPr>
            <w:r>
              <w:rPr>
                <w:b/>
                <w:sz w:val="18"/>
              </w:rPr>
              <w:t>I</w:t>
            </w:r>
            <w:r>
              <w:rPr>
                <w:b/>
                <w:spacing w:val="-1"/>
                <w:sz w:val="18"/>
              </w:rPr>
              <w:t> </w:t>
            </w:r>
            <w:r>
              <w:rPr>
                <w:b/>
                <w:spacing w:val="-2"/>
                <w:sz w:val="18"/>
              </w:rPr>
              <w:t>Trimestre</w:t>
            </w:r>
          </w:p>
        </w:tc>
        <w:tc>
          <w:tcPr>
            <w:tcW w:w="2552" w:type="dxa"/>
            <w:gridSpan w:val="2"/>
            <w:shd w:val="clear" w:color="auto" w:fill="D7D7D7"/>
          </w:tcPr>
          <w:p>
            <w:pPr>
              <w:pStyle w:val="TableParagraph"/>
              <w:spacing w:before="37"/>
              <w:ind w:left="794"/>
              <w:rPr>
                <w:b/>
                <w:sz w:val="18"/>
              </w:rPr>
            </w:pPr>
            <w:r>
              <w:rPr>
                <w:b/>
                <w:sz w:val="18"/>
              </w:rPr>
              <w:t>II</w:t>
            </w:r>
            <w:r>
              <w:rPr>
                <w:b/>
                <w:spacing w:val="-3"/>
                <w:sz w:val="18"/>
              </w:rPr>
              <w:t> </w:t>
            </w:r>
            <w:r>
              <w:rPr>
                <w:b/>
                <w:spacing w:val="-2"/>
                <w:sz w:val="18"/>
              </w:rPr>
              <w:t>Trimestre</w:t>
            </w:r>
          </w:p>
        </w:tc>
        <w:tc>
          <w:tcPr>
            <w:tcW w:w="2692" w:type="dxa"/>
            <w:gridSpan w:val="2"/>
            <w:shd w:val="clear" w:color="auto" w:fill="D7D7D7"/>
          </w:tcPr>
          <w:p>
            <w:pPr>
              <w:pStyle w:val="TableParagraph"/>
              <w:spacing w:before="37"/>
              <w:ind w:left="839"/>
              <w:rPr>
                <w:b/>
                <w:sz w:val="18"/>
              </w:rPr>
            </w:pPr>
            <w:r>
              <w:rPr>
                <w:b/>
                <w:sz w:val="18"/>
              </w:rPr>
              <w:t>III</w:t>
            </w:r>
            <w:r>
              <w:rPr>
                <w:b/>
                <w:spacing w:val="-2"/>
                <w:sz w:val="18"/>
              </w:rPr>
              <w:t> Trimestre</w:t>
            </w:r>
          </w:p>
        </w:tc>
        <w:tc>
          <w:tcPr>
            <w:tcW w:w="2653" w:type="dxa"/>
            <w:gridSpan w:val="2"/>
            <w:shd w:val="clear" w:color="auto" w:fill="D7D7D7"/>
          </w:tcPr>
          <w:p>
            <w:pPr>
              <w:pStyle w:val="TableParagraph"/>
              <w:spacing w:before="37"/>
              <w:ind w:left="812"/>
              <w:rPr>
                <w:b/>
                <w:sz w:val="18"/>
              </w:rPr>
            </w:pPr>
            <w:r>
              <w:rPr>
                <w:b/>
                <w:sz w:val="18"/>
              </w:rPr>
              <w:t>IV</w:t>
            </w:r>
            <w:r>
              <w:rPr>
                <w:b/>
                <w:spacing w:val="-2"/>
                <w:sz w:val="18"/>
              </w:rPr>
              <w:t> Trimestre</w:t>
            </w:r>
          </w:p>
        </w:tc>
      </w:tr>
      <w:tr>
        <w:trPr>
          <w:trHeight w:val="484" w:hRule="atLeast"/>
        </w:trPr>
        <w:tc>
          <w:tcPr>
            <w:tcW w:w="2396" w:type="dxa"/>
            <w:vMerge/>
            <w:tcBorders>
              <w:top w:val="nil"/>
            </w:tcBorders>
            <w:shd w:val="clear" w:color="auto" w:fill="D7D7D7"/>
          </w:tcPr>
          <w:p>
            <w:pPr>
              <w:rPr>
                <w:sz w:val="2"/>
                <w:szCs w:val="2"/>
              </w:rPr>
            </w:pPr>
          </w:p>
        </w:tc>
        <w:tc>
          <w:tcPr>
            <w:tcW w:w="1843" w:type="dxa"/>
            <w:vMerge/>
            <w:tcBorders>
              <w:top w:val="nil"/>
            </w:tcBorders>
            <w:shd w:val="clear" w:color="auto" w:fill="D7D7D7"/>
          </w:tcPr>
          <w:p>
            <w:pPr>
              <w:rPr>
                <w:sz w:val="2"/>
                <w:szCs w:val="2"/>
              </w:rPr>
            </w:pPr>
          </w:p>
        </w:tc>
        <w:tc>
          <w:tcPr>
            <w:tcW w:w="1181" w:type="dxa"/>
            <w:shd w:val="clear" w:color="auto" w:fill="D7D7D7"/>
          </w:tcPr>
          <w:p>
            <w:pPr>
              <w:pStyle w:val="TableParagraph"/>
              <w:spacing w:line="244" w:lineRule="auto" w:before="32"/>
              <w:ind w:left="72" w:firstLine="312"/>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jc w:val="center"/>
              <w:rPr>
                <w:b/>
                <w:sz w:val="18"/>
              </w:rPr>
            </w:pPr>
            <w:r>
              <w:rPr>
                <w:b/>
                <w:spacing w:val="-10"/>
                <w:sz w:val="18"/>
              </w:rPr>
              <w:t>¢</w:t>
            </w:r>
          </w:p>
        </w:tc>
        <w:tc>
          <w:tcPr>
            <w:tcW w:w="1420" w:type="dxa"/>
            <w:shd w:val="clear" w:color="auto" w:fill="D7D7D7"/>
          </w:tcPr>
          <w:p>
            <w:pPr>
              <w:pStyle w:val="TableParagraph"/>
              <w:spacing w:line="244" w:lineRule="auto" w:before="32"/>
              <w:ind w:left="188" w:firstLine="317"/>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right="5"/>
              <w:jc w:val="center"/>
              <w:rPr>
                <w:b/>
                <w:sz w:val="18"/>
              </w:rPr>
            </w:pPr>
            <w:r>
              <w:rPr>
                <w:b/>
                <w:spacing w:val="-10"/>
                <w:sz w:val="18"/>
              </w:rPr>
              <w:t>¢</w:t>
            </w:r>
          </w:p>
        </w:tc>
        <w:tc>
          <w:tcPr>
            <w:tcW w:w="1670" w:type="dxa"/>
            <w:shd w:val="clear" w:color="auto" w:fill="D7D7D7"/>
          </w:tcPr>
          <w:p>
            <w:pPr>
              <w:pStyle w:val="TableParagraph"/>
              <w:spacing w:before="138"/>
              <w:ind w:left="28"/>
              <w:jc w:val="center"/>
              <w:rPr>
                <w:b/>
                <w:sz w:val="18"/>
              </w:rPr>
            </w:pPr>
            <w:r>
              <w:rPr>
                <w:b/>
                <w:sz w:val="18"/>
              </w:rPr>
              <w:t>Meta</w:t>
            </w:r>
            <w:r>
              <w:rPr>
                <w:b/>
                <w:spacing w:val="1"/>
                <w:sz w:val="18"/>
              </w:rPr>
              <w:t> </w:t>
            </w:r>
            <w:r>
              <w:rPr>
                <w:b/>
                <w:spacing w:val="-2"/>
                <w:sz w:val="18"/>
              </w:rPr>
              <w:t>programada</w:t>
            </w:r>
          </w:p>
        </w:tc>
        <w:tc>
          <w:tcPr>
            <w:tcW w:w="1022" w:type="dxa"/>
            <w:shd w:val="clear" w:color="auto" w:fill="D7D7D7"/>
          </w:tcPr>
          <w:p>
            <w:pPr>
              <w:pStyle w:val="TableParagraph"/>
              <w:spacing w:before="138"/>
              <w:ind w:left="21"/>
              <w:jc w:val="center"/>
              <w:rPr>
                <w:b/>
                <w:sz w:val="18"/>
              </w:rPr>
            </w:pPr>
            <w:r>
              <w:rPr>
                <w:b/>
                <w:spacing w:val="-10"/>
                <w:sz w:val="18"/>
              </w:rPr>
              <w:t>¢</w:t>
            </w:r>
          </w:p>
        </w:tc>
        <w:tc>
          <w:tcPr>
            <w:tcW w:w="1396" w:type="dxa"/>
            <w:shd w:val="clear" w:color="auto" w:fill="D7D7D7"/>
          </w:tcPr>
          <w:p>
            <w:pPr>
              <w:pStyle w:val="TableParagraph"/>
              <w:spacing w:line="244" w:lineRule="auto" w:before="32"/>
              <w:ind w:left="183" w:firstLine="316"/>
              <w:rPr>
                <w:b/>
                <w:sz w:val="18"/>
              </w:rPr>
            </w:pPr>
            <w:r>
              <w:rPr>
                <w:b/>
                <w:spacing w:val="-4"/>
                <w:sz w:val="18"/>
              </w:rPr>
              <w:t>Meta </w:t>
            </w:r>
            <w:r>
              <w:rPr>
                <w:b/>
                <w:spacing w:val="-2"/>
                <w:sz w:val="18"/>
              </w:rPr>
              <w:t>programada</w:t>
            </w:r>
          </w:p>
        </w:tc>
        <w:tc>
          <w:tcPr>
            <w:tcW w:w="1257" w:type="dxa"/>
            <w:shd w:val="clear" w:color="auto" w:fill="D7D7D7"/>
          </w:tcPr>
          <w:p>
            <w:pPr>
              <w:pStyle w:val="TableParagraph"/>
              <w:spacing w:before="138"/>
              <w:ind w:left="86" w:right="56"/>
              <w:jc w:val="center"/>
              <w:rPr>
                <w:b/>
                <w:sz w:val="18"/>
              </w:rPr>
            </w:pPr>
            <w:r>
              <w:rPr>
                <w:b/>
                <w:spacing w:val="-10"/>
                <w:sz w:val="18"/>
              </w:rPr>
              <w:t>¢</w:t>
            </w:r>
          </w:p>
        </w:tc>
      </w:tr>
      <w:tr>
        <w:trPr>
          <w:trHeight w:val="1656" w:hRule="atLeast"/>
        </w:trPr>
        <w:tc>
          <w:tcPr>
            <w:tcW w:w="2396" w:type="dxa"/>
          </w:tcPr>
          <w:p>
            <w:pPr>
              <w:pStyle w:val="TableParagraph"/>
              <w:spacing w:before="206"/>
              <w:ind w:left="72"/>
              <w:rPr>
                <w:sz w:val="18"/>
              </w:rPr>
            </w:pPr>
            <w:r>
              <w:rPr>
                <w:b/>
                <w:sz w:val="18"/>
              </w:rPr>
              <w:t>Actividad PAC 2.31.6: </w:t>
            </w:r>
            <w:r>
              <w:rPr>
                <w:sz w:val="18"/>
              </w:rPr>
              <w:t>Incorporar los ajustes y variaciones</w:t>
            </w:r>
            <w:r>
              <w:rPr>
                <w:spacing w:val="-13"/>
                <w:sz w:val="18"/>
              </w:rPr>
              <w:t> </w:t>
            </w:r>
            <w:r>
              <w:rPr>
                <w:sz w:val="18"/>
              </w:rPr>
              <w:t>presupuestarias solicitadas por los responsables de los Programas</w:t>
            </w:r>
            <w:r>
              <w:rPr>
                <w:spacing w:val="-13"/>
                <w:sz w:val="18"/>
              </w:rPr>
              <w:t> </w:t>
            </w:r>
            <w:r>
              <w:rPr>
                <w:sz w:val="18"/>
              </w:rPr>
              <w:t>Presupuestarios</w:t>
            </w:r>
          </w:p>
          <w:p>
            <w:pPr>
              <w:pStyle w:val="TableParagraph"/>
              <w:spacing w:line="189" w:lineRule="exact"/>
              <w:ind w:left="72"/>
              <w:rPr>
                <w:sz w:val="18"/>
              </w:rPr>
            </w:pPr>
            <w:r>
              <w:rPr>
                <w:sz w:val="18"/>
              </w:rPr>
              <w:t>y</w:t>
            </w:r>
            <w:r>
              <w:rPr>
                <w:spacing w:val="-1"/>
                <w:sz w:val="18"/>
              </w:rPr>
              <w:t> </w:t>
            </w:r>
            <w:r>
              <w:rPr>
                <w:sz w:val="18"/>
              </w:rPr>
              <w:t>la</w:t>
            </w:r>
            <w:r>
              <w:rPr>
                <w:spacing w:val="-2"/>
                <w:sz w:val="18"/>
              </w:rPr>
              <w:t> </w:t>
            </w:r>
            <w:r>
              <w:rPr>
                <w:sz w:val="18"/>
              </w:rPr>
              <w:t>Auditoría</w:t>
            </w:r>
            <w:r>
              <w:rPr>
                <w:spacing w:val="-5"/>
                <w:sz w:val="18"/>
              </w:rPr>
              <w:t> </w:t>
            </w:r>
            <w:r>
              <w:rPr>
                <w:spacing w:val="-2"/>
                <w:sz w:val="18"/>
              </w:rPr>
              <w:t>Interna.</w:t>
            </w:r>
          </w:p>
        </w:tc>
        <w:tc>
          <w:tcPr>
            <w:tcW w:w="1843" w:type="dxa"/>
          </w:tcPr>
          <w:p>
            <w:pPr>
              <w:pStyle w:val="TableParagraph"/>
              <w:spacing w:before="206"/>
              <w:ind w:left="71" w:right="49"/>
              <w:rPr>
                <w:sz w:val="18"/>
              </w:rPr>
            </w:pPr>
            <w:r>
              <w:rPr>
                <w:sz w:val="18"/>
              </w:rPr>
              <w:t>Porcentaje de solicitudes de modificación o </w:t>
            </w:r>
            <w:r>
              <w:rPr>
                <w:spacing w:val="-2"/>
                <w:sz w:val="18"/>
              </w:rPr>
              <w:t>variación presupuestaria realizadas.</w:t>
            </w:r>
          </w:p>
        </w:tc>
        <w:tc>
          <w:tcPr>
            <w:tcW w:w="1181"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8" w:right="14"/>
              <w:jc w:val="center"/>
              <w:rPr>
                <w:sz w:val="18"/>
              </w:rPr>
            </w:pPr>
            <w:r>
              <w:rPr>
                <w:spacing w:val="-4"/>
                <w:sz w:val="18"/>
              </w:rPr>
              <w:t>100%</w:t>
            </w: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461"/>
              <w:jc w:val="right"/>
              <w:rPr>
                <w:sz w:val="18"/>
              </w:rPr>
            </w:pPr>
            <w:r>
              <w:rPr>
                <w:spacing w:val="-4"/>
                <w:sz w:val="18"/>
              </w:rPr>
              <w:t>100%</w:t>
            </w: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8" w:right="7"/>
              <w:jc w:val="center"/>
              <w:rPr>
                <w:sz w:val="18"/>
              </w:rPr>
            </w:pPr>
            <w:r>
              <w:rPr>
                <w:spacing w:val="-4"/>
                <w:sz w:val="18"/>
              </w:rPr>
              <w:t>100%</w:t>
            </w: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443"/>
              <w:jc w:val="right"/>
              <w:rPr>
                <w:sz w:val="18"/>
              </w:rPr>
            </w:pPr>
            <w:r>
              <w:rPr>
                <w:spacing w:val="-4"/>
                <w:sz w:val="18"/>
              </w:rPr>
              <w:t>100%</w:t>
            </w:r>
          </w:p>
        </w:tc>
        <w:tc>
          <w:tcPr>
            <w:tcW w:w="1257" w:type="dxa"/>
          </w:tcPr>
          <w:p>
            <w:pPr>
              <w:pStyle w:val="TableParagraph"/>
              <w:rPr>
                <w:rFonts w:ascii="Times New Roman"/>
                <w:sz w:val="18"/>
              </w:rPr>
            </w:pPr>
          </w:p>
        </w:tc>
      </w:tr>
      <w:tr>
        <w:trPr>
          <w:trHeight w:val="1363" w:hRule="atLeast"/>
        </w:trPr>
        <w:tc>
          <w:tcPr>
            <w:tcW w:w="2396" w:type="dxa"/>
          </w:tcPr>
          <w:p>
            <w:pPr>
              <w:pStyle w:val="TableParagraph"/>
              <w:spacing w:before="60"/>
              <w:rPr>
                <w:b/>
                <w:sz w:val="18"/>
              </w:rPr>
            </w:pPr>
          </w:p>
          <w:p>
            <w:pPr>
              <w:pStyle w:val="TableParagraph"/>
              <w:ind w:left="72" w:right="106"/>
              <w:rPr>
                <w:sz w:val="18"/>
              </w:rPr>
            </w:pPr>
            <w:r>
              <w:rPr>
                <w:b/>
                <w:sz w:val="18"/>
              </w:rPr>
              <w:t>Actividad PAC 2.31.7: </w:t>
            </w:r>
            <w:r>
              <w:rPr>
                <w:sz w:val="18"/>
              </w:rPr>
              <w:t>Suministrar información oportuna</w:t>
            </w:r>
            <w:r>
              <w:rPr>
                <w:spacing w:val="-12"/>
                <w:sz w:val="18"/>
              </w:rPr>
              <w:t> </w:t>
            </w:r>
            <w:r>
              <w:rPr>
                <w:sz w:val="18"/>
              </w:rPr>
              <w:t>para</w:t>
            </w:r>
            <w:r>
              <w:rPr>
                <w:spacing w:val="-9"/>
                <w:sz w:val="18"/>
              </w:rPr>
              <w:t> </w:t>
            </w:r>
            <w:r>
              <w:rPr>
                <w:sz w:val="18"/>
              </w:rPr>
              <w:t>la</w:t>
            </w:r>
            <w:r>
              <w:rPr>
                <w:spacing w:val="-12"/>
                <w:sz w:val="18"/>
              </w:rPr>
              <w:t> </w:t>
            </w:r>
            <w:r>
              <w:rPr>
                <w:sz w:val="18"/>
              </w:rPr>
              <w:t>rendición de cuentas y toma de </w:t>
            </w:r>
            <w:r>
              <w:rPr>
                <w:spacing w:val="-2"/>
                <w:sz w:val="18"/>
              </w:rPr>
              <w:t>decisiones</w:t>
            </w:r>
          </w:p>
        </w:tc>
        <w:tc>
          <w:tcPr>
            <w:tcW w:w="1843" w:type="dxa"/>
          </w:tcPr>
          <w:p>
            <w:pPr>
              <w:pStyle w:val="TableParagraph"/>
              <w:rPr>
                <w:b/>
                <w:sz w:val="18"/>
              </w:rPr>
            </w:pPr>
          </w:p>
          <w:p>
            <w:pPr>
              <w:pStyle w:val="TableParagraph"/>
              <w:spacing w:before="60"/>
              <w:rPr>
                <w:b/>
                <w:sz w:val="18"/>
              </w:rPr>
            </w:pPr>
          </w:p>
          <w:p>
            <w:pPr>
              <w:pStyle w:val="TableParagraph"/>
              <w:ind w:left="71" w:right="157"/>
              <w:rPr>
                <w:sz w:val="18"/>
              </w:rPr>
            </w:pPr>
            <w:r>
              <w:rPr>
                <w:sz w:val="18"/>
              </w:rPr>
              <w:t>Cantidad de informes</w:t>
            </w:r>
            <w:r>
              <w:rPr>
                <w:spacing w:val="-13"/>
                <w:sz w:val="18"/>
              </w:rPr>
              <w:t> </w:t>
            </w:r>
            <w:r>
              <w:rPr>
                <w:sz w:val="18"/>
              </w:rPr>
              <w:t>realizados</w:t>
            </w:r>
          </w:p>
        </w:tc>
        <w:tc>
          <w:tcPr>
            <w:tcW w:w="1181" w:type="dxa"/>
          </w:tcPr>
          <w:p>
            <w:pPr>
              <w:pStyle w:val="TableParagraph"/>
              <w:rPr>
                <w:b/>
                <w:sz w:val="18"/>
              </w:rPr>
            </w:pPr>
          </w:p>
          <w:p>
            <w:pPr>
              <w:pStyle w:val="TableParagraph"/>
              <w:spacing w:before="161"/>
              <w:rPr>
                <w:b/>
                <w:sz w:val="18"/>
              </w:rPr>
            </w:pPr>
          </w:p>
          <w:p>
            <w:pPr>
              <w:pStyle w:val="TableParagraph"/>
              <w:ind w:left="28" w:right="17"/>
              <w:jc w:val="center"/>
              <w:rPr>
                <w:sz w:val="18"/>
              </w:rPr>
            </w:pPr>
            <w:r>
              <w:rPr>
                <w:spacing w:val="-5"/>
                <w:sz w:val="18"/>
              </w:rPr>
              <w:t>25</w:t>
            </w: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spacing w:before="161"/>
              <w:rPr>
                <w:b/>
                <w:sz w:val="18"/>
              </w:rPr>
            </w:pPr>
          </w:p>
          <w:p>
            <w:pPr>
              <w:pStyle w:val="TableParagraph"/>
              <w:ind w:left="73"/>
              <w:rPr>
                <w:sz w:val="18"/>
              </w:rPr>
            </w:pPr>
            <w:r>
              <w:rPr>
                <w:spacing w:val="-5"/>
                <w:sz w:val="18"/>
              </w:rPr>
              <w:t>50</w:t>
            </w: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spacing w:before="161"/>
              <w:rPr>
                <w:b/>
                <w:sz w:val="18"/>
              </w:rPr>
            </w:pPr>
          </w:p>
          <w:p>
            <w:pPr>
              <w:pStyle w:val="TableParagraph"/>
              <w:ind w:left="28" w:right="10"/>
              <w:jc w:val="center"/>
              <w:rPr>
                <w:sz w:val="18"/>
              </w:rPr>
            </w:pPr>
            <w:r>
              <w:rPr>
                <w:spacing w:val="-5"/>
                <w:sz w:val="18"/>
              </w:rPr>
              <w:t>75</w:t>
            </w: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spacing w:before="161"/>
              <w:rPr>
                <w:b/>
                <w:sz w:val="18"/>
              </w:rPr>
            </w:pPr>
          </w:p>
          <w:p>
            <w:pPr>
              <w:pStyle w:val="TableParagraph"/>
              <w:ind w:left="77"/>
              <w:rPr>
                <w:sz w:val="18"/>
              </w:rPr>
            </w:pPr>
            <w:r>
              <w:rPr>
                <w:spacing w:val="-5"/>
                <w:sz w:val="18"/>
              </w:rPr>
              <w:t>100</w:t>
            </w:r>
          </w:p>
        </w:tc>
        <w:tc>
          <w:tcPr>
            <w:tcW w:w="1257" w:type="dxa"/>
          </w:tcPr>
          <w:p>
            <w:pPr>
              <w:pStyle w:val="TableParagraph"/>
              <w:rPr>
                <w:rFonts w:ascii="Times New Roman"/>
                <w:sz w:val="18"/>
              </w:rPr>
            </w:pPr>
          </w:p>
        </w:tc>
      </w:tr>
      <w:tr>
        <w:trPr>
          <w:trHeight w:val="2069" w:hRule="atLeast"/>
        </w:trPr>
        <w:tc>
          <w:tcPr>
            <w:tcW w:w="2396" w:type="dxa"/>
          </w:tcPr>
          <w:p>
            <w:pPr>
              <w:pStyle w:val="TableParagraph"/>
              <w:spacing w:before="205"/>
              <w:ind w:left="72" w:right="56"/>
              <w:rPr>
                <w:sz w:val="18"/>
              </w:rPr>
            </w:pPr>
            <w:r>
              <w:rPr>
                <w:b/>
                <w:sz w:val="18"/>
              </w:rPr>
              <w:t>Actividad PAC 2.31.8: </w:t>
            </w:r>
            <w:r>
              <w:rPr>
                <w:sz w:val="18"/>
              </w:rPr>
              <w:t>Llevar a cabo un efectivo proceso de formulación presupuestaria, que considere los recursos para la atención de las necesidades y</w:t>
            </w:r>
            <w:r>
              <w:rPr>
                <w:spacing w:val="40"/>
                <w:sz w:val="18"/>
              </w:rPr>
              <w:t> </w:t>
            </w:r>
            <w:r>
              <w:rPr>
                <w:sz w:val="18"/>
              </w:rPr>
              <w:t>compromisos</w:t>
            </w:r>
            <w:r>
              <w:rPr>
                <w:spacing w:val="-13"/>
                <w:sz w:val="18"/>
              </w:rPr>
              <w:t> </w:t>
            </w:r>
            <w:r>
              <w:rPr>
                <w:sz w:val="18"/>
              </w:rPr>
              <w:t>institucionales</w:t>
            </w:r>
          </w:p>
        </w:tc>
        <w:tc>
          <w:tcPr>
            <w:tcW w:w="1843"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1" w:right="742"/>
              <w:jc w:val="both"/>
              <w:rPr>
                <w:sz w:val="18"/>
              </w:rPr>
            </w:pPr>
            <w:r>
              <w:rPr>
                <w:sz w:val="18"/>
              </w:rPr>
              <w:t>Cantidad de </w:t>
            </w:r>
            <w:r>
              <w:rPr>
                <w:spacing w:val="-2"/>
                <w:sz w:val="18"/>
              </w:rPr>
              <w:t>Presupuesto aprobado</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rFonts w:ascii="Times New Roman"/>
                <w:sz w:val="18"/>
              </w:rPr>
            </w:pP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8" w:right="4"/>
              <w:jc w:val="center"/>
              <w:rPr>
                <w:sz w:val="18"/>
              </w:rPr>
            </w:pPr>
            <w:r>
              <w:rPr>
                <w:spacing w:val="-10"/>
                <w:sz w:val="18"/>
              </w:rPr>
              <w:t>1</w:t>
            </w:r>
          </w:p>
        </w:tc>
        <w:tc>
          <w:tcPr>
            <w:tcW w:w="1022" w:type="dxa"/>
          </w:tcPr>
          <w:p>
            <w:pPr>
              <w:pStyle w:val="TableParagraph"/>
              <w:rPr>
                <w:rFonts w:ascii="Times New Roman"/>
                <w:sz w:val="18"/>
              </w:rPr>
            </w:pPr>
          </w:p>
        </w:tc>
        <w:tc>
          <w:tcPr>
            <w:tcW w:w="1396" w:type="dxa"/>
          </w:tcPr>
          <w:p>
            <w:pPr>
              <w:pStyle w:val="TableParagraph"/>
              <w:rPr>
                <w:rFonts w:ascii="Times New Roman"/>
                <w:sz w:val="18"/>
              </w:rPr>
            </w:pPr>
          </w:p>
        </w:tc>
        <w:tc>
          <w:tcPr>
            <w:tcW w:w="1257" w:type="dxa"/>
          </w:tcPr>
          <w:p>
            <w:pPr>
              <w:pStyle w:val="TableParagraph"/>
              <w:rPr>
                <w:rFonts w:ascii="Times New Roman"/>
                <w:sz w:val="18"/>
              </w:rPr>
            </w:pPr>
          </w:p>
        </w:tc>
      </w:tr>
      <w:tr>
        <w:trPr>
          <w:trHeight w:val="1656" w:hRule="atLeast"/>
        </w:trPr>
        <w:tc>
          <w:tcPr>
            <w:tcW w:w="2396" w:type="dxa"/>
          </w:tcPr>
          <w:p>
            <w:pPr>
              <w:pStyle w:val="TableParagraph"/>
              <w:spacing w:before="3"/>
              <w:rPr>
                <w:b/>
                <w:sz w:val="18"/>
              </w:rPr>
            </w:pPr>
          </w:p>
          <w:p>
            <w:pPr>
              <w:pStyle w:val="TableParagraph"/>
              <w:ind w:left="72" w:right="56"/>
              <w:rPr>
                <w:sz w:val="18"/>
              </w:rPr>
            </w:pPr>
            <w:r>
              <w:rPr>
                <w:b/>
                <w:sz w:val="18"/>
              </w:rPr>
              <w:t>Actividad PAC 2.31.9: </w:t>
            </w:r>
            <w:r>
              <w:rPr>
                <w:sz w:val="18"/>
              </w:rPr>
              <w:t>Incluir en la Formulación Presupuestaria, la vinculación de la necesidad del</w:t>
            </w:r>
            <w:r>
              <w:rPr>
                <w:spacing w:val="-3"/>
                <w:sz w:val="18"/>
              </w:rPr>
              <w:t> </w:t>
            </w:r>
            <w:r>
              <w:rPr>
                <w:sz w:val="18"/>
              </w:rPr>
              <w:t>bien,</w:t>
            </w:r>
            <w:r>
              <w:rPr>
                <w:spacing w:val="-3"/>
                <w:sz w:val="18"/>
              </w:rPr>
              <w:t> </w:t>
            </w:r>
            <w:r>
              <w:rPr>
                <w:sz w:val="18"/>
              </w:rPr>
              <w:t>obra</w:t>
            </w:r>
            <w:r>
              <w:rPr>
                <w:spacing w:val="-5"/>
                <w:sz w:val="18"/>
              </w:rPr>
              <w:t> </w:t>
            </w:r>
            <w:r>
              <w:rPr>
                <w:sz w:val="18"/>
              </w:rPr>
              <w:t>o</w:t>
            </w:r>
            <w:r>
              <w:rPr>
                <w:spacing w:val="-1"/>
                <w:sz w:val="18"/>
              </w:rPr>
              <w:t> </w:t>
            </w:r>
            <w:r>
              <w:rPr>
                <w:sz w:val="18"/>
              </w:rPr>
              <w:t>servicio</w:t>
            </w:r>
            <w:r>
              <w:rPr>
                <w:spacing w:val="-5"/>
                <w:sz w:val="18"/>
              </w:rPr>
              <w:t> con</w:t>
            </w:r>
          </w:p>
          <w:p>
            <w:pPr>
              <w:pStyle w:val="TableParagraph"/>
              <w:spacing w:line="206" w:lineRule="exact"/>
              <w:ind w:left="72"/>
              <w:rPr>
                <w:sz w:val="18"/>
              </w:rPr>
            </w:pPr>
            <w:r>
              <w:rPr>
                <w:sz w:val="18"/>
              </w:rPr>
              <w:t>los</w:t>
            </w:r>
            <w:r>
              <w:rPr>
                <w:spacing w:val="-15"/>
                <w:sz w:val="18"/>
              </w:rPr>
              <w:t> </w:t>
            </w:r>
            <w:r>
              <w:rPr>
                <w:sz w:val="18"/>
              </w:rPr>
              <w:t>objetivos</w:t>
            </w:r>
            <w:r>
              <w:rPr>
                <w:spacing w:val="-12"/>
                <w:sz w:val="18"/>
              </w:rPr>
              <w:t> </w:t>
            </w:r>
            <w:r>
              <w:rPr>
                <w:sz w:val="18"/>
              </w:rPr>
              <w:t>estratégicos </w:t>
            </w:r>
            <w:r>
              <w:rPr>
                <w:spacing w:val="-2"/>
                <w:sz w:val="18"/>
              </w:rPr>
              <w:t>institucionales</w:t>
            </w:r>
          </w:p>
        </w:tc>
        <w:tc>
          <w:tcPr>
            <w:tcW w:w="1843" w:type="dxa"/>
          </w:tcPr>
          <w:p>
            <w:pPr>
              <w:pStyle w:val="TableParagraph"/>
              <w:ind w:left="71" w:right="111"/>
              <w:rPr>
                <w:sz w:val="18"/>
              </w:rPr>
            </w:pPr>
            <w:r>
              <w:rPr>
                <w:sz w:val="18"/>
              </w:rPr>
              <w:t>Porcentaje de </w:t>
            </w:r>
            <w:r>
              <w:rPr>
                <w:spacing w:val="-2"/>
                <w:sz w:val="18"/>
              </w:rPr>
              <w:t>necesidades </w:t>
            </w:r>
            <w:r>
              <w:rPr>
                <w:sz w:val="18"/>
              </w:rPr>
              <w:t>incluidas en la </w:t>
            </w:r>
            <w:r>
              <w:rPr>
                <w:spacing w:val="-2"/>
                <w:sz w:val="18"/>
              </w:rPr>
              <w:t>información presupuestaria </w:t>
            </w:r>
            <w:r>
              <w:rPr>
                <w:sz w:val="18"/>
              </w:rPr>
              <w:t>vinculadas</w:t>
            </w:r>
            <w:r>
              <w:rPr>
                <w:spacing w:val="-15"/>
                <w:sz w:val="18"/>
              </w:rPr>
              <w:t> </w:t>
            </w:r>
            <w:r>
              <w:rPr>
                <w:sz w:val="18"/>
              </w:rPr>
              <w:t>a</w:t>
            </w:r>
            <w:r>
              <w:rPr>
                <w:spacing w:val="-12"/>
                <w:sz w:val="18"/>
              </w:rPr>
              <w:t> </w:t>
            </w:r>
            <w:r>
              <w:rPr>
                <w:sz w:val="18"/>
              </w:rPr>
              <w:t>los</w:t>
            </w:r>
          </w:p>
          <w:p>
            <w:pPr>
              <w:pStyle w:val="TableParagraph"/>
              <w:spacing w:line="206" w:lineRule="exact"/>
              <w:ind w:left="71" w:right="157"/>
              <w:rPr>
                <w:sz w:val="18"/>
              </w:rPr>
            </w:pPr>
            <w:r>
              <w:rPr>
                <w:spacing w:val="-2"/>
                <w:sz w:val="18"/>
              </w:rPr>
              <w:t>objetivos estratégicos</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rFonts w:ascii="Times New Roman"/>
                <w:sz w:val="18"/>
              </w:rPr>
            </w:pP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8" w:right="7"/>
              <w:jc w:val="center"/>
              <w:rPr>
                <w:sz w:val="18"/>
              </w:rPr>
            </w:pPr>
            <w:r>
              <w:rPr>
                <w:spacing w:val="-4"/>
                <w:sz w:val="18"/>
              </w:rPr>
              <w:t>100%</w:t>
            </w:r>
          </w:p>
        </w:tc>
        <w:tc>
          <w:tcPr>
            <w:tcW w:w="1022" w:type="dxa"/>
          </w:tcPr>
          <w:p>
            <w:pPr>
              <w:pStyle w:val="TableParagraph"/>
              <w:rPr>
                <w:rFonts w:ascii="Times New Roman"/>
                <w:sz w:val="18"/>
              </w:rPr>
            </w:pPr>
          </w:p>
        </w:tc>
        <w:tc>
          <w:tcPr>
            <w:tcW w:w="1396" w:type="dxa"/>
          </w:tcPr>
          <w:p>
            <w:pPr>
              <w:pStyle w:val="TableParagraph"/>
              <w:rPr>
                <w:rFonts w:ascii="Times New Roman"/>
                <w:sz w:val="18"/>
              </w:rPr>
            </w:pPr>
          </w:p>
        </w:tc>
        <w:tc>
          <w:tcPr>
            <w:tcW w:w="1257" w:type="dxa"/>
          </w:tcPr>
          <w:p>
            <w:pPr>
              <w:pStyle w:val="TableParagraph"/>
              <w:rPr>
                <w:rFonts w:ascii="Times New Roman"/>
                <w:sz w:val="18"/>
              </w:rPr>
            </w:pPr>
          </w:p>
        </w:tc>
      </w:tr>
      <w:tr>
        <w:trPr>
          <w:trHeight w:val="1448" w:hRule="atLeast"/>
        </w:trPr>
        <w:tc>
          <w:tcPr>
            <w:tcW w:w="2396" w:type="dxa"/>
          </w:tcPr>
          <w:p>
            <w:pPr>
              <w:pStyle w:val="TableParagraph"/>
              <w:spacing w:before="2"/>
              <w:rPr>
                <w:b/>
                <w:sz w:val="18"/>
              </w:rPr>
            </w:pPr>
          </w:p>
          <w:p>
            <w:pPr>
              <w:pStyle w:val="TableParagraph"/>
              <w:ind w:left="72" w:right="106"/>
              <w:rPr>
                <w:sz w:val="18"/>
              </w:rPr>
            </w:pPr>
            <w:r>
              <w:rPr>
                <w:b/>
                <w:sz w:val="18"/>
              </w:rPr>
              <w:t>Actividad PAC 2.31.10: </w:t>
            </w:r>
            <w:r>
              <w:rPr>
                <w:sz w:val="18"/>
              </w:rPr>
              <w:t>Cumplir con los acuerdos del Consejo Directivo y las recomendaciones de la</w:t>
            </w:r>
          </w:p>
          <w:p>
            <w:pPr>
              <w:pStyle w:val="TableParagraph"/>
              <w:spacing w:line="206" w:lineRule="exact"/>
              <w:ind w:left="72"/>
              <w:rPr>
                <w:sz w:val="18"/>
              </w:rPr>
            </w:pPr>
            <w:r>
              <w:rPr>
                <w:sz w:val="18"/>
              </w:rPr>
              <w:t>Auditoría</w:t>
            </w:r>
            <w:r>
              <w:rPr>
                <w:spacing w:val="-13"/>
                <w:sz w:val="18"/>
              </w:rPr>
              <w:t> </w:t>
            </w:r>
            <w:r>
              <w:rPr>
                <w:sz w:val="18"/>
              </w:rPr>
              <w:t>Interna</w:t>
            </w:r>
            <w:r>
              <w:rPr>
                <w:spacing w:val="-12"/>
                <w:sz w:val="18"/>
              </w:rPr>
              <w:t> </w:t>
            </w:r>
            <w:r>
              <w:rPr>
                <w:sz w:val="18"/>
              </w:rPr>
              <w:t>y</w:t>
            </w:r>
            <w:r>
              <w:rPr>
                <w:spacing w:val="-13"/>
                <w:sz w:val="18"/>
              </w:rPr>
              <w:t> </w:t>
            </w:r>
            <w:r>
              <w:rPr>
                <w:sz w:val="18"/>
              </w:rPr>
              <w:t>Externa, en tiempo y forma.</w:t>
            </w:r>
          </w:p>
        </w:tc>
        <w:tc>
          <w:tcPr>
            <w:tcW w:w="1843" w:type="dxa"/>
          </w:tcPr>
          <w:p>
            <w:pPr>
              <w:pStyle w:val="TableParagraph"/>
              <w:spacing w:before="103"/>
              <w:rPr>
                <w:b/>
                <w:sz w:val="18"/>
              </w:rPr>
            </w:pPr>
          </w:p>
          <w:p>
            <w:pPr>
              <w:pStyle w:val="TableParagraph"/>
              <w:spacing w:line="242" w:lineRule="auto"/>
              <w:ind w:left="71" w:right="49"/>
              <w:rPr>
                <w:sz w:val="18"/>
              </w:rPr>
            </w:pPr>
            <w:r>
              <w:rPr>
                <w:sz w:val="18"/>
              </w:rPr>
              <w:t>Porcentaje de cumplimiento de acuerdos y </w:t>
            </w:r>
            <w:r>
              <w:rPr>
                <w:spacing w:val="-2"/>
                <w:sz w:val="18"/>
              </w:rPr>
              <w:t>recomendaciones</w:t>
            </w:r>
          </w:p>
        </w:tc>
        <w:tc>
          <w:tcPr>
            <w:tcW w:w="1181" w:type="dxa"/>
          </w:tcPr>
          <w:p>
            <w:pPr>
              <w:pStyle w:val="TableParagraph"/>
              <w:rPr>
                <w:b/>
                <w:sz w:val="18"/>
              </w:rPr>
            </w:pPr>
          </w:p>
          <w:p>
            <w:pPr>
              <w:pStyle w:val="TableParagraph"/>
              <w:rPr>
                <w:b/>
                <w:sz w:val="18"/>
              </w:rPr>
            </w:pPr>
          </w:p>
          <w:p>
            <w:pPr>
              <w:pStyle w:val="TableParagraph"/>
              <w:spacing w:before="1"/>
              <w:rPr>
                <w:b/>
                <w:sz w:val="18"/>
              </w:rPr>
            </w:pPr>
          </w:p>
          <w:p>
            <w:pPr>
              <w:pStyle w:val="TableParagraph"/>
              <w:ind w:left="28" w:right="14"/>
              <w:jc w:val="center"/>
              <w:rPr>
                <w:sz w:val="18"/>
              </w:rPr>
            </w:pPr>
            <w:r>
              <w:rPr>
                <w:spacing w:val="-4"/>
                <w:sz w:val="18"/>
              </w:rPr>
              <w:t>100%</w:t>
            </w: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rPr>
                <w:b/>
                <w:sz w:val="18"/>
              </w:rPr>
            </w:pPr>
          </w:p>
          <w:p>
            <w:pPr>
              <w:pStyle w:val="TableParagraph"/>
              <w:spacing w:before="1"/>
              <w:rPr>
                <w:b/>
                <w:sz w:val="18"/>
              </w:rPr>
            </w:pPr>
          </w:p>
          <w:p>
            <w:pPr>
              <w:pStyle w:val="TableParagraph"/>
              <w:ind w:right="461"/>
              <w:jc w:val="right"/>
              <w:rPr>
                <w:sz w:val="18"/>
              </w:rPr>
            </w:pPr>
            <w:r>
              <w:rPr>
                <w:spacing w:val="-4"/>
                <w:sz w:val="18"/>
              </w:rPr>
              <w:t>100%</w:t>
            </w: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rPr>
                <w:b/>
                <w:sz w:val="18"/>
              </w:rPr>
            </w:pPr>
          </w:p>
          <w:p>
            <w:pPr>
              <w:pStyle w:val="TableParagraph"/>
              <w:spacing w:before="1"/>
              <w:rPr>
                <w:b/>
                <w:sz w:val="18"/>
              </w:rPr>
            </w:pPr>
          </w:p>
          <w:p>
            <w:pPr>
              <w:pStyle w:val="TableParagraph"/>
              <w:ind w:left="28" w:right="7"/>
              <w:jc w:val="center"/>
              <w:rPr>
                <w:sz w:val="18"/>
              </w:rPr>
            </w:pPr>
            <w:r>
              <w:rPr>
                <w:spacing w:val="-4"/>
                <w:sz w:val="18"/>
              </w:rPr>
              <w:t>100%</w:t>
            </w: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rPr>
                <w:b/>
                <w:sz w:val="18"/>
              </w:rPr>
            </w:pPr>
          </w:p>
          <w:p>
            <w:pPr>
              <w:pStyle w:val="TableParagraph"/>
              <w:spacing w:before="1"/>
              <w:rPr>
                <w:b/>
                <w:sz w:val="18"/>
              </w:rPr>
            </w:pPr>
          </w:p>
          <w:p>
            <w:pPr>
              <w:pStyle w:val="TableParagraph"/>
              <w:ind w:right="443"/>
              <w:jc w:val="right"/>
              <w:rPr>
                <w:sz w:val="18"/>
              </w:rPr>
            </w:pPr>
            <w:r>
              <w:rPr>
                <w:spacing w:val="-4"/>
                <w:sz w:val="18"/>
              </w:rPr>
              <w:t>100%</w:t>
            </w:r>
          </w:p>
        </w:tc>
        <w:tc>
          <w:tcPr>
            <w:tcW w:w="1257"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96"/>
        <w:gridCol w:w="1843"/>
        <w:gridCol w:w="1181"/>
        <w:gridCol w:w="1132"/>
        <w:gridCol w:w="1420"/>
        <w:gridCol w:w="1132"/>
        <w:gridCol w:w="1670"/>
        <w:gridCol w:w="1022"/>
        <w:gridCol w:w="1396"/>
        <w:gridCol w:w="1257"/>
      </w:tblGrid>
      <w:tr>
        <w:trPr>
          <w:trHeight w:val="282" w:hRule="atLeast"/>
        </w:trPr>
        <w:tc>
          <w:tcPr>
            <w:tcW w:w="2396" w:type="dxa"/>
            <w:vMerge w:val="restart"/>
            <w:shd w:val="clear" w:color="auto" w:fill="D7D7D7"/>
          </w:tcPr>
          <w:p>
            <w:pPr>
              <w:pStyle w:val="TableParagraph"/>
              <w:spacing w:before="75"/>
              <w:rPr>
                <w:b/>
                <w:sz w:val="18"/>
              </w:rPr>
            </w:pPr>
          </w:p>
          <w:p>
            <w:pPr>
              <w:pStyle w:val="TableParagraph"/>
              <w:ind w:left="230"/>
              <w:rPr>
                <w:b/>
                <w:sz w:val="18"/>
              </w:rPr>
            </w:pPr>
            <w:r>
              <w:rPr>
                <w:b/>
                <w:sz w:val="18"/>
              </w:rPr>
              <w:t>Objetivos</w:t>
            </w:r>
            <w:r>
              <w:rPr>
                <w:b/>
                <w:spacing w:val="-5"/>
                <w:sz w:val="18"/>
              </w:rPr>
              <w:t> </w:t>
            </w:r>
            <w:r>
              <w:rPr>
                <w:b/>
                <w:sz w:val="18"/>
              </w:rPr>
              <w:t>/</w:t>
            </w:r>
            <w:r>
              <w:rPr>
                <w:b/>
                <w:spacing w:val="-2"/>
                <w:sz w:val="18"/>
              </w:rPr>
              <w:t> Resultados</w:t>
            </w:r>
          </w:p>
        </w:tc>
        <w:tc>
          <w:tcPr>
            <w:tcW w:w="1843" w:type="dxa"/>
            <w:vMerge w:val="restart"/>
            <w:shd w:val="clear" w:color="auto" w:fill="D7D7D7"/>
          </w:tcPr>
          <w:p>
            <w:pPr>
              <w:pStyle w:val="TableParagraph"/>
              <w:spacing w:before="75"/>
              <w:rPr>
                <w:b/>
                <w:sz w:val="18"/>
              </w:rPr>
            </w:pPr>
          </w:p>
          <w:p>
            <w:pPr>
              <w:pStyle w:val="TableParagraph"/>
              <w:ind w:left="518"/>
              <w:rPr>
                <w:b/>
                <w:sz w:val="18"/>
              </w:rPr>
            </w:pPr>
            <w:r>
              <w:rPr>
                <w:b/>
                <w:spacing w:val="-2"/>
                <w:sz w:val="18"/>
              </w:rPr>
              <w:t>Indicador</w:t>
            </w:r>
          </w:p>
        </w:tc>
        <w:tc>
          <w:tcPr>
            <w:tcW w:w="2313" w:type="dxa"/>
            <w:gridSpan w:val="2"/>
            <w:shd w:val="clear" w:color="auto" w:fill="D7D7D7"/>
          </w:tcPr>
          <w:p>
            <w:pPr>
              <w:pStyle w:val="TableParagraph"/>
              <w:spacing w:before="37"/>
              <w:ind w:left="696"/>
              <w:rPr>
                <w:b/>
                <w:sz w:val="18"/>
              </w:rPr>
            </w:pPr>
            <w:r>
              <w:rPr>
                <w:b/>
                <w:sz w:val="18"/>
              </w:rPr>
              <w:t>I</w:t>
            </w:r>
            <w:r>
              <w:rPr>
                <w:b/>
                <w:spacing w:val="-1"/>
                <w:sz w:val="18"/>
              </w:rPr>
              <w:t> </w:t>
            </w:r>
            <w:r>
              <w:rPr>
                <w:b/>
                <w:spacing w:val="-2"/>
                <w:sz w:val="18"/>
              </w:rPr>
              <w:t>Trimestre</w:t>
            </w:r>
          </w:p>
        </w:tc>
        <w:tc>
          <w:tcPr>
            <w:tcW w:w="2552" w:type="dxa"/>
            <w:gridSpan w:val="2"/>
            <w:shd w:val="clear" w:color="auto" w:fill="D7D7D7"/>
          </w:tcPr>
          <w:p>
            <w:pPr>
              <w:pStyle w:val="TableParagraph"/>
              <w:spacing w:before="37"/>
              <w:ind w:left="794"/>
              <w:rPr>
                <w:b/>
                <w:sz w:val="18"/>
              </w:rPr>
            </w:pPr>
            <w:r>
              <w:rPr>
                <w:b/>
                <w:sz w:val="18"/>
              </w:rPr>
              <w:t>II</w:t>
            </w:r>
            <w:r>
              <w:rPr>
                <w:b/>
                <w:spacing w:val="-3"/>
                <w:sz w:val="18"/>
              </w:rPr>
              <w:t> </w:t>
            </w:r>
            <w:r>
              <w:rPr>
                <w:b/>
                <w:spacing w:val="-2"/>
                <w:sz w:val="18"/>
              </w:rPr>
              <w:t>Trimestre</w:t>
            </w:r>
          </w:p>
        </w:tc>
        <w:tc>
          <w:tcPr>
            <w:tcW w:w="2692" w:type="dxa"/>
            <w:gridSpan w:val="2"/>
            <w:shd w:val="clear" w:color="auto" w:fill="D7D7D7"/>
          </w:tcPr>
          <w:p>
            <w:pPr>
              <w:pStyle w:val="TableParagraph"/>
              <w:spacing w:before="37"/>
              <w:ind w:left="839"/>
              <w:rPr>
                <w:b/>
                <w:sz w:val="18"/>
              </w:rPr>
            </w:pPr>
            <w:r>
              <w:rPr>
                <w:b/>
                <w:sz w:val="18"/>
              </w:rPr>
              <w:t>III</w:t>
            </w:r>
            <w:r>
              <w:rPr>
                <w:b/>
                <w:spacing w:val="-2"/>
                <w:sz w:val="18"/>
              </w:rPr>
              <w:t> Trimestre</w:t>
            </w:r>
          </w:p>
        </w:tc>
        <w:tc>
          <w:tcPr>
            <w:tcW w:w="2653" w:type="dxa"/>
            <w:gridSpan w:val="2"/>
            <w:shd w:val="clear" w:color="auto" w:fill="D7D7D7"/>
          </w:tcPr>
          <w:p>
            <w:pPr>
              <w:pStyle w:val="TableParagraph"/>
              <w:spacing w:before="37"/>
              <w:ind w:left="812"/>
              <w:rPr>
                <w:b/>
                <w:sz w:val="18"/>
              </w:rPr>
            </w:pPr>
            <w:r>
              <w:rPr>
                <w:b/>
                <w:sz w:val="18"/>
              </w:rPr>
              <w:t>IV</w:t>
            </w:r>
            <w:r>
              <w:rPr>
                <w:b/>
                <w:spacing w:val="-2"/>
                <w:sz w:val="18"/>
              </w:rPr>
              <w:t> Trimestre</w:t>
            </w:r>
          </w:p>
        </w:tc>
      </w:tr>
      <w:tr>
        <w:trPr>
          <w:trHeight w:val="484" w:hRule="atLeast"/>
        </w:trPr>
        <w:tc>
          <w:tcPr>
            <w:tcW w:w="2396" w:type="dxa"/>
            <w:vMerge/>
            <w:tcBorders>
              <w:top w:val="nil"/>
            </w:tcBorders>
            <w:shd w:val="clear" w:color="auto" w:fill="D7D7D7"/>
          </w:tcPr>
          <w:p>
            <w:pPr>
              <w:rPr>
                <w:sz w:val="2"/>
                <w:szCs w:val="2"/>
              </w:rPr>
            </w:pPr>
          </w:p>
        </w:tc>
        <w:tc>
          <w:tcPr>
            <w:tcW w:w="1843" w:type="dxa"/>
            <w:vMerge/>
            <w:tcBorders>
              <w:top w:val="nil"/>
            </w:tcBorders>
            <w:shd w:val="clear" w:color="auto" w:fill="D7D7D7"/>
          </w:tcPr>
          <w:p>
            <w:pPr>
              <w:rPr>
                <w:sz w:val="2"/>
                <w:szCs w:val="2"/>
              </w:rPr>
            </w:pPr>
          </w:p>
        </w:tc>
        <w:tc>
          <w:tcPr>
            <w:tcW w:w="1181" w:type="dxa"/>
            <w:shd w:val="clear" w:color="auto" w:fill="D7D7D7"/>
          </w:tcPr>
          <w:p>
            <w:pPr>
              <w:pStyle w:val="TableParagraph"/>
              <w:spacing w:line="244" w:lineRule="auto" w:before="32"/>
              <w:ind w:left="72" w:firstLine="312"/>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jc w:val="center"/>
              <w:rPr>
                <w:b/>
                <w:sz w:val="18"/>
              </w:rPr>
            </w:pPr>
            <w:r>
              <w:rPr>
                <w:b/>
                <w:spacing w:val="-10"/>
                <w:sz w:val="18"/>
              </w:rPr>
              <w:t>¢</w:t>
            </w:r>
          </w:p>
        </w:tc>
        <w:tc>
          <w:tcPr>
            <w:tcW w:w="1420" w:type="dxa"/>
            <w:shd w:val="clear" w:color="auto" w:fill="D7D7D7"/>
          </w:tcPr>
          <w:p>
            <w:pPr>
              <w:pStyle w:val="TableParagraph"/>
              <w:spacing w:line="244" w:lineRule="auto" w:before="32"/>
              <w:ind w:left="188" w:firstLine="317"/>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right="5"/>
              <w:jc w:val="center"/>
              <w:rPr>
                <w:b/>
                <w:sz w:val="18"/>
              </w:rPr>
            </w:pPr>
            <w:r>
              <w:rPr>
                <w:b/>
                <w:spacing w:val="-10"/>
                <w:sz w:val="18"/>
              </w:rPr>
              <w:t>¢</w:t>
            </w:r>
          </w:p>
        </w:tc>
        <w:tc>
          <w:tcPr>
            <w:tcW w:w="1670" w:type="dxa"/>
            <w:shd w:val="clear" w:color="auto" w:fill="D7D7D7"/>
          </w:tcPr>
          <w:p>
            <w:pPr>
              <w:pStyle w:val="TableParagraph"/>
              <w:spacing w:before="138"/>
              <w:ind w:left="28"/>
              <w:jc w:val="center"/>
              <w:rPr>
                <w:b/>
                <w:sz w:val="18"/>
              </w:rPr>
            </w:pPr>
            <w:r>
              <w:rPr>
                <w:b/>
                <w:sz w:val="18"/>
              </w:rPr>
              <w:t>Meta</w:t>
            </w:r>
            <w:r>
              <w:rPr>
                <w:b/>
                <w:spacing w:val="1"/>
                <w:sz w:val="18"/>
              </w:rPr>
              <w:t> </w:t>
            </w:r>
            <w:r>
              <w:rPr>
                <w:b/>
                <w:spacing w:val="-2"/>
                <w:sz w:val="18"/>
              </w:rPr>
              <w:t>programada</w:t>
            </w:r>
          </w:p>
        </w:tc>
        <w:tc>
          <w:tcPr>
            <w:tcW w:w="1022" w:type="dxa"/>
            <w:shd w:val="clear" w:color="auto" w:fill="D7D7D7"/>
          </w:tcPr>
          <w:p>
            <w:pPr>
              <w:pStyle w:val="TableParagraph"/>
              <w:spacing w:before="138"/>
              <w:ind w:left="21"/>
              <w:jc w:val="center"/>
              <w:rPr>
                <w:b/>
                <w:sz w:val="18"/>
              </w:rPr>
            </w:pPr>
            <w:r>
              <w:rPr>
                <w:b/>
                <w:spacing w:val="-10"/>
                <w:sz w:val="18"/>
              </w:rPr>
              <w:t>¢</w:t>
            </w:r>
          </w:p>
        </w:tc>
        <w:tc>
          <w:tcPr>
            <w:tcW w:w="1396" w:type="dxa"/>
            <w:shd w:val="clear" w:color="auto" w:fill="D7D7D7"/>
          </w:tcPr>
          <w:p>
            <w:pPr>
              <w:pStyle w:val="TableParagraph"/>
              <w:spacing w:line="244" w:lineRule="auto" w:before="32"/>
              <w:ind w:left="183" w:firstLine="316"/>
              <w:rPr>
                <w:b/>
                <w:sz w:val="18"/>
              </w:rPr>
            </w:pPr>
            <w:r>
              <w:rPr>
                <w:b/>
                <w:spacing w:val="-4"/>
                <w:sz w:val="18"/>
              </w:rPr>
              <w:t>Meta </w:t>
            </w:r>
            <w:r>
              <w:rPr>
                <w:b/>
                <w:spacing w:val="-2"/>
                <w:sz w:val="18"/>
              </w:rPr>
              <w:t>programada</w:t>
            </w:r>
          </w:p>
        </w:tc>
        <w:tc>
          <w:tcPr>
            <w:tcW w:w="1257" w:type="dxa"/>
            <w:shd w:val="clear" w:color="auto" w:fill="D7D7D7"/>
          </w:tcPr>
          <w:p>
            <w:pPr>
              <w:pStyle w:val="TableParagraph"/>
              <w:spacing w:before="138"/>
              <w:ind w:left="86" w:right="56"/>
              <w:jc w:val="center"/>
              <w:rPr>
                <w:b/>
                <w:sz w:val="18"/>
              </w:rPr>
            </w:pPr>
            <w:r>
              <w:rPr>
                <w:b/>
                <w:spacing w:val="-10"/>
                <w:sz w:val="18"/>
              </w:rPr>
              <w:t>¢</w:t>
            </w:r>
          </w:p>
        </w:tc>
      </w:tr>
      <w:tr>
        <w:trPr>
          <w:trHeight w:val="1656" w:hRule="atLeast"/>
        </w:trPr>
        <w:tc>
          <w:tcPr>
            <w:tcW w:w="2396" w:type="dxa"/>
          </w:tcPr>
          <w:p>
            <w:pPr>
              <w:pStyle w:val="TableParagraph"/>
              <w:spacing w:before="206"/>
              <w:ind w:left="72"/>
              <w:rPr>
                <w:sz w:val="18"/>
              </w:rPr>
            </w:pPr>
            <w:r>
              <w:rPr>
                <w:b/>
                <w:sz w:val="18"/>
              </w:rPr>
              <w:t>Actividad PAC 2.31.11</w:t>
            </w:r>
            <w:r>
              <w:rPr>
                <w:sz w:val="18"/>
              </w:rPr>
              <w:t>: Brindar asesoría a las unidades ejecutoras institucionales en materia contable,</w:t>
            </w:r>
            <w:r>
              <w:rPr>
                <w:spacing w:val="-10"/>
                <w:sz w:val="18"/>
              </w:rPr>
              <w:t> </w:t>
            </w:r>
            <w:r>
              <w:rPr>
                <w:sz w:val="18"/>
              </w:rPr>
              <w:t>que</w:t>
            </w:r>
            <w:r>
              <w:rPr>
                <w:spacing w:val="-11"/>
                <w:sz w:val="18"/>
              </w:rPr>
              <w:t> </w:t>
            </w:r>
            <w:r>
              <w:rPr>
                <w:sz w:val="18"/>
              </w:rPr>
              <w:t>permita</w:t>
            </w:r>
            <w:r>
              <w:rPr>
                <w:spacing w:val="-11"/>
                <w:sz w:val="18"/>
              </w:rPr>
              <w:t> </w:t>
            </w:r>
            <w:r>
              <w:rPr>
                <w:sz w:val="18"/>
              </w:rPr>
              <w:t>una mejora continua en la</w:t>
            </w:r>
          </w:p>
          <w:p>
            <w:pPr>
              <w:pStyle w:val="TableParagraph"/>
              <w:spacing w:line="189" w:lineRule="exact"/>
              <w:ind w:left="72"/>
              <w:rPr>
                <w:sz w:val="18"/>
              </w:rPr>
            </w:pPr>
            <w:r>
              <w:rPr>
                <w:sz w:val="18"/>
              </w:rPr>
              <w:t>calidad</w:t>
            </w:r>
            <w:r>
              <w:rPr>
                <w:spacing w:val="-1"/>
                <w:sz w:val="18"/>
              </w:rPr>
              <w:t> </w:t>
            </w:r>
            <w:r>
              <w:rPr>
                <w:sz w:val="18"/>
              </w:rPr>
              <w:t>de</w:t>
            </w:r>
            <w:r>
              <w:rPr>
                <w:spacing w:val="-5"/>
                <w:sz w:val="18"/>
              </w:rPr>
              <w:t> </w:t>
            </w:r>
            <w:r>
              <w:rPr>
                <w:sz w:val="18"/>
              </w:rPr>
              <w:t>la </w:t>
            </w:r>
            <w:r>
              <w:rPr>
                <w:spacing w:val="-2"/>
                <w:sz w:val="18"/>
              </w:rPr>
              <w:t>información.</w:t>
            </w:r>
          </w:p>
        </w:tc>
        <w:tc>
          <w:tcPr>
            <w:tcW w:w="1843" w:type="dxa"/>
          </w:tcPr>
          <w:p>
            <w:pPr>
              <w:pStyle w:val="TableParagraph"/>
              <w:rPr>
                <w:b/>
                <w:sz w:val="18"/>
              </w:rPr>
            </w:pPr>
          </w:p>
          <w:p>
            <w:pPr>
              <w:pStyle w:val="TableParagraph"/>
              <w:spacing w:before="99"/>
              <w:rPr>
                <w:b/>
                <w:sz w:val="18"/>
              </w:rPr>
            </w:pPr>
          </w:p>
          <w:p>
            <w:pPr>
              <w:pStyle w:val="TableParagraph"/>
              <w:spacing w:line="242" w:lineRule="auto"/>
              <w:ind w:left="71" w:right="49"/>
              <w:rPr>
                <w:sz w:val="18"/>
              </w:rPr>
            </w:pPr>
            <w:r>
              <w:rPr>
                <w:sz w:val="18"/>
              </w:rPr>
              <w:t>Cantidad de </w:t>
            </w:r>
            <w:r>
              <w:rPr>
                <w:spacing w:val="-2"/>
                <w:sz w:val="18"/>
              </w:rPr>
              <w:t>Fiscalizaciones realizadas</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8" w:right="7"/>
              <w:jc w:val="center"/>
              <w:rPr>
                <w:sz w:val="18"/>
              </w:rPr>
            </w:pPr>
            <w:r>
              <w:rPr>
                <w:spacing w:val="-10"/>
                <w:sz w:val="18"/>
              </w:rPr>
              <w:t>3</w:t>
            </w: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8" w:right="4"/>
              <w:jc w:val="center"/>
              <w:rPr>
                <w:sz w:val="18"/>
              </w:rPr>
            </w:pPr>
            <w:r>
              <w:rPr>
                <w:spacing w:val="-10"/>
                <w:sz w:val="18"/>
              </w:rPr>
              <w:t>7</w:t>
            </w: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30" w:right="3"/>
              <w:jc w:val="center"/>
              <w:rPr>
                <w:sz w:val="18"/>
              </w:rPr>
            </w:pPr>
            <w:r>
              <w:rPr>
                <w:spacing w:val="-5"/>
                <w:sz w:val="18"/>
              </w:rPr>
              <w:t>10</w:t>
            </w:r>
          </w:p>
        </w:tc>
        <w:tc>
          <w:tcPr>
            <w:tcW w:w="1257" w:type="dxa"/>
          </w:tcPr>
          <w:p>
            <w:pPr>
              <w:pStyle w:val="TableParagraph"/>
              <w:rPr>
                <w:rFonts w:ascii="Times New Roman"/>
                <w:sz w:val="18"/>
              </w:rPr>
            </w:pPr>
          </w:p>
        </w:tc>
      </w:tr>
      <w:tr>
        <w:trPr>
          <w:trHeight w:val="1363" w:hRule="atLeast"/>
        </w:trPr>
        <w:tc>
          <w:tcPr>
            <w:tcW w:w="2396" w:type="dxa"/>
          </w:tcPr>
          <w:p>
            <w:pPr>
              <w:pStyle w:val="TableParagraph"/>
              <w:spacing w:before="60"/>
              <w:rPr>
                <w:b/>
                <w:sz w:val="18"/>
              </w:rPr>
            </w:pPr>
          </w:p>
          <w:p>
            <w:pPr>
              <w:pStyle w:val="TableParagraph"/>
              <w:ind w:left="72" w:right="73"/>
              <w:rPr>
                <w:sz w:val="18"/>
              </w:rPr>
            </w:pPr>
            <w:r>
              <w:rPr>
                <w:b/>
                <w:sz w:val="18"/>
              </w:rPr>
              <w:t>Actividad PAC 2.31.12: </w:t>
            </w:r>
            <w:r>
              <w:rPr>
                <w:sz w:val="18"/>
              </w:rPr>
              <w:t>Emitir los Informes Financieros a más tardar</w:t>
            </w:r>
            <w:r>
              <w:rPr>
                <w:spacing w:val="40"/>
                <w:sz w:val="18"/>
              </w:rPr>
              <w:t> </w:t>
            </w:r>
            <w:r>
              <w:rPr>
                <w:sz w:val="18"/>
              </w:rPr>
              <w:t>los</w:t>
            </w:r>
            <w:r>
              <w:rPr>
                <w:spacing w:val="-6"/>
                <w:sz w:val="18"/>
              </w:rPr>
              <w:t> </w:t>
            </w:r>
            <w:r>
              <w:rPr>
                <w:sz w:val="18"/>
              </w:rPr>
              <w:t>primeros</w:t>
            </w:r>
            <w:r>
              <w:rPr>
                <w:spacing w:val="-10"/>
                <w:sz w:val="18"/>
              </w:rPr>
              <w:t> </w:t>
            </w:r>
            <w:r>
              <w:rPr>
                <w:sz w:val="18"/>
              </w:rPr>
              <w:t>15</w:t>
            </w:r>
            <w:r>
              <w:rPr>
                <w:spacing w:val="-7"/>
                <w:sz w:val="18"/>
              </w:rPr>
              <w:t> </w:t>
            </w:r>
            <w:r>
              <w:rPr>
                <w:sz w:val="18"/>
              </w:rPr>
              <w:t>días</w:t>
            </w:r>
            <w:r>
              <w:rPr>
                <w:spacing w:val="-10"/>
                <w:sz w:val="18"/>
              </w:rPr>
              <w:t> </w:t>
            </w:r>
            <w:r>
              <w:rPr>
                <w:sz w:val="18"/>
              </w:rPr>
              <w:t>hábiles del mes siguiente.</w:t>
            </w:r>
          </w:p>
        </w:tc>
        <w:tc>
          <w:tcPr>
            <w:tcW w:w="1843" w:type="dxa"/>
          </w:tcPr>
          <w:p>
            <w:pPr>
              <w:pStyle w:val="TableParagraph"/>
              <w:spacing w:before="161"/>
              <w:rPr>
                <w:b/>
                <w:sz w:val="18"/>
              </w:rPr>
            </w:pPr>
          </w:p>
          <w:p>
            <w:pPr>
              <w:pStyle w:val="TableParagraph"/>
              <w:ind w:left="71" w:right="121"/>
              <w:rPr>
                <w:sz w:val="18"/>
              </w:rPr>
            </w:pPr>
            <w:r>
              <w:rPr>
                <w:sz w:val="18"/>
              </w:rPr>
              <w:t>Cantidad de informes</w:t>
            </w:r>
            <w:r>
              <w:rPr>
                <w:spacing w:val="-13"/>
                <w:sz w:val="18"/>
              </w:rPr>
              <w:t> </w:t>
            </w:r>
            <w:r>
              <w:rPr>
                <w:sz w:val="18"/>
              </w:rPr>
              <w:t>financieros </w:t>
            </w:r>
            <w:r>
              <w:rPr>
                <w:spacing w:val="-2"/>
                <w:sz w:val="18"/>
              </w:rPr>
              <w:t>emitidos</w:t>
            </w:r>
          </w:p>
        </w:tc>
        <w:tc>
          <w:tcPr>
            <w:tcW w:w="1181" w:type="dxa"/>
          </w:tcPr>
          <w:p>
            <w:pPr>
              <w:pStyle w:val="TableParagraph"/>
              <w:rPr>
                <w:b/>
                <w:sz w:val="18"/>
              </w:rPr>
            </w:pPr>
          </w:p>
          <w:p>
            <w:pPr>
              <w:pStyle w:val="TableParagraph"/>
              <w:spacing w:before="161"/>
              <w:rPr>
                <w:b/>
                <w:sz w:val="18"/>
              </w:rPr>
            </w:pPr>
          </w:p>
          <w:p>
            <w:pPr>
              <w:pStyle w:val="TableParagraph"/>
              <w:ind w:left="28" w:right="12"/>
              <w:jc w:val="center"/>
              <w:rPr>
                <w:sz w:val="18"/>
              </w:rPr>
            </w:pPr>
            <w:r>
              <w:rPr>
                <w:spacing w:val="-10"/>
                <w:sz w:val="18"/>
              </w:rPr>
              <w:t>3</w:t>
            </w: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spacing w:before="161"/>
              <w:rPr>
                <w:b/>
                <w:sz w:val="18"/>
              </w:rPr>
            </w:pPr>
          </w:p>
          <w:p>
            <w:pPr>
              <w:pStyle w:val="TableParagraph"/>
              <w:ind w:left="18" w:right="7"/>
              <w:jc w:val="center"/>
              <w:rPr>
                <w:sz w:val="18"/>
              </w:rPr>
            </w:pPr>
            <w:r>
              <w:rPr>
                <w:spacing w:val="-10"/>
                <w:sz w:val="18"/>
              </w:rPr>
              <w:t>6</w:t>
            </w: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spacing w:before="161"/>
              <w:rPr>
                <w:b/>
                <w:sz w:val="18"/>
              </w:rPr>
            </w:pPr>
          </w:p>
          <w:p>
            <w:pPr>
              <w:pStyle w:val="TableParagraph"/>
              <w:ind w:left="28" w:right="4"/>
              <w:jc w:val="center"/>
              <w:rPr>
                <w:sz w:val="18"/>
              </w:rPr>
            </w:pPr>
            <w:r>
              <w:rPr>
                <w:spacing w:val="-10"/>
                <w:sz w:val="18"/>
              </w:rPr>
              <w:t>9</w:t>
            </w: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spacing w:before="161"/>
              <w:rPr>
                <w:b/>
                <w:sz w:val="18"/>
              </w:rPr>
            </w:pPr>
          </w:p>
          <w:p>
            <w:pPr>
              <w:pStyle w:val="TableParagraph"/>
              <w:ind w:left="30" w:right="3"/>
              <w:jc w:val="center"/>
              <w:rPr>
                <w:sz w:val="18"/>
              </w:rPr>
            </w:pPr>
            <w:r>
              <w:rPr>
                <w:spacing w:val="-5"/>
                <w:sz w:val="18"/>
              </w:rPr>
              <w:t>12</w:t>
            </w:r>
          </w:p>
        </w:tc>
        <w:tc>
          <w:tcPr>
            <w:tcW w:w="1257" w:type="dxa"/>
          </w:tcPr>
          <w:p>
            <w:pPr>
              <w:pStyle w:val="TableParagraph"/>
              <w:rPr>
                <w:rFonts w:ascii="Times New Roman"/>
                <w:sz w:val="18"/>
              </w:rPr>
            </w:pPr>
          </w:p>
        </w:tc>
      </w:tr>
      <w:tr>
        <w:trPr>
          <w:trHeight w:val="1449" w:hRule="atLeast"/>
        </w:trPr>
        <w:tc>
          <w:tcPr>
            <w:tcW w:w="2396" w:type="dxa"/>
          </w:tcPr>
          <w:p>
            <w:pPr>
              <w:pStyle w:val="TableParagraph"/>
              <w:spacing w:before="205"/>
              <w:ind w:left="72"/>
              <w:rPr>
                <w:sz w:val="18"/>
              </w:rPr>
            </w:pPr>
            <w:r>
              <w:rPr>
                <w:b/>
                <w:sz w:val="18"/>
              </w:rPr>
              <w:t>Actividad PAC 2.31.13: </w:t>
            </w:r>
            <w:r>
              <w:rPr>
                <w:sz w:val="18"/>
              </w:rPr>
              <w:t>Enviar</w:t>
            </w:r>
            <w:r>
              <w:rPr>
                <w:spacing w:val="-15"/>
                <w:sz w:val="18"/>
              </w:rPr>
              <w:t> </w:t>
            </w:r>
            <w:r>
              <w:rPr>
                <w:sz w:val="18"/>
              </w:rPr>
              <w:t>trimestralmente,</w:t>
            </w:r>
            <w:r>
              <w:rPr>
                <w:spacing w:val="-12"/>
                <w:sz w:val="18"/>
              </w:rPr>
              <w:t> </w:t>
            </w:r>
            <w:r>
              <w:rPr>
                <w:sz w:val="18"/>
              </w:rPr>
              <w:t>en tiempo</w:t>
            </w:r>
            <w:r>
              <w:rPr>
                <w:spacing w:val="-5"/>
                <w:sz w:val="18"/>
              </w:rPr>
              <w:t> </w:t>
            </w:r>
            <w:r>
              <w:rPr>
                <w:sz w:val="18"/>
              </w:rPr>
              <w:t>y</w:t>
            </w:r>
            <w:r>
              <w:rPr>
                <w:spacing w:val="-5"/>
                <w:sz w:val="18"/>
              </w:rPr>
              <w:t> </w:t>
            </w:r>
            <w:r>
              <w:rPr>
                <w:sz w:val="18"/>
              </w:rPr>
              <w:t>forma, al</w:t>
            </w:r>
            <w:r>
              <w:rPr>
                <w:spacing w:val="-7"/>
                <w:sz w:val="18"/>
              </w:rPr>
              <w:t> </w:t>
            </w:r>
            <w:r>
              <w:rPr>
                <w:sz w:val="18"/>
              </w:rPr>
              <w:t>Jerarca institucional, los Estados Financieros</w:t>
            </w:r>
            <w:r>
              <w:rPr>
                <w:spacing w:val="-7"/>
                <w:sz w:val="18"/>
              </w:rPr>
              <w:t> </w:t>
            </w:r>
            <w:r>
              <w:rPr>
                <w:spacing w:val="-2"/>
                <w:sz w:val="18"/>
              </w:rPr>
              <w:t>consolidados,</w:t>
            </w:r>
          </w:p>
          <w:p>
            <w:pPr>
              <w:pStyle w:val="TableParagraph"/>
              <w:spacing w:line="187" w:lineRule="exact" w:before="2"/>
              <w:ind w:left="72"/>
              <w:rPr>
                <w:sz w:val="18"/>
              </w:rPr>
            </w:pPr>
            <w:r>
              <w:rPr>
                <w:sz w:val="18"/>
              </w:rPr>
              <w:t>con</w:t>
            </w:r>
            <w:r>
              <w:rPr>
                <w:spacing w:val="-1"/>
                <w:sz w:val="18"/>
              </w:rPr>
              <w:t> </w:t>
            </w:r>
            <w:r>
              <w:rPr>
                <w:sz w:val="18"/>
              </w:rPr>
              <w:t>un</w:t>
            </w:r>
            <w:r>
              <w:rPr>
                <w:spacing w:val="-5"/>
                <w:sz w:val="18"/>
              </w:rPr>
              <w:t> </w:t>
            </w:r>
            <w:r>
              <w:rPr>
                <w:sz w:val="18"/>
              </w:rPr>
              <w:t>análisis</w:t>
            </w:r>
            <w:r>
              <w:rPr>
                <w:spacing w:val="-5"/>
                <w:sz w:val="18"/>
              </w:rPr>
              <w:t> </w:t>
            </w:r>
            <w:r>
              <w:rPr>
                <w:spacing w:val="-2"/>
                <w:sz w:val="18"/>
              </w:rPr>
              <w:t>financiero.</w:t>
            </w:r>
          </w:p>
        </w:tc>
        <w:tc>
          <w:tcPr>
            <w:tcW w:w="1843" w:type="dxa"/>
          </w:tcPr>
          <w:p>
            <w:pPr>
              <w:pStyle w:val="TableParagraph"/>
              <w:spacing w:before="204"/>
              <w:rPr>
                <w:b/>
                <w:sz w:val="18"/>
              </w:rPr>
            </w:pPr>
          </w:p>
          <w:p>
            <w:pPr>
              <w:pStyle w:val="TableParagraph"/>
              <w:spacing w:line="242" w:lineRule="auto"/>
              <w:ind w:left="71" w:right="49"/>
              <w:rPr>
                <w:sz w:val="18"/>
              </w:rPr>
            </w:pPr>
            <w:r>
              <w:rPr>
                <w:sz w:val="18"/>
              </w:rPr>
              <w:t>Cantidad</w:t>
            </w:r>
            <w:r>
              <w:rPr>
                <w:spacing w:val="-15"/>
                <w:sz w:val="18"/>
              </w:rPr>
              <w:t> </w:t>
            </w:r>
            <w:r>
              <w:rPr>
                <w:sz w:val="18"/>
              </w:rPr>
              <w:t>de</w:t>
            </w:r>
            <w:r>
              <w:rPr>
                <w:spacing w:val="-12"/>
                <w:sz w:val="18"/>
              </w:rPr>
              <w:t> </w:t>
            </w:r>
            <w:r>
              <w:rPr>
                <w:sz w:val="18"/>
              </w:rPr>
              <w:t>estados financieros y su respectivo análisis</w:t>
            </w: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8" w:right="12"/>
              <w:jc w:val="center"/>
              <w:rPr>
                <w:sz w:val="18"/>
              </w:rPr>
            </w:pPr>
            <w:r>
              <w:rPr>
                <w:spacing w:val="-10"/>
                <w:sz w:val="18"/>
              </w:rPr>
              <w:t>1</w:t>
            </w: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8" w:right="7"/>
              <w:jc w:val="center"/>
              <w:rPr>
                <w:sz w:val="18"/>
              </w:rPr>
            </w:pPr>
            <w:r>
              <w:rPr>
                <w:spacing w:val="-10"/>
                <w:sz w:val="18"/>
              </w:rPr>
              <w:t>2</w:t>
            </w: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8" w:right="4"/>
              <w:jc w:val="center"/>
              <w:rPr>
                <w:sz w:val="18"/>
              </w:rPr>
            </w:pPr>
            <w:r>
              <w:rPr>
                <w:spacing w:val="-10"/>
                <w:sz w:val="18"/>
              </w:rPr>
              <w:t>3</w:t>
            </w: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30" w:right="7"/>
              <w:jc w:val="center"/>
              <w:rPr>
                <w:sz w:val="18"/>
              </w:rPr>
            </w:pPr>
            <w:r>
              <w:rPr>
                <w:spacing w:val="-10"/>
                <w:sz w:val="18"/>
              </w:rPr>
              <w:t>4</w:t>
            </w:r>
          </w:p>
        </w:tc>
        <w:tc>
          <w:tcPr>
            <w:tcW w:w="1257" w:type="dxa"/>
          </w:tcPr>
          <w:p>
            <w:pPr>
              <w:pStyle w:val="TableParagraph"/>
              <w:rPr>
                <w:rFonts w:ascii="Times New Roman"/>
                <w:sz w:val="18"/>
              </w:rPr>
            </w:pPr>
          </w:p>
        </w:tc>
      </w:tr>
      <w:tr>
        <w:trPr>
          <w:trHeight w:val="571" w:hRule="atLeast"/>
        </w:trPr>
        <w:tc>
          <w:tcPr>
            <w:tcW w:w="14449" w:type="dxa"/>
            <w:gridSpan w:val="10"/>
            <w:tcBorders>
              <w:right w:val="nil"/>
            </w:tcBorders>
            <w:shd w:val="clear" w:color="auto" w:fill="EFF8F9"/>
          </w:tcPr>
          <w:p>
            <w:pPr>
              <w:pStyle w:val="TableParagraph"/>
              <w:spacing w:before="75"/>
              <w:ind w:left="72"/>
              <w:rPr>
                <w:b/>
                <w:sz w:val="18"/>
              </w:rPr>
            </w:pPr>
            <w:r>
              <w:rPr>
                <w:b/>
                <w:sz w:val="18"/>
              </w:rPr>
              <w:t>Producto</w:t>
            </w:r>
            <w:r>
              <w:rPr>
                <w:b/>
                <w:spacing w:val="-4"/>
                <w:sz w:val="18"/>
              </w:rPr>
              <w:t> </w:t>
            </w:r>
            <w:r>
              <w:rPr>
                <w:b/>
                <w:sz w:val="18"/>
              </w:rPr>
              <w:t>PAC</w:t>
            </w:r>
            <w:r>
              <w:rPr>
                <w:b/>
                <w:spacing w:val="-5"/>
                <w:sz w:val="18"/>
              </w:rPr>
              <w:t> </w:t>
            </w:r>
            <w:r>
              <w:rPr>
                <w:b/>
                <w:sz w:val="18"/>
              </w:rPr>
              <w:t>2:32: Contar con un</w:t>
            </w:r>
            <w:r>
              <w:rPr>
                <w:b/>
                <w:spacing w:val="-4"/>
                <w:sz w:val="18"/>
              </w:rPr>
              <w:t> </w:t>
            </w:r>
            <w:r>
              <w:rPr>
                <w:b/>
                <w:sz w:val="18"/>
              </w:rPr>
              <w:t>espacio</w:t>
            </w:r>
            <w:r>
              <w:rPr>
                <w:b/>
                <w:spacing w:val="-4"/>
                <w:sz w:val="18"/>
              </w:rPr>
              <w:t> </w:t>
            </w:r>
            <w:r>
              <w:rPr>
                <w:b/>
                <w:sz w:val="18"/>
              </w:rPr>
              <w:t>físico</w:t>
            </w:r>
            <w:r>
              <w:rPr>
                <w:b/>
                <w:spacing w:val="-4"/>
                <w:sz w:val="18"/>
              </w:rPr>
              <w:t> </w:t>
            </w:r>
            <w:r>
              <w:rPr>
                <w:b/>
                <w:sz w:val="18"/>
              </w:rPr>
              <w:t>que</w:t>
            </w:r>
            <w:r>
              <w:rPr>
                <w:b/>
                <w:spacing w:val="-3"/>
                <w:sz w:val="18"/>
              </w:rPr>
              <w:t> </w:t>
            </w:r>
            <w:r>
              <w:rPr>
                <w:b/>
                <w:sz w:val="18"/>
              </w:rPr>
              <w:t>cumpla</w:t>
            </w:r>
            <w:r>
              <w:rPr>
                <w:b/>
                <w:spacing w:val="-3"/>
                <w:sz w:val="18"/>
              </w:rPr>
              <w:t> </w:t>
            </w:r>
            <w:r>
              <w:rPr>
                <w:b/>
                <w:sz w:val="18"/>
              </w:rPr>
              <w:t>con</w:t>
            </w:r>
            <w:r>
              <w:rPr>
                <w:b/>
                <w:spacing w:val="-8"/>
                <w:sz w:val="18"/>
              </w:rPr>
              <w:t> </w:t>
            </w:r>
            <w:r>
              <w:rPr>
                <w:b/>
                <w:sz w:val="18"/>
              </w:rPr>
              <w:t>las</w:t>
            </w:r>
            <w:r>
              <w:rPr>
                <w:b/>
                <w:spacing w:val="-3"/>
                <w:sz w:val="18"/>
              </w:rPr>
              <w:t> </w:t>
            </w:r>
            <w:r>
              <w:rPr>
                <w:b/>
                <w:sz w:val="18"/>
              </w:rPr>
              <w:t>condiciones adecuadas</w:t>
            </w:r>
            <w:r>
              <w:rPr>
                <w:b/>
                <w:spacing w:val="-3"/>
                <w:sz w:val="18"/>
              </w:rPr>
              <w:t> </w:t>
            </w:r>
            <w:r>
              <w:rPr>
                <w:b/>
                <w:sz w:val="18"/>
              </w:rPr>
              <w:t>para</w:t>
            </w:r>
            <w:r>
              <w:rPr>
                <w:b/>
                <w:spacing w:val="-3"/>
                <w:sz w:val="18"/>
              </w:rPr>
              <w:t> </w:t>
            </w:r>
            <w:r>
              <w:rPr>
                <w:b/>
                <w:sz w:val="18"/>
              </w:rPr>
              <w:t>las</w:t>
            </w:r>
            <w:r>
              <w:rPr>
                <w:b/>
                <w:spacing w:val="-3"/>
                <w:sz w:val="18"/>
              </w:rPr>
              <w:t> </w:t>
            </w:r>
            <w:r>
              <w:rPr>
                <w:b/>
                <w:sz w:val="18"/>
              </w:rPr>
              <w:t>funciones</w:t>
            </w:r>
            <w:r>
              <w:rPr>
                <w:b/>
                <w:spacing w:val="-3"/>
                <w:sz w:val="18"/>
              </w:rPr>
              <w:t> </w:t>
            </w:r>
            <w:r>
              <w:rPr>
                <w:b/>
                <w:sz w:val="18"/>
              </w:rPr>
              <w:t>propias del Departamento</w:t>
            </w:r>
            <w:r>
              <w:rPr>
                <w:b/>
                <w:spacing w:val="-4"/>
                <w:sz w:val="18"/>
              </w:rPr>
              <w:t> </w:t>
            </w:r>
            <w:r>
              <w:rPr>
                <w:b/>
                <w:sz w:val="18"/>
              </w:rPr>
              <w:t>de</w:t>
            </w:r>
            <w:r>
              <w:rPr>
                <w:b/>
                <w:spacing w:val="-3"/>
                <w:sz w:val="18"/>
              </w:rPr>
              <w:t> </w:t>
            </w:r>
            <w:r>
              <w:rPr>
                <w:b/>
                <w:sz w:val="18"/>
              </w:rPr>
              <w:t>Administración Financiera, Unidad Contabilidad y Unidad de Presupuesto.</w:t>
            </w:r>
          </w:p>
        </w:tc>
      </w:tr>
      <w:tr>
        <w:trPr>
          <w:trHeight w:val="1656" w:hRule="atLeast"/>
        </w:trPr>
        <w:tc>
          <w:tcPr>
            <w:tcW w:w="2396" w:type="dxa"/>
          </w:tcPr>
          <w:p>
            <w:pPr>
              <w:pStyle w:val="TableParagraph"/>
              <w:spacing w:before="205"/>
              <w:ind w:left="72"/>
              <w:rPr>
                <w:sz w:val="18"/>
              </w:rPr>
            </w:pPr>
            <w:r>
              <w:rPr>
                <w:b/>
                <w:sz w:val="18"/>
              </w:rPr>
              <w:t>Actividad PAC 2.32.1: </w:t>
            </w:r>
            <w:r>
              <w:rPr>
                <w:sz w:val="18"/>
              </w:rPr>
              <w:t>Seguimiento al proyecto inscrito en BPIP, sobre remodelación</w:t>
            </w:r>
            <w:r>
              <w:rPr>
                <w:spacing w:val="-15"/>
                <w:sz w:val="18"/>
              </w:rPr>
              <w:t> </w:t>
            </w:r>
            <w:r>
              <w:rPr>
                <w:sz w:val="18"/>
              </w:rPr>
              <w:t>del</w:t>
            </w:r>
            <w:r>
              <w:rPr>
                <w:spacing w:val="-12"/>
                <w:sz w:val="18"/>
              </w:rPr>
              <w:t> </w:t>
            </w:r>
            <w:r>
              <w:rPr>
                <w:sz w:val="18"/>
              </w:rPr>
              <w:t>espacio físico donde se ubica el</w:t>
            </w:r>
          </w:p>
          <w:p>
            <w:pPr>
              <w:pStyle w:val="TableParagraph"/>
              <w:spacing w:line="206" w:lineRule="exact"/>
              <w:ind w:left="72" w:right="145"/>
              <w:rPr>
                <w:sz w:val="18"/>
              </w:rPr>
            </w:pPr>
            <w:r>
              <w:rPr>
                <w:sz w:val="18"/>
              </w:rPr>
              <w:t>DAF, Unidad de Presupuesto,</w:t>
            </w:r>
            <w:r>
              <w:rPr>
                <w:spacing w:val="-13"/>
                <w:sz w:val="18"/>
              </w:rPr>
              <w:t> </w:t>
            </w:r>
            <w:r>
              <w:rPr>
                <w:sz w:val="18"/>
              </w:rPr>
              <w:t>Contabilidad.</w:t>
            </w:r>
          </w:p>
        </w:tc>
        <w:tc>
          <w:tcPr>
            <w:tcW w:w="1843" w:type="dxa"/>
          </w:tcPr>
          <w:p>
            <w:pPr>
              <w:pStyle w:val="TableParagraph"/>
              <w:spacing w:before="204"/>
              <w:rPr>
                <w:b/>
                <w:sz w:val="18"/>
              </w:rPr>
            </w:pPr>
          </w:p>
          <w:p>
            <w:pPr>
              <w:pStyle w:val="TableParagraph"/>
              <w:spacing w:line="242" w:lineRule="auto"/>
              <w:ind w:left="71" w:right="111"/>
              <w:rPr>
                <w:sz w:val="18"/>
              </w:rPr>
            </w:pPr>
            <w:r>
              <w:rPr>
                <w:sz w:val="18"/>
              </w:rPr>
              <w:t>Cantidad de </w:t>
            </w:r>
            <w:r>
              <w:rPr>
                <w:spacing w:val="-2"/>
                <w:sz w:val="18"/>
              </w:rPr>
              <w:t>seguimiento </w:t>
            </w:r>
            <w:r>
              <w:rPr>
                <w:sz w:val="18"/>
              </w:rPr>
              <w:t>trimestral en el módulo</w:t>
            </w:r>
            <w:r>
              <w:rPr>
                <w:spacing w:val="-15"/>
                <w:sz w:val="18"/>
              </w:rPr>
              <w:t> </w:t>
            </w:r>
            <w:r>
              <w:rPr>
                <w:sz w:val="18"/>
              </w:rPr>
              <w:t>de</w:t>
            </w:r>
            <w:r>
              <w:rPr>
                <w:spacing w:val="-12"/>
                <w:sz w:val="18"/>
              </w:rPr>
              <w:t> </w:t>
            </w:r>
            <w:r>
              <w:rPr>
                <w:sz w:val="18"/>
              </w:rPr>
              <w:t>BPIP.</w:t>
            </w:r>
          </w:p>
        </w:tc>
        <w:tc>
          <w:tcPr>
            <w:tcW w:w="118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8" w:right="12"/>
              <w:jc w:val="center"/>
              <w:rPr>
                <w:sz w:val="18"/>
              </w:rPr>
            </w:pPr>
            <w:r>
              <w:rPr>
                <w:spacing w:val="-10"/>
                <w:sz w:val="18"/>
              </w:rPr>
              <w:t>1</w:t>
            </w: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8" w:right="7"/>
              <w:jc w:val="center"/>
              <w:rPr>
                <w:sz w:val="18"/>
              </w:rPr>
            </w:pPr>
            <w:r>
              <w:rPr>
                <w:spacing w:val="-10"/>
                <w:sz w:val="18"/>
              </w:rPr>
              <w:t>2</w:t>
            </w: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8" w:right="4"/>
              <w:jc w:val="center"/>
              <w:rPr>
                <w:sz w:val="18"/>
              </w:rPr>
            </w:pPr>
            <w:r>
              <w:rPr>
                <w:spacing w:val="-10"/>
                <w:sz w:val="18"/>
              </w:rPr>
              <w:t>3</w:t>
            </w: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0" w:right="7"/>
              <w:jc w:val="center"/>
              <w:rPr>
                <w:sz w:val="18"/>
              </w:rPr>
            </w:pPr>
            <w:r>
              <w:rPr>
                <w:spacing w:val="-10"/>
                <w:sz w:val="18"/>
              </w:rPr>
              <w:t>4</w:t>
            </w:r>
          </w:p>
        </w:tc>
        <w:tc>
          <w:tcPr>
            <w:tcW w:w="1257"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96"/>
        <w:gridCol w:w="1843"/>
        <w:gridCol w:w="1181"/>
        <w:gridCol w:w="1132"/>
        <w:gridCol w:w="1420"/>
        <w:gridCol w:w="1132"/>
        <w:gridCol w:w="1670"/>
        <w:gridCol w:w="1022"/>
        <w:gridCol w:w="1396"/>
        <w:gridCol w:w="1257"/>
      </w:tblGrid>
      <w:tr>
        <w:trPr>
          <w:trHeight w:val="282" w:hRule="atLeast"/>
        </w:trPr>
        <w:tc>
          <w:tcPr>
            <w:tcW w:w="2396" w:type="dxa"/>
            <w:vMerge w:val="restart"/>
            <w:shd w:val="clear" w:color="auto" w:fill="D7D7D7"/>
          </w:tcPr>
          <w:p>
            <w:pPr>
              <w:pStyle w:val="TableParagraph"/>
              <w:spacing w:before="75"/>
              <w:rPr>
                <w:b/>
                <w:sz w:val="18"/>
              </w:rPr>
            </w:pPr>
          </w:p>
          <w:p>
            <w:pPr>
              <w:pStyle w:val="TableParagraph"/>
              <w:ind w:left="230"/>
              <w:rPr>
                <w:b/>
                <w:sz w:val="18"/>
              </w:rPr>
            </w:pPr>
            <w:r>
              <w:rPr>
                <w:b/>
                <w:sz w:val="18"/>
              </w:rPr>
              <w:t>Objetivos</w:t>
            </w:r>
            <w:r>
              <w:rPr>
                <w:b/>
                <w:spacing w:val="-5"/>
                <w:sz w:val="18"/>
              </w:rPr>
              <w:t> </w:t>
            </w:r>
            <w:r>
              <w:rPr>
                <w:b/>
                <w:sz w:val="18"/>
              </w:rPr>
              <w:t>/</w:t>
            </w:r>
            <w:r>
              <w:rPr>
                <w:b/>
                <w:spacing w:val="-2"/>
                <w:sz w:val="18"/>
              </w:rPr>
              <w:t> Resultados</w:t>
            </w:r>
          </w:p>
        </w:tc>
        <w:tc>
          <w:tcPr>
            <w:tcW w:w="1843" w:type="dxa"/>
            <w:vMerge w:val="restart"/>
            <w:shd w:val="clear" w:color="auto" w:fill="D7D7D7"/>
          </w:tcPr>
          <w:p>
            <w:pPr>
              <w:pStyle w:val="TableParagraph"/>
              <w:spacing w:before="75"/>
              <w:rPr>
                <w:b/>
                <w:sz w:val="18"/>
              </w:rPr>
            </w:pPr>
          </w:p>
          <w:p>
            <w:pPr>
              <w:pStyle w:val="TableParagraph"/>
              <w:ind w:left="518"/>
              <w:rPr>
                <w:b/>
                <w:sz w:val="18"/>
              </w:rPr>
            </w:pPr>
            <w:r>
              <w:rPr>
                <w:b/>
                <w:spacing w:val="-2"/>
                <w:sz w:val="18"/>
              </w:rPr>
              <w:t>Indicador</w:t>
            </w:r>
          </w:p>
        </w:tc>
        <w:tc>
          <w:tcPr>
            <w:tcW w:w="2313" w:type="dxa"/>
            <w:gridSpan w:val="2"/>
            <w:shd w:val="clear" w:color="auto" w:fill="D7D7D7"/>
          </w:tcPr>
          <w:p>
            <w:pPr>
              <w:pStyle w:val="TableParagraph"/>
              <w:spacing w:before="37"/>
              <w:ind w:left="696"/>
              <w:rPr>
                <w:b/>
                <w:sz w:val="18"/>
              </w:rPr>
            </w:pPr>
            <w:r>
              <w:rPr>
                <w:b/>
                <w:sz w:val="18"/>
              </w:rPr>
              <w:t>I</w:t>
            </w:r>
            <w:r>
              <w:rPr>
                <w:b/>
                <w:spacing w:val="-1"/>
                <w:sz w:val="18"/>
              </w:rPr>
              <w:t> </w:t>
            </w:r>
            <w:r>
              <w:rPr>
                <w:b/>
                <w:spacing w:val="-2"/>
                <w:sz w:val="18"/>
              </w:rPr>
              <w:t>Trimestre</w:t>
            </w:r>
          </w:p>
        </w:tc>
        <w:tc>
          <w:tcPr>
            <w:tcW w:w="2552" w:type="dxa"/>
            <w:gridSpan w:val="2"/>
            <w:shd w:val="clear" w:color="auto" w:fill="D7D7D7"/>
          </w:tcPr>
          <w:p>
            <w:pPr>
              <w:pStyle w:val="TableParagraph"/>
              <w:spacing w:before="37"/>
              <w:ind w:left="794"/>
              <w:rPr>
                <w:b/>
                <w:sz w:val="18"/>
              </w:rPr>
            </w:pPr>
            <w:r>
              <w:rPr>
                <w:b/>
                <w:sz w:val="18"/>
              </w:rPr>
              <w:t>II</w:t>
            </w:r>
            <w:r>
              <w:rPr>
                <w:b/>
                <w:spacing w:val="-3"/>
                <w:sz w:val="18"/>
              </w:rPr>
              <w:t> </w:t>
            </w:r>
            <w:r>
              <w:rPr>
                <w:b/>
                <w:spacing w:val="-2"/>
                <w:sz w:val="18"/>
              </w:rPr>
              <w:t>Trimestre</w:t>
            </w:r>
          </w:p>
        </w:tc>
        <w:tc>
          <w:tcPr>
            <w:tcW w:w="2692" w:type="dxa"/>
            <w:gridSpan w:val="2"/>
            <w:shd w:val="clear" w:color="auto" w:fill="D7D7D7"/>
          </w:tcPr>
          <w:p>
            <w:pPr>
              <w:pStyle w:val="TableParagraph"/>
              <w:spacing w:before="37"/>
              <w:ind w:left="839"/>
              <w:rPr>
                <w:b/>
                <w:sz w:val="18"/>
              </w:rPr>
            </w:pPr>
            <w:r>
              <w:rPr>
                <w:b/>
                <w:sz w:val="18"/>
              </w:rPr>
              <w:t>III</w:t>
            </w:r>
            <w:r>
              <w:rPr>
                <w:b/>
                <w:spacing w:val="-2"/>
                <w:sz w:val="18"/>
              </w:rPr>
              <w:t> Trimestre</w:t>
            </w:r>
          </w:p>
        </w:tc>
        <w:tc>
          <w:tcPr>
            <w:tcW w:w="2653" w:type="dxa"/>
            <w:gridSpan w:val="2"/>
            <w:shd w:val="clear" w:color="auto" w:fill="D7D7D7"/>
          </w:tcPr>
          <w:p>
            <w:pPr>
              <w:pStyle w:val="TableParagraph"/>
              <w:spacing w:before="37"/>
              <w:ind w:left="812"/>
              <w:rPr>
                <w:b/>
                <w:sz w:val="18"/>
              </w:rPr>
            </w:pPr>
            <w:r>
              <w:rPr>
                <w:b/>
                <w:sz w:val="18"/>
              </w:rPr>
              <w:t>IV</w:t>
            </w:r>
            <w:r>
              <w:rPr>
                <w:b/>
                <w:spacing w:val="-2"/>
                <w:sz w:val="18"/>
              </w:rPr>
              <w:t> Trimestre</w:t>
            </w:r>
          </w:p>
        </w:tc>
      </w:tr>
      <w:tr>
        <w:trPr>
          <w:trHeight w:val="484" w:hRule="atLeast"/>
        </w:trPr>
        <w:tc>
          <w:tcPr>
            <w:tcW w:w="2396" w:type="dxa"/>
            <w:vMerge/>
            <w:tcBorders>
              <w:top w:val="nil"/>
            </w:tcBorders>
            <w:shd w:val="clear" w:color="auto" w:fill="D7D7D7"/>
          </w:tcPr>
          <w:p>
            <w:pPr>
              <w:rPr>
                <w:sz w:val="2"/>
                <w:szCs w:val="2"/>
              </w:rPr>
            </w:pPr>
          </w:p>
        </w:tc>
        <w:tc>
          <w:tcPr>
            <w:tcW w:w="1843" w:type="dxa"/>
            <w:vMerge/>
            <w:tcBorders>
              <w:top w:val="nil"/>
            </w:tcBorders>
            <w:shd w:val="clear" w:color="auto" w:fill="D7D7D7"/>
          </w:tcPr>
          <w:p>
            <w:pPr>
              <w:rPr>
                <w:sz w:val="2"/>
                <w:szCs w:val="2"/>
              </w:rPr>
            </w:pPr>
          </w:p>
        </w:tc>
        <w:tc>
          <w:tcPr>
            <w:tcW w:w="1181" w:type="dxa"/>
            <w:shd w:val="clear" w:color="auto" w:fill="D7D7D7"/>
          </w:tcPr>
          <w:p>
            <w:pPr>
              <w:pStyle w:val="TableParagraph"/>
              <w:spacing w:line="244" w:lineRule="auto" w:before="32"/>
              <w:ind w:left="72" w:firstLine="312"/>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jc w:val="center"/>
              <w:rPr>
                <w:b/>
                <w:sz w:val="18"/>
              </w:rPr>
            </w:pPr>
            <w:r>
              <w:rPr>
                <w:b/>
                <w:spacing w:val="-10"/>
                <w:sz w:val="18"/>
              </w:rPr>
              <w:t>¢</w:t>
            </w:r>
          </w:p>
        </w:tc>
        <w:tc>
          <w:tcPr>
            <w:tcW w:w="1420" w:type="dxa"/>
            <w:shd w:val="clear" w:color="auto" w:fill="D7D7D7"/>
          </w:tcPr>
          <w:p>
            <w:pPr>
              <w:pStyle w:val="TableParagraph"/>
              <w:spacing w:line="244" w:lineRule="auto" w:before="32"/>
              <w:ind w:left="188" w:firstLine="317"/>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right="5"/>
              <w:jc w:val="center"/>
              <w:rPr>
                <w:b/>
                <w:sz w:val="18"/>
              </w:rPr>
            </w:pPr>
            <w:r>
              <w:rPr>
                <w:b/>
                <w:spacing w:val="-10"/>
                <w:sz w:val="18"/>
              </w:rPr>
              <w:t>¢</w:t>
            </w:r>
          </w:p>
        </w:tc>
        <w:tc>
          <w:tcPr>
            <w:tcW w:w="1670" w:type="dxa"/>
            <w:shd w:val="clear" w:color="auto" w:fill="D7D7D7"/>
          </w:tcPr>
          <w:p>
            <w:pPr>
              <w:pStyle w:val="TableParagraph"/>
              <w:spacing w:before="138"/>
              <w:ind w:left="90"/>
              <w:rPr>
                <w:b/>
                <w:sz w:val="18"/>
              </w:rPr>
            </w:pPr>
            <w:r>
              <w:rPr>
                <w:b/>
                <w:sz w:val="18"/>
              </w:rPr>
              <w:t>Meta</w:t>
            </w:r>
            <w:r>
              <w:rPr>
                <w:b/>
                <w:spacing w:val="1"/>
                <w:sz w:val="18"/>
              </w:rPr>
              <w:t> </w:t>
            </w:r>
            <w:r>
              <w:rPr>
                <w:b/>
                <w:spacing w:val="-2"/>
                <w:sz w:val="18"/>
              </w:rPr>
              <w:t>programada</w:t>
            </w:r>
          </w:p>
        </w:tc>
        <w:tc>
          <w:tcPr>
            <w:tcW w:w="1022" w:type="dxa"/>
            <w:shd w:val="clear" w:color="auto" w:fill="D7D7D7"/>
          </w:tcPr>
          <w:p>
            <w:pPr>
              <w:pStyle w:val="TableParagraph"/>
              <w:spacing w:before="138"/>
              <w:ind w:left="21"/>
              <w:jc w:val="center"/>
              <w:rPr>
                <w:b/>
                <w:sz w:val="18"/>
              </w:rPr>
            </w:pPr>
            <w:r>
              <w:rPr>
                <w:b/>
                <w:spacing w:val="-10"/>
                <w:sz w:val="18"/>
              </w:rPr>
              <w:t>¢</w:t>
            </w:r>
          </w:p>
        </w:tc>
        <w:tc>
          <w:tcPr>
            <w:tcW w:w="1396" w:type="dxa"/>
            <w:shd w:val="clear" w:color="auto" w:fill="D7D7D7"/>
          </w:tcPr>
          <w:p>
            <w:pPr>
              <w:pStyle w:val="TableParagraph"/>
              <w:spacing w:line="244" w:lineRule="auto" w:before="32"/>
              <w:ind w:left="183" w:firstLine="316"/>
              <w:rPr>
                <w:b/>
                <w:sz w:val="18"/>
              </w:rPr>
            </w:pPr>
            <w:r>
              <w:rPr>
                <w:b/>
                <w:spacing w:val="-4"/>
                <w:sz w:val="18"/>
              </w:rPr>
              <w:t>Meta </w:t>
            </w:r>
            <w:r>
              <w:rPr>
                <w:b/>
                <w:spacing w:val="-2"/>
                <w:sz w:val="18"/>
              </w:rPr>
              <w:t>programada</w:t>
            </w:r>
          </w:p>
        </w:tc>
        <w:tc>
          <w:tcPr>
            <w:tcW w:w="1257" w:type="dxa"/>
            <w:shd w:val="clear" w:color="auto" w:fill="D7D7D7"/>
          </w:tcPr>
          <w:p>
            <w:pPr>
              <w:pStyle w:val="TableParagraph"/>
              <w:spacing w:before="138"/>
              <w:ind w:left="86" w:right="56"/>
              <w:jc w:val="center"/>
              <w:rPr>
                <w:b/>
                <w:sz w:val="18"/>
              </w:rPr>
            </w:pPr>
            <w:r>
              <w:rPr>
                <w:b/>
                <w:spacing w:val="-10"/>
                <w:sz w:val="18"/>
              </w:rPr>
              <w:t>¢</w:t>
            </w:r>
          </w:p>
        </w:tc>
      </w:tr>
      <w:tr>
        <w:trPr>
          <w:trHeight w:val="1862" w:hRule="atLeast"/>
        </w:trPr>
        <w:tc>
          <w:tcPr>
            <w:tcW w:w="2396" w:type="dxa"/>
          </w:tcPr>
          <w:p>
            <w:pPr>
              <w:pStyle w:val="TableParagraph"/>
              <w:spacing w:before="206"/>
              <w:ind w:left="72" w:right="56"/>
              <w:rPr>
                <w:sz w:val="18"/>
              </w:rPr>
            </w:pPr>
            <w:r>
              <w:rPr>
                <w:b/>
                <w:sz w:val="18"/>
              </w:rPr>
              <w:t>Actividad PAC 2.32.2: </w:t>
            </w:r>
            <w:r>
              <w:rPr>
                <w:sz w:val="18"/>
              </w:rPr>
              <w:t>Formulación de los TR, Estudio</w:t>
            </w:r>
            <w:r>
              <w:rPr>
                <w:spacing w:val="-10"/>
                <w:sz w:val="18"/>
              </w:rPr>
              <w:t> </w:t>
            </w:r>
            <w:r>
              <w:rPr>
                <w:sz w:val="18"/>
              </w:rPr>
              <w:t>de</w:t>
            </w:r>
            <w:r>
              <w:rPr>
                <w:spacing w:val="-10"/>
                <w:sz w:val="18"/>
              </w:rPr>
              <w:t> </w:t>
            </w:r>
            <w:r>
              <w:rPr>
                <w:sz w:val="18"/>
              </w:rPr>
              <w:t>Mercado,</w:t>
            </w:r>
            <w:r>
              <w:rPr>
                <w:spacing w:val="-8"/>
                <w:sz w:val="18"/>
              </w:rPr>
              <w:t> </w:t>
            </w:r>
            <w:r>
              <w:rPr>
                <w:sz w:val="18"/>
              </w:rPr>
              <w:t>para</w:t>
            </w:r>
            <w:r>
              <w:rPr>
                <w:spacing w:val="-7"/>
                <w:sz w:val="18"/>
              </w:rPr>
              <w:t> </w:t>
            </w:r>
            <w:r>
              <w:rPr>
                <w:sz w:val="18"/>
              </w:rPr>
              <w:t>la solicitud de contratación de la</w:t>
            </w:r>
            <w:r>
              <w:rPr>
                <w:spacing w:val="-2"/>
                <w:sz w:val="18"/>
              </w:rPr>
              <w:t> </w:t>
            </w:r>
            <w:r>
              <w:rPr>
                <w:sz w:val="18"/>
              </w:rPr>
              <w:t>remodelación</w:t>
            </w:r>
            <w:r>
              <w:rPr>
                <w:spacing w:val="-6"/>
                <w:sz w:val="18"/>
              </w:rPr>
              <w:t> </w:t>
            </w:r>
            <w:r>
              <w:rPr>
                <w:sz w:val="18"/>
              </w:rPr>
              <w:t>del</w:t>
            </w:r>
            <w:r>
              <w:rPr>
                <w:spacing w:val="-8"/>
                <w:sz w:val="18"/>
              </w:rPr>
              <w:t> </w:t>
            </w:r>
            <w:r>
              <w:rPr>
                <w:sz w:val="18"/>
              </w:rPr>
              <w:t>espacio físico donde se ubica el DAF, Unidad de</w:t>
            </w:r>
          </w:p>
          <w:p>
            <w:pPr>
              <w:pStyle w:val="TableParagraph"/>
              <w:spacing w:line="187" w:lineRule="exact" w:before="1"/>
              <w:ind w:left="72"/>
              <w:rPr>
                <w:sz w:val="18"/>
              </w:rPr>
            </w:pPr>
            <w:r>
              <w:rPr>
                <w:sz w:val="18"/>
              </w:rPr>
              <w:t>Presupuesto,</w:t>
            </w:r>
            <w:r>
              <w:rPr>
                <w:spacing w:val="-8"/>
                <w:sz w:val="18"/>
              </w:rPr>
              <w:t> </w:t>
            </w:r>
            <w:r>
              <w:rPr>
                <w:spacing w:val="-2"/>
                <w:sz w:val="18"/>
              </w:rPr>
              <w:t>Contabilidad.</w:t>
            </w:r>
          </w:p>
        </w:tc>
        <w:tc>
          <w:tcPr>
            <w:tcW w:w="1843" w:type="dxa"/>
          </w:tcPr>
          <w:p>
            <w:pPr>
              <w:pStyle w:val="TableParagraph"/>
              <w:rPr>
                <w:b/>
                <w:sz w:val="18"/>
              </w:rPr>
            </w:pPr>
          </w:p>
          <w:p>
            <w:pPr>
              <w:pStyle w:val="TableParagraph"/>
              <w:spacing w:before="99"/>
              <w:rPr>
                <w:b/>
                <w:sz w:val="18"/>
              </w:rPr>
            </w:pPr>
          </w:p>
          <w:p>
            <w:pPr>
              <w:pStyle w:val="TableParagraph"/>
              <w:ind w:left="71" w:right="71"/>
              <w:rPr>
                <w:sz w:val="18"/>
              </w:rPr>
            </w:pPr>
            <w:r>
              <w:rPr>
                <w:sz w:val="18"/>
              </w:rPr>
              <w:t>Cantidad</w:t>
            </w:r>
            <w:r>
              <w:rPr>
                <w:spacing w:val="-15"/>
                <w:sz w:val="18"/>
              </w:rPr>
              <w:t> </w:t>
            </w:r>
            <w:r>
              <w:rPr>
                <w:sz w:val="18"/>
              </w:rPr>
              <w:t>de</w:t>
            </w:r>
            <w:r>
              <w:rPr>
                <w:spacing w:val="-12"/>
                <w:sz w:val="18"/>
              </w:rPr>
              <w:t> </w:t>
            </w:r>
            <w:r>
              <w:rPr>
                <w:sz w:val="18"/>
              </w:rPr>
              <w:t>solicitud de contratación cargada en el sistema (SICOP).</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rFonts w:ascii="Times New Roman"/>
                <w:sz w:val="18"/>
              </w:rPr>
            </w:pPr>
          </w:p>
        </w:tc>
        <w:tc>
          <w:tcPr>
            <w:tcW w:w="1132" w:type="dxa"/>
          </w:tcPr>
          <w:p>
            <w:pPr>
              <w:pStyle w:val="TableParagraph"/>
              <w:rPr>
                <w:rFonts w:ascii="Times New Roman"/>
                <w:sz w:val="18"/>
              </w:rPr>
            </w:pPr>
          </w:p>
        </w:tc>
        <w:tc>
          <w:tcPr>
            <w:tcW w:w="1670" w:type="dxa"/>
          </w:tcPr>
          <w:p>
            <w:pPr>
              <w:pStyle w:val="TableParagraph"/>
              <w:rPr>
                <w:rFonts w:ascii="Times New Roman"/>
                <w:sz w:val="18"/>
              </w:rPr>
            </w:pP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30" w:right="7"/>
              <w:jc w:val="center"/>
              <w:rPr>
                <w:sz w:val="18"/>
              </w:rPr>
            </w:pPr>
            <w:r>
              <w:rPr>
                <w:spacing w:val="-10"/>
                <w:sz w:val="18"/>
              </w:rPr>
              <w:t>1</w:t>
            </w:r>
          </w:p>
        </w:tc>
        <w:tc>
          <w:tcPr>
            <w:tcW w:w="1257" w:type="dxa"/>
          </w:tcPr>
          <w:p>
            <w:pPr>
              <w:pStyle w:val="TableParagraph"/>
              <w:rPr>
                <w:rFonts w:ascii="Times New Roman"/>
                <w:sz w:val="18"/>
              </w:rPr>
            </w:pPr>
          </w:p>
        </w:tc>
      </w:tr>
      <w:tr>
        <w:trPr>
          <w:trHeight w:val="1656" w:hRule="atLeast"/>
        </w:trPr>
        <w:tc>
          <w:tcPr>
            <w:tcW w:w="2396" w:type="dxa"/>
          </w:tcPr>
          <w:p>
            <w:pPr>
              <w:pStyle w:val="TableParagraph"/>
              <w:spacing w:before="205"/>
              <w:ind w:left="72" w:right="106"/>
              <w:rPr>
                <w:sz w:val="18"/>
              </w:rPr>
            </w:pPr>
            <w:r>
              <w:rPr>
                <w:b/>
                <w:sz w:val="18"/>
              </w:rPr>
              <w:t>Actividad PAC 2.32.3: </w:t>
            </w:r>
            <w:r>
              <w:rPr>
                <w:sz w:val="18"/>
              </w:rPr>
              <w:t>Fiscalizar la ejecución contractual sobre la remodelación</w:t>
            </w:r>
            <w:r>
              <w:rPr>
                <w:spacing w:val="-15"/>
                <w:sz w:val="18"/>
              </w:rPr>
              <w:t> </w:t>
            </w:r>
            <w:r>
              <w:rPr>
                <w:sz w:val="18"/>
              </w:rPr>
              <w:t>del</w:t>
            </w:r>
            <w:r>
              <w:rPr>
                <w:spacing w:val="-12"/>
                <w:sz w:val="18"/>
              </w:rPr>
              <w:t> </w:t>
            </w:r>
            <w:r>
              <w:rPr>
                <w:sz w:val="18"/>
              </w:rPr>
              <w:t>espacio físico donde se ubica el DAF, Unidad de</w:t>
            </w:r>
          </w:p>
          <w:p>
            <w:pPr>
              <w:pStyle w:val="TableParagraph"/>
              <w:spacing w:line="187" w:lineRule="exact" w:before="2"/>
              <w:ind w:left="72"/>
              <w:rPr>
                <w:sz w:val="18"/>
              </w:rPr>
            </w:pPr>
            <w:r>
              <w:rPr>
                <w:sz w:val="18"/>
              </w:rPr>
              <w:t>Presupuesto,</w:t>
            </w:r>
            <w:r>
              <w:rPr>
                <w:spacing w:val="-8"/>
                <w:sz w:val="18"/>
              </w:rPr>
              <w:t> </w:t>
            </w:r>
            <w:r>
              <w:rPr>
                <w:spacing w:val="-2"/>
                <w:sz w:val="18"/>
              </w:rPr>
              <w:t>Contabilidad.</w:t>
            </w:r>
          </w:p>
        </w:tc>
        <w:tc>
          <w:tcPr>
            <w:tcW w:w="1843" w:type="dxa"/>
          </w:tcPr>
          <w:p>
            <w:pPr>
              <w:pStyle w:val="TableParagraph"/>
              <w:spacing w:before="204"/>
              <w:rPr>
                <w:b/>
                <w:sz w:val="18"/>
              </w:rPr>
            </w:pPr>
          </w:p>
          <w:p>
            <w:pPr>
              <w:pStyle w:val="TableParagraph"/>
              <w:ind w:left="71" w:right="49"/>
              <w:rPr>
                <w:sz w:val="18"/>
              </w:rPr>
            </w:pPr>
            <w:r>
              <w:rPr>
                <w:sz w:val="18"/>
              </w:rPr>
              <w:t>Porcentaje de ejecución</w:t>
            </w:r>
            <w:r>
              <w:rPr>
                <w:spacing w:val="-15"/>
                <w:sz w:val="18"/>
              </w:rPr>
              <w:t> </w:t>
            </w:r>
            <w:r>
              <w:rPr>
                <w:sz w:val="18"/>
              </w:rPr>
              <w:t>del</w:t>
            </w:r>
            <w:r>
              <w:rPr>
                <w:spacing w:val="-12"/>
                <w:sz w:val="18"/>
              </w:rPr>
              <w:t> </w:t>
            </w:r>
            <w:r>
              <w:rPr>
                <w:sz w:val="18"/>
              </w:rPr>
              <w:t>monto adjudicado</w:t>
            </w:r>
            <w:r>
              <w:rPr>
                <w:spacing w:val="-15"/>
                <w:sz w:val="18"/>
              </w:rPr>
              <w:t> </w:t>
            </w:r>
            <w:r>
              <w:rPr>
                <w:sz w:val="18"/>
              </w:rPr>
              <w:t>según</w:t>
            </w:r>
            <w:r>
              <w:rPr>
                <w:spacing w:val="-12"/>
                <w:sz w:val="18"/>
              </w:rPr>
              <w:t> </w:t>
            </w:r>
            <w:r>
              <w:rPr>
                <w:sz w:val="18"/>
              </w:rPr>
              <w:t>la </w:t>
            </w:r>
            <w:r>
              <w:rPr>
                <w:spacing w:val="-2"/>
                <w:sz w:val="18"/>
              </w:rPr>
              <w:t>contratación.</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rFonts w:ascii="Times New Roman"/>
                <w:sz w:val="18"/>
              </w:rPr>
            </w:pPr>
          </w:p>
        </w:tc>
        <w:tc>
          <w:tcPr>
            <w:tcW w:w="1132" w:type="dxa"/>
          </w:tcPr>
          <w:p>
            <w:pPr>
              <w:pStyle w:val="TableParagraph"/>
              <w:rPr>
                <w:rFonts w:ascii="Times New Roman"/>
                <w:sz w:val="18"/>
              </w:rPr>
            </w:pPr>
          </w:p>
        </w:tc>
        <w:tc>
          <w:tcPr>
            <w:tcW w:w="1670" w:type="dxa"/>
          </w:tcPr>
          <w:p>
            <w:pPr>
              <w:pStyle w:val="TableParagraph"/>
              <w:rPr>
                <w:rFonts w:ascii="Times New Roman"/>
                <w:sz w:val="18"/>
              </w:rPr>
            </w:pPr>
          </w:p>
        </w:tc>
        <w:tc>
          <w:tcPr>
            <w:tcW w:w="1022" w:type="dxa"/>
          </w:tcPr>
          <w:p>
            <w:pPr>
              <w:pStyle w:val="TableParagraph"/>
              <w:rPr>
                <w:rFonts w:ascii="Times New Roman"/>
                <w:sz w:val="18"/>
              </w:rPr>
            </w:pPr>
          </w:p>
        </w:tc>
        <w:tc>
          <w:tcPr>
            <w:tcW w:w="139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30"/>
              <w:jc w:val="center"/>
              <w:rPr>
                <w:sz w:val="18"/>
              </w:rPr>
            </w:pPr>
            <w:r>
              <w:rPr>
                <w:spacing w:val="-4"/>
                <w:sz w:val="18"/>
              </w:rPr>
              <w:t>100%</w:t>
            </w:r>
          </w:p>
        </w:tc>
        <w:tc>
          <w:tcPr>
            <w:tcW w:w="125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86"/>
              <w:jc w:val="center"/>
              <w:rPr>
                <w:sz w:val="18"/>
              </w:rPr>
            </w:pPr>
            <w:r>
              <w:rPr>
                <w:sz w:val="18"/>
              </w:rPr>
              <w:t>300</w:t>
            </w:r>
            <w:r>
              <w:rPr>
                <w:spacing w:val="-2"/>
                <w:sz w:val="18"/>
              </w:rPr>
              <w:t> </w:t>
            </w:r>
            <w:r>
              <w:rPr>
                <w:sz w:val="18"/>
              </w:rPr>
              <w:t>000</w:t>
            </w:r>
            <w:r>
              <w:rPr>
                <w:spacing w:val="-2"/>
                <w:sz w:val="18"/>
              </w:rPr>
              <w:t> </w:t>
            </w:r>
            <w:r>
              <w:rPr>
                <w:spacing w:val="-5"/>
                <w:sz w:val="18"/>
              </w:rPr>
              <w:t>000</w:t>
            </w:r>
          </w:p>
        </w:tc>
      </w:tr>
      <w:tr>
        <w:trPr>
          <w:trHeight w:val="282" w:hRule="atLeast"/>
        </w:trPr>
        <w:tc>
          <w:tcPr>
            <w:tcW w:w="14449" w:type="dxa"/>
            <w:gridSpan w:val="10"/>
            <w:tcBorders>
              <w:right w:val="nil"/>
            </w:tcBorders>
            <w:shd w:val="clear" w:color="auto" w:fill="EFF8F9"/>
          </w:tcPr>
          <w:p>
            <w:pPr>
              <w:pStyle w:val="TableParagraph"/>
              <w:spacing w:before="37"/>
              <w:ind w:left="72"/>
              <w:rPr>
                <w:b/>
                <w:sz w:val="18"/>
              </w:rPr>
            </w:pPr>
            <w:r>
              <w:rPr>
                <w:b/>
                <w:sz w:val="18"/>
              </w:rPr>
              <w:t>Producto</w:t>
            </w:r>
            <w:r>
              <w:rPr>
                <w:b/>
                <w:spacing w:val="-8"/>
                <w:sz w:val="18"/>
              </w:rPr>
              <w:t> </w:t>
            </w:r>
            <w:r>
              <w:rPr>
                <w:b/>
                <w:sz w:val="18"/>
              </w:rPr>
              <w:t>PAC</w:t>
            </w:r>
            <w:r>
              <w:rPr>
                <w:b/>
                <w:spacing w:val="-7"/>
                <w:sz w:val="18"/>
              </w:rPr>
              <w:t> </w:t>
            </w:r>
            <w:r>
              <w:rPr>
                <w:b/>
                <w:sz w:val="18"/>
              </w:rPr>
              <w:t>2:33:</w:t>
            </w:r>
            <w:r>
              <w:rPr>
                <w:b/>
                <w:spacing w:val="-5"/>
                <w:sz w:val="18"/>
              </w:rPr>
              <w:t> </w:t>
            </w:r>
            <w:r>
              <w:rPr>
                <w:b/>
                <w:sz w:val="18"/>
              </w:rPr>
              <w:t>Consolidar un</w:t>
            </w:r>
            <w:r>
              <w:rPr>
                <w:b/>
                <w:spacing w:val="-7"/>
                <w:sz w:val="18"/>
              </w:rPr>
              <w:t> </w:t>
            </w:r>
            <w:r>
              <w:rPr>
                <w:b/>
                <w:sz w:val="18"/>
              </w:rPr>
              <w:t>sistema</w:t>
            </w:r>
            <w:r>
              <w:rPr>
                <w:b/>
                <w:spacing w:val="-6"/>
                <w:sz w:val="18"/>
              </w:rPr>
              <w:t> </w:t>
            </w:r>
            <w:r>
              <w:rPr>
                <w:b/>
                <w:sz w:val="18"/>
              </w:rPr>
              <w:t>de</w:t>
            </w:r>
            <w:r>
              <w:rPr>
                <w:b/>
                <w:spacing w:val="-6"/>
                <w:sz w:val="18"/>
              </w:rPr>
              <w:t> </w:t>
            </w:r>
            <w:r>
              <w:rPr>
                <w:b/>
                <w:sz w:val="18"/>
              </w:rPr>
              <w:t>gestión</w:t>
            </w:r>
            <w:r>
              <w:rPr>
                <w:b/>
                <w:spacing w:val="-7"/>
                <w:sz w:val="18"/>
              </w:rPr>
              <w:t> </w:t>
            </w:r>
            <w:r>
              <w:rPr>
                <w:b/>
                <w:sz w:val="18"/>
              </w:rPr>
              <w:t>presupuestaria</w:t>
            </w:r>
            <w:r>
              <w:rPr>
                <w:b/>
                <w:spacing w:val="-7"/>
                <w:sz w:val="18"/>
              </w:rPr>
              <w:t> </w:t>
            </w:r>
            <w:r>
              <w:rPr>
                <w:b/>
                <w:sz w:val="18"/>
              </w:rPr>
              <w:t>regional</w:t>
            </w:r>
            <w:r>
              <w:rPr>
                <w:b/>
                <w:spacing w:val="-4"/>
                <w:sz w:val="18"/>
              </w:rPr>
              <w:t> </w:t>
            </w:r>
            <w:r>
              <w:rPr>
                <w:b/>
                <w:sz w:val="18"/>
              </w:rPr>
              <w:t>y</w:t>
            </w:r>
            <w:r>
              <w:rPr>
                <w:b/>
                <w:spacing w:val="-6"/>
                <w:sz w:val="18"/>
              </w:rPr>
              <w:t> </w:t>
            </w:r>
            <w:r>
              <w:rPr>
                <w:b/>
                <w:sz w:val="18"/>
              </w:rPr>
              <w:t>territorial</w:t>
            </w:r>
            <w:r>
              <w:rPr>
                <w:b/>
                <w:spacing w:val="-4"/>
                <w:sz w:val="18"/>
              </w:rPr>
              <w:t> </w:t>
            </w:r>
            <w:r>
              <w:rPr>
                <w:b/>
                <w:sz w:val="18"/>
              </w:rPr>
              <w:t>para</w:t>
            </w:r>
            <w:r>
              <w:rPr>
                <w:b/>
                <w:spacing w:val="-6"/>
                <w:sz w:val="18"/>
              </w:rPr>
              <w:t> </w:t>
            </w:r>
            <w:r>
              <w:rPr>
                <w:b/>
                <w:sz w:val="18"/>
              </w:rPr>
              <w:t>facilitar</w:t>
            </w:r>
            <w:r>
              <w:rPr>
                <w:b/>
                <w:spacing w:val="-5"/>
                <w:sz w:val="18"/>
              </w:rPr>
              <w:t> </w:t>
            </w:r>
            <w:r>
              <w:rPr>
                <w:b/>
                <w:sz w:val="18"/>
              </w:rPr>
              <w:t>la</w:t>
            </w:r>
            <w:r>
              <w:rPr>
                <w:b/>
                <w:spacing w:val="-6"/>
                <w:sz w:val="18"/>
              </w:rPr>
              <w:t> </w:t>
            </w:r>
            <w:r>
              <w:rPr>
                <w:b/>
                <w:sz w:val="18"/>
              </w:rPr>
              <w:t>inversión</w:t>
            </w:r>
            <w:r>
              <w:rPr>
                <w:b/>
                <w:spacing w:val="-3"/>
                <w:sz w:val="18"/>
              </w:rPr>
              <w:t> </w:t>
            </w:r>
            <w:r>
              <w:rPr>
                <w:b/>
                <w:sz w:val="18"/>
              </w:rPr>
              <w:t>en</w:t>
            </w:r>
            <w:r>
              <w:rPr>
                <w:b/>
                <w:spacing w:val="-7"/>
                <w:sz w:val="18"/>
              </w:rPr>
              <w:t> </w:t>
            </w:r>
            <w:r>
              <w:rPr>
                <w:b/>
                <w:sz w:val="18"/>
              </w:rPr>
              <w:t>las</w:t>
            </w:r>
            <w:r>
              <w:rPr>
                <w:b/>
                <w:spacing w:val="5"/>
                <w:sz w:val="18"/>
              </w:rPr>
              <w:t> </w:t>
            </w:r>
            <w:r>
              <w:rPr>
                <w:b/>
                <w:sz w:val="18"/>
              </w:rPr>
              <w:t>diferentes</w:t>
            </w:r>
            <w:r>
              <w:rPr>
                <w:b/>
                <w:spacing w:val="-6"/>
                <w:sz w:val="18"/>
              </w:rPr>
              <w:t> </w:t>
            </w:r>
            <w:r>
              <w:rPr>
                <w:b/>
                <w:sz w:val="18"/>
              </w:rPr>
              <w:t>regiones</w:t>
            </w:r>
            <w:r>
              <w:rPr>
                <w:b/>
                <w:spacing w:val="-6"/>
                <w:sz w:val="18"/>
              </w:rPr>
              <w:t> </w:t>
            </w:r>
            <w:r>
              <w:rPr>
                <w:b/>
                <w:sz w:val="18"/>
              </w:rPr>
              <w:t>del</w:t>
            </w:r>
            <w:r>
              <w:rPr>
                <w:b/>
                <w:spacing w:val="-4"/>
                <w:sz w:val="18"/>
              </w:rPr>
              <w:t> </w:t>
            </w:r>
            <w:r>
              <w:rPr>
                <w:b/>
                <w:sz w:val="18"/>
              </w:rPr>
              <w:t>país.</w:t>
            </w:r>
            <w:r>
              <w:rPr>
                <w:b/>
                <w:spacing w:val="65"/>
                <w:w w:val="150"/>
                <w:sz w:val="18"/>
              </w:rPr>
              <w:t> </w:t>
            </w:r>
            <w:r>
              <w:rPr>
                <w:b/>
                <w:sz w:val="18"/>
              </w:rPr>
              <w:t>(E1</w:t>
            </w:r>
            <w:r>
              <w:rPr>
                <w:b/>
                <w:spacing w:val="-6"/>
                <w:sz w:val="18"/>
              </w:rPr>
              <w:t> </w:t>
            </w:r>
            <w:r>
              <w:rPr>
                <w:b/>
                <w:sz w:val="18"/>
              </w:rPr>
              <w:t>AE8</w:t>
            </w:r>
            <w:r>
              <w:rPr>
                <w:b/>
                <w:spacing w:val="-3"/>
                <w:sz w:val="18"/>
              </w:rPr>
              <w:t> </w:t>
            </w:r>
            <w:r>
              <w:rPr>
                <w:b/>
                <w:spacing w:val="-5"/>
                <w:sz w:val="18"/>
              </w:rPr>
              <w:t>R1)</w:t>
            </w:r>
          </w:p>
        </w:tc>
      </w:tr>
      <w:tr>
        <w:trPr>
          <w:trHeight w:val="1680" w:hRule="atLeast"/>
        </w:trPr>
        <w:tc>
          <w:tcPr>
            <w:tcW w:w="2396" w:type="dxa"/>
          </w:tcPr>
          <w:p>
            <w:pPr>
              <w:pStyle w:val="TableParagraph"/>
              <w:rPr>
                <w:b/>
                <w:sz w:val="18"/>
              </w:rPr>
            </w:pPr>
          </w:p>
          <w:p>
            <w:pPr>
              <w:pStyle w:val="TableParagraph"/>
              <w:spacing w:before="27"/>
              <w:rPr>
                <w:b/>
                <w:sz w:val="18"/>
              </w:rPr>
            </w:pPr>
          </w:p>
          <w:p>
            <w:pPr>
              <w:pStyle w:val="TableParagraph"/>
              <w:ind w:left="72" w:right="155"/>
              <w:rPr>
                <w:sz w:val="18"/>
              </w:rPr>
            </w:pPr>
            <w:r>
              <w:rPr>
                <w:b/>
                <w:sz w:val="18"/>
              </w:rPr>
              <w:t>Actividad PAC 2.33.1: </w:t>
            </w:r>
            <w:r>
              <w:rPr>
                <w:sz w:val="18"/>
              </w:rPr>
              <w:t>Revisar solicitudes presupuestarias</w:t>
            </w:r>
            <w:r>
              <w:rPr>
                <w:spacing w:val="-13"/>
                <w:sz w:val="18"/>
              </w:rPr>
              <w:t> </w:t>
            </w:r>
            <w:r>
              <w:rPr>
                <w:sz w:val="18"/>
              </w:rPr>
              <w:t>realizadas por las áreas regionales</w:t>
            </w:r>
          </w:p>
          <w:p>
            <w:pPr>
              <w:pStyle w:val="TableParagraph"/>
              <w:spacing w:line="206" w:lineRule="exact"/>
              <w:ind w:left="72"/>
              <w:rPr>
                <w:sz w:val="18"/>
              </w:rPr>
            </w:pPr>
            <w:r>
              <w:rPr>
                <w:sz w:val="18"/>
              </w:rPr>
              <w:t>para</w:t>
            </w:r>
            <w:r>
              <w:rPr>
                <w:spacing w:val="-13"/>
                <w:sz w:val="18"/>
              </w:rPr>
              <w:t> </w:t>
            </w:r>
            <w:r>
              <w:rPr>
                <w:sz w:val="18"/>
              </w:rPr>
              <w:t>el</w:t>
            </w:r>
            <w:r>
              <w:rPr>
                <w:spacing w:val="-10"/>
                <w:sz w:val="18"/>
              </w:rPr>
              <w:t> </w:t>
            </w:r>
            <w:r>
              <w:rPr>
                <w:sz w:val="18"/>
              </w:rPr>
              <w:t>proceso</w:t>
            </w:r>
            <w:r>
              <w:rPr>
                <w:spacing w:val="-10"/>
                <w:sz w:val="18"/>
              </w:rPr>
              <w:t> </w:t>
            </w:r>
            <w:r>
              <w:rPr>
                <w:sz w:val="18"/>
              </w:rPr>
              <w:t>de formulación 2026.</w:t>
            </w:r>
          </w:p>
        </w:tc>
        <w:tc>
          <w:tcPr>
            <w:tcW w:w="1843" w:type="dxa"/>
          </w:tcPr>
          <w:p>
            <w:pPr>
              <w:pStyle w:val="TableParagraph"/>
              <w:spacing w:before="13"/>
              <w:rPr>
                <w:b/>
                <w:sz w:val="18"/>
              </w:rPr>
            </w:pPr>
          </w:p>
          <w:p>
            <w:pPr>
              <w:pStyle w:val="TableParagraph"/>
              <w:ind w:left="71" w:right="111"/>
              <w:rPr>
                <w:sz w:val="18"/>
              </w:rPr>
            </w:pPr>
            <w:r>
              <w:rPr>
                <w:sz w:val="18"/>
              </w:rPr>
              <w:t>Porcentaje de </w:t>
            </w:r>
            <w:r>
              <w:rPr>
                <w:spacing w:val="-2"/>
                <w:sz w:val="18"/>
              </w:rPr>
              <w:t>solicitudes </w:t>
            </w:r>
            <w:r>
              <w:rPr>
                <w:sz w:val="18"/>
              </w:rPr>
              <w:t>presupuestarias de las</w:t>
            </w:r>
            <w:r>
              <w:rPr>
                <w:spacing w:val="-15"/>
                <w:sz w:val="18"/>
              </w:rPr>
              <w:t> </w:t>
            </w:r>
            <w:r>
              <w:rPr>
                <w:sz w:val="18"/>
              </w:rPr>
              <w:t>áreas</w:t>
            </w:r>
            <w:r>
              <w:rPr>
                <w:spacing w:val="-12"/>
                <w:sz w:val="18"/>
              </w:rPr>
              <w:t> </w:t>
            </w:r>
            <w:r>
              <w:rPr>
                <w:sz w:val="18"/>
              </w:rPr>
              <w:t>regionales revisadas y </w:t>
            </w:r>
            <w:r>
              <w:rPr>
                <w:spacing w:val="-2"/>
                <w:sz w:val="18"/>
              </w:rPr>
              <w:t>ajustadas.</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rFonts w:ascii="Times New Roman"/>
                <w:sz w:val="18"/>
              </w:rPr>
            </w:pP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76"/>
              <w:rPr>
                <w:sz w:val="18"/>
              </w:rPr>
            </w:pPr>
            <w:r>
              <w:rPr>
                <w:spacing w:val="-4"/>
                <w:sz w:val="18"/>
              </w:rPr>
              <w:t>100%</w:t>
            </w:r>
          </w:p>
        </w:tc>
        <w:tc>
          <w:tcPr>
            <w:tcW w:w="1022" w:type="dxa"/>
          </w:tcPr>
          <w:p>
            <w:pPr>
              <w:pStyle w:val="TableParagraph"/>
              <w:rPr>
                <w:rFonts w:ascii="Times New Roman"/>
                <w:sz w:val="18"/>
              </w:rPr>
            </w:pPr>
          </w:p>
        </w:tc>
        <w:tc>
          <w:tcPr>
            <w:tcW w:w="1396" w:type="dxa"/>
          </w:tcPr>
          <w:p>
            <w:pPr>
              <w:pStyle w:val="TableParagraph"/>
              <w:rPr>
                <w:rFonts w:ascii="Times New Roman"/>
                <w:sz w:val="18"/>
              </w:rPr>
            </w:pPr>
          </w:p>
        </w:tc>
        <w:tc>
          <w:tcPr>
            <w:tcW w:w="1257" w:type="dxa"/>
          </w:tcPr>
          <w:p>
            <w:pPr>
              <w:pStyle w:val="TableParagraph"/>
              <w:rPr>
                <w:rFonts w:ascii="Times New Roman"/>
                <w:sz w:val="18"/>
              </w:rPr>
            </w:pPr>
          </w:p>
        </w:tc>
      </w:tr>
      <w:tr>
        <w:trPr>
          <w:trHeight w:val="1243" w:hRule="atLeast"/>
        </w:trPr>
        <w:tc>
          <w:tcPr>
            <w:tcW w:w="2396" w:type="dxa"/>
          </w:tcPr>
          <w:p>
            <w:pPr>
              <w:pStyle w:val="TableParagraph"/>
              <w:spacing w:before="2"/>
              <w:rPr>
                <w:b/>
                <w:sz w:val="18"/>
              </w:rPr>
            </w:pPr>
          </w:p>
          <w:p>
            <w:pPr>
              <w:pStyle w:val="TableParagraph"/>
              <w:ind w:left="72" w:right="106"/>
              <w:rPr>
                <w:sz w:val="18"/>
              </w:rPr>
            </w:pPr>
            <w:r>
              <w:rPr>
                <w:b/>
                <w:sz w:val="18"/>
              </w:rPr>
              <w:t>Actividad PAC 2.33.2</w:t>
            </w:r>
            <w:r>
              <w:rPr>
                <w:sz w:val="18"/>
              </w:rPr>
              <w:t>: Consolidación de la información</w:t>
            </w:r>
            <w:r>
              <w:rPr>
                <w:spacing w:val="-3"/>
                <w:sz w:val="18"/>
              </w:rPr>
              <w:t> </w:t>
            </w:r>
            <w:r>
              <w:rPr>
                <w:sz w:val="18"/>
              </w:rPr>
              <w:t>en</w:t>
            </w:r>
            <w:r>
              <w:rPr>
                <w:spacing w:val="-3"/>
                <w:sz w:val="18"/>
              </w:rPr>
              <w:t> </w:t>
            </w:r>
            <w:r>
              <w:rPr>
                <w:sz w:val="18"/>
              </w:rPr>
              <w:t>el sistema de</w:t>
            </w:r>
            <w:r>
              <w:rPr>
                <w:spacing w:val="-1"/>
                <w:sz w:val="18"/>
              </w:rPr>
              <w:t> </w:t>
            </w:r>
            <w:r>
              <w:rPr>
                <w:sz w:val="18"/>
              </w:rPr>
              <w:t>gestión</w:t>
            </w:r>
            <w:r>
              <w:rPr>
                <w:spacing w:val="-5"/>
                <w:sz w:val="18"/>
              </w:rPr>
              <w:t> </w:t>
            </w:r>
            <w:r>
              <w:rPr>
                <w:spacing w:val="-2"/>
                <w:sz w:val="18"/>
              </w:rPr>
              <w:t>presupuestaria</w:t>
            </w:r>
          </w:p>
          <w:p>
            <w:pPr>
              <w:pStyle w:val="TableParagraph"/>
              <w:spacing w:line="185" w:lineRule="exact"/>
              <w:ind w:left="72"/>
              <w:rPr>
                <w:sz w:val="18"/>
              </w:rPr>
            </w:pPr>
            <w:r>
              <w:rPr>
                <w:spacing w:val="-2"/>
                <w:sz w:val="18"/>
              </w:rPr>
              <w:t>regional.</w:t>
            </w:r>
          </w:p>
        </w:tc>
        <w:tc>
          <w:tcPr>
            <w:tcW w:w="1843" w:type="dxa"/>
          </w:tcPr>
          <w:p>
            <w:pPr>
              <w:pStyle w:val="TableParagraph"/>
              <w:ind w:left="71" w:right="49"/>
              <w:rPr>
                <w:sz w:val="18"/>
              </w:rPr>
            </w:pPr>
            <w:r>
              <w:rPr>
                <w:sz w:val="18"/>
              </w:rPr>
              <w:t>Porcentaje de </w:t>
            </w:r>
            <w:r>
              <w:rPr>
                <w:spacing w:val="-2"/>
                <w:sz w:val="18"/>
              </w:rPr>
              <w:t>solicitudes </w:t>
            </w:r>
            <w:r>
              <w:rPr>
                <w:sz w:val="18"/>
              </w:rPr>
              <w:t>consolidadas de acuerdo con el sistema</w:t>
            </w:r>
            <w:r>
              <w:rPr>
                <w:spacing w:val="-15"/>
                <w:sz w:val="18"/>
              </w:rPr>
              <w:t> </w:t>
            </w:r>
            <w:r>
              <w:rPr>
                <w:sz w:val="18"/>
              </w:rPr>
              <w:t>de</w:t>
            </w:r>
            <w:r>
              <w:rPr>
                <w:spacing w:val="-12"/>
                <w:sz w:val="18"/>
              </w:rPr>
              <w:t> </w:t>
            </w:r>
            <w:r>
              <w:rPr>
                <w:sz w:val="18"/>
              </w:rPr>
              <w:t>gestión</w:t>
            </w:r>
          </w:p>
          <w:p>
            <w:pPr>
              <w:pStyle w:val="TableParagraph"/>
              <w:spacing w:line="187" w:lineRule="exact" w:before="1"/>
              <w:ind w:left="71"/>
              <w:rPr>
                <w:sz w:val="18"/>
              </w:rPr>
            </w:pPr>
            <w:r>
              <w:rPr>
                <w:spacing w:val="-2"/>
                <w:sz w:val="18"/>
              </w:rPr>
              <w:t>definido.</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rFonts w:ascii="Times New Roman"/>
                <w:sz w:val="18"/>
              </w:rPr>
            </w:pP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spacing w:before="102"/>
              <w:rPr>
                <w:b/>
                <w:sz w:val="18"/>
              </w:rPr>
            </w:pPr>
          </w:p>
          <w:p>
            <w:pPr>
              <w:pStyle w:val="TableParagraph"/>
              <w:spacing w:before="1"/>
              <w:ind w:left="76"/>
              <w:rPr>
                <w:sz w:val="18"/>
              </w:rPr>
            </w:pPr>
            <w:r>
              <w:rPr>
                <w:spacing w:val="-4"/>
                <w:sz w:val="18"/>
              </w:rPr>
              <w:t>100%</w:t>
            </w:r>
          </w:p>
        </w:tc>
        <w:tc>
          <w:tcPr>
            <w:tcW w:w="1022" w:type="dxa"/>
          </w:tcPr>
          <w:p>
            <w:pPr>
              <w:pStyle w:val="TableParagraph"/>
              <w:rPr>
                <w:rFonts w:ascii="Times New Roman"/>
                <w:sz w:val="18"/>
              </w:rPr>
            </w:pPr>
          </w:p>
        </w:tc>
        <w:tc>
          <w:tcPr>
            <w:tcW w:w="1396" w:type="dxa"/>
          </w:tcPr>
          <w:p>
            <w:pPr>
              <w:pStyle w:val="TableParagraph"/>
              <w:rPr>
                <w:rFonts w:ascii="Times New Roman"/>
                <w:sz w:val="18"/>
              </w:rPr>
            </w:pPr>
          </w:p>
        </w:tc>
        <w:tc>
          <w:tcPr>
            <w:tcW w:w="1257"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96"/>
        <w:gridCol w:w="1843"/>
        <w:gridCol w:w="1181"/>
        <w:gridCol w:w="1132"/>
        <w:gridCol w:w="1420"/>
        <w:gridCol w:w="1132"/>
        <w:gridCol w:w="1670"/>
        <w:gridCol w:w="1022"/>
        <w:gridCol w:w="1396"/>
        <w:gridCol w:w="1257"/>
      </w:tblGrid>
      <w:tr>
        <w:trPr>
          <w:trHeight w:val="282" w:hRule="atLeast"/>
        </w:trPr>
        <w:tc>
          <w:tcPr>
            <w:tcW w:w="2396" w:type="dxa"/>
            <w:vMerge w:val="restart"/>
            <w:shd w:val="clear" w:color="auto" w:fill="D7D7D7"/>
          </w:tcPr>
          <w:p>
            <w:pPr>
              <w:pStyle w:val="TableParagraph"/>
              <w:spacing w:before="75"/>
              <w:rPr>
                <w:b/>
                <w:sz w:val="18"/>
              </w:rPr>
            </w:pPr>
          </w:p>
          <w:p>
            <w:pPr>
              <w:pStyle w:val="TableParagraph"/>
              <w:ind w:left="230"/>
              <w:rPr>
                <w:b/>
                <w:sz w:val="18"/>
              </w:rPr>
            </w:pPr>
            <w:r>
              <w:rPr>
                <w:b/>
                <w:sz w:val="18"/>
              </w:rPr>
              <w:t>Objetivos</w:t>
            </w:r>
            <w:r>
              <w:rPr>
                <w:b/>
                <w:spacing w:val="-5"/>
                <w:sz w:val="18"/>
              </w:rPr>
              <w:t> </w:t>
            </w:r>
            <w:r>
              <w:rPr>
                <w:b/>
                <w:sz w:val="18"/>
              </w:rPr>
              <w:t>/</w:t>
            </w:r>
            <w:r>
              <w:rPr>
                <w:b/>
                <w:spacing w:val="-2"/>
                <w:sz w:val="18"/>
              </w:rPr>
              <w:t> Resultados</w:t>
            </w:r>
          </w:p>
        </w:tc>
        <w:tc>
          <w:tcPr>
            <w:tcW w:w="1843" w:type="dxa"/>
            <w:vMerge w:val="restart"/>
            <w:shd w:val="clear" w:color="auto" w:fill="D7D7D7"/>
          </w:tcPr>
          <w:p>
            <w:pPr>
              <w:pStyle w:val="TableParagraph"/>
              <w:spacing w:before="75"/>
              <w:rPr>
                <w:b/>
                <w:sz w:val="18"/>
              </w:rPr>
            </w:pPr>
          </w:p>
          <w:p>
            <w:pPr>
              <w:pStyle w:val="TableParagraph"/>
              <w:ind w:left="518"/>
              <w:rPr>
                <w:b/>
                <w:sz w:val="18"/>
              </w:rPr>
            </w:pPr>
            <w:r>
              <w:rPr>
                <w:b/>
                <w:spacing w:val="-2"/>
                <w:sz w:val="18"/>
              </w:rPr>
              <w:t>Indicador</w:t>
            </w:r>
          </w:p>
        </w:tc>
        <w:tc>
          <w:tcPr>
            <w:tcW w:w="2313" w:type="dxa"/>
            <w:gridSpan w:val="2"/>
            <w:shd w:val="clear" w:color="auto" w:fill="D7D7D7"/>
          </w:tcPr>
          <w:p>
            <w:pPr>
              <w:pStyle w:val="TableParagraph"/>
              <w:spacing w:before="37"/>
              <w:ind w:left="696"/>
              <w:rPr>
                <w:b/>
                <w:sz w:val="18"/>
              </w:rPr>
            </w:pPr>
            <w:r>
              <w:rPr>
                <w:b/>
                <w:sz w:val="18"/>
              </w:rPr>
              <w:t>I</w:t>
            </w:r>
            <w:r>
              <w:rPr>
                <w:b/>
                <w:spacing w:val="-1"/>
                <w:sz w:val="18"/>
              </w:rPr>
              <w:t> </w:t>
            </w:r>
            <w:r>
              <w:rPr>
                <w:b/>
                <w:spacing w:val="-2"/>
                <w:sz w:val="18"/>
              </w:rPr>
              <w:t>Trimestre</w:t>
            </w:r>
          </w:p>
        </w:tc>
        <w:tc>
          <w:tcPr>
            <w:tcW w:w="2552" w:type="dxa"/>
            <w:gridSpan w:val="2"/>
            <w:shd w:val="clear" w:color="auto" w:fill="D7D7D7"/>
          </w:tcPr>
          <w:p>
            <w:pPr>
              <w:pStyle w:val="TableParagraph"/>
              <w:spacing w:before="37"/>
              <w:ind w:left="794"/>
              <w:rPr>
                <w:b/>
                <w:sz w:val="18"/>
              </w:rPr>
            </w:pPr>
            <w:r>
              <w:rPr>
                <w:b/>
                <w:sz w:val="18"/>
              </w:rPr>
              <w:t>II</w:t>
            </w:r>
            <w:r>
              <w:rPr>
                <w:b/>
                <w:spacing w:val="-3"/>
                <w:sz w:val="18"/>
              </w:rPr>
              <w:t> </w:t>
            </w:r>
            <w:r>
              <w:rPr>
                <w:b/>
                <w:spacing w:val="-2"/>
                <w:sz w:val="18"/>
              </w:rPr>
              <w:t>Trimestre</w:t>
            </w:r>
          </w:p>
        </w:tc>
        <w:tc>
          <w:tcPr>
            <w:tcW w:w="2692" w:type="dxa"/>
            <w:gridSpan w:val="2"/>
            <w:shd w:val="clear" w:color="auto" w:fill="D7D7D7"/>
          </w:tcPr>
          <w:p>
            <w:pPr>
              <w:pStyle w:val="TableParagraph"/>
              <w:spacing w:before="37"/>
              <w:ind w:left="839"/>
              <w:rPr>
                <w:b/>
                <w:sz w:val="18"/>
              </w:rPr>
            </w:pPr>
            <w:r>
              <w:rPr>
                <w:b/>
                <w:sz w:val="18"/>
              </w:rPr>
              <w:t>III</w:t>
            </w:r>
            <w:r>
              <w:rPr>
                <w:b/>
                <w:spacing w:val="-2"/>
                <w:sz w:val="18"/>
              </w:rPr>
              <w:t> Trimestre</w:t>
            </w:r>
          </w:p>
        </w:tc>
        <w:tc>
          <w:tcPr>
            <w:tcW w:w="2653" w:type="dxa"/>
            <w:gridSpan w:val="2"/>
            <w:shd w:val="clear" w:color="auto" w:fill="D7D7D7"/>
          </w:tcPr>
          <w:p>
            <w:pPr>
              <w:pStyle w:val="TableParagraph"/>
              <w:spacing w:before="37"/>
              <w:ind w:left="812"/>
              <w:rPr>
                <w:b/>
                <w:sz w:val="18"/>
              </w:rPr>
            </w:pPr>
            <w:r>
              <w:rPr>
                <w:b/>
                <w:sz w:val="18"/>
              </w:rPr>
              <w:t>IV</w:t>
            </w:r>
            <w:r>
              <w:rPr>
                <w:b/>
                <w:spacing w:val="-2"/>
                <w:sz w:val="18"/>
              </w:rPr>
              <w:t> Trimestre</w:t>
            </w:r>
          </w:p>
        </w:tc>
      </w:tr>
      <w:tr>
        <w:trPr>
          <w:trHeight w:val="484" w:hRule="atLeast"/>
        </w:trPr>
        <w:tc>
          <w:tcPr>
            <w:tcW w:w="2396" w:type="dxa"/>
            <w:vMerge/>
            <w:tcBorders>
              <w:top w:val="nil"/>
            </w:tcBorders>
            <w:shd w:val="clear" w:color="auto" w:fill="D7D7D7"/>
          </w:tcPr>
          <w:p>
            <w:pPr>
              <w:rPr>
                <w:sz w:val="2"/>
                <w:szCs w:val="2"/>
              </w:rPr>
            </w:pPr>
          </w:p>
        </w:tc>
        <w:tc>
          <w:tcPr>
            <w:tcW w:w="1843" w:type="dxa"/>
            <w:vMerge/>
            <w:tcBorders>
              <w:top w:val="nil"/>
            </w:tcBorders>
            <w:shd w:val="clear" w:color="auto" w:fill="D7D7D7"/>
          </w:tcPr>
          <w:p>
            <w:pPr>
              <w:rPr>
                <w:sz w:val="2"/>
                <w:szCs w:val="2"/>
              </w:rPr>
            </w:pPr>
          </w:p>
        </w:tc>
        <w:tc>
          <w:tcPr>
            <w:tcW w:w="1181" w:type="dxa"/>
            <w:shd w:val="clear" w:color="auto" w:fill="D7D7D7"/>
          </w:tcPr>
          <w:p>
            <w:pPr>
              <w:pStyle w:val="TableParagraph"/>
              <w:spacing w:line="244" w:lineRule="auto" w:before="32"/>
              <w:ind w:left="72" w:firstLine="312"/>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jc w:val="center"/>
              <w:rPr>
                <w:b/>
                <w:sz w:val="18"/>
              </w:rPr>
            </w:pPr>
            <w:r>
              <w:rPr>
                <w:b/>
                <w:spacing w:val="-10"/>
                <w:sz w:val="18"/>
              </w:rPr>
              <w:t>¢</w:t>
            </w:r>
          </w:p>
        </w:tc>
        <w:tc>
          <w:tcPr>
            <w:tcW w:w="1420" w:type="dxa"/>
            <w:shd w:val="clear" w:color="auto" w:fill="D7D7D7"/>
          </w:tcPr>
          <w:p>
            <w:pPr>
              <w:pStyle w:val="TableParagraph"/>
              <w:spacing w:line="244" w:lineRule="auto" w:before="32"/>
              <w:ind w:left="188" w:firstLine="317"/>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right="5"/>
              <w:jc w:val="center"/>
              <w:rPr>
                <w:b/>
                <w:sz w:val="18"/>
              </w:rPr>
            </w:pPr>
            <w:r>
              <w:rPr>
                <w:b/>
                <w:spacing w:val="-10"/>
                <w:sz w:val="18"/>
              </w:rPr>
              <w:t>¢</w:t>
            </w:r>
          </w:p>
        </w:tc>
        <w:tc>
          <w:tcPr>
            <w:tcW w:w="1670" w:type="dxa"/>
            <w:shd w:val="clear" w:color="auto" w:fill="D7D7D7"/>
          </w:tcPr>
          <w:p>
            <w:pPr>
              <w:pStyle w:val="TableParagraph"/>
              <w:spacing w:before="138"/>
              <w:ind w:left="90"/>
              <w:rPr>
                <w:b/>
                <w:sz w:val="18"/>
              </w:rPr>
            </w:pPr>
            <w:r>
              <w:rPr>
                <w:b/>
                <w:sz w:val="18"/>
              </w:rPr>
              <w:t>Meta</w:t>
            </w:r>
            <w:r>
              <w:rPr>
                <w:b/>
                <w:spacing w:val="1"/>
                <w:sz w:val="18"/>
              </w:rPr>
              <w:t> </w:t>
            </w:r>
            <w:r>
              <w:rPr>
                <w:b/>
                <w:spacing w:val="-2"/>
                <w:sz w:val="18"/>
              </w:rPr>
              <w:t>programada</w:t>
            </w:r>
          </w:p>
        </w:tc>
        <w:tc>
          <w:tcPr>
            <w:tcW w:w="1022" w:type="dxa"/>
            <w:shd w:val="clear" w:color="auto" w:fill="D7D7D7"/>
          </w:tcPr>
          <w:p>
            <w:pPr>
              <w:pStyle w:val="TableParagraph"/>
              <w:spacing w:before="138"/>
              <w:ind w:left="21"/>
              <w:jc w:val="center"/>
              <w:rPr>
                <w:b/>
                <w:sz w:val="18"/>
              </w:rPr>
            </w:pPr>
            <w:r>
              <w:rPr>
                <w:b/>
                <w:spacing w:val="-10"/>
                <w:sz w:val="18"/>
              </w:rPr>
              <w:t>¢</w:t>
            </w:r>
          </w:p>
        </w:tc>
        <w:tc>
          <w:tcPr>
            <w:tcW w:w="1396" w:type="dxa"/>
            <w:shd w:val="clear" w:color="auto" w:fill="D7D7D7"/>
          </w:tcPr>
          <w:p>
            <w:pPr>
              <w:pStyle w:val="TableParagraph"/>
              <w:spacing w:line="244" w:lineRule="auto" w:before="32"/>
              <w:ind w:left="183" w:firstLine="316"/>
              <w:rPr>
                <w:b/>
                <w:sz w:val="18"/>
              </w:rPr>
            </w:pPr>
            <w:r>
              <w:rPr>
                <w:b/>
                <w:spacing w:val="-4"/>
                <w:sz w:val="18"/>
              </w:rPr>
              <w:t>Meta </w:t>
            </w:r>
            <w:r>
              <w:rPr>
                <w:b/>
                <w:spacing w:val="-2"/>
                <w:sz w:val="18"/>
              </w:rPr>
              <w:t>programada</w:t>
            </w:r>
          </w:p>
        </w:tc>
        <w:tc>
          <w:tcPr>
            <w:tcW w:w="1257" w:type="dxa"/>
            <w:shd w:val="clear" w:color="auto" w:fill="D7D7D7"/>
          </w:tcPr>
          <w:p>
            <w:pPr>
              <w:pStyle w:val="TableParagraph"/>
              <w:spacing w:before="138"/>
              <w:ind w:left="86" w:right="56"/>
              <w:jc w:val="center"/>
              <w:rPr>
                <w:b/>
                <w:sz w:val="18"/>
              </w:rPr>
            </w:pPr>
            <w:r>
              <w:rPr>
                <w:b/>
                <w:spacing w:val="-10"/>
                <w:sz w:val="18"/>
              </w:rPr>
              <w:t>¢</w:t>
            </w:r>
          </w:p>
        </w:tc>
      </w:tr>
      <w:tr>
        <w:trPr>
          <w:trHeight w:val="1680" w:hRule="atLeast"/>
        </w:trPr>
        <w:tc>
          <w:tcPr>
            <w:tcW w:w="2396" w:type="dxa"/>
          </w:tcPr>
          <w:p>
            <w:pPr>
              <w:pStyle w:val="TableParagraph"/>
              <w:rPr>
                <w:b/>
                <w:sz w:val="18"/>
              </w:rPr>
            </w:pPr>
          </w:p>
          <w:p>
            <w:pPr>
              <w:pStyle w:val="TableParagraph"/>
              <w:spacing w:before="22"/>
              <w:rPr>
                <w:b/>
                <w:sz w:val="18"/>
              </w:rPr>
            </w:pPr>
          </w:p>
          <w:p>
            <w:pPr>
              <w:pStyle w:val="TableParagraph"/>
              <w:ind w:left="72"/>
              <w:rPr>
                <w:sz w:val="18"/>
              </w:rPr>
            </w:pPr>
            <w:r>
              <w:rPr>
                <w:b/>
                <w:sz w:val="18"/>
              </w:rPr>
              <w:t>Actividad PAC 2.33.3: </w:t>
            </w:r>
            <w:r>
              <w:rPr>
                <w:sz w:val="18"/>
              </w:rPr>
              <w:t>Verificar que los recursos solicitados</w:t>
            </w:r>
            <w:r>
              <w:rPr>
                <w:spacing w:val="-15"/>
                <w:sz w:val="18"/>
              </w:rPr>
              <w:t> </w:t>
            </w:r>
            <w:r>
              <w:rPr>
                <w:sz w:val="18"/>
              </w:rPr>
              <w:t>sean</w:t>
            </w:r>
            <w:r>
              <w:rPr>
                <w:spacing w:val="-12"/>
                <w:sz w:val="18"/>
              </w:rPr>
              <w:t> </w:t>
            </w:r>
            <w:r>
              <w:rPr>
                <w:sz w:val="18"/>
              </w:rPr>
              <w:t>suficientes de acuerdo con las proyecciones de ingresos</w:t>
            </w:r>
          </w:p>
          <w:p>
            <w:pPr>
              <w:pStyle w:val="TableParagraph"/>
              <w:spacing w:line="187" w:lineRule="exact" w:before="2"/>
              <w:ind w:left="72"/>
              <w:rPr>
                <w:sz w:val="18"/>
              </w:rPr>
            </w:pPr>
            <w:r>
              <w:rPr>
                <w:spacing w:val="-2"/>
                <w:sz w:val="18"/>
              </w:rPr>
              <w:t>institucionales.</w:t>
            </w:r>
          </w:p>
        </w:tc>
        <w:tc>
          <w:tcPr>
            <w:tcW w:w="1843" w:type="dxa"/>
          </w:tcPr>
          <w:p>
            <w:pPr>
              <w:pStyle w:val="TableParagraph"/>
              <w:spacing w:before="8"/>
              <w:rPr>
                <w:b/>
                <w:sz w:val="18"/>
              </w:rPr>
            </w:pPr>
          </w:p>
          <w:p>
            <w:pPr>
              <w:pStyle w:val="TableParagraph"/>
              <w:ind w:left="71" w:right="111"/>
              <w:rPr>
                <w:sz w:val="18"/>
              </w:rPr>
            </w:pPr>
            <w:r>
              <w:rPr>
                <w:sz w:val="18"/>
              </w:rPr>
              <w:t>Porcentaje de recursos</w:t>
            </w:r>
            <w:r>
              <w:rPr>
                <w:spacing w:val="-13"/>
                <w:sz w:val="18"/>
              </w:rPr>
              <w:t> </w:t>
            </w:r>
            <w:r>
              <w:rPr>
                <w:sz w:val="18"/>
              </w:rPr>
              <w:t>solicitados cumpliendo con las proyecciones de </w:t>
            </w:r>
            <w:r>
              <w:rPr>
                <w:spacing w:val="-2"/>
                <w:sz w:val="18"/>
              </w:rPr>
              <w:t>ingreso institucionales.</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rFonts w:ascii="Times New Roman"/>
                <w:sz w:val="18"/>
              </w:rPr>
            </w:pP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rPr>
                <w:b/>
                <w:sz w:val="18"/>
              </w:rPr>
            </w:pPr>
          </w:p>
          <w:p>
            <w:pPr>
              <w:pStyle w:val="TableParagraph"/>
              <w:spacing w:before="113"/>
              <w:rPr>
                <w:b/>
                <w:sz w:val="18"/>
              </w:rPr>
            </w:pPr>
          </w:p>
          <w:p>
            <w:pPr>
              <w:pStyle w:val="TableParagraph"/>
              <w:ind w:left="76"/>
              <w:rPr>
                <w:sz w:val="18"/>
              </w:rPr>
            </w:pPr>
            <w:r>
              <w:rPr>
                <w:spacing w:val="-4"/>
                <w:sz w:val="18"/>
              </w:rPr>
              <w:t>100%</w:t>
            </w:r>
          </w:p>
        </w:tc>
        <w:tc>
          <w:tcPr>
            <w:tcW w:w="1022" w:type="dxa"/>
          </w:tcPr>
          <w:p>
            <w:pPr>
              <w:pStyle w:val="TableParagraph"/>
              <w:rPr>
                <w:rFonts w:ascii="Times New Roman"/>
                <w:sz w:val="18"/>
              </w:rPr>
            </w:pPr>
          </w:p>
        </w:tc>
        <w:tc>
          <w:tcPr>
            <w:tcW w:w="1396" w:type="dxa"/>
          </w:tcPr>
          <w:p>
            <w:pPr>
              <w:pStyle w:val="TableParagraph"/>
              <w:rPr>
                <w:rFonts w:ascii="Times New Roman"/>
                <w:sz w:val="18"/>
              </w:rPr>
            </w:pPr>
          </w:p>
        </w:tc>
        <w:tc>
          <w:tcPr>
            <w:tcW w:w="1257" w:type="dxa"/>
          </w:tcPr>
          <w:p>
            <w:pPr>
              <w:pStyle w:val="TableParagraph"/>
              <w:rPr>
                <w:rFonts w:ascii="Times New Roman"/>
                <w:sz w:val="18"/>
              </w:rPr>
            </w:pPr>
          </w:p>
        </w:tc>
      </w:tr>
      <w:tr>
        <w:trPr>
          <w:trHeight w:val="412" w:hRule="atLeast"/>
        </w:trPr>
        <w:tc>
          <w:tcPr>
            <w:tcW w:w="14449" w:type="dxa"/>
            <w:gridSpan w:val="10"/>
            <w:tcBorders>
              <w:right w:val="nil"/>
            </w:tcBorders>
            <w:shd w:val="clear" w:color="auto" w:fill="EFF8F9"/>
          </w:tcPr>
          <w:p>
            <w:pPr>
              <w:pStyle w:val="TableParagraph"/>
              <w:spacing w:line="206" w:lineRule="exact"/>
              <w:ind w:left="72" w:right="38"/>
              <w:rPr>
                <w:b/>
                <w:sz w:val="18"/>
              </w:rPr>
            </w:pPr>
            <w:r>
              <w:rPr>
                <w:b/>
                <w:sz w:val="18"/>
              </w:rPr>
              <w:t>Producto</w:t>
            </w:r>
            <w:r>
              <w:rPr>
                <w:b/>
                <w:spacing w:val="-3"/>
                <w:sz w:val="18"/>
              </w:rPr>
              <w:t> </w:t>
            </w:r>
            <w:r>
              <w:rPr>
                <w:b/>
                <w:sz w:val="18"/>
              </w:rPr>
              <w:t>PAC</w:t>
            </w:r>
            <w:r>
              <w:rPr>
                <w:b/>
                <w:spacing w:val="-5"/>
                <w:sz w:val="18"/>
              </w:rPr>
              <w:t> </w:t>
            </w:r>
            <w:r>
              <w:rPr>
                <w:b/>
                <w:sz w:val="18"/>
              </w:rPr>
              <w:t>2:34: Personas</w:t>
            </w:r>
            <w:r>
              <w:rPr>
                <w:b/>
                <w:spacing w:val="-2"/>
                <w:sz w:val="18"/>
              </w:rPr>
              <w:t> </w:t>
            </w:r>
            <w:r>
              <w:rPr>
                <w:b/>
                <w:sz w:val="18"/>
              </w:rPr>
              <w:t>funcionarias</w:t>
            </w:r>
            <w:r>
              <w:rPr>
                <w:b/>
                <w:spacing w:val="-8"/>
                <w:sz w:val="18"/>
              </w:rPr>
              <w:t> </w:t>
            </w:r>
            <w:r>
              <w:rPr>
                <w:b/>
                <w:sz w:val="18"/>
              </w:rPr>
              <w:t>identificadas</w:t>
            </w:r>
            <w:r>
              <w:rPr>
                <w:b/>
                <w:spacing w:val="-2"/>
                <w:sz w:val="18"/>
              </w:rPr>
              <w:t> </w:t>
            </w:r>
            <w:r>
              <w:rPr>
                <w:b/>
                <w:sz w:val="18"/>
              </w:rPr>
              <w:t>y capacitadas</w:t>
            </w:r>
            <w:r>
              <w:rPr>
                <w:b/>
                <w:spacing w:val="-2"/>
                <w:sz w:val="18"/>
              </w:rPr>
              <w:t> </w:t>
            </w:r>
            <w:r>
              <w:rPr>
                <w:b/>
                <w:sz w:val="18"/>
              </w:rPr>
              <w:t>en</w:t>
            </w:r>
            <w:r>
              <w:rPr>
                <w:b/>
                <w:spacing w:val="-3"/>
                <w:sz w:val="18"/>
              </w:rPr>
              <w:t> </w:t>
            </w:r>
            <w:r>
              <w:rPr>
                <w:b/>
                <w:sz w:val="18"/>
              </w:rPr>
              <w:t>la</w:t>
            </w:r>
            <w:r>
              <w:rPr>
                <w:b/>
                <w:spacing w:val="-2"/>
                <w:sz w:val="18"/>
              </w:rPr>
              <w:t> </w:t>
            </w:r>
            <w:r>
              <w:rPr>
                <w:b/>
                <w:sz w:val="18"/>
              </w:rPr>
              <w:t>aplicación</w:t>
            </w:r>
            <w:r>
              <w:rPr>
                <w:b/>
                <w:spacing w:val="-3"/>
                <w:sz w:val="18"/>
              </w:rPr>
              <w:t> </w:t>
            </w:r>
            <w:r>
              <w:rPr>
                <w:b/>
                <w:sz w:val="18"/>
              </w:rPr>
              <w:t>de</w:t>
            </w:r>
            <w:r>
              <w:rPr>
                <w:b/>
                <w:spacing w:val="-2"/>
                <w:sz w:val="18"/>
              </w:rPr>
              <w:t> </w:t>
            </w:r>
            <w:r>
              <w:rPr>
                <w:b/>
                <w:sz w:val="18"/>
              </w:rPr>
              <w:t>la</w:t>
            </w:r>
            <w:r>
              <w:rPr>
                <w:b/>
                <w:spacing w:val="-2"/>
                <w:sz w:val="18"/>
              </w:rPr>
              <w:t> </w:t>
            </w:r>
            <w:r>
              <w:rPr>
                <w:b/>
                <w:sz w:val="18"/>
              </w:rPr>
              <w:t>metodología</w:t>
            </w:r>
            <w:r>
              <w:rPr>
                <w:b/>
                <w:spacing w:val="-2"/>
                <w:sz w:val="18"/>
              </w:rPr>
              <w:t> </w:t>
            </w:r>
            <w:r>
              <w:rPr>
                <w:b/>
                <w:sz w:val="18"/>
              </w:rPr>
              <w:t>para una eficiente asignación</w:t>
            </w:r>
            <w:r>
              <w:rPr>
                <w:b/>
                <w:spacing w:val="-3"/>
                <w:sz w:val="18"/>
              </w:rPr>
              <w:t> </w:t>
            </w:r>
            <w:r>
              <w:rPr>
                <w:b/>
                <w:sz w:val="18"/>
              </w:rPr>
              <w:t>presupuestaria</w:t>
            </w:r>
            <w:r>
              <w:rPr>
                <w:b/>
                <w:spacing w:val="-2"/>
                <w:sz w:val="18"/>
              </w:rPr>
              <w:t> </w:t>
            </w:r>
            <w:r>
              <w:rPr>
                <w:b/>
                <w:sz w:val="18"/>
              </w:rPr>
              <w:t>regional.</w:t>
            </w:r>
            <w:r>
              <w:rPr>
                <w:b/>
                <w:spacing w:val="40"/>
                <w:sz w:val="18"/>
              </w:rPr>
              <w:t> </w:t>
            </w:r>
            <w:r>
              <w:rPr>
                <w:b/>
                <w:sz w:val="18"/>
              </w:rPr>
              <w:t>E1 AE8 R3</w:t>
            </w:r>
          </w:p>
        </w:tc>
      </w:tr>
      <w:tr>
        <w:trPr>
          <w:trHeight w:val="1680" w:hRule="atLeast"/>
        </w:trPr>
        <w:tc>
          <w:tcPr>
            <w:tcW w:w="2396" w:type="dxa"/>
          </w:tcPr>
          <w:p>
            <w:pPr>
              <w:pStyle w:val="TableParagraph"/>
              <w:spacing w:before="22"/>
              <w:rPr>
                <w:b/>
                <w:sz w:val="18"/>
              </w:rPr>
            </w:pPr>
          </w:p>
          <w:p>
            <w:pPr>
              <w:pStyle w:val="TableParagraph"/>
              <w:ind w:left="72"/>
              <w:rPr>
                <w:sz w:val="18"/>
              </w:rPr>
            </w:pPr>
            <w:r>
              <w:rPr>
                <w:b/>
                <w:sz w:val="18"/>
              </w:rPr>
              <w:t>Actividad PAC 2.34.1: </w:t>
            </w:r>
            <w:r>
              <w:rPr>
                <w:sz w:val="18"/>
              </w:rPr>
              <w:t>Identificar a las personas funcionarias para ser capacitadas</w:t>
            </w:r>
            <w:r>
              <w:rPr>
                <w:spacing w:val="-12"/>
                <w:sz w:val="18"/>
              </w:rPr>
              <w:t> </w:t>
            </w:r>
            <w:r>
              <w:rPr>
                <w:sz w:val="18"/>
              </w:rPr>
              <w:t>en</w:t>
            </w:r>
            <w:r>
              <w:rPr>
                <w:spacing w:val="-9"/>
                <w:sz w:val="18"/>
              </w:rPr>
              <w:t> </w:t>
            </w:r>
            <w:r>
              <w:rPr>
                <w:sz w:val="18"/>
              </w:rPr>
              <w:t>la</w:t>
            </w:r>
            <w:r>
              <w:rPr>
                <w:spacing w:val="-12"/>
                <w:sz w:val="18"/>
              </w:rPr>
              <w:t> </w:t>
            </w:r>
            <w:r>
              <w:rPr>
                <w:sz w:val="18"/>
              </w:rPr>
              <w:t>aplicación de la metodología para una</w:t>
            </w:r>
          </w:p>
          <w:p>
            <w:pPr>
              <w:pStyle w:val="TableParagraph"/>
              <w:spacing w:line="206" w:lineRule="exact"/>
              <w:ind w:left="72"/>
              <w:rPr>
                <w:sz w:val="18"/>
              </w:rPr>
            </w:pPr>
            <w:r>
              <w:rPr>
                <w:sz w:val="18"/>
              </w:rPr>
              <w:t>eficiente asignación presupuestaria</w:t>
            </w:r>
            <w:r>
              <w:rPr>
                <w:spacing w:val="-13"/>
                <w:sz w:val="18"/>
              </w:rPr>
              <w:t> </w:t>
            </w:r>
            <w:r>
              <w:rPr>
                <w:sz w:val="18"/>
              </w:rPr>
              <w:t>regional</w:t>
            </w:r>
          </w:p>
        </w:tc>
        <w:tc>
          <w:tcPr>
            <w:tcW w:w="1843" w:type="dxa"/>
          </w:tcPr>
          <w:p>
            <w:pPr>
              <w:pStyle w:val="TableParagraph"/>
              <w:rPr>
                <w:b/>
                <w:sz w:val="18"/>
              </w:rPr>
            </w:pPr>
          </w:p>
          <w:p>
            <w:pPr>
              <w:pStyle w:val="TableParagraph"/>
              <w:spacing w:before="113"/>
              <w:rPr>
                <w:b/>
                <w:sz w:val="18"/>
              </w:rPr>
            </w:pPr>
          </w:p>
          <w:p>
            <w:pPr>
              <w:pStyle w:val="TableParagraph"/>
              <w:spacing w:line="242" w:lineRule="auto"/>
              <w:ind w:left="71" w:right="49"/>
              <w:rPr>
                <w:sz w:val="18"/>
              </w:rPr>
            </w:pPr>
            <w:r>
              <w:rPr>
                <w:sz w:val="18"/>
              </w:rPr>
              <w:t>Porcentaje</w:t>
            </w:r>
            <w:r>
              <w:rPr>
                <w:spacing w:val="-15"/>
                <w:sz w:val="18"/>
              </w:rPr>
              <w:t> </w:t>
            </w:r>
            <w:r>
              <w:rPr>
                <w:sz w:val="18"/>
              </w:rPr>
              <w:t>para</w:t>
            </w:r>
            <w:r>
              <w:rPr>
                <w:spacing w:val="-12"/>
                <w:sz w:val="18"/>
              </w:rPr>
              <w:t> </w:t>
            </w:r>
            <w:r>
              <w:rPr>
                <w:sz w:val="18"/>
              </w:rPr>
              <w:t>la identificación de </w:t>
            </w:r>
            <w:r>
              <w:rPr>
                <w:spacing w:val="-2"/>
                <w:sz w:val="18"/>
              </w:rPr>
              <w:t>funcionarios</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rPr>
                <w:b/>
                <w:sz w:val="18"/>
              </w:rPr>
            </w:pPr>
          </w:p>
          <w:p>
            <w:pPr>
              <w:pStyle w:val="TableParagraph"/>
              <w:spacing w:before="113"/>
              <w:rPr>
                <w:b/>
                <w:sz w:val="18"/>
              </w:rPr>
            </w:pPr>
          </w:p>
          <w:p>
            <w:pPr>
              <w:pStyle w:val="TableParagraph"/>
              <w:ind w:left="18"/>
              <w:jc w:val="center"/>
              <w:rPr>
                <w:sz w:val="18"/>
              </w:rPr>
            </w:pPr>
            <w:r>
              <w:rPr>
                <w:spacing w:val="-4"/>
                <w:sz w:val="18"/>
              </w:rPr>
              <w:t>100%</w:t>
            </w:r>
          </w:p>
        </w:tc>
        <w:tc>
          <w:tcPr>
            <w:tcW w:w="1132" w:type="dxa"/>
          </w:tcPr>
          <w:p>
            <w:pPr>
              <w:pStyle w:val="TableParagraph"/>
              <w:rPr>
                <w:rFonts w:ascii="Times New Roman"/>
                <w:sz w:val="18"/>
              </w:rPr>
            </w:pPr>
          </w:p>
        </w:tc>
        <w:tc>
          <w:tcPr>
            <w:tcW w:w="1670" w:type="dxa"/>
          </w:tcPr>
          <w:p>
            <w:pPr>
              <w:pStyle w:val="TableParagraph"/>
              <w:rPr>
                <w:rFonts w:ascii="Times New Roman"/>
                <w:sz w:val="18"/>
              </w:rPr>
            </w:pPr>
          </w:p>
        </w:tc>
        <w:tc>
          <w:tcPr>
            <w:tcW w:w="1022" w:type="dxa"/>
          </w:tcPr>
          <w:p>
            <w:pPr>
              <w:pStyle w:val="TableParagraph"/>
              <w:rPr>
                <w:rFonts w:ascii="Times New Roman"/>
                <w:sz w:val="18"/>
              </w:rPr>
            </w:pPr>
          </w:p>
        </w:tc>
        <w:tc>
          <w:tcPr>
            <w:tcW w:w="1396" w:type="dxa"/>
          </w:tcPr>
          <w:p>
            <w:pPr>
              <w:pStyle w:val="TableParagraph"/>
              <w:rPr>
                <w:rFonts w:ascii="Times New Roman"/>
                <w:sz w:val="18"/>
              </w:rPr>
            </w:pPr>
          </w:p>
        </w:tc>
        <w:tc>
          <w:tcPr>
            <w:tcW w:w="1257" w:type="dxa"/>
          </w:tcPr>
          <w:p>
            <w:pPr>
              <w:pStyle w:val="TableParagraph"/>
              <w:rPr>
                <w:rFonts w:ascii="Times New Roman"/>
                <w:sz w:val="18"/>
              </w:rPr>
            </w:pPr>
          </w:p>
        </w:tc>
      </w:tr>
      <w:tr>
        <w:trPr>
          <w:trHeight w:val="1449" w:hRule="atLeast"/>
        </w:trPr>
        <w:tc>
          <w:tcPr>
            <w:tcW w:w="2396" w:type="dxa"/>
          </w:tcPr>
          <w:p>
            <w:pPr>
              <w:pStyle w:val="TableParagraph"/>
              <w:spacing w:before="205"/>
              <w:ind w:left="72" w:right="145"/>
              <w:rPr>
                <w:sz w:val="18"/>
              </w:rPr>
            </w:pPr>
            <w:r>
              <w:rPr>
                <w:b/>
                <w:sz w:val="18"/>
              </w:rPr>
              <w:t>Actividad PAC 2.34.2: </w:t>
            </w:r>
            <w:r>
              <w:rPr>
                <w:sz w:val="18"/>
              </w:rPr>
              <w:t>Comunicar</w:t>
            </w:r>
            <w:r>
              <w:rPr>
                <w:spacing w:val="-3"/>
                <w:sz w:val="18"/>
              </w:rPr>
              <w:t> </w:t>
            </w:r>
            <w:r>
              <w:rPr>
                <w:sz w:val="18"/>
              </w:rPr>
              <w:t>a</w:t>
            </w:r>
            <w:r>
              <w:rPr>
                <w:spacing w:val="-9"/>
                <w:sz w:val="18"/>
              </w:rPr>
              <w:t> </w:t>
            </w:r>
            <w:r>
              <w:rPr>
                <w:sz w:val="18"/>
              </w:rPr>
              <w:t>DH</w:t>
            </w:r>
            <w:r>
              <w:rPr>
                <w:spacing w:val="-6"/>
                <w:sz w:val="18"/>
              </w:rPr>
              <w:t> </w:t>
            </w:r>
            <w:r>
              <w:rPr>
                <w:sz w:val="18"/>
              </w:rPr>
              <w:t>la</w:t>
            </w:r>
            <w:r>
              <w:rPr>
                <w:spacing w:val="-9"/>
                <w:sz w:val="18"/>
              </w:rPr>
              <w:t> </w:t>
            </w:r>
            <w:r>
              <w:rPr>
                <w:sz w:val="18"/>
              </w:rPr>
              <w:t>lista</w:t>
            </w:r>
            <w:r>
              <w:rPr>
                <w:spacing w:val="-9"/>
                <w:sz w:val="18"/>
              </w:rPr>
              <w:t> </w:t>
            </w:r>
            <w:r>
              <w:rPr>
                <w:sz w:val="18"/>
              </w:rPr>
              <w:t>de personas</w:t>
            </w:r>
            <w:r>
              <w:rPr>
                <w:spacing w:val="-2"/>
                <w:sz w:val="18"/>
              </w:rPr>
              <w:t> </w:t>
            </w:r>
            <w:r>
              <w:rPr>
                <w:sz w:val="18"/>
              </w:rPr>
              <w:t>funcionarias</w:t>
            </w:r>
            <w:r>
              <w:rPr>
                <w:spacing w:val="-2"/>
                <w:sz w:val="18"/>
              </w:rPr>
              <w:t> </w:t>
            </w:r>
            <w:r>
              <w:rPr>
                <w:sz w:val="18"/>
              </w:rPr>
              <w:t>que deben llevar la </w:t>
            </w:r>
            <w:r>
              <w:rPr>
                <w:spacing w:val="-2"/>
                <w:sz w:val="18"/>
              </w:rPr>
              <w:t>capacitación.</w:t>
            </w:r>
          </w:p>
        </w:tc>
        <w:tc>
          <w:tcPr>
            <w:tcW w:w="1843" w:type="dxa"/>
          </w:tcPr>
          <w:p>
            <w:pPr>
              <w:pStyle w:val="TableParagraph"/>
              <w:spacing w:before="104"/>
              <w:rPr>
                <w:b/>
                <w:sz w:val="18"/>
              </w:rPr>
            </w:pPr>
          </w:p>
          <w:p>
            <w:pPr>
              <w:pStyle w:val="TableParagraph"/>
              <w:ind w:left="71" w:right="49"/>
              <w:rPr>
                <w:sz w:val="18"/>
              </w:rPr>
            </w:pPr>
            <w:r>
              <w:rPr>
                <w:sz w:val="18"/>
              </w:rPr>
              <w:t>Cantidad</w:t>
            </w:r>
            <w:r>
              <w:rPr>
                <w:spacing w:val="-12"/>
                <w:sz w:val="18"/>
              </w:rPr>
              <w:t> </w:t>
            </w:r>
            <w:r>
              <w:rPr>
                <w:sz w:val="18"/>
              </w:rPr>
              <w:t>de</w:t>
            </w:r>
            <w:r>
              <w:rPr>
                <w:spacing w:val="-9"/>
                <w:sz w:val="18"/>
              </w:rPr>
              <w:t> </w:t>
            </w:r>
            <w:r>
              <w:rPr>
                <w:sz w:val="18"/>
              </w:rPr>
              <w:t>listas</w:t>
            </w:r>
            <w:r>
              <w:rPr>
                <w:spacing w:val="-12"/>
                <w:sz w:val="18"/>
              </w:rPr>
              <w:t> </w:t>
            </w:r>
            <w:r>
              <w:rPr>
                <w:sz w:val="18"/>
              </w:rPr>
              <w:t>de personas que deben de llevar la </w:t>
            </w:r>
            <w:r>
              <w:rPr>
                <w:spacing w:val="-2"/>
                <w:sz w:val="18"/>
              </w:rPr>
              <w:t>capacitación</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spacing w:before="204"/>
              <w:rPr>
                <w:b/>
                <w:sz w:val="18"/>
              </w:rPr>
            </w:pPr>
          </w:p>
          <w:p>
            <w:pPr>
              <w:pStyle w:val="TableParagraph"/>
              <w:ind w:left="18" w:right="7"/>
              <w:jc w:val="center"/>
              <w:rPr>
                <w:sz w:val="18"/>
              </w:rPr>
            </w:pPr>
            <w:r>
              <w:rPr>
                <w:spacing w:val="-10"/>
                <w:sz w:val="18"/>
              </w:rPr>
              <w:t>1</w:t>
            </w:r>
          </w:p>
        </w:tc>
        <w:tc>
          <w:tcPr>
            <w:tcW w:w="1132" w:type="dxa"/>
          </w:tcPr>
          <w:p>
            <w:pPr>
              <w:pStyle w:val="TableParagraph"/>
              <w:rPr>
                <w:rFonts w:ascii="Times New Roman"/>
                <w:sz w:val="18"/>
              </w:rPr>
            </w:pPr>
          </w:p>
        </w:tc>
        <w:tc>
          <w:tcPr>
            <w:tcW w:w="1670" w:type="dxa"/>
          </w:tcPr>
          <w:p>
            <w:pPr>
              <w:pStyle w:val="TableParagraph"/>
              <w:rPr>
                <w:rFonts w:ascii="Times New Roman"/>
                <w:sz w:val="18"/>
              </w:rPr>
            </w:pPr>
          </w:p>
        </w:tc>
        <w:tc>
          <w:tcPr>
            <w:tcW w:w="1022" w:type="dxa"/>
          </w:tcPr>
          <w:p>
            <w:pPr>
              <w:pStyle w:val="TableParagraph"/>
              <w:rPr>
                <w:rFonts w:ascii="Times New Roman"/>
                <w:sz w:val="18"/>
              </w:rPr>
            </w:pPr>
          </w:p>
        </w:tc>
        <w:tc>
          <w:tcPr>
            <w:tcW w:w="1396" w:type="dxa"/>
          </w:tcPr>
          <w:p>
            <w:pPr>
              <w:pStyle w:val="TableParagraph"/>
              <w:rPr>
                <w:rFonts w:ascii="Times New Roman"/>
                <w:sz w:val="18"/>
              </w:rPr>
            </w:pPr>
          </w:p>
        </w:tc>
        <w:tc>
          <w:tcPr>
            <w:tcW w:w="1257" w:type="dxa"/>
          </w:tcPr>
          <w:p>
            <w:pPr>
              <w:pStyle w:val="TableParagraph"/>
              <w:rPr>
                <w:rFonts w:ascii="Times New Roman"/>
                <w:sz w:val="18"/>
              </w:rPr>
            </w:pPr>
          </w:p>
        </w:tc>
      </w:tr>
      <w:tr>
        <w:trPr>
          <w:trHeight w:val="1037" w:hRule="atLeast"/>
        </w:trPr>
        <w:tc>
          <w:tcPr>
            <w:tcW w:w="2396" w:type="dxa"/>
          </w:tcPr>
          <w:p>
            <w:pPr>
              <w:pStyle w:val="TableParagraph"/>
              <w:ind w:left="72" w:right="82"/>
              <w:rPr>
                <w:sz w:val="18"/>
              </w:rPr>
            </w:pPr>
            <w:r>
              <w:rPr>
                <w:b/>
                <w:sz w:val="18"/>
              </w:rPr>
              <w:t>Actividad PAC 2.34.3: </w:t>
            </w:r>
            <w:r>
              <w:rPr>
                <w:sz w:val="18"/>
              </w:rPr>
              <w:t>Verificar</w:t>
            </w:r>
            <w:r>
              <w:rPr>
                <w:spacing w:val="-11"/>
                <w:sz w:val="18"/>
              </w:rPr>
              <w:t> </w:t>
            </w:r>
            <w:r>
              <w:rPr>
                <w:sz w:val="18"/>
              </w:rPr>
              <w:t>que</w:t>
            </w:r>
            <w:r>
              <w:rPr>
                <w:spacing w:val="-10"/>
                <w:sz w:val="18"/>
              </w:rPr>
              <w:t> </w:t>
            </w:r>
            <w:r>
              <w:rPr>
                <w:sz w:val="18"/>
              </w:rPr>
              <w:t>hayan</w:t>
            </w:r>
            <w:r>
              <w:rPr>
                <w:spacing w:val="-13"/>
                <w:sz w:val="18"/>
              </w:rPr>
              <w:t> </w:t>
            </w:r>
            <w:r>
              <w:rPr>
                <w:sz w:val="18"/>
              </w:rPr>
              <w:t>recibido la capacitación las</w:t>
            </w:r>
            <w:r>
              <w:rPr>
                <w:spacing w:val="40"/>
                <w:sz w:val="18"/>
              </w:rPr>
              <w:t> </w:t>
            </w:r>
            <w:r>
              <w:rPr>
                <w:sz w:val="18"/>
              </w:rPr>
              <w:t>personas convocadas.</w:t>
            </w:r>
          </w:p>
        </w:tc>
        <w:tc>
          <w:tcPr>
            <w:tcW w:w="1843" w:type="dxa"/>
          </w:tcPr>
          <w:p>
            <w:pPr>
              <w:pStyle w:val="TableParagraph"/>
              <w:ind w:left="71" w:right="111"/>
              <w:rPr>
                <w:sz w:val="18"/>
              </w:rPr>
            </w:pPr>
            <w:r>
              <w:rPr>
                <w:sz w:val="18"/>
              </w:rPr>
              <w:t>Porcentaje de </w:t>
            </w:r>
            <w:r>
              <w:rPr>
                <w:spacing w:val="-2"/>
                <w:sz w:val="18"/>
              </w:rPr>
              <w:t>personas </w:t>
            </w:r>
            <w:r>
              <w:rPr>
                <w:sz w:val="18"/>
              </w:rPr>
              <w:t>funcionarias</w:t>
            </w:r>
            <w:r>
              <w:rPr>
                <w:spacing w:val="-13"/>
                <w:sz w:val="18"/>
              </w:rPr>
              <w:t> </w:t>
            </w:r>
            <w:r>
              <w:rPr>
                <w:sz w:val="18"/>
              </w:rPr>
              <w:t>que intervienen</w:t>
            </w:r>
            <w:r>
              <w:rPr>
                <w:spacing w:val="-2"/>
                <w:sz w:val="18"/>
              </w:rPr>
              <w:t> </w:t>
            </w:r>
            <w:r>
              <w:rPr>
                <w:sz w:val="18"/>
              </w:rPr>
              <w:t>en</w:t>
            </w:r>
            <w:r>
              <w:rPr>
                <w:spacing w:val="-6"/>
                <w:sz w:val="18"/>
              </w:rPr>
              <w:t> </w:t>
            </w:r>
            <w:r>
              <w:rPr>
                <w:spacing w:val="-5"/>
                <w:sz w:val="18"/>
              </w:rPr>
              <w:t>el</w:t>
            </w:r>
          </w:p>
          <w:p>
            <w:pPr>
              <w:pStyle w:val="TableParagraph"/>
              <w:spacing w:line="187" w:lineRule="exact" w:before="2"/>
              <w:ind w:left="71"/>
              <w:rPr>
                <w:sz w:val="18"/>
              </w:rPr>
            </w:pPr>
            <w:r>
              <w:rPr>
                <w:sz w:val="18"/>
              </w:rPr>
              <w:t>proceso</w:t>
            </w:r>
            <w:r>
              <w:rPr>
                <w:spacing w:val="-1"/>
                <w:sz w:val="18"/>
              </w:rPr>
              <w:t> </w:t>
            </w:r>
            <w:r>
              <w:rPr>
                <w:spacing w:val="-2"/>
                <w:sz w:val="18"/>
              </w:rPr>
              <w:t>capacitadas.</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rFonts w:ascii="Times New Roman"/>
                <w:sz w:val="18"/>
              </w:rPr>
            </w:pPr>
          </w:p>
        </w:tc>
        <w:tc>
          <w:tcPr>
            <w:tcW w:w="1132" w:type="dxa"/>
          </w:tcPr>
          <w:p>
            <w:pPr>
              <w:pStyle w:val="TableParagraph"/>
              <w:rPr>
                <w:rFonts w:ascii="Times New Roman"/>
                <w:sz w:val="18"/>
              </w:rPr>
            </w:pPr>
          </w:p>
        </w:tc>
        <w:tc>
          <w:tcPr>
            <w:tcW w:w="1670" w:type="dxa"/>
          </w:tcPr>
          <w:p>
            <w:pPr>
              <w:pStyle w:val="TableParagraph"/>
              <w:spacing w:before="204"/>
              <w:rPr>
                <w:b/>
                <w:sz w:val="18"/>
              </w:rPr>
            </w:pPr>
          </w:p>
          <w:p>
            <w:pPr>
              <w:pStyle w:val="TableParagraph"/>
              <w:ind w:left="28" w:right="7"/>
              <w:jc w:val="center"/>
              <w:rPr>
                <w:sz w:val="18"/>
              </w:rPr>
            </w:pPr>
            <w:r>
              <w:rPr>
                <w:spacing w:val="-4"/>
                <w:sz w:val="18"/>
              </w:rPr>
              <w:t>100%</w:t>
            </w:r>
          </w:p>
        </w:tc>
        <w:tc>
          <w:tcPr>
            <w:tcW w:w="1022" w:type="dxa"/>
          </w:tcPr>
          <w:p>
            <w:pPr>
              <w:pStyle w:val="TableParagraph"/>
              <w:rPr>
                <w:rFonts w:ascii="Times New Roman"/>
                <w:sz w:val="18"/>
              </w:rPr>
            </w:pPr>
          </w:p>
        </w:tc>
        <w:tc>
          <w:tcPr>
            <w:tcW w:w="1396" w:type="dxa"/>
          </w:tcPr>
          <w:p>
            <w:pPr>
              <w:pStyle w:val="TableParagraph"/>
              <w:rPr>
                <w:rFonts w:ascii="Times New Roman"/>
                <w:sz w:val="18"/>
              </w:rPr>
            </w:pPr>
          </w:p>
        </w:tc>
        <w:tc>
          <w:tcPr>
            <w:tcW w:w="1257" w:type="dxa"/>
          </w:tcPr>
          <w:p>
            <w:pPr>
              <w:pStyle w:val="TableParagraph"/>
              <w:rPr>
                <w:rFonts w:ascii="Times New Roman"/>
                <w:sz w:val="18"/>
              </w:rPr>
            </w:pPr>
          </w:p>
        </w:tc>
      </w:tr>
      <w:tr>
        <w:trPr>
          <w:trHeight w:val="282" w:hRule="atLeast"/>
        </w:trPr>
        <w:tc>
          <w:tcPr>
            <w:tcW w:w="14449" w:type="dxa"/>
            <w:gridSpan w:val="10"/>
            <w:tcBorders>
              <w:right w:val="nil"/>
            </w:tcBorders>
            <w:shd w:val="clear" w:color="auto" w:fill="EFF8F9"/>
          </w:tcPr>
          <w:p>
            <w:pPr>
              <w:pStyle w:val="TableParagraph"/>
              <w:spacing w:before="37"/>
              <w:ind w:left="72"/>
              <w:rPr>
                <w:b/>
                <w:sz w:val="18"/>
              </w:rPr>
            </w:pPr>
            <w:r>
              <w:rPr>
                <w:b/>
                <w:sz w:val="18"/>
              </w:rPr>
              <w:t>Producto</w:t>
            </w:r>
            <w:r>
              <w:rPr>
                <w:b/>
                <w:spacing w:val="-7"/>
                <w:sz w:val="18"/>
              </w:rPr>
              <w:t> </w:t>
            </w:r>
            <w:r>
              <w:rPr>
                <w:b/>
                <w:sz w:val="18"/>
              </w:rPr>
              <w:t>PAC</w:t>
            </w:r>
            <w:r>
              <w:rPr>
                <w:b/>
                <w:spacing w:val="-8"/>
                <w:sz w:val="18"/>
              </w:rPr>
              <w:t> </w:t>
            </w:r>
            <w:r>
              <w:rPr>
                <w:b/>
                <w:sz w:val="18"/>
              </w:rPr>
              <w:t>2:35:</w:t>
            </w:r>
            <w:r>
              <w:rPr>
                <w:b/>
                <w:spacing w:val="-4"/>
                <w:sz w:val="18"/>
              </w:rPr>
              <w:t> </w:t>
            </w:r>
            <w:r>
              <w:rPr>
                <w:b/>
                <w:sz w:val="18"/>
              </w:rPr>
              <w:t>Plan</w:t>
            </w:r>
            <w:r>
              <w:rPr>
                <w:b/>
                <w:spacing w:val="-6"/>
                <w:sz w:val="18"/>
              </w:rPr>
              <w:t> </w:t>
            </w:r>
            <w:r>
              <w:rPr>
                <w:b/>
                <w:sz w:val="18"/>
              </w:rPr>
              <w:t>de</w:t>
            </w:r>
            <w:r>
              <w:rPr>
                <w:b/>
                <w:spacing w:val="-6"/>
                <w:sz w:val="18"/>
              </w:rPr>
              <w:t> </w:t>
            </w:r>
            <w:r>
              <w:rPr>
                <w:b/>
                <w:sz w:val="18"/>
              </w:rPr>
              <w:t>implementación</w:t>
            </w:r>
            <w:r>
              <w:rPr>
                <w:b/>
                <w:spacing w:val="-7"/>
                <w:sz w:val="18"/>
              </w:rPr>
              <w:t> </w:t>
            </w:r>
            <w:r>
              <w:rPr>
                <w:b/>
                <w:sz w:val="18"/>
              </w:rPr>
              <w:t>de</w:t>
            </w:r>
            <w:r>
              <w:rPr>
                <w:b/>
                <w:spacing w:val="-5"/>
                <w:sz w:val="18"/>
              </w:rPr>
              <w:t> </w:t>
            </w:r>
            <w:r>
              <w:rPr>
                <w:b/>
                <w:sz w:val="18"/>
              </w:rPr>
              <w:t>las</w:t>
            </w:r>
            <w:r>
              <w:rPr>
                <w:b/>
                <w:spacing w:val="-2"/>
                <w:sz w:val="18"/>
              </w:rPr>
              <w:t> </w:t>
            </w:r>
            <w:r>
              <w:rPr>
                <w:b/>
                <w:sz w:val="18"/>
              </w:rPr>
              <w:t>NICSP</w:t>
            </w:r>
            <w:r>
              <w:rPr>
                <w:b/>
                <w:spacing w:val="-3"/>
                <w:sz w:val="18"/>
              </w:rPr>
              <w:t> </w:t>
            </w:r>
            <w:r>
              <w:rPr>
                <w:b/>
                <w:sz w:val="18"/>
              </w:rPr>
              <w:t>elaborado</w:t>
            </w:r>
            <w:r>
              <w:rPr>
                <w:b/>
                <w:spacing w:val="-7"/>
                <w:sz w:val="18"/>
              </w:rPr>
              <w:t> </w:t>
            </w:r>
            <w:r>
              <w:rPr>
                <w:b/>
                <w:sz w:val="18"/>
              </w:rPr>
              <w:t>y</w:t>
            </w:r>
            <w:r>
              <w:rPr>
                <w:b/>
                <w:spacing w:val="-6"/>
                <w:sz w:val="18"/>
              </w:rPr>
              <w:t> </w:t>
            </w:r>
            <w:r>
              <w:rPr>
                <w:b/>
                <w:sz w:val="18"/>
              </w:rPr>
              <w:t>ejecutándose.</w:t>
            </w:r>
            <w:r>
              <w:rPr>
                <w:b/>
                <w:spacing w:val="46"/>
                <w:sz w:val="18"/>
              </w:rPr>
              <w:t> </w:t>
            </w:r>
            <w:r>
              <w:rPr>
                <w:b/>
                <w:sz w:val="18"/>
              </w:rPr>
              <w:t>(E1</w:t>
            </w:r>
            <w:r>
              <w:rPr>
                <w:b/>
                <w:spacing w:val="-5"/>
                <w:sz w:val="18"/>
              </w:rPr>
              <w:t> </w:t>
            </w:r>
            <w:r>
              <w:rPr>
                <w:b/>
                <w:sz w:val="18"/>
              </w:rPr>
              <w:t>AE9</w:t>
            </w:r>
            <w:r>
              <w:rPr>
                <w:b/>
                <w:spacing w:val="-6"/>
                <w:sz w:val="18"/>
              </w:rPr>
              <w:t> </w:t>
            </w:r>
            <w:r>
              <w:rPr>
                <w:b/>
                <w:spacing w:val="-5"/>
                <w:sz w:val="18"/>
              </w:rPr>
              <w:t>R1)</w:t>
            </w:r>
          </w:p>
        </w:tc>
      </w:tr>
      <w:tr>
        <w:trPr>
          <w:trHeight w:val="1036" w:hRule="atLeast"/>
        </w:trPr>
        <w:tc>
          <w:tcPr>
            <w:tcW w:w="2396" w:type="dxa"/>
          </w:tcPr>
          <w:p>
            <w:pPr>
              <w:pStyle w:val="TableParagraph"/>
              <w:ind w:left="72" w:right="106"/>
              <w:rPr>
                <w:sz w:val="18"/>
              </w:rPr>
            </w:pPr>
            <w:r>
              <w:rPr>
                <w:b/>
                <w:sz w:val="18"/>
              </w:rPr>
              <w:t>Actividad PAC 2.35.1: </w:t>
            </w:r>
            <w:r>
              <w:rPr>
                <w:sz w:val="18"/>
              </w:rPr>
              <w:t>Emitir criterio técnico del Plan de Acción para la implementación</w:t>
            </w:r>
            <w:r>
              <w:rPr>
                <w:spacing w:val="-15"/>
                <w:sz w:val="18"/>
              </w:rPr>
              <w:t> </w:t>
            </w:r>
            <w:r>
              <w:rPr>
                <w:sz w:val="18"/>
              </w:rPr>
              <w:t>de</w:t>
            </w:r>
            <w:r>
              <w:rPr>
                <w:spacing w:val="-12"/>
                <w:sz w:val="18"/>
              </w:rPr>
              <w:t> </w:t>
            </w:r>
            <w:r>
              <w:rPr>
                <w:sz w:val="18"/>
              </w:rPr>
              <w:t>NICSP</w:t>
            </w:r>
          </w:p>
        </w:tc>
        <w:tc>
          <w:tcPr>
            <w:tcW w:w="1843" w:type="dxa"/>
          </w:tcPr>
          <w:p>
            <w:pPr>
              <w:pStyle w:val="TableParagraph"/>
              <w:spacing w:line="242" w:lineRule="auto" w:before="205"/>
              <w:ind w:left="71" w:right="102"/>
              <w:jc w:val="both"/>
              <w:rPr>
                <w:sz w:val="18"/>
              </w:rPr>
            </w:pPr>
            <w:r>
              <w:rPr>
                <w:sz w:val="18"/>
              </w:rPr>
              <w:t>Cantidad</w:t>
            </w:r>
            <w:r>
              <w:rPr>
                <w:spacing w:val="-15"/>
                <w:sz w:val="18"/>
              </w:rPr>
              <w:t> </w:t>
            </w:r>
            <w:r>
              <w:rPr>
                <w:sz w:val="18"/>
              </w:rPr>
              <w:t>de</w:t>
            </w:r>
            <w:r>
              <w:rPr>
                <w:spacing w:val="-12"/>
                <w:sz w:val="18"/>
              </w:rPr>
              <w:t> </w:t>
            </w:r>
            <w:r>
              <w:rPr>
                <w:sz w:val="18"/>
              </w:rPr>
              <w:t>criterios técnicos</w:t>
            </w:r>
            <w:r>
              <w:rPr>
                <w:spacing w:val="-12"/>
                <w:sz w:val="18"/>
              </w:rPr>
              <w:t> </w:t>
            </w:r>
            <w:r>
              <w:rPr>
                <w:sz w:val="18"/>
              </w:rPr>
              <w:t>para</w:t>
            </w:r>
            <w:r>
              <w:rPr>
                <w:spacing w:val="-12"/>
                <w:sz w:val="18"/>
              </w:rPr>
              <w:t> </w:t>
            </w:r>
            <w:r>
              <w:rPr>
                <w:sz w:val="18"/>
              </w:rPr>
              <w:t>el</w:t>
            </w:r>
            <w:r>
              <w:rPr>
                <w:spacing w:val="-9"/>
                <w:sz w:val="18"/>
              </w:rPr>
              <w:t> </w:t>
            </w:r>
            <w:r>
              <w:rPr>
                <w:sz w:val="18"/>
              </w:rPr>
              <w:t>plan de acción aprobado</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spacing w:before="204"/>
              <w:rPr>
                <w:b/>
                <w:sz w:val="18"/>
              </w:rPr>
            </w:pPr>
          </w:p>
          <w:p>
            <w:pPr>
              <w:pStyle w:val="TableParagraph"/>
              <w:ind w:left="18" w:right="7"/>
              <w:jc w:val="center"/>
              <w:rPr>
                <w:sz w:val="18"/>
              </w:rPr>
            </w:pPr>
            <w:r>
              <w:rPr>
                <w:spacing w:val="-10"/>
                <w:sz w:val="18"/>
              </w:rPr>
              <w:t>1</w:t>
            </w:r>
          </w:p>
        </w:tc>
        <w:tc>
          <w:tcPr>
            <w:tcW w:w="1132" w:type="dxa"/>
          </w:tcPr>
          <w:p>
            <w:pPr>
              <w:pStyle w:val="TableParagraph"/>
              <w:rPr>
                <w:rFonts w:ascii="Times New Roman"/>
                <w:sz w:val="18"/>
              </w:rPr>
            </w:pPr>
          </w:p>
        </w:tc>
        <w:tc>
          <w:tcPr>
            <w:tcW w:w="1670" w:type="dxa"/>
          </w:tcPr>
          <w:p>
            <w:pPr>
              <w:pStyle w:val="TableParagraph"/>
              <w:rPr>
                <w:rFonts w:ascii="Times New Roman"/>
                <w:sz w:val="18"/>
              </w:rPr>
            </w:pPr>
          </w:p>
        </w:tc>
        <w:tc>
          <w:tcPr>
            <w:tcW w:w="1022" w:type="dxa"/>
          </w:tcPr>
          <w:p>
            <w:pPr>
              <w:pStyle w:val="TableParagraph"/>
              <w:rPr>
                <w:rFonts w:ascii="Times New Roman"/>
                <w:sz w:val="18"/>
              </w:rPr>
            </w:pPr>
          </w:p>
        </w:tc>
        <w:tc>
          <w:tcPr>
            <w:tcW w:w="1396" w:type="dxa"/>
          </w:tcPr>
          <w:p>
            <w:pPr>
              <w:pStyle w:val="TableParagraph"/>
              <w:rPr>
                <w:rFonts w:ascii="Times New Roman"/>
                <w:sz w:val="18"/>
              </w:rPr>
            </w:pPr>
          </w:p>
        </w:tc>
        <w:tc>
          <w:tcPr>
            <w:tcW w:w="1257"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700" w:bottom="2956"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96"/>
        <w:gridCol w:w="1843"/>
        <w:gridCol w:w="1181"/>
        <w:gridCol w:w="1132"/>
        <w:gridCol w:w="1420"/>
        <w:gridCol w:w="1132"/>
        <w:gridCol w:w="1670"/>
        <w:gridCol w:w="1022"/>
        <w:gridCol w:w="1396"/>
        <w:gridCol w:w="1257"/>
      </w:tblGrid>
      <w:tr>
        <w:trPr>
          <w:trHeight w:val="282" w:hRule="atLeast"/>
        </w:trPr>
        <w:tc>
          <w:tcPr>
            <w:tcW w:w="2396" w:type="dxa"/>
            <w:vMerge w:val="restart"/>
            <w:shd w:val="clear" w:color="auto" w:fill="D7D7D7"/>
          </w:tcPr>
          <w:p>
            <w:pPr>
              <w:pStyle w:val="TableParagraph"/>
              <w:spacing w:before="75"/>
              <w:rPr>
                <w:b/>
                <w:sz w:val="18"/>
              </w:rPr>
            </w:pPr>
          </w:p>
          <w:p>
            <w:pPr>
              <w:pStyle w:val="TableParagraph"/>
              <w:ind w:left="230"/>
              <w:rPr>
                <w:b/>
                <w:sz w:val="18"/>
              </w:rPr>
            </w:pPr>
            <w:r>
              <w:rPr>
                <w:b/>
                <w:sz w:val="18"/>
              </w:rPr>
              <w:t>Objetivos</w:t>
            </w:r>
            <w:r>
              <w:rPr>
                <w:b/>
                <w:spacing w:val="-5"/>
                <w:sz w:val="18"/>
              </w:rPr>
              <w:t> </w:t>
            </w:r>
            <w:r>
              <w:rPr>
                <w:b/>
                <w:sz w:val="18"/>
              </w:rPr>
              <w:t>/</w:t>
            </w:r>
            <w:r>
              <w:rPr>
                <w:b/>
                <w:spacing w:val="-2"/>
                <w:sz w:val="18"/>
              </w:rPr>
              <w:t> Resultados</w:t>
            </w:r>
          </w:p>
        </w:tc>
        <w:tc>
          <w:tcPr>
            <w:tcW w:w="1843" w:type="dxa"/>
            <w:vMerge w:val="restart"/>
            <w:shd w:val="clear" w:color="auto" w:fill="D7D7D7"/>
          </w:tcPr>
          <w:p>
            <w:pPr>
              <w:pStyle w:val="TableParagraph"/>
              <w:spacing w:before="75"/>
              <w:rPr>
                <w:b/>
                <w:sz w:val="18"/>
              </w:rPr>
            </w:pPr>
          </w:p>
          <w:p>
            <w:pPr>
              <w:pStyle w:val="TableParagraph"/>
              <w:ind w:left="518"/>
              <w:rPr>
                <w:b/>
                <w:sz w:val="18"/>
              </w:rPr>
            </w:pPr>
            <w:r>
              <w:rPr>
                <w:b/>
                <w:spacing w:val="-2"/>
                <w:sz w:val="18"/>
              </w:rPr>
              <w:t>Indicador</w:t>
            </w:r>
          </w:p>
        </w:tc>
        <w:tc>
          <w:tcPr>
            <w:tcW w:w="2313" w:type="dxa"/>
            <w:gridSpan w:val="2"/>
            <w:shd w:val="clear" w:color="auto" w:fill="D7D7D7"/>
          </w:tcPr>
          <w:p>
            <w:pPr>
              <w:pStyle w:val="TableParagraph"/>
              <w:spacing w:before="37"/>
              <w:ind w:left="696"/>
              <w:rPr>
                <w:b/>
                <w:sz w:val="18"/>
              </w:rPr>
            </w:pPr>
            <w:r>
              <w:rPr>
                <w:b/>
                <w:sz w:val="18"/>
              </w:rPr>
              <w:t>I</w:t>
            </w:r>
            <w:r>
              <w:rPr>
                <w:b/>
                <w:spacing w:val="-1"/>
                <w:sz w:val="18"/>
              </w:rPr>
              <w:t> </w:t>
            </w:r>
            <w:r>
              <w:rPr>
                <w:b/>
                <w:spacing w:val="-2"/>
                <w:sz w:val="18"/>
              </w:rPr>
              <w:t>Trimestre</w:t>
            </w:r>
          </w:p>
        </w:tc>
        <w:tc>
          <w:tcPr>
            <w:tcW w:w="2552" w:type="dxa"/>
            <w:gridSpan w:val="2"/>
            <w:shd w:val="clear" w:color="auto" w:fill="D7D7D7"/>
          </w:tcPr>
          <w:p>
            <w:pPr>
              <w:pStyle w:val="TableParagraph"/>
              <w:spacing w:before="37"/>
              <w:ind w:left="794"/>
              <w:rPr>
                <w:b/>
                <w:sz w:val="18"/>
              </w:rPr>
            </w:pPr>
            <w:r>
              <w:rPr>
                <w:b/>
                <w:sz w:val="18"/>
              </w:rPr>
              <w:t>II</w:t>
            </w:r>
            <w:r>
              <w:rPr>
                <w:b/>
                <w:spacing w:val="-3"/>
                <w:sz w:val="18"/>
              </w:rPr>
              <w:t> </w:t>
            </w:r>
            <w:r>
              <w:rPr>
                <w:b/>
                <w:spacing w:val="-2"/>
                <w:sz w:val="18"/>
              </w:rPr>
              <w:t>Trimestre</w:t>
            </w:r>
          </w:p>
        </w:tc>
        <w:tc>
          <w:tcPr>
            <w:tcW w:w="2692" w:type="dxa"/>
            <w:gridSpan w:val="2"/>
            <w:shd w:val="clear" w:color="auto" w:fill="D7D7D7"/>
          </w:tcPr>
          <w:p>
            <w:pPr>
              <w:pStyle w:val="TableParagraph"/>
              <w:spacing w:before="37"/>
              <w:ind w:left="839"/>
              <w:rPr>
                <w:b/>
                <w:sz w:val="18"/>
              </w:rPr>
            </w:pPr>
            <w:r>
              <w:rPr>
                <w:b/>
                <w:sz w:val="18"/>
              </w:rPr>
              <w:t>III</w:t>
            </w:r>
            <w:r>
              <w:rPr>
                <w:b/>
                <w:spacing w:val="-2"/>
                <w:sz w:val="18"/>
              </w:rPr>
              <w:t> Trimestre</w:t>
            </w:r>
          </w:p>
        </w:tc>
        <w:tc>
          <w:tcPr>
            <w:tcW w:w="2653" w:type="dxa"/>
            <w:gridSpan w:val="2"/>
            <w:shd w:val="clear" w:color="auto" w:fill="D7D7D7"/>
          </w:tcPr>
          <w:p>
            <w:pPr>
              <w:pStyle w:val="TableParagraph"/>
              <w:spacing w:before="37"/>
              <w:ind w:left="812"/>
              <w:rPr>
                <w:b/>
                <w:sz w:val="18"/>
              </w:rPr>
            </w:pPr>
            <w:r>
              <w:rPr>
                <w:b/>
                <w:sz w:val="18"/>
              </w:rPr>
              <w:t>IV</w:t>
            </w:r>
            <w:r>
              <w:rPr>
                <w:b/>
                <w:spacing w:val="-2"/>
                <w:sz w:val="18"/>
              </w:rPr>
              <w:t> Trimestre</w:t>
            </w:r>
          </w:p>
        </w:tc>
      </w:tr>
      <w:tr>
        <w:trPr>
          <w:trHeight w:val="484" w:hRule="atLeast"/>
        </w:trPr>
        <w:tc>
          <w:tcPr>
            <w:tcW w:w="2396" w:type="dxa"/>
            <w:vMerge/>
            <w:tcBorders>
              <w:top w:val="nil"/>
            </w:tcBorders>
            <w:shd w:val="clear" w:color="auto" w:fill="D7D7D7"/>
          </w:tcPr>
          <w:p>
            <w:pPr>
              <w:rPr>
                <w:sz w:val="2"/>
                <w:szCs w:val="2"/>
              </w:rPr>
            </w:pPr>
          </w:p>
        </w:tc>
        <w:tc>
          <w:tcPr>
            <w:tcW w:w="1843" w:type="dxa"/>
            <w:vMerge/>
            <w:tcBorders>
              <w:top w:val="nil"/>
            </w:tcBorders>
            <w:shd w:val="clear" w:color="auto" w:fill="D7D7D7"/>
          </w:tcPr>
          <w:p>
            <w:pPr>
              <w:rPr>
                <w:sz w:val="2"/>
                <w:szCs w:val="2"/>
              </w:rPr>
            </w:pPr>
          </w:p>
        </w:tc>
        <w:tc>
          <w:tcPr>
            <w:tcW w:w="1181" w:type="dxa"/>
            <w:shd w:val="clear" w:color="auto" w:fill="D7D7D7"/>
          </w:tcPr>
          <w:p>
            <w:pPr>
              <w:pStyle w:val="TableParagraph"/>
              <w:spacing w:line="244" w:lineRule="auto" w:before="32"/>
              <w:ind w:left="72" w:firstLine="312"/>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jc w:val="center"/>
              <w:rPr>
                <w:b/>
                <w:sz w:val="18"/>
              </w:rPr>
            </w:pPr>
            <w:r>
              <w:rPr>
                <w:b/>
                <w:spacing w:val="-10"/>
                <w:sz w:val="18"/>
              </w:rPr>
              <w:t>¢</w:t>
            </w:r>
          </w:p>
        </w:tc>
        <w:tc>
          <w:tcPr>
            <w:tcW w:w="1420" w:type="dxa"/>
            <w:shd w:val="clear" w:color="auto" w:fill="D7D7D7"/>
          </w:tcPr>
          <w:p>
            <w:pPr>
              <w:pStyle w:val="TableParagraph"/>
              <w:spacing w:line="244" w:lineRule="auto" w:before="32"/>
              <w:ind w:left="188" w:firstLine="317"/>
              <w:rPr>
                <w:b/>
                <w:sz w:val="18"/>
              </w:rPr>
            </w:pPr>
            <w:r>
              <w:rPr>
                <w:b/>
                <w:spacing w:val="-4"/>
                <w:sz w:val="18"/>
              </w:rPr>
              <w:t>Meta </w:t>
            </w:r>
            <w:r>
              <w:rPr>
                <w:b/>
                <w:spacing w:val="-2"/>
                <w:sz w:val="18"/>
              </w:rPr>
              <w:t>programada</w:t>
            </w:r>
          </w:p>
        </w:tc>
        <w:tc>
          <w:tcPr>
            <w:tcW w:w="1132" w:type="dxa"/>
            <w:shd w:val="clear" w:color="auto" w:fill="D7D7D7"/>
          </w:tcPr>
          <w:p>
            <w:pPr>
              <w:pStyle w:val="TableParagraph"/>
              <w:spacing w:before="138"/>
              <w:ind w:left="18" w:right="5"/>
              <w:jc w:val="center"/>
              <w:rPr>
                <w:b/>
                <w:sz w:val="18"/>
              </w:rPr>
            </w:pPr>
            <w:r>
              <w:rPr>
                <w:b/>
                <w:spacing w:val="-10"/>
                <w:sz w:val="18"/>
              </w:rPr>
              <w:t>¢</w:t>
            </w:r>
          </w:p>
        </w:tc>
        <w:tc>
          <w:tcPr>
            <w:tcW w:w="1670" w:type="dxa"/>
            <w:shd w:val="clear" w:color="auto" w:fill="D7D7D7"/>
          </w:tcPr>
          <w:p>
            <w:pPr>
              <w:pStyle w:val="TableParagraph"/>
              <w:spacing w:before="138"/>
              <w:ind w:left="90"/>
              <w:rPr>
                <w:b/>
                <w:sz w:val="18"/>
              </w:rPr>
            </w:pPr>
            <w:r>
              <w:rPr>
                <w:b/>
                <w:sz w:val="18"/>
              </w:rPr>
              <w:t>Meta</w:t>
            </w:r>
            <w:r>
              <w:rPr>
                <w:b/>
                <w:spacing w:val="1"/>
                <w:sz w:val="18"/>
              </w:rPr>
              <w:t> </w:t>
            </w:r>
            <w:r>
              <w:rPr>
                <w:b/>
                <w:spacing w:val="-2"/>
                <w:sz w:val="18"/>
              </w:rPr>
              <w:t>programada</w:t>
            </w:r>
          </w:p>
        </w:tc>
        <w:tc>
          <w:tcPr>
            <w:tcW w:w="1022" w:type="dxa"/>
            <w:shd w:val="clear" w:color="auto" w:fill="D7D7D7"/>
          </w:tcPr>
          <w:p>
            <w:pPr>
              <w:pStyle w:val="TableParagraph"/>
              <w:spacing w:before="138"/>
              <w:ind w:left="21"/>
              <w:jc w:val="center"/>
              <w:rPr>
                <w:b/>
                <w:sz w:val="18"/>
              </w:rPr>
            </w:pPr>
            <w:r>
              <w:rPr>
                <w:b/>
                <w:spacing w:val="-10"/>
                <w:sz w:val="18"/>
              </w:rPr>
              <w:t>¢</w:t>
            </w:r>
          </w:p>
        </w:tc>
        <w:tc>
          <w:tcPr>
            <w:tcW w:w="1396" w:type="dxa"/>
            <w:shd w:val="clear" w:color="auto" w:fill="D7D7D7"/>
          </w:tcPr>
          <w:p>
            <w:pPr>
              <w:pStyle w:val="TableParagraph"/>
              <w:spacing w:line="244" w:lineRule="auto" w:before="32"/>
              <w:ind w:left="183" w:firstLine="316"/>
              <w:rPr>
                <w:b/>
                <w:sz w:val="18"/>
              </w:rPr>
            </w:pPr>
            <w:r>
              <w:rPr>
                <w:b/>
                <w:spacing w:val="-4"/>
                <w:sz w:val="18"/>
              </w:rPr>
              <w:t>Meta </w:t>
            </w:r>
            <w:r>
              <w:rPr>
                <w:b/>
                <w:spacing w:val="-2"/>
                <w:sz w:val="18"/>
              </w:rPr>
              <w:t>programada</w:t>
            </w:r>
          </w:p>
        </w:tc>
        <w:tc>
          <w:tcPr>
            <w:tcW w:w="1257" w:type="dxa"/>
            <w:shd w:val="clear" w:color="auto" w:fill="D7D7D7"/>
          </w:tcPr>
          <w:p>
            <w:pPr>
              <w:pStyle w:val="TableParagraph"/>
              <w:spacing w:before="138"/>
              <w:ind w:left="86" w:right="56"/>
              <w:jc w:val="center"/>
              <w:rPr>
                <w:b/>
                <w:sz w:val="18"/>
              </w:rPr>
            </w:pPr>
            <w:r>
              <w:rPr>
                <w:b/>
                <w:spacing w:val="-10"/>
                <w:sz w:val="18"/>
              </w:rPr>
              <w:t>¢</w:t>
            </w:r>
          </w:p>
        </w:tc>
      </w:tr>
      <w:tr>
        <w:trPr>
          <w:trHeight w:val="1200" w:hRule="atLeast"/>
        </w:trPr>
        <w:tc>
          <w:tcPr>
            <w:tcW w:w="2396" w:type="dxa"/>
          </w:tcPr>
          <w:p>
            <w:pPr>
              <w:pStyle w:val="TableParagraph"/>
              <w:spacing w:before="162"/>
              <w:rPr>
                <w:b/>
                <w:sz w:val="18"/>
              </w:rPr>
            </w:pPr>
          </w:p>
          <w:p>
            <w:pPr>
              <w:pStyle w:val="TableParagraph"/>
              <w:ind w:left="72" w:right="462"/>
              <w:jc w:val="both"/>
              <w:rPr>
                <w:sz w:val="18"/>
              </w:rPr>
            </w:pPr>
            <w:r>
              <w:rPr>
                <w:b/>
                <w:sz w:val="18"/>
              </w:rPr>
              <w:t>Actividad</w:t>
            </w:r>
            <w:r>
              <w:rPr>
                <w:b/>
                <w:spacing w:val="-15"/>
                <w:sz w:val="18"/>
              </w:rPr>
              <w:t> </w:t>
            </w:r>
            <w:r>
              <w:rPr>
                <w:b/>
                <w:sz w:val="18"/>
              </w:rPr>
              <w:t>PAC</w:t>
            </w:r>
            <w:r>
              <w:rPr>
                <w:b/>
                <w:spacing w:val="-12"/>
                <w:sz w:val="18"/>
              </w:rPr>
              <w:t> </w:t>
            </w:r>
            <w:r>
              <w:rPr>
                <w:b/>
                <w:sz w:val="18"/>
              </w:rPr>
              <w:t>2.35.2: </w:t>
            </w:r>
            <w:r>
              <w:rPr>
                <w:sz w:val="18"/>
              </w:rPr>
              <w:t>Implementación de las </w:t>
            </w:r>
            <w:r>
              <w:rPr>
                <w:spacing w:val="-2"/>
                <w:sz w:val="18"/>
              </w:rPr>
              <w:t>NICSP.</w:t>
            </w:r>
          </w:p>
        </w:tc>
        <w:tc>
          <w:tcPr>
            <w:tcW w:w="1843" w:type="dxa"/>
          </w:tcPr>
          <w:p>
            <w:pPr>
              <w:pStyle w:val="TableParagraph"/>
              <w:spacing w:before="81"/>
              <w:ind w:left="71" w:right="55"/>
              <w:rPr>
                <w:sz w:val="18"/>
              </w:rPr>
            </w:pPr>
            <w:r>
              <w:rPr>
                <w:sz w:val="18"/>
              </w:rPr>
              <w:t>Porcentaje de </w:t>
            </w:r>
            <w:r>
              <w:rPr>
                <w:spacing w:val="-2"/>
                <w:sz w:val="18"/>
              </w:rPr>
              <w:t>normas</w:t>
            </w:r>
            <w:r>
              <w:rPr>
                <w:spacing w:val="80"/>
                <w:sz w:val="18"/>
              </w:rPr>
              <w:t> </w:t>
            </w:r>
            <w:r>
              <w:rPr>
                <w:sz w:val="18"/>
              </w:rPr>
              <w:t>comunicadas para implementación</w:t>
            </w:r>
            <w:r>
              <w:rPr>
                <w:spacing w:val="-15"/>
                <w:sz w:val="18"/>
              </w:rPr>
              <w:t> </w:t>
            </w:r>
            <w:r>
              <w:rPr>
                <w:sz w:val="18"/>
              </w:rPr>
              <w:t>de</w:t>
            </w:r>
            <w:r>
              <w:rPr>
                <w:spacing w:val="-12"/>
                <w:sz w:val="18"/>
              </w:rPr>
              <w:t> </w:t>
            </w:r>
            <w:r>
              <w:rPr>
                <w:sz w:val="18"/>
              </w:rPr>
              <w:t>la </w:t>
            </w:r>
            <w:r>
              <w:rPr>
                <w:spacing w:val="-2"/>
                <w:sz w:val="18"/>
              </w:rPr>
              <w:t>NICSP</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rFonts w:ascii="Times New Roman"/>
                <w:sz w:val="18"/>
              </w:rPr>
            </w:pPr>
          </w:p>
        </w:tc>
        <w:tc>
          <w:tcPr>
            <w:tcW w:w="1132" w:type="dxa"/>
          </w:tcPr>
          <w:p>
            <w:pPr>
              <w:pStyle w:val="TableParagraph"/>
              <w:rPr>
                <w:rFonts w:ascii="Times New Roman"/>
                <w:sz w:val="18"/>
              </w:rPr>
            </w:pPr>
          </w:p>
        </w:tc>
        <w:tc>
          <w:tcPr>
            <w:tcW w:w="1670" w:type="dxa"/>
            <w:tcBorders>
              <w:bottom w:val="nil"/>
            </w:tcBorders>
          </w:tcPr>
          <w:p>
            <w:pPr>
              <w:pStyle w:val="TableParagraph"/>
              <w:rPr>
                <w:b/>
                <w:sz w:val="18"/>
              </w:rPr>
            </w:pPr>
          </w:p>
          <w:p>
            <w:pPr>
              <w:pStyle w:val="TableParagraph"/>
              <w:spacing w:before="80"/>
              <w:rPr>
                <w:b/>
                <w:sz w:val="18"/>
              </w:rPr>
            </w:pPr>
          </w:p>
          <w:p>
            <w:pPr>
              <w:pStyle w:val="TableParagraph"/>
              <w:ind w:left="76"/>
              <w:rPr>
                <w:sz w:val="18"/>
              </w:rPr>
            </w:pPr>
            <w:r>
              <w:rPr>
                <w:spacing w:val="-4"/>
                <w:sz w:val="18"/>
              </w:rPr>
              <w:t>100%</w:t>
            </w:r>
          </w:p>
        </w:tc>
        <w:tc>
          <w:tcPr>
            <w:tcW w:w="1022" w:type="dxa"/>
          </w:tcPr>
          <w:p>
            <w:pPr>
              <w:pStyle w:val="TableParagraph"/>
              <w:rPr>
                <w:rFonts w:ascii="Times New Roman"/>
                <w:sz w:val="18"/>
              </w:rPr>
            </w:pPr>
          </w:p>
        </w:tc>
        <w:tc>
          <w:tcPr>
            <w:tcW w:w="1396" w:type="dxa"/>
            <w:tcBorders>
              <w:bottom w:val="nil"/>
            </w:tcBorders>
          </w:tcPr>
          <w:p>
            <w:pPr>
              <w:pStyle w:val="TableParagraph"/>
              <w:rPr>
                <w:b/>
                <w:sz w:val="18"/>
              </w:rPr>
            </w:pPr>
          </w:p>
          <w:p>
            <w:pPr>
              <w:pStyle w:val="TableParagraph"/>
              <w:spacing w:before="80"/>
              <w:rPr>
                <w:b/>
                <w:sz w:val="18"/>
              </w:rPr>
            </w:pPr>
          </w:p>
          <w:p>
            <w:pPr>
              <w:pStyle w:val="TableParagraph"/>
              <w:ind w:left="77"/>
              <w:rPr>
                <w:sz w:val="18"/>
              </w:rPr>
            </w:pPr>
            <w:r>
              <w:rPr>
                <w:spacing w:val="-4"/>
                <w:sz w:val="18"/>
              </w:rPr>
              <w:t>100%</w:t>
            </w:r>
          </w:p>
        </w:tc>
        <w:tc>
          <w:tcPr>
            <w:tcW w:w="1257" w:type="dxa"/>
          </w:tcPr>
          <w:p>
            <w:pPr>
              <w:pStyle w:val="TableParagraph"/>
              <w:rPr>
                <w:rFonts w:ascii="Times New Roman"/>
                <w:sz w:val="18"/>
              </w:rPr>
            </w:pPr>
          </w:p>
        </w:tc>
      </w:tr>
      <w:tr>
        <w:trPr>
          <w:trHeight w:val="283" w:hRule="atLeast"/>
        </w:trPr>
        <w:tc>
          <w:tcPr>
            <w:tcW w:w="14449" w:type="dxa"/>
            <w:gridSpan w:val="10"/>
            <w:tcBorders>
              <w:top w:val="nil"/>
              <w:right w:val="nil"/>
            </w:tcBorders>
            <w:shd w:val="clear" w:color="auto" w:fill="EFF8F9"/>
          </w:tcPr>
          <w:p>
            <w:pPr>
              <w:pStyle w:val="TableParagraph"/>
              <w:spacing w:before="37"/>
              <w:ind w:left="72"/>
              <w:rPr>
                <w:b/>
                <w:sz w:val="18"/>
              </w:rPr>
            </w:pPr>
            <w:r>
              <w:rPr>
                <w:b/>
                <w:sz w:val="18"/>
              </w:rPr>
              <w:t>Producto</w:t>
            </w:r>
            <w:r>
              <w:rPr>
                <w:b/>
                <w:spacing w:val="-7"/>
                <w:sz w:val="18"/>
              </w:rPr>
              <w:t> </w:t>
            </w:r>
            <w:r>
              <w:rPr>
                <w:b/>
                <w:sz w:val="18"/>
              </w:rPr>
              <w:t>PAC</w:t>
            </w:r>
            <w:r>
              <w:rPr>
                <w:b/>
                <w:spacing w:val="-8"/>
                <w:sz w:val="18"/>
              </w:rPr>
              <w:t> </w:t>
            </w:r>
            <w:r>
              <w:rPr>
                <w:b/>
                <w:sz w:val="18"/>
              </w:rPr>
              <w:t>2:36:</w:t>
            </w:r>
            <w:r>
              <w:rPr>
                <w:b/>
                <w:spacing w:val="-4"/>
                <w:sz w:val="18"/>
              </w:rPr>
              <w:t> </w:t>
            </w:r>
            <w:r>
              <w:rPr>
                <w:b/>
                <w:sz w:val="18"/>
              </w:rPr>
              <w:t>Personas</w:t>
            </w:r>
            <w:r>
              <w:rPr>
                <w:b/>
                <w:spacing w:val="-5"/>
                <w:sz w:val="18"/>
              </w:rPr>
              <w:t> </w:t>
            </w:r>
            <w:r>
              <w:rPr>
                <w:b/>
                <w:sz w:val="18"/>
              </w:rPr>
              <w:t>funcionarias</w:t>
            </w:r>
            <w:r>
              <w:rPr>
                <w:b/>
                <w:spacing w:val="-11"/>
                <w:sz w:val="18"/>
              </w:rPr>
              <w:t> </w:t>
            </w:r>
            <w:r>
              <w:rPr>
                <w:b/>
                <w:sz w:val="18"/>
              </w:rPr>
              <w:t>identificadas</w:t>
            </w:r>
            <w:r>
              <w:rPr>
                <w:b/>
                <w:spacing w:val="-5"/>
                <w:sz w:val="18"/>
              </w:rPr>
              <w:t> </w:t>
            </w:r>
            <w:r>
              <w:rPr>
                <w:b/>
                <w:sz w:val="18"/>
              </w:rPr>
              <w:t>y</w:t>
            </w:r>
            <w:r>
              <w:rPr>
                <w:b/>
                <w:spacing w:val="-2"/>
                <w:sz w:val="18"/>
              </w:rPr>
              <w:t> </w:t>
            </w:r>
            <w:r>
              <w:rPr>
                <w:b/>
                <w:sz w:val="18"/>
              </w:rPr>
              <w:t>capacitadas</w:t>
            </w:r>
            <w:r>
              <w:rPr>
                <w:b/>
                <w:spacing w:val="-6"/>
                <w:sz w:val="18"/>
              </w:rPr>
              <w:t> </w:t>
            </w:r>
            <w:r>
              <w:rPr>
                <w:b/>
                <w:sz w:val="18"/>
              </w:rPr>
              <w:t>en</w:t>
            </w:r>
            <w:r>
              <w:rPr>
                <w:b/>
                <w:spacing w:val="-7"/>
                <w:sz w:val="18"/>
              </w:rPr>
              <w:t> </w:t>
            </w:r>
            <w:r>
              <w:rPr>
                <w:b/>
                <w:sz w:val="18"/>
              </w:rPr>
              <w:t>la</w:t>
            </w:r>
            <w:r>
              <w:rPr>
                <w:b/>
                <w:spacing w:val="-6"/>
                <w:sz w:val="18"/>
              </w:rPr>
              <w:t> </w:t>
            </w:r>
            <w:r>
              <w:rPr>
                <w:b/>
                <w:sz w:val="18"/>
              </w:rPr>
              <w:t>aplicación</w:t>
            </w:r>
            <w:r>
              <w:rPr>
                <w:b/>
                <w:spacing w:val="-6"/>
                <w:sz w:val="18"/>
              </w:rPr>
              <w:t> </w:t>
            </w:r>
            <w:r>
              <w:rPr>
                <w:b/>
                <w:sz w:val="18"/>
              </w:rPr>
              <w:t>para</w:t>
            </w:r>
            <w:r>
              <w:rPr>
                <w:b/>
                <w:spacing w:val="-6"/>
                <w:sz w:val="18"/>
              </w:rPr>
              <w:t> </w:t>
            </w:r>
            <w:r>
              <w:rPr>
                <w:b/>
                <w:sz w:val="18"/>
              </w:rPr>
              <w:t>el</w:t>
            </w:r>
            <w:r>
              <w:rPr>
                <w:b/>
                <w:spacing w:val="-4"/>
                <w:sz w:val="18"/>
              </w:rPr>
              <w:t> </w:t>
            </w:r>
            <w:r>
              <w:rPr>
                <w:b/>
                <w:sz w:val="18"/>
              </w:rPr>
              <w:t>cumplimiento</w:t>
            </w:r>
            <w:r>
              <w:rPr>
                <w:b/>
                <w:spacing w:val="-6"/>
                <w:sz w:val="18"/>
              </w:rPr>
              <w:t> </w:t>
            </w:r>
            <w:r>
              <w:rPr>
                <w:b/>
                <w:sz w:val="18"/>
              </w:rPr>
              <w:t>de</w:t>
            </w:r>
            <w:r>
              <w:rPr>
                <w:b/>
                <w:spacing w:val="-6"/>
                <w:sz w:val="18"/>
              </w:rPr>
              <w:t> </w:t>
            </w:r>
            <w:r>
              <w:rPr>
                <w:b/>
                <w:sz w:val="18"/>
              </w:rPr>
              <w:t>las</w:t>
            </w:r>
            <w:r>
              <w:rPr>
                <w:b/>
                <w:spacing w:val="-2"/>
                <w:sz w:val="18"/>
              </w:rPr>
              <w:t> </w:t>
            </w:r>
            <w:r>
              <w:rPr>
                <w:b/>
                <w:sz w:val="18"/>
              </w:rPr>
              <w:t>normas.</w:t>
            </w:r>
            <w:r>
              <w:rPr>
                <w:b/>
                <w:spacing w:val="-4"/>
                <w:sz w:val="18"/>
              </w:rPr>
              <w:t> </w:t>
            </w:r>
            <w:r>
              <w:rPr>
                <w:b/>
                <w:sz w:val="18"/>
              </w:rPr>
              <w:t>(E1</w:t>
            </w:r>
            <w:r>
              <w:rPr>
                <w:b/>
                <w:spacing w:val="4"/>
                <w:sz w:val="18"/>
              </w:rPr>
              <w:t> </w:t>
            </w:r>
            <w:r>
              <w:rPr>
                <w:b/>
                <w:sz w:val="18"/>
              </w:rPr>
              <w:t>AE9</w:t>
            </w:r>
            <w:r>
              <w:rPr>
                <w:b/>
                <w:spacing w:val="-2"/>
                <w:sz w:val="18"/>
              </w:rPr>
              <w:t> </w:t>
            </w:r>
            <w:r>
              <w:rPr>
                <w:b/>
                <w:spacing w:val="-5"/>
                <w:sz w:val="18"/>
              </w:rPr>
              <w:t>R2)</w:t>
            </w:r>
          </w:p>
        </w:tc>
      </w:tr>
      <w:tr>
        <w:trPr>
          <w:trHeight w:val="1243" w:hRule="atLeast"/>
        </w:trPr>
        <w:tc>
          <w:tcPr>
            <w:tcW w:w="2396" w:type="dxa"/>
          </w:tcPr>
          <w:p>
            <w:pPr>
              <w:pStyle w:val="TableParagraph"/>
              <w:ind w:left="72"/>
              <w:rPr>
                <w:sz w:val="18"/>
              </w:rPr>
            </w:pPr>
            <w:r>
              <w:rPr>
                <w:b/>
                <w:sz w:val="18"/>
              </w:rPr>
              <w:t>Actividad PAC 2.36.1: </w:t>
            </w:r>
            <w:r>
              <w:rPr>
                <w:sz w:val="18"/>
              </w:rPr>
              <w:t>Identificar a las personas funcionarias que se van a capacitar en la aplicación para</w:t>
            </w:r>
            <w:r>
              <w:rPr>
                <w:spacing w:val="-10"/>
                <w:sz w:val="18"/>
              </w:rPr>
              <w:t> </w:t>
            </w:r>
            <w:r>
              <w:rPr>
                <w:sz w:val="18"/>
              </w:rPr>
              <w:t>el</w:t>
            </w:r>
            <w:r>
              <w:rPr>
                <w:spacing w:val="-8"/>
                <w:sz w:val="18"/>
              </w:rPr>
              <w:t> </w:t>
            </w:r>
            <w:r>
              <w:rPr>
                <w:sz w:val="18"/>
              </w:rPr>
              <w:t>cumplimiento</w:t>
            </w:r>
            <w:r>
              <w:rPr>
                <w:spacing w:val="-10"/>
                <w:sz w:val="18"/>
              </w:rPr>
              <w:t> </w:t>
            </w:r>
            <w:r>
              <w:rPr>
                <w:sz w:val="18"/>
              </w:rPr>
              <w:t>de</w:t>
            </w:r>
            <w:r>
              <w:rPr>
                <w:spacing w:val="-10"/>
                <w:sz w:val="18"/>
              </w:rPr>
              <w:t> </w:t>
            </w:r>
            <w:r>
              <w:rPr>
                <w:sz w:val="18"/>
              </w:rPr>
              <w:t>las</w:t>
            </w:r>
          </w:p>
          <w:p>
            <w:pPr>
              <w:pStyle w:val="TableParagraph"/>
              <w:spacing w:line="187" w:lineRule="exact" w:before="1"/>
              <w:ind w:left="72"/>
              <w:rPr>
                <w:sz w:val="18"/>
              </w:rPr>
            </w:pPr>
            <w:r>
              <w:rPr>
                <w:spacing w:val="-2"/>
                <w:sz w:val="18"/>
              </w:rPr>
              <w:t>normas.</w:t>
            </w:r>
          </w:p>
        </w:tc>
        <w:tc>
          <w:tcPr>
            <w:tcW w:w="1843" w:type="dxa"/>
          </w:tcPr>
          <w:p>
            <w:pPr>
              <w:pStyle w:val="TableParagraph"/>
              <w:spacing w:before="103"/>
              <w:rPr>
                <w:b/>
                <w:sz w:val="18"/>
              </w:rPr>
            </w:pPr>
          </w:p>
          <w:p>
            <w:pPr>
              <w:pStyle w:val="TableParagraph"/>
              <w:spacing w:before="1"/>
              <w:ind w:left="71" w:right="644"/>
              <w:rPr>
                <w:sz w:val="18"/>
              </w:rPr>
            </w:pPr>
            <w:r>
              <w:rPr>
                <w:sz w:val="18"/>
              </w:rPr>
              <w:t>Porcentaje</w:t>
            </w:r>
            <w:r>
              <w:rPr>
                <w:spacing w:val="-13"/>
                <w:sz w:val="18"/>
              </w:rPr>
              <w:t> </w:t>
            </w:r>
            <w:r>
              <w:rPr>
                <w:sz w:val="18"/>
              </w:rPr>
              <w:t>de </w:t>
            </w:r>
            <w:r>
              <w:rPr>
                <w:spacing w:val="-2"/>
                <w:sz w:val="18"/>
              </w:rPr>
              <w:t>funcionarios identificados</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b/>
                <w:sz w:val="18"/>
              </w:rPr>
            </w:pPr>
          </w:p>
          <w:p>
            <w:pPr>
              <w:pStyle w:val="TableParagraph"/>
              <w:spacing w:before="103"/>
              <w:rPr>
                <w:b/>
                <w:sz w:val="18"/>
              </w:rPr>
            </w:pPr>
          </w:p>
          <w:p>
            <w:pPr>
              <w:pStyle w:val="TableParagraph"/>
              <w:ind w:left="482"/>
              <w:rPr>
                <w:sz w:val="18"/>
              </w:rPr>
            </w:pPr>
            <w:r>
              <w:rPr>
                <w:spacing w:val="-4"/>
                <w:sz w:val="18"/>
              </w:rPr>
              <w:t>100%</w:t>
            </w:r>
          </w:p>
        </w:tc>
        <w:tc>
          <w:tcPr>
            <w:tcW w:w="1132" w:type="dxa"/>
          </w:tcPr>
          <w:p>
            <w:pPr>
              <w:pStyle w:val="TableParagraph"/>
              <w:rPr>
                <w:rFonts w:ascii="Times New Roman"/>
                <w:sz w:val="18"/>
              </w:rPr>
            </w:pPr>
          </w:p>
        </w:tc>
        <w:tc>
          <w:tcPr>
            <w:tcW w:w="1670" w:type="dxa"/>
          </w:tcPr>
          <w:p>
            <w:pPr>
              <w:pStyle w:val="TableParagraph"/>
              <w:rPr>
                <w:rFonts w:ascii="Times New Roman"/>
                <w:sz w:val="18"/>
              </w:rPr>
            </w:pPr>
          </w:p>
        </w:tc>
        <w:tc>
          <w:tcPr>
            <w:tcW w:w="1022" w:type="dxa"/>
          </w:tcPr>
          <w:p>
            <w:pPr>
              <w:pStyle w:val="TableParagraph"/>
              <w:rPr>
                <w:rFonts w:ascii="Times New Roman"/>
                <w:sz w:val="18"/>
              </w:rPr>
            </w:pPr>
          </w:p>
        </w:tc>
        <w:tc>
          <w:tcPr>
            <w:tcW w:w="1396" w:type="dxa"/>
          </w:tcPr>
          <w:p>
            <w:pPr>
              <w:pStyle w:val="TableParagraph"/>
              <w:rPr>
                <w:rFonts w:ascii="Times New Roman"/>
                <w:sz w:val="18"/>
              </w:rPr>
            </w:pPr>
          </w:p>
        </w:tc>
        <w:tc>
          <w:tcPr>
            <w:tcW w:w="1257" w:type="dxa"/>
          </w:tcPr>
          <w:p>
            <w:pPr>
              <w:pStyle w:val="TableParagraph"/>
              <w:rPr>
                <w:rFonts w:ascii="Times New Roman"/>
                <w:sz w:val="18"/>
              </w:rPr>
            </w:pPr>
          </w:p>
        </w:tc>
      </w:tr>
      <w:tr>
        <w:trPr>
          <w:trHeight w:val="1036" w:hRule="atLeast"/>
        </w:trPr>
        <w:tc>
          <w:tcPr>
            <w:tcW w:w="2396" w:type="dxa"/>
          </w:tcPr>
          <w:p>
            <w:pPr>
              <w:pStyle w:val="TableParagraph"/>
              <w:spacing w:line="206" w:lineRule="exact"/>
              <w:ind w:left="72"/>
              <w:rPr>
                <w:sz w:val="18"/>
              </w:rPr>
            </w:pPr>
            <w:r>
              <w:rPr>
                <w:b/>
                <w:sz w:val="18"/>
              </w:rPr>
              <w:t>Actividad PAC 2.36.2: </w:t>
            </w:r>
            <w:r>
              <w:rPr>
                <w:sz w:val="18"/>
              </w:rPr>
              <w:t>Capacitar a las personas funcionarias para la aplicación</w:t>
            </w:r>
            <w:r>
              <w:rPr>
                <w:spacing w:val="-15"/>
                <w:sz w:val="18"/>
              </w:rPr>
              <w:t> </w:t>
            </w:r>
            <w:r>
              <w:rPr>
                <w:sz w:val="18"/>
              </w:rPr>
              <w:t>del</w:t>
            </w:r>
            <w:r>
              <w:rPr>
                <w:spacing w:val="-12"/>
                <w:sz w:val="18"/>
              </w:rPr>
              <w:t> </w:t>
            </w:r>
            <w:r>
              <w:rPr>
                <w:sz w:val="18"/>
              </w:rPr>
              <w:t>cumplimiento de las normas.</w:t>
            </w:r>
          </w:p>
        </w:tc>
        <w:tc>
          <w:tcPr>
            <w:tcW w:w="1843" w:type="dxa"/>
          </w:tcPr>
          <w:p>
            <w:pPr>
              <w:pStyle w:val="TableParagraph"/>
              <w:spacing w:before="104"/>
              <w:ind w:left="71" w:right="644"/>
              <w:rPr>
                <w:sz w:val="18"/>
              </w:rPr>
            </w:pPr>
            <w:r>
              <w:rPr>
                <w:sz w:val="18"/>
              </w:rPr>
              <w:t>Porcentaje</w:t>
            </w:r>
            <w:r>
              <w:rPr>
                <w:spacing w:val="-13"/>
                <w:sz w:val="18"/>
              </w:rPr>
              <w:t> </w:t>
            </w:r>
            <w:r>
              <w:rPr>
                <w:sz w:val="18"/>
              </w:rPr>
              <w:t>de </w:t>
            </w:r>
            <w:r>
              <w:rPr>
                <w:spacing w:val="-2"/>
                <w:sz w:val="18"/>
              </w:rPr>
              <w:t>personas funcionarias capacitadas</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rFonts w:ascii="Times New Roman"/>
                <w:sz w:val="18"/>
              </w:rPr>
            </w:pPr>
          </w:p>
        </w:tc>
        <w:tc>
          <w:tcPr>
            <w:tcW w:w="1132" w:type="dxa"/>
          </w:tcPr>
          <w:p>
            <w:pPr>
              <w:pStyle w:val="TableParagraph"/>
              <w:rPr>
                <w:rFonts w:ascii="Times New Roman"/>
                <w:sz w:val="18"/>
              </w:rPr>
            </w:pPr>
          </w:p>
        </w:tc>
        <w:tc>
          <w:tcPr>
            <w:tcW w:w="1670" w:type="dxa"/>
          </w:tcPr>
          <w:p>
            <w:pPr>
              <w:pStyle w:val="TableParagraph"/>
              <w:rPr>
                <w:rFonts w:ascii="Times New Roman"/>
                <w:sz w:val="18"/>
              </w:rPr>
            </w:pPr>
          </w:p>
        </w:tc>
        <w:tc>
          <w:tcPr>
            <w:tcW w:w="1022" w:type="dxa"/>
          </w:tcPr>
          <w:p>
            <w:pPr>
              <w:pStyle w:val="TableParagraph"/>
              <w:rPr>
                <w:rFonts w:ascii="Times New Roman"/>
                <w:sz w:val="18"/>
              </w:rPr>
            </w:pPr>
          </w:p>
        </w:tc>
        <w:tc>
          <w:tcPr>
            <w:tcW w:w="1396" w:type="dxa"/>
          </w:tcPr>
          <w:p>
            <w:pPr>
              <w:pStyle w:val="TableParagraph"/>
              <w:spacing w:before="204"/>
              <w:rPr>
                <w:b/>
                <w:sz w:val="18"/>
              </w:rPr>
            </w:pPr>
          </w:p>
          <w:p>
            <w:pPr>
              <w:pStyle w:val="TableParagraph"/>
              <w:ind w:left="476"/>
              <w:rPr>
                <w:sz w:val="18"/>
              </w:rPr>
            </w:pPr>
            <w:r>
              <w:rPr>
                <w:spacing w:val="-4"/>
                <w:sz w:val="18"/>
              </w:rPr>
              <w:t>100%</w:t>
            </w:r>
          </w:p>
        </w:tc>
        <w:tc>
          <w:tcPr>
            <w:tcW w:w="1257" w:type="dxa"/>
          </w:tcPr>
          <w:p>
            <w:pPr>
              <w:pStyle w:val="TableParagraph"/>
              <w:rPr>
                <w:rFonts w:ascii="Times New Roman"/>
                <w:sz w:val="18"/>
              </w:rPr>
            </w:pPr>
          </w:p>
        </w:tc>
      </w:tr>
      <w:tr>
        <w:trPr>
          <w:trHeight w:val="283" w:hRule="atLeast"/>
        </w:trPr>
        <w:tc>
          <w:tcPr>
            <w:tcW w:w="14449" w:type="dxa"/>
            <w:gridSpan w:val="10"/>
            <w:tcBorders>
              <w:right w:val="nil"/>
            </w:tcBorders>
            <w:shd w:val="clear" w:color="auto" w:fill="EFF8F9"/>
          </w:tcPr>
          <w:p>
            <w:pPr>
              <w:pStyle w:val="TableParagraph"/>
              <w:spacing w:before="37"/>
              <w:ind w:left="72"/>
              <w:rPr>
                <w:b/>
                <w:sz w:val="18"/>
              </w:rPr>
            </w:pPr>
            <w:r>
              <w:rPr>
                <w:b/>
                <w:sz w:val="18"/>
              </w:rPr>
              <w:t>Producto</w:t>
            </w:r>
            <w:r>
              <w:rPr>
                <w:b/>
                <w:spacing w:val="-7"/>
                <w:sz w:val="18"/>
              </w:rPr>
              <w:t> </w:t>
            </w:r>
            <w:r>
              <w:rPr>
                <w:b/>
                <w:sz w:val="18"/>
              </w:rPr>
              <w:t>PAC</w:t>
            </w:r>
            <w:r>
              <w:rPr>
                <w:b/>
                <w:spacing w:val="-8"/>
                <w:sz w:val="18"/>
              </w:rPr>
              <w:t> </w:t>
            </w:r>
            <w:r>
              <w:rPr>
                <w:b/>
                <w:sz w:val="18"/>
              </w:rPr>
              <w:t>2:37:</w:t>
            </w:r>
            <w:r>
              <w:rPr>
                <w:b/>
                <w:spacing w:val="-4"/>
                <w:sz w:val="18"/>
              </w:rPr>
              <w:t> </w:t>
            </w:r>
            <w:r>
              <w:rPr>
                <w:b/>
                <w:sz w:val="18"/>
              </w:rPr>
              <w:t>Herramienta</w:t>
            </w:r>
            <w:r>
              <w:rPr>
                <w:b/>
                <w:spacing w:val="-5"/>
                <w:sz w:val="18"/>
              </w:rPr>
              <w:t> </w:t>
            </w:r>
            <w:r>
              <w:rPr>
                <w:b/>
                <w:sz w:val="18"/>
              </w:rPr>
              <w:t>informática</w:t>
            </w:r>
            <w:r>
              <w:rPr>
                <w:b/>
                <w:spacing w:val="-6"/>
                <w:sz w:val="18"/>
              </w:rPr>
              <w:t> </w:t>
            </w:r>
            <w:r>
              <w:rPr>
                <w:b/>
                <w:sz w:val="18"/>
              </w:rPr>
              <w:t>actualizada</w:t>
            </w:r>
            <w:r>
              <w:rPr>
                <w:b/>
                <w:spacing w:val="-6"/>
                <w:sz w:val="18"/>
              </w:rPr>
              <w:t> </w:t>
            </w:r>
            <w:r>
              <w:rPr>
                <w:b/>
                <w:sz w:val="18"/>
              </w:rPr>
              <w:t>para</w:t>
            </w:r>
            <w:r>
              <w:rPr>
                <w:b/>
                <w:spacing w:val="-6"/>
                <w:sz w:val="18"/>
              </w:rPr>
              <w:t> </w:t>
            </w:r>
            <w:r>
              <w:rPr>
                <w:b/>
                <w:sz w:val="18"/>
              </w:rPr>
              <w:t>la</w:t>
            </w:r>
            <w:r>
              <w:rPr>
                <w:b/>
                <w:spacing w:val="-5"/>
                <w:sz w:val="18"/>
              </w:rPr>
              <w:t> </w:t>
            </w:r>
            <w:r>
              <w:rPr>
                <w:b/>
                <w:sz w:val="18"/>
              </w:rPr>
              <w:t>emisión</w:t>
            </w:r>
            <w:r>
              <w:rPr>
                <w:b/>
                <w:spacing w:val="-7"/>
                <w:sz w:val="18"/>
              </w:rPr>
              <w:t> </w:t>
            </w:r>
            <w:r>
              <w:rPr>
                <w:b/>
                <w:sz w:val="18"/>
              </w:rPr>
              <w:t>de</w:t>
            </w:r>
            <w:r>
              <w:rPr>
                <w:b/>
                <w:spacing w:val="-6"/>
                <w:sz w:val="18"/>
              </w:rPr>
              <w:t> </w:t>
            </w:r>
            <w:r>
              <w:rPr>
                <w:b/>
                <w:sz w:val="18"/>
              </w:rPr>
              <w:t>la</w:t>
            </w:r>
            <w:r>
              <w:rPr>
                <w:b/>
                <w:spacing w:val="-5"/>
                <w:sz w:val="18"/>
              </w:rPr>
              <w:t> </w:t>
            </w:r>
            <w:r>
              <w:rPr>
                <w:b/>
                <w:sz w:val="18"/>
              </w:rPr>
              <w:t>información</w:t>
            </w:r>
            <w:r>
              <w:rPr>
                <w:b/>
                <w:spacing w:val="-7"/>
                <w:sz w:val="18"/>
              </w:rPr>
              <w:t> </w:t>
            </w:r>
            <w:r>
              <w:rPr>
                <w:b/>
                <w:sz w:val="18"/>
              </w:rPr>
              <w:t>contable.</w:t>
            </w:r>
            <w:r>
              <w:rPr>
                <w:b/>
                <w:spacing w:val="-4"/>
                <w:sz w:val="18"/>
              </w:rPr>
              <w:t> </w:t>
            </w:r>
            <w:r>
              <w:rPr>
                <w:b/>
                <w:sz w:val="18"/>
              </w:rPr>
              <w:t>(E1</w:t>
            </w:r>
            <w:r>
              <w:rPr>
                <w:b/>
                <w:spacing w:val="-6"/>
                <w:sz w:val="18"/>
              </w:rPr>
              <w:t> </w:t>
            </w:r>
            <w:r>
              <w:rPr>
                <w:b/>
                <w:sz w:val="18"/>
              </w:rPr>
              <w:t>AE9</w:t>
            </w:r>
            <w:r>
              <w:rPr>
                <w:b/>
                <w:spacing w:val="-5"/>
                <w:sz w:val="18"/>
              </w:rPr>
              <w:t> R5)</w:t>
            </w:r>
          </w:p>
        </w:tc>
      </w:tr>
      <w:tr>
        <w:trPr>
          <w:trHeight w:val="1440" w:hRule="atLeast"/>
        </w:trPr>
        <w:tc>
          <w:tcPr>
            <w:tcW w:w="2396" w:type="dxa"/>
          </w:tcPr>
          <w:p>
            <w:pPr>
              <w:pStyle w:val="TableParagraph"/>
              <w:spacing w:before="99"/>
              <w:rPr>
                <w:b/>
                <w:sz w:val="18"/>
              </w:rPr>
            </w:pPr>
          </w:p>
          <w:p>
            <w:pPr>
              <w:pStyle w:val="TableParagraph"/>
              <w:ind w:left="72"/>
              <w:rPr>
                <w:sz w:val="18"/>
              </w:rPr>
            </w:pPr>
            <w:r>
              <w:rPr>
                <w:b/>
                <w:sz w:val="18"/>
              </w:rPr>
              <w:t>Actividad PAC 2.37.1: </w:t>
            </w:r>
            <w:r>
              <w:rPr>
                <w:sz w:val="18"/>
              </w:rPr>
              <w:t>Determinar</w:t>
            </w:r>
            <w:r>
              <w:rPr>
                <w:spacing w:val="-15"/>
                <w:sz w:val="18"/>
              </w:rPr>
              <w:t> </w:t>
            </w:r>
            <w:r>
              <w:rPr>
                <w:sz w:val="18"/>
              </w:rPr>
              <w:t>las</w:t>
            </w:r>
            <w:r>
              <w:rPr>
                <w:spacing w:val="-12"/>
                <w:sz w:val="18"/>
              </w:rPr>
              <w:t> </w:t>
            </w:r>
            <w:r>
              <w:rPr>
                <w:sz w:val="18"/>
              </w:rPr>
              <w:t>necesidades de ajuste o modificaciones sobre la herramienta.</w:t>
            </w:r>
          </w:p>
        </w:tc>
        <w:tc>
          <w:tcPr>
            <w:tcW w:w="1843" w:type="dxa"/>
          </w:tcPr>
          <w:p>
            <w:pPr>
              <w:pStyle w:val="TableParagraph"/>
              <w:spacing w:before="99"/>
              <w:ind w:left="71" w:right="111"/>
              <w:rPr>
                <w:sz w:val="18"/>
              </w:rPr>
            </w:pPr>
            <w:r>
              <w:rPr>
                <w:sz w:val="18"/>
              </w:rPr>
              <w:t>Porcentaje de ajustes</w:t>
            </w:r>
            <w:r>
              <w:rPr>
                <w:spacing w:val="-3"/>
                <w:sz w:val="18"/>
              </w:rPr>
              <w:t> </w:t>
            </w:r>
            <w:r>
              <w:rPr>
                <w:sz w:val="18"/>
              </w:rPr>
              <w:t>necesarios de</w:t>
            </w:r>
            <w:r>
              <w:rPr>
                <w:spacing w:val="-11"/>
                <w:sz w:val="18"/>
              </w:rPr>
              <w:t> </w:t>
            </w:r>
            <w:r>
              <w:rPr>
                <w:sz w:val="18"/>
              </w:rPr>
              <w:t>acuerdo</w:t>
            </w:r>
            <w:r>
              <w:rPr>
                <w:spacing w:val="-13"/>
                <w:sz w:val="18"/>
              </w:rPr>
              <w:t> </w:t>
            </w:r>
            <w:r>
              <w:rPr>
                <w:sz w:val="18"/>
              </w:rPr>
              <w:t>con</w:t>
            </w:r>
            <w:r>
              <w:rPr>
                <w:spacing w:val="-8"/>
                <w:sz w:val="18"/>
              </w:rPr>
              <w:t> </w:t>
            </w:r>
            <w:r>
              <w:rPr>
                <w:sz w:val="18"/>
              </w:rPr>
              <w:t>las actualizaciones de </w:t>
            </w:r>
            <w:r>
              <w:rPr>
                <w:spacing w:val="-2"/>
                <w:sz w:val="18"/>
              </w:rPr>
              <w:t>normativa institucional.</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rFonts w:ascii="Times New Roman"/>
                <w:sz w:val="18"/>
              </w:rPr>
            </w:pPr>
          </w:p>
        </w:tc>
        <w:tc>
          <w:tcPr>
            <w:tcW w:w="1132" w:type="dxa"/>
          </w:tcPr>
          <w:p>
            <w:pPr>
              <w:pStyle w:val="TableParagraph"/>
              <w:rPr>
                <w:rFonts w:ascii="Times New Roman"/>
                <w:sz w:val="18"/>
              </w:rPr>
            </w:pPr>
          </w:p>
        </w:tc>
        <w:tc>
          <w:tcPr>
            <w:tcW w:w="1670" w:type="dxa"/>
          </w:tcPr>
          <w:p>
            <w:pPr>
              <w:pStyle w:val="TableParagraph"/>
              <w:rPr>
                <w:b/>
                <w:sz w:val="18"/>
              </w:rPr>
            </w:pPr>
          </w:p>
          <w:p>
            <w:pPr>
              <w:pStyle w:val="TableParagraph"/>
              <w:spacing w:before="204"/>
              <w:rPr>
                <w:b/>
                <w:sz w:val="18"/>
              </w:rPr>
            </w:pPr>
          </w:p>
          <w:p>
            <w:pPr>
              <w:pStyle w:val="TableParagraph"/>
              <w:ind w:left="28" w:right="7"/>
              <w:jc w:val="center"/>
              <w:rPr>
                <w:sz w:val="18"/>
              </w:rPr>
            </w:pPr>
            <w:r>
              <w:rPr>
                <w:spacing w:val="-4"/>
                <w:sz w:val="18"/>
              </w:rPr>
              <w:t>100%</w:t>
            </w:r>
          </w:p>
        </w:tc>
        <w:tc>
          <w:tcPr>
            <w:tcW w:w="1022" w:type="dxa"/>
          </w:tcPr>
          <w:p>
            <w:pPr>
              <w:pStyle w:val="TableParagraph"/>
              <w:rPr>
                <w:rFonts w:ascii="Times New Roman"/>
                <w:sz w:val="18"/>
              </w:rPr>
            </w:pPr>
          </w:p>
        </w:tc>
        <w:tc>
          <w:tcPr>
            <w:tcW w:w="1396" w:type="dxa"/>
          </w:tcPr>
          <w:p>
            <w:pPr>
              <w:pStyle w:val="TableParagraph"/>
              <w:rPr>
                <w:rFonts w:ascii="Times New Roman"/>
                <w:sz w:val="18"/>
              </w:rPr>
            </w:pPr>
          </w:p>
        </w:tc>
        <w:tc>
          <w:tcPr>
            <w:tcW w:w="1257" w:type="dxa"/>
          </w:tcPr>
          <w:p>
            <w:pPr>
              <w:pStyle w:val="TableParagraph"/>
              <w:rPr>
                <w:rFonts w:ascii="Times New Roman"/>
                <w:sz w:val="18"/>
              </w:rPr>
            </w:pPr>
          </w:p>
        </w:tc>
      </w:tr>
      <w:tr>
        <w:trPr>
          <w:trHeight w:val="1200" w:hRule="atLeast"/>
        </w:trPr>
        <w:tc>
          <w:tcPr>
            <w:tcW w:w="2396" w:type="dxa"/>
          </w:tcPr>
          <w:p>
            <w:pPr>
              <w:pStyle w:val="TableParagraph"/>
              <w:spacing w:before="186"/>
              <w:ind w:left="72" w:right="106"/>
              <w:rPr>
                <w:sz w:val="18"/>
              </w:rPr>
            </w:pPr>
            <w:r>
              <w:rPr>
                <w:b/>
                <w:sz w:val="18"/>
              </w:rPr>
              <w:t>Actividad PAC 2.37.2: </w:t>
            </w:r>
            <w:r>
              <w:rPr>
                <w:sz w:val="18"/>
              </w:rPr>
              <w:t>Solicitar</w:t>
            </w:r>
            <w:r>
              <w:rPr>
                <w:spacing w:val="-15"/>
                <w:sz w:val="18"/>
              </w:rPr>
              <w:t> </w:t>
            </w:r>
            <w:r>
              <w:rPr>
                <w:sz w:val="18"/>
              </w:rPr>
              <w:t>las</w:t>
            </w:r>
            <w:r>
              <w:rPr>
                <w:spacing w:val="-12"/>
                <w:sz w:val="18"/>
              </w:rPr>
              <w:t> </w:t>
            </w:r>
            <w:r>
              <w:rPr>
                <w:sz w:val="18"/>
              </w:rPr>
              <w:t>modificaciones o ajustes sobre la </w:t>
            </w:r>
            <w:r>
              <w:rPr>
                <w:spacing w:val="-2"/>
                <w:sz w:val="18"/>
              </w:rPr>
              <w:t>herramienta</w:t>
            </w:r>
          </w:p>
        </w:tc>
        <w:tc>
          <w:tcPr>
            <w:tcW w:w="1843" w:type="dxa"/>
          </w:tcPr>
          <w:p>
            <w:pPr>
              <w:pStyle w:val="TableParagraph"/>
              <w:spacing w:before="80"/>
              <w:ind w:left="71" w:right="157"/>
              <w:rPr>
                <w:sz w:val="18"/>
              </w:rPr>
            </w:pPr>
            <w:r>
              <w:rPr>
                <w:sz w:val="18"/>
              </w:rPr>
              <w:t>Porcentaje de ajustes solicitados de</w:t>
            </w:r>
            <w:r>
              <w:rPr>
                <w:spacing w:val="-11"/>
                <w:sz w:val="18"/>
              </w:rPr>
              <w:t> </w:t>
            </w:r>
            <w:r>
              <w:rPr>
                <w:sz w:val="18"/>
              </w:rPr>
              <w:t>acuerdo</w:t>
            </w:r>
            <w:r>
              <w:rPr>
                <w:spacing w:val="-13"/>
                <w:sz w:val="18"/>
              </w:rPr>
              <w:t> </w:t>
            </w:r>
            <w:r>
              <w:rPr>
                <w:sz w:val="18"/>
              </w:rPr>
              <w:t>con</w:t>
            </w:r>
            <w:r>
              <w:rPr>
                <w:spacing w:val="-8"/>
                <w:sz w:val="18"/>
              </w:rPr>
              <w:t> </w:t>
            </w:r>
            <w:r>
              <w:rPr>
                <w:sz w:val="18"/>
              </w:rPr>
              <w:t>las </w:t>
            </w:r>
            <w:r>
              <w:rPr>
                <w:spacing w:val="-2"/>
                <w:sz w:val="18"/>
              </w:rPr>
              <w:t>necesidades determinadas.</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rFonts w:ascii="Times New Roman"/>
                <w:sz w:val="18"/>
              </w:rPr>
            </w:pPr>
          </w:p>
        </w:tc>
        <w:tc>
          <w:tcPr>
            <w:tcW w:w="1132" w:type="dxa"/>
          </w:tcPr>
          <w:p>
            <w:pPr>
              <w:pStyle w:val="TableParagraph"/>
              <w:rPr>
                <w:rFonts w:ascii="Times New Roman"/>
                <w:sz w:val="18"/>
              </w:rPr>
            </w:pPr>
          </w:p>
        </w:tc>
        <w:tc>
          <w:tcPr>
            <w:tcW w:w="1670" w:type="dxa"/>
          </w:tcPr>
          <w:p>
            <w:pPr>
              <w:pStyle w:val="TableParagraph"/>
              <w:rPr>
                <w:rFonts w:ascii="Times New Roman"/>
                <w:sz w:val="18"/>
              </w:rPr>
            </w:pPr>
          </w:p>
        </w:tc>
        <w:tc>
          <w:tcPr>
            <w:tcW w:w="1022" w:type="dxa"/>
          </w:tcPr>
          <w:p>
            <w:pPr>
              <w:pStyle w:val="TableParagraph"/>
              <w:rPr>
                <w:rFonts w:ascii="Times New Roman"/>
                <w:sz w:val="18"/>
              </w:rPr>
            </w:pPr>
          </w:p>
        </w:tc>
        <w:tc>
          <w:tcPr>
            <w:tcW w:w="1396" w:type="dxa"/>
          </w:tcPr>
          <w:p>
            <w:pPr>
              <w:pStyle w:val="TableParagraph"/>
              <w:rPr>
                <w:rFonts w:ascii="Times New Roman"/>
                <w:sz w:val="18"/>
              </w:rPr>
            </w:pPr>
          </w:p>
        </w:tc>
        <w:tc>
          <w:tcPr>
            <w:tcW w:w="1257" w:type="dxa"/>
          </w:tcPr>
          <w:p>
            <w:pPr>
              <w:pStyle w:val="TableParagraph"/>
              <w:rPr>
                <w:b/>
                <w:sz w:val="18"/>
              </w:rPr>
            </w:pPr>
          </w:p>
          <w:p>
            <w:pPr>
              <w:pStyle w:val="TableParagraph"/>
              <w:spacing w:before="84"/>
              <w:rPr>
                <w:b/>
                <w:sz w:val="18"/>
              </w:rPr>
            </w:pPr>
          </w:p>
          <w:p>
            <w:pPr>
              <w:pStyle w:val="TableParagraph"/>
              <w:ind w:left="86" w:right="58"/>
              <w:jc w:val="center"/>
              <w:rPr>
                <w:sz w:val="18"/>
              </w:rPr>
            </w:pPr>
            <w:r>
              <w:rPr>
                <w:spacing w:val="-4"/>
                <w:sz w:val="18"/>
              </w:rPr>
              <w:t>100%</w:t>
            </w:r>
          </w:p>
        </w:tc>
      </w:tr>
      <w:tr>
        <w:trPr>
          <w:trHeight w:val="1200" w:hRule="atLeast"/>
        </w:trPr>
        <w:tc>
          <w:tcPr>
            <w:tcW w:w="2396" w:type="dxa"/>
          </w:tcPr>
          <w:p>
            <w:pPr>
              <w:pStyle w:val="TableParagraph"/>
              <w:spacing w:before="186"/>
              <w:ind w:left="72"/>
              <w:rPr>
                <w:sz w:val="18"/>
              </w:rPr>
            </w:pPr>
            <w:r>
              <w:rPr>
                <w:b/>
                <w:sz w:val="18"/>
              </w:rPr>
              <w:t>Actividad PAC 2.37.3: </w:t>
            </w:r>
            <w:r>
              <w:rPr>
                <w:sz w:val="18"/>
              </w:rPr>
              <w:t>Unidades</w:t>
            </w:r>
            <w:r>
              <w:rPr>
                <w:spacing w:val="-11"/>
                <w:sz w:val="18"/>
              </w:rPr>
              <w:t> </w:t>
            </w:r>
            <w:r>
              <w:rPr>
                <w:sz w:val="18"/>
              </w:rPr>
              <w:t>que</w:t>
            </w:r>
            <w:r>
              <w:rPr>
                <w:spacing w:val="-12"/>
                <w:sz w:val="18"/>
              </w:rPr>
              <w:t> </w:t>
            </w:r>
            <w:r>
              <w:rPr>
                <w:sz w:val="18"/>
              </w:rPr>
              <w:t>utilizan</w:t>
            </w:r>
            <w:r>
              <w:rPr>
                <w:spacing w:val="-12"/>
                <w:sz w:val="18"/>
              </w:rPr>
              <w:t> </w:t>
            </w:r>
            <w:r>
              <w:rPr>
                <w:sz w:val="18"/>
              </w:rPr>
              <w:t>la herramienta</w:t>
            </w:r>
            <w:r>
              <w:rPr>
                <w:spacing w:val="-12"/>
                <w:sz w:val="18"/>
              </w:rPr>
              <w:t> </w:t>
            </w:r>
            <w:r>
              <w:rPr>
                <w:sz w:val="18"/>
              </w:rPr>
              <w:t>informática </w:t>
            </w:r>
            <w:r>
              <w:rPr>
                <w:spacing w:val="-2"/>
                <w:sz w:val="18"/>
              </w:rPr>
              <w:t>actualizada</w:t>
            </w:r>
          </w:p>
        </w:tc>
        <w:tc>
          <w:tcPr>
            <w:tcW w:w="1843" w:type="dxa"/>
          </w:tcPr>
          <w:p>
            <w:pPr>
              <w:pStyle w:val="TableParagraph"/>
              <w:spacing w:before="186"/>
              <w:ind w:left="71" w:right="49"/>
              <w:rPr>
                <w:sz w:val="18"/>
              </w:rPr>
            </w:pPr>
            <w:r>
              <w:rPr>
                <w:sz w:val="18"/>
              </w:rPr>
              <w:t>Porcentaje de unidades</w:t>
            </w:r>
            <w:r>
              <w:rPr>
                <w:spacing w:val="-15"/>
                <w:sz w:val="18"/>
              </w:rPr>
              <w:t> </w:t>
            </w:r>
            <w:r>
              <w:rPr>
                <w:sz w:val="18"/>
              </w:rPr>
              <w:t>que</w:t>
            </w:r>
            <w:r>
              <w:rPr>
                <w:spacing w:val="-12"/>
                <w:sz w:val="18"/>
              </w:rPr>
              <w:t> </w:t>
            </w:r>
            <w:r>
              <w:rPr>
                <w:sz w:val="18"/>
              </w:rPr>
              <w:t>utilizan la herramienta </w:t>
            </w:r>
            <w:r>
              <w:rPr>
                <w:spacing w:val="-2"/>
                <w:sz w:val="18"/>
              </w:rPr>
              <w:t>contable</w:t>
            </w:r>
          </w:p>
        </w:tc>
        <w:tc>
          <w:tcPr>
            <w:tcW w:w="1181" w:type="dxa"/>
          </w:tcPr>
          <w:p>
            <w:pPr>
              <w:pStyle w:val="TableParagraph"/>
              <w:rPr>
                <w:rFonts w:ascii="Times New Roman"/>
                <w:sz w:val="18"/>
              </w:rPr>
            </w:pPr>
          </w:p>
        </w:tc>
        <w:tc>
          <w:tcPr>
            <w:tcW w:w="1132" w:type="dxa"/>
          </w:tcPr>
          <w:p>
            <w:pPr>
              <w:pStyle w:val="TableParagraph"/>
              <w:rPr>
                <w:rFonts w:ascii="Times New Roman"/>
                <w:sz w:val="18"/>
              </w:rPr>
            </w:pPr>
          </w:p>
        </w:tc>
        <w:tc>
          <w:tcPr>
            <w:tcW w:w="1420" w:type="dxa"/>
          </w:tcPr>
          <w:p>
            <w:pPr>
              <w:pStyle w:val="TableParagraph"/>
              <w:rPr>
                <w:rFonts w:ascii="Times New Roman"/>
                <w:sz w:val="18"/>
              </w:rPr>
            </w:pPr>
          </w:p>
        </w:tc>
        <w:tc>
          <w:tcPr>
            <w:tcW w:w="1132" w:type="dxa"/>
          </w:tcPr>
          <w:p>
            <w:pPr>
              <w:pStyle w:val="TableParagraph"/>
              <w:rPr>
                <w:rFonts w:ascii="Times New Roman"/>
                <w:sz w:val="18"/>
              </w:rPr>
            </w:pPr>
          </w:p>
        </w:tc>
        <w:tc>
          <w:tcPr>
            <w:tcW w:w="1670" w:type="dxa"/>
          </w:tcPr>
          <w:p>
            <w:pPr>
              <w:pStyle w:val="TableParagraph"/>
              <w:rPr>
                <w:rFonts w:ascii="Times New Roman"/>
                <w:sz w:val="18"/>
              </w:rPr>
            </w:pPr>
          </w:p>
        </w:tc>
        <w:tc>
          <w:tcPr>
            <w:tcW w:w="1022" w:type="dxa"/>
          </w:tcPr>
          <w:p>
            <w:pPr>
              <w:pStyle w:val="TableParagraph"/>
              <w:rPr>
                <w:rFonts w:ascii="Times New Roman"/>
                <w:sz w:val="18"/>
              </w:rPr>
            </w:pPr>
          </w:p>
        </w:tc>
        <w:tc>
          <w:tcPr>
            <w:tcW w:w="1396" w:type="dxa"/>
          </w:tcPr>
          <w:p>
            <w:pPr>
              <w:pStyle w:val="TableParagraph"/>
              <w:rPr>
                <w:rFonts w:ascii="Times New Roman"/>
                <w:sz w:val="18"/>
              </w:rPr>
            </w:pPr>
          </w:p>
        </w:tc>
        <w:tc>
          <w:tcPr>
            <w:tcW w:w="1257" w:type="dxa"/>
          </w:tcPr>
          <w:p>
            <w:pPr>
              <w:pStyle w:val="TableParagraph"/>
              <w:rPr>
                <w:b/>
                <w:sz w:val="18"/>
              </w:rPr>
            </w:pPr>
          </w:p>
          <w:p>
            <w:pPr>
              <w:pStyle w:val="TableParagraph"/>
              <w:spacing w:before="84"/>
              <w:rPr>
                <w:b/>
                <w:sz w:val="18"/>
              </w:rPr>
            </w:pPr>
          </w:p>
          <w:p>
            <w:pPr>
              <w:pStyle w:val="TableParagraph"/>
              <w:ind w:left="86" w:right="58"/>
              <w:jc w:val="center"/>
              <w:rPr>
                <w:sz w:val="18"/>
              </w:rPr>
            </w:pPr>
            <w:r>
              <w:rPr>
                <w:spacing w:val="-4"/>
                <w:sz w:val="18"/>
              </w:rPr>
              <w:t>100%</w:t>
            </w:r>
          </w:p>
        </w:tc>
      </w:tr>
    </w:tbl>
    <w:p>
      <w:pPr>
        <w:pStyle w:val="TableParagraph"/>
        <w:spacing w:after="0"/>
        <w:jc w:val="center"/>
        <w:rPr>
          <w:sz w:val="18"/>
        </w:rPr>
        <w:sectPr>
          <w:type w:val="continuous"/>
          <w:pgSz w:w="15840" w:h="12240" w:orient="landscape"/>
          <w:pgMar w:header="0" w:footer="1806" w:top="700" w:bottom="2628"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3"/>
        <w:gridCol w:w="1133"/>
        <w:gridCol w:w="1277"/>
        <w:gridCol w:w="1277"/>
        <w:gridCol w:w="1277"/>
        <w:gridCol w:w="1133"/>
        <w:gridCol w:w="1277"/>
        <w:gridCol w:w="1272"/>
        <w:gridCol w:w="1421"/>
        <w:gridCol w:w="1844"/>
      </w:tblGrid>
      <w:tr>
        <w:trPr>
          <w:trHeight w:val="301" w:hRule="atLeast"/>
        </w:trPr>
        <w:tc>
          <w:tcPr>
            <w:tcW w:w="2123" w:type="dxa"/>
            <w:vMerge w:val="restart"/>
            <w:shd w:val="clear" w:color="auto" w:fill="E7E6E6"/>
          </w:tcPr>
          <w:p>
            <w:pPr>
              <w:pStyle w:val="TableParagraph"/>
              <w:spacing w:before="85"/>
              <w:rPr>
                <w:b/>
                <w:sz w:val="18"/>
              </w:rPr>
            </w:pPr>
          </w:p>
          <w:p>
            <w:pPr>
              <w:pStyle w:val="TableParagraph"/>
              <w:ind w:left="91"/>
              <w:rPr>
                <w:b/>
                <w:sz w:val="18"/>
              </w:rPr>
            </w:pPr>
            <w:r>
              <w:rPr>
                <w:b/>
                <w:sz w:val="18"/>
              </w:rPr>
              <w:t>Objetivos</w:t>
            </w:r>
            <w:r>
              <w:rPr>
                <w:b/>
                <w:spacing w:val="-5"/>
                <w:sz w:val="18"/>
              </w:rPr>
              <w:t> </w:t>
            </w:r>
            <w:r>
              <w:rPr>
                <w:b/>
                <w:sz w:val="18"/>
              </w:rPr>
              <w:t>/</w:t>
            </w:r>
            <w:r>
              <w:rPr>
                <w:b/>
                <w:spacing w:val="-2"/>
                <w:sz w:val="18"/>
              </w:rPr>
              <w:t> Resultados</w:t>
            </w:r>
          </w:p>
        </w:tc>
        <w:tc>
          <w:tcPr>
            <w:tcW w:w="1133" w:type="dxa"/>
            <w:vMerge w:val="restart"/>
            <w:shd w:val="clear" w:color="auto" w:fill="E7E6E6"/>
          </w:tcPr>
          <w:p>
            <w:pPr>
              <w:pStyle w:val="TableParagraph"/>
              <w:spacing w:before="85"/>
              <w:rPr>
                <w:b/>
                <w:sz w:val="18"/>
              </w:rPr>
            </w:pPr>
          </w:p>
          <w:p>
            <w:pPr>
              <w:pStyle w:val="TableParagraph"/>
              <w:ind w:left="157"/>
              <w:rPr>
                <w:b/>
                <w:sz w:val="18"/>
              </w:rPr>
            </w:pPr>
            <w:r>
              <w:rPr>
                <w:b/>
                <w:spacing w:val="-2"/>
                <w:sz w:val="18"/>
              </w:rPr>
              <w:t>Indicador</w:t>
            </w:r>
          </w:p>
        </w:tc>
        <w:tc>
          <w:tcPr>
            <w:tcW w:w="2554" w:type="dxa"/>
            <w:gridSpan w:val="2"/>
            <w:shd w:val="clear" w:color="auto" w:fill="E7E6E6"/>
          </w:tcPr>
          <w:p>
            <w:pPr>
              <w:pStyle w:val="TableParagraph"/>
              <w:spacing w:line="187" w:lineRule="exact" w:before="95"/>
              <w:ind w:left="815"/>
              <w:rPr>
                <w:b/>
                <w:sz w:val="18"/>
              </w:rPr>
            </w:pPr>
            <w:r>
              <w:rPr>
                <w:b/>
                <w:sz w:val="18"/>
              </w:rPr>
              <w:t>I</w:t>
            </w:r>
            <w:r>
              <w:rPr>
                <w:b/>
                <w:spacing w:val="-1"/>
                <w:sz w:val="18"/>
              </w:rPr>
              <w:t> </w:t>
            </w:r>
            <w:r>
              <w:rPr>
                <w:b/>
                <w:spacing w:val="-2"/>
                <w:sz w:val="18"/>
              </w:rPr>
              <w:t>Trimestre</w:t>
            </w:r>
          </w:p>
        </w:tc>
        <w:tc>
          <w:tcPr>
            <w:tcW w:w="2410" w:type="dxa"/>
            <w:gridSpan w:val="2"/>
            <w:shd w:val="clear" w:color="auto" w:fill="E7E6E6"/>
          </w:tcPr>
          <w:p>
            <w:pPr>
              <w:pStyle w:val="TableParagraph"/>
              <w:spacing w:line="187" w:lineRule="exact" w:before="95"/>
              <w:ind w:left="714"/>
              <w:rPr>
                <w:b/>
                <w:sz w:val="18"/>
              </w:rPr>
            </w:pPr>
            <w:r>
              <w:rPr>
                <w:b/>
                <w:sz w:val="18"/>
              </w:rPr>
              <w:t>II</w:t>
            </w:r>
            <w:r>
              <w:rPr>
                <w:b/>
                <w:spacing w:val="-3"/>
                <w:sz w:val="18"/>
              </w:rPr>
              <w:t> </w:t>
            </w:r>
            <w:r>
              <w:rPr>
                <w:b/>
                <w:spacing w:val="-2"/>
                <w:sz w:val="18"/>
              </w:rPr>
              <w:t>Trimestre</w:t>
            </w:r>
          </w:p>
        </w:tc>
        <w:tc>
          <w:tcPr>
            <w:tcW w:w="2549" w:type="dxa"/>
            <w:gridSpan w:val="2"/>
            <w:shd w:val="clear" w:color="auto" w:fill="E7E6E6"/>
          </w:tcPr>
          <w:p>
            <w:pPr>
              <w:pStyle w:val="TableParagraph"/>
              <w:spacing w:line="187" w:lineRule="exact" w:before="95"/>
              <w:ind w:left="763"/>
              <w:rPr>
                <w:b/>
                <w:sz w:val="18"/>
              </w:rPr>
            </w:pPr>
            <w:r>
              <w:rPr>
                <w:b/>
                <w:sz w:val="18"/>
              </w:rPr>
              <w:t>III</w:t>
            </w:r>
            <w:r>
              <w:rPr>
                <w:b/>
                <w:spacing w:val="-2"/>
                <w:sz w:val="18"/>
              </w:rPr>
              <w:t> Trimestre</w:t>
            </w:r>
          </w:p>
        </w:tc>
        <w:tc>
          <w:tcPr>
            <w:tcW w:w="3265" w:type="dxa"/>
            <w:gridSpan w:val="2"/>
            <w:shd w:val="clear" w:color="auto" w:fill="E7E6E6"/>
          </w:tcPr>
          <w:p>
            <w:pPr>
              <w:pStyle w:val="TableParagraph"/>
              <w:spacing w:line="187" w:lineRule="exact" w:before="95"/>
              <w:ind w:left="20"/>
              <w:jc w:val="center"/>
              <w:rPr>
                <w:b/>
                <w:sz w:val="18"/>
              </w:rPr>
            </w:pPr>
            <w:r>
              <w:rPr>
                <w:b/>
                <w:sz w:val="18"/>
              </w:rPr>
              <w:t>IV</w:t>
            </w:r>
            <w:r>
              <w:rPr>
                <w:b/>
                <w:spacing w:val="-2"/>
                <w:sz w:val="18"/>
              </w:rPr>
              <w:t> Trimestre</w:t>
            </w:r>
          </w:p>
        </w:tc>
      </w:tr>
      <w:tr>
        <w:trPr>
          <w:trHeight w:val="480" w:hRule="atLeast"/>
        </w:trPr>
        <w:tc>
          <w:tcPr>
            <w:tcW w:w="2123" w:type="dxa"/>
            <w:vMerge/>
            <w:tcBorders>
              <w:top w:val="nil"/>
            </w:tcBorders>
            <w:shd w:val="clear" w:color="auto" w:fill="E7E6E6"/>
          </w:tcPr>
          <w:p>
            <w:pPr>
              <w:rPr>
                <w:sz w:val="2"/>
                <w:szCs w:val="2"/>
              </w:rPr>
            </w:pPr>
          </w:p>
        </w:tc>
        <w:tc>
          <w:tcPr>
            <w:tcW w:w="1133" w:type="dxa"/>
            <w:vMerge/>
            <w:tcBorders>
              <w:top w:val="nil"/>
            </w:tcBorders>
            <w:shd w:val="clear" w:color="auto" w:fill="E7E6E6"/>
          </w:tcPr>
          <w:p>
            <w:pPr>
              <w:rPr>
                <w:sz w:val="2"/>
                <w:szCs w:val="2"/>
              </w:rPr>
            </w:pPr>
          </w:p>
        </w:tc>
        <w:tc>
          <w:tcPr>
            <w:tcW w:w="1277" w:type="dxa"/>
            <w:shd w:val="clear" w:color="auto" w:fill="E7E6E6"/>
          </w:tcPr>
          <w:p>
            <w:pPr>
              <w:pStyle w:val="TableParagraph"/>
              <w:spacing w:before="33"/>
              <w:ind w:left="114" w:firstLine="317"/>
              <w:rPr>
                <w:b/>
                <w:sz w:val="18"/>
              </w:rPr>
            </w:pPr>
            <w:r>
              <w:rPr>
                <w:b/>
                <w:spacing w:val="-4"/>
                <w:sz w:val="18"/>
              </w:rPr>
              <w:t>Meta </w:t>
            </w:r>
            <w:r>
              <w:rPr>
                <w:b/>
                <w:spacing w:val="-2"/>
                <w:sz w:val="18"/>
              </w:rPr>
              <w:t>programada</w:t>
            </w:r>
          </w:p>
        </w:tc>
        <w:tc>
          <w:tcPr>
            <w:tcW w:w="1277" w:type="dxa"/>
            <w:shd w:val="clear" w:color="auto" w:fill="E7E6E6"/>
          </w:tcPr>
          <w:p>
            <w:pPr>
              <w:pStyle w:val="TableParagraph"/>
              <w:spacing w:before="134"/>
              <w:ind w:left="16" w:right="11"/>
              <w:jc w:val="center"/>
              <w:rPr>
                <w:b/>
                <w:sz w:val="18"/>
              </w:rPr>
            </w:pPr>
            <w:r>
              <w:rPr>
                <w:b/>
                <w:spacing w:val="-10"/>
                <w:sz w:val="18"/>
              </w:rPr>
              <w:t>¢</w:t>
            </w:r>
          </w:p>
        </w:tc>
        <w:tc>
          <w:tcPr>
            <w:tcW w:w="1277" w:type="dxa"/>
            <w:shd w:val="clear" w:color="auto" w:fill="E7E6E6"/>
          </w:tcPr>
          <w:p>
            <w:pPr>
              <w:pStyle w:val="TableParagraph"/>
              <w:spacing w:before="33"/>
              <w:ind w:left="114" w:firstLine="312"/>
              <w:rPr>
                <w:b/>
                <w:sz w:val="18"/>
              </w:rPr>
            </w:pPr>
            <w:r>
              <w:rPr>
                <w:b/>
                <w:spacing w:val="-4"/>
                <w:sz w:val="18"/>
              </w:rPr>
              <w:t>Meta </w:t>
            </w:r>
            <w:r>
              <w:rPr>
                <w:b/>
                <w:spacing w:val="-2"/>
                <w:sz w:val="18"/>
              </w:rPr>
              <w:t>programada</w:t>
            </w:r>
          </w:p>
        </w:tc>
        <w:tc>
          <w:tcPr>
            <w:tcW w:w="1133" w:type="dxa"/>
            <w:shd w:val="clear" w:color="auto" w:fill="E7E6E6"/>
          </w:tcPr>
          <w:p>
            <w:pPr>
              <w:pStyle w:val="TableParagraph"/>
              <w:spacing w:before="134"/>
              <w:ind w:left="5"/>
              <w:jc w:val="center"/>
              <w:rPr>
                <w:b/>
                <w:sz w:val="18"/>
              </w:rPr>
            </w:pPr>
            <w:r>
              <w:rPr>
                <w:b/>
                <w:spacing w:val="-10"/>
                <w:sz w:val="18"/>
              </w:rPr>
              <w:t>¢</w:t>
            </w:r>
          </w:p>
        </w:tc>
        <w:tc>
          <w:tcPr>
            <w:tcW w:w="1277" w:type="dxa"/>
            <w:shd w:val="clear" w:color="auto" w:fill="E7E6E6"/>
          </w:tcPr>
          <w:p>
            <w:pPr>
              <w:pStyle w:val="TableParagraph"/>
              <w:spacing w:before="33"/>
              <w:ind w:left="114" w:firstLine="317"/>
              <w:rPr>
                <w:b/>
                <w:sz w:val="18"/>
              </w:rPr>
            </w:pPr>
            <w:r>
              <w:rPr>
                <w:b/>
                <w:spacing w:val="-4"/>
                <w:sz w:val="18"/>
              </w:rPr>
              <w:t>Meta </w:t>
            </w:r>
            <w:r>
              <w:rPr>
                <w:b/>
                <w:spacing w:val="-2"/>
                <w:sz w:val="18"/>
              </w:rPr>
              <w:t>programada</w:t>
            </w:r>
          </w:p>
        </w:tc>
        <w:tc>
          <w:tcPr>
            <w:tcW w:w="1272" w:type="dxa"/>
            <w:shd w:val="clear" w:color="auto" w:fill="E7E6E6"/>
          </w:tcPr>
          <w:p>
            <w:pPr>
              <w:pStyle w:val="TableParagraph"/>
              <w:spacing w:before="134"/>
              <w:ind w:left="20" w:right="19"/>
              <w:jc w:val="center"/>
              <w:rPr>
                <w:b/>
                <w:sz w:val="18"/>
              </w:rPr>
            </w:pPr>
            <w:r>
              <w:rPr>
                <w:b/>
                <w:spacing w:val="-10"/>
                <w:sz w:val="18"/>
              </w:rPr>
              <w:t>¢</w:t>
            </w:r>
          </w:p>
        </w:tc>
        <w:tc>
          <w:tcPr>
            <w:tcW w:w="1421" w:type="dxa"/>
            <w:shd w:val="clear" w:color="auto" w:fill="E7E6E6"/>
          </w:tcPr>
          <w:p>
            <w:pPr>
              <w:pStyle w:val="TableParagraph"/>
              <w:spacing w:line="206" w:lineRule="exact" w:before="48"/>
              <w:ind w:left="192" w:firstLine="312"/>
              <w:rPr>
                <w:b/>
                <w:sz w:val="18"/>
              </w:rPr>
            </w:pPr>
            <w:r>
              <w:rPr>
                <w:b/>
                <w:spacing w:val="-4"/>
                <w:sz w:val="18"/>
              </w:rPr>
              <w:t>Meta </w:t>
            </w:r>
            <w:r>
              <w:rPr>
                <w:b/>
                <w:spacing w:val="-2"/>
                <w:sz w:val="18"/>
              </w:rPr>
              <w:t>programada</w:t>
            </w:r>
          </w:p>
        </w:tc>
        <w:tc>
          <w:tcPr>
            <w:tcW w:w="1844" w:type="dxa"/>
            <w:shd w:val="clear" w:color="auto" w:fill="E7E6E6"/>
          </w:tcPr>
          <w:p>
            <w:pPr>
              <w:pStyle w:val="TableParagraph"/>
              <w:spacing w:before="134"/>
              <w:ind w:left="9" w:right="3"/>
              <w:jc w:val="center"/>
              <w:rPr>
                <w:b/>
                <w:sz w:val="18"/>
              </w:rPr>
            </w:pPr>
            <w:r>
              <w:rPr>
                <w:b/>
                <w:spacing w:val="-10"/>
                <w:sz w:val="18"/>
              </w:rPr>
              <w:t>¢</w:t>
            </w:r>
          </w:p>
        </w:tc>
      </w:tr>
      <w:tr>
        <w:trPr>
          <w:trHeight w:val="450" w:hRule="atLeast"/>
        </w:trPr>
        <w:tc>
          <w:tcPr>
            <w:tcW w:w="14034" w:type="dxa"/>
            <w:gridSpan w:val="10"/>
            <w:shd w:val="clear" w:color="auto" w:fill="EFF8F9"/>
          </w:tcPr>
          <w:p>
            <w:pPr>
              <w:pStyle w:val="TableParagraph"/>
              <w:spacing w:before="119"/>
              <w:ind w:left="72"/>
              <w:rPr>
                <w:b/>
                <w:sz w:val="18"/>
              </w:rPr>
            </w:pPr>
            <w:r>
              <w:rPr>
                <w:b/>
                <w:sz w:val="18"/>
              </w:rPr>
              <w:t>Producto</w:t>
            </w:r>
            <w:r>
              <w:rPr>
                <w:b/>
                <w:spacing w:val="-8"/>
                <w:sz w:val="18"/>
              </w:rPr>
              <w:t> </w:t>
            </w:r>
            <w:r>
              <w:rPr>
                <w:b/>
                <w:sz w:val="18"/>
              </w:rPr>
              <w:t>PAC</w:t>
            </w:r>
            <w:r>
              <w:rPr>
                <w:b/>
                <w:spacing w:val="-9"/>
                <w:sz w:val="18"/>
              </w:rPr>
              <w:t> </w:t>
            </w:r>
            <w:r>
              <w:rPr>
                <w:b/>
                <w:sz w:val="18"/>
              </w:rPr>
              <w:t>2:38:</w:t>
            </w:r>
            <w:r>
              <w:rPr>
                <w:b/>
                <w:spacing w:val="-5"/>
                <w:sz w:val="18"/>
              </w:rPr>
              <w:t> </w:t>
            </w:r>
            <w:r>
              <w:rPr>
                <w:b/>
                <w:sz w:val="18"/>
              </w:rPr>
              <w:t>Proceso</w:t>
            </w:r>
            <w:r>
              <w:rPr>
                <w:b/>
                <w:spacing w:val="-3"/>
                <w:sz w:val="18"/>
              </w:rPr>
              <w:t> </w:t>
            </w:r>
            <w:r>
              <w:rPr>
                <w:b/>
                <w:sz w:val="18"/>
              </w:rPr>
              <w:t>Archivo:</w:t>
            </w:r>
            <w:r>
              <w:rPr>
                <w:b/>
                <w:spacing w:val="-4"/>
                <w:sz w:val="18"/>
              </w:rPr>
              <w:t> </w:t>
            </w:r>
            <w:r>
              <w:rPr>
                <w:b/>
                <w:sz w:val="18"/>
              </w:rPr>
              <w:t>fortalecido</w:t>
            </w:r>
            <w:r>
              <w:rPr>
                <w:b/>
                <w:spacing w:val="-8"/>
                <w:sz w:val="18"/>
              </w:rPr>
              <w:t> </w:t>
            </w:r>
            <w:r>
              <w:rPr>
                <w:b/>
                <w:sz w:val="18"/>
              </w:rPr>
              <w:t>para</w:t>
            </w:r>
            <w:r>
              <w:rPr>
                <w:b/>
                <w:spacing w:val="-7"/>
                <w:sz w:val="18"/>
              </w:rPr>
              <w:t> </w:t>
            </w:r>
            <w:r>
              <w:rPr>
                <w:b/>
                <w:sz w:val="18"/>
              </w:rPr>
              <w:t>el</w:t>
            </w:r>
            <w:r>
              <w:rPr>
                <w:b/>
                <w:spacing w:val="-5"/>
                <w:sz w:val="18"/>
              </w:rPr>
              <w:t> </w:t>
            </w:r>
            <w:r>
              <w:rPr>
                <w:b/>
                <w:sz w:val="18"/>
              </w:rPr>
              <w:t>correcto</w:t>
            </w:r>
            <w:r>
              <w:rPr>
                <w:b/>
                <w:spacing w:val="-7"/>
                <w:sz w:val="18"/>
              </w:rPr>
              <w:t> </w:t>
            </w:r>
            <w:r>
              <w:rPr>
                <w:b/>
                <w:sz w:val="18"/>
              </w:rPr>
              <w:t>resguardo,</w:t>
            </w:r>
            <w:r>
              <w:rPr>
                <w:b/>
                <w:spacing w:val="-5"/>
                <w:sz w:val="18"/>
              </w:rPr>
              <w:t> </w:t>
            </w:r>
            <w:r>
              <w:rPr>
                <w:b/>
                <w:sz w:val="18"/>
              </w:rPr>
              <w:t>conservación</w:t>
            </w:r>
            <w:r>
              <w:rPr>
                <w:b/>
                <w:spacing w:val="-3"/>
                <w:sz w:val="18"/>
              </w:rPr>
              <w:t> </w:t>
            </w:r>
            <w:r>
              <w:rPr>
                <w:b/>
                <w:sz w:val="18"/>
              </w:rPr>
              <w:t>y</w:t>
            </w:r>
            <w:r>
              <w:rPr>
                <w:b/>
                <w:spacing w:val="-7"/>
                <w:sz w:val="18"/>
              </w:rPr>
              <w:t> </w:t>
            </w:r>
            <w:r>
              <w:rPr>
                <w:b/>
                <w:sz w:val="18"/>
              </w:rPr>
              <w:t>eliminación</w:t>
            </w:r>
            <w:r>
              <w:rPr>
                <w:b/>
                <w:spacing w:val="-3"/>
                <w:sz w:val="18"/>
              </w:rPr>
              <w:t> </w:t>
            </w:r>
            <w:r>
              <w:rPr>
                <w:b/>
                <w:sz w:val="18"/>
              </w:rPr>
              <w:t>de</w:t>
            </w:r>
            <w:r>
              <w:rPr>
                <w:b/>
                <w:spacing w:val="-11"/>
                <w:sz w:val="18"/>
              </w:rPr>
              <w:t> </w:t>
            </w:r>
            <w:r>
              <w:rPr>
                <w:b/>
                <w:sz w:val="18"/>
              </w:rPr>
              <w:t>los</w:t>
            </w:r>
            <w:r>
              <w:rPr>
                <w:b/>
                <w:spacing w:val="-7"/>
                <w:sz w:val="18"/>
              </w:rPr>
              <w:t> </w:t>
            </w:r>
            <w:r>
              <w:rPr>
                <w:b/>
                <w:sz w:val="18"/>
              </w:rPr>
              <w:t>documentos</w:t>
            </w:r>
            <w:r>
              <w:rPr>
                <w:b/>
                <w:spacing w:val="-7"/>
                <w:sz w:val="18"/>
              </w:rPr>
              <w:t> </w:t>
            </w:r>
            <w:r>
              <w:rPr>
                <w:b/>
                <w:sz w:val="18"/>
              </w:rPr>
              <w:t>e</w:t>
            </w:r>
            <w:r>
              <w:rPr>
                <w:b/>
                <w:spacing w:val="-6"/>
                <w:sz w:val="18"/>
              </w:rPr>
              <w:t> </w:t>
            </w:r>
            <w:r>
              <w:rPr>
                <w:b/>
                <w:spacing w:val="-2"/>
                <w:sz w:val="18"/>
              </w:rPr>
              <w:t>información.</w:t>
            </w:r>
          </w:p>
        </w:tc>
      </w:tr>
      <w:tr>
        <w:trPr>
          <w:trHeight w:val="1243" w:hRule="atLeast"/>
        </w:trPr>
        <w:tc>
          <w:tcPr>
            <w:tcW w:w="2123" w:type="dxa"/>
          </w:tcPr>
          <w:p>
            <w:pPr>
              <w:pStyle w:val="TableParagraph"/>
              <w:spacing w:before="104"/>
              <w:ind w:left="72" w:right="82"/>
              <w:rPr>
                <w:sz w:val="18"/>
              </w:rPr>
            </w:pPr>
            <w:r>
              <w:rPr>
                <w:b/>
                <w:sz w:val="18"/>
              </w:rPr>
              <w:t>Actividad PAC 2.38.1: </w:t>
            </w:r>
            <w:r>
              <w:rPr>
                <w:sz w:val="18"/>
              </w:rPr>
              <w:t>Seleccionar y eliminar expedientes inactivos individuales</w:t>
            </w:r>
            <w:r>
              <w:rPr>
                <w:spacing w:val="-13"/>
                <w:sz w:val="18"/>
              </w:rPr>
              <w:t> </w:t>
            </w:r>
            <w:r>
              <w:rPr>
                <w:sz w:val="18"/>
              </w:rPr>
              <w:t>custodiados en Archivo Central.</w:t>
            </w:r>
          </w:p>
        </w:tc>
        <w:tc>
          <w:tcPr>
            <w:tcW w:w="1133" w:type="dxa"/>
          </w:tcPr>
          <w:p>
            <w:pPr>
              <w:pStyle w:val="TableParagraph"/>
              <w:ind w:left="66"/>
              <w:rPr>
                <w:sz w:val="18"/>
              </w:rPr>
            </w:pPr>
            <w:r>
              <w:rPr>
                <w:sz w:val="18"/>
              </w:rPr>
              <w:t>Cantidad</w:t>
            </w:r>
            <w:r>
              <w:rPr>
                <w:spacing w:val="-13"/>
                <w:sz w:val="18"/>
              </w:rPr>
              <w:t> </w:t>
            </w:r>
            <w:r>
              <w:rPr>
                <w:sz w:val="18"/>
              </w:rPr>
              <w:t>de </w:t>
            </w:r>
            <w:r>
              <w:rPr>
                <w:spacing w:val="-2"/>
                <w:sz w:val="18"/>
              </w:rPr>
              <w:t>expedientes inactivos revisados </w:t>
            </w:r>
            <w:r>
              <w:rPr>
                <w:spacing w:val="-4"/>
                <w:sz w:val="18"/>
              </w:rPr>
              <w:t>para</w:t>
            </w:r>
          </w:p>
          <w:p>
            <w:pPr>
              <w:pStyle w:val="TableParagraph"/>
              <w:spacing w:line="187" w:lineRule="exact" w:before="1"/>
              <w:ind w:left="66"/>
              <w:rPr>
                <w:sz w:val="18"/>
              </w:rPr>
            </w:pPr>
            <w:r>
              <w:rPr>
                <w:spacing w:val="-2"/>
                <w:sz w:val="18"/>
              </w:rPr>
              <w:t>eliminación</w:t>
            </w:r>
          </w:p>
        </w:tc>
        <w:tc>
          <w:tcPr>
            <w:tcW w:w="1277" w:type="dxa"/>
          </w:tcPr>
          <w:p>
            <w:pPr>
              <w:pStyle w:val="TableParagraph"/>
              <w:rPr>
                <w:b/>
                <w:sz w:val="18"/>
              </w:rPr>
            </w:pPr>
          </w:p>
          <w:p>
            <w:pPr>
              <w:pStyle w:val="TableParagraph"/>
              <w:spacing w:before="103"/>
              <w:rPr>
                <w:b/>
                <w:sz w:val="18"/>
              </w:rPr>
            </w:pPr>
          </w:p>
          <w:p>
            <w:pPr>
              <w:pStyle w:val="TableParagraph"/>
              <w:ind w:right="55"/>
              <w:jc w:val="right"/>
              <w:rPr>
                <w:sz w:val="18"/>
              </w:rPr>
            </w:pPr>
            <w:r>
              <w:rPr>
                <w:sz w:val="18"/>
              </w:rPr>
              <w:t>2</w:t>
            </w:r>
            <w:r>
              <w:rPr>
                <w:spacing w:val="2"/>
                <w:sz w:val="18"/>
              </w:rPr>
              <w:t> </w:t>
            </w:r>
            <w:r>
              <w:rPr>
                <w:spacing w:val="-5"/>
                <w:sz w:val="18"/>
              </w:rPr>
              <w:t>400</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spacing w:before="103"/>
              <w:rPr>
                <w:b/>
                <w:sz w:val="18"/>
              </w:rPr>
            </w:pPr>
          </w:p>
          <w:p>
            <w:pPr>
              <w:pStyle w:val="TableParagraph"/>
              <w:ind w:right="55"/>
              <w:jc w:val="right"/>
              <w:rPr>
                <w:sz w:val="18"/>
              </w:rPr>
            </w:pPr>
            <w:r>
              <w:rPr>
                <w:sz w:val="18"/>
              </w:rPr>
              <w:t>4</w:t>
            </w:r>
            <w:r>
              <w:rPr>
                <w:spacing w:val="2"/>
                <w:sz w:val="18"/>
              </w:rPr>
              <w:t> </w:t>
            </w:r>
            <w:r>
              <w:rPr>
                <w:spacing w:val="-5"/>
                <w:sz w:val="18"/>
              </w:rPr>
              <w:t>800</w:t>
            </w:r>
          </w:p>
        </w:tc>
        <w:tc>
          <w:tcPr>
            <w:tcW w:w="1133" w:type="dxa"/>
          </w:tcPr>
          <w:p>
            <w:pPr>
              <w:pStyle w:val="TableParagraph"/>
              <w:rPr>
                <w:rFonts w:ascii="Times New Roman"/>
                <w:sz w:val="18"/>
              </w:rPr>
            </w:pPr>
          </w:p>
        </w:tc>
        <w:tc>
          <w:tcPr>
            <w:tcW w:w="1277" w:type="dxa"/>
          </w:tcPr>
          <w:p>
            <w:pPr>
              <w:pStyle w:val="TableParagraph"/>
              <w:rPr>
                <w:b/>
                <w:sz w:val="18"/>
              </w:rPr>
            </w:pPr>
          </w:p>
          <w:p>
            <w:pPr>
              <w:pStyle w:val="TableParagraph"/>
              <w:spacing w:before="103"/>
              <w:rPr>
                <w:b/>
                <w:sz w:val="18"/>
              </w:rPr>
            </w:pPr>
          </w:p>
          <w:p>
            <w:pPr>
              <w:pStyle w:val="TableParagraph"/>
              <w:ind w:right="54"/>
              <w:jc w:val="right"/>
              <w:rPr>
                <w:sz w:val="18"/>
              </w:rPr>
            </w:pPr>
            <w:r>
              <w:rPr>
                <w:sz w:val="18"/>
              </w:rPr>
              <w:t>7</w:t>
            </w:r>
            <w:r>
              <w:rPr>
                <w:spacing w:val="2"/>
                <w:sz w:val="18"/>
              </w:rPr>
              <w:t> </w:t>
            </w:r>
            <w:r>
              <w:rPr>
                <w:spacing w:val="-5"/>
                <w:sz w:val="18"/>
              </w:rPr>
              <w:t>200</w:t>
            </w:r>
          </w:p>
        </w:tc>
        <w:tc>
          <w:tcPr>
            <w:tcW w:w="1272" w:type="dxa"/>
          </w:tcPr>
          <w:p>
            <w:pPr>
              <w:pStyle w:val="TableParagraph"/>
              <w:rPr>
                <w:rFonts w:ascii="Times New Roman"/>
                <w:sz w:val="18"/>
              </w:rPr>
            </w:pPr>
          </w:p>
        </w:tc>
        <w:tc>
          <w:tcPr>
            <w:tcW w:w="1421" w:type="dxa"/>
          </w:tcPr>
          <w:p>
            <w:pPr>
              <w:pStyle w:val="TableParagraph"/>
              <w:rPr>
                <w:b/>
                <w:sz w:val="18"/>
              </w:rPr>
            </w:pPr>
          </w:p>
          <w:p>
            <w:pPr>
              <w:pStyle w:val="TableParagraph"/>
              <w:spacing w:before="103"/>
              <w:rPr>
                <w:b/>
                <w:sz w:val="18"/>
              </w:rPr>
            </w:pPr>
          </w:p>
          <w:p>
            <w:pPr>
              <w:pStyle w:val="TableParagraph"/>
              <w:ind w:right="49"/>
              <w:jc w:val="right"/>
              <w:rPr>
                <w:sz w:val="18"/>
              </w:rPr>
            </w:pPr>
            <w:r>
              <w:rPr>
                <w:sz w:val="18"/>
              </w:rPr>
              <w:t>9</w:t>
            </w:r>
            <w:r>
              <w:rPr>
                <w:spacing w:val="2"/>
                <w:sz w:val="18"/>
              </w:rPr>
              <w:t> </w:t>
            </w:r>
            <w:r>
              <w:rPr>
                <w:spacing w:val="-5"/>
                <w:sz w:val="18"/>
              </w:rPr>
              <w:t>600</w:t>
            </w:r>
          </w:p>
        </w:tc>
        <w:tc>
          <w:tcPr>
            <w:tcW w:w="1844" w:type="dxa"/>
          </w:tcPr>
          <w:p>
            <w:pPr>
              <w:pStyle w:val="TableParagraph"/>
              <w:rPr>
                <w:rFonts w:ascii="Times New Roman"/>
                <w:sz w:val="18"/>
              </w:rPr>
            </w:pPr>
          </w:p>
        </w:tc>
      </w:tr>
      <w:tr>
        <w:trPr>
          <w:trHeight w:val="2069" w:hRule="atLeast"/>
        </w:trPr>
        <w:tc>
          <w:tcPr>
            <w:tcW w:w="2123" w:type="dxa"/>
          </w:tcPr>
          <w:p>
            <w:pPr>
              <w:pStyle w:val="TableParagraph"/>
              <w:ind w:left="72" w:right="82"/>
              <w:rPr>
                <w:sz w:val="18"/>
              </w:rPr>
            </w:pPr>
            <w:r>
              <w:rPr>
                <w:b/>
                <w:sz w:val="18"/>
              </w:rPr>
              <w:t>Actividad PAC 2.38.2: </w:t>
            </w:r>
            <w:r>
              <w:rPr>
                <w:sz w:val="18"/>
              </w:rPr>
              <w:t>Seguimiento de las </w:t>
            </w:r>
            <w:r>
              <w:rPr>
                <w:spacing w:val="-2"/>
                <w:sz w:val="18"/>
              </w:rPr>
              <w:t>recomendaciones </w:t>
            </w:r>
            <w:r>
              <w:rPr>
                <w:sz w:val="18"/>
              </w:rPr>
              <w:t>realizadas mediante informes</w:t>
            </w:r>
            <w:r>
              <w:rPr>
                <w:spacing w:val="-15"/>
                <w:sz w:val="18"/>
              </w:rPr>
              <w:t> </w:t>
            </w:r>
            <w:r>
              <w:rPr>
                <w:sz w:val="18"/>
              </w:rPr>
              <w:t>de</w:t>
            </w:r>
            <w:r>
              <w:rPr>
                <w:spacing w:val="-12"/>
                <w:sz w:val="18"/>
              </w:rPr>
              <w:t> </w:t>
            </w:r>
            <w:r>
              <w:rPr>
                <w:sz w:val="18"/>
              </w:rPr>
              <w:t>supervisión presentados con anterioridad a las oficinas</w:t>
            </w:r>
            <w:r>
              <w:rPr>
                <w:spacing w:val="-9"/>
                <w:sz w:val="18"/>
              </w:rPr>
              <w:t> </w:t>
            </w:r>
            <w:r>
              <w:rPr>
                <w:sz w:val="18"/>
              </w:rPr>
              <w:t>producto</w:t>
            </w:r>
            <w:r>
              <w:rPr>
                <w:spacing w:val="-6"/>
                <w:sz w:val="18"/>
              </w:rPr>
              <w:t> </w:t>
            </w:r>
            <w:r>
              <w:rPr>
                <w:sz w:val="18"/>
              </w:rPr>
              <w:t>de</w:t>
            </w:r>
            <w:r>
              <w:rPr>
                <w:spacing w:val="-9"/>
                <w:sz w:val="18"/>
              </w:rPr>
              <w:t> </w:t>
            </w:r>
            <w:r>
              <w:rPr>
                <w:sz w:val="18"/>
              </w:rPr>
              <w:t>las</w:t>
            </w:r>
          </w:p>
          <w:p>
            <w:pPr>
              <w:pStyle w:val="TableParagraph"/>
              <w:spacing w:line="206" w:lineRule="exact"/>
              <w:ind w:left="72"/>
              <w:rPr>
                <w:sz w:val="18"/>
              </w:rPr>
            </w:pPr>
            <w:r>
              <w:rPr>
                <w:sz w:val="18"/>
              </w:rPr>
              <w:t>visitas</w:t>
            </w:r>
            <w:r>
              <w:rPr>
                <w:spacing w:val="-15"/>
                <w:sz w:val="18"/>
              </w:rPr>
              <w:t> </w:t>
            </w:r>
            <w:r>
              <w:rPr>
                <w:sz w:val="18"/>
              </w:rPr>
              <w:t>efectuadas</w:t>
            </w:r>
            <w:r>
              <w:rPr>
                <w:spacing w:val="-12"/>
                <w:sz w:val="18"/>
              </w:rPr>
              <w:t> </w:t>
            </w:r>
            <w:r>
              <w:rPr>
                <w:sz w:val="18"/>
              </w:rPr>
              <w:t>con </w:t>
            </w:r>
            <w:r>
              <w:rPr>
                <w:spacing w:val="-2"/>
                <w:sz w:val="18"/>
              </w:rPr>
              <w:t>anterioridad.</w:t>
            </w:r>
          </w:p>
        </w:tc>
        <w:tc>
          <w:tcPr>
            <w:tcW w:w="1133"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6" w:right="61"/>
              <w:jc w:val="both"/>
              <w:rPr>
                <w:sz w:val="18"/>
              </w:rPr>
            </w:pPr>
            <w:r>
              <w:rPr>
                <w:sz w:val="18"/>
              </w:rPr>
              <w:t>Informes de </w:t>
            </w:r>
            <w:r>
              <w:rPr>
                <w:spacing w:val="-2"/>
                <w:sz w:val="18"/>
              </w:rPr>
              <w:t>supervisión presentados</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pacing w:val="-5"/>
                <w:sz w:val="18"/>
              </w:rPr>
              <w:t>25%</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pacing w:val="-5"/>
                <w:sz w:val="18"/>
              </w:rPr>
              <w:t>50%</w:t>
            </w:r>
          </w:p>
        </w:tc>
        <w:tc>
          <w:tcPr>
            <w:tcW w:w="1133"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6"/>
              <w:jc w:val="right"/>
              <w:rPr>
                <w:sz w:val="18"/>
              </w:rPr>
            </w:pPr>
            <w:r>
              <w:rPr>
                <w:spacing w:val="-5"/>
                <w:sz w:val="18"/>
              </w:rPr>
              <w:t>75%</w:t>
            </w:r>
          </w:p>
        </w:tc>
        <w:tc>
          <w:tcPr>
            <w:tcW w:w="1272"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1"/>
              <w:jc w:val="right"/>
              <w:rPr>
                <w:sz w:val="18"/>
              </w:rPr>
            </w:pPr>
            <w:r>
              <w:rPr>
                <w:spacing w:val="-4"/>
                <w:sz w:val="18"/>
              </w:rPr>
              <w:t>100%</w:t>
            </w:r>
          </w:p>
        </w:tc>
        <w:tc>
          <w:tcPr>
            <w:tcW w:w="1844" w:type="dxa"/>
          </w:tcPr>
          <w:p>
            <w:pPr>
              <w:pStyle w:val="TableParagraph"/>
              <w:rPr>
                <w:rFonts w:ascii="Times New Roman"/>
                <w:sz w:val="18"/>
              </w:rPr>
            </w:pPr>
          </w:p>
        </w:tc>
      </w:tr>
      <w:tr>
        <w:trPr>
          <w:trHeight w:val="1449" w:hRule="atLeast"/>
        </w:trPr>
        <w:tc>
          <w:tcPr>
            <w:tcW w:w="2123" w:type="dxa"/>
          </w:tcPr>
          <w:p>
            <w:pPr>
              <w:pStyle w:val="TableParagraph"/>
              <w:ind w:left="72"/>
              <w:rPr>
                <w:sz w:val="18"/>
              </w:rPr>
            </w:pPr>
            <w:r>
              <w:rPr>
                <w:b/>
                <w:sz w:val="18"/>
              </w:rPr>
              <w:t>Actividad PAC 2.38.3: </w:t>
            </w:r>
            <w:r>
              <w:rPr>
                <w:sz w:val="18"/>
              </w:rPr>
              <w:t>recibidas</w:t>
            </w:r>
            <w:r>
              <w:rPr>
                <w:spacing w:val="-12"/>
                <w:sz w:val="18"/>
              </w:rPr>
              <w:t> </w:t>
            </w:r>
            <w:r>
              <w:rPr>
                <w:sz w:val="18"/>
              </w:rPr>
              <w:t>de</w:t>
            </w:r>
            <w:r>
              <w:rPr>
                <w:spacing w:val="-9"/>
                <w:sz w:val="18"/>
              </w:rPr>
              <w:t> </w:t>
            </w:r>
            <w:r>
              <w:rPr>
                <w:sz w:val="18"/>
              </w:rPr>
              <w:t>los</w:t>
            </w:r>
            <w:r>
              <w:rPr>
                <w:spacing w:val="-12"/>
                <w:sz w:val="18"/>
              </w:rPr>
              <w:t> </w:t>
            </w:r>
            <w:r>
              <w:rPr>
                <w:sz w:val="18"/>
              </w:rPr>
              <w:t>archivos de gestión de Oficinas Centrales producto del proceso de Remisión Anual al Archivo</w:t>
            </w:r>
          </w:p>
          <w:p>
            <w:pPr>
              <w:pStyle w:val="TableParagraph"/>
              <w:spacing w:line="187" w:lineRule="exact"/>
              <w:ind w:left="72"/>
              <w:rPr>
                <w:sz w:val="18"/>
              </w:rPr>
            </w:pPr>
            <w:r>
              <w:rPr>
                <w:spacing w:val="-2"/>
                <w:sz w:val="18"/>
              </w:rPr>
              <w:t>Central.</w:t>
            </w:r>
          </w:p>
        </w:tc>
        <w:tc>
          <w:tcPr>
            <w:tcW w:w="1133" w:type="dxa"/>
          </w:tcPr>
          <w:p>
            <w:pPr>
              <w:pStyle w:val="TableParagraph"/>
              <w:spacing w:before="204"/>
              <w:rPr>
                <w:b/>
                <w:sz w:val="18"/>
              </w:rPr>
            </w:pPr>
          </w:p>
          <w:p>
            <w:pPr>
              <w:pStyle w:val="TableParagraph"/>
              <w:spacing w:line="242" w:lineRule="auto"/>
              <w:ind w:left="66"/>
              <w:rPr>
                <w:sz w:val="18"/>
              </w:rPr>
            </w:pPr>
            <w:r>
              <w:rPr>
                <w:sz w:val="18"/>
              </w:rPr>
              <w:t>Cantidad</w:t>
            </w:r>
            <w:r>
              <w:rPr>
                <w:spacing w:val="-13"/>
                <w:sz w:val="18"/>
              </w:rPr>
              <w:t> </w:t>
            </w:r>
            <w:r>
              <w:rPr>
                <w:sz w:val="18"/>
              </w:rPr>
              <w:t>de </w:t>
            </w:r>
            <w:r>
              <w:rPr>
                <w:spacing w:val="-2"/>
                <w:sz w:val="18"/>
              </w:rPr>
              <w:t>cajas cotejadas</w:t>
            </w: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133" w:type="dxa"/>
          </w:tcPr>
          <w:p>
            <w:pPr>
              <w:pStyle w:val="TableParagraph"/>
              <w:rPr>
                <w:rFonts w:ascii="Times New Roman"/>
                <w:sz w:val="18"/>
              </w:rPr>
            </w:pPr>
          </w:p>
        </w:tc>
        <w:tc>
          <w:tcPr>
            <w:tcW w:w="1277" w:type="dxa"/>
          </w:tcPr>
          <w:p>
            <w:pPr>
              <w:pStyle w:val="TableParagraph"/>
              <w:rPr>
                <w:rFonts w:ascii="Times New Roman"/>
                <w:sz w:val="18"/>
              </w:rPr>
            </w:pPr>
          </w:p>
        </w:tc>
        <w:tc>
          <w:tcPr>
            <w:tcW w:w="1272" w:type="dxa"/>
          </w:tcPr>
          <w:p>
            <w:pPr>
              <w:pStyle w:val="TableParagraph"/>
              <w:rPr>
                <w:rFonts w:ascii="Times New Roman"/>
                <w:sz w:val="18"/>
              </w:rPr>
            </w:pPr>
          </w:p>
        </w:tc>
        <w:tc>
          <w:tcPr>
            <w:tcW w:w="1421" w:type="dxa"/>
          </w:tcPr>
          <w:p>
            <w:pPr>
              <w:pStyle w:val="TableParagraph"/>
              <w:rPr>
                <w:b/>
                <w:sz w:val="18"/>
              </w:rPr>
            </w:pPr>
          </w:p>
          <w:p>
            <w:pPr>
              <w:pStyle w:val="TableParagraph"/>
              <w:spacing w:before="204"/>
              <w:rPr>
                <w:b/>
                <w:sz w:val="18"/>
              </w:rPr>
            </w:pPr>
          </w:p>
          <w:p>
            <w:pPr>
              <w:pStyle w:val="TableParagraph"/>
              <w:ind w:right="54"/>
              <w:jc w:val="right"/>
              <w:rPr>
                <w:sz w:val="18"/>
              </w:rPr>
            </w:pPr>
            <w:r>
              <w:rPr>
                <w:spacing w:val="-5"/>
                <w:sz w:val="18"/>
              </w:rPr>
              <w:t>300</w:t>
            </w:r>
          </w:p>
        </w:tc>
        <w:tc>
          <w:tcPr>
            <w:tcW w:w="1844" w:type="dxa"/>
          </w:tcPr>
          <w:p>
            <w:pPr>
              <w:pStyle w:val="TableParagraph"/>
              <w:rPr>
                <w:rFonts w:ascii="Times New Roman"/>
                <w:sz w:val="18"/>
              </w:rPr>
            </w:pPr>
          </w:p>
        </w:tc>
      </w:tr>
      <w:tr>
        <w:trPr>
          <w:trHeight w:val="2069" w:hRule="atLeast"/>
        </w:trPr>
        <w:tc>
          <w:tcPr>
            <w:tcW w:w="2123" w:type="dxa"/>
          </w:tcPr>
          <w:p>
            <w:pPr>
              <w:pStyle w:val="TableParagraph"/>
              <w:spacing w:before="104"/>
              <w:rPr>
                <w:b/>
                <w:sz w:val="18"/>
              </w:rPr>
            </w:pPr>
          </w:p>
          <w:p>
            <w:pPr>
              <w:pStyle w:val="TableParagraph"/>
              <w:ind w:left="72"/>
              <w:rPr>
                <w:sz w:val="18"/>
              </w:rPr>
            </w:pPr>
            <w:r>
              <w:rPr>
                <w:b/>
                <w:sz w:val="18"/>
              </w:rPr>
              <w:t>Actividad PAC 2.38.4: </w:t>
            </w:r>
            <w:r>
              <w:rPr>
                <w:sz w:val="18"/>
              </w:rPr>
              <w:t>Crear y/o actualizar normativa en materia archivística que sea solicitada</w:t>
            </w:r>
            <w:r>
              <w:rPr>
                <w:spacing w:val="-10"/>
                <w:sz w:val="18"/>
              </w:rPr>
              <w:t> </w:t>
            </w:r>
            <w:r>
              <w:rPr>
                <w:sz w:val="18"/>
              </w:rPr>
              <w:t>por</w:t>
            </w:r>
            <w:r>
              <w:rPr>
                <w:spacing w:val="-12"/>
                <w:sz w:val="18"/>
              </w:rPr>
              <w:t> </w:t>
            </w:r>
            <w:r>
              <w:rPr>
                <w:sz w:val="18"/>
              </w:rPr>
              <w:t>la</w:t>
            </w:r>
            <w:r>
              <w:rPr>
                <w:spacing w:val="-13"/>
                <w:sz w:val="18"/>
              </w:rPr>
              <w:t> </w:t>
            </w:r>
            <w:r>
              <w:rPr>
                <w:sz w:val="18"/>
              </w:rPr>
              <w:t>jefatura inmediata, Dirección o Gerencia General</w:t>
            </w:r>
          </w:p>
        </w:tc>
        <w:tc>
          <w:tcPr>
            <w:tcW w:w="1133" w:type="dxa"/>
          </w:tcPr>
          <w:p>
            <w:pPr>
              <w:pStyle w:val="TableParagraph"/>
              <w:ind w:left="66" w:right="116"/>
              <w:rPr>
                <w:sz w:val="18"/>
              </w:rPr>
            </w:pPr>
            <w:r>
              <w:rPr>
                <w:spacing w:val="-2"/>
                <w:sz w:val="18"/>
              </w:rPr>
              <w:t>Porcentaje </w:t>
            </w:r>
            <w:r>
              <w:rPr>
                <w:spacing w:val="-6"/>
                <w:sz w:val="18"/>
              </w:rPr>
              <w:t>de </w:t>
            </w:r>
            <w:r>
              <w:rPr>
                <w:spacing w:val="-2"/>
                <w:sz w:val="18"/>
              </w:rPr>
              <w:t>normativa </w:t>
            </w:r>
            <w:r>
              <w:rPr>
                <w:sz w:val="18"/>
              </w:rPr>
              <w:t>en materia </w:t>
            </w:r>
            <w:r>
              <w:rPr>
                <w:spacing w:val="-2"/>
                <w:sz w:val="18"/>
              </w:rPr>
              <w:t>archivística </w:t>
            </w:r>
            <w:r>
              <w:rPr>
                <w:sz w:val="18"/>
              </w:rPr>
              <w:t>creada o </w:t>
            </w:r>
            <w:r>
              <w:rPr>
                <w:spacing w:val="-2"/>
                <w:sz w:val="18"/>
              </w:rPr>
              <w:t>actualizada </w:t>
            </w:r>
            <w:r>
              <w:rPr>
                <w:spacing w:val="-4"/>
                <w:sz w:val="18"/>
              </w:rPr>
              <w:t>por</w:t>
            </w:r>
          </w:p>
          <w:p>
            <w:pPr>
              <w:pStyle w:val="TableParagraph"/>
              <w:spacing w:line="206" w:lineRule="exact"/>
              <w:ind w:left="66"/>
              <w:rPr>
                <w:sz w:val="18"/>
              </w:rPr>
            </w:pPr>
            <w:r>
              <w:rPr>
                <w:spacing w:val="-2"/>
                <w:sz w:val="18"/>
              </w:rPr>
              <w:t>necesidad institucional</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pacing w:val="-5"/>
                <w:sz w:val="18"/>
              </w:rPr>
              <w:t>25%</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pacing w:val="-5"/>
                <w:sz w:val="18"/>
              </w:rPr>
              <w:t>50%</w:t>
            </w:r>
          </w:p>
        </w:tc>
        <w:tc>
          <w:tcPr>
            <w:tcW w:w="1133"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6"/>
              <w:jc w:val="right"/>
              <w:rPr>
                <w:sz w:val="18"/>
              </w:rPr>
            </w:pPr>
            <w:r>
              <w:rPr>
                <w:spacing w:val="-5"/>
                <w:sz w:val="18"/>
              </w:rPr>
              <w:t>75%</w:t>
            </w:r>
          </w:p>
        </w:tc>
        <w:tc>
          <w:tcPr>
            <w:tcW w:w="1272"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1"/>
              <w:jc w:val="right"/>
              <w:rPr>
                <w:sz w:val="18"/>
              </w:rPr>
            </w:pPr>
            <w:r>
              <w:rPr>
                <w:spacing w:val="-4"/>
                <w:sz w:val="18"/>
              </w:rPr>
              <w:t>100%</w:t>
            </w:r>
          </w:p>
        </w:tc>
        <w:tc>
          <w:tcPr>
            <w:tcW w:w="1844"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1320" w:bottom="2627"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3"/>
        <w:gridCol w:w="1133"/>
        <w:gridCol w:w="1277"/>
        <w:gridCol w:w="1277"/>
        <w:gridCol w:w="1277"/>
        <w:gridCol w:w="1133"/>
        <w:gridCol w:w="1277"/>
        <w:gridCol w:w="1272"/>
        <w:gridCol w:w="1421"/>
        <w:gridCol w:w="1844"/>
      </w:tblGrid>
      <w:tr>
        <w:trPr>
          <w:trHeight w:val="302" w:hRule="atLeast"/>
        </w:trPr>
        <w:tc>
          <w:tcPr>
            <w:tcW w:w="2123" w:type="dxa"/>
            <w:vMerge w:val="restart"/>
            <w:shd w:val="clear" w:color="auto" w:fill="E7E6E6"/>
          </w:tcPr>
          <w:p>
            <w:pPr>
              <w:pStyle w:val="TableParagraph"/>
              <w:spacing w:before="84"/>
              <w:rPr>
                <w:b/>
                <w:sz w:val="18"/>
              </w:rPr>
            </w:pPr>
          </w:p>
          <w:p>
            <w:pPr>
              <w:pStyle w:val="TableParagraph"/>
              <w:ind w:left="91"/>
              <w:rPr>
                <w:b/>
                <w:sz w:val="18"/>
              </w:rPr>
            </w:pPr>
            <w:r>
              <w:rPr>
                <w:b/>
                <w:sz w:val="18"/>
              </w:rPr>
              <w:t>Objetivos</w:t>
            </w:r>
            <w:r>
              <w:rPr>
                <w:b/>
                <w:spacing w:val="-5"/>
                <w:sz w:val="18"/>
              </w:rPr>
              <w:t> </w:t>
            </w:r>
            <w:r>
              <w:rPr>
                <w:b/>
                <w:sz w:val="18"/>
              </w:rPr>
              <w:t>/</w:t>
            </w:r>
            <w:r>
              <w:rPr>
                <w:b/>
                <w:spacing w:val="-2"/>
                <w:sz w:val="18"/>
              </w:rPr>
              <w:t> Resultados</w:t>
            </w:r>
          </w:p>
        </w:tc>
        <w:tc>
          <w:tcPr>
            <w:tcW w:w="1133" w:type="dxa"/>
            <w:vMerge w:val="restart"/>
            <w:shd w:val="clear" w:color="auto" w:fill="E7E6E6"/>
          </w:tcPr>
          <w:p>
            <w:pPr>
              <w:pStyle w:val="TableParagraph"/>
              <w:spacing w:before="84"/>
              <w:rPr>
                <w:b/>
                <w:sz w:val="18"/>
              </w:rPr>
            </w:pPr>
          </w:p>
          <w:p>
            <w:pPr>
              <w:pStyle w:val="TableParagraph"/>
              <w:ind w:left="157"/>
              <w:rPr>
                <w:b/>
                <w:sz w:val="18"/>
              </w:rPr>
            </w:pPr>
            <w:r>
              <w:rPr>
                <w:b/>
                <w:spacing w:val="-2"/>
                <w:sz w:val="18"/>
              </w:rPr>
              <w:t>Indicador</w:t>
            </w:r>
          </w:p>
        </w:tc>
        <w:tc>
          <w:tcPr>
            <w:tcW w:w="2554" w:type="dxa"/>
            <w:gridSpan w:val="2"/>
            <w:shd w:val="clear" w:color="auto" w:fill="E7E6E6"/>
          </w:tcPr>
          <w:p>
            <w:pPr>
              <w:pStyle w:val="TableParagraph"/>
              <w:spacing w:line="192" w:lineRule="exact" w:before="90"/>
              <w:ind w:left="815"/>
              <w:rPr>
                <w:b/>
                <w:sz w:val="18"/>
              </w:rPr>
            </w:pPr>
            <w:r>
              <w:rPr>
                <w:b/>
                <w:sz w:val="18"/>
              </w:rPr>
              <w:t>I</w:t>
            </w:r>
            <w:r>
              <w:rPr>
                <w:b/>
                <w:spacing w:val="-1"/>
                <w:sz w:val="18"/>
              </w:rPr>
              <w:t> </w:t>
            </w:r>
            <w:r>
              <w:rPr>
                <w:b/>
                <w:spacing w:val="-2"/>
                <w:sz w:val="18"/>
              </w:rPr>
              <w:t>Trimestre</w:t>
            </w:r>
          </w:p>
        </w:tc>
        <w:tc>
          <w:tcPr>
            <w:tcW w:w="2410" w:type="dxa"/>
            <w:gridSpan w:val="2"/>
            <w:shd w:val="clear" w:color="auto" w:fill="E7E6E6"/>
          </w:tcPr>
          <w:p>
            <w:pPr>
              <w:pStyle w:val="TableParagraph"/>
              <w:spacing w:line="192" w:lineRule="exact" w:before="90"/>
              <w:ind w:left="714"/>
              <w:rPr>
                <w:b/>
                <w:sz w:val="18"/>
              </w:rPr>
            </w:pPr>
            <w:r>
              <w:rPr>
                <w:b/>
                <w:sz w:val="18"/>
              </w:rPr>
              <w:t>II</w:t>
            </w:r>
            <w:r>
              <w:rPr>
                <w:b/>
                <w:spacing w:val="-3"/>
                <w:sz w:val="18"/>
              </w:rPr>
              <w:t> </w:t>
            </w:r>
            <w:r>
              <w:rPr>
                <w:b/>
                <w:spacing w:val="-2"/>
                <w:sz w:val="18"/>
              </w:rPr>
              <w:t>Trimestre</w:t>
            </w:r>
          </w:p>
        </w:tc>
        <w:tc>
          <w:tcPr>
            <w:tcW w:w="2549" w:type="dxa"/>
            <w:gridSpan w:val="2"/>
            <w:shd w:val="clear" w:color="auto" w:fill="E7E6E6"/>
          </w:tcPr>
          <w:p>
            <w:pPr>
              <w:pStyle w:val="TableParagraph"/>
              <w:spacing w:line="192" w:lineRule="exact" w:before="90"/>
              <w:ind w:left="763"/>
              <w:rPr>
                <w:b/>
                <w:sz w:val="18"/>
              </w:rPr>
            </w:pPr>
            <w:r>
              <w:rPr>
                <w:b/>
                <w:sz w:val="18"/>
              </w:rPr>
              <w:t>III</w:t>
            </w:r>
            <w:r>
              <w:rPr>
                <w:b/>
                <w:spacing w:val="-2"/>
                <w:sz w:val="18"/>
              </w:rPr>
              <w:t> Trimestre</w:t>
            </w:r>
          </w:p>
        </w:tc>
        <w:tc>
          <w:tcPr>
            <w:tcW w:w="3265" w:type="dxa"/>
            <w:gridSpan w:val="2"/>
            <w:shd w:val="clear" w:color="auto" w:fill="E7E6E6"/>
          </w:tcPr>
          <w:p>
            <w:pPr>
              <w:pStyle w:val="TableParagraph"/>
              <w:spacing w:line="192" w:lineRule="exact" w:before="90"/>
              <w:ind w:left="20"/>
              <w:jc w:val="center"/>
              <w:rPr>
                <w:b/>
                <w:sz w:val="18"/>
              </w:rPr>
            </w:pPr>
            <w:r>
              <w:rPr>
                <w:b/>
                <w:sz w:val="18"/>
              </w:rPr>
              <w:t>IV</w:t>
            </w:r>
            <w:r>
              <w:rPr>
                <w:b/>
                <w:spacing w:val="-2"/>
                <w:sz w:val="18"/>
              </w:rPr>
              <w:t> Trimestre</w:t>
            </w:r>
          </w:p>
        </w:tc>
      </w:tr>
      <w:tr>
        <w:trPr>
          <w:trHeight w:val="479" w:hRule="atLeast"/>
        </w:trPr>
        <w:tc>
          <w:tcPr>
            <w:tcW w:w="2123" w:type="dxa"/>
            <w:vMerge/>
            <w:tcBorders>
              <w:top w:val="nil"/>
            </w:tcBorders>
            <w:shd w:val="clear" w:color="auto" w:fill="E7E6E6"/>
          </w:tcPr>
          <w:p>
            <w:pPr>
              <w:rPr>
                <w:sz w:val="2"/>
                <w:szCs w:val="2"/>
              </w:rPr>
            </w:pPr>
          </w:p>
        </w:tc>
        <w:tc>
          <w:tcPr>
            <w:tcW w:w="1133" w:type="dxa"/>
            <w:vMerge/>
            <w:tcBorders>
              <w:top w:val="nil"/>
            </w:tcBorders>
            <w:shd w:val="clear" w:color="auto" w:fill="E7E6E6"/>
          </w:tcPr>
          <w:p>
            <w:pPr>
              <w:rPr>
                <w:sz w:val="2"/>
                <w:szCs w:val="2"/>
              </w:rPr>
            </w:pPr>
          </w:p>
        </w:tc>
        <w:tc>
          <w:tcPr>
            <w:tcW w:w="1277" w:type="dxa"/>
            <w:shd w:val="clear" w:color="auto" w:fill="E7E6E6"/>
          </w:tcPr>
          <w:p>
            <w:pPr>
              <w:pStyle w:val="TableParagraph"/>
              <w:spacing w:before="32"/>
              <w:ind w:left="114" w:firstLine="317"/>
              <w:rPr>
                <w:b/>
                <w:sz w:val="18"/>
              </w:rPr>
            </w:pPr>
            <w:r>
              <w:rPr>
                <w:b/>
                <w:spacing w:val="-4"/>
                <w:sz w:val="18"/>
              </w:rPr>
              <w:t>Meta </w:t>
            </w:r>
            <w:r>
              <w:rPr>
                <w:b/>
                <w:spacing w:val="-2"/>
                <w:sz w:val="18"/>
              </w:rPr>
              <w:t>programada</w:t>
            </w:r>
          </w:p>
        </w:tc>
        <w:tc>
          <w:tcPr>
            <w:tcW w:w="1277" w:type="dxa"/>
            <w:shd w:val="clear" w:color="auto" w:fill="E7E6E6"/>
          </w:tcPr>
          <w:p>
            <w:pPr>
              <w:pStyle w:val="TableParagraph"/>
              <w:spacing w:before="133"/>
              <w:ind w:left="16" w:right="11"/>
              <w:jc w:val="center"/>
              <w:rPr>
                <w:b/>
                <w:sz w:val="18"/>
              </w:rPr>
            </w:pPr>
            <w:r>
              <w:rPr>
                <w:b/>
                <w:spacing w:val="-10"/>
                <w:sz w:val="18"/>
              </w:rPr>
              <w:t>¢</w:t>
            </w:r>
          </w:p>
        </w:tc>
        <w:tc>
          <w:tcPr>
            <w:tcW w:w="1277" w:type="dxa"/>
            <w:shd w:val="clear" w:color="auto" w:fill="E7E6E6"/>
          </w:tcPr>
          <w:p>
            <w:pPr>
              <w:pStyle w:val="TableParagraph"/>
              <w:spacing w:before="32"/>
              <w:ind w:left="114" w:firstLine="312"/>
              <w:rPr>
                <w:b/>
                <w:sz w:val="18"/>
              </w:rPr>
            </w:pPr>
            <w:r>
              <w:rPr>
                <w:b/>
                <w:spacing w:val="-4"/>
                <w:sz w:val="18"/>
              </w:rPr>
              <w:t>Meta </w:t>
            </w:r>
            <w:r>
              <w:rPr>
                <w:b/>
                <w:spacing w:val="-2"/>
                <w:sz w:val="18"/>
              </w:rPr>
              <w:t>programada</w:t>
            </w:r>
          </w:p>
        </w:tc>
        <w:tc>
          <w:tcPr>
            <w:tcW w:w="1133" w:type="dxa"/>
            <w:shd w:val="clear" w:color="auto" w:fill="E7E6E6"/>
          </w:tcPr>
          <w:p>
            <w:pPr>
              <w:pStyle w:val="TableParagraph"/>
              <w:spacing w:before="133"/>
              <w:ind w:left="5"/>
              <w:jc w:val="center"/>
              <w:rPr>
                <w:b/>
                <w:sz w:val="18"/>
              </w:rPr>
            </w:pPr>
            <w:r>
              <w:rPr>
                <w:b/>
                <w:spacing w:val="-10"/>
                <w:sz w:val="18"/>
              </w:rPr>
              <w:t>¢</w:t>
            </w:r>
          </w:p>
        </w:tc>
        <w:tc>
          <w:tcPr>
            <w:tcW w:w="1277" w:type="dxa"/>
            <w:shd w:val="clear" w:color="auto" w:fill="E7E6E6"/>
          </w:tcPr>
          <w:p>
            <w:pPr>
              <w:pStyle w:val="TableParagraph"/>
              <w:spacing w:before="32"/>
              <w:ind w:left="114" w:firstLine="317"/>
              <w:rPr>
                <w:b/>
                <w:sz w:val="18"/>
              </w:rPr>
            </w:pPr>
            <w:r>
              <w:rPr>
                <w:b/>
                <w:spacing w:val="-4"/>
                <w:sz w:val="18"/>
              </w:rPr>
              <w:t>Meta </w:t>
            </w:r>
            <w:r>
              <w:rPr>
                <w:b/>
                <w:spacing w:val="-2"/>
                <w:sz w:val="18"/>
              </w:rPr>
              <w:t>programada</w:t>
            </w:r>
          </w:p>
        </w:tc>
        <w:tc>
          <w:tcPr>
            <w:tcW w:w="1272" w:type="dxa"/>
            <w:shd w:val="clear" w:color="auto" w:fill="E7E6E6"/>
          </w:tcPr>
          <w:p>
            <w:pPr>
              <w:pStyle w:val="TableParagraph"/>
              <w:spacing w:before="133"/>
              <w:ind w:left="20" w:right="19"/>
              <w:jc w:val="center"/>
              <w:rPr>
                <w:b/>
                <w:sz w:val="18"/>
              </w:rPr>
            </w:pPr>
            <w:r>
              <w:rPr>
                <w:b/>
                <w:spacing w:val="-10"/>
                <w:sz w:val="18"/>
              </w:rPr>
              <w:t>¢</w:t>
            </w:r>
          </w:p>
        </w:tc>
        <w:tc>
          <w:tcPr>
            <w:tcW w:w="1421" w:type="dxa"/>
            <w:shd w:val="clear" w:color="auto" w:fill="E7E6E6"/>
          </w:tcPr>
          <w:p>
            <w:pPr>
              <w:pStyle w:val="TableParagraph"/>
              <w:spacing w:line="210" w:lineRule="atLeast" w:before="39"/>
              <w:ind w:left="192" w:firstLine="312"/>
              <w:rPr>
                <w:b/>
                <w:sz w:val="18"/>
              </w:rPr>
            </w:pPr>
            <w:r>
              <w:rPr>
                <w:b/>
                <w:spacing w:val="-4"/>
                <w:sz w:val="18"/>
              </w:rPr>
              <w:t>Meta </w:t>
            </w:r>
            <w:r>
              <w:rPr>
                <w:b/>
                <w:spacing w:val="-2"/>
                <w:sz w:val="18"/>
              </w:rPr>
              <w:t>programada</w:t>
            </w:r>
          </w:p>
        </w:tc>
        <w:tc>
          <w:tcPr>
            <w:tcW w:w="1844" w:type="dxa"/>
            <w:shd w:val="clear" w:color="auto" w:fill="E7E6E6"/>
          </w:tcPr>
          <w:p>
            <w:pPr>
              <w:pStyle w:val="TableParagraph"/>
              <w:spacing w:before="133"/>
              <w:ind w:left="9" w:right="3"/>
              <w:jc w:val="center"/>
              <w:rPr>
                <w:b/>
                <w:sz w:val="18"/>
              </w:rPr>
            </w:pPr>
            <w:r>
              <w:rPr>
                <w:b/>
                <w:spacing w:val="-10"/>
                <w:sz w:val="18"/>
              </w:rPr>
              <w:t>¢</w:t>
            </w:r>
          </w:p>
        </w:tc>
      </w:tr>
      <w:tr>
        <w:trPr>
          <w:trHeight w:val="403" w:hRule="atLeast"/>
        </w:trPr>
        <w:tc>
          <w:tcPr>
            <w:tcW w:w="14034" w:type="dxa"/>
            <w:gridSpan w:val="10"/>
            <w:shd w:val="clear" w:color="auto" w:fill="EFF8F9"/>
          </w:tcPr>
          <w:p>
            <w:pPr>
              <w:pStyle w:val="TableParagraph"/>
              <w:spacing w:before="95"/>
              <w:ind w:left="72"/>
              <w:rPr>
                <w:b/>
                <w:sz w:val="18"/>
              </w:rPr>
            </w:pPr>
            <w:r>
              <w:rPr>
                <w:b/>
                <w:sz w:val="18"/>
              </w:rPr>
              <w:t>Producto</w:t>
            </w:r>
            <w:r>
              <w:rPr>
                <w:b/>
                <w:spacing w:val="-9"/>
                <w:sz w:val="18"/>
              </w:rPr>
              <w:t> </w:t>
            </w:r>
            <w:r>
              <w:rPr>
                <w:b/>
                <w:sz w:val="18"/>
              </w:rPr>
              <w:t>PAC</w:t>
            </w:r>
            <w:r>
              <w:rPr>
                <w:b/>
                <w:spacing w:val="-9"/>
                <w:sz w:val="18"/>
              </w:rPr>
              <w:t> </w:t>
            </w:r>
            <w:r>
              <w:rPr>
                <w:b/>
                <w:sz w:val="18"/>
              </w:rPr>
              <w:t>2.39:</w:t>
            </w:r>
            <w:r>
              <w:rPr>
                <w:b/>
                <w:spacing w:val="-5"/>
                <w:sz w:val="18"/>
              </w:rPr>
              <w:t> </w:t>
            </w:r>
            <w:r>
              <w:rPr>
                <w:b/>
                <w:sz w:val="18"/>
              </w:rPr>
              <w:t>Proceso</w:t>
            </w:r>
            <w:r>
              <w:rPr>
                <w:b/>
                <w:spacing w:val="-8"/>
                <w:sz w:val="18"/>
              </w:rPr>
              <w:t> </w:t>
            </w:r>
            <w:r>
              <w:rPr>
                <w:b/>
                <w:sz w:val="18"/>
              </w:rPr>
              <w:t>Infraestructura:</w:t>
            </w:r>
            <w:r>
              <w:rPr>
                <w:b/>
                <w:spacing w:val="-6"/>
                <w:sz w:val="18"/>
              </w:rPr>
              <w:t> </w:t>
            </w:r>
            <w:r>
              <w:rPr>
                <w:b/>
                <w:sz w:val="18"/>
              </w:rPr>
              <w:t>eficiente</w:t>
            </w:r>
            <w:r>
              <w:rPr>
                <w:b/>
                <w:spacing w:val="-3"/>
                <w:sz w:val="18"/>
              </w:rPr>
              <w:t> </w:t>
            </w:r>
            <w:r>
              <w:rPr>
                <w:b/>
                <w:sz w:val="18"/>
              </w:rPr>
              <w:t>desarrollo</w:t>
            </w:r>
            <w:r>
              <w:rPr>
                <w:b/>
                <w:spacing w:val="-9"/>
                <w:sz w:val="18"/>
              </w:rPr>
              <w:t> </w:t>
            </w:r>
            <w:r>
              <w:rPr>
                <w:b/>
                <w:sz w:val="18"/>
              </w:rPr>
              <w:t>de</w:t>
            </w:r>
            <w:r>
              <w:rPr>
                <w:b/>
                <w:spacing w:val="-7"/>
                <w:sz w:val="18"/>
              </w:rPr>
              <w:t> </w:t>
            </w:r>
            <w:r>
              <w:rPr>
                <w:b/>
                <w:sz w:val="18"/>
              </w:rPr>
              <w:t>los</w:t>
            </w:r>
            <w:r>
              <w:rPr>
                <w:b/>
                <w:spacing w:val="-4"/>
                <w:sz w:val="18"/>
              </w:rPr>
              <w:t> </w:t>
            </w:r>
            <w:r>
              <w:rPr>
                <w:b/>
                <w:sz w:val="18"/>
              </w:rPr>
              <w:t>proyectos</w:t>
            </w:r>
            <w:r>
              <w:rPr>
                <w:b/>
                <w:spacing w:val="-7"/>
                <w:sz w:val="18"/>
              </w:rPr>
              <w:t> </w:t>
            </w:r>
            <w:r>
              <w:rPr>
                <w:b/>
                <w:sz w:val="18"/>
              </w:rPr>
              <w:t>de</w:t>
            </w:r>
            <w:r>
              <w:rPr>
                <w:b/>
                <w:spacing w:val="-7"/>
                <w:sz w:val="18"/>
              </w:rPr>
              <w:t> </w:t>
            </w:r>
            <w:r>
              <w:rPr>
                <w:b/>
                <w:sz w:val="18"/>
              </w:rPr>
              <w:t>infraestructura</w:t>
            </w:r>
            <w:r>
              <w:rPr>
                <w:b/>
                <w:spacing w:val="-7"/>
                <w:sz w:val="18"/>
              </w:rPr>
              <w:t> </w:t>
            </w:r>
            <w:r>
              <w:rPr>
                <w:b/>
                <w:sz w:val="18"/>
              </w:rPr>
              <w:t>del</w:t>
            </w:r>
            <w:r>
              <w:rPr>
                <w:b/>
                <w:spacing w:val="-6"/>
                <w:sz w:val="18"/>
              </w:rPr>
              <w:t> </w:t>
            </w:r>
            <w:r>
              <w:rPr>
                <w:b/>
                <w:sz w:val="18"/>
              </w:rPr>
              <w:t>Nivel</w:t>
            </w:r>
            <w:r>
              <w:rPr>
                <w:b/>
                <w:spacing w:val="-5"/>
                <w:sz w:val="18"/>
              </w:rPr>
              <w:t> </w:t>
            </w:r>
            <w:r>
              <w:rPr>
                <w:b/>
                <w:spacing w:val="-2"/>
                <w:sz w:val="18"/>
              </w:rPr>
              <w:t>Central</w:t>
            </w:r>
          </w:p>
        </w:tc>
      </w:tr>
      <w:tr>
        <w:trPr>
          <w:trHeight w:val="2486" w:hRule="atLeast"/>
        </w:trPr>
        <w:tc>
          <w:tcPr>
            <w:tcW w:w="2123" w:type="dxa"/>
          </w:tcPr>
          <w:p>
            <w:pPr>
              <w:pStyle w:val="TableParagraph"/>
              <w:ind w:left="72" w:right="30"/>
              <w:rPr>
                <w:sz w:val="18"/>
              </w:rPr>
            </w:pPr>
            <w:r>
              <w:rPr>
                <w:b/>
                <w:sz w:val="18"/>
              </w:rPr>
              <w:t>Actividad PAC 2.39.1: </w:t>
            </w:r>
            <w:r>
              <w:rPr>
                <w:sz w:val="18"/>
              </w:rPr>
              <w:t>Ejecutar etapas programadas de la consultoría y construcción</w:t>
            </w:r>
            <w:r>
              <w:rPr>
                <w:spacing w:val="-15"/>
                <w:sz w:val="18"/>
              </w:rPr>
              <w:t> </w:t>
            </w:r>
            <w:r>
              <w:rPr>
                <w:sz w:val="18"/>
              </w:rPr>
              <w:t>del</w:t>
            </w:r>
            <w:r>
              <w:rPr>
                <w:spacing w:val="-12"/>
                <w:sz w:val="18"/>
              </w:rPr>
              <w:t> </w:t>
            </w:r>
            <w:r>
              <w:rPr>
                <w:sz w:val="18"/>
              </w:rPr>
              <w:t>sistema de supresión de incendios del Edificio Central.</w:t>
            </w:r>
            <w:r>
              <w:rPr>
                <w:spacing w:val="40"/>
                <w:sz w:val="18"/>
              </w:rPr>
              <w:t> </w:t>
            </w:r>
            <w:r>
              <w:rPr>
                <w:sz w:val="18"/>
              </w:rPr>
              <w:t>(1.04.03 Servicios de ingeniería) (5.02.99</w:t>
            </w:r>
            <w:r>
              <w:rPr>
                <w:spacing w:val="-7"/>
                <w:sz w:val="18"/>
              </w:rPr>
              <w:t> </w:t>
            </w:r>
            <w:r>
              <w:rPr>
                <w:sz w:val="18"/>
              </w:rPr>
              <w:t>Otras </w:t>
            </w:r>
            <w:r>
              <w:rPr>
                <w:spacing w:val="-2"/>
                <w:sz w:val="18"/>
              </w:rPr>
              <w:t>construcciones,</w:t>
            </w:r>
          </w:p>
          <w:p>
            <w:pPr>
              <w:pStyle w:val="TableParagraph"/>
              <w:spacing w:line="187" w:lineRule="exact" w:before="3"/>
              <w:ind w:left="72"/>
              <w:rPr>
                <w:sz w:val="18"/>
              </w:rPr>
            </w:pPr>
            <w:r>
              <w:rPr>
                <w:sz w:val="18"/>
              </w:rPr>
              <w:t>adiciones y</w:t>
            </w:r>
            <w:r>
              <w:rPr>
                <w:spacing w:val="-9"/>
                <w:sz w:val="18"/>
              </w:rPr>
              <w:t> </w:t>
            </w:r>
            <w:r>
              <w:rPr>
                <w:spacing w:val="-2"/>
                <w:sz w:val="18"/>
              </w:rPr>
              <w:t>mejoras)</w:t>
            </w:r>
          </w:p>
        </w:tc>
        <w:tc>
          <w:tcPr>
            <w:tcW w:w="1133"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6" w:right="70"/>
              <w:rPr>
                <w:sz w:val="18"/>
              </w:rPr>
            </w:pPr>
            <w:r>
              <w:rPr>
                <w:spacing w:val="-2"/>
                <w:sz w:val="18"/>
              </w:rPr>
              <w:t>Porcentaje </w:t>
            </w:r>
            <w:r>
              <w:rPr>
                <w:spacing w:val="-6"/>
                <w:sz w:val="18"/>
              </w:rPr>
              <w:t>de</w:t>
            </w:r>
            <w:r>
              <w:rPr>
                <w:spacing w:val="80"/>
                <w:sz w:val="18"/>
              </w:rPr>
              <w:t> </w:t>
            </w:r>
            <w:r>
              <w:rPr>
                <w:spacing w:val="-2"/>
                <w:sz w:val="18"/>
              </w:rPr>
              <w:t>ejecución </w:t>
            </w:r>
            <w:r>
              <w:rPr>
                <w:sz w:val="18"/>
              </w:rPr>
              <w:t>del</w:t>
            </w:r>
            <w:r>
              <w:rPr>
                <w:spacing w:val="-13"/>
                <w:sz w:val="18"/>
              </w:rPr>
              <w:t> </w:t>
            </w:r>
            <w:r>
              <w:rPr>
                <w:sz w:val="18"/>
              </w:rPr>
              <w:t>proyecto </w:t>
            </w:r>
            <w:r>
              <w:rPr>
                <w:spacing w:val="-2"/>
                <w:sz w:val="18"/>
              </w:rPr>
              <w:t>según cronograma</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7"/>
              <w:jc w:val="right"/>
              <w:rPr>
                <w:sz w:val="18"/>
              </w:rPr>
            </w:pPr>
            <w:r>
              <w:rPr>
                <w:spacing w:val="-5"/>
                <w:sz w:val="18"/>
              </w:rPr>
              <w:t>13%</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7"/>
              <w:jc w:val="right"/>
              <w:rPr>
                <w:sz w:val="18"/>
              </w:rPr>
            </w:pPr>
            <w:r>
              <w:rPr>
                <w:spacing w:val="-5"/>
                <w:sz w:val="18"/>
              </w:rPr>
              <w:t>50%</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01"/>
              <w:jc w:val="center"/>
              <w:rPr>
                <w:sz w:val="18"/>
              </w:rPr>
            </w:pPr>
            <w:r>
              <w:rPr>
                <w:sz w:val="18"/>
              </w:rPr>
              <w:t>75</w:t>
            </w:r>
            <w:r>
              <w:rPr>
                <w:spacing w:val="2"/>
                <w:sz w:val="18"/>
              </w:rPr>
              <w:t> </w:t>
            </w:r>
            <w:r>
              <w:rPr>
                <w:sz w:val="18"/>
              </w:rPr>
              <w:t>905</w:t>
            </w:r>
            <w:r>
              <w:rPr>
                <w:spacing w:val="-2"/>
                <w:sz w:val="18"/>
              </w:rPr>
              <w:t> </w:t>
            </w:r>
            <w:r>
              <w:rPr>
                <w:spacing w:val="-5"/>
                <w:sz w:val="18"/>
              </w:rPr>
              <w:t>550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6"/>
              <w:jc w:val="right"/>
              <w:rPr>
                <w:sz w:val="18"/>
              </w:rPr>
            </w:pPr>
            <w:r>
              <w:rPr>
                <w:spacing w:val="-5"/>
                <w:sz w:val="18"/>
              </w:rPr>
              <w:t>87%</w:t>
            </w:r>
          </w:p>
        </w:tc>
        <w:tc>
          <w:tcPr>
            <w:tcW w:w="12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4"/>
              <w:jc w:val="right"/>
              <w:rPr>
                <w:sz w:val="18"/>
              </w:rPr>
            </w:pPr>
            <w:r>
              <w:rPr>
                <w:sz w:val="18"/>
              </w:rPr>
              <w:t>151</w:t>
            </w:r>
            <w:r>
              <w:rPr>
                <w:spacing w:val="2"/>
                <w:sz w:val="18"/>
              </w:rPr>
              <w:t> </w:t>
            </w:r>
            <w:r>
              <w:rPr>
                <w:sz w:val="18"/>
              </w:rPr>
              <w:t>811</w:t>
            </w:r>
            <w:r>
              <w:rPr>
                <w:spacing w:val="-2"/>
                <w:sz w:val="18"/>
              </w:rPr>
              <w:t> </w:t>
            </w:r>
            <w:r>
              <w:rPr>
                <w:spacing w:val="-5"/>
                <w:sz w:val="18"/>
              </w:rPr>
              <w:t>100</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1"/>
              <w:jc w:val="right"/>
              <w:rPr>
                <w:sz w:val="18"/>
              </w:rPr>
            </w:pPr>
            <w:r>
              <w:rPr>
                <w:spacing w:val="-4"/>
                <w:sz w:val="18"/>
              </w:rPr>
              <w:t>100%</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4"/>
              <w:jc w:val="right"/>
              <w:rPr>
                <w:sz w:val="18"/>
              </w:rPr>
            </w:pPr>
            <w:r>
              <w:rPr>
                <w:sz w:val="18"/>
              </w:rPr>
              <w:t>216</w:t>
            </w:r>
            <w:r>
              <w:rPr>
                <w:spacing w:val="2"/>
                <w:sz w:val="18"/>
              </w:rPr>
              <w:t> </w:t>
            </w:r>
            <w:r>
              <w:rPr>
                <w:sz w:val="18"/>
              </w:rPr>
              <w:t>873</w:t>
            </w:r>
            <w:r>
              <w:rPr>
                <w:spacing w:val="-2"/>
                <w:sz w:val="18"/>
              </w:rPr>
              <w:t> </w:t>
            </w:r>
            <w:r>
              <w:rPr>
                <w:spacing w:val="-5"/>
                <w:sz w:val="18"/>
              </w:rPr>
              <w:t>000</w:t>
            </w:r>
          </w:p>
        </w:tc>
      </w:tr>
      <w:tr>
        <w:trPr>
          <w:trHeight w:val="2688" w:hRule="atLeast"/>
        </w:trPr>
        <w:tc>
          <w:tcPr>
            <w:tcW w:w="2123" w:type="dxa"/>
          </w:tcPr>
          <w:p>
            <w:pPr>
              <w:pStyle w:val="TableParagraph"/>
              <w:ind w:left="72" w:right="82"/>
              <w:rPr>
                <w:sz w:val="18"/>
              </w:rPr>
            </w:pPr>
            <w:r>
              <w:rPr>
                <w:b/>
                <w:sz w:val="18"/>
              </w:rPr>
              <w:t>Actividad PAC 2.39.2: </w:t>
            </w:r>
            <w:r>
              <w:rPr>
                <w:sz w:val="18"/>
              </w:rPr>
              <w:t>Ejecutar etapas programadas de la consultoría y construcción de la Escalera de emergencias</w:t>
            </w:r>
            <w:r>
              <w:rPr>
                <w:spacing w:val="-12"/>
                <w:sz w:val="18"/>
              </w:rPr>
              <w:t> </w:t>
            </w:r>
            <w:r>
              <w:rPr>
                <w:sz w:val="18"/>
              </w:rPr>
              <w:t>para</w:t>
            </w:r>
            <w:r>
              <w:rPr>
                <w:spacing w:val="-12"/>
                <w:sz w:val="18"/>
              </w:rPr>
              <w:t> </w:t>
            </w:r>
            <w:r>
              <w:rPr>
                <w:sz w:val="18"/>
              </w:rPr>
              <w:t>el</w:t>
            </w:r>
            <w:r>
              <w:rPr>
                <w:spacing w:val="-10"/>
                <w:sz w:val="18"/>
              </w:rPr>
              <w:t> </w:t>
            </w:r>
            <w:r>
              <w:rPr>
                <w:sz w:val="18"/>
              </w:rPr>
              <w:t>ala suroeste del Edificio Central. (1.04.03 Servicios de ingeniería) (5.02.99</w:t>
            </w:r>
            <w:r>
              <w:rPr>
                <w:spacing w:val="-7"/>
                <w:sz w:val="18"/>
              </w:rPr>
              <w:t> </w:t>
            </w:r>
            <w:r>
              <w:rPr>
                <w:sz w:val="18"/>
              </w:rPr>
              <w:t>Otras </w:t>
            </w:r>
            <w:r>
              <w:rPr>
                <w:spacing w:val="-2"/>
                <w:sz w:val="18"/>
              </w:rPr>
              <w:t>construcciones,</w:t>
            </w:r>
          </w:p>
          <w:p>
            <w:pPr>
              <w:pStyle w:val="TableParagraph"/>
              <w:spacing w:line="186" w:lineRule="exact"/>
              <w:ind w:left="72"/>
              <w:rPr>
                <w:sz w:val="18"/>
              </w:rPr>
            </w:pPr>
            <w:r>
              <w:rPr>
                <w:sz w:val="18"/>
              </w:rPr>
              <w:t>adiciones y</w:t>
            </w:r>
            <w:r>
              <w:rPr>
                <w:spacing w:val="-9"/>
                <w:sz w:val="18"/>
              </w:rPr>
              <w:t> </w:t>
            </w:r>
            <w:r>
              <w:rPr>
                <w:spacing w:val="-2"/>
                <w:sz w:val="18"/>
              </w:rPr>
              <w:t>mejoras))</w:t>
            </w:r>
          </w:p>
        </w:tc>
        <w:tc>
          <w:tcPr>
            <w:tcW w:w="113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6" w:right="70"/>
              <w:rPr>
                <w:sz w:val="18"/>
              </w:rPr>
            </w:pPr>
            <w:r>
              <w:rPr>
                <w:spacing w:val="-2"/>
                <w:sz w:val="18"/>
              </w:rPr>
              <w:t>Porcentaje </w:t>
            </w:r>
            <w:r>
              <w:rPr>
                <w:spacing w:val="-6"/>
                <w:sz w:val="18"/>
              </w:rPr>
              <w:t>de</w:t>
            </w:r>
            <w:r>
              <w:rPr>
                <w:spacing w:val="80"/>
                <w:sz w:val="18"/>
              </w:rPr>
              <w:t> </w:t>
            </w:r>
            <w:r>
              <w:rPr>
                <w:spacing w:val="-2"/>
                <w:sz w:val="18"/>
              </w:rPr>
              <w:t>ejecución </w:t>
            </w:r>
            <w:r>
              <w:rPr>
                <w:sz w:val="18"/>
              </w:rPr>
              <w:t>del</w:t>
            </w:r>
            <w:r>
              <w:rPr>
                <w:spacing w:val="-13"/>
                <w:sz w:val="18"/>
              </w:rPr>
              <w:t> </w:t>
            </w:r>
            <w:r>
              <w:rPr>
                <w:sz w:val="18"/>
              </w:rPr>
              <w:t>proyecto </w:t>
            </w:r>
            <w:r>
              <w:rPr>
                <w:spacing w:val="-2"/>
                <w:sz w:val="18"/>
              </w:rPr>
              <w:t>según cronograma</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7"/>
              <w:jc w:val="right"/>
              <w:rPr>
                <w:sz w:val="18"/>
              </w:rPr>
            </w:pPr>
            <w:r>
              <w:rPr>
                <w:spacing w:val="-5"/>
                <w:sz w:val="18"/>
              </w:rPr>
              <w:t>13%</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7"/>
              <w:jc w:val="right"/>
              <w:rPr>
                <w:sz w:val="18"/>
              </w:rPr>
            </w:pPr>
            <w:r>
              <w:rPr>
                <w:spacing w:val="-5"/>
                <w:sz w:val="18"/>
              </w:rPr>
              <w:t>32%</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left="101"/>
              <w:jc w:val="center"/>
              <w:rPr>
                <w:sz w:val="18"/>
              </w:rPr>
            </w:pPr>
            <w:r>
              <w:rPr>
                <w:sz w:val="18"/>
              </w:rPr>
              <w:t>16</w:t>
            </w:r>
            <w:r>
              <w:rPr>
                <w:spacing w:val="2"/>
                <w:sz w:val="18"/>
              </w:rPr>
              <w:t> </w:t>
            </w:r>
            <w:r>
              <w:rPr>
                <w:sz w:val="18"/>
              </w:rPr>
              <w:t>796</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6"/>
              <w:jc w:val="right"/>
              <w:rPr>
                <w:sz w:val="18"/>
              </w:rPr>
            </w:pPr>
            <w:r>
              <w:rPr>
                <w:spacing w:val="-5"/>
                <w:sz w:val="18"/>
              </w:rPr>
              <w:t>64%</w:t>
            </w:r>
          </w:p>
        </w:tc>
        <w:tc>
          <w:tcPr>
            <w:tcW w:w="12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4"/>
              <w:jc w:val="right"/>
              <w:rPr>
                <w:sz w:val="18"/>
              </w:rPr>
            </w:pPr>
            <w:r>
              <w:rPr>
                <w:sz w:val="18"/>
              </w:rPr>
              <w:t>100</w:t>
            </w:r>
            <w:r>
              <w:rPr>
                <w:spacing w:val="2"/>
                <w:sz w:val="18"/>
              </w:rPr>
              <w:t> </w:t>
            </w:r>
            <w:r>
              <w:rPr>
                <w:sz w:val="18"/>
              </w:rPr>
              <w:t>776</w:t>
            </w:r>
            <w:r>
              <w:rPr>
                <w:spacing w:val="-2"/>
                <w:sz w:val="18"/>
              </w:rPr>
              <w:t> </w:t>
            </w:r>
            <w:r>
              <w:rPr>
                <w:spacing w:val="-5"/>
                <w:sz w:val="18"/>
              </w:rPr>
              <w:t>000</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1"/>
              <w:jc w:val="right"/>
              <w:rPr>
                <w:sz w:val="18"/>
              </w:rPr>
            </w:pPr>
            <w:r>
              <w:rPr>
                <w:spacing w:val="-4"/>
                <w:sz w:val="18"/>
              </w:rPr>
              <w:t>100%</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4"/>
              <w:jc w:val="right"/>
              <w:rPr>
                <w:sz w:val="18"/>
              </w:rPr>
            </w:pPr>
            <w:r>
              <w:rPr>
                <w:sz w:val="18"/>
              </w:rPr>
              <w:t>167</w:t>
            </w:r>
            <w:r>
              <w:rPr>
                <w:spacing w:val="2"/>
                <w:sz w:val="18"/>
              </w:rPr>
              <w:t> </w:t>
            </w:r>
            <w:r>
              <w:rPr>
                <w:sz w:val="18"/>
              </w:rPr>
              <w:t>960</w:t>
            </w:r>
            <w:r>
              <w:rPr>
                <w:spacing w:val="-2"/>
                <w:sz w:val="18"/>
              </w:rPr>
              <w:t> </w:t>
            </w:r>
            <w:r>
              <w:rPr>
                <w:spacing w:val="-5"/>
                <w:sz w:val="18"/>
              </w:rPr>
              <w:t>000</w:t>
            </w:r>
          </w:p>
        </w:tc>
      </w:tr>
      <w:tr>
        <w:trPr>
          <w:trHeight w:val="2487" w:hRule="atLeast"/>
        </w:trPr>
        <w:tc>
          <w:tcPr>
            <w:tcW w:w="2123" w:type="dxa"/>
          </w:tcPr>
          <w:p>
            <w:pPr>
              <w:pStyle w:val="TableParagraph"/>
              <w:spacing w:before="104"/>
              <w:ind w:left="72" w:right="142"/>
              <w:rPr>
                <w:sz w:val="18"/>
              </w:rPr>
            </w:pPr>
            <w:r>
              <w:rPr>
                <w:b/>
                <w:sz w:val="18"/>
              </w:rPr>
              <w:t>Actividad</w:t>
            </w:r>
            <w:r>
              <w:rPr>
                <w:b/>
                <w:spacing w:val="-15"/>
                <w:sz w:val="18"/>
              </w:rPr>
              <w:t> </w:t>
            </w:r>
            <w:r>
              <w:rPr>
                <w:b/>
                <w:sz w:val="18"/>
              </w:rPr>
              <w:t>PAC</w:t>
            </w:r>
            <w:r>
              <w:rPr>
                <w:b/>
                <w:spacing w:val="-12"/>
                <w:sz w:val="18"/>
              </w:rPr>
              <w:t> </w:t>
            </w:r>
            <w:r>
              <w:rPr>
                <w:b/>
                <w:sz w:val="18"/>
              </w:rPr>
              <w:t>2.39.3: </w:t>
            </w:r>
            <w:r>
              <w:rPr>
                <w:sz w:val="18"/>
              </w:rPr>
              <w:t>Asesoramiento en temas de ingeniería y arquitectura</w:t>
            </w:r>
            <w:r>
              <w:rPr>
                <w:spacing w:val="-13"/>
                <w:sz w:val="18"/>
              </w:rPr>
              <w:t> </w:t>
            </w:r>
            <w:r>
              <w:rPr>
                <w:sz w:val="18"/>
              </w:rPr>
              <w:t>requeridos para la inscripción y seguimiento de los proyectos de </w:t>
            </w:r>
            <w:r>
              <w:rPr>
                <w:spacing w:val="-2"/>
                <w:sz w:val="18"/>
              </w:rPr>
              <w:t>infraestructura </w:t>
            </w:r>
            <w:r>
              <w:rPr>
                <w:sz w:val="18"/>
              </w:rPr>
              <w:t>administrados por el DSG y formulados por las ARDS que</w:t>
            </w:r>
          </w:p>
        </w:tc>
        <w:tc>
          <w:tcPr>
            <w:tcW w:w="1133" w:type="dxa"/>
          </w:tcPr>
          <w:p>
            <w:pPr>
              <w:pStyle w:val="TableParagraph"/>
              <w:ind w:left="66" w:right="60"/>
              <w:rPr>
                <w:sz w:val="18"/>
              </w:rPr>
            </w:pPr>
            <w:r>
              <w:rPr>
                <w:spacing w:val="-2"/>
                <w:sz w:val="18"/>
              </w:rPr>
              <w:t>Porcentaje </w:t>
            </w:r>
            <w:r>
              <w:rPr>
                <w:spacing w:val="-6"/>
                <w:sz w:val="18"/>
              </w:rPr>
              <w:t>de</w:t>
            </w:r>
            <w:r>
              <w:rPr>
                <w:spacing w:val="40"/>
                <w:sz w:val="18"/>
              </w:rPr>
              <w:t> </w:t>
            </w:r>
            <w:r>
              <w:rPr>
                <w:spacing w:val="-2"/>
                <w:sz w:val="18"/>
              </w:rPr>
              <w:t>asesorías brindadas relacionada </w:t>
            </w:r>
            <w:r>
              <w:rPr>
                <w:sz w:val="18"/>
              </w:rPr>
              <w:t>s a los </w:t>
            </w:r>
            <w:r>
              <w:rPr>
                <w:spacing w:val="-2"/>
                <w:sz w:val="18"/>
              </w:rPr>
              <w:t>proyectos</w:t>
            </w:r>
            <w:r>
              <w:rPr>
                <w:spacing w:val="40"/>
                <w:sz w:val="18"/>
              </w:rPr>
              <w:t> </w:t>
            </w:r>
            <w:r>
              <w:rPr>
                <w:spacing w:val="-6"/>
                <w:sz w:val="18"/>
              </w:rPr>
              <w:t>de </w:t>
            </w:r>
            <w:r>
              <w:rPr>
                <w:spacing w:val="-2"/>
                <w:sz w:val="18"/>
              </w:rPr>
              <w:t>infraestructu </w:t>
            </w:r>
            <w:r>
              <w:rPr>
                <w:sz w:val="18"/>
              </w:rPr>
              <w:t>ra y su</w:t>
            </w:r>
          </w:p>
          <w:p>
            <w:pPr>
              <w:pStyle w:val="TableParagraph"/>
              <w:spacing w:line="206" w:lineRule="exact"/>
              <w:ind w:left="66"/>
              <w:rPr>
                <w:sz w:val="18"/>
              </w:rPr>
            </w:pPr>
            <w:r>
              <w:rPr>
                <w:sz w:val="18"/>
              </w:rPr>
              <w:t>inclusión</w:t>
            </w:r>
            <w:r>
              <w:rPr>
                <w:spacing w:val="-13"/>
                <w:sz w:val="18"/>
              </w:rPr>
              <w:t> </w:t>
            </w:r>
            <w:r>
              <w:rPr>
                <w:sz w:val="18"/>
              </w:rPr>
              <w:t>en el BPIP</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right="57"/>
              <w:jc w:val="right"/>
              <w:rPr>
                <w:sz w:val="18"/>
              </w:rPr>
            </w:pPr>
            <w:r>
              <w:rPr>
                <w:spacing w:val="-5"/>
                <w:sz w:val="18"/>
              </w:rPr>
              <w:t>25%</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right="57"/>
              <w:jc w:val="right"/>
              <w:rPr>
                <w:sz w:val="18"/>
              </w:rPr>
            </w:pPr>
            <w:r>
              <w:rPr>
                <w:spacing w:val="-5"/>
                <w:sz w:val="18"/>
              </w:rPr>
              <w:t>50%</w:t>
            </w:r>
          </w:p>
        </w:tc>
        <w:tc>
          <w:tcPr>
            <w:tcW w:w="1133"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right="56"/>
              <w:jc w:val="right"/>
              <w:rPr>
                <w:sz w:val="18"/>
              </w:rPr>
            </w:pPr>
            <w:r>
              <w:rPr>
                <w:spacing w:val="-5"/>
                <w:sz w:val="18"/>
              </w:rPr>
              <w:t>75%</w:t>
            </w:r>
          </w:p>
        </w:tc>
        <w:tc>
          <w:tcPr>
            <w:tcW w:w="1272"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right="51"/>
              <w:jc w:val="right"/>
              <w:rPr>
                <w:sz w:val="18"/>
              </w:rPr>
            </w:pPr>
            <w:r>
              <w:rPr>
                <w:spacing w:val="-4"/>
                <w:sz w:val="18"/>
              </w:rPr>
              <w:t>100%</w:t>
            </w:r>
          </w:p>
        </w:tc>
        <w:tc>
          <w:tcPr>
            <w:tcW w:w="1844"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473"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3"/>
        <w:gridCol w:w="1133"/>
        <w:gridCol w:w="1277"/>
        <w:gridCol w:w="1277"/>
        <w:gridCol w:w="1277"/>
        <w:gridCol w:w="1133"/>
        <w:gridCol w:w="1277"/>
        <w:gridCol w:w="1272"/>
        <w:gridCol w:w="1421"/>
        <w:gridCol w:w="1844"/>
      </w:tblGrid>
      <w:tr>
        <w:trPr>
          <w:trHeight w:val="302" w:hRule="atLeast"/>
        </w:trPr>
        <w:tc>
          <w:tcPr>
            <w:tcW w:w="2123" w:type="dxa"/>
            <w:vMerge w:val="restart"/>
            <w:shd w:val="clear" w:color="auto" w:fill="E7E6E6"/>
          </w:tcPr>
          <w:p>
            <w:pPr>
              <w:pStyle w:val="TableParagraph"/>
              <w:spacing w:before="84"/>
              <w:rPr>
                <w:b/>
                <w:sz w:val="18"/>
              </w:rPr>
            </w:pPr>
          </w:p>
          <w:p>
            <w:pPr>
              <w:pStyle w:val="TableParagraph"/>
              <w:ind w:left="91"/>
              <w:rPr>
                <w:b/>
                <w:sz w:val="18"/>
              </w:rPr>
            </w:pPr>
            <w:r>
              <w:rPr>
                <w:b/>
                <w:sz w:val="18"/>
              </w:rPr>
              <w:t>Objetivos</w:t>
            </w:r>
            <w:r>
              <w:rPr>
                <w:b/>
                <w:spacing w:val="-5"/>
                <w:sz w:val="18"/>
              </w:rPr>
              <w:t> </w:t>
            </w:r>
            <w:r>
              <w:rPr>
                <w:b/>
                <w:sz w:val="18"/>
              </w:rPr>
              <w:t>/</w:t>
            </w:r>
            <w:r>
              <w:rPr>
                <w:b/>
                <w:spacing w:val="-2"/>
                <w:sz w:val="18"/>
              </w:rPr>
              <w:t> Resultados</w:t>
            </w:r>
          </w:p>
        </w:tc>
        <w:tc>
          <w:tcPr>
            <w:tcW w:w="1133" w:type="dxa"/>
            <w:vMerge w:val="restart"/>
            <w:shd w:val="clear" w:color="auto" w:fill="E7E6E6"/>
          </w:tcPr>
          <w:p>
            <w:pPr>
              <w:pStyle w:val="TableParagraph"/>
              <w:spacing w:before="84"/>
              <w:rPr>
                <w:b/>
                <w:sz w:val="18"/>
              </w:rPr>
            </w:pPr>
          </w:p>
          <w:p>
            <w:pPr>
              <w:pStyle w:val="TableParagraph"/>
              <w:ind w:left="157"/>
              <w:rPr>
                <w:b/>
                <w:sz w:val="18"/>
              </w:rPr>
            </w:pPr>
            <w:r>
              <w:rPr>
                <w:b/>
                <w:spacing w:val="-2"/>
                <w:sz w:val="18"/>
              </w:rPr>
              <w:t>Indicador</w:t>
            </w:r>
          </w:p>
        </w:tc>
        <w:tc>
          <w:tcPr>
            <w:tcW w:w="2554" w:type="dxa"/>
            <w:gridSpan w:val="2"/>
            <w:shd w:val="clear" w:color="auto" w:fill="E7E6E6"/>
          </w:tcPr>
          <w:p>
            <w:pPr>
              <w:pStyle w:val="TableParagraph"/>
              <w:spacing w:line="192" w:lineRule="exact" w:before="90"/>
              <w:ind w:left="815"/>
              <w:rPr>
                <w:b/>
                <w:sz w:val="18"/>
              </w:rPr>
            </w:pPr>
            <w:r>
              <w:rPr>
                <w:b/>
                <w:sz w:val="18"/>
              </w:rPr>
              <w:t>I</w:t>
            </w:r>
            <w:r>
              <w:rPr>
                <w:b/>
                <w:spacing w:val="-1"/>
                <w:sz w:val="18"/>
              </w:rPr>
              <w:t> </w:t>
            </w:r>
            <w:r>
              <w:rPr>
                <w:b/>
                <w:spacing w:val="-2"/>
                <w:sz w:val="18"/>
              </w:rPr>
              <w:t>Trimestre</w:t>
            </w:r>
          </w:p>
        </w:tc>
        <w:tc>
          <w:tcPr>
            <w:tcW w:w="2410" w:type="dxa"/>
            <w:gridSpan w:val="2"/>
            <w:shd w:val="clear" w:color="auto" w:fill="E7E6E6"/>
          </w:tcPr>
          <w:p>
            <w:pPr>
              <w:pStyle w:val="TableParagraph"/>
              <w:spacing w:line="192" w:lineRule="exact" w:before="90"/>
              <w:ind w:left="714"/>
              <w:rPr>
                <w:b/>
                <w:sz w:val="18"/>
              </w:rPr>
            </w:pPr>
            <w:r>
              <w:rPr>
                <w:b/>
                <w:sz w:val="18"/>
              </w:rPr>
              <w:t>II</w:t>
            </w:r>
            <w:r>
              <w:rPr>
                <w:b/>
                <w:spacing w:val="-3"/>
                <w:sz w:val="18"/>
              </w:rPr>
              <w:t> </w:t>
            </w:r>
            <w:r>
              <w:rPr>
                <w:b/>
                <w:spacing w:val="-2"/>
                <w:sz w:val="18"/>
              </w:rPr>
              <w:t>Trimestre</w:t>
            </w:r>
          </w:p>
        </w:tc>
        <w:tc>
          <w:tcPr>
            <w:tcW w:w="2549" w:type="dxa"/>
            <w:gridSpan w:val="2"/>
            <w:shd w:val="clear" w:color="auto" w:fill="E7E6E6"/>
          </w:tcPr>
          <w:p>
            <w:pPr>
              <w:pStyle w:val="TableParagraph"/>
              <w:spacing w:line="192" w:lineRule="exact" w:before="90"/>
              <w:ind w:left="763"/>
              <w:rPr>
                <w:b/>
                <w:sz w:val="18"/>
              </w:rPr>
            </w:pPr>
            <w:r>
              <w:rPr>
                <w:b/>
                <w:sz w:val="18"/>
              </w:rPr>
              <w:t>III</w:t>
            </w:r>
            <w:r>
              <w:rPr>
                <w:b/>
                <w:spacing w:val="-2"/>
                <w:sz w:val="18"/>
              </w:rPr>
              <w:t> Trimestre</w:t>
            </w:r>
          </w:p>
        </w:tc>
        <w:tc>
          <w:tcPr>
            <w:tcW w:w="3265" w:type="dxa"/>
            <w:gridSpan w:val="2"/>
            <w:shd w:val="clear" w:color="auto" w:fill="E7E6E6"/>
          </w:tcPr>
          <w:p>
            <w:pPr>
              <w:pStyle w:val="TableParagraph"/>
              <w:spacing w:line="192" w:lineRule="exact" w:before="90"/>
              <w:ind w:left="20"/>
              <w:jc w:val="center"/>
              <w:rPr>
                <w:b/>
                <w:sz w:val="18"/>
              </w:rPr>
            </w:pPr>
            <w:r>
              <w:rPr>
                <w:b/>
                <w:sz w:val="18"/>
              </w:rPr>
              <w:t>IV</w:t>
            </w:r>
            <w:r>
              <w:rPr>
                <w:b/>
                <w:spacing w:val="-2"/>
                <w:sz w:val="18"/>
              </w:rPr>
              <w:t> Trimestre</w:t>
            </w:r>
          </w:p>
        </w:tc>
      </w:tr>
      <w:tr>
        <w:trPr>
          <w:trHeight w:val="479" w:hRule="atLeast"/>
        </w:trPr>
        <w:tc>
          <w:tcPr>
            <w:tcW w:w="2123" w:type="dxa"/>
            <w:vMerge/>
            <w:tcBorders>
              <w:top w:val="nil"/>
            </w:tcBorders>
            <w:shd w:val="clear" w:color="auto" w:fill="E7E6E6"/>
          </w:tcPr>
          <w:p>
            <w:pPr>
              <w:rPr>
                <w:sz w:val="2"/>
                <w:szCs w:val="2"/>
              </w:rPr>
            </w:pPr>
          </w:p>
        </w:tc>
        <w:tc>
          <w:tcPr>
            <w:tcW w:w="1133" w:type="dxa"/>
            <w:vMerge/>
            <w:tcBorders>
              <w:top w:val="nil"/>
            </w:tcBorders>
            <w:shd w:val="clear" w:color="auto" w:fill="E7E6E6"/>
          </w:tcPr>
          <w:p>
            <w:pPr>
              <w:rPr>
                <w:sz w:val="2"/>
                <w:szCs w:val="2"/>
              </w:rPr>
            </w:pPr>
          </w:p>
        </w:tc>
        <w:tc>
          <w:tcPr>
            <w:tcW w:w="1277" w:type="dxa"/>
            <w:shd w:val="clear" w:color="auto" w:fill="E7E6E6"/>
          </w:tcPr>
          <w:p>
            <w:pPr>
              <w:pStyle w:val="TableParagraph"/>
              <w:spacing w:before="32"/>
              <w:ind w:left="114" w:firstLine="317"/>
              <w:rPr>
                <w:b/>
                <w:sz w:val="18"/>
              </w:rPr>
            </w:pPr>
            <w:r>
              <w:rPr>
                <w:b/>
                <w:spacing w:val="-4"/>
                <w:sz w:val="18"/>
              </w:rPr>
              <w:t>Meta </w:t>
            </w:r>
            <w:r>
              <w:rPr>
                <w:b/>
                <w:spacing w:val="-2"/>
                <w:sz w:val="18"/>
              </w:rPr>
              <w:t>programada</w:t>
            </w:r>
          </w:p>
        </w:tc>
        <w:tc>
          <w:tcPr>
            <w:tcW w:w="1277" w:type="dxa"/>
            <w:shd w:val="clear" w:color="auto" w:fill="E7E6E6"/>
          </w:tcPr>
          <w:p>
            <w:pPr>
              <w:pStyle w:val="TableParagraph"/>
              <w:spacing w:before="133"/>
              <w:ind w:left="16" w:right="11"/>
              <w:jc w:val="center"/>
              <w:rPr>
                <w:b/>
                <w:sz w:val="18"/>
              </w:rPr>
            </w:pPr>
            <w:r>
              <w:rPr>
                <w:b/>
                <w:spacing w:val="-10"/>
                <w:sz w:val="18"/>
              </w:rPr>
              <w:t>¢</w:t>
            </w:r>
          </w:p>
        </w:tc>
        <w:tc>
          <w:tcPr>
            <w:tcW w:w="1277" w:type="dxa"/>
            <w:shd w:val="clear" w:color="auto" w:fill="E7E6E6"/>
          </w:tcPr>
          <w:p>
            <w:pPr>
              <w:pStyle w:val="TableParagraph"/>
              <w:spacing w:before="32"/>
              <w:ind w:left="114" w:firstLine="312"/>
              <w:rPr>
                <w:b/>
                <w:sz w:val="18"/>
              </w:rPr>
            </w:pPr>
            <w:r>
              <w:rPr>
                <w:b/>
                <w:spacing w:val="-4"/>
                <w:sz w:val="18"/>
              </w:rPr>
              <w:t>Meta </w:t>
            </w:r>
            <w:r>
              <w:rPr>
                <w:b/>
                <w:spacing w:val="-2"/>
                <w:sz w:val="18"/>
              </w:rPr>
              <w:t>programada</w:t>
            </w:r>
          </w:p>
        </w:tc>
        <w:tc>
          <w:tcPr>
            <w:tcW w:w="1133" w:type="dxa"/>
            <w:shd w:val="clear" w:color="auto" w:fill="E7E6E6"/>
          </w:tcPr>
          <w:p>
            <w:pPr>
              <w:pStyle w:val="TableParagraph"/>
              <w:spacing w:before="133"/>
              <w:ind w:left="5"/>
              <w:jc w:val="center"/>
              <w:rPr>
                <w:b/>
                <w:sz w:val="18"/>
              </w:rPr>
            </w:pPr>
            <w:r>
              <w:rPr>
                <w:b/>
                <w:spacing w:val="-10"/>
                <w:sz w:val="18"/>
              </w:rPr>
              <w:t>¢</w:t>
            </w:r>
          </w:p>
        </w:tc>
        <w:tc>
          <w:tcPr>
            <w:tcW w:w="1277" w:type="dxa"/>
            <w:shd w:val="clear" w:color="auto" w:fill="E7E6E6"/>
          </w:tcPr>
          <w:p>
            <w:pPr>
              <w:pStyle w:val="TableParagraph"/>
              <w:spacing w:before="32"/>
              <w:ind w:left="114" w:firstLine="317"/>
              <w:rPr>
                <w:b/>
                <w:sz w:val="18"/>
              </w:rPr>
            </w:pPr>
            <w:r>
              <w:rPr>
                <w:b/>
                <w:spacing w:val="-4"/>
                <w:sz w:val="18"/>
              </w:rPr>
              <w:t>Meta </w:t>
            </w:r>
            <w:r>
              <w:rPr>
                <w:b/>
                <w:spacing w:val="-2"/>
                <w:sz w:val="18"/>
              </w:rPr>
              <w:t>programada</w:t>
            </w:r>
          </w:p>
        </w:tc>
        <w:tc>
          <w:tcPr>
            <w:tcW w:w="1272" w:type="dxa"/>
            <w:shd w:val="clear" w:color="auto" w:fill="E7E6E6"/>
          </w:tcPr>
          <w:p>
            <w:pPr>
              <w:pStyle w:val="TableParagraph"/>
              <w:spacing w:before="133"/>
              <w:ind w:left="20" w:right="19"/>
              <w:jc w:val="center"/>
              <w:rPr>
                <w:b/>
                <w:sz w:val="18"/>
              </w:rPr>
            </w:pPr>
            <w:r>
              <w:rPr>
                <w:b/>
                <w:spacing w:val="-10"/>
                <w:sz w:val="18"/>
              </w:rPr>
              <w:t>¢</w:t>
            </w:r>
          </w:p>
        </w:tc>
        <w:tc>
          <w:tcPr>
            <w:tcW w:w="1421" w:type="dxa"/>
            <w:shd w:val="clear" w:color="auto" w:fill="E7E6E6"/>
          </w:tcPr>
          <w:p>
            <w:pPr>
              <w:pStyle w:val="TableParagraph"/>
              <w:spacing w:line="210" w:lineRule="atLeast" w:before="39"/>
              <w:ind w:left="192" w:firstLine="312"/>
              <w:rPr>
                <w:b/>
                <w:sz w:val="18"/>
              </w:rPr>
            </w:pPr>
            <w:r>
              <w:rPr>
                <w:b/>
                <w:spacing w:val="-4"/>
                <w:sz w:val="18"/>
              </w:rPr>
              <w:t>Meta </w:t>
            </w:r>
            <w:r>
              <w:rPr>
                <w:b/>
                <w:spacing w:val="-2"/>
                <w:sz w:val="18"/>
              </w:rPr>
              <w:t>programada</w:t>
            </w:r>
          </w:p>
        </w:tc>
        <w:tc>
          <w:tcPr>
            <w:tcW w:w="1844" w:type="dxa"/>
            <w:shd w:val="clear" w:color="auto" w:fill="E7E6E6"/>
          </w:tcPr>
          <w:p>
            <w:pPr>
              <w:pStyle w:val="TableParagraph"/>
              <w:spacing w:before="133"/>
              <w:ind w:left="9" w:right="3"/>
              <w:jc w:val="center"/>
              <w:rPr>
                <w:b/>
                <w:sz w:val="18"/>
              </w:rPr>
            </w:pPr>
            <w:r>
              <w:rPr>
                <w:b/>
                <w:spacing w:val="-10"/>
                <w:sz w:val="18"/>
              </w:rPr>
              <w:t>¢</w:t>
            </w:r>
          </w:p>
        </w:tc>
      </w:tr>
      <w:tr>
        <w:trPr>
          <w:trHeight w:val="1603" w:hRule="atLeast"/>
        </w:trPr>
        <w:tc>
          <w:tcPr>
            <w:tcW w:w="2123" w:type="dxa"/>
          </w:tcPr>
          <w:p>
            <w:pPr>
              <w:pStyle w:val="TableParagraph"/>
              <w:ind w:left="72" w:right="82"/>
              <w:rPr>
                <w:sz w:val="18"/>
              </w:rPr>
            </w:pPr>
            <w:r>
              <w:rPr>
                <w:sz w:val="18"/>
              </w:rPr>
              <w:t>corresponda</w:t>
            </w:r>
            <w:r>
              <w:rPr>
                <w:spacing w:val="-13"/>
                <w:sz w:val="18"/>
              </w:rPr>
              <w:t> </w:t>
            </w:r>
            <w:r>
              <w:rPr>
                <w:sz w:val="18"/>
              </w:rPr>
              <w:t>incluir dentro del BPIP.</w:t>
            </w:r>
          </w:p>
        </w:tc>
        <w:tc>
          <w:tcPr>
            <w:tcW w:w="1133"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133" w:type="dxa"/>
          </w:tcPr>
          <w:p>
            <w:pPr>
              <w:pStyle w:val="TableParagraph"/>
              <w:rPr>
                <w:rFonts w:ascii="Times New Roman"/>
                <w:sz w:val="18"/>
              </w:rPr>
            </w:pPr>
          </w:p>
        </w:tc>
        <w:tc>
          <w:tcPr>
            <w:tcW w:w="1277" w:type="dxa"/>
          </w:tcPr>
          <w:p>
            <w:pPr>
              <w:pStyle w:val="TableParagraph"/>
              <w:rPr>
                <w:rFonts w:ascii="Times New Roman"/>
                <w:sz w:val="18"/>
              </w:rPr>
            </w:pPr>
          </w:p>
        </w:tc>
        <w:tc>
          <w:tcPr>
            <w:tcW w:w="1272" w:type="dxa"/>
          </w:tcPr>
          <w:p>
            <w:pPr>
              <w:pStyle w:val="TableParagraph"/>
              <w:rPr>
                <w:rFonts w:ascii="Times New Roman"/>
                <w:sz w:val="18"/>
              </w:rPr>
            </w:pPr>
          </w:p>
        </w:tc>
        <w:tc>
          <w:tcPr>
            <w:tcW w:w="1421" w:type="dxa"/>
          </w:tcPr>
          <w:p>
            <w:pPr>
              <w:pStyle w:val="TableParagraph"/>
              <w:rPr>
                <w:rFonts w:ascii="Times New Roman"/>
                <w:sz w:val="18"/>
              </w:rPr>
            </w:pPr>
          </w:p>
        </w:tc>
        <w:tc>
          <w:tcPr>
            <w:tcW w:w="1844" w:type="dxa"/>
          </w:tcPr>
          <w:p>
            <w:pPr>
              <w:pStyle w:val="TableParagraph"/>
              <w:rPr>
                <w:rFonts w:ascii="Times New Roman"/>
                <w:sz w:val="18"/>
              </w:rPr>
            </w:pPr>
          </w:p>
        </w:tc>
      </w:tr>
      <w:tr>
        <w:trPr>
          <w:trHeight w:val="450" w:hRule="atLeast"/>
        </w:trPr>
        <w:tc>
          <w:tcPr>
            <w:tcW w:w="14034" w:type="dxa"/>
            <w:gridSpan w:val="10"/>
            <w:shd w:val="clear" w:color="auto" w:fill="D9E0F1"/>
          </w:tcPr>
          <w:p>
            <w:pPr>
              <w:pStyle w:val="TableParagraph"/>
              <w:spacing w:before="123"/>
              <w:ind w:left="72"/>
              <w:rPr>
                <w:b/>
                <w:sz w:val="18"/>
              </w:rPr>
            </w:pPr>
            <w:r>
              <w:rPr>
                <w:b/>
                <w:sz w:val="18"/>
              </w:rPr>
              <w:t>Producto</w:t>
            </w:r>
            <w:r>
              <w:rPr>
                <w:b/>
                <w:spacing w:val="-9"/>
                <w:sz w:val="18"/>
              </w:rPr>
              <w:t> </w:t>
            </w:r>
            <w:r>
              <w:rPr>
                <w:b/>
                <w:sz w:val="18"/>
              </w:rPr>
              <w:t>PAC</w:t>
            </w:r>
            <w:r>
              <w:rPr>
                <w:b/>
                <w:spacing w:val="-10"/>
                <w:sz w:val="18"/>
              </w:rPr>
              <w:t> </w:t>
            </w:r>
            <w:r>
              <w:rPr>
                <w:b/>
                <w:sz w:val="18"/>
              </w:rPr>
              <w:t>2.40:</w:t>
            </w:r>
            <w:r>
              <w:rPr>
                <w:b/>
                <w:spacing w:val="41"/>
                <w:sz w:val="18"/>
              </w:rPr>
              <w:t> </w:t>
            </w:r>
            <w:r>
              <w:rPr>
                <w:b/>
                <w:sz w:val="18"/>
              </w:rPr>
              <w:t>Servicios</w:t>
            </w:r>
            <w:r>
              <w:rPr>
                <w:b/>
                <w:spacing w:val="-7"/>
                <w:sz w:val="18"/>
              </w:rPr>
              <w:t> </w:t>
            </w:r>
            <w:r>
              <w:rPr>
                <w:b/>
                <w:sz w:val="18"/>
              </w:rPr>
              <w:t>administrativos</w:t>
            </w:r>
            <w:r>
              <w:rPr>
                <w:b/>
                <w:spacing w:val="-8"/>
                <w:sz w:val="18"/>
              </w:rPr>
              <w:t> </w:t>
            </w:r>
            <w:r>
              <w:rPr>
                <w:b/>
                <w:sz w:val="18"/>
              </w:rPr>
              <w:t>brindados</w:t>
            </w:r>
            <w:r>
              <w:rPr>
                <w:b/>
                <w:spacing w:val="-8"/>
                <w:sz w:val="18"/>
              </w:rPr>
              <w:t> </w:t>
            </w:r>
            <w:r>
              <w:rPr>
                <w:b/>
                <w:sz w:val="18"/>
              </w:rPr>
              <w:t>oportunamente</w:t>
            </w:r>
            <w:r>
              <w:rPr>
                <w:b/>
                <w:spacing w:val="-4"/>
                <w:sz w:val="18"/>
              </w:rPr>
              <w:t> </w:t>
            </w:r>
            <w:r>
              <w:rPr>
                <w:b/>
                <w:sz w:val="18"/>
              </w:rPr>
              <w:t>que</w:t>
            </w:r>
            <w:r>
              <w:rPr>
                <w:b/>
                <w:spacing w:val="-4"/>
                <w:sz w:val="18"/>
              </w:rPr>
              <w:t> </w:t>
            </w:r>
            <w:r>
              <w:rPr>
                <w:b/>
                <w:sz w:val="18"/>
              </w:rPr>
              <w:t>contribuyen</w:t>
            </w:r>
            <w:r>
              <w:rPr>
                <w:b/>
                <w:spacing w:val="-4"/>
                <w:sz w:val="18"/>
              </w:rPr>
              <w:t> </w:t>
            </w:r>
            <w:r>
              <w:rPr>
                <w:b/>
                <w:sz w:val="18"/>
              </w:rPr>
              <w:t>a</w:t>
            </w:r>
            <w:r>
              <w:rPr>
                <w:b/>
                <w:spacing w:val="-12"/>
                <w:sz w:val="18"/>
              </w:rPr>
              <w:t> </w:t>
            </w:r>
            <w:r>
              <w:rPr>
                <w:b/>
                <w:sz w:val="18"/>
              </w:rPr>
              <w:t>la</w:t>
            </w:r>
            <w:r>
              <w:rPr>
                <w:b/>
                <w:spacing w:val="-4"/>
                <w:sz w:val="18"/>
              </w:rPr>
              <w:t> </w:t>
            </w:r>
            <w:r>
              <w:rPr>
                <w:b/>
                <w:sz w:val="18"/>
              </w:rPr>
              <w:t>operación</w:t>
            </w:r>
            <w:r>
              <w:rPr>
                <w:b/>
                <w:spacing w:val="-9"/>
                <w:sz w:val="18"/>
              </w:rPr>
              <w:t> </w:t>
            </w:r>
            <w:r>
              <w:rPr>
                <w:b/>
                <w:spacing w:val="-2"/>
                <w:sz w:val="18"/>
              </w:rPr>
              <w:t>institucional</w:t>
            </w:r>
          </w:p>
        </w:tc>
      </w:tr>
      <w:tr>
        <w:trPr>
          <w:trHeight w:val="1863" w:hRule="atLeast"/>
        </w:trPr>
        <w:tc>
          <w:tcPr>
            <w:tcW w:w="2123" w:type="dxa"/>
          </w:tcPr>
          <w:p>
            <w:pPr>
              <w:pStyle w:val="TableParagraph"/>
              <w:spacing w:before="104"/>
              <w:ind w:left="72" w:right="142"/>
              <w:rPr>
                <w:sz w:val="18"/>
              </w:rPr>
            </w:pPr>
            <w:r>
              <w:rPr>
                <w:b/>
                <w:sz w:val="18"/>
              </w:rPr>
              <w:t>Actividad</w:t>
            </w:r>
            <w:r>
              <w:rPr>
                <w:b/>
                <w:spacing w:val="-4"/>
                <w:sz w:val="18"/>
              </w:rPr>
              <w:t> </w:t>
            </w:r>
            <w:r>
              <w:rPr>
                <w:b/>
                <w:sz w:val="18"/>
              </w:rPr>
              <w:t>PAC 2.40.1: </w:t>
            </w:r>
            <w:r>
              <w:rPr>
                <w:sz w:val="18"/>
              </w:rPr>
              <w:t>Mantener la cobertura de</w:t>
            </w:r>
            <w:r>
              <w:rPr>
                <w:spacing w:val="-12"/>
                <w:sz w:val="18"/>
              </w:rPr>
              <w:t> </w:t>
            </w:r>
            <w:r>
              <w:rPr>
                <w:sz w:val="18"/>
              </w:rPr>
              <w:t>puestos</w:t>
            </w:r>
            <w:r>
              <w:rPr>
                <w:spacing w:val="-10"/>
                <w:sz w:val="18"/>
              </w:rPr>
              <w:t> </w:t>
            </w:r>
            <w:r>
              <w:rPr>
                <w:sz w:val="18"/>
              </w:rPr>
              <w:t>de</w:t>
            </w:r>
            <w:r>
              <w:rPr>
                <w:spacing w:val="-13"/>
                <w:sz w:val="18"/>
              </w:rPr>
              <w:t> </w:t>
            </w:r>
            <w:r>
              <w:rPr>
                <w:sz w:val="18"/>
              </w:rPr>
              <w:t>servicios de Seguridad y Vigilancia según los </w:t>
            </w:r>
            <w:r>
              <w:rPr>
                <w:spacing w:val="-2"/>
                <w:sz w:val="18"/>
              </w:rPr>
              <w:t>requerimientos </w:t>
            </w:r>
            <w:r>
              <w:rPr>
                <w:sz w:val="18"/>
              </w:rPr>
              <w:t>institucionales. (PAC </w:t>
            </w:r>
            <w:r>
              <w:rPr>
                <w:spacing w:val="-4"/>
                <w:sz w:val="18"/>
              </w:rPr>
              <w:t>PPP)</w:t>
            </w:r>
          </w:p>
        </w:tc>
        <w:tc>
          <w:tcPr>
            <w:tcW w:w="1133" w:type="dxa"/>
          </w:tcPr>
          <w:p>
            <w:pPr>
              <w:pStyle w:val="TableParagraph"/>
              <w:ind w:left="66" w:right="89"/>
              <w:rPr>
                <w:sz w:val="18"/>
              </w:rPr>
            </w:pPr>
            <w:r>
              <w:rPr>
                <w:spacing w:val="-2"/>
                <w:sz w:val="18"/>
              </w:rPr>
              <w:t>Porcentaje </w:t>
            </w:r>
            <w:r>
              <w:rPr>
                <w:sz w:val="18"/>
              </w:rPr>
              <w:t>de puestos </w:t>
            </w:r>
            <w:r>
              <w:rPr>
                <w:spacing w:val="-4"/>
                <w:sz w:val="18"/>
              </w:rPr>
              <w:t>con </w:t>
            </w:r>
            <w:r>
              <w:rPr>
                <w:sz w:val="18"/>
              </w:rPr>
              <w:t>servicios</w:t>
            </w:r>
            <w:r>
              <w:rPr>
                <w:spacing w:val="-13"/>
                <w:sz w:val="18"/>
              </w:rPr>
              <w:t> </w:t>
            </w:r>
            <w:r>
              <w:rPr>
                <w:sz w:val="18"/>
              </w:rPr>
              <w:t>de Seguridad</w:t>
            </w:r>
            <w:r>
              <w:rPr>
                <w:spacing w:val="-13"/>
                <w:sz w:val="18"/>
              </w:rPr>
              <w:t> </w:t>
            </w:r>
            <w:r>
              <w:rPr>
                <w:sz w:val="18"/>
              </w:rPr>
              <w:t>y </w:t>
            </w:r>
            <w:r>
              <w:rPr>
                <w:spacing w:val="-2"/>
                <w:sz w:val="18"/>
              </w:rPr>
              <w:t>Vigilancia ejecutados </w:t>
            </w:r>
            <w:r>
              <w:rPr>
                <w:sz w:val="18"/>
              </w:rPr>
              <w:t>de forma</w:t>
            </w:r>
          </w:p>
          <w:p>
            <w:pPr>
              <w:pStyle w:val="TableParagraph"/>
              <w:spacing w:line="187" w:lineRule="exact"/>
              <w:ind w:left="66"/>
              <w:rPr>
                <w:sz w:val="18"/>
              </w:rPr>
            </w:pPr>
            <w:r>
              <w:rPr>
                <w:spacing w:val="-2"/>
                <w:sz w:val="18"/>
              </w:rPr>
              <w:t>continua</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7"/>
              <w:jc w:val="right"/>
              <w:rPr>
                <w:sz w:val="18"/>
              </w:rPr>
            </w:pPr>
            <w:r>
              <w:rPr>
                <w:spacing w:val="-5"/>
                <w:sz w:val="18"/>
              </w:rPr>
              <w:t>25%</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5"/>
              <w:jc w:val="right"/>
              <w:rPr>
                <w:sz w:val="18"/>
              </w:rPr>
            </w:pPr>
            <w:r>
              <w:rPr>
                <w:sz w:val="18"/>
              </w:rPr>
              <w:t>451</w:t>
            </w:r>
            <w:r>
              <w:rPr>
                <w:spacing w:val="2"/>
                <w:sz w:val="18"/>
              </w:rPr>
              <w:t> </w:t>
            </w:r>
            <w:r>
              <w:rPr>
                <w:sz w:val="18"/>
              </w:rPr>
              <w:t>845</w:t>
            </w:r>
            <w:r>
              <w:rPr>
                <w:spacing w:val="-2"/>
                <w:sz w:val="18"/>
              </w:rPr>
              <w:t> </w:t>
            </w:r>
            <w:r>
              <w:rPr>
                <w:spacing w:val="-5"/>
                <w:sz w:val="18"/>
              </w:rPr>
              <w:t>340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7"/>
              <w:jc w:val="right"/>
              <w:rPr>
                <w:sz w:val="18"/>
              </w:rPr>
            </w:pPr>
            <w:r>
              <w:rPr>
                <w:spacing w:val="-5"/>
                <w:sz w:val="18"/>
              </w:rPr>
              <w:t>50%</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10"/>
              <w:jc w:val="center"/>
              <w:rPr>
                <w:sz w:val="18"/>
              </w:rPr>
            </w:pPr>
            <w:r>
              <w:rPr>
                <w:sz w:val="18"/>
              </w:rPr>
              <w:t>903</w:t>
            </w:r>
            <w:r>
              <w:rPr>
                <w:spacing w:val="-2"/>
                <w:sz w:val="18"/>
              </w:rPr>
              <w:t> </w:t>
            </w:r>
            <w:r>
              <w:rPr>
                <w:sz w:val="18"/>
              </w:rPr>
              <w:t>690</w:t>
            </w:r>
            <w:r>
              <w:rPr>
                <w:spacing w:val="-7"/>
                <w:sz w:val="18"/>
              </w:rPr>
              <w:t> </w:t>
            </w:r>
            <w:r>
              <w:rPr>
                <w:spacing w:val="-5"/>
                <w:sz w:val="18"/>
              </w:rPr>
              <w:t>680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6"/>
              <w:jc w:val="right"/>
              <w:rPr>
                <w:sz w:val="18"/>
              </w:rPr>
            </w:pPr>
            <w:r>
              <w:rPr>
                <w:spacing w:val="-5"/>
                <w:sz w:val="18"/>
              </w:rPr>
              <w:t>75%</w:t>
            </w:r>
          </w:p>
        </w:tc>
        <w:tc>
          <w:tcPr>
            <w:tcW w:w="1272"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4"/>
              <w:jc w:val="right"/>
              <w:rPr>
                <w:sz w:val="18"/>
              </w:rPr>
            </w:pPr>
            <w:r>
              <w:rPr>
                <w:sz w:val="18"/>
              </w:rPr>
              <w:t>1</w:t>
            </w:r>
            <w:r>
              <w:rPr>
                <w:spacing w:val="-4"/>
                <w:sz w:val="18"/>
              </w:rPr>
              <w:t> </w:t>
            </w:r>
            <w:r>
              <w:rPr>
                <w:sz w:val="18"/>
              </w:rPr>
              <w:t>355</w:t>
            </w:r>
            <w:r>
              <w:rPr>
                <w:spacing w:val="-9"/>
                <w:sz w:val="18"/>
              </w:rPr>
              <w:t> </w:t>
            </w:r>
            <w:r>
              <w:rPr>
                <w:sz w:val="18"/>
              </w:rPr>
              <w:t>536</w:t>
            </w:r>
            <w:r>
              <w:rPr>
                <w:spacing w:val="-3"/>
                <w:sz w:val="18"/>
              </w:rPr>
              <w:t> </w:t>
            </w:r>
            <w:r>
              <w:rPr>
                <w:spacing w:val="-5"/>
                <w:sz w:val="18"/>
              </w:rPr>
              <w:t>020</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1"/>
              <w:jc w:val="right"/>
              <w:rPr>
                <w:sz w:val="18"/>
              </w:rPr>
            </w:pPr>
            <w:r>
              <w:rPr>
                <w:spacing w:val="-4"/>
                <w:sz w:val="18"/>
              </w:rPr>
              <w:t>100%</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5"/>
              <w:jc w:val="right"/>
              <w:rPr>
                <w:sz w:val="18"/>
              </w:rPr>
            </w:pPr>
            <w:r>
              <w:rPr>
                <w:sz w:val="18"/>
              </w:rPr>
              <w:t>1</w:t>
            </w:r>
            <w:r>
              <w:rPr>
                <w:spacing w:val="2"/>
                <w:sz w:val="18"/>
              </w:rPr>
              <w:t> </w:t>
            </w:r>
            <w:r>
              <w:rPr>
                <w:sz w:val="18"/>
              </w:rPr>
              <w:t>807</w:t>
            </w:r>
            <w:r>
              <w:rPr>
                <w:spacing w:val="-2"/>
                <w:sz w:val="18"/>
              </w:rPr>
              <w:t> </w:t>
            </w:r>
            <w:r>
              <w:rPr>
                <w:sz w:val="18"/>
              </w:rPr>
              <w:t>381</w:t>
            </w:r>
            <w:r>
              <w:rPr>
                <w:spacing w:val="-2"/>
                <w:sz w:val="18"/>
              </w:rPr>
              <w:t> </w:t>
            </w:r>
            <w:r>
              <w:rPr>
                <w:spacing w:val="-5"/>
                <w:sz w:val="18"/>
              </w:rPr>
              <w:t>360</w:t>
            </w:r>
          </w:p>
        </w:tc>
      </w:tr>
      <w:tr>
        <w:trPr>
          <w:trHeight w:val="1655" w:hRule="atLeast"/>
        </w:trPr>
        <w:tc>
          <w:tcPr>
            <w:tcW w:w="2123" w:type="dxa"/>
          </w:tcPr>
          <w:p>
            <w:pPr>
              <w:pStyle w:val="TableParagraph"/>
              <w:ind w:left="72" w:right="142"/>
              <w:rPr>
                <w:sz w:val="18"/>
              </w:rPr>
            </w:pPr>
            <w:r>
              <w:rPr>
                <w:b/>
                <w:sz w:val="18"/>
              </w:rPr>
              <w:t>Actividad</w:t>
            </w:r>
            <w:r>
              <w:rPr>
                <w:b/>
                <w:spacing w:val="-4"/>
                <w:sz w:val="18"/>
              </w:rPr>
              <w:t> </w:t>
            </w:r>
            <w:r>
              <w:rPr>
                <w:b/>
                <w:sz w:val="18"/>
              </w:rPr>
              <w:t>PAC 2.40.2: </w:t>
            </w:r>
            <w:r>
              <w:rPr>
                <w:sz w:val="18"/>
              </w:rPr>
              <w:t>Mantener la cobertura de</w:t>
            </w:r>
            <w:r>
              <w:rPr>
                <w:spacing w:val="-12"/>
                <w:sz w:val="18"/>
              </w:rPr>
              <w:t> </w:t>
            </w:r>
            <w:r>
              <w:rPr>
                <w:sz w:val="18"/>
              </w:rPr>
              <w:t>puestos</w:t>
            </w:r>
            <w:r>
              <w:rPr>
                <w:spacing w:val="-10"/>
                <w:sz w:val="18"/>
              </w:rPr>
              <w:t> </w:t>
            </w:r>
            <w:r>
              <w:rPr>
                <w:sz w:val="18"/>
              </w:rPr>
              <w:t>de</w:t>
            </w:r>
            <w:r>
              <w:rPr>
                <w:spacing w:val="-13"/>
                <w:sz w:val="18"/>
              </w:rPr>
              <w:t> </w:t>
            </w:r>
            <w:r>
              <w:rPr>
                <w:sz w:val="18"/>
              </w:rPr>
              <w:t>servicios de Aseo y Limpieza según los </w:t>
            </w:r>
            <w:r>
              <w:rPr>
                <w:spacing w:val="-2"/>
                <w:sz w:val="18"/>
              </w:rPr>
              <w:t>requerimientos</w:t>
            </w:r>
          </w:p>
          <w:p>
            <w:pPr>
              <w:pStyle w:val="TableParagraph"/>
              <w:spacing w:line="206" w:lineRule="exact"/>
              <w:ind w:left="72" w:right="82"/>
              <w:rPr>
                <w:sz w:val="18"/>
              </w:rPr>
            </w:pPr>
            <w:r>
              <w:rPr>
                <w:sz w:val="18"/>
              </w:rPr>
              <w:t>institucionales.</w:t>
            </w:r>
            <w:r>
              <w:rPr>
                <w:spacing w:val="-13"/>
                <w:sz w:val="18"/>
              </w:rPr>
              <w:t> </w:t>
            </w:r>
            <w:r>
              <w:rPr>
                <w:sz w:val="18"/>
              </w:rPr>
              <w:t>(PAC </w:t>
            </w:r>
            <w:r>
              <w:rPr>
                <w:spacing w:val="-4"/>
                <w:sz w:val="18"/>
              </w:rPr>
              <w:t>PPP)</w:t>
            </w:r>
          </w:p>
        </w:tc>
        <w:tc>
          <w:tcPr>
            <w:tcW w:w="1133" w:type="dxa"/>
          </w:tcPr>
          <w:p>
            <w:pPr>
              <w:pStyle w:val="TableParagraph"/>
              <w:spacing w:before="104"/>
              <w:ind w:left="66" w:right="64"/>
              <w:rPr>
                <w:sz w:val="18"/>
              </w:rPr>
            </w:pPr>
            <w:r>
              <w:rPr>
                <w:spacing w:val="-2"/>
                <w:sz w:val="18"/>
              </w:rPr>
              <w:t>Porcentaje </w:t>
            </w:r>
            <w:r>
              <w:rPr>
                <w:sz w:val="18"/>
              </w:rPr>
              <w:t>de puestos de</w:t>
            </w:r>
            <w:r>
              <w:rPr>
                <w:spacing w:val="-13"/>
                <w:sz w:val="18"/>
              </w:rPr>
              <w:t> </w:t>
            </w:r>
            <w:r>
              <w:rPr>
                <w:sz w:val="18"/>
              </w:rPr>
              <w:t>Limpieza y Aseo </w:t>
            </w:r>
            <w:r>
              <w:rPr>
                <w:spacing w:val="-2"/>
                <w:sz w:val="18"/>
              </w:rPr>
              <w:t>ejecutados </w:t>
            </w:r>
            <w:r>
              <w:rPr>
                <w:sz w:val="18"/>
              </w:rPr>
              <w:t>de forma </w:t>
            </w:r>
            <w:r>
              <w:rPr>
                <w:spacing w:val="-2"/>
                <w:sz w:val="18"/>
              </w:rPr>
              <w:t>continua</w:t>
            </w:r>
          </w:p>
        </w:tc>
        <w:tc>
          <w:tcPr>
            <w:tcW w:w="127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pacing w:val="-5"/>
                <w:sz w:val="18"/>
              </w:rPr>
              <w:t>25%</w:t>
            </w:r>
          </w:p>
        </w:tc>
        <w:tc>
          <w:tcPr>
            <w:tcW w:w="127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5"/>
              <w:jc w:val="right"/>
              <w:rPr>
                <w:sz w:val="18"/>
              </w:rPr>
            </w:pPr>
            <w:r>
              <w:rPr>
                <w:sz w:val="18"/>
              </w:rPr>
              <w:t>144</w:t>
            </w:r>
            <w:r>
              <w:rPr>
                <w:spacing w:val="2"/>
                <w:sz w:val="18"/>
              </w:rPr>
              <w:t> </w:t>
            </w:r>
            <w:r>
              <w:rPr>
                <w:sz w:val="18"/>
              </w:rPr>
              <w:t>403</w:t>
            </w:r>
            <w:r>
              <w:rPr>
                <w:spacing w:val="-2"/>
                <w:sz w:val="18"/>
              </w:rPr>
              <w:t> </w:t>
            </w:r>
            <w:r>
              <w:rPr>
                <w:spacing w:val="-5"/>
                <w:sz w:val="18"/>
              </w:rPr>
              <w:t>170</w:t>
            </w:r>
          </w:p>
        </w:tc>
        <w:tc>
          <w:tcPr>
            <w:tcW w:w="127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pacing w:val="-5"/>
                <w:sz w:val="18"/>
              </w:rPr>
              <w:t>50%</w:t>
            </w:r>
          </w:p>
        </w:tc>
        <w:tc>
          <w:tcPr>
            <w:tcW w:w="113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0"/>
              <w:jc w:val="center"/>
              <w:rPr>
                <w:sz w:val="18"/>
              </w:rPr>
            </w:pPr>
            <w:r>
              <w:rPr>
                <w:sz w:val="18"/>
              </w:rPr>
              <w:t>288</w:t>
            </w:r>
            <w:r>
              <w:rPr>
                <w:spacing w:val="-2"/>
                <w:sz w:val="18"/>
              </w:rPr>
              <w:t> </w:t>
            </w:r>
            <w:r>
              <w:rPr>
                <w:sz w:val="18"/>
              </w:rPr>
              <w:t>806</w:t>
            </w:r>
            <w:r>
              <w:rPr>
                <w:spacing w:val="-7"/>
                <w:sz w:val="18"/>
              </w:rPr>
              <w:t> </w:t>
            </w:r>
            <w:r>
              <w:rPr>
                <w:spacing w:val="-5"/>
                <w:sz w:val="18"/>
              </w:rPr>
              <w:t>340</w:t>
            </w:r>
          </w:p>
        </w:tc>
        <w:tc>
          <w:tcPr>
            <w:tcW w:w="127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6"/>
              <w:jc w:val="right"/>
              <w:rPr>
                <w:sz w:val="18"/>
              </w:rPr>
            </w:pPr>
            <w:r>
              <w:rPr>
                <w:spacing w:val="-5"/>
                <w:sz w:val="18"/>
              </w:rPr>
              <w:t>75%</w:t>
            </w:r>
          </w:p>
        </w:tc>
        <w:tc>
          <w:tcPr>
            <w:tcW w:w="127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4"/>
              <w:jc w:val="right"/>
              <w:rPr>
                <w:sz w:val="18"/>
              </w:rPr>
            </w:pPr>
            <w:r>
              <w:rPr>
                <w:sz w:val="18"/>
              </w:rPr>
              <w:t>433</w:t>
            </w:r>
            <w:r>
              <w:rPr>
                <w:spacing w:val="2"/>
                <w:sz w:val="18"/>
              </w:rPr>
              <w:t> </w:t>
            </w:r>
            <w:r>
              <w:rPr>
                <w:sz w:val="18"/>
              </w:rPr>
              <w:t>209</w:t>
            </w:r>
            <w:r>
              <w:rPr>
                <w:spacing w:val="-2"/>
                <w:sz w:val="18"/>
              </w:rPr>
              <w:t> </w:t>
            </w:r>
            <w:r>
              <w:rPr>
                <w:spacing w:val="-5"/>
                <w:sz w:val="18"/>
              </w:rPr>
              <w:t>510</w:t>
            </w:r>
          </w:p>
        </w:tc>
        <w:tc>
          <w:tcPr>
            <w:tcW w:w="142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1"/>
              <w:jc w:val="right"/>
              <w:rPr>
                <w:sz w:val="18"/>
              </w:rPr>
            </w:pPr>
            <w:r>
              <w:rPr>
                <w:spacing w:val="-4"/>
                <w:sz w:val="18"/>
              </w:rPr>
              <w:t>100%</w:t>
            </w:r>
          </w:p>
        </w:tc>
        <w:tc>
          <w:tcPr>
            <w:tcW w:w="184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4"/>
              <w:jc w:val="right"/>
              <w:rPr>
                <w:sz w:val="18"/>
              </w:rPr>
            </w:pPr>
            <w:r>
              <w:rPr>
                <w:sz w:val="18"/>
              </w:rPr>
              <w:t>577</w:t>
            </w:r>
            <w:r>
              <w:rPr>
                <w:spacing w:val="2"/>
                <w:sz w:val="18"/>
              </w:rPr>
              <w:t> </w:t>
            </w:r>
            <w:r>
              <w:rPr>
                <w:sz w:val="18"/>
              </w:rPr>
              <w:t>612</w:t>
            </w:r>
            <w:r>
              <w:rPr>
                <w:spacing w:val="-2"/>
                <w:sz w:val="18"/>
              </w:rPr>
              <w:t> </w:t>
            </w:r>
            <w:r>
              <w:rPr>
                <w:spacing w:val="-5"/>
                <w:sz w:val="18"/>
              </w:rPr>
              <w:t>680</w:t>
            </w:r>
          </w:p>
        </w:tc>
      </w:tr>
      <w:tr>
        <w:trPr>
          <w:trHeight w:val="2280" w:hRule="atLeast"/>
        </w:trPr>
        <w:tc>
          <w:tcPr>
            <w:tcW w:w="2123" w:type="dxa"/>
          </w:tcPr>
          <w:p>
            <w:pPr>
              <w:pStyle w:val="TableParagraph"/>
              <w:ind w:left="72" w:right="142"/>
              <w:rPr>
                <w:sz w:val="18"/>
              </w:rPr>
            </w:pPr>
            <w:r>
              <w:rPr>
                <w:b/>
                <w:sz w:val="18"/>
              </w:rPr>
              <w:t>Actividad</w:t>
            </w:r>
            <w:r>
              <w:rPr>
                <w:b/>
                <w:spacing w:val="-15"/>
                <w:sz w:val="18"/>
              </w:rPr>
              <w:t> </w:t>
            </w:r>
            <w:r>
              <w:rPr>
                <w:b/>
                <w:sz w:val="18"/>
              </w:rPr>
              <w:t>PAC</w:t>
            </w:r>
            <w:r>
              <w:rPr>
                <w:b/>
                <w:spacing w:val="-12"/>
                <w:sz w:val="18"/>
              </w:rPr>
              <w:t> </w:t>
            </w:r>
            <w:r>
              <w:rPr>
                <w:b/>
                <w:sz w:val="18"/>
              </w:rPr>
              <w:t>2.40.3: </w:t>
            </w:r>
            <w:r>
              <w:rPr>
                <w:sz w:val="18"/>
              </w:rPr>
              <w:t>Mantener la cobertura de servicios de mantenimiento de los </w:t>
            </w:r>
            <w:r>
              <w:rPr>
                <w:spacing w:val="-2"/>
                <w:sz w:val="18"/>
              </w:rPr>
              <w:t>equipos electromecánicos </w:t>
            </w:r>
            <w:r>
              <w:rPr>
                <w:sz w:val="18"/>
              </w:rPr>
              <w:t>necesarios para la operatividad de los edificios propios de Nivel</w:t>
            </w:r>
            <w:r>
              <w:rPr>
                <w:spacing w:val="-15"/>
                <w:sz w:val="18"/>
              </w:rPr>
              <w:t> </w:t>
            </w:r>
            <w:r>
              <w:rPr>
                <w:sz w:val="18"/>
              </w:rPr>
              <w:t>Central.</w:t>
            </w:r>
            <w:r>
              <w:rPr>
                <w:spacing w:val="-12"/>
                <w:sz w:val="18"/>
              </w:rPr>
              <w:t> </w:t>
            </w:r>
            <w:r>
              <w:rPr>
                <w:sz w:val="18"/>
              </w:rPr>
              <w:t>(1.08.01)</w:t>
            </w:r>
          </w:p>
          <w:p>
            <w:pPr>
              <w:pStyle w:val="TableParagraph"/>
              <w:spacing w:line="192" w:lineRule="exact"/>
              <w:ind w:left="72"/>
              <w:rPr>
                <w:sz w:val="18"/>
              </w:rPr>
            </w:pPr>
            <w:r>
              <w:rPr>
                <w:sz w:val="18"/>
              </w:rPr>
              <w:t>(1.08.04)</w:t>
            </w:r>
            <w:r>
              <w:rPr>
                <w:spacing w:val="-6"/>
                <w:sz w:val="18"/>
              </w:rPr>
              <w:t> </w:t>
            </w:r>
            <w:r>
              <w:rPr>
                <w:spacing w:val="-2"/>
                <w:sz w:val="18"/>
              </w:rPr>
              <w:t>(1.08.06)</w:t>
            </w:r>
          </w:p>
        </w:tc>
        <w:tc>
          <w:tcPr>
            <w:tcW w:w="1133" w:type="dxa"/>
          </w:tcPr>
          <w:p>
            <w:pPr>
              <w:pStyle w:val="TableParagraph"/>
              <w:rPr>
                <w:b/>
                <w:sz w:val="18"/>
              </w:rPr>
            </w:pPr>
          </w:p>
          <w:p>
            <w:pPr>
              <w:pStyle w:val="TableParagraph"/>
              <w:spacing w:before="2"/>
              <w:rPr>
                <w:b/>
                <w:sz w:val="18"/>
              </w:rPr>
            </w:pPr>
          </w:p>
          <w:p>
            <w:pPr>
              <w:pStyle w:val="TableParagraph"/>
              <w:ind w:left="66" w:right="60"/>
              <w:rPr>
                <w:sz w:val="18"/>
              </w:rPr>
            </w:pPr>
            <w:r>
              <w:rPr>
                <w:spacing w:val="-2"/>
                <w:sz w:val="18"/>
              </w:rPr>
              <w:t>Porcentaje </w:t>
            </w:r>
            <w:r>
              <w:rPr>
                <w:sz w:val="18"/>
              </w:rPr>
              <w:t>de equipos que</w:t>
            </w:r>
            <w:r>
              <w:rPr>
                <w:spacing w:val="-13"/>
                <w:sz w:val="18"/>
              </w:rPr>
              <w:t> </w:t>
            </w:r>
            <w:r>
              <w:rPr>
                <w:sz w:val="18"/>
              </w:rPr>
              <w:t>cuentan </w:t>
            </w:r>
            <w:r>
              <w:rPr>
                <w:spacing w:val="-4"/>
                <w:sz w:val="18"/>
              </w:rPr>
              <w:t>con</w:t>
            </w:r>
            <w:r>
              <w:rPr>
                <w:spacing w:val="40"/>
                <w:sz w:val="18"/>
              </w:rPr>
              <w:t> </w:t>
            </w:r>
            <w:r>
              <w:rPr>
                <w:sz w:val="18"/>
              </w:rPr>
              <w:t>servicios de </w:t>
            </w:r>
            <w:r>
              <w:rPr>
                <w:spacing w:val="-2"/>
                <w:sz w:val="18"/>
              </w:rPr>
              <w:t>mantenimie </w:t>
            </w:r>
            <w:r>
              <w:rPr>
                <w:spacing w:val="-4"/>
                <w:sz w:val="18"/>
              </w:rPr>
              <w:t>nto.</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7"/>
              <w:jc w:val="right"/>
              <w:rPr>
                <w:sz w:val="18"/>
              </w:rPr>
            </w:pPr>
            <w:r>
              <w:rPr>
                <w:spacing w:val="-5"/>
                <w:sz w:val="18"/>
              </w:rPr>
              <w:t>25%</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5"/>
              <w:jc w:val="right"/>
              <w:rPr>
                <w:sz w:val="18"/>
              </w:rPr>
            </w:pPr>
            <w:r>
              <w:rPr>
                <w:sz w:val="18"/>
              </w:rPr>
              <w:t>8</w:t>
            </w:r>
            <w:r>
              <w:rPr>
                <w:spacing w:val="2"/>
                <w:sz w:val="18"/>
              </w:rPr>
              <w:t> </w:t>
            </w:r>
            <w:r>
              <w:rPr>
                <w:sz w:val="18"/>
              </w:rPr>
              <w:t>775</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7"/>
              <w:jc w:val="right"/>
              <w:rPr>
                <w:sz w:val="18"/>
              </w:rPr>
            </w:pPr>
            <w:r>
              <w:rPr>
                <w:spacing w:val="-5"/>
                <w:sz w:val="18"/>
              </w:rPr>
              <w:t>50%</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01"/>
              <w:jc w:val="center"/>
              <w:rPr>
                <w:sz w:val="18"/>
              </w:rPr>
            </w:pPr>
            <w:r>
              <w:rPr>
                <w:sz w:val="18"/>
              </w:rPr>
              <w:t>17</w:t>
            </w:r>
            <w:r>
              <w:rPr>
                <w:spacing w:val="2"/>
                <w:sz w:val="18"/>
              </w:rPr>
              <w:t> </w:t>
            </w:r>
            <w:r>
              <w:rPr>
                <w:sz w:val="18"/>
              </w:rPr>
              <w:t>550</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6"/>
              <w:jc w:val="right"/>
              <w:rPr>
                <w:sz w:val="18"/>
              </w:rPr>
            </w:pPr>
            <w:r>
              <w:rPr>
                <w:spacing w:val="-5"/>
                <w:sz w:val="18"/>
              </w:rPr>
              <w:t>75%</w:t>
            </w:r>
          </w:p>
        </w:tc>
        <w:tc>
          <w:tcPr>
            <w:tcW w:w="12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4"/>
              <w:jc w:val="right"/>
              <w:rPr>
                <w:sz w:val="18"/>
              </w:rPr>
            </w:pPr>
            <w:r>
              <w:rPr>
                <w:sz w:val="18"/>
              </w:rPr>
              <w:t>26</w:t>
            </w:r>
            <w:r>
              <w:rPr>
                <w:spacing w:val="2"/>
                <w:sz w:val="18"/>
              </w:rPr>
              <w:t> </w:t>
            </w:r>
            <w:r>
              <w:rPr>
                <w:sz w:val="18"/>
              </w:rPr>
              <w:t>325</w:t>
            </w:r>
            <w:r>
              <w:rPr>
                <w:spacing w:val="-2"/>
                <w:sz w:val="18"/>
              </w:rPr>
              <w:t> </w:t>
            </w:r>
            <w:r>
              <w:rPr>
                <w:spacing w:val="-5"/>
                <w:sz w:val="18"/>
              </w:rPr>
              <w:t>000</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1"/>
              <w:jc w:val="right"/>
              <w:rPr>
                <w:sz w:val="18"/>
              </w:rPr>
            </w:pPr>
            <w:r>
              <w:rPr>
                <w:spacing w:val="-4"/>
                <w:sz w:val="18"/>
              </w:rPr>
              <w:t>100%</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4"/>
              <w:jc w:val="right"/>
              <w:rPr>
                <w:sz w:val="18"/>
              </w:rPr>
            </w:pPr>
            <w:r>
              <w:rPr>
                <w:sz w:val="18"/>
              </w:rPr>
              <w:t>35</w:t>
            </w:r>
            <w:r>
              <w:rPr>
                <w:spacing w:val="2"/>
                <w:sz w:val="18"/>
              </w:rPr>
              <w:t> </w:t>
            </w:r>
            <w:r>
              <w:rPr>
                <w:sz w:val="18"/>
              </w:rPr>
              <w:t>100</w:t>
            </w:r>
            <w:r>
              <w:rPr>
                <w:spacing w:val="-2"/>
                <w:sz w:val="18"/>
              </w:rPr>
              <w:t> </w:t>
            </w:r>
            <w:r>
              <w:rPr>
                <w:spacing w:val="-5"/>
                <w:sz w:val="18"/>
              </w:rPr>
              <w:t>000</w:t>
            </w:r>
          </w:p>
        </w:tc>
      </w:tr>
    </w:tbl>
    <w:p>
      <w:pPr>
        <w:pStyle w:val="TableParagraph"/>
        <w:spacing w:after="0"/>
        <w:jc w:val="right"/>
        <w:rPr>
          <w:sz w:val="18"/>
        </w:rPr>
        <w:sectPr>
          <w:type w:val="continuous"/>
          <w:pgSz w:w="15840" w:h="12240" w:orient="landscape"/>
          <w:pgMar w:header="0" w:footer="1806" w:top="700" w:bottom="2676"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3"/>
        <w:gridCol w:w="1133"/>
        <w:gridCol w:w="1277"/>
        <w:gridCol w:w="1277"/>
        <w:gridCol w:w="1277"/>
        <w:gridCol w:w="1133"/>
        <w:gridCol w:w="1277"/>
        <w:gridCol w:w="1272"/>
        <w:gridCol w:w="1421"/>
        <w:gridCol w:w="1844"/>
      </w:tblGrid>
      <w:tr>
        <w:trPr>
          <w:trHeight w:val="302" w:hRule="atLeast"/>
        </w:trPr>
        <w:tc>
          <w:tcPr>
            <w:tcW w:w="2123" w:type="dxa"/>
            <w:vMerge w:val="restart"/>
            <w:shd w:val="clear" w:color="auto" w:fill="E7E6E6"/>
          </w:tcPr>
          <w:p>
            <w:pPr>
              <w:pStyle w:val="TableParagraph"/>
              <w:spacing w:before="84"/>
              <w:rPr>
                <w:b/>
                <w:sz w:val="18"/>
              </w:rPr>
            </w:pPr>
          </w:p>
          <w:p>
            <w:pPr>
              <w:pStyle w:val="TableParagraph"/>
              <w:ind w:left="91"/>
              <w:rPr>
                <w:b/>
                <w:sz w:val="18"/>
              </w:rPr>
            </w:pPr>
            <w:r>
              <w:rPr>
                <w:b/>
                <w:sz w:val="18"/>
              </w:rPr>
              <w:t>Objetivos</w:t>
            </w:r>
            <w:r>
              <w:rPr>
                <w:b/>
                <w:spacing w:val="-5"/>
                <w:sz w:val="18"/>
              </w:rPr>
              <w:t> </w:t>
            </w:r>
            <w:r>
              <w:rPr>
                <w:b/>
                <w:sz w:val="18"/>
              </w:rPr>
              <w:t>/</w:t>
            </w:r>
            <w:r>
              <w:rPr>
                <w:b/>
                <w:spacing w:val="-2"/>
                <w:sz w:val="18"/>
              </w:rPr>
              <w:t> Resultados</w:t>
            </w:r>
          </w:p>
        </w:tc>
        <w:tc>
          <w:tcPr>
            <w:tcW w:w="1133" w:type="dxa"/>
            <w:vMerge w:val="restart"/>
            <w:shd w:val="clear" w:color="auto" w:fill="E7E6E6"/>
          </w:tcPr>
          <w:p>
            <w:pPr>
              <w:pStyle w:val="TableParagraph"/>
              <w:spacing w:before="84"/>
              <w:rPr>
                <w:b/>
                <w:sz w:val="18"/>
              </w:rPr>
            </w:pPr>
          </w:p>
          <w:p>
            <w:pPr>
              <w:pStyle w:val="TableParagraph"/>
              <w:ind w:left="157"/>
              <w:rPr>
                <w:b/>
                <w:sz w:val="18"/>
              </w:rPr>
            </w:pPr>
            <w:r>
              <w:rPr>
                <w:b/>
                <w:spacing w:val="-2"/>
                <w:sz w:val="18"/>
              </w:rPr>
              <w:t>Indicador</w:t>
            </w:r>
          </w:p>
        </w:tc>
        <w:tc>
          <w:tcPr>
            <w:tcW w:w="2554" w:type="dxa"/>
            <w:gridSpan w:val="2"/>
            <w:shd w:val="clear" w:color="auto" w:fill="E7E6E6"/>
          </w:tcPr>
          <w:p>
            <w:pPr>
              <w:pStyle w:val="TableParagraph"/>
              <w:spacing w:line="192" w:lineRule="exact" w:before="90"/>
              <w:ind w:left="815"/>
              <w:rPr>
                <w:b/>
                <w:sz w:val="18"/>
              </w:rPr>
            </w:pPr>
            <w:r>
              <w:rPr>
                <w:b/>
                <w:sz w:val="18"/>
              </w:rPr>
              <w:t>I</w:t>
            </w:r>
            <w:r>
              <w:rPr>
                <w:b/>
                <w:spacing w:val="-1"/>
                <w:sz w:val="18"/>
              </w:rPr>
              <w:t> </w:t>
            </w:r>
            <w:r>
              <w:rPr>
                <w:b/>
                <w:spacing w:val="-2"/>
                <w:sz w:val="18"/>
              </w:rPr>
              <w:t>Trimestre</w:t>
            </w:r>
          </w:p>
        </w:tc>
        <w:tc>
          <w:tcPr>
            <w:tcW w:w="2410" w:type="dxa"/>
            <w:gridSpan w:val="2"/>
            <w:shd w:val="clear" w:color="auto" w:fill="E7E6E6"/>
          </w:tcPr>
          <w:p>
            <w:pPr>
              <w:pStyle w:val="TableParagraph"/>
              <w:spacing w:line="192" w:lineRule="exact" w:before="90"/>
              <w:ind w:left="714"/>
              <w:rPr>
                <w:b/>
                <w:sz w:val="18"/>
              </w:rPr>
            </w:pPr>
            <w:r>
              <w:rPr>
                <w:b/>
                <w:sz w:val="18"/>
              </w:rPr>
              <w:t>II</w:t>
            </w:r>
            <w:r>
              <w:rPr>
                <w:b/>
                <w:spacing w:val="-3"/>
                <w:sz w:val="18"/>
              </w:rPr>
              <w:t> </w:t>
            </w:r>
            <w:r>
              <w:rPr>
                <w:b/>
                <w:spacing w:val="-2"/>
                <w:sz w:val="18"/>
              </w:rPr>
              <w:t>Trimestre</w:t>
            </w:r>
          </w:p>
        </w:tc>
        <w:tc>
          <w:tcPr>
            <w:tcW w:w="2549" w:type="dxa"/>
            <w:gridSpan w:val="2"/>
            <w:shd w:val="clear" w:color="auto" w:fill="E7E6E6"/>
          </w:tcPr>
          <w:p>
            <w:pPr>
              <w:pStyle w:val="TableParagraph"/>
              <w:spacing w:line="192" w:lineRule="exact" w:before="90"/>
              <w:ind w:left="763"/>
              <w:rPr>
                <w:b/>
                <w:sz w:val="18"/>
              </w:rPr>
            </w:pPr>
            <w:r>
              <w:rPr>
                <w:b/>
                <w:sz w:val="18"/>
              </w:rPr>
              <w:t>III</w:t>
            </w:r>
            <w:r>
              <w:rPr>
                <w:b/>
                <w:spacing w:val="-2"/>
                <w:sz w:val="18"/>
              </w:rPr>
              <w:t> Trimestre</w:t>
            </w:r>
          </w:p>
        </w:tc>
        <w:tc>
          <w:tcPr>
            <w:tcW w:w="3265" w:type="dxa"/>
            <w:gridSpan w:val="2"/>
            <w:shd w:val="clear" w:color="auto" w:fill="E7E6E6"/>
          </w:tcPr>
          <w:p>
            <w:pPr>
              <w:pStyle w:val="TableParagraph"/>
              <w:spacing w:line="192" w:lineRule="exact" w:before="90"/>
              <w:ind w:left="20"/>
              <w:jc w:val="center"/>
              <w:rPr>
                <w:b/>
                <w:sz w:val="18"/>
              </w:rPr>
            </w:pPr>
            <w:r>
              <w:rPr>
                <w:b/>
                <w:sz w:val="18"/>
              </w:rPr>
              <w:t>IV</w:t>
            </w:r>
            <w:r>
              <w:rPr>
                <w:b/>
                <w:spacing w:val="-2"/>
                <w:sz w:val="18"/>
              </w:rPr>
              <w:t> Trimestre</w:t>
            </w:r>
          </w:p>
        </w:tc>
      </w:tr>
      <w:tr>
        <w:trPr>
          <w:trHeight w:val="479" w:hRule="atLeast"/>
        </w:trPr>
        <w:tc>
          <w:tcPr>
            <w:tcW w:w="2123" w:type="dxa"/>
            <w:vMerge/>
            <w:tcBorders>
              <w:top w:val="nil"/>
            </w:tcBorders>
            <w:shd w:val="clear" w:color="auto" w:fill="E7E6E6"/>
          </w:tcPr>
          <w:p>
            <w:pPr>
              <w:rPr>
                <w:sz w:val="2"/>
                <w:szCs w:val="2"/>
              </w:rPr>
            </w:pPr>
          </w:p>
        </w:tc>
        <w:tc>
          <w:tcPr>
            <w:tcW w:w="1133" w:type="dxa"/>
            <w:vMerge/>
            <w:tcBorders>
              <w:top w:val="nil"/>
            </w:tcBorders>
            <w:shd w:val="clear" w:color="auto" w:fill="E7E6E6"/>
          </w:tcPr>
          <w:p>
            <w:pPr>
              <w:rPr>
                <w:sz w:val="2"/>
                <w:szCs w:val="2"/>
              </w:rPr>
            </w:pPr>
          </w:p>
        </w:tc>
        <w:tc>
          <w:tcPr>
            <w:tcW w:w="1277" w:type="dxa"/>
            <w:shd w:val="clear" w:color="auto" w:fill="E7E6E6"/>
          </w:tcPr>
          <w:p>
            <w:pPr>
              <w:pStyle w:val="TableParagraph"/>
              <w:spacing w:before="32"/>
              <w:ind w:left="114" w:firstLine="317"/>
              <w:rPr>
                <w:b/>
                <w:sz w:val="18"/>
              </w:rPr>
            </w:pPr>
            <w:r>
              <w:rPr>
                <w:b/>
                <w:spacing w:val="-4"/>
                <w:sz w:val="18"/>
              </w:rPr>
              <w:t>Meta </w:t>
            </w:r>
            <w:r>
              <w:rPr>
                <w:b/>
                <w:spacing w:val="-2"/>
                <w:sz w:val="18"/>
              </w:rPr>
              <w:t>programada</w:t>
            </w:r>
          </w:p>
        </w:tc>
        <w:tc>
          <w:tcPr>
            <w:tcW w:w="1277" w:type="dxa"/>
            <w:shd w:val="clear" w:color="auto" w:fill="E7E6E6"/>
          </w:tcPr>
          <w:p>
            <w:pPr>
              <w:pStyle w:val="TableParagraph"/>
              <w:spacing w:before="133"/>
              <w:ind w:left="16" w:right="11"/>
              <w:jc w:val="center"/>
              <w:rPr>
                <w:b/>
                <w:sz w:val="18"/>
              </w:rPr>
            </w:pPr>
            <w:r>
              <w:rPr>
                <w:b/>
                <w:spacing w:val="-10"/>
                <w:sz w:val="18"/>
              </w:rPr>
              <w:t>¢</w:t>
            </w:r>
          </w:p>
        </w:tc>
        <w:tc>
          <w:tcPr>
            <w:tcW w:w="1277" w:type="dxa"/>
            <w:shd w:val="clear" w:color="auto" w:fill="E7E6E6"/>
          </w:tcPr>
          <w:p>
            <w:pPr>
              <w:pStyle w:val="TableParagraph"/>
              <w:spacing w:before="32"/>
              <w:ind w:left="114" w:firstLine="312"/>
              <w:rPr>
                <w:b/>
                <w:sz w:val="18"/>
              </w:rPr>
            </w:pPr>
            <w:r>
              <w:rPr>
                <w:b/>
                <w:spacing w:val="-4"/>
                <w:sz w:val="18"/>
              </w:rPr>
              <w:t>Meta </w:t>
            </w:r>
            <w:r>
              <w:rPr>
                <w:b/>
                <w:spacing w:val="-2"/>
                <w:sz w:val="18"/>
              </w:rPr>
              <w:t>programada</w:t>
            </w:r>
          </w:p>
        </w:tc>
        <w:tc>
          <w:tcPr>
            <w:tcW w:w="1133" w:type="dxa"/>
            <w:shd w:val="clear" w:color="auto" w:fill="E7E6E6"/>
          </w:tcPr>
          <w:p>
            <w:pPr>
              <w:pStyle w:val="TableParagraph"/>
              <w:spacing w:before="133"/>
              <w:ind w:left="5"/>
              <w:jc w:val="center"/>
              <w:rPr>
                <w:b/>
                <w:sz w:val="18"/>
              </w:rPr>
            </w:pPr>
            <w:r>
              <w:rPr>
                <w:b/>
                <w:spacing w:val="-10"/>
                <w:sz w:val="18"/>
              </w:rPr>
              <w:t>¢</w:t>
            </w:r>
          </w:p>
        </w:tc>
        <w:tc>
          <w:tcPr>
            <w:tcW w:w="1277" w:type="dxa"/>
            <w:shd w:val="clear" w:color="auto" w:fill="E7E6E6"/>
          </w:tcPr>
          <w:p>
            <w:pPr>
              <w:pStyle w:val="TableParagraph"/>
              <w:spacing w:before="32"/>
              <w:ind w:left="114" w:firstLine="317"/>
              <w:rPr>
                <w:b/>
                <w:sz w:val="18"/>
              </w:rPr>
            </w:pPr>
            <w:r>
              <w:rPr>
                <w:b/>
                <w:spacing w:val="-4"/>
                <w:sz w:val="18"/>
              </w:rPr>
              <w:t>Meta </w:t>
            </w:r>
            <w:r>
              <w:rPr>
                <w:b/>
                <w:spacing w:val="-2"/>
                <w:sz w:val="18"/>
              </w:rPr>
              <w:t>programada</w:t>
            </w:r>
          </w:p>
        </w:tc>
        <w:tc>
          <w:tcPr>
            <w:tcW w:w="1272" w:type="dxa"/>
            <w:shd w:val="clear" w:color="auto" w:fill="E7E6E6"/>
          </w:tcPr>
          <w:p>
            <w:pPr>
              <w:pStyle w:val="TableParagraph"/>
              <w:spacing w:before="133"/>
              <w:ind w:left="20" w:right="19"/>
              <w:jc w:val="center"/>
              <w:rPr>
                <w:b/>
                <w:sz w:val="18"/>
              </w:rPr>
            </w:pPr>
            <w:r>
              <w:rPr>
                <w:b/>
                <w:spacing w:val="-10"/>
                <w:sz w:val="18"/>
              </w:rPr>
              <w:t>¢</w:t>
            </w:r>
          </w:p>
        </w:tc>
        <w:tc>
          <w:tcPr>
            <w:tcW w:w="1421" w:type="dxa"/>
            <w:shd w:val="clear" w:color="auto" w:fill="E7E6E6"/>
          </w:tcPr>
          <w:p>
            <w:pPr>
              <w:pStyle w:val="TableParagraph"/>
              <w:spacing w:line="210" w:lineRule="atLeast" w:before="39"/>
              <w:ind w:left="192" w:firstLine="312"/>
              <w:rPr>
                <w:b/>
                <w:sz w:val="18"/>
              </w:rPr>
            </w:pPr>
            <w:r>
              <w:rPr>
                <w:b/>
                <w:spacing w:val="-4"/>
                <w:sz w:val="18"/>
              </w:rPr>
              <w:t>Meta </w:t>
            </w:r>
            <w:r>
              <w:rPr>
                <w:b/>
                <w:spacing w:val="-2"/>
                <w:sz w:val="18"/>
              </w:rPr>
              <w:t>programada</w:t>
            </w:r>
          </w:p>
        </w:tc>
        <w:tc>
          <w:tcPr>
            <w:tcW w:w="1844" w:type="dxa"/>
            <w:shd w:val="clear" w:color="auto" w:fill="E7E6E6"/>
          </w:tcPr>
          <w:p>
            <w:pPr>
              <w:pStyle w:val="TableParagraph"/>
              <w:spacing w:before="133"/>
              <w:ind w:left="9" w:right="3"/>
              <w:jc w:val="center"/>
              <w:rPr>
                <w:b/>
                <w:sz w:val="18"/>
              </w:rPr>
            </w:pPr>
            <w:r>
              <w:rPr>
                <w:b/>
                <w:spacing w:val="-10"/>
                <w:sz w:val="18"/>
              </w:rPr>
              <w:t>¢</w:t>
            </w:r>
          </w:p>
        </w:tc>
      </w:tr>
      <w:tr>
        <w:trPr>
          <w:trHeight w:val="1454" w:hRule="atLeast"/>
        </w:trPr>
        <w:tc>
          <w:tcPr>
            <w:tcW w:w="2123" w:type="dxa"/>
          </w:tcPr>
          <w:p>
            <w:pPr>
              <w:pStyle w:val="TableParagraph"/>
              <w:spacing w:line="206" w:lineRule="exact"/>
              <w:ind w:left="72"/>
              <w:rPr>
                <w:sz w:val="18"/>
              </w:rPr>
            </w:pPr>
            <w:r>
              <w:rPr>
                <w:sz w:val="18"/>
              </w:rPr>
              <w:t>(1.08.07)</w:t>
            </w:r>
            <w:r>
              <w:rPr>
                <w:spacing w:val="-6"/>
                <w:sz w:val="18"/>
              </w:rPr>
              <w:t> </w:t>
            </w:r>
            <w:r>
              <w:rPr>
                <w:spacing w:val="-2"/>
                <w:sz w:val="18"/>
              </w:rPr>
              <w:t>(1.08.99)</w:t>
            </w:r>
          </w:p>
          <w:p>
            <w:pPr>
              <w:pStyle w:val="TableParagraph"/>
              <w:ind w:left="72"/>
              <w:rPr>
                <w:sz w:val="18"/>
              </w:rPr>
            </w:pPr>
            <w:r>
              <w:rPr>
                <w:spacing w:val="-2"/>
                <w:sz w:val="18"/>
              </w:rPr>
              <w:t>(1.08.08)</w:t>
            </w:r>
          </w:p>
        </w:tc>
        <w:tc>
          <w:tcPr>
            <w:tcW w:w="1133"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133" w:type="dxa"/>
          </w:tcPr>
          <w:p>
            <w:pPr>
              <w:pStyle w:val="TableParagraph"/>
              <w:rPr>
                <w:rFonts w:ascii="Times New Roman"/>
                <w:sz w:val="18"/>
              </w:rPr>
            </w:pPr>
          </w:p>
        </w:tc>
        <w:tc>
          <w:tcPr>
            <w:tcW w:w="1277" w:type="dxa"/>
          </w:tcPr>
          <w:p>
            <w:pPr>
              <w:pStyle w:val="TableParagraph"/>
              <w:rPr>
                <w:rFonts w:ascii="Times New Roman"/>
                <w:sz w:val="18"/>
              </w:rPr>
            </w:pPr>
          </w:p>
        </w:tc>
        <w:tc>
          <w:tcPr>
            <w:tcW w:w="1272" w:type="dxa"/>
          </w:tcPr>
          <w:p>
            <w:pPr>
              <w:pStyle w:val="TableParagraph"/>
              <w:rPr>
                <w:rFonts w:ascii="Times New Roman"/>
                <w:sz w:val="18"/>
              </w:rPr>
            </w:pPr>
          </w:p>
        </w:tc>
        <w:tc>
          <w:tcPr>
            <w:tcW w:w="1421" w:type="dxa"/>
          </w:tcPr>
          <w:p>
            <w:pPr>
              <w:pStyle w:val="TableParagraph"/>
              <w:rPr>
                <w:rFonts w:ascii="Times New Roman"/>
                <w:sz w:val="18"/>
              </w:rPr>
            </w:pPr>
          </w:p>
        </w:tc>
        <w:tc>
          <w:tcPr>
            <w:tcW w:w="1844" w:type="dxa"/>
          </w:tcPr>
          <w:p>
            <w:pPr>
              <w:pStyle w:val="TableParagraph"/>
              <w:rPr>
                <w:rFonts w:ascii="Times New Roman"/>
                <w:sz w:val="18"/>
              </w:rPr>
            </w:pPr>
          </w:p>
        </w:tc>
      </w:tr>
      <w:tr>
        <w:trPr>
          <w:trHeight w:val="2275" w:hRule="atLeast"/>
        </w:trPr>
        <w:tc>
          <w:tcPr>
            <w:tcW w:w="2123" w:type="dxa"/>
          </w:tcPr>
          <w:p>
            <w:pPr>
              <w:pStyle w:val="TableParagraph"/>
              <w:spacing w:before="104"/>
              <w:ind w:left="72" w:right="82"/>
              <w:rPr>
                <w:sz w:val="18"/>
              </w:rPr>
            </w:pPr>
            <w:r>
              <w:rPr>
                <w:b/>
                <w:sz w:val="18"/>
              </w:rPr>
              <w:t>Actividad PAC 2.40.4: </w:t>
            </w:r>
            <w:r>
              <w:rPr>
                <w:sz w:val="18"/>
              </w:rPr>
              <w:t>Mantener la cobertura del servicio de mantenimiento de los edificios propios del IMAS, que son necesarios para la adecuada operatividad de</w:t>
            </w:r>
            <w:r>
              <w:rPr>
                <w:spacing w:val="-6"/>
                <w:sz w:val="18"/>
              </w:rPr>
              <w:t> </w:t>
            </w:r>
            <w:r>
              <w:rPr>
                <w:sz w:val="18"/>
              </w:rPr>
              <w:t>la</w:t>
            </w:r>
            <w:r>
              <w:rPr>
                <w:spacing w:val="-10"/>
                <w:sz w:val="18"/>
              </w:rPr>
              <w:t> </w:t>
            </w:r>
            <w:r>
              <w:rPr>
                <w:sz w:val="18"/>
              </w:rPr>
              <w:t>Institución</w:t>
            </w:r>
            <w:r>
              <w:rPr>
                <w:spacing w:val="-10"/>
                <w:sz w:val="18"/>
              </w:rPr>
              <w:t> </w:t>
            </w:r>
            <w:r>
              <w:rPr>
                <w:sz w:val="18"/>
              </w:rPr>
              <w:t>de</w:t>
            </w:r>
            <w:r>
              <w:rPr>
                <w:spacing w:val="-10"/>
                <w:sz w:val="18"/>
              </w:rPr>
              <w:t> </w:t>
            </w:r>
            <w:r>
              <w:rPr>
                <w:sz w:val="18"/>
              </w:rPr>
              <w:t>Nivel Central. (1.08.01)</w:t>
            </w:r>
          </w:p>
        </w:tc>
        <w:tc>
          <w:tcPr>
            <w:tcW w:w="1133" w:type="dxa"/>
          </w:tcPr>
          <w:p>
            <w:pPr>
              <w:pStyle w:val="TableParagraph"/>
              <w:ind w:left="66" w:right="69"/>
              <w:rPr>
                <w:sz w:val="18"/>
              </w:rPr>
            </w:pPr>
            <w:r>
              <w:rPr>
                <w:spacing w:val="-2"/>
                <w:sz w:val="18"/>
              </w:rPr>
              <w:t>Porcentaje </w:t>
            </w:r>
            <w:r>
              <w:rPr>
                <w:spacing w:val="-6"/>
                <w:sz w:val="18"/>
              </w:rPr>
              <w:t>de </w:t>
            </w:r>
            <w:r>
              <w:rPr>
                <w:spacing w:val="-2"/>
                <w:sz w:val="18"/>
              </w:rPr>
              <w:t>contratacion </w:t>
            </w:r>
            <w:r>
              <w:rPr>
                <w:spacing w:val="-6"/>
                <w:sz w:val="18"/>
              </w:rPr>
              <w:t>es</w:t>
            </w:r>
            <w:r>
              <w:rPr>
                <w:sz w:val="18"/>
              </w:rPr>
              <w:t> </w:t>
            </w:r>
            <w:r>
              <w:rPr>
                <w:spacing w:val="-2"/>
                <w:sz w:val="18"/>
              </w:rPr>
              <w:t>realizadas </w:t>
            </w:r>
            <w:r>
              <w:rPr>
                <w:sz w:val="18"/>
              </w:rPr>
              <w:t>para velar por el </w:t>
            </w:r>
            <w:r>
              <w:rPr>
                <w:spacing w:val="-2"/>
                <w:sz w:val="18"/>
              </w:rPr>
              <w:t>adecuado mantenimie </w:t>
            </w:r>
            <w:r>
              <w:rPr>
                <w:sz w:val="18"/>
              </w:rPr>
              <w:t>nto de los</w:t>
            </w:r>
          </w:p>
          <w:p>
            <w:pPr>
              <w:pStyle w:val="TableParagraph"/>
              <w:spacing w:line="187" w:lineRule="exact"/>
              <w:ind w:left="66"/>
              <w:rPr>
                <w:sz w:val="18"/>
              </w:rPr>
            </w:pPr>
            <w:r>
              <w:rPr>
                <w:spacing w:val="-2"/>
                <w:sz w:val="18"/>
              </w:rPr>
              <w:t>edificios.</w:t>
            </w: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133"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6"/>
              <w:jc w:val="right"/>
              <w:rPr>
                <w:sz w:val="18"/>
              </w:rPr>
            </w:pPr>
            <w:r>
              <w:rPr>
                <w:spacing w:val="-2"/>
                <w:sz w:val="18"/>
              </w:rPr>
              <w:t>15,00%</w:t>
            </w:r>
          </w:p>
        </w:tc>
        <w:tc>
          <w:tcPr>
            <w:tcW w:w="12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97"/>
              <w:rPr>
                <w:sz w:val="18"/>
              </w:rPr>
            </w:pPr>
            <w:r>
              <w:rPr>
                <w:sz w:val="18"/>
              </w:rPr>
              <w:t>15</w:t>
            </w:r>
            <w:r>
              <w:rPr>
                <w:spacing w:val="2"/>
                <w:sz w:val="18"/>
              </w:rPr>
              <w:t> </w:t>
            </w:r>
            <w:r>
              <w:rPr>
                <w:sz w:val="18"/>
              </w:rPr>
              <w:t>300</w:t>
            </w:r>
            <w:r>
              <w:rPr>
                <w:spacing w:val="-2"/>
                <w:sz w:val="18"/>
              </w:rPr>
              <w:t> </w:t>
            </w:r>
            <w:r>
              <w:rPr>
                <w:spacing w:val="-5"/>
                <w:sz w:val="18"/>
              </w:rPr>
              <w:t>000</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1"/>
              <w:jc w:val="right"/>
              <w:rPr>
                <w:sz w:val="18"/>
              </w:rPr>
            </w:pPr>
            <w:r>
              <w:rPr>
                <w:spacing w:val="-4"/>
                <w:sz w:val="18"/>
              </w:rPr>
              <w:t>100%</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768"/>
              <w:rPr>
                <w:sz w:val="18"/>
              </w:rPr>
            </w:pPr>
            <w:r>
              <w:rPr>
                <w:sz w:val="18"/>
              </w:rPr>
              <w:t>102</w:t>
            </w:r>
            <w:r>
              <w:rPr>
                <w:spacing w:val="2"/>
                <w:sz w:val="18"/>
              </w:rPr>
              <w:t> </w:t>
            </w:r>
            <w:r>
              <w:rPr>
                <w:sz w:val="18"/>
              </w:rPr>
              <w:t>000</w:t>
            </w:r>
            <w:r>
              <w:rPr>
                <w:spacing w:val="-2"/>
                <w:sz w:val="18"/>
              </w:rPr>
              <w:t> </w:t>
            </w:r>
            <w:r>
              <w:rPr>
                <w:spacing w:val="-5"/>
                <w:sz w:val="18"/>
              </w:rPr>
              <w:t>000</w:t>
            </w:r>
          </w:p>
        </w:tc>
      </w:tr>
      <w:tr>
        <w:trPr>
          <w:trHeight w:val="1656" w:hRule="atLeast"/>
        </w:trPr>
        <w:tc>
          <w:tcPr>
            <w:tcW w:w="2123" w:type="dxa"/>
          </w:tcPr>
          <w:p>
            <w:pPr>
              <w:pStyle w:val="TableParagraph"/>
              <w:ind w:left="72" w:right="142"/>
              <w:rPr>
                <w:sz w:val="18"/>
              </w:rPr>
            </w:pPr>
            <w:r>
              <w:rPr>
                <w:b/>
                <w:sz w:val="18"/>
              </w:rPr>
              <w:t>Actividad</w:t>
            </w:r>
            <w:r>
              <w:rPr>
                <w:b/>
                <w:spacing w:val="-15"/>
                <w:sz w:val="18"/>
              </w:rPr>
              <w:t> </w:t>
            </w:r>
            <w:r>
              <w:rPr>
                <w:b/>
                <w:sz w:val="18"/>
              </w:rPr>
              <w:t>PAC</w:t>
            </w:r>
            <w:r>
              <w:rPr>
                <w:b/>
                <w:spacing w:val="-12"/>
                <w:sz w:val="18"/>
              </w:rPr>
              <w:t> </w:t>
            </w:r>
            <w:r>
              <w:rPr>
                <w:b/>
                <w:sz w:val="18"/>
              </w:rPr>
              <w:t>2.40.5: </w:t>
            </w:r>
            <w:r>
              <w:rPr>
                <w:sz w:val="18"/>
              </w:rPr>
              <w:t>Seguimiento de los proyectos inscritos incluidos dentro del BPIP que tengan competencia con el</w:t>
            </w:r>
          </w:p>
          <w:p>
            <w:pPr>
              <w:pStyle w:val="TableParagraph"/>
              <w:spacing w:line="206" w:lineRule="exact"/>
              <w:ind w:left="72"/>
              <w:rPr>
                <w:sz w:val="18"/>
              </w:rPr>
            </w:pPr>
            <w:r>
              <w:rPr>
                <w:sz w:val="18"/>
              </w:rPr>
              <w:t>Proceso</w:t>
            </w:r>
            <w:r>
              <w:rPr>
                <w:spacing w:val="-15"/>
                <w:sz w:val="18"/>
              </w:rPr>
              <w:t> </w:t>
            </w:r>
            <w:r>
              <w:rPr>
                <w:sz w:val="18"/>
              </w:rPr>
              <w:t>de</w:t>
            </w:r>
            <w:r>
              <w:rPr>
                <w:spacing w:val="-12"/>
                <w:sz w:val="18"/>
              </w:rPr>
              <w:t> </w:t>
            </w:r>
            <w:r>
              <w:rPr>
                <w:sz w:val="18"/>
              </w:rPr>
              <w:t>Servicios </w:t>
            </w:r>
            <w:r>
              <w:rPr>
                <w:spacing w:val="-2"/>
                <w:sz w:val="18"/>
              </w:rPr>
              <w:t>Administrativos.</w:t>
            </w:r>
          </w:p>
        </w:tc>
        <w:tc>
          <w:tcPr>
            <w:tcW w:w="1133" w:type="dxa"/>
          </w:tcPr>
          <w:p>
            <w:pPr>
              <w:pStyle w:val="TableParagraph"/>
              <w:rPr>
                <w:b/>
                <w:sz w:val="18"/>
              </w:rPr>
            </w:pPr>
          </w:p>
          <w:p>
            <w:pPr>
              <w:pStyle w:val="TableParagraph"/>
              <w:spacing w:before="3"/>
              <w:rPr>
                <w:b/>
                <w:sz w:val="18"/>
              </w:rPr>
            </w:pPr>
          </w:p>
          <w:p>
            <w:pPr>
              <w:pStyle w:val="TableParagraph"/>
              <w:ind w:left="66" w:right="79"/>
              <w:jc w:val="both"/>
              <w:rPr>
                <w:sz w:val="18"/>
              </w:rPr>
            </w:pPr>
            <w:r>
              <w:rPr>
                <w:sz w:val="18"/>
              </w:rPr>
              <w:t>Cantidad</w:t>
            </w:r>
            <w:r>
              <w:rPr>
                <w:spacing w:val="-13"/>
                <w:sz w:val="18"/>
              </w:rPr>
              <w:t> </w:t>
            </w:r>
            <w:r>
              <w:rPr>
                <w:sz w:val="18"/>
              </w:rPr>
              <w:t>de </w:t>
            </w:r>
            <w:r>
              <w:rPr>
                <w:spacing w:val="-2"/>
                <w:sz w:val="18"/>
              </w:rPr>
              <w:t>seguimiento </w:t>
            </w:r>
            <w:r>
              <w:rPr>
                <w:sz w:val="18"/>
              </w:rPr>
              <w:t>s</w:t>
            </w:r>
            <w:r>
              <w:rPr>
                <w:spacing w:val="-13"/>
                <w:sz w:val="18"/>
              </w:rPr>
              <w:t> </w:t>
            </w:r>
            <w:r>
              <w:rPr>
                <w:sz w:val="18"/>
              </w:rPr>
              <w:t>realizados en el BPIP</w:t>
            </w: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59"/>
              <w:jc w:val="right"/>
              <w:rPr>
                <w:sz w:val="18"/>
              </w:rPr>
            </w:pPr>
            <w:r>
              <w:rPr>
                <w:spacing w:val="-10"/>
                <w:sz w:val="18"/>
              </w:rPr>
              <w:t>1</w:t>
            </w:r>
          </w:p>
        </w:tc>
        <w:tc>
          <w:tcPr>
            <w:tcW w:w="1133" w:type="dxa"/>
          </w:tcPr>
          <w:p>
            <w:pPr>
              <w:pStyle w:val="TableParagraph"/>
              <w:rPr>
                <w:rFonts w:ascii="Times New Roman"/>
                <w:sz w:val="18"/>
              </w:rPr>
            </w:pPr>
          </w:p>
        </w:tc>
        <w:tc>
          <w:tcPr>
            <w:tcW w:w="1277" w:type="dxa"/>
          </w:tcPr>
          <w:p>
            <w:pPr>
              <w:pStyle w:val="TableParagraph"/>
              <w:rPr>
                <w:rFonts w:ascii="Times New Roman"/>
                <w:sz w:val="18"/>
              </w:rPr>
            </w:pPr>
          </w:p>
        </w:tc>
        <w:tc>
          <w:tcPr>
            <w:tcW w:w="1272"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53"/>
              <w:jc w:val="right"/>
              <w:rPr>
                <w:sz w:val="18"/>
              </w:rPr>
            </w:pPr>
            <w:r>
              <w:rPr>
                <w:spacing w:val="-10"/>
                <w:sz w:val="18"/>
              </w:rPr>
              <w:t>2</w:t>
            </w:r>
          </w:p>
        </w:tc>
        <w:tc>
          <w:tcPr>
            <w:tcW w:w="1844" w:type="dxa"/>
          </w:tcPr>
          <w:p>
            <w:pPr>
              <w:pStyle w:val="TableParagraph"/>
              <w:rPr>
                <w:rFonts w:ascii="Times New Roman"/>
                <w:sz w:val="18"/>
              </w:rPr>
            </w:pPr>
          </w:p>
        </w:tc>
      </w:tr>
      <w:tr>
        <w:trPr>
          <w:trHeight w:val="465" w:hRule="atLeast"/>
        </w:trPr>
        <w:tc>
          <w:tcPr>
            <w:tcW w:w="14034" w:type="dxa"/>
            <w:gridSpan w:val="10"/>
            <w:shd w:val="clear" w:color="auto" w:fill="EFF8F9"/>
          </w:tcPr>
          <w:p>
            <w:pPr>
              <w:pStyle w:val="TableParagraph"/>
              <w:spacing w:before="27"/>
              <w:ind w:left="72" w:right="71"/>
              <w:rPr>
                <w:b/>
                <w:sz w:val="18"/>
              </w:rPr>
            </w:pPr>
            <w:r>
              <w:rPr>
                <w:b/>
                <w:sz w:val="18"/>
              </w:rPr>
              <w:t>Producto</w:t>
            </w:r>
            <w:r>
              <w:rPr>
                <w:b/>
                <w:spacing w:val="-3"/>
                <w:sz w:val="18"/>
              </w:rPr>
              <w:t> </w:t>
            </w:r>
            <w:r>
              <w:rPr>
                <w:b/>
                <w:sz w:val="18"/>
              </w:rPr>
              <w:t>PAC</w:t>
            </w:r>
            <w:r>
              <w:rPr>
                <w:b/>
                <w:spacing w:val="-4"/>
                <w:sz w:val="18"/>
              </w:rPr>
              <w:t> </w:t>
            </w:r>
            <w:r>
              <w:rPr>
                <w:b/>
                <w:sz w:val="18"/>
              </w:rPr>
              <w:t>2.41:</w:t>
            </w:r>
            <w:r>
              <w:rPr>
                <w:b/>
                <w:spacing w:val="40"/>
                <w:sz w:val="18"/>
              </w:rPr>
              <w:t> </w:t>
            </w:r>
            <w:r>
              <w:rPr>
                <w:b/>
                <w:sz w:val="18"/>
              </w:rPr>
              <w:t>Proceso</w:t>
            </w:r>
            <w:r>
              <w:rPr>
                <w:b/>
                <w:spacing w:val="-3"/>
                <w:sz w:val="18"/>
              </w:rPr>
              <w:t> </w:t>
            </w:r>
            <w:r>
              <w:rPr>
                <w:b/>
                <w:sz w:val="18"/>
              </w:rPr>
              <w:t>de</w:t>
            </w:r>
            <w:r>
              <w:rPr>
                <w:b/>
                <w:spacing w:val="-7"/>
                <w:sz w:val="18"/>
              </w:rPr>
              <w:t> </w:t>
            </w:r>
            <w:r>
              <w:rPr>
                <w:b/>
                <w:sz w:val="18"/>
              </w:rPr>
              <w:t>Transportes: Administración</w:t>
            </w:r>
            <w:r>
              <w:rPr>
                <w:b/>
                <w:spacing w:val="-3"/>
                <w:sz w:val="18"/>
              </w:rPr>
              <w:t> </w:t>
            </w:r>
            <w:r>
              <w:rPr>
                <w:b/>
                <w:sz w:val="18"/>
              </w:rPr>
              <w:t>efectiva</w:t>
            </w:r>
            <w:r>
              <w:rPr>
                <w:b/>
                <w:spacing w:val="-2"/>
                <w:sz w:val="18"/>
              </w:rPr>
              <w:t> </w:t>
            </w:r>
            <w:r>
              <w:rPr>
                <w:b/>
                <w:sz w:val="18"/>
              </w:rPr>
              <w:t>del producto</w:t>
            </w:r>
            <w:r>
              <w:rPr>
                <w:b/>
                <w:spacing w:val="-7"/>
                <w:sz w:val="18"/>
              </w:rPr>
              <w:t> </w:t>
            </w:r>
            <w:r>
              <w:rPr>
                <w:b/>
                <w:sz w:val="18"/>
              </w:rPr>
              <w:t>transportes, el cual contribuye</w:t>
            </w:r>
            <w:r>
              <w:rPr>
                <w:b/>
                <w:spacing w:val="-2"/>
                <w:sz w:val="18"/>
              </w:rPr>
              <w:t> </w:t>
            </w:r>
            <w:r>
              <w:rPr>
                <w:b/>
                <w:sz w:val="18"/>
              </w:rPr>
              <w:t>con</w:t>
            </w:r>
            <w:r>
              <w:rPr>
                <w:b/>
                <w:spacing w:val="-3"/>
                <w:sz w:val="18"/>
              </w:rPr>
              <w:t> </w:t>
            </w:r>
            <w:r>
              <w:rPr>
                <w:b/>
                <w:sz w:val="18"/>
              </w:rPr>
              <w:t>la</w:t>
            </w:r>
            <w:r>
              <w:rPr>
                <w:b/>
                <w:spacing w:val="-2"/>
                <w:sz w:val="18"/>
              </w:rPr>
              <w:t> </w:t>
            </w:r>
            <w:r>
              <w:rPr>
                <w:b/>
                <w:sz w:val="18"/>
              </w:rPr>
              <w:t>prestación</w:t>
            </w:r>
            <w:r>
              <w:rPr>
                <w:b/>
                <w:spacing w:val="-3"/>
                <w:sz w:val="18"/>
              </w:rPr>
              <w:t> </w:t>
            </w:r>
            <w:r>
              <w:rPr>
                <w:b/>
                <w:sz w:val="18"/>
              </w:rPr>
              <w:t>de</w:t>
            </w:r>
            <w:r>
              <w:rPr>
                <w:b/>
                <w:spacing w:val="-2"/>
                <w:sz w:val="18"/>
              </w:rPr>
              <w:t> </w:t>
            </w:r>
            <w:r>
              <w:rPr>
                <w:b/>
                <w:sz w:val="18"/>
              </w:rPr>
              <w:t>los</w:t>
            </w:r>
            <w:r>
              <w:rPr>
                <w:b/>
                <w:spacing w:val="-2"/>
                <w:sz w:val="18"/>
              </w:rPr>
              <w:t> </w:t>
            </w:r>
            <w:r>
              <w:rPr>
                <w:b/>
                <w:sz w:val="18"/>
              </w:rPr>
              <w:t>servicios </w:t>
            </w:r>
            <w:r>
              <w:rPr>
                <w:b/>
                <w:spacing w:val="-2"/>
                <w:sz w:val="18"/>
              </w:rPr>
              <w:t>institucionales</w:t>
            </w:r>
          </w:p>
        </w:tc>
      </w:tr>
      <w:tr>
        <w:trPr>
          <w:trHeight w:val="1243" w:hRule="atLeast"/>
        </w:trPr>
        <w:tc>
          <w:tcPr>
            <w:tcW w:w="2123" w:type="dxa"/>
          </w:tcPr>
          <w:p>
            <w:pPr>
              <w:pStyle w:val="TableParagraph"/>
              <w:ind w:left="72" w:right="180"/>
              <w:jc w:val="both"/>
              <w:rPr>
                <w:sz w:val="18"/>
              </w:rPr>
            </w:pPr>
            <w:r>
              <w:rPr>
                <w:b/>
                <w:sz w:val="18"/>
              </w:rPr>
              <w:t>Actividad</w:t>
            </w:r>
            <w:r>
              <w:rPr>
                <w:b/>
                <w:spacing w:val="-15"/>
                <w:sz w:val="18"/>
              </w:rPr>
              <w:t> </w:t>
            </w:r>
            <w:r>
              <w:rPr>
                <w:b/>
                <w:sz w:val="18"/>
              </w:rPr>
              <w:t>PAC</w:t>
            </w:r>
            <w:r>
              <w:rPr>
                <w:b/>
                <w:spacing w:val="-12"/>
                <w:sz w:val="18"/>
              </w:rPr>
              <w:t> </w:t>
            </w:r>
            <w:r>
              <w:rPr>
                <w:b/>
                <w:sz w:val="18"/>
              </w:rPr>
              <w:t>2.41.1: </w:t>
            </w:r>
            <w:r>
              <w:rPr>
                <w:sz w:val="18"/>
              </w:rPr>
              <w:t>Supervisión técnica en mecánica automotriz y seguimiento</w:t>
            </w:r>
            <w:r>
              <w:rPr>
                <w:spacing w:val="-15"/>
                <w:sz w:val="18"/>
              </w:rPr>
              <w:t> </w:t>
            </w:r>
            <w:r>
              <w:rPr>
                <w:sz w:val="18"/>
              </w:rPr>
              <w:t>del</w:t>
            </w:r>
            <w:r>
              <w:rPr>
                <w:spacing w:val="-12"/>
                <w:sz w:val="18"/>
              </w:rPr>
              <w:t> </w:t>
            </w:r>
            <w:r>
              <w:rPr>
                <w:sz w:val="18"/>
              </w:rPr>
              <w:t>estado de los vehículos de la</w:t>
            </w:r>
          </w:p>
          <w:p>
            <w:pPr>
              <w:pStyle w:val="TableParagraph"/>
              <w:spacing w:line="187" w:lineRule="exact" w:before="1"/>
              <w:ind w:left="72"/>
              <w:jc w:val="both"/>
              <w:rPr>
                <w:sz w:val="18"/>
              </w:rPr>
            </w:pPr>
            <w:r>
              <w:rPr>
                <w:sz w:val="18"/>
              </w:rPr>
              <w:t>flotilla</w:t>
            </w:r>
            <w:r>
              <w:rPr>
                <w:spacing w:val="-6"/>
                <w:sz w:val="18"/>
              </w:rPr>
              <w:t> </w:t>
            </w:r>
            <w:r>
              <w:rPr>
                <w:spacing w:val="-2"/>
                <w:sz w:val="18"/>
              </w:rPr>
              <w:t>institucional.</w:t>
            </w:r>
          </w:p>
        </w:tc>
        <w:tc>
          <w:tcPr>
            <w:tcW w:w="1133" w:type="dxa"/>
          </w:tcPr>
          <w:p>
            <w:pPr>
              <w:pStyle w:val="TableParagraph"/>
              <w:ind w:left="66"/>
              <w:rPr>
                <w:sz w:val="18"/>
              </w:rPr>
            </w:pPr>
            <w:r>
              <w:rPr>
                <w:sz w:val="18"/>
              </w:rPr>
              <w:t>Cantidad</w:t>
            </w:r>
            <w:r>
              <w:rPr>
                <w:spacing w:val="-13"/>
                <w:sz w:val="18"/>
              </w:rPr>
              <w:t> </w:t>
            </w:r>
            <w:r>
              <w:rPr>
                <w:sz w:val="18"/>
              </w:rPr>
              <w:t>de </w:t>
            </w:r>
            <w:r>
              <w:rPr>
                <w:spacing w:val="-2"/>
                <w:sz w:val="18"/>
              </w:rPr>
              <w:t>vehículos institucional </w:t>
            </w:r>
            <w:r>
              <w:rPr>
                <w:sz w:val="18"/>
              </w:rPr>
              <w:t>es con </w:t>
            </w:r>
            <w:r>
              <w:rPr>
                <w:spacing w:val="-2"/>
                <w:sz w:val="18"/>
              </w:rPr>
              <w:t>supervisión</w:t>
            </w:r>
          </w:p>
          <w:p>
            <w:pPr>
              <w:pStyle w:val="TableParagraph"/>
              <w:spacing w:line="187" w:lineRule="exact" w:before="1"/>
              <w:ind w:left="66"/>
              <w:rPr>
                <w:sz w:val="18"/>
              </w:rPr>
            </w:pPr>
            <w:r>
              <w:rPr>
                <w:spacing w:val="-2"/>
                <w:sz w:val="18"/>
              </w:rPr>
              <w:t>técnica</w:t>
            </w:r>
          </w:p>
        </w:tc>
        <w:tc>
          <w:tcPr>
            <w:tcW w:w="1277" w:type="dxa"/>
          </w:tcPr>
          <w:p>
            <w:pPr>
              <w:pStyle w:val="TableParagraph"/>
              <w:rPr>
                <w:b/>
                <w:sz w:val="18"/>
              </w:rPr>
            </w:pPr>
          </w:p>
          <w:p>
            <w:pPr>
              <w:pStyle w:val="TableParagraph"/>
              <w:spacing w:before="104"/>
              <w:rPr>
                <w:b/>
                <w:sz w:val="18"/>
              </w:rPr>
            </w:pPr>
          </w:p>
          <w:p>
            <w:pPr>
              <w:pStyle w:val="TableParagraph"/>
              <w:ind w:left="844"/>
              <w:rPr>
                <w:sz w:val="18"/>
              </w:rPr>
            </w:pPr>
            <w:r>
              <w:rPr>
                <w:spacing w:val="-5"/>
                <w:sz w:val="18"/>
              </w:rPr>
              <w:t>25%</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spacing w:before="104"/>
              <w:rPr>
                <w:b/>
                <w:sz w:val="18"/>
              </w:rPr>
            </w:pPr>
          </w:p>
          <w:p>
            <w:pPr>
              <w:pStyle w:val="TableParagraph"/>
              <w:ind w:right="57"/>
              <w:jc w:val="right"/>
              <w:rPr>
                <w:sz w:val="18"/>
              </w:rPr>
            </w:pPr>
            <w:r>
              <w:rPr>
                <w:spacing w:val="-5"/>
                <w:sz w:val="18"/>
              </w:rPr>
              <w:t>50%</w:t>
            </w:r>
          </w:p>
        </w:tc>
        <w:tc>
          <w:tcPr>
            <w:tcW w:w="1133" w:type="dxa"/>
          </w:tcPr>
          <w:p>
            <w:pPr>
              <w:pStyle w:val="TableParagraph"/>
              <w:rPr>
                <w:rFonts w:ascii="Times New Roman"/>
                <w:sz w:val="18"/>
              </w:rPr>
            </w:pPr>
          </w:p>
        </w:tc>
        <w:tc>
          <w:tcPr>
            <w:tcW w:w="1277" w:type="dxa"/>
          </w:tcPr>
          <w:p>
            <w:pPr>
              <w:pStyle w:val="TableParagraph"/>
              <w:rPr>
                <w:b/>
                <w:sz w:val="18"/>
              </w:rPr>
            </w:pPr>
          </w:p>
          <w:p>
            <w:pPr>
              <w:pStyle w:val="TableParagraph"/>
              <w:spacing w:before="104"/>
              <w:rPr>
                <w:b/>
                <w:sz w:val="18"/>
              </w:rPr>
            </w:pPr>
          </w:p>
          <w:p>
            <w:pPr>
              <w:pStyle w:val="TableParagraph"/>
              <w:ind w:right="56"/>
              <w:jc w:val="right"/>
              <w:rPr>
                <w:sz w:val="18"/>
              </w:rPr>
            </w:pPr>
            <w:r>
              <w:rPr>
                <w:spacing w:val="-5"/>
                <w:sz w:val="18"/>
              </w:rPr>
              <w:t>75%</w:t>
            </w:r>
          </w:p>
        </w:tc>
        <w:tc>
          <w:tcPr>
            <w:tcW w:w="1272" w:type="dxa"/>
          </w:tcPr>
          <w:p>
            <w:pPr>
              <w:pStyle w:val="TableParagraph"/>
              <w:rPr>
                <w:rFonts w:ascii="Times New Roman"/>
                <w:sz w:val="18"/>
              </w:rPr>
            </w:pPr>
          </w:p>
        </w:tc>
        <w:tc>
          <w:tcPr>
            <w:tcW w:w="1421" w:type="dxa"/>
          </w:tcPr>
          <w:p>
            <w:pPr>
              <w:pStyle w:val="TableParagraph"/>
              <w:rPr>
                <w:b/>
                <w:sz w:val="18"/>
              </w:rPr>
            </w:pPr>
          </w:p>
          <w:p>
            <w:pPr>
              <w:pStyle w:val="TableParagraph"/>
              <w:spacing w:before="104"/>
              <w:rPr>
                <w:b/>
                <w:sz w:val="18"/>
              </w:rPr>
            </w:pPr>
          </w:p>
          <w:p>
            <w:pPr>
              <w:pStyle w:val="TableParagraph"/>
              <w:ind w:right="51"/>
              <w:jc w:val="right"/>
              <w:rPr>
                <w:sz w:val="18"/>
              </w:rPr>
            </w:pPr>
            <w:r>
              <w:rPr>
                <w:spacing w:val="-4"/>
                <w:sz w:val="18"/>
              </w:rPr>
              <w:t>100%</w:t>
            </w:r>
          </w:p>
        </w:tc>
        <w:tc>
          <w:tcPr>
            <w:tcW w:w="1844"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3434"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3"/>
        <w:gridCol w:w="1133"/>
        <w:gridCol w:w="1277"/>
        <w:gridCol w:w="1277"/>
        <w:gridCol w:w="1277"/>
        <w:gridCol w:w="1133"/>
        <w:gridCol w:w="1277"/>
        <w:gridCol w:w="1272"/>
        <w:gridCol w:w="1421"/>
        <w:gridCol w:w="1844"/>
      </w:tblGrid>
      <w:tr>
        <w:trPr>
          <w:trHeight w:val="302" w:hRule="atLeast"/>
        </w:trPr>
        <w:tc>
          <w:tcPr>
            <w:tcW w:w="2123" w:type="dxa"/>
            <w:vMerge w:val="restart"/>
            <w:shd w:val="clear" w:color="auto" w:fill="E7E6E6"/>
          </w:tcPr>
          <w:p>
            <w:pPr>
              <w:pStyle w:val="TableParagraph"/>
              <w:spacing w:before="84"/>
              <w:rPr>
                <w:b/>
                <w:sz w:val="18"/>
              </w:rPr>
            </w:pPr>
          </w:p>
          <w:p>
            <w:pPr>
              <w:pStyle w:val="TableParagraph"/>
              <w:ind w:left="91"/>
              <w:rPr>
                <w:b/>
                <w:sz w:val="18"/>
              </w:rPr>
            </w:pPr>
            <w:r>
              <w:rPr>
                <w:b/>
                <w:sz w:val="18"/>
              </w:rPr>
              <w:t>Objetivos</w:t>
            </w:r>
            <w:r>
              <w:rPr>
                <w:b/>
                <w:spacing w:val="-5"/>
                <w:sz w:val="18"/>
              </w:rPr>
              <w:t> </w:t>
            </w:r>
            <w:r>
              <w:rPr>
                <w:b/>
                <w:sz w:val="18"/>
              </w:rPr>
              <w:t>/</w:t>
            </w:r>
            <w:r>
              <w:rPr>
                <w:b/>
                <w:spacing w:val="-2"/>
                <w:sz w:val="18"/>
              </w:rPr>
              <w:t> Resultados</w:t>
            </w:r>
          </w:p>
        </w:tc>
        <w:tc>
          <w:tcPr>
            <w:tcW w:w="1133" w:type="dxa"/>
            <w:vMerge w:val="restart"/>
            <w:shd w:val="clear" w:color="auto" w:fill="E7E6E6"/>
          </w:tcPr>
          <w:p>
            <w:pPr>
              <w:pStyle w:val="TableParagraph"/>
              <w:spacing w:before="84"/>
              <w:rPr>
                <w:b/>
                <w:sz w:val="18"/>
              </w:rPr>
            </w:pPr>
          </w:p>
          <w:p>
            <w:pPr>
              <w:pStyle w:val="TableParagraph"/>
              <w:ind w:left="157"/>
              <w:rPr>
                <w:b/>
                <w:sz w:val="18"/>
              </w:rPr>
            </w:pPr>
            <w:r>
              <w:rPr>
                <w:b/>
                <w:spacing w:val="-2"/>
                <w:sz w:val="18"/>
              </w:rPr>
              <w:t>Indicador</w:t>
            </w:r>
          </w:p>
        </w:tc>
        <w:tc>
          <w:tcPr>
            <w:tcW w:w="2554" w:type="dxa"/>
            <w:gridSpan w:val="2"/>
            <w:shd w:val="clear" w:color="auto" w:fill="E7E6E6"/>
          </w:tcPr>
          <w:p>
            <w:pPr>
              <w:pStyle w:val="TableParagraph"/>
              <w:spacing w:line="192" w:lineRule="exact" w:before="90"/>
              <w:ind w:left="815"/>
              <w:rPr>
                <w:b/>
                <w:sz w:val="18"/>
              </w:rPr>
            </w:pPr>
            <w:r>
              <w:rPr>
                <w:b/>
                <w:sz w:val="18"/>
              </w:rPr>
              <w:t>I</w:t>
            </w:r>
            <w:r>
              <w:rPr>
                <w:b/>
                <w:spacing w:val="-1"/>
                <w:sz w:val="18"/>
              </w:rPr>
              <w:t> </w:t>
            </w:r>
            <w:r>
              <w:rPr>
                <w:b/>
                <w:spacing w:val="-2"/>
                <w:sz w:val="18"/>
              </w:rPr>
              <w:t>Trimestre</w:t>
            </w:r>
          </w:p>
        </w:tc>
        <w:tc>
          <w:tcPr>
            <w:tcW w:w="2410" w:type="dxa"/>
            <w:gridSpan w:val="2"/>
            <w:shd w:val="clear" w:color="auto" w:fill="E7E6E6"/>
          </w:tcPr>
          <w:p>
            <w:pPr>
              <w:pStyle w:val="TableParagraph"/>
              <w:spacing w:line="192" w:lineRule="exact" w:before="90"/>
              <w:ind w:left="714"/>
              <w:rPr>
                <w:b/>
                <w:sz w:val="18"/>
              </w:rPr>
            </w:pPr>
            <w:r>
              <w:rPr>
                <w:b/>
                <w:sz w:val="18"/>
              </w:rPr>
              <w:t>II</w:t>
            </w:r>
            <w:r>
              <w:rPr>
                <w:b/>
                <w:spacing w:val="-3"/>
                <w:sz w:val="18"/>
              </w:rPr>
              <w:t> </w:t>
            </w:r>
            <w:r>
              <w:rPr>
                <w:b/>
                <w:spacing w:val="-2"/>
                <w:sz w:val="18"/>
              </w:rPr>
              <w:t>Trimestre</w:t>
            </w:r>
          </w:p>
        </w:tc>
        <w:tc>
          <w:tcPr>
            <w:tcW w:w="2549" w:type="dxa"/>
            <w:gridSpan w:val="2"/>
            <w:shd w:val="clear" w:color="auto" w:fill="E7E6E6"/>
          </w:tcPr>
          <w:p>
            <w:pPr>
              <w:pStyle w:val="TableParagraph"/>
              <w:spacing w:line="192" w:lineRule="exact" w:before="90"/>
              <w:ind w:left="763"/>
              <w:rPr>
                <w:b/>
                <w:sz w:val="18"/>
              </w:rPr>
            </w:pPr>
            <w:r>
              <w:rPr>
                <w:b/>
                <w:sz w:val="18"/>
              </w:rPr>
              <w:t>III</w:t>
            </w:r>
            <w:r>
              <w:rPr>
                <w:b/>
                <w:spacing w:val="-2"/>
                <w:sz w:val="18"/>
              </w:rPr>
              <w:t> Trimestre</w:t>
            </w:r>
          </w:p>
        </w:tc>
        <w:tc>
          <w:tcPr>
            <w:tcW w:w="3265" w:type="dxa"/>
            <w:gridSpan w:val="2"/>
            <w:shd w:val="clear" w:color="auto" w:fill="E7E6E6"/>
          </w:tcPr>
          <w:p>
            <w:pPr>
              <w:pStyle w:val="TableParagraph"/>
              <w:spacing w:line="192" w:lineRule="exact" w:before="90"/>
              <w:ind w:left="20"/>
              <w:jc w:val="center"/>
              <w:rPr>
                <w:b/>
                <w:sz w:val="18"/>
              </w:rPr>
            </w:pPr>
            <w:r>
              <w:rPr>
                <w:b/>
                <w:sz w:val="18"/>
              </w:rPr>
              <w:t>IV</w:t>
            </w:r>
            <w:r>
              <w:rPr>
                <w:b/>
                <w:spacing w:val="-2"/>
                <w:sz w:val="18"/>
              </w:rPr>
              <w:t> Trimestre</w:t>
            </w:r>
          </w:p>
        </w:tc>
      </w:tr>
      <w:tr>
        <w:trPr>
          <w:trHeight w:val="479" w:hRule="atLeast"/>
        </w:trPr>
        <w:tc>
          <w:tcPr>
            <w:tcW w:w="2123" w:type="dxa"/>
            <w:vMerge/>
            <w:tcBorders>
              <w:top w:val="nil"/>
            </w:tcBorders>
            <w:shd w:val="clear" w:color="auto" w:fill="E7E6E6"/>
          </w:tcPr>
          <w:p>
            <w:pPr>
              <w:rPr>
                <w:sz w:val="2"/>
                <w:szCs w:val="2"/>
              </w:rPr>
            </w:pPr>
          </w:p>
        </w:tc>
        <w:tc>
          <w:tcPr>
            <w:tcW w:w="1133" w:type="dxa"/>
            <w:vMerge/>
            <w:tcBorders>
              <w:top w:val="nil"/>
            </w:tcBorders>
            <w:shd w:val="clear" w:color="auto" w:fill="E7E6E6"/>
          </w:tcPr>
          <w:p>
            <w:pPr>
              <w:rPr>
                <w:sz w:val="2"/>
                <w:szCs w:val="2"/>
              </w:rPr>
            </w:pPr>
          </w:p>
        </w:tc>
        <w:tc>
          <w:tcPr>
            <w:tcW w:w="1277" w:type="dxa"/>
            <w:shd w:val="clear" w:color="auto" w:fill="E7E6E6"/>
          </w:tcPr>
          <w:p>
            <w:pPr>
              <w:pStyle w:val="TableParagraph"/>
              <w:spacing w:before="32"/>
              <w:ind w:left="114" w:firstLine="317"/>
              <w:rPr>
                <w:b/>
                <w:sz w:val="18"/>
              </w:rPr>
            </w:pPr>
            <w:r>
              <w:rPr>
                <w:b/>
                <w:spacing w:val="-4"/>
                <w:sz w:val="18"/>
              </w:rPr>
              <w:t>Meta </w:t>
            </w:r>
            <w:r>
              <w:rPr>
                <w:b/>
                <w:spacing w:val="-2"/>
                <w:sz w:val="18"/>
              </w:rPr>
              <w:t>programada</w:t>
            </w:r>
          </w:p>
        </w:tc>
        <w:tc>
          <w:tcPr>
            <w:tcW w:w="1277" w:type="dxa"/>
            <w:shd w:val="clear" w:color="auto" w:fill="E7E6E6"/>
          </w:tcPr>
          <w:p>
            <w:pPr>
              <w:pStyle w:val="TableParagraph"/>
              <w:spacing w:before="133"/>
              <w:ind w:left="16" w:right="11"/>
              <w:jc w:val="center"/>
              <w:rPr>
                <w:b/>
                <w:sz w:val="18"/>
              </w:rPr>
            </w:pPr>
            <w:r>
              <w:rPr>
                <w:b/>
                <w:spacing w:val="-10"/>
                <w:sz w:val="18"/>
              </w:rPr>
              <w:t>¢</w:t>
            </w:r>
          </w:p>
        </w:tc>
        <w:tc>
          <w:tcPr>
            <w:tcW w:w="1277" w:type="dxa"/>
            <w:shd w:val="clear" w:color="auto" w:fill="E7E6E6"/>
          </w:tcPr>
          <w:p>
            <w:pPr>
              <w:pStyle w:val="TableParagraph"/>
              <w:spacing w:before="32"/>
              <w:ind w:left="114" w:firstLine="312"/>
              <w:rPr>
                <w:b/>
                <w:sz w:val="18"/>
              </w:rPr>
            </w:pPr>
            <w:r>
              <w:rPr>
                <w:b/>
                <w:spacing w:val="-4"/>
                <w:sz w:val="18"/>
              </w:rPr>
              <w:t>Meta </w:t>
            </w:r>
            <w:r>
              <w:rPr>
                <w:b/>
                <w:spacing w:val="-2"/>
                <w:sz w:val="18"/>
              </w:rPr>
              <w:t>programada</w:t>
            </w:r>
          </w:p>
        </w:tc>
        <w:tc>
          <w:tcPr>
            <w:tcW w:w="1133" w:type="dxa"/>
            <w:shd w:val="clear" w:color="auto" w:fill="E7E6E6"/>
          </w:tcPr>
          <w:p>
            <w:pPr>
              <w:pStyle w:val="TableParagraph"/>
              <w:spacing w:before="133"/>
              <w:ind w:left="5"/>
              <w:jc w:val="center"/>
              <w:rPr>
                <w:b/>
                <w:sz w:val="18"/>
              </w:rPr>
            </w:pPr>
            <w:r>
              <w:rPr>
                <w:b/>
                <w:spacing w:val="-10"/>
                <w:sz w:val="18"/>
              </w:rPr>
              <w:t>¢</w:t>
            </w:r>
          </w:p>
        </w:tc>
        <w:tc>
          <w:tcPr>
            <w:tcW w:w="1277" w:type="dxa"/>
            <w:shd w:val="clear" w:color="auto" w:fill="E7E6E6"/>
          </w:tcPr>
          <w:p>
            <w:pPr>
              <w:pStyle w:val="TableParagraph"/>
              <w:spacing w:before="32"/>
              <w:ind w:left="114" w:firstLine="317"/>
              <w:rPr>
                <w:b/>
                <w:sz w:val="18"/>
              </w:rPr>
            </w:pPr>
            <w:r>
              <w:rPr>
                <w:b/>
                <w:spacing w:val="-4"/>
                <w:sz w:val="18"/>
              </w:rPr>
              <w:t>Meta </w:t>
            </w:r>
            <w:r>
              <w:rPr>
                <w:b/>
                <w:spacing w:val="-2"/>
                <w:sz w:val="18"/>
              </w:rPr>
              <w:t>programada</w:t>
            </w:r>
          </w:p>
        </w:tc>
        <w:tc>
          <w:tcPr>
            <w:tcW w:w="1272" w:type="dxa"/>
            <w:shd w:val="clear" w:color="auto" w:fill="E7E6E6"/>
          </w:tcPr>
          <w:p>
            <w:pPr>
              <w:pStyle w:val="TableParagraph"/>
              <w:spacing w:before="133"/>
              <w:ind w:left="20" w:right="19"/>
              <w:jc w:val="center"/>
              <w:rPr>
                <w:b/>
                <w:sz w:val="18"/>
              </w:rPr>
            </w:pPr>
            <w:r>
              <w:rPr>
                <w:b/>
                <w:spacing w:val="-10"/>
                <w:sz w:val="18"/>
              </w:rPr>
              <w:t>¢</w:t>
            </w:r>
          </w:p>
        </w:tc>
        <w:tc>
          <w:tcPr>
            <w:tcW w:w="1421" w:type="dxa"/>
            <w:shd w:val="clear" w:color="auto" w:fill="E7E6E6"/>
          </w:tcPr>
          <w:p>
            <w:pPr>
              <w:pStyle w:val="TableParagraph"/>
              <w:spacing w:line="210" w:lineRule="atLeast" w:before="39"/>
              <w:ind w:left="192" w:firstLine="312"/>
              <w:rPr>
                <w:b/>
                <w:sz w:val="18"/>
              </w:rPr>
            </w:pPr>
            <w:r>
              <w:rPr>
                <w:b/>
                <w:spacing w:val="-4"/>
                <w:sz w:val="18"/>
              </w:rPr>
              <w:t>Meta </w:t>
            </w:r>
            <w:r>
              <w:rPr>
                <w:b/>
                <w:spacing w:val="-2"/>
                <w:sz w:val="18"/>
              </w:rPr>
              <w:t>programada</w:t>
            </w:r>
          </w:p>
        </w:tc>
        <w:tc>
          <w:tcPr>
            <w:tcW w:w="1844" w:type="dxa"/>
            <w:shd w:val="clear" w:color="auto" w:fill="E7E6E6"/>
          </w:tcPr>
          <w:p>
            <w:pPr>
              <w:pStyle w:val="TableParagraph"/>
              <w:spacing w:before="133"/>
              <w:ind w:left="9" w:right="3"/>
              <w:jc w:val="center"/>
              <w:rPr>
                <w:b/>
                <w:sz w:val="18"/>
              </w:rPr>
            </w:pPr>
            <w:r>
              <w:rPr>
                <w:b/>
                <w:spacing w:val="-10"/>
                <w:sz w:val="18"/>
              </w:rPr>
              <w:t>¢</w:t>
            </w:r>
          </w:p>
        </w:tc>
      </w:tr>
      <w:tr>
        <w:trPr>
          <w:trHeight w:val="2069" w:hRule="atLeast"/>
        </w:trPr>
        <w:tc>
          <w:tcPr>
            <w:tcW w:w="2123" w:type="dxa"/>
          </w:tcPr>
          <w:p>
            <w:pPr>
              <w:pStyle w:val="TableParagraph"/>
              <w:ind w:left="72" w:right="142"/>
              <w:rPr>
                <w:sz w:val="18"/>
              </w:rPr>
            </w:pPr>
            <w:r>
              <w:rPr>
                <w:b/>
                <w:sz w:val="18"/>
              </w:rPr>
              <w:t>Actividad PAC 2.41.2: </w:t>
            </w:r>
            <w:r>
              <w:rPr>
                <w:sz w:val="18"/>
              </w:rPr>
              <w:t>Gestionar los </w:t>
            </w:r>
            <w:r>
              <w:rPr>
                <w:spacing w:val="-2"/>
                <w:sz w:val="18"/>
              </w:rPr>
              <w:t>mantenimiento </w:t>
            </w:r>
            <w:r>
              <w:rPr>
                <w:sz w:val="18"/>
              </w:rPr>
              <w:t>preventivo y correctivo para la totalidad de la flotilla vehicular de Actividades Centrales. (1.08.05</w:t>
            </w:r>
            <w:r>
              <w:rPr>
                <w:spacing w:val="-13"/>
                <w:sz w:val="18"/>
              </w:rPr>
              <w:t> </w:t>
            </w:r>
            <w:r>
              <w:rPr>
                <w:sz w:val="18"/>
              </w:rPr>
              <w:t>Mantenimiento</w:t>
            </w:r>
          </w:p>
          <w:p>
            <w:pPr>
              <w:pStyle w:val="TableParagraph"/>
              <w:spacing w:line="206" w:lineRule="exact"/>
              <w:ind w:left="72" w:right="82"/>
              <w:rPr>
                <w:sz w:val="18"/>
              </w:rPr>
            </w:pPr>
            <w:r>
              <w:rPr>
                <w:sz w:val="18"/>
              </w:rPr>
              <w:t>y</w:t>
            </w:r>
            <w:r>
              <w:rPr>
                <w:spacing w:val="-12"/>
                <w:sz w:val="18"/>
              </w:rPr>
              <w:t> </w:t>
            </w:r>
            <w:r>
              <w:rPr>
                <w:sz w:val="18"/>
              </w:rPr>
              <w:t>reparación</w:t>
            </w:r>
            <w:r>
              <w:rPr>
                <w:spacing w:val="-13"/>
                <w:sz w:val="18"/>
              </w:rPr>
              <w:t> </w:t>
            </w:r>
            <w:r>
              <w:rPr>
                <w:sz w:val="18"/>
              </w:rPr>
              <w:t>de</w:t>
            </w:r>
            <w:r>
              <w:rPr>
                <w:spacing w:val="-12"/>
                <w:sz w:val="18"/>
              </w:rPr>
              <w:t> </w:t>
            </w:r>
            <w:r>
              <w:rPr>
                <w:sz w:val="18"/>
              </w:rPr>
              <w:t>equipo de transporte)</w:t>
            </w:r>
          </w:p>
        </w:tc>
        <w:tc>
          <w:tcPr>
            <w:tcW w:w="1133" w:type="dxa"/>
          </w:tcPr>
          <w:p>
            <w:pPr>
              <w:pStyle w:val="TableParagraph"/>
              <w:spacing w:before="206"/>
              <w:ind w:left="66" w:right="64"/>
              <w:rPr>
                <w:sz w:val="18"/>
              </w:rPr>
            </w:pPr>
            <w:r>
              <w:rPr>
                <w:sz w:val="18"/>
              </w:rPr>
              <w:t>Cantidad</w:t>
            </w:r>
            <w:r>
              <w:rPr>
                <w:spacing w:val="-13"/>
                <w:sz w:val="18"/>
              </w:rPr>
              <w:t> </w:t>
            </w:r>
            <w:r>
              <w:rPr>
                <w:sz w:val="18"/>
              </w:rPr>
              <w:t>de </w:t>
            </w:r>
            <w:r>
              <w:rPr>
                <w:spacing w:val="-2"/>
                <w:sz w:val="18"/>
              </w:rPr>
              <w:t>solicitudes programada </w:t>
            </w:r>
            <w:r>
              <w:rPr>
                <w:sz w:val="18"/>
              </w:rPr>
              <w:t>s de </w:t>
            </w:r>
            <w:r>
              <w:rPr>
                <w:spacing w:val="-2"/>
                <w:sz w:val="18"/>
              </w:rPr>
              <w:t>mantenimie </w:t>
            </w:r>
            <w:r>
              <w:rPr>
                <w:spacing w:val="-4"/>
                <w:sz w:val="18"/>
              </w:rPr>
              <w:t>nto </w:t>
            </w:r>
            <w:r>
              <w:rPr>
                <w:sz w:val="18"/>
              </w:rPr>
              <w:t>preventivo</w:t>
            </w:r>
            <w:r>
              <w:rPr>
                <w:spacing w:val="-13"/>
                <w:sz w:val="18"/>
              </w:rPr>
              <w:t> </w:t>
            </w:r>
            <w:r>
              <w:rPr>
                <w:sz w:val="18"/>
              </w:rPr>
              <w:t>y </w:t>
            </w:r>
            <w:r>
              <w:rPr>
                <w:spacing w:val="-2"/>
                <w:sz w:val="18"/>
              </w:rPr>
              <w:t>correctivo</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pacing w:val="-5"/>
                <w:sz w:val="18"/>
              </w:rPr>
              <w:t>25%</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402"/>
              <w:rPr>
                <w:sz w:val="18"/>
              </w:rPr>
            </w:pPr>
            <w:r>
              <w:rPr>
                <w:sz w:val="18"/>
              </w:rPr>
              <w:t>5</w:t>
            </w:r>
            <w:r>
              <w:rPr>
                <w:spacing w:val="2"/>
                <w:sz w:val="18"/>
              </w:rPr>
              <w:t> </w:t>
            </w:r>
            <w:r>
              <w:rPr>
                <w:sz w:val="18"/>
              </w:rPr>
              <w:t>526</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7"/>
              <w:jc w:val="right"/>
              <w:rPr>
                <w:sz w:val="18"/>
              </w:rPr>
            </w:pPr>
            <w:r>
              <w:rPr>
                <w:spacing w:val="-5"/>
                <w:sz w:val="18"/>
              </w:rPr>
              <w:t>50%</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01"/>
              <w:jc w:val="center"/>
              <w:rPr>
                <w:sz w:val="18"/>
              </w:rPr>
            </w:pPr>
            <w:r>
              <w:rPr>
                <w:sz w:val="18"/>
              </w:rPr>
              <w:t>11</w:t>
            </w:r>
            <w:r>
              <w:rPr>
                <w:spacing w:val="2"/>
                <w:sz w:val="18"/>
              </w:rPr>
              <w:t> </w:t>
            </w:r>
            <w:r>
              <w:rPr>
                <w:sz w:val="18"/>
              </w:rPr>
              <w:t>052</w:t>
            </w:r>
            <w:r>
              <w:rPr>
                <w:spacing w:val="-2"/>
                <w:sz w:val="18"/>
              </w:rPr>
              <w:t> </w:t>
            </w:r>
            <w:r>
              <w:rPr>
                <w:spacing w:val="-5"/>
                <w:sz w:val="18"/>
              </w:rPr>
              <w:t>000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6"/>
              <w:jc w:val="right"/>
              <w:rPr>
                <w:sz w:val="18"/>
              </w:rPr>
            </w:pPr>
            <w:r>
              <w:rPr>
                <w:spacing w:val="-5"/>
                <w:sz w:val="18"/>
              </w:rPr>
              <w:t>75%</w:t>
            </w:r>
          </w:p>
        </w:tc>
        <w:tc>
          <w:tcPr>
            <w:tcW w:w="127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97"/>
              <w:rPr>
                <w:sz w:val="18"/>
              </w:rPr>
            </w:pPr>
            <w:r>
              <w:rPr>
                <w:sz w:val="18"/>
              </w:rPr>
              <w:t>16</w:t>
            </w:r>
            <w:r>
              <w:rPr>
                <w:spacing w:val="2"/>
                <w:sz w:val="18"/>
              </w:rPr>
              <w:t> </w:t>
            </w:r>
            <w:r>
              <w:rPr>
                <w:sz w:val="18"/>
              </w:rPr>
              <w:t>578</w:t>
            </w:r>
            <w:r>
              <w:rPr>
                <w:spacing w:val="-2"/>
                <w:sz w:val="18"/>
              </w:rPr>
              <w:t> </w:t>
            </w:r>
            <w:r>
              <w:rPr>
                <w:spacing w:val="-5"/>
                <w:sz w:val="18"/>
              </w:rPr>
              <w:t>000</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1"/>
              <w:jc w:val="right"/>
              <w:rPr>
                <w:sz w:val="18"/>
              </w:rPr>
            </w:pPr>
            <w:r>
              <w:rPr>
                <w:spacing w:val="-4"/>
                <w:sz w:val="18"/>
              </w:rPr>
              <w:t>100%</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4"/>
              <w:jc w:val="right"/>
              <w:rPr>
                <w:sz w:val="18"/>
              </w:rPr>
            </w:pPr>
            <w:r>
              <w:rPr>
                <w:sz w:val="18"/>
              </w:rPr>
              <w:t>22</w:t>
            </w:r>
            <w:r>
              <w:rPr>
                <w:spacing w:val="2"/>
                <w:sz w:val="18"/>
              </w:rPr>
              <w:t> </w:t>
            </w:r>
            <w:r>
              <w:rPr>
                <w:sz w:val="18"/>
              </w:rPr>
              <w:t>104</w:t>
            </w:r>
            <w:r>
              <w:rPr>
                <w:spacing w:val="-2"/>
                <w:sz w:val="18"/>
              </w:rPr>
              <w:t> </w:t>
            </w:r>
            <w:r>
              <w:rPr>
                <w:spacing w:val="-5"/>
                <w:sz w:val="18"/>
              </w:rPr>
              <w:t>000</w:t>
            </w:r>
          </w:p>
        </w:tc>
      </w:tr>
      <w:tr>
        <w:trPr>
          <w:trHeight w:val="2487" w:hRule="atLeast"/>
        </w:trPr>
        <w:tc>
          <w:tcPr>
            <w:tcW w:w="2123" w:type="dxa"/>
          </w:tcPr>
          <w:p>
            <w:pPr>
              <w:pStyle w:val="TableParagraph"/>
              <w:rPr>
                <w:b/>
                <w:sz w:val="18"/>
              </w:rPr>
            </w:pPr>
          </w:p>
          <w:p>
            <w:pPr>
              <w:pStyle w:val="TableParagraph"/>
              <w:spacing w:before="104"/>
              <w:rPr>
                <w:b/>
                <w:sz w:val="18"/>
              </w:rPr>
            </w:pPr>
          </w:p>
          <w:p>
            <w:pPr>
              <w:pStyle w:val="TableParagraph"/>
              <w:ind w:left="72" w:right="109"/>
              <w:rPr>
                <w:sz w:val="18"/>
              </w:rPr>
            </w:pPr>
            <w:r>
              <w:rPr>
                <w:b/>
                <w:sz w:val="18"/>
              </w:rPr>
              <w:t>Actividad PAC 2.41.3: </w:t>
            </w:r>
            <w:r>
              <w:rPr>
                <w:sz w:val="18"/>
              </w:rPr>
              <w:t>Gestionar</w:t>
            </w:r>
            <w:r>
              <w:rPr>
                <w:spacing w:val="-15"/>
                <w:sz w:val="18"/>
              </w:rPr>
              <w:t> </w:t>
            </w:r>
            <w:r>
              <w:rPr>
                <w:sz w:val="18"/>
              </w:rPr>
              <w:t>la</w:t>
            </w:r>
            <w:r>
              <w:rPr>
                <w:spacing w:val="-12"/>
                <w:sz w:val="18"/>
              </w:rPr>
              <w:t> </w:t>
            </w:r>
            <w:r>
              <w:rPr>
                <w:sz w:val="18"/>
              </w:rPr>
              <w:t>adquisición de diez automóviles para Promoción y Protección Social (5.01.02 Equipo de </w:t>
            </w:r>
            <w:r>
              <w:rPr>
                <w:spacing w:val="-2"/>
                <w:sz w:val="18"/>
              </w:rPr>
              <w:t>Transporte)</w:t>
            </w:r>
          </w:p>
        </w:tc>
        <w:tc>
          <w:tcPr>
            <w:tcW w:w="1133" w:type="dxa"/>
          </w:tcPr>
          <w:p>
            <w:pPr>
              <w:pStyle w:val="TableParagraph"/>
              <w:ind w:left="66" w:right="60"/>
              <w:rPr>
                <w:sz w:val="18"/>
              </w:rPr>
            </w:pPr>
            <w:r>
              <w:rPr>
                <w:sz w:val="18"/>
              </w:rPr>
              <w:t>Cantidad</w:t>
            </w:r>
            <w:r>
              <w:rPr>
                <w:spacing w:val="-13"/>
                <w:sz w:val="18"/>
              </w:rPr>
              <w:t> </w:t>
            </w:r>
            <w:r>
              <w:rPr>
                <w:sz w:val="18"/>
              </w:rPr>
              <w:t>de </w:t>
            </w:r>
            <w:r>
              <w:rPr>
                <w:spacing w:val="-2"/>
                <w:sz w:val="18"/>
              </w:rPr>
              <w:t>automóviles adquiridos </w:t>
            </w:r>
            <w:r>
              <w:rPr>
                <w:spacing w:val="-4"/>
                <w:sz w:val="18"/>
              </w:rPr>
              <w:t>por </w:t>
            </w:r>
            <w:r>
              <w:rPr>
                <w:spacing w:val="-2"/>
                <w:sz w:val="18"/>
              </w:rPr>
              <w:t>contratación pública disponible </w:t>
            </w:r>
            <w:r>
              <w:rPr>
                <w:sz w:val="18"/>
              </w:rPr>
              <w:t>para el uso </w:t>
            </w:r>
            <w:r>
              <w:rPr>
                <w:spacing w:val="-6"/>
                <w:sz w:val="18"/>
              </w:rPr>
              <w:t>de </w:t>
            </w:r>
            <w:r>
              <w:rPr>
                <w:spacing w:val="-2"/>
                <w:sz w:val="18"/>
              </w:rPr>
              <w:t>Promoción</w:t>
            </w:r>
            <w:r>
              <w:rPr>
                <w:spacing w:val="80"/>
                <w:sz w:val="18"/>
              </w:rPr>
              <w:t> </w:t>
            </w:r>
            <w:r>
              <w:rPr>
                <w:sz w:val="18"/>
              </w:rPr>
              <w:t>y</w:t>
            </w:r>
            <w:r>
              <w:rPr>
                <w:spacing w:val="-13"/>
                <w:sz w:val="18"/>
              </w:rPr>
              <w:t> </w:t>
            </w:r>
            <w:r>
              <w:rPr>
                <w:sz w:val="18"/>
              </w:rPr>
              <w:t>Protección</w:t>
            </w:r>
          </w:p>
          <w:p>
            <w:pPr>
              <w:pStyle w:val="TableParagraph"/>
              <w:spacing w:line="191" w:lineRule="exact"/>
              <w:ind w:left="66"/>
              <w:rPr>
                <w:sz w:val="18"/>
              </w:rPr>
            </w:pPr>
            <w:r>
              <w:rPr>
                <w:spacing w:val="-2"/>
                <w:sz w:val="18"/>
              </w:rPr>
              <w:t>Social</w:t>
            </w: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133" w:type="dxa"/>
          </w:tcPr>
          <w:p>
            <w:pPr>
              <w:pStyle w:val="TableParagraph"/>
              <w:rPr>
                <w:rFonts w:ascii="Times New Roman"/>
                <w:sz w:val="18"/>
              </w:rPr>
            </w:pPr>
          </w:p>
        </w:tc>
        <w:tc>
          <w:tcPr>
            <w:tcW w:w="1277" w:type="dxa"/>
          </w:tcPr>
          <w:p>
            <w:pPr>
              <w:pStyle w:val="TableParagraph"/>
              <w:rPr>
                <w:rFonts w:ascii="Times New Roman"/>
                <w:sz w:val="18"/>
              </w:rPr>
            </w:pPr>
          </w:p>
        </w:tc>
        <w:tc>
          <w:tcPr>
            <w:tcW w:w="1272"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4"/>
              <w:jc w:val="right"/>
              <w:rPr>
                <w:sz w:val="18"/>
              </w:rPr>
            </w:pPr>
            <w:r>
              <w:rPr>
                <w:spacing w:val="-5"/>
                <w:sz w:val="18"/>
              </w:rPr>
              <w:t>10</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4"/>
              <w:jc w:val="right"/>
              <w:rPr>
                <w:sz w:val="18"/>
              </w:rPr>
            </w:pPr>
            <w:r>
              <w:rPr>
                <w:sz w:val="18"/>
              </w:rPr>
              <w:t>267</w:t>
            </w:r>
            <w:r>
              <w:rPr>
                <w:spacing w:val="2"/>
                <w:sz w:val="18"/>
              </w:rPr>
              <w:t> </w:t>
            </w:r>
            <w:r>
              <w:rPr>
                <w:sz w:val="18"/>
              </w:rPr>
              <w:t>699</w:t>
            </w:r>
            <w:r>
              <w:rPr>
                <w:spacing w:val="-2"/>
                <w:sz w:val="18"/>
              </w:rPr>
              <w:t> </w:t>
            </w:r>
            <w:r>
              <w:rPr>
                <w:spacing w:val="-5"/>
                <w:sz w:val="18"/>
              </w:rPr>
              <w:t>100</w:t>
            </w:r>
          </w:p>
        </w:tc>
      </w:tr>
      <w:tr>
        <w:trPr>
          <w:trHeight w:val="2069" w:hRule="atLeast"/>
        </w:trPr>
        <w:tc>
          <w:tcPr>
            <w:tcW w:w="2123" w:type="dxa"/>
          </w:tcPr>
          <w:p>
            <w:pPr>
              <w:pStyle w:val="TableParagraph"/>
              <w:spacing w:before="99"/>
              <w:rPr>
                <w:b/>
                <w:sz w:val="18"/>
              </w:rPr>
            </w:pPr>
          </w:p>
          <w:p>
            <w:pPr>
              <w:pStyle w:val="TableParagraph"/>
              <w:ind w:left="72"/>
              <w:rPr>
                <w:sz w:val="18"/>
              </w:rPr>
            </w:pPr>
            <w:r>
              <w:rPr>
                <w:b/>
                <w:sz w:val="18"/>
              </w:rPr>
              <w:t>Actividad PAC 2.41.4: </w:t>
            </w:r>
            <w:r>
              <w:rPr>
                <w:sz w:val="18"/>
              </w:rPr>
              <w:t>Formular e inscribir los proyectos que deben incluirse</w:t>
            </w:r>
            <w:r>
              <w:rPr>
                <w:spacing w:val="-10"/>
                <w:sz w:val="18"/>
              </w:rPr>
              <w:t> </w:t>
            </w:r>
            <w:r>
              <w:rPr>
                <w:sz w:val="18"/>
              </w:rPr>
              <w:t>dentro</w:t>
            </w:r>
            <w:r>
              <w:rPr>
                <w:spacing w:val="-10"/>
                <w:sz w:val="18"/>
              </w:rPr>
              <w:t> </w:t>
            </w:r>
            <w:r>
              <w:rPr>
                <w:sz w:val="18"/>
              </w:rPr>
              <w:t>del</w:t>
            </w:r>
            <w:r>
              <w:rPr>
                <w:spacing w:val="-11"/>
                <w:sz w:val="18"/>
              </w:rPr>
              <w:t> </w:t>
            </w:r>
            <w:r>
              <w:rPr>
                <w:sz w:val="18"/>
              </w:rPr>
              <w:t>BPIP que</w:t>
            </w:r>
            <w:r>
              <w:rPr>
                <w:spacing w:val="-15"/>
                <w:sz w:val="18"/>
              </w:rPr>
              <w:t> </w:t>
            </w:r>
            <w:r>
              <w:rPr>
                <w:sz w:val="18"/>
              </w:rPr>
              <w:t>tengan</w:t>
            </w:r>
            <w:r>
              <w:rPr>
                <w:spacing w:val="-12"/>
                <w:sz w:val="18"/>
              </w:rPr>
              <w:t> </w:t>
            </w:r>
            <w:r>
              <w:rPr>
                <w:sz w:val="18"/>
              </w:rPr>
              <w:t>competencia con el Proceso de </w:t>
            </w:r>
            <w:r>
              <w:rPr>
                <w:spacing w:val="-2"/>
                <w:sz w:val="18"/>
              </w:rPr>
              <w:t>Transportes.</w:t>
            </w:r>
          </w:p>
        </w:tc>
        <w:tc>
          <w:tcPr>
            <w:tcW w:w="1133" w:type="dxa"/>
          </w:tcPr>
          <w:p>
            <w:pPr>
              <w:pStyle w:val="TableParagraph"/>
              <w:ind w:left="66" w:right="70"/>
              <w:rPr>
                <w:sz w:val="18"/>
              </w:rPr>
            </w:pPr>
            <w:r>
              <w:rPr>
                <w:spacing w:val="-2"/>
                <w:sz w:val="18"/>
              </w:rPr>
              <w:t>Porcentaje </w:t>
            </w:r>
            <w:r>
              <w:rPr>
                <w:sz w:val="18"/>
              </w:rPr>
              <w:t>de avance en la </w:t>
            </w:r>
            <w:r>
              <w:rPr>
                <w:spacing w:val="-2"/>
                <w:sz w:val="18"/>
              </w:rPr>
              <w:t>formulación </w:t>
            </w:r>
            <w:r>
              <w:rPr>
                <w:spacing w:val="-10"/>
                <w:sz w:val="18"/>
              </w:rPr>
              <w:t>e</w:t>
            </w:r>
            <w:r>
              <w:rPr>
                <w:spacing w:val="80"/>
                <w:sz w:val="18"/>
              </w:rPr>
              <w:t> </w:t>
            </w:r>
            <w:r>
              <w:rPr>
                <w:spacing w:val="-2"/>
                <w:sz w:val="18"/>
              </w:rPr>
              <w:t>inscripción </w:t>
            </w:r>
            <w:r>
              <w:rPr>
                <w:sz w:val="18"/>
              </w:rPr>
              <w:t>del</w:t>
            </w:r>
            <w:r>
              <w:rPr>
                <w:spacing w:val="-13"/>
                <w:sz w:val="18"/>
              </w:rPr>
              <w:t> </w:t>
            </w:r>
            <w:r>
              <w:rPr>
                <w:sz w:val="18"/>
              </w:rPr>
              <w:t>proyecto en el BPIP </w:t>
            </w:r>
            <w:r>
              <w:rPr>
                <w:spacing w:val="-6"/>
                <w:sz w:val="18"/>
              </w:rPr>
              <w:t>de</w:t>
            </w:r>
          </w:p>
          <w:p>
            <w:pPr>
              <w:pStyle w:val="TableParagraph"/>
              <w:spacing w:line="187" w:lineRule="exact"/>
              <w:ind w:left="66"/>
              <w:rPr>
                <w:sz w:val="18"/>
              </w:rPr>
            </w:pPr>
            <w:r>
              <w:rPr>
                <w:spacing w:val="-2"/>
                <w:sz w:val="18"/>
              </w:rPr>
              <w:t>MIDEPLAN.</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7"/>
              <w:jc w:val="right"/>
              <w:rPr>
                <w:sz w:val="18"/>
              </w:rPr>
            </w:pPr>
            <w:r>
              <w:rPr>
                <w:spacing w:val="-5"/>
                <w:sz w:val="18"/>
              </w:rPr>
              <w:t>25%</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7"/>
              <w:jc w:val="right"/>
              <w:rPr>
                <w:sz w:val="18"/>
              </w:rPr>
            </w:pPr>
            <w:r>
              <w:rPr>
                <w:spacing w:val="-5"/>
                <w:sz w:val="18"/>
              </w:rPr>
              <w:t>50%</w:t>
            </w:r>
          </w:p>
        </w:tc>
        <w:tc>
          <w:tcPr>
            <w:tcW w:w="1133"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6"/>
              <w:jc w:val="right"/>
              <w:rPr>
                <w:sz w:val="18"/>
              </w:rPr>
            </w:pPr>
            <w:r>
              <w:rPr>
                <w:spacing w:val="-5"/>
                <w:sz w:val="18"/>
              </w:rPr>
              <w:t>75%</w:t>
            </w:r>
          </w:p>
        </w:tc>
        <w:tc>
          <w:tcPr>
            <w:tcW w:w="1272"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1"/>
              <w:jc w:val="right"/>
              <w:rPr>
                <w:sz w:val="18"/>
              </w:rPr>
            </w:pPr>
            <w:r>
              <w:rPr>
                <w:spacing w:val="-4"/>
                <w:sz w:val="18"/>
              </w:rPr>
              <w:t>100%</w:t>
            </w:r>
          </w:p>
        </w:tc>
        <w:tc>
          <w:tcPr>
            <w:tcW w:w="1844"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3"/>
        <w:gridCol w:w="1419"/>
        <w:gridCol w:w="1275"/>
        <w:gridCol w:w="1278"/>
        <w:gridCol w:w="1417"/>
        <w:gridCol w:w="1417"/>
        <w:gridCol w:w="1278"/>
        <w:gridCol w:w="1277"/>
        <w:gridCol w:w="1277"/>
        <w:gridCol w:w="1493"/>
      </w:tblGrid>
      <w:tr>
        <w:trPr>
          <w:trHeight w:val="369" w:hRule="atLeast"/>
        </w:trPr>
        <w:tc>
          <w:tcPr>
            <w:tcW w:w="2123" w:type="dxa"/>
            <w:vMerge w:val="restart"/>
            <w:shd w:val="clear" w:color="auto" w:fill="F1F1F1"/>
          </w:tcPr>
          <w:p>
            <w:pPr>
              <w:pStyle w:val="TableParagraph"/>
              <w:spacing w:before="147"/>
              <w:rPr>
                <w:b/>
                <w:sz w:val="18"/>
              </w:rPr>
            </w:pPr>
          </w:p>
          <w:p>
            <w:pPr>
              <w:pStyle w:val="TableParagraph"/>
              <w:ind w:left="72"/>
              <w:rPr>
                <w:b/>
                <w:sz w:val="18"/>
              </w:rPr>
            </w:pPr>
            <w:r>
              <w:rPr>
                <w:b/>
                <w:sz w:val="18"/>
              </w:rPr>
              <w:t>Objetivos</w:t>
            </w:r>
            <w:r>
              <w:rPr>
                <w:b/>
                <w:spacing w:val="-5"/>
                <w:sz w:val="18"/>
              </w:rPr>
              <w:t> </w:t>
            </w:r>
            <w:r>
              <w:rPr>
                <w:b/>
                <w:sz w:val="18"/>
              </w:rPr>
              <w:t>/</w:t>
            </w:r>
            <w:r>
              <w:rPr>
                <w:b/>
                <w:spacing w:val="-2"/>
                <w:sz w:val="18"/>
              </w:rPr>
              <w:t> Resultados</w:t>
            </w:r>
          </w:p>
        </w:tc>
        <w:tc>
          <w:tcPr>
            <w:tcW w:w="1419" w:type="dxa"/>
            <w:vMerge w:val="restart"/>
            <w:shd w:val="clear" w:color="auto" w:fill="F1F1F1"/>
          </w:tcPr>
          <w:p>
            <w:pPr>
              <w:pStyle w:val="TableParagraph"/>
              <w:spacing w:before="147"/>
              <w:rPr>
                <w:b/>
                <w:sz w:val="18"/>
              </w:rPr>
            </w:pPr>
          </w:p>
          <w:p>
            <w:pPr>
              <w:pStyle w:val="TableParagraph"/>
              <w:ind w:left="71"/>
              <w:rPr>
                <w:b/>
                <w:sz w:val="18"/>
              </w:rPr>
            </w:pPr>
            <w:r>
              <w:rPr>
                <w:b/>
                <w:spacing w:val="-2"/>
                <w:sz w:val="18"/>
              </w:rPr>
              <w:t>Indicador</w:t>
            </w:r>
          </w:p>
        </w:tc>
        <w:tc>
          <w:tcPr>
            <w:tcW w:w="2553" w:type="dxa"/>
            <w:gridSpan w:val="2"/>
            <w:shd w:val="clear" w:color="auto" w:fill="F1F1F1"/>
          </w:tcPr>
          <w:p>
            <w:pPr>
              <w:pStyle w:val="TableParagraph"/>
              <w:spacing w:before="80"/>
              <w:ind w:left="812"/>
              <w:rPr>
                <w:b/>
                <w:sz w:val="18"/>
              </w:rPr>
            </w:pPr>
            <w:r>
              <w:rPr>
                <w:b/>
                <w:sz w:val="18"/>
              </w:rPr>
              <w:t>I</w:t>
            </w:r>
            <w:r>
              <w:rPr>
                <w:b/>
                <w:spacing w:val="-1"/>
                <w:sz w:val="18"/>
              </w:rPr>
              <w:t> </w:t>
            </w:r>
            <w:r>
              <w:rPr>
                <w:b/>
                <w:spacing w:val="-2"/>
                <w:sz w:val="18"/>
              </w:rPr>
              <w:t>Trimestre</w:t>
            </w:r>
          </w:p>
        </w:tc>
        <w:tc>
          <w:tcPr>
            <w:tcW w:w="2834" w:type="dxa"/>
            <w:gridSpan w:val="2"/>
            <w:shd w:val="clear" w:color="auto" w:fill="F1F1F1"/>
          </w:tcPr>
          <w:p>
            <w:pPr>
              <w:pStyle w:val="TableParagraph"/>
              <w:spacing w:before="80"/>
              <w:ind w:left="924"/>
              <w:rPr>
                <w:b/>
                <w:sz w:val="18"/>
              </w:rPr>
            </w:pPr>
            <w:r>
              <w:rPr>
                <w:b/>
                <w:sz w:val="18"/>
              </w:rPr>
              <w:t>II</w:t>
            </w:r>
            <w:r>
              <w:rPr>
                <w:b/>
                <w:spacing w:val="-3"/>
                <w:sz w:val="18"/>
              </w:rPr>
              <w:t> </w:t>
            </w:r>
            <w:r>
              <w:rPr>
                <w:b/>
                <w:spacing w:val="-2"/>
                <w:sz w:val="18"/>
              </w:rPr>
              <w:t>Trimestre</w:t>
            </w:r>
          </w:p>
        </w:tc>
        <w:tc>
          <w:tcPr>
            <w:tcW w:w="2555" w:type="dxa"/>
            <w:gridSpan w:val="2"/>
            <w:shd w:val="clear" w:color="auto" w:fill="F1F1F1"/>
          </w:tcPr>
          <w:p>
            <w:pPr>
              <w:pStyle w:val="TableParagraph"/>
              <w:spacing w:before="80"/>
              <w:ind w:left="764"/>
              <w:rPr>
                <w:b/>
                <w:sz w:val="18"/>
              </w:rPr>
            </w:pPr>
            <w:r>
              <w:rPr>
                <w:b/>
                <w:sz w:val="18"/>
              </w:rPr>
              <w:t>III</w:t>
            </w:r>
            <w:r>
              <w:rPr>
                <w:b/>
                <w:spacing w:val="-2"/>
                <w:sz w:val="18"/>
              </w:rPr>
              <w:t> Trimestre</w:t>
            </w:r>
          </w:p>
        </w:tc>
        <w:tc>
          <w:tcPr>
            <w:tcW w:w="2770" w:type="dxa"/>
            <w:gridSpan w:val="2"/>
            <w:shd w:val="clear" w:color="auto" w:fill="F1F1F1"/>
          </w:tcPr>
          <w:p>
            <w:pPr>
              <w:pStyle w:val="TableParagraph"/>
              <w:spacing w:before="80"/>
              <w:ind w:left="855"/>
              <w:rPr>
                <w:b/>
                <w:sz w:val="18"/>
              </w:rPr>
            </w:pPr>
            <w:r>
              <w:rPr>
                <w:b/>
                <w:sz w:val="18"/>
              </w:rPr>
              <w:t>IV</w:t>
            </w:r>
            <w:r>
              <w:rPr>
                <w:b/>
                <w:spacing w:val="-2"/>
                <w:sz w:val="18"/>
              </w:rPr>
              <w:t> Trimestre</w:t>
            </w:r>
          </w:p>
        </w:tc>
      </w:tr>
      <w:tr>
        <w:trPr>
          <w:trHeight w:val="541" w:hRule="atLeast"/>
        </w:trPr>
        <w:tc>
          <w:tcPr>
            <w:tcW w:w="2123" w:type="dxa"/>
            <w:vMerge/>
            <w:tcBorders>
              <w:top w:val="nil"/>
            </w:tcBorders>
            <w:shd w:val="clear" w:color="auto" w:fill="F1F1F1"/>
          </w:tcPr>
          <w:p>
            <w:pPr>
              <w:rPr>
                <w:sz w:val="2"/>
                <w:szCs w:val="2"/>
              </w:rPr>
            </w:pPr>
          </w:p>
        </w:tc>
        <w:tc>
          <w:tcPr>
            <w:tcW w:w="1419" w:type="dxa"/>
            <w:vMerge/>
            <w:tcBorders>
              <w:top w:val="nil"/>
            </w:tcBorders>
            <w:shd w:val="clear" w:color="auto" w:fill="F1F1F1"/>
          </w:tcPr>
          <w:p>
            <w:pPr>
              <w:rPr>
                <w:sz w:val="2"/>
                <w:szCs w:val="2"/>
              </w:rPr>
            </w:pPr>
          </w:p>
        </w:tc>
        <w:tc>
          <w:tcPr>
            <w:tcW w:w="1275" w:type="dxa"/>
            <w:shd w:val="clear" w:color="auto" w:fill="F1F1F1"/>
          </w:tcPr>
          <w:p>
            <w:pPr>
              <w:pStyle w:val="TableParagraph"/>
              <w:spacing w:line="244" w:lineRule="auto" w:before="61"/>
              <w:ind w:left="116" w:firstLine="312"/>
              <w:rPr>
                <w:b/>
                <w:sz w:val="18"/>
              </w:rPr>
            </w:pPr>
            <w:r>
              <w:rPr>
                <w:b/>
                <w:spacing w:val="-4"/>
                <w:sz w:val="18"/>
              </w:rPr>
              <w:t>Meta </w:t>
            </w:r>
            <w:r>
              <w:rPr>
                <w:b/>
                <w:spacing w:val="-2"/>
                <w:sz w:val="18"/>
              </w:rPr>
              <w:t>programada</w:t>
            </w:r>
          </w:p>
        </w:tc>
        <w:tc>
          <w:tcPr>
            <w:tcW w:w="1278" w:type="dxa"/>
            <w:shd w:val="clear" w:color="auto" w:fill="F1F1F1"/>
          </w:tcPr>
          <w:p>
            <w:pPr>
              <w:pStyle w:val="TableParagraph"/>
              <w:spacing w:before="167"/>
              <w:ind w:left="21" w:right="9"/>
              <w:jc w:val="center"/>
              <w:rPr>
                <w:b/>
                <w:sz w:val="18"/>
              </w:rPr>
            </w:pPr>
            <w:r>
              <w:rPr>
                <w:b/>
                <w:spacing w:val="-10"/>
                <w:sz w:val="18"/>
              </w:rPr>
              <w:t>¢</w:t>
            </w:r>
          </w:p>
        </w:tc>
        <w:tc>
          <w:tcPr>
            <w:tcW w:w="1417" w:type="dxa"/>
            <w:shd w:val="clear" w:color="auto" w:fill="F1F1F1"/>
          </w:tcPr>
          <w:p>
            <w:pPr>
              <w:pStyle w:val="TableParagraph"/>
              <w:spacing w:line="244" w:lineRule="auto" w:before="61"/>
              <w:ind w:left="180" w:firstLine="316"/>
              <w:rPr>
                <w:b/>
                <w:sz w:val="18"/>
              </w:rPr>
            </w:pPr>
            <w:r>
              <w:rPr>
                <w:b/>
                <w:spacing w:val="-4"/>
                <w:sz w:val="18"/>
              </w:rPr>
              <w:t>Meta </w:t>
            </w:r>
            <w:r>
              <w:rPr>
                <w:b/>
                <w:spacing w:val="-2"/>
                <w:sz w:val="18"/>
              </w:rPr>
              <w:t>programada</w:t>
            </w:r>
          </w:p>
        </w:tc>
        <w:tc>
          <w:tcPr>
            <w:tcW w:w="1417" w:type="dxa"/>
            <w:shd w:val="clear" w:color="auto" w:fill="F1F1F1"/>
          </w:tcPr>
          <w:p>
            <w:pPr>
              <w:pStyle w:val="TableParagraph"/>
              <w:spacing w:before="167"/>
              <w:ind w:left="9" w:right="5"/>
              <w:jc w:val="center"/>
              <w:rPr>
                <w:b/>
                <w:sz w:val="18"/>
              </w:rPr>
            </w:pPr>
            <w:r>
              <w:rPr>
                <w:b/>
                <w:spacing w:val="-10"/>
                <w:sz w:val="18"/>
              </w:rPr>
              <w:t>¢</w:t>
            </w:r>
          </w:p>
        </w:tc>
        <w:tc>
          <w:tcPr>
            <w:tcW w:w="1278" w:type="dxa"/>
            <w:shd w:val="clear" w:color="auto" w:fill="F1F1F1"/>
          </w:tcPr>
          <w:p>
            <w:pPr>
              <w:pStyle w:val="TableParagraph"/>
              <w:spacing w:line="244" w:lineRule="auto" w:before="61"/>
              <w:ind w:left="116" w:firstLine="312"/>
              <w:rPr>
                <w:b/>
                <w:sz w:val="18"/>
              </w:rPr>
            </w:pPr>
            <w:r>
              <w:rPr>
                <w:b/>
                <w:spacing w:val="-4"/>
                <w:sz w:val="18"/>
              </w:rPr>
              <w:t>Meta </w:t>
            </w:r>
            <w:r>
              <w:rPr>
                <w:b/>
                <w:spacing w:val="-2"/>
                <w:sz w:val="18"/>
              </w:rPr>
              <w:t>programada</w:t>
            </w:r>
          </w:p>
        </w:tc>
        <w:tc>
          <w:tcPr>
            <w:tcW w:w="1277" w:type="dxa"/>
            <w:shd w:val="clear" w:color="auto" w:fill="F1F1F1"/>
          </w:tcPr>
          <w:p>
            <w:pPr>
              <w:pStyle w:val="TableParagraph"/>
              <w:spacing w:before="167"/>
              <w:ind w:left="16" w:right="9"/>
              <w:jc w:val="center"/>
              <w:rPr>
                <w:b/>
                <w:sz w:val="18"/>
              </w:rPr>
            </w:pPr>
            <w:r>
              <w:rPr>
                <w:b/>
                <w:spacing w:val="-10"/>
                <w:sz w:val="18"/>
              </w:rPr>
              <w:t>¢</w:t>
            </w:r>
          </w:p>
        </w:tc>
        <w:tc>
          <w:tcPr>
            <w:tcW w:w="1277" w:type="dxa"/>
            <w:shd w:val="clear" w:color="auto" w:fill="F1F1F1"/>
          </w:tcPr>
          <w:p>
            <w:pPr>
              <w:pStyle w:val="TableParagraph"/>
              <w:spacing w:line="244" w:lineRule="auto" w:before="61"/>
              <w:ind w:left="111" w:firstLine="312"/>
              <w:rPr>
                <w:b/>
                <w:sz w:val="18"/>
              </w:rPr>
            </w:pPr>
            <w:r>
              <w:rPr>
                <w:b/>
                <w:spacing w:val="-4"/>
                <w:sz w:val="18"/>
              </w:rPr>
              <w:t>Meta </w:t>
            </w:r>
            <w:r>
              <w:rPr>
                <w:b/>
                <w:spacing w:val="-2"/>
                <w:sz w:val="18"/>
              </w:rPr>
              <w:t>programada</w:t>
            </w:r>
          </w:p>
        </w:tc>
        <w:tc>
          <w:tcPr>
            <w:tcW w:w="1493" w:type="dxa"/>
            <w:shd w:val="clear" w:color="auto" w:fill="F1F1F1"/>
          </w:tcPr>
          <w:p>
            <w:pPr>
              <w:pStyle w:val="TableParagraph"/>
              <w:spacing w:before="167"/>
              <w:ind w:right="4"/>
              <w:jc w:val="center"/>
              <w:rPr>
                <w:b/>
                <w:sz w:val="18"/>
              </w:rPr>
            </w:pPr>
            <w:r>
              <w:rPr>
                <w:b/>
                <w:spacing w:val="-10"/>
                <w:sz w:val="18"/>
              </w:rPr>
              <w:t>¢</w:t>
            </w:r>
          </w:p>
        </w:tc>
      </w:tr>
      <w:tr>
        <w:trPr>
          <w:trHeight w:val="705" w:hRule="atLeast"/>
        </w:trPr>
        <w:tc>
          <w:tcPr>
            <w:tcW w:w="14254" w:type="dxa"/>
            <w:gridSpan w:val="10"/>
            <w:shd w:val="clear" w:color="auto" w:fill="E1EED9"/>
          </w:tcPr>
          <w:p>
            <w:pPr>
              <w:pStyle w:val="TableParagraph"/>
              <w:spacing w:before="143"/>
              <w:ind w:left="72" w:right="72"/>
              <w:rPr>
                <w:b/>
                <w:sz w:val="18"/>
              </w:rPr>
            </w:pPr>
            <w:r>
              <w:rPr>
                <w:b/>
                <w:sz w:val="18"/>
              </w:rPr>
              <w:t>Objetivo: Realizar</w:t>
            </w:r>
            <w:r>
              <w:rPr>
                <w:b/>
                <w:spacing w:val="-3"/>
                <w:sz w:val="18"/>
              </w:rPr>
              <w:t> </w:t>
            </w:r>
            <w:r>
              <w:rPr>
                <w:b/>
                <w:sz w:val="18"/>
              </w:rPr>
              <w:t>una</w:t>
            </w:r>
            <w:r>
              <w:rPr>
                <w:b/>
                <w:spacing w:val="-4"/>
                <w:sz w:val="18"/>
              </w:rPr>
              <w:t> </w:t>
            </w:r>
            <w:r>
              <w:rPr>
                <w:b/>
                <w:sz w:val="18"/>
              </w:rPr>
              <w:t>efectiva</w:t>
            </w:r>
            <w:r>
              <w:rPr>
                <w:b/>
                <w:spacing w:val="-4"/>
                <w:sz w:val="18"/>
              </w:rPr>
              <w:t> </w:t>
            </w:r>
            <w:r>
              <w:rPr>
                <w:b/>
                <w:sz w:val="18"/>
              </w:rPr>
              <w:t>gestión</w:t>
            </w:r>
            <w:r>
              <w:rPr>
                <w:b/>
                <w:spacing w:val="-5"/>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4"/>
                <w:sz w:val="18"/>
              </w:rPr>
              <w:t> </w:t>
            </w:r>
            <w:r>
              <w:rPr>
                <w:b/>
                <w:sz w:val="18"/>
              </w:rPr>
              <w:t>y</w:t>
            </w:r>
            <w:r>
              <w:rPr>
                <w:b/>
                <w:spacing w:val="-4"/>
                <w:sz w:val="18"/>
              </w:rPr>
              <w:t> </w:t>
            </w:r>
            <w:r>
              <w:rPr>
                <w:b/>
                <w:sz w:val="18"/>
              </w:rPr>
              <w:t>tecnológicos, con el</w:t>
            </w:r>
            <w:r>
              <w:rPr>
                <w:b/>
                <w:spacing w:val="-2"/>
                <w:sz w:val="18"/>
              </w:rPr>
              <w:t> </w:t>
            </w:r>
            <w:r>
              <w:rPr>
                <w:b/>
                <w:sz w:val="18"/>
              </w:rPr>
              <w:t>fin de</w:t>
            </w:r>
            <w:r>
              <w:rPr>
                <w:b/>
                <w:spacing w:val="-4"/>
                <w:sz w:val="18"/>
              </w:rPr>
              <w:t> </w:t>
            </w:r>
            <w:r>
              <w:rPr>
                <w:b/>
                <w:sz w:val="18"/>
              </w:rPr>
              <w:t>contribuir con</w:t>
            </w:r>
            <w:r>
              <w:rPr>
                <w:b/>
                <w:spacing w:val="-9"/>
                <w:sz w:val="18"/>
              </w:rPr>
              <w:t> </w:t>
            </w:r>
            <w:r>
              <w:rPr>
                <w:b/>
                <w:sz w:val="18"/>
              </w:rPr>
              <w:t>la</w:t>
            </w:r>
            <w:r>
              <w:rPr>
                <w:b/>
                <w:spacing w:val="-4"/>
                <w:sz w:val="18"/>
              </w:rPr>
              <w:t> </w:t>
            </w:r>
            <w:r>
              <w:rPr>
                <w:b/>
                <w:sz w:val="18"/>
              </w:rPr>
              <w:t>institucionalización</w:t>
            </w:r>
            <w:r>
              <w:rPr>
                <w:b/>
                <w:spacing w:val="-5"/>
                <w:sz w:val="18"/>
              </w:rPr>
              <w:t> </w:t>
            </w:r>
            <w:r>
              <w:rPr>
                <w:b/>
                <w:sz w:val="18"/>
              </w:rPr>
              <w:t>de</w:t>
            </w:r>
            <w:r>
              <w:rPr>
                <w:b/>
                <w:spacing w:val="-4"/>
                <w:sz w:val="18"/>
              </w:rPr>
              <w:t> </w:t>
            </w:r>
            <w:r>
              <w:rPr>
                <w:b/>
                <w:sz w:val="18"/>
              </w:rPr>
              <w:t>la estrategia de intervención de la población en situación de pobreza y pobreza extrema.</w:t>
            </w:r>
          </w:p>
        </w:tc>
      </w:tr>
      <w:tr>
        <w:trPr>
          <w:trHeight w:val="508" w:hRule="atLeast"/>
        </w:trPr>
        <w:tc>
          <w:tcPr>
            <w:tcW w:w="14254" w:type="dxa"/>
            <w:gridSpan w:val="10"/>
            <w:shd w:val="clear" w:color="auto" w:fill="EFF8F9"/>
          </w:tcPr>
          <w:p>
            <w:pPr>
              <w:pStyle w:val="TableParagraph"/>
              <w:spacing w:before="147"/>
              <w:ind w:left="72"/>
              <w:rPr>
                <w:b/>
                <w:sz w:val="18"/>
              </w:rPr>
            </w:pPr>
            <w:r>
              <w:rPr>
                <w:b/>
                <w:sz w:val="18"/>
              </w:rPr>
              <w:t>Producto</w:t>
            </w:r>
            <w:r>
              <w:rPr>
                <w:b/>
                <w:spacing w:val="-7"/>
                <w:sz w:val="18"/>
              </w:rPr>
              <w:t> </w:t>
            </w:r>
            <w:r>
              <w:rPr>
                <w:b/>
                <w:sz w:val="18"/>
              </w:rPr>
              <w:t>PAC</w:t>
            </w:r>
            <w:r>
              <w:rPr>
                <w:b/>
                <w:spacing w:val="-7"/>
                <w:sz w:val="18"/>
              </w:rPr>
              <w:t> </w:t>
            </w:r>
            <w:r>
              <w:rPr>
                <w:b/>
                <w:sz w:val="18"/>
              </w:rPr>
              <w:t>2.42:</w:t>
            </w:r>
            <w:r>
              <w:rPr>
                <w:b/>
                <w:spacing w:val="-4"/>
                <w:sz w:val="18"/>
              </w:rPr>
              <w:t> </w:t>
            </w:r>
            <w:r>
              <w:rPr>
                <w:b/>
                <w:sz w:val="18"/>
              </w:rPr>
              <w:t>Gestión</w:t>
            </w:r>
            <w:r>
              <w:rPr>
                <w:b/>
                <w:spacing w:val="-6"/>
                <w:sz w:val="18"/>
              </w:rPr>
              <w:t> </w:t>
            </w:r>
            <w:r>
              <w:rPr>
                <w:b/>
                <w:sz w:val="18"/>
              </w:rPr>
              <w:t>oportuna</w:t>
            </w:r>
            <w:r>
              <w:rPr>
                <w:b/>
                <w:spacing w:val="-5"/>
                <w:sz w:val="18"/>
              </w:rPr>
              <w:t> </w:t>
            </w:r>
            <w:r>
              <w:rPr>
                <w:b/>
                <w:sz w:val="18"/>
              </w:rPr>
              <w:t>de</w:t>
            </w:r>
            <w:r>
              <w:rPr>
                <w:b/>
                <w:spacing w:val="-6"/>
                <w:sz w:val="18"/>
              </w:rPr>
              <w:t> </w:t>
            </w:r>
            <w:r>
              <w:rPr>
                <w:b/>
                <w:sz w:val="18"/>
              </w:rPr>
              <w:t>la</w:t>
            </w:r>
            <w:r>
              <w:rPr>
                <w:b/>
                <w:spacing w:val="-5"/>
                <w:sz w:val="18"/>
              </w:rPr>
              <w:t> </w:t>
            </w:r>
            <w:r>
              <w:rPr>
                <w:b/>
                <w:sz w:val="18"/>
              </w:rPr>
              <w:t>demanda</w:t>
            </w:r>
            <w:r>
              <w:rPr>
                <w:b/>
                <w:spacing w:val="-5"/>
                <w:sz w:val="18"/>
              </w:rPr>
              <w:t> </w:t>
            </w:r>
            <w:r>
              <w:rPr>
                <w:b/>
                <w:sz w:val="18"/>
              </w:rPr>
              <w:t>de</w:t>
            </w:r>
            <w:r>
              <w:rPr>
                <w:b/>
                <w:spacing w:val="-10"/>
                <w:sz w:val="18"/>
              </w:rPr>
              <w:t> </w:t>
            </w:r>
            <w:r>
              <w:rPr>
                <w:b/>
                <w:sz w:val="18"/>
              </w:rPr>
              <w:t>bienes,</w:t>
            </w:r>
            <w:r>
              <w:rPr>
                <w:b/>
                <w:spacing w:val="1"/>
                <w:sz w:val="18"/>
              </w:rPr>
              <w:t> </w:t>
            </w:r>
            <w:r>
              <w:rPr>
                <w:b/>
                <w:sz w:val="18"/>
              </w:rPr>
              <w:t>obras</w:t>
            </w:r>
            <w:r>
              <w:rPr>
                <w:b/>
                <w:spacing w:val="-5"/>
                <w:sz w:val="18"/>
              </w:rPr>
              <w:t> </w:t>
            </w:r>
            <w:r>
              <w:rPr>
                <w:b/>
                <w:sz w:val="18"/>
              </w:rPr>
              <w:t>y</w:t>
            </w:r>
            <w:r>
              <w:rPr>
                <w:b/>
                <w:spacing w:val="-6"/>
                <w:sz w:val="18"/>
              </w:rPr>
              <w:t> </w:t>
            </w:r>
            <w:r>
              <w:rPr>
                <w:b/>
                <w:sz w:val="18"/>
              </w:rPr>
              <w:t>servicios,</w:t>
            </w:r>
            <w:r>
              <w:rPr>
                <w:b/>
                <w:spacing w:val="1"/>
                <w:sz w:val="18"/>
              </w:rPr>
              <w:t> </w:t>
            </w:r>
            <w:r>
              <w:rPr>
                <w:b/>
                <w:sz w:val="18"/>
              </w:rPr>
              <w:t>así</w:t>
            </w:r>
            <w:r>
              <w:rPr>
                <w:b/>
                <w:spacing w:val="-3"/>
                <w:sz w:val="18"/>
              </w:rPr>
              <w:t> </w:t>
            </w:r>
            <w:r>
              <w:rPr>
                <w:b/>
                <w:sz w:val="18"/>
              </w:rPr>
              <w:t>como</w:t>
            </w:r>
            <w:r>
              <w:rPr>
                <w:b/>
                <w:spacing w:val="-2"/>
                <w:sz w:val="18"/>
              </w:rPr>
              <w:t> </w:t>
            </w:r>
            <w:r>
              <w:rPr>
                <w:b/>
                <w:sz w:val="18"/>
              </w:rPr>
              <w:t>el</w:t>
            </w:r>
            <w:r>
              <w:rPr>
                <w:b/>
                <w:spacing w:val="-3"/>
                <w:sz w:val="18"/>
              </w:rPr>
              <w:t> </w:t>
            </w:r>
            <w:r>
              <w:rPr>
                <w:b/>
                <w:sz w:val="18"/>
              </w:rPr>
              <w:t>uso</w:t>
            </w:r>
            <w:r>
              <w:rPr>
                <w:b/>
                <w:spacing w:val="-6"/>
                <w:sz w:val="18"/>
              </w:rPr>
              <w:t> </w:t>
            </w:r>
            <w:r>
              <w:rPr>
                <w:b/>
                <w:sz w:val="18"/>
              </w:rPr>
              <w:t>y</w:t>
            </w:r>
            <w:r>
              <w:rPr>
                <w:b/>
                <w:spacing w:val="-2"/>
                <w:sz w:val="18"/>
              </w:rPr>
              <w:t> </w:t>
            </w:r>
            <w:r>
              <w:rPr>
                <w:b/>
                <w:sz w:val="18"/>
              </w:rPr>
              <w:t>custodia</w:t>
            </w:r>
            <w:r>
              <w:rPr>
                <w:b/>
                <w:spacing w:val="-5"/>
                <w:sz w:val="18"/>
              </w:rPr>
              <w:t> </w:t>
            </w:r>
            <w:r>
              <w:rPr>
                <w:b/>
                <w:sz w:val="18"/>
              </w:rPr>
              <w:t>de</w:t>
            </w:r>
            <w:r>
              <w:rPr>
                <w:b/>
                <w:spacing w:val="-6"/>
                <w:sz w:val="18"/>
              </w:rPr>
              <w:t> </w:t>
            </w:r>
            <w:r>
              <w:rPr>
                <w:b/>
                <w:sz w:val="18"/>
              </w:rPr>
              <w:t>bienes</w:t>
            </w:r>
            <w:r>
              <w:rPr>
                <w:b/>
                <w:spacing w:val="-5"/>
                <w:sz w:val="18"/>
              </w:rPr>
              <w:t> </w:t>
            </w:r>
            <w:r>
              <w:rPr>
                <w:b/>
                <w:spacing w:val="-2"/>
                <w:sz w:val="18"/>
              </w:rPr>
              <w:t>institucionales.</w:t>
            </w:r>
          </w:p>
        </w:tc>
      </w:tr>
      <w:tr>
        <w:trPr>
          <w:trHeight w:val="1863" w:hRule="atLeast"/>
        </w:trPr>
        <w:tc>
          <w:tcPr>
            <w:tcW w:w="2123" w:type="dxa"/>
          </w:tcPr>
          <w:p>
            <w:pPr>
              <w:pStyle w:val="TableParagraph"/>
              <w:ind w:left="72" w:right="82"/>
              <w:rPr>
                <w:sz w:val="18"/>
              </w:rPr>
            </w:pPr>
            <w:r>
              <w:rPr>
                <w:b/>
                <w:sz w:val="18"/>
              </w:rPr>
              <w:t>Actividad PAC 2.42.1: </w:t>
            </w:r>
            <w:r>
              <w:rPr>
                <w:sz w:val="18"/>
              </w:rPr>
              <w:t>Gestionar</w:t>
            </w:r>
            <w:r>
              <w:rPr>
                <w:spacing w:val="-15"/>
                <w:sz w:val="18"/>
              </w:rPr>
              <w:t> </w:t>
            </w:r>
            <w:r>
              <w:rPr>
                <w:sz w:val="18"/>
              </w:rPr>
              <w:t>las</w:t>
            </w:r>
            <w:r>
              <w:rPr>
                <w:spacing w:val="-12"/>
                <w:sz w:val="18"/>
              </w:rPr>
              <w:t> </w:t>
            </w:r>
            <w:r>
              <w:rPr>
                <w:sz w:val="18"/>
              </w:rPr>
              <w:t>solicitudes de contratación de bienes y servicios, para la atención de las </w:t>
            </w:r>
            <w:r>
              <w:rPr>
                <w:spacing w:val="-2"/>
                <w:sz w:val="18"/>
              </w:rPr>
              <w:t>necesidades </w:t>
            </w:r>
            <w:r>
              <w:rPr>
                <w:sz w:val="18"/>
              </w:rPr>
              <w:t>institucionales, que se</w:t>
            </w:r>
          </w:p>
          <w:p>
            <w:pPr>
              <w:pStyle w:val="TableParagraph"/>
              <w:spacing w:line="206" w:lineRule="exact"/>
              <w:ind w:left="72"/>
              <w:rPr>
                <w:sz w:val="18"/>
              </w:rPr>
            </w:pPr>
            <w:r>
              <w:rPr>
                <w:sz w:val="18"/>
              </w:rPr>
              <w:t>hayan</w:t>
            </w:r>
            <w:r>
              <w:rPr>
                <w:spacing w:val="-15"/>
                <w:sz w:val="18"/>
              </w:rPr>
              <w:t> </w:t>
            </w:r>
            <w:r>
              <w:rPr>
                <w:sz w:val="18"/>
              </w:rPr>
              <w:t>enviado</w:t>
            </w:r>
            <w:r>
              <w:rPr>
                <w:spacing w:val="-12"/>
                <w:sz w:val="18"/>
              </w:rPr>
              <w:t> </w:t>
            </w:r>
            <w:r>
              <w:rPr>
                <w:sz w:val="18"/>
              </w:rPr>
              <w:t>al </w:t>
            </w:r>
            <w:r>
              <w:rPr>
                <w:spacing w:val="-2"/>
                <w:sz w:val="18"/>
              </w:rPr>
              <w:t>distribuidor.</w:t>
            </w:r>
          </w:p>
        </w:tc>
        <w:tc>
          <w:tcPr>
            <w:tcW w:w="1419" w:type="dxa"/>
          </w:tcPr>
          <w:p>
            <w:pPr>
              <w:pStyle w:val="TableParagraph"/>
              <w:spacing w:before="205"/>
              <w:rPr>
                <w:b/>
                <w:sz w:val="18"/>
              </w:rPr>
            </w:pPr>
          </w:p>
          <w:p>
            <w:pPr>
              <w:pStyle w:val="TableParagraph"/>
              <w:ind w:left="71" w:right="220"/>
              <w:rPr>
                <w:sz w:val="18"/>
              </w:rPr>
            </w:pPr>
            <w:r>
              <w:rPr>
                <w:sz w:val="18"/>
              </w:rPr>
              <w:t>Porcentaje</w:t>
            </w:r>
            <w:r>
              <w:rPr>
                <w:spacing w:val="-13"/>
                <w:sz w:val="18"/>
              </w:rPr>
              <w:t> </w:t>
            </w:r>
            <w:r>
              <w:rPr>
                <w:sz w:val="18"/>
              </w:rPr>
              <w:t>de solicitudes</w:t>
            </w:r>
            <w:r>
              <w:rPr>
                <w:spacing w:val="-13"/>
                <w:sz w:val="18"/>
              </w:rPr>
              <w:t> </w:t>
            </w:r>
            <w:r>
              <w:rPr>
                <w:sz w:val="18"/>
              </w:rPr>
              <w:t>de </w:t>
            </w:r>
            <w:r>
              <w:rPr>
                <w:spacing w:val="-2"/>
                <w:sz w:val="18"/>
              </w:rPr>
              <w:t>contratación asignadas SICOP</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right="53"/>
              <w:jc w:val="right"/>
              <w:rPr>
                <w:sz w:val="18"/>
              </w:rPr>
            </w:pPr>
            <w:r>
              <w:rPr>
                <w:spacing w:val="-5"/>
                <w:sz w:val="18"/>
              </w:rPr>
              <w:t>90%</w:t>
            </w:r>
          </w:p>
        </w:tc>
        <w:tc>
          <w:tcPr>
            <w:tcW w:w="1278"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right="59"/>
              <w:jc w:val="right"/>
              <w:rPr>
                <w:sz w:val="18"/>
              </w:rPr>
            </w:pPr>
            <w:r>
              <w:rPr>
                <w:spacing w:val="-5"/>
                <w:sz w:val="18"/>
              </w:rPr>
              <w:t>90%</w:t>
            </w:r>
          </w:p>
        </w:tc>
        <w:tc>
          <w:tcPr>
            <w:tcW w:w="1417" w:type="dxa"/>
          </w:tcPr>
          <w:p>
            <w:pPr>
              <w:pStyle w:val="TableParagraph"/>
              <w:rPr>
                <w:rFonts w:ascii="Times New Roman"/>
                <w:sz w:val="18"/>
              </w:rPr>
            </w:pP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right="56"/>
              <w:jc w:val="right"/>
              <w:rPr>
                <w:sz w:val="18"/>
              </w:rPr>
            </w:pPr>
            <w:r>
              <w:rPr>
                <w:spacing w:val="-5"/>
                <w:sz w:val="18"/>
              </w:rPr>
              <w:t>90%</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right="60"/>
              <w:jc w:val="right"/>
              <w:rPr>
                <w:sz w:val="18"/>
              </w:rPr>
            </w:pPr>
            <w:r>
              <w:rPr>
                <w:spacing w:val="-5"/>
                <w:sz w:val="18"/>
              </w:rPr>
              <w:t>90%</w:t>
            </w:r>
          </w:p>
        </w:tc>
        <w:tc>
          <w:tcPr>
            <w:tcW w:w="1493" w:type="dxa"/>
          </w:tcPr>
          <w:p>
            <w:pPr>
              <w:pStyle w:val="TableParagraph"/>
              <w:rPr>
                <w:rFonts w:ascii="Times New Roman"/>
                <w:sz w:val="18"/>
              </w:rPr>
            </w:pPr>
          </w:p>
        </w:tc>
      </w:tr>
      <w:tr>
        <w:trPr>
          <w:trHeight w:val="3106" w:hRule="atLeast"/>
        </w:trPr>
        <w:tc>
          <w:tcPr>
            <w:tcW w:w="2123" w:type="dxa"/>
          </w:tcPr>
          <w:p>
            <w:pPr>
              <w:pStyle w:val="TableParagraph"/>
              <w:ind w:left="72" w:right="109"/>
              <w:rPr>
                <w:sz w:val="18"/>
              </w:rPr>
            </w:pPr>
            <w:r>
              <w:rPr>
                <w:b/>
                <w:sz w:val="18"/>
              </w:rPr>
              <w:t>Actividad PAC 2.42.2: </w:t>
            </w:r>
            <w:r>
              <w:rPr>
                <w:sz w:val="18"/>
              </w:rPr>
              <w:t>Concluir los procedimientos de contratación pública para la adquisición de bienes</w:t>
            </w:r>
            <w:r>
              <w:rPr>
                <w:spacing w:val="-8"/>
                <w:sz w:val="18"/>
              </w:rPr>
              <w:t> </w:t>
            </w:r>
            <w:r>
              <w:rPr>
                <w:sz w:val="18"/>
              </w:rPr>
              <w:t>y</w:t>
            </w:r>
            <w:r>
              <w:rPr>
                <w:spacing w:val="-12"/>
                <w:sz w:val="18"/>
              </w:rPr>
              <w:t> </w:t>
            </w:r>
            <w:r>
              <w:rPr>
                <w:sz w:val="18"/>
              </w:rPr>
              <w:t>servicios,</w:t>
            </w:r>
            <w:r>
              <w:rPr>
                <w:spacing w:val="-6"/>
                <w:sz w:val="18"/>
              </w:rPr>
              <w:t> </w:t>
            </w:r>
            <w:r>
              <w:rPr>
                <w:sz w:val="18"/>
              </w:rPr>
              <w:t>en</w:t>
            </w:r>
            <w:r>
              <w:rPr>
                <w:spacing w:val="-9"/>
                <w:sz w:val="18"/>
              </w:rPr>
              <w:t> </w:t>
            </w:r>
            <w:r>
              <w:rPr>
                <w:sz w:val="18"/>
              </w:rPr>
              <w:t>la etapa</w:t>
            </w:r>
            <w:r>
              <w:rPr>
                <w:spacing w:val="-8"/>
                <w:sz w:val="18"/>
              </w:rPr>
              <w:t> </w:t>
            </w:r>
            <w:r>
              <w:rPr>
                <w:sz w:val="18"/>
              </w:rPr>
              <w:t>de</w:t>
            </w:r>
            <w:r>
              <w:rPr>
                <w:spacing w:val="-8"/>
                <w:sz w:val="18"/>
              </w:rPr>
              <w:t> </w:t>
            </w:r>
            <w:r>
              <w:rPr>
                <w:sz w:val="18"/>
              </w:rPr>
              <w:t>notificación</w:t>
            </w:r>
            <w:r>
              <w:rPr>
                <w:spacing w:val="-8"/>
                <w:sz w:val="18"/>
              </w:rPr>
              <w:t> </w:t>
            </w:r>
            <w:r>
              <w:rPr>
                <w:sz w:val="18"/>
              </w:rPr>
              <w:t>de contrato o declaratoria de infructuosidad o desierta, de las solicitudes que se presentaron en los plazos establecidos en el Programa de</w:t>
            </w:r>
          </w:p>
          <w:p>
            <w:pPr>
              <w:pStyle w:val="TableParagraph"/>
              <w:spacing w:line="187" w:lineRule="exact" w:before="2"/>
              <w:ind w:left="72"/>
              <w:rPr>
                <w:sz w:val="18"/>
              </w:rPr>
            </w:pPr>
            <w:r>
              <w:rPr>
                <w:spacing w:val="-2"/>
                <w:sz w:val="18"/>
              </w:rPr>
              <w:t>Adquisiciones.</w:t>
            </w:r>
          </w:p>
        </w:tc>
        <w:tc>
          <w:tcPr>
            <w:tcW w:w="1419"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ight="220"/>
              <w:rPr>
                <w:sz w:val="18"/>
              </w:rPr>
            </w:pPr>
            <w:r>
              <w:rPr>
                <w:sz w:val="18"/>
              </w:rPr>
              <w:t>Porcentaje</w:t>
            </w:r>
            <w:r>
              <w:rPr>
                <w:spacing w:val="-13"/>
                <w:sz w:val="18"/>
              </w:rPr>
              <w:t> </w:t>
            </w:r>
            <w:r>
              <w:rPr>
                <w:sz w:val="18"/>
              </w:rPr>
              <w:t>de solicitudes</w:t>
            </w:r>
            <w:r>
              <w:rPr>
                <w:spacing w:val="-13"/>
                <w:sz w:val="18"/>
              </w:rPr>
              <w:t> </w:t>
            </w:r>
            <w:r>
              <w:rPr>
                <w:sz w:val="18"/>
              </w:rPr>
              <w:t>de </w:t>
            </w:r>
            <w:r>
              <w:rPr>
                <w:spacing w:val="-2"/>
                <w:sz w:val="18"/>
              </w:rPr>
              <w:t>contratación </w:t>
            </w:r>
            <w:r>
              <w:rPr>
                <w:sz w:val="18"/>
              </w:rPr>
              <w:t>enviadas al </w:t>
            </w:r>
            <w:r>
              <w:rPr>
                <w:spacing w:val="-2"/>
                <w:sz w:val="18"/>
              </w:rPr>
              <w:t>distribuidor SICOP</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3"/>
              <w:jc w:val="right"/>
              <w:rPr>
                <w:sz w:val="18"/>
              </w:rPr>
            </w:pPr>
            <w:r>
              <w:rPr>
                <w:spacing w:val="-5"/>
                <w:sz w:val="18"/>
              </w:rPr>
              <w:t>95%</w:t>
            </w:r>
          </w:p>
        </w:tc>
        <w:tc>
          <w:tcPr>
            <w:tcW w:w="1278"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9"/>
              <w:jc w:val="right"/>
              <w:rPr>
                <w:sz w:val="18"/>
              </w:rPr>
            </w:pPr>
            <w:r>
              <w:rPr>
                <w:spacing w:val="-5"/>
                <w:sz w:val="18"/>
              </w:rPr>
              <w:t>0%</w:t>
            </w:r>
          </w:p>
        </w:tc>
        <w:tc>
          <w:tcPr>
            <w:tcW w:w="1417" w:type="dxa"/>
          </w:tcPr>
          <w:p>
            <w:pPr>
              <w:pStyle w:val="TableParagraph"/>
              <w:rPr>
                <w:rFonts w:ascii="Times New Roman"/>
                <w:sz w:val="18"/>
              </w:rPr>
            </w:pP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56"/>
              <w:jc w:val="right"/>
              <w:rPr>
                <w:sz w:val="18"/>
              </w:rPr>
            </w:pPr>
            <w:r>
              <w:rPr>
                <w:spacing w:val="-5"/>
                <w:sz w:val="18"/>
              </w:rPr>
              <w:t>0%</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right="60"/>
              <w:jc w:val="right"/>
              <w:rPr>
                <w:sz w:val="18"/>
              </w:rPr>
            </w:pPr>
            <w:r>
              <w:rPr>
                <w:spacing w:val="-5"/>
                <w:sz w:val="18"/>
              </w:rPr>
              <w:t>95%</w:t>
            </w:r>
          </w:p>
        </w:tc>
        <w:tc>
          <w:tcPr>
            <w:tcW w:w="1493" w:type="dxa"/>
          </w:tcPr>
          <w:p>
            <w:pPr>
              <w:pStyle w:val="TableParagraph"/>
              <w:rPr>
                <w:rFonts w:ascii="Times New Roman"/>
                <w:sz w:val="18"/>
              </w:rPr>
            </w:pPr>
          </w:p>
        </w:tc>
      </w:tr>
      <w:tr>
        <w:trPr>
          <w:trHeight w:val="1243" w:hRule="atLeast"/>
        </w:trPr>
        <w:tc>
          <w:tcPr>
            <w:tcW w:w="2123" w:type="dxa"/>
          </w:tcPr>
          <w:p>
            <w:pPr>
              <w:pStyle w:val="TableParagraph"/>
              <w:ind w:left="72" w:right="142"/>
              <w:rPr>
                <w:sz w:val="18"/>
              </w:rPr>
            </w:pPr>
            <w:r>
              <w:rPr>
                <w:b/>
                <w:sz w:val="18"/>
              </w:rPr>
              <w:t>Actividad PAC 2.42.3: </w:t>
            </w:r>
            <w:r>
              <w:rPr>
                <w:sz w:val="18"/>
              </w:rPr>
              <w:t>Dar seguimiento a la ejecución</w:t>
            </w:r>
            <w:r>
              <w:rPr>
                <w:spacing w:val="-15"/>
                <w:sz w:val="18"/>
              </w:rPr>
              <w:t> </w:t>
            </w:r>
            <w:r>
              <w:rPr>
                <w:sz w:val="18"/>
              </w:rPr>
              <w:t>del</w:t>
            </w:r>
            <w:r>
              <w:rPr>
                <w:spacing w:val="-12"/>
                <w:sz w:val="18"/>
              </w:rPr>
              <w:t> </w:t>
            </w:r>
            <w:r>
              <w:rPr>
                <w:sz w:val="18"/>
              </w:rPr>
              <w:t>Programa de Adquisiciones, bajo el análisis de valor</w:t>
            </w:r>
          </w:p>
          <w:p>
            <w:pPr>
              <w:pStyle w:val="TableParagraph"/>
              <w:spacing w:line="187" w:lineRule="exact" w:before="1"/>
              <w:ind w:left="72"/>
              <w:rPr>
                <w:sz w:val="18"/>
              </w:rPr>
            </w:pPr>
            <w:r>
              <w:rPr>
                <w:spacing w:val="-2"/>
                <w:sz w:val="18"/>
              </w:rPr>
              <w:t>público</w:t>
            </w:r>
          </w:p>
        </w:tc>
        <w:tc>
          <w:tcPr>
            <w:tcW w:w="1419" w:type="dxa"/>
          </w:tcPr>
          <w:p>
            <w:pPr>
              <w:pStyle w:val="TableParagraph"/>
              <w:spacing w:before="104"/>
              <w:ind w:left="71" w:right="100"/>
              <w:rPr>
                <w:sz w:val="18"/>
              </w:rPr>
            </w:pPr>
            <w:r>
              <w:rPr>
                <w:sz w:val="18"/>
              </w:rPr>
              <w:t>Cantidad de </w:t>
            </w:r>
            <w:r>
              <w:rPr>
                <w:spacing w:val="-2"/>
                <w:sz w:val="18"/>
              </w:rPr>
              <w:t>reuniones </w:t>
            </w:r>
            <w:r>
              <w:rPr>
                <w:sz w:val="18"/>
              </w:rPr>
              <w:t>realizadas</w:t>
            </w:r>
            <w:r>
              <w:rPr>
                <w:spacing w:val="-13"/>
                <w:sz w:val="18"/>
              </w:rPr>
              <w:t> </w:t>
            </w:r>
            <w:r>
              <w:rPr>
                <w:sz w:val="18"/>
              </w:rPr>
              <w:t>para el seguimiento del PAA</w:t>
            </w:r>
          </w:p>
        </w:tc>
        <w:tc>
          <w:tcPr>
            <w:tcW w:w="1275" w:type="dxa"/>
          </w:tcPr>
          <w:p>
            <w:pPr>
              <w:pStyle w:val="TableParagraph"/>
              <w:rPr>
                <w:b/>
                <w:sz w:val="18"/>
              </w:rPr>
            </w:pPr>
          </w:p>
          <w:p>
            <w:pPr>
              <w:pStyle w:val="TableParagraph"/>
              <w:spacing w:before="103"/>
              <w:rPr>
                <w:b/>
                <w:sz w:val="18"/>
              </w:rPr>
            </w:pPr>
          </w:p>
          <w:p>
            <w:pPr>
              <w:pStyle w:val="TableParagraph"/>
              <w:ind w:right="55"/>
              <w:jc w:val="right"/>
              <w:rPr>
                <w:sz w:val="18"/>
              </w:rPr>
            </w:pPr>
            <w:r>
              <w:rPr>
                <w:spacing w:val="-10"/>
                <w:sz w:val="18"/>
              </w:rPr>
              <w:t>2</w:t>
            </w:r>
          </w:p>
        </w:tc>
        <w:tc>
          <w:tcPr>
            <w:tcW w:w="1278" w:type="dxa"/>
          </w:tcPr>
          <w:p>
            <w:pPr>
              <w:pStyle w:val="TableParagraph"/>
              <w:rPr>
                <w:rFonts w:ascii="Times New Roman"/>
                <w:sz w:val="18"/>
              </w:rPr>
            </w:pPr>
          </w:p>
        </w:tc>
        <w:tc>
          <w:tcPr>
            <w:tcW w:w="1417" w:type="dxa"/>
          </w:tcPr>
          <w:p>
            <w:pPr>
              <w:pStyle w:val="TableParagraph"/>
              <w:rPr>
                <w:b/>
                <w:sz w:val="18"/>
              </w:rPr>
            </w:pPr>
          </w:p>
          <w:p>
            <w:pPr>
              <w:pStyle w:val="TableParagraph"/>
              <w:spacing w:before="103"/>
              <w:rPr>
                <w:b/>
                <w:sz w:val="18"/>
              </w:rPr>
            </w:pPr>
          </w:p>
          <w:p>
            <w:pPr>
              <w:pStyle w:val="TableParagraph"/>
              <w:ind w:right="61"/>
              <w:jc w:val="right"/>
              <w:rPr>
                <w:sz w:val="18"/>
              </w:rPr>
            </w:pPr>
            <w:r>
              <w:rPr>
                <w:spacing w:val="-10"/>
                <w:sz w:val="18"/>
              </w:rPr>
              <w:t>5</w:t>
            </w:r>
          </w:p>
        </w:tc>
        <w:tc>
          <w:tcPr>
            <w:tcW w:w="1417" w:type="dxa"/>
          </w:tcPr>
          <w:p>
            <w:pPr>
              <w:pStyle w:val="TableParagraph"/>
              <w:rPr>
                <w:rFonts w:ascii="Times New Roman"/>
                <w:sz w:val="18"/>
              </w:rPr>
            </w:pPr>
          </w:p>
        </w:tc>
        <w:tc>
          <w:tcPr>
            <w:tcW w:w="1278" w:type="dxa"/>
          </w:tcPr>
          <w:p>
            <w:pPr>
              <w:pStyle w:val="TableParagraph"/>
              <w:rPr>
                <w:b/>
                <w:sz w:val="18"/>
              </w:rPr>
            </w:pPr>
          </w:p>
          <w:p>
            <w:pPr>
              <w:pStyle w:val="TableParagraph"/>
              <w:spacing w:before="103"/>
              <w:rPr>
                <w:b/>
                <w:sz w:val="18"/>
              </w:rPr>
            </w:pPr>
          </w:p>
          <w:p>
            <w:pPr>
              <w:pStyle w:val="TableParagraph"/>
              <w:ind w:right="58"/>
              <w:jc w:val="right"/>
              <w:rPr>
                <w:sz w:val="18"/>
              </w:rPr>
            </w:pPr>
            <w:r>
              <w:rPr>
                <w:spacing w:val="-10"/>
                <w:sz w:val="18"/>
              </w:rPr>
              <w:t>8</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spacing w:before="103"/>
              <w:rPr>
                <w:b/>
                <w:sz w:val="18"/>
              </w:rPr>
            </w:pPr>
          </w:p>
          <w:p>
            <w:pPr>
              <w:pStyle w:val="TableParagraph"/>
              <w:ind w:right="63"/>
              <w:jc w:val="right"/>
              <w:rPr>
                <w:sz w:val="18"/>
              </w:rPr>
            </w:pPr>
            <w:r>
              <w:rPr>
                <w:spacing w:val="-5"/>
                <w:sz w:val="18"/>
              </w:rPr>
              <w:t>10</w:t>
            </w:r>
          </w:p>
        </w:tc>
        <w:tc>
          <w:tcPr>
            <w:tcW w:w="1493"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700" w:bottom="232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637"/>
        <w:gridCol w:w="1417"/>
        <w:gridCol w:w="1277"/>
        <w:gridCol w:w="1278"/>
        <w:gridCol w:w="1417"/>
        <w:gridCol w:w="1417"/>
        <w:gridCol w:w="1278"/>
        <w:gridCol w:w="1277"/>
        <w:gridCol w:w="1277"/>
        <w:gridCol w:w="1493"/>
      </w:tblGrid>
      <w:tr>
        <w:trPr>
          <w:trHeight w:val="369" w:hRule="atLeast"/>
        </w:trPr>
        <w:tc>
          <w:tcPr>
            <w:tcW w:w="2123" w:type="dxa"/>
            <w:gridSpan w:val="2"/>
            <w:vMerge w:val="restart"/>
            <w:shd w:val="clear" w:color="auto" w:fill="F1F1F1"/>
          </w:tcPr>
          <w:p>
            <w:pPr>
              <w:pStyle w:val="TableParagraph"/>
              <w:spacing w:before="147"/>
              <w:rPr>
                <w:b/>
                <w:sz w:val="18"/>
              </w:rPr>
            </w:pPr>
          </w:p>
          <w:p>
            <w:pPr>
              <w:pStyle w:val="TableParagraph"/>
              <w:ind w:left="72"/>
              <w:rPr>
                <w:b/>
                <w:sz w:val="18"/>
              </w:rPr>
            </w:pPr>
            <w:r>
              <w:rPr>
                <w:b/>
                <w:sz w:val="18"/>
              </w:rPr>
              <w:t>Objetivos</w:t>
            </w:r>
            <w:r>
              <w:rPr>
                <w:b/>
                <w:spacing w:val="-5"/>
                <w:sz w:val="18"/>
              </w:rPr>
              <w:t> </w:t>
            </w:r>
            <w:r>
              <w:rPr>
                <w:b/>
                <w:sz w:val="18"/>
              </w:rPr>
              <w:t>/</w:t>
            </w:r>
            <w:r>
              <w:rPr>
                <w:b/>
                <w:spacing w:val="-2"/>
                <w:sz w:val="18"/>
              </w:rPr>
              <w:t> Resultados</w:t>
            </w:r>
          </w:p>
        </w:tc>
        <w:tc>
          <w:tcPr>
            <w:tcW w:w="1417" w:type="dxa"/>
            <w:vMerge w:val="restart"/>
            <w:shd w:val="clear" w:color="auto" w:fill="F1F1F1"/>
          </w:tcPr>
          <w:p>
            <w:pPr>
              <w:pStyle w:val="TableParagraph"/>
              <w:spacing w:before="147"/>
              <w:rPr>
                <w:b/>
                <w:sz w:val="18"/>
              </w:rPr>
            </w:pPr>
          </w:p>
          <w:p>
            <w:pPr>
              <w:pStyle w:val="TableParagraph"/>
              <w:ind w:left="71"/>
              <w:rPr>
                <w:b/>
                <w:sz w:val="18"/>
              </w:rPr>
            </w:pPr>
            <w:r>
              <w:rPr>
                <w:b/>
                <w:spacing w:val="-2"/>
                <w:sz w:val="18"/>
              </w:rPr>
              <w:t>Indicador</w:t>
            </w:r>
          </w:p>
        </w:tc>
        <w:tc>
          <w:tcPr>
            <w:tcW w:w="2555" w:type="dxa"/>
            <w:gridSpan w:val="2"/>
            <w:shd w:val="clear" w:color="auto" w:fill="F1F1F1"/>
          </w:tcPr>
          <w:p>
            <w:pPr>
              <w:pStyle w:val="TableParagraph"/>
              <w:spacing w:before="80"/>
              <w:ind w:left="814"/>
              <w:rPr>
                <w:b/>
                <w:sz w:val="18"/>
              </w:rPr>
            </w:pPr>
            <w:r>
              <w:rPr>
                <w:b/>
                <w:sz w:val="18"/>
              </w:rPr>
              <w:t>I</w:t>
            </w:r>
            <w:r>
              <w:rPr>
                <w:b/>
                <w:spacing w:val="-1"/>
                <w:sz w:val="18"/>
              </w:rPr>
              <w:t> </w:t>
            </w:r>
            <w:r>
              <w:rPr>
                <w:b/>
                <w:spacing w:val="-2"/>
                <w:sz w:val="18"/>
              </w:rPr>
              <w:t>Trimestre</w:t>
            </w:r>
          </w:p>
        </w:tc>
        <w:tc>
          <w:tcPr>
            <w:tcW w:w="2834" w:type="dxa"/>
            <w:gridSpan w:val="2"/>
            <w:shd w:val="clear" w:color="auto" w:fill="F1F1F1"/>
          </w:tcPr>
          <w:p>
            <w:pPr>
              <w:pStyle w:val="TableParagraph"/>
              <w:spacing w:before="80"/>
              <w:ind w:left="924"/>
              <w:rPr>
                <w:b/>
                <w:sz w:val="18"/>
              </w:rPr>
            </w:pPr>
            <w:r>
              <w:rPr>
                <w:b/>
                <w:sz w:val="18"/>
              </w:rPr>
              <w:t>II</w:t>
            </w:r>
            <w:r>
              <w:rPr>
                <w:b/>
                <w:spacing w:val="-3"/>
                <w:sz w:val="18"/>
              </w:rPr>
              <w:t> </w:t>
            </w:r>
            <w:r>
              <w:rPr>
                <w:b/>
                <w:spacing w:val="-2"/>
                <w:sz w:val="18"/>
              </w:rPr>
              <w:t>Trimestre</w:t>
            </w:r>
          </w:p>
        </w:tc>
        <w:tc>
          <w:tcPr>
            <w:tcW w:w="2555" w:type="dxa"/>
            <w:gridSpan w:val="2"/>
            <w:shd w:val="clear" w:color="auto" w:fill="F1F1F1"/>
          </w:tcPr>
          <w:p>
            <w:pPr>
              <w:pStyle w:val="TableParagraph"/>
              <w:spacing w:before="80"/>
              <w:ind w:left="764"/>
              <w:rPr>
                <w:b/>
                <w:sz w:val="18"/>
              </w:rPr>
            </w:pPr>
            <w:r>
              <w:rPr>
                <w:b/>
                <w:sz w:val="18"/>
              </w:rPr>
              <w:t>III</w:t>
            </w:r>
            <w:r>
              <w:rPr>
                <w:b/>
                <w:spacing w:val="-2"/>
                <w:sz w:val="18"/>
              </w:rPr>
              <w:t> Trimestre</w:t>
            </w:r>
          </w:p>
        </w:tc>
        <w:tc>
          <w:tcPr>
            <w:tcW w:w="2770" w:type="dxa"/>
            <w:gridSpan w:val="2"/>
            <w:shd w:val="clear" w:color="auto" w:fill="F1F1F1"/>
          </w:tcPr>
          <w:p>
            <w:pPr>
              <w:pStyle w:val="TableParagraph"/>
              <w:spacing w:before="80"/>
              <w:ind w:left="855"/>
              <w:rPr>
                <w:b/>
                <w:sz w:val="18"/>
              </w:rPr>
            </w:pPr>
            <w:r>
              <w:rPr>
                <w:b/>
                <w:sz w:val="18"/>
              </w:rPr>
              <w:t>IV</w:t>
            </w:r>
            <w:r>
              <w:rPr>
                <w:b/>
                <w:spacing w:val="-2"/>
                <w:sz w:val="18"/>
              </w:rPr>
              <w:t> Trimestre</w:t>
            </w:r>
          </w:p>
        </w:tc>
      </w:tr>
      <w:tr>
        <w:trPr>
          <w:trHeight w:val="541" w:hRule="atLeast"/>
        </w:trPr>
        <w:tc>
          <w:tcPr>
            <w:tcW w:w="2123" w:type="dxa"/>
            <w:gridSpan w:val="2"/>
            <w:vMerge/>
            <w:tcBorders>
              <w:top w:val="nil"/>
            </w:tcBorders>
            <w:shd w:val="clear" w:color="auto" w:fill="F1F1F1"/>
          </w:tcPr>
          <w:p>
            <w:pPr>
              <w:rPr>
                <w:sz w:val="2"/>
                <w:szCs w:val="2"/>
              </w:rPr>
            </w:pPr>
          </w:p>
        </w:tc>
        <w:tc>
          <w:tcPr>
            <w:tcW w:w="1417" w:type="dxa"/>
            <w:vMerge/>
            <w:tcBorders>
              <w:top w:val="nil"/>
            </w:tcBorders>
            <w:shd w:val="clear" w:color="auto" w:fill="F1F1F1"/>
          </w:tcPr>
          <w:p>
            <w:pPr>
              <w:rPr>
                <w:sz w:val="2"/>
                <w:szCs w:val="2"/>
              </w:rPr>
            </w:pPr>
          </w:p>
        </w:tc>
        <w:tc>
          <w:tcPr>
            <w:tcW w:w="1277" w:type="dxa"/>
            <w:shd w:val="clear" w:color="auto" w:fill="F1F1F1"/>
          </w:tcPr>
          <w:p>
            <w:pPr>
              <w:pStyle w:val="TableParagraph"/>
              <w:spacing w:line="244" w:lineRule="auto" w:before="61"/>
              <w:ind w:left="118" w:firstLine="312"/>
              <w:rPr>
                <w:b/>
                <w:sz w:val="18"/>
              </w:rPr>
            </w:pPr>
            <w:r>
              <w:rPr>
                <w:b/>
                <w:spacing w:val="-4"/>
                <w:sz w:val="18"/>
              </w:rPr>
              <w:t>Meta </w:t>
            </w:r>
            <w:r>
              <w:rPr>
                <w:b/>
                <w:spacing w:val="-2"/>
                <w:sz w:val="18"/>
              </w:rPr>
              <w:t>programada</w:t>
            </w:r>
          </w:p>
        </w:tc>
        <w:tc>
          <w:tcPr>
            <w:tcW w:w="1278" w:type="dxa"/>
            <w:shd w:val="clear" w:color="auto" w:fill="F1F1F1"/>
          </w:tcPr>
          <w:p>
            <w:pPr>
              <w:pStyle w:val="TableParagraph"/>
              <w:spacing w:before="167"/>
              <w:ind w:left="21" w:right="9"/>
              <w:jc w:val="center"/>
              <w:rPr>
                <w:b/>
                <w:sz w:val="18"/>
              </w:rPr>
            </w:pPr>
            <w:r>
              <w:rPr>
                <w:b/>
                <w:spacing w:val="-10"/>
                <w:sz w:val="18"/>
              </w:rPr>
              <w:t>¢</w:t>
            </w:r>
          </w:p>
        </w:tc>
        <w:tc>
          <w:tcPr>
            <w:tcW w:w="1417" w:type="dxa"/>
            <w:shd w:val="clear" w:color="auto" w:fill="F1F1F1"/>
          </w:tcPr>
          <w:p>
            <w:pPr>
              <w:pStyle w:val="TableParagraph"/>
              <w:spacing w:line="244" w:lineRule="auto" w:before="61"/>
              <w:ind w:left="180" w:firstLine="316"/>
              <w:rPr>
                <w:b/>
                <w:sz w:val="18"/>
              </w:rPr>
            </w:pPr>
            <w:r>
              <w:rPr>
                <w:b/>
                <w:spacing w:val="-4"/>
                <w:sz w:val="18"/>
              </w:rPr>
              <w:t>Meta </w:t>
            </w:r>
            <w:r>
              <w:rPr>
                <w:b/>
                <w:spacing w:val="-2"/>
                <w:sz w:val="18"/>
              </w:rPr>
              <w:t>programada</w:t>
            </w:r>
          </w:p>
        </w:tc>
        <w:tc>
          <w:tcPr>
            <w:tcW w:w="1417" w:type="dxa"/>
            <w:shd w:val="clear" w:color="auto" w:fill="F1F1F1"/>
          </w:tcPr>
          <w:p>
            <w:pPr>
              <w:pStyle w:val="TableParagraph"/>
              <w:spacing w:before="167"/>
              <w:ind w:left="9" w:right="5"/>
              <w:jc w:val="center"/>
              <w:rPr>
                <w:b/>
                <w:sz w:val="18"/>
              </w:rPr>
            </w:pPr>
            <w:r>
              <w:rPr>
                <w:b/>
                <w:spacing w:val="-10"/>
                <w:sz w:val="18"/>
              </w:rPr>
              <w:t>¢</w:t>
            </w:r>
          </w:p>
        </w:tc>
        <w:tc>
          <w:tcPr>
            <w:tcW w:w="1278" w:type="dxa"/>
            <w:shd w:val="clear" w:color="auto" w:fill="F1F1F1"/>
          </w:tcPr>
          <w:p>
            <w:pPr>
              <w:pStyle w:val="TableParagraph"/>
              <w:spacing w:line="244" w:lineRule="auto" w:before="61"/>
              <w:ind w:left="116" w:firstLine="312"/>
              <w:rPr>
                <w:b/>
                <w:sz w:val="18"/>
              </w:rPr>
            </w:pPr>
            <w:r>
              <w:rPr>
                <w:b/>
                <w:spacing w:val="-4"/>
                <w:sz w:val="18"/>
              </w:rPr>
              <w:t>Meta </w:t>
            </w:r>
            <w:r>
              <w:rPr>
                <w:b/>
                <w:spacing w:val="-2"/>
                <w:sz w:val="18"/>
              </w:rPr>
              <w:t>programada</w:t>
            </w:r>
          </w:p>
        </w:tc>
        <w:tc>
          <w:tcPr>
            <w:tcW w:w="1277" w:type="dxa"/>
            <w:shd w:val="clear" w:color="auto" w:fill="F1F1F1"/>
          </w:tcPr>
          <w:p>
            <w:pPr>
              <w:pStyle w:val="TableParagraph"/>
              <w:spacing w:before="167"/>
              <w:ind w:left="16" w:right="9"/>
              <w:jc w:val="center"/>
              <w:rPr>
                <w:b/>
                <w:sz w:val="18"/>
              </w:rPr>
            </w:pPr>
            <w:r>
              <w:rPr>
                <w:b/>
                <w:spacing w:val="-10"/>
                <w:sz w:val="18"/>
              </w:rPr>
              <w:t>¢</w:t>
            </w:r>
          </w:p>
        </w:tc>
        <w:tc>
          <w:tcPr>
            <w:tcW w:w="1277" w:type="dxa"/>
            <w:shd w:val="clear" w:color="auto" w:fill="F1F1F1"/>
          </w:tcPr>
          <w:p>
            <w:pPr>
              <w:pStyle w:val="TableParagraph"/>
              <w:spacing w:line="244" w:lineRule="auto" w:before="61"/>
              <w:ind w:left="111" w:firstLine="312"/>
              <w:rPr>
                <w:b/>
                <w:sz w:val="18"/>
              </w:rPr>
            </w:pPr>
            <w:r>
              <w:rPr>
                <w:b/>
                <w:spacing w:val="-4"/>
                <w:sz w:val="18"/>
              </w:rPr>
              <w:t>Meta </w:t>
            </w:r>
            <w:r>
              <w:rPr>
                <w:b/>
                <w:spacing w:val="-2"/>
                <w:sz w:val="18"/>
              </w:rPr>
              <w:t>programada</w:t>
            </w:r>
          </w:p>
        </w:tc>
        <w:tc>
          <w:tcPr>
            <w:tcW w:w="1493" w:type="dxa"/>
            <w:shd w:val="clear" w:color="auto" w:fill="F1F1F1"/>
          </w:tcPr>
          <w:p>
            <w:pPr>
              <w:pStyle w:val="TableParagraph"/>
              <w:spacing w:before="167"/>
              <w:ind w:right="4"/>
              <w:jc w:val="center"/>
              <w:rPr>
                <w:b/>
                <w:sz w:val="18"/>
              </w:rPr>
            </w:pPr>
            <w:r>
              <w:rPr>
                <w:b/>
                <w:spacing w:val="-10"/>
                <w:sz w:val="18"/>
              </w:rPr>
              <w:t>¢</w:t>
            </w:r>
          </w:p>
        </w:tc>
      </w:tr>
      <w:tr>
        <w:trPr>
          <w:trHeight w:val="2069" w:hRule="atLeast"/>
        </w:trPr>
        <w:tc>
          <w:tcPr>
            <w:tcW w:w="2123" w:type="dxa"/>
            <w:gridSpan w:val="2"/>
          </w:tcPr>
          <w:p>
            <w:pPr>
              <w:pStyle w:val="TableParagraph"/>
              <w:ind w:left="72" w:right="82"/>
              <w:rPr>
                <w:sz w:val="18"/>
              </w:rPr>
            </w:pPr>
            <w:r>
              <w:rPr>
                <w:b/>
                <w:sz w:val="18"/>
              </w:rPr>
              <w:t>Actividad</w:t>
            </w:r>
            <w:r>
              <w:rPr>
                <w:b/>
                <w:spacing w:val="-15"/>
                <w:sz w:val="18"/>
              </w:rPr>
              <w:t> </w:t>
            </w:r>
            <w:r>
              <w:rPr>
                <w:b/>
                <w:sz w:val="18"/>
              </w:rPr>
              <w:t>PAC</w:t>
            </w:r>
            <w:r>
              <w:rPr>
                <w:b/>
                <w:spacing w:val="-12"/>
                <w:sz w:val="18"/>
              </w:rPr>
              <w:t> </w:t>
            </w:r>
            <w:r>
              <w:rPr>
                <w:b/>
                <w:sz w:val="18"/>
              </w:rPr>
              <w:t>2.42.4: </w:t>
            </w:r>
            <w:r>
              <w:rPr>
                <w:sz w:val="18"/>
              </w:rPr>
              <w:t>Realizar en</w:t>
            </w:r>
            <w:r>
              <w:rPr>
                <w:spacing w:val="-6"/>
                <w:sz w:val="18"/>
              </w:rPr>
              <w:t> </w:t>
            </w:r>
            <w:r>
              <w:rPr>
                <w:sz w:val="18"/>
              </w:rPr>
              <w:t>forma</w:t>
            </w:r>
            <w:r>
              <w:rPr>
                <w:spacing w:val="-1"/>
                <w:sz w:val="18"/>
              </w:rPr>
              <w:t> </w:t>
            </w:r>
            <w:r>
              <w:rPr>
                <w:sz w:val="18"/>
              </w:rPr>
              <w:t>total las tomas físicas de activos fijos en coordinación con las </w:t>
            </w:r>
            <w:r>
              <w:rPr>
                <w:spacing w:val="-2"/>
                <w:sz w:val="18"/>
              </w:rPr>
              <w:t>dependencias </w:t>
            </w:r>
            <w:r>
              <w:rPr>
                <w:sz w:val="18"/>
              </w:rPr>
              <w:t>administrativas, de conformidad con la </w:t>
            </w:r>
            <w:r>
              <w:rPr>
                <w:spacing w:val="-2"/>
                <w:sz w:val="18"/>
              </w:rPr>
              <w:t>programación</w:t>
            </w:r>
          </w:p>
          <w:p>
            <w:pPr>
              <w:pStyle w:val="TableParagraph"/>
              <w:spacing w:line="187" w:lineRule="exact"/>
              <w:ind w:left="72"/>
              <w:rPr>
                <w:sz w:val="18"/>
              </w:rPr>
            </w:pPr>
            <w:r>
              <w:rPr>
                <w:spacing w:val="-2"/>
                <w:sz w:val="18"/>
              </w:rPr>
              <w:t>establecida.</w:t>
            </w:r>
          </w:p>
        </w:tc>
        <w:tc>
          <w:tcPr>
            <w:tcW w:w="1417" w:type="dxa"/>
          </w:tcPr>
          <w:p>
            <w:pPr>
              <w:pStyle w:val="TableParagraph"/>
              <w:rPr>
                <w:b/>
                <w:sz w:val="18"/>
              </w:rPr>
            </w:pPr>
          </w:p>
          <w:p>
            <w:pPr>
              <w:pStyle w:val="TableParagraph"/>
              <w:spacing w:before="104"/>
              <w:rPr>
                <w:b/>
                <w:sz w:val="18"/>
              </w:rPr>
            </w:pPr>
          </w:p>
          <w:p>
            <w:pPr>
              <w:pStyle w:val="TableParagraph"/>
              <w:ind w:left="71" w:right="11"/>
              <w:rPr>
                <w:sz w:val="18"/>
              </w:rPr>
            </w:pPr>
            <w:r>
              <w:rPr>
                <w:sz w:val="18"/>
              </w:rPr>
              <w:t>Porcentaje de </w:t>
            </w:r>
            <w:r>
              <w:rPr>
                <w:spacing w:val="-2"/>
                <w:sz w:val="18"/>
              </w:rPr>
              <w:t>informes </w:t>
            </w:r>
            <w:r>
              <w:rPr>
                <w:sz w:val="18"/>
              </w:rPr>
              <w:t>emitidos como resultado</w:t>
            </w:r>
            <w:r>
              <w:rPr>
                <w:spacing w:val="-15"/>
                <w:sz w:val="18"/>
              </w:rPr>
              <w:t> </w:t>
            </w:r>
            <w:r>
              <w:rPr>
                <w:sz w:val="18"/>
              </w:rPr>
              <w:t>de</w:t>
            </w:r>
            <w:r>
              <w:rPr>
                <w:spacing w:val="-12"/>
                <w:sz w:val="18"/>
              </w:rPr>
              <w:t> </w:t>
            </w:r>
            <w:r>
              <w:rPr>
                <w:sz w:val="18"/>
              </w:rPr>
              <w:t>las tomas físicas</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3"/>
              <w:jc w:val="right"/>
              <w:rPr>
                <w:sz w:val="18"/>
              </w:rPr>
            </w:pPr>
            <w:r>
              <w:rPr>
                <w:spacing w:val="-5"/>
                <w:sz w:val="18"/>
              </w:rPr>
              <w:t>0%</w:t>
            </w:r>
          </w:p>
        </w:tc>
        <w:tc>
          <w:tcPr>
            <w:tcW w:w="1278"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9"/>
              <w:jc w:val="right"/>
              <w:rPr>
                <w:sz w:val="18"/>
              </w:rPr>
            </w:pPr>
            <w:r>
              <w:rPr>
                <w:spacing w:val="-4"/>
                <w:sz w:val="18"/>
              </w:rPr>
              <w:t>100%</w:t>
            </w:r>
          </w:p>
        </w:tc>
        <w:tc>
          <w:tcPr>
            <w:tcW w:w="1417" w:type="dxa"/>
          </w:tcPr>
          <w:p>
            <w:pPr>
              <w:pStyle w:val="TableParagraph"/>
              <w:rPr>
                <w:rFonts w:ascii="Times New Roman"/>
                <w:sz w:val="18"/>
              </w:rPr>
            </w:pP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6"/>
              <w:jc w:val="right"/>
              <w:rPr>
                <w:sz w:val="18"/>
              </w:rPr>
            </w:pPr>
            <w:r>
              <w:rPr>
                <w:spacing w:val="-4"/>
                <w:sz w:val="18"/>
              </w:rPr>
              <w:t>100%</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60"/>
              <w:jc w:val="right"/>
              <w:rPr>
                <w:sz w:val="18"/>
              </w:rPr>
            </w:pPr>
            <w:r>
              <w:rPr>
                <w:spacing w:val="-4"/>
                <w:sz w:val="18"/>
              </w:rPr>
              <w:t>100%</w:t>
            </w:r>
          </w:p>
        </w:tc>
        <w:tc>
          <w:tcPr>
            <w:tcW w:w="1493" w:type="dxa"/>
          </w:tcPr>
          <w:p>
            <w:pPr>
              <w:pStyle w:val="TableParagraph"/>
              <w:rPr>
                <w:rFonts w:ascii="Times New Roman"/>
                <w:sz w:val="18"/>
              </w:rPr>
            </w:pPr>
          </w:p>
        </w:tc>
      </w:tr>
      <w:tr>
        <w:trPr>
          <w:trHeight w:val="1863" w:hRule="atLeast"/>
        </w:trPr>
        <w:tc>
          <w:tcPr>
            <w:tcW w:w="2123" w:type="dxa"/>
            <w:gridSpan w:val="2"/>
          </w:tcPr>
          <w:p>
            <w:pPr>
              <w:pStyle w:val="TableParagraph"/>
              <w:ind w:left="72" w:right="66"/>
              <w:rPr>
                <w:sz w:val="18"/>
              </w:rPr>
            </w:pPr>
            <w:r>
              <w:rPr>
                <w:b/>
                <w:sz w:val="18"/>
              </w:rPr>
              <w:t>Actividad PAC 2.42.5: </w:t>
            </w:r>
            <w:r>
              <w:rPr>
                <w:sz w:val="18"/>
              </w:rPr>
              <w:t>Salvaguardar recursos institucionales</w:t>
            </w:r>
            <w:r>
              <w:rPr>
                <w:spacing w:val="-15"/>
                <w:sz w:val="18"/>
              </w:rPr>
              <w:t> </w:t>
            </w:r>
            <w:r>
              <w:rPr>
                <w:sz w:val="18"/>
              </w:rPr>
              <w:t>por</w:t>
            </w:r>
            <w:r>
              <w:rPr>
                <w:spacing w:val="-12"/>
                <w:sz w:val="18"/>
              </w:rPr>
              <w:t> </w:t>
            </w:r>
            <w:r>
              <w:rPr>
                <w:sz w:val="18"/>
              </w:rPr>
              <w:t>medio de la gestión del</w:t>
            </w:r>
            <w:r>
              <w:rPr>
                <w:spacing w:val="40"/>
                <w:sz w:val="18"/>
              </w:rPr>
              <w:t> </w:t>
            </w:r>
            <w:r>
              <w:rPr>
                <w:sz w:val="18"/>
              </w:rPr>
              <w:t>proceso de aseguramiento del recurso</w:t>
            </w:r>
            <w:r>
              <w:rPr>
                <w:spacing w:val="-8"/>
                <w:sz w:val="18"/>
              </w:rPr>
              <w:t> </w:t>
            </w:r>
            <w:r>
              <w:rPr>
                <w:sz w:val="18"/>
              </w:rPr>
              <w:t>humano</w:t>
            </w:r>
            <w:r>
              <w:rPr>
                <w:spacing w:val="-8"/>
                <w:sz w:val="18"/>
              </w:rPr>
              <w:t> </w:t>
            </w:r>
            <w:r>
              <w:rPr>
                <w:sz w:val="18"/>
              </w:rPr>
              <w:t>y</w:t>
            </w:r>
            <w:r>
              <w:rPr>
                <w:spacing w:val="-8"/>
                <w:sz w:val="18"/>
              </w:rPr>
              <w:t> </w:t>
            </w:r>
            <w:r>
              <w:rPr>
                <w:sz w:val="18"/>
              </w:rPr>
              <w:t>de</w:t>
            </w:r>
            <w:r>
              <w:rPr>
                <w:spacing w:val="-4"/>
                <w:sz w:val="18"/>
              </w:rPr>
              <w:t> </w:t>
            </w:r>
            <w:r>
              <w:rPr>
                <w:sz w:val="18"/>
              </w:rPr>
              <w:t>los activos fijos</w:t>
            </w:r>
          </w:p>
          <w:p>
            <w:pPr>
              <w:pStyle w:val="TableParagraph"/>
              <w:spacing w:line="187" w:lineRule="exact"/>
              <w:ind w:left="72"/>
              <w:rPr>
                <w:sz w:val="18"/>
              </w:rPr>
            </w:pPr>
            <w:r>
              <w:rPr>
                <w:spacing w:val="-2"/>
                <w:sz w:val="18"/>
              </w:rPr>
              <w:t>institucionales.</w:t>
            </w:r>
          </w:p>
        </w:tc>
        <w:tc>
          <w:tcPr>
            <w:tcW w:w="1417" w:type="dxa"/>
          </w:tcPr>
          <w:p>
            <w:pPr>
              <w:pStyle w:val="TableParagraph"/>
              <w:rPr>
                <w:b/>
                <w:sz w:val="18"/>
              </w:rPr>
            </w:pPr>
          </w:p>
          <w:p>
            <w:pPr>
              <w:pStyle w:val="TableParagraph"/>
              <w:spacing w:before="204"/>
              <w:rPr>
                <w:b/>
                <w:sz w:val="18"/>
              </w:rPr>
            </w:pPr>
          </w:p>
          <w:p>
            <w:pPr>
              <w:pStyle w:val="TableParagraph"/>
              <w:spacing w:line="242" w:lineRule="auto"/>
              <w:ind w:left="71" w:right="218"/>
              <w:rPr>
                <w:sz w:val="18"/>
              </w:rPr>
            </w:pPr>
            <w:r>
              <w:rPr>
                <w:sz w:val="18"/>
              </w:rPr>
              <w:t>Porcentaje</w:t>
            </w:r>
            <w:r>
              <w:rPr>
                <w:spacing w:val="-13"/>
                <w:sz w:val="18"/>
              </w:rPr>
              <w:t> </w:t>
            </w:r>
            <w:r>
              <w:rPr>
                <w:sz w:val="18"/>
              </w:rPr>
              <w:t>de </w:t>
            </w:r>
            <w:r>
              <w:rPr>
                <w:spacing w:val="-2"/>
                <w:sz w:val="18"/>
              </w:rPr>
              <w:t>activos asegurados</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3"/>
              <w:jc w:val="right"/>
              <w:rPr>
                <w:sz w:val="18"/>
              </w:rPr>
            </w:pPr>
            <w:r>
              <w:rPr>
                <w:spacing w:val="-4"/>
                <w:sz w:val="18"/>
              </w:rPr>
              <w:t>100%</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2" w:right="1"/>
              <w:jc w:val="center"/>
              <w:rPr>
                <w:sz w:val="18"/>
              </w:rPr>
            </w:pPr>
            <w:r>
              <w:rPr>
                <w:sz w:val="18"/>
              </w:rPr>
              <w:t>₡103</w:t>
            </w:r>
            <w:r>
              <w:rPr>
                <w:spacing w:val="1"/>
                <w:sz w:val="18"/>
              </w:rPr>
              <w:t> </w:t>
            </w:r>
            <w:r>
              <w:rPr>
                <w:sz w:val="18"/>
              </w:rPr>
              <w:t>346</w:t>
            </w:r>
            <w:r>
              <w:rPr>
                <w:spacing w:val="-3"/>
                <w:sz w:val="18"/>
              </w:rPr>
              <w:t> </w:t>
            </w:r>
            <w:r>
              <w:rPr>
                <w:spacing w:val="-5"/>
                <w:sz w:val="18"/>
              </w:rPr>
              <w:t>007</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9"/>
              <w:jc w:val="right"/>
              <w:rPr>
                <w:sz w:val="18"/>
              </w:rPr>
            </w:pPr>
            <w:r>
              <w:rPr>
                <w:spacing w:val="-4"/>
                <w:sz w:val="18"/>
              </w:rPr>
              <w:t>100%</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13"/>
              <w:rPr>
                <w:sz w:val="18"/>
              </w:rPr>
            </w:pPr>
            <w:r>
              <w:rPr>
                <w:sz w:val="18"/>
              </w:rPr>
              <w:t>₡117</w:t>
            </w:r>
            <w:r>
              <w:rPr>
                <w:spacing w:val="1"/>
                <w:sz w:val="18"/>
              </w:rPr>
              <w:t> </w:t>
            </w:r>
            <w:r>
              <w:rPr>
                <w:sz w:val="18"/>
              </w:rPr>
              <w:t>148</w:t>
            </w:r>
            <w:r>
              <w:rPr>
                <w:spacing w:val="-3"/>
                <w:sz w:val="18"/>
              </w:rPr>
              <w:t> </w:t>
            </w:r>
            <w:r>
              <w:rPr>
                <w:spacing w:val="-5"/>
                <w:sz w:val="18"/>
              </w:rPr>
              <w:t>994</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6"/>
              <w:jc w:val="right"/>
              <w:rPr>
                <w:sz w:val="18"/>
              </w:rPr>
            </w:pPr>
            <w:r>
              <w:rPr>
                <w:spacing w:val="-4"/>
                <w:sz w:val="18"/>
              </w:rPr>
              <w:t>100%</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16" w:right="9"/>
              <w:jc w:val="center"/>
              <w:rPr>
                <w:sz w:val="18"/>
              </w:rPr>
            </w:pPr>
            <w:r>
              <w:rPr>
                <w:sz w:val="18"/>
              </w:rPr>
              <w:t>₡220</w:t>
            </w:r>
            <w:r>
              <w:rPr>
                <w:spacing w:val="1"/>
                <w:sz w:val="18"/>
              </w:rPr>
              <w:t> </w:t>
            </w:r>
            <w:r>
              <w:rPr>
                <w:sz w:val="18"/>
              </w:rPr>
              <w:t>495</w:t>
            </w:r>
            <w:r>
              <w:rPr>
                <w:spacing w:val="-3"/>
                <w:sz w:val="18"/>
              </w:rPr>
              <w:t> </w:t>
            </w:r>
            <w:r>
              <w:rPr>
                <w:spacing w:val="-5"/>
                <w:sz w:val="18"/>
              </w:rPr>
              <w:t>000</w:t>
            </w:r>
          </w:p>
        </w:tc>
        <w:tc>
          <w:tcPr>
            <w:tcW w:w="1277" w:type="dxa"/>
          </w:tcPr>
          <w:p>
            <w:pPr>
              <w:pStyle w:val="TableParagraph"/>
              <w:rPr>
                <w:rFonts w:ascii="Times New Roman"/>
                <w:sz w:val="18"/>
              </w:rPr>
            </w:pPr>
          </w:p>
        </w:tc>
        <w:tc>
          <w:tcPr>
            <w:tcW w:w="1493" w:type="dxa"/>
          </w:tcPr>
          <w:p>
            <w:pPr>
              <w:pStyle w:val="TableParagraph"/>
              <w:rPr>
                <w:rFonts w:ascii="Times New Roman"/>
                <w:sz w:val="18"/>
              </w:rPr>
            </w:pPr>
          </w:p>
        </w:tc>
      </w:tr>
      <w:tr>
        <w:trPr>
          <w:trHeight w:val="2237" w:hRule="atLeast"/>
        </w:trPr>
        <w:tc>
          <w:tcPr>
            <w:tcW w:w="2123" w:type="dxa"/>
            <w:gridSpan w:val="2"/>
          </w:tcPr>
          <w:p>
            <w:pPr>
              <w:pStyle w:val="TableParagraph"/>
              <w:rPr>
                <w:b/>
                <w:sz w:val="18"/>
              </w:rPr>
            </w:pPr>
          </w:p>
          <w:p>
            <w:pPr>
              <w:pStyle w:val="TableParagraph"/>
              <w:spacing w:before="185"/>
              <w:rPr>
                <w:b/>
                <w:sz w:val="18"/>
              </w:rPr>
            </w:pPr>
          </w:p>
          <w:p>
            <w:pPr>
              <w:pStyle w:val="TableParagraph"/>
              <w:ind w:left="72"/>
              <w:rPr>
                <w:sz w:val="18"/>
              </w:rPr>
            </w:pPr>
            <w:r>
              <w:rPr>
                <w:b/>
                <w:sz w:val="18"/>
              </w:rPr>
              <w:t>Actividad PAC 2.42.6: </w:t>
            </w:r>
            <w:r>
              <w:rPr>
                <w:sz w:val="18"/>
              </w:rPr>
              <w:t>Garantizar el stock mínimo</w:t>
            </w:r>
            <w:r>
              <w:rPr>
                <w:spacing w:val="-12"/>
                <w:sz w:val="18"/>
              </w:rPr>
              <w:t> </w:t>
            </w:r>
            <w:r>
              <w:rPr>
                <w:sz w:val="18"/>
              </w:rPr>
              <w:t>de</w:t>
            </w:r>
            <w:r>
              <w:rPr>
                <w:spacing w:val="-12"/>
                <w:sz w:val="18"/>
              </w:rPr>
              <w:t> </w:t>
            </w:r>
            <w:r>
              <w:rPr>
                <w:sz w:val="18"/>
              </w:rPr>
              <w:t>inventario</w:t>
            </w:r>
            <w:r>
              <w:rPr>
                <w:spacing w:val="-12"/>
                <w:sz w:val="18"/>
              </w:rPr>
              <w:t> </w:t>
            </w:r>
            <w:r>
              <w:rPr>
                <w:sz w:val="18"/>
              </w:rPr>
              <w:t>de suministros de mayor </w:t>
            </w:r>
            <w:r>
              <w:rPr>
                <w:spacing w:val="-2"/>
                <w:sz w:val="18"/>
              </w:rPr>
              <w:t>rotación.</w:t>
            </w:r>
          </w:p>
        </w:tc>
        <w:tc>
          <w:tcPr>
            <w:tcW w:w="1417" w:type="dxa"/>
          </w:tcPr>
          <w:p>
            <w:pPr>
              <w:pStyle w:val="TableParagraph"/>
              <w:rPr>
                <w:b/>
                <w:sz w:val="18"/>
              </w:rPr>
            </w:pPr>
          </w:p>
          <w:p>
            <w:pPr>
              <w:pStyle w:val="TableParagraph"/>
              <w:spacing w:before="185"/>
              <w:rPr>
                <w:b/>
                <w:sz w:val="18"/>
              </w:rPr>
            </w:pPr>
          </w:p>
          <w:p>
            <w:pPr>
              <w:pStyle w:val="TableParagraph"/>
              <w:ind w:left="71" w:right="68"/>
              <w:rPr>
                <w:sz w:val="18"/>
              </w:rPr>
            </w:pPr>
            <w:r>
              <w:rPr>
                <w:sz w:val="18"/>
              </w:rPr>
              <w:t>Porcentaje de suministros</w:t>
            </w:r>
            <w:r>
              <w:rPr>
                <w:spacing w:val="-13"/>
                <w:sz w:val="18"/>
              </w:rPr>
              <w:t> </w:t>
            </w:r>
            <w:r>
              <w:rPr>
                <w:sz w:val="18"/>
              </w:rPr>
              <w:t>que </w:t>
            </w:r>
            <w:r>
              <w:rPr>
                <w:spacing w:val="-2"/>
                <w:sz w:val="18"/>
              </w:rPr>
              <w:t>mantienen</w:t>
            </w:r>
            <w:r>
              <w:rPr>
                <w:spacing w:val="40"/>
                <w:sz w:val="18"/>
              </w:rPr>
              <w:t> </w:t>
            </w:r>
            <w:r>
              <w:rPr>
                <w:spacing w:val="-2"/>
                <w:sz w:val="18"/>
              </w:rPr>
              <w:t>stock</w:t>
            </w:r>
            <w:r>
              <w:rPr>
                <w:spacing w:val="40"/>
                <w:sz w:val="18"/>
              </w:rPr>
              <w:t> </w:t>
            </w:r>
            <w:r>
              <w:rPr>
                <w:spacing w:val="-2"/>
                <w:sz w:val="18"/>
              </w:rPr>
              <w:t>controlado</w:t>
            </w: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89"/>
              <w:rPr>
                <w:b/>
                <w:sz w:val="18"/>
              </w:rPr>
            </w:pPr>
          </w:p>
          <w:p>
            <w:pPr>
              <w:pStyle w:val="TableParagraph"/>
              <w:ind w:right="53"/>
              <w:jc w:val="right"/>
              <w:rPr>
                <w:sz w:val="18"/>
              </w:rPr>
            </w:pPr>
            <w:r>
              <w:rPr>
                <w:spacing w:val="-5"/>
                <w:sz w:val="18"/>
              </w:rPr>
              <w:t>90%</w:t>
            </w:r>
          </w:p>
        </w:tc>
        <w:tc>
          <w:tcPr>
            <w:tcW w:w="1278"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spacing w:before="189"/>
              <w:rPr>
                <w:b/>
                <w:sz w:val="18"/>
              </w:rPr>
            </w:pPr>
          </w:p>
          <w:p>
            <w:pPr>
              <w:pStyle w:val="TableParagraph"/>
              <w:ind w:right="59"/>
              <w:jc w:val="right"/>
              <w:rPr>
                <w:sz w:val="18"/>
              </w:rPr>
            </w:pPr>
            <w:r>
              <w:rPr>
                <w:spacing w:val="-5"/>
                <w:sz w:val="18"/>
              </w:rPr>
              <w:t>90%</w:t>
            </w:r>
          </w:p>
        </w:tc>
        <w:tc>
          <w:tcPr>
            <w:tcW w:w="1417" w:type="dxa"/>
          </w:tcPr>
          <w:p>
            <w:pPr>
              <w:pStyle w:val="TableParagraph"/>
              <w:rPr>
                <w:rFonts w:ascii="Times New Roman"/>
                <w:sz w:val="18"/>
              </w:rPr>
            </w:pP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spacing w:before="189"/>
              <w:rPr>
                <w:b/>
                <w:sz w:val="18"/>
              </w:rPr>
            </w:pPr>
          </w:p>
          <w:p>
            <w:pPr>
              <w:pStyle w:val="TableParagraph"/>
              <w:ind w:right="56"/>
              <w:jc w:val="right"/>
              <w:rPr>
                <w:sz w:val="18"/>
              </w:rPr>
            </w:pPr>
            <w:r>
              <w:rPr>
                <w:spacing w:val="-5"/>
                <w:sz w:val="18"/>
              </w:rPr>
              <w:t>90%</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89"/>
              <w:rPr>
                <w:b/>
                <w:sz w:val="18"/>
              </w:rPr>
            </w:pPr>
          </w:p>
          <w:p>
            <w:pPr>
              <w:pStyle w:val="TableParagraph"/>
              <w:ind w:right="60"/>
              <w:jc w:val="right"/>
              <w:rPr>
                <w:sz w:val="18"/>
              </w:rPr>
            </w:pPr>
            <w:r>
              <w:rPr>
                <w:spacing w:val="-5"/>
                <w:sz w:val="18"/>
              </w:rPr>
              <w:t>90%</w:t>
            </w:r>
          </w:p>
        </w:tc>
        <w:tc>
          <w:tcPr>
            <w:tcW w:w="1493" w:type="dxa"/>
          </w:tcPr>
          <w:p>
            <w:pPr>
              <w:pStyle w:val="TableParagraph"/>
              <w:rPr>
                <w:rFonts w:ascii="Times New Roman"/>
                <w:sz w:val="18"/>
              </w:rPr>
            </w:pPr>
          </w:p>
        </w:tc>
      </w:tr>
      <w:tr>
        <w:trPr>
          <w:trHeight w:val="1930" w:hRule="atLeast"/>
        </w:trPr>
        <w:tc>
          <w:tcPr>
            <w:tcW w:w="2123" w:type="dxa"/>
            <w:gridSpan w:val="2"/>
            <w:tcBorders>
              <w:bottom w:val="nil"/>
            </w:tcBorders>
          </w:tcPr>
          <w:p>
            <w:pPr>
              <w:pStyle w:val="TableParagraph"/>
              <w:spacing w:before="27"/>
              <w:ind w:left="72" w:right="85"/>
              <w:rPr>
                <w:sz w:val="18"/>
              </w:rPr>
            </w:pPr>
            <w:r>
              <w:rPr>
                <w:b/>
                <w:sz w:val="18"/>
              </w:rPr>
              <w:t>Actividad PAC 2.42.7: </w:t>
            </w:r>
            <w:r>
              <w:rPr>
                <w:sz w:val="18"/>
              </w:rPr>
              <w:t>Realizar las cargas de las solicitudes de contratación</w:t>
            </w:r>
            <w:r>
              <w:rPr>
                <w:spacing w:val="-13"/>
                <w:sz w:val="18"/>
              </w:rPr>
              <w:t> </w:t>
            </w:r>
            <w:r>
              <w:rPr>
                <w:sz w:val="18"/>
              </w:rPr>
              <w:t>de</w:t>
            </w:r>
            <w:r>
              <w:rPr>
                <w:spacing w:val="-10"/>
                <w:sz w:val="18"/>
              </w:rPr>
              <w:t> </w:t>
            </w:r>
            <w:r>
              <w:rPr>
                <w:sz w:val="18"/>
              </w:rPr>
              <w:t>bienes</w:t>
            </w:r>
            <w:r>
              <w:rPr>
                <w:spacing w:val="-13"/>
                <w:sz w:val="18"/>
              </w:rPr>
              <w:t> </w:t>
            </w:r>
            <w:r>
              <w:rPr>
                <w:sz w:val="18"/>
              </w:rPr>
              <w:t>y servicios en los</w:t>
            </w:r>
            <w:r>
              <w:rPr>
                <w:spacing w:val="40"/>
                <w:sz w:val="18"/>
              </w:rPr>
              <w:t> </w:t>
            </w:r>
            <w:r>
              <w:rPr>
                <w:sz w:val="18"/>
              </w:rPr>
              <w:t>sistemas SAP-SICOP</w:t>
            </w:r>
            <w:r>
              <w:rPr>
                <w:spacing w:val="40"/>
                <w:sz w:val="18"/>
              </w:rPr>
              <w:t> </w:t>
            </w:r>
            <w:r>
              <w:rPr>
                <w:sz w:val="18"/>
              </w:rPr>
              <w:t>en atención a las necesidades del Departamento de</w:t>
            </w:r>
          </w:p>
        </w:tc>
        <w:tc>
          <w:tcPr>
            <w:tcW w:w="1417" w:type="dxa"/>
            <w:tcBorders>
              <w:bottom w:val="single" w:sz="4" w:space="0" w:color="808080"/>
            </w:tcBorders>
          </w:tcPr>
          <w:p>
            <w:pPr>
              <w:pStyle w:val="TableParagraph"/>
              <w:spacing w:before="133"/>
              <w:ind w:left="71" w:firstLine="52"/>
              <w:rPr>
                <w:sz w:val="18"/>
              </w:rPr>
            </w:pPr>
            <w:r>
              <w:rPr>
                <w:sz w:val="18"/>
              </w:rPr>
              <w:t>Porcentaje de solicitudes de </w:t>
            </w:r>
            <w:r>
              <w:rPr>
                <w:spacing w:val="-2"/>
                <w:sz w:val="18"/>
              </w:rPr>
              <w:t>contratación </w:t>
            </w:r>
            <w:r>
              <w:rPr>
                <w:sz w:val="18"/>
              </w:rPr>
              <w:t>cargadas</w:t>
            </w:r>
            <w:r>
              <w:rPr>
                <w:spacing w:val="-15"/>
                <w:sz w:val="18"/>
              </w:rPr>
              <w:t> </w:t>
            </w:r>
            <w:r>
              <w:rPr>
                <w:sz w:val="18"/>
              </w:rPr>
              <w:t>en</w:t>
            </w:r>
            <w:r>
              <w:rPr>
                <w:spacing w:val="-12"/>
                <w:sz w:val="18"/>
              </w:rPr>
              <w:t> </w:t>
            </w:r>
            <w:r>
              <w:rPr>
                <w:sz w:val="18"/>
              </w:rPr>
              <w:t>los sistemas SAP-SICOP, en los </w:t>
            </w:r>
            <w:r>
              <w:rPr>
                <w:spacing w:val="-2"/>
                <w:sz w:val="18"/>
              </w:rPr>
              <w:t>plazos establecidos</w:t>
            </w:r>
          </w:p>
        </w:tc>
        <w:tc>
          <w:tcPr>
            <w:tcW w:w="1277" w:type="dxa"/>
            <w:tcBorders>
              <w:bottom w:val="single" w:sz="4" w:space="0" w:color="808080"/>
            </w:tcBorders>
          </w:tcPr>
          <w:p>
            <w:pPr>
              <w:pStyle w:val="TableParagraph"/>
              <w:rPr>
                <w:rFonts w:ascii="Times New Roman"/>
                <w:sz w:val="18"/>
              </w:rPr>
            </w:pPr>
          </w:p>
        </w:tc>
        <w:tc>
          <w:tcPr>
            <w:tcW w:w="1278" w:type="dxa"/>
            <w:tcBorders>
              <w:bottom w:val="single" w:sz="4" w:space="0" w:color="808080"/>
            </w:tcBorders>
          </w:tcPr>
          <w:p>
            <w:pPr>
              <w:pStyle w:val="TableParagraph"/>
              <w:rPr>
                <w:rFonts w:ascii="Times New Roman"/>
                <w:sz w:val="18"/>
              </w:rPr>
            </w:pPr>
          </w:p>
        </w:tc>
        <w:tc>
          <w:tcPr>
            <w:tcW w:w="1417" w:type="dxa"/>
            <w:tcBorders>
              <w:bottom w:val="single" w:sz="4" w:space="0" w:color="808080"/>
            </w:tcBorders>
          </w:tcPr>
          <w:p>
            <w:pPr>
              <w:pStyle w:val="TableParagraph"/>
              <w:rPr>
                <w:rFonts w:ascii="Times New Roman"/>
                <w:sz w:val="18"/>
              </w:rPr>
            </w:pPr>
          </w:p>
        </w:tc>
        <w:tc>
          <w:tcPr>
            <w:tcW w:w="1417" w:type="dxa"/>
            <w:tcBorders>
              <w:bottom w:val="single" w:sz="4" w:space="0" w:color="808080"/>
            </w:tcBorders>
          </w:tcPr>
          <w:p>
            <w:pPr>
              <w:pStyle w:val="TableParagraph"/>
              <w:rPr>
                <w:rFonts w:ascii="Times New Roman"/>
                <w:sz w:val="18"/>
              </w:rPr>
            </w:pPr>
          </w:p>
        </w:tc>
        <w:tc>
          <w:tcPr>
            <w:tcW w:w="1278" w:type="dxa"/>
            <w:tcBorders>
              <w:bottom w:val="single" w:sz="4" w:space="0" w:color="808080"/>
            </w:tcBorders>
          </w:tcPr>
          <w:p>
            <w:pPr>
              <w:pStyle w:val="TableParagraph"/>
              <w:rPr>
                <w:b/>
                <w:sz w:val="18"/>
              </w:rPr>
            </w:pPr>
          </w:p>
          <w:p>
            <w:pPr>
              <w:pStyle w:val="TableParagraph"/>
              <w:rPr>
                <w:b/>
                <w:sz w:val="18"/>
              </w:rPr>
            </w:pPr>
          </w:p>
          <w:p>
            <w:pPr>
              <w:pStyle w:val="TableParagraph"/>
              <w:rPr>
                <w:b/>
                <w:sz w:val="18"/>
              </w:rPr>
            </w:pPr>
          </w:p>
          <w:p>
            <w:pPr>
              <w:pStyle w:val="TableParagraph"/>
              <w:spacing w:before="25"/>
              <w:rPr>
                <w:b/>
                <w:sz w:val="18"/>
              </w:rPr>
            </w:pPr>
          </w:p>
          <w:p>
            <w:pPr>
              <w:pStyle w:val="TableParagraph"/>
              <w:ind w:right="56"/>
              <w:jc w:val="right"/>
              <w:rPr>
                <w:sz w:val="18"/>
              </w:rPr>
            </w:pPr>
            <w:r>
              <w:rPr>
                <w:spacing w:val="-4"/>
                <w:sz w:val="18"/>
              </w:rPr>
              <w:t>100%</w:t>
            </w:r>
          </w:p>
        </w:tc>
        <w:tc>
          <w:tcPr>
            <w:tcW w:w="1277" w:type="dxa"/>
            <w:tcBorders>
              <w:bottom w:val="single" w:sz="4" w:space="0" w:color="808080"/>
            </w:tcBorders>
          </w:tcPr>
          <w:p>
            <w:pPr>
              <w:pStyle w:val="TableParagraph"/>
              <w:rPr>
                <w:rFonts w:ascii="Times New Roman"/>
                <w:sz w:val="18"/>
              </w:rPr>
            </w:pPr>
          </w:p>
        </w:tc>
        <w:tc>
          <w:tcPr>
            <w:tcW w:w="1277" w:type="dxa"/>
            <w:tcBorders>
              <w:bottom w:val="single" w:sz="4" w:space="0" w:color="808080"/>
            </w:tcBorders>
          </w:tcPr>
          <w:p>
            <w:pPr>
              <w:pStyle w:val="TableParagraph"/>
              <w:rPr>
                <w:rFonts w:ascii="Times New Roman"/>
                <w:sz w:val="18"/>
              </w:rPr>
            </w:pPr>
          </w:p>
        </w:tc>
        <w:tc>
          <w:tcPr>
            <w:tcW w:w="1493" w:type="dxa"/>
            <w:tcBorders>
              <w:bottom w:val="single" w:sz="4" w:space="0" w:color="808080"/>
            </w:tcBorders>
          </w:tcPr>
          <w:p>
            <w:pPr>
              <w:pStyle w:val="TableParagraph"/>
              <w:rPr>
                <w:rFonts w:ascii="Times New Roman"/>
                <w:sz w:val="18"/>
              </w:rPr>
            </w:pPr>
          </w:p>
        </w:tc>
      </w:tr>
      <w:tr>
        <w:trPr>
          <w:trHeight w:val="1393" w:hRule="atLeast"/>
        </w:trPr>
        <w:tc>
          <w:tcPr>
            <w:tcW w:w="1486" w:type="dxa"/>
            <w:tcBorders>
              <w:top w:val="thinThickMediumGap" w:sz="9" w:space="0" w:color="808080"/>
              <w:left w:val="nil"/>
              <w:bottom w:val="nil"/>
              <w:right w:val="single" w:sz="18" w:space="0" w:color="808080"/>
            </w:tcBorders>
          </w:tcPr>
          <w:p>
            <w:pPr>
              <w:pStyle w:val="TableParagraph"/>
              <w:spacing w:before="11"/>
              <w:ind w:left="106"/>
              <w:rPr>
                <w:b/>
                <w:sz w:val="24"/>
              </w:rPr>
            </w:pPr>
            <w:r>
              <w:rPr>
                <w:b/>
                <w:spacing w:val="-5"/>
                <w:sz w:val="24"/>
              </w:rPr>
              <w:t>301</w:t>
            </w:r>
          </w:p>
        </w:tc>
        <w:tc>
          <w:tcPr>
            <w:tcW w:w="12768" w:type="dxa"/>
            <w:gridSpan w:val="10"/>
            <w:tcBorders>
              <w:top w:val="single" w:sz="4" w:space="0" w:color="808080"/>
              <w:left w:val="single" w:sz="18" w:space="0" w:color="808080"/>
              <w:bottom w:val="nil"/>
              <w:right w:val="nil"/>
            </w:tcBorders>
          </w:tcPr>
          <w:p>
            <w:pPr>
              <w:pStyle w:val="TableParagraph"/>
              <w:spacing w:line="242" w:lineRule="auto" w:before="11"/>
              <w:ind w:left="95" w:right="8587"/>
              <w:rPr>
                <w:b/>
                <w:i/>
                <w:sz w:val="24"/>
              </w:rPr>
            </w:pPr>
            <w:r>
              <w:rPr>
                <w:b/>
                <w:i/>
                <w:sz w:val="24"/>
              </w:rPr>
              <mc:AlternateContent>
                <mc:Choice Requires="wps">
                  <w:drawing>
                    <wp:anchor distT="0" distB="0" distL="0" distR="0" allowOverlap="1" layoutInCell="1" locked="0" behindDoc="1" simplePos="0" relativeHeight="459708928">
                      <wp:simplePos x="0" y="0"/>
                      <wp:positionH relativeFrom="column">
                        <wp:posOffset>13716</wp:posOffset>
                      </wp:positionH>
                      <wp:positionV relativeFrom="paragraph">
                        <wp:posOffset>-20753</wp:posOffset>
                      </wp:positionV>
                      <wp:extent cx="8186420" cy="27940"/>
                      <wp:effectExtent l="0" t="0" r="0" b="0"/>
                      <wp:wrapNone/>
                      <wp:docPr id="132" name="Group 132"/>
                      <wp:cNvGraphicFramePr>
                        <a:graphicFrameLocks/>
                      </wp:cNvGraphicFramePr>
                      <a:graphic>
                        <a:graphicData uri="http://schemas.microsoft.com/office/word/2010/wordprocessingGroup">
                          <wpg:wgp>
                            <wpg:cNvPr id="132" name="Group 132"/>
                            <wpg:cNvGrpSpPr/>
                            <wpg:grpSpPr>
                              <a:xfrm>
                                <a:off x="0" y="0"/>
                                <a:ext cx="8186420" cy="27940"/>
                                <a:chExt cx="8186420" cy="27940"/>
                              </a:xfrm>
                            </wpg:grpSpPr>
                            <wps:wsp>
                              <wps:cNvPr id="133" name="Graphic 133"/>
                              <wps:cNvSpPr/>
                              <wps:spPr>
                                <a:xfrm>
                                  <a:off x="0" y="0"/>
                                  <a:ext cx="8186420" cy="27940"/>
                                </a:xfrm>
                                <a:custGeom>
                                  <a:avLst/>
                                  <a:gdLst/>
                                  <a:ahLst/>
                                  <a:cxnLst/>
                                  <a:rect l="l" t="t" r="r" b="b"/>
                                  <a:pathLst>
                                    <a:path w="8186420" h="27940">
                                      <a:moveTo>
                                        <a:pt x="8186293" y="0"/>
                                      </a:moveTo>
                                      <a:lnTo>
                                        <a:pt x="0" y="0"/>
                                      </a:lnTo>
                                      <a:lnTo>
                                        <a:pt x="0" y="27431"/>
                                      </a:lnTo>
                                      <a:lnTo>
                                        <a:pt x="8186293" y="27431"/>
                                      </a:lnTo>
                                      <a:lnTo>
                                        <a:pt x="8186293" y="0"/>
                                      </a:lnTo>
                                      <a:close/>
                                    </a:path>
                                  </a:pathLst>
                                </a:custGeom>
                                <a:solidFill>
                                  <a:srgbClr val="808080"/>
                                </a:solidFill>
                              </wps:spPr>
                              <wps:bodyPr wrap="square" lIns="0" tIns="0" rIns="0" bIns="0" rtlCol="0">
                                <a:prstTxWarp prst="textNoShape">
                                  <a:avLst/>
                                </a:prstTxWarp>
                                <a:noAutofit/>
                              </wps:bodyPr>
                            </wps:wsp>
                          </wpg:wgp>
                        </a:graphicData>
                      </a:graphic>
                    </wp:anchor>
                  </w:drawing>
                </mc:Choice>
                <mc:Fallback>
                  <w:pict>
                    <v:group style="position:absolute;margin-left:1.08pt;margin-top:-1.634142pt;width:644.6pt;height:2.2pt;mso-position-horizontal-relative:column;mso-position-vertical-relative:paragraph;z-index:-43607552" id="docshapegroup110" coordorigin="22,-33" coordsize="12892,44">
                      <v:rect style="position:absolute;left:21;top:-33;width:12892;height:44" id="docshape111" filled="true" fillcolor="#808080" stroked="false">
                        <v:fill type="solid"/>
                      </v:rect>
                      <w10:wrap type="none"/>
                    </v:group>
                  </w:pict>
                </mc:Fallback>
              </mc:AlternateContent>
            </w: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82"/>
          <w:pgSz w:w="15840" w:h="12240" w:orient="landscape"/>
          <w:pgMar w:header="0" w:footer="0" w:top="700" w:bottom="2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3"/>
        <w:gridCol w:w="1419"/>
        <w:gridCol w:w="1275"/>
        <w:gridCol w:w="1278"/>
        <w:gridCol w:w="1417"/>
        <w:gridCol w:w="1417"/>
        <w:gridCol w:w="1278"/>
        <w:gridCol w:w="1277"/>
        <w:gridCol w:w="1277"/>
        <w:gridCol w:w="1493"/>
      </w:tblGrid>
      <w:tr>
        <w:trPr>
          <w:trHeight w:val="369" w:hRule="atLeast"/>
        </w:trPr>
        <w:tc>
          <w:tcPr>
            <w:tcW w:w="2123" w:type="dxa"/>
            <w:vMerge w:val="restart"/>
            <w:shd w:val="clear" w:color="auto" w:fill="F1F1F1"/>
          </w:tcPr>
          <w:p>
            <w:pPr>
              <w:pStyle w:val="TableParagraph"/>
              <w:spacing w:before="147"/>
              <w:rPr>
                <w:b/>
                <w:sz w:val="18"/>
              </w:rPr>
            </w:pPr>
          </w:p>
          <w:p>
            <w:pPr>
              <w:pStyle w:val="TableParagraph"/>
              <w:ind w:left="72"/>
              <w:rPr>
                <w:b/>
                <w:sz w:val="18"/>
              </w:rPr>
            </w:pPr>
            <w:r>
              <w:rPr>
                <w:b/>
                <w:sz w:val="18"/>
              </w:rPr>
              <w:t>Objetivos</w:t>
            </w:r>
            <w:r>
              <w:rPr>
                <w:b/>
                <w:spacing w:val="-5"/>
                <w:sz w:val="18"/>
              </w:rPr>
              <w:t> </w:t>
            </w:r>
            <w:r>
              <w:rPr>
                <w:b/>
                <w:sz w:val="18"/>
              </w:rPr>
              <w:t>/</w:t>
            </w:r>
            <w:r>
              <w:rPr>
                <w:b/>
                <w:spacing w:val="-2"/>
                <w:sz w:val="18"/>
              </w:rPr>
              <w:t> Resultados</w:t>
            </w:r>
          </w:p>
        </w:tc>
        <w:tc>
          <w:tcPr>
            <w:tcW w:w="1419" w:type="dxa"/>
            <w:vMerge w:val="restart"/>
            <w:shd w:val="clear" w:color="auto" w:fill="F1F1F1"/>
          </w:tcPr>
          <w:p>
            <w:pPr>
              <w:pStyle w:val="TableParagraph"/>
              <w:spacing w:before="147"/>
              <w:rPr>
                <w:b/>
                <w:sz w:val="18"/>
              </w:rPr>
            </w:pPr>
          </w:p>
          <w:p>
            <w:pPr>
              <w:pStyle w:val="TableParagraph"/>
              <w:ind w:left="71"/>
              <w:rPr>
                <w:b/>
                <w:sz w:val="18"/>
              </w:rPr>
            </w:pPr>
            <w:r>
              <w:rPr>
                <w:b/>
                <w:spacing w:val="-2"/>
                <w:sz w:val="18"/>
              </w:rPr>
              <w:t>Indicador</w:t>
            </w:r>
          </w:p>
        </w:tc>
        <w:tc>
          <w:tcPr>
            <w:tcW w:w="2553" w:type="dxa"/>
            <w:gridSpan w:val="2"/>
            <w:shd w:val="clear" w:color="auto" w:fill="F1F1F1"/>
          </w:tcPr>
          <w:p>
            <w:pPr>
              <w:pStyle w:val="TableParagraph"/>
              <w:spacing w:before="80"/>
              <w:ind w:left="812"/>
              <w:rPr>
                <w:b/>
                <w:sz w:val="18"/>
              </w:rPr>
            </w:pPr>
            <w:r>
              <w:rPr>
                <w:b/>
                <w:sz w:val="18"/>
              </w:rPr>
              <w:t>I</w:t>
            </w:r>
            <w:r>
              <w:rPr>
                <w:b/>
                <w:spacing w:val="-1"/>
                <w:sz w:val="18"/>
              </w:rPr>
              <w:t> </w:t>
            </w:r>
            <w:r>
              <w:rPr>
                <w:b/>
                <w:spacing w:val="-2"/>
                <w:sz w:val="18"/>
              </w:rPr>
              <w:t>Trimestre</w:t>
            </w:r>
          </w:p>
        </w:tc>
        <w:tc>
          <w:tcPr>
            <w:tcW w:w="2834" w:type="dxa"/>
            <w:gridSpan w:val="2"/>
            <w:shd w:val="clear" w:color="auto" w:fill="F1F1F1"/>
          </w:tcPr>
          <w:p>
            <w:pPr>
              <w:pStyle w:val="TableParagraph"/>
              <w:spacing w:before="80"/>
              <w:ind w:left="924"/>
              <w:rPr>
                <w:b/>
                <w:sz w:val="18"/>
              </w:rPr>
            </w:pPr>
            <w:r>
              <w:rPr>
                <w:b/>
                <w:sz w:val="18"/>
              </w:rPr>
              <w:t>II</w:t>
            </w:r>
            <w:r>
              <w:rPr>
                <w:b/>
                <w:spacing w:val="-3"/>
                <w:sz w:val="18"/>
              </w:rPr>
              <w:t> </w:t>
            </w:r>
            <w:r>
              <w:rPr>
                <w:b/>
                <w:spacing w:val="-2"/>
                <w:sz w:val="18"/>
              </w:rPr>
              <w:t>Trimestre</w:t>
            </w:r>
          </w:p>
        </w:tc>
        <w:tc>
          <w:tcPr>
            <w:tcW w:w="2555" w:type="dxa"/>
            <w:gridSpan w:val="2"/>
            <w:shd w:val="clear" w:color="auto" w:fill="F1F1F1"/>
          </w:tcPr>
          <w:p>
            <w:pPr>
              <w:pStyle w:val="TableParagraph"/>
              <w:spacing w:before="80"/>
              <w:ind w:left="764"/>
              <w:rPr>
                <w:b/>
                <w:sz w:val="18"/>
              </w:rPr>
            </w:pPr>
            <w:r>
              <w:rPr>
                <w:b/>
                <w:sz w:val="18"/>
              </w:rPr>
              <w:t>III</w:t>
            </w:r>
            <w:r>
              <w:rPr>
                <w:b/>
                <w:spacing w:val="-2"/>
                <w:sz w:val="18"/>
              </w:rPr>
              <w:t> Trimestre</w:t>
            </w:r>
          </w:p>
        </w:tc>
        <w:tc>
          <w:tcPr>
            <w:tcW w:w="2770" w:type="dxa"/>
            <w:gridSpan w:val="2"/>
            <w:shd w:val="clear" w:color="auto" w:fill="F1F1F1"/>
          </w:tcPr>
          <w:p>
            <w:pPr>
              <w:pStyle w:val="TableParagraph"/>
              <w:spacing w:before="80"/>
              <w:ind w:left="855"/>
              <w:rPr>
                <w:b/>
                <w:sz w:val="18"/>
              </w:rPr>
            </w:pPr>
            <w:r>
              <w:rPr>
                <w:b/>
                <w:sz w:val="18"/>
              </w:rPr>
              <w:t>IV</w:t>
            </w:r>
            <w:r>
              <w:rPr>
                <w:b/>
                <w:spacing w:val="-2"/>
                <w:sz w:val="18"/>
              </w:rPr>
              <w:t> Trimestre</w:t>
            </w:r>
          </w:p>
        </w:tc>
      </w:tr>
      <w:tr>
        <w:trPr>
          <w:trHeight w:val="541" w:hRule="atLeast"/>
        </w:trPr>
        <w:tc>
          <w:tcPr>
            <w:tcW w:w="2123" w:type="dxa"/>
            <w:vMerge/>
            <w:tcBorders>
              <w:top w:val="nil"/>
            </w:tcBorders>
            <w:shd w:val="clear" w:color="auto" w:fill="F1F1F1"/>
          </w:tcPr>
          <w:p>
            <w:pPr>
              <w:rPr>
                <w:sz w:val="2"/>
                <w:szCs w:val="2"/>
              </w:rPr>
            </w:pPr>
          </w:p>
        </w:tc>
        <w:tc>
          <w:tcPr>
            <w:tcW w:w="1419" w:type="dxa"/>
            <w:vMerge/>
            <w:tcBorders>
              <w:top w:val="nil"/>
            </w:tcBorders>
            <w:shd w:val="clear" w:color="auto" w:fill="F1F1F1"/>
          </w:tcPr>
          <w:p>
            <w:pPr>
              <w:rPr>
                <w:sz w:val="2"/>
                <w:szCs w:val="2"/>
              </w:rPr>
            </w:pPr>
          </w:p>
        </w:tc>
        <w:tc>
          <w:tcPr>
            <w:tcW w:w="1275" w:type="dxa"/>
            <w:shd w:val="clear" w:color="auto" w:fill="F1F1F1"/>
          </w:tcPr>
          <w:p>
            <w:pPr>
              <w:pStyle w:val="TableParagraph"/>
              <w:spacing w:line="244" w:lineRule="auto" w:before="61"/>
              <w:ind w:left="116" w:firstLine="312"/>
              <w:rPr>
                <w:b/>
                <w:sz w:val="18"/>
              </w:rPr>
            </w:pPr>
            <w:r>
              <w:rPr>
                <w:b/>
                <w:spacing w:val="-4"/>
                <w:sz w:val="18"/>
              </w:rPr>
              <w:t>Meta </w:t>
            </w:r>
            <w:r>
              <w:rPr>
                <w:b/>
                <w:spacing w:val="-2"/>
                <w:sz w:val="18"/>
              </w:rPr>
              <w:t>programada</w:t>
            </w:r>
          </w:p>
        </w:tc>
        <w:tc>
          <w:tcPr>
            <w:tcW w:w="1278" w:type="dxa"/>
            <w:shd w:val="clear" w:color="auto" w:fill="F1F1F1"/>
          </w:tcPr>
          <w:p>
            <w:pPr>
              <w:pStyle w:val="TableParagraph"/>
              <w:spacing w:before="167"/>
              <w:ind w:left="21" w:right="9"/>
              <w:jc w:val="center"/>
              <w:rPr>
                <w:b/>
                <w:sz w:val="18"/>
              </w:rPr>
            </w:pPr>
            <w:r>
              <w:rPr>
                <w:b/>
                <w:spacing w:val="-10"/>
                <w:sz w:val="18"/>
              </w:rPr>
              <w:t>¢</w:t>
            </w:r>
          </w:p>
        </w:tc>
        <w:tc>
          <w:tcPr>
            <w:tcW w:w="1417" w:type="dxa"/>
            <w:shd w:val="clear" w:color="auto" w:fill="F1F1F1"/>
          </w:tcPr>
          <w:p>
            <w:pPr>
              <w:pStyle w:val="TableParagraph"/>
              <w:spacing w:line="244" w:lineRule="auto" w:before="61"/>
              <w:ind w:left="180" w:firstLine="316"/>
              <w:rPr>
                <w:b/>
                <w:sz w:val="18"/>
              </w:rPr>
            </w:pPr>
            <w:r>
              <w:rPr>
                <w:b/>
                <w:spacing w:val="-4"/>
                <w:sz w:val="18"/>
              </w:rPr>
              <w:t>Meta </w:t>
            </w:r>
            <w:r>
              <w:rPr>
                <w:b/>
                <w:spacing w:val="-2"/>
                <w:sz w:val="18"/>
              </w:rPr>
              <w:t>programada</w:t>
            </w:r>
          </w:p>
        </w:tc>
        <w:tc>
          <w:tcPr>
            <w:tcW w:w="1417" w:type="dxa"/>
            <w:shd w:val="clear" w:color="auto" w:fill="F1F1F1"/>
          </w:tcPr>
          <w:p>
            <w:pPr>
              <w:pStyle w:val="TableParagraph"/>
              <w:spacing w:before="167"/>
              <w:ind w:left="9" w:right="5"/>
              <w:jc w:val="center"/>
              <w:rPr>
                <w:b/>
                <w:sz w:val="18"/>
              </w:rPr>
            </w:pPr>
            <w:r>
              <w:rPr>
                <w:b/>
                <w:spacing w:val="-10"/>
                <w:sz w:val="18"/>
              </w:rPr>
              <w:t>¢</w:t>
            </w:r>
          </w:p>
        </w:tc>
        <w:tc>
          <w:tcPr>
            <w:tcW w:w="1278" w:type="dxa"/>
            <w:shd w:val="clear" w:color="auto" w:fill="F1F1F1"/>
          </w:tcPr>
          <w:p>
            <w:pPr>
              <w:pStyle w:val="TableParagraph"/>
              <w:spacing w:line="244" w:lineRule="auto" w:before="61"/>
              <w:ind w:left="116" w:firstLine="312"/>
              <w:rPr>
                <w:b/>
                <w:sz w:val="18"/>
              </w:rPr>
            </w:pPr>
            <w:r>
              <w:rPr>
                <w:b/>
                <w:spacing w:val="-4"/>
                <w:sz w:val="18"/>
              </w:rPr>
              <w:t>Meta </w:t>
            </w:r>
            <w:r>
              <w:rPr>
                <w:b/>
                <w:spacing w:val="-2"/>
                <w:sz w:val="18"/>
              </w:rPr>
              <w:t>programada</w:t>
            </w:r>
          </w:p>
        </w:tc>
        <w:tc>
          <w:tcPr>
            <w:tcW w:w="1277" w:type="dxa"/>
            <w:shd w:val="clear" w:color="auto" w:fill="F1F1F1"/>
          </w:tcPr>
          <w:p>
            <w:pPr>
              <w:pStyle w:val="TableParagraph"/>
              <w:spacing w:before="167"/>
              <w:ind w:left="16" w:right="9"/>
              <w:jc w:val="center"/>
              <w:rPr>
                <w:b/>
                <w:sz w:val="18"/>
              </w:rPr>
            </w:pPr>
            <w:r>
              <w:rPr>
                <w:b/>
                <w:spacing w:val="-10"/>
                <w:sz w:val="18"/>
              </w:rPr>
              <w:t>¢</w:t>
            </w:r>
          </w:p>
        </w:tc>
        <w:tc>
          <w:tcPr>
            <w:tcW w:w="1277" w:type="dxa"/>
            <w:shd w:val="clear" w:color="auto" w:fill="F1F1F1"/>
          </w:tcPr>
          <w:p>
            <w:pPr>
              <w:pStyle w:val="TableParagraph"/>
              <w:spacing w:line="244" w:lineRule="auto" w:before="61"/>
              <w:ind w:left="111" w:firstLine="312"/>
              <w:rPr>
                <w:b/>
                <w:sz w:val="18"/>
              </w:rPr>
            </w:pPr>
            <w:r>
              <w:rPr>
                <w:b/>
                <w:spacing w:val="-4"/>
                <w:sz w:val="18"/>
              </w:rPr>
              <w:t>Meta </w:t>
            </w:r>
            <w:r>
              <w:rPr>
                <w:b/>
                <w:spacing w:val="-2"/>
                <w:sz w:val="18"/>
              </w:rPr>
              <w:t>programada</w:t>
            </w:r>
          </w:p>
        </w:tc>
        <w:tc>
          <w:tcPr>
            <w:tcW w:w="1493" w:type="dxa"/>
            <w:shd w:val="clear" w:color="auto" w:fill="F1F1F1"/>
          </w:tcPr>
          <w:p>
            <w:pPr>
              <w:pStyle w:val="TableParagraph"/>
              <w:spacing w:before="167"/>
              <w:ind w:right="4"/>
              <w:jc w:val="center"/>
              <w:rPr>
                <w:b/>
                <w:sz w:val="18"/>
              </w:rPr>
            </w:pPr>
            <w:r>
              <w:rPr>
                <w:b/>
                <w:spacing w:val="-10"/>
                <w:sz w:val="18"/>
              </w:rPr>
              <w:t>¢</w:t>
            </w:r>
          </w:p>
        </w:tc>
      </w:tr>
      <w:tr>
        <w:trPr>
          <w:trHeight w:val="1911" w:hRule="atLeast"/>
        </w:trPr>
        <w:tc>
          <w:tcPr>
            <w:tcW w:w="2123" w:type="dxa"/>
          </w:tcPr>
          <w:p>
            <w:pPr>
              <w:pStyle w:val="TableParagraph"/>
              <w:ind w:left="72" w:right="54"/>
              <w:rPr>
                <w:sz w:val="18"/>
              </w:rPr>
            </w:pPr>
            <w:r>
              <w:rPr>
                <w:sz w:val="18"/>
              </w:rPr>
              <w:t>Proveeduría</w:t>
            </w:r>
            <w:r>
              <w:rPr>
                <w:spacing w:val="-13"/>
                <w:sz w:val="18"/>
              </w:rPr>
              <w:t> </w:t>
            </w:r>
            <w:r>
              <w:rPr>
                <w:sz w:val="18"/>
              </w:rPr>
              <w:t>Institucional y de conformidad con</w:t>
            </w:r>
            <w:r>
              <w:rPr>
                <w:spacing w:val="40"/>
                <w:sz w:val="18"/>
              </w:rPr>
              <w:t> </w:t>
            </w:r>
            <w:r>
              <w:rPr>
                <w:sz w:val="18"/>
              </w:rPr>
              <w:t>las fechas del PA 2026.</w:t>
            </w:r>
          </w:p>
        </w:tc>
        <w:tc>
          <w:tcPr>
            <w:tcW w:w="1419" w:type="dxa"/>
          </w:tcPr>
          <w:p>
            <w:pPr>
              <w:pStyle w:val="TableParagraph"/>
              <w:rPr>
                <w:rFonts w:ascii="Times New Roman"/>
                <w:sz w:val="18"/>
              </w:rPr>
            </w:pPr>
          </w:p>
        </w:tc>
        <w:tc>
          <w:tcPr>
            <w:tcW w:w="1275" w:type="dxa"/>
          </w:tcPr>
          <w:p>
            <w:pPr>
              <w:pStyle w:val="TableParagraph"/>
              <w:rPr>
                <w:rFonts w:ascii="Times New Roman"/>
                <w:sz w:val="18"/>
              </w:rPr>
            </w:pPr>
          </w:p>
        </w:tc>
        <w:tc>
          <w:tcPr>
            <w:tcW w:w="1278" w:type="dxa"/>
          </w:tcPr>
          <w:p>
            <w:pPr>
              <w:pStyle w:val="TableParagraph"/>
              <w:rPr>
                <w:rFonts w:ascii="Times New Roman"/>
                <w:sz w:val="18"/>
              </w:rPr>
            </w:pPr>
          </w:p>
        </w:tc>
        <w:tc>
          <w:tcPr>
            <w:tcW w:w="1417" w:type="dxa"/>
          </w:tcPr>
          <w:p>
            <w:pPr>
              <w:pStyle w:val="TableParagraph"/>
              <w:rPr>
                <w:rFonts w:ascii="Times New Roman"/>
                <w:sz w:val="18"/>
              </w:rPr>
            </w:pPr>
          </w:p>
        </w:tc>
        <w:tc>
          <w:tcPr>
            <w:tcW w:w="1417" w:type="dxa"/>
          </w:tcPr>
          <w:p>
            <w:pPr>
              <w:pStyle w:val="TableParagraph"/>
              <w:rPr>
                <w:rFonts w:ascii="Times New Roman"/>
                <w:sz w:val="18"/>
              </w:rPr>
            </w:pPr>
          </w:p>
        </w:tc>
        <w:tc>
          <w:tcPr>
            <w:tcW w:w="1278"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493" w:type="dxa"/>
          </w:tcPr>
          <w:p>
            <w:pPr>
              <w:pStyle w:val="TableParagraph"/>
              <w:rPr>
                <w:rFonts w:ascii="Times New Roman"/>
                <w:sz w:val="18"/>
              </w:rPr>
            </w:pPr>
          </w:p>
        </w:tc>
      </w:tr>
      <w:tr>
        <w:trPr>
          <w:trHeight w:val="2506" w:hRule="atLeast"/>
        </w:trPr>
        <w:tc>
          <w:tcPr>
            <w:tcW w:w="2123" w:type="dxa"/>
          </w:tcPr>
          <w:p>
            <w:pPr>
              <w:pStyle w:val="TableParagraph"/>
              <w:rPr>
                <w:b/>
                <w:sz w:val="18"/>
              </w:rPr>
            </w:pPr>
          </w:p>
          <w:p>
            <w:pPr>
              <w:pStyle w:val="TableParagraph"/>
              <w:spacing w:before="8"/>
              <w:rPr>
                <w:b/>
                <w:sz w:val="18"/>
              </w:rPr>
            </w:pPr>
          </w:p>
          <w:p>
            <w:pPr>
              <w:pStyle w:val="TableParagraph"/>
              <w:ind w:left="72" w:right="82"/>
              <w:rPr>
                <w:sz w:val="18"/>
              </w:rPr>
            </w:pPr>
            <w:r>
              <w:rPr>
                <w:b/>
                <w:sz w:val="18"/>
              </w:rPr>
              <w:t>Actividad</w:t>
            </w:r>
            <w:r>
              <w:rPr>
                <w:b/>
                <w:spacing w:val="-13"/>
                <w:sz w:val="18"/>
              </w:rPr>
              <w:t> </w:t>
            </w:r>
            <w:r>
              <w:rPr>
                <w:b/>
                <w:sz w:val="18"/>
              </w:rPr>
              <w:t>PAC</w:t>
            </w:r>
            <w:r>
              <w:rPr>
                <w:b/>
                <w:spacing w:val="-9"/>
                <w:sz w:val="18"/>
              </w:rPr>
              <w:t> </w:t>
            </w:r>
            <w:r>
              <w:rPr>
                <w:b/>
                <w:sz w:val="18"/>
              </w:rPr>
              <w:t>2.42.8: </w:t>
            </w:r>
            <w:r>
              <w:rPr>
                <w:sz w:val="18"/>
              </w:rPr>
              <w:t>Cumplir con los acuerdos del Consejo Directivo y las recomendaciones</w:t>
            </w:r>
            <w:r>
              <w:rPr>
                <w:spacing w:val="-15"/>
                <w:sz w:val="18"/>
              </w:rPr>
              <w:t> </w:t>
            </w:r>
            <w:r>
              <w:rPr>
                <w:sz w:val="18"/>
              </w:rPr>
              <w:t>de</w:t>
            </w:r>
            <w:r>
              <w:rPr>
                <w:spacing w:val="-12"/>
                <w:sz w:val="18"/>
              </w:rPr>
              <w:t> </w:t>
            </w:r>
            <w:r>
              <w:rPr>
                <w:sz w:val="18"/>
              </w:rPr>
              <w:t>la Auditoría Interna y Externa, en tiempo y </w:t>
            </w:r>
            <w:r>
              <w:rPr>
                <w:spacing w:val="-2"/>
                <w:sz w:val="18"/>
              </w:rPr>
              <w:t>forma.</w:t>
            </w:r>
          </w:p>
        </w:tc>
        <w:tc>
          <w:tcPr>
            <w:tcW w:w="1419" w:type="dxa"/>
          </w:tcPr>
          <w:p>
            <w:pPr>
              <w:pStyle w:val="TableParagraph"/>
              <w:rPr>
                <w:b/>
                <w:sz w:val="18"/>
              </w:rPr>
            </w:pPr>
          </w:p>
          <w:p>
            <w:pPr>
              <w:pStyle w:val="TableParagraph"/>
              <w:spacing w:before="113"/>
              <w:rPr>
                <w:b/>
                <w:sz w:val="18"/>
              </w:rPr>
            </w:pPr>
          </w:p>
          <w:p>
            <w:pPr>
              <w:pStyle w:val="TableParagraph"/>
              <w:ind w:left="71" w:right="100"/>
              <w:rPr>
                <w:sz w:val="18"/>
              </w:rPr>
            </w:pPr>
            <w:r>
              <w:rPr>
                <w:sz w:val="18"/>
              </w:rPr>
              <w:t>Porcentaje de </w:t>
            </w:r>
            <w:r>
              <w:rPr>
                <w:spacing w:val="-2"/>
                <w:sz w:val="18"/>
              </w:rPr>
              <w:t>acuerdos Consejo </w:t>
            </w:r>
            <w:r>
              <w:rPr>
                <w:sz w:val="18"/>
              </w:rPr>
              <w:t>Directivo y </w:t>
            </w:r>
            <w:r>
              <w:rPr>
                <w:spacing w:val="-2"/>
                <w:sz w:val="18"/>
              </w:rPr>
              <w:t>recomendacion </w:t>
            </w:r>
            <w:r>
              <w:rPr>
                <w:sz w:val="18"/>
              </w:rPr>
              <w:t>es Auditoria </w:t>
            </w:r>
            <w:r>
              <w:rPr>
                <w:spacing w:val="-2"/>
                <w:sz w:val="18"/>
              </w:rPr>
              <w:t>cumplidos</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spacing w:before="1"/>
              <w:ind w:left="745"/>
              <w:rPr>
                <w:sz w:val="18"/>
              </w:rPr>
            </w:pPr>
            <w:r>
              <w:rPr>
                <w:spacing w:val="-4"/>
                <w:sz w:val="18"/>
              </w:rPr>
              <w:t>100%</w:t>
            </w:r>
          </w:p>
        </w:tc>
        <w:tc>
          <w:tcPr>
            <w:tcW w:w="1278"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spacing w:before="1"/>
              <w:ind w:left="881"/>
              <w:rPr>
                <w:sz w:val="18"/>
              </w:rPr>
            </w:pPr>
            <w:r>
              <w:rPr>
                <w:spacing w:val="-4"/>
                <w:sz w:val="18"/>
              </w:rPr>
              <w:t>100%</w:t>
            </w:r>
          </w:p>
        </w:tc>
        <w:tc>
          <w:tcPr>
            <w:tcW w:w="1417" w:type="dxa"/>
          </w:tcPr>
          <w:p>
            <w:pPr>
              <w:pStyle w:val="TableParagraph"/>
              <w:rPr>
                <w:rFonts w:ascii="Times New Roman"/>
                <w:sz w:val="18"/>
              </w:rPr>
            </w:pP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spacing w:before="1"/>
              <w:ind w:left="745"/>
              <w:rPr>
                <w:sz w:val="18"/>
              </w:rPr>
            </w:pPr>
            <w:r>
              <w:rPr>
                <w:spacing w:val="-4"/>
                <w:sz w:val="18"/>
              </w:rPr>
              <w:t>100%</w:t>
            </w: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1"/>
              <w:rPr>
                <w:b/>
                <w:sz w:val="18"/>
              </w:rPr>
            </w:pPr>
          </w:p>
          <w:p>
            <w:pPr>
              <w:pStyle w:val="TableParagraph"/>
              <w:spacing w:before="1"/>
              <w:ind w:right="60"/>
              <w:jc w:val="right"/>
              <w:rPr>
                <w:sz w:val="18"/>
              </w:rPr>
            </w:pPr>
            <w:r>
              <w:rPr>
                <w:spacing w:val="-4"/>
                <w:sz w:val="18"/>
              </w:rPr>
              <w:t>100%</w:t>
            </w:r>
          </w:p>
        </w:tc>
        <w:tc>
          <w:tcPr>
            <w:tcW w:w="1493" w:type="dxa"/>
          </w:tcPr>
          <w:p>
            <w:pPr>
              <w:pStyle w:val="TableParagraph"/>
              <w:rPr>
                <w:rFonts w:ascii="Times New Roman"/>
                <w:sz w:val="18"/>
              </w:rPr>
            </w:pPr>
          </w:p>
        </w:tc>
      </w:tr>
      <w:tr>
        <w:trPr>
          <w:trHeight w:val="1137" w:hRule="atLeast"/>
        </w:trPr>
        <w:tc>
          <w:tcPr>
            <w:tcW w:w="2123" w:type="dxa"/>
          </w:tcPr>
          <w:p>
            <w:pPr>
              <w:pStyle w:val="TableParagraph"/>
              <w:spacing w:before="51"/>
              <w:ind w:left="72" w:right="82"/>
              <w:rPr>
                <w:sz w:val="18"/>
              </w:rPr>
            </w:pPr>
            <w:r>
              <w:rPr>
                <w:b/>
                <w:sz w:val="18"/>
              </w:rPr>
              <w:t>Actividad</w:t>
            </w:r>
            <w:r>
              <w:rPr>
                <w:b/>
                <w:spacing w:val="-15"/>
                <w:sz w:val="18"/>
              </w:rPr>
              <w:t> </w:t>
            </w:r>
            <w:r>
              <w:rPr>
                <w:b/>
                <w:sz w:val="18"/>
              </w:rPr>
              <w:t>PAC</w:t>
            </w:r>
            <w:r>
              <w:rPr>
                <w:b/>
                <w:spacing w:val="-12"/>
                <w:sz w:val="18"/>
              </w:rPr>
              <w:t> </w:t>
            </w:r>
            <w:r>
              <w:rPr>
                <w:b/>
                <w:sz w:val="18"/>
              </w:rPr>
              <w:t>2.42.9: </w:t>
            </w:r>
            <w:r>
              <w:rPr>
                <w:sz w:val="18"/>
              </w:rPr>
              <w:t>Realizar actividades anuales,</w:t>
            </w:r>
            <w:r>
              <w:rPr>
                <w:spacing w:val="-15"/>
                <w:sz w:val="18"/>
              </w:rPr>
              <w:t> </w:t>
            </w:r>
            <w:r>
              <w:rPr>
                <w:sz w:val="18"/>
              </w:rPr>
              <w:t>para</w:t>
            </w:r>
            <w:r>
              <w:rPr>
                <w:spacing w:val="-12"/>
                <w:sz w:val="18"/>
              </w:rPr>
              <w:t> </w:t>
            </w:r>
            <w:r>
              <w:rPr>
                <w:sz w:val="18"/>
              </w:rPr>
              <w:t>fomentar los valores y la ética </w:t>
            </w:r>
            <w:r>
              <w:rPr>
                <w:spacing w:val="-2"/>
                <w:sz w:val="18"/>
              </w:rPr>
              <w:t>institucional.</w:t>
            </w:r>
          </w:p>
        </w:tc>
        <w:tc>
          <w:tcPr>
            <w:tcW w:w="1419" w:type="dxa"/>
          </w:tcPr>
          <w:p>
            <w:pPr>
              <w:pStyle w:val="TableParagraph"/>
              <w:spacing w:before="51"/>
              <w:rPr>
                <w:b/>
                <w:sz w:val="18"/>
              </w:rPr>
            </w:pPr>
          </w:p>
          <w:p>
            <w:pPr>
              <w:pStyle w:val="TableParagraph"/>
              <w:ind w:left="71"/>
              <w:rPr>
                <w:sz w:val="18"/>
              </w:rPr>
            </w:pPr>
            <w:r>
              <w:rPr>
                <w:sz w:val="18"/>
              </w:rPr>
              <w:t>Cantidad</w:t>
            </w:r>
            <w:r>
              <w:rPr>
                <w:spacing w:val="-13"/>
                <w:sz w:val="18"/>
              </w:rPr>
              <w:t> </w:t>
            </w:r>
            <w:r>
              <w:rPr>
                <w:sz w:val="18"/>
              </w:rPr>
              <w:t>de </w:t>
            </w:r>
            <w:r>
              <w:rPr>
                <w:spacing w:val="-2"/>
                <w:sz w:val="18"/>
              </w:rPr>
              <w:t>actividades realizadas</w:t>
            </w:r>
          </w:p>
        </w:tc>
        <w:tc>
          <w:tcPr>
            <w:tcW w:w="1275" w:type="dxa"/>
          </w:tcPr>
          <w:p>
            <w:pPr>
              <w:pStyle w:val="TableParagraph"/>
              <w:rPr>
                <w:rFonts w:ascii="Times New Roman"/>
                <w:sz w:val="18"/>
              </w:rPr>
            </w:pPr>
          </w:p>
        </w:tc>
        <w:tc>
          <w:tcPr>
            <w:tcW w:w="1278" w:type="dxa"/>
          </w:tcPr>
          <w:p>
            <w:pPr>
              <w:pStyle w:val="TableParagraph"/>
              <w:rPr>
                <w:rFonts w:ascii="Times New Roman"/>
                <w:sz w:val="18"/>
              </w:rPr>
            </w:pPr>
          </w:p>
        </w:tc>
        <w:tc>
          <w:tcPr>
            <w:tcW w:w="1417" w:type="dxa"/>
          </w:tcPr>
          <w:p>
            <w:pPr>
              <w:pStyle w:val="TableParagraph"/>
              <w:rPr>
                <w:rFonts w:ascii="Times New Roman"/>
                <w:sz w:val="18"/>
              </w:rPr>
            </w:pPr>
          </w:p>
        </w:tc>
        <w:tc>
          <w:tcPr>
            <w:tcW w:w="1417" w:type="dxa"/>
          </w:tcPr>
          <w:p>
            <w:pPr>
              <w:pStyle w:val="TableParagraph"/>
              <w:rPr>
                <w:rFonts w:ascii="Times New Roman"/>
                <w:sz w:val="18"/>
              </w:rPr>
            </w:pPr>
          </w:p>
        </w:tc>
        <w:tc>
          <w:tcPr>
            <w:tcW w:w="1278"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spacing w:before="51"/>
              <w:rPr>
                <w:b/>
                <w:sz w:val="18"/>
              </w:rPr>
            </w:pPr>
          </w:p>
          <w:p>
            <w:pPr>
              <w:pStyle w:val="TableParagraph"/>
              <w:ind w:right="63"/>
              <w:jc w:val="right"/>
              <w:rPr>
                <w:sz w:val="18"/>
              </w:rPr>
            </w:pPr>
            <w:r>
              <w:rPr>
                <w:spacing w:val="-10"/>
                <w:sz w:val="18"/>
              </w:rPr>
              <w:t>1</w:t>
            </w:r>
          </w:p>
        </w:tc>
        <w:tc>
          <w:tcPr>
            <w:tcW w:w="1493" w:type="dxa"/>
          </w:tcPr>
          <w:p>
            <w:pPr>
              <w:pStyle w:val="TableParagraph"/>
              <w:rPr>
                <w:rFonts w:ascii="Times New Roman"/>
                <w:sz w:val="18"/>
              </w:rPr>
            </w:pPr>
          </w:p>
        </w:tc>
      </w:tr>
      <w:tr>
        <w:trPr>
          <w:trHeight w:val="2487" w:hRule="atLeast"/>
        </w:trPr>
        <w:tc>
          <w:tcPr>
            <w:tcW w:w="2123" w:type="dxa"/>
          </w:tcPr>
          <w:p>
            <w:pPr>
              <w:pStyle w:val="TableParagraph"/>
              <w:ind w:left="72"/>
              <w:rPr>
                <w:sz w:val="18"/>
              </w:rPr>
            </w:pPr>
            <w:r>
              <w:rPr>
                <w:b/>
                <w:sz w:val="18"/>
              </w:rPr>
              <w:t>Actividad</w:t>
            </w:r>
            <w:r>
              <w:rPr>
                <w:b/>
                <w:spacing w:val="-15"/>
                <w:sz w:val="18"/>
              </w:rPr>
              <w:t> </w:t>
            </w:r>
            <w:r>
              <w:rPr>
                <w:b/>
                <w:sz w:val="18"/>
              </w:rPr>
              <w:t>PAC</w:t>
            </w:r>
            <w:r>
              <w:rPr>
                <w:b/>
                <w:spacing w:val="-12"/>
                <w:sz w:val="18"/>
              </w:rPr>
              <w:t> </w:t>
            </w:r>
            <w:r>
              <w:rPr>
                <w:b/>
                <w:sz w:val="18"/>
              </w:rPr>
              <w:t>2.42.10: </w:t>
            </w:r>
            <w:r>
              <w:rPr>
                <w:sz w:val="18"/>
              </w:rPr>
              <w:t>Atender solicitud de la unidad solicitantes de incluir en el pliego de condiciones, en el apartado de Evaluación de ofertas de los procedimientos de contratación pública y según el objeto contractual, criterios</w:t>
            </w:r>
          </w:p>
          <w:p>
            <w:pPr>
              <w:pStyle w:val="TableParagraph"/>
              <w:spacing w:line="187" w:lineRule="exact" w:before="3"/>
              <w:ind w:left="72"/>
              <w:rPr>
                <w:sz w:val="18"/>
              </w:rPr>
            </w:pPr>
            <w:r>
              <w:rPr>
                <w:sz w:val="18"/>
              </w:rPr>
              <w:t>relacionados</w:t>
            </w:r>
            <w:r>
              <w:rPr>
                <w:spacing w:val="-6"/>
                <w:sz w:val="18"/>
              </w:rPr>
              <w:t> </w:t>
            </w:r>
            <w:r>
              <w:rPr>
                <w:spacing w:val="-5"/>
                <w:sz w:val="18"/>
              </w:rPr>
              <w:t>con</w:t>
            </w:r>
          </w:p>
        </w:tc>
        <w:tc>
          <w:tcPr>
            <w:tcW w:w="1419" w:type="dxa"/>
          </w:tcPr>
          <w:p>
            <w:pPr>
              <w:pStyle w:val="TableParagraph"/>
              <w:spacing w:before="103"/>
              <w:rPr>
                <w:b/>
                <w:sz w:val="18"/>
              </w:rPr>
            </w:pPr>
          </w:p>
          <w:p>
            <w:pPr>
              <w:pStyle w:val="TableParagraph"/>
              <w:spacing w:before="1"/>
              <w:ind w:left="71" w:right="100"/>
              <w:rPr>
                <w:sz w:val="18"/>
              </w:rPr>
            </w:pPr>
            <w:r>
              <w:rPr>
                <w:sz w:val="18"/>
              </w:rPr>
              <w:t>porcentaje de solicitudes</w:t>
            </w:r>
            <w:r>
              <w:rPr>
                <w:spacing w:val="-13"/>
                <w:sz w:val="18"/>
              </w:rPr>
              <w:t> </w:t>
            </w:r>
            <w:r>
              <w:rPr>
                <w:sz w:val="18"/>
              </w:rPr>
              <w:t>que incluyen el requisito de </w:t>
            </w:r>
            <w:r>
              <w:rPr>
                <w:spacing w:val="-2"/>
                <w:sz w:val="18"/>
              </w:rPr>
              <w:t>buenas </w:t>
            </w:r>
            <w:r>
              <w:rPr>
                <w:sz w:val="18"/>
              </w:rPr>
              <w:t>prácticas en materia de igualdad de </w:t>
            </w:r>
            <w:r>
              <w:rPr>
                <w:spacing w:val="-2"/>
                <w:sz w:val="18"/>
              </w:rPr>
              <w:t>género</w:t>
            </w:r>
          </w:p>
        </w:tc>
        <w:tc>
          <w:tcPr>
            <w:tcW w:w="1275" w:type="dxa"/>
          </w:tcPr>
          <w:p>
            <w:pPr>
              <w:pStyle w:val="TableParagraph"/>
              <w:rPr>
                <w:rFonts w:ascii="Times New Roman"/>
                <w:sz w:val="18"/>
              </w:rPr>
            </w:pPr>
          </w:p>
        </w:tc>
        <w:tc>
          <w:tcPr>
            <w:tcW w:w="1278" w:type="dxa"/>
          </w:tcPr>
          <w:p>
            <w:pPr>
              <w:pStyle w:val="TableParagraph"/>
              <w:rPr>
                <w:rFonts w:ascii="Times New Roman"/>
                <w:sz w:val="18"/>
              </w:rPr>
            </w:pPr>
          </w:p>
        </w:tc>
        <w:tc>
          <w:tcPr>
            <w:tcW w:w="1417" w:type="dxa"/>
          </w:tcPr>
          <w:p>
            <w:pPr>
              <w:pStyle w:val="TableParagraph"/>
              <w:rPr>
                <w:rFonts w:ascii="Times New Roman"/>
                <w:sz w:val="18"/>
              </w:rPr>
            </w:pPr>
          </w:p>
        </w:tc>
        <w:tc>
          <w:tcPr>
            <w:tcW w:w="1417" w:type="dxa"/>
          </w:tcPr>
          <w:p>
            <w:pPr>
              <w:pStyle w:val="TableParagraph"/>
              <w:rPr>
                <w:rFonts w:ascii="Times New Roman"/>
                <w:sz w:val="18"/>
              </w:rPr>
            </w:pPr>
          </w:p>
        </w:tc>
        <w:tc>
          <w:tcPr>
            <w:tcW w:w="1278"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right="60"/>
              <w:jc w:val="right"/>
              <w:rPr>
                <w:sz w:val="18"/>
              </w:rPr>
            </w:pPr>
            <w:r>
              <w:rPr>
                <w:spacing w:val="-4"/>
                <w:sz w:val="18"/>
              </w:rPr>
              <w:t>100%</w:t>
            </w:r>
          </w:p>
        </w:tc>
        <w:tc>
          <w:tcPr>
            <w:tcW w:w="1493" w:type="dxa"/>
          </w:tcPr>
          <w:p>
            <w:pPr>
              <w:pStyle w:val="TableParagraph"/>
              <w:rPr>
                <w:rFonts w:ascii="Times New Roman"/>
                <w:sz w:val="18"/>
              </w:rPr>
            </w:pPr>
          </w:p>
        </w:tc>
      </w:tr>
    </w:tbl>
    <w:p>
      <w:pPr>
        <w:pStyle w:val="TableParagraph"/>
        <w:spacing w:after="0"/>
        <w:rPr>
          <w:rFonts w:ascii="Times New Roman"/>
          <w:sz w:val="18"/>
        </w:rPr>
        <w:sectPr>
          <w:footerReference w:type="default" r:id="rId83"/>
          <w:pgSz w:w="15840" w:h="12240" w:orient="landscape"/>
          <w:pgMar w:header="0" w:footer="1806" w:top="700" w:bottom="2334" w:left="360" w:right="360"/>
          <w:pgNumType w:start="302"/>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3"/>
        <w:gridCol w:w="1419"/>
        <w:gridCol w:w="1275"/>
        <w:gridCol w:w="1278"/>
        <w:gridCol w:w="1417"/>
        <w:gridCol w:w="1417"/>
        <w:gridCol w:w="1278"/>
        <w:gridCol w:w="1277"/>
        <w:gridCol w:w="1277"/>
        <w:gridCol w:w="1493"/>
      </w:tblGrid>
      <w:tr>
        <w:trPr>
          <w:trHeight w:val="369" w:hRule="atLeast"/>
        </w:trPr>
        <w:tc>
          <w:tcPr>
            <w:tcW w:w="2123" w:type="dxa"/>
            <w:vMerge w:val="restart"/>
            <w:shd w:val="clear" w:color="auto" w:fill="F1F1F1"/>
          </w:tcPr>
          <w:p>
            <w:pPr>
              <w:pStyle w:val="TableParagraph"/>
              <w:spacing w:before="147"/>
              <w:rPr>
                <w:b/>
                <w:sz w:val="18"/>
              </w:rPr>
            </w:pPr>
          </w:p>
          <w:p>
            <w:pPr>
              <w:pStyle w:val="TableParagraph"/>
              <w:ind w:left="72"/>
              <w:rPr>
                <w:b/>
                <w:sz w:val="18"/>
              </w:rPr>
            </w:pPr>
            <w:r>
              <w:rPr>
                <w:b/>
                <w:sz w:val="18"/>
              </w:rPr>
              <w:t>Objetivos</w:t>
            </w:r>
            <w:r>
              <w:rPr>
                <w:b/>
                <w:spacing w:val="-5"/>
                <w:sz w:val="18"/>
              </w:rPr>
              <w:t> </w:t>
            </w:r>
            <w:r>
              <w:rPr>
                <w:b/>
                <w:sz w:val="18"/>
              </w:rPr>
              <w:t>/</w:t>
            </w:r>
            <w:r>
              <w:rPr>
                <w:b/>
                <w:spacing w:val="-2"/>
                <w:sz w:val="18"/>
              </w:rPr>
              <w:t> Resultados</w:t>
            </w:r>
          </w:p>
        </w:tc>
        <w:tc>
          <w:tcPr>
            <w:tcW w:w="1419" w:type="dxa"/>
            <w:vMerge w:val="restart"/>
            <w:shd w:val="clear" w:color="auto" w:fill="F1F1F1"/>
          </w:tcPr>
          <w:p>
            <w:pPr>
              <w:pStyle w:val="TableParagraph"/>
              <w:spacing w:before="147"/>
              <w:rPr>
                <w:b/>
                <w:sz w:val="18"/>
              </w:rPr>
            </w:pPr>
          </w:p>
          <w:p>
            <w:pPr>
              <w:pStyle w:val="TableParagraph"/>
              <w:ind w:left="71"/>
              <w:rPr>
                <w:b/>
                <w:sz w:val="18"/>
              </w:rPr>
            </w:pPr>
            <w:r>
              <w:rPr>
                <w:b/>
                <w:spacing w:val="-2"/>
                <w:sz w:val="18"/>
              </w:rPr>
              <w:t>Indicador</w:t>
            </w:r>
          </w:p>
        </w:tc>
        <w:tc>
          <w:tcPr>
            <w:tcW w:w="2553" w:type="dxa"/>
            <w:gridSpan w:val="2"/>
            <w:shd w:val="clear" w:color="auto" w:fill="F1F1F1"/>
          </w:tcPr>
          <w:p>
            <w:pPr>
              <w:pStyle w:val="TableParagraph"/>
              <w:spacing w:before="80"/>
              <w:ind w:left="812"/>
              <w:rPr>
                <w:b/>
                <w:sz w:val="18"/>
              </w:rPr>
            </w:pPr>
            <w:r>
              <w:rPr>
                <w:b/>
                <w:sz w:val="18"/>
              </w:rPr>
              <w:t>I</w:t>
            </w:r>
            <w:r>
              <w:rPr>
                <w:b/>
                <w:spacing w:val="-1"/>
                <w:sz w:val="18"/>
              </w:rPr>
              <w:t> </w:t>
            </w:r>
            <w:r>
              <w:rPr>
                <w:b/>
                <w:spacing w:val="-2"/>
                <w:sz w:val="18"/>
              </w:rPr>
              <w:t>Trimestre</w:t>
            </w:r>
          </w:p>
        </w:tc>
        <w:tc>
          <w:tcPr>
            <w:tcW w:w="2834" w:type="dxa"/>
            <w:gridSpan w:val="2"/>
            <w:shd w:val="clear" w:color="auto" w:fill="F1F1F1"/>
          </w:tcPr>
          <w:p>
            <w:pPr>
              <w:pStyle w:val="TableParagraph"/>
              <w:spacing w:before="80"/>
              <w:ind w:left="924"/>
              <w:rPr>
                <w:b/>
                <w:sz w:val="18"/>
              </w:rPr>
            </w:pPr>
            <w:r>
              <w:rPr>
                <w:b/>
                <w:sz w:val="18"/>
              </w:rPr>
              <w:t>II</w:t>
            </w:r>
            <w:r>
              <w:rPr>
                <w:b/>
                <w:spacing w:val="-3"/>
                <w:sz w:val="18"/>
              </w:rPr>
              <w:t> </w:t>
            </w:r>
            <w:r>
              <w:rPr>
                <w:b/>
                <w:spacing w:val="-2"/>
                <w:sz w:val="18"/>
              </w:rPr>
              <w:t>Trimestre</w:t>
            </w:r>
          </w:p>
        </w:tc>
        <w:tc>
          <w:tcPr>
            <w:tcW w:w="2555" w:type="dxa"/>
            <w:gridSpan w:val="2"/>
            <w:shd w:val="clear" w:color="auto" w:fill="F1F1F1"/>
          </w:tcPr>
          <w:p>
            <w:pPr>
              <w:pStyle w:val="TableParagraph"/>
              <w:spacing w:before="80"/>
              <w:ind w:left="764"/>
              <w:rPr>
                <w:b/>
                <w:sz w:val="18"/>
              </w:rPr>
            </w:pPr>
            <w:r>
              <w:rPr>
                <w:b/>
                <w:sz w:val="18"/>
              </w:rPr>
              <w:t>III</w:t>
            </w:r>
            <w:r>
              <w:rPr>
                <w:b/>
                <w:spacing w:val="-2"/>
                <w:sz w:val="18"/>
              </w:rPr>
              <w:t> Trimestre</w:t>
            </w:r>
          </w:p>
        </w:tc>
        <w:tc>
          <w:tcPr>
            <w:tcW w:w="2770" w:type="dxa"/>
            <w:gridSpan w:val="2"/>
            <w:shd w:val="clear" w:color="auto" w:fill="F1F1F1"/>
          </w:tcPr>
          <w:p>
            <w:pPr>
              <w:pStyle w:val="TableParagraph"/>
              <w:spacing w:before="80"/>
              <w:ind w:left="855"/>
              <w:rPr>
                <w:b/>
                <w:sz w:val="18"/>
              </w:rPr>
            </w:pPr>
            <w:r>
              <w:rPr>
                <w:b/>
                <w:sz w:val="18"/>
              </w:rPr>
              <w:t>IV</w:t>
            </w:r>
            <w:r>
              <w:rPr>
                <w:b/>
                <w:spacing w:val="-2"/>
                <w:sz w:val="18"/>
              </w:rPr>
              <w:t> Trimestre</w:t>
            </w:r>
          </w:p>
        </w:tc>
      </w:tr>
      <w:tr>
        <w:trPr>
          <w:trHeight w:val="541" w:hRule="atLeast"/>
        </w:trPr>
        <w:tc>
          <w:tcPr>
            <w:tcW w:w="2123" w:type="dxa"/>
            <w:vMerge/>
            <w:tcBorders>
              <w:top w:val="nil"/>
            </w:tcBorders>
            <w:shd w:val="clear" w:color="auto" w:fill="F1F1F1"/>
          </w:tcPr>
          <w:p>
            <w:pPr>
              <w:rPr>
                <w:sz w:val="2"/>
                <w:szCs w:val="2"/>
              </w:rPr>
            </w:pPr>
          </w:p>
        </w:tc>
        <w:tc>
          <w:tcPr>
            <w:tcW w:w="1419" w:type="dxa"/>
            <w:vMerge/>
            <w:tcBorders>
              <w:top w:val="nil"/>
            </w:tcBorders>
            <w:shd w:val="clear" w:color="auto" w:fill="F1F1F1"/>
          </w:tcPr>
          <w:p>
            <w:pPr>
              <w:rPr>
                <w:sz w:val="2"/>
                <w:szCs w:val="2"/>
              </w:rPr>
            </w:pPr>
          </w:p>
        </w:tc>
        <w:tc>
          <w:tcPr>
            <w:tcW w:w="1275" w:type="dxa"/>
            <w:shd w:val="clear" w:color="auto" w:fill="F1F1F1"/>
          </w:tcPr>
          <w:p>
            <w:pPr>
              <w:pStyle w:val="TableParagraph"/>
              <w:spacing w:line="244" w:lineRule="auto" w:before="61"/>
              <w:ind w:left="116" w:firstLine="312"/>
              <w:rPr>
                <w:b/>
                <w:sz w:val="18"/>
              </w:rPr>
            </w:pPr>
            <w:r>
              <w:rPr>
                <w:b/>
                <w:spacing w:val="-4"/>
                <w:sz w:val="18"/>
              </w:rPr>
              <w:t>Meta </w:t>
            </w:r>
            <w:r>
              <w:rPr>
                <w:b/>
                <w:spacing w:val="-2"/>
                <w:sz w:val="18"/>
              </w:rPr>
              <w:t>programada</w:t>
            </w:r>
          </w:p>
        </w:tc>
        <w:tc>
          <w:tcPr>
            <w:tcW w:w="1278" w:type="dxa"/>
            <w:shd w:val="clear" w:color="auto" w:fill="F1F1F1"/>
          </w:tcPr>
          <w:p>
            <w:pPr>
              <w:pStyle w:val="TableParagraph"/>
              <w:spacing w:before="167"/>
              <w:ind w:left="21" w:right="9"/>
              <w:jc w:val="center"/>
              <w:rPr>
                <w:b/>
                <w:sz w:val="18"/>
              </w:rPr>
            </w:pPr>
            <w:r>
              <w:rPr>
                <w:b/>
                <w:spacing w:val="-10"/>
                <w:sz w:val="18"/>
              </w:rPr>
              <w:t>¢</w:t>
            </w:r>
          </w:p>
        </w:tc>
        <w:tc>
          <w:tcPr>
            <w:tcW w:w="1417" w:type="dxa"/>
            <w:shd w:val="clear" w:color="auto" w:fill="F1F1F1"/>
          </w:tcPr>
          <w:p>
            <w:pPr>
              <w:pStyle w:val="TableParagraph"/>
              <w:spacing w:line="244" w:lineRule="auto" w:before="61"/>
              <w:ind w:left="180" w:firstLine="316"/>
              <w:rPr>
                <w:b/>
                <w:sz w:val="18"/>
              </w:rPr>
            </w:pPr>
            <w:r>
              <w:rPr>
                <w:b/>
                <w:spacing w:val="-4"/>
                <w:sz w:val="18"/>
              </w:rPr>
              <w:t>Meta </w:t>
            </w:r>
            <w:r>
              <w:rPr>
                <w:b/>
                <w:spacing w:val="-2"/>
                <w:sz w:val="18"/>
              </w:rPr>
              <w:t>programada</w:t>
            </w:r>
          </w:p>
        </w:tc>
        <w:tc>
          <w:tcPr>
            <w:tcW w:w="1417" w:type="dxa"/>
            <w:shd w:val="clear" w:color="auto" w:fill="F1F1F1"/>
          </w:tcPr>
          <w:p>
            <w:pPr>
              <w:pStyle w:val="TableParagraph"/>
              <w:spacing w:before="167"/>
              <w:ind w:left="9" w:right="5"/>
              <w:jc w:val="center"/>
              <w:rPr>
                <w:b/>
                <w:sz w:val="18"/>
              </w:rPr>
            </w:pPr>
            <w:r>
              <w:rPr>
                <w:b/>
                <w:spacing w:val="-10"/>
                <w:sz w:val="18"/>
              </w:rPr>
              <w:t>¢</w:t>
            </w:r>
          </w:p>
        </w:tc>
        <w:tc>
          <w:tcPr>
            <w:tcW w:w="1278" w:type="dxa"/>
            <w:shd w:val="clear" w:color="auto" w:fill="F1F1F1"/>
          </w:tcPr>
          <w:p>
            <w:pPr>
              <w:pStyle w:val="TableParagraph"/>
              <w:spacing w:line="244" w:lineRule="auto" w:before="61"/>
              <w:ind w:left="116" w:firstLine="312"/>
              <w:rPr>
                <w:b/>
                <w:sz w:val="18"/>
              </w:rPr>
            </w:pPr>
            <w:r>
              <w:rPr>
                <w:b/>
                <w:spacing w:val="-4"/>
                <w:sz w:val="18"/>
              </w:rPr>
              <w:t>Meta </w:t>
            </w:r>
            <w:r>
              <w:rPr>
                <w:b/>
                <w:spacing w:val="-2"/>
                <w:sz w:val="18"/>
              </w:rPr>
              <w:t>programada</w:t>
            </w:r>
          </w:p>
        </w:tc>
        <w:tc>
          <w:tcPr>
            <w:tcW w:w="1277" w:type="dxa"/>
            <w:shd w:val="clear" w:color="auto" w:fill="F1F1F1"/>
          </w:tcPr>
          <w:p>
            <w:pPr>
              <w:pStyle w:val="TableParagraph"/>
              <w:spacing w:before="167"/>
              <w:ind w:left="16" w:right="9"/>
              <w:jc w:val="center"/>
              <w:rPr>
                <w:b/>
                <w:sz w:val="18"/>
              </w:rPr>
            </w:pPr>
            <w:r>
              <w:rPr>
                <w:b/>
                <w:spacing w:val="-10"/>
                <w:sz w:val="18"/>
              </w:rPr>
              <w:t>¢</w:t>
            </w:r>
          </w:p>
        </w:tc>
        <w:tc>
          <w:tcPr>
            <w:tcW w:w="1277" w:type="dxa"/>
            <w:shd w:val="clear" w:color="auto" w:fill="F1F1F1"/>
          </w:tcPr>
          <w:p>
            <w:pPr>
              <w:pStyle w:val="TableParagraph"/>
              <w:spacing w:line="244" w:lineRule="auto" w:before="61"/>
              <w:ind w:left="111" w:firstLine="312"/>
              <w:rPr>
                <w:b/>
                <w:sz w:val="18"/>
              </w:rPr>
            </w:pPr>
            <w:r>
              <w:rPr>
                <w:b/>
                <w:spacing w:val="-4"/>
                <w:sz w:val="18"/>
              </w:rPr>
              <w:t>Meta </w:t>
            </w:r>
            <w:r>
              <w:rPr>
                <w:b/>
                <w:spacing w:val="-2"/>
                <w:sz w:val="18"/>
              </w:rPr>
              <w:t>programada</w:t>
            </w:r>
          </w:p>
        </w:tc>
        <w:tc>
          <w:tcPr>
            <w:tcW w:w="1493" w:type="dxa"/>
            <w:shd w:val="clear" w:color="auto" w:fill="F1F1F1"/>
          </w:tcPr>
          <w:p>
            <w:pPr>
              <w:pStyle w:val="TableParagraph"/>
              <w:spacing w:before="167"/>
              <w:ind w:right="4"/>
              <w:jc w:val="center"/>
              <w:rPr>
                <w:b/>
                <w:sz w:val="18"/>
              </w:rPr>
            </w:pPr>
            <w:r>
              <w:rPr>
                <w:b/>
                <w:spacing w:val="-10"/>
                <w:sz w:val="18"/>
              </w:rPr>
              <w:t>¢</w:t>
            </w:r>
          </w:p>
        </w:tc>
      </w:tr>
      <w:tr>
        <w:trPr>
          <w:trHeight w:val="878" w:hRule="atLeast"/>
        </w:trPr>
        <w:tc>
          <w:tcPr>
            <w:tcW w:w="2123" w:type="dxa"/>
          </w:tcPr>
          <w:p>
            <w:pPr>
              <w:pStyle w:val="TableParagraph"/>
              <w:ind w:left="72"/>
              <w:rPr>
                <w:sz w:val="18"/>
              </w:rPr>
            </w:pPr>
            <w:r>
              <w:rPr>
                <w:sz w:val="18"/>
              </w:rPr>
              <w:t>buenas prácticas en materia</w:t>
            </w:r>
            <w:r>
              <w:rPr>
                <w:spacing w:val="-15"/>
                <w:sz w:val="18"/>
              </w:rPr>
              <w:t> </w:t>
            </w:r>
            <w:r>
              <w:rPr>
                <w:sz w:val="18"/>
              </w:rPr>
              <w:t>de</w:t>
            </w:r>
            <w:r>
              <w:rPr>
                <w:spacing w:val="-12"/>
                <w:sz w:val="18"/>
              </w:rPr>
              <w:t> </w:t>
            </w:r>
            <w:r>
              <w:rPr>
                <w:sz w:val="18"/>
              </w:rPr>
              <w:t>cumplimiento en igualdad de género.</w:t>
            </w:r>
          </w:p>
        </w:tc>
        <w:tc>
          <w:tcPr>
            <w:tcW w:w="1419" w:type="dxa"/>
          </w:tcPr>
          <w:p>
            <w:pPr>
              <w:pStyle w:val="TableParagraph"/>
              <w:rPr>
                <w:rFonts w:ascii="Times New Roman"/>
                <w:sz w:val="18"/>
              </w:rPr>
            </w:pPr>
          </w:p>
        </w:tc>
        <w:tc>
          <w:tcPr>
            <w:tcW w:w="1275" w:type="dxa"/>
          </w:tcPr>
          <w:p>
            <w:pPr>
              <w:pStyle w:val="TableParagraph"/>
              <w:rPr>
                <w:rFonts w:ascii="Times New Roman"/>
                <w:sz w:val="18"/>
              </w:rPr>
            </w:pPr>
          </w:p>
        </w:tc>
        <w:tc>
          <w:tcPr>
            <w:tcW w:w="1278" w:type="dxa"/>
          </w:tcPr>
          <w:p>
            <w:pPr>
              <w:pStyle w:val="TableParagraph"/>
              <w:rPr>
                <w:rFonts w:ascii="Times New Roman"/>
                <w:sz w:val="18"/>
              </w:rPr>
            </w:pPr>
          </w:p>
        </w:tc>
        <w:tc>
          <w:tcPr>
            <w:tcW w:w="1417" w:type="dxa"/>
          </w:tcPr>
          <w:p>
            <w:pPr>
              <w:pStyle w:val="TableParagraph"/>
              <w:rPr>
                <w:rFonts w:ascii="Times New Roman"/>
                <w:sz w:val="18"/>
              </w:rPr>
            </w:pPr>
          </w:p>
        </w:tc>
        <w:tc>
          <w:tcPr>
            <w:tcW w:w="1417" w:type="dxa"/>
          </w:tcPr>
          <w:p>
            <w:pPr>
              <w:pStyle w:val="TableParagraph"/>
              <w:rPr>
                <w:rFonts w:ascii="Times New Roman"/>
                <w:sz w:val="18"/>
              </w:rPr>
            </w:pPr>
          </w:p>
        </w:tc>
        <w:tc>
          <w:tcPr>
            <w:tcW w:w="1278"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rFonts w:ascii="Times New Roman"/>
                <w:sz w:val="18"/>
              </w:rPr>
            </w:pPr>
          </w:p>
        </w:tc>
        <w:tc>
          <w:tcPr>
            <w:tcW w:w="1493" w:type="dxa"/>
          </w:tcPr>
          <w:p>
            <w:pPr>
              <w:pStyle w:val="TableParagraph"/>
              <w:rPr>
                <w:rFonts w:ascii="Times New Roman"/>
                <w:sz w:val="18"/>
              </w:rPr>
            </w:pPr>
          </w:p>
        </w:tc>
      </w:tr>
      <w:tr>
        <w:trPr>
          <w:trHeight w:val="4969" w:hRule="atLeast"/>
        </w:trPr>
        <w:tc>
          <w:tcPr>
            <w:tcW w:w="2123" w:type="dxa"/>
          </w:tcPr>
          <w:p>
            <w:pPr>
              <w:pStyle w:val="TableParagraph"/>
              <w:ind w:left="72" w:right="62"/>
              <w:rPr>
                <w:sz w:val="18"/>
              </w:rPr>
            </w:pPr>
            <w:r>
              <w:rPr>
                <w:b/>
                <w:sz w:val="18"/>
              </w:rPr>
              <w:t>Actividad</w:t>
            </w:r>
            <w:r>
              <w:rPr>
                <w:b/>
                <w:spacing w:val="-8"/>
                <w:sz w:val="18"/>
              </w:rPr>
              <w:t> </w:t>
            </w:r>
            <w:r>
              <w:rPr>
                <w:b/>
                <w:sz w:val="18"/>
              </w:rPr>
              <w:t>PAC</w:t>
            </w:r>
            <w:r>
              <w:rPr>
                <w:b/>
                <w:spacing w:val="-5"/>
                <w:sz w:val="18"/>
              </w:rPr>
              <w:t> </w:t>
            </w:r>
            <w:r>
              <w:rPr>
                <w:b/>
                <w:sz w:val="18"/>
              </w:rPr>
              <w:t>2.42.11: </w:t>
            </w:r>
            <w:r>
              <w:rPr>
                <w:sz w:val="18"/>
              </w:rPr>
              <w:t>Atender solicitud de la unidad solicitantes de incluir en el pliego de condiciones, en el apartado de Evaluación de ofertas de los procedimientos de contratación pública y según el objeto contractual, criterios de desarrollo social, promoción de la sostenibilidad</w:t>
            </w:r>
            <w:r>
              <w:rPr>
                <w:spacing w:val="-13"/>
                <w:sz w:val="18"/>
              </w:rPr>
              <w:t> </w:t>
            </w:r>
            <w:r>
              <w:rPr>
                <w:sz w:val="18"/>
              </w:rPr>
              <w:t>ambiental, promoción de</w:t>
            </w:r>
            <w:r>
              <w:rPr>
                <w:spacing w:val="40"/>
                <w:sz w:val="18"/>
              </w:rPr>
              <w:t> </w:t>
            </w:r>
            <w:r>
              <w:rPr>
                <w:sz w:val="18"/>
              </w:rPr>
              <w:t>innovación y promoción de participación</w:t>
            </w:r>
            <w:r>
              <w:rPr>
                <w:spacing w:val="-4"/>
                <w:sz w:val="18"/>
              </w:rPr>
              <w:t> </w:t>
            </w:r>
            <w:r>
              <w:rPr>
                <w:sz w:val="18"/>
              </w:rPr>
              <w:t>PYMES en los procedimientos</w:t>
            </w:r>
            <w:r>
              <w:rPr>
                <w:spacing w:val="40"/>
                <w:sz w:val="18"/>
              </w:rPr>
              <w:t> </w:t>
            </w:r>
            <w:r>
              <w:rPr>
                <w:sz w:val="18"/>
              </w:rPr>
              <w:t>de contratación que hayan sido declarados licitación estratégica, de innovación o de participación de las</w:t>
            </w:r>
          </w:p>
          <w:p>
            <w:pPr>
              <w:pStyle w:val="TableParagraph"/>
              <w:spacing w:line="187" w:lineRule="exact" w:before="1"/>
              <w:ind w:left="72"/>
              <w:rPr>
                <w:sz w:val="18"/>
              </w:rPr>
            </w:pPr>
            <w:r>
              <w:rPr>
                <w:spacing w:val="-2"/>
                <w:sz w:val="18"/>
              </w:rPr>
              <w:t>PYMES</w:t>
            </w:r>
          </w:p>
        </w:tc>
        <w:tc>
          <w:tcPr>
            <w:tcW w:w="141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1" w:right="100"/>
              <w:rPr>
                <w:sz w:val="18"/>
              </w:rPr>
            </w:pPr>
            <w:r>
              <w:rPr>
                <w:sz w:val="18"/>
              </w:rPr>
              <w:t>Porcentaje de solicitudes</w:t>
            </w:r>
            <w:r>
              <w:rPr>
                <w:spacing w:val="-13"/>
                <w:sz w:val="18"/>
              </w:rPr>
              <w:t> </w:t>
            </w:r>
            <w:r>
              <w:rPr>
                <w:sz w:val="18"/>
              </w:rPr>
              <w:t>que incluyen el </w:t>
            </w:r>
            <w:r>
              <w:rPr>
                <w:spacing w:val="-2"/>
                <w:sz w:val="18"/>
              </w:rPr>
              <w:t>requisito criterios sociales, </w:t>
            </w:r>
            <w:r>
              <w:rPr>
                <w:sz w:val="18"/>
              </w:rPr>
              <w:t>innovación y </w:t>
            </w:r>
            <w:r>
              <w:rPr>
                <w:spacing w:val="-2"/>
                <w:sz w:val="18"/>
              </w:rPr>
              <w:t>pymes</w:t>
            </w:r>
          </w:p>
        </w:tc>
        <w:tc>
          <w:tcPr>
            <w:tcW w:w="1275" w:type="dxa"/>
          </w:tcPr>
          <w:p>
            <w:pPr>
              <w:pStyle w:val="TableParagraph"/>
              <w:rPr>
                <w:rFonts w:ascii="Times New Roman"/>
                <w:sz w:val="18"/>
              </w:rPr>
            </w:pPr>
          </w:p>
        </w:tc>
        <w:tc>
          <w:tcPr>
            <w:tcW w:w="1278" w:type="dxa"/>
          </w:tcPr>
          <w:p>
            <w:pPr>
              <w:pStyle w:val="TableParagraph"/>
              <w:rPr>
                <w:rFonts w:ascii="Times New Roman"/>
                <w:sz w:val="18"/>
              </w:rPr>
            </w:pPr>
          </w:p>
        </w:tc>
        <w:tc>
          <w:tcPr>
            <w:tcW w:w="1417" w:type="dxa"/>
          </w:tcPr>
          <w:p>
            <w:pPr>
              <w:pStyle w:val="TableParagraph"/>
              <w:rPr>
                <w:rFonts w:ascii="Times New Roman"/>
                <w:sz w:val="18"/>
              </w:rPr>
            </w:pPr>
          </w:p>
        </w:tc>
        <w:tc>
          <w:tcPr>
            <w:tcW w:w="1417" w:type="dxa"/>
          </w:tcPr>
          <w:p>
            <w:pPr>
              <w:pStyle w:val="TableParagraph"/>
              <w:rPr>
                <w:rFonts w:ascii="Times New Roman"/>
                <w:sz w:val="18"/>
              </w:rPr>
            </w:pPr>
          </w:p>
        </w:tc>
        <w:tc>
          <w:tcPr>
            <w:tcW w:w="1278"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spacing w:before="1"/>
              <w:ind w:left="740"/>
              <w:rPr>
                <w:sz w:val="18"/>
              </w:rPr>
            </w:pPr>
            <w:r>
              <w:rPr>
                <w:spacing w:val="-4"/>
                <w:sz w:val="18"/>
              </w:rPr>
              <w:t>100%</w:t>
            </w:r>
          </w:p>
        </w:tc>
        <w:tc>
          <w:tcPr>
            <w:tcW w:w="1493"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23"/>
        <w:gridCol w:w="1419"/>
        <w:gridCol w:w="1275"/>
        <w:gridCol w:w="1278"/>
        <w:gridCol w:w="1417"/>
        <w:gridCol w:w="1417"/>
        <w:gridCol w:w="1278"/>
        <w:gridCol w:w="1277"/>
        <w:gridCol w:w="1277"/>
        <w:gridCol w:w="1493"/>
      </w:tblGrid>
      <w:tr>
        <w:trPr>
          <w:trHeight w:val="369" w:hRule="atLeast"/>
        </w:trPr>
        <w:tc>
          <w:tcPr>
            <w:tcW w:w="2123" w:type="dxa"/>
            <w:vMerge w:val="restart"/>
            <w:shd w:val="clear" w:color="auto" w:fill="F1F1F1"/>
          </w:tcPr>
          <w:p>
            <w:pPr>
              <w:pStyle w:val="TableParagraph"/>
              <w:spacing w:before="147"/>
              <w:rPr>
                <w:b/>
                <w:sz w:val="18"/>
              </w:rPr>
            </w:pPr>
          </w:p>
          <w:p>
            <w:pPr>
              <w:pStyle w:val="TableParagraph"/>
              <w:ind w:left="72"/>
              <w:rPr>
                <w:b/>
                <w:sz w:val="18"/>
              </w:rPr>
            </w:pPr>
            <w:r>
              <w:rPr>
                <w:b/>
                <w:sz w:val="18"/>
              </w:rPr>
              <w:t>Objetivos</w:t>
            </w:r>
            <w:r>
              <w:rPr>
                <w:b/>
                <w:spacing w:val="-5"/>
                <w:sz w:val="18"/>
              </w:rPr>
              <w:t> </w:t>
            </w:r>
            <w:r>
              <w:rPr>
                <w:b/>
                <w:sz w:val="18"/>
              </w:rPr>
              <w:t>/</w:t>
            </w:r>
            <w:r>
              <w:rPr>
                <w:b/>
                <w:spacing w:val="-2"/>
                <w:sz w:val="18"/>
              </w:rPr>
              <w:t> Resultados</w:t>
            </w:r>
          </w:p>
        </w:tc>
        <w:tc>
          <w:tcPr>
            <w:tcW w:w="1419" w:type="dxa"/>
            <w:vMerge w:val="restart"/>
            <w:shd w:val="clear" w:color="auto" w:fill="F1F1F1"/>
          </w:tcPr>
          <w:p>
            <w:pPr>
              <w:pStyle w:val="TableParagraph"/>
              <w:spacing w:before="147"/>
              <w:rPr>
                <w:b/>
                <w:sz w:val="18"/>
              </w:rPr>
            </w:pPr>
          </w:p>
          <w:p>
            <w:pPr>
              <w:pStyle w:val="TableParagraph"/>
              <w:ind w:left="71"/>
              <w:rPr>
                <w:b/>
                <w:sz w:val="18"/>
              </w:rPr>
            </w:pPr>
            <w:r>
              <w:rPr>
                <w:b/>
                <w:spacing w:val="-2"/>
                <w:sz w:val="18"/>
              </w:rPr>
              <w:t>Indicador</w:t>
            </w:r>
          </w:p>
        </w:tc>
        <w:tc>
          <w:tcPr>
            <w:tcW w:w="2553" w:type="dxa"/>
            <w:gridSpan w:val="2"/>
            <w:shd w:val="clear" w:color="auto" w:fill="F1F1F1"/>
          </w:tcPr>
          <w:p>
            <w:pPr>
              <w:pStyle w:val="TableParagraph"/>
              <w:spacing w:before="80"/>
              <w:ind w:left="812"/>
              <w:rPr>
                <w:b/>
                <w:sz w:val="18"/>
              </w:rPr>
            </w:pPr>
            <w:r>
              <w:rPr>
                <w:b/>
                <w:sz w:val="18"/>
              </w:rPr>
              <w:t>I</w:t>
            </w:r>
            <w:r>
              <w:rPr>
                <w:b/>
                <w:spacing w:val="-1"/>
                <w:sz w:val="18"/>
              </w:rPr>
              <w:t> </w:t>
            </w:r>
            <w:r>
              <w:rPr>
                <w:b/>
                <w:spacing w:val="-2"/>
                <w:sz w:val="18"/>
              </w:rPr>
              <w:t>Trimestre</w:t>
            </w:r>
          </w:p>
        </w:tc>
        <w:tc>
          <w:tcPr>
            <w:tcW w:w="2834" w:type="dxa"/>
            <w:gridSpan w:val="2"/>
            <w:shd w:val="clear" w:color="auto" w:fill="F1F1F1"/>
          </w:tcPr>
          <w:p>
            <w:pPr>
              <w:pStyle w:val="TableParagraph"/>
              <w:spacing w:before="80"/>
              <w:ind w:left="924"/>
              <w:rPr>
                <w:b/>
                <w:sz w:val="18"/>
              </w:rPr>
            </w:pPr>
            <w:r>
              <w:rPr>
                <w:b/>
                <w:sz w:val="18"/>
              </w:rPr>
              <w:t>II</w:t>
            </w:r>
            <w:r>
              <w:rPr>
                <w:b/>
                <w:spacing w:val="-3"/>
                <w:sz w:val="18"/>
              </w:rPr>
              <w:t> </w:t>
            </w:r>
            <w:r>
              <w:rPr>
                <w:b/>
                <w:spacing w:val="-2"/>
                <w:sz w:val="18"/>
              </w:rPr>
              <w:t>Trimestre</w:t>
            </w:r>
          </w:p>
        </w:tc>
        <w:tc>
          <w:tcPr>
            <w:tcW w:w="2555" w:type="dxa"/>
            <w:gridSpan w:val="2"/>
            <w:shd w:val="clear" w:color="auto" w:fill="F1F1F1"/>
          </w:tcPr>
          <w:p>
            <w:pPr>
              <w:pStyle w:val="TableParagraph"/>
              <w:spacing w:before="80"/>
              <w:ind w:left="764"/>
              <w:rPr>
                <w:b/>
                <w:sz w:val="18"/>
              </w:rPr>
            </w:pPr>
            <w:r>
              <w:rPr>
                <w:b/>
                <w:sz w:val="18"/>
              </w:rPr>
              <w:t>III</w:t>
            </w:r>
            <w:r>
              <w:rPr>
                <w:b/>
                <w:spacing w:val="-2"/>
                <w:sz w:val="18"/>
              </w:rPr>
              <w:t> Trimestre</w:t>
            </w:r>
          </w:p>
        </w:tc>
        <w:tc>
          <w:tcPr>
            <w:tcW w:w="2770" w:type="dxa"/>
            <w:gridSpan w:val="2"/>
            <w:shd w:val="clear" w:color="auto" w:fill="F1F1F1"/>
          </w:tcPr>
          <w:p>
            <w:pPr>
              <w:pStyle w:val="TableParagraph"/>
              <w:spacing w:before="80"/>
              <w:ind w:left="855"/>
              <w:rPr>
                <w:b/>
                <w:sz w:val="18"/>
              </w:rPr>
            </w:pPr>
            <w:r>
              <w:rPr>
                <w:b/>
                <w:sz w:val="18"/>
              </w:rPr>
              <w:t>IV</w:t>
            </w:r>
            <w:r>
              <w:rPr>
                <w:b/>
                <w:spacing w:val="-2"/>
                <w:sz w:val="18"/>
              </w:rPr>
              <w:t> Trimestre</w:t>
            </w:r>
          </w:p>
        </w:tc>
      </w:tr>
      <w:tr>
        <w:trPr>
          <w:trHeight w:val="541" w:hRule="atLeast"/>
        </w:trPr>
        <w:tc>
          <w:tcPr>
            <w:tcW w:w="2123" w:type="dxa"/>
            <w:vMerge/>
            <w:tcBorders>
              <w:top w:val="nil"/>
            </w:tcBorders>
            <w:shd w:val="clear" w:color="auto" w:fill="F1F1F1"/>
          </w:tcPr>
          <w:p>
            <w:pPr>
              <w:rPr>
                <w:sz w:val="2"/>
                <w:szCs w:val="2"/>
              </w:rPr>
            </w:pPr>
          </w:p>
        </w:tc>
        <w:tc>
          <w:tcPr>
            <w:tcW w:w="1419" w:type="dxa"/>
            <w:vMerge/>
            <w:tcBorders>
              <w:top w:val="nil"/>
            </w:tcBorders>
            <w:shd w:val="clear" w:color="auto" w:fill="F1F1F1"/>
          </w:tcPr>
          <w:p>
            <w:pPr>
              <w:rPr>
                <w:sz w:val="2"/>
                <w:szCs w:val="2"/>
              </w:rPr>
            </w:pPr>
          </w:p>
        </w:tc>
        <w:tc>
          <w:tcPr>
            <w:tcW w:w="1275" w:type="dxa"/>
            <w:shd w:val="clear" w:color="auto" w:fill="F1F1F1"/>
          </w:tcPr>
          <w:p>
            <w:pPr>
              <w:pStyle w:val="TableParagraph"/>
              <w:spacing w:line="244" w:lineRule="auto" w:before="61"/>
              <w:ind w:left="116" w:firstLine="312"/>
              <w:rPr>
                <w:b/>
                <w:sz w:val="18"/>
              </w:rPr>
            </w:pPr>
            <w:r>
              <w:rPr>
                <w:b/>
                <w:spacing w:val="-4"/>
                <w:sz w:val="18"/>
              </w:rPr>
              <w:t>Meta </w:t>
            </w:r>
            <w:r>
              <w:rPr>
                <w:b/>
                <w:spacing w:val="-2"/>
                <w:sz w:val="18"/>
              </w:rPr>
              <w:t>programada</w:t>
            </w:r>
          </w:p>
        </w:tc>
        <w:tc>
          <w:tcPr>
            <w:tcW w:w="1278" w:type="dxa"/>
            <w:shd w:val="clear" w:color="auto" w:fill="F1F1F1"/>
          </w:tcPr>
          <w:p>
            <w:pPr>
              <w:pStyle w:val="TableParagraph"/>
              <w:spacing w:before="167"/>
              <w:ind w:left="21" w:right="9"/>
              <w:jc w:val="center"/>
              <w:rPr>
                <w:b/>
                <w:sz w:val="18"/>
              </w:rPr>
            </w:pPr>
            <w:r>
              <w:rPr>
                <w:b/>
                <w:spacing w:val="-10"/>
                <w:sz w:val="18"/>
              </w:rPr>
              <w:t>¢</w:t>
            </w:r>
          </w:p>
        </w:tc>
        <w:tc>
          <w:tcPr>
            <w:tcW w:w="1417" w:type="dxa"/>
            <w:shd w:val="clear" w:color="auto" w:fill="F1F1F1"/>
          </w:tcPr>
          <w:p>
            <w:pPr>
              <w:pStyle w:val="TableParagraph"/>
              <w:spacing w:line="244" w:lineRule="auto" w:before="61"/>
              <w:ind w:left="180" w:firstLine="316"/>
              <w:rPr>
                <w:b/>
                <w:sz w:val="18"/>
              </w:rPr>
            </w:pPr>
            <w:r>
              <w:rPr>
                <w:b/>
                <w:spacing w:val="-4"/>
                <w:sz w:val="18"/>
              </w:rPr>
              <w:t>Meta </w:t>
            </w:r>
            <w:r>
              <w:rPr>
                <w:b/>
                <w:spacing w:val="-2"/>
                <w:sz w:val="18"/>
              </w:rPr>
              <w:t>programada</w:t>
            </w:r>
          </w:p>
        </w:tc>
        <w:tc>
          <w:tcPr>
            <w:tcW w:w="1417" w:type="dxa"/>
            <w:shd w:val="clear" w:color="auto" w:fill="F1F1F1"/>
          </w:tcPr>
          <w:p>
            <w:pPr>
              <w:pStyle w:val="TableParagraph"/>
              <w:spacing w:before="167"/>
              <w:ind w:left="9" w:right="5"/>
              <w:jc w:val="center"/>
              <w:rPr>
                <w:b/>
                <w:sz w:val="18"/>
              </w:rPr>
            </w:pPr>
            <w:r>
              <w:rPr>
                <w:b/>
                <w:spacing w:val="-10"/>
                <w:sz w:val="18"/>
              </w:rPr>
              <w:t>¢</w:t>
            </w:r>
          </w:p>
        </w:tc>
        <w:tc>
          <w:tcPr>
            <w:tcW w:w="1278" w:type="dxa"/>
            <w:shd w:val="clear" w:color="auto" w:fill="F1F1F1"/>
          </w:tcPr>
          <w:p>
            <w:pPr>
              <w:pStyle w:val="TableParagraph"/>
              <w:spacing w:line="244" w:lineRule="auto" w:before="61"/>
              <w:ind w:left="116" w:firstLine="312"/>
              <w:rPr>
                <w:b/>
                <w:sz w:val="18"/>
              </w:rPr>
            </w:pPr>
            <w:r>
              <w:rPr>
                <w:b/>
                <w:spacing w:val="-4"/>
                <w:sz w:val="18"/>
              </w:rPr>
              <w:t>Meta </w:t>
            </w:r>
            <w:r>
              <w:rPr>
                <w:b/>
                <w:spacing w:val="-2"/>
                <w:sz w:val="18"/>
              </w:rPr>
              <w:t>programada</w:t>
            </w:r>
          </w:p>
        </w:tc>
        <w:tc>
          <w:tcPr>
            <w:tcW w:w="1277" w:type="dxa"/>
            <w:shd w:val="clear" w:color="auto" w:fill="F1F1F1"/>
          </w:tcPr>
          <w:p>
            <w:pPr>
              <w:pStyle w:val="TableParagraph"/>
              <w:spacing w:before="167"/>
              <w:ind w:left="16" w:right="9"/>
              <w:jc w:val="center"/>
              <w:rPr>
                <w:b/>
                <w:sz w:val="18"/>
              </w:rPr>
            </w:pPr>
            <w:r>
              <w:rPr>
                <w:b/>
                <w:spacing w:val="-10"/>
                <w:sz w:val="18"/>
              </w:rPr>
              <w:t>¢</w:t>
            </w:r>
          </w:p>
        </w:tc>
        <w:tc>
          <w:tcPr>
            <w:tcW w:w="1277" w:type="dxa"/>
            <w:shd w:val="clear" w:color="auto" w:fill="F1F1F1"/>
          </w:tcPr>
          <w:p>
            <w:pPr>
              <w:pStyle w:val="TableParagraph"/>
              <w:spacing w:line="244" w:lineRule="auto" w:before="61"/>
              <w:ind w:left="111" w:firstLine="312"/>
              <w:rPr>
                <w:b/>
                <w:sz w:val="18"/>
              </w:rPr>
            </w:pPr>
            <w:r>
              <w:rPr>
                <w:b/>
                <w:spacing w:val="-4"/>
                <w:sz w:val="18"/>
              </w:rPr>
              <w:t>Meta </w:t>
            </w:r>
            <w:r>
              <w:rPr>
                <w:b/>
                <w:spacing w:val="-2"/>
                <w:sz w:val="18"/>
              </w:rPr>
              <w:t>programada</w:t>
            </w:r>
          </w:p>
        </w:tc>
        <w:tc>
          <w:tcPr>
            <w:tcW w:w="1493" w:type="dxa"/>
            <w:shd w:val="clear" w:color="auto" w:fill="F1F1F1"/>
          </w:tcPr>
          <w:p>
            <w:pPr>
              <w:pStyle w:val="TableParagraph"/>
              <w:spacing w:before="167"/>
              <w:ind w:right="4"/>
              <w:jc w:val="center"/>
              <w:rPr>
                <w:b/>
                <w:sz w:val="18"/>
              </w:rPr>
            </w:pPr>
            <w:r>
              <w:rPr>
                <w:b/>
                <w:spacing w:val="-10"/>
                <w:sz w:val="18"/>
              </w:rPr>
              <w:t>¢</w:t>
            </w:r>
          </w:p>
        </w:tc>
      </w:tr>
      <w:tr>
        <w:trPr>
          <w:trHeight w:val="2746" w:hRule="atLeast"/>
        </w:trPr>
        <w:tc>
          <w:tcPr>
            <w:tcW w:w="2123" w:type="dxa"/>
          </w:tcPr>
          <w:p>
            <w:pPr>
              <w:pStyle w:val="TableParagraph"/>
              <w:spacing w:before="128"/>
              <w:rPr>
                <w:b/>
                <w:sz w:val="18"/>
              </w:rPr>
            </w:pPr>
          </w:p>
          <w:p>
            <w:pPr>
              <w:pStyle w:val="TableParagraph"/>
              <w:ind w:left="72"/>
              <w:rPr>
                <w:sz w:val="18"/>
              </w:rPr>
            </w:pPr>
            <w:r>
              <w:rPr>
                <w:b/>
                <w:sz w:val="18"/>
              </w:rPr>
              <w:t>Actividad</w:t>
            </w:r>
            <w:r>
              <w:rPr>
                <w:b/>
                <w:spacing w:val="-3"/>
                <w:sz w:val="18"/>
              </w:rPr>
              <w:t> </w:t>
            </w:r>
            <w:r>
              <w:rPr>
                <w:b/>
                <w:sz w:val="18"/>
              </w:rPr>
              <w:t>PAC 2.42.12: </w:t>
            </w:r>
            <w:r>
              <w:rPr>
                <w:sz w:val="18"/>
              </w:rPr>
              <w:t>Gestionar las</w:t>
            </w:r>
            <w:r>
              <w:rPr>
                <w:spacing w:val="-2"/>
                <w:sz w:val="18"/>
              </w:rPr>
              <w:t> </w:t>
            </w:r>
            <w:r>
              <w:rPr>
                <w:sz w:val="18"/>
              </w:rPr>
              <w:t>solicitudes de contratación pública cargadas por las unidades</w:t>
            </w:r>
            <w:r>
              <w:rPr>
                <w:spacing w:val="-13"/>
                <w:sz w:val="18"/>
              </w:rPr>
              <w:t> </w:t>
            </w:r>
            <w:r>
              <w:rPr>
                <w:sz w:val="18"/>
              </w:rPr>
              <w:t>administrativas en los sistemas SAP-SICOP, del equipo y mobiliario incluido en la partida presupuestaria </w:t>
            </w:r>
            <w:r>
              <w:rPr>
                <w:spacing w:val="-2"/>
                <w:sz w:val="18"/>
              </w:rPr>
              <w:t>5.01.04</w:t>
            </w:r>
          </w:p>
        </w:tc>
        <w:tc>
          <w:tcPr>
            <w:tcW w:w="1419" w:type="dxa"/>
          </w:tcPr>
          <w:p>
            <w:pPr>
              <w:pStyle w:val="TableParagraph"/>
              <w:rPr>
                <w:b/>
                <w:sz w:val="18"/>
              </w:rPr>
            </w:pPr>
          </w:p>
          <w:p>
            <w:pPr>
              <w:pStyle w:val="TableParagraph"/>
              <w:rPr>
                <w:b/>
                <w:sz w:val="18"/>
              </w:rPr>
            </w:pPr>
          </w:p>
          <w:p>
            <w:pPr>
              <w:pStyle w:val="TableParagraph"/>
              <w:spacing w:before="127"/>
              <w:rPr>
                <w:b/>
                <w:sz w:val="18"/>
              </w:rPr>
            </w:pPr>
          </w:p>
          <w:p>
            <w:pPr>
              <w:pStyle w:val="TableParagraph"/>
              <w:ind w:left="71" w:right="53"/>
              <w:rPr>
                <w:sz w:val="18"/>
              </w:rPr>
            </w:pPr>
            <w:r>
              <w:rPr>
                <w:sz w:val="18"/>
              </w:rPr>
              <w:t>Porcentaje de </w:t>
            </w:r>
            <w:r>
              <w:rPr>
                <w:spacing w:val="-2"/>
                <w:sz w:val="18"/>
              </w:rPr>
              <w:t>solicitudes </w:t>
            </w:r>
            <w:r>
              <w:rPr>
                <w:sz w:val="18"/>
              </w:rPr>
              <w:t>asignadas</w:t>
            </w:r>
            <w:r>
              <w:rPr>
                <w:spacing w:val="-13"/>
                <w:sz w:val="18"/>
              </w:rPr>
              <w:t> </w:t>
            </w:r>
            <w:r>
              <w:rPr>
                <w:sz w:val="18"/>
              </w:rPr>
              <w:t>para realizar el </w:t>
            </w:r>
            <w:r>
              <w:rPr>
                <w:spacing w:val="-2"/>
                <w:sz w:val="18"/>
              </w:rPr>
              <w:t>procedimiento </w:t>
            </w:r>
            <w:r>
              <w:rPr>
                <w:sz w:val="18"/>
              </w:rPr>
              <w:t>de</w:t>
            </w:r>
            <w:r>
              <w:rPr>
                <w:spacing w:val="-4"/>
                <w:sz w:val="18"/>
              </w:rPr>
              <w:t> </w:t>
            </w:r>
            <w:r>
              <w:rPr>
                <w:sz w:val="18"/>
              </w:rPr>
              <w:t>adquisición.</w:t>
            </w:r>
          </w:p>
        </w:tc>
        <w:tc>
          <w:tcPr>
            <w:tcW w:w="1275" w:type="dxa"/>
          </w:tcPr>
          <w:p>
            <w:pPr>
              <w:pStyle w:val="TableParagraph"/>
              <w:rPr>
                <w:rFonts w:ascii="Times New Roman"/>
                <w:sz w:val="18"/>
              </w:rPr>
            </w:pPr>
          </w:p>
        </w:tc>
        <w:tc>
          <w:tcPr>
            <w:tcW w:w="1278" w:type="dxa"/>
          </w:tcPr>
          <w:p>
            <w:pPr>
              <w:pStyle w:val="TableParagraph"/>
              <w:rPr>
                <w:rFonts w:ascii="Times New Roman"/>
                <w:sz w:val="18"/>
              </w:rPr>
            </w:pPr>
          </w:p>
        </w:tc>
        <w:tc>
          <w:tcPr>
            <w:tcW w:w="1417" w:type="dxa"/>
          </w:tcPr>
          <w:p>
            <w:pPr>
              <w:pStyle w:val="TableParagraph"/>
              <w:rPr>
                <w:rFonts w:ascii="Times New Roman"/>
                <w:sz w:val="18"/>
              </w:rPr>
            </w:pPr>
          </w:p>
        </w:tc>
        <w:tc>
          <w:tcPr>
            <w:tcW w:w="1417" w:type="dxa"/>
          </w:tcPr>
          <w:p>
            <w:pPr>
              <w:pStyle w:val="TableParagraph"/>
              <w:rPr>
                <w:rFonts w:ascii="Times New Roman"/>
                <w:sz w:val="18"/>
              </w:rPr>
            </w:pPr>
          </w:p>
        </w:tc>
        <w:tc>
          <w:tcPr>
            <w:tcW w:w="1278"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5"/>
              <w:rPr>
                <w:b/>
                <w:sz w:val="18"/>
              </w:rPr>
            </w:pPr>
          </w:p>
          <w:p>
            <w:pPr>
              <w:pStyle w:val="TableParagraph"/>
              <w:ind w:left="16" w:right="17"/>
              <w:jc w:val="center"/>
              <w:rPr>
                <w:sz w:val="18"/>
              </w:rPr>
            </w:pPr>
            <w:r>
              <w:rPr>
                <w:spacing w:val="-4"/>
                <w:sz w:val="18"/>
              </w:rPr>
              <w:t>100%</w:t>
            </w:r>
          </w:p>
        </w:tc>
        <w:tc>
          <w:tcPr>
            <w:tcW w:w="14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5"/>
              <w:rPr>
                <w:b/>
                <w:sz w:val="18"/>
              </w:rPr>
            </w:pPr>
          </w:p>
          <w:p>
            <w:pPr>
              <w:pStyle w:val="TableParagraph"/>
              <w:ind w:right="58"/>
              <w:jc w:val="right"/>
              <w:rPr>
                <w:sz w:val="18"/>
              </w:rPr>
            </w:pPr>
            <w:r>
              <w:rPr>
                <w:sz w:val="18"/>
              </w:rPr>
              <w:t>₡477</w:t>
            </w:r>
            <w:r>
              <w:rPr>
                <w:spacing w:val="1"/>
                <w:sz w:val="18"/>
              </w:rPr>
              <w:t> </w:t>
            </w:r>
            <w:r>
              <w:rPr>
                <w:sz w:val="18"/>
              </w:rPr>
              <w:t>887</w:t>
            </w:r>
            <w:r>
              <w:rPr>
                <w:spacing w:val="-3"/>
                <w:sz w:val="18"/>
              </w:rPr>
              <w:t> </w:t>
            </w:r>
            <w:r>
              <w:rPr>
                <w:spacing w:val="-5"/>
                <w:sz w:val="18"/>
              </w:rPr>
              <w:t>957</w:t>
            </w:r>
          </w:p>
        </w:tc>
      </w:tr>
      <w:tr>
        <w:trPr>
          <w:trHeight w:val="2068" w:hRule="atLeast"/>
        </w:trPr>
        <w:tc>
          <w:tcPr>
            <w:tcW w:w="2123" w:type="dxa"/>
          </w:tcPr>
          <w:p>
            <w:pPr>
              <w:pStyle w:val="TableParagraph"/>
              <w:ind w:left="72"/>
              <w:rPr>
                <w:sz w:val="18"/>
              </w:rPr>
            </w:pPr>
            <w:r>
              <w:rPr>
                <w:b/>
                <w:sz w:val="18"/>
              </w:rPr>
              <w:t>Actividad</w:t>
            </w:r>
            <w:r>
              <w:rPr>
                <w:b/>
                <w:spacing w:val="-3"/>
                <w:sz w:val="18"/>
              </w:rPr>
              <w:t> </w:t>
            </w:r>
            <w:r>
              <w:rPr>
                <w:b/>
                <w:sz w:val="18"/>
              </w:rPr>
              <w:t>PAC 2.42.13: </w:t>
            </w:r>
            <w:r>
              <w:rPr>
                <w:sz w:val="18"/>
              </w:rPr>
              <w:t>Gestionar las</w:t>
            </w:r>
            <w:r>
              <w:rPr>
                <w:spacing w:val="-2"/>
                <w:sz w:val="18"/>
              </w:rPr>
              <w:t> </w:t>
            </w:r>
            <w:r>
              <w:rPr>
                <w:sz w:val="18"/>
              </w:rPr>
              <w:t>solicitudes de contratación público cargadas por las unidades</w:t>
            </w:r>
            <w:r>
              <w:rPr>
                <w:spacing w:val="-13"/>
                <w:sz w:val="18"/>
              </w:rPr>
              <w:t> </w:t>
            </w:r>
            <w:r>
              <w:rPr>
                <w:sz w:val="18"/>
              </w:rPr>
              <w:t>administrativas en los sistemas SAP-SICOP, del equipo y mobiliario incluido en la partida presupuestaria</w:t>
            </w:r>
          </w:p>
          <w:p>
            <w:pPr>
              <w:pStyle w:val="TableParagraph"/>
              <w:spacing w:line="187" w:lineRule="exact"/>
              <w:ind w:left="72"/>
              <w:rPr>
                <w:sz w:val="18"/>
              </w:rPr>
            </w:pPr>
            <w:r>
              <w:rPr>
                <w:spacing w:val="-2"/>
                <w:sz w:val="18"/>
              </w:rPr>
              <w:t>5.01.99</w:t>
            </w:r>
          </w:p>
        </w:tc>
        <w:tc>
          <w:tcPr>
            <w:tcW w:w="1419" w:type="dxa"/>
          </w:tcPr>
          <w:p>
            <w:pPr>
              <w:pStyle w:val="TableParagraph"/>
              <w:spacing w:before="204"/>
              <w:rPr>
                <w:b/>
                <w:sz w:val="18"/>
              </w:rPr>
            </w:pPr>
          </w:p>
          <w:p>
            <w:pPr>
              <w:pStyle w:val="TableParagraph"/>
              <w:ind w:left="71" w:right="53"/>
              <w:rPr>
                <w:sz w:val="18"/>
              </w:rPr>
            </w:pPr>
            <w:r>
              <w:rPr>
                <w:sz w:val="18"/>
              </w:rPr>
              <w:t>Porcentaje de </w:t>
            </w:r>
            <w:r>
              <w:rPr>
                <w:spacing w:val="-2"/>
                <w:sz w:val="18"/>
              </w:rPr>
              <w:t>solicitudes </w:t>
            </w:r>
            <w:r>
              <w:rPr>
                <w:sz w:val="18"/>
              </w:rPr>
              <w:t>asignadas</w:t>
            </w:r>
            <w:r>
              <w:rPr>
                <w:spacing w:val="-13"/>
                <w:sz w:val="18"/>
              </w:rPr>
              <w:t> </w:t>
            </w:r>
            <w:r>
              <w:rPr>
                <w:sz w:val="18"/>
              </w:rPr>
              <w:t>para realizar el </w:t>
            </w:r>
            <w:r>
              <w:rPr>
                <w:spacing w:val="-2"/>
                <w:sz w:val="18"/>
              </w:rPr>
              <w:t>procedimiento </w:t>
            </w:r>
            <w:r>
              <w:rPr>
                <w:sz w:val="18"/>
              </w:rPr>
              <w:t>de</w:t>
            </w:r>
            <w:r>
              <w:rPr>
                <w:spacing w:val="-4"/>
                <w:sz w:val="18"/>
              </w:rPr>
              <w:t> </w:t>
            </w:r>
            <w:r>
              <w:rPr>
                <w:sz w:val="18"/>
              </w:rPr>
              <w:t>adquisición.</w:t>
            </w:r>
          </w:p>
        </w:tc>
        <w:tc>
          <w:tcPr>
            <w:tcW w:w="1275" w:type="dxa"/>
          </w:tcPr>
          <w:p>
            <w:pPr>
              <w:pStyle w:val="TableParagraph"/>
              <w:rPr>
                <w:rFonts w:ascii="Times New Roman"/>
                <w:sz w:val="18"/>
              </w:rPr>
            </w:pPr>
          </w:p>
        </w:tc>
        <w:tc>
          <w:tcPr>
            <w:tcW w:w="1278" w:type="dxa"/>
          </w:tcPr>
          <w:p>
            <w:pPr>
              <w:pStyle w:val="TableParagraph"/>
              <w:rPr>
                <w:rFonts w:ascii="Times New Roman"/>
                <w:sz w:val="18"/>
              </w:rPr>
            </w:pPr>
          </w:p>
        </w:tc>
        <w:tc>
          <w:tcPr>
            <w:tcW w:w="1417" w:type="dxa"/>
          </w:tcPr>
          <w:p>
            <w:pPr>
              <w:pStyle w:val="TableParagraph"/>
              <w:rPr>
                <w:rFonts w:ascii="Times New Roman"/>
                <w:sz w:val="18"/>
              </w:rPr>
            </w:pPr>
          </w:p>
        </w:tc>
        <w:tc>
          <w:tcPr>
            <w:tcW w:w="1417" w:type="dxa"/>
          </w:tcPr>
          <w:p>
            <w:pPr>
              <w:pStyle w:val="TableParagraph"/>
              <w:rPr>
                <w:rFonts w:ascii="Times New Roman"/>
                <w:sz w:val="18"/>
              </w:rPr>
            </w:pPr>
          </w:p>
        </w:tc>
        <w:tc>
          <w:tcPr>
            <w:tcW w:w="1278" w:type="dxa"/>
          </w:tcPr>
          <w:p>
            <w:pPr>
              <w:pStyle w:val="TableParagraph"/>
              <w:rPr>
                <w:rFonts w:ascii="Times New Roman"/>
                <w:sz w:val="18"/>
              </w:rPr>
            </w:pPr>
          </w:p>
        </w:tc>
        <w:tc>
          <w:tcPr>
            <w:tcW w:w="1277" w:type="dxa"/>
          </w:tcPr>
          <w:p>
            <w:pPr>
              <w:pStyle w:val="TableParagraph"/>
              <w:rPr>
                <w:rFonts w:ascii="Times New Roman"/>
                <w:sz w:val="18"/>
              </w:rPr>
            </w:pPr>
          </w:p>
        </w:tc>
        <w:tc>
          <w:tcPr>
            <w:tcW w:w="127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6" w:right="17"/>
              <w:jc w:val="center"/>
              <w:rPr>
                <w:sz w:val="18"/>
              </w:rPr>
            </w:pPr>
            <w:r>
              <w:rPr>
                <w:spacing w:val="-4"/>
                <w:sz w:val="18"/>
              </w:rPr>
              <w:t>100%</w:t>
            </w:r>
          </w:p>
        </w:tc>
        <w:tc>
          <w:tcPr>
            <w:tcW w:w="149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8"/>
              <w:jc w:val="right"/>
              <w:rPr>
                <w:sz w:val="18"/>
              </w:rPr>
            </w:pPr>
            <w:r>
              <w:rPr>
                <w:sz w:val="18"/>
              </w:rPr>
              <w:t>₡19</w:t>
            </w:r>
            <w:r>
              <w:rPr>
                <w:spacing w:val="1"/>
                <w:sz w:val="18"/>
              </w:rPr>
              <w:t> </w:t>
            </w:r>
            <w:r>
              <w:rPr>
                <w:sz w:val="18"/>
              </w:rPr>
              <w:t>617</w:t>
            </w:r>
            <w:r>
              <w:rPr>
                <w:spacing w:val="-3"/>
                <w:sz w:val="18"/>
              </w:rPr>
              <w:t> </w:t>
            </w:r>
            <w:r>
              <w:rPr>
                <w:spacing w:val="-5"/>
                <w:sz w:val="18"/>
              </w:rPr>
              <w:t>531</w:t>
            </w:r>
          </w:p>
        </w:tc>
      </w:tr>
    </w:tbl>
    <w:p>
      <w:pPr>
        <w:pStyle w:val="TableParagraph"/>
        <w:spacing w:after="0"/>
        <w:jc w:val="right"/>
        <w:rPr>
          <w:sz w:val="18"/>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47"/>
        <w:gridCol w:w="1431"/>
        <w:gridCol w:w="1489"/>
        <w:gridCol w:w="1138"/>
        <w:gridCol w:w="1416"/>
        <w:gridCol w:w="1133"/>
        <w:gridCol w:w="1416"/>
        <w:gridCol w:w="1133"/>
        <w:gridCol w:w="1421"/>
        <w:gridCol w:w="1134"/>
      </w:tblGrid>
      <w:tr>
        <w:trPr>
          <w:trHeight w:val="239" w:hRule="atLeast"/>
        </w:trPr>
        <w:tc>
          <w:tcPr>
            <w:tcW w:w="2747" w:type="dxa"/>
            <w:vMerge w:val="restart"/>
            <w:shd w:val="clear" w:color="auto" w:fill="E8E8E8"/>
          </w:tcPr>
          <w:p>
            <w:pPr>
              <w:pStyle w:val="TableParagraph"/>
              <w:spacing w:before="22"/>
              <w:rPr>
                <w:b/>
                <w:sz w:val="18"/>
              </w:rPr>
            </w:pPr>
          </w:p>
          <w:p>
            <w:pPr>
              <w:pStyle w:val="TableParagraph"/>
              <w:ind w:left="403"/>
              <w:rPr>
                <w:b/>
                <w:sz w:val="18"/>
              </w:rPr>
            </w:pPr>
            <w:r>
              <w:rPr>
                <w:b/>
                <w:sz w:val="18"/>
              </w:rPr>
              <w:t>Objetivos</w:t>
            </w:r>
            <w:r>
              <w:rPr>
                <w:b/>
                <w:spacing w:val="-5"/>
                <w:sz w:val="18"/>
              </w:rPr>
              <w:t> </w:t>
            </w:r>
            <w:r>
              <w:rPr>
                <w:b/>
                <w:sz w:val="18"/>
              </w:rPr>
              <w:t>/</w:t>
            </w:r>
            <w:r>
              <w:rPr>
                <w:b/>
                <w:spacing w:val="-2"/>
                <w:sz w:val="18"/>
              </w:rPr>
              <w:t> Resultados</w:t>
            </w:r>
          </w:p>
        </w:tc>
        <w:tc>
          <w:tcPr>
            <w:tcW w:w="1431" w:type="dxa"/>
            <w:vMerge w:val="restart"/>
            <w:shd w:val="clear" w:color="auto" w:fill="E8E8E8"/>
          </w:tcPr>
          <w:p>
            <w:pPr>
              <w:pStyle w:val="TableParagraph"/>
              <w:spacing w:before="22"/>
              <w:rPr>
                <w:b/>
                <w:sz w:val="18"/>
              </w:rPr>
            </w:pPr>
          </w:p>
          <w:p>
            <w:pPr>
              <w:pStyle w:val="TableParagraph"/>
              <w:ind w:left="311"/>
              <w:rPr>
                <w:b/>
                <w:sz w:val="18"/>
              </w:rPr>
            </w:pPr>
            <w:r>
              <w:rPr>
                <w:b/>
                <w:spacing w:val="-2"/>
                <w:sz w:val="18"/>
              </w:rPr>
              <w:t>Indicador</w:t>
            </w:r>
          </w:p>
        </w:tc>
        <w:tc>
          <w:tcPr>
            <w:tcW w:w="2627" w:type="dxa"/>
            <w:gridSpan w:val="2"/>
            <w:shd w:val="clear" w:color="auto" w:fill="E8E8E8"/>
          </w:tcPr>
          <w:p>
            <w:pPr>
              <w:pStyle w:val="TableParagraph"/>
              <w:spacing w:line="201" w:lineRule="exact" w:before="18"/>
              <w:ind w:left="848"/>
              <w:rPr>
                <w:b/>
                <w:sz w:val="18"/>
              </w:rPr>
            </w:pPr>
            <w:r>
              <w:rPr>
                <w:b/>
                <w:sz w:val="18"/>
              </w:rPr>
              <w:t>I</w:t>
            </w:r>
            <w:r>
              <w:rPr>
                <w:b/>
                <w:spacing w:val="-1"/>
                <w:sz w:val="18"/>
              </w:rPr>
              <w:t> </w:t>
            </w:r>
            <w:r>
              <w:rPr>
                <w:b/>
                <w:spacing w:val="-2"/>
                <w:sz w:val="18"/>
              </w:rPr>
              <w:t>Trimestre</w:t>
            </w:r>
          </w:p>
        </w:tc>
        <w:tc>
          <w:tcPr>
            <w:tcW w:w="2549" w:type="dxa"/>
            <w:gridSpan w:val="2"/>
            <w:shd w:val="clear" w:color="auto" w:fill="E8E8E8"/>
          </w:tcPr>
          <w:p>
            <w:pPr>
              <w:pStyle w:val="TableParagraph"/>
              <w:spacing w:line="201" w:lineRule="exact" w:before="18"/>
              <w:ind w:left="786"/>
              <w:rPr>
                <w:b/>
                <w:sz w:val="18"/>
              </w:rPr>
            </w:pPr>
            <w:r>
              <w:rPr>
                <w:b/>
                <w:sz w:val="18"/>
              </w:rPr>
              <w:t>II</w:t>
            </w:r>
            <w:r>
              <w:rPr>
                <w:b/>
                <w:spacing w:val="-3"/>
                <w:sz w:val="18"/>
              </w:rPr>
              <w:t> </w:t>
            </w:r>
            <w:r>
              <w:rPr>
                <w:b/>
                <w:spacing w:val="-2"/>
                <w:sz w:val="18"/>
              </w:rPr>
              <w:t>Trimestre</w:t>
            </w:r>
          </w:p>
        </w:tc>
        <w:tc>
          <w:tcPr>
            <w:tcW w:w="2549" w:type="dxa"/>
            <w:gridSpan w:val="2"/>
            <w:shd w:val="clear" w:color="auto" w:fill="E8E8E8"/>
          </w:tcPr>
          <w:p>
            <w:pPr>
              <w:pStyle w:val="TableParagraph"/>
              <w:spacing w:line="201" w:lineRule="exact" w:before="18"/>
              <w:ind w:left="762"/>
              <w:rPr>
                <w:b/>
                <w:sz w:val="18"/>
              </w:rPr>
            </w:pPr>
            <w:r>
              <w:rPr>
                <w:b/>
                <w:sz w:val="18"/>
              </w:rPr>
              <w:t>III</w:t>
            </w:r>
            <w:r>
              <w:rPr>
                <w:b/>
                <w:spacing w:val="-2"/>
                <w:sz w:val="18"/>
              </w:rPr>
              <w:t> Trimestre</w:t>
            </w:r>
          </w:p>
        </w:tc>
        <w:tc>
          <w:tcPr>
            <w:tcW w:w="2555" w:type="dxa"/>
            <w:gridSpan w:val="2"/>
            <w:shd w:val="clear" w:color="auto" w:fill="E8E8E8"/>
          </w:tcPr>
          <w:p>
            <w:pPr>
              <w:pStyle w:val="TableParagraph"/>
              <w:spacing w:line="201" w:lineRule="exact" w:before="18"/>
              <w:ind w:left="758"/>
              <w:rPr>
                <w:b/>
                <w:sz w:val="18"/>
              </w:rPr>
            </w:pPr>
            <w:r>
              <w:rPr>
                <w:b/>
                <w:sz w:val="18"/>
              </w:rPr>
              <w:t>IV</w:t>
            </w:r>
            <w:r>
              <w:rPr>
                <w:b/>
                <w:spacing w:val="-2"/>
                <w:sz w:val="18"/>
              </w:rPr>
              <w:t> Trimestre</w:t>
            </w:r>
          </w:p>
        </w:tc>
      </w:tr>
      <w:tr>
        <w:trPr>
          <w:trHeight w:val="412" w:hRule="atLeast"/>
        </w:trPr>
        <w:tc>
          <w:tcPr>
            <w:tcW w:w="2747" w:type="dxa"/>
            <w:vMerge/>
            <w:tcBorders>
              <w:top w:val="nil"/>
            </w:tcBorders>
            <w:shd w:val="clear" w:color="auto" w:fill="E8E8E8"/>
          </w:tcPr>
          <w:p>
            <w:pPr>
              <w:rPr>
                <w:sz w:val="2"/>
                <w:szCs w:val="2"/>
              </w:rPr>
            </w:pPr>
          </w:p>
        </w:tc>
        <w:tc>
          <w:tcPr>
            <w:tcW w:w="1431" w:type="dxa"/>
            <w:vMerge/>
            <w:tcBorders>
              <w:top w:val="nil"/>
            </w:tcBorders>
            <w:shd w:val="clear" w:color="auto" w:fill="E8E8E8"/>
          </w:tcPr>
          <w:p>
            <w:pPr>
              <w:rPr>
                <w:sz w:val="2"/>
                <w:szCs w:val="2"/>
              </w:rPr>
            </w:pPr>
          </w:p>
        </w:tc>
        <w:tc>
          <w:tcPr>
            <w:tcW w:w="1489" w:type="dxa"/>
            <w:shd w:val="clear" w:color="auto" w:fill="E8E8E8"/>
          </w:tcPr>
          <w:p>
            <w:pPr>
              <w:pStyle w:val="TableParagraph"/>
              <w:spacing w:line="206" w:lineRule="exact"/>
              <w:ind w:left="220" w:firstLine="316"/>
              <w:rPr>
                <w:b/>
                <w:sz w:val="18"/>
              </w:rPr>
            </w:pPr>
            <w:r>
              <w:rPr>
                <w:b/>
                <w:spacing w:val="-4"/>
                <w:sz w:val="18"/>
              </w:rPr>
              <w:t>Meta </w:t>
            </w:r>
            <w:r>
              <w:rPr>
                <w:b/>
                <w:spacing w:val="-2"/>
                <w:sz w:val="18"/>
              </w:rPr>
              <w:t>programada</w:t>
            </w:r>
          </w:p>
        </w:tc>
        <w:tc>
          <w:tcPr>
            <w:tcW w:w="1138" w:type="dxa"/>
            <w:shd w:val="clear" w:color="auto" w:fill="E8E8E8"/>
          </w:tcPr>
          <w:p>
            <w:pPr>
              <w:pStyle w:val="TableParagraph"/>
              <w:spacing w:before="104"/>
              <w:ind w:left="7"/>
              <w:jc w:val="center"/>
              <w:rPr>
                <w:b/>
                <w:sz w:val="18"/>
              </w:rPr>
            </w:pPr>
            <w:r>
              <w:rPr>
                <w:b/>
                <w:spacing w:val="-10"/>
                <w:sz w:val="18"/>
              </w:rPr>
              <w:t>¢</w:t>
            </w:r>
          </w:p>
        </w:tc>
        <w:tc>
          <w:tcPr>
            <w:tcW w:w="1416" w:type="dxa"/>
            <w:shd w:val="clear" w:color="auto" w:fill="E8E8E8"/>
          </w:tcPr>
          <w:p>
            <w:pPr>
              <w:pStyle w:val="TableParagraph"/>
              <w:spacing w:line="206" w:lineRule="exact"/>
              <w:ind w:left="181" w:firstLine="316"/>
              <w:rPr>
                <w:b/>
                <w:sz w:val="18"/>
              </w:rPr>
            </w:pPr>
            <w:r>
              <w:rPr>
                <w:b/>
                <w:spacing w:val="-4"/>
                <w:sz w:val="18"/>
              </w:rPr>
              <w:t>Meta </w:t>
            </w:r>
            <w:r>
              <w:rPr>
                <w:b/>
                <w:spacing w:val="-2"/>
                <w:sz w:val="18"/>
              </w:rPr>
              <w:t>programada</w:t>
            </w:r>
          </w:p>
        </w:tc>
        <w:tc>
          <w:tcPr>
            <w:tcW w:w="1133" w:type="dxa"/>
            <w:shd w:val="clear" w:color="auto" w:fill="E8E8E8"/>
          </w:tcPr>
          <w:p>
            <w:pPr>
              <w:pStyle w:val="TableParagraph"/>
              <w:spacing w:before="104"/>
              <w:ind w:left="4"/>
              <w:jc w:val="center"/>
              <w:rPr>
                <w:b/>
                <w:sz w:val="18"/>
              </w:rPr>
            </w:pPr>
            <w:r>
              <w:rPr>
                <w:b/>
                <w:spacing w:val="-10"/>
                <w:sz w:val="18"/>
              </w:rPr>
              <w:t>¢</w:t>
            </w:r>
          </w:p>
        </w:tc>
        <w:tc>
          <w:tcPr>
            <w:tcW w:w="1416" w:type="dxa"/>
            <w:shd w:val="clear" w:color="auto" w:fill="E8E8E8"/>
          </w:tcPr>
          <w:p>
            <w:pPr>
              <w:pStyle w:val="TableParagraph"/>
              <w:spacing w:line="206" w:lineRule="exact"/>
              <w:ind w:left="186" w:firstLine="316"/>
              <w:rPr>
                <w:b/>
                <w:sz w:val="18"/>
              </w:rPr>
            </w:pPr>
            <w:r>
              <w:rPr>
                <w:b/>
                <w:spacing w:val="-4"/>
                <w:sz w:val="18"/>
              </w:rPr>
              <w:t>Meta </w:t>
            </w:r>
            <w:r>
              <w:rPr>
                <w:b/>
                <w:spacing w:val="-2"/>
                <w:sz w:val="18"/>
              </w:rPr>
              <w:t>programada</w:t>
            </w:r>
          </w:p>
        </w:tc>
        <w:tc>
          <w:tcPr>
            <w:tcW w:w="1133" w:type="dxa"/>
            <w:shd w:val="clear" w:color="auto" w:fill="E8E8E8"/>
          </w:tcPr>
          <w:p>
            <w:pPr>
              <w:pStyle w:val="TableParagraph"/>
              <w:spacing w:before="104"/>
              <w:ind w:left="14"/>
              <w:jc w:val="center"/>
              <w:rPr>
                <w:b/>
                <w:sz w:val="18"/>
              </w:rPr>
            </w:pPr>
            <w:r>
              <w:rPr>
                <w:b/>
                <w:spacing w:val="-10"/>
                <w:sz w:val="18"/>
              </w:rPr>
              <w:t>¢</w:t>
            </w:r>
          </w:p>
        </w:tc>
        <w:tc>
          <w:tcPr>
            <w:tcW w:w="1421" w:type="dxa"/>
            <w:shd w:val="clear" w:color="auto" w:fill="E8E8E8"/>
          </w:tcPr>
          <w:p>
            <w:pPr>
              <w:pStyle w:val="TableParagraph"/>
              <w:spacing w:line="206" w:lineRule="exact"/>
              <w:ind w:left="187" w:firstLine="316"/>
              <w:rPr>
                <w:b/>
                <w:sz w:val="18"/>
              </w:rPr>
            </w:pPr>
            <w:r>
              <w:rPr>
                <w:b/>
                <w:spacing w:val="-4"/>
                <w:sz w:val="18"/>
              </w:rPr>
              <w:t>Meta </w:t>
            </w:r>
            <w:r>
              <w:rPr>
                <w:b/>
                <w:spacing w:val="-2"/>
                <w:sz w:val="18"/>
              </w:rPr>
              <w:t>programada</w:t>
            </w:r>
          </w:p>
        </w:tc>
        <w:tc>
          <w:tcPr>
            <w:tcW w:w="1134" w:type="dxa"/>
            <w:shd w:val="clear" w:color="auto" w:fill="E8E8E8"/>
          </w:tcPr>
          <w:p>
            <w:pPr>
              <w:pStyle w:val="TableParagraph"/>
              <w:spacing w:before="104"/>
              <w:ind w:left="14"/>
              <w:jc w:val="center"/>
              <w:rPr>
                <w:b/>
                <w:sz w:val="18"/>
              </w:rPr>
            </w:pPr>
            <w:r>
              <w:rPr>
                <w:b/>
                <w:spacing w:val="-10"/>
                <w:sz w:val="18"/>
              </w:rPr>
              <w:t>¢</w:t>
            </w:r>
          </w:p>
        </w:tc>
      </w:tr>
      <w:tr>
        <w:trPr>
          <w:trHeight w:val="753" w:hRule="atLeast"/>
        </w:trPr>
        <w:tc>
          <w:tcPr>
            <w:tcW w:w="14458" w:type="dxa"/>
            <w:gridSpan w:val="10"/>
            <w:shd w:val="clear" w:color="auto" w:fill="F1F1F1"/>
          </w:tcPr>
          <w:p>
            <w:pPr>
              <w:pStyle w:val="TableParagraph"/>
              <w:spacing w:line="244" w:lineRule="auto" w:before="167"/>
              <w:ind w:left="72" w:right="86"/>
              <w:rPr>
                <w:b/>
                <w:sz w:val="18"/>
              </w:rPr>
            </w:pPr>
            <w:r>
              <w:rPr>
                <w:b/>
                <w:sz w:val="18"/>
              </w:rPr>
              <w:t>Efecto:</w:t>
            </w:r>
            <w:r>
              <w:rPr>
                <w:b/>
                <w:spacing w:val="-2"/>
                <w:sz w:val="18"/>
              </w:rPr>
              <w:t> </w:t>
            </w:r>
            <w:r>
              <w:rPr>
                <w:b/>
                <w:sz w:val="18"/>
              </w:rPr>
              <w:t>Realizar una efectiva gestión</w:t>
            </w:r>
            <w:r>
              <w:rPr>
                <w:b/>
                <w:spacing w:val="-5"/>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4"/>
                <w:sz w:val="18"/>
              </w:rPr>
              <w:t> </w:t>
            </w:r>
            <w:r>
              <w:rPr>
                <w:b/>
                <w:sz w:val="18"/>
              </w:rPr>
              <w:t>y</w:t>
            </w:r>
            <w:r>
              <w:rPr>
                <w:b/>
                <w:spacing w:val="-4"/>
                <w:sz w:val="18"/>
              </w:rPr>
              <w:t> </w:t>
            </w:r>
            <w:r>
              <w:rPr>
                <w:b/>
                <w:sz w:val="18"/>
              </w:rPr>
              <w:t>tecnológicos, con el</w:t>
            </w:r>
            <w:r>
              <w:rPr>
                <w:b/>
                <w:spacing w:val="-2"/>
                <w:sz w:val="18"/>
              </w:rPr>
              <w:t> </w:t>
            </w:r>
            <w:r>
              <w:rPr>
                <w:b/>
                <w:sz w:val="18"/>
              </w:rPr>
              <w:t>fin</w:t>
            </w:r>
            <w:r>
              <w:rPr>
                <w:b/>
                <w:spacing w:val="-5"/>
                <w:sz w:val="18"/>
              </w:rPr>
              <w:t> </w:t>
            </w:r>
            <w:r>
              <w:rPr>
                <w:b/>
                <w:sz w:val="18"/>
              </w:rPr>
              <w:t>de contribuir</w:t>
            </w:r>
            <w:r>
              <w:rPr>
                <w:b/>
                <w:spacing w:val="-3"/>
                <w:sz w:val="18"/>
              </w:rPr>
              <w:t> </w:t>
            </w:r>
            <w:r>
              <w:rPr>
                <w:b/>
                <w:sz w:val="18"/>
              </w:rPr>
              <w:t>con</w:t>
            </w:r>
            <w:r>
              <w:rPr>
                <w:b/>
                <w:spacing w:val="-5"/>
                <w:sz w:val="18"/>
              </w:rPr>
              <w:t> </w:t>
            </w:r>
            <w:r>
              <w:rPr>
                <w:b/>
                <w:sz w:val="18"/>
              </w:rPr>
              <w:t>la</w:t>
            </w:r>
            <w:r>
              <w:rPr>
                <w:b/>
                <w:spacing w:val="-4"/>
                <w:sz w:val="18"/>
              </w:rPr>
              <w:t> </w:t>
            </w:r>
            <w:r>
              <w:rPr>
                <w:b/>
                <w:sz w:val="18"/>
              </w:rPr>
              <w:t>institucionalización de</w:t>
            </w:r>
            <w:r>
              <w:rPr>
                <w:b/>
                <w:spacing w:val="-4"/>
                <w:sz w:val="18"/>
              </w:rPr>
              <w:t> </w:t>
            </w:r>
            <w:r>
              <w:rPr>
                <w:b/>
                <w:sz w:val="18"/>
              </w:rPr>
              <w:t>la estrategia de intervención de la población en situación de pobreza y pobreza extrema.</w:t>
            </w:r>
          </w:p>
        </w:tc>
      </w:tr>
      <w:tr>
        <w:trPr>
          <w:trHeight w:val="450" w:hRule="atLeast"/>
        </w:trPr>
        <w:tc>
          <w:tcPr>
            <w:tcW w:w="14458" w:type="dxa"/>
            <w:gridSpan w:val="10"/>
            <w:shd w:val="clear" w:color="auto" w:fill="EFF8F9"/>
          </w:tcPr>
          <w:p>
            <w:pPr>
              <w:pStyle w:val="TableParagraph"/>
              <w:spacing w:before="119"/>
              <w:ind w:left="72"/>
              <w:rPr>
                <w:b/>
                <w:sz w:val="18"/>
              </w:rPr>
            </w:pPr>
            <w:r>
              <w:rPr>
                <w:b/>
                <w:sz w:val="18"/>
              </w:rPr>
              <w:t>Producto</w:t>
            </w:r>
            <w:r>
              <w:rPr>
                <w:b/>
                <w:spacing w:val="-8"/>
                <w:sz w:val="18"/>
              </w:rPr>
              <w:t> </w:t>
            </w:r>
            <w:r>
              <w:rPr>
                <w:b/>
                <w:sz w:val="18"/>
              </w:rPr>
              <w:t>PAC</w:t>
            </w:r>
            <w:r>
              <w:rPr>
                <w:b/>
                <w:spacing w:val="-8"/>
                <w:sz w:val="18"/>
              </w:rPr>
              <w:t> </w:t>
            </w:r>
            <w:r>
              <w:rPr>
                <w:b/>
                <w:sz w:val="18"/>
              </w:rPr>
              <w:t>2.43:</w:t>
            </w:r>
            <w:r>
              <w:rPr>
                <w:b/>
                <w:spacing w:val="-5"/>
                <w:sz w:val="18"/>
              </w:rPr>
              <w:t> </w:t>
            </w:r>
            <w:r>
              <w:rPr>
                <w:b/>
                <w:sz w:val="18"/>
              </w:rPr>
              <w:t>Estrategia</w:t>
            </w:r>
            <w:r>
              <w:rPr>
                <w:b/>
                <w:spacing w:val="-7"/>
                <w:sz w:val="18"/>
              </w:rPr>
              <w:t> </w:t>
            </w:r>
            <w:r>
              <w:rPr>
                <w:b/>
                <w:sz w:val="18"/>
              </w:rPr>
              <w:t>cobratoria</w:t>
            </w:r>
            <w:r>
              <w:rPr>
                <w:b/>
                <w:spacing w:val="-3"/>
                <w:sz w:val="18"/>
              </w:rPr>
              <w:t> </w:t>
            </w:r>
            <w:r>
              <w:rPr>
                <w:b/>
                <w:sz w:val="18"/>
              </w:rPr>
              <w:t>diseñada</w:t>
            </w:r>
            <w:r>
              <w:rPr>
                <w:b/>
                <w:spacing w:val="-3"/>
                <w:sz w:val="18"/>
              </w:rPr>
              <w:t> </w:t>
            </w:r>
            <w:r>
              <w:rPr>
                <w:b/>
                <w:sz w:val="18"/>
              </w:rPr>
              <w:t>y</w:t>
            </w:r>
            <w:r>
              <w:rPr>
                <w:b/>
                <w:spacing w:val="-6"/>
                <w:sz w:val="18"/>
              </w:rPr>
              <w:t> </w:t>
            </w:r>
            <w:r>
              <w:rPr>
                <w:b/>
                <w:sz w:val="18"/>
              </w:rPr>
              <w:t>ejecutada</w:t>
            </w:r>
            <w:r>
              <w:rPr>
                <w:b/>
                <w:spacing w:val="-7"/>
                <w:sz w:val="18"/>
              </w:rPr>
              <w:t> </w:t>
            </w:r>
            <w:r>
              <w:rPr>
                <w:b/>
                <w:sz w:val="18"/>
              </w:rPr>
              <w:t>para</w:t>
            </w:r>
            <w:r>
              <w:rPr>
                <w:b/>
                <w:spacing w:val="-11"/>
                <w:sz w:val="18"/>
              </w:rPr>
              <w:t> </w:t>
            </w:r>
            <w:r>
              <w:rPr>
                <w:b/>
                <w:sz w:val="18"/>
              </w:rPr>
              <w:t>incrementar</w:t>
            </w:r>
            <w:r>
              <w:rPr>
                <w:b/>
                <w:spacing w:val="-6"/>
                <w:sz w:val="18"/>
              </w:rPr>
              <w:t> </w:t>
            </w:r>
            <w:r>
              <w:rPr>
                <w:b/>
                <w:sz w:val="18"/>
              </w:rPr>
              <w:t>los</w:t>
            </w:r>
            <w:r>
              <w:rPr>
                <w:b/>
                <w:spacing w:val="-6"/>
                <w:sz w:val="18"/>
              </w:rPr>
              <w:t> </w:t>
            </w:r>
            <w:r>
              <w:rPr>
                <w:b/>
                <w:sz w:val="18"/>
              </w:rPr>
              <w:t>ingresos</w:t>
            </w:r>
            <w:r>
              <w:rPr>
                <w:b/>
                <w:spacing w:val="-7"/>
                <w:sz w:val="18"/>
              </w:rPr>
              <w:t> </w:t>
            </w:r>
            <w:r>
              <w:rPr>
                <w:b/>
                <w:spacing w:val="-2"/>
                <w:sz w:val="18"/>
              </w:rPr>
              <w:t>tributarios.</w:t>
            </w:r>
          </w:p>
        </w:tc>
      </w:tr>
      <w:tr>
        <w:trPr>
          <w:trHeight w:val="1200" w:hRule="atLeast"/>
        </w:trPr>
        <w:tc>
          <w:tcPr>
            <w:tcW w:w="2747" w:type="dxa"/>
          </w:tcPr>
          <w:p>
            <w:pPr>
              <w:pStyle w:val="TableParagraph"/>
              <w:spacing w:before="181"/>
              <w:ind w:left="72" w:right="77"/>
              <w:rPr>
                <w:sz w:val="18"/>
              </w:rPr>
            </w:pPr>
            <w:r>
              <w:rPr>
                <w:b/>
                <w:sz w:val="18"/>
              </w:rPr>
              <w:t>Actividad</w:t>
            </w:r>
            <w:r>
              <w:rPr>
                <w:b/>
                <w:spacing w:val="-11"/>
                <w:sz w:val="18"/>
              </w:rPr>
              <w:t> </w:t>
            </w:r>
            <w:r>
              <w:rPr>
                <w:b/>
                <w:sz w:val="18"/>
              </w:rPr>
              <w:t>PAC</w:t>
            </w:r>
            <w:r>
              <w:rPr>
                <w:b/>
                <w:spacing w:val="-8"/>
                <w:sz w:val="18"/>
              </w:rPr>
              <w:t> </w:t>
            </w:r>
            <w:r>
              <w:rPr>
                <w:b/>
                <w:sz w:val="18"/>
              </w:rPr>
              <w:t>2.43.1:</w:t>
            </w:r>
            <w:r>
              <w:rPr>
                <w:b/>
                <w:spacing w:val="-3"/>
                <w:sz w:val="18"/>
              </w:rPr>
              <w:t> </w:t>
            </w:r>
            <w:r>
              <w:rPr>
                <w:sz w:val="18"/>
              </w:rPr>
              <w:t>Diseño</w:t>
            </w:r>
            <w:r>
              <w:rPr>
                <w:spacing w:val="-11"/>
                <w:sz w:val="18"/>
              </w:rPr>
              <w:t> </w:t>
            </w:r>
            <w:r>
              <w:rPr>
                <w:sz w:val="18"/>
              </w:rPr>
              <w:t>y ejecución de estrategia cobratoria</w:t>
            </w:r>
            <w:r>
              <w:rPr>
                <w:spacing w:val="-7"/>
                <w:sz w:val="18"/>
              </w:rPr>
              <w:t> </w:t>
            </w:r>
            <w:r>
              <w:rPr>
                <w:sz w:val="18"/>
              </w:rPr>
              <w:t>mensual.</w:t>
            </w:r>
            <w:r>
              <w:rPr>
                <w:spacing w:val="80"/>
                <w:sz w:val="18"/>
              </w:rPr>
              <w:t> </w:t>
            </w:r>
            <w:r>
              <w:rPr>
                <w:sz w:val="18"/>
              </w:rPr>
              <w:t>(Subpartida: 1.02.03 y 1.04.99)</w:t>
            </w:r>
          </w:p>
        </w:tc>
        <w:tc>
          <w:tcPr>
            <w:tcW w:w="1431" w:type="dxa"/>
          </w:tcPr>
          <w:p>
            <w:pPr>
              <w:pStyle w:val="TableParagraph"/>
              <w:spacing w:before="80"/>
              <w:ind w:left="71"/>
              <w:rPr>
                <w:sz w:val="18"/>
              </w:rPr>
            </w:pPr>
            <w:r>
              <w:rPr>
                <w:sz w:val="18"/>
              </w:rPr>
              <w:t>Cantidad</w:t>
            </w:r>
            <w:r>
              <w:rPr>
                <w:spacing w:val="-13"/>
                <w:sz w:val="18"/>
              </w:rPr>
              <w:t> </w:t>
            </w:r>
            <w:r>
              <w:rPr>
                <w:sz w:val="18"/>
              </w:rPr>
              <w:t>de </w:t>
            </w:r>
            <w:r>
              <w:rPr>
                <w:spacing w:val="-2"/>
                <w:sz w:val="18"/>
              </w:rPr>
              <w:t>estrategias cobratoria </w:t>
            </w:r>
            <w:r>
              <w:rPr>
                <w:sz w:val="18"/>
              </w:rPr>
              <w:t>diseñadas</w:t>
            </w:r>
            <w:r>
              <w:rPr>
                <w:spacing w:val="-13"/>
                <w:sz w:val="18"/>
              </w:rPr>
              <w:t> </w:t>
            </w:r>
            <w:r>
              <w:rPr>
                <w:sz w:val="18"/>
              </w:rPr>
              <w:t>y </w:t>
            </w:r>
            <w:r>
              <w:rPr>
                <w:spacing w:val="-2"/>
                <w:sz w:val="18"/>
              </w:rPr>
              <w:t>ejecutadas</w:t>
            </w:r>
          </w:p>
        </w:tc>
        <w:tc>
          <w:tcPr>
            <w:tcW w:w="1489" w:type="dxa"/>
          </w:tcPr>
          <w:p>
            <w:pPr>
              <w:pStyle w:val="TableParagraph"/>
              <w:rPr>
                <w:b/>
                <w:sz w:val="16"/>
              </w:rPr>
            </w:pPr>
          </w:p>
          <w:p>
            <w:pPr>
              <w:pStyle w:val="TableParagraph"/>
              <w:spacing w:before="134"/>
              <w:rPr>
                <w:b/>
                <w:sz w:val="16"/>
              </w:rPr>
            </w:pPr>
          </w:p>
          <w:p>
            <w:pPr>
              <w:pStyle w:val="TableParagraph"/>
              <w:spacing w:before="1"/>
              <w:ind w:left="12" w:right="12"/>
              <w:jc w:val="center"/>
              <w:rPr>
                <w:sz w:val="16"/>
              </w:rPr>
            </w:pPr>
            <w:r>
              <w:rPr>
                <w:spacing w:val="-10"/>
                <w:sz w:val="16"/>
              </w:rPr>
              <w:t>3</w:t>
            </w:r>
          </w:p>
        </w:tc>
        <w:tc>
          <w:tcPr>
            <w:tcW w:w="1138" w:type="dxa"/>
          </w:tcPr>
          <w:p>
            <w:pPr>
              <w:pStyle w:val="TableParagraph"/>
              <w:rPr>
                <w:b/>
                <w:sz w:val="16"/>
              </w:rPr>
            </w:pPr>
          </w:p>
          <w:p>
            <w:pPr>
              <w:pStyle w:val="TableParagraph"/>
              <w:spacing w:before="134"/>
              <w:rPr>
                <w:b/>
                <w:sz w:val="16"/>
              </w:rPr>
            </w:pPr>
          </w:p>
          <w:p>
            <w:pPr>
              <w:pStyle w:val="TableParagraph"/>
              <w:spacing w:before="1"/>
              <w:ind w:left="152"/>
              <w:rPr>
                <w:sz w:val="16"/>
              </w:rPr>
            </w:pPr>
            <w:r>
              <w:rPr>
                <w:sz w:val="16"/>
              </w:rPr>
              <w:t>₡15</w:t>
            </w:r>
            <w:r>
              <w:rPr>
                <w:spacing w:val="-3"/>
                <w:sz w:val="16"/>
              </w:rPr>
              <w:t> </w:t>
            </w:r>
            <w:r>
              <w:rPr>
                <w:sz w:val="16"/>
              </w:rPr>
              <w:t>050</w:t>
            </w:r>
            <w:r>
              <w:rPr>
                <w:spacing w:val="-3"/>
                <w:sz w:val="16"/>
              </w:rPr>
              <w:t> </w:t>
            </w:r>
            <w:r>
              <w:rPr>
                <w:spacing w:val="-5"/>
                <w:sz w:val="16"/>
              </w:rPr>
              <w:t>000</w:t>
            </w:r>
          </w:p>
        </w:tc>
        <w:tc>
          <w:tcPr>
            <w:tcW w:w="1416" w:type="dxa"/>
          </w:tcPr>
          <w:p>
            <w:pPr>
              <w:pStyle w:val="TableParagraph"/>
              <w:rPr>
                <w:b/>
                <w:sz w:val="16"/>
              </w:rPr>
            </w:pPr>
          </w:p>
          <w:p>
            <w:pPr>
              <w:pStyle w:val="TableParagraph"/>
              <w:spacing w:before="134"/>
              <w:rPr>
                <w:b/>
                <w:sz w:val="16"/>
              </w:rPr>
            </w:pPr>
          </w:p>
          <w:p>
            <w:pPr>
              <w:pStyle w:val="TableParagraph"/>
              <w:spacing w:before="1"/>
              <w:ind w:left="17" w:right="20"/>
              <w:jc w:val="center"/>
              <w:rPr>
                <w:sz w:val="16"/>
              </w:rPr>
            </w:pPr>
            <w:r>
              <w:rPr>
                <w:spacing w:val="-10"/>
                <w:sz w:val="16"/>
              </w:rPr>
              <w:t>6</w:t>
            </w:r>
          </w:p>
        </w:tc>
        <w:tc>
          <w:tcPr>
            <w:tcW w:w="1133" w:type="dxa"/>
          </w:tcPr>
          <w:p>
            <w:pPr>
              <w:pStyle w:val="TableParagraph"/>
              <w:rPr>
                <w:b/>
                <w:sz w:val="16"/>
              </w:rPr>
            </w:pPr>
          </w:p>
          <w:p>
            <w:pPr>
              <w:pStyle w:val="TableParagraph"/>
              <w:spacing w:before="134"/>
              <w:rPr>
                <w:b/>
                <w:sz w:val="16"/>
              </w:rPr>
            </w:pPr>
          </w:p>
          <w:p>
            <w:pPr>
              <w:pStyle w:val="TableParagraph"/>
              <w:spacing w:before="1"/>
              <w:ind w:left="101" w:right="17"/>
              <w:jc w:val="center"/>
              <w:rPr>
                <w:sz w:val="16"/>
              </w:rPr>
            </w:pPr>
            <w:r>
              <w:rPr>
                <w:sz w:val="16"/>
              </w:rPr>
              <w:t>₡30</w:t>
            </w:r>
            <w:r>
              <w:rPr>
                <w:spacing w:val="-3"/>
                <w:sz w:val="16"/>
              </w:rPr>
              <w:t> </w:t>
            </w:r>
            <w:r>
              <w:rPr>
                <w:sz w:val="16"/>
              </w:rPr>
              <w:t>100</w:t>
            </w:r>
            <w:r>
              <w:rPr>
                <w:spacing w:val="-3"/>
                <w:sz w:val="16"/>
              </w:rPr>
              <w:t> </w:t>
            </w:r>
            <w:r>
              <w:rPr>
                <w:spacing w:val="-5"/>
                <w:sz w:val="16"/>
              </w:rPr>
              <w:t>000</w:t>
            </w:r>
          </w:p>
        </w:tc>
        <w:tc>
          <w:tcPr>
            <w:tcW w:w="1416" w:type="dxa"/>
          </w:tcPr>
          <w:p>
            <w:pPr>
              <w:pStyle w:val="TableParagraph"/>
              <w:rPr>
                <w:b/>
                <w:sz w:val="16"/>
              </w:rPr>
            </w:pPr>
          </w:p>
          <w:p>
            <w:pPr>
              <w:pStyle w:val="TableParagraph"/>
              <w:spacing w:before="134"/>
              <w:rPr>
                <w:b/>
                <w:sz w:val="16"/>
              </w:rPr>
            </w:pPr>
          </w:p>
          <w:p>
            <w:pPr>
              <w:pStyle w:val="TableParagraph"/>
              <w:spacing w:before="1"/>
              <w:ind w:left="17" w:right="13"/>
              <w:jc w:val="center"/>
              <w:rPr>
                <w:sz w:val="16"/>
              </w:rPr>
            </w:pPr>
            <w:r>
              <w:rPr>
                <w:spacing w:val="-10"/>
                <w:sz w:val="16"/>
              </w:rPr>
              <w:t>9</w:t>
            </w:r>
          </w:p>
        </w:tc>
        <w:tc>
          <w:tcPr>
            <w:tcW w:w="1133" w:type="dxa"/>
          </w:tcPr>
          <w:p>
            <w:pPr>
              <w:pStyle w:val="TableParagraph"/>
              <w:rPr>
                <w:b/>
                <w:sz w:val="16"/>
              </w:rPr>
            </w:pPr>
          </w:p>
          <w:p>
            <w:pPr>
              <w:pStyle w:val="TableParagraph"/>
              <w:spacing w:before="134"/>
              <w:rPr>
                <w:b/>
                <w:sz w:val="16"/>
              </w:rPr>
            </w:pPr>
          </w:p>
          <w:p>
            <w:pPr>
              <w:pStyle w:val="TableParagraph"/>
              <w:spacing w:before="1"/>
              <w:ind w:left="101" w:right="15"/>
              <w:jc w:val="center"/>
              <w:rPr>
                <w:sz w:val="16"/>
              </w:rPr>
            </w:pPr>
            <w:r>
              <w:rPr>
                <w:sz w:val="16"/>
              </w:rPr>
              <w:t>₡45</w:t>
            </w:r>
            <w:r>
              <w:rPr>
                <w:spacing w:val="-3"/>
                <w:sz w:val="16"/>
              </w:rPr>
              <w:t> </w:t>
            </w:r>
            <w:r>
              <w:rPr>
                <w:sz w:val="16"/>
              </w:rPr>
              <w:t>150</w:t>
            </w:r>
            <w:r>
              <w:rPr>
                <w:spacing w:val="-3"/>
                <w:sz w:val="16"/>
              </w:rPr>
              <w:t> </w:t>
            </w:r>
            <w:r>
              <w:rPr>
                <w:spacing w:val="-5"/>
                <w:sz w:val="16"/>
              </w:rPr>
              <w:t>000</w:t>
            </w:r>
          </w:p>
        </w:tc>
        <w:tc>
          <w:tcPr>
            <w:tcW w:w="1421" w:type="dxa"/>
          </w:tcPr>
          <w:p>
            <w:pPr>
              <w:pStyle w:val="TableParagraph"/>
              <w:rPr>
                <w:b/>
                <w:sz w:val="16"/>
              </w:rPr>
            </w:pPr>
          </w:p>
          <w:p>
            <w:pPr>
              <w:pStyle w:val="TableParagraph"/>
              <w:spacing w:before="134"/>
              <w:rPr>
                <w:b/>
                <w:sz w:val="16"/>
              </w:rPr>
            </w:pPr>
          </w:p>
          <w:p>
            <w:pPr>
              <w:pStyle w:val="TableParagraph"/>
              <w:spacing w:before="1"/>
              <w:jc w:val="center"/>
              <w:rPr>
                <w:sz w:val="16"/>
              </w:rPr>
            </w:pPr>
            <w:r>
              <w:rPr>
                <w:spacing w:val="-5"/>
                <w:sz w:val="16"/>
              </w:rPr>
              <w:t>12</w:t>
            </w:r>
          </w:p>
        </w:tc>
        <w:tc>
          <w:tcPr>
            <w:tcW w:w="1134" w:type="dxa"/>
          </w:tcPr>
          <w:p>
            <w:pPr>
              <w:pStyle w:val="TableParagraph"/>
              <w:rPr>
                <w:b/>
                <w:sz w:val="16"/>
              </w:rPr>
            </w:pPr>
          </w:p>
          <w:p>
            <w:pPr>
              <w:pStyle w:val="TableParagraph"/>
              <w:spacing w:before="134"/>
              <w:rPr>
                <w:b/>
                <w:sz w:val="16"/>
              </w:rPr>
            </w:pPr>
          </w:p>
          <w:p>
            <w:pPr>
              <w:pStyle w:val="TableParagraph"/>
              <w:spacing w:before="1"/>
              <w:ind w:left="93" w:right="8"/>
              <w:jc w:val="center"/>
              <w:rPr>
                <w:sz w:val="16"/>
              </w:rPr>
            </w:pPr>
            <w:r>
              <w:rPr>
                <w:sz w:val="16"/>
              </w:rPr>
              <w:t>₡60</w:t>
            </w:r>
            <w:r>
              <w:rPr>
                <w:spacing w:val="-3"/>
                <w:sz w:val="16"/>
              </w:rPr>
              <w:t> </w:t>
            </w:r>
            <w:r>
              <w:rPr>
                <w:sz w:val="16"/>
              </w:rPr>
              <w:t>200</w:t>
            </w:r>
            <w:r>
              <w:rPr>
                <w:spacing w:val="-3"/>
                <w:sz w:val="16"/>
              </w:rPr>
              <w:t> </w:t>
            </w:r>
            <w:r>
              <w:rPr>
                <w:spacing w:val="-5"/>
                <w:sz w:val="16"/>
              </w:rPr>
              <w:t>000</w:t>
            </w:r>
          </w:p>
        </w:tc>
      </w:tr>
      <w:tr>
        <w:trPr>
          <w:trHeight w:val="1185" w:hRule="atLeast"/>
        </w:trPr>
        <w:tc>
          <w:tcPr>
            <w:tcW w:w="2747" w:type="dxa"/>
          </w:tcPr>
          <w:p>
            <w:pPr>
              <w:pStyle w:val="TableParagraph"/>
              <w:spacing w:before="177"/>
              <w:ind w:left="72"/>
              <w:rPr>
                <w:sz w:val="18"/>
              </w:rPr>
            </w:pPr>
            <w:r>
              <w:rPr>
                <w:b/>
                <w:sz w:val="18"/>
              </w:rPr>
              <w:t>Actividad PAC 2.43.2: </w:t>
            </w:r>
            <w:r>
              <w:rPr>
                <w:sz w:val="18"/>
              </w:rPr>
              <w:t>Generación de ingresos por gestión</w:t>
            </w:r>
            <w:r>
              <w:rPr>
                <w:spacing w:val="-11"/>
                <w:sz w:val="18"/>
              </w:rPr>
              <w:t> </w:t>
            </w:r>
            <w:r>
              <w:rPr>
                <w:sz w:val="18"/>
              </w:rPr>
              <w:t>cobratoria</w:t>
            </w:r>
            <w:r>
              <w:rPr>
                <w:spacing w:val="-11"/>
                <w:sz w:val="18"/>
              </w:rPr>
              <w:t> </w:t>
            </w:r>
            <w:r>
              <w:rPr>
                <w:sz w:val="18"/>
              </w:rPr>
              <w:t>de</w:t>
            </w:r>
            <w:r>
              <w:rPr>
                <w:spacing w:val="-11"/>
                <w:sz w:val="18"/>
              </w:rPr>
              <w:t> </w:t>
            </w:r>
            <w:r>
              <w:rPr>
                <w:sz w:val="18"/>
              </w:rPr>
              <w:t>aportes Patronos Privados. (AT)</w:t>
            </w:r>
          </w:p>
        </w:tc>
        <w:tc>
          <w:tcPr>
            <w:tcW w:w="1431" w:type="dxa"/>
          </w:tcPr>
          <w:p>
            <w:pPr>
              <w:pStyle w:val="TableParagraph"/>
              <w:spacing w:before="71"/>
              <w:ind w:left="71" w:right="55"/>
              <w:rPr>
                <w:sz w:val="18"/>
              </w:rPr>
            </w:pPr>
            <w:r>
              <w:rPr>
                <w:sz w:val="18"/>
              </w:rPr>
              <w:t>Monto en </w:t>
            </w:r>
            <w:r>
              <w:rPr>
                <w:spacing w:val="-2"/>
                <w:sz w:val="18"/>
              </w:rPr>
              <w:t>colones </w:t>
            </w:r>
            <w:r>
              <w:rPr>
                <w:sz w:val="18"/>
              </w:rPr>
              <w:t>estimado</w:t>
            </w:r>
            <w:r>
              <w:rPr>
                <w:spacing w:val="-15"/>
                <w:sz w:val="18"/>
              </w:rPr>
              <w:t> </w:t>
            </w:r>
            <w:r>
              <w:rPr>
                <w:sz w:val="18"/>
              </w:rPr>
              <w:t>de</w:t>
            </w:r>
            <w:r>
              <w:rPr>
                <w:spacing w:val="-12"/>
                <w:sz w:val="18"/>
              </w:rPr>
              <w:t> </w:t>
            </w:r>
            <w:r>
              <w:rPr>
                <w:sz w:val="18"/>
              </w:rPr>
              <w:t>los </w:t>
            </w:r>
            <w:r>
              <w:rPr>
                <w:spacing w:val="-2"/>
                <w:sz w:val="18"/>
              </w:rPr>
              <w:t>ingresos tributarios</w:t>
            </w:r>
          </w:p>
        </w:tc>
        <w:tc>
          <w:tcPr>
            <w:tcW w:w="1489" w:type="dxa"/>
          </w:tcPr>
          <w:p>
            <w:pPr>
              <w:pStyle w:val="TableParagraph"/>
              <w:rPr>
                <w:b/>
                <w:sz w:val="16"/>
              </w:rPr>
            </w:pPr>
          </w:p>
          <w:p>
            <w:pPr>
              <w:pStyle w:val="TableParagraph"/>
              <w:spacing w:before="130"/>
              <w:rPr>
                <w:b/>
                <w:sz w:val="16"/>
              </w:rPr>
            </w:pPr>
          </w:p>
          <w:p>
            <w:pPr>
              <w:pStyle w:val="TableParagraph"/>
              <w:ind w:right="66"/>
              <w:jc w:val="right"/>
              <w:rPr>
                <w:sz w:val="16"/>
              </w:rPr>
            </w:pPr>
            <w:r>
              <w:rPr>
                <w:sz w:val="16"/>
              </w:rPr>
              <w:t>₡12</w:t>
            </w:r>
            <w:r>
              <w:rPr>
                <w:spacing w:val="-3"/>
                <w:sz w:val="16"/>
              </w:rPr>
              <w:t> </w:t>
            </w:r>
            <w:r>
              <w:rPr>
                <w:sz w:val="16"/>
              </w:rPr>
              <w:t>322</w:t>
            </w:r>
            <w:r>
              <w:rPr>
                <w:spacing w:val="-2"/>
                <w:sz w:val="16"/>
              </w:rPr>
              <w:t> </w:t>
            </w:r>
            <w:r>
              <w:rPr>
                <w:sz w:val="16"/>
              </w:rPr>
              <w:t>042</w:t>
            </w:r>
            <w:r>
              <w:rPr>
                <w:spacing w:val="-3"/>
                <w:sz w:val="16"/>
              </w:rPr>
              <w:t> </w:t>
            </w:r>
            <w:r>
              <w:rPr>
                <w:spacing w:val="-5"/>
                <w:sz w:val="16"/>
              </w:rPr>
              <w:t>562</w:t>
            </w:r>
          </w:p>
        </w:tc>
        <w:tc>
          <w:tcPr>
            <w:tcW w:w="1138" w:type="dxa"/>
          </w:tcPr>
          <w:p>
            <w:pPr>
              <w:pStyle w:val="TableParagraph"/>
              <w:rPr>
                <w:rFonts w:ascii="Times New Roman"/>
                <w:sz w:val="18"/>
              </w:rPr>
            </w:pPr>
          </w:p>
        </w:tc>
        <w:tc>
          <w:tcPr>
            <w:tcW w:w="1416" w:type="dxa"/>
          </w:tcPr>
          <w:p>
            <w:pPr>
              <w:pStyle w:val="TableParagraph"/>
              <w:rPr>
                <w:b/>
                <w:sz w:val="16"/>
              </w:rPr>
            </w:pPr>
          </w:p>
          <w:p>
            <w:pPr>
              <w:pStyle w:val="TableParagraph"/>
              <w:spacing w:before="130"/>
              <w:rPr>
                <w:b/>
                <w:sz w:val="16"/>
              </w:rPr>
            </w:pPr>
          </w:p>
          <w:p>
            <w:pPr>
              <w:pStyle w:val="TableParagraph"/>
              <w:ind w:right="113"/>
              <w:jc w:val="right"/>
              <w:rPr>
                <w:sz w:val="16"/>
              </w:rPr>
            </w:pPr>
            <w:r>
              <w:rPr>
                <w:sz w:val="16"/>
              </w:rPr>
              <w:t>₡25</w:t>
            </w:r>
            <w:r>
              <w:rPr>
                <w:spacing w:val="-3"/>
                <w:sz w:val="16"/>
              </w:rPr>
              <w:t> </w:t>
            </w:r>
            <w:r>
              <w:rPr>
                <w:sz w:val="16"/>
              </w:rPr>
              <w:t>355</w:t>
            </w:r>
            <w:r>
              <w:rPr>
                <w:spacing w:val="-2"/>
                <w:sz w:val="16"/>
              </w:rPr>
              <w:t> </w:t>
            </w:r>
            <w:r>
              <w:rPr>
                <w:sz w:val="16"/>
              </w:rPr>
              <w:t>350</w:t>
            </w:r>
            <w:r>
              <w:rPr>
                <w:spacing w:val="-3"/>
                <w:sz w:val="16"/>
              </w:rPr>
              <w:t> </w:t>
            </w:r>
            <w:r>
              <w:rPr>
                <w:spacing w:val="-5"/>
                <w:sz w:val="16"/>
              </w:rPr>
              <w:t>028</w:t>
            </w:r>
          </w:p>
        </w:tc>
        <w:tc>
          <w:tcPr>
            <w:tcW w:w="1133" w:type="dxa"/>
          </w:tcPr>
          <w:p>
            <w:pPr>
              <w:pStyle w:val="TableParagraph"/>
              <w:rPr>
                <w:rFonts w:ascii="Times New Roman"/>
                <w:sz w:val="18"/>
              </w:rPr>
            </w:pPr>
          </w:p>
        </w:tc>
        <w:tc>
          <w:tcPr>
            <w:tcW w:w="1416" w:type="dxa"/>
          </w:tcPr>
          <w:p>
            <w:pPr>
              <w:pStyle w:val="TableParagraph"/>
              <w:rPr>
                <w:b/>
                <w:sz w:val="16"/>
              </w:rPr>
            </w:pPr>
          </w:p>
          <w:p>
            <w:pPr>
              <w:pStyle w:val="TableParagraph"/>
              <w:spacing w:before="130"/>
              <w:rPr>
                <w:b/>
                <w:sz w:val="16"/>
              </w:rPr>
            </w:pPr>
          </w:p>
          <w:p>
            <w:pPr>
              <w:pStyle w:val="TableParagraph"/>
              <w:ind w:right="60"/>
              <w:jc w:val="right"/>
              <w:rPr>
                <w:sz w:val="16"/>
              </w:rPr>
            </w:pPr>
            <w:r>
              <w:rPr>
                <w:sz w:val="16"/>
              </w:rPr>
              <w:t>₡37</w:t>
            </w:r>
            <w:r>
              <w:rPr>
                <w:spacing w:val="-3"/>
                <w:sz w:val="16"/>
              </w:rPr>
              <w:t> </w:t>
            </w:r>
            <w:r>
              <w:rPr>
                <w:sz w:val="16"/>
              </w:rPr>
              <w:t>874</w:t>
            </w:r>
            <w:r>
              <w:rPr>
                <w:spacing w:val="-2"/>
                <w:sz w:val="16"/>
              </w:rPr>
              <w:t> </w:t>
            </w:r>
            <w:r>
              <w:rPr>
                <w:sz w:val="16"/>
              </w:rPr>
              <w:t>197</w:t>
            </w:r>
            <w:r>
              <w:rPr>
                <w:spacing w:val="-3"/>
                <w:sz w:val="16"/>
              </w:rPr>
              <w:t> </w:t>
            </w:r>
            <w:r>
              <w:rPr>
                <w:spacing w:val="-5"/>
                <w:sz w:val="16"/>
              </w:rPr>
              <w:t>622</w:t>
            </w:r>
          </w:p>
        </w:tc>
        <w:tc>
          <w:tcPr>
            <w:tcW w:w="1133" w:type="dxa"/>
          </w:tcPr>
          <w:p>
            <w:pPr>
              <w:pStyle w:val="TableParagraph"/>
              <w:rPr>
                <w:rFonts w:ascii="Times New Roman"/>
                <w:sz w:val="18"/>
              </w:rPr>
            </w:pPr>
          </w:p>
        </w:tc>
        <w:tc>
          <w:tcPr>
            <w:tcW w:w="1421" w:type="dxa"/>
          </w:tcPr>
          <w:p>
            <w:pPr>
              <w:pStyle w:val="TableParagraph"/>
              <w:rPr>
                <w:b/>
                <w:sz w:val="16"/>
              </w:rPr>
            </w:pPr>
          </w:p>
          <w:p>
            <w:pPr>
              <w:pStyle w:val="TableParagraph"/>
              <w:spacing w:before="130"/>
              <w:rPr>
                <w:b/>
                <w:sz w:val="16"/>
              </w:rPr>
            </w:pPr>
          </w:p>
          <w:p>
            <w:pPr>
              <w:pStyle w:val="TableParagraph"/>
              <w:ind w:right="65"/>
              <w:jc w:val="right"/>
              <w:rPr>
                <w:sz w:val="16"/>
              </w:rPr>
            </w:pPr>
            <w:r>
              <w:rPr>
                <w:sz w:val="16"/>
              </w:rPr>
              <w:t>₡51</w:t>
            </w:r>
            <w:r>
              <w:rPr>
                <w:spacing w:val="-3"/>
                <w:sz w:val="16"/>
              </w:rPr>
              <w:t> </w:t>
            </w:r>
            <w:r>
              <w:rPr>
                <w:sz w:val="16"/>
              </w:rPr>
              <w:t>486</w:t>
            </w:r>
            <w:r>
              <w:rPr>
                <w:spacing w:val="-2"/>
                <w:sz w:val="16"/>
              </w:rPr>
              <w:t> </w:t>
            </w:r>
            <w:r>
              <w:rPr>
                <w:sz w:val="16"/>
              </w:rPr>
              <w:t>852</w:t>
            </w:r>
            <w:r>
              <w:rPr>
                <w:spacing w:val="-3"/>
                <w:sz w:val="16"/>
              </w:rPr>
              <w:t> </w:t>
            </w:r>
            <w:r>
              <w:rPr>
                <w:spacing w:val="-5"/>
                <w:sz w:val="16"/>
              </w:rPr>
              <w:t>104</w:t>
            </w:r>
          </w:p>
        </w:tc>
        <w:tc>
          <w:tcPr>
            <w:tcW w:w="1134" w:type="dxa"/>
          </w:tcPr>
          <w:p>
            <w:pPr>
              <w:pStyle w:val="TableParagraph"/>
              <w:rPr>
                <w:rFonts w:ascii="Times New Roman"/>
                <w:sz w:val="18"/>
              </w:rPr>
            </w:pPr>
          </w:p>
        </w:tc>
      </w:tr>
      <w:tr>
        <w:trPr>
          <w:trHeight w:val="1137" w:hRule="atLeast"/>
        </w:trPr>
        <w:tc>
          <w:tcPr>
            <w:tcW w:w="2747" w:type="dxa"/>
          </w:tcPr>
          <w:p>
            <w:pPr>
              <w:pStyle w:val="TableParagraph"/>
              <w:spacing w:line="242" w:lineRule="auto" w:before="152"/>
              <w:ind w:left="72"/>
              <w:rPr>
                <w:sz w:val="18"/>
              </w:rPr>
            </w:pPr>
            <w:r>
              <w:rPr>
                <w:b/>
                <w:sz w:val="18"/>
              </w:rPr>
              <w:t>Actividad PAC 2.43.3: </w:t>
            </w:r>
            <w:r>
              <w:rPr>
                <w:sz w:val="18"/>
              </w:rPr>
              <w:t>Generación de ingresos por gestión</w:t>
            </w:r>
            <w:r>
              <w:rPr>
                <w:spacing w:val="-11"/>
                <w:sz w:val="18"/>
              </w:rPr>
              <w:t> </w:t>
            </w:r>
            <w:r>
              <w:rPr>
                <w:sz w:val="18"/>
              </w:rPr>
              <w:t>cobratoria</w:t>
            </w:r>
            <w:r>
              <w:rPr>
                <w:spacing w:val="-11"/>
                <w:sz w:val="18"/>
              </w:rPr>
              <w:t> </w:t>
            </w:r>
            <w:r>
              <w:rPr>
                <w:sz w:val="18"/>
              </w:rPr>
              <w:t>de</w:t>
            </w:r>
            <w:r>
              <w:rPr>
                <w:spacing w:val="-11"/>
                <w:sz w:val="18"/>
              </w:rPr>
              <w:t> </w:t>
            </w:r>
            <w:r>
              <w:rPr>
                <w:sz w:val="18"/>
              </w:rPr>
              <w:t>aportes Patronos Público. (AT)</w:t>
            </w:r>
          </w:p>
        </w:tc>
        <w:tc>
          <w:tcPr>
            <w:tcW w:w="1431" w:type="dxa"/>
          </w:tcPr>
          <w:p>
            <w:pPr>
              <w:pStyle w:val="TableParagraph"/>
              <w:spacing w:before="51"/>
              <w:ind w:left="71" w:right="55"/>
              <w:rPr>
                <w:sz w:val="18"/>
              </w:rPr>
            </w:pPr>
            <w:r>
              <w:rPr>
                <w:sz w:val="18"/>
              </w:rPr>
              <w:t>Monto en </w:t>
            </w:r>
            <w:r>
              <w:rPr>
                <w:spacing w:val="-2"/>
                <w:sz w:val="18"/>
              </w:rPr>
              <w:t>colones </w:t>
            </w:r>
            <w:r>
              <w:rPr>
                <w:sz w:val="18"/>
              </w:rPr>
              <w:t>estimado</w:t>
            </w:r>
            <w:r>
              <w:rPr>
                <w:spacing w:val="-15"/>
                <w:sz w:val="18"/>
              </w:rPr>
              <w:t> </w:t>
            </w:r>
            <w:r>
              <w:rPr>
                <w:sz w:val="18"/>
              </w:rPr>
              <w:t>de</w:t>
            </w:r>
            <w:r>
              <w:rPr>
                <w:spacing w:val="-12"/>
                <w:sz w:val="18"/>
              </w:rPr>
              <w:t> </w:t>
            </w:r>
            <w:r>
              <w:rPr>
                <w:sz w:val="18"/>
              </w:rPr>
              <w:t>los </w:t>
            </w:r>
            <w:r>
              <w:rPr>
                <w:spacing w:val="-2"/>
                <w:sz w:val="18"/>
              </w:rPr>
              <w:t>ingresos tributarios</w:t>
            </w:r>
          </w:p>
        </w:tc>
        <w:tc>
          <w:tcPr>
            <w:tcW w:w="1489" w:type="dxa"/>
          </w:tcPr>
          <w:p>
            <w:pPr>
              <w:pStyle w:val="TableParagraph"/>
              <w:rPr>
                <w:b/>
                <w:sz w:val="16"/>
              </w:rPr>
            </w:pPr>
          </w:p>
          <w:p>
            <w:pPr>
              <w:pStyle w:val="TableParagraph"/>
              <w:spacing w:before="106"/>
              <w:rPr>
                <w:b/>
                <w:sz w:val="16"/>
              </w:rPr>
            </w:pPr>
          </w:p>
          <w:p>
            <w:pPr>
              <w:pStyle w:val="TableParagraph"/>
              <w:ind w:right="65"/>
              <w:jc w:val="right"/>
              <w:rPr>
                <w:sz w:val="16"/>
              </w:rPr>
            </w:pPr>
            <w:r>
              <w:rPr>
                <w:sz w:val="16"/>
              </w:rPr>
              <w:t>₡1</w:t>
            </w:r>
            <w:r>
              <w:rPr>
                <w:spacing w:val="-6"/>
                <w:sz w:val="16"/>
              </w:rPr>
              <w:t> </w:t>
            </w:r>
            <w:r>
              <w:rPr>
                <w:sz w:val="16"/>
              </w:rPr>
              <w:t>304</w:t>
            </w:r>
            <w:r>
              <w:rPr>
                <w:spacing w:val="-1"/>
                <w:sz w:val="16"/>
              </w:rPr>
              <w:t> </w:t>
            </w:r>
            <w:r>
              <w:rPr>
                <w:sz w:val="16"/>
              </w:rPr>
              <w:t>803</w:t>
            </w:r>
            <w:r>
              <w:rPr>
                <w:spacing w:val="-2"/>
                <w:sz w:val="16"/>
              </w:rPr>
              <w:t> </w:t>
            </w:r>
            <w:r>
              <w:rPr>
                <w:spacing w:val="-5"/>
                <w:sz w:val="16"/>
              </w:rPr>
              <w:t>547</w:t>
            </w:r>
          </w:p>
        </w:tc>
        <w:tc>
          <w:tcPr>
            <w:tcW w:w="1138" w:type="dxa"/>
          </w:tcPr>
          <w:p>
            <w:pPr>
              <w:pStyle w:val="TableParagraph"/>
              <w:rPr>
                <w:rFonts w:ascii="Times New Roman"/>
                <w:sz w:val="18"/>
              </w:rPr>
            </w:pPr>
          </w:p>
        </w:tc>
        <w:tc>
          <w:tcPr>
            <w:tcW w:w="1416" w:type="dxa"/>
          </w:tcPr>
          <w:p>
            <w:pPr>
              <w:pStyle w:val="TableParagraph"/>
              <w:rPr>
                <w:b/>
                <w:sz w:val="16"/>
              </w:rPr>
            </w:pPr>
          </w:p>
          <w:p>
            <w:pPr>
              <w:pStyle w:val="TableParagraph"/>
              <w:spacing w:before="106"/>
              <w:rPr>
                <w:b/>
                <w:sz w:val="16"/>
              </w:rPr>
            </w:pPr>
          </w:p>
          <w:p>
            <w:pPr>
              <w:pStyle w:val="TableParagraph"/>
              <w:ind w:right="65"/>
              <w:jc w:val="right"/>
              <w:rPr>
                <w:sz w:val="16"/>
              </w:rPr>
            </w:pPr>
            <w:r>
              <w:rPr>
                <w:sz w:val="16"/>
              </w:rPr>
              <w:t>₡2</w:t>
            </w:r>
            <w:r>
              <w:rPr>
                <w:spacing w:val="-6"/>
                <w:sz w:val="16"/>
              </w:rPr>
              <w:t> </w:t>
            </w:r>
            <w:r>
              <w:rPr>
                <w:sz w:val="16"/>
              </w:rPr>
              <w:t>297</w:t>
            </w:r>
            <w:r>
              <w:rPr>
                <w:spacing w:val="-1"/>
                <w:sz w:val="16"/>
              </w:rPr>
              <w:t> </w:t>
            </w:r>
            <w:r>
              <w:rPr>
                <w:sz w:val="16"/>
              </w:rPr>
              <w:t>199</w:t>
            </w:r>
            <w:r>
              <w:rPr>
                <w:spacing w:val="-2"/>
                <w:sz w:val="16"/>
              </w:rPr>
              <w:t> </w:t>
            </w:r>
            <w:r>
              <w:rPr>
                <w:spacing w:val="-5"/>
                <w:sz w:val="16"/>
              </w:rPr>
              <w:t>014</w:t>
            </w:r>
          </w:p>
        </w:tc>
        <w:tc>
          <w:tcPr>
            <w:tcW w:w="1133" w:type="dxa"/>
          </w:tcPr>
          <w:p>
            <w:pPr>
              <w:pStyle w:val="TableParagraph"/>
              <w:rPr>
                <w:rFonts w:ascii="Times New Roman"/>
                <w:sz w:val="18"/>
              </w:rPr>
            </w:pPr>
          </w:p>
        </w:tc>
        <w:tc>
          <w:tcPr>
            <w:tcW w:w="1416" w:type="dxa"/>
          </w:tcPr>
          <w:p>
            <w:pPr>
              <w:pStyle w:val="TableParagraph"/>
              <w:rPr>
                <w:b/>
                <w:sz w:val="16"/>
              </w:rPr>
            </w:pPr>
          </w:p>
          <w:p>
            <w:pPr>
              <w:pStyle w:val="TableParagraph"/>
              <w:spacing w:before="106"/>
              <w:rPr>
                <w:b/>
                <w:sz w:val="16"/>
              </w:rPr>
            </w:pPr>
          </w:p>
          <w:p>
            <w:pPr>
              <w:pStyle w:val="TableParagraph"/>
              <w:ind w:right="60"/>
              <w:jc w:val="right"/>
              <w:rPr>
                <w:sz w:val="16"/>
              </w:rPr>
            </w:pPr>
            <w:r>
              <w:rPr>
                <w:sz w:val="16"/>
              </w:rPr>
              <w:t>₡3</w:t>
            </w:r>
            <w:r>
              <w:rPr>
                <w:spacing w:val="-6"/>
                <w:sz w:val="16"/>
              </w:rPr>
              <w:t> </w:t>
            </w:r>
            <w:r>
              <w:rPr>
                <w:sz w:val="16"/>
              </w:rPr>
              <w:t>274</w:t>
            </w:r>
            <w:r>
              <w:rPr>
                <w:spacing w:val="-1"/>
                <w:sz w:val="16"/>
              </w:rPr>
              <w:t> </w:t>
            </w:r>
            <w:r>
              <w:rPr>
                <w:sz w:val="16"/>
              </w:rPr>
              <w:t>395</w:t>
            </w:r>
            <w:r>
              <w:rPr>
                <w:spacing w:val="-2"/>
                <w:sz w:val="16"/>
              </w:rPr>
              <w:t> </w:t>
            </w:r>
            <w:r>
              <w:rPr>
                <w:spacing w:val="-5"/>
                <w:sz w:val="16"/>
              </w:rPr>
              <w:t>256</w:t>
            </w:r>
          </w:p>
        </w:tc>
        <w:tc>
          <w:tcPr>
            <w:tcW w:w="1133" w:type="dxa"/>
          </w:tcPr>
          <w:p>
            <w:pPr>
              <w:pStyle w:val="TableParagraph"/>
              <w:rPr>
                <w:rFonts w:ascii="Times New Roman"/>
                <w:sz w:val="18"/>
              </w:rPr>
            </w:pPr>
          </w:p>
        </w:tc>
        <w:tc>
          <w:tcPr>
            <w:tcW w:w="1421" w:type="dxa"/>
          </w:tcPr>
          <w:p>
            <w:pPr>
              <w:pStyle w:val="TableParagraph"/>
              <w:rPr>
                <w:b/>
                <w:sz w:val="16"/>
              </w:rPr>
            </w:pPr>
          </w:p>
          <w:p>
            <w:pPr>
              <w:pStyle w:val="TableParagraph"/>
              <w:spacing w:before="106"/>
              <w:rPr>
                <w:b/>
                <w:sz w:val="16"/>
              </w:rPr>
            </w:pPr>
          </w:p>
          <w:p>
            <w:pPr>
              <w:pStyle w:val="TableParagraph"/>
              <w:ind w:right="64"/>
              <w:jc w:val="right"/>
              <w:rPr>
                <w:sz w:val="16"/>
              </w:rPr>
            </w:pPr>
            <w:r>
              <w:rPr>
                <w:sz w:val="16"/>
              </w:rPr>
              <w:t>₡4</w:t>
            </w:r>
            <w:r>
              <w:rPr>
                <w:spacing w:val="-6"/>
                <w:sz w:val="16"/>
              </w:rPr>
              <w:t> </w:t>
            </w:r>
            <w:r>
              <w:rPr>
                <w:sz w:val="16"/>
              </w:rPr>
              <w:t>257</w:t>
            </w:r>
            <w:r>
              <w:rPr>
                <w:spacing w:val="-1"/>
                <w:sz w:val="16"/>
              </w:rPr>
              <w:t> </w:t>
            </w:r>
            <w:r>
              <w:rPr>
                <w:sz w:val="16"/>
              </w:rPr>
              <w:t>199</w:t>
            </w:r>
            <w:r>
              <w:rPr>
                <w:spacing w:val="-2"/>
                <w:sz w:val="16"/>
              </w:rPr>
              <w:t> </w:t>
            </w:r>
            <w:r>
              <w:rPr>
                <w:spacing w:val="-5"/>
                <w:sz w:val="16"/>
              </w:rPr>
              <w:t>386</w:t>
            </w:r>
          </w:p>
        </w:tc>
        <w:tc>
          <w:tcPr>
            <w:tcW w:w="1134" w:type="dxa"/>
          </w:tcPr>
          <w:p>
            <w:pPr>
              <w:pStyle w:val="TableParagraph"/>
              <w:rPr>
                <w:rFonts w:ascii="Times New Roman"/>
                <w:sz w:val="18"/>
              </w:rPr>
            </w:pPr>
          </w:p>
        </w:tc>
      </w:tr>
      <w:tr>
        <w:trPr>
          <w:trHeight w:val="1334" w:hRule="atLeast"/>
        </w:trPr>
        <w:tc>
          <w:tcPr>
            <w:tcW w:w="2747" w:type="dxa"/>
          </w:tcPr>
          <w:p>
            <w:pPr>
              <w:pStyle w:val="TableParagraph"/>
              <w:spacing w:before="46"/>
              <w:rPr>
                <w:b/>
                <w:sz w:val="18"/>
              </w:rPr>
            </w:pPr>
          </w:p>
          <w:p>
            <w:pPr>
              <w:pStyle w:val="TableParagraph"/>
              <w:ind w:left="72" w:right="110"/>
              <w:rPr>
                <w:sz w:val="18"/>
              </w:rPr>
            </w:pPr>
            <w:r>
              <w:rPr>
                <w:b/>
                <w:sz w:val="18"/>
              </w:rPr>
              <w:t>Actividad PAC 2.43.4: </w:t>
            </w:r>
            <w:r>
              <w:rPr>
                <w:sz w:val="18"/>
              </w:rPr>
              <w:t>Generación de ingresos por gestión</w:t>
            </w:r>
            <w:r>
              <w:rPr>
                <w:spacing w:val="-11"/>
                <w:sz w:val="18"/>
              </w:rPr>
              <w:t> </w:t>
            </w:r>
            <w:r>
              <w:rPr>
                <w:sz w:val="18"/>
              </w:rPr>
              <w:t>cobratoria</w:t>
            </w:r>
            <w:r>
              <w:rPr>
                <w:spacing w:val="-11"/>
                <w:sz w:val="18"/>
              </w:rPr>
              <w:t> </w:t>
            </w:r>
            <w:r>
              <w:rPr>
                <w:sz w:val="18"/>
              </w:rPr>
              <w:t>del</w:t>
            </w:r>
            <w:r>
              <w:rPr>
                <w:spacing w:val="-13"/>
                <w:sz w:val="18"/>
              </w:rPr>
              <w:t> </w:t>
            </w:r>
            <w:r>
              <w:rPr>
                <w:sz w:val="18"/>
              </w:rPr>
              <w:t>Impuesto a Moteles y Afines. (AT)</w:t>
            </w:r>
          </w:p>
        </w:tc>
        <w:tc>
          <w:tcPr>
            <w:tcW w:w="1431" w:type="dxa"/>
          </w:tcPr>
          <w:p>
            <w:pPr>
              <w:pStyle w:val="TableParagraph"/>
              <w:spacing w:before="152"/>
              <w:ind w:left="71" w:right="55"/>
              <w:rPr>
                <w:sz w:val="18"/>
              </w:rPr>
            </w:pPr>
            <w:r>
              <w:rPr>
                <w:sz w:val="18"/>
              </w:rPr>
              <w:t>Monto en </w:t>
            </w:r>
            <w:r>
              <w:rPr>
                <w:spacing w:val="-2"/>
                <w:sz w:val="18"/>
              </w:rPr>
              <w:t>colones </w:t>
            </w:r>
            <w:r>
              <w:rPr>
                <w:sz w:val="18"/>
              </w:rPr>
              <w:t>estimado</w:t>
            </w:r>
            <w:r>
              <w:rPr>
                <w:spacing w:val="-15"/>
                <w:sz w:val="18"/>
              </w:rPr>
              <w:t> </w:t>
            </w:r>
            <w:r>
              <w:rPr>
                <w:sz w:val="18"/>
              </w:rPr>
              <w:t>de</w:t>
            </w:r>
            <w:r>
              <w:rPr>
                <w:spacing w:val="-12"/>
                <w:sz w:val="18"/>
              </w:rPr>
              <w:t> </w:t>
            </w:r>
            <w:r>
              <w:rPr>
                <w:sz w:val="18"/>
              </w:rPr>
              <w:t>los </w:t>
            </w:r>
            <w:r>
              <w:rPr>
                <w:spacing w:val="-2"/>
                <w:sz w:val="18"/>
              </w:rPr>
              <w:t>ingresos tributarios</w:t>
            </w:r>
          </w:p>
        </w:tc>
        <w:tc>
          <w:tcPr>
            <w:tcW w:w="1489" w:type="dxa"/>
          </w:tcPr>
          <w:p>
            <w:pPr>
              <w:pStyle w:val="TableParagraph"/>
              <w:rPr>
                <w:b/>
                <w:sz w:val="16"/>
              </w:rPr>
            </w:pPr>
          </w:p>
          <w:p>
            <w:pPr>
              <w:pStyle w:val="TableParagraph"/>
              <w:rPr>
                <w:b/>
                <w:sz w:val="16"/>
              </w:rPr>
            </w:pPr>
          </w:p>
          <w:p>
            <w:pPr>
              <w:pStyle w:val="TableParagraph"/>
              <w:spacing w:before="22"/>
              <w:rPr>
                <w:b/>
                <w:sz w:val="16"/>
              </w:rPr>
            </w:pPr>
          </w:p>
          <w:p>
            <w:pPr>
              <w:pStyle w:val="TableParagraph"/>
              <w:spacing w:before="1"/>
              <w:ind w:right="65"/>
              <w:jc w:val="right"/>
              <w:rPr>
                <w:sz w:val="16"/>
              </w:rPr>
            </w:pPr>
            <w:r>
              <w:rPr>
                <w:sz w:val="16"/>
              </w:rPr>
              <w:t>₡294</w:t>
            </w:r>
            <w:r>
              <w:rPr>
                <w:spacing w:val="-5"/>
                <w:sz w:val="16"/>
              </w:rPr>
              <w:t> </w:t>
            </w:r>
            <w:r>
              <w:rPr>
                <w:sz w:val="16"/>
              </w:rPr>
              <w:t>404</w:t>
            </w:r>
            <w:r>
              <w:rPr>
                <w:spacing w:val="-4"/>
                <w:sz w:val="16"/>
              </w:rPr>
              <w:t> </w:t>
            </w:r>
            <w:r>
              <w:rPr>
                <w:spacing w:val="-5"/>
                <w:sz w:val="16"/>
              </w:rPr>
              <w:t>225</w:t>
            </w:r>
          </w:p>
        </w:tc>
        <w:tc>
          <w:tcPr>
            <w:tcW w:w="1138" w:type="dxa"/>
          </w:tcPr>
          <w:p>
            <w:pPr>
              <w:pStyle w:val="TableParagraph"/>
              <w:rPr>
                <w:rFonts w:ascii="Times New Roman"/>
                <w:sz w:val="18"/>
              </w:rPr>
            </w:pPr>
          </w:p>
        </w:tc>
        <w:tc>
          <w:tcPr>
            <w:tcW w:w="1416" w:type="dxa"/>
          </w:tcPr>
          <w:p>
            <w:pPr>
              <w:pStyle w:val="TableParagraph"/>
              <w:rPr>
                <w:b/>
                <w:sz w:val="16"/>
              </w:rPr>
            </w:pPr>
          </w:p>
          <w:p>
            <w:pPr>
              <w:pStyle w:val="TableParagraph"/>
              <w:rPr>
                <w:b/>
                <w:sz w:val="16"/>
              </w:rPr>
            </w:pPr>
          </w:p>
          <w:p>
            <w:pPr>
              <w:pStyle w:val="TableParagraph"/>
              <w:spacing w:before="22"/>
              <w:rPr>
                <w:b/>
                <w:sz w:val="16"/>
              </w:rPr>
            </w:pPr>
          </w:p>
          <w:p>
            <w:pPr>
              <w:pStyle w:val="TableParagraph"/>
              <w:spacing w:before="1"/>
              <w:ind w:right="65"/>
              <w:jc w:val="right"/>
              <w:rPr>
                <w:sz w:val="16"/>
              </w:rPr>
            </w:pPr>
            <w:r>
              <w:rPr>
                <w:sz w:val="16"/>
              </w:rPr>
              <w:t>₡576</w:t>
            </w:r>
            <w:r>
              <w:rPr>
                <w:spacing w:val="-5"/>
                <w:sz w:val="16"/>
              </w:rPr>
              <w:t> </w:t>
            </w:r>
            <w:r>
              <w:rPr>
                <w:sz w:val="16"/>
              </w:rPr>
              <w:t>544</w:t>
            </w:r>
            <w:r>
              <w:rPr>
                <w:spacing w:val="-4"/>
                <w:sz w:val="16"/>
              </w:rPr>
              <w:t> </w:t>
            </w:r>
            <w:r>
              <w:rPr>
                <w:spacing w:val="-5"/>
                <w:sz w:val="16"/>
              </w:rPr>
              <w:t>904</w:t>
            </w:r>
          </w:p>
        </w:tc>
        <w:tc>
          <w:tcPr>
            <w:tcW w:w="1133" w:type="dxa"/>
          </w:tcPr>
          <w:p>
            <w:pPr>
              <w:pStyle w:val="TableParagraph"/>
              <w:rPr>
                <w:rFonts w:ascii="Times New Roman"/>
                <w:sz w:val="18"/>
              </w:rPr>
            </w:pPr>
          </w:p>
        </w:tc>
        <w:tc>
          <w:tcPr>
            <w:tcW w:w="1416" w:type="dxa"/>
          </w:tcPr>
          <w:p>
            <w:pPr>
              <w:pStyle w:val="TableParagraph"/>
              <w:rPr>
                <w:b/>
                <w:sz w:val="16"/>
              </w:rPr>
            </w:pPr>
          </w:p>
          <w:p>
            <w:pPr>
              <w:pStyle w:val="TableParagraph"/>
              <w:rPr>
                <w:b/>
                <w:sz w:val="16"/>
              </w:rPr>
            </w:pPr>
          </w:p>
          <w:p>
            <w:pPr>
              <w:pStyle w:val="TableParagraph"/>
              <w:spacing w:before="22"/>
              <w:rPr>
                <w:b/>
                <w:sz w:val="16"/>
              </w:rPr>
            </w:pPr>
          </w:p>
          <w:p>
            <w:pPr>
              <w:pStyle w:val="TableParagraph"/>
              <w:spacing w:before="1"/>
              <w:ind w:right="60"/>
              <w:jc w:val="right"/>
              <w:rPr>
                <w:sz w:val="16"/>
              </w:rPr>
            </w:pPr>
            <w:r>
              <w:rPr>
                <w:sz w:val="16"/>
              </w:rPr>
              <w:t>₡851</w:t>
            </w:r>
            <w:r>
              <w:rPr>
                <w:spacing w:val="-5"/>
                <w:sz w:val="16"/>
              </w:rPr>
              <w:t> </w:t>
            </w:r>
            <w:r>
              <w:rPr>
                <w:sz w:val="16"/>
              </w:rPr>
              <w:t>381</w:t>
            </w:r>
            <w:r>
              <w:rPr>
                <w:spacing w:val="-4"/>
                <w:sz w:val="16"/>
              </w:rPr>
              <w:t> </w:t>
            </w:r>
            <w:r>
              <w:rPr>
                <w:spacing w:val="-5"/>
                <w:sz w:val="16"/>
              </w:rPr>
              <w:t>657</w:t>
            </w:r>
          </w:p>
        </w:tc>
        <w:tc>
          <w:tcPr>
            <w:tcW w:w="1133" w:type="dxa"/>
          </w:tcPr>
          <w:p>
            <w:pPr>
              <w:pStyle w:val="TableParagraph"/>
              <w:rPr>
                <w:rFonts w:ascii="Times New Roman"/>
                <w:sz w:val="18"/>
              </w:rPr>
            </w:pPr>
          </w:p>
        </w:tc>
        <w:tc>
          <w:tcPr>
            <w:tcW w:w="1421" w:type="dxa"/>
          </w:tcPr>
          <w:p>
            <w:pPr>
              <w:pStyle w:val="TableParagraph"/>
              <w:rPr>
                <w:b/>
                <w:sz w:val="16"/>
              </w:rPr>
            </w:pPr>
          </w:p>
          <w:p>
            <w:pPr>
              <w:pStyle w:val="TableParagraph"/>
              <w:rPr>
                <w:b/>
                <w:sz w:val="16"/>
              </w:rPr>
            </w:pPr>
          </w:p>
          <w:p>
            <w:pPr>
              <w:pStyle w:val="TableParagraph"/>
              <w:spacing w:before="22"/>
              <w:rPr>
                <w:b/>
                <w:sz w:val="16"/>
              </w:rPr>
            </w:pPr>
          </w:p>
          <w:p>
            <w:pPr>
              <w:pStyle w:val="TableParagraph"/>
              <w:spacing w:before="1"/>
              <w:ind w:right="64"/>
              <w:jc w:val="right"/>
              <w:rPr>
                <w:sz w:val="16"/>
              </w:rPr>
            </w:pPr>
            <w:r>
              <w:rPr>
                <w:sz w:val="16"/>
              </w:rPr>
              <w:t>₡1</w:t>
            </w:r>
            <w:r>
              <w:rPr>
                <w:spacing w:val="-6"/>
                <w:sz w:val="16"/>
              </w:rPr>
              <w:t> </w:t>
            </w:r>
            <w:r>
              <w:rPr>
                <w:sz w:val="16"/>
              </w:rPr>
              <w:t>189</w:t>
            </w:r>
            <w:r>
              <w:rPr>
                <w:spacing w:val="-1"/>
                <w:sz w:val="16"/>
              </w:rPr>
              <w:t> </w:t>
            </w:r>
            <w:r>
              <w:rPr>
                <w:sz w:val="16"/>
              </w:rPr>
              <w:t>219</w:t>
            </w:r>
            <w:r>
              <w:rPr>
                <w:spacing w:val="-2"/>
                <w:sz w:val="16"/>
              </w:rPr>
              <w:t> </w:t>
            </w:r>
            <w:r>
              <w:rPr>
                <w:spacing w:val="-5"/>
                <w:sz w:val="16"/>
              </w:rPr>
              <w:t>632</w:t>
            </w:r>
          </w:p>
        </w:tc>
        <w:tc>
          <w:tcPr>
            <w:tcW w:w="1134" w:type="dxa"/>
          </w:tcPr>
          <w:p>
            <w:pPr>
              <w:pStyle w:val="TableParagraph"/>
              <w:rPr>
                <w:rFonts w:ascii="Times New Roman"/>
                <w:sz w:val="18"/>
              </w:rPr>
            </w:pPr>
          </w:p>
        </w:tc>
      </w:tr>
      <w:tr>
        <w:trPr>
          <w:trHeight w:val="1233" w:hRule="atLeast"/>
        </w:trPr>
        <w:tc>
          <w:tcPr>
            <w:tcW w:w="2747" w:type="dxa"/>
          </w:tcPr>
          <w:p>
            <w:pPr>
              <w:pStyle w:val="TableParagraph"/>
              <w:spacing w:before="201"/>
              <w:ind w:left="72"/>
              <w:rPr>
                <w:sz w:val="18"/>
              </w:rPr>
            </w:pPr>
            <w:r>
              <w:rPr>
                <w:b/>
                <w:sz w:val="18"/>
              </w:rPr>
              <w:t>Actividad PAC 2.43.5: </w:t>
            </w:r>
            <w:r>
              <w:rPr>
                <w:sz w:val="18"/>
              </w:rPr>
              <w:t>Generación de ingresos por gestión</w:t>
            </w:r>
            <w:r>
              <w:rPr>
                <w:spacing w:val="-10"/>
                <w:sz w:val="18"/>
              </w:rPr>
              <w:t> </w:t>
            </w:r>
            <w:r>
              <w:rPr>
                <w:sz w:val="18"/>
              </w:rPr>
              <w:t>cobratoria</w:t>
            </w:r>
            <w:r>
              <w:rPr>
                <w:spacing w:val="-10"/>
                <w:sz w:val="18"/>
              </w:rPr>
              <w:t> </w:t>
            </w:r>
            <w:r>
              <w:rPr>
                <w:sz w:val="18"/>
              </w:rPr>
              <w:t>de</w:t>
            </w:r>
            <w:r>
              <w:rPr>
                <w:spacing w:val="-10"/>
                <w:sz w:val="18"/>
              </w:rPr>
              <w:t> </w:t>
            </w:r>
            <w:r>
              <w:rPr>
                <w:sz w:val="18"/>
              </w:rPr>
              <w:t>recargos</w:t>
            </w:r>
            <w:r>
              <w:rPr>
                <w:spacing w:val="-5"/>
                <w:sz w:val="18"/>
              </w:rPr>
              <w:t> </w:t>
            </w:r>
            <w:r>
              <w:rPr>
                <w:sz w:val="18"/>
              </w:rPr>
              <w:t>e intereses.</w:t>
            </w:r>
            <w:r>
              <w:rPr>
                <w:spacing w:val="-1"/>
                <w:sz w:val="18"/>
              </w:rPr>
              <w:t> </w:t>
            </w:r>
            <w:r>
              <w:rPr>
                <w:sz w:val="18"/>
              </w:rPr>
              <w:t>(AT)</w:t>
            </w:r>
          </w:p>
        </w:tc>
        <w:tc>
          <w:tcPr>
            <w:tcW w:w="1431" w:type="dxa"/>
          </w:tcPr>
          <w:p>
            <w:pPr>
              <w:pStyle w:val="TableParagraph"/>
              <w:spacing w:before="100"/>
              <w:ind w:left="71" w:right="55"/>
              <w:rPr>
                <w:sz w:val="18"/>
              </w:rPr>
            </w:pPr>
            <w:r>
              <w:rPr>
                <w:sz w:val="18"/>
              </w:rPr>
              <w:t>Monto en </w:t>
            </w:r>
            <w:r>
              <w:rPr>
                <w:spacing w:val="-2"/>
                <w:sz w:val="18"/>
              </w:rPr>
              <w:t>colones </w:t>
            </w:r>
            <w:r>
              <w:rPr>
                <w:sz w:val="18"/>
              </w:rPr>
              <w:t>estimado</w:t>
            </w:r>
            <w:r>
              <w:rPr>
                <w:spacing w:val="-15"/>
                <w:sz w:val="18"/>
              </w:rPr>
              <w:t> </w:t>
            </w:r>
            <w:r>
              <w:rPr>
                <w:sz w:val="18"/>
              </w:rPr>
              <w:t>de</w:t>
            </w:r>
            <w:r>
              <w:rPr>
                <w:spacing w:val="-12"/>
                <w:sz w:val="18"/>
              </w:rPr>
              <w:t> </w:t>
            </w:r>
            <w:r>
              <w:rPr>
                <w:sz w:val="18"/>
              </w:rPr>
              <w:t>los </w:t>
            </w:r>
            <w:r>
              <w:rPr>
                <w:spacing w:val="-2"/>
                <w:sz w:val="18"/>
              </w:rPr>
              <w:t>ingresos tributarios</w:t>
            </w:r>
          </w:p>
        </w:tc>
        <w:tc>
          <w:tcPr>
            <w:tcW w:w="1489" w:type="dxa"/>
          </w:tcPr>
          <w:p>
            <w:pPr>
              <w:pStyle w:val="TableParagraph"/>
              <w:rPr>
                <w:b/>
                <w:sz w:val="16"/>
              </w:rPr>
            </w:pPr>
          </w:p>
          <w:p>
            <w:pPr>
              <w:pStyle w:val="TableParagraph"/>
              <w:spacing w:before="154"/>
              <w:rPr>
                <w:b/>
                <w:sz w:val="16"/>
              </w:rPr>
            </w:pPr>
          </w:p>
          <w:p>
            <w:pPr>
              <w:pStyle w:val="TableParagraph"/>
              <w:ind w:right="66"/>
              <w:jc w:val="right"/>
              <w:rPr>
                <w:sz w:val="16"/>
              </w:rPr>
            </w:pPr>
            <w:r>
              <w:rPr>
                <w:sz w:val="16"/>
              </w:rPr>
              <w:t>₡66</w:t>
            </w:r>
            <w:r>
              <w:rPr>
                <w:spacing w:val="-3"/>
                <w:sz w:val="16"/>
              </w:rPr>
              <w:t> </w:t>
            </w:r>
            <w:r>
              <w:rPr>
                <w:sz w:val="16"/>
              </w:rPr>
              <w:t>125</w:t>
            </w:r>
            <w:r>
              <w:rPr>
                <w:spacing w:val="-3"/>
                <w:sz w:val="16"/>
              </w:rPr>
              <w:t> </w:t>
            </w:r>
            <w:r>
              <w:rPr>
                <w:spacing w:val="-5"/>
                <w:sz w:val="16"/>
              </w:rPr>
              <w:t>729</w:t>
            </w:r>
          </w:p>
        </w:tc>
        <w:tc>
          <w:tcPr>
            <w:tcW w:w="1138" w:type="dxa"/>
          </w:tcPr>
          <w:p>
            <w:pPr>
              <w:pStyle w:val="TableParagraph"/>
              <w:rPr>
                <w:rFonts w:ascii="Times New Roman"/>
                <w:sz w:val="18"/>
              </w:rPr>
            </w:pPr>
          </w:p>
        </w:tc>
        <w:tc>
          <w:tcPr>
            <w:tcW w:w="1416" w:type="dxa"/>
          </w:tcPr>
          <w:p>
            <w:pPr>
              <w:pStyle w:val="TableParagraph"/>
              <w:rPr>
                <w:b/>
                <w:sz w:val="16"/>
              </w:rPr>
            </w:pPr>
          </w:p>
          <w:p>
            <w:pPr>
              <w:pStyle w:val="TableParagraph"/>
              <w:spacing w:before="154"/>
              <w:rPr>
                <w:b/>
                <w:sz w:val="16"/>
              </w:rPr>
            </w:pPr>
          </w:p>
          <w:p>
            <w:pPr>
              <w:pStyle w:val="TableParagraph"/>
              <w:ind w:right="65"/>
              <w:jc w:val="right"/>
              <w:rPr>
                <w:sz w:val="16"/>
              </w:rPr>
            </w:pPr>
            <w:r>
              <w:rPr>
                <w:sz w:val="16"/>
              </w:rPr>
              <w:t>₡130</w:t>
            </w:r>
            <w:r>
              <w:rPr>
                <w:spacing w:val="-5"/>
                <w:sz w:val="16"/>
              </w:rPr>
              <w:t> </w:t>
            </w:r>
            <w:r>
              <w:rPr>
                <w:sz w:val="16"/>
              </w:rPr>
              <w:t>290</w:t>
            </w:r>
            <w:r>
              <w:rPr>
                <w:spacing w:val="-4"/>
                <w:sz w:val="16"/>
              </w:rPr>
              <w:t> </w:t>
            </w:r>
            <w:r>
              <w:rPr>
                <w:spacing w:val="-5"/>
                <w:sz w:val="16"/>
              </w:rPr>
              <w:t>080</w:t>
            </w:r>
          </w:p>
        </w:tc>
        <w:tc>
          <w:tcPr>
            <w:tcW w:w="1133" w:type="dxa"/>
          </w:tcPr>
          <w:p>
            <w:pPr>
              <w:pStyle w:val="TableParagraph"/>
              <w:rPr>
                <w:rFonts w:ascii="Times New Roman"/>
                <w:sz w:val="18"/>
              </w:rPr>
            </w:pPr>
          </w:p>
        </w:tc>
        <w:tc>
          <w:tcPr>
            <w:tcW w:w="1416" w:type="dxa"/>
          </w:tcPr>
          <w:p>
            <w:pPr>
              <w:pStyle w:val="TableParagraph"/>
              <w:rPr>
                <w:b/>
                <w:sz w:val="16"/>
              </w:rPr>
            </w:pPr>
          </w:p>
          <w:p>
            <w:pPr>
              <w:pStyle w:val="TableParagraph"/>
              <w:spacing w:before="154"/>
              <w:rPr>
                <w:b/>
                <w:sz w:val="16"/>
              </w:rPr>
            </w:pPr>
          </w:p>
          <w:p>
            <w:pPr>
              <w:pStyle w:val="TableParagraph"/>
              <w:ind w:right="60"/>
              <w:jc w:val="right"/>
              <w:rPr>
                <w:sz w:val="16"/>
              </w:rPr>
            </w:pPr>
            <w:r>
              <w:rPr>
                <w:sz w:val="16"/>
              </w:rPr>
              <w:t>₡193</w:t>
            </w:r>
            <w:r>
              <w:rPr>
                <w:spacing w:val="-5"/>
                <w:sz w:val="16"/>
              </w:rPr>
              <w:t> </w:t>
            </w:r>
            <w:r>
              <w:rPr>
                <w:sz w:val="16"/>
              </w:rPr>
              <w:t>231</w:t>
            </w:r>
            <w:r>
              <w:rPr>
                <w:spacing w:val="-4"/>
                <w:sz w:val="16"/>
              </w:rPr>
              <w:t> </w:t>
            </w:r>
            <w:r>
              <w:rPr>
                <w:spacing w:val="-5"/>
                <w:sz w:val="16"/>
              </w:rPr>
              <w:t>205</w:t>
            </w:r>
          </w:p>
        </w:tc>
        <w:tc>
          <w:tcPr>
            <w:tcW w:w="1133" w:type="dxa"/>
          </w:tcPr>
          <w:p>
            <w:pPr>
              <w:pStyle w:val="TableParagraph"/>
              <w:rPr>
                <w:rFonts w:ascii="Times New Roman"/>
                <w:sz w:val="18"/>
              </w:rPr>
            </w:pPr>
          </w:p>
        </w:tc>
        <w:tc>
          <w:tcPr>
            <w:tcW w:w="1421" w:type="dxa"/>
          </w:tcPr>
          <w:p>
            <w:pPr>
              <w:pStyle w:val="TableParagraph"/>
              <w:rPr>
                <w:b/>
                <w:sz w:val="16"/>
              </w:rPr>
            </w:pPr>
          </w:p>
          <w:p>
            <w:pPr>
              <w:pStyle w:val="TableParagraph"/>
              <w:spacing w:before="154"/>
              <w:rPr>
                <w:b/>
                <w:sz w:val="16"/>
              </w:rPr>
            </w:pPr>
          </w:p>
          <w:p>
            <w:pPr>
              <w:pStyle w:val="TableParagraph"/>
              <w:ind w:right="64"/>
              <w:jc w:val="right"/>
              <w:rPr>
                <w:sz w:val="16"/>
              </w:rPr>
            </w:pPr>
            <w:r>
              <w:rPr>
                <w:sz w:val="16"/>
              </w:rPr>
              <w:t>₡261</w:t>
            </w:r>
            <w:r>
              <w:rPr>
                <w:spacing w:val="-5"/>
                <w:sz w:val="16"/>
              </w:rPr>
              <w:t> </w:t>
            </w:r>
            <w:r>
              <w:rPr>
                <w:sz w:val="16"/>
              </w:rPr>
              <w:t>773</w:t>
            </w:r>
            <w:r>
              <w:rPr>
                <w:spacing w:val="-4"/>
                <w:sz w:val="16"/>
              </w:rPr>
              <w:t> </w:t>
            </w:r>
            <w:r>
              <w:rPr>
                <w:spacing w:val="-5"/>
                <w:sz w:val="16"/>
              </w:rPr>
              <w:t>767</w:t>
            </w:r>
          </w:p>
        </w:tc>
        <w:tc>
          <w:tcPr>
            <w:tcW w:w="1134" w:type="dxa"/>
          </w:tcPr>
          <w:p>
            <w:pPr>
              <w:pStyle w:val="TableParagraph"/>
              <w:rPr>
                <w:rFonts w:ascii="Times New Roman"/>
                <w:sz w:val="18"/>
              </w:rPr>
            </w:pPr>
          </w:p>
        </w:tc>
      </w:tr>
      <w:tr>
        <w:trPr>
          <w:trHeight w:val="331" w:hRule="atLeast"/>
        </w:trPr>
        <w:tc>
          <w:tcPr>
            <w:tcW w:w="14458" w:type="dxa"/>
            <w:gridSpan w:val="10"/>
            <w:shd w:val="clear" w:color="auto" w:fill="EFF8F9"/>
          </w:tcPr>
          <w:p>
            <w:pPr>
              <w:pStyle w:val="TableParagraph"/>
              <w:spacing w:before="61"/>
              <w:ind w:left="72"/>
              <w:rPr>
                <w:b/>
                <w:sz w:val="18"/>
              </w:rPr>
            </w:pPr>
            <w:r>
              <w:rPr>
                <w:b/>
                <w:sz w:val="18"/>
              </w:rPr>
              <w:t>Producto</w:t>
            </w:r>
            <w:r>
              <w:rPr>
                <w:b/>
                <w:spacing w:val="-7"/>
                <w:sz w:val="18"/>
              </w:rPr>
              <w:t> </w:t>
            </w:r>
            <w:r>
              <w:rPr>
                <w:b/>
                <w:sz w:val="18"/>
              </w:rPr>
              <w:t>PAC</w:t>
            </w:r>
            <w:r>
              <w:rPr>
                <w:b/>
                <w:spacing w:val="-8"/>
                <w:sz w:val="18"/>
              </w:rPr>
              <w:t> </w:t>
            </w:r>
            <w:r>
              <w:rPr>
                <w:b/>
                <w:sz w:val="18"/>
              </w:rPr>
              <w:t>2.44:</w:t>
            </w:r>
            <w:r>
              <w:rPr>
                <w:b/>
                <w:spacing w:val="-5"/>
                <w:sz w:val="18"/>
              </w:rPr>
              <w:t> </w:t>
            </w:r>
            <w:r>
              <w:rPr>
                <w:b/>
                <w:sz w:val="18"/>
              </w:rPr>
              <w:t>Herramientas</w:t>
            </w:r>
            <w:r>
              <w:rPr>
                <w:b/>
                <w:spacing w:val="-6"/>
                <w:sz w:val="18"/>
              </w:rPr>
              <w:t> </w:t>
            </w:r>
            <w:r>
              <w:rPr>
                <w:b/>
                <w:sz w:val="18"/>
              </w:rPr>
              <w:t>informáticas</w:t>
            </w:r>
            <w:r>
              <w:rPr>
                <w:b/>
                <w:spacing w:val="-6"/>
                <w:sz w:val="18"/>
              </w:rPr>
              <w:t> </w:t>
            </w:r>
            <w:r>
              <w:rPr>
                <w:b/>
                <w:sz w:val="18"/>
              </w:rPr>
              <w:t>implementadas</w:t>
            </w:r>
            <w:r>
              <w:rPr>
                <w:b/>
                <w:spacing w:val="-6"/>
                <w:sz w:val="18"/>
              </w:rPr>
              <w:t> </w:t>
            </w:r>
            <w:r>
              <w:rPr>
                <w:b/>
                <w:sz w:val="18"/>
              </w:rPr>
              <w:t>para</w:t>
            </w:r>
            <w:r>
              <w:rPr>
                <w:b/>
                <w:spacing w:val="-11"/>
                <w:sz w:val="18"/>
              </w:rPr>
              <w:t> </w:t>
            </w:r>
            <w:r>
              <w:rPr>
                <w:b/>
                <w:sz w:val="18"/>
              </w:rPr>
              <w:t>facilitar</w:t>
            </w:r>
            <w:r>
              <w:rPr>
                <w:b/>
                <w:spacing w:val="-5"/>
                <w:sz w:val="18"/>
              </w:rPr>
              <w:t> </w:t>
            </w:r>
            <w:r>
              <w:rPr>
                <w:b/>
                <w:sz w:val="18"/>
              </w:rPr>
              <w:t>la</w:t>
            </w:r>
            <w:r>
              <w:rPr>
                <w:b/>
                <w:spacing w:val="-6"/>
                <w:sz w:val="18"/>
              </w:rPr>
              <w:t> </w:t>
            </w:r>
            <w:r>
              <w:rPr>
                <w:b/>
                <w:sz w:val="18"/>
              </w:rPr>
              <w:t>gestión</w:t>
            </w:r>
            <w:r>
              <w:rPr>
                <w:b/>
                <w:spacing w:val="-7"/>
                <w:sz w:val="18"/>
              </w:rPr>
              <w:t> </w:t>
            </w:r>
            <w:r>
              <w:rPr>
                <w:b/>
                <w:sz w:val="18"/>
              </w:rPr>
              <w:t>de</w:t>
            </w:r>
            <w:r>
              <w:rPr>
                <w:b/>
                <w:spacing w:val="-6"/>
                <w:sz w:val="18"/>
              </w:rPr>
              <w:t> </w:t>
            </w:r>
            <w:r>
              <w:rPr>
                <w:b/>
                <w:sz w:val="18"/>
              </w:rPr>
              <w:t>cobros,</w:t>
            </w:r>
            <w:r>
              <w:rPr>
                <w:b/>
                <w:spacing w:val="-4"/>
                <w:sz w:val="18"/>
              </w:rPr>
              <w:t> </w:t>
            </w:r>
            <w:r>
              <w:rPr>
                <w:b/>
                <w:sz w:val="18"/>
              </w:rPr>
              <w:t>los</w:t>
            </w:r>
            <w:r>
              <w:rPr>
                <w:b/>
                <w:spacing w:val="-2"/>
                <w:sz w:val="18"/>
              </w:rPr>
              <w:t> </w:t>
            </w:r>
            <w:r>
              <w:rPr>
                <w:b/>
                <w:sz w:val="18"/>
              </w:rPr>
              <w:t>pagos,</w:t>
            </w:r>
            <w:r>
              <w:rPr>
                <w:b/>
                <w:spacing w:val="-5"/>
                <w:sz w:val="18"/>
              </w:rPr>
              <w:t> </w:t>
            </w:r>
            <w:r>
              <w:rPr>
                <w:b/>
                <w:sz w:val="18"/>
              </w:rPr>
              <w:t>consultas</w:t>
            </w:r>
            <w:r>
              <w:rPr>
                <w:b/>
                <w:spacing w:val="-6"/>
                <w:sz w:val="18"/>
              </w:rPr>
              <w:t> </w:t>
            </w:r>
            <w:r>
              <w:rPr>
                <w:b/>
                <w:sz w:val="18"/>
              </w:rPr>
              <w:t>y</w:t>
            </w:r>
            <w:r>
              <w:rPr>
                <w:b/>
                <w:spacing w:val="-6"/>
                <w:sz w:val="18"/>
              </w:rPr>
              <w:t> </w:t>
            </w:r>
            <w:r>
              <w:rPr>
                <w:b/>
                <w:sz w:val="18"/>
              </w:rPr>
              <w:t>constancias,</w:t>
            </w:r>
            <w:r>
              <w:rPr>
                <w:b/>
                <w:spacing w:val="1"/>
                <w:sz w:val="18"/>
              </w:rPr>
              <w:t> </w:t>
            </w:r>
            <w:r>
              <w:rPr>
                <w:b/>
                <w:sz w:val="18"/>
              </w:rPr>
              <w:t>de</w:t>
            </w:r>
            <w:r>
              <w:rPr>
                <w:b/>
                <w:spacing w:val="-11"/>
                <w:sz w:val="18"/>
              </w:rPr>
              <w:t> </w:t>
            </w:r>
            <w:r>
              <w:rPr>
                <w:b/>
                <w:sz w:val="18"/>
              </w:rPr>
              <w:t>tributos</w:t>
            </w:r>
            <w:r>
              <w:rPr>
                <w:b/>
                <w:spacing w:val="-2"/>
                <w:sz w:val="18"/>
              </w:rPr>
              <w:t> </w:t>
            </w:r>
            <w:r>
              <w:rPr>
                <w:b/>
                <w:sz w:val="18"/>
              </w:rPr>
              <w:t>del</w:t>
            </w:r>
            <w:r>
              <w:rPr>
                <w:b/>
                <w:spacing w:val="-5"/>
                <w:sz w:val="18"/>
              </w:rPr>
              <w:t> </w:t>
            </w:r>
            <w:r>
              <w:rPr>
                <w:b/>
                <w:spacing w:val="-4"/>
                <w:sz w:val="18"/>
              </w:rPr>
              <w:t>IMAS</w:t>
            </w:r>
          </w:p>
        </w:tc>
      </w:tr>
    </w:tbl>
    <w:p>
      <w:pPr>
        <w:pStyle w:val="TableParagraph"/>
        <w:spacing w:after="0"/>
        <w:rPr>
          <w:b/>
          <w:sz w:val="18"/>
        </w:rPr>
        <w:sectPr>
          <w:pgSz w:w="15840" w:h="12240" w:orient="landscape"/>
          <w:pgMar w:header="0" w:footer="1806" w:top="700" w:bottom="3036"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47"/>
        <w:gridCol w:w="1431"/>
        <w:gridCol w:w="1489"/>
        <w:gridCol w:w="1138"/>
        <w:gridCol w:w="1416"/>
        <w:gridCol w:w="1133"/>
        <w:gridCol w:w="1416"/>
        <w:gridCol w:w="1133"/>
        <w:gridCol w:w="1421"/>
        <w:gridCol w:w="1134"/>
      </w:tblGrid>
      <w:tr>
        <w:trPr>
          <w:trHeight w:val="239" w:hRule="atLeast"/>
        </w:trPr>
        <w:tc>
          <w:tcPr>
            <w:tcW w:w="2747" w:type="dxa"/>
            <w:vMerge w:val="restart"/>
            <w:shd w:val="clear" w:color="auto" w:fill="E8E8E8"/>
          </w:tcPr>
          <w:p>
            <w:pPr>
              <w:pStyle w:val="TableParagraph"/>
              <w:spacing w:before="22"/>
              <w:rPr>
                <w:b/>
                <w:sz w:val="18"/>
              </w:rPr>
            </w:pPr>
          </w:p>
          <w:p>
            <w:pPr>
              <w:pStyle w:val="TableParagraph"/>
              <w:ind w:left="403"/>
              <w:rPr>
                <w:b/>
                <w:sz w:val="18"/>
              </w:rPr>
            </w:pPr>
            <w:r>
              <w:rPr>
                <w:b/>
                <w:sz w:val="18"/>
              </w:rPr>
              <w:t>Objetivos</w:t>
            </w:r>
            <w:r>
              <w:rPr>
                <w:b/>
                <w:spacing w:val="-5"/>
                <w:sz w:val="18"/>
              </w:rPr>
              <w:t> </w:t>
            </w:r>
            <w:r>
              <w:rPr>
                <w:b/>
                <w:sz w:val="18"/>
              </w:rPr>
              <w:t>/</w:t>
            </w:r>
            <w:r>
              <w:rPr>
                <w:b/>
                <w:spacing w:val="-2"/>
                <w:sz w:val="18"/>
              </w:rPr>
              <w:t> Resultados</w:t>
            </w:r>
          </w:p>
        </w:tc>
        <w:tc>
          <w:tcPr>
            <w:tcW w:w="1431" w:type="dxa"/>
            <w:vMerge w:val="restart"/>
            <w:shd w:val="clear" w:color="auto" w:fill="E8E8E8"/>
          </w:tcPr>
          <w:p>
            <w:pPr>
              <w:pStyle w:val="TableParagraph"/>
              <w:spacing w:before="22"/>
              <w:rPr>
                <w:b/>
                <w:sz w:val="18"/>
              </w:rPr>
            </w:pPr>
          </w:p>
          <w:p>
            <w:pPr>
              <w:pStyle w:val="TableParagraph"/>
              <w:ind w:left="311"/>
              <w:rPr>
                <w:b/>
                <w:sz w:val="18"/>
              </w:rPr>
            </w:pPr>
            <w:r>
              <w:rPr>
                <w:b/>
                <w:spacing w:val="-2"/>
                <w:sz w:val="18"/>
              </w:rPr>
              <w:t>Indicador</w:t>
            </w:r>
          </w:p>
        </w:tc>
        <w:tc>
          <w:tcPr>
            <w:tcW w:w="2627" w:type="dxa"/>
            <w:gridSpan w:val="2"/>
            <w:shd w:val="clear" w:color="auto" w:fill="E8E8E8"/>
          </w:tcPr>
          <w:p>
            <w:pPr>
              <w:pStyle w:val="TableParagraph"/>
              <w:spacing w:line="201" w:lineRule="exact" w:before="18"/>
              <w:ind w:left="848"/>
              <w:rPr>
                <w:b/>
                <w:sz w:val="18"/>
              </w:rPr>
            </w:pPr>
            <w:r>
              <w:rPr>
                <w:b/>
                <w:sz w:val="18"/>
              </w:rPr>
              <w:t>I</w:t>
            </w:r>
            <w:r>
              <w:rPr>
                <w:b/>
                <w:spacing w:val="-1"/>
                <w:sz w:val="18"/>
              </w:rPr>
              <w:t> </w:t>
            </w:r>
            <w:r>
              <w:rPr>
                <w:b/>
                <w:spacing w:val="-2"/>
                <w:sz w:val="18"/>
              </w:rPr>
              <w:t>Trimestre</w:t>
            </w:r>
          </w:p>
        </w:tc>
        <w:tc>
          <w:tcPr>
            <w:tcW w:w="2549" w:type="dxa"/>
            <w:gridSpan w:val="2"/>
            <w:shd w:val="clear" w:color="auto" w:fill="E8E8E8"/>
          </w:tcPr>
          <w:p>
            <w:pPr>
              <w:pStyle w:val="TableParagraph"/>
              <w:spacing w:line="201" w:lineRule="exact" w:before="18"/>
              <w:ind w:left="786"/>
              <w:rPr>
                <w:b/>
                <w:sz w:val="18"/>
              </w:rPr>
            </w:pPr>
            <w:r>
              <w:rPr>
                <w:b/>
                <w:sz w:val="18"/>
              </w:rPr>
              <w:t>II</w:t>
            </w:r>
            <w:r>
              <w:rPr>
                <w:b/>
                <w:spacing w:val="-3"/>
                <w:sz w:val="18"/>
              </w:rPr>
              <w:t> </w:t>
            </w:r>
            <w:r>
              <w:rPr>
                <w:b/>
                <w:spacing w:val="-2"/>
                <w:sz w:val="18"/>
              </w:rPr>
              <w:t>Trimestre</w:t>
            </w:r>
          </w:p>
        </w:tc>
        <w:tc>
          <w:tcPr>
            <w:tcW w:w="2549" w:type="dxa"/>
            <w:gridSpan w:val="2"/>
            <w:shd w:val="clear" w:color="auto" w:fill="E8E8E8"/>
          </w:tcPr>
          <w:p>
            <w:pPr>
              <w:pStyle w:val="TableParagraph"/>
              <w:spacing w:line="201" w:lineRule="exact" w:before="18"/>
              <w:ind w:left="762"/>
              <w:rPr>
                <w:b/>
                <w:sz w:val="18"/>
              </w:rPr>
            </w:pPr>
            <w:r>
              <w:rPr>
                <w:b/>
                <w:sz w:val="18"/>
              </w:rPr>
              <w:t>III</w:t>
            </w:r>
            <w:r>
              <w:rPr>
                <w:b/>
                <w:spacing w:val="-2"/>
                <w:sz w:val="18"/>
              </w:rPr>
              <w:t> Trimestre</w:t>
            </w:r>
          </w:p>
        </w:tc>
        <w:tc>
          <w:tcPr>
            <w:tcW w:w="2555" w:type="dxa"/>
            <w:gridSpan w:val="2"/>
            <w:shd w:val="clear" w:color="auto" w:fill="E8E8E8"/>
          </w:tcPr>
          <w:p>
            <w:pPr>
              <w:pStyle w:val="TableParagraph"/>
              <w:spacing w:line="201" w:lineRule="exact" w:before="18"/>
              <w:ind w:left="758"/>
              <w:rPr>
                <w:b/>
                <w:sz w:val="18"/>
              </w:rPr>
            </w:pPr>
            <w:r>
              <w:rPr>
                <w:b/>
                <w:sz w:val="18"/>
              </w:rPr>
              <w:t>IV</w:t>
            </w:r>
            <w:r>
              <w:rPr>
                <w:b/>
                <w:spacing w:val="-2"/>
                <w:sz w:val="18"/>
              </w:rPr>
              <w:t> Trimestre</w:t>
            </w:r>
          </w:p>
        </w:tc>
      </w:tr>
      <w:tr>
        <w:trPr>
          <w:trHeight w:val="412" w:hRule="atLeast"/>
        </w:trPr>
        <w:tc>
          <w:tcPr>
            <w:tcW w:w="2747" w:type="dxa"/>
            <w:vMerge/>
            <w:tcBorders>
              <w:top w:val="nil"/>
            </w:tcBorders>
            <w:shd w:val="clear" w:color="auto" w:fill="E8E8E8"/>
          </w:tcPr>
          <w:p>
            <w:pPr>
              <w:rPr>
                <w:sz w:val="2"/>
                <w:szCs w:val="2"/>
              </w:rPr>
            </w:pPr>
          </w:p>
        </w:tc>
        <w:tc>
          <w:tcPr>
            <w:tcW w:w="1431" w:type="dxa"/>
            <w:vMerge/>
            <w:tcBorders>
              <w:top w:val="nil"/>
            </w:tcBorders>
            <w:shd w:val="clear" w:color="auto" w:fill="E8E8E8"/>
          </w:tcPr>
          <w:p>
            <w:pPr>
              <w:rPr>
                <w:sz w:val="2"/>
                <w:szCs w:val="2"/>
              </w:rPr>
            </w:pPr>
          </w:p>
        </w:tc>
        <w:tc>
          <w:tcPr>
            <w:tcW w:w="1489" w:type="dxa"/>
            <w:shd w:val="clear" w:color="auto" w:fill="E8E8E8"/>
          </w:tcPr>
          <w:p>
            <w:pPr>
              <w:pStyle w:val="TableParagraph"/>
              <w:spacing w:line="206" w:lineRule="exact"/>
              <w:ind w:left="220" w:firstLine="316"/>
              <w:rPr>
                <w:b/>
                <w:sz w:val="18"/>
              </w:rPr>
            </w:pPr>
            <w:r>
              <w:rPr>
                <w:b/>
                <w:spacing w:val="-4"/>
                <w:sz w:val="18"/>
              </w:rPr>
              <w:t>Meta </w:t>
            </w:r>
            <w:r>
              <w:rPr>
                <w:b/>
                <w:spacing w:val="-2"/>
                <w:sz w:val="18"/>
              </w:rPr>
              <w:t>programada</w:t>
            </w:r>
          </w:p>
        </w:tc>
        <w:tc>
          <w:tcPr>
            <w:tcW w:w="1138" w:type="dxa"/>
            <w:shd w:val="clear" w:color="auto" w:fill="E8E8E8"/>
          </w:tcPr>
          <w:p>
            <w:pPr>
              <w:pStyle w:val="TableParagraph"/>
              <w:spacing w:before="104"/>
              <w:ind w:left="7"/>
              <w:jc w:val="center"/>
              <w:rPr>
                <w:b/>
                <w:sz w:val="18"/>
              </w:rPr>
            </w:pPr>
            <w:r>
              <w:rPr>
                <w:b/>
                <w:spacing w:val="-10"/>
                <w:sz w:val="18"/>
              </w:rPr>
              <w:t>¢</w:t>
            </w:r>
          </w:p>
        </w:tc>
        <w:tc>
          <w:tcPr>
            <w:tcW w:w="1416" w:type="dxa"/>
            <w:shd w:val="clear" w:color="auto" w:fill="E8E8E8"/>
          </w:tcPr>
          <w:p>
            <w:pPr>
              <w:pStyle w:val="TableParagraph"/>
              <w:spacing w:line="206" w:lineRule="exact"/>
              <w:ind w:left="181" w:firstLine="316"/>
              <w:rPr>
                <w:b/>
                <w:sz w:val="18"/>
              </w:rPr>
            </w:pPr>
            <w:r>
              <w:rPr>
                <w:b/>
                <w:spacing w:val="-4"/>
                <w:sz w:val="18"/>
              </w:rPr>
              <w:t>Meta </w:t>
            </w:r>
            <w:r>
              <w:rPr>
                <w:b/>
                <w:spacing w:val="-2"/>
                <w:sz w:val="18"/>
              </w:rPr>
              <w:t>programada</w:t>
            </w:r>
          </w:p>
        </w:tc>
        <w:tc>
          <w:tcPr>
            <w:tcW w:w="1133" w:type="dxa"/>
            <w:shd w:val="clear" w:color="auto" w:fill="E8E8E8"/>
          </w:tcPr>
          <w:p>
            <w:pPr>
              <w:pStyle w:val="TableParagraph"/>
              <w:spacing w:before="104"/>
              <w:ind w:left="4"/>
              <w:jc w:val="center"/>
              <w:rPr>
                <w:b/>
                <w:sz w:val="18"/>
              </w:rPr>
            </w:pPr>
            <w:r>
              <w:rPr>
                <w:b/>
                <w:spacing w:val="-10"/>
                <w:sz w:val="18"/>
              </w:rPr>
              <w:t>¢</w:t>
            </w:r>
          </w:p>
        </w:tc>
        <w:tc>
          <w:tcPr>
            <w:tcW w:w="1416" w:type="dxa"/>
            <w:shd w:val="clear" w:color="auto" w:fill="E8E8E8"/>
          </w:tcPr>
          <w:p>
            <w:pPr>
              <w:pStyle w:val="TableParagraph"/>
              <w:spacing w:line="206" w:lineRule="exact"/>
              <w:ind w:left="186" w:firstLine="316"/>
              <w:rPr>
                <w:b/>
                <w:sz w:val="18"/>
              </w:rPr>
            </w:pPr>
            <w:r>
              <w:rPr>
                <w:b/>
                <w:spacing w:val="-4"/>
                <w:sz w:val="18"/>
              </w:rPr>
              <w:t>Meta </w:t>
            </w:r>
            <w:r>
              <w:rPr>
                <w:b/>
                <w:spacing w:val="-2"/>
                <w:sz w:val="18"/>
              </w:rPr>
              <w:t>programada</w:t>
            </w:r>
          </w:p>
        </w:tc>
        <w:tc>
          <w:tcPr>
            <w:tcW w:w="1133" w:type="dxa"/>
            <w:shd w:val="clear" w:color="auto" w:fill="E8E8E8"/>
          </w:tcPr>
          <w:p>
            <w:pPr>
              <w:pStyle w:val="TableParagraph"/>
              <w:spacing w:before="104"/>
              <w:ind w:left="14"/>
              <w:jc w:val="center"/>
              <w:rPr>
                <w:b/>
                <w:sz w:val="18"/>
              </w:rPr>
            </w:pPr>
            <w:r>
              <w:rPr>
                <w:b/>
                <w:spacing w:val="-10"/>
                <w:sz w:val="18"/>
              </w:rPr>
              <w:t>¢</w:t>
            </w:r>
          </w:p>
        </w:tc>
        <w:tc>
          <w:tcPr>
            <w:tcW w:w="1421" w:type="dxa"/>
            <w:shd w:val="clear" w:color="auto" w:fill="E8E8E8"/>
          </w:tcPr>
          <w:p>
            <w:pPr>
              <w:pStyle w:val="TableParagraph"/>
              <w:spacing w:line="206" w:lineRule="exact"/>
              <w:ind w:left="187" w:firstLine="316"/>
              <w:rPr>
                <w:b/>
                <w:sz w:val="18"/>
              </w:rPr>
            </w:pPr>
            <w:r>
              <w:rPr>
                <w:b/>
                <w:spacing w:val="-4"/>
                <w:sz w:val="18"/>
              </w:rPr>
              <w:t>Meta </w:t>
            </w:r>
            <w:r>
              <w:rPr>
                <w:b/>
                <w:spacing w:val="-2"/>
                <w:sz w:val="18"/>
              </w:rPr>
              <w:t>programada</w:t>
            </w:r>
          </w:p>
        </w:tc>
        <w:tc>
          <w:tcPr>
            <w:tcW w:w="1134" w:type="dxa"/>
            <w:shd w:val="clear" w:color="auto" w:fill="E8E8E8"/>
          </w:tcPr>
          <w:p>
            <w:pPr>
              <w:pStyle w:val="TableParagraph"/>
              <w:spacing w:before="104"/>
              <w:ind w:left="14"/>
              <w:jc w:val="center"/>
              <w:rPr>
                <w:b/>
                <w:sz w:val="18"/>
              </w:rPr>
            </w:pPr>
            <w:r>
              <w:rPr>
                <w:b/>
                <w:spacing w:val="-10"/>
                <w:sz w:val="18"/>
              </w:rPr>
              <w:t>¢</w:t>
            </w:r>
          </w:p>
        </w:tc>
      </w:tr>
      <w:tr>
        <w:trPr>
          <w:trHeight w:val="1200" w:hRule="atLeast"/>
        </w:trPr>
        <w:tc>
          <w:tcPr>
            <w:tcW w:w="2747" w:type="dxa"/>
          </w:tcPr>
          <w:p>
            <w:pPr>
              <w:pStyle w:val="TableParagraph"/>
              <w:spacing w:before="85"/>
              <w:ind w:left="72" w:right="110"/>
              <w:rPr>
                <w:sz w:val="18"/>
              </w:rPr>
            </w:pPr>
            <w:r>
              <w:rPr>
                <w:b/>
                <w:sz w:val="18"/>
              </w:rPr>
              <w:t>Actividad</w:t>
            </w:r>
            <w:r>
              <w:rPr>
                <w:b/>
                <w:spacing w:val="-13"/>
                <w:sz w:val="18"/>
              </w:rPr>
              <w:t> </w:t>
            </w:r>
            <w:r>
              <w:rPr>
                <w:b/>
                <w:sz w:val="18"/>
              </w:rPr>
              <w:t>PAC</w:t>
            </w:r>
            <w:r>
              <w:rPr>
                <w:b/>
                <w:spacing w:val="-12"/>
                <w:sz w:val="18"/>
              </w:rPr>
              <w:t> </w:t>
            </w:r>
            <w:r>
              <w:rPr>
                <w:b/>
                <w:sz w:val="18"/>
              </w:rPr>
              <w:t>2.44.1:</w:t>
            </w:r>
            <w:r>
              <w:rPr>
                <w:b/>
                <w:spacing w:val="-10"/>
                <w:sz w:val="18"/>
              </w:rPr>
              <w:t> </w:t>
            </w:r>
            <w:r>
              <w:rPr>
                <w:sz w:val="18"/>
              </w:rPr>
              <w:t>Asignar mensualmente por medio de SIAT cartera individual de obligados morosos según la estrategia cobratoria.</w:t>
            </w:r>
          </w:p>
        </w:tc>
        <w:tc>
          <w:tcPr>
            <w:tcW w:w="1431" w:type="dxa"/>
          </w:tcPr>
          <w:p>
            <w:pPr>
              <w:pStyle w:val="TableParagraph"/>
              <w:spacing w:before="85"/>
              <w:ind w:left="71" w:right="232"/>
              <w:rPr>
                <w:sz w:val="18"/>
              </w:rPr>
            </w:pPr>
            <w:r>
              <w:rPr>
                <w:sz w:val="18"/>
              </w:rPr>
              <w:t>Porcentaje</w:t>
            </w:r>
            <w:r>
              <w:rPr>
                <w:spacing w:val="-13"/>
                <w:sz w:val="18"/>
              </w:rPr>
              <w:t> </w:t>
            </w:r>
            <w:r>
              <w:rPr>
                <w:sz w:val="18"/>
              </w:rPr>
              <w:t>de </w:t>
            </w:r>
            <w:r>
              <w:rPr>
                <w:spacing w:val="-2"/>
                <w:sz w:val="18"/>
              </w:rPr>
              <w:t>cartera asignada </w:t>
            </w:r>
            <w:r>
              <w:rPr>
                <w:sz w:val="18"/>
              </w:rPr>
              <w:t>mediante el </w:t>
            </w:r>
            <w:r>
              <w:rPr>
                <w:spacing w:val="-2"/>
                <w:sz w:val="18"/>
              </w:rPr>
              <w:t>SIAT.</w:t>
            </w:r>
          </w:p>
        </w:tc>
        <w:tc>
          <w:tcPr>
            <w:tcW w:w="1489" w:type="dxa"/>
          </w:tcPr>
          <w:p>
            <w:pPr>
              <w:pStyle w:val="TableParagraph"/>
              <w:rPr>
                <w:b/>
                <w:sz w:val="18"/>
              </w:rPr>
            </w:pPr>
          </w:p>
          <w:p>
            <w:pPr>
              <w:pStyle w:val="TableParagraph"/>
              <w:spacing w:before="84"/>
              <w:rPr>
                <w:b/>
                <w:sz w:val="18"/>
              </w:rPr>
            </w:pPr>
          </w:p>
          <w:p>
            <w:pPr>
              <w:pStyle w:val="TableParagraph"/>
              <w:ind w:left="12" w:right="2"/>
              <w:jc w:val="center"/>
              <w:rPr>
                <w:sz w:val="18"/>
              </w:rPr>
            </w:pPr>
            <w:r>
              <w:rPr>
                <w:spacing w:val="-4"/>
                <w:sz w:val="18"/>
              </w:rPr>
              <w:t>100%</w:t>
            </w:r>
          </w:p>
        </w:tc>
        <w:tc>
          <w:tcPr>
            <w:tcW w:w="1138" w:type="dxa"/>
          </w:tcPr>
          <w:p>
            <w:pPr>
              <w:pStyle w:val="TableParagraph"/>
              <w:rPr>
                <w:rFonts w:ascii="Times New Roman"/>
                <w:sz w:val="18"/>
              </w:rPr>
            </w:pPr>
          </w:p>
        </w:tc>
        <w:tc>
          <w:tcPr>
            <w:tcW w:w="1416" w:type="dxa"/>
          </w:tcPr>
          <w:p>
            <w:pPr>
              <w:pStyle w:val="TableParagraph"/>
              <w:rPr>
                <w:b/>
                <w:sz w:val="18"/>
              </w:rPr>
            </w:pPr>
          </w:p>
          <w:p>
            <w:pPr>
              <w:pStyle w:val="TableParagraph"/>
              <w:spacing w:before="84"/>
              <w:rPr>
                <w:b/>
                <w:sz w:val="18"/>
              </w:rPr>
            </w:pPr>
          </w:p>
          <w:p>
            <w:pPr>
              <w:pStyle w:val="TableParagraph"/>
              <w:ind w:left="17" w:right="12"/>
              <w:jc w:val="center"/>
              <w:rPr>
                <w:sz w:val="18"/>
              </w:rPr>
            </w:pPr>
            <w:r>
              <w:rPr>
                <w:spacing w:val="-4"/>
                <w:sz w:val="18"/>
              </w:rPr>
              <w:t>100%</w:t>
            </w:r>
          </w:p>
        </w:tc>
        <w:tc>
          <w:tcPr>
            <w:tcW w:w="1133" w:type="dxa"/>
          </w:tcPr>
          <w:p>
            <w:pPr>
              <w:pStyle w:val="TableParagraph"/>
              <w:rPr>
                <w:rFonts w:ascii="Times New Roman"/>
                <w:sz w:val="18"/>
              </w:rPr>
            </w:pPr>
          </w:p>
        </w:tc>
        <w:tc>
          <w:tcPr>
            <w:tcW w:w="1416" w:type="dxa"/>
          </w:tcPr>
          <w:p>
            <w:pPr>
              <w:pStyle w:val="TableParagraph"/>
              <w:rPr>
                <w:b/>
                <w:sz w:val="18"/>
              </w:rPr>
            </w:pPr>
          </w:p>
          <w:p>
            <w:pPr>
              <w:pStyle w:val="TableParagraph"/>
              <w:spacing w:before="84"/>
              <w:rPr>
                <w:b/>
                <w:sz w:val="18"/>
              </w:rPr>
            </w:pPr>
          </w:p>
          <w:p>
            <w:pPr>
              <w:pStyle w:val="TableParagraph"/>
              <w:ind w:left="18" w:right="3"/>
              <w:jc w:val="center"/>
              <w:rPr>
                <w:sz w:val="18"/>
              </w:rPr>
            </w:pPr>
            <w:r>
              <w:rPr>
                <w:spacing w:val="-4"/>
                <w:sz w:val="18"/>
              </w:rPr>
              <w:t>100%</w:t>
            </w:r>
          </w:p>
        </w:tc>
        <w:tc>
          <w:tcPr>
            <w:tcW w:w="1133" w:type="dxa"/>
          </w:tcPr>
          <w:p>
            <w:pPr>
              <w:pStyle w:val="TableParagraph"/>
              <w:rPr>
                <w:rFonts w:ascii="Times New Roman"/>
                <w:sz w:val="18"/>
              </w:rPr>
            </w:pPr>
          </w:p>
        </w:tc>
        <w:tc>
          <w:tcPr>
            <w:tcW w:w="1421" w:type="dxa"/>
          </w:tcPr>
          <w:p>
            <w:pPr>
              <w:pStyle w:val="TableParagraph"/>
              <w:rPr>
                <w:b/>
                <w:sz w:val="18"/>
              </w:rPr>
            </w:pPr>
          </w:p>
          <w:p>
            <w:pPr>
              <w:pStyle w:val="TableParagraph"/>
              <w:spacing w:before="84"/>
              <w:rPr>
                <w:b/>
                <w:sz w:val="18"/>
              </w:rPr>
            </w:pPr>
          </w:p>
          <w:p>
            <w:pPr>
              <w:pStyle w:val="TableParagraph"/>
              <w:ind w:left="12"/>
              <w:jc w:val="center"/>
              <w:rPr>
                <w:sz w:val="18"/>
              </w:rPr>
            </w:pPr>
            <w:r>
              <w:rPr>
                <w:spacing w:val="-4"/>
                <w:sz w:val="18"/>
              </w:rPr>
              <w:t>100%</w:t>
            </w:r>
          </w:p>
        </w:tc>
        <w:tc>
          <w:tcPr>
            <w:tcW w:w="1134" w:type="dxa"/>
          </w:tcPr>
          <w:p>
            <w:pPr>
              <w:pStyle w:val="TableParagraph"/>
              <w:rPr>
                <w:rFonts w:ascii="Times New Roman"/>
                <w:sz w:val="18"/>
              </w:rPr>
            </w:pPr>
          </w:p>
        </w:tc>
      </w:tr>
      <w:tr>
        <w:trPr>
          <w:trHeight w:val="1204" w:hRule="atLeast"/>
        </w:trPr>
        <w:tc>
          <w:tcPr>
            <w:tcW w:w="2747" w:type="dxa"/>
          </w:tcPr>
          <w:p>
            <w:pPr>
              <w:pStyle w:val="TableParagraph"/>
              <w:spacing w:before="85"/>
              <w:ind w:left="72" w:right="66"/>
              <w:rPr>
                <w:sz w:val="18"/>
              </w:rPr>
            </w:pPr>
            <w:r>
              <w:rPr>
                <w:b/>
                <w:sz w:val="18"/>
              </w:rPr>
              <w:t>Actividad PAC 2.44.2: </w:t>
            </w:r>
            <w:r>
              <w:rPr>
                <w:sz w:val="18"/>
              </w:rPr>
              <w:t>Gestionar el cobro</w:t>
            </w:r>
            <w:r>
              <w:rPr>
                <w:spacing w:val="40"/>
                <w:sz w:val="18"/>
              </w:rPr>
              <w:t> </w:t>
            </w:r>
            <w:r>
              <w:rPr>
                <w:sz w:val="18"/>
              </w:rPr>
              <w:t>administrativo de los obligados morosos</w:t>
            </w:r>
            <w:r>
              <w:rPr>
                <w:spacing w:val="-12"/>
                <w:sz w:val="18"/>
              </w:rPr>
              <w:t> </w:t>
            </w:r>
            <w:r>
              <w:rPr>
                <w:sz w:val="18"/>
              </w:rPr>
              <w:t>asignados,</w:t>
            </w:r>
            <w:r>
              <w:rPr>
                <w:spacing w:val="-13"/>
                <w:sz w:val="18"/>
              </w:rPr>
              <w:t> </w:t>
            </w:r>
            <w:r>
              <w:rPr>
                <w:sz w:val="18"/>
              </w:rPr>
              <w:t>mediante</w:t>
            </w:r>
            <w:r>
              <w:rPr>
                <w:spacing w:val="-8"/>
                <w:sz w:val="18"/>
              </w:rPr>
              <w:t> </w:t>
            </w:r>
            <w:r>
              <w:rPr>
                <w:sz w:val="18"/>
              </w:rPr>
              <w:t>la herramienta informática SIAT.</w:t>
            </w:r>
          </w:p>
        </w:tc>
        <w:tc>
          <w:tcPr>
            <w:tcW w:w="1431" w:type="dxa"/>
          </w:tcPr>
          <w:p>
            <w:pPr>
              <w:pStyle w:val="TableParagraph"/>
              <w:spacing w:before="186"/>
              <w:ind w:left="71" w:right="102"/>
              <w:rPr>
                <w:sz w:val="18"/>
              </w:rPr>
            </w:pPr>
            <w:r>
              <w:rPr>
                <w:sz w:val="18"/>
              </w:rPr>
              <w:t>Porcentaje de </w:t>
            </w:r>
            <w:r>
              <w:rPr>
                <w:spacing w:val="-2"/>
                <w:sz w:val="18"/>
              </w:rPr>
              <w:t>cartera gestionada </w:t>
            </w:r>
            <w:r>
              <w:rPr>
                <w:sz w:val="18"/>
              </w:rPr>
              <w:t>mediante</w:t>
            </w:r>
            <w:r>
              <w:rPr>
                <w:spacing w:val="-13"/>
                <w:sz w:val="18"/>
              </w:rPr>
              <w:t> </w:t>
            </w:r>
            <w:r>
              <w:rPr>
                <w:sz w:val="18"/>
              </w:rPr>
              <w:t>SIAT.</w:t>
            </w:r>
          </w:p>
        </w:tc>
        <w:tc>
          <w:tcPr>
            <w:tcW w:w="1489" w:type="dxa"/>
          </w:tcPr>
          <w:p>
            <w:pPr>
              <w:pStyle w:val="TableParagraph"/>
              <w:rPr>
                <w:b/>
                <w:sz w:val="18"/>
              </w:rPr>
            </w:pPr>
          </w:p>
          <w:p>
            <w:pPr>
              <w:pStyle w:val="TableParagraph"/>
              <w:spacing w:before="84"/>
              <w:rPr>
                <w:b/>
                <w:sz w:val="18"/>
              </w:rPr>
            </w:pPr>
          </w:p>
          <w:p>
            <w:pPr>
              <w:pStyle w:val="TableParagraph"/>
              <w:ind w:left="12" w:right="2"/>
              <w:jc w:val="center"/>
              <w:rPr>
                <w:sz w:val="18"/>
              </w:rPr>
            </w:pPr>
            <w:r>
              <w:rPr>
                <w:spacing w:val="-4"/>
                <w:sz w:val="18"/>
              </w:rPr>
              <w:t>100%</w:t>
            </w:r>
          </w:p>
        </w:tc>
        <w:tc>
          <w:tcPr>
            <w:tcW w:w="1138" w:type="dxa"/>
          </w:tcPr>
          <w:p>
            <w:pPr>
              <w:pStyle w:val="TableParagraph"/>
              <w:rPr>
                <w:rFonts w:ascii="Times New Roman"/>
                <w:sz w:val="18"/>
              </w:rPr>
            </w:pPr>
          </w:p>
        </w:tc>
        <w:tc>
          <w:tcPr>
            <w:tcW w:w="1416" w:type="dxa"/>
          </w:tcPr>
          <w:p>
            <w:pPr>
              <w:pStyle w:val="TableParagraph"/>
              <w:rPr>
                <w:b/>
                <w:sz w:val="18"/>
              </w:rPr>
            </w:pPr>
          </w:p>
          <w:p>
            <w:pPr>
              <w:pStyle w:val="TableParagraph"/>
              <w:spacing w:before="84"/>
              <w:rPr>
                <w:b/>
                <w:sz w:val="18"/>
              </w:rPr>
            </w:pPr>
          </w:p>
          <w:p>
            <w:pPr>
              <w:pStyle w:val="TableParagraph"/>
              <w:ind w:left="17" w:right="12"/>
              <w:jc w:val="center"/>
              <w:rPr>
                <w:sz w:val="18"/>
              </w:rPr>
            </w:pPr>
            <w:r>
              <w:rPr>
                <w:spacing w:val="-4"/>
                <w:sz w:val="18"/>
              </w:rPr>
              <w:t>100%</w:t>
            </w:r>
          </w:p>
        </w:tc>
        <w:tc>
          <w:tcPr>
            <w:tcW w:w="1133" w:type="dxa"/>
          </w:tcPr>
          <w:p>
            <w:pPr>
              <w:pStyle w:val="TableParagraph"/>
              <w:rPr>
                <w:rFonts w:ascii="Times New Roman"/>
                <w:sz w:val="18"/>
              </w:rPr>
            </w:pPr>
          </w:p>
        </w:tc>
        <w:tc>
          <w:tcPr>
            <w:tcW w:w="1416" w:type="dxa"/>
          </w:tcPr>
          <w:p>
            <w:pPr>
              <w:pStyle w:val="TableParagraph"/>
              <w:rPr>
                <w:b/>
                <w:sz w:val="18"/>
              </w:rPr>
            </w:pPr>
          </w:p>
          <w:p>
            <w:pPr>
              <w:pStyle w:val="TableParagraph"/>
              <w:spacing w:before="84"/>
              <w:rPr>
                <w:b/>
                <w:sz w:val="18"/>
              </w:rPr>
            </w:pPr>
          </w:p>
          <w:p>
            <w:pPr>
              <w:pStyle w:val="TableParagraph"/>
              <w:ind w:left="18" w:right="3"/>
              <w:jc w:val="center"/>
              <w:rPr>
                <w:sz w:val="18"/>
              </w:rPr>
            </w:pPr>
            <w:r>
              <w:rPr>
                <w:spacing w:val="-4"/>
                <w:sz w:val="18"/>
              </w:rPr>
              <w:t>100%</w:t>
            </w:r>
          </w:p>
        </w:tc>
        <w:tc>
          <w:tcPr>
            <w:tcW w:w="1133" w:type="dxa"/>
          </w:tcPr>
          <w:p>
            <w:pPr>
              <w:pStyle w:val="TableParagraph"/>
              <w:rPr>
                <w:rFonts w:ascii="Times New Roman"/>
                <w:sz w:val="18"/>
              </w:rPr>
            </w:pPr>
          </w:p>
        </w:tc>
        <w:tc>
          <w:tcPr>
            <w:tcW w:w="1421" w:type="dxa"/>
          </w:tcPr>
          <w:p>
            <w:pPr>
              <w:pStyle w:val="TableParagraph"/>
              <w:rPr>
                <w:b/>
                <w:sz w:val="18"/>
              </w:rPr>
            </w:pPr>
          </w:p>
          <w:p>
            <w:pPr>
              <w:pStyle w:val="TableParagraph"/>
              <w:spacing w:before="84"/>
              <w:rPr>
                <w:b/>
                <w:sz w:val="18"/>
              </w:rPr>
            </w:pPr>
          </w:p>
          <w:p>
            <w:pPr>
              <w:pStyle w:val="TableParagraph"/>
              <w:ind w:left="12"/>
              <w:jc w:val="center"/>
              <w:rPr>
                <w:sz w:val="18"/>
              </w:rPr>
            </w:pPr>
            <w:r>
              <w:rPr>
                <w:spacing w:val="-4"/>
                <w:sz w:val="18"/>
              </w:rPr>
              <w:t>100%</w:t>
            </w:r>
          </w:p>
        </w:tc>
        <w:tc>
          <w:tcPr>
            <w:tcW w:w="1134" w:type="dxa"/>
          </w:tcPr>
          <w:p>
            <w:pPr>
              <w:pStyle w:val="TableParagraph"/>
              <w:rPr>
                <w:rFonts w:ascii="Times New Roman"/>
                <w:sz w:val="18"/>
              </w:rPr>
            </w:pPr>
          </w:p>
        </w:tc>
      </w:tr>
      <w:tr>
        <w:trPr>
          <w:trHeight w:val="287" w:hRule="atLeast"/>
        </w:trPr>
        <w:tc>
          <w:tcPr>
            <w:tcW w:w="14458" w:type="dxa"/>
            <w:gridSpan w:val="10"/>
            <w:shd w:val="clear" w:color="auto" w:fill="EFF8F9"/>
          </w:tcPr>
          <w:p>
            <w:pPr>
              <w:pStyle w:val="TableParagraph"/>
              <w:spacing w:before="37"/>
              <w:ind w:left="72"/>
              <w:rPr>
                <w:b/>
                <w:sz w:val="18"/>
              </w:rPr>
            </w:pPr>
            <w:r>
              <w:rPr>
                <w:b/>
                <w:sz w:val="18"/>
              </w:rPr>
              <w:t>Producto</w:t>
            </w:r>
            <w:r>
              <w:rPr>
                <w:b/>
                <w:spacing w:val="-8"/>
                <w:sz w:val="18"/>
              </w:rPr>
              <w:t> </w:t>
            </w:r>
            <w:r>
              <w:rPr>
                <w:b/>
                <w:sz w:val="18"/>
              </w:rPr>
              <w:t>2.45:</w:t>
            </w:r>
            <w:r>
              <w:rPr>
                <w:b/>
                <w:spacing w:val="-1"/>
                <w:sz w:val="18"/>
              </w:rPr>
              <w:t> </w:t>
            </w:r>
            <w:r>
              <w:rPr>
                <w:b/>
                <w:sz w:val="18"/>
              </w:rPr>
              <w:t>Expediente</w:t>
            </w:r>
            <w:r>
              <w:rPr>
                <w:b/>
                <w:spacing w:val="-6"/>
                <w:sz w:val="18"/>
              </w:rPr>
              <w:t> </w:t>
            </w:r>
            <w:r>
              <w:rPr>
                <w:b/>
                <w:sz w:val="18"/>
              </w:rPr>
              <w:t>digital</w:t>
            </w:r>
            <w:r>
              <w:rPr>
                <w:b/>
                <w:spacing w:val="-4"/>
                <w:sz w:val="18"/>
              </w:rPr>
              <w:t> </w:t>
            </w:r>
            <w:r>
              <w:rPr>
                <w:b/>
                <w:sz w:val="18"/>
              </w:rPr>
              <w:t>implementado</w:t>
            </w:r>
            <w:r>
              <w:rPr>
                <w:b/>
                <w:spacing w:val="-3"/>
                <w:sz w:val="18"/>
              </w:rPr>
              <w:t> </w:t>
            </w:r>
            <w:r>
              <w:rPr>
                <w:b/>
                <w:sz w:val="18"/>
              </w:rPr>
              <w:t>y</w:t>
            </w:r>
            <w:r>
              <w:rPr>
                <w:b/>
                <w:spacing w:val="-7"/>
                <w:sz w:val="18"/>
              </w:rPr>
              <w:t> </w:t>
            </w:r>
            <w:r>
              <w:rPr>
                <w:b/>
                <w:sz w:val="18"/>
              </w:rPr>
              <w:t>bases</w:t>
            </w:r>
            <w:r>
              <w:rPr>
                <w:b/>
                <w:spacing w:val="-6"/>
                <w:sz w:val="18"/>
              </w:rPr>
              <w:t> </w:t>
            </w:r>
            <w:r>
              <w:rPr>
                <w:b/>
                <w:sz w:val="18"/>
              </w:rPr>
              <w:t>de</w:t>
            </w:r>
            <w:r>
              <w:rPr>
                <w:b/>
                <w:spacing w:val="-3"/>
                <w:sz w:val="18"/>
              </w:rPr>
              <w:t> </w:t>
            </w:r>
            <w:r>
              <w:rPr>
                <w:b/>
                <w:sz w:val="18"/>
              </w:rPr>
              <w:t>datos</w:t>
            </w:r>
            <w:r>
              <w:rPr>
                <w:b/>
                <w:spacing w:val="-6"/>
                <w:sz w:val="18"/>
              </w:rPr>
              <w:t> </w:t>
            </w:r>
            <w:r>
              <w:rPr>
                <w:b/>
                <w:sz w:val="18"/>
              </w:rPr>
              <w:t>actualizadas,</w:t>
            </w:r>
            <w:r>
              <w:rPr>
                <w:b/>
                <w:spacing w:val="-4"/>
                <w:sz w:val="18"/>
              </w:rPr>
              <w:t> </w:t>
            </w:r>
            <w:r>
              <w:rPr>
                <w:b/>
                <w:sz w:val="18"/>
              </w:rPr>
              <w:t>para</w:t>
            </w:r>
            <w:r>
              <w:rPr>
                <w:b/>
                <w:spacing w:val="-7"/>
                <w:sz w:val="18"/>
              </w:rPr>
              <w:t> </w:t>
            </w:r>
            <w:r>
              <w:rPr>
                <w:b/>
                <w:sz w:val="18"/>
              </w:rPr>
              <w:t>facilitar</w:t>
            </w:r>
            <w:r>
              <w:rPr>
                <w:b/>
                <w:spacing w:val="-1"/>
                <w:sz w:val="18"/>
              </w:rPr>
              <w:t> </w:t>
            </w:r>
            <w:r>
              <w:rPr>
                <w:b/>
                <w:sz w:val="18"/>
              </w:rPr>
              <w:t>el</w:t>
            </w:r>
            <w:r>
              <w:rPr>
                <w:b/>
                <w:spacing w:val="-4"/>
                <w:sz w:val="18"/>
              </w:rPr>
              <w:t> </w:t>
            </w:r>
            <w:r>
              <w:rPr>
                <w:b/>
                <w:sz w:val="18"/>
              </w:rPr>
              <w:t>acceso</w:t>
            </w:r>
            <w:r>
              <w:rPr>
                <w:b/>
                <w:spacing w:val="-7"/>
                <w:sz w:val="18"/>
              </w:rPr>
              <w:t> </w:t>
            </w:r>
            <w:r>
              <w:rPr>
                <w:b/>
                <w:sz w:val="18"/>
              </w:rPr>
              <w:t>a</w:t>
            </w:r>
            <w:r>
              <w:rPr>
                <w:b/>
                <w:spacing w:val="-7"/>
                <w:sz w:val="18"/>
              </w:rPr>
              <w:t> </w:t>
            </w:r>
            <w:r>
              <w:rPr>
                <w:b/>
                <w:sz w:val="18"/>
              </w:rPr>
              <w:t>la</w:t>
            </w:r>
            <w:r>
              <w:rPr>
                <w:b/>
                <w:spacing w:val="-11"/>
                <w:sz w:val="18"/>
              </w:rPr>
              <w:t> </w:t>
            </w:r>
            <w:r>
              <w:rPr>
                <w:b/>
                <w:sz w:val="18"/>
              </w:rPr>
              <w:t>información</w:t>
            </w:r>
            <w:r>
              <w:rPr>
                <w:b/>
                <w:spacing w:val="-7"/>
                <w:sz w:val="18"/>
              </w:rPr>
              <w:t> </w:t>
            </w:r>
            <w:r>
              <w:rPr>
                <w:b/>
                <w:sz w:val="18"/>
              </w:rPr>
              <w:t>de</w:t>
            </w:r>
            <w:r>
              <w:rPr>
                <w:b/>
                <w:spacing w:val="-6"/>
                <w:sz w:val="18"/>
              </w:rPr>
              <w:t> </w:t>
            </w:r>
            <w:r>
              <w:rPr>
                <w:b/>
                <w:spacing w:val="-2"/>
                <w:sz w:val="18"/>
              </w:rPr>
              <w:t>deudores.</w:t>
            </w:r>
          </w:p>
        </w:tc>
      </w:tr>
      <w:tr>
        <w:trPr>
          <w:trHeight w:val="1450" w:hRule="atLeast"/>
        </w:trPr>
        <w:tc>
          <w:tcPr>
            <w:tcW w:w="2747" w:type="dxa"/>
          </w:tcPr>
          <w:p>
            <w:pPr>
              <w:pStyle w:val="TableParagraph"/>
              <w:spacing w:before="206"/>
              <w:ind w:left="72" w:right="110"/>
              <w:rPr>
                <w:sz w:val="18"/>
              </w:rPr>
            </w:pPr>
            <w:r>
              <w:rPr>
                <w:b/>
                <w:sz w:val="18"/>
              </w:rPr>
              <w:t>Actividad PAC 2.45.1: </w:t>
            </w:r>
            <w:r>
              <w:rPr>
                <w:sz w:val="18"/>
              </w:rPr>
              <w:t>Construir la fase inicial del proyecto de expediente digital de</w:t>
            </w:r>
            <w:r>
              <w:rPr>
                <w:spacing w:val="-4"/>
                <w:sz w:val="18"/>
              </w:rPr>
              <w:t> </w:t>
            </w:r>
            <w:r>
              <w:rPr>
                <w:sz w:val="18"/>
              </w:rPr>
              <w:t>los</w:t>
            </w:r>
            <w:r>
              <w:rPr>
                <w:spacing w:val="-8"/>
                <w:sz w:val="18"/>
              </w:rPr>
              <w:t> </w:t>
            </w:r>
            <w:r>
              <w:rPr>
                <w:sz w:val="18"/>
              </w:rPr>
              <w:t>deudores</w:t>
            </w:r>
            <w:r>
              <w:rPr>
                <w:spacing w:val="-8"/>
                <w:sz w:val="18"/>
              </w:rPr>
              <w:t> </w:t>
            </w:r>
            <w:r>
              <w:rPr>
                <w:sz w:val="18"/>
              </w:rPr>
              <w:t>con</w:t>
            </w:r>
            <w:r>
              <w:rPr>
                <w:spacing w:val="-8"/>
                <w:sz w:val="18"/>
              </w:rPr>
              <w:t> </w:t>
            </w:r>
            <w:r>
              <w:rPr>
                <w:sz w:val="18"/>
              </w:rPr>
              <w:t>gestión</w:t>
            </w:r>
            <w:r>
              <w:rPr>
                <w:spacing w:val="-8"/>
                <w:sz w:val="18"/>
              </w:rPr>
              <w:t> </w:t>
            </w:r>
            <w:r>
              <w:rPr>
                <w:sz w:val="18"/>
              </w:rPr>
              <w:t>de cobro iniciada.</w:t>
            </w:r>
          </w:p>
        </w:tc>
        <w:tc>
          <w:tcPr>
            <w:tcW w:w="1431" w:type="dxa"/>
          </w:tcPr>
          <w:p>
            <w:pPr>
              <w:pStyle w:val="TableParagraph"/>
              <w:ind w:left="71" w:right="79"/>
              <w:rPr>
                <w:sz w:val="18"/>
              </w:rPr>
            </w:pPr>
            <w:r>
              <w:rPr>
                <w:sz w:val="18"/>
              </w:rPr>
              <w:t>Porcentaje de avance en la construcción</w:t>
            </w:r>
            <w:r>
              <w:rPr>
                <w:spacing w:val="-13"/>
                <w:sz w:val="18"/>
              </w:rPr>
              <w:t> </w:t>
            </w:r>
            <w:r>
              <w:rPr>
                <w:sz w:val="18"/>
              </w:rPr>
              <w:t>de la fase inicial del</w:t>
            </w:r>
            <w:r>
              <w:rPr>
                <w:spacing w:val="-1"/>
                <w:sz w:val="18"/>
              </w:rPr>
              <w:t> </w:t>
            </w:r>
            <w:r>
              <w:rPr>
                <w:sz w:val="18"/>
              </w:rPr>
              <w:t>proyecto de </w:t>
            </w:r>
            <w:r>
              <w:rPr>
                <w:spacing w:val="-2"/>
                <w:sz w:val="18"/>
              </w:rPr>
              <w:t>Expediente</w:t>
            </w:r>
          </w:p>
          <w:p>
            <w:pPr>
              <w:pStyle w:val="TableParagraph"/>
              <w:spacing w:line="187" w:lineRule="exact" w:before="1"/>
              <w:ind w:left="71"/>
              <w:rPr>
                <w:sz w:val="18"/>
              </w:rPr>
            </w:pPr>
            <w:r>
              <w:rPr>
                <w:spacing w:val="-2"/>
                <w:sz w:val="18"/>
              </w:rPr>
              <w:t>Digital</w:t>
            </w:r>
          </w:p>
        </w:tc>
        <w:tc>
          <w:tcPr>
            <w:tcW w:w="1489" w:type="dxa"/>
          </w:tcPr>
          <w:p>
            <w:pPr>
              <w:pStyle w:val="TableParagraph"/>
              <w:rPr>
                <w:rFonts w:ascii="Times New Roman"/>
                <w:sz w:val="18"/>
              </w:rPr>
            </w:pPr>
          </w:p>
        </w:tc>
        <w:tc>
          <w:tcPr>
            <w:tcW w:w="1138" w:type="dxa"/>
          </w:tcPr>
          <w:p>
            <w:pPr>
              <w:pStyle w:val="TableParagraph"/>
              <w:rPr>
                <w:rFonts w:ascii="Times New Roman"/>
                <w:sz w:val="18"/>
              </w:rPr>
            </w:pPr>
          </w:p>
        </w:tc>
        <w:tc>
          <w:tcPr>
            <w:tcW w:w="1416" w:type="dxa"/>
          </w:tcPr>
          <w:p>
            <w:pPr>
              <w:pStyle w:val="TableParagraph"/>
              <w:rPr>
                <w:rFonts w:ascii="Times New Roman"/>
                <w:sz w:val="18"/>
              </w:rPr>
            </w:pPr>
          </w:p>
        </w:tc>
        <w:tc>
          <w:tcPr>
            <w:tcW w:w="1133" w:type="dxa"/>
          </w:tcPr>
          <w:p>
            <w:pPr>
              <w:pStyle w:val="TableParagraph"/>
              <w:rPr>
                <w:rFonts w:ascii="Times New Roman"/>
                <w:sz w:val="18"/>
              </w:rPr>
            </w:pPr>
          </w:p>
        </w:tc>
        <w:tc>
          <w:tcPr>
            <w:tcW w:w="1416" w:type="dxa"/>
          </w:tcPr>
          <w:p>
            <w:pPr>
              <w:pStyle w:val="TableParagraph"/>
              <w:rPr>
                <w:rFonts w:ascii="Times New Roman"/>
                <w:sz w:val="18"/>
              </w:rPr>
            </w:pPr>
          </w:p>
        </w:tc>
        <w:tc>
          <w:tcPr>
            <w:tcW w:w="1133" w:type="dxa"/>
          </w:tcPr>
          <w:p>
            <w:pPr>
              <w:pStyle w:val="TableParagraph"/>
              <w:rPr>
                <w:rFonts w:ascii="Times New Roman"/>
                <w:sz w:val="18"/>
              </w:rPr>
            </w:pPr>
          </w:p>
        </w:tc>
        <w:tc>
          <w:tcPr>
            <w:tcW w:w="1421" w:type="dxa"/>
          </w:tcPr>
          <w:p>
            <w:pPr>
              <w:pStyle w:val="TableParagraph"/>
              <w:rPr>
                <w:b/>
                <w:sz w:val="18"/>
              </w:rPr>
            </w:pPr>
          </w:p>
          <w:p>
            <w:pPr>
              <w:pStyle w:val="TableParagraph"/>
              <w:spacing w:before="204"/>
              <w:rPr>
                <w:b/>
                <w:sz w:val="18"/>
              </w:rPr>
            </w:pPr>
          </w:p>
          <w:p>
            <w:pPr>
              <w:pStyle w:val="TableParagraph"/>
              <w:ind w:left="7"/>
              <w:jc w:val="center"/>
              <w:rPr>
                <w:sz w:val="18"/>
              </w:rPr>
            </w:pPr>
            <w:r>
              <w:rPr>
                <w:spacing w:val="-5"/>
                <w:sz w:val="18"/>
              </w:rPr>
              <w:t>50%</w:t>
            </w:r>
          </w:p>
        </w:tc>
        <w:tc>
          <w:tcPr>
            <w:tcW w:w="1134" w:type="dxa"/>
          </w:tcPr>
          <w:p>
            <w:pPr>
              <w:pStyle w:val="TableParagraph"/>
              <w:rPr>
                <w:rFonts w:ascii="Times New Roman"/>
                <w:sz w:val="18"/>
              </w:rPr>
            </w:pPr>
          </w:p>
        </w:tc>
      </w:tr>
      <w:tr>
        <w:trPr>
          <w:trHeight w:val="959" w:hRule="atLeast"/>
        </w:trPr>
        <w:tc>
          <w:tcPr>
            <w:tcW w:w="2747" w:type="dxa"/>
          </w:tcPr>
          <w:p>
            <w:pPr>
              <w:pStyle w:val="TableParagraph"/>
              <w:spacing w:before="66"/>
              <w:ind w:left="72" w:right="110"/>
              <w:rPr>
                <w:sz w:val="18"/>
              </w:rPr>
            </w:pPr>
            <w:r>
              <w:rPr>
                <w:b/>
                <w:sz w:val="18"/>
              </w:rPr>
              <w:t>Actividad PAC 2.45.2: </w:t>
            </w:r>
            <w:r>
              <w:rPr>
                <w:sz w:val="18"/>
              </w:rPr>
              <w:t>Actualizar</w:t>
            </w:r>
            <w:r>
              <w:rPr>
                <w:spacing w:val="-15"/>
                <w:sz w:val="18"/>
              </w:rPr>
              <w:t> </w:t>
            </w:r>
            <w:r>
              <w:rPr>
                <w:sz w:val="18"/>
              </w:rPr>
              <w:t>mensualmente</w:t>
            </w:r>
            <w:r>
              <w:rPr>
                <w:spacing w:val="-12"/>
                <w:sz w:val="18"/>
              </w:rPr>
              <w:t> </w:t>
            </w:r>
            <w:r>
              <w:rPr>
                <w:sz w:val="18"/>
              </w:rPr>
              <w:t>la base de datos</w:t>
            </w:r>
            <w:r>
              <w:rPr>
                <w:spacing w:val="-5"/>
                <w:sz w:val="18"/>
              </w:rPr>
              <w:t> </w:t>
            </w:r>
            <w:r>
              <w:rPr>
                <w:sz w:val="18"/>
              </w:rPr>
              <w:t>maestros de obligados morosos.</w:t>
            </w:r>
          </w:p>
        </w:tc>
        <w:tc>
          <w:tcPr>
            <w:tcW w:w="1431" w:type="dxa"/>
          </w:tcPr>
          <w:p>
            <w:pPr>
              <w:pStyle w:val="TableParagraph"/>
              <w:spacing w:before="167"/>
              <w:ind w:left="71"/>
              <w:rPr>
                <w:sz w:val="18"/>
              </w:rPr>
            </w:pPr>
            <w:r>
              <w:rPr>
                <w:sz w:val="18"/>
              </w:rPr>
              <w:t>Cantidad de bases</w:t>
            </w:r>
            <w:r>
              <w:rPr>
                <w:spacing w:val="-15"/>
                <w:sz w:val="18"/>
              </w:rPr>
              <w:t> </w:t>
            </w:r>
            <w:r>
              <w:rPr>
                <w:sz w:val="18"/>
              </w:rPr>
              <w:t>de</w:t>
            </w:r>
            <w:r>
              <w:rPr>
                <w:spacing w:val="-12"/>
                <w:sz w:val="18"/>
              </w:rPr>
              <w:t> </w:t>
            </w:r>
            <w:r>
              <w:rPr>
                <w:sz w:val="18"/>
              </w:rPr>
              <w:t>datos </w:t>
            </w:r>
            <w:r>
              <w:rPr>
                <w:spacing w:val="-2"/>
                <w:sz w:val="18"/>
              </w:rPr>
              <w:t>actualizadas</w:t>
            </w:r>
          </w:p>
        </w:tc>
        <w:tc>
          <w:tcPr>
            <w:tcW w:w="1489" w:type="dxa"/>
          </w:tcPr>
          <w:p>
            <w:pPr>
              <w:pStyle w:val="TableParagraph"/>
              <w:spacing w:before="166"/>
              <w:rPr>
                <w:b/>
                <w:sz w:val="18"/>
              </w:rPr>
            </w:pPr>
          </w:p>
          <w:p>
            <w:pPr>
              <w:pStyle w:val="TableParagraph"/>
              <w:ind w:left="12" w:right="9"/>
              <w:jc w:val="center"/>
              <w:rPr>
                <w:sz w:val="18"/>
              </w:rPr>
            </w:pPr>
            <w:r>
              <w:rPr>
                <w:spacing w:val="-10"/>
                <w:sz w:val="18"/>
              </w:rPr>
              <w:t>3</w:t>
            </w:r>
          </w:p>
        </w:tc>
        <w:tc>
          <w:tcPr>
            <w:tcW w:w="1138" w:type="dxa"/>
          </w:tcPr>
          <w:p>
            <w:pPr>
              <w:pStyle w:val="TableParagraph"/>
              <w:rPr>
                <w:rFonts w:ascii="Times New Roman"/>
                <w:sz w:val="18"/>
              </w:rPr>
            </w:pPr>
          </w:p>
        </w:tc>
        <w:tc>
          <w:tcPr>
            <w:tcW w:w="1416" w:type="dxa"/>
          </w:tcPr>
          <w:p>
            <w:pPr>
              <w:pStyle w:val="TableParagraph"/>
              <w:spacing w:before="166"/>
              <w:rPr>
                <w:b/>
                <w:sz w:val="18"/>
              </w:rPr>
            </w:pPr>
          </w:p>
          <w:p>
            <w:pPr>
              <w:pStyle w:val="TableParagraph"/>
              <w:ind w:left="17" w:right="18"/>
              <w:jc w:val="center"/>
              <w:rPr>
                <w:sz w:val="18"/>
              </w:rPr>
            </w:pPr>
            <w:r>
              <w:rPr>
                <w:spacing w:val="-10"/>
                <w:sz w:val="18"/>
              </w:rPr>
              <w:t>6</w:t>
            </w:r>
          </w:p>
        </w:tc>
        <w:tc>
          <w:tcPr>
            <w:tcW w:w="1133" w:type="dxa"/>
          </w:tcPr>
          <w:p>
            <w:pPr>
              <w:pStyle w:val="TableParagraph"/>
              <w:rPr>
                <w:rFonts w:ascii="Times New Roman"/>
                <w:sz w:val="18"/>
              </w:rPr>
            </w:pPr>
          </w:p>
        </w:tc>
        <w:tc>
          <w:tcPr>
            <w:tcW w:w="1416" w:type="dxa"/>
          </w:tcPr>
          <w:p>
            <w:pPr>
              <w:pStyle w:val="TableParagraph"/>
              <w:spacing w:before="166"/>
              <w:rPr>
                <w:b/>
                <w:sz w:val="18"/>
              </w:rPr>
            </w:pPr>
          </w:p>
          <w:p>
            <w:pPr>
              <w:pStyle w:val="TableParagraph"/>
              <w:ind w:left="17" w:right="9"/>
              <w:jc w:val="center"/>
              <w:rPr>
                <w:sz w:val="18"/>
              </w:rPr>
            </w:pPr>
            <w:r>
              <w:rPr>
                <w:spacing w:val="-10"/>
                <w:sz w:val="18"/>
              </w:rPr>
              <w:t>9</w:t>
            </w:r>
          </w:p>
        </w:tc>
        <w:tc>
          <w:tcPr>
            <w:tcW w:w="1133" w:type="dxa"/>
          </w:tcPr>
          <w:p>
            <w:pPr>
              <w:pStyle w:val="TableParagraph"/>
              <w:rPr>
                <w:rFonts w:ascii="Times New Roman"/>
                <w:sz w:val="18"/>
              </w:rPr>
            </w:pPr>
          </w:p>
        </w:tc>
        <w:tc>
          <w:tcPr>
            <w:tcW w:w="1421" w:type="dxa"/>
          </w:tcPr>
          <w:p>
            <w:pPr>
              <w:pStyle w:val="TableParagraph"/>
              <w:spacing w:before="166"/>
              <w:rPr>
                <w:b/>
                <w:sz w:val="18"/>
              </w:rPr>
            </w:pPr>
          </w:p>
          <w:p>
            <w:pPr>
              <w:pStyle w:val="TableParagraph"/>
              <w:ind w:left="9"/>
              <w:jc w:val="center"/>
              <w:rPr>
                <w:sz w:val="18"/>
              </w:rPr>
            </w:pPr>
            <w:r>
              <w:rPr>
                <w:spacing w:val="-5"/>
                <w:sz w:val="18"/>
              </w:rPr>
              <w:t>12</w:t>
            </w:r>
          </w:p>
        </w:tc>
        <w:tc>
          <w:tcPr>
            <w:tcW w:w="1134" w:type="dxa"/>
          </w:tcPr>
          <w:p>
            <w:pPr>
              <w:pStyle w:val="TableParagraph"/>
              <w:rPr>
                <w:rFonts w:ascii="Times New Roman"/>
                <w:sz w:val="18"/>
              </w:rPr>
            </w:pPr>
          </w:p>
        </w:tc>
      </w:tr>
      <w:tr>
        <w:trPr>
          <w:trHeight w:val="412" w:hRule="atLeast"/>
        </w:trPr>
        <w:tc>
          <w:tcPr>
            <w:tcW w:w="14458" w:type="dxa"/>
            <w:gridSpan w:val="10"/>
            <w:shd w:val="clear" w:color="auto" w:fill="EFF8F9"/>
          </w:tcPr>
          <w:p>
            <w:pPr>
              <w:pStyle w:val="TableParagraph"/>
              <w:spacing w:line="206" w:lineRule="exact"/>
              <w:ind w:left="72" w:right="86"/>
              <w:rPr>
                <w:b/>
                <w:sz w:val="18"/>
              </w:rPr>
            </w:pPr>
            <w:r>
              <w:rPr>
                <w:b/>
                <w:sz w:val="18"/>
              </w:rPr>
              <w:t>Producto</w:t>
            </w:r>
            <w:r>
              <w:rPr>
                <w:b/>
                <w:spacing w:val="-3"/>
                <w:sz w:val="18"/>
              </w:rPr>
              <w:t> </w:t>
            </w:r>
            <w:r>
              <w:rPr>
                <w:b/>
                <w:sz w:val="18"/>
              </w:rPr>
              <w:t>2.46: Negocios</w:t>
            </w:r>
            <w:r>
              <w:rPr>
                <w:b/>
                <w:spacing w:val="-2"/>
                <w:sz w:val="18"/>
              </w:rPr>
              <w:t> </w:t>
            </w:r>
            <w:r>
              <w:rPr>
                <w:b/>
                <w:sz w:val="18"/>
              </w:rPr>
              <w:t>nuevos</w:t>
            </w:r>
            <w:r>
              <w:rPr>
                <w:b/>
                <w:spacing w:val="-2"/>
                <w:sz w:val="18"/>
              </w:rPr>
              <w:t> </w:t>
            </w:r>
            <w:r>
              <w:rPr>
                <w:b/>
                <w:sz w:val="18"/>
              </w:rPr>
              <w:t>inscritos</w:t>
            </w:r>
            <w:r>
              <w:rPr>
                <w:b/>
                <w:spacing w:val="-2"/>
                <w:sz w:val="18"/>
              </w:rPr>
              <w:t> </w:t>
            </w:r>
            <w:r>
              <w:rPr>
                <w:b/>
                <w:sz w:val="18"/>
              </w:rPr>
              <w:t>que</w:t>
            </w:r>
            <w:r>
              <w:rPr>
                <w:b/>
                <w:spacing w:val="-2"/>
                <w:sz w:val="18"/>
              </w:rPr>
              <w:t> </w:t>
            </w:r>
            <w:r>
              <w:rPr>
                <w:b/>
                <w:sz w:val="18"/>
              </w:rPr>
              <w:t>contribuyan a</w:t>
            </w:r>
            <w:r>
              <w:rPr>
                <w:b/>
                <w:spacing w:val="-2"/>
                <w:sz w:val="18"/>
              </w:rPr>
              <w:t> </w:t>
            </w:r>
            <w:r>
              <w:rPr>
                <w:b/>
                <w:sz w:val="18"/>
              </w:rPr>
              <w:t>incrementar</w:t>
            </w:r>
            <w:r>
              <w:rPr>
                <w:b/>
                <w:spacing w:val="-1"/>
                <w:sz w:val="18"/>
              </w:rPr>
              <w:t> </w:t>
            </w:r>
            <w:r>
              <w:rPr>
                <w:b/>
                <w:sz w:val="18"/>
              </w:rPr>
              <w:t>la</w:t>
            </w:r>
            <w:r>
              <w:rPr>
                <w:b/>
                <w:spacing w:val="-2"/>
                <w:sz w:val="18"/>
              </w:rPr>
              <w:t> </w:t>
            </w:r>
            <w:r>
              <w:rPr>
                <w:b/>
                <w:sz w:val="18"/>
              </w:rPr>
              <w:t>recaudación</w:t>
            </w:r>
            <w:r>
              <w:rPr>
                <w:b/>
                <w:spacing w:val="-3"/>
                <w:sz w:val="18"/>
              </w:rPr>
              <w:t> </w:t>
            </w:r>
            <w:r>
              <w:rPr>
                <w:b/>
                <w:sz w:val="18"/>
              </w:rPr>
              <w:t>del tributo</w:t>
            </w:r>
            <w:r>
              <w:rPr>
                <w:b/>
                <w:spacing w:val="-3"/>
                <w:sz w:val="18"/>
              </w:rPr>
              <w:t> </w:t>
            </w:r>
            <w:r>
              <w:rPr>
                <w:b/>
                <w:sz w:val="18"/>
              </w:rPr>
              <w:t>de</w:t>
            </w:r>
            <w:r>
              <w:rPr>
                <w:b/>
                <w:spacing w:val="-2"/>
                <w:sz w:val="18"/>
              </w:rPr>
              <w:t> </w:t>
            </w:r>
            <w:r>
              <w:rPr>
                <w:b/>
                <w:sz w:val="18"/>
              </w:rPr>
              <w:t>moteles</w:t>
            </w:r>
            <w:r>
              <w:rPr>
                <w:b/>
                <w:spacing w:val="-2"/>
                <w:sz w:val="18"/>
              </w:rPr>
              <w:t> </w:t>
            </w:r>
            <w:r>
              <w:rPr>
                <w:b/>
                <w:sz w:val="18"/>
              </w:rPr>
              <w:t>a</w:t>
            </w:r>
            <w:r>
              <w:rPr>
                <w:b/>
                <w:spacing w:val="-2"/>
                <w:sz w:val="18"/>
              </w:rPr>
              <w:t> </w:t>
            </w:r>
            <w:r>
              <w:rPr>
                <w:b/>
                <w:sz w:val="18"/>
              </w:rPr>
              <w:t>partir</w:t>
            </w:r>
            <w:r>
              <w:rPr>
                <w:b/>
                <w:spacing w:val="-1"/>
                <w:sz w:val="18"/>
              </w:rPr>
              <w:t> </w:t>
            </w:r>
            <w:r>
              <w:rPr>
                <w:b/>
                <w:sz w:val="18"/>
              </w:rPr>
              <w:t>de</w:t>
            </w:r>
            <w:r>
              <w:rPr>
                <w:b/>
                <w:spacing w:val="-2"/>
                <w:sz w:val="18"/>
              </w:rPr>
              <w:t> </w:t>
            </w:r>
            <w:r>
              <w:rPr>
                <w:b/>
                <w:sz w:val="18"/>
              </w:rPr>
              <w:t>la</w:t>
            </w:r>
            <w:r>
              <w:rPr>
                <w:b/>
                <w:spacing w:val="-2"/>
                <w:sz w:val="18"/>
              </w:rPr>
              <w:t> </w:t>
            </w:r>
            <w:r>
              <w:rPr>
                <w:b/>
                <w:sz w:val="18"/>
              </w:rPr>
              <w:t>gestión con</w:t>
            </w:r>
            <w:r>
              <w:rPr>
                <w:b/>
                <w:spacing w:val="-8"/>
                <w:sz w:val="18"/>
              </w:rPr>
              <w:t> </w:t>
            </w:r>
            <w:r>
              <w:rPr>
                <w:b/>
                <w:sz w:val="18"/>
              </w:rPr>
              <w:t>Municipalidades</w:t>
            </w:r>
            <w:r>
              <w:rPr>
                <w:b/>
                <w:spacing w:val="-2"/>
                <w:sz w:val="18"/>
              </w:rPr>
              <w:t> </w:t>
            </w:r>
            <w:r>
              <w:rPr>
                <w:b/>
                <w:sz w:val="18"/>
              </w:rPr>
              <w:t>y</w:t>
            </w:r>
            <w:r>
              <w:rPr>
                <w:b/>
                <w:spacing w:val="-2"/>
                <w:sz w:val="18"/>
              </w:rPr>
              <w:t> </w:t>
            </w:r>
            <w:r>
              <w:rPr>
                <w:b/>
                <w:sz w:val="18"/>
              </w:rPr>
              <w:t>visitas</w:t>
            </w:r>
            <w:r>
              <w:rPr>
                <w:b/>
                <w:spacing w:val="-2"/>
                <w:sz w:val="18"/>
              </w:rPr>
              <w:t> </w:t>
            </w:r>
            <w:r>
              <w:rPr>
                <w:b/>
                <w:sz w:val="18"/>
              </w:rPr>
              <w:t>a campo efectuadas.</w:t>
            </w:r>
          </w:p>
        </w:tc>
      </w:tr>
      <w:tr>
        <w:trPr>
          <w:trHeight w:val="1200" w:hRule="atLeast"/>
        </w:trPr>
        <w:tc>
          <w:tcPr>
            <w:tcW w:w="2747" w:type="dxa"/>
          </w:tcPr>
          <w:p>
            <w:pPr>
              <w:pStyle w:val="TableParagraph"/>
              <w:spacing w:before="186"/>
              <w:ind w:left="72" w:right="54"/>
              <w:rPr>
                <w:sz w:val="18"/>
              </w:rPr>
            </w:pPr>
            <w:r>
              <w:rPr>
                <w:b/>
                <w:sz w:val="18"/>
              </w:rPr>
              <w:t>Actividad PAC 2.46.1: </w:t>
            </w:r>
            <w:r>
              <w:rPr>
                <w:sz w:val="18"/>
              </w:rPr>
              <w:t>Investigar</w:t>
            </w:r>
            <w:r>
              <w:rPr>
                <w:spacing w:val="-11"/>
                <w:sz w:val="18"/>
              </w:rPr>
              <w:t> </w:t>
            </w:r>
            <w:r>
              <w:rPr>
                <w:sz w:val="18"/>
              </w:rPr>
              <w:t>y</w:t>
            </w:r>
            <w:r>
              <w:rPr>
                <w:spacing w:val="-12"/>
                <w:sz w:val="18"/>
              </w:rPr>
              <w:t> </w:t>
            </w:r>
            <w:r>
              <w:rPr>
                <w:sz w:val="18"/>
              </w:rPr>
              <w:t>localizar</w:t>
            </w:r>
            <w:r>
              <w:rPr>
                <w:spacing w:val="-11"/>
                <w:sz w:val="18"/>
              </w:rPr>
              <w:t> </w:t>
            </w:r>
            <w:r>
              <w:rPr>
                <w:sz w:val="18"/>
              </w:rPr>
              <w:t>potenciales contribuyentes del Impuesto de Moteles y lugares afines.</w:t>
            </w:r>
          </w:p>
        </w:tc>
        <w:tc>
          <w:tcPr>
            <w:tcW w:w="1431" w:type="dxa"/>
          </w:tcPr>
          <w:p>
            <w:pPr>
              <w:pStyle w:val="TableParagraph"/>
              <w:spacing w:before="80"/>
              <w:ind w:left="71" w:right="55"/>
              <w:rPr>
                <w:sz w:val="18"/>
              </w:rPr>
            </w:pPr>
            <w:r>
              <w:rPr>
                <w:spacing w:val="-2"/>
                <w:sz w:val="18"/>
              </w:rPr>
              <w:t>Cantidad posibles contribuyentes </w:t>
            </w:r>
            <w:r>
              <w:rPr>
                <w:sz w:val="18"/>
              </w:rPr>
              <w:t>investigados</w:t>
            </w:r>
            <w:r>
              <w:rPr>
                <w:spacing w:val="-2"/>
                <w:sz w:val="18"/>
              </w:rPr>
              <w:t> </w:t>
            </w:r>
            <w:r>
              <w:rPr>
                <w:sz w:val="18"/>
              </w:rPr>
              <w:t>y </w:t>
            </w:r>
            <w:r>
              <w:rPr>
                <w:spacing w:val="-2"/>
                <w:sz w:val="18"/>
              </w:rPr>
              <w:t>localizados</w:t>
            </w:r>
          </w:p>
        </w:tc>
        <w:tc>
          <w:tcPr>
            <w:tcW w:w="1489" w:type="dxa"/>
          </w:tcPr>
          <w:p>
            <w:pPr>
              <w:pStyle w:val="TableParagraph"/>
              <w:rPr>
                <w:b/>
                <w:sz w:val="18"/>
              </w:rPr>
            </w:pPr>
          </w:p>
          <w:p>
            <w:pPr>
              <w:pStyle w:val="TableParagraph"/>
              <w:spacing w:before="84"/>
              <w:rPr>
                <w:b/>
                <w:sz w:val="18"/>
              </w:rPr>
            </w:pPr>
          </w:p>
          <w:p>
            <w:pPr>
              <w:pStyle w:val="TableParagraph"/>
              <w:ind w:left="12" w:right="5"/>
              <w:jc w:val="center"/>
              <w:rPr>
                <w:sz w:val="18"/>
              </w:rPr>
            </w:pPr>
            <w:r>
              <w:rPr>
                <w:spacing w:val="-5"/>
                <w:sz w:val="18"/>
              </w:rPr>
              <w:t>24</w:t>
            </w:r>
          </w:p>
        </w:tc>
        <w:tc>
          <w:tcPr>
            <w:tcW w:w="1138" w:type="dxa"/>
          </w:tcPr>
          <w:p>
            <w:pPr>
              <w:pStyle w:val="TableParagraph"/>
              <w:rPr>
                <w:rFonts w:ascii="Times New Roman"/>
                <w:sz w:val="18"/>
              </w:rPr>
            </w:pPr>
          </w:p>
        </w:tc>
        <w:tc>
          <w:tcPr>
            <w:tcW w:w="1416" w:type="dxa"/>
          </w:tcPr>
          <w:p>
            <w:pPr>
              <w:pStyle w:val="TableParagraph"/>
              <w:rPr>
                <w:b/>
                <w:sz w:val="18"/>
              </w:rPr>
            </w:pPr>
          </w:p>
          <w:p>
            <w:pPr>
              <w:pStyle w:val="TableParagraph"/>
              <w:spacing w:before="84"/>
              <w:rPr>
                <w:b/>
                <w:sz w:val="18"/>
              </w:rPr>
            </w:pPr>
          </w:p>
          <w:p>
            <w:pPr>
              <w:pStyle w:val="TableParagraph"/>
              <w:ind w:left="17" w:right="15"/>
              <w:jc w:val="center"/>
              <w:rPr>
                <w:sz w:val="18"/>
              </w:rPr>
            </w:pPr>
            <w:r>
              <w:rPr>
                <w:spacing w:val="-5"/>
                <w:sz w:val="18"/>
              </w:rPr>
              <w:t>48</w:t>
            </w:r>
          </w:p>
        </w:tc>
        <w:tc>
          <w:tcPr>
            <w:tcW w:w="1133" w:type="dxa"/>
          </w:tcPr>
          <w:p>
            <w:pPr>
              <w:pStyle w:val="TableParagraph"/>
              <w:rPr>
                <w:rFonts w:ascii="Times New Roman"/>
                <w:sz w:val="18"/>
              </w:rPr>
            </w:pPr>
          </w:p>
        </w:tc>
        <w:tc>
          <w:tcPr>
            <w:tcW w:w="1416" w:type="dxa"/>
          </w:tcPr>
          <w:p>
            <w:pPr>
              <w:pStyle w:val="TableParagraph"/>
              <w:rPr>
                <w:b/>
                <w:sz w:val="18"/>
              </w:rPr>
            </w:pPr>
          </w:p>
          <w:p>
            <w:pPr>
              <w:pStyle w:val="TableParagraph"/>
              <w:spacing w:before="84"/>
              <w:rPr>
                <w:b/>
                <w:sz w:val="18"/>
              </w:rPr>
            </w:pPr>
          </w:p>
          <w:p>
            <w:pPr>
              <w:pStyle w:val="TableParagraph"/>
              <w:ind w:left="17" w:right="5"/>
              <w:jc w:val="center"/>
              <w:rPr>
                <w:sz w:val="18"/>
              </w:rPr>
            </w:pPr>
            <w:r>
              <w:rPr>
                <w:spacing w:val="-5"/>
                <w:sz w:val="18"/>
              </w:rPr>
              <w:t>72</w:t>
            </w:r>
          </w:p>
        </w:tc>
        <w:tc>
          <w:tcPr>
            <w:tcW w:w="1133" w:type="dxa"/>
          </w:tcPr>
          <w:p>
            <w:pPr>
              <w:pStyle w:val="TableParagraph"/>
              <w:rPr>
                <w:rFonts w:ascii="Times New Roman"/>
                <w:sz w:val="18"/>
              </w:rPr>
            </w:pPr>
          </w:p>
        </w:tc>
        <w:tc>
          <w:tcPr>
            <w:tcW w:w="1421" w:type="dxa"/>
          </w:tcPr>
          <w:p>
            <w:pPr>
              <w:pStyle w:val="TableParagraph"/>
              <w:rPr>
                <w:b/>
                <w:sz w:val="18"/>
              </w:rPr>
            </w:pPr>
          </w:p>
          <w:p>
            <w:pPr>
              <w:pStyle w:val="TableParagraph"/>
              <w:spacing w:before="84"/>
              <w:rPr>
                <w:b/>
                <w:sz w:val="18"/>
              </w:rPr>
            </w:pPr>
          </w:p>
          <w:p>
            <w:pPr>
              <w:pStyle w:val="TableParagraph"/>
              <w:ind w:left="9"/>
              <w:jc w:val="center"/>
              <w:rPr>
                <w:sz w:val="18"/>
              </w:rPr>
            </w:pPr>
            <w:r>
              <w:rPr>
                <w:spacing w:val="-5"/>
                <w:sz w:val="18"/>
              </w:rPr>
              <w:t>96</w:t>
            </w:r>
          </w:p>
        </w:tc>
        <w:tc>
          <w:tcPr>
            <w:tcW w:w="1134" w:type="dxa"/>
          </w:tcPr>
          <w:p>
            <w:pPr>
              <w:pStyle w:val="TableParagraph"/>
              <w:rPr>
                <w:rFonts w:ascii="Times New Roman"/>
                <w:sz w:val="18"/>
              </w:rPr>
            </w:pPr>
          </w:p>
        </w:tc>
      </w:tr>
      <w:tr>
        <w:trPr>
          <w:trHeight w:val="1200" w:hRule="atLeast"/>
        </w:trPr>
        <w:tc>
          <w:tcPr>
            <w:tcW w:w="2747" w:type="dxa"/>
          </w:tcPr>
          <w:p>
            <w:pPr>
              <w:pStyle w:val="TableParagraph"/>
              <w:spacing w:before="85"/>
              <w:ind w:left="72" w:right="110"/>
              <w:rPr>
                <w:sz w:val="18"/>
              </w:rPr>
            </w:pPr>
            <w:r>
              <w:rPr>
                <w:b/>
                <w:sz w:val="18"/>
              </w:rPr>
              <w:t>Actividad PAC 2.46.2: </w:t>
            </w:r>
            <w:r>
              <w:rPr>
                <w:sz w:val="18"/>
              </w:rPr>
              <w:t>Gestionar la inscripción de nuevos negocios como contribuyentes</w:t>
            </w:r>
            <w:r>
              <w:rPr>
                <w:spacing w:val="-13"/>
                <w:sz w:val="18"/>
              </w:rPr>
              <w:t> </w:t>
            </w:r>
            <w:r>
              <w:rPr>
                <w:sz w:val="18"/>
              </w:rPr>
              <w:t>del</w:t>
            </w:r>
            <w:r>
              <w:rPr>
                <w:spacing w:val="-10"/>
                <w:sz w:val="18"/>
              </w:rPr>
              <w:t> </w:t>
            </w:r>
            <w:r>
              <w:rPr>
                <w:sz w:val="18"/>
              </w:rPr>
              <w:t>impuesto</w:t>
            </w:r>
            <w:r>
              <w:rPr>
                <w:spacing w:val="-13"/>
                <w:sz w:val="18"/>
              </w:rPr>
              <w:t> </w:t>
            </w:r>
            <w:r>
              <w:rPr>
                <w:sz w:val="18"/>
              </w:rPr>
              <w:t>a moteles y lugares afines.</w:t>
            </w:r>
          </w:p>
        </w:tc>
        <w:tc>
          <w:tcPr>
            <w:tcW w:w="1431" w:type="dxa"/>
          </w:tcPr>
          <w:p>
            <w:pPr>
              <w:pStyle w:val="TableParagraph"/>
              <w:spacing w:before="186"/>
              <w:ind w:left="71" w:right="238"/>
              <w:rPr>
                <w:sz w:val="18"/>
              </w:rPr>
            </w:pPr>
            <w:r>
              <w:rPr>
                <w:sz w:val="18"/>
              </w:rPr>
              <w:t>Cantidad</w:t>
            </w:r>
            <w:r>
              <w:rPr>
                <w:spacing w:val="-13"/>
                <w:sz w:val="18"/>
              </w:rPr>
              <w:t> </w:t>
            </w:r>
            <w:r>
              <w:rPr>
                <w:sz w:val="18"/>
              </w:rPr>
              <w:t>de </w:t>
            </w:r>
            <w:r>
              <w:rPr>
                <w:spacing w:val="-2"/>
                <w:sz w:val="18"/>
              </w:rPr>
              <w:t>nuevos negocios inscritos</w:t>
            </w:r>
          </w:p>
        </w:tc>
        <w:tc>
          <w:tcPr>
            <w:tcW w:w="1489" w:type="dxa"/>
          </w:tcPr>
          <w:p>
            <w:pPr>
              <w:pStyle w:val="TableParagraph"/>
              <w:rPr>
                <w:b/>
                <w:sz w:val="18"/>
              </w:rPr>
            </w:pPr>
          </w:p>
          <w:p>
            <w:pPr>
              <w:pStyle w:val="TableParagraph"/>
              <w:spacing w:before="84"/>
              <w:rPr>
                <w:b/>
                <w:sz w:val="18"/>
              </w:rPr>
            </w:pPr>
          </w:p>
          <w:p>
            <w:pPr>
              <w:pStyle w:val="TableParagraph"/>
              <w:ind w:left="12" w:right="9"/>
              <w:jc w:val="center"/>
              <w:rPr>
                <w:sz w:val="18"/>
              </w:rPr>
            </w:pPr>
            <w:r>
              <w:rPr>
                <w:spacing w:val="-10"/>
                <w:sz w:val="18"/>
              </w:rPr>
              <w:t>3</w:t>
            </w:r>
          </w:p>
        </w:tc>
        <w:tc>
          <w:tcPr>
            <w:tcW w:w="1138" w:type="dxa"/>
          </w:tcPr>
          <w:p>
            <w:pPr>
              <w:pStyle w:val="TableParagraph"/>
              <w:rPr>
                <w:rFonts w:ascii="Times New Roman"/>
                <w:sz w:val="18"/>
              </w:rPr>
            </w:pPr>
          </w:p>
        </w:tc>
        <w:tc>
          <w:tcPr>
            <w:tcW w:w="1416" w:type="dxa"/>
          </w:tcPr>
          <w:p>
            <w:pPr>
              <w:pStyle w:val="TableParagraph"/>
              <w:rPr>
                <w:b/>
                <w:sz w:val="18"/>
              </w:rPr>
            </w:pPr>
          </w:p>
          <w:p>
            <w:pPr>
              <w:pStyle w:val="TableParagraph"/>
              <w:spacing w:before="84"/>
              <w:rPr>
                <w:b/>
                <w:sz w:val="18"/>
              </w:rPr>
            </w:pPr>
          </w:p>
          <w:p>
            <w:pPr>
              <w:pStyle w:val="TableParagraph"/>
              <w:ind w:left="17" w:right="18"/>
              <w:jc w:val="center"/>
              <w:rPr>
                <w:sz w:val="18"/>
              </w:rPr>
            </w:pPr>
            <w:r>
              <w:rPr>
                <w:spacing w:val="-10"/>
                <w:sz w:val="18"/>
              </w:rPr>
              <w:t>5</w:t>
            </w:r>
          </w:p>
        </w:tc>
        <w:tc>
          <w:tcPr>
            <w:tcW w:w="1133" w:type="dxa"/>
          </w:tcPr>
          <w:p>
            <w:pPr>
              <w:pStyle w:val="TableParagraph"/>
              <w:rPr>
                <w:rFonts w:ascii="Times New Roman"/>
                <w:sz w:val="18"/>
              </w:rPr>
            </w:pPr>
          </w:p>
        </w:tc>
        <w:tc>
          <w:tcPr>
            <w:tcW w:w="1416" w:type="dxa"/>
          </w:tcPr>
          <w:p>
            <w:pPr>
              <w:pStyle w:val="TableParagraph"/>
              <w:rPr>
                <w:b/>
                <w:sz w:val="18"/>
              </w:rPr>
            </w:pPr>
          </w:p>
          <w:p>
            <w:pPr>
              <w:pStyle w:val="TableParagraph"/>
              <w:spacing w:before="84"/>
              <w:rPr>
                <w:b/>
                <w:sz w:val="18"/>
              </w:rPr>
            </w:pPr>
          </w:p>
          <w:p>
            <w:pPr>
              <w:pStyle w:val="TableParagraph"/>
              <w:ind w:left="17" w:right="9"/>
              <w:jc w:val="center"/>
              <w:rPr>
                <w:sz w:val="18"/>
              </w:rPr>
            </w:pPr>
            <w:r>
              <w:rPr>
                <w:spacing w:val="-10"/>
                <w:sz w:val="18"/>
              </w:rPr>
              <w:t>8</w:t>
            </w:r>
          </w:p>
        </w:tc>
        <w:tc>
          <w:tcPr>
            <w:tcW w:w="1133" w:type="dxa"/>
          </w:tcPr>
          <w:p>
            <w:pPr>
              <w:pStyle w:val="TableParagraph"/>
              <w:rPr>
                <w:rFonts w:ascii="Times New Roman"/>
                <w:sz w:val="18"/>
              </w:rPr>
            </w:pPr>
          </w:p>
        </w:tc>
        <w:tc>
          <w:tcPr>
            <w:tcW w:w="1421" w:type="dxa"/>
          </w:tcPr>
          <w:p>
            <w:pPr>
              <w:pStyle w:val="TableParagraph"/>
              <w:rPr>
                <w:b/>
                <w:sz w:val="18"/>
              </w:rPr>
            </w:pPr>
          </w:p>
          <w:p>
            <w:pPr>
              <w:pStyle w:val="TableParagraph"/>
              <w:spacing w:before="84"/>
              <w:rPr>
                <w:b/>
                <w:sz w:val="18"/>
              </w:rPr>
            </w:pPr>
          </w:p>
          <w:p>
            <w:pPr>
              <w:pStyle w:val="TableParagraph"/>
              <w:ind w:left="9"/>
              <w:jc w:val="center"/>
              <w:rPr>
                <w:sz w:val="18"/>
              </w:rPr>
            </w:pPr>
            <w:r>
              <w:rPr>
                <w:spacing w:val="-5"/>
                <w:sz w:val="18"/>
              </w:rPr>
              <w:t>10</w:t>
            </w:r>
          </w:p>
        </w:tc>
        <w:tc>
          <w:tcPr>
            <w:tcW w:w="1134"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747"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47"/>
        <w:gridCol w:w="1431"/>
        <w:gridCol w:w="1489"/>
        <w:gridCol w:w="1138"/>
        <w:gridCol w:w="1416"/>
        <w:gridCol w:w="1133"/>
        <w:gridCol w:w="1416"/>
        <w:gridCol w:w="1133"/>
        <w:gridCol w:w="1421"/>
        <w:gridCol w:w="1134"/>
      </w:tblGrid>
      <w:tr>
        <w:trPr>
          <w:trHeight w:val="239" w:hRule="atLeast"/>
        </w:trPr>
        <w:tc>
          <w:tcPr>
            <w:tcW w:w="2747" w:type="dxa"/>
            <w:vMerge w:val="restart"/>
            <w:shd w:val="clear" w:color="auto" w:fill="E8E8E8"/>
          </w:tcPr>
          <w:p>
            <w:pPr>
              <w:pStyle w:val="TableParagraph"/>
              <w:spacing w:before="22"/>
              <w:rPr>
                <w:b/>
                <w:sz w:val="18"/>
              </w:rPr>
            </w:pPr>
          </w:p>
          <w:p>
            <w:pPr>
              <w:pStyle w:val="TableParagraph"/>
              <w:ind w:left="403"/>
              <w:rPr>
                <w:b/>
                <w:sz w:val="18"/>
              </w:rPr>
            </w:pPr>
            <w:r>
              <w:rPr>
                <w:b/>
                <w:sz w:val="18"/>
              </w:rPr>
              <w:t>Objetivos</w:t>
            </w:r>
            <w:r>
              <w:rPr>
                <w:b/>
                <w:spacing w:val="-5"/>
                <w:sz w:val="18"/>
              </w:rPr>
              <w:t> </w:t>
            </w:r>
            <w:r>
              <w:rPr>
                <w:b/>
                <w:sz w:val="18"/>
              </w:rPr>
              <w:t>/</w:t>
            </w:r>
            <w:r>
              <w:rPr>
                <w:b/>
                <w:spacing w:val="-2"/>
                <w:sz w:val="18"/>
              </w:rPr>
              <w:t> Resultados</w:t>
            </w:r>
          </w:p>
        </w:tc>
        <w:tc>
          <w:tcPr>
            <w:tcW w:w="1431" w:type="dxa"/>
            <w:vMerge w:val="restart"/>
            <w:shd w:val="clear" w:color="auto" w:fill="E8E8E8"/>
          </w:tcPr>
          <w:p>
            <w:pPr>
              <w:pStyle w:val="TableParagraph"/>
              <w:spacing w:before="22"/>
              <w:rPr>
                <w:b/>
                <w:sz w:val="18"/>
              </w:rPr>
            </w:pPr>
          </w:p>
          <w:p>
            <w:pPr>
              <w:pStyle w:val="TableParagraph"/>
              <w:ind w:left="311"/>
              <w:rPr>
                <w:b/>
                <w:sz w:val="18"/>
              </w:rPr>
            </w:pPr>
            <w:r>
              <w:rPr>
                <w:b/>
                <w:spacing w:val="-2"/>
                <w:sz w:val="18"/>
              </w:rPr>
              <w:t>Indicador</w:t>
            </w:r>
          </w:p>
        </w:tc>
        <w:tc>
          <w:tcPr>
            <w:tcW w:w="2627" w:type="dxa"/>
            <w:gridSpan w:val="2"/>
            <w:shd w:val="clear" w:color="auto" w:fill="E8E8E8"/>
          </w:tcPr>
          <w:p>
            <w:pPr>
              <w:pStyle w:val="TableParagraph"/>
              <w:spacing w:line="201" w:lineRule="exact" w:before="18"/>
              <w:ind w:left="848"/>
              <w:rPr>
                <w:b/>
                <w:sz w:val="18"/>
              </w:rPr>
            </w:pPr>
            <w:r>
              <w:rPr>
                <w:b/>
                <w:sz w:val="18"/>
              </w:rPr>
              <w:t>I</w:t>
            </w:r>
            <w:r>
              <w:rPr>
                <w:b/>
                <w:spacing w:val="-1"/>
                <w:sz w:val="18"/>
              </w:rPr>
              <w:t> </w:t>
            </w:r>
            <w:r>
              <w:rPr>
                <w:b/>
                <w:spacing w:val="-2"/>
                <w:sz w:val="18"/>
              </w:rPr>
              <w:t>Trimestre</w:t>
            </w:r>
          </w:p>
        </w:tc>
        <w:tc>
          <w:tcPr>
            <w:tcW w:w="2549" w:type="dxa"/>
            <w:gridSpan w:val="2"/>
            <w:shd w:val="clear" w:color="auto" w:fill="E8E8E8"/>
          </w:tcPr>
          <w:p>
            <w:pPr>
              <w:pStyle w:val="TableParagraph"/>
              <w:spacing w:line="201" w:lineRule="exact" w:before="18"/>
              <w:ind w:left="786"/>
              <w:rPr>
                <w:b/>
                <w:sz w:val="18"/>
              </w:rPr>
            </w:pPr>
            <w:r>
              <w:rPr>
                <w:b/>
                <w:sz w:val="18"/>
              </w:rPr>
              <w:t>II</w:t>
            </w:r>
            <w:r>
              <w:rPr>
                <w:b/>
                <w:spacing w:val="-3"/>
                <w:sz w:val="18"/>
              </w:rPr>
              <w:t> </w:t>
            </w:r>
            <w:r>
              <w:rPr>
                <w:b/>
                <w:spacing w:val="-2"/>
                <w:sz w:val="18"/>
              </w:rPr>
              <w:t>Trimestre</w:t>
            </w:r>
          </w:p>
        </w:tc>
        <w:tc>
          <w:tcPr>
            <w:tcW w:w="2549" w:type="dxa"/>
            <w:gridSpan w:val="2"/>
            <w:shd w:val="clear" w:color="auto" w:fill="E8E8E8"/>
          </w:tcPr>
          <w:p>
            <w:pPr>
              <w:pStyle w:val="TableParagraph"/>
              <w:spacing w:line="201" w:lineRule="exact" w:before="18"/>
              <w:ind w:left="762"/>
              <w:rPr>
                <w:b/>
                <w:sz w:val="18"/>
              </w:rPr>
            </w:pPr>
            <w:r>
              <w:rPr>
                <w:b/>
                <w:sz w:val="18"/>
              </w:rPr>
              <w:t>III</w:t>
            </w:r>
            <w:r>
              <w:rPr>
                <w:b/>
                <w:spacing w:val="-2"/>
                <w:sz w:val="18"/>
              </w:rPr>
              <w:t> Trimestre</w:t>
            </w:r>
          </w:p>
        </w:tc>
        <w:tc>
          <w:tcPr>
            <w:tcW w:w="2555" w:type="dxa"/>
            <w:gridSpan w:val="2"/>
            <w:shd w:val="clear" w:color="auto" w:fill="E8E8E8"/>
          </w:tcPr>
          <w:p>
            <w:pPr>
              <w:pStyle w:val="TableParagraph"/>
              <w:spacing w:line="201" w:lineRule="exact" w:before="18"/>
              <w:ind w:left="758"/>
              <w:rPr>
                <w:b/>
                <w:sz w:val="18"/>
              </w:rPr>
            </w:pPr>
            <w:r>
              <w:rPr>
                <w:b/>
                <w:sz w:val="18"/>
              </w:rPr>
              <w:t>IV</w:t>
            </w:r>
            <w:r>
              <w:rPr>
                <w:b/>
                <w:spacing w:val="-2"/>
                <w:sz w:val="18"/>
              </w:rPr>
              <w:t> Trimestre</w:t>
            </w:r>
          </w:p>
        </w:tc>
      </w:tr>
      <w:tr>
        <w:trPr>
          <w:trHeight w:val="412" w:hRule="atLeast"/>
        </w:trPr>
        <w:tc>
          <w:tcPr>
            <w:tcW w:w="2747" w:type="dxa"/>
            <w:vMerge/>
            <w:tcBorders>
              <w:top w:val="nil"/>
            </w:tcBorders>
            <w:shd w:val="clear" w:color="auto" w:fill="E8E8E8"/>
          </w:tcPr>
          <w:p>
            <w:pPr>
              <w:rPr>
                <w:sz w:val="2"/>
                <w:szCs w:val="2"/>
              </w:rPr>
            </w:pPr>
          </w:p>
        </w:tc>
        <w:tc>
          <w:tcPr>
            <w:tcW w:w="1431" w:type="dxa"/>
            <w:vMerge/>
            <w:tcBorders>
              <w:top w:val="nil"/>
            </w:tcBorders>
            <w:shd w:val="clear" w:color="auto" w:fill="E8E8E8"/>
          </w:tcPr>
          <w:p>
            <w:pPr>
              <w:rPr>
                <w:sz w:val="2"/>
                <w:szCs w:val="2"/>
              </w:rPr>
            </w:pPr>
          </w:p>
        </w:tc>
        <w:tc>
          <w:tcPr>
            <w:tcW w:w="1489" w:type="dxa"/>
            <w:shd w:val="clear" w:color="auto" w:fill="E8E8E8"/>
          </w:tcPr>
          <w:p>
            <w:pPr>
              <w:pStyle w:val="TableParagraph"/>
              <w:spacing w:line="206" w:lineRule="exact"/>
              <w:ind w:left="220" w:firstLine="316"/>
              <w:rPr>
                <w:b/>
                <w:sz w:val="18"/>
              </w:rPr>
            </w:pPr>
            <w:r>
              <w:rPr>
                <w:b/>
                <w:spacing w:val="-4"/>
                <w:sz w:val="18"/>
              </w:rPr>
              <w:t>Meta </w:t>
            </w:r>
            <w:r>
              <w:rPr>
                <w:b/>
                <w:spacing w:val="-2"/>
                <w:sz w:val="18"/>
              </w:rPr>
              <w:t>programada</w:t>
            </w:r>
          </w:p>
        </w:tc>
        <w:tc>
          <w:tcPr>
            <w:tcW w:w="1138" w:type="dxa"/>
            <w:shd w:val="clear" w:color="auto" w:fill="E8E8E8"/>
          </w:tcPr>
          <w:p>
            <w:pPr>
              <w:pStyle w:val="TableParagraph"/>
              <w:spacing w:before="104"/>
              <w:ind w:left="7"/>
              <w:jc w:val="center"/>
              <w:rPr>
                <w:b/>
                <w:sz w:val="18"/>
              </w:rPr>
            </w:pPr>
            <w:r>
              <w:rPr>
                <w:b/>
                <w:spacing w:val="-10"/>
                <w:sz w:val="18"/>
              </w:rPr>
              <w:t>¢</w:t>
            </w:r>
          </w:p>
        </w:tc>
        <w:tc>
          <w:tcPr>
            <w:tcW w:w="1416" w:type="dxa"/>
            <w:shd w:val="clear" w:color="auto" w:fill="E8E8E8"/>
          </w:tcPr>
          <w:p>
            <w:pPr>
              <w:pStyle w:val="TableParagraph"/>
              <w:spacing w:line="206" w:lineRule="exact"/>
              <w:ind w:left="181" w:firstLine="316"/>
              <w:rPr>
                <w:b/>
                <w:sz w:val="18"/>
              </w:rPr>
            </w:pPr>
            <w:r>
              <w:rPr>
                <w:b/>
                <w:spacing w:val="-4"/>
                <w:sz w:val="18"/>
              </w:rPr>
              <w:t>Meta </w:t>
            </w:r>
            <w:r>
              <w:rPr>
                <w:b/>
                <w:spacing w:val="-2"/>
                <w:sz w:val="18"/>
              </w:rPr>
              <w:t>programada</w:t>
            </w:r>
          </w:p>
        </w:tc>
        <w:tc>
          <w:tcPr>
            <w:tcW w:w="1133" w:type="dxa"/>
            <w:shd w:val="clear" w:color="auto" w:fill="E8E8E8"/>
          </w:tcPr>
          <w:p>
            <w:pPr>
              <w:pStyle w:val="TableParagraph"/>
              <w:spacing w:before="104"/>
              <w:ind w:left="4"/>
              <w:jc w:val="center"/>
              <w:rPr>
                <w:b/>
                <w:sz w:val="18"/>
              </w:rPr>
            </w:pPr>
            <w:r>
              <w:rPr>
                <w:b/>
                <w:spacing w:val="-10"/>
                <w:sz w:val="18"/>
              </w:rPr>
              <w:t>¢</w:t>
            </w:r>
          </w:p>
        </w:tc>
        <w:tc>
          <w:tcPr>
            <w:tcW w:w="1416" w:type="dxa"/>
            <w:shd w:val="clear" w:color="auto" w:fill="E8E8E8"/>
          </w:tcPr>
          <w:p>
            <w:pPr>
              <w:pStyle w:val="TableParagraph"/>
              <w:spacing w:line="206" w:lineRule="exact"/>
              <w:ind w:left="186" w:firstLine="316"/>
              <w:rPr>
                <w:b/>
                <w:sz w:val="18"/>
              </w:rPr>
            </w:pPr>
            <w:r>
              <w:rPr>
                <w:b/>
                <w:spacing w:val="-4"/>
                <w:sz w:val="18"/>
              </w:rPr>
              <w:t>Meta </w:t>
            </w:r>
            <w:r>
              <w:rPr>
                <w:b/>
                <w:spacing w:val="-2"/>
                <w:sz w:val="18"/>
              </w:rPr>
              <w:t>programada</w:t>
            </w:r>
          </w:p>
        </w:tc>
        <w:tc>
          <w:tcPr>
            <w:tcW w:w="1133" w:type="dxa"/>
            <w:shd w:val="clear" w:color="auto" w:fill="E8E8E8"/>
          </w:tcPr>
          <w:p>
            <w:pPr>
              <w:pStyle w:val="TableParagraph"/>
              <w:spacing w:before="104"/>
              <w:ind w:left="14"/>
              <w:jc w:val="center"/>
              <w:rPr>
                <w:b/>
                <w:sz w:val="18"/>
              </w:rPr>
            </w:pPr>
            <w:r>
              <w:rPr>
                <w:b/>
                <w:spacing w:val="-10"/>
                <w:sz w:val="18"/>
              </w:rPr>
              <w:t>¢</w:t>
            </w:r>
          </w:p>
        </w:tc>
        <w:tc>
          <w:tcPr>
            <w:tcW w:w="1421" w:type="dxa"/>
            <w:shd w:val="clear" w:color="auto" w:fill="E8E8E8"/>
          </w:tcPr>
          <w:p>
            <w:pPr>
              <w:pStyle w:val="TableParagraph"/>
              <w:spacing w:line="206" w:lineRule="exact"/>
              <w:ind w:left="187" w:firstLine="316"/>
              <w:rPr>
                <w:b/>
                <w:sz w:val="18"/>
              </w:rPr>
            </w:pPr>
            <w:r>
              <w:rPr>
                <w:b/>
                <w:spacing w:val="-4"/>
                <w:sz w:val="18"/>
              </w:rPr>
              <w:t>Meta </w:t>
            </w:r>
            <w:r>
              <w:rPr>
                <w:b/>
                <w:spacing w:val="-2"/>
                <w:sz w:val="18"/>
              </w:rPr>
              <w:t>programada</w:t>
            </w:r>
          </w:p>
        </w:tc>
        <w:tc>
          <w:tcPr>
            <w:tcW w:w="1134" w:type="dxa"/>
            <w:shd w:val="clear" w:color="auto" w:fill="E8E8E8"/>
          </w:tcPr>
          <w:p>
            <w:pPr>
              <w:pStyle w:val="TableParagraph"/>
              <w:spacing w:before="104"/>
              <w:ind w:left="14"/>
              <w:jc w:val="center"/>
              <w:rPr>
                <w:b/>
                <w:sz w:val="18"/>
              </w:rPr>
            </w:pPr>
            <w:r>
              <w:rPr>
                <w:b/>
                <w:spacing w:val="-10"/>
                <w:sz w:val="18"/>
              </w:rPr>
              <w:t>¢</w:t>
            </w:r>
          </w:p>
        </w:tc>
      </w:tr>
      <w:tr>
        <w:trPr>
          <w:trHeight w:val="1680" w:hRule="atLeast"/>
        </w:trPr>
        <w:tc>
          <w:tcPr>
            <w:tcW w:w="2747" w:type="dxa"/>
          </w:tcPr>
          <w:p>
            <w:pPr>
              <w:pStyle w:val="TableParagraph"/>
              <w:spacing w:before="119"/>
              <w:ind w:left="72" w:right="54"/>
              <w:rPr>
                <w:sz w:val="18"/>
              </w:rPr>
            </w:pPr>
            <w:r>
              <w:rPr>
                <w:b/>
                <w:sz w:val="18"/>
              </w:rPr>
              <w:t>Actividad PAC 2.46.3: </w:t>
            </w:r>
            <w:r>
              <w:rPr>
                <w:sz w:val="18"/>
              </w:rPr>
              <w:t>Concretar con las municipalidades</w:t>
            </w:r>
            <w:r>
              <w:rPr>
                <w:spacing w:val="-13"/>
                <w:sz w:val="18"/>
              </w:rPr>
              <w:t> </w:t>
            </w:r>
            <w:r>
              <w:rPr>
                <w:sz w:val="18"/>
              </w:rPr>
              <w:t>la</w:t>
            </w:r>
            <w:r>
              <w:rPr>
                <w:spacing w:val="-9"/>
                <w:sz w:val="18"/>
              </w:rPr>
              <w:t> </w:t>
            </w:r>
            <w:r>
              <w:rPr>
                <w:sz w:val="18"/>
              </w:rPr>
              <w:t>obtención</w:t>
            </w:r>
            <w:r>
              <w:rPr>
                <w:spacing w:val="-10"/>
                <w:sz w:val="18"/>
              </w:rPr>
              <w:t> </w:t>
            </w:r>
            <w:r>
              <w:rPr>
                <w:sz w:val="18"/>
              </w:rPr>
              <w:t>de información relevante sobre contactos y contribuyentes relacionados a la actividad regulada en la ley 9326.</w:t>
            </w:r>
          </w:p>
        </w:tc>
        <w:tc>
          <w:tcPr>
            <w:tcW w:w="1431" w:type="dxa"/>
          </w:tcPr>
          <w:p>
            <w:pPr>
              <w:pStyle w:val="TableParagraph"/>
              <w:rPr>
                <w:b/>
                <w:sz w:val="18"/>
              </w:rPr>
            </w:pPr>
          </w:p>
          <w:p>
            <w:pPr>
              <w:pStyle w:val="TableParagraph"/>
              <w:spacing w:before="12"/>
              <w:rPr>
                <w:b/>
                <w:sz w:val="18"/>
              </w:rPr>
            </w:pPr>
          </w:p>
          <w:p>
            <w:pPr>
              <w:pStyle w:val="TableParagraph"/>
              <w:ind w:left="71"/>
              <w:rPr>
                <w:sz w:val="18"/>
              </w:rPr>
            </w:pPr>
            <w:r>
              <w:rPr>
                <w:sz w:val="18"/>
              </w:rPr>
              <w:t>Cantidad de </w:t>
            </w:r>
            <w:r>
              <w:rPr>
                <w:spacing w:val="-2"/>
                <w:sz w:val="18"/>
              </w:rPr>
              <w:t>municipalidades </w:t>
            </w:r>
            <w:r>
              <w:rPr>
                <w:sz w:val="18"/>
              </w:rPr>
              <w:t>que brindaron </w:t>
            </w:r>
            <w:r>
              <w:rPr>
                <w:spacing w:val="-2"/>
                <w:sz w:val="18"/>
              </w:rPr>
              <w:t>información</w:t>
            </w:r>
          </w:p>
        </w:tc>
        <w:tc>
          <w:tcPr>
            <w:tcW w:w="1489" w:type="dxa"/>
          </w:tcPr>
          <w:p>
            <w:pPr>
              <w:pStyle w:val="TableParagraph"/>
              <w:rPr>
                <w:b/>
                <w:sz w:val="18"/>
              </w:rPr>
            </w:pPr>
          </w:p>
          <w:p>
            <w:pPr>
              <w:pStyle w:val="TableParagraph"/>
              <w:rPr>
                <w:b/>
                <w:sz w:val="18"/>
              </w:rPr>
            </w:pPr>
          </w:p>
          <w:p>
            <w:pPr>
              <w:pStyle w:val="TableParagraph"/>
              <w:spacing w:before="117"/>
              <w:rPr>
                <w:b/>
                <w:sz w:val="18"/>
              </w:rPr>
            </w:pPr>
          </w:p>
          <w:p>
            <w:pPr>
              <w:pStyle w:val="TableParagraph"/>
              <w:spacing w:before="1"/>
              <w:ind w:left="12" w:right="9"/>
              <w:jc w:val="center"/>
              <w:rPr>
                <w:sz w:val="18"/>
              </w:rPr>
            </w:pPr>
            <w:r>
              <w:rPr>
                <w:spacing w:val="-10"/>
                <w:sz w:val="18"/>
              </w:rPr>
              <w:t>6</w:t>
            </w:r>
          </w:p>
        </w:tc>
        <w:tc>
          <w:tcPr>
            <w:tcW w:w="1138" w:type="dxa"/>
          </w:tcPr>
          <w:p>
            <w:pPr>
              <w:pStyle w:val="TableParagraph"/>
              <w:rPr>
                <w:rFonts w:ascii="Times New Roman"/>
                <w:sz w:val="18"/>
              </w:rPr>
            </w:pPr>
          </w:p>
        </w:tc>
        <w:tc>
          <w:tcPr>
            <w:tcW w:w="1416" w:type="dxa"/>
          </w:tcPr>
          <w:p>
            <w:pPr>
              <w:pStyle w:val="TableParagraph"/>
              <w:rPr>
                <w:b/>
                <w:sz w:val="18"/>
              </w:rPr>
            </w:pPr>
          </w:p>
          <w:p>
            <w:pPr>
              <w:pStyle w:val="TableParagraph"/>
              <w:rPr>
                <w:b/>
                <w:sz w:val="18"/>
              </w:rPr>
            </w:pPr>
          </w:p>
          <w:p>
            <w:pPr>
              <w:pStyle w:val="TableParagraph"/>
              <w:spacing w:before="117"/>
              <w:rPr>
                <w:b/>
                <w:sz w:val="18"/>
              </w:rPr>
            </w:pPr>
          </w:p>
          <w:p>
            <w:pPr>
              <w:pStyle w:val="TableParagraph"/>
              <w:spacing w:before="1"/>
              <w:ind w:left="17" w:right="15"/>
              <w:jc w:val="center"/>
              <w:rPr>
                <w:sz w:val="18"/>
              </w:rPr>
            </w:pPr>
            <w:r>
              <w:rPr>
                <w:spacing w:val="-5"/>
                <w:sz w:val="18"/>
              </w:rPr>
              <w:t>12</w:t>
            </w:r>
          </w:p>
        </w:tc>
        <w:tc>
          <w:tcPr>
            <w:tcW w:w="1133" w:type="dxa"/>
          </w:tcPr>
          <w:p>
            <w:pPr>
              <w:pStyle w:val="TableParagraph"/>
              <w:rPr>
                <w:rFonts w:ascii="Times New Roman"/>
                <w:sz w:val="18"/>
              </w:rPr>
            </w:pPr>
          </w:p>
        </w:tc>
        <w:tc>
          <w:tcPr>
            <w:tcW w:w="1416" w:type="dxa"/>
          </w:tcPr>
          <w:p>
            <w:pPr>
              <w:pStyle w:val="TableParagraph"/>
              <w:rPr>
                <w:b/>
                <w:sz w:val="18"/>
              </w:rPr>
            </w:pPr>
          </w:p>
          <w:p>
            <w:pPr>
              <w:pStyle w:val="TableParagraph"/>
              <w:rPr>
                <w:b/>
                <w:sz w:val="18"/>
              </w:rPr>
            </w:pPr>
          </w:p>
          <w:p>
            <w:pPr>
              <w:pStyle w:val="TableParagraph"/>
              <w:spacing w:before="117"/>
              <w:rPr>
                <w:b/>
                <w:sz w:val="18"/>
              </w:rPr>
            </w:pPr>
          </w:p>
          <w:p>
            <w:pPr>
              <w:pStyle w:val="TableParagraph"/>
              <w:spacing w:before="1"/>
              <w:ind w:left="17" w:right="5"/>
              <w:jc w:val="center"/>
              <w:rPr>
                <w:sz w:val="18"/>
              </w:rPr>
            </w:pPr>
            <w:r>
              <w:rPr>
                <w:spacing w:val="-5"/>
                <w:sz w:val="18"/>
              </w:rPr>
              <w:t>18</w:t>
            </w:r>
          </w:p>
        </w:tc>
        <w:tc>
          <w:tcPr>
            <w:tcW w:w="1133"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spacing w:before="117"/>
              <w:rPr>
                <w:b/>
                <w:sz w:val="18"/>
              </w:rPr>
            </w:pPr>
          </w:p>
          <w:p>
            <w:pPr>
              <w:pStyle w:val="TableParagraph"/>
              <w:spacing w:before="1"/>
              <w:ind w:left="9"/>
              <w:jc w:val="center"/>
              <w:rPr>
                <w:sz w:val="18"/>
              </w:rPr>
            </w:pPr>
            <w:r>
              <w:rPr>
                <w:spacing w:val="-5"/>
                <w:sz w:val="18"/>
              </w:rPr>
              <w:t>24</w:t>
            </w:r>
          </w:p>
        </w:tc>
        <w:tc>
          <w:tcPr>
            <w:tcW w:w="1134" w:type="dxa"/>
          </w:tcPr>
          <w:p>
            <w:pPr>
              <w:pStyle w:val="TableParagraph"/>
              <w:rPr>
                <w:rFonts w:ascii="Times New Roman"/>
                <w:sz w:val="18"/>
              </w:rPr>
            </w:pPr>
          </w:p>
        </w:tc>
      </w:tr>
      <w:tr>
        <w:trPr>
          <w:trHeight w:val="302" w:hRule="atLeast"/>
        </w:trPr>
        <w:tc>
          <w:tcPr>
            <w:tcW w:w="14458" w:type="dxa"/>
            <w:gridSpan w:val="10"/>
            <w:shd w:val="clear" w:color="auto" w:fill="EFF8F9"/>
          </w:tcPr>
          <w:p>
            <w:pPr>
              <w:pStyle w:val="TableParagraph"/>
              <w:spacing w:before="47"/>
              <w:ind w:left="72"/>
              <w:rPr>
                <w:b/>
                <w:sz w:val="18"/>
              </w:rPr>
            </w:pPr>
            <w:r>
              <w:rPr>
                <w:b/>
                <w:sz w:val="18"/>
              </w:rPr>
              <w:t>Producto</w:t>
            </w:r>
            <w:r>
              <w:rPr>
                <w:b/>
                <w:spacing w:val="-7"/>
                <w:sz w:val="18"/>
              </w:rPr>
              <w:t> </w:t>
            </w:r>
            <w:r>
              <w:rPr>
                <w:b/>
                <w:sz w:val="18"/>
              </w:rPr>
              <w:t>2.47:</w:t>
            </w:r>
            <w:r>
              <w:rPr>
                <w:b/>
                <w:spacing w:val="40"/>
                <w:sz w:val="18"/>
              </w:rPr>
              <w:t> </w:t>
            </w:r>
            <w:r>
              <w:rPr>
                <w:b/>
                <w:sz w:val="18"/>
              </w:rPr>
              <w:t>Gestiones</w:t>
            </w:r>
            <w:r>
              <w:rPr>
                <w:b/>
                <w:spacing w:val="-12"/>
                <w:sz w:val="18"/>
              </w:rPr>
              <w:t> </w:t>
            </w:r>
            <w:r>
              <w:rPr>
                <w:b/>
                <w:sz w:val="18"/>
              </w:rPr>
              <w:t>Operativas</w:t>
            </w:r>
            <w:r>
              <w:rPr>
                <w:b/>
                <w:spacing w:val="-6"/>
                <w:sz w:val="18"/>
              </w:rPr>
              <w:t> </w:t>
            </w:r>
            <w:r>
              <w:rPr>
                <w:b/>
                <w:sz w:val="18"/>
              </w:rPr>
              <w:t>de</w:t>
            </w:r>
            <w:r>
              <w:rPr>
                <w:b/>
                <w:spacing w:val="-7"/>
                <w:sz w:val="18"/>
              </w:rPr>
              <w:t> </w:t>
            </w:r>
            <w:r>
              <w:rPr>
                <w:b/>
                <w:sz w:val="18"/>
              </w:rPr>
              <w:t>Administración</w:t>
            </w:r>
            <w:r>
              <w:rPr>
                <w:b/>
                <w:spacing w:val="-7"/>
                <w:sz w:val="18"/>
              </w:rPr>
              <w:t> </w:t>
            </w:r>
            <w:r>
              <w:rPr>
                <w:b/>
                <w:spacing w:val="-2"/>
                <w:sz w:val="18"/>
              </w:rPr>
              <w:t>Tributaria</w:t>
            </w:r>
          </w:p>
        </w:tc>
      </w:tr>
      <w:tr>
        <w:trPr>
          <w:trHeight w:val="1036" w:hRule="atLeast"/>
        </w:trPr>
        <w:tc>
          <w:tcPr>
            <w:tcW w:w="2747" w:type="dxa"/>
          </w:tcPr>
          <w:p>
            <w:pPr>
              <w:pStyle w:val="TableParagraph"/>
              <w:spacing w:before="104"/>
              <w:ind w:left="72" w:right="174"/>
              <w:rPr>
                <w:sz w:val="18"/>
              </w:rPr>
            </w:pPr>
            <w:r>
              <w:rPr>
                <w:b/>
                <w:sz w:val="18"/>
              </w:rPr>
              <w:t>Actividad PAC 2.47.1: </w:t>
            </w:r>
            <w:r>
              <w:rPr>
                <w:sz w:val="18"/>
              </w:rPr>
              <w:t>Realizar mensualmente el proceso</w:t>
            </w:r>
            <w:r>
              <w:rPr>
                <w:spacing w:val="-7"/>
                <w:sz w:val="18"/>
              </w:rPr>
              <w:t> </w:t>
            </w:r>
            <w:r>
              <w:rPr>
                <w:sz w:val="18"/>
              </w:rPr>
              <w:t>para</w:t>
            </w:r>
            <w:r>
              <w:rPr>
                <w:spacing w:val="-11"/>
                <w:sz w:val="18"/>
              </w:rPr>
              <w:t> </w:t>
            </w:r>
            <w:r>
              <w:rPr>
                <w:sz w:val="18"/>
              </w:rPr>
              <w:t>la</w:t>
            </w:r>
            <w:r>
              <w:rPr>
                <w:spacing w:val="-7"/>
                <w:sz w:val="18"/>
              </w:rPr>
              <w:t> </w:t>
            </w:r>
            <w:r>
              <w:rPr>
                <w:sz w:val="18"/>
              </w:rPr>
              <w:t>depuración</w:t>
            </w:r>
            <w:r>
              <w:rPr>
                <w:spacing w:val="-6"/>
                <w:sz w:val="18"/>
              </w:rPr>
              <w:t> </w:t>
            </w:r>
            <w:r>
              <w:rPr>
                <w:sz w:val="18"/>
              </w:rPr>
              <w:t>de la cuenta por cobrar.</w:t>
            </w:r>
          </w:p>
        </w:tc>
        <w:tc>
          <w:tcPr>
            <w:tcW w:w="1431" w:type="dxa"/>
          </w:tcPr>
          <w:p>
            <w:pPr>
              <w:pStyle w:val="TableParagraph"/>
              <w:spacing w:line="242" w:lineRule="auto"/>
              <w:ind w:left="71"/>
              <w:rPr>
                <w:sz w:val="18"/>
              </w:rPr>
            </w:pPr>
            <w:r>
              <w:rPr>
                <w:sz w:val="18"/>
              </w:rPr>
              <w:t>Cantidad de casos</w:t>
            </w:r>
            <w:r>
              <w:rPr>
                <w:spacing w:val="-13"/>
                <w:sz w:val="18"/>
              </w:rPr>
              <w:t> </w:t>
            </w:r>
            <w:r>
              <w:rPr>
                <w:sz w:val="18"/>
              </w:rPr>
              <w:t>aplicados en</w:t>
            </w:r>
            <w:r>
              <w:rPr>
                <w:spacing w:val="-4"/>
                <w:sz w:val="18"/>
              </w:rPr>
              <w:t> </w:t>
            </w:r>
            <w:r>
              <w:rPr>
                <w:sz w:val="18"/>
              </w:rPr>
              <w:t>el</w:t>
            </w:r>
            <w:r>
              <w:rPr>
                <w:spacing w:val="-5"/>
                <w:sz w:val="18"/>
              </w:rPr>
              <w:t> </w:t>
            </w:r>
            <w:r>
              <w:rPr>
                <w:sz w:val="18"/>
              </w:rPr>
              <w:t>auxiliar</w:t>
            </w:r>
            <w:r>
              <w:rPr>
                <w:spacing w:val="-3"/>
                <w:sz w:val="18"/>
              </w:rPr>
              <w:t> </w:t>
            </w:r>
            <w:r>
              <w:rPr>
                <w:sz w:val="18"/>
              </w:rPr>
              <w:t>de la cuenta por</w:t>
            </w:r>
          </w:p>
          <w:p>
            <w:pPr>
              <w:pStyle w:val="TableParagraph"/>
              <w:spacing w:line="182" w:lineRule="exact"/>
              <w:ind w:left="71"/>
              <w:rPr>
                <w:sz w:val="18"/>
              </w:rPr>
            </w:pPr>
            <w:r>
              <w:rPr>
                <w:spacing w:val="-2"/>
                <w:sz w:val="18"/>
              </w:rPr>
              <w:t>cobrar.</w:t>
            </w:r>
          </w:p>
        </w:tc>
        <w:tc>
          <w:tcPr>
            <w:tcW w:w="1489" w:type="dxa"/>
          </w:tcPr>
          <w:p>
            <w:pPr>
              <w:pStyle w:val="TableParagraph"/>
              <w:spacing w:before="204"/>
              <w:rPr>
                <w:b/>
                <w:sz w:val="18"/>
              </w:rPr>
            </w:pPr>
          </w:p>
          <w:p>
            <w:pPr>
              <w:pStyle w:val="TableParagraph"/>
              <w:ind w:left="12"/>
              <w:jc w:val="center"/>
              <w:rPr>
                <w:sz w:val="18"/>
              </w:rPr>
            </w:pPr>
            <w:r>
              <w:rPr>
                <w:sz w:val="18"/>
              </w:rPr>
              <w:t>5</w:t>
            </w:r>
            <w:r>
              <w:rPr>
                <w:spacing w:val="2"/>
                <w:sz w:val="18"/>
              </w:rPr>
              <w:t> </w:t>
            </w:r>
            <w:r>
              <w:rPr>
                <w:spacing w:val="-5"/>
                <w:sz w:val="18"/>
              </w:rPr>
              <w:t>000</w:t>
            </w:r>
          </w:p>
        </w:tc>
        <w:tc>
          <w:tcPr>
            <w:tcW w:w="1138" w:type="dxa"/>
          </w:tcPr>
          <w:p>
            <w:pPr>
              <w:pStyle w:val="TableParagraph"/>
              <w:rPr>
                <w:rFonts w:ascii="Times New Roman"/>
                <w:sz w:val="18"/>
              </w:rPr>
            </w:pPr>
          </w:p>
        </w:tc>
        <w:tc>
          <w:tcPr>
            <w:tcW w:w="1416" w:type="dxa"/>
          </w:tcPr>
          <w:p>
            <w:pPr>
              <w:pStyle w:val="TableParagraph"/>
              <w:spacing w:before="204"/>
              <w:rPr>
                <w:b/>
                <w:sz w:val="18"/>
              </w:rPr>
            </w:pPr>
          </w:p>
          <w:p>
            <w:pPr>
              <w:pStyle w:val="TableParagraph"/>
              <w:ind w:left="17" w:right="14"/>
              <w:jc w:val="center"/>
              <w:rPr>
                <w:sz w:val="18"/>
              </w:rPr>
            </w:pPr>
            <w:r>
              <w:rPr>
                <w:sz w:val="18"/>
              </w:rPr>
              <w:t>10</w:t>
            </w:r>
            <w:r>
              <w:rPr>
                <w:spacing w:val="2"/>
                <w:sz w:val="18"/>
              </w:rPr>
              <w:t> </w:t>
            </w:r>
            <w:r>
              <w:rPr>
                <w:spacing w:val="-5"/>
                <w:sz w:val="18"/>
              </w:rPr>
              <w:t>000</w:t>
            </w:r>
          </w:p>
        </w:tc>
        <w:tc>
          <w:tcPr>
            <w:tcW w:w="1133" w:type="dxa"/>
          </w:tcPr>
          <w:p>
            <w:pPr>
              <w:pStyle w:val="TableParagraph"/>
              <w:rPr>
                <w:rFonts w:ascii="Times New Roman"/>
                <w:sz w:val="18"/>
              </w:rPr>
            </w:pPr>
          </w:p>
        </w:tc>
        <w:tc>
          <w:tcPr>
            <w:tcW w:w="1416" w:type="dxa"/>
          </w:tcPr>
          <w:p>
            <w:pPr>
              <w:pStyle w:val="TableParagraph"/>
              <w:spacing w:before="204"/>
              <w:rPr>
                <w:b/>
                <w:sz w:val="18"/>
              </w:rPr>
            </w:pPr>
          </w:p>
          <w:p>
            <w:pPr>
              <w:pStyle w:val="TableParagraph"/>
              <w:ind w:left="17" w:right="4"/>
              <w:jc w:val="center"/>
              <w:rPr>
                <w:sz w:val="18"/>
              </w:rPr>
            </w:pPr>
            <w:r>
              <w:rPr>
                <w:sz w:val="18"/>
              </w:rPr>
              <w:t>15</w:t>
            </w:r>
            <w:r>
              <w:rPr>
                <w:spacing w:val="2"/>
                <w:sz w:val="18"/>
              </w:rPr>
              <w:t> </w:t>
            </w:r>
            <w:r>
              <w:rPr>
                <w:spacing w:val="-5"/>
                <w:sz w:val="18"/>
              </w:rPr>
              <w:t>000</w:t>
            </w:r>
          </w:p>
        </w:tc>
        <w:tc>
          <w:tcPr>
            <w:tcW w:w="1133" w:type="dxa"/>
          </w:tcPr>
          <w:p>
            <w:pPr>
              <w:pStyle w:val="TableParagraph"/>
              <w:rPr>
                <w:rFonts w:ascii="Times New Roman"/>
                <w:sz w:val="18"/>
              </w:rPr>
            </w:pPr>
          </w:p>
        </w:tc>
        <w:tc>
          <w:tcPr>
            <w:tcW w:w="1421" w:type="dxa"/>
          </w:tcPr>
          <w:p>
            <w:pPr>
              <w:pStyle w:val="TableParagraph"/>
              <w:spacing w:before="204"/>
              <w:rPr>
                <w:b/>
                <w:sz w:val="18"/>
              </w:rPr>
            </w:pPr>
          </w:p>
          <w:p>
            <w:pPr>
              <w:pStyle w:val="TableParagraph"/>
              <w:ind w:left="10"/>
              <w:jc w:val="center"/>
              <w:rPr>
                <w:sz w:val="18"/>
              </w:rPr>
            </w:pPr>
            <w:r>
              <w:rPr>
                <w:sz w:val="18"/>
              </w:rPr>
              <w:t>20</w:t>
            </w:r>
            <w:r>
              <w:rPr>
                <w:spacing w:val="2"/>
                <w:sz w:val="18"/>
              </w:rPr>
              <w:t> </w:t>
            </w:r>
            <w:r>
              <w:rPr>
                <w:spacing w:val="-5"/>
                <w:sz w:val="18"/>
              </w:rPr>
              <w:t>000</w:t>
            </w:r>
          </w:p>
        </w:tc>
        <w:tc>
          <w:tcPr>
            <w:tcW w:w="1134" w:type="dxa"/>
          </w:tcPr>
          <w:p>
            <w:pPr>
              <w:pStyle w:val="TableParagraph"/>
              <w:rPr>
                <w:rFonts w:ascii="Times New Roman"/>
                <w:sz w:val="18"/>
              </w:rPr>
            </w:pPr>
          </w:p>
        </w:tc>
      </w:tr>
      <w:tr>
        <w:trPr>
          <w:trHeight w:val="1439" w:hRule="atLeast"/>
        </w:trPr>
        <w:tc>
          <w:tcPr>
            <w:tcW w:w="2747" w:type="dxa"/>
          </w:tcPr>
          <w:p>
            <w:pPr>
              <w:pStyle w:val="TableParagraph"/>
              <w:spacing w:before="200"/>
              <w:ind w:left="72" w:right="64"/>
              <w:rPr>
                <w:sz w:val="18"/>
              </w:rPr>
            </w:pPr>
            <w:r>
              <w:rPr>
                <w:b/>
                <w:sz w:val="18"/>
              </w:rPr>
              <w:t>Actividad PAC 2.47.2:</w:t>
            </w:r>
            <w:r>
              <w:rPr>
                <w:b/>
                <w:spacing w:val="40"/>
                <w:sz w:val="18"/>
              </w:rPr>
              <w:t> </w:t>
            </w:r>
            <w:r>
              <w:rPr>
                <w:sz w:val="18"/>
              </w:rPr>
              <w:t>Construir la propuesta de un sistema</w:t>
            </w:r>
            <w:r>
              <w:rPr>
                <w:spacing w:val="-8"/>
                <w:sz w:val="18"/>
              </w:rPr>
              <w:t> </w:t>
            </w:r>
            <w:r>
              <w:rPr>
                <w:sz w:val="18"/>
              </w:rPr>
              <w:t>para</w:t>
            </w:r>
            <w:r>
              <w:rPr>
                <w:spacing w:val="-8"/>
                <w:sz w:val="18"/>
              </w:rPr>
              <w:t> </w:t>
            </w:r>
            <w:r>
              <w:rPr>
                <w:sz w:val="18"/>
              </w:rPr>
              <w:t>la</w:t>
            </w:r>
            <w:r>
              <w:rPr>
                <w:spacing w:val="-4"/>
                <w:sz w:val="18"/>
              </w:rPr>
              <w:t> </w:t>
            </w:r>
            <w:r>
              <w:rPr>
                <w:sz w:val="18"/>
              </w:rPr>
              <w:t>gestión</w:t>
            </w:r>
            <w:r>
              <w:rPr>
                <w:spacing w:val="-8"/>
                <w:sz w:val="18"/>
              </w:rPr>
              <w:t> </w:t>
            </w:r>
            <w:r>
              <w:rPr>
                <w:sz w:val="18"/>
              </w:rPr>
              <w:t>de</w:t>
            </w:r>
            <w:r>
              <w:rPr>
                <w:spacing w:val="-8"/>
                <w:sz w:val="18"/>
              </w:rPr>
              <w:t> </w:t>
            </w:r>
            <w:r>
              <w:rPr>
                <w:sz w:val="18"/>
              </w:rPr>
              <w:t>cobro del impuesto a moteles y</w:t>
            </w:r>
            <w:r>
              <w:rPr>
                <w:spacing w:val="40"/>
                <w:sz w:val="18"/>
              </w:rPr>
              <w:t> </w:t>
            </w:r>
            <w:r>
              <w:rPr>
                <w:sz w:val="18"/>
              </w:rPr>
              <w:t>lugares afines. (SIAT Moteles)</w:t>
            </w:r>
          </w:p>
        </w:tc>
        <w:tc>
          <w:tcPr>
            <w:tcW w:w="1431" w:type="dxa"/>
          </w:tcPr>
          <w:p>
            <w:pPr>
              <w:pStyle w:val="TableParagraph"/>
              <w:spacing w:before="95"/>
              <w:ind w:left="71" w:right="55"/>
              <w:rPr>
                <w:sz w:val="18"/>
              </w:rPr>
            </w:pPr>
            <w:r>
              <w:rPr>
                <w:sz w:val="18"/>
              </w:rPr>
              <w:t>Porcentaje de avance de elaboración de la</w:t>
            </w:r>
            <w:r>
              <w:rPr>
                <w:spacing w:val="-15"/>
                <w:sz w:val="18"/>
              </w:rPr>
              <w:t> </w:t>
            </w:r>
            <w:r>
              <w:rPr>
                <w:sz w:val="18"/>
              </w:rPr>
              <w:t>propuesta</w:t>
            </w:r>
            <w:r>
              <w:rPr>
                <w:spacing w:val="-12"/>
                <w:sz w:val="18"/>
              </w:rPr>
              <w:t> </w:t>
            </w:r>
            <w:r>
              <w:rPr>
                <w:sz w:val="18"/>
              </w:rPr>
              <w:t>del sistema SIAT - </w:t>
            </w:r>
            <w:r>
              <w:rPr>
                <w:spacing w:val="-2"/>
                <w:sz w:val="18"/>
              </w:rPr>
              <w:t>Moteles.</w:t>
            </w:r>
          </w:p>
        </w:tc>
        <w:tc>
          <w:tcPr>
            <w:tcW w:w="1489" w:type="dxa"/>
          </w:tcPr>
          <w:p>
            <w:pPr>
              <w:pStyle w:val="TableParagraph"/>
              <w:rPr>
                <w:rFonts w:ascii="Times New Roman"/>
                <w:sz w:val="18"/>
              </w:rPr>
            </w:pPr>
          </w:p>
        </w:tc>
        <w:tc>
          <w:tcPr>
            <w:tcW w:w="1138" w:type="dxa"/>
          </w:tcPr>
          <w:p>
            <w:pPr>
              <w:pStyle w:val="TableParagraph"/>
              <w:rPr>
                <w:rFonts w:ascii="Times New Roman"/>
                <w:sz w:val="18"/>
              </w:rPr>
            </w:pPr>
          </w:p>
        </w:tc>
        <w:tc>
          <w:tcPr>
            <w:tcW w:w="1416" w:type="dxa"/>
          </w:tcPr>
          <w:p>
            <w:pPr>
              <w:pStyle w:val="TableParagraph"/>
              <w:rPr>
                <w:rFonts w:ascii="Times New Roman"/>
                <w:sz w:val="18"/>
              </w:rPr>
            </w:pPr>
          </w:p>
        </w:tc>
        <w:tc>
          <w:tcPr>
            <w:tcW w:w="1133" w:type="dxa"/>
          </w:tcPr>
          <w:p>
            <w:pPr>
              <w:pStyle w:val="TableParagraph"/>
              <w:rPr>
                <w:rFonts w:ascii="Times New Roman"/>
                <w:sz w:val="18"/>
              </w:rPr>
            </w:pPr>
          </w:p>
        </w:tc>
        <w:tc>
          <w:tcPr>
            <w:tcW w:w="1416" w:type="dxa"/>
          </w:tcPr>
          <w:p>
            <w:pPr>
              <w:pStyle w:val="TableParagraph"/>
              <w:rPr>
                <w:rFonts w:ascii="Times New Roman"/>
                <w:sz w:val="18"/>
              </w:rPr>
            </w:pPr>
          </w:p>
        </w:tc>
        <w:tc>
          <w:tcPr>
            <w:tcW w:w="1133" w:type="dxa"/>
          </w:tcPr>
          <w:p>
            <w:pPr>
              <w:pStyle w:val="TableParagraph"/>
              <w:rPr>
                <w:rFonts w:ascii="Times New Roman"/>
                <w:sz w:val="18"/>
              </w:rPr>
            </w:pPr>
          </w:p>
        </w:tc>
        <w:tc>
          <w:tcPr>
            <w:tcW w:w="1421" w:type="dxa"/>
          </w:tcPr>
          <w:p>
            <w:pPr>
              <w:pStyle w:val="TableParagraph"/>
              <w:rPr>
                <w:b/>
                <w:sz w:val="18"/>
              </w:rPr>
            </w:pPr>
          </w:p>
          <w:p>
            <w:pPr>
              <w:pStyle w:val="TableParagraph"/>
              <w:spacing w:before="199"/>
              <w:rPr>
                <w:b/>
                <w:sz w:val="18"/>
              </w:rPr>
            </w:pPr>
          </w:p>
          <w:p>
            <w:pPr>
              <w:pStyle w:val="TableParagraph"/>
              <w:ind w:left="7"/>
              <w:jc w:val="center"/>
              <w:rPr>
                <w:sz w:val="18"/>
              </w:rPr>
            </w:pPr>
            <w:r>
              <w:rPr>
                <w:spacing w:val="-5"/>
                <w:sz w:val="18"/>
              </w:rPr>
              <w:t>50%</w:t>
            </w:r>
          </w:p>
        </w:tc>
        <w:tc>
          <w:tcPr>
            <w:tcW w:w="1134"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9"/>
        <w:gridCol w:w="1407"/>
        <w:gridCol w:w="1517"/>
        <w:gridCol w:w="1249"/>
        <w:gridCol w:w="1618"/>
        <w:gridCol w:w="1474"/>
        <w:gridCol w:w="1561"/>
        <w:gridCol w:w="990"/>
        <w:gridCol w:w="1422"/>
        <w:gridCol w:w="1135"/>
      </w:tblGrid>
      <w:tr>
        <w:trPr>
          <w:trHeight w:val="282" w:hRule="atLeast"/>
        </w:trPr>
        <w:tc>
          <w:tcPr>
            <w:tcW w:w="2089" w:type="dxa"/>
            <w:vMerge w:val="restart"/>
            <w:shd w:val="clear" w:color="auto" w:fill="D9D9D9"/>
          </w:tcPr>
          <w:p>
            <w:pPr>
              <w:pStyle w:val="TableParagraph"/>
              <w:spacing w:before="75"/>
              <w:rPr>
                <w:b/>
                <w:sz w:val="18"/>
              </w:rPr>
            </w:pPr>
          </w:p>
          <w:p>
            <w:pPr>
              <w:pStyle w:val="TableParagraph"/>
              <w:ind w:left="77"/>
              <w:rPr>
                <w:b/>
                <w:sz w:val="18"/>
              </w:rPr>
            </w:pPr>
            <w:r>
              <w:rPr>
                <w:b/>
                <w:sz w:val="18"/>
              </w:rPr>
              <w:t>Objetivos</w:t>
            </w:r>
            <w:r>
              <w:rPr>
                <w:b/>
                <w:spacing w:val="-5"/>
                <w:sz w:val="18"/>
              </w:rPr>
              <w:t> </w:t>
            </w:r>
            <w:r>
              <w:rPr>
                <w:b/>
                <w:sz w:val="18"/>
              </w:rPr>
              <w:t>/</w:t>
            </w:r>
            <w:r>
              <w:rPr>
                <w:b/>
                <w:spacing w:val="-2"/>
                <w:sz w:val="18"/>
              </w:rPr>
              <w:t> Resultados</w:t>
            </w:r>
          </w:p>
        </w:tc>
        <w:tc>
          <w:tcPr>
            <w:tcW w:w="1407" w:type="dxa"/>
            <w:vMerge w:val="restart"/>
            <w:shd w:val="clear" w:color="auto" w:fill="D9D9D9"/>
          </w:tcPr>
          <w:p>
            <w:pPr>
              <w:pStyle w:val="TableParagraph"/>
              <w:spacing w:before="75"/>
              <w:rPr>
                <w:b/>
                <w:sz w:val="18"/>
              </w:rPr>
            </w:pPr>
          </w:p>
          <w:p>
            <w:pPr>
              <w:pStyle w:val="TableParagraph"/>
              <w:ind w:left="297"/>
              <w:rPr>
                <w:b/>
                <w:sz w:val="18"/>
              </w:rPr>
            </w:pPr>
            <w:r>
              <w:rPr>
                <w:b/>
                <w:spacing w:val="-2"/>
                <w:sz w:val="18"/>
              </w:rPr>
              <w:t>Indicador</w:t>
            </w:r>
          </w:p>
        </w:tc>
        <w:tc>
          <w:tcPr>
            <w:tcW w:w="2766" w:type="dxa"/>
            <w:gridSpan w:val="2"/>
            <w:shd w:val="clear" w:color="auto" w:fill="D9D9D9"/>
          </w:tcPr>
          <w:p>
            <w:pPr>
              <w:pStyle w:val="TableParagraph"/>
              <w:spacing w:before="37"/>
              <w:ind w:left="916"/>
              <w:rPr>
                <w:b/>
                <w:sz w:val="18"/>
              </w:rPr>
            </w:pPr>
            <w:r>
              <w:rPr>
                <w:b/>
                <w:sz w:val="18"/>
              </w:rPr>
              <w:t>I</w:t>
            </w:r>
            <w:r>
              <w:rPr>
                <w:b/>
                <w:spacing w:val="-1"/>
                <w:sz w:val="18"/>
              </w:rPr>
              <w:t> </w:t>
            </w:r>
            <w:r>
              <w:rPr>
                <w:b/>
                <w:spacing w:val="-2"/>
                <w:sz w:val="18"/>
              </w:rPr>
              <w:t>Trimestre</w:t>
            </w:r>
          </w:p>
        </w:tc>
        <w:tc>
          <w:tcPr>
            <w:tcW w:w="3092" w:type="dxa"/>
            <w:gridSpan w:val="2"/>
            <w:shd w:val="clear" w:color="auto" w:fill="D9D9D9"/>
          </w:tcPr>
          <w:p>
            <w:pPr>
              <w:pStyle w:val="TableParagraph"/>
              <w:spacing w:before="37"/>
              <w:ind w:left="12"/>
              <w:jc w:val="center"/>
              <w:rPr>
                <w:b/>
                <w:sz w:val="18"/>
              </w:rPr>
            </w:pPr>
            <w:r>
              <w:rPr>
                <w:b/>
                <w:sz w:val="18"/>
              </w:rPr>
              <w:t>II</w:t>
            </w:r>
            <w:r>
              <w:rPr>
                <w:b/>
                <w:spacing w:val="-3"/>
                <w:sz w:val="18"/>
              </w:rPr>
              <w:t> </w:t>
            </w:r>
            <w:r>
              <w:rPr>
                <w:b/>
                <w:spacing w:val="-2"/>
                <w:sz w:val="18"/>
              </w:rPr>
              <w:t>Trimestre</w:t>
            </w:r>
          </w:p>
        </w:tc>
        <w:tc>
          <w:tcPr>
            <w:tcW w:w="2551" w:type="dxa"/>
            <w:gridSpan w:val="2"/>
            <w:shd w:val="clear" w:color="auto" w:fill="D9D9D9"/>
          </w:tcPr>
          <w:p>
            <w:pPr>
              <w:pStyle w:val="TableParagraph"/>
              <w:spacing w:before="37"/>
              <w:ind w:left="762"/>
              <w:rPr>
                <w:b/>
                <w:sz w:val="18"/>
              </w:rPr>
            </w:pPr>
            <w:r>
              <w:rPr>
                <w:b/>
                <w:sz w:val="18"/>
              </w:rPr>
              <w:t>III</w:t>
            </w:r>
            <w:r>
              <w:rPr>
                <w:b/>
                <w:spacing w:val="-2"/>
                <w:sz w:val="18"/>
              </w:rPr>
              <w:t> Trimestre</w:t>
            </w:r>
          </w:p>
        </w:tc>
        <w:tc>
          <w:tcPr>
            <w:tcW w:w="2557" w:type="dxa"/>
            <w:gridSpan w:val="2"/>
            <w:shd w:val="clear" w:color="auto" w:fill="D9D9D9"/>
          </w:tcPr>
          <w:p>
            <w:pPr>
              <w:pStyle w:val="TableParagraph"/>
              <w:spacing w:before="37"/>
              <w:ind w:left="756"/>
              <w:rPr>
                <w:b/>
                <w:sz w:val="18"/>
              </w:rPr>
            </w:pPr>
            <w:r>
              <w:rPr>
                <w:b/>
                <w:sz w:val="18"/>
              </w:rPr>
              <w:t>IV</w:t>
            </w:r>
            <w:r>
              <w:rPr>
                <w:b/>
                <w:spacing w:val="-2"/>
                <w:sz w:val="18"/>
              </w:rPr>
              <w:t> Trimestre</w:t>
            </w:r>
          </w:p>
        </w:tc>
      </w:tr>
      <w:tr>
        <w:trPr>
          <w:trHeight w:val="484" w:hRule="atLeast"/>
        </w:trPr>
        <w:tc>
          <w:tcPr>
            <w:tcW w:w="2089" w:type="dxa"/>
            <w:vMerge/>
            <w:tcBorders>
              <w:top w:val="nil"/>
            </w:tcBorders>
            <w:shd w:val="clear" w:color="auto" w:fill="D9D9D9"/>
          </w:tcPr>
          <w:p>
            <w:pPr>
              <w:rPr>
                <w:sz w:val="2"/>
                <w:szCs w:val="2"/>
              </w:rPr>
            </w:pPr>
          </w:p>
        </w:tc>
        <w:tc>
          <w:tcPr>
            <w:tcW w:w="1407" w:type="dxa"/>
            <w:vMerge/>
            <w:tcBorders>
              <w:top w:val="nil"/>
            </w:tcBorders>
            <w:shd w:val="clear" w:color="auto" w:fill="D9D9D9"/>
          </w:tcPr>
          <w:p>
            <w:pPr>
              <w:rPr>
                <w:sz w:val="2"/>
                <w:szCs w:val="2"/>
              </w:rPr>
            </w:pPr>
          </w:p>
        </w:tc>
        <w:tc>
          <w:tcPr>
            <w:tcW w:w="1517" w:type="dxa"/>
            <w:shd w:val="clear" w:color="auto" w:fill="D9D9D9"/>
          </w:tcPr>
          <w:p>
            <w:pPr>
              <w:pStyle w:val="TableParagraph"/>
              <w:spacing w:line="244" w:lineRule="auto" w:before="32"/>
              <w:ind w:left="234" w:firstLine="312"/>
              <w:rPr>
                <w:b/>
                <w:sz w:val="18"/>
              </w:rPr>
            </w:pPr>
            <w:r>
              <w:rPr>
                <w:b/>
                <w:spacing w:val="-4"/>
                <w:sz w:val="18"/>
              </w:rPr>
              <w:t>Meta </w:t>
            </w:r>
            <w:r>
              <w:rPr>
                <w:b/>
                <w:spacing w:val="-2"/>
                <w:sz w:val="18"/>
              </w:rPr>
              <w:t>programada</w:t>
            </w:r>
          </w:p>
        </w:tc>
        <w:tc>
          <w:tcPr>
            <w:tcW w:w="1249" w:type="dxa"/>
            <w:shd w:val="clear" w:color="auto" w:fill="D9D9D9"/>
          </w:tcPr>
          <w:p>
            <w:pPr>
              <w:pStyle w:val="TableParagraph"/>
              <w:spacing w:before="138"/>
              <w:ind w:left="14" w:right="10"/>
              <w:jc w:val="center"/>
              <w:rPr>
                <w:b/>
                <w:sz w:val="18"/>
              </w:rPr>
            </w:pPr>
            <w:r>
              <w:rPr>
                <w:b/>
                <w:spacing w:val="-10"/>
                <w:sz w:val="18"/>
              </w:rPr>
              <w:t>¢</w:t>
            </w:r>
          </w:p>
        </w:tc>
        <w:tc>
          <w:tcPr>
            <w:tcW w:w="1618" w:type="dxa"/>
            <w:shd w:val="clear" w:color="auto" w:fill="D9D9D9"/>
          </w:tcPr>
          <w:p>
            <w:pPr>
              <w:pStyle w:val="TableParagraph"/>
              <w:spacing w:line="244" w:lineRule="auto" w:before="32"/>
              <w:ind w:left="287" w:firstLine="317"/>
              <w:rPr>
                <w:b/>
                <w:sz w:val="18"/>
              </w:rPr>
            </w:pPr>
            <w:r>
              <w:rPr>
                <w:b/>
                <w:spacing w:val="-4"/>
                <w:sz w:val="18"/>
              </w:rPr>
              <w:t>Meta </w:t>
            </w:r>
            <w:r>
              <w:rPr>
                <w:b/>
                <w:spacing w:val="-2"/>
                <w:sz w:val="18"/>
              </w:rPr>
              <w:t>programada</w:t>
            </w:r>
          </w:p>
        </w:tc>
        <w:tc>
          <w:tcPr>
            <w:tcW w:w="1474" w:type="dxa"/>
            <w:shd w:val="clear" w:color="auto" w:fill="D9D9D9"/>
          </w:tcPr>
          <w:p>
            <w:pPr>
              <w:pStyle w:val="TableParagraph"/>
              <w:spacing w:before="138"/>
              <w:ind w:left="9"/>
              <w:jc w:val="center"/>
              <w:rPr>
                <w:b/>
                <w:sz w:val="18"/>
              </w:rPr>
            </w:pPr>
            <w:r>
              <w:rPr>
                <w:b/>
                <w:spacing w:val="-10"/>
                <w:sz w:val="18"/>
              </w:rPr>
              <w:t>¢</w:t>
            </w:r>
          </w:p>
        </w:tc>
        <w:tc>
          <w:tcPr>
            <w:tcW w:w="1561" w:type="dxa"/>
            <w:shd w:val="clear" w:color="auto" w:fill="D9D9D9"/>
          </w:tcPr>
          <w:p>
            <w:pPr>
              <w:pStyle w:val="TableParagraph"/>
              <w:spacing w:line="244" w:lineRule="auto" w:before="32"/>
              <w:ind w:left="258" w:firstLine="312"/>
              <w:rPr>
                <w:b/>
                <w:sz w:val="18"/>
              </w:rPr>
            </w:pPr>
            <w:r>
              <w:rPr>
                <w:b/>
                <w:spacing w:val="-4"/>
                <w:sz w:val="18"/>
              </w:rPr>
              <w:t>Meta </w:t>
            </w:r>
            <w:r>
              <w:rPr>
                <w:b/>
                <w:spacing w:val="-2"/>
                <w:sz w:val="18"/>
              </w:rPr>
              <w:t>programada</w:t>
            </w:r>
          </w:p>
        </w:tc>
        <w:tc>
          <w:tcPr>
            <w:tcW w:w="990" w:type="dxa"/>
            <w:shd w:val="clear" w:color="auto" w:fill="D9D9D9"/>
          </w:tcPr>
          <w:p>
            <w:pPr>
              <w:pStyle w:val="TableParagraph"/>
              <w:spacing w:before="138"/>
              <w:ind w:left="11"/>
              <w:jc w:val="center"/>
              <w:rPr>
                <w:b/>
                <w:sz w:val="18"/>
              </w:rPr>
            </w:pPr>
            <w:r>
              <w:rPr>
                <w:b/>
                <w:spacing w:val="-10"/>
                <w:sz w:val="18"/>
              </w:rPr>
              <w:t>¢</w:t>
            </w:r>
          </w:p>
        </w:tc>
        <w:tc>
          <w:tcPr>
            <w:tcW w:w="1422" w:type="dxa"/>
            <w:shd w:val="clear" w:color="auto" w:fill="D9D9D9"/>
          </w:tcPr>
          <w:p>
            <w:pPr>
              <w:pStyle w:val="TableParagraph"/>
              <w:spacing w:line="244" w:lineRule="auto" w:before="32"/>
              <w:ind w:left="185" w:firstLine="316"/>
              <w:rPr>
                <w:b/>
                <w:sz w:val="18"/>
              </w:rPr>
            </w:pPr>
            <w:r>
              <w:rPr>
                <w:b/>
                <w:spacing w:val="-4"/>
                <w:sz w:val="18"/>
              </w:rPr>
              <w:t>Meta </w:t>
            </w:r>
            <w:r>
              <w:rPr>
                <w:b/>
                <w:spacing w:val="-2"/>
                <w:sz w:val="18"/>
              </w:rPr>
              <w:t>programada</w:t>
            </w:r>
          </w:p>
        </w:tc>
        <w:tc>
          <w:tcPr>
            <w:tcW w:w="1135" w:type="dxa"/>
            <w:shd w:val="clear" w:color="auto" w:fill="D9D9D9"/>
          </w:tcPr>
          <w:p>
            <w:pPr>
              <w:pStyle w:val="TableParagraph"/>
              <w:spacing w:before="138"/>
              <w:ind w:left="7"/>
              <w:jc w:val="center"/>
              <w:rPr>
                <w:b/>
                <w:sz w:val="18"/>
              </w:rPr>
            </w:pPr>
            <w:r>
              <w:rPr>
                <w:b/>
                <w:spacing w:val="-10"/>
                <w:sz w:val="18"/>
              </w:rPr>
              <w:t>¢</w:t>
            </w:r>
          </w:p>
        </w:tc>
      </w:tr>
      <w:tr>
        <w:trPr>
          <w:trHeight w:val="657" w:hRule="atLeast"/>
        </w:trPr>
        <w:tc>
          <w:tcPr>
            <w:tcW w:w="14462" w:type="dxa"/>
            <w:gridSpan w:val="10"/>
            <w:shd w:val="clear" w:color="auto" w:fill="F1F1F1"/>
          </w:tcPr>
          <w:p>
            <w:pPr>
              <w:pStyle w:val="TableParagraph"/>
              <w:spacing w:before="119"/>
              <w:ind w:left="72" w:right="90"/>
              <w:rPr>
                <w:b/>
                <w:sz w:val="18"/>
              </w:rPr>
            </w:pPr>
            <w:r>
              <w:rPr>
                <w:b/>
                <w:sz w:val="18"/>
              </w:rPr>
              <w:t>Efecto:</w:t>
            </w:r>
            <w:r>
              <w:rPr>
                <w:b/>
                <w:spacing w:val="-2"/>
                <w:sz w:val="18"/>
              </w:rPr>
              <w:t> </w:t>
            </w:r>
            <w:r>
              <w:rPr>
                <w:b/>
                <w:sz w:val="18"/>
              </w:rPr>
              <w:t>Realizar una efectiva gestión</w:t>
            </w:r>
            <w:r>
              <w:rPr>
                <w:b/>
                <w:spacing w:val="-5"/>
                <w:sz w:val="18"/>
              </w:rPr>
              <w:t> </w:t>
            </w:r>
            <w:r>
              <w:rPr>
                <w:b/>
                <w:sz w:val="18"/>
              </w:rPr>
              <w:t>de</w:t>
            </w:r>
            <w:r>
              <w:rPr>
                <w:b/>
                <w:spacing w:val="-4"/>
                <w:sz w:val="18"/>
              </w:rPr>
              <w:t> </w:t>
            </w:r>
            <w:r>
              <w:rPr>
                <w:b/>
                <w:sz w:val="18"/>
              </w:rPr>
              <w:t>los</w:t>
            </w:r>
            <w:r>
              <w:rPr>
                <w:b/>
                <w:spacing w:val="-4"/>
                <w:sz w:val="18"/>
              </w:rPr>
              <w:t> </w:t>
            </w:r>
            <w:r>
              <w:rPr>
                <w:b/>
                <w:sz w:val="18"/>
              </w:rPr>
              <w:t>recursos</w:t>
            </w:r>
            <w:r>
              <w:rPr>
                <w:b/>
                <w:spacing w:val="-4"/>
                <w:sz w:val="18"/>
              </w:rPr>
              <w:t> </w:t>
            </w:r>
            <w:r>
              <w:rPr>
                <w:b/>
                <w:sz w:val="18"/>
              </w:rPr>
              <w:t>humanos,</w:t>
            </w:r>
            <w:r>
              <w:rPr>
                <w:b/>
                <w:spacing w:val="-2"/>
                <w:sz w:val="18"/>
              </w:rPr>
              <w:t> </w:t>
            </w:r>
            <w:r>
              <w:rPr>
                <w:b/>
                <w:sz w:val="18"/>
              </w:rPr>
              <w:t>financieros,</w:t>
            </w:r>
            <w:r>
              <w:rPr>
                <w:b/>
                <w:spacing w:val="-2"/>
                <w:sz w:val="18"/>
              </w:rPr>
              <w:t> </w:t>
            </w:r>
            <w:r>
              <w:rPr>
                <w:b/>
                <w:sz w:val="18"/>
              </w:rPr>
              <w:t>materiales</w:t>
            </w:r>
            <w:r>
              <w:rPr>
                <w:b/>
                <w:spacing w:val="-4"/>
                <w:sz w:val="18"/>
              </w:rPr>
              <w:t> </w:t>
            </w:r>
            <w:r>
              <w:rPr>
                <w:b/>
                <w:sz w:val="18"/>
              </w:rPr>
              <w:t>y</w:t>
            </w:r>
            <w:r>
              <w:rPr>
                <w:b/>
                <w:spacing w:val="-4"/>
                <w:sz w:val="18"/>
              </w:rPr>
              <w:t> </w:t>
            </w:r>
            <w:r>
              <w:rPr>
                <w:b/>
                <w:sz w:val="18"/>
              </w:rPr>
              <w:t>tecnológicos, con el</w:t>
            </w:r>
            <w:r>
              <w:rPr>
                <w:b/>
                <w:spacing w:val="-2"/>
                <w:sz w:val="18"/>
              </w:rPr>
              <w:t> </w:t>
            </w:r>
            <w:r>
              <w:rPr>
                <w:b/>
                <w:sz w:val="18"/>
              </w:rPr>
              <w:t>fin</w:t>
            </w:r>
            <w:r>
              <w:rPr>
                <w:b/>
                <w:spacing w:val="-5"/>
                <w:sz w:val="18"/>
              </w:rPr>
              <w:t> </w:t>
            </w:r>
            <w:r>
              <w:rPr>
                <w:b/>
                <w:sz w:val="18"/>
              </w:rPr>
              <w:t>de contribuir</w:t>
            </w:r>
            <w:r>
              <w:rPr>
                <w:b/>
                <w:spacing w:val="-3"/>
                <w:sz w:val="18"/>
              </w:rPr>
              <w:t> </w:t>
            </w:r>
            <w:r>
              <w:rPr>
                <w:b/>
                <w:sz w:val="18"/>
              </w:rPr>
              <w:t>con</w:t>
            </w:r>
            <w:r>
              <w:rPr>
                <w:b/>
                <w:spacing w:val="-5"/>
                <w:sz w:val="18"/>
              </w:rPr>
              <w:t> </w:t>
            </w:r>
            <w:r>
              <w:rPr>
                <w:b/>
                <w:sz w:val="18"/>
              </w:rPr>
              <w:t>la</w:t>
            </w:r>
            <w:r>
              <w:rPr>
                <w:b/>
                <w:spacing w:val="-4"/>
                <w:sz w:val="18"/>
              </w:rPr>
              <w:t> </w:t>
            </w:r>
            <w:r>
              <w:rPr>
                <w:b/>
                <w:sz w:val="18"/>
              </w:rPr>
              <w:t>institucionalización de</w:t>
            </w:r>
            <w:r>
              <w:rPr>
                <w:b/>
                <w:spacing w:val="-4"/>
                <w:sz w:val="18"/>
              </w:rPr>
              <w:t> </w:t>
            </w:r>
            <w:r>
              <w:rPr>
                <w:b/>
                <w:sz w:val="18"/>
              </w:rPr>
              <w:t>la estrategia de intervención de la población en situación de pobreza y pobreza extrema.</w:t>
            </w:r>
          </w:p>
        </w:tc>
      </w:tr>
      <w:tr>
        <w:trPr>
          <w:trHeight w:val="450" w:hRule="atLeast"/>
        </w:trPr>
        <w:tc>
          <w:tcPr>
            <w:tcW w:w="14462" w:type="dxa"/>
            <w:gridSpan w:val="10"/>
            <w:shd w:val="clear" w:color="auto" w:fill="EFF8F9"/>
          </w:tcPr>
          <w:p>
            <w:pPr>
              <w:pStyle w:val="TableParagraph"/>
              <w:spacing w:before="123"/>
              <w:ind w:left="72"/>
              <w:rPr>
                <w:b/>
                <w:sz w:val="18"/>
              </w:rPr>
            </w:pPr>
            <w:r>
              <w:rPr>
                <w:b/>
                <w:sz w:val="18"/>
              </w:rPr>
              <w:t>Producto</w:t>
            </w:r>
            <w:r>
              <w:rPr>
                <w:b/>
                <w:spacing w:val="-9"/>
                <w:sz w:val="18"/>
              </w:rPr>
              <w:t> </w:t>
            </w:r>
            <w:r>
              <w:rPr>
                <w:b/>
                <w:sz w:val="18"/>
              </w:rPr>
              <w:t>2.48:</w:t>
            </w:r>
            <w:r>
              <w:rPr>
                <w:b/>
                <w:spacing w:val="-1"/>
                <w:sz w:val="18"/>
              </w:rPr>
              <w:t> </w:t>
            </w:r>
            <w:r>
              <w:rPr>
                <w:b/>
                <w:sz w:val="18"/>
              </w:rPr>
              <w:t>Estrategias</w:t>
            </w:r>
            <w:r>
              <w:rPr>
                <w:b/>
                <w:spacing w:val="-8"/>
                <w:sz w:val="18"/>
              </w:rPr>
              <w:t> </w:t>
            </w:r>
            <w:r>
              <w:rPr>
                <w:b/>
                <w:sz w:val="18"/>
              </w:rPr>
              <w:t>diseñadas</w:t>
            </w:r>
            <w:r>
              <w:rPr>
                <w:b/>
                <w:spacing w:val="-7"/>
                <w:sz w:val="18"/>
              </w:rPr>
              <w:t> </w:t>
            </w:r>
            <w:r>
              <w:rPr>
                <w:b/>
                <w:sz w:val="18"/>
              </w:rPr>
              <w:t>y</w:t>
            </w:r>
            <w:r>
              <w:rPr>
                <w:b/>
                <w:spacing w:val="-7"/>
                <w:sz w:val="18"/>
              </w:rPr>
              <w:t> </w:t>
            </w:r>
            <w:r>
              <w:rPr>
                <w:b/>
                <w:sz w:val="18"/>
              </w:rPr>
              <w:t>ejecutadas</w:t>
            </w:r>
            <w:r>
              <w:rPr>
                <w:b/>
                <w:spacing w:val="-3"/>
                <w:sz w:val="18"/>
              </w:rPr>
              <w:t> </w:t>
            </w:r>
            <w:r>
              <w:rPr>
                <w:b/>
                <w:sz w:val="18"/>
              </w:rPr>
              <w:t>para</w:t>
            </w:r>
            <w:r>
              <w:rPr>
                <w:b/>
                <w:spacing w:val="-8"/>
                <w:sz w:val="18"/>
              </w:rPr>
              <w:t> </w:t>
            </w:r>
            <w:r>
              <w:rPr>
                <w:b/>
                <w:sz w:val="18"/>
              </w:rPr>
              <w:t>la</w:t>
            </w:r>
            <w:r>
              <w:rPr>
                <w:b/>
                <w:spacing w:val="-3"/>
                <w:sz w:val="18"/>
              </w:rPr>
              <w:t> </w:t>
            </w:r>
            <w:r>
              <w:rPr>
                <w:b/>
                <w:sz w:val="18"/>
              </w:rPr>
              <w:t>gestión</w:t>
            </w:r>
            <w:r>
              <w:rPr>
                <w:b/>
                <w:spacing w:val="-8"/>
                <w:sz w:val="18"/>
              </w:rPr>
              <w:t> </w:t>
            </w:r>
            <w:r>
              <w:rPr>
                <w:b/>
                <w:sz w:val="18"/>
              </w:rPr>
              <w:t>con</w:t>
            </w:r>
            <w:r>
              <w:rPr>
                <w:b/>
                <w:spacing w:val="-8"/>
                <w:sz w:val="18"/>
              </w:rPr>
              <w:t> </w:t>
            </w:r>
            <w:r>
              <w:rPr>
                <w:b/>
                <w:sz w:val="18"/>
              </w:rPr>
              <w:t>potenciales</w:t>
            </w:r>
            <w:r>
              <w:rPr>
                <w:b/>
                <w:spacing w:val="-4"/>
                <w:sz w:val="18"/>
              </w:rPr>
              <w:t> </w:t>
            </w:r>
            <w:r>
              <w:rPr>
                <w:b/>
                <w:sz w:val="18"/>
              </w:rPr>
              <w:t>donantes</w:t>
            </w:r>
            <w:r>
              <w:rPr>
                <w:b/>
                <w:spacing w:val="-4"/>
                <w:sz w:val="18"/>
              </w:rPr>
              <w:t> </w:t>
            </w:r>
            <w:r>
              <w:rPr>
                <w:b/>
                <w:sz w:val="18"/>
              </w:rPr>
              <w:t>de</w:t>
            </w:r>
            <w:r>
              <w:rPr>
                <w:b/>
                <w:spacing w:val="-7"/>
                <w:sz w:val="18"/>
              </w:rPr>
              <w:t> </w:t>
            </w:r>
            <w:r>
              <w:rPr>
                <w:b/>
                <w:spacing w:val="-2"/>
                <w:sz w:val="18"/>
              </w:rPr>
              <w:t>bienes.</w:t>
            </w:r>
          </w:p>
        </w:tc>
      </w:tr>
      <w:tr>
        <w:trPr>
          <w:trHeight w:val="2251" w:hRule="atLeast"/>
        </w:trPr>
        <w:tc>
          <w:tcPr>
            <w:tcW w:w="2089" w:type="dxa"/>
          </w:tcPr>
          <w:p>
            <w:pPr>
              <w:pStyle w:val="TableParagraph"/>
              <w:spacing w:before="191"/>
              <w:ind w:left="72" w:right="69"/>
              <w:rPr>
                <w:sz w:val="18"/>
              </w:rPr>
            </w:pPr>
            <w:r>
              <w:rPr>
                <w:b/>
                <w:sz w:val="18"/>
              </w:rPr>
              <w:t>Actividad PAC 2.48.1: </w:t>
            </w:r>
            <w:r>
              <w:rPr>
                <w:sz w:val="18"/>
              </w:rPr>
              <w:t>Impulsar campañas de incomunicación en redes sociales y en medios de prensa, con apoyo</w:t>
            </w:r>
            <w:r>
              <w:rPr>
                <w:spacing w:val="-15"/>
                <w:sz w:val="18"/>
              </w:rPr>
              <w:t> </w:t>
            </w:r>
            <w:r>
              <w:rPr>
                <w:sz w:val="18"/>
              </w:rPr>
              <w:t>de</w:t>
            </w:r>
            <w:r>
              <w:rPr>
                <w:spacing w:val="-12"/>
                <w:sz w:val="18"/>
              </w:rPr>
              <w:t> </w:t>
            </w:r>
            <w:r>
              <w:rPr>
                <w:sz w:val="18"/>
              </w:rPr>
              <w:t>Comunicación Institucional, para promover la captación de bienes para donar.</w:t>
            </w:r>
          </w:p>
        </w:tc>
        <w:tc>
          <w:tcPr>
            <w:tcW w:w="1407" w:type="dxa"/>
          </w:tcPr>
          <w:p>
            <w:pPr>
              <w:pStyle w:val="TableParagraph"/>
              <w:rPr>
                <w:b/>
                <w:sz w:val="18"/>
              </w:rPr>
            </w:pPr>
          </w:p>
          <w:p>
            <w:pPr>
              <w:pStyle w:val="TableParagraph"/>
              <w:rPr>
                <w:b/>
                <w:sz w:val="18"/>
              </w:rPr>
            </w:pPr>
          </w:p>
          <w:p>
            <w:pPr>
              <w:pStyle w:val="TableParagraph"/>
              <w:spacing w:before="194"/>
              <w:rPr>
                <w:b/>
                <w:sz w:val="18"/>
              </w:rPr>
            </w:pPr>
          </w:p>
          <w:p>
            <w:pPr>
              <w:pStyle w:val="TableParagraph"/>
              <w:ind w:left="71"/>
              <w:rPr>
                <w:sz w:val="18"/>
              </w:rPr>
            </w:pPr>
            <w:r>
              <w:rPr>
                <w:sz w:val="18"/>
              </w:rPr>
              <w:t>Cantidad</w:t>
            </w:r>
            <w:r>
              <w:rPr>
                <w:spacing w:val="-13"/>
                <w:sz w:val="18"/>
              </w:rPr>
              <w:t> </w:t>
            </w:r>
            <w:r>
              <w:rPr>
                <w:sz w:val="18"/>
              </w:rPr>
              <w:t>de </w:t>
            </w:r>
            <w:r>
              <w:rPr>
                <w:spacing w:val="-2"/>
                <w:sz w:val="18"/>
              </w:rPr>
              <w:t>Campañas Promovidas</w:t>
            </w:r>
          </w:p>
        </w:tc>
        <w:tc>
          <w:tcPr>
            <w:tcW w:w="1517" w:type="dxa"/>
          </w:tcPr>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spacing w:before="1"/>
              <w:ind w:right="59"/>
              <w:jc w:val="right"/>
              <w:rPr>
                <w:sz w:val="18"/>
              </w:rPr>
            </w:pPr>
            <w:r>
              <w:rPr>
                <w:spacing w:val="-10"/>
                <w:sz w:val="18"/>
              </w:rPr>
              <w:t>1</w:t>
            </w:r>
          </w:p>
        </w:tc>
        <w:tc>
          <w:tcPr>
            <w:tcW w:w="1249" w:type="dxa"/>
          </w:tcPr>
          <w:p>
            <w:pPr>
              <w:pStyle w:val="TableParagraph"/>
              <w:rPr>
                <w:rFonts w:ascii="Times New Roman"/>
                <w:sz w:val="18"/>
              </w:rPr>
            </w:pPr>
          </w:p>
        </w:tc>
        <w:tc>
          <w:tcPr>
            <w:tcW w:w="1618" w:type="dxa"/>
          </w:tcPr>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spacing w:before="1"/>
              <w:ind w:right="55"/>
              <w:jc w:val="right"/>
              <w:rPr>
                <w:sz w:val="18"/>
              </w:rPr>
            </w:pPr>
            <w:r>
              <w:rPr>
                <w:spacing w:val="-10"/>
                <w:sz w:val="18"/>
              </w:rPr>
              <w:t>2</w:t>
            </w:r>
          </w:p>
        </w:tc>
        <w:tc>
          <w:tcPr>
            <w:tcW w:w="1474" w:type="dxa"/>
          </w:tcPr>
          <w:p>
            <w:pPr>
              <w:pStyle w:val="TableParagraph"/>
              <w:rPr>
                <w:rFonts w:ascii="Times New Roman"/>
                <w:sz w:val="18"/>
              </w:rPr>
            </w:pP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spacing w:before="1"/>
              <w:ind w:right="60"/>
              <w:jc w:val="right"/>
              <w:rPr>
                <w:sz w:val="18"/>
              </w:rPr>
            </w:pPr>
            <w:r>
              <w:rPr>
                <w:spacing w:val="-10"/>
                <w:sz w:val="18"/>
              </w:rPr>
              <w:t>3</w:t>
            </w:r>
          </w:p>
        </w:tc>
        <w:tc>
          <w:tcPr>
            <w:tcW w:w="990" w:type="dxa"/>
          </w:tcPr>
          <w:p>
            <w:pPr>
              <w:pStyle w:val="TableParagraph"/>
              <w:rPr>
                <w:rFonts w:ascii="Times New Roman"/>
                <w:sz w:val="18"/>
              </w:rPr>
            </w:pPr>
          </w:p>
        </w:tc>
        <w:tc>
          <w:tcPr>
            <w:tcW w:w="1422" w:type="dxa"/>
          </w:tcPr>
          <w:p>
            <w:pPr>
              <w:pStyle w:val="TableParagraph"/>
              <w:rPr>
                <w:b/>
                <w:sz w:val="18"/>
              </w:rPr>
            </w:pPr>
          </w:p>
          <w:p>
            <w:pPr>
              <w:pStyle w:val="TableParagraph"/>
              <w:rPr>
                <w:b/>
                <w:sz w:val="18"/>
              </w:rPr>
            </w:pPr>
          </w:p>
          <w:p>
            <w:pPr>
              <w:pStyle w:val="TableParagraph"/>
              <w:rPr>
                <w:b/>
                <w:sz w:val="18"/>
              </w:rPr>
            </w:pPr>
          </w:p>
          <w:p>
            <w:pPr>
              <w:pStyle w:val="TableParagraph"/>
              <w:spacing w:before="193"/>
              <w:rPr>
                <w:b/>
                <w:sz w:val="18"/>
              </w:rPr>
            </w:pPr>
          </w:p>
          <w:p>
            <w:pPr>
              <w:pStyle w:val="TableParagraph"/>
              <w:spacing w:before="1"/>
              <w:ind w:right="62"/>
              <w:jc w:val="right"/>
              <w:rPr>
                <w:sz w:val="18"/>
              </w:rPr>
            </w:pPr>
            <w:r>
              <w:rPr>
                <w:spacing w:val="-10"/>
                <w:sz w:val="18"/>
              </w:rPr>
              <w:t>4</w:t>
            </w:r>
          </w:p>
        </w:tc>
        <w:tc>
          <w:tcPr>
            <w:tcW w:w="1135" w:type="dxa"/>
          </w:tcPr>
          <w:p>
            <w:pPr>
              <w:pStyle w:val="TableParagraph"/>
              <w:rPr>
                <w:rFonts w:ascii="Times New Roman"/>
                <w:sz w:val="18"/>
              </w:rPr>
            </w:pPr>
          </w:p>
        </w:tc>
      </w:tr>
      <w:tr>
        <w:trPr>
          <w:trHeight w:val="3029" w:hRule="atLeast"/>
        </w:trPr>
        <w:tc>
          <w:tcPr>
            <w:tcW w:w="2089" w:type="dxa"/>
          </w:tcPr>
          <w:p>
            <w:pPr>
              <w:pStyle w:val="TableParagraph"/>
              <w:spacing w:before="66"/>
              <w:ind w:left="72" w:right="70"/>
              <w:rPr>
                <w:sz w:val="18"/>
              </w:rPr>
            </w:pPr>
            <w:r>
              <w:rPr>
                <w:b/>
                <w:sz w:val="18"/>
              </w:rPr>
              <w:t>Actividad PAC 2.48.2: </w:t>
            </w:r>
            <w:r>
              <w:rPr>
                <w:sz w:val="18"/>
              </w:rPr>
              <w:t>Realizar la identificación, selección y</w:t>
            </w:r>
            <w:r>
              <w:rPr>
                <w:spacing w:val="-10"/>
                <w:sz w:val="18"/>
              </w:rPr>
              <w:t> </w:t>
            </w:r>
            <w:r>
              <w:rPr>
                <w:sz w:val="18"/>
              </w:rPr>
              <w:t>gestión</w:t>
            </w:r>
            <w:r>
              <w:rPr>
                <w:spacing w:val="-13"/>
                <w:sz w:val="18"/>
              </w:rPr>
              <w:t> </w:t>
            </w:r>
            <w:r>
              <w:rPr>
                <w:sz w:val="18"/>
              </w:rPr>
              <w:t>de</w:t>
            </w:r>
            <w:r>
              <w:rPr>
                <w:spacing w:val="-12"/>
                <w:sz w:val="18"/>
              </w:rPr>
              <w:t> </w:t>
            </w:r>
            <w:r>
              <w:rPr>
                <w:sz w:val="18"/>
              </w:rPr>
              <w:t>potenciales Donantes, mediante el acercamiento a organizaciones</w:t>
            </w:r>
            <w:r>
              <w:rPr>
                <w:spacing w:val="-8"/>
                <w:sz w:val="18"/>
              </w:rPr>
              <w:t> </w:t>
            </w:r>
            <w:r>
              <w:rPr>
                <w:sz w:val="18"/>
              </w:rPr>
              <w:t>tanto</w:t>
            </w:r>
            <w:r>
              <w:rPr>
                <w:spacing w:val="-8"/>
                <w:sz w:val="18"/>
              </w:rPr>
              <w:t> </w:t>
            </w:r>
            <w:r>
              <w:rPr>
                <w:sz w:val="18"/>
              </w:rPr>
              <w:t>de la empresa privada e instituciones públicas, para dar a conocer el programa de donaciones e impulsar la captación de bienes para donar.</w:t>
            </w:r>
          </w:p>
        </w:tc>
        <w:tc>
          <w:tcPr>
            <w:tcW w:w="1407" w:type="dxa"/>
          </w:tcPr>
          <w:p>
            <w:pPr>
              <w:pStyle w:val="TableParagraph"/>
              <w:rPr>
                <w:b/>
                <w:sz w:val="18"/>
              </w:rPr>
            </w:pPr>
          </w:p>
          <w:p>
            <w:pPr>
              <w:pStyle w:val="TableParagraph"/>
              <w:rPr>
                <w:b/>
                <w:sz w:val="18"/>
              </w:rPr>
            </w:pPr>
          </w:p>
          <w:p>
            <w:pPr>
              <w:pStyle w:val="TableParagraph"/>
              <w:rPr>
                <w:b/>
                <w:sz w:val="18"/>
              </w:rPr>
            </w:pPr>
          </w:p>
          <w:p>
            <w:pPr>
              <w:pStyle w:val="TableParagraph"/>
              <w:spacing w:before="64"/>
              <w:rPr>
                <w:b/>
                <w:sz w:val="18"/>
              </w:rPr>
            </w:pPr>
          </w:p>
          <w:p>
            <w:pPr>
              <w:pStyle w:val="TableParagraph"/>
              <w:ind w:left="71"/>
              <w:rPr>
                <w:sz w:val="18"/>
              </w:rPr>
            </w:pPr>
            <w:r>
              <w:rPr>
                <w:sz w:val="18"/>
              </w:rPr>
              <w:t>Cantidad de </w:t>
            </w:r>
            <w:r>
              <w:rPr>
                <w:spacing w:val="-2"/>
                <w:sz w:val="18"/>
              </w:rPr>
              <w:t>potenciales Donantes Gestionados </w:t>
            </w:r>
            <w:r>
              <w:rPr>
                <w:sz w:val="18"/>
              </w:rPr>
              <w:t>para captar </w:t>
            </w:r>
            <w:r>
              <w:rPr>
                <w:spacing w:val="-2"/>
                <w:sz w:val="18"/>
              </w:rPr>
              <w:t>donaciones</w:t>
            </w:r>
          </w:p>
        </w:tc>
        <w:tc>
          <w:tcPr>
            <w:tcW w:w="15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right="60"/>
              <w:jc w:val="right"/>
              <w:rPr>
                <w:sz w:val="18"/>
              </w:rPr>
            </w:pPr>
            <w:r>
              <w:rPr>
                <w:spacing w:val="-5"/>
                <w:sz w:val="18"/>
              </w:rPr>
              <w:t>12</w:t>
            </w:r>
          </w:p>
        </w:tc>
        <w:tc>
          <w:tcPr>
            <w:tcW w:w="1249" w:type="dxa"/>
          </w:tcPr>
          <w:p>
            <w:pPr>
              <w:pStyle w:val="TableParagraph"/>
              <w:rPr>
                <w:rFonts w:ascii="Times New Roman"/>
                <w:sz w:val="18"/>
              </w:rPr>
            </w:pPr>
          </w:p>
        </w:tc>
        <w:tc>
          <w:tcPr>
            <w:tcW w:w="16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right="56"/>
              <w:jc w:val="right"/>
              <w:rPr>
                <w:sz w:val="18"/>
              </w:rPr>
            </w:pPr>
            <w:r>
              <w:rPr>
                <w:spacing w:val="-5"/>
                <w:sz w:val="18"/>
              </w:rPr>
              <w:t>24</w:t>
            </w:r>
          </w:p>
        </w:tc>
        <w:tc>
          <w:tcPr>
            <w:tcW w:w="1474" w:type="dxa"/>
          </w:tcPr>
          <w:p>
            <w:pPr>
              <w:pStyle w:val="TableParagraph"/>
              <w:rPr>
                <w:rFonts w:ascii="Times New Roman"/>
                <w:sz w:val="18"/>
              </w:rPr>
            </w:pP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right="61"/>
              <w:jc w:val="right"/>
              <w:rPr>
                <w:sz w:val="18"/>
              </w:rPr>
            </w:pPr>
            <w:r>
              <w:rPr>
                <w:spacing w:val="-5"/>
                <w:sz w:val="18"/>
              </w:rPr>
              <w:t>36</w:t>
            </w:r>
          </w:p>
        </w:tc>
        <w:tc>
          <w:tcPr>
            <w:tcW w:w="990" w:type="dxa"/>
          </w:tcPr>
          <w:p>
            <w:pPr>
              <w:pStyle w:val="TableParagraph"/>
              <w:rPr>
                <w:rFonts w:ascii="Times New Roman"/>
                <w:sz w:val="18"/>
              </w:rPr>
            </w:pPr>
          </w:p>
        </w:tc>
        <w:tc>
          <w:tcPr>
            <w:tcW w:w="14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8"/>
              <w:rPr>
                <w:b/>
                <w:sz w:val="18"/>
              </w:rPr>
            </w:pPr>
          </w:p>
          <w:p>
            <w:pPr>
              <w:pStyle w:val="TableParagraph"/>
              <w:ind w:right="63"/>
              <w:jc w:val="right"/>
              <w:rPr>
                <w:sz w:val="18"/>
              </w:rPr>
            </w:pPr>
            <w:r>
              <w:rPr>
                <w:spacing w:val="-5"/>
                <w:sz w:val="18"/>
              </w:rPr>
              <w:t>48</w:t>
            </w:r>
          </w:p>
        </w:tc>
        <w:tc>
          <w:tcPr>
            <w:tcW w:w="1135" w:type="dxa"/>
          </w:tcPr>
          <w:p>
            <w:pPr>
              <w:pStyle w:val="TableParagraph"/>
              <w:rPr>
                <w:rFonts w:ascii="Times New Roman"/>
                <w:sz w:val="18"/>
              </w:rPr>
            </w:pPr>
          </w:p>
        </w:tc>
      </w:tr>
      <w:tr>
        <w:trPr>
          <w:trHeight w:val="407" w:hRule="atLeast"/>
        </w:trPr>
        <w:tc>
          <w:tcPr>
            <w:tcW w:w="14462" w:type="dxa"/>
            <w:gridSpan w:val="10"/>
            <w:shd w:val="clear" w:color="auto" w:fill="EFF8F9"/>
          </w:tcPr>
          <w:p>
            <w:pPr>
              <w:pStyle w:val="TableParagraph"/>
              <w:spacing w:before="99"/>
              <w:ind w:left="72"/>
              <w:rPr>
                <w:b/>
                <w:sz w:val="18"/>
              </w:rPr>
            </w:pPr>
            <w:r>
              <w:rPr>
                <w:b/>
                <w:sz w:val="18"/>
              </w:rPr>
              <w:t>Producto</w:t>
            </w:r>
            <w:r>
              <w:rPr>
                <w:b/>
                <w:spacing w:val="-10"/>
                <w:sz w:val="18"/>
              </w:rPr>
              <w:t> </w:t>
            </w:r>
            <w:r>
              <w:rPr>
                <w:b/>
                <w:sz w:val="18"/>
              </w:rPr>
              <w:t>2.49:</w:t>
            </w:r>
            <w:r>
              <w:rPr>
                <w:b/>
                <w:spacing w:val="-3"/>
                <w:sz w:val="18"/>
              </w:rPr>
              <w:t> </w:t>
            </w:r>
            <w:r>
              <w:rPr>
                <w:b/>
                <w:sz w:val="18"/>
              </w:rPr>
              <w:t>Normativa</w:t>
            </w:r>
            <w:r>
              <w:rPr>
                <w:b/>
                <w:spacing w:val="-8"/>
                <w:sz w:val="18"/>
              </w:rPr>
              <w:t> </w:t>
            </w:r>
            <w:r>
              <w:rPr>
                <w:b/>
                <w:sz w:val="18"/>
              </w:rPr>
              <w:t>institucional</w:t>
            </w:r>
            <w:r>
              <w:rPr>
                <w:b/>
                <w:spacing w:val="-2"/>
                <w:sz w:val="18"/>
              </w:rPr>
              <w:t> </w:t>
            </w:r>
            <w:r>
              <w:rPr>
                <w:b/>
                <w:sz w:val="18"/>
              </w:rPr>
              <w:t>de</w:t>
            </w:r>
            <w:r>
              <w:rPr>
                <w:b/>
                <w:spacing w:val="-9"/>
                <w:sz w:val="18"/>
              </w:rPr>
              <w:t> </w:t>
            </w:r>
            <w:r>
              <w:rPr>
                <w:b/>
                <w:sz w:val="18"/>
              </w:rPr>
              <w:t>donaciones</w:t>
            </w:r>
            <w:r>
              <w:rPr>
                <w:b/>
                <w:spacing w:val="-5"/>
                <w:sz w:val="18"/>
              </w:rPr>
              <w:t> </w:t>
            </w:r>
            <w:r>
              <w:rPr>
                <w:b/>
                <w:sz w:val="18"/>
              </w:rPr>
              <w:t>ajustada,</w:t>
            </w:r>
            <w:r>
              <w:rPr>
                <w:b/>
                <w:spacing w:val="-2"/>
                <w:sz w:val="18"/>
              </w:rPr>
              <w:t> </w:t>
            </w:r>
            <w:r>
              <w:rPr>
                <w:b/>
                <w:sz w:val="18"/>
              </w:rPr>
              <w:t>para</w:t>
            </w:r>
            <w:r>
              <w:rPr>
                <w:b/>
                <w:spacing w:val="-8"/>
                <w:sz w:val="18"/>
              </w:rPr>
              <w:t> </w:t>
            </w:r>
            <w:r>
              <w:rPr>
                <w:b/>
                <w:sz w:val="18"/>
              </w:rPr>
              <w:t>incrementar</w:t>
            </w:r>
            <w:r>
              <w:rPr>
                <w:b/>
                <w:spacing w:val="-8"/>
                <w:sz w:val="18"/>
              </w:rPr>
              <w:t> </w:t>
            </w:r>
            <w:r>
              <w:rPr>
                <w:b/>
                <w:sz w:val="18"/>
              </w:rPr>
              <w:t>la</w:t>
            </w:r>
            <w:r>
              <w:rPr>
                <w:b/>
                <w:spacing w:val="-8"/>
                <w:sz w:val="18"/>
              </w:rPr>
              <w:t> </w:t>
            </w:r>
            <w:r>
              <w:rPr>
                <w:b/>
                <w:sz w:val="18"/>
              </w:rPr>
              <w:t>captación</w:t>
            </w:r>
            <w:r>
              <w:rPr>
                <w:b/>
                <w:spacing w:val="-9"/>
                <w:sz w:val="18"/>
              </w:rPr>
              <w:t> </w:t>
            </w:r>
            <w:r>
              <w:rPr>
                <w:b/>
                <w:sz w:val="18"/>
              </w:rPr>
              <w:t>y</w:t>
            </w:r>
            <w:r>
              <w:rPr>
                <w:b/>
                <w:spacing w:val="-5"/>
                <w:sz w:val="18"/>
              </w:rPr>
              <w:t> </w:t>
            </w:r>
            <w:r>
              <w:rPr>
                <w:b/>
                <w:sz w:val="18"/>
              </w:rPr>
              <w:t>donación</w:t>
            </w:r>
            <w:r>
              <w:rPr>
                <w:b/>
                <w:spacing w:val="-5"/>
                <w:sz w:val="18"/>
              </w:rPr>
              <w:t> </w:t>
            </w:r>
            <w:r>
              <w:rPr>
                <w:b/>
                <w:sz w:val="18"/>
              </w:rPr>
              <w:t>de</w:t>
            </w:r>
            <w:r>
              <w:rPr>
                <w:b/>
                <w:spacing w:val="-8"/>
                <w:sz w:val="18"/>
              </w:rPr>
              <w:t> </w:t>
            </w:r>
            <w:r>
              <w:rPr>
                <w:b/>
                <w:sz w:val="18"/>
              </w:rPr>
              <w:t>bienes</w:t>
            </w:r>
            <w:r>
              <w:rPr>
                <w:b/>
                <w:spacing w:val="-5"/>
                <w:sz w:val="18"/>
              </w:rPr>
              <w:t> </w:t>
            </w:r>
            <w:r>
              <w:rPr>
                <w:b/>
                <w:sz w:val="18"/>
              </w:rPr>
              <w:t>y</w:t>
            </w:r>
            <w:r>
              <w:rPr>
                <w:b/>
                <w:spacing w:val="-8"/>
                <w:sz w:val="18"/>
              </w:rPr>
              <w:t> </w:t>
            </w:r>
            <w:r>
              <w:rPr>
                <w:b/>
                <w:spacing w:val="-2"/>
                <w:sz w:val="18"/>
              </w:rPr>
              <w:t>dinero.</w:t>
            </w:r>
          </w:p>
        </w:tc>
      </w:tr>
      <w:tr>
        <w:trPr>
          <w:trHeight w:val="868" w:hRule="atLeast"/>
        </w:trPr>
        <w:tc>
          <w:tcPr>
            <w:tcW w:w="2089" w:type="dxa"/>
          </w:tcPr>
          <w:p>
            <w:pPr>
              <w:pStyle w:val="TableParagraph"/>
              <w:spacing w:before="18"/>
              <w:ind w:left="72"/>
              <w:rPr>
                <w:sz w:val="18"/>
              </w:rPr>
            </w:pPr>
            <w:r>
              <w:rPr>
                <w:b/>
                <w:sz w:val="18"/>
              </w:rPr>
              <w:t>Actividad PAC 2.49.1: </w:t>
            </w:r>
            <w:r>
              <w:rPr>
                <w:sz w:val="18"/>
              </w:rPr>
              <w:t>Realizar</w:t>
            </w:r>
            <w:r>
              <w:rPr>
                <w:spacing w:val="-15"/>
                <w:sz w:val="18"/>
              </w:rPr>
              <w:t> </w:t>
            </w:r>
            <w:r>
              <w:rPr>
                <w:sz w:val="18"/>
              </w:rPr>
              <w:t>la</w:t>
            </w:r>
            <w:r>
              <w:rPr>
                <w:spacing w:val="-12"/>
                <w:sz w:val="18"/>
              </w:rPr>
              <w:t> </w:t>
            </w:r>
            <w:r>
              <w:rPr>
                <w:sz w:val="18"/>
              </w:rPr>
              <w:t>modificación del Reglamento de </w:t>
            </w:r>
            <w:r>
              <w:rPr>
                <w:spacing w:val="-2"/>
                <w:sz w:val="18"/>
              </w:rPr>
              <w:t>Donaciones</w:t>
            </w:r>
          </w:p>
        </w:tc>
        <w:tc>
          <w:tcPr>
            <w:tcW w:w="1407" w:type="dxa"/>
          </w:tcPr>
          <w:p>
            <w:pPr>
              <w:pStyle w:val="TableParagraph"/>
              <w:spacing w:before="18"/>
              <w:ind w:left="71" w:right="82"/>
              <w:rPr>
                <w:sz w:val="18"/>
              </w:rPr>
            </w:pPr>
            <w:r>
              <w:rPr>
                <w:sz w:val="18"/>
              </w:rPr>
              <w:t>% de avance en la </w:t>
            </w:r>
            <w:r>
              <w:rPr>
                <w:spacing w:val="-2"/>
                <w:sz w:val="18"/>
              </w:rPr>
              <w:t>actualización </w:t>
            </w:r>
            <w:r>
              <w:rPr>
                <w:sz w:val="18"/>
              </w:rPr>
              <w:t>del</w:t>
            </w:r>
            <w:r>
              <w:rPr>
                <w:spacing w:val="-13"/>
                <w:sz w:val="18"/>
              </w:rPr>
              <w:t> </w:t>
            </w:r>
            <w:r>
              <w:rPr>
                <w:sz w:val="18"/>
              </w:rPr>
              <w:t>reglamento.</w:t>
            </w:r>
          </w:p>
        </w:tc>
        <w:tc>
          <w:tcPr>
            <w:tcW w:w="1517" w:type="dxa"/>
          </w:tcPr>
          <w:p>
            <w:pPr>
              <w:pStyle w:val="TableParagraph"/>
              <w:rPr>
                <w:rFonts w:ascii="Times New Roman"/>
                <w:sz w:val="18"/>
              </w:rPr>
            </w:pPr>
          </w:p>
        </w:tc>
        <w:tc>
          <w:tcPr>
            <w:tcW w:w="1249" w:type="dxa"/>
          </w:tcPr>
          <w:p>
            <w:pPr>
              <w:pStyle w:val="TableParagraph"/>
              <w:rPr>
                <w:rFonts w:ascii="Times New Roman"/>
                <w:sz w:val="18"/>
              </w:rPr>
            </w:pPr>
          </w:p>
        </w:tc>
        <w:tc>
          <w:tcPr>
            <w:tcW w:w="1618" w:type="dxa"/>
          </w:tcPr>
          <w:p>
            <w:pPr>
              <w:pStyle w:val="TableParagraph"/>
              <w:rPr>
                <w:rFonts w:ascii="Times New Roman"/>
                <w:sz w:val="18"/>
              </w:rPr>
            </w:pPr>
          </w:p>
        </w:tc>
        <w:tc>
          <w:tcPr>
            <w:tcW w:w="1474" w:type="dxa"/>
          </w:tcPr>
          <w:p>
            <w:pPr>
              <w:pStyle w:val="TableParagraph"/>
              <w:rPr>
                <w:rFonts w:ascii="Times New Roman"/>
                <w:sz w:val="18"/>
              </w:rPr>
            </w:pPr>
          </w:p>
        </w:tc>
        <w:tc>
          <w:tcPr>
            <w:tcW w:w="1561" w:type="dxa"/>
          </w:tcPr>
          <w:p>
            <w:pPr>
              <w:pStyle w:val="TableParagraph"/>
              <w:rPr>
                <w:rFonts w:ascii="Times New Roman"/>
                <w:sz w:val="18"/>
              </w:rPr>
            </w:pPr>
          </w:p>
        </w:tc>
        <w:tc>
          <w:tcPr>
            <w:tcW w:w="990" w:type="dxa"/>
          </w:tcPr>
          <w:p>
            <w:pPr>
              <w:pStyle w:val="TableParagraph"/>
              <w:rPr>
                <w:rFonts w:ascii="Times New Roman"/>
                <w:sz w:val="18"/>
              </w:rPr>
            </w:pPr>
          </w:p>
        </w:tc>
        <w:tc>
          <w:tcPr>
            <w:tcW w:w="1422" w:type="dxa"/>
          </w:tcPr>
          <w:p>
            <w:pPr>
              <w:pStyle w:val="TableParagraph"/>
              <w:spacing w:before="123"/>
              <w:rPr>
                <w:b/>
                <w:sz w:val="18"/>
              </w:rPr>
            </w:pPr>
          </w:p>
          <w:p>
            <w:pPr>
              <w:pStyle w:val="TableParagraph"/>
              <w:ind w:right="60"/>
              <w:jc w:val="right"/>
              <w:rPr>
                <w:sz w:val="18"/>
              </w:rPr>
            </w:pPr>
            <w:r>
              <w:rPr>
                <w:spacing w:val="-5"/>
                <w:sz w:val="18"/>
              </w:rPr>
              <w:t>50%</w:t>
            </w:r>
          </w:p>
        </w:tc>
        <w:tc>
          <w:tcPr>
            <w:tcW w:w="1135"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700" w:bottom="28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9"/>
        <w:gridCol w:w="1407"/>
        <w:gridCol w:w="1517"/>
        <w:gridCol w:w="1249"/>
        <w:gridCol w:w="1618"/>
        <w:gridCol w:w="1474"/>
        <w:gridCol w:w="1561"/>
        <w:gridCol w:w="990"/>
        <w:gridCol w:w="1422"/>
        <w:gridCol w:w="1135"/>
      </w:tblGrid>
      <w:tr>
        <w:trPr>
          <w:trHeight w:val="282" w:hRule="atLeast"/>
        </w:trPr>
        <w:tc>
          <w:tcPr>
            <w:tcW w:w="2089" w:type="dxa"/>
            <w:vMerge w:val="restart"/>
            <w:shd w:val="clear" w:color="auto" w:fill="D9D9D9"/>
          </w:tcPr>
          <w:p>
            <w:pPr>
              <w:pStyle w:val="TableParagraph"/>
              <w:spacing w:before="75"/>
              <w:rPr>
                <w:b/>
                <w:sz w:val="18"/>
              </w:rPr>
            </w:pPr>
          </w:p>
          <w:p>
            <w:pPr>
              <w:pStyle w:val="TableParagraph"/>
              <w:ind w:left="77"/>
              <w:rPr>
                <w:b/>
                <w:sz w:val="18"/>
              </w:rPr>
            </w:pPr>
            <w:r>
              <w:rPr>
                <w:b/>
                <w:sz w:val="18"/>
              </w:rPr>
              <w:t>Objetivos</w:t>
            </w:r>
            <w:r>
              <w:rPr>
                <w:b/>
                <w:spacing w:val="-5"/>
                <w:sz w:val="18"/>
              </w:rPr>
              <w:t> </w:t>
            </w:r>
            <w:r>
              <w:rPr>
                <w:b/>
                <w:sz w:val="18"/>
              </w:rPr>
              <w:t>/</w:t>
            </w:r>
            <w:r>
              <w:rPr>
                <w:b/>
                <w:spacing w:val="-2"/>
                <w:sz w:val="18"/>
              </w:rPr>
              <w:t> Resultados</w:t>
            </w:r>
          </w:p>
        </w:tc>
        <w:tc>
          <w:tcPr>
            <w:tcW w:w="1407" w:type="dxa"/>
            <w:vMerge w:val="restart"/>
            <w:shd w:val="clear" w:color="auto" w:fill="D9D9D9"/>
          </w:tcPr>
          <w:p>
            <w:pPr>
              <w:pStyle w:val="TableParagraph"/>
              <w:spacing w:before="75"/>
              <w:rPr>
                <w:b/>
                <w:sz w:val="18"/>
              </w:rPr>
            </w:pPr>
          </w:p>
          <w:p>
            <w:pPr>
              <w:pStyle w:val="TableParagraph"/>
              <w:ind w:left="297"/>
              <w:rPr>
                <w:b/>
                <w:sz w:val="18"/>
              </w:rPr>
            </w:pPr>
            <w:r>
              <w:rPr>
                <w:b/>
                <w:spacing w:val="-2"/>
                <w:sz w:val="18"/>
              </w:rPr>
              <w:t>Indicador</w:t>
            </w:r>
          </w:p>
        </w:tc>
        <w:tc>
          <w:tcPr>
            <w:tcW w:w="2766" w:type="dxa"/>
            <w:gridSpan w:val="2"/>
            <w:shd w:val="clear" w:color="auto" w:fill="D9D9D9"/>
          </w:tcPr>
          <w:p>
            <w:pPr>
              <w:pStyle w:val="TableParagraph"/>
              <w:spacing w:before="37"/>
              <w:ind w:left="916"/>
              <w:rPr>
                <w:b/>
                <w:sz w:val="18"/>
              </w:rPr>
            </w:pPr>
            <w:r>
              <w:rPr>
                <w:b/>
                <w:sz w:val="18"/>
              </w:rPr>
              <w:t>I</w:t>
            </w:r>
            <w:r>
              <w:rPr>
                <w:b/>
                <w:spacing w:val="-1"/>
                <w:sz w:val="18"/>
              </w:rPr>
              <w:t> </w:t>
            </w:r>
            <w:r>
              <w:rPr>
                <w:b/>
                <w:spacing w:val="-2"/>
                <w:sz w:val="18"/>
              </w:rPr>
              <w:t>Trimestre</w:t>
            </w:r>
          </w:p>
        </w:tc>
        <w:tc>
          <w:tcPr>
            <w:tcW w:w="3092" w:type="dxa"/>
            <w:gridSpan w:val="2"/>
            <w:shd w:val="clear" w:color="auto" w:fill="D9D9D9"/>
          </w:tcPr>
          <w:p>
            <w:pPr>
              <w:pStyle w:val="TableParagraph"/>
              <w:spacing w:before="37"/>
              <w:ind w:left="12"/>
              <w:jc w:val="center"/>
              <w:rPr>
                <w:b/>
                <w:sz w:val="18"/>
              </w:rPr>
            </w:pPr>
            <w:r>
              <w:rPr>
                <w:b/>
                <w:sz w:val="18"/>
              </w:rPr>
              <w:t>II</w:t>
            </w:r>
            <w:r>
              <w:rPr>
                <w:b/>
                <w:spacing w:val="-3"/>
                <w:sz w:val="18"/>
              </w:rPr>
              <w:t> </w:t>
            </w:r>
            <w:r>
              <w:rPr>
                <w:b/>
                <w:spacing w:val="-2"/>
                <w:sz w:val="18"/>
              </w:rPr>
              <w:t>Trimestre</w:t>
            </w:r>
          </w:p>
        </w:tc>
        <w:tc>
          <w:tcPr>
            <w:tcW w:w="2551" w:type="dxa"/>
            <w:gridSpan w:val="2"/>
            <w:shd w:val="clear" w:color="auto" w:fill="D9D9D9"/>
          </w:tcPr>
          <w:p>
            <w:pPr>
              <w:pStyle w:val="TableParagraph"/>
              <w:spacing w:before="37"/>
              <w:ind w:left="762"/>
              <w:rPr>
                <w:b/>
                <w:sz w:val="18"/>
              </w:rPr>
            </w:pPr>
            <w:r>
              <w:rPr>
                <w:b/>
                <w:sz w:val="18"/>
              </w:rPr>
              <w:t>III</w:t>
            </w:r>
            <w:r>
              <w:rPr>
                <w:b/>
                <w:spacing w:val="-2"/>
                <w:sz w:val="18"/>
              </w:rPr>
              <w:t> Trimestre</w:t>
            </w:r>
          </w:p>
        </w:tc>
        <w:tc>
          <w:tcPr>
            <w:tcW w:w="2557" w:type="dxa"/>
            <w:gridSpan w:val="2"/>
            <w:shd w:val="clear" w:color="auto" w:fill="D9D9D9"/>
          </w:tcPr>
          <w:p>
            <w:pPr>
              <w:pStyle w:val="TableParagraph"/>
              <w:spacing w:before="37"/>
              <w:ind w:left="756"/>
              <w:rPr>
                <w:b/>
                <w:sz w:val="18"/>
              </w:rPr>
            </w:pPr>
            <w:r>
              <w:rPr>
                <w:b/>
                <w:sz w:val="18"/>
              </w:rPr>
              <w:t>IV</w:t>
            </w:r>
            <w:r>
              <w:rPr>
                <w:b/>
                <w:spacing w:val="-2"/>
                <w:sz w:val="18"/>
              </w:rPr>
              <w:t> Trimestre</w:t>
            </w:r>
          </w:p>
        </w:tc>
      </w:tr>
      <w:tr>
        <w:trPr>
          <w:trHeight w:val="484" w:hRule="atLeast"/>
        </w:trPr>
        <w:tc>
          <w:tcPr>
            <w:tcW w:w="2089" w:type="dxa"/>
            <w:vMerge/>
            <w:tcBorders>
              <w:top w:val="nil"/>
            </w:tcBorders>
            <w:shd w:val="clear" w:color="auto" w:fill="D9D9D9"/>
          </w:tcPr>
          <w:p>
            <w:pPr>
              <w:rPr>
                <w:sz w:val="2"/>
                <w:szCs w:val="2"/>
              </w:rPr>
            </w:pPr>
          </w:p>
        </w:tc>
        <w:tc>
          <w:tcPr>
            <w:tcW w:w="1407" w:type="dxa"/>
            <w:vMerge/>
            <w:tcBorders>
              <w:top w:val="nil"/>
            </w:tcBorders>
            <w:shd w:val="clear" w:color="auto" w:fill="D9D9D9"/>
          </w:tcPr>
          <w:p>
            <w:pPr>
              <w:rPr>
                <w:sz w:val="2"/>
                <w:szCs w:val="2"/>
              </w:rPr>
            </w:pPr>
          </w:p>
        </w:tc>
        <w:tc>
          <w:tcPr>
            <w:tcW w:w="1517" w:type="dxa"/>
            <w:shd w:val="clear" w:color="auto" w:fill="D9D9D9"/>
          </w:tcPr>
          <w:p>
            <w:pPr>
              <w:pStyle w:val="TableParagraph"/>
              <w:spacing w:line="244" w:lineRule="auto" w:before="32"/>
              <w:ind w:left="234" w:firstLine="312"/>
              <w:rPr>
                <w:b/>
                <w:sz w:val="18"/>
              </w:rPr>
            </w:pPr>
            <w:r>
              <w:rPr>
                <w:b/>
                <w:spacing w:val="-4"/>
                <w:sz w:val="18"/>
              </w:rPr>
              <w:t>Meta </w:t>
            </w:r>
            <w:r>
              <w:rPr>
                <w:b/>
                <w:spacing w:val="-2"/>
                <w:sz w:val="18"/>
              </w:rPr>
              <w:t>programada</w:t>
            </w:r>
          </w:p>
        </w:tc>
        <w:tc>
          <w:tcPr>
            <w:tcW w:w="1249" w:type="dxa"/>
            <w:shd w:val="clear" w:color="auto" w:fill="D9D9D9"/>
          </w:tcPr>
          <w:p>
            <w:pPr>
              <w:pStyle w:val="TableParagraph"/>
              <w:spacing w:before="138"/>
              <w:ind w:left="14" w:right="10"/>
              <w:jc w:val="center"/>
              <w:rPr>
                <w:b/>
                <w:sz w:val="18"/>
              </w:rPr>
            </w:pPr>
            <w:r>
              <w:rPr>
                <w:b/>
                <w:spacing w:val="-10"/>
                <w:sz w:val="18"/>
              </w:rPr>
              <w:t>¢</w:t>
            </w:r>
          </w:p>
        </w:tc>
        <w:tc>
          <w:tcPr>
            <w:tcW w:w="1618" w:type="dxa"/>
            <w:shd w:val="clear" w:color="auto" w:fill="D9D9D9"/>
          </w:tcPr>
          <w:p>
            <w:pPr>
              <w:pStyle w:val="TableParagraph"/>
              <w:spacing w:line="244" w:lineRule="auto" w:before="32"/>
              <w:ind w:left="287" w:firstLine="317"/>
              <w:rPr>
                <w:b/>
                <w:sz w:val="18"/>
              </w:rPr>
            </w:pPr>
            <w:r>
              <w:rPr>
                <w:b/>
                <w:spacing w:val="-4"/>
                <w:sz w:val="18"/>
              </w:rPr>
              <w:t>Meta </w:t>
            </w:r>
            <w:r>
              <w:rPr>
                <w:b/>
                <w:spacing w:val="-2"/>
                <w:sz w:val="18"/>
              </w:rPr>
              <w:t>programada</w:t>
            </w:r>
          </w:p>
        </w:tc>
        <w:tc>
          <w:tcPr>
            <w:tcW w:w="1474" w:type="dxa"/>
            <w:shd w:val="clear" w:color="auto" w:fill="D9D9D9"/>
          </w:tcPr>
          <w:p>
            <w:pPr>
              <w:pStyle w:val="TableParagraph"/>
              <w:spacing w:before="138"/>
              <w:ind w:left="9"/>
              <w:jc w:val="center"/>
              <w:rPr>
                <w:b/>
                <w:sz w:val="18"/>
              </w:rPr>
            </w:pPr>
            <w:r>
              <w:rPr>
                <w:b/>
                <w:spacing w:val="-10"/>
                <w:sz w:val="18"/>
              </w:rPr>
              <w:t>¢</w:t>
            </w:r>
          </w:p>
        </w:tc>
        <w:tc>
          <w:tcPr>
            <w:tcW w:w="1561" w:type="dxa"/>
            <w:shd w:val="clear" w:color="auto" w:fill="D9D9D9"/>
          </w:tcPr>
          <w:p>
            <w:pPr>
              <w:pStyle w:val="TableParagraph"/>
              <w:spacing w:line="244" w:lineRule="auto" w:before="32"/>
              <w:ind w:left="258" w:firstLine="312"/>
              <w:rPr>
                <w:b/>
                <w:sz w:val="18"/>
              </w:rPr>
            </w:pPr>
            <w:r>
              <w:rPr>
                <w:b/>
                <w:spacing w:val="-4"/>
                <w:sz w:val="18"/>
              </w:rPr>
              <w:t>Meta </w:t>
            </w:r>
            <w:r>
              <w:rPr>
                <w:b/>
                <w:spacing w:val="-2"/>
                <w:sz w:val="18"/>
              </w:rPr>
              <w:t>programada</w:t>
            </w:r>
          </w:p>
        </w:tc>
        <w:tc>
          <w:tcPr>
            <w:tcW w:w="990" w:type="dxa"/>
            <w:shd w:val="clear" w:color="auto" w:fill="D9D9D9"/>
          </w:tcPr>
          <w:p>
            <w:pPr>
              <w:pStyle w:val="TableParagraph"/>
              <w:spacing w:before="138"/>
              <w:ind w:left="11"/>
              <w:jc w:val="center"/>
              <w:rPr>
                <w:b/>
                <w:sz w:val="18"/>
              </w:rPr>
            </w:pPr>
            <w:r>
              <w:rPr>
                <w:b/>
                <w:spacing w:val="-10"/>
                <w:sz w:val="18"/>
              </w:rPr>
              <w:t>¢</w:t>
            </w:r>
          </w:p>
        </w:tc>
        <w:tc>
          <w:tcPr>
            <w:tcW w:w="1422" w:type="dxa"/>
            <w:shd w:val="clear" w:color="auto" w:fill="D9D9D9"/>
          </w:tcPr>
          <w:p>
            <w:pPr>
              <w:pStyle w:val="TableParagraph"/>
              <w:spacing w:line="244" w:lineRule="auto" w:before="32"/>
              <w:ind w:left="185" w:firstLine="316"/>
              <w:rPr>
                <w:b/>
                <w:sz w:val="18"/>
              </w:rPr>
            </w:pPr>
            <w:r>
              <w:rPr>
                <w:b/>
                <w:spacing w:val="-4"/>
                <w:sz w:val="18"/>
              </w:rPr>
              <w:t>Meta </w:t>
            </w:r>
            <w:r>
              <w:rPr>
                <w:b/>
                <w:spacing w:val="-2"/>
                <w:sz w:val="18"/>
              </w:rPr>
              <w:t>programada</w:t>
            </w:r>
          </w:p>
        </w:tc>
        <w:tc>
          <w:tcPr>
            <w:tcW w:w="1135" w:type="dxa"/>
            <w:shd w:val="clear" w:color="auto" w:fill="D9D9D9"/>
          </w:tcPr>
          <w:p>
            <w:pPr>
              <w:pStyle w:val="TableParagraph"/>
              <w:spacing w:before="138"/>
              <w:ind w:left="7"/>
              <w:jc w:val="center"/>
              <w:rPr>
                <w:b/>
                <w:sz w:val="18"/>
              </w:rPr>
            </w:pPr>
            <w:r>
              <w:rPr>
                <w:b/>
                <w:spacing w:val="-10"/>
                <w:sz w:val="18"/>
              </w:rPr>
              <w:t>¢</w:t>
            </w:r>
          </w:p>
        </w:tc>
      </w:tr>
      <w:tr>
        <w:trPr>
          <w:trHeight w:val="883" w:hRule="atLeast"/>
        </w:trPr>
        <w:tc>
          <w:tcPr>
            <w:tcW w:w="2089" w:type="dxa"/>
          </w:tcPr>
          <w:p>
            <w:pPr>
              <w:pStyle w:val="TableParagraph"/>
              <w:spacing w:before="27"/>
              <w:ind w:left="72"/>
              <w:rPr>
                <w:sz w:val="18"/>
              </w:rPr>
            </w:pPr>
            <w:r>
              <w:rPr>
                <w:b/>
                <w:sz w:val="18"/>
              </w:rPr>
              <w:t>Actividad PAC 2.49.2</w:t>
            </w:r>
            <w:r>
              <w:rPr>
                <w:sz w:val="18"/>
              </w:rPr>
              <w:t>: Realizar</w:t>
            </w:r>
            <w:r>
              <w:rPr>
                <w:spacing w:val="-15"/>
                <w:sz w:val="18"/>
              </w:rPr>
              <w:t> </w:t>
            </w:r>
            <w:r>
              <w:rPr>
                <w:sz w:val="18"/>
              </w:rPr>
              <w:t>la</w:t>
            </w:r>
            <w:r>
              <w:rPr>
                <w:spacing w:val="-12"/>
                <w:sz w:val="18"/>
              </w:rPr>
              <w:t> </w:t>
            </w:r>
            <w:r>
              <w:rPr>
                <w:sz w:val="18"/>
              </w:rPr>
              <w:t>modificación del Manual de </w:t>
            </w:r>
            <w:r>
              <w:rPr>
                <w:spacing w:val="-2"/>
                <w:sz w:val="18"/>
              </w:rPr>
              <w:t>Donaciones.</w:t>
            </w:r>
          </w:p>
        </w:tc>
        <w:tc>
          <w:tcPr>
            <w:tcW w:w="1407" w:type="dxa"/>
          </w:tcPr>
          <w:p>
            <w:pPr>
              <w:pStyle w:val="TableParagraph"/>
              <w:spacing w:before="27"/>
              <w:ind w:left="71" w:right="132"/>
              <w:rPr>
                <w:sz w:val="18"/>
              </w:rPr>
            </w:pPr>
            <w:r>
              <w:rPr>
                <w:sz w:val="18"/>
              </w:rPr>
              <w:t>%</w:t>
            </w:r>
            <w:r>
              <w:rPr>
                <w:spacing w:val="-15"/>
                <w:sz w:val="18"/>
              </w:rPr>
              <w:t> </w:t>
            </w:r>
            <w:r>
              <w:rPr>
                <w:sz w:val="18"/>
              </w:rPr>
              <w:t>de</w:t>
            </w:r>
            <w:r>
              <w:rPr>
                <w:spacing w:val="-12"/>
                <w:sz w:val="18"/>
              </w:rPr>
              <w:t> </w:t>
            </w:r>
            <w:r>
              <w:rPr>
                <w:sz w:val="18"/>
              </w:rPr>
              <w:t>avance en la </w:t>
            </w:r>
            <w:r>
              <w:rPr>
                <w:spacing w:val="-2"/>
                <w:sz w:val="18"/>
              </w:rPr>
              <w:t>actualización </w:t>
            </w:r>
            <w:r>
              <w:rPr>
                <w:sz w:val="18"/>
              </w:rPr>
              <w:t>del manual.</w:t>
            </w:r>
          </w:p>
        </w:tc>
        <w:tc>
          <w:tcPr>
            <w:tcW w:w="1517" w:type="dxa"/>
          </w:tcPr>
          <w:p>
            <w:pPr>
              <w:pStyle w:val="TableParagraph"/>
              <w:rPr>
                <w:rFonts w:ascii="Times New Roman"/>
                <w:sz w:val="18"/>
              </w:rPr>
            </w:pPr>
          </w:p>
        </w:tc>
        <w:tc>
          <w:tcPr>
            <w:tcW w:w="1249" w:type="dxa"/>
          </w:tcPr>
          <w:p>
            <w:pPr>
              <w:pStyle w:val="TableParagraph"/>
              <w:rPr>
                <w:rFonts w:ascii="Times New Roman"/>
                <w:sz w:val="18"/>
              </w:rPr>
            </w:pPr>
          </w:p>
        </w:tc>
        <w:tc>
          <w:tcPr>
            <w:tcW w:w="1618" w:type="dxa"/>
          </w:tcPr>
          <w:p>
            <w:pPr>
              <w:pStyle w:val="TableParagraph"/>
              <w:rPr>
                <w:rFonts w:ascii="Times New Roman"/>
                <w:sz w:val="18"/>
              </w:rPr>
            </w:pPr>
          </w:p>
        </w:tc>
        <w:tc>
          <w:tcPr>
            <w:tcW w:w="1474" w:type="dxa"/>
          </w:tcPr>
          <w:p>
            <w:pPr>
              <w:pStyle w:val="TableParagraph"/>
              <w:rPr>
                <w:rFonts w:ascii="Times New Roman"/>
                <w:sz w:val="18"/>
              </w:rPr>
            </w:pPr>
          </w:p>
        </w:tc>
        <w:tc>
          <w:tcPr>
            <w:tcW w:w="1561" w:type="dxa"/>
          </w:tcPr>
          <w:p>
            <w:pPr>
              <w:pStyle w:val="TableParagraph"/>
              <w:rPr>
                <w:rFonts w:ascii="Times New Roman"/>
                <w:sz w:val="18"/>
              </w:rPr>
            </w:pPr>
          </w:p>
        </w:tc>
        <w:tc>
          <w:tcPr>
            <w:tcW w:w="990" w:type="dxa"/>
          </w:tcPr>
          <w:p>
            <w:pPr>
              <w:pStyle w:val="TableParagraph"/>
              <w:rPr>
                <w:rFonts w:ascii="Times New Roman"/>
                <w:sz w:val="18"/>
              </w:rPr>
            </w:pPr>
          </w:p>
        </w:tc>
        <w:tc>
          <w:tcPr>
            <w:tcW w:w="1422" w:type="dxa"/>
          </w:tcPr>
          <w:p>
            <w:pPr>
              <w:pStyle w:val="TableParagraph"/>
              <w:spacing w:before="128"/>
              <w:rPr>
                <w:b/>
                <w:sz w:val="18"/>
              </w:rPr>
            </w:pPr>
          </w:p>
          <w:p>
            <w:pPr>
              <w:pStyle w:val="TableParagraph"/>
              <w:ind w:right="60"/>
              <w:jc w:val="right"/>
              <w:rPr>
                <w:sz w:val="18"/>
              </w:rPr>
            </w:pPr>
            <w:r>
              <w:rPr>
                <w:spacing w:val="-5"/>
                <w:sz w:val="18"/>
              </w:rPr>
              <w:t>50%</w:t>
            </w:r>
          </w:p>
        </w:tc>
        <w:tc>
          <w:tcPr>
            <w:tcW w:w="1135" w:type="dxa"/>
          </w:tcPr>
          <w:p>
            <w:pPr>
              <w:pStyle w:val="TableParagraph"/>
              <w:rPr>
                <w:rFonts w:ascii="Times New Roman"/>
                <w:sz w:val="18"/>
              </w:rPr>
            </w:pPr>
          </w:p>
        </w:tc>
      </w:tr>
      <w:tr>
        <w:trPr>
          <w:trHeight w:val="734" w:hRule="atLeast"/>
        </w:trPr>
        <w:tc>
          <w:tcPr>
            <w:tcW w:w="14462" w:type="dxa"/>
            <w:gridSpan w:val="10"/>
            <w:shd w:val="clear" w:color="auto" w:fill="EFF8F9"/>
          </w:tcPr>
          <w:p>
            <w:pPr>
              <w:pStyle w:val="TableParagraph"/>
              <w:spacing w:before="162"/>
              <w:ind w:left="72" w:right="90"/>
              <w:rPr>
                <w:b/>
                <w:sz w:val="18"/>
              </w:rPr>
            </w:pPr>
            <w:r>
              <w:rPr>
                <w:b/>
                <w:sz w:val="18"/>
              </w:rPr>
              <w:t>Producto</w:t>
            </w:r>
            <w:r>
              <w:rPr>
                <w:b/>
                <w:spacing w:val="-5"/>
                <w:sz w:val="18"/>
              </w:rPr>
              <w:t> </w:t>
            </w:r>
            <w:r>
              <w:rPr>
                <w:b/>
                <w:sz w:val="18"/>
              </w:rPr>
              <w:t>2.50: Diseñada</w:t>
            </w:r>
            <w:r>
              <w:rPr>
                <w:b/>
                <w:spacing w:val="-4"/>
                <w:sz w:val="18"/>
              </w:rPr>
              <w:t> </w:t>
            </w:r>
            <w:r>
              <w:rPr>
                <w:b/>
                <w:sz w:val="18"/>
              </w:rPr>
              <w:t>y</w:t>
            </w:r>
            <w:r>
              <w:rPr>
                <w:b/>
                <w:spacing w:val="-4"/>
                <w:sz w:val="18"/>
              </w:rPr>
              <w:t> </w:t>
            </w:r>
            <w:r>
              <w:rPr>
                <w:b/>
                <w:sz w:val="18"/>
              </w:rPr>
              <w:t>ejecutada</w:t>
            </w:r>
            <w:r>
              <w:rPr>
                <w:b/>
                <w:spacing w:val="-4"/>
                <w:sz w:val="18"/>
              </w:rPr>
              <w:t> </w:t>
            </w:r>
            <w:r>
              <w:rPr>
                <w:b/>
                <w:sz w:val="18"/>
              </w:rPr>
              <w:t>la</w:t>
            </w:r>
            <w:r>
              <w:rPr>
                <w:b/>
                <w:spacing w:val="-4"/>
                <w:sz w:val="18"/>
              </w:rPr>
              <w:t> </w:t>
            </w:r>
            <w:r>
              <w:rPr>
                <w:b/>
                <w:sz w:val="18"/>
              </w:rPr>
              <w:t>estrategia de</w:t>
            </w:r>
            <w:r>
              <w:rPr>
                <w:b/>
                <w:spacing w:val="-4"/>
                <w:sz w:val="18"/>
              </w:rPr>
              <w:t> </w:t>
            </w:r>
            <w:r>
              <w:rPr>
                <w:b/>
                <w:sz w:val="18"/>
              </w:rPr>
              <w:t>divulgación y</w:t>
            </w:r>
            <w:r>
              <w:rPr>
                <w:b/>
                <w:spacing w:val="-4"/>
                <w:sz w:val="18"/>
              </w:rPr>
              <w:t> </w:t>
            </w:r>
            <w:r>
              <w:rPr>
                <w:b/>
                <w:sz w:val="18"/>
              </w:rPr>
              <w:t>soporte dirigida a</w:t>
            </w:r>
            <w:r>
              <w:rPr>
                <w:b/>
                <w:spacing w:val="-9"/>
                <w:sz w:val="18"/>
              </w:rPr>
              <w:t> </w:t>
            </w:r>
            <w:r>
              <w:rPr>
                <w:b/>
                <w:sz w:val="18"/>
              </w:rPr>
              <w:t>las</w:t>
            </w:r>
            <w:r>
              <w:rPr>
                <w:b/>
                <w:spacing w:val="-4"/>
                <w:sz w:val="18"/>
              </w:rPr>
              <w:t> </w:t>
            </w:r>
            <w:r>
              <w:rPr>
                <w:b/>
                <w:sz w:val="18"/>
              </w:rPr>
              <w:t>instancias</w:t>
            </w:r>
            <w:r>
              <w:rPr>
                <w:b/>
                <w:spacing w:val="-4"/>
                <w:sz w:val="18"/>
              </w:rPr>
              <w:t> </w:t>
            </w:r>
            <w:r>
              <w:rPr>
                <w:b/>
                <w:sz w:val="18"/>
              </w:rPr>
              <w:t>del Programa</w:t>
            </w:r>
            <w:r>
              <w:rPr>
                <w:b/>
                <w:spacing w:val="-9"/>
                <w:sz w:val="18"/>
              </w:rPr>
              <w:t> </w:t>
            </w:r>
            <w:r>
              <w:rPr>
                <w:b/>
                <w:sz w:val="18"/>
              </w:rPr>
              <w:t>de Protección</w:t>
            </w:r>
            <w:r>
              <w:rPr>
                <w:b/>
                <w:spacing w:val="-5"/>
                <w:sz w:val="18"/>
              </w:rPr>
              <w:t> </w:t>
            </w:r>
            <w:r>
              <w:rPr>
                <w:b/>
                <w:sz w:val="18"/>
              </w:rPr>
              <w:t>y Promoción Social y</w:t>
            </w:r>
            <w:r>
              <w:rPr>
                <w:b/>
                <w:spacing w:val="-4"/>
                <w:sz w:val="18"/>
              </w:rPr>
              <w:t> </w:t>
            </w:r>
            <w:r>
              <w:rPr>
                <w:b/>
                <w:sz w:val="18"/>
              </w:rPr>
              <w:t>hacia</w:t>
            </w:r>
            <w:r>
              <w:rPr>
                <w:b/>
                <w:spacing w:val="-4"/>
                <w:sz w:val="18"/>
              </w:rPr>
              <w:t> </w:t>
            </w:r>
            <w:r>
              <w:rPr>
                <w:b/>
                <w:sz w:val="18"/>
              </w:rPr>
              <w:t>entidades externas para el impulso de proyectos con organizaciones sociales de las Comunidades en coordinación con la Dirección de Desarrollo Social.</w:t>
            </w:r>
          </w:p>
        </w:tc>
      </w:tr>
      <w:tr>
        <w:trPr>
          <w:trHeight w:val="2693" w:hRule="atLeast"/>
        </w:trPr>
        <w:tc>
          <w:tcPr>
            <w:tcW w:w="2089" w:type="dxa"/>
          </w:tcPr>
          <w:p>
            <w:pPr>
              <w:pStyle w:val="TableParagraph"/>
              <w:ind w:left="72"/>
              <w:rPr>
                <w:sz w:val="18"/>
              </w:rPr>
            </w:pPr>
            <w:r>
              <w:rPr>
                <w:b/>
                <w:sz w:val="18"/>
              </w:rPr>
              <w:t>Actividad PAC 2.50.1: </w:t>
            </w:r>
            <w:r>
              <w:rPr>
                <w:sz w:val="18"/>
              </w:rPr>
              <w:t>Promover en las Unidades Locales y Áreas Regionales para que se involucren en la identificación de proyectos y </w:t>
            </w:r>
            <w:r>
              <w:rPr>
                <w:spacing w:val="-2"/>
                <w:sz w:val="18"/>
              </w:rPr>
              <w:t>organizaciones </w:t>
            </w:r>
            <w:r>
              <w:rPr>
                <w:sz w:val="18"/>
              </w:rPr>
              <w:t>potencialmente sujetas de</w:t>
            </w:r>
            <w:r>
              <w:rPr>
                <w:spacing w:val="-15"/>
                <w:sz w:val="18"/>
              </w:rPr>
              <w:t> </w:t>
            </w:r>
            <w:r>
              <w:rPr>
                <w:sz w:val="18"/>
              </w:rPr>
              <w:t>donación,</w:t>
            </w:r>
            <w:r>
              <w:rPr>
                <w:spacing w:val="-12"/>
                <w:sz w:val="18"/>
              </w:rPr>
              <w:t> </w:t>
            </w:r>
            <w:r>
              <w:rPr>
                <w:sz w:val="18"/>
              </w:rPr>
              <w:t>incluyendo proyectos de</w:t>
            </w:r>
          </w:p>
          <w:p>
            <w:pPr>
              <w:pStyle w:val="TableParagraph"/>
              <w:spacing w:line="206" w:lineRule="exact"/>
              <w:ind w:left="72"/>
              <w:rPr>
                <w:sz w:val="18"/>
              </w:rPr>
            </w:pPr>
            <w:r>
              <w:rPr>
                <w:spacing w:val="-2"/>
                <w:sz w:val="18"/>
              </w:rPr>
              <w:t>responsabilidad empresarial.</w:t>
            </w:r>
          </w:p>
        </w:tc>
        <w:tc>
          <w:tcPr>
            <w:tcW w:w="1407" w:type="dxa"/>
          </w:tcPr>
          <w:p>
            <w:pPr>
              <w:pStyle w:val="TableParagraph"/>
              <w:rPr>
                <w:b/>
                <w:sz w:val="18"/>
              </w:rPr>
            </w:pPr>
          </w:p>
          <w:p>
            <w:pPr>
              <w:pStyle w:val="TableParagraph"/>
              <w:spacing w:before="103"/>
              <w:rPr>
                <w:b/>
                <w:sz w:val="18"/>
              </w:rPr>
            </w:pPr>
          </w:p>
          <w:p>
            <w:pPr>
              <w:pStyle w:val="TableParagraph"/>
              <w:ind w:left="71"/>
              <w:rPr>
                <w:sz w:val="18"/>
              </w:rPr>
            </w:pPr>
            <w:r>
              <w:rPr>
                <w:sz w:val="18"/>
              </w:rPr>
              <w:t>Cantidad de Reuniones - </w:t>
            </w:r>
            <w:r>
              <w:rPr>
                <w:spacing w:val="-2"/>
                <w:sz w:val="18"/>
              </w:rPr>
              <w:t>Capacitaciones </w:t>
            </w:r>
            <w:r>
              <w:rPr>
                <w:sz w:val="18"/>
              </w:rPr>
              <w:t>con Áreas Regionales y </w:t>
            </w:r>
            <w:r>
              <w:rPr>
                <w:spacing w:val="-2"/>
                <w:sz w:val="18"/>
              </w:rPr>
              <w:t>Unidades Locales efectuadas</w:t>
            </w:r>
          </w:p>
        </w:tc>
        <w:tc>
          <w:tcPr>
            <w:tcW w:w="15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right="59"/>
              <w:jc w:val="right"/>
              <w:rPr>
                <w:sz w:val="18"/>
              </w:rPr>
            </w:pPr>
            <w:r>
              <w:rPr>
                <w:spacing w:val="-10"/>
                <w:sz w:val="18"/>
              </w:rPr>
              <w:t>1</w:t>
            </w:r>
          </w:p>
        </w:tc>
        <w:tc>
          <w:tcPr>
            <w:tcW w:w="1249" w:type="dxa"/>
          </w:tcPr>
          <w:p>
            <w:pPr>
              <w:pStyle w:val="TableParagraph"/>
              <w:rPr>
                <w:rFonts w:ascii="Times New Roman"/>
                <w:sz w:val="18"/>
              </w:rPr>
            </w:pPr>
          </w:p>
        </w:tc>
        <w:tc>
          <w:tcPr>
            <w:tcW w:w="16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right="55"/>
              <w:jc w:val="right"/>
              <w:rPr>
                <w:sz w:val="18"/>
              </w:rPr>
            </w:pPr>
            <w:r>
              <w:rPr>
                <w:spacing w:val="-10"/>
                <w:sz w:val="18"/>
              </w:rPr>
              <w:t>2</w:t>
            </w:r>
          </w:p>
        </w:tc>
        <w:tc>
          <w:tcPr>
            <w:tcW w:w="1474" w:type="dxa"/>
          </w:tcPr>
          <w:p>
            <w:pPr>
              <w:pStyle w:val="TableParagraph"/>
              <w:rPr>
                <w:rFonts w:ascii="Times New Roman"/>
                <w:sz w:val="18"/>
              </w:rPr>
            </w:pP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right="60"/>
              <w:jc w:val="right"/>
              <w:rPr>
                <w:sz w:val="18"/>
              </w:rPr>
            </w:pPr>
            <w:r>
              <w:rPr>
                <w:spacing w:val="-10"/>
                <w:sz w:val="18"/>
              </w:rPr>
              <w:t>3</w:t>
            </w:r>
          </w:p>
        </w:tc>
        <w:tc>
          <w:tcPr>
            <w:tcW w:w="990" w:type="dxa"/>
          </w:tcPr>
          <w:p>
            <w:pPr>
              <w:pStyle w:val="TableParagraph"/>
              <w:rPr>
                <w:rFonts w:ascii="Times New Roman"/>
                <w:sz w:val="18"/>
              </w:rPr>
            </w:pPr>
          </w:p>
        </w:tc>
        <w:tc>
          <w:tcPr>
            <w:tcW w:w="14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right="62"/>
              <w:jc w:val="right"/>
              <w:rPr>
                <w:sz w:val="18"/>
              </w:rPr>
            </w:pPr>
            <w:r>
              <w:rPr>
                <w:spacing w:val="-10"/>
                <w:sz w:val="18"/>
              </w:rPr>
              <w:t>4</w:t>
            </w:r>
          </w:p>
        </w:tc>
        <w:tc>
          <w:tcPr>
            <w:tcW w:w="1135" w:type="dxa"/>
          </w:tcPr>
          <w:p>
            <w:pPr>
              <w:pStyle w:val="TableParagraph"/>
              <w:rPr>
                <w:rFonts w:ascii="Times New Roman"/>
                <w:sz w:val="18"/>
              </w:rPr>
            </w:pPr>
          </w:p>
        </w:tc>
      </w:tr>
      <w:tr>
        <w:trPr>
          <w:trHeight w:val="2275" w:hRule="atLeast"/>
        </w:trPr>
        <w:tc>
          <w:tcPr>
            <w:tcW w:w="2089" w:type="dxa"/>
          </w:tcPr>
          <w:p>
            <w:pPr>
              <w:pStyle w:val="TableParagraph"/>
              <w:rPr>
                <w:b/>
                <w:sz w:val="18"/>
              </w:rPr>
            </w:pPr>
          </w:p>
          <w:p>
            <w:pPr>
              <w:pStyle w:val="TableParagraph"/>
              <w:spacing w:before="204"/>
              <w:rPr>
                <w:b/>
                <w:sz w:val="18"/>
              </w:rPr>
            </w:pPr>
          </w:p>
          <w:p>
            <w:pPr>
              <w:pStyle w:val="TableParagraph"/>
              <w:ind w:left="72" w:right="120"/>
              <w:rPr>
                <w:sz w:val="18"/>
              </w:rPr>
            </w:pPr>
            <w:r>
              <w:rPr>
                <w:b/>
                <w:sz w:val="18"/>
              </w:rPr>
              <w:t>Actividad</w:t>
            </w:r>
            <w:r>
              <w:rPr>
                <w:b/>
                <w:spacing w:val="-4"/>
                <w:sz w:val="18"/>
              </w:rPr>
              <w:t> </w:t>
            </w:r>
            <w:r>
              <w:rPr>
                <w:b/>
                <w:sz w:val="18"/>
              </w:rPr>
              <w:t>PAC 2.50.2: </w:t>
            </w:r>
            <w:r>
              <w:rPr>
                <w:sz w:val="18"/>
              </w:rPr>
              <w:t>Coordinar con las </w:t>
            </w:r>
            <w:r>
              <w:rPr>
                <w:spacing w:val="-2"/>
                <w:sz w:val="18"/>
              </w:rPr>
              <w:t>organizaciones </w:t>
            </w:r>
            <w:r>
              <w:rPr>
                <w:sz w:val="18"/>
              </w:rPr>
              <w:t>sociales,</w:t>
            </w:r>
            <w:r>
              <w:rPr>
                <w:spacing w:val="-9"/>
                <w:sz w:val="18"/>
              </w:rPr>
              <w:t> </w:t>
            </w:r>
            <w:r>
              <w:rPr>
                <w:sz w:val="18"/>
              </w:rPr>
              <w:t>el</w:t>
            </w:r>
            <w:r>
              <w:rPr>
                <w:spacing w:val="-12"/>
                <w:sz w:val="18"/>
              </w:rPr>
              <w:t> </w:t>
            </w:r>
            <w:r>
              <w:rPr>
                <w:sz w:val="18"/>
              </w:rPr>
              <w:t>retiro</w:t>
            </w:r>
            <w:r>
              <w:rPr>
                <w:spacing w:val="-7"/>
                <w:sz w:val="18"/>
              </w:rPr>
              <w:t> </w:t>
            </w:r>
            <w:r>
              <w:rPr>
                <w:sz w:val="18"/>
              </w:rPr>
              <w:t>de</w:t>
            </w:r>
            <w:r>
              <w:rPr>
                <w:spacing w:val="-7"/>
                <w:sz w:val="18"/>
              </w:rPr>
              <w:t> </w:t>
            </w:r>
            <w:r>
              <w:rPr>
                <w:sz w:val="18"/>
              </w:rPr>
              <w:t>las donaciones</w:t>
            </w:r>
            <w:r>
              <w:rPr>
                <w:spacing w:val="-5"/>
                <w:sz w:val="18"/>
              </w:rPr>
              <w:t> </w:t>
            </w:r>
            <w:r>
              <w:rPr>
                <w:spacing w:val="-2"/>
                <w:sz w:val="18"/>
              </w:rPr>
              <w:t>aprobadas.</w:t>
            </w:r>
          </w:p>
        </w:tc>
        <w:tc>
          <w:tcPr>
            <w:tcW w:w="1407" w:type="dxa"/>
          </w:tcPr>
          <w:p>
            <w:pPr>
              <w:pStyle w:val="TableParagraph"/>
              <w:ind w:left="71" w:right="59"/>
              <w:rPr>
                <w:sz w:val="18"/>
              </w:rPr>
            </w:pPr>
            <w:r>
              <w:rPr>
                <w:sz w:val="18"/>
              </w:rPr>
              <w:t>Cantidad de </w:t>
            </w:r>
            <w:r>
              <w:rPr>
                <w:spacing w:val="-2"/>
                <w:sz w:val="18"/>
              </w:rPr>
              <w:t>organizaciones </w:t>
            </w:r>
            <w:r>
              <w:rPr>
                <w:sz w:val="18"/>
              </w:rPr>
              <w:t>sociales con </w:t>
            </w:r>
            <w:r>
              <w:rPr>
                <w:spacing w:val="-2"/>
                <w:sz w:val="18"/>
              </w:rPr>
              <w:t>donaciones </w:t>
            </w:r>
            <w:r>
              <w:rPr>
                <w:sz w:val="18"/>
              </w:rPr>
              <w:t>recibidas, en </w:t>
            </w:r>
            <w:r>
              <w:rPr>
                <w:spacing w:val="-2"/>
                <w:sz w:val="18"/>
              </w:rPr>
              <w:t>coordinación </w:t>
            </w:r>
            <w:r>
              <w:rPr>
                <w:sz w:val="18"/>
              </w:rPr>
              <w:t>con Programa de Bienestar y </w:t>
            </w:r>
            <w:r>
              <w:rPr>
                <w:spacing w:val="-2"/>
                <w:sz w:val="18"/>
              </w:rPr>
              <w:t>Promoción</w:t>
            </w:r>
          </w:p>
          <w:p>
            <w:pPr>
              <w:pStyle w:val="TableParagraph"/>
              <w:spacing w:line="206" w:lineRule="exact"/>
              <w:ind w:left="71"/>
              <w:rPr>
                <w:sz w:val="18"/>
              </w:rPr>
            </w:pPr>
            <w:r>
              <w:rPr>
                <w:sz w:val="18"/>
              </w:rPr>
              <w:t>social</w:t>
            </w:r>
            <w:r>
              <w:rPr>
                <w:spacing w:val="-15"/>
                <w:sz w:val="18"/>
              </w:rPr>
              <w:t> </w:t>
            </w:r>
            <w:r>
              <w:rPr>
                <w:sz w:val="18"/>
              </w:rPr>
              <w:t>y</w:t>
            </w:r>
            <w:r>
              <w:rPr>
                <w:spacing w:val="-12"/>
                <w:sz w:val="18"/>
              </w:rPr>
              <w:t> </w:t>
            </w:r>
            <w:r>
              <w:rPr>
                <w:sz w:val="18"/>
              </w:rPr>
              <w:t>otros entes afines</w:t>
            </w:r>
          </w:p>
        </w:tc>
        <w:tc>
          <w:tcPr>
            <w:tcW w:w="15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60"/>
              <w:jc w:val="right"/>
              <w:rPr>
                <w:sz w:val="18"/>
              </w:rPr>
            </w:pPr>
            <w:r>
              <w:rPr>
                <w:spacing w:val="-5"/>
                <w:sz w:val="18"/>
              </w:rPr>
              <w:t>45</w:t>
            </w:r>
          </w:p>
        </w:tc>
        <w:tc>
          <w:tcPr>
            <w:tcW w:w="1249" w:type="dxa"/>
          </w:tcPr>
          <w:p>
            <w:pPr>
              <w:pStyle w:val="TableParagraph"/>
              <w:rPr>
                <w:rFonts w:ascii="Times New Roman"/>
                <w:sz w:val="18"/>
              </w:rPr>
            </w:pPr>
          </w:p>
        </w:tc>
        <w:tc>
          <w:tcPr>
            <w:tcW w:w="16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6"/>
              <w:jc w:val="right"/>
              <w:rPr>
                <w:sz w:val="18"/>
              </w:rPr>
            </w:pPr>
            <w:r>
              <w:rPr>
                <w:spacing w:val="-5"/>
                <w:sz w:val="18"/>
              </w:rPr>
              <w:t>120</w:t>
            </w:r>
          </w:p>
        </w:tc>
        <w:tc>
          <w:tcPr>
            <w:tcW w:w="1474" w:type="dxa"/>
          </w:tcPr>
          <w:p>
            <w:pPr>
              <w:pStyle w:val="TableParagraph"/>
              <w:rPr>
                <w:rFonts w:ascii="Times New Roman"/>
                <w:sz w:val="18"/>
              </w:rPr>
            </w:pP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61"/>
              <w:jc w:val="right"/>
              <w:rPr>
                <w:sz w:val="18"/>
              </w:rPr>
            </w:pPr>
            <w:r>
              <w:rPr>
                <w:spacing w:val="-5"/>
                <w:sz w:val="18"/>
              </w:rPr>
              <w:t>180</w:t>
            </w:r>
          </w:p>
        </w:tc>
        <w:tc>
          <w:tcPr>
            <w:tcW w:w="990" w:type="dxa"/>
          </w:tcPr>
          <w:p>
            <w:pPr>
              <w:pStyle w:val="TableParagraph"/>
              <w:rPr>
                <w:rFonts w:ascii="Times New Roman"/>
                <w:sz w:val="18"/>
              </w:rPr>
            </w:pPr>
          </w:p>
        </w:tc>
        <w:tc>
          <w:tcPr>
            <w:tcW w:w="14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63"/>
              <w:jc w:val="right"/>
              <w:rPr>
                <w:sz w:val="18"/>
              </w:rPr>
            </w:pPr>
            <w:r>
              <w:rPr>
                <w:spacing w:val="-5"/>
                <w:sz w:val="18"/>
              </w:rPr>
              <w:t>225</w:t>
            </w:r>
          </w:p>
        </w:tc>
        <w:tc>
          <w:tcPr>
            <w:tcW w:w="1135" w:type="dxa"/>
          </w:tcPr>
          <w:p>
            <w:pPr>
              <w:pStyle w:val="TableParagraph"/>
              <w:rPr>
                <w:rFonts w:ascii="Times New Roman"/>
                <w:sz w:val="18"/>
              </w:rPr>
            </w:pPr>
          </w:p>
        </w:tc>
      </w:tr>
      <w:tr>
        <w:trPr>
          <w:trHeight w:val="407" w:hRule="atLeast"/>
        </w:trPr>
        <w:tc>
          <w:tcPr>
            <w:tcW w:w="14462" w:type="dxa"/>
            <w:gridSpan w:val="10"/>
            <w:shd w:val="clear" w:color="auto" w:fill="EFF8F9"/>
          </w:tcPr>
          <w:p>
            <w:pPr>
              <w:pStyle w:val="TableParagraph"/>
              <w:spacing w:before="99"/>
              <w:ind w:left="72"/>
              <w:rPr>
                <w:b/>
                <w:sz w:val="18"/>
              </w:rPr>
            </w:pPr>
            <w:r>
              <w:rPr>
                <w:b/>
                <w:sz w:val="18"/>
              </w:rPr>
              <w:t>Producto</w:t>
            </w:r>
            <w:r>
              <w:rPr>
                <w:b/>
                <w:spacing w:val="-8"/>
                <w:sz w:val="18"/>
              </w:rPr>
              <w:t> </w:t>
            </w:r>
            <w:r>
              <w:rPr>
                <w:b/>
                <w:sz w:val="18"/>
              </w:rPr>
              <w:t>2.51:</w:t>
            </w:r>
            <w:r>
              <w:rPr>
                <w:b/>
                <w:spacing w:val="-2"/>
                <w:sz w:val="18"/>
              </w:rPr>
              <w:t> </w:t>
            </w:r>
            <w:r>
              <w:rPr>
                <w:b/>
                <w:sz w:val="18"/>
              </w:rPr>
              <w:t>Proyectos</w:t>
            </w:r>
            <w:r>
              <w:rPr>
                <w:b/>
                <w:spacing w:val="-7"/>
                <w:sz w:val="18"/>
              </w:rPr>
              <w:t> </w:t>
            </w:r>
            <w:r>
              <w:rPr>
                <w:b/>
                <w:sz w:val="18"/>
              </w:rPr>
              <w:t>de</w:t>
            </w:r>
            <w:r>
              <w:rPr>
                <w:b/>
                <w:spacing w:val="-3"/>
                <w:sz w:val="18"/>
              </w:rPr>
              <w:t> </w:t>
            </w:r>
            <w:r>
              <w:rPr>
                <w:b/>
                <w:sz w:val="18"/>
              </w:rPr>
              <w:t>organizaciones</w:t>
            </w:r>
            <w:r>
              <w:rPr>
                <w:b/>
                <w:spacing w:val="-7"/>
                <w:sz w:val="18"/>
              </w:rPr>
              <w:t> </w:t>
            </w:r>
            <w:r>
              <w:rPr>
                <w:b/>
                <w:sz w:val="18"/>
              </w:rPr>
              <w:t>sociales</w:t>
            </w:r>
            <w:r>
              <w:rPr>
                <w:b/>
                <w:spacing w:val="-7"/>
                <w:sz w:val="18"/>
              </w:rPr>
              <w:t> </w:t>
            </w:r>
            <w:r>
              <w:rPr>
                <w:b/>
                <w:sz w:val="18"/>
              </w:rPr>
              <w:t>identificados</w:t>
            </w:r>
            <w:r>
              <w:rPr>
                <w:b/>
                <w:spacing w:val="-7"/>
                <w:sz w:val="18"/>
              </w:rPr>
              <w:t> </w:t>
            </w:r>
            <w:r>
              <w:rPr>
                <w:b/>
                <w:sz w:val="18"/>
              </w:rPr>
              <w:t>por</w:t>
            </w:r>
            <w:r>
              <w:rPr>
                <w:b/>
                <w:spacing w:val="-6"/>
                <w:sz w:val="18"/>
              </w:rPr>
              <w:t> </w:t>
            </w:r>
            <w:r>
              <w:rPr>
                <w:b/>
                <w:sz w:val="18"/>
              </w:rPr>
              <w:t>el</w:t>
            </w:r>
            <w:r>
              <w:rPr>
                <w:b/>
                <w:spacing w:val="-8"/>
                <w:sz w:val="18"/>
              </w:rPr>
              <w:t> </w:t>
            </w:r>
            <w:r>
              <w:rPr>
                <w:b/>
                <w:sz w:val="18"/>
              </w:rPr>
              <w:t>IMAS</w:t>
            </w:r>
            <w:r>
              <w:rPr>
                <w:b/>
                <w:spacing w:val="-8"/>
                <w:sz w:val="18"/>
              </w:rPr>
              <w:t> </w:t>
            </w:r>
            <w:r>
              <w:rPr>
                <w:b/>
                <w:sz w:val="18"/>
              </w:rPr>
              <w:t>vinculados</w:t>
            </w:r>
            <w:r>
              <w:rPr>
                <w:b/>
                <w:spacing w:val="-7"/>
                <w:sz w:val="18"/>
              </w:rPr>
              <w:t> </w:t>
            </w:r>
            <w:r>
              <w:rPr>
                <w:b/>
                <w:sz w:val="18"/>
              </w:rPr>
              <w:t>con</w:t>
            </w:r>
            <w:r>
              <w:rPr>
                <w:b/>
                <w:spacing w:val="-8"/>
                <w:sz w:val="18"/>
              </w:rPr>
              <w:t> </w:t>
            </w:r>
            <w:r>
              <w:rPr>
                <w:b/>
                <w:sz w:val="18"/>
              </w:rPr>
              <w:t>iniciativas</w:t>
            </w:r>
            <w:r>
              <w:rPr>
                <w:b/>
                <w:spacing w:val="-7"/>
                <w:sz w:val="18"/>
              </w:rPr>
              <w:t> </w:t>
            </w:r>
            <w:r>
              <w:rPr>
                <w:b/>
                <w:sz w:val="18"/>
              </w:rPr>
              <w:t>de</w:t>
            </w:r>
            <w:r>
              <w:rPr>
                <w:b/>
                <w:spacing w:val="-7"/>
                <w:sz w:val="18"/>
              </w:rPr>
              <w:t> </w:t>
            </w:r>
            <w:r>
              <w:rPr>
                <w:b/>
                <w:sz w:val="18"/>
              </w:rPr>
              <w:t>responsabilidad</w:t>
            </w:r>
            <w:r>
              <w:rPr>
                <w:b/>
                <w:spacing w:val="-3"/>
                <w:sz w:val="18"/>
              </w:rPr>
              <w:t> </w:t>
            </w:r>
            <w:r>
              <w:rPr>
                <w:b/>
                <w:sz w:val="18"/>
              </w:rPr>
              <w:t>social</w:t>
            </w:r>
            <w:r>
              <w:rPr>
                <w:b/>
                <w:spacing w:val="-5"/>
                <w:sz w:val="18"/>
              </w:rPr>
              <w:t> </w:t>
            </w:r>
            <w:r>
              <w:rPr>
                <w:b/>
                <w:spacing w:val="-2"/>
                <w:sz w:val="18"/>
              </w:rPr>
              <w:t>empresarial.</w:t>
            </w:r>
          </w:p>
        </w:tc>
      </w:tr>
    </w:tbl>
    <w:p>
      <w:pPr>
        <w:pStyle w:val="TableParagraph"/>
        <w:spacing w:after="0"/>
        <w:rPr>
          <w:b/>
          <w:sz w:val="18"/>
        </w:rPr>
        <w:sectPr>
          <w:type w:val="continuous"/>
          <w:pgSz w:w="15840" w:h="12240" w:orient="landscape"/>
          <w:pgMar w:header="0" w:footer="1806" w:top="700" w:bottom="356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9"/>
        <w:gridCol w:w="1407"/>
        <w:gridCol w:w="1517"/>
        <w:gridCol w:w="1249"/>
        <w:gridCol w:w="1618"/>
        <w:gridCol w:w="1474"/>
        <w:gridCol w:w="1561"/>
        <w:gridCol w:w="990"/>
        <w:gridCol w:w="1422"/>
        <w:gridCol w:w="1135"/>
      </w:tblGrid>
      <w:tr>
        <w:trPr>
          <w:trHeight w:val="282" w:hRule="atLeast"/>
        </w:trPr>
        <w:tc>
          <w:tcPr>
            <w:tcW w:w="2089" w:type="dxa"/>
            <w:vMerge w:val="restart"/>
            <w:shd w:val="clear" w:color="auto" w:fill="D9D9D9"/>
          </w:tcPr>
          <w:p>
            <w:pPr>
              <w:pStyle w:val="TableParagraph"/>
              <w:spacing w:before="75"/>
              <w:rPr>
                <w:b/>
                <w:sz w:val="18"/>
              </w:rPr>
            </w:pPr>
          </w:p>
          <w:p>
            <w:pPr>
              <w:pStyle w:val="TableParagraph"/>
              <w:ind w:left="77"/>
              <w:rPr>
                <w:b/>
                <w:sz w:val="18"/>
              </w:rPr>
            </w:pPr>
            <w:r>
              <w:rPr>
                <w:b/>
                <w:sz w:val="18"/>
              </w:rPr>
              <w:t>Objetivos</w:t>
            </w:r>
            <w:r>
              <w:rPr>
                <w:b/>
                <w:spacing w:val="-5"/>
                <w:sz w:val="18"/>
              </w:rPr>
              <w:t> </w:t>
            </w:r>
            <w:r>
              <w:rPr>
                <w:b/>
                <w:sz w:val="18"/>
              </w:rPr>
              <w:t>/</w:t>
            </w:r>
            <w:r>
              <w:rPr>
                <w:b/>
                <w:spacing w:val="-2"/>
                <w:sz w:val="18"/>
              </w:rPr>
              <w:t> Resultados</w:t>
            </w:r>
          </w:p>
        </w:tc>
        <w:tc>
          <w:tcPr>
            <w:tcW w:w="1407" w:type="dxa"/>
            <w:vMerge w:val="restart"/>
            <w:shd w:val="clear" w:color="auto" w:fill="D9D9D9"/>
          </w:tcPr>
          <w:p>
            <w:pPr>
              <w:pStyle w:val="TableParagraph"/>
              <w:spacing w:before="75"/>
              <w:rPr>
                <w:b/>
                <w:sz w:val="18"/>
              </w:rPr>
            </w:pPr>
          </w:p>
          <w:p>
            <w:pPr>
              <w:pStyle w:val="TableParagraph"/>
              <w:ind w:left="297"/>
              <w:rPr>
                <w:b/>
                <w:sz w:val="18"/>
              </w:rPr>
            </w:pPr>
            <w:r>
              <w:rPr>
                <w:b/>
                <w:spacing w:val="-2"/>
                <w:sz w:val="18"/>
              </w:rPr>
              <w:t>Indicador</w:t>
            </w:r>
          </w:p>
        </w:tc>
        <w:tc>
          <w:tcPr>
            <w:tcW w:w="2766" w:type="dxa"/>
            <w:gridSpan w:val="2"/>
            <w:shd w:val="clear" w:color="auto" w:fill="D9D9D9"/>
          </w:tcPr>
          <w:p>
            <w:pPr>
              <w:pStyle w:val="TableParagraph"/>
              <w:spacing w:before="37"/>
              <w:ind w:left="916"/>
              <w:rPr>
                <w:b/>
                <w:sz w:val="18"/>
              </w:rPr>
            </w:pPr>
            <w:r>
              <w:rPr>
                <w:b/>
                <w:sz w:val="18"/>
              </w:rPr>
              <w:t>I</w:t>
            </w:r>
            <w:r>
              <w:rPr>
                <w:b/>
                <w:spacing w:val="-1"/>
                <w:sz w:val="18"/>
              </w:rPr>
              <w:t> </w:t>
            </w:r>
            <w:r>
              <w:rPr>
                <w:b/>
                <w:spacing w:val="-2"/>
                <w:sz w:val="18"/>
              </w:rPr>
              <w:t>Trimestre</w:t>
            </w:r>
          </w:p>
        </w:tc>
        <w:tc>
          <w:tcPr>
            <w:tcW w:w="3092" w:type="dxa"/>
            <w:gridSpan w:val="2"/>
            <w:shd w:val="clear" w:color="auto" w:fill="D9D9D9"/>
          </w:tcPr>
          <w:p>
            <w:pPr>
              <w:pStyle w:val="TableParagraph"/>
              <w:spacing w:before="37"/>
              <w:ind w:left="12"/>
              <w:jc w:val="center"/>
              <w:rPr>
                <w:b/>
                <w:sz w:val="18"/>
              </w:rPr>
            </w:pPr>
            <w:r>
              <w:rPr>
                <w:b/>
                <w:sz w:val="18"/>
              </w:rPr>
              <w:t>II</w:t>
            </w:r>
            <w:r>
              <w:rPr>
                <w:b/>
                <w:spacing w:val="-3"/>
                <w:sz w:val="18"/>
              </w:rPr>
              <w:t> </w:t>
            </w:r>
            <w:r>
              <w:rPr>
                <w:b/>
                <w:spacing w:val="-2"/>
                <w:sz w:val="18"/>
              </w:rPr>
              <w:t>Trimestre</w:t>
            </w:r>
          </w:p>
        </w:tc>
        <w:tc>
          <w:tcPr>
            <w:tcW w:w="2551" w:type="dxa"/>
            <w:gridSpan w:val="2"/>
            <w:shd w:val="clear" w:color="auto" w:fill="D9D9D9"/>
          </w:tcPr>
          <w:p>
            <w:pPr>
              <w:pStyle w:val="TableParagraph"/>
              <w:spacing w:before="37"/>
              <w:ind w:left="762"/>
              <w:rPr>
                <w:b/>
                <w:sz w:val="18"/>
              </w:rPr>
            </w:pPr>
            <w:r>
              <w:rPr>
                <w:b/>
                <w:sz w:val="18"/>
              </w:rPr>
              <w:t>III</w:t>
            </w:r>
            <w:r>
              <w:rPr>
                <w:b/>
                <w:spacing w:val="-2"/>
                <w:sz w:val="18"/>
              </w:rPr>
              <w:t> Trimestre</w:t>
            </w:r>
          </w:p>
        </w:tc>
        <w:tc>
          <w:tcPr>
            <w:tcW w:w="2557" w:type="dxa"/>
            <w:gridSpan w:val="2"/>
            <w:shd w:val="clear" w:color="auto" w:fill="D9D9D9"/>
          </w:tcPr>
          <w:p>
            <w:pPr>
              <w:pStyle w:val="TableParagraph"/>
              <w:spacing w:before="37"/>
              <w:ind w:left="756"/>
              <w:rPr>
                <w:b/>
                <w:sz w:val="18"/>
              </w:rPr>
            </w:pPr>
            <w:r>
              <w:rPr>
                <w:b/>
                <w:sz w:val="18"/>
              </w:rPr>
              <w:t>IV</w:t>
            </w:r>
            <w:r>
              <w:rPr>
                <w:b/>
                <w:spacing w:val="-2"/>
                <w:sz w:val="18"/>
              </w:rPr>
              <w:t> Trimestre</w:t>
            </w:r>
          </w:p>
        </w:tc>
      </w:tr>
      <w:tr>
        <w:trPr>
          <w:trHeight w:val="484" w:hRule="atLeast"/>
        </w:trPr>
        <w:tc>
          <w:tcPr>
            <w:tcW w:w="2089" w:type="dxa"/>
            <w:vMerge/>
            <w:tcBorders>
              <w:top w:val="nil"/>
            </w:tcBorders>
            <w:shd w:val="clear" w:color="auto" w:fill="D9D9D9"/>
          </w:tcPr>
          <w:p>
            <w:pPr>
              <w:rPr>
                <w:sz w:val="2"/>
                <w:szCs w:val="2"/>
              </w:rPr>
            </w:pPr>
          </w:p>
        </w:tc>
        <w:tc>
          <w:tcPr>
            <w:tcW w:w="1407" w:type="dxa"/>
            <w:vMerge/>
            <w:tcBorders>
              <w:top w:val="nil"/>
            </w:tcBorders>
            <w:shd w:val="clear" w:color="auto" w:fill="D9D9D9"/>
          </w:tcPr>
          <w:p>
            <w:pPr>
              <w:rPr>
                <w:sz w:val="2"/>
                <w:szCs w:val="2"/>
              </w:rPr>
            </w:pPr>
          </w:p>
        </w:tc>
        <w:tc>
          <w:tcPr>
            <w:tcW w:w="1517" w:type="dxa"/>
            <w:shd w:val="clear" w:color="auto" w:fill="D9D9D9"/>
          </w:tcPr>
          <w:p>
            <w:pPr>
              <w:pStyle w:val="TableParagraph"/>
              <w:spacing w:line="244" w:lineRule="auto" w:before="32"/>
              <w:ind w:left="234" w:firstLine="312"/>
              <w:rPr>
                <w:b/>
                <w:sz w:val="18"/>
              </w:rPr>
            </w:pPr>
            <w:r>
              <w:rPr>
                <w:b/>
                <w:spacing w:val="-4"/>
                <w:sz w:val="18"/>
              </w:rPr>
              <w:t>Meta </w:t>
            </w:r>
            <w:r>
              <w:rPr>
                <w:b/>
                <w:spacing w:val="-2"/>
                <w:sz w:val="18"/>
              </w:rPr>
              <w:t>programada</w:t>
            </w:r>
          </w:p>
        </w:tc>
        <w:tc>
          <w:tcPr>
            <w:tcW w:w="1249" w:type="dxa"/>
            <w:shd w:val="clear" w:color="auto" w:fill="D9D9D9"/>
          </w:tcPr>
          <w:p>
            <w:pPr>
              <w:pStyle w:val="TableParagraph"/>
              <w:spacing w:before="138"/>
              <w:ind w:left="14" w:right="10"/>
              <w:jc w:val="center"/>
              <w:rPr>
                <w:b/>
                <w:sz w:val="18"/>
              </w:rPr>
            </w:pPr>
            <w:r>
              <w:rPr>
                <w:b/>
                <w:spacing w:val="-10"/>
                <w:sz w:val="18"/>
              </w:rPr>
              <w:t>¢</w:t>
            </w:r>
          </w:p>
        </w:tc>
        <w:tc>
          <w:tcPr>
            <w:tcW w:w="1618" w:type="dxa"/>
            <w:shd w:val="clear" w:color="auto" w:fill="D9D9D9"/>
          </w:tcPr>
          <w:p>
            <w:pPr>
              <w:pStyle w:val="TableParagraph"/>
              <w:spacing w:line="244" w:lineRule="auto" w:before="32"/>
              <w:ind w:left="287" w:firstLine="317"/>
              <w:rPr>
                <w:b/>
                <w:sz w:val="18"/>
              </w:rPr>
            </w:pPr>
            <w:r>
              <w:rPr>
                <w:b/>
                <w:spacing w:val="-4"/>
                <w:sz w:val="18"/>
              </w:rPr>
              <w:t>Meta </w:t>
            </w:r>
            <w:r>
              <w:rPr>
                <w:b/>
                <w:spacing w:val="-2"/>
                <w:sz w:val="18"/>
              </w:rPr>
              <w:t>programada</w:t>
            </w:r>
          </w:p>
        </w:tc>
        <w:tc>
          <w:tcPr>
            <w:tcW w:w="1474" w:type="dxa"/>
            <w:shd w:val="clear" w:color="auto" w:fill="D9D9D9"/>
          </w:tcPr>
          <w:p>
            <w:pPr>
              <w:pStyle w:val="TableParagraph"/>
              <w:spacing w:before="138"/>
              <w:ind w:left="9"/>
              <w:jc w:val="center"/>
              <w:rPr>
                <w:b/>
                <w:sz w:val="18"/>
              </w:rPr>
            </w:pPr>
            <w:r>
              <w:rPr>
                <w:b/>
                <w:spacing w:val="-10"/>
                <w:sz w:val="18"/>
              </w:rPr>
              <w:t>¢</w:t>
            </w:r>
          </w:p>
        </w:tc>
        <w:tc>
          <w:tcPr>
            <w:tcW w:w="1561" w:type="dxa"/>
            <w:shd w:val="clear" w:color="auto" w:fill="D9D9D9"/>
          </w:tcPr>
          <w:p>
            <w:pPr>
              <w:pStyle w:val="TableParagraph"/>
              <w:spacing w:line="244" w:lineRule="auto" w:before="32"/>
              <w:ind w:left="258" w:firstLine="312"/>
              <w:rPr>
                <w:b/>
                <w:sz w:val="18"/>
              </w:rPr>
            </w:pPr>
            <w:r>
              <w:rPr>
                <w:b/>
                <w:spacing w:val="-4"/>
                <w:sz w:val="18"/>
              </w:rPr>
              <w:t>Meta </w:t>
            </w:r>
            <w:r>
              <w:rPr>
                <w:b/>
                <w:spacing w:val="-2"/>
                <w:sz w:val="18"/>
              </w:rPr>
              <w:t>programada</w:t>
            </w:r>
          </w:p>
        </w:tc>
        <w:tc>
          <w:tcPr>
            <w:tcW w:w="990" w:type="dxa"/>
            <w:shd w:val="clear" w:color="auto" w:fill="D9D9D9"/>
          </w:tcPr>
          <w:p>
            <w:pPr>
              <w:pStyle w:val="TableParagraph"/>
              <w:spacing w:before="138"/>
              <w:ind w:left="11"/>
              <w:jc w:val="center"/>
              <w:rPr>
                <w:b/>
                <w:sz w:val="18"/>
              </w:rPr>
            </w:pPr>
            <w:r>
              <w:rPr>
                <w:b/>
                <w:spacing w:val="-10"/>
                <w:sz w:val="18"/>
              </w:rPr>
              <w:t>¢</w:t>
            </w:r>
          </w:p>
        </w:tc>
        <w:tc>
          <w:tcPr>
            <w:tcW w:w="1422" w:type="dxa"/>
            <w:shd w:val="clear" w:color="auto" w:fill="D9D9D9"/>
          </w:tcPr>
          <w:p>
            <w:pPr>
              <w:pStyle w:val="TableParagraph"/>
              <w:spacing w:line="244" w:lineRule="auto" w:before="32"/>
              <w:ind w:left="185" w:firstLine="316"/>
              <w:rPr>
                <w:b/>
                <w:sz w:val="18"/>
              </w:rPr>
            </w:pPr>
            <w:r>
              <w:rPr>
                <w:b/>
                <w:spacing w:val="-4"/>
                <w:sz w:val="18"/>
              </w:rPr>
              <w:t>Meta </w:t>
            </w:r>
            <w:r>
              <w:rPr>
                <w:b/>
                <w:spacing w:val="-2"/>
                <w:sz w:val="18"/>
              </w:rPr>
              <w:t>programada</w:t>
            </w:r>
          </w:p>
        </w:tc>
        <w:tc>
          <w:tcPr>
            <w:tcW w:w="1135" w:type="dxa"/>
            <w:shd w:val="clear" w:color="auto" w:fill="D9D9D9"/>
          </w:tcPr>
          <w:p>
            <w:pPr>
              <w:pStyle w:val="TableParagraph"/>
              <w:spacing w:before="138"/>
              <w:ind w:left="7"/>
              <w:jc w:val="center"/>
              <w:rPr>
                <w:b/>
                <w:sz w:val="18"/>
              </w:rPr>
            </w:pPr>
            <w:r>
              <w:rPr>
                <w:b/>
                <w:spacing w:val="-10"/>
                <w:sz w:val="18"/>
              </w:rPr>
              <w:t>¢</w:t>
            </w:r>
          </w:p>
        </w:tc>
      </w:tr>
      <w:tr>
        <w:trPr>
          <w:trHeight w:val="2400" w:hRule="atLeast"/>
        </w:trPr>
        <w:tc>
          <w:tcPr>
            <w:tcW w:w="2089" w:type="dxa"/>
          </w:tcPr>
          <w:p>
            <w:pPr>
              <w:pStyle w:val="TableParagraph"/>
              <w:spacing w:before="56"/>
              <w:ind w:left="72" w:right="23"/>
              <w:rPr>
                <w:sz w:val="18"/>
              </w:rPr>
            </w:pPr>
            <w:r>
              <w:rPr>
                <w:b/>
                <w:sz w:val="18"/>
              </w:rPr>
              <w:t>Actividad PAC 2.51.1: </w:t>
            </w:r>
            <w:r>
              <w:rPr>
                <w:sz w:val="18"/>
              </w:rPr>
              <w:t>Realizar</w:t>
            </w:r>
            <w:r>
              <w:rPr>
                <w:spacing w:val="-15"/>
                <w:sz w:val="18"/>
              </w:rPr>
              <w:t> </w:t>
            </w:r>
            <w:r>
              <w:rPr>
                <w:sz w:val="18"/>
              </w:rPr>
              <w:t>la</w:t>
            </w:r>
            <w:r>
              <w:rPr>
                <w:spacing w:val="-12"/>
                <w:sz w:val="18"/>
              </w:rPr>
              <w:t> </w:t>
            </w:r>
            <w:r>
              <w:rPr>
                <w:sz w:val="18"/>
              </w:rPr>
              <w:t>identificación y contacto</w:t>
            </w:r>
            <w:r>
              <w:rPr>
                <w:spacing w:val="-4"/>
                <w:sz w:val="18"/>
              </w:rPr>
              <w:t> </w:t>
            </w:r>
            <w:r>
              <w:rPr>
                <w:sz w:val="18"/>
              </w:rPr>
              <w:t>de</w:t>
            </w:r>
            <w:r>
              <w:rPr>
                <w:spacing w:val="-4"/>
                <w:sz w:val="18"/>
              </w:rPr>
              <w:t> </w:t>
            </w:r>
            <w:r>
              <w:rPr>
                <w:sz w:val="18"/>
              </w:rPr>
              <w:t>empresas o entidades con programas de responsabilidad social con potencial para ser vinculadas a proyectos de organizaciones sociales sujetas del accionar institucional.</w:t>
            </w:r>
          </w:p>
        </w:tc>
        <w:tc>
          <w:tcPr>
            <w:tcW w:w="1407" w:type="dxa"/>
          </w:tcPr>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71"/>
              <w:rPr>
                <w:sz w:val="18"/>
              </w:rPr>
            </w:pPr>
            <w:r>
              <w:rPr>
                <w:sz w:val="18"/>
              </w:rPr>
              <w:t>Cantidad</w:t>
            </w:r>
            <w:r>
              <w:rPr>
                <w:spacing w:val="-13"/>
                <w:sz w:val="18"/>
              </w:rPr>
              <w:t> </w:t>
            </w:r>
            <w:r>
              <w:rPr>
                <w:sz w:val="18"/>
              </w:rPr>
              <w:t>de </w:t>
            </w:r>
            <w:r>
              <w:rPr>
                <w:spacing w:val="-2"/>
                <w:sz w:val="18"/>
              </w:rPr>
              <w:t>Empresas contactadas</w:t>
            </w:r>
          </w:p>
        </w:tc>
        <w:tc>
          <w:tcPr>
            <w:tcW w:w="15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right="59"/>
              <w:jc w:val="right"/>
              <w:rPr>
                <w:sz w:val="18"/>
              </w:rPr>
            </w:pPr>
            <w:r>
              <w:rPr>
                <w:spacing w:val="-10"/>
                <w:sz w:val="18"/>
              </w:rPr>
              <w:t>6</w:t>
            </w:r>
          </w:p>
        </w:tc>
        <w:tc>
          <w:tcPr>
            <w:tcW w:w="1249" w:type="dxa"/>
          </w:tcPr>
          <w:p>
            <w:pPr>
              <w:pStyle w:val="TableParagraph"/>
              <w:rPr>
                <w:rFonts w:ascii="Times New Roman"/>
                <w:sz w:val="18"/>
              </w:rPr>
            </w:pPr>
          </w:p>
        </w:tc>
        <w:tc>
          <w:tcPr>
            <w:tcW w:w="1618" w:type="dxa"/>
          </w:tcPr>
          <w:p>
            <w:pPr>
              <w:pStyle w:val="TableParagraph"/>
              <w:rPr>
                <w:rFonts w:ascii="Times New Roman"/>
                <w:sz w:val="18"/>
              </w:rPr>
            </w:pPr>
          </w:p>
        </w:tc>
        <w:tc>
          <w:tcPr>
            <w:tcW w:w="1474" w:type="dxa"/>
          </w:tcPr>
          <w:p>
            <w:pPr>
              <w:pStyle w:val="TableParagraph"/>
              <w:rPr>
                <w:rFonts w:ascii="Times New Roman"/>
                <w:sz w:val="18"/>
              </w:rPr>
            </w:pP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right="61"/>
              <w:jc w:val="right"/>
              <w:rPr>
                <w:sz w:val="18"/>
              </w:rPr>
            </w:pPr>
            <w:r>
              <w:rPr>
                <w:spacing w:val="-5"/>
                <w:sz w:val="18"/>
              </w:rPr>
              <w:t>12</w:t>
            </w:r>
          </w:p>
        </w:tc>
        <w:tc>
          <w:tcPr>
            <w:tcW w:w="990" w:type="dxa"/>
          </w:tcPr>
          <w:p>
            <w:pPr>
              <w:pStyle w:val="TableParagraph"/>
              <w:rPr>
                <w:rFonts w:ascii="Times New Roman"/>
                <w:sz w:val="18"/>
              </w:rPr>
            </w:pPr>
          </w:p>
        </w:tc>
        <w:tc>
          <w:tcPr>
            <w:tcW w:w="1422" w:type="dxa"/>
          </w:tcPr>
          <w:p>
            <w:pPr>
              <w:pStyle w:val="TableParagraph"/>
              <w:rPr>
                <w:rFonts w:ascii="Times New Roman"/>
                <w:sz w:val="18"/>
              </w:rPr>
            </w:pPr>
          </w:p>
        </w:tc>
        <w:tc>
          <w:tcPr>
            <w:tcW w:w="1135" w:type="dxa"/>
          </w:tcPr>
          <w:p>
            <w:pPr>
              <w:pStyle w:val="TableParagraph"/>
              <w:rPr>
                <w:rFonts w:ascii="Times New Roman"/>
                <w:sz w:val="18"/>
              </w:rPr>
            </w:pPr>
          </w:p>
        </w:tc>
      </w:tr>
      <w:tr>
        <w:trPr>
          <w:trHeight w:val="1450" w:hRule="atLeast"/>
        </w:trPr>
        <w:tc>
          <w:tcPr>
            <w:tcW w:w="2089" w:type="dxa"/>
          </w:tcPr>
          <w:p>
            <w:pPr>
              <w:pStyle w:val="TableParagraph"/>
              <w:ind w:left="72" w:right="69"/>
              <w:rPr>
                <w:sz w:val="18"/>
              </w:rPr>
            </w:pPr>
            <w:r>
              <w:rPr>
                <w:b/>
                <w:sz w:val="18"/>
              </w:rPr>
              <w:t>Actividad</w:t>
            </w:r>
            <w:r>
              <w:rPr>
                <w:b/>
                <w:spacing w:val="-9"/>
                <w:sz w:val="18"/>
              </w:rPr>
              <w:t> </w:t>
            </w:r>
            <w:r>
              <w:rPr>
                <w:b/>
                <w:sz w:val="18"/>
              </w:rPr>
              <w:t>PAC</w:t>
            </w:r>
            <w:r>
              <w:rPr>
                <w:b/>
                <w:spacing w:val="-5"/>
                <w:sz w:val="18"/>
              </w:rPr>
              <w:t> </w:t>
            </w:r>
            <w:r>
              <w:rPr>
                <w:b/>
                <w:sz w:val="18"/>
              </w:rPr>
              <w:t>2.51.2: </w:t>
            </w:r>
            <w:r>
              <w:rPr>
                <w:sz w:val="18"/>
              </w:rPr>
              <w:t>Vincular los proyectos de Organizaciones sociales con empresas con programas de</w:t>
            </w:r>
          </w:p>
          <w:p>
            <w:pPr>
              <w:pStyle w:val="TableParagraph"/>
              <w:spacing w:line="206" w:lineRule="exact"/>
              <w:ind w:left="72" w:right="128"/>
              <w:rPr>
                <w:sz w:val="18"/>
              </w:rPr>
            </w:pPr>
            <w:r>
              <w:rPr>
                <w:sz w:val="18"/>
              </w:rPr>
              <w:t>Responsabilidad</w:t>
            </w:r>
            <w:r>
              <w:rPr>
                <w:spacing w:val="-13"/>
                <w:sz w:val="18"/>
              </w:rPr>
              <w:t> </w:t>
            </w:r>
            <w:r>
              <w:rPr>
                <w:sz w:val="18"/>
              </w:rPr>
              <w:t>Social </w:t>
            </w:r>
            <w:r>
              <w:rPr>
                <w:spacing w:val="-2"/>
                <w:sz w:val="18"/>
              </w:rPr>
              <w:t>empresarial.</w:t>
            </w:r>
          </w:p>
        </w:tc>
        <w:tc>
          <w:tcPr>
            <w:tcW w:w="1407" w:type="dxa"/>
          </w:tcPr>
          <w:p>
            <w:pPr>
              <w:pStyle w:val="TableParagraph"/>
              <w:spacing w:before="205"/>
              <w:rPr>
                <w:b/>
                <w:sz w:val="18"/>
              </w:rPr>
            </w:pPr>
          </w:p>
          <w:p>
            <w:pPr>
              <w:pStyle w:val="TableParagraph"/>
              <w:ind w:left="71"/>
              <w:rPr>
                <w:sz w:val="18"/>
              </w:rPr>
            </w:pPr>
            <w:r>
              <w:rPr>
                <w:sz w:val="18"/>
              </w:rPr>
              <w:t>Cantidad</w:t>
            </w:r>
            <w:r>
              <w:rPr>
                <w:spacing w:val="-13"/>
                <w:sz w:val="18"/>
              </w:rPr>
              <w:t> </w:t>
            </w:r>
            <w:r>
              <w:rPr>
                <w:sz w:val="18"/>
              </w:rPr>
              <w:t>de </w:t>
            </w:r>
            <w:r>
              <w:rPr>
                <w:spacing w:val="-2"/>
                <w:sz w:val="18"/>
              </w:rPr>
              <w:t>proyectos concretados</w:t>
            </w:r>
          </w:p>
        </w:tc>
        <w:tc>
          <w:tcPr>
            <w:tcW w:w="1517" w:type="dxa"/>
          </w:tcPr>
          <w:p>
            <w:pPr>
              <w:pStyle w:val="TableParagraph"/>
              <w:rPr>
                <w:rFonts w:ascii="Times New Roman"/>
                <w:sz w:val="18"/>
              </w:rPr>
            </w:pPr>
          </w:p>
        </w:tc>
        <w:tc>
          <w:tcPr>
            <w:tcW w:w="1249" w:type="dxa"/>
          </w:tcPr>
          <w:p>
            <w:pPr>
              <w:pStyle w:val="TableParagraph"/>
              <w:rPr>
                <w:rFonts w:ascii="Times New Roman"/>
                <w:sz w:val="18"/>
              </w:rPr>
            </w:pPr>
          </w:p>
        </w:tc>
        <w:tc>
          <w:tcPr>
            <w:tcW w:w="1618" w:type="dxa"/>
          </w:tcPr>
          <w:p>
            <w:pPr>
              <w:pStyle w:val="TableParagraph"/>
              <w:rPr>
                <w:b/>
                <w:sz w:val="18"/>
              </w:rPr>
            </w:pPr>
          </w:p>
          <w:p>
            <w:pPr>
              <w:pStyle w:val="TableParagraph"/>
              <w:spacing w:before="204"/>
              <w:rPr>
                <w:b/>
                <w:sz w:val="18"/>
              </w:rPr>
            </w:pPr>
          </w:p>
          <w:p>
            <w:pPr>
              <w:pStyle w:val="TableParagraph"/>
              <w:ind w:right="55"/>
              <w:jc w:val="right"/>
              <w:rPr>
                <w:sz w:val="18"/>
              </w:rPr>
            </w:pPr>
            <w:r>
              <w:rPr>
                <w:spacing w:val="-10"/>
                <w:sz w:val="18"/>
              </w:rPr>
              <w:t>2</w:t>
            </w:r>
          </w:p>
        </w:tc>
        <w:tc>
          <w:tcPr>
            <w:tcW w:w="1474" w:type="dxa"/>
          </w:tcPr>
          <w:p>
            <w:pPr>
              <w:pStyle w:val="TableParagraph"/>
              <w:rPr>
                <w:rFonts w:ascii="Times New Roman"/>
                <w:sz w:val="18"/>
              </w:rPr>
            </w:pPr>
          </w:p>
        </w:tc>
        <w:tc>
          <w:tcPr>
            <w:tcW w:w="1561" w:type="dxa"/>
          </w:tcPr>
          <w:p>
            <w:pPr>
              <w:pStyle w:val="TableParagraph"/>
              <w:rPr>
                <w:rFonts w:ascii="Times New Roman"/>
                <w:sz w:val="18"/>
              </w:rPr>
            </w:pPr>
          </w:p>
        </w:tc>
        <w:tc>
          <w:tcPr>
            <w:tcW w:w="990" w:type="dxa"/>
          </w:tcPr>
          <w:p>
            <w:pPr>
              <w:pStyle w:val="TableParagraph"/>
              <w:rPr>
                <w:rFonts w:ascii="Times New Roman"/>
                <w:sz w:val="18"/>
              </w:rPr>
            </w:pPr>
          </w:p>
        </w:tc>
        <w:tc>
          <w:tcPr>
            <w:tcW w:w="1422" w:type="dxa"/>
          </w:tcPr>
          <w:p>
            <w:pPr>
              <w:pStyle w:val="TableParagraph"/>
              <w:rPr>
                <w:b/>
                <w:sz w:val="18"/>
              </w:rPr>
            </w:pPr>
          </w:p>
          <w:p>
            <w:pPr>
              <w:pStyle w:val="TableParagraph"/>
              <w:spacing w:before="204"/>
              <w:rPr>
                <w:b/>
                <w:sz w:val="18"/>
              </w:rPr>
            </w:pPr>
          </w:p>
          <w:p>
            <w:pPr>
              <w:pStyle w:val="TableParagraph"/>
              <w:ind w:right="62"/>
              <w:jc w:val="right"/>
              <w:rPr>
                <w:sz w:val="18"/>
              </w:rPr>
            </w:pPr>
            <w:r>
              <w:rPr>
                <w:spacing w:val="-10"/>
                <w:sz w:val="18"/>
              </w:rPr>
              <w:t>4</w:t>
            </w:r>
          </w:p>
        </w:tc>
        <w:tc>
          <w:tcPr>
            <w:tcW w:w="1135" w:type="dxa"/>
          </w:tcPr>
          <w:p>
            <w:pPr>
              <w:pStyle w:val="TableParagraph"/>
              <w:rPr>
                <w:rFonts w:ascii="Times New Roman"/>
                <w:sz w:val="18"/>
              </w:rPr>
            </w:pPr>
          </w:p>
        </w:tc>
      </w:tr>
      <w:tr>
        <w:trPr>
          <w:trHeight w:val="297" w:hRule="atLeast"/>
        </w:trPr>
        <w:tc>
          <w:tcPr>
            <w:tcW w:w="14462" w:type="dxa"/>
            <w:gridSpan w:val="10"/>
            <w:shd w:val="clear" w:color="auto" w:fill="EFF8F9"/>
          </w:tcPr>
          <w:p>
            <w:pPr>
              <w:pStyle w:val="TableParagraph"/>
              <w:spacing w:before="42"/>
              <w:ind w:left="72"/>
              <w:rPr>
                <w:b/>
                <w:sz w:val="18"/>
              </w:rPr>
            </w:pPr>
            <w:r>
              <w:rPr>
                <w:b/>
                <w:sz w:val="18"/>
              </w:rPr>
              <w:t>Producto</w:t>
            </w:r>
            <w:r>
              <w:rPr>
                <w:b/>
                <w:spacing w:val="-7"/>
                <w:sz w:val="18"/>
              </w:rPr>
              <w:t> </w:t>
            </w:r>
            <w:r>
              <w:rPr>
                <w:b/>
                <w:sz w:val="18"/>
              </w:rPr>
              <w:t>2.52:</w:t>
            </w:r>
            <w:r>
              <w:rPr>
                <w:b/>
                <w:spacing w:val="42"/>
                <w:sz w:val="18"/>
              </w:rPr>
              <w:t> </w:t>
            </w:r>
            <w:r>
              <w:rPr>
                <w:b/>
                <w:sz w:val="18"/>
              </w:rPr>
              <w:t>Gestiones</w:t>
            </w:r>
            <w:r>
              <w:rPr>
                <w:b/>
                <w:spacing w:val="-6"/>
                <w:sz w:val="18"/>
              </w:rPr>
              <w:t> </w:t>
            </w:r>
            <w:r>
              <w:rPr>
                <w:b/>
                <w:sz w:val="18"/>
              </w:rPr>
              <w:t>operativas</w:t>
            </w:r>
            <w:r>
              <w:rPr>
                <w:b/>
                <w:spacing w:val="-5"/>
                <w:sz w:val="18"/>
              </w:rPr>
              <w:t> </w:t>
            </w:r>
            <w:r>
              <w:rPr>
                <w:b/>
                <w:sz w:val="18"/>
              </w:rPr>
              <w:t>de</w:t>
            </w:r>
            <w:r>
              <w:rPr>
                <w:b/>
                <w:spacing w:val="-6"/>
                <w:sz w:val="18"/>
              </w:rPr>
              <w:t> </w:t>
            </w:r>
            <w:r>
              <w:rPr>
                <w:b/>
                <w:spacing w:val="-2"/>
                <w:sz w:val="18"/>
              </w:rPr>
              <w:t>Donaciones</w:t>
            </w:r>
          </w:p>
        </w:tc>
      </w:tr>
      <w:tr>
        <w:trPr>
          <w:trHeight w:val="1036" w:hRule="atLeast"/>
        </w:trPr>
        <w:tc>
          <w:tcPr>
            <w:tcW w:w="2089" w:type="dxa"/>
          </w:tcPr>
          <w:p>
            <w:pPr>
              <w:pStyle w:val="TableParagraph"/>
              <w:spacing w:before="104"/>
              <w:ind w:left="72" w:right="69"/>
              <w:rPr>
                <w:sz w:val="18"/>
              </w:rPr>
            </w:pPr>
            <w:r>
              <w:rPr>
                <w:b/>
                <w:sz w:val="18"/>
              </w:rPr>
              <w:t>Actividad</w:t>
            </w:r>
            <w:r>
              <w:rPr>
                <w:b/>
                <w:spacing w:val="-15"/>
                <w:sz w:val="18"/>
              </w:rPr>
              <w:t> </w:t>
            </w:r>
            <w:r>
              <w:rPr>
                <w:b/>
                <w:sz w:val="18"/>
              </w:rPr>
              <w:t>PAC</w:t>
            </w:r>
            <w:r>
              <w:rPr>
                <w:b/>
                <w:spacing w:val="-12"/>
                <w:sz w:val="18"/>
              </w:rPr>
              <w:t> </w:t>
            </w:r>
            <w:r>
              <w:rPr>
                <w:b/>
                <w:sz w:val="18"/>
              </w:rPr>
              <w:t>2.52.1: </w:t>
            </w:r>
            <w:r>
              <w:rPr>
                <w:sz w:val="18"/>
              </w:rPr>
              <w:t>Realizar la</w:t>
            </w:r>
            <w:r>
              <w:rPr>
                <w:spacing w:val="-3"/>
                <w:sz w:val="18"/>
              </w:rPr>
              <w:t> </w:t>
            </w:r>
            <w:r>
              <w:rPr>
                <w:sz w:val="18"/>
              </w:rPr>
              <w:t>supervisión de donaciones </w:t>
            </w:r>
            <w:r>
              <w:rPr>
                <w:spacing w:val="-2"/>
                <w:sz w:val="18"/>
              </w:rPr>
              <w:t>otorgadas.</w:t>
            </w:r>
          </w:p>
        </w:tc>
        <w:tc>
          <w:tcPr>
            <w:tcW w:w="1407" w:type="dxa"/>
          </w:tcPr>
          <w:p>
            <w:pPr>
              <w:pStyle w:val="TableParagraph"/>
              <w:ind w:left="71"/>
              <w:rPr>
                <w:sz w:val="18"/>
              </w:rPr>
            </w:pPr>
            <w:r>
              <w:rPr>
                <w:sz w:val="18"/>
              </w:rPr>
              <w:t>Porcentaje de </w:t>
            </w:r>
            <w:r>
              <w:rPr>
                <w:spacing w:val="-2"/>
                <w:sz w:val="18"/>
              </w:rPr>
              <w:t>donaciones </w:t>
            </w:r>
            <w:r>
              <w:rPr>
                <w:sz w:val="18"/>
              </w:rPr>
              <w:t>otorgadas</w:t>
            </w:r>
            <w:r>
              <w:rPr>
                <w:spacing w:val="-13"/>
                <w:sz w:val="18"/>
              </w:rPr>
              <w:t> </w:t>
            </w:r>
            <w:r>
              <w:rPr>
                <w:sz w:val="18"/>
              </w:rPr>
              <w:t>con </w:t>
            </w:r>
            <w:r>
              <w:rPr>
                <w:spacing w:val="-2"/>
                <w:sz w:val="18"/>
              </w:rPr>
              <w:t>supervisión</w:t>
            </w:r>
          </w:p>
          <w:p>
            <w:pPr>
              <w:pStyle w:val="TableParagraph"/>
              <w:spacing w:line="187" w:lineRule="exact" w:before="2"/>
              <w:ind w:left="71"/>
              <w:rPr>
                <w:sz w:val="18"/>
              </w:rPr>
            </w:pPr>
            <w:r>
              <w:rPr>
                <w:spacing w:val="-2"/>
                <w:sz w:val="18"/>
              </w:rPr>
              <w:t>realizada</w:t>
            </w:r>
          </w:p>
        </w:tc>
        <w:tc>
          <w:tcPr>
            <w:tcW w:w="1517" w:type="dxa"/>
          </w:tcPr>
          <w:p>
            <w:pPr>
              <w:pStyle w:val="TableParagraph"/>
              <w:spacing w:before="204"/>
              <w:rPr>
                <w:b/>
                <w:sz w:val="18"/>
              </w:rPr>
            </w:pPr>
          </w:p>
          <w:p>
            <w:pPr>
              <w:pStyle w:val="TableParagraph"/>
              <w:ind w:right="57"/>
              <w:jc w:val="right"/>
              <w:rPr>
                <w:sz w:val="18"/>
              </w:rPr>
            </w:pPr>
            <w:r>
              <w:rPr>
                <w:spacing w:val="-5"/>
                <w:sz w:val="18"/>
              </w:rPr>
              <w:t>12%</w:t>
            </w:r>
          </w:p>
        </w:tc>
        <w:tc>
          <w:tcPr>
            <w:tcW w:w="1249" w:type="dxa"/>
          </w:tcPr>
          <w:p>
            <w:pPr>
              <w:pStyle w:val="TableParagraph"/>
              <w:rPr>
                <w:rFonts w:ascii="Times New Roman"/>
                <w:sz w:val="18"/>
              </w:rPr>
            </w:pPr>
          </w:p>
        </w:tc>
        <w:tc>
          <w:tcPr>
            <w:tcW w:w="1618" w:type="dxa"/>
          </w:tcPr>
          <w:p>
            <w:pPr>
              <w:pStyle w:val="TableParagraph"/>
              <w:spacing w:before="204"/>
              <w:rPr>
                <w:b/>
                <w:sz w:val="18"/>
              </w:rPr>
            </w:pPr>
          </w:p>
          <w:p>
            <w:pPr>
              <w:pStyle w:val="TableParagraph"/>
              <w:ind w:right="53"/>
              <w:jc w:val="right"/>
              <w:rPr>
                <w:sz w:val="18"/>
              </w:rPr>
            </w:pPr>
            <w:r>
              <w:rPr>
                <w:spacing w:val="-5"/>
                <w:sz w:val="18"/>
              </w:rPr>
              <w:t>26%</w:t>
            </w:r>
          </w:p>
        </w:tc>
        <w:tc>
          <w:tcPr>
            <w:tcW w:w="1474" w:type="dxa"/>
          </w:tcPr>
          <w:p>
            <w:pPr>
              <w:pStyle w:val="TableParagraph"/>
              <w:rPr>
                <w:rFonts w:ascii="Times New Roman"/>
                <w:sz w:val="18"/>
              </w:rPr>
            </w:pPr>
          </w:p>
        </w:tc>
        <w:tc>
          <w:tcPr>
            <w:tcW w:w="1561" w:type="dxa"/>
          </w:tcPr>
          <w:p>
            <w:pPr>
              <w:pStyle w:val="TableParagraph"/>
              <w:spacing w:before="204"/>
              <w:rPr>
                <w:b/>
                <w:sz w:val="18"/>
              </w:rPr>
            </w:pPr>
          </w:p>
          <w:p>
            <w:pPr>
              <w:pStyle w:val="TableParagraph"/>
              <w:ind w:right="58"/>
              <w:jc w:val="right"/>
              <w:rPr>
                <w:sz w:val="18"/>
              </w:rPr>
            </w:pPr>
            <w:r>
              <w:rPr>
                <w:spacing w:val="-5"/>
                <w:sz w:val="18"/>
              </w:rPr>
              <w:t>39%</w:t>
            </w:r>
          </w:p>
        </w:tc>
        <w:tc>
          <w:tcPr>
            <w:tcW w:w="990" w:type="dxa"/>
          </w:tcPr>
          <w:p>
            <w:pPr>
              <w:pStyle w:val="TableParagraph"/>
              <w:rPr>
                <w:rFonts w:ascii="Times New Roman"/>
                <w:sz w:val="18"/>
              </w:rPr>
            </w:pPr>
          </w:p>
        </w:tc>
        <w:tc>
          <w:tcPr>
            <w:tcW w:w="1422" w:type="dxa"/>
          </w:tcPr>
          <w:p>
            <w:pPr>
              <w:pStyle w:val="TableParagraph"/>
              <w:spacing w:before="204"/>
              <w:rPr>
                <w:b/>
                <w:sz w:val="18"/>
              </w:rPr>
            </w:pPr>
          </w:p>
          <w:p>
            <w:pPr>
              <w:pStyle w:val="TableParagraph"/>
              <w:ind w:right="60"/>
              <w:jc w:val="right"/>
              <w:rPr>
                <w:sz w:val="18"/>
              </w:rPr>
            </w:pPr>
            <w:r>
              <w:rPr>
                <w:spacing w:val="-5"/>
                <w:sz w:val="18"/>
              </w:rPr>
              <w:t>50%</w:t>
            </w:r>
          </w:p>
        </w:tc>
        <w:tc>
          <w:tcPr>
            <w:tcW w:w="1135" w:type="dxa"/>
          </w:tcPr>
          <w:p>
            <w:pPr>
              <w:pStyle w:val="TableParagraph"/>
              <w:rPr>
                <w:rFonts w:ascii="Times New Roman"/>
                <w:sz w:val="18"/>
              </w:rPr>
            </w:pPr>
          </w:p>
        </w:tc>
      </w:tr>
      <w:tr>
        <w:trPr>
          <w:trHeight w:val="1862" w:hRule="atLeast"/>
        </w:trPr>
        <w:tc>
          <w:tcPr>
            <w:tcW w:w="2089" w:type="dxa"/>
          </w:tcPr>
          <w:p>
            <w:pPr>
              <w:pStyle w:val="TableParagraph"/>
              <w:spacing w:before="103"/>
              <w:rPr>
                <w:b/>
                <w:sz w:val="18"/>
              </w:rPr>
            </w:pPr>
          </w:p>
          <w:p>
            <w:pPr>
              <w:pStyle w:val="TableParagraph"/>
              <w:spacing w:before="1"/>
              <w:ind w:left="72" w:right="128"/>
              <w:rPr>
                <w:sz w:val="18"/>
              </w:rPr>
            </w:pPr>
            <w:r>
              <w:rPr>
                <w:b/>
                <w:sz w:val="18"/>
              </w:rPr>
              <w:t>Actividad</w:t>
            </w:r>
            <w:r>
              <w:rPr>
                <w:b/>
                <w:spacing w:val="-15"/>
                <w:sz w:val="18"/>
              </w:rPr>
              <w:t> </w:t>
            </w:r>
            <w:r>
              <w:rPr>
                <w:b/>
                <w:sz w:val="18"/>
              </w:rPr>
              <w:t>PAC</w:t>
            </w:r>
            <w:r>
              <w:rPr>
                <w:b/>
                <w:spacing w:val="-12"/>
                <w:sz w:val="18"/>
              </w:rPr>
              <w:t> </w:t>
            </w:r>
            <w:r>
              <w:rPr>
                <w:b/>
                <w:sz w:val="18"/>
              </w:rPr>
              <w:t>2.52.2: </w:t>
            </w:r>
            <w:r>
              <w:rPr>
                <w:sz w:val="18"/>
              </w:rPr>
              <w:t>Retiro y registro de los bienes adjudicados o donados al IMAS, dentro del plazo programado.</w:t>
            </w:r>
            <w:r>
              <w:rPr>
                <w:spacing w:val="-1"/>
                <w:sz w:val="18"/>
              </w:rPr>
              <w:t> </w:t>
            </w:r>
            <w:r>
              <w:rPr>
                <w:sz w:val="18"/>
              </w:rPr>
              <w:t>(DON)</w:t>
            </w:r>
          </w:p>
        </w:tc>
        <w:tc>
          <w:tcPr>
            <w:tcW w:w="1407" w:type="dxa"/>
          </w:tcPr>
          <w:p>
            <w:pPr>
              <w:pStyle w:val="TableParagraph"/>
              <w:ind w:left="71" w:right="132"/>
              <w:rPr>
                <w:sz w:val="18"/>
              </w:rPr>
            </w:pPr>
            <w:r>
              <w:rPr>
                <w:sz w:val="18"/>
              </w:rPr>
              <w:t>Porcentaje</w:t>
            </w:r>
            <w:r>
              <w:rPr>
                <w:spacing w:val="-13"/>
                <w:sz w:val="18"/>
              </w:rPr>
              <w:t> </w:t>
            </w:r>
            <w:r>
              <w:rPr>
                <w:sz w:val="18"/>
              </w:rPr>
              <w:t>de </w:t>
            </w:r>
            <w:r>
              <w:rPr>
                <w:spacing w:val="-2"/>
                <w:sz w:val="18"/>
              </w:rPr>
              <w:t>bienes </w:t>
            </w:r>
            <w:r>
              <w:rPr>
                <w:sz w:val="18"/>
              </w:rPr>
              <w:t>adjudicados</w:t>
            </w:r>
            <w:r>
              <w:rPr>
                <w:spacing w:val="-13"/>
                <w:sz w:val="18"/>
              </w:rPr>
              <w:t> </w:t>
            </w:r>
            <w:r>
              <w:rPr>
                <w:sz w:val="18"/>
              </w:rPr>
              <w:t>o </w:t>
            </w:r>
            <w:r>
              <w:rPr>
                <w:spacing w:val="-2"/>
                <w:sz w:val="18"/>
              </w:rPr>
              <w:t>donados, </w:t>
            </w:r>
            <w:r>
              <w:rPr>
                <w:sz w:val="18"/>
              </w:rPr>
              <w:t>recibidos y </w:t>
            </w:r>
            <w:r>
              <w:rPr>
                <w:spacing w:val="-2"/>
                <w:sz w:val="18"/>
              </w:rPr>
              <w:t>registrados </w:t>
            </w:r>
            <w:r>
              <w:rPr>
                <w:sz w:val="18"/>
              </w:rPr>
              <w:t>dentro del plazo de 45</w:t>
            </w:r>
          </w:p>
          <w:p>
            <w:pPr>
              <w:pStyle w:val="TableParagraph"/>
              <w:spacing w:line="187" w:lineRule="exact"/>
              <w:ind w:left="71"/>
              <w:rPr>
                <w:sz w:val="18"/>
              </w:rPr>
            </w:pPr>
            <w:r>
              <w:rPr>
                <w:sz w:val="18"/>
              </w:rPr>
              <w:t>días </w:t>
            </w:r>
            <w:r>
              <w:rPr>
                <w:spacing w:val="-2"/>
                <w:sz w:val="18"/>
              </w:rPr>
              <w:t>hábiles</w:t>
            </w:r>
          </w:p>
        </w:tc>
        <w:tc>
          <w:tcPr>
            <w:tcW w:w="1517" w:type="dxa"/>
          </w:tcPr>
          <w:p>
            <w:pPr>
              <w:pStyle w:val="TableParagraph"/>
              <w:rPr>
                <w:b/>
                <w:sz w:val="18"/>
              </w:rPr>
            </w:pPr>
          </w:p>
          <w:p>
            <w:pPr>
              <w:pStyle w:val="TableParagraph"/>
              <w:rPr>
                <w:b/>
                <w:sz w:val="18"/>
              </w:rPr>
            </w:pPr>
          </w:p>
          <w:p>
            <w:pPr>
              <w:pStyle w:val="TableParagraph"/>
              <w:spacing w:before="203"/>
              <w:rPr>
                <w:b/>
                <w:sz w:val="18"/>
              </w:rPr>
            </w:pPr>
          </w:p>
          <w:p>
            <w:pPr>
              <w:pStyle w:val="TableParagraph"/>
              <w:ind w:right="57"/>
              <w:jc w:val="right"/>
              <w:rPr>
                <w:sz w:val="18"/>
              </w:rPr>
            </w:pPr>
            <w:r>
              <w:rPr>
                <w:spacing w:val="-5"/>
                <w:sz w:val="18"/>
              </w:rPr>
              <w:t>95%</w:t>
            </w:r>
          </w:p>
        </w:tc>
        <w:tc>
          <w:tcPr>
            <w:tcW w:w="1249" w:type="dxa"/>
          </w:tcPr>
          <w:p>
            <w:pPr>
              <w:pStyle w:val="TableParagraph"/>
              <w:rPr>
                <w:rFonts w:ascii="Times New Roman"/>
                <w:sz w:val="18"/>
              </w:rPr>
            </w:pPr>
          </w:p>
        </w:tc>
        <w:tc>
          <w:tcPr>
            <w:tcW w:w="1618" w:type="dxa"/>
          </w:tcPr>
          <w:p>
            <w:pPr>
              <w:pStyle w:val="TableParagraph"/>
              <w:rPr>
                <w:b/>
                <w:sz w:val="18"/>
              </w:rPr>
            </w:pPr>
          </w:p>
          <w:p>
            <w:pPr>
              <w:pStyle w:val="TableParagraph"/>
              <w:rPr>
                <w:b/>
                <w:sz w:val="18"/>
              </w:rPr>
            </w:pPr>
          </w:p>
          <w:p>
            <w:pPr>
              <w:pStyle w:val="TableParagraph"/>
              <w:spacing w:before="203"/>
              <w:rPr>
                <w:b/>
                <w:sz w:val="18"/>
              </w:rPr>
            </w:pPr>
          </w:p>
          <w:p>
            <w:pPr>
              <w:pStyle w:val="TableParagraph"/>
              <w:ind w:right="53"/>
              <w:jc w:val="right"/>
              <w:rPr>
                <w:sz w:val="18"/>
              </w:rPr>
            </w:pPr>
            <w:r>
              <w:rPr>
                <w:spacing w:val="-5"/>
                <w:sz w:val="18"/>
              </w:rPr>
              <w:t>95%</w:t>
            </w:r>
          </w:p>
        </w:tc>
        <w:tc>
          <w:tcPr>
            <w:tcW w:w="1474" w:type="dxa"/>
          </w:tcPr>
          <w:p>
            <w:pPr>
              <w:pStyle w:val="TableParagraph"/>
              <w:rPr>
                <w:rFonts w:ascii="Times New Roman"/>
                <w:sz w:val="18"/>
              </w:rPr>
            </w:pPr>
          </w:p>
        </w:tc>
        <w:tc>
          <w:tcPr>
            <w:tcW w:w="1561" w:type="dxa"/>
          </w:tcPr>
          <w:p>
            <w:pPr>
              <w:pStyle w:val="TableParagraph"/>
              <w:rPr>
                <w:b/>
                <w:sz w:val="18"/>
              </w:rPr>
            </w:pPr>
          </w:p>
          <w:p>
            <w:pPr>
              <w:pStyle w:val="TableParagraph"/>
              <w:rPr>
                <w:b/>
                <w:sz w:val="18"/>
              </w:rPr>
            </w:pPr>
          </w:p>
          <w:p>
            <w:pPr>
              <w:pStyle w:val="TableParagraph"/>
              <w:spacing w:before="203"/>
              <w:rPr>
                <w:b/>
                <w:sz w:val="18"/>
              </w:rPr>
            </w:pPr>
          </w:p>
          <w:p>
            <w:pPr>
              <w:pStyle w:val="TableParagraph"/>
              <w:ind w:right="58"/>
              <w:jc w:val="right"/>
              <w:rPr>
                <w:sz w:val="18"/>
              </w:rPr>
            </w:pPr>
            <w:r>
              <w:rPr>
                <w:spacing w:val="-5"/>
                <w:sz w:val="18"/>
              </w:rPr>
              <w:t>95%</w:t>
            </w:r>
          </w:p>
        </w:tc>
        <w:tc>
          <w:tcPr>
            <w:tcW w:w="990" w:type="dxa"/>
          </w:tcPr>
          <w:p>
            <w:pPr>
              <w:pStyle w:val="TableParagraph"/>
              <w:rPr>
                <w:rFonts w:ascii="Times New Roman"/>
                <w:sz w:val="18"/>
              </w:rPr>
            </w:pPr>
          </w:p>
        </w:tc>
        <w:tc>
          <w:tcPr>
            <w:tcW w:w="1422" w:type="dxa"/>
          </w:tcPr>
          <w:p>
            <w:pPr>
              <w:pStyle w:val="TableParagraph"/>
              <w:rPr>
                <w:b/>
                <w:sz w:val="18"/>
              </w:rPr>
            </w:pPr>
          </w:p>
          <w:p>
            <w:pPr>
              <w:pStyle w:val="TableParagraph"/>
              <w:rPr>
                <w:b/>
                <w:sz w:val="18"/>
              </w:rPr>
            </w:pPr>
          </w:p>
          <w:p>
            <w:pPr>
              <w:pStyle w:val="TableParagraph"/>
              <w:spacing w:before="203"/>
              <w:rPr>
                <w:b/>
                <w:sz w:val="18"/>
              </w:rPr>
            </w:pPr>
          </w:p>
          <w:p>
            <w:pPr>
              <w:pStyle w:val="TableParagraph"/>
              <w:ind w:right="60"/>
              <w:jc w:val="right"/>
              <w:rPr>
                <w:sz w:val="18"/>
              </w:rPr>
            </w:pPr>
            <w:r>
              <w:rPr>
                <w:spacing w:val="-5"/>
                <w:sz w:val="18"/>
              </w:rPr>
              <w:t>95%</w:t>
            </w:r>
          </w:p>
        </w:tc>
        <w:tc>
          <w:tcPr>
            <w:tcW w:w="1135"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3507"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9"/>
        <w:gridCol w:w="1407"/>
        <w:gridCol w:w="1517"/>
        <w:gridCol w:w="1249"/>
        <w:gridCol w:w="1618"/>
        <w:gridCol w:w="1474"/>
        <w:gridCol w:w="1561"/>
        <w:gridCol w:w="990"/>
        <w:gridCol w:w="1422"/>
        <w:gridCol w:w="1135"/>
      </w:tblGrid>
      <w:tr>
        <w:trPr>
          <w:trHeight w:val="282" w:hRule="atLeast"/>
        </w:trPr>
        <w:tc>
          <w:tcPr>
            <w:tcW w:w="2089" w:type="dxa"/>
            <w:vMerge w:val="restart"/>
            <w:shd w:val="clear" w:color="auto" w:fill="D9D9D9"/>
          </w:tcPr>
          <w:p>
            <w:pPr>
              <w:pStyle w:val="TableParagraph"/>
              <w:spacing w:before="75"/>
              <w:rPr>
                <w:b/>
                <w:sz w:val="18"/>
              </w:rPr>
            </w:pPr>
          </w:p>
          <w:p>
            <w:pPr>
              <w:pStyle w:val="TableParagraph"/>
              <w:ind w:left="77"/>
              <w:rPr>
                <w:b/>
                <w:sz w:val="18"/>
              </w:rPr>
            </w:pPr>
            <w:r>
              <w:rPr>
                <w:b/>
                <w:sz w:val="18"/>
              </w:rPr>
              <w:t>Objetivos</w:t>
            </w:r>
            <w:r>
              <w:rPr>
                <w:b/>
                <w:spacing w:val="-5"/>
                <w:sz w:val="18"/>
              </w:rPr>
              <w:t> </w:t>
            </w:r>
            <w:r>
              <w:rPr>
                <w:b/>
                <w:sz w:val="18"/>
              </w:rPr>
              <w:t>/</w:t>
            </w:r>
            <w:r>
              <w:rPr>
                <w:b/>
                <w:spacing w:val="-2"/>
                <w:sz w:val="18"/>
              </w:rPr>
              <w:t> Resultados</w:t>
            </w:r>
          </w:p>
        </w:tc>
        <w:tc>
          <w:tcPr>
            <w:tcW w:w="1407" w:type="dxa"/>
            <w:vMerge w:val="restart"/>
            <w:shd w:val="clear" w:color="auto" w:fill="D9D9D9"/>
          </w:tcPr>
          <w:p>
            <w:pPr>
              <w:pStyle w:val="TableParagraph"/>
              <w:spacing w:before="75"/>
              <w:rPr>
                <w:b/>
                <w:sz w:val="18"/>
              </w:rPr>
            </w:pPr>
          </w:p>
          <w:p>
            <w:pPr>
              <w:pStyle w:val="TableParagraph"/>
              <w:ind w:left="297"/>
              <w:rPr>
                <w:b/>
                <w:sz w:val="18"/>
              </w:rPr>
            </w:pPr>
            <w:r>
              <w:rPr>
                <w:b/>
                <w:spacing w:val="-2"/>
                <w:sz w:val="18"/>
              </w:rPr>
              <w:t>Indicador</w:t>
            </w:r>
          </w:p>
        </w:tc>
        <w:tc>
          <w:tcPr>
            <w:tcW w:w="2766" w:type="dxa"/>
            <w:gridSpan w:val="2"/>
            <w:shd w:val="clear" w:color="auto" w:fill="D9D9D9"/>
          </w:tcPr>
          <w:p>
            <w:pPr>
              <w:pStyle w:val="TableParagraph"/>
              <w:spacing w:before="37"/>
              <w:ind w:left="916"/>
              <w:rPr>
                <w:b/>
                <w:sz w:val="18"/>
              </w:rPr>
            </w:pPr>
            <w:r>
              <w:rPr>
                <w:b/>
                <w:sz w:val="18"/>
              </w:rPr>
              <w:t>I</w:t>
            </w:r>
            <w:r>
              <w:rPr>
                <w:b/>
                <w:spacing w:val="-1"/>
                <w:sz w:val="18"/>
              </w:rPr>
              <w:t> </w:t>
            </w:r>
            <w:r>
              <w:rPr>
                <w:b/>
                <w:spacing w:val="-2"/>
                <w:sz w:val="18"/>
              </w:rPr>
              <w:t>Trimestre</w:t>
            </w:r>
          </w:p>
        </w:tc>
        <w:tc>
          <w:tcPr>
            <w:tcW w:w="3092" w:type="dxa"/>
            <w:gridSpan w:val="2"/>
            <w:shd w:val="clear" w:color="auto" w:fill="D9D9D9"/>
          </w:tcPr>
          <w:p>
            <w:pPr>
              <w:pStyle w:val="TableParagraph"/>
              <w:spacing w:before="37"/>
              <w:ind w:left="12"/>
              <w:jc w:val="center"/>
              <w:rPr>
                <w:b/>
                <w:sz w:val="18"/>
              </w:rPr>
            </w:pPr>
            <w:r>
              <w:rPr>
                <w:b/>
                <w:sz w:val="18"/>
              </w:rPr>
              <w:t>II</w:t>
            </w:r>
            <w:r>
              <w:rPr>
                <w:b/>
                <w:spacing w:val="-3"/>
                <w:sz w:val="18"/>
              </w:rPr>
              <w:t> </w:t>
            </w:r>
            <w:r>
              <w:rPr>
                <w:b/>
                <w:spacing w:val="-2"/>
                <w:sz w:val="18"/>
              </w:rPr>
              <w:t>Trimestre</w:t>
            </w:r>
          </w:p>
        </w:tc>
        <w:tc>
          <w:tcPr>
            <w:tcW w:w="2551" w:type="dxa"/>
            <w:gridSpan w:val="2"/>
            <w:shd w:val="clear" w:color="auto" w:fill="D9D9D9"/>
          </w:tcPr>
          <w:p>
            <w:pPr>
              <w:pStyle w:val="TableParagraph"/>
              <w:spacing w:before="37"/>
              <w:ind w:left="762"/>
              <w:rPr>
                <w:b/>
                <w:sz w:val="18"/>
              </w:rPr>
            </w:pPr>
            <w:r>
              <w:rPr>
                <w:b/>
                <w:sz w:val="18"/>
              </w:rPr>
              <w:t>III</w:t>
            </w:r>
            <w:r>
              <w:rPr>
                <w:b/>
                <w:spacing w:val="-2"/>
                <w:sz w:val="18"/>
              </w:rPr>
              <w:t> Trimestre</w:t>
            </w:r>
          </w:p>
        </w:tc>
        <w:tc>
          <w:tcPr>
            <w:tcW w:w="2557" w:type="dxa"/>
            <w:gridSpan w:val="2"/>
            <w:shd w:val="clear" w:color="auto" w:fill="D9D9D9"/>
          </w:tcPr>
          <w:p>
            <w:pPr>
              <w:pStyle w:val="TableParagraph"/>
              <w:spacing w:before="37"/>
              <w:ind w:left="756"/>
              <w:rPr>
                <w:b/>
                <w:sz w:val="18"/>
              </w:rPr>
            </w:pPr>
            <w:r>
              <w:rPr>
                <w:b/>
                <w:sz w:val="18"/>
              </w:rPr>
              <w:t>IV</w:t>
            </w:r>
            <w:r>
              <w:rPr>
                <w:b/>
                <w:spacing w:val="-2"/>
                <w:sz w:val="18"/>
              </w:rPr>
              <w:t> Trimestre</w:t>
            </w:r>
          </w:p>
        </w:tc>
      </w:tr>
      <w:tr>
        <w:trPr>
          <w:trHeight w:val="484" w:hRule="atLeast"/>
        </w:trPr>
        <w:tc>
          <w:tcPr>
            <w:tcW w:w="2089" w:type="dxa"/>
            <w:vMerge/>
            <w:tcBorders>
              <w:top w:val="nil"/>
            </w:tcBorders>
            <w:shd w:val="clear" w:color="auto" w:fill="D9D9D9"/>
          </w:tcPr>
          <w:p>
            <w:pPr>
              <w:rPr>
                <w:sz w:val="2"/>
                <w:szCs w:val="2"/>
              </w:rPr>
            </w:pPr>
          </w:p>
        </w:tc>
        <w:tc>
          <w:tcPr>
            <w:tcW w:w="1407" w:type="dxa"/>
            <w:vMerge/>
            <w:tcBorders>
              <w:top w:val="nil"/>
            </w:tcBorders>
            <w:shd w:val="clear" w:color="auto" w:fill="D9D9D9"/>
          </w:tcPr>
          <w:p>
            <w:pPr>
              <w:rPr>
                <w:sz w:val="2"/>
                <w:szCs w:val="2"/>
              </w:rPr>
            </w:pPr>
          </w:p>
        </w:tc>
        <w:tc>
          <w:tcPr>
            <w:tcW w:w="1517" w:type="dxa"/>
            <w:shd w:val="clear" w:color="auto" w:fill="D9D9D9"/>
          </w:tcPr>
          <w:p>
            <w:pPr>
              <w:pStyle w:val="TableParagraph"/>
              <w:spacing w:line="244" w:lineRule="auto" w:before="32"/>
              <w:ind w:left="234" w:firstLine="312"/>
              <w:rPr>
                <w:b/>
                <w:sz w:val="18"/>
              </w:rPr>
            </w:pPr>
            <w:r>
              <w:rPr>
                <w:b/>
                <w:spacing w:val="-4"/>
                <w:sz w:val="18"/>
              </w:rPr>
              <w:t>Meta </w:t>
            </w:r>
            <w:r>
              <w:rPr>
                <w:b/>
                <w:spacing w:val="-2"/>
                <w:sz w:val="18"/>
              </w:rPr>
              <w:t>programada</w:t>
            </w:r>
          </w:p>
        </w:tc>
        <w:tc>
          <w:tcPr>
            <w:tcW w:w="1249" w:type="dxa"/>
            <w:shd w:val="clear" w:color="auto" w:fill="D9D9D9"/>
          </w:tcPr>
          <w:p>
            <w:pPr>
              <w:pStyle w:val="TableParagraph"/>
              <w:spacing w:before="138"/>
              <w:ind w:left="14" w:right="10"/>
              <w:jc w:val="center"/>
              <w:rPr>
                <w:b/>
                <w:sz w:val="18"/>
              </w:rPr>
            </w:pPr>
            <w:r>
              <w:rPr>
                <w:b/>
                <w:spacing w:val="-10"/>
                <w:sz w:val="18"/>
              </w:rPr>
              <w:t>¢</w:t>
            </w:r>
          </w:p>
        </w:tc>
        <w:tc>
          <w:tcPr>
            <w:tcW w:w="1618" w:type="dxa"/>
            <w:shd w:val="clear" w:color="auto" w:fill="D9D9D9"/>
          </w:tcPr>
          <w:p>
            <w:pPr>
              <w:pStyle w:val="TableParagraph"/>
              <w:spacing w:line="244" w:lineRule="auto" w:before="32"/>
              <w:ind w:left="287" w:firstLine="317"/>
              <w:rPr>
                <w:b/>
                <w:sz w:val="18"/>
              </w:rPr>
            </w:pPr>
            <w:r>
              <w:rPr>
                <w:b/>
                <w:spacing w:val="-4"/>
                <w:sz w:val="18"/>
              </w:rPr>
              <w:t>Meta </w:t>
            </w:r>
            <w:r>
              <w:rPr>
                <w:b/>
                <w:spacing w:val="-2"/>
                <w:sz w:val="18"/>
              </w:rPr>
              <w:t>programada</w:t>
            </w:r>
          </w:p>
        </w:tc>
        <w:tc>
          <w:tcPr>
            <w:tcW w:w="1474" w:type="dxa"/>
            <w:shd w:val="clear" w:color="auto" w:fill="D9D9D9"/>
          </w:tcPr>
          <w:p>
            <w:pPr>
              <w:pStyle w:val="TableParagraph"/>
              <w:spacing w:before="138"/>
              <w:ind w:left="9"/>
              <w:jc w:val="center"/>
              <w:rPr>
                <w:b/>
                <w:sz w:val="18"/>
              </w:rPr>
            </w:pPr>
            <w:r>
              <w:rPr>
                <w:b/>
                <w:spacing w:val="-10"/>
                <w:sz w:val="18"/>
              </w:rPr>
              <w:t>¢</w:t>
            </w:r>
          </w:p>
        </w:tc>
        <w:tc>
          <w:tcPr>
            <w:tcW w:w="1561" w:type="dxa"/>
            <w:shd w:val="clear" w:color="auto" w:fill="D9D9D9"/>
          </w:tcPr>
          <w:p>
            <w:pPr>
              <w:pStyle w:val="TableParagraph"/>
              <w:spacing w:line="244" w:lineRule="auto" w:before="32"/>
              <w:ind w:left="258" w:firstLine="312"/>
              <w:rPr>
                <w:b/>
                <w:sz w:val="18"/>
              </w:rPr>
            </w:pPr>
            <w:r>
              <w:rPr>
                <w:b/>
                <w:spacing w:val="-4"/>
                <w:sz w:val="18"/>
              </w:rPr>
              <w:t>Meta </w:t>
            </w:r>
            <w:r>
              <w:rPr>
                <w:b/>
                <w:spacing w:val="-2"/>
                <w:sz w:val="18"/>
              </w:rPr>
              <w:t>programada</w:t>
            </w:r>
          </w:p>
        </w:tc>
        <w:tc>
          <w:tcPr>
            <w:tcW w:w="990" w:type="dxa"/>
            <w:shd w:val="clear" w:color="auto" w:fill="D9D9D9"/>
          </w:tcPr>
          <w:p>
            <w:pPr>
              <w:pStyle w:val="TableParagraph"/>
              <w:spacing w:before="138"/>
              <w:ind w:left="11"/>
              <w:jc w:val="center"/>
              <w:rPr>
                <w:b/>
                <w:sz w:val="18"/>
              </w:rPr>
            </w:pPr>
            <w:r>
              <w:rPr>
                <w:b/>
                <w:spacing w:val="-10"/>
                <w:sz w:val="18"/>
              </w:rPr>
              <w:t>¢</w:t>
            </w:r>
          </w:p>
        </w:tc>
        <w:tc>
          <w:tcPr>
            <w:tcW w:w="1422" w:type="dxa"/>
            <w:shd w:val="clear" w:color="auto" w:fill="D9D9D9"/>
          </w:tcPr>
          <w:p>
            <w:pPr>
              <w:pStyle w:val="TableParagraph"/>
              <w:spacing w:line="244" w:lineRule="auto" w:before="32"/>
              <w:ind w:left="185" w:firstLine="316"/>
              <w:rPr>
                <w:b/>
                <w:sz w:val="18"/>
              </w:rPr>
            </w:pPr>
            <w:r>
              <w:rPr>
                <w:b/>
                <w:spacing w:val="-4"/>
                <w:sz w:val="18"/>
              </w:rPr>
              <w:t>Meta </w:t>
            </w:r>
            <w:r>
              <w:rPr>
                <w:b/>
                <w:spacing w:val="-2"/>
                <w:sz w:val="18"/>
              </w:rPr>
              <w:t>programada</w:t>
            </w:r>
          </w:p>
        </w:tc>
        <w:tc>
          <w:tcPr>
            <w:tcW w:w="1135" w:type="dxa"/>
            <w:shd w:val="clear" w:color="auto" w:fill="D9D9D9"/>
          </w:tcPr>
          <w:p>
            <w:pPr>
              <w:pStyle w:val="TableParagraph"/>
              <w:spacing w:before="138"/>
              <w:ind w:left="7"/>
              <w:jc w:val="center"/>
              <w:rPr>
                <w:b/>
                <w:sz w:val="18"/>
              </w:rPr>
            </w:pPr>
            <w:r>
              <w:rPr>
                <w:b/>
                <w:spacing w:val="-10"/>
                <w:sz w:val="18"/>
              </w:rPr>
              <w:t>¢</w:t>
            </w:r>
          </w:p>
        </w:tc>
      </w:tr>
      <w:tr>
        <w:trPr>
          <w:trHeight w:val="2275" w:hRule="atLeast"/>
        </w:trPr>
        <w:tc>
          <w:tcPr>
            <w:tcW w:w="2089" w:type="dxa"/>
          </w:tcPr>
          <w:p>
            <w:pPr>
              <w:pStyle w:val="TableParagraph"/>
              <w:ind w:left="72" w:right="117"/>
              <w:rPr>
                <w:sz w:val="18"/>
              </w:rPr>
            </w:pPr>
            <w:r>
              <w:rPr>
                <w:b/>
                <w:sz w:val="18"/>
              </w:rPr>
              <w:t>Actividad</w:t>
            </w:r>
            <w:r>
              <w:rPr>
                <w:b/>
                <w:spacing w:val="-1"/>
                <w:sz w:val="18"/>
              </w:rPr>
              <w:t> </w:t>
            </w:r>
            <w:r>
              <w:rPr>
                <w:b/>
                <w:sz w:val="18"/>
              </w:rPr>
              <w:t>PAC 2.52.3: </w:t>
            </w:r>
            <w:r>
              <w:rPr>
                <w:sz w:val="18"/>
              </w:rPr>
              <w:t>Diseño e implementación de la metodología de priorización a cada solicitud de donación recibida por las </w:t>
            </w:r>
            <w:r>
              <w:rPr>
                <w:spacing w:val="-2"/>
                <w:sz w:val="18"/>
              </w:rPr>
              <w:t>organizaciones</w:t>
            </w:r>
            <w:r>
              <w:rPr>
                <w:spacing w:val="40"/>
                <w:sz w:val="18"/>
              </w:rPr>
              <w:t> </w:t>
            </w:r>
            <w:r>
              <w:rPr>
                <w:sz w:val="18"/>
              </w:rPr>
              <w:t>sociales, que deberá</w:t>
            </w:r>
          </w:p>
          <w:p>
            <w:pPr>
              <w:pStyle w:val="TableParagraph"/>
              <w:spacing w:line="206" w:lineRule="exact"/>
              <w:ind w:left="72"/>
              <w:rPr>
                <w:sz w:val="18"/>
              </w:rPr>
            </w:pPr>
            <w:r>
              <w:rPr>
                <w:sz w:val="18"/>
              </w:rPr>
              <w:t>imperar</w:t>
            </w:r>
            <w:r>
              <w:rPr>
                <w:spacing w:val="-9"/>
                <w:sz w:val="18"/>
              </w:rPr>
              <w:t> </w:t>
            </w:r>
            <w:r>
              <w:rPr>
                <w:sz w:val="18"/>
              </w:rPr>
              <w:t>con</w:t>
            </w:r>
            <w:r>
              <w:rPr>
                <w:spacing w:val="-10"/>
                <w:sz w:val="18"/>
              </w:rPr>
              <w:t> </w:t>
            </w:r>
            <w:r>
              <w:rPr>
                <w:sz w:val="18"/>
              </w:rPr>
              <w:t>el</w:t>
            </w:r>
            <w:r>
              <w:rPr>
                <w:spacing w:val="-12"/>
                <w:sz w:val="18"/>
              </w:rPr>
              <w:t> </w:t>
            </w:r>
            <w:r>
              <w:rPr>
                <w:sz w:val="18"/>
              </w:rPr>
              <w:t>fin</w:t>
            </w:r>
            <w:r>
              <w:rPr>
                <w:spacing w:val="-7"/>
                <w:sz w:val="18"/>
              </w:rPr>
              <w:t> </w:t>
            </w:r>
            <w:r>
              <w:rPr>
                <w:sz w:val="18"/>
              </w:rPr>
              <w:t>social de la Institución.</w:t>
            </w:r>
          </w:p>
        </w:tc>
        <w:tc>
          <w:tcPr>
            <w:tcW w:w="1407" w:type="dxa"/>
          </w:tcPr>
          <w:p>
            <w:pPr>
              <w:pStyle w:val="TableParagraph"/>
              <w:rPr>
                <w:b/>
                <w:sz w:val="18"/>
              </w:rPr>
            </w:pPr>
          </w:p>
          <w:p>
            <w:pPr>
              <w:pStyle w:val="TableParagraph"/>
              <w:spacing w:before="99"/>
              <w:rPr>
                <w:b/>
                <w:sz w:val="18"/>
              </w:rPr>
            </w:pPr>
          </w:p>
          <w:p>
            <w:pPr>
              <w:pStyle w:val="TableParagraph"/>
              <w:ind w:left="71"/>
              <w:rPr>
                <w:sz w:val="18"/>
              </w:rPr>
            </w:pPr>
            <w:r>
              <w:rPr>
                <w:sz w:val="18"/>
              </w:rPr>
              <w:t>Porcentaje de avance en el diseño e </w:t>
            </w:r>
            <w:r>
              <w:rPr>
                <w:spacing w:val="-2"/>
                <w:sz w:val="18"/>
              </w:rPr>
              <w:t>implementación </w:t>
            </w:r>
            <w:r>
              <w:rPr>
                <w:sz w:val="18"/>
              </w:rPr>
              <w:t>de la </w:t>
            </w:r>
            <w:r>
              <w:rPr>
                <w:spacing w:val="-2"/>
                <w:sz w:val="18"/>
              </w:rPr>
              <w:t>metodología</w:t>
            </w:r>
          </w:p>
        </w:tc>
        <w:tc>
          <w:tcPr>
            <w:tcW w:w="1517"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right="57"/>
              <w:jc w:val="right"/>
              <w:rPr>
                <w:sz w:val="18"/>
              </w:rPr>
            </w:pPr>
            <w:r>
              <w:rPr>
                <w:spacing w:val="-5"/>
                <w:sz w:val="18"/>
              </w:rPr>
              <w:t>50%</w:t>
            </w:r>
          </w:p>
        </w:tc>
        <w:tc>
          <w:tcPr>
            <w:tcW w:w="1249" w:type="dxa"/>
          </w:tcPr>
          <w:p>
            <w:pPr>
              <w:pStyle w:val="TableParagraph"/>
              <w:rPr>
                <w:rFonts w:ascii="Times New Roman"/>
                <w:sz w:val="18"/>
              </w:rPr>
            </w:pPr>
          </w:p>
        </w:tc>
        <w:tc>
          <w:tcPr>
            <w:tcW w:w="1618"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right="53"/>
              <w:jc w:val="right"/>
              <w:rPr>
                <w:sz w:val="18"/>
              </w:rPr>
            </w:pPr>
            <w:r>
              <w:rPr>
                <w:spacing w:val="-4"/>
                <w:sz w:val="18"/>
              </w:rPr>
              <w:t>100%</w:t>
            </w:r>
          </w:p>
        </w:tc>
        <w:tc>
          <w:tcPr>
            <w:tcW w:w="1474" w:type="dxa"/>
          </w:tcPr>
          <w:p>
            <w:pPr>
              <w:pStyle w:val="TableParagraph"/>
              <w:rPr>
                <w:rFonts w:ascii="Times New Roman"/>
                <w:sz w:val="18"/>
              </w:rPr>
            </w:pPr>
          </w:p>
        </w:tc>
        <w:tc>
          <w:tcPr>
            <w:tcW w:w="1561" w:type="dxa"/>
          </w:tcPr>
          <w:p>
            <w:pPr>
              <w:pStyle w:val="TableParagraph"/>
              <w:rPr>
                <w:rFonts w:ascii="Times New Roman"/>
                <w:sz w:val="18"/>
              </w:rPr>
            </w:pPr>
          </w:p>
        </w:tc>
        <w:tc>
          <w:tcPr>
            <w:tcW w:w="990" w:type="dxa"/>
          </w:tcPr>
          <w:p>
            <w:pPr>
              <w:pStyle w:val="TableParagraph"/>
              <w:rPr>
                <w:rFonts w:ascii="Times New Roman"/>
                <w:sz w:val="18"/>
              </w:rPr>
            </w:pPr>
          </w:p>
        </w:tc>
        <w:tc>
          <w:tcPr>
            <w:tcW w:w="1422" w:type="dxa"/>
          </w:tcPr>
          <w:p>
            <w:pPr>
              <w:pStyle w:val="TableParagraph"/>
              <w:rPr>
                <w:rFonts w:ascii="Times New Roman"/>
                <w:sz w:val="18"/>
              </w:rPr>
            </w:pPr>
          </w:p>
        </w:tc>
        <w:tc>
          <w:tcPr>
            <w:tcW w:w="1135" w:type="dxa"/>
          </w:tcPr>
          <w:p>
            <w:pPr>
              <w:pStyle w:val="TableParagraph"/>
              <w:rPr>
                <w:rFonts w:ascii="Times New Roman"/>
                <w:sz w:val="18"/>
              </w:rPr>
            </w:pPr>
          </w:p>
        </w:tc>
      </w:tr>
    </w:tbl>
    <w:p>
      <w:pPr>
        <w:pStyle w:val="BodyText"/>
        <w:rPr>
          <w:b/>
          <w:sz w:val="20"/>
        </w:rPr>
      </w:pPr>
    </w:p>
    <w:p>
      <w:pPr>
        <w:pStyle w:val="BodyText"/>
        <w:spacing w:before="181" w:after="1"/>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99"/>
        <w:gridCol w:w="1330"/>
        <w:gridCol w:w="1536"/>
        <w:gridCol w:w="1253"/>
        <w:gridCol w:w="1181"/>
        <w:gridCol w:w="1354"/>
        <w:gridCol w:w="1417"/>
        <w:gridCol w:w="1272"/>
        <w:gridCol w:w="1181"/>
        <w:gridCol w:w="1834"/>
      </w:tblGrid>
      <w:tr>
        <w:trPr>
          <w:trHeight w:val="465" w:hRule="atLeast"/>
        </w:trPr>
        <w:tc>
          <w:tcPr>
            <w:tcW w:w="2099" w:type="dxa"/>
            <w:vMerge w:val="restart"/>
            <w:shd w:val="clear" w:color="auto" w:fill="D9D9D9"/>
          </w:tcPr>
          <w:p>
            <w:pPr>
              <w:pStyle w:val="TableParagraph"/>
              <w:rPr>
                <w:b/>
                <w:sz w:val="18"/>
              </w:rPr>
            </w:pPr>
          </w:p>
          <w:p>
            <w:pPr>
              <w:pStyle w:val="TableParagraph"/>
              <w:spacing w:before="65"/>
              <w:rPr>
                <w:b/>
                <w:sz w:val="18"/>
              </w:rPr>
            </w:pPr>
          </w:p>
          <w:p>
            <w:pPr>
              <w:pStyle w:val="TableParagraph"/>
              <w:ind w:left="81"/>
              <w:rPr>
                <w:b/>
                <w:sz w:val="18"/>
              </w:rPr>
            </w:pPr>
            <w:r>
              <w:rPr>
                <w:b/>
                <w:sz w:val="18"/>
              </w:rPr>
              <w:t>Objetivos</w:t>
            </w:r>
            <w:r>
              <w:rPr>
                <w:b/>
                <w:spacing w:val="-5"/>
                <w:sz w:val="18"/>
              </w:rPr>
              <w:t> </w:t>
            </w:r>
            <w:r>
              <w:rPr>
                <w:b/>
                <w:sz w:val="18"/>
              </w:rPr>
              <w:t>/</w:t>
            </w:r>
            <w:r>
              <w:rPr>
                <w:b/>
                <w:spacing w:val="-2"/>
                <w:sz w:val="18"/>
              </w:rPr>
              <w:t> Resultados</w:t>
            </w:r>
          </w:p>
        </w:tc>
        <w:tc>
          <w:tcPr>
            <w:tcW w:w="1330" w:type="dxa"/>
            <w:vMerge w:val="restart"/>
            <w:shd w:val="clear" w:color="auto" w:fill="D9D9D9"/>
          </w:tcPr>
          <w:p>
            <w:pPr>
              <w:pStyle w:val="TableParagraph"/>
              <w:rPr>
                <w:b/>
                <w:sz w:val="18"/>
              </w:rPr>
            </w:pPr>
          </w:p>
          <w:p>
            <w:pPr>
              <w:pStyle w:val="TableParagraph"/>
              <w:spacing w:before="65"/>
              <w:rPr>
                <w:b/>
                <w:sz w:val="18"/>
              </w:rPr>
            </w:pPr>
          </w:p>
          <w:p>
            <w:pPr>
              <w:pStyle w:val="TableParagraph"/>
              <w:ind w:left="258"/>
              <w:rPr>
                <w:b/>
                <w:sz w:val="18"/>
              </w:rPr>
            </w:pPr>
            <w:r>
              <w:rPr>
                <w:b/>
                <w:spacing w:val="-2"/>
                <w:sz w:val="18"/>
              </w:rPr>
              <w:t>Indicador</w:t>
            </w:r>
          </w:p>
        </w:tc>
        <w:tc>
          <w:tcPr>
            <w:tcW w:w="2789" w:type="dxa"/>
            <w:gridSpan w:val="2"/>
            <w:shd w:val="clear" w:color="auto" w:fill="D9D9D9"/>
          </w:tcPr>
          <w:p>
            <w:pPr>
              <w:pStyle w:val="TableParagraph"/>
              <w:spacing w:before="128"/>
              <w:ind w:left="930"/>
              <w:rPr>
                <w:b/>
                <w:sz w:val="18"/>
              </w:rPr>
            </w:pPr>
            <w:r>
              <w:rPr>
                <w:b/>
                <w:sz w:val="18"/>
              </w:rPr>
              <w:t>I</w:t>
            </w:r>
            <w:r>
              <w:rPr>
                <w:b/>
                <w:spacing w:val="-1"/>
                <w:sz w:val="18"/>
              </w:rPr>
              <w:t> </w:t>
            </w:r>
            <w:r>
              <w:rPr>
                <w:b/>
                <w:spacing w:val="-2"/>
                <w:sz w:val="18"/>
              </w:rPr>
              <w:t>Trimestre</w:t>
            </w:r>
          </w:p>
        </w:tc>
        <w:tc>
          <w:tcPr>
            <w:tcW w:w="2535" w:type="dxa"/>
            <w:gridSpan w:val="2"/>
            <w:shd w:val="clear" w:color="auto" w:fill="D9D9D9"/>
          </w:tcPr>
          <w:p>
            <w:pPr>
              <w:pStyle w:val="TableParagraph"/>
              <w:spacing w:before="128"/>
              <w:ind w:left="777"/>
              <w:rPr>
                <w:b/>
                <w:sz w:val="18"/>
              </w:rPr>
            </w:pPr>
            <w:r>
              <w:rPr>
                <w:b/>
                <w:sz w:val="18"/>
              </w:rPr>
              <w:t>II</w:t>
            </w:r>
            <w:r>
              <w:rPr>
                <w:b/>
                <w:spacing w:val="-3"/>
                <w:sz w:val="18"/>
              </w:rPr>
              <w:t> </w:t>
            </w:r>
            <w:r>
              <w:rPr>
                <w:b/>
                <w:spacing w:val="-2"/>
                <w:sz w:val="18"/>
              </w:rPr>
              <w:t>Trimestre</w:t>
            </w:r>
          </w:p>
        </w:tc>
        <w:tc>
          <w:tcPr>
            <w:tcW w:w="2689" w:type="dxa"/>
            <w:gridSpan w:val="2"/>
            <w:shd w:val="clear" w:color="auto" w:fill="D9D9D9"/>
          </w:tcPr>
          <w:p>
            <w:pPr>
              <w:pStyle w:val="TableParagraph"/>
              <w:spacing w:before="128"/>
              <w:ind w:left="830"/>
              <w:rPr>
                <w:b/>
                <w:sz w:val="18"/>
              </w:rPr>
            </w:pPr>
            <w:r>
              <w:rPr>
                <w:b/>
                <w:sz w:val="18"/>
              </w:rPr>
              <w:t>III</w:t>
            </w:r>
            <w:r>
              <w:rPr>
                <w:b/>
                <w:spacing w:val="-2"/>
                <w:sz w:val="18"/>
              </w:rPr>
              <w:t> Trimestre</w:t>
            </w:r>
          </w:p>
        </w:tc>
        <w:tc>
          <w:tcPr>
            <w:tcW w:w="3015" w:type="dxa"/>
            <w:gridSpan w:val="2"/>
            <w:shd w:val="clear" w:color="auto" w:fill="D9D9D9"/>
          </w:tcPr>
          <w:p>
            <w:pPr>
              <w:pStyle w:val="TableParagraph"/>
              <w:spacing w:before="128"/>
              <w:ind w:left="983"/>
              <w:rPr>
                <w:b/>
                <w:sz w:val="18"/>
              </w:rPr>
            </w:pPr>
            <w:r>
              <w:rPr>
                <w:b/>
                <w:sz w:val="18"/>
              </w:rPr>
              <w:t>IV</w:t>
            </w:r>
            <w:r>
              <w:rPr>
                <w:b/>
                <w:spacing w:val="-2"/>
                <w:sz w:val="18"/>
              </w:rPr>
              <w:t> Trimestre</w:t>
            </w:r>
          </w:p>
        </w:tc>
      </w:tr>
      <w:tr>
        <w:trPr>
          <w:trHeight w:val="691" w:hRule="atLeast"/>
        </w:trPr>
        <w:tc>
          <w:tcPr>
            <w:tcW w:w="2099" w:type="dxa"/>
            <w:vMerge/>
            <w:tcBorders>
              <w:top w:val="nil"/>
            </w:tcBorders>
            <w:shd w:val="clear" w:color="auto" w:fill="D9D9D9"/>
          </w:tcPr>
          <w:p>
            <w:pPr>
              <w:rPr>
                <w:sz w:val="2"/>
                <w:szCs w:val="2"/>
              </w:rPr>
            </w:pPr>
          </w:p>
        </w:tc>
        <w:tc>
          <w:tcPr>
            <w:tcW w:w="1330" w:type="dxa"/>
            <w:vMerge/>
            <w:tcBorders>
              <w:top w:val="nil"/>
            </w:tcBorders>
            <w:shd w:val="clear" w:color="auto" w:fill="D9D9D9"/>
          </w:tcPr>
          <w:p>
            <w:pPr>
              <w:rPr>
                <w:sz w:val="2"/>
                <w:szCs w:val="2"/>
              </w:rPr>
            </w:pPr>
          </w:p>
        </w:tc>
        <w:tc>
          <w:tcPr>
            <w:tcW w:w="1536" w:type="dxa"/>
            <w:shd w:val="clear" w:color="auto" w:fill="D9D9D9"/>
          </w:tcPr>
          <w:p>
            <w:pPr>
              <w:pStyle w:val="TableParagraph"/>
              <w:spacing w:before="138"/>
              <w:ind w:left="249" w:firstLine="312"/>
              <w:rPr>
                <w:b/>
                <w:sz w:val="18"/>
              </w:rPr>
            </w:pPr>
            <w:r>
              <w:rPr>
                <w:b/>
                <w:spacing w:val="-4"/>
                <w:sz w:val="18"/>
              </w:rPr>
              <w:t>Meta </w:t>
            </w:r>
            <w:r>
              <w:rPr>
                <w:b/>
                <w:spacing w:val="-2"/>
                <w:sz w:val="18"/>
              </w:rPr>
              <w:t>programada</w:t>
            </w:r>
          </w:p>
        </w:tc>
        <w:tc>
          <w:tcPr>
            <w:tcW w:w="1253" w:type="dxa"/>
            <w:shd w:val="clear" w:color="auto" w:fill="D9D9D9"/>
          </w:tcPr>
          <w:p>
            <w:pPr>
              <w:pStyle w:val="TableParagraph"/>
              <w:spacing w:before="36"/>
              <w:rPr>
                <w:b/>
                <w:sz w:val="18"/>
              </w:rPr>
            </w:pPr>
          </w:p>
          <w:p>
            <w:pPr>
              <w:pStyle w:val="TableParagraph"/>
              <w:ind w:left="10"/>
              <w:jc w:val="center"/>
              <w:rPr>
                <w:b/>
                <w:sz w:val="18"/>
              </w:rPr>
            </w:pPr>
            <w:r>
              <w:rPr>
                <w:b/>
                <w:spacing w:val="-10"/>
                <w:sz w:val="18"/>
              </w:rPr>
              <w:t>¢</w:t>
            </w:r>
          </w:p>
        </w:tc>
        <w:tc>
          <w:tcPr>
            <w:tcW w:w="1181" w:type="dxa"/>
            <w:shd w:val="clear" w:color="auto" w:fill="D9D9D9"/>
          </w:tcPr>
          <w:p>
            <w:pPr>
              <w:pStyle w:val="TableParagraph"/>
              <w:spacing w:before="138"/>
              <w:ind w:left="67" w:firstLine="312"/>
              <w:rPr>
                <w:b/>
                <w:sz w:val="18"/>
              </w:rPr>
            </w:pPr>
            <w:r>
              <w:rPr>
                <w:b/>
                <w:spacing w:val="-4"/>
                <w:sz w:val="18"/>
              </w:rPr>
              <w:t>Meta </w:t>
            </w:r>
            <w:r>
              <w:rPr>
                <w:b/>
                <w:spacing w:val="-2"/>
                <w:sz w:val="18"/>
              </w:rPr>
              <w:t>programada</w:t>
            </w:r>
          </w:p>
        </w:tc>
        <w:tc>
          <w:tcPr>
            <w:tcW w:w="1354" w:type="dxa"/>
            <w:shd w:val="clear" w:color="auto" w:fill="D9D9D9"/>
          </w:tcPr>
          <w:p>
            <w:pPr>
              <w:pStyle w:val="TableParagraph"/>
              <w:spacing w:before="36"/>
              <w:rPr>
                <w:b/>
                <w:sz w:val="18"/>
              </w:rPr>
            </w:pPr>
          </w:p>
          <w:p>
            <w:pPr>
              <w:pStyle w:val="TableParagraph"/>
              <w:ind w:left="19" w:right="14"/>
              <w:jc w:val="center"/>
              <w:rPr>
                <w:b/>
                <w:sz w:val="18"/>
              </w:rPr>
            </w:pPr>
            <w:r>
              <w:rPr>
                <w:b/>
                <w:spacing w:val="-10"/>
                <w:sz w:val="18"/>
              </w:rPr>
              <w:t>¢</w:t>
            </w:r>
          </w:p>
        </w:tc>
        <w:tc>
          <w:tcPr>
            <w:tcW w:w="1417" w:type="dxa"/>
            <w:shd w:val="clear" w:color="auto" w:fill="D9D9D9"/>
          </w:tcPr>
          <w:p>
            <w:pPr>
              <w:pStyle w:val="TableParagraph"/>
              <w:spacing w:before="138"/>
              <w:ind w:left="187" w:firstLine="312"/>
              <w:rPr>
                <w:b/>
                <w:sz w:val="18"/>
              </w:rPr>
            </w:pPr>
            <w:r>
              <w:rPr>
                <w:b/>
                <w:spacing w:val="-4"/>
                <w:sz w:val="18"/>
              </w:rPr>
              <w:t>Meta </w:t>
            </w:r>
            <w:r>
              <w:rPr>
                <w:b/>
                <w:spacing w:val="-2"/>
                <w:sz w:val="18"/>
              </w:rPr>
              <w:t>programada</w:t>
            </w:r>
          </w:p>
        </w:tc>
        <w:tc>
          <w:tcPr>
            <w:tcW w:w="1272" w:type="dxa"/>
            <w:shd w:val="clear" w:color="auto" w:fill="D9D9D9"/>
          </w:tcPr>
          <w:p>
            <w:pPr>
              <w:pStyle w:val="TableParagraph"/>
              <w:spacing w:before="36"/>
              <w:rPr>
                <w:b/>
                <w:sz w:val="18"/>
              </w:rPr>
            </w:pPr>
          </w:p>
          <w:p>
            <w:pPr>
              <w:pStyle w:val="TableParagraph"/>
              <w:ind w:left="20" w:right="11"/>
              <w:jc w:val="center"/>
              <w:rPr>
                <w:b/>
                <w:sz w:val="18"/>
              </w:rPr>
            </w:pPr>
            <w:r>
              <w:rPr>
                <w:b/>
                <w:spacing w:val="-10"/>
                <w:sz w:val="18"/>
              </w:rPr>
              <w:t>¢</w:t>
            </w:r>
          </w:p>
        </w:tc>
        <w:tc>
          <w:tcPr>
            <w:tcW w:w="1181" w:type="dxa"/>
            <w:shd w:val="clear" w:color="auto" w:fill="D9D9D9"/>
          </w:tcPr>
          <w:p>
            <w:pPr>
              <w:pStyle w:val="TableParagraph"/>
              <w:spacing w:before="138"/>
              <w:ind w:left="66" w:firstLine="312"/>
              <w:rPr>
                <w:b/>
                <w:sz w:val="18"/>
              </w:rPr>
            </w:pPr>
            <w:r>
              <w:rPr>
                <w:b/>
                <w:spacing w:val="-4"/>
                <w:sz w:val="18"/>
              </w:rPr>
              <w:t>Meta </w:t>
            </w:r>
            <w:r>
              <w:rPr>
                <w:b/>
                <w:spacing w:val="-2"/>
                <w:sz w:val="18"/>
              </w:rPr>
              <w:t>programada</w:t>
            </w:r>
          </w:p>
        </w:tc>
        <w:tc>
          <w:tcPr>
            <w:tcW w:w="1834" w:type="dxa"/>
            <w:shd w:val="clear" w:color="auto" w:fill="D9D9D9"/>
          </w:tcPr>
          <w:p>
            <w:pPr>
              <w:pStyle w:val="TableParagraph"/>
              <w:spacing w:before="36"/>
              <w:rPr>
                <w:b/>
                <w:sz w:val="18"/>
              </w:rPr>
            </w:pPr>
          </w:p>
          <w:p>
            <w:pPr>
              <w:pStyle w:val="TableParagraph"/>
              <w:ind w:left="6"/>
              <w:jc w:val="center"/>
              <w:rPr>
                <w:b/>
                <w:sz w:val="18"/>
              </w:rPr>
            </w:pPr>
            <w:r>
              <w:rPr>
                <w:b/>
                <w:spacing w:val="-10"/>
                <w:sz w:val="18"/>
              </w:rPr>
              <w:t>¢</w:t>
            </w:r>
          </w:p>
        </w:tc>
      </w:tr>
      <w:tr>
        <w:trPr>
          <w:trHeight w:val="647" w:hRule="atLeast"/>
        </w:trPr>
        <w:tc>
          <w:tcPr>
            <w:tcW w:w="14457" w:type="dxa"/>
            <w:gridSpan w:val="10"/>
            <w:shd w:val="clear" w:color="auto" w:fill="D9D9D9"/>
          </w:tcPr>
          <w:p>
            <w:pPr>
              <w:pStyle w:val="TableParagraph"/>
              <w:spacing w:before="119"/>
              <w:ind w:left="72"/>
              <w:rPr>
                <w:b/>
                <w:sz w:val="18"/>
              </w:rPr>
            </w:pPr>
            <w:r>
              <w:rPr>
                <w:b/>
                <w:sz w:val="18"/>
              </w:rPr>
              <w:t>Efecto:</w:t>
            </w:r>
            <w:r>
              <w:rPr>
                <w:b/>
                <w:spacing w:val="-1"/>
                <w:sz w:val="18"/>
              </w:rPr>
              <w:t> </w:t>
            </w:r>
            <w:r>
              <w:rPr>
                <w:b/>
                <w:sz w:val="18"/>
              </w:rPr>
              <w:t>Gestión</w:t>
            </w:r>
            <w:r>
              <w:rPr>
                <w:b/>
                <w:spacing w:val="-4"/>
                <w:sz w:val="18"/>
              </w:rPr>
              <w:t> </w:t>
            </w:r>
            <w:r>
              <w:rPr>
                <w:b/>
                <w:sz w:val="18"/>
              </w:rPr>
              <w:t>administrativa,</w:t>
            </w:r>
            <w:r>
              <w:rPr>
                <w:b/>
                <w:spacing w:val="-1"/>
                <w:sz w:val="18"/>
              </w:rPr>
              <w:t> </w:t>
            </w:r>
            <w:r>
              <w:rPr>
                <w:b/>
                <w:sz w:val="18"/>
              </w:rPr>
              <w:t>financiera,</w:t>
            </w:r>
            <w:r>
              <w:rPr>
                <w:b/>
                <w:spacing w:val="-1"/>
                <w:sz w:val="18"/>
              </w:rPr>
              <w:t> </w:t>
            </w:r>
            <w:r>
              <w:rPr>
                <w:b/>
                <w:sz w:val="18"/>
              </w:rPr>
              <w:t>tecnológica</w:t>
            </w:r>
            <w:r>
              <w:rPr>
                <w:b/>
                <w:spacing w:val="-3"/>
                <w:sz w:val="18"/>
              </w:rPr>
              <w:t> </w:t>
            </w:r>
            <w:r>
              <w:rPr>
                <w:b/>
                <w:sz w:val="18"/>
              </w:rPr>
              <w:t>y</w:t>
            </w:r>
            <w:r>
              <w:rPr>
                <w:b/>
                <w:spacing w:val="-3"/>
                <w:sz w:val="18"/>
              </w:rPr>
              <w:t> </w:t>
            </w:r>
            <w:r>
              <w:rPr>
                <w:b/>
                <w:sz w:val="18"/>
              </w:rPr>
              <w:t>asesora,</w:t>
            </w:r>
            <w:r>
              <w:rPr>
                <w:b/>
                <w:spacing w:val="-1"/>
                <w:sz w:val="18"/>
              </w:rPr>
              <w:t> </w:t>
            </w:r>
            <w:r>
              <w:rPr>
                <w:b/>
                <w:sz w:val="18"/>
              </w:rPr>
              <w:t>oportuna</w:t>
            </w:r>
            <w:r>
              <w:rPr>
                <w:b/>
                <w:spacing w:val="-3"/>
                <w:sz w:val="18"/>
              </w:rPr>
              <w:t> </w:t>
            </w:r>
            <w:r>
              <w:rPr>
                <w:b/>
                <w:sz w:val="18"/>
              </w:rPr>
              <w:t>para</w:t>
            </w:r>
            <w:r>
              <w:rPr>
                <w:b/>
                <w:spacing w:val="-3"/>
                <w:sz w:val="18"/>
              </w:rPr>
              <w:t> </w:t>
            </w:r>
            <w:r>
              <w:rPr>
                <w:b/>
                <w:sz w:val="18"/>
              </w:rPr>
              <w:t>coadyuvar</w:t>
            </w:r>
            <w:r>
              <w:rPr>
                <w:b/>
                <w:spacing w:val="-2"/>
                <w:sz w:val="18"/>
              </w:rPr>
              <w:t> </w:t>
            </w:r>
            <w:r>
              <w:rPr>
                <w:b/>
                <w:sz w:val="18"/>
              </w:rPr>
              <w:t>en</w:t>
            </w:r>
            <w:r>
              <w:rPr>
                <w:b/>
                <w:spacing w:val="-4"/>
                <w:sz w:val="18"/>
              </w:rPr>
              <w:t> </w:t>
            </w:r>
            <w:r>
              <w:rPr>
                <w:b/>
                <w:sz w:val="18"/>
              </w:rPr>
              <w:t>la ejecución</w:t>
            </w:r>
            <w:r>
              <w:rPr>
                <w:b/>
                <w:spacing w:val="-4"/>
                <w:sz w:val="18"/>
              </w:rPr>
              <w:t> </w:t>
            </w:r>
            <w:r>
              <w:rPr>
                <w:b/>
                <w:sz w:val="18"/>
              </w:rPr>
              <w:t>de</w:t>
            </w:r>
            <w:r>
              <w:rPr>
                <w:b/>
                <w:spacing w:val="-3"/>
                <w:sz w:val="18"/>
              </w:rPr>
              <w:t> </w:t>
            </w:r>
            <w:r>
              <w:rPr>
                <w:b/>
                <w:sz w:val="18"/>
              </w:rPr>
              <w:t>la</w:t>
            </w:r>
            <w:r>
              <w:rPr>
                <w:b/>
                <w:spacing w:val="-3"/>
                <w:sz w:val="18"/>
              </w:rPr>
              <w:t> </w:t>
            </w:r>
            <w:r>
              <w:rPr>
                <w:b/>
                <w:sz w:val="18"/>
              </w:rPr>
              <w:t>oferta programática</w:t>
            </w:r>
            <w:r>
              <w:rPr>
                <w:b/>
                <w:spacing w:val="-3"/>
                <w:sz w:val="18"/>
              </w:rPr>
              <w:t> </w:t>
            </w:r>
            <w:r>
              <w:rPr>
                <w:b/>
                <w:sz w:val="18"/>
              </w:rPr>
              <w:t>institucionalización</w:t>
            </w:r>
            <w:r>
              <w:rPr>
                <w:b/>
                <w:spacing w:val="-4"/>
                <w:sz w:val="18"/>
              </w:rPr>
              <w:t> </w:t>
            </w:r>
            <w:r>
              <w:rPr>
                <w:b/>
                <w:sz w:val="18"/>
              </w:rPr>
              <w:t>dirigida a</w:t>
            </w:r>
            <w:r>
              <w:rPr>
                <w:b/>
                <w:spacing w:val="-8"/>
                <w:sz w:val="18"/>
              </w:rPr>
              <w:t> </w:t>
            </w:r>
            <w:r>
              <w:rPr>
                <w:b/>
                <w:sz w:val="18"/>
              </w:rPr>
              <w:t>la población en situación de pobreza extrema y pobreza.</w:t>
            </w:r>
          </w:p>
        </w:tc>
      </w:tr>
      <w:tr>
        <w:trPr>
          <w:trHeight w:val="753" w:hRule="atLeast"/>
        </w:trPr>
        <w:tc>
          <w:tcPr>
            <w:tcW w:w="14457" w:type="dxa"/>
            <w:gridSpan w:val="10"/>
            <w:shd w:val="clear" w:color="auto" w:fill="EFF8F9"/>
          </w:tcPr>
          <w:p>
            <w:pPr>
              <w:pStyle w:val="TableParagraph"/>
              <w:spacing w:before="167"/>
              <w:ind w:left="72"/>
              <w:rPr>
                <w:b/>
                <w:sz w:val="18"/>
              </w:rPr>
            </w:pPr>
            <w:r>
              <w:rPr>
                <w:b/>
                <w:sz w:val="18"/>
              </w:rPr>
              <w:t>Producto</w:t>
            </w:r>
            <w:r>
              <w:rPr>
                <w:b/>
                <w:spacing w:val="-4"/>
                <w:sz w:val="18"/>
              </w:rPr>
              <w:t> </w:t>
            </w:r>
            <w:r>
              <w:rPr>
                <w:b/>
                <w:sz w:val="18"/>
              </w:rPr>
              <w:t>PAC</w:t>
            </w:r>
            <w:r>
              <w:rPr>
                <w:b/>
                <w:spacing w:val="-4"/>
                <w:sz w:val="18"/>
              </w:rPr>
              <w:t> </w:t>
            </w:r>
            <w:r>
              <w:rPr>
                <w:b/>
                <w:sz w:val="18"/>
              </w:rPr>
              <w:t>2.53:</w:t>
            </w:r>
            <w:r>
              <w:rPr>
                <w:b/>
                <w:spacing w:val="40"/>
                <w:sz w:val="18"/>
              </w:rPr>
              <w:t> </w:t>
            </w:r>
            <w:r>
              <w:rPr>
                <w:b/>
                <w:sz w:val="18"/>
              </w:rPr>
              <w:t>Promover</w:t>
            </w:r>
            <w:r>
              <w:rPr>
                <w:b/>
                <w:spacing w:val="-2"/>
                <w:sz w:val="18"/>
              </w:rPr>
              <w:t> </w:t>
            </w:r>
            <w:r>
              <w:rPr>
                <w:b/>
                <w:sz w:val="18"/>
              </w:rPr>
              <w:t>el</w:t>
            </w:r>
            <w:r>
              <w:rPr>
                <w:b/>
                <w:spacing w:val="-1"/>
                <w:sz w:val="18"/>
              </w:rPr>
              <w:t> </w:t>
            </w:r>
            <w:r>
              <w:rPr>
                <w:b/>
                <w:sz w:val="18"/>
              </w:rPr>
              <w:t>conocimiento</w:t>
            </w:r>
            <w:r>
              <w:rPr>
                <w:b/>
                <w:spacing w:val="-4"/>
                <w:sz w:val="18"/>
              </w:rPr>
              <w:t> </w:t>
            </w:r>
            <w:r>
              <w:rPr>
                <w:b/>
                <w:sz w:val="18"/>
              </w:rPr>
              <w:t>de</w:t>
            </w:r>
            <w:r>
              <w:rPr>
                <w:b/>
                <w:spacing w:val="-3"/>
                <w:sz w:val="18"/>
              </w:rPr>
              <w:t> </w:t>
            </w:r>
            <w:r>
              <w:rPr>
                <w:b/>
                <w:sz w:val="18"/>
              </w:rPr>
              <w:t>temas</w:t>
            </w:r>
            <w:r>
              <w:rPr>
                <w:b/>
                <w:spacing w:val="-3"/>
                <w:sz w:val="18"/>
              </w:rPr>
              <w:t> </w:t>
            </w:r>
            <w:r>
              <w:rPr>
                <w:b/>
                <w:sz w:val="18"/>
              </w:rPr>
              <w:t>jurídicos</w:t>
            </w:r>
            <w:r>
              <w:rPr>
                <w:b/>
                <w:spacing w:val="-3"/>
                <w:sz w:val="18"/>
              </w:rPr>
              <w:t> </w:t>
            </w:r>
            <w:r>
              <w:rPr>
                <w:b/>
                <w:sz w:val="18"/>
              </w:rPr>
              <w:t>a</w:t>
            </w:r>
            <w:r>
              <w:rPr>
                <w:b/>
                <w:spacing w:val="-3"/>
                <w:sz w:val="18"/>
              </w:rPr>
              <w:t> </w:t>
            </w:r>
            <w:r>
              <w:rPr>
                <w:b/>
                <w:sz w:val="18"/>
              </w:rPr>
              <w:t>personas</w:t>
            </w:r>
            <w:r>
              <w:rPr>
                <w:b/>
                <w:spacing w:val="-3"/>
                <w:sz w:val="18"/>
              </w:rPr>
              <w:t> </w:t>
            </w:r>
            <w:r>
              <w:rPr>
                <w:b/>
                <w:sz w:val="18"/>
              </w:rPr>
              <w:t>funcionarias del</w:t>
            </w:r>
            <w:r>
              <w:rPr>
                <w:b/>
                <w:spacing w:val="-1"/>
                <w:sz w:val="18"/>
              </w:rPr>
              <w:t> </w:t>
            </w:r>
            <w:r>
              <w:rPr>
                <w:b/>
                <w:sz w:val="18"/>
              </w:rPr>
              <w:t>IMAS,</w:t>
            </w:r>
            <w:r>
              <w:rPr>
                <w:b/>
                <w:spacing w:val="-1"/>
                <w:sz w:val="18"/>
              </w:rPr>
              <w:t> </w:t>
            </w:r>
            <w:r>
              <w:rPr>
                <w:b/>
                <w:sz w:val="18"/>
              </w:rPr>
              <w:t>a través</w:t>
            </w:r>
            <w:r>
              <w:rPr>
                <w:b/>
                <w:spacing w:val="-3"/>
                <w:sz w:val="18"/>
              </w:rPr>
              <w:t> </w:t>
            </w:r>
            <w:r>
              <w:rPr>
                <w:b/>
                <w:sz w:val="18"/>
              </w:rPr>
              <w:t>de</w:t>
            </w:r>
            <w:r>
              <w:rPr>
                <w:b/>
                <w:spacing w:val="-3"/>
                <w:sz w:val="18"/>
              </w:rPr>
              <w:t> </w:t>
            </w:r>
            <w:r>
              <w:rPr>
                <w:b/>
                <w:sz w:val="18"/>
              </w:rPr>
              <w:t>talleres</w:t>
            </w:r>
            <w:r>
              <w:rPr>
                <w:b/>
                <w:spacing w:val="-3"/>
                <w:sz w:val="18"/>
              </w:rPr>
              <w:t> </w:t>
            </w:r>
            <w:r>
              <w:rPr>
                <w:b/>
                <w:sz w:val="18"/>
              </w:rPr>
              <w:t>formativos</w:t>
            </w:r>
            <w:r>
              <w:rPr>
                <w:b/>
                <w:spacing w:val="-3"/>
                <w:sz w:val="18"/>
              </w:rPr>
              <w:t> </w:t>
            </w:r>
            <w:r>
              <w:rPr>
                <w:b/>
                <w:sz w:val="18"/>
              </w:rPr>
              <w:t>virtuales</w:t>
            </w:r>
            <w:r>
              <w:rPr>
                <w:b/>
                <w:spacing w:val="-3"/>
                <w:sz w:val="18"/>
              </w:rPr>
              <w:t> </w:t>
            </w:r>
            <w:r>
              <w:rPr>
                <w:b/>
                <w:sz w:val="18"/>
              </w:rPr>
              <w:t>o</w:t>
            </w:r>
            <w:r>
              <w:rPr>
                <w:b/>
                <w:spacing w:val="-4"/>
                <w:sz w:val="18"/>
              </w:rPr>
              <w:t> </w:t>
            </w:r>
            <w:r>
              <w:rPr>
                <w:b/>
                <w:sz w:val="18"/>
              </w:rPr>
              <w:t>presenciales,</w:t>
            </w:r>
            <w:r>
              <w:rPr>
                <w:b/>
                <w:spacing w:val="-1"/>
                <w:sz w:val="18"/>
              </w:rPr>
              <w:t> </w:t>
            </w:r>
            <w:r>
              <w:rPr>
                <w:b/>
                <w:sz w:val="18"/>
              </w:rPr>
              <w:t>con</w:t>
            </w:r>
            <w:r>
              <w:rPr>
                <w:b/>
                <w:spacing w:val="-4"/>
                <w:sz w:val="18"/>
              </w:rPr>
              <w:t> </w:t>
            </w:r>
            <w:r>
              <w:rPr>
                <w:b/>
                <w:sz w:val="18"/>
              </w:rPr>
              <w:t>el</w:t>
            </w:r>
            <w:r>
              <w:rPr>
                <w:b/>
                <w:spacing w:val="-1"/>
                <w:sz w:val="18"/>
              </w:rPr>
              <w:t> </w:t>
            </w:r>
            <w:r>
              <w:rPr>
                <w:b/>
                <w:sz w:val="18"/>
              </w:rPr>
              <w:t>fin de lograr el fortalecimiento de habilidades de resolución y abordaje de diversas situaciones jurídicas.</w:t>
            </w:r>
          </w:p>
        </w:tc>
      </w:tr>
      <w:tr>
        <w:trPr>
          <w:trHeight w:val="1032" w:hRule="atLeast"/>
        </w:trPr>
        <w:tc>
          <w:tcPr>
            <w:tcW w:w="2099" w:type="dxa"/>
          </w:tcPr>
          <w:p>
            <w:pPr>
              <w:pStyle w:val="TableParagraph"/>
              <w:ind w:left="72"/>
              <w:rPr>
                <w:sz w:val="18"/>
              </w:rPr>
            </w:pPr>
            <w:r>
              <w:rPr>
                <w:b/>
                <w:sz w:val="18"/>
              </w:rPr>
              <w:t>Actividad PAC 2.53.1: </w:t>
            </w:r>
            <w:r>
              <w:rPr>
                <w:sz w:val="18"/>
              </w:rPr>
              <w:t>Definir y planear los contenidos</w:t>
            </w:r>
            <w:r>
              <w:rPr>
                <w:spacing w:val="-15"/>
                <w:sz w:val="18"/>
              </w:rPr>
              <w:t> </w:t>
            </w:r>
            <w:r>
              <w:rPr>
                <w:sz w:val="18"/>
              </w:rPr>
              <w:t>temáticos</w:t>
            </w:r>
            <w:r>
              <w:rPr>
                <w:spacing w:val="-12"/>
                <w:sz w:val="18"/>
              </w:rPr>
              <w:t> </w:t>
            </w:r>
            <w:r>
              <w:rPr>
                <w:sz w:val="18"/>
              </w:rPr>
              <w:t>de los talleres formativos</w:t>
            </w:r>
          </w:p>
          <w:p>
            <w:pPr>
              <w:pStyle w:val="TableParagraph"/>
              <w:spacing w:line="185" w:lineRule="exact"/>
              <w:ind w:left="72"/>
              <w:rPr>
                <w:sz w:val="18"/>
              </w:rPr>
            </w:pPr>
            <w:r>
              <w:rPr>
                <w:sz w:val="18"/>
              </w:rPr>
              <w:t>virtuales</w:t>
            </w:r>
            <w:r>
              <w:rPr>
                <w:spacing w:val="-4"/>
                <w:sz w:val="18"/>
              </w:rPr>
              <w:t> </w:t>
            </w:r>
            <w:r>
              <w:rPr>
                <w:sz w:val="18"/>
              </w:rPr>
              <w:t>o</w:t>
            </w:r>
            <w:r>
              <w:rPr>
                <w:spacing w:val="-3"/>
                <w:sz w:val="18"/>
              </w:rPr>
              <w:t> </w:t>
            </w:r>
            <w:r>
              <w:rPr>
                <w:spacing w:val="-2"/>
                <w:sz w:val="18"/>
              </w:rPr>
              <w:t>presenciales.</w:t>
            </w:r>
          </w:p>
        </w:tc>
        <w:tc>
          <w:tcPr>
            <w:tcW w:w="1330" w:type="dxa"/>
          </w:tcPr>
          <w:p>
            <w:pPr>
              <w:pStyle w:val="TableParagraph"/>
              <w:spacing w:line="242" w:lineRule="auto" w:before="99"/>
              <w:ind w:left="71"/>
              <w:rPr>
                <w:sz w:val="18"/>
              </w:rPr>
            </w:pPr>
            <w:r>
              <w:rPr>
                <w:sz w:val="18"/>
              </w:rPr>
              <w:t>Cantidad</w:t>
            </w:r>
            <w:r>
              <w:rPr>
                <w:spacing w:val="-13"/>
                <w:sz w:val="18"/>
              </w:rPr>
              <w:t> </w:t>
            </w:r>
            <w:r>
              <w:rPr>
                <w:sz w:val="18"/>
              </w:rPr>
              <w:t>de </w:t>
            </w:r>
            <w:r>
              <w:rPr>
                <w:spacing w:val="-2"/>
                <w:sz w:val="18"/>
              </w:rPr>
              <w:t>programas temáticos definidos.</w:t>
            </w:r>
          </w:p>
        </w:tc>
        <w:tc>
          <w:tcPr>
            <w:tcW w:w="1536" w:type="dxa"/>
          </w:tcPr>
          <w:p>
            <w:pPr>
              <w:pStyle w:val="TableParagraph"/>
              <w:spacing w:before="204"/>
              <w:rPr>
                <w:b/>
                <w:sz w:val="18"/>
              </w:rPr>
            </w:pPr>
          </w:p>
          <w:p>
            <w:pPr>
              <w:pStyle w:val="TableParagraph"/>
              <w:ind w:left="14"/>
              <w:jc w:val="center"/>
              <w:rPr>
                <w:sz w:val="18"/>
              </w:rPr>
            </w:pPr>
            <w:r>
              <w:rPr>
                <w:spacing w:val="-10"/>
                <w:sz w:val="18"/>
              </w:rPr>
              <w:t>1</w:t>
            </w:r>
          </w:p>
        </w:tc>
        <w:tc>
          <w:tcPr>
            <w:tcW w:w="1253" w:type="dxa"/>
          </w:tcPr>
          <w:p>
            <w:pPr>
              <w:pStyle w:val="TableParagraph"/>
              <w:rPr>
                <w:rFonts w:ascii="Times New Roman"/>
                <w:sz w:val="18"/>
              </w:rPr>
            </w:pPr>
          </w:p>
        </w:tc>
        <w:tc>
          <w:tcPr>
            <w:tcW w:w="1181" w:type="dxa"/>
          </w:tcPr>
          <w:p>
            <w:pPr>
              <w:pStyle w:val="TableParagraph"/>
              <w:spacing w:before="204"/>
              <w:rPr>
                <w:b/>
                <w:sz w:val="18"/>
              </w:rPr>
            </w:pPr>
          </w:p>
          <w:p>
            <w:pPr>
              <w:pStyle w:val="TableParagraph"/>
              <w:ind w:left="28" w:right="23"/>
              <w:jc w:val="center"/>
              <w:rPr>
                <w:sz w:val="18"/>
              </w:rPr>
            </w:pPr>
            <w:r>
              <w:rPr>
                <w:spacing w:val="-10"/>
                <w:sz w:val="18"/>
              </w:rPr>
              <w:t>2</w:t>
            </w:r>
          </w:p>
        </w:tc>
        <w:tc>
          <w:tcPr>
            <w:tcW w:w="1354" w:type="dxa"/>
          </w:tcPr>
          <w:p>
            <w:pPr>
              <w:pStyle w:val="TableParagraph"/>
              <w:rPr>
                <w:rFonts w:ascii="Times New Roman"/>
                <w:sz w:val="18"/>
              </w:rPr>
            </w:pPr>
          </w:p>
        </w:tc>
        <w:tc>
          <w:tcPr>
            <w:tcW w:w="1417" w:type="dxa"/>
          </w:tcPr>
          <w:p>
            <w:pPr>
              <w:pStyle w:val="TableParagraph"/>
              <w:rPr>
                <w:rFonts w:ascii="Times New Roman"/>
                <w:sz w:val="18"/>
              </w:rPr>
            </w:pPr>
          </w:p>
        </w:tc>
        <w:tc>
          <w:tcPr>
            <w:tcW w:w="1272" w:type="dxa"/>
          </w:tcPr>
          <w:p>
            <w:pPr>
              <w:pStyle w:val="TableParagraph"/>
              <w:rPr>
                <w:rFonts w:ascii="Times New Roman"/>
                <w:sz w:val="18"/>
              </w:rPr>
            </w:pPr>
          </w:p>
        </w:tc>
        <w:tc>
          <w:tcPr>
            <w:tcW w:w="1181" w:type="dxa"/>
          </w:tcPr>
          <w:p>
            <w:pPr>
              <w:pStyle w:val="TableParagraph"/>
              <w:rPr>
                <w:rFonts w:ascii="Times New Roman"/>
                <w:sz w:val="18"/>
              </w:rPr>
            </w:pPr>
          </w:p>
        </w:tc>
        <w:tc>
          <w:tcPr>
            <w:tcW w:w="1834" w:type="dxa"/>
          </w:tcPr>
          <w:p>
            <w:pPr>
              <w:pStyle w:val="TableParagraph"/>
              <w:rPr>
                <w:rFonts w:ascii="Times New Roman"/>
                <w:sz w:val="18"/>
              </w:rPr>
            </w:pPr>
          </w:p>
        </w:tc>
      </w:tr>
      <w:tr>
        <w:trPr>
          <w:trHeight w:val="1655" w:hRule="atLeast"/>
        </w:trPr>
        <w:tc>
          <w:tcPr>
            <w:tcW w:w="2099" w:type="dxa"/>
          </w:tcPr>
          <w:p>
            <w:pPr>
              <w:pStyle w:val="TableParagraph"/>
              <w:ind w:left="72" w:right="105"/>
              <w:rPr>
                <w:sz w:val="18"/>
              </w:rPr>
            </w:pPr>
            <w:r>
              <w:rPr>
                <w:b/>
                <w:sz w:val="18"/>
              </w:rPr>
              <w:t>Actividad</w:t>
            </w:r>
            <w:r>
              <w:rPr>
                <w:b/>
                <w:spacing w:val="-15"/>
                <w:sz w:val="18"/>
              </w:rPr>
              <w:t> </w:t>
            </w:r>
            <w:r>
              <w:rPr>
                <w:b/>
                <w:sz w:val="18"/>
              </w:rPr>
              <w:t>PAC</w:t>
            </w:r>
            <w:r>
              <w:rPr>
                <w:b/>
                <w:spacing w:val="-12"/>
                <w:sz w:val="18"/>
              </w:rPr>
              <w:t> </w:t>
            </w:r>
            <w:r>
              <w:rPr>
                <w:b/>
                <w:sz w:val="18"/>
              </w:rPr>
              <w:t>2.53.2: </w:t>
            </w:r>
            <w:r>
              <w:rPr>
                <w:sz w:val="18"/>
              </w:rPr>
              <w:t>Ejecución de talleres formativos virtuales o presenciales,</w:t>
            </w:r>
            <w:r>
              <w:rPr>
                <w:spacing w:val="-15"/>
                <w:sz w:val="18"/>
              </w:rPr>
              <w:t> </w:t>
            </w:r>
            <w:r>
              <w:rPr>
                <w:sz w:val="18"/>
              </w:rPr>
              <w:t>en</w:t>
            </w:r>
            <w:r>
              <w:rPr>
                <w:spacing w:val="-12"/>
                <w:sz w:val="18"/>
              </w:rPr>
              <w:t> </w:t>
            </w:r>
            <w:r>
              <w:rPr>
                <w:sz w:val="18"/>
              </w:rPr>
              <w:t>temas jurídicos, relevantes para las Áreas</w:t>
            </w:r>
          </w:p>
          <w:p>
            <w:pPr>
              <w:pStyle w:val="TableParagraph"/>
              <w:spacing w:line="206" w:lineRule="exact"/>
              <w:ind w:left="72" w:right="105"/>
              <w:rPr>
                <w:sz w:val="18"/>
              </w:rPr>
            </w:pPr>
            <w:r>
              <w:rPr>
                <w:sz w:val="18"/>
              </w:rPr>
              <w:t>Regionales de Desarrollo</w:t>
            </w:r>
            <w:r>
              <w:rPr>
                <w:spacing w:val="-15"/>
                <w:sz w:val="18"/>
              </w:rPr>
              <w:t> </w:t>
            </w:r>
            <w:r>
              <w:rPr>
                <w:sz w:val="18"/>
              </w:rPr>
              <w:t>Social</w:t>
            </w:r>
            <w:r>
              <w:rPr>
                <w:spacing w:val="-12"/>
                <w:sz w:val="18"/>
              </w:rPr>
              <w:t> </w:t>
            </w:r>
            <w:r>
              <w:rPr>
                <w:sz w:val="18"/>
              </w:rPr>
              <w:t>del</w:t>
            </w:r>
          </w:p>
        </w:tc>
        <w:tc>
          <w:tcPr>
            <w:tcW w:w="1330" w:type="dxa"/>
          </w:tcPr>
          <w:p>
            <w:pPr>
              <w:pStyle w:val="TableParagraph"/>
              <w:spacing w:before="3"/>
              <w:rPr>
                <w:b/>
                <w:sz w:val="18"/>
              </w:rPr>
            </w:pPr>
          </w:p>
          <w:p>
            <w:pPr>
              <w:pStyle w:val="TableParagraph"/>
              <w:ind w:left="71"/>
              <w:rPr>
                <w:sz w:val="18"/>
              </w:rPr>
            </w:pPr>
            <w:r>
              <w:rPr>
                <w:sz w:val="18"/>
              </w:rPr>
              <w:t>Cantidad de </w:t>
            </w:r>
            <w:r>
              <w:rPr>
                <w:spacing w:val="-2"/>
                <w:sz w:val="18"/>
              </w:rPr>
              <w:t>talleres formativos </w:t>
            </w:r>
            <w:r>
              <w:rPr>
                <w:sz w:val="18"/>
              </w:rPr>
              <w:t>virtuales y/o </w:t>
            </w:r>
            <w:r>
              <w:rPr>
                <w:spacing w:val="-2"/>
                <w:sz w:val="18"/>
              </w:rPr>
              <w:t>presenciales ejecutados.</w:t>
            </w:r>
          </w:p>
        </w:tc>
        <w:tc>
          <w:tcPr>
            <w:tcW w:w="1536" w:type="dxa"/>
          </w:tcPr>
          <w:p>
            <w:pPr>
              <w:pStyle w:val="TableParagraph"/>
              <w:rPr>
                <w:rFonts w:ascii="Times New Roman"/>
                <w:sz w:val="18"/>
              </w:rPr>
            </w:pPr>
          </w:p>
        </w:tc>
        <w:tc>
          <w:tcPr>
            <w:tcW w:w="1253" w:type="dxa"/>
          </w:tcPr>
          <w:p>
            <w:pPr>
              <w:pStyle w:val="TableParagraph"/>
              <w:rPr>
                <w:rFonts w:ascii="Times New Roman"/>
                <w:sz w:val="18"/>
              </w:rPr>
            </w:pPr>
          </w:p>
        </w:tc>
        <w:tc>
          <w:tcPr>
            <w:tcW w:w="1181" w:type="dxa"/>
          </w:tcPr>
          <w:p>
            <w:pPr>
              <w:pStyle w:val="TableParagraph"/>
              <w:rPr>
                <w:rFonts w:ascii="Times New Roman"/>
                <w:sz w:val="18"/>
              </w:rPr>
            </w:pPr>
          </w:p>
        </w:tc>
        <w:tc>
          <w:tcPr>
            <w:tcW w:w="1354"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3" w:right="4"/>
              <w:jc w:val="center"/>
              <w:rPr>
                <w:sz w:val="18"/>
              </w:rPr>
            </w:pPr>
            <w:r>
              <w:rPr>
                <w:spacing w:val="-10"/>
                <w:sz w:val="18"/>
              </w:rPr>
              <w:t>1</w:t>
            </w:r>
          </w:p>
        </w:tc>
        <w:tc>
          <w:tcPr>
            <w:tcW w:w="1272"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8" w:right="23"/>
              <w:jc w:val="center"/>
              <w:rPr>
                <w:sz w:val="18"/>
              </w:rPr>
            </w:pPr>
            <w:r>
              <w:rPr>
                <w:spacing w:val="-10"/>
                <w:sz w:val="18"/>
              </w:rPr>
              <w:t>2</w:t>
            </w:r>
          </w:p>
        </w:tc>
        <w:tc>
          <w:tcPr>
            <w:tcW w:w="1834"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99"/>
        <w:gridCol w:w="1330"/>
        <w:gridCol w:w="1536"/>
        <w:gridCol w:w="1253"/>
        <w:gridCol w:w="1181"/>
        <w:gridCol w:w="1354"/>
        <w:gridCol w:w="1417"/>
        <w:gridCol w:w="1272"/>
        <w:gridCol w:w="1181"/>
        <w:gridCol w:w="1834"/>
      </w:tblGrid>
      <w:tr>
        <w:trPr>
          <w:trHeight w:val="465" w:hRule="atLeast"/>
        </w:trPr>
        <w:tc>
          <w:tcPr>
            <w:tcW w:w="2099" w:type="dxa"/>
            <w:vMerge w:val="restart"/>
            <w:shd w:val="clear" w:color="auto" w:fill="D9D9D9"/>
          </w:tcPr>
          <w:p>
            <w:pPr>
              <w:pStyle w:val="TableParagraph"/>
              <w:rPr>
                <w:b/>
                <w:sz w:val="18"/>
              </w:rPr>
            </w:pPr>
          </w:p>
          <w:p>
            <w:pPr>
              <w:pStyle w:val="TableParagraph"/>
              <w:spacing w:before="65"/>
              <w:rPr>
                <w:b/>
                <w:sz w:val="18"/>
              </w:rPr>
            </w:pPr>
          </w:p>
          <w:p>
            <w:pPr>
              <w:pStyle w:val="TableParagraph"/>
              <w:ind w:left="81"/>
              <w:rPr>
                <w:b/>
                <w:sz w:val="18"/>
              </w:rPr>
            </w:pPr>
            <w:r>
              <w:rPr>
                <w:b/>
                <w:sz w:val="18"/>
              </w:rPr>
              <w:t>Objetivos</w:t>
            </w:r>
            <w:r>
              <w:rPr>
                <w:b/>
                <w:spacing w:val="-5"/>
                <w:sz w:val="18"/>
              </w:rPr>
              <w:t> </w:t>
            </w:r>
            <w:r>
              <w:rPr>
                <w:b/>
                <w:sz w:val="18"/>
              </w:rPr>
              <w:t>/</w:t>
            </w:r>
            <w:r>
              <w:rPr>
                <w:b/>
                <w:spacing w:val="-2"/>
                <w:sz w:val="18"/>
              </w:rPr>
              <w:t> Resultados</w:t>
            </w:r>
          </w:p>
        </w:tc>
        <w:tc>
          <w:tcPr>
            <w:tcW w:w="1330" w:type="dxa"/>
            <w:vMerge w:val="restart"/>
            <w:shd w:val="clear" w:color="auto" w:fill="D9D9D9"/>
          </w:tcPr>
          <w:p>
            <w:pPr>
              <w:pStyle w:val="TableParagraph"/>
              <w:rPr>
                <w:b/>
                <w:sz w:val="18"/>
              </w:rPr>
            </w:pPr>
          </w:p>
          <w:p>
            <w:pPr>
              <w:pStyle w:val="TableParagraph"/>
              <w:spacing w:before="65"/>
              <w:rPr>
                <w:b/>
                <w:sz w:val="18"/>
              </w:rPr>
            </w:pPr>
          </w:p>
          <w:p>
            <w:pPr>
              <w:pStyle w:val="TableParagraph"/>
              <w:ind w:left="258"/>
              <w:rPr>
                <w:b/>
                <w:sz w:val="18"/>
              </w:rPr>
            </w:pPr>
            <w:r>
              <w:rPr>
                <w:b/>
                <w:spacing w:val="-2"/>
                <w:sz w:val="18"/>
              </w:rPr>
              <w:t>Indicador</w:t>
            </w:r>
          </w:p>
        </w:tc>
        <w:tc>
          <w:tcPr>
            <w:tcW w:w="2789" w:type="dxa"/>
            <w:gridSpan w:val="2"/>
            <w:shd w:val="clear" w:color="auto" w:fill="D9D9D9"/>
          </w:tcPr>
          <w:p>
            <w:pPr>
              <w:pStyle w:val="TableParagraph"/>
              <w:spacing w:before="128"/>
              <w:ind w:left="930"/>
              <w:rPr>
                <w:b/>
                <w:sz w:val="18"/>
              </w:rPr>
            </w:pPr>
            <w:r>
              <w:rPr>
                <w:b/>
                <w:sz w:val="18"/>
              </w:rPr>
              <w:t>I</w:t>
            </w:r>
            <w:r>
              <w:rPr>
                <w:b/>
                <w:spacing w:val="-1"/>
                <w:sz w:val="18"/>
              </w:rPr>
              <w:t> </w:t>
            </w:r>
            <w:r>
              <w:rPr>
                <w:b/>
                <w:spacing w:val="-2"/>
                <w:sz w:val="18"/>
              </w:rPr>
              <w:t>Trimestre</w:t>
            </w:r>
          </w:p>
        </w:tc>
        <w:tc>
          <w:tcPr>
            <w:tcW w:w="2535" w:type="dxa"/>
            <w:gridSpan w:val="2"/>
            <w:shd w:val="clear" w:color="auto" w:fill="D9D9D9"/>
          </w:tcPr>
          <w:p>
            <w:pPr>
              <w:pStyle w:val="TableParagraph"/>
              <w:spacing w:before="128"/>
              <w:ind w:left="777"/>
              <w:rPr>
                <w:b/>
                <w:sz w:val="18"/>
              </w:rPr>
            </w:pPr>
            <w:r>
              <w:rPr>
                <w:b/>
                <w:sz w:val="18"/>
              </w:rPr>
              <w:t>II</w:t>
            </w:r>
            <w:r>
              <w:rPr>
                <w:b/>
                <w:spacing w:val="-3"/>
                <w:sz w:val="18"/>
              </w:rPr>
              <w:t> </w:t>
            </w:r>
            <w:r>
              <w:rPr>
                <w:b/>
                <w:spacing w:val="-2"/>
                <w:sz w:val="18"/>
              </w:rPr>
              <w:t>Trimestre</w:t>
            </w:r>
          </w:p>
        </w:tc>
        <w:tc>
          <w:tcPr>
            <w:tcW w:w="2689" w:type="dxa"/>
            <w:gridSpan w:val="2"/>
            <w:shd w:val="clear" w:color="auto" w:fill="D9D9D9"/>
          </w:tcPr>
          <w:p>
            <w:pPr>
              <w:pStyle w:val="TableParagraph"/>
              <w:spacing w:before="128"/>
              <w:ind w:left="830"/>
              <w:rPr>
                <w:b/>
                <w:sz w:val="18"/>
              </w:rPr>
            </w:pPr>
            <w:r>
              <w:rPr>
                <w:b/>
                <w:sz w:val="18"/>
              </w:rPr>
              <w:t>III</w:t>
            </w:r>
            <w:r>
              <w:rPr>
                <w:b/>
                <w:spacing w:val="-2"/>
                <w:sz w:val="18"/>
              </w:rPr>
              <w:t> Trimestre</w:t>
            </w:r>
          </w:p>
        </w:tc>
        <w:tc>
          <w:tcPr>
            <w:tcW w:w="3015" w:type="dxa"/>
            <w:gridSpan w:val="2"/>
            <w:shd w:val="clear" w:color="auto" w:fill="D9D9D9"/>
          </w:tcPr>
          <w:p>
            <w:pPr>
              <w:pStyle w:val="TableParagraph"/>
              <w:spacing w:before="128"/>
              <w:ind w:left="983"/>
              <w:rPr>
                <w:b/>
                <w:sz w:val="18"/>
              </w:rPr>
            </w:pPr>
            <w:r>
              <w:rPr>
                <w:b/>
                <w:sz w:val="18"/>
              </w:rPr>
              <w:t>IV</w:t>
            </w:r>
            <w:r>
              <w:rPr>
                <w:b/>
                <w:spacing w:val="-2"/>
                <w:sz w:val="18"/>
              </w:rPr>
              <w:t> Trimestre</w:t>
            </w:r>
          </w:p>
        </w:tc>
      </w:tr>
      <w:tr>
        <w:trPr>
          <w:trHeight w:val="691" w:hRule="atLeast"/>
        </w:trPr>
        <w:tc>
          <w:tcPr>
            <w:tcW w:w="2099" w:type="dxa"/>
            <w:vMerge/>
            <w:tcBorders>
              <w:top w:val="nil"/>
            </w:tcBorders>
            <w:shd w:val="clear" w:color="auto" w:fill="D9D9D9"/>
          </w:tcPr>
          <w:p>
            <w:pPr>
              <w:rPr>
                <w:sz w:val="2"/>
                <w:szCs w:val="2"/>
              </w:rPr>
            </w:pPr>
          </w:p>
        </w:tc>
        <w:tc>
          <w:tcPr>
            <w:tcW w:w="1330" w:type="dxa"/>
            <w:vMerge/>
            <w:tcBorders>
              <w:top w:val="nil"/>
            </w:tcBorders>
            <w:shd w:val="clear" w:color="auto" w:fill="D9D9D9"/>
          </w:tcPr>
          <w:p>
            <w:pPr>
              <w:rPr>
                <w:sz w:val="2"/>
                <w:szCs w:val="2"/>
              </w:rPr>
            </w:pPr>
          </w:p>
        </w:tc>
        <w:tc>
          <w:tcPr>
            <w:tcW w:w="1536" w:type="dxa"/>
            <w:shd w:val="clear" w:color="auto" w:fill="D9D9D9"/>
          </w:tcPr>
          <w:p>
            <w:pPr>
              <w:pStyle w:val="TableParagraph"/>
              <w:spacing w:before="138"/>
              <w:ind w:left="249" w:firstLine="312"/>
              <w:rPr>
                <w:b/>
                <w:sz w:val="18"/>
              </w:rPr>
            </w:pPr>
            <w:r>
              <w:rPr>
                <w:b/>
                <w:spacing w:val="-4"/>
                <w:sz w:val="18"/>
              </w:rPr>
              <w:t>Meta </w:t>
            </w:r>
            <w:r>
              <w:rPr>
                <w:b/>
                <w:spacing w:val="-2"/>
                <w:sz w:val="18"/>
              </w:rPr>
              <w:t>programada</w:t>
            </w:r>
          </w:p>
        </w:tc>
        <w:tc>
          <w:tcPr>
            <w:tcW w:w="1253" w:type="dxa"/>
            <w:shd w:val="clear" w:color="auto" w:fill="D9D9D9"/>
          </w:tcPr>
          <w:p>
            <w:pPr>
              <w:pStyle w:val="TableParagraph"/>
              <w:spacing w:before="31"/>
              <w:rPr>
                <w:b/>
                <w:sz w:val="18"/>
              </w:rPr>
            </w:pPr>
          </w:p>
          <w:p>
            <w:pPr>
              <w:pStyle w:val="TableParagraph"/>
              <w:spacing w:before="1"/>
              <w:ind w:left="10"/>
              <w:jc w:val="center"/>
              <w:rPr>
                <w:b/>
                <w:sz w:val="18"/>
              </w:rPr>
            </w:pPr>
            <w:r>
              <w:rPr>
                <w:b/>
                <w:spacing w:val="-10"/>
                <w:sz w:val="18"/>
              </w:rPr>
              <w:t>¢</w:t>
            </w:r>
          </w:p>
        </w:tc>
        <w:tc>
          <w:tcPr>
            <w:tcW w:w="1181" w:type="dxa"/>
            <w:shd w:val="clear" w:color="auto" w:fill="D9D9D9"/>
          </w:tcPr>
          <w:p>
            <w:pPr>
              <w:pStyle w:val="TableParagraph"/>
              <w:spacing w:before="138"/>
              <w:ind w:left="67" w:firstLine="312"/>
              <w:rPr>
                <w:b/>
                <w:sz w:val="18"/>
              </w:rPr>
            </w:pPr>
            <w:r>
              <w:rPr>
                <w:b/>
                <w:spacing w:val="-4"/>
                <w:sz w:val="18"/>
              </w:rPr>
              <w:t>Meta </w:t>
            </w:r>
            <w:r>
              <w:rPr>
                <w:b/>
                <w:spacing w:val="-2"/>
                <w:sz w:val="18"/>
              </w:rPr>
              <w:t>programada</w:t>
            </w:r>
          </w:p>
        </w:tc>
        <w:tc>
          <w:tcPr>
            <w:tcW w:w="1354" w:type="dxa"/>
            <w:shd w:val="clear" w:color="auto" w:fill="D9D9D9"/>
          </w:tcPr>
          <w:p>
            <w:pPr>
              <w:pStyle w:val="TableParagraph"/>
              <w:spacing w:before="31"/>
              <w:rPr>
                <w:b/>
                <w:sz w:val="18"/>
              </w:rPr>
            </w:pPr>
          </w:p>
          <w:p>
            <w:pPr>
              <w:pStyle w:val="TableParagraph"/>
              <w:spacing w:before="1"/>
              <w:ind w:left="19" w:right="14"/>
              <w:jc w:val="center"/>
              <w:rPr>
                <w:b/>
                <w:sz w:val="18"/>
              </w:rPr>
            </w:pPr>
            <w:r>
              <w:rPr>
                <w:b/>
                <w:spacing w:val="-10"/>
                <w:sz w:val="18"/>
              </w:rPr>
              <w:t>¢</w:t>
            </w:r>
          </w:p>
        </w:tc>
        <w:tc>
          <w:tcPr>
            <w:tcW w:w="1417" w:type="dxa"/>
            <w:shd w:val="clear" w:color="auto" w:fill="D9D9D9"/>
          </w:tcPr>
          <w:p>
            <w:pPr>
              <w:pStyle w:val="TableParagraph"/>
              <w:spacing w:before="138"/>
              <w:ind w:left="187" w:firstLine="312"/>
              <w:rPr>
                <w:b/>
                <w:sz w:val="18"/>
              </w:rPr>
            </w:pPr>
            <w:r>
              <w:rPr>
                <w:b/>
                <w:spacing w:val="-4"/>
                <w:sz w:val="18"/>
              </w:rPr>
              <w:t>Meta </w:t>
            </w:r>
            <w:r>
              <w:rPr>
                <w:b/>
                <w:spacing w:val="-2"/>
                <w:sz w:val="18"/>
              </w:rPr>
              <w:t>programada</w:t>
            </w:r>
          </w:p>
        </w:tc>
        <w:tc>
          <w:tcPr>
            <w:tcW w:w="1272" w:type="dxa"/>
            <w:shd w:val="clear" w:color="auto" w:fill="D9D9D9"/>
          </w:tcPr>
          <w:p>
            <w:pPr>
              <w:pStyle w:val="TableParagraph"/>
              <w:spacing w:before="31"/>
              <w:rPr>
                <w:b/>
                <w:sz w:val="18"/>
              </w:rPr>
            </w:pPr>
          </w:p>
          <w:p>
            <w:pPr>
              <w:pStyle w:val="TableParagraph"/>
              <w:spacing w:before="1"/>
              <w:ind w:left="20" w:right="11"/>
              <w:jc w:val="center"/>
              <w:rPr>
                <w:b/>
                <w:sz w:val="18"/>
              </w:rPr>
            </w:pPr>
            <w:r>
              <w:rPr>
                <w:b/>
                <w:spacing w:val="-10"/>
                <w:sz w:val="18"/>
              </w:rPr>
              <w:t>¢</w:t>
            </w:r>
          </w:p>
        </w:tc>
        <w:tc>
          <w:tcPr>
            <w:tcW w:w="1181" w:type="dxa"/>
            <w:shd w:val="clear" w:color="auto" w:fill="D9D9D9"/>
          </w:tcPr>
          <w:p>
            <w:pPr>
              <w:pStyle w:val="TableParagraph"/>
              <w:spacing w:before="138"/>
              <w:ind w:left="66" w:firstLine="312"/>
              <w:rPr>
                <w:b/>
                <w:sz w:val="18"/>
              </w:rPr>
            </w:pPr>
            <w:r>
              <w:rPr>
                <w:b/>
                <w:spacing w:val="-4"/>
                <w:sz w:val="18"/>
              </w:rPr>
              <w:t>Meta </w:t>
            </w:r>
            <w:r>
              <w:rPr>
                <w:b/>
                <w:spacing w:val="-2"/>
                <w:sz w:val="18"/>
              </w:rPr>
              <w:t>programada</w:t>
            </w:r>
          </w:p>
        </w:tc>
        <w:tc>
          <w:tcPr>
            <w:tcW w:w="1834" w:type="dxa"/>
            <w:shd w:val="clear" w:color="auto" w:fill="D9D9D9"/>
          </w:tcPr>
          <w:p>
            <w:pPr>
              <w:pStyle w:val="TableParagraph"/>
              <w:spacing w:before="31"/>
              <w:rPr>
                <w:b/>
                <w:sz w:val="18"/>
              </w:rPr>
            </w:pPr>
          </w:p>
          <w:p>
            <w:pPr>
              <w:pStyle w:val="TableParagraph"/>
              <w:spacing w:before="1"/>
              <w:ind w:left="6"/>
              <w:jc w:val="center"/>
              <w:rPr>
                <w:b/>
                <w:sz w:val="18"/>
              </w:rPr>
            </w:pPr>
            <w:r>
              <w:rPr>
                <w:b/>
                <w:spacing w:val="-10"/>
                <w:sz w:val="18"/>
              </w:rPr>
              <w:t>¢</w:t>
            </w:r>
          </w:p>
        </w:tc>
      </w:tr>
      <w:tr>
        <w:trPr>
          <w:trHeight w:val="652" w:hRule="atLeast"/>
        </w:trPr>
        <w:tc>
          <w:tcPr>
            <w:tcW w:w="2099" w:type="dxa"/>
          </w:tcPr>
          <w:p>
            <w:pPr>
              <w:pStyle w:val="TableParagraph"/>
              <w:ind w:left="72"/>
              <w:rPr>
                <w:sz w:val="18"/>
              </w:rPr>
            </w:pPr>
            <w:r>
              <w:rPr>
                <w:sz w:val="18"/>
              </w:rPr>
              <w:t>IMAS</w:t>
            </w:r>
            <w:r>
              <w:rPr>
                <w:spacing w:val="-13"/>
                <w:sz w:val="18"/>
              </w:rPr>
              <w:t> </w:t>
            </w:r>
            <w:r>
              <w:rPr>
                <w:sz w:val="18"/>
              </w:rPr>
              <w:t>y</w:t>
            </w:r>
            <w:r>
              <w:rPr>
                <w:spacing w:val="-12"/>
                <w:sz w:val="18"/>
              </w:rPr>
              <w:t> </w:t>
            </w:r>
            <w:r>
              <w:rPr>
                <w:sz w:val="18"/>
              </w:rPr>
              <w:t>las</w:t>
            </w:r>
            <w:r>
              <w:rPr>
                <w:spacing w:val="-8"/>
                <w:sz w:val="18"/>
              </w:rPr>
              <w:t> </w:t>
            </w:r>
            <w:r>
              <w:rPr>
                <w:sz w:val="18"/>
              </w:rPr>
              <w:t>Áreas </w:t>
            </w:r>
            <w:r>
              <w:rPr>
                <w:spacing w:val="-2"/>
                <w:sz w:val="18"/>
              </w:rPr>
              <w:t>Administrativas</w:t>
            </w:r>
          </w:p>
        </w:tc>
        <w:tc>
          <w:tcPr>
            <w:tcW w:w="1330" w:type="dxa"/>
          </w:tcPr>
          <w:p>
            <w:pPr>
              <w:pStyle w:val="TableParagraph"/>
              <w:rPr>
                <w:rFonts w:ascii="Times New Roman"/>
                <w:sz w:val="18"/>
              </w:rPr>
            </w:pPr>
          </w:p>
        </w:tc>
        <w:tc>
          <w:tcPr>
            <w:tcW w:w="1536" w:type="dxa"/>
          </w:tcPr>
          <w:p>
            <w:pPr>
              <w:pStyle w:val="TableParagraph"/>
              <w:rPr>
                <w:rFonts w:ascii="Times New Roman"/>
                <w:sz w:val="18"/>
              </w:rPr>
            </w:pPr>
          </w:p>
        </w:tc>
        <w:tc>
          <w:tcPr>
            <w:tcW w:w="1253" w:type="dxa"/>
          </w:tcPr>
          <w:p>
            <w:pPr>
              <w:pStyle w:val="TableParagraph"/>
              <w:rPr>
                <w:rFonts w:ascii="Times New Roman"/>
                <w:sz w:val="18"/>
              </w:rPr>
            </w:pPr>
          </w:p>
        </w:tc>
        <w:tc>
          <w:tcPr>
            <w:tcW w:w="1181" w:type="dxa"/>
          </w:tcPr>
          <w:p>
            <w:pPr>
              <w:pStyle w:val="TableParagraph"/>
              <w:rPr>
                <w:rFonts w:ascii="Times New Roman"/>
                <w:sz w:val="18"/>
              </w:rPr>
            </w:pPr>
          </w:p>
        </w:tc>
        <w:tc>
          <w:tcPr>
            <w:tcW w:w="1354" w:type="dxa"/>
          </w:tcPr>
          <w:p>
            <w:pPr>
              <w:pStyle w:val="TableParagraph"/>
              <w:rPr>
                <w:rFonts w:ascii="Times New Roman"/>
                <w:sz w:val="18"/>
              </w:rPr>
            </w:pPr>
          </w:p>
        </w:tc>
        <w:tc>
          <w:tcPr>
            <w:tcW w:w="1417" w:type="dxa"/>
          </w:tcPr>
          <w:p>
            <w:pPr>
              <w:pStyle w:val="TableParagraph"/>
              <w:rPr>
                <w:rFonts w:ascii="Times New Roman"/>
                <w:sz w:val="18"/>
              </w:rPr>
            </w:pPr>
          </w:p>
        </w:tc>
        <w:tc>
          <w:tcPr>
            <w:tcW w:w="1272" w:type="dxa"/>
          </w:tcPr>
          <w:p>
            <w:pPr>
              <w:pStyle w:val="TableParagraph"/>
              <w:rPr>
                <w:rFonts w:ascii="Times New Roman"/>
                <w:sz w:val="18"/>
              </w:rPr>
            </w:pPr>
          </w:p>
        </w:tc>
        <w:tc>
          <w:tcPr>
            <w:tcW w:w="1181" w:type="dxa"/>
          </w:tcPr>
          <w:p>
            <w:pPr>
              <w:pStyle w:val="TableParagraph"/>
              <w:rPr>
                <w:rFonts w:ascii="Times New Roman"/>
                <w:sz w:val="18"/>
              </w:rPr>
            </w:pPr>
          </w:p>
        </w:tc>
        <w:tc>
          <w:tcPr>
            <w:tcW w:w="1834" w:type="dxa"/>
          </w:tcPr>
          <w:p>
            <w:pPr>
              <w:pStyle w:val="TableParagraph"/>
              <w:rPr>
                <w:rFonts w:ascii="Times New Roman"/>
                <w:sz w:val="18"/>
              </w:rPr>
            </w:pPr>
          </w:p>
        </w:tc>
      </w:tr>
      <w:tr>
        <w:trPr>
          <w:trHeight w:val="527" w:hRule="atLeast"/>
        </w:trPr>
        <w:tc>
          <w:tcPr>
            <w:tcW w:w="14457" w:type="dxa"/>
            <w:gridSpan w:val="10"/>
            <w:shd w:val="clear" w:color="auto" w:fill="EFF8F9"/>
          </w:tcPr>
          <w:p>
            <w:pPr>
              <w:pStyle w:val="TableParagraph"/>
              <w:spacing w:before="56"/>
              <w:ind w:left="72" w:right="201"/>
              <w:rPr>
                <w:b/>
                <w:sz w:val="18"/>
              </w:rPr>
            </w:pPr>
            <w:r>
              <w:rPr>
                <w:b/>
                <w:sz w:val="18"/>
              </w:rPr>
              <w:t>Producto</w:t>
            </w:r>
            <w:r>
              <w:rPr>
                <w:b/>
                <w:spacing w:val="-4"/>
                <w:sz w:val="18"/>
              </w:rPr>
              <w:t> </w:t>
            </w:r>
            <w:r>
              <w:rPr>
                <w:b/>
                <w:sz w:val="18"/>
              </w:rPr>
              <w:t>PAC</w:t>
            </w:r>
            <w:r>
              <w:rPr>
                <w:b/>
                <w:spacing w:val="-4"/>
                <w:sz w:val="18"/>
              </w:rPr>
              <w:t> </w:t>
            </w:r>
            <w:r>
              <w:rPr>
                <w:b/>
                <w:sz w:val="18"/>
              </w:rPr>
              <w:t>2.54:</w:t>
            </w:r>
            <w:r>
              <w:rPr>
                <w:b/>
                <w:spacing w:val="40"/>
                <w:sz w:val="18"/>
              </w:rPr>
              <w:t> </w:t>
            </w:r>
            <w:r>
              <w:rPr>
                <w:b/>
                <w:sz w:val="18"/>
              </w:rPr>
              <w:t>Educación Jurídica</w:t>
            </w:r>
            <w:r>
              <w:rPr>
                <w:b/>
                <w:spacing w:val="-3"/>
                <w:sz w:val="18"/>
              </w:rPr>
              <w:t> </w:t>
            </w:r>
            <w:r>
              <w:rPr>
                <w:b/>
                <w:sz w:val="18"/>
              </w:rPr>
              <w:t>Continua</w:t>
            </w:r>
            <w:r>
              <w:rPr>
                <w:b/>
                <w:spacing w:val="-3"/>
                <w:sz w:val="18"/>
              </w:rPr>
              <w:t> </w:t>
            </w:r>
            <w:r>
              <w:rPr>
                <w:b/>
                <w:sz w:val="18"/>
              </w:rPr>
              <w:t>de</w:t>
            </w:r>
            <w:r>
              <w:rPr>
                <w:b/>
                <w:spacing w:val="-3"/>
                <w:sz w:val="18"/>
              </w:rPr>
              <w:t> </w:t>
            </w:r>
            <w:r>
              <w:rPr>
                <w:b/>
                <w:sz w:val="18"/>
              </w:rPr>
              <w:t>la Unidad</w:t>
            </w:r>
            <w:r>
              <w:rPr>
                <w:b/>
                <w:spacing w:val="-4"/>
                <w:sz w:val="18"/>
              </w:rPr>
              <w:t> </w:t>
            </w:r>
            <w:r>
              <w:rPr>
                <w:b/>
                <w:sz w:val="18"/>
              </w:rPr>
              <w:t>Asesora,</w:t>
            </w:r>
            <w:r>
              <w:rPr>
                <w:b/>
                <w:spacing w:val="-1"/>
                <w:sz w:val="18"/>
              </w:rPr>
              <w:t> </w:t>
            </w:r>
            <w:r>
              <w:rPr>
                <w:b/>
                <w:sz w:val="18"/>
              </w:rPr>
              <w:t>con</w:t>
            </w:r>
            <w:r>
              <w:rPr>
                <w:b/>
                <w:spacing w:val="-4"/>
                <w:sz w:val="18"/>
              </w:rPr>
              <w:t> </w:t>
            </w:r>
            <w:r>
              <w:rPr>
                <w:b/>
                <w:sz w:val="18"/>
              </w:rPr>
              <w:t>el</w:t>
            </w:r>
            <w:r>
              <w:rPr>
                <w:b/>
                <w:spacing w:val="-5"/>
                <w:sz w:val="18"/>
              </w:rPr>
              <w:t> </w:t>
            </w:r>
            <w:r>
              <w:rPr>
                <w:b/>
                <w:sz w:val="18"/>
              </w:rPr>
              <w:t>fin</w:t>
            </w:r>
            <w:r>
              <w:rPr>
                <w:b/>
                <w:spacing w:val="-4"/>
                <w:sz w:val="18"/>
              </w:rPr>
              <w:t> </w:t>
            </w:r>
            <w:r>
              <w:rPr>
                <w:b/>
                <w:sz w:val="18"/>
              </w:rPr>
              <w:t>de</w:t>
            </w:r>
            <w:r>
              <w:rPr>
                <w:b/>
                <w:spacing w:val="-3"/>
                <w:sz w:val="18"/>
              </w:rPr>
              <w:t> </w:t>
            </w:r>
            <w:r>
              <w:rPr>
                <w:b/>
                <w:sz w:val="18"/>
              </w:rPr>
              <w:t>implementar el</w:t>
            </w:r>
            <w:r>
              <w:rPr>
                <w:b/>
                <w:spacing w:val="-1"/>
                <w:sz w:val="18"/>
              </w:rPr>
              <w:t> </w:t>
            </w:r>
            <w:r>
              <w:rPr>
                <w:b/>
                <w:sz w:val="18"/>
              </w:rPr>
              <w:t>desarrollo</w:t>
            </w:r>
            <w:r>
              <w:rPr>
                <w:b/>
                <w:spacing w:val="-4"/>
                <w:sz w:val="18"/>
              </w:rPr>
              <w:t> </w:t>
            </w:r>
            <w:r>
              <w:rPr>
                <w:b/>
                <w:sz w:val="18"/>
              </w:rPr>
              <w:t>constante de</w:t>
            </w:r>
            <w:r>
              <w:rPr>
                <w:b/>
                <w:spacing w:val="-8"/>
                <w:sz w:val="18"/>
              </w:rPr>
              <w:t> </w:t>
            </w:r>
            <w:r>
              <w:rPr>
                <w:b/>
                <w:sz w:val="18"/>
              </w:rPr>
              <w:t>la profesión</w:t>
            </w:r>
            <w:r>
              <w:rPr>
                <w:b/>
                <w:spacing w:val="-4"/>
                <w:sz w:val="18"/>
              </w:rPr>
              <w:t> </w:t>
            </w:r>
            <w:r>
              <w:rPr>
                <w:b/>
                <w:sz w:val="18"/>
              </w:rPr>
              <w:t>legal</w:t>
            </w:r>
            <w:r>
              <w:rPr>
                <w:b/>
                <w:spacing w:val="-1"/>
                <w:sz w:val="18"/>
              </w:rPr>
              <w:t> </w:t>
            </w:r>
            <w:r>
              <w:rPr>
                <w:b/>
                <w:sz w:val="18"/>
              </w:rPr>
              <w:t>mediante un</w:t>
            </w:r>
            <w:r>
              <w:rPr>
                <w:b/>
                <w:spacing w:val="-4"/>
                <w:sz w:val="18"/>
              </w:rPr>
              <w:t> </w:t>
            </w:r>
            <w:r>
              <w:rPr>
                <w:b/>
                <w:sz w:val="18"/>
              </w:rPr>
              <w:t>sistema de educación continua que propenda con oferta institucional.</w:t>
            </w:r>
          </w:p>
        </w:tc>
      </w:tr>
      <w:tr>
        <w:trPr>
          <w:trHeight w:val="1031" w:hRule="atLeast"/>
        </w:trPr>
        <w:tc>
          <w:tcPr>
            <w:tcW w:w="2099" w:type="dxa"/>
          </w:tcPr>
          <w:p>
            <w:pPr>
              <w:pStyle w:val="TableParagraph"/>
              <w:spacing w:line="206" w:lineRule="exact"/>
              <w:ind w:left="72"/>
              <w:rPr>
                <w:sz w:val="18"/>
              </w:rPr>
            </w:pPr>
            <w:r>
              <w:rPr>
                <w:sz w:val="18"/>
              </w:rPr>
              <w:t>A</w:t>
            </w:r>
            <w:r>
              <w:rPr>
                <w:b/>
                <w:sz w:val="18"/>
              </w:rPr>
              <w:t>ctividad PAC 2.54.1</w:t>
            </w:r>
            <w:r>
              <w:rPr>
                <w:sz w:val="18"/>
              </w:rPr>
              <w:t>: Definir y planear los contenidos</w:t>
            </w:r>
            <w:r>
              <w:rPr>
                <w:spacing w:val="-15"/>
                <w:sz w:val="18"/>
              </w:rPr>
              <w:t> </w:t>
            </w:r>
            <w:r>
              <w:rPr>
                <w:sz w:val="18"/>
              </w:rPr>
              <w:t>temáticos</w:t>
            </w:r>
            <w:r>
              <w:rPr>
                <w:spacing w:val="-12"/>
                <w:sz w:val="18"/>
              </w:rPr>
              <w:t> </w:t>
            </w:r>
            <w:r>
              <w:rPr>
                <w:sz w:val="18"/>
              </w:rPr>
              <w:t>de las capacitaciones de</w:t>
            </w:r>
            <w:r>
              <w:rPr>
                <w:spacing w:val="-5"/>
                <w:sz w:val="18"/>
              </w:rPr>
              <w:t> </w:t>
            </w:r>
            <w:r>
              <w:rPr>
                <w:sz w:val="18"/>
              </w:rPr>
              <w:t>la Unidad Asesora.</w:t>
            </w:r>
          </w:p>
        </w:tc>
        <w:tc>
          <w:tcPr>
            <w:tcW w:w="1330" w:type="dxa"/>
          </w:tcPr>
          <w:p>
            <w:pPr>
              <w:pStyle w:val="TableParagraph"/>
              <w:spacing w:before="99"/>
              <w:ind w:left="71"/>
              <w:rPr>
                <w:sz w:val="18"/>
              </w:rPr>
            </w:pPr>
            <w:r>
              <w:rPr>
                <w:sz w:val="18"/>
              </w:rPr>
              <w:t>Cantidad</w:t>
            </w:r>
            <w:r>
              <w:rPr>
                <w:spacing w:val="-13"/>
                <w:sz w:val="18"/>
              </w:rPr>
              <w:t> </w:t>
            </w:r>
            <w:r>
              <w:rPr>
                <w:sz w:val="18"/>
              </w:rPr>
              <w:t>de </w:t>
            </w:r>
            <w:r>
              <w:rPr>
                <w:spacing w:val="-2"/>
                <w:sz w:val="18"/>
              </w:rPr>
              <w:t>programas temáticos definidos.</w:t>
            </w:r>
          </w:p>
        </w:tc>
        <w:tc>
          <w:tcPr>
            <w:tcW w:w="1536" w:type="dxa"/>
          </w:tcPr>
          <w:p>
            <w:pPr>
              <w:pStyle w:val="TableParagraph"/>
              <w:spacing w:before="204"/>
              <w:rPr>
                <w:b/>
                <w:sz w:val="18"/>
              </w:rPr>
            </w:pPr>
          </w:p>
          <w:p>
            <w:pPr>
              <w:pStyle w:val="TableParagraph"/>
              <w:ind w:left="14"/>
              <w:jc w:val="center"/>
              <w:rPr>
                <w:sz w:val="18"/>
              </w:rPr>
            </w:pPr>
            <w:r>
              <w:rPr>
                <w:spacing w:val="-10"/>
                <w:sz w:val="18"/>
              </w:rPr>
              <w:t>1</w:t>
            </w:r>
          </w:p>
        </w:tc>
        <w:tc>
          <w:tcPr>
            <w:tcW w:w="1253" w:type="dxa"/>
          </w:tcPr>
          <w:p>
            <w:pPr>
              <w:pStyle w:val="TableParagraph"/>
              <w:rPr>
                <w:rFonts w:ascii="Times New Roman"/>
                <w:sz w:val="18"/>
              </w:rPr>
            </w:pPr>
          </w:p>
        </w:tc>
        <w:tc>
          <w:tcPr>
            <w:tcW w:w="1181" w:type="dxa"/>
          </w:tcPr>
          <w:p>
            <w:pPr>
              <w:pStyle w:val="TableParagraph"/>
              <w:spacing w:before="204"/>
              <w:rPr>
                <w:b/>
                <w:sz w:val="18"/>
              </w:rPr>
            </w:pPr>
          </w:p>
          <w:p>
            <w:pPr>
              <w:pStyle w:val="TableParagraph"/>
              <w:ind w:left="28" w:right="23"/>
              <w:jc w:val="center"/>
              <w:rPr>
                <w:sz w:val="18"/>
              </w:rPr>
            </w:pPr>
            <w:r>
              <w:rPr>
                <w:spacing w:val="-10"/>
                <w:sz w:val="18"/>
              </w:rPr>
              <w:t>2</w:t>
            </w:r>
          </w:p>
        </w:tc>
        <w:tc>
          <w:tcPr>
            <w:tcW w:w="1354" w:type="dxa"/>
          </w:tcPr>
          <w:p>
            <w:pPr>
              <w:pStyle w:val="TableParagraph"/>
              <w:rPr>
                <w:rFonts w:ascii="Times New Roman"/>
                <w:sz w:val="18"/>
              </w:rPr>
            </w:pPr>
          </w:p>
        </w:tc>
        <w:tc>
          <w:tcPr>
            <w:tcW w:w="1417" w:type="dxa"/>
          </w:tcPr>
          <w:p>
            <w:pPr>
              <w:pStyle w:val="TableParagraph"/>
              <w:rPr>
                <w:rFonts w:ascii="Times New Roman"/>
                <w:sz w:val="18"/>
              </w:rPr>
            </w:pPr>
          </w:p>
        </w:tc>
        <w:tc>
          <w:tcPr>
            <w:tcW w:w="1272" w:type="dxa"/>
          </w:tcPr>
          <w:p>
            <w:pPr>
              <w:pStyle w:val="TableParagraph"/>
              <w:rPr>
                <w:rFonts w:ascii="Times New Roman"/>
                <w:sz w:val="18"/>
              </w:rPr>
            </w:pPr>
          </w:p>
        </w:tc>
        <w:tc>
          <w:tcPr>
            <w:tcW w:w="1181" w:type="dxa"/>
          </w:tcPr>
          <w:p>
            <w:pPr>
              <w:pStyle w:val="TableParagraph"/>
              <w:rPr>
                <w:rFonts w:ascii="Times New Roman"/>
                <w:sz w:val="18"/>
              </w:rPr>
            </w:pPr>
          </w:p>
        </w:tc>
        <w:tc>
          <w:tcPr>
            <w:tcW w:w="1834" w:type="dxa"/>
          </w:tcPr>
          <w:p>
            <w:pPr>
              <w:pStyle w:val="TableParagraph"/>
              <w:rPr>
                <w:rFonts w:ascii="Times New Roman"/>
                <w:sz w:val="18"/>
              </w:rPr>
            </w:pPr>
          </w:p>
        </w:tc>
      </w:tr>
      <w:tr>
        <w:trPr>
          <w:trHeight w:val="993" w:hRule="atLeast"/>
        </w:trPr>
        <w:tc>
          <w:tcPr>
            <w:tcW w:w="2099" w:type="dxa"/>
          </w:tcPr>
          <w:p>
            <w:pPr>
              <w:pStyle w:val="TableParagraph"/>
              <w:spacing w:before="86"/>
              <w:ind w:left="72"/>
              <w:rPr>
                <w:sz w:val="18"/>
              </w:rPr>
            </w:pPr>
            <w:r>
              <w:rPr>
                <w:b/>
                <w:sz w:val="18"/>
              </w:rPr>
              <w:t>Actividad</w:t>
            </w:r>
            <w:r>
              <w:rPr>
                <w:b/>
                <w:spacing w:val="-15"/>
                <w:sz w:val="18"/>
              </w:rPr>
              <w:t> </w:t>
            </w:r>
            <w:r>
              <w:rPr>
                <w:b/>
                <w:sz w:val="18"/>
              </w:rPr>
              <w:t>PAC</w:t>
            </w:r>
            <w:r>
              <w:rPr>
                <w:b/>
                <w:spacing w:val="-12"/>
                <w:sz w:val="18"/>
              </w:rPr>
              <w:t> </w:t>
            </w:r>
            <w:r>
              <w:rPr>
                <w:b/>
                <w:sz w:val="18"/>
              </w:rPr>
              <w:t>2.54.2</w:t>
            </w:r>
            <w:r>
              <w:rPr>
                <w:sz w:val="18"/>
              </w:rPr>
              <w:t>: Ejecución de las capacitaciones de la Unidad Asesora</w:t>
            </w:r>
          </w:p>
        </w:tc>
        <w:tc>
          <w:tcPr>
            <w:tcW w:w="1330" w:type="dxa"/>
          </w:tcPr>
          <w:p>
            <w:pPr>
              <w:pStyle w:val="TableParagraph"/>
              <w:spacing w:before="186"/>
              <w:ind w:left="71"/>
              <w:rPr>
                <w:sz w:val="18"/>
              </w:rPr>
            </w:pPr>
            <w:r>
              <w:rPr>
                <w:sz w:val="18"/>
              </w:rPr>
              <w:t>Cantidad de </w:t>
            </w:r>
            <w:r>
              <w:rPr>
                <w:spacing w:val="-2"/>
                <w:sz w:val="18"/>
              </w:rPr>
              <w:t>capacitaciones ejecutadas</w:t>
            </w:r>
          </w:p>
        </w:tc>
        <w:tc>
          <w:tcPr>
            <w:tcW w:w="1536" w:type="dxa"/>
          </w:tcPr>
          <w:p>
            <w:pPr>
              <w:pStyle w:val="TableParagraph"/>
              <w:rPr>
                <w:rFonts w:ascii="Times New Roman"/>
                <w:sz w:val="18"/>
              </w:rPr>
            </w:pPr>
          </w:p>
        </w:tc>
        <w:tc>
          <w:tcPr>
            <w:tcW w:w="1253" w:type="dxa"/>
          </w:tcPr>
          <w:p>
            <w:pPr>
              <w:pStyle w:val="TableParagraph"/>
              <w:rPr>
                <w:rFonts w:ascii="Times New Roman"/>
                <w:sz w:val="18"/>
              </w:rPr>
            </w:pPr>
          </w:p>
        </w:tc>
        <w:tc>
          <w:tcPr>
            <w:tcW w:w="1181" w:type="dxa"/>
          </w:tcPr>
          <w:p>
            <w:pPr>
              <w:pStyle w:val="TableParagraph"/>
              <w:rPr>
                <w:rFonts w:ascii="Times New Roman"/>
                <w:sz w:val="18"/>
              </w:rPr>
            </w:pPr>
          </w:p>
        </w:tc>
        <w:tc>
          <w:tcPr>
            <w:tcW w:w="1354" w:type="dxa"/>
          </w:tcPr>
          <w:p>
            <w:pPr>
              <w:pStyle w:val="TableParagraph"/>
              <w:rPr>
                <w:rFonts w:ascii="Times New Roman"/>
                <w:sz w:val="18"/>
              </w:rPr>
            </w:pPr>
          </w:p>
        </w:tc>
        <w:tc>
          <w:tcPr>
            <w:tcW w:w="1417" w:type="dxa"/>
          </w:tcPr>
          <w:p>
            <w:pPr>
              <w:pStyle w:val="TableParagraph"/>
              <w:spacing w:before="186"/>
              <w:rPr>
                <w:b/>
                <w:sz w:val="18"/>
              </w:rPr>
            </w:pPr>
          </w:p>
          <w:p>
            <w:pPr>
              <w:pStyle w:val="TableParagraph"/>
              <w:ind w:left="13" w:right="4"/>
              <w:jc w:val="center"/>
              <w:rPr>
                <w:sz w:val="18"/>
              </w:rPr>
            </w:pPr>
            <w:r>
              <w:rPr>
                <w:spacing w:val="-10"/>
                <w:sz w:val="18"/>
              </w:rPr>
              <w:t>1</w:t>
            </w:r>
          </w:p>
        </w:tc>
        <w:tc>
          <w:tcPr>
            <w:tcW w:w="1272" w:type="dxa"/>
          </w:tcPr>
          <w:p>
            <w:pPr>
              <w:pStyle w:val="TableParagraph"/>
              <w:rPr>
                <w:rFonts w:ascii="Times New Roman"/>
                <w:sz w:val="18"/>
              </w:rPr>
            </w:pPr>
          </w:p>
        </w:tc>
        <w:tc>
          <w:tcPr>
            <w:tcW w:w="1181" w:type="dxa"/>
          </w:tcPr>
          <w:p>
            <w:pPr>
              <w:pStyle w:val="TableParagraph"/>
              <w:spacing w:before="186"/>
              <w:rPr>
                <w:b/>
                <w:sz w:val="18"/>
              </w:rPr>
            </w:pPr>
          </w:p>
          <w:p>
            <w:pPr>
              <w:pStyle w:val="TableParagraph"/>
              <w:ind w:left="28" w:right="23"/>
              <w:jc w:val="center"/>
              <w:rPr>
                <w:sz w:val="18"/>
              </w:rPr>
            </w:pPr>
            <w:r>
              <w:rPr>
                <w:spacing w:val="-10"/>
                <w:sz w:val="18"/>
              </w:rPr>
              <w:t>2</w:t>
            </w:r>
          </w:p>
        </w:tc>
        <w:tc>
          <w:tcPr>
            <w:tcW w:w="1834" w:type="dxa"/>
          </w:tcPr>
          <w:p>
            <w:pPr>
              <w:pStyle w:val="TableParagraph"/>
              <w:rPr>
                <w:rFonts w:ascii="Times New Roman"/>
                <w:sz w:val="18"/>
              </w:rPr>
            </w:pPr>
          </w:p>
        </w:tc>
      </w:tr>
      <w:tr>
        <w:trPr>
          <w:trHeight w:val="326" w:hRule="atLeast"/>
        </w:trPr>
        <w:tc>
          <w:tcPr>
            <w:tcW w:w="14457" w:type="dxa"/>
            <w:gridSpan w:val="10"/>
            <w:shd w:val="clear" w:color="auto" w:fill="EFF8F9"/>
          </w:tcPr>
          <w:p>
            <w:pPr>
              <w:pStyle w:val="TableParagraph"/>
              <w:spacing w:before="61"/>
              <w:ind w:left="72"/>
              <w:rPr>
                <w:b/>
                <w:sz w:val="18"/>
              </w:rPr>
            </w:pPr>
            <w:r>
              <w:rPr>
                <w:b/>
                <w:sz w:val="18"/>
              </w:rPr>
              <w:t>Producto</w:t>
            </w:r>
            <w:r>
              <w:rPr>
                <w:b/>
                <w:spacing w:val="-7"/>
                <w:sz w:val="18"/>
              </w:rPr>
              <w:t> </w:t>
            </w:r>
            <w:r>
              <w:rPr>
                <w:b/>
                <w:sz w:val="18"/>
              </w:rPr>
              <w:t>PAC</w:t>
            </w:r>
            <w:r>
              <w:rPr>
                <w:b/>
                <w:spacing w:val="-6"/>
                <w:sz w:val="18"/>
              </w:rPr>
              <w:t> </w:t>
            </w:r>
            <w:r>
              <w:rPr>
                <w:b/>
                <w:sz w:val="18"/>
              </w:rPr>
              <w:t>2.55:</w:t>
            </w:r>
            <w:r>
              <w:rPr>
                <w:b/>
                <w:spacing w:val="-4"/>
                <w:sz w:val="18"/>
              </w:rPr>
              <w:t> </w:t>
            </w:r>
            <w:r>
              <w:rPr>
                <w:b/>
                <w:sz w:val="18"/>
              </w:rPr>
              <w:t>Atención</w:t>
            </w:r>
            <w:r>
              <w:rPr>
                <w:b/>
                <w:spacing w:val="-6"/>
                <w:sz w:val="18"/>
              </w:rPr>
              <w:t> </w:t>
            </w:r>
            <w:r>
              <w:rPr>
                <w:b/>
                <w:sz w:val="18"/>
              </w:rPr>
              <w:t>de</w:t>
            </w:r>
            <w:r>
              <w:rPr>
                <w:b/>
                <w:spacing w:val="-5"/>
                <w:sz w:val="18"/>
              </w:rPr>
              <w:t> </w:t>
            </w:r>
            <w:r>
              <w:rPr>
                <w:b/>
                <w:sz w:val="18"/>
              </w:rPr>
              <w:t>procesos</w:t>
            </w:r>
            <w:r>
              <w:rPr>
                <w:b/>
                <w:spacing w:val="-6"/>
                <w:sz w:val="18"/>
              </w:rPr>
              <w:t> </w:t>
            </w:r>
            <w:r>
              <w:rPr>
                <w:b/>
                <w:spacing w:val="-2"/>
                <w:sz w:val="18"/>
              </w:rPr>
              <w:t>judiciales</w:t>
            </w:r>
          </w:p>
        </w:tc>
      </w:tr>
      <w:tr>
        <w:trPr>
          <w:trHeight w:val="1099" w:hRule="atLeast"/>
        </w:trPr>
        <w:tc>
          <w:tcPr>
            <w:tcW w:w="2099" w:type="dxa"/>
          </w:tcPr>
          <w:p>
            <w:pPr>
              <w:pStyle w:val="TableParagraph"/>
              <w:spacing w:before="31"/>
              <w:rPr>
                <w:b/>
                <w:sz w:val="18"/>
              </w:rPr>
            </w:pPr>
          </w:p>
          <w:p>
            <w:pPr>
              <w:pStyle w:val="TableParagraph"/>
              <w:spacing w:before="1"/>
              <w:ind w:left="72"/>
              <w:rPr>
                <w:sz w:val="18"/>
              </w:rPr>
            </w:pPr>
            <w:r>
              <w:rPr>
                <w:b/>
                <w:sz w:val="18"/>
              </w:rPr>
              <w:t>Actividad</w:t>
            </w:r>
            <w:r>
              <w:rPr>
                <w:b/>
                <w:spacing w:val="-15"/>
                <w:sz w:val="18"/>
              </w:rPr>
              <w:t> </w:t>
            </w:r>
            <w:r>
              <w:rPr>
                <w:b/>
                <w:sz w:val="18"/>
              </w:rPr>
              <w:t>PAC</w:t>
            </w:r>
            <w:r>
              <w:rPr>
                <w:b/>
                <w:spacing w:val="-12"/>
                <w:sz w:val="18"/>
              </w:rPr>
              <w:t> </w:t>
            </w:r>
            <w:r>
              <w:rPr>
                <w:b/>
                <w:sz w:val="18"/>
              </w:rPr>
              <w:t>2.55.1: </w:t>
            </w:r>
            <w:r>
              <w:rPr>
                <w:sz w:val="18"/>
              </w:rPr>
              <w:t>Interposición de demandas judiciales</w:t>
            </w:r>
          </w:p>
        </w:tc>
        <w:tc>
          <w:tcPr>
            <w:tcW w:w="1330" w:type="dxa"/>
          </w:tcPr>
          <w:p>
            <w:pPr>
              <w:pStyle w:val="TableParagraph"/>
              <w:spacing w:before="31"/>
              <w:rPr>
                <w:b/>
                <w:sz w:val="18"/>
              </w:rPr>
            </w:pPr>
          </w:p>
          <w:p>
            <w:pPr>
              <w:pStyle w:val="TableParagraph"/>
              <w:spacing w:before="1"/>
              <w:ind w:left="71" w:right="131"/>
              <w:rPr>
                <w:sz w:val="18"/>
              </w:rPr>
            </w:pPr>
            <w:r>
              <w:rPr>
                <w:sz w:val="18"/>
              </w:rPr>
              <w:t>Porcentaje</w:t>
            </w:r>
            <w:r>
              <w:rPr>
                <w:spacing w:val="-13"/>
                <w:sz w:val="18"/>
              </w:rPr>
              <w:t> </w:t>
            </w:r>
            <w:r>
              <w:rPr>
                <w:sz w:val="18"/>
              </w:rPr>
              <w:t>de </w:t>
            </w:r>
            <w:r>
              <w:rPr>
                <w:spacing w:val="-2"/>
                <w:sz w:val="18"/>
              </w:rPr>
              <w:t>demandas interpuestas</w:t>
            </w:r>
          </w:p>
        </w:tc>
        <w:tc>
          <w:tcPr>
            <w:tcW w:w="1536" w:type="dxa"/>
          </w:tcPr>
          <w:p>
            <w:pPr>
              <w:pStyle w:val="TableParagraph"/>
              <w:rPr>
                <w:b/>
                <w:sz w:val="18"/>
              </w:rPr>
            </w:pPr>
          </w:p>
          <w:p>
            <w:pPr>
              <w:pStyle w:val="TableParagraph"/>
              <w:spacing w:before="31"/>
              <w:rPr>
                <w:b/>
                <w:sz w:val="18"/>
              </w:rPr>
            </w:pPr>
          </w:p>
          <w:p>
            <w:pPr>
              <w:pStyle w:val="TableParagraph"/>
              <w:ind w:left="14" w:right="3"/>
              <w:jc w:val="center"/>
              <w:rPr>
                <w:sz w:val="18"/>
              </w:rPr>
            </w:pPr>
            <w:r>
              <w:rPr>
                <w:spacing w:val="-4"/>
                <w:sz w:val="18"/>
              </w:rPr>
              <w:t>100%</w:t>
            </w:r>
          </w:p>
        </w:tc>
        <w:tc>
          <w:tcPr>
            <w:tcW w:w="1253" w:type="dxa"/>
          </w:tcPr>
          <w:p>
            <w:pPr>
              <w:pStyle w:val="TableParagraph"/>
              <w:rPr>
                <w:rFonts w:ascii="Times New Roman"/>
                <w:sz w:val="18"/>
              </w:rPr>
            </w:pPr>
          </w:p>
        </w:tc>
        <w:tc>
          <w:tcPr>
            <w:tcW w:w="1181" w:type="dxa"/>
          </w:tcPr>
          <w:p>
            <w:pPr>
              <w:pStyle w:val="TableParagraph"/>
              <w:rPr>
                <w:b/>
                <w:sz w:val="18"/>
              </w:rPr>
            </w:pPr>
          </w:p>
          <w:p>
            <w:pPr>
              <w:pStyle w:val="TableParagraph"/>
              <w:spacing w:before="31"/>
              <w:rPr>
                <w:b/>
                <w:sz w:val="18"/>
              </w:rPr>
            </w:pPr>
          </w:p>
          <w:p>
            <w:pPr>
              <w:pStyle w:val="TableParagraph"/>
              <w:ind w:left="28" w:right="26"/>
              <w:jc w:val="center"/>
              <w:rPr>
                <w:sz w:val="18"/>
              </w:rPr>
            </w:pPr>
            <w:r>
              <w:rPr>
                <w:spacing w:val="-4"/>
                <w:sz w:val="18"/>
              </w:rPr>
              <w:t>100%</w:t>
            </w:r>
          </w:p>
        </w:tc>
        <w:tc>
          <w:tcPr>
            <w:tcW w:w="1354" w:type="dxa"/>
          </w:tcPr>
          <w:p>
            <w:pPr>
              <w:pStyle w:val="TableParagraph"/>
              <w:rPr>
                <w:rFonts w:ascii="Times New Roman"/>
                <w:sz w:val="18"/>
              </w:rPr>
            </w:pPr>
          </w:p>
        </w:tc>
        <w:tc>
          <w:tcPr>
            <w:tcW w:w="1417" w:type="dxa"/>
          </w:tcPr>
          <w:p>
            <w:pPr>
              <w:pStyle w:val="TableParagraph"/>
              <w:rPr>
                <w:b/>
                <w:sz w:val="18"/>
              </w:rPr>
            </w:pPr>
          </w:p>
          <w:p>
            <w:pPr>
              <w:pStyle w:val="TableParagraph"/>
              <w:spacing w:before="31"/>
              <w:rPr>
                <w:b/>
                <w:sz w:val="18"/>
              </w:rPr>
            </w:pPr>
          </w:p>
          <w:p>
            <w:pPr>
              <w:pStyle w:val="TableParagraph"/>
              <w:ind w:left="11" w:right="4"/>
              <w:jc w:val="center"/>
              <w:rPr>
                <w:sz w:val="18"/>
              </w:rPr>
            </w:pPr>
            <w:r>
              <w:rPr>
                <w:spacing w:val="-4"/>
                <w:sz w:val="18"/>
              </w:rPr>
              <w:t>100%</w:t>
            </w:r>
          </w:p>
        </w:tc>
        <w:tc>
          <w:tcPr>
            <w:tcW w:w="1272" w:type="dxa"/>
          </w:tcPr>
          <w:p>
            <w:pPr>
              <w:pStyle w:val="TableParagraph"/>
              <w:rPr>
                <w:rFonts w:ascii="Times New Roman"/>
                <w:sz w:val="18"/>
              </w:rPr>
            </w:pPr>
          </w:p>
        </w:tc>
        <w:tc>
          <w:tcPr>
            <w:tcW w:w="1181" w:type="dxa"/>
          </w:tcPr>
          <w:p>
            <w:pPr>
              <w:pStyle w:val="TableParagraph"/>
              <w:rPr>
                <w:b/>
                <w:sz w:val="18"/>
              </w:rPr>
            </w:pPr>
          </w:p>
          <w:p>
            <w:pPr>
              <w:pStyle w:val="TableParagraph"/>
              <w:spacing w:before="31"/>
              <w:rPr>
                <w:b/>
                <w:sz w:val="18"/>
              </w:rPr>
            </w:pPr>
          </w:p>
          <w:p>
            <w:pPr>
              <w:pStyle w:val="TableParagraph"/>
              <w:ind w:left="28" w:right="26"/>
              <w:jc w:val="center"/>
              <w:rPr>
                <w:sz w:val="18"/>
              </w:rPr>
            </w:pPr>
            <w:r>
              <w:rPr>
                <w:spacing w:val="-4"/>
                <w:sz w:val="18"/>
              </w:rPr>
              <w:t>100%</w:t>
            </w:r>
          </w:p>
        </w:tc>
        <w:tc>
          <w:tcPr>
            <w:tcW w:w="1834" w:type="dxa"/>
          </w:tcPr>
          <w:p>
            <w:pPr>
              <w:pStyle w:val="TableParagraph"/>
              <w:rPr>
                <w:rFonts w:ascii="Times New Roman"/>
                <w:sz w:val="18"/>
              </w:rPr>
            </w:pPr>
          </w:p>
        </w:tc>
      </w:tr>
      <w:tr>
        <w:trPr>
          <w:trHeight w:val="1665" w:hRule="atLeast"/>
        </w:trPr>
        <w:tc>
          <w:tcPr>
            <w:tcW w:w="2099" w:type="dxa"/>
          </w:tcPr>
          <w:p>
            <w:pPr>
              <w:pStyle w:val="TableParagraph"/>
              <w:spacing w:before="103"/>
              <w:rPr>
                <w:b/>
                <w:sz w:val="18"/>
              </w:rPr>
            </w:pPr>
          </w:p>
          <w:p>
            <w:pPr>
              <w:pStyle w:val="TableParagraph"/>
              <w:spacing w:before="1"/>
              <w:ind w:left="72"/>
              <w:rPr>
                <w:sz w:val="18"/>
              </w:rPr>
            </w:pPr>
            <w:r>
              <w:rPr>
                <w:b/>
                <w:sz w:val="18"/>
              </w:rPr>
              <w:t>Actividad</w:t>
            </w:r>
            <w:r>
              <w:rPr>
                <w:b/>
                <w:spacing w:val="-15"/>
                <w:sz w:val="18"/>
              </w:rPr>
              <w:t> </w:t>
            </w:r>
            <w:r>
              <w:rPr>
                <w:b/>
                <w:sz w:val="18"/>
              </w:rPr>
              <w:t>PAC</w:t>
            </w:r>
            <w:r>
              <w:rPr>
                <w:b/>
                <w:spacing w:val="-12"/>
                <w:sz w:val="18"/>
              </w:rPr>
              <w:t> </w:t>
            </w:r>
            <w:r>
              <w:rPr>
                <w:b/>
                <w:sz w:val="18"/>
              </w:rPr>
              <w:t>2.55.2: </w:t>
            </w:r>
            <w:r>
              <w:rPr>
                <w:sz w:val="18"/>
              </w:rPr>
              <w:t>Elaboración de respuestas ante demandas judiciales y recursos de amparo</w:t>
            </w:r>
          </w:p>
        </w:tc>
        <w:tc>
          <w:tcPr>
            <w:tcW w:w="1330" w:type="dxa"/>
          </w:tcPr>
          <w:p>
            <w:pPr>
              <w:pStyle w:val="TableParagraph"/>
              <w:spacing w:before="3"/>
              <w:rPr>
                <w:b/>
                <w:sz w:val="18"/>
              </w:rPr>
            </w:pPr>
          </w:p>
          <w:p>
            <w:pPr>
              <w:pStyle w:val="TableParagraph"/>
              <w:ind w:left="71"/>
              <w:rPr>
                <w:sz w:val="18"/>
              </w:rPr>
            </w:pPr>
            <w:r>
              <w:rPr>
                <w:sz w:val="18"/>
              </w:rPr>
              <w:t>Porcentaje</w:t>
            </w:r>
            <w:r>
              <w:rPr>
                <w:spacing w:val="-10"/>
                <w:sz w:val="18"/>
              </w:rPr>
              <w:t> </w:t>
            </w:r>
            <w:r>
              <w:rPr>
                <w:sz w:val="18"/>
              </w:rPr>
              <w:t>de respuestas</w:t>
            </w:r>
            <w:r>
              <w:rPr>
                <w:spacing w:val="-13"/>
                <w:sz w:val="18"/>
              </w:rPr>
              <w:t> </w:t>
            </w:r>
            <w:r>
              <w:rPr>
                <w:sz w:val="18"/>
              </w:rPr>
              <w:t>de demandas y recursos de </w:t>
            </w:r>
            <w:r>
              <w:rPr>
                <w:spacing w:val="-2"/>
                <w:sz w:val="18"/>
              </w:rPr>
              <w:t>amparo atendidos</w:t>
            </w:r>
          </w:p>
        </w:tc>
        <w:tc>
          <w:tcPr>
            <w:tcW w:w="1536" w:type="dxa"/>
          </w:tcPr>
          <w:p>
            <w:pPr>
              <w:pStyle w:val="TableParagraph"/>
              <w:rPr>
                <w:b/>
                <w:sz w:val="18"/>
              </w:rPr>
            </w:pPr>
          </w:p>
          <w:p>
            <w:pPr>
              <w:pStyle w:val="TableParagraph"/>
              <w:rPr>
                <w:b/>
                <w:sz w:val="18"/>
              </w:rPr>
            </w:pPr>
          </w:p>
          <w:p>
            <w:pPr>
              <w:pStyle w:val="TableParagraph"/>
              <w:spacing w:before="107"/>
              <w:rPr>
                <w:b/>
                <w:sz w:val="18"/>
              </w:rPr>
            </w:pPr>
          </w:p>
          <w:p>
            <w:pPr>
              <w:pStyle w:val="TableParagraph"/>
              <w:ind w:left="14" w:right="3"/>
              <w:jc w:val="center"/>
              <w:rPr>
                <w:sz w:val="18"/>
              </w:rPr>
            </w:pPr>
            <w:r>
              <w:rPr>
                <w:spacing w:val="-4"/>
                <w:sz w:val="18"/>
              </w:rPr>
              <w:t>100%</w:t>
            </w:r>
          </w:p>
        </w:tc>
        <w:tc>
          <w:tcPr>
            <w:tcW w:w="1253"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07"/>
              <w:rPr>
                <w:b/>
                <w:sz w:val="18"/>
              </w:rPr>
            </w:pPr>
          </w:p>
          <w:p>
            <w:pPr>
              <w:pStyle w:val="TableParagraph"/>
              <w:ind w:left="28" w:right="26"/>
              <w:jc w:val="center"/>
              <w:rPr>
                <w:sz w:val="18"/>
              </w:rPr>
            </w:pPr>
            <w:r>
              <w:rPr>
                <w:spacing w:val="-4"/>
                <w:sz w:val="18"/>
              </w:rPr>
              <w:t>100%</w:t>
            </w:r>
          </w:p>
        </w:tc>
        <w:tc>
          <w:tcPr>
            <w:tcW w:w="1354"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spacing w:before="107"/>
              <w:rPr>
                <w:b/>
                <w:sz w:val="18"/>
              </w:rPr>
            </w:pPr>
          </w:p>
          <w:p>
            <w:pPr>
              <w:pStyle w:val="TableParagraph"/>
              <w:ind w:left="11" w:right="4"/>
              <w:jc w:val="center"/>
              <w:rPr>
                <w:sz w:val="18"/>
              </w:rPr>
            </w:pPr>
            <w:r>
              <w:rPr>
                <w:spacing w:val="-4"/>
                <w:sz w:val="18"/>
              </w:rPr>
              <w:t>100%</w:t>
            </w:r>
          </w:p>
        </w:tc>
        <w:tc>
          <w:tcPr>
            <w:tcW w:w="1272"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07"/>
              <w:rPr>
                <w:b/>
                <w:sz w:val="18"/>
              </w:rPr>
            </w:pPr>
          </w:p>
          <w:p>
            <w:pPr>
              <w:pStyle w:val="TableParagraph"/>
              <w:ind w:left="28" w:right="26"/>
              <w:jc w:val="center"/>
              <w:rPr>
                <w:sz w:val="18"/>
              </w:rPr>
            </w:pPr>
            <w:r>
              <w:rPr>
                <w:spacing w:val="-4"/>
                <w:sz w:val="18"/>
              </w:rPr>
              <w:t>100%</w:t>
            </w:r>
          </w:p>
        </w:tc>
        <w:tc>
          <w:tcPr>
            <w:tcW w:w="1834" w:type="dxa"/>
          </w:tcPr>
          <w:p>
            <w:pPr>
              <w:pStyle w:val="TableParagraph"/>
              <w:rPr>
                <w:rFonts w:ascii="Times New Roman"/>
                <w:sz w:val="18"/>
              </w:rPr>
            </w:pPr>
          </w:p>
        </w:tc>
      </w:tr>
      <w:tr>
        <w:trPr>
          <w:trHeight w:val="402" w:hRule="atLeast"/>
        </w:trPr>
        <w:tc>
          <w:tcPr>
            <w:tcW w:w="14457" w:type="dxa"/>
            <w:gridSpan w:val="10"/>
            <w:shd w:val="clear" w:color="auto" w:fill="EFF8F9"/>
          </w:tcPr>
          <w:p>
            <w:pPr>
              <w:pStyle w:val="TableParagraph"/>
              <w:spacing w:before="95"/>
              <w:ind w:left="72"/>
              <w:rPr>
                <w:b/>
                <w:sz w:val="18"/>
              </w:rPr>
            </w:pPr>
            <w:r>
              <w:rPr>
                <w:b/>
                <w:sz w:val="18"/>
              </w:rPr>
              <w:t>Producto</w:t>
            </w:r>
            <w:r>
              <w:rPr>
                <w:b/>
                <w:spacing w:val="-7"/>
                <w:sz w:val="18"/>
              </w:rPr>
              <w:t> </w:t>
            </w:r>
            <w:r>
              <w:rPr>
                <w:b/>
                <w:sz w:val="18"/>
              </w:rPr>
              <w:t>PAC</w:t>
            </w:r>
            <w:r>
              <w:rPr>
                <w:b/>
                <w:spacing w:val="-6"/>
                <w:sz w:val="18"/>
              </w:rPr>
              <w:t> </w:t>
            </w:r>
            <w:r>
              <w:rPr>
                <w:b/>
                <w:sz w:val="18"/>
              </w:rPr>
              <w:t>2.56:</w:t>
            </w:r>
            <w:r>
              <w:rPr>
                <w:b/>
                <w:spacing w:val="-3"/>
                <w:sz w:val="18"/>
              </w:rPr>
              <w:t> </w:t>
            </w:r>
            <w:r>
              <w:rPr>
                <w:b/>
                <w:sz w:val="18"/>
              </w:rPr>
              <w:t>Evaluación</w:t>
            </w:r>
            <w:r>
              <w:rPr>
                <w:b/>
                <w:spacing w:val="-2"/>
                <w:sz w:val="18"/>
              </w:rPr>
              <w:t> </w:t>
            </w:r>
            <w:r>
              <w:rPr>
                <w:b/>
                <w:sz w:val="18"/>
              </w:rPr>
              <w:t>de</w:t>
            </w:r>
            <w:r>
              <w:rPr>
                <w:b/>
                <w:spacing w:val="-5"/>
                <w:sz w:val="18"/>
              </w:rPr>
              <w:t> </w:t>
            </w:r>
            <w:r>
              <w:rPr>
                <w:b/>
                <w:sz w:val="18"/>
              </w:rPr>
              <w:t>cumplimiento</w:t>
            </w:r>
            <w:r>
              <w:rPr>
                <w:b/>
                <w:spacing w:val="-6"/>
                <w:sz w:val="18"/>
              </w:rPr>
              <w:t> </w:t>
            </w:r>
            <w:r>
              <w:rPr>
                <w:b/>
                <w:sz w:val="18"/>
              </w:rPr>
              <w:t>legal</w:t>
            </w:r>
            <w:r>
              <w:rPr>
                <w:b/>
                <w:spacing w:val="-3"/>
                <w:sz w:val="18"/>
              </w:rPr>
              <w:t> </w:t>
            </w:r>
            <w:r>
              <w:rPr>
                <w:b/>
                <w:sz w:val="18"/>
              </w:rPr>
              <w:t>en</w:t>
            </w:r>
            <w:r>
              <w:rPr>
                <w:b/>
                <w:spacing w:val="-7"/>
                <w:sz w:val="18"/>
              </w:rPr>
              <w:t> </w:t>
            </w:r>
            <w:r>
              <w:rPr>
                <w:b/>
                <w:sz w:val="18"/>
              </w:rPr>
              <w:t>materia</w:t>
            </w:r>
            <w:r>
              <w:rPr>
                <w:b/>
                <w:spacing w:val="-5"/>
                <w:sz w:val="18"/>
              </w:rPr>
              <w:t> </w:t>
            </w:r>
            <w:r>
              <w:rPr>
                <w:b/>
                <w:sz w:val="18"/>
              </w:rPr>
              <w:t>de</w:t>
            </w:r>
            <w:r>
              <w:rPr>
                <w:b/>
                <w:spacing w:val="-5"/>
                <w:sz w:val="18"/>
              </w:rPr>
              <w:t> </w:t>
            </w:r>
            <w:r>
              <w:rPr>
                <w:b/>
                <w:sz w:val="18"/>
              </w:rPr>
              <w:t>género</w:t>
            </w:r>
            <w:r>
              <w:rPr>
                <w:b/>
                <w:spacing w:val="-1"/>
                <w:sz w:val="18"/>
              </w:rPr>
              <w:t> </w:t>
            </w:r>
            <w:r>
              <w:rPr>
                <w:b/>
                <w:sz w:val="18"/>
              </w:rPr>
              <w:t>y</w:t>
            </w:r>
            <w:r>
              <w:rPr>
                <w:b/>
                <w:spacing w:val="-6"/>
                <w:sz w:val="18"/>
              </w:rPr>
              <w:t> </w:t>
            </w:r>
            <w:r>
              <w:rPr>
                <w:b/>
                <w:spacing w:val="-2"/>
                <w:sz w:val="18"/>
              </w:rPr>
              <w:t>diversidad</w:t>
            </w:r>
          </w:p>
        </w:tc>
      </w:tr>
    </w:tbl>
    <w:p>
      <w:pPr>
        <w:pStyle w:val="TableParagraph"/>
        <w:spacing w:after="0"/>
        <w:rPr>
          <w:b/>
          <w:sz w:val="18"/>
        </w:rPr>
        <w:sectPr>
          <w:type w:val="continuous"/>
          <w:pgSz w:w="15840" w:h="12240" w:orient="landscape"/>
          <w:pgMar w:header="0" w:footer="1806" w:top="700" w:bottom="3346"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99"/>
        <w:gridCol w:w="1330"/>
        <w:gridCol w:w="1536"/>
        <w:gridCol w:w="1253"/>
        <w:gridCol w:w="1181"/>
        <w:gridCol w:w="1354"/>
        <w:gridCol w:w="1417"/>
        <w:gridCol w:w="1272"/>
        <w:gridCol w:w="1181"/>
        <w:gridCol w:w="1834"/>
      </w:tblGrid>
      <w:tr>
        <w:trPr>
          <w:trHeight w:val="465" w:hRule="atLeast"/>
        </w:trPr>
        <w:tc>
          <w:tcPr>
            <w:tcW w:w="2099" w:type="dxa"/>
            <w:vMerge w:val="restart"/>
            <w:shd w:val="clear" w:color="auto" w:fill="D9D9D9"/>
          </w:tcPr>
          <w:p>
            <w:pPr>
              <w:pStyle w:val="TableParagraph"/>
              <w:rPr>
                <w:b/>
                <w:sz w:val="18"/>
              </w:rPr>
            </w:pPr>
          </w:p>
          <w:p>
            <w:pPr>
              <w:pStyle w:val="TableParagraph"/>
              <w:spacing w:before="65"/>
              <w:rPr>
                <w:b/>
                <w:sz w:val="18"/>
              </w:rPr>
            </w:pPr>
          </w:p>
          <w:p>
            <w:pPr>
              <w:pStyle w:val="TableParagraph"/>
              <w:ind w:left="81"/>
              <w:rPr>
                <w:b/>
                <w:sz w:val="18"/>
              </w:rPr>
            </w:pPr>
            <w:r>
              <w:rPr>
                <w:b/>
                <w:sz w:val="18"/>
              </w:rPr>
              <w:t>Objetivos</w:t>
            </w:r>
            <w:r>
              <w:rPr>
                <w:b/>
                <w:spacing w:val="-5"/>
                <w:sz w:val="18"/>
              </w:rPr>
              <w:t> </w:t>
            </w:r>
            <w:r>
              <w:rPr>
                <w:b/>
                <w:sz w:val="18"/>
              </w:rPr>
              <w:t>/</w:t>
            </w:r>
            <w:r>
              <w:rPr>
                <w:b/>
                <w:spacing w:val="-2"/>
                <w:sz w:val="18"/>
              </w:rPr>
              <w:t> Resultados</w:t>
            </w:r>
          </w:p>
        </w:tc>
        <w:tc>
          <w:tcPr>
            <w:tcW w:w="1330" w:type="dxa"/>
            <w:vMerge w:val="restart"/>
            <w:shd w:val="clear" w:color="auto" w:fill="D9D9D9"/>
          </w:tcPr>
          <w:p>
            <w:pPr>
              <w:pStyle w:val="TableParagraph"/>
              <w:rPr>
                <w:b/>
                <w:sz w:val="18"/>
              </w:rPr>
            </w:pPr>
          </w:p>
          <w:p>
            <w:pPr>
              <w:pStyle w:val="TableParagraph"/>
              <w:spacing w:before="65"/>
              <w:rPr>
                <w:b/>
                <w:sz w:val="18"/>
              </w:rPr>
            </w:pPr>
          </w:p>
          <w:p>
            <w:pPr>
              <w:pStyle w:val="TableParagraph"/>
              <w:ind w:left="258"/>
              <w:rPr>
                <w:b/>
                <w:sz w:val="18"/>
              </w:rPr>
            </w:pPr>
            <w:r>
              <w:rPr>
                <w:b/>
                <w:spacing w:val="-2"/>
                <w:sz w:val="18"/>
              </w:rPr>
              <w:t>Indicador</w:t>
            </w:r>
          </w:p>
        </w:tc>
        <w:tc>
          <w:tcPr>
            <w:tcW w:w="2789" w:type="dxa"/>
            <w:gridSpan w:val="2"/>
            <w:shd w:val="clear" w:color="auto" w:fill="D9D9D9"/>
          </w:tcPr>
          <w:p>
            <w:pPr>
              <w:pStyle w:val="TableParagraph"/>
              <w:spacing w:before="128"/>
              <w:ind w:left="930"/>
              <w:rPr>
                <w:b/>
                <w:sz w:val="18"/>
              </w:rPr>
            </w:pPr>
            <w:r>
              <w:rPr>
                <w:b/>
                <w:sz w:val="18"/>
              </w:rPr>
              <w:t>I</w:t>
            </w:r>
            <w:r>
              <w:rPr>
                <w:b/>
                <w:spacing w:val="-1"/>
                <w:sz w:val="18"/>
              </w:rPr>
              <w:t> </w:t>
            </w:r>
            <w:r>
              <w:rPr>
                <w:b/>
                <w:spacing w:val="-2"/>
                <w:sz w:val="18"/>
              </w:rPr>
              <w:t>Trimestre</w:t>
            </w:r>
          </w:p>
        </w:tc>
        <w:tc>
          <w:tcPr>
            <w:tcW w:w="2535" w:type="dxa"/>
            <w:gridSpan w:val="2"/>
            <w:shd w:val="clear" w:color="auto" w:fill="D9D9D9"/>
          </w:tcPr>
          <w:p>
            <w:pPr>
              <w:pStyle w:val="TableParagraph"/>
              <w:spacing w:before="128"/>
              <w:ind w:left="777"/>
              <w:rPr>
                <w:b/>
                <w:sz w:val="18"/>
              </w:rPr>
            </w:pPr>
            <w:r>
              <w:rPr>
                <w:b/>
                <w:sz w:val="18"/>
              </w:rPr>
              <w:t>II</w:t>
            </w:r>
            <w:r>
              <w:rPr>
                <w:b/>
                <w:spacing w:val="-3"/>
                <w:sz w:val="18"/>
              </w:rPr>
              <w:t> </w:t>
            </w:r>
            <w:r>
              <w:rPr>
                <w:b/>
                <w:spacing w:val="-2"/>
                <w:sz w:val="18"/>
              </w:rPr>
              <w:t>Trimestre</w:t>
            </w:r>
          </w:p>
        </w:tc>
        <w:tc>
          <w:tcPr>
            <w:tcW w:w="2689" w:type="dxa"/>
            <w:gridSpan w:val="2"/>
            <w:shd w:val="clear" w:color="auto" w:fill="D9D9D9"/>
          </w:tcPr>
          <w:p>
            <w:pPr>
              <w:pStyle w:val="TableParagraph"/>
              <w:spacing w:before="128"/>
              <w:ind w:left="830"/>
              <w:rPr>
                <w:b/>
                <w:sz w:val="18"/>
              </w:rPr>
            </w:pPr>
            <w:r>
              <w:rPr>
                <w:b/>
                <w:sz w:val="18"/>
              </w:rPr>
              <w:t>III</w:t>
            </w:r>
            <w:r>
              <w:rPr>
                <w:b/>
                <w:spacing w:val="-2"/>
                <w:sz w:val="18"/>
              </w:rPr>
              <w:t> Trimestre</w:t>
            </w:r>
          </w:p>
        </w:tc>
        <w:tc>
          <w:tcPr>
            <w:tcW w:w="3015" w:type="dxa"/>
            <w:gridSpan w:val="2"/>
            <w:shd w:val="clear" w:color="auto" w:fill="D9D9D9"/>
          </w:tcPr>
          <w:p>
            <w:pPr>
              <w:pStyle w:val="TableParagraph"/>
              <w:spacing w:before="128"/>
              <w:ind w:left="983"/>
              <w:rPr>
                <w:b/>
                <w:sz w:val="18"/>
              </w:rPr>
            </w:pPr>
            <w:r>
              <w:rPr>
                <w:b/>
                <w:sz w:val="18"/>
              </w:rPr>
              <w:t>IV</w:t>
            </w:r>
            <w:r>
              <w:rPr>
                <w:b/>
                <w:spacing w:val="-2"/>
                <w:sz w:val="18"/>
              </w:rPr>
              <w:t> Trimestre</w:t>
            </w:r>
          </w:p>
        </w:tc>
      </w:tr>
      <w:tr>
        <w:trPr>
          <w:trHeight w:val="691" w:hRule="atLeast"/>
        </w:trPr>
        <w:tc>
          <w:tcPr>
            <w:tcW w:w="2099" w:type="dxa"/>
            <w:vMerge/>
            <w:tcBorders>
              <w:top w:val="nil"/>
            </w:tcBorders>
            <w:shd w:val="clear" w:color="auto" w:fill="D9D9D9"/>
          </w:tcPr>
          <w:p>
            <w:pPr>
              <w:rPr>
                <w:sz w:val="2"/>
                <w:szCs w:val="2"/>
              </w:rPr>
            </w:pPr>
          </w:p>
        </w:tc>
        <w:tc>
          <w:tcPr>
            <w:tcW w:w="1330" w:type="dxa"/>
            <w:vMerge/>
            <w:tcBorders>
              <w:top w:val="nil"/>
            </w:tcBorders>
            <w:shd w:val="clear" w:color="auto" w:fill="D9D9D9"/>
          </w:tcPr>
          <w:p>
            <w:pPr>
              <w:rPr>
                <w:sz w:val="2"/>
                <w:szCs w:val="2"/>
              </w:rPr>
            </w:pPr>
          </w:p>
        </w:tc>
        <w:tc>
          <w:tcPr>
            <w:tcW w:w="1536" w:type="dxa"/>
            <w:shd w:val="clear" w:color="auto" w:fill="D9D9D9"/>
          </w:tcPr>
          <w:p>
            <w:pPr>
              <w:pStyle w:val="TableParagraph"/>
              <w:spacing w:before="138"/>
              <w:ind w:left="249" w:firstLine="312"/>
              <w:rPr>
                <w:b/>
                <w:sz w:val="18"/>
              </w:rPr>
            </w:pPr>
            <w:r>
              <w:rPr>
                <w:b/>
                <w:spacing w:val="-4"/>
                <w:sz w:val="18"/>
              </w:rPr>
              <w:t>Meta </w:t>
            </w:r>
            <w:r>
              <w:rPr>
                <w:b/>
                <w:spacing w:val="-2"/>
                <w:sz w:val="18"/>
              </w:rPr>
              <w:t>programada</w:t>
            </w:r>
          </w:p>
        </w:tc>
        <w:tc>
          <w:tcPr>
            <w:tcW w:w="1253" w:type="dxa"/>
            <w:shd w:val="clear" w:color="auto" w:fill="D9D9D9"/>
          </w:tcPr>
          <w:p>
            <w:pPr>
              <w:pStyle w:val="TableParagraph"/>
              <w:spacing w:before="31"/>
              <w:rPr>
                <w:b/>
                <w:sz w:val="18"/>
              </w:rPr>
            </w:pPr>
          </w:p>
          <w:p>
            <w:pPr>
              <w:pStyle w:val="TableParagraph"/>
              <w:spacing w:before="1"/>
              <w:ind w:left="10"/>
              <w:jc w:val="center"/>
              <w:rPr>
                <w:b/>
                <w:sz w:val="18"/>
              </w:rPr>
            </w:pPr>
            <w:r>
              <w:rPr>
                <w:b/>
                <w:spacing w:val="-10"/>
                <w:sz w:val="18"/>
              </w:rPr>
              <w:t>¢</w:t>
            </w:r>
          </w:p>
        </w:tc>
        <w:tc>
          <w:tcPr>
            <w:tcW w:w="1181" w:type="dxa"/>
            <w:shd w:val="clear" w:color="auto" w:fill="D9D9D9"/>
          </w:tcPr>
          <w:p>
            <w:pPr>
              <w:pStyle w:val="TableParagraph"/>
              <w:spacing w:before="138"/>
              <w:ind w:left="67" w:firstLine="312"/>
              <w:rPr>
                <w:b/>
                <w:sz w:val="18"/>
              </w:rPr>
            </w:pPr>
            <w:r>
              <w:rPr>
                <w:b/>
                <w:spacing w:val="-4"/>
                <w:sz w:val="18"/>
              </w:rPr>
              <w:t>Meta </w:t>
            </w:r>
            <w:r>
              <w:rPr>
                <w:b/>
                <w:spacing w:val="-2"/>
                <w:sz w:val="18"/>
              </w:rPr>
              <w:t>programada</w:t>
            </w:r>
          </w:p>
        </w:tc>
        <w:tc>
          <w:tcPr>
            <w:tcW w:w="1354" w:type="dxa"/>
            <w:shd w:val="clear" w:color="auto" w:fill="D9D9D9"/>
          </w:tcPr>
          <w:p>
            <w:pPr>
              <w:pStyle w:val="TableParagraph"/>
              <w:spacing w:before="31"/>
              <w:rPr>
                <w:b/>
                <w:sz w:val="18"/>
              </w:rPr>
            </w:pPr>
          </w:p>
          <w:p>
            <w:pPr>
              <w:pStyle w:val="TableParagraph"/>
              <w:spacing w:before="1"/>
              <w:ind w:left="19" w:right="14"/>
              <w:jc w:val="center"/>
              <w:rPr>
                <w:b/>
                <w:sz w:val="18"/>
              </w:rPr>
            </w:pPr>
            <w:r>
              <w:rPr>
                <w:b/>
                <w:spacing w:val="-10"/>
                <w:sz w:val="18"/>
              </w:rPr>
              <w:t>¢</w:t>
            </w:r>
          </w:p>
        </w:tc>
        <w:tc>
          <w:tcPr>
            <w:tcW w:w="1417" w:type="dxa"/>
            <w:shd w:val="clear" w:color="auto" w:fill="D9D9D9"/>
          </w:tcPr>
          <w:p>
            <w:pPr>
              <w:pStyle w:val="TableParagraph"/>
              <w:spacing w:before="138"/>
              <w:ind w:left="187" w:firstLine="312"/>
              <w:rPr>
                <w:b/>
                <w:sz w:val="18"/>
              </w:rPr>
            </w:pPr>
            <w:r>
              <w:rPr>
                <w:b/>
                <w:spacing w:val="-4"/>
                <w:sz w:val="18"/>
              </w:rPr>
              <w:t>Meta </w:t>
            </w:r>
            <w:r>
              <w:rPr>
                <w:b/>
                <w:spacing w:val="-2"/>
                <w:sz w:val="18"/>
              </w:rPr>
              <w:t>programada</w:t>
            </w:r>
          </w:p>
        </w:tc>
        <w:tc>
          <w:tcPr>
            <w:tcW w:w="1272" w:type="dxa"/>
            <w:shd w:val="clear" w:color="auto" w:fill="D9D9D9"/>
          </w:tcPr>
          <w:p>
            <w:pPr>
              <w:pStyle w:val="TableParagraph"/>
              <w:spacing w:before="31"/>
              <w:rPr>
                <w:b/>
                <w:sz w:val="18"/>
              </w:rPr>
            </w:pPr>
          </w:p>
          <w:p>
            <w:pPr>
              <w:pStyle w:val="TableParagraph"/>
              <w:spacing w:before="1"/>
              <w:ind w:left="20" w:right="11"/>
              <w:jc w:val="center"/>
              <w:rPr>
                <w:b/>
                <w:sz w:val="18"/>
              </w:rPr>
            </w:pPr>
            <w:r>
              <w:rPr>
                <w:b/>
                <w:spacing w:val="-10"/>
                <w:sz w:val="18"/>
              </w:rPr>
              <w:t>¢</w:t>
            </w:r>
          </w:p>
        </w:tc>
        <w:tc>
          <w:tcPr>
            <w:tcW w:w="1181" w:type="dxa"/>
            <w:shd w:val="clear" w:color="auto" w:fill="D9D9D9"/>
          </w:tcPr>
          <w:p>
            <w:pPr>
              <w:pStyle w:val="TableParagraph"/>
              <w:spacing w:before="138"/>
              <w:ind w:left="66" w:firstLine="312"/>
              <w:rPr>
                <w:b/>
                <w:sz w:val="18"/>
              </w:rPr>
            </w:pPr>
            <w:r>
              <w:rPr>
                <w:b/>
                <w:spacing w:val="-4"/>
                <w:sz w:val="18"/>
              </w:rPr>
              <w:t>Meta </w:t>
            </w:r>
            <w:r>
              <w:rPr>
                <w:b/>
                <w:spacing w:val="-2"/>
                <w:sz w:val="18"/>
              </w:rPr>
              <w:t>programada</w:t>
            </w:r>
          </w:p>
        </w:tc>
        <w:tc>
          <w:tcPr>
            <w:tcW w:w="1834" w:type="dxa"/>
            <w:shd w:val="clear" w:color="auto" w:fill="D9D9D9"/>
          </w:tcPr>
          <w:p>
            <w:pPr>
              <w:pStyle w:val="TableParagraph"/>
              <w:spacing w:before="31"/>
              <w:rPr>
                <w:b/>
                <w:sz w:val="18"/>
              </w:rPr>
            </w:pPr>
          </w:p>
          <w:p>
            <w:pPr>
              <w:pStyle w:val="TableParagraph"/>
              <w:spacing w:before="1"/>
              <w:ind w:left="6"/>
              <w:jc w:val="center"/>
              <w:rPr>
                <w:b/>
                <w:sz w:val="18"/>
              </w:rPr>
            </w:pPr>
            <w:r>
              <w:rPr>
                <w:b/>
                <w:spacing w:val="-10"/>
                <w:sz w:val="18"/>
              </w:rPr>
              <w:t>¢</w:t>
            </w:r>
          </w:p>
        </w:tc>
      </w:tr>
      <w:tr>
        <w:trPr>
          <w:trHeight w:val="2688" w:hRule="atLeast"/>
        </w:trPr>
        <w:tc>
          <w:tcPr>
            <w:tcW w:w="2099" w:type="dxa"/>
          </w:tcPr>
          <w:p>
            <w:pPr>
              <w:pStyle w:val="TableParagraph"/>
              <w:ind w:left="72" w:right="71"/>
              <w:rPr>
                <w:sz w:val="18"/>
              </w:rPr>
            </w:pPr>
            <w:r>
              <w:rPr>
                <w:b/>
                <w:sz w:val="18"/>
              </w:rPr>
              <w:t>Actividad PAC 2.56.1: </w:t>
            </w:r>
            <w:r>
              <w:rPr>
                <w:sz w:val="18"/>
              </w:rPr>
              <w:t>Elaboración de instrucción</w:t>
            </w:r>
            <w:r>
              <w:rPr>
                <w:spacing w:val="-6"/>
                <w:sz w:val="18"/>
              </w:rPr>
              <w:t> </w:t>
            </w:r>
            <w:r>
              <w:rPr>
                <w:sz w:val="18"/>
              </w:rPr>
              <w:t>por</w:t>
            </w:r>
            <w:r>
              <w:rPr>
                <w:spacing w:val="-4"/>
                <w:sz w:val="18"/>
              </w:rPr>
              <w:t> </w:t>
            </w:r>
            <w:r>
              <w:rPr>
                <w:sz w:val="18"/>
              </w:rPr>
              <w:t>parte</w:t>
            </w:r>
            <w:r>
              <w:rPr>
                <w:spacing w:val="-6"/>
                <w:sz w:val="18"/>
              </w:rPr>
              <w:t> </w:t>
            </w:r>
            <w:r>
              <w:rPr>
                <w:sz w:val="18"/>
              </w:rPr>
              <w:t>del Asesor</w:t>
            </w:r>
            <w:r>
              <w:rPr>
                <w:spacing w:val="-15"/>
                <w:sz w:val="18"/>
              </w:rPr>
              <w:t> </w:t>
            </w:r>
            <w:r>
              <w:rPr>
                <w:sz w:val="18"/>
              </w:rPr>
              <w:t>Jurídico</w:t>
            </w:r>
            <w:r>
              <w:rPr>
                <w:spacing w:val="-12"/>
                <w:sz w:val="18"/>
              </w:rPr>
              <w:t> </w:t>
            </w:r>
            <w:r>
              <w:rPr>
                <w:sz w:val="18"/>
              </w:rPr>
              <w:t>General al</w:t>
            </w:r>
            <w:r>
              <w:rPr>
                <w:spacing w:val="-8"/>
                <w:sz w:val="18"/>
              </w:rPr>
              <w:t> </w:t>
            </w:r>
            <w:r>
              <w:rPr>
                <w:sz w:val="18"/>
              </w:rPr>
              <w:t>equipo,</w:t>
            </w:r>
            <w:r>
              <w:rPr>
                <w:spacing w:val="-9"/>
                <w:sz w:val="18"/>
              </w:rPr>
              <w:t> </w:t>
            </w:r>
            <w:r>
              <w:rPr>
                <w:sz w:val="18"/>
              </w:rPr>
              <w:t>para</w:t>
            </w:r>
            <w:r>
              <w:rPr>
                <w:spacing w:val="-11"/>
                <w:sz w:val="18"/>
              </w:rPr>
              <w:t> </w:t>
            </w:r>
            <w:r>
              <w:rPr>
                <w:sz w:val="18"/>
              </w:rPr>
              <w:t>que</w:t>
            </w:r>
            <w:r>
              <w:rPr>
                <w:spacing w:val="-11"/>
                <w:sz w:val="18"/>
              </w:rPr>
              <w:t> </w:t>
            </w:r>
            <w:r>
              <w:rPr>
                <w:sz w:val="18"/>
              </w:rPr>
              <w:t>toda revisión de normativa que sea remitida a la Asesoría Jurídica se verifique</w:t>
            </w:r>
            <w:r>
              <w:rPr>
                <w:spacing w:val="-1"/>
                <w:sz w:val="18"/>
              </w:rPr>
              <w:t> </w:t>
            </w:r>
            <w:r>
              <w:rPr>
                <w:sz w:val="18"/>
              </w:rPr>
              <w:t>en</w:t>
            </w:r>
            <w:r>
              <w:rPr>
                <w:spacing w:val="-1"/>
                <w:sz w:val="18"/>
              </w:rPr>
              <w:t> </w:t>
            </w:r>
            <w:r>
              <w:rPr>
                <w:sz w:val="18"/>
              </w:rPr>
              <w:t>el</w:t>
            </w:r>
            <w:r>
              <w:rPr>
                <w:spacing w:val="-3"/>
                <w:sz w:val="18"/>
              </w:rPr>
              <w:t> </w:t>
            </w:r>
            <w:r>
              <w:rPr>
                <w:sz w:val="18"/>
              </w:rPr>
              <w:t>texto</w:t>
            </w:r>
            <w:r>
              <w:rPr>
                <w:spacing w:val="-1"/>
                <w:sz w:val="18"/>
              </w:rPr>
              <w:t> </w:t>
            </w:r>
            <w:r>
              <w:rPr>
                <w:sz w:val="18"/>
              </w:rPr>
              <w:t>que se garantiza el cumplimiento legal en materia de género y</w:t>
            </w:r>
          </w:p>
          <w:p>
            <w:pPr>
              <w:pStyle w:val="TableParagraph"/>
              <w:spacing w:line="186" w:lineRule="exact"/>
              <w:ind w:left="72"/>
              <w:rPr>
                <w:sz w:val="18"/>
              </w:rPr>
            </w:pPr>
            <w:r>
              <w:rPr>
                <w:spacing w:val="-2"/>
                <w:sz w:val="18"/>
              </w:rPr>
              <w:t>diversidad.</w:t>
            </w:r>
          </w:p>
        </w:tc>
        <w:tc>
          <w:tcPr>
            <w:tcW w:w="13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Pr>
                <w:sz w:val="18"/>
              </w:rPr>
            </w:pPr>
            <w:r>
              <w:rPr>
                <w:spacing w:val="-2"/>
                <w:sz w:val="18"/>
              </w:rPr>
              <w:t>Instrucción emitida</w:t>
            </w:r>
          </w:p>
        </w:tc>
        <w:tc>
          <w:tcPr>
            <w:tcW w:w="15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4"/>
              <w:jc w:val="center"/>
              <w:rPr>
                <w:sz w:val="18"/>
              </w:rPr>
            </w:pPr>
            <w:r>
              <w:rPr>
                <w:spacing w:val="-10"/>
                <w:sz w:val="18"/>
              </w:rPr>
              <w:t>1</w:t>
            </w:r>
          </w:p>
        </w:tc>
        <w:tc>
          <w:tcPr>
            <w:tcW w:w="1253" w:type="dxa"/>
          </w:tcPr>
          <w:p>
            <w:pPr>
              <w:pStyle w:val="TableParagraph"/>
              <w:rPr>
                <w:rFonts w:ascii="Times New Roman"/>
                <w:sz w:val="18"/>
              </w:rPr>
            </w:pPr>
          </w:p>
        </w:tc>
        <w:tc>
          <w:tcPr>
            <w:tcW w:w="1181" w:type="dxa"/>
          </w:tcPr>
          <w:p>
            <w:pPr>
              <w:pStyle w:val="TableParagraph"/>
              <w:rPr>
                <w:rFonts w:ascii="Times New Roman"/>
                <w:sz w:val="18"/>
              </w:rPr>
            </w:pPr>
          </w:p>
        </w:tc>
        <w:tc>
          <w:tcPr>
            <w:tcW w:w="1354" w:type="dxa"/>
          </w:tcPr>
          <w:p>
            <w:pPr>
              <w:pStyle w:val="TableParagraph"/>
              <w:rPr>
                <w:rFonts w:ascii="Times New Roman"/>
                <w:sz w:val="18"/>
              </w:rPr>
            </w:pPr>
          </w:p>
        </w:tc>
        <w:tc>
          <w:tcPr>
            <w:tcW w:w="1417" w:type="dxa"/>
          </w:tcPr>
          <w:p>
            <w:pPr>
              <w:pStyle w:val="TableParagraph"/>
              <w:rPr>
                <w:rFonts w:ascii="Times New Roman"/>
                <w:sz w:val="18"/>
              </w:rPr>
            </w:pPr>
          </w:p>
        </w:tc>
        <w:tc>
          <w:tcPr>
            <w:tcW w:w="1272" w:type="dxa"/>
          </w:tcPr>
          <w:p>
            <w:pPr>
              <w:pStyle w:val="TableParagraph"/>
              <w:rPr>
                <w:rFonts w:ascii="Times New Roman"/>
                <w:sz w:val="18"/>
              </w:rPr>
            </w:pPr>
          </w:p>
        </w:tc>
        <w:tc>
          <w:tcPr>
            <w:tcW w:w="1181" w:type="dxa"/>
          </w:tcPr>
          <w:p>
            <w:pPr>
              <w:pStyle w:val="TableParagraph"/>
              <w:rPr>
                <w:rFonts w:ascii="Times New Roman"/>
                <w:sz w:val="18"/>
              </w:rPr>
            </w:pPr>
          </w:p>
        </w:tc>
        <w:tc>
          <w:tcPr>
            <w:tcW w:w="1834" w:type="dxa"/>
          </w:tcPr>
          <w:p>
            <w:pPr>
              <w:pStyle w:val="TableParagraph"/>
              <w:rPr>
                <w:rFonts w:ascii="Times New Roman"/>
                <w:sz w:val="18"/>
              </w:rPr>
            </w:pPr>
          </w:p>
        </w:tc>
      </w:tr>
      <w:tr>
        <w:trPr>
          <w:trHeight w:val="902" w:hRule="atLeast"/>
        </w:trPr>
        <w:tc>
          <w:tcPr>
            <w:tcW w:w="2099" w:type="dxa"/>
          </w:tcPr>
          <w:p>
            <w:pPr>
              <w:pStyle w:val="TableParagraph"/>
              <w:spacing w:before="37"/>
              <w:ind w:left="72" w:right="105"/>
              <w:rPr>
                <w:sz w:val="18"/>
              </w:rPr>
            </w:pPr>
            <w:r>
              <w:rPr>
                <w:b/>
                <w:sz w:val="18"/>
              </w:rPr>
              <w:t>Actividad</w:t>
            </w:r>
            <w:r>
              <w:rPr>
                <w:b/>
                <w:spacing w:val="-15"/>
                <w:sz w:val="18"/>
              </w:rPr>
              <w:t> </w:t>
            </w:r>
            <w:r>
              <w:rPr>
                <w:b/>
                <w:sz w:val="18"/>
              </w:rPr>
              <w:t>PAC</w:t>
            </w:r>
            <w:r>
              <w:rPr>
                <w:b/>
                <w:spacing w:val="-12"/>
                <w:sz w:val="18"/>
              </w:rPr>
              <w:t> </w:t>
            </w:r>
            <w:r>
              <w:rPr>
                <w:b/>
                <w:sz w:val="18"/>
              </w:rPr>
              <w:t>2.56.2: </w:t>
            </w:r>
            <w:r>
              <w:rPr>
                <w:sz w:val="18"/>
              </w:rPr>
              <w:t>Revisión de normativa en</w:t>
            </w:r>
            <w:r>
              <w:rPr>
                <w:spacing w:val="-10"/>
                <w:sz w:val="18"/>
              </w:rPr>
              <w:t> </w:t>
            </w:r>
            <w:r>
              <w:rPr>
                <w:sz w:val="18"/>
              </w:rPr>
              <w:t>materia</w:t>
            </w:r>
            <w:r>
              <w:rPr>
                <w:spacing w:val="-10"/>
                <w:sz w:val="18"/>
              </w:rPr>
              <w:t> </w:t>
            </w:r>
            <w:r>
              <w:rPr>
                <w:sz w:val="18"/>
              </w:rPr>
              <w:t>de</w:t>
            </w:r>
            <w:r>
              <w:rPr>
                <w:spacing w:val="-7"/>
                <w:sz w:val="18"/>
              </w:rPr>
              <w:t> </w:t>
            </w:r>
            <w:r>
              <w:rPr>
                <w:sz w:val="18"/>
              </w:rPr>
              <w:t>género</w:t>
            </w:r>
            <w:r>
              <w:rPr>
                <w:spacing w:val="-7"/>
                <w:sz w:val="18"/>
              </w:rPr>
              <w:t> </w:t>
            </w:r>
            <w:r>
              <w:rPr>
                <w:sz w:val="18"/>
              </w:rPr>
              <w:t>y </w:t>
            </w:r>
            <w:r>
              <w:rPr>
                <w:spacing w:val="-2"/>
                <w:sz w:val="18"/>
              </w:rPr>
              <w:t>diversidad.</w:t>
            </w:r>
          </w:p>
        </w:tc>
        <w:tc>
          <w:tcPr>
            <w:tcW w:w="1330" w:type="dxa"/>
          </w:tcPr>
          <w:p>
            <w:pPr>
              <w:pStyle w:val="TableParagraph"/>
              <w:spacing w:before="143"/>
              <w:ind w:left="71"/>
              <w:rPr>
                <w:sz w:val="18"/>
              </w:rPr>
            </w:pPr>
            <w:r>
              <w:rPr>
                <w:sz w:val="18"/>
              </w:rPr>
              <w:t>Cantidad</w:t>
            </w:r>
            <w:r>
              <w:rPr>
                <w:spacing w:val="-13"/>
                <w:sz w:val="18"/>
              </w:rPr>
              <w:t> </w:t>
            </w:r>
            <w:r>
              <w:rPr>
                <w:sz w:val="18"/>
              </w:rPr>
              <w:t>de </w:t>
            </w:r>
            <w:r>
              <w:rPr>
                <w:spacing w:val="-2"/>
                <w:sz w:val="18"/>
              </w:rPr>
              <w:t>normativa revisada</w:t>
            </w:r>
          </w:p>
        </w:tc>
        <w:tc>
          <w:tcPr>
            <w:tcW w:w="1536" w:type="dxa"/>
          </w:tcPr>
          <w:p>
            <w:pPr>
              <w:pStyle w:val="TableParagraph"/>
              <w:spacing w:before="142"/>
              <w:rPr>
                <w:b/>
                <w:sz w:val="18"/>
              </w:rPr>
            </w:pPr>
          </w:p>
          <w:p>
            <w:pPr>
              <w:pStyle w:val="TableParagraph"/>
              <w:ind w:left="14" w:right="3"/>
              <w:jc w:val="center"/>
              <w:rPr>
                <w:sz w:val="18"/>
              </w:rPr>
            </w:pPr>
            <w:r>
              <w:rPr>
                <w:spacing w:val="-4"/>
                <w:sz w:val="18"/>
              </w:rPr>
              <w:t>100%</w:t>
            </w:r>
          </w:p>
        </w:tc>
        <w:tc>
          <w:tcPr>
            <w:tcW w:w="1253" w:type="dxa"/>
          </w:tcPr>
          <w:p>
            <w:pPr>
              <w:pStyle w:val="TableParagraph"/>
              <w:rPr>
                <w:rFonts w:ascii="Times New Roman"/>
                <w:sz w:val="18"/>
              </w:rPr>
            </w:pPr>
          </w:p>
        </w:tc>
        <w:tc>
          <w:tcPr>
            <w:tcW w:w="1181" w:type="dxa"/>
          </w:tcPr>
          <w:p>
            <w:pPr>
              <w:pStyle w:val="TableParagraph"/>
              <w:spacing w:before="142"/>
              <w:rPr>
                <w:b/>
                <w:sz w:val="18"/>
              </w:rPr>
            </w:pPr>
          </w:p>
          <w:p>
            <w:pPr>
              <w:pStyle w:val="TableParagraph"/>
              <w:ind w:left="28" w:right="26"/>
              <w:jc w:val="center"/>
              <w:rPr>
                <w:sz w:val="18"/>
              </w:rPr>
            </w:pPr>
            <w:r>
              <w:rPr>
                <w:spacing w:val="-4"/>
                <w:sz w:val="18"/>
              </w:rPr>
              <w:t>100%</w:t>
            </w:r>
          </w:p>
        </w:tc>
        <w:tc>
          <w:tcPr>
            <w:tcW w:w="1354" w:type="dxa"/>
          </w:tcPr>
          <w:p>
            <w:pPr>
              <w:pStyle w:val="TableParagraph"/>
              <w:rPr>
                <w:rFonts w:ascii="Times New Roman"/>
                <w:sz w:val="18"/>
              </w:rPr>
            </w:pPr>
          </w:p>
        </w:tc>
        <w:tc>
          <w:tcPr>
            <w:tcW w:w="1417" w:type="dxa"/>
          </w:tcPr>
          <w:p>
            <w:pPr>
              <w:pStyle w:val="TableParagraph"/>
              <w:spacing w:before="142"/>
              <w:rPr>
                <w:b/>
                <w:sz w:val="18"/>
              </w:rPr>
            </w:pPr>
          </w:p>
          <w:p>
            <w:pPr>
              <w:pStyle w:val="TableParagraph"/>
              <w:ind w:left="11" w:right="4"/>
              <w:jc w:val="center"/>
              <w:rPr>
                <w:sz w:val="18"/>
              </w:rPr>
            </w:pPr>
            <w:r>
              <w:rPr>
                <w:spacing w:val="-4"/>
                <w:sz w:val="18"/>
              </w:rPr>
              <w:t>100%</w:t>
            </w:r>
          </w:p>
        </w:tc>
        <w:tc>
          <w:tcPr>
            <w:tcW w:w="1272" w:type="dxa"/>
          </w:tcPr>
          <w:p>
            <w:pPr>
              <w:pStyle w:val="TableParagraph"/>
              <w:rPr>
                <w:rFonts w:ascii="Times New Roman"/>
                <w:sz w:val="18"/>
              </w:rPr>
            </w:pPr>
          </w:p>
        </w:tc>
        <w:tc>
          <w:tcPr>
            <w:tcW w:w="1181" w:type="dxa"/>
          </w:tcPr>
          <w:p>
            <w:pPr>
              <w:pStyle w:val="TableParagraph"/>
              <w:spacing w:before="142"/>
              <w:rPr>
                <w:b/>
                <w:sz w:val="18"/>
              </w:rPr>
            </w:pPr>
          </w:p>
          <w:p>
            <w:pPr>
              <w:pStyle w:val="TableParagraph"/>
              <w:ind w:left="28" w:right="26"/>
              <w:jc w:val="center"/>
              <w:rPr>
                <w:sz w:val="18"/>
              </w:rPr>
            </w:pPr>
            <w:r>
              <w:rPr>
                <w:spacing w:val="-4"/>
                <w:sz w:val="18"/>
              </w:rPr>
              <w:t>100%</w:t>
            </w:r>
          </w:p>
        </w:tc>
        <w:tc>
          <w:tcPr>
            <w:tcW w:w="1834" w:type="dxa"/>
          </w:tcPr>
          <w:p>
            <w:pPr>
              <w:pStyle w:val="TableParagraph"/>
              <w:rPr>
                <w:rFonts w:ascii="Times New Roman"/>
                <w:sz w:val="18"/>
              </w:rPr>
            </w:pPr>
          </w:p>
        </w:tc>
      </w:tr>
      <w:tr>
        <w:trPr>
          <w:trHeight w:val="369" w:hRule="atLeast"/>
        </w:trPr>
        <w:tc>
          <w:tcPr>
            <w:tcW w:w="14457" w:type="dxa"/>
            <w:gridSpan w:val="10"/>
            <w:shd w:val="clear" w:color="auto" w:fill="EFF8F9"/>
          </w:tcPr>
          <w:p>
            <w:pPr>
              <w:pStyle w:val="TableParagraph"/>
              <w:spacing w:before="80"/>
              <w:ind w:left="72"/>
              <w:rPr>
                <w:b/>
                <w:sz w:val="18"/>
              </w:rPr>
            </w:pPr>
            <w:r>
              <w:rPr>
                <w:b/>
                <w:sz w:val="18"/>
              </w:rPr>
              <w:t>Producto</w:t>
            </w:r>
            <w:r>
              <w:rPr>
                <w:b/>
                <w:spacing w:val="-8"/>
                <w:sz w:val="18"/>
              </w:rPr>
              <w:t> </w:t>
            </w:r>
            <w:r>
              <w:rPr>
                <w:b/>
                <w:sz w:val="18"/>
              </w:rPr>
              <w:t>PAC</w:t>
            </w:r>
            <w:r>
              <w:rPr>
                <w:b/>
                <w:spacing w:val="-7"/>
                <w:sz w:val="18"/>
              </w:rPr>
              <w:t> </w:t>
            </w:r>
            <w:r>
              <w:rPr>
                <w:b/>
                <w:sz w:val="18"/>
              </w:rPr>
              <w:t>2.57:</w:t>
            </w:r>
            <w:r>
              <w:rPr>
                <w:b/>
                <w:spacing w:val="-5"/>
                <w:sz w:val="18"/>
              </w:rPr>
              <w:t> </w:t>
            </w:r>
            <w:r>
              <w:rPr>
                <w:b/>
                <w:sz w:val="18"/>
              </w:rPr>
              <w:t>Servicios</w:t>
            </w:r>
            <w:r>
              <w:rPr>
                <w:b/>
                <w:spacing w:val="-6"/>
                <w:sz w:val="18"/>
              </w:rPr>
              <w:t> </w:t>
            </w:r>
            <w:r>
              <w:rPr>
                <w:b/>
                <w:sz w:val="18"/>
              </w:rPr>
              <w:t>Jurídicos</w:t>
            </w:r>
            <w:r>
              <w:rPr>
                <w:b/>
                <w:spacing w:val="-4"/>
                <w:sz w:val="18"/>
              </w:rPr>
              <w:t> </w:t>
            </w:r>
            <w:r>
              <w:rPr>
                <w:b/>
                <w:sz w:val="18"/>
              </w:rPr>
              <w:t>-</w:t>
            </w:r>
            <w:r>
              <w:rPr>
                <w:b/>
                <w:spacing w:val="1"/>
                <w:sz w:val="18"/>
              </w:rPr>
              <w:t> </w:t>
            </w:r>
            <w:r>
              <w:rPr>
                <w:b/>
                <w:sz w:val="18"/>
              </w:rPr>
              <w:t>Notarios</w:t>
            </w:r>
            <w:r>
              <w:rPr>
                <w:b/>
                <w:spacing w:val="-7"/>
                <w:sz w:val="18"/>
              </w:rPr>
              <w:t> </w:t>
            </w:r>
            <w:r>
              <w:rPr>
                <w:b/>
                <w:spacing w:val="-2"/>
                <w:sz w:val="18"/>
              </w:rPr>
              <w:t>externos</w:t>
            </w:r>
          </w:p>
        </w:tc>
      </w:tr>
      <w:tr>
        <w:trPr>
          <w:trHeight w:val="1243" w:hRule="atLeast"/>
        </w:trPr>
        <w:tc>
          <w:tcPr>
            <w:tcW w:w="2099" w:type="dxa"/>
          </w:tcPr>
          <w:p>
            <w:pPr>
              <w:pStyle w:val="TableParagraph"/>
              <w:ind w:left="72" w:right="65"/>
              <w:rPr>
                <w:sz w:val="18"/>
              </w:rPr>
            </w:pPr>
            <w:r>
              <w:rPr>
                <w:b/>
                <w:sz w:val="18"/>
              </w:rPr>
              <w:t>Actividad PAC 2.57.1: </w:t>
            </w:r>
            <w:r>
              <w:rPr>
                <w:sz w:val="18"/>
              </w:rPr>
              <w:t>Asignación</w:t>
            </w:r>
            <w:r>
              <w:rPr>
                <w:spacing w:val="-15"/>
                <w:sz w:val="18"/>
              </w:rPr>
              <w:t> </w:t>
            </w:r>
            <w:r>
              <w:rPr>
                <w:sz w:val="18"/>
              </w:rPr>
              <w:t>de</w:t>
            </w:r>
            <w:r>
              <w:rPr>
                <w:spacing w:val="-12"/>
                <w:sz w:val="18"/>
              </w:rPr>
              <w:t> </w:t>
            </w:r>
            <w:r>
              <w:rPr>
                <w:sz w:val="18"/>
              </w:rPr>
              <w:t>gestiones notariales realizadas según requerimientos</w:t>
            </w:r>
            <w:r>
              <w:rPr>
                <w:spacing w:val="40"/>
                <w:sz w:val="18"/>
              </w:rPr>
              <w:t> </w:t>
            </w:r>
            <w:r>
              <w:rPr>
                <w:sz w:val="18"/>
              </w:rPr>
              <w:t>de otras instancias</w:t>
            </w:r>
          </w:p>
          <w:p>
            <w:pPr>
              <w:pStyle w:val="TableParagraph"/>
              <w:spacing w:line="187" w:lineRule="exact" w:before="1"/>
              <w:ind w:left="72"/>
              <w:rPr>
                <w:sz w:val="18"/>
              </w:rPr>
            </w:pPr>
            <w:r>
              <w:rPr>
                <w:spacing w:val="-2"/>
                <w:sz w:val="18"/>
              </w:rPr>
              <w:t>institucionales.</w:t>
            </w:r>
          </w:p>
        </w:tc>
        <w:tc>
          <w:tcPr>
            <w:tcW w:w="1330" w:type="dxa"/>
          </w:tcPr>
          <w:p>
            <w:pPr>
              <w:pStyle w:val="TableParagraph"/>
              <w:spacing w:before="103"/>
              <w:rPr>
                <w:b/>
                <w:sz w:val="18"/>
              </w:rPr>
            </w:pPr>
          </w:p>
          <w:p>
            <w:pPr>
              <w:pStyle w:val="TableParagraph"/>
              <w:spacing w:before="1"/>
              <w:ind w:left="71" w:right="131"/>
              <w:rPr>
                <w:sz w:val="18"/>
              </w:rPr>
            </w:pPr>
            <w:r>
              <w:rPr>
                <w:sz w:val="18"/>
              </w:rPr>
              <w:t>Porcentaje</w:t>
            </w:r>
            <w:r>
              <w:rPr>
                <w:spacing w:val="-13"/>
                <w:sz w:val="18"/>
              </w:rPr>
              <w:t> </w:t>
            </w:r>
            <w:r>
              <w:rPr>
                <w:sz w:val="18"/>
              </w:rPr>
              <w:t>de </w:t>
            </w:r>
            <w:r>
              <w:rPr>
                <w:spacing w:val="-2"/>
                <w:sz w:val="18"/>
              </w:rPr>
              <w:t>asignaciones realizadas</w:t>
            </w:r>
          </w:p>
        </w:tc>
        <w:tc>
          <w:tcPr>
            <w:tcW w:w="1536" w:type="dxa"/>
          </w:tcPr>
          <w:p>
            <w:pPr>
              <w:pStyle w:val="TableParagraph"/>
              <w:rPr>
                <w:b/>
                <w:sz w:val="18"/>
              </w:rPr>
            </w:pPr>
          </w:p>
          <w:p>
            <w:pPr>
              <w:pStyle w:val="TableParagraph"/>
              <w:spacing w:before="103"/>
              <w:rPr>
                <w:b/>
                <w:sz w:val="18"/>
              </w:rPr>
            </w:pPr>
          </w:p>
          <w:p>
            <w:pPr>
              <w:pStyle w:val="TableParagraph"/>
              <w:ind w:left="14" w:right="3"/>
              <w:jc w:val="center"/>
              <w:rPr>
                <w:sz w:val="18"/>
              </w:rPr>
            </w:pPr>
            <w:r>
              <w:rPr>
                <w:spacing w:val="-5"/>
                <w:sz w:val="18"/>
              </w:rPr>
              <w:t>0%</w:t>
            </w:r>
          </w:p>
        </w:tc>
        <w:tc>
          <w:tcPr>
            <w:tcW w:w="1253" w:type="dxa"/>
          </w:tcPr>
          <w:p>
            <w:pPr>
              <w:pStyle w:val="TableParagraph"/>
              <w:rPr>
                <w:rFonts w:ascii="Times New Roman"/>
                <w:sz w:val="18"/>
              </w:rPr>
            </w:pPr>
          </w:p>
        </w:tc>
        <w:tc>
          <w:tcPr>
            <w:tcW w:w="1181" w:type="dxa"/>
          </w:tcPr>
          <w:p>
            <w:pPr>
              <w:pStyle w:val="TableParagraph"/>
              <w:rPr>
                <w:b/>
                <w:sz w:val="18"/>
              </w:rPr>
            </w:pPr>
          </w:p>
          <w:p>
            <w:pPr>
              <w:pStyle w:val="TableParagraph"/>
              <w:spacing w:before="103"/>
              <w:rPr>
                <w:b/>
                <w:sz w:val="18"/>
              </w:rPr>
            </w:pPr>
          </w:p>
          <w:p>
            <w:pPr>
              <w:pStyle w:val="TableParagraph"/>
              <w:ind w:left="28" w:right="26"/>
              <w:jc w:val="center"/>
              <w:rPr>
                <w:sz w:val="18"/>
              </w:rPr>
            </w:pPr>
            <w:r>
              <w:rPr>
                <w:spacing w:val="-4"/>
                <w:sz w:val="18"/>
              </w:rPr>
              <w:t>100%</w:t>
            </w:r>
          </w:p>
        </w:tc>
        <w:tc>
          <w:tcPr>
            <w:tcW w:w="1354" w:type="dxa"/>
          </w:tcPr>
          <w:p>
            <w:pPr>
              <w:pStyle w:val="TableParagraph"/>
              <w:rPr>
                <w:rFonts w:ascii="Times New Roman"/>
                <w:sz w:val="18"/>
              </w:rPr>
            </w:pPr>
          </w:p>
        </w:tc>
        <w:tc>
          <w:tcPr>
            <w:tcW w:w="1417" w:type="dxa"/>
          </w:tcPr>
          <w:p>
            <w:pPr>
              <w:pStyle w:val="TableParagraph"/>
              <w:rPr>
                <w:b/>
                <w:sz w:val="18"/>
              </w:rPr>
            </w:pPr>
          </w:p>
          <w:p>
            <w:pPr>
              <w:pStyle w:val="TableParagraph"/>
              <w:spacing w:before="103"/>
              <w:rPr>
                <w:b/>
                <w:sz w:val="18"/>
              </w:rPr>
            </w:pPr>
          </w:p>
          <w:p>
            <w:pPr>
              <w:pStyle w:val="TableParagraph"/>
              <w:ind w:left="11" w:right="4"/>
              <w:jc w:val="center"/>
              <w:rPr>
                <w:sz w:val="18"/>
              </w:rPr>
            </w:pPr>
            <w:r>
              <w:rPr>
                <w:spacing w:val="-4"/>
                <w:sz w:val="18"/>
              </w:rPr>
              <w:t>100%</w:t>
            </w:r>
          </w:p>
        </w:tc>
        <w:tc>
          <w:tcPr>
            <w:tcW w:w="1272" w:type="dxa"/>
          </w:tcPr>
          <w:p>
            <w:pPr>
              <w:pStyle w:val="TableParagraph"/>
              <w:rPr>
                <w:rFonts w:ascii="Times New Roman"/>
                <w:sz w:val="18"/>
              </w:rPr>
            </w:pPr>
          </w:p>
        </w:tc>
        <w:tc>
          <w:tcPr>
            <w:tcW w:w="1181" w:type="dxa"/>
          </w:tcPr>
          <w:p>
            <w:pPr>
              <w:pStyle w:val="TableParagraph"/>
              <w:rPr>
                <w:b/>
                <w:sz w:val="18"/>
              </w:rPr>
            </w:pPr>
          </w:p>
          <w:p>
            <w:pPr>
              <w:pStyle w:val="TableParagraph"/>
              <w:spacing w:before="103"/>
              <w:rPr>
                <w:b/>
                <w:sz w:val="18"/>
              </w:rPr>
            </w:pPr>
          </w:p>
          <w:p>
            <w:pPr>
              <w:pStyle w:val="TableParagraph"/>
              <w:ind w:left="28" w:right="26"/>
              <w:jc w:val="center"/>
              <w:rPr>
                <w:sz w:val="18"/>
              </w:rPr>
            </w:pPr>
            <w:r>
              <w:rPr>
                <w:spacing w:val="-4"/>
                <w:sz w:val="18"/>
              </w:rPr>
              <w:t>100%</w:t>
            </w:r>
          </w:p>
        </w:tc>
        <w:tc>
          <w:tcPr>
            <w:tcW w:w="1834" w:type="dxa"/>
          </w:tcPr>
          <w:p>
            <w:pPr>
              <w:pStyle w:val="TableParagraph"/>
              <w:rPr>
                <w:b/>
                <w:sz w:val="18"/>
              </w:rPr>
            </w:pPr>
          </w:p>
          <w:p>
            <w:pPr>
              <w:pStyle w:val="TableParagraph"/>
              <w:spacing w:before="103"/>
              <w:rPr>
                <w:b/>
                <w:sz w:val="18"/>
              </w:rPr>
            </w:pPr>
          </w:p>
          <w:p>
            <w:pPr>
              <w:pStyle w:val="TableParagraph"/>
              <w:ind w:left="628"/>
              <w:rPr>
                <w:sz w:val="18"/>
              </w:rPr>
            </w:pPr>
            <w:r>
              <w:rPr>
                <w:sz w:val="18"/>
              </w:rPr>
              <w:t>₡100</w:t>
            </w:r>
            <w:r>
              <w:rPr>
                <w:spacing w:val="1"/>
                <w:sz w:val="18"/>
              </w:rPr>
              <w:t> </w:t>
            </w:r>
            <w:r>
              <w:rPr>
                <w:sz w:val="18"/>
              </w:rPr>
              <w:t>000</w:t>
            </w:r>
            <w:r>
              <w:rPr>
                <w:spacing w:val="-3"/>
                <w:sz w:val="18"/>
              </w:rPr>
              <w:t> </w:t>
            </w:r>
            <w:r>
              <w:rPr>
                <w:spacing w:val="-5"/>
                <w:sz w:val="18"/>
              </w:rPr>
              <w:t>000</w:t>
            </w:r>
          </w:p>
        </w:tc>
      </w:tr>
    </w:tbl>
    <w:p>
      <w:pPr>
        <w:pStyle w:val="TableParagraph"/>
        <w:spacing w:after="0"/>
        <w:rPr>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13"/>
        <w:gridCol w:w="1426"/>
        <w:gridCol w:w="1705"/>
        <w:gridCol w:w="1277"/>
        <w:gridCol w:w="1417"/>
        <w:gridCol w:w="1417"/>
        <w:gridCol w:w="1561"/>
        <w:gridCol w:w="994"/>
        <w:gridCol w:w="1421"/>
        <w:gridCol w:w="1129"/>
      </w:tblGrid>
      <w:tr>
        <w:trPr>
          <w:trHeight w:val="302" w:hRule="atLeast"/>
        </w:trPr>
        <w:tc>
          <w:tcPr>
            <w:tcW w:w="2113" w:type="dxa"/>
            <w:vMerge w:val="restart"/>
            <w:shd w:val="clear" w:color="auto" w:fill="F1F1F1"/>
          </w:tcPr>
          <w:p>
            <w:pPr>
              <w:pStyle w:val="TableParagraph"/>
              <w:rPr>
                <w:b/>
                <w:sz w:val="18"/>
              </w:rPr>
            </w:pPr>
          </w:p>
          <w:p>
            <w:pPr>
              <w:pStyle w:val="TableParagraph"/>
              <w:spacing w:before="41"/>
              <w:rPr>
                <w:b/>
                <w:sz w:val="18"/>
              </w:rPr>
            </w:pPr>
          </w:p>
          <w:p>
            <w:pPr>
              <w:pStyle w:val="TableParagraph"/>
              <w:ind w:left="86"/>
              <w:rPr>
                <w:b/>
                <w:sz w:val="18"/>
              </w:rPr>
            </w:pPr>
            <w:r>
              <w:rPr>
                <w:b/>
                <w:sz w:val="18"/>
              </w:rPr>
              <w:t>Objetivos</w:t>
            </w:r>
            <w:r>
              <w:rPr>
                <w:b/>
                <w:spacing w:val="-5"/>
                <w:sz w:val="18"/>
              </w:rPr>
              <w:t> </w:t>
            </w:r>
            <w:r>
              <w:rPr>
                <w:b/>
                <w:sz w:val="18"/>
              </w:rPr>
              <w:t>/</w:t>
            </w:r>
            <w:r>
              <w:rPr>
                <w:b/>
                <w:spacing w:val="-2"/>
                <w:sz w:val="18"/>
              </w:rPr>
              <w:t> Resultados</w:t>
            </w:r>
          </w:p>
        </w:tc>
        <w:tc>
          <w:tcPr>
            <w:tcW w:w="1426" w:type="dxa"/>
            <w:vMerge w:val="restart"/>
            <w:shd w:val="clear" w:color="auto" w:fill="F1F1F1"/>
          </w:tcPr>
          <w:p>
            <w:pPr>
              <w:pStyle w:val="TableParagraph"/>
              <w:rPr>
                <w:b/>
                <w:sz w:val="18"/>
              </w:rPr>
            </w:pPr>
          </w:p>
          <w:p>
            <w:pPr>
              <w:pStyle w:val="TableParagraph"/>
              <w:spacing w:before="41"/>
              <w:rPr>
                <w:b/>
                <w:sz w:val="18"/>
              </w:rPr>
            </w:pPr>
          </w:p>
          <w:p>
            <w:pPr>
              <w:pStyle w:val="TableParagraph"/>
              <w:ind w:left="306"/>
              <w:rPr>
                <w:b/>
                <w:sz w:val="18"/>
              </w:rPr>
            </w:pPr>
            <w:r>
              <w:rPr>
                <w:b/>
                <w:spacing w:val="-2"/>
                <w:sz w:val="18"/>
              </w:rPr>
              <w:t>Indicador</w:t>
            </w:r>
          </w:p>
        </w:tc>
        <w:tc>
          <w:tcPr>
            <w:tcW w:w="2982" w:type="dxa"/>
            <w:gridSpan w:val="2"/>
            <w:shd w:val="clear" w:color="auto" w:fill="F1F1F1"/>
          </w:tcPr>
          <w:p>
            <w:pPr>
              <w:pStyle w:val="TableParagraph"/>
              <w:spacing w:before="47"/>
              <w:ind w:left="8"/>
              <w:jc w:val="center"/>
              <w:rPr>
                <w:b/>
                <w:sz w:val="18"/>
              </w:rPr>
            </w:pPr>
            <w:r>
              <w:rPr>
                <w:b/>
                <w:sz w:val="18"/>
              </w:rPr>
              <w:t>I</w:t>
            </w:r>
            <w:r>
              <w:rPr>
                <w:b/>
                <w:spacing w:val="-1"/>
                <w:sz w:val="18"/>
              </w:rPr>
              <w:t> </w:t>
            </w:r>
            <w:r>
              <w:rPr>
                <w:b/>
                <w:spacing w:val="-2"/>
                <w:sz w:val="18"/>
              </w:rPr>
              <w:t>Trimestre</w:t>
            </w:r>
          </w:p>
        </w:tc>
        <w:tc>
          <w:tcPr>
            <w:tcW w:w="2834" w:type="dxa"/>
            <w:gridSpan w:val="2"/>
            <w:shd w:val="clear" w:color="auto" w:fill="F1F1F1"/>
          </w:tcPr>
          <w:p>
            <w:pPr>
              <w:pStyle w:val="TableParagraph"/>
              <w:spacing w:before="47"/>
              <w:ind w:left="926"/>
              <w:rPr>
                <w:b/>
                <w:sz w:val="18"/>
              </w:rPr>
            </w:pPr>
            <w:r>
              <w:rPr>
                <w:b/>
                <w:sz w:val="18"/>
              </w:rPr>
              <w:t>II</w:t>
            </w:r>
            <w:r>
              <w:rPr>
                <w:b/>
                <w:spacing w:val="-3"/>
                <w:sz w:val="18"/>
              </w:rPr>
              <w:t> </w:t>
            </w:r>
            <w:r>
              <w:rPr>
                <w:b/>
                <w:spacing w:val="-2"/>
                <w:sz w:val="18"/>
              </w:rPr>
              <w:t>Trimestre</w:t>
            </w:r>
          </w:p>
        </w:tc>
        <w:tc>
          <w:tcPr>
            <w:tcW w:w="2555" w:type="dxa"/>
            <w:gridSpan w:val="2"/>
            <w:shd w:val="clear" w:color="auto" w:fill="F1F1F1"/>
          </w:tcPr>
          <w:p>
            <w:pPr>
              <w:pStyle w:val="TableParagraph"/>
              <w:spacing w:before="47"/>
              <w:ind w:left="765"/>
              <w:rPr>
                <w:b/>
                <w:sz w:val="18"/>
              </w:rPr>
            </w:pPr>
            <w:r>
              <w:rPr>
                <w:b/>
                <w:sz w:val="18"/>
              </w:rPr>
              <w:t>III</w:t>
            </w:r>
            <w:r>
              <w:rPr>
                <w:b/>
                <w:spacing w:val="-2"/>
                <w:sz w:val="18"/>
              </w:rPr>
              <w:t> Trimestre</w:t>
            </w:r>
          </w:p>
        </w:tc>
        <w:tc>
          <w:tcPr>
            <w:tcW w:w="2550" w:type="dxa"/>
            <w:gridSpan w:val="2"/>
            <w:shd w:val="clear" w:color="auto" w:fill="F1F1F1"/>
          </w:tcPr>
          <w:p>
            <w:pPr>
              <w:pStyle w:val="TableParagraph"/>
              <w:spacing w:before="47"/>
              <w:ind w:left="751"/>
              <w:rPr>
                <w:b/>
                <w:sz w:val="18"/>
              </w:rPr>
            </w:pPr>
            <w:r>
              <w:rPr>
                <w:b/>
                <w:sz w:val="18"/>
              </w:rPr>
              <w:t>IV</w:t>
            </w:r>
            <w:r>
              <w:rPr>
                <w:b/>
                <w:spacing w:val="-2"/>
                <w:sz w:val="18"/>
              </w:rPr>
              <w:t> Trimestre</w:t>
            </w:r>
          </w:p>
        </w:tc>
      </w:tr>
      <w:tr>
        <w:trPr>
          <w:trHeight w:val="806" w:hRule="atLeast"/>
        </w:trPr>
        <w:tc>
          <w:tcPr>
            <w:tcW w:w="2113" w:type="dxa"/>
            <w:vMerge/>
            <w:tcBorders>
              <w:top w:val="nil"/>
            </w:tcBorders>
            <w:shd w:val="clear" w:color="auto" w:fill="F1F1F1"/>
          </w:tcPr>
          <w:p>
            <w:pPr>
              <w:rPr>
                <w:sz w:val="2"/>
                <w:szCs w:val="2"/>
              </w:rPr>
            </w:pPr>
          </w:p>
        </w:tc>
        <w:tc>
          <w:tcPr>
            <w:tcW w:w="1426" w:type="dxa"/>
            <w:vMerge/>
            <w:tcBorders>
              <w:top w:val="nil"/>
            </w:tcBorders>
            <w:shd w:val="clear" w:color="auto" w:fill="F1F1F1"/>
          </w:tcPr>
          <w:p>
            <w:pPr>
              <w:rPr>
                <w:sz w:val="2"/>
                <w:szCs w:val="2"/>
              </w:rPr>
            </w:pPr>
          </w:p>
        </w:tc>
        <w:tc>
          <w:tcPr>
            <w:tcW w:w="1705" w:type="dxa"/>
            <w:shd w:val="clear" w:color="auto" w:fill="F1F1F1"/>
          </w:tcPr>
          <w:p>
            <w:pPr>
              <w:pStyle w:val="TableParagraph"/>
              <w:spacing w:before="89"/>
              <w:rPr>
                <w:b/>
                <w:sz w:val="18"/>
              </w:rPr>
            </w:pPr>
          </w:p>
          <w:p>
            <w:pPr>
              <w:pStyle w:val="TableParagraph"/>
              <w:ind w:left="13"/>
              <w:jc w:val="center"/>
              <w:rPr>
                <w:b/>
                <w:sz w:val="18"/>
              </w:rPr>
            </w:pPr>
            <w:r>
              <w:rPr>
                <w:b/>
                <w:sz w:val="18"/>
              </w:rPr>
              <w:t>Meta</w:t>
            </w:r>
            <w:r>
              <w:rPr>
                <w:b/>
                <w:spacing w:val="1"/>
                <w:sz w:val="18"/>
              </w:rPr>
              <w:t> </w:t>
            </w:r>
            <w:r>
              <w:rPr>
                <w:b/>
                <w:spacing w:val="-2"/>
                <w:sz w:val="18"/>
              </w:rPr>
              <w:t>programada</w:t>
            </w:r>
          </w:p>
        </w:tc>
        <w:tc>
          <w:tcPr>
            <w:tcW w:w="1277" w:type="dxa"/>
            <w:shd w:val="clear" w:color="auto" w:fill="F1F1F1"/>
          </w:tcPr>
          <w:p>
            <w:pPr>
              <w:pStyle w:val="TableParagraph"/>
              <w:spacing w:before="89"/>
              <w:rPr>
                <w:b/>
                <w:sz w:val="18"/>
              </w:rPr>
            </w:pPr>
          </w:p>
          <w:p>
            <w:pPr>
              <w:pStyle w:val="TableParagraph"/>
              <w:ind w:left="16" w:right="12"/>
              <w:jc w:val="center"/>
              <w:rPr>
                <w:b/>
                <w:sz w:val="18"/>
              </w:rPr>
            </w:pPr>
            <w:r>
              <w:rPr>
                <w:b/>
                <w:spacing w:val="-10"/>
                <w:sz w:val="18"/>
              </w:rPr>
              <w:t>¢</w:t>
            </w:r>
          </w:p>
        </w:tc>
        <w:tc>
          <w:tcPr>
            <w:tcW w:w="1417" w:type="dxa"/>
            <w:shd w:val="clear" w:color="auto" w:fill="F1F1F1"/>
          </w:tcPr>
          <w:p>
            <w:pPr>
              <w:pStyle w:val="TableParagraph"/>
              <w:spacing w:before="195"/>
              <w:ind w:left="181" w:firstLine="317"/>
              <w:rPr>
                <w:b/>
                <w:sz w:val="18"/>
              </w:rPr>
            </w:pPr>
            <w:r>
              <w:rPr>
                <w:b/>
                <w:spacing w:val="-4"/>
                <w:sz w:val="18"/>
              </w:rPr>
              <w:t>Meta </w:t>
            </w:r>
            <w:r>
              <w:rPr>
                <w:b/>
                <w:spacing w:val="-2"/>
                <w:sz w:val="18"/>
              </w:rPr>
              <w:t>programada</w:t>
            </w:r>
          </w:p>
        </w:tc>
        <w:tc>
          <w:tcPr>
            <w:tcW w:w="1417" w:type="dxa"/>
            <w:shd w:val="clear" w:color="auto" w:fill="F1F1F1"/>
          </w:tcPr>
          <w:p>
            <w:pPr>
              <w:pStyle w:val="TableParagraph"/>
              <w:spacing w:before="89"/>
              <w:rPr>
                <w:b/>
                <w:sz w:val="18"/>
              </w:rPr>
            </w:pPr>
          </w:p>
          <w:p>
            <w:pPr>
              <w:pStyle w:val="TableParagraph"/>
              <w:ind w:left="9" w:right="10"/>
              <w:jc w:val="center"/>
              <w:rPr>
                <w:b/>
                <w:sz w:val="18"/>
              </w:rPr>
            </w:pPr>
            <w:r>
              <w:rPr>
                <w:b/>
                <w:spacing w:val="-10"/>
                <w:sz w:val="18"/>
              </w:rPr>
              <w:t>¢</w:t>
            </w:r>
          </w:p>
        </w:tc>
        <w:tc>
          <w:tcPr>
            <w:tcW w:w="1561" w:type="dxa"/>
            <w:shd w:val="clear" w:color="auto" w:fill="F1F1F1"/>
          </w:tcPr>
          <w:p>
            <w:pPr>
              <w:pStyle w:val="TableParagraph"/>
              <w:spacing w:before="195"/>
              <w:ind w:left="257" w:firstLine="312"/>
              <w:rPr>
                <w:b/>
                <w:sz w:val="18"/>
              </w:rPr>
            </w:pPr>
            <w:r>
              <w:rPr>
                <w:b/>
                <w:spacing w:val="-4"/>
                <w:sz w:val="18"/>
              </w:rPr>
              <w:t>Meta </w:t>
            </w:r>
            <w:r>
              <w:rPr>
                <w:b/>
                <w:spacing w:val="-2"/>
                <w:sz w:val="18"/>
              </w:rPr>
              <w:t>programada</w:t>
            </w:r>
          </w:p>
        </w:tc>
        <w:tc>
          <w:tcPr>
            <w:tcW w:w="994" w:type="dxa"/>
            <w:shd w:val="clear" w:color="auto" w:fill="F1F1F1"/>
          </w:tcPr>
          <w:p>
            <w:pPr>
              <w:pStyle w:val="TableParagraph"/>
              <w:spacing w:before="89"/>
              <w:rPr>
                <w:b/>
                <w:sz w:val="18"/>
              </w:rPr>
            </w:pPr>
          </w:p>
          <w:p>
            <w:pPr>
              <w:pStyle w:val="TableParagraph"/>
              <w:ind w:left="5"/>
              <w:jc w:val="center"/>
              <w:rPr>
                <w:b/>
                <w:sz w:val="18"/>
              </w:rPr>
            </w:pPr>
            <w:r>
              <w:rPr>
                <w:b/>
                <w:spacing w:val="-10"/>
                <w:sz w:val="18"/>
              </w:rPr>
              <w:t>¢</w:t>
            </w:r>
          </w:p>
        </w:tc>
        <w:tc>
          <w:tcPr>
            <w:tcW w:w="1421" w:type="dxa"/>
            <w:shd w:val="clear" w:color="auto" w:fill="F1F1F1"/>
          </w:tcPr>
          <w:p>
            <w:pPr>
              <w:pStyle w:val="TableParagraph"/>
              <w:spacing w:before="195"/>
              <w:ind w:left="184" w:firstLine="316"/>
              <w:rPr>
                <w:b/>
                <w:sz w:val="18"/>
              </w:rPr>
            </w:pPr>
            <w:r>
              <w:rPr>
                <w:b/>
                <w:spacing w:val="-4"/>
                <w:sz w:val="18"/>
              </w:rPr>
              <w:t>Meta </w:t>
            </w:r>
            <w:r>
              <w:rPr>
                <w:b/>
                <w:spacing w:val="-2"/>
                <w:sz w:val="18"/>
              </w:rPr>
              <w:t>programada</w:t>
            </w:r>
          </w:p>
        </w:tc>
        <w:tc>
          <w:tcPr>
            <w:tcW w:w="1129" w:type="dxa"/>
            <w:shd w:val="clear" w:color="auto" w:fill="F1F1F1"/>
          </w:tcPr>
          <w:p>
            <w:pPr>
              <w:pStyle w:val="TableParagraph"/>
              <w:spacing w:before="89"/>
              <w:rPr>
                <w:b/>
                <w:sz w:val="18"/>
              </w:rPr>
            </w:pPr>
          </w:p>
          <w:p>
            <w:pPr>
              <w:pStyle w:val="TableParagraph"/>
              <w:ind w:right="1"/>
              <w:jc w:val="center"/>
              <w:rPr>
                <w:b/>
                <w:sz w:val="18"/>
              </w:rPr>
            </w:pPr>
            <w:r>
              <w:rPr>
                <w:b/>
                <w:spacing w:val="-10"/>
                <w:sz w:val="18"/>
              </w:rPr>
              <w:t>¢</w:t>
            </w:r>
          </w:p>
        </w:tc>
      </w:tr>
      <w:tr>
        <w:trPr>
          <w:trHeight w:val="585" w:hRule="atLeast"/>
        </w:trPr>
        <w:tc>
          <w:tcPr>
            <w:tcW w:w="14460" w:type="dxa"/>
            <w:gridSpan w:val="10"/>
            <w:shd w:val="clear" w:color="auto" w:fill="F1F1F1"/>
          </w:tcPr>
          <w:p>
            <w:pPr>
              <w:pStyle w:val="TableParagraph"/>
              <w:spacing w:before="85"/>
              <w:ind w:left="72" w:right="183"/>
              <w:rPr>
                <w:b/>
                <w:sz w:val="18"/>
              </w:rPr>
            </w:pPr>
            <w:r>
              <w:rPr>
                <w:b/>
                <w:sz w:val="18"/>
              </w:rPr>
              <w:t>Efecto:</w:t>
            </w:r>
            <w:r>
              <w:rPr>
                <w:b/>
                <w:spacing w:val="-1"/>
                <w:sz w:val="18"/>
              </w:rPr>
              <w:t> </w:t>
            </w:r>
            <w:r>
              <w:rPr>
                <w:b/>
                <w:sz w:val="18"/>
              </w:rPr>
              <w:t>Gestión</w:t>
            </w:r>
            <w:r>
              <w:rPr>
                <w:b/>
                <w:spacing w:val="-4"/>
                <w:sz w:val="18"/>
              </w:rPr>
              <w:t> </w:t>
            </w:r>
            <w:r>
              <w:rPr>
                <w:b/>
                <w:sz w:val="18"/>
              </w:rPr>
              <w:t>administrativa,</w:t>
            </w:r>
            <w:r>
              <w:rPr>
                <w:b/>
                <w:spacing w:val="-1"/>
                <w:sz w:val="18"/>
              </w:rPr>
              <w:t> </w:t>
            </w:r>
            <w:r>
              <w:rPr>
                <w:b/>
                <w:sz w:val="18"/>
              </w:rPr>
              <w:t>financiera,</w:t>
            </w:r>
            <w:r>
              <w:rPr>
                <w:b/>
                <w:spacing w:val="-1"/>
                <w:sz w:val="18"/>
              </w:rPr>
              <w:t> </w:t>
            </w:r>
            <w:r>
              <w:rPr>
                <w:b/>
                <w:sz w:val="18"/>
              </w:rPr>
              <w:t>tecnológica</w:t>
            </w:r>
            <w:r>
              <w:rPr>
                <w:b/>
                <w:spacing w:val="-3"/>
                <w:sz w:val="18"/>
              </w:rPr>
              <w:t> </w:t>
            </w:r>
            <w:r>
              <w:rPr>
                <w:b/>
                <w:sz w:val="18"/>
              </w:rPr>
              <w:t>y</w:t>
            </w:r>
            <w:r>
              <w:rPr>
                <w:b/>
                <w:spacing w:val="-3"/>
                <w:sz w:val="18"/>
              </w:rPr>
              <w:t> </w:t>
            </w:r>
            <w:r>
              <w:rPr>
                <w:b/>
                <w:sz w:val="18"/>
              </w:rPr>
              <w:t>asesora,</w:t>
            </w:r>
            <w:r>
              <w:rPr>
                <w:b/>
                <w:spacing w:val="-1"/>
                <w:sz w:val="18"/>
              </w:rPr>
              <w:t> </w:t>
            </w:r>
            <w:r>
              <w:rPr>
                <w:b/>
                <w:sz w:val="18"/>
              </w:rPr>
              <w:t>oportuna</w:t>
            </w:r>
            <w:r>
              <w:rPr>
                <w:b/>
                <w:spacing w:val="-3"/>
                <w:sz w:val="18"/>
              </w:rPr>
              <w:t> </w:t>
            </w:r>
            <w:r>
              <w:rPr>
                <w:b/>
                <w:sz w:val="18"/>
              </w:rPr>
              <w:t>para</w:t>
            </w:r>
            <w:r>
              <w:rPr>
                <w:b/>
                <w:spacing w:val="-3"/>
                <w:sz w:val="18"/>
              </w:rPr>
              <w:t> </w:t>
            </w:r>
            <w:r>
              <w:rPr>
                <w:b/>
                <w:sz w:val="18"/>
              </w:rPr>
              <w:t>coadyuvar</w:t>
            </w:r>
            <w:r>
              <w:rPr>
                <w:b/>
                <w:spacing w:val="-2"/>
                <w:sz w:val="18"/>
              </w:rPr>
              <w:t> </w:t>
            </w:r>
            <w:r>
              <w:rPr>
                <w:b/>
                <w:sz w:val="18"/>
              </w:rPr>
              <w:t>en</w:t>
            </w:r>
            <w:r>
              <w:rPr>
                <w:b/>
                <w:spacing w:val="-4"/>
                <w:sz w:val="18"/>
              </w:rPr>
              <w:t> </w:t>
            </w:r>
            <w:r>
              <w:rPr>
                <w:b/>
                <w:sz w:val="18"/>
              </w:rPr>
              <w:t>la ejecución</w:t>
            </w:r>
            <w:r>
              <w:rPr>
                <w:b/>
                <w:spacing w:val="-4"/>
                <w:sz w:val="18"/>
              </w:rPr>
              <w:t> </w:t>
            </w:r>
            <w:r>
              <w:rPr>
                <w:b/>
                <w:sz w:val="18"/>
              </w:rPr>
              <w:t>de</w:t>
            </w:r>
            <w:r>
              <w:rPr>
                <w:b/>
                <w:spacing w:val="-3"/>
                <w:sz w:val="18"/>
              </w:rPr>
              <w:t> </w:t>
            </w:r>
            <w:r>
              <w:rPr>
                <w:b/>
                <w:sz w:val="18"/>
              </w:rPr>
              <w:t>la</w:t>
            </w:r>
            <w:r>
              <w:rPr>
                <w:b/>
                <w:spacing w:val="-3"/>
                <w:sz w:val="18"/>
              </w:rPr>
              <w:t> </w:t>
            </w:r>
            <w:r>
              <w:rPr>
                <w:b/>
                <w:sz w:val="18"/>
              </w:rPr>
              <w:t>oferta programática</w:t>
            </w:r>
            <w:r>
              <w:rPr>
                <w:b/>
                <w:spacing w:val="-3"/>
                <w:sz w:val="18"/>
              </w:rPr>
              <w:t> </w:t>
            </w:r>
            <w:r>
              <w:rPr>
                <w:b/>
                <w:sz w:val="18"/>
              </w:rPr>
              <w:t>institucionalización</w:t>
            </w:r>
            <w:r>
              <w:rPr>
                <w:b/>
                <w:spacing w:val="-4"/>
                <w:sz w:val="18"/>
              </w:rPr>
              <w:t> </w:t>
            </w:r>
            <w:r>
              <w:rPr>
                <w:b/>
                <w:sz w:val="18"/>
              </w:rPr>
              <w:t>dirigida a</w:t>
            </w:r>
            <w:r>
              <w:rPr>
                <w:b/>
                <w:spacing w:val="-8"/>
                <w:sz w:val="18"/>
              </w:rPr>
              <w:t> </w:t>
            </w:r>
            <w:r>
              <w:rPr>
                <w:b/>
                <w:sz w:val="18"/>
              </w:rPr>
              <w:t>la población en situación de pobreza extrema y pobreza.</w:t>
            </w:r>
          </w:p>
        </w:tc>
      </w:tr>
      <w:tr>
        <w:trPr>
          <w:trHeight w:val="623" w:hRule="atLeast"/>
        </w:trPr>
        <w:tc>
          <w:tcPr>
            <w:tcW w:w="14460" w:type="dxa"/>
            <w:gridSpan w:val="10"/>
            <w:shd w:val="clear" w:color="auto" w:fill="EFF8F9"/>
          </w:tcPr>
          <w:p>
            <w:pPr>
              <w:pStyle w:val="TableParagraph"/>
              <w:spacing w:line="206" w:lineRule="exact"/>
              <w:ind w:left="72"/>
              <w:rPr>
                <w:b/>
                <w:sz w:val="18"/>
              </w:rPr>
            </w:pPr>
            <w:r>
              <w:rPr>
                <w:b/>
                <w:sz w:val="18"/>
              </w:rPr>
              <w:t>Producto</w:t>
            </w:r>
            <w:r>
              <w:rPr>
                <w:b/>
                <w:spacing w:val="-7"/>
                <w:sz w:val="18"/>
              </w:rPr>
              <w:t> </w:t>
            </w:r>
            <w:r>
              <w:rPr>
                <w:b/>
                <w:sz w:val="18"/>
              </w:rPr>
              <w:t>PAC</w:t>
            </w:r>
            <w:r>
              <w:rPr>
                <w:b/>
                <w:spacing w:val="-7"/>
                <w:sz w:val="18"/>
              </w:rPr>
              <w:t> </w:t>
            </w:r>
            <w:r>
              <w:rPr>
                <w:b/>
                <w:sz w:val="18"/>
              </w:rPr>
              <w:t>2.58:</w:t>
            </w:r>
            <w:r>
              <w:rPr>
                <w:b/>
                <w:spacing w:val="46"/>
                <w:sz w:val="18"/>
              </w:rPr>
              <w:t> </w:t>
            </w:r>
            <w:r>
              <w:rPr>
                <w:b/>
                <w:sz w:val="18"/>
              </w:rPr>
              <w:t>Población</w:t>
            </w:r>
            <w:r>
              <w:rPr>
                <w:b/>
                <w:spacing w:val="-6"/>
                <w:sz w:val="18"/>
              </w:rPr>
              <w:t> </w:t>
            </w:r>
            <w:r>
              <w:rPr>
                <w:b/>
                <w:sz w:val="18"/>
              </w:rPr>
              <w:t>informada</w:t>
            </w:r>
            <w:r>
              <w:rPr>
                <w:b/>
                <w:spacing w:val="-6"/>
                <w:sz w:val="18"/>
              </w:rPr>
              <w:t> </w:t>
            </w:r>
            <w:r>
              <w:rPr>
                <w:b/>
                <w:sz w:val="18"/>
              </w:rPr>
              <w:t>sobre</w:t>
            </w:r>
            <w:r>
              <w:rPr>
                <w:b/>
                <w:spacing w:val="-5"/>
                <w:sz w:val="18"/>
              </w:rPr>
              <w:t> </w:t>
            </w:r>
            <w:r>
              <w:rPr>
                <w:b/>
                <w:sz w:val="18"/>
              </w:rPr>
              <w:t>los</w:t>
            </w:r>
            <w:r>
              <w:rPr>
                <w:b/>
                <w:spacing w:val="-6"/>
                <w:sz w:val="18"/>
              </w:rPr>
              <w:t> </w:t>
            </w:r>
            <w:r>
              <w:rPr>
                <w:b/>
                <w:sz w:val="18"/>
              </w:rPr>
              <w:t>derechos</w:t>
            </w:r>
            <w:r>
              <w:rPr>
                <w:b/>
                <w:spacing w:val="-1"/>
                <w:sz w:val="18"/>
              </w:rPr>
              <w:t> </w:t>
            </w:r>
            <w:r>
              <w:rPr>
                <w:b/>
                <w:sz w:val="18"/>
              </w:rPr>
              <w:t>y</w:t>
            </w:r>
            <w:r>
              <w:rPr>
                <w:b/>
                <w:spacing w:val="-5"/>
                <w:sz w:val="18"/>
              </w:rPr>
              <w:t> </w:t>
            </w:r>
            <w:r>
              <w:rPr>
                <w:b/>
                <w:sz w:val="18"/>
              </w:rPr>
              <w:t>deberes</w:t>
            </w:r>
            <w:r>
              <w:rPr>
                <w:b/>
                <w:spacing w:val="-6"/>
                <w:sz w:val="18"/>
              </w:rPr>
              <w:t> </w:t>
            </w:r>
            <w:r>
              <w:rPr>
                <w:b/>
                <w:sz w:val="18"/>
              </w:rPr>
              <w:t>que</w:t>
            </w:r>
            <w:r>
              <w:rPr>
                <w:b/>
                <w:spacing w:val="-5"/>
                <w:sz w:val="18"/>
              </w:rPr>
              <w:t> </w:t>
            </w:r>
            <w:r>
              <w:rPr>
                <w:b/>
                <w:sz w:val="18"/>
              </w:rPr>
              <w:t>tiene</w:t>
            </w:r>
            <w:r>
              <w:rPr>
                <w:b/>
                <w:spacing w:val="-6"/>
                <w:sz w:val="18"/>
              </w:rPr>
              <w:t> </w:t>
            </w:r>
            <w:r>
              <w:rPr>
                <w:b/>
                <w:sz w:val="18"/>
              </w:rPr>
              <w:t>como</w:t>
            </w:r>
            <w:r>
              <w:rPr>
                <w:b/>
                <w:spacing w:val="-1"/>
                <w:sz w:val="18"/>
              </w:rPr>
              <w:t> </w:t>
            </w:r>
            <w:r>
              <w:rPr>
                <w:b/>
                <w:sz w:val="18"/>
              </w:rPr>
              <w:t>personas</w:t>
            </w:r>
            <w:r>
              <w:rPr>
                <w:b/>
                <w:spacing w:val="-6"/>
                <w:sz w:val="18"/>
              </w:rPr>
              <w:t> </w:t>
            </w:r>
            <w:r>
              <w:rPr>
                <w:b/>
                <w:sz w:val="18"/>
              </w:rPr>
              <w:t>usuarias</w:t>
            </w:r>
            <w:r>
              <w:rPr>
                <w:b/>
                <w:spacing w:val="-1"/>
                <w:sz w:val="18"/>
              </w:rPr>
              <w:t> </w:t>
            </w:r>
            <w:r>
              <w:rPr>
                <w:b/>
                <w:sz w:val="18"/>
              </w:rPr>
              <w:t>de</w:t>
            </w:r>
            <w:r>
              <w:rPr>
                <w:b/>
                <w:spacing w:val="-5"/>
                <w:sz w:val="18"/>
              </w:rPr>
              <w:t> </w:t>
            </w:r>
            <w:r>
              <w:rPr>
                <w:b/>
                <w:sz w:val="18"/>
              </w:rPr>
              <w:t>los</w:t>
            </w:r>
            <w:r>
              <w:rPr>
                <w:b/>
                <w:spacing w:val="-6"/>
                <w:sz w:val="18"/>
              </w:rPr>
              <w:t> </w:t>
            </w:r>
            <w:r>
              <w:rPr>
                <w:b/>
                <w:sz w:val="18"/>
              </w:rPr>
              <w:t>servicios</w:t>
            </w:r>
            <w:r>
              <w:rPr>
                <w:b/>
                <w:spacing w:val="-5"/>
                <w:sz w:val="18"/>
              </w:rPr>
              <w:t> </w:t>
            </w:r>
            <w:r>
              <w:rPr>
                <w:b/>
                <w:sz w:val="18"/>
              </w:rPr>
              <w:t>que</w:t>
            </w:r>
            <w:r>
              <w:rPr>
                <w:b/>
                <w:spacing w:val="-6"/>
                <w:sz w:val="18"/>
              </w:rPr>
              <w:t> </w:t>
            </w:r>
            <w:r>
              <w:rPr>
                <w:b/>
                <w:sz w:val="18"/>
              </w:rPr>
              <w:t>presta</w:t>
            </w:r>
            <w:r>
              <w:rPr>
                <w:b/>
                <w:spacing w:val="-5"/>
                <w:sz w:val="18"/>
              </w:rPr>
              <w:t> </w:t>
            </w:r>
            <w:r>
              <w:rPr>
                <w:b/>
                <w:sz w:val="18"/>
              </w:rPr>
              <w:t>el</w:t>
            </w:r>
            <w:r>
              <w:rPr>
                <w:b/>
                <w:spacing w:val="-3"/>
                <w:sz w:val="18"/>
              </w:rPr>
              <w:t> </w:t>
            </w:r>
            <w:r>
              <w:rPr>
                <w:b/>
                <w:sz w:val="18"/>
              </w:rPr>
              <w:t>IMAS,</w:t>
            </w:r>
            <w:r>
              <w:rPr>
                <w:b/>
                <w:spacing w:val="1"/>
                <w:sz w:val="18"/>
              </w:rPr>
              <w:t> </w:t>
            </w:r>
            <w:r>
              <w:rPr>
                <w:b/>
                <w:sz w:val="18"/>
              </w:rPr>
              <w:t>y</w:t>
            </w:r>
            <w:r>
              <w:rPr>
                <w:b/>
                <w:spacing w:val="-5"/>
                <w:sz w:val="18"/>
              </w:rPr>
              <w:t> </w:t>
            </w:r>
            <w:r>
              <w:rPr>
                <w:b/>
                <w:sz w:val="18"/>
              </w:rPr>
              <w:t>del</w:t>
            </w:r>
            <w:r>
              <w:rPr>
                <w:b/>
                <w:spacing w:val="-4"/>
                <w:sz w:val="18"/>
              </w:rPr>
              <w:t> </w:t>
            </w:r>
            <w:r>
              <w:rPr>
                <w:b/>
                <w:sz w:val="18"/>
              </w:rPr>
              <w:t>rol</w:t>
            </w:r>
            <w:r>
              <w:rPr>
                <w:b/>
                <w:spacing w:val="1"/>
                <w:sz w:val="18"/>
              </w:rPr>
              <w:t> </w:t>
            </w:r>
            <w:r>
              <w:rPr>
                <w:b/>
                <w:sz w:val="18"/>
              </w:rPr>
              <w:t>de</w:t>
            </w:r>
            <w:r>
              <w:rPr>
                <w:b/>
                <w:spacing w:val="-10"/>
                <w:sz w:val="18"/>
              </w:rPr>
              <w:t> </w:t>
            </w:r>
            <w:r>
              <w:rPr>
                <w:b/>
                <w:spacing w:val="-5"/>
                <w:sz w:val="18"/>
              </w:rPr>
              <w:t>la</w:t>
            </w:r>
          </w:p>
          <w:p>
            <w:pPr>
              <w:pStyle w:val="TableParagraph"/>
              <w:spacing w:line="200" w:lineRule="atLeast"/>
              <w:ind w:left="72"/>
              <w:rPr>
                <w:b/>
                <w:sz w:val="18"/>
              </w:rPr>
            </w:pPr>
            <w:r>
              <w:rPr>
                <w:b/>
                <w:sz w:val="18"/>
              </w:rPr>
              <w:t>Contraloría</w:t>
            </w:r>
            <w:r>
              <w:rPr>
                <w:b/>
                <w:spacing w:val="-4"/>
                <w:sz w:val="18"/>
              </w:rPr>
              <w:t> </w:t>
            </w:r>
            <w:r>
              <w:rPr>
                <w:b/>
                <w:sz w:val="18"/>
              </w:rPr>
              <w:t>de Servicios a</w:t>
            </w:r>
            <w:r>
              <w:rPr>
                <w:b/>
                <w:spacing w:val="-4"/>
                <w:sz w:val="18"/>
              </w:rPr>
              <w:t> </w:t>
            </w:r>
            <w:r>
              <w:rPr>
                <w:b/>
                <w:sz w:val="18"/>
              </w:rPr>
              <w:t>través</w:t>
            </w:r>
            <w:r>
              <w:rPr>
                <w:b/>
                <w:spacing w:val="-4"/>
                <w:sz w:val="18"/>
              </w:rPr>
              <w:t> </w:t>
            </w:r>
            <w:r>
              <w:rPr>
                <w:b/>
                <w:sz w:val="18"/>
              </w:rPr>
              <w:t>de</w:t>
            </w:r>
            <w:r>
              <w:rPr>
                <w:b/>
                <w:spacing w:val="-4"/>
                <w:sz w:val="18"/>
              </w:rPr>
              <w:t> </w:t>
            </w:r>
            <w:r>
              <w:rPr>
                <w:b/>
                <w:sz w:val="18"/>
              </w:rPr>
              <w:t>encuestas o</w:t>
            </w:r>
            <w:r>
              <w:rPr>
                <w:b/>
                <w:spacing w:val="-5"/>
                <w:sz w:val="18"/>
              </w:rPr>
              <w:t> </w:t>
            </w:r>
            <w:r>
              <w:rPr>
                <w:b/>
                <w:sz w:val="18"/>
              </w:rPr>
              <w:t>ferias ciudadanas</w:t>
            </w:r>
            <w:r>
              <w:rPr>
                <w:b/>
                <w:spacing w:val="-4"/>
                <w:sz w:val="18"/>
              </w:rPr>
              <w:t> </w:t>
            </w:r>
            <w:r>
              <w:rPr>
                <w:b/>
                <w:sz w:val="18"/>
              </w:rPr>
              <w:t>y cualquier herramienta que</w:t>
            </w:r>
            <w:r>
              <w:rPr>
                <w:b/>
                <w:spacing w:val="-4"/>
                <w:sz w:val="18"/>
              </w:rPr>
              <w:t> </w:t>
            </w:r>
            <w:r>
              <w:rPr>
                <w:b/>
                <w:sz w:val="18"/>
              </w:rPr>
              <w:t>permita conocer</w:t>
            </w:r>
            <w:r>
              <w:rPr>
                <w:b/>
                <w:spacing w:val="-7"/>
                <w:sz w:val="18"/>
              </w:rPr>
              <w:t> </w:t>
            </w:r>
            <w:r>
              <w:rPr>
                <w:b/>
                <w:sz w:val="18"/>
              </w:rPr>
              <w:t>la percepción de</w:t>
            </w:r>
            <w:r>
              <w:rPr>
                <w:b/>
                <w:spacing w:val="-4"/>
                <w:sz w:val="18"/>
              </w:rPr>
              <w:t> </w:t>
            </w:r>
            <w:r>
              <w:rPr>
                <w:b/>
                <w:sz w:val="18"/>
              </w:rPr>
              <w:t>las</w:t>
            </w:r>
            <w:r>
              <w:rPr>
                <w:b/>
                <w:spacing w:val="-4"/>
                <w:sz w:val="18"/>
              </w:rPr>
              <w:t> </w:t>
            </w:r>
            <w:r>
              <w:rPr>
                <w:b/>
                <w:sz w:val="18"/>
              </w:rPr>
              <w:t>familias</w:t>
            </w:r>
            <w:r>
              <w:rPr>
                <w:b/>
                <w:spacing w:val="-4"/>
                <w:sz w:val="18"/>
              </w:rPr>
              <w:t> </w:t>
            </w:r>
            <w:r>
              <w:rPr>
                <w:b/>
                <w:sz w:val="18"/>
              </w:rPr>
              <w:t>beneficiarias en</w:t>
            </w:r>
            <w:r>
              <w:rPr>
                <w:b/>
                <w:spacing w:val="-5"/>
                <w:sz w:val="18"/>
              </w:rPr>
              <w:t> </w:t>
            </w:r>
            <w:r>
              <w:rPr>
                <w:b/>
                <w:sz w:val="18"/>
              </w:rPr>
              <w:t>relación con los servicios que reciben.</w:t>
            </w:r>
          </w:p>
        </w:tc>
      </w:tr>
      <w:tr>
        <w:trPr>
          <w:trHeight w:val="1656" w:hRule="atLeast"/>
        </w:trPr>
        <w:tc>
          <w:tcPr>
            <w:tcW w:w="2113" w:type="dxa"/>
          </w:tcPr>
          <w:p>
            <w:pPr>
              <w:pStyle w:val="TableParagraph"/>
              <w:spacing w:before="205"/>
              <w:ind w:left="72"/>
              <w:rPr>
                <w:sz w:val="18"/>
              </w:rPr>
            </w:pPr>
            <w:r>
              <w:rPr>
                <w:b/>
                <w:sz w:val="18"/>
              </w:rPr>
              <w:t>Actividad</w:t>
            </w:r>
            <w:r>
              <w:rPr>
                <w:b/>
                <w:spacing w:val="-15"/>
                <w:sz w:val="18"/>
              </w:rPr>
              <w:t> </w:t>
            </w:r>
            <w:r>
              <w:rPr>
                <w:b/>
                <w:sz w:val="18"/>
              </w:rPr>
              <w:t>PAC</w:t>
            </w:r>
            <w:r>
              <w:rPr>
                <w:b/>
                <w:spacing w:val="-12"/>
                <w:sz w:val="18"/>
              </w:rPr>
              <w:t> </w:t>
            </w:r>
            <w:r>
              <w:rPr>
                <w:b/>
                <w:sz w:val="18"/>
              </w:rPr>
              <w:t>2.58.1: </w:t>
            </w:r>
            <w:r>
              <w:rPr>
                <w:sz w:val="18"/>
              </w:rPr>
              <w:t>Respuestas a las Gestiones ciudadanas que formaliza la Contraloría ante las ARDS o ULDS</w:t>
            </w:r>
          </w:p>
        </w:tc>
        <w:tc>
          <w:tcPr>
            <w:tcW w:w="1426" w:type="dxa"/>
          </w:tcPr>
          <w:p>
            <w:pPr>
              <w:pStyle w:val="TableParagraph"/>
              <w:ind w:left="71" w:right="187"/>
              <w:rPr>
                <w:sz w:val="18"/>
              </w:rPr>
            </w:pPr>
            <w:r>
              <w:rPr>
                <w:sz w:val="18"/>
              </w:rPr>
              <w:t>Porcentaje</w:t>
            </w:r>
            <w:r>
              <w:rPr>
                <w:spacing w:val="-10"/>
                <w:sz w:val="18"/>
              </w:rPr>
              <w:t> </w:t>
            </w:r>
            <w:r>
              <w:rPr>
                <w:sz w:val="18"/>
              </w:rPr>
              <w:t>de </w:t>
            </w:r>
            <w:r>
              <w:rPr>
                <w:spacing w:val="-2"/>
                <w:sz w:val="18"/>
              </w:rPr>
              <w:t>Gestiones Ciudadanas </w:t>
            </w:r>
            <w:r>
              <w:rPr>
                <w:sz w:val="18"/>
              </w:rPr>
              <w:t>con</w:t>
            </w:r>
            <w:r>
              <w:rPr>
                <w:spacing w:val="-13"/>
                <w:sz w:val="18"/>
              </w:rPr>
              <w:t> </w:t>
            </w:r>
            <w:r>
              <w:rPr>
                <w:sz w:val="18"/>
              </w:rPr>
              <w:t>respuesta en Informe remitido a las </w:t>
            </w:r>
            <w:r>
              <w:rPr>
                <w:spacing w:val="-2"/>
                <w:sz w:val="18"/>
              </w:rPr>
              <w:t>personas</w:t>
            </w:r>
          </w:p>
          <w:p>
            <w:pPr>
              <w:pStyle w:val="TableParagraph"/>
              <w:spacing w:line="187" w:lineRule="exact"/>
              <w:ind w:left="71"/>
              <w:rPr>
                <w:sz w:val="18"/>
              </w:rPr>
            </w:pPr>
            <w:r>
              <w:rPr>
                <w:spacing w:val="-2"/>
                <w:sz w:val="18"/>
              </w:rPr>
              <w:t>competentes</w:t>
            </w:r>
          </w:p>
        </w:tc>
        <w:tc>
          <w:tcPr>
            <w:tcW w:w="1705"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3" w:right="2"/>
              <w:jc w:val="center"/>
              <w:rPr>
                <w:sz w:val="18"/>
              </w:rPr>
            </w:pPr>
            <w:r>
              <w:rPr>
                <w:spacing w:val="-5"/>
                <w:sz w:val="18"/>
              </w:rPr>
              <w:t>95%</w:t>
            </w:r>
          </w:p>
        </w:tc>
        <w:tc>
          <w:tcPr>
            <w:tcW w:w="1277"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 w:right="8"/>
              <w:jc w:val="center"/>
              <w:rPr>
                <w:sz w:val="18"/>
              </w:rPr>
            </w:pPr>
            <w:r>
              <w:rPr>
                <w:spacing w:val="-5"/>
                <w:sz w:val="18"/>
              </w:rPr>
              <w:t>95%</w:t>
            </w:r>
          </w:p>
        </w:tc>
        <w:tc>
          <w:tcPr>
            <w:tcW w:w="1417" w:type="dxa"/>
          </w:tcPr>
          <w:p>
            <w:pPr>
              <w:pStyle w:val="TableParagraph"/>
              <w:rPr>
                <w:rFonts w:ascii="Times New Roman"/>
                <w:sz w:val="18"/>
              </w:rPr>
            </w:pPr>
          </w:p>
        </w:tc>
        <w:tc>
          <w:tcPr>
            <w:tcW w:w="156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9" w:right="91"/>
              <w:jc w:val="center"/>
              <w:rPr>
                <w:sz w:val="18"/>
              </w:rPr>
            </w:pPr>
            <w:r>
              <w:rPr>
                <w:spacing w:val="-5"/>
                <w:sz w:val="18"/>
              </w:rPr>
              <w:t>95%</w:t>
            </w:r>
          </w:p>
        </w:tc>
        <w:tc>
          <w:tcPr>
            <w:tcW w:w="994"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
              <w:jc w:val="center"/>
              <w:rPr>
                <w:sz w:val="18"/>
              </w:rPr>
            </w:pPr>
            <w:r>
              <w:rPr>
                <w:spacing w:val="-5"/>
                <w:sz w:val="18"/>
              </w:rPr>
              <w:t>95%</w:t>
            </w:r>
          </w:p>
        </w:tc>
        <w:tc>
          <w:tcPr>
            <w:tcW w:w="1129" w:type="dxa"/>
          </w:tcPr>
          <w:p>
            <w:pPr>
              <w:pStyle w:val="TableParagraph"/>
              <w:rPr>
                <w:rFonts w:ascii="Times New Roman"/>
                <w:sz w:val="18"/>
              </w:rPr>
            </w:pPr>
          </w:p>
        </w:tc>
      </w:tr>
      <w:tr>
        <w:trPr>
          <w:trHeight w:val="1449" w:hRule="atLeast"/>
        </w:trPr>
        <w:tc>
          <w:tcPr>
            <w:tcW w:w="2113" w:type="dxa"/>
          </w:tcPr>
          <w:p>
            <w:pPr>
              <w:pStyle w:val="TableParagraph"/>
              <w:ind w:left="72" w:right="82"/>
              <w:rPr>
                <w:sz w:val="18"/>
              </w:rPr>
            </w:pPr>
            <w:r>
              <w:rPr>
                <w:b/>
                <w:sz w:val="18"/>
              </w:rPr>
              <w:t>Actividad</w:t>
            </w:r>
            <w:r>
              <w:rPr>
                <w:b/>
                <w:spacing w:val="-15"/>
                <w:sz w:val="18"/>
              </w:rPr>
              <w:t> </w:t>
            </w:r>
            <w:r>
              <w:rPr>
                <w:b/>
                <w:sz w:val="18"/>
              </w:rPr>
              <w:t>PAC</w:t>
            </w:r>
            <w:r>
              <w:rPr>
                <w:b/>
                <w:spacing w:val="-12"/>
                <w:sz w:val="18"/>
              </w:rPr>
              <w:t> </w:t>
            </w:r>
            <w:r>
              <w:rPr>
                <w:b/>
                <w:sz w:val="18"/>
              </w:rPr>
              <w:t>2.58.2: </w:t>
            </w:r>
            <w:r>
              <w:rPr>
                <w:sz w:val="18"/>
              </w:rPr>
              <w:t>Respuestas a las notificaciones de </w:t>
            </w:r>
            <w:r>
              <w:rPr>
                <w:spacing w:val="-2"/>
                <w:sz w:val="18"/>
              </w:rPr>
              <w:t>admisibilidad </w:t>
            </w:r>
            <w:r>
              <w:rPr>
                <w:sz w:val="18"/>
              </w:rPr>
              <w:t>formalizadas por la Defensoría de los</w:t>
            </w:r>
          </w:p>
          <w:p>
            <w:pPr>
              <w:pStyle w:val="TableParagraph"/>
              <w:spacing w:line="187" w:lineRule="exact"/>
              <w:ind w:left="72"/>
              <w:rPr>
                <w:sz w:val="18"/>
              </w:rPr>
            </w:pPr>
            <w:r>
              <w:rPr>
                <w:spacing w:val="-2"/>
                <w:sz w:val="18"/>
              </w:rPr>
              <w:t>Habitantes</w:t>
            </w:r>
          </w:p>
        </w:tc>
        <w:tc>
          <w:tcPr>
            <w:tcW w:w="1426" w:type="dxa"/>
          </w:tcPr>
          <w:p>
            <w:pPr>
              <w:pStyle w:val="TableParagraph"/>
              <w:spacing w:before="205"/>
              <w:ind w:left="71" w:right="187"/>
              <w:rPr>
                <w:sz w:val="18"/>
              </w:rPr>
            </w:pPr>
            <w:r>
              <w:rPr>
                <w:sz w:val="18"/>
              </w:rPr>
              <w:t>Porcentaje</w:t>
            </w:r>
            <w:r>
              <w:rPr>
                <w:spacing w:val="-10"/>
                <w:sz w:val="18"/>
              </w:rPr>
              <w:t> </w:t>
            </w:r>
            <w:r>
              <w:rPr>
                <w:sz w:val="18"/>
              </w:rPr>
              <w:t>de </w:t>
            </w:r>
            <w:r>
              <w:rPr>
                <w:spacing w:val="-2"/>
                <w:sz w:val="18"/>
              </w:rPr>
              <w:t>notificaciones </w:t>
            </w:r>
            <w:r>
              <w:rPr>
                <w:spacing w:val="-6"/>
                <w:sz w:val="18"/>
              </w:rPr>
              <w:t>de </w:t>
            </w:r>
            <w:r>
              <w:rPr>
                <w:spacing w:val="-2"/>
                <w:sz w:val="18"/>
              </w:rPr>
              <w:t>admisibilidad </w:t>
            </w:r>
            <w:r>
              <w:rPr>
                <w:sz w:val="18"/>
              </w:rPr>
              <w:t>con</w:t>
            </w:r>
            <w:r>
              <w:rPr>
                <w:spacing w:val="-13"/>
                <w:sz w:val="18"/>
              </w:rPr>
              <w:t> </w:t>
            </w:r>
            <w:r>
              <w:rPr>
                <w:sz w:val="18"/>
              </w:rPr>
              <w:t>respuesta</w:t>
            </w:r>
          </w:p>
        </w:tc>
        <w:tc>
          <w:tcPr>
            <w:tcW w:w="1705" w:type="dxa"/>
          </w:tcPr>
          <w:p>
            <w:pPr>
              <w:pStyle w:val="TableParagraph"/>
              <w:rPr>
                <w:b/>
                <w:sz w:val="18"/>
              </w:rPr>
            </w:pPr>
          </w:p>
          <w:p>
            <w:pPr>
              <w:pStyle w:val="TableParagraph"/>
              <w:spacing w:before="204"/>
              <w:rPr>
                <w:b/>
                <w:sz w:val="18"/>
              </w:rPr>
            </w:pPr>
          </w:p>
          <w:p>
            <w:pPr>
              <w:pStyle w:val="TableParagraph"/>
              <w:ind w:left="13" w:right="2"/>
              <w:jc w:val="center"/>
              <w:rPr>
                <w:sz w:val="18"/>
              </w:rPr>
            </w:pPr>
            <w:r>
              <w:rPr>
                <w:spacing w:val="-5"/>
                <w:sz w:val="18"/>
              </w:rPr>
              <w:t>95%</w:t>
            </w:r>
          </w:p>
        </w:tc>
        <w:tc>
          <w:tcPr>
            <w:tcW w:w="1277" w:type="dxa"/>
          </w:tcPr>
          <w:p>
            <w:pPr>
              <w:pStyle w:val="TableParagraph"/>
              <w:rPr>
                <w:rFonts w:ascii="Times New Roman"/>
                <w:sz w:val="18"/>
              </w:rPr>
            </w:pPr>
          </w:p>
        </w:tc>
        <w:tc>
          <w:tcPr>
            <w:tcW w:w="1417" w:type="dxa"/>
          </w:tcPr>
          <w:p>
            <w:pPr>
              <w:pStyle w:val="TableParagraph"/>
              <w:rPr>
                <w:b/>
                <w:sz w:val="18"/>
              </w:rPr>
            </w:pPr>
          </w:p>
          <w:p>
            <w:pPr>
              <w:pStyle w:val="TableParagraph"/>
              <w:spacing w:before="204"/>
              <w:rPr>
                <w:b/>
                <w:sz w:val="18"/>
              </w:rPr>
            </w:pPr>
          </w:p>
          <w:p>
            <w:pPr>
              <w:pStyle w:val="TableParagraph"/>
              <w:ind w:left="9" w:right="8"/>
              <w:jc w:val="center"/>
              <w:rPr>
                <w:sz w:val="18"/>
              </w:rPr>
            </w:pPr>
            <w:r>
              <w:rPr>
                <w:spacing w:val="-5"/>
                <w:sz w:val="18"/>
              </w:rPr>
              <w:t>95%</w:t>
            </w:r>
          </w:p>
        </w:tc>
        <w:tc>
          <w:tcPr>
            <w:tcW w:w="1417" w:type="dxa"/>
          </w:tcPr>
          <w:p>
            <w:pPr>
              <w:pStyle w:val="TableParagraph"/>
              <w:rPr>
                <w:rFonts w:ascii="Times New Roman"/>
                <w:sz w:val="18"/>
              </w:rPr>
            </w:pPr>
          </w:p>
        </w:tc>
        <w:tc>
          <w:tcPr>
            <w:tcW w:w="1561" w:type="dxa"/>
          </w:tcPr>
          <w:p>
            <w:pPr>
              <w:pStyle w:val="TableParagraph"/>
              <w:rPr>
                <w:b/>
                <w:sz w:val="18"/>
              </w:rPr>
            </w:pPr>
          </w:p>
          <w:p>
            <w:pPr>
              <w:pStyle w:val="TableParagraph"/>
              <w:spacing w:before="204"/>
              <w:rPr>
                <w:b/>
                <w:sz w:val="18"/>
              </w:rPr>
            </w:pPr>
          </w:p>
          <w:p>
            <w:pPr>
              <w:pStyle w:val="TableParagraph"/>
              <w:ind w:left="99" w:right="91"/>
              <w:jc w:val="center"/>
              <w:rPr>
                <w:sz w:val="18"/>
              </w:rPr>
            </w:pPr>
            <w:r>
              <w:rPr>
                <w:spacing w:val="-5"/>
                <w:sz w:val="18"/>
              </w:rPr>
              <w:t>95%</w:t>
            </w:r>
          </w:p>
        </w:tc>
        <w:tc>
          <w:tcPr>
            <w:tcW w:w="994" w:type="dxa"/>
          </w:tcPr>
          <w:p>
            <w:pPr>
              <w:pStyle w:val="TableParagraph"/>
              <w:rPr>
                <w:rFonts w:ascii="Times New Roman"/>
                <w:sz w:val="18"/>
              </w:rPr>
            </w:pPr>
          </w:p>
        </w:tc>
        <w:tc>
          <w:tcPr>
            <w:tcW w:w="1421" w:type="dxa"/>
          </w:tcPr>
          <w:p>
            <w:pPr>
              <w:pStyle w:val="TableParagraph"/>
              <w:rPr>
                <w:b/>
                <w:sz w:val="18"/>
              </w:rPr>
            </w:pPr>
          </w:p>
          <w:p>
            <w:pPr>
              <w:pStyle w:val="TableParagraph"/>
              <w:spacing w:before="204"/>
              <w:rPr>
                <w:b/>
                <w:sz w:val="18"/>
              </w:rPr>
            </w:pPr>
          </w:p>
          <w:p>
            <w:pPr>
              <w:pStyle w:val="TableParagraph"/>
              <w:ind w:left="3"/>
              <w:jc w:val="center"/>
              <w:rPr>
                <w:sz w:val="18"/>
              </w:rPr>
            </w:pPr>
            <w:r>
              <w:rPr>
                <w:spacing w:val="-5"/>
                <w:sz w:val="18"/>
              </w:rPr>
              <w:t>95%</w:t>
            </w:r>
          </w:p>
        </w:tc>
        <w:tc>
          <w:tcPr>
            <w:tcW w:w="1129" w:type="dxa"/>
          </w:tcPr>
          <w:p>
            <w:pPr>
              <w:pStyle w:val="TableParagraph"/>
              <w:rPr>
                <w:rFonts w:ascii="Times New Roman"/>
                <w:sz w:val="18"/>
              </w:rPr>
            </w:pPr>
          </w:p>
        </w:tc>
      </w:tr>
      <w:tr>
        <w:trPr>
          <w:trHeight w:val="3519" w:hRule="atLeast"/>
        </w:trPr>
        <w:tc>
          <w:tcPr>
            <w:tcW w:w="2113" w:type="dxa"/>
          </w:tcPr>
          <w:p>
            <w:pPr>
              <w:pStyle w:val="TableParagraph"/>
              <w:spacing w:before="104"/>
              <w:rPr>
                <w:b/>
                <w:sz w:val="18"/>
              </w:rPr>
            </w:pPr>
          </w:p>
          <w:p>
            <w:pPr>
              <w:pStyle w:val="TableParagraph"/>
              <w:ind w:left="72" w:right="82"/>
              <w:rPr>
                <w:sz w:val="18"/>
              </w:rPr>
            </w:pPr>
            <w:r>
              <w:rPr>
                <w:b/>
                <w:sz w:val="18"/>
              </w:rPr>
              <w:t>Actividad PAC 2.58.3: </w:t>
            </w:r>
            <w:r>
              <w:rPr>
                <w:sz w:val="18"/>
              </w:rPr>
              <w:t>Registro y atención de las denuncias y quejas con</w:t>
            </w:r>
            <w:r>
              <w:rPr>
                <w:spacing w:val="-9"/>
                <w:sz w:val="18"/>
              </w:rPr>
              <w:t> </w:t>
            </w:r>
            <w:r>
              <w:rPr>
                <w:sz w:val="18"/>
              </w:rPr>
              <w:t>resolución</w:t>
            </w:r>
            <w:r>
              <w:rPr>
                <w:spacing w:val="-9"/>
                <w:sz w:val="18"/>
              </w:rPr>
              <w:t> </w:t>
            </w:r>
            <w:r>
              <w:rPr>
                <w:sz w:val="18"/>
              </w:rPr>
              <w:t>de</w:t>
            </w:r>
            <w:r>
              <w:rPr>
                <w:spacing w:val="-9"/>
                <w:sz w:val="18"/>
              </w:rPr>
              <w:t> </w:t>
            </w:r>
            <w:r>
              <w:rPr>
                <w:sz w:val="18"/>
              </w:rPr>
              <w:t>casos de funcionarios/as públicos investigados por incumplimiento y/o revictimización a mujeres en situación</w:t>
            </w:r>
            <w:r>
              <w:rPr>
                <w:spacing w:val="-2"/>
                <w:sz w:val="18"/>
              </w:rPr>
              <w:t> </w:t>
            </w:r>
            <w:r>
              <w:rPr>
                <w:sz w:val="18"/>
              </w:rPr>
              <w:t>de violencia,</w:t>
            </w:r>
            <w:r>
              <w:rPr>
                <w:spacing w:val="-13"/>
                <w:sz w:val="18"/>
              </w:rPr>
              <w:t> </w:t>
            </w:r>
            <w:r>
              <w:rPr>
                <w:sz w:val="18"/>
              </w:rPr>
              <w:t>desagregados por sexo, motivo de denuncia, tipo de resolución, institución y </w:t>
            </w:r>
            <w:r>
              <w:rPr>
                <w:spacing w:val="-2"/>
                <w:sz w:val="18"/>
              </w:rPr>
              <w:t>cantón.</w:t>
            </w:r>
          </w:p>
        </w:tc>
        <w:tc>
          <w:tcPr>
            <w:tcW w:w="1426" w:type="dxa"/>
          </w:tcPr>
          <w:p>
            <w:pPr>
              <w:pStyle w:val="TableParagraph"/>
              <w:ind w:left="71" w:right="100"/>
              <w:rPr>
                <w:sz w:val="18"/>
              </w:rPr>
            </w:pPr>
            <w:r>
              <w:rPr>
                <w:sz w:val="18"/>
              </w:rPr>
              <w:t>Porcentaje de las</w:t>
            </w:r>
            <w:r>
              <w:rPr>
                <w:spacing w:val="-15"/>
                <w:sz w:val="18"/>
              </w:rPr>
              <w:t> </w:t>
            </w:r>
            <w:r>
              <w:rPr>
                <w:sz w:val="18"/>
              </w:rPr>
              <w:t>denuncias</w:t>
            </w:r>
            <w:r>
              <w:rPr>
                <w:spacing w:val="-12"/>
                <w:sz w:val="18"/>
              </w:rPr>
              <w:t> </w:t>
            </w:r>
            <w:r>
              <w:rPr>
                <w:sz w:val="18"/>
              </w:rPr>
              <w:t>y quejas con resolución de casos de </w:t>
            </w:r>
            <w:r>
              <w:rPr>
                <w:spacing w:val="-2"/>
                <w:sz w:val="18"/>
              </w:rPr>
              <w:t>funcionarios/as públicos investigados</w:t>
            </w:r>
            <w:r>
              <w:rPr>
                <w:spacing w:val="40"/>
                <w:sz w:val="18"/>
              </w:rPr>
              <w:t> </w:t>
            </w:r>
            <w:r>
              <w:rPr>
                <w:spacing w:val="-4"/>
                <w:sz w:val="18"/>
              </w:rPr>
              <w:t>por </w:t>
            </w:r>
            <w:r>
              <w:rPr>
                <w:spacing w:val="-2"/>
                <w:sz w:val="18"/>
              </w:rPr>
              <w:t>incumplimiento </w:t>
            </w:r>
            <w:r>
              <w:rPr>
                <w:spacing w:val="-4"/>
                <w:sz w:val="18"/>
              </w:rPr>
              <w:t>y/o </w:t>
            </w:r>
            <w:r>
              <w:rPr>
                <w:spacing w:val="-2"/>
                <w:sz w:val="18"/>
              </w:rPr>
              <w:t>revictimización </w:t>
            </w:r>
            <w:r>
              <w:rPr>
                <w:sz w:val="18"/>
              </w:rPr>
              <w:t>a mujeres en situación de </w:t>
            </w:r>
            <w:r>
              <w:rPr>
                <w:spacing w:val="-2"/>
                <w:sz w:val="18"/>
              </w:rPr>
              <w:t>violencia,</w:t>
            </w:r>
          </w:p>
          <w:p>
            <w:pPr>
              <w:pStyle w:val="TableParagraph"/>
              <w:spacing w:line="206" w:lineRule="exact"/>
              <w:ind w:left="71" w:right="24"/>
              <w:rPr>
                <w:sz w:val="18"/>
              </w:rPr>
            </w:pPr>
            <w:r>
              <w:rPr>
                <w:spacing w:val="-2"/>
                <w:sz w:val="18"/>
              </w:rPr>
              <w:t>desagregados </w:t>
            </w:r>
            <w:r>
              <w:rPr>
                <w:sz w:val="18"/>
              </w:rPr>
              <w:t>por sexo,</w:t>
            </w:r>
          </w:p>
        </w:tc>
        <w:tc>
          <w:tcPr>
            <w:tcW w:w="170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3" w:right="7"/>
              <w:jc w:val="center"/>
              <w:rPr>
                <w:sz w:val="18"/>
              </w:rPr>
            </w:pPr>
            <w:r>
              <w:rPr>
                <w:spacing w:val="-4"/>
                <w:sz w:val="18"/>
              </w:rPr>
              <w:t>100%</w:t>
            </w:r>
          </w:p>
        </w:tc>
        <w:tc>
          <w:tcPr>
            <w:tcW w:w="1277" w:type="dxa"/>
          </w:tcPr>
          <w:p>
            <w:pPr>
              <w:pStyle w:val="TableParagraph"/>
              <w:rPr>
                <w:rFonts w:ascii="Times New Roman"/>
                <w:sz w:val="18"/>
              </w:rPr>
            </w:pP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0" w:right="4"/>
              <w:jc w:val="center"/>
              <w:rPr>
                <w:sz w:val="18"/>
              </w:rPr>
            </w:pPr>
            <w:r>
              <w:rPr>
                <w:spacing w:val="-4"/>
                <w:sz w:val="18"/>
              </w:rPr>
              <w:t>100%</w:t>
            </w:r>
          </w:p>
        </w:tc>
        <w:tc>
          <w:tcPr>
            <w:tcW w:w="1417" w:type="dxa"/>
          </w:tcPr>
          <w:p>
            <w:pPr>
              <w:pStyle w:val="TableParagraph"/>
              <w:rPr>
                <w:rFonts w:ascii="Times New Roman"/>
                <w:sz w:val="18"/>
              </w:rPr>
            </w:pPr>
          </w:p>
        </w:tc>
        <w:tc>
          <w:tcPr>
            <w:tcW w:w="15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96" w:right="93"/>
              <w:jc w:val="center"/>
              <w:rPr>
                <w:sz w:val="18"/>
              </w:rPr>
            </w:pPr>
            <w:r>
              <w:rPr>
                <w:spacing w:val="-4"/>
                <w:sz w:val="18"/>
              </w:rPr>
              <w:t>100%</w:t>
            </w:r>
          </w:p>
        </w:tc>
        <w:tc>
          <w:tcPr>
            <w:tcW w:w="994"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8"/>
              <w:jc w:val="center"/>
              <w:rPr>
                <w:sz w:val="18"/>
              </w:rPr>
            </w:pPr>
            <w:r>
              <w:rPr>
                <w:spacing w:val="-4"/>
                <w:sz w:val="18"/>
              </w:rPr>
              <w:t>100%</w:t>
            </w:r>
          </w:p>
        </w:tc>
        <w:tc>
          <w:tcPr>
            <w:tcW w:w="1129"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13"/>
        <w:gridCol w:w="1426"/>
        <w:gridCol w:w="1705"/>
        <w:gridCol w:w="1277"/>
        <w:gridCol w:w="1417"/>
        <w:gridCol w:w="1417"/>
        <w:gridCol w:w="1561"/>
        <w:gridCol w:w="994"/>
        <w:gridCol w:w="1421"/>
        <w:gridCol w:w="1129"/>
      </w:tblGrid>
      <w:tr>
        <w:trPr>
          <w:trHeight w:val="302" w:hRule="atLeast"/>
        </w:trPr>
        <w:tc>
          <w:tcPr>
            <w:tcW w:w="2113" w:type="dxa"/>
            <w:vMerge w:val="restart"/>
            <w:shd w:val="clear" w:color="auto" w:fill="F1F1F1"/>
          </w:tcPr>
          <w:p>
            <w:pPr>
              <w:pStyle w:val="TableParagraph"/>
              <w:rPr>
                <w:b/>
                <w:sz w:val="18"/>
              </w:rPr>
            </w:pPr>
          </w:p>
          <w:p>
            <w:pPr>
              <w:pStyle w:val="TableParagraph"/>
              <w:spacing w:before="41"/>
              <w:rPr>
                <w:b/>
                <w:sz w:val="18"/>
              </w:rPr>
            </w:pPr>
          </w:p>
          <w:p>
            <w:pPr>
              <w:pStyle w:val="TableParagraph"/>
              <w:ind w:left="86"/>
              <w:rPr>
                <w:b/>
                <w:sz w:val="18"/>
              </w:rPr>
            </w:pPr>
            <w:r>
              <w:rPr>
                <w:b/>
                <w:sz w:val="18"/>
              </w:rPr>
              <w:t>Objetivos</w:t>
            </w:r>
            <w:r>
              <w:rPr>
                <w:b/>
                <w:spacing w:val="-5"/>
                <w:sz w:val="18"/>
              </w:rPr>
              <w:t> </w:t>
            </w:r>
            <w:r>
              <w:rPr>
                <w:b/>
                <w:sz w:val="18"/>
              </w:rPr>
              <w:t>/</w:t>
            </w:r>
            <w:r>
              <w:rPr>
                <w:b/>
                <w:spacing w:val="-2"/>
                <w:sz w:val="18"/>
              </w:rPr>
              <w:t> Resultados</w:t>
            </w:r>
          </w:p>
        </w:tc>
        <w:tc>
          <w:tcPr>
            <w:tcW w:w="1426" w:type="dxa"/>
            <w:vMerge w:val="restart"/>
            <w:shd w:val="clear" w:color="auto" w:fill="F1F1F1"/>
          </w:tcPr>
          <w:p>
            <w:pPr>
              <w:pStyle w:val="TableParagraph"/>
              <w:rPr>
                <w:b/>
                <w:sz w:val="18"/>
              </w:rPr>
            </w:pPr>
          </w:p>
          <w:p>
            <w:pPr>
              <w:pStyle w:val="TableParagraph"/>
              <w:spacing w:before="41"/>
              <w:rPr>
                <w:b/>
                <w:sz w:val="18"/>
              </w:rPr>
            </w:pPr>
          </w:p>
          <w:p>
            <w:pPr>
              <w:pStyle w:val="TableParagraph"/>
              <w:ind w:left="306"/>
              <w:rPr>
                <w:b/>
                <w:sz w:val="18"/>
              </w:rPr>
            </w:pPr>
            <w:r>
              <w:rPr>
                <w:b/>
                <w:spacing w:val="-2"/>
                <w:sz w:val="18"/>
              </w:rPr>
              <w:t>Indicador</w:t>
            </w:r>
          </w:p>
        </w:tc>
        <w:tc>
          <w:tcPr>
            <w:tcW w:w="2982" w:type="dxa"/>
            <w:gridSpan w:val="2"/>
            <w:shd w:val="clear" w:color="auto" w:fill="F1F1F1"/>
          </w:tcPr>
          <w:p>
            <w:pPr>
              <w:pStyle w:val="TableParagraph"/>
              <w:spacing w:before="47"/>
              <w:ind w:left="8"/>
              <w:jc w:val="center"/>
              <w:rPr>
                <w:b/>
                <w:sz w:val="18"/>
              </w:rPr>
            </w:pPr>
            <w:r>
              <w:rPr>
                <w:b/>
                <w:sz w:val="18"/>
              </w:rPr>
              <w:t>I</w:t>
            </w:r>
            <w:r>
              <w:rPr>
                <w:b/>
                <w:spacing w:val="-1"/>
                <w:sz w:val="18"/>
              </w:rPr>
              <w:t> </w:t>
            </w:r>
            <w:r>
              <w:rPr>
                <w:b/>
                <w:spacing w:val="-2"/>
                <w:sz w:val="18"/>
              </w:rPr>
              <w:t>Trimestre</w:t>
            </w:r>
          </w:p>
        </w:tc>
        <w:tc>
          <w:tcPr>
            <w:tcW w:w="2834" w:type="dxa"/>
            <w:gridSpan w:val="2"/>
            <w:shd w:val="clear" w:color="auto" w:fill="F1F1F1"/>
          </w:tcPr>
          <w:p>
            <w:pPr>
              <w:pStyle w:val="TableParagraph"/>
              <w:spacing w:before="47"/>
              <w:ind w:left="926"/>
              <w:rPr>
                <w:b/>
                <w:sz w:val="18"/>
              </w:rPr>
            </w:pPr>
            <w:r>
              <w:rPr>
                <w:b/>
                <w:sz w:val="18"/>
              </w:rPr>
              <w:t>II</w:t>
            </w:r>
            <w:r>
              <w:rPr>
                <w:b/>
                <w:spacing w:val="-3"/>
                <w:sz w:val="18"/>
              </w:rPr>
              <w:t> </w:t>
            </w:r>
            <w:r>
              <w:rPr>
                <w:b/>
                <w:spacing w:val="-2"/>
                <w:sz w:val="18"/>
              </w:rPr>
              <w:t>Trimestre</w:t>
            </w:r>
          </w:p>
        </w:tc>
        <w:tc>
          <w:tcPr>
            <w:tcW w:w="2555" w:type="dxa"/>
            <w:gridSpan w:val="2"/>
            <w:shd w:val="clear" w:color="auto" w:fill="F1F1F1"/>
          </w:tcPr>
          <w:p>
            <w:pPr>
              <w:pStyle w:val="TableParagraph"/>
              <w:spacing w:before="47"/>
              <w:ind w:left="765"/>
              <w:rPr>
                <w:b/>
                <w:sz w:val="18"/>
              </w:rPr>
            </w:pPr>
            <w:r>
              <w:rPr>
                <w:b/>
                <w:sz w:val="18"/>
              </w:rPr>
              <w:t>III</w:t>
            </w:r>
            <w:r>
              <w:rPr>
                <w:b/>
                <w:spacing w:val="-2"/>
                <w:sz w:val="18"/>
              </w:rPr>
              <w:t> Trimestre</w:t>
            </w:r>
          </w:p>
        </w:tc>
        <w:tc>
          <w:tcPr>
            <w:tcW w:w="2550" w:type="dxa"/>
            <w:gridSpan w:val="2"/>
            <w:shd w:val="clear" w:color="auto" w:fill="F1F1F1"/>
          </w:tcPr>
          <w:p>
            <w:pPr>
              <w:pStyle w:val="TableParagraph"/>
              <w:spacing w:before="47"/>
              <w:ind w:left="751"/>
              <w:rPr>
                <w:b/>
                <w:sz w:val="18"/>
              </w:rPr>
            </w:pPr>
            <w:r>
              <w:rPr>
                <w:b/>
                <w:sz w:val="18"/>
              </w:rPr>
              <w:t>IV</w:t>
            </w:r>
            <w:r>
              <w:rPr>
                <w:b/>
                <w:spacing w:val="-2"/>
                <w:sz w:val="18"/>
              </w:rPr>
              <w:t> Trimestre</w:t>
            </w:r>
          </w:p>
        </w:tc>
      </w:tr>
      <w:tr>
        <w:trPr>
          <w:trHeight w:val="806" w:hRule="atLeast"/>
        </w:trPr>
        <w:tc>
          <w:tcPr>
            <w:tcW w:w="2113" w:type="dxa"/>
            <w:vMerge/>
            <w:tcBorders>
              <w:top w:val="nil"/>
            </w:tcBorders>
            <w:shd w:val="clear" w:color="auto" w:fill="F1F1F1"/>
          </w:tcPr>
          <w:p>
            <w:pPr>
              <w:rPr>
                <w:sz w:val="2"/>
                <w:szCs w:val="2"/>
              </w:rPr>
            </w:pPr>
          </w:p>
        </w:tc>
        <w:tc>
          <w:tcPr>
            <w:tcW w:w="1426" w:type="dxa"/>
            <w:vMerge/>
            <w:tcBorders>
              <w:top w:val="nil"/>
            </w:tcBorders>
            <w:shd w:val="clear" w:color="auto" w:fill="F1F1F1"/>
          </w:tcPr>
          <w:p>
            <w:pPr>
              <w:rPr>
                <w:sz w:val="2"/>
                <w:szCs w:val="2"/>
              </w:rPr>
            </w:pPr>
          </w:p>
        </w:tc>
        <w:tc>
          <w:tcPr>
            <w:tcW w:w="1705" w:type="dxa"/>
            <w:shd w:val="clear" w:color="auto" w:fill="F1F1F1"/>
          </w:tcPr>
          <w:p>
            <w:pPr>
              <w:pStyle w:val="TableParagraph"/>
              <w:spacing w:before="89"/>
              <w:rPr>
                <w:b/>
                <w:sz w:val="18"/>
              </w:rPr>
            </w:pPr>
          </w:p>
          <w:p>
            <w:pPr>
              <w:pStyle w:val="TableParagraph"/>
              <w:ind w:left="100"/>
              <w:rPr>
                <w:b/>
                <w:sz w:val="18"/>
              </w:rPr>
            </w:pPr>
            <w:r>
              <w:rPr>
                <w:b/>
                <w:sz w:val="18"/>
              </w:rPr>
              <w:t>Meta</w:t>
            </w:r>
            <w:r>
              <w:rPr>
                <w:b/>
                <w:spacing w:val="1"/>
                <w:sz w:val="18"/>
              </w:rPr>
              <w:t> </w:t>
            </w:r>
            <w:r>
              <w:rPr>
                <w:b/>
                <w:spacing w:val="-2"/>
                <w:sz w:val="18"/>
              </w:rPr>
              <w:t>programada</w:t>
            </w:r>
          </w:p>
        </w:tc>
        <w:tc>
          <w:tcPr>
            <w:tcW w:w="1277" w:type="dxa"/>
            <w:shd w:val="clear" w:color="auto" w:fill="F1F1F1"/>
          </w:tcPr>
          <w:p>
            <w:pPr>
              <w:pStyle w:val="TableParagraph"/>
              <w:spacing w:before="89"/>
              <w:rPr>
                <w:b/>
                <w:sz w:val="18"/>
              </w:rPr>
            </w:pPr>
          </w:p>
          <w:p>
            <w:pPr>
              <w:pStyle w:val="TableParagraph"/>
              <w:ind w:left="16" w:right="12"/>
              <w:jc w:val="center"/>
              <w:rPr>
                <w:b/>
                <w:sz w:val="18"/>
              </w:rPr>
            </w:pPr>
            <w:r>
              <w:rPr>
                <w:b/>
                <w:spacing w:val="-10"/>
                <w:sz w:val="18"/>
              </w:rPr>
              <w:t>¢</w:t>
            </w:r>
          </w:p>
        </w:tc>
        <w:tc>
          <w:tcPr>
            <w:tcW w:w="1417" w:type="dxa"/>
            <w:shd w:val="clear" w:color="auto" w:fill="F1F1F1"/>
          </w:tcPr>
          <w:p>
            <w:pPr>
              <w:pStyle w:val="TableParagraph"/>
              <w:spacing w:before="195"/>
              <w:ind w:left="181" w:firstLine="317"/>
              <w:rPr>
                <w:b/>
                <w:sz w:val="18"/>
              </w:rPr>
            </w:pPr>
            <w:r>
              <w:rPr>
                <w:b/>
                <w:spacing w:val="-4"/>
                <w:sz w:val="18"/>
              </w:rPr>
              <w:t>Meta </w:t>
            </w:r>
            <w:r>
              <w:rPr>
                <w:b/>
                <w:spacing w:val="-2"/>
                <w:sz w:val="18"/>
              </w:rPr>
              <w:t>programada</w:t>
            </w:r>
          </w:p>
        </w:tc>
        <w:tc>
          <w:tcPr>
            <w:tcW w:w="1417" w:type="dxa"/>
            <w:shd w:val="clear" w:color="auto" w:fill="F1F1F1"/>
          </w:tcPr>
          <w:p>
            <w:pPr>
              <w:pStyle w:val="TableParagraph"/>
              <w:spacing w:before="89"/>
              <w:rPr>
                <w:b/>
                <w:sz w:val="18"/>
              </w:rPr>
            </w:pPr>
          </w:p>
          <w:p>
            <w:pPr>
              <w:pStyle w:val="TableParagraph"/>
              <w:ind w:left="9" w:right="10"/>
              <w:jc w:val="center"/>
              <w:rPr>
                <w:b/>
                <w:sz w:val="18"/>
              </w:rPr>
            </w:pPr>
            <w:r>
              <w:rPr>
                <w:b/>
                <w:spacing w:val="-10"/>
                <w:sz w:val="18"/>
              </w:rPr>
              <w:t>¢</w:t>
            </w:r>
          </w:p>
        </w:tc>
        <w:tc>
          <w:tcPr>
            <w:tcW w:w="1561" w:type="dxa"/>
            <w:shd w:val="clear" w:color="auto" w:fill="F1F1F1"/>
          </w:tcPr>
          <w:p>
            <w:pPr>
              <w:pStyle w:val="TableParagraph"/>
              <w:spacing w:before="195"/>
              <w:ind w:left="257" w:firstLine="312"/>
              <w:rPr>
                <w:b/>
                <w:sz w:val="18"/>
              </w:rPr>
            </w:pPr>
            <w:r>
              <w:rPr>
                <w:b/>
                <w:spacing w:val="-4"/>
                <w:sz w:val="18"/>
              </w:rPr>
              <w:t>Meta </w:t>
            </w:r>
            <w:r>
              <w:rPr>
                <w:b/>
                <w:spacing w:val="-2"/>
                <w:sz w:val="18"/>
              </w:rPr>
              <w:t>programada</w:t>
            </w:r>
          </w:p>
        </w:tc>
        <w:tc>
          <w:tcPr>
            <w:tcW w:w="994" w:type="dxa"/>
            <w:shd w:val="clear" w:color="auto" w:fill="F1F1F1"/>
          </w:tcPr>
          <w:p>
            <w:pPr>
              <w:pStyle w:val="TableParagraph"/>
              <w:spacing w:before="89"/>
              <w:rPr>
                <w:b/>
                <w:sz w:val="18"/>
              </w:rPr>
            </w:pPr>
          </w:p>
          <w:p>
            <w:pPr>
              <w:pStyle w:val="TableParagraph"/>
              <w:ind w:left="5"/>
              <w:jc w:val="center"/>
              <w:rPr>
                <w:b/>
                <w:sz w:val="18"/>
              </w:rPr>
            </w:pPr>
            <w:r>
              <w:rPr>
                <w:b/>
                <w:spacing w:val="-10"/>
                <w:sz w:val="18"/>
              </w:rPr>
              <w:t>¢</w:t>
            </w:r>
          </w:p>
        </w:tc>
        <w:tc>
          <w:tcPr>
            <w:tcW w:w="1421" w:type="dxa"/>
            <w:shd w:val="clear" w:color="auto" w:fill="F1F1F1"/>
          </w:tcPr>
          <w:p>
            <w:pPr>
              <w:pStyle w:val="TableParagraph"/>
              <w:spacing w:before="195"/>
              <w:ind w:left="184" w:firstLine="316"/>
              <w:rPr>
                <w:b/>
                <w:sz w:val="18"/>
              </w:rPr>
            </w:pPr>
            <w:r>
              <w:rPr>
                <w:b/>
                <w:spacing w:val="-4"/>
                <w:sz w:val="18"/>
              </w:rPr>
              <w:t>Meta </w:t>
            </w:r>
            <w:r>
              <w:rPr>
                <w:b/>
                <w:spacing w:val="-2"/>
                <w:sz w:val="18"/>
              </w:rPr>
              <w:t>programada</w:t>
            </w:r>
          </w:p>
        </w:tc>
        <w:tc>
          <w:tcPr>
            <w:tcW w:w="1129" w:type="dxa"/>
            <w:shd w:val="clear" w:color="auto" w:fill="F1F1F1"/>
          </w:tcPr>
          <w:p>
            <w:pPr>
              <w:pStyle w:val="TableParagraph"/>
              <w:spacing w:before="89"/>
              <w:rPr>
                <w:b/>
                <w:sz w:val="18"/>
              </w:rPr>
            </w:pPr>
          </w:p>
          <w:p>
            <w:pPr>
              <w:pStyle w:val="TableParagraph"/>
              <w:ind w:right="1"/>
              <w:jc w:val="center"/>
              <w:rPr>
                <w:b/>
                <w:sz w:val="18"/>
              </w:rPr>
            </w:pPr>
            <w:r>
              <w:rPr>
                <w:b/>
                <w:spacing w:val="-10"/>
                <w:sz w:val="18"/>
              </w:rPr>
              <w:t>¢</w:t>
            </w:r>
          </w:p>
        </w:tc>
      </w:tr>
      <w:tr>
        <w:trPr>
          <w:trHeight w:val="1439" w:hRule="atLeast"/>
        </w:trPr>
        <w:tc>
          <w:tcPr>
            <w:tcW w:w="2113" w:type="dxa"/>
          </w:tcPr>
          <w:p>
            <w:pPr>
              <w:pStyle w:val="TableParagraph"/>
              <w:rPr>
                <w:rFonts w:ascii="Times New Roman"/>
                <w:sz w:val="18"/>
              </w:rPr>
            </w:pPr>
          </w:p>
        </w:tc>
        <w:tc>
          <w:tcPr>
            <w:tcW w:w="1426" w:type="dxa"/>
          </w:tcPr>
          <w:p>
            <w:pPr>
              <w:pStyle w:val="TableParagraph"/>
              <w:ind w:left="71" w:right="217"/>
              <w:rPr>
                <w:sz w:val="18"/>
              </w:rPr>
            </w:pPr>
            <w:r>
              <w:rPr>
                <w:sz w:val="18"/>
              </w:rPr>
              <w:t>motivo de denuncia,</w:t>
            </w:r>
            <w:r>
              <w:rPr>
                <w:spacing w:val="-13"/>
                <w:sz w:val="18"/>
              </w:rPr>
              <w:t> </w:t>
            </w:r>
            <w:r>
              <w:rPr>
                <w:sz w:val="18"/>
              </w:rPr>
              <w:t>tipo de</w:t>
            </w:r>
            <w:r>
              <w:rPr>
                <w:spacing w:val="-13"/>
                <w:sz w:val="18"/>
              </w:rPr>
              <w:t> </w:t>
            </w:r>
            <w:r>
              <w:rPr>
                <w:sz w:val="18"/>
              </w:rPr>
              <w:t>resolución, institución y </w:t>
            </w:r>
            <w:r>
              <w:rPr>
                <w:spacing w:val="-2"/>
                <w:sz w:val="18"/>
              </w:rPr>
              <w:t>cantón</w:t>
            </w:r>
          </w:p>
          <w:p>
            <w:pPr>
              <w:pStyle w:val="TableParagraph"/>
              <w:spacing w:line="206" w:lineRule="exact"/>
              <w:ind w:left="71" w:right="24"/>
              <w:rPr>
                <w:sz w:val="18"/>
              </w:rPr>
            </w:pPr>
            <w:r>
              <w:rPr>
                <w:sz w:val="18"/>
              </w:rPr>
              <w:t>atendidos</w:t>
            </w:r>
            <w:r>
              <w:rPr>
                <w:spacing w:val="-13"/>
                <w:sz w:val="18"/>
              </w:rPr>
              <w:t> </w:t>
            </w:r>
            <w:r>
              <w:rPr>
                <w:sz w:val="18"/>
              </w:rPr>
              <w:t>y </w:t>
            </w:r>
            <w:r>
              <w:rPr>
                <w:spacing w:val="-2"/>
                <w:sz w:val="18"/>
              </w:rPr>
              <w:t>registrados.</w:t>
            </w:r>
          </w:p>
        </w:tc>
        <w:tc>
          <w:tcPr>
            <w:tcW w:w="1705" w:type="dxa"/>
          </w:tcPr>
          <w:p>
            <w:pPr>
              <w:pStyle w:val="TableParagraph"/>
              <w:rPr>
                <w:rFonts w:ascii="Times New Roman"/>
                <w:sz w:val="18"/>
              </w:rPr>
            </w:pPr>
          </w:p>
        </w:tc>
        <w:tc>
          <w:tcPr>
            <w:tcW w:w="1277" w:type="dxa"/>
          </w:tcPr>
          <w:p>
            <w:pPr>
              <w:pStyle w:val="TableParagraph"/>
              <w:rPr>
                <w:rFonts w:ascii="Times New Roman"/>
                <w:sz w:val="18"/>
              </w:rPr>
            </w:pPr>
          </w:p>
        </w:tc>
        <w:tc>
          <w:tcPr>
            <w:tcW w:w="1417" w:type="dxa"/>
          </w:tcPr>
          <w:p>
            <w:pPr>
              <w:pStyle w:val="TableParagraph"/>
              <w:rPr>
                <w:rFonts w:ascii="Times New Roman"/>
                <w:sz w:val="18"/>
              </w:rPr>
            </w:pPr>
          </w:p>
        </w:tc>
        <w:tc>
          <w:tcPr>
            <w:tcW w:w="1417" w:type="dxa"/>
          </w:tcPr>
          <w:p>
            <w:pPr>
              <w:pStyle w:val="TableParagraph"/>
              <w:rPr>
                <w:rFonts w:ascii="Times New Roman"/>
                <w:sz w:val="18"/>
              </w:rPr>
            </w:pPr>
          </w:p>
        </w:tc>
        <w:tc>
          <w:tcPr>
            <w:tcW w:w="1561" w:type="dxa"/>
          </w:tcPr>
          <w:p>
            <w:pPr>
              <w:pStyle w:val="TableParagraph"/>
              <w:rPr>
                <w:rFonts w:ascii="Times New Roman"/>
                <w:sz w:val="18"/>
              </w:rPr>
            </w:pPr>
          </w:p>
        </w:tc>
        <w:tc>
          <w:tcPr>
            <w:tcW w:w="994" w:type="dxa"/>
          </w:tcPr>
          <w:p>
            <w:pPr>
              <w:pStyle w:val="TableParagraph"/>
              <w:rPr>
                <w:rFonts w:ascii="Times New Roman"/>
                <w:sz w:val="18"/>
              </w:rPr>
            </w:pPr>
          </w:p>
        </w:tc>
        <w:tc>
          <w:tcPr>
            <w:tcW w:w="1421" w:type="dxa"/>
          </w:tcPr>
          <w:p>
            <w:pPr>
              <w:pStyle w:val="TableParagraph"/>
              <w:rPr>
                <w:rFonts w:ascii="Times New Roman"/>
                <w:sz w:val="18"/>
              </w:rPr>
            </w:pPr>
          </w:p>
        </w:tc>
        <w:tc>
          <w:tcPr>
            <w:tcW w:w="1129" w:type="dxa"/>
          </w:tcPr>
          <w:p>
            <w:pPr>
              <w:pStyle w:val="TableParagraph"/>
              <w:rPr>
                <w:rFonts w:ascii="Times New Roman"/>
                <w:sz w:val="18"/>
              </w:rPr>
            </w:pPr>
          </w:p>
        </w:tc>
      </w:tr>
    </w:tbl>
    <w:p>
      <w:pPr>
        <w:pStyle w:val="BodyText"/>
        <w:rPr>
          <w:b/>
          <w:sz w:val="20"/>
        </w:rPr>
      </w:pPr>
    </w:p>
    <w:p>
      <w:pPr>
        <w:pStyle w:val="BodyText"/>
        <w:spacing w:before="185"/>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99"/>
        <w:gridCol w:w="1570"/>
        <w:gridCol w:w="1570"/>
        <w:gridCol w:w="1277"/>
        <w:gridCol w:w="1421"/>
        <w:gridCol w:w="1416"/>
        <w:gridCol w:w="1560"/>
        <w:gridCol w:w="1229"/>
        <w:gridCol w:w="1181"/>
        <w:gridCol w:w="1071"/>
      </w:tblGrid>
      <w:tr>
        <w:trPr>
          <w:trHeight w:val="297" w:hRule="atLeast"/>
        </w:trPr>
        <w:tc>
          <w:tcPr>
            <w:tcW w:w="2099" w:type="dxa"/>
            <w:vMerge w:val="restart"/>
            <w:shd w:val="clear" w:color="auto" w:fill="F1F1F1"/>
          </w:tcPr>
          <w:p>
            <w:pPr>
              <w:pStyle w:val="TableParagraph"/>
              <w:rPr>
                <w:b/>
                <w:sz w:val="18"/>
              </w:rPr>
            </w:pPr>
          </w:p>
          <w:p>
            <w:pPr>
              <w:pStyle w:val="TableParagraph"/>
              <w:spacing w:before="27"/>
              <w:rPr>
                <w:b/>
                <w:sz w:val="18"/>
              </w:rPr>
            </w:pPr>
          </w:p>
          <w:p>
            <w:pPr>
              <w:pStyle w:val="TableParagraph"/>
              <w:ind w:left="81"/>
              <w:rPr>
                <w:b/>
                <w:sz w:val="18"/>
              </w:rPr>
            </w:pPr>
            <w:r>
              <w:rPr>
                <w:b/>
                <w:sz w:val="18"/>
              </w:rPr>
              <w:t>Objetivos</w:t>
            </w:r>
            <w:r>
              <w:rPr>
                <w:b/>
                <w:spacing w:val="-5"/>
                <w:sz w:val="18"/>
              </w:rPr>
              <w:t> </w:t>
            </w:r>
            <w:r>
              <w:rPr>
                <w:b/>
                <w:sz w:val="18"/>
              </w:rPr>
              <w:t>/</w:t>
            </w:r>
            <w:r>
              <w:rPr>
                <w:b/>
                <w:spacing w:val="-2"/>
                <w:sz w:val="18"/>
              </w:rPr>
              <w:t> Resultados</w:t>
            </w:r>
          </w:p>
        </w:tc>
        <w:tc>
          <w:tcPr>
            <w:tcW w:w="1570" w:type="dxa"/>
            <w:vMerge w:val="restart"/>
            <w:shd w:val="clear" w:color="auto" w:fill="F1F1F1"/>
          </w:tcPr>
          <w:p>
            <w:pPr>
              <w:pStyle w:val="TableParagraph"/>
              <w:rPr>
                <w:b/>
                <w:sz w:val="18"/>
              </w:rPr>
            </w:pPr>
          </w:p>
          <w:p>
            <w:pPr>
              <w:pStyle w:val="TableParagraph"/>
              <w:spacing w:before="27"/>
              <w:rPr>
                <w:b/>
                <w:sz w:val="18"/>
              </w:rPr>
            </w:pPr>
          </w:p>
          <w:p>
            <w:pPr>
              <w:pStyle w:val="TableParagraph"/>
              <w:ind w:left="378"/>
              <w:rPr>
                <w:b/>
                <w:sz w:val="18"/>
              </w:rPr>
            </w:pPr>
            <w:r>
              <w:rPr>
                <w:b/>
                <w:spacing w:val="-2"/>
                <w:sz w:val="18"/>
              </w:rPr>
              <w:t>Indicador</w:t>
            </w:r>
          </w:p>
        </w:tc>
        <w:tc>
          <w:tcPr>
            <w:tcW w:w="2847" w:type="dxa"/>
            <w:gridSpan w:val="2"/>
            <w:shd w:val="clear" w:color="auto" w:fill="F1F1F1"/>
          </w:tcPr>
          <w:p>
            <w:pPr>
              <w:pStyle w:val="TableParagraph"/>
              <w:spacing w:line="187" w:lineRule="exact" w:before="90"/>
              <w:ind w:left="17"/>
              <w:jc w:val="center"/>
              <w:rPr>
                <w:b/>
                <w:sz w:val="18"/>
              </w:rPr>
            </w:pPr>
            <w:r>
              <w:rPr>
                <w:b/>
                <w:sz w:val="18"/>
              </w:rPr>
              <w:t>I</w:t>
            </w:r>
            <w:r>
              <w:rPr>
                <w:b/>
                <w:spacing w:val="-1"/>
                <w:sz w:val="18"/>
              </w:rPr>
              <w:t> </w:t>
            </w:r>
            <w:r>
              <w:rPr>
                <w:b/>
                <w:spacing w:val="-2"/>
                <w:sz w:val="18"/>
              </w:rPr>
              <w:t>Trimestre</w:t>
            </w:r>
          </w:p>
        </w:tc>
        <w:tc>
          <w:tcPr>
            <w:tcW w:w="2837" w:type="dxa"/>
            <w:gridSpan w:val="2"/>
            <w:shd w:val="clear" w:color="auto" w:fill="F1F1F1"/>
          </w:tcPr>
          <w:p>
            <w:pPr>
              <w:pStyle w:val="TableParagraph"/>
              <w:spacing w:line="187" w:lineRule="exact" w:before="90"/>
              <w:ind w:left="935"/>
              <w:rPr>
                <w:b/>
                <w:sz w:val="18"/>
              </w:rPr>
            </w:pPr>
            <w:r>
              <w:rPr>
                <w:b/>
                <w:sz w:val="18"/>
              </w:rPr>
              <w:t>II</w:t>
            </w:r>
            <w:r>
              <w:rPr>
                <w:b/>
                <w:spacing w:val="-3"/>
                <w:sz w:val="18"/>
              </w:rPr>
              <w:t> </w:t>
            </w:r>
            <w:r>
              <w:rPr>
                <w:b/>
                <w:spacing w:val="-2"/>
                <w:sz w:val="18"/>
              </w:rPr>
              <w:t>Trimestre</w:t>
            </w:r>
          </w:p>
        </w:tc>
        <w:tc>
          <w:tcPr>
            <w:tcW w:w="2789" w:type="dxa"/>
            <w:gridSpan w:val="2"/>
            <w:shd w:val="clear" w:color="auto" w:fill="F1F1F1"/>
          </w:tcPr>
          <w:p>
            <w:pPr>
              <w:pStyle w:val="TableParagraph"/>
              <w:spacing w:line="187" w:lineRule="exact" w:before="90"/>
              <w:ind w:left="883"/>
              <w:rPr>
                <w:b/>
                <w:sz w:val="18"/>
              </w:rPr>
            </w:pPr>
            <w:r>
              <w:rPr>
                <w:b/>
                <w:sz w:val="18"/>
              </w:rPr>
              <w:t>III</w:t>
            </w:r>
            <w:r>
              <w:rPr>
                <w:b/>
                <w:spacing w:val="-2"/>
                <w:sz w:val="18"/>
              </w:rPr>
              <w:t> Trimestre</w:t>
            </w:r>
          </w:p>
        </w:tc>
        <w:tc>
          <w:tcPr>
            <w:tcW w:w="2252" w:type="dxa"/>
            <w:gridSpan w:val="2"/>
            <w:shd w:val="clear" w:color="auto" w:fill="F1F1F1"/>
          </w:tcPr>
          <w:p>
            <w:pPr>
              <w:pStyle w:val="TableParagraph"/>
              <w:spacing w:line="187" w:lineRule="exact" w:before="90"/>
              <w:ind w:left="600"/>
              <w:rPr>
                <w:b/>
                <w:sz w:val="18"/>
              </w:rPr>
            </w:pPr>
            <w:r>
              <w:rPr>
                <w:b/>
                <w:sz w:val="18"/>
              </w:rPr>
              <w:t>IV</w:t>
            </w:r>
            <w:r>
              <w:rPr>
                <w:b/>
                <w:spacing w:val="-2"/>
                <w:sz w:val="18"/>
              </w:rPr>
              <w:t> Trimestre</w:t>
            </w:r>
          </w:p>
        </w:tc>
      </w:tr>
      <w:tr>
        <w:trPr>
          <w:trHeight w:val="781" w:hRule="atLeast"/>
        </w:trPr>
        <w:tc>
          <w:tcPr>
            <w:tcW w:w="2099" w:type="dxa"/>
            <w:vMerge/>
            <w:tcBorders>
              <w:top w:val="nil"/>
            </w:tcBorders>
            <w:shd w:val="clear" w:color="auto" w:fill="F1F1F1"/>
          </w:tcPr>
          <w:p>
            <w:pPr>
              <w:rPr>
                <w:sz w:val="2"/>
                <w:szCs w:val="2"/>
              </w:rPr>
            </w:pPr>
          </w:p>
        </w:tc>
        <w:tc>
          <w:tcPr>
            <w:tcW w:w="1570" w:type="dxa"/>
            <w:vMerge/>
            <w:tcBorders>
              <w:top w:val="nil"/>
            </w:tcBorders>
            <w:shd w:val="clear" w:color="auto" w:fill="F1F1F1"/>
          </w:tcPr>
          <w:p>
            <w:pPr>
              <w:rPr>
                <w:sz w:val="2"/>
                <w:szCs w:val="2"/>
              </w:rPr>
            </w:pPr>
          </w:p>
        </w:tc>
        <w:tc>
          <w:tcPr>
            <w:tcW w:w="1570" w:type="dxa"/>
            <w:shd w:val="clear" w:color="auto" w:fill="F1F1F1"/>
          </w:tcPr>
          <w:p>
            <w:pPr>
              <w:pStyle w:val="TableParagraph"/>
              <w:spacing w:before="186"/>
              <w:ind w:left="263" w:right="44" w:firstLine="316"/>
              <w:rPr>
                <w:b/>
                <w:sz w:val="18"/>
              </w:rPr>
            </w:pPr>
            <w:r>
              <w:rPr>
                <w:b/>
                <w:spacing w:val="-4"/>
                <w:sz w:val="18"/>
              </w:rPr>
              <w:t>Meta </w:t>
            </w:r>
            <w:r>
              <w:rPr>
                <w:b/>
                <w:spacing w:val="-2"/>
                <w:sz w:val="18"/>
              </w:rPr>
              <w:t>programada</w:t>
            </w:r>
          </w:p>
        </w:tc>
        <w:tc>
          <w:tcPr>
            <w:tcW w:w="1277" w:type="dxa"/>
            <w:shd w:val="clear" w:color="auto" w:fill="F1F1F1"/>
          </w:tcPr>
          <w:p>
            <w:pPr>
              <w:pStyle w:val="TableParagraph"/>
              <w:spacing w:before="79"/>
              <w:rPr>
                <w:b/>
                <w:sz w:val="18"/>
              </w:rPr>
            </w:pPr>
          </w:p>
          <w:p>
            <w:pPr>
              <w:pStyle w:val="TableParagraph"/>
              <w:spacing w:before="1"/>
              <w:ind w:left="22" w:right="8"/>
              <w:jc w:val="center"/>
              <w:rPr>
                <w:b/>
                <w:sz w:val="18"/>
              </w:rPr>
            </w:pPr>
            <w:r>
              <w:rPr>
                <w:b/>
                <w:spacing w:val="-10"/>
                <w:sz w:val="18"/>
              </w:rPr>
              <w:t>¢</w:t>
            </w:r>
          </w:p>
        </w:tc>
        <w:tc>
          <w:tcPr>
            <w:tcW w:w="1421" w:type="dxa"/>
            <w:shd w:val="clear" w:color="auto" w:fill="F1F1F1"/>
          </w:tcPr>
          <w:p>
            <w:pPr>
              <w:pStyle w:val="TableParagraph"/>
              <w:spacing w:before="186"/>
              <w:ind w:left="186" w:firstLine="317"/>
              <w:rPr>
                <w:b/>
                <w:sz w:val="18"/>
              </w:rPr>
            </w:pPr>
            <w:r>
              <w:rPr>
                <w:b/>
                <w:spacing w:val="-4"/>
                <w:sz w:val="18"/>
              </w:rPr>
              <w:t>Meta </w:t>
            </w:r>
            <w:r>
              <w:rPr>
                <w:b/>
                <w:spacing w:val="-2"/>
                <w:sz w:val="18"/>
              </w:rPr>
              <w:t>programada</w:t>
            </w:r>
          </w:p>
        </w:tc>
        <w:tc>
          <w:tcPr>
            <w:tcW w:w="1416" w:type="dxa"/>
            <w:shd w:val="clear" w:color="auto" w:fill="F1F1F1"/>
          </w:tcPr>
          <w:p>
            <w:pPr>
              <w:pStyle w:val="TableParagraph"/>
              <w:spacing w:before="79"/>
              <w:rPr>
                <w:b/>
                <w:sz w:val="18"/>
              </w:rPr>
            </w:pPr>
          </w:p>
          <w:p>
            <w:pPr>
              <w:pStyle w:val="TableParagraph"/>
              <w:spacing w:before="1"/>
              <w:ind w:left="17" w:right="16"/>
              <w:jc w:val="center"/>
              <w:rPr>
                <w:b/>
                <w:sz w:val="18"/>
              </w:rPr>
            </w:pPr>
            <w:r>
              <w:rPr>
                <w:b/>
                <w:spacing w:val="-10"/>
                <w:sz w:val="18"/>
              </w:rPr>
              <w:t>¢</w:t>
            </w:r>
          </w:p>
        </w:tc>
        <w:tc>
          <w:tcPr>
            <w:tcW w:w="1560" w:type="dxa"/>
            <w:shd w:val="clear" w:color="auto" w:fill="F1F1F1"/>
          </w:tcPr>
          <w:p>
            <w:pPr>
              <w:pStyle w:val="TableParagraph"/>
              <w:spacing w:before="186"/>
              <w:ind w:left="259" w:right="58" w:firstLine="312"/>
              <w:rPr>
                <w:b/>
                <w:sz w:val="18"/>
              </w:rPr>
            </w:pPr>
            <w:r>
              <w:rPr>
                <w:b/>
                <w:spacing w:val="-4"/>
                <w:sz w:val="18"/>
              </w:rPr>
              <w:t>Meta </w:t>
            </w:r>
            <w:r>
              <w:rPr>
                <w:b/>
                <w:spacing w:val="-2"/>
                <w:sz w:val="18"/>
              </w:rPr>
              <w:t>programada</w:t>
            </w:r>
          </w:p>
        </w:tc>
        <w:tc>
          <w:tcPr>
            <w:tcW w:w="1229" w:type="dxa"/>
            <w:shd w:val="clear" w:color="auto" w:fill="F1F1F1"/>
          </w:tcPr>
          <w:p>
            <w:pPr>
              <w:pStyle w:val="TableParagraph"/>
              <w:spacing w:before="79"/>
              <w:rPr>
                <w:b/>
                <w:sz w:val="18"/>
              </w:rPr>
            </w:pPr>
          </w:p>
          <w:p>
            <w:pPr>
              <w:pStyle w:val="TableParagraph"/>
              <w:spacing w:before="1"/>
              <w:ind w:left="6"/>
              <w:jc w:val="center"/>
              <w:rPr>
                <w:b/>
                <w:sz w:val="18"/>
              </w:rPr>
            </w:pPr>
            <w:r>
              <w:rPr>
                <w:b/>
                <w:spacing w:val="-10"/>
                <w:sz w:val="18"/>
              </w:rPr>
              <w:t>¢</w:t>
            </w:r>
          </w:p>
        </w:tc>
        <w:tc>
          <w:tcPr>
            <w:tcW w:w="1181" w:type="dxa"/>
            <w:shd w:val="clear" w:color="auto" w:fill="F1F1F1"/>
          </w:tcPr>
          <w:p>
            <w:pPr>
              <w:pStyle w:val="TableParagraph"/>
              <w:spacing w:before="186"/>
              <w:ind w:left="67" w:firstLine="312"/>
              <w:rPr>
                <w:b/>
                <w:sz w:val="18"/>
              </w:rPr>
            </w:pPr>
            <w:r>
              <w:rPr>
                <w:b/>
                <w:spacing w:val="-4"/>
                <w:sz w:val="18"/>
              </w:rPr>
              <w:t>Meta </w:t>
            </w:r>
            <w:r>
              <w:rPr>
                <w:b/>
                <w:spacing w:val="-2"/>
                <w:sz w:val="18"/>
              </w:rPr>
              <w:t>programada</w:t>
            </w:r>
          </w:p>
        </w:tc>
        <w:tc>
          <w:tcPr>
            <w:tcW w:w="1071" w:type="dxa"/>
            <w:shd w:val="clear" w:color="auto" w:fill="F1F1F1"/>
          </w:tcPr>
          <w:p>
            <w:pPr>
              <w:pStyle w:val="TableParagraph"/>
              <w:spacing w:before="79"/>
              <w:rPr>
                <w:b/>
                <w:sz w:val="18"/>
              </w:rPr>
            </w:pPr>
          </w:p>
          <w:p>
            <w:pPr>
              <w:pStyle w:val="TableParagraph"/>
              <w:spacing w:before="1"/>
              <w:ind w:left="11" w:right="9"/>
              <w:jc w:val="center"/>
              <w:rPr>
                <w:b/>
                <w:sz w:val="18"/>
              </w:rPr>
            </w:pPr>
            <w:r>
              <w:rPr>
                <w:b/>
                <w:spacing w:val="-10"/>
                <w:sz w:val="18"/>
              </w:rPr>
              <w:t>¢</w:t>
            </w:r>
          </w:p>
        </w:tc>
      </w:tr>
      <w:tr>
        <w:trPr>
          <w:trHeight w:val="494" w:hRule="atLeast"/>
        </w:trPr>
        <w:tc>
          <w:tcPr>
            <w:tcW w:w="14394" w:type="dxa"/>
            <w:gridSpan w:val="10"/>
            <w:shd w:val="clear" w:color="auto" w:fill="F1F1F1"/>
          </w:tcPr>
          <w:p>
            <w:pPr>
              <w:pStyle w:val="TableParagraph"/>
              <w:spacing w:line="244" w:lineRule="auto" w:before="37"/>
              <w:ind w:left="72"/>
              <w:rPr>
                <w:b/>
                <w:sz w:val="18"/>
              </w:rPr>
            </w:pPr>
            <w:r>
              <w:rPr>
                <w:b/>
                <w:sz w:val="18"/>
              </w:rPr>
              <w:t>Efectos:</w:t>
            </w:r>
            <w:r>
              <w:rPr>
                <w:b/>
                <w:spacing w:val="-1"/>
                <w:sz w:val="18"/>
              </w:rPr>
              <w:t> </w:t>
            </w:r>
            <w:r>
              <w:rPr>
                <w:b/>
                <w:sz w:val="18"/>
              </w:rPr>
              <w:t>Gestión</w:t>
            </w:r>
            <w:r>
              <w:rPr>
                <w:b/>
                <w:spacing w:val="-4"/>
                <w:sz w:val="18"/>
              </w:rPr>
              <w:t> </w:t>
            </w:r>
            <w:r>
              <w:rPr>
                <w:b/>
                <w:sz w:val="18"/>
              </w:rPr>
              <w:t>administrativa,</w:t>
            </w:r>
            <w:r>
              <w:rPr>
                <w:b/>
                <w:spacing w:val="-1"/>
                <w:sz w:val="18"/>
              </w:rPr>
              <w:t> </w:t>
            </w:r>
            <w:r>
              <w:rPr>
                <w:b/>
                <w:sz w:val="18"/>
              </w:rPr>
              <w:t>financiera,</w:t>
            </w:r>
            <w:r>
              <w:rPr>
                <w:b/>
                <w:spacing w:val="-1"/>
                <w:sz w:val="18"/>
              </w:rPr>
              <w:t> </w:t>
            </w:r>
            <w:r>
              <w:rPr>
                <w:b/>
                <w:sz w:val="18"/>
              </w:rPr>
              <w:t>tecnológica</w:t>
            </w:r>
            <w:r>
              <w:rPr>
                <w:b/>
                <w:spacing w:val="-3"/>
                <w:sz w:val="18"/>
              </w:rPr>
              <w:t> </w:t>
            </w:r>
            <w:r>
              <w:rPr>
                <w:b/>
                <w:sz w:val="18"/>
              </w:rPr>
              <w:t>y</w:t>
            </w:r>
            <w:r>
              <w:rPr>
                <w:b/>
                <w:spacing w:val="-3"/>
                <w:sz w:val="18"/>
              </w:rPr>
              <w:t> </w:t>
            </w:r>
            <w:r>
              <w:rPr>
                <w:b/>
                <w:sz w:val="18"/>
              </w:rPr>
              <w:t>asesora</w:t>
            </w:r>
            <w:r>
              <w:rPr>
                <w:b/>
                <w:spacing w:val="-3"/>
                <w:sz w:val="18"/>
              </w:rPr>
              <w:t> </w:t>
            </w:r>
            <w:r>
              <w:rPr>
                <w:b/>
                <w:sz w:val="18"/>
              </w:rPr>
              <w:t>oportuna</w:t>
            </w:r>
            <w:r>
              <w:rPr>
                <w:b/>
                <w:spacing w:val="-3"/>
                <w:sz w:val="18"/>
              </w:rPr>
              <w:t> </w:t>
            </w:r>
            <w:r>
              <w:rPr>
                <w:b/>
                <w:sz w:val="18"/>
              </w:rPr>
              <w:t>para</w:t>
            </w:r>
            <w:r>
              <w:rPr>
                <w:b/>
                <w:spacing w:val="-3"/>
                <w:sz w:val="18"/>
              </w:rPr>
              <w:t> </w:t>
            </w:r>
            <w:r>
              <w:rPr>
                <w:b/>
                <w:sz w:val="18"/>
              </w:rPr>
              <w:t>coadyuvar</w:t>
            </w:r>
            <w:r>
              <w:rPr>
                <w:b/>
                <w:spacing w:val="-2"/>
                <w:sz w:val="18"/>
              </w:rPr>
              <w:t> </w:t>
            </w:r>
            <w:r>
              <w:rPr>
                <w:b/>
                <w:sz w:val="18"/>
              </w:rPr>
              <w:t>en</w:t>
            </w:r>
            <w:r>
              <w:rPr>
                <w:b/>
                <w:spacing w:val="-4"/>
                <w:sz w:val="18"/>
              </w:rPr>
              <w:t> </w:t>
            </w:r>
            <w:r>
              <w:rPr>
                <w:b/>
                <w:sz w:val="18"/>
              </w:rPr>
              <w:t>la ejecución</w:t>
            </w:r>
            <w:r>
              <w:rPr>
                <w:b/>
                <w:spacing w:val="-4"/>
                <w:sz w:val="18"/>
              </w:rPr>
              <w:t> </w:t>
            </w:r>
            <w:r>
              <w:rPr>
                <w:b/>
                <w:sz w:val="18"/>
              </w:rPr>
              <w:t>de</w:t>
            </w:r>
            <w:r>
              <w:rPr>
                <w:b/>
                <w:spacing w:val="-3"/>
                <w:sz w:val="18"/>
              </w:rPr>
              <w:t> </w:t>
            </w:r>
            <w:r>
              <w:rPr>
                <w:b/>
                <w:sz w:val="18"/>
              </w:rPr>
              <w:t>la</w:t>
            </w:r>
            <w:r>
              <w:rPr>
                <w:b/>
                <w:spacing w:val="-3"/>
                <w:sz w:val="18"/>
              </w:rPr>
              <w:t> </w:t>
            </w:r>
            <w:r>
              <w:rPr>
                <w:b/>
                <w:sz w:val="18"/>
              </w:rPr>
              <w:t>oferta programática</w:t>
            </w:r>
            <w:r>
              <w:rPr>
                <w:b/>
                <w:spacing w:val="-3"/>
                <w:sz w:val="18"/>
              </w:rPr>
              <w:t> </w:t>
            </w:r>
            <w:r>
              <w:rPr>
                <w:b/>
                <w:sz w:val="18"/>
              </w:rPr>
              <w:t>institucional dirigida a</w:t>
            </w:r>
            <w:r>
              <w:rPr>
                <w:b/>
                <w:spacing w:val="-8"/>
                <w:sz w:val="18"/>
              </w:rPr>
              <w:t> </w:t>
            </w:r>
            <w:r>
              <w:rPr>
                <w:b/>
                <w:sz w:val="18"/>
              </w:rPr>
              <w:t>la población en situación de pobreza y pobreza extrema.</w:t>
            </w:r>
          </w:p>
        </w:tc>
      </w:tr>
      <w:tr>
        <w:trPr>
          <w:trHeight w:val="614" w:hRule="atLeast"/>
        </w:trPr>
        <w:tc>
          <w:tcPr>
            <w:tcW w:w="14394" w:type="dxa"/>
            <w:gridSpan w:val="10"/>
            <w:shd w:val="clear" w:color="auto" w:fill="EFF8F9"/>
          </w:tcPr>
          <w:p>
            <w:pPr>
              <w:pStyle w:val="TableParagraph"/>
              <w:spacing w:before="205"/>
              <w:ind w:left="72"/>
              <w:rPr>
                <w:b/>
                <w:sz w:val="18"/>
              </w:rPr>
            </w:pPr>
            <w:r>
              <w:rPr>
                <w:b/>
                <w:sz w:val="18"/>
              </w:rPr>
              <w:t>Producto</w:t>
            </w:r>
            <w:r>
              <w:rPr>
                <w:b/>
                <w:spacing w:val="-9"/>
                <w:sz w:val="18"/>
              </w:rPr>
              <w:t> </w:t>
            </w:r>
            <w:r>
              <w:rPr>
                <w:b/>
                <w:sz w:val="18"/>
              </w:rPr>
              <w:t>PAC</w:t>
            </w:r>
            <w:r>
              <w:rPr>
                <w:b/>
                <w:spacing w:val="-8"/>
                <w:sz w:val="18"/>
              </w:rPr>
              <w:t> </w:t>
            </w:r>
            <w:r>
              <w:rPr>
                <w:b/>
                <w:sz w:val="18"/>
              </w:rPr>
              <w:t>2.59:</w:t>
            </w:r>
            <w:r>
              <w:rPr>
                <w:b/>
                <w:spacing w:val="42"/>
                <w:sz w:val="18"/>
              </w:rPr>
              <w:t> </w:t>
            </w:r>
            <w:r>
              <w:rPr>
                <w:b/>
                <w:sz w:val="18"/>
              </w:rPr>
              <w:t>CEDAW,</w:t>
            </w:r>
            <w:r>
              <w:rPr>
                <w:b/>
                <w:spacing w:val="-6"/>
                <w:sz w:val="18"/>
              </w:rPr>
              <w:t> </w:t>
            </w:r>
            <w:r>
              <w:rPr>
                <w:b/>
                <w:sz w:val="18"/>
              </w:rPr>
              <w:t>Belém</w:t>
            </w:r>
            <w:r>
              <w:rPr>
                <w:b/>
                <w:spacing w:val="-6"/>
                <w:sz w:val="18"/>
              </w:rPr>
              <w:t> </w:t>
            </w:r>
            <w:r>
              <w:rPr>
                <w:b/>
                <w:sz w:val="18"/>
              </w:rPr>
              <w:t>Do</w:t>
            </w:r>
            <w:r>
              <w:rPr>
                <w:b/>
                <w:spacing w:val="-3"/>
                <w:sz w:val="18"/>
              </w:rPr>
              <w:t> </w:t>
            </w:r>
            <w:r>
              <w:rPr>
                <w:b/>
                <w:sz w:val="18"/>
              </w:rPr>
              <w:t>Pará,</w:t>
            </w:r>
            <w:r>
              <w:rPr>
                <w:b/>
                <w:spacing w:val="-1"/>
                <w:sz w:val="18"/>
              </w:rPr>
              <w:t> </w:t>
            </w:r>
            <w:r>
              <w:rPr>
                <w:b/>
                <w:sz w:val="18"/>
              </w:rPr>
              <w:t>PIEG</w:t>
            </w:r>
            <w:r>
              <w:rPr>
                <w:b/>
                <w:spacing w:val="-1"/>
                <w:sz w:val="18"/>
              </w:rPr>
              <w:t> </w:t>
            </w:r>
            <w:r>
              <w:rPr>
                <w:b/>
                <w:sz w:val="18"/>
              </w:rPr>
              <w:t>y</w:t>
            </w:r>
            <w:r>
              <w:rPr>
                <w:b/>
                <w:spacing w:val="-7"/>
                <w:sz w:val="18"/>
              </w:rPr>
              <w:t> </w:t>
            </w:r>
            <w:r>
              <w:rPr>
                <w:b/>
                <w:sz w:val="18"/>
              </w:rPr>
              <w:t>PLANOVI,</w:t>
            </w:r>
            <w:r>
              <w:rPr>
                <w:b/>
                <w:spacing w:val="-5"/>
                <w:sz w:val="18"/>
              </w:rPr>
              <w:t> </w:t>
            </w:r>
            <w:r>
              <w:rPr>
                <w:b/>
                <w:sz w:val="18"/>
              </w:rPr>
              <w:t>implementados</w:t>
            </w:r>
            <w:r>
              <w:rPr>
                <w:b/>
                <w:spacing w:val="-7"/>
                <w:sz w:val="18"/>
              </w:rPr>
              <w:t> </w:t>
            </w:r>
            <w:r>
              <w:rPr>
                <w:b/>
                <w:sz w:val="18"/>
              </w:rPr>
              <w:t>eficientemente</w:t>
            </w:r>
            <w:r>
              <w:rPr>
                <w:b/>
                <w:spacing w:val="-8"/>
                <w:sz w:val="18"/>
              </w:rPr>
              <w:t> </w:t>
            </w:r>
            <w:r>
              <w:rPr>
                <w:b/>
                <w:sz w:val="18"/>
              </w:rPr>
              <w:t>con</w:t>
            </w:r>
            <w:r>
              <w:rPr>
                <w:b/>
                <w:spacing w:val="-8"/>
                <w:sz w:val="18"/>
              </w:rPr>
              <w:t> </w:t>
            </w:r>
            <w:r>
              <w:rPr>
                <w:b/>
                <w:sz w:val="18"/>
              </w:rPr>
              <w:t>una</w:t>
            </w:r>
            <w:r>
              <w:rPr>
                <w:b/>
                <w:spacing w:val="-7"/>
                <w:sz w:val="18"/>
              </w:rPr>
              <w:t> </w:t>
            </w:r>
            <w:r>
              <w:rPr>
                <w:b/>
                <w:sz w:val="18"/>
              </w:rPr>
              <w:t>asesoría</w:t>
            </w:r>
            <w:r>
              <w:rPr>
                <w:b/>
                <w:spacing w:val="-7"/>
                <w:sz w:val="18"/>
              </w:rPr>
              <w:t> </w:t>
            </w:r>
            <w:r>
              <w:rPr>
                <w:b/>
                <w:spacing w:val="-2"/>
                <w:sz w:val="18"/>
              </w:rPr>
              <w:t>oportuna.</w:t>
            </w:r>
          </w:p>
        </w:tc>
      </w:tr>
      <w:tr>
        <w:trPr>
          <w:trHeight w:val="1199" w:hRule="atLeast"/>
        </w:trPr>
        <w:tc>
          <w:tcPr>
            <w:tcW w:w="2099" w:type="dxa"/>
          </w:tcPr>
          <w:p>
            <w:pPr>
              <w:pStyle w:val="TableParagraph"/>
              <w:spacing w:before="85"/>
              <w:ind w:left="72" w:right="105"/>
              <w:rPr>
                <w:sz w:val="18"/>
              </w:rPr>
            </w:pPr>
            <w:r>
              <w:rPr>
                <w:b/>
                <w:sz w:val="18"/>
              </w:rPr>
              <w:t>Actividad</w:t>
            </w:r>
            <w:r>
              <w:rPr>
                <w:b/>
                <w:spacing w:val="-15"/>
                <w:sz w:val="18"/>
              </w:rPr>
              <w:t> </w:t>
            </w:r>
            <w:r>
              <w:rPr>
                <w:b/>
                <w:sz w:val="18"/>
              </w:rPr>
              <w:t>PAC</w:t>
            </w:r>
            <w:r>
              <w:rPr>
                <w:b/>
                <w:spacing w:val="-12"/>
                <w:sz w:val="18"/>
              </w:rPr>
              <w:t> </w:t>
            </w:r>
            <w:r>
              <w:rPr>
                <w:b/>
                <w:sz w:val="18"/>
              </w:rPr>
              <w:t>2.59.1: </w:t>
            </w:r>
            <w:r>
              <w:rPr>
                <w:sz w:val="18"/>
              </w:rPr>
              <w:t>Ejecución de acciones de seguimiento de los ejes estructurales de PIEG y PLANOVI.</w:t>
            </w:r>
          </w:p>
        </w:tc>
        <w:tc>
          <w:tcPr>
            <w:tcW w:w="1570" w:type="dxa"/>
          </w:tcPr>
          <w:p>
            <w:pPr>
              <w:pStyle w:val="TableParagraph"/>
              <w:spacing w:line="242" w:lineRule="auto" w:before="186"/>
              <w:ind w:left="71" w:right="406" w:firstLine="105"/>
              <w:rPr>
                <w:sz w:val="18"/>
              </w:rPr>
            </w:pPr>
            <w:r>
              <w:rPr>
                <w:sz w:val="18"/>
              </w:rPr>
              <w:t>Cantidad</w:t>
            </w:r>
            <w:r>
              <w:rPr>
                <w:spacing w:val="-13"/>
                <w:sz w:val="18"/>
              </w:rPr>
              <w:t> </w:t>
            </w:r>
            <w:r>
              <w:rPr>
                <w:sz w:val="18"/>
              </w:rPr>
              <w:t>de acciones de </w:t>
            </w:r>
            <w:r>
              <w:rPr>
                <w:spacing w:val="-2"/>
                <w:sz w:val="18"/>
              </w:rPr>
              <w:t>seguimiento ejecutadas</w:t>
            </w:r>
          </w:p>
        </w:tc>
        <w:tc>
          <w:tcPr>
            <w:tcW w:w="1570" w:type="dxa"/>
          </w:tcPr>
          <w:p>
            <w:pPr>
              <w:pStyle w:val="TableParagraph"/>
              <w:rPr>
                <w:b/>
                <w:sz w:val="18"/>
              </w:rPr>
            </w:pPr>
          </w:p>
          <w:p>
            <w:pPr>
              <w:pStyle w:val="TableParagraph"/>
              <w:spacing w:before="84"/>
              <w:rPr>
                <w:b/>
                <w:sz w:val="18"/>
              </w:rPr>
            </w:pPr>
          </w:p>
          <w:p>
            <w:pPr>
              <w:pStyle w:val="TableParagraph"/>
              <w:ind w:right="55"/>
              <w:jc w:val="right"/>
              <w:rPr>
                <w:sz w:val="18"/>
              </w:rPr>
            </w:pPr>
            <w:r>
              <w:rPr>
                <w:spacing w:val="-10"/>
                <w:sz w:val="18"/>
              </w:rPr>
              <w:t>4</w:t>
            </w:r>
          </w:p>
        </w:tc>
        <w:tc>
          <w:tcPr>
            <w:tcW w:w="1277" w:type="dxa"/>
          </w:tcPr>
          <w:p>
            <w:pPr>
              <w:pStyle w:val="TableParagraph"/>
              <w:rPr>
                <w:rFonts w:ascii="Times New Roman"/>
                <w:sz w:val="18"/>
              </w:rPr>
            </w:pPr>
          </w:p>
        </w:tc>
        <w:tc>
          <w:tcPr>
            <w:tcW w:w="1421" w:type="dxa"/>
          </w:tcPr>
          <w:p>
            <w:pPr>
              <w:pStyle w:val="TableParagraph"/>
              <w:rPr>
                <w:b/>
                <w:sz w:val="18"/>
              </w:rPr>
            </w:pPr>
          </w:p>
          <w:p>
            <w:pPr>
              <w:pStyle w:val="TableParagraph"/>
              <w:spacing w:before="84"/>
              <w:rPr>
                <w:b/>
                <w:sz w:val="18"/>
              </w:rPr>
            </w:pPr>
          </w:p>
          <w:p>
            <w:pPr>
              <w:pStyle w:val="TableParagraph"/>
              <w:ind w:right="59"/>
              <w:jc w:val="right"/>
              <w:rPr>
                <w:sz w:val="18"/>
              </w:rPr>
            </w:pPr>
            <w:r>
              <w:rPr>
                <w:spacing w:val="-10"/>
                <w:sz w:val="18"/>
              </w:rPr>
              <w:t>8</w:t>
            </w:r>
          </w:p>
        </w:tc>
        <w:tc>
          <w:tcPr>
            <w:tcW w:w="1416" w:type="dxa"/>
          </w:tcPr>
          <w:p>
            <w:pPr>
              <w:pStyle w:val="TableParagraph"/>
              <w:rPr>
                <w:rFonts w:ascii="Times New Roman"/>
                <w:sz w:val="18"/>
              </w:rPr>
            </w:pPr>
          </w:p>
        </w:tc>
        <w:tc>
          <w:tcPr>
            <w:tcW w:w="1560" w:type="dxa"/>
          </w:tcPr>
          <w:p>
            <w:pPr>
              <w:pStyle w:val="TableParagraph"/>
              <w:rPr>
                <w:b/>
                <w:sz w:val="18"/>
              </w:rPr>
            </w:pPr>
          </w:p>
          <w:p>
            <w:pPr>
              <w:pStyle w:val="TableParagraph"/>
              <w:spacing w:before="84"/>
              <w:rPr>
                <w:b/>
                <w:sz w:val="18"/>
              </w:rPr>
            </w:pPr>
          </w:p>
          <w:p>
            <w:pPr>
              <w:pStyle w:val="TableParagraph"/>
              <w:ind w:right="59"/>
              <w:jc w:val="right"/>
              <w:rPr>
                <w:sz w:val="18"/>
              </w:rPr>
            </w:pPr>
            <w:r>
              <w:rPr>
                <w:spacing w:val="-5"/>
                <w:sz w:val="18"/>
              </w:rPr>
              <w:t>12</w:t>
            </w:r>
          </w:p>
        </w:tc>
        <w:tc>
          <w:tcPr>
            <w:tcW w:w="1229" w:type="dxa"/>
          </w:tcPr>
          <w:p>
            <w:pPr>
              <w:pStyle w:val="TableParagraph"/>
              <w:rPr>
                <w:rFonts w:ascii="Times New Roman"/>
                <w:sz w:val="18"/>
              </w:rPr>
            </w:pPr>
          </w:p>
        </w:tc>
        <w:tc>
          <w:tcPr>
            <w:tcW w:w="1181" w:type="dxa"/>
          </w:tcPr>
          <w:p>
            <w:pPr>
              <w:pStyle w:val="TableParagraph"/>
              <w:rPr>
                <w:b/>
                <w:sz w:val="18"/>
              </w:rPr>
            </w:pPr>
          </w:p>
          <w:p>
            <w:pPr>
              <w:pStyle w:val="TableParagraph"/>
              <w:spacing w:before="84"/>
              <w:rPr>
                <w:b/>
                <w:sz w:val="18"/>
              </w:rPr>
            </w:pPr>
          </w:p>
          <w:p>
            <w:pPr>
              <w:pStyle w:val="TableParagraph"/>
              <w:ind w:right="59"/>
              <w:jc w:val="right"/>
              <w:rPr>
                <w:sz w:val="18"/>
              </w:rPr>
            </w:pPr>
            <w:r>
              <w:rPr>
                <w:spacing w:val="-5"/>
                <w:sz w:val="18"/>
              </w:rPr>
              <w:t>16</w:t>
            </w:r>
          </w:p>
        </w:tc>
        <w:tc>
          <w:tcPr>
            <w:tcW w:w="1071" w:type="dxa"/>
          </w:tcPr>
          <w:p>
            <w:pPr>
              <w:pStyle w:val="TableParagraph"/>
              <w:rPr>
                <w:b/>
                <w:sz w:val="18"/>
              </w:rPr>
            </w:pPr>
          </w:p>
          <w:p>
            <w:pPr>
              <w:pStyle w:val="TableParagraph"/>
              <w:spacing w:before="84"/>
              <w:rPr>
                <w:b/>
                <w:sz w:val="18"/>
              </w:rPr>
            </w:pPr>
          </w:p>
          <w:p>
            <w:pPr>
              <w:pStyle w:val="TableParagraph"/>
              <w:ind w:left="11"/>
              <w:jc w:val="center"/>
              <w:rPr>
                <w:sz w:val="18"/>
              </w:rPr>
            </w:pPr>
            <w:r>
              <w:rPr>
                <w:sz w:val="18"/>
              </w:rPr>
              <w:t>₡1</w:t>
            </w:r>
            <w:r>
              <w:rPr>
                <w:spacing w:val="1"/>
                <w:sz w:val="18"/>
              </w:rPr>
              <w:t> </w:t>
            </w:r>
            <w:r>
              <w:rPr>
                <w:sz w:val="18"/>
              </w:rPr>
              <w:t>500</w:t>
            </w:r>
            <w:r>
              <w:rPr>
                <w:spacing w:val="-3"/>
                <w:sz w:val="18"/>
              </w:rPr>
              <w:t> </w:t>
            </w:r>
            <w:r>
              <w:rPr>
                <w:spacing w:val="-5"/>
                <w:sz w:val="18"/>
              </w:rPr>
              <w:t>000</w:t>
            </w:r>
          </w:p>
        </w:tc>
      </w:tr>
      <w:tr>
        <w:trPr>
          <w:trHeight w:val="1449" w:hRule="atLeast"/>
        </w:trPr>
        <w:tc>
          <w:tcPr>
            <w:tcW w:w="2099" w:type="dxa"/>
          </w:tcPr>
          <w:p>
            <w:pPr>
              <w:pStyle w:val="TableParagraph"/>
              <w:ind w:left="72" w:right="105"/>
              <w:rPr>
                <w:sz w:val="18"/>
              </w:rPr>
            </w:pPr>
            <w:r>
              <w:rPr>
                <w:b/>
                <w:sz w:val="18"/>
              </w:rPr>
              <w:t>Actividad PAC 2.59.2: </w:t>
            </w:r>
            <w:r>
              <w:rPr>
                <w:sz w:val="18"/>
              </w:rPr>
              <w:t>Personas funcionarias sensibilizadas para dar respuesta a las acciones de CEDAW,</w:t>
            </w:r>
          </w:p>
          <w:p>
            <w:pPr>
              <w:pStyle w:val="TableParagraph"/>
              <w:spacing w:line="206" w:lineRule="exact"/>
              <w:ind w:left="72"/>
              <w:rPr>
                <w:sz w:val="18"/>
              </w:rPr>
            </w:pPr>
            <w:r>
              <w:rPr>
                <w:sz w:val="18"/>
              </w:rPr>
              <w:t>Belem</w:t>
            </w:r>
            <w:r>
              <w:rPr>
                <w:spacing w:val="-6"/>
                <w:sz w:val="18"/>
              </w:rPr>
              <w:t> </w:t>
            </w:r>
            <w:r>
              <w:rPr>
                <w:sz w:val="18"/>
              </w:rPr>
              <w:t>Do</w:t>
            </w:r>
            <w:r>
              <w:rPr>
                <w:spacing w:val="-11"/>
                <w:sz w:val="18"/>
              </w:rPr>
              <w:t> </w:t>
            </w:r>
            <w:r>
              <w:rPr>
                <w:sz w:val="18"/>
              </w:rPr>
              <w:t>Pará,</w:t>
            </w:r>
            <w:r>
              <w:rPr>
                <w:spacing w:val="-9"/>
                <w:sz w:val="18"/>
              </w:rPr>
              <w:t> </w:t>
            </w:r>
            <w:r>
              <w:rPr>
                <w:sz w:val="18"/>
              </w:rPr>
              <w:t>PIEG</w:t>
            </w:r>
            <w:r>
              <w:rPr>
                <w:spacing w:val="-9"/>
                <w:sz w:val="18"/>
              </w:rPr>
              <w:t> </w:t>
            </w:r>
            <w:r>
              <w:rPr>
                <w:sz w:val="18"/>
              </w:rPr>
              <w:t>y </w:t>
            </w:r>
            <w:r>
              <w:rPr>
                <w:spacing w:val="-2"/>
                <w:sz w:val="18"/>
              </w:rPr>
              <w:t>PLANOVI.</w:t>
            </w:r>
          </w:p>
        </w:tc>
        <w:tc>
          <w:tcPr>
            <w:tcW w:w="1570" w:type="dxa"/>
          </w:tcPr>
          <w:p>
            <w:pPr>
              <w:pStyle w:val="TableParagraph"/>
              <w:spacing w:before="104"/>
              <w:rPr>
                <w:b/>
                <w:sz w:val="18"/>
              </w:rPr>
            </w:pPr>
          </w:p>
          <w:p>
            <w:pPr>
              <w:pStyle w:val="TableParagraph"/>
              <w:ind w:left="71" w:right="44"/>
              <w:rPr>
                <w:sz w:val="18"/>
              </w:rPr>
            </w:pPr>
            <w:r>
              <w:rPr>
                <w:sz w:val="18"/>
              </w:rPr>
              <w:t>Cantidad de </w:t>
            </w:r>
            <w:r>
              <w:rPr>
                <w:spacing w:val="-2"/>
                <w:sz w:val="18"/>
              </w:rPr>
              <w:t>personas funcionarias sensibilizadas</w:t>
            </w:r>
          </w:p>
        </w:tc>
        <w:tc>
          <w:tcPr>
            <w:tcW w:w="1570"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56"/>
              <w:jc w:val="right"/>
              <w:rPr>
                <w:sz w:val="18"/>
              </w:rPr>
            </w:pPr>
            <w:r>
              <w:rPr>
                <w:spacing w:val="-5"/>
                <w:sz w:val="18"/>
              </w:rPr>
              <w:t>100</w:t>
            </w:r>
          </w:p>
        </w:tc>
        <w:tc>
          <w:tcPr>
            <w:tcW w:w="1277"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60"/>
              <w:jc w:val="right"/>
              <w:rPr>
                <w:sz w:val="18"/>
              </w:rPr>
            </w:pPr>
            <w:r>
              <w:rPr>
                <w:spacing w:val="-5"/>
                <w:sz w:val="18"/>
              </w:rPr>
              <w:t>200</w:t>
            </w:r>
          </w:p>
        </w:tc>
        <w:tc>
          <w:tcPr>
            <w:tcW w:w="1416" w:type="dxa"/>
          </w:tcPr>
          <w:p>
            <w:pPr>
              <w:pStyle w:val="TableParagraph"/>
              <w:rPr>
                <w:rFonts w:ascii="Times New Roman"/>
                <w:sz w:val="18"/>
              </w:rPr>
            </w:pPr>
          </w:p>
        </w:tc>
        <w:tc>
          <w:tcPr>
            <w:tcW w:w="1560" w:type="dxa"/>
          </w:tcPr>
          <w:p>
            <w:pPr>
              <w:pStyle w:val="TableParagraph"/>
              <w:rPr>
                <w:rFonts w:ascii="Times New Roman"/>
                <w:sz w:val="18"/>
              </w:rPr>
            </w:pPr>
          </w:p>
        </w:tc>
        <w:tc>
          <w:tcPr>
            <w:tcW w:w="1229"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59"/>
              <w:jc w:val="right"/>
              <w:rPr>
                <w:sz w:val="18"/>
              </w:rPr>
            </w:pPr>
            <w:r>
              <w:rPr>
                <w:spacing w:val="-5"/>
                <w:sz w:val="18"/>
              </w:rPr>
              <w:t>300</w:t>
            </w:r>
          </w:p>
        </w:tc>
        <w:tc>
          <w:tcPr>
            <w:tcW w:w="1071"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99"/>
        <w:gridCol w:w="1570"/>
        <w:gridCol w:w="1570"/>
        <w:gridCol w:w="1277"/>
        <w:gridCol w:w="1421"/>
        <w:gridCol w:w="1416"/>
        <w:gridCol w:w="1560"/>
        <w:gridCol w:w="1229"/>
        <w:gridCol w:w="1181"/>
        <w:gridCol w:w="1071"/>
      </w:tblGrid>
      <w:tr>
        <w:trPr>
          <w:trHeight w:val="2486" w:hRule="atLeast"/>
        </w:trPr>
        <w:tc>
          <w:tcPr>
            <w:tcW w:w="2099" w:type="dxa"/>
          </w:tcPr>
          <w:p>
            <w:pPr>
              <w:pStyle w:val="TableParagraph"/>
              <w:ind w:left="72" w:right="147"/>
              <w:rPr>
                <w:sz w:val="18"/>
              </w:rPr>
            </w:pPr>
            <w:r>
              <w:rPr>
                <w:b/>
                <w:sz w:val="18"/>
              </w:rPr>
              <w:t>Actividad</w:t>
            </w:r>
            <w:r>
              <w:rPr>
                <w:b/>
                <w:spacing w:val="-13"/>
                <w:sz w:val="18"/>
              </w:rPr>
              <w:t> </w:t>
            </w:r>
            <w:r>
              <w:rPr>
                <w:b/>
                <w:sz w:val="18"/>
              </w:rPr>
              <w:t>PAC</w:t>
            </w:r>
            <w:r>
              <w:rPr>
                <w:b/>
                <w:spacing w:val="-9"/>
                <w:sz w:val="18"/>
              </w:rPr>
              <w:t> </w:t>
            </w:r>
            <w:r>
              <w:rPr>
                <w:b/>
                <w:sz w:val="18"/>
              </w:rPr>
              <w:t>2.59.3: </w:t>
            </w:r>
            <w:r>
              <w:rPr>
                <w:sz w:val="18"/>
              </w:rPr>
              <w:t>Acciones de asesoría brindadas a las </w:t>
            </w:r>
            <w:r>
              <w:rPr>
                <w:spacing w:val="-2"/>
                <w:sz w:val="18"/>
              </w:rPr>
              <w:t>instancias institucionales </w:t>
            </w:r>
            <w:r>
              <w:rPr>
                <w:sz w:val="18"/>
              </w:rPr>
              <w:t>involucradas en la implementación de los instrumentos de protección</w:t>
            </w:r>
            <w:r>
              <w:rPr>
                <w:spacing w:val="-15"/>
                <w:sz w:val="18"/>
              </w:rPr>
              <w:t> </w:t>
            </w:r>
            <w:r>
              <w:rPr>
                <w:sz w:val="18"/>
              </w:rPr>
              <w:t>y</w:t>
            </w:r>
            <w:r>
              <w:rPr>
                <w:spacing w:val="-12"/>
                <w:sz w:val="18"/>
              </w:rPr>
              <w:t> </w:t>
            </w:r>
            <w:r>
              <w:rPr>
                <w:sz w:val="18"/>
              </w:rPr>
              <w:t>promoción de los derechos humanos de las</w:t>
            </w:r>
          </w:p>
          <w:p>
            <w:pPr>
              <w:pStyle w:val="TableParagraph"/>
              <w:spacing w:line="191" w:lineRule="exact"/>
              <w:ind w:left="72"/>
              <w:rPr>
                <w:sz w:val="18"/>
              </w:rPr>
            </w:pPr>
            <w:r>
              <w:rPr>
                <w:spacing w:val="-2"/>
                <w:sz w:val="18"/>
              </w:rPr>
              <w:t>mujeres.</w:t>
            </w:r>
          </w:p>
        </w:tc>
        <w:tc>
          <w:tcPr>
            <w:tcW w:w="1570" w:type="dxa"/>
          </w:tcPr>
          <w:p>
            <w:pPr>
              <w:pStyle w:val="TableParagraph"/>
              <w:rPr>
                <w:b/>
                <w:sz w:val="18"/>
              </w:rPr>
            </w:pPr>
          </w:p>
          <w:p>
            <w:pPr>
              <w:pStyle w:val="TableParagraph"/>
              <w:spacing w:before="204"/>
              <w:rPr>
                <w:b/>
                <w:sz w:val="18"/>
              </w:rPr>
            </w:pPr>
          </w:p>
          <w:p>
            <w:pPr>
              <w:pStyle w:val="TableParagraph"/>
              <w:ind w:left="71" w:right="44"/>
              <w:rPr>
                <w:sz w:val="18"/>
              </w:rPr>
            </w:pPr>
            <w:r>
              <w:rPr>
                <w:sz w:val="18"/>
              </w:rPr>
              <w:t>Cantidad de acciones de </w:t>
            </w:r>
            <w:r>
              <w:rPr>
                <w:spacing w:val="-2"/>
                <w:sz w:val="18"/>
              </w:rPr>
              <w:t>asesoría </w:t>
            </w:r>
            <w:r>
              <w:rPr>
                <w:sz w:val="18"/>
              </w:rPr>
              <w:t>brindadas a las </w:t>
            </w:r>
            <w:r>
              <w:rPr>
                <w:spacing w:val="-2"/>
                <w:sz w:val="18"/>
              </w:rPr>
              <w:t>instancias correspondientes.</w:t>
            </w:r>
          </w:p>
        </w:tc>
        <w:tc>
          <w:tcPr>
            <w:tcW w:w="15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5"/>
              <w:jc w:val="right"/>
              <w:rPr>
                <w:sz w:val="18"/>
              </w:rPr>
            </w:pPr>
            <w:r>
              <w:rPr>
                <w:spacing w:val="-10"/>
                <w:sz w:val="18"/>
              </w:rPr>
              <w:t>6</w:t>
            </w:r>
          </w:p>
        </w:tc>
        <w:tc>
          <w:tcPr>
            <w:tcW w:w="1277"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9"/>
              <w:jc w:val="right"/>
              <w:rPr>
                <w:sz w:val="18"/>
              </w:rPr>
            </w:pPr>
            <w:r>
              <w:rPr>
                <w:spacing w:val="-10"/>
                <w:sz w:val="18"/>
              </w:rPr>
              <w:t>9</w:t>
            </w:r>
          </w:p>
        </w:tc>
        <w:tc>
          <w:tcPr>
            <w:tcW w:w="1416" w:type="dxa"/>
          </w:tcPr>
          <w:p>
            <w:pPr>
              <w:pStyle w:val="TableParagraph"/>
              <w:rPr>
                <w:rFonts w:ascii="Times New Roman"/>
                <w:sz w:val="18"/>
              </w:rPr>
            </w:pP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9"/>
              <w:jc w:val="right"/>
              <w:rPr>
                <w:sz w:val="18"/>
              </w:rPr>
            </w:pPr>
            <w:r>
              <w:rPr>
                <w:spacing w:val="-5"/>
                <w:sz w:val="18"/>
              </w:rPr>
              <w:t>12</w:t>
            </w:r>
          </w:p>
        </w:tc>
        <w:tc>
          <w:tcPr>
            <w:tcW w:w="1229"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9"/>
              <w:jc w:val="right"/>
              <w:rPr>
                <w:sz w:val="18"/>
              </w:rPr>
            </w:pPr>
            <w:r>
              <w:rPr>
                <w:spacing w:val="-5"/>
                <w:sz w:val="18"/>
              </w:rPr>
              <w:t>15</w:t>
            </w:r>
          </w:p>
        </w:tc>
        <w:tc>
          <w:tcPr>
            <w:tcW w:w="1071" w:type="dxa"/>
          </w:tcPr>
          <w:p>
            <w:pPr>
              <w:pStyle w:val="TableParagraph"/>
              <w:rPr>
                <w:rFonts w:ascii="Times New Roman"/>
                <w:sz w:val="18"/>
              </w:rPr>
            </w:pPr>
          </w:p>
        </w:tc>
      </w:tr>
      <w:tr>
        <w:trPr>
          <w:trHeight w:val="3101" w:hRule="atLeast"/>
        </w:trPr>
        <w:tc>
          <w:tcPr>
            <w:tcW w:w="2099" w:type="dxa"/>
          </w:tcPr>
          <w:p>
            <w:pPr>
              <w:pStyle w:val="TableParagraph"/>
              <w:ind w:left="72" w:right="71"/>
              <w:rPr>
                <w:sz w:val="18"/>
              </w:rPr>
            </w:pPr>
            <w:r>
              <w:rPr>
                <w:b/>
                <w:sz w:val="18"/>
              </w:rPr>
              <w:t>Actividad PAC 2.59.4: </w:t>
            </w:r>
            <w:r>
              <w:rPr>
                <w:sz w:val="18"/>
              </w:rPr>
              <w:t>Elaboración</w:t>
            </w:r>
            <w:r>
              <w:rPr>
                <w:spacing w:val="-15"/>
                <w:sz w:val="18"/>
              </w:rPr>
              <w:t> </w:t>
            </w:r>
            <w:r>
              <w:rPr>
                <w:sz w:val="18"/>
              </w:rPr>
              <w:t>de</w:t>
            </w:r>
            <w:r>
              <w:rPr>
                <w:spacing w:val="-12"/>
                <w:sz w:val="18"/>
              </w:rPr>
              <w:t> </w:t>
            </w:r>
            <w:r>
              <w:rPr>
                <w:sz w:val="18"/>
              </w:rPr>
              <w:t>informes de ejecución acerca de la normativa internacional</w:t>
            </w:r>
            <w:r>
              <w:rPr>
                <w:spacing w:val="-15"/>
                <w:sz w:val="18"/>
              </w:rPr>
              <w:t> </w:t>
            </w:r>
            <w:r>
              <w:rPr>
                <w:sz w:val="18"/>
              </w:rPr>
              <w:t>y</w:t>
            </w:r>
            <w:r>
              <w:rPr>
                <w:spacing w:val="-12"/>
                <w:sz w:val="18"/>
              </w:rPr>
              <w:t> </w:t>
            </w:r>
            <w:r>
              <w:rPr>
                <w:sz w:val="18"/>
              </w:rPr>
              <w:t>nacional, a partir de la sistematización de los informes presentados por las Unidades y Áreas con responsabilidades en la ejecución de la normativa internacional</w:t>
            </w:r>
          </w:p>
          <w:p>
            <w:pPr>
              <w:pStyle w:val="TableParagraph"/>
              <w:spacing w:line="206" w:lineRule="exact"/>
              <w:ind w:left="72"/>
              <w:rPr>
                <w:sz w:val="18"/>
              </w:rPr>
            </w:pPr>
            <w:r>
              <w:rPr>
                <w:sz w:val="18"/>
              </w:rPr>
              <w:t>y</w:t>
            </w:r>
            <w:r>
              <w:rPr>
                <w:spacing w:val="-5"/>
                <w:sz w:val="18"/>
              </w:rPr>
              <w:t> </w:t>
            </w:r>
            <w:r>
              <w:rPr>
                <w:sz w:val="18"/>
              </w:rPr>
              <w:t>nacional</w:t>
            </w:r>
            <w:r>
              <w:rPr>
                <w:spacing w:val="-11"/>
                <w:sz w:val="18"/>
              </w:rPr>
              <w:t> </w:t>
            </w:r>
            <w:r>
              <w:rPr>
                <w:sz w:val="18"/>
              </w:rPr>
              <w:t>de</w:t>
            </w:r>
            <w:r>
              <w:rPr>
                <w:spacing w:val="-9"/>
                <w:sz w:val="18"/>
              </w:rPr>
              <w:t> </w:t>
            </w:r>
            <w:r>
              <w:rPr>
                <w:sz w:val="18"/>
              </w:rPr>
              <w:t>equidad</w:t>
            </w:r>
            <w:r>
              <w:rPr>
                <w:spacing w:val="-9"/>
                <w:sz w:val="18"/>
              </w:rPr>
              <w:t> </w:t>
            </w:r>
            <w:r>
              <w:rPr>
                <w:sz w:val="18"/>
              </w:rPr>
              <w:t>e igualdad de género.</w:t>
            </w:r>
          </w:p>
        </w:tc>
        <w:tc>
          <w:tcPr>
            <w:tcW w:w="15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ight="44"/>
              <w:rPr>
                <w:sz w:val="18"/>
              </w:rPr>
            </w:pPr>
            <w:r>
              <w:rPr>
                <w:sz w:val="18"/>
              </w:rPr>
              <w:t>Cantidad de informes de </w:t>
            </w:r>
            <w:r>
              <w:rPr>
                <w:spacing w:val="-2"/>
                <w:sz w:val="18"/>
              </w:rPr>
              <w:t>sistematización realizados</w:t>
            </w:r>
          </w:p>
        </w:tc>
        <w:tc>
          <w:tcPr>
            <w:tcW w:w="15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ind w:right="55"/>
              <w:jc w:val="right"/>
              <w:rPr>
                <w:sz w:val="18"/>
              </w:rPr>
            </w:pPr>
            <w:r>
              <w:rPr>
                <w:spacing w:val="-10"/>
                <w:sz w:val="18"/>
              </w:rPr>
              <w:t>1</w:t>
            </w:r>
          </w:p>
        </w:tc>
        <w:tc>
          <w:tcPr>
            <w:tcW w:w="1277" w:type="dxa"/>
          </w:tcPr>
          <w:p>
            <w:pPr>
              <w:pStyle w:val="TableParagraph"/>
              <w:rPr>
                <w:rFonts w:ascii="Times New Roman"/>
                <w:sz w:val="18"/>
              </w:rPr>
            </w:pP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ind w:right="59"/>
              <w:jc w:val="right"/>
              <w:rPr>
                <w:sz w:val="18"/>
              </w:rPr>
            </w:pPr>
            <w:r>
              <w:rPr>
                <w:spacing w:val="-10"/>
                <w:sz w:val="18"/>
              </w:rPr>
              <w:t>2</w:t>
            </w:r>
          </w:p>
        </w:tc>
        <w:tc>
          <w:tcPr>
            <w:tcW w:w="1416" w:type="dxa"/>
          </w:tcPr>
          <w:p>
            <w:pPr>
              <w:pStyle w:val="TableParagraph"/>
              <w:rPr>
                <w:rFonts w:ascii="Times New Roman"/>
                <w:sz w:val="18"/>
              </w:rPr>
            </w:pPr>
          </w:p>
        </w:tc>
        <w:tc>
          <w:tcPr>
            <w:tcW w:w="1560" w:type="dxa"/>
          </w:tcPr>
          <w:p>
            <w:pPr>
              <w:pStyle w:val="TableParagraph"/>
              <w:rPr>
                <w:rFonts w:ascii="Times New Roman"/>
                <w:sz w:val="18"/>
              </w:rPr>
            </w:pPr>
          </w:p>
        </w:tc>
        <w:tc>
          <w:tcPr>
            <w:tcW w:w="1229"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ind w:right="58"/>
              <w:jc w:val="right"/>
              <w:rPr>
                <w:sz w:val="18"/>
              </w:rPr>
            </w:pPr>
            <w:r>
              <w:rPr>
                <w:spacing w:val="-10"/>
                <w:sz w:val="18"/>
              </w:rPr>
              <w:t>3</w:t>
            </w:r>
          </w:p>
        </w:tc>
        <w:tc>
          <w:tcPr>
            <w:tcW w:w="1071" w:type="dxa"/>
          </w:tcPr>
          <w:p>
            <w:pPr>
              <w:pStyle w:val="TableParagraph"/>
              <w:rPr>
                <w:rFonts w:ascii="Times New Roman"/>
                <w:sz w:val="18"/>
              </w:rPr>
            </w:pPr>
          </w:p>
        </w:tc>
      </w:tr>
      <w:tr>
        <w:trPr>
          <w:trHeight w:val="301" w:hRule="atLeast"/>
        </w:trPr>
        <w:tc>
          <w:tcPr>
            <w:tcW w:w="14394" w:type="dxa"/>
            <w:gridSpan w:val="10"/>
            <w:shd w:val="clear" w:color="auto" w:fill="EFF8F9"/>
          </w:tcPr>
          <w:p>
            <w:pPr>
              <w:pStyle w:val="TableParagraph"/>
              <w:spacing w:before="45"/>
              <w:ind w:left="72"/>
              <w:rPr>
                <w:b/>
                <w:sz w:val="18"/>
              </w:rPr>
            </w:pPr>
            <w:r>
              <w:rPr>
                <w:b/>
                <w:sz w:val="18"/>
              </w:rPr>
              <w:t>Producto</w:t>
            </w:r>
            <w:r>
              <w:rPr>
                <w:b/>
                <w:spacing w:val="-8"/>
                <w:sz w:val="18"/>
              </w:rPr>
              <w:t> </w:t>
            </w:r>
            <w:r>
              <w:rPr>
                <w:b/>
                <w:sz w:val="18"/>
              </w:rPr>
              <w:t>PAC</w:t>
            </w:r>
            <w:r>
              <w:rPr>
                <w:b/>
                <w:spacing w:val="-8"/>
                <w:sz w:val="18"/>
              </w:rPr>
              <w:t> </w:t>
            </w:r>
            <w:r>
              <w:rPr>
                <w:b/>
                <w:sz w:val="18"/>
              </w:rPr>
              <w:t>2.60:</w:t>
            </w:r>
            <w:r>
              <w:rPr>
                <w:b/>
                <w:spacing w:val="43"/>
                <w:sz w:val="18"/>
              </w:rPr>
              <w:t> </w:t>
            </w:r>
            <w:r>
              <w:rPr>
                <w:b/>
                <w:sz w:val="18"/>
              </w:rPr>
              <w:t>Política</w:t>
            </w:r>
            <w:r>
              <w:rPr>
                <w:b/>
                <w:spacing w:val="-7"/>
                <w:sz w:val="18"/>
              </w:rPr>
              <w:t> </w:t>
            </w:r>
            <w:r>
              <w:rPr>
                <w:b/>
                <w:sz w:val="18"/>
              </w:rPr>
              <w:t>Igualdad</w:t>
            </w:r>
            <w:r>
              <w:rPr>
                <w:b/>
                <w:spacing w:val="-7"/>
                <w:sz w:val="18"/>
              </w:rPr>
              <w:t> </w:t>
            </w:r>
            <w:r>
              <w:rPr>
                <w:b/>
                <w:sz w:val="18"/>
              </w:rPr>
              <w:t>de</w:t>
            </w:r>
            <w:r>
              <w:rPr>
                <w:b/>
                <w:spacing w:val="-7"/>
                <w:sz w:val="18"/>
              </w:rPr>
              <w:t> </w:t>
            </w:r>
            <w:r>
              <w:rPr>
                <w:b/>
                <w:sz w:val="18"/>
              </w:rPr>
              <w:t>Género</w:t>
            </w:r>
            <w:r>
              <w:rPr>
                <w:b/>
                <w:spacing w:val="-7"/>
                <w:sz w:val="18"/>
              </w:rPr>
              <w:t> </w:t>
            </w:r>
            <w:r>
              <w:rPr>
                <w:b/>
                <w:sz w:val="18"/>
              </w:rPr>
              <w:t>con</w:t>
            </w:r>
            <w:r>
              <w:rPr>
                <w:b/>
                <w:spacing w:val="-8"/>
                <w:sz w:val="18"/>
              </w:rPr>
              <w:t> </w:t>
            </w:r>
            <w:r>
              <w:rPr>
                <w:b/>
                <w:sz w:val="18"/>
              </w:rPr>
              <w:t>Enfoque</w:t>
            </w:r>
            <w:r>
              <w:rPr>
                <w:b/>
                <w:spacing w:val="-6"/>
                <w:sz w:val="18"/>
              </w:rPr>
              <w:t> </w:t>
            </w:r>
            <w:r>
              <w:rPr>
                <w:b/>
                <w:sz w:val="18"/>
              </w:rPr>
              <w:t>Interseccional</w:t>
            </w:r>
            <w:r>
              <w:rPr>
                <w:b/>
                <w:spacing w:val="-5"/>
                <w:sz w:val="18"/>
              </w:rPr>
              <w:t> </w:t>
            </w:r>
            <w:r>
              <w:rPr>
                <w:b/>
                <w:sz w:val="18"/>
              </w:rPr>
              <w:t>del</w:t>
            </w:r>
            <w:r>
              <w:rPr>
                <w:b/>
                <w:spacing w:val="-5"/>
                <w:sz w:val="18"/>
              </w:rPr>
              <w:t> </w:t>
            </w:r>
            <w:r>
              <w:rPr>
                <w:b/>
                <w:sz w:val="18"/>
              </w:rPr>
              <w:t>IMAS,</w:t>
            </w:r>
            <w:r>
              <w:rPr>
                <w:b/>
                <w:spacing w:val="-4"/>
                <w:sz w:val="18"/>
              </w:rPr>
              <w:t> </w:t>
            </w:r>
            <w:r>
              <w:rPr>
                <w:b/>
                <w:sz w:val="18"/>
              </w:rPr>
              <w:t>implementada</w:t>
            </w:r>
            <w:r>
              <w:rPr>
                <w:b/>
                <w:spacing w:val="-7"/>
                <w:sz w:val="18"/>
              </w:rPr>
              <w:t> </w:t>
            </w:r>
            <w:r>
              <w:rPr>
                <w:b/>
                <w:sz w:val="18"/>
              </w:rPr>
              <w:t>eficientemente</w:t>
            </w:r>
            <w:r>
              <w:rPr>
                <w:b/>
                <w:spacing w:val="-3"/>
                <w:sz w:val="18"/>
              </w:rPr>
              <w:t> </w:t>
            </w:r>
            <w:r>
              <w:rPr>
                <w:b/>
                <w:sz w:val="18"/>
              </w:rPr>
              <w:t>con</w:t>
            </w:r>
            <w:r>
              <w:rPr>
                <w:b/>
                <w:spacing w:val="-3"/>
                <w:sz w:val="18"/>
              </w:rPr>
              <w:t> </w:t>
            </w:r>
            <w:r>
              <w:rPr>
                <w:b/>
                <w:sz w:val="18"/>
              </w:rPr>
              <w:t>una</w:t>
            </w:r>
            <w:r>
              <w:rPr>
                <w:b/>
                <w:spacing w:val="-2"/>
                <w:sz w:val="18"/>
              </w:rPr>
              <w:t> </w:t>
            </w:r>
            <w:r>
              <w:rPr>
                <w:b/>
                <w:sz w:val="18"/>
              </w:rPr>
              <w:t>asesoría</w:t>
            </w:r>
            <w:r>
              <w:rPr>
                <w:b/>
                <w:spacing w:val="-7"/>
                <w:sz w:val="18"/>
              </w:rPr>
              <w:t> </w:t>
            </w:r>
            <w:r>
              <w:rPr>
                <w:b/>
                <w:spacing w:val="-2"/>
                <w:sz w:val="18"/>
              </w:rPr>
              <w:t>oportuna.</w:t>
            </w:r>
          </w:p>
        </w:tc>
      </w:tr>
      <w:tr>
        <w:trPr>
          <w:trHeight w:val="1449" w:hRule="atLeast"/>
        </w:trPr>
        <w:tc>
          <w:tcPr>
            <w:tcW w:w="2099" w:type="dxa"/>
          </w:tcPr>
          <w:p>
            <w:pPr>
              <w:pStyle w:val="TableParagraph"/>
              <w:ind w:left="72" w:right="105"/>
              <w:rPr>
                <w:sz w:val="18"/>
              </w:rPr>
            </w:pPr>
            <w:r>
              <w:rPr>
                <w:b/>
                <w:sz w:val="18"/>
              </w:rPr>
              <w:t>Actividad PAC 2.60.1: </w:t>
            </w:r>
            <w:r>
              <w:rPr>
                <w:sz w:val="18"/>
              </w:rPr>
              <w:t>Acciones</w:t>
            </w:r>
            <w:r>
              <w:rPr>
                <w:spacing w:val="-4"/>
                <w:sz w:val="18"/>
              </w:rPr>
              <w:t> </w:t>
            </w:r>
            <w:r>
              <w:rPr>
                <w:sz w:val="18"/>
              </w:rPr>
              <w:t>de asesoría y seguimiento a las </w:t>
            </w:r>
            <w:r>
              <w:rPr>
                <w:spacing w:val="-2"/>
                <w:sz w:val="18"/>
              </w:rPr>
              <w:t>instancias </w:t>
            </w:r>
            <w:r>
              <w:rPr>
                <w:sz w:val="18"/>
              </w:rPr>
              <w:t>correspondientes, para la</w:t>
            </w:r>
            <w:r>
              <w:rPr>
                <w:spacing w:val="-11"/>
                <w:sz w:val="18"/>
              </w:rPr>
              <w:t> </w:t>
            </w:r>
            <w:r>
              <w:rPr>
                <w:sz w:val="18"/>
              </w:rPr>
              <w:t>implementación</w:t>
            </w:r>
            <w:r>
              <w:rPr>
                <w:spacing w:val="-13"/>
                <w:sz w:val="18"/>
              </w:rPr>
              <w:t> </w:t>
            </w:r>
            <w:r>
              <w:rPr>
                <w:sz w:val="18"/>
              </w:rPr>
              <w:t>de</w:t>
            </w:r>
            <w:r>
              <w:rPr>
                <w:spacing w:val="-10"/>
                <w:sz w:val="18"/>
              </w:rPr>
              <w:t> </w:t>
            </w:r>
            <w:r>
              <w:rPr>
                <w:sz w:val="18"/>
              </w:rPr>
              <w:t>la</w:t>
            </w:r>
          </w:p>
          <w:p>
            <w:pPr>
              <w:pStyle w:val="TableParagraph"/>
              <w:spacing w:line="187" w:lineRule="exact" w:before="1"/>
              <w:ind w:left="72"/>
              <w:rPr>
                <w:sz w:val="18"/>
              </w:rPr>
            </w:pPr>
            <w:r>
              <w:rPr>
                <w:spacing w:val="-2"/>
                <w:sz w:val="18"/>
              </w:rPr>
              <w:t>PIGI-IMAS.</w:t>
            </w:r>
          </w:p>
        </w:tc>
        <w:tc>
          <w:tcPr>
            <w:tcW w:w="1570" w:type="dxa"/>
          </w:tcPr>
          <w:p>
            <w:pPr>
              <w:pStyle w:val="TableParagraph"/>
              <w:spacing w:before="205"/>
              <w:ind w:left="71" w:right="44"/>
              <w:rPr>
                <w:sz w:val="18"/>
              </w:rPr>
            </w:pPr>
            <w:r>
              <w:rPr>
                <w:sz w:val="18"/>
              </w:rPr>
              <w:t>Cantidad</w:t>
            </w:r>
            <w:r>
              <w:rPr>
                <w:spacing w:val="-13"/>
                <w:sz w:val="18"/>
              </w:rPr>
              <w:t> </w:t>
            </w:r>
            <w:r>
              <w:rPr>
                <w:sz w:val="18"/>
              </w:rPr>
              <w:t>de acciones</w:t>
            </w:r>
            <w:r>
              <w:rPr>
                <w:spacing w:val="-13"/>
                <w:sz w:val="18"/>
              </w:rPr>
              <w:t> </w:t>
            </w:r>
            <w:r>
              <w:rPr>
                <w:sz w:val="18"/>
              </w:rPr>
              <w:t>de asesoría y </w:t>
            </w:r>
            <w:r>
              <w:rPr>
                <w:spacing w:val="-2"/>
                <w:sz w:val="18"/>
              </w:rPr>
              <w:t>seguimiento realizadas.</w:t>
            </w:r>
          </w:p>
        </w:tc>
        <w:tc>
          <w:tcPr>
            <w:tcW w:w="1570" w:type="dxa"/>
          </w:tcPr>
          <w:p>
            <w:pPr>
              <w:pStyle w:val="TableParagraph"/>
              <w:rPr>
                <w:b/>
                <w:sz w:val="18"/>
              </w:rPr>
            </w:pPr>
          </w:p>
          <w:p>
            <w:pPr>
              <w:pStyle w:val="TableParagraph"/>
              <w:spacing w:before="204"/>
              <w:rPr>
                <w:b/>
                <w:sz w:val="18"/>
              </w:rPr>
            </w:pPr>
          </w:p>
          <w:p>
            <w:pPr>
              <w:pStyle w:val="TableParagraph"/>
              <w:ind w:left="733"/>
              <w:rPr>
                <w:sz w:val="18"/>
              </w:rPr>
            </w:pPr>
            <w:r>
              <w:rPr>
                <w:spacing w:val="-10"/>
                <w:sz w:val="18"/>
              </w:rPr>
              <w:t>6</w:t>
            </w:r>
          </w:p>
        </w:tc>
        <w:tc>
          <w:tcPr>
            <w:tcW w:w="1277" w:type="dxa"/>
          </w:tcPr>
          <w:p>
            <w:pPr>
              <w:pStyle w:val="TableParagraph"/>
              <w:rPr>
                <w:rFonts w:ascii="Times New Roman"/>
                <w:sz w:val="18"/>
              </w:rPr>
            </w:pPr>
          </w:p>
        </w:tc>
        <w:tc>
          <w:tcPr>
            <w:tcW w:w="1421" w:type="dxa"/>
          </w:tcPr>
          <w:p>
            <w:pPr>
              <w:pStyle w:val="TableParagraph"/>
              <w:rPr>
                <w:b/>
                <w:sz w:val="18"/>
              </w:rPr>
            </w:pPr>
          </w:p>
          <w:p>
            <w:pPr>
              <w:pStyle w:val="TableParagraph"/>
              <w:spacing w:before="204"/>
              <w:rPr>
                <w:b/>
                <w:sz w:val="18"/>
              </w:rPr>
            </w:pPr>
          </w:p>
          <w:p>
            <w:pPr>
              <w:pStyle w:val="TableParagraph"/>
              <w:ind w:left="5"/>
              <w:jc w:val="center"/>
              <w:rPr>
                <w:sz w:val="18"/>
              </w:rPr>
            </w:pPr>
            <w:r>
              <w:rPr>
                <w:spacing w:val="-10"/>
                <w:sz w:val="18"/>
              </w:rPr>
              <w:t>9</w:t>
            </w:r>
          </w:p>
        </w:tc>
        <w:tc>
          <w:tcPr>
            <w:tcW w:w="1416" w:type="dxa"/>
          </w:tcPr>
          <w:p>
            <w:pPr>
              <w:pStyle w:val="TableParagraph"/>
              <w:rPr>
                <w:rFonts w:ascii="Times New Roman"/>
                <w:sz w:val="18"/>
              </w:rPr>
            </w:pPr>
          </w:p>
        </w:tc>
        <w:tc>
          <w:tcPr>
            <w:tcW w:w="1560" w:type="dxa"/>
          </w:tcPr>
          <w:p>
            <w:pPr>
              <w:pStyle w:val="TableParagraph"/>
              <w:rPr>
                <w:b/>
                <w:sz w:val="18"/>
              </w:rPr>
            </w:pPr>
          </w:p>
          <w:p>
            <w:pPr>
              <w:pStyle w:val="TableParagraph"/>
              <w:spacing w:before="204"/>
              <w:rPr>
                <w:b/>
                <w:sz w:val="18"/>
              </w:rPr>
            </w:pPr>
          </w:p>
          <w:p>
            <w:pPr>
              <w:pStyle w:val="TableParagraph"/>
              <w:ind w:left="21" w:right="16"/>
              <w:jc w:val="center"/>
              <w:rPr>
                <w:sz w:val="18"/>
              </w:rPr>
            </w:pPr>
            <w:r>
              <w:rPr>
                <w:spacing w:val="-5"/>
                <w:sz w:val="18"/>
              </w:rPr>
              <w:t>12</w:t>
            </w:r>
          </w:p>
        </w:tc>
        <w:tc>
          <w:tcPr>
            <w:tcW w:w="1229" w:type="dxa"/>
          </w:tcPr>
          <w:p>
            <w:pPr>
              <w:pStyle w:val="TableParagraph"/>
              <w:rPr>
                <w:rFonts w:ascii="Times New Roman"/>
                <w:sz w:val="18"/>
              </w:rPr>
            </w:pPr>
          </w:p>
        </w:tc>
        <w:tc>
          <w:tcPr>
            <w:tcW w:w="1181" w:type="dxa"/>
          </w:tcPr>
          <w:p>
            <w:pPr>
              <w:pStyle w:val="TableParagraph"/>
              <w:rPr>
                <w:b/>
                <w:sz w:val="18"/>
              </w:rPr>
            </w:pPr>
          </w:p>
          <w:p>
            <w:pPr>
              <w:pStyle w:val="TableParagraph"/>
              <w:spacing w:before="204"/>
              <w:rPr>
                <w:b/>
                <w:sz w:val="18"/>
              </w:rPr>
            </w:pPr>
          </w:p>
          <w:p>
            <w:pPr>
              <w:pStyle w:val="TableParagraph"/>
              <w:ind w:left="28" w:right="27"/>
              <w:jc w:val="center"/>
              <w:rPr>
                <w:sz w:val="18"/>
              </w:rPr>
            </w:pPr>
            <w:r>
              <w:rPr>
                <w:spacing w:val="-5"/>
                <w:sz w:val="18"/>
              </w:rPr>
              <w:t>15</w:t>
            </w:r>
          </w:p>
        </w:tc>
        <w:tc>
          <w:tcPr>
            <w:tcW w:w="1071" w:type="dxa"/>
          </w:tcPr>
          <w:p>
            <w:pPr>
              <w:pStyle w:val="TableParagraph"/>
              <w:rPr>
                <w:rFonts w:ascii="Times New Roman"/>
                <w:sz w:val="18"/>
              </w:rPr>
            </w:pPr>
          </w:p>
        </w:tc>
      </w:tr>
      <w:tr>
        <w:trPr>
          <w:trHeight w:val="830" w:hRule="atLeast"/>
        </w:trPr>
        <w:tc>
          <w:tcPr>
            <w:tcW w:w="2099" w:type="dxa"/>
          </w:tcPr>
          <w:p>
            <w:pPr>
              <w:pStyle w:val="TableParagraph"/>
              <w:spacing w:line="206" w:lineRule="exact"/>
              <w:ind w:left="72"/>
              <w:rPr>
                <w:sz w:val="18"/>
              </w:rPr>
            </w:pPr>
            <w:r>
              <w:rPr>
                <w:b/>
                <w:sz w:val="18"/>
              </w:rPr>
              <w:t>Actividad PAC 2.60.2: </w:t>
            </w:r>
            <w:r>
              <w:rPr>
                <w:sz w:val="18"/>
              </w:rPr>
              <w:t>Elaboración de informe anual</w:t>
            </w:r>
            <w:r>
              <w:rPr>
                <w:spacing w:val="-7"/>
                <w:sz w:val="18"/>
              </w:rPr>
              <w:t> </w:t>
            </w:r>
            <w:r>
              <w:rPr>
                <w:sz w:val="18"/>
              </w:rPr>
              <w:t>de</w:t>
            </w:r>
            <w:r>
              <w:rPr>
                <w:spacing w:val="-10"/>
                <w:sz w:val="18"/>
              </w:rPr>
              <w:t> </w:t>
            </w:r>
            <w:r>
              <w:rPr>
                <w:sz w:val="18"/>
              </w:rPr>
              <w:t>ejecución</w:t>
            </w:r>
            <w:r>
              <w:rPr>
                <w:spacing w:val="-10"/>
                <w:sz w:val="18"/>
              </w:rPr>
              <w:t> </w:t>
            </w:r>
            <w:r>
              <w:rPr>
                <w:sz w:val="18"/>
              </w:rPr>
              <w:t>de</w:t>
            </w:r>
            <w:r>
              <w:rPr>
                <w:spacing w:val="-10"/>
                <w:sz w:val="18"/>
              </w:rPr>
              <w:t> </w:t>
            </w:r>
            <w:r>
              <w:rPr>
                <w:sz w:val="18"/>
              </w:rPr>
              <w:t>la PIGI IMAS.</w:t>
            </w:r>
          </w:p>
        </w:tc>
        <w:tc>
          <w:tcPr>
            <w:tcW w:w="1570" w:type="dxa"/>
          </w:tcPr>
          <w:p>
            <w:pPr>
              <w:pStyle w:val="TableParagraph"/>
              <w:spacing w:before="103"/>
              <w:rPr>
                <w:b/>
                <w:sz w:val="18"/>
              </w:rPr>
            </w:pPr>
          </w:p>
          <w:p>
            <w:pPr>
              <w:pStyle w:val="TableParagraph"/>
              <w:spacing w:before="1"/>
              <w:ind w:left="71"/>
              <w:rPr>
                <w:sz w:val="18"/>
              </w:rPr>
            </w:pPr>
            <w:r>
              <w:rPr>
                <w:sz w:val="18"/>
              </w:rPr>
              <w:t>Informe</w:t>
            </w:r>
            <w:r>
              <w:rPr>
                <w:spacing w:val="-5"/>
                <w:sz w:val="18"/>
              </w:rPr>
              <w:t> </w:t>
            </w:r>
            <w:r>
              <w:rPr>
                <w:spacing w:val="-2"/>
                <w:sz w:val="18"/>
              </w:rPr>
              <w:t>realizado</w:t>
            </w:r>
          </w:p>
        </w:tc>
        <w:tc>
          <w:tcPr>
            <w:tcW w:w="1570" w:type="dxa"/>
          </w:tcPr>
          <w:p>
            <w:pPr>
              <w:pStyle w:val="TableParagraph"/>
              <w:spacing w:before="103"/>
              <w:rPr>
                <w:b/>
                <w:sz w:val="18"/>
              </w:rPr>
            </w:pPr>
          </w:p>
          <w:p>
            <w:pPr>
              <w:pStyle w:val="TableParagraph"/>
              <w:spacing w:before="1"/>
              <w:ind w:left="733"/>
              <w:rPr>
                <w:sz w:val="18"/>
              </w:rPr>
            </w:pPr>
            <w:r>
              <w:rPr>
                <w:spacing w:val="-10"/>
                <w:sz w:val="18"/>
              </w:rPr>
              <w:t>1</w:t>
            </w:r>
          </w:p>
        </w:tc>
        <w:tc>
          <w:tcPr>
            <w:tcW w:w="1277" w:type="dxa"/>
          </w:tcPr>
          <w:p>
            <w:pPr>
              <w:pStyle w:val="TableParagraph"/>
              <w:rPr>
                <w:rFonts w:ascii="Times New Roman"/>
                <w:sz w:val="18"/>
              </w:rPr>
            </w:pPr>
          </w:p>
        </w:tc>
        <w:tc>
          <w:tcPr>
            <w:tcW w:w="1421" w:type="dxa"/>
          </w:tcPr>
          <w:p>
            <w:pPr>
              <w:pStyle w:val="TableParagraph"/>
              <w:rPr>
                <w:rFonts w:ascii="Times New Roman"/>
                <w:sz w:val="18"/>
              </w:rPr>
            </w:pPr>
          </w:p>
        </w:tc>
        <w:tc>
          <w:tcPr>
            <w:tcW w:w="1416" w:type="dxa"/>
          </w:tcPr>
          <w:p>
            <w:pPr>
              <w:pStyle w:val="TableParagraph"/>
              <w:rPr>
                <w:rFonts w:ascii="Times New Roman"/>
                <w:sz w:val="18"/>
              </w:rPr>
            </w:pPr>
          </w:p>
        </w:tc>
        <w:tc>
          <w:tcPr>
            <w:tcW w:w="1560" w:type="dxa"/>
          </w:tcPr>
          <w:p>
            <w:pPr>
              <w:pStyle w:val="TableParagraph"/>
              <w:rPr>
                <w:rFonts w:ascii="Times New Roman"/>
                <w:sz w:val="18"/>
              </w:rPr>
            </w:pPr>
          </w:p>
        </w:tc>
        <w:tc>
          <w:tcPr>
            <w:tcW w:w="1229" w:type="dxa"/>
          </w:tcPr>
          <w:p>
            <w:pPr>
              <w:pStyle w:val="TableParagraph"/>
              <w:rPr>
                <w:rFonts w:ascii="Times New Roman"/>
                <w:sz w:val="18"/>
              </w:rPr>
            </w:pPr>
          </w:p>
        </w:tc>
        <w:tc>
          <w:tcPr>
            <w:tcW w:w="1181" w:type="dxa"/>
          </w:tcPr>
          <w:p>
            <w:pPr>
              <w:pStyle w:val="TableParagraph"/>
              <w:rPr>
                <w:rFonts w:ascii="Times New Roman"/>
                <w:sz w:val="18"/>
              </w:rPr>
            </w:pPr>
          </w:p>
        </w:tc>
        <w:tc>
          <w:tcPr>
            <w:tcW w:w="1071"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99"/>
        <w:gridCol w:w="1570"/>
        <w:gridCol w:w="1570"/>
        <w:gridCol w:w="1277"/>
        <w:gridCol w:w="1421"/>
        <w:gridCol w:w="1416"/>
        <w:gridCol w:w="1560"/>
        <w:gridCol w:w="1229"/>
        <w:gridCol w:w="1181"/>
        <w:gridCol w:w="1071"/>
      </w:tblGrid>
      <w:tr>
        <w:trPr>
          <w:trHeight w:val="2069" w:hRule="atLeast"/>
        </w:trPr>
        <w:tc>
          <w:tcPr>
            <w:tcW w:w="2099" w:type="dxa"/>
          </w:tcPr>
          <w:p>
            <w:pPr>
              <w:pStyle w:val="TableParagraph"/>
              <w:ind w:left="72" w:right="70"/>
              <w:rPr>
                <w:sz w:val="18"/>
              </w:rPr>
            </w:pPr>
            <w:r>
              <w:rPr>
                <w:b/>
                <w:sz w:val="18"/>
              </w:rPr>
              <w:t>Actividad PAC 2.60.3: </w:t>
            </w:r>
            <w:r>
              <w:rPr>
                <w:sz w:val="18"/>
              </w:rPr>
              <w:t>Actualización de la normativa institucional relacionada con resolución</w:t>
            </w:r>
            <w:r>
              <w:rPr>
                <w:spacing w:val="-8"/>
                <w:sz w:val="18"/>
              </w:rPr>
              <w:t> </w:t>
            </w:r>
            <w:r>
              <w:rPr>
                <w:sz w:val="18"/>
              </w:rPr>
              <w:t>de</w:t>
            </w:r>
            <w:r>
              <w:rPr>
                <w:spacing w:val="-8"/>
                <w:sz w:val="18"/>
              </w:rPr>
              <w:t> </w:t>
            </w:r>
            <w:r>
              <w:rPr>
                <w:sz w:val="18"/>
              </w:rPr>
              <w:t>conflictos, </w:t>
            </w:r>
            <w:r>
              <w:rPr>
                <w:spacing w:val="-2"/>
                <w:sz w:val="18"/>
              </w:rPr>
              <w:t>violencia,</w:t>
            </w:r>
            <w:r>
              <w:rPr>
                <w:spacing w:val="80"/>
                <w:sz w:val="18"/>
              </w:rPr>
              <w:t> </w:t>
            </w:r>
            <w:r>
              <w:rPr>
                <w:spacing w:val="-2"/>
                <w:sz w:val="18"/>
              </w:rPr>
              <w:t>discriminación, </w:t>
            </w:r>
            <w:r>
              <w:rPr>
                <w:sz w:val="18"/>
              </w:rPr>
              <w:t>hostigamiento sexual o acoso</w:t>
            </w:r>
            <w:r>
              <w:rPr>
                <w:spacing w:val="-13"/>
                <w:sz w:val="18"/>
              </w:rPr>
              <w:t> </w:t>
            </w:r>
            <w:r>
              <w:rPr>
                <w:sz w:val="18"/>
              </w:rPr>
              <w:t>laboral</w:t>
            </w:r>
            <w:r>
              <w:rPr>
                <w:spacing w:val="-12"/>
                <w:sz w:val="18"/>
              </w:rPr>
              <w:t> </w:t>
            </w:r>
            <w:r>
              <w:rPr>
                <w:sz w:val="18"/>
              </w:rPr>
              <w:t>y</w:t>
            </w:r>
            <w:r>
              <w:rPr>
                <w:spacing w:val="-10"/>
                <w:sz w:val="18"/>
              </w:rPr>
              <w:t> </w:t>
            </w:r>
            <w:r>
              <w:rPr>
                <w:sz w:val="18"/>
              </w:rPr>
              <w:t>lenguaje</w:t>
            </w:r>
          </w:p>
          <w:p>
            <w:pPr>
              <w:pStyle w:val="TableParagraph"/>
              <w:spacing w:line="187" w:lineRule="exact"/>
              <w:ind w:left="72"/>
              <w:rPr>
                <w:sz w:val="18"/>
              </w:rPr>
            </w:pPr>
            <w:r>
              <w:rPr>
                <w:sz w:val="18"/>
              </w:rPr>
              <w:t>inclusivo,</w:t>
            </w:r>
            <w:r>
              <w:rPr>
                <w:spacing w:val="-5"/>
                <w:sz w:val="18"/>
              </w:rPr>
              <w:t> </w:t>
            </w:r>
            <w:r>
              <w:rPr>
                <w:sz w:val="18"/>
              </w:rPr>
              <w:t>entre</w:t>
            </w:r>
            <w:r>
              <w:rPr>
                <w:spacing w:val="-7"/>
                <w:sz w:val="18"/>
              </w:rPr>
              <w:t> </w:t>
            </w:r>
            <w:r>
              <w:rPr>
                <w:spacing w:val="-2"/>
                <w:sz w:val="18"/>
              </w:rPr>
              <w:t>otras.</w:t>
            </w:r>
          </w:p>
        </w:tc>
        <w:tc>
          <w:tcPr>
            <w:tcW w:w="1570" w:type="dxa"/>
          </w:tcPr>
          <w:p>
            <w:pPr>
              <w:pStyle w:val="TableParagraph"/>
              <w:rPr>
                <w:b/>
                <w:sz w:val="18"/>
              </w:rPr>
            </w:pPr>
          </w:p>
          <w:p>
            <w:pPr>
              <w:pStyle w:val="TableParagraph"/>
              <w:spacing w:before="103"/>
              <w:rPr>
                <w:b/>
                <w:sz w:val="18"/>
              </w:rPr>
            </w:pPr>
          </w:p>
          <w:p>
            <w:pPr>
              <w:pStyle w:val="TableParagraph"/>
              <w:ind w:left="71" w:right="44"/>
              <w:rPr>
                <w:sz w:val="18"/>
              </w:rPr>
            </w:pPr>
            <w:r>
              <w:rPr>
                <w:sz w:val="18"/>
              </w:rPr>
              <w:t>Número de </w:t>
            </w:r>
            <w:r>
              <w:rPr>
                <w:spacing w:val="-2"/>
                <w:sz w:val="18"/>
              </w:rPr>
              <w:t>procedimientos </w:t>
            </w:r>
            <w:r>
              <w:rPr>
                <w:sz w:val="18"/>
              </w:rPr>
              <w:t>revisados con </w:t>
            </w:r>
            <w:r>
              <w:rPr>
                <w:spacing w:val="-2"/>
                <w:sz w:val="18"/>
              </w:rPr>
              <w:t>recomendaciones </w:t>
            </w:r>
            <w:r>
              <w:rPr>
                <w:sz w:val="18"/>
              </w:rPr>
              <w:t>para la mejora</w:t>
            </w:r>
          </w:p>
        </w:tc>
        <w:tc>
          <w:tcPr>
            <w:tcW w:w="1570" w:type="dxa"/>
          </w:tcPr>
          <w:p>
            <w:pPr>
              <w:pStyle w:val="TableParagraph"/>
              <w:rPr>
                <w:rFonts w:ascii="Times New Roman"/>
                <w:sz w:val="18"/>
              </w:rPr>
            </w:pPr>
          </w:p>
        </w:tc>
        <w:tc>
          <w:tcPr>
            <w:tcW w:w="1277" w:type="dxa"/>
          </w:tcPr>
          <w:p>
            <w:pPr>
              <w:pStyle w:val="TableParagraph"/>
              <w:rPr>
                <w:rFonts w:ascii="Times New Roman"/>
                <w:sz w:val="18"/>
              </w:rPr>
            </w:pPr>
          </w:p>
        </w:tc>
        <w:tc>
          <w:tcPr>
            <w:tcW w:w="1421" w:type="dxa"/>
          </w:tcPr>
          <w:p>
            <w:pPr>
              <w:pStyle w:val="TableParagraph"/>
              <w:rPr>
                <w:rFonts w:ascii="Times New Roman"/>
                <w:sz w:val="18"/>
              </w:rPr>
            </w:pPr>
          </w:p>
        </w:tc>
        <w:tc>
          <w:tcPr>
            <w:tcW w:w="1416" w:type="dxa"/>
          </w:tcPr>
          <w:p>
            <w:pPr>
              <w:pStyle w:val="TableParagraph"/>
              <w:rPr>
                <w:rFonts w:ascii="Times New Roman"/>
                <w:sz w:val="18"/>
              </w:rPr>
            </w:pPr>
          </w:p>
        </w:tc>
        <w:tc>
          <w:tcPr>
            <w:tcW w:w="1560" w:type="dxa"/>
          </w:tcPr>
          <w:p>
            <w:pPr>
              <w:pStyle w:val="TableParagraph"/>
              <w:rPr>
                <w:rFonts w:ascii="Times New Roman"/>
                <w:sz w:val="18"/>
              </w:rPr>
            </w:pPr>
          </w:p>
        </w:tc>
        <w:tc>
          <w:tcPr>
            <w:tcW w:w="1229"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8" w:right="21"/>
              <w:jc w:val="center"/>
              <w:rPr>
                <w:sz w:val="18"/>
              </w:rPr>
            </w:pPr>
            <w:r>
              <w:rPr>
                <w:spacing w:val="-10"/>
                <w:sz w:val="18"/>
              </w:rPr>
              <w:t>2</w:t>
            </w:r>
          </w:p>
        </w:tc>
        <w:tc>
          <w:tcPr>
            <w:tcW w:w="107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1"/>
              <w:jc w:val="center"/>
              <w:rPr>
                <w:sz w:val="18"/>
              </w:rPr>
            </w:pPr>
            <w:r>
              <w:rPr>
                <w:sz w:val="18"/>
              </w:rPr>
              <w:t>₡1</w:t>
            </w:r>
            <w:r>
              <w:rPr>
                <w:spacing w:val="1"/>
                <w:sz w:val="18"/>
              </w:rPr>
              <w:t> </w:t>
            </w:r>
            <w:r>
              <w:rPr>
                <w:sz w:val="18"/>
              </w:rPr>
              <w:t>500</w:t>
            </w:r>
            <w:r>
              <w:rPr>
                <w:spacing w:val="-3"/>
                <w:sz w:val="18"/>
              </w:rPr>
              <w:t> </w:t>
            </w:r>
            <w:r>
              <w:rPr>
                <w:spacing w:val="-5"/>
                <w:sz w:val="18"/>
              </w:rPr>
              <w:t>000</w:t>
            </w:r>
          </w:p>
        </w:tc>
      </w:tr>
      <w:tr>
        <w:trPr>
          <w:trHeight w:val="1036" w:hRule="atLeast"/>
        </w:trPr>
        <w:tc>
          <w:tcPr>
            <w:tcW w:w="2099" w:type="dxa"/>
          </w:tcPr>
          <w:p>
            <w:pPr>
              <w:pStyle w:val="TableParagraph"/>
              <w:spacing w:before="105"/>
              <w:ind w:left="72" w:right="105"/>
              <w:rPr>
                <w:sz w:val="18"/>
              </w:rPr>
            </w:pPr>
            <w:r>
              <w:rPr>
                <w:b/>
                <w:sz w:val="18"/>
              </w:rPr>
              <w:t>Actividad</w:t>
            </w:r>
            <w:r>
              <w:rPr>
                <w:b/>
                <w:spacing w:val="-15"/>
                <w:sz w:val="18"/>
              </w:rPr>
              <w:t> </w:t>
            </w:r>
            <w:r>
              <w:rPr>
                <w:b/>
                <w:sz w:val="18"/>
              </w:rPr>
              <w:t>PAC</w:t>
            </w:r>
            <w:r>
              <w:rPr>
                <w:b/>
                <w:spacing w:val="-12"/>
                <w:sz w:val="18"/>
              </w:rPr>
              <w:t> </w:t>
            </w:r>
            <w:r>
              <w:rPr>
                <w:b/>
                <w:sz w:val="18"/>
              </w:rPr>
              <w:t>2.60.4: </w:t>
            </w:r>
            <w:r>
              <w:rPr>
                <w:sz w:val="18"/>
              </w:rPr>
              <w:t>Elaboración del plan quinquenal 2027-2031 de la PIGI IMAS</w:t>
            </w:r>
          </w:p>
        </w:tc>
        <w:tc>
          <w:tcPr>
            <w:tcW w:w="1570" w:type="dxa"/>
          </w:tcPr>
          <w:p>
            <w:pPr>
              <w:pStyle w:val="TableParagraph"/>
              <w:ind w:left="71" w:right="90"/>
              <w:rPr>
                <w:sz w:val="18"/>
              </w:rPr>
            </w:pPr>
            <w:r>
              <w:rPr>
                <w:sz w:val="18"/>
              </w:rPr>
              <w:t>Cantidad de </w:t>
            </w:r>
            <w:r>
              <w:rPr>
                <w:spacing w:val="-2"/>
                <w:sz w:val="18"/>
              </w:rPr>
              <w:t>Planes </w:t>
            </w:r>
            <w:r>
              <w:rPr>
                <w:sz w:val="18"/>
              </w:rPr>
              <w:t>elaborados</w:t>
            </w:r>
            <w:r>
              <w:rPr>
                <w:spacing w:val="-5"/>
                <w:sz w:val="18"/>
              </w:rPr>
              <w:t> </w:t>
            </w:r>
            <w:r>
              <w:rPr>
                <w:sz w:val="18"/>
              </w:rPr>
              <w:t>(Plan quinquenal</w:t>
            </w:r>
            <w:r>
              <w:rPr>
                <w:spacing w:val="-3"/>
                <w:sz w:val="18"/>
              </w:rPr>
              <w:t> </w:t>
            </w:r>
            <w:r>
              <w:rPr>
                <w:spacing w:val="-2"/>
                <w:sz w:val="18"/>
              </w:rPr>
              <w:t>2027-</w:t>
            </w:r>
          </w:p>
          <w:p>
            <w:pPr>
              <w:pStyle w:val="TableParagraph"/>
              <w:spacing w:line="187" w:lineRule="exact" w:before="2"/>
              <w:ind w:left="71"/>
              <w:rPr>
                <w:sz w:val="18"/>
              </w:rPr>
            </w:pPr>
            <w:r>
              <w:rPr>
                <w:sz w:val="18"/>
              </w:rPr>
              <w:t>2031</w:t>
            </w:r>
            <w:r>
              <w:rPr>
                <w:spacing w:val="2"/>
                <w:sz w:val="18"/>
              </w:rPr>
              <w:t> </w:t>
            </w:r>
            <w:r>
              <w:rPr>
                <w:spacing w:val="-2"/>
                <w:sz w:val="18"/>
              </w:rPr>
              <w:t>elaborado)</w:t>
            </w:r>
          </w:p>
        </w:tc>
        <w:tc>
          <w:tcPr>
            <w:tcW w:w="1570" w:type="dxa"/>
          </w:tcPr>
          <w:p>
            <w:pPr>
              <w:pStyle w:val="TableParagraph"/>
              <w:rPr>
                <w:rFonts w:ascii="Times New Roman"/>
                <w:sz w:val="18"/>
              </w:rPr>
            </w:pPr>
          </w:p>
        </w:tc>
        <w:tc>
          <w:tcPr>
            <w:tcW w:w="1277" w:type="dxa"/>
          </w:tcPr>
          <w:p>
            <w:pPr>
              <w:pStyle w:val="TableParagraph"/>
              <w:rPr>
                <w:rFonts w:ascii="Times New Roman"/>
                <w:sz w:val="18"/>
              </w:rPr>
            </w:pPr>
          </w:p>
        </w:tc>
        <w:tc>
          <w:tcPr>
            <w:tcW w:w="1421" w:type="dxa"/>
          </w:tcPr>
          <w:p>
            <w:pPr>
              <w:pStyle w:val="TableParagraph"/>
              <w:rPr>
                <w:rFonts w:ascii="Times New Roman"/>
                <w:sz w:val="18"/>
              </w:rPr>
            </w:pPr>
          </w:p>
        </w:tc>
        <w:tc>
          <w:tcPr>
            <w:tcW w:w="1416" w:type="dxa"/>
          </w:tcPr>
          <w:p>
            <w:pPr>
              <w:pStyle w:val="TableParagraph"/>
              <w:rPr>
                <w:rFonts w:ascii="Times New Roman"/>
                <w:sz w:val="18"/>
              </w:rPr>
            </w:pPr>
          </w:p>
        </w:tc>
        <w:tc>
          <w:tcPr>
            <w:tcW w:w="1560" w:type="dxa"/>
          </w:tcPr>
          <w:p>
            <w:pPr>
              <w:pStyle w:val="TableParagraph"/>
              <w:rPr>
                <w:rFonts w:ascii="Times New Roman"/>
                <w:sz w:val="18"/>
              </w:rPr>
            </w:pPr>
          </w:p>
        </w:tc>
        <w:tc>
          <w:tcPr>
            <w:tcW w:w="1229" w:type="dxa"/>
          </w:tcPr>
          <w:p>
            <w:pPr>
              <w:pStyle w:val="TableParagraph"/>
              <w:rPr>
                <w:rFonts w:ascii="Times New Roman"/>
                <w:sz w:val="18"/>
              </w:rPr>
            </w:pPr>
          </w:p>
        </w:tc>
        <w:tc>
          <w:tcPr>
            <w:tcW w:w="1181" w:type="dxa"/>
          </w:tcPr>
          <w:p>
            <w:pPr>
              <w:pStyle w:val="TableParagraph"/>
              <w:rPr>
                <w:b/>
                <w:sz w:val="18"/>
              </w:rPr>
            </w:pPr>
          </w:p>
          <w:p>
            <w:pPr>
              <w:pStyle w:val="TableParagraph"/>
              <w:spacing w:before="3"/>
              <w:rPr>
                <w:b/>
                <w:sz w:val="18"/>
              </w:rPr>
            </w:pPr>
          </w:p>
          <w:p>
            <w:pPr>
              <w:pStyle w:val="TableParagraph"/>
              <w:ind w:left="28" w:right="21"/>
              <w:jc w:val="center"/>
              <w:rPr>
                <w:sz w:val="18"/>
              </w:rPr>
            </w:pPr>
            <w:r>
              <w:rPr>
                <w:spacing w:val="-10"/>
                <w:sz w:val="18"/>
              </w:rPr>
              <w:t>1</w:t>
            </w:r>
          </w:p>
        </w:tc>
        <w:tc>
          <w:tcPr>
            <w:tcW w:w="1071" w:type="dxa"/>
          </w:tcPr>
          <w:p>
            <w:pPr>
              <w:pStyle w:val="TableParagraph"/>
              <w:rPr>
                <w:b/>
                <w:sz w:val="18"/>
              </w:rPr>
            </w:pPr>
          </w:p>
          <w:p>
            <w:pPr>
              <w:pStyle w:val="TableParagraph"/>
              <w:spacing w:before="3"/>
              <w:rPr>
                <w:b/>
                <w:sz w:val="18"/>
              </w:rPr>
            </w:pPr>
          </w:p>
          <w:p>
            <w:pPr>
              <w:pStyle w:val="TableParagraph"/>
              <w:ind w:left="11"/>
              <w:jc w:val="center"/>
              <w:rPr>
                <w:sz w:val="18"/>
              </w:rPr>
            </w:pPr>
            <w:r>
              <w:rPr>
                <w:sz w:val="18"/>
              </w:rPr>
              <w:t>₡2</w:t>
            </w:r>
            <w:r>
              <w:rPr>
                <w:spacing w:val="1"/>
                <w:sz w:val="18"/>
              </w:rPr>
              <w:t> </w:t>
            </w:r>
            <w:r>
              <w:rPr>
                <w:sz w:val="18"/>
              </w:rPr>
              <w:t>000</w:t>
            </w:r>
            <w:r>
              <w:rPr>
                <w:spacing w:val="-3"/>
                <w:sz w:val="18"/>
              </w:rPr>
              <w:t> </w:t>
            </w:r>
            <w:r>
              <w:rPr>
                <w:spacing w:val="-5"/>
                <w:sz w:val="18"/>
              </w:rPr>
              <w:t>000</w:t>
            </w:r>
          </w:p>
        </w:tc>
      </w:tr>
    </w:tbl>
    <w:p>
      <w:pPr>
        <w:pStyle w:val="BodyText"/>
        <w:rPr>
          <w:b/>
          <w:sz w:val="20"/>
        </w:rPr>
      </w:pPr>
    </w:p>
    <w:p>
      <w:pPr>
        <w:pStyle w:val="BodyText"/>
        <w:spacing w:before="180"/>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6"/>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6"/>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6"/>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6"/>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5"/>
              <w:rPr>
                <w:b/>
                <w:sz w:val="18"/>
              </w:rPr>
            </w:pPr>
          </w:p>
          <w:p>
            <w:pPr>
              <w:pStyle w:val="TableParagraph"/>
              <w:spacing w:before="1"/>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5"/>
              <w:rPr>
                <w:b/>
                <w:sz w:val="18"/>
              </w:rPr>
            </w:pPr>
          </w:p>
          <w:p>
            <w:pPr>
              <w:pStyle w:val="TableParagraph"/>
              <w:spacing w:before="1"/>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5"/>
              <w:rPr>
                <w:b/>
                <w:sz w:val="18"/>
              </w:rPr>
            </w:pPr>
          </w:p>
          <w:p>
            <w:pPr>
              <w:pStyle w:val="TableParagraph"/>
              <w:spacing w:before="1"/>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5"/>
              <w:rPr>
                <w:b/>
                <w:sz w:val="18"/>
              </w:rPr>
            </w:pPr>
          </w:p>
          <w:p>
            <w:pPr>
              <w:pStyle w:val="TableParagraph"/>
              <w:spacing w:before="1"/>
              <w:ind w:left="51" w:right="34"/>
              <w:jc w:val="center"/>
              <w:rPr>
                <w:b/>
                <w:sz w:val="18"/>
              </w:rPr>
            </w:pPr>
            <w:r>
              <w:rPr>
                <w:b/>
                <w:spacing w:val="-10"/>
                <w:sz w:val="18"/>
              </w:rPr>
              <w:t>¢</w:t>
            </w:r>
          </w:p>
        </w:tc>
      </w:tr>
      <w:tr>
        <w:trPr>
          <w:trHeight w:val="633" w:hRule="atLeast"/>
        </w:trPr>
        <w:tc>
          <w:tcPr>
            <w:tcW w:w="14394" w:type="dxa"/>
            <w:gridSpan w:val="10"/>
            <w:shd w:val="clear" w:color="auto" w:fill="F1F1F1"/>
          </w:tcPr>
          <w:p>
            <w:pPr>
              <w:pStyle w:val="TableParagraph"/>
              <w:spacing w:before="109"/>
              <w:ind w:left="72"/>
              <w:rPr>
                <w:b/>
                <w:sz w:val="18"/>
              </w:rPr>
            </w:pPr>
            <w:r>
              <w:rPr>
                <w:b/>
                <w:sz w:val="18"/>
              </w:rPr>
              <w:t>Efecto: Eficiente</w:t>
            </w:r>
            <w:r>
              <w:rPr>
                <w:b/>
                <w:spacing w:val="-2"/>
                <w:sz w:val="18"/>
              </w:rPr>
              <w:t> </w:t>
            </w:r>
            <w:r>
              <w:rPr>
                <w:b/>
                <w:sz w:val="18"/>
              </w:rPr>
              <w:t>gestión administrativa,</w:t>
            </w:r>
            <w:r>
              <w:rPr>
                <w:b/>
                <w:spacing w:val="-5"/>
                <w:sz w:val="18"/>
              </w:rPr>
              <w:t> </w:t>
            </w:r>
            <w:r>
              <w:rPr>
                <w:b/>
                <w:sz w:val="18"/>
              </w:rPr>
              <w:t>financiera</w:t>
            </w:r>
            <w:r>
              <w:rPr>
                <w:b/>
                <w:spacing w:val="-2"/>
                <w:sz w:val="18"/>
              </w:rPr>
              <w:t> </w:t>
            </w:r>
            <w:r>
              <w:rPr>
                <w:b/>
                <w:sz w:val="18"/>
              </w:rPr>
              <w:t>y</w:t>
            </w:r>
            <w:r>
              <w:rPr>
                <w:b/>
                <w:spacing w:val="-2"/>
                <w:sz w:val="18"/>
              </w:rPr>
              <w:t> </w:t>
            </w:r>
            <w:r>
              <w:rPr>
                <w:b/>
                <w:sz w:val="18"/>
              </w:rPr>
              <w:t>tecnológica, orientada</w:t>
            </w:r>
            <w:r>
              <w:rPr>
                <w:b/>
                <w:spacing w:val="-2"/>
                <w:sz w:val="18"/>
              </w:rPr>
              <w:t> </w:t>
            </w:r>
            <w:r>
              <w:rPr>
                <w:b/>
                <w:sz w:val="18"/>
              </w:rPr>
              <w:t>a</w:t>
            </w:r>
            <w:r>
              <w:rPr>
                <w:b/>
                <w:spacing w:val="-2"/>
                <w:sz w:val="18"/>
              </w:rPr>
              <w:t> </w:t>
            </w:r>
            <w:r>
              <w:rPr>
                <w:b/>
                <w:sz w:val="18"/>
              </w:rPr>
              <w:t>la</w:t>
            </w:r>
            <w:r>
              <w:rPr>
                <w:b/>
                <w:spacing w:val="-2"/>
                <w:sz w:val="18"/>
              </w:rPr>
              <w:t> </w:t>
            </w:r>
            <w:r>
              <w:rPr>
                <w:b/>
                <w:sz w:val="18"/>
              </w:rPr>
              <w:t>institucionalización</w:t>
            </w:r>
            <w:r>
              <w:rPr>
                <w:b/>
                <w:spacing w:val="-4"/>
                <w:sz w:val="18"/>
              </w:rPr>
              <w:t> </w:t>
            </w:r>
            <w:r>
              <w:rPr>
                <w:b/>
                <w:sz w:val="18"/>
              </w:rPr>
              <w:t>de</w:t>
            </w:r>
            <w:r>
              <w:rPr>
                <w:b/>
                <w:spacing w:val="-2"/>
                <w:sz w:val="18"/>
              </w:rPr>
              <w:t> </w:t>
            </w:r>
            <w:r>
              <w:rPr>
                <w:b/>
                <w:sz w:val="18"/>
              </w:rPr>
              <w:t>la</w:t>
            </w:r>
            <w:r>
              <w:rPr>
                <w:b/>
                <w:spacing w:val="-2"/>
                <w:sz w:val="18"/>
              </w:rPr>
              <w:t> </w:t>
            </w:r>
            <w:r>
              <w:rPr>
                <w:b/>
                <w:sz w:val="18"/>
              </w:rPr>
              <w:t>estrategia de</w:t>
            </w:r>
            <w:r>
              <w:rPr>
                <w:b/>
                <w:spacing w:val="-2"/>
                <w:sz w:val="18"/>
              </w:rPr>
              <w:t> </w:t>
            </w:r>
            <w:r>
              <w:rPr>
                <w:b/>
                <w:sz w:val="18"/>
              </w:rPr>
              <w:t>intervención de</w:t>
            </w:r>
            <w:r>
              <w:rPr>
                <w:b/>
                <w:spacing w:val="-8"/>
                <w:sz w:val="18"/>
              </w:rPr>
              <w:t> </w:t>
            </w:r>
            <w:r>
              <w:rPr>
                <w:b/>
                <w:sz w:val="18"/>
              </w:rPr>
              <w:t>la población</w:t>
            </w:r>
            <w:r>
              <w:rPr>
                <w:b/>
                <w:spacing w:val="-4"/>
                <w:sz w:val="18"/>
              </w:rPr>
              <w:t> </w:t>
            </w:r>
            <w:r>
              <w:rPr>
                <w:b/>
                <w:sz w:val="18"/>
              </w:rPr>
              <w:t>en</w:t>
            </w:r>
            <w:r>
              <w:rPr>
                <w:b/>
                <w:spacing w:val="-4"/>
                <w:sz w:val="18"/>
              </w:rPr>
              <w:t> </w:t>
            </w:r>
            <w:r>
              <w:rPr>
                <w:b/>
                <w:sz w:val="18"/>
              </w:rPr>
              <w:t>situación</w:t>
            </w:r>
            <w:r>
              <w:rPr>
                <w:b/>
                <w:spacing w:val="-4"/>
                <w:sz w:val="18"/>
              </w:rPr>
              <w:t> </w:t>
            </w:r>
            <w:r>
              <w:rPr>
                <w:b/>
                <w:sz w:val="18"/>
              </w:rPr>
              <w:t>de pobreza extrema y pobreza</w:t>
            </w:r>
          </w:p>
        </w:tc>
      </w:tr>
      <w:tr>
        <w:trPr>
          <w:trHeight w:val="523" w:hRule="atLeast"/>
        </w:trPr>
        <w:tc>
          <w:tcPr>
            <w:tcW w:w="14394" w:type="dxa"/>
            <w:gridSpan w:val="10"/>
            <w:shd w:val="clear" w:color="auto" w:fill="EFF8F9"/>
          </w:tcPr>
          <w:p>
            <w:pPr>
              <w:pStyle w:val="TableParagraph"/>
              <w:spacing w:before="157"/>
              <w:ind w:left="72"/>
              <w:rPr>
                <w:b/>
                <w:sz w:val="18"/>
              </w:rPr>
            </w:pPr>
            <w:r>
              <w:rPr>
                <w:b/>
                <w:sz w:val="18"/>
              </w:rPr>
              <w:t>Producto</w:t>
            </w:r>
            <w:r>
              <w:rPr>
                <w:b/>
                <w:spacing w:val="-7"/>
                <w:sz w:val="18"/>
              </w:rPr>
              <w:t> </w:t>
            </w:r>
            <w:r>
              <w:rPr>
                <w:b/>
                <w:sz w:val="18"/>
              </w:rPr>
              <w:t>PAC</w:t>
            </w:r>
            <w:r>
              <w:rPr>
                <w:b/>
                <w:spacing w:val="-8"/>
                <w:sz w:val="18"/>
              </w:rPr>
              <w:t> </w:t>
            </w:r>
            <w:r>
              <w:rPr>
                <w:b/>
                <w:sz w:val="18"/>
              </w:rPr>
              <w:t>2.61:</w:t>
            </w:r>
            <w:r>
              <w:rPr>
                <w:b/>
                <w:spacing w:val="-4"/>
                <w:sz w:val="18"/>
              </w:rPr>
              <w:t> </w:t>
            </w:r>
            <w:r>
              <w:rPr>
                <w:b/>
                <w:sz w:val="18"/>
              </w:rPr>
              <w:t>Normativa</w:t>
            </w:r>
            <w:r>
              <w:rPr>
                <w:b/>
                <w:spacing w:val="-6"/>
                <w:sz w:val="18"/>
              </w:rPr>
              <w:t> </w:t>
            </w:r>
            <w:r>
              <w:rPr>
                <w:b/>
                <w:sz w:val="18"/>
              </w:rPr>
              <w:t>y</w:t>
            </w:r>
            <w:r>
              <w:rPr>
                <w:b/>
                <w:spacing w:val="-6"/>
                <w:sz w:val="18"/>
              </w:rPr>
              <w:t> </w:t>
            </w:r>
            <w:r>
              <w:rPr>
                <w:b/>
                <w:sz w:val="18"/>
              </w:rPr>
              <w:t>procedimientos</w:t>
            </w:r>
            <w:r>
              <w:rPr>
                <w:b/>
                <w:spacing w:val="-5"/>
                <w:sz w:val="18"/>
              </w:rPr>
              <w:t> </w:t>
            </w:r>
            <w:r>
              <w:rPr>
                <w:b/>
                <w:sz w:val="18"/>
              </w:rPr>
              <w:t>ajustados,</w:t>
            </w:r>
            <w:r>
              <w:rPr>
                <w:b/>
                <w:spacing w:val="-4"/>
                <w:sz w:val="18"/>
              </w:rPr>
              <w:t> </w:t>
            </w:r>
            <w:r>
              <w:rPr>
                <w:b/>
                <w:sz w:val="18"/>
              </w:rPr>
              <w:t>para</w:t>
            </w:r>
            <w:r>
              <w:rPr>
                <w:b/>
                <w:spacing w:val="-6"/>
                <w:sz w:val="18"/>
              </w:rPr>
              <w:t> </w:t>
            </w:r>
            <w:r>
              <w:rPr>
                <w:b/>
                <w:sz w:val="18"/>
              </w:rPr>
              <w:t>la</w:t>
            </w:r>
            <w:r>
              <w:rPr>
                <w:b/>
                <w:spacing w:val="-6"/>
                <w:sz w:val="18"/>
              </w:rPr>
              <w:t> </w:t>
            </w:r>
            <w:r>
              <w:rPr>
                <w:b/>
                <w:sz w:val="18"/>
              </w:rPr>
              <w:t>implementación</w:t>
            </w:r>
            <w:r>
              <w:rPr>
                <w:b/>
                <w:spacing w:val="-2"/>
                <w:sz w:val="18"/>
              </w:rPr>
              <w:t> </w:t>
            </w:r>
            <w:r>
              <w:rPr>
                <w:b/>
                <w:sz w:val="18"/>
              </w:rPr>
              <w:t>de</w:t>
            </w:r>
            <w:r>
              <w:rPr>
                <w:b/>
                <w:spacing w:val="-6"/>
                <w:sz w:val="18"/>
              </w:rPr>
              <w:t> </w:t>
            </w:r>
            <w:r>
              <w:rPr>
                <w:b/>
                <w:sz w:val="18"/>
              </w:rPr>
              <w:t>la</w:t>
            </w:r>
            <w:r>
              <w:rPr>
                <w:b/>
                <w:spacing w:val="-6"/>
                <w:sz w:val="18"/>
              </w:rPr>
              <w:t> </w:t>
            </w:r>
            <w:r>
              <w:rPr>
                <w:b/>
                <w:sz w:val="18"/>
              </w:rPr>
              <w:t>GpRD</w:t>
            </w:r>
            <w:r>
              <w:rPr>
                <w:b/>
                <w:spacing w:val="-8"/>
                <w:sz w:val="18"/>
              </w:rPr>
              <w:t> </w:t>
            </w:r>
            <w:r>
              <w:rPr>
                <w:b/>
                <w:sz w:val="18"/>
              </w:rPr>
              <w:t>en</w:t>
            </w:r>
            <w:r>
              <w:rPr>
                <w:b/>
                <w:spacing w:val="-6"/>
                <w:sz w:val="18"/>
              </w:rPr>
              <w:t> </w:t>
            </w:r>
            <w:r>
              <w:rPr>
                <w:b/>
                <w:sz w:val="18"/>
              </w:rPr>
              <w:t>el</w:t>
            </w:r>
            <w:r>
              <w:rPr>
                <w:b/>
                <w:spacing w:val="-4"/>
                <w:sz w:val="18"/>
              </w:rPr>
              <w:t> </w:t>
            </w:r>
            <w:r>
              <w:rPr>
                <w:b/>
                <w:sz w:val="18"/>
              </w:rPr>
              <w:t>IMAS. E1</w:t>
            </w:r>
            <w:r>
              <w:rPr>
                <w:b/>
                <w:spacing w:val="-5"/>
                <w:sz w:val="18"/>
              </w:rPr>
              <w:t> </w:t>
            </w:r>
            <w:r>
              <w:rPr>
                <w:b/>
                <w:sz w:val="18"/>
              </w:rPr>
              <w:t>AE1</w:t>
            </w:r>
            <w:r>
              <w:rPr>
                <w:b/>
                <w:spacing w:val="-2"/>
                <w:sz w:val="18"/>
              </w:rPr>
              <w:t> </w:t>
            </w:r>
            <w:r>
              <w:rPr>
                <w:b/>
                <w:sz w:val="18"/>
              </w:rPr>
              <w:t>R1</w:t>
            </w:r>
            <w:r>
              <w:rPr>
                <w:b/>
                <w:spacing w:val="-6"/>
                <w:sz w:val="18"/>
              </w:rPr>
              <w:t> </w:t>
            </w:r>
            <w:r>
              <w:rPr>
                <w:b/>
                <w:spacing w:val="-2"/>
                <w:sz w:val="18"/>
              </w:rPr>
              <w:t>(60%)</w:t>
            </w:r>
          </w:p>
        </w:tc>
      </w:tr>
      <w:tr>
        <w:trPr>
          <w:trHeight w:val="514" w:hRule="atLeast"/>
        </w:trPr>
        <w:tc>
          <w:tcPr>
            <w:tcW w:w="3092" w:type="dxa"/>
            <w:tcBorders>
              <w:bottom w:val="nil"/>
            </w:tcBorders>
          </w:tcPr>
          <w:p>
            <w:pPr>
              <w:pStyle w:val="TableParagraph"/>
              <w:spacing w:before="103"/>
              <w:rPr>
                <w:b/>
                <w:sz w:val="18"/>
              </w:rPr>
            </w:pPr>
          </w:p>
          <w:p>
            <w:pPr>
              <w:pStyle w:val="TableParagraph"/>
              <w:spacing w:line="184" w:lineRule="exact" w:before="1"/>
              <w:ind w:left="72"/>
              <w:rPr>
                <w:sz w:val="18"/>
              </w:rPr>
            </w:pPr>
            <w:r>
              <w:rPr>
                <w:b/>
                <w:sz w:val="18"/>
              </w:rPr>
              <w:t>Actividad</w:t>
            </w:r>
            <w:r>
              <w:rPr>
                <w:b/>
                <w:spacing w:val="-9"/>
                <w:sz w:val="18"/>
              </w:rPr>
              <w:t> </w:t>
            </w:r>
            <w:r>
              <w:rPr>
                <w:b/>
                <w:sz w:val="18"/>
              </w:rPr>
              <w:t>PAC</w:t>
            </w:r>
            <w:r>
              <w:rPr>
                <w:b/>
                <w:spacing w:val="-5"/>
                <w:sz w:val="18"/>
              </w:rPr>
              <w:t> </w:t>
            </w:r>
            <w:r>
              <w:rPr>
                <w:b/>
                <w:sz w:val="18"/>
              </w:rPr>
              <w:t>2.61.1:</w:t>
            </w:r>
            <w:r>
              <w:rPr>
                <w:b/>
                <w:spacing w:val="1"/>
                <w:sz w:val="18"/>
              </w:rPr>
              <w:t> </w:t>
            </w:r>
            <w:r>
              <w:rPr>
                <w:spacing w:val="-2"/>
                <w:sz w:val="18"/>
              </w:rPr>
              <w:t>Verificar</w:t>
            </w:r>
          </w:p>
        </w:tc>
        <w:tc>
          <w:tcPr>
            <w:tcW w:w="1560" w:type="dxa"/>
            <w:tcBorders>
              <w:bottom w:val="nil"/>
            </w:tcBorders>
          </w:tcPr>
          <w:p>
            <w:pPr>
              <w:pStyle w:val="TableParagraph"/>
              <w:spacing w:before="103"/>
              <w:rPr>
                <w:b/>
                <w:sz w:val="18"/>
              </w:rPr>
            </w:pPr>
          </w:p>
          <w:p>
            <w:pPr>
              <w:pStyle w:val="TableParagraph"/>
              <w:spacing w:line="184" w:lineRule="exact" w:before="1"/>
              <w:ind w:left="67"/>
              <w:rPr>
                <w:sz w:val="18"/>
              </w:rPr>
            </w:pPr>
            <w:r>
              <w:rPr>
                <w:sz w:val="18"/>
              </w:rPr>
              <w:t>Porcentaje</w:t>
            </w:r>
            <w:r>
              <w:rPr>
                <w:spacing w:val="-4"/>
                <w:sz w:val="18"/>
              </w:rPr>
              <w:t> </w:t>
            </w:r>
            <w:r>
              <w:rPr>
                <w:spacing w:val="-5"/>
                <w:sz w:val="18"/>
              </w:rPr>
              <w:t>de</w:t>
            </w:r>
          </w:p>
        </w:tc>
        <w:tc>
          <w:tcPr>
            <w:tcW w:w="1181" w:type="dxa"/>
            <w:tcBorders>
              <w:bottom w:val="nil"/>
            </w:tcBorders>
          </w:tcPr>
          <w:p>
            <w:pPr>
              <w:pStyle w:val="TableParagraph"/>
              <w:rPr>
                <w:rFonts w:ascii="Times New Roman"/>
                <w:sz w:val="18"/>
              </w:rPr>
            </w:pPr>
          </w:p>
        </w:tc>
        <w:tc>
          <w:tcPr>
            <w:tcW w:w="1186" w:type="dxa"/>
            <w:vMerge w:val="restart"/>
          </w:tcPr>
          <w:p>
            <w:pPr>
              <w:pStyle w:val="TableParagraph"/>
              <w:rPr>
                <w:rFonts w:ascii="Times New Roman"/>
                <w:sz w:val="18"/>
              </w:rPr>
            </w:pPr>
          </w:p>
        </w:tc>
        <w:tc>
          <w:tcPr>
            <w:tcW w:w="1200" w:type="dxa"/>
            <w:tcBorders>
              <w:bottom w:val="nil"/>
            </w:tcBorders>
          </w:tcPr>
          <w:p>
            <w:pPr>
              <w:pStyle w:val="TableParagraph"/>
              <w:rPr>
                <w:rFonts w:ascii="Times New Roman"/>
                <w:sz w:val="18"/>
              </w:rPr>
            </w:pPr>
          </w:p>
        </w:tc>
        <w:tc>
          <w:tcPr>
            <w:tcW w:w="1248" w:type="dxa"/>
            <w:vMerge w:val="restart"/>
          </w:tcPr>
          <w:p>
            <w:pPr>
              <w:pStyle w:val="TableParagraph"/>
              <w:rPr>
                <w:rFonts w:ascii="Times New Roman"/>
                <w:sz w:val="18"/>
              </w:rPr>
            </w:pPr>
          </w:p>
        </w:tc>
        <w:tc>
          <w:tcPr>
            <w:tcW w:w="1181" w:type="dxa"/>
            <w:tcBorders>
              <w:bottom w:val="nil"/>
            </w:tcBorders>
          </w:tcPr>
          <w:p>
            <w:pPr>
              <w:pStyle w:val="TableParagraph"/>
              <w:rPr>
                <w:rFonts w:ascii="Times New Roman"/>
                <w:sz w:val="18"/>
              </w:rPr>
            </w:pPr>
          </w:p>
        </w:tc>
        <w:tc>
          <w:tcPr>
            <w:tcW w:w="1234" w:type="dxa"/>
            <w:vMerge w:val="restart"/>
          </w:tcPr>
          <w:p>
            <w:pPr>
              <w:pStyle w:val="TableParagraph"/>
              <w:rPr>
                <w:rFonts w:ascii="Times New Roman"/>
                <w:sz w:val="18"/>
              </w:rPr>
            </w:pPr>
          </w:p>
        </w:tc>
        <w:tc>
          <w:tcPr>
            <w:tcW w:w="1282" w:type="dxa"/>
            <w:tcBorders>
              <w:bottom w:val="nil"/>
            </w:tcBorders>
          </w:tcPr>
          <w:p>
            <w:pPr>
              <w:pStyle w:val="TableParagraph"/>
              <w:rPr>
                <w:rFonts w:ascii="Times New Roman"/>
                <w:sz w:val="18"/>
              </w:rPr>
            </w:pPr>
          </w:p>
        </w:tc>
        <w:tc>
          <w:tcPr>
            <w:tcW w:w="1230" w:type="dxa"/>
            <w:vMerge w:val="restart"/>
          </w:tcPr>
          <w:p>
            <w:pPr>
              <w:pStyle w:val="TableParagraph"/>
              <w:rPr>
                <w:rFonts w:ascii="Times New Roman"/>
                <w:sz w:val="18"/>
              </w:rPr>
            </w:pPr>
          </w:p>
        </w:tc>
      </w:tr>
      <w:tr>
        <w:trPr>
          <w:trHeight w:val="196" w:hRule="atLeast"/>
        </w:trPr>
        <w:tc>
          <w:tcPr>
            <w:tcW w:w="3092" w:type="dxa"/>
            <w:tcBorders>
              <w:top w:val="nil"/>
              <w:bottom w:val="nil"/>
            </w:tcBorders>
          </w:tcPr>
          <w:p>
            <w:pPr>
              <w:pStyle w:val="TableParagraph"/>
              <w:spacing w:line="177" w:lineRule="exact"/>
              <w:ind w:left="72"/>
              <w:rPr>
                <w:sz w:val="18"/>
              </w:rPr>
            </w:pPr>
            <w:r>
              <w:rPr>
                <w:sz w:val="18"/>
              </w:rPr>
              <w:t>que,</w:t>
            </w:r>
            <w:r>
              <w:rPr>
                <w:spacing w:val="-4"/>
                <w:sz w:val="18"/>
              </w:rPr>
              <w:t> </w:t>
            </w:r>
            <w:r>
              <w:rPr>
                <w:sz w:val="18"/>
              </w:rPr>
              <w:t>en</w:t>
            </w:r>
            <w:r>
              <w:rPr>
                <w:spacing w:val="-5"/>
                <w:sz w:val="18"/>
              </w:rPr>
              <w:t> </w:t>
            </w:r>
            <w:r>
              <w:rPr>
                <w:sz w:val="18"/>
              </w:rPr>
              <w:t>toda</w:t>
            </w:r>
            <w:r>
              <w:rPr>
                <w:spacing w:val="-1"/>
                <w:sz w:val="18"/>
              </w:rPr>
              <w:t> </w:t>
            </w:r>
            <w:r>
              <w:rPr>
                <w:sz w:val="18"/>
              </w:rPr>
              <w:t>la</w:t>
            </w:r>
            <w:r>
              <w:rPr>
                <w:spacing w:val="-5"/>
                <w:sz w:val="18"/>
              </w:rPr>
              <w:t> </w:t>
            </w:r>
            <w:r>
              <w:rPr>
                <w:sz w:val="18"/>
              </w:rPr>
              <w:t>normativa</w:t>
            </w:r>
            <w:r>
              <w:rPr>
                <w:spacing w:val="-4"/>
                <w:sz w:val="18"/>
              </w:rPr>
              <w:t> </w:t>
            </w:r>
            <w:r>
              <w:rPr>
                <w:sz w:val="18"/>
              </w:rPr>
              <w:t>remitida</w:t>
            </w:r>
            <w:r>
              <w:rPr>
                <w:spacing w:val="-5"/>
                <w:sz w:val="18"/>
              </w:rPr>
              <w:t> </w:t>
            </w:r>
            <w:r>
              <w:rPr>
                <w:spacing w:val="-10"/>
                <w:sz w:val="18"/>
              </w:rPr>
              <w:t>a</w:t>
            </w:r>
          </w:p>
        </w:tc>
        <w:tc>
          <w:tcPr>
            <w:tcW w:w="1560" w:type="dxa"/>
            <w:tcBorders>
              <w:top w:val="nil"/>
              <w:bottom w:val="nil"/>
            </w:tcBorders>
          </w:tcPr>
          <w:p>
            <w:pPr>
              <w:pStyle w:val="TableParagraph"/>
              <w:spacing w:line="177" w:lineRule="exact"/>
              <w:ind w:left="67"/>
              <w:rPr>
                <w:sz w:val="18"/>
              </w:rPr>
            </w:pPr>
            <w:r>
              <w:rPr>
                <w:sz w:val="18"/>
              </w:rPr>
              <w:t>criterios</w:t>
            </w:r>
            <w:r>
              <w:rPr>
                <w:spacing w:val="-7"/>
                <w:sz w:val="18"/>
              </w:rPr>
              <w:t> </w:t>
            </w:r>
            <w:r>
              <w:rPr>
                <w:spacing w:val="-5"/>
                <w:sz w:val="18"/>
              </w:rPr>
              <w:t>con</w:t>
            </w:r>
          </w:p>
        </w:tc>
        <w:tc>
          <w:tcPr>
            <w:tcW w:w="1181" w:type="dxa"/>
            <w:tcBorders>
              <w:top w:val="nil"/>
              <w:bottom w:val="nil"/>
            </w:tcBorders>
          </w:tcPr>
          <w:p>
            <w:pPr>
              <w:pStyle w:val="TableParagraph"/>
              <w:rPr>
                <w:rFonts w:ascii="Times New Roman"/>
                <w:sz w:val="12"/>
              </w:rPr>
            </w:pPr>
          </w:p>
        </w:tc>
        <w:tc>
          <w:tcPr>
            <w:tcW w:w="1186" w:type="dxa"/>
            <w:vMerge/>
            <w:tcBorders>
              <w:top w:val="nil"/>
            </w:tcBorders>
          </w:tcPr>
          <w:p>
            <w:pPr>
              <w:rPr>
                <w:sz w:val="2"/>
                <w:szCs w:val="2"/>
              </w:rPr>
            </w:pPr>
          </w:p>
        </w:tc>
        <w:tc>
          <w:tcPr>
            <w:tcW w:w="1200" w:type="dxa"/>
            <w:tcBorders>
              <w:top w:val="nil"/>
              <w:bottom w:val="nil"/>
            </w:tcBorders>
          </w:tcPr>
          <w:p>
            <w:pPr>
              <w:pStyle w:val="TableParagraph"/>
              <w:rPr>
                <w:rFonts w:ascii="Times New Roman"/>
                <w:sz w:val="12"/>
              </w:rPr>
            </w:pPr>
          </w:p>
        </w:tc>
        <w:tc>
          <w:tcPr>
            <w:tcW w:w="1248" w:type="dxa"/>
            <w:vMerge/>
            <w:tcBorders>
              <w:top w:val="nil"/>
            </w:tcBorders>
          </w:tcPr>
          <w:p>
            <w:pPr>
              <w:rPr>
                <w:sz w:val="2"/>
                <w:szCs w:val="2"/>
              </w:rPr>
            </w:pPr>
          </w:p>
        </w:tc>
        <w:tc>
          <w:tcPr>
            <w:tcW w:w="1181" w:type="dxa"/>
            <w:tcBorders>
              <w:top w:val="nil"/>
              <w:bottom w:val="nil"/>
            </w:tcBorders>
          </w:tcPr>
          <w:p>
            <w:pPr>
              <w:pStyle w:val="TableParagraph"/>
              <w:rPr>
                <w:rFonts w:ascii="Times New Roman"/>
                <w:sz w:val="12"/>
              </w:rPr>
            </w:pPr>
          </w:p>
        </w:tc>
        <w:tc>
          <w:tcPr>
            <w:tcW w:w="1234" w:type="dxa"/>
            <w:vMerge/>
            <w:tcBorders>
              <w:top w:val="nil"/>
            </w:tcBorders>
          </w:tcPr>
          <w:p>
            <w:pPr>
              <w:rPr>
                <w:sz w:val="2"/>
                <w:szCs w:val="2"/>
              </w:rPr>
            </w:pPr>
          </w:p>
        </w:tc>
        <w:tc>
          <w:tcPr>
            <w:tcW w:w="1282" w:type="dxa"/>
            <w:tcBorders>
              <w:top w:val="nil"/>
              <w:bottom w:val="nil"/>
            </w:tcBorders>
          </w:tcPr>
          <w:p>
            <w:pPr>
              <w:pStyle w:val="TableParagraph"/>
              <w:rPr>
                <w:rFonts w:ascii="Times New Roman"/>
                <w:sz w:val="12"/>
              </w:rPr>
            </w:pPr>
          </w:p>
        </w:tc>
        <w:tc>
          <w:tcPr>
            <w:tcW w:w="1230" w:type="dxa"/>
            <w:vMerge/>
            <w:tcBorders>
              <w:top w:val="nil"/>
            </w:tcBorders>
          </w:tcPr>
          <w:p>
            <w:pPr>
              <w:rPr>
                <w:sz w:val="2"/>
                <w:szCs w:val="2"/>
              </w:rPr>
            </w:pPr>
          </w:p>
        </w:tc>
      </w:tr>
      <w:tr>
        <w:trPr>
          <w:trHeight w:val="196" w:hRule="atLeast"/>
        </w:trPr>
        <w:tc>
          <w:tcPr>
            <w:tcW w:w="3092" w:type="dxa"/>
            <w:tcBorders>
              <w:top w:val="nil"/>
              <w:bottom w:val="nil"/>
            </w:tcBorders>
          </w:tcPr>
          <w:p>
            <w:pPr>
              <w:pStyle w:val="TableParagraph"/>
              <w:spacing w:line="177" w:lineRule="exact"/>
              <w:ind w:left="72"/>
              <w:rPr>
                <w:sz w:val="18"/>
              </w:rPr>
            </w:pPr>
            <w:r>
              <w:rPr>
                <w:sz w:val="18"/>
              </w:rPr>
              <w:t>Planificación</w:t>
            </w:r>
            <w:r>
              <w:rPr>
                <w:spacing w:val="-10"/>
                <w:sz w:val="18"/>
              </w:rPr>
              <w:t> </w:t>
            </w:r>
            <w:r>
              <w:rPr>
                <w:sz w:val="18"/>
              </w:rPr>
              <w:t>Institucional</w:t>
            </w:r>
            <w:r>
              <w:rPr>
                <w:spacing w:val="-12"/>
                <w:sz w:val="18"/>
              </w:rPr>
              <w:t> </w:t>
            </w:r>
            <w:r>
              <w:rPr>
                <w:spacing w:val="-4"/>
                <w:sz w:val="18"/>
              </w:rPr>
              <w:t>para</w:t>
            </w:r>
          </w:p>
        </w:tc>
        <w:tc>
          <w:tcPr>
            <w:tcW w:w="1560" w:type="dxa"/>
            <w:tcBorders>
              <w:top w:val="nil"/>
              <w:bottom w:val="nil"/>
            </w:tcBorders>
          </w:tcPr>
          <w:p>
            <w:pPr>
              <w:pStyle w:val="TableParagraph"/>
              <w:spacing w:line="177" w:lineRule="exact"/>
              <w:ind w:left="67"/>
              <w:rPr>
                <w:sz w:val="18"/>
              </w:rPr>
            </w:pPr>
            <w:r>
              <w:rPr>
                <w:sz w:val="18"/>
              </w:rPr>
              <w:t>análisis</w:t>
            </w:r>
            <w:r>
              <w:rPr>
                <w:spacing w:val="-5"/>
                <w:sz w:val="18"/>
              </w:rPr>
              <w:t> de</w:t>
            </w:r>
          </w:p>
        </w:tc>
        <w:tc>
          <w:tcPr>
            <w:tcW w:w="1181" w:type="dxa"/>
            <w:tcBorders>
              <w:top w:val="nil"/>
              <w:bottom w:val="nil"/>
            </w:tcBorders>
          </w:tcPr>
          <w:p>
            <w:pPr>
              <w:pStyle w:val="TableParagraph"/>
              <w:rPr>
                <w:rFonts w:ascii="Times New Roman"/>
                <w:sz w:val="12"/>
              </w:rPr>
            </w:pPr>
          </w:p>
        </w:tc>
        <w:tc>
          <w:tcPr>
            <w:tcW w:w="1186" w:type="dxa"/>
            <w:vMerge/>
            <w:tcBorders>
              <w:top w:val="nil"/>
            </w:tcBorders>
          </w:tcPr>
          <w:p>
            <w:pPr>
              <w:rPr>
                <w:sz w:val="2"/>
                <w:szCs w:val="2"/>
              </w:rPr>
            </w:pPr>
          </w:p>
        </w:tc>
        <w:tc>
          <w:tcPr>
            <w:tcW w:w="1200" w:type="dxa"/>
            <w:tcBorders>
              <w:top w:val="nil"/>
              <w:bottom w:val="nil"/>
            </w:tcBorders>
          </w:tcPr>
          <w:p>
            <w:pPr>
              <w:pStyle w:val="TableParagraph"/>
              <w:rPr>
                <w:rFonts w:ascii="Times New Roman"/>
                <w:sz w:val="12"/>
              </w:rPr>
            </w:pPr>
          </w:p>
        </w:tc>
        <w:tc>
          <w:tcPr>
            <w:tcW w:w="1248" w:type="dxa"/>
            <w:vMerge/>
            <w:tcBorders>
              <w:top w:val="nil"/>
            </w:tcBorders>
          </w:tcPr>
          <w:p>
            <w:pPr>
              <w:rPr>
                <w:sz w:val="2"/>
                <w:szCs w:val="2"/>
              </w:rPr>
            </w:pPr>
          </w:p>
        </w:tc>
        <w:tc>
          <w:tcPr>
            <w:tcW w:w="1181" w:type="dxa"/>
            <w:tcBorders>
              <w:top w:val="nil"/>
              <w:bottom w:val="nil"/>
            </w:tcBorders>
          </w:tcPr>
          <w:p>
            <w:pPr>
              <w:pStyle w:val="TableParagraph"/>
              <w:rPr>
                <w:rFonts w:ascii="Times New Roman"/>
                <w:sz w:val="12"/>
              </w:rPr>
            </w:pPr>
          </w:p>
        </w:tc>
        <w:tc>
          <w:tcPr>
            <w:tcW w:w="1234" w:type="dxa"/>
            <w:vMerge/>
            <w:tcBorders>
              <w:top w:val="nil"/>
            </w:tcBorders>
          </w:tcPr>
          <w:p>
            <w:pPr>
              <w:rPr>
                <w:sz w:val="2"/>
                <w:szCs w:val="2"/>
              </w:rPr>
            </w:pPr>
          </w:p>
        </w:tc>
        <w:tc>
          <w:tcPr>
            <w:tcW w:w="1282" w:type="dxa"/>
            <w:tcBorders>
              <w:top w:val="nil"/>
              <w:bottom w:val="nil"/>
            </w:tcBorders>
          </w:tcPr>
          <w:p>
            <w:pPr>
              <w:pStyle w:val="TableParagraph"/>
              <w:rPr>
                <w:rFonts w:ascii="Times New Roman"/>
                <w:sz w:val="12"/>
              </w:rPr>
            </w:pPr>
          </w:p>
        </w:tc>
        <w:tc>
          <w:tcPr>
            <w:tcW w:w="1230" w:type="dxa"/>
            <w:vMerge/>
            <w:tcBorders>
              <w:top w:val="nil"/>
            </w:tcBorders>
          </w:tcPr>
          <w:p>
            <w:pPr>
              <w:rPr>
                <w:sz w:val="2"/>
                <w:szCs w:val="2"/>
              </w:rPr>
            </w:pPr>
          </w:p>
        </w:tc>
      </w:tr>
      <w:tr>
        <w:trPr>
          <w:trHeight w:val="198" w:hRule="atLeast"/>
        </w:trPr>
        <w:tc>
          <w:tcPr>
            <w:tcW w:w="3092" w:type="dxa"/>
            <w:tcBorders>
              <w:top w:val="nil"/>
              <w:bottom w:val="nil"/>
            </w:tcBorders>
          </w:tcPr>
          <w:p>
            <w:pPr>
              <w:pStyle w:val="TableParagraph"/>
              <w:spacing w:line="179" w:lineRule="exact"/>
              <w:ind w:left="72"/>
              <w:rPr>
                <w:sz w:val="18"/>
              </w:rPr>
            </w:pPr>
            <w:r>
              <w:rPr>
                <w:sz w:val="18"/>
              </w:rPr>
              <w:t>emisión</w:t>
            </w:r>
            <w:r>
              <w:rPr>
                <w:spacing w:val="-6"/>
                <w:sz w:val="18"/>
              </w:rPr>
              <w:t> </w:t>
            </w:r>
            <w:r>
              <w:rPr>
                <w:sz w:val="18"/>
              </w:rPr>
              <w:t>de</w:t>
            </w:r>
            <w:r>
              <w:rPr>
                <w:spacing w:val="-6"/>
                <w:sz w:val="18"/>
              </w:rPr>
              <w:t> </w:t>
            </w:r>
            <w:r>
              <w:rPr>
                <w:sz w:val="18"/>
              </w:rPr>
              <w:t>criterio,</w:t>
            </w:r>
            <w:r>
              <w:rPr>
                <w:spacing w:val="-3"/>
                <w:sz w:val="18"/>
              </w:rPr>
              <w:t> </w:t>
            </w:r>
            <w:r>
              <w:rPr>
                <w:sz w:val="18"/>
              </w:rPr>
              <w:t>esté</w:t>
            </w:r>
            <w:r>
              <w:rPr>
                <w:spacing w:val="-5"/>
                <w:sz w:val="18"/>
              </w:rPr>
              <w:t> </w:t>
            </w:r>
            <w:r>
              <w:rPr>
                <w:sz w:val="18"/>
              </w:rPr>
              <w:t>incluida</w:t>
            </w:r>
            <w:r>
              <w:rPr>
                <w:spacing w:val="-2"/>
                <w:sz w:val="18"/>
              </w:rPr>
              <w:t> </w:t>
            </w:r>
            <w:r>
              <w:rPr>
                <w:spacing w:val="-5"/>
                <w:sz w:val="18"/>
              </w:rPr>
              <w:t>la</w:t>
            </w:r>
          </w:p>
        </w:tc>
        <w:tc>
          <w:tcPr>
            <w:tcW w:w="1560" w:type="dxa"/>
            <w:tcBorders>
              <w:top w:val="nil"/>
              <w:bottom w:val="nil"/>
            </w:tcBorders>
          </w:tcPr>
          <w:p>
            <w:pPr>
              <w:pStyle w:val="TableParagraph"/>
              <w:spacing w:line="179" w:lineRule="exact"/>
              <w:ind w:left="67"/>
              <w:rPr>
                <w:sz w:val="18"/>
              </w:rPr>
            </w:pPr>
            <w:r>
              <w:rPr>
                <w:sz w:val="18"/>
              </w:rPr>
              <w:t>inclusión</w:t>
            </w:r>
            <w:r>
              <w:rPr>
                <w:spacing w:val="-3"/>
                <w:sz w:val="18"/>
              </w:rPr>
              <w:t> </w:t>
            </w:r>
            <w:r>
              <w:rPr>
                <w:sz w:val="18"/>
              </w:rPr>
              <w:t>de</w:t>
            </w:r>
            <w:r>
              <w:rPr>
                <w:spacing w:val="-5"/>
                <w:sz w:val="18"/>
              </w:rPr>
              <w:t> la</w:t>
            </w:r>
          </w:p>
        </w:tc>
        <w:tc>
          <w:tcPr>
            <w:tcW w:w="1181" w:type="dxa"/>
            <w:tcBorders>
              <w:top w:val="nil"/>
              <w:bottom w:val="nil"/>
            </w:tcBorders>
          </w:tcPr>
          <w:p>
            <w:pPr>
              <w:pStyle w:val="TableParagraph"/>
              <w:spacing w:line="179" w:lineRule="exact"/>
              <w:ind w:left="355"/>
              <w:rPr>
                <w:sz w:val="18"/>
              </w:rPr>
            </w:pPr>
            <w:r>
              <w:rPr>
                <w:spacing w:val="-4"/>
                <w:sz w:val="18"/>
              </w:rPr>
              <w:t>100%</w:t>
            </w:r>
          </w:p>
        </w:tc>
        <w:tc>
          <w:tcPr>
            <w:tcW w:w="1186" w:type="dxa"/>
            <w:vMerge/>
            <w:tcBorders>
              <w:top w:val="nil"/>
            </w:tcBorders>
          </w:tcPr>
          <w:p>
            <w:pPr>
              <w:rPr>
                <w:sz w:val="2"/>
                <w:szCs w:val="2"/>
              </w:rPr>
            </w:pPr>
          </w:p>
        </w:tc>
        <w:tc>
          <w:tcPr>
            <w:tcW w:w="1200" w:type="dxa"/>
            <w:tcBorders>
              <w:top w:val="nil"/>
              <w:bottom w:val="nil"/>
            </w:tcBorders>
          </w:tcPr>
          <w:p>
            <w:pPr>
              <w:pStyle w:val="TableParagraph"/>
              <w:spacing w:line="179" w:lineRule="exact"/>
              <w:ind w:left="370"/>
              <w:rPr>
                <w:sz w:val="18"/>
              </w:rPr>
            </w:pPr>
            <w:r>
              <w:rPr>
                <w:spacing w:val="-4"/>
                <w:sz w:val="18"/>
              </w:rPr>
              <w:t>100%</w:t>
            </w:r>
          </w:p>
        </w:tc>
        <w:tc>
          <w:tcPr>
            <w:tcW w:w="1248" w:type="dxa"/>
            <w:vMerge/>
            <w:tcBorders>
              <w:top w:val="nil"/>
            </w:tcBorders>
          </w:tcPr>
          <w:p>
            <w:pPr>
              <w:rPr>
                <w:sz w:val="2"/>
                <w:szCs w:val="2"/>
              </w:rPr>
            </w:pPr>
          </w:p>
        </w:tc>
        <w:tc>
          <w:tcPr>
            <w:tcW w:w="1181" w:type="dxa"/>
            <w:tcBorders>
              <w:top w:val="nil"/>
              <w:bottom w:val="nil"/>
            </w:tcBorders>
          </w:tcPr>
          <w:p>
            <w:pPr>
              <w:pStyle w:val="TableParagraph"/>
              <w:spacing w:line="179" w:lineRule="exact"/>
              <w:ind w:left="361"/>
              <w:rPr>
                <w:sz w:val="18"/>
              </w:rPr>
            </w:pPr>
            <w:r>
              <w:rPr>
                <w:spacing w:val="-4"/>
                <w:sz w:val="18"/>
              </w:rPr>
              <w:t>100%</w:t>
            </w:r>
          </w:p>
        </w:tc>
        <w:tc>
          <w:tcPr>
            <w:tcW w:w="1234" w:type="dxa"/>
            <w:vMerge/>
            <w:tcBorders>
              <w:top w:val="nil"/>
            </w:tcBorders>
          </w:tcPr>
          <w:p>
            <w:pPr>
              <w:rPr>
                <w:sz w:val="2"/>
                <w:szCs w:val="2"/>
              </w:rPr>
            </w:pPr>
          </w:p>
        </w:tc>
        <w:tc>
          <w:tcPr>
            <w:tcW w:w="1282" w:type="dxa"/>
            <w:tcBorders>
              <w:top w:val="nil"/>
              <w:bottom w:val="nil"/>
            </w:tcBorders>
          </w:tcPr>
          <w:p>
            <w:pPr>
              <w:pStyle w:val="TableParagraph"/>
              <w:spacing w:line="179" w:lineRule="exact"/>
              <w:ind w:left="414"/>
              <w:rPr>
                <w:sz w:val="18"/>
              </w:rPr>
            </w:pPr>
            <w:r>
              <w:rPr>
                <w:spacing w:val="-4"/>
                <w:sz w:val="18"/>
              </w:rPr>
              <w:t>100%</w:t>
            </w:r>
          </w:p>
        </w:tc>
        <w:tc>
          <w:tcPr>
            <w:tcW w:w="1230" w:type="dxa"/>
            <w:vMerge/>
            <w:tcBorders>
              <w:top w:val="nil"/>
            </w:tcBorders>
          </w:tcPr>
          <w:p>
            <w:pPr>
              <w:rPr>
                <w:sz w:val="2"/>
                <w:szCs w:val="2"/>
              </w:rPr>
            </w:pPr>
          </w:p>
        </w:tc>
      </w:tr>
      <w:tr>
        <w:trPr>
          <w:trHeight w:val="198" w:hRule="atLeast"/>
        </w:trPr>
        <w:tc>
          <w:tcPr>
            <w:tcW w:w="3092" w:type="dxa"/>
            <w:tcBorders>
              <w:top w:val="nil"/>
              <w:bottom w:val="nil"/>
            </w:tcBorders>
          </w:tcPr>
          <w:p>
            <w:pPr>
              <w:pStyle w:val="TableParagraph"/>
              <w:spacing w:line="179" w:lineRule="exact"/>
              <w:ind w:left="72"/>
              <w:rPr>
                <w:sz w:val="18"/>
              </w:rPr>
            </w:pPr>
            <w:r>
              <w:rPr>
                <w:sz w:val="18"/>
              </w:rPr>
              <w:t>metodología</w:t>
            </w:r>
            <w:r>
              <w:rPr>
                <w:spacing w:val="-3"/>
                <w:sz w:val="18"/>
              </w:rPr>
              <w:t> </w:t>
            </w:r>
            <w:r>
              <w:rPr>
                <w:sz w:val="18"/>
              </w:rPr>
              <w:t>de</w:t>
            </w:r>
            <w:r>
              <w:rPr>
                <w:spacing w:val="-6"/>
                <w:sz w:val="18"/>
              </w:rPr>
              <w:t> </w:t>
            </w:r>
            <w:r>
              <w:rPr>
                <w:sz w:val="18"/>
              </w:rPr>
              <w:t>Gestión</w:t>
            </w:r>
            <w:r>
              <w:rPr>
                <w:spacing w:val="-6"/>
                <w:sz w:val="18"/>
              </w:rPr>
              <w:t> </w:t>
            </w:r>
            <w:r>
              <w:rPr>
                <w:spacing w:val="-4"/>
                <w:sz w:val="18"/>
              </w:rPr>
              <w:t>para</w:t>
            </w:r>
          </w:p>
        </w:tc>
        <w:tc>
          <w:tcPr>
            <w:tcW w:w="1560" w:type="dxa"/>
            <w:tcBorders>
              <w:top w:val="nil"/>
              <w:bottom w:val="nil"/>
            </w:tcBorders>
          </w:tcPr>
          <w:p>
            <w:pPr>
              <w:pStyle w:val="TableParagraph"/>
              <w:spacing w:line="179" w:lineRule="exact"/>
              <w:ind w:left="67"/>
              <w:rPr>
                <w:sz w:val="18"/>
              </w:rPr>
            </w:pPr>
            <w:r>
              <w:rPr>
                <w:sz w:val="18"/>
              </w:rPr>
              <w:t>metodología</w:t>
            </w:r>
            <w:r>
              <w:rPr>
                <w:spacing w:val="-4"/>
                <w:sz w:val="18"/>
              </w:rPr>
              <w:t> </w:t>
            </w:r>
            <w:r>
              <w:rPr>
                <w:spacing w:val="-7"/>
                <w:sz w:val="18"/>
              </w:rPr>
              <w:t>de</w:t>
            </w:r>
          </w:p>
        </w:tc>
        <w:tc>
          <w:tcPr>
            <w:tcW w:w="1181" w:type="dxa"/>
            <w:tcBorders>
              <w:top w:val="nil"/>
              <w:bottom w:val="nil"/>
            </w:tcBorders>
          </w:tcPr>
          <w:p>
            <w:pPr>
              <w:pStyle w:val="TableParagraph"/>
              <w:rPr>
                <w:rFonts w:ascii="Times New Roman"/>
                <w:sz w:val="12"/>
              </w:rPr>
            </w:pPr>
          </w:p>
        </w:tc>
        <w:tc>
          <w:tcPr>
            <w:tcW w:w="1186" w:type="dxa"/>
            <w:vMerge/>
            <w:tcBorders>
              <w:top w:val="nil"/>
            </w:tcBorders>
          </w:tcPr>
          <w:p>
            <w:pPr>
              <w:rPr>
                <w:sz w:val="2"/>
                <w:szCs w:val="2"/>
              </w:rPr>
            </w:pPr>
          </w:p>
        </w:tc>
        <w:tc>
          <w:tcPr>
            <w:tcW w:w="1200" w:type="dxa"/>
            <w:tcBorders>
              <w:top w:val="nil"/>
              <w:bottom w:val="nil"/>
            </w:tcBorders>
          </w:tcPr>
          <w:p>
            <w:pPr>
              <w:pStyle w:val="TableParagraph"/>
              <w:rPr>
                <w:rFonts w:ascii="Times New Roman"/>
                <w:sz w:val="12"/>
              </w:rPr>
            </w:pPr>
          </w:p>
        </w:tc>
        <w:tc>
          <w:tcPr>
            <w:tcW w:w="1248" w:type="dxa"/>
            <w:vMerge/>
            <w:tcBorders>
              <w:top w:val="nil"/>
            </w:tcBorders>
          </w:tcPr>
          <w:p>
            <w:pPr>
              <w:rPr>
                <w:sz w:val="2"/>
                <w:szCs w:val="2"/>
              </w:rPr>
            </w:pPr>
          </w:p>
        </w:tc>
        <w:tc>
          <w:tcPr>
            <w:tcW w:w="1181" w:type="dxa"/>
            <w:tcBorders>
              <w:top w:val="nil"/>
              <w:bottom w:val="nil"/>
            </w:tcBorders>
          </w:tcPr>
          <w:p>
            <w:pPr>
              <w:pStyle w:val="TableParagraph"/>
              <w:rPr>
                <w:rFonts w:ascii="Times New Roman"/>
                <w:sz w:val="12"/>
              </w:rPr>
            </w:pPr>
          </w:p>
        </w:tc>
        <w:tc>
          <w:tcPr>
            <w:tcW w:w="1234" w:type="dxa"/>
            <w:vMerge/>
            <w:tcBorders>
              <w:top w:val="nil"/>
            </w:tcBorders>
          </w:tcPr>
          <w:p>
            <w:pPr>
              <w:rPr>
                <w:sz w:val="2"/>
                <w:szCs w:val="2"/>
              </w:rPr>
            </w:pPr>
          </w:p>
        </w:tc>
        <w:tc>
          <w:tcPr>
            <w:tcW w:w="1282" w:type="dxa"/>
            <w:tcBorders>
              <w:top w:val="nil"/>
              <w:bottom w:val="nil"/>
            </w:tcBorders>
          </w:tcPr>
          <w:p>
            <w:pPr>
              <w:pStyle w:val="TableParagraph"/>
              <w:rPr>
                <w:rFonts w:ascii="Times New Roman"/>
                <w:sz w:val="12"/>
              </w:rPr>
            </w:pPr>
          </w:p>
        </w:tc>
        <w:tc>
          <w:tcPr>
            <w:tcW w:w="1230" w:type="dxa"/>
            <w:vMerge/>
            <w:tcBorders>
              <w:top w:val="nil"/>
            </w:tcBorders>
          </w:tcPr>
          <w:p>
            <w:pPr>
              <w:rPr>
                <w:sz w:val="2"/>
                <w:szCs w:val="2"/>
              </w:rPr>
            </w:pPr>
          </w:p>
        </w:tc>
      </w:tr>
      <w:tr>
        <w:trPr>
          <w:trHeight w:val="196" w:hRule="atLeast"/>
        </w:trPr>
        <w:tc>
          <w:tcPr>
            <w:tcW w:w="3092" w:type="dxa"/>
            <w:tcBorders>
              <w:top w:val="nil"/>
              <w:bottom w:val="nil"/>
            </w:tcBorders>
          </w:tcPr>
          <w:p>
            <w:pPr>
              <w:pStyle w:val="TableParagraph"/>
              <w:spacing w:line="176" w:lineRule="exact"/>
              <w:ind w:left="72"/>
              <w:rPr>
                <w:sz w:val="18"/>
              </w:rPr>
            </w:pPr>
            <w:r>
              <w:rPr>
                <w:sz w:val="18"/>
              </w:rPr>
              <w:t>Resultados</w:t>
            </w:r>
            <w:r>
              <w:rPr>
                <w:spacing w:val="-11"/>
                <w:sz w:val="18"/>
              </w:rPr>
              <w:t> </w:t>
            </w:r>
            <w:r>
              <w:rPr>
                <w:sz w:val="18"/>
              </w:rPr>
              <w:t>(GpRD)</w:t>
            </w:r>
            <w:r>
              <w:rPr>
                <w:spacing w:val="-5"/>
                <w:sz w:val="18"/>
              </w:rPr>
              <w:t> </w:t>
            </w:r>
            <w:r>
              <w:rPr>
                <w:sz w:val="18"/>
              </w:rPr>
              <w:t>de</w:t>
            </w:r>
            <w:r>
              <w:rPr>
                <w:spacing w:val="-4"/>
                <w:sz w:val="18"/>
              </w:rPr>
              <w:t> </w:t>
            </w:r>
            <w:r>
              <w:rPr>
                <w:sz w:val="18"/>
              </w:rPr>
              <w:t>Desarrollo</w:t>
            </w:r>
            <w:r>
              <w:rPr>
                <w:spacing w:val="-3"/>
                <w:sz w:val="18"/>
              </w:rPr>
              <w:t> </w:t>
            </w:r>
            <w:r>
              <w:rPr>
                <w:spacing w:val="-10"/>
                <w:sz w:val="18"/>
              </w:rPr>
              <w:t>y</w:t>
            </w:r>
          </w:p>
        </w:tc>
        <w:tc>
          <w:tcPr>
            <w:tcW w:w="1560" w:type="dxa"/>
            <w:tcBorders>
              <w:top w:val="nil"/>
              <w:bottom w:val="nil"/>
            </w:tcBorders>
          </w:tcPr>
          <w:p>
            <w:pPr>
              <w:pStyle w:val="TableParagraph"/>
              <w:spacing w:line="176" w:lineRule="exact"/>
              <w:ind w:left="67"/>
              <w:rPr>
                <w:sz w:val="18"/>
              </w:rPr>
            </w:pPr>
            <w:r>
              <w:rPr>
                <w:sz w:val="18"/>
              </w:rPr>
              <w:t>GpRD</w:t>
            </w:r>
            <w:r>
              <w:rPr>
                <w:spacing w:val="-4"/>
                <w:sz w:val="18"/>
              </w:rPr>
              <w:t> </w:t>
            </w:r>
            <w:r>
              <w:rPr>
                <w:sz w:val="18"/>
              </w:rPr>
              <w:t>y</w:t>
            </w:r>
            <w:r>
              <w:rPr>
                <w:spacing w:val="3"/>
                <w:sz w:val="18"/>
              </w:rPr>
              <w:t> </w:t>
            </w:r>
            <w:r>
              <w:rPr>
                <w:spacing w:val="-2"/>
                <w:sz w:val="18"/>
              </w:rPr>
              <w:t>Valor</w:t>
            </w:r>
          </w:p>
        </w:tc>
        <w:tc>
          <w:tcPr>
            <w:tcW w:w="1181" w:type="dxa"/>
            <w:tcBorders>
              <w:top w:val="nil"/>
              <w:bottom w:val="nil"/>
            </w:tcBorders>
          </w:tcPr>
          <w:p>
            <w:pPr>
              <w:pStyle w:val="TableParagraph"/>
              <w:rPr>
                <w:rFonts w:ascii="Times New Roman"/>
                <w:sz w:val="12"/>
              </w:rPr>
            </w:pPr>
          </w:p>
        </w:tc>
        <w:tc>
          <w:tcPr>
            <w:tcW w:w="1186" w:type="dxa"/>
            <w:vMerge/>
            <w:tcBorders>
              <w:top w:val="nil"/>
            </w:tcBorders>
          </w:tcPr>
          <w:p>
            <w:pPr>
              <w:rPr>
                <w:sz w:val="2"/>
                <w:szCs w:val="2"/>
              </w:rPr>
            </w:pPr>
          </w:p>
        </w:tc>
        <w:tc>
          <w:tcPr>
            <w:tcW w:w="1200" w:type="dxa"/>
            <w:tcBorders>
              <w:top w:val="nil"/>
              <w:bottom w:val="nil"/>
            </w:tcBorders>
          </w:tcPr>
          <w:p>
            <w:pPr>
              <w:pStyle w:val="TableParagraph"/>
              <w:rPr>
                <w:rFonts w:ascii="Times New Roman"/>
                <w:sz w:val="12"/>
              </w:rPr>
            </w:pPr>
          </w:p>
        </w:tc>
        <w:tc>
          <w:tcPr>
            <w:tcW w:w="1248" w:type="dxa"/>
            <w:vMerge/>
            <w:tcBorders>
              <w:top w:val="nil"/>
            </w:tcBorders>
          </w:tcPr>
          <w:p>
            <w:pPr>
              <w:rPr>
                <w:sz w:val="2"/>
                <w:szCs w:val="2"/>
              </w:rPr>
            </w:pPr>
          </w:p>
        </w:tc>
        <w:tc>
          <w:tcPr>
            <w:tcW w:w="1181" w:type="dxa"/>
            <w:tcBorders>
              <w:top w:val="nil"/>
              <w:bottom w:val="nil"/>
            </w:tcBorders>
          </w:tcPr>
          <w:p>
            <w:pPr>
              <w:pStyle w:val="TableParagraph"/>
              <w:rPr>
                <w:rFonts w:ascii="Times New Roman"/>
                <w:sz w:val="12"/>
              </w:rPr>
            </w:pPr>
          </w:p>
        </w:tc>
        <w:tc>
          <w:tcPr>
            <w:tcW w:w="1234" w:type="dxa"/>
            <w:vMerge/>
            <w:tcBorders>
              <w:top w:val="nil"/>
            </w:tcBorders>
          </w:tcPr>
          <w:p>
            <w:pPr>
              <w:rPr>
                <w:sz w:val="2"/>
                <w:szCs w:val="2"/>
              </w:rPr>
            </w:pPr>
          </w:p>
        </w:tc>
        <w:tc>
          <w:tcPr>
            <w:tcW w:w="1282" w:type="dxa"/>
            <w:tcBorders>
              <w:top w:val="nil"/>
              <w:bottom w:val="nil"/>
            </w:tcBorders>
          </w:tcPr>
          <w:p>
            <w:pPr>
              <w:pStyle w:val="TableParagraph"/>
              <w:rPr>
                <w:rFonts w:ascii="Times New Roman"/>
                <w:sz w:val="12"/>
              </w:rPr>
            </w:pPr>
          </w:p>
        </w:tc>
        <w:tc>
          <w:tcPr>
            <w:tcW w:w="1230" w:type="dxa"/>
            <w:vMerge/>
            <w:tcBorders>
              <w:top w:val="nil"/>
            </w:tcBorders>
          </w:tcPr>
          <w:p>
            <w:pPr>
              <w:rPr>
                <w:sz w:val="2"/>
                <w:szCs w:val="2"/>
              </w:rPr>
            </w:pPr>
          </w:p>
        </w:tc>
      </w:tr>
      <w:tr>
        <w:trPr>
          <w:trHeight w:val="512" w:hRule="atLeast"/>
        </w:trPr>
        <w:tc>
          <w:tcPr>
            <w:tcW w:w="3092" w:type="dxa"/>
            <w:tcBorders>
              <w:top w:val="nil"/>
            </w:tcBorders>
          </w:tcPr>
          <w:p>
            <w:pPr>
              <w:pStyle w:val="TableParagraph"/>
              <w:spacing w:line="200" w:lineRule="exact"/>
              <w:ind w:left="72"/>
              <w:rPr>
                <w:sz w:val="18"/>
              </w:rPr>
            </w:pPr>
            <w:r>
              <w:rPr>
                <w:sz w:val="18"/>
              </w:rPr>
              <w:t>Valor </w:t>
            </w:r>
            <w:r>
              <w:rPr>
                <w:spacing w:val="-2"/>
                <w:sz w:val="18"/>
              </w:rPr>
              <w:t>Público</w:t>
            </w:r>
          </w:p>
        </w:tc>
        <w:tc>
          <w:tcPr>
            <w:tcW w:w="1560" w:type="dxa"/>
            <w:tcBorders>
              <w:top w:val="nil"/>
            </w:tcBorders>
          </w:tcPr>
          <w:p>
            <w:pPr>
              <w:pStyle w:val="TableParagraph"/>
              <w:spacing w:line="200" w:lineRule="exact"/>
              <w:ind w:left="67"/>
              <w:rPr>
                <w:sz w:val="18"/>
              </w:rPr>
            </w:pPr>
            <w:r>
              <w:rPr>
                <w:spacing w:val="-2"/>
                <w:sz w:val="18"/>
              </w:rPr>
              <w:t>Público</w:t>
            </w:r>
          </w:p>
        </w:tc>
        <w:tc>
          <w:tcPr>
            <w:tcW w:w="1181" w:type="dxa"/>
            <w:tcBorders>
              <w:top w:val="nil"/>
            </w:tcBorders>
          </w:tcPr>
          <w:p>
            <w:pPr>
              <w:pStyle w:val="TableParagraph"/>
              <w:rPr>
                <w:rFonts w:ascii="Times New Roman"/>
                <w:sz w:val="18"/>
              </w:rPr>
            </w:pPr>
          </w:p>
        </w:tc>
        <w:tc>
          <w:tcPr>
            <w:tcW w:w="1186" w:type="dxa"/>
            <w:vMerge/>
            <w:tcBorders>
              <w:top w:val="nil"/>
            </w:tcBorders>
          </w:tcPr>
          <w:p>
            <w:pPr>
              <w:rPr>
                <w:sz w:val="2"/>
                <w:szCs w:val="2"/>
              </w:rPr>
            </w:pPr>
          </w:p>
        </w:tc>
        <w:tc>
          <w:tcPr>
            <w:tcW w:w="1200" w:type="dxa"/>
            <w:tcBorders>
              <w:top w:val="nil"/>
            </w:tcBorders>
          </w:tcPr>
          <w:p>
            <w:pPr>
              <w:pStyle w:val="TableParagraph"/>
              <w:rPr>
                <w:rFonts w:ascii="Times New Roman"/>
                <w:sz w:val="18"/>
              </w:rPr>
            </w:pPr>
          </w:p>
        </w:tc>
        <w:tc>
          <w:tcPr>
            <w:tcW w:w="1248" w:type="dxa"/>
            <w:vMerge/>
            <w:tcBorders>
              <w:top w:val="nil"/>
            </w:tcBorders>
          </w:tcPr>
          <w:p>
            <w:pPr>
              <w:rPr>
                <w:sz w:val="2"/>
                <w:szCs w:val="2"/>
              </w:rPr>
            </w:pPr>
          </w:p>
        </w:tc>
        <w:tc>
          <w:tcPr>
            <w:tcW w:w="1181" w:type="dxa"/>
            <w:tcBorders>
              <w:top w:val="nil"/>
            </w:tcBorders>
          </w:tcPr>
          <w:p>
            <w:pPr>
              <w:pStyle w:val="TableParagraph"/>
              <w:rPr>
                <w:rFonts w:ascii="Times New Roman"/>
                <w:sz w:val="18"/>
              </w:rPr>
            </w:pPr>
          </w:p>
        </w:tc>
        <w:tc>
          <w:tcPr>
            <w:tcW w:w="1234" w:type="dxa"/>
            <w:vMerge/>
            <w:tcBorders>
              <w:top w:val="nil"/>
            </w:tcBorders>
          </w:tcPr>
          <w:p>
            <w:pPr>
              <w:rPr>
                <w:sz w:val="2"/>
                <w:szCs w:val="2"/>
              </w:rPr>
            </w:pPr>
          </w:p>
        </w:tc>
        <w:tc>
          <w:tcPr>
            <w:tcW w:w="1282" w:type="dxa"/>
            <w:tcBorders>
              <w:top w:val="nil"/>
            </w:tcBorders>
          </w:tcPr>
          <w:p>
            <w:pPr>
              <w:pStyle w:val="TableParagraph"/>
              <w:rPr>
                <w:rFonts w:ascii="Times New Roman"/>
                <w:sz w:val="18"/>
              </w:rPr>
            </w:pPr>
          </w:p>
        </w:tc>
        <w:tc>
          <w:tcPr>
            <w:tcW w:w="1230"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896"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1982" w:hRule="atLeast"/>
        </w:trPr>
        <w:tc>
          <w:tcPr>
            <w:tcW w:w="3092" w:type="dxa"/>
          </w:tcPr>
          <w:p>
            <w:pPr>
              <w:pStyle w:val="TableParagraph"/>
              <w:rPr>
                <w:b/>
                <w:sz w:val="18"/>
              </w:rPr>
            </w:pPr>
          </w:p>
          <w:p>
            <w:pPr>
              <w:pStyle w:val="TableParagraph"/>
              <w:spacing w:before="161"/>
              <w:rPr>
                <w:b/>
                <w:sz w:val="18"/>
              </w:rPr>
            </w:pPr>
          </w:p>
          <w:p>
            <w:pPr>
              <w:pStyle w:val="TableParagraph"/>
              <w:ind w:left="72" w:right="141"/>
              <w:rPr>
                <w:sz w:val="18"/>
              </w:rPr>
            </w:pPr>
            <w:r>
              <w:rPr>
                <w:b/>
                <w:sz w:val="18"/>
              </w:rPr>
              <w:t>Actividad</w:t>
            </w:r>
            <w:r>
              <w:rPr>
                <w:b/>
                <w:spacing w:val="-12"/>
                <w:sz w:val="18"/>
              </w:rPr>
              <w:t> </w:t>
            </w:r>
            <w:r>
              <w:rPr>
                <w:b/>
                <w:sz w:val="18"/>
              </w:rPr>
              <w:t>PAC</w:t>
            </w:r>
            <w:r>
              <w:rPr>
                <w:b/>
                <w:spacing w:val="-8"/>
                <w:sz w:val="18"/>
              </w:rPr>
              <w:t> </w:t>
            </w:r>
            <w:r>
              <w:rPr>
                <w:b/>
                <w:sz w:val="18"/>
              </w:rPr>
              <w:t>2.61.2:</w:t>
            </w:r>
            <w:r>
              <w:rPr>
                <w:b/>
                <w:spacing w:val="-3"/>
                <w:sz w:val="18"/>
              </w:rPr>
              <w:t> </w:t>
            </w:r>
            <w:r>
              <w:rPr>
                <w:sz w:val="18"/>
              </w:rPr>
              <w:t>Publicar</w:t>
            </w:r>
            <w:r>
              <w:rPr>
                <w:spacing w:val="-6"/>
                <w:sz w:val="18"/>
              </w:rPr>
              <w:t> </w:t>
            </w:r>
            <w:r>
              <w:rPr>
                <w:sz w:val="18"/>
              </w:rPr>
              <w:t>la normativa</w:t>
            </w:r>
            <w:r>
              <w:rPr>
                <w:spacing w:val="-13"/>
                <w:sz w:val="18"/>
              </w:rPr>
              <w:t> </w:t>
            </w:r>
            <w:r>
              <w:rPr>
                <w:sz w:val="18"/>
              </w:rPr>
              <w:t>institucional</w:t>
            </w:r>
            <w:r>
              <w:rPr>
                <w:spacing w:val="-12"/>
                <w:sz w:val="18"/>
              </w:rPr>
              <w:t> </w:t>
            </w:r>
            <w:r>
              <w:rPr>
                <w:sz w:val="18"/>
              </w:rPr>
              <w:t>e</w:t>
            </w:r>
            <w:r>
              <w:rPr>
                <w:spacing w:val="-12"/>
                <w:sz w:val="18"/>
              </w:rPr>
              <w:t> </w:t>
            </w:r>
            <w:r>
              <w:rPr>
                <w:sz w:val="18"/>
              </w:rPr>
              <w:t>identificar su vinculado a la metodología de GpRD y Valor Público</w:t>
            </w:r>
          </w:p>
        </w:tc>
        <w:tc>
          <w:tcPr>
            <w:tcW w:w="1560" w:type="dxa"/>
          </w:tcPr>
          <w:p>
            <w:pPr>
              <w:pStyle w:val="TableParagraph"/>
              <w:rPr>
                <w:b/>
                <w:sz w:val="18"/>
              </w:rPr>
            </w:pPr>
          </w:p>
          <w:p>
            <w:pPr>
              <w:pStyle w:val="TableParagraph"/>
              <w:rPr>
                <w:b/>
                <w:sz w:val="18"/>
              </w:rPr>
            </w:pPr>
          </w:p>
          <w:p>
            <w:pPr>
              <w:pStyle w:val="TableParagraph"/>
              <w:spacing w:before="59"/>
              <w:rPr>
                <w:b/>
                <w:sz w:val="18"/>
              </w:rPr>
            </w:pPr>
          </w:p>
          <w:p>
            <w:pPr>
              <w:pStyle w:val="TableParagraph"/>
              <w:ind w:left="67" w:right="365"/>
              <w:rPr>
                <w:sz w:val="18"/>
              </w:rPr>
            </w:pPr>
            <w:r>
              <w:rPr>
                <w:sz w:val="18"/>
              </w:rPr>
              <w:t>Porcentaje</w:t>
            </w:r>
            <w:r>
              <w:rPr>
                <w:spacing w:val="-13"/>
                <w:sz w:val="18"/>
              </w:rPr>
              <w:t> </w:t>
            </w:r>
            <w:r>
              <w:rPr>
                <w:sz w:val="18"/>
              </w:rPr>
              <w:t>de </w:t>
            </w:r>
            <w:r>
              <w:rPr>
                <w:spacing w:val="-2"/>
                <w:sz w:val="18"/>
              </w:rPr>
              <w:t>normativa publicada</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28" w:right="24"/>
              <w:jc w:val="center"/>
              <w:rPr>
                <w:sz w:val="18"/>
              </w:rPr>
            </w:pPr>
            <w:r>
              <w:rPr>
                <w:spacing w:val="-4"/>
                <w:sz w:val="18"/>
              </w:rPr>
              <w:t>100%</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19" w:right="5"/>
              <w:jc w:val="center"/>
              <w:rPr>
                <w:sz w:val="18"/>
              </w:rPr>
            </w:pPr>
            <w:r>
              <w:rPr>
                <w:spacing w:val="-4"/>
                <w:sz w:val="18"/>
              </w:rPr>
              <w:t>100%</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28" w:right="13"/>
              <w:jc w:val="center"/>
              <w:rPr>
                <w:sz w:val="18"/>
              </w:rPr>
            </w:pPr>
            <w:r>
              <w:rPr>
                <w:spacing w:val="-4"/>
                <w:sz w:val="18"/>
              </w:rPr>
              <w:t>100%</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20"/>
              <w:jc w:val="center"/>
              <w:rPr>
                <w:sz w:val="18"/>
              </w:rPr>
            </w:pPr>
            <w:r>
              <w:rPr>
                <w:spacing w:val="-4"/>
                <w:sz w:val="18"/>
              </w:rPr>
              <w:t>100%</w:t>
            </w:r>
          </w:p>
        </w:tc>
        <w:tc>
          <w:tcPr>
            <w:tcW w:w="1230" w:type="dxa"/>
          </w:tcPr>
          <w:p>
            <w:pPr>
              <w:pStyle w:val="TableParagraph"/>
              <w:rPr>
                <w:rFonts w:ascii="Times New Roman"/>
                <w:sz w:val="18"/>
              </w:rPr>
            </w:pPr>
          </w:p>
        </w:tc>
      </w:tr>
      <w:tr>
        <w:trPr>
          <w:trHeight w:val="1426" w:hRule="atLeast"/>
        </w:trPr>
        <w:tc>
          <w:tcPr>
            <w:tcW w:w="3092" w:type="dxa"/>
          </w:tcPr>
          <w:p>
            <w:pPr>
              <w:pStyle w:val="TableParagraph"/>
              <w:spacing w:before="90"/>
              <w:rPr>
                <w:b/>
                <w:sz w:val="18"/>
              </w:rPr>
            </w:pPr>
          </w:p>
          <w:p>
            <w:pPr>
              <w:pStyle w:val="TableParagraph"/>
              <w:ind w:left="72" w:right="99"/>
              <w:rPr>
                <w:sz w:val="18"/>
              </w:rPr>
            </w:pPr>
            <w:r>
              <w:rPr>
                <w:b/>
                <w:sz w:val="18"/>
              </w:rPr>
              <w:t>Actividad</w:t>
            </w:r>
            <w:r>
              <w:rPr>
                <w:b/>
                <w:spacing w:val="-10"/>
                <w:sz w:val="18"/>
              </w:rPr>
              <w:t> </w:t>
            </w:r>
            <w:r>
              <w:rPr>
                <w:b/>
                <w:sz w:val="18"/>
              </w:rPr>
              <w:t>PAC</w:t>
            </w:r>
            <w:r>
              <w:rPr>
                <w:b/>
                <w:spacing w:val="-7"/>
                <w:sz w:val="18"/>
              </w:rPr>
              <w:t> </w:t>
            </w:r>
            <w:r>
              <w:rPr>
                <w:b/>
                <w:sz w:val="18"/>
              </w:rPr>
              <w:t>2.61.3:</w:t>
            </w:r>
            <w:r>
              <w:rPr>
                <w:b/>
                <w:spacing w:val="40"/>
                <w:sz w:val="18"/>
              </w:rPr>
              <w:t> </w:t>
            </w:r>
            <w:r>
              <w:rPr>
                <w:sz w:val="18"/>
              </w:rPr>
              <w:t>Elaborar</w:t>
            </w:r>
            <w:r>
              <w:rPr>
                <w:spacing w:val="-8"/>
                <w:sz w:val="18"/>
              </w:rPr>
              <w:t> </w:t>
            </w:r>
            <w:r>
              <w:rPr>
                <w:sz w:val="18"/>
              </w:rPr>
              <w:t>un informe anual sobre la normativa publicada que considera elementos de GpRD y Valor Público</w:t>
            </w:r>
          </w:p>
        </w:tc>
        <w:tc>
          <w:tcPr>
            <w:tcW w:w="1560" w:type="dxa"/>
          </w:tcPr>
          <w:p>
            <w:pPr>
              <w:pStyle w:val="TableParagraph"/>
              <w:spacing w:before="190"/>
              <w:rPr>
                <w:b/>
                <w:sz w:val="18"/>
              </w:rPr>
            </w:pPr>
          </w:p>
          <w:p>
            <w:pPr>
              <w:pStyle w:val="TableParagraph"/>
              <w:spacing w:line="242" w:lineRule="auto" w:before="1"/>
              <w:ind w:left="67" w:right="58"/>
              <w:rPr>
                <w:sz w:val="18"/>
              </w:rPr>
            </w:pPr>
            <w:r>
              <w:rPr>
                <w:sz w:val="18"/>
              </w:rPr>
              <w:t>Cantidad</w:t>
            </w:r>
            <w:r>
              <w:rPr>
                <w:spacing w:val="-13"/>
                <w:sz w:val="18"/>
              </w:rPr>
              <w:t> </w:t>
            </w:r>
            <w:r>
              <w:rPr>
                <w:sz w:val="18"/>
              </w:rPr>
              <w:t>de </w:t>
            </w:r>
            <w:r>
              <w:rPr>
                <w:spacing w:val="-2"/>
                <w:sz w:val="18"/>
              </w:rPr>
              <w:t>informes elaborados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195"/>
              <w:rPr>
                <w:b/>
                <w:sz w:val="18"/>
              </w:rPr>
            </w:pPr>
          </w:p>
          <w:p>
            <w:pPr>
              <w:pStyle w:val="TableParagraph"/>
              <w:ind w:left="20" w:right="7"/>
              <w:jc w:val="center"/>
              <w:rPr>
                <w:sz w:val="18"/>
              </w:rPr>
            </w:pPr>
            <w:r>
              <w:rPr>
                <w:spacing w:val="-10"/>
                <w:sz w:val="18"/>
              </w:rPr>
              <w:t>1</w:t>
            </w:r>
          </w:p>
        </w:tc>
        <w:tc>
          <w:tcPr>
            <w:tcW w:w="1230" w:type="dxa"/>
          </w:tcPr>
          <w:p>
            <w:pPr>
              <w:pStyle w:val="TableParagraph"/>
              <w:rPr>
                <w:rFonts w:ascii="Times New Roman"/>
                <w:sz w:val="18"/>
              </w:rPr>
            </w:pPr>
          </w:p>
        </w:tc>
      </w:tr>
      <w:tr>
        <w:trPr>
          <w:trHeight w:val="585" w:hRule="atLeast"/>
        </w:trPr>
        <w:tc>
          <w:tcPr>
            <w:tcW w:w="14394" w:type="dxa"/>
            <w:gridSpan w:val="10"/>
            <w:shd w:val="clear" w:color="auto" w:fill="EFF8F9"/>
          </w:tcPr>
          <w:p>
            <w:pPr>
              <w:pStyle w:val="TableParagraph"/>
              <w:spacing w:before="186"/>
              <w:ind w:left="72"/>
              <w:rPr>
                <w:b/>
                <w:sz w:val="18"/>
              </w:rPr>
            </w:pPr>
            <w:r>
              <w:rPr>
                <w:b/>
                <w:sz w:val="18"/>
              </w:rPr>
              <w:t>Producto</w:t>
            </w:r>
            <w:r>
              <w:rPr>
                <w:b/>
                <w:spacing w:val="-7"/>
                <w:sz w:val="18"/>
              </w:rPr>
              <w:t> </w:t>
            </w:r>
            <w:r>
              <w:rPr>
                <w:b/>
                <w:sz w:val="18"/>
              </w:rPr>
              <w:t>PAC</w:t>
            </w:r>
            <w:r>
              <w:rPr>
                <w:b/>
                <w:spacing w:val="-8"/>
                <w:sz w:val="18"/>
              </w:rPr>
              <w:t> </w:t>
            </w:r>
            <w:r>
              <w:rPr>
                <w:b/>
                <w:sz w:val="18"/>
              </w:rPr>
              <w:t>2.62:</w:t>
            </w:r>
            <w:r>
              <w:rPr>
                <w:b/>
                <w:spacing w:val="-3"/>
                <w:sz w:val="18"/>
              </w:rPr>
              <w:t> </w:t>
            </w:r>
            <w:r>
              <w:rPr>
                <w:b/>
                <w:sz w:val="18"/>
              </w:rPr>
              <w:t>Jefaturas</w:t>
            </w:r>
            <w:r>
              <w:rPr>
                <w:b/>
                <w:spacing w:val="-6"/>
                <w:sz w:val="18"/>
              </w:rPr>
              <w:t> </w:t>
            </w:r>
            <w:r>
              <w:rPr>
                <w:b/>
                <w:sz w:val="18"/>
              </w:rPr>
              <w:t>y</w:t>
            </w:r>
            <w:r>
              <w:rPr>
                <w:b/>
                <w:spacing w:val="-2"/>
                <w:sz w:val="18"/>
              </w:rPr>
              <w:t> </w:t>
            </w:r>
            <w:r>
              <w:rPr>
                <w:b/>
                <w:sz w:val="18"/>
              </w:rPr>
              <w:t>enlaces</w:t>
            </w:r>
            <w:r>
              <w:rPr>
                <w:b/>
                <w:spacing w:val="-1"/>
                <w:sz w:val="18"/>
              </w:rPr>
              <w:t> </w:t>
            </w:r>
            <w:r>
              <w:rPr>
                <w:b/>
                <w:sz w:val="18"/>
              </w:rPr>
              <w:t>de</w:t>
            </w:r>
            <w:r>
              <w:rPr>
                <w:b/>
                <w:spacing w:val="-6"/>
                <w:sz w:val="18"/>
              </w:rPr>
              <w:t> </w:t>
            </w:r>
            <w:r>
              <w:rPr>
                <w:b/>
                <w:sz w:val="18"/>
              </w:rPr>
              <w:t>unidades</w:t>
            </w:r>
            <w:r>
              <w:rPr>
                <w:b/>
                <w:spacing w:val="-6"/>
                <w:sz w:val="18"/>
              </w:rPr>
              <w:t> </w:t>
            </w:r>
            <w:r>
              <w:rPr>
                <w:b/>
                <w:sz w:val="18"/>
              </w:rPr>
              <w:t>a</w:t>
            </w:r>
            <w:r>
              <w:rPr>
                <w:b/>
                <w:spacing w:val="-5"/>
                <w:sz w:val="18"/>
              </w:rPr>
              <w:t> </w:t>
            </w:r>
            <w:r>
              <w:rPr>
                <w:b/>
                <w:sz w:val="18"/>
              </w:rPr>
              <w:t>cargo</w:t>
            </w:r>
            <w:r>
              <w:rPr>
                <w:b/>
                <w:spacing w:val="-2"/>
                <w:sz w:val="18"/>
              </w:rPr>
              <w:t> </w:t>
            </w:r>
            <w:r>
              <w:rPr>
                <w:b/>
                <w:sz w:val="18"/>
              </w:rPr>
              <w:t>de</w:t>
            </w:r>
            <w:r>
              <w:rPr>
                <w:b/>
                <w:spacing w:val="-6"/>
                <w:sz w:val="18"/>
              </w:rPr>
              <w:t> </w:t>
            </w:r>
            <w:r>
              <w:rPr>
                <w:b/>
                <w:sz w:val="18"/>
              </w:rPr>
              <w:t>procesos</w:t>
            </w:r>
            <w:r>
              <w:rPr>
                <w:b/>
                <w:spacing w:val="-5"/>
                <w:sz w:val="18"/>
              </w:rPr>
              <w:t> </w:t>
            </w:r>
            <w:r>
              <w:rPr>
                <w:b/>
                <w:sz w:val="18"/>
              </w:rPr>
              <w:t>de</w:t>
            </w:r>
            <w:r>
              <w:rPr>
                <w:b/>
                <w:spacing w:val="-6"/>
                <w:sz w:val="18"/>
              </w:rPr>
              <w:t> </w:t>
            </w:r>
            <w:r>
              <w:rPr>
                <w:b/>
                <w:sz w:val="18"/>
              </w:rPr>
              <w:t>Planificación,</w:t>
            </w:r>
            <w:r>
              <w:rPr>
                <w:b/>
                <w:spacing w:val="-3"/>
                <w:sz w:val="18"/>
              </w:rPr>
              <w:t> </w:t>
            </w:r>
            <w:r>
              <w:rPr>
                <w:b/>
                <w:sz w:val="18"/>
              </w:rPr>
              <w:t>capacitados</w:t>
            </w:r>
            <w:r>
              <w:rPr>
                <w:b/>
                <w:spacing w:val="-6"/>
                <w:sz w:val="18"/>
              </w:rPr>
              <w:t> </w:t>
            </w:r>
            <w:r>
              <w:rPr>
                <w:b/>
                <w:sz w:val="18"/>
              </w:rPr>
              <w:t>en</w:t>
            </w:r>
            <w:r>
              <w:rPr>
                <w:b/>
                <w:spacing w:val="-7"/>
                <w:sz w:val="18"/>
              </w:rPr>
              <w:t> </w:t>
            </w:r>
            <w:r>
              <w:rPr>
                <w:b/>
                <w:sz w:val="18"/>
              </w:rPr>
              <w:t>GpRD</w:t>
            </w:r>
            <w:r>
              <w:rPr>
                <w:b/>
                <w:spacing w:val="-11"/>
                <w:sz w:val="18"/>
              </w:rPr>
              <w:t> </w:t>
            </w:r>
            <w:r>
              <w:rPr>
                <w:b/>
                <w:sz w:val="18"/>
              </w:rPr>
              <w:t>y</w:t>
            </w:r>
            <w:r>
              <w:rPr>
                <w:b/>
                <w:spacing w:val="-2"/>
                <w:sz w:val="18"/>
              </w:rPr>
              <w:t> </w:t>
            </w:r>
            <w:r>
              <w:rPr>
                <w:b/>
                <w:sz w:val="18"/>
              </w:rPr>
              <w:t>valor</w:t>
            </w:r>
            <w:r>
              <w:rPr>
                <w:b/>
                <w:spacing w:val="-4"/>
                <w:sz w:val="18"/>
              </w:rPr>
              <w:t> </w:t>
            </w:r>
            <w:r>
              <w:rPr>
                <w:b/>
                <w:sz w:val="18"/>
              </w:rPr>
              <w:t>público.</w:t>
            </w:r>
            <w:r>
              <w:rPr>
                <w:b/>
                <w:spacing w:val="6"/>
                <w:sz w:val="18"/>
              </w:rPr>
              <w:t> </w:t>
            </w:r>
            <w:r>
              <w:rPr>
                <w:b/>
                <w:sz w:val="18"/>
              </w:rPr>
              <w:t>E1</w:t>
            </w:r>
            <w:r>
              <w:rPr>
                <w:b/>
                <w:spacing w:val="-1"/>
                <w:sz w:val="18"/>
              </w:rPr>
              <w:t> </w:t>
            </w:r>
            <w:r>
              <w:rPr>
                <w:b/>
                <w:sz w:val="18"/>
              </w:rPr>
              <w:t>AE1</w:t>
            </w:r>
            <w:r>
              <w:rPr>
                <w:b/>
                <w:spacing w:val="-6"/>
                <w:sz w:val="18"/>
              </w:rPr>
              <w:t> </w:t>
            </w:r>
            <w:r>
              <w:rPr>
                <w:b/>
                <w:sz w:val="18"/>
              </w:rPr>
              <w:t>R2</w:t>
            </w:r>
            <w:r>
              <w:rPr>
                <w:b/>
                <w:spacing w:val="-6"/>
                <w:sz w:val="18"/>
              </w:rPr>
              <w:t> </w:t>
            </w:r>
            <w:r>
              <w:rPr>
                <w:b/>
                <w:spacing w:val="-2"/>
                <w:sz w:val="18"/>
              </w:rPr>
              <w:t>(100%)</w:t>
            </w:r>
          </w:p>
        </w:tc>
      </w:tr>
      <w:tr>
        <w:trPr>
          <w:trHeight w:val="1603" w:hRule="atLeast"/>
        </w:trPr>
        <w:tc>
          <w:tcPr>
            <w:tcW w:w="3092" w:type="dxa"/>
          </w:tcPr>
          <w:p>
            <w:pPr>
              <w:pStyle w:val="TableParagraph"/>
              <w:spacing w:before="75"/>
              <w:ind w:left="72" w:right="99"/>
              <w:rPr>
                <w:sz w:val="18"/>
              </w:rPr>
            </w:pPr>
            <w:r>
              <w:rPr>
                <w:b/>
                <w:sz w:val="18"/>
              </w:rPr>
              <w:t>Actividad PAC 2.62.1:</w:t>
            </w:r>
            <w:r>
              <w:rPr>
                <w:b/>
                <w:spacing w:val="40"/>
                <w:sz w:val="18"/>
              </w:rPr>
              <w:t> </w:t>
            </w:r>
            <w:r>
              <w:rPr>
                <w:sz w:val="18"/>
              </w:rPr>
              <w:t>Coordinar con Desarrollo Humano la implementación del módulo de capacitación en temas de GpRD y valor público en</w:t>
            </w:r>
            <w:r>
              <w:rPr>
                <w:spacing w:val="-1"/>
                <w:sz w:val="18"/>
              </w:rPr>
              <w:t> </w:t>
            </w:r>
            <w:r>
              <w:rPr>
                <w:sz w:val="18"/>
              </w:rPr>
              <w:t>formato presencia, virtual</w:t>
            </w:r>
            <w:r>
              <w:rPr>
                <w:spacing w:val="-7"/>
                <w:sz w:val="18"/>
              </w:rPr>
              <w:t> </w:t>
            </w:r>
            <w:r>
              <w:rPr>
                <w:sz w:val="18"/>
              </w:rPr>
              <w:t>y</w:t>
            </w:r>
            <w:r>
              <w:rPr>
                <w:spacing w:val="-5"/>
                <w:sz w:val="18"/>
              </w:rPr>
              <w:t> </w:t>
            </w:r>
            <w:r>
              <w:rPr>
                <w:sz w:val="18"/>
              </w:rPr>
              <w:t>por</w:t>
            </w:r>
            <w:r>
              <w:rPr>
                <w:spacing w:val="-8"/>
                <w:sz w:val="18"/>
              </w:rPr>
              <w:t> </w:t>
            </w:r>
            <w:r>
              <w:rPr>
                <w:sz w:val="18"/>
              </w:rPr>
              <w:t>medio</w:t>
            </w:r>
            <w:r>
              <w:rPr>
                <w:spacing w:val="-1"/>
                <w:sz w:val="18"/>
              </w:rPr>
              <w:t> </w:t>
            </w:r>
            <w:r>
              <w:rPr>
                <w:sz w:val="18"/>
              </w:rPr>
              <w:t>de</w:t>
            </w:r>
            <w:r>
              <w:rPr>
                <w:spacing w:val="-1"/>
                <w:sz w:val="18"/>
              </w:rPr>
              <w:t> </w:t>
            </w:r>
            <w:r>
              <w:rPr>
                <w:sz w:val="18"/>
              </w:rPr>
              <w:t>un</w:t>
            </w:r>
            <w:r>
              <w:rPr>
                <w:spacing w:val="-10"/>
                <w:sz w:val="18"/>
              </w:rPr>
              <w:t> </w:t>
            </w:r>
            <w:r>
              <w:rPr>
                <w:sz w:val="18"/>
              </w:rPr>
              <w:t>módulo</w:t>
            </w:r>
            <w:r>
              <w:rPr>
                <w:spacing w:val="-5"/>
                <w:sz w:val="18"/>
              </w:rPr>
              <w:t> </w:t>
            </w:r>
            <w:r>
              <w:rPr>
                <w:sz w:val="18"/>
              </w:rPr>
              <w:t>de </w:t>
            </w:r>
            <w:r>
              <w:rPr>
                <w:spacing w:val="-2"/>
                <w:sz w:val="18"/>
              </w:rPr>
              <w:t>autoaprendizaje.</w:t>
            </w:r>
          </w:p>
        </w:tc>
        <w:tc>
          <w:tcPr>
            <w:tcW w:w="1560" w:type="dxa"/>
          </w:tcPr>
          <w:p>
            <w:pPr>
              <w:pStyle w:val="TableParagraph"/>
              <w:spacing w:before="181"/>
              <w:rPr>
                <w:b/>
                <w:sz w:val="18"/>
              </w:rPr>
            </w:pPr>
          </w:p>
          <w:p>
            <w:pPr>
              <w:pStyle w:val="TableParagraph"/>
              <w:ind w:left="67" w:right="495"/>
              <w:rPr>
                <w:sz w:val="18"/>
              </w:rPr>
            </w:pPr>
            <w:r>
              <w:rPr>
                <w:sz w:val="18"/>
              </w:rPr>
              <w:t>Cantidad</w:t>
            </w:r>
            <w:r>
              <w:rPr>
                <w:spacing w:val="-13"/>
                <w:sz w:val="18"/>
              </w:rPr>
              <w:t> </w:t>
            </w:r>
            <w:r>
              <w:rPr>
                <w:sz w:val="18"/>
              </w:rPr>
              <w:t>de </w:t>
            </w:r>
            <w:r>
              <w:rPr>
                <w:spacing w:val="-2"/>
                <w:sz w:val="18"/>
              </w:rPr>
              <w:t>módulos </w:t>
            </w:r>
            <w:r>
              <w:rPr>
                <w:sz w:val="18"/>
              </w:rPr>
              <w:t>impartidos</w:t>
            </w:r>
            <w:r>
              <w:rPr>
                <w:spacing w:val="-13"/>
                <w:sz w:val="18"/>
              </w:rPr>
              <w:t> </w:t>
            </w:r>
            <w:r>
              <w:rPr>
                <w:sz w:val="18"/>
              </w:rPr>
              <w:t>a </w:t>
            </w:r>
            <w:r>
              <w:rPr>
                <w:spacing w:val="-2"/>
                <w:sz w:val="18"/>
              </w:rPr>
              <w:t>funcionarios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74"/>
              <w:rPr>
                <w:b/>
                <w:sz w:val="18"/>
              </w:rPr>
            </w:pPr>
          </w:p>
          <w:p>
            <w:pPr>
              <w:pStyle w:val="TableParagraph"/>
              <w:ind w:left="20" w:right="7"/>
              <w:jc w:val="center"/>
              <w:rPr>
                <w:sz w:val="18"/>
              </w:rPr>
            </w:pPr>
            <w:r>
              <w:rPr>
                <w:spacing w:val="-10"/>
                <w:sz w:val="18"/>
              </w:rPr>
              <w:t>1</w:t>
            </w:r>
          </w:p>
        </w:tc>
        <w:tc>
          <w:tcPr>
            <w:tcW w:w="1230" w:type="dxa"/>
          </w:tcPr>
          <w:p>
            <w:pPr>
              <w:pStyle w:val="TableParagraph"/>
              <w:rPr>
                <w:rFonts w:ascii="Times New Roman"/>
                <w:sz w:val="18"/>
              </w:rPr>
            </w:pPr>
          </w:p>
        </w:tc>
      </w:tr>
      <w:tr>
        <w:trPr>
          <w:trHeight w:val="1666" w:hRule="atLeast"/>
        </w:trPr>
        <w:tc>
          <w:tcPr>
            <w:tcW w:w="3092" w:type="dxa"/>
          </w:tcPr>
          <w:p>
            <w:pPr>
              <w:pStyle w:val="TableParagraph"/>
              <w:spacing w:before="110"/>
              <w:ind w:left="72" w:right="79"/>
              <w:rPr>
                <w:sz w:val="18"/>
              </w:rPr>
            </w:pPr>
            <w:r>
              <w:rPr>
                <w:b/>
                <w:sz w:val="18"/>
              </w:rPr>
              <w:t>Actividad PAC 2.62.2: </w:t>
            </w:r>
            <w:r>
              <w:rPr>
                <w:sz w:val="18"/>
              </w:rPr>
              <w:t>Dar seguimiento a la implementación, por parte de Desarrollo Humano, de capacitaciones</w:t>
            </w:r>
            <w:r>
              <w:rPr>
                <w:spacing w:val="-9"/>
                <w:sz w:val="18"/>
              </w:rPr>
              <w:t> </w:t>
            </w:r>
            <w:r>
              <w:rPr>
                <w:sz w:val="18"/>
              </w:rPr>
              <w:t>en</w:t>
            </w:r>
            <w:r>
              <w:rPr>
                <w:spacing w:val="-5"/>
                <w:sz w:val="18"/>
              </w:rPr>
              <w:t> </w:t>
            </w:r>
            <w:r>
              <w:rPr>
                <w:sz w:val="18"/>
              </w:rPr>
              <w:t>la</w:t>
            </w:r>
            <w:r>
              <w:rPr>
                <w:spacing w:val="-13"/>
                <w:sz w:val="18"/>
              </w:rPr>
              <w:t> </w:t>
            </w:r>
            <w:r>
              <w:rPr>
                <w:sz w:val="18"/>
              </w:rPr>
              <w:t>metodología</w:t>
            </w:r>
            <w:r>
              <w:rPr>
                <w:spacing w:val="-5"/>
                <w:sz w:val="18"/>
              </w:rPr>
              <w:t> </w:t>
            </w:r>
            <w:r>
              <w:rPr>
                <w:sz w:val="18"/>
              </w:rPr>
              <w:t>de GpRD y valor público en formato presencial, virtual y en el módulo de </w:t>
            </w:r>
            <w:r>
              <w:rPr>
                <w:spacing w:val="-2"/>
                <w:sz w:val="18"/>
              </w:rPr>
              <w:t>autoaprendizaje.</w:t>
            </w:r>
          </w:p>
        </w:tc>
        <w:tc>
          <w:tcPr>
            <w:tcW w:w="1560" w:type="dxa"/>
          </w:tcPr>
          <w:p>
            <w:pPr>
              <w:pStyle w:val="TableParagraph"/>
              <w:rPr>
                <w:b/>
                <w:sz w:val="18"/>
              </w:rPr>
            </w:pPr>
          </w:p>
          <w:p>
            <w:pPr>
              <w:pStyle w:val="TableParagraph"/>
              <w:spacing w:before="3"/>
              <w:rPr>
                <w:b/>
                <w:sz w:val="18"/>
              </w:rPr>
            </w:pPr>
          </w:p>
          <w:p>
            <w:pPr>
              <w:pStyle w:val="TableParagraph"/>
              <w:ind w:left="67" w:right="58"/>
              <w:rPr>
                <w:sz w:val="18"/>
              </w:rPr>
            </w:pPr>
            <w:r>
              <w:rPr>
                <w:sz w:val="18"/>
              </w:rPr>
              <w:t>Cantidad de sesiones de </w:t>
            </w:r>
            <w:r>
              <w:rPr>
                <w:spacing w:val="-2"/>
                <w:sz w:val="18"/>
              </w:rPr>
              <w:t>coordinación desarrolladas</w:t>
            </w:r>
          </w:p>
        </w:tc>
        <w:tc>
          <w:tcPr>
            <w:tcW w:w="1181" w:type="dxa"/>
          </w:tcPr>
          <w:p>
            <w:pPr>
              <w:pStyle w:val="TableParagraph"/>
              <w:rPr>
                <w:b/>
                <w:sz w:val="18"/>
              </w:rPr>
            </w:pPr>
          </w:p>
          <w:p>
            <w:pPr>
              <w:pStyle w:val="TableParagraph"/>
              <w:rPr>
                <w:b/>
                <w:sz w:val="18"/>
              </w:rPr>
            </w:pPr>
          </w:p>
          <w:p>
            <w:pPr>
              <w:pStyle w:val="TableParagraph"/>
              <w:spacing w:before="108"/>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108"/>
              <w:rPr>
                <w:b/>
                <w:sz w:val="18"/>
              </w:rPr>
            </w:pPr>
          </w:p>
          <w:p>
            <w:pPr>
              <w:pStyle w:val="TableParagraph"/>
              <w:ind w:left="19" w:right="2"/>
              <w:jc w:val="center"/>
              <w:rPr>
                <w:sz w:val="18"/>
              </w:rPr>
            </w:pPr>
            <w:r>
              <w:rPr>
                <w:spacing w:val="-10"/>
                <w:sz w:val="18"/>
              </w:rPr>
              <w:t>2</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08"/>
              <w:rPr>
                <w:b/>
                <w:sz w:val="18"/>
              </w:rPr>
            </w:pPr>
          </w:p>
          <w:p>
            <w:pPr>
              <w:pStyle w:val="TableParagraph"/>
              <w:ind w:left="28" w:right="11"/>
              <w:jc w:val="center"/>
              <w:rPr>
                <w:sz w:val="18"/>
              </w:rPr>
            </w:pPr>
            <w:r>
              <w:rPr>
                <w:spacing w:val="-10"/>
                <w:sz w:val="18"/>
              </w:rPr>
              <w:t>3</w:t>
            </w: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615"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1742" w:hRule="atLeast"/>
        </w:trPr>
        <w:tc>
          <w:tcPr>
            <w:tcW w:w="3092" w:type="dxa"/>
          </w:tcPr>
          <w:p>
            <w:pPr>
              <w:pStyle w:val="TableParagraph"/>
              <w:spacing w:before="143"/>
              <w:ind w:left="72" w:right="99"/>
              <w:rPr>
                <w:sz w:val="18"/>
              </w:rPr>
            </w:pPr>
            <w:r>
              <w:rPr>
                <w:b/>
                <w:sz w:val="18"/>
              </w:rPr>
              <w:t>Actividad</w:t>
            </w:r>
            <w:r>
              <w:rPr>
                <w:b/>
                <w:spacing w:val="-10"/>
                <w:sz w:val="18"/>
              </w:rPr>
              <w:t> </w:t>
            </w:r>
            <w:r>
              <w:rPr>
                <w:b/>
                <w:sz w:val="18"/>
              </w:rPr>
              <w:t>PAC</w:t>
            </w:r>
            <w:r>
              <w:rPr>
                <w:b/>
                <w:spacing w:val="-6"/>
                <w:sz w:val="18"/>
              </w:rPr>
              <w:t> </w:t>
            </w:r>
            <w:r>
              <w:rPr>
                <w:b/>
                <w:sz w:val="18"/>
              </w:rPr>
              <w:t>2.62.3:</w:t>
            </w:r>
            <w:r>
              <w:rPr>
                <w:b/>
                <w:spacing w:val="-5"/>
                <w:sz w:val="18"/>
              </w:rPr>
              <w:t> </w:t>
            </w:r>
            <w:r>
              <w:rPr>
                <w:sz w:val="18"/>
              </w:rPr>
              <w:t>Identificar</w:t>
            </w:r>
            <w:r>
              <w:rPr>
                <w:spacing w:val="-4"/>
                <w:sz w:val="18"/>
              </w:rPr>
              <w:t> </w:t>
            </w:r>
            <w:r>
              <w:rPr>
                <w:sz w:val="18"/>
              </w:rPr>
              <w:t>el porcentaje de dependencias administrativas</w:t>
            </w:r>
            <w:r>
              <w:rPr>
                <w:spacing w:val="-11"/>
                <w:sz w:val="18"/>
              </w:rPr>
              <w:t> </w:t>
            </w:r>
            <w:r>
              <w:rPr>
                <w:sz w:val="18"/>
              </w:rPr>
              <w:t>IMAS</w:t>
            </w:r>
            <w:r>
              <w:rPr>
                <w:spacing w:val="-12"/>
                <w:sz w:val="18"/>
              </w:rPr>
              <w:t> </w:t>
            </w:r>
            <w:r>
              <w:rPr>
                <w:sz w:val="18"/>
              </w:rPr>
              <w:t>que</w:t>
            </w:r>
            <w:r>
              <w:rPr>
                <w:spacing w:val="-11"/>
                <w:sz w:val="18"/>
              </w:rPr>
              <w:t> </w:t>
            </w:r>
            <w:r>
              <w:rPr>
                <w:sz w:val="18"/>
              </w:rPr>
              <w:t>recibieron capacitación en la metodología de GpRD y valor público según modalidad presencial, virtual y </w:t>
            </w:r>
            <w:r>
              <w:rPr>
                <w:spacing w:val="-2"/>
                <w:sz w:val="18"/>
              </w:rPr>
              <w:t>autoaprendizaje</w:t>
            </w:r>
          </w:p>
        </w:tc>
        <w:tc>
          <w:tcPr>
            <w:tcW w:w="1560" w:type="dxa"/>
          </w:tcPr>
          <w:p>
            <w:pPr>
              <w:pStyle w:val="TableParagraph"/>
              <w:spacing w:before="41"/>
              <w:rPr>
                <w:b/>
                <w:sz w:val="18"/>
              </w:rPr>
            </w:pPr>
          </w:p>
          <w:p>
            <w:pPr>
              <w:pStyle w:val="TableParagraph"/>
              <w:ind w:left="67" w:right="58"/>
              <w:rPr>
                <w:sz w:val="18"/>
              </w:rPr>
            </w:pPr>
            <w:r>
              <w:rPr>
                <w:sz w:val="18"/>
              </w:rPr>
              <w:t>Porcentaje de </w:t>
            </w:r>
            <w:r>
              <w:rPr>
                <w:spacing w:val="-2"/>
                <w:sz w:val="18"/>
              </w:rPr>
              <w:t>dependencias administrativas </w:t>
            </w:r>
            <w:r>
              <w:rPr>
                <w:spacing w:val="-4"/>
                <w:sz w:val="18"/>
              </w:rPr>
              <w:t>IMAS</w:t>
            </w:r>
          </w:p>
          <w:p>
            <w:pPr>
              <w:pStyle w:val="TableParagraph"/>
              <w:spacing w:line="244" w:lineRule="auto"/>
              <w:ind w:left="67" w:right="58"/>
              <w:rPr>
                <w:sz w:val="18"/>
              </w:rPr>
            </w:pPr>
            <w:r>
              <w:rPr>
                <w:sz w:val="18"/>
              </w:rPr>
              <w:t>capacitadas en temas</w:t>
            </w:r>
            <w:r>
              <w:rPr>
                <w:spacing w:val="-15"/>
                <w:sz w:val="18"/>
              </w:rPr>
              <w:t> </w:t>
            </w:r>
            <w:r>
              <w:rPr>
                <w:sz w:val="18"/>
              </w:rPr>
              <w:t>de</w:t>
            </w:r>
            <w:r>
              <w:rPr>
                <w:spacing w:val="-12"/>
                <w:sz w:val="18"/>
              </w:rPr>
              <w:t> </w:t>
            </w:r>
            <w:r>
              <w:rPr>
                <w:sz w:val="18"/>
              </w:rPr>
              <w:t>GpRD</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146"/>
              <w:rPr>
                <w:b/>
                <w:sz w:val="18"/>
              </w:rPr>
            </w:pPr>
          </w:p>
          <w:p>
            <w:pPr>
              <w:pStyle w:val="TableParagraph"/>
              <w:ind w:left="19"/>
              <w:jc w:val="center"/>
              <w:rPr>
                <w:sz w:val="18"/>
              </w:rPr>
            </w:pPr>
            <w:r>
              <w:rPr>
                <w:spacing w:val="-5"/>
                <w:sz w:val="18"/>
              </w:rPr>
              <w:t>50%</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146"/>
              <w:rPr>
                <w:b/>
                <w:sz w:val="18"/>
              </w:rPr>
            </w:pPr>
          </w:p>
          <w:p>
            <w:pPr>
              <w:pStyle w:val="TableParagraph"/>
              <w:ind w:left="414"/>
              <w:rPr>
                <w:sz w:val="18"/>
              </w:rPr>
            </w:pPr>
            <w:r>
              <w:rPr>
                <w:spacing w:val="-4"/>
                <w:sz w:val="18"/>
              </w:rPr>
              <w:t>100%</w:t>
            </w:r>
          </w:p>
        </w:tc>
        <w:tc>
          <w:tcPr>
            <w:tcW w:w="1230" w:type="dxa"/>
          </w:tcPr>
          <w:p>
            <w:pPr>
              <w:pStyle w:val="TableParagraph"/>
              <w:rPr>
                <w:rFonts w:ascii="Times New Roman"/>
                <w:sz w:val="18"/>
              </w:rPr>
            </w:pPr>
          </w:p>
        </w:tc>
      </w:tr>
      <w:tr>
        <w:trPr>
          <w:trHeight w:val="523" w:hRule="atLeast"/>
        </w:trPr>
        <w:tc>
          <w:tcPr>
            <w:tcW w:w="14394" w:type="dxa"/>
            <w:gridSpan w:val="10"/>
            <w:shd w:val="clear" w:color="auto" w:fill="EFF8F9"/>
          </w:tcPr>
          <w:p>
            <w:pPr>
              <w:pStyle w:val="TableParagraph"/>
              <w:spacing w:before="157"/>
              <w:ind w:left="72"/>
              <w:rPr>
                <w:b/>
                <w:sz w:val="18"/>
              </w:rPr>
            </w:pPr>
            <w:r>
              <w:rPr>
                <w:b/>
                <w:sz w:val="18"/>
              </w:rPr>
              <w:t>Producto</w:t>
            </w:r>
            <w:r>
              <w:rPr>
                <w:b/>
                <w:spacing w:val="-7"/>
                <w:sz w:val="18"/>
              </w:rPr>
              <w:t> </w:t>
            </w:r>
            <w:r>
              <w:rPr>
                <w:b/>
                <w:sz w:val="18"/>
              </w:rPr>
              <w:t>PAC</w:t>
            </w:r>
            <w:r>
              <w:rPr>
                <w:b/>
                <w:spacing w:val="-8"/>
                <w:sz w:val="18"/>
              </w:rPr>
              <w:t> </w:t>
            </w:r>
            <w:r>
              <w:rPr>
                <w:b/>
                <w:sz w:val="18"/>
              </w:rPr>
              <w:t>2.63:</w:t>
            </w:r>
            <w:r>
              <w:rPr>
                <w:b/>
                <w:spacing w:val="-4"/>
                <w:sz w:val="18"/>
              </w:rPr>
              <w:t> </w:t>
            </w:r>
            <w:r>
              <w:rPr>
                <w:b/>
                <w:sz w:val="18"/>
              </w:rPr>
              <w:t>Sistema</w:t>
            </w:r>
            <w:r>
              <w:rPr>
                <w:b/>
                <w:spacing w:val="-2"/>
                <w:sz w:val="18"/>
              </w:rPr>
              <w:t> </w:t>
            </w:r>
            <w:r>
              <w:rPr>
                <w:b/>
                <w:sz w:val="18"/>
              </w:rPr>
              <w:t>de</w:t>
            </w:r>
            <w:r>
              <w:rPr>
                <w:b/>
                <w:spacing w:val="-6"/>
                <w:sz w:val="18"/>
              </w:rPr>
              <w:t> </w:t>
            </w:r>
            <w:r>
              <w:rPr>
                <w:b/>
                <w:sz w:val="18"/>
              </w:rPr>
              <w:t>indicadores</w:t>
            </w:r>
            <w:r>
              <w:rPr>
                <w:b/>
                <w:spacing w:val="-2"/>
                <w:sz w:val="18"/>
              </w:rPr>
              <w:t> </w:t>
            </w:r>
            <w:r>
              <w:rPr>
                <w:b/>
                <w:sz w:val="18"/>
              </w:rPr>
              <w:t>diseñado</w:t>
            </w:r>
            <w:r>
              <w:rPr>
                <w:b/>
                <w:spacing w:val="-3"/>
                <w:sz w:val="18"/>
              </w:rPr>
              <w:t> </w:t>
            </w:r>
            <w:r>
              <w:rPr>
                <w:b/>
                <w:sz w:val="18"/>
              </w:rPr>
              <w:t>y</w:t>
            </w:r>
            <w:r>
              <w:rPr>
                <w:b/>
                <w:spacing w:val="-10"/>
                <w:sz w:val="18"/>
              </w:rPr>
              <w:t> </w:t>
            </w:r>
            <w:r>
              <w:rPr>
                <w:b/>
                <w:sz w:val="18"/>
              </w:rPr>
              <w:t>listo,</w:t>
            </w:r>
            <w:r>
              <w:rPr>
                <w:b/>
                <w:spacing w:val="-4"/>
                <w:sz w:val="18"/>
              </w:rPr>
              <w:t> </w:t>
            </w:r>
            <w:r>
              <w:rPr>
                <w:b/>
                <w:sz w:val="18"/>
              </w:rPr>
              <w:t>para</w:t>
            </w:r>
            <w:r>
              <w:rPr>
                <w:b/>
                <w:spacing w:val="-2"/>
                <w:sz w:val="18"/>
              </w:rPr>
              <w:t> </w:t>
            </w:r>
            <w:r>
              <w:rPr>
                <w:b/>
                <w:sz w:val="18"/>
              </w:rPr>
              <w:t>el</w:t>
            </w:r>
            <w:r>
              <w:rPr>
                <w:b/>
                <w:spacing w:val="-4"/>
                <w:sz w:val="18"/>
              </w:rPr>
              <w:t> </w:t>
            </w:r>
            <w:r>
              <w:rPr>
                <w:b/>
                <w:sz w:val="18"/>
              </w:rPr>
              <w:t>monitoreo</w:t>
            </w:r>
            <w:r>
              <w:rPr>
                <w:b/>
                <w:spacing w:val="-7"/>
                <w:sz w:val="18"/>
              </w:rPr>
              <w:t> </w:t>
            </w:r>
            <w:r>
              <w:rPr>
                <w:b/>
                <w:sz w:val="18"/>
              </w:rPr>
              <w:t>de</w:t>
            </w:r>
            <w:r>
              <w:rPr>
                <w:b/>
                <w:spacing w:val="-6"/>
                <w:sz w:val="18"/>
              </w:rPr>
              <w:t> </w:t>
            </w:r>
            <w:r>
              <w:rPr>
                <w:b/>
                <w:sz w:val="18"/>
              </w:rPr>
              <w:t>los</w:t>
            </w:r>
            <w:r>
              <w:rPr>
                <w:b/>
                <w:spacing w:val="-2"/>
                <w:sz w:val="18"/>
              </w:rPr>
              <w:t> </w:t>
            </w:r>
            <w:r>
              <w:rPr>
                <w:b/>
                <w:sz w:val="18"/>
              </w:rPr>
              <w:t>servicios</w:t>
            </w:r>
            <w:r>
              <w:rPr>
                <w:b/>
                <w:spacing w:val="-6"/>
                <w:sz w:val="18"/>
              </w:rPr>
              <w:t> </w:t>
            </w:r>
            <w:r>
              <w:rPr>
                <w:b/>
                <w:sz w:val="18"/>
              </w:rPr>
              <w:t>institucionales</w:t>
            </w:r>
            <w:r>
              <w:rPr>
                <w:b/>
                <w:spacing w:val="-2"/>
                <w:sz w:val="18"/>
              </w:rPr>
              <w:t> </w:t>
            </w:r>
            <w:r>
              <w:rPr>
                <w:b/>
                <w:sz w:val="18"/>
              </w:rPr>
              <w:t>desde</w:t>
            </w:r>
            <w:r>
              <w:rPr>
                <w:b/>
                <w:spacing w:val="-6"/>
                <w:sz w:val="18"/>
              </w:rPr>
              <w:t> </w:t>
            </w:r>
            <w:r>
              <w:rPr>
                <w:b/>
                <w:sz w:val="18"/>
              </w:rPr>
              <w:t>la</w:t>
            </w:r>
            <w:r>
              <w:rPr>
                <w:b/>
                <w:spacing w:val="-6"/>
                <w:sz w:val="18"/>
              </w:rPr>
              <w:t> </w:t>
            </w:r>
            <w:r>
              <w:rPr>
                <w:b/>
                <w:sz w:val="18"/>
              </w:rPr>
              <w:t>GpRD</w:t>
            </w:r>
            <w:r>
              <w:rPr>
                <w:b/>
                <w:spacing w:val="3"/>
                <w:sz w:val="18"/>
              </w:rPr>
              <w:t> </w:t>
            </w:r>
            <w:r>
              <w:rPr>
                <w:b/>
                <w:sz w:val="18"/>
              </w:rPr>
              <w:t>y</w:t>
            </w:r>
            <w:r>
              <w:rPr>
                <w:b/>
                <w:spacing w:val="-6"/>
                <w:sz w:val="18"/>
              </w:rPr>
              <w:t> </w:t>
            </w:r>
            <w:r>
              <w:rPr>
                <w:b/>
                <w:sz w:val="18"/>
              </w:rPr>
              <w:t>el</w:t>
            </w:r>
            <w:r>
              <w:rPr>
                <w:b/>
                <w:spacing w:val="-4"/>
                <w:sz w:val="18"/>
              </w:rPr>
              <w:t> </w:t>
            </w:r>
            <w:r>
              <w:rPr>
                <w:b/>
                <w:sz w:val="18"/>
              </w:rPr>
              <w:t>valor</w:t>
            </w:r>
            <w:r>
              <w:rPr>
                <w:b/>
                <w:spacing w:val="-5"/>
                <w:sz w:val="18"/>
              </w:rPr>
              <w:t> </w:t>
            </w:r>
            <w:r>
              <w:rPr>
                <w:b/>
                <w:sz w:val="18"/>
              </w:rPr>
              <w:t>público.</w:t>
            </w:r>
            <w:r>
              <w:rPr>
                <w:b/>
                <w:spacing w:val="-4"/>
                <w:sz w:val="18"/>
              </w:rPr>
              <w:t> </w:t>
            </w:r>
            <w:r>
              <w:rPr>
                <w:b/>
                <w:sz w:val="18"/>
              </w:rPr>
              <w:t>E1</w:t>
            </w:r>
            <w:r>
              <w:rPr>
                <w:b/>
                <w:spacing w:val="-2"/>
                <w:sz w:val="18"/>
              </w:rPr>
              <w:t> </w:t>
            </w:r>
            <w:r>
              <w:rPr>
                <w:b/>
                <w:sz w:val="18"/>
              </w:rPr>
              <w:t>AE1</w:t>
            </w:r>
            <w:r>
              <w:rPr>
                <w:b/>
                <w:spacing w:val="-6"/>
                <w:sz w:val="18"/>
              </w:rPr>
              <w:t> </w:t>
            </w:r>
            <w:r>
              <w:rPr>
                <w:b/>
                <w:sz w:val="18"/>
              </w:rPr>
              <w:t>R3</w:t>
            </w:r>
            <w:r>
              <w:rPr>
                <w:b/>
                <w:spacing w:val="-6"/>
                <w:sz w:val="18"/>
              </w:rPr>
              <w:t> </w:t>
            </w:r>
            <w:r>
              <w:rPr>
                <w:b/>
                <w:spacing w:val="-2"/>
                <w:sz w:val="18"/>
              </w:rPr>
              <w:t>(60%)</w:t>
            </w:r>
          </w:p>
        </w:tc>
      </w:tr>
      <w:tr>
        <w:trPr>
          <w:trHeight w:val="2040" w:hRule="atLeast"/>
        </w:trPr>
        <w:tc>
          <w:tcPr>
            <w:tcW w:w="3092" w:type="dxa"/>
          </w:tcPr>
          <w:p>
            <w:pPr>
              <w:pStyle w:val="TableParagraph"/>
              <w:spacing w:before="89"/>
              <w:rPr>
                <w:b/>
                <w:sz w:val="18"/>
              </w:rPr>
            </w:pPr>
          </w:p>
          <w:p>
            <w:pPr>
              <w:pStyle w:val="TableParagraph"/>
              <w:ind w:left="72" w:right="79"/>
              <w:rPr>
                <w:sz w:val="18"/>
              </w:rPr>
            </w:pPr>
            <w:r>
              <w:rPr>
                <w:b/>
                <w:sz w:val="18"/>
              </w:rPr>
              <w:t>Actividad PAC 2.63.1: </w:t>
            </w:r>
            <w:r>
              <w:rPr>
                <w:sz w:val="18"/>
              </w:rPr>
              <w:t>Ajustar la guía</w:t>
            </w:r>
            <w:r>
              <w:rPr>
                <w:spacing w:val="-7"/>
                <w:sz w:val="18"/>
              </w:rPr>
              <w:t> </w:t>
            </w:r>
            <w:r>
              <w:rPr>
                <w:sz w:val="18"/>
              </w:rPr>
              <w:t>metodológica</w:t>
            </w:r>
            <w:r>
              <w:rPr>
                <w:spacing w:val="-7"/>
                <w:sz w:val="18"/>
              </w:rPr>
              <w:t> </w:t>
            </w:r>
            <w:r>
              <w:rPr>
                <w:sz w:val="18"/>
              </w:rPr>
              <w:t>para</w:t>
            </w:r>
            <w:r>
              <w:rPr>
                <w:spacing w:val="-11"/>
                <w:sz w:val="18"/>
              </w:rPr>
              <w:t> </w:t>
            </w:r>
            <w:r>
              <w:rPr>
                <w:sz w:val="18"/>
              </w:rPr>
              <w:t>la</w:t>
            </w:r>
            <w:r>
              <w:rPr>
                <w:spacing w:val="-7"/>
                <w:sz w:val="18"/>
              </w:rPr>
              <w:t> </w:t>
            </w:r>
            <w:r>
              <w:rPr>
                <w:sz w:val="18"/>
              </w:rPr>
              <w:t>aplicación de la estrategia regional y territorial con análisis prospectivo para la Inversión Social según Modelo de intervención 3.1 (IMAS IMPULSA) a la metodología GpRD</w:t>
            </w:r>
          </w:p>
        </w:tc>
        <w:tc>
          <w:tcPr>
            <w:tcW w:w="1560" w:type="dxa"/>
          </w:tcPr>
          <w:p>
            <w:pPr>
              <w:pStyle w:val="TableParagraph"/>
              <w:spacing w:before="90"/>
              <w:ind w:left="67" w:right="130"/>
              <w:rPr>
                <w:sz w:val="18"/>
              </w:rPr>
            </w:pPr>
            <w:r>
              <w:rPr>
                <w:sz w:val="18"/>
              </w:rPr>
              <w:t>Informe de ajustes según GpRD y valor público</w:t>
            </w:r>
            <w:r>
              <w:rPr>
                <w:spacing w:val="-7"/>
                <w:sz w:val="18"/>
              </w:rPr>
              <w:t> </w:t>
            </w:r>
            <w:r>
              <w:rPr>
                <w:sz w:val="18"/>
              </w:rPr>
              <w:t>a</w:t>
            </w:r>
            <w:r>
              <w:rPr>
                <w:spacing w:val="-7"/>
                <w:sz w:val="18"/>
              </w:rPr>
              <w:t> </w:t>
            </w:r>
            <w:r>
              <w:rPr>
                <w:sz w:val="18"/>
              </w:rPr>
              <w:t>la</w:t>
            </w:r>
            <w:r>
              <w:rPr>
                <w:spacing w:val="-10"/>
                <w:sz w:val="18"/>
              </w:rPr>
              <w:t> </w:t>
            </w:r>
            <w:r>
              <w:rPr>
                <w:sz w:val="18"/>
              </w:rPr>
              <w:t>guía </w:t>
            </w:r>
            <w:r>
              <w:rPr>
                <w:spacing w:val="-2"/>
                <w:sz w:val="18"/>
              </w:rPr>
              <w:t>metodológica </w:t>
            </w:r>
            <w:r>
              <w:rPr>
                <w:sz w:val="18"/>
              </w:rPr>
              <w:t>para</w:t>
            </w:r>
            <w:r>
              <w:rPr>
                <w:spacing w:val="-15"/>
                <w:sz w:val="18"/>
              </w:rPr>
              <w:t> </w:t>
            </w:r>
            <w:r>
              <w:rPr>
                <w:sz w:val="18"/>
              </w:rPr>
              <w:t>la</w:t>
            </w:r>
            <w:r>
              <w:rPr>
                <w:spacing w:val="-12"/>
                <w:sz w:val="18"/>
              </w:rPr>
              <w:t> </w:t>
            </w:r>
            <w:r>
              <w:rPr>
                <w:sz w:val="18"/>
              </w:rPr>
              <w:t>inversión social con </w:t>
            </w:r>
            <w:r>
              <w:rPr>
                <w:spacing w:val="-2"/>
                <w:sz w:val="18"/>
              </w:rPr>
              <w:t>análisis prospectivo</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88"/>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2040" w:hRule="atLeast"/>
        </w:trPr>
        <w:tc>
          <w:tcPr>
            <w:tcW w:w="3092" w:type="dxa"/>
          </w:tcPr>
          <w:p>
            <w:pPr>
              <w:pStyle w:val="TableParagraph"/>
              <w:spacing w:before="89"/>
              <w:rPr>
                <w:b/>
                <w:sz w:val="18"/>
              </w:rPr>
            </w:pPr>
          </w:p>
          <w:p>
            <w:pPr>
              <w:pStyle w:val="TableParagraph"/>
              <w:spacing w:before="1"/>
              <w:ind w:left="72" w:right="104"/>
              <w:rPr>
                <w:sz w:val="18"/>
              </w:rPr>
            </w:pPr>
            <w:r>
              <w:rPr>
                <w:b/>
                <w:sz w:val="18"/>
              </w:rPr>
              <w:t>Actividad PAC 2.63.2: </w:t>
            </w:r>
            <w:r>
              <w:rPr>
                <w:sz w:val="18"/>
              </w:rPr>
              <w:t>Actualizar, mediante capacitaciones, a las UIPER en el uso de la guía metodológica para la aplicación de la</w:t>
            </w:r>
            <w:r>
              <w:rPr>
                <w:spacing w:val="-5"/>
                <w:sz w:val="18"/>
              </w:rPr>
              <w:t> </w:t>
            </w:r>
            <w:r>
              <w:rPr>
                <w:sz w:val="18"/>
              </w:rPr>
              <w:t>estrategia</w:t>
            </w:r>
            <w:r>
              <w:rPr>
                <w:spacing w:val="-9"/>
                <w:sz w:val="18"/>
              </w:rPr>
              <w:t> </w:t>
            </w:r>
            <w:r>
              <w:rPr>
                <w:sz w:val="18"/>
              </w:rPr>
              <w:t>regional</w:t>
            </w:r>
            <w:r>
              <w:rPr>
                <w:spacing w:val="-10"/>
                <w:sz w:val="18"/>
              </w:rPr>
              <w:t> </w:t>
            </w:r>
            <w:r>
              <w:rPr>
                <w:sz w:val="18"/>
              </w:rPr>
              <w:t>y</w:t>
            </w:r>
            <w:r>
              <w:rPr>
                <w:spacing w:val="-9"/>
                <w:sz w:val="18"/>
              </w:rPr>
              <w:t> </w:t>
            </w:r>
            <w:r>
              <w:rPr>
                <w:sz w:val="18"/>
              </w:rPr>
              <w:t>territorial</w:t>
            </w:r>
            <w:r>
              <w:rPr>
                <w:spacing w:val="-6"/>
                <w:sz w:val="18"/>
              </w:rPr>
              <w:t> </w:t>
            </w:r>
            <w:r>
              <w:rPr>
                <w:sz w:val="18"/>
              </w:rPr>
              <w:t>con análisis prospectivo</w:t>
            </w:r>
            <w:r>
              <w:rPr>
                <w:spacing w:val="-1"/>
                <w:sz w:val="18"/>
              </w:rPr>
              <w:t> </w:t>
            </w:r>
            <w:r>
              <w:rPr>
                <w:sz w:val="18"/>
              </w:rPr>
              <w:t>con</w:t>
            </w:r>
            <w:r>
              <w:rPr>
                <w:spacing w:val="-1"/>
                <w:sz w:val="18"/>
              </w:rPr>
              <w:t> </w:t>
            </w:r>
            <w:r>
              <w:rPr>
                <w:sz w:val="18"/>
              </w:rPr>
              <w:t>enfoque</w:t>
            </w:r>
            <w:r>
              <w:rPr>
                <w:spacing w:val="-1"/>
                <w:sz w:val="18"/>
              </w:rPr>
              <w:t> </w:t>
            </w:r>
            <w:r>
              <w:rPr>
                <w:sz w:val="18"/>
              </w:rPr>
              <w:t>de </w:t>
            </w:r>
            <w:r>
              <w:rPr>
                <w:spacing w:val="-4"/>
                <w:sz w:val="18"/>
              </w:rPr>
              <w:t>GpRD</w:t>
            </w:r>
          </w:p>
        </w:tc>
        <w:tc>
          <w:tcPr>
            <w:tcW w:w="1560" w:type="dxa"/>
          </w:tcPr>
          <w:p>
            <w:pPr>
              <w:pStyle w:val="TableParagraph"/>
              <w:rPr>
                <w:b/>
                <w:sz w:val="18"/>
              </w:rPr>
            </w:pPr>
          </w:p>
          <w:p>
            <w:pPr>
              <w:pStyle w:val="TableParagraph"/>
              <w:rPr>
                <w:b/>
                <w:sz w:val="18"/>
              </w:rPr>
            </w:pPr>
          </w:p>
          <w:p>
            <w:pPr>
              <w:pStyle w:val="TableParagraph"/>
              <w:spacing w:before="88"/>
              <w:rPr>
                <w:b/>
                <w:sz w:val="18"/>
              </w:rPr>
            </w:pPr>
          </w:p>
          <w:p>
            <w:pPr>
              <w:pStyle w:val="TableParagraph"/>
              <w:spacing w:before="1"/>
              <w:ind w:left="67" w:right="58"/>
              <w:rPr>
                <w:sz w:val="18"/>
              </w:rPr>
            </w:pPr>
            <w:r>
              <w:rPr>
                <w:sz w:val="18"/>
              </w:rPr>
              <w:t>Cantidad de </w:t>
            </w:r>
            <w:r>
              <w:rPr>
                <w:spacing w:val="-2"/>
                <w:sz w:val="18"/>
              </w:rPr>
              <w:t>capacitaciones realizadas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rPr>
                <w:b/>
                <w:sz w:val="18"/>
              </w:rPr>
            </w:pPr>
          </w:p>
          <w:p>
            <w:pPr>
              <w:pStyle w:val="TableParagraph"/>
              <w:spacing w:before="88"/>
              <w:rPr>
                <w:b/>
                <w:sz w:val="18"/>
              </w:rPr>
            </w:pPr>
          </w:p>
          <w:p>
            <w:pPr>
              <w:pStyle w:val="TableParagraph"/>
              <w:ind w:left="19" w:right="2"/>
              <w:jc w:val="center"/>
              <w:rPr>
                <w:sz w:val="18"/>
              </w:rPr>
            </w:pPr>
            <w:r>
              <w:rPr>
                <w:spacing w:val="-10"/>
                <w:sz w:val="18"/>
              </w:rPr>
              <w:t>9</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1502" w:hRule="atLeast"/>
        </w:trPr>
        <w:tc>
          <w:tcPr>
            <w:tcW w:w="3092" w:type="dxa"/>
          </w:tcPr>
          <w:p>
            <w:pPr>
              <w:pStyle w:val="TableParagraph"/>
              <w:spacing w:before="27"/>
              <w:rPr>
                <w:b/>
                <w:sz w:val="18"/>
              </w:rPr>
            </w:pPr>
          </w:p>
          <w:p>
            <w:pPr>
              <w:pStyle w:val="TableParagraph"/>
              <w:ind w:left="72" w:right="99"/>
              <w:rPr>
                <w:sz w:val="18"/>
              </w:rPr>
            </w:pPr>
            <w:r>
              <w:rPr>
                <w:b/>
                <w:sz w:val="18"/>
              </w:rPr>
              <w:t>Actividad</w:t>
            </w:r>
            <w:r>
              <w:rPr>
                <w:b/>
                <w:spacing w:val="-13"/>
                <w:sz w:val="18"/>
              </w:rPr>
              <w:t> </w:t>
            </w:r>
            <w:r>
              <w:rPr>
                <w:b/>
                <w:sz w:val="18"/>
              </w:rPr>
              <w:t>PAC</w:t>
            </w:r>
            <w:r>
              <w:rPr>
                <w:b/>
                <w:spacing w:val="-12"/>
                <w:sz w:val="18"/>
              </w:rPr>
              <w:t> </w:t>
            </w:r>
            <w:r>
              <w:rPr>
                <w:b/>
                <w:sz w:val="18"/>
              </w:rPr>
              <w:t>2.63.3:</w:t>
            </w:r>
            <w:r>
              <w:rPr>
                <w:b/>
                <w:spacing w:val="-8"/>
                <w:sz w:val="18"/>
              </w:rPr>
              <w:t> </w:t>
            </w:r>
            <w:r>
              <w:rPr>
                <w:sz w:val="18"/>
              </w:rPr>
              <w:t>Seleccionar beneficios (servicios) de otorgamiento condicionado y no condicionados del Programa Protección Promoción Social</w:t>
            </w:r>
          </w:p>
        </w:tc>
        <w:tc>
          <w:tcPr>
            <w:tcW w:w="1560" w:type="dxa"/>
          </w:tcPr>
          <w:p>
            <w:pPr>
              <w:pStyle w:val="TableParagraph"/>
              <w:spacing w:before="23"/>
              <w:ind w:left="67" w:right="75"/>
              <w:rPr>
                <w:sz w:val="18"/>
              </w:rPr>
            </w:pPr>
            <w:r>
              <w:rPr>
                <w:sz w:val="18"/>
              </w:rPr>
              <w:t>Cantidad de </w:t>
            </w:r>
            <w:r>
              <w:rPr>
                <w:spacing w:val="-2"/>
                <w:sz w:val="18"/>
              </w:rPr>
              <w:t>beneficios </w:t>
            </w:r>
            <w:r>
              <w:rPr>
                <w:sz w:val="18"/>
              </w:rPr>
              <w:t>(servicios) del </w:t>
            </w:r>
            <w:r>
              <w:rPr>
                <w:spacing w:val="-2"/>
                <w:sz w:val="18"/>
              </w:rPr>
              <w:t>programa </w:t>
            </w:r>
            <w:r>
              <w:rPr>
                <w:sz w:val="18"/>
              </w:rPr>
              <w:t>Protección y Promoción</w:t>
            </w:r>
            <w:r>
              <w:rPr>
                <w:spacing w:val="-13"/>
                <w:sz w:val="18"/>
              </w:rPr>
              <w:t> </w:t>
            </w:r>
            <w:r>
              <w:rPr>
                <w:sz w:val="18"/>
              </w:rPr>
              <w:t>Social </w:t>
            </w:r>
            <w:r>
              <w:rPr>
                <w:spacing w:val="-2"/>
                <w:sz w:val="18"/>
              </w:rPr>
              <w:t>identificados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26"/>
              <w:rPr>
                <w:b/>
                <w:sz w:val="18"/>
              </w:rPr>
            </w:pPr>
          </w:p>
          <w:p>
            <w:pPr>
              <w:pStyle w:val="TableParagraph"/>
              <w:ind w:left="19" w:right="2"/>
              <w:jc w:val="center"/>
              <w:rPr>
                <w:sz w:val="18"/>
              </w:rPr>
            </w:pPr>
            <w:r>
              <w:rPr>
                <w:spacing w:val="-10"/>
                <w:sz w:val="18"/>
              </w:rPr>
              <w:t>4</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723" w:hRule="atLeast"/>
        </w:trPr>
        <w:tc>
          <w:tcPr>
            <w:tcW w:w="3092" w:type="dxa"/>
          </w:tcPr>
          <w:p>
            <w:pPr>
              <w:pStyle w:val="TableParagraph"/>
              <w:spacing w:before="133"/>
              <w:ind w:left="72" w:right="61"/>
              <w:rPr>
                <w:sz w:val="18"/>
              </w:rPr>
            </w:pPr>
            <w:r>
              <w:rPr>
                <w:b/>
                <w:sz w:val="18"/>
              </w:rPr>
              <w:t>Actividad PAC 2.63.4: </w:t>
            </w:r>
            <w:r>
              <w:rPr>
                <w:sz w:val="18"/>
              </w:rPr>
              <w:t>Realizar fichas</w:t>
            </w:r>
            <w:r>
              <w:rPr>
                <w:spacing w:val="-4"/>
                <w:sz w:val="18"/>
              </w:rPr>
              <w:t> </w:t>
            </w:r>
            <w:r>
              <w:rPr>
                <w:sz w:val="18"/>
              </w:rPr>
              <w:t>de</w:t>
            </w:r>
            <w:r>
              <w:rPr>
                <w:spacing w:val="-4"/>
                <w:sz w:val="18"/>
              </w:rPr>
              <w:t> </w:t>
            </w:r>
            <w:r>
              <w:rPr>
                <w:sz w:val="18"/>
              </w:rPr>
              <w:t>descripción</w:t>
            </w:r>
            <w:r>
              <w:rPr>
                <w:spacing w:val="-4"/>
                <w:sz w:val="18"/>
              </w:rPr>
              <w:t> </w:t>
            </w:r>
            <w:r>
              <w:rPr>
                <w:sz w:val="18"/>
              </w:rPr>
              <w:t>técnicas</w:t>
            </w:r>
            <w:r>
              <w:rPr>
                <w:spacing w:val="-4"/>
                <w:sz w:val="18"/>
              </w:rPr>
              <w:t> </w:t>
            </w:r>
            <w:r>
              <w:rPr>
                <w:sz w:val="18"/>
              </w:rPr>
              <w:t>de los indicadores</w:t>
            </w:r>
            <w:r>
              <w:rPr>
                <w:spacing w:val="-12"/>
                <w:sz w:val="18"/>
              </w:rPr>
              <w:t> </w:t>
            </w:r>
            <w:r>
              <w:rPr>
                <w:sz w:val="18"/>
              </w:rPr>
              <w:t>de</w:t>
            </w:r>
            <w:r>
              <w:rPr>
                <w:spacing w:val="-12"/>
                <w:sz w:val="18"/>
              </w:rPr>
              <w:t> </w:t>
            </w:r>
            <w:r>
              <w:rPr>
                <w:sz w:val="18"/>
              </w:rPr>
              <w:t>monitoreo</w:t>
            </w:r>
            <w:r>
              <w:rPr>
                <w:spacing w:val="-12"/>
                <w:sz w:val="18"/>
              </w:rPr>
              <w:t> </w:t>
            </w:r>
            <w:r>
              <w:rPr>
                <w:sz w:val="18"/>
              </w:rPr>
              <w:t>contenidos en la Guía Metodológica para la Aplicación de la Estrategia Regional y Territorial con Análisis Prospectivo para la Inversión Social</w:t>
            </w:r>
          </w:p>
        </w:tc>
        <w:tc>
          <w:tcPr>
            <w:tcW w:w="1560" w:type="dxa"/>
          </w:tcPr>
          <w:p>
            <w:pPr>
              <w:pStyle w:val="TableParagraph"/>
              <w:spacing w:before="137"/>
              <w:rPr>
                <w:b/>
                <w:sz w:val="18"/>
              </w:rPr>
            </w:pPr>
          </w:p>
          <w:p>
            <w:pPr>
              <w:pStyle w:val="TableParagraph"/>
              <w:ind w:left="67" w:right="108"/>
              <w:rPr>
                <w:sz w:val="18"/>
              </w:rPr>
            </w:pPr>
            <w:r>
              <w:rPr>
                <w:sz w:val="18"/>
              </w:rPr>
              <w:t>Cantidad de fichas de indicadores</w:t>
            </w:r>
            <w:r>
              <w:rPr>
                <w:spacing w:val="-13"/>
                <w:sz w:val="18"/>
              </w:rPr>
              <w:t> </w:t>
            </w:r>
            <w:r>
              <w:rPr>
                <w:sz w:val="18"/>
              </w:rPr>
              <w:t>de </w:t>
            </w:r>
            <w:r>
              <w:rPr>
                <w:spacing w:val="-2"/>
                <w:sz w:val="18"/>
              </w:rPr>
              <w:t>monitoreo realizadas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137"/>
              <w:rPr>
                <w:b/>
                <w:sz w:val="18"/>
              </w:rPr>
            </w:pPr>
          </w:p>
          <w:p>
            <w:pPr>
              <w:pStyle w:val="TableParagraph"/>
              <w:ind w:left="19" w:right="2"/>
              <w:jc w:val="center"/>
              <w:rPr>
                <w:sz w:val="18"/>
              </w:rPr>
            </w:pPr>
            <w:r>
              <w:rPr>
                <w:spacing w:val="-10"/>
                <w:sz w:val="18"/>
              </w:rPr>
              <w:t>9</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709" w:hRule="atLeast"/>
        </w:trPr>
        <w:tc>
          <w:tcPr>
            <w:tcW w:w="3092" w:type="dxa"/>
          </w:tcPr>
          <w:p>
            <w:pPr>
              <w:pStyle w:val="TableParagraph"/>
              <w:spacing w:before="27"/>
              <w:rPr>
                <w:b/>
                <w:sz w:val="18"/>
              </w:rPr>
            </w:pPr>
          </w:p>
          <w:p>
            <w:pPr>
              <w:pStyle w:val="TableParagraph"/>
              <w:ind w:left="72" w:right="99"/>
              <w:rPr>
                <w:sz w:val="18"/>
              </w:rPr>
            </w:pPr>
            <w:r>
              <w:rPr>
                <w:b/>
                <w:sz w:val="18"/>
              </w:rPr>
              <w:t>Actividad PAC 2.63.5: </w:t>
            </w:r>
            <w:r>
              <w:rPr>
                <w:sz w:val="18"/>
              </w:rPr>
              <w:t>Monitorear los servicios y beneficios institucionales del Programa Protección</w:t>
            </w:r>
            <w:r>
              <w:rPr>
                <w:spacing w:val="-8"/>
                <w:sz w:val="18"/>
              </w:rPr>
              <w:t> </w:t>
            </w:r>
            <w:r>
              <w:rPr>
                <w:sz w:val="18"/>
              </w:rPr>
              <w:t>Promoción</w:t>
            </w:r>
            <w:r>
              <w:rPr>
                <w:spacing w:val="-12"/>
                <w:sz w:val="18"/>
              </w:rPr>
              <w:t> </w:t>
            </w:r>
            <w:r>
              <w:rPr>
                <w:sz w:val="18"/>
              </w:rPr>
              <w:t>Social</w:t>
            </w:r>
            <w:r>
              <w:rPr>
                <w:spacing w:val="-9"/>
                <w:sz w:val="18"/>
              </w:rPr>
              <w:t> </w:t>
            </w:r>
            <w:r>
              <w:rPr>
                <w:sz w:val="18"/>
              </w:rPr>
              <w:t>a</w:t>
            </w:r>
            <w:r>
              <w:rPr>
                <w:spacing w:val="-12"/>
                <w:sz w:val="18"/>
              </w:rPr>
              <w:t> </w:t>
            </w:r>
            <w:r>
              <w:rPr>
                <w:sz w:val="18"/>
              </w:rPr>
              <w:t>partir de la guía metodológica ajustada a la metodología GpRD</w:t>
            </w:r>
          </w:p>
        </w:tc>
        <w:tc>
          <w:tcPr>
            <w:tcW w:w="1560" w:type="dxa"/>
          </w:tcPr>
          <w:p>
            <w:pPr>
              <w:pStyle w:val="TableParagraph"/>
              <w:spacing w:before="129"/>
              <w:ind w:left="67" w:right="58"/>
              <w:rPr>
                <w:sz w:val="18"/>
              </w:rPr>
            </w:pPr>
            <w:r>
              <w:rPr>
                <w:sz w:val="18"/>
              </w:rPr>
              <w:t>Informe de resultados del monitoreo</w:t>
            </w:r>
            <w:r>
              <w:rPr>
                <w:spacing w:val="-15"/>
                <w:sz w:val="18"/>
              </w:rPr>
              <w:t> </w:t>
            </w:r>
            <w:r>
              <w:rPr>
                <w:sz w:val="18"/>
              </w:rPr>
              <w:t>a</w:t>
            </w:r>
            <w:r>
              <w:rPr>
                <w:spacing w:val="-12"/>
                <w:sz w:val="18"/>
              </w:rPr>
              <w:t> </w:t>
            </w:r>
            <w:r>
              <w:rPr>
                <w:sz w:val="18"/>
              </w:rPr>
              <w:t>los </w:t>
            </w:r>
            <w:r>
              <w:rPr>
                <w:spacing w:val="-2"/>
                <w:sz w:val="18"/>
              </w:rPr>
              <w:t>beneficios (servicios) institucionales seleccionados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28" w:right="11"/>
              <w:jc w:val="center"/>
              <w:rPr>
                <w:sz w:val="18"/>
              </w:rPr>
            </w:pPr>
            <w:r>
              <w:rPr>
                <w:spacing w:val="-10"/>
                <w:sz w:val="18"/>
              </w:rPr>
              <w:t>2</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20" w:right="7"/>
              <w:jc w:val="center"/>
              <w:rPr>
                <w:sz w:val="18"/>
              </w:rPr>
            </w:pPr>
            <w:r>
              <w:rPr>
                <w:spacing w:val="-10"/>
                <w:sz w:val="18"/>
              </w:rPr>
              <w:t>4</w:t>
            </w:r>
          </w:p>
        </w:tc>
        <w:tc>
          <w:tcPr>
            <w:tcW w:w="1230" w:type="dxa"/>
          </w:tcPr>
          <w:p>
            <w:pPr>
              <w:pStyle w:val="TableParagraph"/>
              <w:rPr>
                <w:rFonts w:ascii="Times New Roman"/>
                <w:sz w:val="18"/>
              </w:rPr>
            </w:pPr>
          </w:p>
        </w:tc>
      </w:tr>
      <w:tr>
        <w:trPr>
          <w:trHeight w:val="570" w:hRule="atLeast"/>
        </w:trPr>
        <w:tc>
          <w:tcPr>
            <w:tcW w:w="14394" w:type="dxa"/>
            <w:gridSpan w:val="10"/>
            <w:shd w:val="clear" w:color="auto" w:fill="EFF8F9"/>
          </w:tcPr>
          <w:p>
            <w:pPr>
              <w:pStyle w:val="TableParagraph"/>
              <w:spacing w:before="80"/>
              <w:ind w:left="72"/>
              <w:rPr>
                <w:b/>
                <w:sz w:val="18"/>
              </w:rPr>
            </w:pPr>
            <w:r>
              <w:rPr>
                <w:b/>
                <w:sz w:val="18"/>
              </w:rPr>
              <w:t>Producto</w:t>
            </w:r>
            <w:r>
              <w:rPr>
                <w:b/>
                <w:spacing w:val="-5"/>
                <w:sz w:val="18"/>
              </w:rPr>
              <w:t> </w:t>
            </w:r>
            <w:r>
              <w:rPr>
                <w:b/>
                <w:sz w:val="18"/>
              </w:rPr>
              <w:t>PAC</w:t>
            </w:r>
            <w:r>
              <w:rPr>
                <w:b/>
                <w:spacing w:val="-6"/>
                <w:sz w:val="18"/>
              </w:rPr>
              <w:t> </w:t>
            </w:r>
            <w:r>
              <w:rPr>
                <w:b/>
                <w:sz w:val="18"/>
              </w:rPr>
              <w:t>2.64:</w:t>
            </w:r>
            <w:r>
              <w:rPr>
                <w:b/>
                <w:spacing w:val="-2"/>
                <w:sz w:val="18"/>
              </w:rPr>
              <w:t> </w:t>
            </w:r>
            <w:r>
              <w:rPr>
                <w:b/>
                <w:sz w:val="18"/>
              </w:rPr>
              <w:t>Políticas,</w:t>
            </w:r>
            <w:r>
              <w:rPr>
                <w:b/>
                <w:spacing w:val="-2"/>
                <w:sz w:val="18"/>
              </w:rPr>
              <w:t> </w:t>
            </w:r>
            <w:r>
              <w:rPr>
                <w:b/>
                <w:sz w:val="18"/>
              </w:rPr>
              <w:t>programas,</w:t>
            </w:r>
            <w:r>
              <w:rPr>
                <w:b/>
                <w:spacing w:val="-2"/>
                <w:sz w:val="18"/>
              </w:rPr>
              <w:t> </w:t>
            </w:r>
            <w:r>
              <w:rPr>
                <w:b/>
                <w:sz w:val="18"/>
              </w:rPr>
              <w:t>proyectos,</w:t>
            </w:r>
            <w:r>
              <w:rPr>
                <w:b/>
                <w:spacing w:val="-2"/>
                <w:sz w:val="18"/>
              </w:rPr>
              <w:t> </w:t>
            </w:r>
            <w:r>
              <w:rPr>
                <w:b/>
                <w:sz w:val="18"/>
              </w:rPr>
              <w:t>beneficios</w:t>
            </w:r>
            <w:r>
              <w:rPr>
                <w:b/>
                <w:spacing w:val="-4"/>
                <w:sz w:val="18"/>
              </w:rPr>
              <w:t> </w:t>
            </w:r>
            <w:r>
              <w:rPr>
                <w:b/>
                <w:sz w:val="18"/>
              </w:rPr>
              <w:t>y</w:t>
            </w:r>
            <w:r>
              <w:rPr>
                <w:b/>
                <w:spacing w:val="-4"/>
                <w:sz w:val="18"/>
              </w:rPr>
              <w:t> </w:t>
            </w:r>
            <w:r>
              <w:rPr>
                <w:b/>
                <w:sz w:val="18"/>
              </w:rPr>
              <w:t>servicios</w:t>
            </w:r>
            <w:r>
              <w:rPr>
                <w:b/>
                <w:spacing w:val="-4"/>
                <w:sz w:val="18"/>
              </w:rPr>
              <w:t> </w:t>
            </w:r>
            <w:r>
              <w:rPr>
                <w:b/>
                <w:sz w:val="18"/>
              </w:rPr>
              <w:t>identificados</w:t>
            </w:r>
            <w:r>
              <w:rPr>
                <w:b/>
                <w:spacing w:val="-4"/>
                <w:sz w:val="18"/>
              </w:rPr>
              <w:t> </w:t>
            </w:r>
            <w:r>
              <w:rPr>
                <w:b/>
                <w:sz w:val="18"/>
              </w:rPr>
              <w:t>y</w:t>
            </w:r>
            <w:r>
              <w:rPr>
                <w:b/>
                <w:spacing w:val="-4"/>
                <w:sz w:val="18"/>
              </w:rPr>
              <w:t> </w:t>
            </w:r>
            <w:r>
              <w:rPr>
                <w:b/>
                <w:sz w:val="18"/>
              </w:rPr>
              <w:t>caracterizados, para</w:t>
            </w:r>
            <w:r>
              <w:rPr>
                <w:b/>
                <w:spacing w:val="-4"/>
                <w:sz w:val="18"/>
              </w:rPr>
              <w:t> </w:t>
            </w:r>
            <w:r>
              <w:rPr>
                <w:b/>
                <w:sz w:val="18"/>
              </w:rPr>
              <w:t>el</w:t>
            </w:r>
            <w:r>
              <w:rPr>
                <w:b/>
                <w:spacing w:val="-6"/>
                <w:sz w:val="18"/>
              </w:rPr>
              <w:t> </w:t>
            </w:r>
            <w:r>
              <w:rPr>
                <w:b/>
                <w:sz w:val="18"/>
              </w:rPr>
              <w:t>desarrollo e</w:t>
            </w:r>
            <w:r>
              <w:rPr>
                <w:b/>
                <w:spacing w:val="-9"/>
                <w:sz w:val="18"/>
              </w:rPr>
              <w:t> </w:t>
            </w:r>
            <w:r>
              <w:rPr>
                <w:b/>
                <w:sz w:val="18"/>
              </w:rPr>
              <w:t>implementación del</w:t>
            </w:r>
            <w:r>
              <w:rPr>
                <w:b/>
                <w:spacing w:val="-2"/>
                <w:sz w:val="18"/>
              </w:rPr>
              <w:t> </w:t>
            </w:r>
            <w:r>
              <w:rPr>
                <w:b/>
                <w:sz w:val="18"/>
              </w:rPr>
              <w:t>Sistema de Evaluación y Seguimiento. E1 AE2 R1 (100%)</w:t>
            </w:r>
          </w:p>
        </w:tc>
      </w:tr>
      <w:tr>
        <w:trPr>
          <w:trHeight w:val="1867" w:hRule="atLeast"/>
        </w:trPr>
        <w:tc>
          <w:tcPr>
            <w:tcW w:w="3092" w:type="dxa"/>
          </w:tcPr>
          <w:p>
            <w:pPr>
              <w:pStyle w:val="TableParagraph"/>
              <w:rPr>
                <w:b/>
                <w:sz w:val="18"/>
              </w:rPr>
            </w:pPr>
          </w:p>
          <w:p>
            <w:pPr>
              <w:pStyle w:val="TableParagraph"/>
              <w:spacing w:before="3"/>
              <w:rPr>
                <w:b/>
                <w:sz w:val="18"/>
              </w:rPr>
            </w:pPr>
          </w:p>
          <w:p>
            <w:pPr>
              <w:pStyle w:val="TableParagraph"/>
              <w:ind w:left="72" w:right="99"/>
              <w:rPr>
                <w:sz w:val="18"/>
              </w:rPr>
            </w:pPr>
            <w:r>
              <w:rPr>
                <w:b/>
                <w:sz w:val="18"/>
              </w:rPr>
              <w:t>Actividad</w:t>
            </w:r>
            <w:r>
              <w:rPr>
                <w:b/>
                <w:spacing w:val="-12"/>
                <w:sz w:val="18"/>
              </w:rPr>
              <w:t> </w:t>
            </w:r>
            <w:r>
              <w:rPr>
                <w:b/>
                <w:sz w:val="18"/>
              </w:rPr>
              <w:t>PAC</w:t>
            </w:r>
            <w:r>
              <w:rPr>
                <w:b/>
                <w:spacing w:val="-9"/>
                <w:sz w:val="18"/>
              </w:rPr>
              <w:t> </w:t>
            </w:r>
            <w:r>
              <w:rPr>
                <w:b/>
                <w:sz w:val="18"/>
              </w:rPr>
              <w:t>2.64.1:</w:t>
            </w:r>
            <w:r>
              <w:rPr>
                <w:b/>
                <w:spacing w:val="-4"/>
                <w:sz w:val="18"/>
              </w:rPr>
              <w:t> </w:t>
            </w:r>
            <w:r>
              <w:rPr>
                <w:sz w:val="18"/>
              </w:rPr>
              <w:t>Construir</w:t>
            </w:r>
            <w:r>
              <w:rPr>
                <w:spacing w:val="-10"/>
                <w:sz w:val="18"/>
              </w:rPr>
              <w:t> </w:t>
            </w:r>
            <w:r>
              <w:rPr>
                <w:sz w:val="18"/>
              </w:rPr>
              <w:t>un sistema de indicadores para el monitoreo de los servicios institucionales desde el GpRD y Valor Público.</w:t>
            </w:r>
          </w:p>
        </w:tc>
        <w:tc>
          <w:tcPr>
            <w:tcW w:w="1560" w:type="dxa"/>
          </w:tcPr>
          <w:p>
            <w:pPr>
              <w:pStyle w:val="TableParagraph"/>
              <w:ind w:left="67" w:right="75"/>
              <w:rPr>
                <w:sz w:val="18"/>
              </w:rPr>
            </w:pPr>
            <w:r>
              <w:rPr>
                <w:sz w:val="18"/>
              </w:rPr>
              <w:t>Cantidad de servicios del </w:t>
            </w:r>
            <w:r>
              <w:rPr>
                <w:spacing w:val="-2"/>
                <w:sz w:val="18"/>
              </w:rPr>
              <w:t>Programa </w:t>
            </w:r>
            <w:r>
              <w:rPr>
                <w:sz w:val="18"/>
              </w:rPr>
              <w:t>Protección y Promoción</w:t>
            </w:r>
            <w:r>
              <w:rPr>
                <w:spacing w:val="-13"/>
                <w:sz w:val="18"/>
              </w:rPr>
              <w:t> </w:t>
            </w:r>
            <w:r>
              <w:rPr>
                <w:sz w:val="18"/>
              </w:rPr>
              <w:t>Social con indicadores ajustados a la GpRD y valor</w:t>
            </w:r>
          </w:p>
          <w:p>
            <w:pPr>
              <w:pStyle w:val="TableParagraph"/>
              <w:spacing w:line="192" w:lineRule="exact"/>
              <w:ind w:left="67"/>
              <w:rPr>
                <w:sz w:val="18"/>
              </w:rPr>
            </w:pPr>
            <w:r>
              <w:rPr>
                <w:spacing w:val="-2"/>
                <w:sz w:val="18"/>
              </w:rPr>
              <w:t>público</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19" w:right="2"/>
              <w:jc w:val="center"/>
              <w:rPr>
                <w:sz w:val="18"/>
              </w:rPr>
            </w:pPr>
            <w:r>
              <w:rPr>
                <w:spacing w:val="-10"/>
                <w:sz w:val="18"/>
              </w:rPr>
              <w:t>2</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8" w:right="11"/>
              <w:jc w:val="center"/>
              <w:rPr>
                <w:sz w:val="18"/>
              </w:rPr>
            </w:pPr>
            <w:r>
              <w:rPr>
                <w:spacing w:val="-10"/>
                <w:sz w:val="18"/>
              </w:rPr>
              <w:t>3</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0" w:right="7"/>
              <w:jc w:val="center"/>
              <w:rPr>
                <w:sz w:val="18"/>
              </w:rPr>
            </w:pPr>
            <w:r>
              <w:rPr>
                <w:spacing w:val="-10"/>
                <w:sz w:val="18"/>
              </w:rPr>
              <w:t>4</w:t>
            </w:r>
          </w:p>
        </w:tc>
        <w:tc>
          <w:tcPr>
            <w:tcW w:w="1230"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700" w:bottom="2506"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2487" w:hRule="atLeast"/>
        </w:trPr>
        <w:tc>
          <w:tcPr>
            <w:tcW w:w="309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2" w:right="99"/>
              <w:rPr>
                <w:sz w:val="18"/>
              </w:rPr>
            </w:pPr>
            <w:r>
              <w:rPr>
                <w:b/>
                <w:sz w:val="18"/>
              </w:rPr>
              <w:t>Actividad</w:t>
            </w:r>
            <w:r>
              <w:rPr>
                <w:b/>
                <w:spacing w:val="-13"/>
                <w:sz w:val="18"/>
              </w:rPr>
              <w:t> </w:t>
            </w:r>
            <w:r>
              <w:rPr>
                <w:b/>
                <w:sz w:val="18"/>
              </w:rPr>
              <w:t>PAC</w:t>
            </w:r>
            <w:r>
              <w:rPr>
                <w:b/>
                <w:spacing w:val="-9"/>
                <w:sz w:val="18"/>
              </w:rPr>
              <w:t> </w:t>
            </w:r>
            <w:r>
              <w:rPr>
                <w:b/>
                <w:sz w:val="18"/>
              </w:rPr>
              <w:t>2.64.2:</w:t>
            </w:r>
            <w:r>
              <w:rPr>
                <w:b/>
                <w:spacing w:val="-4"/>
                <w:sz w:val="18"/>
              </w:rPr>
              <w:t> </w:t>
            </w:r>
            <w:r>
              <w:rPr>
                <w:sz w:val="18"/>
              </w:rPr>
              <w:t>Diseñar</w:t>
            </w:r>
            <w:r>
              <w:rPr>
                <w:spacing w:val="-10"/>
                <w:sz w:val="18"/>
              </w:rPr>
              <w:t> </w:t>
            </w:r>
            <w:r>
              <w:rPr>
                <w:sz w:val="18"/>
              </w:rPr>
              <w:t>y validar las fichas técnicas de </w:t>
            </w:r>
            <w:r>
              <w:rPr>
                <w:spacing w:val="-2"/>
                <w:sz w:val="18"/>
              </w:rPr>
              <w:t>indicadores</w:t>
            </w:r>
          </w:p>
        </w:tc>
        <w:tc>
          <w:tcPr>
            <w:tcW w:w="1560" w:type="dxa"/>
          </w:tcPr>
          <w:p>
            <w:pPr>
              <w:pStyle w:val="TableParagraph"/>
              <w:ind w:left="67" w:right="86"/>
              <w:rPr>
                <w:sz w:val="18"/>
              </w:rPr>
            </w:pPr>
            <w:r>
              <w:rPr>
                <w:sz w:val="18"/>
              </w:rPr>
              <w:t>Porcentaje de fichas técnicas</w:t>
            </w:r>
            <w:r>
              <w:rPr>
                <w:spacing w:val="40"/>
                <w:sz w:val="18"/>
              </w:rPr>
              <w:t> </w:t>
            </w:r>
            <w:r>
              <w:rPr>
                <w:sz w:val="18"/>
              </w:rPr>
              <w:t>de los indicadores</w:t>
            </w:r>
            <w:r>
              <w:rPr>
                <w:spacing w:val="-3"/>
                <w:sz w:val="18"/>
              </w:rPr>
              <w:t> </w:t>
            </w:r>
            <w:r>
              <w:rPr>
                <w:sz w:val="18"/>
              </w:rPr>
              <w:t>de</w:t>
            </w:r>
            <w:r>
              <w:rPr>
                <w:spacing w:val="-3"/>
                <w:sz w:val="18"/>
              </w:rPr>
              <w:t> </w:t>
            </w:r>
            <w:r>
              <w:rPr>
                <w:sz w:val="18"/>
              </w:rPr>
              <w:t>la oferta de servicios del </w:t>
            </w:r>
            <w:r>
              <w:rPr>
                <w:spacing w:val="-2"/>
                <w:sz w:val="18"/>
              </w:rPr>
              <w:t>Programa </w:t>
            </w:r>
            <w:r>
              <w:rPr>
                <w:sz w:val="18"/>
              </w:rPr>
              <w:t>Promoción y Protección</w:t>
            </w:r>
            <w:r>
              <w:rPr>
                <w:spacing w:val="-13"/>
                <w:sz w:val="18"/>
              </w:rPr>
              <w:t> </w:t>
            </w:r>
            <w:r>
              <w:rPr>
                <w:sz w:val="18"/>
              </w:rPr>
              <w:t>Social ajustados a la GpRD y valor</w:t>
            </w:r>
          </w:p>
          <w:p>
            <w:pPr>
              <w:pStyle w:val="TableParagraph"/>
              <w:spacing w:line="191" w:lineRule="exact"/>
              <w:ind w:left="67"/>
              <w:rPr>
                <w:sz w:val="18"/>
              </w:rPr>
            </w:pPr>
            <w:r>
              <w:rPr>
                <w:spacing w:val="-2"/>
                <w:sz w:val="18"/>
              </w:rPr>
              <w:t>público</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8" w:right="20"/>
              <w:jc w:val="center"/>
              <w:rPr>
                <w:sz w:val="18"/>
              </w:rPr>
            </w:pPr>
            <w:r>
              <w:rPr>
                <w:spacing w:val="-5"/>
                <w:sz w:val="18"/>
              </w:rPr>
              <w:t>25%</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9"/>
              <w:jc w:val="center"/>
              <w:rPr>
                <w:sz w:val="18"/>
              </w:rPr>
            </w:pPr>
            <w:r>
              <w:rPr>
                <w:spacing w:val="-5"/>
                <w:sz w:val="18"/>
              </w:rPr>
              <w:t>50%</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8" w:right="8"/>
              <w:jc w:val="center"/>
              <w:rPr>
                <w:sz w:val="18"/>
              </w:rPr>
            </w:pPr>
            <w:r>
              <w:rPr>
                <w:spacing w:val="-5"/>
                <w:sz w:val="18"/>
              </w:rPr>
              <w:t>75%</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0"/>
              <w:jc w:val="center"/>
              <w:rPr>
                <w:sz w:val="18"/>
              </w:rPr>
            </w:pPr>
            <w:r>
              <w:rPr>
                <w:spacing w:val="-4"/>
                <w:sz w:val="18"/>
              </w:rPr>
              <w:t>100%</w:t>
            </w:r>
          </w:p>
        </w:tc>
        <w:tc>
          <w:tcPr>
            <w:tcW w:w="1230" w:type="dxa"/>
          </w:tcPr>
          <w:p>
            <w:pPr>
              <w:pStyle w:val="TableParagraph"/>
              <w:rPr>
                <w:rFonts w:ascii="Times New Roman"/>
                <w:sz w:val="18"/>
              </w:rPr>
            </w:pPr>
          </w:p>
        </w:tc>
      </w:tr>
      <w:tr>
        <w:trPr>
          <w:trHeight w:val="388" w:hRule="atLeast"/>
        </w:trPr>
        <w:tc>
          <w:tcPr>
            <w:tcW w:w="14394" w:type="dxa"/>
            <w:gridSpan w:val="10"/>
            <w:shd w:val="clear" w:color="auto" w:fill="EFF8F9"/>
          </w:tcPr>
          <w:p>
            <w:pPr>
              <w:pStyle w:val="TableParagraph"/>
              <w:spacing w:line="206" w:lineRule="exact"/>
              <w:ind w:left="72"/>
              <w:rPr>
                <w:b/>
                <w:sz w:val="18"/>
              </w:rPr>
            </w:pPr>
            <w:r>
              <w:rPr>
                <w:b/>
                <w:sz w:val="18"/>
              </w:rPr>
              <w:t>Producto</w:t>
            </w:r>
            <w:r>
              <w:rPr>
                <w:b/>
                <w:spacing w:val="-7"/>
                <w:sz w:val="18"/>
              </w:rPr>
              <w:t> </w:t>
            </w:r>
            <w:r>
              <w:rPr>
                <w:b/>
                <w:sz w:val="18"/>
              </w:rPr>
              <w:t>PAC</w:t>
            </w:r>
            <w:r>
              <w:rPr>
                <w:b/>
                <w:spacing w:val="-8"/>
                <w:sz w:val="18"/>
              </w:rPr>
              <w:t> </w:t>
            </w:r>
            <w:r>
              <w:rPr>
                <w:b/>
                <w:sz w:val="18"/>
              </w:rPr>
              <w:t>2.65:</w:t>
            </w:r>
            <w:r>
              <w:rPr>
                <w:b/>
                <w:spacing w:val="45"/>
                <w:sz w:val="18"/>
              </w:rPr>
              <w:t> </w:t>
            </w:r>
            <w:r>
              <w:rPr>
                <w:b/>
                <w:sz w:val="18"/>
              </w:rPr>
              <w:t>Políticas, programas,</w:t>
            </w:r>
            <w:r>
              <w:rPr>
                <w:b/>
                <w:spacing w:val="-4"/>
                <w:sz w:val="18"/>
              </w:rPr>
              <w:t> </w:t>
            </w:r>
            <w:r>
              <w:rPr>
                <w:b/>
                <w:sz w:val="18"/>
              </w:rPr>
              <w:t>proyectos,</w:t>
            </w:r>
            <w:r>
              <w:rPr>
                <w:b/>
                <w:spacing w:val="-4"/>
                <w:sz w:val="18"/>
              </w:rPr>
              <w:t> </w:t>
            </w:r>
            <w:r>
              <w:rPr>
                <w:b/>
                <w:sz w:val="18"/>
              </w:rPr>
              <w:t>beneficios</w:t>
            </w:r>
            <w:r>
              <w:rPr>
                <w:b/>
                <w:spacing w:val="-6"/>
                <w:sz w:val="18"/>
              </w:rPr>
              <w:t> </w:t>
            </w:r>
            <w:r>
              <w:rPr>
                <w:b/>
                <w:sz w:val="18"/>
              </w:rPr>
              <w:t>y</w:t>
            </w:r>
            <w:r>
              <w:rPr>
                <w:b/>
                <w:spacing w:val="-6"/>
                <w:sz w:val="18"/>
              </w:rPr>
              <w:t> </w:t>
            </w:r>
            <w:r>
              <w:rPr>
                <w:b/>
                <w:sz w:val="18"/>
              </w:rPr>
              <w:t>servicios</w:t>
            </w:r>
            <w:r>
              <w:rPr>
                <w:b/>
                <w:spacing w:val="-6"/>
                <w:sz w:val="18"/>
              </w:rPr>
              <w:t> </w:t>
            </w:r>
            <w:r>
              <w:rPr>
                <w:b/>
                <w:sz w:val="18"/>
              </w:rPr>
              <w:t>evaluados</w:t>
            </w:r>
            <w:r>
              <w:rPr>
                <w:b/>
                <w:spacing w:val="-5"/>
                <w:sz w:val="18"/>
              </w:rPr>
              <w:t> </w:t>
            </w:r>
            <w:r>
              <w:rPr>
                <w:b/>
                <w:sz w:val="18"/>
              </w:rPr>
              <w:t>y</w:t>
            </w:r>
            <w:r>
              <w:rPr>
                <w:b/>
                <w:spacing w:val="-6"/>
                <w:sz w:val="18"/>
              </w:rPr>
              <w:t> </w:t>
            </w:r>
            <w:r>
              <w:rPr>
                <w:b/>
                <w:sz w:val="18"/>
              </w:rPr>
              <w:t>con</w:t>
            </w:r>
            <w:r>
              <w:rPr>
                <w:b/>
                <w:spacing w:val="-7"/>
                <w:sz w:val="18"/>
              </w:rPr>
              <w:t> </w:t>
            </w:r>
            <w:r>
              <w:rPr>
                <w:b/>
                <w:sz w:val="18"/>
              </w:rPr>
              <w:t>el</w:t>
            </w:r>
            <w:r>
              <w:rPr>
                <w:b/>
                <w:spacing w:val="-4"/>
                <w:sz w:val="18"/>
              </w:rPr>
              <w:t> </w:t>
            </w:r>
            <w:r>
              <w:rPr>
                <w:b/>
                <w:sz w:val="18"/>
              </w:rPr>
              <w:t>desarrollo</w:t>
            </w:r>
            <w:r>
              <w:rPr>
                <w:b/>
                <w:spacing w:val="-2"/>
                <w:sz w:val="18"/>
              </w:rPr>
              <w:t> </w:t>
            </w:r>
            <w:r>
              <w:rPr>
                <w:b/>
                <w:sz w:val="18"/>
              </w:rPr>
              <w:t>de</w:t>
            </w:r>
            <w:r>
              <w:rPr>
                <w:b/>
                <w:spacing w:val="-6"/>
                <w:sz w:val="18"/>
              </w:rPr>
              <w:t> </w:t>
            </w:r>
            <w:r>
              <w:rPr>
                <w:b/>
                <w:sz w:val="18"/>
              </w:rPr>
              <w:t>la</w:t>
            </w:r>
            <w:r>
              <w:rPr>
                <w:b/>
                <w:spacing w:val="-6"/>
                <w:sz w:val="18"/>
              </w:rPr>
              <w:t> </w:t>
            </w:r>
            <w:r>
              <w:rPr>
                <w:b/>
                <w:sz w:val="18"/>
              </w:rPr>
              <w:t>mejora</w:t>
            </w:r>
            <w:r>
              <w:rPr>
                <w:b/>
                <w:spacing w:val="-6"/>
                <w:sz w:val="18"/>
              </w:rPr>
              <w:t> </w:t>
            </w:r>
            <w:r>
              <w:rPr>
                <w:b/>
                <w:sz w:val="18"/>
              </w:rPr>
              <w:t>continua.</w:t>
            </w:r>
            <w:r>
              <w:rPr>
                <w:b/>
                <w:spacing w:val="46"/>
                <w:sz w:val="18"/>
              </w:rPr>
              <w:t> </w:t>
            </w:r>
            <w:r>
              <w:rPr>
                <w:b/>
                <w:sz w:val="18"/>
              </w:rPr>
              <w:t>E1</w:t>
            </w:r>
            <w:r>
              <w:rPr>
                <w:b/>
                <w:spacing w:val="-3"/>
                <w:sz w:val="18"/>
              </w:rPr>
              <w:t> </w:t>
            </w:r>
            <w:r>
              <w:rPr>
                <w:b/>
                <w:sz w:val="18"/>
              </w:rPr>
              <w:t>AE2</w:t>
            </w:r>
            <w:r>
              <w:rPr>
                <w:b/>
                <w:spacing w:val="-6"/>
                <w:sz w:val="18"/>
              </w:rPr>
              <w:t> </w:t>
            </w:r>
            <w:r>
              <w:rPr>
                <w:b/>
                <w:sz w:val="18"/>
              </w:rPr>
              <w:t>R3</w:t>
            </w:r>
            <w:r>
              <w:rPr>
                <w:b/>
                <w:spacing w:val="-5"/>
                <w:sz w:val="18"/>
              </w:rPr>
              <w:t> </w:t>
            </w:r>
            <w:r>
              <w:rPr>
                <w:b/>
                <w:spacing w:val="-2"/>
                <w:sz w:val="18"/>
              </w:rPr>
              <w:t>(60%)</w:t>
            </w:r>
          </w:p>
        </w:tc>
      </w:tr>
      <w:tr>
        <w:trPr>
          <w:trHeight w:val="1079" w:hRule="atLeast"/>
        </w:trPr>
        <w:tc>
          <w:tcPr>
            <w:tcW w:w="3092" w:type="dxa"/>
          </w:tcPr>
          <w:p>
            <w:pPr>
              <w:pStyle w:val="TableParagraph"/>
              <w:spacing w:before="22"/>
              <w:rPr>
                <w:b/>
                <w:sz w:val="18"/>
              </w:rPr>
            </w:pPr>
          </w:p>
          <w:p>
            <w:pPr>
              <w:pStyle w:val="TableParagraph"/>
              <w:ind w:left="72" w:right="262"/>
              <w:jc w:val="both"/>
              <w:rPr>
                <w:sz w:val="18"/>
              </w:rPr>
            </w:pPr>
            <w:r>
              <w:rPr>
                <w:b/>
                <w:sz w:val="18"/>
              </w:rPr>
              <w:t>Actividad</w:t>
            </w:r>
            <w:r>
              <w:rPr>
                <w:b/>
                <w:spacing w:val="-12"/>
                <w:sz w:val="18"/>
              </w:rPr>
              <w:t> </w:t>
            </w:r>
            <w:r>
              <w:rPr>
                <w:b/>
                <w:sz w:val="18"/>
              </w:rPr>
              <w:t>PAC</w:t>
            </w:r>
            <w:r>
              <w:rPr>
                <w:b/>
                <w:spacing w:val="-9"/>
                <w:sz w:val="18"/>
              </w:rPr>
              <w:t> </w:t>
            </w:r>
            <w:r>
              <w:rPr>
                <w:b/>
                <w:sz w:val="18"/>
              </w:rPr>
              <w:t>2.65.1:</w:t>
            </w:r>
            <w:r>
              <w:rPr>
                <w:b/>
                <w:spacing w:val="36"/>
                <w:sz w:val="18"/>
              </w:rPr>
              <w:t> </w:t>
            </w:r>
            <w:r>
              <w:rPr>
                <w:sz w:val="18"/>
              </w:rPr>
              <w:t>Coordinar con</w:t>
            </w:r>
            <w:r>
              <w:rPr>
                <w:spacing w:val="-1"/>
                <w:sz w:val="18"/>
              </w:rPr>
              <w:t> </w:t>
            </w:r>
            <w:r>
              <w:rPr>
                <w:sz w:val="18"/>
              </w:rPr>
              <w:t>los</w:t>
            </w:r>
            <w:r>
              <w:rPr>
                <w:spacing w:val="-5"/>
                <w:sz w:val="18"/>
              </w:rPr>
              <w:t> </w:t>
            </w:r>
            <w:r>
              <w:rPr>
                <w:sz w:val="18"/>
              </w:rPr>
              <w:t>departamentos a</w:t>
            </w:r>
            <w:r>
              <w:rPr>
                <w:spacing w:val="-5"/>
                <w:sz w:val="18"/>
              </w:rPr>
              <w:t> </w:t>
            </w:r>
            <w:r>
              <w:rPr>
                <w:sz w:val="18"/>
              </w:rPr>
              <w:t>cargo</w:t>
            </w:r>
            <w:r>
              <w:rPr>
                <w:spacing w:val="-5"/>
                <w:sz w:val="18"/>
              </w:rPr>
              <w:t> </w:t>
            </w:r>
            <w:r>
              <w:rPr>
                <w:sz w:val="18"/>
              </w:rPr>
              <w:t>de los servicios a evaluar en el 2026</w:t>
            </w:r>
          </w:p>
        </w:tc>
        <w:tc>
          <w:tcPr>
            <w:tcW w:w="1560" w:type="dxa"/>
          </w:tcPr>
          <w:p>
            <w:pPr>
              <w:pStyle w:val="TableParagraph"/>
              <w:spacing w:before="22"/>
              <w:rPr>
                <w:b/>
                <w:sz w:val="18"/>
              </w:rPr>
            </w:pPr>
          </w:p>
          <w:p>
            <w:pPr>
              <w:pStyle w:val="TableParagraph"/>
              <w:ind w:left="67" w:right="452"/>
              <w:jc w:val="both"/>
              <w:rPr>
                <w:sz w:val="18"/>
              </w:rPr>
            </w:pPr>
            <w:r>
              <w:rPr>
                <w:sz w:val="18"/>
              </w:rPr>
              <w:t>Cantidad de sesiones de </w:t>
            </w:r>
            <w:r>
              <w:rPr>
                <w:spacing w:val="-2"/>
                <w:sz w:val="18"/>
              </w:rPr>
              <w:t>coordinación</w:t>
            </w:r>
          </w:p>
        </w:tc>
        <w:tc>
          <w:tcPr>
            <w:tcW w:w="1181" w:type="dxa"/>
          </w:tcPr>
          <w:p>
            <w:pPr>
              <w:pStyle w:val="TableParagraph"/>
              <w:rPr>
                <w:b/>
                <w:sz w:val="18"/>
              </w:rPr>
            </w:pPr>
          </w:p>
          <w:p>
            <w:pPr>
              <w:pStyle w:val="TableParagraph"/>
              <w:spacing w:before="22"/>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22"/>
              <w:rPr>
                <w:b/>
                <w:sz w:val="18"/>
              </w:rPr>
            </w:pPr>
          </w:p>
          <w:p>
            <w:pPr>
              <w:pStyle w:val="TableParagraph"/>
              <w:ind w:left="19" w:right="2"/>
              <w:jc w:val="center"/>
              <w:rPr>
                <w:sz w:val="18"/>
              </w:rPr>
            </w:pPr>
            <w:r>
              <w:rPr>
                <w:spacing w:val="-10"/>
                <w:sz w:val="18"/>
              </w:rPr>
              <w:t>2</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22"/>
              <w:rPr>
                <w:b/>
                <w:sz w:val="18"/>
              </w:rPr>
            </w:pPr>
          </w:p>
          <w:p>
            <w:pPr>
              <w:pStyle w:val="TableParagraph"/>
              <w:ind w:left="28" w:right="11"/>
              <w:jc w:val="center"/>
              <w:rPr>
                <w:sz w:val="18"/>
              </w:rPr>
            </w:pPr>
            <w:r>
              <w:rPr>
                <w:spacing w:val="-10"/>
                <w:sz w:val="18"/>
              </w:rPr>
              <w:t>3</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22"/>
              <w:rPr>
                <w:b/>
                <w:sz w:val="18"/>
              </w:rPr>
            </w:pPr>
          </w:p>
          <w:p>
            <w:pPr>
              <w:pStyle w:val="TableParagraph"/>
              <w:ind w:left="20" w:right="7"/>
              <w:jc w:val="center"/>
              <w:rPr>
                <w:sz w:val="18"/>
              </w:rPr>
            </w:pPr>
            <w:r>
              <w:rPr>
                <w:spacing w:val="-10"/>
                <w:sz w:val="18"/>
              </w:rPr>
              <w:t>5</w:t>
            </w:r>
          </w:p>
        </w:tc>
        <w:tc>
          <w:tcPr>
            <w:tcW w:w="1230" w:type="dxa"/>
          </w:tcPr>
          <w:p>
            <w:pPr>
              <w:pStyle w:val="TableParagraph"/>
              <w:rPr>
                <w:rFonts w:ascii="Times New Roman"/>
                <w:sz w:val="18"/>
              </w:rPr>
            </w:pPr>
          </w:p>
        </w:tc>
      </w:tr>
      <w:tr>
        <w:trPr>
          <w:trHeight w:val="1003" w:hRule="atLeast"/>
        </w:trPr>
        <w:tc>
          <w:tcPr>
            <w:tcW w:w="3092" w:type="dxa"/>
          </w:tcPr>
          <w:p>
            <w:pPr>
              <w:pStyle w:val="TableParagraph"/>
              <w:spacing w:before="90"/>
              <w:ind w:left="72" w:right="99"/>
              <w:rPr>
                <w:sz w:val="18"/>
              </w:rPr>
            </w:pPr>
            <w:r>
              <w:rPr>
                <w:b/>
                <w:sz w:val="18"/>
              </w:rPr>
              <w:t>Actividad</w:t>
            </w:r>
            <w:r>
              <w:rPr>
                <w:b/>
                <w:spacing w:val="-13"/>
                <w:sz w:val="18"/>
              </w:rPr>
              <w:t> </w:t>
            </w:r>
            <w:r>
              <w:rPr>
                <w:b/>
                <w:sz w:val="18"/>
              </w:rPr>
              <w:t>PAC</w:t>
            </w:r>
            <w:r>
              <w:rPr>
                <w:b/>
                <w:spacing w:val="-12"/>
                <w:sz w:val="18"/>
              </w:rPr>
              <w:t> </w:t>
            </w:r>
            <w:r>
              <w:rPr>
                <w:b/>
                <w:sz w:val="18"/>
              </w:rPr>
              <w:t>2.65.2:</w:t>
            </w:r>
            <w:r>
              <w:rPr>
                <w:b/>
                <w:spacing w:val="-11"/>
                <w:sz w:val="18"/>
              </w:rPr>
              <w:t> </w:t>
            </w:r>
            <w:r>
              <w:rPr>
                <w:sz w:val="18"/>
              </w:rPr>
              <w:t>Contratar entidad de apoyo al proceso de evaluación de los servicios </w:t>
            </w:r>
            <w:r>
              <w:rPr>
                <w:spacing w:val="-2"/>
                <w:sz w:val="18"/>
              </w:rPr>
              <w:t>seleccionados</w:t>
            </w:r>
          </w:p>
        </w:tc>
        <w:tc>
          <w:tcPr>
            <w:tcW w:w="1560" w:type="dxa"/>
          </w:tcPr>
          <w:p>
            <w:pPr>
              <w:pStyle w:val="TableParagraph"/>
              <w:spacing w:before="89"/>
              <w:rPr>
                <w:b/>
                <w:sz w:val="18"/>
              </w:rPr>
            </w:pPr>
          </w:p>
          <w:p>
            <w:pPr>
              <w:pStyle w:val="TableParagraph"/>
              <w:ind w:left="67" w:right="245"/>
              <w:rPr>
                <w:sz w:val="18"/>
              </w:rPr>
            </w:pPr>
            <w:r>
              <w:rPr>
                <w:sz w:val="18"/>
              </w:rPr>
              <w:t>Cantidad de oferta</w:t>
            </w:r>
            <w:r>
              <w:rPr>
                <w:spacing w:val="-13"/>
                <w:sz w:val="18"/>
              </w:rPr>
              <w:t> </w:t>
            </w:r>
            <w:r>
              <w:rPr>
                <w:sz w:val="18"/>
              </w:rPr>
              <w:t>recibidas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spacing w:before="190"/>
              <w:rPr>
                <w:b/>
                <w:sz w:val="18"/>
              </w:rPr>
            </w:pPr>
          </w:p>
          <w:p>
            <w:pPr>
              <w:pStyle w:val="TableParagraph"/>
              <w:ind w:left="19" w:right="2"/>
              <w:jc w:val="center"/>
              <w:rPr>
                <w:sz w:val="18"/>
              </w:rPr>
            </w:pPr>
            <w:r>
              <w:rPr>
                <w:spacing w:val="-10"/>
                <w:sz w:val="18"/>
              </w:rPr>
              <w:t>5</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085" w:hRule="atLeast"/>
        </w:trPr>
        <w:tc>
          <w:tcPr>
            <w:tcW w:w="3092" w:type="dxa"/>
          </w:tcPr>
          <w:p>
            <w:pPr>
              <w:pStyle w:val="TableParagraph"/>
              <w:spacing w:before="22"/>
              <w:rPr>
                <w:b/>
                <w:sz w:val="18"/>
              </w:rPr>
            </w:pPr>
          </w:p>
          <w:p>
            <w:pPr>
              <w:pStyle w:val="TableParagraph"/>
              <w:spacing w:line="242" w:lineRule="auto"/>
              <w:ind w:left="72" w:right="99"/>
              <w:rPr>
                <w:sz w:val="18"/>
              </w:rPr>
            </w:pPr>
            <w:r>
              <w:rPr>
                <w:b/>
                <w:sz w:val="18"/>
              </w:rPr>
              <w:t>Actividad</w:t>
            </w:r>
            <w:r>
              <w:rPr>
                <w:b/>
                <w:spacing w:val="-12"/>
                <w:sz w:val="18"/>
              </w:rPr>
              <w:t> </w:t>
            </w:r>
            <w:r>
              <w:rPr>
                <w:b/>
                <w:sz w:val="18"/>
              </w:rPr>
              <w:t>PAC</w:t>
            </w:r>
            <w:r>
              <w:rPr>
                <w:b/>
                <w:spacing w:val="-9"/>
                <w:sz w:val="18"/>
              </w:rPr>
              <w:t> </w:t>
            </w:r>
            <w:r>
              <w:rPr>
                <w:b/>
                <w:sz w:val="18"/>
              </w:rPr>
              <w:t>2.65.3:</w:t>
            </w:r>
            <w:r>
              <w:rPr>
                <w:b/>
                <w:spacing w:val="36"/>
                <w:sz w:val="18"/>
              </w:rPr>
              <w:t> </w:t>
            </w:r>
            <w:r>
              <w:rPr>
                <w:sz w:val="18"/>
              </w:rPr>
              <w:t>Ejecutar proceso de evaluación de los servicios seleccionados</w:t>
            </w:r>
          </w:p>
        </w:tc>
        <w:tc>
          <w:tcPr>
            <w:tcW w:w="1560" w:type="dxa"/>
          </w:tcPr>
          <w:p>
            <w:pPr>
              <w:pStyle w:val="TableParagraph"/>
              <w:spacing w:before="22"/>
              <w:rPr>
                <w:b/>
                <w:sz w:val="18"/>
              </w:rPr>
            </w:pPr>
          </w:p>
          <w:p>
            <w:pPr>
              <w:pStyle w:val="TableParagraph"/>
              <w:spacing w:line="242" w:lineRule="auto"/>
              <w:ind w:left="67" w:right="58"/>
              <w:rPr>
                <w:sz w:val="18"/>
              </w:rPr>
            </w:pPr>
            <w:r>
              <w:rPr>
                <w:sz w:val="18"/>
              </w:rPr>
              <w:t>Cantidad</w:t>
            </w:r>
            <w:r>
              <w:rPr>
                <w:spacing w:val="-13"/>
                <w:sz w:val="18"/>
              </w:rPr>
              <w:t> </w:t>
            </w:r>
            <w:r>
              <w:rPr>
                <w:sz w:val="18"/>
              </w:rPr>
              <w:t>de </w:t>
            </w:r>
            <w:r>
              <w:rPr>
                <w:spacing w:val="-2"/>
                <w:sz w:val="18"/>
              </w:rPr>
              <w:t>Servicios evaluados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21"/>
              <w:rPr>
                <w:b/>
                <w:sz w:val="18"/>
              </w:rPr>
            </w:pPr>
          </w:p>
          <w:p>
            <w:pPr>
              <w:pStyle w:val="TableParagraph"/>
              <w:ind w:left="28" w:right="11"/>
              <w:jc w:val="center"/>
              <w:rPr>
                <w:sz w:val="18"/>
              </w:rPr>
            </w:pPr>
            <w:r>
              <w:rPr>
                <w:spacing w:val="-10"/>
                <w:sz w:val="18"/>
              </w:rPr>
              <w:t>1</w:t>
            </w:r>
          </w:p>
        </w:tc>
        <w:tc>
          <w:tcPr>
            <w:tcW w:w="1234" w:type="dxa"/>
          </w:tcPr>
          <w:p>
            <w:pPr>
              <w:pStyle w:val="TableParagraph"/>
              <w:rPr>
                <w:b/>
                <w:sz w:val="18"/>
              </w:rPr>
            </w:pPr>
          </w:p>
          <w:p>
            <w:pPr>
              <w:pStyle w:val="TableParagraph"/>
              <w:spacing w:before="21"/>
              <w:rPr>
                <w:b/>
                <w:sz w:val="18"/>
              </w:rPr>
            </w:pPr>
          </w:p>
          <w:p>
            <w:pPr>
              <w:pStyle w:val="TableParagraph"/>
              <w:ind w:left="55" w:right="37"/>
              <w:jc w:val="center"/>
              <w:rPr>
                <w:sz w:val="18"/>
              </w:rPr>
            </w:pPr>
            <w:r>
              <w:rPr>
                <w:sz w:val="18"/>
              </w:rPr>
              <w:t>₡25</w:t>
            </w:r>
            <w:r>
              <w:rPr>
                <w:spacing w:val="1"/>
                <w:sz w:val="18"/>
              </w:rPr>
              <w:t> </w:t>
            </w:r>
            <w:r>
              <w:rPr>
                <w:sz w:val="18"/>
              </w:rPr>
              <w:t>000</w:t>
            </w:r>
            <w:r>
              <w:rPr>
                <w:spacing w:val="-3"/>
                <w:sz w:val="18"/>
              </w:rPr>
              <w:t> </w:t>
            </w:r>
            <w:r>
              <w:rPr>
                <w:spacing w:val="-5"/>
                <w:sz w:val="18"/>
              </w:rPr>
              <w:t>000</w:t>
            </w: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642" w:hRule="atLeast"/>
        </w:trPr>
        <w:tc>
          <w:tcPr>
            <w:tcW w:w="14394" w:type="dxa"/>
            <w:gridSpan w:val="10"/>
            <w:shd w:val="clear" w:color="auto" w:fill="EFF8F9"/>
          </w:tcPr>
          <w:p>
            <w:pPr>
              <w:pStyle w:val="TableParagraph"/>
              <w:spacing w:before="114"/>
              <w:ind w:left="72"/>
              <w:rPr>
                <w:b/>
                <w:sz w:val="18"/>
              </w:rPr>
            </w:pPr>
            <w:r>
              <w:rPr>
                <w:b/>
                <w:sz w:val="18"/>
              </w:rPr>
              <w:t>Producto</w:t>
            </w:r>
            <w:r>
              <w:rPr>
                <w:b/>
                <w:spacing w:val="-4"/>
                <w:sz w:val="18"/>
              </w:rPr>
              <w:t> </w:t>
            </w:r>
            <w:r>
              <w:rPr>
                <w:b/>
                <w:sz w:val="18"/>
              </w:rPr>
              <w:t>PAC</w:t>
            </w:r>
            <w:r>
              <w:rPr>
                <w:b/>
                <w:spacing w:val="-5"/>
                <w:sz w:val="18"/>
              </w:rPr>
              <w:t> </w:t>
            </w:r>
            <w:r>
              <w:rPr>
                <w:b/>
                <w:sz w:val="18"/>
              </w:rPr>
              <w:t>2.66:</w:t>
            </w:r>
            <w:r>
              <w:rPr>
                <w:b/>
                <w:spacing w:val="-1"/>
                <w:sz w:val="18"/>
              </w:rPr>
              <w:t> </w:t>
            </w:r>
            <w:r>
              <w:rPr>
                <w:b/>
                <w:sz w:val="18"/>
              </w:rPr>
              <w:t>Unidades,</w:t>
            </w:r>
            <w:r>
              <w:rPr>
                <w:b/>
                <w:spacing w:val="-1"/>
                <w:sz w:val="18"/>
              </w:rPr>
              <w:t> </w:t>
            </w:r>
            <w:r>
              <w:rPr>
                <w:b/>
                <w:sz w:val="18"/>
              </w:rPr>
              <w:t>responsabilidades y</w:t>
            </w:r>
            <w:r>
              <w:rPr>
                <w:b/>
                <w:spacing w:val="-8"/>
                <w:sz w:val="18"/>
              </w:rPr>
              <w:t> </w:t>
            </w:r>
            <w:r>
              <w:rPr>
                <w:b/>
                <w:sz w:val="18"/>
              </w:rPr>
              <w:t>funciones</w:t>
            </w:r>
            <w:r>
              <w:rPr>
                <w:b/>
                <w:spacing w:val="-3"/>
                <w:sz w:val="18"/>
              </w:rPr>
              <w:t> </w:t>
            </w:r>
            <w:r>
              <w:rPr>
                <w:b/>
                <w:sz w:val="18"/>
              </w:rPr>
              <w:t>mapeadas por</w:t>
            </w:r>
            <w:r>
              <w:rPr>
                <w:b/>
                <w:spacing w:val="-2"/>
                <w:sz w:val="18"/>
              </w:rPr>
              <w:t> </w:t>
            </w:r>
            <w:r>
              <w:rPr>
                <w:b/>
                <w:sz w:val="18"/>
              </w:rPr>
              <w:t>cada</w:t>
            </w:r>
            <w:r>
              <w:rPr>
                <w:b/>
                <w:spacing w:val="-3"/>
                <w:sz w:val="18"/>
              </w:rPr>
              <w:t> </w:t>
            </w:r>
            <w:r>
              <w:rPr>
                <w:b/>
                <w:sz w:val="18"/>
              </w:rPr>
              <w:t>proceso</w:t>
            </w:r>
            <w:r>
              <w:rPr>
                <w:b/>
                <w:spacing w:val="-4"/>
                <w:sz w:val="18"/>
              </w:rPr>
              <w:t> </w:t>
            </w:r>
            <w:r>
              <w:rPr>
                <w:b/>
                <w:sz w:val="18"/>
              </w:rPr>
              <w:t>(mapa</w:t>
            </w:r>
            <w:r>
              <w:rPr>
                <w:b/>
                <w:spacing w:val="-3"/>
                <w:sz w:val="18"/>
              </w:rPr>
              <w:t> </w:t>
            </w:r>
            <w:r>
              <w:rPr>
                <w:b/>
                <w:sz w:val="18"/>
              </w:rPr>
              <w:t>de procesos), para</w:t>
            </w:r>
            <w:r>
              <w:rPr>
                <w:b/>
                <w:spacing w:val="-3"/>
                <w:sz w:val="18"/>
              </w:rPr>
              <w:t> </w:t>
            </w:r>
            <w:r>
              <w:rPr>
                <w:b/>
                <w:sz w:val="18"/>
              </w:rPr>
              <w:t>la</w:t>
            </w:r>
            <w:r>
              <w:rPr>
                <w:b/>
                <w:spacing w:val="-3"/>
                <w:sz w:val="18"/>
              </w:rPr>
              <w:t> </w:t>
            </w:r>
            <w:r>
              <w:rPr>
                <w:b/>
                <w:sz w:val="18"/>
              </w:rPr>
              <w:t>implementación</w:t>
            </w:r>
            <w:r>
              <w:rPr>
                <w:b/>
                <w:spacing w:val="-4"/>
                <w:sz w:val="18"/>
              </w:rPr>
              <w:t> </w:t>
            </w:r>
            <w:r>
              <w:rPr>
                <w:b/>
                <w:sz w:val="18"/>
              </w:rPr>
              <w:t>de</w:t>
            </w:r>
            <w:r>
              <w:rPr>
                <w:b/>
                <w:spacing w:val="-3"/>
                <w:sz w:val="18"/>
              </w:rPr>
              <w:t> </w:t>
            </w:r>
            <w:r>
              <w:rPr>
                <w:b/>
                <w:sz w:val="18"/>
              </w:rPr>
              <w:t>la</w:t>
            </w:r>
            <w:r>
              <w:rPr>
                <w:b/>
                <w:spacing w:val="-8"/>
                <w:sz w:val="18"/>
              </w:rPr>
              <w:t> </w:t>
            </w:r>
            <w:r>
              <w:rPr>
                <w:b/>
                <w:sz w:val="18"/>
              </w:rPr>
              <w:t>metodología</w:t>
            </w:r>
            <w:r>
              <w:rPr>
                <w:b/>
                <w:spacing w:val="-3"/>
                <w:sz w:val="18"/>
              </w:rPr>
              <w:t> </w:t>
            </w:r>
            <w:r>
              <w:rPr>
                <w:b/>
                <w:sz w:val="18"/>
              </w:rPr>
              <w:t>de</w:t>
            </w:r>
            <w:r>
              <w:rPr>
                <w:b/>
                <w:spacing w:val="-3"/>
                <w:sz w:val="18"/>
              </w:rPr>
              <w:t> </w:t>
            </w:r>
            <w:r>
              <w:rPr>
                <w:b/>
                <w:sz w:val="18"/>
              </w:rPr>
              <w:t>gestión por procesos. E1 AE3 R1 (80%)</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1606"/>
        <w:gridCol w:w="1560"/>
        <w:gridCol w:w="1181"/>
        <w:gridCol w:w="1186"/>
        <w:gridCol w:w="1200"/>
        <w:gridCol w:w="1248"/>
        <w:gridCol w:w="1181"/>
        <w:gridCol w:w="1234"/>
        <w:gridCol w:w="1282"/>
        <w:gridCol w:w="1230"/>
      </w:tblGrid>
      <w:tr>
        <w:trPr>
          <w:trHeight w:val="556" w:hRule="atLeast"/>
        </w:trPr>
        <w:tc>
          <w:tcPr>
            <w:tcW w:w="3092" w:type="dxa"/>
            <w:gridSpan w:val="2"/>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gridSpan w:val="2"/>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1094" w:hRule="atLeast"/>
        </w:trPr>
        <w:tc>
          <w:tcPr>
            <w:tcW w:w="3092" w:type="dxa"/>
            <w:gridSpan w:val="2"/>
          </w:tcPr>
          <w:p>
            <w:pPr>
              <w:pStyle w:val="TableParagraph"/>
              <w:spacing w:before="133"/>
              <w:ind w:left="72" w:right="99"/>
              <w:rPr>
                <w:sz w:val="18"/>
              </w:rPr>
            </w:pPr>
            <w:r>
              <w:rPr>
                <w:b/>
                <w:sz w:val="18"/>
              </w:rPr>
              <w:t>Actividad</w:t>
            </w:r>
            <w:r>
              <w:rPr>
                <w:b/>
                <w:spacing w:val="-13"/>
                <w:sz w:val="18"/>
              </w:rPr>
              <w:t> </w:t>
            </w:r>
            <w:r>
              <w:rPr>
                <w:b/>
                <w:sz w:val="18"/>
              </w:rPr>
              <w:t>PAC</w:t>
            </w:r>
            <w:r>
              <w:rPr>
                <w:b/>
                <w:spacing w:val="-9"/>
                <w:sz w:val="18"/>
              </w:rPr>
              <w:t> </w:t>
            </w:r>
            <w:r>
              <w:rPr>
                <w:b/>
                <w:sz w:val="18"/>
              </w:rPr>
              <w:t>2.66.1:</w:t>
            </w:r>
            <w:r>
              <w:rPr>
                <w:b/>
                <w:spacing w:val="-5"/>
                <w:sz w:val="18"/>
              </w:rPr>
              <w:t> </w:t>
            </w:r>
            <w:r>
              <w:rPr>
                <w:sz w:val="18"/>
              </w:rPr>
              <w:t>Priorizar</w:t>
            </w:r>
            <w:r>
              <w:rPr>
                <w:spacing w:val="-7"/>
                <w:sz w:val="18"/>
              </w:rPr>
              <w:t> </w:t>
            </w:r>
            <w:r>
              <w:rPr>
                <w:sz w:val="18"/>
              </w:rPr>
              <w:t>las unidades administrativas a las cuales se les van a identificar las relaciones funcionales</w:t>
            </w:r>
          </w:p>
        </w:tc>
        <w:tc>
          <w:tcPr>
            <w:tcW w:w="1560" w:type="dxa"/>
          </w:tcPr>
          <w:p>
            <w:pPr>
              <w:pStyle w:val="TableParagraph"/>
              <w:spacing w:before="31"/>
              <w:rPr>
                <w:b/>
                <w:sz w:val="18"/>
              </w:rPr>
            </w:pPr>
          </w:p>
          <w:p>
            <w:pPr>
              <w:pStyle w:val="TableParagraph"/>
              <w:spacing w:before="1"/>
              <w:ind w:left="67" w:right="58"/>
              <w:rPr>
                <w:sz w:val="18"/>
              </w:rPr>
            </w:pPr>
            <w:r>
              <w:rPr>
                <w:sz w:val="18"/>
              </w:rPr>
              <w:t>Cantidad</w:t>
            </w:r>
            <w:r>
              <w:rPr>
                <w:spacing w:val="-13"/>
                <w:sz w:val="18"/>
              </w:rPr>
              <w:t> </w:t>
            </w:r>
            <w:r>
              <w:rPr>
                <w:sz w:val="18"/>
              </w:rPr>
              <w:t>de </w:t>
            </w:r>
            <w:r>
              <w:rPr>
                <w:spacing w:val="-2"/>
                <w:sz w:val="18"/>
              </w:rPr>
              <w:t>unidades priorizadas</w:t>
            </w:r>
          </w:p>
        </w:tc>
        <w:tc>
          <w:tcPr>
            <w:tcW w:w="1181" w:type="dxa"/>
          </w:tcPr>
          <w:p>
            <w:pPr>
              <w:pStyle w:val="TableParagraph"/>
              <w:rPr>
                <w:b/>
                <w:sz w:val="18"/>
              </w:rPr>
            </w:pPr>
          </w:p>
          <w:p>
            <w:pPr>
              <w:pStyle w:val="TableParagraph"/>
              <w:spacing w:before="31"/>
              <w:rPr>
                <w:b/>
                <w:sz w:val="18"/>
              </w:rPr>
            </w:pPr>
          </w:p>
          <w:p>
            <w:pPr>
              <w:pStyle w:val="TableParagraph"/>
              <w:ind w:left="28" w:right="21"/>
              <w:jc w:val="center"/>
              <w:rPr>
                <w:sz w:val="18"/>
              </w:rPr>
            </w:pPr>
            <w:r>
              <w:rPr>
                <w:spacing w:val="-10"/>
                <w:sz w:val="18"/>
              </w:rPr>
              <w:t>2</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31"/>
              <w:rPr>
                <w:b/>
                <w:sz w:val="18"/>
              </w:rPr>
            </w:pPr>
          </w:p>
          <w:p>
            <w:pPr>
              <w:pStyle w:val="TableParagraph"/>
              <w:ind w:left="19" w:right="2"/>
              <w:jc w:val="center"/>
              <w:rPr>
                <w:sz w:val="18"/>
              </w:rPr>
            </w:pPr>
            <w:r>
              <w:rPr>
                <w:spacing w:val="-10"/>
                <w:sz w:val="18"/>
              </w:rPr>
              <w:t>5</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31"/>
              <w:rPr>
                <w:b/>
                <w:sz w:val="18"/>
              </w:rPr>
            </w:pPr>
          </w:p>
          <w:p>
            <w:pPr>
              <w:pStyle w:val="TableParagraph"/>
              <w:ind w:left="28" w:right="11"/>
              <w:jc w:val="center"/>
              <w:rPr>
                <w:sz w:val="18"/>
              </w:rPr>
            </w:pPr>
            <w:r>
              <w:rPr>
                <w:spacing w:val="-10"/>
                <w:sz w:val="18"/>
              </w:rPr>
              <w:t>7</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31"/>
              <w:rPr>
                <w:b/>
                <w:sz w:val="18"/>
              </w:rPr>
            </w:pPr>
          </w:p>
          <w:p>
            <w:pPr>
              <w:pStyle w:val="TableParagraph"/>
              <w:ind w:left="20" w:right="3"/>
              <w:jc w:val="center"/>
              <w:rPr>
                <w:sz w:val="18"/>
              </w:rPr>
            </w:pPr>
            <w:r>
              <w:rPr>
                <w:spacing w:val="-5"/>
                <w:sz w:val="18"/>
              </w:rPr>
              <w:t>10</w:t>
            </w:r>
          </w:p>
        </w:tc>
        <w:tc>
          <w:tcPr>
            <w:tcW w:w="1230" w:type="dxa"/>
          </w:tcPr>
          <w:p>
            <w:pPr>
              <w:pStyle w:val="TableParagraph"/>
              <w:rPr>
                <w:rFonts w:ascii="Times New Roman"/>
                <w:sz w:val="18"/>
              </w:rPr>
            </w:pPr>
          </w:p>
        </w:tc>
      </w:tr>
      <w:tr>
        <w:trPr>
          <w:trHeight w:val="1454" w:hRule="atLeast"/>
        </w:trPr>
        <w:tc>
          <w:tcPr>
            <w:tcW w:w="3092" w:type="dxa"/>
            <w:gridSpan w:val="2"/>
          </w:tcPr>
          <w:p>
            <w:pPr>
              <w:pStyle w:val="TableParagraph"/>
              <w:rPr>
                <w:b/>
                <w:sz w:val="18"/>
              </w:rPr>
            </w:pPr>
          </w:p>
          <w:p>
            <w:pPr>
              <w:pStyle w:val="TableParagraph"/>
              <w:spacing w:before="2"/>
              <w:rPr>
                <w:b/>
                <w:sz w:val="18"/>
              </w:rPr>
            </w:pPr>
          </w:p>
          <w:p>
            <w:pPr>
              <w:pStyle w:val="TableParagraph"/>
              <w:ind w:left="72" w:right="99"/>
              <w:rPr>
                <w:sz w:val="18"/>
              </w:rPr>
            </w:pPr>
            <w:r>
              <w:rPr>
                <w:b/>
                <w:sz w:val="18"/>
              </w:rPr>
              <w:t>Actividad PAC 2.66.2: </w:t>
            </w:r>
            <w:r>
              <w:rPr>
                <w:sz w:val="18"/>
              </w:rPr>
              <w:t>Establecer relaciones</w:t>
            </w:r>
            <w:r>
              <w:rPr>
                <w:spacing w:val="-11"/>
                <w:sz w:val="18"/>
              </w:rPr>
              <w:t> </w:t>
            </w:r>
            <w:r>
              <w:rPr>
                <w:sz w:val="18"/>
              </w:rPr>
              <w:t>funcionales</w:t>
            </w:r>
            <w:r>
              <w:rPr>
                <w:spacing w:val="-11"/>
                <w:sz w:val="18"/>
              </w:rPr>
              <w:t> </w:t>
            </w:r>
            <w:r>
              <w:rPr>
                <w:sz w:val="18"/>
              </w:rPr>
              <w:t>en</w:t>
            </w:r>
            <w:r>
              <w:rPr>
                <w:spacing w:val="-11"/>
                <w:sz w:val="18"/>
              </w:rPr>
              <w:t> </w:t>
            </w:r>
            <w:r>
              <w:rPr>
                <w:sz w:val="18"/>
              </w:rPr>
              <w:t>unidades de interés especial</w:t>
            </w:r>
          </w:p>
        </w:tc>
        <w:tc>
          <w:tcPr>
            <w:tcW w:w="1560" w:type="dxa"/>
          </w:tcPr>
          <w:p>
            <w:pPr>
              <w:pStyle w:val="TableParagraph"/>
              <w:spacing w:before="3"/>
              <w:rPr>
                <w:b/>
                <w:sz w:val="18"/>
              </w:rPr>
            </w:pPr>
          </w:p>
          <w:p>
            <w:pPr>
              <w:pStyle w:val="TableParagraph"/>
              <w:ind w:left="67" w:right="58"/>
              <w:rPr>
                <w:sz w:val="18"/>
              </w:rPr>
            </w:pPr>
            <w:r>
              <w:rPr>
                <w:sz w:val="18"/>
              </w:rPr>
              <w:t>Número de unidades</w:t>
            </w:r>
            <w:r>
              <w:rPr>
                <w:spacing w:val="-13"/>
                <w:sz w:val="18"/>
              </w:rPr>
              <w:t> </w:t>
            </w:r>
            <w:r>
              <w:rPr>
                <w:sz w:val="18"/>
              </w:rPr>
              <w:t>con </w:t>
            </w:r>
            <w:r>
              <w:rPr>
                <w:spacing w:val="-2"/>
                <w:sz w:val="18"/>
              </w:rPr>
              <w:t>relaciones funcionales establecidas</w:t>
            </w: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8" w:right="21"/>
              <w:jc w:val="center"/>
              <w:rPr>
                <w:sz w:val="18"/>
              </w:rPr>
            </w:pPr>
            <w:r>
              <w:rPr>
                <w:spacing w:val="-10"/>
                <w:sz w:val="18"/>
              </w:rPr>
              <w:t>2</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right="2"/>
              <w:jc w:val="center"/>
              <w:rPr>
                <w:sz w:val="18"/>
              </w:rPr>
            </w:pPr>
            <w:r>
              <w:rPr>
                <w:spacing w:val="-10"/>
                <w:sz w:val="18"/>
              </w:rPr>
              <w:t>5</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8" w:right="11"/>
              <w:jc w:val="center"/>
              <w:rPr>
                <w:sz w:val="18"/>
              </w:rPr>
            </w:pPr>
            <w:r>
              <w:rPr>
                <w:spacing w:val="-10"/>
                <w:sz w:val="18"/>
              </w:rPr>
              <w:t>7</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0" w:right="3"/>
              <w:jc w:val="center"/>
              <w:rPr>
                <w:sz w:val="18"/>
              </w:rPr>
            </w:pPr>
            <w:r>
              <w:rPr>
                <w:spacing w:val="-5"/>
                <w:sz w:val="18"/>
              </w:rPr>
              <w:t>10</w:t>
            </w:r>
          </w:p>
        </w:tc>
        <w:tc>
          <w:tcPr>
            <w:tcW w:w="1230" w:type="dxa"/>
          </w:tcPr>
          <w:p>
            <w:pPr>
              <w:pStyle w:val="TableParagraph"/>
              <w:rPr>
                <w:rFonts w:ascii="Times New Roman"/>
                <w:sz w:val="18"/>
              </w:rPr>
            </w:pPr>
          </w:p>
        </w:tc>
      </w:tr>
      <w:tr>
        <w:trPr>
          <w:trHeight w:val="1459" w:hRule="atLeast"/>
        </w:trPr>
        <w:tc>
          <w:tcPr>
            <w:tcW w:w="3092" w:type="dxa"/>
            <w:gridSpan w:val="2"/>
          </w:tcPr>
          <w:p>
            <w:pPr>
              <w:pStyle w:val="TableParagraph"/>
              <w:spacing w:before="108"/>
              <w:rPr>
                <w:b/>
                <w:sz w:val="18"/>
              </w:rPr>
            </w:pPr>
          </w:p>
          <w:p>
            <w:pPr>
              <w:pStyle w:val="TableParagraph"/>
              <w:ind w:left="72" w:right="99"/>
              <w:rPr>
                <w:sz w:val="18"/>
              </w:rPr>
            </w:pPr>
            <w:r>
              <w:rPr>
                <w:b/>
                <w:sz w:val="18"/>
              </w:rPr>
              <w:t>Actividad</w:t>
            </w:r>
            <w:r>
              <w:rPr>
                <w:b/>
                <w:spacing w:val="-13"/>
                <w:sz w:val="18"/>
              </w:rPr>
              <w:t> </w:t>
            </w:r>
            <w:r>
              <w:rPr>
                <w:b/>
                <w:sz w:val="18"/>
              </w:rPr>
              <w:t>PAC</w:t>
            </w:r>
            <w:r>
              <w:rPr>
                <w:b/>
                <w:spacing w:val="-9"/>
                <w:sz w:val="18"/>
              </w:rPr>
              <w:t> </w:t>
            </w:r>
            <w:r>
              <w:rPr>
                <w:b/>
                <w:sz w:val="18"/>
              </w:rPr>
              <w:t>2.66.3:</w:t>
            </w:r>
            <w:r>
              <w:rPr>
                <w:b/>
                <w:spacing w:val="-4"/>
                <w:sz w:val="18"/>
              </w:rPr>
              <w:t> </w:t>
            </w:r>
            <w:r>
              <w:rPr>
                <w:sz w:val="18"/>
              </w:rPr>
              <w:t>Validar</w:t>
            </w:r>
            <w:r>
              <w:rPr>
                <w:spacing w:val="-10"/>
                <w:sz w:val="18"/>
              </w:rPr>
              <w:t> </w:t>
            </w:r>
            <w:r>
              <w:rPr>
                <w:sz w:val="18"/>
              </w:rPr>
              <w:t>con las unidades administrativas seleccionadas, las relaciones funcionales establecidas</w:t>
            </w:r>
          </w:p>
        </w:tc>
        <w:tc>
          <w:tcPr>
            <w:tcW w:w="1560" w:type="dxa"/>
          </w:tcPr>
          <w:p>
            <w:pPr>
              <w:pStyle w:val="TableParagraph"/>
              <w:spacing w:before="3"/>
              <w:rPr>
                <w:b/>
                <w:sz w:val="18"/>
              </w:rPr>
            </w:pPr>
          </w:p>
          <w:p>
            <w:pPr>
              <w:pStyle w:val="TableParagraph"/>
              <w:ind w:left="67" w:right="58"/>
              <w:rPr>
                <w:sz w:val="18"/>
              </w:rPr>
            </w:pPr>
            <w:r>
              <w:rPr>
                <w:sz w:val="18"/>
              </w:rPr>
              <w:t>Porcentaje de </w:t>
            </w:r>
            <w:r>
              <w:rPr>
                <w:spacing w:val="-2"/>
                <w:sz w:val="18"/>
              </w:rPr>
              <w:t>unidades </w:t>
            </w:r>
            <w:r>
              <w:rPr>
                <w:sz w:val="18"/>
              </w:rPr>
              <w:t>validadas</w:t>
            </w:r>
            <w:r>
              <w:rPr>
                <w:spacing w:val="-15"/>
                <w:sz w:val="18"/>
              </w:rPr>
              <w:t> </w:t>
            </w:r>
            <w:r>
              <w:rPr>
                <w:sz w:val="18"/>
              </w:rPr>
              <w:t>en</w:t>
            </w:r>
            <w:r>
              <w:rPr>
                <w:spacing w:val="-12"/>
                <w:sz w:val="18"/>
              </w:rPr>
              <w:t> </w:t>
            </w:r>
            <w:r>
              <w:rPr>
                <w:sz w:val="18"/>
              </w:rPr>
              <w:t>sus </w:t>
            </w:r>
            <w:r>
              <w:rPr>
                <w:spacing w:val="-2"/>
                <w:sz w:val="18"/>
              </w:rPr>
              <w:t>relaciones funcionales</w:t>
            </w:r>
          </w:p>
        </w:tc>
        <w:tc>
          <w:tcPr>
            <w:tcW w:w="1181" w:type="dxa"/>
          </w:tcPr>
          <w:p>
            <w:pPr>
              <w:pStyle w:val="TableParagraph"/>
              <w:rPr>
                <w:b/>
                <w:sz w:val="18"/>
              </w:rPr>
            </w:pPr>
          </w:p>
          <w:p>
            <w:pPr>
              <w:pStyle w:val="TableParagraph"/>
              <w:rPr>
                <w:b/>
                <w:sz w:val="18"/>
              </w:rPr>
            </w:pPr>
          </w:p>
          <w:p>
            <w:pPr>
              <w:pStyle w:val="TableParagraph"/>
              <w:spacing w:before="7"/>
              <w:rPr>
                <w:b/>
                <w:sz w:val="18"/>
              </w:rPr>
            </w:pPr>
          </w:p>
          <w:p>
            <w:pPr>
              <w:pStyle w:val="TableParagraph"/>
              <w:ind w:left="28" w:right="20"/>
              <w:jc w:val="center"/>
              <w:rPr>
                <w:sz w:val="18"/>
              </w:rPr>
            </w:pPr>
            <w:r>
              <w:rPr>
                <w:spacing w:val="-5"/>
                <w:sz w:val="18"/>
              </w:rPr>
              <w:t>25%</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7"/>
              <w:rPr>
                <w:b/>
                <w:sz w:val="18"/>
              </w:rPr>
            </w:pPr>
          </w:p>
          <w:p>
            <w:pPr>
              <w:pStyle w:val="TableParagraph"/>
              <w:ind w:left="19"/>
              <w:jc w:val="center"/>
              <w:rPr>
                <w:sz w:val="18"/>
              </w:rPr>
            </w:pPr>
            <w:r>
              <w:rPr>
                <w:spacing w:val="-5"/>
                <w:sz w:val="18"/>
              </w:rPr>
              <w:t>50%</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7"/>
              <w:rPr>
                <w:b/>
                <w:sz w:val="18"/>
              </w:rPr>
            </w:pPr>
          </w:p>
          <w:p>
            <w:pPr>
              <w:pStyle w:val="TableParagraph"/>
              <w:ind w:left="28" w:right="8"/>
              <w:jc w:val="center"/>
              <w:rPr>
                <w:sz w:val="18"/>
              </w:rPr>
            </w:pPr>
            <w:r>
              <w:rPr>
                <w:spacing w:val="-5"/>
                <w:sz w:val="18"/>
              </w:rPr>
              <w:t>75%</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7"/>
              <w:rPr>
                <w:b/>
                <w:sz w:val="18"/>
              </w:rPr>
            </w:pPr>
          </w:p>
          <w:p>
            <w:pPr>
              <w:pStyle w:val="TableParagraph"/>
              <w:ind w:left="20"/>
              <w:jc w:val="center"/>
              <w:rPr>
                <w:sz w:val="18"/>
              </w:rPr>
            </w:pPr>
            <w:r>
              <w:rPr>
                <w:spacing w:val="-4"/>
                <w:sz w:val="18"/>
              </w:rPr>
              <w:t>100%</w:t>
            </w:r>
          </w:p>
        </w:tc>
        <w:tc>
          <w:tcPr>
            <w:tcW w:w="1230" w:type="dxa"/>
          </w:tcPr>
          <w:p>
            <w:pPr>
              <w:pStyle w:val="TableParagraph"/>
              <w:rPr>
                <w:rFonts w:ascii="Times New Roman"/>
                <w:sz w:val="18"/>
              </w:rPr>
            </w:pPr>
          </w:p>
        </w:tc>
      </w:tr>
      <w:tr>
        <w:trPr>
          <w:trHeight w:val="777" w:hRule="atLeast"/>
        </w:trPr>
        <w:tc>
          <w:tcPr>
            <w:tcW w:w="14394" w:type="dxa"/>
            <w:gridSpan w:val="11"/>
            <w:shd w:val="clear" w:color="auto" w:fill="EFF8F9"/>
          </w:tcPr>
          <w:p>
            <w:pPr>
              <w:pStyle w:val="TableParagraph"/>
              <w:spacing w:before="75"/>
              <w:rPr>
                <w:b/>
                <w:sz w:val="18"/>
              </w:rPr>
            </w:pPr>
          </w:p>
          <w:p>
            <w:pPr>
              <w:pStyle w:val="TableParagraph"/>
              <w:ind w:left="72"/>
              <w:rPr>
                <w:b/>
                <w:sz w:val="18"/>
              </w:rPr>
            </w:pPr>
            <w:r>
              <w:rPr>
                <w:b/>
                <w:sz w:val="18"/>
              </w:rPr>
              <w:t>Producto</w:t>
            </w:r>
            <w:r>
              <w:rPr>
                <w:b/>
                <w:spacing w:val="-8"/>
                <w:sz w:val="18"/>
              </w:rPr>
              <w:t> </w:t>
            </w:r>
            <w:r>
              <w:rPr>
                <w:b/>
                <w:sz w:val="18"/>
              </w:rPr>
              <w:t>PAC</w:t>
            </w:r>
            <w:r>
              <w:rPr>
                <w:b/>
                <w:spacing w:val="-9"/>
                <w:sz w:val="18"/>
              </w:rPr>
              <w:t> </w:t>
            </w:r>
            <w:r>
              <w:rPr>
                <w:b/>
                <w:sz w:val="18"/>
              </w:rPr>
              <w:t>2.67:</w:t>
            </w:r>
            <w:r>
              <w:rPr>
                <w:b/>
                <w:spacing w:val="-4"/>
                <w:sz w:val="18"/>
              </w:rPr>
              <w:t> </w:t>
            </w:r>
            <w:r>
              <w:rPr>
                <w:b/>
                <w:sz w:val="18"/>
              </w:rPr>
              <w:t>Estructura</w:t>
            </w:r>
            <w:r>
              <w:rPr>
                <w:b/>
                <w:spacing w:val="-7"/>
                <w:sz w:val="18"/>
              </w:rPr>
              <w:t> </w:t>
            </w:r>
            <w:r>
              <w:rPr>
                <w:b/>
                <w:sz w:val="18"/>
              </w:rPr>
              <w:t>institucional</w:t>
            </w:r>
            <w:r>
              <w:rPr>
                <w:b/>
                <w:spacing w:val="-5"/>
                <w:sz w:val="18"/>
              </w:rPr>
              <w:t> </w:t>
            </w:r>
            <w:r>
              <w:rPr>
                <w:b/>
                <w:sz w:val="18"/>
              </w:rPr>
              <w:t>revisada</w:t>
            </w:r>
            <w:r>
              <w:rPr>
                <w:b/>
                <w:spacing w:val="-7"/>
                <w:sz w:val="18"/>
              </w:rPr>
              <w:t> </w:t>
            </w:r>
            <w:r>
              <w:rPr>
                <w:b/>
                <w:sz w:val="18"/>
              </w:rPr>
              <w:t>y</w:t>
            </w:r>
            <w:r>
              <w:rPr>
                <w:b/>
                <w:spacing w:val="-6"/>
                <w:sz w:val="18"/>
              </w:rPr>
              <w:t> </w:t>
            </w:r>
            <w:r>
              <w:rPr>
                <w:b/>
                <w:sz w:val="18"/>
              </w:rPr>
              <w:t>actualizada</w:t>
            </w:r>
            <w:r>
              <w:rPr>
                <w:b/>
                <w:spacing w:val="-3"/>
                <w:sz w:val="18"/>
              </w:rPr>
              <w:t> </w:t>
            </w:r>
            <w:r>
              <w:rPr>
                <w:b/>
                <w:sz w:val="18"/>
              </w:rPr>
              <w:t>con</w:t>
            </w:r>
            <w:r>
              <w:rPr>
                <w:b/>
                <w:spacing w:val="-3"/>
                <w:sz w:val="18"/>
              </w:rPr>
              <w:t> </w:t>
            </w:r>
            <w:r>
              <w:rPr>
                <w:b/>
                <w:sz w:val="18"/>
              </w:rPr>
              <w:t>procesos</w:t>
            </w:r>
            <w:r>
              <w:rPr>
                <w:b/>
                <w:spacing w:val="-3"/>
                <w:sz w:val="18"/>
              </w:rPr>
              <w:t> </w:t>
            </w:r>
            <w:r>
              <w:rPr>
                <w:b/>
                <w:sz w:val="18"/>
              </w:rPr>
              <w:t>de</w:t>
            </w:r>
            <w:r>
              <w:rPr>
                <w:b/>
                <w:spacing w:val="-7"/>
                <w:sz w:val="18"/>
              </w:rPr>
              <w:t> </w:t>
            </w:r>
            <w:r>
              <w:rPr>
                <w:b/>
                <w:sz w:val="18"/>
              </w:rPr>
              <w:t>reorganización</w:t>
            </w:r>
            <w:r>
              <w:rPr>
                <w:b/>
                <w:spacing w:val="-8"/>
                <w:sz w:val="18"/>
              </w:rPr>
              <w:t> </w:t>
            </w:r>
            <w:r>
              <w:rPr>
                <w:b/>
                <w:sz w:val="18"/>
              </w:rPr>
              <w:t>administrativa. E1</w:t>
            </w:r>
            <w:r>
              <w:rPr>
                <w:b/>
                <w:spacing w:val="-7"/>
                <w:sz w:val="18"/>
              </w:rPr>
              <w:t> </w:t>
            </w:r>
            <w:r>
              <w:rPr>
                <w:b/>
                <w:sz w:val="18"/>
              </w:rPr>
              <w:t>AE3</w:t>
            </w:r>
            <w:r>
              <w:rPr>
                <w:b/>
                <w:spacing w:val="-6"/>
                <w:sz w:val="18"/>
              </w:rPr>
              <w:t> </w:t>
            </w:r>
            <w:r>
              <w:rPr>
                <w:b/>
                <w:sz w:val="18"/>
              </w:rPr>
              <w:t>R2</w:t>
            </w:r>
            <w:r>
              <w:rPr>
                <w:b/>
                <w:spacing w:val="-7"/>
                <w:sz w:val="18"/>
              </w:rPr>
              <w:t> </w:t>
            </w:r>
            <w:r>
              <w:rPr>
                <w:b/>
                <w:sz w:val="18"/>
              </w:rPr>
              <w:t>(2</w:t>
            </w:r>
            <w:r>
              <w:rPr>
                <w:b/>
                <w:spacing w:val="-7"/>
                <w:sz w:val="18"/>
              </w:rPr>
              <w:t> </w:t>
            </w:r>
            <w:r>
              <w:rPr>
                <w:b/>
                <w:spacing w:val="-2"/>
                <w:sz w:val="18"/>
              </w:rPr>
              <w:t>reorganizaciones)</w:t>
            </w:r>
          </w:p>
        </w:tc>
      </w:tr>
      <w:tr>
        <w:trPr>
          <w:trHeight w:val="1454" w:hRule="atLeast"/>
        </w:trPr>
        <w:tc>
          <w:tcPr>
            <w:tcW w:w="3092" w:type="dxa"/>
            <w:gridSpan w:val="2"/>
          </w:tcPr>
          <w:p>
            <w:pPr>
              <w:pStyle w:val="TableParagraph"/>
              <w:spacing w:before="3"/>
              <w:rPr>
                <w:b/>
                <w:sz w:val="18"/>
              </w:rPr>
            </w:pPr>
          </w:p>
          <w:p>
            <w:pPr>
              <w:pStyle w:val="TableParagraph"/>
              <w:ind w:left="72" w:right="141"/>
              <w:rPr>
                <w:sz w:val="18"/>
              </w:rPr>
            </w:pPr>
            <w:r>
              <w:rPr>
                <w:b/>
                <w:sz w:val="18"/>
              </w:rPr>
              <w:t>Actividad</w:t>
            </w:r>
            <w:r>
              <w:rPr>
                <w:b/>
                <w:spacing w:val="-13"/>
                <w:sz w:val="18"/>
              </w:rPr>
              <w:t> </w:t>
            </w:r>
            <w:r>
              <w:rPr>
                <w:b/>
                <w:sz w:val="18"/>
              </w:rPr>
              <w:t>PAC</w:t>
            </w:r>
            <w:r>
              <w:rPr>
                <w:b/>
                <w:spacing w:val="-12"/>
                <w:sz w:val="18"/>
              </w:rPr>
              <w:t> </w:t>
            </w:r>
            <w:r>
              <w:rPr>
                <w:b/>
                <w:sz w:val="18"/>
              </w:rPr>
              <w:t>2.67.1:</w:t>
            </w:r>
            <w:r>
              <w:rPr>
                <w:b/>
                <w:spacing w:val="-11"/>
                <w:sz w:val="18"/>
              </w:rPr>
              <w:t> </w:t>
            </w:r>
            <w:r>
              <w:rPr>
                <w:sz w:val="18"/>
              </w:rPr>
              <w:t>Identificar, en conjunto con la Gerencia o las Direcciones, posibles reorganizaciones de la estructura administrativa del IMAS</w:t>
            </w:r>
          </w:p>
        </w:tc>
        <w:tc>
          <w:tcPr>
            <w:tcW w:w="1560" w:type="dxa"/>
          </w:tcPr>
          <w:p>
            <w:pPr>
              <w:pStyle w:val="TableParagraph"/>
              <w:spacing w:before="109"/>
              <w:ind w:left="67" w:right="135"/>
              <w:rPr>
                <w:sz w:val="18"/>
              </w:rPr>
            </w:pPr>
            <w:r>
              <w:rPr>
                <w:sz w:val="18"/>
              </w:rPr>
              <w:t>Número de </w:t>
            </w:r>
            <w:r>
              <w:rPr>
                <w:spacing w:val="-2"/>
                <w:sz w:val="18"/>
              </w:rPr>
              <w:t>unidades </w:t>
            </w:r>
            <w:r>
              <w:rPr>
                <w:sz w:val="18"/>
              </w:rPr>
              <w:t>identificadas</w:t>
            </w:r>
            <w:r>
              <w:rPr>
                <w:spacing w:val="-13"/>
                <w:sz w:val="18"/>
              </w:rPr>
              <w:t> </w:t>
            </w:r>
            <w:r>
              <w:rPr>
                <w:sz w:val="18"/>
              </w:rPr>
              <w:t>con </w:t>
            </w:r>
            <w:r>
              <w:rPr>
                <w:spacing w:val="-2"/>
                <w:sz w:val="18"/>
              </w:rPr>
              <w:t>requerimientos </w:t>
            </w:r>
            <w:r>
              <w:rPr>
                <w:sz w:val="18"/>
              </w:rPr>
              <w:t>de proceso de </w:t>
            </w:r>
            <w:r>
              <w:rPr>
                <w:spacing w:val="-2"/>
                <w:sz w:val="18"/>
              </w:rPr>
              <w:t>reorganización</w:t>
            </w: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8" w:right="21"/>
              <w:jc w:val="center"/>
              <w:rPr>
                <w:sz w:val="18"/>
              </w:rPr>
            </w:pPr>
            <w:r>
              <w:rPr>
                <w:spacing w:val="-10"/>
                <w:sz w:val="18"/>
              </w:rPr>
              <w:t>2</w:t>
            </w: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8" w:right="11"/>
              <w:jc w:val="center"/>
              <w:rPr>
                <w:sz w:val="18"/>
              </w:rPr>
            </w:pPr>
            <w:r>
              <w:rPr>
                <w:spacing w:val="-10"/>
                <w:sz w:val="18"/>
              </w:rPr>
              <w:t>4</w:t>
            </w: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457" w:hRule="atLeast"/>
        </w:trPr>
        <w:tc>
          <w:tcPr>
            <w:tcW w:w="3092" w:type="dxa"/>
            <w:gridSpan w:val="2"/>
            <w:tcBorders>
              <w:bottom w:val="thickThinMediumGap" w:sz="9" w:space="0" w:color="808080"/>
            </w:tcBorders>
          </w:tcPr>
          <w:p>
            <w:pPr>
              <w:pStyle w:val="TableParagraph"/>
              <w:spacing w:before="3"/>
              <w:rPr>
                <w:b/>
                <w:sz w:val="18"/>
              </w:rPr>
            </w:pPr>
          </w:p>
          <w:p>
            <w:pPr>
              <w:pStyle w:val="TableParagraph"/>
              <w:ind w:left="72" w:right="79"/>
              <w:rPr>
                <w:sz w:val="18"/>
              </w:rPr>
            </w:pPr>
            <w:r>
              <w:rPr>
                <w:b/>
                <w:sz w:val="18"/>
              </w:rPr>
              <w:t>Actividad PAC 2.67.2: </w:t>
            </w:r>
            <w:r>
              <w:rPr>
                <w:sz w:val="18"/>
              </w:rPr>
              <w:t>Elaborar criterios de reorganización de la estructura administrativa del IMAS según</w:t>
            </w:r>
            <w:r>
              <w:rPr>
                <w:spacing w:val="-8"/>
                <w:sz w:val="18"/>
              </w:rPr>
              <w:t> </w:t>
            </w:r>
            <w:r>
              <w:rPr>
                <w:sz w:val="18"/>
              </w:rPr>
              <w:t>solicitud</w:t>
            </w:r>
            <w:r>
              <w:rPr>
                <w:spacing w:val="-8"/>
                <w:sz w:val="18"/>
              </w:rPr>
              <w:t> </w:t>
            </w:r>
            <w:r>
              <w:rPr>
                <w:sz w:val="18"/>
              </w:rPr>
              <w:t>de</w:t>
            </w:r>
            <w:r>
              <w:rPr>
                <w:spacing w:val="-8"/>
                <w:sz w:val="18"/>
              </w:rPr>
              <w:t> </w:t>
            </w:r>
            <w:r>
              <w:rPr>
                <w:sz w:val="18"/>
              </w:rPr>
              <w:t>Gerencia</w:t>
            </w:r>
            <w:r>
              <w:rPr>
                <w:spacing w:val="-12"/>
                <w:sz w:val="18"/>
              </w:rPr>
              <w:t> </w:t>
            </w:r>
            <w:r>
              <w:rPr>
                <w:sz w:val="18"/>
              </w:rPr>
              <w:t>General o de las Direcciones</w:t>
            </w:r>
          </w:p>
        </w:tc>
        <w:tc>
          <w:tcPr>
            <w:tcW w:w="1560" w:type="dxa"/>
            <w:tcBorders>
              <w:bottom w:val="thickThinMediumGap" w:sz="9" w:space="0" w:color="808080"/>
            </w:tcBorders>
          </w:tcPr>
          <w:p>
            <w:pPr>
              <w:pStyle w:val="TableParagraph"/>
              <w:spacing w:before="108"/>
              <w:rPr>
                <w:b/>
                <w:sz w:val="18"/>
              </w:rPr>
            </w:pPr>
          </w:p>
          <w:p>
            <w:pPr>
              <w:pStyle w:val="TableParagraph"/>
              <w:ind w:left="67" w:right="58"/>
              <w:rPr>
                <w:sz w:val="18"/>
              </w:rPr>
            </w:pPr>
            <w:r>
              <w:rPr>
                <w:sz w:val="18"/>
              </w:rPr>
              <w:t>Cantidad de criterios de </w:t>
            </w:r>
            <w:r>
              <w:rPr>
                <w:spacing w:val="-2"/>
                <w:sz w:val="18"/>
              </w:rPr>
              <w:t>reorganización desarrollados.</w:t>
            </w:r>
          </w:p>
        </w:tc>
        <w:tc>
          <w:tcPr>
            <w:tcW w:w="1181" w:type="dxa"/>
            <w:tcBorders>
              <w:bottom w:val="thickThinMediumGap" w:sz="9" w:space="0" w:color="808080"/>
            </w:tcBorders>
          </w:tcPr>
          <w:p>
            <w:pPr>
              <w:pStyle w:val="TableParagraph"/>
              <w:rPr>
                <w:rFonts w:ascii="Times New Roman"/>
                <w:sz w:val="18"/>
              </w:rPr>
            </w:pPr>
          </w:p>
        </w:tc>
        <w:tc>
          <w:tcPr>
            <w:tcW w:w="1186" w:type="dxa"/>
            <w:tcBorders>
              <w:bottom w:val="thickThinMediumGap" w:sz="9" w:space="0" w:color="808080"/>
            </w:tcBorders>
          </w:tcPr>
          <w:p>
            <w:pPr>
              <w:pStyle w:val="TableParagraph"/>
              <w:rPr>
                <w:rFonts w:ascii="Times New Roman"/>
                <w:sz w:val="18"/>
              </w:rPr>
            </w:pPr>
          </w:p>
        </w:tc>
        <w:tc>
          <w:tcPr>
            <w:tcW w:w="1200" w:type="dxa"/>
            <w:tcBorders>
              <w:bottom w:val="thickThinMediumGap" w:sz="9" w:space="0" w:color="808080"/>
            </w:tcBorders>
          </w:tcPr>
          <w:p>
            <w:pPr>
              <w:pStyle w:val="TableParagraph"/>
              <w:rPr>
                <w:b/>
                <w:sz w:val="18"/>
              </w:rPr>
            </w:pPr>
          </w:p>
          <w:p>
            <w:pPr>
              <w:pStyle w:val="TableParagraph"/>
              <w:rPr>
                <w:b/>
                <w:sz w:val="18"/>
              </w:rPr>
            </w:pPr>
          </w:p>
          <w:p>
            <w:pPr>
              <w:pStyle w:val="TableParagraph"/>
              <w:spacing w:before="7"/>
              <w:rPr>
                <w:b/>
                <w:sz w:val="18"/>
              </w:rPr>
            </w:pPr>
          </w:p>
          <w:p>
            <w:pPr>
              <w:pStyle w:val="TableParagraph"/>
              <w:ind w:left="19" w:right="2"/>
              <w:jc w:val="center"/>
              <w:rPr>
                <w:sz w:val="18"/>
              </w:rPr>
            </w:pPr>
            <w:r>
              <w:rPr>
                <w:spacing w:val="-10"/>
                <w:sz w:val="18"/>
              </w:rPr>
              <w:t>1</w:t>
            </w:r>
          </w:p>
        </w:tc>
        <w:tc>
          <w:tcPr>
            <w:tcW w:w="1248" w:type="dxa"/>
            <w:tcBorders>
              <w:bottom w:val="thickThinMediumGap" w:sz="9" w:space="0" w:color="808080"/>
            </w:tcBorders>
          </w:tcPr>
          <w:p>
            <w:pPr>
              <w:pStyle w:val="TableParagraph"/>
              <w:rPr>
                <w:rFonts w:ascii="Times New Roman"/>
                <w:sz w:val="18"/>
              </w:rPr>
            </w:pPr>
          </w:p>
        </w:tc>
        <w:tc>
          <w:tcPr>
            <w:tcW w:w="1181" w:type="dxa"/>
            <w:tcBorders>
              <w:bottom w:val="thickThinMediumGap" w:sz="9" w:space="0" w:color="808080"/>
            </w:tcBorders>
          </w:tcPr>
          <w:p>
            <w:pPr>
              <w:pStyle w:val="TableParagraph"/>
              <w:rPr>
                <w:rFonts w:ascii="Times New Roman"/>
                <w:sz w:val="18"/>
              </w:rPr>
            </w:pPr>
          </w:p>
        </w:tc>
        <w:tc>
          <w:tcPr>
            <w:tcW w:w="1234" w:type="dxa"/>
            <w:tcBorders>
              <w:bottom w:val="thickThinMediumGap" w:sz="9" w:space="0" w:color="808080"/>
            </w:tcBorders>
          </w:tcPr>
          <w:p>
            <w:pPr>
              <w:pStyle w:val="TableParagraph"/>
              <w:rPr>
                <w:rFonts w:ascii="Times New Roman"/>
                <w:sz w:val="18"/>
              </w:rPr>
            </w:pPr>
          </w:p>
        </w:tc>
        <w:tc>
          <w:tcPr>
            <w:tcW w:w="1282" w:type="dxa"/>
            <w:tcBorders>
              <w:bottom w:val="thickThinMediumGap" w:sz="9" w:space="0" w:color="808080"/>
            </w:tcBorders>
          </w:tcPr>
          <w:p>
            <w:pPr>
              <w:pStyle w:val="TableParagraph"/>
              <w:rPr>
                <w:b/>
                <w:sz w:val="18"/>
              </w:rPr>
            </w:pPr>
          </w:p>
          <w:p>
            <w:pPr>
              <w:pStyle w:val="TableParagraph"/>
              <w:rPr>
                <w:b/>
                <w:sz w:val="18"/>
              </w:rPr>
            </w:pPr>
          </w:p>
          <w:p>
            <w:pPr>
              <w:pStyle w:val="TableParagraph"/>
              <w:spacing w:before="7"/>
              <w:rPr>
                <w:b/>
                <w:sz w:val="18"/>
              </w:rPr>
            </w:pPr>
          </w:p>
          <w:p>
            <w:pPr>
              <w:pStyle w:val="TableParagraph"/>
              <w:ind w:left="20" w:right="7"/>
              <w:jc w:val="center"/>
              <w:rPr>
                <w:sz w:val="18"/>
              </w:rPr>
            </w:pPr>
            <w:r>
              <w:rPr>
                <w:spacing w:val="-10"/>
                <w:sz w:val="18"/>
              </w:rPr>
              <w:t>2</w:t>
            </w:r>
          </w:p>
        </w:tc>
        <w:tc>
          <w:tcPr>
            <w:tcW w:w="1230" w:type="dxa"/>
            <w:tcBorders>
              <w:bottom w:val="thickThinMediumGap" w:sz="9" w:space="0" w:color="808080"/>
            </w:tcBorders>
          </w:tcPr>
          <w:p>
            <w:pPr>
              <w:pStyle w:val="TableParagraph"/>
              <w:rPr>
                <w:rFonts w:ascii="Times New Roman"/>
                <w:sz w:val="18"/>
              </w:rPr>
            </w:pPr>
          </w:p>
        </w:tc>
      </w:tr>
      <w:tr>
        <w:trPr>
          <w:trHeight w:val="1381" w:hRule="atLeast"/>
        </w:trPr>
        <w:tc>
          <w:tcPr>
            <w:tcW w:w="1486" w:type="dxa"/>
            <w:tcBorders>
              <w:top w:val="thinThickMediumGap" w:sz="9" w:space="0" w:color="808080"/>
              <w:left w:val="nil"/>
              <w:bottom w:val="nil"/>
              <w:right w:val="single" w:sz="18" w:space="0" w:color="808080"/>
            </w:tcBorders>
          </w:tcPr>
          <w:p>
            <w:pPr>
              <w:pStyle w:val="TableParagraph"/>
              <w:spacing w:line="275" w:lineRule="exact"/>
              <w:ind w:left="106"/>
              <w:rPr>
                <w:b/>
                <w:sz w:val="24"/>
              </w:rPr>
            </w:pPr>
            <w:r>
              <w:rPr>
                <w:b/>
                <w:spacing w:val="-5"/>
                <w:sz w:val="24"/>
              </w:rPr>
              <w:t>322</w:t>
            </w:r>
          </w:p>
        </w:tc>
        <w:tc>
          <w:tcPr>
            <w:tcW w:w="12908" w:type="dxa"/>
            <w:gridSpan w:val="10"/>
            <w:tcBorders>
              <w:top w:val="thinThickMediumGap" w:sz="9" w:space="0" w:color="808080"/>
              <w:left w:val="single" w:sz="18" w:space="0" w:color="808080"/>
              <w:bottom w:val="nil"/>
              <w:right w:val="nil"/>
            </w:tcBorders>
          </w:tcPr>
          <w:p>
            <w:pPr>
              <w:pStyle w:val="TableParagraph"/>
              <w:spacing w:line="242" w:lineRule="auto"/>
              <w:ind w:left="95" w:right="8727"/>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84"/>
          <w:pgSz w:w="15840" w:h="12240" w:orient="landscape"/>
          <w:pgMar w:header="0" w:footer="0" w:top="700" w:bottom="2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1454" w:hRule="atLeast"/>
        </w:trPr>
        <w:tc>
          <w:tcPr>
            <w:tcW w:w="3092" w:type="dxa"/>
          </w:tcPr>
          <w:p>
            <w:pPr>
              <w:pStyle w:val="TableParagraph"/>
              <w:spacing w:before="3"/>
              <w:rPr>
                <w:b/>
                <w:sz w:val="18"/>
              </w:rPr>
            </w:pPr>
          </w:p>
          <w:p>
            <w:pPr>
              <w:pStyle w:val="TableParagraph"/>
              <w:ind w:left="72" w:right="99"/>
              <w:rPr>
                <w:sz w:val="18"/>
              </w:rPr>
            </w:pPr>
            <w:r>
              <w:rPr>
                <w:b/>
                <w:sz w:val="18"/>
              </w:rPr>
              <w:t>Actividad</w:t>
            </w:r>
            <w:r>
              <w:rPr>
                <w:b/>
                <w:spacing w:val="-12"/>
                <w:sz w:val="18"/>
              </w:rPr>
              <w:t> </w:t>
            </w:r>
            <w:r>
              <w:rPr>
                <w:b/>
                <w:sz w:val="18"/>
              </w:rPr>
              <w:t>PAC</w:t>
            </w:r>
            <w:r>
              <w:rPr>
                <w:b/>
                <w:spacing w:val="-8"/>
                <w:sz w:val="18"/>
              </w:rPr>
              <w:t> </w:t>
            </w:r>
            <w:r>
              <w:rPr>
                <w:b/>
                <w:sz w:val="18"/>
              </w:rPr>
              <w:t>2.67.3:</w:t>
            </w:r>
            <w:r>
              <w:rPr>
                <w:b/>
                <w:spacing w:val="-3"/>
                <w:sz w:val="18"/>
              </w:rPr>
              <w:t> </w:t>
            </w:r>
            <w:r>
              <w:rPr>
                <w:sz w:val="18"/>
              </w:rPr>
              <w:t>Atención</w:t>
            </w:r>
            <w:r>
              <w:rPr>
                <w:spacing w:val="-11"/>
                <w:sz w:val="18"/>
              </w:rPr>
              <w:t> </w:t>
            </w:r>
            <w:r>
              <w:rPr>
                <w:sz w:val="18"/>
              </w:rPr>
              <w:t>de consultas de MIDEPLAN las consultas sobre los procesos de reestructuración remitidos para </w:t>
            </w:r>
            <w:r>
              <w:rPr>
                <w:spacing w:val="-2"/>
                <w:sz w:val="18"/>
              </w:rPr>
              <w:t>aprobación</w:t>
            </w:r>
          </w:p>
        </w:tc>
        <w:tc>
          <w:tcPr>
            <w:tcW w:w="1560" w:type="dxa"/>
          </w:tcPr>
          <w:p>
            <w:pPr>
              <w:pStyle w:val="TableParagraph"/>
              <w:spacing w:before="103"/>
              <w:rPr>
                <w:b/>
                <w:sz w:val="18"/>
              </w:rPr>
            </w:pPr>
          </w:p>
          <w:p>
            <w:pPr>
              <w:pStyle w:val="TableParagraph"/>
              <w:spacing w:line="242" w:lineRule="auto" w:before="1"/>
              <w:ind w:left="67" w:right="462"/>
              <w:jc w:val="both"/>
              <w:rPr>
                <w:sz w:val="18"/>
              </w:rPr>
            </w:pPr>
            <w:r>
              <w:rPr>
                <w:sz w:val="18"/>
              </w:rPr>
              <w:t>Cantidad de consultas</w:t>
            </w:r>
            <w:r>
              <w:rPr>
                <w:spacing w:val="-13"/>
                <w:sz w:val="18"/>
              </w:rPr>
              <w:t> </w:t>
            </w:r>
            <w:r>
              <w:rPr>
                <w:sz w:val="18"/>
              </w:rPr>
              <w:t>de </w:t>
            </w:r>
            <w:r>
              <w:rPr>
                <w:spacing w:val="-2"/>
                <w:sz w:val="18"/>
              </w:rPr>
              <w:t>MIDEPLAM</w:t>
            </w:r>
          </w:p>
          <w:p>
            <w:pPr>
              <w:pStyle w:val="TableParagraph"/>
              <w:spacing w:line="204" w:lineRule="exact"/>
              <w:ind w:left="67"/>
              <w:rPr>
                <w:sz w:val="18"/>
              </w:rPr>
            </w:pPr>
            <w:r>
              <w:rPr>
                <w:spacing w:val="-2"/>
                <w:sz w:val="18"/>
              </w:rPr>
              <w:t>atendidas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right="2"/>
              <w:jc w:val="center"/>
              <w:rPr>
                <w:sz w:val="18"/>
              </w:rPr>
            </w:pPr>
            <w:r>
              <w:rPr>
                <w:spacing w:val="-10"/>
                <w:sz w:val="18"/>
              </w:rPr>
              <w:t>1</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0" w:right="7"/>
              <w:jc w:val="center"/>
              <w:rPr>
                <w:sz w:val="18"/>
              </w:rPr>
            </w:pPr>
            <w:r>
              <w:rPr>
                <w:spacing w:val="-10"/>
                <w:sz w:val="18"/>
              </w:rPr>
              <w:t>2</w:t>
            </w:r>
          </w:p>
        </w:tc>
        <w:tc>
          <w:tcPr>
            <w:tcW w:w="1230" w:type="dxa"/>
          </w:tcPr>
          <w:p>
            <w:pPr>
              <w:pStyle w:val="TableParagraph"/>
              <w:rPr>
                <w:rFonts w:ascii="Times New Roman"/>
                <w:sz w:val="18"/>
              </w:rPr>
            </w:pPr>
          </w:p>
        </w:tc>
      </w:tr>
      <w:tr>
        <w:trPr>
          <w:trHeight w:val="1454" w:hRule="atLeast"/>
        </w:trPr>
        <w:tc>
          <w:tcPr>
            <w:tcW w:w="3092" w:type="dxa"/>
          </w:tcPr>
          <w:p>
            <w:pPr>
              <w:pStyle w:val="TableParagraph"/>
              <w:spacing w:before="108"/>
              <w:rPr>
                <w:b/>
                <w:sz w:val="18"/>
              </w:rPr>
            </w:pPr>
          </w:p>
          <w:p>
            <w:pPr>
              <w:pStyle w:val="TableParagraph"/>
              <w:ind w:left="72" w:right="99"/>
              <w:rPr>
                <w:sz w:val="18"/>
              </w:rPr>
            </w:pPr>
            <w:r>
              <w:rPr>
                <w:b/>
                <w:sz w:val="18"/>
              </w:rPr>
              <w:t>Actividad PAC 2.67.4: </w:t>
            </w:r>
            <w:r>
              <w:rPr>
                <w:sz w:val="18"/>
              </w:rPr>
              <w:t>Realizar sesiones de inducción sobre los procesos de reorganización de la estructura</w:t>
            </w:r>
            <w:r>
              <w:rPr>
                <w:spacing w:val="-15"/>
                <w:sz w:val="18"/>
              </w:rPr>
              <w:t> </w:t>
            </w:r>
            <w:r>
              <w:rPr>
                <w:sz w:val="18"/>
              </w:rPr>
              <w:t>organizacional</w:t>
            </w:r>
            <w:r>
              <w:rPr>
                <w:spacing w:val="-12"/>
                <w:sz w:val="18"/>
              </w:rPr>
              <w:t> </w:t>
            </w:r>
            <w:r>
              <w:rPr>
                <w:sz w:val="18"/>
              </w:rPr>
              <w:t>definidos</w:t>
            </w:r>
          </w:p>
        </w:tc>
        <w:tc>
          <w:tcPr>
            <w:tcW w:w="1560" w:type="dxa"/>
          </w:tcPr>
          <w:p>
            <w:pPr>
              <w:pStyle w:val="TableParagraph"/>
              <w:spacing w:before="108"/>
              <w:rPr>
                <w:b/>
                <w:sz w:val="18"/>
              </w:rPr>
            </w:pPr>
          </w:p>
          <w:p>
            <w:pPr>
              <w:pStyle w:val="TableParagraph"/>
              <w:ind w:left="67" w:right="58"/>
              <w:rPr>
                <w:sz w:val="18"/>
              </w:rPr>
            </w:pPr>
            <w:r>
              <w:rPr>
                <w:sz w:val="18"/>
              </w:rPr>
              <w:t>Cantidad</w:t>
            </w:r>
            <w:r>
              <w:rPr>
                <w:spacing w:val="-13"/>
                <w:sz w:val="18"/>
              </w:rPr>
              <w:t> </w:t>
            </w:r>
            <w:r>
              <w:rPr>
                <w:sz w:val="18"/>
              </w:rPr>
              <w:t>de </w:t>
            </w:r>
            <w:r>
              <w:rPr>
                <w:spacing w:val="-2"/>
                <w:sz w:val="18"/>
              </w:rPr>
              <w:t>sesiones inducciones realizadas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right="2"/>
              <w:jc w:val="center"/>
              <w:rPr>
                <w:sz w:val="18"/>
              </w:rPr>
            </w:pPr>
            <w:r>
              <w:rPr>
                <w:spacing w:val="-10"/>
                <w:sz w:val="18"/>
              </w:rPr>
              <w:t>1</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0" w:right="7"/>
              <w:jc w:val="center"/>
              <w:rPr>
                <w:sz w:val="18"/>
              </w:rPr>
            </w:pPr>
            <w:r>
              <w:rPr>
                <w:spacing w:val="-10"/>
                <w:sz w:val="18"/>
              </w:rPr>
              <w:t>2</w:t>
            </w:r>
          </w:p>
        </w:tc>
        <w:tc>
          <w:tcPr>
            <w:tcW w:w="1230" w:type="dxa"/>
          </w:tcPr>
          <w:p>
            <w:pPr>
              <w:pStyle w:val="TableParagraph"/>
              <w:rPr>
                <w:rFonts w:ascii="Times New Roman"/>
                <w:sz w:val="18"/>
              </w:rPr>
            </w:pPr>
          </w:p>
        </w:tc>
      </w:tr>
      <w:tr>
        <w:trPr>
          <w:trHeight w:val="451" w:hRule="atLeast"/>
        </w:trPr>
        <w:tc>
          <w:tcPr>
            <w:tcW w:w="14394" w:type="dxa"/>
            <w:gridSpan w:val="10"/>
            <w:shd w:val="clear" w:color="auto" w:fill="EFF8F9"/>
          </w:tcPr>
          <w:p>
            <w:pPr>
              <w:pStyle w:val="TableParagraph"/>
              <w:spacing w:before="123"/>
              <w:ind w:left="72"/>
              <w:rPr>
                <w:b/>
                <w:sz w:val="18"/>
              </w:rPr>
            </w:pPr>
            <w:r>
              <w:rPr>
                <w:b/>
                <w:sz w:val="18"/>
              </w:rPr>
              <w:t>Producto</w:t>
            </w:r>
            <w:r>
              <w:rPr>
                <w:b/>
                <w:spacing w:val="-7"/>
                <w:sz w:val="18"/>
              </w:rPr>
              <w:t> </w:t>
            </w:r>
            <w:r>
              <w:rPr>
                <w:b/>
                <w:sz w:val="18"/>
              </w:rPr>
              <w:t>PAC</w:t>
            </w:r>
            <w:r>
              <w:rPr>
                <w:b/>
                <w:spacing w:val="-7"/>
                <w:sz w:val="18"/>
              </w:rPr>
              <w:t> </w:t>
            </w:r>
            <w:r>
              <w:rPr>
                <w:b/>
                <w:sz w:val="18"/>
              </w:rPr>
              <w:t>2.68:</w:t>
            </w:r>
            <w:r>
              <w:rPr>
                <w:b/>
                <w:spacing w:val="42"/>
                <w:sz w:val="18"/>
              </w:rPr>
              <w:t> </w:t>
            </w:r>
            <w:r>
              <w:rPr>
                <w:b/>
                <w:sz w:val="18"/>
              </w:rPr>
              <w:t>Manual</w:t>
            </w:r>
            <w:r>
              <w:rPr>
                <w:b/>
                <w:spacing w:val="-3"/>
                <w:sz w:val="18"/>
              </w:rPr>
              <w:t> </w:t>
            </w:r>
            <w:r>
              <w:rPr>
                <w:b/>
                <w:sz w:val="18"/>
              </w:rPr>
              <w:t>de</w:t>
            </w:r>
            <w:r>
              <w:rPr>
                <w:b/>
                <w:spacing w:val="-6"/>
                <w:sz w:val="18"/>
              </w:rPr>
              <w:t> </w:t>
            </w:r>
            <w:r>
              <w:rPr>
                <w:b/>
                <w:sz w:val="18"/>
              </w:rPr>
              <w:t>Organización</w:t>
            </w:r>
            <w:r>
              <w:rPr>
                <w:b/>
                <w:spacing w:val="-6"/>
                <w:sz w:val="18"/>
              </w:rPr>
              <w:t> </w:t>
            </w:r>
            <w:r>
              <w:rPr>
                <w:b/>
                <w:sz w:val="18"/>
              </w:rPr>
              <w:t>ajustado</w:t>
            </w:r>
            <w:r>
              <w:rPr>
                <w:b/>
                <w:spacing w:val="-6"/>
                <w:sz w:val="18"/>
              </w:rPr>
              <w:t> </w:t>
            </w:r>
            <w:r>
              <w:rPr>
                <w:b/>
                <w:sz w:val="18"/>
              </w:rPr>
              <w:t>y</w:t>
            </w:r>
            <w:r>
              <w:rPr>
                <w:b/>
                <w:spacing w:val="-10"/>
                <w:sz w:val="18"/>
              </w:rPr>
              <w:t> </w:t>
            </w:r>
            <w:r>
              <w:rPr>
                <w:b/>
                <w:sz w:val="18"/>
              </w:rPr>
              <w:t>actualizado</w:t>
            </w:r>
            <w:r>
              <w:rPr>
                <w:b/>
                <w:spacing w:val="-7"/>
                <w:sz w:val="18"/>
              </w:rPr>
              <w:t> </w:t>
            </w:r>
            <w:r>
              <w:rPr>
                <w:b/>
                <w:sz w:val="18"/>
              </w:rPr>
              <w:t>a</w:t>
            </w:r>
            <w:r>
              <w:rPr>
                <w:b/>
                <w:spacing w:val="-5"/>
                <w:sz w:val="18"/>
              </w:rPr>
              <w:t> </w:t>
            </w:r>
            <w:r>
              <w:rPr>
                <w:b/>
                <w:sz w:val="18"/>
              </w:rPr>
              <w:t>la</w:t>
            </w:r>
            <w:r>
              <w:rPr>
                <w:b/>
                <w:spacing w:val="-5"/>
                <w:sz w:val="18"/>
              </w:rPr>
              <w:t> </w:t>
            </w:r>
            <w:r>
              <w:rPr>
                <w:b/>
                <w:sz w:val="18"/>
              </w:rPr>
              <w:t>estructura institucional</w:t>
            </w:r>
            <w:r>
              <w:rPr>
                <w:b/>
                <w:spacing w:val="1"/>
                <w:sz w:val="18"/>
              </w:rPr>
              <w:t> </w:t>
            </w:r>
            <w:r>
              <w:rPr>
                <w:b/>
                <w:sz w:val="18"/>
              </w:rPr>
              <w:t>E1</w:t>
            </w:r>
            <w:r>
              <w:rPr>
                <w:b/>
                <w:spacing w:val="-1"/>
                <w:sz w:val="18"/>
              </w:rPr>
              <w:t> </w:t>
            </w:r>
            <w:r>
              <w:rPr>
                <w:b/>
                <w:sz w:val="18"/>
              </w:rPr>
              <w:t>AE3</w:t>
            </w:r>
            <w:r>
              <w:rPr>
                <w:b/>
                <w:spacing w:val="-6"/>
                <w:sz w:val="18"/>
              </w:rPr>
              <w:t> </w:t>
            </w:r>
            <w:r>
              <w:rPr>
                <w:b/>
                <w:sz w:val="18"/>
              </w:rPr>
              <w:t>R3</w:t>
            </w:r>
            <w:r>
              <w:rPr>
                <w:b/>
                <w:spacing w:val="-5"/>
                <w:sz w:val="18"/>
              </w:rPr>
              <w:t> </w:t>
            </w:r>
            <w:r>
              <w:rPr>
                <w:b/>
                <w:sz w:val="18"/>
              </w:rPr>
              <w:t>(1</w:t>
            </w:r>
            <w:r>
              <w:rPr>
                <w:b/>
                <w:spacing w:val="-5"/>
                <w:sz w:val="18"/>
              </w:rPr>
              <w:t> </w:t>
            </w:r>
            <w:r>
              <w:rPr>
                <w:b/>
                <w:spacing w:val="-2"/>
                <w:sz w:val="18"/>
              </w:rPr>
              <w:t>Manual)</w:t>
            </w:r>
          </w:p>
        </w:tc>
      </w:tr>
      <w:tr>
        <w:trPr>
          <w:trHeight w:val="1036" w:hRule="atLeast"/>
        </w:trPr>
        <w:tc>
          <w:tcPr>
            <w:tcW w:w="3092" w:type="dxa"/>
          </w:tcPr>
          <w:p>
            <w:pPr>
              <w:pStyle w:val="TableParagraph"/>
              <w:ind w:left="72" w:right="99"/>
              <w:rPr>
                <w:sz w:val="18"/>
              </w:rPr>
            </w:pPr>
            <w:r>
              <w:rPr>
                <w:b/>
                <w:sz w:val="18"/>
              </w:rPr>
              <w:t>Actividad PAC 2.68.1</w:t>
            </w:r>
            <w:r>
              <w:rPr>
                <w:sz w:val="18"/>
              </w:rPr>
              <w:t>: Ajustar el manual de la estructura organizacional</w:t>
            </w:r>
            <w:r>
              <w:rPr>
                <w:spacing w:val="-6"/>
                <w:sz w:val="18"/>
              </w:rPr>
              <w:t> </w:t>
            </w:r>
            <w:r>
              <w:rPr>
                <w:sz w:val="18"/>
              </w:rPr>
              <w:t>del</w:t>
            </w:r>
            <w:r>
              <w:rPr>
                <w:spacing w:val="-10"/>
                <w:sz w:val="18"/>
              </w:rPr>
              <w:t> </w:t>
            </w:r>
            <w:r>
              <w:rPr>
                <w:sz w:val="18"/>
              </w:rPr>
              <w:t>IMAS</w:t>
            </w:r>
            <w:r>
              <w:rPr>
                <w:spacing w:val="-6"/>
                <w:sz w:val="18"/>
              </w:rPr>
              <w:t> </w:t>
            </w:r>
            <w:r>
              <w:rPr>
                <w:sz w:val="18"/>
              </w:rPr>
              <w:t>a</w:t>
            </w:r>
            <w:r>
              <w:rPr>
                <w:spacing w:val="-9"/>
                <w:sz w:val="18"/>
              </w:rPr>
              <w:t> </w:t>
            </w:r>
            <w:r>
              <w:rPr>
                <w:sz w:val="18"/>
              </w:rPr>
              <w:t>partir</w:t>
            </w:r>
            <w:r>
              <w:rPr>
                <w:spacing w:val="-3"/>
                <w:sz w:val="18"/>
              </w:rPr>
              <w:t> </w:t>
            </w:r>
            <w:r>
              <w:rPr>
                <w:sz w:val="18"/>
              </w:rPr>
              <w:t>de los procesos de reorganización</w:t>
            </w:r>
          </w:p>
          <w:p>
            <w:pPr>
              <w:pStyle w:val="TableParagraph"/>
              <w:spacing w:line="187" w:lineRule="exact" w:before="1"/>
              <w:ind w:left="72"/>
              <w:rPr>
                <w:sz w:val="18"/>
              </w:rPr>
            </w:pPr>
            <w:r>
              <w:rPr>
                <w:spacing w:val="-2"/>
                <w:sz w:val="18"/>
              </w:rPr>
              <w:t>realizados</w:t>
            </w:r>
          </w:p>
        </w:tc>
        <w:tc>
          <w:tcPr>
            <w:tcW w:w="1560" w:type="dxa"/>
          </w:tcPr>
          <w:p>
            <w:pPr>
              <w:pStyle w:val="TableParagraph"/>
              <w:ind w:left="67" w:right="58"/>
              <w:rPr>
                <w:sz w:val="18"/>
              </w:rPr>
            </w:pPr>
            <w:r>
              <w:rPr>
                <w:sz w:val="18"/>
              </w:rPr>
              <w:t>Cantidad de ajustes</w:t>
            </w:r>
            <w:r>
              <w:rPr>
                <w:spacing w:val="-15"/>
                <w:sz w:val="18"/>
              </w:rPr>
              <w:t> </w:t>
            </w:r>
            <w:r>
              <w:rPr>
                <w:sz w:val="18"/>
              </w:rPr>
              <w:t>al</w:t>
            </w:r>
            <w:r>
              <w:rPr>
                <w:spacing w:val="-12"/>
                <w:sz w:val="18"/>
              </w:rPr>
              <w:t> </w:t>
            </w:r>
            <w:r>
              <w:rPr>
                <w:sz w:val="18"/>
              </w:rPr>
              <w:t>Manual de la Estructura </w:t>
            </w:r>
            <w:r>
              <w:rPr>
                <w:spacing w:val="-2"/>
                <w:sz w:val="18"/>
              </w:rPr>
              <w:t>Organizacional</w:t>
            </w:r>
          </w:p>
          <w:p>
            <w:pPr>
              <w:pStyle w:val="TableParagraph"/>
              <w:spacing w:line="187" w:lineRule="exact" w:before="1"/>
              <w:ind w:left="67"/>
              <w:rPr>
                <w:sz w:val="18"/>
              </w:rPr>
            </w:pPr>
            <w:r>
              <w:rPr>
                <w:spacing w:val="-2"/>
                <w:sz w:val="18"/>
              </w:rPr>
              <w:t>realizados</w:t>
            </w:r>
          </w:p>
        </w:tc>
        <w:tc>
          <w:tcPr>
            <w:tcW w:w="1181" w:type="dxa"/>
          </w:tcPr>
          <w:p>
            <w:pPr>
              <w:pStyle w:val="TableParagraph"/>
              <w:rPr>
                <w:b/>
                <w:sz w:val="18"/>
              </w:rPr>
            </w:pPr>
          </w:p>
          <w:p>
            <w:pPr>
              <w:pStyle w:val="TableParagraph"/>
              <w:spacing w:before="2"/>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2"/>
              <w:rPr>
                <w:b/>
                <w:sz w:val="18"/>
              </w:rPr>
            </w:pPr>
          </w:p>
          <w:p>
            <w:pPr>
              <w:pStyle w:val="TableParagraph"/>
              <w:ind w:left="20" w:right="7"/>
              <w:jc w:val="center"/>
              <w:rPr>
                <w:sz w:val="18"/>
              </w:rPr>
            </w:pPr>
            <w:r>
              <w:rPr>
                <w:spacing w:val="-10"/>
                <w:sz w:val="18"/>
              </w:rPr>
              <w:t>2</w:t>
            </w:r>
          </w:p>
        </w:tc>
        <w:tc>
          <w:tcPr>
            <w:tcW w:w="1230" w:type="dxa"/>
          </w:tcPr>
          <w:p>
            <w:pPr>
              <w:pStyle w:val="TableParagraph"/>
              <w:rPr>
                <w:rFonts w:ascii="Times New Roman"/>
                <w:sz w:val="18"/>
              </w:rPr>
            </w:pPr>
          </w:p>
        </w:tc>
      </w:tr>
      <w:tr>
        <w:trPr>
          <w:trHeight w:val="1656" w:hRule="atLeast"/>
        </w:trPr>
        <w:tc>
          <w:tcPr>
            <w:tcW w:w="3092" w:type="dxa"/>
          </w:tcPr>
          <w:p>
            <w:pPr>
              <w:pStyle w:val="TableParagraph"/>
              <w:rPr>
                <w:b/>
                <w:sz w:val="18"/>
              </w:rPr>
            </w:pPr>
          </w:p>
          <w:p>
            <w:pPr>
              <w:pStyle w:val="TableParagraph"/>
              <w:spacing w:before="103"/>
              <w:rPr>
                <w:b/>
                <w:sz w:val="18"/>
              </w:rPr>
            </w:pPr>
          </w:p>
          <w:p>
            <w:pPr>
              <w:pStyle w:val="TableParagraph"/>
              <w:ind w:left="72"/>
              <w:rPr>
                <w:sz w:val="18"/>
              </w:rPr>
            </w:pPr>
            <w:r>
              <w:rPr>
                <w:b/>
                <w:sz w:val="18"/>
              </w:rPr>
              <w:t>Actividad</w:t>
            </w:r>
            <w:r>
              <w:rPr>
                <w:b/>
                <w:spacing w:val="-12"/>
                <w:sz w:val="18"/>
              </w:rPr>
              <w:t> </w:t>
            </w:r>
            <w:r>
              <w:rPr>
                <w:b/>
                <w:sz w:val="18"/>
              </w:rPr>
              <w:t>PAC</w:t>
            </w:r>
            <w:r>
              <w:rPr>
                <w:b/>
                <w:spacing w:val="-8"/>
                <w:sz w:val="18"/>
              </w:rPr>
              <w:t> </w:t>
            </w:r>
            <w:r>
              <w:rPr>
                <w:b/>
                <w:sz w:val="18"/>
              </w:rPr>
              <w:t>2.68.2:</w:t>
            </w:r>
            <w:r>
              <w:rPr>
                <w:b/>
                <w:spacing w:val="-3"/>
                <w:sz w:val="18"/>
              </w:rPr>
              <w:t> </w:t>
            </w:r>
            <w:r>
              <w:rPr>
                <w:sz w:val="18"/>
              </w:rPr>
              <w:t>Remitir,</w:t>
            </w:r>
            <w:r>
              <w:rPr>
                <w:spacing w:val="-9"/>
                <w:sz w:val="18"/>
              </w:rPr>
              <w:t> </w:t>
            </w:r>
            <w:r>
              <w:rPr>
                <w:sz w:val="18"/>
              </w:rPr>
              <w:t>para aprobación del CD, el Manual de la Estructura Organizacional del IMAS</w:t>
            </w:r>
          </w:p>
        </w:tc>
        <w:tc>
          <w:tcPr>
            <w:tcW w:w="1560" w:type="dxa"/>
          </w:tcPr>
          <w:p>
            <w:pPr>
              <w:pStyle w:val="TableParagraph"/>
              <w:ind w:left="67" w:right="130"/>
              <w:rPr>
                <w:sz w:val="18"/>
              </w:rPr>
            </w:pPr>
            <w:r>
              <w:rPr>
                <w:sz w:val="18"/>
              </w:rPr>
              <w:t>Cantidad de Manuales de la </w:t>
            </w:r>
            <w:r>
              <w:rPr>
                <w:spacing w:val="-2"/>
                <w:sz w:val="18"/>
              </w:rPr>
              <w:t>estructura organizacional </w:t>
            </w:r>
            <w:r>
              <w:rPr>
                <w:sz w:val="18"/>
              </w:rPr>
              <w:t>del IMAS remitidos y</w:t>
            </w:r>
          </w:p>
          <w:p>
            <w:pPr>
              <w:pStyle w:val="TableParagraph"/>
              <w:spacing w:line="206" w:lineRule="exact"/>
              <w:ind w:left="67" w:right="58"/>
              <w:rPr>
                <w:sz w:val="18"/>
              </w:rPr>
            </w:pPr>
            <w:r>
              <w:rPr>
                <w:sz w:val="18"/>
              </w:rPr>
              <w:t>aprobador</w:t>
            </w:r>
            <w:r>
              <w:rPr>
                <w:spacing w:val="-15"/>
                <w:sz w:val="18"/>
              </w:rPr>
              <w:t> </w:t>
            </w:r>
            <w:r>
              <w:rPr>
                <w:sz w:val="18"/>
              </w:rPr>
              <w:t>por</w:t>
            </w:r>
            <w:r>
              <w:rPr>
                <w:spacing w:val="-12"/>
                <w:sz w:val="18"/>
              </w:rPr>
              <w:t> </w:t>
            </w:r>
            <w:r>
              <w:rPr>
                <w:sz w:val="18"/>
              </w:rPr>
              <w:t>el </w:t>
            </w:r>
            <w:r>
              <w:rPr>
                <w:spacing w:val="-6"/>
                <w:sz w:val="18"/>
              </w:rPr>
              <w:t>CD</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0" w:right="7"/>
              <w:jc w:val="center"/>
              <w:rPr>
                <w:sz w:val="18"/>
              </w:rPr>
            </w:pPr>
            <w:r>
              <w:rPr>
                <w:spacing w:val="-10"/>
                <w:sz w:val="18"/>
              </w:rPr>
              <w:t>1</w:t>
            </w:r>
          </w:p>
        </w:tc>
        <w:tc>
          <w:tcPr>
            <w:tcW w:w="1230" w:type="dxa"/>
          </w:tcPr>
          <w:p>
            <w:pPr>
              <w:pStyle w:val="TableParagraph"/>
              <w:rPr>
                <w:rFonts w:ascii="Times New Roman"/>
                <w:sz w:val="18"/>
              </w:rPr>
            </w:pPr>
          </w:p>
        </w:tc>
      </w:tr>
      <w:tr>
        <w:trPr>
          <w:trHeight w:val="1454" w:hRule="atLeast"/>
        </w:trPr>
        <w:tc>
          <w:tcPr>
            <w:tcW w:w="3092" w:type="dxa"/>
          </w:tcPr>
          <w:p>
            <w:pPr>
              <w:pStyle w:val="TableParagraph"/>
              <w:spacing w:before="3"/>
              <w:rPr>
                <w:b/>
                <w:sz w:val="18"/>
              </w:rPr>
            </w:pPr>
          </w:p>
          <w:p>
            <w:pPr>
              <w:pStyle w:val="TableParagraph"/>
              <w:ind w:left="72"/>
              <w:rPr>
                <w:sz w:val="18"/>
              </w:rPr>
            </w:pPr>
            <w:r>
              <w:rPr>
                <w:b/>
                <w:sz w:val="18"/>
              </w:rPr>
              <w:t>Actividad PAC 2.68.3: </w:t>
            </w:r>
            <w:r>
              <w:rPr>
                <w:sz w:val="18"/>
              </w:rPr>
              <w:t>Coordinar la divulgación</w:t>
            </w:r>
            <w:r>
              <w:rPr>
                <w:spacing w:val="-6"/>
                <w:sz w:val="18"/>
              </w:rPr>
              <w:t> </w:t>
            </w:r>
            <w:r>
              <w:rPr>
                <w:sz w:val="18"/>
              </w:rPr>
              <w:t>de</w:t>
            </w:r>
            <w:r>
              <w:rPr>
                <w:spacing w:val="-9"/>
                <w:sz w:val="18"/>
              </w:rPr>
              <w:t> </w:t>
            </w:r>
            <w:r>
              <w:rPr>
                <w:sz w:val="18"/>
              </w:rPr>
              <w:t>la</w:t>
            </w:r>
            <w:r>
              <w:rPr>
                <w:spacing w:val="-9"/>
                <w:sz w:val="18"/>
              </w:rPr>
              <w:t> </w:t>
            </w:r>
            <w:r>
              <w:rPr>
                <w:sz w:val="18"/>
              </w:rPr>
              <w:t>versión</w:t>
            </w:r>
            <w:r>
              <w:rPr>
                <w:spacing w:val="-9"/>
                <w:sz w:val="18"/>
              </w:rPr>
              <w:t> </w:t>
            </w:r>
            <w:r>
              <w:rPr>
                <w:sz w:val="18"/>
              </w:rPr>
              <w:t>actualizada del Manual de la Estructura Organizacional del IMAS entre la comunidad institucional</w:t>
            </w:r>
          </w:p>
        </w:tc>
        <w:tc>
          <w:tcPr>
            <w:tcW w:w="1560" w:type="dxa"/>
          </w:tcPr>
          <w:p>
            <w:pPr>
              <w:pStyle w:val="TableParagraph"/>
              <w:rPr>
                <w:b/>
                <w:sz w:val="18"/>
              </w:rPr>
            </w:pPr>
          </w:p>
          <w:p>
            <w:pPr>
              <w:pStyle w:val="TableParagraph"/>
              <w:spacing w:before="2"/>
              <w:rPr>
                <w:b/>
                <w:sz w:val="18"/>
              </w:rPr>
            </w:pPr>
          </w:p>
          <w:p>
            <w:pPr>
              <w:pStyle w:val="TableParagraph"/>
              <w:ind w:left="67" w:right="58"/>
              <w:rPr>
                <w:sz w:val="18"/>
              </w:rPr>
            </w:pPr>
            <w:r>
              <w:rPr>
                <w:sz w:val="18"/>
              </w:rPr>
              <w:t>Número de </w:t>
            </w:r>
            <w:r>
              <w:rPr>
                <w:spacing w:val="-2"/>
                <w:sz w:val="18"/>
              </w:rPr>
              <w:t>divulgaciones coordinadas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0" w:right="7"/>
              <w:jc w:val="center"/>
              <w:rPr>
                <w:sz w:val="18"/>
              </w:rPr>
            </w:pPr>
            <w:r>
              <w:rPr>
                <w:spacing w:val="-10"/>
                <w:sz w:val="18"/>
              </w:rPr>
              <w:t>1</w:t>
            </w:r>
          </w:p>
        </w:tc>
        <w:tc>
          <w:tcPr>
            <w:tcW w:w="1230" w:type="dxa"/>
          </w:tcPr>
          <w:p>
            <w:pPr>
              <w:pStyle w:val="TableParagraph"/>
              <w:rPr>
                <w:rFonts w:ascii="Times New Roman"/>
                <w:sz w:val="18"/>
              </w:rPr>
            </w:pPr>
          </w:p>
        </w:tc>
      </w:tr>
    </w:tbl>
    <w:p>
      <w:pPr>
        <w:pStyle w:val="TableParagraph"/>
        <w:spacing w:after="0"/>
        <w:rPr>
          <w:rFonts w:ascii="Times New Roman"/>
          <w:sz w:val="18"/>
        </w:rPr>
        <w:sectPr>
          <w:footerReference w:type="default" r:id="rId85"/>
          <w:pgSz w:w="15840" w:h="12240" w:orient="landscape"/>
          <w:pgMar w:header="0" w:footer="1806" w:top="700" w:bottom="2362" w:left="360" w:right="360"/>
          <w:pgNumType w:start="323"/>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585" w:hRule="atLeast"/>
        </w:trPr>
        <w:tc>
          <w:tcPr>
            <w:tcW w:w="14394" w:type="dxa"/>
            <w:gridSpan w:val="10"/>
            <w:shd w:val="clear" w:color="auto" w:fill="EFF8F9"/>
          </w:tcPr>
          <w:p>
            <w:pPr>
              <w:pStyle w:val="TableParagraph"/>
              <w:spacing w:before="85"/>
              <w:ind w:left="72"/>
              <w:rPr>
                <w:b/>
                <w:sz w:val="18"/>
              </w:rPr>
            </w:pPr>
            <w:r>
              <w:rPr>
                <w:b/>
                <w:sz w:val="18"/>
              </w:rPr>
              <w:t>Producto</w:t>
            </w:r>
            <w:r>
              <w:rPr>
                <w:b/>
                <w:spacing w:val="-5"/>
                <w:sz w:val="18"/>
              </w:rPr>
              <w:t> </w:t>
            </w:r>
            <w:r>
              <w:rPr>
                <w:b/>
                <w:sz w:val="18"/>
              </w:rPr>
              <w:t>PAC</w:t>
            </w:r>
            <w:r>
              <w:rPr>
                <w:b/>
                <w:spacing w:val="-6"/>
                <w:sz w:val="18"/>
              </w:rPr>
              <w:t> </w:t>
            </w:r>
            <w:r>
              <w:rPr>
                <w:b/>
                <w:sz w:val="18"/>
              </w:rPr>
              <w:t>2.69:</w:t>
            </w:r>
            <w:r>
              <w:rPr>
                <w:b/>
                <w:spacing w:val="-2"/>
                <w:sz w:val="18"/>
              </w:rPr>
              <w:t> </w:t>
            </w:r>
            <w:r>
              <w:rPr>
                <w:b/>
                <w:sz w:val="18"/>
              </w:rPr>
              <w:t>Indicadores</w:t>
            </w:r>
            <w:r>
              <w:rPr>
                <w:b/>
                <w:spacing w:val="-4"/>
                <w:sz w:val="18"/>
              </w:rPr>
              <w:t> </w:t>
            </w:r>
            <w:r>
              <w:rPr>
                <w:b/>
                <w:sz w:val="18"/>
              </w:rPr>
              <w:t>de</w:t>
            </w:r>
            <w:r>
              <w:rPr>
                <w:b/>
                <w:spacing w:val="-4"/>
                <w:sz w:val="18"/>
              </w:rPr>
              <w:t> </w:t>
            </w:r>
            <w:r>
              <w:rPr>
                <w:b/>
                <w:sz w:val="18"/>
              </w:rPr>
              <w:t>gestión</w:t>
            </w:r>
            <w:r>
              <w:rPr>
                <w:b/>
                <w:spacing w:val="-5"/>
                <w:sz w:val="18"/>
              </w:rPr>
              <w:t> </w:t>
            </w:r>
            <w:r>
              <w:rPr>
                <w:b/>
                <w:sz w:val="18"/>
              </w:rPr>
              <w:t>por</w:t>
            </w:r>
            <w:r>
              <w:rPr>
                <w:b/>
                <w:spacing w:val="-3"/>
                <w:sz w:val="18"/>
              </w:rPr>
              <w:t> </w:t>
            </w:r>
            <w:r>
              <w:rPr>
                <w:b/>
                <w:sz w:val="18"/>
              </w:rPr>
              <w:t>procesos</w:t>
            </w:r>
            <w:r>
              <w:rPr>
                <w:b/>
                <w:spacing w:val="-4"/>
                <w:sz w:val="18"/>
              </w:rPr>
              <w:t> </w:t>
            </w:r>
            <w:r>
              <w:rPr>
                <w:b/>
                <w:sz w:val="18"/>
              </w:rPr>
              <w:t>(KPIS)</w:t>
            </w:r>
            <w:r>
              <w:rPr>
                <w:b/>
                <w:spacing w:val="-2"/>
                <w:sz w:val="18"/>
              </w:rPr>
              <w:t> </w:t>
            </w:r>
            <w:r>
              <w:rPr>
                <w:b/>
                <w:sz w:val="18"/>
              </w:rPr>
              <w:t>definidos</w:t>
            </w:r>
            <w:r>
              <w:rPr>
                <w:b/>
                <w:spacing w:val="-4"/>
                <w:sz w:val="18"/>
              </w:rPr>
              <w:t> </w:t>
            </w:r>
            <w:r>
              <w:rPr>
                <w:b/>
                <w:sz w:val="18"/>
              </w:rPr>
              <w:t>y diseñados, para</w:t>
            </w:r>
            <w:r>
              <w:rPr>
                <w:b/>
                <w:spacing w:val="-4"/>
                <w:sz w:val="18"/>
              </w:rPr>
              <w:t> </w:t>
            </w:r>
            <w:r>
              <w:rPr>
                <w:b/>
                <w:sz w:val="18"/>
              </w:rPr>
              <w:t>medir</w:t>
            </w:r>
            <w:r>
              <w:rPr>
                <w:b/>
                <w:spacing w:val="-3"/>
                <w:sz w:val="18"/>
              </w:rPr>
              <w:t> </w:t>
            </w:r>
            <w:r>
              <w:rPr>
                <w:b/>
                <w:sz w:val="18"/>
              </w:rPr>
              <w:t>el cumplimiento de</w:t>
            </w:r>
            <w:r>
              <w:rPr>
                <w:b/>
                <w:spacing w:val="-4"/>
                <w:sz w:val="18"/>
              </w:rPr>
              <w:t> </w:t>
            </w:r>
            <w:r>
              <w:rPr>
                <w:b/>
                <w:sz w:val="18"/>
              </w:rPr>
              <w:t>las</w:t>
            </w:r>
            <w:r>
              <w:rPr>
                <w:b/>
                <w:spacing w:val="-9"/>
                <w:sz w:val="18"/>
              </w:rPr>
              <w:t> </w:t>
            </w:r>
            <w:r>
              <w:rPr>
                <w:b/>
                <w:sz w:val="18"/>
              </w:rPr>
              <w:t>metas de</w:t>
            </w:r>
            <w:r>
              <w:rPr>
                <w:b/>
                <w:spacing w:val="-4"/>
                <w:sz w:val="18"/>
              </w:rPr>
              <w:t> </w:t>
            </w:r>
            <w:r>
              <w:rPr>
                <w:b/>
                <w:sz w:val="18"/>
              </w:rPr>
              <w:t>cada uno</w:t>
            </w:r>
            <w:r>
              <w:rPr>
                <w:b/>
                <w:spacing w:val="-5"/>
                <w:sz w:val="18"/>
              </w:rPr>
              <w:t> </w:t>
            </w:r>
            <w:r>
              <w:rPr>
                <w:b/>
                <w:sz w:val="18"/>
              </w:rPr>
              <w:t>de</w:t>
            </w:r>
            <w:r>
              <w:rPr>
                <w:b/>
                <w:spacing w:val="-4"/>
                <w:sz w:val="18"/>
              </w:rPr>
              <w:t> </w:t>
            </w:r>
            <w:r>
              <w:rPr>
                <w:b/>
                <w:sz w:val="18"/>
              </w:rPr>
              <w:t>los procesos institucionales. E1 AE3 R4 (60%)</w:t>
            </w:r>
          </w:p>
        </w:tc>
      </w:tr>
      <w:tr>
        <w:trPr>
          <w:trHeight w:val="1468" w:hRule="atLeast"/>
        </w:trPr>
        <w:tc>
          <w:tcPr>
            <w:tcW w:w="3092" w:type="dxa"/>
          </w:tcPr>
          <w:p>
            <w:pPr>
              <w:pStyle w:val="TableParagraph"/>
              <w:spacing w:before="8"/>
              <w:rPr>
                <w:b/>
                <w:sz w:val="18"/>
              </w:rPr>
            </w:pPr>
          </w:p>
          <w:p>
            <w:pPr>
              <w:pStyle w:val="TableParagraph"/>
              <w:ind w:left="72" w:right="99"/>
              <w:rPr>
                <w:sz w:val="18"/>
              </w:rPr>
            </w:pPr>
            <w:r>
              <w:rPr>
                <w:b/>
                <w:sz w:val="18"/>
              </w:rPr>
              <w:t>Actividad PAC 2.69.1: </w:t>
            </w:r>
            <w:r>
              <w:rPr>
                <w:sz w:val="18"/>
              </w:rPr>
              <w:t>Identificar y diseñar los indicadores de gestión por procesos para cada una de las unidades</w:t>
            </w:r>
            <w:r>
              <w:rPr>
                <w:spacing w:val="-12"/>
                <w:sz w:val="18"/>
              </w:rPr>
              <w:t> </w:t>
            </w:r>
            <w:r>
              <w:rPr>
                <w:sz w:val="18"/>
              </w:rPr>
              <w:t>con</w:t>
            </w:r>
            <w:r>
              <w:rPr>
                <w:spacing w:val="-12"/>
                <w:sz w:val="18"/>
              </w:rPr>
              <w:t> </w:t>
            </w:r>
            <w:r>
              <w:rPr>
                <w:sz w:val="18"/>
              </w:rPr>
              <w:t>relaciones</w:t>
            </w:r>
            <w:r>
              <w:rPr>
                <w:spacing w:val="-12"/>
                <w:sz w:val="18"/>
              </w:rPr>
              <w:t> </w:t>
            </w:r>
            <w:r>
              <w:rPr>
                <w:sz w:val="18"/>
              </w:rPr>
              <w:t>funcionales </w:t>
            </w:r>
            <w:r>
              <w:rPr>
                <w:spacing w:val="-2"/>
                <w:sz w:val="18"/>
              </w:rPr>
              <w:t>identificadas</w:t>
            </w:r>
          </w:p>
        </w:tc>
        <w:tc>
          <w:tcPr>
            <w:tcW w:w="1560" w:type="dxa"/>
          </w:tcPr>
          <w:p>
            <w:pPr>
              <w:pStyle w:val="TableParagraph"/>
              <w:spacing w:before="8"/>
              <w:ind w:left="67" w:right="58"/>
              <w:rPr>
                <w:sz w:val="18"/>
              </w:rPr>
            </w:pPr>
            <w:r>
              <w:rPr>
                <w:sz w:val="18"/>
              </w:rPr>
              <w:t>Cantidad de unidades con </w:t>
            </w:r>
            <w:r>
              <w:rPr>
                <w:spacing w:val="-2"/>
                <w:sz w:val="18"/>
              </w:rPr>
              <w:t>indicadores </w:t>
            </w:r>
            <w:r>
              <w:rPr>
                <w:sz w:val="18"/>
              </w:rPr>
              <w:t>identificados</w:t>
            </w:r>
            <w:r>
              <w:rPr>
                <w:spacing w:val="-13"/>
                <w:sz w:val="18"/>
              </w:rPr>
              <w:t> </w:t>
            </w:r>
            <w:r>
              <w:rPr>
                <w:sz w:val="18"/>
              </w:rPr>
              <w:t>de gestión por</w:t>
            </w:r>
          </w:p>
          <w:p>
            <w:pPr>
              <w:pStyle w:val="TableParagraph"/>
              <w:spacing w:line="206" w:lineRule="exact"/>
              <w:ind w:left="67" w:right="605"/>
              <w:rPr>
                <w:sz w:val="18"/>
              </w:rPr>
            </w:pPr>
            <w:r>
              <w:rPr>
                <w:sz w:val="18"/>
              </w:rPr>
              <w:t>procesos</w:t>
            </w:r>
            <w:r>
              <w:rPr>
                <w:spacing w:val="-13"/>
                <w:sz w:val="18"/>
              </w:rPr>
              <w:t> </w:t>
            </w:r>
            <w:r>
              <w:rPr>
                <w:sz w:val="18"/>
              </w:rPr>
              <w:t>y </w:t>
            </w:r>
            <w:r>
              <w:rPr>
                <w:spacing w:val="-2"/>
                <w:sz w:val="18"/>
              </w:rPr>
              <w:t>diseñados</w:t>
            </w:r>
          </w:p>
        </w:tc>
        <w:tc>
          <w:tcPr>
            <w:tcW w:w="1181" w:type="dxa"/>
          </w:tcPr>
          <w:p>
            <w:pPr>
              <w:pStyle w:val="TableParagraph"/>
              <w:rPr>
                <w:b/>
                <w:sz w:val="18"/>
              </w:rPr>
            </w:pPr>
          </w:p>
          <w:p>
            <w:pPr>
              <w:pStyle w:val="TableParagraph"/>
              <w:rPr>
                <w:b/>
                <w:sz w:val="18"/>
              </w:rPr>
            </w:pPr>
          </w:p>
          <w:p>
            <w:pPr>
              <w:pStyle w:val="TableParagraph"/>
              <w:spacing w:before="12"/>
              <w:rPr>
                <w:b/>
                <w:sz w:val="18"/>
              </w:rPr>
            </w:pPr>
          </w:p>
          <w:p>
            <w:pPr>
              <w:pStyle w:val="TableParagraph"/>
              <w:ind w:left="28" w:right="21"/>
              <w:jc w:val="center"/>
              <w:rPr>
                <w:sz w:val="18"/>
              </w:rPr>
            </w:pPr>
            <w:r>
              <w:rPr>
                <w:spacing w:val="-10"/>
                <w:sz w:val="18"/>
              </w:rPr>
              <w:t>3</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12"/>
              <w:rPr>
                <w:b/>
                <w:sz w:val="18"/>
              </w:rPr>
            </w:pPr>
          </w:p>
          <w:p>
            <w:pPr>
              <w:pStyle w:val="TableParagraph"/>
              <w:ind w:left="19" w:right="2"/>
              <w:jc w:val="center"/>
              <w:rPr>
                <w:sz w:val="18"/>
              </w:rPr>
            </w:pPr>
            <w:r>
              <w:rPr>
                <w:spacing w:val="-10"/>
                <w:sz w:val="18"/>
              </w:rPr>
              <w:t>6</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2"/>
              <w:rPr>
                <w:b/>
                <w:sz w:val="18"/>
              </w:rPr>
            </w:pPr>
          </w:p>
          <w:p>
            <w:pPr>
              <w:pStyle w:val="TableParagraph"/>
              <w:ind w:left="28" w:right="11"/>
              <w:jc w:val="center"/>
              <w:rPr>
                <w:sz w:val="18"/>
              </w:rPr>
            </w:pPr>
            <w:r>
              <w:rPr>
                <w:spacing w:val="-10"/>
                <w:sz w:val="18"/>
              </w:rPr>
              <w:t>9</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12"/>
              <w:rPr>
                <w:b/>
                <w:sz w:val="18"/>
              </w:rPr>
            </w:pPr>
          </w:p>
          <w:p>
            <w:pPr>
              <w:pStyle w:val="TableParagraph"/>
              <w:ind w:left="20" w:right="3"/>
              <w:jc w:val="center"/>
              <w:rPr>
                <w:sz w:val="18"/>
              </w:rPr>
            </w:pPr>
            <w:r>
              <w:rPr>
                <w:spacing w:val="-5"/>
                <w:sz w:val="18"/>
              </w:rPr>
              <w:t>10</w:t>
            </w:r>
          </w:p>
        </w:tc>
        <w:tc>
          <w:tcPr>
            <w:tcW w:w="1230" w:type="dxa"/>
          </w:tcPr>
          <w:p>
            <w:pPr>
              <w:pStyle w:val="TableParagraph"/>
              <w:rPr>
                <w:rFonts w:ascii="Times New Roman"/>
                <w:sz w:val="18"/>
              </w:rPr>
            </w:pPr>
          </w:p>
        </w:tc>
      </w:tr>
      <w:tr>
        <w:trPr>
          <w:trHeight w:val="1171" w:hRule="atLeast"/>
        </w:trPr>
        <w:tc>
          <w:tcPr>
            <w:tcW w:w="3092" w:type="dxa"/>
          </w:tcPr>
          <w:p>
            <w:pPr>
              <w:pStyle w:val="TableParagraph"/>
              <w:spacing w:before="172"/>
              <w:ind w:left="72" w:right="99"/>
              <w:rPr>
                <w:sz w:val="18"/>
              </w:rPr>
            </w:pPr>
            <w:r>
              <w:rPr>
                <w:b/>
                <w:sz w:val="18"/>
              </w:rPr>
              <w:t>Actividad</w:t>
            </w:r>
            <w:r>
              <w:rPr>
                <w:b/>
                <w:spacing w:val="-13"/>
                <w:sz w:val="18"/>
              </w:rPr>
              <w:t> </w:t>
            </w:r>
            <w:r>
              <w:rPr>
                <w:b/>
                <w:sz w:val="18"/>
              </w:rPr>
              <w:t>PAC</w:t>
            </w:r>
            <w:r>
              <w:rPr>
                <w:b/>
                <w:spacing w:val="-12"/>
                <w:sz w:val="18"/>
              </w:rPr>
              <w:t> </w:t>
            </w:r>
            <w:r>
              <w:rPr>
                <w:b/>
                <w:sz w:val="18"/>
              </w:rPr>
              <w:t>2.69.2</w:t>
            </w:r>
            <w:r>
              <w:rPr>
                <w:sz w:val="18"/>
              </w:rPr>
              <w:t>:</w:t>
            </w:r>
            <w:r>
              <w:rPr>
                <w:spacing w:val="-8"/>
                <w:sz w:val="18"/>
              </w:rPr>
              <w:t> </w:t>
            </w:r>
            <w:r>
              <w:rPr>
                <w:sz w:val="18"/>
              </w:rPr>
              <w:t>Elaborar fichas de descripción de los indicadores en conjunto con las unidades identificadas</w:t>
            </w:r>
          </w:p>
        </w:tc>
        <w:tc>
          <w:tcPr>
            <w:tcW w:w="1560" w:type="dxa"/>
          </w:tcPr>
          <w:p>
            <w:pPr>
              <w:pStyle w:val="TableParagraph"/>
              <w:spacing w:before="172"/>
              <w:ind w:left="67" w:right="65"/>
              <w:rPr>
                <w:sz w:val="18"/>
              </w:rPr>
            </w:pPr>
            <w:r>
              <w:rPr>
                <w:sz w:val="18"/>
              </w:rPr>
              <w:t>Número</w:t>
            </w:r>
            <w:r>
              <w:rPr>
                <w:spacing w:val="-15"/>
                <w:sz w:val="18"/>
              </w:rPr>
              <w:t> </w:t>
            </w:r>
            <w:r>
              <w:rPr>
                <w:sz w:val="18"/>
              </w:rPr>
              <w:t>de</w:t>
            </w:r>
            <w:r>
              <w:rPr>
                <w:spacing w:val="-12"/>
                <w:sz w:val="18"/>
              </w:rPr>
              <w:t> </w:t>
            </w:r>
            <w:r>
              <w:rPr>
                <w:sz w:val="18"/>
              </w:rPr>
              <w:t>fichas de descripción</w:t>
            </w:r>
            <w:r>
              <w:rPr>
                <w:spacing w:val="40"/>
                <w:sz w:val="18"/>
              </w:rPr>
              <w:t> </w:t>
            </w:r>
            <w:r>
              <w:rPr>
                <w:sz w:val="18"/>
              </w:rPr>
              <w:t>del indicador </w:t>
            </w:r>
            <w:r>
              <w:rPr>
                <w:spacing w:val="-2"/>
                <w:sz w:val="18"/>
              </w:rPr>
              <w:t>elaboradas</w:t>
            </w:r>
          </w:p>
        </w:tc>
        <w:tc>
          <w:tcPr>
            <w:tcW w:w="1181" w:type="dxa"/>
          </w:tcPr>
          <w:p>
            <w:pPr>
              <w:pStyle w:val="TableParagraph"/>
              <w:rPr>
                <w:b/>
                <w:sz w:val="18"/>
              </w:rPr>
            </w:pPr>
          </w:p>
          <w:p>
            <w:pPr>
              <w:pStyle w:val="TableParagraph"/>
              <w:spacing w:before="70"/>
              <w:rPr>
                <w:b/>
                <w:sz w:val="18"/>
              </w:rPr>
            </w:pPr>
          </w:p>
          <w:p>
            <w:pPr>
              <w:pStyle w:val="TableParagraph"/>
              <w:ind w:left="28" w:right="21"/>
              <w:jc w:val="center"/>
              <w:rPr>
                <w:sz w:val="18"/>
              </w:rPr>
            </w:pPr>
            <w:r>
              <w:rPr>
                <w:spacing w:val="-10"/>
                <w:sz w:val="18"/>
              </w:rPr>
              <w:t>3</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70"/>
              <w:rPr>
                <w:b/>
                <w:sz w:val="18"/>
              </w:rPr>
            </w:pPr>
          </w:p>
          <w:p>
            <w:pPr>
              <w:pStyle w:val="TableParagraph"/>
              <w:ind w:left="19" w:right="2"/>
              <w:jc w:val="center"/>
              <w:rPr>
                <w:sz w:val="18"/>
              </w:rPr>
            </w:pPr>
            <w:r>
              <w:rPr>
                <w:spacing w:val="-10"/>
                <w:sz w:val="18"/>
              </w:rPr>
              <w:t>6</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70"/>
              <w:rPr>
                <w:b/>
                <w:sz w:val="18"/>
              </w:rPr>
            </w:pPr>
          </w:p>
          <w:p>
            <w:pPr>
              <w:pStyle w:val="TableParagraph"/>
              <w:ind w:left="28" w:right="11"/>
              <w:jc w:val="center"/>
              <w:rPr>
                <w:sz w:val="18"/>
              </w:rPr>
            </w:pPr>
            <w:r>
              <w:rPr>
                <w:spacing w:val="-10"/>
                <w:sz w:val="18"/>
              </w:rPr>
              <w:t>9</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70"/>
              <w:rPr>
                <w:b/>
                <w:sz w:val="18"/>
              </w:rPr>
            </w:pPr>
          </w:p>
          <w:p>
            <w:pPr>
              <w:pStyle w:val="TableParagraph"/>
              <w:ind w:left="20" w:right="3"/>
              <w:jc w:val="center"/>
              <w:rPr>
                <w:sz w:val="18"/>
              </w:rPr>
            </w:pPr>
            <w:r>
              <w:rPr>
                <w:spacing w:val="-5"/>
                <w:sz w:val="18"/>
              </w:rPr>
              <w:t>10</w:t>
            </w:r>
          </w:p>
        </w:tc>
        <w:tc>
          <w:tcPr>
            <w:tcW w:w="1230" w:type="dxa"/>
          </w:tcPr>
          <w:p>
            <w:pPr>
              <w:pStyle w:val="TableParagraph"/>
              <w:rPr>
                <w:rFonts w:ascii="Times New Roman"/>
                <w:sz w:val="18"/>
              </w:rPr>
            </w:pPr>
          </w:p>
        </w:tc>
      </w:tr>
      <w:tr>
        <w:trPr>
          <w:trHeight w:val="1171" w:hRule="atLeast"/>
        </w:trPr>
        <w:tc>
          <w:tcPr>
            <w:tcW w:w="3092" w:type="dxa"/>
          </w:tcPr>
          <w:p>
            <w:pPr>
              <w:pStyle w:val="TableParagraph"/>
              <w:spacing w:before="65"/>
              <w:rPr>
                <w:b/>
                <w:sz w:val="18"/>
              </w:rPr>
            </w:pPr>
          </w:p>
          <w:p>
            <w:pPr>
              <w:pStyle w:val="TableParagraph"/>
              <w:spacing w:line="242" w:lineRule="auto" w:before="1"/>
              <w:ind w:left="72" w:right="203"/>
              <w:jc w:val="both"/>
              <w:rPr>
                <w:sz w:val="18"/>
              </w:rPr>
            </w:pPr>
            <w:r>
              <w:rPr>
                <w:b/>
                <w:sz w:val="18"/>
              </w:rPr>
              <w:t>Actividad</w:t>
            </w:r>
            <w:r>
              <w:rPr>
                <w:b/>
                <w:spacing w:val="-13"/>
                <w:sz w:val="18"/>
              </w:rPr>
              <w:t> </w:t>
            </w:r>
            <w:r>
              <w:rPr>
                <w:b/>
                <w:sz w:val="18"/>
              </w:rPr>
              <w:t>PAC</w:t>
            </w:r>
            <w:r>
              <w:rPr>
                <w:b/>
                <w:spacing w:val="-9"/>
                <w:sz w:val="18"/>
              </w:rPr>
              <w:t> </w:t>
            </w:r>
            <w:r>
              <w:rPr>
                <w:b/>
                <w:sz w:val="18"/>
              </w:rPr>
              <w:t>2.69.3:</w:t>
            </w:r>
            <w:r>
              <w:rPr>
                <w:b/>
                <w:spacing w:val="-4"/>
                <w:sz w:val="18"/>
              </w:rPr>
              <w:t> </w:t>
            </w:r>
            <w:r>
              <w:rPr>
                <w:sz w:val="18"/>
              </w:rPr>
              <w:t>Validar</w:t>
            </w:r>
            <w:r>
              <w:rPr>
                <w:spacing w:val="-10"/>
                <w:sz w:val="18"/>
              </w:rPr>
              <w:t> </w:t>
            </w:r>
            <w:r>
              <w:rPr>
                <w:sz w:val="18"/>
              </w:rPr>
              <w:t>con las unidades</w:t>
            </w:r>
            <w:r>
              <w:rPr>
                <w:spacing w:val="-1"/>
                <w:sz w:val="18"/>
              </w:rPr>
              <w:t> </w:t>
            </w:r>
            <w:r>
              <w:rPr>
                <w:sz w:val="18"/>
              </w:rPr>
              <w:t>de</w:t>
            </w:r>
            <w:r>
              <w:rPr>
                <w:spacing w:val="-1"/>
                <w:sz w:val="18"/>
              </w:rPr>
              <w:t> </w:t>
            </w:r>
            <w:r>
              <w:rPr>
                <w:sz w:val="18"/>
              </w:rPr>
              <w:t>los</w:t>
            </w:r>
            <w:r>
              <w:rPr>
                <w:spacing w:val="-1"/>
                <w:sz w:val="18"/>
              </w:rPr>
              <w:t> </w:t>
            </w:r>
            <w:r>
              <w:rPr>
                <w:sz w:val="18"/>
              </w:rPr>
              <w:t>indicadores</w:t>
            </w:r>
            <w:r>
              <w:rPr>
                <w:spacing w:val="-1"/>
                <w:sz w:val="18"/>
              </w:rPr>
              <w:t> </w:t>
            </w:r>
            <w:r>
              <w:rPr>
                <w:sz w:val="18"/>
              </w:rPr>
              <w:t>de gestión definidos para cada una</w:t>
            </w:r>
          </w:p>
        </w:tc>
        <w:tc>
          <w:tcPr>
            <w:tcW w:w="1560" w:type="dxa"/>
          </w:tcPr>
          <w:p>
            <w:pPr>
              <w:pStyle w:val="TableParagraph"/>
              <w:spacing w:before="172"/>
              <w:ind w:left="67" w:right="365"/>
              <w:rPr>
                <w:sz w:val="18"/>
              </w:rPr>
            </w:pPr>
            <w:r>
              <w:rPr>
                <w:sz w:val="18"/>
              </w:rPr>
              <w:t>Porcentaje</w:t>
            </w:r>
            <w:r>
              <w:rPr>
                <w:spacing w:val="-13"/>
                <w:sz w:val="18"/>
              </w:rPr>
              <w:t> </w:t>
            </w:r>
            <w:r>
              <w:rPr>
                <w:sz w:val="18"/>
              </w:rPr>
              <w:t>de unidades con </w:t>
            </w:r>
            <w:r>
              <w:rPr>
                <w:spacing w:val="-2"/>
                <w:sz w:val="18"/>
              </w:rPr>
              <w:t>indicadores validados</w:t>
            </w:r>
          </w:p>
        </w:tc>
        <w:tc>
          <w:tcPr>
            <w:tcW w:w="1181" w:type="dxa"/>
          </w:tcPr>
          <w:p>
            <w:pPr>
              <w:pStyle w:val="TableParagraph"/>
              <w:rPr>
                <w:b/>
                <w:sz w:val="18"/>
              </w:rPr>
            </w:pPr>
          </w:p>
          <w:p>
            <w:pPr>
              <w:pStyle w:val="TableParagraph"/>
              <w:spacing w:before="70"/>
              <w:rPr>
                <w:b/>
                <w:sz w:val="18"/>
              </w:rPr>
            </w:pPr>
          </w:p>
          <w:p>
            <w:pPr>
              <w:pStyle w:val="TableParagraph"/>
              <w:ind w:left="28" w:right="20"/>
              <w:jc w:val="center"/>
              <w:rPr>
                <w:sz w:val="18"/>
              </w:rPr>
            </w:pPr>
            <w:r>
              <w:rPr>
                <w:spacing w:val="-5"/>
                <w:sz w:val="18"/>
              </w:rPr>
              <w:t>25%</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70"/>
              <w:rPr>
                <w:b/>
                <w:sz w:val="18"/>
              </w:rPr>
            </w:pPr>
          </w:p>
          <w:p>
            <w:pPr>
              <w:pStyle w:val="TableParagraph"/>
              <w:ind w:left="19"/>
              <w:jc w:val="center"/>
              <w:rPr>
                <w:sz w:val="18"/>
              </w:rPr>
            </w:pPr>
            <w:r>
              <w:rPr>
                <w:spacing w:val="-5"/>
                <w:sz w:val="18"/>
              </w:rPr>
              <w:t>50%</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70"/>
              <w:rPr>
                <w:b/>
                <w:sz w:val="18"/>
              </w:rPr>
            </w:pPr>
          </w:p>
          <w:p>
            <w:pPr>
              <w:pStyle w:val="TableParagraph"/>
              <w:ind w:left="28" w:right="8"/>
              <w:jc w:val="center"/>
              <w:rPr>
                <w:sz w:val="18"/>
              </w:rPr>
            </w:pPr>
            <w:r>
              <w:rPr>
                <w:spacing w:val="-5"/>
                <w:sz w:val="18"/>
              </w:rPr>
              <w:t>75%</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70"/>
              <w:rPr>
                <w:b/>
                <w:sz w:val="18"/>
              </w:rPr>
            </w:pPr>
          </w:p>
          <w:p>
            <w:pPr>
              <w:pStyle w:val="TableParagraph"/>
              <w:ind w:left="20"/>
              <w:jc w:val="center"/>
              <w:rPr>
                <w:sz w:val="18"/>
              </w:rPr>
            </w:pPr>
            <w:r>
              <w:rPr>
                <w:spacing w:val="-4"/>
                <w:sz w:val="18"/>
              </w:rPr>
              <w:t>100%</w:t>
            </w:r>
          </w:p>
        </w:tc>
        <w:tc>
          <w:tcPr>
            <w:tcW w:w="1230" w:type="dxa"/>
          </w:tcPr>
          <w:p>
            <w:pPr>
              <w:pStyle w:val="TableParagraph"/>
              <w:rPr>
                <w:rFonts w:ascii="Times New Roman"/>
                <w:sz w:val="18"/>
              </w:rPr>
            </w:pPr>
          </w:p>
        </w:tc>
      </w:tr>
      <w:tr>
        <w:trPr>
          <w:trHeight w:val="360" w:hRule="atLeast"/>
        </w:trPr>
        <w:tc>
          <w:tcPr>
            <w:tcW w:w="14394" w:type="dxa"/>
            <w:gridSpan w:val="10"/>
            <w:shd w:val="clear" w:color="auto" w:fill="EFF8F9"/>
          </w:tcPr>
          <w:p>
            <w:pPr>
              <w:pStyle w:val="TableParagraph"/>
              <w:spacing w:before="76"/>
              <w:ind w:left="72"/>
              <w:rPr>
                <w:b/>
                <w:sz w:val="18"/>
              </w:rPr>
            </w:pPr>
            <w:r>
              <w:rPr>
                <w:b/>
                <w:sz w:val="18"/>
              </w:rPr>
              <w:t>Producto</w:t>
            </w:r>
            <w:r>
              <w:rPr>
                <w:b/>
                <w:spacing w:val="-8"/>
                <w:sz w:val="18"/>
              </w:rPr>
              <w:t> </w:t>
            </w:r>
            <w:r>
              <w:rPr>
                <w:b/>
                <w:sz w:val="18"/>
              </w:rPr>
              <w:t>PAC</w:t>
            </w:r>
            <w:r>
              <w:rPr>
                <w:b/>
                <w:spacing w:val="-8"/>
                <w:sz w:val="18"/>
              </w:rPr>
              <w:t> </w:t>
            </w:r>
            <w:r>
              <w:rPr>
                <w:b/>
                <w:sz w:val="18"/>
              </w:rPr>
              <w:t>2.70:</w:t>
            </w:r>
            <w:r>
              <w:rPr>
                <w:b/>
                <w:spacing w:val="-4"/>
                <w:sz w:val="18"/>
              </w:rPr>
              <w:t> </w:t>
            </w:r>
            <w:r>
              <w:rPr>
                <w:b/>
                <w:sz w:val="18"/>
              </w:rPr>
              <w:t>Personas</w:t>
            </w:r>
            <w:r>
              <w:rPr>
                <w:b/>
                <w:spacing w:val="-6"/>
                <w:sz w:val="18"/>
              </w:rPr>
              <w:t> </w:t>
            </w:r>
            <w:r>
              <w:rPr>
                <w:b/>
                <w:sz w:val="18"/>
              </w:rPr>
              <w:t>funcionarias</w:t>
            </w:r>
            <w:r>
              <w:rPr>
                <w:b/>
                <w:spacing w:val="-6"/>
                <w:sz w:val="18"/>
              </w:rPr>
              <w:t> </w:t>
            </w:r>
            <w:r>
              <w:rPr>
                <w:b/>
                <w:sz w:val="18"/>
              </w:rPr>
              <w:t>de</w:t>
            </w:r>
            <w:r>
              <w:rPr>
                <w:b/>
                <w:spacing w:val="-7"/>
                <w:sz w:val="18"/>
              </w:rPr>
              <w:t> </w:t>
            </w:r>
            <w:r>
              <w:rPr>
                <w:b/>
                <w:sz w:val="18"/>
              </w:rPr>
              <w:t>la</w:t>
            </w:r>
            <w:r>
              <w:rPr>
                <w:b/>
                <w:spacing w:val="-6"/>
                <w:sz w:val="18"/>
              </w:rPr>
              <w:t> </w:t>
            </w:r>
            <w:r>
              <w:rPr>
                <w:b/>
                <w:sz w:val="18"/>
              </w:rPr>
              <w:t>institución</w:t>
            </w:r>
            <w:r>
              <w:rPr>
                <w:b/>
                <w:spacing w:val="-2"/>
                <w:sz w:val="18"/>
              </w:rPr>
              <w:t> </w:t>
            </w:r>
            <w:r>
              <w:rPr>
                <w:b/>
                <w:sz w:val="18"/>
              </w:rPr>
              <w:t>capacitadas</w:t>
            </w:r>
            <w:r>
              <w:rPr>
                <w:b/>
                <w:spacing w:val="-6"/>
                <w:sz w:val="18"/>
              </w:rPr>
              <w:t> </w:t>
            </w:r>
            <w:r>
              <w:rPr>
                <w:b/>
                <w:sz w:val="18"/>
              </w:rPr>
              <w:t>y</w:t>
            </w:r>
            <w:r>
              <w:rPr>
                <w:b/>
                <w:spacing w:val="-7"/>
                <w:sz w:val="18"/>
              </w:rPr>
              <w:t> </w:t>
            </w:r>
            <w:r>
              <w:rPr>
                <w:b/>
                <w:sz w:val="18"/>
              </w:rPr>
              <w:t>aplicando</w:t>
            </w:r>
            <w:r>
              <w:rPr>
                <w:b/>
                <w:spacing w:val="-10"/>
                <w:sz w:val="18"/>
              </w:rPr>
              <w:t> </w:t>
            </w:r>
            <w:r>
              <w:rPr>
                <w:b/>
                <w:sz w:val="18"/>
              </w:rPr>
              <w:t>la</w:t>
            </w:r>
            <w:r>
              <w:rPr>
                <w:b/>
                <w:spacing w:val="-7"/>
                <w:sz w:val="18"/>
              </w:rPr>
              <w:t> </w:t>
            </w:r>
            <w:r>
              <w:rPr>
                <w:b/>
                <w:sz w:val="18"/>
              </w:rPr>
              <w:t>metodología</w:t>
            </w:r>
            <w:r>
              <w:rPr>
                <w:b/>
                <w:spacing w:val="-6"/>
                <w:sz w:val="18"/>
              </w:rPr>
              <w:t> </w:t>
            </w:r>
            <w:r>
              <w:rPr>
                <w:b/>
                <w:sz w:val="18"/>
              </w:rPr>
              <w:t>de</w:t>
            </w:r>
            <w:r>
              <w:rPr>
                <w:b/>
                <w:spacing w:val="-6"/>
                <w:sz w:val="18"/>
              </w:rPr>
              <w:t> </w:t>
            </w:r>
            <w:r>
              <w:rPr>
                <w:b/>
                <w:sz w:val="18"/>
              </w:rPr>
              <w:t>gestión</w:t>
            </w:r>
            <w:r>
              <w:rPr>
                <w:b/>
                <w:spacing w:val="-3"/>
                <w:sz w:val="18"/>
              </w:rPr>
              <w:t> </w:t>
            </w:r>
            <w:r>
              <w:rPr>
                <w:b/>
                <w:sz w:val="18"/>
              </w:rPr>
              <w:t>por procesos. E1</w:t>
            </w:r>
            <w:r>
              <w:rPr>
                <w:b/>
                <w:spacing w:val="8"/>
                <w:sz w:val="18"/>
              </w:rPr>
              <w:t> </w:t>
            </w:r>
            <w:r>
              <w:rPr>
                <w:b/>
                <w:sz w:val="18"/>
              </w:rPr>
              <w:t>AE3</w:t>
            </w:r>
            <w:r>
              <w:rPr>
                <w:b/>
                <w:spacing w:val="-6"/>
                <w:sz w:val="18"/>
              </w:rPr>
              <w:t> </w:t>
            </w:r>
            <w:r>
              <w:rPr>
                <w:b/>
                <w:sz w:val="18"/>
              </w:rPr>
              <w:t>R5</w:t>
            </w:r>
            <w:r>
              <w:rPr>
                <w:b/>
                <w:spacing w:val="-6"/>
                <w:sz w:val="18"/>
              </w:rPr>
              <w:t> </w:t>
            </w:r>
            <w:r>
              <w:rPr>
                <w:b/>
                <w:spacing w:val="-2"/>
                <w:sz w:val="18"/>
              </w:rPr>
              <w:t>(60%)</w:t>
            </w:r>
          </w:p>
        </w:tc>
      </w:tr>
      <w:tr>
        <w:trPr>
          <w:trHeight w:val="1517" w:hRule="atLeast"/>
        </w:trPr>
        <w:tc>
          <w:tcPr>
            <w:tcW w:w="3092" w:type="dxa"/>
          </w:tcPr>
          <w:p>
            <w:pPr>
              <w:pStyle w:val="TableParagraph"/>
              <w:spacing w:before="138"/>
              <w:ind w:left="72" w:right="99"/>
              <w:rPr>
                <w:sz w:val="18"/>
              </w:rPr>
            </w:pPr>
            <w:r>
              <w:rPr>
                <w:b/>
                <w:sz w:val="18"/>
              </w:rPr>
              <w:t>Actividad PAC 2.70.1</w:t>
            </w:r>
            <w:r>
              <w:rPr>
                <w:sz w:val="18"/>
              </w:rPr>
              <w:t>: Coordinar con DH el diseño del módulo de capacitación en la metodología de gestión por procesos, dentro de la herramienta</w:t>
            </w:r>
            <w:r>
              <w:rPr>
                <w:spacing w:val="-12"/>
                <w:sz w:val="18"/>
              </w:rPr>
              <w:t> </w:t>
            </w:r>
            <w:r>
              <w:rPr>
                <w:sz w:val="18"/>
              </w:rPr>
              <w:t>de</w:t>
            </w:r>
            <w:r>
              <w:rPr>
                <w:spacing w:val="-12"/>
                <w:sz w:val="18"/>
              </w:rPr>
              <w:t> </w:t>
            </w:r>
            <w:r>
              <w:rPr>
                <w:sz w:val="18"/>
              </w:rPr>
              <w:t>autoaprendizaje</w:t>
            </w:r>
            <w:r>
              <w:rPr>
                <w:spacing w:val="-9"/>
                <w:sz w:val="18"/>
              </w:rPr>
              <w:t> </w:t>
            </w:r>
            <w:r>
              <w:rPr>
                <w:sz w:val="18"/>
              </w:rPr>
              <w:t>del </w:t>
            </w:r>
            <w:r>
              <w:rPr>
                <w:spacing w:val="-4"/>
                <w:sz w:val="18"/>
              </w:rPr>
              <w:t>IMAS</w:t>
            </w:r>
          </w:p>
        </w:tc>
        <w:tc>
          <w:tcPr>
            <w:tcW w:w="1560" w:type="dxa"/>
          </w:tcPr>
          <w:p>
            <w:pPr>
              <w:pStyle w:val="TableParagraph"/>
              <w:spacing w:before="31"/>
              <w:rPr>
                <w:b/>
                <w:sz w:val="18"/>
              </w:rPr>
            </w:pPr>
          </w:p>
          <w:p>
            <w:pPr>
              <w:pStyle w:val="TableParagraph"/>
              <w:spacing w:before="1"/>
              <w:ind w:left="67" w:right="365"/>
              <w:rPr>
                <w:sz w:val="18"/>
              </w:rPr>
            </w:pPr>
            <w:r>
              <w:rPr>
                <w:sz w:val="18"/>
              </w:rPr>
              <w:t>Porcentaje</w:t>
            </w:r>
            <w:r>
              <w:rPr>
                <w:spacing w:val="-13"/>
                <w:sz w:val="18"/>
              </w:rPr>
              <w:t> </w:t>
            </w:r>
            <w:r>
              <w:rPr>
                <w:sz w:val="18"/>
              </w:rPr>
              <w:t>de avance en el diseño del módulo de </w:t>
            </w:r>
            <w:r>
              <w:rPr>
                <w:spacing w:val="-2"/>
                <w:sz w:val="18"/>
              </w:rPr>
              <w:t>capacitación</w:t>
            </w:r>
          </w:p>
        </w:tc>
        <w:tc>
          <w:tcPr>
            <w:tcW w:w="1181" w:type="dxa"/>
          </w:tcPr>
          <w:p>
            <w:pPr>
              <w:pStyle w:val="TableParagraph"/>
              <w:rPr>
                <w:b/>
                <w:sz w:val="18"/>
              </w:rPr>
            </w:pPr>
          </w:p>
          <w:p>
            <w:pPr>
              <w:pStyle w:val="TableParagraph"/>
              <w:rPr>
                <w:b/>
                <w:sz w:val="18"/>
              </w:rPr>
            </w:pPr>
          </w:p>
          <w:p>
            <w:pPr>
              <w:pStyle w:val="TableParagraph"/>
              <w:spacing w:before="30"/>
              <w:rPr>
                <w:b/>
                <w:sz w:val="18"/>
              </w:rPr>
            </w:pPr>
          </w:p>
          <w:p>
            <w:pPr>
              <w:pStyle w:val="TableParagraph"/>
              <w:spacing w:before="1"/>
              <w:ind w:left="28" w:right="20"/>
              <w:jc w:val="center"/>
              <w:rPr>
                <w:sz w:val="18"/>
              </w:rPr>
            </w:pPr>
            <w:r>
              <w:rPr>
                <w:spacing w:val="-5"/>
                <w:sz w:val="18"/>
              </w:rPr>
              <w:t>15%</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30"/>
              <w:rPr>
                <w:b/>
                <w:sz w:val="18"/>
              </w:rPr>
            </w:pPr>
          </w:p>
          <w:p>
            <w:pPr>
              <w:pStyle w:val="TableParagraph"/>
              <w:spacing w:before="1"/>
              <w:ind w:left="19"/>
              <w:jc w:val="center"/>
              <w:rPr>
                <w:sz w:val="18"/>
              </w:rPr>
            </w:pPr>
            <w:r>
              <w:rPr>
                <w:spacing w:val="-5"/>
                <w:sz w:val="18"/>
              </w:rPr>
              <w:t>30%</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30"/>
              <w:rPr>
                <w:b/>
                <w:sz w:val="18"/>
              </w:rPr>
            </w:pPr>
          </w:p>
          <w:p>
            <w:pPr>
              <w:pStyle w:val="TableParagraph"/>
              <w:spacing w:before="1"/>
              <w:ind w:left="28" w:right="8"/>
              <w:jc w:val="center"/>
              <w:rPr>
                <w:sz w:val="18"/>
              </w:rPr>
            </w:pPr>
            <w:r>
              <w:rPr>
                <w:spacing w:val="-5"/>
                <w:sz w:val="18"/>
              </w:rPr>
              <w:t>45%</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30"/>
              <w:rPr>
                <w:b/>
                <w:sz w:val="18"/>
              </w:rPr>
            </w:pPr>
          </w:p>
          <w:p>
            <w:pPr>
              <w:pStyle w:val="TableParagraph"/>
              <w:spacing w:before="1"/>
              <w:ind w:left="20" w:right="5"/>
              <w:jc w:val="center"/>
              <w:rPr>
                <w:sz w:val="18"/>
              </w:rPr>
            </w:pPr>
            <w:r>
              <w:rPr>
                <w:spacing w:val="-5"/>
                <w:sz w:val="18"/>
              </w:rPr>
              <w:t>60%</w:t>
            </w:r>
          </w:p>
        </w:tc>
        <w:tc>
          <w:tcPr>
            <w:tcW w:w="1230"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1800" w:hRule="atLeast"/>
        </w:trPr>
        <w:tc>
          <w:tcPr>
            <w:tcW w:w="3092" w:type="dxa"/>
          </w:tcPr>
          <w:p>
            <w:pPr>
              <w:pStyle w:val="TableParagraph"/>
              <w:spacing w:before="70"/>
              <w:rPr>
                <w:b/>
                <w:sz w:val="18"/>
              </w:rPr>
            </w:pPr>
          </w:p>
          <w:p>
            <w:pPr>
              <w:pStyle w:val="TableParagraph"/>
              <w:ind w:left="72" w:right="99"/>
              <w:rPr>
                <w:sz w:val="18"/>
              </w:rPr>
            </w:pPr>
            <w:r>
              <w:rPr>
                <w:b/>
                <w:sz w:val="18"/>
              </w:rPr>
              <w:t>Actividad</w:t>
            </w:r>
            <w:r>
              <w:rPr>
                <w:b/>
                <w:spacing w:val="-13"/>
                <w:sz w:val="18"/>
              </w:rPr>
              <w:t> </w:t>
            </w:r>
            <w:r>
              <w:rPr>
                <w:b/>
                <w:sz w:val="18"/>
              </w:rPr>
              <w:t>PAC</w:t>
            </w:r>
            <w:r>
              <w:rPr>
                <w:b/>
                <w:spacing w:val="-12"/>
                <w:sz w:val="18"/>
              </w:rPr>
              <w:t> </w:t>
            </w:r>
            <w:r>
              <w:rPr>
                <w:b/>
                <w:sz w:val="18"/>
              </w:rPr>
              <w:t>2.70.2:</w:t>
            </w:r>
            <w:r>
              <w:rPr>
                <w:b/>
                <w:spacing w:val="-9"/>
                <w:sz w:val="18"/>
              </w:rPr>
              <w:t> </w:t>
            </w:r>
            <w:r>
              <w:rPr>
                <w:sz w:val="18"/>
              </w:rPr>
              <w:t>Desarrollar, en coordinación con DH, los módulos de capacitación sobre la metodología de gestión a las personas involucradas en esos </w:t>
            </w:r>
            <w:r>
              <w:rPr>
                <w:spacing w:val="-2"/>
                <w:sz w:val="18"/>
              </w:rPr>
              <w:t>procesos</w:t>
            </w:r>
          </w:p>
        </w:tc>
        <w:tc>
          <w:tcPr>
            <w:tcW w:w="1560" w:type="dxa"/>
          </w:tcPr>
          <w:p>
            <w:pPr>
              <w:pStyle w:val="TableParagraph"/>
              <w:rPr>
                <w:b/>
                <w:sz w:val="18"/>
              </w:rPr>
            </w:pPr>
          </w:p>
          <w:p>
            <w:pPr>
              <w:pStyle w:val="TableParagraph"/>
              <w:spacing w:before="69"/>
              <w:rPr>
                <w:b/>
                <w:sz w:val="18"/>
              </w:rPr>
            </w:pPr>
          </w:p>
          <w:p>
            <w:pPr>
              <w:pStyle w:val="TableParagraph"/>
              <w:spacing w:line="242" w:lineRule="auto"/>
              <w:ind w:left="67" w:right="395"/>
              <w:jc w:val="both"/>
              <w:rPr>
                <w:sz w:val="18"/>
              </w:rPr>
            </w:pPr>
            <w:r>
              <w:rPr>
                <w:sz w:val="18"/>
              </w:rPr>
              <w:t>Cantidad de módulos de </w:t>
            </w:r>
            <w:r>
              <w:rPr>
                <w:spacing w:val="-2"/>
                <w:sz w:val="18"/>
              </w:rPr>
              <w:t>capacitación desarrollados</w:t>
            </w:r>
          </w:p>
        </w:tc>
        <w:tc>
          <w:tcPr>
            <w:tcW w:w="1181" w:type="dxa"/>
          </w:tcPr>
          <w:p>
            <w:pPr>
              <w:pStyle w:val="TableParagraph"/>
              <w:rPr>
                <w:b/>
                <w:sz w:val="18"/>
              </w:rPr>
            </w:pPr>
          </w:p>
          <w:p>
            <w:pPr>
              <w:pStyle w:val="TableParagraph"/>
              <w:rPr>
                <w:b/>
                <w:sz w:val="18"/>
              </w:rPr>
            </w:pPr>
          </w:p>
          <w:p>
            <w:pPr>
              <w:pStyle w:val="TableParagraph"/>
              <w:spacing w:before="175"/>
              <w:rPr>
                <w:b/>
                <w:sz w:val="18"/>
              </w:rPr>
            </w:pPr>
          </w:p>
          <w:p>
            <w:pPr>
              <w:pStyle w:val="TableParagraph"/>
              <w:ind w:left="28" w:right="21"/>
              <w:jc w:val="center"/>
              <w:rPr>
                <w:sz w:val="18"/>
              </w:rPr>
            </w:pPr>
            <w:r>
              <w:rPr>
                <w:spacing w:val="-10"/>
                <w:sz w:val="18"/>
              </w:rPr>
              <w:t>5</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175"/>
              <w:rPr>
                <w:b/>
                <w:sz w:val="18"/>
              </w:rPr>
            </w:pPr>
          </w:p>
          <w:p>
            <w:pPr>
              <w:pStyle w:val="TableParagraph"/>
              <w:ind w:left="19" w:right="8"/>
              <w:jc w:val="center"/>
              <w:rPr>
                <w:sz w:val="18"/>
              </w:rPr>
            </w:pPr>
            <w:r>
              <w:rPr>
                <w:spacing w:val="-5"/>
                <w:sz w:val="18"/>
              </w:rPr>
              <w:t>10</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75"/>
              <w:rPr>
                <w:b/>
                <w:sz w:val="18"/>
              </w:rPr>
            </w:pPr>
          </w:p>
          <w:p>
            <w:pPr>
              <w:pStyle w:val="TableParagraph"/>
              <w:ind w:left="28" w:right="16"/>
              <w:jc w:val="center"/>
              <w:rPr>
                <w:sz w:val="18"/>
              </w:rPr>
            </w:pPr>
            <w:r>
              <w:rPr>
                <w:spacing w:val="-5"/>
                <w:sz w:val="18"/>
              </w:rPr>
              <w:t>15</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175"/>
              <w:rPr>
                <w:b/>
                <w:sz w:val="18"/>
              </w:rPr>
            </w:pPr>
          </w:p>
          <w:p>
            <w:pPr>
              <w:pStyle w:val="TableParagraph"/>
              <w:ind w:left="20" w:right="3"/>
              <w:jc w:val="center"/>
              <w:rPr>
                <w:sz w:val="18"/>
              </w:rPr>
            </w:pPr>
            <w:r>
              <w:rPr>
                <w:spacing w:val="-5"/>
                <w:sz w:val="18"/>
              </w:rPr>
              <w:t>20</w:t>
            </w:r>
          </w:p>
        </w:tc>
        <w:tc>
          <w:tcPr>
            <w:tcW w:w="1230" w:type="dxa"/>
          </w:tcPr>
          <w:p>
            <w:pPr>
              <w:pStyle w:val="TableParagraph"/>
              <w:rPr>
                <w:rFonts w:ascii="Times New Roman"/>
                <w:sz w:val="18"/>
              </w:rPr>
            </w:pPr>
          </w:p>
        </w:tc>
      </w:tr>
      <w:tr>
        <w:trPr>
          <w:trHeight w:val="1449" w:hRule="atLeast"/>
        </w:trPr>
        <w:tc>
          <w:tcPr>
            <w:tcW w:w="3092" w:type="dxa"/>
          </w:tcPr>
          <w:p>
            <w:pPr>
              <w:pStyle w:val="TableParagraph"/>
              <w:spacing w:before="104"/>
              <w:rPr>
                <w:b/>
                <w:sz w:val="18"/>
              </w:rPr>
            </w:pPr>
          </w:p>
          <w:p>
            <w:pPr>
              <w:pStyle w:val="TableParagraph"/>
              <w:ind w:left="72" w:right="61"/>
              <w:rPr>
                <w:sz w:val="18"/>
              </w:rPr>
            </w:pPr>
            <w:r>
              <w:rPr>
                <w:b/>
                <w:sz w:val="18"/>
              </w:rPr>
              <w:t>Actividad PAC 2.70.3: </w:t>
            </w:r>
            <w:r>
              <w:rPr>
                <w:sz w:val="18"/>
              </w:rPr>
              <w:t>Ejecutar sesiones</w:t>
            </w:r>
            <w:r>
              <w:rPr>
                <w:spacing w:val="-12"/>
                <w:sz w:val="18"/>
              </w:rPr>
              <w:t> </w:t>
            </w:r>
            <w:r>
              <w:rPr>
                <w:sz w:val="18"/>
              </w:rPr>
              <w:t>de</w:t>
            </w:r>
            <w:r>
              <w:rPr>
                <w:spacing w:val="-12"/>
                <w:sz w:val="18"/>
              </w:rPr>
              <w:t> </w:t>
            </w:r>
            <w:r>
              <w:rPr>
                <w:sz w:val="18"/>
              </w:rPr>
              <w:t>capacitación</w:t>
            </w:r>
            <w:r>
              <w:rPr>
                <w:spacing w:val="-12"/>
                <w:sz w:val="18"/>
              </w:rPr>
              <w:t> </w:t>
            </w:r>
            <w:r>
              <w:rPr>
                <w:sz w:val="18"/>
              </w:rPr>
              <w:t>(presencial y autoaprendizaje) según plan de </w:t>
            </w:r>
            <w:r>
              <w:rPr>
                <w:spacing w:val="-2"/>
                <w:sz w:val="18"/>
              </w:rPr>
              <w:t>capacitación</w:t>
            </w:r>
          </w:p>
        </w:tc>
        <w:tc>
          <w:tcPr>
            <w:tcW w:w="1560" w:type="dxa"/>
          </w:tcPr>
          <w:p>
            <w:pPr>
              <w:pStyle w:val="TableParagraph"/>
              <w:ind w:left="67" w:right="130"/>
              <w:rPr>
                <w:sz w:val="18"/>
              </w:rPr>
            </w:pPr>
            <w:r>
              <w:rPr>
                <w:sz w:val="18"/>
              </w:rPr>
              <w:t>Porcentaje de sesiones de capacitación</w:t>
            </w:r>
            <w:r>
              <w:rPr>
                <w:spacing w:val="-13"/>
                <w:sz w:val="18"/>
              </w:rPr>
              <w:t> </w:t>
            </w:r>
            <w:r>
              <w:rPr>
                <w:sz w:val="18"/>
              </w:rPr>
              <w:t>en la metodología de gestión por</w:t>
            </w:r>
          </w:p>
          <w:p>
            <w:pPr>
              <w:pStyle w:val="TableParagraph"/>
              <w:spacing w:line="206" w:lineRule="exact"/>
              <w:ind w:left="67" w:right="58"/>
              <w:rPr>
                <w:sz w:val="18"/>
              </w:rPr>
            </w:pPr>
            <w:r>
              <w:rPr>
                <w:spacing w:val="-2"/>
                <w:sz w:val="18"/>
              </w:rPr>
              <w:t>procesos ejecutadas</w:t>
            </w: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8" w:right="20"/>
              <w:jc w:val="center"/>
              <w:rPr>
                <w:sz w:val="18"/>
              </w:rPr>
            </w:pPr>
            <w:r>
              <w:rPr>
                <w:spacing w:val="-5"/>
                <w:sz w:val="18"/>
              </w:rPr>
              <w:t>15%</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jc w:val="center"/>
              <w:rPr>
                <w:sz w:val="18"/>
              </w:rPr>
            </w:pPr>
            <w:r>
              <w:rPr>
                <w:spacing w:val="-5"/>
                <w:sz w:val="18"/>
              </w:rPr>
              <w:t>30%</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8" w:right="8"/>
              <w:jc w:val="center"/>
              <w:rPr>
                <w:sz w:val="18"/>
              </w:rPr>
            </w:pPr>
            <w:r>
              <w:rPr>
                <w:spacing w:val="-5"/>
                <w:sz w:val="18"/>
              </w:rPr>
              <w:t>45%</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0" w:right="5"/>
              <w:jc w:val="center"/>
              <w:rPr>
                <w:sz w:val="18"/>
              </w:rPr>
            </w:pPr>
            <w:r>
              <w:rPr>
                <w:spacing w:val="-5"/>
                <w:sz w:val="18"/>
              </w:rPr>
              <w:t>60%</w:t>
            </w:r>
          </w:p>
        </w:tc>
        <w:tc>
          <w:tcPr>
            <w:tcW w:w="1230" w:type="dxa"/>
          </w:tcPr>
          <w:p>
            <w:pPr>
              <w:pStyle w:val="TableParagraph"/>
              <w:rPr>
                <w:rFonts w:ascii="Times New Roman"/>
                <w:sz w:val="18"/>
              </w:rPr>
            </w:pPr>
          </w:p>
        </w:tc>
      </w:tr>
      <w:tr>
        <w:trPr>
          <w:trHeight w:val="648" w:hRule="atLeast"/>
        </w:trPr>
        <w:tc>
          <w:tcPr>
            <w:tcW w:w="14394" w:type="dxa"/>
            <w:gridSpan w:val="10"/>
            <w:shd w:val="clear" w:color="auto" w:fill="EFF8F9"/>
          </w:tcPr>
          <w:p>
            <w:pPr>
              <w:pStyle w:val="TableParagraph"/>
              <w:spacing w:before="114"/>
              <w:ind w:left="72" w:right="1"/>
              <w:rPr>
                <w:b/>
                <w:sz w:val="18"/>
              </w:rPr>
            </w:pPr>
            <w:r>
              <w:rPr>
                <w:b/>
                <w:sz w:val="18"/>
              </w:rPr>
              <w:t>Producto</w:t>
            </w:r>
            <w:r>
              <w:rPr>
                <w:b/>
                <w:spacing w:val="-4"/>
                <w:sz w:val="18"/>
              </w:rPr>
              <w:t> </w:t>
            </w:r>
            <w:r>
              <w:rPr>
                <w:b/>
                <w:sz w:val="18"/>
              </w:rPr>
              <w:t>PAC</w:t>
            </w:r>
            <w:r>
              <w:rPr>
                <w:b/>
                <w:spacing w:val="-5"/>
                <w:sz w:val="18"/>
              </w:rPr>
              <w:t> </w:t>
            </w:r>
            <w:r>
              <w:rPr>
                <w:b/>
                <w:sz w:val="18"/>
              </w:rPr>
              <w:t>2.71:</w:t>
            </w:r>
            <w:r>
              <w:rPr>
                <w:b/>
                <w:spacing w:val="-1"/>
                <w:sz w:val="18"/>
              </w:rPr>
              <w:t> </w:t>
            </w:r>
            <w:r>
              <w:rPr>
                <w:b/>
                <w:sz w:val="18"/>
              </w:rPr>
              <w:t>Sistema de</w:t>
            </w:r>
            <w:r>
              <w:rPr>
                <w:b/>
                <w:spacing w:val="-3"/>
                <w:sz w:val="18"/>
              </w:rPr>
              <w:t> </w:t>
            </w:r>
            <w:r>
              <w:rPr>
                <w:b/>
                <w:sz w:val="18"/>
              </w:rPr>
              <w:t>indicadores de</w:t>
            </w:r>
            <w:r>
              <w:rPr>
                <w:b/>
                <w:spacing w:val="-3"/>
                <w:sz w:val="18"/>
              </w:rPr>
              <w:t> </w:t>
            </w:r>
            <w:r>
              <w:rPr>
                <w:b/>
                <w:sz w:val="18"/>
              </w:rPr>
              <w:t>resultados y</w:t>
            </w:r>
            <w:r>
              <w:rPr>
                <w:b/>
                <w:spacing w:val="-3"/>
                <w:sz w:val="18"/>
              </w:rPr>
              <w:t> </w:t>
            </w:r>
            <w:r>
              <w:rPr>
                <w:b/>
                <w:sz w:val="18"/>
              </w:rPr>
              <w:t>de</w:t>
            </w:r>
            <w:r>
              <w:rPr>
                <w:b/>
                <w:spacing w:val="-3"/>
                <w:sz w:val="18"/>
              </w:rPr>
              <w:t> </w:t>
            </w:r>
            <w:r>
              <w:rPr>
                <w:b/>
                <w:sz w:val="18"/>
              </w:rPr>
              <w:t>impacto de</w:t>
            </w:r>
            <w:r>
              <w:rPr>
                <w:b/>
                <w:spacing w:val="-3"/>
                <w:sz w:val="18"/>
              </w:rPr>
              <w:t> </w:t>
            </w:r>
            <w:r>
              <w:rPr>
                <w:b/>
                <w:sz w:val="18"/>
              </w:rPr>
              <w:t>cada</w:t>
            </w:r>
            <w:r>
              <w:rPr>
                <w:b/>
                <w:spacing w:val="-3"/>
                <w:sz w:val="18"/>
              </w:rPr>
              <w:t> </w:t>
            </w:r>
            <w:r>
              <w:rPr>
                <w:b/>
                <w:sz w:val="18"/>
              </w:rPr>
              <w:t>servicio</w:t>
            </w:r>
            <w:r>
              <w:rPr>
                <w:b/>
                <w:spacing w:val="-4"/>
                <w:sz w:val="18"/>
              </w:rPr>
              <w:t> </w:t>
            </w:r>
            <w:r>
              <w:rPr>
                <w:b/>
                <w:sz w:val="18"/>
              </w:rPr>
              <w:t>de</w:t>
            </w:r>
            <w:r>
              <w:rPr>
                <w:b/>
                <w:spacing w:val="-3"/>
                <w:sz w:val="18"/>
              </w:rPr>
              <w:t> </w:t>
            </w:r>
            <w:r>
              <w:rPr>
                <w:b/>
                <w:sz w:val="18"/>
              </w:rPr>
              <w:t>inversión</w:t>
            </w:r>
            <w:r>
              <w:rPr>
                <w:b/>
                <w:spacing w:val="-4"/>
                <w:sz w:val="18"/>
              </w:rPr>
              <w:t> </w:t>
            </w:r>
            <w:r>
              <w:rPr>
                <w:b/>
                <w:sz w:val="18"/>
              </w:rPr>
              <w:t>social</w:t>
            </w:r>
            <w:r>
              <w:rPr>
                <w:b/>
                <w:spacing w:val="-1"/>
                <w:sz w:val="18"/>
              </w:rPr>
              <w:t> </w:t>
            </w:r>
            <w:r>
              <w:rPr>
                <w:b/>
                <w:sz w:val="18"/>
              </w:rPr>
              <w:t>del</w:t>
            </w:r>
            <w:r>
              <w:rPr>
                <w:b/>
                <w:spacing w:val="-1"/>
                <w:sz w:val="18"/>
              </w:rPr>
              <w:t> </w:t>
            </w:r>
            <w:r>
              <w:rPr>
                <w:b/>
                <w:sz w:val="18"/>
              </w:rPr>
              <w:t>IMAS,</w:t>
            </w:r>
            <w:r>
              <w:rPr>
                <w:b/>
                <w:spacing w:val="-5"/>
                <w:sz w:val="18"/>
              </w:rPr>
              <w:t> </w:t>
            </w:r>
            <w:r>
              <w:rPr>
                <w:b/>
                <w:sz w:val="18"/>
              </w:rPr>
              <w:t>monitoreado desde</w:t>
            </w:r>
            <w:r>
              <w:rPr>
                <w:b/>
                <w:spacing w:val="-3"/>
                <w:sz w:val="18"/>
              </w:rPr>
              <w:t> </w:t>
            </w:r>
            <w:r>
              <w:rPr>
                <w:b/>
                <w:sz w:val="18"/>
              </w:rPr>
              <w:t>el</w:t>
            </w:r>
            <w:r>
              <w:rPr>
                <w:b/>
                <w:spacing w:val="-1"/>
                <w:sz w:val="18"/>
              </w:rPr>
              <w:t> </w:t>
            </w:r>
            <w:r>
              <w:rPr>
                <w:b/>
                <w:sz w:val="18"/>
              </w:rPr>
              <w:t>SINIRUBE.</w:t>
            </w:r>
            <w:r>
              <w:rPr>
                <w:b/>
                <w:spacing w:val="-1"/>
                <w:sz w:val="18"/>
              </w:rPr>
              <w:t> </w:t>
            </w:r>
            <w:r>
              <w:rPr>
                <w:b/>
                <w:sz w:val="18"/>
              </w:rPr>
              <w:t>E1</w:t>
            </w:r>
            <w:r>
              <w:rPr>
                <w:b/>
                <w:spacing w:val="-3"/>
                <w:sz w:val="18"/>
              </w:rPr>
              <w:t> </w:t>
            </w:r>
            <w:r>
              <w:rPr>
                <w:b/>
                <w:sz w:val="18"/>
              </w:rPr>
              <w:t>AE4 R1 </w:t>
            </w:r>
            <w:r>
              <w:rPr>
                <w:b/>
                <w:spacing w:val="-2"/>
                <w:sz w:val="18"/>
              </w:rPr>
              <w:t>(60%)</w:t>
            </w:r>
          </w:p>
        </w:tc>
      </w:tr>
      <w:tr>
        <w:trPr>
          <w:trHeight w:val="1108" w:hRule="atLeast"/>
        </w:trPr>
        <w:tc>
          <w:tcPr>
            <w:tcW w:w="3092" w:type="dxa"/>
          </w:tcPr>
          <w:p>
            <w:pPr>
              <w:pStyle w:val="TableParagraph"/>
              <w:spacing w:before="32"/>
              <w:ind w:left="72" w:right="61"/>
              <w:rPr>
                <w:sz w:val="18"/>
              </w:rPr>
            </w:pPr>
            <w:r>
              <w:rPr>
                <w:b/>
                <w:sz w:val="18"/>
              </w:rPr>
              <w:t>Actividad PAC 2.71.1: </w:t>
            </w:r>
            <w:r>
              <w:rPr>
                <w:sz w:val="18"/>
              </w:rPr>
              <w:t>Coordinar con</w:t>
            </w:r>
            <w:r>
              <w:rPr>
                <w:spacing w:val="-4"/>
                <w:sz w:val="18"/>
              </w:rPr>
              <w:t> </w:t>
            </w:r>
            <w:r>
              <w:rPr>
                <w:sz w:val="18"/>
              </w:rPr>
              <w:t>DDS</w:t>
            </w:r>
            <w:r>
              <w:rPr>
                <w:spacing w:val="-8"/>
                <w:sz w:val="18"/>
              </w:rPr>
              <w:t> </w:t>
            </w:r>
            <w:r>
              <w:rPr>
                <w:sz w:val="18"/>
              </w:rPr>
              <w:t>y</w:t>
            </w:r>
            <w:r>
              <w:rPr>
                <w:spacing w:val="-3"/>
                <w:sz w:val="18"/>
              </w:rPr>
              <w:t> </w:t>
            </w:r>
            <w:r>
              <w:rPr>
                <w:sz w:val="18"/>
              </w:rPr>
              <w:t>SINIRUBE</w:t>
            </w:r>
            <w:r>
              <w:rPr>
                <w:spacing w:val="-8"/>
                <w:sz w:val="18"/>
              </w:rPr>
              <w:t> </w:t>
            </w:r>
            <w:r>
              <w:rPr>
                <w:sz w:val="18"/>
              </w:rPr>
              <w:t>para</w:t>
            </w:r>
            <w:r>
              <w:rPr>
                <w:spacing w:val="-7"/>
                <w:sz w:val="18"/>
              </w:rPr>
              <w:t> </w:t>
            </w:r>
            <w:r>
              <w:rPr>
                <w:sz w:val="18"/>
              </w:rPr>
              <w:t>el</w:t>
            </w:r>
            <w:r>
              <w:rPr>
                <w:spacing w:val="-5"/>
                <w:sz w:val="18"/>
              </w:rPr>
              <w:t> </w:t>
            </w:r>
            <w:r>
              <w:rPr>
                <w:sz w:val="18"/>
              </w:rPr>
              <w:t>diseño de un plan de monitoreo y seguimiento de los indicadores de los servicios definidos en el 2024</w:t>
            </w:r>
          </w:p>
        </w:tc>
        <w:tc>
          <w:tcPr>
            <w:tcW w:w="1560" w:type="dxa"/>
          </w:tcPr>
          <w:p>
            <w:pPr>
              <w:pStyle w:val="TableParagraph"/>
              <w:ind w:left="67" w:right="58"/>
              <w:rPr>
                <w:sz w:val="18"/>
              </w:rPr>
            </w:pPr>
            <w:r>
              <w:rPr>
                <w:sz w:val="18"/>
              </w:rPr>
              <w:t>Cantidad de sesiones de </w:t>
            </w:r>
            <w:r>
              <w:rPr>
                <w:spacing w:val="-2"/>
                <w:sz w:val="18"/>
              </w:rPr>
              <w:t>coordinación realizadas</w:t>
            </w:r>
          </w:p>
        </w:tc>
        <w:tc>
          <w:tcPr>
            <w:tcW w:w="1181" w:type="dxa"/>
          </w:tcPr>
          <w:p>
            <w:pPr>
              <w:pStyle w:val="TableParagraph"/>
              <w:rPr>
                <w:b/>
                <w:sz w:val="18"/>
              </w:rPr>
            </w:pPr>
          </w:p>
          <w:p>
            <w:pPr>
              <w:pStyle w:val="TableParagraph"/>
              <w:spacing w:before="36"/>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36"/>
              <w:rPr>
                <w:b/>
                <w:sz w:val="18"/>
              </w:rPr>
            </w:pPr>
          </w:p>
          <w:p>
            <w:pPr>
              <w:pStyle w:val="TableParagraph"/>
              <w:ind w:left="19" w:right="2"/>
              <w:jc w:val="center"/>
              <w:rPr>
                <w:sz w:val="18"/>
              </w:rPr>
            </w:pPr>
            <w:r>
              <w:rPr>
                <w:spacing w:val="-10"/>
                <w:sz w:val="18"/>
              </w:rPr>
              <w:t>2</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36"/>
              <w:rPr>
                <w:b/>
                <w:sz w:val="18"/>
              </w:rPr>
            </w:pPr>
          </w:p>
          <w:p>
            <w:pPr>
              <w:pStyle w:val="TableParagraph"/>
              <w:ind w:left="28" w:right="11"/>
              <w:jc w:val="center"/>
              <w:rPr>
                <w:sz w:val="18"/>
              </w:rPr>
            </w:pPr>
            <w:r>
              <w:rPr>
                <w:spacing w:val="-10"/>
                <w:sz w:val="18"/>
              </w:rPr>
              <w:t>3</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36"/>
              <w:rPr>
                <w:b/>
                <w:sz w:val="18"/>
              </w:rPr>
            </w:pPr>
          </w:p>
          <w:p>
            <w:pPr>
              <w:pStyle w:val="TableParagraph"/>
              <w:ind w:left="20" w:right="7"/>
              <w:jc w:val="center"/>
              <w:rPr>
                <w:sz w:val="18"/>
              </w:rPr>
            </w:pPr>
            <w:r>
              <w:rPr>
                <w:spacing w:val="-10"/>
                <w:sz w:val="18"/>
              </w:rPr>
              <w:t>4</w:t>
            </w:r>
          </w:p>
        </w:tc>
        <w:tc>
          <w:tcPr>
            <w:tcW w:w="1230" w:type="dxa"/>
          </w:tcPr>
          <w:p>
            <w:pPr>
              <w:pStyle w:val="TableParagraph"/>
              <w:rPr>
                <w:rFonts w:ascii="Times New Roman"/>
                <w:sz w:val="18"/>
              </w:rPr>
            </w:pPr>
          </w:p>
        </w:tc>
      </w:tr>
      <w:tr>
        <w:trPr>
          <w:trHeight w:val="1243" w:hRule="atLeast"/>
        </w:trPr>
        <w:tc>
          <w:tcPr>
            <w:tcW w:w="3092" w:type="dxa"/>
          </w:tcPr>
          <w:p>
            <w:pPr>
              <w:pStyle w:val="TableParagraph"/>
              <w:spacing w:before="205"/>
              <w:ind w:left="72" w:right="99"/>
              <w:rPr>
                <w:sz w:val="18"/>
              </w:rPr>
            </w:pPr>
            <w:r>
              <w:rPr>
                <w:b/>
                <w:sz w:val="18"/>
              </w:rPr>
              <w:t>Actividad</w:t>
            </w:r>
            <w:r>
              <w:rPr>
                <w:b/>
                <w:spacing w:val="-5"/>
                <w:sz w:val="18"/>
              </w:rPr>
              <w:t> </w:t>
            </w:r>
            <w:r>
              <w:rPr>
                <w:b/>
                <w:sz w:val="18"/>
              </w:rPr>
              <w:t>PAC</w:t>
            </w:r>
            <w:r>
              <w:rPr>
                <w:b/>
                <w:spacing w:val="-1"/>
                <w:sz w:val="18"/>
              </w:rPr>
              <w:t> </w:t>
            </w:r>
            <w:r>
              <w:rPr>
                <w:b/>
                <w:sz w:val="18"/>
              </w:rPr>
              <w:t>2.71.2:</w:t>
            </w:r>
            <w:r>
              <w:rPr>
                <w:b/>
                <w:spacing w:val="40"/>
                <w:sz w:val="18"/>
              </w:rPr>
              <w:t> </w:t>
            </w:r>
            <w:r>
              <w:rPr>
                <w:sz w:val="18"/>
              </w:rPr>
              <w:t>Diseñar</w:t>
            </w:r>
            <w:r>
              <w:rPr>
                <w:spacing w:val="-2"/>
                <w:sz w:val="18"/>
              </w:rPr>
              <w:t> </w:t>
            </w:r>
            <w:r>
              <w:rPr>
                <w:sz w:val="18"/>
              </w:rPr>
              <w:t>un plan</w:t>
            </w:r>
            <w:r>
              <w:rPr>
                <w:spacing w:val="-4"/>
                <w:sz w:val="18"/>
              </w:rPr>
              <w:t> </w:t>
            </w:r>
            <w:r>
              <w:rPr>
                <w:sz w:val="18"/>
              </w:rPr>
              <w:t>de</w:t>
            </w:r>
            <w:r>
              <w:rPr>
                <w:spacing w:val="-8"/>
                <w:sz w:val="18"/>
              </w:rPr>
              <w:t> </w:t>
            </w:r>
            <w:r>
              <w:rPr>
                <w:sz w:val="18"/>
              </w:rPr>
              <w:t>monitoreo</w:t>
            </w:r>
            <w:r>
              <w:rPr>
                <w:spacing w:val="-8"/>
                <w:sz w:val="18"/>
              </w:rPr>
              <w:t> </w:t>
            </w:r>
            <w:r>
              <w:rPr>
                <w:sz w:val="18"/>
              </w:rPr>
              <w:t>y</w:t>
            </w:r>
            <w:r>
              <w:rPr>
                <w:spacing w:val="-8"/>
                <w:sz w:val="18"/>
              </w:rPr>
              <w:t> </w:t>
            </w:r>
            <w:r>
              <w:rPr>
                <w:sz w:val="18"/>
              </w:rPr>
              <w:t>seguimiento</w:t>
            </w:r>
            <w:r>
              <w:rPr>
                <w:spacing w:val="-8"/>
                <w:sz w:val="18"/>
              </w:rPr>
              <w:t> </w:t>
            </w:r>
            <w:r>
              <w:rPr>
                <w:sz w:val="18"/>
              </w:rPr>
              <w:t>de los indicadores de los servicios definidos en el 2024</w:t>
            </w:r>
          </w:p>
        </w:tc>
        <w:tc>
          <w:tcPr>
            <w:tcW w:w="1560" w:type="dxa"/>
          </w:tcPr>
          <w:p>
            <w:pPr>
              <w:pStyle w:val="TableParagraph"/>
              <w:ind w:left="67" w:right="58"/>
              <w:rPr>
                <w:sz w:val="18"/>
              </w:rPr>
            </w:pPr>
            <w:r>
              <w:rPr>
                <w:sz w:val="18"/>
              </w:rPr>
              <w:t>Cantidad de Planes de monitoreo y </w:t>
            </w:r>
            <w:r>
              <w:rPr>
                <w:spacing w:val="-2"/>
                <w:sz w:val="18"/>
              </w:rPr>
              <w:t>seguimiento </w:t>
            </w:r>
            <w:r>
              <w:rPr>
                <w:sz w:val="18"/>
              </w:rPr>
              <w:t>diseñados</w:t>
            </w:r>
            <w:r>
              <w:rPr>
                <w:spacing w:val="-15"/>
                <w:sz w:val="18"/>
              </w:rPr>
              <w:t> </w:t>
            </w:r>
            <w:r>
              <w:rPr>
                <w:sz w:val="18"/>
              </w:rPr>
              <w:t>en</w:t>
            </w:r>
            <w:r>
              <w:rPr>
                <w:spacing w:val="-12"/>
                <w:sz w:val="18"/>
              </w:rPr>
              <w:t> </w:t>
            </w:r>
            <w:r>
              <w:rPr>
                <w:sz w:val="18"/>
              </w:rPr>
              <w:t>el</w:t>
            </w:r>
          </w:p>
          <w:p>
            <w:pPr>
              <w:pStyle w:val="TableParagraph"/>
              <w:spacing w:line="187" w:lineRule="exact" w:before="1"/>
              <w:ind w:left="67"/>
              <w:rPr>
                <w:sz w:val="18"/>
              </w:rPr>
            </w:pPr>
            <w:r>
              <w:rPr>
                <w:spacing w:val="-4"/>
                <w:sz w:val="18"/>
              </w:rPr>
              <w:t>2025</w:t>
            </w:r>
          </w:p>
        </w:tc>
        <w:tc>
          <w:tcPr>
            <w:tcW w:w="1181" w:type="dxa"/>
          </w:tcPr>
          <w:p>
            <w:pPr>
              <w:pStyle w:val="TableParagraph"/>
              <w:rPr>
                <w:b/>
                <w:sz w:val="18"/>
              </w:rPr>
            </w:pPr>
          </w:p>
          <w:p>
            <w:pPr>
              <w:pStyle w:val="TableParagraph"/>
              <w:spacing w:before="104"/>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243" w:hRule="atLeast"/>
        </w:trPr>
        <w:tc>
          <w:tcPr>
            <w:tcW w:w="3092" w:type="dxa"/>
          </w:tcPr>
          <w:p>
            <w:pPr>
              <w:pStyle w:val="TableParagraph"/>
              <w:spacing w:line="242" w:lineRule="auto" w:before="205"/>
              <w:ind w:left="72" w:right="99"/>
              <w:rPr>
                <w:sz w:val="18"/>
              </w:rPr>
            </w:pPr>
            <w:r>
              <w:rPr>
                <w:b/>
                <w:sz w:val="18"/>
              </w:rPr>
              <w:t>Actividad PAC 2.71.3: </w:t>
            </w:r>
            <w:r>
              <w:rPr>
                <w:sz w:val="18"/>
              </w:rPr>
              <w:t>Elaborar cubos de información para el monitoreo</w:t>
            </w:r>
            <w:r>
              <w:rPr>
                <w:spacing w:val="-10"/>
                <w:sz w:val="18"/>
              </w:rPr>
              <w:t> </w:t>
            </w:r>
            <w:r>
              <w:rPr>
                <w:sz w:val="18"/>
              </w:rPr>
              <w:t>de</w:t>
            </w:r>
            <w:r>
              <w:rPr>
                <w:spacing w:val="-10"/>
                <w:sz w:val="18"/>
              </w:rPr>
              <w:t> </w:t>
            </w:r>
            <w:r>
              <w:rPr>
                <w:sz w:val="18"/>
              </w:rPr>
              <w:t>los</w:t>
            </w:r>
            <w:r>
              <w:rPr>
                <w:spacing w:val="-5"/>
                <w:sz w:val="18"/>
              </w:rPr>
              <w:t> </w:t>
            </w:r>
            <w:r>
              <w:rPr>
                <w:sz w:val="18"/>
              </w:rPr>
              <w:t>indicadores</w:t>
            </w:r>
            <w:r>
              <w:rPr>
                <w:spacing w:val="-5"/>
                <w:sz w:val="18"/>
              </w:rPr>
              <w:t> </w:t>
            </w:r>
            <w:r>
              <w:rPr>
                <w:sz w:val="18"/>
              </w:rPr>
              <w:t>de</w:t>
            </w:r>
            <w:r>
              <w:rPr>
                <w:spacing w:val="-6"/>
                <w:sz w:val="18"/>
              </w:rPr>
              <w:t> </w:t>
            </w:r>
            <w:r>
              <w:rPr>
                <w:sz w:val="18"/>
              </w:rPr>
              <w:t>los servicios definidos en el 2024</w:t>
            </w:r>
          </w:p>
        </w:tc>
        <w:tc>
          <w:tcPr>
            <w:tcW w:w="1560" w:type="dxa"/>
          </w:tcPr>
          <w:p>
            <w:pPr>
              <w:pStyle w:val="TableParagraph"/>
              <w:ind w:left="67" w:right="469"/>
              <w:rPr>
                <w:sz w:val="18"/>
              </w:rPr>
            </w:pPr>
            <w:r>
              <w:rPr>
                <w:sz w:val="18"/>
              </w:rPr>
              <w:t>Cantidad</w:t>
            </w:r>
            <w:r>
              <w:rPr>
                <w:spacing w:val="-13"/>
                <w:sz w:val="18"/>
              </w:rPr>
              <w:t> </w:t>
            </w:r>
            <w:r>
              <w:rPr>
                <w:sz w:val="18"/>
              </w:rPr>
              <w:t>de </w:t>
            </w:r>
            <w:r>
              <w:rPr>
                <w:spacing w:val="-2"/>
                <w:sz w:val="18"/>
              </w:rPr>
              <w:t>cubos elaborados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103"/>
              <w:rPr>
                <w:b/>
                <w:sz w:val="18"/>
              </w:rPr>
            </w:pPr>
          </w:p>
          <w:p>
            <w:pPr>
              <w:pStyle w:val="TableParagraph"/>
              <w:ind w:left="19" w:right="2"/>
              <w:jc w:val="center"/>
              <w:rPr>
                <w:sz w:val="18"/>
              </w:rPr>
            </w:pPr>
            <w:r>
              <w:rPr>
                <w:spacing w:val="-10"/>
                <w:sz w:val="18"/>
              </w:rPr>
              <w:t>5</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700" w:bottom="232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1606"/>
        <w:gridCol w:w="1560"/>
        <w:gridCol w:w="1181"/>
        <w:gridCol w:w="1186"/>
        <w:gridCol w:w="1200"/>
        <w:gridCol w:w="1248"/>
        <w:gridCol w:w="1181"/>
        <w:gridCol w:w="1234"/>
        <w:gridCol w:w="1282"/>
        <w:gridCol w:w="1230"/>
      </w:tblGrid>
      <w:tr>
        <w:trPr>
          <w:trHeight w:val="556" w:hRule="atLeast"/>
        </w:trPr>
        <w:tc>
          <w:tcPr>
            <w:tcW w:w="3092" w:type="dxa"/>
            <w:gridSpan w:val="2"/>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gridSpan w:val="2"/>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407" w:hRule="atLeast"/>
        </w:trPr>
        <w:tc>
          <w:tcPr>
            <w:tcW w:w="14394" w:type="dxa"/>
            <w:gridSpan w:val="11"/>
            <w:shd w:val="clear" w:color="auto" w:fill="EFF8F9"/>
          </w:tcPr>
          <w:p>
            <w:pPr>
              <w:pStyle w:val="TableParagraph"/>
              <w:spacing w:before="99"/>
              <w:ind w:left="72"/>
              <w:rPr>
                <w:b/>
                <w:sz w:val="18"/>
              </w:rPr>
            </w:pPr>
            <w:r>
              <w:rPr>
                <w:b/>
                <w:sz w:val="18"/>
              </w:rPr>
              <w:t>Producto</w:t>
            </w:r>
            <w:r>
              <w:rPr>
                <w:b/>
                <w:spacing w:val="-7"/>
                <w:sz w:val="18"/>
              </w:rPr>
              <w:t> </w:t>
            </w:r>
            <w:r>
              <w:rPr>
                <w:b/>
                <w:sz w:val="18"/>
              </w:rPr>
              <w:t>PAC</w:t>
            </w:r>
            <w:r>
              <w:rPr>
                <w:b/>
                <w:spacing w:val="-7"/>
                <w:sz w:val="18"/>
              </w:rPr>
              <w:t> </w:t>
            </w:r>
            <w:r>
              <w:rPr>
                <w:b/>
                <w:sz w:val="18"/>
              </w:rPr>
              <w:t>2.72:</w:t>
            </w:r>
            <w:r>
              <w:rPr>
                <w:b/>
                <w:spacing w:val="-4"/>
                <w:sz w:val="18"/>
              </w:rPr>
              <w:t> </w:t>
            </w:r>
            <w:r>
              <w:rPr>
                <w:b/>
                <w:sz w:val="18"/>
              </w:rPr>
              <w:t>Información</w:t>
            </w:r>
            <w:r>
              <w:rPr>
                <w:b/>
                <w:spacing w:val="-7"/>
                <w:sz w:val="18"/>
              </w:rPr>
              <w:t> </w:t>
            </w:r>
            <w:r>
              <w:rPr>
                <w:b/>
                <w:sz w:val="18"/>
              </w:rPr>
              <w:t>generada</w:t>
            </w:r>
            <w:r>
              <w:rPr>
                <w:b/>
                <w:spacing w:val="-5"/>
                <w:sz w:val="18"/>
              </w:rPr>
              <w:t> </w:t>
            </w:r>
            <w:r>
              <w:rPr>
                <w:b/>
                <w:sz w:val="18"/>
              </w:rPr>
              <w:t>desde</w:t>
            </w:r>
            <w:r>
              <w:rPr>
                <w:b/>
                <w:spacing w:val="-6"/>
                <w:sz w:val="18"/>
              </w:rPr>
              <w:t> </w:t>
            </w:r>
            <w:r>
              <w:rPr>
                <w:b/>
                <w:sz w:val="18"/>
              </w:rPr>
              <w:t>el</w:t>
            </w:r>
            <w:r>
              <w:rPr>
                <w:b/>
                <w:spacing w:val="-3"/>
                <w:sz w:val="18"/>
              </w:rPr>
              <w:t> </w:t>
            </w:r>
            <w:r>
              <w:rPr>
                <w:b/>
                <w:sz w:val="18"/>
              </w:rPr>
              <w:t>SINIRUBE</w:t>
            </w:r>
            <w:r>
              <w:rPr>
                <w:b/>
                <w:spacing w:val="-3"/>
                <w:sz w:val="18"/>
              </w:rPr>
              <w:t> </w:t>
            </w:r>
            <w:r>
              <w:rPr>
                <w:b/>
                <w:sz w:val="18"/>
              </w:rPr>
              <w:t>accesada</w:t>
            </w:r>
            <w:r>
              <w:rPr>
                <w:b/>
                <w:spacing w:val="-2"/>
                <w:sz w:val="18"/>
              </w:rPr>
              <w:t> </w:t>
            </w:r>
            <w:r>
              <w:rPr>
                <w:b/>
                <w:sz w:val="18"/>
              </w:rPr>
              <w:t>desde</w:t>
            </w:r>
            <w:r>
              <w:rPr>
                <w:b/>
                <w:spacing w:val="-6"/>
                <w:sz w:val="18"/>
              </w:rPr>
              <w:t> </w:t>
            </w:r>
            <w:r>
              <w:rPr>
                <w:b/>
                <w:sz w:val="18"/>
              </w:rPr>
              <w:t>el</w:t>
            </w:r>
            <w:r>
              <w:rPr>
                <w:b/>
                <w:spacing w:val="-3"/>
                <w:sz w:val="18"/>
              </w:rPr>
              <w:t> </w:t>
            </w:r>
            <w:r>
              <w:rPr>
                <w:b/>
                <w:sz w:val="18"/>
              </w:rPr>
              <w:t>IMAS,</w:t>
            </w:r>
            <w:r>
              <w:rPr>
                <w:b/>
                <w:spacing w:val="1"/>
                <w:sz w:val="18"/>
              </w:rPr>
              <w:t> </w:t>
            </w:r>
            <w:r>
              <w:rPr>
                <w:b/>
                <w:sz w:val="18"/>
              </w:rPr>
              <w:t>para</w:t>
            </w:r>
            <w:r>
              <w:rPr>
                <w:b/>
                <w:spacing w:val="-6"/>
                <w:sz w:val="18"/>
              </w:rPr>
              <w:t> </w:t>
            </w:r>
            <w:r>
              <w:rPr>
                <w:b/>
                <w:sz w:val="18"/>
              </w:rPr>
              <w:t>la</w:t>
            </w:r>
            <w:r>
              <w:rPr>
                <w:b/>
                <w:spacing w:val="-5"/>
                <w:sz w:val="18"/>
              </w:rPr>
              <w:t> </w:t>
            </w:r>
            <w:r>
              <w:rPr>
                <w:b/>
                <w:sz w:val="18"/>
              </w:rPr>
              <w:t>toma</w:t>
            </w:r>
            <w:r>
              <w:rPr>
                <w:b/>
                <w:spacing w:val="-6"/>
                <w:sz w:val="18"/>
              </w:rPr>
              <w:t> </w:t>
            </w:r>
            <w:r>
              <w:rPr>
                <w:b/>
                <w:sz w:val="18"/>
              </w:rPr>
              <w:t>de</w:t>
            </w:r>
            <w:r>
              <w:rPr>
                <w:b/>
                <w:spacing w:val="-5"/>
                <w:sz w:val="18"/>
              </w:rPr>
              <w:t> </w:t>
            </w:r>
            <w:r>
              <w:rPr>
                <w:b/>
                <w:sz w:val="18"/>
              </w:rPr>
              <w:t>decisiones</w:t>
            </w:r>
            <w:r>
              <w:rPr>
                <w:b/>
                <w:spacing w:val="-6"/>
                <w:sz w:val="18"/>
              </w:rPr>
              <w:t> </w:t>
            </w:r>
            <w:r>
              <w:rPr>
                <w:b/>
                <w:sz w:val="18"/>
              </w:rPr>
              <w:t>sobre</w:t>
            </w:r>
            <w:r>
              <w:rPr>
                <w:b/>
                <w:spacing w:val="-10"/>
                <w:sz w:val="18"/>
              </w:rPr>
              <w:t> </w:t>
            </w:r>
            <w:r>
              <w:rPr>
                <w:b/>
                <w:sz w:val="18"/>
              </w:rPr>
              <w:t>la</w:t>
            </w:r>
            <w:r>
              <w:rPr>
                <w:b/>
                <w:spacing w:val="-6"/>
                <w:sz w:val="18"/>
              </w:rPr>
              <w:t> </w:t>
            </w:r>
            <w:r>
              <w:rPr>
                <w:b/>
                <w:sz w:val="18"/>
              </w:rPr>
              <w:t>inversión</w:t>
            </w:r>
            <w:r>
              <w:rPr>
                <w:b/>
                <w:spacing w:val="-2"/>
                <w:sz w:val="18"/>
              </w:rPr>
              <w:t> </w:t>
            </w:r>
            <w:r>
              <w:rPr>
                <w:b/>
                <w:sz w:val="18"/>
              </w:rPr>
              <w:t>social.</w:t>
            </w:r>
            <w:r>
              <w:rPr>
                <w:b/>
                <w:spacing w:val="1"/>
                <w:sz w:val="18"/>
              </w:rPr>
              <w:t> </w:t>
            </w:r>
            <w:r>
              <w:rPr>
                <w:b/>
                <w:sz w:val="18"/>
              </w:rPr>
              <w:t>E1</w:t>
            </w:r>
            <w:r>
              <w:rPr>
                <w:b/>
                <w:spacing w:val="-5"/>
                <w:sz w:val="18"/>
              </w:rPr>
              <w:t> </w:t>
            </w:r>
            <w:r>
              <w:rPr>
                <w:b/>
                <w:sz w:val="18"/>
              </w:rPr>
              <w:t>AE4</w:t>
            </w:r>
            <w:r>
              <w:rPr>
                <w:b/>
                <w:spacing w:val="-6"/>
                <w:sz w:val="18"/>
              </w:rPr>
              <w:t> </w:t>
            </w:r>
            <w:r>
              <w:rPr>
                <w:b/>
                <w:sz w:val="18"/>
              </w:rPr>
              <w:t>R2</w:t>
            </w:r>
            <w:r>
              <w:rPr>
                <w:b/>
                <w:spacing w:val="-5"/>
                <w:sz w:val="18"/>
              </w:rPr>
              <w:t> </w:t>
            </w:r>
            <w:r>
              <w:rPr>
                <w:b/>
                <w:spacing w:val="-2"/>
                <w:sz w:val="18"/>
              </w:rPr>
              <w:t>(100%)</w:t>
            </w:r>
          </w:p>
        </w:tc>
      </w:tr>
      <w:tr>
        <w:trPr>
          <w:trHeight w:val="2275" w:hRule="atLeast"/>
        </w:trPr>
        <w:tc>
          <w:tcPr>
            <w:tcW w:w="3092" w:type="dxa"/>
            <w:gridSpan w:val="2"/>
          </w:tcPr>
          <w:p>
            <w:pPr>
              <w:pStyle w:val="TableParagraph"/>
              <w:rPr>
                <w:b/>
                <w:sz w:val="18"/>
              </w:rPr>
            </w:pPr>
          </w:p>
          <w:p>
            <w:pPr>
              <w:pStyle w:val="TableParagraph"/>
              <w:spacing w:before="204"/>
              <w:rPr>
                <w:b/>
                <w:sz w:val="18"/>
              </w:rPr>
            </w:pPr>
          </w:p>
          <w:p>
            <w:pPr>
              <w:pStyle w:val="TableParagraph"/>
              <w:ind w:left="72" w:right="61"/>
              <w:rPr>
                <w:sz w:val="18"/>
              </w:rPr>
            </w:pPr>
            <w:r>
              <w:rPr>
                <w:b/>
                <w:sz w:val="18"/>
              </w:rPr>
              <w:t>Actividad PAC 2.72.1: </w:t>
            </w:r>
            <w:r>
              <w:rPr>
                <w:sz w:val="18"/>
              </w:rPr>
              <w:t>Asesorar a las</w:t>
            </w:r>
            <w:r>
              <w:rPr>
                <w:spacing w:val="-3"/>
                <w:sz w:val="18"/>
              </w:rPr>
              <w:t> </w:t>
            </w:r>
            <w:r>
              <w:rPr>
                <w:sz w:val="18"/>
              </w:rPr>
              <w:t>UIPER</w:t>
            </w:r>
            <w:r>
              <w:rPr>
                <w:spacing w:val="-9"/>
                <w:sz w:val="18"/>
              </w:rPr>
              <w:t> </w:t>
            </w:r>
            <w:r>
              <w:rPr>
                <w:sz w:val="18"/>
              </w:rPr>
              <w:t>en</w:t>
            </w:r>
            <w:r>
              <w:rPr>
                <w:spacing w:val="-8"/>
                <w:sz w:val="18"/>
              </w:rPr>
              <w:t> </w:t>
            </w:r>
            <w:r>
              <w:rPr>
                <w:sz w:val="18"/>
              </w:rPr>
              <w:t>la</w:t>
            </w:r>
            <w:r>
              <w:rPr>
                <w:spacing w:val="-4"/>
                <w:sz w:val="18"/>
              </w:rPr>
              <w:t> </w:t>
            </w:r>
            <w:r>
              <w:rPr>
                <w:sz w:val="18"/>
              </w:rPr>
              <w:t>revisión</w:t>
            </w:r>
            <w:r>
              <w:rPr>
                <w:spacing w:val="-8"/>
                <w:sz w:val="18"/>
              </w:rPr>
              <w:t> </w:t>
            </w:r>
            <w:r>
              <w:rPr>
                <w:sz w:val="18"/>
              </w:rPr>
              <w:t>y</w:t>
            </w:r>
            <w:r>
              <w:rPr>
                <w:spacing w:val="-3"/>
                <w:sz w:val="18"/>
              </w:rPr>
              <w:t> </w:t>
            </w:r>
            <w:r>
              <w:rPr>
                <w:sz w:val="18"/>
              </w:rPr>
              <w:t>validación de</w:t>
            </w:r>
            <w:r>
              <w:rPr>
                <w:spacing w:val="-5"/>
                <w:sz w:val="18"/>
              </w:rPr>
              <w:t> </w:t>
            </w:r>
            <w:r>
              <w:rPr>
                <w:sz w:val="18"/>
              </w:rPr>
              <w:t>la</w:t>
            </w:r>
            <w:r>
              <w:rPr>
                <w:spacing w:val="-5"/>
                <w:sz w:val="18"/>
              </w:rPr>
              <w:t> </w:t>
            </w:r>
            <w:r>
              <w:rPr>
                <w:sz w:val="18"/>
              </w:rPr>
              <w:t>estructura</w:t>
            </w:r>
            <w:r>
              <w:rPr>
                <w:spacing w:val="-5"/>
                <w:sz w:val="18"/>
              </w:rPr>
              <w:t> </w:t>
            </w:r>
            <w:r>
              <w:rPr>
                <w:sz w:val="18"/>
              </w:rPr>
              <w:t>de</w:t>
            </w:r>
            <w:r>
              <w:rPr>
                <w:spacing w:val="-9"/>
                <w:sz w:val="18"/>
              </w:rPr>
              <w:t> </w:t>
            </w:r>
            <w:r>
              <w:rPr>
                <w:sz w:val="18"/>
              </w:rPr>
              <w:t>datos</w:t>
            </w:r>
            <w:r>
              <w:rPr>
                <w:spacing w:val="-9"/>
                <w:sz w:val="18"/>
              </w:rPr>
              <w:t> </w:t>
            </w:r>
            <w:r>
              <w:rPr>
                <w:sz w:val="18"/>
              </w:rPr>
              <w:t>disponibles en los dashboards elaborados en Power BI por Planificación</w:t>
            </w:r>
          </w:p>
        </w:tc>
        <w:tc>
          <w:tcPr>
            <w:tcW w:w="1560" w:type="dxa"/>
          </w:tcPr>
          <w:p>
            <w:pPr>
              <w:pStyle w:val="TableParagraph"/>
              <w:ind w:left="67" w:right="115"/>
              <w:rPr>
                <w:sz w:val="18"/>
              </w:rPr>
            </w:pPr>
            <w:r>
              <w:rPr>
                <w:sz w:val="18"/>
              </w:rPr>
              <w:t>%</w:t>
            </w:r>
            <w:r>
              <w:rPr>
                <w:spacing w:val="-7"/>
                <w:sz w:val="18"/>
              </w:rPr>
              <w:t> </w:t>
            </w:r>
            <w:r>
              <w:rPr>
                <w:sz w:val="18"/>
              </w:rPr>
              <w:t>de</w:t>
            </w:r>
            <w:r>
              <w:rPr>
                <w:spacing w:val="-9"/>
                <w:sz w:val="18"/>
              </w:rPr>
              <w:t> </w:t>
            </w:r>
            <w:r>
              <w:rPr>
                <w:sz w:val="18"/>
              </w:rPr>
              <w:t>UIPER</w:t>
            </w:r>
            <w:r>
              <w:rPr>
                <w:spacing w:val="-10"/>
                <w:sz w:val="18"/>
              </w:rPr>
              <w:t> </w:t>
            </w:r>
            <w:r>
              <w:rPr>
                <w:sz w:val="18"/>
              </w:rPr>
              <w:t>con estructura de datos</w:t>
            </w:r>
            <w:r>
              <w:rPr>
                <w:spacing w:val="-13"/>
                <w:sz w:val="18"/>
              </w:rPr>
              <w:t> </w:t>
            </w:r>
            <w:r>
              <w:rPr>
                <w:sz w:val="18"/>
              </w:rPr>
              <w:t>contenidos en los </w:t>
            </w:r>
            <w:r>
              <w:rPr>
                <w:spacing w:val="-2"/>
                <w:sz w:val="18"/>
              </w:rPr>
              <w:t>dashboards </w:t>
            </w:r>
            <w:r>
              <w:rPr>
                <w:sz w:val="18"/>
              </w:rPr>
              <w:t>disponibles en Power Bi revisados y validados por </w:t>
            </w:r>
            <w:r>
              <w:rPr>
                <w:spacing w:val="-2"/>
                <w:sz w:val="18"/>
              </w:rPr>
              <w:t>Planificación</w:t>
            </w:r>
          </w:p>
          <w:p>
            <w:pPr>
              <w:pStyle w:val="TableParagraph"/>
              <w:spacing w:line="187" w:lineRule="exact"/>
              <w:ind w:left="67"/>
              <w:rPr>
                <w:sz w:val="18"/>
              </w:rPr>
            </w:pPr>
            <w:r>
              <w:rPr>
                <w:spacing w:val="-2"/>
                <w:sz w:val="18"/>
              </w:rPr>
              <w:t>Institucional</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8" w:right="20"/>
              <w:jc w:val="center"/>
              <w:rPr>
                <w:sz w:val="18"/>
              </w:rPr>
            </w:pPr>
            <w:r>
              <w:rPr>
                <w:spacing w:val="-5"/>
                <w:sz w:val="18"/>
              </w:rPr>
              <w:t>33%</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19"/>
              <w:jc w:val="center"/>
              <w:rPr>
                <w:sz w:val="18"/>
              </w:rPr>
            </w:pPr>
            <w:r>
              <w:rPr>
                <w:spacing w:val="-5"/>
                <w:sz w:val="18"/>
              </w:rPr>
              <w:t>66%</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203"/>
              <w:rPr>
                <w:b/>
                <w:sz w:val="18"/>
              </w:rPr>
            </w:pPr>
          </w:p>
          <w:p>
            <w:pPr>
              <w:pStyle w:val="TableParagraph"/>
              <w:ind w:left="28" w:right="13"/>
              <w:jc w:val="center"/>
              <w:rPr>
                <w:sz w:val="18"/>
              </w:rPr>
            </w:pPr>
            <w:r>
              <w:rPr>
                <w:spacing w:val="-4"/>
                <w:sz w:val="18"/>
              </w:rPr>
              <w:t>100%</w:t>
            </w: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305" w:hRule="atLeast"/>
        </w:trPr>
        <w:tc>
          <w:tcPr>
            <w:tcW w:w="3092" w:type="dxa"/>
            <w:gridSpan w:val="2"/>
          </w:tcPr>
          <w:p>
            <w:pPr>
              <w:pStyle w:val="TableParagraph"/>
              <w:spacing w:before="32"/>
              <w:ind w:left="72" w:right="99"/>
              <w:rPr>
                <w:sz w:val="18"/>
              </w:rPr>
            </w:pPr>
            <w:r>
              <w:rPr>
                <w:b/>
                <w:sz w:val="18"/>
              </w:rPr>
              <w:t>Actividad PAC 2.72.2: </w:t>
            </w:r>
            <w:r>
              <w:rPr>
                <w:sz w:val="18"/>
              </w:rPr>
              <w:t>Guiar a las UIPER en la extracción, interpretación y tratamiento de los datos</w:t>
            </w:r>
            <w:r>
              <w:rPr>
                <w:spacing w:val="-10"/>
                <w:sz w:val="18"/>
              </w:rPr>
              <w:t> </w:t>
            </w:r>
            <w:r>
              <w:rPr>
                <w:sz w:val="18"/>
              </w:rPr>
              <w:t>contenidos</w:t>
            </w:r>
            <w:r>
              <w:rPr>
                <w:spacing w:val="-6"/>
                <w:sz w:val="18"/>
              </w:rPr>
              <w:t> </w:t>
            </w:r>
            <w:r>
              <w:rPr>
                <w:sz w:val="18"/>
              </w:rPr>
              <w:t>en</w:t>
            </w:r>
            <w:r>
              <w:rPr>
                <w:spacing w:val="-10"/>
                <w:sz w:val="18"/>
              </w:rPr>
              <w:t> </w:t>
            </w:r>
            <w:r>
              <w:rPr>
                <w:sz w:val="18"/>
              </w:rPr>
              <w:t>los</w:t>
            </w:r>
            <w:r>
              <w:rPr>
                <w:spacing w:val="-10"/>
                <w:sz w:val="18"/>
              </w:rPr>
              <w:t> </w:t>
            </w:r>
            <w:r>
              <w:rPr>
                <w:sz w:val="18"/>
              </w:rPr>
              <w:t>dashboards de Power BI, alineados con los requerimientos del informe técnico.</w:t>
            </w:r>
          </w:p>
        </w:tc>
        <w:tc>
          <w:tcPr>
            <w:tcW w:w="1560" w:type="dxa"/>
          </w:tcPr>
          <w:p>
            <w:pPr>
              <w:pStyle w:val="TableParagraph"/>
              <w:spacing w:before="133"/>
              <w:ind w:left="67" w:right="485"/>
              <w:rPr>
                <w:sz w:val="18"/>
              </w:rPr>
            </w:pPr>
            <w:r>
              <w:rPr>
                <w:sz w:val="18"/>
              </w:rPr>
              <w:t>Número de UIPER que aplican el protocolo</w:t>
            </w:r>
            <w:r>
              <w:rPr>
                <w:spacing w:val="-13"/>
                <w:sz w:val="18"/>
              </w:rPr>
              <w:t> </w:t>
            </w:r>
            <w:r>
              <w:rPr>
                <w:sz w:val="18"/>
              </w:rPr>
              <w:t>de </w:t>
            </w:r>
            <w:r>
              <w:rPr>
                <w:spacing w:val="-2"/>
                <w:sz w:val="18"/>
              </w:rPr>
              <w:t>extracción.</w:t>
            </w:r>
          </w:p>
        </w:tc>
        <w:tc>
          <w:tcPr>
            <w:tcW w:w="1181" w:type="dxa"/>
          </w:tcPr>
          <w:p>
            <w:pPr>
              <w:pStyle w:val="TableParagraph"/>
              <w:rPr>
                <w:b/>
                <w:sz w:val="18"/>
              </w:rPr>
            </w:pPr>
          </w:p>
          <w:p>
            <w:pPr>
              <w:pStyle w:val="TableParagraph"/>
              <w:spacing w:before="132"/>
              <w:rPr>
                <w:b/>
                <w:sz w:val="18"/>
              </w:rPr>
            </w:pPr>
          </w:p>
          <w:p>
            <w:pPr>
              <w:pStyle w:val="TableParagraph"/>
              <w:ind w:left="28" w:right="21"/>
              <w:jc w:val="center"/>
              <w:rPr>
                <w:sz w:val="18"/>
              </w:rPr>
            </w:pPr>
            <w:r>
              <w:rPr>
                <w:spacing w:val="-10"/>
                <w:sz w:val="18"/>
              </w:rPr>
              <w:t>2</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132"/>
              <w:rPr>
                <w:b/>
                <w:sz w:val="18"/>
              </w:rPr>
            </w:pPr>
          </w:p>
          <w:p>
            <w:pPr>
              <w:pStyle w:val="TableParagraph"/>
              <w:ind w:left="19" w:right="2"/>
              <w:jc w:val="center"/>
              <w:rPr>
                <w:sz w:val="18"/>
              </w:rPr>
            </w:pPr>
            <w:r>
              <w:rPr>
                <w:spacing w:val="-10"/>
                <w:sz w:val="18"/>
              </w:rPr>
              <w:t>5</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132"/>
              <w:rPr>
                <w:b/>
                <w:sz w:val="18"/>
              </w:rPr>
            </w:pPr>
          </w:p>
          <w:p>
            <w:pPr>
              <w:pStyle w:val="TableParagraph"/>
              <w:ind w:left="28" w:right="11"/>
              <w:jc w:val="center"/>
              <w:rPr>
                <w:sz w:val="18"/>
              </w:rPr>
            </w:pPr>
            <w:r>
              <w:rPr>
                <w:spacing w:val="-10"/>
                <w:sz w:val="18"/>
              </w:rPr>
              <w:t>7</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132"/>
              <w:rPr>
                <w:b/>
                <w:sz w:val="18"/>
              </w:rPr>
            </w:pPr>
          </w:p>
          <w:p>
            <w:pPr>
              <w:pStyle w:val="TableParagraph"/>
              <w:ind w:left="20" w:right="7"/>
              <w:jc w:val="center"/>
              <w:rPr>
                <w:sz w:val="18"/>
              </w:rPr>
            </w:pPr>
            <w:r>
              <w:rPr>
                <w:spacing w:val="-10"/>
                <w:sz w:val="18"/>
              </w:rPr>
              <w:t>9</w:t>
            </w:r>
          </w:p>
        </w:tc>
        <w:tc>
          <w:tcPr>
            <w:tcW w:w="1230" w:type="dxa"/>
          </w:tcPr>
          <w:p>
            <w:pPr>
              <w:pStyle w:val="TableParagraph"/>
              <w:rPr>
                <w:rFonts w:ascii="Times New Roman"/>
                <w:sz w:val="18"/>
              </w:rPr>
            </w:pPr>
          </w:p>
        </w:tc>
      </w:tr>
      <w:tr>
        <w:trPr>
          <w:trHeight w:val="1243" w:hRule="atLeast"/>
        </w:trPr>
        <w:tc>
          <w:tcPr>
            <w:tcW w:w="3092" w:type="dxa"/>
            <w:gridSpan w:val="2"/>
          </w:tcPr>
          <w:p>
            <w:pPr>
              <w:pStyle w:val="TableParagraph"/>
              <w:ind w:left="72" w:right="141"/>
              <w:rPr>
                <w:sz w:val="18"/>
              </w:rPr>
            </w:pPr>
            <w:r>
              <w:rPr>
                <w:b/>
                <w:sz w:val="18"/>
              </w:rPr>
              <w:t>Actividad</w:t>
            </w:r>
            <w:r>
              <w:rPr>
                <w:b/>
                <w:spacing w:val="-13"/>
                <w:sz w:val="18"/>
              </w:rPr>
              <w:t> </w:t>
            </w:r>
            <w:r>
              <w:rPr>
                <w:b/>
                <w:sz w:val="18"/>
              </w:rPr>
              <w:t>PAC</w:t>
            </w:r>
            <w:r>
              <w:rPr>
                <w:b/>
                <w:spacing w:val="-12"/>
                <w:sz w:val="18"/>
              </w:rPr>
              <w:t> </w:t>
            </w:r>
            <w:r>
              <w:rPr>
                <w:b/>
                <w:sz w:val="18"/>
              </w:rPr>
              <w:t>2.72.3:</w:t>
            </w:r>
            <w:r>
              <w:rPr>
                <w:b/>
                <w:spacing w:val="-8"/>
                <w:sz w:val="18"/>
              </w:rPr>
              <w:t> </w:t>
            </w:r>
            <w:r>
              <w:rPr>
                <w:sz w:val="18"/>
              </w:rPr>
              <w:t>Acompañar a las UIPER en la elaboración de informes regionales de análisis de inversión social con base en la información generada en Power BI</w:t>
            </w:r>
          </w:p>
          <w:p>
            <w:pPr>
              <w:pStyle w:val="TableParagraph"/>
              <w:spacing w:line="187" w:lineRule="exact" w:before="1"/>
              <w:ind w:left="72"/>
              <w:rPr>
                <w:sz w:val="18"/>
              </w:rPr>
            </w:pPr>
            <w:r>
              <w:rPr>
                <w:spacing w:val="-5"/>
                <w:sz w:val="18"/>
              </w:rPr>
              <w:t>por</w:t>
            </w:r>
          </w:p>
        </w:tc>
        <w:tc>
          <w:tcPr>
            <w:tcW w:w="1560" w:type="dxa"/>
          </w:tcPr>
          <w:p>
            <w:pPr>
              <w:pStyle w:val="TableParagraph"/>
              <w:ind w:left="67" w:right="58"/>
              <w:rPr>
                <w:sz w:val="18"/>
              </w:rPr>
            </w:pPr>
            <w:r>
              <w:rPr>
                <w:sz w:val="18"/>
              </w:rPr>
              <w:t>Número de </w:t>
            </w:r>
            <w:r>
              <w:rPr>
                <w:spacing w:val="-2"/>
                <w:sz w:val="18"/>
              </w:rPr>
              <w:t>informes </w:t>
            </w:r>
            <w:r>
              <w:rPr>
                <w:sz w:val="18"/>
              </w:rPr>
              <w:t>construidos</w:t>
            </w:r>
            <w:r>
              <w:rPr>
                <w:spacing w:val="-13"/>
                <w:sz w:val="18"/>
              </w:rPr>
              <w:t> </w:t>
            </w:r>
            <w:r>
              <w:rPr>
                <w:sz w:val="18"/>
              </w:rPr>
              <w:t>con base en </w:t>
            </w:r>
            <w:r>
              <w:rPr>
                <w:spacing w:val="-2"/>
                <w:sz w:val="18"/>
              </w:rPr>
              <w:t>dashboard</w:t>
            </w:r>
          </w:p>
          <w:p>
            <w:pPr>
              <w:pStyle w:val="TableParagraph"/>
              <w:spacing w:line="187" w:lineRule="exact" w:before="1"/>
              <w:ind w:left="67"/>
              <w:rPr>
                <w:sz w:val="18"/>
              </w:rPr>
            </w:pPr>
            <w:r>
              <w:rPr>
                <w:spacing w:val="-2"/>
                <w:sz w:val="18"/>
              </w:rPr>
              <w:t>institucional.</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103"/>
              <w:rPr>
                <w:b/>
                <w:sz w:val="18"/>
              </w:rPr>
            </w:pPr>
          </w:p>
          <w:p>
            <w:pPr>
              <w:pStyle w:val="TableParagraph"/>
              <w:ind w:left="19" w:right="2"/>
              <w:jc w:val="center"/>
              <w:rPr>
                <w:sz w:val="18"/>
              </w:rPr>
            </w:pPr>
            <w:r>
              <w:rPr>
                <w:spacing w:val="-10"/>
                <w:sz w:val="18"/>
              </w:rPr>
              <w:t>3</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103"/>
              <w:rPr>
                <w:b/>
                <w:sz w:val="18"/>
              </w:rPr>
            </w:pPr>
          </w:p>
          <w:p>
            <w:pPr>
              <w:pStyle w:val="TableParagraph"/>
              <w:ind w:left="28" w:right="11"/>
              <w:jc w:val="center"/>
              <w:rPr>
                <w:sz w:val="18"/>
              </w:rPr>
            </w:pPr>
            <w:r>
              <w:rPr>
                <w:spacing w:val="-10"/>
                <w:sz w:val="18"/>
              </w:rPr>
              <w:t>6</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103"/>
              <w:rPr>
                <w:b/>
                <w:sz w:val="18"/>
              </w:rPr>
            </w:pPr>
          </w:p>
          <w:p>
            <w:pPr>
              <w:pStyle w:val="TableParagraph"/>
              <w:ind w:left="20" w:right="7"/>
              <w:jc w:val="center"/>
              <w:rPr>
                <w:sz w:val="18"/>
              </w:rPr>
            </w:pPr>
            <w:r>
              <w:rPr>
                <w:spacing w:val="-10"/>
                <w:sz w:val="18"/>
              </w:rPr>
              <w:t>9</w:t>
            </w:r>
          </w:p>
        </w:tc>
        <w:tc>
          <w:tcPr>
            <w:tcW w:w="1230" w:type="dxa"/>
          </w:tcPr>
          <w:p>
            <w:pPr>
              <w:pStyle w:val="TableParagraph"/>
              <w:rPr>
                <w:rFonts w:ascii="Times New Roman"/>
                <w:sz w:val="18"/>
              </w:rPr>
            </w:pPr>
          </w:p>
        </w:tc>
      </w:tr>
      <w:tr>
        <w:trPr>
          <w:trHeight w:val="1786" w:hRule="atLeast"/>
        </w:trPr>
        <w:tc>
          <w:tcPr>
            <w:tcW w:w="3092" w:type="dxa"/>
            <w:gridSpan w:val="2"/>
          </w:tcPr>
          <w:p>
            <w:pPr>
              <w:pStyle w:val="TableParagraph"/>
              <w:spacing w:before="61"/>
              <w:rPr>
                <w:b/>
                <w:sz w:val="18"/>
              </w:rPr>
            </w:pPr>
          </w:p>
          <w:p>
            <w:pPr>
              <w:pStyle w:val="TableParagraph"/>
              <w:ind w:left="72" w:right="99"/>
              <w:rPr>
                <w:sz w:val="18"/>
              </w:rPr>
            </w:pPr>
            <w:r>
              <w:rPr>
                <w:b/>
                <w:sz w:val="18"/>
              </w:rPr>
              <w:t>Actividad PAC 2.72.4: </w:t>
            </w:r>
            <w:r>
              <w:rPr>
                <w:sz w:val="18"/>
              </w:rPr>
              <w:t>Validar los informes</w:t>
            </w:r>
            <w:r>
              <w:rPr>
                <w:spacing w:val="-10"/>
                <w:sz w:val="18"/>
              </w:rPr>
              <w:t> </w:t>
            </w:r>
            <w:r>
              <w:rPr>
                <w:sz w:val="18"/>
              </w:rPr>
              <w:t>construidos</w:t>
            </w:r>
            <w:r>
              <w:rPr>
                <w:spacing w:val="-10"/>
                <w:sz w:val="18"/>
              </w:rPr>
              <w:t> </w:t>
            </w:r>
            <w:r>
              <w:rPr>
                <w:sz w:val="18"/>
              </w:rPr>
              <w:t>por</w:t>
            </w:r>
            <w:r>
              <w:rPr>
                <w:spacing w:val="-9"/>
                <w:sz w:val="18"/>
              </w:rPr>
              <w:t> </w:t>
            </w:r>
            <w:r>
              <w:rPr>
                <w:sz w:val="18"/>
              </w:rPr>
              <w:t>las</w:t>
            </w:r>
            <w:r>
              <w:rPr>
                <w:spacing w:val="-10"/>
                <w:sz w:val="18"/>
              </w:rPr>
              <w:t> </w:t>
            </w:r>
            <w:r>
              <w:rPr>
                <w:sz w:val="18"/>
              </w:rPr>
              <w:t>UIPER, asegurando consistencia con los datos</w:t>
            </w:r>
            <w:r>
              <w:rPr>
                <w:spacing w:val="-1"/>
                <w:sz w:val="18"/>
              </w:rPr>
              <w:t> </w:t>
            </w:r>
            <w:r>
              <w:rPr>
                <w:sz w:val="18"/>
              </w:rPr>
              <w:t>del</w:t>
            </w:r>
            <w:r>
              <w:rPr>
                <w:spacing w:val="-4"/>
                <w:sz w:val="18"/>
              </w:rPr>
              <w:t> </w:t>
            </w:r>
            <w:r>
              <w:rPr>
                <w:sz w:val="18"/>
              </w:rPr>
              <w:t>dashboard</w:t>
            </w:r>
            <w:r>
              <w:rPr>
                <w:spacing w:val="-1"/>
                <w:sz w:val="18"/>
              </w:rPr>
              <w:t> </w:t>
            </w:r>
            <w:r>
              <w:rPr>
                <w:sz w:val="18"/>
              </w:rPr>
              <w:t>institucional</w:t>
            </w:r>
            <w:r>
              <w:rPr>
                <w:spacing w:val="-4"/>
                <w:sz w:val="18"/>
              </w:rPr>
              <w:t> </w:t>
            </w:r>
            <w:r>
              <w:rPr>
                <w:sz w:val="18"/>
              </w:rPr>
              <w:t>de Power BI y pertinencia</w:t>
            </w:r>
            <w:r>
              <w:rPr>
                <w:spacing w:val="-1"/>
                <w:sz w:val="18"/>
              </w:rPr>
              <w:t> </w:t>
            </w:r>
            <w:r>
              <w:rPr>
                <w:sz w:val="18"/>
              </w:rPr>
              <w:t>para</w:t>
            </w:r>
            <w:r>
              <w:rPr>
                <w:spacing w:val="-1"/>
                <w:sz w:val="18"/>
              </w:rPr>
              <w:t> </w:t>
            </w:r>
            <w:r>
              <w:rPr>
                <w:sz w:val="18"/>
              </w:rPr>
              <w:t>la</w:t>
            </w:r>
            <w:r>
              <w:rPr>
                <w:spacing w:val="-1"/>
                <w:sz w:val="18"/>
              </w:rPr>
              <w:t> </w:t>
            </w:r>
            <w:r>
              <w:rPr>
                <w:sz w:val="18"/>
              </w:rPr>
              <w:t>toma de decisiones.</w:t>
            </w:r>
          </w:p>
        </w:tc>
        <w:tc>
          <w:tcPr>
            <w:tcW w:w="1560" w:type="dxa"/>
          </w:tcPr>
          <w:p>
            <w:pPr>
              <w:pStyle w:val="TableParagraph"/>
              <w:rPr>
                <w:b/>
                <w:sz w:val="18"/>
              </w:rPr>
            </w:pPr>
          </w:p>
          <w:p>
            <w:pPr>
              <w:pStyle w:val="TableParagraph"/>
              <w:spacing w:before="60"/>
              <w:rPr>
                <w:b/>
                <w:sz w:val="18"/>
              </w:rPr>
            </w:pPr>
          </w:p>
          <w:p>
            <w:pPr>
              <w:pStyle w:val="TableParagraph"/>
              <w:ind w:left="67" w:right="58"/>
              <w:rPr>
                <w:sz w:val="18"/>
              </w:rPr>
            </w:pPr>
            <w:r>
              <w:rPr>
                <w:sz w:val="18"/>
              </w:rPr>
              <w:t>%</w:t>
            </w:r>
            <w:r>
              <w:rPr>
                <w:spacing w:val="-15"/>
                <w:sz w:val="18"/>
              </w:rPr>
              <w:t> </w:t>
            </w:r>
            <w:r>
              <w:rPr>
                <w:sz w:val="18"/>
              </w:rPr>
              <w:t>de</w:t>
            </w:r>
            <w:r>
              <w:rPr>
                <w:spacing w:val="-12"/>
                <w:sz w:val="18"/>
              </w:rPr>
              <w:t> </w:t>
            </w:r>
            <w:r>
              <w:rPr>
                <w:sz w:val="18"/>
              </w:rPr>
              <w:t>informes validados por </w:t>
            </w:r>
            <w:r>
              <w:rPr>
                <w:spacing w:val="-2"/>
                <w:sz w:val="18"/>
              </w:rPr>
              <w:t>planificación institucional</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165"/>
              <w:rPr>
                <w:b/>
                <w:sz w:val="18"/>
              </w:rPr>
            </w:pPr>
          </w:p>
          <w:p>
            <w:pPr>
              <w:pStyle w:val="TableParagraph"/>
              <w:spacing w:before="1"/>
              <w:ind w:left="19"/>
              <w:jc w:val="center"/>
              <w:rPr>
                <w:sz w:val="18"/>
              </w:rPr>
            </w:pPr>
            <w:r>
              <w:rPr>
                <w:spacing w:val="-5"/>
                <w:sz w:val="18"/>
              </w:rPr>
              <w:t>33%</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65"/>
              <w:rPr>
                <w:b/>
                <w:sz w:val="18"/>
              </w:rPr>
            </w:pPr>
          </w:p>
          <w:p>
            <w:pPr>
              <w:pStyle w:val="TableParagraph"/>
              <w:spacing w:before="1"/>
              <w:ind w:left="28" w:right="8"/>
              <w:jc w:val="center"/>
              <w:rPr>
                <w:sz w:val="18"/>
              </w:rPr>
            </w:pPr>
            <w:r>
              <w:rPr>
                <w:spacing w:val="-5"/>
                <w:sz w:val="18"/>
              </w:rPr>
              <w:t>66%</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165"/>
              <w:rPr>
                <w:b/>
                <w:sz w:val="18"/>
              </w:rPr>
            </w:pPr>
          </w:p>
          <w:p>
            <w:pPr>
              <w:pStyle w:val="TableParagraph"/>
              <w:spacing w:before="1"/>
              <w:ind w:left="20"/>
              <w:jc w:val="center"/>
              <w:rPr>
                <w:sz w:val="18"/>
              </w:rPr>
            </w:pPr>
            <w:r>
              <w:rPr>
                <w:spacing w:val="-4"/>
                <w:sz w:val="18"/>
              </w:rPr>
              <w:t>100%</w:t>
            </w:r>
          </w:p>
        </w:tc>
        <w:tc>
          <w:tcPr>
            <w:tcW w:w="1230" w:type="dxa"/>
          </w:tcPr>
          <w:p>
            <w:pPr>
              <w:pStyle w:val="TableParagraph"/>
              <w:rPr>
                <w:rFonts w:ascii="Times New Roman"/>
                <w:sz w:val="18"/>
              </w:rPr>
            </w:pPr>
          </w:p>
        </w:tc>
      </w:tr>
      <w:tr>
        <w:trPr>
          <w:trHeight w:val="675" w:hRule="atLeast"/>
        </w:trPr>
        <w:tc>
          <w:tcPr>
            <w:tcW w:w="14394" w:type="dxa"/>
            <w:gridSpan w:val="11"/>
            <w:tcBorders>
              <w:bottom w:val="thickThinMediumGap" w:sz="9" w:space="0" w:color="808080"/>
            </w:tcBorders>
            <w:shd w:val="clear" w:color="auto" w:fill="EFF8F9"/>
          </w:tcPr>
          <w:p>
            <w:pPr>
              <w:pStyle w:val="TableParagraph"/>
              <w:spacing w:before="22"/>
              <w:rPr>
                <w:b/>
                <w:sz w:val="18"/>
              </w:rPr>
            </w:pPr>
          </w:p>
          <w:p>
            <w:pPr>
              <w:pStyle w:val="TableParagraph"/>
              <w:ind w:left="72"/>
              <w:rPr>
                <w:b/>
                <w:sz w:val="18"/>
              </w:rPr>
            </w:pPr>
            <w:r>
              <w:rPr>
                <w:b/>
                <w:sz w:val="18"/>
              </w:rPr>
              <w:t>Producto</w:t>
            </w:r>
            <w:r>
              <w:rPr>
                <w:b/>
                <w:spacing w:val="-7"/>
                <w:sz w:val="18"/>
              </w:rPr>
              <w:t> </w:t>
            </w:r>
            <w:r>
              <w:rPr>
                <w:b/>
                <w:sz w:val="18"/>
              </w:rPr>
              <w:t>PAC</w:t>
            </w:r>
            <w:r>
              <w:rPr>
                <w:b/>
                <w:spacing w:val="-8"/>
                <w:sz w:val="18"/>
              </w:rPr>
              <w:t> </w:t>
            </w:r>
            <w:r>
              <w:rPr>
                <w:b/>
                <w:sz w:val="18"/>
              </w:rPr>
              <w:t>2.73:</w:t>
            </w:r>
            <w:r>
              <w:rPr>
                <w:b/>
                <w:spacing w:val="-4"/>
                <w:sz w:val="18"/>
              </w:rPr>
              <w:t> </w:t>
            </w:r>
            <w:r>
              <w:rPr>
                <w:b/>
                <w:sz w:val="18"/>
              </w:rPr>
              <w:t>Planes</w:t>
            </w:r>
            <w:r>
              <w:rPr>
                <w:b/>
                <w:spacing w:val="-2"/>
                <w:sz w:val="18"/>
              </w:rPr>
              <w:t> </w:t>
            </w:r>
            <w:r>
              <w:rPr>
                <w:b/>
                <w:sz w:val="18"/>
              </w:rPr>
              <w:t>y</w:t>
            </w:r>
            <w:r>
              <w:rPr>
                <w:b/>
                <w:spacing w:val="-6"/>
                <w:sz w:val="18"/>
              </w:rPr>
              <w:t> </w:t>
            </w:r>
            <w:r>
              <w:rPr>
                <w:b/>
                <w:sz w:val="18"/>
              </w:rPr>
              <w:t>presupuestos</w:t>
            </w:r>
            <w:r>
              <w:rPr>
                <w:b/>
                <w:spacing w:val="-6"/>
                <w:sz w:val="18"/>
              </w:rPr>
              <w:t> </w:t>
            </w:r>
            <w:r>
              <w:rPr>
                <w:b/>
                <w:sz w:val="18"/>
              </w:rPr>
              <w:t>de</w:t>
            </w:r>
            <w:r>
              <w:rPr>
                <w:b/>
                <w:spacing w:val="-6"/>
                <w:sz w:val="18"/>
              </w:rPr>
              <w:t> </w:t>
            </w:r>
            <w:r>
              <w:rPr>
                <w:b/>
                <w:sz w:val="18"/>
              </w:rPr>
              <w:t>inversión</w:t>
            </w:r>
            <w:r>
              <w:rPr>
                <w:b/>
                <w:spacing w:val="-7"/>
                <w:sz w:val="18"/>
              </w:rPr>
              <w:t> </w:t>
            </w:r>
            <w:r>
              <w:rPr>
                <w:b/>
                <w:sz w:val="18"/>
              </w:rPr>
              <w:t>social</w:t>
            </w:r>
            <w:r>
              <w:rPr>
                <w:b/>
                <w:spacing w:val="1"/>
                <w:sz w:val="18"/>
              </w:rPr>
              <w:t> </w:t>
            </w:r>
            <w:r>
              <w:rPr>
                <w:b/>
                <w:sz w:val="18"/>
              </w:rPr>
              <w:t>del</w:t>
            </w:r>
            <w:r>
              <w:rPr>
                <w:b/>
                <w:spacing w:val="-4"/>
                <w:sz w:val="18"/>
              </w:rPr>
              <w:t> </w:t>
            </w:r>
            <w:r>
              <w:rPr>
                <w:b/>
                <w:sz w:val="18"/>
              </w:rPr>
              <w:t>IMAS,</w:t>
            </w:r>
            <w:r>
              <w:rPr>
                <w:b/>
                <w:spacing w:val="-5"/>
                <w:sz w:val="18"/>
              </w:rPr>
              <w:t> </w:t>
            </w:r>
            <w:r>
              <w:rPr>
                <w:b/>
                <w:sz w:val="18"/>
              </w:rPr>
              <w:t>formulados</w:t>
            </w:r>
            <w:r>
              <w:rPr>
                <w:b/>
                <w:spacing w:val="-5"/>
                <w:sz w:val="18"/>
              </w:rPr>
              <w:t> </w:t>
            </w:r>
            <w:r>
              <w:rPr>
                <w:b/>
                <w:sz w:val="18"/>
              </w:rPr>
              <w:t>con</w:t>
            </w:r>
            <w:r>
              <w:rPr>
                <w:b/>
                <w:spacing w:val="-7"/>
                <w:sz w:val="18"/>
              </w:rPr>
              <w:t> </w:t>
            </w:r>
            <w:r>
              <w:rPr>
                <w:b/>
                <w:sz w:val="18"/>
              </w:rPr>
              <w:t>base</w:t>
            </w:r>
            <w:r>
              <w:rPr>
                <w:b/>
                <w:spacing w:val="-6"/>
                <w:sz w:val="18"/>
              </w:rPr>
              <w:t> </w:t>
            </w:r>
            <w:r>
              <w:rPr>
                <w:b/>
                <w:sz w:val="18"/>
              </w:rPr>
              <w:t>en</w:t>
            </w:r>
            <w:r>
              <w:rPr>
                <w:b/>
                <w:spacing w:val="-7"/>
                <w:sz w:val="18"/>
              </w:rPr>
              <w:t> </w:t>
            </w:r>
            <w:r>
              <w:rPr>
                <w:b/>
                <w:sz w:val="18"/>
              </w:rPr>
              <w:t>datos</w:t>
            </w:r>
            <w:r>
              <w:rPr>
                <w:b/>
                <w:spacing w:val="-6"/>
                <w:sz w:val="18"/>
              </w:rPr>
              <w:t> </w:t>
            </w:r>
            <w:r>
              <w:rPr>
                <w:b/>
                <w:sz w:val="18"/>
              </w:rPr>
              <w:t>del</w:t>
            </w:r>
            <w:r>
              <w:rPr>
                <w:b/>
                <w:spacing w:val="1"/>
                <w:sz w:val="18"/>
              </w:rPr>
              <w:t> </w:t>
            </w:r>
            <w:r>
              <w:rPr>
                <w:b/>
                <w:sz w:val="18"/>
              </w:rPr>
              <w:t>SINIRUBE. E1</w:t>
            </w:r>
            <w:r>
              <w:rPr>
                <w:b/>
                <w:spacing w:val="-6"/>
                <w:sz w:val="18"/>
              </w:rPr>
              <w:t> </w:t>
            </w:r>
            <w:r>
              <w:rPr>
                <w:b/>
                <w:sz w:val="18"/>
              </w:rPr>
              <w:t>AE4</w:t>
            </w:r>
            <w:r>
              <w:rPr>
                <w:b/>
                <w:spacing w:val="-2"/>
                <w:sz w:val="18"/>
              </w:rPr>
              <w:t> </w:t>
            </w:r>
            <w:r>
              <w:rPr>
                <w:b/>
                <w:sz w:val="18"/>
              </w:rPr>
              <w:t>R3</w:t>
            </w:r>
            <w:r>
              <w:rPr>
                <w:b/>
                <w:spacing w:val="-11"/>
                <w:sz w:val="18"/>
              </w:rPr>
              <w:t> </w:t>
            </w:r>
            <w:r>
              <w:rPr>
                <w:b/>
                <w:spacing w:val="-2"/>
                <w:sz w:val="18"/>
              </w:rPr>
              <w:t>(80%)</w:t>
            </w:r>
          </w:p>
        </w:tc>
      </w:tr>
      <w:tr>
        <w:trPr>
          <w:trHeight w:val="1386" w:hRule="atLeast"/>
        </w:trPr>
        <w:tc>
          <w:tcPr>
            <w:tcW w:w="1486" w:type="dxa"/>
            <w:tcBorders>
              <w:top w:val="thinThickMediumGap" w:sz="9" w:space="0" w:color="808080"/>
              <w:left w:val="nil"/>
              <w:bottom w:val="nil"/>
              <w:right w:val="single" w:sz="18" w:space="0" w:color="808080"/>
            </w:tcBorders>
          </w:tcPr>
          <w:p>
            <w:pPr>
              <w:pStyle w:val="TableParagraph"/>
              <w:spacing w:before="3"/>
              <w:ind w:left="106"/>
              <w:rPr>
                <w:b/>
                <w:sz w:val="24"/>
              </w:rPr>
            </w:pPr>
            <w:r>
              <w:rPr>
                <w:b/>
                <w:spacing w:val="-5"/>
                <w:sz w:val="24"/>
              </w:rPr>
              <w:t>326</w:t>
            </w:r>
          </w:p>
        </w:tc>
        <w:tc>
          <w:tcPr>
            <w:tcW w:w="12908" w:type="dxa"/>
            <w:gridSpan w:val="10"/>
            <w:tcBorders>
              <w:top w:val="thinThickMediumGap" w:sz="9" w:space="0" w:color="808080"/>
              <w:left w:val="single" w:sz="18" w:space="0" w:color="808080"/>
              <w:bottom w:val="nil"/>
              <w:right w:val="nil"/>
            </w:tcBorders>
          </w:tcPr>
          <w:p>
            <w:pPr>
              <w:pStyle w:val="TableParagraph"/>
              <w:spacing w:line="242" w:lineRule="auto" w:before="3"/>
              <w:ind w:left="95" w:right="8727"/>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86"/>
          <w:pgSz w:w="15840" w:h="12240" w:orient="landscape"/>
          <w:pgMar w:header="0" w:footer="0" w:top="700" w:bottom="2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945" w:hRule="atLeast"/>
        </w:trPr>
        <w:tc>
          <w:tcPr>
            <w:tcW w:w="3092" w:type="dxa"/>
          </w:tcPr>
          <w:p>
            <w:pPr>
              <w:pStyle w:val="TableParagraph"/>
              <w:spacing w:before="162"/>
              <w:ind w:left="72" w:right="141"/>
              <w:rPr>
                <w:sz w:val="18"/>
              </w:rPr>
            </w:pPr>
            <w:r>
              <w:rPr>
                <w:b/>
                <w:sz w:val="18"/>
              </w:rPr>
              <w:t>Actividad</w:t>
            </w:r>
            <w:r>
              <w:rPr>
                <w:b/>
                <w:spacing w:val="-12"/>
                <w:sz w:val="18"/>
              </w:rPr>
              <w:t> </w:t>
            </w:r>
            <w:r>
              <w:rPr>
                <w:b/>
                <w:sz w:val="18"/>
              </w:rPr>
              <w:t>PAC</w:t>
            </w:r>
            <w:r>
              <w:rPr>
                <w:b/>
                <w:spacing w:val="-9"/>
                <w:sz w:val="18"/>
              </w:rPr>
              <w:t> </w:t>
            </w:r>
            <w:r>
              <w:rPr>
                <w:b/>
                <w:sz w:val="18"/>
              </w:rPr>
              <w:t>2.73.1</w:t>
            </w:r>
            <w:r>
              <w:rPr>
                <w:sz w:val="18"/>
              </w:rPr>
              <w:t>:</w:t>
            </w:r>
            <w:r>
              <w:rPr>
                <w:spacing w:val="-5"/>
                <w:sz w:val="18"/>
              </w:rPr>
              <w:t> </w:t>
            </w:r>
            <w:r>
              <w:rPr>
                <w:sz w:val="18"/>
              </w:rPr>
              <w:t>Asesorar</w:t>
            </w:r>
            <w:r>
              <w:rPr>
                <w:spacing w:val="-9"/>
                <w:sz w:val="18"/>
              </w:rPr>
              <w:t> </w:t>
            </w:r>
            <w:r>
              <w:rPr>
                <w:sz w:val="18"/>
              </w:rPr>
              <w:t>a las UIPER en la formulación del Plan de Inversión Regional</w:t>
            </w:r>
          </w:p>
        </w:tc>
        <w:tc>
          <w:tcPr>
            <w:tcW w:w="1560" w:type="dxa"/>
          </w:tcPr>
          <w:p>
            <w:pPr>
              <w:pStyle w:val="TableParagraph"/>
              <w:spacing w:before="56"/>
              <w:ind w:left="67" w:right="58"/>
              <w:rPr>
                <w:sz w:val="18"/>
              </w:rPr>
            </w:pPr>
            <w:r>
              <w:rPr>
                <w:sz w:val="18"/>
              </w:rPr>
              <w:t>Cantidad</w:t>
            </w:r>
            <w:r>
              <w:rPr>
                <w:spacing w:val="-13"/>
                <w:sz w:val="18"/>
              </w:rPr>
              <w:t> </w:t>
            </w:r>
            <w:r>
              <w:rPr>
                <w:sz w:val="18"/>
              </w:rPr>
              <w:t>de sesiones</w:t>
            </w:r>
            <w:r>
              <w:rPr>
                <w:spacing w:val="-13"/>
                <w:sz w:val="18"/>
              </w:rPr>
              <w:t> </w:t>
            </w:r>
            <w:r>
              <w:rPr>
                <w:sz w:val="18"/>
              </w:rPr>
              <w:t>de </w:t>
            </w:r>
            <w:r>
              <w:rPr>
                <w:spacing w:val="-2"/>
                <w:sz w:val="18"/>
              </w:rPr>
              <w:t>asesoría realizadas</w:t>
            </w:r>
          </w:p>
        </w:tc>
        <w:tc>
          <w:tcPr>
            <w:tcW w:w="1181" w:type="dxa"/>
          </w:tcPr>
          <w:p>
            <w:pPr>
              <w:pStyle w:val="TableParagraph"/>
              <w:spacing w:before="161"/>
              <w:rPr>
                <w:b/>
                <w:sz w:val="18"/>
              </w:rPr>
            </w:pPr>
          </w:p>
          <w:p>
            <w:pPr>
              <w:pStyle w:val="TableParagraph"/>
              <w:ind w:left="28" w:right="26"/>
              <w:jc w:val="center"/>
              <w:rPr>
                <w:sz w:val="18"/>
              </w:rPr>
            </w:pPr>
            <w:r>
              <w:rPr>
                <w:spacing w:val="-5"/>
                <w:sz w:val="18"/>
              </w:rPr>
              <w:t>18</w:t>
            </w: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093" w:hRule="atLeast"/>
        </w:trPr>
        <w:tc>
          <w:tcPr>
            <w:tcW w:w="3092" w:type="dxa"/>
          </w:tcPr>
          <w:p>
            <w:pPr>
              <w:pStyle w:val="TableParagraph"/>
              <w:spacing w:before="27"/>
              <w:rPr>
                <w:b/>
                <w:sz w:val="18"/>
              </w:rPr>
            </w:pPr>
          </w:p>
          <w:p>
            <w:pPr>
              <w:pStyle w:val="TableParagraph"/>
              <w:spacing w:line="242" w:lineRule="auto"/>
              <w:ind w:left="72" w:right="169"/>
              <w:jc w:val="both"/>
              <w:rPr>
                <w:sz w:val="18"/>
              </w:rPr>
            </w:pPr>
            <w:r>
              <w:rPr>
                <w:b/>
                <w:sz w:val="18"/>
              </w:rPr>
              <w:t>Actividad</w:t>
            </w:r>
            <w:r>
              <w:rPr>
                <w:b/>
                <w:spacing w:val="-12"/>
                <w:sz w:val="18"/>
              </w:rPr>
              <w:t> </w:t>
            </w:r>
            <w:r>
              <w:rPr>
                <w:b/>
                <w:sz w:val="18"/>
              </w:rPr>
              <w:t>PAC</w:t>
            </w:r>
            <w:r>
              <w:rPr>
                <w:b/>
                <w:spacing w:val="-8"/>
                <w:sz w:val="18"/>
              </w:rPr>
              <w:t> </w:t>
            </w:r>
            <w:r>
              <w:rPr>
                <w:b/>
                <w:sz w:val="18"/>
              </w:rPr>
              <w:t>2.73.2:</w:t>
            </w:r>
            <w:r>
              <w:rPr>
                <w:b/>
                <w:spacing w:val="-3"/>
                <w:sz w:val="18"/>
              </w:rPr>
              <w:t> </w:t>
            </w:r>
            <w:r>
              <w:rPr>
                <w:sz w:val="18"/>
              </w:rPr>
              <w:t>Elaborar</w:t>
            </w:r>
            <w:r>
              <w:rPr>
                <w:spacing w:val="-9"/>
                <w:sz w:val="18"/>
              </w:rPr>
              <w:t> </w:t>
            </w:r>
            <w:r>
              <w:rPr>
                <w:sz w:val="18"/>
              </w:rPr>
              <w:t>un informe</w:t>
            </w:r>
            <w:r>
              <w:rPr>
                <w:spacing w:val="-1"/>
                <w:sz w:val="18"/>
              </w:rPr>
              <w:t> </w:t>
            </w:r>
            <w:r>
              <w:rPr>
                <w:sz w:val="18"/>
              </w:rPr>
              <w:t>de</w:t>
            </w:r>
            <w:r>
              <w:rPr>
                <w:spacing w:val="-1"/>
                <w:sz w:val="18"/>
              </w:rPr>
              <w:t> </w:t>
            </w:r>
            <w:r>
              <w:rPr>
                <w:sz w:val="18"/>
              </w:rPr>
              <w:t>resultados</w:t>
            </w:r>
            <w:r>
              <w:rPr>
                <w:spacing w:val="-1"/>
                <w:sz w:val="18"/>
              </w:rPr>
              <w:t> </w:t>
            </w:r>
            <w:r>
              <w:rPr>
                <w:sz w:val="18"/>
              </w:rPr>
              <w:t>de</w:t>
            </w:r>
            <w:r>
              <w:rPr>
                <w:spacing w:val="-1"/>
                <w:sz w:val="18"/>
              </w:rPr>
              <w:t> </w:t>
            </w:r>
            <w:r>
              <w:rPr>
                <w:sz w:val="18"/>
              </w:rPr>
              <w:t>los</w:t>
            </w:r>
            <w:r>
              <w:rPr>
                <w:spacing w:val="-1"/>
                <w:sz w:val="18"/>
              </w:rPr>
              <w:t> </w:t>
            </w:r>
            <w:r>
              <w:rPr>
                <w:sz w:val="18"/>
              </w:rPr>
              <w:t>nueve planes de inversión regional</w:t>
            </w:r>
          </w:p>
        </w:tc>
        <w:tc>
          <w:tcPr>
            <w:tcW w:w="1560" w:type="dxa"/>
          </w:tcPr>
          <w:p>
            <w:pPr>
              <w:pStyle w:val="TableParagraph"/>
              <w:spacing w:before="27"/>
              <w:rPr>
                <w:b/>
                <w:sz w:val="18"/>
              </w:rPr>
            </w:pPr>
          </w:p>
          <w:p>
            <w:pPr>
              <w:pStyle w:val="TableParagraph"/>
              <w:spacing w:line="242" w:lineRule="auto"/>
              <w:ind w:left="67" w:right="496"/>
              <w:jc w:val="both"/>
              <w:rPr>
                <w:sz w:val="18"/>
              </w:rPr>
            </w:pPr>
            <w:r>
              <w:rPr>
                <w:sz w:val="18"/>
              </w:rPr>
              <w:t>Cantidad</w:t>
            </w:r>
            <w:r>
              <w:rPr>
                <w:spacing w:val="-13"/>
                <w:sz w:val="18"/>
              </w:rPr>
              <w:t> </w:t>
            </w:r>
            <w:r>
              <w:rPr>
                <w:sz w:val="18"/>
              </w:rPr>
              <w:t>de </w:t>
            </w:r>
            <w:r>
              <w:rPr>
                <w:spacing w:val="-2"/>
                <w:sz w:val="18"/>
              </w:rPr>
              <w:t>documentos elaborados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31"/>
              <w:rPr>
                <w:b/>
                <w:sz w:val="18"/>
              </w:rPr>
            </w:pPr>
          </w:p>
          <w:p>
            <w:pPr>
              <w:pStyle w:val="TableParagraph"/>
              <w:ind w:left="19" w:right="2"/>
              <w:jc w:val="center"/>
              <w:rPr>
                <w:sz w:val="18"/>
              </w:rPr>
            </w:pPr>
            <w:r>
              <w:rPr>
                <w:spacing w:val="-10"/>
                <w:sz w:val="18"/>
              </w:rPr>
              <w:t>1</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768" w:hRule="atLeast"/>
        </w:trPr>
        <w:tc>
          <w:tcPr>
            <w:tcW w:w="3092" w:type="dxa"/>
          </w:tcPr>
          <w:p>
            <w:pPr>
              <w:pStyle w:val="TableParagraph"/>
              <w:spacing w:line="242" w:lineRule="auto" w:before="71"/>
              <w:ind w:left="72" w:right="770"/>
              <w:jc w:val="both"/>
              <w:rPr>
                <w:sz w:val="18"/>
              </w:rPr>
            </w:pPr>
            <w:r>
              <w:rPr>
                <w:b/>
                <w:sz w:val="18"/>
              </w:rPr>
              <w:t>Actividad</w:t>
            </w:r>
            <w:r>
              <w:rPr>
                <w:b/>
                <w:spacing w:val="-2"/>
                <w:sz w:val="18"/>
              </w:rPr>
              <w:t> </w:t>
            </w:r>
            <w:r>
              <w:rPr>
                <w:b/>
                <w:sz w:val="18"/>
              </w:rPr>
              <w:t>PAC 2.73.3: </w:t>
            </w:r>
            <w:r>
              <w:rPr>
                <w:sz w:val="18"/>
              </w:rPr>
              <w:t>Dar seguimiento</w:t>
            </w:r>
            <w:r>
              <w:rPr>
                <w:spacing w:val="-9"/>
                <w:sz w:val="18"/>
              </w:rPr>
              <w:t> </w:t>
            </w:r>
            <w:r>
              <w:rPr>
                <w:sz w:val="18"/>
              </w:rPr>
              <w:t>a</w:t>
            </w:r>
            <w:r>
              <w:rPr>
                <w:spacing w:val="-6"/>
                <w:sz w:val="18"/>
              </w:rPr>
              <w:t> </w:t>
            </w:r>
            <w:r>
              <w:rPr>
                <w:sz w:val="18"/>
              </w:rPr>
              <w:t>los</w:t>
            </w:r>
            <w:r>
              <w:rPr>
                <w:spacing w:val="-9"/>
                <w:sz w:val="18"/>
              </w:rPr>
              <w:t> </w:t>
            </w:r>
            <w:r>
              <w:rPr>
                <w:sz w:val="18"/>
              </w:rPr>
              <w:t>planes</w:t>
            </w:r>
            <w:r>
              <w:rPr>
                <w:spacing w:val="-9"/>
                <w:sz w:val="18"/>
              </w:rPr>
              <w:t> </w:t>
            </w:r>
            <w:r>
              <w:rPr>
                <w:sz w:val="18"/>
              </w:rPr>
              <w:t>de inversión regional</w:t>
            </w:r>
          </w:p>
        </w:tc>
        <w:tc>
          <w:tcPr>
            <w:tcW w:w="1560" w:type="dxa"/>
          </w:tcPr>
          <w:p>
            <w:pPr>
              <w:pStyle w:val="TableParagraph"/>
              <w:spacing w:line="242" w:lineRule="auto" w:before="71"/>
              <w:ind w:left="67" w:right="58"/>
              <w:rPr>
                <w:sz w:val="18"/>
              </w:rPr>
            </w:pPr>
            <w:r>
              <w:rPr>
                <w:sz w:val="18"/>
              </w:rPr>
              <w:t>Cantidad de </w:t>
            </w:r>
            <w:r>
              <w:rPr>
                <w:spacing w:val="-2"/>
                <w:sz w:val="18"/>
              </w:rPr>
              <w:t>seguimientos realizados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spacing w:before="70"/>
              <w:rPr>
                <w:b/>
                <w:sz w:val="18"/>
              </w:rPr>
            </w:pPr>
          </w:p>
          <w:p>
            <w:pPr>
              <w:pStyle w:val="TableParagraph"/>
              <w:spacing w:before="1"/>
              <w:ind w:left="28" w:right="11"/>
              <w:jc w:val="center"/>
              <w:rPr>
                <w:sz w:val="18"/>
              </w:rPr>
            </w:pPr>
            <w:r>
              <w:rPr>
                <w:spacing w:val="-10"/>
                <w:sz w:val="18"/>
              </w:rPr>
              <w:t>1</w:t>
            </w:r>
          </w:p>
        </w:tc>
        <w:tc>
          <w:tcPr>
            <w:tcW w:w="1234" w:type="dxa"/>
          </w:tcPr>
          <w:p>
            <w:pPr>
              <w:pStyle w:val="TableParagraph"/>
              <w:rPr>
                <w:rFonts w:ascii="Times New Roman"/>
                <w:sz w:val="18"/>
              </w:rPr>
            </w:pPr>
          </w:p>
        </w:tc>
        <w:tc>
          <w:tcPr>
            <w:tcW w:w="1282" w:type="dxa"/>
          </w:tcPr>
          <w:p>
            <w:pPr>
              <w:pStyle w:val="TableParagraph"/>
              <w:spacing w:before="70"/>
              <w:rPr>
                <w:b/>
                <w:sz w:val="18"/>
              </w:rPr>
            </w:pPr>
          </w:p>
          <w:p>
            <w:pPr>
              <w:pStyle w:val="TableParagraph"/>
              <w:spacing w:before="1"/>
              <w:ind w:left="20" w:right="7"/>
              <w:jc w:val="center"/>
              <w:rPr>
                <w:sz w:val="18"/>
              </w:rPr>
            </w:pPr>
            <w:r>
              <w:rPr>
                <w:spacing w:val="-10"/>
                <w:sz w:val="18"/>
              </w:rPr>
              <w:t>2</w:t>
            </w:r>
          </w:p>
        </w:tc>
        <w:tc>
          <w:tcPr>
            <w:tcW w:w="1230" w:type="dxa"/>
          </w:tcPr>
          <w:p>
            <w:pPr>
              <w:pStyle w:val="TableParagraph"/>
              <w:rPr>
                <w:rFonts w:ascii="Times New Roman"/>
                <w:sz w:val="18"/>
              </w:rPr>
            </w:pPr>
          </w:p>
        </w:tc>
      </w:tr>
      <w:tr>
        <w:trPr>
          <w:trHeight w:val="571" w:hRule="atLeast"/>
        </w:trPr>
        <w:tc>
          <w:tcPr>
            <w:tcW w:w="14394" w:type="dxa"/>
            <w:gridSpan w:val="10"/>
            <w:shd w:val="clear" w:color="auto" w:fill="EFF8F9"/>
          </w:tcPr>
          <w:p>
            <w:pPr>
              <w:pStyle w:val="TableParagraph"/>
              <w:spacing w:before="181"/>
              <w:ind w:left="72"/>
              <w:rPr>
                <w:b/>
                <w:sz w:val="18"/>
              </w:rPr>
            </w:pPr>
            <w:r>
              <w:rPr>
                <w:b/>
                <w:sz w:val="18"/>
              </w:rPr>
              <w:t>Producto</w:t>
            </w:r>
            <w:r>
              <w:rPr>
                <w:b/>
                <w:spacing w:val="-8"/>
                <w:sz w:val="18"/>
              </w:rPr>
              <w:t> </w:t>
            </w:r>
            <w:r>
              <w:rPr>
                <w:b/>
                <w:sz w:val="18"/>
              </w:rPr>
              <w:t>PAC</w:t>
            </w:r>
            <w:r>
              <w:rPr>
                <w:b/>
                <w:spacing w:val="-7"/>
                <w:sz w:val="18"/>
              </w:rPr>
              <w:t> </w:t>
            </w:r>
            <w:r>
              <w:rPr>
                <w:b/>
                <w:sz w:val="18"/>
              </w:rPr>
              <w:t>2.74:</w:t>
            </w:r>
            <w:r>
              <w:rPr>
                <w:b/>
                <w:spacing w:val="-5"/>
                <w:sz w:val="18"/>
              </w:rPr>
              <w:t> </w:t>
            </w:r>
            <w:r>
              <w:rPr>
                <w:b/>
                <w:sz w:val="18"/>
              </w:rPr>
              <w:t>Normativa</w:t>
            </w:r>
            <w:r>
              <w:rPr>
                <w:b/>
                <w:spacing w:val="-6"/>
                <w:sz w:val="18"/>
              </w:rPr>
              <w:t> </w:t>
            </w:r>
            <w:r>
              <w:rPr>
                <w:b/>
                <w:sz w:val="18"/>
              </w:rPr>
              <w:t>de</w:t>
            </w:r>
            <w:r>
              <w:rPr>
                <w:b/>
                <w:spacing w:val="-6"/>
                <w:sz w:val="18"/>
              </w:rPr>
              <w:t> </w:t>
            </w:r>
            <w:r>
              <w:rPr>
                <w:b/>
                <w:sz w:val="18"/>
              </w:rPr>
              <w:t>control</w:t>
            </w:r>
            <w:r>
              <w:rPr>
                <w:b/>
                <w:spacing w:val="-4"/>
                <w:sz w:val="18"/>
              </w:rPr>
              <w:t> </w:t>
            </w:r>
            <w:r>
              <w:rPr>
                <w:b/>
                <w:sz w:val="18"/>
              </w:rPr>
              <w:t>interno</w:t>
            </w:r>
            <w:r>
              <w:rPr>
                <w:b/>
                <w:spacing w:val="-7"/>
                <w:sz w:val="18"/>
              </w:rPr>
              <w:t> </w:t>
            </w:r>
            <w:r>
              <w:rPr>
                <w:b/>
                <w:sz w:val="18"/>
              </w:rPr>
              <w:t>y</w:t>
            </w:r>
            <w:r>
              <w:rPr>
                <w:b/>
                <w:spacing w:val="-6"/>
                <w:sz w:val="18"/>
              </w:rPr>
              <w:t> </w:t>
            </w:r>
            <w:r>
              <w:rPr>
                <w:b/>
                <w:sz w:val="18"/>
              </w:rPr>
              <w:t>del</w:t>
            </w:r>
            <w:r>
              <w:rPr>
                <w:b/>
                <w:spacing w:val="-4"/>
                <w:sz w:val="18"/>
              </w:rPr>
              <w:t> </w:t>
            </w:r>
            <w:r>
              <w:rPr>
                <w:b/>
                <w:sz w:val="18"/>
              </w:rPr>
              <w:t>sistema</w:t>
            </w:r>
            <w:r>
              <w:rPr>
                <w:b/>
                <w:spacing w:val="-3"/>
                <w:sz w:val="18"/>
              </w:rPr>
              <w:t> </w:t>
            </w:r>
            <w:r>
              <w:rPr>
                <w:b/>
                <w:sz w:val="18"/>
              </w:rPr>
              <w:t>de</w:t>
            </w:r>
            <w:r>
              <w:rPr>
                <w:b/>
                <w:spacing w:val="-6"/>
                <w:sz w:val="18"/>
              </w:rPr>
              <w:t> </w:t>
            </w:r>
            <w:r>
              <w:rPr>
                <w:b/>
                <w:sz w:val="18"/>
              </w:rPr>
              <w:t>planificación</w:t>
            </w:r>
            <w:r>
              <w:rPr>
                <w:b/>
                <w:spacing w:val="-7"/>
                <w:sz w:val="18"/>
              </w:rPr>
              <w:t> </w:t>
            </w:r>
            <w:r>
              <w:rPr>
                <w:b/>
                <w:sz w:val="18"/>
              </w:rPr>
              <w:t>alineada</w:t>
            </w:r>
            <w:r>
              <w:rPr>
                <w:b/>
                <w:spacing w:val="-6"/>
                <w:sz w:val="18"/>
              </w:rPr>
              <w:t> </w:t>
            </w:r>
            <w:r>
              <w:rPr>
                <w:b/>
                <w:sz w:val="18"/>
              </w:rPr>
              <w:t>sobre</w:t>
            </w:r>
            <w:r>
              <w:rPr>
                <w:b/>
                <w:spacing w:val="-6"/>
                <w:sz w:val="18"/>
              </w:rPr>
              <w:t> </w:t>
            </w:r>
            <w:r>
              <w:rPr>
                <w:b/>
                <w:sz w:val="18"/>
              </w:rPr>
              <w:t>la</w:t>
            </w:r>
            <w:r>
              <w:rPr>
                <w:b/>
                <w:spacing w:val="-6"/>
                <w:sz w:val="18"/>
              </w:rPr>
              <w:t> </w:t>
            </w:r>
            <w:r>
              <w:rPr>
                <w:b/>
                <w:sz w:val="18"/>
              </w:rPr>
              <w:t>base</w:t>
            </w:r>
            <w:r>
              <w:rPr>
                <w:b/>
                <w:spacing w:val="-6"/>
                <w:sz w:val="18"/>
              </w:rPr>
              <w:t> </w:t>
            </w:r>
            <w:r>
              <w:rPr>
                <w:b/>
                <w:sz w:val="18"/>
              </w:rPr>
              <w:t>riesgos</w:t>
            </w:r>
            <w:r>
              <w:rPr>
                <w:b/>
                <w:spacing w:val="-2"/>
                <w:sz w:val="18"/>
              </w:rPr>
              <w:t> </w:t>
            </w:r>
            <w:r>
              <w:rPr>
                <w:b/>
                <w:sz w:val="18"/>
              </w:rPr>
              <w:t>estratégicos</w:t>
            </w:r>
            <w:r>
              <w:rPr>
                <w:b/>
                <w:spacing w:val="-7"/>
                <w:sz w:val="18"/>
              </w:rPr>
              <w:t> </w:t>
            </w:r>
            <w:r>
              <w:rPr>
                <w:b/>
                <w:sz w:val="18"/>
              </w:rPr>
              <w:t>y</w:t>
            </w:r>
            <w:r>
              <w:rPr>
                <w:b/>
                <w:spacing w:val="5"/>
                <w:sz w:val="18"/>
              </w:rPr>
              <w:t> </w:t>
            </w:r>
            <w:r>
              <w:rPr>
                <w:b/>
                <w:sz w:val="18"/>
              </w:rPr>
              <w:t>operativos.</w:t>
            </w:r>
            <w:r>
              <w:rPr>
                <w:b/>
                <w:spacing w:val="45"/>
                <w:sz w:val="18"/>
              </w:rPr>
              <w:t> </w:t>
            </w:r>
            <w:r>
              <w:rPr>
                <w:b/>
                <w:sz w:val="18"/>
              </w:rPr>
              <w:t>E1</w:t>
            </w:r>
            <w:r>
              <w:rPr>
                <w:b/>
                <w:spacing w:val="-2"/>
                <w:sz w:val="18"/>
              </w:rPr>
              <w:t> </w:t>
            </w:r>
            <w:r>
              <w:rPr>
                <w:b/>
                <w:sz w:val="18"/>
              </w:rPr>
              <w:t>AE5</w:t>
            </w:r>
            <w:r>
              <w:rPr>
                <w:b/>
                <w:spacing w:val="-3"/>
                <w:sz w:val="18"/>
              </w:rPr>
              <w:t> </w:t>
            </w:r>
            <w:r>
              <w:rPr>
                <w:b/>
                <w:sz w:val="18"/>
              </w:rPr>
              <w:t>R1</w:t>
            </w:r>
            <w:r>
              <w:rPr>
                <w:b/>
                <w:spacing w:val="-6"/>
                <w:sz w:val="18"/>
              </w:rPr>
              <w:t> </w:t>
            </w:r>
            <w:r>
              <w:rPr>
                <w:b/>
                <w:spacing w:val="-2"/>
                <w:sz w:val="18"/>
              </w:rPr>
              <w:t>(100%)</w:t>
            </w:r>
          </w:p>
        </w:tc>
      </w:tr>
      <w:tr>
        <w:trPr>
          <w:trHeight w:val="1300" w:hRule="atLeast"/>
        </w:trPr>
        <w:tc>
          <w:tcPr>
            <w:tcW w:w="3092" w:type="dxa"/>
          </w:tcPr>
          <w:p>
            <w:pPr>
              <w:pStyle w:val="TableParagraph"/>
              <w:spacing w:before="27"/>
              <w:rPr>
                <w:b/>
                <w:sz w:val="18"/>
              </w:rPr>
            </w:pPr>
          </w:p>
          <w:p>
            <w:pPr>
              <w:pStyle w:val="TableParagraph"/>
              <w:ind w:left="72" w:right="99"/>
              <w:rPr>
                <w:sz w:val="18"/>
              </w:rPr>
            </w:pPr>
            <w:r>
              <w:rPr>
                <w:b/>
                <w:sz w:val="18"/>
              </w:rPr>
              <w:t>Actividad</w:t>
            </w:r>
            <w:r>
              <w:rPr>
                <w:b/>
                <w:spacing w:val="-12"/>
                <w:sz w:val="18"/>
              </w:rPr>
              <w:t> </w:t>
            </w:r>
            <w:r>
              <w:rPr>
                <w:b/>
                <w:sz w:val="18"/>
              </w:rPr>
              <w:t>PAC</w:t>
            </w:r>
            <w:r>
              <w:rPr>
                <w:b/>
                <w:spacing w:val="-8"/>
                <w:sz w:val="18"/>
              </w:rPr>
              <w:t> </w:t>
            </w:r>
            <w:r>
              <w:rPr>
                <w:b/>
                <w:sz w:val="18"/>
              </w:rPr>
              <w:t>2.74.1</w:t>
            </w:r>
            <w:r>
              <w:rPr>
                <w:sz w:val="18"/>
              </w:rPr>
              <w:t>:</w:t>
            </w:r>
            <w:r>
              <w:rPr>
                <w:spacing w:val="-9"/>
                <w:sz w:val="18"/>
              </w:rPr>
              <w:t> </w:t>
            </w:r>
            <w:r>
              <w:rPr>
                <w:sz w:val="18"/>
              </w:rPr>
              <w:t>Identificar</w:t>
            </w:r>
            <w:r>
              <w:rPr>
                <w:spacing w:val="-6"/>
                <w:sz w:val="18"/>
              </w:rPr>
              <w:t> </w:t>
            </w:r>
            <w:r>
              <w:rPr>
                <w:sz w:val="18"/>
              </w:rPr>
              <w:t>la normativa interna sobre el sistema de Control Interno que se debe actualizar, modificar o eliminar</w:t>
            </w:r>
          </w:p>
        </w:tc>
        <w:tc>
          <w:tcPr>
            <w:tcW w:w="1560" w:type="dxa"/>
          </w:tcPr>
          <w:p>
            <w:pPr>
              <w:pStyle w:val="TableParagraph"/>
              <w:spacing w:before="133"/>
              <w:ind w:left="67" w:right="108"/>
              <w:rPr>
                <w:sz w:val="18"/>
              </w:rPr>
            </w:pPr>
            <w:r>
              <w:rPr>
                <w:sz w:val="18"/>
              </w:rPr>
              <w:t>Porcentaje de </w:t>
            </w:r>
            <w:r>
              <w:rPr>
                <w:spacing w:val="-2"/>
                <w:sz w:val="18"/>
              </w:rPr>
              <w:t>normativa </w:t>
            </w:r>
            <w:r>
              <w:rPr>
                <w:sz w:val="18"/>
              </w:rPr>
              <w:t>identificada</w:t>
            </w:r>
            <w:r>
              <w:rPr>
                <w:spacing w:val="-13"/>
                <w:sz w:val="18"/>
              </w:rPr>
              <w:t> </w:t>
            </w:r>
            <w:r>
              <w:rPr>
                <w:sz w:val="18"/>
              </w:rPr>
              <w:t>que se requiere </w:t>
            </w:r>
            <w:r>
              <w:rPr>
                <w:spacing w:val="-2"/>
                <w:sz w:val="18"/>
              </w:rPr>
              <w:t>ajustar</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132"/>
              <w:rPr>
                <w:b/>
                <w:sz w:val="18"/>
              </w:rPr>
            </w:pPr>
          </w:p>
          <w:p>
            <w:pPr>
              <w:pStyle w:val="TableParagraph"/>
              <w:ind w:left="28" w:right="13"/>
              <w:jc w:val="center"/>
              <w:rPr>
                <w:sz w:val="18"/>
              </w:rPr>
            </w:pPr>
            <w:r>
              <w:rPr>
                <w:spacing w:val="-4"/>
                <w:sz w:val="18"/>
              </w:rPr>
              <w:t>100%</w:t>
            </w: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099" w:hRule="atLeast"/>
        </w:trPr>
        <w:tc>
          <w:tcPr>
            <w:tcW w:w="3092" w:type="dxa"/>
          </w:tcPr>
          <w:p>
            <w:pPr>
              <w:pStyle w:val="TableParagraph"/>
              <w:spacing w:before="133"/>
              <w:ind w:left="72" w:right="99"/>
              <w:rPr>
                <w:sz w:val="18"/>
              </w:rPr>
            </w:pPr>
            <w:r>
              <w:rPr>
                <w:b/>
                <w:sz w:val="18"/>
              </w:rPr>
              <w:t>Actividad</w:t>
            </w:r>
            <w:r>
              <w:rPr>
                <w:b/>
                <w:spacing w:val="-12"/>
                <w:sz w:val="18"/>
              </w:rPr>
              <w:t> </w:t>
            </w:r>
            <w:r>
              <w:rPr>
                <w:b/>
                <w:sz w:val="18"/>
              </w:rPr>
              <w:t>PAC</w:t>
            </w:r>
            <w:r>
              <w:rPr>
                <w:b/>
                <w:spacing w:val="-9"/>
                <w:sz w:val="18"/>
              </w:rPr>
              <w:t> </w:t>
            </w:r>
            <w:r>
              <w:rPr>
                <w:b/>
                <w:sz w:val="18"/>
              </w:rPr>
              <w:t>2.74.2:</w:t>
            </w:r>
            <w:r>
              <w:rPr>
                <w:b/>
                <w:spacing w:val="-4"/>
                <w:sz w:val="18"/>
              </w:rPr>
              <w:t> </w:t>
            </w:r>
            <w:r>
              <w:rPr>
                <w:sz w:val="18"/>
              </w:rPr>
              <w:t>Trasladar</w:t>
            </w:r>
            <w:r>
              <w:rPr>
                <w:spacing w:val="-7"/>
                <w:sz w:val="18"/>
              </w:rPr>
              <w:t> </w:t>
            </w:r>
            <w:r>
              <w:rPr>
                <w:sz w:val="18"/>
              </w:rPr>
              <w:t>al órgano o ente competente para la aprobación /actualización/ derogación de la normativa.</w:t>
            </w:r>
          </w:p>
        </w:tc>
        <w:tc>
          <w:tcPr>
            <w:tcW w:w="1560" w:type="dxa"/>
          </w:tcPr>
          <w:p>
            <w:pPr>
              <w:pStyle w:val="TableParagraph"/>
              <w:spacing w:before="133"/>
              <w:ind w:left="67" w:right="275"/>
              <w:rPr>
                <w:sz w:val="18"/>
              </w:rPr>
            </w:pPr>
            <w:r>
              <w:rPr>
                <w:sz w:val="18"/>
              </w:rPr>
              <w:t>Cantidad de propuesta de normativa</w:t>
            </w:r>
            <w:r>
              <w:rPr>
                <w:spacing w:val="-13"/>
                <w:sz w:val="18"/>
              </w:rPr>
              <w:t> </w:t>
            </w:r>
            <w:r>
              <w:rPr>
                <w:sz w:val="18"/>
              </w:rPr>
              <w:t>para </w:t>
            </w:r>
            <w:r>
              <w:rPr>
                <w:spacing w:val="-2"/>
                <w:sz w:val="18"/>
              </w:rPr>
              <w:t>aprobación.</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31"/>
              <w:rPr>
                <w:b/>
                <w:sz w:val="18"/>
              </w:rPr>
            </w:pPr>
          </w:p>
          <w:p>
            <w:pPr>
              <w:pStyle w:val="TableParagraph"/>
              <w:ind w:left="20" w:right="7"/>
              <w:jc w:val="center"/>
              <w:rPr>
                <w:sz w:val="18"/>
              </w:rPr>
            </w:pPr>
            <w:r>
              <w:rPr>
                <w:spacing w:val="-10"/>
                <w:sz w:val="18"/>
              </w:rPr>
              <w:t>1</w:t>
            </w:r>
          </w:p>
        </w:tc>
        <w:tc>
          <w:tcPr>
            <w:tcW w:w="1230" w:type="dxa"/>
          </w:tcPr>
          <w:p>
            <w:pPr>
              <w:pStyle w:val="TableParagraph"/>
              <w:rPr>
                <w:rFonts w:ascii="Times New Roman"/>
                <w:sz w:val="18"/>
              </w:rPr>
            </w:pPr>
          </w:p>
        </w:tc>
      </w:tr>
      <w:tr>
        <w:trPr>
          <w:trHeight w:val="1449" w:hRule="atLeast"/>
        </w:trPr>
        <w:tc>
          <w:tcPr>
            <w:tcW w:w="3092" w:type="dxa"/>
          </w:tcPr>
          <w:p>
            <w:pPr>
              <w:pStyle w:val="TableParagraph"/>
              <w:spacing w:before="99"/>
              <w:rPr>
                <w:b/>
                <w:sz w:val="18"/>
              </w:rPr>
            </w:pPr>
          </w:p>
          <w:p>
            <w:pPr>
              <w:pStyle w:val="TableParagraph"/>
              <w:spacing w:line="242" w:lineRule="auto"/>
              <w:ind w:left="72" w:right="81"/>
              <w:rPr>
                <w:sz w:val="18"/>
              </w:rPr>
            </w:pPr>
            <w:r>
              <w:rPr>
                <w:b/>
                <w:sz w:val="18"/>
              </w:rPr>
              <w:t>Actividad</w:t>
            </w:r>
            <w:r>
              <w:rPr>
                <w:b/>
                <w:spacing w:val="-3"/>
                <w:sz w:val="18"/>
              </w:rPr>
              <w:t> </w:t>
            </w:r>
            <w:r>
              <w:rPr>
                <w:b/>
                <w:sz w:val="18"/>
              </w:rPr>
              <w:t>PAC 2.74.3: </w:t>
            </w:r>
            <w:r>
              <w:rPr>
                <w:sz w:val="18"/>
              </w:rPr>
              <w:t>Coordinar la divulgación de la normativa aprobada</w:t>
            </w:r>
            <w:r>
              <w:rPr>
                <w:spacing w:val="-9"/>
                <w:sz w:val="18"/>
              </w:rPr>
              <w:t> </w:t>
            </w:r>
            <w:r>
              <w:rPr>
                <w:sz w:val="18"/>
              </w:rPr>
              <w:t>/modificada/</w:t>
            </w:r>
            <w:r>
              <w:rPr>
                <w:spacing w:val="-7"/>
                <w:sz w:val="18"/>
              </w:rPr>
              <w:t> </w:t>
            </w:r>
            <w:r>
              <w:rPr>
                <w:sz w:val="18"/>
              </w:rPr>
              <w:t>eliminada</w:t>
            </w:r>
            <w:r>
              <w:rPr>
                <w:spacing w:val="-9"/>
                <w:sz w:val="18"/>
              </w:rPr>
              <w:t> </w:t>
            </w:r>
            <w:r>
              <w:rPr>
                <w:sz w:val="18"/>
              </w:rPr>
              <w:t>por medio</w:t>
            </w:r>
            <w:r>
              <w:rPr>
                <w:spacing w:val="-5"/>
                <w:sz w:val="18"/>
              </w:rPr>
              <w:t> </w:t>
            </w:r>
            <w:r>
              <w:rPr>
                <w:sz w:val="18"/>
              </w:rPr>
              <w:t>de</w:t>
            </w:r>
            <w:r>
              <w:rPr>
                <w:spacing w:val="-1"/>
                <w:sz w:val="18"/>
              </w:rPr>
              <w:t> </w:t>
            </w:r>
            <w:r>
              <w:rPr>
                <w:sz w:val="18"/>
              </w:rPr>
              <w:t>los</w:t>
            </w:r>
            <w:r>
              <w:rPr>
                <w:spacing w:val="-4"/>
                <w:sz w:val="18"/>
              </w:rPr>
              <w:t> </w:t>
            </w:r>
            <w:r>
              <w:rPr>
                <w:sz w:val="18"/>
              </w:rPr>
              <w:t>canales </w:t>
            </w:r>
            <w:r>
              <w:rPr>
                <w:spacing w:val="-2"/>
                <w:sz w:val="18"/>
              </w:rPr>
              <w:t>institucionales.</w:t>
            </w:r>
          </w:p>
        </w:tc>
        <w:tc>
          <w:tcPr>
            <w:tcW w:w="1560" w:type="dxa"/>
          </w:tcPr>
          <w:p>
            <w:pPr>
              <w:pStyle w:val="TableParagraph"/>
              <w:ind w:left="67" w:right="58"/>
              <w:rPr>
                <w:sz w:val="18"/>
              </w:rPr>
            </w:pPr>
            <w:r>
              <w:rPr>
                <w:sz w:val="18"/>
              </w:rPr>
              <w:t>Cantidad de </w:t>
            </w:r>
            <w:r>
              <w:rPr>
                <w:spacing w:val="-2"/>
                <w:sz w:val="18"/>
              </w:rPr>
              <w:t>coordinaciones </w:t>
            </w:r>
            <w:r>
              <w:rPr>
                <w:sz w:val="18"/>
              </w:rPr>
              <w:t>para divulgar </w:t>
            </w:r>
            <w:r>
              <w:rPr>
                <w:spacing w:val="-2"/>
                <w:sz w:val="18"/>
              </w:rPr>
              <w:t>normativa </w:t>
            </w:r>
            <w:r>
              <w:rPr>
                <w:sz w:val="18"/>
              </w:rPr>
              <w:t>aprobada</w:t>
            </w:r>
            <w:r>
              <w:rPr>
                <w:spacing w:val="-15"/>
                <w:sz w:val="18"/>
              </w:rPr>
              <w:t> </w:t>
            </w:r>
            <w:r>
              <w:rPr>
                <w:sz w:val="18"/>
              </w:rPr>
              <w:t>por</w:t>
            </w:r>
            <w:r>
              <w:rPr>
                <w:spacing w:val="-12"/>
                <w:sz w:val="18"/>
              </w:rPr>
              <w:t> </w:t>
            </w:r>
            <w:r>
              <w:rPr>
                <w:sz w:val="18"/>
              </w:rPr>
              <w:t>los </w:t>
            </w:r>
            <w:r>
              <w:rPr>
                <w:spacing w:val="-2"/>
                <w:sz w:val="18"/>
              </w:rPr>
              <w:t>canales</w:t>
            </w:r>
          </w:p>
          <w:p>
            <w:pPr>
              <w:pStyle w:val="TableParagraph"/>
              <w:spacing w:line="189" w:lineRule="exact"/>
              <w:ind w:left="67"/>
              <w:rPr>
                <w:sz w:val="18"/>
              </w:rPr>
            </w:pPr>
            <w:r>
              <w:rPr>
                <w:spacing w:val="-2"/>
                <w:sz w:val="18"/>
              </w:rPr>
              <w:t>institucionales.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204"/>
              <w:rPr>
                <w:b/>
                <w:sz w:val="18"/>
              </w:rPr>
            </w:pPr>
          </w:p>
          <w:p>
            <w:pPr>
              <w:pStyle w:val="TableParagraph"/>
              <w:ind w:left="20" w:right="7"/>
              <w:jc w:val="center"/>
              <w:rPr>
                <w:sz w:val="18"/>
              </w:rPr>
            </w:pPr>
            <w:r>
              <w:rPr>
                <w:spacing w:val="-10"/>
                <w:sz w:val="18"/>
              </w:rPr>
              <w:t>3</w:t>
            </w:r>
          </w:p>
        </w:tc>
        <w:tc>
          <w:tcPr>
            <w:tcW w:w="1230" w:type="dxa"/>
          </w:tcPr>
          <w:p>
            <w:pPr>
              <w:pStyle w:val="TableParagraph"/>
              <w:rPr>
                <w:rFonts w:ascii="Times New Roman"/>
                <w:sz w:val="18"/>
              </w:rPr>
            </w:pPr>
          </w:p>
        </w:tc>
      </w:tr>
    </w:tbl>
    <w:p>
      <w:pPr>
        <w:pStyle w:val="TableParagraph"/>
        <w:spacing w:after="0"/>
        <w:rPr>
          <w:rFonts w:ascii="Times New Roman"/>
          <w:sz w:val="18"/>
        </w:rPr>
        <w:sectPr>
          <w:footerReference w:type="default" r:id="rId87"/>
          <w:pgSz w:w="15840" w:h="12240" w:orient="landscape"/>
          <w:pgMar w:header="0" w:footer="1806" w:top="700" w:bottom="2632" w:left="360" w:right="360"/>
          <w:pgNumType w:start="327"/>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662" w:hRule="atLeast"/>
        </w:trPr>
        <w:tc>
          <w:tcPr>
            <w:tcW w:w="14394" w:type="dxa"/>
            <w:gridSpan w:val="10"/>
            <w:shd w:val="clear" w:color="auto" w:fill="EFF8F9"/>
          </w:tcPr>
          <w:p>
            <w:pPr>
              <w:pStyle w:val="TableParagraph"/>
              <w:spacing w:before="17"/>
              <w:rPr>
                <w:b/>
                <w:sz w:val="18"/>
              </w:rPr>
            </w:pPr>
          </w:p>
          <w:p>
            <w:pPr>
              <w:pStyle w:val="TableParagraph"/>
              <w:ind w:left="72"/>
              <w:rPr>
                <w:b/>
                <w:sz w:val="18"/>
              </w:rPr>
            </w:pPr>
            <w:r>
              <w:rPr>
                <w:b/>
                <w:sz w:val="18"/>
              </w:rPr>
              <w:t>Producto</w:t>
            </w:r>
            <w:r>
              <w:rPr>
                <w:b/>
                <w:spacing w:val="-8"/>
                <w:sz w:val="18"/>
              </w:rPr>
              <w:t> </w:t>
            </w:r>
            <w:r>
              <w:rPr>
                <w:b/>
                <w:sz w:val="18"/>
              </w:rPr>
              <w:t>PAC</w:t>
            </w:r>
            <w:r>
              <w:rPr>
                <w:b/>
                <w:spacing w:val="-9"/>
                <w:sz w:val="18"/>
              </w:rPr>
              <w:t> </w:t>
            </w:r>
            <w:r>
              <w:rPr>
                <w:b/>
                <w:sz w:val="18"/>
              </w:rPr>
              <w:t>2.75:</w:t>
            </w:r>
            <w:r>
              <w:rPr>
                <w:b/>
                <w:spacing w:val="-5"/>
                <w:sz w:val="18"/>
              </w:rPr>
              <w:t> </w:t>
            </w:r>
            <w:r>
              <w:rPr>
                <w:b/>
                <w:sz w:val="18"/>
              </w:rPr>
              <w:t>Sistema</w:t>
            </w:r>
            <w:r>
              <w:rPr>
                <w:b/>
                <w:spacing w:val="-7"/>
                <w:sz w:val="18"/>
              </w:rPr>
              <w:t> </w:t>
            </w:r>
            <w:r>
              <w:rPr>
                <w:b/>
                <w:sz w:val="18"/>
              </w:rPr>
              <w:t>informático</w:t>
            </w:r>
            <w:r>
              <w:rPr>
                <w:b/>
                <w:spacing w:val="-8"/>
                <w:sz w:val="18"/>
              </w:rPr>
              <w:t> </w:t>
            </w:r>
            <w:r>
              <w:rPr>
                <w:b/>
                <w:sz w:val="18"/>
              </w:rPr>
              <w:t>de</w:t>
            </w:r>
            <w:r>
              <w:rPr>
                <w:b/>
                <w:spacing w:val="-7"/>
                <w:sz w:val="18"/>
              </w:rPr>
              <w:t> </w:t>
            </w:r>
            <w:r>
              <w:rPr>
                <w:b/>
                <w:sz w:val="18"/>
              </w:rPr>
              <w:t>Planificación</w:t>
            </w:r>
            <w:r>
              <w:rPr>
                <w:b/>
                <w:spacing w:val="-8"/>
                <w:sz w:val="18"/>
              </w:rPr>
              <w:t> </w:t>
            </w:r>
            <w:r>
              <w:rPr>
                <w:b/>
                <w:sz w:val="18"/>
              </w:rPr>
              <w:t>Institucional</w:t>
            </w:r>
            <w:r>
              <w:rPr>
                <w:b/>
                <w:spacing w:val="-5"/>
                <w:sz w:val="18"/>
              </w:rPr>
              <w:t> </w:t>
            </w:r>
            <w:r>
              <w:rPr>
                <w:b/>
                <w:sz w:val="18"/>
              </w:rPr>
              <w:t>integrado</w:t>
            </w:r>
            <w:r>
              <w:rPr>
                <w:b/>
                <w:spacing w:val="-3"/>
                <w:sz w:val="18"/>
              </w:rPr>
              <w:t> </w:t>
            </w:r>
            <w:r>
              <w:rPr>
                <w:b/>
                <w:sz w:val="18"/>
              </w:rPr>
              <w:t>al</w:t>
            </w:r>
            <w:r>
              <w:rPr>
                <w:b/>
                <w:spacing w:val="-6"/>
                <w:sz w:val="18"/>
              </w:rPr>
              <w:t> </w:t>
            </w:r>
            <w:r>
              <w:rPr>
                <w:b/>
                <w:sz w:val="18"/>
              </w:rPr>
              <w:t>de</w:t>
            </w:r>
            <w:r>
              <w:rPr>
                <w:b/>
                <w:spacing w:val="-3"/>
                <w:sz w:val="18"/>
              </w:rPr>
              <w:t> </w:t>
            </w:r>
            <w:r>
              <w:rPr>
                <w:b/>
                <w:sz w:val="18"/>
              </w:rPr>
              <w:t>Control</w:t>
            </w:r>
            <w:r>
              <w:rPr>
                <w:b/>
                <w:spacing w:val="-5"/>
                <w:sz w:val="18"/>
              </w:rPr>
              <w:t> </w:t>
            </w:r>
            <w:r>
              <w:rPr>
                <w:b/>
                <w:sz w:val="18"/>
              </w:rPr>
              <w:t>Interno.</w:t>
            </w:r>
            <w:r>
              <w:rPr>
                <w:b/>
                <w:spacing w:val="-5"/>
                <w:sz w:val="18"/>
              </w:rPr>
              <w:t> </w:t>
            </w:r>
            <w:r>
              <w:rPr>
                <w:b/>
                <w:sz w:val="18"/>
              </w:rPr>
              <w:t>E1</w:t>
            </w:r>
            <w:r>
              <w:rPr>
                <w:b/>
                <w:spacing w:val="-3"/>
                <w:sz w:val="18"/>
              </w:rPr>
              <w:t> </w:t>
            </w:r>
            <w:r>
              <w:rPr>
                <w:b/>
                <w:sz w:val="18"/>
              </w:rPr>
              <w:t>AE5</w:t>
            </w:r>
            <w:r>
              <w:rPr>
                <w:b/>
                <w:spacing w:val="-7"/>
                <w:sz w:val="18"/>
              </w:rPr>
              <w:t> </w:t>
            </w:r>
            <w:r>
              <w:rPr>
                <w:b/>
                <w:sz w:val="18"/>
              </w:rPr>
              <w:t>R2</w:t>
            </w:r>
            <w:r>
              <w:rPr>
                <w:b/>
                <w:spacing w:val="-7"/>
                <w:sz w:val="18"/>
              </w:rPr>
              <w:t> </w:t>
            </w:r>
            <w:r>
              <w:rPr>
                <w:b/>
                <w:spacing w:val="-2"/>
                <w:sz w:val="18"/>
              </w:rPr>
              <w:t>(100%)</w:t>
            </w:r>
          </w:p>
        </w:tc>
      </w:tr>
      <w:tr>
        <w:trPr>
          <w:trHeight w:val="1680" w:hRule="atLeast"/>
        </w:trPr>
        <w:tc>
          <w:tcPr>
            <w:tcW w:w="3092" w:type="dxa"/>
          </w:tcPr>
          <w:p>
            <w:pPr>
              <w:pStyle w:val="TableParagraph"/>
              <w:spacing w:before="8"/>
              <w:rPr>
                <w:b/>
                <w:sz w:val="18"/>
              </w:rPr>
            </w:pPr>
          </w:p>
          <w:p>
            <w:pPr>
              <w:pStyle w:val="TableParagraph"/>
              <w:ind w:left="72" w:right="141"/>
              <w:rPr>
                <w:sz w:val="18"/>
              </w:rPr>
            </w:pPr>
            <w:r>
              <w:rPr>
                <w:b/>
                <w:sz w:val="18"/>
              </w:rPr>
              <w:t>Actividad</w:t>
            </w:r>
            <w:r>
              <w:rPr>
                <w:b/>
                <w:spacing w:val="-8"/>
                <w:sz w:val="18"/>
              </w:rPr>
              <w:t> </w:t>
            </w:r>
            <w:r>
              <w:rPr>
                <w:b/>
                <w:sz w:val="18"/>
              </w:rPr>
              <w:t>PAC</w:t>
            </w:r>
            <w:r>
              <w:rPr>
                <w:b/>
                <w:spacing w:val="-5"/>
                <w:sz w:val="18"/>
              </w:rPr>
              <w:t> </w:t>
            </w:r>
            <w:r>
              <w:rPr>
                <w:b/>
                <w:sz w:val="18"/>
              </w:rPr>
              <w:t>2.75.1: </w:t>
            </w:r>
            <w:r>
              <w:rPr>
                <w:sz w:val="18"/>
              </w:rPr>
              <w:t>Realizar</w:t>
            </w:r>
            <w:r>
              <w:rPr>
                <w:spacing w:val="-2"/>
                <w:sz w:val="18"/>
              </w:rPr>
              <w:t> </w:t>
            </w:r>
            <w:r>
              <w:rPr>
                <w:sz w:val="18"/>
              </w:rPr>
              <w:t>un estudio</w:t>
            </w:r>
            <w:r>
              <w:rPr>
                <w:spacing w:val="-10"/>
                <w:sz w:val="18"/>
              </w:rPr>
              <w:t> </w:t>
            </w:r>
            <w:r>
              <w:rPr>
                <w:sz w:val="18"/>
              </w:rPr>
              <w:t>de</w:t>
            </w:r>
            <w:r>
              <w:rPr>
                <w:spacing w:val="-10"/>
                <w:sz w:val="18"/>
              </w:rPr>
              <w:t> </w:t>
            </w:r>
            <w:r>
              <w:rPr>
                <w:sz w:val="18"/>
              </w:rPr>
              <w:t>razonabilidad</w:t>
            </w:r>
            <w:r>
              <w:rPr>
                <w:spacing w:val="-6"/>
                <w:sz w:val="18"/>
              </w:rPr>
              <w:t> </w:t>
            </w:r>
            <w:r>
              <w:rPr>
                <w:sz w:val="18"/>
              </w:rPr>
              <w:t>de</w:t>
            </w:r>
            <w:r>
              <w:rPr>
                <w:spacing w:val="-10"/>
                <w:sz w:val="18"/>
              </w:rPr>
              <w:t> </w:t>
            </w:r>
            <w:r>
              <w:rPr>
                <w:sz w:val="18"/>
              </w:rPr>
              <w:t>precios para la implementación de un sistema</w:t>
            </w:r>
            <w:r>
              <w:rPr>
                <w:spacing w:val="-6"/>
                <w:sz w:val="18"/>
              </w:rPr>
              <w:t> </w:t>
            </w:r>
            <w:r>
              <w:rPr>
                <w:sz w:val="18"/>
              </w:rPr>
              <w:t>informático</w:t>
            </w:r>
            <w:r>
              <w:rPr>
                <w:spacing w:val="-9"/>
                <w:sz w:val="18"/>
              </w:rPr>
              <w:t> </w:t>
            </w:r>
            <w:r>
              <w:rPr>
                <w:sz w:val="18"/>
              </w:rPr>
              <w:t>de</w:t>
            </w:r>
            <w:r>
              <w:rPr>
                <w:spacing w:val="-9"/>
                <w:sz w:val="18"/>
              </w:rPr>
              <w:t> </w:t>
            </w:r>
            <w:r>
              <w:rPr>
                <w:sz w:val="18"/>
              </w:rPr>
              <w:t>seguimiento a</w:t>
            </w:r>
            <w:r>
              <w:rPr>
                <w:spacing w:val="-2"/>
                <w:sz w:val="18"/>
              </w:rPr>
              <w:t> </w:t>
            </w:r>
            <w:r>
              <w:rPr>
                <w:sz w:val="18"/>
              </w:rPr>
              <w:t>las</w:t>
            </w:r>
            <w:r>
              <w:rPr>
                <w:spacing w:val="-6"/>
                <w:sz w:val="18"/>
              </w:rPr>
              <w:t> </w:t>
            </w:r>
            <w:r>
              <w:rPr>
                <w:sz w:val="18"/>
              </w:rPr>
              <w:t>actividades</w:t>
            </w:r>
            <w:r>
              <w:rPr>
                <w:spacing w:val="-6"/>
                <w:sz w:val="18"/>
              </w:rPr>
              <w:t> </w:t>
            </w:r>
            <w:r>
              <w:rPr>
                <w:sz w:val="18"/>
              </w:rPr>
              <w:t>de</w:t>
            </w:r>
            <w:r>
              <w:rPr>
                <w:spacing w:val="-2"/>
                <w:sz w:val="18"/>
              </w:rPr>
              <w:t> </w:t>
            </w:r>
            <w:r>
              <w:rPr>
                <w:sz w:val="18"/>
              </w:rPr>
              <w:t>Control</w:t>
            </w:r>
            <w:r>
              <w:rPr>
                <w:spacing w:val="-7"/>
                <w:sz w:val="18"/>
              </w:rPr>
              <w:t> </w:t>
            </w:r>
            <w:r>
              <w:rPr>
                <w:spacing w:val="-2"/>
                <w:sz w:val="18"/>
              </w:rPr>
              <w:t>Interno</w:t>
            </w:r>
          </w:p>
        </w:tc>
        <w:tc>
          <w:tcPr>
            <w:tcW w:w="1560" w:type="dxa"/>
          </w:tcPr>
          <w:p>
            <w:pPr>
              <w:pStyle w:val="TableParagraph"/>
              <w:rPr>
                <w:b/>
                <w:sz w:val="18"/>
              </w:rPr>
            </w:pPr>
          </w:p>
          <w:p>
            <w:pPr>
              <w:pStyle w:val="TableParagraph"/>
              <w:spacing w:before="7"/>
              <w:rPr>
                <w:b/>
                <w:sz w:val="18"/>
              </w:rPr>
            </w:pPr>
          </w:p>
          <w:p>
            <w:pPr>
              <w:pStyle w:val="TableParagraph"/>
              <w:ind w:left="67" w:right="58"/>
              <w:rPr>
                <w:sz w:val="18"/>
              </w:rPr>
            </w:pPr>
            <w:r>
              <w:rPr>
                <w:sz w:val="18"/>
              </w:rPr>
              <w:t>Cantidad de estudios de razonabilidad de precio</w:t>
            </w:r>
            <w:r>
              <w:rPr>
                <w:spacing w:val="-4"/>
                <w:sz w:val="18"/>
              </w:rPr>
              <w:t> </w:t>
            </w:r>
            <w:r>
              <w:rPr>
                <w:spacing w:val="-2"/>
                <w:sz w:val="18"/>
              </w:rPr>
              <w:t>realizados</w:t>
            </w:r>
          </w:p>
        </w:tc>
        <w:tc>
          <w:tcPr>
            <w:tcW w:w="1181" w:type="dxa"/>
          </w:tcPr>
          <w:p>
            <w:pPr>
              <w:pStyle w:val="TableParagraph"/>
              <w:rPr>
                <w:b/>
                <w:sz w:val="18"/>
              </w:rPr>
            </w:pPr>
          </w:p>
          <w:p>
            <w:pPr>
              <w:pStyle w:val="TableParagraph"/>
              <w:rPr>
                <w:b/>
                <w:sz w:val="18"/>
              </w:rPr>
            </w:pPr>
          </w:p>
          <w:p>
            <w:pPr>
              <w:pStyle w:val="TableParagraph"/>
              <w:spacing w:before="112"/>
              <w:rPr>
                <w:b/>
                <w:sz w:val="18"/>
              </w:rPr>
            </w:pPr>
          </w:p>
          <w:p>
            <w:pPr>
              <w:pStyle w:val="TableParagraph"/>
              <w:spacing w:before="1"/>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334" w:hRule="atLeast"/>
        </w:trPr>
        <w:tc>
          <w:tcPr>
            <w:tcW w:w="3092" w:type="dxa"/>
          </w:tcPr>
          <w:p>
            <w:pPr>
              <w:pStyle w:val="TableParagraph"/>
              <w:spacing w:before="42"/>
              <w:ind w:left="72" w:right="99"/>
              <w:rPr>
                <w:sz w:val="18"/>
              </w:rPr>
            </w:pPr>
            <w:r>
              <w:rPr>
                <w:b/>
                <w:sz w:val="18"/>
              </w:rPr>
              <w:t>Actividad</w:t>
            </w:r>
            <w:r>
              <w:rPr>
                <w:b/>
                <w:spacing w:val="-12"/>
                <w:sz w:val="18"/>
              </w:rPr>
              <w:t> </w:t>
            </w:r>
            <w:r>
              <w:rPr>
                <w:b/>
                <w:sz w:val="18"/>
              </w:rPr>
              <w:t>PAC</w:t>
            </w:r>
            <w:r>
              <w:rPr>
                <w:b/>
                <w:spacing w:val="-8"/>
                <w:sz w:val="18"/>
              </w:rPr>
              <w:t> </w:t>
            </w:r>
            <w:r>
              <w:rPr>
                <w:b/>
                <w:sz w:val="18"/>
              </w:rPr>
              <w:t>2.75.2</w:t>
            </w:r>
            <w:r>
              <w:rPr>
                <w:sz w:val="18"/>
              </w:rPr>
              <w:t>:</w:t>
            </w:r>
            <w:r>
              <w:rPr>
                <w:spacing w:val="-5"/>
                <w:sz w:val="18"/>
              </w:rPr>
              <w:t> </w:t>
            </w:r>
            <w:r>
              <w:rPr>
                <w:sz w:val="18"/>
              </w:rPr>
              <w:t>Contratar,</w:t>
            </w:r>
            <w:r>
              <w:rPr>
                <w:spacing w:val="-9"/>
                <w:sz w:val="18"/>
              </w:rPr>
              <w:t> </w:t>
            </w:r>
            <w:r>
              <w:rPr>
                <w:sz w:val="18"/>
              </w:rPr>
              <w:t>a través del respectivo proceso de contratación pública, un sistema informático para el seguimiento de las actividades del sistema de control interno</w:t>
            </w:r>
          </w:p>
        </w:tc>
        <w:tc>
          <w:tcPr>
            <w:tcW w:w="1560" w:type="dxa"/>
          </w:tcPr>
          <w:p>
            <w:pPr>
              <w:pStyle w:val="TableParagraph"/>
              <w:spacing w:before="46"/>
              <w:rPr>
                <w:b/>
                <w:sz w:val="18"/>
              </w:rPr>
            </w:pPr>
          </w:p>
          <w:p>
            <w:pPr>
              <w:pStyle w:val="TableParagraph"/>
              <w:ind w:left="67" w:right="58"/>
              <w:rPr>
                <w:sz w:val="18"/>
              </w:rPr>
            </w:pPr>
            <w:r>
              <w:rPr>
                <w:sz w:val="18"/>
              </w:rPr>
              <w:t>Cantidad</w:t>
            </w:r>
            <w:r>
              <w:rPr>
                <w:spacing w:val="-13"/>
                <w:sz w:val="18"/>
              </w:rPr>
              <w:t> </w:t>
            </w:r>
            <w:r>
              <w:rPr>
                <w:sz w:val="18"/>
              </w:rPr>
              <w:t>de </w:t>
            </w:r>
            <w:r>
              <w:rPr>
                <w:spacing w:val="-2"/>
                <w:sz w:val="18"/>
              </w:rPr>
              <w:t>sistemas informáticos contratados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146"/>
              <w:rPr>
                <w:b/>
                <w:sz w:val="18"/>
              </w:rPr>
            </w:pPr>
          </w:p>
          <w:p>
            <w:pPr>
              <w:pStyle w:val="TableParagraph"/>
              <w:ind w:left="19" w:right="2"/>
              <w:jc w:val="center"/>
              <w:rPr>
                <w:sz w:val="18"/>
              </w:rPr>
            </w:pPr>
            <w:r>
              <w:rPr>
                <w:spacing w:val="-10"/>
                <w:sz w:val="18"/>
              </w:rPr>
              <w:t>1</w:t>
            </w:r>
          </w:p>
        </w:tc>
        <w:tc>
          <w:tcPr>
            <w:tcW w:w="1248" w:type="dxa"/>
          </w:tcPr>
          <w:p>
            <w:pPr>
              <w:pStyle w:val="TableParagraph"/>
              <w:rPr>
                <w:b/>
                <w:sz w:val="18"/>
              </w:rPr>
            </w:pPr>
          </w:p>
          <w:p>
            <w:pPr>
              <w:pStyle w:val="TableParagraph"/>
              <w:spacing w:before="146"/>
              <w:rPr>
                <w:b/>
                <w:sz w:val="18"/>
              </w:rPr>
            </w:pPr>
          </w:p>
          <w:p>
            <w:pPr>
              <w:pStyle w:val="TableParagraph"/>
              <w:ind w:left="21"/>
              <w:jc w:val="center"/>
              <w:rPr>
                <w:sz w:val="18"/>
              </w:rPr>
            </w:pPr>
            <w:r>
              <w:rPr>
                <w:spacing w:val="-2"/>
                <w:sz w:val="18"/>
              </w:rPr>
              <w:t>¢40.000.000</w:t>
            </w: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655" w:hRule="atLeast"/>
        </w:trPr>
        <w:tc>
          <w:tcPr>
            <w:tcW w:w="3092" w:type="dxa"/>
          </w:tcPr>
          <w:p>
            <w:pPr>
              <w:pStyle w:val="TableParagraph"/>
              <w:spacing w:before="204"/>
              <w:rPr>
                <w:b/>
                <w:sz w:val="18"/>
              </w:rPr>
            </w:pPr>
          </w:p>
          <w:p>
            <w:pPr>
              <w:pStyle w:val="TableParagraph"/>
              <w:spacing w:line="242" w:lineRule="auto"/>
              <w:ind w:left="72"/>
              <w:rPr>
                <w:sz w:val="18"/>
              </w:rPr>
            </w:pPr>
            <w:r>
              <w:rPr>
                <w:b/>
                <w:sz w:val="18"/>
              </w:rPr>
              <w:t>Actividad PAC 2.75.3: </w:t>
            </w:r>
            <w:r>
              <w:rPr>
                <w:sz w:val="18"/>
              </w:rPr>
              <w:t>Ingresar la información</w:t>
            </w:r>
            <w:r>
              <w:rPr>
                <w:spacing w:val="-7"/>
                <w:sz w:val="18"/>
              </w:rPr>
              <w:t> </w:t>
            </w:r>
            <w:r>
              <w:rPr>
                <w:sz w:val="18"/>
              </w:rPr>
              <w:t>de</w:t>
            </w:r>
            <w:r>
              <w:rPr>
                <w:spacing w:val="-7"/>
                <w:sz w:val="18"/>
              </w:rPr>
              <w:t> </w:t>
            </w:r>
            <w:r>
              <w:rPr>
                <w:sz w:val="18"/>
              </w:rPr>
              <w:t>riesgos</w:t>
            </w:r>
            <w:r>
              <w:rPr>
                <w:spacing w:val="-7"/>
                <w:sz w:val="18"/>
              </w:rPr>
              <w:t> </w:t>
            </w:r>
            <w:r>
              <w:rPr>
                <w:sz w:val="18"/>
              </w:rPr>
              <w:t>en</w:t>
            </w:r>
            <w:r>
              <w:rPr>
                <w:spacing w:val="-3"/>
                <w:sz w:val="18"/>
              </w:rPr>
              <w:t> </w:t>
            </w:r>
            <w:r>
              <w:rPr>
                <w:sz w:val="18"/>
              </w:rPr>
              <w:t>el</w:t>
            </w:r>
            <w:r>
              <w:rPr>
                <w:spacing w:val="-9"/>
                <w:sz w:val="18"/>
              </w:rPr>
              <w:t> </w:t>
            </w:r>
            <w:r>
              <w:rPr>
                <w:sz w:val="18"/>
              </w:rPr>
              <w:t>sistema informático de Control Interno </w:t>
            </w:r>
            <w:r>
              <w:rPr>
                <w:spacing w:val="-2"/>
                <w:sz w:val="18"/>
              </w:rPr>
              <w:t>adquirido</w:t>
            </w:r>
          </w:p>
        </w:tc>
        <w:tc>
          <w:tcPr>
            <w:tcW w:w="1560" w:type="dxa"/>
          </w:tcPr>
          <w:p>
            <w:pPr>
              <w:pStyle w:val="TableParagraph"/>
              <w:ind w:left="67" w:right="239"/>
              <w:rPr>
                <w:sz w:val="18"/>
              </w:rPr>
            </w:pPr>
            <w:r>
              <w:rPr>
                <w:sz w:val="18"/>
              </w:rPr>
              <w:t>Porcentaje de información de </w:t>
            </w:r>
            <w:r>
              <w:rPr>
                <w:spacing w:val="-2"/>
                <w:sz w:val="18"/>
              </w:rPr>
              <w:t>riesgos </w:t>
            </w:r>
            <w:r>
              <w:rPr>
                <w:sz w:val="18"/>
              </w:rPr>
              <w:t>ingresada</w:t>
            </w:r>
            <w:r>
              <w:rPr>
                <w:spacing w:val="-15"/>
                <w:sz w:val="18"/>
              </w:rPr>
              <w:t> </w:t>
            </w:r>
            <w:r>
              <w:rPr>
                <w:sz w:val="18"/>
              </w:rPr>
              <w:t>en</w:t>
            </w:r>
            <w:r>
              <w:rPr>
                <w:spacing w:val="-12"/>
                <w:sz w:val="18"/>
              </w:rPr>
              <w:t> </w:t>
            </w:r>
            <w:r>
              <w:rPr>
                <w:sz w:val="18"/>
              </w:rPr>
              <w:t>el </w:t>
            </w:r>
            <w:r>
              <w:rPr>
                <w:spacing w:val="-2"/>
                <w:sz w:val="18"/>
              </w:rPr>
              <w:t>sistema </w:t>
            </w:r>
            <w:r>
              <w:rPr>
                <w:sz w:val="18"/>
              </w:rPr>
              <w:t>informático de control interno</w:t>
            </w:r>
          </w:p>
          <w:p>
            <w:pPr>
              <w:pStyle w:val="TableParagraph"/>
              <w:spacing w:line="187" w:lineRule="exact"/>
              <w:ind w:left="67"/>
              <w:rPr>
                <w:sz w:val="18"/>
              </w:rPr>
            </w:pPr>
            <w:r>
              <w:rPr>
                <w:spacing w:val="-2"/>
                <w:sz w:val="18"/>
              </w:rPr>
              <w:t>adquirido</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361"/>
              <w:rPr>
                <w:sz w:val="18"/>
              </w:rPr>
            </w:pPr>
            <w:r>
              <w:rPr>
                <w:spacing w:val="-4"/>
                <w:sz w:val="18"/>
              </w:rPr>
              <w:t>100%</w:t>
            </w: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800" w:hRule="atLeast"/>
        </w:trPr>
        <w:tc>
          <w:tcPr>
            <w:tcW w:w="3092" w:type="dxa"/>
          </w:tcPr>
          <w:p>
            <w:pPr>
              <w:pStyle w:val="TableParagraph"/>
              <w:spacing w:before="70"/>
              <w:rPr>
                <w:b/>
                <w:sz w:val="18"/>
              </w:rPr>
            </w:pPr>
          </w:p>
          <w:p>
            <w:pPr>
              <w:pStyle w:val="TableParagraph"/>
              <w:spacing w:before="1"/>
              <w:ind w:left="72" w:right="78"/>
              <w:rPr>
                <w:sz w:val="18"/>
              </w:rPr>
            </w:pPr>
            <w:r>
              <w:rPr>
                <w:b/>
                <w:sz w:val="18"/>
              </w:rPr>
              <w:t>Actividad PAC 2.75.4: </w:t>
            </w:r>
            <w:r>
              <w:rPr>
                <w:sz w:val="18"/>
              </w:rPr>
              <w:t>Capacitar a los enlaces institucionales de</w:t>
            </w:r>
            <w:r>
              <w:rPr>
                <w:spacing w:val="40"/>
                <w:sz w:val="18"/>
              </w:rPr>
              <w:t> </w:t>
            </w:r>
            <w:r>
              <w:rPr>
                <w:sz w:val="18"/>
              </w:rPr>
              <w:t>Control</w:t>
            </w:r>
            <w:r>
              <w:rPr>
                <w:spacing w:val="-10"/>
                <w:sz w:val="18"/>
              </w:rPr>
              <w:t> </w:t>
            </w:r>
            <w:r>
              <w:rPr>
                <w:sz w:val="18"/>
              </w:rPr>
              <w:t>Interno,</w:t>
            </w:r>
            <w:r>
              <w:rPr>
                <w:spacing w:val="-2"/>
                <w:sz w:val="18"/>
              </w:rPr>
              <w:t> </w:t>
            </w:r>
            <w:r>
              <w:rPr>
                <w:sz w:val="18"/>
              </w:rPr>
              <w:t>sobre</w:t>
            </w:r>
            <w:r>
              <w:rPr>
                <w:spacing w:val="-9"/>
                <w:sz w:val="18"/>
              </w:rPr>
              <w:t> </w:t>
            </w:r>
            <w:r>
              <w:rPr>
                <w:sz w:val="18"/>
              </w:rPr>
              <w:t>el</w:t>
            </w:r>
            <w:r>
              <w:rPr>
                <w:spacing w:val="-6"/>
                <w:sz w:val="18"/>
              </w:rPr>
              <w:t> </w:t>
            </w:r>
            <w:r>
              <w:rPr>
                <w:sz w:val="18"/>
              </w:rPr>
              <w:t>uso</w:t>
            </w:r>
            <w:r>
              <w:rPr>
                <w:spacing w:val="-9"/>
                <w:sz w:val="18"/>
              </w:rPr>
              <w:t> </w:t>
            </w:r>
            <w:r>
              <w:rPr>
                <w:sz w:val="18"/>
              </w:rPr>
              <w:t>sistema informático adquirido para el seguimiento de las actividades del sistema de control interno</w:t>
            </w:r>
          </w:p>
        </w:tc>
        <w:tc>
          <w:tcPr>
            <w:tcW w:w="1560" w:type="dxa"/>
          </w:tcPr>
          <w:p>
            <w:pPr>
              <w:pStyle w:val="TableParagraph"/>
              <w:rPr>
                <w:b/>
                <w:sz w:val="18"/>
              </w:rPr>
            </w:pPr>
          </w:p>
          <w:p>
            <w:pPr>
              <w:pStyle w:val="TableParagraph"/>
              <w:spacing w:before="70"/>
              <w:rPr>
                <w:b/>
                <w:sz w:val="18"/>
              </w:rPr>
            </w:pPr>
          </w:p>
          <w:p>
            <w:pPr>
              <w:pStyle w:val="TableParagraph"/>
              <w:ind w:left="67" w:right="108"/>
              <w:rPr>
                <w:sz w:val="18"/>
              </w:rPr>
            </w:pPr>
            <w:r>
              <w:rPr>
                <w:sz w:val="18"/>
              </w:rPr>
              <w:t>Cantidad de enlaces de control</w:t>
            </w:r>
            <w:r>
              <w:rPr>
                <w:spacing w:val="-13"/>
                <w:sz w:val="18"/>
              </w:rPr>
              <w:t> </w:t>
            </w:r>
            <w:r>
              <w:rPr>
                <w:sz w:val="18"/>
              </w:rPr>
              <w:t>interno </w:t>
            </w:r>
            <w:r>
              <w:rPr>
                <w:spacing w:val="-2"/>
                <w:sz w:val="18"/>
              </w:rPr>
              <w:t>capacitados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175"/>
              <w:rPr>
                <w:b/>
                <w:sz w:val="18"/>
              </w:rPr>
            </w:pPr>
          </w:p>
          <w:p>
            <w:pPr>
              <w:pStyle w:val="TableParagraph"/>
              <w:ind w:left="20" w:right="3"/>
              <w:jc w:val="center"/>
              <w:rPr>
                <w:sz w:val="18"/>
              </w:rPr>
            </w:pPr>
            <w:r>
              <w:rPr>
                <w:spacing w:val="-5"/>
                <w:sz w:val="18"/>
              </w:rPr>
              <w:t>15</w:t>
            </w:r>
          </w:p>
        </w:tc>
        <w:tc>
          <w:tcPr>
            <w:tcW w:w="1230" w:type="dxa"/>
          </w:tcPr>
          <w:p>
            <w:pPr>
              <w:pStyle w:val="TableParagraph"/>
              <w:rPr>
                <w:rFonts w:ascii="Times New Roman"/>
                <w:sz w:val="18"/>
              </w:rPr>
            </w:pPr>
          </w:p>
        </w:tc>
      </w:tr>
      <w:tr>
        <w:trPr>
          <w:trHeight w:val="493" w:hRule="atLeast"/>
        </w:trPr>
        <w:tc>
          <w:tcPr>
            <w:tcW w:w="14394" w:type="dxa"/>
            <w:gridSpan w:val="10"/>
            <w:shd w:val="clear" w:color="auto" w:fill="EFF8F9"/>
          </w:tcPr>
          <w:p>
            <w:pPr>
              <w:pStyle w:val="TableParagraph"/>
              <w:spacing w:before="42"/>
              <w:ind w:left="72"/>
              <w:rPr>
                <w:b/>
                <w:sz w:val="18"/>
              </w:rPr>
            </w:pPr>
            <w:r>
              <w:rPr>
                <w:b/>
                <w:sz w:val="18"/>
              </w:rPr>
              <w:t>Producto</w:t>
            </w:r>
            <w:r>
              <w:rPr>
                <w:b/>
                <w:spacing w:val="-4"/>
                <w:sz w:val="18"/>
              </w:rPr>
              <w:t> </w:t>
            </w:r>
            <w:r>
              <w:rPr>
                <w:b/>
                <w:sz w:val="18"/>
              </w:rPr>
              <w:t>PAC</w:t>
            </w:r>
            <w:r>
              <w:rPr>
                <w:b/>
                <w:spacing w:val="-5"/>
                <w:sz w:val="18"/>
              </w:rPr>
              <w:t> </w:t>
            </w:r>
            <w:r>
              <w:rPr>
                <w:b/>
                <w:sz w:val="18"/>
              </w:rPr>
              <w:t>2.76:</w:t>
            </w:r>
            <w:r>
              <w:rPr>
                <w:b/>
                <w:spacing w:val="-1"/>
                <w:sz w:val="18"/>
              </w:rPr>
              <w:t> </w:t>
            </w:r>
            <w:r>
              <w:rPr>
                <w:b/>
                <w:sz w:val="18"/>
              </w:rPr>
              <w:t>Personas</w:t>
            </w:r>
            <w:r>
              <w:rPr>
                <w:b/>
                <w:spacing w:val="-3"/>
                <w:sz w:val="18"/>
              </w:rPr>
              <w:t> </w:t>
            </w:r>
            <w:r>
              <w:rPr>
                <w:b/>
                <w:sz w:val="18"/>
              </w:rPr>
              <w:t>funcionarias</w:t>
            </w:r>
            <w:r>
              <w:rPr>
                <w:b/>
                <w:spacing w:val="-3"/>
                <w:sz w:val="18"/>
              </w:rPr>
              <w:t> </w:t>
            </w:r>
            <w:r>
              <w:rPr>
                <w:b/>
                <w:sz w:val="18"/>
              </w:rPr>
              <w:t>que</w:t>
            </w:r>
            <w:r>
              <w:rPr>
                <w:b/>
                <w:spacing w:val="-3"/>
                <w:sz w:val="18"/>
              </w:rPr>
              <w:t> </w:t>
            </w:r>
            <w:r>
              <w:rPr>
                <w:b/>
                <w:sz w:val="18"/>
              </w:rPr>
              <w:t>ejercen como</w:t>
            </w:r>
            <w:r>
              <w:rPr>
                <w:b/>
                <w:spacing w:val="-4"/>
                <w:sz w:val="18"/>
              </w:rPr>
              <w:t> </w:t>
            </w:r>
            <w:r>
              <w:rPr>
                <w:b/>
                <w:sz w:val="18"/>
              </w:rPr>
              <w:t>enlaces</w:t>
            </w:r>
            <w:r>
              <w:rPr>
                <w:b/>
                <w:spacing w:val="-3"/>
                <w:sz w:val="18"/>
              </w:rPr>
              <w:t> </w:t>
            </w:r>
            <w:r>
              <w:rPr>
                <w:b/>
                <w:sz w:val="18"/>
              </w:rPr>
              <w:t>de planificación</w:t>
            </w:r>
            <w:r>
              <w:rPr>
                <w:b/>
                <w:spacing w:val="-4"/>
                <w:sz w:val="18"/>
              </w:rPr>
              <w:t> </w:t>
            </w:r>
            <w:r>
              <w:rPr>
                <w:b/>
                <w:sz w:val="18"/>
              </w:rPr>
              <w:t>con</w:t>
            </w:r>
            <w:r>
              <w:rPr>
                <w:b/>
                <w:spacing w:val="-4"/>
                <w:sz w:val="18"/>
              </w:rPr>
              <w:t> </w:t>
            </w:r>
            <w:r>
              <w:rPr>
                <w:b/>
                <w:sz w:val="18"/>
              </w:rPr>
              <w:t>un nivel</w:t>
            </w:r>
            <w:r>
              <w:rPr>
                <w:b/>
                <w:spacing w:val="-1"/>
                <w:sz w:val="18"/>
              </w:rPr>
              <w:t> </w:t>
            </w:r>
            <w:r>
              <w:rPr>
                <w:b/>
                <w:sz w:val="18"/>
              </w:rPr>
              <w:t>homologado de conocimiento</w:t>
            </w:r>
            <w:r>
              <w:rPr>
                <w:b/>
                <w:spacing w:val="-4"/>
                <w:sz w:val="18"/>
              </w:rPr>
              <w:t> </w:t>
            </w:r>
            <w:r>
              <w:rPr>
                <w:b/>
                <w:sz w:val="18"/>
              </w:rPr>
              <w:t>en temas</w:t>
            </w:r>
            <w:r>
              <w:rPr>
                <w:b/>
                <w:spacing w:val="-3"/>
                <w:sz w:val="18"/>
              </w:rPr>
              <w:t> </w:t>
            </w:r>
            <w:r>
              <w:rPr>
                <w:b/>
                <w:sz w:val="18"/>
              </w:rPr>
              <w:t>del</w:t>
            </w:r>
            <w:r>
              <w:rPr>
                <w:b/>
                <w:spacing w:val="-1"/>
                <w:sz w:val="18"/>
              </w:rPr>
              <w:t> </w:t>
            </w:r>
            <w:r>
              <w:rPr>
                <w:b/>
                <w:sz w:val="18"/>
              </w:rPr>
              <w:t>Sistema</w:t>
            </w:r>
            <w:r>
              <w:rPr>
                <w:b/>
                <w:spacing w:val="-3"/>
                <w:sz w:val="18"/>
              </w:rPr>
              <w:t> </w:t>
            </w:r>
            <w:r>
              <w:rPr>
                <w:b/>
                <w:sz w:val="18"/>
              </w:rPr>
              <w:t>de</w:t>
            </w:r>
            <w:r>
              <w:rPr>
                <w:b/>
                <w:spacing w:val="-3"/>
                <w:sz w:val="18"/>
              </w:rPr>
              <w:t> </w:t>
            </w:r>
            <w:r>
              <w:rPr>
                <w:b/>
                <w:sz w:val="18"/>
              </w:rPr>
              <w:t>Control Interno. E1 AE5 R3 (100%)</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1449" w:hRule="atLeast"/>
        </w:trPr>
        <w:tc>
          <w:tcPr>
            <w:tcW w:w="3092" w:type="dxa"/>
          </w:tcPr>
          <w:p>
            <w:pPr>
              <w:pStyle w:val="TableParagraph"/>
              <w:spacing w:before="205"/>
              <w:ind w:left="72" w:right="88"/>
              <w:rPr>
                <w:sz w:val="18"/>
              </w:rPr>
            </w:pPr>
            <w:r>
              <w:rPr>
                <w:b/>
                <w:sz w:val="18"/>
              </w:rPr>
              <w:t>Actividad</w:t>
            </w:r>
            <w:r>
              <w:rPr>
                <w:b/>
                <w:spacing w:val="-13"/>
                <w:sz w:val="18"/>
              </w:rPr>
              <w:t> </w:t>
            </w:r>
            <w:r>
              <w:rPr>
                <w:b/>
                <w:sz w:val="18"/>
              </w:rPr>
              <w:t>PAC</w:t>
            </w:r>
            <w:r>
              <w:rPr>
                <w:b/>
                <w:spacing w:val="-11"/>
                <w:sz w:val="18"/>
              </w:rPr>
              <w:t> </w:t>
            </w:r>
            <w:r>
              <w:rPr>
                <w:b/>
                <w:sz w:val="18"/>
              </w:rPr>
              <w:t>2.76.1:</w:t>
            </w:r>
            <w:r>
              <w:rPr>
                <w:b/>
                <w:spacing w:val="-6"/>
                <w:sz w:val="18"/>
              </w:rPr>
              <w:t> </w:t>
            </w:r>
            <w:r>
              <w:rPr>
                <w:sz w:val="18"/>
              </w:rPr>
              <w:t>Capacitar</w:t>
            </w:r>
            <w:r>
              <w:rPr>
                <w:spacing w:val="-8"/>
                <w:sz w:val="18"/>
              </w:rPr>
              <w:t> </w:t>
            </w:r>
            <w:r>
              <w:rPr>
                <w:sz w:val="18"/>
              </w:rPr>
              <w:t>en temas del Sistema de Control Interno (SCI) para las personas funcionarias y trabajadoras de</w:t>
            </w:r>
            <w:r>
              <w:rPr>
                <w:spacing w:val="40"/>
                <w:sz w:val="18"/>
              </w:rPr>
              <w:t> </w:t>
            </w:r>
            <w:r>
              <w:rPr>
                <w:sz w:val="18"/>
              </w:rPr>
              <w:t>nuevo ingreso en el IMAS</w:t>
            </w:r>
          </w:p>
        </w:tc>
        <w:tc>
          <w:tcPr>
            <w:tcW w:w="1560" w:type="dxa"/>
          </w:tcPr>
          <w:p>
            <w:pPr>
              <w:pStyle w:val="TableParagraph"/>
              <w:ind w:left="67" w:right="58"/>
              <w:rPr>
                <w:sz w:val="18"/>
              </w:rPr>
            </w:pPr>
            <w:r>
              <w:rPr>
                <w:sz w:val="18"/>
              </w:rPr>
              <w:t>Porcentaje de </w:t>
            </w:r>
            <w:r>
              <w:rPr>
                <w:spacing w:val="-2"/>
                <w:sz w:val="18"/>
              </w:rPr>
              <w:t>personas </w:t>
            </w:r>
            <w:r>
              <w:rPr>
                <w:sz w:val="18"/>
              </w:rPr>
              <w:t>funcionarias y trabajadoras</w:t>
            </w:r>
            <w:r>
              <w:rPr>
                <w:spacing w:val="-13"/>
                <w:sz w:val="18"/>
              </w:rPr>
              <w:t> </w:t>
            </w:r>
            <w:r>
              <w:rPr>
                <w:sz w:val="18"/>
              </w:rPr>
              <w:t>de nuevo ingreso capacitadas en</w:t>
            </w:r>
          </w:p>
          <w:p>
            <w:pPr>
              <w:pStyle w:val="TableParagraph"/>
              <w:spacing w:line="187" w:lineRule="exact"/>
              <w:ind w:left="67"/>
              <w:rPr>
                <w:sz w:val="18"/>
              </w:rPr>
            </w:pPr>
            <w:r>
              <w:rPr>
                <w:sz w:val="18"/>
              </w:rPr>
              <w:t>temas</w:t>
            </w:r>
            <w:r>
              <w:rPr>
                <w:spacing w:val="-3"/>
                <w:sz w:val="18"/>
              </w:rPr>
              <w:t> </w:t>
            </w:r>
            <w:r>
              <w:rPr>
                <w:sz w:val="18"/>
              </w:rPr>
              <w:t>del </w:t>
            </w:r>
            <w:r>
              <w:rPr>
                <w:spacing w:val="-5"/>
                <w:sz w:val="18"/>
              </w:rPr>
              <w:t>SCI</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204"/>
              <w:rPr>
                <w:b/>
                <w:sz w:val="18"/>
              </w:rPr>
            </w:pPr>
          </w:p>
          <w:p>
            <w:pPr>
              <w:pStyle w:val="TableParagraph"/>
              <w:ind w:left="20"/>
              <w:jc w:val="center"/>
              <w:rPr>
                <w:sz w:val="18"/>
              </w:rPr>
            </w:pPr>
            <w:r>
              <w:rPr>
                <w:spacing w:val="-4"/>
                <w:sz w:val="18"/>
              </w:rPr>
              <w:t>100%</w:t>
            </w:r>
          </w:p>
        </w:tc>
        <w:tc>
          <w:tcPr>
            <w:tcW w:w="1230" w:type="dxa"/>
          </w:tcPr>
          <w:p>
            <w:pPr>
              <w:pStyle w:val="TableParagraph"/>
              <w:rPr>
                <w:rFonts w:ascii="Times New Roman"/>
                <w:sz w:val="18"/>
              </w:rPr>
            </w:pPr>
          </w:p>
        </w:tc>
      </w:tr>
      <w:tr>
        <w:trPr>
          <w:trHeight w:val="1656" w:hRule="atLeast"/>
        </w:trPr>
        <w:tc>
          <w:tcPr>
            <w:tcW w:w="3092" w:type="dxa"/>
          </w:tcPr>
          <w:p>
            <w:pPr>
              <w:pStyle w:val="TableParagraph"/>
              <w:spacing w:before="103"/>
              <w:rPr>
                <w:b/>
                <w:sz w:val="18"/>
              </w:rPr>
            </w:pPr>
          </w:p>
          <w:p>
            <w:pPr>
              <w:pStyle w:val="TableParagraph"/>
              <w:spacing w:before="1"/>
              <w:ind w:left="72" w:right="99"/>
              <w:rPr>
                <w:sz w:val="18"/>
              </w:rPr>
            </w:pPr>
            <w:r>
              <w:rPr>
                <w:b/>
                <w:sz w:val="18"/>
              </w:rPr>
              <w:t>Actividad</w:t>
            </w:r>
            <w:r>
              <w:rPr>
                <w:b/>
                <w:spacing w:val="-12"/>
                <w:sz w:val="18"/>
              </w:rPr>
              <w:t> </w:t>
            </w:r>
            <w:r>
              <w:rPr>
                <w:b/>
                <w:sz w:val="18"/>
              </w:rPr>
              <w:t>PAC</w:t>
            </w:r>
            <w:r>
              <w:rPr>
                <w:b/>
                <w:spacing w:val="-9"/>
                <w:sz w:val="18"/>
              </w:rPr>
              <w:t> </w:t>
            </w:r>
            <w:r>
              <w:rPr>
                <w:b/>
                <w:sz w:val="18"/>
              </w:rPr>
              <w:t>2.76.2:</w:t>
            </w:r>
            <w:r>
              <w:rPr>
                <w:b/>
                <w:spacing w:val="-8"/>
                <w:sz w:val="18"/>
              </w:rPr>
              <w:t> </w:t>
            </w:r>
            <w:r>
              <w:rPr>
                <w:sz w:val="18"/>
              </w:rPr>
              <w:t>Identificar</w:t>
            </w:r>
            <w:r>
              <w:rPr>
                <w:spacing w:val="-6"/>
                <w:sz w:val="18"/>
              </w:rPr>
              <w:t> </w:t>
            </w:r>
            <w:r>
              <w:rPr>
                <w:sz w:val="18"/>
              </w:rPr>
              <w:t>y capacitar en temas del SCI a las nuevas personas funcionarias y trabajadoras que sean designadas como enlaces en este tema</w:t>
            </w:r>
          </w:p>
        </w:tc>
        <w:tc>
          <w:tcPr>
            <w:tcW w:w="1560" w:type="dxa"/>
          </w:tcPr>
          <w:p>
            <w:pPr>
              <w:pStyle w:val="TableParagraph"/>
              <w:ind w:left="67" w:right="58"/>
              <w:rPr>
                <w:sz w:val="18"/>
              </w:rPr>
            </w:pPr>
            <w:r>
              <w:rPr>
                <w:sz w:val="18"/>
              </w:rPr>
              <w:t>Porcentaje de </w:t>
            </w:r>
            <w:r>
              <w:rPr>
                <w:spacing w:val="-2"/>
                <w:sz w:val="18"/>
              </w:rPr>
              <w:t>personas </w:t>
            </w:r>
            <w:r>
              <w:rPr>
                <w:sz w:val="18"/>
              </w:rPr>
              <w:t>funcionarias y </w:t>
            </w:r>
            <w:r>
              <w:rPr>
                <w:spacing w:val="-2"/>
                <w:sz w:val="18"/>
              </w:rPr>
              <w:t>trabajadoras </w:t>
            </w:r>
            <w:r>
              <w:rPr>
                <w:sz w:val="18"/>
              </w:rPr>
              <w:t>enlaces con </w:t>
            </w:r>
            <w:r>
              <w:rPr>
                <w:spacing w:val="-2"/>
                <w:sz w:val="18"/>
              </w:rPr>
              <w:t>Planificación </w:t>
            </w:r>
            <w:r>
              <w:rPr>
                <w:sz w:val="18"/>
              </w:rPr>
              <w:t>capacitadas</w:t>
            </w:r>
            <w:r>
              <w:rPr>
                <w:spacing w:val="-13"/>
                <w:sz w:val="18"/>
              </w:rPr>
              <w:t> </w:t>
            </w:r>
            <w:r>
              <w:rPr>
                <w:sz w:val="18"/>
              </w:rPr>
              <w:t>en</w:t>
            </w:r>
          </w:p>
          <w:p>
            <w:pPr>
              <w:pStyle w:val="TableParagraph"/>
              <w:spacing w:line="187" w:lineRule="exact"/>
              <w:ind w:left="67"/>
              <w:rPr>
                <w:sz w:val="18"/>
              </w:rPr>
            </w:pPr>
            <w:r>
              <w:rPr>
                <w:sz w:val="18"/>
              </w:rPr>
              <w:t>temas</w:t>
            </w:r>
            <w:r>
              <w:rPr>
                <w:spacing w:val="-3"/>
                <w:sz w:val="18"/>
              </w:rPr>
              <w:t> </w:t>
            </w:r>
            <w:r>
              <w:rPr>
                <w:sz w:val="18"/>
              </w:rPr>
              <w:t>del </w:t>
            </w:r>
            <w:r>
              <w:rPr>
                <w:spacing w:val="-5"/>
                <w:sz w:val="18"/>
              </w:rPr>
              <w:t>SCI</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9"/>
              <w:jc w:val="center"/>
              <w:rPr>
                <w:sz w:val="18"/>
              </w:rPr>
            </w:pPr>
            <w:r>
              <w:rPr>
                <w:spacing w:val="-5"/>
                <w:sz w:val="18"/>
              </w:rPr>
              <w:t>50%</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0"/>
              <w:jc w:val="center"/>
              <w:rPr>
                <w:sz w:val="18"/>
              </w:rPr>
            </w:pPr>
            <w:r>
              <w:rPr>
                <w:spacing w:val="-4"/>
                <w:sz w:val="18"/>
              </w:rPr>
              <w:t>100%</w:t>
            </w:r>
          </w:p>
        </w:tc>
        <w:tc>
          <w:tcPr>
            <w:tcW w:w="1230" w:type="dxa"/>
          </w:tcPr>
          <w:p>
            <w:pPr>
              <w:pStyle w:val="TableParagraph"/>
              <w:rPr>
                <w:rFonts w:ascii="Times New Roman"/>
                <w:sz w:val="18"/>
              </w:rPr>
            </w:pPr>
          </w:p>
        </w:tc>
      </w:tr>
      <w:tr>
        <w:trPr>
          <w:trHeight w:val="1426" w:hRule="atLeast"/>
        </w:trPr>
        <w:tc>
          <w:tcPr>
            <w:tcW w:w="3092" w:type="dxa"/>
          </w:tcPr>
          <w:p>
            <w:pPr>
              <w:pStyle w:val="TableParagraph"/>
              <w:spacing w:before="90"/>
              <w:ind w:left="72" w:right="99"/>
              <w:rPr>
                <w:sz w:val="18"/>
              </w:rPr>
            </w:pPr>
            <w:r>
              <w:rPr>
                <w:b/>
                <w:sz w:val="18"/>
              </w:rPr>
              <w:t>Actividad PAC 2.76.3: </w:t>
            </w:r>
            <w:r>
              <w:rPr>
                <w:sz w:val="18"/>
              </w:rPr>
              <w:t>Asesorar sobre la implementación de los procesos del Sistema de Control Interno</w:t>
            </w:r>
            <w:r>
              <w:rPr>
                <w:spacing w:val="-8"/>
                <w:sz w:val="18"/>
              </w:rPr>
              <w:t> </w:t>
            </w:r>
            <w:r>
              <w:rPr>
                <w:sz w:val="18"/>
              </w:rPr>
              <w:t>a</w:t>
            </w:r>
            <w:r>
              <w:rPr>
                <w:spacing w:val="-8"/>
                <w:sz w:val="18"/>
              </w:rPr>
              <w:t> </w:t>
            </w:r>
            <w:r>
              <w:rPr>
                <w:sz w:val="18"/>
              </w:rPr>
              <w:t>personas</w:t>
            </w:r>
            <w:r>
              <w:rPr>
                <w:spacing w:val="-11"/>
                <w:sz w:val="18"/>
              </w:rPr>
              <w:t> </w:t>
            </w:r>
            <w:r>
              <w:rPr>
                <w:sz w:val="18"/>
              </w:rPr>
              <w:t>trabajadoras</w:t>
            </w:r>
            <w:r>
              <w:rPr>
                <w:spacing w:val="-8"/>
                <w:sz w:val="18"/>
              </w:rPr>
              <w:t> </w:t>
            </w:r>
            <w:r>
              <w:rPr>
                <w:sz w:val="18"/>
              </w:rPr>
              <w:t>y funcionarias del IMAS u órganos externos que lo soliciten</w:t>
            </w:r>
          </w:p>
        </w:tc>
        <w:tc>
          <w:tcPr>
            <w:tcW w:w="1560" w:type="dxa"/>
          </w:tcPr>
          <w:p>
            <w:pPr>
              <w:pStyle w:val="TableParagraph"/>
              <w:spacing w:before="196"/>
              <w:ind w:left="67" w:right="365"/>
              <w:rPr>
                <w:sz w:val="18"/>
              </w:rPr>
            </w:pPr>
            <w:r>
              <w:rPr>
                <w:sz w:val="18"/>
              </w:rPr>
              <w:t>Cantidad de </w:t>
            </w:r>
            <w:r>
              <w:rPr>
                <w:spacing w:val="-2"/>
                <w:sz w:val="18"/>
              </w:rPr>
              <w:t>personas </w:t>
            </w:r>
            <w:r>
              <w:rPr>
                <w:sz w:val="18"/>
              </w:rPr>
              <w:t>funcionarias</w:t>
            </w:r>
            <w:r>
              <w:rPr>
                <w:spacing w:val="-13"/>
                <w:sz w:val="18"/>
              </w:rPr>
              <w:t> </w:t>
            </w:r>
            <w:r>
              <w:rPr>
                <w:sz w:val="18"/>
              </w:rPr>
              <w:t>y </w:t>
            </w:r>
            <w:r>
              <w:rPr>
                <w:spacing w:val="-2"/>
                <w:sz w:val="18"/>
              </w:rPr>
              <w:t>trabajadoras asesoradas</w:t>
            </w:r>
          </w:p>
        </w:tc>
        <w:tc>
          <w:tcPr>
            <w:tcW w:w="1181" w:type="dxa"/>
          </w:tcPr>
          <w:p>
            <w:pPr>
              <w:pStyle w:val="TableParagraph"/>
              <w:rPr>
                <w:b/>
                <w:sz w:val="18"/>
              </w:rPr>
            </w:pPr>
          </w:p>
          <w:p>
            <w:pPr>
              <w:pStyle w:val="TableParagraph"/>
              <w:spacing w:before="195"/>
              <w:rPr>
                <w:b/>
                <w:sz w:val="18"/>
              </w:rPr>
            </w:pPr>
          </w:p>
          <w:p>
            <w:pPr>
              <w:pStyle w:val="TableParagraph"/>
              <w:ind w:left="28" w:right="26"/>
              <w:jc w:val="center"/>
              <w:rPr>
                <w:sz w:val="18"/>
              </w:rPr>
            </w:pPr>
            <w:r>
              <w:rPr>
                <w:spacing w:val="-5"/>
                <w:sz w:val="18"/>
              </w:rPr>
              <w:t>40</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195"/>
              <w:rPr>
                <w:b/>
                <w:sz w:val="18"/>
              </w:rPr>
            </w:pPr>
          </w:p>
          <w:p>
            <w:pPr>
              <w:pStyle w:val="TableParagraph"/>
              <w:ind w:left="19" w:right="8"/>
              <w:jc w:val="center"/>
              <w:rPr>
                <w:sz w:val="18"/>
              </w:rPr>
            </w:pPr>
            <w:r>
              <w:rPr>
                <w:spacing w:val="-5"/>
                <w:sz w:val="18"/>
              </w:rPr>
              <w:t>80</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195"/>
              <w:rPr>
                <w:b/>
                <w:sz w:val="18"/>
              </w:rPr>
            </w:pPr>
          </w:p>
          <w:p>
            <w:pPr>
              <w:pStyle w:val="TableParagraph"/>
              <w:ind w:left="28" w:right="11"/>
              <w:jc w:val="center"/>
              <w:rPr>
                <w:sz w:val="18"/>
              </w:rPr>
            </w:pPr>
            <w:r>
              <w:rPr>
                <w:spacing w:val="-5"/>
                <w:sz w:val="18"/>
              </w:rPr>
              <w:t>120</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195"/>
              <w:rPr>
                <w:b/>
                <w:sz w:val="18"/>
              </w:rPr>
            </w:pPr>
          </w:p>
          <w:p>
            <w:pPr>
              <w:pStyle w:val="TableParagraph"/>
              <w:ind w:left="20" w:right="8"/>
              <w:jc w:val="center"/>
              <w:rPr>
                <w:sz w:val="18"/>
              </w:rPr>
            </w:pPr>
            <w:r>
              <w:rPr>
                <w:spacing w:val="-5"/>
                <w:sz w:val="18"/>
              </w:rPr>
              <w:t>170</w:t>
            </w:r>
          </w:p>
        </w:tc>
        <w:tc>
          <w:tcPr>
            <w:tcW w:w="1230" w:type="dxa"/>
          </w:tcPr>
          <w:p>
            <w:pPr>
              <w:pStyle w:val="TableParagraph"/>
              <w:rPr>
                <w:rFonts w:ascii="Times New Roman"/>
                <w:sz w:val="18"/>
              </w:rPr>
            </w:pPr>
          </w:p>
        </w:tc>
      </w:tr>
      <w:tr>
        <w:trPr>
          <w:trHeight w:val="1656" w:hRule="atLeast"/>
        </w:trPr>
        <w:tc>
          <w:tcPr>
            <w:tcW w:w="3092" w:type="dxa"/>
          </w:tcPr>
          <w:p>
            <w:pPr>
              <w:pStyle w:val="TableParagraph"/>
              <w:rPr>
                <w:b/>
                <w:sz w:val="18"/>
              </w:rPr>
            </w:pPr>
          </w:p>
          <w:p>
            <w:pPr>
              <w:pStyle w:val="TableParagraph"/>
              <w:spacing w:before="103"/>
              <w:rPr>
                <w:b/>
                <w:sz w:val="18"/>
              </w:rPr>
            </w:pPr>
          </w:p>
          <w:p>
            <w:pPr>
              <w:pStyle w:val="TableParagraph"/>
              <w:ind w:left="72" w:right="224"/>
              <w:jc w:val="both"/>
              <w:rPr>
                <w:sz w:val="18"/>
              </w:rPr>
            </w:pPr>
            <w:r>
              <w:rPr>
                <w:b/>
                <w:sz w:val="18"/>
              </w:rPr>
              <w:t>Actividad</w:t>
            </w:r>
            <w:r>
              <w:rPr>
                <w:b/>
                <w:spacing w:val="-13"/>
                <w:sz w:val="18"/>
              </w:rPr>
              <w:t> </w:t>
            </w:r>
            <w:r>
              <w:rPr>
                <w:b/>
                <w:sz w:val="18"/>
              </w:rPr>
              <w:t>PAC</w:t>
            </w:r>
            <w:r>
              <w:rPr>
                <w:b/>
                <w:spacing w:val="-12"/>
                <w:sz w:val="18"/>
              </w:rPr>
              <w:t> </w:t>
            </w:r>
            <w:r>
              <w:rPr>
                <w:b/>
                <w:sz w:val="18"/>
              </w:rPr>
              <w:t>2.76.4:</w:t>
            </w:r>
            <w:r>
              <w:rPr>
                <w:b/>
                <w:spacing w:val="-11"/>
                <w:sz w:val="18"/>
              </w:rPr>
              <w:t> </w:t>
            </w:r>
            <w:r>
              <w:rPr>
                <w:sz w:val="18"/>
              </w:rPr>
              <w:t>Desarrollar procesos</w:t>
            </w:r>
            <w:r>
              <w:rPr>
                <w:spacing w:val="-8"/>
                <w:sz w:val="18"/>
              </w:rPr>
              <w:t> </w:t>
            </w:r>
            <w:r>
              <w:rPr>
                <w:sz w:val="18"/>
              </w:rPr>
              <w:t>de</w:t>
            </w:r>
            <w:r>
              <w:rPr>
                <w:spacing w:val="-4"/>
                <w:sz w:val="18"/>
              </w:rPr>
              <w:t> </w:t>
            </w:r>
            <w:r>
              <w:rPr>
                <w:sz w:val="18"/>
              </w:rPr>
              <w:t>autoevaluación</w:t>
            </w:r>
            <w:r>
              <w:rPr>
                <w:spacing w:val="-8"/>
                <w:sz w:val="18"/>
              </w:rPr>
              <w:t> </w:t>
            </w:r>
            <w:r>
              <w:rPr>
                <w:sz w:val="18"/>
              </w:rPr>
              <w:t>en</w:t>
            </w:r>
            <w:r>
              <w:rPr>
                <w:spacing w:val="-8"/>
                <w:sz w:val="18"/>
              </w:rPr>
              <w:t> </w:t>
            </w:r>
            <w:r>
              <w:rPr>
                <w:sz w:val="18"/>
              </w:rPr>
              <w:t>las unidades</w:t>
            </w:r>
            <w:r>
              <w:rPr>
                <w:spacing w:val="-7"/>
                <w:sz w:val="18"/>
              </w:rPr>
              <w:t> </w:t>
            </w:r>
            <w:r>
              <w:rPr>
                <w:sz w:val="18"/>
              </w:rPr>
              <w:t>administrativas</w:t>
            </w:r>
            <w:r>
              <w:rPr>
                <w:spacing w:val="-6"/>
                <w:sz w:val="18"/>
              </w:rPr>
              <w:t> </w:t>
            </w:r>
            <w:r>
              <w:rPr>
                <w:sz w:val="18"/>
              </w:rPr>
              <w:t>del</w:t>
            </w:r>
            <w:r>
              <w:rPr>
                <w:spacing w:val="-9"/>
                <w:sz w:val="18"/>
              </w:rPr>
              <w:t> </w:t>
            </w:r>
            <w:r>
              <w:rPr>
                <w:spacing w:val="-4"/>
                <w:sz w:val="18"/>
              </w:rPr>
              <w:t>IMAS</w:t>
            </w:r>
          </w:p>
        </w:tc>
        <w:tc>
          <w:tcPr>
            <w:tcW w:w="1560" w:type="dxa"/>
          </w:tcPr>
          <w:p>
            <w:pPr>
              <w:pStyle w:val="TableParagraph"/>
              <w:ind w:left="67" w:right="58"/>
              <w:rPr>
                <w:sz w:val="18"/>
              </w:rPr>
            </w:pPr>
            <w:r>
              <w:rPr>
                <w:sz w:val="18"/>
              </w:rPr>
              <w:t>Cantidad de informes de resultados del desarrollo de procesos de </w:t>
            </w:r>
            <w:r>
              <w:rPr>
                <w:spacing w:val="-2"/>
                <w:sz w:val="18"/>
              </w:rPr>
              <w:t>autoevaluación </w:t>
            </w:r>
            <w:r>
              <w:rPr>
                <w:sz w:val="18"/>
              </w:rPr>
              <w:t>elaborados y</w:t>
            </w:r>
          </w:p>
          <w:p>
            <w:pPr>
              <w:pStyle w:val="TableParagraph"/>
              <w:spacing w:line="187" w:lineRule="exact"/>
              <w:ind w:left="67"/>
              <w:rPr>
                <w:sz w:val="18"/>
              </w:rPr>
            </w:pPr>
            <w:r>
              <w:rPr>
                <w:spacing w:val="-2"/>
                <w:sz w:val="18"/>
              </w:rPr>
              <w:t>remitidos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0" w:right="7"/>
              <w:jc w:val="center"/>
              <w:rPr>
                <w:sz w:val="18"/>
              </w:rPr>
            </w:pPr>
            <w:r>
              <w:rPr>
                <w:spacing w:val="-10"/>
                <w:sz w:val="18"/>
              </w:rPr>
              <w:t>1</w:t>
            </w:r>
          </w:p>
        </w:tc>
        <w:tc>
          <w:tcPr>
            <w:tcW w:w="1230" w:type="dxa"/>
          </w:tcPr>
          <w:p>
            <w:pPr>
              <w:pStyle w:val="TableParagraph"/>
              <w:rPr>
                <w:rFonts w:ascii="Times New Roman"/>
                <w:sz w:val="18"/>
              </w:rPr>
            </w:pPr>
          </w:p>
        </w:tc>
      </w:tr>
      <w:tr>
        <w:trPr>
          <w:trHeight w:val="1449" w:hRule="atLeast"/>
        </w:trPr>
        <w:tc>
          <w:tcPr>
            <w:tcW w:w="3092" w:type="dxa"/>
          </w:tcPr>
          <w:p>
            <w:pPr>
              <w:pStyle w:val="TableParagraph"/>
              <w:spacing w:before="204"/>
              <w:rPr>
                <w:b/>
                <w:sz w:val="18"/>
              </w:rPr>
            </w:pPr>
          </w:p>
          <w:p>
            <w:pPr>
              <w:pStyle w:val="TableParagraph"/>
              <w:spacing w:line="242" w:lineRule="auto"/>
              <w:ind w:left="72" w:right="99"/>
              <w:rPr>
                <w:sz w:val="18"/>
              </w:rPr>
            </w:pPr>
            <w:r>
              <w:rPr>
                <w:b/>
                <w:sz w:val="18"/>
              </w:rPr>
              <w:t>Actividad PAC 2.76.5: </w:t>
            </w:r>
            <w:r>
              <w:rPr>
                <w:sz w:val="18"/>
              </w:rPr>
              <w:t>Dar seguimiento</w:t>
            </w:r>
            <w:r>
              <w:rPr>
                <w:spacing w:val="-8"/>
                <w:sz w:val="18"/>
              </w:rPr>
              <w:t> </w:t>
            </w:r>
            <w:r>
              <w:rPr>
                <w:sz w:val="18"/>
              </w:rPr>
              <w:t>al</w:t>
            </w:r>
            <w:r>
              <w:rPr>
                <w:spacing w:val="-5"/>
                <w:sz w:val="18"/>
              </w:rPr>
              <w:t> </w:t>
            </w:r>
            <w:r>
              <w:rPr>
                <w:sz w:val="18"/>
              </w:rPr>
              <w:t>plan</w:t>
            </w:r>
            <w:r>
              <w:rPr>
                <w:spacing w:val="-8"/>
                <w:sz w:val="18"/>
              </w:rPr>
              <w:t> </w:t>
            </w:r>
            <w:r>
              <w:rPr>
                <w:sz w:val="18"/>
              </w:rPr>
              <w:t>de</w:t>
            </w:r>
            <w:r>
              <w:rPr>
                <w:spacing w:val="-8"/>
                <w:sz w:val="18"/>
              </w:rPr>
              <w:t> </w:t>
            </w:r>
            <w:r>
              <w:rPr>
                <w:sz w:val="18"/>
              </w:rPr>
              <w:t>mejora</w:t>
            </w:r>
            <w:r>
              <w:rPr>
                <w:spacing w:val="-8"/>
                <w:sz w:val="18"/>
              </w:rPr>
              <w:t> </w:t>
            </w:r>
            <w:r>
              <w:rPr>
                <w:sz w:val="18"/>
              </w:rPr>
              <w:t>de procesos de autoevaluación.</w:t>
            </w:r>
          </w:p>
        </w:tc>
        <w:tc>
          <w:tcPr>
            <w:tcW w:w="1560" w:type="dxa"/>
          </w:tcPr>
          <w:p>
            <w:pPr>
              <w:pStyle w:val="TableParagraph"/>
              <w:ind w:left="67" w:right="108"/>
              <w:rPr>
                <w:sz w:val="18"/>
              </w:rPr>
            </w:pPr>
            <w:r>
              <w:rPr>
                <w:sz w:val="18"/>
              </w:rPr>
              <w:t>Cantidad de </w:t>
            </w:r>
            <w:r>
              <w:rPr>
                <w:spacing w:val="-2"/>
                <w:sz w:val="18"/>
              </w:rPr>
              <w:t>seguimientos </w:t>
            </w:r>
            <w:r>
              <w:rPr>
                <w:sz w:val="18"/>
              </w:rPr>
              <w:t>realizados y remitidos</w:t>
            </w:r>
            <w:r>
              <w:rPr>
                <w:spacing w:val="-15"/>
                <w:sz w:val="18"/>
              </w:rPr>
              <w:t> </w:t>
            </w:r>
            <w:r>
              <w:rPr>
                <w:sz w:val="18"/>
              </w:rPr>
              <w:t>a</w:t>
            </w:r>
            <w:r>
              <w:rPr>
                <w:spacing w:val="-12"/>
                <w:sz w:val="18"/>
              </w:rPr>
              <w:t> </w:t>
            </w:r>
            <w:r>
              <w:rPr>
                <w:sz w:val="18"/>
              </w:rPr>
              <w:t>la </w:t>
            </w:r>
            <w:r>
              <w:rPr>
                <w:spacing w:val="-2"/>
                <w:sz w:val="18"/>
              </w:rPr>
              <w:t>Dirección </w:t>
            </w:r>
            <w:r>
              <w:rPr>
                <w:sz w:val="18"/>
              </w:rPr>
              <w:t>Superior del</w:t>
            </w:r>
          </w:p>
          <w:p>
            <w:pPr>
              <w:pStyle w:val="TableParagraph"/>
              <w:spacing w:line="187" w:lineRule="exact"/>
              <w:ind w:left="67"/>
              <w:rPr>
                <w:sz w:val="18"/>
              </w:rPr>
            </w:pPr>
            <w:r>
              <w:rPr>
                <w:spacing w:val="-4"/>
                <w:sz w:val="18"/>
              </w:rPr>
              <w:t>IMAS</w:t>
            </w:r>
          </w:p>
        </w:tc>
        <w:tc>
          <w:tcPr>
            <w:tcW w:w="1181" w:type="dxa"/>
          </w:tcPr>
          <w:p>
            <w:pPr>
              <w:pStyle w:val="TableParagraph"/>
              <w:rPr>
                <w:b/>
                <w:sz w:val="18"/>
              </w:rPr>
            </w:pPr>
          </w:p>
          <w:p>
            <w:pPr>
              <w:pStyle w:val="TableParagraph"/>
              <w:spacing w:before="204"/>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204"/>
              <w:rPr>
                <w:b/>
                <w:sz w:val="18"/>
              </w:rPr>
            </w:pPr>
          </w:p>
          <w:p>
            <w:pPr>
              <w:pStyle w:val="TableParagraph"/>
              <w:ind w:left="28" w:right="11"/>
              <w:jc w:val="center"/>
              <w:rPr>
                <w:sz w:val="18"/>
              </w:rPr>
            </w:pPr>
            <w:r>
              <w:rPr>
                <w:spacing w:val="-10"/>
                <w:sz w:val="18"/>
              </w:rPr>
              <w:t>2</w:t>
            </w: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556" w:hRule="atLeast"/>
        </w:trPr>
        <w:tc>
          <w:tcPr>
            <w:tcW w:w="14394" w:type="dxa"/>
            <w:gridSpan w:val="10"/>
            <w:shd w:val="clear" w:color="auto" w:fill="EFF8F9"/>
          </w:tcPr>
          <w:p>
            <w:pPr>
              <w:pStyle w:val="TableParagraph"/>
              <w:spacing w:before="171"/>
              <w:ind w:left="72"/>
              <w:rPr>
                <w:b/>
                <w:sz w:val="18"/>
              </w:rPr>
            </w:pPr>
            <w:r>
              <w:rPr>
                <w:b/>
                <w:sz w:val="18"/>
              </w:rPr>
              <w:t>Producto</w:t>
            </w:r>
            <w:r>
              <w:rPr>
                <w:b/>
                <w:spacing w:val="-7"/>
                <w:sz w:val="18"/>
              </w:rPr>
              <w:t> </w:t>
            </w:r>
            <w:r>
              <w:rPr>
                <w:b/>
                <w:sz w:val="18"/>
              </w:rPr>
              <w:t>PAC</w:t>
            </w:r>
            <w:r>
              <w:rPr>
                <w:b/>
                <w:spacing w:val="-7"/>
                <w:sz w:val="18"/>
              </w:rPr>
              <w:t> </w:t>
            </w:r>
            <w:r>
              <w:rPr>
                <w:b/>
                <w:sz w:val="18"/>
              </w:rPr>
              <w:t>2.77:</w:t>
            </w:r>
            <w:r>
              <w:rPr>
                <w:b/>
                <w:spacing w:val="-4"/>
                <w:sz w:val="18"/>
              </w:rPr>
              <w:t> </w:t>
            </w:r>
            <w:r>
              <w:rPr>
                <w:b/>
                <w:sz w:val="18"/>
              </w:rPr>
              <w:t>Unidades</w:t>
            </w:r>
            <w:r>
              <w:rPr>
                <w:b/>
                <w:spacing w:val="-2"/>
                <w:sz w:val="18"/>
              </w:rPr>
              <w:t> </w:t>
            </w:r>
            <w:r>
              <w:rPr>
                <w:b/>
                <w:sz w:val="18"/>
              </w:rPr>
              <w:t>del</w:t>
            </w:r>
            <w:r>
              <w:rPr>
                <w:b/>
                <w:spacing w:val="-4"/>
                <w:sz w:val="18"/>
              </w:rPr>
              <w:t> </w:t>
            </w:r>
            <w:r>
              <w:rPr>
                <w:b/>
                <w:sz w:val="18"/>
              </w:rPr>
              <w:t>IMAS</w:t>
            </w:r>
            <w:r>
              <w:rPr>
                <w:b/>
                <w:spacing w:val="-6"/>
                <w:sz w:val="18"/>
              </w:rPr>
              <w:t> </w:t>
            </w:r>
            <w:r>
              <w:rPr>
                <w:b/>
                <w:sz w:val="18"/>
              </w:rPr>
              <w:t>incluyen</w:t>
            </w:r>
            <w:r>
              <w:rPr>
                <w:b/>
                <w:spacing w:val="-2"/>
                <w:sz w:val="18"/>
              </w:rPr>
              <w:t> </w:t>
            </w:r>
            <w:r>
              <w:rPr>
                <w:b/>
                <w:sz w:val="18"/>
              </w:rPr>
              <w:t>en</w:t>
            </w:r>
            <w:r>
              <w:rPr>
                <w:b/>
                <w:spacing w:val="-6"/>
                <w:sz w:val="18"/>
              </w:rPr>
              <w:t> </w:t>
            </w:r>
            <w:r>
              <w:rPr>
                <w:b/>
                <w:sz w:val="18"/>
              </w:rPr>
              <w:t>sus</w:t>
            </w:r>
            <w:r>
              <w:rPr>
                <w:b/>
                <w:spacing w:val="-6"/>
                <w:sz w:val="18"/>
              </w:rPr>
              <w:t> </w:t>
            </w:r>
            <w:r>
              <w:rPr>
                <w:b/>
                <w:sz w:val="18"/>
              </w:rPr>
              <w:t>planes</w:t>
            </w:r>
            <w:r>
              <w:rPr>
                <w:b/>
                <w:spacing w:val="-6"/>
                <w:sz w:val="18"/>
              </w:rPr>
              <w:t> </w:t>
            </w:r>
            <w:r>
              <w:rPr>
                <w:b/>
                <w:sz w:val="18"/>
              </w:rPr>
              <w:t>gerenciales</w:t>
            </w:r>
            <w:r>
              <w:rPr>
                <w:b/>
                <w:spacing w:val="-10"/>
                <w:sz w:val="18"/>
              </w:rPr>
              <w:t> </w:t>
            </w:r>
            <w:r>
              <w:rPr>
                <w:b/>
                <w:sz w:val="18"/>
              </w:rPr>
              <w:t>la</w:t>
            </w:r>
            <w:r>
              <w:rPr>
                <w:b/>
                <w:spacing w:val="-2"/>
                <w:sz w:val="18"/>
              </w:rPr>
              <w:t> </w:t>
            </w:r>
            <w:r>
              <w:rPr>
                <w:b/>
                <w:sz w:val="18"/>
              </w:rPr>
              <w:t>gestión</w:t>
            </w:r>
            <w:r>
              <w:rPr>
                <w:b/>
                <w:spacing w:val="-6"/>
                <w:sz w:val="18"/>
              </w:rPr>
              <w:t> </w:t>
            </w:r>
            <w:r>
              <w:rPr>
                <w:b/>
                <w:sz w:val="18"/>
              </w:rPr>
              <w:t>de</w:t>
            </w:r>
            <w:r>
              <w:rPr>
                <w:b/>
                <w:spacing w:val="-6"/>
                <w:sz w:val="18"/>
              </w:rPr>
              <w:t> </w:t>
            </w:r>
            <w:r>
              <w:rPr>
                <w:b/>
                <w:sz w:val="18"/>
              </w:rPr>
              <w:t>riesgos.</w:t>
            </w:r>
            <w:r>
              <w:rPr>
                <w:b/>
                <w:spacing w:val="1"/>
                <w:sz w:val="18"/>
              </w:rPr>
              <w:t> </w:t>
            </w:r>
            <w:r>
              <w:rPr>
                <w:b/>
                <w:sz w:val="18"/>
              </w:rPr>
              <w:t>E1</w:t>
            </w:r>
            <w:r>
              <w:rPr>
                <w:b/>
                <w:spacing w:val="-5"/>
                <w:sz w:val="18"/>
              </w:rPr>
              <w:t> </w:t>
            </w:r>
            <w:r>
              <w:rPr>
                <w:b/>
                <w:sz w:val="18"/>
              </w:rPr>
              <w:t>AE5</w:t>
            </w:r>
            <w:r>
              <w:rPr>
                <w:b/>
                <w:spacing w:val="-6"/>
                <w:sz w:val="18"/>
              </w:rPr>
              <w:t> </w:t>
            </w:r>
            <w:r>
              <w:rPr>
                <w:b/>
                <w:sz w:val="18"/>
              </w:rPr>
              <w:t>R4</w:t>
            </w:r>
            <w:r>
              <w:rPr>
                <w:b/>
                <w:spacing w:val="-5"/>
                <w:sz w:val="18"/>
              </w:rPr>
              <w:t> </w:t>
            </w:r>
            <w:r>
              <w:rPr>
                <w:b/>
                <w:spacing w:val="-2"/>
                <w:sz w:val="18"/>
              </w:rPr>
              <w:t>(100%)</w:t>
            </w:r>
          </w:p>
        </w:tc>
      </w:tr>
      <w:tr>
        <w:trPr>
          <w:trHeight w:val="2069" w:hRule="atLeast"/>
        </w:trPr>
        <w:tc>
          <w:tcPr>
            <w:tcW w:w="3092" w:type="dxa"/>
          </w:tcPr>
          <w:p>
            <w:pPr>
              <w:pStyle w:val="TableParagraph"/>
              <w:rPr>
                <w:b/>
                <w:sz w:val="18"/>
              </w:rPr>
            </w:pPr>
          </w:p>
          <w:p>
            <w:pPr>
              <w:pStyle w:val="TableParagraph"/>
              <w:spacing w:before="204"/>
              <w:rPr>
                <w:b/>
                <w:sz w:val="18"/>
              </w:rPr>
            </w:pPr>
          </w:p>
          <w:p>
            <w:pPr>
              <w:pStyle w:val="TableParagraph"/>
              <w:ind w:left="72" w:right="99"/>
              <w:rPr>
                <w:sz w:val="18"/>
              </w:rPr>
            </w:pPr>
            <w:r>
              <w:rPr>
                <w:b/>
                <w:sz w:val="18"/>
              </w:rPr>
              <w:t>Actividad</w:t>
            </w:r>
            <w:r>
              <w:rPr>
                <w:b/>
                <w:spacing w:val="-11"/>
                <w:sz w:val="18"/>
              </w:rPr>
              <w:t> </w:t>
            </w:r>
            <w:r>
              <w:rPr>
                <w:b/>
                <w:sz w:val="18"/>
              </w:rPr>
              <w:t>PAC</w:t>
            </w:r>
            <w:r>
              <w:rPr>
                <w:b/>
                <w:spacing w:val="-8"/>
                <w:sz w:val="18"/>
              </w:rPr>
              <w:t> </w:t>
            </w:r>
            <w:r>
              <w:rPr>
                <w:b/>
                <w:sz w:val="18"/>
              </w:rPr>
              <w:t>2.77.1:</w:t>
            </w:r>
            <w:r>
              <w:rPr>
                <w:b/>
                <w:spacing w:val="39"/>
                <w:sz w:val="18"/>
              </w:rPr>
              <w:t> </w:t>
            </w:r>
            <w:r>
              <w:rPr>
                <w:sz w:val="18"/>
              </w:rPr>
              <w:t>Revisar</w:t>
            </w:r>
            <w:r>
              <w:rPr>
                <w:spacing w:val="-5"/>
                <w:sz w:val="18"/>
              </w:rPr>
              <w:t> </w:t>
            </w:r>
            <w:r>
              <w:rPr>
                <w:sz w:val="18"/>
              </w:rPr>
              <w:t>los resultados anuales de gestión de riesgos del PEI de cara a la formulación del POI-POGE 2027</w:t>
            </w:r>
          </w:p>
        </w:tc>
        <w:tc>
          <w:tcPr>
            <w:tcW w:w="1560" w:type="dxa"/>
          </w:tcPr>
          <w:p>
            <w:pPr>
              <w:pStyle w:val="TableParagraph"/>
              <w:ind w:left="67" w:right="58"/>
              <w:rPr>
                <w:sz w:val="18"/>
              </w:rPr>
            </w:pPr>
            <w:r>
              <w:rPr>
                <w:sz w:val="18"/>
              </w:rPr>
              <w:t>Porcentaje de </w:t>
            </w:r>
            <w:r>
              <w:rPr>
                <w:spacing w:val="-2"/>
                <w:sz w:val="18"/>
              </w:rPr>
              <w:t>resultados, objetivos, </w:t>
            </w:r>
            <w:r>
              <w:rPr>
                <w:sz w:val="18"/>
              </w:rPr>
              <w:t>productos o actividades cuya meta</w:t>
            </w:r>
            <w:r>
              <w:rPr>
                <w:spacing w:val="-13"/>
                <w:sz w:val="18"/>
              </w:rPr>
              <w:t> </w:t>
            </w:r>
            <w:r>
              <w:rPr>
                <w:sz w:val="18"/>
              </w:rPr>
              <w:t>PEI</w:t>
            </w:r>
            <w:r>
              <w:rPr>
                <w:spacing w:val="-10"/>
                <w:sz w:val="18"/>
              </w:rPr>
              <w:t> </w:t>
            </w:r>
            <w:r>
              <w:rPr>
                <w:sz w:val="18"/>
              </w:rPr>
              <w:t>inicia</w:t>
            </w:r>
            <w:r>
              <w:rPr>
                <w:spacing w:val="-13"/>
                <w:sz w:val="18"/>
              </w:rPr>
              <w:t> </w:t>
            </w:r>
            <w:r>
              <w:rPr>
                <w:sz w:val="18"/>
              </w:rPr>
              <w:t>el año 2026 incluidos en la</w:t>
            </w:r>
          </w:p>
          <w:p>
            <w:pPr>
              <w:pStyle w:val="TableParagraph"/>
              <w:spacing w:line="206" w:lineRule="exact"/>
              <w:ind w:left="67" w:right="130"/>
              <w:rPr>
                <w:sz w:val="18"/>
              </w:rPr>
            </w:pPr>
            <w:r>
              <w:rPr>
                <w:sz w:val="18"/>
              </w:rPr>
              <w:t>gestión</w:t>
            </w:r>
            <w:r>
              <w:rPr>
                <w:spacing w:val="-13"/>
                <w:sz w:val="18"/>
              </w:rPr>
              <w:t> </w:t>
            </w:r>
            <w:r>
              <w:rPr>
                <w:sz w:val="18"/>
              </w:rPr>
              <w:t>de </w:t>
            </w:r>
            <w:r>
              <w:rPr>
                <w:spacing w:val="-2"/>
                <w:sz w:val="18"/>
              </w:rPr>
              <w:t>riesgos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9" w:right="5"/>
              <w:jc w:val="center"/>
              <w:rPr>
                <w:sz w:val="18"/>
              </w:rPr>
            </w:pPr>
            <w:r>
              <w:rPr>
                <w:spacing w:val="-4"/>
                <w:sz w:val="18"/>
              </w:rPr>
              <w:t>100%</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036" w:hRule="atLeast"/>
        </w:trPr>
        <w:tc>
          <w:tcPr>
            <w:tcW w:w="3092" w:type="dxa"/>
          </w:tcPr>
          <w:p>
            <w:pPr>
              <w:pStyle w:val="TableParagraph"/>
              <w:spacing w:before="205"/>
              <w:ind w:left="72" w:right="99"/>
              <w:rPr>
                <w:sz w:val="18"/>
              </w:rPr>
            </w:pPr>
            <w:r>
              <w:rPr>
                <w:b/>
                <w:sz w:val="18"/>
              </w:rPr>
              <w:t>Actividad PAC 2.77.2: </w:t>
            </w:r>
            <w:r>
              <w:rPr>
                <w:sz w:val="18"/>
              </w:rPr>
              <w:t>Dar seguimiento</w:t>
            </w:r>
            <w:r>
              <w:rPr>
                <w:spacing w:val="-10"/>
                <w:sz w:val="18"/>
              </w:rPr>
              <w:t> </w:t>
            </w:r>
            <w:r>
              <w:rPr>
                <w:sz w:val="18"/>
              </w:rPr>
              <w:t>al</w:t>
            </w:r>
            <w:r>
              <w:rPr>
                <w:spacing w:val="-7"/>
                <w:sz w:val="18"/>
              </w:rPr>
              <w:t> </w:t>
            </w:r>
            <w:r>
              <w:rPr>
                <w:sz w:val="18"/>
              </w:rPr>
              <w:t>plan</w:t>
            </w:r>
            <w:r>
              <w:rPr>
                <w:spacing w:val="-10"/>
                <w:sz w:val="18"/>
              </w:rPr>
              <w:t> </w:t>
            </w:r>
            <w:r>
              <w:rPr>
                <w:sz w:val="18"/>
              </w:rPr>
              <w:t>interno</w:t>
            </w:r>
            <w:r>
              <w:rPr>
                <w:spacing w:val="-10"/>
                <w:sz w:val="18"/>
              </w:rPr>
              <w:t> </w:t>
            </w:r>
            <w:r>
              <w:rPr>
                <w:sz w:val="18"/>
              </w:rPr>
              <w:t>de </w:t>
            </w:r>
            <w:r>
              <w:rPr>
                <w:spacing w:val="-2"/>
                <w:sz w:val="18"/>
              </w:rPr>
              <w:t>riesgos</w:t>
            </w:r>
          </w:p>
        </w:tc>
        <w:tc>
          <w:tcPr>
            <w:tcW w:w="1560" w:type="dxa"/>
          </w:tcPr>
          <w:p>
            <w:pPr>
              <w:pStyle w:val="TableParagraph"/>
              <w:ind w:left="67" w:right="58"/>
              <w:rPr>
                <w:sz w:val="18"/>
              </w:rPr>
            </w:pPr>
            <w:r>
              <w:rPr>
                <w:sz w:val="18"/>
              </w:rPr>
              <w:t>Cantidad de </w:t>
            </w:r>
            <w:r>
              <w:rPr>
                <w:spacing w:val="-2"/>
                <w:sz w:val="18"/>
              </w:rPr>
              <w:t>seguimientos </w:t>
            </w:r>
            <w:r>
              <w:rPr>
                <w:sz w:val="18"/>
              </w:rPr>
              <w:t>realizados</w:t>
            </w:r>
            <w:r>
              <w:rPr>
                <w:spacing w:val="-15"/>
                <w:sz w:val="18"/>
              </w:rPr>
              <w:t> </w:t>
            </w:r>
            <w:r>
              <w:rPr>
                <w:sz w:val="18"/>
              </w:rPr>
              <w:t>a</w:t>
            </w:r>
            <w:r>
              <w:rPr>
                <w:spacing w:val="-12"/>
                <w:sz w:val="18"/>
              </w:rPr>
              <w:t> </w:t>
            </w:r>
            <w:r>
              <w:rPr>
                <w:sz w:val="18"/>
              </w:rPr>
              <w:t>las </w:t>
            </w:r>
            <w:r>
              <w:rPr>
                <w:spacing w:val="-2"/>
                <w:sz w:val="18"/>
              </w:rPr>
              <w:t>instancias</w:t>
            </w:r>
          </w:p>
          <w:p>
            <w:pPr>
              <w:pStyle w:val="TableParagraph"/>
              <w:spacing w:line="187" w:lineRule="exact" w:before="2"/>
              <w:ind w:left="67"/>
              <w:rPr>
                <w:sz w:val="18"/>
              </w:rPr>
            </w:pPr>
            <w:r>
              <w:rPr>
                <w:spacing w:val="-2"/>
                <w:sz w:val="18"/>
              </w:rPr>
              <w:t>institucionales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spacing w:before="204"/>
              <w:rPr>
                <w:b/>
                <w:sz w:val="18"/>
              </w:rPr>
            </w:pPr>
          </w:p>
          <w:p>
            <w:pPr>
              <w:pStyle w:val="TableParagraph"/>
              <w:ind w:left="19" w:right="2"/>
              <w:jc w:val="center"/>
              <w:rPr>
                <w:sz w:val="18"/>
              </w:rPr>
            </w:pPr>
            <w:r>
              <w:rPr>
                <w:spacing w:val="-10"/>
                <w:sz w:val="18"/>
              </w:rPr>
              <w:t>1</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spacing w:before="204"/>
              <w:rPr>
                <w:b/>
                <w:sz w:val="18"/>
              </w:rPr>
            </w:pPr>
          </w:p>
          <w:p>
            <w:pPr>
              <w:pStyle w:val="TableParagraph"/>
              <w:ind w:left="20" w:right="7"/>
              <w:jc w:val="center"/>
              <w:rPr>
                <w:sz w:val="18"/>
              </w:rPr>
            </w:pPr>
            <w:r>
              <w:rPr>
                <w:spacing w:val="-10"/>
                <w:sz w:val="18"/>
              </w:rPr>
              <w:t>2</w:t>
            </w:r>
          </w:p>
        </w:tc>
        <w:tc>
          <w:tcPr>
            <w:tcW w:w="1230" w:type="dxa"/>
          </w:tcPr>
          <w:p>
            <w:pPr>
              <w:pStyle w:val="TableParagraph"/>
              <w:rPr>
                <w:rFonts w:ascii="Times New Roman"/>
                <w:sz w:val="18"/>
              </w:rPr>
            </w:pPr>
          </w:p>
        </w:tc>
      </w:tr>
      <w:tr>
        <w:trPr>
          <w:trHeight w:val="762" w:hRule="atLeast"/>
        </w:trPr>
        <w:tc>
          <w:tcPr>
            <w:tcW w:w="14394" w:type="dxa"/>
            <w:gridSpan w:val="10"/>
            <w:shd w:val="clear" w:color="auto" w:fill="EFF8F9"/>
          </w:tcPr>
          <w:p>
            <w:pPr>
              <w:pStyle w:val="TableParagraph"/>
              <w:spacing w:line="244" w:lineRule="auto" w:before="171"/>
              <w:ind w:left="72" w:firstLine="52"/>
              <w:rPr>
                <w:b/>
                <w:sz w:val="18"/>
              </w:rPr>
            </w:pPr>
            <w:r>
              <w:rPr>
                <w:b/>
                <w:sz w:val="18"/>
              </w:rPr>
              <w:t>Producto</w:t>
            </w:r>
            <w:r>
              <w:rPr>
                <w:b/>
                <w:spacing w:val="-3"/>
                <w:sz w:val="18"/>
              </w:rPr>
              <w:t> </w:t>
            </w:r>
            <w:r>
              <w:rPr>
                <w:b/>
                <w:sz w:val="18"/>
              </w:rPr>
              <w:t>PAC 2.78:</w:t>
            </w:r>
            <w:r>
              <w:rPr>
                <w:b/>
                <w:spacing w:val="40"/>
                <w:sz w:val="18"/>
              </w:rPr>
              <w:t> </w:t>
            </w:r>
            <w:r>
              <w:rPr>
                <w:b/>
                <w:sz w:val="18"/>
              </w:rPr>
              <w:t>Metodología</w:t>
            </w:r>
            <w:r>
              <w:rPr>
                <w:b/>
                <w:spacing w:val="-2"/>
                <w:sz w:val="18"/>
              </w:rPr>
              <w:t> </w:t>
            </w:r>
            <w:r>
              <w:rPr>
                <w:b/>
                <w:sz w:val="18"/>
              </w:rPr>
              <w:t>elaborada</w:t>
            </w:r>
            <w:r>
              <w:rPr>
                <w:b/>
                <w:spacing w:val="-2"/>
                <w:sz w:val="18"/>
              </w:rPr>
              <w:t> </w:t>
            </w:r>
            <w:r>
              <w:rPr>
                <w:b/>
                <w:sz w:val="18"/>
              </w:rPr>
              <w:t>para</w:t>
            </w:r>
            <w:r>
              <w:rPr>
                <w:b/>
                <w:spacing w:val="-2"/>
                <w:sz w:val="18"/>
              </w:rPr>
              <w:t> </w:t>
            </w:r>
            <w:r>
              <w:rPr>
                <w:b/>
                <w:sz w:val="18"/>
              </w:rPr>
              <w:t>el desarrollo</w:t>
            </w:r>
            <w:r>
              <w:rPr>
                <w:b/>
                <w:spacing w:val="-3"/>
                <w:sz w:val="18"/>
              </w:rPr>
              <w:t> </w:t>
            </w:r>
            <w:r>
              <w:rPr>
                <w:b/>
                <w:sz w:val="18"/>
              </w:rPr>
              <w:t>de</w:t>
            </w:r>
            <w:r>
              <w:rPr>
                <w:b/>
                <w:spacing w:val="-2"/>
                <w:sz w:val="18"/>
              </w:rPr>
              <w:t> </w:t>
            </w:r>
            <w:r>
              <w:rPr>
                <w:b/>
                <w:sz w:val="18"/>
              </w:rPr>
              <w:t>estudios</w:t>
            </w:r>
            <w:r>
              <w:rPr>
                <w:b/>
                <w:spacing w:val="-2"/>
                <w:sz w:val="18"/>
              </w:rPr>
              <w:t> </w:t>
            </w:r>
            <w:r>
              <w:rPr>
                <w:b/>
                <w:sz w:val="18"/>
              </w:rPr>
              <w:t>de</w:t>
            </w:r>
            <w:r>
              <w:rPr>
                <w:b/>
                <w:spacing w:val="-2"/>
                <w:sz w:val="18"/>
              </w:rPr>
              <w:t> </w:t>
            </w:r>
            <w:r>
              <w:rPr>
                <w:b/>
                <w:sz w:val="18"/>
              </w:rPr>
              <w:t>la</w:t>
            </w:r>
            <w:r>
              <w:rPr>
                <w:b/>
                <w:spacing w:val="-2"/>
                <w:sz w:val="18"/>
              </w:rPr>
              <w:t> </w:t>
            </w:r>
            <w:r>
              <w:rPr>
                <w:b/>
                <w:sz w:val="18"/>
              </w:rPr>
              <w:t>realidad</w:t>
            </w:r>
            <w:r>
              <w:rPr>
                <w:b/>
                <w:spacing w:val="-3"/>
                <w:sz w:val="18"/>
              </w:rPr>
              <w:t> </w:t>
            </w:r>
            <w:r>
              <w:rPr>
                <w:b/>
                <w:sz w:val="18"/>
              </w:rPr>
              <w:t>social, económica, regional y</w:t>
            </w:r>
            <w:r>
              <w:rPr>
                <w:b/>
                <w:spacing w:val="-2"/>
                <w:sz w:val="18"/>
              </w:rPr>
              <w:t> </w:t>
            </w:r>
            <w:r>
              <w:rPr>
                <w:b/>
                <w:sz w:val="18"/>
              </w:rPr>
              <w:t>territorial, que</w:t>
            </w:r>
            <w:r>
              <w:rPr>
                <w:b/>
                <w:spacing w:val="-2"/>
                <w:sz w:val="18"/>
              </w:rPr>
              <w:t> </w:t>
            </w:r>
            <w:r>
              <w:rPr>
                <w:b/>
                <w:sz w:val="18"/>
              </w:rPr>
              <w:t>genere</w:t>
            </w:r>
            <w:r>
              <w:rPr>
                <w:b/>
                <w:spacing w:val="-2"/>
                <w:sz w:val="18"/>
              </w:rPr>
              <w:t> </w:t>
            </w:r>
            <w:r>
              <w:rPr>
                <w:b/>
                <w:sz w:val="18"/>
              </w:rPr>
              <w:t>los</w:t>
            </w:r>
            <w:r>
              <w:rPr>
                <w:b/>
                <w:spacing w:val="-2"/>
                <w:sz w:val="18"/>
              </w:rPr>
              <w:t> </w:t>
            </w:r>
            <w:r>
              <w:rPr>
                <w:b/>
                <w:sz w:val="18"/>
              </w:rPr>
              <w:t>insumos</w:t>
            </w:r>
            <w:r>
              <w:rPr>
                <w:b/>
                <w:spacing w:val="-2"/>
                <w:sz w:val="18"/>
              </w:rPr>
              <w:t> </w:t>
            </w:r>
            <w:r>
              <w:rPr>
                <w:b/>
                <w:sz w:val="18"/>
              </w:rPr>
              <w:t>necesarios para facilitar la orientación de la inversión y el desarrollo de la oferta programática. E3 AE10 R1 (60%)</w:t>
            </w:r>
          </w:p>
        </w:tc>
      </w:tr>
      <w:tr>
        <w:trPr>
          <w:trHeight w:val="1455" w:hRule="atLeast"/>
        </w:trPr>
        <w:tc>
          <w:tcPr>
            <w:tcW w:w="3092" w:type="dxa"/>
          </w:tcPr>
          <w:p>
            <w:pPr>
              <w:pStyle w:val="TableParagraph"/>
              <w:spacing w:before="4"/>
              <w:ind w:left="72" w:right="79"/>
              <w:rPr>
                <w:sz w:val="18"/>
              </w:rPr>
            </w:pPr>
            <w:r>
              <w:rPr>
                <w:b/>
                <w:sz w:val="18"/>
              </w:rPr>
              <w:t>Actividad PAC 2.78.1: </w:t>
            </w:r>
            <w:r>
              <w:rPr>
                <w:sz w:val="18"/>
              </w:rPr>
              <w:t>Elaborar ajustes a la metodología para el desarrollo de estudios de inversión social, económica, regional y territorial a partir de proceso de consulta</w:t>
            </w:r>
            <w:r>
              <w:rPr>
                <w:spacing w:val="-7"/>
                <w:sz w:val="18"/>
              </w:rPr>
              <w:t> </w:t>
            </w:r>
            <w:r>
              <w:rPr>
                <w:sz w:val="18"/>
              </w:rPr>
              <w:t>y</w:t>
            </w:r>
            <w:r>
              <w:rPr>
                <w:spacing w:val="-7"/>
                <w:sz w:val="18"/>
              </w:rPr>
              <w:t> </w:t>
            </w:r>
            <w:r>
              <w:rPr>
                <w:sz w:val="18"/>
              </w:rPr>
              <w:t>de</w:t>
            </w:r>
            <w:r>
              <w:rPr>
                <w:spacing w:val="-7"/>
                <w:sz w:val="18"/>
              </w:rPr>
              <w:t> </w:t>
            </w:r>
            <w:r>
              <w:rPr>
                <w:sz w:val="18"/>
              </w:rPr>
              <w:t>operación</w:t>
            </w:r>
            <w:r>
              <w:rPr>
                <w:spacing w:val="-7"/>
                <w:sz w:val="18"/>
              </w:rPr>
              <w:t> </w:t>
            </w:r>
            <w:r>
              <w:rPr>
                <w:sz w:val="18"/>
              </w:rPr>
              <w:t>práctica</w:t>
            </w:r>
            <w:r>
              <w:rPr>
                <w:spacing w:val="-7"/>
                <w:sz w:val="18"/>
              </w:rPr>
              <w:t> </w:t>
            </w:r>
            <w:r>
              <w:rPr>
                <w:sz w:val="18"/>
              </w:rPr>
              <w:t>con</w:t>
            </w:r>
          </w:p>
          <w:p>
            <w:pPr>
              <w:pStyle w:val="TableParagraph"/>
              <w:spacing w:line="187" w:lineRule="exact" w:before="2"/>
              <w:ind w:left="72"/>
              <w:rPr>
                <w:sz w:val="18"/>
              </w:rPr>
            </w:pPr>
            <w:r>
              <w:rPr>
                <w:sz w:val="18"/>
              </w:rPr>
              <w:t>las </w:t>
            </w:r>
            <w:r>
              <w:rPr>
                <w:spacing w:val="-2"/>
                <w:sz w:val="18"/>
              </w:rPr>
              <w:t>UIPER.</w:t>
            </w:r>
          </w:p>
        </w:tc>
        <w:tc>
          <w:tcPr>
            <w:tcW w:w="1560" w:type="dxa"/>
          </w:tcPr>
          <w:p>
            <w:pPr>
              <w:pStyle w:val="TableParagraph"/>
              <w:spacing w:before="3"/>
              <w:rPr>
                <w:b/>
                <w:sz w:val="18"/>
              </w:rPr>
            </w:pPr>
          </w:p>
          <w:p>
            <w:pPr>
              <w:pStyle w:val="TableParagraph"/>
              <w:ind w:left="67" w:right="130"/>
              <w:rPr>
                <w:sz w:val="18"/>
              </w:rPr>
            </w:pPr>
            <w:r>
              <w:rPr>
                <w:sz w:val="18"/>
              </w:rPr>
              <w:t>Cantidad de </w:t>
            </w:r>
            <w:r>
              <w:rPr>
                <w:spacing w:val="-2"/>
                <w:sz w:val="18"/>
              </w:rPr>
              <w:t>ajustes </w:t>
            </w:r>
            <w:r>
              <w:rPr>
                <w:sz w:val="18"/>
              </w:rPr>
              <w:t>realizados</w:t>
            </w:r>
            <w:r>
              <w:rPr>
                <w:spacing w:val="-15"/>
                <w:sz w:val="18"/>
              </w:rPr>
              <w:t> </w:t>
            </w:r>
            <w:r>
              <w:rPr>
                <w:sz w:val="18"/>
              </w:rPr>
              <w:t>a</w:t>
            </w:r>
            <w:r>
              <w:rPr>
                <w:spacing w:val="-12"/>
                <w:sz w:val="18"/>
              </w:rPr>
              <w:t> </w:t>
            </w:r>
            <w:r>
              <w:rPr>
                <w:sz w:val="18"/>
              </w:rPr>
              <w:t>la </w:t>
            </w:r>
            <w:r>
              <w:rPr>
                <w:spacing w:val="-2"/>
                <w:sz w:val="18"/>
              </w:rPr>
              <w:t>metodológica elaborada</w:t>
            </w: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9" w:right="2"/>
              <w:jc w:val="center"/>
              <w:rPr>
                <w:sz w:val="18"/>
              </w:rPr>
            </w:pPr>
            <w:r>
              <w:rPr>
                <w:spacing w:val="-10"/>
                <w:sz w:val="18"/>
              </w:rPr>
              <w:t>3</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660" w:hRule="atLeast"/>
        </w:trPr>
        <w:tc>
          <w:tcPr>
            <w:tcW w:w="3092" w:type="dxa"/>
          </w:tcPr>
          <w:p>
            <w:pPr>
              <w:pStyle w:val="TableParagraph"/>
              <w:spacing w:before="103"/>
              <w:rPr>
                <w:b/>
                <w:sz w:val="18"/>
              </w:rPr>
            </w:pPr>
          </w:p>
          <w:p>
            <w:pPr>
              <w:pStyle w:val="TableParagraph"/>
              <w:spacing w:before="1"/>
              <w:ind w:left="72"/>
              <w:rPr>
                <w:sz w:val="18"/>
              </w:rPr>
            </w:pPr>
            <w:r>
              <w:rPr>
                <w:b/>
                <w:sz w:val="18"/>
              </w:rPr>
              <w:t>Actividad</w:t>
            </w:r>
            <w:r>
              <w:rPr>
                <w:b/>
                <w:spacing w:val="-13"/>
                <w:sz w:val="18"/>
              </w:rPr>
              <w:t> </w:t>
            </w:r>
            <w:r>
              <w:rPr>
                <w:b/>
                <w:sz w:val="18"/>
              </w:rPr>
              <w:t>PAC</w:t>
            </w:r>
            <w:r>
              <w:rPr>
                <w:b/>
                <w:spacing w:val="-9"/>
                <w:sz w:val="18"/>
              </w:rPr>
              <w:t> </w:t>
            </w:r>
            <w:r>
              <w:rPr>
                <w:b/>
                <w:sz w:val="18"/>
              </w:rPr>
              <w:t>2.78.2</w:t>
            </w:r>
            <w:r>
              <w:rPr>
                <w:sz w:val="18"/>
              </w:rPr>
              <w:t>:</w:t>
            </w:r>
            <w:r>
              <w:rPr>
                <w:spacing w:val="-10"/>
                <w:sz w:val="18"/>
              </w:rPr>
              <w:t> </w:t>
            </w:r>
            <w:r>
              <w:rPr>
                <w:sz w:val="18"/>
              </w:rPr>
              <w:t>Identificación de unidades administrativas clave para la validación de la metodología de inversión social, económica, regional y territorial</w:t>
            </w:r>
          </w:p>
        </w:tc>
        <w:tc>
          <w:tcPr>
            <w:tcW w:w="1560" w:type="dxa"/>
          </w:tcPr>
          <w:p>
            <w:pPr>
              <w:pStyle w:val="TableParagraph"/>
              <w:ind w:left="67" w:right="73"/>
              <w:rPr>
                <w:sz w:val="18"/>
              </w:rPr>
            </w:pPr>
            <w:r>
              <w:rPr>
                <w:sz w:val="18"/>
              </w:rPr>
              <w:t>Cantidad de informes de identificación de actores clave para</w:t>
            </w:r>
            <w:r>
              <w:rPr>
                <w:spacing w:val="-15"/>
                <w:sz w:val="18"/>
              </w:rPr>
              <w:t> </w:t>
            </w:r>
            <w:r>
              <w:rPr>
                <w:sz w:val="18"/>
              </w:rPr>
              <w:t>la</w:t>
            </w:r>
            <w:r>
              <w:rPr>
                <w:spacing w:val="-12"/>
                <w:sz w:val="18"/>
              </w:rPr>
              <w:t> </w:t>
            </w:r>
            <w:r>
              <w:rPr>
                <w:sz w:val="18"/>
              </w:rPr>
              <w:t>validación de la</w:t>
            </w:r>
          </w:p>
          <w:p>
            <w:pPr>
              <w:pStyle w:val="TableParagraph"/>
              <w:spacing w:line="206" w:lineRule="exact"/>
              <w:ind w:left="67" w:right="58"/>
              <w:rPr>
                <w:sz w:val="18"/>
              </w:rPr>
            </w:pPr>
            <w:r>
              <w:rPr>
                <w:sz w:val="18"/>
              </w:rPr>
              <w:t>metodología de inversión</w:t>
            </w:r>
            <w:r>
              <w:rPr>
                <w:spacing w:val="-6"/>
                <w:sz w:val="18"/>
              </w:rPr>
              <w:t> </w:t>
            </w:r>
            <w:r>
              <w:rPr>
                <w:spacing w:val="-2"/>
                <w:sz w:val="18"/>
              </w:rPr>
              <w:t>social,</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9" w:right="2"/>
              <w:jc w:val="center"/>
              <w:rPr>
                <w:sz w:val="18"/>
              </w:rPr>
            </w:pPr>
            <w:r>
              <w:rPr>
                <w:spacing w:val="-10"/>
                <w:sz w:val="18"/>
              </w:rPr>
              <w:t>1</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1080" w:hRule="atLeast"/>
        </w:trPr>
        <w:tc>
          <w:tcPr>
            <w:tcW w:w="3092" w:type="dxa"/>
          </w:tcPr>
          <w:p>
            <w:pPr>
              <w:pStyle w:val="TableParagraph"/>
              <w:rPr>
                <w:rFonts w:ascii="Times New Roman"/>
                <w:sz w:val="18"/>
              </w:rPr>
            </w:pPr>
          </w:p>
        </w:tc>
        <w:tc>
          <w:tcPr>
            <w:tcW w:w="1560" w:type="dxa"/>
          </w:tcPr>
          <w:p>
            <w:pPr>
              <w:pStyle w:val="TableParagraph"/>
              <w:ind w:left="67" w:right="58"/>
              <w:rPr>
                <w:sz w:val="18"/>
              </w:rPr>
            </w:pPr>
            <w:r>
              <w:rPr>
                <w:spacing w:val="-2"/>
                <w:sz w:val="18"/>
              </w:rPr>
              <w:t>económica, </w:t>
            </w:r>
            <w:r>
              <w:rPr>
                <w:sz w:val="18"/>
              </w:rPr>
              <w:t>regional y </w:t>
            </w:r>
            <w:r>
              <w:rPr>
                <w:spacing w:val="-2"/>
                <w:sz w:val="18"/>
              </w:rPr>
              <w:t>territorial</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454" w:hRule="atLeast"/>
        </w:trPr>
        <w:tc>
          <w:tcPr>
            <w:tcW w:w="3092" w:type="dxa"/>
          </w:tcPr>
          <w:p>
            <w:pPr>
              <w:pStyle w:val="TableParagraph"/>
              <w:spacing w:before="104"/>
              <w:ind w:left="72" w:right="68"/>
              <w:rPr>
                <w:sz w:val="18"/>
              </w:rPr>
            </w:pPr>
            <w:r>
              <w:rPr>
                <w:b/>
                <w:sz w:val="18"/>
              </w:rPr>
              <w:t>Actividad PAC 2.78.3: </w:t>
            </w:r>
            <w:r>
              <w:rPr>
                <w:sz w:val="18"/>
              </w:rPr>
              <w:t>Validar, mediante consultas técnicas a unidades clave, la metodología para el desarrollo de estudios de</w:t>
            </w:r>
            <w:r>
              <w:rPr>
                <w:spacing w:val="40"/>
                <w:sz w:val="18"/>
              </w:rPr>
              <w:t> </w:t>
            </w:r>
            <w:r>
              <w:rPr>
                <w:sz w:val="18"/>
              </w:rPr>
              <w:t>inversión</w:t>
            </w:r>
            <w:r>
              <w:rPr>
                <w:spacing w:val="-13"/>
                <w:sz w:val="18"/>
              </w:rPr>
              <w:t> </w:t>
            </w:r>
            <w:r>
              <w:rPr>
                <w:sz w:val="18"/>
              </w:rPr>
              <w:t>social,</w:t>
            </w:r>
            <w:r>
              <w:rPr>
                <w:spacing w:val="-11"/>
                <w:sz w:val="18"/>
              </w:rPr>
              <w:t> </w:t>
            </w:r>
            <w:r>
              <w:rPr>
                <w:sz w:val="18"/>
              </w:rPr>
              <w:t>económica,</w:t>
            </w:r>
            <w:r>
              <w:rPr>
                <w:spacing w:val="-12"/>
                <w:sz w:val="18"/>
              </w:rPr>
              <w:t> </w:t>
            </w:r>
            <w:r>
              <w:rPr>
                <w:sz w:val="18"/>
              </w:rPr>
              <w:t>regional y territorial</w:t>
            </w:r>
          </w:p>
        </w:tc>
        <w:tc>
          <w:tcPr>
            <w:tcW w:w="1560" w:type="dxa"/>
          </w:tcPr>
          <w:p>
            <w:pPr>
              <w:pStyle w:val="TableParagraph"/>
              <w:rPr>
                <w:b/>
                <w:sz w:val="18"/>
              </w:rPr>
            </w:pPr>
          </w:p>
          <w:p>
            <w:pPr>
              <w:pStyle w:val="TableParagraph"/>
              <w:spacing w:before="2"/>
              <w:rPr>
                <w:b/>
                <w:sz w:val="18"/>
              </w:rPr>
            </w:pPr>
          </w:p>
          <w:p>
            <w:pPr>
              <w:pStyle w:val="TableParagraph"/>
              <w:ind w:left="67" w:right="58"/>
              <w:rPr>
                <w:sz w:val="18"/>
              </w:rPr>
            </w:pPr>
            <w:r>
              <w:rPr>
                <w:sz w:val="18"/>
              </w:rPr>
              <w:t>Cantidad de consultas</w:t>
            </w:r>
            <w:r>
              <w:rPr>
                <w:spacing w:val="-15"/>
                <w:sz w:val="18"/>
              </w:rPr>
              <w:t> </w:t>
            </w:r>
            <w:r>
              <w:rPr>
                <w:sz w:val="18"/>
              </w:rPr>
              <w:t>de</w:t>
            </w:r>
            <w:r>
              <w:rPr>
                <w:spacing w:val="-12"/>
                <w:sz w:val="18"/>
              </w:rPr>
              <w:t> </w:t>
            </w:r>
            <w:r>
              <w:rPr>
                <w:sz w:val="18"/>
              </w:rPr>
              <w:t>la </w:t>
            </w:r>
            <w:r>
              <w:rPr>
                <w:spacing w:val="-2"/>
                <w:sz w:val="18"/>
              </w:rPr>
              <w:t>metodología</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8" w:right="11"/>
              <w:jc w:val="center"/>
              <w:rPr>
                <w:sz w:val="18"/>
              </w:rPr>
            </w:pPr>
            <w:r>
              <w:rPr>
                <w:spacing w:val="-10"/>
                <w:sz w:val="18"/>
              </w:rPr>
              <w:t>1</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0" w:right="7"/>
              <w:jc w:val="center"/>
              <w:rPr>
                <w:sz w:val="18"/>
              </w:rPr>
            </w:pPr>
            <w:r>
              <w:rPr>
                <w:spacing w:val="-10"/>
                <w:sz w:val="18"/>
              </w:rPr>
              <w:t>2</w:t>
            </w:r>
          </w:p>
        </w:tc>
        <w:tc>
          <w:tcPr>
            <w:tcW w:w="1230" w:type="dxa"/>
          </w:tcPr>
          <w:p>
            <w:pPr>
              <w:pStyle w:val="TableParagraph"/>
              <w:rPr>
                <w:rFonts w:ascii="Times New Roman"/>
                <w:sz w:val="18"/>
              </w:rPr>
            </w:pPr>
          </w:p>
        </w:tc>
      </w:tr>
      <w:tr>
        <w:trPr>
          <w:trHeight w:val="2486" w:hRule="atLeast"/>
        </w:trPr>
        <w:tc>
          <w:tcPr>
            <w:tcW w:w="3092"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2" w:right="79"/>
              <w:rPr>
                <w:sz w:val="18"/>
              </w:rPr>
            </w:pPr>
            <w:r>
              <w:rPr>
                <w:b/>
                <w:sz w:val="18"/>
              </w:rPr>
              <w:t>Actividad PAC 2.78.4: </w:t>
            </w:r>
            <w:r>
              <w:rPr>
                <w:sz w:val="18"/>
              </w:rPr>
              <w:t>Ajustar la metodología para el desarrollo de estudios de inversión social, económica,</w:t>
            </w:r>
            <w:r>
              <w:rPr>
                <w:spacing w:val="-9"/>
                <w:sz w:val="18"/>
              </w:rPr>
              <w:t> </w:t>
            </w:r>
            <w:r>
              <w:rPr>
                <w:sz w:val="18"/>
              </w:rPr>
              <w:t>regional</w:t>
            </w:r>
            <w:r>
              <w:rPr>
                <w:spacing w:val="-9"/>
                <w:sz w:val="18"/>
              </w:rPr>
              <w:t> </w:t>
            </w:r>
            <w:r>
              <w:rPr>
                <w:sz w:val="18"/>
              </w:rPr>
              <w:t>y</w:t>
            </w:r>
            <w:r>
              <w:rPr>
                <w:spacing w:val="-11"/>
                <w:sz w:val="18"/>
              </w:rPr>
              <w:t> </w:t>
            </w:r>
            <w:r>
              <w:rPr>
                <w:sz w:val="18"/>
              </w:rPr>
              <w:t>territorial</w:t>
            </w:r>
            <w:r>
              <w:rPr>
                <w:spacing w:val="-9"/>
                <w:sz w:val="18"/>
              </w:rPr>
              <w:t> </w:t>
            </w:r>
            <w:r>
              <w:rPr>
                <w:sz w:val="18"/>
              </w:rPr>
              <w:t>para la elaboración del documento final</w:t>
            </w:r>
          </w:p>
        </w:tc>
        <w:tc>
          <w:tcPr>
            <w:tcW w:w="1560" w:type="dxa"/>
          </w:tcPr>
          <w:p>
            <w:pPr>
              <w:pStyle w:val="TableParagraph"/>
              <w:ind w:left="67" w:right="73"/>
              <w:rPr>
                <w:sz w:val="18"/>
              </w:rPr>
            </w:pPr>
            <w:r>
              <w:rPr>
                <w:sz w:val="18"/>
              </w:rPr>
              <w:t>Cantidad de documentos de metodología</w:t>
            </w:r>
            <w:r>
              <w:rPr>
                <w:spacing w:val="-13"/>
                <w:sz w:val="18"/>
              </w:rPr>
              <w:t> </w:t>
            </w:r>
            <w:r>
              <w:rPr>
                <w:sz w:val="18"/>
              </w:rPr>
              <w:t>para el desarrollo de estudios de inversión social, </w:t>
            </w:r>
            <w:r>
              <w:rPr>
                <w:spacing w:val="-2"/>
                <w:sz w:val="18"/>
              </w:rPr>
              <w:t>económica, </w:t>
            </w:r>
            <w:r>
              <w:rPr>
                <w:sz w:val="18"/>
              </w:rPr>
              <w:t>regional y </w:t>
            </w:r>
            <w:r>
              <w:rPr>
                <w:spacing w:val="-2"/>
                <w:sz w:val="18"/>
              </w:rPr>
              <w:t>territorial</w:t>
            </w:r>
            <w:r>
              <w:rPr>
                <w:spacing w:val="40"/>
                <w:sz w:val="18"/>
              </w:rPr>
              <w:t> </w:t>
            </w:r>
            <w:r>
              <w:rPr>
                <w:spacing w:val="-2"/>
                <w:sz w:val="18"/>
              </w:rPr>
              <w:t>ajustada, </w:t>
            </w:r>
            <w:r>
              <w:rPr>
                <w:sz w:val="18"/>
              </w:rPr>
              <w:t>aprobada y</w:t>
            </w:r>
          </w:p>
          <w:p>
            <w:pPr>
              <w:pStyle w:val="TableParagraph"/>
              <w:spacing w:line="187" w:lineRule="exact" w:before="3"/>
              <w:ind w:left="67"/>
              <w:rPr>
                <w:sz w:val="18"/>
              </w:rPr>
            </w:pPr>
            <w:r>
              <w:rPr>
                <w:spacing w:val="-2"/>
                <w:sz w:val="18"/>
              </w:rPr>
              <w:t>divulgada</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0" w:right="7"/>
              <w:jc w:val="center"/>
              <w:rPr>
                <w:sz w:val="18"/>
              </w:rPr>
            </w:pPr>
            <w:r>
              <w:rPr>
                <w:spacing w:val="-10"/>
                <w:sz w:val="18"/>
              </w:rPr>
              <w:t>1</w:t>
            </w:r>
          </w:p>
        </w:tc>
        <w:tc>
          <w:tcPr>
            <w:tcW w:w="1230" w:type="dxa"/>
          </w:tcPr>
          <w:p>
            <w:pPr>
              <w:pStyle w:val="TableParagraph"/>
              <w:rPr>
                <w:rFonts w:ascii="Times New Roman"/>
                <w:sz w:val="18"/>
              </w:rPr>
            </w:pPr>
          </w:p>
        </w:tc>
      </w:tr>
      <w:tr>
        <w:trPr>
          <w:trHeight w:val="613" w:hRule="atLeast"/>
        </w:trPr>
        <w:tc>
          <w:tcPr>
            <w:tcW w:w="14394" w:type="dxa"/>
            <w:gridSpan w:val="10"/>
            <w:shd w:val="clear" w:color="auto" w:fill="EFF8F9"/>
          </w:tcPr>
          <w:p>
            <w:pPr>
              <w:pStyle w:val="TableParagraph"/>
              <w:spacing w:before="200"/>
              <w:ind w:left="125"/>
              <w:rPr>
                <w:b/>
                <w:sz w:val="18"/>
              </w:rPr>
            </w:pPr>
            <w:r>
              <w:rPr>
                <w:b/>
                <w:sz w:val="18"/>
              </w:rPr>
              <w:t>Producto</w:t>
            </w:r>
            <w:r>
              <w:rPr>
                <w:b/>
                <w:spacing w:val="-7"/>
                <w:sz w:val="18"/>
              </w:rPr>
              <w:t> </w:t>
            </w:r>
            <w:r>
              <w:rPr>
                <w:b/>
                <w:sz w:val="18"/>
              </w:rPr>
              <w:t>PAC</w:t>
            </w:r>
            <w:r>
              <w:rPr>
                <w:b/>
                <w:spacing w:val="-2"/>
                <w:sz w:val="18"/>
              </w:rPr>
              <w:t> </w:t>
            </w:r>
            <w:r>
              <w:rPr>
                <w:b/>
                <w:sz w:val="18"/>
              </w:rPr>
              <w:t>2.79:</w:t>
            </w:r>
            <w:r>
              <w:rPr>
                <w:b/>
                <w:spacing w:val="46"/>
                <w:sz w:val="18"/>
              </w:rPr>
              <w:t> </w:t>
            </w:r>
            <w:r>
              <w:rPr>
                <w:b/>
                <w:sz w:val="18"/>
              </w:rPr>
              <w:t>Sistema</w:t>
            </w:r>
            <w:r>
              <w:rPr>
                <w:b/>
                <w:spacing w:val="-5"/>
                <w:sz w:val="18"/>
              </w:rPr>
              <w:t> </w:t>
            </w:r>
            <w:r>
              <w:rPr>
                <w:b/>
                <w:sz w:val="18"/>
              </w:rPr>
              <w:t>de</w:t>
            </w:r>
            <w:r>
              <w:rPr>
                <w:b/>
                <w:spacing w:val="-6"/>
                <w:sz w:val="18"/>
              </w:rPr>
              <w:t> </w:t>
            </w:r>
            <w:r>
              <w:rPr>
                <w:b/>
                <w:sz w:val="18"/>
              </w:rPr>
              <w:t>monitoreo</w:t>
            </w:r>
            <w:r>
              <w:rPr>
                <w:b/>
                <w:spacing w:val="-6"/>
                <w:sz w:val="18"/>
              </w:rPr>
              <w:t> </w:t>
            </w:r>
            <w:r>
              <w:rPr>
                <w:b/>
                <w:sz w:val="18"/>
              </w:rPr>
              <w:t>de</w:t>
            </w:r>
            <w:r>
              <w:rPr>
                <w:b/>
                <w:spacing w:val="-5"/>
                <w:sz w:val="18"/>
              </w:rPr>
              <w:t> </w:t>
            </w:r>
            <w:r>
              <w:rPr>
                <w:b/>
                <w:sz w:val="18"/>
              </w:rPr>
              <w:t>metas</w:t>
            </w:r>
            <w:r>
              <w:rPr>
                <w:b/>
                <w:spacing w:val="-6"/>
                <w:sz w:val="18"/>
              </w:rPr>
              <w:t> </w:t>
            </w:r>
            <w:r>
              <w:rPr>
                <w:b/>
                <w:sz w:val="18"/>
              </w:rPr>
              <w:t>del</w:t>
            </w:r>
            <w:r>
              <w:rPr>
                <w:b/>
                <w:spacing w:val="-7"/>
                <w:sz w:val="18"/>
              </w:rPr>
              <w:t> </w:t>
            </w:r>
            <w:r>
              <w:rPr>
                <w:b/>
                <w:sz w:val="18"/>
              </w:rPr>
              <w:t>PAISS</w:t>
            </w:r>
            <w:r>
              <w:rPr>
                <w:b/>
                <w:spacing w:val="-2"/>
                <w:sz w:val="18"/>
              </w:rPr>
              <w:t> </w:t>
            </w:r>
            <w:r>
              <w:rPr>
                <w:b/>
                <w:sz w:val="18"/>
              </w:rPr>
              <w:t>y</w:t>
            </w:r>
            <w:r>
              <w:rPr>
                <w:b/>
                <w:spacing w:val="-5"/>
                <w:sz w:val="18"/>
              </w:rPr>
              <w:t> </w:t>
            </w:r>
            <w:r>
              <w:rPr>
                <w:b/>
                <w:sz w:val="18"/>
              </w:rPr>
              <w:t>Plan</w:t>
            </w:r>
            <w:r>
              <w:rPr>
                <w:b/>
                <w:spacing w:val="-2"/>
                <w:sz w:val="18"/>
              </w:rPr>
              <w:t> </w:t>
            </w:r>
            <w:r>
              <w:rPr>
                <w:b/>
                <w:sz w:val="18"/>
              </w:rPr>
              <w:t>de</w:t>
            </w:r>
            <w:r>
              <w:rPr>
                <w:b/>
                <w:spacing w:val="-5"/>
                <w:sz w:val="18"/>
              </w:rPr>
              <w:t> </w:t>
            </w:r>
            <w:r>
              <w:rPr>
                <w:b/>
                <w:sz w:val="18"/>
              </w:rPr>
              <w:t>acción</w:t>
            </w:r>
            <w:r>
              <w:rPr>
                <w:b/>
                <w:spacing w:val="-6"/>
                <w:sz w:val="18"/>
              </w:rPr>
              <w:t> </w:t>
            </w:r>
            <w:r>
              <w:rPr>
                <w:b/>
                <w:sz w:val="18"/>
              </w:rPr>
              <w:t>de</w:t>
            </w:r>
            <w:r>
              <w:rPr>
                <w:b/>
                <w:spacing w:val="-6"/>
                <w:sz w:val="18"/>
              </w:rPr>
              <w:t> </w:t>
            </w:r>
            <w:r>
              <w:rPr>
                <w:b/>
                <w:sz w:val="18"/>
              </w:rPr>
              <w:t>la</w:t>
            </w:r>
            <w:r>
              <w:rPr>
                <w:b/>
                <w:spacing w:val="-5"/>
                <w:sz w:val="18"/>
              </w:rPr>
              <w:t> </w:t>
            </w:r>
            <w:r>
              <w:rPr>
                <w:b/>
                <w:sz w:val="18"/>
              </w:rPr>
              <w:t>Política</w:t>
            </w:r>
            <w:r>
              <w:rPr>
                <w:b/>
                <w:spacing w:val="-2"/>
                <w:sz w:val="18"/>
              </w:rPr>
              <w:t> </w:t>
            </w:r>
            <w:r>
              <w:rPr>
                <w:b/>
                <w:sz w:val="18"/>
              </w:rPr>
              <w:t>Pública</w:t>
            </w:r>
            <w:r>
              <w:rPr>
                <w:b/>
                <w:spacing w:val="-5"/>
                <w:sz w:val="18"/>
              </w:rPr>
              <w:t> </w:t>
            </w:r>
            <w:r>
              <w:rPr>
                <w:b/>
                <w:sz w:val="18"/>
              </w:rPr>
              <w:t>operando</w:t>
            </w:r>
            <w:r>
              <w:rPr>
                <w:b/>
                <w:spacing w:val="-1"/>
                <w:sz w:val="18"/>
              </w:rPr>
              <w:t> </w:t>
            </w:r>
            <w:r>
              <w:rPr>
                <w:b/>
                <w:sz w:val="18"/>
              </w:rPr>
              <w:t>E4</w:t>
            </w:r>
            <w:r>
              <w:rPr>
                <w:b/>
                <w:spacing w:val="-2"/>
                <w:sz w:val="18"/>
              </w:rPr>
              <w:t> </w:t>
            </w:r>
            <w:r>
              <w:rPr>
                <w:b/>
                <w:sz w:val="18"/>
              </w:rPr>
              <w:t>AE1</w:t>
            </w:r>
            <w:r>
              <w:rPr>
                <w:b/>
                <w:spacing w:val="-1"/>
                <w:sz w:val="18"/>
              </w:rPr>
              <w:t> </w:t>
            </w:r>
            <w:r>
              <w:rPr>
                <w:b/>
                <w:sz w:val="18"/>
              </w:rPr>
              <w:t>R5</w:t>
            </w:r>
            <w:r>
              <w:rPr>
                <w:b/>
                <w:spacing w:val="-10"/>
                <w:sz w:val="18"/>
              </w:rPr>
              <w:t> </w:t>
            </w:r>
            <w:r>
              <w:rPr>
                <w:b/>
                <w:spacing w:val="-2"/>
                <w:sz w:val="18"/>
              </w:rPr>
              <w:t>(60%)</w:t>
            </w:r>
          </w:p>
        </w:tc>
      </w:tr>
      <w:tr>
        <w:trPr>
          <w:trHeight w:val="1531" w:hRule="atLeast"/>
        </w:trPr>
        <w:tc>
          <w:tcPr>
            <w:tcW w:w="3092" w:type="dxa"/>
          </w:tcPr>
          <w:p>
            <w:pPr>
              <w:pStyle w:val="TableParagraph"/>
              <w:spacing w:before="42"/>
              <w:rPr>
                <w:b/>
                <w:sz w:val="18"/>
              </w:rPr>
            </w:pPr>
          </w:p>
          <w:p>
            <w:pPr>
              <w:pStyle w:val="TableParagraph"/>
              <w:ind w:left="72" w:right="99"/>
              <w:rPr>
                <w:sz w:val="18"/>
              </w:rPr>
            </w:pPr>
            <w:r>
              <w:rPr>
                <w:b/>
                <w:sz w:val="18"/>
              </w:rPr>
              <w:t>Actividad PAC 2.79.1: </w:t>
            </w:r>
            <w:r>
              <w:rPr>
                <w:sz w:val="18"/>
              </w:rPr>
              <w:t>Coordinar sesiones técnicas con unidades responsables del PAISS para la revisión</w:t>
            </w:r>
            <w:r>
              <w:rPr>
                <w:spacing w:val="-9"/>
                <w:sz w:val="18"/>
              </w:rPr>
              <w:t> </w:t>
            </w:r>
            <w:r>
              <w:rPr>
                <w:sz w:val="18"/>
              </w:rPr>
              <w:t>y</w:t>
            </w:r>
            <w:r>
              <w:rPr>
                <w:spacing w:val="-4"/>
                <w:sz w:val="18"/>
              </w:rPr>
              <w:t> </w:t>
            </w:r>
            <w:r>
              <w:rPr>
                <w:sz w:val="18"/>
              </w:rPr>
              <w:t>validación</w:t>
            </w:r>
            <w:r>
              <w:rPr>
                <w:spacing w:val="-5"/>
                <w:sz w:val="18"/>
              </w:rPr>
              <w:t> </w:t>
            </w:r>
            <w:r>
              <w:rPr>
                <w:sz w:val="18"/>
              </w:rPr>
              <w:t>de</w:t>
            </w:r>
            <w:r>
              <w:rPr>
                <w:spacing w:val="-9"/>
                <w:sz w:val="18"/>
              </w:rPr>
              <w:t> </w:t>
            </w:r>
            <w:r>
              <w:rPr>
                <w:sz w:val="18"/>
              </w:rPr>
              <w:t>acciones</w:t>
            </w:r>
            <w:r>
              <w:rPr>
                <w:spacing w:val="-9"/>
                <w:sz w:val="18"/>
              </w:rPr>
              <w:t> </w:t>
            </w:r>
            <w:r>
              <w:rPr>
                <w:sz w:val="18"/>
              </w:rPr>
              <w:t>e </w:t>
            </w:r>
            <w:r>
              <w:rPr>
                <w:spacing w:val="-2"/>
                <w:sz w:val="18"/>
              </w:rPr>
              <w:t>indicadores</w:t>
            </w:r>
          </w:p>
        </w:tc>
        <w:tc>
          <w:tcPr>
            <w:tcW w:w="1560" w:type="dxa"/>
          </w:tcPr>
          <w:p>
            <w:pPr>
              <w:pStyle w:val="TableParagraph"/>
              <w:spacing w:before="38"/>
              <w:ind w:left="67" w:right="115"/>
              <w:rPr>
                <w:sz w:val="18"/>
              </w:rPr>
            </w:pPr>
            <w:r>
              <w:rPr>
                <w:sz w:val="18"/>
              </w:rPr>
              <w:t>Cantidad de </w:t>
            </w:r>
            <w:r>
              <w:rPr>
                <w:spacing w:val="-2"/>
                <w:sz w:val="18"/>
              </w:rPr>
              <w:t>sesiones</w:t>
            </w:r>
            <w:r>
              <w:rPr>
                <w:spacing w:val="40"/>
                <w:sz w:val="18"/>
              </w:rPr>
              <w:t> </w:t>
            </w:r>
            <w:r>
              <w:rPr>
                <w:spacing w:val="-2"/>
                <w:sz w:val="18"/>
              </w:rPr>
              <w:t>técnicas </w:t>
            </w:r>
            <w:r>
              <w:rPr>
                <w:sz w:val="18"/>
              </w:rPr>
              <w:t>realizadas con las unidades responsables</w:t>
            </w:r>
            <w:r>
              <w:rPr>
                <w:spacing w:val="-13"/>
                <w:sz w:val="18"/>
              </w:rPr>
              <w:t> </w:t>
            </w:r>
            <w:r>
              <w:rPr>
                <w:sz w:val="18"/>
              </w:rPr>
              <w:t>del </w:t>
            </w:r>
            <w:r>
              <w:rPr>
                <w:spacing w:val="-2"/>
                <w:sz w:val="18"/>
              </w:rPr>
              <w:t>PAISS</w:t>
            </w:r>
          </w:p>
        </w:tc>
        <w:tc>
          <w:tcPr>
            <w:tcW w:w="1181"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19" w:right="2"/>
              <w:jc w:val="center"/>
              <w:rPr>
                <w:sz w:val="18"/>
              </w:rPr>
            </w:pPr>
            <w:r>
              <w:rPr>
                <w:spacing w:val="-10"/>
                <w:sz w:val="18"/>
              </w:rPr>
              <w:t>2</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28" w:right="11"/>
              <w:jc w:val="center"/>
              <w:rPr>
                <w:sz w:val="18"/>
              </w:rPr>
            </w:pPr>
            <w:r>
              <w:rPr>
                <w:spacing w:val="-10"/>
                <w:sz w:val="18"/>
              </w:rPr>
              <w:t>3</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41"/>
              <w:rPr>
                <w:b/>
                <w:sz w:val="18"/>
              </w:rPr>
            </w:pPr>
          </w:p>
          <w:p>
            <w:pPr>
              <w:pStyle w:val="TableParagraph"/>
              <w:ind w:left="20" w:right="7"/>
              <w:jc w:val="center"/>
              <w:rPr>
                <w:sz w:val="18"/>
              </w:rPr>
            </w:pPr>
            <w:r>
              <w:rPr>
                <w:spacing w:val="-10"/>
                <w:sz w:val="18"/>
              </w:rPr>
              <w:t>4</w:t>
            </w:r>
          </w:p>
        </w:tc>
        <w:tc>
          <w:tcPr>
            <w:tcW w:w="1230"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713"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2068" w:hRule="atLeast"/>
        </w:trPr>
        <w:tc>
          <w:tcPr>
            <w:tcW w:w="3092" w:type="dxa"/>
          </w:tcPr>
          <w:p>
            <w:pPr>
              <w:pStyle w:val="TableParagraph"/>
              <w:rPr>
                <w:b/>
                <w:sz w:val="18"/>
              </w:rPr>
            </w:pPr>
          </w:p>
          <w:p>
            <w:pPr>
              <w:pStyle w:val="TableParagraph"/>
              <w:spacing w:before="103"/>
              <w:rPr>
                <w:b/>
                <w:sz w:val="18"/>
              </w:rPr>
            </w:pPr>
          </w:p>
          <w:p>
            <w:pPr>
              <w:pStyle w:val="TableParagraph"/>
              <w:ind w:left="72" w:right="141" w:firstLine="52"/>
              <w:rPr>
                <w:sz w:val="18"/>
              </w:rPr>
            </w:pPr>
            <w:r>
              <w:rPr>
                <w:b/>
                <w:sz w:val="18"/>
              </w:rPr>
              <w:t>Actividad PAC 2.79.2: </w:t>
            </w:r>
            <w:r>
              <w:rPr>
                <w:sz w:val="18"/>
              </w:rPr>
              <w:t>Remitir a las instituciones con metas en el PAISS,</w:t>
            </w:r>
            <w:r>
              <w:rPr>
                <w:spacing w:val="-7"/>
                <w:sz w:val="18"/>
              </w:rPr>
              <w:t> </w:t>
            </w:r>
            <w:r>
              <w:rPr>
                <w:sz w:val="18"/>
              </w:rPr>
              <w:t>oficios</w:t>
            </w:r>
            <w:r>
              <w:rPr>
                <w:spacing w:val="-8"/>
                <w:sz w:val="18"/>
              </w:rPr>
              <w:t> </w:t>
            </w:r>
            <w:r>
              <w:rPr>
                <w:sz w:val="18"/>
              </w:rPr>
              <w:t>para</w:t>
            </w:r>
            <w:r>
              <w:rPr>
                <w:spacing w:val="-8"/>
                <w:sz w:val="18"/>
              </w:rPr>
              <w:t> </w:t>
            </w:r>
            <w:r>
              <w:rPr>
                <w:sz w:val="18"/>
              </w:rPr>
              <w:t>la</w:t>
            </w:r>
            <w:r>
              <w:rPr>
                <w:spacing w:val="-5"/>
                <w:sz w:val="18"/>
              </w:rPr>
              <w:t> </w:t>
            </w:r>
            <w:r>
              <w:rPr>
                <w:sz w:val="18"/>
              </w:rPr>
              <w:t>inclusión</w:t>
            </w:r>
            <w:r>
              <w:rPr>
                <w:spacing w:val="-8"/>
                <w:sz w:val="18"/>
              </w:rPr>
              <w:t> </w:t>
            </w:r>
            <w:r>
              <w:rPr>
                <w:sz w:val="18"/>
              </w:rPr>
              <w:t>de acciones en su programación operativa anual</w:t>
            </w:r>
          </w:p>
        </w:tc>
        <w:tc>
          <w:tcPr>
            <w:tcW w:w="1560" w:type="dxa"/>
          </w:tcPr>
          <w:p>
            <w:pPr>
              <w:pStyle w:val="TableParagraph"/>
              <w:ind w:left="67" w:right="158"/>
              <w:rPr>
                <w:sz w:val="18"/>
              </w:rPr>
            </w:pPr>
            <w:r>
              <w:rPr>
                <w:sz w:val="18"/>
              </w:rPr>
              <w:t>Cantidad de oficios</w:t>
            </w:r>
            <w:r>
              <w:rPr>
                <w:spacing w:val="-13"/>
                <w:sz w:val="18"/>
              </w:rPr>
              <w:t> </w:t>
            </w:r>
            <w:r>
              <w:rPr>
                <w:sz w:val="18"/>
              </w:rPr>
              <w:t>remitidos a las </w:t>
            </w:r>
            <w:r>
              <w:rPr>
                <w:spacing w:val="-2"/>
                <w:sz w:val="18"/>
              </w:rPr>
              <w:t>instituciones responsables </w:t>
            </w:r>
            <w:r>
              <w:rPr>
                <w:sz w:val="18"/>
              </w:rPr>
              <w:t>para incluir acciones del PAISS en su </w:t>
            </w:r>
            <w:r>
              <w:rPr>
                <w:spacing w:val="-2"/>
                <w:sz w:val="18"/>
              </w:rPr>
              <w:t>programación</w:t>
            </w:r>
          </w:p>
          <w:p>
            <w:pPr>
              <w:pStyle w:val="TableParagraph"/>
              <w:spacing w:line="187" w:lineRule="exact"/>
              <w:ind w:left="67"/>
              <w:rPr>
                <w:sz w:val="18"/>
              </w:rPr>
            </w:pPr>
            <w:r>
              <w:rPr>
                <w:spacing w:val="-2"/>
                <w:sz w:val="18"/>
              </w:rPr>
              <w:t>operativa.</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9" w:right="2"/>
              <w:jc w:val="center"/>
              <w:rPr>
                <w:sz w:val="18"/>
              </w:rPr>
            </w:pPr>
            <w:r>
              <w:rPr>
                <w:spacing w:val="-10"/>
                <w:sz w:val="18"/>
              </w:rPr>
              <w:t>1</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8" w:right="11"/>
              <w:jc w:val="center"/>
              <w:rPr>
                <w:sz w:val="18"/>
              </w:rPr>
            </w:pPr>
            <w:r>
              <w:rPr>
                <w:spacing w:val="-10"/>
                <w:sz w:val="18"/>
              </w:rPr>
              <w:t>2</w:t>
            </w: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656" w:hRule="atLeast"/>
        </w:trPr>
        <w:tc>
          <w:tcPr>
            <w:tcW w:w="3092" w:type="dxa"/>
          </w:tcPr>
          <w:p>
            <w:pPr>
              <w:pStyle w:val="TableParagraph"/>
              <w:rPr>
                <w:b/>
                <w:sz w:val="18"/>
              </w:rPr>
            </w:pPr>
          </w:p>
          <w:p>
            <w:pPr>
              <w:pStyle w:val="TableParagraph"/>
              <w:spacing w:before="3"/>
              <w:rPr>
                <w:b/>
                <w:sz w:val="18"/>
              </w:rPr>
            </w:pPr>
          </w:p>
          <w:p>
            <w:pPr>
              <w:pStyle w:val="TableParagraph"/>
              <w:ind w:left="72" w:right="99" w:firstLine="52"/>
              <w:rPr>
                <w:sz w:val="18"/>
              </w:rPr>
            </w:pPr>
            <w:r>
              <w:rPr>
                <w:b/>
                <w:sz w:val="18"/>
              </w:rPr>
              <w:t>Actividad PAC 2.79.3: </w:t>
            </w:r>
            <w:r>
              <w:rPr>
                <w:sz w:val="18"/>
              </w:rPr>
              <w:t>Identificar instituciones</w:t>
            </w:r>
            <w:r>
              <w:rPr>
                <w:spacing w:val="-8"/>
                <w:sz w:val="18"/>
              </w:rPr>
              <w:t> </w:t>
            </w:r>
            <w:r>
              <w:rPr>
                <w:sz w:val="18"/>
              </w:rPr>
              <w:t>que</w:t>
            </w:r>
            <w:r>
              <w:rPr>
                <w:spacing w:val="-9"/>
                <w:sz w:val="18"/>
              </w:rPr>
              <w:t> </w:t>
            </w:r>
            <w:r>
              <w:rPr>
                <w:sz w:val="18"/>
              </w:rPr>
              <w:t>incorporaron</w:t>
            </w:r>
            <w:r>
              <w:rPr>
                <w:spacing w:val="-12"/>
                <w:sz w:val="18"/>
              </w:rPr>
              <w:t> </w:t>
            </w:r>
            <w:r>
              <w:rPr>
                <w:sz w:val="18"/>
              </w:rPr>
              <w:t>en</w:t>
            </w:r>
            <w:r>
              <w:rPr>
                <w:spacing w:val="-9"/>
                <w:sz w:val="18"/>
              </w:rPr>
              <w:t> </w:t>
            </w:r>
            <w:r>
              <w:rPr>
                <w:sz w:val="18"/>
              </w:rPr>
              <w:t>su programación operativa anual las metas asignadas dentro del PAISS</w:t>
            </w:r>
          </w:p>
        </w:tc>
        <w:tc>
          <w:tcPr>
            <w:tcW w:w="1560" w:type="dxa"/>
          </w:tcPr>
          <w:p>
            <w:pPr>
              <w:pStyle w:val="TableParagraph"/>
              <w:ind w:left="67" w:right="58"/>
              <w:rPr>
                <w:sz w:val="18"/>
              </w:rPr>
            </w:pPr>
            <w:r>
              <w:rPr>
                <w:sz w:val="18"/>
              </w:rPr>
              <w:t>Cantidad de instituciones que incorporaron en su programación operativa anual las metas</w:t>
            </w:r>
          </w:p>
          <w:p>
            <w:pPr>
              <w:pStyle w:val="TableParagraph"/>
              <w:spacing w:line="206" w:lineRule="exact"/>
              <w:ind w:left="67" w:right="58"/>
              <w:rPr>
                <w:sz w:val="18"/>
              </w:rPr>
            </w:pPr>
            <w:r>
              <w:rPr>
                <w:sz w:val="18"/>
              </w:rPr>
              <w:t>asignadas</w:t>
            </w:r>
            <w:r>
              <w:rPr>
                <w:spacing w:val="-13"/>
                <w:sz w:val="18"/>
              </w:rPr>
              <w:t> </w:t>
            </w:r>
            <w:r>
              <w:rPr>
                <w:sz w:val="18"/>
              </w:rPr>
              <w:t>dentro del PAISS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9" w:right="2"/>
              <w:jc w:val="center"/>
              <w:rPr>
                <w:sz w:val="18"/>
              </w:rPr>
            </w:pPr>
            <w:r>
              <w:rPr>
                <w:spacing w:val="-10"/>
                <w:sz w:val="18"/>
              </w:rPr>
              <w:t>9</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0" w:right="7"/>
              <w:jc w:val="center"/>
              <w:rPr>
                <w:sz w:val="18"/>
              </w:rPr>
            </w:pPr>
            <w:r>
              <w:rPr>
                <w:spacing w:val="-10"/>
                <w:sz w:val="18"/>
              </w:rPr>
              <w:t>9</w:t>
            </w:r>
          </w:p>
        </w:tc>
        <w:tc>
          <w:tcPr>
            <w:tcW w:w="1230" w:type="dxa"/>
          </w:tcPr>
          <w:p>
            <w:pPr>
              <w:pStyle w:val="TableParagraph"/>
              <w:rPr>
                <w:rFonts w:ascii="Times New Roman"/>
                <w:sz w:val="18"/>
              </w:rPr>
            </w:pPr>
          </w:p>
        </w:tc>
      </w:tr>
      <w:tr>
        <w:trPr>
          <w:trHeight w:val="541" w:hRule="atLeast"/>
        </w:trPr>
        <w:tc>
          <w:tcPr>
            <w:tcW w:w="14394" w:type="dxa"/>
            <w:gridSpan w:val="10"/>
            <w:shd w:val="clear" w:color="auto" w:fill="EFF8F9"/>
          </w:tcPr>
          <w:p>
            <w:pPr>
              <w:pStyle w:val="TableParagraph"/>
              <w:spacing w:before="66"/>
              <w:ind w:left="72"/>
              <w:rPr>
                <w:b/>
                <w:sz w:val="18"/>
              </w:rPr>
            </w:pPr>
            <w:r>
              <w:rPr>
                <w:b/>
                <w:sz w:val="18"/>
              </w:rPr>
              <w:t>Producto</w:t>
            </w:r>
            <w:r>
              <w:rPr>
                <w:b/>
                <w:spacing w:val="-4"/>
                <w:sz w:val="18"/>
              </w:rPr>
              <w:t> </w:t>
            </w:r>
            <w:r>
              <w:rPr>
                <w:b/>
                <w:sz w:val="18"/>
              </w:rPr>
              <w:t>PAC</w:t>
            </w:r>
            <w:r>
              <w:rPr>
                <w:b/>
                <w:spacing w:val="-5"/>
                <w:sz w:val="18"/>
              </w:rPr>
              <w:t> </w:t>
            </w:r>
            <w:r>
              <w:rPr>
                <w:b/>
                <w:sz w:val="18"/>
              </w:rPr>
              <w:t>2.80:</w:t>
            </w:r>
            <w:r>
              <w:rPr>
                <w:b/>
                <w:spacing w:val="-1"/>
                <w:sz w:val="18"/>
              </w:rPr>
              <w:t> </w:t>
            </w:r>
            <w:r>
              <w:rPr>
                <w:b/>
                <w:sz w:val="18"/>
              </w:rPr>
              <w:t>Sistema de</w:t>
            </w:r>
            <w:r>
              <w:rPr>
                <w:b/>
                <w:spacing w:val="-3"/>
                <w:sz w:val="18"/>
              </w:rPr>
              <w:t> </w:t>
            </w:r>
            <w:r>
              <w:rPr>
                <w:b/>
                <w:sz w:val="18"/>
              </w:rPr>
              <w:t>Indicadores para</w:t>
            </w:r>
            <w:r>
              <w:rPr>
                <w:b/>
                <w:spacing w:val="-3"/>
                <w:sz w:val="18"/>
              </w:rPr>
              <w:t> </w:t>
            </w:r>
            <w:r>
              <w:rPr>
                <w:b/>
                <w:sz w:val="18"/>
              </w:rPr>
              <w:t>medición del avance</w:t>
            </w:r>
            <w:r>
              <w:rPr>
                <w:b/>
                <w:spacing w:val="-3"/>
                <w:sz w:val="18"/>
              </w:rPr>
              <w:t> </w:t>
            </w:r>
            <w:r>
              <w:rPr>
                <w:b/>
                <w:sz w:val="18"/>
              </w:rPr>
              <w:t>en el</w:t>
            </w:r>
            <w:r>
              <w:rPr>
                <w:b/>
                <w:spacing w:val="-1"/>
                <w:sz w:val="18"/>
              </w:rPr>
              <w:t> </w:t>
            </w:r>
            <w:r>
              <w:rPr>
                <w:b/>
                <w:sz w:val="18"/>
              </w:rPr>
              <w:t>cumplimiento</w:t>
            </w:r>
            <w:r>
              <w:rPr>
                <w:b/>
                <w:spacing w:val="-4"/>
                <w:sz w:val="18"/>
              </w:rPr>
              <w:t> </w:t>
            </w:r>
            <w:r>
              <w:rPr>
                <w:b/>
                <w:sz w:val="18"/>
              </w:rPr>
              <w:t>de</w:t>
            </w:r>
            <w:r>
              <w:rPr>
                <w:b/>
                <w:spacing w:val="-3"/>
                <w:sz w:val="18"/>
              </w:rPr>
              <w:t> </w:t>
            </w:r>
            <w:r>
              <w:rPr>
                <w:b/>
                <w:sz w:val="18"/>
              </w:rPr>
              <w:t>los</w:t>
            </w:r>
            <w:r>
              <w:rPr>
                <w:b/>
                <w:spacing w:val="-8"/>
                <w:sz w:val="18"/>
              </w:rPr>
              <w:t> </w:t>
            </w:r>
            <w:r>
              <w:rPr>
                <w:b/>
                <w:sz w:val="18"/>
              </w:rPr>
              <w:t>ODS 1</w:t>
            </w:r>
            <w:r>
              <w:rPr>
                <w:b/>
                <w:spacing w:val="-3"/>
                <w:sz w:val="18"/>
              </w:rPr>
              <w:t> </w:t>
            </w:r>
            <w:r>
              <w:rPr>
                <w:b/>
                <w:sz w:val="18"/>
              </w:rPr>
              <w:t>y</w:t>
            </w:r>
            <w:r>
              <w:rPr>
                <w:b/>
                <w:spacing w:val="-3"/>
                <w:sz w:val="18"/>
              </w:rPr>
              <w:t> </w:t>
            </w:r>
            <w:r>
              <w:rPr>
                <w:b/>
                <w:sz w:val="18"/>
              </w:rPr>
              <w:t>afines</w:t>
            </w:r>
            <w:r>
              <w:rPr>
                <w:b/>
                <w:spacing w:val="-3"/>
                <w:sz w:val="18"/>
              </w:rPr>
              <w:t> </w:t>
            </w:r>
            <w:r>
              <w:rPr>
                <w:b/>
                <w:sz w:val="18"/>
              </w:rPr>
              <w:t>de</w:t>
            </w:r>
            <w:r>
              <w:rPr>
                <w:b/>
                <w:spacing w:val="-3"/>
                <w:sz w:val="18"/>
              </w:rPr>
              <w:t> </w:t>
            </w:r>
            <w:r>
              <w:rPr>
                <w:b/>
                <w:sz w:val="18"/>
              </w:rPr>
              <w:t>las</w:t>
            </w:r>
            <w:r>
              <w:rPr>
                <w:b/>
                <w:spacing w:val="-8"/>
                <w:sz w:val="18"/>
              </w:rPr>
              <w:t> </w:t>
            </w:r>
            <w:r>
              <w:rPr>
                <w:b/>
                <w:sz w:val="18"/>
              </w:rPr>
              <w:t>instituciones que ejecutan</w:t>
            </w:r>
            <w:r>
              <w:rPr>
                <w:b/>
                <w:spacing w:val="-4"/>
                <w:sz w:val="18"/>
              </w:rPr>
              <w:t> </w:t>
            </w:r>
            <w:r>
              <w:rPr>
                <w:b/>
                <w:sz w:val="18"/>
              </w:rPr>
              <w:t>programas</w:t>
            </w:r>
            <w:r>
              <w:rPr>
                <w:b/>
                <w:spacing w:val="-3"/>
                <w:sz w:val="18"/>
              </w:rPr>
              <w:t> </w:t>
            </w:r>
            <w:r>
              <w:rPr>
                <w:b/>
                <w:sz w:val="18"/>
              </w:rPr>
              <w:t>sociales implementándose. E4 AE3 R2 (60%)</w:t>
            </w:r>
          </w:p>
        </w:tc>
      </w:tr>
      <w:tr>
        <w:trPr>
          <w:trHeight w:val="1450" w:hRule="atLeast"/>
        </w:trPr>
        <w:tc>
          <w:tcPr>
            <w:tcW w:w="3092" w:type="dxa"/>
          </w:tcPr>
          <w:p>
            <w:pPr>
              <w:pStyle w:val="TableParagraph"/>
              <w:spacing w:before="205"/>
              <w:ind w:left="72" w:right="99"/>
              <w:rPr>
                <w:sz w:val="18"/>
              </w:rPr>
            </w:pPr>
            <w:r>
              <w:rPr>
                <w:b/>
                <w:sz w:val="18"/>
              </w:rPr>
              <w:t>Actividad</w:t>
            </w:r>
            <w:r>
              <w:rPr>
                <w:b/>
                <w:spacing w:val="-12"/>
                <w:sz w:val="18"/>
              </w:rPr>
              <w:t> </w:t>
            </w:r>
            <w:r>
              <w:rPr>
                <w:b/>
                <w:sz w:val="18"/>
              </w:rPr>
              <w:t>PAC</w:t>
            </w:r>
            <w:r>
              <w:rPr>
                <w:b/>
                <w:spacing w:val="-8"/>
                <w:sz w:val="18"/>
              </w:rPr>
              <w:t> </w:t>
            </w:r>
            <w:r>
              <w:rPr>
                <w:b/>
                <w:sz w:val="18"/>
              </w:rPr>
              <w:t>2.80.1:</w:t>
            </w:r>
            <w:r>
              <w:rPr>
                <w:b/>
                <w:spacing w:val="37"/>
                <w:sz w:val="18"/>
              </w:rPr>
              <w:t> </w:t>
            </w:r>
            <w:r>
              <w:rPr>
                <w:sz w:val="18"/>
              </w:rPr>
              <w:t>Coordinar con SINIRUBE la recopilación y remisión de información para el informe</w:t>
            </w:r>
            <w:r>
              <w:rPr>
                <w:spacing w:val="-8"/>
                <w:sz w:val="18"/>
              </w:rPr>
              <w:t> </w:t>
            </w:r>
            <w:r>
              <w:rPr>
                <w:sz w:val="18"/>
              </w:rPr>
              <w:t>anual</w:t>
            </w:r>
            <w:r>
              <w:rPr>
                <w:spacing w:val="-10"/>
                <w:sz w:val="18"/>
              </w:rPr>
              <w:t> </w:t>
            </w:r>
            <w:r>
              <w:rPr>
                <w:sz w:val="18"/>
              </w:rPr>
              <w:t>de</w:t>
            </w:r>
            <w:r>
              <w:rPr>
                <w:spacing w:val="-8"/>
                <w:sz w:val="18"/>
              </w:rPr>
              <w:t> </w:t>
            </w:r>
            <w:r>
              <w:rPr>
                <w:sz w:val="18"/>
              </w:rPr>
              <w:t>cumplimiento</w:t>
            </w:r>
            <w:r>
              <w:rPr>
                <w:spacing w:val="-8"/>
                <w:sz w:val="18"/>
              </w:rPr>
              <w:t> </w:t>
            </w:r>
            <w:r>
              <w:rPr>
                <w:sz w:val="18"/>
              </w:rPr>
              <w:t>del </w:t>
            </w:r>
            <w:r>
              <w:rPr>
                <w:spacing w:val="-4"/>
                <w:sz w:val="18"/>
              </w:rPr>
              <w:t>ODS1</w:t>
            </w:r>
          </w:p>
        </w:tc>
        <w:tc>
          <w:tcPr>
            <w:tcW w:w="1560" w:type="dxa"/>
          </w:tcPr>
          <w:p>
            <w:pPr>
              <w:pStyle w:val="TableParagraph"/>
              <w:ind w:left="67" w:right="58"/>
              <w:rPr>
                <w:sz w:val="18"/>
              </w:rPr>
            </w:pPr>
            <w:r>
              <w:rPr>
                <w:sz w:val="18"/>
              </w:rPr>
              <w:t>Cantidad de gestiones para </w:t>
            </w:r>
            <w:r>
              <w:rPr>
                <w:spacing w:val="-2"/>
                <w:sz w:val="18"/>
              </w:rPr>
              <w:t>recabar </w:t>
            </w:r>
            <w:r>
              <w:rPr>
                <w:sz w:val="18"/>
              </w:rPr>
              <w:t>información</w:t>
            </w:r>
            <w:r>
              <w:rPr>
                <w:spacing w:val="-13"/>
                <w:sz w:val="18"/>
              </w:rPr>
              <w:t> </w:t>
            </w:r>
            <w:r>
              <w:rPr>
                <w:sz w:val="18"/>
              </w:rPr>
              <w:t>del seguimiento</w:t>
            </w:r>
            <w:r>
              <w:rPr>
                <w:spacing w:val="-13"/>
                <w:sz w:val="18"/>
              </w:rPr>
              <w:t> </w:t>
            </w:r>
            <w:r>
              <w:rPr>
                <w:sz w:val="18"/>
              </w:rPr>
              <w:t>de ODS</w:t>
            </w:r>
            <w:r>
              <w:rPr>
                <w:spacing w:val="1"/>
                <w:sz w:val="18"/>
              </w:rPr>
              <w:t> </w:t>
            </w:r>
            <w:r>
              <w:rPr>
                <w:sz w:val="18"/>
              </w:rPr>
              <w:t>1</w:t>
            </w:r>
            <w:r>
              <w:rPr>
                <w:spacing w:val="-2"/>
                <w:sz w:val="18"/>
              </w:rPr>
              <w:t> </w:t>
            </w:r>
            <w:r>
              <w:rPr>
                <w:sz w:val="18"/>
              </w:rPr>
              <w:t>y</w:t>
            </w:r>
            <w:r>
              <w:rPr>
                <w:spacing w:val="-2"/>
                <w:sz w:val="18"/>
              </w:rPr>
              <w:t> afines</w:t>
            </w:r>
          </w:p>
          <w:p>
            <w:pPr>
              <w:pStyle w:val="TableParagraph"/>
              <w:spacing w:line="187" w:lineRule="exact" w:before="1"/>
              <w:ind w:left="67"/>
              <w:rPr>
                <w:sz w:val="18"/>
              </w:rPr>
            </w:pPr>
            <w:r>
              <w:rPr>
                <w:sz w:val="18"/>
              </w:rPr>
              <w:t>ante</w:t>
            </w:r>
            <w:r>
              <w:rPr>
                <w:spacing w:val="-1"/>
                <w:sz w:val="18"/>
              </w:rPr>
              <w:t> </w:t>
            </w:r>
            <w:r>
              <w:rPr>
                <w:spacing w:val="-2"/>
                <w:sz w:val="18"/>
              </w:rPr>
              <w:t>SINIRUBE</w:t>
            </w:r>
          </w:p>
        </w:tc>
        <w:tc>
          <w:tcPr>
            <w:tcW w:w="1181" w:type="dxa"/>
          </w:tcPr>
          <w:p>
            <w:pPr>
              <w:pStyle w:val="TableParagraph"/>
              <w:rPr>
                <w:b/>
                <w:sz w:val="18"/>
              </w:rPr>
            </w:pPr>
          </w:p>
          <w:p>
            <w:pPr>
              <w:pStyle w:val="TableParagraph"/>
              <w:spacing w:before="204"/>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204"/>
              <w:rPr>
                <w:b/>
                <w:sz w:val="18"/>
              </w:rPr>
            </w:pPr>
          </w:p>
          <w:p>
            <w:pPr>
              <w:pStyle w:val="TableParagraph"/>
              <w:ind w:left="19" w:right="2"/>
              <w:jc w:val="center"/>
              <w:rPr>
                <w:sz w:val="18"/>
              </w:rPr>
            </w:pPr>
            <w:r>
              <w:rPr>
                <w:spacing w:val="-10"/>
                <w:sz w:val="18"/>
              </w:rPr>
              <w:t>2</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963" w:hRule="atLeast"/>
        </w:trPr>
        <w:tc>
          <w:tcPr>
            <w:tcW w:w="3092"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72" w:right="99"/>
              <w:rPr>
                <w:sz w:val="18"/>
              </w:rPr>
            </w:pPr>
            <w:r>
              <w:rPr>
                <w:b/>
                <w:sz w:val="18"/>
              </w:rPr>
              <w:t>Actividad</w:t>
            </w:r>
            <w:r>
              <w:rPr>
                <w:b/>
                <w:spacing w:val="-12"/>
                <w:sz w:val="18"/>
              </w:rPr>
              <w:t> </w:t>
            </w:r>
            <w:r>
              <w:rPr>
                <w:b/>
                <w:sz w:val="18"/>
              </w:rPr>
              <w:t>PAC</w:t>
            </w:r>
            <w:r>
              <w:rPr>
                <w:b/>
                <w:spacing w:val="-9"/>
                <w:sz w:val="18"/>
              </w:rPr>
              <w:t> </w:t>
            </w:r>
            <w:r>
              <w:rPr>
                <w:b/>
                <w:sz w:val="18"/>
              </w:rPr>
              <w:t>2.80.2:</w:t>
            </w:r>
            <w:r>
              <w:rPr>
                <w:b/>
                <w:spacing w:val="-3"/>
                <w:sz w:val="18"/>
              </w:rPr>
              <w:t> </w:t>
            </w:r>
            <w:r>
              <w:rPr>
                <w:sz w:val="18"/>
              </w:rPr>
              <w:t>Elaborar</w:t>
            </w:r>
            <w:r>
              <w:rPr>
                <w:spacing w:val="-9"/>
                <w:sz w:val="18"/>
              </w:rPr>
              <w:t> </w:t>
            </w:r>
            <w:r>
              <w:rPr>
                <w:sz w:val="18"/>
              </w:rPr>
              <w:t>y remitir el informe anual de cumplimiento del ODS1</w:t>
            </w:r>
          </w:p>
        </w:tc>
        <w:tc>
          <w:tcPr>
            <w:tcW w:w="1560" w:type="dxa"/>
          </w:tcPr>
          <w:p>
            <w:pPr>
              <w:pStyle w:val="TableParagraph"/>
              <w:spacing w:before="51"/>
              <w:ind w:left="67" w:right="58"/>
              <w:rPr>
                <w:sz w:val="18"/>
              </w:rPr>
            </w:pPr>
            <w:r>
              <w:rPr>
                <w:sz w:val="18"/>
              </w:rPr>
              <w:t>Cantidad de informes anuales de cumplimiento sobre acciones </w:t>
            </w:r>
            <w:r>
              <w:rPr>
                <w:spacing w:val="-2"/>
                <w:sz w:val="18"/>
              </w:rPr>
              <w:t>programáticas </w:t>
            </w:r>
            <w:r>
              <w:rPr>
                <w:sz w:val="18"/>
              </w:rPr>
              <w:t>alineadas</w:t>
            </w:r>
            <w:r>
              <w:rPr>
                <w:spacing w:val="-15"/>
                <w:sz w:val="18"/>
              </w:rPr>
              <w:t> </w:t>
            </w:r>
            <w:r>
              <w:rPr>
                <w:sz w:val="18"/>
              </w:rPr>
              <w:t>al</w:t>
            </w:r>
            <w:r>
              <w:rPr>
                <w:spacing w:val="-12"/>
                <w:sz w:val="18"/>
              </w:rPr>
              <w:t> </w:t>
            </w:r>
            <w:r>
              <w:rPr>
                <w:sz w:val="18"/>
              </w:rPr>
              <w:t>ODS 1 y afines elaborados y </w:t>
            </w:r>
            <w:r>
              <w:rPr>
                <w:spacing w:val="-2"/>
                <w:sz w:val="18"/>
              </w:rPr>
              <w:t>remitidos.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rPr>
                <w:b/>
                <w:sz w:val="18"/>
              </w:rPr>
            </w:pPr>
          </w:p>
          <w:p>
            <w:pPr>
              <w:pStyle w:val="TableParagraph"/>
              <w:spacing w:before="49"/>
              <w:rPr>
                <w:b/>
                <w:sz w:val="18"/>
              </w:rPr>
            </w:pPr>
          </w:p>
          <w:p>
            <w:pPr>
              <w:pStyle w:val="TableParagraph"/>
              <w:ind w:left="19" w:right="2"/>
              <w:jc w:val="center"/>
              <w:rPr>
                <w:sz w:val="18"/>
              </w:rPr>
            </w:pPr>
            <w:r>
              <w:rPr>
                <w:spacing w:val="-10"/>
                <w:sz w:val="18"/>
              </w:rPr>
              <w:t>1</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6"/>
        <w:gridCol w:w="1606"/>
        <w:gridCol w:w="1560"/>
        <w:gridCol w:w="1181"/>
        <w:gridCol w:w="1186"/>
        <w:gridCol w:w="1200"/>
        <w:gridCol w:w="1248"/>
        <w:gridCol w:w="1181"/>
        <w:gridCol w:w="1234"/>
        <w:gridCol w:w="1282"/>
        <w:gridCol w:w="1230"/>
      </w:tblGrid>
      <w:tr>
        <w:trPr>
          <w:trHeight w:val="556" w:hRule="atLeast"/>
        </w:trPr>
        <w:tc>
          <w:tcPr>
            <w:tcW w:w="3092" w:type="dxa"/>
            <w:gridSpan w:val="2"/>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gridSpan w:val="2"/>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527" w:hRule="atLeast"/>
        </w:trPr>
        <w:tc>
          <w:tcPr>
            <w:tcW w:w="14394" w:type="dxa"/>
            <w:gridSpan w:val="11"/>
            <w:shd w:val="clear" w:color="auto" w:fill="EFF8F9"/>
          </w:tcPr>
          <w:p>
            <w:pPr>
              <w:pStyle w:val="TableParagraph"/>
              <w:spacing w:before="56"/>
              <w:ind w:left="72"/>
              <w:rPr>
                <w:b/>
                <w:sz w:val="18"/>
              </w:rPr>
            </w:pPr>
            <w:r>
              <w:rPr>
                <w:b/>
                <w:sz w:val="18"/>
              </w:rPr>
              <w:t>Producto</w:t>
            </w:r>
            <w:r>
              <w:rPr>
                <w:b/>
                <w:spacing w:val="-4"/>
                <w:sz w:val="18"/>
              </w:rPr>
              <w:t> </w:t>
            </w:r>
            <w:r>
              <w:rPr>
                <w:b/>
                <w:sz w:val="18"/>
              </w:rPr>
              <w:t>PAC</w:t>
            </w:r>
            <w:r>
              <w:rPr>
                <w:b/>
                <w:spacing w:val="-5"/>
                <w:sz w:val="18"/>
              </w:rPr>
              <w:t> </w:t>
            </w:r>
            <w:r>
              <w:rPr>
                <w:b/>
                <w:sz w:val="18"/>
              </w:rPr>
              <w:t>2.81:</w:t>
            </w:r>
            <w:r>
              <w:rPr>
                <w:b/>
                <w:spacing w:val="-1"/>
                <w:sz w:val="18"/>
              </w:rPr>
              <w:t> </w:t>
            </w:r>
            <w:r>
              <w:rPr>
                <w:b/>
                <w:sz w:val="18"/>
              </w:rPr>
              <w:t>Instituciones</w:t>
            </w:r>
            <w:r>
              <w:rPr>
                <w:b/>
                <w:spacing w:val="-3"/>
                <w:sz w:val="18"/>
              </w:rPr>
              <w:t> </w:t>
            </w:r>
            <w:r>
              <w:rPr>
                <w:b/>
                <w:sz w:val="18"/>
              </w:rPr>
              <w:t>que</w:t>
            </w:r>
            <w:r>
              <w:rPr>
                <w:b/>
                <w:spacing w:val="-3"/>
                <w:sz w:val="18"/>
              </w:rPr>
              <w:t> </w:t>
            </w:r>
            <w:r>
              <w:rPr>
                <w:b/>
                <w:sz w:val="18"/>
              </w:rPr>
              <w:t>ejecutan programas sociales,</w:t>
            </w:r>
            <w:r>
              <w:rPr>
                <w:b/>
                <w:spacing w:val="-1"/>
                <w:sz w:val="18"/>
              </w:rPr>
              <w:t> </w:t>
            </w:r>
            <w:r>
              <w:rPr>
                <w:b/>
                <w:sz w:val="18"/>
              </w:rPr>
              <w:t>incorporando</w:t>
            </w:r>
            <w:r>
              <w:rPr>
                <w:b/>
                <w:spacing w:val="-4"/>
                <w:sz w:val="18"/>
              </w:rPr>
              <w:t> </w:t>
            </w:r>
            <w:r>
              <w:rPr>
                <w:b/>
                <w:sz w:val="18"/>
              </w:rPr>
              <w:t>acciones</w:t>
            </w:r>
            <w:r>
              <w:rPr>
                <w:b/>
                <w:spacing w:val="-3"/>
                <w:sz w:val="18"/>
              </w:rPr>
              <w:t> </w:t>
            </w:r>
            <w:r>
              <w:rPr>
                <w:b/>
                <w:sz w:val="18"/>
              </w:rPr>
              <w:t>en</w:t>
            </w:r>
            <w:r>
              <w:rPr>
                <w:b/>
                <w:spacing w:val="-4"/>
                <w:sz w:val="18"/>
              </w:rPr>
              <w:t> </w:t>
            </w:r>
            <w:r>
              <w:rPr>
                <w:b/>
                <w:sz w:val="18"/>
              </w:rPr>
              <w:t>sus</w:t>
            </w:r>
            <w:r>
              <w:rPr>
                <w:b/>
                <w:spacing w:val="-3"/>
                <w:sz w:val="18"/>
              </w:rPr>
              <w:t> </w:t>
            </w:r>
            <w:r>
              <w:rPr>
                <w:b/>
                <w:sz w:val="18"/>
              </w:rPr>
              <w:t>instrumentos</w:t>
            </w:r>
            <w:r>
              <w:rPr>
                <w:b/>
                <w:spacing w:val="-3"/>
                <w:sz w:val="18"/>
              </w:rPr>
              <w:t> </w:t>
            </w:r>
            <w:r>
              <w:rPr>
                <w:b/>
                <w:sz w:val="18"/>
              </w:rPr>
              <w:t>de planificación para</w:t>
            </w:r>
            <w:r>
              <w:rPr>
                <w:b/>
                <w:spacing w:val="-3"/>
                <w:sz w:val="18"/>
              </w:rPr>
              <w:t> </w:t>
            </w:r>
            <w:r>
              <w:rPr>
                <w:b/>
                <w:sz w:val="18"/>
              </w:rPr>
              <w:t>el</w:t>
            </w:r>
            <w:r>
              <w:rPr>
                <w:b/>
                <w:spacing w:val="-1"/>
                <w:sz w:val="18"/>
              </w:rPr>
              <w:t> </w:t>
            </w:r>
            <w:r>
              <w:rPr>
                <w:b/>
                <w:sz w:val="18"/>
              </w:rPr>
              <w:t>cumplimiento</w:t>
            </w:r>
            <w:r>
              <w:rPr>
                <w:b/>
                <w:spacing w:val="-4"/>
                <w:sz w:val="18"/>
              </w:rPr>
              <w:t> </w:t>
            </w:r>
            <w:r>
              <w:rPr>
                <w:b/>
                <w:sz w:val="18"/>
              </w:rPr>
              <w:t>del</w:t>
            </w:r>
            <w:r>
              <w:rPr>
                <w:b/>
                <w:spacing w:val="-1"/>
                <w:sz w:val="18"/>
              </w:rPr>
              <w:t> </w:t>
            </w:r>
            <w:r>
              <w:rPr>
                <w:b/>
                <w:sz w:val="18"/>
              </w:rPr>
              <w:t>ODS</w:t>
            </w:r>
            <w:r>
              <w:rPr>
                <w:b/>
                <w:spacing w:val="-4"/>
                <w:sz w:val="18"/>
              </w:rPr>
              <w:t> </w:t>
            </w:r>
            <w:r>
              <w:rPr>
                <w:b/>
                <w:sz w:val="18"/>
              </w:rPr>
              <w:t>1 y afines.</w:t>
            </w:r>
            <w:r>
              <w:rPr>
                <w:b/>
                <w:spacing w:val="40"/>
                <w:sz w:val="18"/>
              </w:rPr>
              <w:t> </w:t>
            </w:r>
            <w:r>
              <w:rPr>
                <w:b/>
                <w:sz w:val="18"/>
              </w:rPr>
              <w:t>E4 AE3 R3 (60%)</w:t>
            </w:r>
          </w:p>
        </w:tc>
      </w:tr>
      <w:tr>
        <w:trPr>
          <w:trHeight w:val="1392" w:hRule="atLeast"/>
        </w:trPr>
        <w:tc>
          <w:tcPr>
            <w:tcW w:w="3092" w:type="dxa"/>
            <w:gridSpan w:val="2"/>
          </w:tcPr>
          <w:p>
            <w:pPr>
              <w:pStyle w:val="TableParagraph"/>
              <w:spacing w:before="176"/>
              <w:ind w:left="72" w:right="99"/>
              <w:rPr>
                <w:sz w:val="18"/>
              </w:rPr>
            </w:pPr>
            <w:r>
              <w:rPr>
                <w:b/>
                <w:sz w:val="18"/>
              </w:rPr>
              <w:t>Actividad</w:t>
            </w:r>
            <w:r>
              <w:rPr>
                <w:b/>
                <w:spacing w:val="-11"/>
                <w:sz w:val="18"/>
              </w:rPr>
              <w:t> </w:t>
            </w:r>
            <w:r>
              <w:rPr>
                <w:b/>
                <w:sz w:val="18"/>
              </w:rPr>
              <w:t>PAC</w:t>
            </w:r>
            <w:r>
              <w:rPr>
                <w:b/>
                <w:spacing w:val="-8"/>
                <w:sz w:val="18"/>
              </w:rPr>
              <w:t> </w:t>
            </w:r>
            <w:r>
              <w:rPr>
                <w:b/>
                <w:sz w:val="18"/>
              </w:rPr>
              <w:t>2.81.1:</w:t>
            </w:r>
            <w:r>
              <w:rPr>
                <w:b/>
                <w:spacing w:val="-2"/>
                <w:sz w:val="18"/>
              </w:rPr>
              <w:t> </w:t>
            </w:r>
            <w:r>
              <w:rPr>
                <w:sz w:val="18"/>
              </w:rPr>
              <w:t>Convocar</w:t>
            </w:r>
            <w:r>
              <w:rPr>
                <w:spacing w:val="-5"/>
                <w:sz w:val="18"/>
              </w:rPr>
              <w:t> </w:t>
            </w:r>
            <w:r>
              <w:rPr>
                <w:sz w:val="18"/>
              </w:rPr>
              <w:t>la participación de instituciones del sector social en las sesiones del Comité</w:t>
            </w:r>
            <w:r>
              <w:rPr>
                <w:spacing w:val="-11"/>
                <w:sz w:val="18"/>
              </w:rPr>
              <w:t> </w:t>
            </w:r>
            <w:r>
              <w:rPr>
                <w:sz w:val="18"/>
              </w:rPr>
              <w:t>Técnico</w:t>
            </w:r>
            <w:r>
              <w:rPr>
                <w:spacing w:val="-7"/>
                <w:sz w:val="18"/>
              </w:rPr>
              <w:t> </w:t>
            </w:r>
            <w:r>
              <w:rPr>
                <w:sz w:val="18"/>
              </w:rPr>
              <w:t>para</w:t>
            </w:r>
            <w:r>
              <w:rPr>
                <w:spacing w:val="-11"/>
                <w:sz w:val="18"/>
              </w:rPr>
              <w:t> </w:t>
            </w:r>
            <w:r>
              <w:rPr>
                <w:sz w:val="18"/>
              </w:rPr>
              <w:t>el</w:t>
            </w:r>
            <w:r>
              <w:rPr>
                <w:spacing w:val="-8"/>
                <w:sz w:val="18"/>
              </w:rPr>
              <w:t> </w:t>
            </w:r>
            <w:r>
              <w:rPr>
                <w:sz w:val="18"/>
              </w:rPr>
              <w:t>seguimiento del ODS 1 y afines.</w:t>
            </w:r>
          </w:p>
        </w:tc>
        <w:tc>
          <w:tcPr>
            <w:tcW w:w="1560" w:type="dxa"/>
          </w:tcPr>
          <w:p>
            <w:pPr>
              <w:pStyle w:val="TableParagraph"/>
              <w:spacing w:before="176"/>
              <w:rPr>
                <w:b/>
                <w:sz w:val="18"/>
              </w:rPr>
            </w:pPr>
          </w:p>
          <w:p>
            <w:pPr>
              <w:pStyle w:val="TableParagraph"/>
              <w:ind w:left="67" w:right="505"/>
              <w:jc w:val="both"/>
              <w:rPr>
                <w:sz w:val="18"/>
              </w:rPr>
            </w:pPr>
            <w:r>
              <w:rPr>
                <w:sz w:val="18"/>
              </w:rPr>
              <w:t>Cantidad</w:t>
            </w:r>
            <w:r>
              <w:rPr>
                <w:spacing w:val="-13"/>
                <w:sz w:val="18"/>
              </w:rPr>
              <w:t> </w:t>
            </w:r>
            <w:r>
              <w:rPr>
                <w:sz w:val="18"/>
              </w:rPr>
              <w:t>de </w:t>
            </w:r>
            <w:r>
              <w:rPr>
                <w:spacing w:val="-2"/>
                <w:sz w:val="18"/>
              </w:rPr>
              <w:t>invitaciones realizadas</w:t>
            </w:r>
          </w:p>
        </w:tc>
        <w:tc>
          <w:tcPr>
            <w:tcW w:w="1181" w:type="dxa"/>
          </w:tcPr>
          <w:p>
            <w:pPr>
              <w:pStyle w:val="TableParagraph"/>
              <w:rPr>
                <w:b/>
                <w:sz w:val="18"/>
              </w:rPr>
            </w:pPr>
          </w:p>
          <w:p>
            <w:pPr>
              <w:pStyle w:val="TableParagraph"/>
              <w:spacing w:before="175"/>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175"/>
              <w:rPr>
                <w:b/>
                <w:sz w:val="18"/>
              </w:rPr>
            </w:pPr>
          </w:p>
          <w:p>
            <w:pPr>
              <w:pStyle w:val="TableParagraph"/>
              <w:ind w:left="19" w:right="2"/>
              <w:jc w:val="center"/>
              <w:rPr>
                <w:sz w:val="18"/>
              </w:rPr>
            </w:pPr>
            <w:r>
              <w:rPr>
                <w:spacing w:val="-10"/>
                <w:sz w:val="18"/>
              </w:rPr>
              <w:t>2</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714" w:hRule="atLeast"/>
        </w:trPr>
        <w:tc>
          <w:tcPr>
            <w:tcW w:w="3092" w:type="dxa"/>
            <w:gridSpan w:val="2"/>
          </w:tcPr>
          <w:p>
            <w:pPr>
              <w:pStyle w:val="TableParagraph"/>
              <w:spacing w:before="27"/>
              <w:rPr>
                <w:b/>
                <w:sz w:val="18"/>
              </w:rPr>
            </w:pPr>
          </w:p>
          <w:p>
            <w:pPr>
              <w:pStyle w:val="TableParagraph"/>
              <w:ind w:left="72" w:right="61"/>
              <w:rPr>
                <w:sz w:val="18"/>
              </w:rPr>
            </w:pPr>
            <w:r>
              <w:rPr>
                <w:b/>
                <w:sz w:val="18"/>
              </w:rPr>
              <w:t>Actividad PAC 2.81.2: </w:t>
            </w:r>
            <w:r>
              <w:rPr>
                <w:sz w:val="18"/>
              </w:rPr>
              <w:t>Gestionar el envío de oficios a las instituciones del sector social para promover la incorporación,</w:t>
            </w:r>
            <w:r>
              <w:rPr>
                <w:spacing w:val="-12"/>
                <w:sz w:val="18"/>
              </w:rPr>
              <w:t> </w:t>
            </w:r>
            <w:r>
              <w:rPr>
                <w:sz w:val="18"/>
              </w:rPr>
              <w:t>en</w:t>
            </w:r>
            <w:r>
              <w:rPr>
                <w:spacing w:val="-13"/>
                <w:sz w:val="18"/>
              </w:rPr>
              <w:t> </w:t>
            </w:r>
            <w:r>
              <w:rPr>
                <w:sz w:val="18"/>
              </w:rPr>
              <w:t>sus</w:t>
            </w:r>
            <w:r>
              <w:rPr>
                <w:spacing w:val="-9"/>
                <w:sz w:val="18"/>
              </w:rPr>
              <w:t> </w:t>
            </w:r>
            <w:r>
              <w:rPr>
                <w:sz w:val="18"/>
              </w:rPr>
              <w:t>planificaciones anuales, acciones alineadas al ODS 1 y afines</w:t>
            </w:r>
          </w:p>
        </w:tc>
        <w:tc>
          <w:tcPr>
            <w:tcW w:w="1560" w:type="dxa"/>
          </w:tcPr>
          <w:p>
            <w:pPr>
              <w:pStyle w:val="TableParagraph"/>
              <w:rPr>
                <w:b/>
                <w:sz w:val="18"/>
              </w:rPr>
            </w:pPr>
          </w:p>
          <w:p>
            <w:pPr>
              <w:pStyle w:val="TableParagraph"/>
              <w:rPr>
                <w:b/>
                <w:sz w:val="18"/>
              </w:rPr>
            </w:pPr>
          </w:p>
          <w:p>
            <w:pPr>
              <w:pStyle w:val="TableParagraph"/>
              <w:spacing w:before="26"/>
              <w:rPr>
                <w:b/>
                <w:sz w:val="18"/>
              </w:rPr>
            </w:pPr>
          </w:p>
          <w:p>
            <w:pPr>
              <w:pStyle w:val="TableParagraph"/>
              <w:ind w:left="67" w:right="58"/>
              <w:rPr>
                <w:sz w:val="18"/>
              </w:rPr>
            </w:pPr>
            <w:r>
              <w:rPr>
                <w:sz w:val="18"/>
              </w:rPr>
              <w:t>Cantidad de oficios</w:t>
            </w:r>
            <w:r>
              <w:rPr>
                <w:spacing w:val="-13"/>
                <w:sz w:val="18"/>
              </w:rPr>
              <w:t> </w:t>
            </w:r>
            <w:r>
              <w:rPr>
                <w:sz w:val="18"/>
              </w:rPr>
              <w:t>enviados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19" w:right="2"/>
              <w:jc w:val="center"/>
              <w:rPr>
                <w:sz w:val="18"/>
              </w:rPr>
            </w:pPr>
            <w:r>
              <w:rPr>
                <w:spacing w:val="-10"/>
                <w:sz w:val="18"/>
              </w:rPr>
              <w:t>5</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28" w:right="11"/>
              <w:jc w:val="center"/>
              <w:rPr>
                <w:sz w:val="18"/>
              </w:rPr>
            </w:pPr>
            <w:r>
              <w:rPr>
                <w:spacing w:val="-10"/>
                <w:sz w:val="18"/>
              </w:rPr>
              <w:t>9</w:t>
            </w: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628" w:hRule="atLeast"/>
        </w:trPr>
        <w:tc>
          <w:tcPr>
            <w:tcW w:w="14394" w:type="dxa"/>
            <w:gridSpan w:val="11"/>
            <w:shd w:val="clear" w:color="auto" w:fill="EFF8F9"/>
          </w:tcPr>
          <w:p>
            <w:pPr>
              <w:pStyle w:val="TableParagraph"/>
              <w:spacing w:before="3"/>
              <w:rPr>
                <w:b/>
                <w:sz w:val="18"/>
              </w:rPr>
            </w:pPr>
          </w:p>
          <w:p>
            <w:pPr>
              <w:pStyle w:val="TableParagraph"/>
              <w:ind w:left="72"/>
              <w:rPr>
                <w:b/>
                <w:sz w:val="18"/>
              </w:rPr>
            </w:pPr>
            <w:r>
              <w:rPr>
                <w:b/>
                <w:sz w:val="18"/>
              </w:rPr>
              <w:t>Producto</w:t>
            </w:r>
            <w:r>
              <w:rPr>
                <w:b/>
                <w:spacing w:val="-7"/>
                <w:sz w:val="18"/>
              </w:rPr>
              <w:t> </w:t>
            </w:r>
            <w:r>
              <w:rPr>
                <w:b/>
                <w:sz w:val="18"/>
              </w:rPr>
              <w:t>PAC</w:t>
            </w:r>
            <w:r>
              <w:rPr>
                <w:b/>
                <w:spacing w:val="-8"/>
                <w:sz w:val="18"/>
              </w:rPr>
              <w:t> </w:t>
            </w:r>
            <w:r>
              <w:rPr>
                <w:b/>
                <w:sz w:val="18"/>
              </w:rPr>
              <w:t>2.82:</w:t>
            </w:r>
            <w:r>
              <w:rPr>
                <w:b/>
                <w:spacing w:val="-4"/>
                <w:sz w:val="18"/>
              </w:rPr>
              <w:t> </w:t>
            </w:r>
            <w:r>
              <w:rPr>
                <w:b/>
                <w:sz w:val="18"/>
              </w:rPr>
              <w:t>Planes,</w:t>
            </w:r>
            <w:r>
              <w:rPr>
                <w:b/>
                <w:spacing w:val="-4"/>
                <w:sz w:val="18"/>
              </w:rPr>
              <w:t> </w:t>
            </w:r>
            <w:r>
              <w:rPr>
                <w:b/>
                <w:sz w:val="18"/>
              </w:rPr>
              <w:t>programas</w:t>
            </w:r>
            <w:r>
              <w:rPr>
                <w:b/>
                <w:spacing w:val="-5"/>
                <w:sz w:val="18"/>
              </w:rPr>
              <w:t> </w:t>
            </w:r>
            <w:r>
              <w:rPr>
                <w:b/>
                <w:sz w:val="18"/>
              </w:rPr>
              <w:t>y</w:t>
            </w:r>
            <w:r>
              <w:rPr>
                <w:b/>
                <w:spacing w:val="-2"/>
                <w:sz w:val="18"/>
              </w:rPr>
              <w:t> </w:t>
            </w:r>
            <w:r>
              <w:rPr>
                <w:b/>
                <w:sz w:val="18"/>
              </w:rPr>
              <w:t>proyectos</w:t>
            </w:r>
            <w:r>
              <w:rPr>
                <w:b/>
                <w:spacing w:val="-6"/>
                <w:sz w:val="18"/>
              </w:rPr>
              <w:t> </w:t>
            </w:r>
            <w:r>
              <w:rPr>
                <w:b/>
                <w:sz w:val="18"/>
              </w:rPr>
              <w:t>formulados</w:t>
            </w:r>
            <w:r>
              <w:rPr>
                <w:b/>
                <w:spacing w:val="-6"/>
                <w:sz w:val="18"/>
              </w:rPr>
              <w:t> </w:t>
            </w:r>
            <w:r>
              <w:rPr>
                <w:b/>
                <w:sz w:val="18"/>
              </w:rPr>
              <w:t>y</w:t>
            </w:r>
            <w:r>
              <w:rPr>
                <w:b/>
                <w:spacing w:val="-6"/>
                <w:sz w:val="18"/>
              </w:rPr>
              <w:t> </w:t>
            </w:r>
            <w:r>
              <w:rPr>
                <w:b/>
                <w:sz w:val="18"/>
              </w:rPr>
              <w:t>operando</w:t>
            </w:r>
            <w:r>
              <w:rPr>
                <w:b/>
                <w:spacing w:val="-2"/>
                <w:sz w:val="18"/>
              </w:rPr>
              <w:t> </w:t>
            </w:r>
            <w:r>
              <w:rPr>
                <w:b/>
                <w:sz w:val="18"/>
              </w:rPr>
              <w:t>como</w:t>
            </w:r>
            <w:r>
              <w:rPr>
                <w:b/>
                <w:spacing w:val="-6"/>
                <w:sz w:val="18"/>
              </w:rPr>
              <w:t> </w:t>
            </w:r>
            <w:r>
              <w:rPr>
                <w:b/>
                <w:sz w:val="18"/>
              </w:rPr>
              <w:t>insumos</w:t>
            </w:r>
            <w:r>
              <w:rPr>
                <w:b/>
                <w:spacing w:val="-2"/>
                <w:sz w:val="18"/>
              </w:rPr>
              <w:t> </w:t>
            </w:r>
            <w:r>
              <w:rPr>
                <w:b/>
                <w:sz w:val="18"/>
              </w:rPr>
              <w:t>para</w:t>
            </w:r>
            <w:r>
              <w:rPr>
                <w:b/>
                <w:spacing w:val="-6"/>
                <w:sz w:val="18"/>
              </w:rPr>
              <w:t> </w:t>
            </w:r>
            <w:r>
              <w:rPr>
                <w:b/>
                <w:sz w:val="18"/>
              </w:rPr>
              <w:t>la</w:t>
            </w:r>
            <w:r>
              <w:rPr>
                <w:b/>
                <w:spacing w:val="-6"/>
                <w:sz w:val="18"/>
              </w:rPr>
              <w:t> </w:t>
            </w:r>
            <w:r>
              <w:rPr>
                <w:b/>
                <w:sz w:val="18"/>
              </w:rPr>
              <w:t>toma</w:t>
            </w:r>
            <w:r>
              <w:rPr>
                <w:b/>
                <w:spacing w:val="-6"/>
                <w:sz w:val="18"/>
              </w:rPr>
              <w:t> </w:t>
            </w:r>
            <w:r>
              <w:rPr>
                <w:b/>
                <w:sz w:val="18"/>
              </w:rPr>
              <w:t>de</w:t>
            </w:r>
            <w:r>
              <w:rPr>
                <w:b/>
                <w:spacing w:val="-6"/>
                <w:sz w:val="18"/>
              </w:rPr>
              <w:t> </w:t>
            </w:r>
            <w:r>
              <w:rPr>
                <w:b/>
                <w:spacing w:val="-2"/>
                <w:sz w:val="18"/>
              </w:rPr>
              <w:t>decisiones</w:t>
            </w:r>
          </w:p>
        </w:tc>
      </w:tr>
      <w:tr>
        <w:trPr>
          <w:trHeight w:val="974" w:hRule="atLeast"/>
        </w:trPr>
        <w:tc>
          <w:tcPr>
            <w:tcW w:w="3092" w:type="dxa"/>
            <w:gridSpan w:val="2"/>
          </w:tcPr>
          <w:p>
            <w:pPr>
              <w:pStyle w:val="TableParagraph"/>
              <w:spacing w:before="177"/>
              <w:ind w:left="72" w:right="99"/>
              <w:rPr>
                <w:sz w:val="18"/>
              </w:rPr>
            </w:pPr>
            <w:r>
              <w:rPr>
                <w:b/>
                <w:sz w:val="18"/>
              </w:rPr>
              <w:t>Actividad</w:t>
            </w:r>
            <w:r>
              <w:rPr>
                <w:b/>
                <w:spacing w:val="-13"/>
                <w:sz w:val="18"/>
              </w:rPr>
              <w:t> </w:t>
            </w:r>
            <w:r>
              <w:rPr>
                <w:b/>
                <w:sz w:val="18"/>
              </w:rPr>
              <w:t>PAC</w:t>
            </w:r>
            <w:r>
              <w:rPr>
                <w:b/>
                <w:spacing w:val="-9"/>
                <w:sz w:val="18"/>
              </w:rPr>
              <w:t> </w:t>
            </w:r>
            <w:r>
              <w:rPr>
                <w:b/>
                <w:sz w:val="18"/>
              </w:rPr>
              <w:t>2.82.1:</w:t>
            </w:r>
            <w:r>
              <w:rPr>
                <w:b/>
                <w:spacing w:val="-4"/>
                <w:sz w:val="18"/>
              </w:rPr>
              <w:t> </w:t>
            </w:r>
            <w:r>
              <w:rPr>
                <w:sz w:val="18"/>
              </w:rPr>
              <w:t>Formular</w:t>
            </w:r>
            <w:r>
              <w:rPr>
                <w:spacing w:val="-10"/>
                <w:sz w:val="18"/>
              </w:rPr>
              <w:t> </w:t>
            </w:r>
            <w:r>
              <w:rPr>
                <w:sz w:val="18"/>
              </w:rPr>
              <w:t>los planes Operativo Institucional (POI) y Operativo Gerencial (POGE)</w:t>
            </w:r>
          </w:p>
        </w:tc>
        <w:tc>
          <w:tcPr>
            <w:tcW w:w="1560" w:type="dxa"/>
          </w:tcPr>
          <w:p>
            <w:pPr>
              <w:pStyle w:val="TableParagraph"/>
              <w:spacing w:before="71"/>
              <w:ind w:left="67" w:right="108"/>
              <w:rPr>
                <w:sz w:val="18"/>
              </w:rPr>
            </w:pPr>
            <w:r>
              <w:rPr>
                <w:sz w:val="18"/>
              </w:rPr>
              <w:t>Cantidad de </w:t>
            </w:r>
            <w:r>
              <w:rPr>
                <w:spacing w:val="-2"/>
                <w:sz w:val="18"/>
              </w:rPr>
              <w:t>planes </w:t>
            </w:r>
            <w:r>
              <w:rPr>
                <w:sz w:val="18"/>
              </w:rPr>
              <w:t>formulados</w:t>
            </w:r>
            <w:r>
              <w:rPr>
                <w:spacing w:val="-13"/>
                <w:sz w:val="18"/>
              </w:rPr>
              <w:t> </w:t>
            </w:r>
            <w:r>
              <w:rPr>
                <w:sz w:val="18"/>
              </w:rPr>
              <w:t>y </w:t>
            </w:r>
            <w:r>
              <w:rPr>
                <w:spacing w:val="-2"/>
                <w:sz w:val="18"/>
              </w:rPr>
              <w:t>aprobados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spacing w:before="176"/>
              <w:rPr>
                <w:b/>
                <w:sz w:val="18"/>
              </w:rPr>
            </w:pPr>
          </w:p>
          <w:p>
            <w:pPr>
              <w:pStyle w:val="TableParagraph"/>
              <w:ind w:left="20" w:right="7"/>
              <w:jc w:val="center"/>
              <w:rPr>
                <w:sz w:val="18"/>
              </w:rPr>
            </w:pPr>
            <w:r>
              <w:rPr>
                <w:spacing w:val="-10"/>
                <w:sz w:val="18"/>
              </w:rPr>
              <w:t>2</w:t>
            </w:r>
          </w:p>
        </w:tc>
        <w:tc>
          <w:tcPr>
            <w:tcW w:w="1230" w:type="dxa"/>
          </w:tcPr>
          <w:p>
            <w:pPr>
              <w:pStyle w:val="TableParagraph"/>
              <w:rPr>
                <w:rFonts w:ascii="Times New Roman"/>
                <w:sz w:val="18"/>
              </w:rPr>
            </w:pPr>
          </w:p>
        </w:tc>
      </w:tr>
      <w:tr>
        <w:trPr>
          <w:trHeight w:val="811" w:hRule="atLeast"/>
        </w:trPr>
        <w:tc>
          <w:tcPr>
            <w:tcW w:w="3092" w:type="dxa"/>
            <w:gridSpan w:val="2"/>
          </w:tcPr>
          <w:p>
            <w:pPr>
              <w:pStyle w:val="TableParagraph"/>
              <w:spacing w:before="95"/>
              <w:ind w:left="72" w:right="88"/>
              <w:rPr>
                <w:sz w:val="18"/>
              </w:rPr>
            </w:pPr>
            <w:r>
              <w:rPr>
                <w:b/>
                <w:sz w:val="18"/>
              </w:rPr>
              <w:t>Actividad</w:t>
            </w:r>
            <w:r>
              <w:rPr>
                <w:b/>
                <w:spacing w:val="-12"/>
                <w:sz w:val="18"/>
              </w:rPr>
              <w:t> </w:t>
            </w:r>
            <w:r>
              <w:rPr>
                <w:b/>
                <w:sz w:val="18"/>
              </w:rPr>
              <w:t>PAC</w:t>
            </w:r>
            <w:r>
              <w:rPr>
                <w:b/>
                <w:spacing w:val="-9"/>
                <w:sz w:val="18"/>
              </w:rPr>
              <w:t> </w:t>
            </w:r>
            <w:r>
              <w:rPr>
                <w:b/>
                <w:sz w:val="18"/>
              </w:rPr>
              <w:t>2.82.2:</w:t>
            </w:r>
            <w:r>
              <w:rPr>
                <w:b/>
                <w:spacing w:val="-4"/>
                <w:sz w:val="18"/>
              </w:rPr>
              <w:t> </w:t>
            </w:r>
            <w:r>
              <w:rPr>
                <w:sz w:val="18"/>
              </w:rPr>
              <w:t>Formular</w:t>
            </w:r>
            <w:r>
              <w:rPr>
                <w:spacing w:val="-10"/>
                <w:sz w:val="18"/>
              </w:rPr>
              <w:t> </w:t>
            </w:r>
            <w:r>
              <w:rPr>
                <w:sz w:val="18"/>
              </w:rPr>
              <w:t>del Plan Operativo Institucional solicitado por FODESAF</w:t>
            </w:r>
          </w:p>
        </w:tc>
        <w:tc>
          <w:tcPr>
            <w:tcW w:w="1560" w:type="dxa"/>
          </w:tcPr>
          <w:p>
            <w:pPr>
              <w:pStyle w:val="TableParagraph"/>
              <w:spacing w:before="95"/>
              <w:ind w:left="67" w:right="469"/>
              <w:rPr>
                <w:sz w:val="18"/>
              </w:rPr>
            </w:pPr>
            <w:r>
              <w:rPr>
                <w:sz w:val="18"/>
              </w:rPr>
              <w:t>Cantidad</w:t>
            </w:r>
            <w:r>
              <w:rPr>
                <w:spacing w:val="-13"/>
                <w:sz w:val="18"/>
              </w:rPr>
              <w:t> </w:t>
            </w:r>
            <w:r>
              <w:rPr>
                <w:sz w:val="18"/>
              </w:rPr>
              <w:t>de </w:t>
            </w:r>
            <w:r>
              <w:rPr>
                <w:spacing w:val="-2"/>
                <w:sz w:val="18"/>
              </w:rPr>
              <w:t>planes aprobados</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spacing w:before="94"/>
              <w:rPr>
                <w:b/>
                <w:sz w:val="18"/>
              </w:rPr>
            </w:pPr>
          </w:p>
          <w:p>
            <w:pPr>
              <w:pStyle w:val="TableParagraph"/>
              <w:spacing w:before="1"/>
              <w:ind w:left="19" w:right="2"/>
              <w:jc w:val="center"/>
              <w:rPr>
                <w:sz w:val="18"/>
              </w:rPr>
            </w:pPr>
            <w:r>
              <w:rPr>
                <w:spacing w:val="-10"/>
                <w:sz w:val="18"/>
              </w:rPr>
              <w:t>1</w:t>
            </w: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647" w:hRule="atLeast"/>
        </w:trPr>
        <w:tc>
          <w:tcPr>
            <w:tcW w:w="3092" w:type="dxa"/>
            <w:gridSpan w:val="2"/>
            <w:tcBorders>
              <w:bottom w:val="thickThinMediumGap" w:sz="9" w:space="0" w:color="808080"/>
            </w:tcBorders>
          </w:tcPr>
          <w:p>
            <w:pPr>
              <w:pStyle w:val="TableParagraph"/>
              <w:spacing w:before="103"/>
              <w:rPr>
                <w:b/>
                <w:sz w:val="18"/>
              </w:rPr>
            </w:pPr>
          </w:p>
          <w:p>
            <w:pPr>
              <w:pStyle w:val="TableParagraph"/>
              <w:spacing w:before="1"/>
              <w:ind w:left="72" w:right="141"/>
              <w:rPr>
                <w:sz w:val="18"/>
              </w:rPr>
            </w:pPr>
            <w:r>
              <w:rPr>
                <w:b/>
                <w:sz w:val="18"/>
              </w:rPr>
              <w:t>Actividad</w:t>
            </w:r>
            <w:r>
              <w:rPr>
                <w:b/>
                <w:spacing w:val="-13"/>
                <w:sz w:val="18"/>
              </w:rPr>
              <w:t> </w:t>
            </w:r>
            <w:r>
              <w:rPr>
                <w:b/>
                <w:sz w:val="18"/>
              </w:rPr>
              <w:t>PAC</w:t>
            </w:r>
            <w:r>
              <w:rPr>
                <w:b/>
                <w:spacing w:val="-9"/>
                <w:sz w:val="18"/>
              </w:rPr>
              <w:t> </w:t>
            </w:r>
            <w:r>
              <w:rPr>
                <w:b/>
                <w:sz w:val="18"/>
              </w:rPr>
              <w:t>2.82.3:</w:t>
            </w:r>
            <w:r>
              <w:rPr>
                <w:b/>
                <w:spacing w:val="-4"/>
                <w:sz w:val="18"/>
              </w:rPr>
              <w:t> </w:t>
            </w:r>
            <w:r>
              <w:rPr>
                <w:sz w:val="18"/>
              </w:rPr>
              <w:t>Realizar</w:t>
            </w:r>
            <w:r>
              <w:rPr>
                <w:spacing w:val="-7"/>
                <w:sz w:val="18"/>
              </w:rPr>
              <w:t> </w:t>
            </w:r>
            <w:r>
              <w:rPr>
                <w:sz w:val="18"/>
              </w:rPr>
              <w:t>las publicaciones de normativa publicada</w:t>
            </w:r>
            <w:r>
              <w:rPr>
                <w:spacing w:val="-4"/>
                <w:sz w:val="18"/>
              </w:rPr>
              <w:t> </w:t>
            </w:r>
            <w:r>
              <w:rPr>
                <w:sz w:val="18"/>
              </w:rPr>
              <w:t>el</w:t>
            </w:r>
            <w:r>
              <w:rPr>
                <w:spacing w:val="-9"/>
                <w:sz w:val="18"/>
              </w:rPr>
              <w:t> </w:t>
            </w:r>
            <w:r>
              <w:rPr>
                <w:sz w:val="18"/>
              </w:rPr>
              <w:t>diario</w:t>
            </w:r>
            <w:r>
              <w:rPr>
                <w:spacing w:val="-4"/>
                <w:sz w:val="18"/>
              </w:rPr>
              <w:t> </w:t>
            </w:r>
            <w:r>
              <w:rPr>
                <w:sz w:val="18"/>
              </w:rPr>
              <w:t>oficial</w:t>
            </w:r>
            <w:r>
              <w:rPr>
                <w:spacing w:val="-5"/>
                <w:sz w:val="18"/>
              </w:rPr>
              <w:t> </w:t>
            </w:r>
            <w:r>
              <w:rPr>
                <w:sz w:val="18"/>
              </w:rPr>
              <w:t>La</w:t>
            </w:r>
            <w:r>
              <w:rPr>
                <w:spacing w:val="-12"/>
                <w:sz w:val="18"/>
              </w:rPr>
              <w:t> </w:t>
            </w:r>
            <w:r>
              <w:rPr>
                <w:sz w:val="18"/>
              </w:rPr>
              <w:t>Gaceta y lineamientos institucionales por medio del CIRE</w:t>
            </w:r>
          </w:p>
        </w:tc>
        <w:tc>
          <w:tcPr>
            <w:tcW w:w="1560" w:type="dxa"/>
            <w:tcBorders>
              <w:bottom w:val="thickThinMediumGap" w:sz="9" w:space="0" w:color="808080"/>
            </w:tcBorders>
          </w:tcPr>
          <w:p>
            <w:pPr>
              <w:pStyle w:val="TableParagraph"/>
              <w:ind w:left="67" w:right="58"/>
              <w:rPr>
                <w:sz w:val="18"/>
              </w:rPr>
            </w:pPr>
            <w:r>
              <w:rPr>
                <w:sz w:val="18"/>
              </w:rPr>
              <w:t>Cantidad de </w:t>
            </w:r>
            <w:r>
              <w:rPr>
                <w:spacing w:val="-2"/>
                <w:sz w:val="18"/>
              </w:rPr>
              <w:t>normativa </w:t>
            </w:r>
            <w:r>
              <w:rPr>
                <w:sz w:val="18"/>
              </w:rPr>
              <w:t>publicada</w:t>
            </w:r>
            <w:r>
              <w:rPr>
                <w:spacing w:val="-15"/>
                <w:sz w:val="18"/>
              </w:rPr>
              <w:t> </w:t>
            </w:r>
            <w:r>
              <w:rPr>
                <w:sz w:val="18"/>
              </w:rPr>
              <w:t>en</w:t>
            </w:r>
            <w:r>
              <w:rPr>
                <w:spacing w:val="-12"/>
                <w:sz w:val="18"/>
              </w:rPr>
              <w:t> </w:t>
            </w:r>
            <w:r>
              <w:rPr>
                <w:sz w:val="18"/>
              </w:rPr>
              <w:t>La Gaceta y </w:t>
            </w:r>
            <w:r>
              <w:rPr>
                <w:spacing w:val="-2"/>
                <w:sz w:val="18"/>
              </w:rPr>
              <w:t>normativa institucional </w:t>
            </w:r>
            <w:r>
              <w:rPr>
                <w:sz w:val="18"/>
              </w:rPr>
              <w:t>remitida a PI y</w:t>
            </w:r>
          </w:p>
          <w:p>
            <w:pPr>
              <w:pStyle w:val="TableParagraph"/>
              <w:spacing w:line="179" w:lineRule="exact"/>
              <w:ind w:left="67"/>
              <w:rPr>
                <w:sz w:val="18"/>
              </w:rPr>
            </w:pPr>
            <w:r>
              <w:rPr>
                <w:spacing w:val="-2"/>
                <w:sz w:val="18"/>
              </w:rPr>
              <w:t>publicada</w:t>
            </w:r>
          </w:p>
        </w:tc>
        <w:tc>
          <w:tcPr>
            <w:tcW w:w="1181" w:type="dxa"/>
            <w:tcBorders>
              <w:bottom w:val="thickThinMediumGap" w:sz="9" w:space="0" w:color="808080"/>
            </w:tcBorders>
          </w:tcPr>
          <w:p>
            <w:pPr>
              <w:pStyle w:val="TableParagraph"/>
              <w:rPr>
                <w:b/>
                <w:sz w:val="18"/>
              </w:rPr>
            </w:pPr>
          </w:p>
          <w:p>
            <w:pPr>
              <w:pStyle w:val="TableParagraph"/>
              <w:rPr>
                <w:b/>
                <w:sz w:val="18"/>
              </w:rPr>
            </w:pPr>
          </w:p>
          <w:p>
            <w:pPr>
              <w:pStyle w:val="TableParagraph"/>
              <w:spacing w:before="103"/>
              <w:rPr>
                <w:b/>
                <w:sz w:val="18"/>
              </w:rPr>
            </w:pPr>
          </w:p>
          <w:p>
            <w:pPr>
              <w:pStyle w:val="TableParagraph"/>
              <w:ind w:left="28" w:right="21"/>
              <w:jc w:val="center"/>
              <w:rPr>
                <w:sz w:val="18"/>
              </w:rPr>
            </w:pPr>
            <w:r>
              <w:rPr>
                <w:spacing w:val="-10"/>
                <w:sz w:val="18"/>
              </w:rPr>
              <w:t>1</w:t>
            </w:r>
          </w:p>
        </w:tc>
        <w:tc>
          <w:tcPr>
            <w:tcW w:w="1186" w:type="dxa"/>
            <w:tcBorders>
              <w:bottom w:val="thickThinMediumGap" w:sz="9" w:space="0" w:color="808080"/>
            </w:tcBorders>
          </w:tcPr>
          <w:p>
            <w:pPr>
              <w:pStyle w:val="TableParagraph"/>
              <w:rPr>
                <w:rFonts w:ascii="Times New Roman"/>
                <w:sz w:val="18"/>
              </w:rPr>
            </w:pPr>
          </w:p>
        </w:tc>
        <w:tc>
          <w:tcPr>
            <w:tcW w:w="1200" w:type="dxa"/>
            <w:tcBorders>
              <w:bottom w:val="thickThinMediumGap" w:sz="9" w:space="0" w:color="808080"/>
            </w:tcBorders>
          </w:tcPr>
          <w:p>
            <w:pPr>
              <w:pStyle w:val="TableParagraph"/>
              <w:rPr>
                <w:b/>
                <w:sz w:val="18"/>
              </w:rPr>
            </w:pPr>
          </w:p>
          <w:p>
            <w:pPr>
              <w:pStyle w:val="TableParagraph"/>
              <w:rPr>
                <w:b/>
                <w:sz w:val="18"/>
              </w:rPr>
            </w:pPr>
          </w:p>
          <w:p>
            <w:pPr>
              <w:pStyle w:val="TableParagraph"/>
              <w:spacing w:before="103"/>
              <w:rPr>
                <w:b/>
                <w:sz w:val="18"/>
              </w:rPr>
            </w:pPr>
          </w:p>
          <w:p>
            <w:pPr>
              <w:pStyle w:val="TableParagraph"/>
              <w:ind w:left="19" w:right="2"/>
              <w:jc w:val="center"/>
              <w:rPr>
                <w:sz w:val="18"/>
              </w:rPr>
            </w:pPr>
            <w:r>
              <w:rPr>
                <w:spacing w:val="-10"/>
                <w:sz w:val="18"/>
              </w:rPr>
              <w:t>2</w:t>
            </w:r>
          </w:p>
        </w:tc>
        <w:tc>
          <w:tcPr>
            <w:tcW w:w="1248" w:type="dxa"/>
            <w:tcBorders>
              <w:bottom w:val="thickThinMediumGap" w:sz="9" w:space="0" w:color="808080"/>
            </w:tcBorders>
          </w:tcPr>
          <w:p>
            <w:pPr>
              <w:pStyle w:val="TableParagraph"/>
              <w:rPr>
                <w:rFonts w:ascii="Times New Roman"/>
                <w:sz w:val="18"/>
              </w:rPr>
            </w:pPr>
          </w:p>
        </w:tc>
        <w:tc>
          <w:tcPr>
            <w:tcW w:w="1181" w:type="dxa"/>
            <w:tcBorders>
              <w:bottom w:val="thickThinMediumGap" w:sz="9" w:space="0" w:color="808080"/>
            </w:tcBorders>
          </w:tcPr>
          <w:p>
            <w:pPr>
              <w:pStyle w:val="TableParagraph"/>
              <w:rPr>
                <w:b/>
                <w:sz w:val="18"/>
              </w:rPr>
            </w:pPr>
          </w:p>
          <w:p>
            <w:pPr>
              <w:pStyle w:val="TableParagraph"/>
              <w:rPr>
                <w:b/>
                <w:sz w:val="18"/>
              </w:rPr>
            </w:pPr>
          </w:p>
          <w:p>
            <w:pPr>
              <w:pStyle w:val="TableParagraph"/>
              <w:spacing w:before="103"/>
              <w:rPr>
                <w:b/>
                <w:sz w:val="18"/>
              </w:rPr>
            </w:pPr>
          </w:p>
          <w:p>
            <w:pPr>
              <w:pStyle w:val="TableParagraph"/>
              <w:ind w:left="28" w:right="11"/>
              <w:jc w:val="center"/>
              <w:rPr>
                <w:sz w:val="18"/>
              </w:rPr>
            </w:pPr>
            <w:r>
              <w:rPr>
                <w:spacing w:val="-10"/>
                <w:sz w:val="18"/>
              </w:rPr>
              <w:t>3</w:t>
            </w:r>
          </w:p>
        </w:tc>
        <w:tc>
          <w:tcPr>
            <w:tcW w:w="1234" w:type="dxa"/>
            <w:tcBorders>
              <w:bottom w:val="thickThinMediumGap" w:sz="9" w:space="0" w:color="808080"/>
            </w:tcBorders>
          </w:tcPr>
          <w:p>
            <w:pPr>
              <w:pStyle w:val="TableParagraph"/>
              <w:rPr>
                <w:rFonts w:ascii="Times New Roman"/>
                <w:sz w:val="18"/>
              </w:rPr>
            </w:pPr>
          </w:p>
        </w:tc>
        <w:tc>
          <w:tcPr>
            <w:tcW w:w="1282" w:type="dxa"/>
            <w:tcBorders>
              <w:bottom w:val="thickThinMediumGap" w:sz="9" w:space="0" w:color="808080"/>
            </w:tcBorders>
          </w:tcPr>
          <w:p>
            <w:pPr>
              <w:pStyle w:val="TableParagraph"/>
              <w:rPr>
                <w:b/>
                <w:sz w:val="18"/>
              </w:rPr>
            </w:pPr>
          </w:p>
          <w:p>
            <w:pPr>
              <w:pStyle w:val="TableParagraph"/>
              <w:rPr>
                <w:b/>
                <w:sz w:val="18"/>
              </w:rPr>
            </w:pPr>
          </w:p>
          <w:p>
            <w:pPr>
              <w:pStyle w:val="TableParagraph"/>
              <w:spacing w:before="103"/>
              <w:rPr>
                <w:b/>
                <w:sz w:val="18"/>
              </w:rPr>
            </w:pPr>
          </w:p>
          <w:p>
            <w:pPr>
              <w:pStyle w:val="TableParagraph"/>
              <w:ind w:left="20" w:right="7"/>
              <w:jc w:val="center"/>
              <w:rPr>
                <w:sz w:val="18"/>
              </w:rPr>
            </w:pPr>
            <w:r>
              <w:rPr>
                <w:spacing w:val="-10"/>
                <w:sz w:val="18"/>
              </w:rPr>
              <w:t>4</w:t>
            </w:r>
          </w:p>
        </w:tc>
        <w:tc>
          <w:tcPr>
            <w:tcW w:w="1230" w:type="dxa"/>
            <w:tcBorders>
              <w:bottom w:val="thickThinMediumGap" w:sz="9" w:space="0" w:color="808080"/>
            </w:tcBorders>
          </w:tcPr>
          <w:p>
            <w:pPr>
              <w:pStyle w:val="TableParagraph"/>
              <w:rPr>
                <w:b/>
                <w:sz w:val="18"/>
              </w:rPr>
            </w:pPr>
          </w:p>
          <w:p>
            <w:pPr>
              <w:pStyle w:val="TableParagraph"/>
              <w:rPr>
                <w:b/>
                <w:sz w:val="18"/>
              </w:rPr>
            </w:pPr>
          </w:p>
          <w:p>
            <w:pPr>
              <w:pStyle w:val="TableParagraph"/>
              <w:spacing w:before="103"/>
              <w:rPr>
                <w:b/>
                <w:sz w:val="18"/>
              </w:rPr>
            </w:pPr>
          </w:p>
          <w:p>
            <w:pPr>
              <w:pStyle w:val="TableParagraph"/>
              <w:ind w:left="50" w:right="34"/>
              <w:jc w:val="center"/>
              <w:rPr>
                <w:sz w:val="18"/>
              </w:rPr>
            </w:pPr>
            <w:r>
              <w:rPr>
                <w:sz w:val="18"/>
              </w:rPr>
              <w:t>₡3</w:t>
            </w:r>
            <w:r>
              <w:rPr>
                <w:spacing w:val="1"/>
                <w:sz w:val="18"/>
              </w:rPr>
              <w:t> </w:t>
            </w:r>
            <w:r>
              <w:rPr>
                <w:sz w:val="18"/>
              </w:rPr>
              <w:t>500</w:t>
            </w:r>
            <w:r>
              <w:rPr>
                <w:spacing w:val="-3"/>
                <w:sz w:val="18"/>
              </w:rPr>
              <w:t> </w:t>
            </w:r>
            <w:r>
              <w:rPr>
                <w:spacing w:val="-5"/>
                <w:sz w:val="18"/>
              </w:rPr>
              <w:t>000</w:t>
            </w:r>
          </w:p>
        </w:tc>
      </w:tr>
      <w:tr>
        <w:trPr>
          <w:trHeight w:val="1374" w:hRule="atLeast"/>
        </w:trPr>
        <w:tc>
          <w:tcPr>
            <w:tcW w:w="1486" w:type="dxa"/>
            <w:tcBorders>
              <w:top w:val="thinThickMediumGap" w:sz="9" w:space="0" w:color="808080"/>
              <w:left w:val="nil"/>
              <w:bottom w:val="nil"/>
              <w:right w:val="single" w:sz="18" w:space="0" w:color="808080"/>
            </w:tcBorders>
          </w:tcPr>
          <w:p>
            <w:pPr>
              <w:pStyle w:val="TableParagraph"/>
              <w:spacing w:line="268" w:lineRule="exact"/>
              <w:ind w:left="106"/>
              <w:rPr>
                <w:b/>
                <w:sz w:val="24"/>
              </w:rPr>
            </w:pPr>
            <w:r>
              <w:rPr>
                <w:b/>
                <w:spacing w:val="-5"/>
                <w:sz w:val="24"/>
              </w:rPr>
              <w:t>333</w:t>
            </w:r>
          </w:p>
        </w:tc>
        <w:tc>
          <w:tcPr>
            <w:tcW w:w="12908" w:type="dxa"/>
            <w:gridSpan w:val="10"/>
            <w:tcBorders>
              <w:top w:val="thinThickMediumGap" w:sz="9" w:space="0" w:color="808080"/>
              <w:left w:val="single" w:sz="18" w:space="0" w:color="808080"/>
              <w:bottom w:val="nil"/>
              <w:right w:val="nil"/>
            </w:tcBorders>
          </w:tcPr>
          <w:p>
            <w:pPr>
              <w:pStyle w:val="TableParagraph"/>
              <w:spacing w:line="242" w:lineRule="auto"/>
              <w:ind w:left="95" w:right="8727"/>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c>
      </w:tr>
    </w:tbl>
    <w:p>
      <w:pPr>
        <w:pStyle w:val="TableParagraph"/>
        <w:spacing w:after="0" w:line="242" w:lineRule="auto"/>
        <w:rPr>
          <w:b/>
          <w:i/>
          <w:sz w:val="24"/>
        </w:rPr>
        <w:sectPr>
          <w:footerReference w:type="default" r:id="rId88"/>
          <w:pgSz w:w="15840" w:h="12240" w:orient="landscape"/>
          <w:pgMar w:header="0" w:footer="0" w:top="700" w:bottom="28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1036" w:hRule="atLeast"/>
        </w:trPr>
        <w:tc>
          <w:tcPr>
            <w:tcW w:w="3092" w:type="dxa"/>
          </w:tcPr>
          <w:p>
            <w:pPr>
              <w:pStyle w:val="TableParagraph"/>
              <w:ind w:left="72" w:right="99"/>
              <w:rPr>
                <w:sz w:val="18"/>
              </w:rPr>
            </w:pPr>
            <w:r>
              <w:rPr>
                <w:b/>
                <w:sz w:val="18"/>
              </w:rPr>
              <w:t>Actividad</w:t>
            </w:r>
            <w:r>
              <w:rPr>
                <w:b/>
                <w:spacing w:val="-12"/>
                <w:sz w:val="18"/>
              </w:rPr>
              <w:t> </w:t>
            </w:r>
            <w:r>
              <w:rPr>
                <w:b/>
                <w:sz w:val="18"/>
              </w:rPr>
              <w:t>PAC</w:t>
            </w:r>
            <w:r>
              <w:rPr>
                <w:b/>
                <w:spacing w:val="-9"/>
                <w:sz w:val="18"/>
              </w:rPr>
              <w:t> </w:t>
            </w:r>
            <w:r>
              <w:rPr>
                <w:b/>
                <w:sz w:val="18"/>
              </w:rPr>
              <w:t>2.82.4:</w:t>
            </w:r>
            <w:r>
              <w:rPr>
                <w:b/>
                <w:spacing w:val="-4"/>
                <w:sz w:val="18"/>
              </w:rPr>
              <w:t> </w:t>
            </w:r>
            <w:r>
              <w:rPr>
                <w:sz w:val="18"/>
              </w:rPr>
              <w:t>Compilar</w:t>
            </w:r>
            <w:r>
              <w:rPr>
                <w:spacing w:val="-10"/>
                <w:sz w:val="18"/>
              </w:rPr>
              <w:t> </w:t>
            </w:r>
            <w:r>
              <w:rPr>
                <w:sz w:val="18"/>
              </w:rPr>
              <w:t>y remitir en tiempo y forma, la información de la Matriz de Cumplimiento</w:t>
            </w:r>
            <w:r>
              <w:rPr>
                <w:spacing w:val="-13"/>
                <w:sz w:val="18"/>
              </w:rPr>
              <w:t> </w:t>
            </w:r>
            <w:r>
              <w:rPr>
                <w:sz w:val="18"/>
              </w:rPr>
              <w:t>de</w:t>
            </w:r>
            <w:r>
              <w:rPr>
                <w:spacing w:val="-9"/>
                <w:sz w:val="18"/>
              </w:rPr>
              <w:t> </w:t>
            </w:r>
            <w:r>
              <w:rPr>
                <w:sz w:val="18"/>
              </w:rPr>
              <w:t>Disposiciones</w:t>
            </w:r>
            <w:r>
              <w:rPr>
                <w:spacing w:val="-13"/>
                <w:sz w:val="18"/>
              </w:rPr>
              <w:t> </w:t>
            </w:r>
            <w:r>
              <w:rPr>
                <w:sz w:val="18"/>
              </w:rPr>
              <w:t>de</w:t>
            </w:r>
          </w:p>
          <w:p>
            <w:pPr>
              <w:pStyle w:val="TableParagraph"/>
              <w:spacing w:line="187" w:lineRule="exact" w:before="2"/>
              <w:ind w:left="72"/>
              <w:rPr>
                <w:sz w:val="18"/>
              </w:rPr>
            </w:pPr>
            <w:r>
              <w:rPr>
                <w:sz w:val="18"/>
              </w:rPr>
              <w:t>Auditoría</w:t>
            </w:r>
            <w:r>
              <w:rPr>
                <w:spacing w:val="-6"/>
                <w:sz w:val="18"/>
              </w:rPr>
              <w:t> </w:t>
            </w:r>
            <w:r>
              <w:rPr>
                <w:sz w:val="18"/>
              </w:rPr>
              <w:t>Interna</w:t>
            </w:r>
            <w:r>
              <w:rPr>
                <w:spacing w:val="-6"/>
                <w:sz w:val="18"/>
              </w:rPr>
              <w:t> </w:t>
            </w:r>
            <w:r>
              <w:rPr>
                <w:sz w:val="18"/>
              </w:rPr>
              <w:t>(MACU)</w:t>
            </w:r>
            <w:r>
              <w:rPr>
                <w:spacing w:val="-3"/>
                <w:sz w:val="18"/>
              </w:rPr>
              <w:t> </w:t>
            </w:r>
            <w:r>
              <w:rPr>
                <w:sz w:val="18"/>
              </w:rPr>
              <w:t>del</w:t>
            </w:r>
            <w:r>
              <w:rPr>
                <w:spacing w:val="-8"/>
                <w:sz w:val="18"/>
              </w:rPr>
              <w:t> </w:t>
            </w:r>
            <w:r>
              <w:rPr>
                <w:spacing w:val="-4"/>
                <w:sz w:val="18"/>
              </w:rPr>
              <w:t>IMAS</w:t>
            </w:r>
          </w:p>
        </w:tc>
        <w:tc>
          <w:tcPr>
            <w:tcW w:w="1560" w:type="dxa"/>
          </w:tcPr>
          <w:p>
            <w:pPr>
              <w:pStyle w:val="TableParagraph"/>
              <w:spacing w:before="205"/>
              <w:ind w:left="67" w:right="58"/>
              <w:rPr>
                <w:sz w:val="18"/>
              </w:rPr>
            </w:pPr>
            <w:r>
              <w:rPr>
                <w:sz w:val="18"/>
              </w:rPr>
              <w:t>Cantidad</w:t>
            </w:r>
            <w:r>
              <w:rPr>
                <w:spacing w:val="-13"/>
                <w:sz w:val="18"/>
              </w:rPr>
              <w:t> </w:t>
            </w:r>
            <w:r>
              <w:rPr>
                <w:sz w:val="18"/>
              </w:rPr>
              <w:t>de </w:t>
            </w:r>
            <w:r>
              <w:rPr>
                <w:spacing w:val="-2"/>
                <w:sz w:val="18"/>
              </w:rPr>
              <w:t>matrices compiladas</w:t>
            </w:r>
          </w:p>
        </w:tc>
        <w:tc>
          <w:tcPr>
            <w:tcW w:w="1181" w:type="dxa"/>
          </w:tcPr>
          <w:p>
            <w:pPr>
              <w:pStyle w:val="TableParagraph"/>
              <w:spacing w:before="204"/>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spacing w:before="204"/>
              <w:rPr>
                <w:b/>
                <w:sz w:val="18"/>
              </w:rPr>
            </w:pPr>
          </w:p>
          <w:p>
            <w:pPr>
              <w:pStyle w:val="TableParagraph"/>
              <w:ind w:left="28" w:right="11"/>
              <w:jc w:val="center"/>
              <w:rPr>
                <w:sz w:val="18"/>
              </w:rPr>
            </w:pPr>
            <w:r>
              <w:rPr>
                <w:spacing w:val="-10"/>
                <w:sz w:val="18"/>
              </w:rPr>
              <w:t>2</w:t>
            </w: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r>
        <w:trPr>
          <w:trHeight w:val="1449" w:hRule="atLeast"/>
        </w:trPr>
        <w:tc>
          <w:tcPr>
            <w:tcW w:w="3092" w:type="dxa"/>
          </w:tcPr>
          <w:p>
            <w:pPr>
              <w:pStyle w:val="TableParagraph"/>
              <w:spacing w:line="242" w:lineRule="auto" w:before="99"/>
              <w:ind w:left="72" w:right="99"/>
              <w:rPr>
                <w:sz w:val="18"/>
              </w:rPr>
            </w:pPr>
            <w:r>
              <w:rPr>
                <w:b/>
                <w:sz w:val="18"/>
              </w:rPr>
              <w:t>Actividad</w:t>
            </w:r>
            <w:r>
              <w:rPr>
                <w:b/>
                <w:spacing w:val="-13"/>
                <w:sz w:val="18"/>
              </w:rPr>
              <w:t> </w:t>
            </w:r>
            <w:r>
              <w:rPr>
                <w:b/>
                <w:sz w:val="18"/>
              </w:rPr>
              <w:t>PAC</w:t>
            </w:r>
            <w:r>
              <w:rPr>
                <w:b/>
                <w:spacing w:val="-12"/>
                <w:sz w:val="18"/>
              </w:rPr>
              <w:t> </w:t>
            </w:r>
            <w:r>
              <w:rPr>
                <w:b/>
                <w:sz w:val="18"/>
              </w:rPr>
              <w:t>2.82.5:</w:t>
            </w:r>
            <w:r>
              <w:rPr>
                <w:b/>
                <w:spacing w:val="-12"/>
                <w:sz w:val="18"/>
              </w:rPr>
              <w:t> </w:t>
            </w:r>
            <w:r>
              <w:rPr>
                <w:sz w:val="18"/>
              </w:rPr>
              <w:t>Implementar a nivel institucional, la Herramienta DELPHOS, módulo DELPPHOS</w:t>
            </w:r>
          </w:p>
          <w:p>
            <w:pPr>
              <w:pStyle w:val="TableParagraph"/>
              <w:ind w:left="72" w:right="99"/>
              <w:rPr>
                <w:sz w:val="18"/>
              </w:rPr>
            </w:pPr>
            <w:r>
              <w:rPr>
                <w:sz w:val="18"/>
              </w:rPr>
              <w:t>Net, para el seguimiento de los instrumentos</w:t>
            </w:r>
            <w:r>
              <w:rPr>
                <w:spacing w:val="-13"/>
                <w:sz w:val="18"/>
              </w:rPr>
              <w:t> </w:t>
            </w:r>
            <w:r>
              <w:rPr>
                <w:sz w:val="18"/>
              </w:rPr>
              <w:t>de</w:t>
            </w:r>
            <w:r>
              <w:rPr>
                <w:spacing w:val="-12"/>
                <w:sz w:val="18"/>
              </w:rPr>
              <w:t> </w:t>
            </w:r>
            <w:r>
              <w:rPr>
                <w:sz w:val="18"/>
              </w:rPr>
              <w:t>Planificación</w:t>
            </w:r>
            <w:r>
              <w:rPr>
                <w:spacing w:val="-13"/>
                <w:sz w:val="18"/>
              </w:rPr>
              <w:t> </w:t>
            </w:r>
            <w:r>
              <w:rPr>
                <w:sz w:val="18"/>
              </w:rPr>
              <w:t>PEI, POI y POGE</w:t>
            </w:r>
          </w:p>
        </w:tc>
        <w:tc>
          <w:tcPr>
            <w:tcW w:w="1560" w:type="dxa"/>
          </w:tcPr>
          <w:p>
            <w:pPr>
              <w:pStyle w:val="TableParagraph"/>
              <w:ind w:left="67" w:right="158"/>
              <w:rPr>
                <w:sz w:val="18"/>
              </w:rPr>
            </w:pPr>
            <w:r>
              <w:rPr>
                <w:sz w:val="18"/>
              </w:rPr>
              <w:t>Porcentaje de </w:t>
            </w:r>
            <w:r>
              <w:rPr>
                <w:spacing w:val="-2"/>
                <w:sz w:val="18"/>
              </w:rPr>
              <w:t>implementación </w:t>
            </w:r>
            <w:r>
              <w:rPr>
                <w:sz w:val="18"/>
              </w:rPr>
              <w:t>de la </w:t>
            </w:r>
            <w:r>
              <w:rPr>
                <w:spacing w:val="-2"/>
                <w:sz w:val="18"/>
              </w:rPr>
              <w:t>Herramienta DELPHOS,</w:t>
            </w:r>
          </w:p>
          <w:p>
            <w:pPr>
              <w:pStyle w:val="TableParagraph"/>
              <w:spacing w:line="205" w:lineRule="exact"/>
              <w:ind w:left="67"/>
              <w:rPr>
                <w:sz w:val="18"/>
              </w:rPr>
            </w:pPr>
            <w:r>
              <w:rPr>
                <w:spacing w:val="-2"/>
                <w:sz w:val="18"/>
              </w:rPr>
              <w:t>módulo</w:t>
            </w:r>
          </w:p>
          <w:p>
            <w:pPr>
              <w:pStyle w:val="TableParagraph"/>
              <w:spacing w:line="187" w:lineRule="exact" w:before="3"/>
              <w:ind w:left="67"/>
              <w:rPr>
                <w:sz w:val="18"/>
              </w:rPr>
            </w:pPr>
            <w:r>
              <w:rPr>
                <w:sz w:val="18"/>
              </w:rPr>
              <w:t>DELPHOS</w:t>
            </w:r>
            <w:r>
              <w:rPr>
                <w:spacing w:val="-2"/>
                <w:sz w:val="18"/>
              </w:rPr>
              <w:t> </w:t>
            </w:r>
            <w:r>
              <w:rPr>
                <w:spacing w:val="-5"/>
                <w:sz w:val="18"/>
              </w:rPr>
              <w:t>NET</w:t>
            </w:r>
          </w:p>
        </w:tc>
        <w:tc>
          <w:tcPr>
            <w:tcW w:w="1181" w:type="dxa"/>
          </w:tcPr>
          <w:p>
            <w:pPr>
              <w:pStyle w:val="TableParagraph"/>
              <w:rPr>
                <w:b/>
                <w:sz w:val="18"/>
              </w:rPr>
            </w:pPr>
          </w:p>
          <w:p>
            <w:pPr>
              <w:pStyle w:val="TableParagraph"/>
              <w:spacing w:before="204"/>
              <w:rPr>
                <w:b/>
                <w:sz w:val="18"/>
              </w:rPr>
            </w:pPr>
          </w:p>
          <w:p>
            <w:pPr>
              <w:pStyle w:val="TableParagraph"/>
              <w:ind w:left="28" w:right="24"/>
              <w:jc w:val="center"/>
              <w:rPr>
                <w:sz w:val="18"/>
              </w:rPr>
            </w:pPr>
            <w:r>
              <w:rPr>
                <w:spacing w:val="-4"/>
                <w:sz w:val="18"/>
              </w:rPr>
              <w:t>100%</w:t>
            </w:r>
          </w:p>
        </w:tc>
        <w:tc>
          <w:tcPr>
            <w:tcW w:w="1186" w:type="dxa"/>
          </w:tcPr>
          <w:p>
            <w:pPr>
              <w:pStyle w:val="TableParagraph"/>
              <w:rPr>
                <w:b/>
                <w:sz w:val="18"/>
              </w:rPr>
            </w:pPr>
          </w:p>
          <w:p>
            <w:pPr>
              <w:pStyle w:val="TableParagraph"/>
              <w:spacing w:before="204"/>
              <w:rPr>
                <w:b/>
                <w:sz w:val="18"/>
              </w:rPr>
            </w:pPr>
          </w:p>
          <w:p>
            <w:pPr>
              <w:pStyle w:val="TableParagraph"/>
              <w:ind w:left="11"/>
              <w:jc w:val="center"/>
              <w:rPr>
                <w:sz w:val="18"/>
              </w:rPr>
            </w:pPr>
            <w:r>
              <w:rPr>
                <w:sz w:val="18"/>
              </w:rPr>
              <w:t>₡3</w:t>
            </w:r>
            <w:r>
              <w:rPr>
                <w:spacing w:val="1"/>
                <w:sz w:val="18"/>
              </w:rPr>
              <w:t> </w:t>
            </w:r>
            <w:r>
              <w:rPr>
                <w:sz w:val="18"/>
              </w:rPr>
              <w:t>338</w:t>
            </w:r>
            <w:r>
              <w:rPr>
                <w:spacing w:val="-3"/>
                <w:sz w:val="18"/>
              </w:rPr>
              <w:t> </w:t>
            </w:r>
            <w:r>
              <w:rPr>
                <w:spacing w:val="-5"/>
                <w:sz w:val="18"/>
              </w:rPr>
              <w:t>000</w:t>
            </w:r>
          </w:p>
        </w:tc>
        <w:tc>
          <w:tcPr>
            <w:tcW w:w="1200" w:type="dxa"/>
          </w:tcPr>
          <w:p>
            <w:pPr>
              <w:pStyle w:val="TableParagraph"/>
              <w:rPr>
                <w:b/>
                <w:sz w:val="18"/>
              </w:rPr>
            </w:pPr>
          </w:p>
          <w:p>
            <w:pPr>
              <w:pStyle w:val="TableParagraph"/>
              <w:spacing w:before="204"/>
              <w:rPr>
                <w:b/>
                <w:sz w:val="18"/>
              </w:rPr>
            </w:pPr>
          </w:p>
          <w:p>
            <w:pPr>
              <w:pStyle w:val="TableParagraph"/>
              <w:ind w:left="19" w:right="5"/>
              <w:jc w:val="center"/>
              <w:rPr>
                <w:sz w:val="18"/>
              </w:rPr>
            </w:pPr>
            <w:r>
              <w:rPr>
                <w:spacing w:val="-4"/>
                <w:sz w:val="18"/>
              </w:rPr>
              <w:t>100%</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204"/>
              <w:rPr>
                <w:b/>
                <w:sz w:val="18"/>
              </w:rPr>
            </w:pPr>
          </w:p>
          <w:p>
            <w:pPr>
              <w:pStyle w:val="TableParagraph"/>
              <w:ind w:left="28" w:right="13"/>
              <w:jc w:val="center"/>
              <w:rPr>
                <w:sz w:val="18"/>
              </w:rPr>
            </w:pPr>
            <w:r>
              <w:rPr>
                <w:spacing w:val="-4"/>
                <w:sz w:val="18"/>
              </w:rPr>
              <w:t>100%</w:t>
            </w:r>
          </w:p>
        </w:tc>
        <w:tc>
          <w:tcPr>
            <w:tcW w:w="1234" w:type="dxa"/>
          </w:tcPr>
          <w:p>
            <w:pPr>
              <w:pStyle w:val="TableParagraph"/>
              <w:rPr>
                <w:b/>
                <w:sz w:val="18"/>
              </w:rPr>
            </w:pPr>
          </w:p>
          <w:p>
            <w:pPr>
              <w:pStyle w:val="TableParagraph"/>
              <w:spacing w:before="204"/>
              <w:rPr>
                <w:b/>
                <w:sz w:val="18"/>
              </w:rPr>
            </w:pPr>
          </w:p>
          <w:p>
            <w:pPr>
              <w:pStyle w:val="TableParagraph"/>
              <w:ind w:left="18" w:right="55"/>
              <w:jc w:val="center"/>
              <w:rPr>
                <w:sz w:val="18"/>
              </w:rPr>
            </w:pPr>
            <w:r>
              <w:rPr>
                <w:sz w:val="18"/>
              </w:rPr>
              <w:t>₡13</w:t>
            </w:r>
            <w:r>
              <w:rPr>
                <w:spacing w:val="1"/>
                <w:sz w:val="18"/>
              </w:rPr>
              <w:t> </w:t>
            </w:r>
            <w:r>
              <w:rPr>
                <w:sz w:val="18"/>
              </w:rPr>
              <w:t>338</w:t>
            </w:r>
            <w:r>
              <w:rPr>
                <w:spacing w:val="-3"/>
                <w:sz w:val="18"/>
              </w:rPr>
              <w:t> </w:t>
            </w:r>
            <w:r>
              <w:rPr>
                <w:spacing w:val="-5"/>
                <w:sz w:val="18"/>
              </w:rPr>
              <w:t>000</w:t>
            </w:r>
          </w:p>
        </w:tc>
        <w:tc>
          <w:tcPr>
            <w:tcW w:w="1282" w:type="dxa"/>
          </w:tcPr>
          <w:p>
            <w:pPr>
              <w:pStyle w:val="TableParagraph"/>
              <w:rPr>
                <w:b/>
                <w:sz w:val="18"/>
              </w:rPr>
            </w:pPr>
          </w:p>
          <w:p>
            <w:pPr>
              <w:pStyle w:val="TableParagraph"/>
              <w:spacing w:before="204"/>
              <w:rPr>
                <w:b/>
                <w:sz w:val="18"/>
              </w:rPr>
            </w:pPr>
          </w:p>
          <w:p>
            <w:pPr>
              <w:pStyle w:val="TableParagraph"/>
              <w:ind w:left="20"/>
              <w:jc w:val="center"/>
              <w:rPr>
                <w:sz w:val="18"/>
              </w:rPr>
            </w:pPr>
            <w:r>
              <w:rPr>
                <w:spacing w:val="-4"/>
                <w:sz w:val="18"/>
              </w:rPr>
              <w:t>100%</w:t>
            </w:r>
          </w:p>
        </w:tc>
        <w:tc>
          <w:tcPr>
            <w:tcW w:w="1230" w:type="dxa"/>
          </w:tcPr>
          <w:p>
            <w:pPr>
              <w:pStyle w:val="TableParagraph"/>
              <w:rPr>
                <w:b/>
                <w:sz w:val="18"/>
              </w:rPr>
            </w:pPr>
          </w:p>
          <w:p>
            <w:pPr>
              <w:pStyle w:val="TableParagraph"/>
              <w:spacing w:before="204"/>
              <w:rPr>
                <w:b/>
                <w:sz w:val="18"/>
              </w:rPr>
            </w:pPr>
          </w:p>
          <w:p>
            <w:pPr>
              <w:pStyle w:val="TableParagraph"/>
              <w:ind w:left="17" w:right="51"/>
              <w:jc w:val="center"/>
              <w:rPr>
                <w:sz w:val="18"/>
              </w:rPr>
            </w:pPr>
            <w:r>
              <w:rPr>
                <w:sz w:val="18"/>
              </w:rPr>
              <w:t>₡20</w:t>
            </w:r>
            <w:r>
              <w:rPr>
                <w:spacing w:val="1"/>
                <w:sz w:val="18"/>
              </w:rPr>
              <w:t> </w:t>
            </w:r>
            <w:r>
              <w:rPr>
                <w:sz w:val="18"/>
              </w:rPr>
              <w:t>000</w:t>
            </w:r>
            <w:r>
              <w:rPr>
                <w:spacing w:val="-3"/>
                <w:sz w:val="18"/>
              </w:rPr>
              <w:t> </w:t>
            </w:r>
            <w:r>
              <w:rPr>
                <w:spacing w:val="-5"/>
                <w:sz w:val="18"/>
              </w:rPr>
              <w:t>000</w:t>
            </w:r>
          </w:p>
        </w:tc>
      </w:tr>
      <w:tr>
        <w:trPr>
          <w:trHeight w:val="1046" w:hRule="atLeast"/>
        </w:trPr>
        <w:tc>
          <w:tcPr>
            <w:tcW w:w="3092" w:type="dxa"/>
          </w:tcPr>
          <w:p>
            <w:pPr>
              <w:pStyle w:val="TableParagraph"/>
              <w:spacing w:before="109"/>
              <w:ind w:left="72" w:right="99"/>
              <w:rPr>
                <w:sz w:val="18"/>
              </w:rPr>
            </w:pPr>
            <w:r>
              <w:rPr>
                <w:b/>
                <w:sz w:val="18"/>
              </w:rPr>
              <w:t>Actividad PAC 2.82.6: </w:t>
            </w:r>
            <w:r>
              <w:rPr>
                <w:sz w:val="18"/>
              </w:rPr>
              <w:t>Elaborar informes de seguimiento del PEI, POI</w:t>
            </w:r>
            <w:r>
              <w:rPr>
                <w:spacing w:val="-7"/>
                <w:sz w:val="18"/>
              </w:rPr>
              <w:t> </w:t>
            </w:r>
            <w:r>
              <w:rPr>
                <w:sz w:val="18"/>
              </w:rPr>
              <w:t>y</w:t>
            </w:r>
            <w:r>
              <w:rPr>
                <w:spacing w:val="-8"/>
                <w:sz w:val="18"/>
              </w:rPr>
              <w:t> </w:t>
            </w:r>
            <w:r>
              <w:rPr>
                <w:sz w:val="18"/>
              </w:rPr>
              <w:t>POGE</w:t>
            </w:r>
            <w:r>
              <w:rPr>
                <w:spacing w:val="-9"/>
                <w:sz w:val="18"/>
              </w:rPr>
              <w:t> </w:t>
            </w:r>
            <w:r>
              <w:rPr>
                <w:sz w:val="18"/>
              </w:rPr>
              <w:t>usando</w:t>
            </w:r>
            <w:r>
              <w:rPr>
                <w:spacing w:val="-8"/>
                <w:sz w:val="18"/>
              </w:rPr>
              <w:t> </w:t>
            </w:r>
            <w:r>
              <w:rPr>
                <w:sz w:val="18"/>
              </w:rPr>
              <w:t>la</w:t>
            </w:r>
            <w:r>
              <w:rPr>
                <w:spacing w:val="-5"/>
                <w:sz w:val="18"/>
              </w:rPr>
              <w:t> </w:t>
            </w:r>
            <w:r>
              <w:rPr>
                <w:sz w:val="18"/>
              </w:rPr>
              <w:t>herramienta DELPHOS NET</w:t>
            </w:r>
          </w:p>
        </w:tc>
        <w:tc>
          <w:tcPr>
            <w:tcW w:w="1560" w:type="dxa"/>
          </w:tcPr>
          <w:p>
            <w:pPr>
              <w:pStyle w:val="TableParagraph"/>
              <w:spacing w:before="3"/>
              <w:rPr>
                <w:b/>
                <w:sz w:val="18"/>
              </w:rPr>
            </w:pPr>
          </w:p>
          <w:p>
            <w:pPr>
              <w:pStyle w:val="TableParagraph"/>
              <w:spacing w:line="242" w:lineRule="auto"/>
              <w:ind w:left="67" w:right="505"/>
              <w:jc w:val="both"/>
              <w:rPr>
                <w:sz w:val="18"/>
              </w:rPr>
            </w:pPr>
            <w:r>
              <w:rPr>
                <w:sz w:val="18"/>
              </w:rPr>
              <w:t>Cantidad</w:t>
            </w:r>
            <w:r>
              <w:rPr>
                <w:spacing w:val="-13"/>
                <w:sz w:val="18"/>
              </w:rPr>
              <w:t> </w:t>
            </w:r>
            <w:r>
              <w:rPr>
                <w:sz w:val="18"/>
              </w:rPr>
              <w:t>de informes</w:t>
            </w:r>
            <w:r>
              <w:rPr>
                <w:spacing w:val="-3"/>
                <w:sz w:val="18"/>
              </w:rPr>
              <w:t> </w:t>
            </w:r>
            <w:r>
              <w:rPr>
                <w:sz w:val="18"/>
              </w:rPr>
              <w:t>de </w:t>
            </w:r>
            <w:r>
              <w:rPr>
                <w:spacing w:val="-2"/>
                <w:sz w:val="18"/>
              </w:rPr>
              <w:t>seguimiento</w:t>
            </w:r>
          </w:p>
        </w:tc>
        <w:tc>
          <w:tcPr>
            <w:tcW w:w="1181" w:type="dxa"/>
          </w:tcPr>
          <w:p>
            <w:pPr>
              <w:pStyle w:val="TableParagraph"/>
              <w:rPr>
                <w:b/>
                <w:sz w:val="18"/>
              </w:rPr>
            </w:pPr>
          </w:p>
          <w:p>
            <w:pPr>
              <w:pStyle w:val="TableParagraph"/>
              <w:spacing w:before="7"/>
              <w:rPr>
                <w:b/>
                <w:sz w:val="18"/>
              </w:rPr>
            </w:pPr>
          </w:p>
          <w:p>
            <w:pPr>
              <w:pStyle w:val="TableParagraph"/>
              <w:ind w:left="28" w:right="21"/>
              <w:jc w:val="center"/>
              <w:rPr>
                <w:sz w:val="18"/>
              </w:rPr>
            </w:pPr>
            <w:r>
              <w:rPr>
                <w:spacing w:val="-10"/>
                <w:sz w:val="18"/>
              </w:rPr>
              <w:t>2</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7"/>
              <w:rPr>
                <w:b/>
                <w:sz w:val="18"/>
              </w:rPr>
            </w:pPr>
          </w:p>
          <w:p>
            <w:pPr>
              <w:pStyle w:val="TableParagraph"/>
              <w:ind w:left="19" w:right="2"/>
              <w:jc w:val="center"/>
              <w:rPr>
                <w:sz w:val="18"/>
              </w:rPr>
            </w:pPr>
            <w:r>
              <w:rPr>
                <w:spacing w:val="-10"/>
                <w:sz w:val="18"/>
              </w:rPr>
              <w:t>3</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7"/>
              <w:rPr>
                <w:b/>
                <w:sz w:val="18"/>
              </w:rPr>
            </w:pPr>
          </w:p>
          <w:p>
            <w:pPr>
              <w:pStyle w:val="TableParagraph"/>
              <w:ind w:left="28" w:right="11"/>
              <w:jc w:val="center"/>
              <w:rPr>
                <w:sz w:val="18"/>
              </w:rPr>
            </w:pPr>
            <w:r>
              <w:rPr>
                <w:spacing w:val="-10"/>
                <w:sz w:val="18"/>
              </w:rPr>
              <w:t>5</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7"/>
              <w:rPr>
                <w:b/>
                <w:sz w:val="18"/>
              </w:rPr>
            </w:pPr>
          </w:p>
          <w:p>
            <w:pPr>
              <w:pStyle w:val="TableParagraph"/>
              <w:ind w:left="20" w:right="7"/>
              <w:jc w:val="center"/>
              <w:rPr>
                <w:sz w:val="18"/>
              </w:rPr>
            </w:pPr>
            <w:r>
              <w:rPr>
                <w:spacing w:val="-10"/>
                <w:sz w:val="18"/>
              </w:rPr>
              <w:t>6</w:t>
            </w:r>
          </w:p>
        </w:tc>
        <w:tc>
          <w:tcPr>
            <w:tcW w:w="1230" w:type="dxa"/>
          </w:tcPr>
          <w:p>
            <w:pPr>
              <w:pStyle w:val="TableParagraph"/>
              <w:rPr>
                <w:rFonts w:ascii="Times New Roman"/>
                <w:sz w:val="18"/>
              </w:rPr>
            </w:pPr>
          </w:p>
        </w:tc>
      </w:tr>
      <w:tr>
        <w:trPr>
          <w:trHeight w:val="767" w:hRule="atLeast"/>
        </w:trPr>
        <w:tc>
          <w:tcPr>
            <w:tcW w:w="14394" w:type="dxa"/>
            <w:gridSpan w:val="10"/>
            <w:shd w:val="clear" w:color="auto" w:fill="EFF8F9"/>
          </w:tcPr>
          <w:p>
            <w:pPr>
              <w:pStyle w:val="TableParagraph"/>
              <w:spacing w:before="75"/>
              <w:rPr>
                <w:b/>
                <w:sz w:val="18"/>
              </w:rPr>
            </w:pPr>
          </w:p>
          <w:p>
            <w:pPr>
              <w:pStyle w:val="TableParagraph"/>
              <w:ind w:left="72"/>
              <w:rPr>
                <w:b/>
                <w:sz w:val="18"/>
              </w:rPr>
            </w:pPr>
            <w:r>
              <w:rPr>
                <w:b/>
                <w:sz w:val="18"/>
              </w:rPr>
              <w:t>Producto</w:t>
            </w:r>
            <w:r>
              <w:rPr>
                <w:b/>
                <w:spacing w:val="-8"/>
                <w:sz w:val="18"/>
              </w:rPr>
              <w:t> </w:t>
            </w:r>
            <w:r>
              <w:rPr>
                <w:b/>
                <w:sz w:val="18"/>
              </w:rPr>
              <w:t>PAC</w:t>
            </w:r>
            <w:r>
              <w:rPr>
                <w:b/>
                <w:spacing w:val="-9"/>
                <w:sz w:val="18"/>
              </w:rPr>
              <w:t> </w:t>
            </w:r>
            <w:r>
              <w:rPr>
                <w:b/>
                <w:sz w:val="18"/>
              </w:rPr>
              <w:t>2.83:</w:t>
            </w:r>
            <w:r>
              <w:rPr>
                <w:b/>
                <w:spacing w:val="-5"/>
                <w:sz w:val="18"/>
              </w:rPr>
              <w:t> </w:t>
            </w:r>
            <w:r>
              <w:rPr>
                <w:b/>
                <w:sz w:val="18"/>
              </w:rPr>
              <w:t>Asesoramiento</w:t>
            </w:r>
            <w:r>
              <w:rPr>
                <w:b/>
                <w:spacing w:val="-4"/>
                <w:sz w:val="18"/>
              </w:rPr>
              <w:t> </w:t>
            </w:r>
            <w:r>
              <w:rPr>
                <w:b/>
                <w:sz w:val="18"/>
              </w:rPr>
              <w:t>a</w:t>
            </w:r>
            <w:r>
              <w:rPr>
                <w:b/>
                <w:spacing w:val="-11"/>
                <w:sz w:val="18"/>
              </w:rPr>
              <w:t> </w:t>
            </w:r>
            <w:r>
              <w:rPr>
                <w:b/>
                <w:sz w:val="18"/>
              </w:rPr>
              <w:t>Instituciones</w:t>
            </w:r>
            <w:r>
              <w:rPr>
                <w:b/>
                <w:spacing w:val="-4"/>
                <w:sz w:val="18"/>
              </w:rPr>
              <w:t> </w:t>
            </w:r>
            <w:r>
              <w:rPr>
                <w:b/>
                <w:sz w:val="18"/>
              </w:rPr>
              <w:t>del</w:t>
            </w:r>
            <w:r>
              <w:rPr>
                <w:b/>
                <w:spacing w:val="-5"/>
                <w:sz w:val="18"/>
              </w:rPr>
              <w:t> </w:t>
            </w:r>
            <w:r>
              <w:rPr>
                <w:b/>
                <w:sz w:val="18"/>
              </w:rPr>
              <w:t>Sector</w:t>
            </w:r>
            <w:r>
              <w:rPr>
                <w:b/>
                <w:spacing w:val="-6"/>
                <w:sz w:val="18"/>
              </w:rPr>
              <w:t> </w:t>
            </w:r>
            <w:r>
              <w:rPr>
                <w:b/>
                <w:sz w:val="18"/>
              </w:rPr>
              <w:t>Bienestar,</w:t>
            </w:r>
            <w:r>
              <w:rPr>
                <w:b/>
                <w:spacing w:val="-5"/>
                <w:sz w:val="18"/>
              </w:rPr>
              <w:t> </w:t>
            </w:r>
            <w:r>
              <w:rPr>
                <w:b/>
                <w:sz w:val="18"/>
              </w:rPr>
              <w:t>Trabajo</w:t>
            </w:r>
            <w:r>
              <w:rPr>
                <w:b/>
                <w:spacing w:val="-4"/>
                <w:sz w:val="18"/>
              </w:rPr>
              <w:t> </w:t>
            </w:r>
            <w:r>
              <w:rPr>
                <w:b/>
                <w:sz w:val="18"/>
              </w:rPr>
              <w:t>e</w:t>
            </w:r>
            <w:r>
              <w:rPr>
                <w:b/>
                <w:spacing w:val="-11"/>
                <w:sz w:val="18"/>
              </w:rPr>
              <w:t> </w:t>
            </w:r>
            <w:r>
              <w:rPr>
                <w:b/>
                <w:sz w:val="18"/>
              </w:rPr>
              <w:t>Inclusión</w:t>
            </w:r>
            <w:r>
              <w:rPr>
                <w:b/>
                <w:spacing w:val="-4"/>
                <w:sz w:val="18"/>
              </w:rPr>
              <w:t> </w:t>
            </w:r>
            <w:r>
              <w:rPr>
                <w:b/>
                <w:sz w:val="18"/>
              </w:rPr>
              <w:t>Social,</w:t>
            </w:r>
            <w:r>
              <w:rPr>
                <w:b/>
                <w:spacing w:val="-5"/>
                <w:sz w:val="18"/>
              </w:rPr>
              <w:t> </w:t>
            </w:r>
            <w:r>
              <w:rPr>
                <w:b/>
                <w:sz w:val="18"/>
              </w:rPr>
              <w:t>incluyendo</w:t>
            </w:r>
            <w:r>
              <w:rPr>
                <w:b/>
                <w:spacing w:val="-8"/>
                <w:sz w:val="18"/>
              </w:rPr>
              <w:t> </w:t>
            </w:r>
            <w:r>
              <w:rPr>
                <w:b/>
                <w:sz w:val="18"/>
              </w:rPr>
              <w:t>al</w:t>
            </w:r>
            <w:r>
              <w:rPr>
                <w:b/>
                <w:spacing w:val="-5"/>
                <w:sz w:val="18"/>
              </w:rPr>
              <w:t> </w:t>
            </w:r>
            <w:r>
              <w:rPr>
                <w:b/>
                <w:sz w:val="18"/>
              </w:rPr>
              <w:t>IMAS</w:t>
            </w:r>
            <w:r>
              <w:rPr>
                <w:b/>
                <w:spacing w:val="-8"/>
                <w:sz w:val="18"/>
              </w:rPr>
              <w:t> </w:t>
            </w:r>
            <w:r>
              <w:rPr>
                <w:b/>
                <w:spacing w:val="-2"/>
                <w:sz w:val="18"/>
              </w:rPr>
              <w:t>(100%)</w:t>
            </w:r>
          </w:p>
        </w:tc>
      </w:tr>
      <w:tr>
        <w:trPr>
          <w:trHeight w:val="1036" w:hRule="atLeast"/>
        </w:trPr>
        <w:tc>
          <w:tcPr>
            <w:tcW w:w="3092" w:type="dxa"/>
          </w:tcPr>
          <w:p>
            <w:pPr>
              <w:pStyle w:val="TableParagraph"/>
              <w:spacing w:before="205"/>
              <w:ind w:left="72" w:right="99"/>
              <w:rPr>
                <w:sz w:val="18"/>
              </w:rPr>
            </w:pPr>
            <w:r>
              <w:rPr>
                <w:b/>
                <w:sz w:val="18"/>
              </w:rPr>
              <w:t>Actividad</w:t>
            </w:r>
            <w:r>
              <w:rPr>
                <w:b/>
                <w:spacing w:val="-12"/>
                <w:sz w:val="18"/>
              </w:rPr>
              <w:t> </w:t>
            </w:r>
            <w:r>
              <w:rPr>
                <w:b/>
                <w:sz w:val="18"/>
              </w:rPr>
              <w:t>PAC</w:t>
            </w:r>
            <w:r>
              <w:rPr>
                <w:b/>
                <w:spacing w:val="-8"/>
                <w:sz w:val="18"/>
              </w:rPr>
              <w:t> </w:t>
            </w:r>
            <w:r>
              <w:rPr>
                <w:b/>
                <w:sz w:val="18"/>
              </w:rPr>
              <w:t>2.83.1:</w:t>
            </w:r>
            <w:r>
              <w:rPr>
                <w:b/>
                <w:spacing w:val="-3"/>
                <w:sz w:val="18"/>
              </w:rPr>
              <w:t> </w:t>
            </w:r>
            <w:r>
              <w:rPr>
                <w:sz w:val="18"/>
              </w:rPr>
              <w:t>Emitir</w:t>
            </w:r>
            <w:r>
              <w:rPr>
                <w:spacing w:val="-9"/>
                <w:sz w:val="18"/>
              </w:rPr>
              <w:t> </w:t>
            </w:r>
            <w:r>
              <w:rPr>
                <w:sz w:val="18"/>
              </w:rPr>
              <w:t>de criterio técnico de la normativa remitida a PI</w:t>
            </w:r>
          </w:p>
        </w:tc>
        <w:tc>
          <w:tcPr>
            <w:tcW w:w="1560" w:type="dxa"/>
          </w:tcPr>
          <w:p>
            <w:pPr>
              <w:pStyle w:val="TableParagraph"/>
              <w:ind w:left="67" w:right="75"/>
              <w:rPr>
                <w:sz w:val="18"/>
              </w:rPr>
            </w:pPr>
            <w:r>
              <w:rPr>
                <w:sz w:val="18"/>
              </w:rPr>
              <w:t>Porcentaje de </w:t>
            </w:r>
            <w:r>
              <w:rPr>
                <w:spacing w:val="-2"/>
                <w:sz w:val="18"/>
              </w:rPr>
              <w:t>normativa </w:t>
            </w:r>
            <w:r>
              <w:rPr>
                <w:sz w:val="18"/>
              </w:rPr>
              <w:t>remitida</w:t>
            </w:r>
            <w:r>
              <w:rPr>
                <w:spacing w:val="-10"/>
                <w:sz w:val="18"/>
              </w:rPr>
              <w:t> </w:t>
            </w:r>
            <w:r>
              <w:rPr>
                <w:sz w:val="18"/>
              </w:rPr>
              <w:t>a</w:t>
            </w:r>
            <w:r>
              <w:rPr>
                <w:spacing w:val="-13"/>
                <w:sz w:val="18"/>
              </w:rPr>
              <w:t> </w:t>
            </w:r>
            <w:r>
              <w:rPr>
                <w:sz w:val="18"/>
              </w:rPr>
              <w:t>PI,</w:t>
            </w:r>
            <w:r>
              <w:rPr>
                <w:spacing w:val="-11"/>
                <w:sz w:val="18"/>
              </w:rPr>
              <w:t> </w:t>
            </w:r>
            <w:r>
              <w:rPr>
                <w:sz w:val="18"/>
              </w:rPr>
              <w:t>con criterio técnico</w:t>
            </w:r>
          </w:p>
          <w:p>
            <w:pPr>
              <w:pStyle w:val="TableParagraph"/>
              <w:spacing w:line="187" w:lineRule="exact" w:before="2"/>
              <w:ind w:left="67"/>
              <w:rPr>
                <w:sz w:val="18"/>
              </w:rPr>
            </w:pPr>
            <w:r>
              <w:rPr>
                <w:spacing w:val="-2"/>
                <w:sz w:val="18"/>
              </w:rPr>
              <w:t>emitido</w:t>
            </w:r>
          </w:p>
        </w:tc>
        <w:tc>
          <w:tcPr>
            <w:tcW w:w="1181" w:type="dxa"/>
          </w:tcPr>
          <w:p>
            <w:pPr>
              <w:pStyle w:val="TableParagraph"/>
              <w:spacing w:before="205"/>
              <w:rPr>
                <w:b/>
                <w:sz w:val="18"/>
              </w:rPr>
            </w:pPr>
          </w:p>
          <w:p>
            <w:pPr>
              <w:pStyle w:val="TableParagraph"/>
              <w:ind w:left="28" w:right="20"/>
              <w:jc w:val="center"/>
              <w:rPr>
                <w:sz w:val="18"/>
              </w:rPr>
            </w:pPr>
            <w:r>
              <w:rPr>
                <w:spacing w:val="-5"/>
                <w:sz w:val="18"/>
              </w:rPr>
              <w:t>25%</w:t>
            </w:r>
          </w:p>
        </w:tc>
        <w:tc>
          <w:tcPr>
            <w:tcW w:w="1186" w:type="dxa"/>
          </w:tcPr>
          <w:p>
            <w:pPr>
              <w:pStyle w:val="TableParagraph"/>
              <w:rPr>
                <w:rFonts w:ascii="Times New Roman"/>
                <w:sz w:val="18"/>
              </w:rPr>
            </w:pPr>
          </w:p>
        </w:tc>
        <w:tc>
          <w:tcPr>
            <w:tcW w:w="1200" w:type="dxa"/>
          </w:tcPr>
          <w:p>
            <w:pPr>
              <w:pStyle w:val="TableParagraph"/>
              <w:spacing w:before="205"/>
              <w:rPr>
                <w:b/>
                <w:sz w:val="18"/>
              </w:rPr>
            </w:pPr>
          </w:p>
          <w:p>
            <w:pPr>
              <w:pStyle w:val="TableParagraph"/>
              <w:ind w:left="19"/>
              <w:jc w:val="center"/>
              <w:rPr>
                <w:sz w:val="18"/>
              </w:rPr>
            </w:pPr>
            <w:r>
              <w:rPr>
                <w:spacing w:val="-5"/>
                <w:sz w:val="18"/>
              </w:rPr>
              <w:t>50%</w:t>
            </w:r>
          </w:p>
        </w:tc>
        <w:tc>
          <w:tcPr>
            <w:tcW w:w="1248" w:type="dxa"/>
          </w:tcPr>
          <w:p>
            <w:pPr>
              <w:pStyle w:val="TableParagraph"/>
              <w:rPr>
                <w:rFonts w:ascii="Times New Roman"/>
                <w:sz w:val="18"/>
              </w:rPr>
            </w:pPr>
          </w:p>
        </w:tc>
        <w:tc>
          <w:tcPr>
            <w:tcW w:w="1181" w:type="dxa"/>
          </w:tcPr>
          <w:p>
            <w:pPr>
              <w:pStyle w:val="TableParagraph"/>
              <w:spacing w:before="205"/>
              <w:rPr>
                <w:b/>
                <w:sz w:val="18"/>
              </w:rPr>
            </w:pPr>
          </w:p>
          <w:p>
            <w:pPr>
              <w:pStyle w:val="TableParagraph"/>
              <w:ind w:left="28" w:right="8"/>
              <w:jc w:val="center"/>
              <w:rPr>
                <w:sz w:val="18"/>
              </w:rPr>
            </w:pPr>
            <w:r>
              <w:rPr>
                <w:spacing w:val="-5"/>
                <w:sz w:val="18"/>
              </w:rPr>
              <w:t>75%</w:t>
            </w:r>
          </w:p>
        </w:tc>
        <w:tc>
          <w:tcPr>
            <w:tcW w:w="1234" w:type="dxa"/>
          </w:tcPr>
          <w:p>
            <w:pPr>
              <w:pStyle w:val="TableParagraph"/>
              <w:rPr>
                <w:rFonts w:ascii="Times New Roman"/>
                <w:sz w:val="18"/>
              </w:rPr>
            </w:pPr>
          </w:p>
        </w:tc>
        <w:tc>
          <w:tcPr>
            <w:tcW w:w="1282" w:type="dxa"/>
          </w:tcPr>
          <w:p>
            <w:pPr>
              <w:pStyle w:val="TableParagraph"/>
              <w:spacing w:before="205"/>
              <w:rPr>
                <w:b/>
                <w:sz w:val="18"/>
              </w:rPr>
            </w:pPr>
          </w:p>
          <w:p>
            <w:pPr>
              <w:pStyle w:val="TableParagraph"/>
              <w:ind w:left="20"/>
              <w:jc w:val="center"/>
              <w:rPr>
                <w:sz w:val="18"/>
              </w:rPr>
            </w:pPr>
            <w:r>
              <w:rPr>
                <w:spacing w:val="-4"/>
                <w:sz w:val="18"/>
              </w:rPr>
              <w:t>100%</w:t>
            </w:r>
          </w:p>
        </w:tc>
        <w:tc>
          <w:tcPr>
            <w:tcW w:w="1230" w:type="dxa"/>
          </w:tcPr>
          <w:p>
            <w:pPr>
              <w:pStyle w:val="TableParagraph"/>
              <w:rPr>
                <w:rFonts w:ascii="Times New Roman"/>
                <w:sz w:val="18"/>
              </w:rPr>
            </w:pPr>
          </w:p>
        </w:tc>
      </w:tr>
      <w:tr>
        <w:trPr>
          <w:trHeight w:val="869" w:hRule="atLeast"/>
        </w:trPr>
        <w:tc>
          <w:tcPr>
            <w:tcW w:w="3092" w:type="dxa"/>
          </w:tcPr>
          <w:p>
            <w:pPr>
              <w:pStyle w:val="TableParagraph"/>
              <w:spacing w:before="18"/>
              <w:ind w:left="72" w:right="99"/>
              <w:rPr>
                <w:sz w:val="18"/>
              </w:rPr>
            </w:pPr>
            <w:r>
              <w:rPr>
                <w:b/>
                <w:sz w:val="18"/>
              </w:rPr>
              <w:t>Actividad PAC 2.83.2: </w:t>
            </w:r>
            <w:r>
              <w:rPr>
                <w:sz w:val="18"/>
              </w:rPr>
              <w:t>Emitir criterios sobre presupuestos extraordinarios</w:t>
            </w:r>
            <w:r>
              <w:rPr>
                <w:spacing w:val="-15"/>
                <w:sz w:val="18"/>
              </w:rPr>
              <w:t> </w:t>
            </w:r>
            <w:r>
              <w:rPr>
                <w:sz w:val="18"/>
              </w:rPr>
              <w:t>y</w:t>
            </w:r>
            <w:r>
              <w:rPr>
                <w:spacing w:val="-12"/>
                <w:sz w:val="18"/>
              </w:rPr>
              <w:t> </w:t>
            </w:r>
            <w:r>
              <w:rPr>
                <w:sz w:val="18"/>
              </w:rPr>
              <w:t>modificaciones </w:t>
            </w:r>
            <w:r>
              <w:rPr>
                <w:spacing w:val="-2"/>
                <w:sz w:val="18"/>
              </w:rPr>
              <w:t>presupuestarias</w:t>
            </w:r>
          </w:p>
        </w:tc>
        <w:tc>
          <w:tcPr>
            <w:tcW w:w="1560" w:type="dxa"/>
          </w:tcPr>
          <w:p>
            <w:pPr>
              <w:pStyle w:val="TableParagraph"/>
              <w:spacing w:before="123"/>
              <w:ind w:left="67" w:right="365"/>
              <w:rPr>
                <w:sz w:val="18"/>
              </w:rPr>
            </w:pPr>
            <w:r>
              <w:rPr>
                <w:sz w:val="18"/>
              </w:rPr>
              <w:t>Porcentaje</w:t>
            </w:r>
            <w:r>
              <w:rPr>
                <w:spacing w:val="-13"/>
                <w:sz w:val="18"/>
              </w:rPr>
              <w:t> </w:t>
            </w:r>
            <w:r>
              <w:rPr>
                <w:sz w:val="18"/>
              </w:rPr>
              <w:t>de </w:t>
            </w:r>
            <w:r>
              <w:rPr>
                <w:spacing w:val="-2"/>
                <w:sz w:val="18"/>
              </w:rPr>
              <w:t>criterios elaborados</w:t>
            </w:r>
          </w:p>
        </w:tc>
        <w:tc>
          <w:tcPr>
            <w:tcW w:w="1181" w:type="dxa"/>
          </w:tcPr>
          <w:p>
            <w:pPr>
              <w:pStyle w:val="TableParagraph"/>
              <w:spacing w:before="123"/>
              <w:rPr>
                <w:b/>
                <w:sz w:val="18"/>
              </w:rPr>
            </w:pPr>
          </w:p>
          <w:p>
            <w:pPr>
              <w:pStyle w:val="TableParagraph"/>
              <w:ind w:left="28" w:right="24"/>
              <w:jc w:val="center"/>
              <w:rPr>
                <w:sz w:val="18"/>
              </w:rPr>
            </w:pPr>
            <w:r>
              <w:rPr>
                <w:spacing w:val="-4"/>
                <w:sz w:val="18"/>
              </w:rPr>
              <w:t>100%</w:t>
            </w:r>
          </w:p>
        </w:tc>
        <w:tc>
          <w:tcPr>
            <w:tcW w:w="1186" w:type="dxa"/>
          </w:tcPr>
          <w:p>
            <w:pPr>
              <w:pStyle w:val="TableParagraph"/>
              <w:rPr>
                <w:rFonts w:ascii="Times New Roman"/>
                <w:sz w:val="18"/>
              </w:rPr>
            </w:pPr>
          </w:p>
        </w:tc>
        <w:tc>
          <w:tcPr>
            <w:tcW w:w="1200" w:type="dxa"/>
          </w:tcPr>
          <w:p>
            <w:pPr>
              <w:pStyle w:val="TableParagraph"/>
              <w:spacing w:before="123"/>
              <w:rPr>
                <w:b/>
                <w:sz w:val="18"/>
              </w:rPr>
            </w:pPr>
          </w:p>
          <w:p>
            <w:pPr>
              <w:pStyle w:val="TableParagraph"/>
              <w:ind w:left="19" w:right="5"/>
              <w:jc w:val="center"/>
              <w:rPr>
                <w:sz w:val="18"/>
              </w:rPr>
            </w:pPr>
            <w:r>
              <w:rPr>
                <w:spacing w:val="-4"/>
                <w:sz w:val="18"/>
              </w:rPr>
              <w:t>100%</w:t>
            </w:r>
          </w:p>
        </w:tc>
        <w:tc>
          <w:tcPr>
            <w:tcW w:w="1248" w:type="dxa"/>
          </w:tcPr>
          <w:p>
            <w:pPr>
              <w:pStyle w:val="TableParagraph"/>
              <w:rPr>
                <w:rFonts w:ascii="Times New Roman"/>
                <w:sz w:val="18"/>
              </w:rPr>
            </w:pPr>
          </w:p>
        </w:tc>
        <w:tc>
          <w:tcPr>
            <w:tcW w:w="1181" w:type="dxa"/>
          </w:tcPr>
          <w:p>
            <w:pPr>
              <w:pStyle w:val="TableParagraph"/>
              <w:spacing w:before="123"/>
              <w:rPr>
                <w:b/>
                <w:sz w:val="18"/>
              </w:rPr>
            </w:pPr>
          </w:p>
          <w:p>
            <w:pPr>
              <w:pStyle w:val="TableParagraph"/>
              <w:ind w:left="28" w:right="13"/>
              <w:jc w:val="center"/>
              <w:rPr>
                <w:sz w:val="18"/>
              </w:rPr>
            </w:pPr>
            <w:r>
              <w:rPr>
                <w:spacing w:val="-4"/>
                <w:sz w:val="18"/>
              </w:rPr>
              <w:t>100%</w:t>
            </w:r>
          </w:p>
        </w:tc>
        <w:tc>
          <w:tcPr>
            <w:tcW w:w="1234" w:type="dxa"/>
          </w:tcPr>
          <w:p>
            <w:pPr>
              <w:pStyle w:val="TableParagraph"/>
              <w:rPr>
                <w:rFonts w:ascii="Times New Roman"/>
                <w:sz w:val="18"/>
              </w:rPr>
            </w:pPr>
          </w:p>
        </w:tc>
        <w:tc>
          <w:tcPr>
            <w:tcW w:w="1282" w:type="dxa"/>
          </w:tcPr>
          <w:p>
            <w:pPr>
              <w:pStyle w:val="TableParagraph"/>
              <w:spacing w:before="123"/>
              <w:rPr>
                <w:b/>
                <w:sz w:val="18"/>
              </w:rPr>
            </w:pPr>
          </w:p>
          <w:p>
            <w:pPr>
              <w:pStyle w:val="TableParagraph"/>
              <w:ind w:left="20"/>
              <w:jc w:val="center"/>
              <w:rPr>
                <w:sz w:val="18"/>
              </w:rPr>
            </w:pPr>
            <w:r>
              <w:rPr>
                <w:spacing w:val="-4"/>
                <w:sz w:val="18"/>
              </w:rPr>
              <w:t>100%</w:t>
            </w:r>
          </w:p>
        </w:tc>
        <w:tc>
          <w:tcPr>
            <w:tcW w:w="1230" w:type="dxa"/>
          </w:tcPr>
          <w:p>
            <w:pPr>
              <w:pStyle w:val="TableParagraph"/>
              <w:rPr>
                <w:rFonts w:ascii="Times New Roman"/>
                <w:sz w:val="18"/>
              </w:rPr>
            </w:pPr>
          </w:p>
        </w:tc>
      </w:tr>
      <w:tr>
        <w:trPr>
          <w:trHeight w:val="888" w:hRule="atLeast"/>
        </w:trPr>
        <w:tc>
          <w:tcPr>
            <w:tcW w:w="3092" w:type="dxa"/>
          </w:tcPr>
          <w:p>
            <w:pPr>
              <w:pStyle w:val="TableParagraph"/>
              <w:spacing w:before="27"/>
              <w:ind w:left="72" w:right="99"/>
              <w:rPr>
                <w:sz w:val="18"/>
              </w:rPr>
            </w:pPr>
            <w:r>
              <w:rPr>
                <w:b/>
                <w:sz w:val="18"/>
              </w:rPr>
              <w:t>Actividad PAC 2.83.3: </w:t>
            </w:r>
            <w:r>
              <w:rPr>
                <w:sz w:val="18"/>
              </w:rPr>
              <w:t>Emitir criterios</w:t>
            </w:r>
            <w:r>
              <w:rPr>
                <w:spacing w:val="-9"/>
                <w:sz w:val="18"/>
              </w:rPr>
              <w:t> </w:t>
            </w:r>
            <w:r>
              <w:rPr>
                <w:sz w:val="18"/>
              </w:rPr>
              <w:t>técnicos</w:t>
            </w:r>
            <w:r>
              <w:rPr>
                <w:spacing w:val="-9"/>
                <w:sz w:val="18"/>
              </w:rPr>
              <w:t> </w:t>
            </w:r>
            <w:r>
              <w:rPr>
                <w:sz w:val="18"/>
              </w:rPr>
              <w:t>para</w:t>
            </w:r>
            <w:r>
              <w:rPr>
                <w:spacing w:val="-9"/>
                <w:sz w:val="18"/>
              </w:rPr>
              <w:t> </w:t>
            </w:r>
            <w:r>
              <w:rPr>
                <w:sz w:val="18"/>
              </w:rPr>
              <w:t>avales</w:t>
            </w:r>
            <w:r>
              <w:rPr>
                <w:spacing w:val="-5"/>
                <w:sz w:val="18"/>
              </w:rPr>
              <w:t> </w:t>
            </w:r>
            <w:r>
              <w:rPr>
                <w:sz w:val="18"/>
              </w:rPr>
              <w:t>de reorganización del SBTIS, incluyendo al IMAS</w:t>
            </w:r>
          </w:p>
        </w:tc>
        <w:tc>
          <w:tcPr>
            <w:tcW w:w="1560" w:type="dxa"/>
          </w:tcPr>
          <w:p>
            <w:pPr>
              <w:pStyle w:val="TableParagraph"/>
              <w:spacing w:before="27"/>
              <w:rPr>
                <w:b/>
                <w:sz w:val="18"/>
              </w:rPr>
            </w:pPr>
          </w:p>
          <w:p>
            <w:pPr>
              <w:pStyle w:val="TableParagraph"/>
              <w:ind w:left="67" w:right="125"/>
              <w:rPr>
                <w:sz w:val="18"/>
              </w:rPr>
            </w:pPr>
            <w:r>
              <w:rPr>
                <w:sz w:val="18"/>
              </w:rPr>
              <w:t>Porcentaje de criterios</w:t>
            </w:r>
            <w:r>
              <w:rPr>
                <w:spacing w:val="-13"/>
                <w:sz w:val="18"/>
              </w:rPr>
              <w:t> </w:t>
            </w:r>
            <w:r>
              <w:rPr>
                <w:sz w:val="18"/>
              </w:rPr>
              <w:t>emitidos</w:t>
            </w:r>
          </w:p>
        </w:tc>
        <w:tc>
          <w:tcPr>
            <w:tcW w:w="1181" w:type="dxa"/>
          </w:tcPr>
          <w:p>
            <w:pPr>
              <w:pStyle w:val="TableParagraph"/>
              <w:spacing w:before="132"/>
              <w:rPr>
                <w:b/>
                <w:sz w:val="18"/>
              </w:rPr>
            </w:pPr>
          </w:p>
          <w:p>
            <w:pPr>
              <w:pStyle w:val="TableParagraph"/>
              <w:ind w:left="28" w:right="20"/>
              <w:jc w:val="center"/>
              <w:rPr>
                <w:sz w:val="18"/>
              </w:rPr>
            </w:pPr>
            <w:r>
              <w:rPr>
                <w:spacing w:val="-5"/>
                <w:sz w:val="18"/>
              </w:rPr>
              <w:t>25%</w:t>
            </w:r>
          </w:p>
        </w:tc>
        <w:tc>
          <w:tcPr>
            <w:tcW w:w="1186" w:type="dxa"/>
          </w:tcPr>
          <w:p>
            <w:pPr>
              <w:pStyle w:val="TableParagraph"/>
              <w:rPr>
                <w:rFonts w:ascii="Times New Roman"/>
                <w:sz w:val="18"/>
              </w:rPr>
            </w:pPr>
          </w:p>
        </w:tc>
        <w:tc>
          <w:tcPr>
            <w:tcW w:w="1200" w:type="dxa"/>
          </w:tcPr>
          <w:p>
            <w:pPr>
              <w:pStyle w:val="TableParagraph"/>
              <w:spacing w:before="132"/>
              <w:rPr>
                <w:b/>
                <w:sz w:val="18"/>
              </w:rPr>
            </w:pPr>
          </w:p>
          <w:p>
            <w:pPr>
              <w:pStyle w:val="TableParagraph"/>
              <w:ind w:left="19"/>
              <w:jc w:val="center"/>
              <w:rPr>
                <w:sz w:val="18"/>
              </w:rPr>
            </w:pPr>
            <w:r>
              <w:rPr>
                <w:spacing w:val="-5"/>
                <w:sz w:val="18"/>
              </w:rPr>
              <w:t>50%</w:t>
            </w:r>
          </w:p>
        </w:tc>
        <w:tc>
          <w:tcPr>
            <w:tcW w:w="1248" w:type="dxa"/>
          </w:tcPr>
          <w:p>
            <w:pPr>
              <w:pStyle w:val="TableParagraph"/>
              <w:rPr>
                <w:rFonts w:ascii="Times New Roman"/>
                <w:sz w:val="18"/>
              </w:rPr>
            </w:pPr>
          </w:p>
        </w:tc>
        <w:tc>
          <w:tcPr>
            <w:tcW w:w="1181" w:type="dxa"/>
          </w:tcPr>
          <w:p>
            <w:pPr>
              <w:pStyle w:val="TableParagraph"/>
              <w:spacing w:before="132"/>
              <w:rPr>
                <w:b/>
                <w:sz w:val="18"/>
              </w:rPr>
            </w:pPr>
          </w:p>
          <w:p>
            <w:pPr>
              <w:pStyle w:val="TableParagraph"/>
              <w:ind w:left="28" w:right="8"/>
              <w:jc w:val="center"/>
              <w:rPr>
                <w:sz w:val="18"/>
              </w:rPr>
            </w:pPr>
            <w:r>
              <w:rPr>
                <w:spacing w:val="-5"/>
                <w:sz w:val="18"/>
              </w:rPr>
              <w:t>75%</w:t>
            </w:r>
          </w:p>
        </w:tc>
        <w:tc>
          <w:tcPr>
            <w:tcW w:w="1234" w:type="dxa"/>
          </w:tcPr>
          <w:p>
            <w:pPr>
              <w:pStyle w:val="TableParagraph"/>
              <w:rPr>
                <w:rFonts w:ascii="Times New Roman"/>
                <w:sz w:val="18"/>
              </w:rPr>
            </w:pPr>
          </w:p>
        </w:tc>
        <w:tc>
          <w:tcPr>
            <w:tcW w:w="1282" w:type="dxa"/>
          </w:tcPr>
          <w:p>
            <w:pPr>
              <w:pStyle w:val="TableParagraph"/>
              <w:spacing w:before="132"/>
              <w:rPr>
                <w:b/>
                <w:sz w:val="18"/>
              </w:rPr>
            </w:pPr>
          </w:p>
          <w:p>
            <w:pPr>
              <w:pStyle w:val="TableParagraph"/>
              <w:ind w:left="20"/>
              <w:jc w:val="center"/>
              <w:rPr>
                <w:sz w:val="18"/>
              </w:rPr>
            </w:pPr>
            <w:r>
              <w:rPr>
                <w:spacing w:val="-4"/>
                <w:sz w:val="18"/>
              </w:rPr>
              <w:t>100%</w:t>
            </w:r>
          </w:p>
        </w:tc>
        <w:tc>
          <w:tcPr>
            <w:tcW w:w="1230" w:type="dxa"/>
          </w:tcPr>
          <w:p>
            <w:pPr>
              <w:pStyle w:val="TableParagraph"/>
              <w:rPr>
                <w:rFonts w:ascii="Times New Roman"/>
                <w:sz w:val="18"/>
              </w:rPr>
            </w:pPr>
          </w:p>
        </w:tc>
      </w:tr>
    </w:tbl>
    <w:p>
      <w:pPr>
        <w:pStyle w:val="TableParagraph"/>
        <w:spacing w:after="0"/>
        <w:rPr>
          <w:rFonts w:ascii="Times New Roman"/>
          <w:sz w:val="18"/>
        </w:rPr>
        <w:sectPr>
          <w:footerReference w:type="default" r:id="rId89"/>
          <w:pgSz w:w="15840" w:h="12240" w:orient="landscape"/>
          <w:pgMar w:header="0" w:footer="1806" w:top="700" w:bottom="2766" w:left="360" w:right="360"/>
          <w:pgNumType w:start="334"/>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2309" w:hRule="atLeast"/>
        </w:trPr>
        <w:tc>
          <w:tcPr>
            <w:tcW w:w="3092" w:type="dxa"/>
          </w:tcPr>
          <w:p>
            <w:pPr>
              <w:pStyle w:val="TableParagraph"/>
              <w:spacing w:before="119"/>
              <w:ind w:left="72" w:right="99"/>
              <w:rPr>
                <w:sz w:val="18"/>
              </w:rPr>
            </w:pPr>
            <w:r>
              <w:rPr>
                <w:b/>
                <w:sz w:val="18"/>
              </w:rPr>
              <w:t>Actividad</w:t>
            </w:r>
            <w:r>
              <w:rPr>
                <w:b/>
                <w:spacing w:val="-6"/>
                <w:sz w:val="18"/>
              </w:rPr>
              <w:t> </w:t>
            </w:r>
            <w:r>
              <w:rPr>
                <w:b/>
                <w:sz w:val="18"/>
              </w:rPr>
              <w:t>PAC</w:t>
            </w:r>
            <w:r>
              <w:rPr>
                <w:b/>
                <w:spacing w:val="-2"/>
                <w:sz w:val="18"/>
              </w:rPr>
              <w:t> </w:t>
            </w:r>
            <w:r>
              <w:rPr>
                <w:b/>
                <w:sz w:val="18"/>
              </w:rPr>
              <w:t>2.83.4: </w:t>
            </w:r>
            <w:r>
              <w:rPr>
                <w:sz w:val="18"/>
              </w:rPr>
              <w:t>Emisión</w:t>
            </w:r>
            <w:r>
              <w:rPr>
                <w:spacing w:val="-1"/>
                <w:sz w:val="18"/>
              </w:rPr>
              <w:t> </w:t>
            </w:r>
            <w:r>
              <w:rPr>
                <w:sz w:val="18"/>
              </w:rPr>
              <w:t>de criterios técnicos y asesoramiento para avales de los proyectos de inversión social, según las solicitudes de las instituciones que conforman el Sector Bienestar, Trabajo</w:t>
            </w:r>
            <w:r>
              <w:rPr>
                <w:spacing w:val="-8"/>
                <w:sz w:val="18"/>
              </w:rPr>
              <w:t> </w:t>
            </w:r>
            <w:r>
              <w:rPr>
                <w:sz w:val="18"/>
              </w:rPr>
              <w:t>e</w:t>
            </w:r>
            <w:r>
              <w:rPr>
                <w:spacing w:val="-8"/>
                <w:sz w:val="18"/>
              </w:rPr>
              <w:t> </w:t>
            </w:r>
            <w:r>
              <w:rPr>
                <w:sz w:val="18"/>
              </w:rPr>
              <w:t>Inclusión</w:t>
            </w:r>
            <w:r>
              <w:rPr>
                <w:spacing w:val="-8"/>
                <w:sz w:val="18"/>
              </w:rPr>
              <w:t> </w:t>
            </w:r>
            <w:r>
              <w:rPr>
                <w:sz w:val="18"/>
              </w:rPr>
              <w:t>Social,</w:t>
            </w:r>
            <w:r>
              <w:rPr>
                <w:spacing w:val="-6"/>
                <w:sz w:val="18"/>
              </w:rPr>
              <w:t> </w:t>
            </w:r>
            <w:r>
              <w:rPr>
                <w:sz w:val="18"/>
              </w:rPr>
              <w:t>para</w:t>
            </w:r>
            <w:r>
              <w:rPr>
                <w:spacing w:val="-8"/>
                <w:sz w:val="18"/>
              </w:rPr>
              <w:t> </w:t>
            </w:r>
            <w:r>
              <w:rPr>
                <w:sz w:val="18"/>
              </w:rPr>
              <w:t>ser incorporados en el Banco de Proyectos de Inversión Social de </w:t>
            </w:r>
            <w:r>
              <w:rPr>
                <w:spacing w:val="-2"/>
                <w:sz w:val="18"/>
              </w:rPr>
              <w:t>MIDEPLAN</w:t>
            </w:r>
          </w:p>
        </w:tc>
        <w:tc>
          <w:tcPr>
            <w:tcW w:w="1560" w:type="dxa"/>
          </w:tcPr>
          <w:p>
            <w:pPr>
              <w:pStyle w:val="TableParagraph"/>
              <w:rPr>
                <w:b/>
                <w:sz w:val="18"/>
              </w:rPr>
            </w:pPr>
          </w:p>
          <w:p>
            <w:pPr>
              <w:pStyle w:val="TableParagraph"/>
              <w:spacing w:before="117"/>
              <w:rPr>
                <w:b/>
                <w:sz w:val="18"/>
              </w:rPr>
            </w:pPr>
          </w:p>
          <w:p>
            <w:pPr>
              <w:pStyle w:val="TableParagraph"/>
              <w:ind w:left="67" w:right="58"/>
              <w:rPr>
                <w:sz w:val="18"/>
              </w:rPr>
            </w:pPr>
            <w:r>
              <w:rPr>
                <w:sz w:val="18"/>
              </w:rPr>
              <w:t>Porcentaje de </w:t>
            </w:r>
            <w:r>
              <w:rPr>
                <w:spacing w:val="-2"/>
                <w:sz w:val="18"/>
              </w:rPr>
              <w:t>proyectos </w:t>
            </w:r>
            <w:r>
              <w:rPr>
                <w:sz w:val="18"/>
              </w:rPr>
              <w:t>identificados con seguimiento</w:t>
            </w:r>
            <w:r>
              <w:rPr>
                <w:spacing w:val="-13"/>
                <w:sz w:val="18"/>
              </w:rPr>
              <w:t> </w:t>
            </w:r>
            <w:r>
              <w:rPr>
                <w:sz w:val="18"/>
              </w:rPr>
              <w:t>para ser incorporados al BPIP</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
              <w:rPr>
                <w:b/>
                <w:sz w:val="18"/>
              </w:rPr>
            </w:pPr>
          </w:p>
          <w:p>
            <w:pPr>
              <w:pStyle w:val="TableParagraph"/>
              <w:ind w:left="28" w:right="20"/>
              <w:jc w:val="center"/>
              <w:rPr>
                <w:sz w:val="18"/>
              </w:rPr>
            </w:pPr>
            <w:r>
              <w:rPr>
                <w:spacing w:val="-5"/>
                <w:sz w:val="18"/>
              </w:rPr>
              <w:t>25%</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
              <w:rPr>
                <w:b/>
                <w:sz w:val="18"/>
              </w:rPr>
            </w:pPr>
          </w:p>
          <w:p>
            <w:pPr>
              <w:pStyle w:val="TableParagraph"/>
              <w:ind w:left="19"/>
              <w:jc w:val="center"/>
              <w:rPr>
                <w:sz w:val="18"/>
              </w:rPr>
            </w:pPr>
            <w:r>
              <w:rPr>
                <w:spacing w:val="-5"/>
                <w:sz w:val="18"/>
              </w:rPr>
              <w:t>50%</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
              <w:rPr>
                <w:b/>
                <w:sz w:val="18"/>
              </w:rPr>
            </w:pPr>
          </w:p>
          <w:p>
            <w:pPr>
              <w:pStyle w:val="TableParagraph"/>
              <w:ind w:left="28" w:right="8"/>
              <w:jc w:val="center"/>
              <w:rPr>
                <w:sz w:val="18"/>
              </w:rPr>
            </w:pPr>
            <w:r>
              <w:rPr>
                <w:spacing w:val="-5"/>
                <w:sz w:val="18"/>
              </w:rPr>
              <w:t>75%</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
              <w:rPr>
                <w:b/>
                <w:sz w:val="18"/>
              </w:rPr>
            </w:pPr>
          </w:p>
          <w:p>
            <w:pPr>
              <w:pStyle w:val="TableParagraph"/>
              <w:ind w:left="20"/>
              <w:jc w:val="center"/>
              <w:rPr>
                <w:sz w:val="18"/>
              </w:rPr>
            </w:pPr>
            <w:r>
              <w:rPr>
                <w:spacing w:val="-4"/>
                <w:sz w:val="18"/>
              </w:rPr>
              <w:t>100%</w:t>
            </w:r>
          </w:p>
        </w:tc>
        <w:tc>
          <w:tcPr>
            <w:tcW w:w="1230" w:type="dxa"/>
          </w:tcPr>
          <w:p>
            <w:pPr>
              <w:pStyle w:val="TableParagraph"/>
              <w:rPr>
                <w:rFonts w:ascii="Times New Roman"/>
                <w:sz w:val="18"/>
              </w:rPr>
            </w:pPr>
          </w:p>
        </w:tc>
      </w:tr>
      <w:tr>
        <w:trPr>
          <w:trHeight w:val="1320" w:hRule="atLeast"/>
        </w:trPr>
        <w:tc>
          <w:tcPr>
            <w:tcW w:w="3092" w:type="dxa"/>
          </w:tcPr>
          <w:p>
            <w:pPr>
              <w:pStyle w:val="TableParagraph"/>
              <w:spacing w:before="143"/>
              <w:ind w:left="72" w:right="99"/>
              <w:rPr>
                <w:sz w:val="18"/>
              </w:rPr>
            </w:pPr>
            <w:r>
              <w:rPr>
                <w:b/>
                <w:sz w:val="18"/>
              </w:rPr>
              <w:t>Actividad PAC 2.83.5: </w:t>
            </w:r>
            <w:r>
              <w:rPr>
                <w:sz w:val="18"/>
              </w:rPr>
              <w:t>Asesorar a las instituciones del SBTIS para el seguimiento al PNDIP 2023-2026, compromisos</w:t>
            </w:r>
            <w:r>
              <w:rPr>
                <w:spacing w:val="-10"/>
                <w:sz w:val="18"/>
              </w:rPr>
              <w:t> </w:t>
            </w:r>
            <w:r>
              <w:rPr>
                <w:sz w:val="18"/>
              </w:rPr>
              <w:t>del</w:t>
            </w:r>
            <w:r>
              <w:rPr>
                <w:spacing w:val="-8"/>
                <w:sz w:val="18"/>
              </w:rPr>
              <w:t> </w:t>
            </w:r>
            <w:r>
              <w:rPr>
                <w:sz w:val="18"/>
              </w:rPr>
              <w:t>FMI,</w:t>
            </w:r>
            <w:r>
              <w:rPr>
                <w:spacing w:val="-12"/>
                <w:sz w:val="18"/>
              </w:rPr>
              <w:t> </w:t>
            </w:r>
            <w:r>
              <w:rPr>
                <w:sz w:val="18"/>
              </w:rPr>
              <w:t>OCDE,</w:t>
            </w:r>
            <w:r>
              <w:rPr>
                <w:spacing w:val="-9"/>
                <w:sz w:val="18"/>
              </w:rPr>
              <w:t> </w:t>
            </w:r>
            <w:r>
              <w:rPr>
                <w:sz w:val="18"/>
              </w:rPr>
              <w:t>ODS, </w:t>
            </w:r>
            <w:r>
              <w:rPr>
                <w:spacing w:val="-2"/>
                <w:sz w:val="18"/>
              </w:rPr>
              <w:t>otros</w:t>
            </w:r>
          </w:p>
        </w:tc>
        <w:tc>
          <w:tcPr>
            <w:tcW w:w="1560" w:type="dxa"/>
          </w:tcPr>
          <w:p>
            <w:pPr>
              <w:pStyle w:val="TableParagraph"/>
              <w:spacing w:before="142"/>
              <w:rPr>
                <w:b/>
                <w:sz w:val="18"/>
              </w:rPr>
            </w:pPr>
          </w:p>
          <w:p>
            <w:pPr>
              <w:pStyle w:val="TableParagraph"/>
              <w:spacing w:line="242" w:lineRule="auto"/>
              <w:ind w:left="67" w:right="365"/>
              <w:rPr>
                <w:sz w:val="18"/>
              </w:rPr>
            </w:pPr>
            <w:r>
              <w:rPr>
                <w:sz w:val="18"/>
              </w:rPr>
              <w:t>Porcentaje</w:t>
            </w:r>
            <w:r>
              <w:rPr>
                <w:spacing w:val="-13"/>
                <w:sz w:val="18"/>
              </w:rPr>
              <w:t> </w:t>
            </w:r>
            <w:r>
              <w:rPr>
                <w:sz w:val="18"/>
              </w:rPr>
              <w:t>de </w:t>
            </w:r>
            <w:r>
              <w:rPr>
                <w:spacing w:val="-2"/>
                <w:sz w:val="18"/>
              </w:rPr>
              <w:t>asesorías realizadas</w:t>
            </w:r>
          </w:p>
        </w:tc>
        <w:tc>
          <w:tcPr>
            <w:tcW w:w="1181" w:type="dxa"/>
          </w:tcPr>
          <w:p>
            <w:pPr>
              <w:pStyle w:val="TableParagraph"/>
              <w:rPr>
                <w:b/>
                <w:sz w:val="18"/>
              </w:rPr>
            </w:pPr>
          </w:p>
          <w:p>
            <w:pPr>
              <w:pStyle w:val="TableParagraph"/>
              <w:spacing w:before="141"/>
              <w:rPr>
                <w:b/>
                <w:sz w:val="18"/>
              </w:rPr>
            </w:pPr>
          </w:p>
          <w:p>
            <w:pPr>
              <w:pStyle w:val="TableParagraph"/>
              <w:ind w:left="28" w:right="20"/>
              <w:jc w:val="center"/>
              <w:rPr>
                <w:sz w:val="18"/>
              </w:rPr>
            </w:pPr>
            <w:r>
              <w:rPr>
                <w:spacing w:val="-5"/>
                <w:sz w:val="18"/>
              </w:rPr>
              <w:t>25%</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141"/>
              <w:rPr>
                <w:b/>
                <w:sz w:val="18"/>
              </w:rPr>
            </w:pPr>
          </w:p>
          <w:p>
            <w:pPr>
              <w:pStyle w:val="TableParagraph"/>
              <w:ind w:left="19"/>
              <w:jc w:val="center"/>
              <w:rPr>
                <w:sz w:val="18"/>
              </w:rPr>
            </w:pPr>
            <w:r>
              <w:rPr>
                <w:spacing w:val="-5"/>
                <w:sz w:val="18"/>
              </w:rPr>
              <w:t>50%</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141"/>
              <w:rPr>
                <w:b/>
                <w:sz w:val="18"/>
              </w:rPr>
            </w:pPr>
          </w:p>
          <w:p>
            <w:pPr>
              <w:pStyle w:val="TableParagraph"/>
              <w:ind w:left="28" w:right="8"/>
              <w:jc w:val="center"/>
              <w:rPr>
                <w:sz w:val="18"/>
              </w:rPr>
            </w:pPr>
            <w:r>
              <w:rPr>
                <w:spacing w:val="-5"/>
                <w:sz w:val="18"/>
              </w:rPr>
              <w:t>75%</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141"/>
              <w:rPr>
                <w:b/>
                <w:sz w:val="18"/>
              </w:rPr>
            </w:pPr>
          </w:p>
          <w:p>
            <w:pPr>
              <w:pStyle w:val="TableParagraph"/>
              <w:ind w:left="20"/>
              <w:jc w:val="center"/>
              <w:rPr>
                <w:sz w:val="18"/>
              </w:rPr>
            </w:pPr>
            <w:r>
              <w:rPr>
                <w:spacing w:val="-4"/>
                <w:sz w:val="18"/>
              </w:rPr>
              <w:t>100%</w:t>
            </w:r>
          </w:p>
        </w:tc>
        <w:tc>
          <w:tcPr>
            <w:tcW w:w="1230" w:type="dxa"/>
          </w:tcPr>
          <w:p>
            <w:pPr>
              <w:pStyle w:val="TableParagraph"/>
              <w:rPr>
                <w:rFonts w:ascii="Times New Roman"/>
                <w:sz w:val="18"/>
              </w:rPr>
            </w:pPr>
          </w:p>
        </w:tc>
      </w:tr>
      <w:tr>
        <w:trPr>
          <w:trHeight w:val="1324" w:hRule="atLeast"/>
        </w:trPr>
        <w:tc>
          <w:tcPr>
            <w:tcW w:w="3092" w:type="dxa"/>
          </w:tcPr>
          <w:p>
            <w:pPr>
              <w:pStyle w:val="TableParagraph"/>
              <w:spacing w:before="42"/>
              <w:ind w:left="72" w:right="79"/>
              <w:rPr>
                <w:sz w:val="18"/>
              </w:rPr>
            </w:pPr>
            <w:r>
              <w:rPr>
                <w:b/>
                <w:sz w:val="18"/>
              </w:rPr>
              <w:t>Actividad</w:t>
            </w:r>
            <w:r>
              <w:rPr>
                <w:b/>
                <w:spacing w:val="-1"/>
                <w:sz w:val="18"/>
              </w:rPr>
              <w:t> </w:t>
            </w:r>
            <w:r>
              <w:rPr>
                <w:b/>
                <w:sz w:val="18"/>
              </w:rPr>
              <w:t>PAC 2.83.6: </w:t>
            </w:r>
            <w:r>
              <w:rPr>
                <w:sz w:val="18"/>
              </w:rPr>
              <w:t>Asesorar en la</w:t>
            </w:r>
            <w:r>
              <w:rPr>
                <w:spacing w:val="-4"/>
                <w:sz w:val="18"/>
              </w:rPr>
              <w:t> </w:t>
            </w:r>
            <w:r>
              <w:rPr>
                <w:sz w:val="18"/>
              </w:rPr>
              <w:t>evaluación</w:t>
            </w:r>
            <w:r>
              <w:rPr>
                <w:spacing w:val="-7"/>
                <w:sz w:val="18"/>
              </w:rPr>
              <w:t> </w:t>
            </w:r>
            <w:r>
              <w:rPr>
                <w:sz w:val="18"/>
              </w:rPr>
              <w:t>de</w:t>
            </w:r>
            <w:r>
              <w:rPr>
                <w:spacing w:val="-7"/>
                <w:sz w:val="18"/>
              </w:rPr>
              <w:t> </w:t>
            </w:r>
            <w:r>
              <w:rPr>
                <w:sz w:val="18"/>
              </w:rPr>
              <w:t>programas</w:t>
            </w:r>
            <w:r>
              <w:rPr>
                <w:spacing w:val="-7"/>
                <w:sz w:val="18"/>
              </w:rPr>
              <w:t> </w:t>
            </w:r>
            <w:r>
              <w:rPr>
                <w:sz w:val="18"/>
              </w:rPr>
              <w:t>sociales de las instituciones del Sector Bienestar,</w:t>
            </w:r>
            <w:r>
              <w:rPr>
                <w:spacing w:val="-8"/>
                <w:sz w:val="18"/>
              </w:rPr>
              <w:t> </w:t>
            </w:r>
            <w:r>
              <w:rPr>
                <w:sz w:val="18"/>
              </w:rPr>
              <w:t>Trabajo</w:t>
            </w:r>
            <w:r>
              <w:rPr>
                <w:spacing w:val="-6"/>
                <w:sz w:val="18"/>
              </w:rPr>
              <w:t> </w:t>
            </w:r>
            <w:r>
              <w:rPr>
                <w:sz w:val="18"/>
              </w:rPr>
              <w:t>e</w:t>
            </w:r>
            <w:r>
              <w:rPr>
                <w:spacing w:val="-13"/>
                <w:sz w:val="18"/>
              </w:rPr>
              <w:t> </w:t>
            </w:r>
            <w:r>
              <w:rPr>
                <w:sz w:val="18"/>
              </w:rPr>
              <w:t>Inclusión</w:t>
            </w:r>
            <w:r>
              <w:rPr>
                <w:spacing w:val="-9"/>
                <w:sz w:val="18"/>
              </w:rPr>
              <w:t> </w:t>
            </w:r>
            <w:r>
              <w:rPr>
                <w:sz w:val="18"/>
              </w:rPr>
              <w:t>Social (SBTIS), que correspondan a la Agenda Nacional de Evaluación</w:t>
            </w:r>
          </w:p>
        </w:tc>
        <w:tc>
          <w:tcPr>
            <w:tcW w:w="1560" w:type="dxa"/>
          </w:tcPr>
          <w:p>
            <w:pPr>
              <w:pStyle w:val="TableParagraph"/>
              <w:spacing w:before="142"/>
              <w:rPr>
                <w:b/>
                <w:sz w:val="18"/>
              </w:rPr>
            </w:pPr>
          </w:p>
          <w:p>
            <w:pPr>
              <w:pStyle w:val="TableParagraph"/>
              <w:spacing w:line="242" w:lineRule="auto"/>
              <w:ind w:left="67" w:right="365"/>
              <w:rPr>
                <w:sz w:val="18"/>
              </w:rPr>
            </w:pPr>
            <w:r>
              <w:rPr>
                <w:sz w:val="18"/>
              </w:rPr>
              <w:t>Porcentaje</w:t>
            </w:r>
            <w:r>
              <w:rPr>
                <w:spacing w:val="-13"/>
                <w:sz w:val="18"/>
              </w:rPr>
              <w:t> </w:t>
            </w:r>
            <w:r>
              <w:rPr>
                <w:sz w:val="18"/>
              </w:rPr>
              <w:t>de </w:t>
            </w:r>
            <w:r>
              <w:rPr>
                <w:spacing w:val="-2"/>
                <w:sz w:val="18"/>
              </w:rPr>
              <w:t>asesorías realizadas</w:t>
            </w:r>
          </w:p>
        </w:tc>
        <w:tc>
          <w:tcPr>
            <w:tcW w:w="1181" w:type="dxa"/>
          </w:tcPr>
          <w:p>
            <w:pPr>
              <w:pStyle w:val="TableParagraph"/>
              <w:rPr>
                <w:b/>
                <w:sz w:val="18"/>
              </w:rPr>
            </w:pPr>
          </w:p>
          <w:p>
            <w:pPr>
              <w:pStyle w:val="TableParagraph"/>
              <w:spacing w:before="141"/>
              <w:rPr>
                <w:b/>
                <w:sz w:val="18"/>
              </w:rPr>
            </w:pPr>
          </w:p>
          <w:p>
            <w:pPr>
              <w:pStyle w:val="TableParagraph"/>
              <w:ind w:left="28" w:right="20"/>
              <w:jc w:val="center"/>
              <w:rPr>
                <w:sz w:val="18"/>
              </w:rPr>
            </w:pPr>
            <w:r>
              <w:rPr>
                <w:spacing w:val="-5"/>
                <w:sz w:val="18"/>
              </w:rPr>
              <w:t>25%</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141"/>
              <w:rPr>
                <w:b/>
                <w:sz w:val="18"/>
              </w:rPr>
            </w:pPr>
          </w:p>
          <w:p>
            <w:pPr>
              <w:pStyle w:val="TableParagraph"/>
              <w:ind w:left="19"/>
              <w:jc w:val="center"/>
              <w:rPr>
                <w:sz w:val="18"/>
              </w:rPr>
            </w:pPr>
            <w:r>
              <w:rPr>
                <w:spacing w:val="-5"/>
                <w:sz w:val="18"/>
              </w:rPr>
              <w:t>50%</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141"/>
              <w:rPr>
                <w:b/>
                <w:sz w:val="18"/>
              </w:rPr>
            </w:pPr>
          </w:p>
          <w:p>
            <w:pPr>
              <w:pStyle w:val="TableParagraph"/>
              <w:ind w:left="28" w:right="8"/>
              <w:jc w:val="center"/>
              <w:rPr>
                <w:sz w:val="18"/>
              </w:rPr>
            </w:pPr>
            <w:r>
              <w:rPr>
                <w:spacing w:val="-5"/>
                <w:sz w:val="18"/>
              </w:rPr>
              <w:t>75%</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141"/>
              <w:rPr>
                <w:b/>
                <w:sz w:val="18"/>
              </w:rPr>
            </w:pPr>
          </w:p>
          <w:p>
            <w:pPr>
              <w:pStyle w:val="TableParagraph"/>
              <w:ind w:left="20"/>
              <w:jc w:val="center"/>
              <w:rPr>
                <w:sz w:val="18"/>
              </w:rPr>
            </w:pPr>
            <w:r>
              <w:rPr>
                <w:spacing w:val="-4"/>
                <w:sz w:val="18"/>
              </w:rPr>
              <w:t>100%</w:t>
            </w:r>
          </w:p>
        </w:tc>
        <w:tc>
          <w:tcPr>
            <w:tcW w:w="1230" w:type="dxa"/>
          </w:tcPr>
          <w:p>
            <w:pPr>
              <w:pStyle w:val="TableParagraph"/>
              <w:rPr>
                <w:rFonts w:ascii="Times New Roman"/>
                <w:sz w:val="18"/>
              </w:rPr>
            </w:pPr>
          </w:p>
        </w:tc>
      </w:tr>
      <w:tr>
        <w:trPr>
          <w:trHeight w:val="1320" w:hRule="atLeast"/>
        </w:trPr>
        <w:tc>
          <w:tcPr>
            <w:tcW w:w="3092" w:type="dxa"/>
          </w:tcPr>
          <w:p>
            <w:pPr>
              <w:pStyle w:val="TableParagraph"/>
              <w:spacing w:before="138"/>
              <w:ind w:left="72" w:right="99"/>
              <w:rPr>
                <w:sz w:val="18"/>
              </w:rPr>
            </w:pPr>
            <w:r>
              <w:rPr>
                <w:b/>
                <w:sz w:val="18"/>
              </w:rPr>
              <w:t>Actividad PAC 2.83.7: </w:t>
            </w:r>
            <w:r>
              <w:rPr>
                <w:sz w:val="18"/>
              </w:rPr>
              <w:t>Atender solicitudes de información sobre temas específicos (normativa, investigaciones,</w:t>
            </w:r>
            <w:r>
              <w:rPr>
                <w:spacing w:val="-15"/>
                <w:sz w:val="18"/>
              </w:rPr>
              <w:t> </w:t>
            </w:r>
            <w:r>
              <w:rPr>
                <w:sz w:val="18"/>
              </w:rPr>
              <w:t>evaluaciones,</w:t>
            </w:r>
            <w:r>
              <w:rPr>
                <w:spacing w:val="-12"/>
                <w:sz w:val="18"/>
              </w:rPr>
              <w:t> </w:t>
            </w:r>
            <w:r>
              <w:rPr>
                <w:sz w:val="18"/>
              </w:rPr>
              <w:t>entre </w:t>
            </w:r>
            <w:r>
              <w:rPr>
                <w:spacing w:val="-2"/>
                <w:sz w:val="18"/>
              </w:rPr>
              <w:t>otros)</w:t>
            </w:r>
          </w:p>
        </w:tc>
        <w:tc>
          <w:tcPr>
            <w:tcW w:w="1560" w:type="dxa"/>
          </w:tcPr>
          <w:p>
            <w:pPr>
              <w:pStyle w:val="TableParagraph"/>
              <w:spacing w:before="36"/>
              <w:rPr>
                <w:b/>
                <w:sz w:val="18"/>
              </w:rPr>
            </w:pPr>
          </w:p>
          <w:p>
            <w:pPr>
              <w:pStyle w:val="TableParagraph"/>
              <w:ind w:left="67" w:right="58"/>
              <w:rPr>
                <w:sz w:val="18"/>
              </w:rPr>
            </w:pPr>
            <w:r>
              <w:rPr>
                <w:sz w:val="18"/>
              </w:rPr>
              <w:t>Cantidad de solicitudes</w:t>
            </w:r>
            <w:r>
              <w:rPr>
                <w:spacing w:val="-13"/>
                <w:sz w:val="18"/>
              </w:rPr>
              <w:t> </w:t>
            </w:r>
            <w:r>
              <w:rPr>
                <w:sz w:val="18"/>
              </w:rPr>
              <w:t>de </w:t>
            </w:r>
            <w:r>
              <w:rPr>
                <w:spacing w:val="-2"/>
                <w:sz w:val="18"/>
              </w:rPr>
              <w:t>información atendidas</w:t>
            </w:r>
          </w:p>
        </w:tc>
        <w:tc>
          <w:tcPr>
            <w:tcW w:w="1181" w:type="dxa"/>
          </w:tcPr>
          <w:p>
            <w:pPr>
              <w:pStyle w:val="TableParagraph"/>
              <w:rPr>
                <w:b/>
                <w:sz w:val="18"/>
              </w:rPr>
            </w:pPr>
          </w:p>
          <w:p>
            <w:pPr>
              <w:pStyle w:val="TableParagraph"/>
              <w:spacing w:before="142"/>
              <w:rPr>
                <w:b/>
                <w:sz w:val="18"/>
              </w:rPr>
            </w:pPr>
          </w:p>
          <w:p>
            <w:pPr>
              <w:pStyle w:val="TableParagraph"/>
              <w:ind w:left="28" w:right="21"/>
              <w:jc w:val="center"/>
              <w:rPr>
                <w:sz w:val="18"/>
              </w:rPr>
            </w:pPr>
            <w:r>
              <w:rPr>
                <w:spacing w:val="-10"/>
                <w:sz w:val="18"/>
              </w:rPr>
              <w:t>2</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142"/>
              <w:rPr>
                <w:b/>
                <w:sz w:val="18"/>
              </w:rPr>
            </w:pPr>
          </w:p>
          <w:p>
            <w:pPr>
              <w:pStyle w:val="TableParagraph"/>
              <w:ind w:left="19" w:right="2"/>
              <w:jc w:val="center"/>
              <w:rPr>
                <w:sz w:val="18"/>
              </w:rPr>
            </w:pPr>
            <w:r>
              <w:rPr>
                <w:spacing w:val="-10"/>
                <w:sz w:val="18"/>
              </w:rPr>
              <w:t>4</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142"/>
              <w:rPr>
                <w:b/>
                <w:sz w:val="18"/>
              </w:rPr>
            </w:pPr>
          </w:p>
          <w:p>
            <w:pPr>
              <w:pStyle w:val="TableParagraph"/>
              <w:ind w:left="28" w:right="11"/>
              <w:jc w:val="center"/>
              <w:rPr>
                <w:sz w:val="18"/>
              </w:rPr>
            </w:pPr>
            <w:r>
              <w:rPr>
                <w:spacing w:val="-10"/>
                <w:sz w:val="18"/>
              </w:rPr>
              <w:t>6</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142"/>
              <w:rPr>
                <w:b/>
                <w:sz w:val="18"/>
              </w:rPr>
            </w:pPr>
          </w:p>
          <w:p>
            <w:pPr>
              <w:pStyle w:val="TableParagraph"/>
              <w:ind w:left="20" w:right="7"/>
              <w:jc w:val="center"/>
              <w:rPr>
                <w:sz w:val="18"/>
              </w:rPr>
            </w:pPr>
            <w:r>
              <w:rPr>
                <w:spacing w:val="-10"/>
                <w:sz w:val="18"/>
              </w:rPr>
              <w:t>8</w:t>
            </w:r>
          </w:p>
        </w:tc>
        <w:tc>
          <w:tcPr>
            <w:tcW w:w="1230" w:type="dxa"/>
          </w:tcPr>
          <w:p>
            <w:pPr>
              <w:pStyle w:val="TableParagraph"/>
              <w:rPr>
                <w:rFonts w:ascii="Times New Roman"/>
                <w:sz w:val="18"/>
              </w:rPr>
            </w:pPr>
          </w:p>
        </w:tc>
      </w:tr>
      <w:tr>
        <w:trPr>
          <w:trHeight w:val="537" w:hRule="atLeast"/>
        </w:trPr>
        <w:tc>
          <w:tcPr>
            <w:tcW w:w="14394" w:type="dxa"/>
            <w:gridSpan w:val="10"/>
            <w:shd w:val="clear" w:color="auto" w:fill="EFF8F9"/>
          </w:tcPr>
          <w:p>
            <w:pPr>
              <w:pStyle w:val="TableParagraph"/>
              <w:spacing w:before="162"/>
              <w:ind w:left="72"/>
              <w:rPr>
                <w:b/>
                <w:sz w:val="18"/>
              </w:rPr>
            </w:pPr>
            <w:r>
              <w:rPr>
                <w:b/>
                <w:sz w:val="18"/>
              </w:rPr>
              <w:t>Producto</w:t>
            </w:r>
            <w:r>
              <w:rPr>
                <w:b/>
                <w:spacing w:val="-8"/>
                <w:sz w:val="18"/>
              </w:rPr>
              <w:t> </w:t>
            </w:r>
            <w:r>
              <w:rPr>
                <w:b/>
                <w:sz w:val="18"/>
              </w:rPr>
              <w:t>PAC</w:t>
            </w:r>
            <w:r>
              <w:rPr>
                <w:b/>
                <w:spacing w:val="-8"/>
                <w:sz w:val="18"/>
              </w:rPr>
              <w:t> </w:t>
            </w:r>
            <w:r>
              <w:rPr>
                <w:b/>
                <w:sz w:val="18"/>
              </w:rPr>
              <w:t>2.84:</w:t>
            </w:r>
            <w:r>
              <w:rPr>
                <w:b/>
                <w:spacing w:val="-4"/>
                <w:sz w:val="18"/>
              </w:rPr>
              <w:t> </w:t>
            </w:r>
            <w:r>
              <w:rPr>
                <w:b/>
                <w:sz w:val="18"/>
              </w:rPr>
              <w:t>Informes</w:t>
            </w:r>
            <w:r>
              <w:rPr>
                <w:b/>
                <w:spacing w:val="-7"/>
                <w:sz w:val="18"/>
              </w:rPr>
              <w:t> </w:t>
            </w:r>
            <w:r>
              <w:rPr>
                <w:b/>
                <w:sz w:val="18"/>
              </w:rPr>
              <w:t>para</w:t>
            </w:r>
            <w:r>
              <w:rPr>
                <w:b/>
                <w:spacing w:val="-2"/>
                <w:sz w:val="18"/>
              </w:rPr>
              <w:t> </w:t>
            </w:r>
            <w:r>
              <w:rPr>
                <w:b/>
                <w:sz w:val="18"/>
              </w:rPr>
              <w:t>Entidades</w:t>
            </w:r>
            <w:r>
              <w:rPr>
                <w:b/>
                <w:spacing w:val="-7"/>
                <w:sz w:val="18"/>
              </w:rPr>
              <w:t> </w:t>
            </w:r>
            <w:r>
              <w:rPr>
                <w:b/>
                <w:sz w:val="18"/>
              </w:rPr>
              <w:t>financieras</w:t>
            </w:r>
            <w:r>
              <w:rPr>
                <w:b/>
                <w:spacing w:val="-6"/>
                <w:sz w:val="18"/>
              </w:rPr>
              <w:t> </w:t>
            </w:r>
            <w:r>
              <w:rPr>
                <w:b/>
                <w:sz w:val="18"/>
              </w:rPr>
              <w:t>nacionales</w:t>
            </w:r>
            <w:r>
              <w:rPr>
                <w:b/>
                <w:spacing w:val="-6"/>
                <w:sz w:val="18"/>
              </w:rPr>
              <w:t> </w:t>
            </w:r>
            <w:r>
              <w:rPr>
                <w:b/>
                <w:sz w:val="18"/>
              </w:rPr>
              <w:t>e</w:t>
            </w:r>
            <w:r>
              <w:rPr>
                <w:b/>
                <w:spacing w:val="-7"/>
                <w:sz w:val="18"/>
              </w:rPr>
              <w:t> </w:t>
            </w:r>
            <w:r>
              <w:rPr>
                <w:b/>
                <w:sz w:val="18"/>
              </w:rPr>
              <w:t>internacionales</w:t>
            </w:r>
            <w:r>
              <w:rPr>
                <w:b/>
                <w:spacing w:val="-6"/>
                <w:sz w:val="18"/>
              </w:rPr>
              <w:t> </w:t>
            </w:r>
            <w:r>
              <w:rPr>
                <w:b/>
                <w:sz w:val="18"/>
              </w:rPr>
              <w:t>y</w:t>
            </w:r>
            <w:r>
              <w:rPr>
                <w:b/>
                <w:spacing w:val="-6"/>
                <w:sz w:val="18"/>
              </w:rPr>
              <w:t> </w:t>
            </w:r>
            <w:r>
              <w:rPr>
                <w:b/>
                <w:sz w:val="18"/>
              </w:rPr>
              <w:t>órganos</w:t>
            </w:r>
            <w:r>
              <w:rPr>
                <w:b/>
                <w:spacing w:val="-7"/>
                <w:sz w:val="18"/>
              </w:rPr>
              <w:t> </w:t>
            </w:r>
            <w:r>
              <w:rPr>
                <w:b/>
                <w:sz w:val="18"/>
              </w:rPr>
              <w:t>de</w:t>
            </w:r>
            <w:r>
              <w:rPr>
                <w:b/>
                <w:spacing w:val="-2"/>
                <w:sz w:val="18"/>
              </w:rPr>
              <w:t> control</w:t>
            </w:r>
          </w:p>
        </w:tc>
      </w:tr>
    </w:tbl>
    <w:p>
      <w:pPr>
        <w:pStyle w:val="TableParagraph"/>
        <w:spacing w:after="0"/>
        <w:rPr>
          <w:b/>
          <w:sz w:val="18"/>
        </w:rPr>
        <w:sectPr>
          <w:type w:val="continuous"/>
          <w:pgSz w:w="15840" w:h="12240" w:orient="landscape"/>
          <w:pgMar w:header="0" w:footer="1806" w:top="700" w:bottom="3067"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1449" w:hRule="atLeast"/>
        </w:trPr>
        <w:tc>
          <w:tcPr>
            <w:tcW w:w="3092" w:type="dxa"/>
          </w:tcPr>
          <w:p>
            <w:pPr>
              <w:pStyle w:val="TableParagraph"/>
              <w:spacing w:before="103"/>
              <w:rPr>
                <w:b/>
                <w:sz w:val="18"/>
              </w:rPr>
            </w:pPr>
          </w:p>
          <w:p>
            <w:pPr>
              <w:pStyle w:val="TableParagraph"/>
              <w:spacing w:before="1"/>
              <w:ind w:left="72" w:right="99"/>
              <w:rPr>
                <w:sz w:val="18"/>
              </w:rPr>
            </w:pPr>
            <w:r>
              <w:rPr>
                <w:b/>
                <w:sz w:val="18"/>
              </w:rPr>
              <w:t>Actividad</w:t>
            </w:r>
            <w:r>
              <w:rPr>
                <w:b/>
                <w:spacing w:val="-10"/>
                <w:sz w:val="18"/>
              </w:rPr>
              <w:t> </w:t>
            </w:r>
            <w:r>
              <w:rPr>
                <w:b/>
                <w:sz w:val="18"/>
              </w:rPr>
              <w:t>PAC</w:t>
            </w:r>
            <w:r>
              <w:rPr>
                <w:b/>
                <w:spacing w:val="-7"/>
                <w:sz w:val="18"/>
              </w:rPr>
              <w:t> </w:t>
            </w:r>
            <w:r>
              <w:rPr>
                <w:b/>
                <w:sz w:val="18"/>
              </w:rPr>
              <w:t>2.84.1:</w:t>
            </w:r>
            <w:r>
              <w:rPr>
                <w:b/>
                <w:spacing w:val="-2"/>
                <w:sz w:val="18"/>
              </w:rPr>
              <w:t> </w:t>
            </w:r>
            <w:r>
              <w:rPr>
                <w:sz w:val="18"/>
              </w:rPr>
              <w:t>Remitir</w:t>
            </w:r>
            <w:r>
              <w:rPr>
                <w:spacing w:val="-8"/>
                <w:sz w:val="18"/>
              </w:rPr>
              <w:t> </w:t>
            </w:r>
            <w:r>
              <w:rPr>
                <w:sz w:val="18"/>
              </w:rPr>
              <w:t>a</w:t>
            </w:r>
            <w:r>
              <w:rPr>
                <w:spacing w:val="-10"/>
                <w:sz w:val="18"/>
              </w:rPr>
              <w:t> </w:t>
            </w:r>
            <w:r>
              <w:rPr>
                <w:sz w:val="18"/>
              </w:rPr>
              <w:t>las instancias correspondientes, recordatorios de vencimiento de las disposiciones de la CGR</w:t>
            </w:r>
          </w:p>
        </w:tc>
        <w:tc>
          <w:tcPr>
            <w:tcW w:w="1560" w:type="dxa"/>
          </w:tcPr>
          <w:p>
            <w:pPr>
              <w:pStyle w:val="TableParagraph"/>
              <w:ind w:left="67" w:right="58"/>
              <w:rPr>
                <w:sz w:val="18"/>
              </w:rPr>
            </w:pPr>
            <w:r>
              <w:rPr>
                <w:sz w:val="18"/>
              </w:rPr>
              <w:t>Cantidad de oficios de recordatorio de vencimiento de disposiciones</w:t>
            </w:r>
            <w:r>
              <w:rPr>
                <w:spacing w:val="-13"/>
                <w:sz w:val="18"/>
              </w:rPr>
              <w:t> </w:t>
            </w:r>
            <w:r>
              <w:rPr>
                <w:sz w:val="18"/>
              </w:rPr>
              <w:t>de la</w:t>
            </w:r>
            <w:r>
              <w:rPr>
                <w:spacing w:val="1"/>
                <w:sz w:val="18"/>
              </w:rPr>
              <w:t> </w:t>
            </w:r>
            <w:r>
              <w:rPr>
                <w:sz w:val="18"/>
              </w:rPr>
              <w:t>CGR</w:t>
            </w:r>
            <w:r>
              <w:rPr>
                <w:spacing w:val="-5"/>
                <w:sz w:val="18"/>
              </w:rPr>
              <w:t> </w:t>
            </w:r>
            <w:r>
              <w:rPr>
                <w:spacing w:val="-2"/>
                <w:sz w:val="18"/>
              </w:rPr>
              <w:t>emitidos</w:t>
            </w:r>
          </w:p>
          <w:p>
            <w:pPr>
              <w:pStyle w:val="TableParagraph"/>
              <w:spacing w:line="187" w:lineRule="exact"/>
              <w:ind w:left="67"/>
              <w:rPr>
                <w:sz w:val="18"/>
              </w:rPr>
            </w:pPr>
            <w:r>
              <w:rPr>
                <w:sz w:val="18"/>
              </w:rPr>
              <w:t>por</w:t>
            </w:r>
            <w:r>
              <w:rPr>
                <w:spacing w:val="3"/>
                <w:sz w:val="18"/>
              </w:rPr>
              <w:t> </w:t>
            </w:r>
            <w:r>
              <w:rPr>
                <w:spacing w:val="-5"/>
                <w:sz w:val="18"/>
              </w:rPr>
              <w:t>PI</w:t>
            </w:r>
          </w:p>
        </w:tc>
        <w:tc>
          <w:tcPr>
            <w:tcW w:w="1181" w:type="dxa"/>
          </w:tcPr>
          <w:p>
            <w:pPr>
              <w:pStyle w:val="TableParagraph"/>
              <w:rPr>
                <w:b/>
                <w:sz w:val="18"/>
              </w:rPr>
            </w:pPr>
          </w:p>
          <w:p>
            <w:pPr>
              <w:pStyle w:val="TableParagraph"/>
              <w:spacing w:before="204"/>
              <w:rPr>
                <w:b/>
                <w:sz w:val="18"/>
              </w:rPr>
            </w:pPr>
          </w:p>
          <w:p>
            <w:pPr>
              <w:pStyle w:val="TableParagraph"/>
              <w:ind w:left="28" w:right="21"/>
              <w:jc w:val="center"/>
              <w:rPr>
                <w:sz w:val="18"/>
              </w:rPr>
            </w:pPr>
            <w:r>
              <w:rPr>
                <w:spacing w:val="-10"/>
                <w:sz w:val="18"/>
              </w:rPr>
              <w:t>3</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204"/>
              <w:rPr>
                <w:b/>
                <w:sz w:val="18"/>
              </w:rPr>
            </w:pPr>
          </w:p>
          <w:p>
            <w:pPr>
              <w:pStyle w:val="TableParagraph"/>
              <w:ind w:left="19" w:right="2"/>
              <w:jc w:val="center"/>
              <w:rPr>
                <w:sz w:val="18"/>
              </w:rPr>
            </w:pPr>
            <w:r>
              <w:rPr>
                <w:spacing w:val="-10"/>
                <w:sz w:val="18"/>
              </w:rPr>
              <w:t>6</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204"/>
              <w:rPr>
                <w:b/>
                <w:sz w:val="18"/>
              </w:rPr>
            </w:pPr>
          </w:p>
          <w:p>
            <w:pPr>
              <w:pStyle w:val="TableParagraph"/>
              <w:ind w:left="28" w:right="11"/>
              <w:jc w:val="center"/>
              <w:rPr>
                <w:sz w:val="18"/>
              </w:rPr>
            </w:pPr>
            <w:r>
              <w:rPr>
                <w:spacing w:val="-10"/>
                <w:sz w:val="18"/>
              </w:rPr>
              <w:t>9</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204"/>
              <w:rPr>
                <w:b/>
                <w:sz w:val="18"/>
              </w:rPr>
            </w:pPr>
          </w:p>
          <w:p>
            <w:pPr>
              <w:pStyle w:val="TableParagraph"/>
              <w:ind w:left="20" w:right="3"/>
              <w:jc w:val="center"/>
              <w:rPr>
                <w:sz w:val="18"/>
              </w:rPr>
            </w:pPr>
            <w:r>
              <w:rPr>
                <w:spacing w:val="-5"/>
                <w:sz w:val="18"/>
              </w:rPr>
              <w:t>12</w:t>
            </w:r>
          </w:p>
        </w:tc>
        <w:tc>
          <w:tcPr>
            <w:tcW w:w="1230" w:type="dxa"/>
          </w:tcPr>
          <w:p>
            <w:pPr>
              <w:pStyle w:val="TableParagraph"/>
              <w:rPr>
                <w:rFonts w:ascii="Times New Roman"/>
                <w:sz w:val="18"/>
              </w:rPr>
            </w:pPr>
          </w:p>
        </w:tc>
      </w:tr>
      <w:tr>
        <w:trPr>
          <w:trHeight w:val="1449" w:hRule="atLeast"/>
        </w:trPr>
        <w:tc>
          <w:tcPr>
            <w:tcW w:w="3092" w:type="dxa"/>
          </w:tcPr>
          <w:p>
            <w:pPr>
              <w:pStyle w:val="TableParagraph"/>
              <w:spacing w:before="103"/>
              <w:rPr>
                <w:b/>
                <w:sz w:val="18"/>
              </w:rPr>
            </w:pPr>
          </w:p>
          <w:p>
            <w:pPr>
              <w:pStyle w:val="TableParagraph"/>
              <w:spacing w:before="1"/>
              <w:ind w:left="72" w:right="99"/>
              <w:rPr>
                <w:sz w:val="18"/>
              </w:rPr>
            </w:pPr>
            <w:r>
              <w:rPr>
                <w:b/>
                <w:sz w:val="18"/>
              </w:rPr>
              <w:t>Actividad PAC 2.84.2: </w:t>
            </w:r>
            <w:r>
              <w:rPr>
                <w:sz w:val="18"/>
              </w:rPr>
              <w:t>Elaborar informe de cumplimiento de acuerdos de CD, dirigidos a Planificación</w:t>
            </w:r>
            <w:r>
              <w:rPr>
                <w:spacing w:val="-11"/>
                <w:sz w:val="18"/>
              </w:rPr>
              <w:t> </w:t>
            </w:r>
            <w:r>
              <w:rPr>
                <w:sz w:val="18"/>
              </w:rPr>
              <w:t>Institucional</w:t>
            </w:r>
            <w:r>
              <w:rPr>
                <w:spacing w:val="-12"/>
                <w:sz w:val="18"/>
              </w:rPr>
              <w:t> </w:t>
            </w:r>
            <w:r>
              <w:rPr>
                <w:sz w:val="18"/>
              </w:rPr>
              <w:t>y</w:t>
            </w:r>
            <w:r>
              <w:rPr>
                <w:spacing w:val="-11"/>
                <w:sz w:val="18"/>
              </w:rPr>
              <w:t> </w:t>
            </w:r>
            <w:r>
              <w:rPr>
                <w:sz w:val="18"/>
              </w:rPr>
              <w:t>CIRE</w:t>
            </w:r>
          </w:p>
        </w:tc>
        <w:tc>
          <w:tcPr>
            <w:tcW w:w="1560" w:type="dxa"/>
          </w:tcPr>
          <w:p>
            <w:pPr>
              <w:pStyle w:val="TableParagraph"/>
              <w:ind w:left="67" w:right="58"/>
              <w:rPr>
                <w:sz w:val="18"/>
              </w:rPr>
            </w:pPr>
            <w:r>
              <w:rPr>
                <w:sz w:val="18"/>
              </w:rPr>
              <w:t>Cantidad de informes de seguimiento de acuerdos</w:t>
            </w:r>
            <w:r>
              <w:rPr>
                <w:spacing w:val="-15"/>
                <w:sz w:val="18"/>
              </w:rPr>
              <w:t> </w:t>
            </w:r>
            <w:r>
              <w:rPr>
                <w:sz w:val="18"/>
              </w:rPr>
              <w:t>de</w:t>
            </w:r>
            <w:r>
              <w:rPr>
                <w:spacing w:val="-12"/>
                <w:sz w:val="18"/>
              </w:rPr>
              <w:t> </w:t>
            </w:r>
            <w:r>
              <w:rPr>
                <w:sz w:val="18"/>
              </w:rPr>
              <w:t>CD remitidos a </w:t>
            </w:r>
            <w:r>
              <w:rPr>
                <w:spacing w:val="-2"/>
                <w:sz w:val="18"/>
              </w:rPr>
              <w:t>Gerencia</w:t>
            </w:r>
          </w:p>
          <w:p>
            <w:pPr>
              <w:pStyle w:val="TableParagraph"/>
              <w:spacing w:line="187" w:lineRule="exact" w:before="1"/>
              <w:ind w:left="67"/>
              <w:rPr>
                <w:sz w:val="18"/>
              </w:rPr>
            </w:pPr>
            <w:r>
              <w:rPr>
                <w:spacing w:val="-2"/>
                <w:sz w:val="18"/>
              </w:rPr>
              <w:t>General</w:t>
            </w:r>
          </w:p>
        </w:tc>
        <w:tc>
          <w:tcPr>
            <w:tcW w:w="1181" w:type="dxa"/>
          </w:tcPr>
          <w:p>
            <w:pPr>
              <w:pStyle w:val="TableParagraph"/>
              <w:rPr>
                <w:b/>
                <w:sz w:val="18"/>
              </w:rPr>
            </w:pPr>
          </w:p>
          <w:p>
            <w:pPr>
              <w:pStyle w:val="TableParagraph"/>
              <w:spacing w:before="204"/>
              <w:rPr>
                <w:b/>
                <w:sz w:val="18"/>
              </w:rPr>
            </w:pPr>
          </w:p>
          <w:p>
            <w:pPr>
              <w:pStyle w:val="TableParagraph"/>
              <w:ind w:left="28" w:right="21"/>
              <w:jc w:val="center"/>
              <w:rPr>
                <w:sz w:val="18"/>
              </w:rPr>
            </w:pPr>
            <w:r>
              <w:rPr>
                <w:spacing w:val="-10"/>
                <w:sz w:val="18"/>
              </w:rPr>
              <w:t>3</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204"/>
              <w:rPr>
                <w:b/>
                <w:sz w:val="18"/>
              </w:rPr>
            </w:pPr>
          </w:p>
          <w:p>
            <w:pPr>
              <w:pStyle w:val="TableParagraph"/>
              <w:ind w:left="19" w:right="2"/>
              <w:jc w:val="center"/>
              <w:rPr>
                <w:sz w:val="18"/>
              </w:rPr>
            </w:pPr>
            <w:r>
              <w:rPr>
                <w:spacing w:val="-10"/>
                <w:sz w:val="18"/>
              </w:rPr>
              <w:t>6</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204"/>
              <w:rPr>
                <w:b/>
                <w:sz w:val="18"/>
              </w:rPr>
            </w:pPr>
          </w:p>
          <w:p>
            <w:pPr>
              <w:pStyle w:val="TableParagraph"/>
              <w:ind w:left="28" w:right="11"/>
              <w:jc w:val="center"/>
              <w:rPr>
                <w:sz w:val="18"/>
              </w:rPr>
            </w:pPr>
            <w:r>
              <w:rPr>
                <w:spacing w:val="-10"/>
                <w:sz w:val="18"/>
              </w:rPr>
              <w:t>9</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204"/>
              <w:rPr>
                <w:b/>
                <w:sz w:val="18"/>
              </w:rPr>
            </w:pPr>
          </w:p>
          <w:p>
            <w:pPr>
              <w:pStyle w:val="TableParagraph"/>
              <w:ind w:left="20" w:right="3"/>
              <w:jc w:val="center"/>
              <w:rPr>
                <w:sz w:val="18"/>
              </w:rPr>
            </w:pPr>
            <w:r>
              <w:rPr>
                <w:spacing w:val="-5"/>
                <w:sz w:val="18"/>
              </w:rPr>
              <w:t>12</w:t>
            </w:r>
          </w:p>
        </w:tc>
        <w:tc>
          <w:tcPr>
            <w:tcW w:w="1230" w:type="dxa"/>
          </w:tcPr>
          <w:p>
            <w:pPr>
              <w:pStyle w:val="TableParagraph"/>
              <w:rPr>
                <w:rFonts w:ascii="Times New Roman"/>
                <w:sz w:val="18"/>
              </w:rPr>
            </w:pPr>
          </w:p>
        </w:tc>
      </w:tr>
      <w:tr>
        <w:trPr>
          <w:trHeight w:val="1080" w:hRule="atLeast"/>
        </w:trPr>
        <w:tc>
          <w:tcPr>
            <w:tcW w:w="3092" w:type="dxa"/>
          </w:tcPr>
          <w:p>
            <w:pPr>
              <w:pStyle w:val="TableParagraph"/>
              <w:spacing w:before="23"/>
              <w:ind w:left="72" w:right="99"/>
              <w:rPr>
                <w:sz w:val="18"/>
              </w:rPr>
            </w:pPr>
            <w:r>
              <w:rPr>
                <w:b/>
                <w:sz w:val="18"/>
              </w:rPr>
              <w:t>Actividad PAC 2.84.3: </w:t>
            </w:r>
            <w:r>
              <w:rPr>
                <w:sz w:val="18"/>
              </w:rPr>
              <w:t>Elaborar informes</w:t>
            </w:r>
            <w:r>
              <w:rPr>
                <w:spacing w:val="-9"/>
                <w:sz w:val="18"/>
              </w:rPr>
              <w:t> </w:t>
            </w:r>
            <w:r>
              <w:rPr>
                <w:sz w:val="18"/>
              </w:rPr>
              <w:t>de</w:t>
            </w:r>
            <w:r>
              <w:rPr>
                <w:spacing w:val="-9"/>
                <w:sz w:val="18"/>
              </w:rPr>
              <w:t> </w:t>
            </w:r>
            <w:r>
              <w:rPr>
                <w:sz w:val="18"/>
              </w:rPr>
              <w:t>cumplimiento</w:t>
            </w:r>
            <w:r>
              <w:rPr>
                <w:spacing w:val="-9"/>
                <w:sz w:val="18"/>
              </w:rPr>
              <w:t> </w:t>
            </w:r>
            <w:r>
              <w:rPr>
                <w:sz w:val="18"/>
              </w:rPr>
              <w:t>de</w:t>
            </w:r>
            <w:r>
              <w:rPr>
                <w:spacing w:val="-9"/>
                <w:sz w:val="18"/>
              </w:rPr>
              <w:t> </w:t>
            </w:r>
            <w:r>
              <w:rPr>
                <w:sz w:val="18"/>
              </w:rPr>
              <w:t>metas que se deben remitir a entes contralores y fiscalizadores (PND; CGR y FODESAF)</w:t>
            </w:r>
          </w:p>
        </w:tc>
        <w:tc>
          <w:tcPr>
            <w:tcW w:w="1560" w:type="dxa"/>
          </w:tcPr>
          <w:p>
            <w:pPr>
              <w:pStyle w:val="TableParagraph"/>
              <w:spacing w:before="22"/>
              <w:rPr>
                <w:b/>
                <w:sz w:val="18"/>
              </w:rPr>
            </w:pPr>
          </w:p>
          <w:p>
            <w:pPr>
              <w:pStyle w:val="TableParagraph"/>
              <w:ind w:left="67" w:right="58"/>
              <w:rPr>
                <w:sz w:val="18"/>
              </w:rPr>
            </w:pPr>
            <w:r>
              <w:rPr>
                <w:sz w:val="18"/>
              </w:rPr>
              <w:t>Cantidad</w:t>
            </w:r>
            <w:r>
              <w:rPr>
                <w:spacing w:val="-13"/>
                <w:sz w:val="18"/>
              </w:rPr>
              <w:t> </w:t>
            </w:r>
            <w:r>
              <w:rPr>
                <w:sz w:val="18"/>
              </w:rPr>
              <w:t>de </w:t>
            </w:r>
            <w:r>
              <w:rPr>
                <w:spacing w:val="-2"/>
                <w:sz w:val="18"/>
              </w:rPr>
              <w:t>Informes elaborados</w:t>
            </w:r>
          </w:p>
        </w:tc>
        <w:tc>
          <w:tcPr>
            <w:tcW w:w="1181" w:type="dxa"/>
          </w:tcPr>
          <w:p>
            <w:pPr>
              <w:pStyle w:val="TableParagraph"/>
              <w:rPr>
                <w:b/>
                <w:sz w:val="18"/>
              </w:rPr>
            </w:pPr>
          </w:p>
          <w:p>
            <w:pPr>
              <w:pStyle w:val="TableParagraph"/>
              <w:spacing w:before="22"/>
              <w:rPr>
                <w:b/>
                <w:sz w:val="18"/>
              </w:rPr>
            </w:pPr>
          </w:p>
          <w:p>
            <w:pPr>
              <w:pStyle w:val="TableParagraph"/>
              <w:ind w:left="28" w:right="21"/>
              <w:jc w:val="center"/>
              <w:rPr>
                <w:sz w:val="18"/>
              </w:rPr>
            </w:pPr>
            <w:r>
              <w:rPr>
                <w:spacing w:val="-10"/>
                <w:sz w:val="18"/>
              </w:rPr>
              <w:t>3</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spacing w:before="22"/>
              <w:rPr>
                <w:b/>
                <w:sz w:val="18"/>
              </w:rPr>
            </w:pPr>
          </w:p>
          <w:p>
            <w:pPr>
              <w:pStyle w:val="TableParagraph"/>
              <w:ind w:left="19" w:right="2"/>
              <w:jc w:val="center"/>
              <w:rPr>
                <w:sz w:val="18"/>
              </w:rPr>
            </w:pPr>
            <w:r>
              <w:rPr>
                <w:spacing w:val="-10"/>
                <w:sz w:val="18"/>
              </w:rPr>
              <w:t>5</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spacing w:before="22"/>
              <w:rPr>
                <w:b/>
                <w:sz w:val="18"/>
              </w:rPr>
            </w:pPr>
          </w:p>
          <w:p>
            <w:pPr>
              <w:pStyle w:val="TableParagraph"/>
              <w:ind w:left="28" w:right="11"/>
              <w:jc w:val="center"/>
              <w:rPr>
                <w:sz w:val="18"/>
              </w:rPr>
            </w:pPr>
            <w:r>
              <w:rPr>
                <w:spacing w:val="-10"/>
                <w:sz w:val="18"/>
              </w:rPr>
              <w:t>8</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spacing w:before="22"/>
              <w:rPr>
                <w:b/>
                <w:sz w:val="18"/>
              </w:rPr>
            </w:pPr>
          </w:p>
          <w:p>
            <w:pPr>
              <w:pStyle w:val="TableParagraph"/>
              <w:ind w:left="20" w:right="3"/>
              <w:jc w:val="center"/>
              <w:rPr>
                <w:sz w:val="18"/>
              </w:rPr>
            </w:pPr>
            <w:r>
              <w:rPr>
                <w:spacing w:val="-5"/>
                <w:sz w:val="18"/>
              </w:rPr>
              <w:t>10</w:t>
            </w:r>
          </w:p>
        </w:tc>
        <w:tc>
          <w:tcPr>
            <w:tcW w:w="1230" w:type="dxa"/>
          </w:tcPr>
          <w:p>
            <w:pPr>
              <w:pStyle w:val="TableParagraph"/>
              <w:rPr>
                <w:rFonts w:ascii="Times New Roman"/>
                <w:sz w:val="18"/>
              </w:rPr>
            </w:pPr>
          </w:p>
        </w:tc>
      </w:tr>
      <w:tr>
        <w:trPr>
          <w:trHeight w:val="1588" w:hRule="atLeast"/>
        </w:trPr>
        <w:tc>
          <w:tcPr>
            <w:tcW w:w="3092" w:type="dxa"/>
          </w:tcPr>
          <w:p>
            <w:pPr>
              <w:pStyle w:val="TableParagraph"/>
              <w:spacing w:before="70"/>
              <w:rPr>
                <w:b/>
                <w:sz w:val="18"/>
              </w:rPr>
            </w:pPr>
          </w:p>
          <w:p>
            <w:pPr>
              <w:pStyle w:val="TableParagraph"/>
              <w:ind w:left="72" w:right="61"/>
              <w:rPr>
                <w:sz w:val="18"/>
              </w:rPr>
            </w:pPr>
            <w:r>
              <w:rPr>
                <w:b/>
                <w:sz w:val="18"/>
              </w:rPr>
              <w:t>Actividad PAC 2.84.4: </w:t>
            </w:r>
            <w:r>
              <w:rPr>
                <w:sz w:val="18"/>
              </w:rPr>
              <w:t>Elaborar informes vinculados con los compromisos</w:t>
            </w:r>
            <w:r>
              <w:rPr>
                <w:spacing w:val="-12"/>
                <w:sz w:val="18"/>
              </w:rPr>
              <w:t> </w:t>
            </w:r>
            <w:r>
              <w:rPr>
                <w:sz w:val="18"/>
              </w:rPr>
              <w:t>sociales</w:t>
            </w:r>
            <w:r>
              <w:rPr>
                <w:spacing w:val="-12"/>
                <w:sz w:val="18"/>
              </w:rPr>
              <w:t> </w:t>
            </w:r>
            <w:r>
              <w:rPr>
                <w:sz w:val="18"/>
              </w:rPr>
              <w:t>sectoriales</w:t>
            </w:r>
            <w:r>
              <w:rPr>
                <w:spacing w:val="-8"/>
                <w:sz w:val="18"/>
              </w:rPr>
              <w:t> </w:t>
            </w:r>
            <w:r>
              <w:rPr>
                <w:sz w:val="18"/>
              </w:rPr>
              <w:t>en el PNDIP, OCDE, ODS, Secretaría del Sector BTIS, MIDEPLAN y otros</w:t>
            </w:r>
          </w:p>
        </w:tc>
        <w:tc>
          <w:tcPr>
            <w:tcW w:w="1560" w:type="dxa"/>
          </w:tcPr>
          <w:p>
            <w:pPr>
              <w:pStyle w:val="TableParagraph"/>
              <w:rPr>
                <w:b/>
                <w:sz w:val="18"/>
              </w:rPr>
            </w:pPr>
          </w:p>
          <w:p>
            <w:pPr>
              <w:pStyle w:val="TableParagraph"/>
              <w:spacing w:before="70"/>
              <w:rPr>
                <w:b/>
                <w:sz w:val="18"/>
              </w:rPr>
            </w:pPr>
          </w:p>
          <w:p>
            <w:pPr>
              <w:pStyle w:val="TableParagraph"/>
              <w:ind w:left="67" w:right="365"/>
              <w:rPr>
                <w:sz w:val="18"/>
              </w:rPr>
            </w:pPr>
            <w:r>
              <w:rPr>
                <w:sz w:val="18"/>
              </w:rPr>
              <w:t>Porcentaje</w:t>
            </w:r>
            <w:r>
              <w:rPr>
                <w:spacing w:val="-13"/>
                <w:sz w:val="18"/>
              </w:rPr>
              <w:t> </w:t>
            </w:r>
            <w:r>
              <w:rPr>
                <w:sz w:val="18"/>
              </w:rPr>
              <w:t>de </w:t>
            </w:r>
            <w:r>
              <w:rPr>
                <w:spacing w:val="-2"/>
                <w:sz w:val="18"/>
              </w:rPr>
              <w:t>informes elaborados</w:t>
            </w:r>
          </w:p>
        </w:tc>
        <w:tc>
          <w:tcPr>
            <w:tcW w:w="1181" w:type="dxa"/>
          </w:tcPr>
          <w:p>
            <w:pPr>
              <w:pStyle w:val="TableParagraph"/>
              <w:rPr>
                <w:b/>
                <w:sz w:val="18"/>
              </w:rPr>
            </w:pPr>
          </w:p>
          <w:p>
            <w:pPr>
              <w:pStyle w:val="TableParagraph"/>
              <w:rPr>
                <w:b/>
                <w:sz w:val="18"/>
              </w:rPr>
            </w:pPr>
          </w:p>
          <w:p>
            <w:pPr>
              <w:pStyle w:val="TableParagraph"/>
              <w:spacing w:before="69"/>
              <w:rPr>
                <w:b/>
                <w:sz w:val="18"/>
              </w:rPr>
            </w:pPr>
          </w:p>
          <w:p>
            <w:pPr>
              <w:pStyle w:val="TableParagraph"/>
              <w:ind w:left="28" w:right="20"/>
              <w:jc w:val="center"/>
              <w:rPr>
                <w:sz w:val="18"/>
              </w:rPr>
            </w:pPr>
            <w:r>
              <w:rPr>
                <w:spacing w:val="-5"/>
                <w:sz w:val="18"/>
              </w:rPr>
              <w:t>25%</w:t>
            </w:r>
          </w:p>
        </w:tc>
        <w:tc>
          <w:tcPr>
            <w:tcW w:w="1186" w:type="dxa"/>
          </w:tcPr>
          <w:p>
            <w:pPr>
              <w:pStyle w:val="TableParagraph"/>
              <w:rPr>
                <w:rFonts w:ascii="Times New Roman"/>
                <w:sz w:val="18"/>
              </w:rPr>
            </w:pPr>
          </w:p>
        </w:tc>
        <w:tc>
          <w:tcPr>
            <w:tcW w:w="1200" w:type="dxa"/>
          </w:tcPr>
          <w:p>
            <w:pPr>
              <w:pStyle w:val="TableParagraph"/>
              <w:rPr>
                <w:b/>
                <w:sz w:val="18"/>
              </w:rPr>
            </w:pPr>
          </w:p>
          <w:p>
            <w:pPr>
              <w:pStyle w:val="TableParagraph"/>
              <w:rPr>
                <w:b/>
                <w:sz w:val="18"/>
              </w:rPr>
            </w:pPr>
          </w:p>
          <w:p>
            <w:pPr>
              <w:pStyle w:val="TableParagraph"/>
              <w:spacing w:before="69"/>
              <w:rPr>
                <w:b/>
                <w:sz w:val="18"/>
              </w:rPr>
            </w:pPr>
          </w:p>
          <w:p>
            <w:pPr>
              <w:pStyle w:val="TableParagraph"/>
              <w:ind w:left="19"/>
              <w:jc w:val="center"/>
              <w:rPr>
                <w:sz w:val="18"/>
              </w:rPr>
            </w:pPr>
            <w:r>
              <w:rPr>
                <w:spacing w:val="-5"/>
                <w:sz w:val="18"/>
              </w:rPr>
              <w:t>50%</w:t>
            </w: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69"/>
              <w:rPr>
                <w:b/>
                <w:sz w:val="18"/>
              </w:rPr>
            </w:pPr>
          </w:p>
          <w:p>
            <w:pPr>
              <w:pStyle w:val="TableParagraph"/>
              <w:ind w:left="28" w:right="8"/>
              <w:jc w:val="center"/>
              <w:rPr>
                <w:sz w:val="18"/>
              </w:rPr>
            </w:pPr>
            <w:r>
              <w:rPr>
                <w:spacing w:val="-5"/>
                <w:sz w:val="18"/>
              </w:rPr>
              <w:t>75%</w:t>
            </w: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69"/>
              <w:rPr>
                <w:b/>
                <w:sz w:val="18"/>
              </w:rPr>
            </w:pPr>
          </w:p>
          <w:p>
            <w:pPr>
              <w:pStyle w:val="TableParagraph"/>
              <w:ind w:left="20"/>
              <w:jc w:val="center"/>
              <w:rPr>
                <w:sz w:val="18"/>
              </w:rPr>
            </w:pPr>
            <w:r>
              <w:rPr>
                <w:spacing w:val="-4"/>
                <w:sz w:val="18"/>
              </w:rPr>
              <w:t>100%</w:t>
            </w:r>
          </w:p>
        </w:tc>
        <w:tc>
          <w:tcPr>
            <w:tcW w:w="1230" w:type="dxa"/>
          </w:tcPr>
          <w:p>
            <w:pPr>
              <w:pStyle w:val="TableParagraph"/>
              <w:rPr>
                <w:rFonts w:ascii="Times New Roman"/>
                <w:sz w:val="18"/>
              </w:rPr>
            </w:pPr>
          </w:p>
        </w:tc>
      </w:tr>
      <w:tr>
        <w:trPr>
          <w:trHeight w:val="1450" w:hRule="atLeast"/>
        </w:trPr>
        <w:tc>
          <w:tcPr>
            <w:tcW w:w="3092" w:type="dxa"/>
          </w:tcPr>
          <w:p>
            <w:pPr>
              <w:pStyle w:val="TableParagraph"/>
              <w:spacing w:before="3"/>
              <w:rPr>
                <w:b/>
                <w:sz w:val="18"/>
              </w:rPr>
            </w:pPr>
          </w:p>
          <w:p>
            <w:pPr>
              <w:pStyle w:val="TableParagraph"/>
              <w:ind w:left="72" w:right="141"/>
              <w:rPr>
                <w:sz w:val="18"/>
              </w:rPr>
            </w:pPr>
            <w:r>
              <w:rPr>
                <w:b/>
                <w:sz w:val="18"/>
              </w:rPr>
              <w:t>Actividad</w:t>
            </w:r>
            <w:r>
              <w:rPr>
                <w:b/>
                <w:spacing w:val="-13"/>
                <w:sz w:val="18"/>
              </w:rPr>
              <w:t> </w:t>
            </w:r>
            <w:r>
              <w:rPr>
                <w:b/>
                <w:sz w:val="18"/>
              </w:rPr>
              <w:t>PAC</w:t>
            </w:r>
            <w:r>
              <w:rPr>
                <w:b/>
                <w:spacing w:val="-12"/>
                <w:sz w:val="18"/>
              </w:rPr>
              <w:t> </w:t>
            </w:r>
            <w:r>
              <w:rPr>
                <w:b/>
                <w:sz w:val="18"/>
              </w:rPr>
              <w:t>2.84.5:</w:t>
            </w:r>
            <w:r>
              <w:rPr>
                <w:b/>
                <w:spacing w:val="-7"/>
                <w:sz w:val="18"/>
              </w:rPr>
              <w:t> </w:t>
            </w:r>
            <w:r>
              <w:rPr>
                <w:sz w:val="18"/>
              </w:rPr>
              <w:t>Elaboración informe semestral de avance en el cumplimiento de las disposiciones de la CGR dirigidas al IMAS o al </w:t>
            </w:r>
            <w:r>
              <w:rPr>
                <w:spacing w:val="-2"/>
                <w:sz w:val="18"/>
              </w:rPr>
              <w:t>MDHIS</w:t>
            </w:r>
          </w:p>
        </w:tc>
        <w:tc>
          <w:tcPr>
            <w:tcW w:w="1560" w:type="dxa"/>
          </w:tcPr>
          <w:p>
            <w:pPr>
              <w:pStyle w:val="TableParagraph"/>
              <w:ind w:left="67" w:right="108"/>
              <w:rPr>
                <w:sz w:val="18"/>
              </w:rPr>
            </w:pPr>
            <w:r>
              <w:rPr>
                <w:sz w:val="18"/>
              </w:rPr>
              <w:t>Cantidad</w:t>
            </w:r>
            <w:r>
              <w:rPr>
                <w:spacing w:val="-13"/>
                <w:sz w:val="18"/>
              </w:rPr>
              <w:t> </w:t>
            </w:r>
            <w:r>
              <w:rPr>
                <w:sz w:val="18"/>
              </w:rPr>
              <w:t>de </w:t>
            </w:r>
            <w:r>
              <w:rPr>
                <w:spacing w:val="-2"/>
                <w:sz w:val="18"/>
              </w:rPr>
              <w:t>informes </w:t>
            </w:r>
            <w:r>
              <w:rPr>
                <w:sz w:val="18"/>
              </w:rPr>
              <w:t>remitidos a </w:t>
            </w:r>
            <w:r>
              <w:rPr>
                <w:spacing w:val="-2"/>
                <w:sz w:val="18"/>
              </w:rPr>
              <w:t>Presidencia </w:t>
            </w:r>
            <w:r>
              <w:rPr>
                <w:sz w:val="18"/>
              </w:rPr>
              <w:t>Ejecutiva y</w:t>
            </w:r>
          </w:p>
          <w:p>
            <w:pPr>
              <w:pStyle w:val="TableParagraph"/>
              <w:spacing w:line="200" w:lineRule="atLeast"/>
              <w:ind w:left="67" w:right="469"/>
              <w:rPr>
                <w:sz w:val="18"/>
              </w:rPr>
            </w:pPr>
            <w:r>
              <w:rPr>
                <w:spacing w:val="-2"/>
                <w:sz w:val="18"/>
              </w:rPr>
              <w:t>Gerencia General</w:t>
            </w: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8" w:right="21"/>
              <w:jc w:val="center"/>
              <w:rPr>
                <w:sz w:val="18"/>
              </w:rPr>
            </w:pPr>
            <w:r>
              <w:rPr>
                <w:spacing w:val="-10"/>
                <w:sz w:val="18"/>
              </w:rPr>
              <w:t>1</w:t>
            </w: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8" w:right="11"/>
              <w:jc w:val="center"/>
              <w:rPr>
                <w:sz w:val="18"/>
              </w:rPr>
            </w:pPr>
            <w:r>
              <w:rPr>
                <w:spacing w:val="-10"/>
                <w:sz w:val="18"/>
              </w:rPr>
              <w:t>2</w:t>
            </w:r>
          </w:p>
        </w:tc>
        <w:tc>
          <w:tcPr>
            <w:tcW w:w="1234" w:type="dxa"/>
          </w:tcPr>
          <w:p>
            <w:pPr>
              <w:pStyle w:val="TableParagraph"/>
              <w:rPr>
                <w:rFonts w:ascii="Times New Roman"/>
                <w:sz w:val="18"/>
              </w:rPr>
            </w:pPr>
          </w:p>
        </w:tc>
        <w:tc>
          <w:tcPr>
            <w:tcW w:w="1282" w:type="dxa"/>
          </w:tcPr>
          <w:p>
            <w:pPr>
              <w:pStyle w:val="TableParagraph"/>
              <w:rPr>
                <w:rFonts w:ascii="Times New Roman"/>
                <w:sz w:val="18"/>
              </w:rPr>
            </w:pPr>
          </w:p>
        </w:tc>
        <w:tc>
          <w:tcPr>
            <w:tcW w:w="1230"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861"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92"/>
        <w:gridCol w:w="1560"/>
        <w:gridCol w:w="1181"/>
        <w:gridCol w:w="1186"/>
        <w:gridCol w:w="1200"/>
        <w:gridCol w:w="1248"/>
        <w:gridCol w:w="1181"/>
        <w:gridCol w:w="1234"/>
        <w:gridCol w:w="1282"/>
        <w:gridCol w:w="1230"/>
      </w:tblGrid>
      <w:tr>
        <w:trPr>
          <w:trHeight w:val="556" w:hRule="atLeast"/>
        </w:trPr>
        <w:tc>
          <w:tcPr>
            <w:tcW w:w="3092" w:type="dxa"/>
            <w:vMerge w:val="restart"/>
            <w:shd w:val="clear" w:color="auto" w:fill="F1F1F1"/>
          </w:tcPr>
          <w:p>
            <w:pPr>
              <w:pStyle w:val="TableParagraph"/>
              <w:rPr>
                <w:b/>
                <w:sz w:val="18"/>
              </w:rPr>
            </w:pPr>
          </w:p>
          <w:p>
            <w:pPr>
              <w:pStyle w:val="TableParagraph"/>
              <w:spacing w:before="141"/>
              <w:rPr>
                <w:b/>
                <w:sz w:val="18"/>
              </w:rPr>
            </w:pPr>
          </w:p>
          <w:p>
            <w:pPr>
              <w:pStyle w:val="TableParagraph"/>
              <w:ind w:left="576"/>
              <w:rPr>
                <w:b/>
                <w:sz w:val="18"/>
              </w:rPr>
            </w:pPr>
            <w:r>
              <w:rPr>
                <w:b/>
                <w:sz w:val="18"/>
              </w:rPr>
              <w:t>Objetivos</w:t>
            </w:r>
            <w:r>
              <w:rPr>
                <w:b/>
                <w:spacing w:val="-5"/>
                <w:sz w:val="18"/>
              </w:rPr>
              <w:t> </w:t>
            </w:r>
            <w:r>
              <w:rPr>
                <w:b/>
                <w:sz w:val="18"/>
              </w:rPr>
              <w:t>/</w:t>
            </w:r>
            <w:r>
              <w:rPr>
                <w:b/>
                <w:spacing w:val="-2"/>
                <w:sz w:val="18"/>
              </w:rPr>
              <w:t> Resultados</w:t>
            </w:r>
          </w:p>
        </w:tc>
        <w:tc>
          <w:tcPr>
            <w:tcW w:w="1560" w:type="dxa"/>
            <w:vMerge w:val="restart"/>
            <w:shd w:val="clear" w:color="auto" w:fill="F1F1F1"/>
          </w:tcPr>
          <w:p>
            <w:pPr>
              <w:pStyle w:val="TableParagraph"/>
              <w:rPr>
                <w:b/>
                <w:sz w:val="18"/>
              </w:rPr>
            </w:pPr>
          </w:p>
          <w:p>
            <w:pPr>
              <w:pStyle w:val="TableParagraph"/>
              <w:spacing w:before="141"/>
              <w:rPr>
                <w:b/>
                <w:sz w:val="18"/>
              </w:rPr>
            </w:pPr>
          </w:p>
          <w:p>
            <w:pPr>
              <w:pStyle w:val="TableParagraph"/>
              <w:ind w:left="370"/>
              <w:rPr>
                <w:b/>
                <w:sz w:val="18"/>
              </w:rPr>
            </w:pPr>
            <w:r>
              <w:rPr>
                <w:b/>
                <w:spacing w:val="-2"/>
                <w:sz w:val="18"/>
              </w:rPr>
              <w:t>Indicador</w:t>
            </w:r>
          </w:p>
        </w:tc>
        <w:tc>
          <w:tcPr>
            <w:tcW w:w="2367" w:type="dxa"/>
            <w:gridSpan w:val="2"/>
            <w:shd w:val="clear" w:color="auto" w:fill="F1F1F1"/>
          </w:tcPr>
          <w:p>
            <w:pPr>
              <w:pStyle w:val="TableParagraph"/>
              <w:spacing w:before="171"/>
              <w:ind w:left="720"/>
              <w:rPr>
                <w:b/>
                <w:sz w:val="18"/>
              </w:rPr>
            </w:pPr>
            <w:r>
              <w:rPr>
                <w:b/>
                <w:sz w:val="18"/>
              </w:rPr>
              <w:t>I</w:t>
            </w:r>
            <w:r>
              <w:rPr>
                <w:b/>
                <w:spacing w:val="-1"/>
                <w:sz w:val="18"/>
              </w:rPr>
              <w:t> </w:t>
            </w:r>
            <w:r>
              <w:rPr>
                <w:b/>
                <w:spacing w:val="-2"/>
                <w:sz w:val="18"/>
              </w:rPr>
              <w:t>Trimestre</w:t>
            </w:r>
          </w:p>
        </w:tc>
        <w:tc>
          <w:tcPr>
            <w:tcW w:w="2448" w:type="dxa"/>
            <w:gridSpan w:val="2"/>
            <w:shd w:val="clear" w:color="auto" w:fill="F1F1F1"/>
          </w:tcPr>
          <w:p>
            <w:pPr>
              <w:pStyle w:val="TableParagraph"/>
              <w:spacing w:before="171"/>
              <w:ind w:left="739"/>
              <w:rPr>
                <w:b/>
                <w:sz w:val="18"/>
              </w:rPr>
            </w:pPr>
            <w:r>
              <w:rPr>
                <w:b/>
                <w:sz w:val="18"/>
              </w:rPr>
              <w:t>II</w:t>
            </w:r>
            <w:r>
              <w:rPr>
                <w:b/>
                <w:spacing w:val="-3"/>
                <w:sz w:val="18"/>
              </w:rPr>
              <w:t> </w:t>
            </w:r>
            <w:r>
              <w:rPr>
                <w:b/>
                <w:spacing w:val="-2"/>
                <w:sz w:val="18"/>
              </w:rPr>
              <w:t>Trimestre</w:t>
            </w:r>
          </w:p>
        </w:tc>
        <w:tc>
          <w:tcPr>
            <w:tcW w:w="2415" w:type="dxa"/>
            <w:gridSpan w:val="2"/>
            <w:shd w:val="clear" w:color="auto" w:fill="F1F1F1"/>
          </w:tcPr>
          <w:p>
            <w:pPr>
              <w:pStyle w:val="TableParagraph"/>
              <w:spacing w:before="171"/>
              <w:ind w:left="697"/>
              <w:rPr>
                <w:b/>
                <w:sz w:val="18"/>
              </w:rPr>
            </w:pPr>
            <w:r>
              <w:rPr>
                <w:b/>
                <w:sz w:val="18"/>
              </w:rPr>
              <w:t>III</w:t>
            </w:r>
            <w:r>
              <w:rPr>
                <w:b/>
                <w:spacing w:val="-2"/>
                <w:sz w:val="18"/>
              </w:rPr>
              <w:t> Trimestre</w:t>
            </w:r>
          </w:p>
        </w:tc>
        <w:tc>
          <w:tcPr>
            <w:tcW w:w="2512" w:type="dxa"/>
            <w:gridSpan w:val="2"/>
            <w:shd w:val="clear" w:color="auto" w:fill="F1F1F1"/>
          </w:tcPr>
          <w:p>
            <w:pPr>
              <w:pStyle w:val="TableParagraph"/>
              <w:spacing w:before="171"/>
              <w:ind w:left="735"/>
              <w:rPr>
                <w:b/>
                <w:sz w:val="18"/>
              </w:rPr>
            </w:pPr>
            <w:r>
              <w:rPr>
                <w:b/>
                <w:sz w:val="18"/>
              </w:rPr>
              <w:t>IV</w:t>
            </w:r>
            <w:r>
              <w:rPr>
                <w:b/>
                <w:spacing w:val="-2"/>
                <w:sz w:val="18"/>
              </w:rPr>
              <w:t> Trimestre</w:t>
            </w:r>
          </w:p>
        </w:tc>
      </w:tr>
      <w:tr>
        <w:trPr>
          <w:trHeight w:val="748" w:hRule="atLeast"/>
        </w:trPr>
        <w:tc>
          <w:tcPr>
            <w:tcW w:w="3092" w:type="dxa"/>
            <w:vMerge/>
            <w:tcBorders>
              <w:top w:val="nil"/>
            </w:tcBorders>
            <w:shd w:val="clear" w:color="auto" w:fill="F1F1F1"/>
          </w:tcPr>
          <w:p>
            <w:pPr>
              <w:rPr>
                <w:sz w:val="2"/>
                <w:szCs w:val="2"/>
              </w:rPr>
            </w:pPr>
          </w:p>
        </w:tc>
        <w:tc>
          <w:tcPr>
            <w:tcW w:w="1560" w:type="dxa"/>
            <w:vMerge/>
            <w:tcBorders>
              <w:top w:val="nil"/>
            </w:tcBorders>
            <w:shd w:val="clear" w:color="auto" w:fill="F1F1F1"/>
          </w:tcPr>
          <w:p>
            <w:pPr>
              <w:rPr>
                <w:sz w:val="2"/>
                <w:szCs w:val="2"/>
              </w:rPr>
            </w:pPr>
          </w:p>
        </w:tc>
        <w:tc>
          <w:tcPr>
            <w:tcW w:w="1181" w:type="dxa"/>
            <w:shd w:val="clear" w:color="auto" w:fill="F1F1F1"/>
          </w:tcPr>
          <w:p>
            <w:pPr>
              <w:pStyle w:val="TableParagraph"/>
              <w:spacing w:before="167"/>
              <w:ind w:left="67" w:firstLine="312"/>
              <w:rPr>
                <w:b/>
                <w:sz w:val="18"/>
              </w:rPr>
            </w:pPr>
            <w:r>
              <w:rPr>
                <w:b/>
                <w:spacing w:val="-4"/>
                <w:sz w:val="18"/>
              </w:rPr>
              <w:t>Meta </w:t>
            </w:r>
            <w:r>
              <w:rPr>
                <w:b/>
                <w:spacing w:val="-2"/>
                <w:sz w:val="18"/>
              </w:rPr>
              <w:t>programada</w:t>
            </w:r>
          </w:p>
        </w:tc>
        <w:tc>
          <w:tcPr>
            <w:tcW w:w="1186" w:type="dxa"/>
            <w:shd w:val="clear" w:color="auto" w:fill="F1F1F1"/>
          </w:tcPr>
          <w:p>
            <w:pPr>
              <w:pStyle w:val="TableParagraph"/>
              <w:spacing w:before="60"/>
              <w:rPr>
                <w:b/>
                <w:sz w:val="18"/>
              </w:rPr>
            </w:pPr>
          </w:p>
          <w:p>
            <w:pPr>
              <w:pStyle w:val="TableParagraph"/>
              <w:ind w:left="11" w:right="9"/>
              <w:jc w:val="center"/>
              <w:rPr>
                <w:b/>
                <w:sz w:val="18"/>
              </w:rPr>
            </w:pPr>
            <w:r>
              <w:rPr>
                <w:b/>
                <w:spacing w:val="-10"/>
                <w:sz w:val="18"/>
              </w:rPr>
              <w:t>¢</w:t>
            </w:r>
          </w:p>
        </w:tc>
        <w:tc>
          <w:tcPr>
            <w:tcW w:w="1200" w:type="dxa"/>
            <w:shd w:val="clear" w:color="auto" w:fill="F1F1F1"/>
          </w:tcPr>
          <w:p>
            <w:pPr>
              <w:pStyle w:val="TableParagraph"/>
              <w:spacing w:before="167"/>
              <w:ind w:left="82" w:firstLine="312"/>
              <w:rPr>
                <w:b/>
                <w:sz w:val="18"/>
              </w:rPr>
            </w:pPr>
            <w:r>
              <w:rPr>
                <w:b/>
                <w:spacing w:val="-4"/>
                <w:sz w:val="18"/>
              </w:rPr>
              <w:t>Meta </w:t>
            </w:r>
            <w:r>
              <w:rPr>
                <w:b/>
                <w:spacing w:val="-2"/>
                <w:sz w:val="18"/>
              </w:rPr>
              <w:t>programada</w:t>
            </w:r>
          </w:p>
        </w:tc>
        <w:tc>
          <w:tcPr>
            <w:tcW w:w="1248" w:type="dxa"/>
            <w:shd w:val="clear" w:color="auto" w:fill="F1F1F1"/>
          </w:tcPr>
          <w:p>
            <w:pPr>
              <w:pStyle w:val="TableParagraph"/>
              <w:spacing w:before="60"/>
              <w:rPr>
                <w:b/>
                <w:sz w:val="18"/>
              </w:rPr>
            </w:pPr>
          </w:p>
          <w:p>
            <w:pPr>
              <w:pStyle w:val="TableParagraph"/>
              <w:ind w:left="21" w:right="4"/>
              <w:jc w:val="center"/>
              <w:rPr>
                <w:b/>
                <w:sz w:val="18"/>
              </w:rPr>
            </w:pPr>
            <w:r>
              <w:rPr>
                <w:b/>
                <w:spacing w:val="-10"/>
                <w:sz w:val="18"/>
              </w:rPr>
              <w:t>¢</w:t>
            </w:r>
          </w:p>
        </w:tc>
        <w:tc>
          <w:tcPr>
            <w:tcW w:w="1181" w:type="dxa"/>
            <w:shd w:val="clear" w:color="auto" w:fill="F1F1F1"/>
          </w:tcPr>
          <w:p>
            <w:pPr>
              <w:pStyle w:val="TableParagraph"/>
              <w:spacing w:before="167"/>
              <w:ind w:left="73" w:firstLine="312"/>
              <w:rPr>
                <w:b/>
                <w:sz w:val="18"/>
              </w:rPr>
            </w:pPr>
            <w:r>
              <w:rPr>
                <w:b/>
                <w:spacing w:val="-4"/>
                <w:sz w:val="18"/>
              </w:rPr>
              <w:t>Meta </w:t>
            </w:r>
            <w:r>
              <w:rPr>
                <w:b/>
                <w:spacing w:val="-2"/>
                <w:sz w:val="18"/>
              </w:rPr>
              <w:t>programada</w:t>
            </w:r>
          </w:p>
        </w:tc>
        <w:tc>
          <w:tcPr>
            <w:tcW w:w="1234" w:type="dxa"/>
            <w:shd w:val="clear" w:color="auto" w:fill="F1F1F1"/>
          </w:tcPr>
          <w:p>
            <w:pPr>
              <w:pStyle w:val="TableParagraph"/>
              <w:spacing w:before="60"/>
              <w:rPr>
                <w:b/>
                <w:sz w:val="18"/>
              </w:rPr>
            </w:pPr>
          </w:p>
          <w:p>
            <w:pPr>
              <w:pStyle w:val="TableParagraph"/>
              <w:ind w:left="50" w:right="37"/>
              <w:jc w:val="center"/>
              <w:rPr>
                <w:b/>
                <w:sz w:val="18"/>
              </w:rPr>
            </w:pPr>
            <w:r>
              <w:rPr>
                <w:b/>
                <w:spacing w:val="-10"/>
                <w:sz w:val="18"/>
              </w:rPr>
              <w:t>¢</w:t>
            </w:r>
          </w:p>
        </w:tc>
        <w:tc>
          <w:tcPr>
            <w:tcW w:w="1282" w:type="dxa"/>
            <w:shd w:val="clear" w:color="auto" w:fill="F1F1F1"/>
          </w:tcPr>
          <w:p>
            <w:pPr>
              <w:pStyle w:val="TableParagraph"/>
              <w:spacing w:before="167"/>
              <w:ind w:left="121" w:firstLine="316"/>
              <w:rPr>
                <w:b/>
                <w:sz w:val="18"/>
              </w:rPr>
            </w:pPr>
            <w:r>
              <w:rPr>
                <w:b/>
                <w:spacing w:val="-4"/>
                <w:sz w:val="18"/>
              </w:rPr>
              <w:t>Meta </w:t>
            </w:r>
            <w:r>
              <w:rPr>
                <w:b/>
                <w:spacing w:val="-2"/>
                <w:sz w:val="18"/>
              </w:rPr>
              <w:t>programada</w:t>
            </w:r>
          </w:p>
        </w:tc>
        <w:tc>
          <w:tcPr>
            <w:tcW w:w="1230" w:type="dxa"/>
            <w:shd w:val="clear" w:color="auto" w:fill="F1F1F1"/>
          </w:tcPr>
          <w:p>
            <w:pPr>
              <w:pStyle w:val="TableParagraph"/>
              <w:spacing w:before="60"/>
              <w:rPr>
                <w:b/>
                <w:sz w:val="18"/>
              </w:rPr>
            </w:pPr>
          </w:p>
          <w:p>
            <w:pPr>
              <w:pStyle w:val="TableParagraph"/>
              <w:ind w:left="51" w:right="34"/>
              <w:jc w:val="center"/>
              <w:rPr>
                <w:b/>
                <w:sz w:val="18"/>
              </w:rPr>
            </w:pPr>
            <w:r>
              <w:rPr>
                <w:b/>
                <w:spacing w:val="-10"/>
                <w:sz w:val="18"/>
              </w:rPr>
              <w:t>¢</w:t>
            </w:r>
          </w:p>
        </w:tc>
      </w:tr>
      <w:tr>
        <w:trPr>
          <w:trHeight w:val="1502" w:hRule="atLeast"/>
        </w:trPr>
        <w:tc>
          <w:tcPr>
            <w:tcW w:w="3092" w:type="dxa"/>
          </w:tcPr>
          <w:p>
            <w:pPr>
              <w:pStyle w:val="TableParagraph"/>
              <w:spacing w:before="27"/>
              <w:rPr>
                <w:b/>
                <w:sz w:val="18"/>
              </w:rPr>
            </w:pPr>
          </w:p>
          <w:p>
            <w:pPr>
              <w:pStyle w:val="TableParagraph"/>
              <w:ind w:left="72" w:right="79"/>
              <w:rPr>
                <w:sz w:val="18"/>
              </w:rPr>
            </w:pPr>
            <w:r>
              <w:rPr>
                <w:b/>
                <w:sz w:val="18"/>
              </w:rPr>
              <w:t>Actividad PAC 2.84.6: </w:t>
            </w:r>
            <w:r>
              <w:rPr>
                <w:sz w:val="18"/>
              </w:rPr>
              <w:t>Recopilar la información requerida para completar</w:t>
            </w:r>
            <w:r>
              <w:rPr>
                <w:spacing w:val="-6"/>
                <w:sz w:val="18"/>
              </w:rPr>
              <w:t> </w:t>
            </w:r>
            <w:r>
              <w:rPr>
                <w:sz w:val="18"/>
              </w:rPr>
              <w:t>el</w:t>
            </w:r>
            <w:r>
              <w:rPr>
                <w:spacing w:val="-9"/>
                <w:sz w:val="18"/>
              </w:rPr>
              <w:t> </w:t>
            </w:r>
            <w:r>
              <w:rPr>
                <w:sz w:val="18"/>
              </w:rPr>
              <w:t>Índice</w:t>
            </w:r>
            <w:r>
              <w:rPr>
                <w:spacing w:val="-7"/>
                <w:sz w:val="18"/>
              </w:rPr>
              <w:t> </w:t>
            </w:r>
            <w:r>
              <w:rPr>
                <w:sz w:val="18"/>
              </w:rPr>
              <w:t>de</w:t>
            </w:r>
            <w:r>
              <w:rPr>
                <w:spacing w:val="-7"/>
                <w:sz w:val="18"/>
              </w:rPr>
              <w:t> </w:t>
            </w:r>
            <w:r>
              <w:rPr>
                <w:sz w:val="18"/>
              </w:rPr>
              <w:t>Capacidad</w:t>
            </w:r>
            <w:r>
              <w:rPr>
                <w:spacing w:val="-4"/>
                <w:sz w:val="18"/>
              </w:rPr>
              <w:t> </w:t>
            </w:r>
            <w:r>
              <w:rPr>
                <w:sz w:val="18"/>
              </w:rPr>
              <w:t>de Gestión Institucional (ICGI) de la </w:t>
            </w:r>
            <w:r>
              <w:rPr>
                <w:spacing w:val="-4"/>
                <w:sz w:val="18"/>
              </w:rPr>
              <w:t>CGR</w:t>
            </w:r>
          </w:p>
        </w:tc>
        <w:tc>
          <w:tcPr>
            <w:tcW w:w="1560" w:type="dxa"/>
          </w:tcPr>
          <w:p>
            <w:pPr>
              <w:pStyle w:val="TableParagraph"/>
              <w:spacing w:before="27"/>
              <w:rPr>
                <w:b/>
                <w:sz w:val="18"/>
              </w:rPr>
            </w:pPr>
          </w:p>
          <w:p>
            <w:pPr>
              <w:pStyle w:val="TableParagraph"/>
              <w:ind w:left="67" w:right="58"/>
              <w:rPr>
                <w:sz w:val="18"/>
              </w:rPr>
            </w:pPr>
            <w:r>
              <w:rPr>
                <w:sz w:val="18"/>
              </w:rPr>
              <w:t>Cantidad de formularios de respuesta</w:t>
            </w:r>
            <w:r>
              <w:rPr>
                <w:spacing w:val="-15"/>
                <w:sz w:val="18"/>
              </w:rPr>
              <w:t> </w:t>
            </w:r>
            <w:r>
              <w:rPr>
                <w:sz w:val="18"/>
              </w:rPr>
              <w:t>al</w:t>
            </w:r>
            <w:r>
              <w:rPr>
                <w:spacing w:val="-12"/>
                <w:sz w:val="18"/>
              </w:rPr>
              <w:t> </w:t>
            </w:r>
            <w:r>
              <w:rPr>
                <w:sz w:val="18"/>
              </w:rPr>
              <w:t>ICG remitidos a la </w:t>
            </w:r>
            <w:r>
              <w:rPr>
                <w:spacing w:val="-4"/>
                <w:sz w:val="18"/>
              </w:rPr>
              <w:t>CGR</w:t>
            </w:r>
          </w:p>
        </w:tc>
        <w:tc>
          <w:tcPr>
            <w:tcW w:w="1181" w:type="dxa"/>
          </w:tcPr>
          <w:p>
            <w:pPr>
              <w:pStyle w:val="TableParagraph"/>
              <w:rPr>
                <w:rFonts w:ascii="Times New Roman"/>
                <w:sz w:val="18"/>
              </w:rPr>
            </w:pPr>
          </w:p>
        </w:tc>
        <w:tc>
          <w:tcPr>
            <w:tcW w:w="1186" w:type="dxa"/>
          </w:tcPr>
          <w:p>
            <w:pPr>
              <w:pStyle w:val="TableParagraph"/>
              <w:rPr>
                <w:rFonts w:ascii="Times New Roman"/>
                <w:sz w:val="18"/>
              </w:rPr>
            </w:pPr>
          </w:p>
        </w:tc>
        <w:tc>
          <w:tcPr>
            <w:tcW w:w="1200" w:type="dxa"/>
          </w:tcPr>
          <w:p>
            <w:pPr>
              <w:pStyle w:val="TableParagraph"/>
              <w:rPr>
                <w:rFonts w:ascii="Times New Roman"/>
                <w:sz w:val="18"/>
              </w:rPr>
            </w:pPr>
          </w:p>
        </w:tc>
        <w:tc>
          <w:tcPr>
            <w:tcW w:w="1248" w:type="dxa"/>
          </w:tcPr>
          <w:p>
            <w:pPr>
              <w:pStyle w:val="TableParagraph"/>
              <w:rPr>
                <w:rFonts w:ascii="Times New Roman"/>
                <w:sz w:val="18"/>
              </w:rPr>
            </w:pPr>
          </w:p>
        </w:tc>
        <w:tc>
          <w:tcPr>
            <w:tcW w:w="1181" w:type="dxa"/>
          </w:tcPr>
          <w:p>
            <w:pPr>
              <w:pStyle w:val="TableParagraph"/>
              <w:rPr>
                <w:rFonts w:ascii="Times New Roman"/>
                <w:sz w:val="18"/>
              </w:rPr>
            </w:pPr>
          </w:p>
        </w:tc>
        <w:tc>
          <w:tcPr>
            <w:tcW w:w="1234" w:type="dxa"/>
          </w:tcPr>
          <w:p>
            <w:pPr>
              <w:pStyle w:val="TableParagraph"/>
              <w:rPr>
                <w:rFonts w:ascii="Times New Roman"/>
                <w:sz w:val="18"/>
              </w:rPr>
            </w:pPr>
          </w:p>
        </w:tc>
        <w:tc>
          <w:tcPr>
            <w:tcW w:w="1282" w:type="dxa"/>
          </w:tcPr>
          <w:p>
            <w:pPr>
              <w:pStyle w:val="TableParagraph"/>
              <w:rPr>
                <w:b/>
                <w:sz w:val="18"/>
              </w:rPr>
            </w:pPr>
          </w:p>
          <w:p>
            <w:pPr>
              <w:pStyle w:val="TableParagraph"/>
              <w:rPr>
                <w:b/>
                <w:sz w:val="18"/>
              </w:rPr>
            </w:pPr>
          </w:p>
          <w:p>
            <w:pPr>
              <w:pStyle w:val="TableParagraph"/>
              <w:spacing w:before="26"/>
              <w:rPr>
                <w:b/>
                <w:sz w:val="18"/>
              </w:rPr>
            </w:pPr>
          </w:p>
          <w:p>
            <w:pPr>
              <w:pStyle w:val="TableParagraph"/>
              <w:ind w:left="20" w:right="7"/>
              <w:jc w:val="center"/>
              <w:rPr>
                <w:sz w:val="18"/>
              </w:rPr>
            </w:pPr>
            <w:r>
              <w:rPr>
                <w:spacing w:val="-10"/>
                <w:sz w:val="18"/>
              </w:rPr>
              <w:t>1</w:t>
            </w:r>
          </w:p>
        </w:tc>
        <w:tc>
          <w:tcPr>
            <w:tcW w:w="1230"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69"/>
        <w:gridCol w:w="2180"/>
        <w:gridCol w:w="1181"/>
        <w:gridCol w:w="1081"/>
        <w:gridCol w:w="1182"/>
        <w:gridCol w:w="1081"/>
        <w:gridCol w:w="1182"/>
        <w:gridCol w:w="1081"/>
        <w:gridCol w:w="1181"/>
        <w:gridCol w:w="1081"/>
      </w:tblGrid>
      <w:tr>
        <w:trPr>
          <w:trHeight w:val="302" w:hRule="atLeast"/>
        </w:trPr>
        <w:tc>
          <w:tcPr>
            <w:tcW w:w="3169" w:type="dxa"/>
            <w:vMerge w:val="restart"/>
            <w:shd w:val="clear" w:color="auto" w:fill="D7D7D7"/>
          </w:tcPr>
          <w:p>
            <w:pPr>
              <w:pStyle w:val="TableParagraph"/>
              <w:spacing w:before="70"/>
              <w:rPr>
                <w:b/>
                <w:sz w:val="18"/>
              </w:rPr>
            </w:pPr>
          </w:p>
          <w:p>
            <w:pPr>
              <w:pStyle w:val="TableParagraph"/>
              <w:ind w:left="614"/>
              <w:rPr>
                <w:b/>
                <w:sz w:val="18"/>
              </w:rPr>
            </w:pPr>
            <w:r>
              <w:rPr>
                <w:b/>
                <w:sz w:val="18"/>
              </w:rPr>
              <w:t>Objetivos</w:t>
            </w:r>
            <w:r>
              <w:rPr>
                <w:b/>
                <w:spacing w:val="-5"/>
                <w:sz w:val="18"/>
              </w:rPr>
              <w:t> </w:t>
            </w:r>
            <w:r>
              <w:rPr>
                <w:b/>
                <w:sz w:val="18"/>
              </w:rPr>
              <w:t>/</w:t>
            </w:r>
            <w:r>
              <w:rPr>
                <w:b/>
                <w:spacing w:val="-2"/>
                <w:sz w:val="18"/>
              </w:rPr>
              <w:t> Resultados</w:t>
            </w:r>
          </w:p>
        </w:tc>
        <w:tc>
          <w:tcPr>
            <w:tcW w:w="2180" w:type="dxa"/>
            <w:vMerge w:val="restart"/>
            <w:shd w:val="clear" w:color="auto" w:fill="D7D7D7"/>
          </w:tcPr>
          <w:p>
            <w:pPr>
              <w:pStyle w:val="TableParagraph"/>
              <w:spacing w:before="70"/>
              <w:rPr>
                <w:b/>
                <w:sz w:val="18"/>
              </w:rPr>
            </w:pPr>
          </w:p>
          <w:p>
            <w:pPr>
              <w:pStyle w:val="TableParagraph"/>
              <w:ind w:left="681"/>
              <w:rPr>
                <w:b/>
                <w:sz w:val="18"/>
              </w:rPr>
            </w:pPr>
            <w:r>
              <w:rPr>
                <w:b/>
                <w:spacing w:val="-2"/>
                <w:sz w:val="18"/>
              </w:rPr>
              <w:t>Indicador</w:t>
            </w:r>
          </w:p>
        </w:tc>
        <w:tc>
          <w:tcPr>
            <w:tcW w:w="2262" w:type="dxa"/>
            <w:gridSpan w:val="2"/>
            <w:shd w:val="clear" w:color="auto" w:fill="D7D7D7"/>
          </w:tcPr>
          <w:p>
            <w:pPr>
              <w:pStyle w:val="TableParagraph"/>
              <w:spacing w:before="47"/>
              <w:ind w:left="672"/>
              <w:rPr>
                <w:b/>
                <w:sz w:val="18"/>
              </w:rPr>
            </w:pPr>
            <w:r>
              <w:rPr>
                <w:b/>
                <w:sz w:val="18"/>
              </w:rPr>
              <w:t>I</w:t>
            </w:r>
            <w:r>
              <w:rPr>
                <w:b/>
                <w:spacing w:val="-1"/>
                <w:sz w:val="18"/>
              </w:rPr>
              <w:t> </w:t>
            </w:r>
            <w:r>
              <w:rPr>
                <w:b/>
                <w:spacing w:val="-2"/>
                <w:sz w:val="18"/>
              </w:rPr>
              <w:t>Trimestre</w:t>
            </w:r>
          </w:p>
        </w:tc>
        <w:tc>
          <w:tcPr>
            <w:tcW w:w="2263" w:type="dxa"/>
            <w:gridSpan w:val="2"/>
            <w:shd w:val="clear" w:color="auto" w:fill="D7D7D7"/>
          </w:tcPr>
          <w:p>
            <w:pPr>
              <w:pStyle w:val="TableParagraph"/>
              <w:spacing w:before="47"/>
              <w:ind w:left="647"/>
              <w:rPr>
                <w:b/>
                <w:sz w:val="18"/>
              </w:rPr>
            </w:pPr>
            <w:r>
              <w:rPr>
                <w:b/>
                <w:sz w:val="18"/>
              </w:rPr>
              <w:t>II</w:t>
            </w:r>
            <w:r>
              <w:rPr>
                <w:b/>
                <w:spacing w:val="-3"/>
                <w:sz w:val="18"/>
              </w:rPr>
              <w:t> </w:t>
            </w:r>
            <w:r>
              <w:rPr>
                <w:b/>
                <w:spacing w:val="-2"/>
                <w:sz w:val="18"/>
              </w:rPr>
              <w:t>Trimestre</w:t>
            </w:r>
          </w:p>
        </w:tc>
        <w:tc>
          <w:tcPr>
            <w:tcW w:w="2263" w:type="dxa"/>
            <w:gridSpan w:val="2"/>
            <w:shd w:val="clear" w:color="auto" w:fill="D7D7D7"/>
          </w:tcPr>
          <w:p>
            <w:pPr>
              <w:pStyle w:val="TableParagraph"/>
              <w:spacing w:before="47"/>
              <w:ind w:left="612"/>
              <w:rPr>
                <w:b/>
                <w:sz w:val="18"/>
              </w:rPr>
            </w:pPr>
            <w:r>
              <w:rPr>
                <w:b/>
                <w:sz w:val="18"/>
              </w:rPr>
              <w:t>III</w:t>
            </w:r>
            <w:r>
              <w:rPr>
                <w:b/>
                <w:spacing w:val="-2"/>
                <w:sz w:val="18"/>
              </w:rPr>
              <w:t> Trimestre</w:t>
            </w:r>
          </w:p>
        </w:tc>
        <w:tc>
          <w:tcPr>
            <w:tcW w:w="2262" w:type="dxa"/>
            <w:gridSpan w:val="2"/>
            <w:shd w:val="clear" w:color="auto" w:fill="D7D7D7"/>
          </w:tcPr>
          <w:p>
            <w:pPr>
              <w:pStyle w:val="TableParagraph"/>
              <w:spacing w:before="47"/>
              <w:ind w:left="600"/>
              <w:rPr>
                <w:b/>
                <w:sz w:val="18"/>
              </w:rPr>
            </w:pPr>
            <w:r>
              <w:rPr>
                <w:b/>
                <w:sz w:val="18"/>
              </w:rPr>
              <w:t>IV</w:t>
            </w:r>
            <w:r>
              <w:rPr>
                <w:b/>
                <w:spacing w:val="-2"/>
                <w:sz w:val="18"/>
              </w:rPr>
              <w:t> Trimestre</w:t>
            </w:r>
          </w:p>
        </w:tc>
      </w:tr>
      <w:tr>
        <w:trPr>
          <w:trHeight w:val="451" w:hRule="atLeast"/>
        </w:trPr>
        <w:tc>
          <w:tcPr>
            <w:tcW w:w="3169" w:type="dxa"/>
            <w:vMerge/>
            <w:tcBorders>
              <w:top w:val="nil"/>
            </w:tcBorders>
            <w:shd w:val="clear" w:color="auto" w:fill="D7D7D7"/>
          </w:tcPr>
          <w:p>
            <w:pPr>
              <w:rPr>
                <w:sz w:val="2"/>
                <w:szCs w:val="2"/>
              </w:rPr>
            </w:pPr>
          </w:p>
        </w:tc>
        <w:tc>
          <w:tcPr>
            <w:tcW w:w="2180" w:type="dxa"/>
            <w:vMerge/>
            <w:tcBorders>
              <w:top w:val="nil"/>
            </w:tcBorders>
            <w:shd w:val="clear" w:color="auto" w:fill="D7D7D7"/>
          </w:tcPr>
          <w:p>
            <w:pPr>
              <w:rPr>
                <w:sz w:val="2"/>
                <w:szCs w:val="2"/>
              </w:rPr>
            </w:pPr>
          </w:p>
        </w:tc>
        <w:tc>
          <w:tcPr>
            <w:tcW w:w="1181" w:type="dxa"/>
            <w:shd w:val="clear" w:color="auto" w:fill="D7D7D7"/>
          </w:tcPr>
          <w:p>
            <w:pPr>
              <w:pStyle w:val="TableParagraph"/>
              <w:spacing w:line="200" w:lineRule="atLeast" w:before="17"/>
              <w:ind w:left="72" w:firstLine="312"/>
              <w:rPr>
                <w:b/>
                <w:sz w:val="18"/>
              </w:rPr>
            </w:pPr>
            <w:r>
              <w:rPr>
                <w:b/>
                <w:spacing w:val="-4"/>
                <w:sz w:val="18"/>
              </w:rPr>
              <w:t>Meta </w:t>
            </w:r>
            <w:r>
              <w:rPr>
                <w:b/>
                <w:spacing w:val="-2"/>
                <w:sz w:val="18"/>
              </w:rPr>
              <w:t>programada</w:t>
            </w:r>
          </w:p>
        </w:tc>
        <w:tc>
          <w:tcPr>
            <w:tcW w:w="1081" w:type="dxa"/>
            <w:shd w:val="clear" w:color="auto" w:fill="D7D7D7"/>
          </w:tcPr>
          <w:p>
            <w:pPr>
              <w:pStyle w:val="TableParagraph"/>
              <w:spacing w:before="119"/>
              <w:ind w:left="14" w:right="4"/>
              <w:jc w:val="center"/>
              <w:rPr>
                <w:b/>
                <w:sz w:val="18"/>
              </w:rPr>
            </w:pPr>
            <w:r>
              <w:rPr>
                <w:b/>
                <w:spacing w:val="-10"/>
                <w:sz w:val="18"/>
              </w:rPr>
              <w:t>¢</w:t>
            </w:r>
          </w:p>
        </w:tc>
        <w:tc>
          <w:tcPr>
            <w:tcW w:w="1182" w:type="dxa"/>
            <w:shd w:val="clear" w:color="auto" w:fill="D7D7D7"/>
          </w:tcPr>
          <w:p>
            <w:pPr>
              <w:pStyle w:val="TableParagraph"/>
              <w:spacing w:line="200" w:lineRule="atLeast" w:before="17"/>
              <w:ind w:left="71" w:firstLine="312"/>
              <w:rPr>
                <w:b/>
                <w:sz w:val="18"/>
              </w:rPr>
            </w:pPr>
            <w:r>
              <w:rPr>
                <w:b/>
                <w:spacing w:val="-4"/>
                <w:sz w:val="18"/>
              </w:rPr>
              <w:t>Meta </w:t>
            </w:r>
            <w:r>
              <w:rPr>
                <w:b/>
                <w:spacing w:val="-2"/>
                <w:sz w:val="18"/>
              </w:rPr>
              <w:t>programada</w:t>
            </w:r>
          </w:p>
        </w:tc>
        <w:tc>
          <w:tcPr>
            <w:tcW w:w="1081" w:type="dxa"/>
            <w:shd w:val="clear" w:color="auto" w:fill="D7D7D7"/>
          </w:tcPr>
          <w:p>
            <w:pPr>
              <w:pStyle w:val="TableParagraph"/>
              <w:spacing w:before="119"/>
              <w:ind w:left="10" w:right="4"/>
              <w:jc w:val="center"/>
              <w:rPr>
                <w:b/>
                <w:sz w:val="18"/>
              </w:rPr>
            </w:pPr>
            <w:r>
              <w:rPr>
                <w:b/>
                <w:spacing w:val="-10"/>
                <w:sz w:val="18"/>
              </w:rPr>
              <w:t>¢</w:t>
            </w:r>
          </w:p>
        </w:tc>
        <w:tc>
          <w:tcPr>
            <w:tcW w:w="1182" w:type="dxa"/>
            <w:shd w:val="clear" w:color="auto" w:fill="D7D7D7"/>
          </w:tcPr>
          <w:p>
            <w:pPr>
              <w:pStyle w:val="TableParagraph"/>
              <w:spacing w:line="200" w:lineRule="atLeast" w:before="17"/>
              <w:ind w:left="64" w:firstLine="312"/>
              <w:rPr>
                <w:b/>
                <w:sz w:val="18"/>
              </w:rPr>
            </w:pPr>
            <w:r>
              <w:rPr>
                <w:b/>
                <w:spacing w:val="-4"/>
                <w:sz w:val="18"/>
              </w:rPr>
              <w:t>Meta </w:t>
            </w:r>
            <w:r>
              <w:rPr>
                <w:b/>
                <w:spacing w:val="-2"/>
                <w:sz w:val="18"/>
              </w:rPr>
              <w:t>programada</w:t>
            </w:r>
          </w:p>
        </w:tc>
        <w:tc>
          <w:tcPr>
            <w:tcW w:w="1081" w:type="dxa"/>
            <w:shd w:val="clear" w:color="auto" w:fill="D7D7D7"/>
          </w:tcPr>
          <w:p>
            <w:pPr>
              <w:pStyle w:val="TableParagraph"/>
              <w:spacing w:before="119"/>
              <w:ind w:left="10" w:right="14"/>
              <w:jc w:val="center"/>
              <w:rPr>
                <w:b/>
                <w:sz w:val="18"/>
              </w:rPr>
            </w:pPr>
            <w:r>
              <w:rPr>
                <w:b/>
                <w:spacing w:val="-10"/>
                <w:sz w:val="18"/>
              </w:rPr>
              <w:t>¢</w:t>
            </w:r>
          </w:p>
        </w:tc>
        <w:tc>
          <w:tcPr>
            <w:tcW w:w="1181" w:type="dxa"/>
            <w:shd w:val="clear" w:color="auto" w:fill="D7D7D7"/>
          </w:tcPr>
          <w:p>
            <w:pPr>
              <w:pStyle w:val="TableParagraph"/>
              <w:spacing w:line="200" w:lineRule="atLeast" w:before="17"/>
              <w:ind w:left="63" w:firstLine="312"/>
              <w:rPr>
                <w:b/>
                <w:sz w:val="18"/>
              </w:rPr>
            </w:pPr>
            <w:r>
              <w:rPr>
                <w:b/>
                <w:spacing w:val="-4"/>
                <w:sz w:val="18"/>
              </w:rPr>
              <w:t>Meta </w:t>
            </w:r>
            <w:r>
              <w:rPr>
                <w:b/>
                <w:spacing w:val="-2"/>
                <w:sz w:val="18"/>
              </w:rPr>
              <w:t>programada</w:t>
            </w:r>
          </w:p>
        </w:tc>
        <w:tc>
          <w:tcPr>
            <w:tcW w:w="1081" w:type="dxa"/>
            <w:shd w:val="clear" w:color="auto" w:fill="D7D7D7"/>
          </w:tcPr>
          <w:p>
            <w:pPr>
              <w:pStyle w:val="TableParagraph"/>
              <w:spacing w:before="119"/>
              <w:ind w:left="10" w:right="14"/>
              <w:jc w:val="center"/>
              <w:rPr>
                <w:b/>
                <w:sz w:val="18"/>
              </w:rPr>
            </w:pPr>
            <w:r>
              <w:rPr>
                <w:b/>
                <w:spacing w:val="-10"/>
                <w:sz w:val="18"/>
              </w:rPr>
              <w:t>¢</w:t>
            </w:r>
          </w:p>
        </w:tc>
      </w:tr>
      <w:tr>
        <w:trPr>
          <w:trHeight w:val="614" w:hRule="atLeast"/>
        </w:trPr>
        <w:tc>
          <w:tcPr>
            <w:tcW w:w="14399" w:type="dxa"/>
            <w:gridSpan w:val="10"/>
            <w:shd w:val="clear" w:color="auto" w:fill="F1F1F1"/>
          </w:tcPr>
          <w:p>
            <w:pPr>
              <w:pStyle w:val="TableParagraph"/>
              <w:spacing w:before="99"/>
              <w:ind w:left="72"/>
              <w:rPr>
                <w:b/>
                <w:sz w:val="18"/>
              </w:rPr>
            </w:pPr>
            <w:r>
              <w:rPr>
                <w:b/>
                <w:sz w:val="18"/>
              </w:rPr>
              <w:t>Efecto:</w:t>
            </w:r>
            <w:r>
              <w:rPr>
                <w:b/>
                <w:spacing w:val="40"/>
                <w:sz w:val="18"/>
              </w:rPr>
              <w:t> </w:t>
            </w:r>
            <w:r>
              <w:rPr>
                <w:b/>
                <w:sz w:val="18"/>
              </w:rPr>
              <w:t>Realizar</w:t>
            </w:r>
            <w:r>
              <w:rPr>
                <w:b/>
                <w:spacing w:val="-2"/>
                <w:sz w:val="18"/>
              </w:rPr>
              <w:t> </w:t>
            </w:r>
            <w:r>
              <w:rPr>
                <w:b/>
                <w:sz w:val="18"/>
              </w:rPr>
              <w:t>una</w:t>
            </w:r>
            <w:r>
              <w:rPr>
                <w:b/>
                <w:spacing w:val="-3"/>
                <w:sz w:val="18"/>
              </w:rPr>
              <w:t> </w:t>
            </w:r>
            <w:r>
              <w:rPr>
                <w:b/>
                <w:sz w:val="18"/>
              </w:rPr>
              <w:t>efectiva</w:t>
            </w:r>
            <w:r>
              <w:rPr>
                <w:b/>
                <w:spacing w:val="-3"/>
                <w:sz w:val="18"/>
              </w:rPr>
              <w:t> </w:t>
            </w:r>
            <w:r>
              <w:rPr>
                <w:b/>
                <w:sz w:val="18"/>
              </w:rPr>
              <w:t>gestión</w:t>
            </w:r>
            <w:r>
              <w:rPr>
                <w:b/>
                <w:spacing w:val="-4"/>
                <w:sz w:val="18"/>
              </w:rPr>
              <w:t> </w:t>
            </w:r>
            <w:r>
              <w:rPr>
                <w:b/>
                <w:sz w:val="18"/>
              </w:rPr>
              <w:t>de</w:t>
            </w:r>
            <w:r>
              <w:rPr>
                <w:b/>
                <w:spacing w:val="-3"/>
                <w:sz w:val="18"/>
              </w:rPr>
              <w:t> </w:t>
            </w:r>
            <w:r>
              <w:rPr>
                <w:b/>
                <w:sz w:val="18"/>
              </w:rPr>
              <w:t>los</w:t>
            </w:r>
            <w:r>
              <w:rPr>
                <w:b/>
                <w:spacing w:val="-3"/>
                <w:sz w:val="18"/>
              </w:rPr>
              <w:t> </w:t>
            </w:r>
            <w:r>
              <w:rPr>
                <w:b/>
                <w:sz w:val="18"/>
              </w:rPr>
              <w:t>recursos</w:t>
            </w:r>
            <w:r>
              <w:rPr>
                <w:b/>
                <w:spacing w:val="-3"/>
                <w:sz w:val="18"/>
              </w:rPr>
              <w:t> </w:t>
            </w:r>
            <w:r>
              <w:rPr>
                <w:b/>
                <w:sz w:val="18"/>
              </w:rPr>
              <w:t>humanos,</w:t>
            </w:r>
            <w:r>
              <w:rPr>
                <w:b/>
                <w:spacing w:val="-1"/>
                <w:sz w:val="18"/>
              </w:rPr>
              <w:t> </w:t>
            </w:r>
            <w:r>
              <w:rPr>
                <w:b/>
                <w:sz w:val="18"/>
              </w:rPr>
              <w:t>financieros,</w:t>
            </w:r>
            <w:r>
              <w:rPr>
                <w:b/>
                <w:spacing w:val="-1"/>
                <w:sz w:val="18"/>
              </w:rPr>
              <w:t> </w:t>
            </w:r>
            <w:r>
              <w:rPr>
                <w:b/>
                <w:sz w:val="18"/>
              </w:rPr>
              <w:t>materiales</w:t>
            </w:r>
            <w:r>
              <w:rPr>
                <w:b/>
                <w:spacing w:val="-3"/>
                <w:sz w:val="18"/>
              </w:rPr>
              <w:t> </w:t>
            </w:r>
            <w:r>
              <w:rPr>
                <w:b/>
                <w:sz w:val="18"/>
              </w:rPr>
              <w:t>y</w:t>
            </w:r>
            <w:r>
              <w:rPr>
                <w:b/>
                <w:spacing w:val="-3"/>
                <w:sz w:val="18"/>
              </w:rPr>
              <w:t> </w:t>
            </w:r>
            <w:r>
              <w:rPr>
                <w:b/>
                <w:sz w:val="18"/>
              </w:rPr>
              <w:t>tecnológicos, con el</w:t>
            </w:r>
            <w:r>
              <w:rPr>
                <w:b/>
                <w:spacing w:val="-1"/>
                <w:sz w:val="18"/>
              </w:rPr>
              <w:t> </w:t>
            </w:r>
            <w:r>
              <w:rPr>
                <w:b/>
                <w:sz w:val="18"/>
              </w:rPr>
              <w:t>fin</w:t>
            </w:r>
            <w:r>
              <w:rPr>
                <w:b/>
                <w:spacing w:val="-4"/>
                <w:sz w:val="18"/>
              </w:rPr>
              <w:t> </w:t>
            </w:r>
            <w:r>
              <w:rPr>
                <w:b/>
                <w:sz w:val="18"/>
              </w:rPr>
              <w:t>de contribuir</w:t>
            </w:r>
            <w:r>
              <w:rPr>
                <w:b/>
                <w:spacing w:val="-2"/>
                <w:sz w:val="18"/>
              </w:rPr>
              <w:t> </w:t>
            </w:r>
            <w:r>
              <w:rPr>
                <w:b/>
                <w:sz w:val="18"/>
              </w:rPr>
              <w:t>con</w:t>
            </w:r>
            <w:r>
              <w:rPr>
                <w:b/>
                <w:spacing w:val="-4"/>
                <w:sz w:val="18"/>
              </w:rPr>
              <w:t> </w:t>
            </w:r>
            <w:r>
              <w:rPr>
                <w:b/>
                <w:sz w:val="18"/>
              </w:rPr>
              <w:t>la</w:t>
            </w:r>
            <w:r>
              <w:rPr>
                <w:b/>
                <w:spacing w:val="-3"/>
                <w:sz w:val="18"/>
              </w:rPr>
              <w:t> </w:t>
            </w:r>
            <w:r>
              <w:rPr>
                <w:b/>
                <w:sz w:val="18"/>
              </w:rPr>
              <w:t>institucionalización de</w:t>
            </w:r>
            <w:r>
              <w:rPr>
                <w:b/>
                <w:spacing w:val="-3"/>
                <w:sz w:val="18"/>
              </w:rPr>
              <w:t> </w:t>
            </w:r>
            <w:r>
              <w:rPr>
                <w:b/>
                <w:sz w:val="18"/>
              </w:rPr>
              <w:t>la estrategia de intervención de la población en situación de pobreza y pobreza extrema</w:t>
            </w:r>
          </w:p>
        </w:tc>
      </w:tr>
      <w:tr>
        <w:trPr>
          <w:trHeight w:val="523" w:hRule="atLeast"/>
        </w:trPr>
        <w:tc>
          <w:tcPr>
            <w:tcW w:w="14399" w:type="dxa"/>
            <w:gridSpan w:val="10"/>
            <w:shd w:val="clear" w:color="auto" w:fill="EFF8F9"/>
          </w:tcPr>
          <w:p>
            <w:pPr>
              <w:pStyle w:val="TableParagraph"/>
              <w:spacing w:before="157"/>
              <w:ind w:left="72"/>
              <w:rPr>
                <w:b/>
                <w:sz w:val="18"/>
              </w:rPr>
            </w:pPr>
            <w:r>
              <w:rPr>
                <w:b/>
                <w:sz w:val="18"/>
              </w:rPr>
              <w:t>Producto</w:t>
            </w:r>
            <w:r>
              <w:rPr>
                <w:b/>
                <w:spacing w:val="-8"/>
                <w:sz w:val="18"/>
              </w:rPr>
              <w:t> </w:t>
            </w:r>
            <w:r>
              <w:rPr>
                <w:b/>
                <w:sz w:val="18"/>
              </w:rPr>
              <w:t>PAC</w:t>
            </w:r>
            <w:r>
              <w:rPr>
                <w:b/>
                <w:spacing w:val="-8"/>
                <w:sz w:val="18"/>
              </w:rPr>
              <w:t> </w:t>
            </w:r>
            <w:r>
              <w:rPr>
                <w:b/>
                <w:sz w:val="18"/>
              </w:rPr>
              <w:t>2.85:</w:t>
            </w:r>
            <w:r>
              <w:rPr>
                <w:b/>
                <w:spacing w:val="-4"/>
                <w:sz w:val="18"/>
              </w:rPr>
              <w:t> </w:t>
            </w:r>
            <w:r>
              <w:rPr>
                <w:b/>
                <w:sz w:val="18"/>
              </w:rPr>
              <w:t>Instituciones</w:t>
            </w:r>
            <w:r>
              <w:rPr>
                <w:b/>
                <w:spacing w:val="-7"/>
                <w:sz w:val="18"/>
              </w:rPr>
              <w:t> </w:t>
            </w:r>
            <w:r>
              <w:rPr>
                <w:b/>
                <w:sz w:val="18"/>
              </w:rPr>
              <w:t>del Sector Social participando</w:t>
            </w:r>
            <w:r>
              <w:rPr>
                <w:b/>
                <w:spacing w:val="-7"/>
                <w:sz w:val="18"/>
              </w:rPr>
              <w:t> </w:t>
            </w:r>
            <w:r>
              <w:rPr>
                <w:b/>
                <w:sz w:val="18"/>
              </w:rPr>
              <w:t>en</w:t>
            </w:r>
            <w:r>
              <w:rPr>
                <w:b/>
                <w:spacing w:val="-8"/>
                <w:sz w:val="18"/>
              </w:rPr>
              <w:t> </w:t>
            </w:r>
            <w:r>
              <w:rPr>
                <w:b/>
                <w:sz w:val="18"/>
              </w:rPr>
              <w:t>la</w:t>
            </w:r>
            <w:r>
              <w:rPr>
                <w:b/>
                <w:spacing w:val="-6"/>
                <w:sz w:val="18"/>
              </w:rPr>
              <w:t> </w:t>
            </w:r>
            <w:r>
              <w:rPr>
                <w:b/>
                <w:sz w:val="18"/>
              </w:rPr>
              <w:t>ejecución</w:t>
            </w:r>
            <w:r>
              <w:rPr>
                <w:b/>
                <w:spacing w:val="-7"/>
                <w:sz w:val="18"/>
              </w:rPr>
              <w:t> </w:t>
            </w:r>
            <w:r>
              <w:rPr>
                <w:b/>
                <w:sz w:val="18"/>
              </w:rPr>
              <w:t>de</w:t>
            </w:r>
            <w:r>
              <w:rPr>
                <w:b/>
                <w:spacing w:val="-7"/>
                <w:sz w:val="18"/>
              </w:rPr>
              <w:t> </w:t>
            </w:r>
            <w:r>
              <w:rPr>
                <w:b/>
                <w:sz w:val="18"/>
              </w:rPr>
              <w:t>la</w:t>
            </w:r>
            <w:r>
              <w:rPr>
                <w:b/>
                <w:spacing w:val="-6"/>
                <w:sz w:val="18"/>
              </w:rPr>
              <w:t> </w:t>
            </w:r>
            <w:r>
              <w:rPr>
                <w:b/>
                <w:sz w:val="18"/>
              </w:rPr>
              <w:t>política</w:t>
            </w:r>
            <w:r>
              <w:rPr>
                <w:b/>
                <w:spacing w:val="-6"/>
                <w:sz w:val="18"/>
              </w:rPr>
              <w:t> </w:t>
            </w:r>
            <w:r>
              <w:rPr>
                <w:b/>
                <w:sz w:val="18"/>
              </w:rPr>
              <w:t>pública.</w:t>
            </w:r>
            <w:r>
              <w:rPr>
                <w:b/>
                <w:spacing w:val="-5"/>
                <w:sz w:val="18"/>
              </w:rPr>
              <w:t> </w:t>
            </w:r>
            <w:r>
              <w:rPr>
                <w:b/>
                <w:sz w:val="18"/>
              </w:rPr>
              <w:t>(E4</w:t>
            </w:r>
            <w:r>
              <w:rPr>
                <w:b/>
                <w:spacing w:val="-2"/>
                <w:sz w:val="18"/>
              </w:rPr>
              <w:t> </w:t>
            </w:r>
            <w:r>
              <w:rPr>
                <w:b/>
                <w:sz w:val="18"/>
              </w:rPr>
              <w:t>AE1</w:t>
            </w:r>
            <w:r>
              <w:rPr>
                <w:b/>
                <w:spacing w:val="-7"/>
                <w:sz w:val="18"/>
              </w:rPr>
              <w:t> </w:t>
            </w:r>
            <w:r>
              <w:rPr>
                <w:b/>
                <w:sz w:val="18"/>
              </w:rPr>
              <w:t>R4)</w:t>
            </w:r>
            <w:r>
              <w:rPr>
                <w:b/>
                <w:spacing w:val="-4"/>
                <w:sz w:val="18"/>
              </w:rPr>
              <w:t> </w:t>
            </w:r>
            <w:r>
              <w:rPr>
                <w:b/>
                <w:sz w:val="18"/>
              </w:rPr>
              <w:t>4</w:t>
            </w:r>
            <w:r>
              <w:rPr>
                <w:b/>
                <w:spacing w:val="-6"/>
                <w:sz w:val="18"/>
              </w:rPr>
              <w:t> </w:t>
            </w:r>
            <w:r>
              <w:rPr>
                <w:b/>
                <w:spacing w:val="-2"/>
                <w:sz w:val="18"/>
              </w:rPr>
              <w:t>INSTITUCIONES</w:t>
            </w:r>
          </w:p>
        </w:tc>
      </w:tr>
      <w:tr>
        <w:trPr>
          <w:trHeight w:val="830" w:hRule="atLeast"/>
        </w:trPr>
        <w:tc>
          <w:tcPr>
            <w:tcW w:w="3169" w:type="dxa"/>
          </w:tcPr>
          <w:p>
            <w:pPr>
              <w:pStyle w:val="TableParagraph"/>
              <w:spacing w:line="242" w:lineRule="auto"/>
              <w:ind w:left="72" w:right="88"/>
              <w:rPr>
                <w:sz w:val="18"/>
              </w:rPr>
            </w:pPr>
            <w:r>
              <w:rPr>
                <w:b/>
                <w:sz w:val="18"/>
              </w:rPr>
              <w:t>Actividad</w:t>
            </w:r>
            <w:r>
              <w:rPr>
                <w:b/>
                <w:spacing w:val="-12"/>
                <w:sz w:val="18"/>
              </w:rPr>
              <w:t> </w:t>
            </w:r>
            <w:r>
              <w:rPr>
                <w:b/>
                <w:sz w:val="18"/>
              </w:rPr>
              <w:t>PAC</w:t>
            </w:r>
            <w:r>
              <w:rPr>
                <w:b/>
                <w:spacing w:val="-9"/>
                <w:sz w:val="18"/>
              </w:rPr>
              <w:t> </w:t>
            </w:r>
            <w:r>
              <w:rPr>
                <w:b/>
                <w:sz w:val="18"/>
              </w:rPr>
              <w:t>2.85.1:</w:t>
            </w:r>
            <w:r>
              <w:rPr>
                <w:b/>
                <w:spacing w:val="-3"/>
                <w:sz w:val="18"/>
              </w:rPr>
              <w:t> </w:t>
            </w:r>
            <w:r>
              <w:rPr>
                <w:sz w:val="18"/>
              </w:rPr>
              <w:t>Elaborar</w:t>
            </w:r>
            <w:r>
              <w:rPr>
                <w:spacing w:val="-9"/>
                <w:sz w:val="18"/>
              </w:rPr>
              <w:t> </w:t>
            </w:r>
            <w:r>
              <w:rPr>
                <w:sz w:val="18"/>
              </w:rPr>
              <w:t>y oficializar vía decreto la Política y Plan para la Superación de la</w:t>
            </w:r>
          </w:p>
          <w:p>
            <w:pPr>
              <w:pStyle w:val="TableParagraph"/>
              <w:spacing w:line="184" w:lineRule="exact"/>
              <w:ind w:left="72"/>
              <w:rPr>
                <w:sz w:val="18"/>
              </w:rPr>
            </w:pPr>
            <w:r>
              <w:rPr>
                <w:sz w:val="18"/>
              </w:rPr>
              <w:t>Pobreza</w:t>
            </w:r>
            <w:r>
              <w:rPr>
                <w:spacing w:val="-6"/>
                <w:sz w:val="18"/>
              </w:rPr>
              <w:t> </w:t>
            </w:r>
            <w:r>
              <w:rPr>
                <w:sz w:val="18"/>
              </w:rPr>
              <w:t>IMAS </w:t>
            </w:r>
            <w:r>
              <w:rPr>
                <w:spacing w:val="-2"/>
                <w:sz w:val="18"/>
              </w:rPr>
              <w:t>IMPULSA</w:t>
            </w:r>
          </w:p>
        </w:tc>
        <w:tc>
          <w:tcPr>
            <w:tcW w:w="2180" w:type="dxa"/>
          </w:tcPr>
          <w:p>
            <w:pPr>
              <w:pStyle w:val="TableParagraph"/>
              <w:spacing w:before="3"/>
              <w:rPr>
                <w:b/>
                <w:sz w:val="18"/>
              </w:rPr>
            </w:pPr>
          </w:p>
          <w:p>
            <w:pPr>
              <w:pStyle w:val="TableParagraph"/>
              <w:ind w:left="67"/>
              <w:rPr>
                <w:sz w:val="18"/>
              </w:rPr>
            </w:pPr>
            <w:r>
              <w:rPr>
                <w:sz w:val="18"/>
              </w:rPr>
              <w:t>Cantidad</w:t>
            </w:r>
            <w:r>
              <w:rPr>
                <w:spacing w:val="-15"/>
                <w:sz w:val="18"/>
              </w:rPr>
              <w:t> </w:t>
            </w:r>
            <w:r>
              <w:rPr>
                <w:sz w:val="18"/>
              </w:rPr>
              <w:t>de</w:t>
            </w:r>
            <w:r>
              <w:rPr>
                <w:spacing w:val="-12"/>
                <w:sz w:val="18"/>
              </w:rPr>
              <w:t> </w:t>
            </w:r>
            <w:r>
              <w:rPr>
                <w:sz w:val="18"/>
              </w:rPr>
              <w:t>Políticas </w:t>
            </w:r>
            <w:r>
              <w:rPr>
                <w:spacing w:val="-2"/>
                <w:sz w:val="18"/>
              </w:rPr>
              <w:t>elaboradas</w:t>
            </w:r>
          </w:p>
        </w:tc>
        <w:tc>
          <w:tcPr>
            <w:tcW w:w="1181" w:type="dxa"/>
          </w:tcPr>
          <w:p>
            <w:pPr>
              <w:pStyle w:val="TableParagraph"/>
              <w:spacing w:before="103"/>
              <w:rPr>
                <w:b/>
                <w:sz w:val="18"/>
              </w:rPr>
            </w:pPr>
          </w:p>
          <w:p>
            <w:pPr>
              <w:pStyle w:val="TableParagraph"/>
              <w:spacing w:before="1"/>
              <w:ind w:left="28" w:right="13"/>
              <w:jc w:val="center"/>
              <w:rPr>
                <w:sz w:val="18"/>
              </w:rPr>
            </w:pPr>
            <w:r>
              <w:rPr>
                <w:spacing w:val="-10"/>
                <w:sz w:val="18"/>
              </w:rPr>
              <w:t>1</w:t>
            </w: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897" w:hRule="atLeast"/>
        </w:trPr>
        <w:tc>
          <w:tcPr>
            <w:tcW w:w="3169" w:type="dxa"/>
          </w:tcPr>
          <w:p>
            <w:pPr>
              <w:pStyle w:val="TableParagraph"/>
              <w:spacing w:line="242" w:lineRule="auto" w:before="32"/>
              <w:ind w:left="72"/>
              <w:rPr>
                <w:sz w:val="18"/>
              </w:rPr>
            </w:pPr>
            <w:r>
              <w:rPr>
                <w:b/>
                <w:sz w:val="18"/>
              </w:rPr>
              <w:t>Actividad PAC 2.85.2: </w:t>
            </w:r>
            <w:r>
              <w:rPr>
                <w:sz w:val="18"/>
              </w:rPr>
              <w:t>Realizar sesiones</w:t>
            </w:r>
            <w:r>
              <w:rPr>
                <w:spacing w:val="-9"/>
                <w:sz w:val="18"/>
              </w:rPr>
              <w:t> </w:t>
            </w:r>
            <w:r>
              <w:rPr>
                <w:sz w:val="18"/>
              </w:rPr>
              <w:t>de</w:t>
            </w:r>
            <w:r>
              <w:rPr>
                <w:spacing w:val="-9"/>
                <w:sz w:val="18"/>
              </w:rPr>
              <w:t> </w:t>
            </w:r>
            <w:r>
              <w:rPr>
                <w:sz w:val="18"/>
              </w:rPr>
              <w:t>sensibilización</w:t>
            </w:r>
            <w:r>
              <w:rPr>
                <w:spacing w:val="-9"/>
                <w:sz w:val="18"/>
              </w:rPr>
              <w:t> </w:t>
            </w:r>
            <w:r>
              <w:rPr>
                <w:sz w:val="18"/>
              </w:rPr>
              <w:t>sobre</w:t>
            </w:r>
            <w:r>
              <w:rPr>
                <w:spacing w:val="-6"/>
                <w:sz w:val="18"/>
              </w:rPr>
              <w:t> </w:t>
            </w:r>
            <w:r>
              <w:rPr>
                <w:sz w:val="18"/>
              </w:rPr>
              <w:t>el plan de acción de la Política IMAS </w:t>
            </w:r>
            <w:r>
              <w:rPr>
                <w:spacing w:val="-2"/>
                <w:sz w:val="18"/>
              </w:rPr>
              <w:t>IMPULSA</w:t>
            </w:r>
          </w:p>
        </w:tc>
        <w:tc>
          <w:tcPr>
            <w:tcW w:w="2180" w:type="dxa"/>
          </w:tcPr>
          <w:p>
            <w:pPr>
              <w:pStyle w:val="TableParagraph"/>
              <w:spacing w:line="242" w:lineRule="auto" w:before="32"/>
              <w:ind w:left="67"/>
              <w:rPr>
                <w:sz w:val="18"/>
              </w:rPr>
            </w:pPr>
            <w:r>
              <w:rPr>
                <w:sz w:val="18"/>
              </w:rPr>
              <w:t>Cantidad</w:t>
            </w:r>
            <w:r>
              <w:rPr>
                <w:spacing w:val="-15"/>
                <w:sz w:val="18"/>
              </w:rPr>
              <w:t> </w:t>
            </w:r>
            <w:r>
              <w:rPr>
                <w:sz w:val="18"/>
              </w:rPr>
              <w:t>de</w:t>
            </w:r>
            <w:r>
              <w:rPr>
                <w:spacing w:val="-12"/>
                <w:sz w:val="18"/>
              </w:rPr>
              <w:t> </w:t>
            </w:r>
            <w:r>
              <w:rPr>
                <w:sz w:val="18"/>
              </w:rPr>
              <w:t>instituciones sensibilizadas sobre los alcances de la política </w:t>
            </w:r>
            <w:r>
              <w:rPr>
                <w:spacing w:val="-2"/>
                <w:sz w:val="18"/>
              </w:rPr>
              <w:t>pública</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spacing w:before="138"/>
              <w:rPr>
                <w:b/>
                <w:sz w:val="18"/>
              </w:rPr>
            </w:pPr>
          </w:p>
          <w:p>
            <w:pPr>
              <w:pStyle w:val="TableParagraph"/>
              <w:ind w:left="21" w:right="9"/>
              <w:jc w:val="center"/>
              <w:rPr>
                <w:sz w:val="18"/>
              </w:rPr>
            </w:pPr>
            <w:r>
              <w:rPr>
                <w:spacing w:val="-10"/>
                <w:sz w:val="18"/>
              </w:rPr>
              <w:t>4</w:t>
            </w: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1449" w:hRule="atLeast"/>
        </w:trPr>
        <w:tc>
          <w:tcPr>
            <w:tcW w:w="3169" w:type="dxa"/>
          </w:tcPr>
          <w:p>
            <w:pPr>
              <w:pStyle w:val="TableParagraph"/>
              <w:spacing w:before="3"/>
              <w:ind w:left="72" w:right="82"/>
              <w:rPr>
                <w:sz w:val="18"/>
              </w:rPr>
            </w:pPr>
            <w:r>
              <w:rPr>
                <w:b/>
                <w:sz w:val="18"/>
              </w:rPr>
              <w:t>Actividad PAC 2.85.3:</w:t>
            </w:r>
            <w:r>
              <w:rPr>
                <w:b/>
                <w:spacing w:val="40"/>
                <w:sz w:val="18"/>
              </w:rPr>
              <w:t> </w:t>
            </w:r>
            <w:r>
              <w:rPr>
                <w:sz w:val="18"/>
              </w:rPr>
              <w:t>Comunicación formal a las instituciones participantes según decreto</w:t>
            </w:r>
            <w:r>
              <w:rPr>
                <w:spacing w:val="-9"/>
                <w:sz w:val="18"/>
              </w:rPr>
              <w:t> </w:t>
            </w:r>
            <w:r>
              <w:rPr>
                <w:sz w:val="18"/>
              </w:rPr>
              <w:t>de</w:t>
            </w:r>
            <w:r>
              <w:rPr>
                <w:spacing w:val="-9"/>
                <w:sz w:val="18"/>
              </w:rPr>
              <w:t> </w:t>
            </w:r>
            <w:r>
              <w:rPr>
                <w:sz w:val="18"/>
              </w:rPr>
              <w:t>política</w:t>
            </w:r>
            <w:r>
              <w:rPr>
                <w:spacing w:val="-5"/>
                <w:sz w:val="18"/>
              </w:rPr>
              <w:t> </w:t>
            </w:r>
            <w:r>
              <w:rPr>
                <w:sz w:val="18"/>
              </w:rPr>
              <w:t>para</w:t>
            </w:r>
            <w:r>
              <w:rPr>
                <w:spacing w:val="-9"/>
                <w:sz w:val="18"/>
              </w:rPr>
              <w:t> </w:t>
            </w:r>
            <w:r>
              <w:rPr>
                <w:sz w:val="18"/>
              </w:rPr>
              <w:t>la</w:t>
            </w:r>
            <w:r>
              <w:rPr>
                <w:spacing w:val="-5"/>
                <w:sz w:val="18"/>
              </w:rPr>
              <w:t> </w:t>
            </w:r>
            <w:r>
              <w:rPr>
                <w:sz w:val="18"/>
              </w:rPr>
              <w:t>superación de la pobreza IMAS</w:t>
            </w:r>
            <w:r>
              <w:rPr>
                <w:spacing w:val="-1"/>
                <w:sz w:val="18"/>
              </w:rPr>
              <w:t> </w:t>
            </w:r>
            <w:r>
              <w:rPr>
                <w:sz w:val="18"/>
              </w:rPr>
              <w:t>IMPULSA de los tiempos</w:t>
            </w:r>
            <w:r>
              <w:rPr>
                <w:spacing w:val="-2"/>
                <w:sz w:val="18"/>
              </w:rPr>
              <w:t> </w:t>
            </w:r>
            <w:r>
              <w:rPr>
                <w:sz w:val="18"/>
              </w:rPr>
              <w:t>e</w:t>
            </w:r>
            <w:r>
              <w:rPr>
                <w:spacing w:val="-6"/>
                <w:sz w:val="18"/>
              </w:rPr>
              <w:t> </w:t>
            </w:r>
            <w:r>
              <w:rPr>
                <w:sz w:val="18"/>
              </w:rPr>
              <w:t>instrumentos</w:t>
            </w:r>
            <w:r>
              <w:rPr>
                <w:spacing w:val="-6"/>
                <w:sz w:val="18"/>
              </w:rPr>
              <w:t> </w:t>
            </w:r>
            <w:r>
              <w:rPr>
                <w:sz w:val="18"/>
              </w:rPr>
              <w:t>a</w:t>
            </w:r>
            <w:r>
              <w:rPr>
                <w:spacing w:val="-6"/>
                <w:sz w:val="18"/>
              </w:rPr>
              <w:t> </w:t>
            </w:r>
            <w:r>
              <w:rPr>
                <w:sz w:val="18"/>
              </w:rPr>
              <w:t>utilizar</w:t>
            </w:r>
            <w:r>
              <w:rPr>
                <w:spacing w:val="-4"/>
                <w:sz w:val="18"/>
              </w:rPr>
              <w:t> para</w:t>
            </w:r>
          </w:p>
          <w:p>
            <w:pPr>
              <w:pStyle w:val="TableParagraph"/>
              <w:spacing w:line="184" w:lineRule="exact"/>
              <w:ind w:left="72"/>
              <w:rPr>
                <w:sz w:val="18"/>
              </w:rPr>
            </w:pPr>
            <w:r>
              <w:rPr>
                <w:sz w:val="18"/>
              </w:rPr>
              <w:t>el </w:t>
            </w:r>
            <w:r>
              <w:rPr>
                <w:spacing w:val="-2"/>
                <w:sz w:val="18"/>
              </w:rPr>
              <w:t>seguimiento.</w:t>
            </w:r>
          </w:p>
        </w:tc>
        <w:tc>
          <w:tcPr>
            <w:tcW w:w="2180" w:type="dxa"/>
          </w:tcPr>
          <w:p>
            <w:pPr>
              <w:pStyle w:val="TableParagraph"/>
              <w:rPr>
                <w:b/>
                <w:sz w:val="18"/>
              </w:rPr>
            </w:pPr>
          </w:p>
          <w:p>
            <w:pPr>
              <w:pStyle w:val="TableParagraph"/>
              <w:spacing w:before="103"/>
              <w:rPr>
                <w:b/>
                <w:sz w:val="18"/>
              </w:rPr>
            </w:pPr>
          </w:p>
          <w:p>
            <w:pPr>
              <w:pStyle w:val="TableParagraph"/>
              <w:ind w:left="67"/>
              <w:rPr>
                <w:sz w:val="18"/>
              </w:rPr>
            </w:pPr>
            <w:r>
              <w:rPr>
                <w:sz w:val="18"/>
              </w:rPr>
              <w:t>Número</w:t>
            </w:r>
            <w:r>
              <w:rPr>
                <w:spacing w:val="-15"/>
                <w:sz w:val="18"/>
              </w:rPr>
              <w:t> </w:t>
            </w:r>
            <w:r>
              <w:rPr>
                <w:sz w:val="18"/>
              </w:rPr>
              <w:t>de</w:t>
            </w:r>
            <w:r>
              <w:rPr>
                <w:spacing w:val="-12"/>
                <w:sz w:val="18"/>
              </w:rPr>
              <w:t> </w:t>
            </w:r>
            <w:r>
              <w:rPr>
                <w:sz w:val="18"/>
              </w:rPr>
              <w:t>comunicados </w:t>
            </w:r>
            <w:r>
              <w:rPr>
                <w:spacing w:val="-2"/>
                <w:sz w:val="18"/>
              </w:rPr>
              <w:t>realizados</w:t>
            </w:r>
          </w:p>
        </w:tc>
        <w:tc>
          <w:tcPr>
            <w:tcW w:w="1181" w:type="dxa"/>
          </w:tcPr>
          <w:p>
            <w:pPr>
              <w:pStyle w:val="TableParagraph"/>
              <w:rPr>
                <w:rFonts w:ascii="Times New Roman"/>
                <w:sz w:val="18"/>
              </w:rPr>
            </w:pPr>
          </w:p>
        </w:tc>
        <w:tc>
          <w:tcPr>
            <w:tcW w:w="10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4" w:right="4"/>
              <w:jc w:val="center"/>
              <w:rPr>
                <w:sz w:val="18"/>
              </w:rPr>
            </w:pPr>
            <w:r>
              <w:rPr>
                <w:spacing w:val="-10"/>
                <w:sz w:val="18"/>
              </w:rPr>
              <w:t>1</w:t>
            </w: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8" w:right="29"/>
              <w:jc w:val="center"/>
              <w:rPr>
                <w:sz w:val="18"/>
              </w:rPr>
            </w:pPr>
            <w:r>
              <w:rPr>
                <w:spacing w:val="-10"/>
                <w:sz w:val="18"/>
              </w:rPr>
              <w:t>2</w:t>
            </w:r>
          </w:p>
        </w:tc>
        <w:tc>
          <w:tcPr>
            <w:tcW w:w="1081" w:type="dxa"/>
          </w:tcPr>
          <w:p>
            <w:pPr>
              <w:pStyle w:val="TableParagraph"/>
              <w:rPr>
                <w:rFonts w:ascii="Times New Roman"/>
                <w:sz w:val="18"/>
              </w:rPr>
            </w:pPr>
          </w:p>
        </w:tc>
      </w:tr>
      <w:tr>
        <w:trPr>
          <w:trHeight w:val="532" w:hRule="atLeast"/>
        </w:trPr>
        <w:tc>
          <w:tcPr>
            <w:tcW w:w="14399" w:type="dxa"/>
            <w:gridSpan w:val="10"/>
            <w:shd w:val="clear" w:color="auto" w:fill="EFF8F9"/>
          </w:tcPr>
          <w:p>
            <w:pPr>
              <w:pStyle w:val="TableParagraph"/>
              <w:spacing w:before="162"/>
              <w:ind w:left="72"/>
              <w:rPr>
                <w:b/>
                <w:sz w:val="18"/>
              </w:rPr>
            </w:pPr>
            <w:r>
              <w:rPr>
                <w:b/>
                <w:sz w:val="18"/>
              </w:rPr>
              <w:t>Producto</w:t>
            </w:r>
            <w:r>
              <w:rPr>
                <w:b/>
                <w:spacing w:val="-7"/>
                <w:sz w:val="18"/>
              </w:rPr>
              <w:t> </w:t>
            </w:r>
            <w:r>
              <w:rPr>
                <w:b/>
                <w:sz w:val="18"/>
              </w:rPr>
              <w:t>PAC</w:t>
            </w:r>
            <w:r>
              <w:rPr>
                <w:b/>
                <w:spacing w:val="-7"/>
                <w:sz w:val="18"/>
              </w:rPr>
              <w:t> </w:t>
            </w:r>
            <w:r>
              <w:rPr>
                <w:b/>
                <w:sz w:val="18"/>
              </w:rPr>
              <w:t>2.86:</w:t>
            </w:r>
            <w:r>
              <w:rPr>
                <w:b/>
                <w:spacing w:val="-4"/>
                <w:sz w:val="18"/>
              </w:rPr>
              <w:t> </w:t>
            </w:r>
            <w:r>
              <w:rPr>
                <w:b/>
                <w:sz w:val="18"/>
              </w:rPr>
              <w:t>Sistema</w:t>
            </w:r>
            <w:r>
              <w:rPr>
                <w:b/>
                <w:spacing w:val="-1"/>
                <w:sz w:val="18"/>
              </w:rPr>
              <w:t> </w:t>
            </w:r>
            <w:r>
              <w:rPr>
                <w:b/>
                <w:sz w:val="18"/>
              </w:rPr>
              <w:t>de</w:t>
            </w:r>
            <w:r>
              <w:rPr>
                <w:b/>
                <w:spacing w:val="-5"/>
                <w:sz w:val="18"/>
              </w:rPr>
              <w:t> </w:t>
            </w:r>
            <w:r>
              <w:rPr>
                <w:b/>
                <w:sz w:val="18"/>
              </w:rPr>
              <w:t>monitoreo</w:t>
            </w:r>
            <w:r>
              <w:rPr>
                <w:b/>
                <w:spacing w:val="-7"/>
                <w:sz w:val="18"/>
              </w:rPr>
              <w:t> </w:t>
            </w:r>
            <w:r>
              <w:rPr>
                <w:b/>
                <w:sz w:val="18"/>
              </w:rPr>
              <w:t>de</w:t>
            </w:r>
            <w:r>
              <w:rPr>
                <w:b/>
                <w:spacing w:val="-5"/>
                <w:sz w:val="18"/>
              </w:rPr>
              <w:t> </w:t>
            </w:r>
            <w:r>
              <w:rPr>
                <w:b/>
                <w:sz w:val="18"/>
              </w:rPr>
              <w:t>metas</w:t>
            </w:r>
            <w:r>
              <w:rPr>
                <w:b/>
                <w:spacing w:val="-6"/>
                <w:sz w:val="18"/>
              </w:rPr>
              <w:t> </w:t>
            </w:r>
            <w:r>
              <w:rPr>
                <w:b/>
                <w:sz w:val="18"/>
              </w:rPr>
              <w:t>del</w:t>
            </w:r>
            <w:r>
              <w:rPr>
                <w:b/>
                <w:spacing w:val="-7"/>
                <w:sz w:val="18"/>
              </w:rPr>
              <w:t> </w:t>
            </w:r>
            <w:r>
              <w:rPr>
                <w:b/>
                <w:sz w:val="18"/>
              </w:rPr>
              <w:t>PAISS</w:t>
            </w:r>
            <w:r>
              <w:rPr>
                <w:b/>
                <w:spacing w:val="-2"/>
                <w:sz w:val="18"/>
              </w:rPr>
              <w:t> </w:t>
            </w:r>
            <w:r>
              <w:rPr>
                <w:b/>
                <w:sz w:val="18"/>
              </w:rPr>
              <w:t>y</w:t>
            </w:r>
            <w:r>
              <w:rPr>
                <w:b/>
                <w:spacing w:val="-6"/>
                <w:sz w:val="18"/>
              </w:rPr>
              <w:t> </w:t>
            </w:r>
            <w:r>
              <w:rPr>
                <w:b/>
                <w:sz w:val="18"/>
              </w:rPr>
              <w:t>Plan</w:t>
            </w:r>
            <w:r>
              <w:rPr>
                <w:b/>
                <w:spacing w:val="-1"/>
                <w:sz w:val="18"/>
              </w:rPr>
              <w:t> </w:t>
            </w:r>
            <w:r>
              <w:rPr>
                <w:b/>
                <w:sz w:val="18"/>
              </w:rPr>
              <w:t>de</w:t>
            </w:r>
            <w:r>
              <w:rPr>
                <w:b/>
                <w:spacing w:val="-6"/>
                <w:sz w:val="18"/>
              </w:rPr>
              <w:t> </w:t>
            </w:r>
            <w:r>
              <w:rPr>
                <w:b/>
                <w:sz w:val="18"/>
              </w:rPr>
              <w:t>acción</w:t>
            </w:r>
            <w:r>
              <w:rPr>
                <w:b/>
                <w:spacing w:val="-6"/>
                <w:sz w:val="18"/>
              </w:rPr>
              <w:t> </w:t>
            </w:r>
            <w:r>
              <w:rPr>
                <w:b/>
                <w:sz w:val="18"/>
              </w:rPr>
              <w:t>de</w:t>
            </w:r>
            <w:r>
              <w:rPr>
                <w:b/>
                <w:spacing w:val="-5"/>
                <w:sz w:val="18"/>
              </w:rPr>
              <w:t> </w:t>
            </w:r>
            <w:r>
              <w:rPr>
                <w:b/>
                <w:sz w:val="18"/>
              </w:rPr>
              <w:t>la</w:t>
            </w:r>
            <w:r>
              <w:rPr>
                <w:b/>
                <w:spacing w:val="-6"/>
                <w:sz w:val="18"/>
              </w:rPr>
              <w:t> </w:t>
            </w:r>
            <w:r>
              <w:rPr>
                <w:b/>
                <w:sz w:val="18"/>
              </w:rPr>
              <w:t>Política</w:t>
            </w:r>
            <w:r>
              <w:rPr>
                <w:b/>
                <w:spacing w:val="-1"/>
                <w:sz w:val="18"/>
              </w:rPr>
              <w:t> </w:t>
            </w:r>
            <w:r>
              <w:rPr>
                <w:b/>
                <w:sz w:val="18"/>
              </w:rPr>
              <w:t>Pública</w:t>
            </w:r>
            <w:r>
              <w:rPr>
                <w:b/>
                <w:spacing w:val="-6"/>
                <w:sz w:val="18"/>
              </w:rPr>
              <w:t> </w:t>
            </w:r>
            <w:r>
              <w:rPr>
                <w:b/>
                <w:sz w:val="18"/>
              </w:rPr>
              <w:t>operando.</w:t>
            </w:r>
            <w:r>
              <w:rPr>
                <w:b/>
                <w:spacing w:val="-3"/>
                <w:sz w:val="18"/>
              </w:rPr>
              <w:t> </w:t>
            </w:r>
            <w:r>
              <w:rPr>
                <w:b/>
                <w:sz w:val="18"/>
              </w:rPr>
              <w:t>(E4</w:t>
            </w:r>
            <w:r>
              <w:rPr>
                <w:b/>
                <w:spacing w:val="-2"/>
                <w:sz w:val="18"/>
              </w:rPr>
              <w:t> </w:t>
            </w:r>
            <w:r>
              <w:rPr>
                <w:b/>
                <w:sz w:val="18"/>
              </w:rPr>
              <w:t>AE1</w:t>
            </w:r>
            <w:r>
              <w:rPr>
                <w:b/>
                <w:spacing w:val="-1"/>
                <w:sz w:val="18"/>
              </w:rPr>
              <w:t> </w:t>
            </w:r>
            <w:r>
              <w:rPr>
                <w:b/>
                <w:sz w:val="18"/>
              </w:rPr>
              <w:t>R5)</w:t>
            </w:r>
            <w:r>
              <w:rPr>
                <w:b/>
                <w:spacing w:val="-4"/>
                <w:sz w:val="18"/>
              </w:rPr>
              <w:t> </w:t>
            </w:r>
            <w:r>
              <w:rPr>
                <w:b/>
                <w:spacing w:val="-2"/>
                <w:sz w:val="18"/>
              </w:rPr>
              <w:t>(60%)</w:t>
            </w:r>
          </w:p>
        </w:tc>
      </w:tr>
      <w:tr>
        <w:trPr>
          <w:trHeight w:val="825" w:hRule="atLeast"/>
        </w:trPr>
        <w:tc>
          <w:tcPr>
            <w:tcW w:w="3169" w:type="dxa"/>
          </w:tcPr>
          <w:p>
            <w:pPr>
              <w:pStyle w:val="TableParagraph"/>
              <w:spacing w:line="206" w:lineRule="exact"/>
              <w:ind w:left="72"/>
              <w:rPr>
                <w:sz w:val="18"/>
              </w:rPr>
            </w:pPr>
            <w:r>
              <w:rPr>
                <w:b/>
                <w:sz w:val="18"/>
              </w:rPr>
              <w:t>Actividad</w:t>
            </w:r>
            <w:r>
              <w:rPr>
                <w:b/>
                <w:spacing w:val="-12"/>
                <w:sz w:val="18"/>
              </w:rPr>
              <w:t> </w:t>
            </w:r>
            <w:r>
              <w:rPr>
                <w:b/>
                <w:sz w:val="18"/>
              </w:rPr>
              <w:t>PAC</w:t>
            </w:r>
            <w:r>
              <w:rPr>
                <w:b/>
                <w:spacing w:val="-9"/>
                <w:sz w:val="18"/>
              </w:rPr>
              <w:t> </w:t>
            </w:r>
            <w:r>
              <w:rPr>
                <w:b/>
                <w:sz w:val="18"/>
              </w:rPr>
              <w:t>2.86.1:</w:t>
            </w:r>
            <w:r>
              <w:rPr>
                <w:b/>
                <w:spacing w:val="-4"/>
                <w:sz w:val="18"/>
              </w:rPr>
              <w:t> </w:t>
            </w:r>
            <w:r>
              <w:rPr>
                <w:sz w:val="18"/>
              </w:rPr>
              <w:t>Desarrollo</w:t>
            </w:r>
            <w:r>
              <w:rPr>
                <w:spacing w:val="-8"/>
                <w:sz w:val="18"/>
              </w:rPr>
              <w:t> </w:t>
            </w:r>
            <w:r>
              <w:rPr>
                <w:sz w:val="18"/>
              </w:rPr>
              <w:t>de fichas</w:t>
            </w:r>
            <w:r>
              <w:rPr>
                <w:spacing w:val="-10"/>
                <w:sz w:val="18"/>
              </w:rPr>
              <w:t> </w:t>
            </w:r>
            <w:r>
              <w:rPr>
                <w:sz w:val="18"/>
              </w:rPr>
              <w:t>descriptivas</w:t>
            </w:r>
            <w:r>
              <w:rPr>
                <w:spacing w:val="-6"/>
                <w:sz w:val="18"/>
              </w:rPr>
              <w:t> </w:t>
            </w:r>
            <w:r>
              <w:rPr>
                <w:sz w:val="18"/>
              </w:rPr>
              <w:t>de</w:t>
            </w:r>
            <w:r>
              <w:rPr>
                <w:spacing w:val="-7"/>
                <w:sz w:val="18"/>
              </w:rPr>
              <w:t> </w:t>
            </w:r>
            <w:r>
              <w:rPr>
                <w:sz w:val="18"/>
              </w:rPr>
              <w:t>los</w:t>
            </w:r>
            <w:r>
              <w:rPr>
                <w:spacing w:val="-10"/>
                <w:sz w:val="18"/>
              </w:rPr>
              <w:t> </w:t>
            </w:r>
            <w:r>
              <w:rPr>
                <w:sz w:val="18"/>
              </w:rPr>
              <w:t>indicadores del Plan de acción de la política </w:t>
            </w:r>
            <w:r>
              <w:rPr>
                <w:spacing w:val="-2"/>
                <w:sz w:val="18"/>
              </w:rPr>
              <w:t>pública.</w:t>
            </w:r>
          </w:p>
        </w:tc>
        <w:tc>
          <w:tcPr>
            <w:tcW w:w="2180" w:type="dxa"/>
          </w:tcPr>
          <w:p>
            <w:pPr>
              <w:pStyle w:val="TableParagraph"/>
              <w:spacing w:line="206" w:lineRule="exact"/>
              <w:ind w:left="67"/>
              <w:rPr>
                <w:sz w:val="18"/>
              </w:rPr>
            </w:pPr>
            <w:r>
              <w:rPr>
                <w:sz w:val="18"/>
              </w:rPr>
              <w:t>Porcentaje de los indicadores</w:t>
            </w:r>
            <w:r>
              <w:rPr>
                <w:spacing w:val="-15"/>
                <w:sz w:val="18"/>
              </w:rPr>
              <w:t> </w:t>
            </w:r>
            <w:r>
              <w:rPr>
                <w:sz w:val="18"/>
              </w:rPr>
              <w:t>que</w:t>
            </w:r>
            <w:r>
              <w:rPr>
                <w:spacing w:val="-12"/>
                <w:sz w:val="18"/>
              </w:rPr>
              <w:t> </w:t>
            </w:r>
            <w:r>
              <w:rPr>
                <w:sz w:val="18"/>
              </w:rPr>
              <w:t>cuentan con la respectiva ficha </w:t>
            </w:r>
            <w:r>
              <w:rPr>
                <w:spacing w:val="-2"/>
                <w:sz w:val="18"/>
              </w:rPr>
              <w:t>descriptiva</w:t>
            </w:r>
          </w:p>
        </w:tc>
        <w:tc>
          <w:tcPr>
            <w:tcW w:w="1181" w:type="dxa"/>
          </w:tcPr>
          <w:p>
            <w:pPr>
              <w:pStyle w:val="TableParagraph"/>
              <w:spacing w:before="103"/>
              <w:rPr>
                <w:b/>
                <w:sz w:val="18"/>
              </w:rPr>
            </w:pPr>
          </w:p>
          <w:p>
            <w:pPr>
              <w:pStyle w:val="TableParagraph"/>
              <w:spacing w:before="1"/>
              <w:ind w:left="28" w:right="11"/>
              <w:jc w:val="center"/>
              <w:rPr>
                <w:sz w:val="18"/>
              </w:rPr>
            </w:pPr>
            <w:r>
              <w:rPr>
                <w:spacing w:val="-5"/>
                <w:sz w:val="18"/>
              </w:rPr>
              <w:t>20%</w:t>
            </w:r>
          </w:p>
        </w:tc>
        <w:tc>
          <w:tcPr>
            <w:tcW w:w="1081" w:type="dxa"/>
          </w:tcPr>
          <w:p>
            <w:pPr>
              <w:pStyle w:val="TableParagraph"/>
              <w:rPr>
                <w:rFonts w:ascii="Times New Roman"/>
                <w:sz w:val="18"/>
              </w:rPr>
            </w:pPr>
          </w:p>
        </w:tc>
        <w:tc>
          <w:tcPr>
            <w:tcW w:w="1182" w:type="dxa"/>
          </w:tcPr>
          <w:p>
            <w:pPr>
              <w:pStyle w:val="TableParagraph"/>
              <w:spacing w:before="103"/>
              <w:rPr>
                <w:b/>
                <w:sz w:val="18"/>
              </w:rPr>
            </w:pPr>
          </w:p>
          <w:p>
            <w:pPr>
              <w:pStyle w:val="TableParagraph"/>
              <w:spacing w:before="1"/>
              <w:ind w:left="24" w:right="9"/>
              <w:jc w:val="center"/>
              <w:rPr>
                <w:sz w:val="18"/>
              </w:rPr>
            </w:pPr>
            <w:r>
              <w:rPr>
                <w:spacing w:val="-5"/>
                <w:sz w:val="18"/>
              </w:rPr>
              <w:t>40%</w:t>
            </w:r>
          </w:p>
        </w:tc>
        <w:tc>
          <w:tcPr>
            <w:tcW w:w="1081" w:type="dxa"/>
          </w:tcPr>
          <w:p>
            <w:pPr>
              <w:pStyle w:val="TableParagraph"/>
              <w:rPr>
                <w:rFonts w:ascii="Times New Roman"/>
                <w:sz w:val="18"/>
              </w:rPr>
            </w:pPr>
          </w:p>
        </w:tc>
        <w:tc>
          <w:tcPr>
            <w:tcW w:w="1182" w:type="dxa"/>
          </w:tcPr>
          <w:p>
            <w:pPr>
              <w:pStyle w:val="TableParagraph"/>
              <w:spacing w:before="103"/>
              <w:rPr>
                <w:b/>
                <w:sz w:val="18"/>
              </w:rPr>
            </w:pPr>
          </w:p>
          <w:p>
            <w:pPr>
              <w:pStyle w:val="TableParagraph"/>
              <w:spacing w:before="1"/>
              <w:ind w:left="21" w:right="18"/>
              <w:jc w:val="center"/>
              <w:rPr>
                <w:sz w:val="18"/>
              </w:rPr>
            </w:pPr>
            <w:r>
              <w:rPr>
                <w:spacing w:val="-5"/>
                <w:sz w:val="18"/>
              </w:rPr>
              <w:t>60%</w:t>
            </w: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782" w:hRule="atLeast"/>
        </w:trPr>
        <w:tc>
          <w:tcPr>
            <w:tcW w:w="3169" w:type="dxa"/>
          </w:tcPr>
          <w:p>
            <w:pPr>
              <w:pStyle w:val="TableParagraph"/>
              <w:spacing w:before="81"/>
              <w:ind w:left="72" w:right="88"/>
              <w:rPr>
                <w:sz w:val="18"/>
              </w:rPr>
            </w:pPr>
            <w:r>
              <w:rPr>
                <w:b/>
                <w:sz w:val="18"/>
              </w:rPr>
              <w:t>Actividad PAC 2.86.2: </w:t>
            </w:r>
            <w:r>
              <w:rPr>
                <w:sz w:val="18"/>
              </w:rPr>
              <w:t>Elaboración de</w:t>
            </w:r>
            <w:r>
              <w:rPr>
                <w:spacing w:val="-5"/>
                <w:sz w:val="18"/>
              </w:rPr>
              <w:t> </w:t>
            </w:r>
            <w:r>
              <w:rPr>
                <w:sz w:val="18"/>
              </w:rPr>
              <w:t>informes</w:t>
            </w:r>
            <w:r>
              <w:rPr>
                <w:spacing w:val="-9"/>
                <w:sz w:val="18"/>
              </w:rPr>
              <w:t> </w:t>
            </w:r>
            <w:r>
              <w:rPr>
                <w:sz w:val="18"/>
              </w:rPr>
              <w:t>de</w:t>
            </w:r>
            <w:r>
              <w:rPr>
                <w:spacing w:val="-9"/>
                <w:sz w:val="18"/>
              </w:rPr>
              <w:t> </w:t>
            </w:r>
            <w:r>
              <w:rPr>
                <w:sz w:val="18"/>
              </w:rPr>
              <w:t>seguimiento</w:t>
            </w:r>
            <w:r>
              <w:rPr>
                <w:spacing w:val="-9"/>
                <w:sz w:val="18"/>
              </w:rPr>
              <w:t> </w:t>
            </w:r>
            <w:r>
              <w:rPr>
                <w:sz w:val="18"/>
              </w:rPr>
              <w:t>por</w:t>
            </w:r>
            <w:r>
              <w:rPr>
                <w:spacing w:val="-7"/>
                <w:sz w:val="18"/>
              </w:rPr>
              <w:t> </w:t>
            </w:r>
            <w:r>
              <w:rPr>
                <w:sz w:val="18"/>
              </w:rPr>
              <w:t>parte de las instituciones</w:t>
            </w:r>
          </w:p>
        </w:tc>
        <w:tc>
          <w:tcPr>
            <w:tcW w:w="2180" w:type="dxa"/>
          </w:tcPr>
          <w:p>
            <w:pPr>
              <w:pStyle w:val="TableParagraph"/>
              <w:spacing w:before="81"/>
              <w:ind w:left="67" w:right="91"/>
              <w:rPr>
                <w:sz w:val="18"/>
              </w:rPr>
            </w:pPr>
            <w:r>
              <w:rPr>
                <w:sz w:val="18"/>
              </w:rPr>
              <w:t>Porcentaje de instituciones</w:t>
            </w:r>
            <w:r>
              <w:rPr>
                <w:spacing w:val="-15"/>
                <w:sz w:val="18"/>
              </w:rPr>
              <w:t> </w:t>
            </w:r>
            <w:r>
              <w:rPr>
                <w:sz w:val="18"/>
              </w:rPr>
              <w:t>que</w:t>
            </w:r>
            <w:r>
              <w:rPr>
                <w:spacing w:val="-12"/>
                <w:sz w:val="18"/>
              </w:rPr>
              <w:t> </w:t>
            </w:r>
            <w:r>
              <w:rPr>
                <w:sz w:val="18"/>
              </w:rPr>
              <w:t>remiten </w:t>
            </w:r>
            <w:r>
              <w:rPr>
                <w:spacing w:val="-2"/>
                <w:sz w:val="18"/>
              </w:rPr>
              <w:t>información</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spacing w:before="80"/>
              <w:rPr>
                <w:b/>
                <w:sz w:val="18"/>
              </w:rPr>
            </w:pPr>
          </w:p>
          <w:p>
            <w:pPr>
              <w:pStyle w:val="TableParagraph"/>
              <w:ind w:left="10" w:right="11"/>
              <w:jc w:val="center"/>
              <w:rPr>
                <w:sz w:val="18"/>
              </w:rPr>
            </w:pPr>
            <w:r>
              <w:rPr>
                <w:spacing w:val="-5"/>
                <w:sz w:val="18"/>
              </w:rPr>
              <w:t>60%</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825" w:hRule="atLeast"/>
        </w:trPr>
        <w:tc>
          <w:tcPr>
            <w:tcW w:w="3169" w:type="dxa"/>
          </w:tcPr>
          <w:p>
            <w:pPr>
              <w:pStyle w:val="TableParagraph"/>
              <w:spacing w:line="242" w:lineRule="auto" w:before="99"/>
              <w:ind w:left="72" w:right="88"/>
              <w:rPr>
                <w:sz w:val="18"/>
              </w:rPr>
            </w:pPr>
            <w:r>
              <w:rPr>
                <w:b/>
                <w:sz w:val="18"/>
              </w:rPr>
              <w:t>Actividad PAC 2.86.3: </w:t>
            </w:r>
            <w:r>
              <w:rPr>
                <w:sz w:val="18"/>
              </w:rPr>
              <w:t>Sistematización</w:t>
            </w:r>
            <w:r>
              <w:rPr>
                <w:spacing w:val="-9"/>
                <w:sz w:val="18"/>
              </w:rPr>
              <w:t> </w:t>
            </w:r>
            <w:r>
              <w:rPr>
                <w:sz w:val="18"/>
              </w:rPr>
              <w:t>de</w:t>
            </w:r>
            <w:r>
              <w:rPr>
                <w:spacing w:val="-9"/>
                <w:sz w:val="18"/>
              </w:rPr>
              <w:t> </w:t>
            </w:r>
            <w:r>
              <w:rPr>
                <w:sz w:val="18"/>
              </w:rPr>
              <w:t>informe</w:t>
            </w:r>
            <w:r>
              <w:rPr>
                <w:spacing w:val="-9"/>
                <w:sz w:val="18"/>
              </w:rPr>
              <w:t> </w:t>
            </w:r>
            <w:r>
              <w:rPr>
                <w:sz w:val="18"/>
              </w:rPr>
              <w:t>por</w:t>
            </w:r>
            <w:r>
              <w:rPr>
                <w:spacing w:val="-7"/>
                <w:sz w:val="18"/>
              </w:rPr>
              <w:t> </w:t>
            </w:r>
            <w:r>
              <w:rPr>
                <w:sz w:val="18"/>
              </w:rPr>
              <w:t>parte de la SBTIS</w:t>
            </w:r>
          </w:p>
        </w:tc>
        <w:tc>
          <w:tcPr>
            <w:tcW w:w="2180" w:type="dxa"/>
          </w:tcPr>
          <w:p>
            <w:pPr>
              <w:pStyle w:val="TableParagraph"/>
              <w:spacing w:before="205"/>
              <w:ind w:left="67"/>
              <w:rPr>
                <w:sz w:val="18"/>
              </w:rPr>
            </w:pPr>
            <w:r>
              <w:rPr>
                <w:sz w:val="18"/>
              </w:rPr>
              <w:t>Número</w:t>
            </w:r>
            <w:r>
              <w:rPr>
                <w:spacing w:val="-15"/>
                <w:sz w:val="18"/>
              </w:rPr>
              <w:t> </w:t>
            </w:r>
            <w:r>
              <w:rPr>
                <w:sz w:val="18"/>
              </w:rPr>
              <w:t>de</w:t>
            </w:r>
            <w:r>
              <w:rPr>
                <w:spacing w:val="-12"/>
                <w:sz w:val="18"/>
              </w:rPr>
              <w:t> </w:t>
            </w:r>
            <w:r>
              <w:rPr>
                <w:sz w:val="18"/>
              </w:rPr>
              <w:t>informes </w:t>
            </w:r>
            <w:r>
              <w:rPr>
                <w:spacing w:val="-2"/>
                <w:sz w:val="18"/>
              </w:rPr>
              <w:t>sistematizados</w:t>
            </w:r>
          </w:p>
        </w:tc>
        <w:tc>
          <w:tcPr>
            <w:tcW w:w="1181" w:type="dxa"/>
          </w:tcPr>
          <w:p>
            <w:pPr>
              <w:pStyle w:val="TableParagraph"/>
              <w:spacing w:before="103"/>
              <w:rPr>
                <w:b/>
                <w:sz w:val="18"/>
              </w:rPr>
            </w:pPr>
          </w:p>
          <w:p>
            <w:pPr>
              <w:pStyle w:val="TableParagraph"/>
              <w:spacing w:before="1"/>
              <w:ind w:left="28" w:right="13"/>
              <w:jc w:val="center"/>
              <w:rPr>
                <w:sz w:val="18"/>
              </w:rPr>
            </w:pPr>
            <w:r>
              <w:rPr>
                <w:spacing w:val="-10"/>
                <w:sz w:val="18"/>
              </w:rPr>
              <w:t>1</w:t>
            </w: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spacing w:before="103"/>
              <w:rPr>
                <w:b/>
                <w:sz w:val="18"/>
              </w:rPr>
            </w:pPr>
          </w:p>
          <w:p>
            <w:pPr>
              <w:pStyle w:val="TableParagraph"/>
              <w:spacing w:before="1"/>
              <w:ind w:left="21" w:right="21"/>
              <w:jc w:val="center"/>
              <w:rPr>
                <w:sz w:val="18"/>
              </w:rPr>
            </w:pPr>
            <w:r>
              <w:rPr>
                <w:spacing w:val="-10"/>
                <w:sz w:val="18"/>
              </w:rPr>
              <w:t>2</w:t>
            </w: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112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69"/>
        <w:gridCol w:w="2180"/>
        <w:gridCol w:w="1181"/>
        <w:gridCol w:w="1081"/>
        <w:gridCol w:w="1182"/>
        <w:gridCol w:w="1081"/>
        <w:gridCol w:w="1182"/>
        <w:gridCol w:w="1081"/>
        <w:gridCol w:w="1181"/>
        <w:gridCol w:w="1081"/>
      </w:tblGrid>
      <w:tr>
        <w:trPr>
          <w:trHeight w:val="1002" w:hRule="atLeast"/>
        </w:trPr>
        <w:tc>
          <w:tcPr>
            <w:tcW w:w="3169" w:type="dxa"/>
          </w:tcPr>
          <w:p>
            <w:pPr>
              <w:pStyle w:val="TableParagraph"/>
              <w:spacing w:before="90"/>
              <w:ind w:left="72" w:right="88"/>
              <w:rPr>
                <w:sz w:val="18"/>
              </w:rPr>
            </w:pPr>
            <w:r>
              <w:rPr>
                <w:b/>
                <w:sz w:val="18"/>
              </w:rPr>
              <w:t>Actividad PAC 2.86.4</w:t>
            </w:r>
            <w:r>
              <w:rPr>
                <w:sz w:val="18"/>
              </w:rPr>
              <w:t>: Sesiones semestrales</w:t>
            </w:r>
            <w:r>
              <w:rPr>
                <w:spacing w:val="-10"/>
                <w:sz w:val="18"/>
              </w:rPr>
              <w:t> </w:t>
            </w:r>
            <w:r>
              <w:rPr>
                <w:sz w:val="18"/>
              </w:rPr>
              <w:t>con</w:t>
            </w:r>
            <w:r>
              <w:rPr>
                <w:spacing w:val="-10"/>
                <w:sz w:val="18"/>
              </w:rPr>
              <w:t> </w:t>
            </w:r>
            <w:r>
              <w:rPr>
                <w:sz w:val="18"/>
              </w:rPr>
              <w:t>las</w:t>
            </w:r>
            <w:r>
              <w:rPr>
                <w:spacing w:val="-6"/>
                <w:sz w:val="18"/>
              </w:rPr>
              <w:t> </w:t>
            </w:r>
            <w:r>
              <w:rPr>
                <w:sz w:val="18"/>
              </w:rPr>
              <w:t>instituciones</w:t>
            </w:r>
            <w:r>
              <w:rPr>
                <w:spacing w:val="-10"/>
                <w:sz w:val="18"/>
              </w:rPr>
              <w:t> </w:t>
            </w:r>
            <w:r>
              <w:rPr>
                <w:sz w:val="18"/>
              </w:rPr>
              <w:t>del sector social para analizar los informes de seguimiento</w:t>
            </w:r>
          </w:p>
        </w:tc>
        <w:tc>
          <w:tcPr>
            <w:tcW w:w="2180" w:type="dxa"/>
          </w:tcPr>
          <w:p>
            <w:pPr>
              <w:pStyle w:val="TableParagraph"/>
              <w:spacing w:before="191"/>
              <w:ind w:left="67" w:right="91"/>
              <w:rPr>
                <w:sz w:val="18"/>
              </w:rPr>
            </w:pPr>
            <w:r>
              <w:rPr>
                <w:sz w:val="18"/>
              </w:rPr>
              <w:t>Número</w:t>
            </w:r>
            <w:r>
              <w:rPr>
                <w:spacing w:val="-10"/>
                <w:sz w:val="18"/>
              </w:rPr>
              <w:t> </w:t>
            </w:r>
            <w:r>
              <w:rPr>
                <w:sz w:val="18"/>
              </w:rPr>
              <w:t>de</w:t>
            </w:r>
            <w:r>
              <w:rPr>
                <w:spacing w:val="-10"/>
                <w:sz w:val="18"/>
              </w:rPr>
              <w:t> </w:t>
            </w:r>
            <w:r>
              <w:rPr>
                <w:sz w:val="18"/>
              </w:rPr>
              <w:t>sesiones</w:t>
            </w:r>
            <w:r>
              <w:rPr>
                <w:spacing w:val="-13"/>
                <w:sz w:val="18"/>
              </w:rPr>
              <w:t> </w:t>
            </w:r>
            <w:r>
              <w:rPr>
                <w:sz w:val="18"/>
              </w:rPr>
              <w:t>con las instituciones del sector social</w:t>
            </w:r>
          </w:p>
        </w:tc>
        <w:tc>
          <w:tcPr>
            <w:tcW w:w="1181" w:type="dxa"/>
          </w:tcPr>
          <w:p>
            <w:pPr>
              <w:pStyle w:val="TableParagraph"/>
              <w:spacing w:before="190"/>
              <w:rPr>
                <w:b/>
                <w:sz w:val="18"/>
              </w:rPr>
            </w:pPr>
          </w:p>
          <w:p>
            <w:pPr>
              <w:pStyle w:val="TableParagraph"/>
              <w:ind w:left="28" w:right="13"/>
              <w:jc w:val="center"/>
              <w:rPr>
                <w:sz w:val="18"/>
              </w:rPr>
            </w:pPr>
            <w:r>
              <w:rPr>
                <w:spacing w:val="-10"/>
                <w:sz w:val="18"/>
              </w:rPr>
              <w:t>1</w:t>
            </w: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spacing w:before="190"/>
              <w:rPr>
                <w:b/>
                <w:sz w:val="18"/>
              </w:rPr>
            </w:pPr>
          </w:p>
          <w:p>
            <w:pPr>
              <w:pStyle w:val="TableParagraph"/>
              <w:ind w:left="21" w:right="21"/>
              <w:jc w:val="center"/>
              <w:rPr>
                <w:sz w:val="18"/>
              </w:rPr>
            </w:pPr>
            <w:r>
              <w:rPr>
                <w:spacing w:val="-10"/>
                <w:sz w:val="18"/>
              </w:rPr>
              <w:t>2</w:t>
            </w: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619" w:hRule="atLeast"/>
        </w:trPr>
        <w:tc>
          <w:tcPr>
            <w:tcW w:w="14399" w:type="dxa"/>
            <w:gridSpan w:val="10"/>
            <w:shd w:val="clear" w:color="auto" w:fill="EFF8F9"/>
          </w:tcPr>
          <w:p>
            <w:pPr>
              <w:pStyle w:val="TableParagraph"/>
              <w:spacing w:before="206"/>
              <w:ind w:left="72"/>
              <w:rPr>
                <w:b/>
                <w:sz w:val="18"/>
              </w:rPr>
            </w:pPr>
            <w:r>
              <w:rPr>
                <w:b/>
                <w:sz w:val="18"/>
              </w:rPr>
              <w:t>Producto</w:t>
            </w:r>
            <w:r>
              <w:rPr>
                <w:b/>
                <w:spacing w:val="-8"/>
                <w:sz w:val="18"/>
              </w:rPr>
              <w:t> </w:t>
            </w:r>
            <w:r>
              <w:rPr>
                <w:b/>
                <w:sz w:val="18"/>
              </w:rPr>
              <w:t>PAC</w:t>
            </w:r>
            <w:r>
              <w:rPr>
                <w:b/>
                <w:spacing w:val="-9"/>
                <w:sz w:val="18"/>
              </w:rPr>
              <w:t> </w:t>
            </w:r>
            <w:r>
              <w:rPr>
                <w:b/>
                <w:sz w:val="18"/>
              </w:rPr>
              <w:t>2.87:</w:t>
            </w:r>
            <w:r>
              <w:rPr>
                <w:b/>
                <w:spacing w:val="-5"/>
                <w:sz w:val="18"/>
              </w:rPr>
              <w:t> </w:t>
            </w:r>
            <w:r>
              <w:rPr>
                <w:b/>
                <w:sz w:val="18"/>
              </w:rPr>
              <w:t>Estructura</w:t>
            </w:r>
            <w:r>
              <w:rPr>
                <w:b/>
                <w:spacing w:val="-7"/>
                <w:sz w:val="18"/>
              </w:rPr>
              <w:t> </w:t>
            </w:r>
            <w:r>
              <w:rPr>
                <w:b/>
                <w:sz w:val="18"/>
              </w:rPr>
              <w:t>de</w:t>
            </w:r>
            <w:r>
              <w:rPr>
                <w:b/>
                <w:spacing w:val="-7"/>
                <w:sz w:val="18"/>
              </w:rPr>
              <w:t> </w:t>
            </w:r>
            <w:r>
              <w:rPr>
                <w:b/>
                <w:sz w:val="18"/>
              </w:rPr>
              <w:t>articulación</w:t>
            </w:r>
            <w:r>
              <w:rPr>
                <w:b/>
                <w:spacing w:val="-8"/>
                <w:sz w:val="18"/>
              </w:rPr>
              <w:t> </w:t>
            </w:r>
            <w:r>
              <w:rPr>
                <w:b/>
                <w:sz w:val="18"/>
              </w:rPr>
              <w:t>interinstitucional</w:t>
            </w:r>
            <w:r>
              <w:rPr>
                <w:b/>
                <w:spacing w:val="-1"/>
                <w:sz w:val="18"/>
              </w:rPr>
              <w:t> </w:t>
            </w:r>
            <w:r>
              <w:rPr>
                <w:b/>
                <w:sz w:val="18"/>
              </w:rPr>
              <w:t>de</w:t>
            </w:r>
            <w:r>
              <w:rPr>
                <w:b/>
                <w:spacing w:val="-7"/>
                <w:sz w:val="18"/>
              </w:rPr>
              <w:t> </w:t>
            </w:r>
            <w:r>
              <w:rPr>
                <w:b/>
                <w:sz w:val="18"/>
              </w:rPr>
              <w:t>la</w:t>
            </w:r>
            <w:r>
              <w:rPr>
                <w:b/>
                <w:spacing w:val="-6"/>
                <w:sz w:val="18"/>
              </w:rPr>
              <w:t> </w:t>
            </w:r>
            <w:r>
              <w:rPr>
                <w:b/>
                <w:sz w:val="18"/>
              </w:rPr>
              <w:t>oferta</w:t>
            </w:r>
            <w:r>
              <w:rPr>
                <w:b/>
                <w:spacing w:val="-7"/>
                <w:sz w:val="18"/>
              </w:rPr>
              <w:t> </w:t>
            </w:r>
            <w:r>
              <w:rPr>
                <w:b/>
                <w:sz w:val="18"/>
              </w:rPr>
              <w:t>de</w:t>
            </w:r>
            <w:r>
              <w:rPr>
                <w:b/>
                <w:spacing w:val="-7"/>
                <w:sz w:val="18"/>
              </w:rPr>
              <w:t> </w:t>
            </w:r>
            <w:r>
              <w:rPr>
                <w:b/>
                <w:sz w:val="18"/>
              </w:rPr>
              <w:t>servicios</w:t>
            </w:r>
            <w:r>
              <w:rPr>
                <w:b/>
                <w:spacing w:val="-7"/>
                <w:sz w:val="18"/>
              </w:rPr>
              <w:t> </w:t>
            </w:r>
            <w:r>
              <w:rPr>
                <w:b/>
                <w:sz w:val="18"/>
              </w:rPr>
              <w:t>sociales</w:t>
            </w:r>
            <w:r>
              <w:rPr>
                <w:b/>
                <w:spacing w:val="-4"/>
                <w:sz w:val="18"/>
              </w:rPr>
              <w:t> </w:t>
            </w:r>
            <w:r>
              <w:rPr>
                <w:b/>
                <w:sz w:val="18"/>
              </w:rPr>
              <w:t>diseñada</w:t>
            </w:r>
            <w:r>
              <w:rPr>
                <w:b/>
                <w:spacing w:val="-3"/>
                <w:sz w:val="18"/>
              </w:rPr>
              <w:t> </w:t>
            </w:r>
            <w:r>
              <w:rPr>
                <w:b/>
                <w:sz w:val="18"/>
              </w:rPr>
              <w:t>y</w:t>
            </w:r>
            <w:r>
              <w:rPr>
                <w:b/>
                <w:spacing w:val="-7"/>
                <w:sz w:val="18"/>
              </w:rPr>
              <w:t> </w:t>
            </w:r>
            <w:r>
              <w:rPr>
                <w:b/>
                <w:sz w:val="18"/>
              </w:rPr>
              <w:t>ejecutándose.</w:t>
            </w:r>
            <w:r>
              <w:rPr>
                <w:b/>
                <w:spacing w:val="6"/>
                <w:sz w:val="18"/>
              </w:rPr>
              <w:t> </w:t>
            </w:r>
            <w:r>
              <w:rPr>
                <w:b/>
                <w:sz w:val="18"/>
              </w:rPr>
              <w:t>(E4</w:t>
            </w:r>
            <w:r>
              <w:rPr>
                <w:b/>
                <w:spacing w:val="-7"/>
                <w:sz w:val="18"/>
              </w:rPr>
              <w:t> </w:t>
            </w:r>
            <w:r>
              <w:rPr>
                <w:b/>
                <w:sz w:val="18"/>
              </w:rPr>
              <w:t>AE2</w:t>
            </w:r>
            <w:r>
              <w:rPr>
                <w:b/>
                <w:spacing w:val="-3"/>
                <w:sz w:val="18"/>
              </w:rPr>
              <w:t> </w:t>
            </w:r>
            <w:r>
              <w:rPr>
                <w:b/>
                <w:sz w:val="18"/>
              </w:rPr>
              <w:t>R2)</w:t>
            </w:r>
            <w:r>
              <w:rPr>
                <w:b/>
                <w:spacing w:val="-5"/>
                <w:sz w:val="18"/>
              </w:rPr>
              <w:t> </w:t>
            </w:r>
            <w:r>
              <w:rPr>
                <w:b/>
                <w:spacing w:val="-2"/>
                <w:sz w:val="18"/>
              </w:rPr>
              <w:t>(100%)</w:t>
            </w:r>
          </w:p>
        </w:tc>
      </w:tr>
      <w:tr>
        <w:trPr>
          <w:trHeight w:val="1031" w:hRule="atLeast"/>
        </w:trPr>
        <w:tc>
          <w:tcPr>
            <w:tcW w:w="3169" w:type="dxa"/>
          </w:tcPr>
          <w:p>
            <w:pPr>
              <w:pStyle w:val="TableParagraph"/>
              <w:ind w:left="72" w:right="88"/>
              <w:rPr>
                <w:sz w:val="18"/>
              </w:rPr>
            </w:pPr>
            <w:r>
              <w:rPr>
                <w:b/>
                <w:sz w:val="18"/>
              </w:rPr>
              <w:t>Actividad</w:t>
            </w:r>
            <w:r>
              <w:rPr>
                <w:b/>
                <w:spacing w:val="-13"/>
                <w:sz w:val="18"/>
              </w:rPr>
              <w:t> </w:t>
            </w:r>
            <w:r>
              <w:rPr>
                <w:b/>
                <w:sz w:val="18"/>
              </w:rPr>
              <w:t>PAC</w:t>
            </w:r>
            <w:r>
              <w:rPr>
                <w:b/>
                <w:spacing w:val="-12"/>
                <w:sz w:val="18"/>
              </w:rPr>
              <w:t> </w:t>
            </w:r>
            <w:r>
              <w:rPr>
                <w:b/>
                <w:sz w:val="18"/>
              </w:rPr>
              <w:t>2.87.1:</w:t>
            </w:r>
            <w:r>
              <w:rPr>
                <w:b/>
                <w:spacing w:val="-6"/>
                <w:sz w:val="18"/>
              </w:rPr>
              <w:t> </w:t>
            </w:r>
            <w:r>
              <w:rPr>
                <w:sz w:val="18"/>
              </w:rPr>
              <w:t>Socialización a nivel regional del plan de articulación interinstitucional de la oferta de servicios y beneficios</w:t>
            </w:r>
          </w:p>
          <w:p>
            <w:pPr>
              <w:pStyle w:val="TableParagraph"/>
              <w:spacing w:line="185" w:lineRule="exact"/>
              <w:ind w:left="72"/>
              <w:rPr>
                <w:sz w:val="18"/>
              </w:rPr>
            </w:pPr>
            <w:r>
              <w:rPr>
                <w:spacing w:val="-2"/>
                <w:sz w:val="18"/>
              </w:rPr>
              <w:t>sociales</w:t>
            </w:r>
          </w:p>
        </w:tc>
        <w:tc>
          <w:tcPr>
            <w:tcW w:w="2180" w:type="dxa"/>
          </w:tcPr>
          <w:p>
            <w:pPr>
              <w:pStyle w:val="TableParagraph"/>
              <w:spacing w:before="205"/>
              <w:ind w:left="67" w:right="91"/>
              <w:rPr>
                <w:sz w:val="18"/>
              </w:rPr>
            </w:pPr>
            <w:r>
              <w:rPr>
                <w:sz w:val="18"/>
              </w:rPr>
              <w:t>Plan</w:t>
            </w:r>
            <w:r>
              <w:rPr>
                <w:spacing w:val="-15"/>
                <w:sz w:val="18"/>
              </w:rPr>
              <w:t> </w:t>
            </w:r>
            <w:r>
              <w:rPr>
                <w:sz w:val="18"/>
              </w:rPr>
              <w:t>de</w:t>
            </w:r>
            <w:r>
              <w:rPr>
                <w:spacing w:val="-12"/>
                <w:sz w:val="18"/>
              </w:rPr>
              <w:t> </w:t>
            </w:r>
            <w:r>
              <w:rPr>
                <w:sz w:val="18"/>
              </w:rPr>
              <w:t>articulación </w:t>
            </w:r>
            <w:r>
              <w:rPr>
                <w:spacing w:val="-2"/>
                <w:sz w:val="18"/>
              </w:rPr>
              <w:t>interinstitucional elaborado</w:t>
            </w:r>
          </w:p>
        </w:tc>
        <w:tc>
          <w:tcPr>
            <w:tcW w:w="1181" w:type="dxa"/>
          </w:tcPr>
          <w:p>
            <w:pPr>
              <w:pStyle w:val="TableParagraph"/>
              <w:spacing w:before="204"/>
              <w:rPr>
                <w:b/>
                <w:sz w:val="18"/>
              </w:rPr>
            </w:pPr>
          </w:p>
          <w:p>
            <w:pPr>
              <w:pStyle w:val="TableParagraph"/>
              <w:ind w:left="28" w:right="13"/>
              <w:jc w:val="center"/>
              <w:rPr>
                <w:sz w:val="18"/>
              </w:rPr>
            </w:pPr>
            <w:r>
              <w:rPr>
                <w:spacing w:val="-10"/>
                <w:sz w:val="18"/>
              </w:rPr>
              <w:t>1</w:t>
            </w: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1037" w:hRule="atLeast"/>
        </w:trPr>
        <w:tc>
          <w:tcPr>
            <w:tcW w:w="3169" w:type="dxa"/>
          </w:tcPr>
          <w:p>
            <w:pPr>
              <w:pStyle w:val="TableParagraph"/>
              <w:spacing w:before="104"/>
              <w:ind w:left="72"/>
              <w:rPr>
                <w:sz w:val="18"/>
              </w:rPr>
            </w:pPr>
            <w:r>
              <w:rPr>
                <w:b/>
                <w:sz w:val="18"/>
              </w:rPr>
              <w:t>Actividad</w:t>
            </w:r>
            <w:r>
              <w:rPr>
                <w:b/>
                <w:spacing w:val="-13"/>
                <w:sz w:val="18"/>
              </w:rPr>
              <w:t> </w:t>
            </w:r>
            <w:r>
              <w:rPr>
                <w:b/>
                <w:sz w:val="18"/>
              </w:rPr>
              <w:t>PAC</w:t>
            </w:r>
            <w:r>
              <w:rPr>
                <w:b/>
                <w:spacing w:val="-12"/>
                <w:sz w:val="18"/>
              </w:rPr>
              <w:t> </w:t>
            </w:r>
            <w:r>
              <w:rPr>
                <w:b/>
                <w:sz w:val="18"/>
              </w:rPr>
              <w:t>2.87.2:</w:t>
            </w:r>
            <w:r>
              <w:rPr>
                <w:b/>
                <w:spacing w:val="-12"/>
                <w:sz w:val="18"/>
              </w:rPr>
              <w:t> </w:t>
            </w:r>
            <w:r>
              <w:rPr>
                <w:sz w:val="18"/>
              </w:rPr>
              <w:t>Implementar plan de articulación y coordinación interinstitucional</w:t>
            </w:r>
            <w:r>
              <w:rPr>
                <w:spacing w:val="-4"/>
                <w:sz w:val="18"/>
              </w:rPr>
              <w:t> </w:t>
            </w:r>
            <w:r>
              <w:rPr>
                <w:sz w:val="18"/>
              </w:rPr>
              <w:t>a</w:t>
            </w:r>
            <w:r>
              <w:rPr>
                <w:spacing w:val="-2"/>
                <w:sz w:val="18"/>
              </w:rPr>
              <w:t> </w:t>
            </w:r>
            <w:r>
              <w:rPr>
                <w:sz w:val="18"/>
              </w:rPr>
              <w:t>través</w:t>
            </w:r>
            <w:r>
              <w:rPr>
                <w:spacing w:val="-2"/>
                <w:sz w:val="18"/>
              </w:rPr>
              <w:t> </w:t>
            </w:r>
            <w:r>
              <w:rPr>
                <w:sz w:val="18"/>
              </w:rPr>
              <w:t>de</w:t>
            </w:r>
            <w:r>
              <w:rPr>
                <w:spacing w:val="-2"/>
                <w:sz w:val="18"/>
              </w:rPr>
              <w:t> </w:t>
            </w:r>
            <w:r>
              <w:rPr>
                <w:sz w:val="18"/>
              </w:rPr>
              <w:t>los CIR </w:t>
            </w:r>
            <w:r>
              <w:rPr>
                <w:spacing w:val="-2"/>
                <w:sz w:val="18"/>
              </w:rPr>
              <w:t>Sociales</w:t>
            </w:r>
          </w:p>
        </w:tc>
        <w:tc>
          <w:tcPr>
            <w:tcW w:w="2180" w:type="dxa"/>
          </w:tcPr>
          <w:p>
            <w:pPr>
              <w:pStyle w:val="TableParagraph"/>
              <w:spacing w:line="242" w:lineRule="auto"/>
              <w:ind w:left="67" w:right="91"/>
              <w:rPr>
                <w:sz w:val="18"/>
              </w:rPr>
            </w:pPr>
            <w:r>
              <w:rPr>
                <w:sz w:val="18"/>
              </w:rPr>
              <w:t>Porcentaje</w:t>
            </w:r>
            <w:r>
              <w:rPr>
                <w:spacing w:val="-15"/>
                <w:sz w:val="18"/>
              </w:rPr>
              <w:t> </w:t>
            </w:r>
            <w:r>
              <w:rPr>
                <w:sz w:val="18"/>
              </w:rPr>
              <w:t>de</w:t>
            </w:r>
            <w:r>
              <w:rPr>
                <w:spacing w:val="-12"/>
                <w:sz w:val="18"/>
              </w:rPr>
              <w:t> </w:t>
            </w:r>
            <w:r>
              <w:rPr>
                <w:sz w:val="18"/>
              </w:rPr>
              <w:t>planes </w:t>
            </w:r>
            <w:r>
              <w:rPr>
                <w:spacing w:val="-2"/>
                <w:sz w:val="18"/>
              </w:rPr>
              <w:t>regionales </w:t>
            </w:r>
            <w:r>
              <w:rPr>
                <w:sz w:val="18"/>
              </w:rPr>
              <w:t>implementados de</w:t>
            </w:r>
          </w:p>
          <w:p>
            <w:pPr>
              <w:pStyle w:val="TableParagraph"/>
              <w:spacing w:line="206" w:lineRule="exact"/>
              <w:ind w:left="67" w:right="91"/>
              <w:rPr>
                <w:sz w:val="18"/>
              </w:rPr>
            </w:pPr>
            <w:r>
              <w:rPr>
                <w:sz w:val="18"/>
              </w:rPr>
              <w:t>conformidad con el decreto</w:t>
            </w:r>
            <w:r>
              <w:rPr>
                <w:spacing w:val="-15"/>
                <w:sz w:val="18"/>
              </w:rPr>
              <w:t> </w:t>
            </w:r>
            <w:r>
              <w:rPr>
                <w:sz w:val="18"/>
              </w:rPr>
              <w:t>IMAS</w:t>
            </w:r>
            <w:r>
              <w:rPr>
                <w:spacing w:val="-12"/>
                <w:sz w:val="18"/>
              </w:rPr>
              <w:t> </w:t>
            </w:r>
            <w:r>
              <w:rPr>
                <w:sz w:val="18"/>
              </w:rPr>
              <w:t>IMPULSA</w:t>
            </w:r>
          </w:p>
        </w:tc>
        <w:tc>
          <w:tcPr>
            <w:tcW w:w="1181" w:type="dxa"/>
          </w:tcPr>
          <w:p>
            <w:pPr>
              <w:pStyle w:val="TableParagraph"/>
              <w:rPr>
                <w:b/>
                <w:sz w:val="18"/>
              </w:rPr>
            </w:pPr>
          </w:p>
          <w:p>
            <w:pPr>
              <w:pStyle w:val="TableParagraph"/>
              <w:spacing w:before="2"/>
              <w:rPr>
                <w:b/>
                <w:sz w:val="18"/>
              </w:rPr>
            </w:pPr>
          </w:p>
          <w:p>
            <w:pPr>
              <w:pStyle w:val="TableParagraph"/>
              <w:ind w:left="28" w:right="11"/>
              <w:jc w:val="center"/>
              <w:rPr>
                <w:sz w:val="18"/>
              </w:rPr>
            </w:pPr>
            <w:r>
              <w:rPr>
                <w:spacing w:val="-5"/>
                <w:sz w:val="18"/>
              </w:rPr>
              <w:t>20%</w:t>
            </w:r>
          </w:p>
        </w:tc>
        <w:tc>
          <w:tcPr>
            <w:tcW w:w="1081" w:type="dxa"/>
          </w:tcPr>
          <w:p>
            <w:pPr>
              <w:pStyle w:val="TableParagraph"/>
              <w:rPr>
                <w:rFonts w:ascii="Times New Roman"/>
                <w:sz w:val="18"/>
              </w:rPr>
            </w:pPr>
          </w:p>
        </w:tc>
        <w:tc>
          <w:tcPr>
            <w:tcW w:w="1182" w:type="dxa"/>
          </w:tcPr>
          <w:p>
            <w:pPr>
              <w:pStyle w:val="TableParagraph"/>
              <w:rPr>
                <w:b/>
                <w:sz w:val="18"/>
              </w:rPr>
            </w:pPr>
          </w:p>
          <w:p>
            <w:pPr>
              <w:pStyle w:val="TableParagraph"/>
              <w:spacing w:before="2"/>
              <w:rPr>
                <w:b/>
                <w:sz w:val="18"/>
              </w:rPr>
            </w:pPr>
          </w:p>
          <w:p>
            <w:pPr>
              <w:pStyle w:val="TableParagraph"/>
              <w:ind w:left="24" w:right="9"/>
              <w:jc w:val="center"/>
              <w:rPr>
                <w:sz w:val="18"/>
              </w:rPr>
            </w:pPr>
            <w:r>
              <w:rPr>
                <w:spacing w:val="-5"/>
                <w:sz w:val="18"/>
              </w:rPr>
              <w:t>40%</w:t>
            </w:r>
          </w:p>
        </w:tc>
        <w:tc>
          <w:tcPr>
            <w:tcW w:w="1081" w:type="dxa"/>
          </w:tcPr>
          <w:p>
            <w:pPr>
              <w:pStyle w:val="TableParagraph"/>
              <w:rPr>
                <w:rFonts w:ascii="Times New Roman"/>
                <w:sz w:val="18"/>
              </w:rPr>
            </w:pPr>
          </w:p>
        </w:tc>
        <w:tc>
          <w:tcPr>
            <w:tcW w:w="1182" w:type="dxa"/>
          </w:tcPr>
          <w:p>
            <w:pPr>
              <w:pStyle w:val="TableParagraph"/>
              <w:rPr>
                <w:b/>
                <w:sz w:val="18"/>
              </w:rPr>
            </w:pPr>
          </w:p>
          <w:p>
            <w:pPr>
              <w:pStyle w:val="TableParagraph"/>
              <w:spacing w:before="2"/>
              <w:rPr>
                <w:b/>
                <w:sz w:val="18"/>
              </w:rPr>
            </w:pPr>
          </w:p>
          <w:p>
            <w:pPr>
              <w:pStyle w:val="TableParagraph"/>
              <w:ind w:left="21" w:right="18"/>
              <w:jc w:val="center"/>
              <w:rPr>
                <w:sz w:val="18"/>
              </w:rPr>
            </w:pPr>
            <w:r>
              <w:rPr>
                <w:spacing w:val="-5"/>
                <w:sz w:val="18"/>
              </w:rPr>
              <w:t>60%</w:t>
            </w:r>
          </w:p>
        </w:tc>
        <w:tc>
          <w:tcPr>
            <w:tcW w:w="1081" w:type="dxa"/>
          </w:tcPr>
          <w:p>
            <w:pPr>
              <w:pStyle w:val="TableParagraph"/>
              <w:rPr>
                <w:rFonts w:ascii="Times New Roman"/>
                <w:sz w:val="18"/>
              </w:rPr>
            </w:pPr>
          </w:p>
        </w:tc>
        <w:tc>
          <w:tcPr>
            <w:tcW w:w="1181" w:type="dxa"/>
          </w:tcPr>
          <w:p>
            <w:pPr>
              <w:pStyle w:val="TableParagraph"/>
              <w:rPr>
                <w:b/>
                <w:sz w:val="18"/>
              </w:rPr>
            </w:pPr>
          </w:p>
          <w:p>
            <w:pPr>
              <w:pStyle w:val="TableParagraph"/>
              <w:spacing w:before="2"/>
              <w:rPr>
                <w:b/>
                <w:sz w:val="18"/>
              </w:rPr>
            </w:pPr>
          </w:p>
          <w:p>
            <w:pPr>
              <w:pStyle w:val="TableParagraph"/>
              <w:ind w:left="28" w:right="30"/>
              <w:jc w:val="center"/>
              <w:rPr>
                <w:sz w:val="18"/>
              </w:rPr>
            </w:pPr>
            <w:r>
              <w:rPr>
                <w:spacing w:val="-4"/>
                <w:sz w:val="18"/>
              </w:rPr>
              <w:t>100%</w:t>
            </w:r>
          </w:p>
        </w:tc>
        <w:tc>
          <w:tcPr>
            <w:tcW w:w="1081" w:type="dxa"/>
          </w:tcPr>
          <w:p>
            <w:pPr>
              <w:pStyle w:val="TableParagraph"/>
              <w:rPr>
                <w:rFonts w:ascii="Times New Roman"/>
                <w:sz w:val="18"/>
              </w:rPr>
            </w:pPr>
          </w:p>
        </w:tc>
      </w:tr>
      <w:tr>
        <w:trPr>
          <w:trHeight w:val="885" w:hRule="atLeast"/>
        </w:trPr>
        <w:tc>
          <w:tcPr>
            <w:tcW w:w="3169" w:type="dxa"/>
          </w:tcPr>
          <w:p>
            <w:pPr>
              <w:pStyle w:val="TableParagraph"/>
              <w:spacing w:before="25"/>
              <w:ind w:left="72"/>
              <w:rPr>
                <w:sz w:val="18"/>
              </w:rPr>
            </w:pPr>
            <w:r>
              <w:rPr>
                <w:b/>
                <w:sz w:val="18"/>
              </w:rPr>
              <w:t>Actividad PAC 2.87.3: </w:t>
            </w:r>
            <w:r>
              <w:rPr>
                <w:sz w:val="18"/>
              </w:rPr>
              <w:t>Realizar sesiones</w:t>
            </w:r>
            <w:r>
              <w:rPr>
                <w:spacing w:val="-7"/>
                <w:sz w:val="18"/>
              </w:rPr>
              <w:t> </w:t>
            </w:r>
            <w:r>
              <w:rPr>
                <w:sz w:val="18"/>
              </w:rPr>
              <w:t>de</w:t>
            </w:r>
            <w:r>
              <w:rPr>
                <w:spacing w:val="-7"/>
                <w:sz w:val="18"/>
              </w:rPr>
              <w:t> </w:t>
            </w:r>
            <w:r>
              <w:rPr>
                <w:sz w:val="18"/>
              </w:rPr>
              <w:t>seguimiento</w:t>
            </w:r>
            <w:r>
              <w:rPr>
                <w:spacing w:val="-7"/>
                <w:sz w:val="18"/>
              </w:rPr>
              <w:t> </w:t>
            </w:r>
            <w:r>
              <w:rPr>
                <w:sz w:val="18"/>
              </w:rPr>
              <w:t>del</w:t>
            </w:r>
            <w:r>
              <w:rPr>
                <w:spacing w:val="-9"/>
                <w:sz w:val="18"/>
              </w:rPr>
              <w:t> </w:t>
            </w:r>
            <w:r>
              <w:rPr>
                <w:sz w:val="18"/>
              </w:rPr>
              <w:t>plan</w:t>
            </w:r>
            <w:r>
              <w:rPr>
                <w:spacing w:val="-3"/>
                <w:sz w:val="18"/>
              </w:rPr>
              <w:t> </w:t>
            </w:r>
            <w:r>
              <w:rPr>
                <w:sz w:val="18"/>
              </w:rPr>
              <w:t>de articulación</w:t>
            </w:r>
            <w:r>
              <w:rPr>
                <w:spacing w:val="-5"/>
                <w:sz w:val="18"/>
              </w:rPr>
              <w:t> </w:t>
            </w:r>
            <w:r>
              <w:rPr>
                <w:sz w:val="18"/>
              </w:rPr>
              <w:t>en</w:t>
            </w:r>
            <w:r>
              <w:rPr>
                <w:spacing w:val="-5"/>
                <w:sz w:val="18"/>
              </w:rPr>
              <w:t> </w:t>
            </w:r>
            <w:r>
              <w:rPr>
                <w:sz w:val="18"/>
              </w:rPr>
              <w:t>el</w:t>
            </w:r>
            <w:r>
              <w:rPr>
                <w:spacing w:val="-7"/>
                <w:sz w:val="18"/>
              </w:rPr>
              <w:t> </w:t>
            </w:r>
            <w:r>
              <w:rPr>
                <w:sz w:val="18"/>
              </w:rPr>
              <w:t>marco</w:t>
            </w:r>
            <w:r>
              <w:rPr>
                <w:spacing w:val="-5"/>
                <w:sz w:val="18"/>
              </w:rPr>
              <w:t> </w:t>
            </w:r>
            <w:r>
              <w:rPr>
                <w:sz w:val="18"/>
              </w:rPr>
              <w:t>del</w:t>
            </w:r>
            <w:r>
              <w:rPr>
                <w:spacing w:val="-2"/>
                <w:sz w:val="18"/>
              </w:rPr>
              <w:t> </w:t>
            </w:r>
            <w:r>
              <w:rPr>
                <w:sz w:val="18"/>
              </w:rPr>
              <w:t>Consejo Sectorial SBTIS</w:t>
            </w:r>
          </w:p>
        </w:tc>
        <w:tc>
          <w:tcPr>
            <w:tcW w:w="2180" w:type="dxa"/>
          </w:tcPr>
          <w:p>
            <w:pPr>
              <w:pStyle w:val="TableParagraph"/>
              <w:spacing w:before="25"/>
              <w:rPr>
                <w:b/>
                <w:sz w:val="18"/>
              </w:rPr>
            </w:pPr>
          </w:p>
          <w:p>
            <w:pPr>
              <w:pStyle w:val="TableParagraph"/>
              <w:ind w:left="67"/>
              <w:rPr>
                <w:sz w:val="18"/>
              </w:rPr>
            </w:pPr>
            <w:r>
              <w:rPr>
                <w:sz w:val="18"/>
              </w:rPr>
              <w:t>Número</w:t>
            </w:r>
            <w:r>
              <w:rPr>
                <w:spacing w:val="-15"/>
                <w:sz w:val="18"/>
              </w:rPr>
              <w:t> </w:t>
            </w:r>
            <w:r>
              <w:rPr>
                <w:sz w:val="18"/>
              </w:rPr>
              <w:t>de</w:t>
            </w:r>
            <w:r>
              <w:rPr>
                <w:spacing w:val="-12"/>
                <w:sz w:val="18"/>
              </w:rPr>
              <w:t> </w:t>
            </w:r>
            <w:r>
              <w:rPr>
                <w:sz w:val="18"/>
              </w:rPr>
              <w:t>sesiones sectoriales (SBTIS)</w:t>
            </w:r>
          </w:p>
        </w:tc>
        <w:tc>
          <w:tcPr>
            <w:tcW w:w="1181" w:type="dxa"/>
          </w:tcPr>
          <w:p>
            <w:pPr>
              <w:pStyle w:val="TableParagraph"/>
              <w:spacing w:before="130"/>
              <w:rPr>
                <w:b/>
                <w:sz w:val="18"/>
              </w:rPr>
            </w:pPr>
          </w:p>
          <w:p>
            <w:pPr>
              <w:pStyle w:val="TableParagraph"/>
              <w:ind w:left="28" w:right="13"/>
              <w:jc w:val="center"/>
              <w:rPr>
                <w:sz w:val="18"/>
              </w:rPr>
            </w:pPr>
            <w:r>
              <w:rPr>
                <w:spacing w:val="-10"/>
                <w:sz w:val="18"/>
              </w:rPr>
              <w:t>1</w:t>
            </w:r>
          </w:p>
        </w:tc>
        <w:tc>
          <w:tcPr>
            <w:tcW w:w="1081" w:type="dxa"/>
          </w:tcPr>
          <w:p>
            <w:pPr>
              <w:pStyle w:val="TableParagraph"/>
              <w:rPr>
                <w:rFonts w:ascii="Times New Roman"/>
                <w:sz w:val="18"/>
              </w:rPr>
            </w:pPr>
          </w:p>
        </w:tc>
        <w:tc>
          <w:tcPr>
            <w:tcW w:w="1182" w:type="dxa"/>
          </w:tcPr>
          <w:p>
            <w:pPr>
              <w:pStyle w:val="TableParagraph"/>
              <w:spacing w:before="130"/>
              <w:rPr>
                <w:b/>
                <w:sz w:val="18"/>
              </w:rPr>
            </w:pPr>
          </w:p>
          <w:p>
            <w:pPr>
              <w:pStyle w:val="TableParagraph"/>
              <w:ind w:left="21" w:right="9"/>
              <w:jc w:val="center"/>
              <w:rPr>
                <w:sz w:val="18"/>
              </w:rPr>
            </w:pPr>
            <w:r>
              <w:rPr>
                <w:spacing w:val="-10"/>
                <w:sz w:val="18"/>
              </w:rPr>
              <w:t>2</w:t>
            </w:r>
          </w:p>
        </w:tc>
        <w:tc>
          <w:tcPr>
            <w:tcW w:w="1081" w:type="dxa"/>
          </w:tcPr>
          <w:p>
            <w:pPr>
              <w:pStyle w:val="TableParagraph"/>
              <w:rPr>
                <w:rFonts w:ascii="Times New Roman"/>
                <w:sz w:val="18"/>
              </w:rPr>
            </w:pPr>
          </w:p>
        </w:tc>
        <w:tc>
          <w:tcPr>
            <w:tcW w:w="1182" w:type="dxa"/>
          </w:tcPr>
          <w:p>
            <w:pPr>
              <w:pStyle w:val="TableParagraph"/>
              <w:spacing w:before="130"/>
              <w:rPr>
                <w:b/>
                <w:sz w:val="18"/>
              </w:rPr>
            </w:pPr>
          </w:p>
          <w:p>
            <w:pPr>
              <w:pStyle w:val="TableParagraph"/>
              <w:ind w:left="21" w:right="21"/>
              <w:jc w:val="center"/>
              <w:rPr>
                <w:sz w:val="18"/>
              </w:rPr>
            </w:pPr>
            <w:r>
              <w:rPr>
                <w:spacing w:val="-10"/>
                <w:sz w:val="18"/>
              </w:rPr>
              <w:t>3</w:t>
            </w: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1123" w:hRule="atLeast"/>
        </w:trPr>
        <w:tc>
          <w:tcPr>
            <w:tcW w:w="3169" w:type="dxa"/>
          </w:tcPr>
          <w:p>
            <w:pPr>
              <w:pStyle w:val="TableParagraph"/>
              <w:spacing w:before="148"/>
              <w:ind w:left="72"/>
              <w:rPr>
                <w:sz w:val="18"/>
              </w:rPr>
            </w:pPr>
            <w:r>
              <w:rPr>
                <w:b/>
                <w:sz w:val="18"/>
              </w:rPr>
              <w:t>Actividad</w:t>
            </w:r>
            <w:r>
              <w:rPr>
                <w:b/>
                <w:spacing w:val="-10"/>
                <w:sz w:val="18"/>
              </w:rPr>
              <w:t> </w:t>
            </w:r>
            <w:r>
              <w:rPr>
                <w:b/>
                <w:sz w:val="18"/>
              </w:rPr>
              <w:t>PAC</w:t>
            </w:r>
            <w:r>
              <w:rPr>
                <w:b/>
                <w:spacing w:val="-6"/>
                <w:sz w:val="18"/>
              </w:rPr>
              <w:t> </w:t>
            </w:r>
            <w:r>
              <w:rPr>
                <w:b/>
                <w:sz w:val="18"/>
              </w:rPr>
              <w:t>2.87.4:</w:t>
            </w:r>
            <w:r>
              <w:rPr>
                <w:b/>
                <w:spacing w:val="-1"/>
                <w:sz w:val="18"/>
              </w:rPr>
              <w:t> </w:t>
            </w:r>
            <w:r>
              <w:rPr>
                <w:sz w:val="18"/>
              </w:rPr>
              <w:t>Sesiones</w:t>
            </w:r>
            <w:r>
              <w:rPr>
                <w:spacing w:val="-9"/>
                <w:sz w:val="18"/>
              </w:rPr>
              <w:t> </w:t>
            </w:r>
            <w:r>
              <w:rPr>
                <w:sz w:val="18"/>
              </w:rPr>
              <w:t>de seguimiento</w:t>
            </w:r>
            <w:r>
              <w:rPr>
                <w:spacing w:val="-11"/>
                <w:sz w:val="18"/>
              </w:rPr>
              <w:t> </w:t>
            </w:r>
            <w:r>
              <w:rPr>
                <w:sz w:val="18"/>
              </w:rPr>
              <w:t>del</w:t>
            </w:r>
            <w:r>
              <w:rPr>
                <w:spacing w:val="-8"/>
                <w:sz w:val="18"/>
              </w:rPr>
              <w:t> </w:t>
            </w:r>
            <w:r>
              <w:rPr>
                <w:sz w:val="18"/>
              </w:rPr>
              <w:t>Plan</w:t>
            </w:r>
            <w:r>
              <w:rPr>
                <w:spacing w:val="-11"/>
                <w:sz w:val="18"/>
              </w:rPr>
              <w:t> </w:t>
            </w:r>
            <w:r>
              <w:rPr>
                <w:sz w:val="18"/>
              </w:rPr>
              <w:t>de</w:t>
            </w:r>
            <w:r>
              <w:rPr>
                <w:spacing w:val="-7"/>
                <w:sz w:val="18"/>
              </w:rPr>
              <w:t> </w:t>
            </w:r>
            <w:r>
              <w:rPr>
                <w:sz w:val="18"/>
              </w:rPr>
              <w:t>Articulación Interinstitucional en cada región de trabajo de los CIR-Sociales</w:t>
            </w:r>
          </w:p>
        </w:tc>
        <w:tc>
          <w:tcPr>
            <w:tcW w:w="2180" w:type="dxa"/>
          </w:tcPr>
          <w:p>
            <w:pPr>
              <w:pStyle w:val="TableParagraph"/>
              <w:spacing w:before="147"/>
              <w:rPr>
                <w:b/>
                <w:sz w:val="18"/>
              </w:rPr>
            </w:pPr>
          </w:p>
          <w:p>
            <w:pPr>
              <w:pStyle w:val="TableParagraph"/>
              <w:ind w:left="67"/>
              <w:rPr>
                <w:sz w:val="18"/>
              </w:rPr>
            </w:pPr>
            <w:r>
              <w:rPr>
                <w:sz w:val="18"/>
              </w:rPr>
              <w:t>Número de sesiones de los</w:t>
            </w:r>
            <w:r>
              <w:rPr>
                <w:spacing w:val="-10"/>
                <w:sz w:val="18"/>
              </w:rPr>
              <w:t> </w:t>
            </w:r>
            <w:r>
              <w:rPr>
                <w:sz w:val="18"/>
              </w:rPr>
              <w:t>CIR-Social</w:t>
            </w:r>
            <w:r>
              <w:rPr>
                <w:spacing w:val="-11"/>
                <w:sz w:val="18"/>
              </w:rPr>
              <w:t> </w:t>
            </w:r>
            <w:r>
              <w:rPr>
                <w:sz w:val="18"/>
              </w:rPr>
              <w:t>por</w:t>
            </w:r>
            <w:r>
              <w:rPr>
                <w:spacing w:val="-12"/>
                <w:sz w:val="18"/>
              </w:rPr>
              <w:t> </w:t>
            </w:r>
            <w:r>
              <w:rPr>
                <w:sz w:val="18"/>
              </w:rPr>
              <w:t>región</w:t>
            </w:r>
          </w:p>
        </w:tc>
        <w:tc>
          <w:tcPr>
            <w:tcW w:w="1181" w:type="dxa"/>
          </w:tcPr>
          <w:p>
            <w:pPr>
              <w:pStyle w:val="TableParagraph"/>
              <w:rPr>
                <w:b/>
                <w:sz w:val="18"/>
              </w:rPr>
            </w:pPr>
          </w:p>
          <w:p>
            <w:pPr>
              <w:pStyle w:val="TableParagraph"/>
              <w:spacing w:before="41"/>
              <w:rPr>
                <w:b/>
                <w:sz w:val="18"/>
              </w:rPr>
            </w:pPr>
          </w:p>
          <w:p>
            <w:pPr>
              <w:pStyle w:val="TableParagraph"/>
              <w:ind w:left="28" w:right="13"/>
              <w:jc w:val="center"/>
              <w:rPr>
                <w:sz w:val="18"/>
              </w:rPr>
            </w:pPr>
            <w:r>
              <w:rPr>
                <w:spacing w:val="-10"/>
                <w:sz w:val="18"/>
              </w:rPr>
              <w:t>5</w:t>
            </w:r>
          </w:p>
        </w:tc>
        <w:tc>
          <w:tcPr>
            <w:tcW w:w="1081" w:type="dxa"/>
          </w:tcPr>
          <w:p>
            <w:pPr>
              <w:pStyle w:val="TableParagraph"/>
              <w:rPr>
                <w:rFonts w:ascii="Times New Roman"/>
                <w:sz w:val="18"/>
              </w:rPr>
            </w:pPr>
          </w:p>
        </w:tc>
        <w:tc>
          <w:tcPr>
            <w:tcW w:w="1182" w:type="dxa"/>
          </w:tcPr>
          <w:p>
            <w:pPr>
              <w:pStyle w:val="TableParagraph"/>
              <w:rPr>
                <w:b/>
                <w:sz w:val="18"/>
              </w:rPr>
            </w:pPr>
          </w:p>
          <w:p>
            <w:pPr>
              <w:pStyle w:val="TableParagraph"/>
              <w:spacing w:before="41"/>
              <w:rPr>
                <w:b/>
                <w:sz w:val="18"/>
              </w:rPr>
            </w:pPr>
          </w:p>
          <w:p>
            <w:pPr>
              <w:pStyle w:val="TableParagraph"/>
              <w:ind w:left="21" w:right="14"/>
              <w:jc w:val="center"/>
              <w:rPr>
                <w:sz w:val="18"/>
              </w:rPr>
            </w:pPr>
            <w:r>
              <w:rPr>
                <w:spacing w:val="-5"/>
                <w:sz w:val="18"/>
              </w:rPr>
              <w:t>10</w:t>
            </w:r>
          </w:p>
        </w:tc>
        <w:tc>
          <w:tcPr>
            <w:tcW w:w="1081" w:type="dxa"/>
          </w:tcPr>
          <w:p>
            <w:pPr>
              <w:pStyle w:val="TableParagraph"/>
              <w:rPr>
                <w:rFonts w:ascii="Times New Roman"/>
                <w:sz w:val="18"/>
              </w:rPr>
            </w:pPr>
          </w:p>
        </w:tc>
        <w:tc>
          <w:tcPr>
            <w:tcW w:w="1182" w:type="dxa"/>
          </w:tcPr>
          <w:p>
            <w:pPr>
              <w:pStyle w:val="TableParagraph"/>
              <w:rPr>
                <w:b/>
                <w:sz w:val="18"/>
              </w:rPr>
            </w:pPr>
          </w:p>
          <w:p>
            <w:pPr>
              <w:pStyle w:val="TableParagraph"/>
              <w:spacing w:before="41"/>
              <w:rPr>
                <w:b/>
                <w:sz w:val="18"/>
              </w:rPr>
            </w:pPr>
          </w:p>
          <w:p>
            <w:pPr>
              <w:pStyle w:val="TableParagraph"/>
              <w:ind w:left="21" w:right="23"/>
              <w:jc w:val="center"/>
              <w:rPr>
                <w:sz w:val="18"/>
              </w:rPr>
            </w:pPr>
            <w:r>
              <w:rPr>
                <w:spacing w:val="-5"/>
                <w:sz w:val="18"/>
              </w:rPr>
              <w:t>14</w:t>
            </w:r>
          </w:p>
        </w:tc>
        <w:tc>
          <w:tcPr>
            <w:tcW w:w="1081" w:type="dxa"/>
          </w:tcPr>
          <w:p>
            <w:pPr>
              <w:pStyle w:val="TableParagraph"/>
              <w:rPr>
                <w:rFonts w:ascii="Times New Roman"/>
                <w:sz w:val="18"/>
              </w:rPr>
            </w:pPr>
          </w:p>
        </w:tc>
        <w:tc>
          <w:tcPr>
            <w:tcW w:w="1181" w:type="dxa"/>
          </w:tcPr>
          <w:p>
            <w:pPr>
              <w:pStyle w:val="TableParagraph"/>
              <w:rPr>
                <w:b/>
                <w:sz w:val="18"/>
              </w:rPr>
            </w:pPr>
          </w:p>
          <w:p>
            <w:pPr>
              <w:pStyle w:val="TableParagraph"/>
              <w:spacing w:before="41"/>
              <w:rPr>
                <w:b/>
                <w:sz w:val="18"/>
              </w:rPr>
            </w:pPr>
          </w:p>
          <w:p>
            <w:pPr>
              <w:pStyle w:val="TableParagraph"/>
              <w:ind w:left="28" w:right="33"/>
              <w:jc w:val="center"/>
              <w:rPr>
                <w:sz w:val="18"/>
              </w:rPr>
            </w:pPr>
            <w:r>
              <w:rPr>
                <w:spacing w:val="-5"/>
                <w:sz w:val="18"/>
              </w:rPr>
              <w:t>18</w:t>
            </w:r>
          </w:p>
        </w:tc>
        <w:tc>
          <w:tcPr>
            <w:tcW w:w="1081" w:type="dxa"/>
          </w:tcPr>
          <w:p>
            <w:pPr>
              <w:pStyle w:val="TableParagraph"/>
              <w:rPr>
                <w:rFonts w:ascii="Times New Roman"/>
                <w:sz w:val="18"/>
              </w:rPr>
            </w:pPr>
          </w:p>
        </w:tc>
      </w:tr>
      <w:tr>
        <w:trPr>
          <w:trHeight w:val="811" w:hRule="atLeast"/>
        </w:trPr>
        <w:tc>
          <w:tcPr>
            <w:tcW w:w="14399" w:type="dxa"/>
            <w:gridSpan w:val="10"/>
            <w:shd w:val="clear" w:color="auto" w:fill="EFF8F9"/>
          </w:tcPr>
          <w:p>
            <w:pPr>
              <w:pStyle w:val="TableParagraph"/>
              <w:spacing w:before="196"/>
              <w:ind w:left="72"/>
              <w:rPr>
                <w:b/>
                <w:sz w:val="18"/>
              </w:rPr>
            </w:pPr>
            <w:r>
              <w:rPr>
                <w:b/>
                <w:sz w:val="18"/>
              </w:rPr>
              <w:t>Producto</w:t>
            </w:r>
            <w:r>
              <w:rPr>
                <w:b/>
                <w:spacing w:val="-4"/>
                <w:sz w:val="18"/>
              </w:rPr>
              <w:t> </w:t>
            </w:r>
            <w:r>
              <w:rPr>
                <w:b/>
                <w:sz w:val="18"/>
              </w:rPr>
              <w:t>PAC</w:t>
            </w:r>
            <w:r>
              <w:rPr>
                <w:b/>
                <w:spacing w:val="-5"/>
                <w:sz w:val="18"/>
              </w:rPr>
              <w:t> </w:t>
            </w:r>
            <w:r>
              <w:rPr>
                <w:b/>
                <w:sz w:val="18"/>
              </w:rPr>
              <w:t>2.88:</w:t>
            </w:r>
            <w:r>
              <w:rPr>
                <w:b/>
                <w:spacing w:val="-1"/>
                <w:sz w:val="18"/>
              </w:rPr>
              <w:t> </w:t>
            </w:r>
            <w:r>
              <w:rPr>
                <w:b/>
                <w:sz w:val="18"/>
              </w:rPr>
              <w:t>Sistema de Referencias costarricense SIREC</w:t>
            </w:r>
            <w:r>
              <w:rPr>
                <w:b/>
                <w:spacing w:val="-5"/>
                <w:sz w:val="18"/>
              </w:rPr>
              <w:t> </w:t>
            </w:r>
            <w:r>
              <w:rPr>
                <w:b/>
                <w:sz w:val="18"/>
              </w:rPr>
              <w:t>(referencias</w:t>
            </w:r>
            <w:r>
              <w:rPr>
                <w:b/>
                <w:spacing w:val="-3"/>
                <w:sz w:val="18"/>
              </w:rPr>
              <w:t> </w:t>
            </w:r>
            <w:r>
              <w:rPr>
                <w:b/>
                <w:sz w:val="18"/>
              </w:rPr>
              <w:t>y</w:t>
            </w:r>
            <w:r>
              <w:rPr>
                <w:b/>
                <w:spacing w:val="-3"/>
                <w:sz w:val="18"/>
              </w:rPr>
              <w:t> </w:t>
            </w:r>
            <w:r>
              <w:rPr>
                <w:b/>
                <w:sz w:val="18"/>
              </w:rPr>
              <w:t>contra</w:t>
            </w:r>
            <w:r>
              <w:rPr>
                <w:b/>
                <w:spacing w:val="-3"/>
                <w:sz w:val="18"/>
              </w:rPr>
              <w:t> </w:t>
            </w:r>
            <w:r>
              <w:rPr>
                <w:b/>
                <w:sz w:val="18"/>
              </w:rPr>
              <w:t>referencias)</w:t>
            </w:r>
            <w:r>
              <w:rPr>
                <w:b/>
                <w:spacing w:val="-1"/>
                <w:sz w:val="18"/>
              </w:rPr>
              <w:t> </w:t>
            </w:r>
            <w:r>
              <w:rPr>
                <w:b/>
                <w:sz w:val="18"/>
              </w:rPr>
              <w:t>integradas</w:t>
            </w:r>
            <w:r>
              <w:rPr>
                <w:b/>
                <w:spacing w:val="-3"/>
                <w:sz w:val="18"/>
              </w:rPr>
              <w:t> </w:t>
            </w:r>
            <w:r>
              <w:rPr>
                <w:b/>
                <w:sz w:val="18"/>
              </w:rPr>
              <w:t>al</w:t>
            </w:r>
            <w:r>
              <w:rPr>
                <w:b/>
                <w:spacing w:val="-5"/>
                <w:sz w:val="18"/>
              </w:rPr>
              <w:t> </w:t>
            </w:r>
            <w:r>
              <w:rPr>
                <w:b/>
                <w:sz w:val="18"/>
              </w:rPr>
              <w:t>SINIRUBE</w:t>
            </w:r>
            <w:r>
              <w:rPr>
                <w:b/>
                <w:spacing w:val="-4"/>
                <w:sz w:val="18"/>
              </w:rPr>
              <w:t> </w:t>
            </w:r>
            <w:r>
              <w:rPr>
                <w:b/>
                <w:sz w:val="18"/>
              </w:rPr>
              <w:t>operando.</w:t>
            </w:r>
            <w:r>
              <w:rPr>
                <w:b/>
                <w:spacing w:val="-1"/>
                <w:sz w:val="18"/>
              </w:rPr>
              <w:t> </w:t>
            </w:r>
            <w:r>
              <w:rPr>
                <w:b/>
                <w:sz w:val="18"/>
              </w:rPr>
              <w:t>(E4</w:t>
            </w:r>
            <w:r>
              <w:rPr>
                <w:b/>
                <w:spacing w:val="-3"/>
                <w:sz w:val="18"/>
              </w:rPr>
              <w:t> </w:t>
            </w:r>
            <w:r>
              <w:rPr>
                <w:b/>
                <w:sz w:val="18"/>
              </w:rPr>
              <w:t>AE2</w:t>
            </w:r>
            <w:r>
              <w:rPr>
                <w:b/>
                <w:spacing w:val="-3"/>
                <w:sz w:val="18"/>
              </w:rPr>
              <w:t> </w:t>
            </w:r>
            <w:r>
              <w:rPr>
                <w:b/>
                <w:sz w:val="18"/>
              </w:rPr>
              <w:t>R3)</w:t>
            </w:r>
            <w:r>
              <w:rPr>
                <w:b/>
                <w:spacing w:val="-1"/>
                <w:sz w:val="18"/>
              </w:rPr>
              <w:t> </w:t>
            </w:r>
            <w:r>
              <w:rPr>
                <w:b/>
                <w:sz w:val="18"/>
              </w:rPr>
              <w:t>10</w:t>
            </w:r>
            <w:r>
              <w:rPr>
                <w:b/>
                <w:spacing w:val="-3"/>
                <w:sz w:val="18"/>
              </w:rPr>
              <w:t> </w:t>
            </w:r>
            <w:r>
              <w:rPr>
                <w:b/>
                <w:sz w:val="18"/>
              </w:rPr>
              <w:t>INSTITUCIONES CON SISTEMA DE REFERENCIAS Y CONTRAREFERENCIAS</w:t>
            </w:r>
          </w:p>
        </w:tc>
      </w:tr>
      <w:tr>
        <w:trPr>
          <w:trHeight w:val="657" w:hRule="atLeast"/>
        </w:trPr>
        <w:tc>
          <w:tcPr>
            <w:tcW w:w="3169" w:type="dxa"/>
          </w:tcPr>
          <w:p>
            <w:pPr>
              <w:pStyle w:val="TableParagraph"/>
              <w:spacing w:before="18"/>
              <w:ind w:left="72"/>
              <w:rPr>
                <w:sz w:val="18"/>
              </w:rPr>
            </w:pPr>
            <w:r>
              <w:rPr>
                <w:b/>
                <w:sz w:val="18"/>
              </w:rPr>
              <w:t>Actividad</w:t>
            </w:r>
            <w:r>
              <w:rPr>
                <w:b/>
                <w:spacing w:val="-13"/>
                <w:sz w:val="18"/>
              </w:rPr>
              <w:t> </w:t>
            </w:r>
            <w:r>
              <w:rPr>
                <w:b/>
                <w:sz w:val="18"/>
              </w:rPr>
              <w:t>PAC</w:t>
            </w:r>
            <w:r>
              <w:rPr>
                <w:b/>
                <w:spacing w:val="-12"/>
                <w:sz w:val="18"/>
              </w:rPr>
              <w:t> </w:t>
            </w:r>
            <w:r>
              <w:rPr>
                <w:b/>
                <w:sz w:val="18"/>
              </w:rPr>
              <w:t>2.88.1:</w:t>
            </w:r>
            <w:r>
              <w:rPr>
                <w:b/>
                <w:spacing w:val="-8"/>
                <w:sz w:val="18"/>
              </w:rPr>
              <w:t> </w:t>
            </w:r>
            <w:r>
              <w:rPr>
                <w:sz w:val="18"/>
              </w:rPr>
              <w:t>Coordinar sesiones de trabajo con las</w:t>
            </w:r>
          </w:p>
          <w:p>
            <w:pPr>
              <w:pStyle w:val="TableParagraph"/>
              <w:spacing w:line="206" w:lineRule="exact"/>
              <w:ind w:left="72"/>
              <w:rPr>
                <w:sz w:val="18"/>
              </w:rPr>
            </w:pPr>
            <w:r>
              <w:rPr>
                <w:sz w:val="18"/>
              </w:rPr>
              <w:t>instituciones</w:t>
            </w:r>
            <w:r>
              <w:rPr>
                <w:spacing w:val="-4"/>
                <w:sz w:val="18"/>
              </w:rPr>
              <w:t> </w:t>
            </w:r>
            <w:r>
              <w:rPr>
                <w:sz w:val="18"/>
              </w:rPr>
              <w:t>que</w:t>
            </w:r>
            <w:r>
              <w:rPr>
                <w:spacing w:val="-4"/>
                <w:sz w:val="18"/>
              </w:rPr>
              <w:t> </w:t>
            </w:r>
            <w:r>
              <w:rPr>
                <w:sz w:val="18"/>
              </w:rPr>
              <w:t>utilizarán</w:t>
            </w:r>
            <w:r>
              <w:rPr>
                <w:spacing w:val="-8"/>
                <w:sz w:val="18"/>
              </w:rPr>
              <w:t> </w:t>
            </w:r>
            <w:r>
              <w:rPr>
                <w:sz w:val="18"/>
              </w:rPr>
              <w:t>el</w:t>
            </w:r>
            <w:r>
              <w:rPr>
                <w:spacing w:val="-5"/>
                <w:sz w:val="18"/>
              </w:rPr>
              <w:t> </w:t>
            </w:r>
            <w:r>
              <w:rPr>
                <w:spacing w:val="-2"/>
                <w:sz w:val="18"/>
              </w:rPr>
              <w:t>sistema</w:t>
            </w:r>
          </w:p>
        </w:tc>
        <w:tc>
          <w:tcPr>
            <w:tcW w:w="2180" w:type="dxa"/>
          </w:tcPr>
          <w:p>
            <w:pPr>
              <w:pStyle w:val="TableParagraph"/>
              <w:spacing w:before="123"/>
              <w:ind w:left="67" w:right="128"/>
              <w:rPr>
                <w:sz w:val="18"/>
              </w:rPr>
            </w:pPr>
            <w:r>
              <w:rPr>
                <w:sz w:val="18"/>
              </w:rPr>
              <w:t>Cantidad</w:t>
            </w:r>
            <w:r>
              <w:rPr>
                <w:spacing w:val="-15"/>
                <w:sz w:val="18"/>
              </w:rPr>
              <w:t> </w:t>
            </w:r>
            <w:r>
              <w:rPr>
                <w:sz w:val="18"/>
              </w:rPr>
              <w:t>de</w:t>
            </w:r>
            <w:r>
              <w:rPr>
                <w:spacing w:val="-12"/>
                <w:sz w:val="18"/>
              </w:rPr>
              <w:t> </w:t>
            </w:r>
            <w:r>
              <w:rPr>
                <w:sz w:val="18"/>
              </w:rPr>
              <w:t>sesiones con las instituciones</w:t>
            </w:r>
          </w:p>
        </w:tc>
        <w:tc>
          <w:tcPr>
            <w:tcW w:w="1181" w:type="dxa"/>
          </w:tcPr>
          <w:p>
            <w:pPr>
              <w:pStyle w:val="TableParagraph"/>
              <w:spacing w:before="17"/>
              <w:rPr>
                <w:b/>
                <w:sz w:val="18"/>
              </w:rPr>
            </w:pPr>
          </w:p>
          <w:p>
            <w:pPr>
              <w:pStyle w:val="TableParagraph"/>
              <w:ind w:left="28" w:right="13"/>
              <w:jc w:val="center"/>
              <w:rPr>
                <w:sz w:val="18"/>
              </w:rPr>
            </w:pPr>
            <w:r>
              <w:rPr>
                <w:spacing w:val="-10"/>
                <w:sz w:val="18"/>
              </w:rPr>
              <w:t>2</w:t>
            </w: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690" w:hRule="atLeast"/>
        </w:trPr>
        <w:tc>
          <w:tcPr>
            <w:tcW w:w="3169" w:type="dxa"/>
          </w:tcPr>
          <w:p>
            <w:pPr>
              <w:pStyle w:val="TableParagraph"/>
              <w:spacing w:before="37"/>
              <w:ind w:left="72" w:right="88"/>
              <w:rPr>
                <w:sz w:val="18"/>
              </w:rPr>
            </w:pPr>
            <w:r>
              <w:rPr>
                <w:b/>
                <w:sz w:val="18"/>
              </w:rPr>
              <w:t>Actividad</w:t>
            </w:r>
            <w:r>
              <w:rPr>
                <w:b/>
                <w:spacing w:val="-13"/>
                <w:sz w:val="18"/>
              </w:rPr>
              <w:t> </w:t>
            </w:r>
            <w:r>
              <w:rPr>
                <w:b/>
                <w:sz w:val="18"/>
              </w:rPr>
              <w:t>PAC</w:t>
            </w:r>
            <w:r>
              <w:rPr>
                <w:b/>
                <w:spacing w:val="-12"/>
                <w:sz w:val="18"/>
              </w:rPr>
              <w:t> </w:t>
            </w:r>
            <w:r>
              <w:rPr>
                <w:b/>
                <w:sz w:val="18"/>
              </w:rPr>
              <w:t>2.88.2:</w:t>
            </w:r>
            <w:r>
              <w:rPr>
                <w:b/>
                <w:spacing w:val="-8"/>
                <w:sz w:val="18"/>
              </w:rPr>
              <w:t> </w:t>
            </w:r>
            <w:r>
              <w:rPr>
                <w:sz w:val="18"/>
              </w:rPr>
              <w:t>Coordinar para que instituciones del Sector Social utilicen el SIREC</w:t>
            </w:r>
          </w:p>
        </w:tc>
        <w:tc>
          <w:tcPr>
            <w:tcW w:w="2180" w:type="dxa"/>
          </w:tcPr>
          <w:p>
            <w:pPr>
              <w:pStyle w:val="TableParagraph"/>
              <w:spacing w:before="138"/>
              <w:ind w:left="67"/>
              <w:rPr>
                <w:sz w:val="18"/>
              </w:rPr>
            </w:pPr>
            <w:r>
              <w:rPr>
                <w:sz w:val="18"/>
              </w:rPr>
              <w:t>Cantidad</w:t>
            </w:r>
            <w:r>
              <w:rPr>
                <w:spacing w:val="-15"/>
                <w:sz w:val="18"/>
              </w:rPr>
              <w:t> </w:t>
            </w:r>
            <w:r>
              <w:rPr>
                <w:sz w:val="18"/>
              </w:rPr>
              <w:t>de</w:t>
            </w:r>
            <w:r>
              <w:rPr>
                <w:spacing w:val="-12"/>
                <w:sz w:val="18"/>
              </w:rPr>
              <w:t> </w:t>
            </w:r>
            <w:r>
              <w:rPr>
                <w:sz w:val="18"/>
              </w:rPr>
              <w:t>instituciones utilizando el SIREC</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spacing w:before="36"/>
              <w:rPr>
                <w:b/>
                <w:sz w:val="18"/>
              </w:rPr>
            </w:pPr>
          </w:p>
          <w:p>
            <w:pPr>
              <w:pStyle w:val="TableParagraph"/>
              <w:ind w:left="28" w:right="33"/>
              <w:jc w:val="center"/>
              <w:rPr>
                <w:sz w:val="18"/>
              </w:rPr>
            </w:pPr>
            <w:r>
              <w:rPr>
                <w:spacing w:val="-5"/>
                <w:sz w:val="18"/>
              </w:rPr>
              <w:t>10</w:t>
            </w:r>
          </w:p>
        </w:tc>
        <w:tc>
          <w:tcPr>
            <w:tcW w:w="1081" w:type="dxa"/>
          </w:tcPr>
          <w:p>
            <w:pPr>
              <w:pStyle w:val="TableParagraph"/>
              <w:rPr>
                <w:rFonts w:ascii="Times New Roman"/>
                <w:sz w:val="18"/>
              </w:rPr>
            </w:pPr>
          </w:p>
        </w:tc>
      </w:tr>
      <w:tr>
        <w:trPr>
          <w:trHeight w:val="556" w:hRule="atLeast"/>
        </w:trPr>
        <w:tc>
          <w:tcPr>
            <w:tcW w:w="14399" w:type="dxa"/>
            <w:gridSpan w:val="10"/>
            <w:shd w:val="clear" w:color="auto" w:fill="EFF8F9"/>
          </w:tcPr>
          <w:p>
            <w:pPr>
              <w:pStyle w:val="TableParagraph"/>
              <w:spacing w:before="71"/>
              <w:ind w:left="72"/>
              <w:rPr>
                <w:b/>
                <w:sz w:val="18"/>
              </w:rPr>
            </w:pPr>
            <w:r>
              <w:rPr>
                <w:b/>
                <w:sz w:val="18"/>
              </w:rPr>
              <w:t>Producto</w:t>
            </w:r>
            <w:r>
              <w:rPr>
                <w:b/>
                <w:spacing w:val="-4"/>
                <w:sz w:val="18"/>
              </w:rPr>
              <w:t> </w:t>
            </w:r>
            <w:r>
              <w:rPr>
                <w:b/>
                <w:sz w:val="18"/>
              </w:rPr>
              <w:t>PAC</w:t>
            </w:r>
            <w:r>
              <w:rPr>
                <w:b/>
                <w:spacing w:val="-5"/>
                <w:sz w:val="18"/>
              </w:rPr>
              <w:t> </w:t>
            </w:r>
            <w:r>
              <w:rPr>
                <w:b/>
                <w:sz w:val="18"/>
              </w:rPr>
              <w:t>2.89:</w:t>
            </w:r>
            <w:r>
              <w:rPr>
                <w:b/>
                <w:spacing w:val="-1"/>
                <w:sz w:val="18"/>
              </w:rPr>
              <w:t> </w:t>
            </w:r>
            <w:r>
              <w:rPr>
                <w:b/>
                <w:sz w:val="18"/>
              </w:rPr>
              <w:t>Sistema de</w:t>
            </w:r>
            <w:r>
              <w:rPr>
                <w:b/>
                <w:spacing w:val="-3"/>
                <w:sz w:val="18"/>
              </w:rPr>
              <w:t> </w:t>
            </w:r>
            <w:r>
              <w:rPr>
                <w:b/>
                <w:sz w:val="18"/>
              </w:rPr>
              <w:t>Indicadores para</w:t>
            </w:r>
            <w:r>
              <w:rPr>
                <w:b/>
                <w:spacing w:val="-3"/>
                <w:sz w:val="18"/>
              </w:rPr>
              <w:t> </w:t>
            </w:r>
            <w:r>
              <w:rPr>
                <w:b/>
                <w:sz w:val="18"/>
              </w:rPr>
              <w:t>medición del avance</w:t>
            </w:r>
            <w:r>
              <w:rPr>
                <w:b/>
                <w:spacing w:val="-3"/>
                <w:sz w:val="18"/>
              </w:rPr>
              <w:t> </w:t>
            </w:r>
            <w:r>
              <w:rPr>
                <w:b/>
                <w:sz w:val="18"/>
              </w:rPr>
              <w:t>en el</w:t>
            </w:r>
            <w:r>
              <w:rPr>
                <w:b/>
                <w:spacing w:val="-1"/>
                <w:sz w:val="18"/>
              </w:rPr>
              <w:t> </w:t>
            </w:r>
            <w:r>
              <w:rPr>
                <w:b/>
                <w:sz w:val="18"/>
              </w:rPr>
              <w:t>cumplimiento</w:t>
            </w:r>
            <w:r>
              <w:rPr>
                <w:b/>
                <w:spacing w:val="-4"/>
                <w:sz w:val="18"/>
              </w:rPr>
              <w:t> </w:t>
            </w:r>
            <w:r>
              <w:rPr>
                <w:b/>
                <w:sz w:val="18"/>
              </w:rPr>
              <w:t>de</w:t>
            </w:r>
            <w:r>
              <w:rPr>
                <w:b/>
                <w:spacing w:val="-3"/>
                <w:sz w:val="18"/>
              </w:rPr>
              <w:t> </w:t>
            </w:r>
            <w:r>
              <w:rPr>
                <w:b/>
                <w:sz w:val="18"/>
              </w:rPr>
              <w:t>los</w:t>
            </w:r>
            <w:r>
              <w:rPr>
                <w:b/>
                <w:spacing w:val="-8"/>
                <w:sz w:val="18"/>
              </w:rPr>
              <w:t> </w:t>
            </w:r>
            <w:r>
              <w:rPr>
                <w:b/>
                <w:sz w:val="18"/>
              </w:rPr>
              <w:t>ODS y</w:t>
            </w:r>
            <w:r>
              <w:rPr>
                <w:b/>
                <w:spacing w:val="-3"/>
                <w:sz w:val="18"/>
              </w:rPr>
              <w:t> </w:t>
            </w:r>
            <w:r>
              <w:rPr>
                <w:b/>
                <w:sz w:val="18"/>
              </w:rPr>
              <w:t>afines</w:t>
            </w:r>
            <w:r>
              <w:rPr>
                <w:b/>
                <w:spacing w:val="-3"/>
                <w:sz w:val="18"/>
              </w:rPr>
              <w:t> </w:t>
            </w:r>
            <w:r>
              <w:rPr>
                <w:b/>
                <w:sz w:val="18"/>
              </w:rPr>
              <w:t>de</w:t>
            </w:r>
            <w:r>
              <w:rPr>
                <w:b/>
                <w:spacing w:val="-3"/>
                <w:sz w:val="18"/>
              </w:rPr>
              <w:t> </w:t>
            </w:r>
            <w:r>
              <w:rPr>
                <w:b/>
                <w:sz w:val="18"/>
              </w:rPr>
              <w:t>las instituciones que ejecutan</w:t>
            </w:r>
            <w:r>
              <w:rPr>
                <w:b/>
                <w:spacing w:val="-4"/>
                <w:sz w:val="18"/>
              </w:rPr>
              <w:t> </w:t>
            </w:r>
            <w:r>
              <w:rPr>
                <w:b/>
                <w:sz w:val="18"/>
              </w:rPr>
              <w:t>programas</w:t>
            </w:r>
            <w:r>
              <w:rPr>
                <w:b/>
                <w:spacing w:val="-3"/>
                <w:sz w:val="18"/>
              </w:rPr>
              <w:t> </w:t>
            </w:r>
            <w:r>
              <w:rPr>
                <w:b/>
                <w:sz w:val="18"/>
              </w:rPr>
              <w:t>sociales ejecutándose. (E4 AE3 R2) (60%)</w:t>
            </w:r>
          </w:p>
        </w:tc>
      </w:tr>
    </w:tbl>
    <w:p>
      <w:pPr>
        <w:pStyle w:val="TableParagraph"/>
        <w:spacing w:after="0"/>
        <w:rPr>
          <w:b/>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69"/>
        <w:gridCol w:w="2180"/>
        <w:gridCol w:w="1181"/>
        <w:gridCol w:w="1081"/>
        <w:gridCol w:w="1182"/>
        <w:gridCol w:w="1081"/>
        <w:gridCol w:w="1182"/>
        <w:gridCol w:w="1081"/>
        <w:gridCol w:w="1181"/>
        <w:gridCol w:w="1081"/>
      </w:tblGrid>
      <w:tr>
        <w:trPr>
          <w:trHeight w:val="1243" w:hRule="atLeast"/>
        </w:trPr>
        <w:tc>
          <w:tcPr>
            <w:tcW w:w="3169" w:type="dxa"/>
          </w:tcPr>
          <w:p>
            <w:pPr>
              <w:pStyle w:val="TableParagraph"/>
              <w:ind w:left="72" w:right="88"/>
              <w:rPr>
                <w:sz w:val="18"/>
              </w:rPr>
            </w:pPr>
            <w:r>
              <w:rPr>
                <w:b/>
                <w:sz w:val="18"/>
              </w:rPr>
              <w:t>Actividad PAC 2.89.1: </w:t>
            </w:r>
            <w:r>
              <w:rPr>
                <w:sz w:val="18"/>
              </w:rPr>
              <w:t>Solicitud de reportes</w:t>
            </w:r>
            <w:r>
              <w:rPr>
                <w:spacing w:val="-5"/>
                <w:sz w:val="18"/>
              </w:rPr>
              <w:t> </w:t>
            </w:r>
            <w:r>
              <w:rPr>
                <w:sz w:val="18"/>
              </w:rPr>
              <w:t>al</w:t>
            </w:r>
            <w:r>
              <w:rPr>
                <w:spacing w:val="-2"/>
                <w:sz w:val="18"/>
              </w:rPr>
              <w:t> </w:t>
            </w:r>
            <w:r>
              <w:rPr>
                <w:sz w:val="18"/>
              </w:rPr>
              <w:t>SINIRUBE</w:t>
            </w:r>
            <w:r>
              <w:rPr>
                <w:spacing w:val="-2"/>
                <w:sz w:val="18"/>
              </w:rPr>
              <w:t> </w:t>
            </w:r>
            <w:r>
              <w:rPr>
                <w:sz w:val="18"/>
              </w:rPr>
              <w:t>que</w:t>
            </w:r>
            <w:r>
              <w:rPr>
                <w:spacing w:val="-5"/>
                <w:sz w:val="18"/>
              </w:rPr>
              <w:t> </w:t>
            </w:r>
            <w:r>
              <w:rPr>
                <w:sz w:val="18"/>
              </w:rPr>
              <w:t>recibieron al menos un beneficio de protección social al cierre del 2025 para el cálculo</w:t>
            </w:r>
            <w:r>
              <w:rPr>
                <w:spacing w:val="-11"/>
                <w:sz w:val="18"/>
              </w:rPr>
              <w:t> </w:t>
            </w:r>
            <w:r>
              <w:rPr>
                <w:sz w:val="18"/>
              </w:rPr>
              <w:t>del</w:t>
            </w:r>
            <w:r>
              <w:rPr>
                <w:spacing w:val="-11"/>
                <w:sz w:val="18"/>
              </w:rPr>
              <w:t> </w:t>
            </w:r>
            <w:r>
              <w:rPr>
                <w:sz w:val="18"/>
              </w:rPr>
              <w:t>indicador</w:t>
            </w:r>
            <w:r>
              <w:rPr>
                <w:spacing w:val="-12"/>
                <w:sz w:val="18"/>
              </w:rPr>
              <w:t> </w:t>
            </w:r>
            <w:r>
              <w:rPr>
                <w:sz w:val="18"/>
              </w:rPr>
              <w:t>complementario</w:t>
            </w:r>
          </w:p>
          <w:p>
            <w:pPr>
              <w:pStyle w:val="TableParagraph"/>
              <w:spacing w:line="187" w:lineRule="exact" w:before="1"/>
              <w:ind w:left="72"/>
              <w:rPr>
                <w:sz w:val="18"/>
              </w:rPr>
            </w:pPr>
            <w:r>
              <w:rPr>
                <w:sz w:val="18"/>
              </w:rPr>
              <w:t>1.3</w:t>
            </w:r>
            <w:r>
              <w:rPr>
                <w:spacing w:val="-3"/>
                <w:sz w:val="18"/>
              </w:rPr>
              <w:t> </w:t>
            </w:r>
            <w:r>
              <w:rPr>
                <w:sz w:val="18"/>
              </w:rPr>
              <w:t>de</w:t>
            </w:r>
            <w:r>
              <w:rPr>
                <w:spacing w:val="2"/>
                <w:sz w:val="18"/>
              </w:rPr>
              <w:t> </w:t>
            </w:r>
            <w:r>
              <w:rPr>
                <w:sz w:val="18"/>
              </w:rPr>
              <w:t>los</w:t>
            </w:r>
            <w:r>
              <w:rPr>
                <w:spacing w:val="-7"/>
                <w:sz w:val="18"/>
              </w:rPr>
              <w:t> </w:t>
            </w:r>
            <w:r>
              <w:rPr>
                <w:spacing w:val="-5"/>
                <w:sz w:val="18"/>
              </w:rPr>
              <w:t>ODS</w:t>
            </w:r>
          </w:p>
        </w:tc>
        <w:tc>
          <w:tcPr>
            <w:tcW w:w="2180" w:type="dxa"/>
          </w:tcPr>
          <w:p>
            <w:pPr>
              <w:pStyle w:val="TableParagraph"/>
              <w:spacing w:before="103"/>
              <w:rPr>
                <w:b/>
                <w:sz w:val="18"/>
              </w:rPr>
            </w:pPr>
          </w:p>
          <w:p>
            <w:pPr>
              <w:pStyle w:val="TableParagraph"/>
              <w:spacing w:before="1"/>
              <w:ind w:left="115" w:right="108" w:hanging="8"/>
              <w:jc w:val="center"/>
              <w:rPr>
                <w:sz w:val="18"/>
              </w:rPr>
            </w:pPr>
            <w:r>
              <w:rPr>
                <w:sz w:val="18"/>
              </w:rPr>
              <w:t>Porcentaje de reportes remitidos</w:t>
            </w:r>
            <w:r>
              <w:rPr>
                <w:spacing w:val="-15"/>
                <w:sz w:val="18"/>
              </w:rPr>
              <w:t> </w:t>
            </w:r>
            <w:r>
              <w:rPr>
                <w:sz w:val="18"/>
              </w:rPr>
              <w:t>por</w:t>
            </w:r>
            <w:r>
              <w:rPr>
                <w:spacing w:val="-12"/>
                <w:sz w:val="18"/>
              </w:rPr>
              <w:t> </w:t>
            </w:r>
            <w:r>
              <w:rPr>
                <w:sz w:val="18"/>
              </w:rPr>
              <w:t>SINIRUBE </w:t>
            </w:r>
            <w:r>
              <w:rPr>
                <w:spacing w:val="-2"/>
                <w:sz w:val="18"/>
              </w:rPr>
              <w:t>analizados</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rPr>
                <w:b/>
                <w:sz w:val="18"/>
              </w:rPr>
            </w:pPr>
          </w:p>
          <w:p>
            <w:pPr>
              <w:pStyle w:val="TableParagraph"/>
              <w:spacing w:before="103"/>
              <w:rPr>
                <w:b/>
                <w:sz w:val="18"/>
              </w:rPr>
            </w:pPr>
          </w:p>
          <w:p>
            <w:pPr>
              <w:pStyle w:val="TableParagraph"/>
              <w:ind w:left="28" w:right="30"/>
              <w:jc w:val="center"/>
              <w:rPr>
                <w:sz w:val="18"/>
              </w:rPr>
            </w:pPr>
            <w:r>
              <w:rPr>
                <w:spacing w:val="-4"/>
                <w:sz w:val="18"/>
              </w:rPr>
              <w:t>100%</w:t>
            </w:r>
          </w:p>
        </w:tc>
        <w:tc>
          <w:tcPr>
            <w:tcW w:w="1081" w:type="dxa"/>
          </w:tcPr>
          <w:p>
            <w:pPr>
              <w:pStyle w:val="TableParagraph"/>
              <w:rPr>
                <w:rFonts w:ascii="Times New Roman"/>
                <w:sz w:val="18"/>
              </w:rPr>
            </w:pPr>
          </w:p>
        </w:tc>
      </w:tr>
      <w:tr>
        <w:trPr>
          <w:trHeight w:val="1123" w:hRule="atLeast"/>
        </w:trPr>
        <w:tc>
          <w:tcPr>
            <w:tcW w:w="3169" w:type="dxa"/>
          </w:tcPr>
          <w:p>
            <w:pPr>
              <w:pStyle w:val="TableParagraph"/>
              <w:spacing w:before="41"/>
              <w:rPr>
                <w:b/>
                <w:sz w:val="18"/>
              </w:rPr>
            </w:pPr>
          </w:p>
          <w:p>
            <w:pPr>
              <w:pStyle w:val="TableParagraph"/>
              <w:spacing w:line="242" w:lineRule="auto"/>
              <w:ind w:left="72" w:right="277"/>
              <w:jc w:val="both"/>
              <w:rPr>
                <w:sz w:val="18"/>
              </w:rPr>
            </w:pPr>
            <w:r>
              <w:rPr>
                <w:b/>
                <w:sz w:val="18"/>
              </w:rPr>
              <w:t>Actividad</w:t>
            </w:r>
            <w:r>
              <w:rPr>
                <w:b/>
                <w:spacing w:val="-9"/>
                <w:sz w:val="18"/>
              </w:rPr>
              <w:t> </w:t>
            </w:r>
            <w:r>
              <w:rPr>
                <w:b/>
                <w:sz w:val="18"/>
              </w:rPr>
              <w:t>PAC</w:t>
            </w:r>
            <w:r>
              <w:rPr>
                <w:b/>
                <w:spacing w:val="-6"/>
                <w:sz w:val="18"/>
              </w:rPr>
              <w:t> </w:t>
            </w:r>
            <w:r>
              <w:rPr>
                <w:b/>
                <w:sz w:val="18"/>
              </w:rPr>
              <w:t>2.89.2: </w:t>
            </w:r>
            <w:r>
              <w:rPr>
                <w:sz w:val="18"/>
              </w:rPr>
              <w:t>Cálculo</w:t>
            </w:r>
            <w:r>
              <w:rPr>
                <w:spacing w:val="-8"/>
                <w:sz w:val="18"/>
              </w:rPr>
              <w:t> </w:t>
            </w:r>
            <w:r>
              <w:rPr>
                <w:sz w:val="18"/>
              </w:rPr>
              <w:t>del indicador</w:t>
            </w:r>
            <w:r>
              <w:rPr>
                <w:spacing w:val="-10"/>
                <w:sz w:val="18"/>
              </w:rPr>
              <w:t> </w:t>
            </w:r>
            <w:r>
              <w:rPr>
                <w:sz w:val="18"/>
              </w:rPr>
              <w:t>ODS</w:t>
            </w:r>
            <w:r>
              <w:rPr>
                <w:spacing w:val="-12"/>
                <w:sz w:val="18"/>
              </w:rPr>
              <w:t> </w:t>
            </w:r>
            <w:r>
              <w:rPr>
                <w:sz w:val="18"/>
              </w:rPr>
              <w:t>complementario</w:t>
            </w:r>
            <w:r>
              <w:rPr>
                <w:spacing w:val="-11"/>
                <w:sz w:val="18"/>
              </w:rPr>
              <w:t> </w:t>
            </w:r>
            <w:r>
              <w:rPr>
                <w:sz w:val="18"/>
              </w:rPr>
              <w:t>1.3 para el 2025</w:t>
            </w:r>
          </w:p>
        </w:tc>
        <w:tc>
          <w:tcPr>
            <w:tcW w:w="2180" w:type="dxa"/>
          </w:tcPr>
          <w:p>
            <w:pPr>
              <w:pStyle w:val="TableParagraph"/>
              <w:spacing w:before="147"/>
              <w:rPr>
                <w:b/>
                <w:sz w:val="18"/>
              </w:rPr>
            </w:pPr>
          </w:p>
          <w:p>
            <w:pPr>
              <w:pStyle w:val="TableParagraph"/>
              <w:ind w:left="143" w:firstLine="9"/>
              <w:rPr>
                <w:sz w:val="18"/>
              </w:rPr>
            </w:pPr>
            <w:r>
              <w:rPr>
                <w:sz w:val="18"/>
              </w:rPr>
              <w:t>Número</w:t>
            </w:r>
            <w:r>
              <w:rPr>
                <w:spacing w:val="-10"/>
                <w:sz w:val="18"/>
              </w:rPr>
              <w:t> </w:t>
            </w:r>
            <w:r>
              <w:rPr>
                <w:sz w:val="18"/>
              </w:rPr>
              <w:t>de</w:t>
            </w:r>
            <w:r>
              <w:rPr>
                <w:spacing w:val="-10"/>
                <w:sz w:val="18"/>
              </w:rPr>
              <w:t> </w:t>
            </w:r>
            <w:r>
              <w:rPr>
                <w:sz w:val="18"/>
              </w:rPr>
              <w:t>indicadores calculados</w:t>
            </w:r>
            <w:r>
              <w:rPr>
                <w:spacing w:val="-4"/>
                <w:sz w:val="18"/>
              </w:rPr>
              <w:t> </w:t>
            </w:r>
            <w:r>
              <w:rPr>
                <w:sz w:val="18"/>
              </w:rPr>
              <w:t>a</w:t>
            </w:r>
            <w:r>
              <w:rPr>
                <w:spacing w:val="-4"/>
                <w:sz w:val="18"/>
              </w:rPr>
              <w:t> </w:t>
            </w:r>
            <w:r>
              <w:rPr>
                <w:sz w:val="18"/>
              </w:rPr>
              <w:t>junio</w:t>
            </w:r>
            <w:r>
              <w:rPr>
                <w:spacing w:val="-4"/>
                <w:sz w:val="18"/>
              </w:rPr>
              <w:t> 2026</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b/>
                <w:sz w:val="18"/>
              </w:rPr>
            </w:pPr>
          </w:p>
          <w:p>
            <w:pPr>
              <w:pStyle w:val="TableParagraph"/>
              <w:spacing w:before="45"/>
              <w:rPr>
                <w:b/>
                <w:sz w:val="18"/>
              </w:rPr>
            </w:pPr>
          </w:p>
          <w:p>
            <w:pPr>
              <w:pStyle w:val="TableParagraph"/>
              <w:ind w:left="21" w:right="9"/>
              <w:jc w:val="center"/>
              <w:rPr>
                <w:sz w:val="18"/>
              </w:rPr>
            </w:pPr>
            <w:r>
              <w:rPr>
                <w:spacing w:val="-10"/>
                <w:sz w:val="18"/>
              </w:rPr>
              <w:t>1</w:t>
            </w: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1128" w:hRule="atLeast"/>
        </w:trPr>
        <w:tc>
          <w:tcPr>
            <w:tcW w:w="3169" w:type="dxa"/>
          </w:tcPr>
          <w:p>
            <w:pPr>
              <w:pStyle w:val="TableParagraph"/>
              <w:spacing w:before="147"/>
              <w:ind w:left="72" w:right="88"/>
              <w:rPr>
                <w:sz w:val="18"/>
              </w:rPr>
            </w:pPr>
            <w:r>
              <w:rPr>
                <w:b/>
                <w:sz w:val="18"/>
              </w:rPr>
              <w:t>Actividad</w:t>
            </w:r>
            <w:r>
              <w:rPr>
                <w:b/>
                <w:spacing w:val="-10"/>
                <w:sz w:val="18"/>
              </w:rPr>
              <w:t> </w:t>
            </w:r>
            <w:r>
              <w:rPr>
                <w:b/>
                <w:sz w:val="18"/>
              </w:rPr>
              <w:t>PAC</w:t>
            </w:r>
            <w:r>
              <w:rPr>
                <w:b/>
                <w:spacing w:val="-7"/>
                <w:sz w:val="18"/>
              </w:rPr>
              <w:t> </w:t>
            </w:r>
            <w:r>
              <w:rPr>
                <w:b/>
                <w:sz w:val="18"/>
              </w:rPr>
              <w:t>2.89.3:</w:t>
            </w:r>
            <w:r>
              <w:rPr>
                <w:b/>
                <w:spacing w:val="-2"/>
                <w:sz w:val="18"/>
              </w:rPr>
              <w:t> </w:t>
            </w:r>
            <w:r>
              <w:rPr>
                <w:sz w:val="18"/>
              </w:rPr>
              <w:t>Remisión</w:t>
            </w:r>
            <w:r>
              <w:rPr>
                <w:spacing w:val="-10"/>
                <w:sz w:val="18"/>
              </w:rPr>
              <w:t> </w:t>
            </w:r>
            <w:r>
              <w:rPr>
                <w:sz w:val="18"/>
              </w:rPr>
              <w:t>a</w:t>
            </w:r>
            <w:r>
              <w:rPr>
                <w:spacing w:val="-6"/>
                <w:sz w:val="18"/>
              </w:rPr>
              <w:t> </w:t>
            </w:r>
            <w:r>
              <w:rPr>
                <w:sz w:val="18"/>
              </w:rPr>
              <w:t>la Rectoría del Sector BTIS el cálculo del indicador complementario 1.3 para el 2025</w:t>
            </w:r>
          </w:p>
        </w:tc>
        <w:tc>
          <w:tcPr>
            <w:tcW w:w="2180" w:type="dxa"/>
          </w:tcPr>
          <w:p>
            <w:pPr>
              <w:pStyle w:val="TableParagraph"/>
              <w:spacing w:before="147"/>
              <w:rPr>
                <w:b/>
                <w:sz w:val="18"/>
              </w:rPr>
            </w:pPr>
          </w:p>
          <w:p>
            <w:pPr>
              <w:pStyle w:val="TableParagraph"/>
              <w:spacing w:line="244" w:lineRule="auto"/>
              <w:ind w:left="571" w:hanging="438"/>
              <w:rPr>
                <w:sz w:val="18"/>
              </w:rPr>
            </w:pPr>
            <w:r>
              <w:rPr>
                <w:sz w:val="18"/>
              </w:rPr>
              <w:t>Número</w:t>
            </w:r>
            <w:r>
              <w:rPr>
                <w:spacing w:val="-10"/>
                <w:sz w:val="18"/>
              </w:rPr>
              <w:t> </w:t>
            </w:r>
            <w:r>
              <w:rPr>
                <w:sz w:val="18"/>
              </w:rPr>
              <w:t>de</w:t>
            </w:r>
            <w:r>
              <w:rPr>
                <w:spacing w:val="-10"/>
                <w:sz w:val="18"/>
              </w:rPr>
              <w:t> </w:t>
            </w:r>
            <w:r>
              <w:rPr>
                <w:sz w:val="18"/>
              </w:rPr>
              <w:t>sesiones</w:t>
            </w:r>
            <w:r>
              <w:rPr>
                <w:spacing w:val="-13"/>
                <w:sz w:val="18"/>
              </w:rPr>
              <w:t> </w:t>
            </w:r>
            <w:r>
              <w:rPr>
                <w:sz w:val="18"/>
              </w:rPr>
              <w:t>de </w:t>
            </w:r>
            <w:r>
              <w:rPr>
                <w:spacing w:val="-2"/>
                <w:sz w:val="18"/>
              </w:rPr>
              <w:t>presentación</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b/>
                <w:sz w:val="18"/>
              </w:rPr>
            </w:pPr>
          </w:p>
          <w:p>
            <w:pPr>
              <w:pStyle w:val="TableParagraph"/>
              <w:spacing w:before="45"/>
              <w:rPr>
                <w:b/>
                <w:sz w:val="18"/>
              </w:rPr>
            </w:pPr>
          </w:p>
          <w:p>
            <w:pPr>
              <w:pStyle w:val="TableParagraph"/>
              <w:ind w:left="21" w:right="9"/>
              <w:jc w:val="center"/>
              <w:rPr>
                <w:sz w:val="18"/>
              </w:rPr>
            </w:pPr>
            <w:r>
              <w:rPr>
                <w:spacing w:val="-10"/>
                <w:sz w:val="18"/>
              </w:rPr>
              <w:t>1</w:t>
            </w: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1123" w:hRule="atLeast"/>
        </w:trPr>
        <w:tc>
          <w:tcPr>
            <w:tcW w:w="3169" w:type="dxa"/>
          </w:tcPr>
          <w:p>
            <w:pPr>
              <w:pStyle w:val="TableParagraph"/>
              <w:spacing w:before="147"/>
              <w:ind w:left="72" w:right="88"/>
              <w:rPr>
                <w:sz w:val="18"/>
              </w:rPr>
            </w:pPr>
            <w:r>
              <w:rPr>
                <w:b/>
                <w:sz w:val="18"/>
              </w:rPr>
              <w:t>Actividad PAC 2.89.4: </w:t>
            </w:r>
            <w:r>
              <w:rPr>
                <w:sz w:val="18"/>
              </w:rPr>
              <w:t>Sesiones de coordinación</w:t>
            </w:r>
            <w:r>
              <w:rPr>
                <w:spacing w:val="-9"/>
                <w:sz w:val="18"/>
              </w:rPr>
              <w:t> </w:t>
            </w:r>
            <w:r>
              <w:rPr>
                <w:sz w:val="18"/>
              </w:rPr>
              <w:t>con</w:t>
            </w:r>
            <w:r>
              <w:rPr>
                <w:spacing w:val="-5"/>
                <w:sz w:val="18"/>
              </w:rPr>
              <w:t> </w:t>
            </w:r>
            <w:r>
              <w:rPr>
                <w:sz w:val="18"/>
              </w:rPr>
              <w:t>la</w:t>
            </w:r>
            <w:r>
              <w:rPr>
                <w:spacing w:val="-9"/>
                <w:sz w:val="18"/>
              </w:rPr>
              <w:t> </w:t>
            </w:r>
            <w:r>
              <w:rPr>
                <w:sz w:val="18"/>
              </w:rPr>
              <w:t>Secretaría</w:t>
            </w:r>
            <w:r>
              <w:rPr>
                <w:spacing w:val="-5"/>
                <w:sz w:val="18"/>
              </w:rPr>
              <w:t> </w:t>
            </w:r>
            <w:r>
              <w:rPr>
                <w:sz w:val="18"/>
              </w:rPr>
              <w:t>de</w:t>
            </w:r>
            <w:r>
              <w:rPr>
                <w:spacing w:val="-9"/>
                <w:sz w:val="18"/>
              </w:rPr>
              <w:t> </w:t>
            </w:r>
            <w:r>
              <w:rPr>
                <w:sz w:val="18"/>
              </w:rPr>
              <w:t>los ODS (MIDEPLAN) sobre la información reportada</w:t>
            </w:r>
          </w:p>
        </w:tc>
        <w:tc>
          <w:tcPr>
            <w:tcW w:w="2180" w:type="dxa"/>
          </w:tcPr>
          <w:p>
            <w:pPr>
              <w:pStyle w:val="TableParagraph"/>
              <w:spacing w:before="147"/>
              <w:rPr>
                <w:b/>
                <w:sz w:val="18"/>
              </w:rPr>
            </w:pPr>
          </w:p>
          <w:p>
            <w:pPr>
              <w:pStyle w:val="TableParagraph"/>
              <w:ind w:left="576" w:hanging="442"/>
              <w:rPr>
                <w:sz w:val="18"/>
              </w:rPr>
            </w:pPr>
            <w:r>
              <w:rPr>
                <w:sz w:val="18"/>
              </w:rPr>
              <w:t>Número</w:t>
            </w:r>
            <w:r>
              <w:rPr>
                <w:spacing w:val="-11"/>
                <w:sz w:val="18"/>
              </w:rPr>
              <w:t> </w:t>
            </w:r>
            <w:r>
              <w:rPr>
                <w:sz w:val="18"/>
              </w:rPr>
              <w:t>de</w:t>
            </w:r>
            <w:r>
              <w:rPr>
                <w:spacing w:val="-10"/>
                <w:sz w:val="18"/>
              </w:rPr>
              <w:t> </w:t>
            </w:r>
            <w:r>
              <w:rPr>
                <w:sz w:val="18"/>
              </w:rPr>
              <w:t>sesiones</w:t>
            </w:r>
            <w:r>
              <w:rPr>
                <w:spacing w:val="-13"/>
                <w:sz w:val="18"/>
              </w:rPr>
              <w:t> </w:t>
            </w:r>
            <w:r>
              <w:rPr>
                <w:sz w:val="18"/>
              </w:rPr>
              <w:t>de </w:t>
            </w:r>
            <w:r>
              <w:rPr>
                <w:spacing w:val="-2"/>
                <w:sz w:val="18"/>
              </w:rPr>
              <w:t>coordinación</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b/>
                <w:sz w:val="18"/>
              </w:rPr>
            </w:pPr>
          </w:p>
          <w:p>
            <w:pPr>
              <w:pStyle w:val="TableParagraph"/>
              <w:spacing w:before="41"/>
              <w:rPr>
                <w:b/>
                <w:sz w:val="18"/>
              </w:rPr>
            </w:pPr>
          </w:p>
          <w:p>
            <w:pPr>
              <w:pStyle w:val="TableParagraph"/>
              <w:ind w:left="21" w:right="9"/>
              <w:jc w:val="center"/>
              <w:rPr>
                <w:sz w:val="18"/>
              </w:rPr>
            </w:pPr>
            <w:r>
              <w:rPr>
                <w:spacing w:val="-10"/>
                <w:sz w:val="18"/>
              </w:rPr>
              <w:t>1</w:t>
            </w: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556" w:hRule="atLeast"/>
        </w:trPr>
        <w:tc>
          <w:tcPr>
            <w:tcW w:w="14399" w:type="dxa"/>
            <w:gridSpan w:val="10"/>
            <w:shd w:val="clear" w:color="auto" w:fill="EFF8F9"/>
          </w:tcPr>
          <w:p>
            <w:pPr>
              <w:pStyle w:val="TableParagraph"/>
              <w:spacing w:before="71"/>
              <w:ind w:left="72"/>
              <w:rPr>
                <w:b/>
                <w:sz w:val="18"/>
              </w:rPr>
            </w:pPr>
            <w:r>
              <w:rPr>
                <w:b/>
                <w:sz w:val="18"/>
              </w:rPr>
              <w:t>Producto</w:t>
            </w:r>
            <w:r>
              <w:rPr>
                <w:b/>
                <w:spacing w:val="-4"/>
                <w:sz w:val="18"/>
              </w:rPr>
              <w:t> </w:t>
            </w:r>
            <w:r>
              <w:rPr>
                <w:b/>
                <w:sz w:val="18"/>
              </w:rPr>
              <w:t>PAC</w:t>
            </w:r>
            <w:r>
              <w:rPr>
                <w:b/>
                <w:spacing w:val="-5"/>
                <w:sz w:val="18"/>
              </w:rPr>
              <w:t> </w:t>
            </w:r>
            <w:r>
              <w:rPr>
                <w:b/>
                <w:sz w:val="18"/>
              </w:rPr>
              <w:t>2.90:</w:t>
            </w:r>
            <w:r>
              <w:rPr>
                <w:b/>
                <w:spacing w:val="40"/>
                <w:sz w:val="18"/>
              </w:rPr>
              <w:t> </w:t>
            </w:r>
            <w:r>
              <w:rPr>
                <w:b/>
                <w:sz w:val="18"/>
              </w:rPr>
              <w:t>Instituciones</w:t>
            </w:r>
            <w:r>
              <w:rPr>
                <w:b/>
                <w:spacing w:val="-3"/>
                <w:sz w:val="18"/>
              </w:rPr>
              <w:t> </w:t>
            </w:r>
            <w:r>
              <w:rPr>
                <w:b/>
                <w:sz w:val="18"/>
              </w:rPr>
              <w:t>que</w:t>
            </w:r>
            <w:r>
              <w:rPr>
                <w:b/>
                <w:spacing w:val="-3"/>
                <w:sz w:val="18"/>
              </w:rPr>
              <w:t> </w:t>
            </w:r>
            <w:r>
              <w:rPr>
                <w:b/>
                <w:sz w:val="18"/>
              </w:rPr>
              <w:t>ejecutan</w:t>
            </w:r>
            <w:r>
              <w:rPr>
                <w:b/>
                <w:spacing w:val="-4"/>
                <w:sz w:val="18"/>
              </w:rPr>
              <w:t> </w:t>
            </w:r>
            <w:r>
              <w:rPr>
                <w:b/>
                <w:sz w:val="18"/>
              </w:rPr>
              <w:t>programas sociales</w:t>
            </w:r>
            <w:r>
              <w:rPr>
                <w:b/>
                <w:spacing w:val="-3"/>
                <w:sz w:val="18"/>
              </w:rPr>
              <w:t> </w:t>
            </w:r>
            <w:r>
              <w:rPr>
                <w:b/>
                <w:sz w:val="18"/>
              </w:rPr>
              <w:t>incorporando</w:t>
            </w:r>
            <w:r>
              <w:rPr>
                <w:b/>
                <w:spacing w:val="-4"/>
                <w:sz w:val="18"/>
              </w:rPr>
              <w:t> </w:t>
            </w:r>
            <w:r>
              <w:rPr>
                <w:b/>
                <w:sz w:val="18"/>
              </w:rPr>
              <w:t>acciones</w:t>
            </w:r>
            <w:r>
              <w:rPr>
                <w:b/>
                <w:spacing w:val="-3"/>
                <w:sz w:val="18"/>
              </w:rPr>
              <w:t> </w:t>
            </w:r>
            <w:r>
              <w:rPr>
                <w:b/>
                <w:sz w:val="18"/>
              </w:rPr>
              <w:t>en sus</w:t>
            </w:r>
            <w:r>
              <w:rPr>
                <w:b/>
                <w:spacing w:val="-3"/>
                <w:sz w:val="18"/>
              </w:rPr>
              <w:t> </w:t>
            </w:r>
            <w:r>
              <w:rPr>
                <w:b/>
                <w:sz w:val="18"/>
              </w:rPr>
              <w:t>instrumentos</w:t>
            </w:r>
            <w:r>
              <w:rPr>
                <w:b/>
                <w:spacing w:val="-3"/>
                <w:sz w:val="18"/>
              </w:rPr>
              <w:t> </w:t>
            </w:r>
            <w:r>
              <w:rPr>
                <w:b/>
                <w:sz w:val="18"/>
              </w:rPr>
              <w:t>de planificación para</w:t>
            </w:r>
            <w:r>
              <w:rPr>
                <w:b/>
                <w:spacing w:val="-3"/>
                <w:sz w:val="18"/>
              </w:rPr>
              <w:t> </w:t>
            </w:r>
            <w:r>
              <w:rPr>
                <w:b/>
                <w:sz w:val="18"/>
              </w:rPr>
              <w:t>el</w:t>
            </w:r>
            <w:r>
              <w:rPr>
                <w:b/>
                <w:spacing w:val="-1"/>
                <w:sz w:val="18"/>
              </w:rPr>
              <w:t> </w:t>
            </w:r>
            <w:r>
              <w:rPr>
                <w:b/>
                <w:sz w:val="18"/>
              </w:rPr>
              <w:t>cumplimiento</w:t>
            </w:r>
            <w:r>
              <w:rPr>
                <w:b/>
                <w:spacing w:val="-4"/>
                <w:sz w:val="18"/>
              </w:rPr>
              <w:t> </w:t>
            </w:r>
            <w:r>
              <w:rPr>
                <w:b/>
                <w:sz w:val="18"/>
              </w:rPr>
              <w:t>del</w:t>
            </w:r>
            <w:r>
              <w:rPr>
                <w:b/>
                <w:spacing w:val="-1"/>
                <w:sz w:val="18"/>
              </w:rPr>
              <w:t> </w:t>
            </w:r>
            <w:r>
              <w:rPr>
                <w:b/>
                <w:sz w:val="18"/>
              </w:rPr>
              <w:t>ODS</w:t>
            </w:r>
            <w:r>
              <w:rPr>
                <w:b/>
                <w:spacing w:val="-4"/>
                <w:sz w:val="18"/>
              </w:rPr>
              <w:t> </w:t>
            </w:r>
            <w:r>
              <w:rPr>
                <w:b/>
                <w:sz w:val="18"/>
              </w:rPr>
              <w:t>1 y afines. (E4 AE3 R3) (60%)</w:t>
            </w:r>
          </w:p>
        </w:tc>
      </w:tr>
      <w:tr>
        <w:trPr>
          <w:trHeight w:val="825" w:hRule="atLeast"/>
        </w:trPr>
        <w:tc>
          <w:tcPr>
            <w:tcW w:w="3169" w:type="dxa"/>
          </w:tcPr>
          <w:p>
            <w:pPr>
              <w:pStyle w:val="TableParagraph"/>
              <w:ind w:left="72"/>
              <w:rPr>
                <w:sz w:val="18"/>
              </w:rPr>
            </w:pPr>
            <w:r>
              <w:rPr>
                <w:b/>
                <w:sz w:val="18"/>
              </w:rPr>
              <w:t>Actividad PAC 2.90.1: </w:t>
            </w:r>
            <w:r>
              <w:rPr>
                <w:sz w:val="18"/>
              </w:rPr>
              <w:t>Solicitud de información a las instituciones sobre acciones</w:t>
            </w:r>
            <w:r>
              <w:rPr>
                <w:spacing w:val="-9"/>
                <w:sz w:val="18"/>
              </w:rPr>
              <w:t> </w:t>
            </w:r>
            <w:r>
              <w:rPr>
                <w:sz w:val="18"/>
              </w:rPr>
              <w:t>vinculadas</w:t>
            </w:r>
            <w:r>
              <w:rPr>
                <w:spacing w:val="-9"/>
                <w:sz w:val="18"/>
              </w:rPr>
              <w:t> </w:t>
            </w:r>
            <w:r>
              <w:rPr>
                <w:sz w:val="18"/>
              </w:rPr>
              <w:t>en</w:t>
            </w:r>
            <w:r>
              <w:rPr>
                <w:spacing w:val="-9"/>
                <w:sz w:val="18"/>
              </w:rPr>
              <w:t> </w:t>
            </w:r>
            <w:r>
              <w:rPr>
                <w:sz w:val="18"/>
              </w:rPr>
              <w:t>sus</w:t>
            </w:r>
            <w:r>
              <w:rPr>
                <w:spacing w:val="-5"/>
                <w:sz w:val="18"/>
              </w:rPr>
              <w:t> </w:t>
            </w:r>
            <w:r>
              <w:rPr>
                <w:sz w:val="18"/>
              </w:rPr>
              <w:t>POI</w:t>
            </w:r>
            <w:r>
              <w:rPr>
                <w:spacing w:val="-3"/>
                <w:sz w:val="18"/>
              </w:rPr>
              <w:t> </w:t>
            </w:r>
            <w:r>
              <w:rPr>
                <w:sz w:val="18"/>
              </w:rPr>
              <w:t>para</w:t>
            </w:r>
          </w:p>
          <w:p>
            <w:pPr>
              <w:pStyle w:val="TableParagraph"/>
              <w:spacing w:line="186" w:lineRule="exact"/>
              <w:ind w:left="72"/>
              <w:rPr>
                <w:sz w:val="18"/>
              </w:rPr>
            </w:pPr>
            <w:r>
              <w:rPr>
                <w:sz w:val="18"/>
              </w:rPr>
              <w:t>cumplir</w:t>
            </w:r>
            <w:r>
              <w:rPr>
                <w:spacing w:val="-1"/>
                <w:sz w:val="18"/>
              </w:rPr>
              <w:t> </w:t>
            </w:r>
            <w:r>
              <w:rPr>
                <w:sz w:val="18"/>
              </w:rPr>
              <w:t>con</w:t>
            </w:r>
            <w:r>
              <w:rPr>
                <w:spacing w:val="-3"/>
                <w:sz w:val="18"/>
              </w:rPr>
              <w:t> </w:t>
            </w:r>
            <w:r>
              <w:rPr>
                <w:sz w:val="18"/>
              </w:rPr>
              <w:t>el</w:t>
            </w:r>
            <w:r>
              <w:rPr>
                <w:spacing w:val="-5"/>
                <w:sz w:val="18"/>
              </w:rPr>
              <w:t> </w:t>
            </w:r>
            <w:r>
              <w:rPr>
                <w:sz w:val="18"/>
              </w:rPr>
              <w:t>ODS</w:t>
            </w:r>
            <w:r>
              <w:rPr>
                <w:spacing w:val="-3"/>
                <w:sz w:val="18"/>
              </w:rPr>
              <w:t> </w:t>
            </w:r>
            <w:r>
              <w:rPr>
                <w:spacing w:val="-10"/>
                <w:sz w:val="18"/>
              </w:rPr>
              <w:t>1</w:t>
            </w:r>
          </w:p>
        </w:tc>
        <w:tc>
          <w:tcPr>
            <w:tcW w:w="2180" w:type="dxa"/>
          </w:tcPr>
          <w:p>
            <w:pPr>
              <w:pStyle w:val="TableParagraph"/>
              <w:spacing w:before="205"/>
              <w:ind w:left="86" w:firstLine="442"/>
              <w:rPr>
                <w:sz w:val="18"/>
              </w:rPr>
            </w:pPr>
            <w:r>
              <w:rPr>
                <w:sz w:val="18"/>
              </w:rPr>
              <w:t>Porcentaje de instituciones</w:t>
            </w:r>
            <w:r>
              <w:rPr>
                <w:spacing w:val="-13"/>
                <w:sz w:val="18"/>
              </w:rPr>
              <w:t> </w:t>
            </w:r>
            <w:r>
              <w:rPr>
                <w:sz w:val="18"/>
              </w:rPr>
              <w:t>consultadas</w:t>
            </w:r>
          </w:p>
        </w:tc>
        <w:tc>
          <w:tcPr>
            <w:tcW w:w="1181" w:type="dxa"/>
          </w:tcPr>
          <w:p>
            <w:pPr>
              <w:pStyle w:val="TableParagraph"/>
              <w:spacing w:before="103"/>
              <w:rPr>
                <w:b/>
                <w:sz w:val="18"/>
              </w:rPr>
            </w:pPr>
          </w:p>
          <w:p>
            <w:pPr>
              <w:pStyle w:val="TableParagraph"/>
              <w:spacing w:before="1"/>
              <w:ind w:left="28" w:right="16"/>
              <w:jc w:val="center"/>
              <w:rPr>
                <w:sz w:val="18"/>
              </w:rPr>
            </w:pPr>
            <w:r>
              <w:rPr>
                <w:spacing w:val="-4"/>
                <w:sz w:val="18"/>
              </w:rPr>
              <w:t>100%</w:t>
            </w: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623" w:hRule="atLeast"/>
        </w:trPr>
        <w:tc>
          <w:tcPr>
            <w:tcW w:w="3169" w:type="dxa"/>
          </w:tcPr>
          <w:p>
            <w:pPr>
              <w:pStyle w:val="TableParagraph"/>
              <w:spacing w:line="206" w:lineRule="exact"/>
              <w:ind w:left="72"/>
              <w:rPr>
                <w:sz w:val="18"/>
              </w:rPr>
            </w:pPr>
            <w:r>
              <w:rPr>
                <w:b/>
                <w:sz w:val="18"/>
              </w:rPr>
              <w:t>Actividad</w:t>
            </w:r>
            <w:r>
              <w:rPr>
                <w:b/>
                <w:spacing w:val="-12"/>
                <w:sz w:val="18"/>
              </w:rPr>
              <w:t> </w:t>
            </w:r>
            <w:r>
              <w:rPr>
                <w:b/>
                <w:sz w:val="18"/>
              </w:rPr>
              <w:t>PAC</w:t>
            </w:r>
            <w:r>
              <w:rPr>
                <w:b/>
                <w:spacing w:val="-8"/>
                <w:sz w:val="18"/>
              </w:rPr>
              <w:t> </w:t>
            </w:r>
            <w:r>
              <w:rPr>
                <w:b/>
                <w:sz w:val="18"/>
              </w:rPr>
              <w:t>2.90.2:</w:t>
            </w:r>
            <w:r>
              <w:rPr>
                <w:b/>
                <w:spacing w:val="-3"/>
                <w:sz w:val="18"/>
              </w:rPr>
              <w:t> </w:t>
            </w:r>
            <w:r>
              <w:rPr>
                <w:sz w:val="18"/>
              </w:rPr>
              <w:t>Análisis</w:t>
            </w:r>
            <w:r>
              <w:rPr>
                <w:spacing w:val="-11"/>
                <w:sz w:val="18"/>
              </w:rPr>
              <w:t> </w:t>
            </w:r>
            <w:r>
              <w:rPr>
                <w:sz w:val="18"/>
              </w:rPr>
              <w:t>de información remitida por las </w:t>
            </w:r>
            <w:r>
              <w:rPr>
                <w:spacing w:val="-2"/>
                <w:sz w:val="18"/>
              </w:rPr>
              <w:t>instituciones</w:t>
            </w:r>
          </w:p>
        </w:tc>
        <w:tc>
          <w:tcPr>
            <w:tcW w:w="2180" w:type="dxa"/>
          </w:tcPr>
          <w:p>
            <w:pPr>
              <w:pStyle w:val="TableParagraph"/>
              <w:spacing w:before="104"/>
              <w:ind w:left="211" w:firstLine="317"/>
              <w:rPr>
                <w:sz w:val="18"/>
              </w:rPr>
            </w:pPr>
            <w:r>
              <w:rPr>
                <w:sz w:val="18"/>
              </w:rPr>
              <w:t>Porcentaje de información</w:t>
            </w:r>
            <w:r>
              <w:rPr>
                <w:spacing w:val="-13"/>
                <w:sz w:val="18"/>
              </w:rPr>
              <w:t> </w:t>
            </w:r>
            <w:r>
              <w:rPr>
                <w:sz w:val="18"/>
              </w:rPr>
              <w:t>analizada</w:t>
            </w:r>
          </w:p>
        </w:tc>
        <w:tc>
          <w:tcPr>
            <w:tcW w:w="1181" w:type="dxa"/>
          </w:tcPr>
          <w:p>
            <w:pPr>
              <w:pStyle w:val="TableParagraph"/>
              <w:spacing w:before="3"/>
              <w:rPr>
                <w:b/>
                <w:sz w:val="18"/>
              </w:rPr>
            </w:pPr>
          </w:p>
          <w:p>
            <w:pPr>
              <w:pStyle w:val="TableParagraph"/>
              <w:ind w:left="28" w:right="11"/>
              <w:jc w:val="center"/>
              <w:rPr>
                <w:sz w:val="18"/>
              </w:rPr>
            </w:pPr>
            <w:r>
              <w:rPr>
                <w:spacing w:val="-5"/>
                <w:sz w:val="18"/>
              </w:rPr>
              <w:t>15%</w:t>
            </w:r>
          </w:p>
        </w:tc>
        <w:tc>
          <w:tcPr>
            <w:tcW w:w="1081" w:type="dxa"/>
          </w:tcPr>
          <w:p>
            <w:pPr>
              <w:pStyle w:val="TableParagraph"/>
              <w:rPr>
                <w:rFonts w:ascii="Times New Roman"/>
                <w:sz w:val="18"/>
              </w:rPr>
            </w:pPr>
          </w:p>
        </w:tc>
        <w:tc>
          <w:tcPr>
            <w:tcW w:w="1182" w:type="dxa"/>
          </w:tcPr>
          <w:p>
            <w:pPr>
              <w:pStyle w:val="TableParagraph"/>
              <w:spacing w:before="3"/>
              <w:rPr>
                <w:b/>
                <w:sz w:val="18"/>
              </w:rPr>
            </w:pPr>
          </w:p>
          <w:p>
            <w:pPr>
              <w:pStyle w:val="TableParagraph"/>
              <w:ind w:left="24" w:right="9"/>
              <w:jc w:val="center"/>
              <w:rPr>
                <w:sz w:val="18"/>
              </w:rPr>
            </w:pPr>
            <w:r>
              <w:rPr>
                <w:spacing w:val="-5"/>
                <w:sz w:val="18"/>
              </w:rPr>
              <w:t>30%</w:t>
            </w:r>
          </w:p>
        </w:tc>
        <w:tc>
          <w:tcPr>
            <w:tcW w:w="1081" w:type="dxa"/>
          </w:tcPr>
          <w:p>
            <w:pPr>
              <w:pStyle w:val="TableParagraph"/>
              <w:rPr>
                <w:rFonts w:ascii="Times New Roman"/>
                <w:sz w:val="18"/>
              </w:rPr>
            </w:pPr>
          </w:p>
        </w:tc>
        <w:tc>
          <w:tcPr>
            <w:tcW w:w="1182" w:type="dxa"/>
          </w:tcPr>
          <w:p>
            <w:pPr>
              <w:pStyle w:val="TableParagraph"/>
              <w:spacing w:before="3"/>
              <w:rPr>
                <w:b/>
                <w:sz w:val="18"/>
              </w:rPr>
            </w:pPr>
          </w:p>
          <w:p>
            <w:pPr>
              <w:pStyle w:val="TableParagraph"/>
              <w:ind w:left="21" w:right="18"/>
              <w:jc w:val="center"/>
              <w:rPr>
                <w:sz w:val="18"/>
              </w:rPr>
            </w:pPr>
            <w:r>
              <w:rPr>
                <w:spacing w:val="-5"/>
                <w:sz w:val="18"/>
              </w:rPr>
              <w:t>45%</w:t>
            </w:r>
          </w:p>
        </w:tc>
        <w:tc>
          <w:tcPr>
            <w:tcW w:w="1081" w:type="dxa"/>
          </w:tcPr>
          <w:p>
            <w:pPr>
              <w:pStyle w:val="TableParagraph"/>
              <w:rPr>
                <w:rFonts w:ascii="Times New Roman"/>
                <w:sz w:val="18"/>
              </w:rPr>
            </w:pPr>
          </w:p>
        </w:tc>
        <w:tc>
          <w:tcPr>
            <w:tcW w:w="1181" w:type="dxa"/>
          </w:tcPr>
          <w:p>
            <w:pPr>
              <w:pStyle w:val="TableParagraph"/>
              <w:spacing w:before="3"/>
              <w:rPr>
                <w:b/>
                <w:sz w:val="18"/>
              </w:rPr>
            </w:pPr>
          </w:p>
          <w:p>
            <w:pPr>
              <w:pStyle w:val="TableParagraph"/>
              <w:ind w:left="28" w:right="28"/>
              <w:jc w:val="center"/>
              <w:rPr>
                <w:sz w:val="18"/>
              </w:rPr>
            </w:pPr>
            <w:r>
              <w:rPr>
                <w:spacing w:val="-5"/>
                <w:sz w:val="18"/>
              </w:rPr>
              <w:t>60%</w:t>
            </w:r>
          </w:p>
        </w:tc>
        <w:tc>
          <w:tcPr>
            <w:tcW w:w="1081" w:type="dxa"/>
          </w:tcPr>
          <w:p>
            <w:pPr>
              <w:pStyle w:val="TableParagraph"/>
              <w:rPr>
                <w:rFonts w:ascii="Times New Roman"/>
                <w:sz w:val="18"/>
              </w:rPr>
            </w:pPr>
          </w:p>
        </w:tc>
      </w:tr>
      <w:tr>
        <w:trPr>
          <w:trHeight w:val="897" w:hRule="atLeast"/>
        </w:trPr>
        <w:tc>
          <w:tcPr>
            <w:tcW w:w="3169" w:type="dxa"/>
          </w:tcPr>
          <w:p>
            <w:pPr>
              <w:pStyle w:val="TableParagraph"/>
              <w:spacing w:before="138"/>
              <w:ind w:left="72"/>
              <w:rPr>
                <w:sz w:val="18"/>
              </w:rPr>
            </w:pPr>
            <w:r>
              <w:rPr>
                <w:b/>
                <w:sz w:val="18"/>
              </w:rPr>
              <w:t>Actividad PAC 2.90.3: </w:t>
            </w:r>
            <w:r>
              <w:rPr>
                <w:sz w:val="18"/>
              </w:rPr>
              <w:t>Informe de acciones</w:t>
            </w:r>
            <w:r>
              <w:rPr>
                <w:spacing w:val="-8"/>
                <w:sz w:val="18"/>
              </w:rPr>
              <w:t> </w:t>
            </w:r>
            <w:r>
              <w:rPr>
                <w:sz w:val="18"/>
              </w:rPr>
              <w:t>a</w:t>
            </w:r>
            <w:r>
              <w:rPr>
                <w:spacing w:val="-4"/>
                <w:sz w:val="18"/>
              </w:rPr>
              <w:t> </w:t>
            </w:r>
            <w:r>
              <w:rPr>
                <w:sz w:val="18"/>
              </w:rPr>
              <w:t>la</w:t>
            </w:r>
            <w:r>
              <w:rPr>
                <w:spacing w:val="-8"/>
                <w:sz w:val="18"/>
              </w:rPr>
              <w:t> </w:t>
            </w:r>
            <w:r>
              <w:rPr>
                <w:sz w:val="18"/>
              </w:rPr>
              <w:t>estrategia</w:t>
            </w:r>
            <w:r>
              <w:rPr>
                <w:spacing w:val="-8"/>
                <w:sz w:val="18"/>
              </w:rPr>
              <w:t> </w:t>
            </w:r>
            <w:r>
              <w:rPr>
                <w:sz w:val="18"/>
              </w:rPr>
              <w:t>de</w:t>
            </w:r>
            <w:r>
              <w:rPr>
                <w:spacing w:val="-8"/>
                <w:sz w:val="18"/>
              </w:rPr>
              <w:t> </w:t>
            </w:r>
            <w:r>
              <w:rPr>
                <w:sz w:val="18"/>
              </w:rPr>
              <w:t>ejecución del ODS 1</w:t>
            </w:r>
          </w:p>
        </w:tc>
        <w:tc>
          <w:tcPr>
            <w:tcW w:w="2180" w:type="dxa"/>
          </w:tcPr>
          <w:p>
            <w:pPr>
              <w:pStyle w:val="TableParagraph"/>
              <w:spacing w:before="37"/>
              <w:rPr>
                <w:b/>
                <w:sz w:val="18"/>
              </w:rPr>
            </w:pPr>
          </w:p>
          <w:p>
            <w:pPr>
              <w:pStyle w:val="TableParagraph"/>
              <w:ind w:left="638" w:hanging="409"/>
              <w:rPr>
                <w:sz w:val="18"/>
              </w:rPr>
            </w:pPr>
            <w:r>
              <w:rPr>
                <w:sz w:val="18"/>
              </w:rPr>
              <w:t>Cantidad</w:t>
            </w:r>
            <w:r>
              <w:rPr>
                <w:spacing w:val="-15"/>
                <w:sz w:val="18"/>
              </w:rPr>
              <w:t> </w:t>
            </w:r>
            <w:r>
              <w:rPr>
                <w:sz w:val="18"/>
              </w:rPr>
              <w:t>de</w:t>
            </w:r>
            <w:r>
              <w:rPr>
                <w:spacing w:val="-12"/>
                <w:sz w:val="18"/>
              </w:rPr>
              <w:t> </w:t>
            </w:r>
            <w:r>
              <w:rPr>
                <w:sz w:val="18"/>
              </w:rPr>
              <w:t>informes </w:t>
            </w:r>
            <w:r>
              <w:rPr>
                <w:spacing w:val="-2"/>
                <w:sz w:val="18"/>
              </w:rPr>
              <w:t>elaborados</w:t>
            </w:r>
          </w:p>
        </w:tc>
        <w:tc>
          <w:tcPr>
            <w:tcW w:w="1181" w:type="dxa"/>
          </w:tcPr>
          <w:p>
            <w:pPr>
              <w:pStyle w:val="TableParagraph"/>
              <w:spacing w:before="138"/>
              <w:rPr>
                <w:b/>
                <w:sz w:val="18"/>
              </w:rPr>
            </w:pPr>
          </w:p>
          <w:p>
            <w:pPr>
              <w:pStyle w:val="TableParagraph"/>
              <w:ind w:left="28" w:right="13"/>
              <w:jc w:val="center"/>
              <w:rPr>
                <w:sz w:val="18"/>
              </w:rPr>
            </w:pPr>
            <w:r>
              <w:rPr>
                <w:spacing w:val="-10"/>
                <w:sz w:val="18"/>
              </w:rPr>
              <w:t>1</w:t>
            </w: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556" w:hRule="atLeast"/>
        </w:trPr>
        <w:tc>
          <w:tcPr>
            <w:tcW w:w="14399" w:type="dxa"/>
            <w:gridSpan w:val="10"/>
            <w:shd w:val="clear" w:color="auto" w:fill="EFF8F9"/>
          </w:tcPr>
          <w:p>
            <w:pPr>
              <w:pStyle w:val="TableParagraph"/>
              <w:spacing w:before="176"/>
              <w:ind w:left="72"/>
              <w:rPr>
                <w:b/>
                <w:sz w:val="18"/>
              </w:rPr>
            </w:pPr>
            <w:r>
              <w:rPr>
                <w:b/>
                <w:sz w:val="18"/>
              </w:rPr>
              <w:t>Producto</w:t>
            </w:r>
            <w:r>
              <w:rPr>
                <w:b/>
                <w:spacing w:val="-7"/>
                <w:sz w:val="18"/>
              </w:rPr>
              <w:t> </w:t>
            </w:r>
            <w:r>
              <w:rPr>
                <w:b/>
                <w:sz w:val="18"/>
              </w:rPr>
              <w:t>PAC</w:t>
            </w:r>
            <w:r>
              <w:rPr>
                <w:b/>
                <w:spacing w:val="-8"/>
                <w:sz w:val="18"/>
              </w:rPr>
              <w:t> </w:t>
            </w:r>
            <w:r>
              <w:rPr>
                <w:b/>
                <w:sz w:val="18"/>
              </w:rPr>
              <w:t>2.91</w:t>
            </w:r>
            <w:r>
              <w:rPr>
                <w:b/>
                <w:spacing w:val="-10"/>
                <w:sz w:val="18"/>
              </w:rPr>
              <w:t> </w:t>
            </w:r>
            <w:r>
              <w:rPr>
                <w:b/>
                <w:sz w:val="18"/>
              </w:rPr>
              <w:t>IMAS</w:t>
            </w:r>
            <w:r>
              <w:rPr>
                <w:b/>
                <w:spacing w:val="-7"/>
                <w:sz w:val="18"/>
              </w:rPr>
              <w:t> </w:t>
            </w:r>
            <w:r>
              <w:rPr>
                <w:b/>
                <w:sz w:val="18"/>
              </w:rPr>
              <w:t>promoviendo</w:t>
            </w:r>
            <w:r>
              <w:rPr>
                <w:b/>
                <w:spacing w:val="-10"/>
                <w:sz w:val="18"/>
              </w:rPr>
              <w:t> </w:t>
            </w:r>
            <w:r>
              <w:rPr>
                <w:b/>
                <w:sz w:val="18"/>
              </w:rPr>
              <w:t>la</w:t>
            </w:r>
            <w:r>
              <w:rPr>
                <w:b/>
                <w:spacing w:val="-6"/>
                <w:sz w:val="18"/>
              </w:rPr>
              <w:t> </w:t>
            </w:r>
            <w:r>
              <w:rPr>
                <w:b/>
                <w:sz w:val="18"/>
              </w:rPr>
              <w:t>interconexión</w:t>
            </w:r>
            <w:r>
              <w:rPr>
                <w:b/>
                <w:spacing w:val="-2"/>
                <w:sz w:val="18"/>
              </w:rPr>
              <w:t> </w:t>
            </w:r>
            <w:r>
              <w:rPr>
                <w:b/>
                <w:sz w:val="18"/>
              </w:rPr>
              <w:t>e</w:t>
            </w:r>
            <w:r>
              <w:rPr>
                <w:b/>
                <w:spacing w:val="-6"/>
                <w:sz w:val="18"/>
              </w:rPr>
              <w:t> </w:t>
            </w:r>
            <w:r>
              <w:rPr>
                <w:b/>
                <w:sz w:val="18"/>
              </w:rPr>
              <w:t>intercambiando</w:t>
            </w:r>
            <w:r>
              <w:rPr>
                <w:b/>
                <w:spacing w:val="-6"/>
                <w:sz w:val="18"/>
              </w:rPr>
              <w:t> </w:t>
            </w:r>
            <w:r>
              <w:rPr>
                <w:b/>
                <w:sz w:val="18"/>
              </w:rPr>
              <w:t>de</w:t>
            </w:r>
            <w:r>
              <w:rPr>
                <w:b/>
                <w:spacing w:val="-6"/>
                <w:sz w:val="18"/>
              </w:rPr>
              <w:t> </w:t>
            </w:r>
            <w:r>
              <w:rPr>
                <w:b/>
                <w:sz w:val="18"/>
              </w:rPr>
              <w:t>información</w:t>
            </w:r>
            <w:r>
              <w:rPr>
                <w:b/>
                <w:spacing w:val="-7"/>
                <w:sz w:val="18"/>
              </w:rPr>
              <w:t> </w:t>
            </w:r>
            <w:r>
              <w:rPr>
                <w:b/>
                <w:sz w:val="18"/>
              </w:rPr>
              <w:t>entre</w:t>
            </w:r>
            <w:r>
              <w:rPr>
                <w:b/>
                <w:spacing w:val="-5"/>
                <w:sz w:val="18"/>
              </w:rPr>
              <w:t> </w:t>
            </w:r>
            <w:r>
              <w:rPr>
                <w:b/>
                <w:sz w:val="18"/>
              </w:rPr>
              <w:t>instituciones</w:t>
            </w:r>
            <w:r>
              <w:rPr>
                <w:b/>
                <w:spacing w:val="-11"/>
                <w:sz w:val="18"/>
              </w:rPr>
              <w:t> </w:t>
            </w:r>
            <w:r>
              <w:rPr>
                <w:b/>
                <w:sz w:val="18"/>
              </w:rPr>
              <w:t>(E4</w:t>
            </w:r>
            <w:r>
              <w:rPr>
                <w:b/>
                <w:spacing w:val="-2"/>
                <w:sz w:val="18"/>
              </w:rPr>
              <w:t> </w:t>
            </w:r>
            <w:r>
              <w:rPr>
                <w:b/>
                <w:sz w:val="18"/>
              </w:rPr>
              <w:t>AE4</w:t>
            </w:r>
            <w:r>
              <w:rPr>
                <w:b/>
                <w:spacing w:val="-1"/>
                <w:sz w:val="18"/>
              </w:rPr>
              <w:t> </w:t>
            </w:r>
            <w:r>
              <w:rPr>
                <w:b/>
                <w:spacing w:val="-5"/>
                <w:sz w:val="18"/>
              </w:rPr>
              <w:t>R1)</w:t>
            </w:r>
          </w:p>
        </w:tc>
      </w:tr>
      <w:tr>
        <w:trPr>
          <w:trHeight w:val="676" w:hRule="atLeast"/>
        </w:trPr>
        <w:tc>
          <w:tcPr>
            <w:tcW w:w="3169" w:type="dxa"/>
          </w:tcPr>
          <w:p>
            <w:pPr>
              <w:pStyle w:val="TableParagraph"/>
              <w:spacing w:before="28"/>
              <w:ind w:left="72"/>
              <w:rPr>
                <w:sz w:val="18"/>
              </w:rPr>
            </w:pPr>
            <w:r>
              <w:rPr>
                <w:b/>
                <w:sz w:val="18"/>
              </w:rPr>
              <w:t>Actividad PAC 2.91.1: </w:t>
            </w:r>
            <w:r>
              <w:rPr>
                <w:sz w:val="18"/>
              </w:rPr>
              <w:t>Realizar sesiones</w:t>
            </w:r>
            <w:r>
              <w:rPr>
                <w:spacing w:val="-8"/>
                <w:sz w:val="18"/>
              </w:rPr>
              <w:t> </w:t>
            </w:r>
            <w:r>
              <w:rPr>
                <w:sz w:val="18"/>
              </w:rPr>
              <w:t>con</w:t>
            </w:r>
            <w:r>
              <w:rPr>
                <w:spacing w:val="-8"/>
                <w:sz w:val="18"/>
              </w:rPr>
              <w:t> </w:t>
            </w:r>
            <w:r>
              <w:rPr>
                <w:sz w:val="18"/>
              </w:rPr>
              <w:t>instituciones</w:t>
            </w:r>
            <w:r>
              <w:rPr>
                <w:spacing w:val="-8"/>
                <w:sz w:val="18"/>
              </w:rPr>
              <w:t> </w:t>
            </w:r>
            <w:r>
              <w:rPr>
                <w:sz w:val="18"/>
              </w:rPr>
              <w:t>del</w:t>
            </w:r>
            <w:r>
              <w:rPr>
                <w:spacing w:val="-10"/>
                <w:sz w:val="18"/>
              </w:rPr>
              <w:t> </w:t>
            </w:r>
            <w:r>
              <w:rPr>
                <w:sz w:val="18"/>
              </w:rPr>
              <w:t>sector social para promover la firma de</w:t>
            </w:r>
          </w:p>
        </w:tc>
        <w:tc>
          <w:tcPr>
            <w:tcW w:w="2180" w:type="dxa"/>
          </w:tcPr>
          <w:p>
            <w:pPr>
              <w:pStyle w:val="TableParagraph"/>
              <w:spacing w:line="244" w:lineRule="auto" w:before="129"/>
              <w:ind w:left="677" w:hanging="457"/>
              <w:rPr>
                <w:sz w:val="18"/>
              </w:rPr>
            </w:pPr>
            <w:r>
              <w:rPr>
                <w:sz w:val="18"/>
              </w:rPr>
              <w:t>Cantidad</w:t>
            </w:r>
            <w:r>
              <w:rPr>
                <w:spacing w:val="-15"/>
                <w:sz w:val="18"/>
              </w:rPr>
              <w:t> </w:t>
            </w:r>
            <w:r>
              <w:rPr>
                <w:sz w:val="18"/>
              </w:rPr>
              <w:t>de</w:t>
            </w:r>
            <w:r>
              <w:rPr>
                <w:spacing w:val="-12"/>
                <w:sz w:val="18"/>
              </w:rPr>
              <w:t> </w:t>
            </w:r>
            <w:r>
              <w:rPr>
                <w:sz w:val="18"/>
              </w:rPr>
              <w:t>sesiones </w:t>
            </w:r>
            <w:r>
              <w:rPr>
                <w:spacing w:val="-2"/>
                <w:sz w:val="18"/>
              </w:rPr>
              <w:t>realizadas</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spacing w:before="27"/>
              <w:rPr>
                <w:b/>
                <w:sz w:val="18"/>
              </w:rPr>
            </w:pPr>
          </w:p>
          <w:p>
            <w:pPr>
              <w:pStyle w:val="TableParagraph"/>
              <w:ind w:left="21" w:right="9"/>
              <w:jc w:val="center"/>
              <w:rPr>
                <w:sz w:val="18"/>
              </w:rPr>
            </w:pPr>
            <w:r>
              <w:rPr>
                <w:spacing w:val="-10"/>
                <w:sz w:val="18"/>
              </w:rPr>
              <w:t>2</w:t>
            </w: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69"/>
        <w:gridCol w:w="2180"/>
        <w:gridCol w:w="1181"/>
        <w:gridCol w:w="1081"/>
        <w:gridCol w:w="1182"/>
        <w:gridCol w:w="1081"/>
        <w:gridCol w:w="1182"/>
        <w:gridCol w:w="1081"/>
        <w:gridCol w:w="1181"/>
        <w:gridCol w:w="1081"/>
      </w:tblGrid>
      <w:tr>
        <w:trPr>
          <w:trHeight w:val="676" w:hRule="atLeast"/>
        </w:trPr>
        <w:tc>
          <w:tcPr>
            <w:tcW w:w="3169" w:type="dxa"/>
          </w:tcPr>
          <w:p>
            <w:pPr>
              <w:pStyle w:val="TableParagraph"/>
              <w:ind w:left="72" w:right="145"/>
              <w:rPr>
                <w:sz w:val="18"/>
              </w:rPr>
            </w:pPr>
            <w:r>
              <w:rPr>
                <w:sz w:val="18"/>
              </w:rPr>
              <w:t>convenios</w:t>
            </w:r>
            <w:r>
              <w:rPr>
                <w:spacing w:val="-7"/>
                <w:sz w:val="18"/>
              </w:rPr>
              <w:t> </w:t>
            </w:r>
            <w:r>
              <w:rPr>
                <w:sz w:val="18"/>
              </w:rPr>
              <w:t>con</w:t>
            </w:r>
            <w:r>
              <w:rPr>
                <w:spacing w:val="-7"/>
                <w:sz w:val="18"/>
              </w:rPr>
              <w:t> </w:t>
            </w:r>
            <w:r>
              <w:rPr>
                <w:sz w:val="18"/>
              </w:rPr>
              <w:t>el</w:t>
            </w:r>
            <w:r>
              <w:rPr>
                <w:spacing w:val="-9"/>
                <w:sz w:val="18"/>
              </w:rPr>
              <w:t> </w:t>
            </w:r>
            <w:r>
              <w:rPr>
                <w:sz w:val="18"/>
              </w:rPr>
              <w:t>IMAS</w:t>
            </w:r>
            <w:r>
              <w:rPr>
                <w:spacing w:val="-4"/>
                <w:sz w:val="18"/>
              </w:rPr>
              <w:t> </w:t>
            </w:r>
            <w:r>
              <w:rPr>
                <w:sz w:val="18"/>
              </w:rPr>
              <w:t>y</w:t>
            </w:r>
            <w:r>
              <w:rPr>
                <w:spacing w:val="-7"/>
                <w:sz w:val="18"/>
              </w:rPr>
              <w:t> </w:t>
            </w:r>
            <w:r>
              <w:rPr>
                <w:sz w:val="18"/>
              </w:rPr>
              <w:t>el </w:t>
            </w:r>
            <w:r>
              <w:rPr>
                <w:spacing w:val="-2"/>
                <w:sz w:val="18"/>
              </w:rPr>
              <w:t>SINIRUBE</w:t>
            </w:r>
          </w:p>
        </w:tc>
        <w:tc>
          <w:tcPr>
            <w:tcW w:w="2180"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897" w:hRule="atLeast"/>
        </w:trPr>
        <w:tc>
          <w:tcPr>
            <w:tcW w:w="3169" w:type="dxa"/>
          </w:tcPr>
          <w:p>
            <w:pPr>
              <w:pStyle w:val="TableParagraph"/>
              <w:spacing w:line="242" w:lineRule="auto" w:before="32"/>
              <w:ind w:left="72" w:right="152"/>
              <w:jc w:val="both"/>
              <w:rPr>
                <w:sz w:val="18"/>
              </w:rPr>
            </w:pPr>
            <w:r>
              <w:rPr>
                <w:b/>
                <w:sz w:val="18"/>
              </w:rPr>
              <w:t>Actividad PAC 2.91.2: </w:t>
            </w:r>
            <w:r>
              <w:rPr>
                <w:sz w:val="18"/>
              </w:rPr>
              <w:t>Gestionar la firma de convenios</w:t>
            </w:r>
            <w:r>
              <w:rPr>
                <w:spacing w:val="-2"/>
                <w:sz w:val="18"/>
              </w:rPr>
              <w:t> </w:t>
            </w:r>
            <w:r>
              <w:rPr>
                <w:sz w:val="18"/>
              </w:rPr>
              <w:t>con</w:t>
            </w:r>
            <w:r>
              <w:rPr>
                <w:spacing w:val="-2"/>
                <w:sz w:val="18"/>
              </w:rPr>
              <w:t> </w:t>
            </w:r>
            <w:r>
              <w:rPr>
                <w:sz w:val="18"/>
              </w:rPr>
              <w:t>instituciones del</w:t>
            </w:r>
            <w:r>
              <w:rPr>
                <w:spacing w:val="-7"/>
                <w:sz w:val="18"/>
              </w:rPr>
              <w:t> </w:t>
            </w:r>
            <w:r>
              <w:rPr>
                <w:sz w:val="18"/>
              </w:rPr>
              <w:t>Sector</w:t>
            </w:r>
            <w:r>
              <w:rPr>
                <w:spacing w:val="-8"/>
                <w:sz w:val="18"/>
              </w:rPr>
              <w:t> </w:t>
            </w:r>
            <w:r>
              <w:rPr>
                <w:sz w:val="18"/>
              </w:rPr>
              <w:t>Social</w:t>
            </w:r>
            <w:r>
              <w:rPr>
                <w:spacing w:val="-7"/>
                <w:sz w:val="18"/>
              </w:rPr>
              <w:t> </w:t>
            </w:r>
            <w:r>
              <w:rPr>
                <w:sz w:val="18"/>
              </w:rPr>
              <w:t>para</w:t>
            </w:r>
            <w:r>
              <w:rPr>
                <w:spacing w:val="-10"/>
                <w:sz w:val="18"/>
              </w:rPr>
              <w:t> </w:t>
            </w:r>
            <w:r>
              <w:rPr>
                <w:sz w:val="18"/>
              </w:rPr>
              <w:t>el</w:t>
            </w:r>
            <w:r>
              <w:rPr>
                <w:spacing w:val="-7"/>
                <w:sz w:val="18"/>
              </w:rPr>
              <w:t> </w:t>
            </w:r>
            <w:r>
              <w:rPr>
                <w:sz w:val="18"/>
              </w:rPr>
              <w:t>intercambio de información</w:t>
            </w:r>
          </w:p>
        </w:tc>
        <w:tc>
          <w:tcPr>
            <w:tcW w:w="2180" w:type="dxa"/>
          </w:tcPr>
          <w:p>
            <w:pPr>
              <w:pStyle w:val="TableParagraph"/>
              <w:spacing w:before="32"/>
              <w:rPr>
                <w:b/>
                <w:sz w:val="18"/>
              </w:rPr>
            </w:pPr>
          </w:p>
          <w:p>
            <w:pPr>
              <w:pStyle w:val="TableParagraph"/>
              <w:spacing w:line="244" w:lineRule="auto"/>
              <w:ind w:left="662" w:hanging="495"/>
              <w:rPr>
                <w:sz w:val="18"/>
              </w:rPr>
            </w:pPr>
            <w:r>
              <w:rPr>
                <w:sz w:val="18"/>
              </w:rPr>
              <w:t>Cantidad</w:t>
            </w:r>
            <w:r>
              <w:rPr>
                <w:spacing w:val="-15"/>
                <w:sz w:val="18"/>
              </w:rPr>
              <w:t> </w:t>
            </w:r>
            <w:r>
              <w:rPr>
                <w:sz w:val="18"/>
              </w:rPr>
              <w:t>de</w:t>
            </w:r>
            <w:r>
              <w:rPr>
                <w:spacing w:val="-12"/>
                <w:sz w:val="18"/>
              </w:rPr>
              <w:t> </w:t>
            </w:r>
            <w:r>
              <w:rPr>
                <w:sz w:val="18"/>
              </w:rPr>
              <w:t>convenios </w:t>
            </w:r>
            <w:r>
              <w:rPr>
                <w:spacing w:val="-2"/>
                <w:sz w:val="18"/>
              </w:rPr>
              <w:t>aprobados</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1" w:type="dxa"/>
          </w:tcPr>
          <w:p>
            <w:pPr>
              <w:pStyle w:val="TableParagraph"/>
              <w:spacing w:before="138"/>
              <w:rPr>
                <w:b/>
                <w:sz w:val="18"/>
              </w:rPr>
            </w:pPr>
          </w:p>
          <w:p>
            <w:pPr>
              <w:pStyle w:val="TableParagraph"/>
              <w:ind w:left="28" w:right="29"/>
              <w:jc w:val="center"/>
              <w:rPr>
                <w:sz w:val="18"/>
              </w:rPr>
            </w:pPr>
            <w:r>
              <w:rPr>
                <w:spacing w:val="-10"/>
                <w:sz w:val="18"/>
              </w:rPr>
              <w:t>4</w:t>
            </w:r>
          </w:p>
        </w:tc>
        <w:tc>
          <w:tcPr>
            <w:tcW w:w="1081" w:type="dxa"/>
          </w:tcPr>
          <w:p>
            <w:pPr>
              <w:pStyle w:val="TableParagraph"/>
              <w:rPr>
                <w:rFonts w:ascii="Times New Roman"/>
                <w:sz w:val="18"/>
              </w:rPr>
            </w:pPr>
          </w:p>
        </w:tc>
      </w:tr>
      <w:tr>
        <w:trPr>
          <w:trHeight w:val="556" w:hRule="atLeast"/>
        </w:trPr>
        <w:tc>
          <w:tcPr>
            <w:tcW w:w="14399" w:type="dxa"/>
            <w:gridSpan w:val="10"/>
            <w:shd w:val="clear" w:color="auto" w:fill="EFF8F9"/>
          </w:tcPr>
          <w:p>
            <w:pPr>
              <w:pStyle w:val="TableParagraph"/>
              <w:spacing w:before="176"/>
              <w:ind w:left="72"/>
              <w:rPr>
                <w:b/>
                <w:sz w:val="18"/>
              </w:rPr>
            </w:pPr>
            <w:r>
              <w:rPr>
                <w:b/>
                <w:sz w:val="18"/>
              </w:rPr>
              <w:t>Producto</w:t>
            </w:r>
            <w:r>
              <w:rPr>
                <w:b/>
                <w:spacing w:val="-7"/>
                <w:sz w:val="18"/>
              </w:rPr>
              <w:t> </w:t>
            </w:r>
            <w:r>
              <w:rPr>
                <w:b/>
                <w:sz w:val="18"/>
              </w:rPr>
              <w:t>PAC</w:t>
            </w:r>
            <w:r>
              <w:rPr>
                <w:b/>
                <w:spacing w:val="-8"/>
                <w:sz w:val="18"/>
              </w:rPr>
              <w:t> </w:t>
            </w:r>
            <w:r>
              <w:rPr>
                <w:b/>
                <w:sz w:val="18"/>
              </w:rPr>
              <w:t>2.92:</w:t>
            </w:r>
            <w:r>
              <w:rPr>
                <w:b/>
                <w:spacing w:val="-4"/>
                <w:sz w:val="18"/>
              </w:rPr>
              <w:t> </w:t>
            </w:r>
            <w:r>
              <w:rPr>
                <w:b/>
                <w:sz w:val="18"/>
              </w:rPr>
              <w:t>Acciones</w:t>
            </w:r>
            <w:r>
              <w:rPr>
                <w:b/>
                <w:spacing w:val="-6"/>
                <w:sz w:val="18"/>
              </w:rPr>
              <w:t> </w:t>
            </w:r>
            <w:r>
              <w:rPr>
                <w:b/>
                <w:sz w:val="18"/>
              </w:rPr>
              <w:t>de</w:t>
            </w:r>
            <w:r>
              <w:rPr>
                <w:b/>
                <w:spacing w:val="-6"/>
                <w:sz w:val="18"/>
              </w:rPr>
              <w:t> </w:t>
            </w:r>
            <w:r>
              <w:rPr>
                <w:b/>
                <w:sz w:val="18"/>
              </w:rPr>
              <w:t>fortalecimiento</w:t>
            </w:r>
            <w:r>
              <w:rPr>
                <w:b/>
                <w:spacing w:val="-2"/>
                <w:sz w:val="18"/>
              </w:rPr>
              <w:t> </w:t>
            </w:r>
            <w:r>
              <w:rPr>
                <w:b/>
                <w:sz w:val="18"/>
              </w:rPr>
              <w:t>para</w:t>
            </w:r>
            <w:r>
              <w:rPr>
                <w:b/>
                <w:spacing w:val="-5"/>
                <w:sz w:val="18"/>
              </w:rPr>
              <w:t> </w:t>
            </w:r>
            <w:r>
              <w:rPr>
                <w:b/>
                <w:sz w:val="18"/>
              </w:rPr>
              <w:t>el</w:t>
            </w:r>
            <w:r>
              <w:rPr>
                <w:b/>
                <w:spacing w:val="-8"/>
                <w:sz w:val="18"/>
              </w:rPr>
              <w:t> </w:t>
            </w:r>
            <w:r>
              <w:rPr>
                <w:b/>
                <w:sz w:val="18"/>
              </w:rPr>
              <w:t>SINIRUBE</w:t>
            </w:r>
            <w:r>
              <w:rPr>
                <w:b/>
                <w:spacing w:val="-7"/>
                <w:sz w:val="18"/>
              </w:rPr>
              <w:t> </w:t>
            </w:r>
            <w:r>
              <w:rPr>
                <w:b/>
                <w:sz w:val="18"/>
              </w:rPr>
              <w:t>dirigidas</w:t>
            </w:r>
            <w:r>
              <w:rPr>
                <w:b/>
                <w:spacing w:val="-6"/>
                <w:sz w:val="18"/>
              </w:rPr>
              <w:t> </w:t>
            </w:r>
            <w:r>
              <w:rPr>
                <w:b/>
                <w:sz w:val="18"/>
              </w:rPr>
              <w:t>a</w:t>
            </w:r>
            <w:r>
              <w:rPr>
                <w:b/>
                <w:spacing w:val="-5"/>
                <w:sz w:val="18"/>
              </w:rPr>
              <w:t> </w:t>
            </w:r>
            <w:r>
              <w:rPr>
                <w:b/>
                <w:sz w:val="18"/>
              </w:rPr>
              <w:t>estructura</w:t>
            </w:r>
            <w:r>
              <w:rPr>
                <w:b/>
                <w:spacing w:val="-6"/>
                <w:sz w:val="18"/>
              </w:rPr>
              <w:t> </w:t>
            </w:r>
            <w:r>
              <w:rPr>
                <w:b/>
                <w:sz w:val="18"/>
              </w:rPr>
              <w:t>operativa,</w:t>
            </w:r>
            <w:r>
              <w:rPr>
                <w:b/>
                <w:spacing w:val="-4"/>
                <w:sz w:val="18"/>
              </w:rPr>
              <w:t> </w:t>
            </w:r>
            <w:r>
              <w:rPr>
                <w:b/>
                <w:sz w:val="18"/>
              </w:rPr>
              <w:t>tecnológica</w:t>
            </w:r>
            <w:r>
              <w:rPr>
                <w:b/>
                <w:spacing w:val="-6"/>
                <w:sz w:val="18"/>
              </w:rPr>
              <w:t> </w:t>
            </w:r>
            <w:r>
              <w:rPr>
                <w:b/>
                <w:sz w:val="18"/>
              </w:rPr>
              <w:t>y</w:t>
            </w:r>
            <w:r>
              <w:rPr>
                <w:b/>
                <w:spacing w:val="-6"/>
                <w:sz w:val="18"/>
              </w:rPr>
              <w:t> </w:t>
            </w:r>
            <w:r>
              <w:rPr>
                <w:b/>
                <w:sz w:val="18"/>
              </w:rPr>
              <w:t>del</w:t>
            </w:r>
            <w:r>
              <w:rPr>
                <w:b/>
                <w:spacing w:val="-4"/>
                <w:sz w:val="18"/>
              </w:rPr>
              <w:t> </w:t>
            </w:r>
            <w:r>
              <w:rPr>
                <w:b/>
                <w:sz w:val="18"/>
              </w:rPr>
              <w:t>recurso</w:t>
            </w:r>
            <w:r>
              <w:rPr>
                <w:b/>
                <w:spacing w:val="-7"/>
                <w:sz w:val="18"/>
              </w:rPr>
              <w:t> </w:t>
            </w:r>
            <w:r>
              <w:rPr>
                <w:b/>
                <w:sz w:val="18"/>
              </w:rPr>
              <w:t>humano</w:t>
            </w:r>
            <w:r>
              <w:rPr>
                <w:b/>
                <w:spacing w:val="-6"/>
                <w:sz w:val="18"/>
              </w:rPr>
              <w:t> </w:t>
            </w:r>
            <w:r>
              <w:rPr>
                <w:b/>
                <w:sz w:val="18"/>
              </w:rPr>
              <w:t>(E4</w:t>
            </w:r>
            <w:r>
              <w:rPr>
                <w:b/>
                <w:spacing w:val="-2"/>
                <w:sz w:val="18"/>
              </w:rPr>
              <w:t> </w:t>
            </w:r>
            <w:r>
              <w:rPr>
                <w:b/>
                <w:sz w:val="18"/>
              </w:rPr>
              <w:t>AE4</w:t>
            </w:r>
            <w:r>
              <w:rPr>
                <w:b/>
                <w:spacing w:val="-2"/>
                <w:sz w:val="18"/>
              </w:rPr>
              <w:t> </w:t>
            </w:r>
            <w:r>
              <w:rPr>
                <w:b/>
                <w:spacing w:val="-5"/>
                <w:sz w:val="18"/>
              </w:rPr>
              <w:t>R2)</w:t>
            </w:r>
          </w:p>
        </w:tc>
      </w:tr>
      <w:tr>
        <w:trPr>
          <w:trHeight w:val="830" w:hRule="atLeast"/>
        </w:trPr>
        <w:tc>
          <w:tcPr>
            <w:tcW w:w="3169" w:type="dxa"/>
          </w:tcPr>
          <w:p>
            <w:pPr>
              <w:pStyle w:val="TableParagraph"/>
              <w:spacing w:before="105"/>
              <w:ind w:left="72"/>
              <w:rPr>
                <w:sz w:val="18"/>
              </w:rPr>
            </w:pPr>
            <w:r>
              <w:rPr>
                <w:b/>
                <w:sz w:val="18"/>
              </w:rPr>
              <w:t>Actividad PAC 2.92.1: </w:t>
            </w:r>
            <w:r>
              <w:rPr>
                <w:sz w:val="18"/>
              </w:rPr>
              <w:t>Gestionar apoyo</w:t>
            </w:r>
            <w:r>
              <w:rPr>
                <w:spacing w:val="-6"/>
                <w:sz w:val="18"/>
              </w:rPr>
              <w:t> </w:t>
            </w:r>
            <w:r>
              <w:rPr>
                <w:sz w:val="18"/>
              </w:rPr>
              <w:t>financiero</w:t>
            </w:r>
            <w:r>
              <w:rPr>
                <w:spacing w:val="-6"/>
                <w:sz w:val="18"/>
              </w:rPr>
              <w:t> </w:t>
            </w:r>
            <w:r>
              <w:rPr>
                <w:sz w:val="18"/>
              </w:rPr>
              <w:t>para</w:t>
            </w:r>
            <w:r>
              <w:rPr>
                <w:spacing w:val="-6"/>
                <w:sz w:val="18"/>
              </w:rPr>
              <w:t> </w:t>
            </w:r>
            <w:r>
              <w:rPr>
                <w:sz w:val="18"/>
              </w:rPr>
              <w:t>el</w:t>
            </w:r>
            <w:r>
              <w:rPr>
                <w:spacing w:val="-8"/>
                <w:sz w:val="18"/>
              </w:rPr>
              <w:t> </w:t>
            </w:r>
            <w:r>
              <w:rPr>
                <w:sz w:val="18"/>
              </w:rPr>
              <w:t>desarrollo</w:t>
            </w:r>
            <w:r>
              <w:rPr>
                <w:spacing w:val="-2"/>
                <w:sz w:val="18"/>
              </w:rPr>
              <w:t> </w:t>
            </w:r>
            <w:r>
              <w:rPr>
                <w:sz w:val="18"/>
              </w:rPr>
              <w:t>de proyectos</w:t>
            </w:r>
            <w:r>
              <w:rPr>
                <w:spacing w:val="-10"/>
                <w:sz w:val="18"/>
              </w:rPr>
              <w:t> </w:t>
            </w:r>
            <w:r>
              <w:rPr>
                <w:sz w:val="18"/>
              </w:rPr>
              <w:t>tecnológicos</w:t>
            </w:r>
            <w:r>
              <w:rPr>
                <w:spacing w:val="-1"/>
                <w:sz w:val="18"/>
              </w:rPr>
              <w:t> </w:t>
            </w:r>
            <w:r>
              <w:rPr>
                <w:sz w:val="18"/>
              </w:rPr>
              <w:t>del</w:t>
            </w:r>
            <w:r>
              <w:rPr>
                <w:spacing w:val="-7"/>
                <w:sz w:val="18"/>
              </w:rPr>
              <w:t> </w:t>
            </w:r>
            <w:r>
              <w:rPr>
                <w:spacing w:val="-2"/>
                <w:sz w:val="18"/>
              </w:rPr>
              <w:t>SINIRUBE</w:t>
            </w:r>
          </w:p>
        </w:tc>
        <w:tc>
          <w:tcPr>
            <w:tcW w:w="2180" w:type="dxa"/>
          </w:tcPr>
          <w:p>
            <w:pPr>
              <w:pStyle w:val="TableParagraph"/>
              <w:spacing w:line="206" w:lineRule="exact"/>
              <w:ind w:left="158" w:right="152" w:firstLine="1"/>
              <w:jc w:val="center"/>
              <w:rPr>
                <w:sz w:val="18"/>
              </w:rPr>
            </w:pPr>
            <w:r>
              <w:rPr>
                <w:sz w:val="18"/>
              </w:rPr>
              <w:t>Cantidad de apoyos obtenidos</w:t>
            </w:r>
            <w:r>
              <w:rPr>
                <w:spacing w:val="-15"/>
                <w:sz w:val="18"/>
              </w:rPr>
              <w:t> </w:t>
            </w:r>
            <w:r>
              <w:rPr>
                <w:sz w:val="18"/>
              </w:rPr>
              <w:t>mediante</w:t>
            </w:r>
            <w:r>
              <w:rPr>
                <w:spacing w:val="-12"/>
                <w:sz w:val="18"/>
              </w:rPr>
              <w:t> </w:t>
            </w:r>
            <w:r>
              <w:rPr>
                <w:sz w:val="18"/>
              </w:rPr>
              <w:t>las gestiones de la Presidencia Ejecutiva</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spacing w:before="104"/>
              <w:rPr>
                <w:b/>
                <w:sz w:val="18"/>
              </w:rPr>
            </w:pPr>
          </w:p>
          <w:p>
            <w:pPr>
              <w:pStyle w:val="TableParagraph"/>
              <w:ind w:left="21" w:right="21"/>
              <w:jc w:val="center"/>
              <w:rPr>
                <w:sz w:val="18"/>
              </w:rPr>
            </w:pPr>
            <w:r>
              <w:rPr>
                <w:spacing w:val="-10"/>
                <w:sz w:val="18"/>
              </w:rPr>
              <w:t>1</w:t>
            </w: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672" w:hRule="atLeast"/>
        </w:trPr>
        <w:tc>
          <w:tcPr>
            <w:tcW w:w="3169" w:type="dxa"/>
          </w:tcPr>
          <w:p>
            <w:pPr>
              <w:pStyle w:val="TableParagraph"/>
              <w:spacing w:line="242" w:lineRule="auto" w:before="23"/>
              <w:ind w:left="72" w:right="59"/>
              <w:rPr>
                <w:sz w:val="18"/>
              </w:rPr>
            </w:pPr>
            <w:r>
              <w:rPr>
                <w:b/>
                <w:sz w:val="18"/>
              </w:rPr>
              <w:t>Actividad</w:t>
            </w:r>
            <w:r>
              <w:rPr>
                <w:b/>
                <w:spacing w:val="-12"/>
                <w:sz w:val="18"/>
              </w:rPr>
              <w:t> </w:t>
            </w:r>
            <w:r>
              <w:rPr>
                <w:b/>
                <w:sz w:val="18"/>
              </w:rPr>
              <w:t>PAC</w:t>
            </w:r>
            <w:r>
              <w:rPr>
                <w:b/>
                <w:spacing w:val="-9"/>
                <w:sz w:val="18"/>
              </w:rPr>
              <w:t> </w:t>
            </w:r>
            <w:r>
              <w:rPr>
                <w:b/>
                <w:sz w:val="18"/>
              </w:rPr>
              <w:t>2.92.2</w:t>
            </w:r>
            <w:r>
              <w:rPr>
                <w:sz w:val="18"/>
              </w:rPr>
              <w:t>:</w:t>
            </w:r>
            <w:r>
              <w:rPr>
                <w:spacing w:val="-5"/>
                <w:sz w:val="18"/>
              </w:rPr>
              <w:t> </w:t>
            </w:r>
            <w:r>
              <w:rPr>
                <w:sz w:val="18"/>
              </w:rPr>
              <w:t>Asesorar</w:t>
            </w:r>
            <w:r>
              <w:rPr>
                <w:spacing w:val="-9"/>
                <w:sz w:val="18"/>
              </w:rPr>
              <w:t> </w:t>
            </w:r>
            <w:r>
              <w:rPr>
                <w:sz w:val="18"/>
              </w:rPr>
              <w:t>para la realización del Plan Estratégico y su Plan Operativo</w:t>
            </w:r>
          </w:p>
        </w:tc>
        <w:tc>
          <w:tcPr>
            <w:tcW w:w="2180" w:type="dxa"/>
          </w:tcPr>
          <w:p>
            <w:pPr>
              <w:pStyle w:val="TableParagraph"/>
              <w:spacing w:before="128"/>
              <w:ind w:left="307" w:hanging="212"/>
              <w:rPr>
                <w:sz w:val="18"/>
              </w:rPr>
            </w:pPr>
            <w:r>
              <w:rPr>
                <w:sz w:val="18"/>
              </w:rPr>
              <w:t>Cantidad</w:t>
            </w:r>
            <w:r>
              <w:rPr>
                <w:spacing w:val="-10"/>
                <w:sz w:val="18"/>
              </w:rPr>
              <w:t> </w:t>
            </w:r>
            <w:r>
              <w:rPr>
                <w:sz w:val="18"/>
              </w:rPr>
              <w:t>de</w:t>
            </w:r>
            <w:r>
              <w:rPr>
                <w:spacing w:val="-10"/>
                <w:sz w:val="18"/>
              </w:rPr>
              <w:t> </w:t>
            </w:r>
            <w:r>
              <w:rPr>
                <w:sz w:val="18"/>
              </w:rPr>
              <w:t>sesiones</w:t>
            </w:r>
            <w:r>
              <w:rPr>
                <w:spacing w:val="-10"/>
                <w:sz w:val="18"/>
              </w:rPr>
              <w:t> </w:t>
            </w:r>
            <w:r>
              <w:rPr>
                <w:sz w:val="18"/>
              </w:rPr>
              <w:t>de asesoría realizadas</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spacing w:before="22"/>
              <w:rPr>
                <w:b/>
                <w:sz w:val="18"/>
              </w:rPr>
            </w:pPr>
          </w:p>
          <w:p>
            <w:pPr>
              <w:pStyle w:val="TableParagraph"/>
              <w:ind w:left="10" w:right="4"/>
              <w:jc w:val="center"/>
              <w:rPr>
                <w:sz w:val="18"/>
              </w:rPr>
            </w:pPr>
            <w:r>
              <w:rPr>
                <w:spacing w:val="-10"/>
                <w:sz w:val="18"/>
              </w:rPr>
              <w:t>2</w:t>
            </w:r>
          </w:p>
        </w:tc>
        <w:tc>
          <w:tcPr>
            <w:tcW w:w="1182" w:type="dxa"/>
          </w:tcPr>
          <w:p>
            <w:pPr>
              <w:pStyle w:val="TableParagraph"/>
              <w:spacing w:before="22"/>
              <w:rPr>
                <w:b/>
                <w:sz w:val="18"/>
              </w:rPr>
            </w:pPr>
          </w:p>
          <w:p>
            <w:pPr>
              <w:pStyle w:val="TableParagraph"/>
              <w:ind w:left="21" w:right="21"/>
              <w:jc w:val="center"/>
              <w:rPr>
                <w:sz w:val="18"/>
              </w:rPr>
            </w:pPr>
            <w:r>
              <w:rPr>
                <w:spacing w:val="-10"/>
                <w:sz w:val="18"/>
              </w:rPr>
              <w:t>6</w:t>
            </w: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623" w:hRule="atLeast"/>
        </w:trPr>
        <w:tc>
          <w:tcPr>
            <w:tcW w:w="3169" w:type="dxa"/>
          </w:tcPr>
          <w:p>
            <w:pPr>
              <w:pStyle w:val="TableParagraph"/>
              <w:ind w:left="72" w:right="145"/>
              <w:rPr>
                <w:sz w:val="18"/>
              </w:rPr>
            </w:pPr>
            <w:r>
              <w:rPr>
                <w:b/>
                <w:sz w:val="18"/>
              </w:rPr>
              <w:t>Actividad</w:t>
            </w:r>
            <w:r>
              <w:rPr>
                <w:b/>
                <w:spacing w:val="-12"/>
                <w:sz w:val="18"/>
              </w:rPr>
              <w:t> </w:t>
            </w:r>
            <w:r>
              <w:rPr>
                <w:b/>
                <w:sz w:val="18"/>
              </w:rPr>
              <w:t>PAC</w:t>
            </w:r>
            <w:r>
              <w:rPr>
                <w:b/>
                <w:spacing w:val="-8"/>
                <w:sz w:val="18"/>
              </w:rPr>
              <w:t> </w:t>
            </w:r>
            <w:r>
              <w:rPr>
                <w:b/>
                <w:sz w:val="18"/>
              </w:rPr>
              <w:t>2.92.3</w:t>
            </w:r>
            <w:r>
              <w:rPr>
                <w:sz w:val="18"/>
              </w:rPr>
              <w:t>:</w:t>
            </w:r>
            <w:r>
              <w:rPr>
                <w:spacing w:val="-5"/>
                <w:sz w:val="18"/>
              </w:rPr>
              <w:t> </w:t>
            </w:r>
            <w:r>
              <w:rPr>
                <w:sz w:val="18"/>
              </w:rPr>
              <w:t>Asesorar</w:t>
            </w:r>
            <w:r>
              <w:rPr>
                <w:spacing w:val="-9"/>
                <w:sz w:val="18"/>
              </w:rPr>
              <w:t> </w:t>
            </w:r>
            <w:r>
              <w:rPr>
                <w:sz w:val="18"/>
              </w:rPr>
              <w:t>en el cumplimiento de la normativa de</w:t>
            </w:r>
          </w:p>
          <w:p>
            <w:pPr>
              <w:pStyle w:val="TableParagraph"/>
              <w:spacing w:line="187" w:lineRule="exact" w:before="2"/>
              <w:ind w:left="72"/>
              <w:rPr>
                <w:sz w:val="18"/>
              </w:rPr>
            </w:pPr>
            <w:r>
              <w:rPr>
                <w:sz w:val="18"/>
              </w:rPr>
              <w:t>Control</w:t>
            </w:r>
            <w:r>
              <w:rPr>
                <w:spacing w:val="-4"/>
                <w:sz w:val="18"/>
              </w:rPr>
              <w:t> </w:t>
            </w:r>
            <w:r>
              <w:rPr>
                <w:spacing w:val="-2"/>
                <w:sz w:val="18"/>
              </w:rPr>
              <w:t>Interno</w:t>
            </w:r>
          </w:p>
        </w:tc>
        <w:tc>
          <w:tcPr>
            <w:tcW w:w="2180" w:type="dxa"/>
          </w:tcPr>
          <w:p>
            <w:pPr>
              <w:pStyle w:val="TableParagraph"/>
              <w:ind w:left="9" w:right="7"/>
              <w:jc w:val="center"/>
              <w:rPr>
                <w:sz w:val="18"/>
              </w:rPr>
            </w:pPr>
            <w:r>
              <w:rPr>
                <w:sz w:val="18"/>
              </w:rPr>
              <w:t>Cantidad</w:t>
            </w:r>
            <w:r>
              <w:rPr>
                <w:spacing w:val="-15"/>
                <w:sz w:val="18"/>
              </w:rPr>
              <w:t> </w:t>
            </w:r>
            <w:r>
              <w:rPr>
                <w:sz w:val="18"/>
              </w:rPr>
              <w:t>de</w:t>
            </w:r>
            <w:r>
              <w:rPr>
                <w:spacing w:val="-12"/>
                <w:sz w:val="18"/>
              </w:rPr>
              <w:t> </w:t>
            </w:r>
            <w:r>
              <w:rPr>
                <w:sz w:val="18"/>
              </w:rPr>
              <w:t>asesorías sobre control interno</w:t>
            </w:r>
          </w:p>
          <w:p>
            <w:pPr>
              <w:pStyle w:val="TableParagraph"/>
              <w:spacing w:line="187" w:lineRule="exact" w:before="2"/>
              <w:ind w:left="9"/>
              <w:jc w:val="center"/>
              <w:rPr>
                <w:sz w:val="18"/>
              </w:rPr>
            </w:pPr>
            <w:r>
              <w:rPr>
                <w:spacing w:val="-2"/>
                <w:sz w:val="18"/>
              </w:rPr>
              <w:t>realizadas</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spacing w:before="205"/>
              <w:ind w:left="21" w:right="21"/>
              <w:jc w:val="center"/>
              <w:rPr>
                <w:sz w:val="18"/>
              </w:rPr>
            </w:pPr>
            <w:r>
              <w:rPr>
                <w:spacing w:val="-10"/>
                <w:sz w:val="18"/>
              </w:rPr>
              <w:t>1</w:t>
            </w: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1031" w:hRule="atLeast"/>
        </w:trPr>
        <w:tc>
          <w:tcPr>
            <w:tcW w:w="3169" w:type="dxa"/>
          </w:tcPr>
          <w:p>
            <w:pPr>
              <w:pStyle w:val="TableParagraph"/>
              <w:spacing w:line="242" w:lineRule="auto" w:before="99"/>
              <w:ind w:left="72" w:right="65"/>
              <w:rPr>
                <w:sz w:val="18"/>
              </w:rPr>
            </w:pPr>
            <w:r>
              <w:rPr>
                <w:b/>
                <w:sz w:val="18"/>
              </w:rPr>
              <w:t>Actividad PAC 2.92.4: </w:t>
            </w:r>
            <w:r>
              <w:rPr>
                <w:sz w:val="18"/>
              </w:rPr>
              <w:t>Seguimiento al cumplimiento de las disposiciones de</w:t>
            </w:r>
            <w:r>
              <w:rPr>
                <w:spacing w:val="-5"/>
                <w:sz w:val="18"/>
              </w:rPr>
              <w:t> </w:t>
            </w:r>
            <w:r>
              <w:rPr>
                <w:sz w:val="18"/>
              </w:rPr>
              <w:t>informes</w:t>
            </w:r>
            <w:r>
              <w:rPr>
                <w:spacing w:val="-8"/>
                <w:sz w:val="18"/>
              </w:rPr>
              <w:t> </w:t>
            </w:r>
            <w:r>
              <w:rPr>
                <w:sz w:val="18"/>
              </w:rPr>
              <w:t>de</w:t>
            </w:r>
            <w:r>
              <w:rPr>
                <w:spacing w:val="-9"/>
                <w:sz w:val="18"/>
              </w:rPr>
              <w:t> </w:t>
            </w:r>
            <w:r>
              <w:rPr>
                <w:sz w:val="18"/>
              </w:rPr>
              <w:t>la</w:t>
            </w:r>
            <w:r>
              <w:rPr>
                <w:spacing w:val="-5"/>
                <w:sz w:val="18"/>
              </w:rPr>
              <w:t> </w:t>
            </w:r>
            <w:r>
              <w:rPr>
                <w:sz w:val="18"/>
              </w:rPr>
              <w:t>Contraloría</w:t>
            </w:r>
            <w:r>
              <w:rPr>
                <w:spacing w:val="-9"/>
                <w:sz w:val="18"/>
              </w:rPr>
              <w:t> </w:t>
            </w:r>
            <w:r>
              <w:rPr>
                <w:sz w:val="18"/>
              </w:rPr>
              <w:t>General de la República</w:t>
            </w:r>
          </w:p>
        </w:tc>
        <w:tc>
          <w:tcPr>
            <w:tcW w:w="2180" w:type="dxa"/>
          </w:tcPr>
          <w:p>
            <w:pPr>
              <w:pStyle w:val="TableParagraph"/>
              <w:ind w:left="124" w:right="94" w:hanging="20"/>
              <w:jc w:val="both"/>
              <w:rPr>
                <w:sz w:val="18"/>
              </w:rPr>
            </w:pPr>
            <w:r>
              <w:rPr>
                <w:sz w:val="18"/>
              </w:rPr>
              <w:t>Cantidad</w:t>
            </w:r>
            <w:r>
              <w:rPr>
                <w:spacing w:val="-13"/>
                <w:sz w:val="18"/>
              </w:rPr>
              <w:t> </w:t>
            </w:r>
            <w:r>
              <w:rPr>
                <w:sz w:val="18"/>
              </w:rPr>
              <w:t>de</w:t>
            </w:r>
            <w:r>
              <w:rPr>
                <w:spacing w:val="-9"/>
                <w:sz w:val="18"/>
              </w:rPr>
              <w:t> </w:t>
            </w:r>
            <w:r>
              <w:rPr>
                <w:sz w:val="18"/>
              </w:rPr>
              <w:t>informes</w:t>
            </w:r>
            <w:r>
              <w:rPr>
                <w:spacing w:val="-9"/>
                <w:sz w:val="18"/>
              </w:rPr>
              <w:t> </w:t>
            </w:r>
            <w:r>
              <w:rPr>
                <w:sz w:val="18"/>
              </w:rPr>
              <w:t>de seguimiento elaborados a partir de la matriz de</w:t>
            </w:r>
          </w:p>
          <w:p>
            <w:pPr>
              <w:pStyle w:val="TableParagraph"/>
              <w:spacing w:line="206" w:lineRule="exact"/>
              <w:ind w:left="172" w:right="118" w:hanging="48"/>
              <w:jc w:val="both"/>
              <w:rPr>
                <w:sz w:val="18"/>
              </w:rPr>
            </w:pPr>
            <w:r>
              <w:rPr>
                <w:sz w:val="18"/>
              </w:rPr>
              <w:t>control</w:t>
            </w:r>
            <w:r>
              <w:rPr>
                <w:spacing w:val="-15"/>
                <w:sz w:val="18"/>
              </w:rPr>
              <w:t> </w:t>
            </w:r>
            <w:r>
              <w:rPr>
                <w:sz w:val="18"/>
              </w:rPr>
              <w:t>de</w:t>
            </w:r>
            <w:r>
              <w:rPr>
                <w:spacing w:val="-12"/>
                <w:sz w:val="18"/>
              </w:rPr>
              <w:t> </w:t>
            </w:r>
            <w:r>
              <w:rPr>
                <w:sz w:val="18"/>
              </w:rPr>
              <w:t>disposiciones de informes de la CGR</w:t>
            </w: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rPr>
                <w:rFonts w:ascii="Times New Roman"/>
                <w:sz w:val="18"/>
              </w:rPr>
            </w:pPr>
          </w:p>
        </w:tc>
        <w:tc>
          <w:tcPr>
            <w:tcW w:w="1081" w:type="dxa"/>
          </w:tcPr>
          <w:p>
            <w:pPr>
              <w:pStyle w:val="TableParagraph"/>
              <w:rPr>
                <w:rFonts w:ascii="Times New Roman"/>
                <w:sz w:val="18"/>
              </w:rPr>
            </w:pPr>
          </w:p>
        </w:tc>
        <w:tc>
          <w:tcPr>
            <w:tcW w:w="1182" w:type="dxa"/>
          </w:tcPr>
          <w:p>
            <w:pPr>
              <w:pStyle w:val="TableParagraph"/>
              <w:spacing w:before="205"/>
              <w:rPr>
                <w:b/>
                <w:sz w:val="18"/>
              </w:rPr>
            </w:pPr>
          </w:p>
          <w:p>
            <w:pPr>
              <w:pStyle w:val="TableParagraph"/>
              <w:ind w:left="21" w:right="21"/>
              <w:jc w:val="center"/>
              <w:rPr>
                <w:sz w:val="18"/>
              </w:rPr>
            </w:pPr>
            <w:r>
              <w:rPr>
                <w:spacing w:val="-10"/>
                <w:sz w:val="18"/>
              </w:rPr>
              <w:t>2</w:t>
            </w:r>
          </w:p>
        </w:tc>
        <w:tc>
          <w:tcPr>
            <w:tcW w:w="1081" w:type="dxa"/>
          </w:tcPr>
          <w:p>
            <w:pPr>
              <w:pStyle w:val="TableParagraph"/>
              <w:rPr>
                <w:rFonts w:ascii="Times New Roman"/>
                <w:sz w:val="18"/>
              </w:rPr>
            </w:pPr>
          </w:p>
        </w:tc>
        <w:tc>
          <w:tcPr>
            <w:tcW w:w="1181" w:type="dxa"/>
          </w:tcPr>
          <w:p>
            <w:pPr>
              <w:pStyle w:val="TableParagraph"/>
              <w:rPr>
                <w:rFonts w:ascii="Times New Roman"/>
                <w:sz w:val="18"/>
              </w:rPr>
            </w:pPr>
          </w:p>
        </w:tc>
        <w:tc>
          <w:tcPr>
            <w:tcW w:w="1081" w:type="dxa"/>
          </w:tcPr>
          <w:p>
            <w:pPr>
              <w:pStyle w:val="TableParagraph"/>
              <w:rPr>
                <w:rFonts w:ascii="Times New Roman"/>
                <w:sz w:val="18"/>
              </w:rPr>
            </w:pPr>
          </w:p>
        </w:tc>
      </w:tr>
      <w:tr>
        <w:trPr>
          <w:trHeight w:val="632" w:hRule="atLeast"/>
        </w:trPr>
        <w:tc>
          <w:tcPr>
            <w:tcW w:w="14399" w:type="dxa"/>
            <w:gridSpan w:val="10"/>
            <w:shd w:val="clear" w:color="auto" w:fill="EFF8F9"/>
          </w:tcPr>
          <w:p>
            <w:pPr>
              <w:pStyle w:val="TableParagraph"/>
              <w:spacing w:before="7"/>
              <w:rPr>
                <w:b/>
                <w:sz w:val="18"/>
              </w:rPr>
            </w:pPr>
          </w:p>
          <w:p>
            <w:pPr>
              <w:pStyle w:val="TableParagraph"/>
              <w:ind w:left="72"/>
              <w:rPr>
                <w:b/>
                <w:sz w:val="18"/>
              </w:rPr>
            </w:pPr>
            <w:r>
              <w:rPr>
                <w:b/>
                <w:sz w:val="18"/>
              </w:rPr>
              <w:t>Producto</w:t>
            </w:r>
            <w:r>
              <w:rPr>
                <w:b/>
                <w:spacing w:val="-8"/>
                <w:sz w:val="18"/>
              </w:rPr>
              <w:t> </w:t>
            </w:r>
            <w:r>
              <w:rPr>
                <w:b/>
                <w:sz w:val="18"/>
              </w:rPr>
              <w:t>PAC</w:t>
            </w:r>
            <w:r>
              <w:rPr>
                <w:b/>
                <w:spacing w:val="-8"/>
                <w:sz w:val="18"/>
              </w:rPr>
              <w:t> </w:t>
            </w:r>
            <w:r>
              <w:rPr>
                <w:b/>
                <w:sz w:val="18"/>
              </w:rPr>
              <w:t>2.93:</w:t>
            </w:r>
            <w:r>
              <w:rPr>
                <w:b/>
                <w:spacing w:val="-4"/>
                <w:sz w:val="18"/>
              </w:rPr>
              <w:t> </w:t>
            </w:r>
            <w:r>
              <w:rPr>
                <w:b/>
                <w:sz w:val="18"/>
              </w:rPr>
              <w:t>Garantizar</w:t>
            </w:r>
            <w:r>
              <w:rPr>
                <w:b/>
                <w:spacing w:val="-5"/>
                <w:sz w:val="18"/>
              </w:rPr>
              <w:t> </w:t>
            </w:r>
            <w:r>
              <w:rPr>
                <w:b/>
                <w:sz w:val="18"/>
              </w:rPr>
              <w:t>el</w:t>
            </w:r>
            <w:r>
              <w:rPr>
                <w:b/>
                <w:spacing w:val="-5"/>
                <w:sz w:val="18"/>
              </w:rPr>
              <w:t> </w:t>
            </w:r>
            <w:r>
              <w:rPr>
                <w:b/>
                <w:sz w:val="18"/>
              </w:rPr>
              <w:t>seguimiento,</w:t>
            </w:r>
            <w:r>
              <w:rPr>
                <w:b/>
                <w:spacing w:val="-4"/>
                <w:sz w:val="18"/>
              </w:rPr>
              <w:t> </w:t>
            </w:r>
            <w:r>
              <w:rPr>
                <w:b/>
                <w:sz w:val="18"/>
              </w:rPr>
              <w:t>cumplimiento</w:t>
            </w:r>
            <w:r>
              <w:rPr>
                <w:b/>
                <w:spacing w:val="-7"/>
                <w:sz w:val="18"/>
              </w:rPr>
              <w:t> </w:t>
            </w:r>
            <w:r>
              <w:rPr>
                <w:b/>
                <w:sz w:val="18"/>
              </w:rPr>
              <w:t>y</w:t>
            </w:r>
            <w:r>
              <w:rPr>
                <w:b/>
                <w:spacing w:val="-7"/>
                <w:sz w:val="18"/>
              </w:rPr>
              <w:t> </w:t>
            </w:r>
            <w:r>
              <w:rPr>
                <w:b/>
                <w:sz w:val="18"/>
              </w:rPr>
              <w:t>rendición</w:t>
            </w:r>
            <w:r>
              <w:rPr>
                <w:b/>
                <w:spacing w:val="-7"/>
                <w:sz w:val="18"/>
              </w:rPr>
              <w:t> </w:t>
            </w:r>
            <w:r>
              <w:rPr>
                <w:b/>
                <w:sz w:val="18"/>
              </w:rPr>
              <w:t>de</w:t>
            </w:r>
            <w:r>
              <w:rPr>
                <w:b/>
                <w:spacing w:val="-6"/>
                <w:sz w:val="18"/>
              </w:rPr>
              <w:t> </w:t>
            </w:r>
            <w:r>
              <w:rPr>
                <w:b/>
                <w:sz w:val="18"/>
              </w:rPr>
              <w:t>cuentas</w:t>
            </w:r>
            <w:r>
              <w:rPr>
                <w:b/>
                <w:spacing w:val="-6"/>
                <w:sz w:val="18"/>
              </w:rPr>
              <w:t> </w:t>
            </w:r>
            <w:r>
              <w:rPr>
                <w:b/>
                <w:sz w:val="18"/>
              </w:rPr>
              <w:t>respecto</w:t>
            </w:r>
            <w:r>
              <w:rPr>
                <w:b/>
                <w:spacing w:val="-8"/>
                <w:sz w:val="18"/>
              </w:rPr>
              <w:t> </w:t>
            </w:r>
            <w:r>
              <w:rPr>
                <w:b/>
                <w:sz w:val="18"/>
              </w:rPr>
              <w:t>a</w:t>
            </w:r>
            <w:r>
              <w:rPr>
                <w:b/>
                <w:spacing w:val="-6"/>
                <w:sz w:val="18"/>
              </w:rPr>
              <w:t> </w:t>
            </w:r>
            <w:r>
              <w:rPr>
                <w:b/>
                <w:sz w:val="18"/>
              </w:rPr>
              <w:t>los</w:t>
            </w:r>
            <w:r>
              <w:rPr>
                <w:b/>
                <w:spacing w:val="-2"/>
                <w:sz w:val="18"/>
              </w:rPr>
              <w:t> </w:t>
            </w:r>
            <w:r>
              <w:rPr>
                <w:b/>
                <w:sz w:val="18"/>
              </w:rPr>
              <w:t>compromisos</w:t>
            </w:r>
            <w:r>
              <w:rPr>
                <w:b/>
                <w:spacing w:val="-7"/>
                <w:sz w:val="18"/>
              </w:rPr>
              <w:t> </w:t>
            </w:r>
            <w:r>
              <w:rPr>
                <w:b/>
                <w:spacing w:val="-2"/>
                <w:sz w:val="18"/>
              </w:rPr>
              <w:t>institucionales</w:t>
            </w:r>
          </w:p>
        </w:tc>
      </w:tr>
      <w:tr>
        <w:trPr>
          <w:trHeight w:val="2899" w:hRule="atLeast"/>
        </w:trPr>
        <w:tc>
          <w:tcPr>
            <w:tcW w:w="3169" w:type="dxa"/>
          </w:tcPr>
          <w:p>
            <w:pPr>
              <w:pStyle w:val="TableParagraph"/>
              <w:ind w:left="72" w:right="88"/>
              <w:rPr>
                <w:sz w:val="18"/>
              </w:rPr>
            </w:pPr>
            <w:r>
              <w:rPr>
                <w:b/>
                <w:sz w:val="18"/>
              </w:rPr>
              <w:t>Actividad</w:t>
            </w:r>
            <w:r>
              <w:rPr>
                <w:b/>
                <w:spacing w:val="-10"/>
                <w:sz w:val="18"/>
              </w:rPr>
              <w:t> </w:t>
            </w:r>
            <w:r>
              <w:rPr>
                <w:b/>
                <w:sz w:val="18"/>
              </w:rPr>
              <w:t>PAC</w:t>
            </w:r>
            <w:r>
              <w:rPr>
                <w:b/>
                <w:spacing w:val="-7"/>
                <w:sz w:val="18"/>
              </w:rPr>
              <w:t> </w:t>
            </w:r>
            <w:r>
              <w:rPr>
                <w:b/>
                <w:sz w:val="18"/>
              </w:rPr>
              <w:t>2.93.1:</w:t>
            </w:r>
            <w:r>
              <w:rPr>
                <w:b/>
                <w:spacing w:val="-6"/>
                <w:sz w:val="18"/>
              </w:rPr>
              <w:t> </w:t>
            </w:r>
            <w:r>
              <w:rPr>
                <w:sz w:val="18"/>
              </w:rPr>
              <w:t>Implementar, a través de las redes sociales oficiales del IMAS y el correo institucional, acciones de comunicación que promuevan una cultura de igualdad y no violencia contra la mujer; denuncia de contenidos publicitarios y espectáculos públicos sexistas y machistas en la ciudadanía en general, construcción de masculinidades</w:t>
            </w:r>
            <w:r>
              <w:rPr>
                <w:spacing w:val="-4"/>
                <w:sz w:val="18"/>
              </w:rPr>
              <w:t> </w:t>
            </w:r>
            <w:r>
              <w:rPr>
                <w:sz w:val="18"/>
              </w:rPr>
              <w:t>para</w:t>
            </w:r>
            <w:r>
              <w:rPr>
                <w:spacing w:val="-9"/>
                <w:sz w:val="18"/>
              </w:rPr>
              <w:t> </w:t>
            </w:r>
            <w:r>
              <w:rPr>
                <w:sz w:val="18"/>
              </w:rPr>
              <w:t>la</w:t>
            </w:r>
            <w:r>
              <w:rPr>
                <w:spacing w:val="-5"/>
                <w:sz w:val="18"/>
              </w:rPr>
              <w:t> </w:t>
            </w:r>
            <w:r>
              <w:rPr>
                <w:sz w:val="18"/>
              </w:rPr>
              <w:t>igualdad</w:t>
            </w:r>
            <w:r>
              <w:rPr>
                <w:spacing w:val="-9"/>
                <w:sz w:val="18"/>
              </w:rPr>
              <w:t> </w:t>
            </w:r>
            <w:r>
              <w:rPr>
                <w:sz w:val="18"/>
              </w:rPr>
              <w:t>y</w:t>
            </w:r>
            <w:r>
              <w:rPr>
                <w:spacing w:val="-9"/>
                <w:sz w:val="18"/>
              </w:rPr>
              <w:t> </w:t>
            </w:r>
            <w:r>
              <w:rPr>
                <w:sz w:val="18"/>
              </w:rPr>
              <w:t>no violencia, prevención, detección y</w:t>
            </w:r>
          </w:p>
          <w:p>
            <w:pPr>
              <w:pStyle w:val="TableParagraph"/>
              <w:spacing w:line="190" w:lineRule="exact"/>
              <w:ind w:left="72"/>
              <w:rPr>
                <w:sz w:val="18"/>
              </w:rPr>
            </w:pPr>
            <w:r>
              <w:rPr>
                <w:sz w:val="18"/>
              </w:rPr>
              <w:t>referencia</w:t>
            </w:r>
            <w:r>
              <w:rPr>
                <w:spacing w:val="-6"/>
                <w:sz w:val="18"/>
              </w:rPr>
              <w:t> </w:t>
            </w:r>
            <w:r>
              <w:rPr>
                <w:sz w:val="18"/>
              </w:rPr>
              <w:t>de</w:t>
            </w:r>
            <w:r>
              <w:rPr>
                <w:spacing w:val="-5"/>
                <w:sz w:val="18"/>
              </w:rPr>
              <w:t> </w:t>
            </w:r>
            <w:r>
              <w:rPr>
                <w:sz w:val="18"/>
              </w:rPr>
              <w:t>la</w:t>
            </w:r>
            <w:r>
              <w:rPr>
                <w:spacing w:val="-2"/>
                <w:sz w:val="18"/>
              </w:rPr>
              <w:t> </w:t>
            </w:r>
            <w:r>
              <w:rPr>
                <w:sz w:val="18"/>
              </w:rPr>
              <w:t>violencia</w:t>
            </w:r>
            <w:r>
              <w:rPr>
                <w:spacing w:val="-5"/>
                <w:sz w:val="18"/>
              </w:rPr>
              <w:t> </w:t>
            </w:r>
            <w:r>
              <w:rPr>
                <w:spacing w:val="-2"/>
                <w:sz w:val="18"/>
              </w:rPr>
              <w:t>sexual.</w:t>
            </w:r>
          </w:p>
        </w:tc>
        <w:tc>
          <w:tcPr>
            <w:tcW w:w="218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100" w:hanging="5"/>
              <w:rPr>
                <w:sz w:val="18"/>
              </w:rPr>
            </w:pPr>
            <w:r>
              <w:rPr>
                <w:sz w:val="18"/>
              </w:rPr>
              <w:t>Cantidad</w:t>
            </w:r>
            <w:r>
              <w:rPr>
                <w:spacing w:val="-10"/>
                <w:sz w:val="18"/>
              </w:rPr>
              <w:t> </w:t>
            </w:r>
            <w:r>
              <w:rPr>
                <w:sz w:val="18"/>
              </w:rPr>
              <w:t>de</w:t>
            </w:r>
            <w:r>
              <w:rPr>
                <w:spacing w:val="-10"/>
                <w:sz w:val="18"/>
              </w:rPr>
              <w:t> </w:t>
            </w:r>
            <w:r>
              <w:rPr>
                <w:sz w:val="18"/>
              </w:rPr>
              <w:t>acciones</w:t>
            </w:r>
            <w:r>
              <w:rPr>
                <w:spacing w:val="-10"/>
                <w:sz w:val="18"/>
              </w:rPr>
              <w:t> </w:t>
            </w:r>
            <w:r>
              <w:rPr>
                <w:sz w:val="18"/>
              </w:rPr>
              <w:t>de comunicación</w:t>
            </w:r>
            <w:r>
              <w:rPr>
                <w:spacing w:val="-9"/>
                <w:sz w:val="18"/>
              </w:rPr>
              <w:t> </w:t>
            </w:r>
            <w:r>
              <w:rPr>
                <w:spacing w:val="-2"/>
                <w:sz w:val="18"/>
              </w:rPr>
              <w:t>realizadas</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28" w:right="13"/>
              <w:jc w:val="center"/>
              <w:rPr>
                <w:sz w:val="18"/>
              </w:rPr>
            </w:pPr>
            <w:r>
              <w:rPr>
                <w:spacing w:val="-10"/>
                <w:sz w:val="18"/>
              </w:rPr>
              <w:t>1</w:t>
            </w:r>
          </w:p>
        </w:tc>
        <w:tc>
          <w:tcPr>
            <w:tcW w:w="1081"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21" w:right="9"/>
              <w:jc w:val="center"/>
              <w:rPr>
                <w:sz w:val="18"/>
              </w:rPr>
            </w:pPr>
            <w:r>
              <w:rPr>
                <w:spacing w:val="-10"/>
                <w:sz w:val="18"/>
              </w:rPr>
              <w:t>2</w:t>
            </w:r>
          </w:p>
        </w:tc>
        <w:tc>
          <w:tcPr>
            <w:tcW w:w="1081"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21" w:right="21"/>
              <w:jc w:val="center"/>
              <w:rPr>
                <w:sz w:val="18"/>
              </w:rPr>
            </w:pPr>
            <w:r>
              <w:rPr>
                <w:spacing w:val="-10"/>
                <w:sz w:val="18"/>
              </w:rPr>
              <w:t>3</w:t>
            </w:r>
          </w:p>
        </w:tc>
        <w:tc>
          <w:tcPr>
            <w:tcW w:w="1081"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28" w:right="29"/>
              <w:jc w:val="center"/>
              <w:rPr>
                <w:sz w:val="18"/>
              </w:rPr>
            </w:pPr>
            <w:r>
              <w:rPr>
                <w:spacing w:val="-10"/>
                <w:sz w:val="18"/>
              </w:rPr>
              <w:t>4</w:t>
            </w:r>
          </w:p>
        </w:tc>
        <w:tc>
          <w:tcPr>
            <w:tcW w:w="1081"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169"/>
        <w:gridCol w:w="2180"/>
        <w:gridCol w:w="1181"/>
        <w:gridCol w:w="1081"/>
        <w:gridCol w:w="1182"/>
        <w:gridCol w:w="1081"/>
        <w:gridCol w:w="1182"/>
        <w:gridCol w:w="1081"/>
        <w:gridCol w:w="1181"/>
        <w:gridCol w:w="1081"/>
      </w:tblGrid>
      <w:tr>
        <w:trPr>
          <w:trHeight w:val="2899" w:hRule="atLeast"/>
        </w:trPr>
        <w:tc>
          <w:tcPr>
            <w:tcW w:w="3169" w:type="dxa"/>
          </w:tcPr>
          <w:p>
            <w:pPr>
              <w:pStyle w:val="TableParagraph"/>
              <w:ind w:left="72" w:right="88"/>
              <w:rPr>
                <w:sz w:val="18"/>
              </w:rPr>
            </w:pPr>
            <w:r>
              <w:rPr>
                <w:b/>
                <w:sz w:val="18"/>
              </w:rPr>
              <w:t>Actividad PAC 2.93.2: </w:t>
            </w:r>
            <w:r>
              <w:rPr>
                <w:sz w:val="18"/>
              </w:rPr>
              <w:t>Identificar el alcance (envío de correos electrónicos,</w:t>
            </w:r>
            <w:r>
              <w:rPr>
                <w:spacing w:val="-12"/>
                <w:sz w:val="18"/>
              </w:rPr>
              <w:t> </w:t>
            </w:r>
            <w:r>
              <w:rPr>
                <w:sz w:val="18"/>
              </w:rPr>
              <w:t>visitas,</w:t>
            </w:r>
            <w:r>
              <w:rPr>
                <w:spacing w:val="-12"/>
                <w:sz w:val="18"/>
              </w:rPr>
              <w:t> </w:t>
            </w:r>
            <w:r>
              <w:rPr>
                <w:sz w:val="18"/>
              </w:rPr>
              <w:t>reacciones,</w:t>
            </w:r>
            <w:r>
              <w:rPr>
                <w:spacing w:val="-13"/>
                <w:sz w:val="18"/>
              </w:rPr>
              <w:t> </w:t>
            </w:r>
            <w:r>
              <w:rPr>
                <w:sz w:val="18"/>
              </w:rPr>
              <w:t>etc.) de las acciones de comunicación realizadas por el IMAS en sus redes sociales oficiales para promover una cultura de igualdad y no violencia contra la mujer; la denuncia de contenidos publicitarios y espectáculos públicos sexistas y machistas en la ciudadanía en general, construcción de masculinidades</w:t>
            </w:r>
            <w:r>
              <w:rPr>
                <w:spacing w:val="-1"/>
                <w:sz w:val="18"/>
              </w:rPr>
              <w:t> </w:t>
            </w:r>
            <w:r>
              <w:rPr>
                <w:sz w:val="18"/>
              </w:rPr>
              <w:t>para</w:t>
            </w:r>
            <w:r>
              <w:rPr>
                <w:spacing w:val="-6"/>
                <w:sz w:val="18"/>
              </w:rPr>
              <w:t> </w:t>
            </w:r>
            <w:r>
              <w:rPr>
                <w:sz w:val="18"/>
              </w:rPr>
              <w:t>la</w:t>
            </w:r>
            <w:r>
              <w:rPr>
                <w:spacing w:val="-2"/>
                <w:sz w:val="18"/>
              </w:rPr>
              <w:t> </w:t>
            </w:r>
            <w:r>
              <w:rPr>
                <w:sz w:val="18"/>
              </w:rPr>
              <w:t>igualdad</w:t>
            </w:r>
            <w:r>
              <w:rPr>
                <w:spacing w:val="-6"/>
                <w:sz w:val="18"/>
              </w:rPr>
              <w:t> </w:t>
            </w:r>
            <w:r>
              <w:rPr>
                <w:sz w:val="18"/>
              </w:rPr>
              <w:t>y</w:t>
            </w:r>
            <w:r>
              <w:rPr>
                <w:spacing w:val="-6"/>
                <w:sz w:val="18"/>
              </w:rPr>
              <w:t> </w:t>
            </w:r>
            <w:r>
              <w:rPr>
                <w:sz w:val="18"/>
              </w:rPr>
              <w:t>no</w:t>
            </w:r>
          </w:p>
          <w:p>
            <w:pPr>
              <w:pStyle w:val="TableParagraph"/>
              <w:spacing w:line="187" w:lineRule="exact" w:before="2"/>
              <w:ind w:left="72"/>
              <w:rPr>
                <w:sz w:val="18"/>
              </w:rPr>
            </w:pPr>
            <w:r>
              <w:rPr>
                <w:spacing w:val="-2"/>
                <w:sz w:val="18"/>
              </w:rPr>
              <w:t>violencia.</w:t>
            </w:r>
          </w:p>
        </w:tc>
        <w:tc>
          <w:tcPr>
            <w:tcW w:w="2180"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 w:right="2"/>
              <w:jc w:val="center"/>
              <w:rPr>
                <w:sz w:val="18"/>
              </w:rPr>
            </w:pPr>
            <w:r>
              <w:rPr>
                <w:sz w:val="18"/>
              </w:rPr>
              <w:t>Cantidad de correos electrónicos remitidos e interacciones en redes sociales</w:t>
            </w:r>
            <w:r>
              <w:rPr>
                <w:spacing w:val="-15"/>
                <w:sz w:val="18"/>
              </w:rPr>
              <w:t> </w:t>
            </w:r>
            <w:r>
              <w:rPr>
                <w:sz w:val="18"/>
              </w:rPr>
              <w:t>alcanzadas</w:t>
            </w:r>
            <w:r>
              <w:rPr>
                <w:spacing w:val="-12"/>
                <w:sz w:val="18"/>
              </w:rPr>
              <w:t> </w:t>
            </w:r>
            <w:r>
              <w:rPr>
                <w:sz w:val="18"/>
              </w:rPr>
              <w:t>con cada acción</w:t>
            </w: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393"/>
              <w:rPr>
                <w:sz w:val="18"/>
              </w:rPr>
            </w:pPr>
            <w:r>
              <w:rPr>
                <w:spacing w:val="-4"/>
                <w:sz w:val="18"/>
              </w:rPr>
              <w:t>1000</w:t>
            </w:r>
          </w:p>
        </w:tc>
        <w:tc>
          <w:tcPr>
            <w:tcW w:w="1081"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392"/>
              <w:rPr>
                <w:sz w:val="18"/>
              </w:rPr>
            </w:pPr>
            <w:r>
              <w:rPr>
                <w:spacing w:val="-4"/>
                <w:sz w:val="18"/>
              </w:rPr>
              <w:t>1000</w:t>
            </w:r>
          </w:p>
        </w:tc>
        <w:tc>
          <w:tcPr>
            <w:tcW w:w="1081" w:type="dxa"/>
          </w:tcPr>
          <w:p>
            <w:pPr>
              <w:pStyle w:val="TableParagraph"/>
              <w:rPr>
                <w:rFonts w:ascii="Times New Roman"/>
                <w:sz w:val="18"/>
              </w:rPr>
            </w:pPr>
          </w:p>
        </w:tc>
        <w:tc>
          <w:tcPr>
            <w:tcW w:w="11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386"/>
              <w:rPr>
                <w:sz w:val="18"/>
              </w:rPr>
            </w:pPr>
            <w:r>
              <w:rPr>
                <w:spacing w:val="-4"/>
                <w:sz w:val="18"/>
              </w:rPr>
              <w:t>1000</w:t>
            </w:r>
          </w:p>
        </w:tc>
        <w:tc>
          <w:tcPr>
            <w:tcW w:w="1081" w:type="dxa"/>
          </w:tcPr>
          <w:p>
            <w:pPr>
              <w:pStyle w:val="TableParagraph"/>
              <w:rPr>
                <w:rFonts w:ascii="Times New Roman"/>
                <w:sz w:val="18"/>
              </w:rPr>
            </w:pPr>
          </w:p>
        </w:tc>
        <w:tc>
          <w:tcPr>
            <w:tcW w:w="118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385"/>
              <w:rPr>
                <w:sz w:val="18"/>
              </w:rPr>
            </w:pPr>
            <w:r>
              <w:rPr>
                <w:spacing w:val="-4"/>
                <w:sz w:val="18"/>
              </w:rPr>
              <w:t>1000</w:t>
            </w:r>
          </w:p>
        </w:tc>
        <w:tc>
          <w:tcPr>
            <w:tcW w:w="1081"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p>
      <w:pPr>
        <w:pStyle w:val="Heading1"/>
        <w:numPr>
          <w:ilvl w:val="1"/>
          <w:numId w:val="5"/>
        </w:numPr>
        <w:tabs>
          <w:tab w:pos="1625" w:val="left" w:leader="none"/>
        </w:tabs>
        <w:spacing w:line="240" w:lineRule="auto" w:before="99" w:after="0"/>
        <w:ind w:left="1625" w:right="0" w:hanging="401"/>
        <w:jc w:val="left"/>
      </w:pPr>
      <w:bookmarkStart w:name="_bookmark65" w:id="66"/>
      <w:bookmarkEnd w:id="66"/>
      <w:r>
        <w:rPr>
          <w:b w:val="0"/>
        </w:rPr>
      </w:r>
      <w:r>
        <w:rPr/>
        <w:t>Matriz</w:t>
      </w:r>
      <w:r>
        <w:rPr>
          <w:spacing w:val="-7"/>
        </w:rPr>
        <w:t> </w:t>
      </w:r>
      <w:r>
        <w:rPr/>
        <w:t>de</w:t>
      </w:r>
      <w:r>
        <w:rPr>
          <w:spacing w:val="-4"/>
        </w:rPr>
        <w:t> </w:t>
      </w:r>
      <w:r>
        <w:rPr/>
        <w:t>Gestión</w:t>
      </w:r>
      <w:r>
        <w:rPr>
          <w:spacing w:val="-8"/>
        </w:rPr>
        <w:t> </w:t>
      </w:r>
      <w:r>
        <w:rPr/>
        <w:t>para</w:t>
      </w:r>
      <w:r>
        <w:rPr>
          <w:spacing w:val="-4"/>
        </w:rPr>
        <w:t> </w:t>
      </w:r>
      <w:r>
        <w:rPr/>
        <w:t>Resultados</w:t>
      </w:r>
      <w:r>
        <w:rPr>
          <w:spacing w:val="-8"/>
        </w:rPr>
        <w:t> </w:t>
      </w:r>
      <w:r>
        <w:rPr/>
        <w:t>de</w:t>
      </w:r>
      <w:r>
        <w:rPr>
          <w:spacing w:val="-8"/>
        </w:rPr>
        <w:t> </w:t>
      </w:r>
      <w:r>
        <w:rPr/>
        <w:t>Desarrollo</w:t>
      </w:r>
      <w:r>
        <w:rPr>
          <w:spacing w:val="-3"/>
        </w:rPr>
        <w:t> </w:t>
      </w:r>
      <w:r>
        <w:rPr/>
        <w:t>(GpRD)</w:t>
      </w:r>
      <w:r>
        <w:rPr>
          <w:spacing w:val="-3"/>
        </w:rPr>
        <w:t> </w:t>
      </w:r>
      <w:r>
        <w:rPr/>
        <w:t>del</w:t>
      </w:r>
      <w:r>
        <w:rPr>
          <w:spacing w:val="-5"/>
        </w:rPr>
        <w:t> </w:t>
      </w:r>
      <w:r>
        <w:rPr/>
        <w:t>Programa</w:t>
      </w:r>
      <w:r>
        <w:rPr>
          <w:spacing w:val="-4"/>
        </w:rPr>
        <w:t> </w:t>
      </w:r>
      <w:r>
        <w:rPr/>
        <w:t>Empresas</w:t>
      </w:r>
      <w:r>
        <w:rPr>
          <w:spacing w:val="-8"/>
        </w:rPr>
        <w:t> </w:t>
      </w:r>
      <w:r>
        <w:rPr>
          <w:spacing w:val="-2"/>
        </w:rPr>
        <w:t>Comerciales</w:t>
      </w:r>
    </w:p>
    <w:p>
      <w:pPr>
        <w:pStyle w:val="BodyText"/>
        <w:rPr>
          <w:b/>
          <w:sz w:val="20"/>
        </w:rPr>
      </w:pPr>
    </w:p>
    <w:p>
      <w:pPr>
        <w:pStyle w:val="BodyText"/>
        <w:spacing w:before="94" w:after="1"/>
        <w:rPr>
          <w:b/>
          <w:sz w:val="20"/>
        </w:rPr>
      </w:pPr>
    </w:p>
    <w:tbl>
      <w:tblPr>
        <w:tblW w:w="0" w:type="auto"/>
        <w:jc w:val="left"/>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89"/>
        <w:gridCol w:w="1988"/>
        <w:gridCol w:w="1844"/>
        <w:gridCol w:w="1839"/>
        <w:gridCol w:w="1421"/>
        <w:gridCol w:w="1277"/>
        <w:gridCol w:w="1270"/>
        <w:gridCol w:w="1904"/>
      </w:tblGrid>
      <w:tr>
        <w:trPr>
          <w:trHeight w:val="873" w:hRule="atLeast"/>
        </w:trPr>
        <w:tc>
          <w:tcPr>
            <w:tcW w:w="2689" w:type="dxa"/>
            <w:shd w:val="clear" w:color="auto" w:fill="D7D7D7"/>
          </w:tcPr>
          <w:p>
            <w:pPr>
              <w:pStyle w:val="TableParagraph"/>
              <w:spacing w:before="123"/>
              <w:rPr>
                <w:b/>
                <w:sz w:val="18"/>
              </w:rPr>
            </w:pPr>
          </w:p>
          <w:p>
            <w:pPr>
              <w:pStyle w:val="TableParagraph"/>
              <w:ind w:left="374"/>
              <w:rPr>
                <w:b/>
                <w:sz w:val="18"/>
              </w:rPr>
            </w:pPr>
            <w:r>
              <w:rPr>
                <w:b/>
                <w:sz w:val="18"/>
              </w:rPr>
              <w:t>Objetivos</w:t>
            </w:r>
            <w:r>
              <w:rPr>
                <w:b/>
                <w:spacing w:val="-5"/>
                <w:sz w:val="18"/>
              </w:rPr>
              <w:t> </w:t>
            </w:r>
            <w:r>
              <w:rPr>
                <w:b/>
                <w:sz w:val="18"/>
              </w:rPr>
              <w:t>/</w:t>
            </w:r>
            <w:r>
              <w:rPr>
                <w:b/>
                <w:spacing w:val="-2"/>
                <w:sz w:val="18"/>
              </w:rPr>
              <w:t> Resultados</w:t>
            </w:r>
          </w:p>
        </w:tc>
        <w:tc>
          <w:tcPr>
            <w:tcW w:w="1988" w:type="dxa"/>
            <w:shd w:val="clear" w:color="auto" w:fill="D7D7D7"/>
          </w:tcPr>
          <w:p>
            <w:pPr>
              <w:pStyle w:val="TableParagraph"/>
              <w:spacing w:before="123"/>
              <w:rPr>
                <w:b/>
                <w:sz w:val="18"/>
              </w:rPr>
            </w:pPr>
          </w:p>
          <w:p>
            <w:pPr>
              <w:pStyle w:val="TableParagraph"/>
              <w:ind w:left="20" w:right="5"/>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844" w:type="dxa"/>
            <w:shd w:val="clear" w:color="auto" w:fill="D7D7D7"/>
          </w:tcPr>
          <w:p>
            <w:pPr>
              <w:pStyle w:val="TableParagraph"/>
              <w:spacing w:before="22"/>
              <w:rPr>
                <w:b/>
                <w:sz w:val="18"/>
              </w:rPr>
            </w:pPr>
          </w:p>
          <w:p>
            <w:pPr>
              <w:pStyle w:val="TableParagraph"/>
              <w:ind w:left="720" w:hanging="553"/>
              <w:rPr>
                <w:b/>
                <w:sz w:val="18"/>
              </w:rPr>
            </w:pPr>
            <w:r>
              <w:rPr>
                <w:b/>
                <w:sz w:val="18"/>
              </w:rPr>
              <w:t>Meta</w:t>
            </w:r>
            <w:r>
              <w:rPr>
                <w:b/>
                <w:spacing w:val="-13"/>
                <w:sz w:val="18"/>
              </w:rPr>
              <w:t> </w:t>
            </w:r>
            <w:r>
              <w:rPr>
                <w:b/>
                <w:sz w:val="18"/>
              </w:rPr>
              <w:t>programada </w:t>
            </w:r>
            <w:r>
              <w:rPr>
                <w:b/>
                <w:spacing w:val="-4"/>
                <w:sz w:val="18"/>
              </w:rPr>
              <w:t>2026</w:t>
            </w:r>
          </w:p>
        </w:tc>
        <w:tc>
          <w:tcPr>
            <w:tcW w:w="1839" w:type="dxa"/>
            <w:shd w:val="clear" w:color="auto" w:fill="D7D7D7"/>
          </w:tcPr>
          <w:p>
            <w:pPr>
              <w:pStyle w:val="TableParagraph"/>
              <w:spacing w:before="123"/>
              <w:rPr>
                <w:b/>
                <w:sz w:val="18"/>
              </w:rPr>
            </w:pPr>
          </w:p>
          <w:p>
            <w:pPr>
              <w:pStyle w:val="TableParagraph"/>
              <w:ind w:left="513"/>
              <w:rPr>
                <w:b/>
                <w:sz w:val="18"/>
              </w:rPr>
            </w:pPr>
            <w:r>
              <w:rPr>
                <w:b/>
                <w:spacing w:val="-2"/>
                <w:sz w:val="18"/>
              </w:rPr>
              <w:t>Indicador</w:t>
            </w:r>
          </w:p>
        </w:tc>
        <w:tc>
          <w:tcPr>
            <w:tcW w:w="1421" w:type="dxa"/>
            <w:shd w:val="clear" w:color="auto" w:fill="D7D7D7"/>
          </w:tcPr>
          <w:p>
            <w:pPr>
              <w:pStyle w:val="TableParagraph"/>
              <w:spacing w:before="22"/>
              <w:rPr>
                <w:b/>
                <w:sz w:val="18"/>
              </w:rPr>
            </w:pPr>
          </w:p>
          <w:p>
            <w:pPr>
              <w:pStyle w:val="TableParagraph"/>
              <w:ind w:left="210" w:firstLine="57"/>
              <w:rPr>
                <w:b/>
                <w:sz w:val="18"/>
              </w:rPr>
            </w:pPr>
            <w:r>
              <w:rPr>
                <w:b/>
                <w:sz w:val="18"/>
              </w:rPr>
              <w:t>Medios de </w:t>
            </w:r>
            <w:r>
              <w:rPr>
                <w:b/>
                <w:spacing w:val="-2"/>
                <w:sz w:val="18"/>
              </w:rPr>
              <w:t>verificación</w:t>
            </w:r>
          </w:p>
        </w:tc>
        <w:tc>
          <w:tcPr>
            <w:tcW w:w="1277" w:type="dxa"/>
            <w:shd w:val="clear" w:color="auto" w:fill="D7D7D7"/>
          </w:tcPr>
          <w:p>
            <w:pPr>
              <w:pStyle w:val="TableParagraph"/>
              <w:spacing w:before="123"/>
              <w:rPr>
                <w:b/>
                <w:sz w:val="18"/>
              </w:rPr>
            </w:pPr>
          </w:p>
          <w:p>
            <w:pPr>
              <w:pStyle w:val="TableParagraph"/>
              <w:ind w:left="76"/>
              <w:rPr>
                <w:b/>
                <w:sz w:val="18"/>
              </w:rPr>
            </w:pPr>
            <w:r>
              <w:rPr>
                <w:b/>
                <w:spacing w:val="-2"/>
                <w:sz w:val="18"/>
              </w:rPr>
              <w:t>Responsable</w:t>
            </w:r>
          </w:p>
        </w:tc>
        <w:tc>
          <w:tcPr>
            <w:tcW w:w="1270" w:type="dxa"/>
            <w:shd w:val="clear" w:color="auto" w:fill="D7D7D7"/>
          </w:tcPr>
          <w:p>
            <w:pPr>
              <w:pStyle w:val="TableParagraph"/>
              <w:spacing w:before="22"/>
              <w:rPr>
                <w:b/>
                <w:sz w:val="18"/>
              </w:rPr>
            </w:pPr>
          </w:p>
          <w:p>
            <w:pPr>
              <w:pStyle w:val="TableParagraph"/>
              <w:ind w:left="234" w:hanging="149"/>
              <w:rPr>
                <w:b/>
                <w:sz w:val="18"/>
              </w:rPr>
            </w:pPr>
            <w:r>
              <w:rPr>
                <w:b/>
                <w:spacing w:val="-2"/>
                <w:sz w:val="18"/>
              </w:rPr>
              <w:t>Presupuesto asignado</w:t>
            </w:r>
          </w:p>
        </w:tc>
        <w:tc>
          <w:tcPr>
            <w:tcW w:w="1904" w:type="dxa"/>
            <w:shd w:val="clear" w:color="auto" w:fill="D7D7D7"/>
          </w:tcPr>
          <w:p>
            <w:pPr>
              <w:pStyle w:val="TableParagraph"/>
              <w:spacing w:before="123"/>
              <w:rPr>
                <w:b/>
                <w:sz w:val="18"/>
              </w:rPr>
            </w:pPr>
          </w:p>
          <w:p>
            <w:pPr>
              <w:pStyle w:val="TableParagraph"/>
              <w:ind w:left="194"/>
              <w:rPr>
                <w:b/>
                <w:sz w:val="18"/>
              </w:rPr>
            </w:pPr>
            <w:r>
              <w:rPr>
                <w:b/>
                <w:sz w:val="18"/>
              </w:rPr>
              <w:t>Riesgo</w:t>
            </w:r>
            <w:r>
              <w:rPr>
                <w:b/>
                <w:spacing w:val="-4"/>
                <w:sz w:val="18"/>
              </w:rPr>
              <w:t> </w:t>
            </w:r>
            <w:r>
              <w:rPr>
                <w:b/>
                <w:spacing w:val="-2"/>
                <w:sz w:val="18"/>
              </w:rPr>
              <w:t>Vinculado</w:t>
            </w:r>
          </w:p>
        </w:tc>
      </w:tr>
      <w:tr>
        <w:trPr>
          <w:trHeight w:val="839" w:hRule="atLeast"/>
        </w:trPr>
        <w:tc>
          <w:tcPr>
            <w:tcW w:w="14232" w:type="dxa"/>
            <w:gridSpan w:val="8"/>
            <w:shd w:val="clear" w:color="auto" w:fill="F1F1F1"/>
          </w:tcPr>
          <w:p>
            <w:pPr>
              <w:pStyle w:val="TableParagraph"/>
              <w:spacing w:before="3"/>
              <w:rPr>
                <w:b/>
                <w:sz w:val="18"/>
              </w:rPr>
            </w:pPr>
          </w:p>
          <w:p>
            <w:pPr>
              <w:pStyle w:val="TableParagraph"/>
              <w:spacing w:line="244" w:lineRule="auto"/>
              <w:ind w:left="72"/>
              <w:rPr>
                <w:b/>
                <w:sz w:val="18"/>
              </w:rPr>
            </w:pPr>
            <w:r>
              <w:rPr>
                <w:b/>
                <w:sz w:val="18"/>
              </w:rPr>
              <w:t>Efecto:</w:t>
            </w:r>
            <w:r>
              <w:rPr>
                <w:b/>
                <w:spacing w:val="-1"/>
                <w:sz w:val="18"/>
              </w:rPr>
              <w:t> </w:t>
            </w:r>
            <w:r>
              <w:rPr>
                <w:b/>
                <w:sz w:val="18"/>
              </w:rPr>
              <w:t>Generar</w:t>
            </w:r>
            <w:r>
              <w:rPr>
                <w:b/>
                <w:spacing w:val="-2"/>
                <w:sz w:val="18"/>
              </w:rPr>
              <w:t> </w:t>
            </w:r>
            <w:r>
              <w:rPr>
                <w:b/>
                <w:sz w:val="18"/>
              </w:rPr>
              <w:t>la</w:t>
            </w:r>
            <w:r>
              <w:rPr>
                <w:b/>
                <w:spacing w:val="-3"/>
                <w:sz w:val="18"/>
              </w:rPr>
              <w:t> </w:t>
            </w:r>
            <w:r>
              <w:rPr>
                <w:b/>
                <w:sz w:val="18"/>
              </w:rPr>
              <w:t>mayor</w:t>
            </w:r>
            <w:r>
              <w:rPr>
                <w:b/>
                <w:spacing w:val="-2"/>
                <w:sz w:val="18"/>
              </w:rPr>
              <w:t> </w:t>
            </w:r>
            <w:r>
              <w:rPr>
                <w:b/>
                <w:sz w:val="18"/>
              </w:rPr>
              <w:t>cantidad</w:t>
            </w:r>
            <w:r>
              <w:rPr>
                <w:b/>
                <w:spacing w:val="-4"/>
                <w:sz w:val="18"/>
              </w:rPr>
              <w:t> </w:t>
            </w:r>
            <w:r>
              <w:rPr>
                <w:b/>
                <w:sz w:val="18"/>
              </w:rPr>
              <w:t>posible de</w:t>
            </w:r>
            <w:r>
              <w:rPr>
                <w:b/>
                <w:spacing w:val="-3"/>
                <w:sz w:val="18"/>
              </w:rPr>
              <w:t> </w:t>
            </w:r>
            <w:r>
              <w:rPr>
                <w:b/>
                <w:sz w:val="18"/>
              </w:rPr>
              <w:t>ingresos</w:t>
            </w:r>
            <w:r>
              <w:rPr>
                <w:b/>
                <w:spacing w:val="-3"/>
                <w:sz w:val="18"/>
              </w:rPr>
              <w:t> </w:t>
            </w:r>
            <w:r>
              <w:rPr>
                <w:b/>
                <w:sz w:val="18"/>
              </w:rPr>
              <w:t>por concepto</w:t>
            </w:r>
            <w:r>
              <w:rPr>
                <w:b/>
                <w:spacing w:val="-4"/>
                <w:sz w:val="18"/>
              </w:rPr>
              <w:t> </w:t>
            </w:r>
            <w:r>
              <w:rPr>
                <w:b/>
                <w:sz w:val="18"/>
              </w:rPr>
              <w:t>de</w:t>
            </w:r>
            <w:r>
              <w:rPr>
                <w:b/>
                <w:spacing w:val="-3"/>
                <w:sz w:val="18"/>
              </w:rPr>
              <w:t> </w:t>
            </w:r>
            <w:r>
              <w:rPr>
                <w:b/>
                <w:sz w:val="18"/>
              </w:rPr>
              <w:t>utilidades</w:t>
            </w:r>
            <w:r>
              <w:rPr>
                <w:b/>
                <w:spacing w:val="-3"/>
                <w:sz w:val="18"/>
              </w:rPr>
              <w:t> </w:t>
            </w:r>
            <w:r>
              <w:rPr>
                <w:b/>
                <w:sz w:val="18"/>
              </w:rPr>
              <w:t>con</w:t>
            </w:r>
            <w:r>
              <w:rPr>
                <w:b/>
                <w:spacing w:val="-4"/>
                <w:sz w:val="18"/>
              </w:rPr>
              <w:t> </w:t>
            </w:r>
            <w:r>
              <w:rPr>
                <w:b/>
                <w:sz w:val="18"/>
              </w:rPr>
              <w:t>la</w:t>
            </w:r>
            <w:r>
              <w:rPr>
                <w:b/>
                <w:spacing w:val="-3"/>
                <w:sz w:val="18"/>
              </w:rPr>
              <w:t> </w:t>
            </w:r>
            <w:r>
              <w:rPr>
                <w:b/>
                <w:sz w:val="18"/>
              </w:rPr>
              <w:t>operación</w:t>
            </w:r>
            <w:r>
              <w:rPr>
                <w:b/>
                <w:spacing w:val="-4"/>
                <w:sz w:val="18"/>
              </w:rPr>
              <w:t> </w:t>
            </w:r>
            <w:r>
              <w:rPr>
                <w:b/>
                <w:sz w:val="18"/>
              </w:rPr>
              <w:t>comercial</w:t>
            </w:r>
            <w:r>
              <w:rPr>
                <w:b/>
                <w:spacing w:val="-1"/>
                <w:sz w:val="18"/>
              </w:rPr>
              <w:t> </w:t>
            </w:r>
            <w:r>
              <w:rPr>
                <w:b/>
                <w:sz w:val="18"/>
              </w:rPr>
              <w:t>de</w:t>
            </w:r>
            <w:r>
              <w:rPr>
                <w:b/>
                <w:spacing w:val="-3"/>
                <w:sz w:val="18"/>
              </w:rPr>
              <w:t> </w:t>
            </w:r>
            <w:r>
              <w:rPr>
                <w:b/>
                <w:sz w:val="18"/>
              </w:rPr>
              <w:t>las tiendas del</w:t>
            </w:r>
            <w:r>
              <w:rPr>
                <w:b/>
                <w:spacing w:val="-1"/>
                <w:sz w:val="18"/>
              </w:rPr>
              <w:t> </w:t>
            </w:r>
            <w:r>
              <w:rPr>
                <w:b/>
                <w:sz w:val="18"/>
              </w:rPr>
              <w:t>IMAS,</w:t>
            </w:r>
            <w:r>
              <w:rPr>
                <w:b/>
                <w:spacing w:val="-1"/>
                <w:sz w:val="18"/>
              </w:rPr>
              <w:t> </w:t>
            </w:r>
            <w:r>
              <w:rPr>
                <w:b/>
                <w:sz w:val="18"/>
              </w:rPr>
              <w:t>con</w:t>
            </w:r>
            <w:r>
              <w:rPr>
                <w:b/>
                <w:spacing w:val="-4"/>
                <w:sz w:val="18"/>
              </w:rPr>
              <w:t> </w:t>
            </w:r>
            <w:r>
              <w:rPr>
                <w:b/>
                <w:sz w:val="18"/>
              </w:rPr>
              <w:t>el</w:t>
            </w:r>
            <w:r>
              <w:rPr>
                <w:b/>
                <w:spacing w:val="-1"/>
                <w:sz w:val="18"/>
              </w:rPr>
              <w:t> </w:t>
            </w:r>
            <w:r>
              <w:rPr>
                <w:b/>
                <w:sz w:val="18"/>
              </w:rPr>
              <w:t>fin</w:t>
            </w:r>
            <w:r>
              <w:rPr>
                <w:b/>
                <w:spacing w:val="-4"/>
                <w:sz w:val="18"/>
              </w:rPr>
              <w:t> </w:t>
            </w:r>
            <w:r>
              <w:rPr>
                <w:b/>
                <w:sz w:val="18"/>
              </w:rPr>
              <w:t>de</w:t>
            </w:r>
            <w:r>
              <w:rPr>
                <w:b/>
                <w:spacing w:val="-3"/>
                <w:sz w:val="18"/>
              </w:rPr>
              <w:t> </w:t>
            </w:r>
            <w:r>
              <w:rPr>
                <w:b/>
                <w:sz w:val="18"/>
              </w:rPr>
              <w:t>contribuir</w:t>
            </w:r>
            <w:r>
              <w:rPr>
                <w:b/>
                <w:spacing w:val="-2"/>
                <w:sz w:val="18"/>
              </w:rPr>
              <w:t> </w:t>
            </w:r>
            <w:r>
              <w:rPr>
                <w:b/>
                <w:sz w:val="18"/>
              </w:rPr>
              <w:t>a</w:t>
            </w:r>
            <w:r>
              <w:rPr>
                <w:b/>
                <w:spacing w:val="-3"/>
                <w:sz w:val="18"/>
              </w:rPr>
              <w:t> </w:t>
            </w:r>
            <w:r>
              <w:rPr>
                <w:b/>
                <w:sz w:val="18"/>
              </w:rPr>
              <w:t>la sostenibilidad financiera de los programas de inversión social destinados a la población objetivo.</w:t>
            </w:r>
          </w:p>
        </w:tc>
      </w:tr>
      <w:tr>
        <w:trPr>
          <w:trHeight w:val="628" w:hRule="atLeast"/>
        </w:trPr>
        <w:tc>
          <w:tcPr>
            <w:tcW w:w="14232" w:type="dxa"/>
            <w:gridSpan w:val="8"/>
            <w:shd w:val="clear" w:color="auto" w:fill="EFF8F9"/>
          </w:tcPr>
          <w:p>
            <w:pPr>
              <w:pStyle w:val="TableParagraph"/>
              <w:spacing w:before="3"/>
              <w:rPr>
                <w:b/>
                <w:sz w:val="18"/>
              </w:rPr>
            </w:pPr>
          </w:p>
          <w:p>
            <w:pPr>
              <w:pStyle w:val="TableParagraph"/>
              <w:ind w:left="72"/>
              <w:rPr>
                <w:b/>
                <w:sz w:val="18"/>
              </w:rPr>
            </w:pPr>
            <w:r>
              <w:rPr>
                <w:b/>
                <w:sz w:val="18"/>
              </w:rPr>
              <w:t>Producto</w:t>
            </w:r>
            <w:r>
              <w:rPr>
                <w:b/>
                <w:spacing w:val="-7"/>
                <w:sz w:val="18"/>
              </w:rPr>
              <w:t> </w:t>
            </w:r>
            <w:r>
              <w:rPr>
                <w:b/>
                <w:sz w:val="18"/>
              </w:rPr>
              <w:t>PEC</w:t>
            </w:r>
            <w:r>
              <w:rPr>
                <w:b/>
                <w:spacing w:val="-7"/>
                <w:sz w:val="18"/>
              </w:rPr>
              <w:t> </w:t>
            </w:r>
            <w:r>
              <w:rPr>
                <w:b/>
                <w:sz w:val="18"/>
              </w:rPr>
              <w:t>3.1: Estrategia</w:t>
            </w:r>
            <w:r>
              <w:rPr>
                <w:b/>
                <w:spacing w:val="-5"/>
                <w:sz w:val="18"/>
              </w:rPr>
              <w:t> </w:t>
            </w:r>
            <w:r>
              <w:rPr>
                <w:b/>
                <w:sz w:val="18"/>
              </w:rPr>
              <w:t>de</w:t>
            </w:r>
            <w:r>
              <w:rPr>
                <w:b/>
                <w:spacing w:val="-6"/>
                <w:sz w:val="18"/>
              </w:rPr>
              <w:t> </w:t>
            </w:r>
            <w:r>
              <w:rPr>
                <w:b/>
                <w:sz w:val="18"/>
              </w:rPr>
              <w:t>Negocios</w:t>
            </w:r>
            <w:r>
              <w:rPr>
                <w:b/>
                <w:spacing w:val="-5"/>
                <w:sz w:val="18"/>
              </w:rPr>
              <w:t> </w:t>
            </w:r>
            <w:r>
              <w:rPr>
                <w:b/>
                <w:sz w:val="18"/>
              </w:rPr>
              <w:t>diseñada</w:t>
            </w:r>
            <w:r>
              <w:rPr>
                <w:b/>
                <w:spacing w:val="-6"/>
                <w:sz w:val="18"/>
              </w:rPr>
              <w:t> </w:t>
            </w:r>
            <w:r>
              <w:rPr>
                <w:b/>
                <w:sz w:val="18"/>
              </w:rPr>
              <w:t>e</w:t>
            </w:r>
            <w:r>
              <w:rPr>
                <w:b/>
                <w:spacing w:val="-5"/>
                <w:sz w:val="18"/>
              </w:rPr>
              <w:t> </w:t>
            </w:r>
            <w:r>
              <w:rPr>
                <w:b/>
                <w:sz w:val="18"/>
              </w:rPr>
              <w:t>implementada,</w:t>
            </w:r>
            <w:r>
              <w:rPr>
                <w:b/>
                <w:spacing w:val="-4"/>
                <w:sz w:val="18"/>
              </w:rPr>
              <w:t> </w:t>
            </w:r>
            <w:r>
              <w:rPr>
                <w:b/>
                <w:sz w:val="18"/>
              </w:rPr>
              <w:t>para</w:t>
            </w:r>
            <w:r>
              <w:rPr>
                <w:b/>
                <w:spacing w:val="-5"/>
                <w:sz w:val="18"/>
              </w:rPr>
              <w:t> </w:t>
            </w:r>
            <w:r>
              <w:rPr>
                <w:b/>
                <w:sz w:val="18"/>
              </w:rPr>
              <w:t>incrementar</w:t>
            </w:r>
            <w:r>
              <w:rPr>
                <w:b/>
                <w:spacing w:val="-4"/>
                <w:sz w:val="18"/>
              </w:rPr>
              <w:t> </w:t>
            </w:r>
            <w:r>
              <w:rPr>
                <w:b/>
                <w:sz w:val="18"/>
              </w:rPr>
              <w:t>las</w:t>
            </w:r>
            <w:r>
              <w:rPr>
                <w:b/>
                <w:spacing w:val="-6"/>
                <w:sz w:val="18"/>
              </w:rPr>
              <w:t> </w:t>
            </w:r>
            <w:r>
              <w:rPr>
                <w:b/>
                <w:sz w:val="18"/>
              </w:rPr>
              <w:t>ventas</w:t>
            </w:r>
            <w:r>
              <w:rPr>
                <w:b/>
                <w:spacing w:val="-5"/>
                <w:sz w:val="18"/>
              </w:rPr>
              <w:t> </w:t>
            </w:r>
            <w:r>
              <w:rPr>
                <w:b/>
                <w:sz w:val="18"/>
              </w:rPr>
              <w:t>a</w:t>
            </w:r>
            <w:r>
              <w:rPr>
                <w:b/>
                <w:spacing w:val="-6"/>
                <w:sz w:val="18"/>
              </w:rPr>
              <w:t> </w:t>
            </w:r>
            <w:r>
              <w:rPr>
                <w:b/>
                <w:sz w:val="18"/>
              </w:rPr>
              <w:t>través</w:t>
            </w:r>
            <w:r>
              <w:rPr>
                <w:b/>
                <w:spacing w:val="-1"/>
                <w:sz w:val="18"/>
              </w:rPr>
              <w:t> </w:t>
            </w:r>
            <w:r>
              <w:rPr>
                <w:b/>
                <w:sz w:val="18"/>
              </w:rPr>
              <w:t>de</w:t>
            </w:r>
            <w:r>
              <w:rPr>
                <w:b/>
                <w:spacing w:val="-11"/>
                <w:sz w:val="18"/>
              </w:rPr>
              <w:t> </w:t>
            </w:r>
            <w:r>
              <w:rPr>
                <w:b/>
                <w:sz w:val="18"/>
              </w:rPr>
              <w:t>la</w:t>
            </w:r>
            <w:r>
              <w:rPr>
                <w:b/>
                <w:spacing w:val="-1"/>
                <w:sz w:val="18"/>
              </w:rPr>
              <w:t> </w:t>
            </w:r>
            <w:r>
              <w:rPr>
                <w:b/>
                <w:sz w:val="18"/>
              </w:rPr>
              <w:t>gestión</w:t>
            </w:r>
            <w:r>
              <w:rPr>
                <w:b/>
                <w:spacing w:val="-2"/>
                <w:sz w:val="18"/>
              </w:rPr>
              <w:t> </w:t>
            </w:r>
            <w:r>
              <w:rPr>
                <w:b/>
                <w:sz w:val="18"/>
              </w:rPr>
              <w:t>comercial.</w:t>
            </w:r>
            <w:r>
              <w:rPr>
                <w:b/>
                <w:spacing w:val="-3"/>
                <w:sz w:val="18"/>
              </w:rPr>
              <w:t> </w:t>
            </w:r>
            <w:r>
              <w:rPr>
                <w:b/>
                <w:sz w:val="18"/>
              </w:rPr>
              <w:t>(E5</w:t>
            </w:r>
            <w:r>
              <w:rPr>
                <w:b/>
                <w:spacing w:val="-2"/>
                <w:sz w:val="18"/>
              </w:rPr>
              <w:t> </w:t>
            </w:r>
            <w:r>
              <w:rPr>
                <w:b/>
                <w:sz w:val="18"/>
              </w:rPr>
              <w:t>AE1</w:t>
            </w:r>
            <w:r>
              <w:rPr>
                <w:b/>
                <w:spacing w:val="-2"/>
                <w:sz w:val="18"/>
              </w:rPr>
              <w:t> </w:t>
            </w:r>
            <w:r>
              <w:rPr>
                <w:b/>
                <w:spacing w:val="-5"/>
                <w:sz w:val="18"/>
              </w:rPr>
              <w:t>R1)</w:t>
            </w:r>
          </w:p>
        </w:tc>
      </w:tr>
      <w:tr>
        <w:trPr>
          <w:trHeight w:val="1867" w:hRule="atLeast"/>
        </w:trPr>
        <w:tc>
          <w:tcPr>
            <w:tcW w:w="2689" w:type="dxa"/>
          </w:tcPr>
          <w:p>
            <w:pPr>
              <w:pStyle w:val="TableParagraph"/>
              <w:rPr>
                <w:b/>
                <w:sz w:val="18"/>
              </w:rPr>
            </w:pPr>
          </w:p>
          <w:p>
            <w:pPr>
              <w:pStyle w:val="TableParagraph"/>
              <w:spacing w:before="2"/>
              <w:rPr>
                <w:b/>
                <w:sz w:val="18"/>
              </w:rPr>
            </w:pPr>
          </w:p>
          <w:p>
            <w:pPr>
              <w:pStyle w:val="TableParagraph"/>
              <w:ind w:left="72" w:right="100"/>
              <w:rPr>
                <w:sz w:val="18"/>
              </w:rPr>
            </w:pPr>
            <w:r>
              <w:rPr>
                <w:b/>
                <w:sz w:val="18"/>
              </w:rPr>
              <w:t>Actividad</w:t>
            </w:r>
            <w:r>
              <w:rPr>
                <w:b/>
                <w:spacing w:val="-11"/>
                <w:sz w:val="18"/>
              </w:rPr>
              <w:t> </w:t>
            </w:r>
            <w:r>
              <w:rPr>
                <w:b/>
                <w:sz w:val="18"/>
              </w:rPr>
              <w:t>PEC</w:t>
            </w:r>
            <w:r>
              <w:rPr>
                <w:b/>
                <w:spacing w:val="-8"/>
                <w:sz w:val="18"/>
              </w:rPr>
              <w:t> </w:t>
            </w:r>
            <w:r>
              <w:rPr>
                <w:b/>
                <w:sz w:val="18"/>
              </w:rPr>
              <w:t>3.1.1:</w:t>
            </w:r>
            <w:r>
              <w:rPr>
                <w:b/>
                <w:spacing w:val="34"/>
                <w:sz w:val="18"/>
              </w:rPr>
              <w:t> </w:t>
            </w:r>
            <w:r>
              <w:rPr>
                <w:sz w:val="18"/>
              </w:rPr>
              <w:t>Generar ingresos por ventas en las tiendas libres de impuesto a través</w:t>
            </w:r>
            <w:r>
              <w:rPr>
                <w:spacing w:val="-7"/>
                <w:sz w:val="18"/>
              </w:rPr>
              <w:t> </w:t>
            </w:r>
            <w:r>
              <w:rPr>
                <w:sz w:val="18"/>
              </w:rPr>
              <w:t>de</w:t>
            </w:r>
            <w:r>
              <w:rPr>
                <w:spacing w:val="-4"/>
                <w:sz w:val="18"/>
              </w:rPr>
              <w:t> </w:t>
            </w:r>
            <w:r>
              <w:rPr>
                <w:sz w:val="18"/>
              </w:rPr>
              <w:t>la</w:t>
            </w:r>
            <w:r>
              <w:rPr>
                <w:spacing w:val="-7"/>
                <w:sz w:val="18"/>
              </w:rPr>
              <w:t> </w:t>
            </w:r>
            <w:r>
              <w:rPr>
                <w:sz w:val="18"/>
              </w:rPr>
              <w:t>implementación</w:t>
            </w:r>
            <w:r>
              <w:rPr>
                <w:spacing w:val="-7"/>
                <w:sz w:val="18"/>
              </w:rPr>
              <w:t> </w:t>
            </w:r>
            <w:r>
              <w:rPr>
                <w:sz w:val="18"/>
              </w:rPr>
              <w:t>de la estrategia de Negocios.</w:t>
            </w:r>
          </w:p>
        </w:tc>
        <w:tc>
          <w:tcPr>
            <w:tcW w:w="1988"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20" w:right="2"/>
              <w:jc w:val="center"/>
              <w:rPr>
                <w:sz w:val="18"/>
              </w:rPr>
            </w:pPr>
            <w:r>
              <w:rPr>
                <w:spacing w:val="-2"/>
                <w:sz w:val="18"/>
              </w:rPr>
              <w:t>¢21,444,240,256</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9" w:right="1"/>
              <w:jc w:val="center"/>
              <w:rPr>
                <w:sz w:val="18"/>
              </w:rPr>
            </w:pPr>
            <w:r>
              <w:rPr>
                <w:spacing w:val="-2"/>
                <w:sz w:val="18"/>
              </w:rPr>
              <w:t>¢23,697,637,430</w:t>
            </w:r>
          </w:p>
        </w:tc>
        <w:tc>
          <w:tcPr>
            <w:tcW w:w="1839"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6" w:right="123"/>
              <w:rPr>
                <w:sz w:val="18"/>
              </w:rPr>
            </w:pPr>
            <w:r>
              <w:rPr>
                <w:sz w:val="18"/>
              </w:rPr>
              <w:t>Monto acumulado estimado de ingresos</w:t>
            </w:r>
            <w:r>
              <w:rPr>
                <w:spacing w:val="-15"/>
                <w:sz w:val="18"/>
              </w:rPr>
              <w:t> </w:t>
            </w:r>
            <w:r>
              <w:rPr>
                <w:sz w:val="18"/>
              </w:rPr>
              <w:t>por</w:t>
            </w:r>
            <w:r>
              <w:rPr>
                <w:spacing w:val="-12"/>
                <w:sz w:val="18"/>
              </w:rPr>
              <w:t> </w:t>
            </w:r>
            <w:r>
              <w:rPr>
                <w:sz w:val="18"/>
              </w:rPr>
              <w:t>ventas</w:t>
            </w:r>
          </w:p>
        </w:tc>
        <w:tc>
          <w:tcPr>
            <w:tcW w:w="1421" w:type="dxa"/>
          </w:tcPr>
          <w:p>
            <w:pPr>
              <w:pStyle w:val="TableParagraph"/>
              <w:rPr>
                <w:b/>
                <w:sz w:val="18"/>
              </w:rPr>
            </w:pPr>
          </w:p>
          <w:p>
            <w:pPr>
              <w:pStyle w:val="TableParagraph"/>
              <w:rPr>
                <w:b/>
                <w:sz w:val="18"/>
              </w:rPr>
            </w:pPr>
          </w:p>
          <w:p>
            <w:pPr>
              <w:pStyle w:val="TableParagraph"/>
              <w:spacing w:before="103"/>
              <w:rPr>
                <w:b/>
                <w:sz w:val="18"/>
              </w:rPr>
            </w:pPr>
          </w:p>
          <w:p>
            <w:pPr>
              <w:pStyle w:val="TableParagraph"/>
              <w:spacing w:line="244" w:lineRule="auto"/>
              <w:ind w:left="71"/>
              <w:rPr>
                <w:sz w:val="18"/>
              </w:rPr>
            </w:pPr>
            <w:r>
              <w:rPr>
                <w:sz w:val="18"/>
              </w:rPr>
              <w:t>Reporte</w:t>
            </w:r>
            <w:r>
              <w:rPr>
                <w:spacing w:val="-13"/>
                <w:sz w:val="18"/>
              </w:rPr>
              <w:t> </w:t>
            </w:r>
            <w:r>
              <w:rPr>
                <w:sz w:val="18"/>
              </w:rPr>
              <w:t>de </w:t>
            </w:r>
            <w:r>
              <w:rPr>
                <w:spacing w:val="-2"/>
                <w:sz w:val="18"/>
              </w:rPr>
              <w:t>Ventas</w:t>
            </w:r>
          </w:p>
        </w:tc>
        <w:tc>
          <w:tcPr>
            <w:tcW w:w="1277"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1" w:right="248"/>
              <w:jc w:val="both"/>
              <w:rPr>
                <w:sz w:val="18"/>
              </w:rPr>
            </w:pPr>
            <w:r>
              <w:rPr>
                <w:sz w:val="18"/>
              </w:rPr>
              <w:t>Jefatura de Mercadeo</w:t>
            </w:r>
            <w:r>
              <w:rPr>
                <w:spacing w:val="-13"/>
                <w:sz w:val="18"/>
              </w:rPr>
              <w:t> </w:t>
            </w:r>
            <w:r>
              <w:rPr>
                <w:sz w:val="18"/>
              </w:rPr>
              <w:t>y </w:t>
            </w:r>
            <w:r>
              <w:rPr>
                <w:spacing w:val="-2"/>
                <w:sz w:val="18"/>
              </w:rPr>
              <w:t>Ventas</w:t>
            </w:r>
          </w:p>
        </w:tc>
        <w:tc>
          <w:tcPr>
            <w:tcW w:w="1270" w:type="dxa"/>
          </w:tcPr>
          <w:p>
            <w:pPr>
              <w:pStyle w:val="TableParagraph"/>
              <w:rPr>
                <w:rFonts w:ascii="Times New Roman"/>
                <w:sz w:val="18"/>
              </w:rPr>
            </w:pPr>
          </w:p>
        </w:tc>
        <w:tc>
          <w:tcPr>
            <w:tcW w:w="1904" w:type="dxa"/>
          </w:tcPr>
          <w:p>
            <w:pPr>
              <w:pStyle w:val="TableParagraph"/>
              <w:ind w:left="69" w:right="79"/>
              <w:rPr>
                <w:sz w:val="18"/>
              </w:rPr>
            </w:pPr>
            <w:r>
              <w:rPr>
                <w:sz w:val="18"/>
              </w:rPr>
              <w:t>Evento: Los clientes se muestran más cautelosos al momento de adquirir productos</w:t>
            </w:r>
            <w:r>
              <w:rPr>
                <w:spacing w:val="-12"/>
                <w:sz w:val="18"/>
              </w:rPr>
              <w:t> </w:t>
            </w:r>
            <w:r>
              <w:rPr>
                <w:sz w:val="18"/>
              </w:rPr>
              <w:t>debido</w:t>
            </w:r>
            <w:r>
              <w:rPr>
                <w:spacing w:val="-12"/>
                <w:sz w:val="18"/>
              </w:rPr>
              <w:t> </w:t>
            </w:r>
            <w:r>
              <w:rPr>
                <w:sz w:val="18"/>
              </w:rPr>
              <w:t>a</w:t>
            </w:r>
            <w:r>
              <w:rPr>
                <w:spacing w:val="-12"/>
                <w:sz w:val="18"/>
              </w:rPr>
              <w:t> </w:t>
            </w:r>
            <w:r>
              <w:rPr>
                <w:sz w:val="18"/>
              </w:rPr>
              <w:t>la situación económica Global y políticas</w:t>
            </w:r>
          </w:p>
          <w:p>
            <w:pPr>
              <w:pStyle w:val="TableParagraph"/>
              <w:spacing w:line="206" w:lineRule="exact"/>
              <w:ind w:left="69" w:right="377"/>
              <w:rPr>
                <w:sz w:val="18"/>
              </w:rPr>
            </w:pPr>
            <w:r>
              <w:rPr>
                <w:sz w:val="18"/>
              </w:rPr>
              <w:t>generadas</w:t>
            </w:r>
            <w:r>
              <w:rPr>
                <w:spacing w:val="-15"/>
                <w:sz w:val="18"/>
              </w:rPr>
              <w:t> </w:t>
            </w:r>
            <w:r>
              <w:rPr>
                <w:sz w:val="18"/>
              </w:rPr>
              <w:t>por</w:t>
            </w:r>
            <w:r>
              <w:rPr>
                <w:spacing w:val="-12"/>
                <w:sz w:val="18"/>
              </w:rPr>
              <w:t> </w:t>
            </w:r>
            <w:r>
              <w:rPr>
                <w:sz w:val="18"/>
              </w:rPr>
              <w:t>los Estados Unidos.</w:t>
            </w:r>
          </w:p>
        </w:tc>
      </w:tr>
      <w:tr>
        <w:trPr>
          <w:trHeight w:val="599" w:hRule="atLeast"/>
        </w:trPr>
        <w:tc>
          <w:tcPr>
            <w:tcW w:w="14232" w:type="dxa"/>
            <w:gridSpan w:val="8"/>
            <w:shd w:val="clear" w:color="auto" w:fill="EFF8F9"/>
          </w:tcPr>
          <w:p>
            <w:pPr>
              <w:pStyle w:val="TableParagraph"/>
              <w:spacing w:before="195"/>
              <w:ind w:left="72"/>
              <w:rPr>
                <w:b/>
                <w:sz w:val="18"/>
              </w:rPr>
            </w:pPr>
            <w:r>
              <w:rPr>
                <w:b/>
                <w:sz w:val="18"/>
              </w:rPr>
              <w:t>Producto</w:t>
            </w:r>
            <w:r>
              <w:rPr>
                <w:b/>
                <w:spacing w:val="-8"/>
                <w:sz w:val="18"/>
              </w:rPr>
              <w:t> </w:t>
            </w:r>
            <w:r>
              <w:rPr>
                <w:b/>
                <w:sz w:val="18"/>
              </w:rPr>
              <w:t>PEC</w:t>
            </w:r>
            <w:r>
              <w:rPr>
                <w:b/>
                <w:spacing w:val="-9"/>
                <w:sz w:val="18"/>
              </w:rPr>
              <w:t> </w:t>
            </w:r>
            <w:r>
              <w:rPr>
                <w:b/>
                <w:sz w:val="18"/>
              </w:rPr>
              <w:t>3.2:</w:t>
            </w:r>
            <w:r>
              <w:rPr>
                <w:b/>
                <w:spacing w:val="-2"/>
                <w:sz w:val="18"/>
              </w:rPr>
              <w:t> </w:t>
            </w:r>
            <w:r>
              <w:rPr>
                <w:b/>
                <w:sz w:val="18"/>
              </w:rPr>
              <w:t>Servicio</w:t>
            </w:r>
            <w:r>
              <w:rPr>
                <w:b/>
                <w:spacing w:val="-3"/>
                <w:sz w:val="18"/>
              </w:rPr>
              <w:t> </w:t>
            </w:r>
            <w:r>
              <w:rPr>
                <w:b/>
                <w:sz w:val="18"/>
              </w:rPr>
              <w:t>al</w:t>
            </w:r>
            <w:r>
              <w:rPr>
                <w:b/>
                <w:spacing w:val="-5"/>
                <w:sz w:val="18"/>
              </w:rPr>
              <w:t> </w:t>
            </w:r>
            <w:r>
              <w:rPr>
                <w:b/>
                <w:sz w:val="18"/>
              </w:rPr>
              <w:t>cliente</w:t>
            </w:r>
            <w:r>
              <w:rPr>
                <w:b/>
                <w:spacing w:val="-3"/>
                <w:sz w:val="18"/>
              </w:rPr>
              <w:t> </w:t>
            </w:r>
            <w:r>
              <w:rPr>
                <w:b/>
                <w:sz w:val="18"/>
              </w:rPr>
              <w:t>estandarizado</w:t>
            </w:r>
            <w:r>
              <w:rPr>
                <w:b/>
                <w:spacing w:val="-8"/>
                <w:sz w:val="18"/>
              </w:rPr>
              <w:t> </w:t>
            </w:r>
            <w:r>
              <w:rPr>
                <w:b/>
                <w:sz w:val="18"/>
              </w:rPr>
              <w:t>que</w:t>
            </w:r>
            <w:r>
              <w:rPr>
                <w:b/>
                <w:spacing w:val="-11"/>
                <w:sz w:val="18"/>
              </w:rPr>
              <w:t> </w:t>
            </w:r>
            <w:r>
              <w:rPr>
                <w:b/>
                <w:sz w:val="18"/>
              </w:rPr>
              <w:t>produzca</w:t>
            </w:r>
            <w:r>
              <w:rPr>
                <w:b/>
                <w:spacing w:val="-7"/>
                <w:sz w:val="18"/>
              </w:rPr>
              <w:t> </w:t>
            </w:r>
            <w:r>
              <w:rPr>
                <w:b/>
                <w:sz w:val="18"/>
              </w:rPr>
              <w:t>una</w:t>
            </w:r>
            <w:r>
              <w:rPr>
                <w:b/>
                <w:spacing w:val="-7"/>
                <w:sz w:val="18"/>
              </w:rPr>
              <w:t> </w:t>
            </w:r>
            <w:r>
              <w:rPr>
                <w:b/>
                <w:sz w:val="18"/>
              </w:rPr>
              <w:t>experiencia</w:t>
            </w:r>
            <w:r>
              <w:rPr>
                <w:b/>
                <w:spacing w:val="-4"/>
                <w:sz w:val="18"/>
              </w:rPr>
              <w:t> </w:t>
            </w:r>
            <w:r>
              <w:rPr>
                <w:b/>
                <w:sz w:val="18"/>
              </w:rPr>
              <w:t>de</w:t>
            </w:r>
            <w:r>
              <w:rPr>
                <w:b/>
                <w:spacing w:val="-6"/>
                <w:sz w:val="18"/>
              </w:rPr>
              <w:t> </w:t>
            </w:r>
            <w:r>
              <w:rPr>
                <w:b/>
                <w:sz w:val="18"/>
              </w:rPr>
              <w:t>compra</w:t>
            </w:r>
            <w:r>
              <w:rPr>
                <w:b/>
                <w:spacing w:val="-7"/>
                <w:sz w:val="18"/>
              </w:rPr>
              <w:t> </w:t>
            </w:r>
            <w:r>
              <w:rPr>
                <w:b/>
                <w:sz w:val="18"/>
              </w:rPr>
              <w:t>gratificante.</w:t>
            </w:r>
            <w:r>
              <w:rPr>
                <w:b/>
                <w:spacing w:val="43"/>
                <w:sz w:val="18"/>
              </w:rPr>
              <w:t> </w:t>
            </w:r>
            <w:r>
              <w:rPr>
                <w:b/>
                <w:sz w:val="18"/>
              </w:rPr>
              <w:t>(E5</w:t>
            </w:r>
            <w:r>
              <w:rPr>
                <w:b/>
                <w:spacing w:val="-7"/>
                <w:sz w:val="18"/>
              </w:rPr>
              <w:t> </w:t>
            </w:r>
            <w:r>
              <w:rPr>
                <w:b/>
                <w:sz w:val="18"/>
              </w:rPr>
              <w:t>AE1</w:t>
            </w:r>
            <w:r>
              <w:rPr>
                <w:b/>
                <w:spacing w:val="-3"/>
                <w:sz w:val="18"/>
              </w:rPr>
              <w:t> </w:t>
            </w:r>
            <w:r>
              <w:rPr>
                <w:b/>
                <w:spacing w:val="-5"/>
                <w:sz w:val="18"/>
              </w:rPr>
              <w:t>R2)</w:t>
            </w:r>
          </w:p>
        </w:tc>
      </w:tr>
      <w:tr>
        <w:trPr>
          <w:trHeight w:val="777" w:hRule="atLeast"/>
        </w:trPr>
        <w:tc>
          <w:tcPr>
            <w:tcW w:w="2689" w:type="dxa"/>
          </w:tcPr>
          <w:p>
            <w:pPr>
              <w:pStyle w:val="TableParagraph"/>
              <w:spacing w:line="242" w:lineRule="auto" w:before="75"/>
              <w:ind w:left="72" w:right="126"/>
              <w:rPr>
                <w:sz w:val="18"/>
              </w:rPr>
            </w:pPr>
            <w:r>
              <w:rPr>
                <w:b/>
                <w:sz w:val="18"/>
              </w:rPr>
              <w:t>Actividad</w:t>
            </w:r>
            <w:r>
              <w:rPr>
                <w:b/>
                <w:spacing w:val="-13"/>
                <w:sz w:val="18"/>
              </w:rPr>
              <w:t> </w:t>
            </w:r>
            <w:r>
              <w:rPr>
                <w:b/>
                <w:sz w:val="18"/>
              </w:rPr>
              <w:t>PEC</w:t>
            </w:r>
            <w:r>
              <w:rPr>
                <w:b/>
                <w:spacing w:val="-12"/>
                <w:sz w:val="18"/>
              </w:rPr>
              <w:t> </w:t>
            </w:r>
            <w:r>
              <w:rPr>
                <w:b/>
                <w:sz w:val="18"/>
              </w:rPr>
              <w:t>3.2.1:</w:t>
            </w:r>
            <w:r>
              <w:rPr>
                <w:b/>
                <w:spacing w:val="-10"/>
                <w:sz w:val="18"/>
              </w:rPr>
              <w:t> </w:t>
            </w:r>
            <w:r>
              <w:rPr>
                <w:sz w:val="18"/>
              </w:rPr>
              <w:t>Evaluar la ejecución del protocolo de servicio al cliente.</w:t>
            </w:r>
          </w:p>
        </w:tc>
        <w:tc>
          <w:tcPr>
            <w:tcW w:w="1988" w:type="dxa"/>
          </w:tcPr>
          <w:p>
            <w:pPr>
              <w:pStyle w:val="TableParagraph"/>
              <w:spacing w:before="75"/>
              <w:rPr>
                <w:b/>
                <w:sz w:val="18"/>
              </w:rPr>
            </w:pPr>
          </w:p>
          <w:p>
            <w:pPr>
              <w:pStyle w:val="TableParagraph"/>
              <w:ind w:left="20" w:right="4"/>
              <w:jc w:val="center"/>
              <w:rPr>
                <w:sz w:val="18"/>
              </w:rPr>
            </w:pPr>
            <w:r>
              <w:rPr>
                <w:spacing w:val="-5"/>
                <w:sz w:val="18"/>
              </w:rPr>
              <w:t>N/D</w:t>
            </w:r>
          </w:p>
        </w:tc>
        <w:tc>
          <w:tcPr>
            <w:tcW w:w="1844" w:type="dxa"/>
          </w:tcPr>
          <w:p>
            <w:pPr>
              <w:pStyle w:val="TableParagraph"/>
              <w:spacing w:before="75"/>
              <w:rPr>
                <w:b/>
                <w:sz w:val="18"/>
              </w:rPr>
            </w:pPr>
          </w:p>
          <w:p>
            <w:pPr>
              <w:pStyle w:val="TableParagraph"/>
              <w:ind w:left="9" w:right="4"/>
              <w:jc w:val="center"/>
              <w:rPr>
                <w:sz w:val="18"/>
              </w:rPr>
            </w:pPr>
            <w:r>
              <w:rPr>
                <w:spacing w:val="-10"/>
                <w:sz w:val="18"/>
              </w:rPr>
              <w:t>4</w:t>
            </w:r>
          </w:p>
        </w:tc>
        <w:tc>
          <w:tcPr>
            <w:tcW w:w="1839" w:type="dxa"/>
          </w:tcPr>
          <w:p>
            <w:pPr>
              <w:pStyle w:val="TableParagraph"/>
              <w:spacing w:line="242" w:lineRule="auto" w:before="75"/>
              <w:ind w:left="66" w:right="123"/>
              <w:rPr>
                <w:sz w:val="18"/>
              </w:rPr>
            </w:pPr>
            <w:r>
              <w:rPr>
                <w:sz w:val="18"/>
              </w:rPr>
              <w:t>Cantidad de </w:t>
            </w:r>
            <w:r>
              <w:rPr>
                <w:spacing w:val="-2"/>
                <w:sz w:val="18"/>
              </w:rPr>
              <w:t>evaluaciones realizados</w:t>
            </w:r>
          </w:p>
        </w:tc>
        <w:tc>
          <w:tcPr>
            <w:tcW w:w="1421" w:type="dxa"/>
          </w:tcPr>
          <w:p>
            <w:pPr>
              <w:pStyle w:val="TableParagraph"/>
              <w:spacing w:before="181"/>
              <w:ind w:left="71" w:right="181"/>
              <w:rPr>
                <w:sz w:val="18"/>
              </w:rPr>
            </w:pPr>
            <w:r>
              <w:rPr>
                <w:spacing w:val="-2"/>
                <w:sz w:val="18"/>
              </w:rPr>
              <w:t>Informe trimestral</w:t>
            </w:r>
          </w:p>
        </w:tc>
        <w:tc>
          <w:tcPr>
            <w:tcW w:w="1277" w:type="dxa"/>
          </w:tcPr>
          <w:p>
            <w:pPr>
              <w:pStyle w:val="TableParagraph"/>
              <w:spacing w:line="242" w:lineRule="auto" w:before="75"/>
              <w:ind w:left="71" w:right="248"/>
              <w:jc w:val="both"/>
              <w:rPr>
                <w:sz w:val="18"/>
              </w:rPr>
            </w:pPr>
            <w:r>
              <w:rPr>
                <w:sz w:val="18"/>
              </w:rPr>
              <w:t>Jefatura de Mercadeo</w:t>
            </w:r>
            <w:r>
              <w:rPr>
                <w:spacing w:val="-13"/>
                <w:sz w:val="18"/>
              </w:rPr>
              <w:t> </w:t>
            </w:r>
            <w:r>
              <w:rPr>
                <w:sz w:val="18"/>
              </w:rPr>
              <w:t>y </w:t>
            </w:r>
            <w:r>
              <w:rPr>
                <w:spacing w:val="-2"/>
                <w:sz w:val="18"/>
              </w:rPr>
              <w:t>Ventas</w:t>
            </w:r>
          </w:p>
        </w:tc>
        <w:tc>
          <w:tcPr>
            <w:tcW w:w="1270" w:type="dxa"/>
          </w:tcPr>
          <w:p>
            <w:pPr>
              <w:pStyle w:val="TableParagraph"/>
              <w:rPr>
                <w:rFonts w:ascii="Times New Roman"/>
                <w:sz w:val="18"/>
              </w:rPr>
            </w:pPr>
          </w:p>
        </w:tc>
        <w:tc>
          <w:tcPr>
            <w:tcW w:w="1904" w:type="dxa"/>
            <w:vMerge w:val="restart"/>
          </w:tcPr>
          <w:p>
            <w:pPr>
              <w:pStyle w:val="TableParagraph"/>
              <w:rPr>
                <w:b/>
                <w:sz w:val="18"/>
              </w:rPr>
            </w:pPr>
          </w:p>
          <w:p>
            <w:pPr>
              <w:pStyle w:val="TableParagraph"/>
              <w:spacing w:before="180"/>
              <w:rPr>
                <w:b/>
                <w:sz w:val="18"/>
              </w:rPr>
            </w:pPr>
          </w:p>
          <w:p>
            <w:pPr>
              <w:pStyle w:val="TableParagraph"/>
              <w:ind w:left="69" w:right="79"/>
              <w:rPr>
                <w:sz w:val="18"/>
              </w:rPr>
            </w:pPr>
            <w:r>
              <w:rPr>
                <w:sz w:val="18"/>
              </w:rPr>
              <w:t>Evento: Las estrategias</w:t>
            </w:r>
            <w:r>
              <w:rPr>
                <w:spacing w:val="-15"/>
                <w:sz w:val="18"/>
              </w:rPr>
              <w:t> </w:t>
            </w:r>
            <w:r>
              <w:rPr>
                <w:sz w:val="18"/>
              </w:rPr>
              <w:t>de</w:t>
            </w:r>
            <w:r>
              <w:rPr>
                <w:spacing w:val="-12"/>
                <w:sz w:val="18"/>
              </w:rPr>
              <w:t> </w:t>
            </w:r>
            <w:r>
              <w:rPr>
                <w:sz w:val="18"/>
              </w:rPr>
              <w:t>ventas no se aplica de manera eficiente y </w:t>
            </w:r>
            <w:r>
              <w:rPr>
                <w:spacing w:val="-2"/>
                <w:sz w:val="18"/>
              </w:rPr>
              <w:t>uniforme.</w:t>
            </w:r>
          </w:p>
        </w:tc>
      </w:tr>
      <w:tr>
        <w:trPr>
          <w:trHeight w:val="1440" w:hRule="atLeast"/>
        </w:trPr>
        <w:tc>
          <w:tcPr>
            <w:tcW w:w="2689" w:type="dxa"/>
          </w:tcPr>
          <w:p>
            <w:pPr>
              <w:pStyle w:val="TableParagraph"/>
              <w:spacing w:before="205"/>
              <w:ind w:left="72"/>
              <w:rPr>
                <w:sz w:val="18"/>
              </w:rPr>
            </w:pPr>
            <w:r>
              <w:rPr>
                <w:b/>
                <w:sz w:val="18"/>
              </w:rPr>
              <w:t>Actividad PEC 3.2.2</w:t>
            </w:r>
            <w:r>
              <w:rPr>
                <w:sz w:val="18"/>
              </w:rPr>
              <w:t>: Medir la experiencia de compra a partir de</w:t>
            </w:r>
            <w:r>
              <w:rPr>
                <w:spacing w:val="-1"/>
                <w:sz w:val="18"/>
              </w:rPr>
              <w:t> </w:t>
            </w:r>
            <w:r>
              <w:rPr>
                <w:sz w:val="18"/>
              </w:rPr>
              <w:t>los</w:t>
            </w:r>
            <w:r>
              <w:rPr>
                <w:spacing w:val="-5"/>
                <w:sz w:val="18"/>
              </w:rPr>
              <w:t> </w:t>
            </w:r>
            <w:r>
              <w:rPr>
                <w:sz w:val="18"/>
              </w:rPr>
              <w:t>resultados obtenidos del estudio</w:t>
            </w:r>
            <w:r>
              <w:rPr>
                <w:spacing w:val="-11"/>
                <w:sz w:val="18"/>
              </w:rPr>
              <w:t> </w:t>
            </w:r>
            <w:r>
              <w:rPr>
                <w:sz w:val="18"/>
              </w:rPr>
              <w:t>realizado</w:t>
            </w:r>
            <w:r>
              <w:rPr>
                <w:spacing w:val="-8"/>
                <w:sz w:val="18"/>
              </w:rPr>
              <w:t> </w:t>
            </w:r>
            <w:r>
              <w:rPr>
                <w:sz w:val="18"/>
              </w:rPr>
              <w:t>por</w:t>
            </w:r>
            <w:r>
              <w:rPr>
                <w:spacing w:val="-6"/>
                <w:sz w:val="18"/>
              </w:rPr>
              <w:t> </w:t>
            </w:r>
            <w:r>
              <w:rPr>
                <w:sz w:val="18"/>
              </w:rPr>
              <w:t>AERIS</w:t>
            </w:r>
            <w:r>
              <w:rPr>
                <w:spacing w:val="-12"/>
                <w:sz w:val="18"/>
              </w:rPr>
              <w:t> </w:t>
            </w:r>
            <w:r>
              <w:rPr>
                <w:sz w:val="18"/>
              </w:rPr>
              <w:t>de las tiendas del IMAS</w:t>
            </w:r>
          </w:p>
        </w:tc>
        <w:tc>
          <w:tcPr>
            <w:tcW w:w="1988" w:type="dxa"/>
          </w:tcPr>
          <w:p>
            <w:pPr>
              <w:pStyle w:val="TableParagraph"/>
              <w:rPr>
                <w:b/>
                <w:sz w:val="18"/>
              </w:rPr>
            </w:pPr>
          </w:p>
          <w:p>
            <w:pPr>
              <w:pStyle w:val="TableParagraph"/>
              <w:spacing w:before="204"/>
              <w:rPr>
                <w:b/>
                <w:sz w:val="18"/>
              </w:rPr>
            </w:pPr>
          </w:p>
          <w:p>
            <w:pPr>
              <w:pStyle w:val="TableParagraph"/>
              <w:ind w:left="20" w:right="3"/>
              <w:jc w:val="center"/>
              <w:rPr>
                <w:sz w:val="18"/>
              </w:rPr>
            </w:pPr>
            <w:r>
              <w:rPr>
                <w:spacing w:val="-5"/>
                <w:sz w:val="18"/>
              </w:rPr>
              <w:t>90%</w:t>
            </w:r>
          </w:p>
        </w:tc>
        <w:tc>
          <w:tcPr>
            <w:tcW w:w="1844" w:type="dxa"/>
          </w:tcPr>
          <w:p>
            <w:pPr>
              <w:pStyle w:val="TableParagraph"/>
              <w:rPr>
                <w:b/>
                <w:sz w:val="18"/>
              </w:rPr>
            </w:pPr>
          </w:p>
          <w:p>
            <w:pPr>
              <w:pStyle w:val="TableParagraph"/>
              <w:spacing w:before="204"/>
              <w:rPr>
                <w:b/>
                <w:sz w:val="18"/>
              </w:rPr>
            </w:pPr>
          </w:p>
          <w:p>
            <w:pPr>
              <w:pStyle w:val="TableParagraph"/>
              <w:ind w:left="9" w:right="2"/>
              <w:jc w:val="center"/>
              <w:rPr>
                <w:sz w:val="18"/>
              </w:rPr>
            </w:pPr>
            <w:r>
              <w:rPr>
                <w:spacing w:val="-5"/>
                <w:sz w:val="18"/>
              </w:rPr>
              <w:t>90%</w:t>
            </w:r>
          </w:p>
        </w:tc>
        <w:tc>
          <w:tcPr>
            <w:tcW w:w="1839" w:type="dxa"/>
          </w:tcPr>
          <w:p>
            <w:pPr>
              <w:pStyle w:val="TableParagraph"/>
              <w:spacing w:before="99"/>
              <w:rPr>
                <w:b/>
                <w:sz w:val="18"/>
              </w:rPr>
            </w:pPr>
          </w:p>
          <w:p>
            <w:pPr>
              <w:pStyle w:val="TableParagraph"/>
              <w:ind w:left="66" w:right="82"/>
              <w:rPr>
                <w:sz w:val="18"/>
              </w:rPr>
            </w:pPr>
            <w:r>
              <w:rPr>
                <w:sz w:val="18"/>
              </w:rPr>
              <w:t>%</w:t>
            </w:r>
            <w:r>
              <w:rPr>
                <w:spacing w:val="-10"/>
                <w:sz w:val="18"/>
              </w:rPr>
              <w:t> </w:t>
            </w:r>
            <w:r>
              <w:rPr>
                <w:sz w:val="18"/>
              </w:rPr>
              <w:t>de</w:t>
            </w:r>
            <w:r>
              <w:rPr>
                <w:spacing w:val="-11"/>
                <w:sz w:val="18"/>
              </w:rPr>
              <w:t> </w:t>
            </w:r>
            <w:r>
              <w:rPr>
                <w:sz w:val="18"/>
              </w:rPr>
              <w:t>satisfacción</w:t>
            </w:r>
            <w:r>
              <w:rPr>
                <w:spacing w:val="-13"/>
                <w:sz w:val="18"/>
              </w:rPr>
              <w:t> </w:t>
            </w:r>
            <w:r>
              <w:rPr>
                <w:sz w:val="18"/>
              </w:rPr>
              <w:t>de los clientes a los cuales se les aplicó la encuesta</w:t>
            </w:r>
          </w:p>
        </w:tc>
        <w:tc>
          <w:tcPr>
            <w:tcW w:w="1421" w:type="dxa"/>
          </w:tcPr>
          <w:p>
            <w:pPr>
              <w:pStyle w:val="TableParagraph"/>
              <w:spacing w:before="99"/>
              <w:rPr>
                <w:b/>
                <w:sz w:val="18"/>
              </w:rPr>
            </w:pPr>
          </w:p>
          <w:p>
            <w:pPr>
              <w:pStyle w:val="TableParagraph"/>
              <w:ind w:left="71" w:right="122"/>
              <w:rPr>
                <w:sz w:val="18"/>
              </w:rPr>
            </w:pPr>
            <w:r>
              <w:rPr>
                <w:sz w:val="18"/>
              </w:rPr>
              <w:t>Informe de </w:t>
            </w:r>
            <w:r>
              <w:rPr>
                <w:spacing w:val="-2"/>
                <w:sz w:val="18"/>
              </w:rPr>
              <w:t>resultados </w:t>
            </w:r>
            <w:r>
              <w:rPr>
                <w:sz w:val="18"/>
              </w:rPr>
              <w:t>presentado</w:t>
            </w:r>
            <w:r>
              <w:rPr>
                <w:spacing w:val="-13"/>
                <w:sz w:val="18"/>
              </w:rPr>
              <w:t> </w:t>
            </w:r>
            <w:r>
              <w:rPr>
                <w:sz w:val="18"/>
              </w:rPr>
              <w:t>por </w:t>
            </w:r>
            <w:r>
              <w:rPr>
                <w:spacing w:val="-2"/>
                <w:sz w:val="18"/>
              </w:rPr>
              <w:t>AERIS</w:t>
            </w:r>
          </w:p>
        </w:tc>
        <w:tc>
          <w:tcPr>
            <w:tcW w:w="1277" w:type="dxa"/>
          </w:tcPr>
          <w:p>
            <w:pPr>
              <w:pStyle w:val="TableParagraph"/>
              <w:spacing w:before="204"/>
              <w:rPr>
                <w:b/>
                <w:sz w:val="18"/>
              </w:rPr>
            </w:pPr>
          </w:p>
          <w:p>
            <w:pPr>
              <w:pStyle w:val="TableParagraph"/>
              <w:ind w:left="71" w:right="248"/>
              <w:jc w:val="both"/>
              <w:rPr>
                <w:sz w:val="18"/>
              </w:rPr>
            </w:pPr>
            <w:r>
              <w:rPr>
                <w:sz w:val="18"/>
              </w:rPr>
              <w:t>Jefatura de Mercadeo</w:t>
            </w:r>
            <w:r>
              <w:rPr>
                <w:spacing w:val="-13"/>
                <w:sz w:val="18"/>
              </w:rPr>
              <w:t> </w:t>
            </w:r>
            <w:r>
              <w:rPr>
                <w:sz w:val="18"/>
              </w:rPr>
              <w:t>y </w:t>
            </w:r>
            <w:r>
              <w:rPr>
                <w:spacing w:val="-2"/>
                <w:sz w:val="18"/>
              </w:rPr>
              <w:t>Ventas</w:t>
            </w:r>
          </w:p>
        </w:tc>
        <w:tc>
          <w:tcPr>
            <w:tcW w:w="1270" w:type="dxa"/>
          </w:tcPr>
          <w:p>
            <w:pPr>
              <w:pStyle w:val="TableParagraph"/>
              <w:rPr>
                <w:rFonts w:ascii="Times New Roman"/>
                <w:sz w:val="18"/>
              </w:rPr>
            </w:pPr>
          </w:p>
        </w:tc>
        <w:tc>
          <w:tcPr>
            <w:tcW w:w="1904" w:type="dxa"/>
            <w:vMerge/>
            <w:tcBorders>
              <w:top w:val="nil"/>
            </w:tcBorders>
          </w:tcPr>
          <w:p>
            <w:pPr>
              <w:rPr>
                <w:sz w:val="2"/>
                <w:szCs w:val="2"/>
              </w:rPr>
            </w:pPr>
          </w:p>
        </w:tc>
      </w:tr>
    </w:tbl>
    <w:p>
      <w:pPr>
        <w:spacing w:after="0"/>
        <w:rPr>
          <w:sz w:val="2"/>
          <w:szCs w:val="2"/>
        </w:rPr>
        <w:sectPr>
          <w:pgSz w:w="15840" w:h="12240" w:orient="landscape"/>
          <w:pgMar w:header="0" w:footer="1806" w:top="1380" w:bottom="2320" w:left="360" w:right="360"/>
        </w:sectPr>
      </w:pPr>
    </w:p>
    <w:tbl>
      <w:tblPr>
        <w:tblW w:w="0" w:type="auto"/>
        <w:jc w:val="left"/>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89"/>
        <w:gridCol w:w="1988"/>
        <w:gridCol w:w="1844"/>
        <w:gridCol w:w="1839"/>
        <w:gridCol w:w="1277"/>
        <w:gridCol w:w="144"/>
        <w:gridCol w:w="1277"/>
        <w:gridCol w:w="1270"/>
        <w:gridCol w:w="1904"/>
      </w:tblGrid>
      <w:tr>
        <w:trPr>
          <w:trHeight w:val="873" w:hRule="atLeast"/>
        </w:trPr>
        <w:tc>
          <w:tcPr>
            <w:tcW w:w="2689" w:type="dxa"/>
            <w:shd w:val="clear" w:color="auto" w:fill="D7D7D7"/>
          </w:tcPr>
          <w:p>
            <w:pPr>
              <w:pStyle w:val="TableParagraph"/>
              <w:spacing w:before="127"/>
              <w:rPr>
                <w:b/>
                <w:sz w:val="18"/>
              </w:rPr>
            </w:pPr>
          </w:p>
          <w:p>
            <w:pPr>
              <w:pStyle w:val="TableParagraph"/>
              <w:spacing w:before="1"/>
              <w:ind w:left="374"/>
              <w:rPr>
                <w:b/>
                <w:sz w:val="18"/>
              </w:rPr>
            </w:pPr>
            <w:r>
              <w:rPr>
                <w:b/>
                <w:sz w:val="18"/>
              </w:rPr>
              <w:t>Objetivos</w:t>
            </w:r>
            <w:r>
              <w:rPr>
                <w:b/>
                <w:spacing w:val="-5"/>
                <w:sz w:val="18"/>
              </w:rPr>
              <w:t> </w:t>
            </w:r>
            <w:r>
              <w:rPr>
                <w:b/>
                <w:sz w:val="18"/>
              </w:rPr>
              <w:t>/</w:t>
            </w:r>
            <w:r>
              <w:rPr>
                <w:b/>
                <w:spacing w:val="-2"/>
                <w:sz w:val="18"/>
              </w:rPr>
              <w:t> Resultados</w:t>
            </w:r>
          </w:p>
        </w:tc>
        <w:tc>
          <w:tcPr>
            <w:tcW w:w="1988" w:type="dxa"/>
            <w:shd w:val="clear" w:color="auto" w:fill="D7D7D7"/>
          </w:tcPr>
          <w:p>
            <w:pPr>
              <w:pStyle w:val="TableParagraph"/>
              <w:spacing w:before="127"/>
              <w:rPr>
                <w:b/>
                <w:sz w:val="18"/>
              </w:rPr>
            </w:pPr>
          </w:p>
          <w:p>
            <w:pPr>
              <w:pStyle w:val="TableParagraph"/>
              <w:spacing w:before="1"/>
              <w:ind w:left="20" w:right="5"/>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844" w:type="dxa"/>
            <w:shd w:val="clear" w:color="auto" w:fill="D7D7D7"/>
          </w:tcPr>
          <w:p>
            <w:pPr>
              <w:pStyle w:val="TableParagraph"/>
              <w:spacing w:before="22"/>
              <w:rPr>
                <w:b/>
                <w:sz w:val="18"/>
              </w:rPr>
            </w:pPr>
          </w:p>
          <w:p>
            <w:pPr>
              <w:pStyle w:val="TableParagraph"/>
              <w:ind w:left="720" w:hanging="553"/>
              <w:rPr>
                <w:b/>
                <w:sz w:val="18"/>
              </w:rPr>
            </w:pPr>
            <w:r>
              <w:rPr>
                <w:b/>
                <w:sz w:val="18"/>
              </w:rPr>
              <w:t>Meta</w:t>
            </w:r>
            <w:r>
              <w:rPr>
                <w:b/>
                <w:spacing w:val="-13"/>
                <w:sz w:val="18"/>
              </w:rPr>
              <w:t> </w:t>
            </w:r>
            <w:r>
              <w:rPr>
                <w:b/>
                <w:sz w:val="18"/>
              </w:rPr>
              <w:t>programada </w:t>
            </w:r>
            <w:r>
              <w:rPr>
                <w:b/>
                <w:spacing w:val="-4"/>
                <w:sz w:val="18"/>
              </w:rPr>
              <w:t>2026</w:t>
            </w:r>
          </w:p>
        </w:tc>
        <w:tc>
          <w:tcPr>
            <w:tcW w:w="1839" w:type="dxa"/>
            <w:shd w:val="clear" w:color="auto" w:fill="D7D7D7"/>
          </w:tcPr>
          <w:p>
            <w:pPr>
              <w:pStyle w:val="TableParagraph"/>
              <w:spacing w:before="127"/>
              <w:rPr>
                <w:b/>
                <w:sz w:val="18"/>
              </w:rPr>
            </w:pPr>
          </w:p>
          <w:p>
            <w:pPr>
              <w:pStyle w:val="TableParagraph"/>
              <w:spacing w:before="1"/>
              <w:ind w:left="513"/>
              <w:rPr>
                <w:b/>
                <w:sz w:val="18"/>
              </w:rPr>
            </w:pPr>
            <w:r>
              <w:rPr>
                <w:b/>
                <w:spacing w:val="-2"/>
                <w:sz w:val="18"/>
              </w:rPr>
              <w:t>Indicador</w:t>
            </w:r>
          </w:p>
        </w:tc>
        <w:tc>
          <w:tcPr>
            <w:tcW w:w="1421" w:type="dxa"/>
            <w:gridSpan w:val="2"/>
            <w:shd w:val="clear" w:color="auto" w:fill="D7D7D7"/>
          </w:tcPr>
          <w:p>
            <w:pPr>
              <w:pStyle w:val="TableParagraph"/>
              <w:spacing w:before="22"/>
              <w:rPr>
                <w:b/>
                <w:sz w:val="18"/>
              </w:rPr>
            </w:pPr>
          </w:p>
          <w:p>
            <w:pPr>
              <w:pStyle w:val="TableParagraph"/>
              <w:ind w:left="210" w:firstLine="57"/>
              <w:rPr>
                <w:b/>
                <w:sz w:val="18"/>
              </w:rPr>
            </w:pPr>
            <w:r>
              <w:rPr>
                <w:b/>
                <w:sz w:val="18"/>
              </w:rPr>
              <w:t>Medios de </w:t>
            </w:r>
            <w:r>
              <w:rPr>
                <w:b/>
                <w:spacing w:val="-2"/>
                <w:sz w:val="18"/>
              </w:rPr>
              <w:t>verificación</w:t>
            </w:r>
          </w:p>
        </w:tc>
        <w:tc>
          <w:tcPr>
            <w:tcW w:w="1277" w:type="dxa"/>
            <w:shd w:val="clear" w:color="auto" w:fill="D7D7D7"/>
          </w:tcPr>
          <w:p>
            <w:pPr>
              <w:pStyle w:val="TableParagraph"/>
              <w:spacing w:before="127"/>
              <w:rPr>
                <w:b/>
                <w:sz w:val="18"/>
              </w:rPr>
            </w:pPr>
          </w:p>
          <w:p>
            <w:pPr>
              <w:pStyle w:val="TableParagraph"/>
              <w:spacing w:before="1"/>
              <w:ind w:left="76"/>
              <w:rPr>
                <w:b/>
                <w:sz w:val="18"/>
              </w:rPr>
            </w:pPr>
            <w:r>
              <w:rPr>
                <w:b/>
                <w:spacing w:val="-2"/>
                <w:sz w:val="18"/>
              </w:rPr>
              <w:t>Responsable</w:t>
            </w:r>
          </w:p>
        </w:tc>
        <w:tc>
          <w:tcPr>
            <w:tcW w:w="1270" w:type="dxa"/>
            <w:shd w:val="clear" w:color="auto" w:fill="D7D7D7"/>
          </w:tcPr>
          <w:p>
            <w:pPr>
              <w:pStyle w:val="TableParagraph"/>
              <w:spacing w:before="22"/>
              <w:rPr>
                <w:b/>
                <w:sz w:val="18"/>
              </w:rPr>
            </w:pPr>
          </w:p>
          <w:p>
            <w:pPr>
              <w:pStyle w:val="TableParagraph"/>
              <w:ind w:left="234" w:hanging="149"/>
              <w:rPr>
                <w:b/>
                <w:sz w:val="18"/>
              </w:rPr>
            </w:pPr>
            <w:r>
              <w:rPr>
                <w:b/>
                <w:spacing w:val="-2"/>
                <w:sz w:val="18"/>
              </w:rPr>
              <w:t>Presupuesto asignado</w:t>
            </w:r>
          </w:p>
        </w:tc>
        <w:tc>
          <w:tcPr>
            <w:tcW w:w="1904" w:type="dxa"/>
            <w:shd w:val="clear" w:color="auto" w:fill="D7D7D7"/>
          </w:tcPr>
          <w:p>
            <w:pPr>
              <w:pStyle w:val="TableParagraph"/>
              <w:spacing w:before="127"/>
              <w:rPr>
                <w:b/>
                <w:sz w:val="18"/>
              </w:rPr>
            </w:pPr>
          </w:p>
          <w:p>
            <w:pPr>
              <w:pStyle w:val="TableParagraph"/>
              <w:spacing w:before="1"/>
              <w:ind w:left="194"/>
              <w:rPr>
                <w:b/>
                <w:sz w:val="18"/>
              </w:rPr>
            </w:pPr>
            <w:r>
              <w:rPr>
                <w:b/>
                <w:sz w:val="18"/>
              </w:rPr>
              <w:t>Riesgo</w:t>
            </w:r>
            <w:r>
              <w:rPr>
                <w:b/>
                <w:spacing w:val="-4"/>
                <w:sz w:val="18"/>
              </w:rPr>
              <w:t> </w:t>
            </w:r>
            <w:r>
              <w:rPr>
                <w:b/>
                <w:spacing w:val="-2"/>
                <w:sz w:val="18"/>
              </w:rPr>
              <w:t>Vinculado</w:t>
            </w:r>
          </w:p>
        </w:tc>
      </w:tr>
      <w:tr>
        <w:trPr>
          <w:trHeight w:val="768" w:hRule="atLeast"/>
        </w:trPr>
        <w:tc>
          <w:tcPr>
            <w:tcW w:w="14232" w:type="dxa"/>
            <w:gridSpan w:val="9"/>
            <w:shd w:val="clear" w:color="auto" w:fill="EFF8F9"/>
          </w:tcPr>
          <w:p>
            <w:pPr>
              <w:pStyle w:val="TableParagraph"/>
              <w:spacing w:before="177"/>
              <w:ind w:left="72"/>
              <w:rPr>
                <w:b/>
                <w:sz w:val="18"/>
              </w:rPr>
            </w:pPr>
            <w:r>
              <w:rPr>
                <w:b/>
                <w:sz w:val="18"/>
              </w:rPr>
              <w:t>Producto</w:t>
            </w:r>
            <w:r>
              <w:rPr>
                <w:b/>
                <w:spacing w:val="-4"/>
                <w:sz w:val="18"/>
              </w:rPr>
              <w:t> </w:t>
            </w:r>
            <w:r>
              <w:rPr>
                <w:b/>
                <w:sz w:val="18"/>
              </w:rPr>
              <w:t>PEC</w:t>
            </w:r>
            <w:r>
              <w:rPr>
                <w:b/>
                <w:spacing w:val="-5"/>
                <w:sz w:val="18"/>
              </w:rPr>
              <w:t> </w:t>
            </w:r>
            <w:r>
              <w:rPr>
                <w:b/>
                <w:sz w:val="18"/>
              </w:rPr>
              <w:t>3.3:</w:t>
            </w:r>
            <w:r>
              <w:rPr>
                <w:b/>
                <w:spacing w:val="-1"/>
                <w:sz w:val="18"/>
              </w:rPr>
              <w:t> </w:t>
            </w:r>
            <w:r>
              <w:rPr>
                <w:b/>
                <w:sz w:val="18"/>
              </w:rPr>
              <w:t>Modelo</w:t>
            </w:r>
            <w:r>
              <w:rPr>
                <w:b/>
                <w:spacing w:val="-4"/>
                <w:sz w:val="18"/>
              </w:rPr>
              <w:t> </w:t>
            </w:r>
            <w:r>
              <w:rPr>
                <w:b/>
                <w:sz w:val="18"/>
              </w:rPr>
              <w:t>de</w:t>
            </w:r>
            <w:r>
              <w:rPr>
                <w:b/>
                <w:spacing w:val="-3"/>
                <w:sz w:val="18"/>
              </w:rPr>
              <w:t> </w:t>
            </w:r>
            <w:r>
              <w:rPr>
                <w:b/>
                <w:sz w:val="18"/>
              </w:rPr>
              <w:t>gestión</w:t>
            </w:r>
            <w:r>
              <w:rPr>
                <w:b/>
                <w:spacing w:val="-4"/>
                <w:sz w:val="18"/>
              </w:rPr>
              <w:t> </w:t>
            </w:r>
            <w:r>
              <w:rPr>
                <w:b/>
                <w:sz w:val="18"/>
              </w:rPr>
              <w:t>de</w:t>
            </w:r>
            <w:r>
              <w:rPr>
                <w:b/>
                <w:spacing w:val="-3"/>
                <w:sz w:val="18"/>
              </w:rPr>
              <w:t> </w:t>
            </w:r>
            <w:r>
              <w:rPr>
                <w:b/>
                <w:sz w:val="18"/>
              </w:rPr>
              <w:t>servicios</w:t>
            </w:r>
            <w:r>
              <w:rPr>
                <w:b/>
                <w:spacing w:val="-3"/>
                <w:sz w:val="18"/>
              </w:rPr>
              <w:t> </w:t>
            </w:r>
            <w:r>
              <w:rPr>
                <w:b/>
                <w:sz w:val="18"/>
              </w:rPr>
              <w:t>operativos</w:t>
            </w:r>
            <w:r>
              <w:rPr>
                <w:b/>
                <w:spacing w:val="-3"/>
                <w:sz w:val="18"/>
              </w:rPr>
              <w:t> </w:t>
            </w:r>
            <w:r>
              <w:rPr>
                <w:b/>
                <w:sz w:val="18"/>
              </w:rPr>
              <w:t>adecuado a</w:t>
            </w:r>
            <w:r>
              <w:rPr>
                <w:b/>
                <w:spacing w:val="-3"/>
                <w:sz w:val="18"/>
              </w:rPr>
              <w:t> </w:t>
            </w:r>
            <w:r>
              <w:rPr>
                <w:b/>
                <w:sz w:val="18"/>
              </w:rPr>
              <w:t>las características y</w:t>
            </w:r>
            <w:r>
              <w:rPr>
                <w:b/>
                <w:spacing w:val="-3"/>
                <w:sz w:val="18"/>
              </w:rPr>
              <w:t> </w:t>
            </w:r>
            <w:r>
              <w:rPr>
                <w:b/>
                <w:sz w:val="18"/>
              </w:rPr>
              <w:t>dimensiones del</w:t>
            </w:r>
            <w:r>
              <w:rPr>
                <w:b/>
                <w:spacing w:val="-1"/>
                <w:sz w:val="18"/>
              </w:rPr>
              <w:t> </w:t>
            </w:r>
            <w:r>
              <w:rPr>
                <w:b/>
                <w:sz w:val="18"/>
              </w:rPr>
              <w:t>negocio, que contribuya</w:t>
            </w:r>
            <w:r>
              <w:rPr>
                <w:b/>
                <w:spacing w:val="-3"/>
                <w:sz w:val="18"/>
              </w:rPr>
              <w:t> </w:t>
            </w:r>
            <w:r>
              <w:rPr>
                <w:b/>
                <w:sz w:val="18"/>
              </w:rPr>
              <w:t>a</w:t>
            </w:r>
            <w:r>
              <w:rPr>
                <w:b/>
                <w:spacing w:val="-3"/>
                <w:sz w:val="18"/>
              </w:rPr>
              <w:t> </w:t>
            </w:r>
            <w:r>
              <w:rPr>
                <w:b/>
                <w:sz w:val="18"/>
              </w:rPr>
              <w:t>la</w:t>
            </w:r>
            <w:r>
              <w:rPr>
                <w:b/>
                <w:spacing w:val="-3"/>
                <w:sz w:val="18"/>
              </w:rPr>
              <w:t> </w:t>
            </w:r>
            <w:r>
              <w:rPr>
                <w:b/>
                <w:sz w:val="18"/>
              </w:rPr>
              <w:t>eficiencia</w:t>
            </w:r>
            <w:r>
              <w:rPr>
                <w:b/>
                <w:spacing w:val="-3"/>
                <w:sz w:val="18"/>
              </w:rPr>
              <w:t> </w:t>
            </w:r>
            <w:r>
              <w:rPr>
                <w:b/>
                <w:sz w:val="18"/>
              </w:rPr>
              <w:t>operativa</w:t>
            </w:r>
            <w:r>
              <w:rPr>
                <w:b/>
                <w:spacing w:val="-3"/>
                <w:sz w:val="18"/>
              </w:rPr>
              <w:t> </w:t>
            </w:r>
            <w:r>
              <w:rPr>
                <w:b/>
                <w:sz w:val="18"/>
              </w:rPr>
              <w:t>del mismo (E5 AE2 R1)</w:t>
            </w:r>
          </w:p>
        </w:tc>
      </w:tr>
      <w:tr>
        <w:trPr>
          <w:trHeight w:val="1655" w:hRule="atLeast"/>
        </w:trPr>
        <w:tc>
          <w:tcPr>
            <w:tcW w:w="2689" w:type="dxa"/>
          </w:tcPr>
          <w:p>
            <w:pPr>
              <w:pStyle w:val="TableParagraph"/>
              <w:spacing w:before="205"/>
              <w:ind w:left="72" w:right="100"/>
              <w:rPr>
                <w:sz w:val="18"/>
              </w:rPr>
            </w:pPr>
            <w:r>
              <w:rPr>
                <w:b/>
                <w:sz w:val="18"/>
              </w:rPr>
              <w:t>Actividad PEC 3.3.1: </w:t>
            </w:r>
            <w:r>
              <w:rPr>
                <w:sz w:val="18"/>
              </w:rPr>
              <w:t>Implementar el modelo y</w:t>
            </w:r>
            <w:r>
              <w:rPr>
                <w:spacing w:val="-2"/>
                <w:sz w:val="18"/>
              </w:rPr>
              <w:t> </w:t>
            </w:r>
            <w:r>
              <w:rPr>
                <w:sz w:val="18"/>
              </w:rPr>
              <w:t>flujo de</w:t>
            </w:r>
            <w:r>
              <w:rPr>
                <w:spacing w:val="-4"/>
                <w:sz w:val="18"/>
              </w:rPr>
              <w:t> </w:t>
            </w:r>
            <w:r>
              <w:rPr>
                <w:sz w:val="18"/>
              </w:rPr>
              <w:t>la</w:t>
            </w:r>
            <w:r>
              <w:rPr>
                <w:spacing w:val="-8"/>
                <w:sz w:val="18"/>
              </w:rPr>
              <w:t> </w:t>
            </w:r>
            <w:r>
              <w:rPr>
                <w:sz w:val="18"/>
              </w:rPr>
              <w:t>cadena</w:t>
            </w:r>
            <w:r>
              <w:rPr>
                <w:spacing w:val="-8"/>
                <w:sz w:val="18"/>
              </w:rPr>
              <w:t> </w:t>
            </w:r>
            <w:r>
              <w:rPr>
                <w:sz w:val="18"/>
              </w:rPr>
              <w:t>de</w:t>
            </w:r>
            <w:r>
              <w:rPr>
                <w:spacing w:val="-8"/>
                <w:sz w:val="18"/>
              </w:rPr>
              <w:t> </w:t>
            </w:r>
            <w:r>
              <w:rPr>
                <w:sz w:val="18"/>
              </w:rPr>
              <w:t>importación</w:t>
            </w:r>
            <w:r>
              <w:rPr>
                <w:spacing w:val="-8"/>
                <w:sz w:val="18"/>
              </w:rPr>
              <w:t> </w:t>
            </w:r>
            <w:r>
              <w:rPr>
                <w:sz w:val="18"/>
              </w:rPr>
              <w:t>y compra de mercancía, para mejorar los tiempos de</w:t>
            </w:r>
          </w:p>
          <w:p>
            <w:pPr>
              <w:pStyle w:val="TableParagraph"/>
              <w:spacing w:line="206" w:lineRule="exact"/>
              <w:ind w:left="72"/>
              <w:rPr>
                <w:sz w:val="18"/>
              </w:rPr>
            </w:pPr>
            <w:r>
              <w:rPr>
                <w:sz w:val="18"/>
              </w:rPr>
              <w:t>trazabilidad</w:t>
            </w:r>
            <w:r>
              <w:rPr>
                <w:spacing w:val="-10"/>
                <w:sz w:val="18"/>
              </w:rPr>
              <w:t> </w:t>
            </w:r>
            <w:r>
              <w:rPr>
                <w:sz w:val="18"/>
              </w:rPr>
              <w:t>de</w:t>
            </w:r>
            <w:r>
              <w:rPr>
                <w:spacing w:val="-13"/>
                <w:sz w:val="18"/>
              </w:rPr>
              <w:t> </w:t>
            </w:r>
            <w:r>
              <w:rPr>
                <w:sz w:val="18"/>
              </w:rPr>
              <w:t>mercancías</w:t>
            </w:r>
            <w:r>
              <w:rPr>
                <w:spacing w:val="-12"/>
                <w:sz w:val="18"/>
              </w:rPr>
              <w:t> </w:t>
            </w:r>
            <w:r>
              <w:rPr>
                <w:sz w:val="18"/>
              </w:rPr>
              <w:t>en </w:t>
            </w:r>
            <w:r>
              <w:rPr>
                <w:spacing w:val="-2"/>
                <w:sz w:val="18"/>
              </w:rPr>
              <w:t>bodega.</w:t>
            </w:r>
          </w:p>
        </w:tc>
        <w:tc>
          <w:tcPr>
            <w:tcW w:w="1988"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0" w:right="4"/>
              <w:jc w:val="center"/>
              <w:rPr>
                <w:sz w:val="18"/>
              </w:rPr>
            </w:pPr>
            <w:r>
              <w:rPr>
                <w:spacing w:val="-5"/>
                <w:sz w:val="18"/>
              </w:rPr>
              <w:t>N/D</w:t>
            </w:r>
          </w:p>
        </w:tc>
        <w:tc>
          <w:tcPr>
            <w:tcW w:w="1844" w:type="dxa"/>
          </w:tcPr>
          <w:p>
            <w:pPr>
              <w:pStyle w:val="TableParagraph"/>
              <w:rPr>
                <w:b/>
                <w:sz w:val="18"/>
              </w:rPr>
            </w:pPr>
          </w:p>
          <w:p>
            <w:pPr>
              <w:pStyle w:val="TableParagraph"/>
              <w:spacing w:before="103"/>
              <w:rPr>
                <w:b/>
                <w:sz w:val="18"/>
              </w:rPr>
            </w:pPr>
          </w:p>
          <w:p>
            <w:pPr>
              <w:pStyle w:val="TableParagraph"/>
              <w:ind w:left="66" w:right="56"/>
              <w:jc w:val="both"/>
              <w:rPr>
                <w:sz w:val="18"/>
              </w:rPr>
            </w:pPr>
            <w:r>
              <w:rPr>
                <w:sz w:val="18"/>
              </w:rPr>
              <w:t>100% del modelo </w:t>
            </w:r>
            <w:r>
              <w:rPr>
                <w:sz w:val="18"/>
              </w:rPr>
              <w:t>de gestión y Flujo de </w:t>
            </w:r>
            <w:r>
              <w:rPr>
                <w:spacing w:val="-2"/>
                <w:sz w:val="18"/>
              </w:rPr>
              <w:t>trazabilidad</w:t>
            </w:r>
          </w:p>
        </w:tc>
        <w:tc>
          <w:tcPr>
            <w:tcW w:w="1839" w:type="dxa"/>
          </w:tcPr>
          <w:p>
            <w:pPr>
              <w:pStyle w:val="TableParagraph"/>
              <w:rPr>
                <w:b/>
                <w:sz w:val="18"/>
              </w:rPr>
            </w:pPr>
          </w:p>
          <w:p>
            <w:pPr>
              <w:pStyle w:val="TableParagraph"/>
              <w:spacing w:before="103"/>
              <w:rPr>
                <w:b/>
                <w:sz w:val="18"/>
              </w:rPr>
            </w:pPr>
          </w:p>
          <w:p>
            <w:pPr>
              <w:pStyle w:val="TableParagraph"/>
              <w:ind w:left="66" w:right="123"/>
              <w:rPr>
                <w:sz w:val="18"/>
              </w:rPr>
            </w:pPr>
            <w:r>
              <w:rPr>
                <w:sz w:val="18"/>
              </w:rPr>
              <w:t>Porcentaje de avance en la implementación</w:t>
            </w:r>
            <w:r>
              <w:rPr>
                <w:spacing w:val="-13"/>
                <w:sz w:val="18"/>
              </w:rPr>
              <w:t> </w:t>
            </w:r>
            <w:r>
              <w:rPr>
                <w:sz w:val="18"/>
              </w:rPr>
              <w:t>del </w:t>
            </w:r>
            <w:r>
              <w:rPr>
                <w:spacing w:val="-2"/>
                <w:sz w:val="18"/>
              </w:rPr>
              <w:t>modelo</w:t>
            </w:r>
          </w:p>
        </w:tc>
        <w:tc>
          <w:tcPr>
            <w:tcW w:w="1421" w:type="dxa"/>
            <w:gridSpan w:val="2"/>
          </w:tcPr>
          <w:p>
            <w:pPr>
              <w:pStyle w:val="TableParagraph"/>
              <w:rPr>
                <w:b/>
                <w:sz w:val="18"/>
              </w:rPr>
            </w:pPr>
          </w:p>
          <w:p>
            <w:pPr>
              <w:pStyle w:val="TableParagraph"/>
              <w:spacing w:before="204"/>
              <w:rPr>
                <w:b/>
                <w:sz w:val="18"/>
              </w:rPr>
            </w:pPr>
          </w:p>
          <w:p>
            <w:pPr>
              <w:pStyle w:val="TableParagraph"/>
              <w:ind w:left="71"/>
              <w:rPr>
                <w:sz w:val="18"/>
              </w:rPr>
            </w:pPr>
            <w:r>
              <w:rPr>
                <w:spacing w:val="-2"/>
                <w:sz w:val="18"/>
              </w:rPr>
              <w:t>Informe Trimestral</w:t>
            </w:r>
          </w:p>
        </w:tc>
        <w:tc>
          <w:tcPr>
            <w:tcW w:w="1277" w:type="dxa"/>
          </w:tcPr>
          <w:p>
            <w:pPr>
              <w:pStyle w:val="TableParagraph"/>
              <w:ind w:left="71" w:right="61"/>
              <w:rPr>
                <w:sz w:val="18"/>
              </w:rPr>
            </w:pPr>
            <w:r>
              <w:rPr>
                <w:spacing w:val="-2"/>
                <w:sz w:val="18"/>
              </w:rPr>
              <w:t>Administració </w:t>
            </w:r>
            <w:r>
              <w:rPr>
                <w:sz w:val="18"/>
              </w:rPr>
              <w:t>n General Jefatura de Mercadeo y Ventas y Jefatura de Logística e</w:t>
            </w:r>
          </w:p>
          <w:p>
            <w:pPr>
              <w:pStyle w:val="TableParagraph"/>
              <w:spacing w:line="187" w:lineRule="exact"/>
              <w:ind w:left="71"/>
              <w:rPr>
                <w:sz w:val="18"/>
              </w:rPr>
            </w:pPr>
            <w:r>
              <w:rPr>
                <w:spacing w:val="-2"/>
                <w:sz w:val="18"/>
              </w:rPr>
              <w:t>Importaciones</w:t>
            </w:r>
          </w:p>
        </w:tc>
        <w:tc>
          <w:tcPr>
            <w:tcW w:w="1270" w:type="dxa"/>
          </w:tcPr>
          <w:p>
            <w:pPr>
              <w:pStyle w:val="TableParagraph"/>
              <w:rPr>
                <w:rFonts w:ascii="Times New Roman"/>
                <w:sz w:val="18"/>
              </w:rPr>
            </w:pPr>
          </w:p>
        </w:tc>
        <w:tc>
          <w:tcPr>
            <w:tcW w:w="1904"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ind w:left="69" w:right="79"/>
              <w:rPr>
                <w:sz w:val="18"/>
              </w:rPr>
            </w:pPr>
            <w:r>
              <w:rPr>
                <w:sz w:val="18"/>
              </w:rPr>
              <w:t>Evento: Se genere una</w:t>
            </w:r>
            <w:r>
              <w:rPr>
                <w:spacing w:val="-11"/>
                <w:sz w:val="18"/>
              </w:rPr>
              <w:t> </w:t>
            </w:r>
            <w:r>
              <w:rPr>
                <w:sz w:val="18"/>
              </w:rPr>
              <w:t>disminución</w:t>
            </w:r>
            <w:r>
              <w:rPr>
                <w:spacing w:val="-12"/>
                <w:sz w:val="18"/>
              </w:rPr>
              <w:t> </w:t>
            </w:r>
            <w:r>
              <w:rPr>
                <w:sz w:val="18"/>
              </w:rPr>
              <w:t>en</w:t>
            </w:r>
            <w:r>
              <w:rPr>
                <w:spacing w:val="-13"/>
                <w:sz w:val="18"/>
              </w:rPr>
              <w:t> </w:t>
            </w:r>
            <w:r>
              <w:rPr>
                <w:sz w:val="18"/>
              </w:rPr>
              <w:t>la eficiencia de los procesos de EC ante una estructura organizativa que no se ajusta a la dinámica del negocio para el desarrollo de las tareas.</w:t>
            </w:r>
          </w:p>
        </w:tc>
      </w:tr>
      <w:tr>
        <w:trPr>
          <w:trHeight w:val="2482" w:hRule="atLeast"/>
        </w:trPr>
        <w:tc>
          <w:tcPr>
            <w:tcW w:w="2689" w:type="dxa"/>
          </w:tcPr>
          <w:p>
            <w:pPr>
              <w:pStyle w:val="TableParagraph"/>
              <w:spacing w:line="207" w:lineRule="exact" w:before="206"/>
              <w:ind w:left="72"/>
              <w:rPr>
                <w:b/>
                <w:sz w:val="18"/>
              </w:rPr>
            </w:pPr>
            <w:r>
              <w:rPr>
                <w:b/>
                <w:sz w:val="18"/>
              </w:rPr>
              <w:t>Actividad</w:t>
            </w:r>
            <w:r>
              <w:rPr>
                <w:b/>
                <w:spacing w:val="-6"/>
                <w:sz w:val="18"/>
              </w:rPr>
              <w:t> </w:t>
            </w:r>
            <w:r>
              <w:rPr>
                <w:b/>
                <w:sz w:val="18"/>
              </w:rPr>
              <w:t>PEC</w:t>
            </w:r>
            <w:r>
              <w:rPr>
                <w:b/>
                <w:spacing w:val="-1"/>
                <w:sz w:val="18"/>
              </w:rPr>
              <w:t> </w:t>
            </w:r>
            <w:r>
              <w:rPr>
                <w:b/>
                <w:spacing w:val="-2"/>
                <w:sz w:val="18"/>
              </w:rPr>
              <w:t>3.3.2:</w:t>
            </w:r>
          </w:p>
          <w:p>
            <w:pPr>
              <w:pStyle w:val="TableParagraph"/>
              <w:ind w:left="72" w:right="65"/>
              <w:rPr>
                <w:sz w:val="18"/>
              </w:rPr>
            </w:pPr>
            <w:r>
              <w:rPr>
                <w:sz w:val="18"/>
              </w:rPr>
              <w:t>Controlar</w:t>
            </w:r>
            <w:r>
              <w:rPr>
                <w:spacing w:val="-8"/>
                <w:sz w:val="18"/>
              </w:rPr>
              <w:t> </w:t>
            </w:r>
            <w:r>
              <w:rPr>
                <w:sz w:val="18"/>
              </w:rPr>
              <w:t>el</w:t>
            </w:r>
            <w:r>
              <w:rPr>
                <w:spacing w:val="-7"/>
                <w:sz w:val="18"/>
              </w:rPr>
              <w:t> </w:t>
            </w:r>
            <w:r>
              <w:rPr>
                <w:sz w:val="18"/>
              </w:rPr>
              <w:t>nivel</w:t>
            </w:r>
            <w:r>
              <w:rPr>
                <w:spacing w:val="-7"/>
                <w:sz w:val="18"/>
              </w:rPr>
              <w:t> </w:t>
            </w:r>
            <w:r>
              <w:rPr>
                <w:sz w:val="18"/>
              </w:rPr>
              <w:t>de</w:t>
            </w:r>
            <w:r>
              <w:rPr>
                <w:spacing w:val="-10"/>
                <w:sz w:val="18"/>
              </w:rPr>
              <w:t> </w:t>
            </w:r>
            <w:r>
              <w:rPr>
                <w:sz w:val="18"/>
              </w:rPr>
              <w:t>rotación</w:t>
            </w:r>
            <w:r>
              <w:rPr>
                <w:spacing w:val="-6"/>
                <w:sz w:val="18"/>
              </w:rPr>
              <w:t> </w:t>
            </w:r>
            <w:r>
              <w:rPr>
                <w:sz w:val="18"/>
              </w:rPr>
              <w:t>de la mercancía tanto en la</w:t>
            </w:r>
            <w:r>
              <w:rPr>
                <w:spacing w:val="40"/>
                <w:sz w:val="18"/>
              </w:rPr>
              <w:t> </w:t>
            </w:r>
            <w:r>
              <w:rPr>
                <w:sz w:val="18"/>
              </w:rPr>
              <w:t>bodega como en las Tiendas Libres y aplicar estrategias comerciales</w:t>
            </w:r>
            <w:r>
              <w:rPr>
                <w:spacing w:val="-10"/>
                <w:sz w:val="18"/>
              </w:rPr>
              <w:t> </w:t>
            </w:r>
            <w:r>
              <w:rPr>
                <w:sz w:val="18"/>
              </w:rPr>
              <w:t>para</w:t>
            </w:r>
            <w:r>
              <w:rPr>
                <w:spacing w:val="-10"/>
                <w:sz w:val="18"/>
              </w:rPr>
              <w:t> </w:t>
            </w:r>
            <w:r>
              <w:rPr>
                <w:sz w:val="18"/>
              </w:rPr>
              <w:t>mantener</w:t>
            </w:r>
            <w:r>
              <w:rPr>
                <w:spacing w:val="-5"/>
                <w:sz w:val="18"/>
              </w:rPr>
              <w:t> </w:t>
            </w:r>
            <w:r>
              <w:rPr>
                <w:sz w:val="18"/>
              </w:rPr>
              <w:t>una rotación no superior a los 4,5 meses para los productos importados y no superiores 1,5</w:t>
            </w:r>
          </w:p>
          <w:p>
            <w:pPr>
              <w:pStyle w:val="TableParagraph"/>
              <w:spacing w:line="206" w:lineRule="exact"/>
              <w:ind w:left="72" w:right="100"/>
              <w:rPr>
                <w:sz w:val="18"/>
              </w:rPr>
            </w:pPr>
            <w:r>
              <w:rPr>
                <w:sz w:val="18"/>
              </w:rPr>
              <w:t>mes</w:t>
            </w:r>
            <w:r>
              <w:rPr>
                <w:spacing w:val="-11"/>
                <w:sz w:val="18"/>
              </w:rPr>
              <w:t> </w:t>
            </w:r>
            <w:r>
              <w:rPr>
                <w:sz w:val="18"/>
              </w:rPr>
              <w:t>en</w:t>
            </w:r>
            <w:r>
              <w:rPr>
                <w:spacing w:val="-11"/>
                <w:sz w:val="18"/>
              </w:rPr>
              <w:t> </w:t>
            </w:r>
            <w:r>
              <w:rPr>
                <w:sz w:val="18"/>
              </w:rPr>
              <w:t>productos</w:t>
            </w:r>
            <w:r>
              <w:rPr>
                <w:spacing w:val="-11"/>
                <w:sz w:val="18"/>
              </w:rPr>
              <w:t> </w:t>
            </w:r>
            <w:r>
              <w:rPr>
                <w:sz w:val="18"/>
              </w:rPr>
              <w:t>nacionales (en bodega).</w:t>
            </w:r>
          </w:p>
        </w:tc>
        <w:tc>
          <w:tcPr>
            <w:tcW w:w="198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0" w:right="4"/>
              <w:jc w:val="center"/>
              <w:rPr>
                <w:sz w:val="18"/>
              </w:rPr>
            </w:pPr>
            <w:r>
              <w:rPr>
                <w:spacing w:val="-5"/>
                <w:sz w:val="18"/>
              </w:rPr>
              <w:t>N/D</w:t>
            </w:r>
          </w:p>
        </w:tc>
        <w:tc>
          <w:tcPr>
            <w:tcW w:w="1844" w:type="dxa"/>
          </w:tcPr>
          <w:p>
            <w:pPr>
              <w:pStyle w:val="TableParagraph"/>
              <w:rPr>
                <w:b/>
                <w:sz w:val="18"/>
              </w:rPr>
            </w:pPr>
          </w:p>
          <w:p>
            <w:pPr>
              <w:pStyle w:val="TableParagraph"/>
              <w:rPr>
                <w:b/>
                <w:sz w:val="18"/>
              </w:rPr>
            </w:pPr>
          </w:p>
          <w:p>
            <w:pPr>
              <w:pStyle w:val="TableParagraph"/>
              <w:spacing w:before="204"/>
              <w:rPr>
                <w:b/>
                <w:sz w:val="18"/>
              </w:rPr>
            </w:pPr>
          </w:p>
          <w:p>
            <w:pPr>
              <w:pStyle w:val="TableParagraph"/>
              <w:spacing w:line="242" w:lineRule="auto"/>
              <w:ind w:left="66" w:right="56"/>
              <w:jc w:val="both"/>
              <w:rPr>
                <w:sz w:val="18"/>
              </w:rPr>
            </w:pPr>
            <w:r>
              <w:rPr>
                <w:sz w:val="18"/>
              </w:rPr>
              <w:t>4,5 meses </w:t>
            </w:r>
            <w:r>
              <w:rPr>
                <w:sz w:val="18"/>
              </w:rPr>
              <w:t>para mercancía</w:t>
            </w:r>
            <w:r>
              <w:rPr>
                <w:spacing w:val="-13"/>
                <w:sz w:val="18"/>
              </w:rPr>
              <w:t> </w:t>
            </w:r>
            <w:r>
              <w:rPr>
                <w:sz w:val="18"/>
              </w:rPr>
              <w:t>importada y 1, 5 meses para mercancía nacional</w:t>
            </w:r>
          </w:p>
        </w:tc>
        <w:tc>
          <w:tcPr>
            <w:tcW w:w="18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66" w:right="123"/>
              <w:rPr>
                <w:sz w:val="18"/>
              </w:rPr>
            </w:pPr>
            <w:r>
              <w:rPr>
                <w:sz w:val="18"/>
              </w:rPr>
              <w:t>índice</w:t>
            </w:r>
            <w:r>
              <w:rPr>
                <w:spacing w:val="-15"/>
                <w:sz w:val="18"/>
              </w:rPr>
              <w:t> </w:t>
            </w:r>
            <w:r>
              <w:rPr>
                <w:sz w:val="18"/>
              </w:rPr>
              <w:t>de</w:t>
            </w:r>
            <w:r>
              <w:rPr>
                <w:spacing w:val="-12"/>
                <w:sz w:val="18"/>
              </w:rPr>
              <w:t> </w:t>
            </w:r>
            <w:r>
              <w:rPr>
                <w:sz w:val="18"/>
              </w:rPr>
              <w:t>Rotación de mercancía</w:t>
            </w:r>
          </w:p>
        </w:tc>
        <w:tc>
          <w:tcPr>
            <w:tcW w:w="1421" w:type="dxa"/>
            <w:gridSpan w:val="2"/>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71"/>
              <w:rPr>
                <w:sz w:val="18"/>
              </w:rPr>
            </w:pPr>
            <w:r>
              <w:rPr>
                <w:spacing w:val="-2"/>
                <w:sz w:val="18"/>
              </w:rPr>
              <w:t>Informe Trimestral</w:t>
            </w:r>
          </w:p>
        </w:tc>
        <w:tc>
          <w:tcPr>
            <w:tcW w:w="1277" w:type="dxa"/>
          </w:tcPr>
          <w:p>
            <w:pPr>
              <w:pStyle w:val="TableParagraph"/>
              <w:spacing w:before="205"/>
              <w:rPr>
                <w:b/>
                <w:sz w:val="18"/>
              </w:rPr>
            </w:pPr>
          </w:p>
          <w:p>
            <w:pPr>
              <w:pStyle w:val="TableParagraph"/>
              <w:ind w:left="71" w:right="61"/>
              <w:rPr>
                <w:sz w:val="18"/>
              </w:rPr>
            </w:pPr>
            <w:r>
              <w:rPr>
                <w:spacing w:val="-2"/>
                <w:sz w:val="18"/>
              </w:rPr>
              <w:t>Administració </w:t>
            </w:r>
            <w:r>
              <w:rPr>
                <w:sz w:val="18"/>
              </w:rPr>
              <w:t>n General Jefatura de Mercadeo y Ventas y Jefatura de Logística e </w:t>
            </w:r>
            <w:r>
              <w:rPr>
                <w:spacing w:val="-2"/>
                <w:sz w:val="18"/>
              </w:rPr>
              <w:t>Importaciones</w:t>
            </w:r>
          </w:p>
        </w:tc>
        <w:tc>
          <w:tcPr>
            <w:tcW w:w="1270" w:type="dxa"/>
          </w:tcPr>
          <w:p>
            <w:pPr>
              <w:pStyle w:val="TableParagraph"/>
              <w:rPr>
                <w:rFonts w:ascii="Times New Roman"/>
                <w:sz w:val="18"/>
              </w:rPr>
            </w:pPr>
          </w:p>
        </w:tc>
        <w:tc>
          <w:tcPr>
            <w:tcW w:w="1904" w:type="dxa"/>
            <w:vMerge/>
            <w:tcBorders>
              <w:top w:val="nil"/>
            </w:tcBorders>
          </w:tcPr>
          <w:p>
            <w:pPr>
              <w:rPr>
                <w:sz w:val="2"/>
                <w:szCs w:val="2"/>
              </w:rPr>
            </w:pPr>
          </w:p>
        </w:tc>
      </w:tr>
      <w:tr>
        <w:trPr>
          <w:trHeight w:val="691" w:hRule="atLeast"/>
        </w:trPr>
        <w:tc>
          <w:tcPr>
            <w:tcW w:w="14232" w:type="dxa"/>
            <w:gridSpan w:val="9"/>
            <w:shd w:val="clear" w:color="auto" w:fill="EFF8F9"/>
          </w:tcPr>
          <w:p>
            <w:pPr>
              <w:pStyle w:val="TableParagraph"/>
              <w:spacing w:before="138"/>
              <w:ind w:left="72" w:right="180"/>
              <w:rPr>
                <w:b/>
                <w:sz w:val="18"/>
              </w:rPr>
            </w:pPr>
            <w:r>
              <w:rPr>
                <w:b/>
                <w:sz w:val="18"/>
              </w:rPr>
              <w:t>Producto</w:t>
            </w:r>
            <w:r>
              <w:rPr>
                <w:b/>
                <w:spacing w:val="-5"/>
                <w:sz w:val="18"/>
              </w:rPr>
              <w:t> </w:t>
            </w:r>
            <w:r>
              <w:rPr>
                <w:b/>
                <w:sz w:val="18"/>
              </w:rPr>
              <w:t>PEC</w:t>
            </w:r>
            <w:r>
              <w:rPr>
                <w:b/>
                <w:spacing w:val="-6"/>
                <w:sz w:val="18"/>
              </w:rPr>
              <w:t> </w:t>
            </w:r>
            <w:r>
              <w:rPr>
                <w:b/>
                <w:sz w:val="18"/>
              </w:rPr>
              <w:t>3.4: Estructura</w:t>
            </w:r>
            <w:r>
              <w:rPr>
                <w:b/>
                <w:spacing w:val="-2"/>
                <w:sz w:val="18"/>
              </w:rPr>
              <w:t> </w:t>
            </w:r>
            <w:r>
              <w:rPr>
                <w:b/>
                <w:sz w:val="18"/>
              </w:rPr>
              <w:t>organizacional</w:t>
            </w:r>
            <w:r>
              <w:rPr>
                <w:b/>
                <w:spacing w:val="-2"/>
                <w:sz w:val="18"/>
              </w:rPr>
              <w:t> </w:t>
            </w:r>
            <w:r>
              <w:rPr>
                <w:b/>
                <w:sz w:val="18"/>
              </w:rPr>
              <w:t>de Empresas Comerciales analizada,</w:t>
            </w:r>
            <w:r>
              <w:rPr>
                <w:b/>
                <w:spacing w:val="-2"/>
                <w:sz w:val="18"/>
              </w:rPr>
              <w:t> </w:t>
            </w:r>
            <w:r>
              <w:rPr>
                <w:b/>
                <w:sz w:val="18"/>
              </w:rPr>
              <w:t>que</w:t>
            </w:r>
            <w:r>
              <w:rPr>
                <w:b/>
                <w:spacing w:val="-4"/>
                <w:sz w:val="18"/>
              </w:rPr>
              <w:t> </w:t>
            </w:r>
            <w:r>
              <w:rPr>
                <w:b/>
                <w:sz w:val="18"/>
              </w:rPr>
              <w:t>contribuya</w:t>
            </w:r>
            <w:r>
              <w:rPr>
                <w:b/>
                <w:spacing w:val="-4"/>
                <w:sz w:val="18"/>
              </w:rPr>
              <w:t> </w:t>
            </w:r>
            <w:r>
              <w:rPr>
                <w:b/>
                <w:sz w:val="18"/>
              </w:rPr>
              <w:t>a</w:t>
            </w:r>
            <w:r>
              <w:rPr>
                <w:b/>
                <w:spacing w:val="-4"/>
                <w:sz w:val="18"/>
              </w:rPr>
              <w:t> </w:t>
            </w:r>
            <w:r>
              <w:rPr>
                <w:b/>
                <w:sz w:val="18"/>
              </w:rPr>
              <w:t>mejorar</w:t>
            </w:r>
            <w:r>
              <w:rPr>
                <w:b/>
                <w:spacing w:val="-3"/>
                <w:sz w:val="18"/>
              </w:rPr>
              <w:t> </w:t>
            </w:r>
            <w:r>
              <w:rPr>
                <w:b/>
                <w:sz w:val="18"/>
              </w:rPr>
              <w:t>las</w:t>
            </w:r>
            <w:r>
              <w:rPr>
                <w:b/>
                <w:spacing w:val="-4"/>
                <w:sz w:val="18"/>
              </w:rPr>
              <w:t> </w:t>
            </w:r>
            <w:r>
              <w:rPr>
                <w:b/>
                <w:sz w:val="18"/>
              </w:rPr>
              <w:t>capacidades de</w:t>
            </w:r>
            <w:r>
              <w:rPr>
                <w:b/>
                <w:spacing w:val="-9"/>
                <w:sz w:val="18"/>
              </w:rPr>
              <w:t> </w:t>
            </w:r>
            <w:r>
              <w:rPr>
                <w:b/>
                <w:sz w:val="18"/>
              </w:rPr>
              <w:t>funcionamiento</w:t>
            </w:r>
            <w:r>
              <w:rPr>
                <w:b/>
                <w:spacing w:val="-5"/>
                <w:sz w:val="18"/>
              </w:rPr>
              <w:t> </w:t>
            </w:r>
            <w:r>
              <w:rPr>
                <w:b/>
                <w:sz w:val="18"/>
              </w:rPr>
              <w:t>del negocio</w:t>
            </w:r>
            <w:r>
              <w:rPr>
                <w:b/>
                <w:spacing w:val="-5"/>
                <w:sz w:val="18"/>
              </w:rPr>
              <w:t> </w:t>
            </w:r>
            <w:r>
              <w:rPr>
                <w:b/>
                <w:sz w:val="18"/>
              </w:rPr>
              <w:t>(E5 AE2 R2)</w:t>
            </w:r>
          </w:p>
        </w:tc>
      </w:tr>
      <w:tr>
        <w:trPr>
          <w:trHeight w:val="2074" w:hRule="atLeast"/>
        </w:trPr>
        <w:tc>
          <w:tcPr>
            <w:tcW w:w="2689" w:type="dxa"/>
          </w:tcPr>
          <w:p>
            <w:pPr>
              <w:pStyle w:val="TableParagraph"/>
              <w:rPr>
                <w:b/>
                <w:sz w:val="18"/>
              </w:rPr>
            </w:pPr>
          </w:p>
          <w:p>
            <w:pPr>
              <w:pStyle w:val="TableParagraph"/>
              <w:spacing w:before="3"/>
              <w:rPr>
                <w:b/>
                <w:sz w:val="18"/>
              </w:rPr>
            </w:pPr>
          </w:p>
          <w:p>
            <w:pPr>
              <w:pStyle w:val="TableParagraph"/>
              <w:ind w:left="72" w:right="60"/>
              <w:rPr>
                <w:sz w:val="18"/>
              </w:rPr>
            </w:pPr>
            <w:r>
              <w:rPr>
                <w:b/>
                <w:sz w:val="18"/>
              </w:rPr>
              <w:t>Actividad PEC 3.4.1: </w:t>
            </w:r>
            <w:r>
              <w:rPr>
                <w:sz w:val="18"/>
              </w:rPr>
              <w:t>Atender los requerimientos solicitados por</w:t>
            </w:r>
            <w:r>
              <w:rPr>
                <w:spacing w:val="-12"/>
                <w:sz w:val="18"/>
              </w:rPr>
              <w:t> </w:t>
            </w:r>
            <w:r>
              <w:rPr>
                <w:sz w:val="18"/>
              </w:rPr>
              <w:t>planificación</w:t>
            </w:r>
            <w:r>
              <w:rPr>
                <w:spacing w:val="-13"/>
                <w:sz w:val="18"/>
              </w:rPr>
              <w:t> </w:t>
            </w:r>
            <w:r>
              <w:rPr>
                <w:sz w:val="18"/>
              </w:rPr>
              <w:t>institucional</w:t>
            </w:r>
            <w:r>
              <w:rPr>
                <w:spacing w:val="-11"/>
                <w:sz w:val="18"/>
              </w:rPr>
              <w:t> </w:t>
            </w:r>
            <w:r>
              <w:rPr>
                <w:sz w:val="18"/>
              </w:rPr>
              <w:t>en la elaboración del</w:t>
            </w:r>
            <w:r>
              <w:rPr>
                <w:spacing w:val="-1"/>
                <w:sz w:val="18"/>
              </w:rPr>
              <w:t> </w:t>
            </w:r>
            <w:r>
              <w:rPr>
                <w:sz w:val="18"/>
              </w:rPr>
              <w:t>estudio de la estructura de Empresas </w:t>
            </w:r>
            <w:r>
              <w:rPr>
                <w:spacing w:val="-2"/>
                <w:sz w:val="18"/>
              </w:rPr>
              <w:t>Comerciales</w:t>
            </w:r>
          </w:p>
        </w:tc>
        <w:tc>
          <w:tcPr>
            <w:tcW w:w="198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0" w:right="4"/>
              <w:jc w:val="center"/>
              <w:rPr>
                <w:sz w:val="18"/>
              </w:rPr>
            </w:pPr>
            <w:r>
              <w:rPr>
                <w:spacing w:val="-5"/>
                <w:sz w:val="18"/>
              </w:rPr>
              <w:t>N/D</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 w:right="7"/>
              <w:jc w:val="center"/>
              <w:rPr>
                <w:sz w:val="18"/>
              </w:rPr>
            </w:pPr>
            <w:r>
              <w:rPr>
                <w:spacing w:val="-4"/>
                <w:sz w:val="18"/>
              </w:rPr>
              <w:t>100%</w:t>
            </w:r>
          </w:p>
        </w:tc>
        <w:tc>
          <w:tcPr>
            <w:tcW w:w="1839" w:type="dxa"/>
          </w:tcPr>
          <w:p>
            <w:pPr>
              <w:pStyle w:val="TableParagraph"/>
              <w:rPr>
                <w:b/>
                <w:sz w:val="18"/>
              </w:rPr>
            </w:pPr>
          </w:p>
          <w:p>
            <w:pPr>
              <w:pStyle w:val="TableParagraph"/>
              <w:spacing w:before="104"/>
              <w:rPr>
                <w:b/>
                <w:sz w:val="18"/>
              </w:rPr>
            </w:pPr>
          </w:p>
          <w:p>
            <w:pPr>
              <w:pStyle w:val="TableParagraph"/>
              <w:ind w:left="66"/>
              <w:rPr>
                <w:sz w:val="18"/>
              </w:rPr>
            </w:pPr>
            <w:r>
              <w:rPr>
                <w:sz w:val="18"/>
              </w:rPr>
              <w:t>Porcentaje de </w:t>
            </w:r>
            <w:r>
              <w:rPr>
                <w:spacing w:val="-2"/>
                <w:sz w:val="18"/>
              </w:rPr>
              <w:t>requerimientos </w:t>
            </w:r>
            <w:r>
              <w:rPr>
                <w:sz w:val="18"/>
              </w:rPr>
              <w:t>atendidos para la elaboración del estudio</w:t>
            </w:r>
            <w:r>
              <w:rPr>
                <w:spacing w:val="-15"/>
                <w:sz w:val="18"/>
              </w:rPr>
              <w:t> </w:t>
            </w:r>
            <w:r>
              <w:rPr>
                <w:sz w:val="18"/>
              </w:rPr>
              <w:t>de</w:t>
            </w:r>
            <w:r>
              <w:rPr>
                <w:spacing w:val="-12"/>
                <w:sz w:val="18"/>
              </w:rPr>
              <w:t> </w:t>
            </w:r>
            <w:r>
              <w:rPr>
                <w:sz w:val="18"/>
              </w:rPr>
              <w:t>estructura</w:t>
            </w:r>
          </w:p>
        </w:tc>
        <w:tc>
          <w:tcPr>
            <w:tcW w:w="1277" w:type="dxa"/>
          </w:tcPr>
          <w:p>
            <w:pPr>
              <w:pStyle w:val="TableParagraph"/>
              <w:rPr>
                <w:b/>
                <w:sz w:val="18"/>
              </w:rPr>
            </w:pPr>
          </w:p>
          <w:p>
            <w:pPr>
              <w:pStyle w:val="TableParagraph"/>
              <w:spacing w:before="104"/>
              <w:rPr>
                <w:b/>
                <w:sz w:val="18"/>
              </w:rPr>
            </w:pPr>
          </w:p>
          <w:p>
            <w:pPr>
              <w:pStyle w:val="TableParagraph"/>
              <w:ind w:left="71" w:right="118"/>
              <w:rPr>
                <w:sz w:val="18"/>
              </w:rPr>
            </w:pPr>
            <w:r>
              <w:rPr>
                <w:sz w:val="18"/>
              </w:rPr>
              <w:t>Estudio de Estructura</w:t>
            </w:r>
            <w:r>
              <w:rPr>
                <w:spacing w:val="-13"/>
                <w:sz w:val="18"/>
              </w:rPr>
              <w:t> </w:t>
            </w:r>
            <w:r>
              <w:rPr>
                <w:sz w:val="18"/>
              </w:rPr>
              <w:t>de </w:t>
            </w:r>
            <w:r>
              <w:rPr>
                <w:spacing w:val="-2"/>
                <w:sz w:val="18"/>
              </w:rPr>
              <w:t>Empresas Comerciales elaborado</w:t>
            </w:r>
          </w:p>
        </w:tc>
        <w:tc>
          <w:tcPr>
            <w:tcW w:w="1421" w:type="dxa"/>
            <w:gridSpan w:val="2"/>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66"/>
              <w:rPr>
                <w:sz w:val="18"/>
              </w:rPr>
            </w:pPr>
            <w:r>
              <w:rPr>
                <w:spacing w:val="-2"/>
                <w:sz w:val="18"/>
              </w:rPr>
              <w:t>Administración General</w:t>
            </w:r>
          </w:p>
        </w:tc>
        <w:tc>
          <w:tcPr>
            <w:tcW w:w="1270" w:type="dxa"/>
          </w:tcPr>
          <w:p>
            <w:pPr>
              <w:pStyle w:val="TableParagraph"/>
              <w:rPr>
                <w:rFonts w:ascii="Times New Roman"/>
                <w:sz w:val="18"/>
              </w:rPr>
            </w:pPr>
          </w:p>
        </w:tc>
        <w:tc>
          <w:tcPr>
            <w:tcW w:w="1904" w:type="dxa"/>
          </w:tcPr>
          <w:p>
            <w:pPr>
              <w:pStyle w:val="TableParagraph"/>
              <w:ind w:left="69" w:right="79"/>
              <w:rPr>
                <w:sz w:val="18"/>
              </w:rPr>
            </w:pPr>
            <w:r>
              <w:rPr>
                <w:sz w:val="18"/>
              </w:rPr>
              <w:t>Evento: Se genere una</w:t>
            </w:r>
            <w:r>
              <w:rPr>
                <w:spacing w:val="-11"/>
                <w:sz w:val="18"/>
              </w:rPr>
              <w:t> </w:t>
            </w:r>
            <w:r>
              <w:rPr>
                <w:sz w:val="18"/>
              </w:rPr>
              <w:t>disminución</w:t>
            </w:r>
            <w:r>
              <w:rPr>
                <w:spacing w:val="-12"/>
                <w:sz w:val="18"/>
              </w:rPr>
              <w:t> </w:t>
            </w:r>
            <w:r>
              <w:rPr>
                <w:sz w:val="18"/>
              </w:rPr>
              <w:t>en</w:t>
            </w:r>
            <w:r>
              <w:rPr>
                <w:spacing w:val="-13"/>
                <w:sz w:val="18"/>
              </w:rPr>
              <w:t> </w:t>
            </w:r>
            <w:r>
              <w:rPr>
                <w:sz w:val="18"/>
              </w:rPr>
              <w:t>la eficiencia de los procesos de EC ante una estructura organizativa que no se ajusta a la dinámica del negocio para el desarrollo de</w:t>
            </w:r>
          </w:p>
          <w:p>
            <w:pPr>
              <w:pStyle w:val="TableParagraph"/>
              <w:spacing w:line="192" w:lineRule="exact"/>
              <w:ind w:left="69"/>
              <w:rPr>
                <w:sz w:val="18"/>
              </w:rPr>
            </w:pPr>
            <w:r>
              <w:rPr>
                <w:sz w:val="18"/>
              </w:rPr>
              <w:t>las </w:t>
            </w:r>
            <w:r>
              <w:rPr>
                <w:spacing w:val="-2"/>
                <w:sz w:val="18"/>
              </w:rPr>
              <w:t>tareas.</w:t>
            </w:r>
          </w:p>
        </w:tc>
      </w:tr>
    </w:tbl>
    <w:p>
      <w:pPr>
        <w:pStyle w:val="TableParagraph"/>
        <w:spacing w:after="0" w:line="192" w:lineRule="exact"/>
        <w:rPr>
          <w:sz w:val="18"/>
        </w:rPr>
        <w:sectPr>
          <w:type w:val="continuous"/>
          <w:pgSz w:w="15840" w:h="12240" w:orient="landscape"/>
          <w:pgMar w:header="0" w:footer="1806" w:top="700" w:bottom="2320" w:left="360" w:right="360"/>
        </w:sectPr>
      </w:pPr>
    </w:p>
    <w:tbl>
      <w:tblPr>
        <w:tblW w:w="0" w:type="auto"/>
        <w:jc w:val="left"/>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89"/>
        <w:gridCol w:w="1988"/>
        <w:gridCol w:w="1844"/>
        <w:gridCol w:w="1839"/>
        <w:gridCol w:w="1421"/>
        <w:gridCol w:w="1277"/>
        <w:gridCol w:w="1268"/>
        <w:gridCol w:w="1904"/>
      </w:tblGrid>
      <w:tr>
        <w:trPr>
          <w:trHeight w:val="873" w:hRule="atLeast"/>
        </w:trPr>
        <w:tc>
          <w:tcPr>
            <w:tcW w:w="2689" w:type="dxa"/>
            <w:shd w:val="clear" w:color="auto" w:fill="D7D7D7"/>
          </w:tcPr>
          <w:p>
            <w:pPr>
              <w:pStyle w:val="TableParagraph"/>
              <w:spacing w:before="127"/>
              <w:rPr>
                <w:b/>
                <w:sz w:val="18"/>
              </w:rPr>
            </w:pPr>
          </w:p>
          <w:p>
            <w:pPr>
              <w:pStyle w:val="TableParagraph"/>
              <w:spacing w:before="1"/>
              <w:ind w:left="374"/>
              <w:rPr>
                <w:b/>
                <w:sz w:val="18"/>
              </w:rPr>
            </w:pPr>
            <w:r>
              <w:rPr>
                <w:b/>
                <w:sz w:val="18"/>
              </w:rPr>
              <w:t>Objetivos</w:t>
            </w:r>
            <w:r>
              <w:rPr>
                <w:b/>
                <w:spacing w:val="-5"/>
                <w:sz w:val="18"/>
              </w:rPr>
              <w:t> </w:t>
            </w:r>
            <w:r>
              <w:rPr>
                <w:b/>
                <w:sz w:val="18"/>
              </w:rPr>
              <w:t>/</w:t>
            </w:r>
            <w:r>
              <w:rPr>
                <w:b/>
                <w:spacing w:val="-2"/>
                <w:sz w:val="18"/>
              </w:rPr>
              <w:t> Resultados</w:t>
            </w:r>
          </w:p>
        </w:tc>
        <w:tc>
          <w:tcPr>
            <w:tcW w:w="1988" w:type="dxa"/>
            <w:shd w:val="clear" w:color="auto" w:fill="D7D7D7"/>
          </w:tcPr>
          <w:p>
            <w:pPr>
              <w:pStyle w:val="TableParagraph"/>
              <w:spacing w:before="127"/>
              <w:rPr>
                <w:b/>
                <w:sz w:val="18"/>
              </w:rPr>
            </w:pPr>
          </w:p>
          <w:p>
            <w:pPr>
              <w:pStyle w:val="TableParagraph"/>
              <w:spacing w:before="1"/>
              <w:ind w:left="20" w:right="5"/>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844" w:type="dxa"/>
            <w:shd w:val="clear" w:color="auto" w:fill="D7D7D7"/>
          </w:tcPr>
          <w:p>
            <w:pPr>
              <w:pStyle w:val="TableParagraph"/>
              <w:spacing w:before="22"/>
              <w:rPr>
                <w:b/>
                <w:sz w:val="18"/>
              </w:rPr>
            </w:pPr>
          </w:p>
          <w:p>
            <w:pPr>
              <w:pStyle w:val="TableParagraph"/>
              <w:ind w:left="720" w:hanging="553"/>
              <w:rPr>
                <w:b/>
                <w:sz w:val="18"/>
              </w:rPr>
            </w:pPr>
            <w:r>
              <w:rPr>
                <w:b/>
                <w:sz w:val="18"/>
              </w:rPr>
              <w:t>Meta</w:t>
            </w:r>
            <w:r>
              <w:rPr>
                <w:b/>
                <w:spacing w:val="-13"/>
                <w:sz w:val="18"/>
              </w:rPr>
              <w:t> </w:t>
            </w:r>
            <w:r>
              <w:rPr>
                <w:b/>
                <w:sz w:val="18"/>
              </w:rPr>
              <w:t>programada </w:t>
            </w:r>
            <w:r>
              <w:rPr>
                <w:b/>
                <w:spacing w:val="-4"/>
                <w:sz w:val="18"/>
              </w:rPr>
              <w:t>2026</w:t>
            </w:r>
          </w:p>
        </w:tc>
        <w:tc>
          <w:tcPr>
            <w:tcW w:w="1839" w:type="dxa"/>
            <w:shd w:val="clear" w:color="auto" w:fill="D7D7D7"/>
          </w:tcPr>
          <w:p>
            <w:pPr>
              <w:pStyle w:val="TableParagraph"/>
              <w:spacing w:before="127"/>
              <w:rPr>
                <w:b/>
                <w:sz w:val="18"/>
              </w:rPr>
            </w:pPr>
          </w:p>
          <w:p>
            <w:pPr>
              <w:pStyle w:val="TableParagraph"/>
              <w:spacing w:before="1"/>
              <w:ind w:left="513"/>
              <w:rPr>
                <w:b/>
                <w:sz w:val="18"/>
              </w:rPr>
            </w:pPr>
            <w:r>
              <w:rPr>
                <w:b/>
                <w:spacing w:val="-2"/>
                <w:sz w:val="18"/>
              </w:rPr>
              <w:t>Indicador</w:t>
            </w:r>
          </w:p>
        </w:tc>
        <w:tc>
          <w:tcPr>
            <w:tcW w:w="1421" w:type="dxa"/>
            <w:shd w:val="clear" w:color="auto" w:fill="D7D7D7"/>
          </w:tcPr>
          <w:p>
            <w:pPr>
              <w:pStyle w:val="TableParagraph"/>
              <w:spacing w:before="22"/>
              <w:rPr>
                <w:b/>
                <w:sz w:val="18"/>
              </w:rPr>
            </w:pPr>
          </w:p>
          <w:p>
            <w:pPr>
              <w:pStyle w:val="TableParagraph"/>
              <w:ind w:left="210" w:firstLine="57"/>
              <w:rPr>
                <w:b/>
                <w:sz w:val="18"/>
              </w:rPr>
            </w:pPr>
            <w:r>
              <w:rPr>
                <w:b/>
                <w:sz w:val="18"/>
              </w:rPr>
              <w:t>Medios de </w:t>
            </w:r>
            <w:r>
              <w:rPr>
                <w:b/>
                <w:spacing w:val="-2"/>
                <w:sz w:val="18"/>
              </w:rPr>
              <w:t>verificación</w:t>
            </w:r>
          </w:p>
        </w:tc>
        <w:tc>
          <w:tcPr>
            <w:tcW w:w="1277" w:type="dxa"/>
            <w:shd w:val="clear" w:color="auto" w:fill="D7D7D7"/>
          </w:tcPr>
          <w:p>
            <w:pPr>
              <w:pStyle w:val="TableParagraph"/>
              <w:spacing w:before="127"/>
              <w:rPr>
                <w:b/>
                <w:sz w:val="18"/>
              </w:rPr>
            </w:pPr>
          </w:p>
          <w:p>
            <w:pPr>
              <w:pStyle w:val="TableParagraph"/>
              <w:spacing w:before="1"/>
              <w:ind w:left="76"/>
              <w:rPr>
                <w:b/>
                <w:sz w:val="18"/>
              </w:rPr>
            </w:pPr>
            <w:r>
              <w:rPr>
                <w:b/>
                <w:spacing w:val="-2"/>
                <w:sz w:val="18"/>
              </w:rPr>
              <w:t>Responsable</w:t>
            </w:r>
          </w:p>
        </w:tc>
        <w:tc>
          <w:tcPr>
            <w:tcW w:w="1268" w:type="dxa"/>
            <w:shd w:val="clear" w:color="auto" w:fill="D7D7D7"/>
          </w:tcPr>
          <w:p>
            <w:pPr>
              <w:pStyle w:val="TableParagraph"/>
              <w:spacing w:before="22"/>
              <w:rPr>
                <w:b/>
                <w:sz w:val="18"/>
              </w:rPr>
            </w:pPr>
          </w:p>
          <w:p>
            <w:pPr>
              <w:pStyle w:val="TableParagraph"/>
              <w:ind w:left="234" w:hanging="149"/>
              <w:rPr>
                <w:b/>
                <w:sz w:val="18"/>
              </w:rPr>
            </w:pPr>
            <w:r>
              <w:rPr>
                <w:b/>
                <w:spacing w:val="-2"/>
                <w:sz w:val="18"/>
              </w:rPr>
              <w:t>Presupuesto asignado</w:t>
            </w:r>
          </w:p>
        </w:tc>
        <w:tc>
          <w:tcPr>
            <w:tcW w:w="1904" w:type="dxa"/>
            <w:shd w:val="clear" w:color="auto" w:fill="D7D7D7"/>
          </w:tcPr>
          <w:p>
            <w:pPr>
              <w:pStyle w:val="TableParagraph"/>
              <w:spacing w:before="127"/>
              <w:rPr>
                <w:b/>
                <w:sz w:val="18"/>
              </w:rPr>
            </w:pPr>
          </w:p>
          <w:p>
            <w:pPr>
              <w:pStyle w:val="TableParagraph"/>
              <w:spacing w:before="1"/>
              <w:ind w:left="196"/>
              <w:rPr>
                <w:b/>
                <w:sz w:val="18"/>
              </w:rPr>
            </w:pPr>
            <w:r>
              <w:rPr>
                <w:b/>
                <w:sz w:val="18"/>
              </w:rPr>
              <w:t>Riesgo</w:t>
            </w:r>
            <w:r>
              <w:rPr>
                <w:b/>
                <w:spacing w:val="-4"/>
                <w:sz w:val="18"/>
              </w:rPr>
              <w:t> </w:t>
            </w:r>
            <w:r>
              <w:rPr>
                <w:b/>
                <w:spacing w:val="-2"/>
                <w:sz w:val="18"/>
              </w:rPr>
              <w:t>Vinculado</w:t>
            </w:r>
          </w:p>
        </w:tc>
      </w:tr>
      <w:tr>
        <w:trPr>
          <w:trHeight w:val="600" w:hRule="atLeast"/>
        </w:trPr>
        <w:tc>
          <w:tcPr>
            <w:tcW w:w="14230" w:type="dxa"/>
            <w:gridSpan w:val="8"/>
            <w:shd w:val="clear" w:color="auto" w:fill="EFF8F9"/>
          </w:tcPr>
          <w:p>
            <w:pPr>
              <w:pStyle w:val="TableParagraph"/>
              <w:spacing w:before="196"/>
              <w:ind w:left="72"/>
              <w:rPr>
                <w:b/>
                <w:sz w:val="18"/>
              </w:rPr>
            </w:pPr>
            <w:r>
              <w:rPr>
                <w:b/>
                <w:sz w:val="18"/>
              </w:rPr>
              <w:t>Producto</w:t>
            </w:r>
            <w:r>
              <w:rPr>
                <w:b/>
                <w:spacing w:val="-7"/>
                <w:sz w:val="18"/>
              </w:rPr>
              <w:t> </w:t>
            </w:r>
            <w:r>
              <w:rPr>
                <w:b/>
                <w:sz w:val="18"/>
              </w:rPr>
              <w:t>PEC</w:t>
            </w:r>
            <w:r>
              <w:rPr>
                <w:b/>
                <w:spacing w:val="-8"/>
                <w:sz w:val="18"/>
              </w:rPr>
              <w:t> </w:t>
            </w:r>
            <w:r>
              <w:rPr>
                <w:b/>
                <w:sz w:val="18"/>
              </w:rPr>
              <w:t>3.5:</w:t>
            </w:r>
            <w:r>
              <w:rPr>
                <w:b/>
                <w:spacing w:val="-4"/>
                <w:sz w:val="18"/>
              </w:rPr>
              <w:t> </w:t>
            </w:r>
            <w:r>
              <w:rPr>
                <w:b/>
                <w:sz w:val="18"/>
              </w:rPr>
              <w:t>Modelo</w:t>
            </w:r>
            <w:r>
              <w:rPr>
                <w:b/>
                <w:spacing w:val="-6"/>
                <w:sz w:val="18"/>
              </w:rPr>
              <w:t> </w:t>
            </w:r>
            <w:r>
              <w:rPr>
                <w:b/>
                <w:sz w:val="18"/>
              </w:rPr>
              <w:t>de</w:t>
            </w:r>
            <w:r>
              <w:rPr>
                <w:b/>
                <w:spacing w:val="-6"/>
                <w:sz w:val="18"/>
              </w:rPr>
              <w:t> </w:t>
            </w:r>
            <w:r>
              <w:rPr>
                <w:b/>
                <w:sz w:val="18"/>
              </w:rPr>
              <w:t>Comisiones</w:t>
            </w:r>
            <w:r>
              <w:rPr>
                <w:b/>
                <w:spacing w:val="-6"/>
                <w:sz w:val="18"/>
              </w:rPr>
              <w:t> </w:t>
            </w:r>
            <w:r>
              <w:rPr>
                <w:b/>
                <w:sz w:val="18"/>
              </w:rPr>
              <w:t>actualizado,</w:t>
            </w:r>
            <w:r>
              <w:rPr>
                <w:b/>
                <w:spacing w:val="-4"/>
                <w:sz w:val="18"/>
              </w:rPr>
              <w:t> </w:t>
            </w:r>
            <w:r>
              <w:rPr>
                <w:b/>
                <w:sz w:val="18"/>
              </w:rPr>
              <w:t>que</w:t>
            </w:r>
            <w:r>
              <w:rPr>
                <w:b/>
                <w:spacing w:val="-2"/>
                <w:sz w:val="18"/>
              </w:rPr>
              <w:t> </w:t>
            </w:r>
            <w:r>
              <w:rPr>
                <w:b/>
                <w:sz w:val="18"/>
              </w:rPr>
              <w:t>contribuya</w:t>
            </w:r>
            <w:r>
              <w:rPr>
                <w:b/>
                <w:spacing w:val="-5"/>
                <w:sz w:val="18"/>
              </w:rPr>
              <w:t> </w:t>
            </w:r>
            <w:r>
              <w:rPr>
                <w:b/>
                <w:sz w:val="18"/>
              </w:rPr>
              <w:t>a</w:t>
            </w:r>
            <w:r>
              <w:rPr>
                <w:b/>
                <w:spacing w:val="-6"/>
                <w:sz w:val="18"/>
              </w:rPr>
              <w:t> </w:t>
            </w:r>
            <w:r>
              <w:rPr>
                <w:b/>
                <w:sz w:val="18"/>
              </w:rPr>
              <w:t>la</w:t>
            </w:r>
            <w:r>
              <w:rPr>
                <w:b/>
                <w:spacing w:val="-6"/>
                <w:sz w:val="18"/>
              </w:rPr>
              <w:t> </w:t>
            </w:r>
            <w:r>
              <w:rPr>
                <w:b/>
                <w:sz w:val="18"/>
              </w:rPr>
              <w:t>eficiencia</w:t>
            </w:r>
            <w:r>
              <w:rPr>
                <w:b/>
                <w:spacing w:val="-6"/>
                <w:sz w:val="18"/>
              </w:rPr>
              <w:t> </w:t>
            </w:r>
            <w:r>
              <w:rPr>
                <w:b/>
                <w:sz w:val="18"/>
              </w:rPr>
              <w:t>de</w:t>
            </w:r>
            <w:r>
              <w:rPr>
                <w:b/>
                <w:spacing w:val="-5"/>
                <w:sz w:val="18"/>
              </w:rPr>
              <w:t> </w:t>
            </w:r>
            <w:r>
              <w:rPr>
                <w:b/>
                <w:sz w:val="18"/>
              </w:rPr>
              <w:t>la</w:t>
            </w:r>
            <w:r>
              <w:rPr>
                <w:b/>
                <w:spacing w:val="-6"/>
                <w:sz w:val="18"/>
              </w:rPr>
              <w:t> </w:t>
            </w:r>
            <w:r>
              <w:rPr>
                <w:b/>
                <w:sz w:val="18"/>
              </w:rPr>
              <w:t>gestión</w:t>
            </w:r>
            <w:r>
              <w:rPr>
                <w:b/>
                <w:spacing w:val="-7"/>
                <w:sz w:val="18"/>
              </w:rPr>
              <w:t> </w:t>
            </w:r>
            <w:r>
              <w:rPr>
                <w:b/>
                <w:sz w:val="18"/>
              </w:rPr>
              <w:t>comercial</w:t>
            </w:r>
            <w:r>
              <w:rPr>
                <w:b/>
                <w:spacing w:val="-4"/>
                <w:sz w:val="18"/>
              </w:rPr>
              <w:t> </w:t>
            </w:r>
            <w:r>
              <w:rPr>
                <w:b/>
                <w:sz w:val="18"/>
              </w:rPr>
              <w:t>(E5</w:t>
            </w:r>
            <w:r>
              <w:rPr>
                <w:b/>
                <w:spacing w:val="-10"/>
                <w:sz w:val="18"/>
              </w:rPr>
              <w:t> </w:t>
            </w:r>
            <w:r>
              <w:rPr>
                <w:b/>
                <w:sz w:val="18"/>
              </w:rPr>
              <w:t>AE2</w:t>
            </w:r>
            <w:r>
              <w:rPr>
                <w:b/>
                <w:spacing w:val="-2"/>
                <w:sz w:val="18"/>
              </w:rPr>
              <w:t> </w:t>
            </w:r>
            <w:r>
              <w:rPr>
                <w:b/>
                <w:spacing w:val="-5"/>
                <w:sz w:val="18"/>
              </w:rPr>
              <w:t>R3)</w:t>
            </w:r>
          </w:p>
        </w:tc>
      </w:tr>
      <w:tr>
        <w:trPr>
          <w:trHeight w:val="1867" w:hRule="atLeast"/>
        </w:trPr>
        <w:tc>
          <w:tcPr>
            <w:tcW w:w="2689" w:type="dxa"/>
          </w:tcPr>
          <w:p>
            <w:pPr>
              <w:pStyle w:val="TableParagraph"/>
              <w:spacing w:before="3"/>
              <w:rPr>
                <w:b/>
                <w:sz w:val="18"/>
              </w:rPr>
            </w:pPr>
          </w:p>
          <w:p>
            <w:pPr>
              <w:pStyle w:val="TableParagraph"/>
              <w:ind w:left="72" w:right="52"/>
              <w:jc w:val="both"/>
              <w:rPr>
                <w:sz w:val="18"/>
              </w:rPr>
            </w:pPr>
            <w:r>
              <w:rPr>
                <w:b/>
                <w:sz w:val="18"/>
              </w:rPr>
              <w:t>Actividad PEC 3.5.1</w:t>
            </w:r>
            <w:r>
              <w:rPr>
                <w:sz w:val="18"/>
              </w:rPr>
              <w:t>: Analizar el modelo actual</w:t>
            </w:r>
            <w:r>
              <w:rPr>
                <w:spacing w:val="-2"/>
                <w:sz w:val="18"/>
              </w:rPr>
              <w:t> </w:t>
            </w:r>
            <w:r>
              <w:rPr>
                <w:sz w:val="18"/>
              </w:rPr>
              <w:t>de</w:t>
            </w:r>
            <w:r>
              <w:rPr>
                <w:spacing w:val="-1"/>
                <w:sz w:val="18"/>
              </w:rPr>
              <w:t> </w:t>
            </w:r>
            <w:r>
              <w:rPr>
                <w:sz w:val="18"/>
              </w:rPr>
              <w:t>comisiones y presentar una propuesta que contribuya a la satisfacción del objetivo de las tiendas libres, para</w:t>
            </w:r>
            <w:r>
              <w:rPr>
                <w:spacing w:val="-13"/>
                <w:sz w:val="18"/>
              </w:rPr>
              <w:t> </w:t>
            </w:r>
            <w:r>
              <w:rPr>
                <w:sz w:val="18"/>
              </w:rPr>
              <w:t>ser</w:t>
            </w:r>
            <w:r>
              <w:rPr>
                <w:spacing w:val="-12"/>
                <w:sz w:val="18"/>
              </w:rPr>
              <w:t> </w:t>
            </w:r>
            <w:r>
              <w:rPr>
                <w:sz w:val="18"/>
              </w:rPr>
              <w:t>analizado</w:t>
            </w:r>
            <w:r>
              <w:rPr>
                <w:spacing w:val="-13"/>
                <w:sz w:val="18"/>
              </w:rPr>
              <w:t> </w:t>
            </w:r>
            <w:r>
              <w:rPr>
                <w:sz w:val="18"/>
              </w:rPr>
              <w:t>por</w:t>
            </w:r>
            <w:r>
              <w:rPr>
                <w:spacing w:val="-7"/>
                <w:sz w:val="18"/>
              </w:rPr>
              <w:t> </w:t>
            </w:r>
            <w:r>
              <w:rPr>
                <w:sz w:val="18"/>
              </w:rPr>
              <w:t>las</w:t>
            </w:r>
            <w:r>
              <w:rPr>
                <w:spacing w:val="-13"/>
                <w:sz w:val="18"/>
              </w:rPr>
              <w:t> </w:t>
            </w:r>
            <w:r>
              <w:rPr>
                <w:sz w:val="18"/>
              </w:rPr>
              <w:t>áreas </w:t>
            </w:r>
            <w:r>
              <w:rPr>
                <w:spacing w:val="-2"/>
                <w:sz w:val="18"/>
              </w:rPr>
              <w:t>competentes.</w:t>
            </w:r>
          </w:p>
        </w:tc>
        <w:tc>
          <w:tcPr>
            <w:tcW w:w="1988"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20"/>
              <w:jc w:val="center"/>
              <w:rPr>
                <w:sz w:val="18"/>
              </w:rPr>
            </w:pPr>
            <w:r>
              <w:rPr>
                <w:sz w:val="18"/>
              </w:rPr>
              <w:t>Modelo</w:t>
            </w:r>
            <w:r>
              <w:rPr>
                <w:spacing w:val="-3"/>
                <w:sz w:val="18"/>
              </w:rPr>
              <w:t> </w:t>
            </w:r>
            <w:r>
              <w:rPr>
                <w:spacing w:val="-2"/>
                <w:sz w:val="18"/>
              </w:rPr>
              <w:t>actual</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9" w:right="7"/>
              <w:jc w:val="center"/>
              <w:rPr>
                <w:sz w:val="18"/>
              </w:rPr>
            </w:pPr>
            <w:r>
              <w:rPr>
                <w:spacing w:val="-4"/>
                <w:sz w:val="18"/>
              </w:rPr>
              <w:t>100%</w:t>
            </w:r>
          </w:p>
        </w:tc>
        <w:tc>
          <w:tcPr>
            <w:tcW w:w="1839" w:type="dxa"/>
          </w:tcPr>
          <w:p>
            <w:pPr>
              <w:pStyle w:val="TableParagraph"/>
              <w:rPr>
                <w:b/>
                <w:sz w:val="18"/>
              </w:rPr>
            </w:pPr>
          </w:p>
          <w:p>
            <w:pPr>
              <w:pStyle w:val="TableParagraph"/>
              <w:spacing w:before="103"/>
              <w:rPr>
                <w:b/>
                <w:sz w:val="18"/>
              </w:rPr>
            </w:pPr>
          </w:p>
          <w:p>
            <w:pPr>
              <w:pStyle w:val="TableParagraph"/>
              <w:spacing w:line="242" w:lineRule="auto"/>
              <w:ind w:left="66" w:right="65"/>
              <w:rPr>
                <w:sz w:val="18"/>
              </w:rPr>
            </w:pPr>
            <w:r>
              <w:rPr>
                <w:sz w:val="18"/>
              </w:rPr>
              <w:t>Porcentaje de avance en la propuesta</w:t>
            </w:r>
            <w:r>
              <w:rPr>
                <w:spacing w:val="-15"/>
                <w:sz w:val="18"/>
              </w:rPr>
              <w:t> </w:t>
            </w:r>
            <w:r>
              <w:rPr>
                <w:sz w:val="18"/>
              </w:rPr>
              <w:t>de</w:t>
            </w:r>
            <w:r>
              <w:rPr>
                <w:spacing w:val="-12"/>
                <w:sz w:val="18"/>
              </w:rPr>
              <w:t> </w:t>
            </w:r>
            <w:r>
              <w:rPr>
                <w:sz w:val="18"/>
              </w:rPr>
              <w:t>modelo de comisiones</w:t>
            </w:r>
          </w:p>
        </w:tc>
        <w:tc>
          <w:tcPr>
            <w:tcW w:w="1421" w:type="dxa"/>
          </w:tcPr>
          <w:p>
            <w:pPr>
              <w:pStyle w:val="TableParagraph"/>
              <w:spacing w:before="103"/>
              <w:rPr>
                <w:b/>
                <w:sz w:val="18"/>
              </w:rPr>
            </w:pPr>
          </w:p>
          <w:p>
            <w:pPr>
              <w:pStyle w:val="TableParagraph"/>
              <w:spacing w:before="1"/>
              <w:ind w:left="71" w:right="181"/>
              <w:rPr>
                <w:sz w:val="18"/>
              </w:rPr>
            </w:pPr>
            <w:r>
              <w:rPr>
                <w:sz w:val="18"/>
              </w:rPr>
              <w:t>Propuesta</w:t>
            </w:r>
            <w:r>
              <w:rPr>
                <w:spacing w:val="-13"/>
                <w:sz w:val="18"/>
              </w:rPr>
              <w:t> </w:t>
            </w:r>
            <w:r>
              <w:rPr>
                <w:sz w:val="18"/>
              </w:rPr>
              <w:t>de </w:t>
            </w:r>
            <w:r>
              <w:rPr>
                <w:spacing w:val="-2"/>
                <w:sz w:val="18"/>
              </w:rPr>
              <w:t>modelo </w:t>
            </w:r>
            <w:r>
              <w:rPr>
                <w:sz w:val="18"/>
              </w:rPr>
              <w:t>presentado</w:t>
            </w:r>
            <w:r>
              <w:rPr>
                <w:spacing w:val="-13"/>
                <w:sz w:val="18"/>
              </w:rPr>
              <w:t> </w:t>
            </w:r>
            <w:r>
              <w:rPr>
                <w:sz w:val="18"/>
              </w:rPr>
              <w:t>a las unidades </w:t>
            </w:r>
            <w:r>
              <w:rPr>
                <w:spacing w:val="-2"/>
                <w:sz w:val="18"/>
              </w:rPr>
              <w:t>técnicas respectivas</w:t>
            </w:r>
          </w:p>
        </w:tc>
        <w:tc>
          <w:tcPr>
            <w:tcW w:w="1277" w:type="dxa"/>
          </w:tcPr>
          <w:p>
            <w:pPr>
              <w:pStyle w:val="TableParagraph"/>
              <w:spacing w:before="3"/>
              <w:ind w:left="71" w:right="61"/>
              <w:rPr>
                <w:sz w:val="18"/>
              </w:rPr>
            </w:pPr>
            <w:r>
              <w:rPr>
                <w:spacing w:val="-2"/>
                <w:sz w:val="18"/>
              </w:rPr>
              <w:t>Administració </w:t>
            </w:r>
            <w:r>
              <w:rPr>
                <w:sz w:val="18"/>
              </w:rPr>
              <w:t>n General Jefatura de Mercadeo y Ventas y Jefatura de </w:t>
            </w:r>
            <w:r>
              <w:rPr>
                <w:spacing w:val="-2"/>
                <w:sz w:val="18"/>
              </w:rPr>
              <w:t>Unidad Coordinación</w:t>
            </w:r>
          </w:p>
          <w:p>
            <w:pPr>
              <w:pStyle w:val="TableParagraph"/>
              <w:spacing w:line="187" w:lineRule="exact" w:before="1"/>
              <w:ind w:left="71"/>
              <w:rPr>
                <w:sz w:val="18"/>
              </w:rPr>
            </w:pPr>
            <w:r>
              <w:rPr>
                <w:spacing w:val="-2"/>
                <w:sz w:val="18"/>
              </w:rPr>
              <w:t>Administrativa</w:t>
            </w:r>
          </w:p>
        </w:tc>
        <w:tc>
          <w:tcPr>
            <w:tcW w:w="1268" w:type="dxa"/>
          </w:tcPr>
          <w:p>
            <w:pPr>
              <w:pStyle w:val="TableParagraph"/>
              <w:rPr>
                <w:rFonts w:ascii="Times New Roman"/>
                <w:sz w:val="18"/>
              </w:rPr>
            </w:pPr>
          </w:p>
        </w:tc>
        <w:tc>
          <w:tcPr>
            <w:tcW w:w="1904" w:type="dxa"/>
            <w:vMerge w:val="restart"/>
          </w:tcPr>
          <w:p>
            <w:pPr>
              <w:pStyle w:val="TableParagraph"/>
              <w:rPr>
                <w:b/>
                <w:sz w:val="18"/>
              </w:rPr>
            </w:pPr>
          </w:p>
          <w:p>
            <w:pPr>
              <w:pStyle w:val="TableParagraph"/>
              <w:rPr>
                <w:b/>
                <w:sz w:val="18"/>
              </w:rPr>
            </w:pPr>
          </w:p>
          <w:p>
            <w:pPr>
              <w:pStyle w:val="TableParagraph"/>
              <w:spacing w:before="112"/>
              <w:rPr>
                <w:b/>
                <w:sz w:val="18"/>
              </w:rPr>
            </w:pPr>
          </w:p>
          <w:p>
            <w:pPr>
              <w:pStyle w:val="TableParagraph"/>
              <w:spacing w:before="1"/>
              <w:ind w:left="71" w:right="102"/>
              <w:rPr>
                <w:sz w:val="18"/>
              </w:rPr>
            </w:pPr>
            <w:r>
              <w:rPr>
                <w:sz w:val="18"/>
              </w:rPr>
              <w:t>Evento:</w:t>
            </w:r>
            <w:r>
              <w:rPr>
                <w:spacing w:val="-10"/>
                <w:sz w:val="18"/>
              </w:rPr>
              <w:t> </w:t>
            </w:r>
            <w:r>
              <w:rPr>
                <w:sz w:val="18"/>
              </w:rPr>
              <w:t>No</w:t>
            </w:r>
            <w:r>
              <w:rPr>
                <w:spacing w:val="-11"/>
                <w:sz w:val="18"/>
              </w:rPr>
              <w:t> </w:t>
            </w:r>
            <w:r>
              <w:rPr>
                <w:sz w:val="18"/>
              </w:rPr>
              <w:t>se</w:t>
            </w:r>
            <w:r>
              <w:rPr>
                <w:spacing w:val="-13"/>
                <w:sz w:val="18"/>
              </w:rPr>
              <w:t> </w:t>
            </w:r>
            <w:r>
              <w:rPr>
                <w:sz w:val="18"/>
              </w:rPr>
              <w:t>puede implementar el modelo de comisiones que contribuya a la eficiencia de la gestión comercial</w:t>
            </w:r>
          </w:p>
        </w:tc>
      </w:tr>
      <w:tr>
        <w:trPr>
          <w:trHeight w:val="1032" w:hRule="atLeast"/>
        </w:trPr>
        <w:tc>
          <w:tcPr>
            <w:tcW w:w="2689" w:type="dxa"/>
          </w:tcPr>
          <w:p>
            <w:pPr>
              <w:pStyle w:val="TableParagraph"/>
              <w:spacing w:line="206" w:lineRule="exact"/>
              <w:ind w:left="72" w:right="100"/>
              <w:rPr>
                <w:sz w:val="18"/>
              </w:rPr>
            </w:pPr>
            <w:r>
              <w:rPr>
                <w:b/>
                <w:sz w:val="18"/>
              </w:rPr>
              <w:t>Actividad PEC 3.5.2</w:t>
            </w:r>
            <w:r>
              <w:rPr>
                <w:sz w:val="18"/>
              </w:rPr>
              <w:t>: Implementar el modelo de comisiones</w:t>
            </w:r>
            <w:r>
              <w:rPr>
                <w:spacing w:val="-13"/>
                <w:sz w:val="18"/>
              </w:rPr>
              <w:t> </w:t>
            </w:r>
            <w:r>
              <w:rPr>
                <w:sz w:val="18"/>
              </w:rPr>
              <w:t>una</w:t>
            </w:r>
            <w:r>
              <w:rPr>
                <w:spacing w:val="-12"/>
                <w:sz w:val="18"/>
              </w:rPr>
              <w:t> </w:t>
            </w:r>
            <w:r>
              <w:rPr>
                <w:sz w:val="18"/>
              </w:rPr>
              <w:t>vez</w:t>
            </w:r>
            <w:r>
              <w:rPr>
                <w:spacing w:val="-9"/>
                <w:sz w:val="18"/>
              </w:rPr>
              <w:t> </w:t>
            </w:r>
            <w:r>
              <w:rPr>
                <w:sz w:val="18"/>
              </w:rPr>
              <w:t>aprobado por el Consejo Directivo y la secretaria técnica.</w:t>
            </w:r>
          </w:p>
        </w:tc>
        <w:tc>
          <w:tcPr>
            <w:tcW w:w="1988" w:type="dxa"/>
          </w:tcPr>
          <w:p>
            <w:pPr>
              <w:pStyle w:val="TableParagraph"/>
              <w:spacing w:before="205"/>
              <w:rPr>
                <w:b/>
                <w:sz w:val="18"/>
              </w:rPr>
            </w:pPr>
          </w:p>
          <w:p>
            <w:pPr>
              <w:pStyle w:val="TableParagraph"/>
              <w:ind w:left="20" w:right="12"/>
              <w:jc w:val="center"/>
              <w:rPr>
                <w:sz w:val="18"/>
              </w:rPr>
            </w:pPr>
            <w:r>
              <w:rPr>
                <w:sz w:val="18"/>
              </w:rPr>
              <w:t>Modelo</w:t>
            </w:r>
            <w:r>
              <w:rPr>
                <w:spacing w:val="-3"/>
                <w:sz w:val="18"/>
              </w:rPr>
              <w:t> </w:t>
            </w:r>
            <w:r>
              <w:rPr>
                <w:sz w:val="18"/>
              </w:rPr>
              <w:t>de</w:t>
            </w:r>
            <w:r>
              <w:rPr>
                <w:spacing w:val="2"/>
                <w:sz w:val="18"/>
              </w:rPr>
              <w:t> </w:t>
            </w:r>
            <w:r>
              <w:rPr>
                <w:spacing w:val="-2"/>
                <w:sz w:val="18"/>
              </w:rPr>
              <w:t>Comisiones</w:t>
            </w:r>
          </w:p>
        </w:tc>
        <w:tc>
          <w:tcPr>
            <w:tcW w:w="1844" w:type="dxa"/>
          </w:tcPr>
          <w:p>
            <w:pPr>
              <w:pStyle w:val="TableParagraph"/>
              <w:spacing w:before="205"/>
              <w:rPr>
                <w:b/>
                <w:sz w:val="18"/>
              </w:rPr>
            </w:pPr>
          </w:p>
          <w:p>
            <w:pPr>
              <w:pStyle w:val="TableParagraph"/>
              <w:ind w:left="9" w:right="4"/>
              <w:jc w:val="center"/>
              <w:rPr>
                <w:sz w:val="18"/>
              </w:rPr>
            </w:pPr>
            <w:r>
              <w:rPr>
                <w:spacing w:val="-10"/>
                <w:sz w:val="18"/>
              </w:rPr>
              <w:t>1</w:t>
            </w:r>
          </w:p>
        </w:tc>
        <w:tc>
          <w:tcPr>
            <w:tcW w:w="1839" w:type="dxa"/>
          </w:tcPr>
          <w:p>
            <w:pPr>
              <w:pStyle w:val="TableParagraph"/>
              <w:spacing w:before="99"/>
              <w:rPr>
                <w:b/>
                <w:sz w:val="18"/>
              </w:rPr>
            </w:pPr>
          </w:p>
          <w:p>
            <w:pPr>
              <w:pStyle w:val="TableParagraph"/>
              <w:spacing w:line="244" w:lineRule="auto"/>
              <w:ind w:left="66"/>
              <w:rPr>
                <w:sz w:val="18"/>
              </w:rPr>
            </w:pPr>
            <w:r>
              <w:rPr>
                <w:sz w:val="18"/>
              </w:rPr>
              <w:t>Cantidad</w:t>
            </w:r>
            <w:r>
              <w:rPr>
                <w:spacing w:val="-15"/>
                <w:sz w:val="18"/>
              </w:rPr>
              <w:t> </w:t>
            </w:r>
            <w:r>
              <w:rPr>
                <w:sz w:val="18"/>
              </w:rPr>
              <w:t>de</w:t>
            </w:r>
            <w:r>
              <w:rPr>
                <w:spacing w:val="-12"/>
                <w:sz w:val="18"/>
              </w:rPr>
              <w:t> </w:t>
            </w:r>
            <w:r>
              <w:rPr>
                <w:sz w:val="18"/>
              </w:rPr>
              <w:t>Modelos </w:t>
            </w:r>
            <w:r>
              <w:rPr>
                <w:spacing w:val="-2"/>
                <w:sz w:val="18"/>
              </w:rPr>
              <w:t>Implementados</w:t>
            </w:r>
          </w:p>
        </w:tc>
        <w:tc>
          <w:tcPr>
            <w:tcW w:w="1421" w:type="dxa"/>
          </w:tcPr>
          <w:p>
            <w:pPr>
              <w:pStyle w:val="TableParagraph"/>
              <w:spacing w:before="99"/>
              <w:rPr>
                <w:b/>
                <w:sz w:val="18"/>
              </w:rPr>
            </w:pPr>
          </w:p>
          <w:p>
            <w:pPr>
              <w:pStyle w:val="TableParagraph"/>
              <w:spacing w:line="244" w:lineRule="auto"/>
              <w:ind w:left="71"/>
              <w:rPr>
                <w:sz w:val="18"/>
              </w:rPr>
            </w:pPr>
            <w:r>
              <w:rPr>
                <w:spacing w:val="-2"/>
                <w:sz w:val="18"/>
              </w:rPr>
              <w:t>Modelo Implementado</w:t>
            </w:r>
          </w:p>
        </w:tc>
        <w:tc>
          <w:tcPr>
            <w:tcW w:w="1277" w:type="dxa"/>
          </w:tcPr>
          <w:p>
            <w:pPr>
              <w:pStyle w:val="TableParagraph"/>
              <w:spacing w:before="99"/>
              <w:rPr>
                <w:b/>
                <w:sz w:val="18"/>
              </w:rPr>
            </w:pPr>
          </w:p>
          <w:p>
            <w:pPr>
              <w:pStyle w:val="TableParagraph"/>
              <w:spacing w:line="244" w:lineRule="auto"/>
              <w:ind w:left="71" w:right="61"/>
              <w:rPr>
                <w:sz w:val="18"/>
              </w:rPr>
            </w:pPr>
            <w:r>
              <w:rPr>
                <w:spacing w:val="-2"/>
                <w:sz w:val="18"/>
              </w:rPr>
              <w:t>Administració </w:t>
            </w:r>
            <w:r>
              <w:rPr>
                <w:sz w:val="18"/>
              </w:rPr>
              <w:t>n General</w:t>
            </w:r>
          </w:p>
        </w:tc>
        <w:tc>
          <w:tcPr>
            <w:tcW w:w="1268" w:type="dxa"/>
          </w:tcPr>
          <w:p>
            <w:pPr>
              <w:pStyle w:val="TableParagraph"/>
              <w:rPr>
                <w:rFonts w:ascii="Times New Roman"/>
                <w:sz w:val="18"/>
              </w:rPr>
            </w:pPr>
          </w:p>
        </w:tc>
        <w:tc>
          <w:tcPr>
            <w:tcW w:w="1904" w:type="dxa"/>
            <w:vMerge/>
            <w:tcBorders>
              <w:top w:val="nil"/>
            </w:tcBorders>
          </w:tcPr>
          <w:p>
            <w:pPr>
              <w:rPr>
                <w:sz w:val="2"/>
                <w:szCs w:val="2"/>
              </w:rPr>
            </w:pPr>
          </w:p>
        </w:tc>
      </w:tr>
      <w:tr>
        <w:trPr>
          <w:trHeight w:val="753" w:hRule="atLeast"/>
        </w:trPr>
        <w:tc>
          <w:tcPr>
            <w:tcW w:w="14230" w:type="dxa"/>
            <w:gridSpan w:val="8"/>
            <w:shd w:val="clear" w:color="auto" w:fill="EFF8F9"/>
          </w:tcPr>
          <w:p>
            <w:pPr>
              <w:pStyle w:val="TableParagraph"/>
              <w:spacing w:line="244" w:lineRule="auto" w:before="167"/>
              <w:ind w:left="72" w:right="30"/>
              <w:rPr>
                <w:b/>
                <w:sz w:val="18"/>
              </w:rPr>
            </w:pPr>
            <w:r>
              <w:rPr>
                <w:b/>
                <w:sz w:val="18"/>
              </w:rPr>
              <w:t>Producto</w:t>
            </w:r>
            <w:r>
              <w:rPr>
                <w:b/>
                <w:spacing w:val="-4"/>
                <w:sz w:val="18"/>
              </w:rPr>
              <w:t> </w:t>
            </w:r>
            <w:r>
              <w:rPr>
                <w:b/>
                <w:sz w:val="18"/>
              </w:rPr>
              <w:t>PEC</w:t>
            </w:r>
            <w:r>
              <w:rPr>
                <w:b/>
                <w:spacing w:val="-5"/>
                <w:sz w:val="18"/>
              </w:rPr>
              <w:t> </w:t>
            </w:r>
            <w:r>
              <w:rPr>
                <w:b/>
                <w:sz w:val="18"/>
              </w:rPr>
              <w:t>3.6:</w:t>
            </w:r>
            <w:r>
              <w:rPr>
                <w:b/>
                <w:spacing w:val="-1"/>
                <w:sz w:val="18"/>
              </w:rPr>
              <w:t> </w:t>
            </w:r>
            <w:r>
              <w:rPr>
                <w:b/>
                <w:sz w:val="18"/>
              </w:rPr>
              <w:t>Instalaciones</w:t>
            </w:r>
            <w:r>
              <w:rPr>
                <w:b/>
                <w:spacing w:val="-3"/>
                <w:sz w:val="18"/>
              </w:rPr>
              <w:t> </w:t>
            </w:r>
            <w:r>
              <w:rPr>
                <w:b/>
                <w:sz w:val="18"/>
              </w:rPr>
              <w:t>remodeladas,</w:t>
            </w:r>
            <w:r>
              <w:rPr>
                <w:b/>
                <w:spacing w:val="-1"/>
                <w:sz w:val="18"/>
              </w:rPr>
              <w:t> </w:t>
            </w:r>
            <w:r>
              <w:rPr>
                <w:b/>
                <w:sz w:val="18"/>
              </w:rPr>
              <w:t>adecuadas a</w:t>
            </w:r>
            <w:r>
              <w:rPr>
                <w:b/>
                <w:spacing w:val="-3"/>
                <w:sz w:val="18"/>
              </w:rPr>
              <w:t> </w:t>
            </w:r>
            <w:r>
              <w:rPr>
                <w:b/>
                <w:sz w:val="18"/>
              </w:rPr>
              <w:t>la</w:t>
            </w:r>
            <w:r>
              <w:rPr>
                <w:b/>
                <w:spacing w:val="-3"/>
                <w:sz w:val="18"/>
              </w:rPr>
              <w:t> </w:t>
            </w:r>
            <w:r>
              <w:rPr>
                <w:b/>
                <w:sz w:val="18"/>
              </w:rPr>
              <w:t>naturaleza</w:t>
            </w:r>
            <w:r>
              <w:rPr>
                <w:b/>
                <w:spacing w:val="-3"/>
                <w:sz w:val="18"/>
              </w:rPr>
              <w:t> </w:t>
            </w:r>
            <w:r>
              <w:rPr>
                <w:b/>
                <w:sz w:val="18"/>
              </w:rPr>
              <w:t>del negocio y</w:t>
            </w:r>
            <w:r>
              <w:rPr>
                <w:b/>
                <w:spacing w:val="-3"/>
                <w:sz w:val="18"/>
              </w:rPr>
              <w:t> </w:t>
            </w:r>
            <w:r>
              <w:rPr>
                <w:b/>
                <w:sz w:val="18"/>
              </w:rPr>
              <w:t>el</w:t>
            </w:r>
            <w:r>
              <w:rPr>
                <w:b/>
                <w:spacing w:val="-1"/>
                <w:sz w:val="18"/>
              </w:rPr>
              <w:t> </w:t>
            </w:r>
            <w:r>
              <w:rPr>
                <w:b/>
                <w:sz w:val="18"/>
              </w:rPr>
              <w:t>mercado</w:t>
            </w:r>
            <w:r>
              <w:rPr>
                <w:b/>
                <w:spacing w:val="-4"/>
                <w:sz w:val="18"/>
              </w:rPr>
              <w:t> </w:t>
            </w:r>
            <w:r>
              <w:rPr>
                <w:b/>
                <w:sz w:val="18"/>
              </w:rPr>
              <w:t>que</w:t>
            </w:r>
            <w:r>
              <w:rPr>
                <w:b/>
                <w:spacing w:val="-3"/>
                <w:sz w:val="18"/>
              </w:rPr>
              <w:t> </w:t>
            </w:r>
            <w:r>
              <w:rPr>
                <w:b/>
                <w:sz w:val="18"/>
              </w:rPr>
              <w:t>se atiende, para</w:t>
            </w:r>
            <w:r>
              <w:rPr>
                <w:b/>
                <w:spacing w:val="-3"/>
                <w:sz w:val="18"/>
              </w:rPr>
              <w:t> </w:t>
            </w:r>
            <w:r>
              <w:rPr>
                <w:b/>
                <w:sz w:val="18"/>
              </w:rPr>
              <w:t>potenciar</w:t>
            </w:r>
            <w:r>
              <w:rPr>
                <w:b/>
                <w:spacing w:val="-2"/>
                <w:sz w:val="18"/>
              </w:rPr>
              <w:t> </w:t>
            </w:r>
            <w:r>
              <w:rPr>
                <w:b/>
                <w:sz w:val="18"/>
              </w:rPr>
              <w:t>la</w:t>
            </w:r>
            <w:r>
              <w:rPr>
                <w:b/>
                <w:spacing w:val="-3"/>
                <w:sz w:val="18"/>
              </w:rPr>
              <w:t> </w:t>
            </w:r>
            <w:r>
              <w:rPr>
                <w:b/>
                <w:sz w:val="18"/>
              </w:rPr>
              <w:t>generación de</w:t>
            </w:r>
            <w:r>
              <w:rPr>
                <w:b/>
                <w:spacing w:val="-1"/>
                <w:sz w:val="18"/>
              </w:rPr>
              <w:t> </w:t>
            </w:r>
            <w:r>
              <w:rPr>
                <w:b/>
                <w:sz w:val="18"/>
              </w:rPr>
              <w:t>ventas</w:t>
            </w:r>
            <w:r>
              <w:rPr>
                <w:b/>
                <w:spacing w:val="-3"/>
                <w:sz w:val="18"/>
              </w:rPr>
              <w:t> </w:t>
            </w:r>
            <w:r>
              <w:rPr>
                <w:b/>
                <w:sz w:val="18"/>
              </w:rPr>
              <w:t>(E5 AE3 </w:t>
            </w:r>
            <w:r>
              <w:rPr>
                <w:b/>
                <w:spacing w:val="-4"/>
                <w:sz w:val="18"/>
              </w:rPr>
              <w:t>R1)</w:t>
            </w:r>
          </w:p>
        </w:tc>
      </w:tr>
      <w:tr>
        <w:trPr>
          <w:trHeight w:val="1032" w:hRule="atLeast"/>
        </w:trPr>
        <w:tc>
          <w:tcPr>
            <w:tcW w:w="2689" w:type="dxa"/>
          </w:tcPr>
          <w:p>
            <w:pPr>
              <w:pStyle w:val="TableParagraph"/>
              <w:spacing w:line="207" w:lineRule="exact" w:before="99"/>
              <w:ind w:left="72"/>
              <w:rPr>
                <w:b/>
                <w:sz w:val="18"/>
              </w:rPr>
            </w:pPr>
            <w:r>
              <w:rPr>
                <w:b/>
                <w:sz w:val="18"/>
              </w:rPr>
              <w:t>Actividad</w:t>
            </w:r>
            <w:r>
              <w:rPr>
                <w:b/>
                <w:spacing w:val="-6"/>
                <w:sz w:val="18"/>
              </w:rPr>
              <w:t> </w:t>
            </w:r>
            <w:r>
              <w:rPr>
                <w:b/>
                <w:sz w:val="18"/>
              </w:rPr>
              <w:t>PEC</w:t>
            </w:r>
            <w:r>
              <w:rPr>
                <w:b/>
                <w:spacing w:val="-1"/>
                <w:sz w:val="18"/>
              </w:rPr>
              <w:t> </w:t>
            </w:r>
            <w:r>
              <w:rPr>
                <w:b/>
                <w:spacing w:val="-2"/>
                <w:sz w:val="18"/>
              </w:rPr>
              <w:t>3.6.1:</w:t>
            </w:r>
          </w:p>
          <w:p>
            <w:pPr>
              <w:pStyle w:val="TableParagraph"/>
              <w:spacing w:line="207" w:lineRule="exact"/>
              <w:ind w:left="72"/>
              <w:rPr>
                <w:sz w:val="18"/>
              </w:rPr>
            </w:pPr>
            <w:r>
              <w:rPr>
                <w:sz w:val="18"/>
              </w:rPr>
              <w:t>Remodelación</w:t>
            </w:r>
            <w:r>
              <w:rPr>
                <w:spacing w:val="-8"/>
                <w:sz w:val="18"/>
              </w:rPr>
              <w:t> </w:t>
            </w:r>
            <w:r>
              <w:rPr>
                <w:sz w:val="18"/>
              </w:rPr>
              <w:t>tienda</w:t>
            </w:r>
            <w:r>
              <w:rPr>
                <w:spacing w:val="-3"/>
                <w:sz w:val="18"/>
              </w:rPr>
              <w:t> </w:t>
            </w:r>
            <w:r>
              <w:rPr>
                <w:spacing w:val="-5"/>
                <w:sz w:val="18"/>
              </w:rPr>
              <w:t>#15</w:t>
            </w:r>
          </w:p>
          <w:p>
            <w:pPr>
              <w:pStyle w:val="TableParagraph"/>
              <w:spacing w:line="207" w:lineRule="exact" w:before="5"/>
              <w:ind w:left="72"/>
              <w:rPr>
                <w:sz w:val="18"/>
              </w:rPr>
            </w:pPr>
            <w:r>
              <w:rPr>
                <w:sz w:val="18"/>
              </w:rPr>
              <w:t>(1.04.03.</w:t>
            </w:r>
            <w:r>
              <w:rPr>
                <w:spacing w:val="-3"/>
                <w:sz w:val="18"/>
              </w:rPr>
              <w:t> </w:t>
            </w:r>
            <w:r>
              <w:rPr>
                <w:sz w:val="18"/>
              </w:rPr>
              <w:t>30</w:t>
            </w:r>
            <w:r>
              <w:rPr>
                <w:spacing w:val="-5"/>
                <w:sz w:val="18"/>
              </w:rPr>
              <w:t> </w:t>
            </w:r>
            <w:r>
              <w:rPr>
                <w:sz w:val="18"/>
              </w:rPr>
              <w:t>millones</w:t>
            </w:r>
            <w:r>
              <w:rPr>
                <w:spacing w:val="-5"/>
                <w:sz w:val="18"/>
              </w:rPr>
              <w:t> </w:t>
            </w:r>
            <w:r>
              <w:rPr>
                <w:sz w:val="18"/>
              </w:rPr>
              <w:t>y</w:t>
            </w:r>
            <w:r>
              <w:rPr>
                <w:spacing w:val="-5"/>
                <w:sz w:val="18"/>
              </w:rPr>
              <w:t> </w:t>
            </w:r>
            <w:r>
              <w:rPr>
                <w:spacing w:val="-2"/>
                <w:sz w:val="18"/>
              </w:rPr>
              <w:t>1.08.01,</w:t>
            </w:r>
          </w:p>
          <w:p>
            <w:pPr>
              <w:pStyle w:val="TableParagraph"/>
              <w:spacing w:line="207" w:lineRule="exact"/>
              <w:ind w:left="72"/>
              <w:rPr>
                <w:sz w:val="18"/>
              </w:rPr>
            </w:pPr>
            <w:r>
              <w:rPr>
                <w:sz w:val="18"/>
              </w:rPr>
              <w:t>310</w:t>
            </w:r>
            <w:r>
              <w:rPr>
                <w:spacing w:val="-2"/>
                <w:sz w:val="18"/>
              </w:rPr>
              <w:t> millones)</w:t>
            </w:r>
          </w:p>
        </w:tc>
        <w:tc>
          <w:tcPr>
            <w:tcW w:w="1988" w:type="dxa"/>
          </w:tcPr>
          <w:p>
            <w:pPr>
              <w:pStyle w:val="TableParagraph"/>
              <w:spacing w:before="204"/>
              <w:rPr>
                <w:b/>
                <w:sz w:val="18"/>
              </w:rPr>
            </w:pPr>
          </w:p>
          <w:p>
            <w:pPr>
              <w:pStyle w:val="TableParagraph"/>
              <w:ind w:left="20" w:right="4"/>
              <w:jc w:val="center"/>
              <w:rPr>
                <w:sz w:val="18"/>
              </w:rPr>
            </w:pPr>
            <w:r>
              <w:rPr>
                <w:spacing w:val="-5"/>
                <w:sz w:val="18"/>
              </w:rPr>
              <w:t>N/D</w:t>
            </w:r>
          </w:p>
        </w:tc>
        <w:tc>
          <w:tcPr>
            <w:tcW w:w="1844" w:type="dxa"/>
          </w:tcPr>
          <w:p>
            <w:pPr>
              <w:pStyle w:val="TableParagraph"/>
              <w:spacing w:before="204"/>
              <w:rPr>
                <w:b/>
                <w:sz w:val="18"/>
              </w:rPr>
            </w:pPr>
          </w:p>
          <w:p>
            <w:pPr>
              <w:pStyle w:val="TableParagraph"/>
              <w:ind w:left="9" w:right="4"/>
              <w:jc w:val="center"/>
              <w:rPr>
                <w:sz w:val="18"/>
              </w:rPr>
            </w:pPr>
            <w:r>
              <w:rPr>
                <w:spacing w:val="-10"/>
                <w:sz w:val="18"/>
              </w:rPr>
              <w:t>1</w:t>
            </w:r>
          </w:p>
        </w:tc>
        <w:tc>
          <w:tcPr>
            <w:tcW w:w="1839" w:type="dxa"/>
          </w:tcPr>
          <w:p>
            <w:pPr>
              <w:pStyle w:val="TableParagraph"/>
              <w:spacing w:before="99"/>
              <w:rPr>
                <w:b/>
                <w:sz w:val="18"/>
              </w:rPr>
            </w:pPr>
          </w:p>
          <w:p>
            <w:pPr>
              <w:pStyle w:val="TableParagraph"/>
              <w:spacing w:line="244" w:lineRule="auto"/>
              <w:ind w:left="66" w:right="123"/>
              <w:rPr>
                <w:sz w:val="18"/>
              </w:rPr>
            </w:pPr>
            <w:r>
              <w:rPr>
                <w:sz w:val="18"/>
              </w:rPr>
              <w:t>cantidad</w:t>
            </w:r>
            <w:r>
              <w:rPr>
                <w:spacing w:val="-15"/>
                <w:sz w:val="18"/>
              </w:rPr>
              <w:t> </w:t>
            </w:r>
            <w:r>
              <w:rPr>
                <w:sz w:val="18"/>
              </w:rPr>
              <w:t>de</w:t>
            </w:r>
            <w:r>
              <w:rPr>
                <w:spacing w:val="-12"/>
                <w:sz w:val="18"/>
              </w:rPr>
              <w:t> </w:t>
            </w:r>
            <w:r>
              <w:rPr>
                <w:sz w:val="18"/>
              </w:rPr>
              <w:t>tiendas </w:t>
            </w:r>
            <w:r>
              <w:rPr>
                <w:spacing w:val="-2"/>
                <w:sz w:val="18"/>
              </w:rPr>
              <w:t>remodeladas</w:t>
            </w:r>
          </w:p>
        </w:tc>
        <w:tc>
          <w:tcPr>
            <w:tcW w:w="1421" w:type="dxa"/>
          </w:tcPr>
          <w:p>
            <w:pPr>
              <w:pStyle w:val="TableParagraph"/>
              <w:spacing w:before="99"/>
              <w:rPr>
                <w:b/>
                <w:sz w:val="18"/>
              </w:rPr>
            </w:pPr>
          </w:p>
          <w:p>
            <w:pPr>
              <w:pStyle w:val="TableParagraph"/>
              <w:spacing w:line="244" w:lineRule="auto"/>
              <w:ind w:left="71"/>
              <w:rPr>
                <w:sz w:val="18"/>
              </w:rPr>
            </w:pPr>
            <w:r>
              <w:rPr>
                <w:spacing w:val="-2"/>
                <w:sz w:val="18"/>
              </w:rPr>
              <w:t>Informe Trimestral</w:t>
            </w:r>
          </w:p>
        </w:tc>
        <w:tc>
          <w:tcPr>
            <w:tcW w:w="1277" w:type="dxa"/>
          </w:tcPr>
          <w:p>
            <w:pPr>
              <w:pStyle w:val="TableParagraph"/>
              <w:ind w:left="71" w:right="61"/>
              <w:rPr>
                <w:sz w:val="18"/>
              </w:rPr>
            </w:pPr>
            <w:r>
              <w:rPr>
                <w:spacing w:val="-2"/>
                <w:sz w:val="18"/>
              </w:rPr>
              <w:t>Administració </w:t>
            </w:r>
            <w:r>
              <w:rPr>
                <w:sz w:val="18"/>
              </w:rPr>
              <w:t>n General Jefatura de</w:t>
            </w:r>
          </w:p>
          <w:p>
            <w:pPr>
              <w:pStyle w:val="TableParagraph"/>
              <w:spacing w:line="206" w:lineRule="exact"/>
              <w:ind w:left="71"/>
              <w:rPr>
                <w:sz w:val="18"/>
              </w:rPr>
            </w:pPr>
            <w:r>
              <w:rPr>
                <w:sz w:val="18"/>
              </w:rPr>
              <w:t>Mercadeo</w:t>
            </w:r>
            <w:r>
              <w:rPr>
                <w:spacing w:val="-13"/>
                <w:sz w:val="18"/>
              </w:rPr>
              <w:t> </w:t>
            </w:r>
            <w:r>
              <w:rPr>
                <w:sz w:val="18"/>
              </w:rPr>
              <w:t>y </w:t>
            </w:r>
            <w:r>
              <w:rPr>
                <w:spacing w:val="-2"/>
                <w:sz w:val="18"/>
              </w:rPr>
              <w:t>Ventas</w:t>
            </w:r>
          </w:p>
        </w:tc>
        <w:tc>
          <w:tcPr>
            <w:tcW w:w="1268" w:type="dxa"/>
          </w:tcPr>
          <w:p>
            <w:pPr>
              <w:pStyle w:val="TableParagraph"/>
              <w:spacing w:before="204"/>
              <w:rPr>
                <w:b/>
                <w:sz w:val="18"/>
              </w:rPr>
            </w:pPr>
          </w:p>
          <w:p>
            <w:pPr>
              <w:pStyle w:val="TableParagraph"/>
              <w:ind w:left="13"/>
              <w:jc w:val="center"/>
              <w:rPr>
                <w:sz w:val="18"/>
              </w:rPr>
            </w:pPr>
            <w:r>
              <w:rPr>
                <w:sz w:val="18"/>
              </w:rPr>
              <w:t>₡340</w:t>
            </w:r>
            <w:r>
              <w:rPr>
                <w:spacing w:val="1"/>
                <w:sz w:val="18"/>
              </w:rPr>
              <w:t> </w:t>
            </w:r>
            <w:r>
              <w:rPr>
                <w:sz w:val="18"/>
              </w:rPr>
              <w:t>000</w:t>
            </w:r>
            <w:r>
              <w:rPr>
                <w:spacing w:val="-3"/>
                <w:sz w:val="18"/>
              </w:rPr>
              <w:t> </w:t>
            </w:r>
            <w:r>
              <w:rPr>
                <w:spacing w:val="-5"/>
                <w:sz w:val="18"/>
              </w:rPr>
              <w:t>000</w:t>
            </w:r>
          </w:p>
        </w:tc>
        <w:tc>
          <w:tcPr>
            <w:tcW w:w="1904" w:type="dxa"/>
            <w:vMerge w:val="restart"/>
          </w:tcPr>
          <w:p>
            <w:pPr>
              <w:pStyle w:val="TableParagraph"/>
              <w:rPr>
                <w:b/>
                <w:sz w:val="18"/>
              </w:rPr>
            </w:pPr>
          </w:p>
          <w:p>
            <w:pPr>
              <w:pStyle w:val="TableParagraph"/>
              <w:spacing w:before="113"/>
              <w:rPr>
                <w:b/>
                <w:sz w:val="18"/>
              </w:rPr>
            </w:pPr>
          </w:p>
          <w:p>
            <w:pPr>
              <w:pStyle w:val="TableParagraph"/>
              <w:ind w:left="71" w:right="102"/>
              <w:rPr>
                <w:sz w:val="18"/>
              </w:rPr>
            </w:pPr>
            <w:r>
              <w:rPr>
                <w:sz w:val="18"/>
              </w:rPr>
              <w:t>Evento: Retrasos en los Proyectos de remodelaciones en las</w:t>
            </w:r>
            <w:r>
              <w:rPr>
                <w:spacing w:val="-7"/>
                <w:sz w:val="18"/>
              </w:rPr>
              <w:t> </w:t>
            </w:r>
            <w:r>
              <w:rPr>
                <w:sz w:val="18"/>
              </w:rPr>
              <w:t>tiendas</w:t>
            </w:r>
            <w:r>
              <w:rPr>
                <w:spacing w:val="-7"/>
                <w:sz w:val="18"/>
              </w:rPr>
              <w:t> </w:t>
            </w:r>
            <w:r>
              <w:rPr>
                <w:sz w:val="18"/>
              </w:rPr>
              <w:t>de</w:t>
            </w:r>
            <w:r>
              <w:rPr>
                <w:spacing w:val="-8"/>
                <w:sz w:val="18"/>
              </w:rPr>
              <w:t> </w:t>
            </w:r>
            <w:r>
              <w:rPr>
                <w:sz w:val="18"/>
              </w:rPr>
              <w:t>EC</w:t>
            </w:r>
            <w:r>
              <w:rPr>
                <w:spacing w:val="-13"/>
                <w:sz w:val="18"/>
              </w:rPr>
              <w:t> </w:t>
            </w:r>
            <w:r>
              <w:rPr>
                <w:sz w:val="18"/>
              </w:rPr>
              <w:t>del </w:t>
            </w:r>
            <w:r>
              <w:rPr>
                <w:spacing w:val="-2"/>
                <w:sz w:val="18"/>
              </w:rPr>
              <w:t>IMAS.</w:t>
            </w:r>
          </w:p>
        </w:tc>
      </w:tr>
      <w:tr>
        <w:trPr>
          <w:trHeight w:val="1050" w:hRule="atLeast"/>
        </w:trPr>
        <w:tc>
          <w:tcPr>
            <w:tcW w:w="2689" w:type="dxa"/>
          </w:tcPr>
          <w:p>
            <w:pPr>
              <w:pStyle w:val="TableParagraph"/>
              <w:spacing w:line="207" w:lineRule="exact" w:before="113"/>
              <w:ind w:left="72"/>
              <w:rPr>
                <w:b/>
                <w:sz w:val="18"/>
              </w:rPr>
            </w:pPr>
            <w:r>
              <w:rPr>
                <w:b/>
                <w:sz w:val="18"/>
              </w:rPr>
              <w:t>Actividad</w:t>
            </w:r>
            <w:r>
              <w:rPr>
                <w:b/>
                <w:spacing w:val="-6"/>
                <w:sz w:val="18"/>
              </w:rPr>
              <w:t> </w:t>
            </w:r>
            <w:r>
              <w:rPr>
                <w:b/>
                <w:sz w:val="18"/>
              </w:rPr>
              <w:t>PEC</w:t>
            </w:r>
            <w:r>
              <w:rPr>
                <w:b/>
                <w:spacing w:val="-1"/>
                <w:sz w:val="18"/>
              </w:rPr>
              <w:t> </w:t>
            </w:r>
            <w:r>
              <w:rPr>
                <w:b/>
                <w:spacing w:val="-2"/>
                <w:sz w:val="18"/>
              </w:rPr>
              <w:t>3.6.2:</w:t>
            </w:r>
          </w:p>
          <w:p>
            <w:pPr>
              <w:pStyle w:val="TableParagraph"/>
              <w:spacing w:line="206" w:lineRule="exact"/>
              <w:ind w:left="72"/>
              <w:rPr>
                <w:sz w:val="18"/>
              </w:rPr>
            </w:pPr>
            <w:r>
              <w:rPr>
                <w:sz w:val="18"/>
              </w:rPr>
              <w:t>Remodelación</w:t>
            </w:r>
            <w:r>
              <w:rPr>
                <w:spacing w:val="-8"/>
                <w:sz w:val="18"/>
              </w:rPr>
              <w:t> </w:t>
            </w:r>
            <w:r>
              <w:rPr>
                <w:sz w:val="18"/>
              </w:rPr>
              <w:t>tienda</w:t>
            </w:r>
            <w:r>
              <w:rPr>
                <w:spacing w:val="-3"/>
                <w:sz w:val="18"/>
              </w:rPr>
              <w:t> </w:t>
            </w:r>
            <w:r>
              <w:rPr>
                <w:spacing w:val="-5"/>
                <w:sz w:val="18"/>
              </w:rPr>
              <w:t>19</w:t>
            </w:r>
          </w:p>
          <w:p>
            <w:pPr>
              <w:pStyle w:val="TableParagraph"/>
              <w:spacing w:line="207" w:lineRule="exact"/>
              <w:ind w:left="72"/>
              <w:rPr>
                <w:sz w:val="18"/>
              </w:rPr>
            </w:pPr>
            <w:r>
              <w:rPr>
                <w:sz w:val="18"/>
              </w:rPr>
              <w:t>(1.04.03</w:t>
            </w:r>
            <w:r>
              <w:rPr>
                <w:spacing w:val="-4"/>
                <w:sz w:val="18"/>
              </w:rPr>
              <w:t> </w:t>
            </w:r>
            <w:r>
              <w:rPr>
                <w:sz w:val="18"/>
              </w:rPr>
              <w:t>30</w:t>
            </w:r>
            <w:r>
              <w:rPr>
                <w:spacing w:val="-8"/>
                <w:sz w:val="18"/>
              </w:rPr>
              <w:t> </w:t>
            </w:r>
            <w:r>
              <w:rPr>
                <w:sz w:val="18"/>
              </w:rPr>
              <w:t>millones</w:t>
            </w:r>
            <w:r>
              <w:rPr>
                <w:spacing w:val="1"/>
                <w:sz w:val="18"/>
              </w:rPr>
              <w:t> </w:t>
            </w:r>
            <w:r>
              <w:rPr>
                <w:sz w:val="18"/>
              </w:rPr>
              <w:t>y</w:t>
            </w:r>
            <w:r>
              <w:rPr>
                <w:spacing w:val="-3"/>
                <w:sz w:val="18"/>
              </w:rPr>
              <w:t> </w:t>
            </w:r>
            <w:r>
              <w:rPr>
                <w:spacing w:val="-2"/>
                <w:sz w:val="18"/>
              </w:rPr>
              <w:t>1.08.01.</w:t>
            </w:r>
          </w:p>
          <w:p>
            <w:pPr>
              <w:pStyle w:val="TableParagraph"/>
              <w:ind w:left="72"/>
              <w:rPr>
                <w:sz w:val="18"/>
              </w:rPr>
            </w:pPr>
            <w:r>
              <w:rPr>
                <w:sz w:val="18"/>
              </w:rPr>
              <w:t>300</w:t>
            </w:r>
            <w:r>
              <w:rPr>
                <w:spacing w:val="-2"/>
                <w:sz w:val="18"/>
              </w:rPr>
              <w:t> millones)</w:t>
            </w:r>
          </w:p>
        </w:tc>
        <w:tc>
          <w:tcPr>
            <w:tcW w:w="1988" w:type="dxa"/>
          </w:tcPr>
          <w:p>
            <w:pPr>
              <w:pStyle w:val="TableParagraph"/>
              <w:rPr>
                <w:b/>
                <w:sz w:val="18"/>
              </w:rPr>
            </w:pPr>
          </w:p>
          <w:p>
            <w:pPr>
              <w:pStyle w:val="TableParagraph"/>
              <w:spacing w:before="6"/>
              <w:rPr>
                <w:b/>
                <w:sz w:val="18"/>
              </w:rPr>
            </w:pPr>
          </w:p>
          <w:p>
            <w:pPr>
              <w:pStyle w:val="TableParagraph"/>
              <w:ind w:left="20" w:right="4"/>
              <w:jc w:val="center"/>
              <w:rPr>
                <w:sz w:val="18"/>
              </w:rPr>
            </w:pPr>
            <w:r>
              <w:rPr>
                <w:spacing w:val="-5"/>
                <w:sz w:val="18"/>
              </w:rPr>
              <w:t>N/D</w:t>
            </w:r>
          </w:p>
        </w:tc>
        <w:tc>
          <w:tcPr>
            <w:tcW w:w="1844" w:type="dxa"/>
          </w:tcPr>
          <w:p>
            <w:pPr>
              <w:pStyle w:val="TableParagraph"/>
              <w:rPr>
                <w:b/>
                <w:sz w:val="18"/>
              </w:rPr>
            </w:pPr>
          </w:p>
          <w:p>
            <w:pPr>
              <w:pStyle w:val="TableParagraph"/>
              <w:spacing w:before="6"/>
              <w:rPr>
                <w:b/>
                <w:sz w:val="18"/>
              </w:rPr>
            </w:pPr>
          </w:p>
          <w:p>
            <w:pPr>
              <w:pStyle w:val="TableParagraph"/>
              <w:ind w:left="9" w:right="4"/>
              <w:jc w:val="center"/>
              <w:rPr>
                <w:sz w:val="18"/>
              </w:rPr>
            </w:pPr>
            <w:r>
              <w:rPr>
                <w:spacing w:val="-10"/>
                <w:sz w:val="18"/>
              </w:rPr>
              <w:t>1</w:t>
            </w:r>
          </w:p>
        </w:tc>
        <w:tc>
          <w:tcPr>
            <w:tcW w:w="1839" w:type="dxa"/>
          </w:tcPr>
          <w:p>
            <w:pPr>
              <w:pStyle w:val="TableParagraph"/>
              <w:spacing w:before="112"/>
              <w:rPr>
                <w:b/>
                <w:sz w:val="18"/>
              </w:rPr>
            </w:pPr>
          </w:p>
          <w:p>
            <w:pPr>
              <w:pStyle w:val="TableParagraph"/>
              <w:ind w:left="66" w:right="123"/>
              <w:rPr>
                <w:sz w:val="18"/>
              </w:rPr>
            </w:pPr>
            <w:r>
              <w:rPr>
                <w:sz w:val="18"/>
              </w:rPr>
              <w:t>cantidad</w:t>
            </w:r>
            <w:r>
              <w:rPr>
                <w:spacing w:val="-15"/>
                <w:sz w:val="18"/>
              </w:rPr>
              <w:t> </w:t>
            </w:r>
            <w:r>
              <w:rPr>
                <w:sz w:val="18"/>
              </w:rPr>
              <w:t>de</w:t>
            </w:r>
            <w:r>
              <w:rPr>
                <w:spacing w:val="-12"/>
                <w:sz w:val="18"/>
              </w:rPr>
              <w:t> </w:t>
            </w:r>
            <w:r>
              <w:rPr>
                <w:sz w:val="18"/>
              </w:rPr>
              <w:t>tiendas </w:t>
            </w:r>
            <w:r>
              <w:rPr>
                <w:spacing w:val="-2"/>
                <w:sz w:val="18"/>
              </w:rPr>
              <w:t>remodeladas</w:t>
            </w:r>
          </w:p>
        </w:tc>
        <w:tc>
          <w:tcPr>
            <w:tcW w:w="1421" w:type="dxa"/>
          </w:tcPr>
          <w:p>
            <w:pPr>
              <w:pStyle w:val="TableParagraph"/>
              <w:spacing w:before="112"/>
              <w:rPr>
                <w:b/>
                <w:sz w:val="18"/>
              </w:rPr>
            </w:pPr>
          </w:p>
          <w:p>
            <w:pPr>
              <w:pStyle w:val="TableParagraph"/>
              <w:ind w:left="71"/>
              <w:rPr>
                <w:sz w:val="18"/>
              </w:rPr>
            </w:pPr>
            <w:r>
              <w:rPr>
                <w:spacing w:val="-2"/>
                <w:sz w:val="18"/>
              </w:rPr>
              <w:t>Informe Trimestral</w:t>
            </w:r>
          </w:p>
        </w:tc>
        <w:tc>
          <w:tcPr>
            <w:tcW w:w="1277" w:type="dxa"/>
          </w:tcPr>
          <w:p>
            <w:pPr>
              <w:pStyle w:val="TableParagraph"/>
              <w:spacing w:before="7"/>
              <w:ind w:left="71" w:right="61"/>
              <w:rPr>
                <w:sz w:val="18"/>
              </w:rPr>
            </w:pPr>
            <w:r>
              <w:rPr>
                <w:spacing w:val="-2"/>
                <w:sz w:val="18"/>
              </w:rPr>
              <w:t>Administració </w:t>
            </w:r>
            <w:r>
              <w:rPr>
                <w:sz w:val="18"/>
              </w:rPr>
              <w:t>n General Jefatura de Mercadeo y</w:t>
            </w:r>
          </w:p>
          <w:p>
            <w:pPr>
              <w:pStyle w:val="TableParagraph"/>
              <w:spacing w:line="195" w:lineRule="exact"/>
              <w:ind w:left="71"/>
              <w:rPr>
                <w:sz w:val="18"/>
              </w:rPr>
            </w:pPr>
            <w:r>
              <w:rPr>
                <w:spacing w:val="-2"/>
                <w:sz w:val="18"/>
              </w:rPr>
              <w:t>Ventas</w:t>
            </w:r>
          </w:p>
        </w:tc>
        <w:tc>
          <w:tcPr>
            <w:tcW w:w="1268" w:type="dxa"/>
          </w:tcPr>
          <w:p>
            <w:pPr>
              <w:pStyle w:val="TableParagraph"/>
              <w:rPr>
                <w:b/>
                <w:sz w:val="18"/>
              </w:rPr>
            </w:pPr>
          </w:p>
          <w:p>
            <w:pPr>
              <w:pStyle w:val="TableParagraph"/>
              <w:spacing w:before="6"/>
              <w:rPr>
                <w:b/>
                <w:sz w:val="18"/>
              </w:rPr>
            </w:pPr>
          </w:p>
          <w:p>
            <w:pPr>
              <w:pStyle w:val="TableParagraph"/>
              <w:ind w:left="13"/>
              <w:jc w:val="center"/>
              <w:rPr>
                <w:sz w:val="18"/>
              </w:rPr>
            </w:pPr>
            <w:r>
              <w:rPr>
                <w:sz w:val="18"/>
              </w:rPr>
              <w:t>₡330</w:t>
            </w:r>
            <w:r>
              <w:rPr>
                <w:spacing w:val="1"/>
                <w:sz w:val="18"/>
              </w:rPr>
              <w:t> </w:t>
            </w:r>
            <w:r>
              <w:rPr>
                <w:sz w:val="18"/>
              </w:rPr>
              <w:t>000</w:t>
            </w:r>
            <w:r>
              <w:rPr>
                <w:spacing w:val="-3"/>
                <w:sz w:val="18"/>
              </w:rPr>
              <w:t> </w:t>
            </w:r>
            <w:r>
              <w:rPr>
                <w:spacing w:val="-5"/>
                <w:sz w:val="18"/>
              </w:rPr>
              <w:t>000</w:t>
            </w:r>
          </w:p>
        </w:tc>
        <w:tc>
          <w:tcPr>
            <w:tcW w:w="1904" w:type="dxa"/>
            <w:vMerge/>
            <w:tcBorders>
              <w:top w:val="nil"/>
            </w:tcBorders>
          </w:tcPr>
          <w:p>
            <w:pPr>
              <w:rPr>
                <w:sz w:val="2"/>
                <w:szCs w:val="2"/>
              </w:rPr>
            </w:pPr>
          </w:p>
        </w:tc>
      </w:tr>
      <w:tr>
        <w:trPr>
          <w:trHeight w:val="599" w:hRule="atLeast"/>
        </w:trPr>
        <w:tc>
          <w:tcPr>
            <w:tcW w:w="14230" w:type="dxa"/>
            <w:gridSpan w:val="8"/>
            <w:shd w:val="clear" w:color="auto" w:fill="EFF8F9"/>
          </w:tcPr>
          <w:p>
            <w:pPr>
              <w:pStyle w:val="TableParagraph"/>
              <w:spacing w:before="195"/>
              <w:ind w:left="72"/>
              <w:rPr>
                <w:b/>
                <w:sz w:val="18"/>
              </w:rPr>
            </w:pPr>
            <w:r>
              <w:rPr>
                <w:b/>
                <w:sz w:val="18"/>
              </w:rPr>
              <w:t>Producto</w:t>
            </w:r>
            <w:r>
              <w:rPr>
                <w:b/>
                <w:spacing w:val="-8"/>
                <w:sz w:val="18"/>
              </w:rPr>
              <w:t> </w:t>
            </w:r>
            <w:r>
              <w:rPr>
                <w:b/>
                <w:sz w:val="18"/>
              </w:rPr>
              <w:t>PEC</w:t>
            </w:r>
            <w:r>
              <w:rPr>
                <w:b/>
                <w:spacing w:val="-9"/>
                <w:sz w:val="18"/>
              </w:rPr>
              <w:t> </w:t>
            </w:r>
            <w:r>
              <w:rPr>
                <w:b/>
                <w:sz w:val="18"/>
              </w:rPr>
              <w:t>3.7:</w:t>
            </w:r>
            <w:r>
              <w:rPr>
                <w:b/>
                <w:spacing w:val="-2"/>
                <w:sz w:val="18"/>
              </w:rPr>
              <w:t> </w:t>
            </w:r>
            <w:r>
              <w:rPr>
                <w:b/>
                <w:sz w:val="18"/>
              </w:rPr>
              <w:t>Proyectos</w:t>
            </w:r>
            <w:r>
              <w:rPr>
                <w:b/>
                <w:spacing w:val="-7"/>
                <w:sz w:val="18"/>
              </w:rPr>
              <w:t> </w:t>
            </w:r>
            <w:r>
              <w:rPr>
                <w:b/>
                <w:sz w:val="18"/>
              </w:rPr>
              <w:t>de</w:t>
            </w:r>
            <w:r>
              <w:rPr>
                <w:b/>
                <w:spacing w:val="-7"/>
                <w:sz w:val="18"/>
              </w:rPr>
              <w:t> </w:t>
            </w:r>
            <w:r>
              <w:rPr>
                <w:b/>
                <w:sz w:val="18"/>
              </w:rPr>
              <w:t>automatización</w:t>
            </w:r>
            <w:r>
              <w:rPr>
                <w:b/>
                <w:spacing w:val="-4"/>
                <w:sz w:val="18"/>
              </w:rPr>
              <w:t> </w:t>
            </w:r>
            <w:r>
              <w:rPr>
                <w:b/>
                <w:sz w:val="18"/>
              </w:rPr>
              <w:t>tecnológica</w:t>
            </w:r>
            <w:r>
              <w:rPr>
                <w:b/>
                <w:spacing w:val="-6"/>
                <w:sz w:val="18"/>
              </w:rPr>
              <w:t> </w:t>
            </w:r>
            <w:r>
              <w:rPr>
                <w:b/>
                <w:sz w:val="18"/>
              </w:rPr>
              <w:t>implementados</w:t>
            </w:r>
            <w:r>
              <w:rPr>
                <w:b/>
                <w:spacing w:val="-7"/>
                <w:sz w:val="18"/>
              </w:rPr>
              <w:t> </w:t>
            </w:r>
            <w:r>
              <w:rPr>
                <w:b/>
                <w:sz w:val="18"/>
              </w:rPr>
              <w:t>para</w:t>
            </w:r>
            <w:r>
              <w:rPr>
                <w:b/>
                <w:spacing w:val="-7"/>
                <w:sz w:val="18"/>
              </w:rPr>
              <w:t> </w:t>
            </w:r>
            <w:r>
              <w:rPr>
                <w:b/>
                <w:sz w:val="18"/>
              </w:rPr>
              <w:t>mejorar</w:t>
            </w:r>
            <w:r>
              <w:rPr>
                <w:b/>
                <w:spacing w:val="-6"/>
                <w:sz w:val="18"/>
              </w:rPr>
              <w:t> </w:t>
            </w:r>
            <w:r>
              <w:rPr>
                <w:b/>
                <w:sz w:val="18"/>
              </w:rPr>
              <w:t>y</w:t>
            </w:r>
            <w:r>
              <w:rPr>
                <w:b/>
                <w:spacing w:val="-7"/>
                <w:sz w:val="18"/>
              </w:rPr>
              <w:t> </w:t>
            </w:r>
            <w:r>
              <w:rPr>
                <w:b/>
                <w:sz w:val="18"/>
              </w:rPr>
              <w:t>modernizar</w:t>
            </w:r>
            <w:r>
              <w:rPr>
                <w:b/>
                <w:spacing w:val="-6"/>
                <w:sz w:val="18"/>
              </w:rPr>
              <w:t> </w:t>
            </w:r>
            <w:r>
              <w:rPr>
                <w:b/>
                <w:sz w:val="18"/>
              </w:rPr>
              <w:t>la</w:t>
            </w:r>
            <w:r>
              <w:rPr>
                <w:b/>
                <w:spacing w:val="-7"/>
                <w:sz w:val="18"/>
              </w:rPr>
              <w:t> </w:t>
            </w:r>
            <w:r>
              <w:rPr>
                <w:b/>
                <w:sz w:val="18"/>
              </w:rPr>
              <w:t>operación</w:t>
            </w:r>
            <w:r>
              <w:rPr>
                <w:b/>
                <w:spacing w:val="-4"/>
                <w:sz w:val="18"/>
              </w:rPr>
              <w:t> </w:t>
            </w:r>
            <w:r>
              <w:rPr>
                <w:b/>
                <w:sz w:val="18"/>
              </w:rPr>
              <w:t>del</w:t>
            </w:r>
            <w:r>
              <w:rPr>
                <w:b/>
                <w:spacing w:val="-1"/>
                <w:sz w:val="18"/>
              </w:rPr>
              <w:t> </w:t>
            </w:r>
            <w:r>
              <w:rPr>
                <w:b/>
                <w:sz w:val="18"/>
              </w:rPr>
              <w:t>negocio</w:t>
            </w:r>
            <w:r>
              <w:rPr>
                <w:b/>
                <w:spacing w:val="-11"/>
                <w:sz w:val="18"/>
              </w:rPr>
              <w:t> </w:t>
            </w:r>
            <w:r>
              <w:rPr>
                <w:b/>
                <w:sz w:val="18"/>
              </w:rPr>
              <w:t>(E5</w:t>
            </w:r>
            <w:r>
              <w:rPr>
                <w:b/>
                <w:spacing w:val="-4"/>
                <w:sz w:val="18"/>
              </w:rPr>
              <w:t> </w:t>
            </w:r>
            <w:r>
              <w:rPr>
                <w:b/>
                <w:sz w:val="18"/>
              </w:rPr>
              <w:t>AE3</w:t>
            </w:r>
            <w:r>
              <w:rPr>
                <w:b/>
                <w:spacing w:val="-7"/>
                <w:sz w:val="18"/>
              </w:rPr>
              <w:t> </w:t>
            </w:r>
            <w:r>
              <w:rPr>
                <w:b/>
                <w:spacing w:val="-5"/>
                <w:sz w:val="18"/>
              </w:rPr>
              <w:t>R2)</w:t>
            </w:r>
          </w:p>
        </w:tc>
      </w:tr>
      <w:tr>
        <w:trPr>
          <w:trHeight w:val="1036" w:hRule="atLeast"/>
        </w:trPr>
        <w:tc>
          <w:tcPr>
            <w:tcW w:w="2689" w:type="dxa"/>
          </w:tcPr>
          <w:p>
            <w:pPr>
              <w:pStyle w:val="TableParagraph"/>
              <w:spacing w:before="104"/>
              <w:ind w:left="72"/>
              <w:rPr>
                <w:sz w:val="18"/>
              </w:rPr>
            </w:pPr>
            <w:r>
              <w:rPr>
                <w:b/>
                <w:sz w:val="18"/>
              </w:rPr>
              <w:t>Actividad</w:t>
            </w:r>
            <w:r>
              <w:rPr>
                <w:b/>
                <w:spacing w:val="-11"/>
                <w:sz w:val="18"/>
              </w:rPr>
              <w:t> </w:t>
            </w:r>
            <w:r>
              <w:rPr>
                <w:b/>
                <w:sz w:val="18"/>
              </w:rPr>
              <w:t>PEC</w:t>
            </w:r>
            <w:r>
              <w:rPr>
                <w:b/>
                <w:spacing w:val="-8"/>
                <w:sz w:val="18"/>
              </w:rPr>
              <w:t> </w:t>
            </w:r>
            <w:r>
              <w:rPr>
                <w:b/>
                <w:sz w:val="18"/>
              </w:rPr>
              <w:t>3.7.1:</w:t>
            </w:r>
            <w:r>
              <w:rPr>
                <w:b/>
                <w:spacing w:val="-7"/>
                <w:sz w:val="18"/>
              </w:rPr>
              <w:t> </w:t>
            </w:r>
            <w:r>
              <w:rPr>
                <w:sz w:val="18"/>
              </w:rPr>
              <w:t>Ajustar</w:t>
            </w:r>
            <w:r>
              <w:rPr>
                <w:spacing w:val="-9"/>
                <w:sz w:val="18"/>
              </w:rPr>
              <w:t> </w:t>
            </w:r>
            <w:r>
              <w:rPr>
                <w:sz w:val="18"/>
              </w:rPr>
              <w:t>el sistema de administración de inventarios</w:t>
            </w:r>
            <w:r>
              <w:rPr>
                <w:spacing w:val="-4"/>
                <w:sz w:val="18"/>
              </w:rPr>
              <w:t> </w:t>
            </w:r>
            <w:r>
              <w:rPr>
                <w:sz w:val="18"/>
              </w:rPr>
              <w:t>y ventas para</w:t>
            </w:r>
            <w:r>
              <w:rPr>
                <w:spacing w:val="-4"/>
                <w:sz w:val="18"/>
              </w:rPr>
              <w:t> </w:t>
            </w:r>
            <w:r>
              <w:rPr>
                <w:sz w:val="18"/>
              </w:rPr>
              <w:t>poder utilizar los nuevos dispositivos</w:t>
            </w:r>
          </w:p>
        </w:tc>
        <w:tc>
          <w:tcPr>
            <w:tcW w:w="1988" w:type="dxa"/>
          </w:tcPr>
          <w:p>
            <w:pPr>
              <w:pStyle w:val="TableParagraph"/>
              <w:rPr>
                <w:b/>
                <w:sz w:val="18"/>
              </w:rPr>
            </w:pPr>
          </w:p>
          <w:p>
            <w:pPr>
              <w:pStyle w:val="TableParagraph"/>
              <w:spacing w:before="3"/>
              <w:rPr>
                <w:b/>
                <w:sz w:val="18"/>
              </w:rPr>
            </w:pPr>
          </w:p>
          <w:p>
            <w:pPr>
              <w:pStyle w:val="TableParagraph"/>
              <w:ind w:left="20" w:right="4"/>
              <w:jc w:val="center"/>
              <w:rPr>
                <w:sz w:val="18"/>
              </w:rPr>
            </w:pPr>
            <w:r>
              <w:rPr>
                <w:spacing w:val="-5"/>
                <w:sz w:val="18"/>
              </w:rPr>
              <w:t>N/D</w:t>
            </w:r>
          </w:p>
        </w:tc>
        <w:tc>
          <w:tcPr>
            <w:tcW w:w="1844" w:type="dxa"/>
          </w:tcPr>
          <w:p>
            <w:pPr>
              <w:pStyle w:val="TableParagraph"/>
              <w:rPr>
                <w:b/>
                <w:sz w:val="18"/>
              </w:rPr>
            </w:pPr>
          </w:p>
          <w:p>
            <w:pPr>
              <w:pStyle w:val="TableParagraph"/>
              <w:spacing w:before="3"/>
              <w:rPr>
                <w:b/>
                <w:sz w:val="18"/>
              </w:rPr>
            </w:pPr>
          </w:p>
          <w:p>
            <w:pPr>
              <w:pStyle w:val="TableParagraph"/>
              <w:ind w:left="9" w:right="4"/>
              <w:jc w:val="center"/>
              <w:rPr>
                <w:sz w:val="18"/>
              </w:rPr>
            </w:pPr>
            <w:r>
              <w:rPr>
                <w:spacing w:val="-10"/>
                <w:sz w:val="18"/>
              </w:rPr>
              <w:t>1</w:t>
            </w:r>
          </w:p>
        </w:tc>
        <w:tc>
          <w:tcPr>
            <w:tcW w:w="1839" w:type="dxa"/>
          </w:tcPr>
          <w:p>
            <w:pPr>
              <w:pStyle w:val="TableParagraph"/>
              <w:spacing w:line="242" w:lineRule="auto" w:before="205"/>
              <w:ind w:left="66" w:right="123"/>
              <w:rPr>
                <w:sz w:val="18"/>
              </w:rPr>
            </w:pPr>
            <w:r>
              <w:rPr>
                <w:sz w:val="18"/>
              </w:rPr>
              <w:t>cantidad</w:t>
            </w:r>
            <w:r>
              <w:rPr>
                <w:spacing w:val="-15"/>
                <w:sz w:val="18"/>
              </w:rPr>
              <w:t> </w:t>
            </w:r>
            <w:r>
              <w:rPr>
                <w:sz w:val="18"/>
              </w:rPr>
              <w:t>de</w:t>
            </w:r>
            <w:r>
              <w:rPr>
                <w:spacing w:val="-12"/>
                <w:sz w:val="18"/>
              </w:rPr>
              <w:t> </w:t>
            </w:r>
            <w:r>
              <w:rPr>
                <w:sz w:val="18"/>
              </w:rPr>
              <w:t>sistema </w:t>
            </w:r>
            <w:r>
              <w:rPr>
                <w:spacing w:val="-2"/>
                <w:sz w:val="18"/>
              </w:rPr>
              <w:t>funcionando correctamente</w:t>
            </w:r>
          </w:p>
        </w:tc>
        <w:tc>
          <w:tcPr>
            <w:tcW w:w="1421" w:type="dxa"/>
          </w:tcPr>
          <w:p>
            <w:pPr>
              <w:pStyle w:val="TableParagraph"/>
              <w:spacing w:before="104"/>
              <w:rPr>
                <w:b/>
                <w:sz w:val="18"/>
              </w:rPr>
            </w:pPr>
          </w:p>
          <w:p>
            <w:pPr>
              <w:pStyle w:val="TableParagraph"/>
              <w:ind w:left="71"/>
              <w:rPr>
                <w:sz w:val="18"/>
              </w:rPr>
            </w:pPr>
            <w:r>
              <w:rPr>
                <w:spacing w:val="-2"/>
                <w:sz w:val="18"/>
              </w:rPr>
              <w:t>Informe Trimestral</w:t>
            </w:r>
          </w:p>
        </w:tc>
        <w:tc>
          <w:tcPr>
            <w:tcW w:w="1277" w:type="dxa"/>
          </w:tcPr>
          <w:p>
            <w:pPr>
              <w:pStyle w:val="TableParagraph"/>
              <w:spacing w:before="104"/>
              <w:ind w:left="71" w:right="61"/>
              <w:rPr>
                <w:sz w:val="18"/>
              </w:rPr>
            </w:pPr>
            <w:r>
              <w:rPr>
                <w:sz w:val="18"/>
              </w:rPr>
              <w:t>Jefatura de Logística e </w:t>
            </w:r>
            <w:r>
              <w:rPr>
                <w:spacing w:val="-2"/>
                <w:sz w:val="18"/>
              </w:rPr>
              <w:t>Importaciones </w:t>
            </w:r>
            <w:r>
              <w:rPr>
                <w:sz w:val="18"/>
              </w:rPr>
              <w:t>y Jefatura de</w:t>
            </w:r>
          </w:p>
        </w:tc>
        <w:tc>
          <w:tcPr>
            <w:tcW w:w="1268" w:type="dxa"/>
          </w:tcPr>
          <w:p>
            <w:pPr>
              <w:pStyle w:val="TableParagraph"/>
              <w:rPr>
                <w:b/>
                <w:sz w:val="18"/>
              </w:rPr>
            </w:pPr>
          </w:p>
          <w:p>
            <w:pPr>
              <w:pStyle w:val="TableParagraph"/>
              <w:spacing w:before="3"/>
              <w:rPr>
                <w:b/>
                <w:sz w:val="18"/>
              </w:rPr>
            </w:pPr>
          </w:p>
          <w:p>
            <w:pPr>
              <w:pStyle w:val="TableParagraph"/>
              <w:ind w:left="13" w:right="5"/>
              <w:jc w:val="center"/>
              <w:rPr>
                <w:sz w:val="18"/>
              </w:rPr>
            </w:pPr>
            <w:r>
              <w:rPr>
                <w:sz w:val="18"/>
              </w:rPr>
              <w:t>₡10</w:t>
            </w:r>
            <w:r>
              <w:rPr>
                <w:spacing w:val="1"/>
                <w:sz w:val="18"/>
              </w:rPr>
              <w:t> </w:t>
            </w:r>
            <w:r>
              <w:rPr>
                <w:sz w:val="18"/>
              </w:rPr>
              <w:t>000</w:t>
            </w:r>
            <w:r>
              <w:rPr>
                <w:spacing w:val="-3"/>
                <w:sz w:val="18"/>
              </w:rPr>
              <w:t> </w:t>
            </w:r>
            <w:r>
              <w:rPr>
                <w:spacing w:val="-5"/>
                <w:sz w:val="18"/>
              </w:rPr>
              <w:t>000</w:t>
            </w:r>
          </w:p>
        </w:tc>
        <w:tc>
          <w:tcPr>
            <w:tcW w:w="1904" w:type="dxa"/>
          </w:tcPr>
          <w:p>
            <w:pPr>
              <w:pStyle w:val="TableParagraph"/>
              <w:spacing w:line="242" w:lineRule="auto"/>
              <w:ind w:left="71" w:right="79"/>
              <w:rPr>
                <w:sz w:val="18"/>
              </w:rPr>
            </w:pPr>
            <w:r>
              <w:rPr>
                <w:sz w:val="18"/>
              </w:rPr>
              <w:t>Evento:</w:t>
            </w:r>
            <w:r>
              <w:rPr>
                <w:spacing w:val="-15"/>
                <w:sz w:val="18"/>
              </w:rPr>
              <w:t> </w:t>
            </w:r>
            <w:r>
              <w:rPr>
                <w:sz w:val="18"/>
              </w:rPr>
              <w:t>Retrasos</w:t>
            </w:r>
            <w:r>
              <w:rPr>
                <w:spacing w:val="-12"/>
                <w:sz w:val="18"/>
              </w:rPr>
              <w:t> </w:t>
            </w:r>
            <w:r>
              <w:rPr>
                <w:sz w:val="18"/>
              </w:rPr>
              <w:t>en los proyectos de </w:t>
            </w:r>
            <w:r>
              <w:rPr>
                <w:spacing w:val="-2"/>
                <w:sz w:val="18"/>
              </w:rPr>
              <w:t>automatización</w:t>
            </w:r>
          </w:p>
          <w:p>
            <w:pPr>
              <w:pStyle w:val="TableParagraph"/>
              <w:spacing w:line="206" w:lineRule="exact"/>
              <w:ind w:left="71" w:right="79"/>
              <w:rPr>
                <w:sz w:val="18"/>
              </w:rPr>
            </w:pPr>
            <w:r>
              <w:rPr>
                <w:spacing w:val="-2"/>
                <w:sz w:val="18"/>
              </w:rPr>
              <w:t>tecnológicos </w:t>
            </w:r>
            <w:r>
              <w:rPr>
                <w:sz w:val="18"/>
              </w:rPr>
              <w:t>requeridos</w:t>
            </w:r>
            <w:r>
              <w:rPr>
                <w:spacing w:val="-13"/>
                <w:sz w:val="18"/>
              </w:rPr>
              <w:t> </w:t>
            </w:r>
            <w:r>
              <w:rPr>
                <w:sz w:val="18"/>
              </w:rPr>
              <w:t>que</w:t>
            </w:r>
          </w:p>
        </w:tc>
      </w:tr>
    </w:tbl>
    <w:p>
      <w:pPr>
        <w:pStyle w:val="TableParagraph"/>
        <w:spacing w:after="0" w:line="206" w:lineRule="exact"/>
        <w:rPr>
          <w:sz w:val="18"/>
        </w:rPr>
        <w:sectPr>
          <w:type w:val="continuous"/>
          <w:pgSz w:w="15840" w:h="12240" w:orient="landscape"/>
          <w:pgMar w:header="0" w:footer="1806" w:top="700" w:bottom="2320" w:left="360" w:right="360"/>
        </w:sectPr>
      </w:pPr>
    </w:p>
    <w:tbl>
      <w:tblPr>
        <w:tblW w:w="0" w:type="auto"/>
        <w:jc w:val="left"/>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89"/>
        <w:gridCol w:w="1988"/>
        <w:gridCol w:w="1844"/>
        <w:gridCol w:w="1839"/>
        <w:gridCol w:w="1277"/>
        <w:gridCol w:w="144"/>
        <w:gridCol w:w="1277"/>
        <w:gridCol w:w="1268"/>
        <w:gridCol w:w="1904"/>
      </w:tblGrid>
      <w:tr>
        <w:trPr>
          <w:trHeight w:val="873" w:hRule="atLeast"/>
        </w:trPr>
        <w:tc>
          <w:tcPr>
            <w:tcW w:w="2689" w:type="dxa"/>
            <w:shd w:val="clear" w:color="auto" w:fill="D7D7D7"/>
          </w:tcPr>
          <w:p>
            <w:pPr>
              <w:pStyle w:val="TableParagraph"/>
              <w:spacing w:before="127"/>
              <w:rPr>
                <w:b/>
                <w:sz w:val="18"/>
              </w:rPr>
            </w:pPr>
          </w:p>
          <w:p>
            <w:pPr>
              <w:pStyle w:val="TableParagraph"/>
              <w:spacing w:before="1"/>
              <w:ind w:left="374"/>
              <w:rPr>
                <w:b/>
                <w:sz w:val="18"/>
              </w:rPr>
            </w:pPr>
            <w:r>
              <w:rPr>
                <w:b/>
                <w:sz w:val="18"/>
              </w:rPr>
              <w:t>Objetivos</w:t>
            </w:r>
            <w:r>
              <w:rPr>
                <w:b/>
                <w:spacing w:val="-5"/>
                <w:sz w:val="18"/>
              </w:rPr>
              <w:t> </w:t>
            </w:r>
            <w:r>
              <w:rPr>
                <w:b/>
                <w:sz w:val="18"/>
              </w:rPr>
              <w:t>/</w:t>
            </w:r>
            <w:r>
              <w:rPr>
                <w:b/>
                <w:spacing w:val="-2"/>
                <w:sz w:val="18"/>
              </w:rPr>
              <w:t> Resultados</w:t>
            </w:r>
          </w:p>
        </w:tc>
        <w:tc>
          <w:tcPr>
            <w:tcW w:w="1988" w:type="dxa"/>
            <w:shd w:val="clear" w:color="auto" w:fill="D7D7D7"/>
          </w:tcPr>
          <w:p>
            <w:pPr>
              <w:pStyle w:val="TableParagraph"/>
              <w:spacing w:before="127"/>
              <w:rPr>
                <w:b/>
                <w:sz w:val="18"/>
              </w:rPr>
            </w:pPr>
          </w:p>
          <w:p>
            <w:pPr>
              <w:pStyle w:val="TableParagraph"/>
              <w:spacing w:before="1"/>
              <w:ind w:left="20" w:right="5"/>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844" w:type="dxa"/>
            <w:shd w:val="clear" w:color="auto" w:fill="D7D7D7"/>
          </w:tcPr>
          <w:p>
            <w:pPr>
              <w:pStyle w:val="TableParagraph"/>
              <w:spacing w:before="22"/>
              <w:rPr>
                <w:b/>
                <w:sz w:val="18"/>
              </w:rPr>
            </w:pPr>
          </w:p>
          <w:p>
            <w:pPr>
              <w:pStyle w:val="TableParagraph"/>
              <w:ind w:left="720" w:hanging="553"/>
              <w:rPr>
                <w:b/>
                <w:sz w:val="18"/>
              </w:rPr>
            </w:pPr>
            <w:r>
              <w:rPr>
                <w:b/>
                <w:sz w:val="18"/>
              </w:rPr>
              <w:t>Meta</w:t>
            </w:r>
            <w:r>
              <w:rPr>
                <w:b/>
                <w:spacing w:val="-13"/>
                <w:sz w:val="18"/>
              </w:rPr>
              <w:t> </w:t>
            </w:r>
            <w:r>
              <w:rPr>
                <w:b/>
                <w:sz w:val="18"/>
              </w:rPr>
              <w:t>programada </w:t>
            </w:r>
            <w:r>
              <w:rPr>
                <w:b/>
                <w:spacing w:val="-4"/>
                <w:sz w:val="18"/>
              </w:rPr>
              <w:t>2026</w:t>
            </w:r>
          </w:p>
        </w:tc>
        <w:tc>
          <w:tcPr>
            <w:tcW w:w="1839" w:type="dxa"/>
            <w:shd w:val="clear" w:color="auto" w:fill="D7D7D7"/>
          </w:tcPr>
          <w:p>
            <w:pPr>
              <w:pStyle w:val="TableParagraph"/>
              <w:spacing w:before="127"/>
              <w:rPr>
                <w:b/>
                <w:sz w:val="18"/>
              </w:rPr>
            </w:pPr>
          </w:p>
          <w:p>
            <w:pPr>
              <w:pStyle w:val="TableParagraph"/>
              <w:spacing w:before="1"/>
              <w:ind w:left="513"/>
              <w:rPr>
                <w:b/>
                <w:sz w:val="18"/>
              </w:rPr>
            </w:pPr>
            <w:r>
              <w:rPr>
                <w:b/>
                <w:spacing w:val="-2"/>
                <w:sz w:val="18"/>
              </w:rPr>
              <w:t>Indicador</w:t>
            </w:r>
          </w:p>
        </w:tc>
        <w:tc>
          <w:tcPr>
            <w:tcW w:w="1421" w:type="dxa"/>
            <w:gridSpan w:val="2"/>
            <w:shd w:val="clear" w:color="auto" w:fill="D7D7D7"/>
          </w:tcPr>
          <w:p>
            <w:pPr>
              <w:pStyle w:val="TableParagraph"/>
              <w:spacing w:before="22"/>
              <w:rPr>
                <w:b/>
                <w:sz w:val="18"/>
              </w:rPr>
            </w:pPr>
          </w:p>
          <w:p>
            <w:pPr>
              <w:pStyle w:val="TableParagraph"/>
              <w:ind w:left="210" w:firstLine="57"/>
              <w:rPr>
                <w:b/>
                <w:sz w:val="18"/>
              </w:rPr>
            </w:pPr>
            <w:r>
              <w:rPr>
                <w:b/>
                <w:sz w:val="18"/>
              </w:rPr>
              <w:t>Medios de </w:t>
            </w:r>
            <w:r>
              <w:rPr>
                <w:b/>
                <w:spacing w:val="-2"/>
                <w:sz w:val="18"/>
              </w:rPr>
              <w:t>verificación</w:t>
            </w:r>
          </w:p>
        </w:tc>
        <w:tc>
          <w:tcPr>
            <w:tcW w:w="1277" w:type="dxa"/>
            <w:shd w:val="clear" w:color="auto" w:fill="D7D7D7"/>
          </w:tcPr>
          <w:p>
            <w:pPr>
              <w:pStyle w:val="TableParagraph"/>
              <w:spacing w:before="127"/>
              <w:rPr>
                <w:b/>
                <w:sz w:val="18"/>
              </w:rPr>
            </w:pPr>
          </w:p>
          <w:p>
            <w:pPr>
              <w:pStyle w:val="TableParagraph"/>
              <w:spacing w:before="1"/>
              <w:ind w:left="76"/>
              <w:rPr>
                <w:b/>
                <w:sz w:val="18"/>
              </w:rPr>
            </w:pPr>
            <w:r>
              <w:rPr>
                <w:b/>
                <w:spacing w:val="-2"/>
                <w:sz w:val="18"/>
              </w:rPr>
              <w:t>Responsable</w:t>
            </w:r>
          </w:p>
        </w:tc>
        <w:tc>
          <w:tcPr>
            <w:tcW w:w="1268" w:type="dxa"/>
            <w:shd w:val="clear" w:color="auto" w:fill="D7D7D7"/>
          </w:tcPr>
          <w:p>
            <w:pPr>
              <w:pStyle w:val="TableParagraph"/>
              <w:spacing w:before="22"/>
              <w:rPr>
                <w:b/>
                <w:sz w:val="18"/>
              </w:rPr>
            </w:pPr>
          </w:p>
          <w:p>
            <w:pPr>
              <w:pStyle w:val="TableParagraph"/>
              <w:ind w:left="234" w:hanging="149"/>
              <w:rPr>
                <w:b/>
                <w:sz w:val="18"/>
              </w:rPr>
            </w:pPr>
            <w:r>
              <w:rPr>
                <w:b/>
                <w:spacing w:val="-2"/>
                <w:sz w:val="18"/>
              </w:rPr>
              <w:t>Presupuesto asignado</w:t>
            </w:r>
          </w:p>
        </w:tc>
        <w:tc>
          <w:tcPr>
            <w:tcW w:w="1904" w:type="dxa"/>
            <w:shd w:val="clear" w:color="auto" w:fill="D7D7D7"/>
          </w:tcPr>
          <w:p>
            <w:pPr>
              <w:pStyle w:val="TableParagraph"/>
              <w:spacing w:before="127"/>
              <w:rPr>
                <w:b/>
                <w:sz w:val="18"/>
              </w:rPr>
            </w:pPr>
          </w:p>
          <w:p>
            <w:pPr>
              <w:pStyle w:val="TableParagraph"/>
              <w:spacing w:before="1"/>
              <w:ind w:left="196"/>
              <w:rPr>
                <w:b/>
                <w:sz w:val="18"/>
              </w:rPr>
            </w:pPr>
            <w:r>
              <w:rPr>
                <w:b/>
                <w:sz w:val="18"/>
              </w:rPr>
              <w:t>Riesgo</w:t>
            </w:r>
            <w:r>
              <w:rPr>
                <w:b/>
                <w:spacing w:val="-4"/>
                <w:sz w:val="18"/>
              </w:rPr>
              <w:t> </w:t>
            </w:r>
            <w:r>
              <w:rPr>
                <w:b/>
                <w:spacing w:val="-2"/>
                <w:sz w:val="18"/>
              </w:rPr>
              <w:t>Vinculado</w:t>
            </w:r>
          </w:p>
        </w:tc>
      </w:tr>
      <w:tr>
        <w:trPr>
          <w:trHeight w:val="1027" w:hRule="atLeast"/>
        </w:trPr>
        <w:tc>
          <w:tcPr>
            <w:tcW w:w="2689" w:type="dxa"/>
          </w:tcPr>
          <w:p>
            <w:pPr>
              <w:pStyle w:val="TableParagraph"/>
              <w:ind w:left="72"/>
              <w:rPr>
                <w:sz w:val="18"/>
              </w:rPr>
            </w:pPr>
            <w:r>
              <w:rPr>
                <w:sz w:val="18"/>
              </w:rPr>
              <w:t>tecnológicos</w:t>
            </w:r>
            <w:r>
              <w:rPr>
                <w:spacing w:val="-15"/>
                <w:sz w:val="18"/>
              </w:rPr>
              <w:t> </w:t>
            </w:r>
            <w:r>
              <w:rPr>
                <w:sz w:val="18"/>
              </w:rPr>
              <w:t>(Handhelds</w:t>
            </w:r>
            <w:r>
              <w:rPr>
                <w:spacing w:val="-12"/>
                <w:sz w:val="18"/>
              </w:rPr>
              <w:t> </w:t>
            </w:r>
            <w:r>
              <w:rPr>
                <w:sz w:val="18"/>
              </w:rPr>
              <w:t>y Tablets </w:t>
            </w:r>
            <w:r>
              <w:rPr>
                <w:b/>
                <w:sz w:val="18"/>
              </w:rPr>
              <w:t>(</w:t>
            </w:r>
            <w:r>
              <w:rPr>
                <w:sz w:val="18"/>
              </w:rPr>
              <w:t>1.04.05)</w:t>
            </w:r>
          </w:p>
        </w:tc>
        <w:tc>
          <w:tcPr>
            <w:tcW w:w="1988" w:type="dxa"/>
          </w:tcPr>
          <w:p>
            <w:pPr>
              <w:pStyle w:val="TableParagraph"/>
              <w:rPr>
                <w:rFonts w:ascii="Times New Roman"/>
                <w:sz w:val="18"/>
              </w:rPr>
            </w:pPr>
          </w:p>
        </w:tc>
        <w:tc>
          <w:tcPr>
            <w:tcW w:w="1844" w:type="dxa"/>
          </w:tcPr>
          <w:p>
            <w:pPr>
              <w:pStyle w:val="TableParagraph"/>
              <w:rPr>
                <w:rFonts w:ascii="Times New Roman"/>
                <w:sz w:val="18"/>
              </w:rPr>
            </w:pPr>
          </w:p>
        </w:tc>
        <w:tc>
          <w:tcPr>
            <w:tcW w:w="1839" w:type="dxa"/>
          </w:tcPr>
          <w:p>
            <w:pPr>
              <w:pStyle w:val="TableParagraph"/>
              <w:rPr>
                <w:rFonts w:ascii="Times New Roman"/>
                <w:sz w:val="18"/>
              </w:rPr>
            </w:pPr>
          </w:p>
        </w:tc>
        <w:tc>
          <w:tcPr>
            <w:tcW w:w="1421" w:type="dxa"/>
            <w:gridSpan w:val="2"/>
          </w:tcPr>
          <w:p>
            <w:pPr>
              <w:pStyle w:val="TableParagraph"/>
              <w:rPr>
                <w:rFonts w:ascii="Times New Roman"/>
                <w:sz w:val="18"/>
              </w:rPr>
            </w:pPr>
          </w:p>
        </w:tc>
        <w:tc>
          <w:tcPr>
            <w:tcW w:w="1277" w:type="dxa"/>
          </w:tcPr>
          <w:p>
            <w:pPr>
              <w:pStyle w:val="TableParagraph"/>
              <w:ind w:left="71"/>
              <w:rPr>
                <w:sz w:val="18"/>
              </w:rPr>
            </w:pPr>
            <w:r>
              <w:rPr>
                <w:sz w:val="18"/>
              </w:rPr>
              <w:t>Mercadeo</w:t>
            </w:r>
            <w:r>
              <w:rPr>
                <w:spacing w:val="-13"/>
                <w:sz w:val="18"/>
              </w:rPr>
              <w:t> </w:t>
            </w:r>
            <w:r>
              <w:rPr>
                <w:sz w:val="18"/>
              </w:rPr>
              <w:t>y </w:t>
            </w:r>
            <w:r>
              <w:rPr>
                <w:spacing w:val="-2"/>
                <w:sz w:val="18"/>
              </w:rPr>
              <w:t>Ventas</w:t>
            </w:r>
          </w:p>
        </w:tc>
        <w:tc>
          <w:tcPr>
            <w:tcW w:w="1268" w:type="dxa"/>
          </w:tcPr>
          <w:p>
            <w:pPr>
              <w:pStyle w:val="TableParagraph"/>
              <w:rPr>
                <w:rFonts w:ascii="Times New Roman"/>
                <w:sz w:val="18"/>
              </w:rPr>
            </w:pPr>
          </w:p>
        </w:tc>
        <w:tc>
          <w:tcPr>
            <w:tcW w:w="1904" w:type="dxa"/>
            <w:vMerge w:val="restart"/>
          </w:tcPr>
          <w:p>
            <w:pPr>
              <w:pStyle w:val="TableParagraph"/>
              <w:ind w:left="71"/>
              <w:rPr>
                <w:sz w:val="18"/>
              </w:rPr>
            </w:pPr>
            <w:r>
              <w:rPr>
                <w:sz w:val="18"/>
              </w:rPr>
              <w:t>afectan</w:t>
            </w:r>
            <w:r>
              <w:rPr>
                <w:spacing w:val="-15"/>
                <w:sz w:val="18"/>
              </w:rPr>
              <w:t> </w:t>
            </w:r>
            <w:r>
              <w:rPr>
                <w:sz w:val="18"/>
              </w:rPr>
              <w:t>la</w:t>
            </w:r>
            <w:r>
              <w:rPr>
                <w:spacing w:val="-12"/>
                <w:sz w:val="18"/>
              </w:rPr>
              <w:t> </w:t>
            </w:r>
            <w:r>
              <w:rPr>
                <w:sz w:val="18"/>
              </w:rPr>
              <w:t>continuidad del negocio por excesos</w:t>
            </w:r>
            <w:r>
              <w:rPr>
                <w:spacing w:val="-6"/>
                <w:sz w:val="18"/>
              </w:rPr>
              <w:t> </w:t>
            </w:r>
            <w:r>
              <w:rPr>
                <w:sz w:val="18"/>
              </w:rPr>
              <w:t>de</w:t>
            </w:r>
            <w:r>
              <w:rPr>
                <w:spacing w:val="-6"/>
                <w:sz w:val="18"/>
              </w:rPr>
              <w:t> </w:t>
            </w:r>
            <w:r>
              <w:rPr>
                <w:sz w:val="18"/>
              </w:rPr>
              <w:t>requisitos establecidos en la </w:t>
            </w:r>
            <w:r>
              <w:rPr>
                <w:spacing w:val="-2"/>
                <w:sz w:val="18"/>
              </w:rPr>
              <w:t>normativa</w:t>
            </w:r>
          </w:p>
        </w:tc>
      </w:tr>
      <w:tr>
        <w:trPr>
          <w:trHeight w:val="1243" w:hRule="atLeast"/>
        </w:trPr>
        <w:tc>
          <w:tcPr>
            <w:tcW w:w="2689" w:type="dxa"/>
          </w:tcPr>
          <w:p>
            <w:pPr>
              <w:pStyle w:val="TableParagraph"/>
              <w:spacing w:before="205"/>
              <w:ind w:left="72" w:right="100"/>
              <w:rPr>
                <w:sz w:val="18"/>
              </w:rPr>
            </w:pPr>
            <w:r>
              <w:rPr>
                <w:b/>
                <w:sz w:val="18"/>
              </w:rPr>
              <w:t>Actividad</w:t>
            </w:r>
            <w:r>
              <w:rPr>
                <w:b/>
                <w:spacing w:val="-11"/>
                <w:sz w:val="18"/>
              </w:rPr>
              <w:t> </w:t>
            </w:r>
            <w:r>
              <w:rPr>
                <w:b/>
                <w:sz w:val="18"/>
              </w:rPr>
              <w:t>PEC</w:t>
            </w:r>
            <w:r>
              <w:rPr>
                <w:b/>
                <w:spacing w:val="-7"/>
                <w:sz w:val="18"/>
              </w:rPr>
              <w:t> </w:t>
            </w:r>
            <w:r>
              <w:rPr>
                <w:b/>
                <w:sz w:val="18"/>
              </w:rPr>
              <w:t>3.7.2:</w:t>
            </w:r>
            <w:r>
              <w:rPr>
                <w:b/>
                <w:spacing w:val="35"/>
                <w:sz w:val="18"/>
              </w:rPr>
              <w:t> </w:t>
            </w:r>
            <w:r>
              <w:rPr>
                <w:sz w:val="18"/>
              </w:rPr>
              <w:t>Equipar las tiendas</w:t>
            </w:r>
            <w:r>
              <w:rPr>
                <w:spacing w:val="-3"/>
                <w:sz w:val="18"/>
              </w:rPr>
              <w:t> </w:t>
            </w:r>
            <w:r>
              <w:rPr>
                <w:sz w:val="18"/>
              </w:rPr>
              <w:t>con Handheld</w:t>
            </w:r>
            <w:r>
              <w:rPr>
                <w:spacing w:val="-3"/>
                <w:sz w:val="18"/>
              </w:rPr>
              <w:t> </w:t>
            </w:r>
            <w:r>
              <w:rPr>
                <w:sz w:val="18"/>
              </w:rPr>
              <w:t>para mejorar la experiencia de </w:t>
            </w:r>
            <w:r>
              <w:rPr>
                <w:spacing w:val="-2"/>
                <w:sz w:val="18"/>
              </w:rPr>
              <w:t>compra</w:t>
            </w:r>
          </w:p>
        </w:tc>
        <w:tc>
          <w:tcPr>
            <w:tcW w:w="1988" w:type="dxa"/>
          </w:tcPr>
          <w:p>
            <w:pPr>
              <w:pStyle w:val="TableParagraph"/>
              <w:rPr>
                <w:b/>
                <w:sz w:val="18"/>
              </w:rPr>
            </w:pPr>
          </w:p>
          <w:p>
            <w:pPr>
              <w:pStyle w:val="TableParagraph"/>
              <w:spacing w:before="103"/>
              <w:rPr>
                <w:b/>
                <w:sz w:val="18"/>
              </w:rPr>
            </w:pPr>
          </w:p>
          <w:p>
            <w:pPr>
              <w:pStyle w:val="TableParagraph"/>
              <w:ind w:left="20" w:right="4"/>
              <w:jc w:val="center"/>
              <w:rPr>
                <w:sz w:val="18"/>
              </w:rPr>
            </w:pPr>
            <w:r>
              <w:rPr>
                <w:spacing w:val="-5"/>
                <w:sz w:val="18"/>
              </w:rPr>
              <w:t>N/D</w:t>
            </w:r>
          </w:p>
        </w:tc>
        <w:tc>
          <w:tcPr>
            <w:tcW w:w="1844" w:type="dxa"/>
          </w:tcPr>
          <w:p>
            <w:pPr>
              <w:pStyle w:val="TableParagraph"/>
              <w:rPr>
                <w:b/>
                <w:sz w:val="18"/>
              </w:rPr>
            </w:pPr>
          </w:p>
          <w:p>
            <w:pPr>
              <w:pStyle w:val="TableParagraph"/>
              <w:spacing w:before="103"/>
              <w:rPr>
                <w:b/>
                <w:sz w:val="18"/>
              </w:rPr>
            </w:pPr>
          </w:p>
          <w:p>
            <w:pPr>
              <w:pStyle w:val="TableParagraph"/>
              <w:ind w:left="9" w:right="4"/>
              <w:jc w:val="center"/>
              <w:rPr>
                <w:sz w:val="18"/>
              </w:rPr>
            </w:pPr>
            <w:r>
              <w:rPr>
                <w:spacing w:val="-10"/>
                <w:sz w:val="18"/>
              </w:rPr>
              <w:t>7</w:t>
            </w:r>
          </w:p>
        </w:tc>
        <w:tc>
          <w:tcPr>
            <w:tcW w:w="1839" w:type="dxa"/>
          </w:tcPr>
          <w:p>
            <w:pPr>
              <w:pStyle w:val="TableParagraph"/>
              <w:spacing w:before="104"/>
              <w:rPr>
                <w:b/>
                <w:sz w:val="18"/>
              </w:rPr>
            </w:pPr>
          </w:p>
          <w:p>
            <w:pPr>
              <w:pStyle w:val="TableParagraph"/>
              <w:ind w:left="66" w:right="123"/>
              <w:rPr>
                <w:sz w:val="18"/>
              </w:rPr>
            </w:pPr>
            <w:r>
              <w:rPr>
                <w:sz w:val="18"/>
              </w:rPr>
              <w:t>Cantidad</w:t>
            </w:r>
            <w:r>
              <w:rPr>
                <w:spacing w:val="-15"/>
                <w:sz w:val="18"/>
              </w:rPr>
              <w:t> </w:t>
            </w:r>
            <w:r>
              <w:rPr>
                <w:sz w:val="18"/>
              </w:rPr>
              <w:t>de</w:t>
            </w:r>
            <w:r>
              <w:rPr>
                <w:spacing w:val="-12"/>
                <w:sz w:val="18"/>
              </w:rPr>
              <w:t> </w:t>
            </w:r>
            <w:r>
              <w:rPr>
                <w:sz w:val="18"/>
              </w:rPr>
              <w:t>tiendas equipadas con </w:t>
            </w:r>
            <w:r>
              <w:rPr>
                <w:spacing w:val="-2"/>
                <w:sz w:val="18"/>
              </w:rPr>
              <w:t>Handheld</w:t>
            </w:r>
          </w:p>
        </w:tc>
        <w:tc>
          <w:tcPr>
            <w:tcW w:w="1421" w:type="dxa"/>
            <w:gridSpan w:val="2"/>
          </w:tcPr>
          <w:p>
            <w:pPr>
              <w:pStyle w:val="TableParagraph"/>
              <w:spacing w:before="205"/>
              <w:rPr>
                <w:b/>
                <w:sz w:val="18"/>
              </w:rPr>
            </w:pPr>
          </w:p>
          <w:p>
            <w:pPr>
              <w:pStyle w:val="TableParagraph"/>
              <w:ind w:left="71"/>
              <w:rPr>
                <w:sz w:val="18"/>
              </w:rPr>
            </w:pPr>
            <w:r>
              <w:rPr>
                <w:spacing w:val="-2"/>
                <w:sz w:val="18"/>
              </w:rPr>
              <w:t>Informe Trimestral</w:t>
            </w:r>
          </w:p>
        </w:tc>
        <w:tc>
          <w:tcPr>
            <w:tcW w:w="1277" w:type="dxa"/>
          </w:tcPr>
          <w:p>
            <w:pPr>
              <w:pStyle w:val="TableParagraph"/>
              <w:ind w:left="71"/>
              <w:rPr>
                <w:sz w:val="18"/>
              </w:rPr>
            </w:pPr>
            <w:r>
              <w:rPr>
                <w:sz w:val="18"/>
              </w:rPr>
              <w:t>Jefatura de Mercadeo</w:t>
            </w:r>
            <w:r>
              <w:rPr>
                <w:spacing w:val="-13"/>
                <w:sz w:val="18"/>
              </w:rPr>
              <w:t> </w:t>
            </w:r>
            <w:r>
              <w:rPr>
                <w:sz w:val="18"/>
              </w:rPr>
              <w:t>y Ventas y Jefatura</w:t>
            </w:r>
            <w:r>
              <w:rPr>
                <w:spacing w:val="-4"/>
                <w:sz w:val="18"/>
              </w:rPr>
              <w:t> </w:t>
            </w:r>
            <w:r>
              <w:rPr>
                <w:spacing w:val="-5"/>
                <w:sz w:val="18"/>
              </w:rPr>
              <w:t>de</w:t>
            </w:r>
          </w:p>
          <w:p>
            <w:pPr>
              <w:pStyle w:val="TableParagraph"/>
              <w:spacing w:line="206" w:lineRule="exact"/>
              <w:ind w:left="71"/>
              <w:rPr>
                <w:sz w:val="18"/>
              </w:rPr>
            </w:pPr>
            <w:r>
              <w:rPr>
                <w:sz w:val="18"/>
              </w:rPr>
              <w:t>Logística e </w:t>
            </w:r>
            <w:r>
              <w:rPr>
                <w:spacing w:val="-2"/>
                <w:sz w:val="18"/>
              </w:rPr>
              <w:t>Importaciones</w:t>
            </w:r>
          </w:p>
        </w:tc>
        <w:tc>
          <w:tcPr>
            <w:tcW w:w="1268" w:type="dxa"/>
          </w:tcPr>
          <w:p>
            <w:pPr>
              <w:pStyle w:val="TableParagraph"/>
              <w:rPr>
                <w:b/>
                <w:sz w:val="18"/>
              </w:rPr>
            </w:pPr>
          </w:p>
          <w:p>
            <w:pPr>
              <w:pStyle w:val="TableParagraph"/>
              <w:spacing w:before="103"/>
              <w:rPr>
                <w:b/>
                <w:sz w:val="18"/>
              </w:rPr>
            </w:pPr>
          </w:p>
          <w:p>
            <w:pPr>
              <w:pStyle w:val="TableParagraph"/>
              <w:ind w:left="13" w:right="5"/>
              <w:jc w:val="center"/>
              <w:rPr>
                <w:sz w:val="18"/>
              </w:rPr>
            </w:pPr>
            <w:r>
              <w:rPr>
                <w:sz w:val="18"/>
              </w:rPr>
              <w:t>₡11</w:t>
            </w:r>
            <w:r>
              <w:rPr>
                <w:spacing w:val="1"/>
                <w:sz w:val="18"/>
              </w:rPr>
              <w:t> </w:t>
            </w:r>
            <w:r>
              <w:rPr>
                <w:sz w:val="18"/>
              </w:rPr>
              <w:t>000</w:t>
            </w:r>
            <w:r>
              <w:rPr>
                <w:spacing w:val="-3"/>
                <w:sz w:val="18"/>
              </w:rPr>
              <w:t> </w:t>
            </w:r>
            <w:r>
              <w:rPr>
                <w:spacing w:val="-5"/>
                <w:sz w:val="18"/>
              </w:rPr>
              <w:t>000</w:t>
            </w:r>
          </w:p>
        </w:tc>
        <w:tc>
          <w:tcPr>
            <w:tcW w:w="1904" w:type="dxa"/>
            <w:vMerge/>
            <w:tcBorders>
              <w:top w:val="nil"/>
            </w:tcBorders>
          </w:tcPr>
          <w:p>
            <w:pPr>
              <w:rPr>
                <w:sz w:val="2"/>
                <w:szCs w:val="2"/>
              </w:rPr>
            </w:pPr>
          </w:p>
        </w:tc>
      </w:tr>
      <w:tr>
        <w:trPr>
          <w:trHeight w:val="1243" w:hRule="atLeast"/>
        </w:trPr>
        <w:tc>
          <w:tcPr>
            <w:tcW w:w="2689" w:type="dxa"/>
          </w:tcPr>
          <w:p>
            <w:pPr>
              <w:pStyle w:val="TableParagraph"/>
              <w:spacing w:before="206"/>
              <w:ind w:left="72"/>
              <w:rPr>
                <w:b/>
                <w:sz w:val="18"/>
              </w:rPr>
            </w:pPr>
            <w:r>
              <w:rPr>
                <w:b/>
                <w:sz w:val="18"/>
              </w:rPr>
              <w:t>Actividad</w:t>
            </w:r>
            <w:r>
              <w:rPr>
                <w:b/>
                <w:spacing w:val="-13"/>
                <w:sz w:val="18"/>
              </w:rPr>
              <w:t> </w:t>
            </w:r>
            <w:r>
              <w:rPr>
                <w:b/>
                <w:sz w:val="18"/>
              </w:rPr>
              <w:t>PEC</w:t>
            </w:r>
            <w:r>
              <w:rPr>
                <w:b/>
                <w:spacing w:val="-11"/>
                <w:sz w:val="18"/>
              </w:rPr>
              <w:t> </w:t>
            </w:r>
            <w:r>
              <w:rPr>
                <w:b/>
                <w:sz w:val="18"/>
              </w:rPr>
              <w:t>3.7.3:</w:t>
            </w:r>
            <w:r>
              <w:rPr>
                <w:b/>
                <w:spacing w:val="-11"/>
                <w:sz w:val="18"/>
              </w:rPr>
              <w:t> </w:t>
            </w:r>
            <w:r>
              <w:rPr>
                <w:b/>
                <w:sz w:val="18"/>
              </w:rPr>
              <w:t>Equipar las tiendas con impresoras para agilizar el proceso de atención al cliente</w:t>
            </w:r>
          </w:p>
        </w:tc>
        <w:tc>
          <w:tcPr>
            <w:tcW w:w="1988" w:type="dxa"/>
          </w:tcPr>
          <w:p>
            <w:pPr>
              <w:pStyle w:val="TableParagraph"/>
              <w:rPr>
                <w:b/>
                <w:sz w:val="18"/>
              </w:rPr>
            </w:pPr>
          </w:p>
          <w:p>
            <w:pPr>
              <w:pStyle w:val="TableParagraph"/>
              <w:spacing w:before="104"/>
              <w:rPr>
                <w:b/>
                <w:sz w:val="18"/>
              </w:rPr>
            </w:pPr>
          </w:p>
          <w:p>
            <w:pPr>
              <w:pStyle w:val="TableParagraph"/>
              <w:ind w:left="20" w:right="4"/>
              <w:jc w:val="center"/>
              <w:rPr>
                <w:sz w:val="18"/>
              </w:rPr>
            </w:pPr>
            <w:r>
              <w:rPr>
                <w:spacing w:val="-5"/>
                <w:sz w:val="18"/>
              </w:rPr>
              <w:t>N/D</w:t>
            </w:r>
          </w:p>
        </w:tc>
        <w:tc>
          <w:tcPr>
            <w:tcW w:w="1844" w:type="dxa"/>
          </w:tcPr>
          <w:p>
            <w:pPr>
              <w:pStyle w:val="TableParagraph"/>
              <w:rPr>
                <w:b/>
                <w:sz w:val="18"/>
              </w:rPr>
            </w:pPr>
          </w:p>
          <w:p>
            <w:pPr>
              <w:pStyle w:val="TableParagraph"/>
              <w:spacing w:before="104"/>
              <w:rPr>
                <w:b/>
                <w:sz w:val="18"/>
              </w:rPr>
            </w:pPr>
          </w:p>
          <w:p>
            <w:pPr>
              <w:pStyle w:val="TableParagraph"/>
              <w:ind w:left="9" w:right="4"/>
              <w:jc w:val="center"/>
              <w:rPr>
                <w:sz w:val="18"/>
              </w:rPr>
            </w:pPr>
            <w:r>
              <w:rPr>
                <w:spacing w:val="-10"/>
                <w:sz w:val="18"/>
              </w:rPr>
              <w:t>7</w:t>
            </w:r>
          </w:p>
        </w:tc>
        <w:tc>
          <w:tcPr>
            <w:tcW w:w="1839" w:type="dxa"/>
          </w:tcPr>
          <w:p>
            <w:pPr>
              <w:pStyle w:val="TableParagraph"/>
              <w:spacing w:before="104"/>
              <w:rPr>
                <w:b/>
                <w:sz w:val="18"/>
              </w:rPr>
            </w:pPr>
          </w:p>
          <w:p>
            <w:pPr>
              <w:pStyle w:val="TableParagraph"/>
              <w:ind w:left="66" w:right="123"/>
              <w:rPr>
                <w:sz w:val="18"/>
              </w:rPr>
            </w:pPr>
            <w:r>
              <w:rPr>
                <w:sz w:val="18"/>
              </w:rPr>
              <w:t>cantidad</w:t>
            </w:r>
            <w:r>
              <w:rPr>
                <w:spacing w:val="-15"/>
                <w:sz w:val="18"/>
              </w:rPr>
              <w:t> </w:t>
            </w:r>
            <w:r>
              <w:rPr>
                <w:sz w:val="18"/>
              </w:rPr>
              <w:t>de</w:t>
            </w:r>
            <w:r>
              <w:rPr>
                <w:spacing w:val="-12"/>
                <w:sz w:val="18"/>
              </w:rPr>
              <w:t> </w:t>
            </w:r>
            <w:r>
              <w:rPr>
                <w:sz w:val="18"/>
              </w:rPr>
              <w:t>tiendas equipadas con </w:t>
            </w:r>
            <w:r>
              <w:rPr>
                <w:spacing w:val="-2"/>
                <w:sz w:val="18"/>
              </w:rPr>
              <w:t>impresoras</w:t>
            </w:r>
          </w:p>
        </w:tc>
        <w:tc>
          <w:tcPr>
            <w:tcW w:w="1421" w:type="dxa"/>
            <w:gridSpan w:val="2"/>
          </w:tcPr>
          <w:p>
            <w:pPr>
              <w:pStyle w:val="TableParagraph"/>
              <w:spacing w:before="205"/>
              <w:rPr>
                <w:b/>
                <w:sz w:val="18"/>
              </w:rPr>
            </w:pPr>
          </w:p>
          <w:p>
            <w:pPr>
              <w:pStyle w:val="TableParagraph"/>
              <w:ind w:left="71"/>
              <w:rPr>
                <w:sz w:val="18"/>
              </w:rPr>
            </w:pPr>
            <w:r>
              <w:rPr>
                <w:spacing w:val="-2"/>
                <w:sz w:val="18"/>
              </w:rPr>
              <w:t>Informe Trimestral</w:t>
            </w:r>
          </w:p>
        </w:tc>
        <w:tc>
          <w:tcPr>
            <w:tcW w:w="1277" w:type="dxa"/>
          </w:tcPr>
          <w:p>
            <w:pPr>
              <w:pStyle w:val="TableParagraph"/>
              <w:ind w:left="71"/>
              <w:rPr>
                <w:sz w:val="18"/>
              </w:rPr>
            </w:pPr>
            <w:r>
              <w:rPr>
                <w:sz w:val="18"/>
              </w:rPr>
              <w:t>Jefatura de Mercadeo</w:t>
            </w:r>
            <w:r>
              <w:rPr>
                <w:spacing w:val="-13"/>
                <w:sz w:val="18"/>
              </w:rPr>
              <w:t> </w:t>
            </w:r>
            <w:r>
              <w:rPr>
                <w:sz w:val="18"/>
              </w:rPr>
              <w:t>y Ventas y Jefatura de Logística e</w:t>
            </w:r>
          </w:p>
          <w:p>
            <w:pPr>
              <w:pStyle w:val="TableParagraph"/>
              <w:spacing w:line="187" w:lineRule="exact" w:before="1"/>
              <w:ind w:left="71"/>
              <w:rPr>
                <w:sz w:val="18"/>
              </w:rPr>
            </w:pPr>
            <w:r>
              <w:rPr>
                <w:spacing w:val="-2"/>
                <w:sz w:val="18"/>
              </w:rPr>
              <w:t>Importaciones</w:t>
            </w:r>
          </w:p>
        </w:tc>
        <w:tc>
          <w:tcPr>
            <w:tcW w:w="1268" w:type="dxa"/>
          </w:tcPr>
          <w:p>
            <w:pPr>
              <w:pStyle w:val="TableParagraph"/>
              <w:rPr>
                <w:b/>
                <w:sz w:val="18"/>
              </w:rPr>
            </w:pPr>
          </w:p>
          <w:p>
            <w:pPr>
              <w:pStyle w:val="TableParagraph"/>
              <w:spacing w:before="104"/>
              <w:rPr>
                <w:b/>
                <w:sz w:val="18"/>
              </w:rPr>
            </w:pPr>
          </w:p>
          <w:p>
            <w:pPr>
              <w:pStyle w:val="TableParagraph"/>
              <w:ind w:left="13"/>
              <w:jc w:val="center"/>
              <w:rPr>
                <w:sz w:val="18"/>
              </w:rPr>
            </w:pPr>
            <w:r>
              <w:rPr>
                <w:sz w:val="18"/>
              </w:rPr>
              <w:t>₡5</w:t>
            </w:r>
            <w:r>
              <w:rPr>
                <w:spacing w:val="1"/>
                <w:sz w:val="18"/>
              </w:rPr>
              <w:t> </w:t>
            </w:r>
            <w:r>
              <w:rPr>
                <w:sz w:val="18"/>
              </w:rPr>
              <w:t>000</w:t>
            </w:r>
            <w:r>
              <w:rPr>
                <w:spacing w:val="-3"/>
                <w:sz w:val="18"/>
              </w:rPr>
              <w:t> </w:t>
            </w:r>
            <w:r>
              <w:rPr>
                <w:spacing w:val="-5"/>
                <w:sz w:val="18"/>
              </w:rPr>
              <w:t>000</w:t>
            </w:r>
          </w:p>
        </w:tc>
        <w:tc>
          <w:tcPr>
            <w:tcW w:w="1904" w:type="dxa"/>
            <w:vMerge/>
            <w:tcBorders>
              <w:top w:val="nil"/>
            </w:tcBorders>
          </w:tcPr>
          <w:p>
            <w:pPr>
              <w:rPr>
                <w:sz w:val="2"/>
                <w:szCs w:val="2"/>
              </w:rPr>
            </w:pPr>
          </w:p>
        </w:tc>
      </w:tr>
      <w:tr>
        <w:trPr>
          <w:trHeight w:val="599" w:hRule="atLeast"/>
        </w:trPr>
        <w:tc>
          <w:tcPr>
            <w:tcW w:w="14230" w:type="dxa"/>
            <w:gridSpan w:val="9"/>
            <w:shd w:val="clear" w:color="auto" w:fill="EFF8F9"/>
          </w:tcPr>
          <w:p>
            <w:pPr>
              <w:pStyle w:val="TableParagraph"/>
              <w:spacing w:before="196"/>
              <w:ind w:left="72"/>
              <w:rPr>
                <w:b/>
                <w:sz w:val="18"/>
              </w:rPr>
            </w:pPr>
            <w:r>
              <w:rPr>
                <w:b/>
                <w:sz w:val="18"/>
              </w:rPr>
              <w:t>Producto</w:t>
            </w:r>
            <w:r>
              <w:rPr>
                <w:b/>
                <w:spacing w:val="-7"/>
                <w:sz w:val="18"/>
              </w:rPr>
              <w:t> </w:t>
            </w:r>
            <w:r>
              <w:rPr>
                <w:b/>
                <w:sz w:val="18"/>
              </w:rPr>
              <w:t>PEC</w:t>
            </w:r>
            <w:r>
              <w:rPr>
                <w:b/>
                <w:spacing w:val="-7"/>
                <w:sz w:val="18"/>
              </w:rPr>
              <w:t> </w:t>
            </w:r>
            <w:r>
              <w:rPr>
                <w:b/>
                <w:sz w:val="18"/>
              </w:rPr>
              <w:t>3.8:</w:t>
            </w:r>
            <w:r>
              <w:rPr>
                <w:b/>
                <w:spacing w:val="1"/>
                <w:sz w:val="18"/>
              </w:rPr>
              <w:t> </w:t>
            </w:r>
            <w:r>
              <w:rPr>
                <w:b/>
                <w:sz w:val="18"/>
              </w:rPr>
              <w:t>Ajustada</w:t>
            </w:r>
            <w:r>
              <w:rPr>
                <w:b/>
                <w:spacing w:val="-6"/>
                <w:sz w:val="18"/>
              </w:rPr>
              <w:t> </w:t>
            </w:r>
            <w:r>
              <w:rPr>
                <w:b/>
                <w:sz w:val="18"/>
              </w:rPr>
              <w:t>la</w:t>
            </w:r>
            <w:r>
              <w:rPr>
                <w:b/>
                <w:spacing w:val="-6"/>
                <w:sz w:val="18"/>
              </w:rPr>
              <w:t> </w:t>
            </w:r>
            <w:r>
              <w:rPr>
                <w:b/>
                <w:sz w:val="18"/>
              </w:rPr>
              <w:t>normativa</w:t>
            </w:r>
            <w:r>
              <w:rPr>
                <w:b/>
                <w:spacing w:val="-6"/>
                <w:sz w:val="18"/>
              </w:rPr>
              <w:t> </w:t>
            </w:r>
            <w:r>
              <w:rPr>
                <w:b/>
                <w:sz w:val="18"/>
              </w:rPr>
              <w:t>para</w:t>
            </w:r>
            <w:r>
              <w:rPr>
                <w:b/>
                <w:spacing w:val="-6"/>
                <w:sz w:val="18"/>
              </w:rPr>
              <w:t> </w:t>
            </w:r>
            <w:r>
              <w:rPr>
                <w:b/>
                <w:sz w:val="18"/>
              </w:rPr>
              <w:t>la</w:t>
            </w:r>
            <w:r>
              <w:rPr>
                <w:b/>
                <w:spacing w:val="-2"/>
                <w:sz w:val="18"/>
              </w:rPr>
              <w:t> </w:t>
            </w:r>
            <w:r>
              <w:rPr>
                <w:b/>
                <w:sz w:val="18"/>
              </w:rPr>
              <w:t>correcta</w:t>
            </w:r>
            <w:r>
              <w:rPr>
                <w:b/>
                <w:spacing w:val="-2"/>
                <w:sz w:val="18"/>
              </w:rPr>
              <w:t> </w:t>
            </w:r>
            <w:r>
              <w:rPr>
                <w:b/>
                <w:sz w:val="18"/>
              </w:rPr>
              <w:t>administración</w:t>
            </w:r>
            <w:r>
              <w:rPr>
                <w:b/>
                <w:spacing w:val="-5"/>
                <w:sz w:val="18"/>
              </w:rPr>
              <w:t> </w:t>
            </w:r>
            <w:r>
              <w:rPr>
                <w:b/>
                <w:sz w:val="18"/>
              </w:rPr>
              <w:t>del</w:t>
            </w:r>
            <w:r>
              <w:rPr>
                <w:b/>
                <w:spacing w:val="-4"/>
                <w:sz w:val="18"/>
              </w:rPr>
              <w:t> </w:t>
            </w:r>
            <w:r>
              <w:rPr>
                <w:b/>
                <w:sz w:val="18"/>
              </w:rPr>
              <w:t>recurso</w:t>
            </w:r>
            <w:r>
              <w:rPr>
                <w:b/>
                <w:spacing w:val="-7"/>
                <w:sz w:val="18"/>
              </w:rPr>
              <w:t> </w:t>
            </w:r>
            <w:r>
              <w:rPr>
                <w:b/>
                <w:sz w:val="18"/>
              </w:rPr>
              <w:t>humano</w:t>
            </w:r>
            <w:r>
              <w:rPr>
                <w:b/>
                <w:spacing w:val="-7"/>
                <w:sz w:val="18"/>
              </w:rPr>
              <w:t> </w:t>
            </w:r>
            <w:r>
              <w:rPr>
                <w:b/>
                <w:sz w:val="18"/>
              </w:rPr>
              <w:t>(E5</w:t>
            </w:r>
            <w:r>
              <w:rPr>
                <w:b/>
                <w:spacing w:val="-5"/>
                <w:sz w:val="18"/>
              </w:rPr>
              <w:t> </w:t>
            </w:r>
            <w:r>
              <w:rPr>
                <w:b/>
                <w:sz w:val="18"/>
              </w:rPr>
              <w:t>AE4</w:t>
            </w:r>
            <w:r>
              <w:rPr>
                <w:b/>
                <w:spacing w:val="-6"/>
                <w:sz w:val="18"/>
              </w:rPr>
              <w:t> </w:t>
            </w:r>
            <w:r>
              <w:rPr>
                <w:b/>
                <w:spacing w:val="-5"/>
                <w:sz w:val="18"/>
              </w:rPr>
              <w:t>R1)</w:t>
            </w:r>
          </w:p>
        </w:tc>
      </w:tr>
      <w:tr>
        <w:trPr>
          <w:trHeight w:val="2069" w:hRule="atLeast"/>
        </w:trPr>
        <w:tc>
          <w:tcPr>
            <w:tcW w:w="2689" w:type="dxa"/>
          </w:tcPr>
          <w:p>
            <w:pPr>
              <w:pStyle w:val="TableParagraph"/>
              <w:rPr>
                <w:b/>
                <w:sz w:val="18"/>
              </w:rPr>
            </w:pPr>
          </w:p>
          <w:p>
            <w:pPr>
              <w:pStyle w:val="TableParagraph"/>
              <w:spacing w:before="103"/>
              <w:rPr>
                <w:b/>
                <w:sz w:val="18"/>
              </w:rPr>
            </w:pPr>
          </w:p>
          <w:p>
            <w:pPr>
              <w:pStyle w:val="TableParagraph"/>
              <w:ind w:left="72" w:right="66"/>
              <w:rPr>
                <w:sz w:val="18"/>
              </w:rPr>
            </w:pPr>
            <w:r>
              <w:rPr>
                <w:b/>
                <w:sz w:val="18"/>
              </w:rPr>
              <w:t>Actividad PEC 3.8.1:</w:t>
            </w:r>
            <w:r>
              <w:rPr>
                <w:b/>
                <w:spacing w:val="40"/>
                <w:sz w:val="18"/>
              </w:rPr>
              <w:t> </w:t>
            </w:r>
            <w:r>
              <w:rPr>
                <w:sz w:val="18"/>
              </w:rPr>
              <w:t>Presentar la modificación del Manual</w:t>
            </w:r>
            <w:r>
              <w:rPr>
                <w:spacing w:val="-12"/>
                <w:sz w:val="18"/>
              </w:rPr>
              <w:t> </w:t>
            </w:r>
            <w:r>
              <w:rPr>
                <w:sz w:val="18"/>
              </w:rPr>
              <w:t>de</w:t>
            </w:r>
            <w:r>
              <w:rPr>
                <w:spacing w:val="-10"/>
                <w:sz w:val="18"/>
              </w:rPr>
              <w:t> </w:t>
            </w:r>
            <w:r>
              <w:rPr>
                <w:sz w:val="18"/>
              </w:rPr>
              <w:t>cargos</w:t>
            </w:r>
            <w:r>
              <w:rPr>
                <w:spacing w:val="-10"/>
                <w:sz w:val="18"/>
              </w:rPr>
              <w:t> </w:t>
            </w:r>
            <w:r>
              <w:rPr>
                <w:sz w:val="18"/>
              </w:rPr>
              <w:t>de</w:t>
            </w:r>
            <w:r>
              <w:rPr>
                <w:spacing w:val="-6"/>
                <w:sz w:val="18"/>
              </w:rPr>
              <w:t> </w:t>
            </w:r>
            <w:r>
              <w:rPr>
                <w:sz w:val="18"/>
              </w:rPr>
              <w:t>Empresas Comerciales a Desarrollo </w:t>
            </w:r>
            <w:r>
              <w:rPr>
                <w:spacing w:val="-2"/>
                <w:sz w:val="18"/>
              </w:rPr>
              <w:t>Humano.</w:t>
            </w:r>
          </w:p>
        </w:tc>
        <w:tc>
          <w:tcPr>
            <w:tcW w:w="198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20" w:right="7"/>
              <w:jc w:val="center"/>
              <w:rPr>
                <w:sz w:val="18"/>
              </w:rPr>
            </w:pPr>
            <w:r>
              <w:rPr>
                <w:sz w:val="18"/>
              </w:rPr>
              <w:t>Manual</w:t>
            </w:r>
            <w:r>
              <w:rPr>
                <w:spacing w:val="-4"/>
                <w:sz w:val="18"/>
              </w:rPr>
              <w:t> </w:t>
            </w:r>
            <w:r>
              <w:rPr>
                <w:sz w:val="18"/>
              </w:rPr>
              <w:t>de</w:t>
            </w:r>
            <w:r>
              <w:rPr>
                <w:spacing w:val="3"/>
                <w:sz w:val="18"/>
              </w:rPr>
              <w:t> </w:t>
            </w:r>
            <w:r>
              <w:rPr>
                <w:spacing w:val="-2"/>
                <w:sz w:val="18"/>
              </w:rPr>
              <w:t>Cargos</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9" w:right="4"/>
              <w:jc w:val="center"/>
              <w:rPr>
                <w:sz w:val="18"/>
              </w:rPr>
            </w:pPr>
            <w:r>
              <w:rPr>
                <w:spacing w:val="-10"/>
                <w:sz w:val="18"/>
              </w:rPr>
              <w:t>1</w:t>
            </w:r>
          </w:p>
        </w:tc>
        <w:tc>
          <w:tcPr>
            <w:tcW w:w="1839" w:type="dxa"/>
          </w:tcPr>
          <w:p>
            <w:pPr>
              <w:pStyle w:val="TableParagraph"/>
              <w:rPr>
                <w:b/>
                <w:sz w:val="18"/>
              </w:rPr>
            </w:pPr>
          </w:p>
          <w:p>
            <w:pPr>
              <w:pStyle w:val="TableParagraph"/>
              <w:spacing w:before="204"/>
              <w:rPr>
                <w:b/>
                <w:sz w:val="18"/>
              </w:rPr>
            </w:pPr>
          </w:p>
          <w:p>
            <w:pPr>
              <w:pStyle w:val="TableParagraph"/>
              <w:spacing w:line="242" w:lineRule="auto"/>
              <w:ind w:left="66" w:right="155"/>
              <w:rPr>
                <w:sz w:val="18"/>
              </w:rPr>
            </w:pPr>
            <w:r>
              <w:rPr>
                <w:sz w:val="18"/>
              </w:rPr>
              <w:t>Cantidad de </w:t>
            </w:r>
            <w:r>
              <w:rPr>
                <w:spacing w:val="-2"/>
                <w:sz w:val="18"/>
              </w:rPr>
              <w:t>Normativa </w:t>
            </w:r>
            <w:r>
              <w:rPr>
                <w:sz w:val="18"/>
              </w:rPr>
              <w:t>presentada a Desarrollo</w:t>
            </w:r>
            <w:r>
              <w:rPr>
                <w:spacing w:val="-13"/>
                <w:sz w:val="18"/>
              </w:rPr>
              <w:t> </w:t>
            </w:r>
            <w:r>
              <w:rPr>
                <w:sz w:val="18"/>
              </w:rPr>
              <w:t>Humano.</w:t>
            </w:r>
          </w:p>
        </w:tc>
        <w:tc>
          <w:tcPr>
            <w:tcW w:w="1277" w:type="dxa"/>
          </w:tcPr>
          <w:p>
            <w:pPr>
              <w:pStyle w:val="TableParagraph"/>
              <w:rPr>
                <w:b/>
                <w:sz w:val="18"/>
              </w:rPr>
            </w:pPr>
          </w:p>
          <w:p>
            <w:pPr>
              <w:pStyle w:val="TableParagraph"/>
              <w:spacing w:before="204"/>
              <w:rPr>
                <w:b/>
                <w:sz w:val="18"/>
              </w:rPr>
            </w:pPr>
          </w:p>
          <w:p>
            <w:pPr>
              <w:pStyle w:val="TableParagraph"/>
              <w:spacing w:line="242" w:lineRule="auto"/>
              <w:ind w:left="71" w:right="139"/>
              <w:rPr>
                <w:sz w:val="18"/>
              </w:rPr>
            </w:pPr>
            <w:r>
              <w:rPr>
                <w:sz w:val="18"/>
              </w:rPr>
              <w:t>Oficio de </w:t>
            </w:r>
            <w:r>
              <w:rPr>
                <w:spacing w:val="-2"/>
                <w:sz w:val="18"/>
              </w:rPr>
              <w:t>modificación </w:t>
            </w:r>
            <w:r>
              <w:rPr>
                <w:sz w:val="18"/>
              </w:rPr>
              <w:t>a</w:t>
            </w:r>
            <w:r>
              <w:rPr>
                <w:spacing w:val="-5"/>
                <w:sz w:val="18"/>
              </w:rPr>
              <w:t> </w:t>
            </w:r>
            <w:r>
              <w:rPr>
                <w:sz w:val="18"/>
              </w:rPr>
              <w:t>Desarrollo </w:t>
            </w:r>
            <w:r>
              <w:rPr>
                <w:spacing w:val="-2"/>
                <w:sz w:val="18"/>
              </w:rPr>
              <w:t>Humano</w:t>
            </w:r>
          </w:p>
        </w:tc>
        <w:tc>
          <w:tcPr>
            <w:tcW w:w="1421" w:type="dxa"/>
            <w:gridSpan w:val="2"/>
          </w:tcPr>
          <w:p>
            <w:pPr>
              <w:pStyle w:val="TableParagraph"/>
              <w:rPr>
                <w:b/>
                <w:sz w:val="18"/>
              </w:rPr>
            </w:pPr>
          </w:p>
          <w:p>
            <w:pPr>
              <w:pStyle w:val="TableParagraph"/>
              <w:rPr>
                <w:b/>
                <w:sz w:val="18"/>
              </w:rPr>
            </w:pPr>
          </w:p>
          <w:p>
            <w:pPr>
              <w:pStyle w:val="TableParagraph"/>
              <w:spacing w:before="204"/>
              <w:rPr>
                <w:b/>
                <w:sz w:val="18"/>
              </w:rPr>
            </w:pPr>
          </w:p>
          <w:p>
            <w:pPr>
              <w:pStyle w:val="TableParagraph"/>
              <w:ind w:left="66"/>
              <w:rPr>
                <w:sz w:val="18"/>
              </w:rPr>
            </w:pPr>
            <w:r>
              <w:rPr>
                <w:spacing w:val="-2"/>
                <w:sz w:val="18"/>
              </w:rPr>
              <w:t>Administración General</w:t>
            </w:r>
          </w:p>
        </w:tc>
        <w:tc>
          <w:tcPr>
            <w:tcW w:w="1268" w:type="dxa"/>
          </w:tcPr>
          <w:p>
            <w:pPr>
              <w:pStyle w:val="TableParagraph"/>
              <w:rPr>
                <w:rFonts w:ascii="Times New Roman"/>
                <w:sz w:val="18"/>
              </w:rPr>
            </w:pPr>
          </w:p>
        </w:tc>
        <w:tc>
          <w:tcPr>
            <w:tcW w:w="1904" w:type="dxa"/>
          </w:tcPr>
          <w:p>
            <w:pPr>
              <w:pStyle w:val="TableParagraph"/>
              <w:ind w:left="71" w:right="134"/>
              <w:rPr>
                <w:sz w:val="18"/>
              </w:rPr>
            </w:pPr>
            <w:r>
              <w:rPr>
                <w:sz w:val="18"/>
              </w:rPr>
              <w:t>Evento: Fuga de personal</w:t>
            </w:r>
            <w:r>
              <w:rPr>
                <w:spacing w:val="-13"/>
                <w:sz w:val="18"/>
              </w:rPr>
              <w:t> </w:t>
            </w:r>
            <w:r>
              <w:rPr>
                <w:sz w:val="18"/>
              </w:rPr>
              <w:t>competente por sobre carga de trabajo y falta de políticas internas de </w:t>
            </w:r>
            <w:r>
              <w:rPr>
                <w:spacing w:val="-2"/>
                <w:sz w:val="18"/>
              </w:rPr>
              <w:t>promoción </w:t>
            </w:r>
            <w:r>
              <w:rPr>
                <w:sz w:val="18"/>
              </w:rPr>
              <w:t>competitivas en relación con el mercado laboral</w:t>
            </w:r>
          </w:p>
        </w:tc>
      </w:tr>
      <w:tr>
        <w:trPr>
          <w:trHeight w:val="599" w:hRule="atLeast"/>
        </w:trPr>
        <w:tc>
          <w:tcPr>
            <w:tcW w:w="14230" w:type="dxa"/>
            <w:gridSpan w:val="9"/>
            <w:shd w:val="clear" w:color="auto" w:fill="EFF8F9"/>
          </w:tcPr>
          <w:p>
            <w:pPr>
              <w:pStyle w:val="TableParagraph"/>
              <w:spacing w:before="195"/>
              <w:ind w:left="72"/>
              <w:rPr>
                <w:b/>
                <w:sz w:val="18"/>
              </w:rPr>
            </w:pPr>
            <w:r>
              <w:rPr>
                <w:b/>
                <w:sz w:val="18"/>
              </w:rPr>
              <w:t>Producto</w:t>
            </w:r>
            <w:r>
              <w:rPr>
                <w:b/>
                <w:spacing w:val="-8"/>
                <w:sz w:val="18"/>
              </w:rPr>
              <w:t> </w:t>
            </w:r>
            <w:r>
              <w:rPr>
                <w:b/>
                <w:sz w:val="18"/>
              </w:rPr>
              <w:t>PEC</w:t>
            </w:r>
            <w:r>
              <w:rPr>
                <w:b/>
                <w:spacing w:val="-9"/>
                <w:sz w:val="18"/>
              </w:rPr>
              <w:t> </w:t>
            </w:r>
            <w:r>
              <w:rPr>
                <w:b/>
                <w:sz w:val="18"/>
              </w:rPr>
              <w:t>3.9:</w:t>
            </w:r>
            <w:r>
              <w:rPr>
                <w:b/>
                <w:spacing w:val="-1"/>
                <w:sz w:val="18"/>
              </w:rPr>
              <w:t> </w:t>
            </w:r>
            <w:r>
              <w:rPr>
                <w:b/>
                <w:sz w:val="18"/>
              </w:rPr>
              <w:t>E-commerce</w:t>
            </w:r>
            <w:r>
              <w:rPr>
                <w:b/>
                <w:spacing w:val="-6"/>
                <w:sz w:val="18"/>
              </w:rPr>
              <w:t> </w:t>
            </w:r>
            <w:r>
              <w:rPr>
                <w:b/>
                <w:sz w:val="18"/>
              </w:rPr>
              <w:t>optimizado</w:t>
            </w:r>
            <w:r>
              <w:rPr>
                <w:b/>
                <w:spacing w:val="-8"/>
                <w:sz w:val="18"/>
              </w:rPr>
              <w:t> </w:t>
            </w:r>
            <w:r>
              <w:rPr>
                <w:b/>
                <w:sz w:val="18"/>
              </w:rPr>
              <w:t>para</w:t>
            </w:r>
            <w:r>
              <w:rPr>
                <w:b/>
                <w:spacing w:val="-3"/>
                <w:sz w:val="18"/>
              </w:rPr>
              <w:t> </w:t>
            </w:r>
            <w:r>
              <w:rPr>
                <w:b/>
                <w:sz w:val="18"/>
              </w:rPr>
              <w:t>potenciar</w:t>
            </w:r>
            <w:r>
              <w:rPr>
                <w:b/>
                <w:spacing w:val="-1"/>
                <w:sz w:val="18"/>
              </w:rPr>
              <w:t> </w:t>
            </w:r>
            <w:r>
              <w:rPr>
                <w:b/>
                <w:sz w:val="18"/>
              </w:rPr>
              <w:t>el</w:t>
            </w:r>
            <w:r>
              <w:rPr>
                <w:b/>
                <w:spacing w:val="-5"/>
                <w:sz w:val="18"/>
              </w:rPr>
              <w:t> </w:t>
            </w:r>
            <w:r>
              <w:rPr>
                <w:b/>
                <w:sz w:val="18"/>
              </w:rPr>
              <w:t>negocio</w:t>
            </w:r>
            <w:r>
              <w:rPr>
                <w:b/>
                <w:spacing w:val="-7"/>
                <w:sz w:val="18"/>
              </w:rPr>
              <w:t> </w:t>
            </w:r>
            <w:r>
              <w:rPr>
                <w:b/>
                <w:sz w:val="18"/>
              </w:rPr>
              <w:t>(E5</w:t>
            </w:r>
            <w:r>
              <w:rPr>
                <w:b/>
                <w:spacing w:val="-7"/>
                <w:sz w:val="18"/>
              </w:rPr>
              <w:t> </w:t>
            </w:r>
            <w:r>
              <w:rPr>
                <w:b/>
                <w:sz w:val="18"/>
              </w:rPr>
              <w:t>AE5</w:t>
            </w:r>
            <w:r>
              <w:rPr>
                <w:b/>
                <w:spacing w:val="-3"/>
                <w:sz w:val="18"/>
              </w:rPr>
              <w:t> </w:t>
            </w:r>
            <w:r>
              <w:rPr>
                <w:b/>
                <w:spacing w:val="-5"/>
                <w:sz w:val="18"/>
              </w:rPr>
              <w:t>R1)</w:t>
            </w:r>
          </w:p>
        </w:tc>
      </w:tr>
      <w:tr>
        <w:trPr>
          <w:trHeight w:val="1248" w:hRule="atLeast"/>
        </w:trPr>
        <w:tc>
          <w:tcPr>
            <w:tcW w:w="2689" w:type="dxa"/>
            <w:tcBorders>
              <w:bottom w:val="nil"/>
            </w:tcBorders>
          </w:tcPr>
          <w:p>
            <w:pPr>
              <w:pStyle w:val="TableParagraph"/>
              <w:ind w:left="72" w:right="119"/>
              <w:rPr>
                <w:sz w:val="18"/>
              </w:rPr>
            </w:pPr>
            <w:r>
              <w:rPr>
                <w:b/>
                <w:sz w:val="18"/>
              </w:rPr>
              <w:t>Actividad PEC 3.9.1: </w:t>
            </w:r>
            <w:r>
              <w:rPr>
                <w:sz w:val="18"/>
              </w:rPr>
              <w:t>Potenciar</w:t>
            </w:r>
            <w:r>
              <w:rPr>
                <w:spacing w:val="-5"/>
                <w:sz w:val="18"/>
              </w:rPr>
              <w:t> </w:t>
            </w:r>
            <w:r>
              <w:rPr>
                <w:sz w:val="18"/>
              </w:rPr>
              <w:t>la</w:t>
            </w:r>
            <w:r>
              <w:rPr>
                <w:spacing w:val="-10"/>
                <w:sz w:val="18"/>
              </w:rPr>
              <w:t> </w:t>
            </w:r>
            <w:r>
              <w:rPr>
                <w:sz w:val="18"/>
              </w:rPr>
              <w:t>cantidad</w:t>
            </w:r>
            <w:r>
              <w:rPr>
                <w:spacing w:val="-10"/>
                <w:sz w:val="18"/>
              </w:rPr>
              <w:t> </w:t>
            </w:r>
            <w:r>
              <w:rPr>
                <w:sz w:val="18"/>
              </w:rPr>
              <w:t>de</w:t>
            </w:r>
            <w:r>
              <w:rPr>
                <w:spacing w:val="-10"/>
                <w:sz w:val="18"/>
              </w:rPr>
              <w:t> </w:t>
            </w:r>
            <w:r>
              <w:rPr>
                <w:sz w:val="18"/>
              </w:rPr>
              <w:t>visitas de los clientes en la página electrónica de Duty</w:t>
            </w:r>
            <w:r>
              <w:rPr>
                <w:spacing w:val="-4"/>
                <w:sz w:val="18"/>
              </w:rPr>
              <w:t> </w:t>
            </w:r>
            <w:r>
              <w:rPr>
                <w:sz w:val="18"/>
              </w:rPr>
              <w:t>Free</w:t>
            </w:r>
            <w:r>
              <w:rPr>
                <w:spacing w:val="-4"/>
                <w:sz w:val="18"/>
              </w:rPr>
              <w:t> </w:t>
            </w:r>
            <w:r>
              <w:rPr>
                <w:sz w:val="18"/>
              </w:rPr>
              <w:t>IMAS y la marca como un Programa</w:t>
            </w:r>
          </w:p>
          <w:p>
            <w:pPr>
              <w:pStyle w:val="TableParagraph"/>
              <w:spacing w:line="192" w:lineRule="exact" w:before="1"/>
              <w:ind w:left="72"/>
              <w:rPr>
                <w:sz w:val="18"/>
              </w:rPr>
            </w:pPr>
            <w:r>
              <w:rPr>
                <w:sz w:val="18"/>
              </w:rPr>
              <mc:AlternateContent>
                <mc:Choice Requires="wps">
                  <w:drawing>
                    <wp:anchor distT="0" distB="0" distL="0" distR="0" allowOverlap="1" layoutInCell="1" locked="0" behindDoc="0" simplePos="0" relativeHeight="15745024">
                      <wp:simplePos x="0" y="0"/>
                      <wp:positionH relativeFrom="column">
                        <wp:posOffset>3047</wp:posOffset>
                      </wp:positionH>
                      <wp:positionV relativeFrom="paragraph">
                        <wp:posOffset>132230</wp:posOffset>
                      </wp:positionV>
                      <wp:extent cx="4134485" cy="6350"/>
                      <wp:effectExtent l="0" t="0" r="0" b="0"/>
                      <wp:wrapNone/>
                      <wp:docPr id="146" name="Group 146"/>
                      <wp:cNvGraphicFramePr>
                        <a:graphicFrameLocks/>
                      </wp:cNvGraphicFramePr>
                      <a:graphic>
                        <a:graphicData uri="http://schemas.microsoft.com/office/word/2010/wordprocessingGroup">
                          <wpg:wgp>
                            <wpg:cNvPr id="146" name="Group 146"/>
                            <wpg:cNvGrpSpPr/>
                            <wpg:grpSpPr>
                              <a:xfrm>
                                <a:off x="0" y="0"/>
                                <a:ext cx="4134485" cy="6350"/>
                                <a:chExt cx="4134485" cy="6350"/>
                              </a:xfrm>
                            </wpg:grpSpPr>
                            <wps:wsp>
                              <wps:cNvPr id="147" name="Graphic 147"/>
                              <wps:cNvSpPr/>
                              <wps:spPr>
                                <a:xfrm>
                                  <a:off x="0" y="0"/>
                                  <a:ext cx="4134485" cy="6350"/>
                                </a:xfrm>
                                <a:custGeom>
                                  <a:avLst/>
                                  <a:gdLst/>
                                  <a:ahLst/>
                                  <a:cxnLst/>
                                  <a:rect l="l" t="t" r="r" b="b"/>
                                  <a:pathLst>
                                    <a:path w="4134485" h="6350">
                                      <a:moveTo>
                                        <a:pt x="1701419" y="0"/>
                                      </a:moveTo>
                                      <a:lnTo>
                                        <a:pt x="0" y="0"/>
                                      </a:lnTo>
                                      <a:lnTo>
                                        <a:pt x="0" y="6096"/>
                                      </a:lnTo>
                                      <a:lnTo>
                                        <a:pt x="1701419" y="6096"/>
                                      </a:lnTo>
                                      <a:lnTo>
                                        <a:pt x="1701419" y="0"/>
                                      </a:lnTo>
                                      <a:close/>
                                    </a:path>
                                    <a:path w="4134485" h="6350">
                                      <a:moveTo>
                                        <a:pt x="2963595" y="0"/>
                                      </a:moveTo>
                                      <a:lnTo>
                                        <a:pt x="1707515" y="0"/>
                                      </a:lnTo>
                                      <a:lnTo>
                                        <a:pt x="1707515" y="6096"/>
                                      </a:lnTo>
                                      <a:lnTo>
                                        <a:pt x="2963595" y="6096"/>
                                      </a:lnTo>
                                      <a:lnTo>
                                        <a:pt x="2963595" y="0"/>
                                      </a:lnTo>
                                      <a:close/>
                                    </a:path>
                                    <a:path w="4134485" h="6350">
                                      <a:moveTo>
                                        <a:pt x="4134281" y="0"/>
                                      </a:moveTo>
                                      <a:lnTo>
                                        <a:pt x="2969641" y="0"/>
                                      </a:lnTo>
                                      <a:lnTo>
                                        <a:pt x="2969641" y="6096"/>
                                      </a:lnTo>
                                      <a:lnTo>
                                        <a:pt x="4134281" y="6096"/>
                                      </a:lnTo>
                                      <a:lnTo>
                                        <a:pt x="413428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4pt;margin-top:10.411878pt;width:325.55pt;height:.5pt;mso-position-horizontal-relative:column;mso-position-vertical-relative:paragraph;z-index:15745024" id="docshapegroup124" coordorigin="5,208" coordsize="6511,10">
                      <v:shape style="position:absolute;left:4;top:208;width:6511;height:10" id="docshape125" coordorigin="5,208" coordsize="6511,10" path="m2684,208l5,208,5,218,2684,218,2684,208xm4672,208l2694,208,2694,218,4672,218,4672,208xm6515,208l4681,208,4681,218,6515,218,6515,208xe" filled="true" fillcolor="#000000" stroked="false">
                        <v:path arrowok="t"/>
                        <v:fill type="solid"/>
                      </v:shape>
                      <w10:wrap type="none"/>
                    </v:group>
                  </w:pict>
                </mc:Fallback>
              </mc:AlternateContent>
            </w:r>
            <w:r>
              <w:rPr>
                <w:sz w:val="18"/>
              </w:rPr>
              <w:t>Social</w:t>
            </w:r>
            <w:r>
              <w:rPr>
                <w:spacing w:val="-3"/>
                <w:sz w:val="18"/>
              </w:rPr>
              <w:t> </w:t>
            </w:r>
            <w:r>
              <w:rPr>
                <w:sz w:val="18"/>
              </w:rPr>
              <w:t>(Partida</w:t>
            </w:r>
            <w:r>
              <w:rPr>
                <w:spacing w:val="-6"/>
                <w:sz w:val="18"/>
              </w:rPr>
              <w:t> </w:t>
            </w:r>
            <w:r>
              <w:rPr>
                <w:spacing w:val="-2"/>
                <w:sz w:val="18"/>
              </w:rPr>
              <w:t>1.03.02)</w:t>
            </w:r>
          </w:p>
        </w:tc>
        <w:tc>
          <w:tcPr>
            <w:tcW w:w="1988" w:type="dxa"/>
            <w:tcBorders>
              <w:bottom w:val="nil"/>
            </w:tcBorders>
          </w:tcPr>
          <w:p>
            <w:pPr>
              <w:pStyle w:val="TableParagraph"/>
              <w:rPr>
                <w:b/>
                <w:sz w:val="18"/>
              </w:rPr>
            </w:pPr>
          </w:p>
          <w:p>
            <w:pPr>
              <w:pStyle w:val="TableParagraph"/>
              <w:spacing w:before="103"/>
              <w:rPr>
                <w:b/>
                <w:sz w:val="18"/>
              </w:rPr>
            </w:pPr>
          </w:p>
          <w:p>
            <w:pPr>
              <w:pStyle w:val="TableParagraph"/>
              <w:ind w:left="20" w:right="6"/>
              <w:jc w:val="center"/>
              <w:rPr>
                <w:sz w:val="18"/>
              </w:rPr>
            </w:pPr>
            <w:r>
              <w:rPr>
                <w:sz w:val="18"/>
              </w:rPr>
              <w:t>8</w:t>
            </w:r>
            <w:r>
              <w:rPr>
                <w:spacing w:val="2"/>
                <w:sz w:val="18"/>
              </w:rPr>
              <w:t> </w:t>
            </w:r>
            <w:r>
              <w:rPr>
                <w:spacing w:val="-5"/>
                <w:sz w:val="18"/>
              </w:rPr>
              <w:t>400</w:t>
            </w:r>
          </w:p>
        </w:tc>
        <w:tc>
          <w:tcPr>
            <w:tcW w:w="1844" w:type="dxa"/>
            <w:tcBorders>
              <w:bottom w:val="nil"/>
            </w:tcBorders>
          </w:tcPr>
          <w:p>
            <w:pPr>
              <w:pStyle w:val="TableParagraph"/>
              <w:rPr>
                <w:b/>
                <w:sz w:val="18"/>
              </w:rPr>
            </w:pPr>
          </w:p>
          <w:p>
            <w:pPr>
              <w:pStyle w:val="TableParagraph"/>
              <w:spacing w:before="103"/>
              <w:rPr>
                <w:b/>
                <w:sz w:val="18"/>
              </w:rPr>
            </w:pPr>
          </w:p>
          <w:p>
            <w:pPr>
              <w:pStyle w:val="TableParagraph"/>
              <w:ind w:left="9"/>
              <w:jc w:val="center"/>
              <w:rPr>
                <w:sz w:val="18"/>
              </w:rPr>
            </w:pPr>
            <w:r>
              <w:rPr>
                <w:sz w:val="18"/>
              </w:rPr>
              <w:t>12</w:t>
            </w:r>
            <w:r>
              <w:rPr>
                <w:spacing w:val="2"/>
                <w:sz w:val="18"/>
              </w:rPr>
              <w:t> </w:t>
            </w:r>
            <w:r>
              <w:rPr>
                <w:spacing w:val="-5"/>
                <w:sz w:val="18"/>
              </w:rPr>
              <w:t>000</w:t>
            </w:r>
          </w:p>
        </w:tc>
        <w:tc>
          <w:tcPr>
            <w:tcW w:w="1839" w:type="dxa"/>
            <w:tcBorders>
              <w:bottom w:val="nil"/>
            </w:tcBorders>
          </w:tcPr>
          <w:p>
            <w:pPr>
              <w:pStyle w:val="TableParagraph"/>
              <w:spacing w:line="242" w:lineRule="auto" w:before="205"/>
              <w:ind w:left="66" w:right="194"/>
              <w:jc w:val="both"/>
              <w:rPr>
                <w:sz w:val="18"/>
              </w:rPr>
            </w:pPr>
            <w:r>
              <w:rPr>
                <w:sz w:val="18"/>
              </w:rPr>
              <w:t>Cantidad de visitas anuales</w:t>
            </w:r>
            <w:r>
              <w:rPr>
                <w:spacing w:val="-9"/>
                <w:sz w:val="18"/>
              </w:rPr>
              <w:t> </w:t>
            </w:r>
            <w:r>
              <w:rPr>
                <w:sz w:val="18"/>
              </w:rPr>
              <w:t>a</w:t>
            </w:r>
            <w:r>
              <w:rPr>
                <w:spacing w:val="-13"/>
                <w:sz w:val="18"/>
              </w:rPr>
              <w:t> </w:t>
            </w:r>
            <w:r>
              <w:rPr>
                <w:sz w:val="18"/>
              </w:rPr>
              <w:t>la</w:t>
            </w:r>
            <w:r>
              <w:rPr>
                <w:spacing w:val="-12"/>
                <w:sz w:val="18"/>
              </w:rPr>
              <w:t> </w:t>
            </w:r>
            <w:r>
              <w:rPr>
                <w:sz w:val="18"/>
              </w:rPr>
              <w:t>página electrónica</w:t>
            </w:r>
            <w:r>
              <w:rPr>
                <w:spacing w:val="-7"/>
                <w:sz w:val="18"/>
              </w:rPr>
              <w:t> </w:t>
            </w:r>
            <w:r>
              <w:rPr>
                <w:sz w:val="18"/>
              </w:rPr>
              <w:t>de</w:t>
            </w:r>
            <w:r>
              <w:rPr>
                <w:spacing w:val="-6"/>
                <w:sz w:val="18"/>
              </w:rPr>
              <w:t> </w:t>
            </w:r>
            <w:r>
              <w:rPr>
                <w:sz w:val="18"/>
              </w:rPr>
              <w:t>Duty Free IMAS</w:t>
            </w:r>
          </w:p>
        </w:tc>
        <w:tc>
          <w:tcPr>
            <w:tcW w:w="1277" w:type="dxa"/>
            <w:tcBorders>
              <w:bottom w:val="nil"/>
            </w:tcBorders>
          </w:tcPr>
          <w:p>
            <w:pPr>
              <w:pStyle w:val="TableParagraph"/>
              <w:spacing w:before="205"/>
              <w:rPr>
                <w:b/>
                <w:sz w:val="18"/>
              </w:rPr>
            </w:pPr>
          </w:p>
          <w:p>
            <w:pPr>
              <w:pStyle w:val="TableParagraph"/>
              <w:spacing w:line="244" w:lineRule="auto"/>
              <w:ind w:left="71"/>
              <w:rPr>
                <w:sz w:val="18"/>
              </w:rPr>
            </w:pPr>
            <w:r>
              <w:rPr>
                <w:sz w:val="18"/>
              </w:rPr>
              <mc:AlternateContent>
                <mc:Choice Requires="wps">
                  <w:drawing>
                    <wp:anchor distT="0" distB="0" distL="0" distR="0" allowOverlap="1" layoutInCell="1" locked="0" behindDoc="0" simplePos="0" relativeHeight="15745536">
                      <wp:simplePos x="0" y="0"/>
                      <wp:positionH relativeFrom="column">
                        <wp:posOffset>3047</wp:posOffset>
                      </wp:positionH>
                      <wp:positionV relativeFrom="paragraph">
                        <wp:posOffset>527835</wp:posOffset>
                      </wp:positionV>
                      <wp:extent cx="3723004" cy="6350"/>
                      <wp:effectExtent l="0" t="0" r="0" b="0"/>
                      <wp:wrapNone/>
                      <wp:docPr id="148" name="Group 148"/>
                      <wp:cNvGraphicFramePr>
                        <a:graphicFrameLocks/>
                      </wp:cNvGraphicFramePr>
                      <a:graphic>
                        <a:graphicData uri="http://schemas.microsoft.com/office/word/2010/wordprocessingGroup">
                          <wpg:wgp>
                            <wpg:cNvPr id="148" name="Group 148"/>
                            <wpg:cNvGrpSpPr/>
                            <wpg:grpSpPr>
                              <a:xfrm>
                                <a:off x="0" y="0"/>
                                <a:ext cx="3723004" cy="6350"/>
                                <a:chExt cx="3723004" cy="6350"/>
                              </a:xfrm>
                            </wpg:grpSpPr>
                            <wps:wsp>
                              <wps:cNvPr id="149" name="Graphic 149"/>
                              <wps:cNvSpPr/>
                              <wps:spPr>
                                <a:xfrm>
                                  <a:off x="0" y="0"/>
                                  <a:ext cx="3723004" cy="6350"/>
                                </a:xfrm>
                                <a:custGeom>
                                  <a:avLst/>
                                  <a:gdLst/>
                                  <a:ahLst/>
                                  <a:cxnLst/>
                                  <a:rect l="l" t="t" r="r" b="b"/>
                                  <a:pathLst>
                                    <a:path w="3723004" h="6350">
                                      <a:moveTo>
                                        <a:pt x="804964" y="0"/>
                                      </a:moveTo>
                                      <a:lnTo>
                                        <a:pt x="0" y="0"/>
                                      </a:lnTo>
                                      <a:lnTo>
                                        <a:pt x="0" y="6096"/>
                                      </a:lnTo>
                                      <a:lnTo>
                                        <a:pt x="804964" y="6096"/>
                                      </a:lnTo>
                                      <a:lnTo>
                                        <a:pt x="804964" y="0"/>
                                      </a:lnTo>
                                      <a:close/>
                                    </a:path>
                                    <a:path w="3723004" h="6350">
                                      <a:moveTo>
                                        <a:pt x="1707438" y="0"/>
                                      </a:moveTo>
                                      <a:lnTo>
                                        <a:pt x="811009" y="0"/>
                                      </a:lnTo>
                                      <a:lnTo>
                                        <a:pt x="811009" y="6096"/>
                                      </a:lnTo>
                                      <a:lnTo>
                                        <a:pt x="1707438" y="6096"/>
                                      </a:lnTo>
                                      <a:lnTo>
                                        <a:pt x="1707438" y="0"/>
                                      </a:lnTo>
                                      <a:close/>
                                    </a:path>
                                    <a:path w="3723004" h="6350">
                                      <a:moveTo>
                                        <a:pt x="2515539" y="0"/>
                                      </a:moveTo>
                                      <a:lnTo>
                                        <a:pt x="1713611" y="0"/>
                                      </a:lnTo>
                                      <a:lnTo>
                                        <a:pt x="1713611" y="6096"/>
                                      </a:lnTo>
                                      <a:lnTo>
                                        <a:pt x="2515539" y="6096"/>
                                      </a:lnTo>
                                      <a:lnTo>
                                        <a:pt x="2515539" y="0"/>
                                      </a:lnTo>
                                      <a:close/>
                                    </a:path>
                                    <a:path w="3723004" h="6350">
                                      <a:moveTo>
                                        <a:pt x="3722801" y="0"/>
                                      </a:moveTo>
                                      <a:lnTo>
                                        <a:pt x="2521585" y="0"/>
                                      </a:lnTo>
                                      <a:lnTo>
                                        <a:pt x="2521585" y="6096"/>
                                      </a:lnTo>
                                      <a:lnTo>
                                        <a:pt x="3722801" y="6096"/>
                                      </a:lnTo>
                                      <a:lnTo>
                                        <a:pt x="372280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39995pt;margin-top:41.56189pt;width:293.150pt;height:.5pt;mso-position-horizontal-relative:column;mso-position-vertical-relative:paragraph;z-index:15745536" id="docshapegroup126" coordorigin="5,831" coordsize="5863,10">
                      <v:shape style="position:absolute;left:4;top:831;width:5863;height:10" id="docshape127" coordorigin="5,831" coordsize="5863,10" path="m1272,831l5,831,5,841,1272,841,1272,831xm2694,831l1282,831,1282,841,2694,841,2694,831xm3966,831l2703,831,2703,841,3966,841,3966,831xm5867,831l3976,831,3976,841,5867,841,5867,831xe" filled="true" fillcolor="#000000" stroked="false">
                        <v:path arrowok="t"/>
                        <v:fill type="solid"/>
                      </v:shape>
                      <w10:wrap type="none"/>
                    </v:group>
                  </w:pict>
                </mc:Fallback>
              </mc:AlternateContent>
            </w:r>
            <w:r>
              <w:rPr>
                <w:spacing w:val="-2"/>
                <w:sz w:val="18"/>
              </w:rPr>
              <w:t>Informe Trimestral</w:t>
            </w:r>
          </w:p>
        </w:tc>
        <w:tc>
          <w:tcPr>
            <w:tcW w:w="1421" w:type="dxa"/>
            <w:gridSpan w:val="2"/>
            <w:tcBorders>
              <w:bottom w:val="nil"/>
            </w:tcBorders>
          </w:tcPr>
          <w:p>
            <w:pPr>
              <w:pStyle w:val="TableParagraph"/>
              <w:spacing w:before="103"/>
              <w:rPr>
                <w:b/>
                <w:sz w:val="18"/>
              </w:rPr>
            </w:pPr>
          </w:p>
          <w:p>
            <w:pPr>
              <w:pStyle w:val="TableParagraph"/>
              <w:spacing w:before="1"/>
              <w:ind w:left="66" w:right="397"/>
              <w:jc w:val="both"/>
              <w:rPr>
                <w:sz w:val="18"/>
              </w:rPr>
            </w:pPr>
            <w:r>
              <w:rPr>
                <w:sz w:val="18"/>
              </w:rPr>
              <w:t>Jefatura de Mercadeo</w:t>
            </w:r>
            <w:r>
              <w:rPr>
                <w:spacing w:val="-13"/>
                <w:sz w:val="18"/>
              </w:rPr>
              <w:t> </w:t>
            </w:r>
            <w:r>
              <w:rPr>
                <w:sz w:val="18"/>
              </w:rPr>
              <w:t>y </w:t>
            </w:r>
            <w:r>
              <w:rPr>
                <w:spacing w:val="-2"/>
                <w:sz w:val="18"/>
              </w:rPr>
              <w:t>Ventas</w:t>
            </w:r>
          </w:p>
        </w:tc>
        <w:tc>
          <w:tcPr>
            <w:tcW w:w="1268" w:type="dxa"/>
            <w:tcBorders>
              <w:bottom w:val="nil"/>
            </w:tcBorders>
          </w:tcPr>
          <w:p>
            <w:pPr>
              <w:pStyle w:val="TableParagraph"/>
              <w:rPr>
                <w:rFonts w:ascii="Times New Roman"/>
                <w:sz w:val="18"/>
              </w:rPr>
            </w:pPr>
          </w:p>
        </w:tc>
        <w:tc>
          <w:tcPr>
            <w:tcW w:w="1904" w:type="dxa"/>
            <w:tcBorders>
              <w:bottom w:val="nil"/>
            </w:tcBorders>
          </w:tcPr>
          <w:p>
            <w:pPr>
              <w:pStyle w:val="TableParagraph"/>
              <w:ind w:left="71"/>
              <w:rPr>
                <w:sz w:val="18"/>
              </w:rPr>
            </w:pPr>
            <w:r>
              <w:rPr>
                <w:sz w:val="18"/>
              </w:rPr>
              <w:t>Evento: Se den fallas en el funcionamiento del</w:t>
            </w:r>
            <w:r>
              <w:rPr>
                <w:spacing w:val="-12"/>
                <w:sz w:val="18"/>
              </w:rPr>
              <w:t> </w:t>
            </w:r>
            <w:r>
              <w:rPr>
                <w:sz w:val="18"/>
              </w:rPr>
              <w:t>sistema</w:t>
            </w:r>
            <w:r>
              <w:rPr>
                <w:spacing w:val="-13"/>
                <w:sz w:val="18"/>
              </w:rPr>
              <w:t> </w:t>
            </w:r>
            <w:r>
              <w:rPr>
                <w:sz w:val="18"/>
              </w:rPr>
              <w:t>LDCOM</w:t>
            </w:r>
            <w:r>
              <w:rPr>
                <w:spacing w:val="-9"/>
                <w:sz w:val="18"/>
              </w:rPr>
              <w:t> </w:t>
            </w:r>
            <w:r>
              <w:rPr>
                <w:sz w:val="18"/>
              </w:rPr>
              <w:t>y seguridad de la información por fallas</w:t>
            </w:r>
          </w:p>
          <w:p>
            <w:pPr>
              <w:pStyle w:val="TableParagraph"/>
              <w:spacing w:line="192" w:lineRule="exact" w:before="1"/>
              <w:ind w:left="71"/>
              <w:rPr>
                <w:sz w:val="18"/>
              </w:rPr>
            </w:pPr>
            <w:r>
              <w:rPr>
                <w:sz w:val="18"/>
              </w:rPr>
              <w:t>en los</w:t>
            </w:r>
            <w:r>
              <w:rPr>
                <w:spacing w:val="-3"/>
                <w:sz w:val="18"/>
              </w:rPr>
              <w:t> </w:t>
            </w:r>
            <w:r>
              <w:rPr>
                <w:spacing w:val="-2"/>
                <w:sz w:val="18"/>
              </w:rPr>
              <w:t>servidores</w:t>
            </w:r>
          </w:p>
        </w:tc>
      </w:tr>
    </w:tbl>
    <w:p>
      <w:pPr>
        <w:pStyle w:val="TableParagraph"/>
        <w:spacing w:after="0" w:line="192" w:lineRule="exact"/>
        <w:rPr>
          <w:sz w:val="18"/>
        </w:rPr>
        <w:sectPr>
          <w:type w:val="continuous"/>
          <w:pgSz w:w="15840" w:h="12240" w:orient="landscape"/>
          <w:pgMar w:header="0" w:footer="1806" w:top="700" w:bottom="2320" w:left="360" w:right="360"/>
        </w:sectPr>
      </w:pPr>
    </w:p>
    <w:tbl>
      <w:tblPr>
        <w:tblW w:w="0" w:type="auto"/>
        <w:jc w:val="left"/>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89"/>
        <w:gridCol w:w="1988"/>
        <w:gridCol w:w="1844"/>
        <w:gridCol w:w="1839"/>
        <w:gridCol w:w="1277"/>
        <w:gridCol w:w="144"/>
        <w:gridCol w:w="1277"/>
        <w:gridCol w:w="1268"/>
        <w:gridCol w:w="1906"/>
      </w:tblGrid>
      <w:tr>
        <w:trPr>
          <w:trHeight w:val="873" w:hRule="atLeast"/>
        </w:trPr>
        <w:tc>
          <w:tcPr>
            <w:tcW w:w="2689" w:type="dxa"/>
            <w:shd w:val="clear" w:color="auto" w:fill="D7D7D7"/>
          </w:tcPr>
          <w:p>
            <w:pPr>
              <w:pStyle w:val="TableParagraph"/>
              <w:spacing w:before="127"/>
              <w:rPr>
                <w:b/>
                <w:sz w:val="18"/>
              </w:rPr>
            </w:pPr>
          </w:p>
          <w:p>
            <w:pPr>
              <w:pStyle w:val="TableParagraph"/>
              <w:spacing w:before="1"/>
              <w:ind w:left="374"/>
              <w:rPr>
                <w:b/>
                <w:sz w:val="18"/>
              </w:rPr>
            </w:pPr>
            <w:r>
              <w:rPr>
                <w:b/>
                <w:sz w:val="18"/>
              </w:rPr>
              <w:t>Objetivos</w:t>
            </w:r>
            <w:r>
              <w:rPr>
                <w:b/>
                <w:spacing w:val="-5"/>
                <w:sz w:val="18"/>
              </w:rPr>
              <w:t> </w:t>
            </w:r>
            <w:r>
              <w:rPr>
                <w:b/>
                <w:sz w:val="18"/>
              </w:rPr>
              <w:t>/</w:t>
            </w:r>
            <w:r>
              <w:rPr>
                <w:b/>
                <w:spacing w:val="-2"/>
                <w:sz w:val="18"/>
              </w:rPr>
              <w:t> Resultados</w:t>
            </w:r>
          </w:p>
        </w:tc>
        <w:tc>
          <w:tcPr>
            <w:tcW w:w="1988" w:type="dxa"/>
            <w:shd w:val="clear" w:color="auto" w:fill="D7D7D7"/>
          </w:tcPr>
          <w:p>
            <w:pPr>
              <w:pStyle w:val="TableParagraph"/>
              <w:spacing w:before="127"/>
              <w:rPr>
                <w:b/>
                <w:sz w:val="18"/>
              </w:rPr>
            </w:pPr>
          </w:p>
          <w:p>
            <w:pPr>
              <w:pStyle w:val="TableParagraph"/>
              <w:spacing w:before="1"/>
              <w:ind w:left="20" w:right="5"/>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844" w:type="dxa"/>
            <w:shd w:val="clear" w:color="auto" w:fill="D7D7D7"/>
          </w:tcPr>
          <w:p>
            <w:pPr>
              <w:pStyle w:val="TableParagraph"/>
              <w:spacing w:before="22"/>
              <w:rPr>
                <w:b/>
                <w:sz w:val="18"/>
              </w:rPr>
            </w:pPr>
          </w:p>
          <w:p>
            <w:pPr>
              <w:pStyle w:val="TableParagraph"/>
              <w:ind w:left="720" w:hanging="553"/>
              <w:rPr>
                <w:b/>
                <w:sz w:val="18"/>
              </w:rPr>
            </w:pPr>
            <w:r>
              <w:rPr>
                <w:b/>
                <w:sz w:val="18"/>
              </w:rPr>
              <w:t>Meta</w:t>
            </w:r>
            <w:r>
              <w:rPr>
                <w:b/>
                <w:spacing w:val="-13"/>
                <w:sz w:val="18"/>
              </w:rPr>
              <w:t> </w:t>
            </w:r>
            <w:r>
              <w:rPr>
                <w:b/>
                <w:sz w:val="18"/>
              </w:rPr>
              <w:t>programada </w:t>
            </w:r>
            <w:r>
              <w:rPr>
                <w:b/>
                <w:spacing w:val="-4"/>
                <w:sz w:val="18"/>
              </w:rPr>
              <w:t>2026</w:t>
            </w:r>
          </w:p>
        </w:tc>
        <w:tc>
          <w:tcPr>
            <w:tcW w:w="1839" w:type="dxa"/>
            <w:shd w:val="clear" w:color="auto" w:fill="D7D7D7"/>
          </w:tcPr>
          <w:p>
            <w:pPr>
              <w:pStyle w:val="TableParagraph"/>
              <w:spacing w:before="127"/>
              <w:rPr>
                <w:b/>
                <w:sz w:val="18"/>
              </w:rPr>
            </w:pPr>
          </w:p>
          <w:p>
            <w:pPr>
              <w:pStyle w:val="TableParagraph"/>
              <w:spacing w:before="1"/>
              <w:ind w:left="513"/>
              <w:rPr>
                <w:b/>
                <w:sz w:val="18"/>
              </w:rPr>
            </w:pPr>
            <w:r>
              <w:rPr>
                <w:b/>
                <w:spacing w:val="-2"/>
                <w:sz w:val="18"/>
              </w:rPr>
              <w:t>Indicador</w:t>
            </w:r>
          </w:p>
        </w:tc>
        <w:tc>
          <w:tcPr>
            <w:tcW w:w="1421" w:type="dxa"/>
            <w:gridSpan w:val="2"/>
            <w:shd w:val="clear" w:color="auto" w:fill="D7D7D7"/>
          </w:tcPr>
          <w:p>
            <w:pPr>
              <w:pStyle w:val="TableParagraph"/>
              <w:spacing w:before="22"/>
              <w:rPr>
                <w:b/>
                <w:sz w:val="18"/>
              </w:rPr>
            </w:pPr>
          </w:p>
          <w:p>
            <w:pPr>
              <w:pStyle w:val="TableParagraph"/>
              <w:ind w:left="210" w:firstLine="57"/>
              <w:rPr>
                <w:b/>
                <w:sz w:val="18"/>
              </w:rPr>
            </w:pPr>
            <w:r>
              <w:rPr>
                <w:b/>
                <w:sz w:val="18"/>
              </w:rPr>
              <w:t>Medios de </w:t>
            </w:r>
            <w:r>
              <w:rPr>
                <w:b/>
                <w:spacing w:val="-2"/>
                <w:sz w:val="18"/>
              </w:rPr>
              <w:t>verificación</w:t>
            </w:r>
          </w:p>
        </w:tc>
        <w:tc>
          <w:tcPr>
            <w:tcW w:w="1277" w:type="dxa"/>
            <w:shd w:val="clear" w:color="auto" w:fill="D7D7D7"/>
          </w:tcPr>
          <w:p>
            <w:pPr>
              <w:pStyle w:val="TableParagraph"/>
              <w:spacing w:before="127"/>
              <w:rPr>
                <w:b/>
                <w:sz w:val="18"/>
              </w:rPr>
            </w:pPr>
          </w:p>
          <w:p>
            <w:pPr>
              <w:pStyle w:val="TableParagraph"/>
              <w:spacing w:before="1"/>
              <w:ind w:left="76"/>
              <w:rPr>
                <w:b/>
                <w:sz w:val="18"/>
              </w:rPr>
            </w:pPr>
            <w:r>
              <w:rPr>
                <w:b/>
                <w:spacing w:val="-2"/>
                <w:sz w:val="18"/>
              </w:rPr>
              <w:t>Responsable</w:t>
            </w:r>
          </w:p>
        </w:tc>
        <w:tc>
          <w:tcPr>
            <w:tcW w:w="1268" w:type="dxa"/>
            <w:shd w:val="clear" w:color="auto" w:fill="D7D7D7"/>
          </w:tcPr>
          <w:p>
            <w:pPr>
              <w:pStyle w:val="TableParagraph"/>
              <w:spacing w:before="22"/>
              <w:rPr>
                <w:b/>
                <w:sz w:val="18"/>
              </w:rPr>
            </w:pPr>
          </w:p>
          <w:p>
            <w:pPr>
              <w:pStyle w:val="TableParagraph"/>
              <w:ind w:left="234" w:hanging="149"/>
              <w:rPr>
                <w:b/>
                <w:sz w:val="18"/>
              </w:rPr>
            </w:pPr>
            <w:r>
              <w:rPr>
                <w:b/>
                <w:spacing w:val="-2"/>
                <w:sz w:val="18"/>
              </w:rPr>
              <w:t>Presupuesto asignado</w:t>
            </w:r>
          </w:p>
        </w:tc>
        <w:tc>
          <w:tcPr>
            <w:tcW w:w="1906" w:type="dxa"/>
            <w:tcBorders>
              <w:bottom w:val="nil"/>
            </w:tcBorders>
            <w:shd w:val="clear" w:color="auto" w:fill="D7D7D7"/>
          </w:tcPr>
          <w:p>
            <w:pPr>
              <w:pStyle w:val="TableParagraph"/>
              <w:spacing w:before="127"/>
              <w:rPr>
                <w:b/>
                <w:sz w:val="18"/>
              </w:rPr>
            </w:pPr>
          </w:p>
          <w:p>
            <w:pPr>
              <w:pStyle w:val="TableParagraph"/>
              <w:spacing w:before="1"/>
              <w:ind w:left="196"/>
              <w:rPr>
                <w:b/>
                <w:sz w:val="18"/>
              </w:rPr>
            </w:pPr>
            <w:r>
              <w:rPr>
                <w:b/>
                <w:sz w:val="18"/>
              </w:rPr>
              <w:t>Riesgo</w:t>
            </w:r>
            <w:r>
              <w:rPr>
                <w:b/>
                <w:spacing w:val="-4"/>
                <w:sz w:val="18"/>
              </w:rPr>
              <w:t> </w:t>
            </w:r>
            <w:r>
              <w:rPr>
                <w:b/>
                <w:spacing w:val="-2"/>
                <w:sz w:val="18"/>
              </w:rPr>
              <w:t>Vinculado</w:t>
            </w:r>
          </w:p>
        </w:tc>
      </w:tr>
      <w:tr>
        <w:trPr>
          <w:trHeight w:val="1243" w:hRule="atLeast"/>
        </w:trPr>
        <w:tc>
          <w:tcPr>
            <w:tcW w:w="2689" w:type="dxa"/>
          </w:tcPr>
          <w:p>
            <w:pPr>
              <w:pStyle w:val="TableParagraph"/>
              <w:ind w:left="72" w:right="100"/>
              <w:rPr>
                <w:sz w:val="18"/>
              </w:rPr>
            </w:pPr>
            <w:r>
              <w:rPr>
                <w:b/>
                <w:sz w:val="18"/>
              </w:rPr>
              <w:t>Actividad</w:t>
            </w:r>
            <w:r>
              <w:rPr>
                <w:b/>
                <w:spacing w:val="-13"/>
                <w:sz w:val="18"/>
              </w:rPr>
              <w:t> </w:t>
            </w:r>
            <w:r>
              <w:rPr>
                <w:b/>
                <w:sz w:val="18"/>
              </w:rPr>
              <w:t>PEC</w:t>
            </w:r>
            <w:r>
              <w:rPr>
                <w:b/>
                <w:spacing w:val="-11"/>
                <w:sz w:val="18"/>
              </w:rPr>
              <w:t> </w:t>
            </w:r>
            <w:r>
              <w:rPr>
                <w:b/>
                <w:sz w:val="18"/>
              </w:rPr>
              <w:t>3.9.2:</w:t>
            </w:r>
            <w:r>
              <w:rPr>
                <w:b/>
                <w:spacing w:val="-10"/>
                <w:sz w:val="18"/>
              </w:rPr>
              <w:t> </w:t>
            </w:r>
            <w:r>
              <w:rPr>
                <w:sz w:val="18"/>
              </w:rPr>
              <w:t>Ejecutar las actividades programadas para</w:t>
            </w:r>
            <w:r>
              <w:rPr>
                <w:spacing w:val="-4"/>
                <w:sz w:val="18"/>
              </w:rPr>
              <w:t> </w:t>
            </w:r>
            <w:r>
              <w:rPr>
                <w:sz w:val="18"/>
              </w:rPr>
              <w:t>el</w:t>
            </w:r>
            <w:r>
              <w:rPr>
                <w:spacing w:val="-1"/>
                <w:sz w:val="18"/>
              </w:rPr>
              <w:t> </w:t>
            </w:r>
            <w:r>
              <w:rPr>
                <w:sz w:val="18"/>
              </w:rPr>
              <w:t>2026 contempladas en el cronograma para la</w:t>
            </w:r>
          </w:p>
          <w:p>
            <w:pPr>
              <w:pStyle w:val="TableParagraph"/>
              <w:spacing w:line="206" w:lineRule="exact"/>
              <w:ind w:left="72" w:right="100"/>
              <w:rPr>
                <w:sz w:val="18"/>
              </w:rPr>
            </w:pPr>
            <w:r>
              <w:rPr>
                <w:sz w:val="18"/>
              </w:rPr>
              <w:t>implementación</w:t>
            </w:r>
            <w:r>
              <w:rPr>
                <w:spacing w:val="-15"/>
                <w:sz w:val="18"/>
              </w:rPr>
              <w:t> </w:t>
            </w:r>
            <w:r>
              <w:rPr>
                <w:sz w:val="18"/>
              </w:rPr>
              <w:t>del</w:t>
            </w:r>
            <w:r>
              <w:rPr>
                <w:spacing w:val="-12"/>
                <w:sz w:val="18"/>
              </w:rPr>
              <w:t> </w:t>
            </w:r>
            <w:r>
              <w:rPr>
                <w:sz w:val="18"/>
              </w:rPr>
              <w:t>e-</w:t>
            </w:r>
            <w:r>
              <w:rPr>
                <w:spacing w:val="-2"/>
                <w:sz w:val="18"/>
              </w:rPr>
              <w:t>commerce</w:t>
            </w:r>
          </w:p>
        </w:tc>
        <w:tc>
          <w:tcPr>
            <w:tcW w:w="1988"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0" w:right="4"/>
              <w:jc w:val="center"/>
              <w:rPr>
                <w:sz w:val="18"/>
              </w:rPr>
            </w:pPr>
            <w:r>
              <w:rPr>
                <w:spacing w:val="-5"/>
                <w:sz w:val="18"/>
              </w:rPr>
              <w:t>N/D</w:t>
            </w:r>
          </w:p>
        </w:tc>
        <w:tc>
          <w:tcPr>
            <w:tcW w:w="1844" w:type="dxa"/>
          </w:tcPr>
          <w:p>
            <w:pPr>
              <w:pStyle w:val="TableParagraph"/>
              <w:rPr>
                <w:b/>
                <w:sz w:val="18"/>
              </w:rPr>
            </w:pPr>
          </w:p>
          <w:p>
            <w:pPr>
              <w:pStyle w:val="TableParagraph"/>
              <w:spacing w:before="104"/>
              <w:rPr>
                <w:b/>
                <w:sz w:val="18"/>
              </w:rPr>
            </w:pPr>
          </w:p>
          <w:p>
            <w:pPr>
              <w:pStyle w:val="TableParagraph"/>
              <w:ind w:left="9" w:right="2"/>
              <w:jc w:val="center"/>
              <w:rPr>
                <w:sz w:val="18"/>
              </w:rPr>
            </w:pPr>
            <w:r>
              <w:rPr>
                <w:spacing w:val="-5"/>
                <w:sz w:val="18"/>
              </w:rPr>
              <w:t>50%</w:t>
            </w:r>
          </w:p>
        </w:tc>
        <w:tc>
          <w:tcPr>
            <w:tcW w:w="1839" w:type="dxa"/>
          </w:tcPr>
          <w:p>
            <w:pPr>
              <w:pStyle w:val="TableParagraph"/>
              <w:spacing w:before="3"/>
              <w:rPr>
                <w:b/>
                <w:sz w:val="18"/>
              </w:rPr>
            </w:pPr>
          </w:p>
          <w:p>
            <w:pPr>
              <w:pStyle w:val="TableParagraph"/>
              <w:ind w:left="66" w:right="123"/>
              <w:rPr>
                <w:sz w:val="18"/>
              </w:rPr>
            </w:pPr>
            <w:r>
              <w:rPr>
                <w:sz w:val="18"/>
              </w:rPr>
              <w:t>Porcentaje de actividades</w:t>
            </w:r>
            <w:r>
              <w:rPr>
                <w:spacing w:val="-13"/>
                <w:sz w:val="18"/>
              </w:rPr>
              <w:t> </w:t>
            </w:r>
            <w:r>
              <w:rPr>
                <w:sz w:val="18"/>
              </w:rPr>
              <w:t>del </w:t>
            </w:r>
            <w:r>
              <w:rPr>
                <w:spacing w:val="-2"/>
                <w:sz w:val="18"/>
              </w:rPr>
              <w:t>cronograma ejecutadas</w:t>
            </w:r>
          </w:p>
        </w:tc>
        <w:tc>
          <w:tcPr>
            <w:tcW w:w="1277" w:type="dxa"/>
          </w:tcPr>
          <w:p>
            <w:pPr>
              <w:pStyle w:val="TableParagraph"/>
              <w:rPr>
                <w:b/>
                <w:sz w:val="18"/>
              </w:rPr>
            </w:pPr>
          </w:p>
          <w:p>
            <w:pPr>
              <w:pStyle w:val="TableParagraph"/>
              <w:spacing w:before="3"/>
              <w:rPr>
                <w:b/>
                <w:sz w:val="18"/>
              </w:rPr>
            </w:pPr>
          </w:p>
          <w:p>
            <w:pPr>
              <w:pStyle w:val="TableParagraph"/>
              <w:ind w:left="71"/>
              <w:rPr>
                <w:sz w:val="18"/>
              </w:rPr>
            </w:pPr>
            <w:r>
              <w:rPr>
                <w:spacing w:val="-2"/>
                <w:sz w:val="18"/>
              </w:rPr>
              <w:t>Informe Trimestral</w:t>
            </w:r>
          </w:p>
        </w:tc>
        <w:tc>
          <w:tcPr>
            <w:tcW w:w="1421" w:type="dxa"/>
            <w:gridSpan w:val="2"/>
          </w:tcPr>
          <w:p>
            <w:pPr>
              <w:pStyle w:val="TableParagraph"/>
              <w:spacing w:before="104"/>
              <w:rPr>
                <w:b/>
                <w:sz w:val="18"/>
              </w:rPr>
            </w:pPr>
          </w:p>
          <w:p>
            <w:pPr>
              <w:pStyle w:val="TableParagraph"/>
              <w:ind w:left="66" w:right="397"/>
              <w:jc w:val="both"/>
              <w:rPr>
                <w:sz w:val="18"/>
              </w:rPr>
            </w:pPr>
            <w:r>
              <w:rPr>
                <w:sz w:val="18"/>
              </w:rPr>
              <w:t>Jefatura de Mercadeo</w:t>
            </w:r>
            <w:r>
              <w:rPr>
                <w:spacing w:val="-13"/>
                <w:sz w:val="18"/>
              </w:rPr>
              <w:t> </w:t>
            </w:r>
            <w:r>
              <w:rPr>
                <w:sz w:val="18"/>
              </w:rPr>
              <w:t>y </w:t>
            </w:r>
            <w:r>
              <w:rPr>
                <w:spacing w:val="-2"/>
                <w:sz w:val="18"/>
              </w:rPr>
              <w:t>Ventas</w:t>
            </w:r>
          </w:p>
        </w:tc>
        <w:tc>
          <w:tcPr>
            <w:tcW w:w="1268" w:type="dxa"/>
          </w:tcPr>
          <w:p>
            <w:pPr>
              <w:pStyle w:val="TableParagraph"/>
              <w:rPr>
                <w:rFonts w:ascii="Times New Roman"/>
                <w:sz w:val="18"/>
              </w:rPr>
            </w:pPr>
          </w:p>
        </w:tc>
        <w:tc>
          <w:tcPr>
            <w:tcW w:w="1906" w:type="dxa"/>
            <w:tcBorders>
              <w:top w:val="nil"/>
            </w:tcBorders>
          </w:tcPr>
          <w:p>
            <w:pPr>
              <w:pStyle w:val="TableParagraph"/>
              <w:rPr>
                <w:rFonts w:ascii="Times New Roman"/>
                <w:sz w:val="18"/>
              </w:rPr>
            </w:pPr>
          </w:p>
        </w:tc>
      </w:tr>
      <w:tr>
        <w:trPr>
          <w:trHeight w:val="585" w:hRule="atLeast"/>
        </w:trPr>
        <w:tc>
          <w:tcPr>
            <w:tcW w:w="14232" w:type="dxa"/>
            <w:gridSpan w:val="9"/>
            <w:shd w:val="clear" w:color="auto" w:fill="EFF8F9"/>
          </w:tcPr>
          <w:p>
            <w:pPr>
              <w:pStyle w:val="TableParagraph"/>
              <w:spacing w:before="191"/>
              <w:ind w:left="72"/>
              <w:rPr>
                <w:b/>
                <w:sz w:val="18"/>
              </w:rPr>
            </w:pPr>
            <w:r>
              <w:rPr>
                <w:b/>
                <w:sz w:val="18"/>
              </w:rPr>
              <w:t>Producto</w:t>
            </w:r>
            <w:r>
              <w:rPr>
                <w:b/>
                <w:spacing w:val="-8"/>
                <w:sz w:val="18"/>
              </w:rPr>
              <w:t> </w:t>
            </w:r>
            <w:r>
              <w:rPr>
                <w:b/>
                <w:sz w:val="18"/>
              </w:rPr>
              <w:t>PEC</w:t>
            </w:r>
            <w:r>
              <w:rPr>
                <w:b/>
                <w:spacing w:val="-9"/>
                <w:sz w:val="18"/>
              </w:rPr>
              <w:t> </w:t>
            </w:r>
            <w:r>
              <w:rPr>
                <w:b/>
                <w:sz w:val="18"/>
              </w:rPr>
              <w:t>3.10:</w:t>
            </w:r>
            <w:r>
              <w:rPr>
                <w:b/>
                <w:spacing w:val="-5"/>
                <w:sz w:val="18"/>
              </w:rPr>
              <w:t> </w:t>
            </w:r>
            <w:r>
              <w:rPr>
                <w:b/>
                <w:sz w:val="18"/>
              </w:rPr>
              <w:t>Ejecución</w:t>
            </w:r>
            <w:r>
              <w:rPr>
                <w:b/>
                <w:spacing w:val="-3"/>
                <w:sz w:val="18"/>
              </w:rPr>
              <w:t> </w:t>
            </w:r>
            <w:r>
              <w:rPr>
                <w:b/>
                <w:sz w:val="18"/>
              </w:rPr>
              <w:t>de</w:t>
            </w:r>
            <w:r>
              <w:rPr>
                <w:b/>
                <w:spacing w:val="-7"/>
                <w:sz w:val="18"/>
              </w:rPr>
              <w:t> </w:t>
            </w:r>
            <w:r>
              <w:rPr>
                <w:b/>
                <w:sz w:val="18"/>
              </w:rPr>
              <w:t>acciones</w:t>
            </w:r>
            <w:r>
              <w:rPr>
                <w:b/>
                <w:spacing w:val="-11"/>
                <w:sz w:val="18"/>
              </w:rPr>
              <w:t> </w:t>
            </w:r>
            <w:r>
              <w:rPr>
                <w:b/>
                <w:sz w:val="18"/>
              </w:rPr>
              <w:t>logísticas</w:t>
            </w:r>
            <w:r>
              <w:rPr>
                <w:b/>
                <w:spacing w:val="-7"/>
                <w:sz w:val="18"/>
              </w:rPr>
              <w:t> </w:t>
            </w:r>
            <w:r>
              <w:rPr>
                <w:b/>
                <w:sz w:val="18"/>
              </w:rPr>
              <w:t>y</w:t>
            </w:r>
            <w:r>
              <w:rPr>
                <w:b/>
                <w:spacing w:val="-7"/>
                <w:sz w:val="18"/>
              </w:rPr>
              <w:t> </w:t>
            </w:r>
            <w:r>
              <w:rPr>
                <w:b/>
                <w:sz w:val="18"/>
              </w:rPr>
              <w:t>de</w:t>
            </w:r>
            <w:r>
              <w:rPr>
                <w:b/>
                <w:spacing w:val="-3"/>
                <w:sz w:val="18"/>
              </w:rPr>
              <w:t> </w:t>
            </w:r>
            <w:r>
              <w:rPr>
                <w:b/>
                <w:sz w:val="18"/>
              </w:rPr>
              <w:t>mercadeo</w:t>
            </w:r>
            <w:r>
              <w:rPr>
                <w:b/>
                <w:spacing w:val="-3"/>
                <w:sz w:val="18"/>
              </w:rPr>
              <w:t> </w:t>
            </w:r>
            <w:r>
              <w:rPr>
                <w:b/>
                <w:sz w:val="18"/>
              </w:rPr>
              <w:t>que</w:t>
            </w:r>
            <w:r>
              <w:rPr>
                <w:b/>
                <w:spacing w:val="-3"/>
                <w:sz w:val="18"/>
              </w:rPr>
              <w:t> </w:t>
            </w:r>
            <w:r>
              <w:rPr>
                <w:b/>
                <w:sz w:val="18"/>
              </w:rPr>
              <w:t>contribuyan</w:t>
            </w:r>
            <w:r>
              <w:rPr>
                <w:b/>
                <w:spacing w:val="-3"/>
                <w:sz w:val="18"/>
              </w:rPr>
              <w:t> </w:t>
            </w:r>
            <w:r>
              <w:rPr>
                <w:b/>
                <w:sz w:val="18"/>
              </w:rPr>
              <w:t>a</w:t>
            </w:r>
            <w:r>
              <w:rPr>
                <w:b/>
                <w:spacing w:val="-7"/>
                <w:sz w:val="18"/>
              </w:rPr>
              <w:t> </w:t>
            </w:r>
            <w:r>
              <w:rPr>
                <w:b/>
                <w:sz w:val="18"/>
              </w:rPr>
              <w:t>potenciar</w:t>
            </w:r>
            <w:r>
              <w:rPr>
                <w:b/>
                <w:spacing w:val="-6"/>
                <w:sz w:val="18"/>
              </w:rPr>
              <w:t> </w:t>
            </w:r>
            <w:r>
              <w:rPr>
                <w:b/>
                <w:sz w:val="18"/>
              </w:rPr>
              <w:t>las</w:t>
            </w:r>
            <w:r>
              <w:rPr>
                <w:b/>
                <w:spacing w:val="-3"/>
                <w:sz w:val="18"/>
              </w:rPr>
              <w:t> </w:t>
            </w:r>
            <w:r>
              <w:rPr>
                <w:b/>
                <w:sz w:val="18"/>
              </w:rPr>
              <w:t>utilidades</w:t>
            </w:r>
            <w:r>
              <w:rPr>
                <w:b/>
                <w:spacing w:val="-7"/>
                <w:sz w:val="18"/>
              </w:rPr>
              <w:t> </w:t>
            </w:r>
            <w:r>
              <w:rPr>
                <w:b/>
                <w:sz w:val="18"/>
              </w:rPr>
              <w:t>del </w:t>
            </w:r>
            <w:r>
              <w:rPr>
                <w:b/>
                <w:spacing w:val="-2"/>
                <w:sz w:val="18"/>
              </w:rPr>
              <w:t>negocio</w:t>
            </w:r>
          </w:p>
        </w:tc>
      </w:tr>
      <w:tr>
        <w:trPr>
          <w:trHeight w:val="2069" w:hRule="atLeast"/>
        </w:trPr>
        <w:tc>
          <w:tcPr>
            <w:tcW w:w="2689" w:type="dxa"/>
          </w:tcPr>
          <w:p>
            <w:pPr>
              <w:pStyle w:val="TableParagraph"/>
              <w:ind w:left="72" w:right="100"/>
              <w:rPr>
                <w:sz w:val="18"/>
              </w:rPr>
            </w:pPr>
            <w:r>
              <w:rPr>
                <w:b/>
                <w:sz w:val="18"/>
              </w:rPr>
              <w:t>Actividad PEC 3.10.1: </w:t>
            </w:r>
            <w:r>
              <w:rPr>
                <w:sz w:val="18"/>
              </w:rPr>
              <w:t>Realizar campañas de comunicación en medios electrónicos,</w:t>
            </w:r>
            <w:r>
              <w:rPr>
                <w:spacing w:val="-1"/>
                <w:sz w:val="18"/>
              </w:rPr>
              <w:t> </w:t>
            </w:r>
            <w:r>
              <w:rPr>
                <w:sz w:val="18"/>
              </w:rPr>
              <w:t>con</w:t>
            </w:r>
            <w:r>
              <w:rPr>
                <w:spacing w:val="-3"/>
                <w:sz w:val="18"/>
              </w:rPr>
              <w:t> </w:t>
            </w:r>
            <w:r>
              <w:rPr>
                <w:sz w:val="18"/>
              </w:rPr>
              <w:t>el</w:t>
            </w:r>
            <w:r>
              <w:rPr>
                <w:spacing w:val="-9"/>
                <w:sz w:val="18"/>
              </w:rPr>
              <w:t> </w:t>
            </w:r>
            <w:r>
              <w:rPr>
                <w:sz w:val="18"/>
              </w:rPr>
              <w:t>fin</w:t>
            </w:r>
            <w:r>
              <w:rPr>
                <w:spacing w:val="-7"/>
                <w:sz w:val="18"/>
              </w:rPr>
              <w:t> </w:t>
            </w:r>
            <w:r>
              <w:rPr>
                <w:sz w:val="18"/>
              </w:rPr>
              <w:t>de</w:t>
            </w:r>
            <w:r>
              <w:rPr>
                <w:spacing w:val="-7"/>
                <w:sz w:val="18"/>
              </w:rPr>
              <w:t> </w:t>
            </w:r>
            <w:r>
              <w:rPr>
                <w:sz w:val="18"/>
              </w:rPr>
              <w:t>crear uniformidad e identidad de imagen, para el posicionamiento de la marca IMAS-Duty Free-Social Program</w:t>
            </w:r>
            <w:r>
              <w:rPr>
                <w:spacing w:val="-6"/>
                <w:sz w:val="18"/>
              </w:rPr>
              <w:t> </w:t>
            </w:r>
            <w:r>
              <w:rPr>
                <w:sz w:val="18"/>
              </w:rPr>
              <w:t>tanto</w:t>
            </w:r>
            <w:r>
              <w:rPr>
                <w:spacing w:val="-8"/>
                <w:sz w:val="18"/>
              </w:rPr>
              <w:t> </w:t>
            </w:r>
            <w:r>
              <w:rPr>
                <w:sz w:val="18"/>
              </w:rPr>
              <w:t>en</w:t>
            </w:r>
            <w:r>
              <w:rPr>
                <w:spacing w:val="-8"/>
                <w:sz w:val="18"/>
              </w:rPr>
              <w:t> </w:t>
            </w:r>
            <w:r>
              <w:rPr>
                <w:sz w:val="18"/>
              </w:rPr>
              <w:t>el</w:t>
            </w:r>
            <w:r>
              <w:rPr>
                <w:spacing w:val="-5"/>
                <w:sz w:val="18"/>
              </w:rPr>
              <w:t> </w:t>
            </w:r>
            <w:r>
              <w:rPr>
                <w:sz w:val="18"/>
              </w:rPr>
              <w:t>AIJS</w:t>
            </w:r>
            <w:r>
              <w:rPr>
                <w:spacing w:val="-9"/>
                <w:sz w:val="18"/>
              </w:rPr>
              <w:t> </w:t>
            </w:r>
            <w:r>
              <w:rPr>
                <w:sz w:val="18"/>
              </w:rPr>
              <w:t>como</w:t>
            </w:r>
          </w:p>
          <w:p>
            <w:pPr>
              <w:pStyle w:val="TableParagraph"/>
              <w:spacing w:line="187" w:lineRule="exact"/>
              <w:ind w:left="72"/>
              <w:rPr>
                <w:sz w:val="18"/>
              </w:rPr>
            </w:pPr>
            <w:r>
              <w:rPr>
                <w:sz w:val="18"/>
              </w:rPr>
              <w:t>en</w:t>
            </w:r>
            <w:r>
              <w:rPr>
                <w:spacing w:val="-2"/>
                <w:sz w:val="18"/>
              </w:rPr>
              <w:t> </w:t>
            </w:r>
            <w:r>
              <w:rPr>
                <w:sz w:val="18"/>
              </w:rPr>
              <w:t>el</w:t>
            </w:r>
            <w:r>
              <w:rPr>
                <w:spacing w:val="-3"/>
                <w:sz w:val="18"/>
              </w:rPr>
              <w:t> </w:t>
            </w:r>
            <w:r>
              <w:rPr>
                <w:sz w:val="18"/>
              </w:rPr>
              <w:t>AIDO</w:t>
            </w:r>
            <w:r>
              <w:rPr>
                <w:spacing w:val="-3"/>
                <w:sz w:val="18"/>
              </w:rPr>
              <w:t> </w:t>
            </w:r>
            <w:r>
              <w:rPr>
                <w:sz w:val="18"/>
              </w:rPr>
              <w:t>(Partida</w:t>
            </w:r>
            <w:r>
              <w:rPr>
                <w:spacing w:val="-5"/>
                <w:sz w:val="18"/>
              </w:rPr>
              <w:t> </w:t>
            </w:r>
            <w:r>
              <w:rPr>
                <w:spacing w:val="-2"/>
                <w:sz w:val="18"/>
              </w:rPr>
              <w:t>1.03.02)</w:t>
            </w:r>
          </w:p>
        </w:tc>
        <w:tc>
          <w:tcPr>
            <w:tcW w:w="198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0" w:right="4"/>
              <w:jc w:val="center"/>
              <w:rPr>
                <w:sz w:val="18"/>
              </w:rPr>
            </w:pPr>
            <w:r>
              <w:rPr>
                <w:spacing w:val="-5"/>
                <w:sz w:val="18"/>
              </w:rPr>
              <w:t>N/D</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 w:right="4"/>
              <w:jc w:val="center"/>
              <w:rPr>
                <w:sz w:val="18"/>
              </w:rPr>
            </w:pPr>
            <w:r>
              <w:rPr>
                <w:spacing w:val="-10"/>
                <w:sz w:val="18"/>
              </w:rPr>
              <w:t>4</w:t>
            </w:r>
          </w:p>
        </w:tc>
        <w:tc>
          <w:tcPr>
            <w:tcW w:w="1839"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6" w:right="123"/>
              <w:rPr>
                <w:sz w:val="18"/>
              </w:rPr>
            </w:pPr>
            <w:r>
              <w:rPr>
                <w:sz w:val="18"/>
              </w:rPr>
              <w:t>cantidad de </w:t>
            </w:r>
            <w:r>
              <w:rPr>
                <w:spacing w:val="-2"/>
                <w:sz w:val="18"/>
              </w:rPr>
              <w:t>campañas </w:t>
            </w:r>
            <w:r>
              <w:rPr>
                <w:sz w:val="18"/>
              </w:rPr>
              <w:t>realizadas,</w:t>
            </w:r>
            <w:r>
              <w:rPr>
                <w:spacing w:val="-13"/>
                <w:sz w:val="18"/>
              </w:rPr>
              <w:t> </w:t>
            </w:r>
            <w:r>
              <w:rPr>
                <w:sz w:val="18"/>
              </w:rPr>
              <w:t>según </w:t>
            </w:r>
            <w:r>
              <w:rPr>
                <w:spacing w:val="-2"/>
                <w:sz w:val="18"/>
              </w:rPr>
              <w:t>medio</w:t>
            </w:r>
          </w:p>
        </w:tc>
        <w:tc>
          <w:tcPr>
            <w:tcW w:w="1421" w:type="dxa"/>
            <w:gridSpan w:val="2"/>
          </w:tcPr>
          <w:p>
            <w:pPr>
              <w:pStyle w:val="TableParagraph"/>
              <w:rPr>
                <w:b/>
                <w:sz w:val="18"/>
              </w:rPr>
            </w:pPr>
          </w:p>
          <w:p>
            <w:pPr>
              <w:pStyle w:val="TableParagraph"/>
              <w:rPr>
                <w:b/>
                <w:sz w:val="18"/>
              </w:rPr>
            </w:pPr>
          </w:p>
          <w:p>
            <w:pPr>
              <w:pStyle w:val="TableParagraph"/>
              <w:spacing w:before="103"/>
              <w:rPr>
                <w:b/>
                <w:sz w:val="18"/>
              </w:rPr>
            </w:pPr>
          </w:p>
          <w:p>
            <w:pPr>
              <w:pStyle w:val="TableParagraph"/>
              <w:ind w:left="71" w:right="464"/>
              <w:jc w:val="both"/>
              <w:rPr>
                <w:sz w:val="18"/>
              </w:rPr>
            </w:pPr>
            <w:r>
              <w:rPr>
                <w:sz w:val="18"/>
              </w:rPr>
              <w:t>Informe</w:t>
            </w:r>
            <w:r>
              <w:rPr>
                <w:spacing w:val="-13"/>
                <w:sz w:val="18"/>
              </w:rPr>
              <w:t> </w:t>
            </w:r>
            <w:r>
              <w:rPr>
                <w:sz w:val="18"/>
              </w:rPr>
              <w:t>de </w:t>
            </w:r>
            <w:r>
              <w:rPr>
                <w:spacing w:val="-2"/>
                <w:sz w:val="18"/>
              </w:rPr>
              <w:t>campañas ejecutadas</w:t>
            </w:r>
          </w:p>
        </w:tc>
        <w:tc>
          <w:tcPr>
            <w:tcW w:w="127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1" w:right="248"/>
              <w:jc w:val="both"/>
              <w:rPr>
                <w:sz w:val="18"/>
              </w:rPr>
            </w:pPr>
            <w:r>
              <w:rPr>
                <w:sz w:val="18"/>
              </w:rPr>
              <w:t>Jefatura de Mercadeo</w:t>
            </w:r>
            <w:r>
              <w:rPr>
                <w:spacing w:val="-13"/>
                <w:sz w:val="18"/>
              </w:rPr>
              <w:t> </w:t>
            </w:r>
            <w:r>
              <w:rPr>
                <w:sz w:val="18"/>
              </w:rPr>
              <w:t>y </w:t>
            </w:r>
            <w:r>
              <w:rPr>
                <w:spacing w:val="-2"/>
                <w:sz w:val="18"/>
              </w:rPr>
              <w:t>Ventas</w:t>
            </w:r>
          </w:p>
        </w:tc>
        <w:tc>
          <w:tcPr>
            <w:tcW w:w="1268"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3" w:right="5"/>
              <w:jc w:val="center"/>
              <w:rPr>
                <w:sz w:val="18"/>
              </w:rPr>
            </w:pPr>
            <w:r>
              <w:rPr>
                <w:sz w:val="18"/>
              </w:rPr>
              <w:t>₡15</w:t>
            </w:r>
            <w:r>
              <w:rPr>
                <w:spacing w:val="1"/>
                <w:sz w:val="18"/>
              </w:rPr>
              <w:t> </w:t>
            </w:r>
            <w:r>
              <w:rPr>
                <w:sz w:val="18"/>
              </w:rPr>
              <w:t>000</w:t>
            </w:r>
            <w:r>
              <w:rPr>
                <w:spacing w:val="-3"/>
                <w:sz w:val="18"/>
              </w:rPr>
              <w:t> </w:t>
            </w:r>
            <w:r>
              <w:rPr>
                <w:spacing w:val="-5"/>
                <w:sz w:val="18"/>
              </w:rPr>
              <w:t>000</w:t>
            </w:r>
          </w:p>
        </w:tc>
        <w:tc>
          <w:tcPr>
            <w:tcW w:w="1906" w:type="dxa"/>
            <w:vMerge w:val="restart"/>
            <w:tcBorders>
              <w:bottom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3"/>
              <w:rPr>
                <w:b/>
                <w:sz w:val="18"/>
              </w:rPr>
            </w:pPr>
          </w:p>
          <w:p>
            <w:pPr>
              <w:pStyle w:val="TableParagraph"/>
              <w:ind w:left="71" w:right="98"/>
              <w:rPr>
                <w:sz w:val="18"/>
              </w:rPr>
            </w:pPr>
            <w:r>
              <w:rPr>
                <w:sz w:val="18"/>
              </w:rPr>
              <w:t>Evento: Los clientes se muestran más cautelosos al momento de adquirir productos</w:t>
            </w:r>
            <w:r>
              <w:rPr>
                <w:spacing w:val="-12"/>
                <w:sz w:val="18"/>
              </w:rPr>
              <w:t> </w:t>
            </w:r>
            <w:r>
              <w:rPr>
                <w:sz w:val="18"/>
              </w:rPr>
              <w:t>debido</w:t>
            </w:r>
            <w:r>
              <w:rPr>
                <w:spacing w:val="-12"/>
                <w:sz w:val="18"/>
              </w:rPr>
              <w:t> </w:t>
            </w:r>
            <w:r>
              <w:rPr>
                <w:sz w:val="18"/>
              </w:rPr>
              <w:t>a</w:t>
            </w:r>
            <w:r>
              <w:rPr>
                <w:spacing w:val="-12"/>
                <w:sz w:val="18"/>
              </w:rPr>
              <w:t> </w:t>
            </w:r>
            <w:r>
              <w:rPr>
                <w:sz w:val="18"/>
              </w:rPr>
              <w:t>la situación económica Global y políticas generadas por los Estados Unidos.</w:t>
            </w:r>
          </w:p>
        </w:tc>
      </w:tr>
      <w:tr>
        <w:trPr>
          <w:trHeight w:val="1243" w:hRule="atLeast"/>
        </w:trPr>
        <w:tc>
          <w:tcPr>
            <w:tcW w:w="2689" w:type="dxa"/>
          </w:tcPr>
          <w:p>
            <w:pPr>
              <w:pStyle w:val="TableParagraph"/>
              <w:spacing w:before="3"/>
              <w:rPr>
                <w:b/>
                <w:sz w:val="18"/>
              </w:rPr>
            </w:pPr>
          </w:p>
          <w:p>
            <w:pPr>
              <w:pStyle w:val="TableParagraph"/>
              <w:ind w:left="72" w:right="60"/>
              <w:rPr>
                <w:sz w:val="18"/>
              </w:rPr>
            </w:pPr>
            <w:r>
              <w:rPr>
                <w:b/>
                <w:sz w:val="18"/>
              </w:rPr>
              <w:t>Actividad PEC 3.10.2:</w:t>
            </w:r>
            <w:r>
              <w:rPr>
                <w:b/>
                <w:spacing w:val="40"/>
                <w:sz w:val="18"/>
              </w:rPr>
              <w:t> </w:t>
            </w:r>
            <w:r>
              <w:rPr>
                <w:sz w:val="18"/>
              </w:rPr>
              <w:t>Realizar</w:t>
            </w:r>
            <w:r>
              <w:rPr>
                <w:spacing w:val="-11"/>
                <w:sz w:val="18"/>
              </w:rPr>
              <w:t> </w:t>
            </w:r>
            <w:r>
              <w:rPr>
                <w:sz w:val="18"/>
              </w:rPr>
              <w:t>compras</w:t>
            </w:r>
            <w:r>
              <w:rPr>
                <w:spacing w:val="-11"/>
                <w:sz w:val="18"/>
              </w:rPr>
              <w:t> </w:t>
            </w:r>
            <w:r>
              <w:rPr>
                <w:sz w:val="18"/>
              </w:rPr>
              <w:t>de</w:t>
            </w:r>
            <w:r>
              <w:rPr>
                <w:spacing w:val="-13"/>
                <w:sz w:val="18"/>
              </w:rPr>
              <w:t> </w:t>
            </w:r>
            <w:r>
              <w:rPr>
                <w:sz w:val="18"/>
              </w:rPr>
              <w:t>mercancía que respondan a la proyección de ventas (Partida 2.05.02)</w:t>
            </w:r>
          </w:p>
        </w:tc>
        <w:tc>
          <w:tcPr>
            <w:tcW w:w="1988" w:type="dxa"/>
          </w:tcPr>
          <w:p>
            <w:pPr>
              <w:pStyle w:val="TableParagraph"/>
              <w:rPr>
                <w:b/>
                <w:sz w:val="18"/>
              </w:rPr>
            </w:pPr>
          </w:p>
          <w:p>
            <w:pPr>
              <w:pStyle w:val="TableParagraph"/>
              <w:spacing w:before="103"/>
              <w:rPr>
                <w:b/>
                <w:sz w:val="18"/>
              </w:rPr>
            </w:pPr>
          </w:p>
          <w:p>
            <w:pPr>
              <w:pStyle w:val="TableParagraph"/>
              <w:ind w:left="20" w:right="7"/>
              <w:jc w:val="center"/>
              <w:rPr>
                <w:sz w:val="18"/>
              </w:rPr>
            </w:pPr>
            <w:r>
              <w:rPr>
                <w:sz w:val="18"/>
              </w:rPr>
              <w:t>₡13</w:t>
            </w:r>
            <w:r>
              <w:rPr>
                <w:spacing w:val="1"/>
                <w:sz w:val="18"/>
              </w:rPr>
              <w:t> </w:t>
            </w:r>
            <w:r>
              <w:rPr>
                <w:sz w:val="18"/>
              </w:rPr>
              <w:t>762</w:t>
            </w:r>
            <w:r>
              <w:rPr>
                <w:spacing w:val="-3"/>
                <w:sz w:val="18"/>
              </w:rPr>
              <w:t> </w:t>
            </w:r>
            <w:r>
              <w:rPr>
                <w:sz w:val="18"/>
              </w:rPr>
              <w:t>471</w:t>
            </w:r>
            <w:r>
              <w:rPr>
                <w:spacing w:val="-2"/>
                <w:sz w:val="18"/>
              </w:rPr>
              <w:t> </w:t>
            </w:r>
            <w:r>
              <w:rPr>
                <w:spacing w:val="-5"/>
                <w:sz w:val="18"/>
              </w:rPr>
              <w:t>007</w:t>
            </w:r>
          </w:p>
        </w:tc>
        <w:tc>
          <w:tcPr>
            <w:tcW w:w="1844" w:type="dxa"/>
          </w:tcPr>
          <w:p>
            <w:pPr>
              <w:pStyle w:val="TableParagraph"/>
              <w:rPr>
                <w:b/>
                <w:sz w:val="18"/>
              </w:rPr>
            </w:pPr>
          </w:p>
          <w:p>
            <w:pPr>
              <w:pStyle w:val="TableParagraph"/>
              <w:spacing w:before="103"/>
              <w:rPr>
                <w:b/>
                <w:sz w:val="18"/>
              </w:rPr>
            </w:pPr>
          </w:p>
          <w:p>
            <w:pPr>
              <w:pStyle w:val="TableParagraph"/>
              <w:ind w:left="9" w:right="7"/>
              <w:jc w:val="center"/>
              <w:rPr>
                <w:sz w:val="18"/>
              </w:rPr>
            </w:pPr>
            <w:r>
              <w:rPr>
                <w:spacing w:val="-4"/>
                <w:sz w:val="18"/>
              </w:rPr>
              <w:t>100%</w:t>
            </w:r>
          </w:p>
        </w:tc>
        <w:tc>
          <w:tcPr>
            <w:tcW w:w="1839" w:type="dxa"/>
          </w:tcPr>
          <w:p>
            <w:pPr>
              <w:pStyle w:val="TableParagraph"/>
              <w:rPr>
                <w:b/>
                <w:sz w:val="18"/>
              </w:rPr>
            </w:pPr>
          </w:p>
          <w:p>
            <w:pPr>
              <w:pStyle w:val="TableParagraph"/>
              <w:spacing w:before="2"/>
              <w:rPr>
                <w:b/>
                <w:sz w:val="18"/>
              </w:rPr>
            </w:pPr>
          </w:p>
          <w:p>
            <w:pPr>
              <w:pStyle w:val="TableParagraph"/>
              <w:ind w:left="66" w:right="123"/>
              <w:rPr>
                <w:sz w:val="18"/>
              </w:rPr>
            </w:pPr>
            <w:r>
              <w:rPr>
                <w:sz w:val="18"/>
              </w:rPr>
              <w:t>%</w:t>
            </w:r>
            <w:r>
              <w:rPr>
                <w:spacing w:val="-11"/>
                <w:sz w:val="18"/>
              </w:rPr>
              <w:t> </w:t>
            </w:r>
            <w:r>
              <w:rPr>
                <w:sz w:val="18"/>
              </w:rPr>
              <w:t>de</w:t>
            </w:r>
            <w:r>
              <w:rPr>
                <w:spacing w:val="-13"/>
                <w:sz w:val="18"/>
              </w:rPr>
              <w:t> </w:t>
            </w:r>
            <w:r>
              <w:rPr>
                <w:sz w:val="18"/>
              </w:rPr>
              <w:t>ejecución</w:t>
            </w:r>
            <w:r>
              <w:rPr>
                <w:spacing w:val="-12"/>
                <w:sz w:val="18"/>
              </w:rPr>
              <w:t> </w:t>
            </w:r>
            <w:r>
              <w:rPr>
                <w:sz w:val="18"/>
              </w:rPr>
              <w:t>del Plan de Compras</w:t>
            </w:r>
          </w:p>
        </w:tc>
        <w:tc>
          <w:tcPr>
            <w:tcW w:w="1421" w:type="dxa"/>
            <w:gridSpan w:val="2"/>
          </w:tcPr>
          <w:p>
            <w:pPr>
              <w:pStyle w:val="TableParagraph"/>
              <w:rPr>
                <w:b/>
                <w:sz w:val="18"/>
              </w:rPr>
            </w:pPr>
          </w:p>
          <w:p>
            <w:pPr>
              <w:pStyle w:val="TableParagraph"/>
              <w:spacing w:before="2"/>
              <w:rPr>
                <w:b/>
                <w:sz w:val="18"/>
              </w:rPr>
            </w:pPr>
          </w:p>
          <w:p>
            <w:pPr>
              <w:pStyle w:val="TableParagraph"/>
              <w:ind w:left="71" w:right="181"/>
              <w:rPr>
                <w:sz w:val="18"/>
              </w:rPr>
            </w:pPr>
            <w:r>
              <w:rPr>
                <w:sz w:val="18"/>
              </w:rPr>
              <w:t>Plan de </w:t>
            </w:r>
            <w:r>
              <w:rPr>
                <w:spacing w:val="-2"/>
                <w:sz w:val="18"/>
              </w:rPr>
              <w:t>Compras</w:t>
            </w:r>
          </w:p>
        </w:tc>
        <w:tc>
          <w:tcPr>
            <w:tcW w:w="1277" w:type="dxa"/>
          </w:tcPr>
          <w:p>
            <w:pPr>
              <w:pStyle w:val="TableParagraph"/>
              <w:spacing w:before="3"/>
              <w:ind w:left="71" w:right="61"/>
              <w:rPr>
                <w:sz w:val="18"/>
              </w:rPr>
            </w:pPr>
            <w:r>
              <w:rPr>
                <w:sz w:val="18"/>
              </w:rPr>
              <w:t>Jefatura de Logística e </w:t>
            </w:r>
            <w:r>
              <w:rPr>
                <w:spacing w:val="-2"/>
                <w:sz w:val="18"/>
              </w:rPr>
              <w:t>Importaciones </w:t>
            </w:r>
            <w:r>
              <w:rPr>
                <w:sz w:val="18"/>
              </w:rPr>
              <w:t>y Jefatura de Mercadeo y</w:t>
            </w:r>
          </w:p>
          <w:p>
            <w:pPr>
              <w:pStyle w:val="TableParagraph"/>
              <w:spacing w:line="185" w:lineRule="exact"/>
              <w:ind w:left="71"/>
              <w:rPr>
                <w:sz w:val="18"/>
              </w:rPr>
            </w:pPr>
            <w:r>
              <w:rPr>
                <w:spacing w:val="-2"/>
                <w:sz w:val="18"/>
              </w:rPr>
              <w:t>Ventas</w:t>
            </w:r>
          </w:p>
        </w:tc>
        <w:tc>
          <w:tcPr>
            <w:tcW w:w="1268" w:type="dxa"/>
          </w:tcPr>
          <w:p>
            <w:pPr>
              <w:pStyle w:val="TableParagraph"/>
              <w:rPr>
                <w:b/>
                <w:sz w:val="18"/>
              </w:rPr>
            </w:pPr>
          </w:p>
          <w:p>
            <w:pPr>
              <w:pStyle w:val="TableParagraph"/>
              <w:spacing w:before="2"/>
              <w:rPr>
                <w:b/>
                <w:sz w:val="18"/>
              </w:rPr>
            </w:pPr>
          </w:p>
          <w:p>
            <w:pPr>
              <w:pStyle w:val="TableParagraph"/>
              <w:spacing w:line="207" w:lineRule="exact"/>
              <w:ind w:right="51"/>
              <w:jc w:val="right"/>
              <w:rPr>
                <w:sz w:val="18"/>
              </w:rPr>
            </w:pPr>
            <w:r>
              <w:rPr>
                <w:sz w:val="18"/>
              </w:rPr>
              <w:t>₡15</w:t>
            </w:r>
            <w:r>
              <w:rPr>
                <w:spacing w:val="1"/>
                <w:sz w:val="18"/>
              </w:rPr>
              <w:t> </w:t>
            </w:r>
            <w:r>
              <w:rPr>
                <w:sz w:val="18"/>
              </w:rPr>
              <w:t>045</w:t>
            </w:r>
            <w:r>
              <w:rPr>
                <w:spacing w:val="-3"/>
                <w:sz w:val="18"/>
              </w:rPr>
              <w:t> </w:t>
            </w:r>
            <w:r>
              <w:rPr>
                <w:spacing w:val="-5"/>
                <w:sz w:val="18"/>
              </w:rPr>
              <w:t>000</w:t>
            </w:r>
          </w:p>
          <w:p>
            <w:pPr>
              <w:pStyle w:val="TableParagraph"/>
              <w:spacing w:line="207" w:lineRule="exact"/>
              <w:ind w:right="57"/>
              <w:jc w:val="right"/>
              <w:rPr>
                <w:sz w:val="18"/>
              </w:rPr>
            </w:pPr>
            <w:r>
              <w:rPr>
                <w:spacing w:val="-5"/>
                <w:sz w:val="18"/>
              </w:rPr>
              <w:t>000</w:t>
            </w:r>
          </w:p>
        </w:tc>
        <w:tc>
          <w:tcPr>
            <w:tcW w:w="1906" w:type="dxa"/>
            <w:vMerge/>
            <w:tcBorders>
              <w:top w:val="nil"/>
              <w:bottom w:val="nil"/>
            </w:tcBorders>
          </w:tcPr>
          <w:p>
            <w:pPr>
              <w:rPr>
                <w:sz w:val="2"/>
                <w:szCs w:val="2"/>
              </w:rPr>
            </w:pPr>
          </w:p>
        </w:tc>
      </w:tr>
      <w:tr>
        <w:trPr>
          <w:trHeight w:val="1036" w:hRule="atLeast"/>
        </w:trPr>
        <w:tc>
          <w:tcPr>
            <w:tcW w:w="2689" w:type="dxa"/>
          </w:tcPr>
          <w:p>
            <w:pPr>
              <w:pStyle w:val="TableParagraph"/>
              <w:ind w:left="72" w:right="100"/>
              <w:rPr>
                <w:sz w:val="18"/>
              </w:rPr>
            </w:pPr>
            <w:r>
              <w:rPr>
                <w:b/>
                <w:sz w:val="18"/>
              </w:rPr>
              <w:t>Actividad PEC 3.10.3: </w:t>
            </w:r>
            <w:r>
              <w:rPr>
                <w:sz w:val="18"/>
              </w:rPr>
              <w:t>Supervisar</w:t>
            </w:r>
            <w:r>
              <w:rPr>
                <w:spacing w:val="-13"/>
                <w:sz w:val="18"/>
              </w:rPr>
              <w:t> </w:t>
            </w:r>
            <w:r>
              <w:rPr>
                <w:sz w:val="18"/>
              </w:rPr>
              <w:t>y</w:t>
            </w:r>
            <w:r>
              <w:rPr>
                <w:spacing w:val="-10"/>
                <w:sz w:val="18"/>
              </w:rPr>
              <w:t> </w:t>
            </w:r>
            <w:r>
              <w:rPr>
                <w:sz w:val="18"/>
              </w:rPr>
              <w:t>Controlar</w:t>
            </w:r>
            <w:r>
              <w:rPr>
                <w:spacing w:val="-13"/>
                <w:sz w:val="18"/>
              </w:rPr>
              <w:t> </w:t>
            </w:r>
            <w:r>
              <w:rPr>
                <w:sz w:val="18"/>
              </w:rPr>
              <w:t>Ingreso de la mercancía según los tiempos definidos en las</w:t>
            </w:r>
          </w:p>
          <w:p>
            <w:pPr>
              <w:pStyle w:val="TableParagraph"/>
              <w:spacing w:line="187" w:lineRule="exact" w:before="2"/>
              <w:ind w:left="72"/>
              <w:rPr>
                <w:sz w:val="18"/>
              </w:rPr>
            </w:pPr>
            <w:r>
              <w:rPr>
                <w:sz w:val="18"/>
              </w:rPr>
              <w:t>órdenes</w:t>
            </w:r>
            <w:r>
              <w:rPr>
                <w:spacing w:val="1"/>
                <w:sz w:val="18"/>
              </w:rPr>
              <w:t> </w:t>
            </w:r>
            <w:r>
              <w:rPr>
                <w:sz w:val="18"/>
              </w:rPr>
              <w:t>de</w:t>
            </w:r>
            <w:r>
              <w:rPr>
                <w:spacing w:val="-4"/>
                <w:sz w:val="18"/>
              </w:rPr>
              <w:t> </w:t>
            </w:r>
            <w:r>
              <w:rPr>
                <w:spacing w:val="-2"/>
                <w:sz w:val="18"/>
              </w:rPr>
              <w:t>compra</w:t>
            </w:r>
          </w:p>
        </w:tc>
        <w:tc>
          <w:tcPr>
            <w:tcW w:w="1988" w:type="dxa"/>
          </w:tcPr>
          <w:p>
            <w:pPr>
              <w:pStyle w:val="TableParagraph"/>
              <w:rPr>
                <w:b/>
                <w:sz w:val="18"/>
              </w:rPr>
            </w:pPr>
          </w:p>
          <w:p>
            <w:pPr>
              <w:pStyle w:val="TableParagraph"/>
              <w:spacing w:before="2"/>
              <w:rPr>
                <w:b/>
                <w:sz w:val="18"/>
              </w:rPr>
            </w:pPr>
          </w:p>
          <w:p>
            <w:pPr>
              <w:pStyle w:val="TableParagraph"/>
              <w:ind w:left="20" w:right="4"/>
              <w:jc w:val="center"/>
              <w:rPr>
                <w:sz w:val="18"/>
              </w:rPr>
            </w:pPr>
            <w:r>
              <w:rPr>
                <w:spacing w:val="-5"/>
                <w:sz w:val="18"/>
              </w:rPr>
              <w:t>N/D</w:t>
            </w:r>
          </w:p>
        </w:tc>
        <w:tc>
          <w:tcPr>
            <w:tcW w:w="1844" w:type="dxa"/>
          </w:tcPr>
          <w:p>
            <w:pPr>
              <w:pStyle w:val="TableParagraph"/>
              <w:rPr>
                <w:b/>
                <w:sz w:val="18"/>
              </w:rPr>
            </w:pPr>
          </w:p>
          <w:p>
            <w:pPr>
              <w:pStyle w:val="TableParagraph"/>
              <w:spacing w:before="2"/>
              <w:rPr>
                <w:b/>
                <w:sz w:val="18"/>
              </w:rPr>
            </w:pPr>
          </w:p>
          <w:p>
            <w:pPr>
              <w:pStyle w:val="TableParagraph"/>
              <w:ind w:left="9" w:right="2"/>
              <w:jc w:val="center"/>
              <w:rPr>
                <w:sz w:val="18"/>
              </w:rPr>
            </w:pPr>
            <w:r>
              <w:rPr>
                <w:spacing w:val="-5"/>
                <w:sz w:val="18"/>
              </w:rPr>
              <w:t>98%</w:t>
            </w:r>
          </w:p>
        </w:tc>
        <w:tc>
          <w:tcPr>
            <w:tcW w:w="1839" w:type="dxa"/>
          </w:tcPr>
          <w:p>
            <w:pPr>
              <w:pStyle w:val="TableParagraph"/>
              <w:spacing w:before="104"/>
              <w:ind w:left="66" w:right="184"/>
              <w:rPr>
                <w:sz w:val="18"/>
              </w:rPr>
            </w:pPr>
            <w:r>
              <w:rPr>
                <w:sz w:val="18"/>
              </w:rPr>
              <w:t>Porcentaje de pedidos</w:t>
            </w:r>
            <w:r>
              <w:rPr>
                <w:spacing w:val="-13"/>
                <w:sz w:val="18"/>
              </w:rPr>
              <w:t> </w:t>
            </w:r>
            <w:r>
              <w:rPr>
                <w:sz w:val="18"/>
              </w:rPr>
              <w:t>ingresando según tiempo </w:t>
            </w:r>
            <w:r>
              <w:rPr>
                <w:spacing w:val="-2"/>
                <w:sz w:val="18"/>
              </w:rPr>
              <w:t>establecido</w:t>
            </w:r>
          </w:p>
        </w:tc>
        <w:tc>
          <w:tcPr>
            <w:tcW w:w="1421" w:type="dxa"/>
            <w:gridSpan w:val="2"/>
          </w:tcPr>
          <w:p>
            <w:pPr>
              <w:pStyle w:val="TableParagraph"/>
              <w:spacing w:before="103"/>
              <w:rPr>
                <w:b/>
                <w:sz w:val="18"/>
              </w:rPr>
            </w:pPr>
          </w:p>
          <w:p>
            <w:pPr>
              <w:pStyle w:val="TableParagraph"/>
              <w:spacing w:before="1"/>
              <w:ind w:left="71" w:right="653"/>
              <w:rPr>
                <w:sz w:val="18"/>
              </w:rPr>
            </w:pPr>
            <w:r>
              <w:rPr>
                <w:spacing w:val="-2"/>
                <w:sz w:val="18"/>
              </w:rPr>
              <w:t>Informe Mensual</w:t>
            </w:r>
          </w:p>
        </w:tc>
        <w:tc>
          <w:tcPr>
            <w:tcW w:w="1277" w:type="dxa"/>
          </w:tcPr>
          <w:p>
            <w:pPr>
              <w:pStyle w:val="TableParagraph"/>
              <w:spacing w:line="242" w:lineRule="auto" w:before="205"/>
              <w:ind w:left="71"/>
              <w:rPr>
                <w:sz w:val="18"/>
              </w:rPr>
            </w:pPr>
            <w:r>
              <w:rPr>
                <w:sz w:val="18"/>
              </w:rPr>
              <w:t>Jefatura de Logística e </w:t>
            </w:r>
            <w:r>
              <w:rPr>
                <w:spacing w:val="-2"/>
                <w:sz w:val="18"/>
              </w:rPr>
              <w:t>Importación.</w:t>
            </w:r>
          </w:p>
        </w:tc>
        <w:tc>
          <w:tcPr>
            <w:tcW w:w="1268" w:type="dxa"/>
          </w:tcPr>
          <w:p>
            <w:pPr>
              <w:pStyle w:val="TableParagraph"/>
              <w:rPr>
                <w:rFonts w:ascii="Times New Roman"/>
                <w:sz w:val="18"/>
              </w:rPr>
            </w:pPr>
          </w:p>
        </w:tc>
        <w:tc>
          <w:tcPr>
            <w:tcW w:w="1906" w:type="dxa"/>
            <w:vMerge/>
            <w:tcBorders>
              <w:top w:val="nil"/>
              <w:bottom w:val="nil"/>
            </w:tcBorders>
          </w:tcPr>
          <w:p>
            <w:pPr>
              <w:rPr>
                <w:sz w:val="2"/>
                <w:szCs w:val="2"/>
              </w:rPr>
            </w:pPr>
          </w:p>
        </w:tc>
      </w:tr>
      <w:tr>
        <w:trPr>
          <w:trHeight w:val="1036" w:hRule="atLeast"/>
        </w:trPr>
        <w:tc>
          <w:tcPr>
            <w:tcW w:w="2689" w:type="dxa"/>
          </w:tcPr>
          <w:p>
            <w:pPr>
              <w:pStyle w:val="TableParagraph"/>
              <w:ind w:left="72" w:right="93"/>
              <w:rPr>
                <w:sz w:val="18"/>
              </w:rPr>
            </w:pPr>
            <w:r>
              <w:rPr>
                <w:b/>
                <w:sz w:val="18"/>
              </w:rPr>
              <w:t>Actividad PEC 3.10.4:</w:t>
            </w:r>
            <w:r>
              <w:rPr>
                <w:b/>
                <w:spacing w:val="40"/>
                <w:sz w:val="18"/>
              </w:rPr>
              <w:t> </w:t>
            </w:r>
            <w:r>
              <w:rPr>
                <w:sz w:val="18"/>
              </w:rPr>
              <w:t>Ejecutar campaña de Trademarketing con el fin de diferenciar</w:t>
            </w:r>
            <w:r>
              <w:rPr>
                <w:spacing w:val="-6"/>
                <w:sz w:val="18"/>
              </w:rPr>
              <w:t> </w:t>
            </w:r>
            <w:r>
              <w:rPr>
                <w:sz w:val="18"/>
              </w:rPr>
              <w:t>al</w:t>
            </w:r>
            <w:r>
              <w:rPr>
                <w:spacing w:val="-10"/>
                <w:sz w:val="18"/>
              </w:rPr>
              <w:t> </w:t>
            </w:r>
            <w:r>
              <w:rPr>
                <w:sz w:val="18"/>
              </w:rPr>
              <w:t>IMAS,</w:t>
            </w:r>
            <w:r>
              <w:rPr>
                <w:spacing w:val="-6"/>
                <w:sz w:val="18"/>
              </w:rPr>
              <w:t> </w:t>
            </w:r>
            <w:r>
              <w:rPr>
                <w:sz w:val="18"/>
              </w:rPr>
              <w:t>a</w:t>
            </w:r>
            <w:r>
              <w:rPr>
                <w:spacing w:val="-8"/>
                <w:sz w:val="18"/>
              </w:rPr>
              <w:t> </w:t>
            </w:r>
            <w:r>
              <w:rPr>
                <w:sz w:val="18"/>
              </w:rPr>
              <w:t>través</w:t>
            </w:r>
            <w:r>
              <w:rPr>
                <w:spacing w:val="-8"/>
                <w:sz w:val="18"/>
              </w:rPr>
              <w:t> </w:t>
            </w:r>
            <w:r>
              <w:rPr>
                <w:sz w:val="18"/>
              </w:rPr>
              <w:t>de</w:t>
            </w:r>
          </w:p>
          <w:p>
            <w:pPr>
              <w:pStyle w:val="TableParagraph"/>
              <w:spacing w:line="187" w:lineRule="exact" w:before="1"/>
              <w:ind w:left="72"/>
              <w:rPr>
                <w:sz w:val="18"/>
              </w:rPr>
            </w:pPr>
            <w:r>
              <w:rPr>
                <w:sz w:val="18"/>
              </w:rPr>
              <w:t>su</w:t>
            </w:r>
            <w:r>
              <w:rPr>
                <w:spacing w:val="-6"/>
                <w:sz w:val="18"/>
              </w:rPr>
              <w:t> </w:t>
            </w:r>
            <w:r>
              <w:rPr>
                <w:sz w:val="18"/>
              </w:rPr>
              <w:t>misión</w:t>
            </w:r>
            <w:r>
              <w:rPr>
                <w:spacing w:val="-1"/>
                <w:sz w:val="18"/>
              </w:rPr>
              <w:t> </w:t>
            </w:r>
            <w:r>
              <w:rPr>
                <w:sz w:val="18"/>
              </w:rPr>
              <w:t>social</w:t>
            </w:r>
            <w:r>
              <w:rPr>
                <w:spacing w:val="-3"/>
                <w:sz w:val="18"/>
              </w:rPr>
              <w:t> </w:t>
            </w:r>
            <w:r>
              <w:rPr>
                <w:spacing w:val="-2"/>
                <w:sz w:val="18"/>
              </w:rPr>
              <w:t>(1.04.04)</w:t>
            </w:r>
          </w:p>
        </w:tc>
        <w:tc>
          <w:tcPr>
            <w:tcW w:w="1988" w:type="dxa"/>
          </w:tcPr>
          <w:p>
            <w:pPr>
              <w:pStyle w:val="TableParagraph"/>
              <w:spacing w:before="204"/>
              <w:rPr>
                <w:b/>
                <w:sz w:val="18"/>
              </w:rPr>
            </w:pPr>
          </w:p>
          <w:p>
            <w:pPr>
              <w:pStyle w:val="TableParagraph"/>
              <w:ind w:left="20" w:right="4"/>
              <w:jc w:val="center"/>
              <w:rPr>
                <w:sz w:val="18"/>
              </w:rPr>
            </w:pPr>
            <w:r>
              <w:rPr>
                <w:spacing w:val="-5"/>
                <w:sz w:val="18"/>
              </w:rPr>
              <w:t>N/D</w:t>
            </w:r>
          </w:p>
        </w:tc>
        <w:tc>
          <w:tcPr>
            <w:tcW w:w="1844" w:type="dxa"/>
          </w:tcPr>
          <w:p>
            <w:pPr>
              <w:pStyle w:val="TableParagraph"/>
              <w:spacing w:before="204"/>
              <w:rPr>
                <w:b/>
                <w:sz w:val="18"/>
              </w:rPr>
            </w:pPr>
          </w:p>
          <w:p>
            <w:pPr>
              <w:pStyle w:val="TableParagraph"/>
              <w:ind w:left="9" w:right="7"/>
              <w:jc w:val="center"/>
              <w:rPr>
                <w:sz w:val="18"/>
              </w:rPr>
            </w:pPr>
            <w:r>
              <w:rPr>
                <w:spacing w:val="-4"/>
                <w:sz w:val="18"/>
              </w:rPr>
              <w:t>100%</w:t>
            </w:r>
          </w:p>
        </w:tc>
        <w:tc>
          <w:tcPr>
            <w:tcW w:w="1839" w:type="dxa"/>
          </w:tcPr>
          <w:p>
            <w:pPr>
              <w:pStyle w:val="TableParagraph"/>
              <w:spacing w:before="205"/>
              <w:ind w:left="66" w:right="123"/>
              <w:rPr>
                <w:sz w:val="18"/>
              </w:rPr>
            </w:pPr>
            <w:r>
              <w:rPr>
                <w:sz w:val="18"/>
              </w:rPr>
              <w:t>Porcentaje</w:t>
            </w:r>
            <w:r>
              <w:rPr>
                <w:spacing w:val="-10"/>
                <w:sz w:val="18"/>
              </w:rPr>
              <w:t> </w:t>
            </w:r>
            <w:r>
              <w:rPr>
                <w:sz w:val="18"/>
              </w:rPr>
              <w:t>de </w:t>
            </w:r>
            <w:r>
              <w:rPr>
                <w:spacing w:val="-2"/>
                <w:sz w:val="18"/>
              </w:rPr>
              <w:t>campaña implementada</w:t>
            </w:r>
          </w:p>
        </w:tc>
        <w:tc>
          <w:tcPr>
            <w:tcW w:w="1421" w:type="dxa"/>
            <w:gridSpan w:val="2"/>
          </w:tcPr>
          <w:p>
            <w:pPr>
              <w:pStyle w:val="TableParagraph"/>
              <w:spacing w:before="103"/>
              <w:rPr>
                <w:b/>
                <w:sz w:val="18"/>
              </w:rPr>
            </w:pPr>
          </w:p>
          <w:p>
            <w:pPr>
              <w:pStyle w:val="TableParagraph"/>
              <w:spacing w:before="1"/>
              <w:ind w:left="71"/>
              <w:rPr>
                <w:sz w:val="18"/>
              </w:rPr>
            </w:pPr>
            <w:r>
              <w:rPr>
                <w:spacing w:val="-2"/>
                <w:sz w:val="18"/>
              </w:rPr>
              <w:t>Informe Trimestral</w:t>
            </w:r>
          </w:p>
        </w:tc>
        <w:tc>
          <w:tcPr>
            <w:tcW w:w="1277" w:type="dxa"/>
          </w:tcPr>
          <w:p>
            <w:pPr>
              <w:pStyle w:val="TableParagraph"/>
              <w:spacing w:before="205"/>
              <w:ind w:left="71" w:right="248"/>
              <w:jc w:val="both"/>
              <w:rPr>
                <w:sz w:val="18"/>
              </w:rPr>
            </w:pPr>
            <w:r>
              <w:rPr>
                <w:sz w:val="18"/>
              </w:rPr>
              <w:t>Jefatura de Mercadeo</w:t>
            </w:r>
            <w:r>
              <w:rPr>
                <w:spacing w:val="-13"/>
                <w:sz w:val="18"/>
              </w:rPr>
              <w:t> </w:t>
            </w:r>
            <w:r>
              <w:rPr>
                <w:sz w:val="18"/>
              </w:rPr>
              <w:t>y </w:t>
            </w:r>
            <w:r>
              <w:rPr>
                <w:spacing w:val="-2"/>
                <w:sz w:val="18"/>
              </w:rPr>
              <w:t>Ventas</w:t>
            </w:r>
          </w:p>
        </w:tc>
        <w:tc>
          <w:tcPr>
            <w:tcW w:w="1268" w:type="dxa"/>
          </w:tcPr>
          <w:p>
            <w:pPr>
              <w:pStyle w:val="TableParagraph"/>
              <w:spacing w:before="204"/>
              <w:rPr>
                <w:b/>
                <w:sz w:val="18"/>
              </w:rPr>
            </w:pPr>
          </w:p>
          <w:p>
            <w:pPr>
              <w:pStyle w:val="TableParagraph"/>
              <w:ind w:left="13" w:right="5"/>
              <w:jc w:val="center"/>
              <w:rPr>
                <w:sz w:val="18"/>
              </w:rPr>
            </w:pPr>
            <w:r>
              <w:rPr>
                <w:sz w:val="18"/>
              </w:rPr>
              <w:t>₡45</w:t>
            </w:r>
            <w:r>
              <w:rPr>
                <w:spacing w:val="1"/>
                <w:sz w:val="18"/>
              </w:rPr>
              <w:t> </w:t>
            </w:r>
            <w:r>
              <w:rPr>
                <w:sz w:val="18"/>
              </w:rPr>
              <w:t>000</w:t>
            </w:r>
            <w:r>
              <w:rPr>
                <w:spacing w:val="-3"/>
                <w:sz w:val="18"/>
              </w:rPr>
              <w:t> </w:t>
            </w:r>
            <w:r>
              <w:rPr>
                <w:spacing w:val="-5"/>
                <w:sz w:val="18"/>
              </w:rPr>
              <w:t>000</w:t>
            </w:r>
          </w:p>
        </w:tc>
        <w:tc>
          <w:tcPr>
            <w:tcW w:w="1906" w:type="dxa"/>
            <w:vMerge/>
            <w:tcBorders>
              <w:top w:val="nil"/>
              <w:bottom w:val="nil"/>
            </w:tcBorders>
          </w:tcPr>
          <w:p>
            <w:pPr>
              <w:rPr>
                <w:sz w:val="2"/>
                <w:szCs w:val="2"/>
              </w:rPr>
            </w:pPr>
          </w:p>
        </w:tc>
      </w:tr>
      <w:tr>
        <w:trPr>
          <w:trHeight w:val="830" w:hRule="atLeast"/>
        </w:trPr>
        <w:tc>
          <w:tcPr>
            <w:tcW w:w="2689" w:type="dxa"/>
            <w:tcBorders>
              <w:bottom w:val="nil"/>
            </w:tcBorders>
          </w:tcPr>
          <w:p>
            <w:pPr>
              <w:pStyle w:val="TableParagraph"/>
              <w:spacing w:line="206" w:lineRule="exact"/>
              <w:ind w:left="72"/>
              <w:rPr>
                <w:sz w:val="18"/>
              </w:rPr>
            </w:pPr>
            <w:r>
              <w:rPr>
                <w:sz w:val="18"/>
              </w:rPr>
              <mc:AlternateContent>
                <mc:Choice Requires="wps">
                  <w:drawing>
                    <wp:anchor distT="0" distB="0" distL="0" distR="0" allowOverlap="1" layoutInCell="1" locked="0" behindDoc="0" simplePos="0" relativeHeight="15746048">
                      <wp:simplePos x="0" y="0"/>
                      <wp:positionH relativeFrom="column">
                        <wp:posOffset>3047</wp:posOffset>
                      </wp:positionH>
                      <wp:positionV relativeFrom="paragraph">
                        <wp:posOffset>524382</wp:posOffset>
                      </wp:positionV>
                      <wp:extent cx="4134485" cy="6350"/>
                      <wp:effectExtent l="0" t="0" r="0" b="0"/>
                      <wp:wrapNone/>
                      <wp:docPr id="150" name="Group 150"/>
                      <wp:cNvGraphicFramePr>
                        <a:graphicFrameLocks/>
                      </wp:cNvGraphicFramePr>
                      <a:graphic>
                        <a:graphicData uri="http://schemas.microsoft.com/office/word/2010/wordprocessingGroup">
                          <wpg:wgp>
                            <wpg:cNvPr id="150" name="Group 150"/>
                            <wpg:cNvGrpSpPr/>
                            <wpg:grpSpPr>
                              <a:xfrm>
                                <a:off x="0" y="0"/>
                                <a:ext cx="4134485" cy="6350"/>
                                <a:chExt cx="4134485" cy="6350"/>
                              </a:xfrm>
                            </wpg:grpSpPr>
                            <wps:wsp>
                              <wps:cNvPr id="151" name="Graphic 151"/>
                              <wps:cNvSpPr/>
                              <wps:spPr>
                                <a:xfrm>
                                  <a:off x="0" y="0"/>
                                  <a:ext cx="4134485" cy="6350"/>
                                </a:xfrm>
                                <a:custGeom>
                                  <a:avLst/>
                                  <a:gdLst/>
                                  <a:ahLst/>
                                  <a:cxnLst/>
                                  <a:rect l="l" t="t" r="r" b="b"/>
                                  <a:pathLst>
                                    <a:path w="4134485" h="6350">
                                      <a:moveTo>
                                        <a:pt x="1701419" y="0"/>
                                      </a:moveTo>
                                      <a:lnTo>
                                        <a:pt x="0" y="0"/>
                                      </a:lnTo>
                                      <a:lnTo>
                                        <a:pt x="0" y="6096"/>
                                      </a:lnTo>
                                      <a:lnTo>
                                        <a:pt x="1701419" y="6096"/>
                                      </a:lnTo>
                                      <a:lnTo>
                                        <a:pt x="1701419" y="0"/>
                                      </a:lnTo>
                                      <a:close/>
                                    </a:path>
                                    <a:path w="4134485" h="6350">
                                      <a:moveTo>
                                        <a:pt x="2963595" y="0"/>
                                      </a:moveTo>
                                      <a:lnTo>
                                        <a:pt x="1707515" y="0"/>
                                      </a:lnTo>
                                      <a:lnTo>
                                        <a:pt x="1707515" y="6096"/>
                                      </a:lnTo>
                                      <a:lnTo>
                                        <a:pt x="2963595" y="6096"/>
                                      </a:lnTo>
                                      <a:lnTo>
                                        <a:pt x="2963595" y="0"/>
                                      </a:lnTo>
                                      <a:close/>
                                    </a:path>
                                    <a:path w="4134485" h="6350">
                                      <a:moveTo>
                                        <a:pt x="4134281" y="0"/>
                                      </a:moveTo>
                                      <a:lnTo>
                                        <a:pt x="2969641" y="0"/>
                                      </a:lnTo>
                                      <a:lnTo>
                                        <a:pt x="2969641" y="6096"/>
                                      </a:lnTo>
                                      <a:lnTo>
                                        <a:pt x="4134281" y="6096"/>
                                      </a:lnTo>
                                      <a:lnTo>
                                        <a:pt x="413428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4pt;margin-top:41.289982pt;width:325.55pt;height:.5pt;mso-position-horizontal-relative:column;mso-position-vertical-relative:paragraph;z-index:15746048" id="docshapegroup128" coordorigin="5,826" coordsize="6511,10">
                      <v:shape style="position:absolute;left:4;top:825;width:6511;height:10" id="docshape129" coordorigin="5,826" coordsize="6511,10" path="m2684,826l5,826,5,835,2684,835,2684,826xm4672,826l2694,826,2694,835,4672,835,4672,826xm6515,826l4681,826,4681,835,6515,835,6515,826xe" filled="true" fillcolor="#000000" stroked="false">
                        <v:path arrowok="t"/>
                        <v:fill type="solid"/>
                      </v:shape>
                      <w10:wrap type="none"/>
                    </v:group>
                  </w:pict>
                </mc:Fallback>
              </mc:AlternateContent>
            </w:r>
            <w:r>
              <w:rPr>
                <w:b/>
                <w:sz w:val="18"/>
              </w:rPr>
              <w:t>Actividad PEC 3.10.5: </w:t>
            </w:r>
            <w:r>
              <w:rPr>
                <w:sz w:val="18"/>
              </w:rPr>
              <w:t>Generación</w:t>
            </w:r>
            <w:r>
              <w:rPr>
                <w:spacing w:val="-12"/>
                <w:sz w:val="18"/>
              </w:rPr>
              <w:t> </w:t>
            </w:r>
            <w:r>
              <w:rPr>
                <w:sz w:val="18"/>
              </w:rPr>
              <w:t>de</w:t>
            </w:r>
            <w:r>
              <w:rPr>
                <w:spacing w:val="-12"/>
                <w:sz w:val="18"/>
              </w:rPr>
              <w:t> </w:t>
            </w:r>
            <w:r>
              <w:rPr>
                <w:sz w:val="18"/>
              </w:rPr>
              <w:t>utilidades</w:t>
            </w:r>
            <w:r>
              <w:rPr>
                <w:spacing w:val="-12"/>
                <w:sz w:val="18"/>
              </w:rPr>
              <w:t> </w:t>
            </w:r>
            <w:r>
              <w:rPr>
                <w:sz w:val="18"/>
              </w:rPr>
              <w:t>brutas en las tiendas libres de </w:t>
            </w:r>
            <w:r>
              <w:rPr>
                <w:spacing w:val="-2"/>
                <w:sz w:val="18"/>
              </w:rPr>
              <w:t>impuestos</w:t>
            </w:r>
          </w:p>
        </w:tc>
        <w:tc>
          <w:tcPr>
            <w:tcW w:w="1988" w:type="dxa"/>
            <w:tcBorders>
              <w:bottom w:val="nil"/>
            </w:tcBorders>
          </w:tcPr>
          <w:p>
            <w:pPr>
              <w:pStyle w:val="TableParagraph"/>
              <w:spacing w:before="99"/>
              <w:rPr>
                <w:b/>
                <w:sz w:val="18"/>
              </w:rPr>
            </w:pPr>
          </w:p>
          <w:p>
            <w:pPr>
              <w:pStyle w:val="TableParagraph"/>
              <w:ind w:left="20" w:right="2"/>
              <w:jc w:val="center"/>
              <w:rPr>
                <w:sz w:val="18"/>
              </w:rPr>
            </w:pPr>
            <w:r>
              <w:rPr>
                <w:sz w:val="18"/>
              </w:rPr>
              <w:t>₡7</w:t>
            </w:r>
            <w:r>
              <w:rPr>
                <w:spacing w:val="1"/>
                <w:sz w:val="18"/>
              </w:rPr>
              <w:t> </w:t>
            </w:r>
            <w:r>
              <w:rPr>
                <w:sz w:val="18"/>
              </w:rPr>
              <w:t>802</w:t>
            </w:r>
            <w:r>
              <w:rPr>
                <w:spacing w:val="-3"/>
                <w:sz w:val="18"/>
              </w:rPr>
              <w:t> </w:t>
            </w:r>
            <w:r>
              <w:rPr>
                <w:sz w:val="18"/>
              </w:rPr>
              <w:t>129</w:t>
            </w:r>
            <w:r>
              <w:rPr>
                <w:spacing w:val="-2"/>
                <w:sz w:val="18"/>
              </w:rPr>
              <w:t> </w:t>
            </w:r>
            <w:r>
              <w:rPr>
                <w:spacing w:val="-5"/>
                <w:sz w:val="18"/>
              </w:rPr>
              <w:t>357</w:t>
            </w:r>
          </w:p>
        </w:tc>
        <w:tc>
          <w:tcPr>
            <w:tcW w:w="1844" w:type="dxa"/>
            <w:tcBorders>
              <w:bottom w:val="nil"/>
            </w:tcBorders>
          </w:tcPr>
          <w:p>
            <w:pPr>
              <w:pStyle w:val="TableParagraph"/>
              <w:spacing w:before="99"/>
              <w:rPr>
                <w:b/>
                <w:sz w:val="18"/>
              </w:rPr>
            </w:pPr>
          </w:p>
          <w:p>
            <w:pPr>
              <w:pStyle w:val="TableParagraph"/>
              <w:ind w:left="388"/>
              <w:rPr>
                <w:sz w:val="18"/>
              </w:rPr>
            </w:pPr>
            <w:r>
              <w:rPr>
                <w:sz w:val="18"/>
              </w:rPr>
              <w:t>₡14</w:t>
            </w:r>
            <w:r>
              <w:rPr>
                <w:spacing w:val="1"/>
                <w:sz w:val="18"/>
              </w:rPr>
              <w:t> </w:t>
            </w:r>
            <w:r>
              <w:rPr>
                <w:sz w:val="18"/>
              </w:rPr>
              <w:t>929</w:t>
            </w:r>
            <w:r>
              <w:rPr>
                <w:spacing w:val="-3"/>
                <w:sz w:val="18"/>
              </w:rPr>
              <w:t> </w:t>
            </w:r>
            <w:r>
              <w:rPr>
                <w:sz w:val="18"/>
              </w:rPr>
              <w:t>511</w:t>
            </w:r>
            <w:r>
              <w:rPr>
                <w:spacing w:val="-2"/>
                <w:sz w:val="18"/>
              </w:rPr>
              <w:t> </w:t>
            </w:r>
            <w:r>
              <w:rPr>
                <w:spacing w:val="-5"/>
                <w:sz w:val="18"/>
              </w:rPr>
              <w:t>580</w:t>
            </w:r>
          </w:p>
        </w:tc>
        <w:tc>
          <w:tcPr>
            <w:tcW w:w="1839" w:type="dxa"/>
            <w:tcBorders>
              <w:bottom w:val="nil"/>
            </w:tcBorders>
          </w:tcPr>
          <w:p>
            <w:pPr>
              <w:pStyle w:val="TableParagraph"/>
              <w:spacing w:line="242" w:lineRule="auto" w:before="100"/>
              <w:ind w:left="66" w:right="123"/>
              <w:rPr>
                <w:sz w:val="18"/>
              </w:rPr>
            </w:pPr>
            <w:r>
              <w:rPr>
                <w:sz w:val="18"/>
              </w:rPr>
              <w:t>Monto de colones producto de las Utilidades</w:t>
            </w:r>
            <w:r>
              <w:rPr>
                <w:spacing w:val="-15"/>
                <w:sz w:val="18"/>
              </w:rPr>
              <w:t> </w:t>
            </w:r>
            <w:r>
              <w:rPr>
                <w:sz w:val="18"/>
              </w:rPr>
              <w:t>Brutas</w:t>
            </w:r>
            <w:r>
              <w:rPr>
                <w:spacing w:val="-12"/>
                <w:sz w:val="18"/>
              </w:rPr>
              <w:t> </w:t>
            </w:r>
            <w:r>
              <w:rPr>
                <w:sz w:val="18"/>
              </w:rPr>
              <w:t>en</w:t>
            </w:r>
          </w:p>
        </w:tc>
        <w:tc>
          <w:tcPr>
            <w:tcW w:w="1421" w:type="dxa"/>
            <w:gridSpan w:val="2"/>
            <w:tcBorders>
              <w:bottom w:val="nil"/>
            </w:tcBorders>
          </w:tcPr>
          <w:p>
            <w:pPr>
              <w:pStyle w:val="TableParagraph"/>
              <w:spacing w:before="205"/>
              <w:ind w:left="71"/>
              <w:rPr>
                <w:sz w:val="18"/>
              </w:rPr>
            </w:pPr>
            <w:r>
              <w:rPr>
                <w:sz w:val="18"/>
              </w:rPr>
              <mc:AlternateContent>
                <mc:Choice Requires="wps">
                  <w:drawing>
                    <wp:anchor distT="0" distB="0" distL="0" distR="0" allowOverlap="1" layoutInCell="1" locked="0" behindDoc="0" simplePos="0" relativeHeight="15746560">
                      <wp:simplePos x="0" y="0"/>
                      <wp:positionH relativeFrom="column">
                        <wp:posOffset>3047</wp:posOffset>
                      </wp:positionH>
                      <wp:positionV relativeFrom="paragraph">
                        <wp:posOffset>523899</wp:posOffset>
                      </wp:positionV>
                      <wp:extent cx="3723004" cy="6350"/>
                      <wp:effectExtent l="0" t="0" r="0" b="0"/>
                      <wp:wrapNone/>
                      <wp:docPr id="152" name="Group 152"/>
                      <wp:cNvGraphicFramePr>
                        <a:graphicFrameLocks/>
                      </wp:cNvGraphicFramePr>
                      <a:graphic>
                        <a:graphicData uri="http://schemas.microsoft.com/office/word/2010/wordprocessingGroup">
                          <wpg:wgp>
                            <wpg:cNvPr id="152" name="Group 152"/>
                            <wpg:cNvGrpSpPr/>
                            <wpg:grpSpPr>
                              <a:xfrm>
                                <a:off x="0" y="0"/>
                                <a:ext cx="3723004" cy="6350"/>
                                <a:chExt cx="3723004" cy="6350"/>
                              </a:xfrm>
                            </wpg:grpSpPr>
                            <wps:wsp>
                              <wps:cNvPr id="153" name="Graphic 153"/>
                              <wps:cNvSpPr/>
                              <wps:spPr>
                                <a:xfrm>
                                  <a:off x="0" y="0"/>
                                  <a:ext cx="3723004" cy="6350"/>
                                </a:xfrm>
                                <a:custGeom>
                                  <a:avLst/>
                                  <a:gdLst/>
                                  <a:ahLst/>
                                  <a:cxnLst/>
                                  <a:rect l="l" t="t" r="r" b="b"/>
                                  <a:pathLst>
                                    <a:path w="3723004" h="6350">
                                      <a:moveTo>
                                        <a:pt x="896416" y="0"/>
                                      </a:moveTo>
                                      <a:lnTo>
                                        <a:pt x="0" y="0"/>
                                      </a:lnTo>
                                      <a:lnTo>
                                        <a:pt x="0" y="6096"/>
                                      </a:lnTo>
                                      <a:lnTo>
                                        <a:pt x="896416" y="6096"/>
                                      </a:lnTo>
                                      <a:lnTo>
                                        <a:pt x="896416" y="0"/>
                                      </a:lnTo>
                                      <a:close/>
                                    </a:path>
                                    <a:path w="3723004" h="6350">
                                      <a:moveTo>
                                        <a:pt x="1707438" y="0"/>
                                      </a:moveTo>
                                      <a:lnTo>
                                        <a:pt x="902462" y="0"/>
                                      </a:lnTo>
                                      <a:lnTo>
                                        <a:pt x="902462" y="6096"/>
                                      </a:lnTo>
                                      <a:lnTo>
                                        <a:pt x="1707438" y="6096"/>
                                      </a:lnTo>
                                      <a:lnTo>
                                        <a:pt x="1707438" y="0"/>
                                      </a:lnTo>
                                      <a:close/>
                                    </a:path>
                                    <a:path w="3723004" h="6350">
                                      <a:moveTo>
                                        <a:pt x="2515539" y="0"/>
                                      </a:moveTo>
                                      <a:lnTo>
                                        <a:pt x="1713611" y="0"/>
                                      </a:lnTo>
                                      <a:lnTo>
                                        <a:pt x="1713611" y="6096"/>
                                      </a:lnTo>
                                      <a:lnTo>
                                        <a:pt x="2515539" y="6096"/>
                                      </a:lnTo>
                                      <a:lnTo>
                                        <a:pt x="2515539" y="0"/>
                                      </a:lnTo>
                                      <a:close/>
                                    </a:path>
                                    <a:path w="3723004" h="6350">
                                      <a:moveTo>
                                        <a:pt x="3722801" y="0"/>
                                      </a:moveTo>
                                      <a:lnTo>
                                        <a:pt x="2521585" y="0"/>
                                      </a:lnTo>
                                      <a:lnTo>
                                        <a:pt x="2521585" y="6096"/>
                                      </a:lnTo>
                                      <a:lnTo>
                                        <a:pt x="3722801" y="6096"/>
                                      </a:lnTo>
                                      <a:lnTo>
                                        <a:pt x="372280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39995pt;margin-top:41.251892pt;width:293.150pt;height:.5pt;mso-position-horizontal-relative:column;mso-position-vertical-relative:paragraph;z-index:15746560" id="docshapegroup130" coordorigin="5,825" coordsize="5863,10">
                      <v:shape style="position:absolute;left:4;top:825;width:5863;height:10" id="docshape131" coordorigin="5,825" coordsize="5863,10" path="m1416,825l5,825,5,835,1416,835,1416,825xm2694,825l1426,825,1426,835,2694,835,2694,825xm3966,825l2703,825,2703,835,3966,835,3966,825xm5867,825l3976,825,3976,835,5867,835,5867,825xe" filled="true" fillcolor="#000000" stroked="false">
                        <v:path arrowok="t"/>
                        <v:fill type="solid"/>
                      </v:shape>
                      <w10:wrap type="none"/>
                    </v:group>
                  </w:pict>
                </mc:Fallback>
              </mc:AlternateContent>
            </w:r>
            <w:r>
              <w:rPr>
                <w:spacing w:val="-2"/>
                <w:sz w:val="18"/>
              </w:rPr>
              <w:t>Estados Financieros</w:t>
            </w:r>
          </w:p>
        </w:tc>
        <w:tc>
          <w:tcPr>
            <w:tcW w:w="1277" w:type="dxa"/>
            <w:tcBorders>
              <w:bottom w:val="nil"/>
            </w:tcBorders>
          </w:tcPr>
          <w:p>
            <w:pPr>
              <w:pStyle w:val="TableParagraph"/>
              <w:spacing w:line="242" w:lineRule="auto" w:before="100"/>
              <w:ind w:left="71" w:right="248"/>
              <w:jc w:val="both"/>
              <w:rPr>
                <w:sz w:val="18"/>
              </w:rPr>
            </w:pPr>
            <w:r>
              <w:rPr>
                <w:sz w:val="18"/>
              </w:rPr>
              <w:t>Jefatura de Mercadeo</w:t>
            </w:r>
            <w:r>
              <w:rPr>
                <w:spacing w:val="-13"/>
                <w:sz w:val="18"/>
              </w:rPr>
              <w:t> </w:t>
            </w:r>
            <w:r>
              <w:rPr>
                <w:sz w:val="18"/>
              </w:rPr>
              <w:t>y </w:t>
            </w:r>
            <w:r>
              <w:rPr>
                <w:spacing w:val="-2"/>
                <w:sz w:val="18"/>
              </w:rPr>
              <w:t>Ventas</w:t>
            </w:r>
          </w:p>
        </w:tc>
        <w:tc>
          <w:tcPr>
            <w:tcW w:w="1268" w:type="dxa"/>
            <w:tcBorders>
              <w:bottom w:val="nil"/>
            </w:tcBorders>
          </w:tcPr>
          <w:p>
            <w:pPr>
              <w:pStyle w:val="TableParagraph"/>
              <w:rPr>
                <w:rFonts w:ascii="Times New Roman"/>
                <w:sz w:val="18"/>
              </w:rPr>
            </w:pPr>
          </w:p>
        </w:tc>
        <w:tc>
          <w:tcPr>
            <w:tcW w:w="1906" w:type="dxa"/>
            <w:vMerge/>
            <w:tcBorders>
              <w:top w:val="nil"/>
              <w:bottom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tbl>
      <w:tblPr>
        <w:tblW w:w="0" w:type="auto"/>
        <w:jc w:val="left"/>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89"/>
        <w:gridCol w:w="1988"/>
        <w:gridCol w:w="1844"/>
        <w:gridCol w:w="1839"/>
        <w:gridCol w:w="1421"/>
        <w:gridCol w:w="1277"/>
        <w:gridCol w:w="1268"/>
        <w:gridCol w:w="1905"/>
      </w:tblGrid>
      <w:tr>
        <w:trPr>
          <w:trHeight w:val="873" w:hRule="atLeast"/>
        </w:trPr>
        <w:tc>
          <w:tcPr>
            <w:tcW w:w="2689" w:type="dxa"/>
            <w:shd w:val="clear" w:color="auto" w:fill="D7D7D7"/>
          </w:tcPr>
          <w:p>
            <w:pPr>
              <w:pStyle w:val="TableParagraph"/>
              <w:spacing w:before="127"/>
              <w:rPr>
                <w:b/>
                <w:sz w:val="18"/>
              </w:rPr>
            </w:pPr>
          </w:p>
          <w:p>
            <w:pPr>
              <w:pStyle w:val="TableParagraph"/>
              <w:spacing w:before="1"/>
              <w:ind w:left="374"/>
              <w:rPr>
                <w:b/>
                <w:sz w:val="18"/>
              </w:rPr>
            </w:pPr>
            <w:r>
              <w:rPr>
                <w:b/>
                <w:sz w:val="18"/>
              </w:rPr>
              <w:t>Objetivos</w:t>
            </w:r>
            <w:r>
              <w:rPr>
                <w:b/>
                <w:spacing w:val="-5"/>
                <w:sz w:val="18"/>
              </w:rPr>
              <w:t> </w:t>
            </w:r>
            <w:r>
              <w:rPr>
                <w:b/>
                <w:sz w:val="18"/>
              </w:rPr>
              <w:t>/</w:t>
            </w:r>
            <w:r>
              <w:rPr>
                <w:b/>
                <w:spacing w:val="-2"/>
                <w:sz w:val="18"/>
              </w:rPr>
              <w:t> Resultados</w:t>
            </w:r>
          </w:p>
        </w:tc>
        <w:tc>
          <w:tcPr>
            <w:tcW w:w="1988" w:type="dxa"/>
            <w:shd w:val="clear" w:color="auto" w:fill="D7D7D7"/>
          </w:tcPr>
          <w:p>
            <w:pPr>
              <w:pStyle w:val="TableParagraph"/>
              <w:spacing w:before="127"/>
              <w:rPr>
                <w:b/>
                <w:sz w:val="18"/>
              </w:rPr>
            </w:pPr>
          </w:p>
          <w:p>
            <w:pPr>
              <w:pStyle w:val="TableParagraph"/>
              <w:spacing w:before="1"/>
              <w:ind w:left="20" w:right="5"/>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844" w:type="dxa"/>
            <w:shd w:val="clear" w:color="auto" w:fill="D7D7D7"/>
          </w:tcPr>
          <w:p>
            <w:pPr>
              <w:pStyle w:val="TableParagraph"/>
              <w:spacing w:before="22"/>
              <w:rPr>
                <w:b/>
                <w:sz w:val="18"/>
              </w:rPr>
            </w:pPr>
          </w:p>
          <w:p>
            <w:pPr>
              <w:pStyle w:val="TableParagraph"/>
              <w:ind w:left="720" w:hanging="553"/>
              <w:rPr>
                <w:b/>
                <w:sz w:val="18"/>
              </w:rPr>
            </w:pPr>
            <w:r>
              <w:rPr>
                <w:b/>
                <w:sz w:val="18"/>
              </w:rPr>
              <w:t>Meta</w:t>
            </w:r>
            <w:r>
              <w:rPr>
                <w:b/>
                <w:spacing w:val="-13"/>
                <w:sz w:val="18"/>
              </w:rPr>
              <w:t> </w:t>
            </w:r>
            <w:r>
              <w:rPr>
                <w:b/>
                <w:sz w:val="18"/>
              </w:rPr>
              <w:t>programada </w:t>
            </w:r>
            <w:r>
              <w:rPr>
                <w:b/>
                <w:spacing w:val="-4"/>
                <w:sz w:val="18"/>
              </w:rPr>
              <w:t>2026</w:t>
            </w:r>
          </w:p>
        </w:tc>
        <w:tc>
          <w:tcPr>
            <w:tcW w:w="1839" w:type="dxa"/>
            <w:shd w:val="clear" w:color="auto" w:fill="D7D7D7"/>
          </w:tcPr>
          <w:p>
            <w:pPr>
              <w:pStyle w:val="TableParagraph"/>
              <w:spacing w:before="127"/>
              <w:rPr>
                <w:b/>
                <w:sz w:val="18"/>
              </w:rPr>
            </w:pPr>
          </w:p>
          <w:p>
            <w:pPr>
              <w:pStyle w:val="TableParagraph"/>
              <w:spacing w:before="1"/>
              <w:ind w:left="513"/>
              <w:rPr>
                <w:b/>
                <w:sz w:val="18"/>
              </w:rPr>
            </w:pPr>
            <w:r>
              <w:rPr>
                <w:b/>
                <w:spacing w:val="-2"/>
                <w:sz w:val="18"/>
              </w:rPr>
              <w:t>Indicador</w:t>
            </w:r>
          </w:p>
        </w:tc>
        <w:tc>
          <w:tcPr>
            <w:tcW w:w="1421" w:type="dxa"/>
            <w:shd w:val="clear" w:color="auto" w:fill="D7D7D7"/>
          </w:tcPr>
          <w:p>
            <w:pPr>
              <w:pStyle w:val="TableParagraph"/>
              <w:spacing w:before="22"/>
              <w:rPr>
                <w:b/>
                <w:sz w:val="18"/>
              </w:rPr>
            </w:pPr>
          </w:p>
          <w:p>
            <w:pPr>
              <w:pStyle w:val="TableParagraph"/>
              <w:ind w:left="210" w:firstLine="57"/>
              <w:rPr>
                <w:b/>
                <w:sz w:val="18"/>
              </w:rPr>
            </w:pPr>
            <w:r>
              <w:rPr>
                <w:b/>
                <w:sz w:val="18"/>
              </w:rPr>
              <w:t>Medios de </w:t>
            </w:r>
            <w:r>
              <w:rPr>
                <w:b/>
                <w:spacing w:val="-2"/>
                <w:sz w:val="18"/>
              </w:rPr>
              <w:t>verificación</w:t>
            </w:r>
          </w:p>
        </w:tc>
        <w:tc>
          <w:tcPr>
            <w:tcW w:w="1277" w:type="dxa"/>
            <w:shd w:val="clear" w:color="auto" w:fill="D7D7D7"/>
          </w:tcPr>
          <w:p>
            <w:pPr>
              <w:pStyle w:val="TableParagraph"/>
              <w:spacing w:before="127"/>
              <w:rPr>
                <w:b/>
                <w:sz w:val="18"/>
              </w:rPr>
            </w:pPr>
          </w:p>
          <w:p>
            <w:pPr>
              <w:pStyle w:val="TableParagraph"/>
              <w:spacing w:before="1"/>
              <w:ind w:left="76"/>
              <w:rPr>
                <w:b/>
                <w:sz w:val="18"/>
              </w:rPr>
            </w:pPr>
            <w:r>
              <w:rPr>
                <w:b/>
                <w:spacing w:val="-2"/>
                <w:sz w:val="18"/>
              </w:rPr>
              <w:t>Responsable</w:t>
            </w:r>
          </w:p>
        </w:tc>
        <w:tc>
          <w:tcPr>
            <w:tcW w:w="1268" w:type="dxa"/>
            <w:shd w:val="clear" w:color="auto" w:fill="D7D7D7"/>
          </w:tcPr>
          <w:p>
            <w:pPr>
              <w:pStyle w:val="TableParagraph"/>
              <w:spacing w:before="22"/>
              <w:rPr>
                <w:b/>
                <w:sz w:val="18"/>
              </w:rPr>
            </w:pPr>
          </w:p>
          <w:p>
            <w:pPr>
              <w:pStyle w:val="TableParagraph"/>
              <w:ind w:left="234" w:hanging="149"/>
              <w:rPr>
                <w:b/>
                <w:sz w:val="18"/>
              </w:rPr>
            </w:pPr>
            <w:r>
              <w:rPr>
                <w:b/>
                <w:spacing w:val="-2"/>
                <w:sz w:val="18"/>
              </w:rPr>
              <w:t>Presupuesto asignado</w:t>
            </w:r>
          </w:p>
        </w:tc>
        <w:tc>
          <w:tcPr>
            <w:tcW w:w="1905" w:type="dxa"/>
            <w:tcBorders>
              <w:bottom w:val="nil"/>
            </w:tcBorders>
            <w:shd w:val="clear" w:color="auto" w:fill="D7D7D7"/>
          </w:tcPr>
          <w:p>
            <w:pPr>
              <w:pStyle w:val="TableParagraph"/>
              <w:spacing w:before="127"/>
              <w:rPr>
                <w:b/>
                <w:sz w:val="18"/>
              </w:rPr>
            </w:pPr>
          </w:p>
          <w:p>
            <w:pPr>
              <w:pStyle w:val="TableParagraph"/>
              <w:spacing w:before="1"/>
              <w:ind w:left="196"/>
              <w:rPr>
                <w:b/>
                <w:sz w:val="18"/>
              </w:rPr>
            </w:pPr>
            <w:r>
              <w:rPr>
                <w:b/>
                <w:sz w:val="18"/>
              </w:rPr>
              <w:t>Riesgo</w:t>
            </w:r>
            <w:r>
              <w:rPr>
                <w:b/>
                <w:spacing w:val="-4"/>
                <w:sz w:val="18"/>
              </w:rPr>
              <w:t> </w:t>
            </w:r>
            <w:r>
              <w:rPr>
                <w:b/>
                <w:spacing w:val="-2"/>
                <w:sz w:val="18"/>
              </w:rPr>
              <w:t>Vinculado</w:t>
            </w:r>
          </w:p>
        </w:tc>
      </w:tr>
      <w:tr>
        <w:trPr>
          <w:trHeight w:val="720" w:hRule="atLeast"/>
        </w:trPr>
        <w:tc>
          <w:tcPr>
            <w:tcW w:w="2689" w:type="dxa"/>
          </w:tcPr>
          <w:p>
            <w:pPr>
              <w:pStyle w:val="TableParagraph"/>
              <w:rPr>
                <w:rFonts w:ascii="Times New Roman"/>
                <w:sz w:val="18"/>
              </w:rPr>
            </w:pPr>
          </w:p>
        </w:tc>
        <w:tc>
          <w:tcPr>
            <w:tcW w:w="1988" w:type="dxa"/>
          </w:tcPr>
          <w:p>
            <w:pPr>
              <w:pStyle w:val="TableParagraph"/>
              <w:rPr>
                <w:rFonts w:ascii="Times New Roman"/>
                <w:sz w:val="18"/>
              </w:rPr>
            </w:pPr>
          </w:p>
        </w:tc>
        <w:tc>
          <w:tcPr>
            <w:tcW w:w="1844" w:type="dxa"/>
          </w:tcPr>
          <w:p>
            <w:pPr>
              <w:pStyle w:val="TableParagraph"/>
              <w:rPr>
                <w:rFonts w:ascii="Times New Roman"/>
                <w:sz w:val="18"/>
              </w:rPr>
            </w:pPr>
          </w:p>
        </w:tc>
        <w:tc>
          <w:tcPr>
            <w:tcW w:w="1839" w:type="dxa"/>
          </w:tcPr>
          <w:p>
            <w:pPr>
              <w:pStyle w:val="TableParagraph"/>
              <w:spacing w:line="244" w:lineRule="auto"/>
              <w:ind w:left="66" w:right="123"/>
              <w:rPr>
                <w:sz w:val="18"/>
              </w:rPr>
            </w:pPr>
            <w:r>
              <w:rPr>
                <w:sz w:val="18"/>
              </w:rPr>
              <w:t>las</w:t>
            </w:r>
            <w:r>
              <w:rPr>
                <w:spacing w:val="-12"/>
                <w:sz w:val="18"/>
              </w:rPr>
              <w:t> </w:t>
            </w:r>
            <w:r>
              <w:rPr>
                <w:sz w:val="18"/>
              </w:rPr>
              <w:t>tiendas</w:t>
            </w:r>
            <w:r>
              <w:rPr>
                <w:spacing w:val="-12"/>
                <w:sz w:val="18"/>
              </w:rPr>
              <w:t> </w:t>
            </w:r>
            <w:r>
              <w:rPr>
                <w:sz w:val="18"/>
              </w:rPr>
              <w:t>libres</w:t>
            </w:r>
            <w:r>
              <w:rPr>
                <w:spacing w:val="-12"/>
                <w:sz w:val="18"/>
              </w:rPr>
              <w:t> </w:t>
            </w:r>
            <w:r>
              <w:rPr>
                <w:sz w:val="18"/>
              </w:rPr>
              <w:t>de </w:t>
            </w:r>
            <w:r>
              <w:rPr>
                <w:spacing w:val="-2"/>
                <w:sz w:val="18"/>
              </w:rPr>
              <w:t>impuestos</w:t>
            </w:r>
          </w:p>
        </w:tc>
        <w:tc>
          <w:tcPr>
            <w:tcW w:w="1421" w:type="dxa"/>
          </w:tcPr>
          <w:p>
            <w:pPr>
              <w:pStyle w:val="TableParagraph"/>
              <w:rPr>
                <w:rFonts w:ascii="Times New Roman"/>
                <w:sz w:val="18"/>
              </w:rPr>
            </w:pPr>
          </w:p>
        </w:tc>
        <w:tc>
          <w:tcPr>
            <w:tcW w:w="1277" w:type="dxa"/>
          </w:tcPr>
          <w:p>
            <w:pPr>
              <w:pStyle w:val="TableParagraph"/>
              <w:rPr>
                <w:rFonts w:ascii="Times New Roman"/>
                <w:sz w:val="18"/>
              </w:rPr>
            </w:pPr>
          </w:p>
        </w:tc>
        <w:tc>
          <w:tcPr>
            <w:tcW w:w="1268" w:type="dxa"/>
          </w:tcPr>
          <w:p>
            <w:pPr>
              <w:pStyle w:val="TableParagraph"/>
              <w:rPr>
                <w:rFonts w:ascii="Times New Roman"/>
                <w:sz w:val="18"/>
              </w:rPr>
            </w:pPr>
          </w:p>
        </w:tc>
        <w:tc>
          <w:tcPr>
            <w:tcW w:w="1905" w:type="dxa"/>
            <w:vMerge w:val="restart"/>
            <w:tcBorders>
              <w:top w:val="nil"/>
            </w:tcBorders>
          </w:tcPr>
          <w:p>
            <w:pPr>
              <w:pStyle w:val="TableParagraph"/>
              <w:rPr>
                <w:rFonts w:ascii="Times New Roman"/>
                <w:sz w:val="18"/>
              </w:rPr>
            </w:pPr>
          </w:p>
        </w:tc>
      </w:tr>
      <w:tr>
        <w:trPr>
          <w:trHeight w:val="1449" w:hRule="atLeast"/>
        </w:trPr>
        <w:tc>
          <w:tcPr>
            <w:tcW w:w="2689" w:type="dxa"/>
          </w:tcPr>
          <w:p>
            <w:pPr>
              <w:pStyle w:val="TableParagraph"/>
              <w:spacing w:before="103"/>
              <w:rPr>
                <w:b/>
                <w:sz w:val="18"/>
              </w:rPr>
            </w:pPr>
          </w:p>
          <w:p>
            <w:pPr>
              <w:pStyle w:val="TableParagraph"/>
              <w:spacing w:line="242" w:lineRule="auto" w:before="1"/>
              <w:ind w:left="72"/>
              <w:rPr>
                <w:sz w:val="18"/>
              </w:rPr>
            </w:pPr>
            <w:r>
              <w:rPr>
                <w:b/>
                <w:sz w:val="18"/>
              </w:rPr>
              <w:t>Actividad PEC 3.10.6: </w:t>
            </w:r>
            <w:r>
              <w:rPr>
                <w:sz w:val="18"/>
              </w:rPr>
              <w:t>Generación</w:t>
            </w:r>
            <w:r>
              <w:rPr>
                <w:spacing w:val="-12"/>
                <w:sz w:val="18"/>
              </w:rPr>
              <w:t> </w:t>
            </w:r>
            <w:r>
              <w:rPr>
                <w:sz w:val="18"/>
              </w:rPr>
              <w:t>de</w:t>
            </w:r>
            <w:r>
              <w:rPr>
                <w:spacing w:val="-12"/>
                <w:sz w:val="18"/>
              </w:rPr>
              <w:t> </w:t>
            </w:r>
            <w:r>
              <w:rPr>
                <w:sz w:val="18"/>
              </w:rPr>
              <w:t>utilidades</w:t>
            </w:r>
            <w:r>
              <w:rPr>
                <w:spacing w:val="-12"/>
                <w:sz w:val="18"/>
              </w:rPr>
              <w:t> </w:t>
            </w:r>
            <w:r>
              <w:rPr>
                <w:sz w:val="18"/>
              </w:rPr>
              <w:t>Netas en las tiendas libres de </w:t>
            </w:r>
            <w:r>
              <w:rPr>
                <w:spacing w:val="-2"/>
                <w:sz w:val="18"/>
              </w:rPr>
              <w:t>impuestos</w:t>
            </w:r>
          </w:p>
        </w:tc>
        <w:tc>
          <w:tcPr>
            <w:tcW w:w="1988"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0" w:right="2"/>
              <w:jc w:val="center"/>
              <w:rPr>
                <w:sz w:val="18"/>
              </w:rPr>
            </w:pPr>
            <w:r>
              <w:rPr>
                <w:sz w:val="18"/>
              </w:rPr>
              <w:t>₡3</w:t>
            </w:r>
            <w:r>
              <w:rPr>
                <w:spacing w:val="1"/>
                <w:sz w:val="18"/>
              </w:rPr>
              <w:t> </w:t>
            </w:r>
            <w:r>
              <w:rPr>
                <w:sz w:val="18"/>
              </w:rPr>
              <w:t>614</w:t>
            </w:r>
            <w:r>
              <w:rPr>
                <w:spacing w:val="-3"/>
                <w:sz w:val="18"/>
              </w:rPr>
              <w:t> </w:t>
            </w:r>
            <w:r>
              <w:rPr>
                <w:sz w:val="18"/>
              </w:rPr>
              <w:t>745</w:t>
            </w:r>
            <w:r>
              <w:rPr>
                <w:spacing w:val="-2"/>
                <w:sz w:val="18"/>
              </w:rPr>
              <w:t> </w:t>
            </w:r>
            <w:r>
              <w:rPr>
                <w:spacing w:val="-5"/>
                <w:sz w:val="18"/>
              </w:rPr>
              <w:t>031</w:t>
            </w:r>
          </w:p>
        </w:tc>
        <w:tc>
          <w:tcPr>
            <w:tcW w:w="1844"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489"/>
              <w:rPr>
                <w:sz w:val="18"/>
              </w:rPr>
            </w:pPr>
            <w:r>
              <w:rPr>
                <w:sz w:val="18"/>
              </w:rPr>
              <w:t>₡3</w:t>
            </w:r>
            <w:r>
              <w:rPr>
                <w:spacing w:val="1"/>
                <w:sz w:val="18"/>
              </w:rPr>
              <w:t> </w:t>
            </w:r>
            <w:r>
              <w:rPr>
                <w:sz w:val="18"/>
              </w:rPr>
              <w:t>225</w:t>
            </w:r>
            <w:r>
              <w:rPr>
                <w:spacing w:val="-3"/>
                <w:sz w:val="18"/>
              </w:rPr>
              <w:t> </w:t>
            </w:r>
            <w:r>
              <w:rPr>
                <w:sz w:val="18"/>
              </w:rPr>
              <w:t>493</w:t>
            </w:r>
            <w:r>
              <w:rPr>
                <w:spacing w:val="-2"/>
                <w:sz w:val="18"/>
              </w:rPr>
              <w:t> </w:t>
            </w:r>
            <w:r>
              <w:rPr>
                <w:spacing w:val="-5"/>
                <w:sz w:val="18"/>
              </w:rPr>
              <w:t>818</w:t>
            </w:r>
          </w:p>
        </w:tc>
        <w:tc>
          <w:tcPr>
            <w:tcW w:w="1839" w:type="dxa"/>
          </w:tcPr>
          <w:p>
            <w:pPr>
              <w:pStyle w:val="TableParagraph"/>
              <w:spacing w:before="3"/>
              <w:rPr>
                <w:b/>
                <w:sz w:val="18"/>
              </w:rPr>
            </w:pPr>
          </w:p>
          <w:p>
            <w:pPr>
              <w:pStyle w:val="TableParagraph"/>
              <w:ind w:left="66" w:right="123"/>
              <w:rPr>
                <w:sz w:val="18"/>
              </w:rPr>
            </w:pPr>
            <w:r>
              <w:rPr>
                <w:sz w:val="18"/>
              </w:rPr>
              <w:t>Monto de colones producto de las Utilidades netas en las</w:t>
            </w:r>
            <w:r>
              <w:rPr>
                <w:spacing w:val="-12"/>
                <w:sz w:val="18"/>
              </w:rPr>
              <w:t> </w:t>
            </w:r>
            <w:r>
              <w:rPr>
                <w:sz w:val="18"/>
              </w:rPr>
              <w:t>tiendas</w:t>
            </w:r>
            <w:r>
              <w:rPr>
                <w:spacing w:val="-12"/>
                <w:sz w:val="18"/>
              </w:rPr>
              <w:t> </w:t>
            </w:r>
            <w:r>
              <w:rPr>
                <w:sz w:val="18"/>
              </w:rPr>
              <w:t>libres</w:t>
            </w:r>
            <w:r>
              <w:rPr>
                <w:spacing w:val="-12"/>
                <w:sz w:val="18"/>
              </w:rPr>
              <w:t> </w:t>
            </w:r>
            <w:r>
              <w:rPr>
                <w:sz w:val="18"/>
              </w:rPr>
              <w:t>de </w:t>
            </w:r>
            <w:r>
              <w:rPr>
                <w:spacing w:val="-2"/>
                <w:sz w:val="18"/>
              </w:rPr>
              <w:t>impuestos</w:t>
            </w:r>
          </w:p>
        </w:tc>
        <w:tc>
          <w:tcPr>
            <w:tcW w:w="1421" w:type="dxa"/>
          </w:tcPr>
          <w:p>
            <w:pPr>
              <w:pStyle w:val="TableParagraph"/>
              <w:rPr>
                <w:b/>
                <w:sz w:val="18"/>
              </w:rPr>
            </w:pPr>
          </w:p>
          <w:p>
            <w:pPr>
              <w:pStyle w:val="TableParagraph"/>
              <w:spacing w:before="103"/>
              <w:rPr>
                <w:b/>
                <w:sz w:val="18"/>
              </w:rPr>
            </w:pPr>
          </w:p>
          <w:p>
            <w:pPr>
              <w:pStyle w:val="TableParagraph"/>
              <w:ind w:left="71"/>
              <w:rPr>
                <w:sz w:val="18"/>
              </w:rPr>
            </w:pPr>
            <w:r>
              <w:rPr>
                <w:spacing w:val="-2"/>
                <w:sz w:val="18"/>
              </w:rPr>
              <w:t>Estados Financieros</w:t>
            </w:r>
          </w:p>
        </w:tc>
        <w:tc>
          <w:tcPr>
            <w:tcW w:w="1277" w:type="dxa"/>
          </w:tcPr>
          <w:p>
            <w:pPr>
              <w:pStyle w:val="TableParagraph"/>
              <w:spacing w:before="3"/>
              <w:ind w:left="71" w:right="127"/>
              <w:rPr>
                <w:sz w:val="18"/>
              </w:rPr>
            </w:pPr>
            <w:r>
              <w:rPr>
                <w:spacing w:val="-2"/>
                <w:sz w:val="18"/>
              </w:rPr>
              <w:t>Departament </w:t>
            </w:r>
            <w:r>
              <w:rPr>
                <w:sz w:val="18"/>
              </w:rPr>
              <w:t>o Empresas </w:t>
            </w:r>
            <w:r>
              <w:rPr>
                <w:spacing w:val="-2"/>
                <w:sz w:val="18"/>
              </w:rPr>
              <w:t>Comerciales </w:t>
            </w:r>
            <w:r>
              <w:rPr>
                <w:sz w:val="18"/>
              </w:rPr>
              <w:t>y al Jefatura </w:t>
            </w:r>
            <w:r>
              <w:rPr>
                <w:spacing w:val="-6"/>
                <w:sz w:val="18"/>
              </w:rPr>
              <w:t>de </w:t>
            </w:r>
            <w:r>
              <w:rPr>
                <w:spacing w:val="-2"/>
                <w:sz w:val="18"/>
              </w:rPr>
              <w:t>Coordinación</w:t>
            </w:r>
          </w:p>
          <w:p>
            <w:pPr>
              <w:pStyle w:val="TableParagraph"/>
              <w:spacing w:line="184" w:lineRule="exact"/>
              <w:ind w:left="71"/>
              <w:rPr>
                <w:sz w:val="18"/>
              </w:rPr>
            </w:pPr>
            <w:r>
              <w:rPr>
                <w:spacing w:val="-2"/>
                <w:sz w:val="18"/>
              </w:rPr>
              <w:t>Administrativa</w:t>
            </w:r>
          </w:p>
        </w:tc>
        <w:tc>
          <w:tcPr>
            <w:tcW w:w="1268" w:type="dxa"/>
          </w:tcPr>
          <w:p>
            <w:pPr>
              <w:pStyle w:val="TableParagraph"/>
              <w:rPr>
                <w:rFonts w:ascii="Times New Roman"/>
                <w:sz w:val="18"/>
              </w:rPr>
            </w:pPr>
          </w:p>
        </w:tc>
        <w:tc>
          <w:tcPr>
            <w:tcW w:w="1905" w:type="dxa"/>
            <w:vMerge/>
            <w:tcBorders>
              <w:top w:val="nil"/>
            </w:tcBorders>
          </w:tcPr>
          <w:p>
            <w:pPr>
              <w:rPr>
                <w:sz w:val="2"/>
                <w:szCs w:val="2"/>
              </w:rPr>
            </w:pPr>
          </w:p>
        </w:tc>
      </w:tr>
      <w:tr>
        <w:trPr>
          <w:trHeight w:val="1867" w:hRule="atLeast"/>
        </w:trPr>
        <w:tc>
          <w:tcPr>
            <w:tcW w:w="2689" w:type="dxa"/>
          </w:tcPr>
          <w:p>
            <w:pPr>
              <w:pStyle w:val="TableParagraph"/>
              <w:spacing w:before="3"/>
              <w:rPr>
                <w:b/>
                <w:sz w:val="18"/>
              </w:rPr>
            </w:pPr>
          </w:p>
          <w:p>
            <w:pPr>
              <w:pStyle w:val="TableParagraph"/>
              <w:ind w:left="72" w:right="60"/>
              <w:rPr>
                <w:sz w:val="18"/>
              </w:rPr>
            </w:pPr>
            <w:r>
              <w:rPr>
                <w:b/>
                <w:sz w:val="18"/>
              </w:rPr>
              <w:t>Actividad PEC 3.10.7</w:t>
            </w:r>
            <w:r>
              <w:rPr>
                <w:sz w:val="18"/>
              </w:rPr>
              <w:t>: Valorar la incorporación en las tiendas de nuevos productos provenientes de proyectos de microempresarios</w:t>
            </w:r>
            <w:r>
              <w:rPr>
                <w:spacing w:val="-13"/>
                <w:sz w:val="18"/>
              </w:rPr>
              <w:t> </w:t>
            </w:r>
            <w:r>
              <w:rPr>
                <w:sz w:val="18"/>
              </w:rPr>
              <w:t>incorporados en la estrategia de atención "IMAS Impulsa"</w:t>
            </w:r>
          </w:p>
        </w:tc>
        <w:tc>
          <w:tcPr>
            <w:tcW w:w="1988"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0" w:right="4"/>
              <w:jc w:val="center"/>
              <w:rPr>
                <w:sz w:val="18"/>
              </w:rPr>
            </w:pPr>
            <w:r>
              <w:rPr>
                <w:spacing w:val="-5"/>
                <w:sz w:val="18"/>
              </w:rPr>
              <w:t>N/D</w:t>
            </w:r>
          </w:p>
        </w:tc>
        <w:tc>
          <w:tcPr>
            <w:tcW w:w="1844"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9" w:right="9"/>
              <w:jc w:val="center"/>
              <w:rPr>
                <w:sz w:val="18"/>
              </w:rPr>
            </w:pPr>
            <w:r>
              <w:rPr>
                <w:spacing w:val="-5"/>
                <w:sz w:val="18"/>
              </w:rPr>
              <w:t>24</w:t>
            </w:r>
          </w:p>
        </w:tc>
        <w:tc>
          <w:tcPr>
            <w:tcW w:w="1839" w:type="dxa"/>
          </w:tcPr>
          <w:p>
            <w:pPr>
              <w:pStyle w:val="TableParagraph"/>
              <w:rPr>
                <w:b/>
                <w:sz w:val="18"/>
              </w:rPr>
            </w:pPr>
          </w:p>
          <w:p>
            <w:pPr>
              <w:pStyle w:val="TableParagraph"/>
              <w:spacing w:before="104"/>
              <w:rPr>
                <w:b/>
                <w:sz w:val="18"/>
              </w:rPr>
            </w:pPr>
          </w:p>
          <w:p>
            <w:pPr>
              <w:pStyle w:val="TableParagraph"/>
              <w:ind w:left="66" w:right="123"/>
              <w:rPr>
                <w:sz w:val="18"/>
              </w:rPr>
            </w:pPr>
            <w:r>
              <w:rPr>
                <w:sz w:val="18"/>
              </w:rPr>
              <w:t>Cantidad de proyectos de </w:t>
            </w:r>
            <w:r>
              <w:rPr>
                <w:spacing w:val="-2"/>
                <w:sz w:val="18"/>
              </w:rPr>
              <w:t>microempresarios valorados</w:t>
            </w:r>
          </w:p>
        </w:tc>
        <w:tc>
          <w:tcPr>
            <w:tcW w:w="1421" w:type="dxa"/>
          </w:tcPr>
          <w:p>
            <w:pPr>
              <w:pStyle w:val="TableParagraph"/>
              <w:rPr>
                <w:b/>
                <w:sz w:val="18"/>
              </w:rPr>
            </w:pPr>
          </w:p>
          <w:p>
            <w:pPr>
              <w:pStyle w:val="TableParagraph"/>
              <w:rPr>
                <w:b/>
                <w:sz w:val="18"/>
              </w:rPr>
            </w:pPr>
          </w:p>
          <w:p>
            <w:pPr>
              <w:pStyle w:val="TableParagraph"/>
              <w:spacing w:before="103"/>
              <w:rPr>
                <w:b/>
                <w:sz w:val="18"/>
              </w:rPr>
            </w:pPr>
          </w:p>
          <w:p>
            <w:pPr>
              <w:pStyle w:val="TableParagraph"/>
              <w:spacing w:line="244" w:lineRule="auto"/>
              <w:ind w:left="71"/>
              <w:rPr>
                <w:sz w:val="18"/>
              </w:rPr>
            </w:pPr>
            <w:r>
              <w:rPr>
                <w:spacing w:val="-2"/>
                <w:sz w:val="18"/>
              </w:rPr>
              <w:t>Informe Trimestral</w:t>
            </w:r>
          </w:p>
        </w:tc>
        <w:tc>
          <w:tcPr>
            <w:tcW w:w="1277"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1" w:right="248"/>
              <w:jc w:val="both"/>
              <w:rPr>
                <w:sz w:val="18"/>
              </w:rPr>
            </w:pPr>
            <w:r>
              <w:rPr>
                <w:sz w:val="18"/>
              </w:rPr>
              <w:t>Jefatura de Mercadeo</w:t>
            </w:r>
            <w:r>
              <w:rPr>
                <w:spacing w:val="-13"/>
                <w:sz w:val="18"/>
              </w:rPr>
              <w:t> </w:t>
            </w:r>
            <w:r>
              <w:rPr>
                <w:sz w:val="18"/>
              </w:rPr>
              <w:t>y </w:t>
            </w:r>
            <w:r>
              <w:rPr>
                <w:spacing w:val="-2"/>
                <w:sz w:val="18"/>
              </w:rPr>
              <w:t>Ventas</w:t>
            </w:r>
          </w:p>
        </w:tc>
        <w:tc>
          <w:tcPr>
            <w:tcW w:w="1268" w:type="dxa"/>
          </w:tcPr>
          <w:p>
            <w:pPr>
              <w:pStyle w:val="TableParagraph"/>
              <w:rPr>
                <w:rFonts w:ascii="Times New Roman"/>
                <w:sz w:val="18"/>
              </w:rPr>
            </w:pPr>
          </w:p>
        </w:tc>
        <w:tc>
          <w:tcPr>
            <w:tcW w:w="1905" w:type="dxa"/>
            <w:vMerge/>
            <w:tcBorders>
              <w:top w:val="nil"/>
            </w:tcBorders>
          </w:tcPr>
          <w:p>
            <w:pPr>
              <w:rPr>
                <w:sz w:val="2"/>
                <w:szCs w:val="2"/>
              </w:rPr>
            </w:pPr>
          </w:p>
        </w:tc>
      </w:tr>
      <w:tr>
        <w:trPr>
          <w:trHeight w:val="1656" w:hRule="atLeast"/>
        </w:trPr>
        <w:tc>
          <w:tcPr>
            <w:tcW w:w="2689" w:type="dxa"/>
          </w:tcPr>
          <w:p>
            <w:pPr>
              <w:pStyle w:val="TableParagraph"/>
              <w:spacing w:before="205"/>
              <w:ind w:left="72" w:right="110"/>
              <w:rPr>
                <w:sz w:val="18"/>
              </w:rPr>
            </w:pPr>
            <w:r>
              <w:rPr>
                <w:b/>
                <w:sz w:val="18"/>
              </w:rPr>
              <w:t>Actividad PEC 3.10.8: </w:t>
            </w:r>
            <w:r>
              <w:rPr>
                <w:sz w:val="18"/>
              </w:rPr>
              <w:t>Ejecutar los Mantenimientos programados en las tiendas AIJS,</w:t>
            </w:r>
            <w:r>
              <w:rPr>
                <w:spacing w:val="-7"/>
                <w:sz w:val="18"/>
              </w:rPr>
              <w:t> </w:t>
            </w:r>
            <w:r>
              <w:rPr>
                <w:sz w:val="18"/>
              </w:rPr>
              <w:t>AIDO</w:t>
            </w:r>
            <w:r>
              <w:rPr>
                <w:spacing w:val="-7"/>
                <w:sz w:val="18"/>
              </w:rPr>
              <w:t> </w:t>
            </w:r>
            <w:r>
              <w:rPr>
                <w:sz w:val="18"/>
              </w:rPr>
              <w:t>y</w:t>
            </w:r>
            <w:r>
              <w:rPr>
                <w:spacing w:val="-9"/>
                <w:sz w:val="18"/>
              </w:rPr>
              <w:t> </w:t>
            </w:r>
            <w:r>
              <w:rPr>
                <w:sz w:val="18"/>
              </w:rPr>
              <w:t>Edificio</w:t>
            </w:r>
            <w:r>
              <w:rPr>
                <w:spacing w:val="-9"/>
                <w:sz w:val="18"/>
              </w:rPr>
              <w:t> </w:t>
            </w:r>
            <w:r>
              <w:rPr>
                <w:sz w:val="18"/>
              </w:rPr>
              <w:t>y</w:t>
            </w:r>
            <w:r>
              <w:rPr>
                <w:spacing w:val="-4"/>
                <w:sz w:val="18"/>
              </w:rPr>
              <w:t> </w:t>
            </w:r>
            <w:r>
              <w:rPr>
                <w:sz w:val="18"/>
              </w:rPr>
              <w:t>oficinas Administrativas 1.08.01</w:t>
            </w:r>
          </w:p>
        </w:tc>
        <w:tc>
          <w:tcPr>
            <w:tcW w:w="1988"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0" w:right="4"/>
              <w:jc w:val="center"/>
              <w:rPr>
                <w:sz w:val="18"/>
              </w:rPr>
            </w:pPr>
            <w:r>
              <w:rPr>
                <w:spacing w:val="-5"/>
                <w:sz w:val="18"/>
              </w:rPr>
              <w:t>N/D</w:t>
            </w:r>
          </w:p>
        </w:tc>
        <w:tc>
          <w:tcPr>
            <w:tcW w:w="184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9" w:right="7"/>
              <w:jc w:val="center"/>
              <w:rPr>
                <w:sz w:val="18"/>
              </w:rPr>
            </w:pPr>
            <w:r>
              <w:rPr>
                <w:spacing w:val="-4"/>
                <w:sz w:val="18"/>
              </w:rPr>
              <w:t>100%</w:t>
            </w:r>
          </w:p>
        </w:tc>
        <w:tc>
          <w:tcPr>
            <w:tcW w:w="1839" w:type="dxa"/>
          </w:tcPr>
          <w:p>
            <w:pPr>
              <w:pStyle w:val="TableParagraph"/>
              <w:rPr>
                <w:b/>
                <w:sz w:val="18"/>
              </w:rPr>
            </w:pPr>
          </w:p>
          <w:p>
            <w:pPr>
              <w:pStyle w:val="TableParagraph"/>
              <w:spacing w:before="98"/>
              <w:rPr>
                <w:b/>
                <w:sz w:val="18"/>
              </w:rPr>
            </w:pPr>
          </w:p>
          <w:p>
            <w:pPr>
              <w:pStyle w:val="TableParagraph"/>
              <w:spacing w:line="242" w:lineRule="auto"/>
              <w:ind w:left="282" w:right="267" w:hanging="10"/>
              <w:jc w:val="center"/>
              <w:rPr>
                <w:sz w:val="18"/>
              </w:rPr>
            </w:pPr>
            <w:r>
              <w:rPr>
                <w:sz w:val="18"/>
              </w:rPr>
              <w:t>Porcentaje de ejecución de </w:t>
            </w:r>
            <w:r>
              <w:rPr>
                <w:spacing w:val="-2"/>
                <w:sz w:val="18"/>
              </w:rPr>
              <w:t>mantenimientos</w:t>
            </w:r>
          </w:p>
        </w:tc>
        <w:tc>
          <w:tcPr>
            <w:tcW w:w="1421" w:type="dxa"/>
          </w:tcPr>
          <w:p>
            <w:pPr>
              <w:pStyle w:val="TableParagraph"/>
              <w:rPr>
                <w:b/>
                <w:sz w:val="18"/>
              </w:rPr>
            </w:pPr>
          </w:p>
          <w:p>
            <w:pPr>
              <w:pStyle w:val="TableParagraph"/>
              <w:spacing w:before="204"/>
              <w:rPr>
                <w:b/>
                <w:sz w:val="18"/>
              </w:rPr>
            </w:pPr>
          </w:p>
          <w:p>
            <w:pPr>
              <w:pStyle w:val="TableParagraph"/>
              <w:ind w:left="71"/>
              <w:rPr>
                <w:sz w:val="18"/>
              </w:rPr>
            </w:pPr>
            <w:r>
              <w:rPr>
                <w:spacing w:val="-2"/>
                <w:sz w:val="18"/>
              </w:rPr>
              <w:t>Informe Trimestral</w:t>
            </w:r>
          </w:p>
        </w:tc>
        <w:tc>
          <w:tcPr>
            <w:tcW w:w="1277" w:type="dxa"/>
          </w:tcPr>
          <w:p>
            <w:pPr>
              <w:pStyle w:val="TableParagraph"/>
              <w:ind w:left="71" w:right="61"/>
              <w:rPr>
                <w:sz w:val="18"/>
              </w:rPr>
            </w:pPr>
            <w:r>
              <w:rPr>
                <w:spacing w:val="-2"/>
                <w:sz w:val="18"/>
              </w:rPr>
              <w:t>Administració </w:t>
            </w:r>
            <w:r>
              <w:rPr>
                <w:sz w:val="18"/>
              </w:rPr>
              <w:t>n General, Unidad de Logística e </w:t>
            </w:r>
            <w:r>
              <w:rPr>
                <w:spacing w:val="-2"/>
                <w:sz w:val="18"/>
              </w:rPr>
              <w:t>Importaciones </w:t>
            </w:r>
            <w:r>
              <w:rPr>
                <w:sz w:val="18"/>
              </w:rPr>
              <w:t>y Unidad de</w:t>
            </w:r>
          </w:p>
          <w:p>
            <w:pPr>
              <w:pStyle w:val="TableParagraph"/>
              <w:spacing w:line="206" w:lineRule="exact"/>
              <w:ind w:left="71"/>
              <w:rPr>
                <w:sz w:val="18"/>
              </w:rPr>
            </w:pPr>
            <w:r>
              <w:rPr>
                <w:spacing w:val="-2"/>
                <w:sz w:val="18"/>
              </w:rPr>
              <w:t>Coordinación Administrativa</w:t>
            </w:r>
          </w:p>
        </w:tc>
        <w:tc>
          <w:tcPr>
            <w:tcW w:w="1268"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3" w:right="5"/>
              <w:jc w:val="center"/>
              <w:rPr>
                <w:sz w:val="18"/>
              </w:rPr>
            </w:pPr>
            <w:r>
              <w:rPr>
                <w:sz w:val="18"/>
              </w:rPr>
              <w:t>₡60</w:t>
            </w:r>
            <w:r>
              <w:rPr>
                <w:spacing w:val="1"/>
                <w:sz w:val="18"/>
              </w:rPr>
              <w:t> </w:t>
            </w:r>
            <w:r>
              <w:rPr>
                <w:sz w:val="18"/>
              </w:rPr>
              <w:t>000</w:t>
            </w:r>
            <w:r>
              <w:rPr>
                <w:spacing w:val="-3"/>
                <w:sz w:val="18"/>
              </w:rPr>
              <w:t> </w:t>
            </w:r>
            <w:r>
              <w:rPr>
                <w:spacing w:val="-5"/>
                <w:sz w:val="18"/>
              </w:rPr>
              <w:t>000</w:t>
            </w:r>
          </w:p>
        </w:tc>
        <w:tc>
          <w:tcPr>
            <w:tcW w:w="1905" w:type="dxa"/>
            <w:vMerge/>
            <w:tcBorders>
              <w:top w:val="nil"/>
            </w:tcBorders>
          </w:tcPr>
          <w:p>
            <w:pPr>
              <w:rPr>
                <w:sz w:val="2"/>
                <w:szCs w:val="2"/>
              </w:rPr>
            </w:pPr>
          </w:p>
        </w:tc>
      </w:tr>
      <w:tr>
        <w:trPr>
          <w:trHeight w:val="705" w:hRule="atLeast"/>
        </w:trPr>
        <w:tc>
          <w:tcPr>
            <w:tcW w:w="14231" w:type="dxa"/>
            <w:gridSpan w:val="8"/>
            <w:shd w:val="clear" w:color="auto" w:fill="EFF8F9"/>
          </w:tcPr>
          <w:p>
            <w:pPr>
              <w:pStyle w:val="TableParagraph"/>
              <w:spacing w:before="42"/>
              <w:rPr>
                <w:b/>
                <w:sz w:val="18"/>
              </w:rPr>
            </w:pPr>
          </w:p>
          <w:p>
            <w:pPr>
              <w:pStyle w:val="TableParagraph"/>
              <w:ind w:left="72"/>
              <w:rPr>
                <w:b/>
                <w:sz w:val="18"/>
              </w:rPr>
            </w:pPr>
            <w:r>
              <w:rPr>
                <w:b/>
                <w:sz w:val="18"/>
              </w:rPr>
              <w:t>Producto</w:t>
            </w:r>
            <w:r>
              <w:rPr>
                <w:b/>
                <w:spacing w:val="-9"/>
                <w:sz w:val="18"/>
              </w:rPr>
              <w:t> </w:t>
            </w:r>
            <w:r>
              <w:rPr>
                <w:b/>
                <w:sz w:val="18"/>
              </w:rPr>
              <w:t>PEC</w:t>
            </w:r>
            <w:r>
              <w:rPr>
                <w:b/>
                <w:spacing w:val="-10"/>
                <w:sz w:val="18"/>
              </w:rPr>
              <w:t> </w:t>
            </w:r>
            <w:r>
              <w:rPr>
                <w:b/>
                <w:sz w:val="18"/>
              </w:rPr>
              <w:t>3.11:</w:t>
            </w:r>
            <w:r>
              <w:rPr>
                <w:b/>
                <w:spacing w:val="-6"/>
                <w:sz w:val="18"/>
              </w:rPr>
              <w:t> </w:t>
            </w:r>
            <w:r>
              <w:rPr>
                <w:b/>
                <w:sz w:val="18"/>
              </w:rPr>
              <w:t>Ejecución</w:t>
            </w:r>
            <w:r>
              <w:rPr>
                <w:b/>
                <w:spacing w:val="-4"/>
                <w:sz w:val="18"/>
              </w:rPr>
              <w:t> </w:t>
            </w:r>
            <w:r>
              <w:rPr>
                <w:b/>
                <w:sz w:val="18"/>
              </w:rPr>
              <w:t>de</w:t>
            </w:r>
            <w:r>
              <w:rPr>
                <w:b/>
                <w:spacing w:val="-8"/>
                <w:sz w:val="18"/>
              </w:rPr>
              <w:t> </w:t>
            </w:r>
            <w:r>
              <w:rPr>
                <w:b/>
                <w:sz w:val="18"/>
              </w:rPr>
              <w:t>acciones</w:t>
            </w:r>
            <w:r>
              <w:rPr>
                <w:b/>
                <w:spacing w:val="-7"/>
                <w:sz w:val="18"/>
              </w:rPr>
              <w:t> </w:t>
            </w:r>
            <w:r>
              <w:rPr>
                <w:b/>
                <w:sz w:val="18"/>
              </w:rPr>
              <w:t>administrativas</w:t>
            </w:r>
            <w:r>
              <w:rPr>
                <w:b/>
                <w:spacing w:val="-4"/>
                <w:sz w:val="18"/>
              </w:rPr>
              <w:t> </w:t>
            </w:r>
            <w:r>
              <w:rPr>
                <w:b/>
                <w:sz w:val="18"/>
              </w:rPr>
              <w:t>necesarias</w:t>
            </w:r>
            <w:r>
              <w:rPr>
                <w:b/>
                <w:spacing w:val="-8"/>
                <w:sz w:val="18"/>
              </w:rPr>
              <w:t> </w:t>
            </w:r>
            <w:r>
              <w:rPr>
                <w:b/>
                <w:sz w:val="18"/>
              </w:rPr>
              <w:t>para</w:t>
            </w:r>
            <w:r>
              <w:rPr>
                <w:b/>
                <w:spacing w:val="-8"/>
                <w:sz w:val="18"/>
              </w:rPr>
              <w:t> </w:t>
            </w:r>
            <w:r>
              <w:rPr>
                <w:b/>
                <w:sz w:val="18"/>
              </w:rPr>
              <w:t>operación</w:t>
            </w:r>
            <w:r>
              <w:rPr>
                <w:b/>
                <w:spacing w:val="-4"/>
                <w:sz w:val="18"/>
              </w:rPr>
              <w:t> </w:t>
            </w:r>
            <w:r>
              <w:rPr>
                <w:b/>
                <w:sz w:val="18"/>
              </w:rPr>
              <w:t>del</w:t>
            </w:r>
            <w:r>
              <w:rPr>
                <w:b/>
                <w:spacing w:val="-6"/>
                <w:sz w:val="18"/>
              </w:rPr>
              <w:t> </w:t>
            </w:r>
            <w:r>
              <w:rPr>
                <w:b/>
                <w:spacing w:val="-2"/>
                <w:sz w:val="18"/>
              </w:rPr>
              <w:t>negocio</w:t>
            </w:r>
          </w:p>
        </w:tc>
      </w:tr>
      <w:tr>
        <w:trPr>
          <w:trHeight w:val="1166" w:hRule="atLeast"/>
        </w:trPr>
        <w:tc>
          <w:tcPr>
            <w:tcW w:w="2689" w:type="dxa"/>
          </w:tcPr>
          <w:p>
            <w:pPr>
              <w:pStyle w:val="TableParagraph"/>
              <w:spacing w:before="66"/>
              <w:ind w:left="72" w:right="100"/>
              <w:rPr>
                <w:sz w:val="18"/>
              </w:rPr>
            </w:pPr>
            <w:r>
              <w:rPr>
                <w:b/>
                <w:sz w:val="18"/>
              </w:rPr>
              <w:t>Actividad PEC 3.11.1: </w:t>
            </w:r>
            <w:r>
              <w:rPr>
                <w:sz w:val="18"/>
              </w:rPr>
              <w:t>Preparar la documentación necesaria</w:t>
            </w:r>
            <w:r>
              <w:rPr>
                <w:spacing w:val="-12"/>
                <w:sz w:val="18"/>
              </w:rPr>
              <w:t> </w:t>
            </w:r>
            <w:r>
              <w:rPr>
                <w:sz w:val="18"/>
              </w:rPr>
              <w:t>para</w:t>
            </w:r>
            <w:r>
              <w:rPr>
                <w:spacing w:val="-13"/>
                <w:sz w:val="18"/>
              </w:rPr>
              <w:t> </w:t>
            </w:r>
            <w:r>
              <w:rPr>
                <w:sz w:val="18"/>
              </w:rPr>
              <w:t>la</w:t>
            </w:r>
            <w:r>
              <w:rPr>
                <w:spacing w:val="-10"/>
                <w:sz w:val="18"/>
              </w:rPr>
              <w:t> </w:t>
            </w:r>
            <w:r>
              <w:rPr>
                <w:sz w:val="18"/>
              </w:rPr>
              <w:t>contratación de Auditoría Externa (Partida </w:t>
            </w:r>
            <w:r>
              <w:rPr>
                <w:spacing w:val="-2"/>
                <w:sz w:val="18"/>
              </w:rPr>
              <w:t>1.04.04)</w:t>
            </w:r>
          </w:p>
        </w:tc>
        <w:tc>
          <w:tcPr>
            <w:tcW w:w="1988" w:type="dxa"/>
          </w:tcPr>
          <w:p>
            <w:pPr>
              <w:pStyle w:val="TableParagraph"/>
              <w:rPr>
                <w:b/>
                <w:sz w:val="18"/>
              </w:rPr>
            </w:pPr>
          </w:p>
          <w:p>
            <w:pPr>
              <w:pStyle w:val="TableParagraph"/>
              <w:spacing w:before="65"/>
              <w:rPr>
                <w:b/>
                <w:sz w:val="18"/>
              </w:rPr>
            </w:pPr>
          </w:p>
          <w:p>
            <w:pPr>
              <w:pStyle w:val="TableParagraph"/>
              <w:ind w:left="20" w:right="8"/>
              <w:jc w:val="center"/>
              <w:rPr>
                <w:sz w:val="18"/>
              </w:rPr>
            </w:pPr>
            <w:r>
              <w:rPr>
                <w:spacing w:val="-4"/>
                <w:sz w:val="18"/>
              </w:rPr>
              <w:t>100%</w:t>
            </w:r>
          </w:p>
        </w:tc>
        <w:tc>
          <w:tcPr>
            <w:tcW w:w="1844" w:type="dxa"/>
          </w:tcPr>
          <w:p>
            <w:pPr>
              <w:pStyle w:val="TableParagraph"/>
              <w:rPr>
                <w:b/>
                <w:sz w:val="18"/>
              </w:rPr>
            </w:pPr>
          </w:p>
          <w:p>
            <w:pPr>
              <w:pStyle w:val="TableParagraph"/>
              <w:spacing w:before="65"/>
              <w:rPr>
                <w:b/>
                <w:sz w:val="18"/>
              </w:rPr>
            </w:pPr>
          </w:p>
          <w:p>
            <w:pPr>
              <w:pStyle w:val="TableParagraph"/>
              <w:ind w:left="9" w:right="7"/>
              <w:jc w:val="center"/>
              <w:rPr>
                <w:sz w:val="18"/>
              </w:rPr>
            </w:pPr>
            <w:r>
              <w:rPr>
                <w:spacing w:val="-4"/>
                <w:sz w:val="18"/>
              </w:rPr>
              <w:t>100%</w:t>
            </w:r>
          </w:p>
        </w:tc>
        <w:tc>
          <w:tcPr>
            <w:tcW w:w="1839" w:type="dxa"/>
          </w:tcPr>
          <w:p>
            <w:pPr>
              <w:pStyle w:val="TableParagraph"/>
              <w:spacing w:line="242" w:lineRule="auto" w:before="167"/>
              <w:ind w:left="103" w:right="94"/>
              <w:jc w:val="center"/>
              <w:rPr>
                <w:sz w:val="18"/>
              </w:rPr>
            </w:pPr>
            <w:r>
              <w:rPr>
                <w:sz w:val="18"/>
              </w:rPr>
              <w:t>%</w:t>
            </w:r>
            <w:r>
              <w:rPr>
                <w:spacing w:val="-6"/>
                <w:sz w:val="18"/>
              </w:rPr>
              <w:t> </w:t>
            </w:r>
            <w:r>
              <w:rPr>
                <w:sz w:val="18"/>
              </w:rPr>
              <w:t>de</w:t>
            </w:r>
            <w:r>
              <w:rPr>
                <w:spacing w:val="-8"/>
                <w:sz w:val="18"/>
              </w:rPr>
              <w:t> </w:t>
            </w:r>
            <w:r>
              <w:rPr>
                <w:sz w:val="18"/>
              </w:rPr>
              <w:t>avance</w:t>
            </w:r>
            <w:r>
              <w:rPr>
                <w:spacing w:val="-11"/>
                <w:sz w:val="18"/>
              </w:rPr>
              <w:t> </w:t>
            </w:r>
            <w:r>
              <w:rPr>
                <w:sz w:val="18"/>
              </w:rPr>
              <w:t>en</w:t>
            </w:r>
            <w:r>
              <w:rPr>
                <w:spacing w:val="-11"/>
                <w:sz w:val="18"/>
              </w:rPr>
              <w:t> </w:t>
            </w:r>
            <w:r>
              <w:rPr>
                <w:sz w:val="18"/>
              </w:rPr>
              <w:t>la solicitud de los servicios de Auditoría Externa</w:t>
            </w:r>
          </w:p>
        </w:tc>
        <w:tc>
          <w:tcPr>
            <w:tcW w:w="1421" w:type="dxa"/>
          </w:tcPr>
          <w:p>
            <w:pPr>
              <w:pStyle w:val="TableParagraph"/>
              <w:spacing w:before="65"/>
              <w:rPr>
                <w:b/>
                <w:sz w:val="18"/>
              </w:rPr>
            </w:pPr>
          </w:p>
          <w:p>
            <w:pPr>
              <w:pStyle w:val="TableParagraph"/>
              <w:ind w:left="71" w:right="51"/>
              <w:rPr>
                <w:sz w:val="18"/>
              </w:rPr>
            </w:pPr>
            <w:r>
              <w:rPr>
                <w:sz w:val="18"/>
              </w:rPr>
              <w:t>Informe</w:t>
            </w:r>
            <w:r>
              <w:rPr>
                <w:spacing w:val="-15"/>
                <w:sz w:val="18"/>
              </w:rPr>
              <w:t> </w:t>
            </w:r>
            <w:r>
              <w:rPr>
                <w:sz w:val="18"/>
              </w:rPr>
              <w:t>final</w:t>
            </w:r>
            <w:r>
              <w:rPr>
                <w:spacing w:val="-12"/>
                <w:sz w:val="18"/>
              </w:rPr>
              <w:t> </w:t>
            </w:r>
            <w:r>
              <w:rPr>
                <w:sz w:val="18"/>
              </w:rPr>
              <w:t>de </w:t>
            </w:r>
            <w:r>
              <w:rPr>
                <w:spacing w:val="-2"/>
                <w:sz w:val="18"/>
              </w:rPr>
              <w:t>Auditoría Externa</w:t>
            </w:r>
          </w:p>
        </w:tc>
        <w:tc>
          <w:tcPr>
            <w:tcW w:w="1277" w:type="dxa"/>
          </w:tcPr>
          <w:p>
            <w:pPr>
              <w:pStyle w:val="TableParagraph"/>
              <w:spacing w:before="65"/>
              <w:rPr>
                <w:b/>
                <w:sz w:val="18"/>
              </w:rPr>
            </w:pPr>
          </w:p>
          <w:p>
            <w:pPr>
              <w:pStyle w:val="TableParagraph"/>
              <w:ind w:left="71"/>
              <w:rPr>
                <w:sz w:val="18"/>
              </w:rPr>
            </w:pPr>
            <w:r>
              <w:rPr>
                <w:sz w:val="18"/>
              </w:rPr>
              <w:t>Jefatura de </w:t>
            </w:r>
            <w:r>
              <w:rPr>
                <w:spacing w:val="-2"/>
                <w:sz w:val="18"/>
              </w:rPr>
              <w:t>Coordinación Administrativa</w:t>
            </w:r>
          </w:p>
        </w:tc>
        <w:tc>
          <w:tcPr>
            <w:tcW w:w="1268" w:type="dxa"/>
          </w:tcPr>
          <w:p>
            <w:pPr>
              <w:pStyle w:val="TableParagraph"/>
              <w:rPr>
                <w:b/>
                <w:sz w:val="18"/>
              </w:rPr>
            </w:pPr>
          </w:p>
          <w:p>
            <w:pPr>
              <w:pStyle w:val="TableParagraph"/>
              <w:spacing w:before="65"/>
              <w:rPr>
                <w:b/>
                <w:sz w:val="18"/>
              </w:rPr>
            </w:pPr>
          </w:p>
          <w:p>
            <w:pPr>
              <w:pStyle w:val="TableParagraph"/>
              <w:ind w:left="13" w:right="5"/>
              <w:jc w:val="center"/>
              <w:rPr>
                <w:sz w:val="18"/>
              </w:rPr>
            </w:pPr>
            <w:r>
              <w:rPr>
                <w:sz w:val="18"/>
              </w:rPr>
              <w:t>₡15</w:t>
            </w:r>
            <w:r>
              <w:rPr>
                <w:spacing w:val="1"/>
                <w:sz w:val="18"/>
              </w:rPr>
              <w:t> </w:t>
            </w:r>
            <w:r>
              <w:rPr>
                <w:sz w:val="18"/>
              </w:rPr>
              <w:t>000</w:t>
            </w:r>
            <w:r>
              <w:rPr>
                <w:spacing w:val="-3"/>
                <w:sz w:val="18"/>
              </w:rPr>
              <w:t> </w:t>
            </w:r>
            <w:r>
              <w:rPr>
                <w:spacing w:val="-5"/>
                <w:sz w:val="18"/>
              </w:rPr>
              <w:t>000</w:t>
            </w:r>
          </w:p>
        </w:tc>
        <w:tc>
          <w:tcPr>
            <w:tcW w:w="1905" w:type="dxa"/>
          </w:tcPr>
          <w:p>
            <w:pPr>
              <w:pStyle w:val="TableParagraph"/>
              <w:spacing w:before="66"/>
              <w:ind w:left="71"/>
              <w:rPr>
                <w:sz w:val="18"/>
              </w:rPr>
            </w:pPr>
            <w:r>
              <w:rPr>
                <w:sz w:val="18"/>
              </w:rPr>
              <w:t>Evento: Retrasos en las</w:t>
            </w:r>
            <w:r>
              <w:rPr>
                <w:spacing w:val="-15"/>
                <w:sz w:val="18"/>
              </w:rPr>
              <w:t> </w:t>
            </w:r>
            <w:r>
              <w:rPr>
                <w:sz w:val="18"/>
              </w:rPr>
              <w:t>contrataciones</w:t>
            </w:r>
            <w:r>
              <w:rPr>
                <w:spacing w:val="-12"/>
                <w:sz w:val="18"/>
              </w:rPr>
              <w:t> </w:t>
            </w:r>
            <w:r>
              <w:rPr>
                <w:sz w:val="18"/>
              </w:rPr>
              <w:t>por incumplimiento en el cronograma de programación o por</w:t>
            </w:r>
          </w:p>
        </w:tc>
      </w:tr>
    </w:tbl>
    <w:p>
      <w:pPr>
        <w:pStyle w:val="TableParagraph"/>
        <w:spacing w:after="0"/>
        <w:rPr>
          <w:sz w:val="18"/>
        </w:rPr>
        <w:sectPr>
          <w:type w:val="continuous"/>
          <w:pgSz w:w="15840" w:h="12240" w:orient="landscape"/>
          <w:pgMar w:header="0" w:footer="1806" w:top="700" w:bottom="2587" w:left="360" w:right="360"/>
        </w:sectPr>
      </w:pPr>
    </w:p>
    <w:tbl>
      <w:tblPr>
        <w:tblW w:w="0" w:type="auto"/>
        <w:jc w:val="left"/>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89"/>
        <w:gridCol w:w="1988"/>
        <w:gridCol w:w="1844"/>
        <w:gridCol w:w="1839"/>
        <w:gridCol w:w="1421"/>
        <w:gridCol w:w="1277"/>
        <w:gridCol w:w="1268"/>
        <w:gridCol w:w="1906"/>
      </w:tblGrid>
      <w:tr>
        <w:trPr>
          <w:trHeight w:val="873" w:hRule="atLeast"/>
        </w:trPr>
        <w:tc>
          <w:tcPr>
            <w:tcW w:w="2689" w:type="dxa"/>
            <w:shd w:val="clear" w:color="auto" w:fill="D7D7D7"/>
          </w:tcPr>
          <w:p>
            <w:pPr>
              <w:pStyle w:val="TableParagraph"/>
              <w:spacing w:before="127"/>
              <w:rPr>
                <w:b/>
                <w:sz w:val="18"/>
              </w:rPr>
            </w:pPr>
          </w:p>
          <w:p>
            <w:pPr>
              <w:pStyle w:val="TableParagraph"/>
              <w:spacing w:before="1"/>
              <w:ind w:left="374"/>
              <w:rPr>
                <w:b/>
                <w:sz w:val="18"/>
              </w:rPr>
            </w:pPr>
            <w:r>
              <w:rPr>
                <w:b/>
                <w:sz w:val="18"/>
              </w:rPr>
              <w:t>Objetivos</w:t>
            </w:r>
            <w:r>
              <w:rPr>
                <w:b/>
                <w:spacing w:val="-5"/>
                <w:sz w:val="18"/>
              </w:rPr>
              <w:t> </w:t>
            </w:r>
            <w:r>
              <w:rPr>
                <w:b/>
                <w:sz w:val="18"/>
              </w:rPr>
              <w:t>/</w:t>
            </w:r>
            <w:r>
              <w:rPr>
                <w:b/>
                <w:spacing w:val="-2"/>
                <w:sz w:val="18"/>
              </w:rPr>
              <w:t> Resultados</w:t>
            </w:r>
          </w:p>
        </w:tc>
        <w:tc>
          <w:tcPr>
            <w:tcW w:w="1988" w:type="dxa"/>
            <w:shd w:val="clear" w:color="auto" w:fill="D7D7D7"/>
          </w:tcPr>
          <w:p>
            <w:pPr>
              <w:pStyle w:val="TableParagraph"/>
              <w:spacing w:before="127"/>
              <w:rPr>
                <w:b/>
                <w:sz w:val="18"/>
              </w:rPr>
            </w:pPr>
          </w:p>
          <w:p>
            <w:pPr>
              <w:pStyle w:val="TableParagraph"/>
              <w:spacing w:before="1"/>
              <w:ind w:left="20" w:right="5"/>
              <w:jc w:val="center"/>
              <w:rPr>
                <w:b/>
                <w:sz w:val="18"/>
              </w:rPr>
            </w:pPr>
            <w:r>
              <w:rPr>
                <w:b/>
                <w:sz w:val="18"/>
              </w:rPr>
              <w:t>Línea</w:t>
            </w:r>
            <w:r>
              <w:rPr>
                <w:b/>
                <w:spacing w:val="-3"/>
                <w:sz w:val="18"/>
              </w:rPr>
              <w:t> </w:t>
            </w:r>
            <w:r>
              <w:rPr>
                <w:b/>
                <w:sz w:val="18"/>
              </w:rPr>
              <w:t>Base</w:t>
            </w:r>
            <w:r>
              <w:rPr>
                <w:b/>
                <w:spacing w:val="-3"/>
                <w:sz w:val="18"/>
              </w:rPr>
              <w:t> </w:t>
            </w:r>
            <w:r>
              <w:rPr>
                <w:b/>
                <w:spacing w:val="-2"/>
                <w:sz w:val="18"/>
              </w:rPr>
              <w:t>(2024)</w:t>
            </w:r>
          </w:p>
        </w:tc>
        <w:tc>
          <w:tcPr>
            <w:tcW w:w="1844" w:type="dxa"/>
            <w:shd w:val="clear" w:color="auto" w:fill="D7D7D7"/>
          </w:tcPr>
          <w:p>
            <w:pPr>
              <w:pStyle w:val="TableParagraph"/>
              <w:spacing w:before="22"/>
              <w:rPr>
                <w:b/>
                <w:sz w:val="18"/>
              </w:rPr>
            </w:pPr>
          </w:p>
          <w:p>
            <w:pPr>
              <w:pStyle w:val="TableParagraph"/>
              <w:ind w:left="720" w:hanging="553"/>
              <w:rPr>
                <w:b/>
                <w:sz w:val="18"/>
              </w:rPr>
            </w:pPr>
            <w:r>
              <w:rPr>
                <w:b/>
                <w:sz w:val="18"/>
              </w:rPr>
              <w:t>Meta</w:t>
            </w:r>
            <w:r>
              <w:rPr>
                <w:b/>
                <w:spacing w:val="-13"/>
                <w:sz w:val="18"/>
              </w:rPr>
              <w:t> </w:t>
            </w:r>
            <w:r>
              <w:rPr>
                <w:b/>
                <w:sz w:val="18"/>
              </w:rPr>
              <w:t>programada </w:t>
            </w:r>
            <w:r>
              <w:rPr>
                <w:b/>
                <w:spacing w:val="-4"/>
                <w:sz w:val="18"/>
              </w:rPr>
              <w:t>2026</w:t>
            </w:r>
          </w:p>
        </w:tc>
        <w:tc>
          <w:tcPr>
            <w:tcW w:w="1839" w:type="dxa"/>
            <w:shd w:val="clear" w:color="auto" w:fill="D7D7D7"/>
          </w:tcPr>
          <w:p>
            <w:pPr>
              <w:pStyle w:val="TableParagraph"/>
              <w:spacing w:before="127"/>
              <w:rPr>
                <w:b/>
                <w:sz w:val="18"/>
              </w:rPr>
            </w:pPr>
          </w:p>
          <w:p>
            <w:pPr>
              <w:pStyle w:val="TableParagraph"/>
              <w:spacing w:before="1"/>
              <w:ind w:left="513"/>
              <w:rPr>
                <w:b/>
                <w:sz w:val="18"/>
              </w:rPr>
            </w:pPr>
            <w:r>
              <w:rPr>
                <w:b/>
                <w:spacing w:val="-2"/>
                <w:sz w:val="18"/>
              </w:rPr>
              <w:t>Indicador</w:t>
            </w:r>
          </w:p>
        </w:tc>
        <w:tc>
          <w:tcPr>
            <w:tcW w:w="1421" w:type="dxa"/>
            <w:shd w:val="clear" w:color="auto" w:fill="D7D7D7"/>
          </w:tcPr>
          <w:p>
            <w:pPr>
              <w:pStyle w:val="TableParagraph"/>
              <w:spacing w:before="22"/>
              <w:rPr>
                <w:b/>
                <w:sz w:val="18"/>
              </w:rPr>
            </w:pPr>
          </w:p>
          <w:p>
            <w:pPr>
              <w:pStyle w:val="TableParagraph"/>
              <w:ind w:left="210" w:firstLine="57"/>
              <w:rPr>
                <w:b/>
                <w:sz w:val="18"/>
              </w:rPr>
            </w:pPr>
            <w:r>
              <w:rPr>
                <w:b/>
                <w:sz w:val="18"/>
              </w:rPr>
              <w:t>Medios de </w:t>
            </w:r>
            <w:r>
              <w:rPr>
                <w:b/>
                <w:spacing w:val="-2"/>
                <w:sz w:val="18"/>
              </w:rPr>
              <w:t>verificación</w:t>
            </w:r>
          </w:p>
        </w:tc>
        <w:tc>
          <w:tcPr>
            <w:tcW w:w="1277" w:type="dxa"/>
            <w:shd w:val="clear" w:color="auto" w:fill="D7D7D7"/>
          </w:tcPr>
          <w:p>
            <w:pPr>
              <w:pStyle w:val="TableParagraph"/>
              <w:spacing w:before="127"/>
              <w:rPr>
                <w:b/>
                <w:sz w:val="18"/>
              </w:rPr>
            </w:pPr>
          </w:p>
          <w:p>
            <w:pPr>
              <w:pStyle w:val="TableParagraph"/>
              <w:spacing w:before="1"/>
              <w:ind w:left="76"/>
              <w:rPr>
                <w:b/>
                <w:sz w:val="18"/>
              </w:rPr>
            </w:pPr>
            <w:r>
              <w:rPr>
                <w:b/>
                <w:spacing w:val="-2"/>
                <w:sz w:val="18"/>
              </w:rPr>
              <w:t>Responsable</w:t>
            </w:r>
          </w:p>
        </w:tc>
        <w:tc>
          <w:tcPr>
            <w:tcW w:w="1268" w:type="dxa"/>
            <w:shd w:val="clear" w:color="auto" w:fill="D7D7D7"/>
          </w:tcPr>
          <w:p>
            <w:pPr>
              <w:pStyle w:val="TableParagraph"/>
              <w:spacing w:before="22"/>
              <w:rPr>
                <w:b/>
                <w:sz w:val="18"/>
              </w:rPr>
            </w:pPr>
          </w:p>
          <w:p>
            <w:pPr>
              <w:pStyle w:val="TableParagraph"/>
              <w:ind w:left="234" w:hanging="149"/>
              <w:rPr>
                <w:b/>
                <w:sz w:val="18"/>
              </w:rPr>
            </w:pPr>
            <w:r>
              <w:rPr>
                <w:b/>
                <w:spacing w:val="-2"/>
                <w:sz w:val="18"/>
              </w:rPr>
              <w:t>Presupuesto asignado</w:t>
            </w:r>
          </w:p>
        </w:tc>
        <w:tc>
          <w:tcPr>
            <w:tcW w:w="1906" w:type="dxa"/>
            <w:tcBorders>
              <w:bottom w:val="nil"/>
            </w:tcBorders>
            <w:shd w:val="clear" w:color="auto" w:fill="D7D7D7"/>
          </w:tcPr>
          <w:p>
            <w:pPr>
              <w:pStyle w:val="TableParagraph"/>
              <w:spacing w:before="127"/>
              <w:rPr>
                <w:b/>
                <w:sz w:val="18"/>
              </w:rPr>
            </w:pPr>
          </w:p>
          <w:p>
            <w:pPr>
              <w:pStyle w:val="TableParagraph"/>
              <w:spacing w:before="1"/>
              <w:ind w:left="196"/>
              <w:rPr>
                <w:b/>
                <w:sz w:val="18"/>
              </w:rPr>
            </w:pPr>
            <w:r>
              <w:rPr>
                <w:b/>
                <w:sz w:val="18"/>
              </w:rPr>
              <w:t>Riesgo</w:t>
            </w:r>
            <w:r>
              <w:rPr>
                <w:b/>
                <w:spacing w:val="-4"/>
                <w:sz w:val="18"/>
              </w:rPr>
              <w:t> </w:t>
            </w:r>
            <w:r>
              <w:rPr>
                <w:b/>
                <w:spacing w:val="-2"/>
                <w:sz w:val="18"/>
              </w:rPr>
              <w:t>Vinculado</w:t>
            </w:r>
          </w:p>
        </w:tc>
      </w:tr>
      <w:tr>
        <w:trPr>
          <w:trHeight w:val="1450" w:hRule="atLeast"/>
        </w:trPr>
        <w:tc>
          <w:tcPr>
            <w:tcW w:w="2689" w:type="dxa"/>
          </w:tcPr>
          <w:p>
            <w:pPr>
              <w:pStyle w:val="TableParagraph"/>
              <w:ind w:left="72" w:right="126"/>
              <w:rPr>
                <w:sz w:val="18"/>
              </w:rPr>
            </w:pPr>
            <w:r>
              <w:rPr>
                <w:b/>
                <w:sz w:val="18"/>
              </w:rPr>
              <w:t>Actividad PEC 3.11.2: </w:t>
            </w:r>
            <w:r>
              <w:rPr>
                <w:sz w:val="18"/>
              </w:rPr>
              <w:t>Atención de la acción 2.3.1.3 de la PIGI relacionada con la inclusión de temas de prevención y atención de la</w:t>
            </w:r>
          </w:p>
          <w:p>
            <w:pPr>
              <w:pStyle w:val="TableParagraph"/>
              <w:spacing w:line="200" w:lineRule="atLeast"/>
              <w:ind w:left="72"/>
              <w:rPr>
                <w:sz w:val="18"/>
              </w:rPr>
            </w:pPr>
            <w:r>
              <w:rPr>
                <w:sz w:val="18"/>
              </w:rPr>
              <w:t>discriminación</w:t>
            </w:r>
            <w:r>
              <w:rPr>
                <w:spacing w:val="-15"/>
                <w:sz w:val="18"/>
              </w:rPr>
              <w:t> </w:t>
            </w:r>
            <w:r>
              <w:rPr>
                <w:sz w:val="18"/>
              </w:rPr>
              <w:t>u</w:t>
            </w:r>
            <w:r>
              <w:rPr>
                <w:spacing w:val="-12"/>
                <w:sz w:val="18"/>
              </w:rPr>
              <w:t> </w:t>
            </w:r>
            <w:r>
              <w:rPr>
                <w:sz w:val="18"/>
              </w:rPr>
              <w:t>hostigamiento </w:t>
            </w:r>
            <w:r>
              <w:rPr>
                <w:spacing w:val="-2"/>
                <w:sz w:val="18"/>
              </w:rPr>
              <w:t>sexual</w:t>
            </w:r>
          </w:p>
        </w:tc>
        <w:tc>
          <w:tcPr>
            <w:tcW w:w="1988"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20" w:right="4"/>
              <w:jc w:val="center"/>
              <w:rPr>
                <w:sz w:val="18"/>
              </w:rPr>
            </w:pPr>
            <w:r>
              <w:rPr>
                <w:spacing w:val="-5"/>
                <w:sz w:val="18"/>
              </w:rPr>
              <w:t>N/D</w:t>
            </w:r>
          </w:p>
        </w:tc>
        <w:tc>
          <w:tcPr>
            <w:tcW w:w="1844"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9" w:right="7"/>
              <w:jc w:val="center"/>
              <w:rPr>
                <w:sz w:val="18"/>
              </w:rPr>
            </w:pPr>
            <w:r>
              <w:rPr>
                <w:spacing w:val="-4"/>
                <w:sz w:val="18"/>
              </w:rPr>
              <w:t>100%</w:t>
            </w:r>
          </w:p>
        </w:tc>
        <w:tc>
          <w:tcPr>
            <w:tcW w:w="1839" w:type="dxa"/>
          </w:tcPr>
          <w:p>
            <w:pPr>
              <w:pStyle w:val="TableParagraph"/>
              <w:spacing w:before="3"/>
              <w:rPr>
                <w:b/>
                <w:sz w:val="18"/>
              </w:rPr>
            </w:pPr>
          </w:p>
          <w:p>
            <w:pPr>
              <w:pStyle w:val="TableParagraph"/>
              <w:ind w:left="10"/>
              <w:jc w:val="center"/>
              <w:rPr>
                <w:sz w:val="18"/>
              </w:rPr>
            </w:pPr>
            <w:r>
              <w:rPr>
                <w:sz w:val="18"/>
              </w:rPr>
              <w:t>% de avance en la rotulación de las tiendas y campaña informativa</w:t>
            </w:r>
            <w:r>
              <w:rPr>
                <w:spacing w:val="-15"/>
                <w:sz w:val="18"/>
              </w:rPr>
              <w:t> </w:t>
            </w:r>
            <w:r>
              <w:rPr>
                <w:sz w:val="18"/>
              </w:rPr>
              <w:t>en</w:t>
            </w:r>
            <w:r>
              <w:rPr>
                <w:spacing w:val="-12"/>
                <w:sz w:val="18"/>
              </w:rPr>
              <w:t> </w:t>
            </w:r>
            <w:r>
              <w:rPr>
                <w:sz w:val="18"/>
              </w:rPr>
              <w:t>redes </w:t>
            </w:r>
            <w:r>
              <w:rPr>
                <w:spacing w:val="-2"/>
                <w:sz w:val="18"/>
              </w:rPr>
              <w:t>sociales</w:t>
            </w:r>
          </w:p>
        </w:tc>
        <w:tc>
          <w:tcPr>
            <w:tcW w:w="1421" w:type="dxa"/>
          </w:tcPr>
          <w:p>
            <w:pPr>
              <w:pStyle w:val="TableParagraph"/>
              <w:rPr>
                <w:b/>
                <w:sz w:val="18"/>
              </w:rPr>
            </w:pPr>
          </w:p>
          <w:p>
            <w:pPr>
              <w:pStyle w:val="TableParagraph"/>
              <w:spacing w:before="104"/>
              <w:rPr>
                <w:b/>
                <w:sz w:val="18"/>
              </w:rPr>
            </w:pPr>
          </w:p>
          <w:p>
            <w:pPr>
              <w:pStyle w:val="TableParagraph"/>
              <w:ind w:left="71"/>
              <w:rPr>
                <w:sz w:val="18"/>
              </w:rPr>
            </w:pPr>
            <w:r>
              <w:rPr>
                <w:spacing w:val="-2"/>
                <w:sz w:val="18"/>
              </w:rPr>
              <w:t>Campaña Implementada</w:t>
            </w:r>
          </w:p>
        </w:tc>
        <w:tc>
          <w:tcPr>
            <w:tcW w:w="1277" w:type="dxa"/>
          </w:tcPr>
          <w:p>
            <w:pPr>
              <w:pStyle w:val="TableParagraph"/>
              <w:rPr>
                <w:b/>
                <w:sz w:val="18"/>
              </w:rPr>
            </w:pPr>
          </w:p>
          <w:p>
            <w:pPr>
              <w:pStyle w:val="TableParagraph"/>
              <w:spacing w:before="104"/>
              <w:rPr>
                <w:b/>
                <w:sz w:val="18"/>
              </w:rPr>
            </w:pPr>
          </w:p>
          <w:p>
            <w:pPr>
              <w:pStyle w:val="TableParagraph"/>
              <w:spacing w:line="242" w:lineRule="auto"/>
              <w:ind w:left="71" w:right="139"/>
              <w:rPr>
                <w:sz w:val="18"/>
              </w:rPr>
            </w:pPr>
            <w:r>
              <w:rPr>
                <w:spacing w:val="-2"/>
                <w:sz w:val="18"/>
              </w:rPr>
              <w:t>Departament </w:t>
            </w:r>
            <w:r>
              <w:rPr>
                <w:sz w:val="18"/>
              </w:rPr>
              <w:t>o Empresas </w:t>
            </w:r>
            <w:r>
              <w:rPr>
                <w:spacing w:val="-2"/>
                <w:sz w:val="18"/>
              </w:rPr>
              <w:t>Comerciales</w:t>
            </w:r>
          </w:p>
        </w:tc>
        <w:tc>
          <w:tcPr>
            <w:tcW w:w="1268" w:type="dxa"/>
          </w:tcPr>
          <w:p>
            <w:pPr>
              <w:pStyle w:val="TableParagraph"/>
              <w:rPr>
                <w:rFonts w:ascii="Times New Roman"/>
                <w:sz w:val="18"/>
              </w:rPr>
            </w:pPr>
          </w:p>
        </w:tc>
        <w:tc>
          <w:tcPr>
            <w:tcW w:w="1906" w:type="dxa"/>
            <w:vMerge w:val="restart"/>
            <w:tcBorders>
              <w:top w:val="nil"/>
            </w:tcBorders>
          </w:tcPr>
          <w:p>
            <w:pPr>
              <w:pStyle w:val="TableParagraph"/>
              <w:ind w:left="71" w:right="98"/>
              <w:rPr>
                <w:sz w:val="18"/>
              </w:rPr>
            </w:pPr>
            <w:r>
              <w:rPr>
                <w:sz w:val="18"/>
              </w:rPr>
              <w:t>exceso</w:t>
            </w:r>
            <w:r>
              <w:rPr>
                <w:spacing w:val="-15"/>
                <w:sz w:val="18"/>
              </w:rPr>
              <w:t> </w:t>
            </w:r>
            <w:r>
              <w:rPr>
                <w:sz w:val="18"/>
              </w:rPr>
              <w:t>de</w:t>
            </w:r>
            <w:r>
              <w:rPr>
                <w:spacing w:val="-12"/>
                <w:sz w:val="18"/>
              </w:rPr>
              <w:t> </w:t>
            </w:r>
            <w:r>
              <w:rPr>
                <w:sz w:val="18"/>
              </w:rPr>
              <w:t>requisitos internos</w:t>
            </w:r>
            <w:r>
              <w:rPr>
                <w:spacing w:val="-12"/>
                <w:sz w:val="18"/>
              </w:rPr>
              <w:t> </w:t>
            </w:r>
            <w:r>
              <w:rPr>
                <w:sz w:val="18"/>
              </w:rPr>
              <w:t>que</w:t>
            </w:r>
            <w:r>
              <w:rPr>
                <w:spacing w:val="-13"/>
                <w:sz w:val="18"/>
              </w:rPr>
              <w:t> </w:t>
            </w:r>
            <w:r>
              <w:rPr>
                <w:sz w:val="18"/>
              </w:rPr>
              <w:t>afectan el cumplimiento de objetivos</w:t>
            </w:r>
            <w:r>
              <w:rPr>
                <w:spacing w:val="-12"/>
                <w:sz w:val="18"/>
              </w:rPr>
              <w:t> </w:t>
            </w:r>
            <w:r>
              <w:rPr>
                <w:sz w:val="18"/>
              </w:rPr>
              <w:t>y</w:t>
            </w:r>
            <w:r>
              <w:rPr>
                <w:spacing w:val="-12"/>
                <w:sz w:val="18"/>
              </w:rPr>
              <w:t> </w:t>
            </w:r>
            <w:r>
              <w:rPr>
                <w:sz w:val="18"/>
              </w:rPr>
              <w:t>procesos de Empresas </w:t>
            </w:r>
            <w:r>
              <w:rPr>
                <w:spacing w:val="-2"/>
                <w:sz w:val="18"/>
              </w:rPr>
              <w:t>Comerciales</w:t>
            </w:r>
          </w:p>
        </w:tc>
      </w:tr>
      <w:tr>
        <w:trPr>
          <w:trHeight w:val="1050" w:hRule="atLeast"/>
        </w:trPr>
        <w:tc>
          <w:tcPr>
            <w:tcW w:w="2689" w:type="dxa"/>
          </w:tcPr>
          <w:p>
            <w:pPr>
              <w:pStyle w:val="TableParagraph"/>
              <w:spacing w:before="114"/>
              <w:ind w:left="72" w:right="126"/>
              <w:rPr>
                <w:sz w:val="18"/>
              </w:rPr>
            </w:pPr>
            <w:r>
              <w:rPr>
                <w:b/>
                <w:sz w:val="18"/>
              </w:rPr>
              <w:t>Actividad PEC 3.11.3: </w:t>
            </w:r>
            <w:r>
              <w:rPr>
                <w:sz w:val="18"/>
              </w:rPr>
              <w:t>Realizar compras de equipo necesarias</w:t>
            </w:r>
            <w:r>
              <w:rPr>
                <w:spacing w:val="-13"/>
                <w:sz w:val="18"/>
              </w:rPr>
              <w:t> </w:t>
            </w:r>
            <w:r>
              <w:rPr>
                <w:sz w:val="18"/>
              </w:rPr>
              <w:t>para</w:t>
            </w:r>
            <w:r>
              <w:rPr>
                <w:spacing w:val="-12"/>
                <w:sz w:val="18"/>
              </w:rPr>
              <w:t> </w:t>
            </w:r>
            <w:r>
              <w:rPr>
                <w:sz w:val="18"/>
              </w:rPr>
              <w:t>la</w:t>
            </w:r>
            <w:r>
              <w:rPr>
                <w:spacing w:val="-11"/>
                <w:sz w:val="18"/>
              </w:rPr>
              <w:t> </w:t>
            </w:r>
            <w:r>
              <w:rPr>
                <w:sz w:val="18"/>
              </w:rPr>
              <w:t>operación del</w:t>
            </w:r>
            <w:r>
              <w:rPr>
                <w:spacing w:val="-4"/>
                <w:sz w:val="18"/>
              </w:rPr>
              <w:t> </w:t>
            </w:r>
            <w:r>
              <w:rPr>
                <w:sz w:val="18"/>
              </w:rPr>
              <w:t>negocio</w:t>
            </w:r>
            <w:r>
              <w:rPr>
                <w:spacing w:val="-5"/>
                <w:sz w:val="18"/>
              </w:rPr>
              <w:t> </w:t>
            </w:r>
            <w:r>
              <w:rPr>
                <w:sz w:val="18"/>
              </w:rPr>
              <w:t>(Partida</w:t>
            </w:r>
            <w:r>
              <w:rPr>
                <w:spacing w:val="-2"/>
                <w:sz w:val="18"/>
              </w:rPr>
              <w:t> 5.01.05)</w:t>
            </w:r>
          </w:p>
        </w:tc>
        <w:tc>
          <w:tcPr>
            <w:tcW w:w="1988" w:type="dxa"/>
          </w:tcPr>
          <w:p>
            <w:pPr>
              <w:pStyle w:val="TableParagraph"/>
              <w:rPr>
                <w:b/>
                <w:sz w:val="18"/>
              </w:rPr>
            </w:pPr>
          </w:p>
          <w:p>
            <w:pPr>
              <w:pStyle w:val="TableParagraph"/>
              <w:spacing w:before="7"/>
              <w:rPr>
                <w:b/>
                <w:sz w:val="18"/>
              </w:rPr>
            </w:pPr>
          </w:p>
          <w:p>
            <w:pPr>
              <w:pStyle w:val="TableParagraph"/>
              <w:ind w:left="20" w:right="3"/>
              <w:jc w:val="center"/>
              <w:rPr>
                <w:sz w:val="18"/>
              </w:rPr>
            </w:pPr>
            <w:r>
              <w:rPr>
                <w:spacing w:val="-2"/>
                <w:sz w:val="18"/>
              </w:rPr>
              <w:t>100%%</w:t>
            </w:r>
          </w:p>
        </w:tc>
        <w:tc>
          <w:tcPr>
            <w:tcW w:w="1844" w:type="dxa"/>
          </w:tcPr>
          <w:p>
            <w:pPr>
              <w:pStyle w:val="TableParagraph"/>
              <w:rPr>
                <w:b/>
                <w:sz w:val="18"/>
              </w:rPr>
            </w:pPr>
          </w:p>
          <w:p>
            <w:pPr>
              <w:pStyle w:val="TableParagraph"/>
              <w:spacing w:before="7"/>
              <w:rPr>
                <w:b/>
                <w:sz w:val="18"/>
              </w:rPr>
            </w:pPr>
          </w:p>
          <w:p>
            <w:pPr>
              <w:pStyle w:val="TableParagraph"/>
              <w:ind w:left="9" w:right="7"/>
              <w:jc w:val="center"/>
              <w:rPr>
                <w:sz w:val="18"/>
              </w:rPr>
            </w:pPr>
            <w:r>
              <w:rPr>
                <w:spacing w:val="-4"/>
                <w:sz w:val="18"/>
              </w:rPr>
              <w:t>100%</w:t>
            </w:r>
          </w:p>
        </w:tc>
        <w:tc>
          <w:tcPr>
            <w:tcW w:w="1839" w:type="dxa"/>
          </w:tcPr>
          <w:p>
            <w:pPr>
              <w:pStyle w:val="TableParagraph"/>
              <w:spacing w:before="7"/>
              <w:rPr>
                <w:b/>
                <w:sz w:val="18"/>
              </w:rPr>
            </w:pPr>
          </w:p>
          <w:p>
            <w:pPr>
              <w:pStyle w:val="TableParagraph"/>
              <w:spacing w:before="1"/>
              <w:ind w:left="103" w:right="98"/>
              <w:jc w:val="center"/>
              <w:rPr>
                <w:sz w:val="18"/>
              </w:rPr>
            </w:pPr>
            <w:r>
              <w:rPr>
                <w:sz w:val="18"/>
              </w:rPr>
              <w:t>Porcentaje</w:t>
            </w:r>
            <w:r>
              <w:rPr>
                <w:spacing w:val="-13"/>
                <w:sz w:val="18"/>
              </w:rPr>
              <w:t> </w:t>
            </w:r>
            <w:r>
              <w:rPr>
                <w:sz w:val="18"/>
              </w:rPr>
              <w:t>de </w:t>
            </w:r>
            <w:r>
              <w:rPr>
                <w:spacing w:val="-2"/>
                <w:sz w:val="18"/>
              </w:rPr>
              <w:t>equipamiento adquirido</w:t>
            </w:r>
          </w:p>
        </w:tc>
        <w:tc>
          <w:tcPr>
            <w:tcW w:w="1421" w:type="dxa"/>
          </w:tcPr>
          <w:p>
            <w:pPr>
              <w:pStyle w:val="TableParagraph"/>
              <w:spacing w:before="113"/>
              <w:rPr>
                <w:b/>
                <w:sz w:val="18"/>
              </w:rPr>
            </w:pPr>
          </w:p>
          <w:p>
            <w:pPr>
              <w:pStyle w:val="TableParagraph"/>
              <w:ind w:left="71"/>
              <w:rPr>
                <w:sz w:val="18"/>
              </w:rPr>
            </w:pPr>
            <w:r>
              <w:rPr>
                <w:spacing w:val="-2"/>
                <w:sz w:val="18"/>
              </w:rPr>
              <w:t>Informe Trimestral</w:t>
            </w:r>
          </w:p>
        </w:tc>
        <w:tc>
          <w:tcPr>
            <w:tcW w:w="1277" w:type="dxa"/>
          </w:tcPr>
          <w:p>
            <w:pPr>
              <w:pStyle w:val="TableParagraph"/>
              <w:spacing w:before="7"/>
              <w:rPr>
                <w:b/>
                <w:sz w:val="18"/>
              </w:rPr>
            </w:pPr>
          </w:p>
          <w:p>
            <w:pPr>
              <w:pStyle w:val="TableParagraph"/>
              <w:spacing w:before="1"/>
              <w:ind w:left="71"/>
              <w:rPr>
                <w:sz w:val="18"/>
              </w:rPr>
            </w:pPr>
            <w:r>
              <w:rPr>
                <w:sz w:val="18"/>
              </w:rPr>
              <w:t>Jefatura de Logística e </w:t>
            </w:r>
            <w:r>
              <w:rPr>
                <w:spacing w:val="-2"/>
                <w:sz w:val="18"/>
              </w:rPr>
              <w:t>Importaciones</w:t>
            </w:r>
          </w:p>
        </w:tc>
        <w:tc>
          <w:tcPr>
            <w:tcW w:w="1268" w:type="dxa"/>
          </w:tcPr>
          <w:p>
            <w:pPr>
              <w:pStyle w:val="TableParagraph"/>
              <w:rPr>
                <w:b/>
                <w:sz w:val="18"/>
              </w:rPr>
            </w:pPr>
          </w:p>
          <w:p>
            <w:pPr>
              <w:pStyle w:val="TableParagraph"/>
              <w:spacing w:before="7"/>
              <w:rPr>
                <w:b/>
                <w:sz w:val="18"/>
              </w:rPr>
            </w:pPr>
          </w:p>
          <w:p>
            <w:pPr>
              <w:pStyle w:val="TableParagraph"/>
              <w:ind w:left="13" w:right="5"/>
              <w:jc w:val="center"/>
              <w:rPr>
                <w:sz w:val="18"/>
              </w:rPr>
            </w:pPr>
            <w:r>
              <w:rPr>
                <w:sz w:val="18"/>
              </w:rPr>
              <w:t>₡55</w:t>
            </w:r>
            <w:r>
              <w:rPr>
                <w:spacing w:val="1"/>
                <w:sz w:val="18"/>
              </w:rPr>
              <w:t> </w:t>
            </w:r>
            <w:r>
              <w:rPr>
                <w:sz w:val="18"/>
              </w:rPr>
              <w:t>500</w:t>
            </w:r>
            <w:r>
              <w:rPr>
                <w:spacing w:val="-3"/>
                <w:sz w:val="18"/>
              </w:rPr>
              <w:t> </w:t>
            </w:r>
            <w:r>
              <w:rPr>
                <w:spacing w:val="-5"/>
                <w:sz w:val="18"/>
              </w:rPr>
              <w:t>000</w:t>
            </w:r>
          </w:p>
        </w:tc>
        <w:tc>
          <w:tcPr>
            <w:tcW w:w="1906" w:type="dxa"/>
            <w:vMerge/>
            <w:tcBorders>
              <w:top w:val="nil"/>
            </w:tcBorders>
          </w:tcPr>
          <w:p>
            <w:pPr>
              <w:rPr>
                <w:sz w:val="2"/>
                <w:szCs w:val="2"/>
              </w:rPr>
            </w:pPr>
          </w:p>
        </w:tc>
      </w:tr>
      <w:tr>
        <w:trPr>
          <w:trHeight w:val="1142" w:hRule="atLeast"/>
        </w:trPr>
        <w:tc>
          <w:tcPr>
            <w:tcW w:w="2689" w:type="dxa"/>
          </w:tcPr>
          <w:p>
            <w:pPr>
              <w:pStyle w:val="TableParagraph"/>
              <w:spacing w:before="52"/>
              <w:ind w:left="72" w:right="60"/>
              <w:rPr>
                <w:sz w:val="18"/>
              </w:rPr>
            </w:pPr>
            <w:r>
              <w:rPr>
                <w:b/>
                <w:sz w:val="18"/>
              </w:rPr>
              <w:t>Actividad PEC 3.11.4: </w:t>
            </w:r>
            <w:r>
              <w:rPr>
                <w:sz w:val="18"/>
              </w:rPr>
              <w:t>Gestionar los mantenimientos de equipo necesarios para la operación</w:t>
            </w:r>
            <w:r>
              <w:rPr>
                <w:spacing w:val="-12"/>
                <w:sz w:val="18"/>
              </w:rPr>
              <w:t> </w:t>
            </w:r>
            <w:r>
              <w:rPr>
                <w:sz w:val="18"/>
              </w:rPr>
              <w:t>del</w:t>
            </w:r>
            <w:r>
              <w:rPr>
                <w:spacing w:val="-13"/>
                <w:sz w:val="18"/>
              </w:rPr>
              <w:t> </w:t>
            </w:r>
            <w:r>
              <w:rPr>
                <w:sz w:val="18"/>
              </w:rPr>
              <w:t>negocio</w:t>
            </w:r>
            <w:r>
              <w:rPr>
                <w:spacing w:val="-11"/>
                <w:sz w:val="18"/>
              </w:rPr>
              <w:t> </w:t>
            </w:r>
            <w:r>
              <w:rPr>
                <w:sz w:val="18"/>
              </w:rPr>
              <w:t>(Partidas 1.08.08 y 1.08.99)</w:t>
            </w:r>
          </w:p>
        </w:tc>
        <w:tc>
          <w:tcPr>
            <w:tcW w:w="1988" w:type="dxa"/>
          </w:tcPr>
          <w:p>
            <w:pPr>
              <w:pStyle w:val="TableParagraph"/>
              <w:rPr>
                <w:b/>
                <w:sz w:val="18"/>
              </w:rPr>
            </w:pPr>
          </w:p>
          <w:p>
            <w:pPr>
              <w:pStyle w:val="TableParagraph"/>
              <w:spacing w:before="51"/>
              <w:rPr>
                <w:b/>
                <w:sz w:val="18"/>
              </w:rPr>
            </w:pPr>
          </w:p>
          <w:p>
            <w:pPr>
              <w:pStyle w:val="TableParagraph"/>
              <w:ind w:left="20" w:right="8"/>
              <w:jc w:val="center"/>
              <w:rPr>
                <w:sz w:val="18"/>
              </w:rPr>
            </w:pPr>
            <w:r>
              <w:rPr>
                <w:spacing w:val="-4"/>
                <w:sz w:val="18"/>
              </w:rPr>
              <w:t>100%</w:t>
            </w:r>
          </w:p>
        </w:tc>
        <w:tc>
          <w:tcPr>
            <w:tcW w:w="1844" w:type="dxa"/>
          </w:tcPr>
          <w:p>
            <w:pPr>
              <w:pStyle w:val="TableParagraph"/>
              <w:rPr>
                <w:b/>
                <w:sz w:val="18"/>
              </w:rPr>
            </w:pPr>
          </w:p>
          <w:p>
            <w:pPr>
              <w:pStyle w:val="TableParagraph"/>
              <w:spacing w:before="51"/>
              <w:rPr>
                <w:b/>
                <w:sz w:val="18"/>
              </w:rPr>
            </w:pPr>
          </w:p>
          <w:p>
            <w:pPr>
              <w:pStyle w:val="TableParagraph"/>
              <w:ind w:left="9" w:right="7"/>
              <w:jc w:val="center"/>
              <w:rPr>
                <w:sz w:val="18"/>
              </w:rPr>
            </w:pPr>
            <w:r>
              <w:rPr>
                <w:spacing w:val="-4"/>
                <w:sz w:val="18"/>
              </w:rPr>
              <w:t>100%</w:t>
            </w:r>
          </w:p>
        </w:tc>
        <w:tc>
          <w:tcPr>
            <w:tcW w:w="1839" w:type="dxa"/>
          </w:tcPr>
          <w:p>
            <w:pPr>
              <w:pStyle w:val="TableParagraph"/>
              <w:spacing w:before="51"/>
              <w:rPr>
                <w:b/>
                <w:sz w:val="18"/>
              </w:rPr>
            </w:pPr>
          </w:p>
          <w:p>
            <w:pPr>
              <w:pStyle w:val="TableParagraph"/>
              <w:spacing w:line="242" w:lineRule="auto"/>
              <w:ind w:left="282" w:right="267" w:hanging="10"/>
              <w:jc w:val="center"/>
              <w:rPr>
                <w:sz w:val="18"/>
              </w:rPr>
            </w:pPr>
            <w:r>
              <w:rPr>
                <w:sz w:val="18"/>
              </w:rPr>
              <w:t>Porcentaje de </w:t>
            </w:r>
            <w:r>
              <w:rPr>
                <w:spacing w:val="-2"/>
                <w:sz w:val="18"/>
              </w:rPr>
              <w:t>mantenimientos gestionados</w:t>
            </w:r>
          </w:p>
        </w:tc>
        <w:tc>
          <w:tcPr>
            <w:tcW w:w="1421" w:type="dxa"/>
          </w:tcPr>
          <w:p>
            <w:pPr>
              <w:pStyle w:val="TableParagraph"/>
              <w:spacing w:before="157"/>
              <w:rPr>
                <w:b/>
                <w:sz w:val="18"/>
              </w:rPr>
            </w:pPr>
          </w:p>
          <w:p>
            <w:pPr>
              <w:pStyle w:val="TableParagraph"/>
              <w:ind w:left="71"/>
              <w:rPr>
                <w:sz w:val="18"/>
              </w:rPr>
            </w:pPr>
            <w:r>
              <w:rPr>
                <w:spacing w:val="-2"/>
                <w:sz w:val="18"/>
              </w:rPr>
              <w:t>Informe Trimestral</w:t>
            </w:r>
          </w:p>
        </w:tc>
        <w:tc>
          <w:tcPr>
            <w:tcW w:w="1277" w:type="dxa"/>
          </w:tcPr>
          <w:p>
            <w:pPr>
              <w:pStyle w:val="TableParagraph"/>
              <w:spacing w:before="51"/>
              <w:rPr>
                <w:b/>
                <w:sz w:val="18"/>
              </w:rPr>
            </w:pPr>
          </w:p>
          <w:p>
            <w:pPr>
              <w:pStyle w:val="TableParagraph"/>
              <w:spacing w:line="242" w:lineRule="auto"/>
              <w:ind w:left="71"/>
              <w:rPr>
                <w:sz w:val="18"/>
              </w:rPr>
            </w:pPr>
            <w:r>
              <w:rPr>
                <w:sz w:val="18"/>
              </w:rPr>
              <w:t>Jefatura de Logística e </w:t>
            </w:r>
            <w:r>
              <w:rPr>
                <w:spacing w:val="-2"/>
                <w:sz w:val="18"/>
              </w:rPr>
              <w:t>Importaciones</w:t>
            </w:r>
          </w:p>
        </w:tc>
        <w:tc>
          <w:tcPr>
            <w:tcW w:w="1268" w:type="dxa"/>
          </w:tcPr>
          <w:p>
            <w:pPr>
              <w:pStyle w:val="TableParagraph"/>
              <w:rPr>
                <w:b/>
                <w:sz w:val="18"/>
              </w:rPr>
            </w:pPr>
          </w:p>
          <w:p>
            <w:pPr>
              <w:pStyle w:val="TableParagraph"/>
              <w:spacing w:before="51"/>
              <w:rPr>
                <w:b/>
                <w:sz w:val="18"/>
              </w:rPr>
            </w:pPr>
          </w:p>
          <w:p>
            <w:pPr>
              <w:pStyle w:val="TableParagraph"/>
              <w:ind w:left="13" w:right="5"/>
              <w:jc w:val="center"/>
              <w:rPr>
                <w:sz w:val="18"/>
              </w:rPr>
            </w:pPr>
            <w:r>
              <w:rPr>
                <w:sz w:val="18"/>
              </w:rPr>
              <w:t>₡89</w:t>
            </w:r>
            <w:r>
              <w:rPr>
                <w:spacing w:val="1"/>
                <w:sz w:val="18"/>
              </w:rPr>
              <w:t> </w:t>
            </w:r>
            <w:r>
              <w:rPr>
                <w:sz w:val="18"/>
              </w:rPr>
              <w:t>500</w:t>
            </w:r>
            <w:r>
              <w:rPr>
                <w:spacing w:val="-3"/>
                <w:sz w:val="18"/>
              </w:rPr>
              <w:t> </w:t>
            </w:r>
            <w:r>
              <w:rPr>
                <w:spacing w:val="-5"/>
                <w:sz w:val="18"/>
              </w:rPr>
              <w:t>000</w:t>
            </w:r>
          </w:p>
        </w:tc>
        <w:tc>
          <w:tcPr>
            <w:tcW w:w="1906" w:type="dxa"/>
            <w:vMerge/>
            <w:tcBorders>
              <w:top w:val="nil"/>
            </w:tcBorders>
          </w:tcPr>
          <w:p>
            <w:pPr>
              <w:rPr>
                <w:sz w:val="2"/>
                <w:szCs w:val="2"/>
              </w:rPr>
            </w:pPr>
          </w:p>
        </w:tc>
      </w:tr>
      <w:tr>
        <w:trPr>
          <w:trHeight w:val="657" w:hRule="atLeast"/>
        </w:trPr>
        <w:tc>
          <w:tcPr>
            <w:tcW w:w="2689" w:type="dxa"/>
          </w:tcPr>
          <w:p>
            <w:pPr>
              <w:pStyle w:val="TableParagraph"/>
              <w:spacing w:line="244" w:lineRule="auto" w:before="119"/>
              <w:ind w:left="72"/>
              <w:rPr>
                <w:sz w:val="18"/>
              </w:rPr>
            </w:pPr>
            <w:r>
              <w:rPr>
                <w:b/>
                <w:sz w:val="18"/>
              </w:rPr>
              <w:t>Actividad</w:t>
            </w:r>
            <w:r>
              <w:rPr>
                <w:b/>
                <w:spacing w:val="-13"/>
                <w:sz w:val="18"/>
              </w:rPr>
              <w:t> </w:t>
            </w:r>
            <w:r>
              <w:rPr>
                <w:b/>
                <w:sz w:val="18"/>
              </w:rPr>
              <w:t>PEC</w:t>
            </w:r>
            <w:r>
              <w:rPr>
                <w:b/>
                <w:spacing w:val="-12"/>
                <w:sz w:val="18"/>
              </w:rPr>
              <w:t> </w:t>
            </w:r>
            <w:r>
              <w:rPr>
                <w:b/>
                <w:sz w:val="18"/>
              </w:rPr>
              <w:t>3.11.5:</w:t>
            </w:r>
            <w:r>
              <w:rPr>
                <w:b/>
                <w:spacing w:val="-7"/>
                <w:sz w:val="18"/>
              </w:rPr>
              <w:t> </w:t>
            </w:r>
            <w:r>
              <w:rPr>
                <w:sz w:val="18"/>
              </w:rPr>
              <w:t>Estudio salarial 1.04.04</w:t>
            </w:r>
          </w:p>
        </w:tc>
        <w:tc>
          <w:tcPr>
            <w:tcW w:w="1988" w:type="dxa"/>
          </w:tcPr>
          <w:p>
            <w:pPr>
              <w:pStyle w:val="TableParagraph"/>
              <w:spacing w:before="17"/>
              <w:rPr>
                <w:b/>
                <w:sz w:val="18"/>
              </w:rPr>
            </w:pPr>
          </w:p>
          <w:p>
            <w:pPr>
              <w:pStyle w:val="TableParagraph"/>
              <w:spacing w:before="1"/>
              <w:ind w:left="20" w:right="4"/>
              <w:jc w:val="center"/>
              <w:rPr>
                <w:sz w:val="18"/>
              </w:rPr>
            </w:pPr>
            <w:r>
              <w:rPr>
                <w:spacing w:val="-5"/>
                <w:sz w:val="18"/>
              </w:rPr>
              <w:t>N/D</w:t>
            </w:r>
          </w:p>
        </w:tc>
        <w:tc>
          <w:tcPr>
            <w:tcW w:w="1844" w:type="dxa"/>
          </w:tcPr>
          <w:p>
            <w:pPr>
              <w:pStyle w:val="TableParagraph"/>
              <w:spacing w:before="17"/>
              <w:rPr>
                <w:b/>
                <w:sz w:val="18"/>
              </w:rPr>
            </w:pPr>
          </w:p>
          <w:p>
            <w:pPr>
              <w:pStyle w:val="TableParagraph"/>
              <w:spacing w:before="1"/>
              <w:ind w:left="9" w:right="4"/>
              <w:jc w:val="center"/>
              <w:rPr>
                <w:sz w:val="18"/>
              </w:rPr>
            </w:pPr>
            <w:r>
              <w:rPr>
                <w:spacing w:val="-10"/>
                <w:sz w:val="18"/>
              </w:rPr>
              <w:t>1</w:t>
            </w:r>
          </w:p>
        </w:tc>
        <w:tc>
          <w:tcPr>
            <w:tcW w:w="1839" w:type="dxa"/>
          </w:tcPr>
          <w:p>
            <w:pPr>
              <w:pStyle w:val="TableParagraph"/>
              <w:spacing w:line="244" w:lineRule="auto" w:before="119"/>
              <w:ind w:left="508" w:hanging="438"/>
              <w:rPr>
                <w:sz w:val="18"/>
              </w:rPr>
            </w:pPr>
            <w:r>
              <w:rPr>
                <w:sz w:val="18"/>
              </w:rPr>
              <w:t>Cantidad</w:t>
            </w:r>
            <w:r>
              <w:rPr>
                <w:spacing w:val="-15"/>
                <w:sz w:val="18"/>
              </w:rPr>
              <w:t> </w:t>
            </w:r>
            <w:r>
              <w:rPr>
                <w:sz w:val="18"/>
              </w:rPr>
              <w:t>de</w:t>
            </w:r>
            <w:r>
              <w:rPr>
                <w:spacing w:val="-12"/>
                <w:sz w:val="18"/>
              </w:rPr>
              <w:t> </w:t>
            </w:r>
            <w:r>
              <w:rPr>
                <w:sz w:val="18"/>
              </w:rPr>
              <w:t>estudios </w:t>
            </w:r>
            <w:r>
              <w:rPr>
                <w:spacing w:val="-2"/>
                <w:sz w:val="18"/>
              </w:rPr>
              <w:t>realizados</w:t>
            </w:r>
          </w:p>
        </w:tc>
        <w:tc>
          <w:tcPr>
            <w:tcW w:w="1421" w:type="dxa"/>
          </w:tcPr>
          <w:p>
            <w:pPr>
              <w:pStyle w:val="TableParagraph"/>
              <w:spacing w:before="17"/>
              <w:rPr>
                <w:b/>
                <w:sz w:val="18"/>
              </w:rPr>
            </w:pPr>
          </w:p>
          <w:p>
            <w:pPr>
              <w:pStyle w:val="TableParagraph"/>
              <w:spacing w:before="1"/>
              <w:ind w:left="71"/>
              <w:rPr>
                <w:sz w:val="18"/>
              </w:rPr>
            </w:pPr>
            <w:r>
              <w:rPr>
                <w:sz w:val="18"/>
              </w:rPr>
              <w:t>Estudio</w:t>
            </w:r>
            <w:r>
              <w:rPr>
                <w:spacing w:val="-3"/>
                <w:sz w:val="18"/>
              </w:rPr>
              <w:t> </w:t>
            </w:r>
            <w:r>
              <w:rPr>
                <w:spacing w:val="-2"/>
                <w:sz w:val="18"/>
              </w:rPr>
              <w:t>salarial</w:t>
            </w:r>
          </w:p>
        </w:tc>
        <w:tc>
          <w:tcPr>
            <w:tcW w:w="1277" w:type="dxa"/>
          </w:tcPr>
          <w:p>
            <w:pPr>
              <w:pStyle w:val="TableParagraph"/>
              <w:spacing w:line="244" w:lineRule="auto" w:before="119"/>
              <w:ind w:left="71" w:right="61"/>
              <w:rPr>
                <w:sz w:val="18"/>
              </w:rPr>
            </w:pPr>
            <w:r>
              <w:rPr>
                <w:spacing w:val="-2"/>
                <w:sz w:val="18"/>
              </w:rPr>
              <w:t>Administració </w:t>
            </w:r>
            <w:r>
              <w:rPr>
                <w:sz w:val="18"/>
              </w:rPr>
              <w:t>n General</w:t>
            </w:r>
          </w:p>
        </w:tc>
        <w:tc>
          <w:tcPr>
            <w:tcW w:w="1268" w:type="dxa"/>
          </w:tcPr>
          <w:p>
            <w:pPr>
              <w:pStyle w:val="TableParagraph"/>
              <w:spacing w:before="17"/>
              <w:rPr>
                <w:b/>
                <w:sz w:val="18"/>
              </w:rPr>
            </w:pPr>
          </w:p>
          <w:p>
            <w:pPr>
              <w:pStyle w:val="TableParagraph"/>
              <w:spacing w:before="1"/>
              <w:ind w:left="13"/>
              <w:jc w:val="center"/>
              <w:rPr>
                <w:sz w:val="18"/>
              </w:rPr>
            </w:pPr>
            <w:r>
              <w:rPr>
                <w:sz w:val="18"/>
              </w:rPr>
              <w:t>₡2</w:t>
            </w:r>
            <w:r>
              <w:rPr>
                <w:spacing w:val="1"/>
                <w:sz w:val="18"/>
              </w:rPr>
              <w:t> </w:t>
            </w:r>
            <w:r>
              <w:rPr>
                <w:sz w:val="18"/>
              </w:rPr>
              <w:t>500</w:t>
            </w:r>
            <w:r>
              <w:rPr>
                <w:spacing w:val="-3"/>
                <w:sz w:val="18"/>
              </w:rPr>
              <w:t> </w:t>
            </w:r>
            <w:r>
              <w:rPr>
                <w:spacing w:val="-5"/>
                <w:sz w:val="18"/>
              </w:rPr>
              <w:t>000</w:t>
            </w:r>
          </w:p>
        </w:tc>
        <w:tc>
          <w:tcPr>
            <w:tcW w:w="1906" w:type="dxa"/>
            <w:vMerge/>
            <w:tcBorders>
              <w:top w:val="nil"/>
            </w:tcBorders>
          </w:tcPr>
          <w:p>
            <w:pPr>
              <w:rPr>
                <w:sz w:val="2"/>
                <w:szCs w:val="2"/>
              </w:rPr>
            </w:pPr>
          </w:p>
        </w:tc>
      </w:tr>
      <w:tr>
        <w:trPr>
          <w:trHeight w:val="1655" w:hRule="atLeast"/>
        </w:trPr>
        <w:tc>
          <w:tcPr>
            <w:tcW w:w="2689"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72"/>
              <w:rPr>
                <w:sz w:val="18"/>
              </w:rPr>
            </w:pPr>
            <w:r>
              <w:rPr>
                <w:b/>
                <w:sz w:val="18"/>
              </w:rPr>
              <w:t>Actividad</w:t>
            </w:r>
            <w:r>
              <w:rPr>
                <w:b/>
                <w:spacing w:val="-12"/>
                <w:sz w:val="18"/>
              </w:rPr>
              <w:t> </w:t>
            </w:r>
            <w:r>
              <w:rPr>
                <w:b/>
                <w:sz w:val="18"/>
              </w:rPr>
              <w:t>PEC</w:t>
            </w:r>
            <w:r>
              <w:rPr>
                <w:b/>
                <w:spacing w:val="-9"/>
                <w:sz w:val="18"/>
              </w:rPr>
              <w:t> </w:t>
            </w:r>
            <w:r>
              <w:rPr>
                <w:b/>
                <w:sz w:val="18"/>
              </w:rPr>
              <w:t>3.11.6:</w:t>
            </w:r>
            <w:r>
              <w:rPr>
                <w:b/>
                <w:spacing w:val="36"/>
                <w:sz w:val="18"/>
              </w:rPr>
              <w:t> </w:t>
            </w:r>
            <w:r>
              <w:rPr>
                <w:sz w:val="18"/>
              </w:rPr>
              <w:t>Toma física de inventarios 1.04.04</w:t>
            </w:r>
          </w:p>
        </w:tc>
        <w:tc>
          <w:tcPr>
            <w:tcW w:w="1988"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0" w:right="4"/>
              <w:jc w:val="center"/>
              <w:rPr>
                <w:sz w:val="18"/>
              </w:rPr>
            </w:pPr>
            <w:r>
              <w:rPr>
                <w:spacing w:val="-5"/>
                <w:sz w:val="18"/>
              </w:rPr>
              <w:t>N/D</w:t>
            </w:r>
          </w:p>
        </w:tc>
        <w:tc>
          <w:tcPr>
            <w:tcW w:w="184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9" w:right="4"/>
              <w:jc w:val="center"/>
              <w:rPr>
                <w:sz w:val="18"/>
              </w:rPr>
            </w:pPr>
            <w:r>
              <w:rPr>
                <w:spacing w:val="-10"/>
                <w:sz w:val="18"/>
              </w:rPr>
              <w:t>3</w:t>
            </w:r>
          </w:p>
        </w:tc>
        <w:tc>
          <w:tcPr>
            <w:tcW w:w="1839"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508" w:right="123" w:hanging="346"/>
              <w:rPr>
                <w:sz w:val="18"/>
              </w:rPr>
            </w:pPr>
            <w:r>
              <w:rPr>
                <w:sz w:val="18"/>
              </w:rPr>
              <w:t>Cantidad</w:t>
            </w:r>
            <w:r>
              <w:rPr>
                <w:spacing w:val="-15"/>
                <w:sz w:val="18"/>
              </w:rPr>
              <w:t> </w:t>
            </w:r>
            <w:r>
              <w:rPr>
                <w:sz w:val="18"/>
              </w:rPr>
              <w:t>de</w:t>
            </w:r>
            <w:r>
              <w:rPr>
                <w:spacing w:val="-12"/>
                <w:sz w:val="18"/>
              </w:rPr>
              <w:t> </w:t>
            </w:r>
            <w:r>
              <w:rPr>
                <w:sz w:val="18"/>
              </w:rPr>
              <w:t>tomas </w:t>
            </w:r>
            <w:r>
              <w:rPr>
                <w:spacing w:val="-2"/>
                <w:sz w:val="18"/>
              </w:rPr>
              <w:t>realizadas</w:t>
            </w:r>
          </w:p>
        </w:tc>
        <w:tc>
          <w:tcPr>
            <w:tcW w:w="1421" w:type="dxa"/>
          </w:tcPr>
          <w:p>
            <w:pPr>
              <w:pStyle w:val="TableParagraph"/>
              <w:rPr>
                <w:rFonts w:ascii="Times New Roman"/>
                <w:sz w:val="18"/>
              </w:rPr>
            </w:pPr>
          </w:p>
        </w:tc>
        <w:tc>
          <w:tcPr>
            <w:tcW w:w="1277" w:type="dxa"/>
          </w:tcPr>
          <w:p>
            <w:pPr>
              <w:pStyle w:val="TableParagraph"/>
              <w:ind w:left="71" w:right="61"/>
              <w:rPr>
                <w:sz w:val="18"/>
              </w:rPr>
            </w:pPr>
            <w:r>
              <w:rPr>
                <w:spacing w:val="-2"/>
                <w:sz w:val="18"/>
              </w:rPr>
              <w:t>Administració </w:t>
            </w:r>
            <w:r>
              <w:rPr>
                <w:sz w:val="18"/>
              </w:rPr>
              <w:t>n General, Jefatura de Mercadeo y Ventas y Jefatura de</w:t>
            </w:r>
          </w:p>
          <w:p>
            <w:pPr>
              <w:pStyle w:val="TableParagraph"/>
              <w:spacing w:line="206" w:lineRule="exact"/>
              <w:ind w:left="71"/>
              <w:rPr>
                <w:sz w:val="18"/>
              </w:rPr>
            </w:pPr>
            <w:r>
              <w:rPr>
                <w:sz w:val="18"/>
              </w:rPr>
              <w:t>Logística e </w:t>
            </w:r>
            <w:r>
              <w:rPr>
                <w:spacing w:val="-2"/>
                <w:sz w:val="18"/>
              </w:rPr>
              <w:t>Importaciones</w:t>
            </w:r>
          </w:p>
        </w:tc>
        <w:tc>
          <w:tcPr>
            <w:tcW w:w="1268"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3" w:right="5"/>
              <w:jc w:val="center"/>
              <w:rPr>
                <w:sz w:val="18"/>
              </w:rPr>
            </w:pPr>
            <w:r>
              <w:rPr>
                <w:sz w:val="18"/>
              </w:rPr>
              <w:t>₡35</w:t>
            </w:r>
            <w:r>
              <w:rPr>
                <w:spacing w:val="1"/>
                <w:sz w:val="18"/>
              </w:rPr>
              <w:t> </w:t>
            </w:r>
            <w:r>
              <w:rPr>
                <w:sz w:val="18"/>
              </w:rPr>
              <w:t>000</w:t>
            </w:r>
            <w:r>
              <w:rPr>
                <w:spacing w:val="-3"/>
                <w:sz w:val="18"/>
              </w:rPr>
              <w:t> </w:t>
            </w:r>
            <w:r>
              <w:rPr>
                <w:spacing w:val="-5"/>
                <w:sz w:val="18"/>
              </w:rPr>
              <w:t>000</w:t>
            </w:r>
          </w:p>
        </w:tc>
        <w:tc>
          <w:tcPr>
            <w:tcW w:w="1906" w:type="dxa"/>
            <w:vMerge/>
            <w:tcBorders>
              <w:top w:val="nil"/>
            </w:tcBorders>
          </w:tcPr>
          <w:p>
            <w:pPr>
              <w:rPr>
                <w:sz w:val="2"/>
                <w:szCs w:val="2"/>
              </w:rPr>
            </w:pPr>
          </w:p>
        </w:tc>
      </w:tr>
    </w:tbl>
    <w:p>
      <w:pPr>
        <w:spacing w:after="0"/>
        <w:rPr>
          <w:sz w:val="2"/>
          <w:szCs w:val="2"/>
        </w:rPr>
        <w:sectPr>
          <w:type w:val="continuous"/>
          <w:pgSz w:w="15840" w:h="12240" w:orient="landscape"/>
          <w:pgMar w:header="0" w:footer="1806" w:top="700" w:bottom="2320" w:left="360" w:right="360"/>
        </w:sectPr>
      </w:pPr>
    </w:p>
    <w:p>
      <w:pPr>
        <w:pStyle w:val="BodyText"/>
        <w:spacing w:before="169"/>
        <w:rPr>
          <w:b/>
          <w:sz w:val="24"/>
        </w:rPr>
      </w:pPr>
    </w:p>
    <w:p>
      <w:pPr>
        <w:pStyle w:val="Heading1"/>
        <w:numPr>
          <w:ilvl w:val="1"/>
          <w:numId w:val="5"/>
        </w:numPr>
        <w:tabs>
          <w:tab w:pos="1625" w:val="left" w:leader="none"/>
        </w:tabs>
        <w:spacing w:line="240" w:lineRule="auto" w:before="0" w:after="0"/>
        <w:ind w:left="1625" w:right="0" w:hanging="401"/>
        <w:jc w:val="left"/>
      </w:pPr>
      <w:bookmarkStart w:name="_bookmark66" w:id="67"/>
      <w:bookmarkEnd w:id="67"/>
      <w:r>
        <w:rPr>
          <w:b w:val="0"/>
        </w:rPr>
      </w:r>
      <w:r>
        <w:rPr/>
        <w:t>Matriz</w:t>
      </w:r>
      <w:r>
        <w:rPr>
          <w:spacing w:val="-9"/>
        </w:rPr>
        <w:t> </w:t>
      </w:r>
      <w:r>
        <w:rPr/>
        <w:t>de</w:t>
      </w:r>
      <w:r>
        <w:rPr>
          <w:spacing w:val="-10"/>
        </w:rPr>
        <w:t> </w:t>
      </w:r>
      <w:r>
        <w:rPr/>
        <w:t>Trimestralización</w:t>
      </w:r>
      <w:r>
        <w:rPr>
          <w:spacing w:val="-5"/>
        </w:rPr>
        <w:t> </w:t>
      </w:r>
      <w:r>
        <w:rPr/>
        <w:t>del</w:t>
      </w:r>
      <w:r>
        <w:rPr>
          <w:spacing w:val="-6"/>
        </w:rPr>
        <w:t> </w:t>
      </w:r>
      <w:r>
        <w:rPr/>
        <w:t>Programa</w:t>
      </w:r>
      <w:r>
        <w:rPr>
          <w:spacing w:val="-7"/>
        </w:rPr>
        <w:t> </w:t>
      </w:r>
      <w:r>
        <w:rPr/>
        <w:t>Empresas</w:t>
      </w:r>
      <w:r>
        <w:rPr>
          <w:spacing w:val="-6"/>
        </w:rPr>
        <w:t> </w:t>
      </w:r>
      <w:r>
        <w:rPr>
          <w:spacing w:val="-2"/>
        </w:rPr>
        <w:t>Comerciales</w:t>
      </w:r>
    </w:p>
    <w:p>
      <w:pPr>
        <w:pStyle w:val="BodyText"/>
        <w:rPr>
          <w:b/>
          <w:sz w:val="20"/>
        </w:rPr>
      </w:pPr>
    </w:p>
    <w:p>
      <w:pPr>
        <w:pStyle w:val="BodyText"/>
        <w:spacing w:before="89"/>
        <w:rPr>
          <w:b/>
          <w:sz w:val="20"/>
        </w:r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6"/>
        <w:gridCol w:w="1531"/>
        <w:gridCol w:w="1387"/>
        <w:gridCol w:w="1315"/>
        <w:gridCol w:w="1387"/>
        <w:gridCol w:w="1392"/>
        <w:gridCol w:w="1512"/>
        <w:gridCol w:w="1364"/>
        <w:gridCol w:w="1484"/>
        <w:gridCol w:w="1484"/>
      </w:tblGrid>
      <w:tr>
        <w:trPr>
          <w:trHeight w:val="302" w:hRule="atLeast"/>
        </w:trPr>
        <w:tc>
          <w:tcPr>
            <w:tcW w:w="1536" w:type="dxa"/>
            <w:vMerge w:val="restart"/>
            <w:shd w:val="clear" w:color="auto" w:fill="D7D7D7"/>
          </w:tcPr>
          <w:p>
            <w:pPr>
              <w:pStyle w:val="TableParagraph"/>
              <w:spacing w:before="51"/>
              <w:rPr>
                <w:b/>
                <w:sz w:val="18"/>
              </w:rPr>
            </w:pPr>
          </w:p>
          <w:p>
            <w:pPr>
              <w:pStyle w:val="TableParagraph"/>
              <w:ind w:left="283" w:firstLine="24"/>
              <w:rPr>
                <w:b/>
                <w:sz w:val="18"/>
              </w:rPr>
            </w:pPr>
            <w:r>
              <w:rPr>
                <w:b/>
                <w:sz w:val="18"/>
              </w:rPr>
              <w:t>Objetivos</w:t>
            </w:r>
            <w:r>
              <w:rPr>
                <w:b/>
                <w:spacing w:val="-7"/>
                <w:sz w:val="18"/>
              </w:rPr>
              <w:t> </w:t>
            </w:r>
            <w:r>
              <w:rPr>
                <w:b/>
                <w:sz w:val="18"/>
              </w:rPr>
              <w:t>/ </w:t>
            </w:r>
            <w:r>
              <w:rPr>
                <w:b/>
                <w:spacing w:val="-2"/>
                <w:sz w:val="18"/>
              </w:rPr>
              <w:t>Resultados</w:t>
            </w:r>
          </w:p>
        </w:tc>
        <w:tc>
          <w:tcPr>
            <w:tcW w:w="1531" w:type="dxa"/>
            <w:vMerge w:val="restart"/>
            <w:shd w:val="clear" w:color="auto" w:fill="D7D7D7"/>
          </w:tcPr>
          <w:p>
            <w:pPr>
              <w:pStyle w:val="TableParagraph"/>
              <w:spacing w:before="152"/>
              <w:rPr>
                <w:b/>
                <w:sz w:val="18"/>
              </w:rPr>
            </w:pPr>
          </w:p>
          <w:p>
            <w:pPr>
              <w:pStyle w:val="TableParagraph"/>
              <w:ind w:left="355"/>
              <w:rPr>
                <w:b/>
                <w:sz w:val="18"/>
              </w:rPr>
            </w:pPr>
            <w:r>
              <w:rPr>
                <w:b/>
                <w:spacing w:val="-2"/>
                <w:sz w:val="18"/>
              </w:rPr>
              <w:t>Indicador</w:t>
            </w:r>
          </w:p>
        </w:tc>
        <w:tc>
          <w:tcPr>
            <w:tcW w:w="2702" w:type="dxa"/>
            <w:gridSpan w:val="2"/>
            <w:shd w:val="clear" w:color="auto" w:fill="D7D7D7"/>
          </w:tcPr>
          <w:p>
            <w:pPr>
              <w:pStyle w:val="TableParagraph"/>
              <w:spacing w:before="47"/>
              <w:ind w:left="889"/>
              <w:rPr>
                <w:b/>
                <w:sz w:val="18"/>
              </w:rPr>
            </w:pPr>
            <w:r>
              <w:rPr>
                <w:b/>
                <w:sz w:val="18"/>
              </w:rPr>
              <w:t>I</w:t>
            </w:r>
            <w:r>
              <w:rPr>
                <w:b/>
                <w:spacing w:val="-1"/>
                <w:sz w:val="18"/>
              </w:rPr>
              <w:t> </w:t>
            </w:r>
            <w:r>
              <w:rPr>
                <w:b/>
                <w:spacing w:val="-2"/>
                <w:sz w:val="18"/>
              </w:rPr>
              <w:t>Trimestre</w:t>
            </w:r>
          </w:p>
        </w:tc>
        <w:tc>
          <w:tcPr>
            <w:tcW w:w="2779" w:type="dxa"/>
            <w:gridSpan w:val="2"/>
            <w:shd w:val="clear" w:color="auto" w:fill="D7D7D7"/>
          </w:tcPr>
          <w:p>
            <w:pPr>
              <w:pStyle w:val="TableParagraph"/>
              <w:spacing w:before="47"/>
              <w:ind w:left="904"/>
              <w:rPr>
                <w:b/>
                <w:sz w:val="18"/>
              </w:rPr>
            </w:pPr>
            <w:r>
              <w:rPr>
                <w:b/>
                <w:sz w:val="18"/>
              </w:rPr>
              <w:t>II</w:t>
            </w:r>
            <w:r>
              <w:rPr>
                <w:b/>
                <w:spacing w:val="-3"/>
                <w:sz w:val="18"/>
              </w:rPr>
              <w:t> </w:t>
            </w:r>
            <w:r>
              <w:rPr>
                <w:b/>
                <w:spacing w:val="-2"/>
                <w:sz w:val="18"/>
              </w:rPr>
              <w:t>Trimestre</w:t>
            </w:r>
          </w:p>
        </w:tc>
        <w:tc>
          <w:tcPr>
            <w:tcW w:w="2876" w:type="dxa"/>
            <w:gridSpan w:val="2"/>
            <w:shd w:val="clear" w:color="auto" w:fill="D7D7D7"/>
          </w:tcPr>
          <w:p>
            <w:pPr>
              <w:pStyle w:val="TableParagraph"/>
              <w:spacing w:before="47"/>
              <w:ind w:left="925"/>
              <w:rPr>
                <w:b/>
                <w:sz w:val="18"/>
              </w:rPr>
            </w:pPr>
            <w:r>
              <w:rPr>
                <w:b/>
                <w:sz w:val="18"/>
              </w:rPr>
              <w:t>III</w:t>
            </w:r>
            <w:r>
              <w:rPr>
                <w:b/>
                <w:spacing w:val="-2"/>
                <w:sz w:val="18"/>
              </w:rPr>
              <w:t> Trimestre</w:t>
            </w:r>
          </w:p>
        </w:tc>
        <w:tc>
          <w:tcPr>
            <w:tcW w:w="2968" w:type="dxa"/>
            <w:gridSpan w:val="2"/>
            <w:shd w:val="clear" w:color="auto" w:fill="D7D7D7"/>
          </w:tcPr>
          <w:p>
            <w:pPr>
              <w:pStyle w:val="TableParagraph"/>
              <w:spacing w:before="47"/>
              <w:ind w:left="963"/>
              <w:rPr>
                <w:b/>
                <w:sz w:val="18"/>
              </w:rPr>
            </w:pPr>
            <w:r>
              <w:rPr>
                <w:b/>
                <w:sz w:val="18"/>
              </w:rPr>
              <w:t>IV</w:t>
            </w:r>
            <w:r>
              <w:rPr>
                <w:b/>
                <w:spacing w:val="-2"/>
                <w:sz w:val="18"/>
              </w:rPr>
              <w:t> Trimestre</w:t>
            </w:r>
          </w:p>
        </w:tc>
      </w:tr>
      <w:tr>
        <w:trPr>
          <w:trHeight w:val="613" w:hRule="atLeast"/>
        </w:trPr>
        <w:tc>
          <w:tcPr>
            <w:tcW w:w="1536" w:type="dxa"/>
            <w:vMerge/>
            <w:tcBorders>
              <w:top w:val="nil"/>
            </w:tcBorders>
            <w:shd w:val="clear" w:color="auto" w:fill="D7D7D7"/>
          </w:tcPr>
          <w:p>
            <w:pPr>
              <w:rPr>
                <w:sz w:val="2"/>
                <w:szCs w:val="2"/>
              </w:rPr>
            </w:pPr>
          </w:p>
        </w:tc>
        <w:tc>
          <w:tcPr>
            <w:tcW w:w="1531" w:type="dxa"/>
            <w:vMerge/>
            <w:tcBorders>
              <w:top w:val="nil"/>
            </w:tcBorders>
            <w:shd w:val="clear" w:color="auto" w:fill="D7D7D7"/>
          </w:tcPr>
          <w:p>
            <w:pPr>
              <w:rPr>
                <w:sz w:val="2"/>
                <w:szCs w:val="2"/>
              </w:rPr>
            </w:pPr>
          </w:p>
        </w:tc>
        <w:tc>
          <w:tcPr>
            <w:tcW w:w="1387" w:type="dxa"/>
            <w:shd w:val="clear" w:color="auto" w:fill="D7D7D7"/>
          </w:tcPr>
          <w:p>
            <w:pPr>
              <w:pStyle w:val="TableParagraph"/>
              <w:spacing w:before="99"/>
              <w:ind w:left="173" w:firstLine="317"/>
              <w:rPr>
                <w:b/>
                <w:sz w:val="18"/>
              </w:rPr>
            </w:pPr>
            <w:r>
              <w:rPr>
                <w:b/>
                <w:spacing w:val="-4"/>
                <w:sz w:val="18"/>
              </w:rPr>
              <w:t>Meta </w:t>
            </w:r>
            <w:r>
              <w:rPr>
                <w:b/>
                <w:spacing w:val="-2"/>
                <w:sz w:val="18"/>
              </w:rPr>
              <w:t>programada</w:t>
            </w:r>
          </w:p>
        </w:tc>
        <w:tc>
          <w:tcPr>
            <w:tcW w:w="1315" w:type="dxa"/>
            <w:shd w:val="clear" w:color="auto" w:fill="D7D7D7"/>
          </w:tcPr>
          <w:p>
            <w:pPr>
              <w:pStyle w:val="TableParagraph"/>
              <w:spacing w:before="205"/>
              <w:ind w:left="9"/>
              <w:jc w:val="center"/>
              <w:rPr>
                <w:b/>
                <w:sz w:val="18"/>
              </w:rPr>
            </w:pPr>
            <w:r>
              <w:rPr>
                <w:b/>
                <w:spacing w:val="-10"/>
                <w:sz w:val="18"/>
              </w:rPr>
              <w:t>¢</w:t>
            </w:r>
          </w:p>
        </w:tc>
        <w:tc>
          <w:tcPr>
            <w:tcW w:w="1387" w:type="dxa"/>
            <w:shd w:val="clear" w:color="auto" w:fill="D7D7D7"/>
          </w:tcPr>
          <w:p>
            <w:pPr>
              <w:pStyle w:val="TableParagraph"/>
              <w:spacing w:before="99"/>
              <w:ind w:left="170" w:firstLine="316"/>
              <w:rPr>
                <w:b/>
                <w:sz w:val="18"/>
              </w:rPr>
            </w:pPr>
            <w:r>
              <w:rPr>
                <w:b/>
                <w:spacing w:val="-4"/>
                <w:sz w:val="18"/>
              </w:rPr>
              <w:t>Meta </w:t>
            </w:r>
            <w:r>
              <w:rPr>
                <w:b/>
                <w:spacing w:val="-2"/>
                <w:sz w:val="18"/>
              </w:rPr>
              <w:t>programada</w:t>
            </w:r>
          </w:p>
        </w:tc>
        <w:tc>
          <w:tcPr>
            <w:tcW w:w="1392" w:type="dxa"/>
            <w:shd w:val="clear" w:color="auto" w:fill="D7D7D7"/>
          </w:tcPr>
          <w:p>
            <w:pPr>
              <w:pStyle w:val="TableParagraph"/>
              <w:spacing w:before="205"/>
              <w:ind w:left="11"/>
              <w:jc w:val="center"/>
              <w:rPr>
                <w:b/>
                <w:sz w:val="18"/>
              </w:rPr>
            </w:pPr>
            <w:r>
              <w:rPr>
                <w:b/>
                <w:spacing w:val="-10"/>
                <w:sz w:val="18"/>
              </w:rPr>
              <w:t>¢</w:t>
            </w:r>
          </w:p>
        </w:tc>
        <w:tc>
          <w:tcPr>
            <w:tcW w:w="1512" w:type="dxa"/>
            <w:shd w:val="clear" w:color="auto" w:fill="D7D7D7"/>
          </w:tcPr>
          <w:p>
            <w:pPr>
              <w:pStyle w:val="TableParagraph"/>
              <w:spacing w:before="99"/>
              <w:ind w:left="233" w:firstLine="316"/>
              <w:rPr>
                <w:b/>
                <w:sz w:val="18"/>
              </w:rPr>
            </w:pPr>
            <w:r>
              <w:rPr>
                <w:b/>
                <w:spacing w:val="-4"/>
                <w:sz w:val="18"/>
              </w:rPr>
              <w:t>Meta </w:t>
            </w:r>
            <w:r>
              <w:rPr>
                <w:b/>
                <w:spacing w:val="-2"/>
                <w:sz w:val="18"/>
              </w:rPr>
              <w:t>programada</w:t>
            </w:r>
          </w:p>
        </w:tc>
        <w:tc>
          <w:tcPr>
            <w:tcW w:w="1364" w:type="dxa"/>
            <w:shd w:val="clear" w:color="auto" w:fill="D7D7D7"/>
          </w:tcPr>
          <w:p>
            <w:pPr>
              <w:pStyle w:val="TableParagraph"/>
              <w:spacing w:before="205"/>
              <w:ind w:left="55" w:right="42"/>
              <w:jc w:val="center"/>
              <w:rPr>
                <w:b/>
                <w:sz w:val="18"/>
              </w:rPr>
            </w:pPr>
            <w:r>
              <w:rPr>
                <w:b/>
                <w:spacing w:val="-10"/>
                <w:sz w:val="18"/>
              </w:rPr>
              <w:t>¢</w:t>
            </w:r>
          </w:p>
        </w:tc>
        <w:tc>
          <w:tcPr>
            <w:tcW w:w="1484" w:type="dxa"/>
            <w:shd w:val="clear" w:color="auto" w:fill="D7D7D7"/>
          </w:tcPr>
          <w:p>
            <w:pPr>
              <w:pStyle w:val="TableParagraph"/>
              <w:spacing w:before="99"/>
              <w:ind w:left="219" w:firstLine="317"/>
              <w:rPr>
                <w:b/>
                <w:sz w:val="18"/>
              </w:rPr>
            </w:pPr>
            <w:r>
              <w:rPr>
                <w:b/>
                <w:spacing w:val="-4"/>
                <w:sz w:val="18"/>
              </w:rPr>
              <w:t>Meta </w:t>
            </w:r>
            <w:r>
              <w:rPr>
                <w:b/>
                <w:spacing w:val="-2"/>
                <w:sz w:val="18"/>
              </w:rPr>
              <w:t>programada</w:t>
            </w:r>
          </w:p>
        </w:tc>
        <w:tc>
          <w:tcPr>
            <w:tcW w:w="1484" w:type="dxa"/>
            <w:shd w:val="clear" w:color="auto" w:fill="D7D7D7"/>
          </w:tcPr>
          <w:p>
            <w:pPr>
              <w:pStyle w:val="TableParagraph"/>
              <w:spacing w:before="205"/>
              <w:ind w:left="16"/>
              <w:jc w:val="center"/>
              <w:rPr>
                <w:b/>
                <w:sz w:val="18"/>
              </w:rPr>
            </w:pPr>
            <w:r>
              <w:rPr>
                <w:b/>
                <w:spacing w:val="-10"/>
                <w:sz w:val="18"/>
              </w:rPr>
              <w:t>¢</w:t>
            </w:r>
          </w:p>
        </w:tc>
      </w:tr>
      <w:tr>
        <w:trPr>
          <w:trHeight w:val="811" w:hRule="atLeast"/>
        </w:trPr>
        <w:tc>
          <w:tcPr>
            <w:tcW w:w="14392" w:type="dxa"/>
            <w:gridSpan w:val="10"/>
            <w:shd w:val="clear" w:color="auto" w:fill="F1F1F1"/>
          </w:tcPr>
          <w:p>
            <w:pPr>
              <w:pStyle w:val="TableParagraph"/>
              <w:spacing w:before="200"/>
              <w:ind w:left="72"/>
              <w:rPr>
                <w:b/>
                <w:sz w:val="18"/>
              </w:rPr>
            </w:pPr>
            <w:r>
              <w:rPr>
                <w:b/>
                <w:sz w:val="18"/>
              </w:rPr>
              <w:t>Efecto:</w:t>
            </w:r>
            <w:r>
              <w:rPr>
                <w:b/>
                <w:spacing w:val="-1"/>
                <w:sz w:val="18"/>
              </w:rPr>
              <w:t> </w:t>
            </w:r>
            <w:r>
              <w:rPr>
                <w:b/>
                <w:sz w:val="18"/>
              </w:rPr>
              <w:t>Generar</w:t>
            </w:r>
            <w:r>
              <w:rPr>
                <w:b/>
                <w:spacing w:val="-2"/>
                <w:sz w:val="18"/>
              </w:rPr>
              <w:t> </w:t>
            </w:r>
            <w:r>
              <w:rPr>
                <w:b/>
                <w:sz w:val="18"/>
              </w:rPr>
              <w:t>la</w:t>
            </w:r>
            <w:r>
              <w:rPr>
                <w:b/>
                <w:spacing w:val="-3"/>
                <w:sz w:val="18"/>
              </w:rPr>
              <w:t> </w:t>
            </w:r>
            <w:r>
              <w:rPr>
                <w:b/>
                <w:sz w:val="18"/>
              </w:rPr>
              <w:t>mayor</w:t>
            </w:r>
            <w:r>
              <w:rPr>
                <w:b/>
                <w:spacing w:val="-2"/>
                <w:sz w:val="18"/>
              </w:rPr>
              <w:t> </w:t>
            </w:r>
            <w:r>
              <w:rPr>
                <w:b/>
                <w:sz w:val="18"/>
              </w:rPr>
              <w:t>cantidad</w:t>
            </w:r>
            <w:r>
              <w:rPr>
                <w:b/>
                <w:spacing w:val="-4"/>
                <w:sz w:val="18"/>
              </w:rPr>
              <w:t> </w:t>
            </w:r>
            <w:r>
              <w:rPr>
                <w:b/>
                <w:sz w:val="18"/>
              </w:rPr>
              <w:t>posible de</w:t>
            </w:r>
            <w:r>
              <w:rPr>
                <w:b/>
                <w:spacing w:val="-3"/>
                <w:sz w:val="18"/>
              </w:rPr>
              <w:t> </w:t>
            </w:r>
            <w:r>
              <w:rPr>
                <w:b/>
                <w:sz w:val="18"/>
              </w:rPr>
              <w:t>ingresos</w:t>
            </w:r>
            <w:r>
              <w:rPr>
                <w:b/>
                <w:spacing w:val="-3"/>
                <w:sz w:val="18"/>
              </w:rPr>
              <w:t> </w:t>
            </w:r>
            <w:r>
              <w:rPr>
                <w:b/>
                <w:sz w:val="18"/>
              </w:rPr>
              <w:t>por concepto</w:t>
            </w:r>
            <w:r>
              <w:rPr>
                <w:b/>
                <w:spacing w:val="-4"/>
                <w:sz w:val="18"/>
              </w:rPr>
              <w:t> </w:t>
            </w:r>
            <w:r>
              <w:rPr>
                <w:b/>
                <w:sz w:val="18"/>
              </w:rPr>
              <w:t>de</w:t>
            </w:r>
            <w:r>
              <w:rPr>
                <w:b/>
                <w:spacing w:val="-3"/>
                <w:sz w:val="18"/>
              </w:rPr>
              <w:t> </w:t>
            </w:r>
            <w:r>
              <w:rPr>
                <w:b/>
                <w:sz w:val="18"/>
              </w:rPr>
              <w:t>utilidades</w:t>
            </w:r>
            <w:r>
              <w:rPr>
                <w:b/>
                <w:spacing w:val="-3"/>
                <w:sz w:val="18"/>
              </w:rPr>
              <w:t> </w:t>
            </w:r>
            <w:r>
              <w:rPr>
                <w:b/>
                <w:sz w:val="18"/>
              </w:rPr>
              <w:t>con</w:t>
            </w:r>
            <w:r>
              <w:rPr>
                <w:b/>
                <w:spacing w:val="-4"/>
                <w:sz w:val="18"/>
              </w:rPr>
              <w:t> </w:t>
            </w:r>
            <w:r>
              <w:rPr>
                <w:b/>
                <w:sz w:val="18"/>
              </w:rPr>
              <w:t>la</w:t>
            </w:r>
            <w:r>
              <w:rPr>
                <w:b/>
                <w:spacing w:val="-3"/>
                <w:sz w:val="18"/>
              </w:rPr>
              <w:t> </w:t>
            </w:r>
            <w:r>
              <w:rPr>
                <w:b/>
                <w:sz w:val="18"/>
              </w:rPr>
              <w:t>operación</w:t>
            </w:r>
            <w:r>
              <w:rPr>
                <w:b/>
                <w:spacing w:val="-4"/>
                <w:sz w:val="18"/>
              </w:rPr>
              <w:t> </w:t>
            </w:r>
            <w:r>
              <w:rPr>
                <w:b/>
                <w:sz w:val="18"/>
              </w:rPr>
              <w:t>comercial</w:t>
            </w:r>
            <w:r>
              <w:rPr>
                <w:b/>
                <w:spacing w:val="-1"/>
                <w:sz w:val="18"/>
              </w:rPr>
              <w:t> </w:t>
            </w:r>
            <w:r>
              <w:rPr>
                <w:b/>
                <w:sz w:val="18"/>
              </w:rPr>
              <w:t>de</w:t>
            </w:r>
            <w:r>
              <w:rPr>
                <w:b/>
                <w:spacing w:val="-3"/>
                <w:sz w:val="18"/>
              </w:rPr>
              <w:t> </w:t>
            </w:r>
            <w:r>
              <w:rPr>
                <w:b/>
                <w:sz w:val="18"/>
              </w:rPr>
              <w:t>las tiendas del</w:t>
            </w:r>
            <w:r>
              <w:rPr>
                <w:b/>
                <w:spacing w:val="-1"/>
                <w:sz w:val="18"/>
              </w:rPr>
              <w:t> </w:t>
            </w:r>
            <w:r>
              <w:rPr>
                <w:b/>
                <w:sz w:val="18"/>
              </w:rPr>
              <w:t>IMAS,</w:t>
            </w:r>
            <w:r>
              <w:rPr>
                <w:b/>
                <w:spacing w:val="-1"/>
                <w:sz w:val="18"/>
              </w:rPr>
              <w:t> </w:t>
            </w:r>
            <w:r>
              <w:rPr>
                <w:b/>
                <w:sz w:val="18"/>
              </w:rPr>
              <w:t>con</w:t>
            </w:r>
            <w:r>
              <w:rPr>
                <w:b/>
                <w:spacing w:val="-4"/>
                <w:sz w:val="18"/>
              </w:rPr>
              <w:t> </w:t>
            </w:r>
            <w:r>
              <w:rPr>
                <w:b/>
                <w:sz w:val="18"/>
              </w:rPr>
              <w:t>el</w:t>
            </w:r>
            <w:r>
              <w:rPr>
                <w:b/>
                <w:spacing w:val="-1"/>
                <w:sz w:val="18"/>
              </w:rPr>
              <w:t> </w:t>
            </w:r>
            <w:r>
              <w:rPr>
                <w:b/>
                <w:sz w:val="18"/>
              </w:rPr>
              <w:t>fin</w:t>
            </w:r>
            <w:r>
              <w:rPr>
                <w:b/>
                <w:spacing w:val="-4"/>
                <w:sz w:val="18"/>
              </w:rPr>
              <w:t> </w:t>
            </w:r>
            <w:r>
              <w:rPr>
                <w:b/>
                <w:sz w:val="18"/>
              </w:rPr>
              <w:t>de</w:t>
            </w:r>
            <w:r>
              <w:rPr>
                <w:b/>
                <w:spacing w:val="-3"/>
                <w:sz w:val="18"/>
              </w:rPr>
              <w:t> </w:t>
            </w:r>
            <w:r>
              <w:rPr>
                <w:b/>
                <w:sz w:val="18"/>
              </w:rPr>
              <w:t>contribuir</w:t>
            </w:r>
            <w:r>
              <w:rPr>
                <w:b/>
                <w:spacing w:val="-2"/>
                <w:sz w:val="18"/>
              </w:rPr>
              <w:t> </w:t>
            </w:r>
            <w:r>
              <w:rPr>
                <w:b/>
                <w:sz w:val="18"/>
              </w:rPr>
              <w:t>a</w:t>
            </w:r>
            <w:r>
              <w:rPr>
                <w:b/>
                <w:spacing w:val="-3"/>
                <w:sz w:val="18"/>
              </w:rPr>
              <w:t> </w:t>
            </w:r>
            <w:r>
              <w:rPr>
                <w:b/>
                <w:sz w:val="18"/>
              </w:rPr>
              <w:t>la sostenibilidad financiera de los programas de inversión social destinados a la población objetivo.</w:t>
            </w:r>
          </w:p>
        </w:tc>
      </w:tr>
      <w:tr>
        <w:trPr>
          <w:trHeight w:val="599" w:hRule="atLeast"/>
        </w:trPr>
        <w:tc>
          <w:tcPr>
            <w:tcW w:w="14392" w:type="dxa"/>
            <w:gridSpan w:val="10"/>
            <w:shd w:val="clear" w:color="auto" w:fill="EFF8F9"/>
          </w:tcPr>
          <w:p>
            <w:pPr>
              <w:pStyle w:val="TableParagraph"/>
              <w:spacing w:before="195"/>
              <w:ind w:left="72"/>
              <w:rPr>
                <w:b/>
                <w:sz w:val="18"/>
              </w:rPr>
            </w:pPr>
            <w:r>
              <w:rPr>
                <w:b/>
                <w:sz w:val="18"/>
              </w:rPr>
              <w:t>Producto</w:t>
            </w:r>
            <w:r>
              <w:rPr>
                <w:b/>
                <w:spacing w:val="-7"/>
                <w:sz w:val="18"/>
              </w:rPr>
              <w:t> </w:t>
            </w:r>
            <w:r>
              <w:rPr>
                <w:b/>
                <w:sz w:val="18"/>
              </w:rPr>
              <w:t>PEC</w:t>
            </w:r>
            <w:r>
              <w:rPr>
                <w:b/>
                <w:spacing w:val="-7"/>
                <w:sz w:val="18"/>
              </w:rPr>
              <w:t> </w:t>
            </w:r>
            <w:r>
              <w:rPr>
                <w:b/>
                <w:sz w:val="18"/>
              </w:rPr>
              <w:t>3.1: Estrategia</w:t>
            </w:r>
            <w:r>
              <w:rPr>
                <w:b/>
                <w:spacing w:val="-5"/>
                <w:sz w:val="18"/>
              </w:rPr>
              <w:t> </w:t>
            </w:r>
            <w:r>
              <w:rPr>
                <w:b/>
                <w:sz w:val="18"/>
              </w:rPr>
              <w:t>de</w:t>
            </w:r>
            <w:r>
              <w:rPr>
                <w:b/>
                <w:spacing w:val="-6"/>
                <w:sz w:val="18"/>
              </w:rPr>
              <w:t> </w:t>
            </w:r>
            <w:r>
              <w:rPr>
                <w:b/>
                <w:sz w:val="18"/>
              </w:rPr>
              <w:t>Negocios</w:t>
            </w:r>
            <w:r>
              <w:rPr>
                <w:b/>
                <w:spacing w:val="-5"/>
                <w:sz w:val="18"/>
              </w:rPr>
              <w:t> </w:t>
            </w:r>
            <w:r>
              <w:rPr>
                <w:b/>
                <w:sz w:val="18"/>
              </w:rPr>
              <w:t>diseñada</w:t>
            </w:r>
            <w:r>
              <w:rPr>
                <w:b/>
                <w:spacing w:val="-6"/>
                <w:sz w:val="18"/>
              </w:rPr>
              <w:t> </w:t>
            </w:r>
            <w:r>
              <w:rPr>
                <w:b/>
                <w:sz w:val="18"/>
              </w:rPr>
              <w:t>e</w:t>
            </w:r>
            <w:r>
              <w:rPr>
                <w:b/>
                <w:spacing w:val="-5"/>
                <w:sz w:val="18"/>
              </w:rPr>
              <w:t> </w:t>
            </w:r>
            <w:r>
              <w:rPr>
                <w:b/>
                <w:sz w:val="18"/>
              </w:rPr>
              <w:t>implementada,</w:t>
            </w:r>
            <w:r>
              <w:rPr>
                <w:b/>
                <w:spacing w:val="-4"/>
                <w:sz w:val="18"/>
              </w:rPr>
              <w:t> </w:t>
            </w:r>
            <w:r>
              <w:rPr>
                <w:b/>
                <w:sz w:val="18"/>
              </w:rPr>
              <w:t>para</w:t>
            </w:r>
            <w:r>
              <w:rPr>
                <w:b/>
                <w:spacing w:val="-5"/>
                <w:sz w:val="18"/>
              </w:rPr>
              <w:t> </w:t>
            </w:r>
            <w:r>
              <w:rPr>
                <w:b/>
                <w:sz w:val="18"/>
              </w:rPr>
              <w:t>incrementar</w:t>
            </w:r>
            <w:r>
              <w:rPr>
                <w:b/>
                <w:spacing w:val="-4"/>
                <w:sz w:val="18"/>
              </w:rPr>
              <w:t> </w:t>
            </w:r>
            <w:r>
              <w:rPr>
                <w:b/>
                <w:sz w:val="18"/>
              </w:rPr>
              <w:t>las</w:t>
            </w:r>
            <w:r>
              <w:rPr>
                <w:b/>
                <w:spacing w:val="-6"/>
                <w:sz w:val="18"/>
              </w:rPr>
              <w:t> </w:t>
            </w:r>
            <w:r>
              <w:rPr>
                <w:b/>
                <w:sz w:val="18"/>
              </w:rPr>
              <w:t>ventas</w:t>
            </w:r>
            <w:r>
              <w:rPr>
                <w:b/>
                <w:spacing w:val="-5"/>
                <w:sz w:val="18"/>
              </w:rPr>
              <w:t> </w:t>
            </w:r>
            <w:r>
              <w:rPr>
                <w:b/>
                <w:sz w:val="18"/>
              </w:rPr>
              <w:t>a</w:t>
            </w:r>
            <w:r>
              <w:rPr>
                <w:b/>
                <w:spacing w:val="-6"/>
                <w:sz w:val="18"/>
              </w:rPr>
              <w:t> </w:t>
            </w:r>
            <w:r>
              <w:rPr>
                <w:b/>
                <w:sz w:val="18"/>
              </w:rPr>
              <w:t>través</w:t>
            </w:r>
            <w:r>
              <w:rPr>
                <w:b/>
                <w:spacing w:val="-1"/>
                <w:sz w:val="18"/>
              </w:rPr>
              <w:t> </w:t>
            </w:r>
            <w:r>
              <w:rPr>
                <w:b/>
                <w:sz w:val="18"/>
              </w:rPr>
              <w:t>de</w:t>
            </w:r>
            <w:r>
              <w:rPr>
                <w:b/>
                <w:spacing w:val="-11"/>
                <w:sz w:val="18"/>
              </w:rPr>
              <w:t> </w:t>
            </w:r>
            <w:r>
              <w:rPr>
                <w:b/>
                <w:sz w:val="18"/>
              </w:rPr>
              <w:t>la</w:t>
            </w:r>
            <w:r>
              <w:rPr>
                <w:b/>
                <w:spacing w:val="-1"/>
                <w:sz w:val="18"/>
              </w:rPr>
              <w:t> </w:t>
            </w:r>
            <w:r>
              <w:rPr>
                <w:b/>
                <w:sz w:val="18"/>
              </w:rPr>
              <w:t>gestión</w:t>
            </w:r>
            <w:r>
              <w:rPr>
                <w:b/>
                <w:spacing w:val="-2"/>
                <w:sz w:val="18"/>
              </w:rPr>
              <w:t> </w:t>
            </w:r>
            <w:r>
              <w:rPr>
                <w:b/>
                <w:sz w:val="18"/>
              </w:rPr>
              <w:t>comercial.</w:t>
            </w:r>
            <w:r>
              <w:rPr>
                <w:b/>
                <w:spacing w:val="-3"/>
                <w:sz w:val="18"/>
              </w:rPr>
              <w:t> </w:t>
            </w:r>
            <w:r>
              <w:rPr>
                <w:b/>
                <w:sz w:val="18"/>
              </w:rPr>
              <w:t>(E5</w:t>
            </w:r>
            <w:r>
              <w:rPr>
                <w:b/>
                <w:spacing w:val="-2"/>
                <w:sz w:val="18"/>
              </w:rPr>
              <w:t> </w:t>
            </w:r>
            <w:r>
              <w:rPr>
                <w:b/>
                <w:sz w:val="18"/>
              </w:rPr>
              <w:t>AE1</w:t>
            </w:r>
            <w:r>
              <w:rPr>
                <w:b/>
                <w:spacing w:val="-2"/>
                <w:sz w:val="18"/>
              </w:rPr>
              <w:t> </w:t>
            </w:r>
            <w:r>
              <w:rPr>
                <w:b/>
                <w:spacing w:val="-5"/>
                <w:sz w:val="18"/>
              </w:rPr>
              <w:t>R1)</w:t>
            </w:r>
          </w:p>
        </w:tc>
      </w:tr>
      <w:tr>
        <w:trPr>
          <w:trHeight w:val="2069" w:hRule="atLeast"/>
        </w:trPr>
        <w:tc>
          <w:tcPr>
            <w:tcW w:w="1536" w:type="dxa"/>
          </w:tcPr>
          <w:p>
            <w:pPr>
              <w:pStyle w:val="TableParagraph"/>
              <w:spacing w:line="206" w:lineRule="exact"/>
              <w:ind w:left="72"/>
              <w:rPr>
                <w:b/>
                <w:sz w:val="18"/>
              </w:rPr>
            </w:pPr>
            <w:r>
              <w:rPr>
                <w:b/>
                <w:sz w:val="18"/>
              </w:rPr>
              <w:t>Actividad</w:t>
            </w:r>
            <w:r>
              <w:rPr>
                <w:b/>
                <w:spacing w:val="-6"/>
                <w:sz w:val="18"/>
              </w:rPr>
              <w:t> </w:t>
            </w:r>
            <w:r>
              <w:rPr>
                <w:b/>
                <w:spacing w:val="-5"/>
                <w:sz w:val="18"/>
              </w:rPr>
              <w:t>PEC</w:t>
            </w:r>
          </w:p>
          <w:p>
            <w:pPr>
              <w:pStyle w:val="TableParagraph"/>
              <w:ind w:left="72" w:right="123"/>
              <w:rPr>
                <w:sz w:val="18"/>
              </w:rPr>
            </w:pPr>
            <w:r>
              <w:rPr>
                <w:b/>
                <w:sz w:val="18"/>
              </w:rPr>
              <w:t>3.1.1:</w:t>
            </w:r>
            <w:r>
              <w:rPr>
                <w:b/>
                <w:spacing w:val="40"/>
                <w:sz w:val="18"/>
              </w:rPr>
              <w:t> </w:t>
            </w:r>
            <w:r>
              <w:rPr>
                <w:sz w:val="18"/>
              </w:rPr>
              <w:t>Generar ingresos por ventas en las tiendas</w:t>
            </w:r>
            <w:r>
              <w:rPr>
                <w:spacing w:val="-15"/>
                <w:sz w:val="18"/>
              </w:rPr>
              <w:t> </w:t>
            </w:r>
            <w:r>
              <w:rPr>
                <w:sz w:val="18"/>
              </w:rPr>
              <w:t>libres</w:t>
            </w:r>
            <w:r>
              <w:rPr>
                <w:spacing w:val="-12"/>
                <w:sz w:val="18"/>
              </w:rPr>
              <w:t> </w:t>
            </w:r>
            <w:r>
              <w:rPr>
                <w:sz w:val="18"/>
              </w:rPr>
              <w:t>de impuesto a través de la </w:t>
            </w:r>
            <w:r>
              <w:rPr>
                <w:spacing w:val="-2"/>
                <w:sz w:val="18"/>
              </w:rPr>
              <w:t>implementación</w:t>
            </w:r>
          </w:p>
          <w:p>
            <w:pPr>
              <w:pStyle w:val="TableParagraph"/>
              <w:spacing w:line="206" w:lineRule="exact"/>
              <w:ind w:left="72" w:right="123"/>
              <w:rPr>
                <w:sz w:val="18"/>
              </w:rPr>
            </w:pPr>
            <w:r>
              <w:rPr>
                <w:sz w:val="18"/>
              </w:rPr>
              <w:t>de</w:t>
            </w:r>
            <w:r>
              <w:rPr>
                <w:spacing w:val="-15"/>
                <w:sz w:val="18"/>
              </w:rPr>
              <w:t> </w:t>
            </w:r>
            <w:r>
              <w:rPr>
                <w:sz w:val="18"/>
              </w:rPr>
              <w:t>la</w:t>
            </w:r>
            <w:r>
              <w:rPr>
                <w:spacing w:val="-12"/>
                <w:sz w:val="18"/>
              </w:rPr>
              <w:t> </w:t>
            </w:r>
            <w:r>
              <w:rPr>
                <w:sz w:val="18"/>
              </w:rPr>
              <w:t>estrategia de Negocios.</w:t>
            </w:r>
          </w:p>
        </w:tc>
        <w:tc>
          <w:tcPr>
            <w:tcW w:w="1531" w:type="dxa"/>
          </w:tcPr>
          <w:p>
            <w:pPr>
              <w:pStyle w:val="TableParagraph"/>
              <w:rPr>
                <w:b/>
                <w:sz w:val="18"/>
              </w:rPr>
            </w:pPr>
          </w:p>
          <w:p>
            <w:pPr>
              <w:pStyle w:val="TableParagraph"/>
              <w:spacing w:before="103"/>
              <w:rPr>
                <w:b/>
                <w:sz w:val="18"/>
              </w:rPr>
            </w:pPr>
          </w:p>
          <w:p>
            <w:pPr>
              <w:pStyle w:val="TableParagraph"/>
              <w:ind w:left="67" w:right="456"/>
              <w:rPr>
                <w:sz w:val="18"/>
              </w:rPr>
            </w:pPr>
            <w:r>
              <w:rPr>
                <w:spacing w:val="-2"/>
                <w:sz w:val="18"/>
              </w:rPr>
              <w:t>Monto acumulado </w:t>
            </w:r>
            <w:r>
              <w:rPr>
                <w:sz w:val="18"/>
              </w:rPr>
              <w:t>estimado</w:t>
            </w:r>
            <w:r>
              <w:rPr>
                <w:spacing w:val="-13"/>
                <w:sz w:val="18"/>
              </w:rPr>
              <w:t> </w:t>
            </w:r>
            <w:r>
              <w:rPr>
                <w:sz w:val="18"/>
              </w:rPr>
              <w:t>de ingresos</w:t>
            </w:r>
            <w:r>
              <w:rPr>
                <w:spacing w:val="-13"/>
                <w:sz w:val="18"/>
              </w:rPr>
              <w:t> </w:t>
            </w:r>
            <w:r>
              <w:rPr>
                <w:sz w:val="18"/>
              </w:rPr>
              <w:t>por </w:t>
            </w:r>
            <w:r>
              <w:rPr>
                <w:spacing w:val="-2"/>
                <w:sz w:val="18"/>
              </w:rPr>
              <w:t>ventas</w:t>
            </w:r>
          </w:p>
        </w:tc>
        <w:tc>
          <w:tcPr>
            <w:tcW w:w="138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4"/>
              <w:rPr>
                <w:b/>
                <w:sz w:val="16"/>
              </w:rPr>
            </w:pPr>
          </w:p>
          <w:p>
            <w:pPr>
              <w:pStyle w:val="TableParagraph"/>
              <w:ind w:right="58"/>
              <w:jc w:val="right"/>
              <w:rPr>
                <w:sz w:val="16"/>
              </w:rPr>
            </w:pPr>
            <w:r>
              <w:rPr>
                <w:sz w:val="16"/>
              </w:rPr>
              <w:t>₡6</w:t>
            </w:r>
            <w:r>
              <w:rPr>
                <w:spacing w:val="-6"/>
                <w:sz w:val="16"/>
              </w:rPr>
              <w:t> </w:t>
            </w:r>
            <w:r>
              <w:rPr>
                <w:sz w:val="16"/>
              </w:rPr>
              <w:t>383</w:t>
            </w:r>
            <w:r>
              <w:rPr>
                <w:spacing w:val="-1"/>
                <w:sz w:val="16"/>
              </w:rPr>
              <w:t> </w:t>
            </w:r>
            <w:r>
              <w:rPr>
                <w:sz w:val="16"/>
              </w:rPr>
              <w:t>170</w:t>
            </w:r>
            <w:r>
              <w:rPr>
                <w:spacing w:val="-2"/>
                <w:sz w:val="16"/>
              </w:rPr>
              <w:t> </w:t>
            </w:r>
            <w:r>
              <w:rPr>
                <w:spacing w:val="-5"/>
                <w:sz w:val="16"/>
              </w:rPr>
              <w:t>774</w:t>
            </w:r>
          </w:p>
        </w:tc>
        <w:tc>
          <w:tcPr>
            <w:tcW w:w="1315" w:type="dxa"/>
          </w:tcPr>
          <w:p>
            <w:pPr>
              <w:pStyle w:val="TableParagraph"/>
              <w:rPr>
                <w:rFonts w:ascii="Times New Roman"/>
                <w:sz w:val="18"/>
              </w:rPr>
            </w:pPr>
          </w:p>
        </w:tc>
        <w:tc>
          <w:tcPr>
            <w:tcW w:w="1387"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4"/>
              <w:rPr>
                <w:b/>
                <w:sz w:val="16"/>
              </w:rPr>
            </w:pPr>
          </w:p>
          <w:p>
            <w:pPr>
              <w:pStyle w:val="TableParagraph"/>
              <w:ind w:right="62"/>
              <w:jc w:val="right"/>
              <w:rPr>
                <w:sz w:val="16"/>
              </w:rPr>
            </w:pPr>
            <w:r>
              <w:rPr>
                <w:sz w:val="16"/>
              </w:rPr>
              <w:t>₡11</w:t>
            </w:r>
            <w:r>
              <w:rPr>
                <w:spacing w:val="-3"/>
                <w:sz w:val="16"/>
              </w:rPr>
              <w:t> </w:t>
            </w:r>
            <w:r>
              <w:rPr>
                <w:sz w:val="16"/>
              </w:rPr>
              <w:t>937</w:t>
            </w:r>
            <w:r>
              <w:rPr>
                <w:spacing w:val="-2"/>
                <w:sz w:val="16"/>
              </w:rPr>
              <w:t> </w:t>
            </w:r>
            <w:r>
              <w:rPr>
                <w:sz w:val="16"/>
              </w:rPr>
              <w:t>995</w:t>
            </w:r>
            <w:r>
              <w:rPr>
                <w:spacing w:val="-3"/>
                <w:sz w:val="16"/>
              </w:rPr>
              <w:t> </w:t>
            </w:r>
            <w:r>
              <w:rPr>
                <w:spacing w:val="-5"/>
                <w:sz w:val="16"/>
              </w:rPr>
              <w:t>993</w:t>
            </w:r>
          </w:p>
        </w:tc>
        <w:tc>
          <w:tcPr>
            <w:tcW w:w="1392" w:type="dxa"/>
          </w:tcPr>
          <w:p>
            <w:pPr>
              <w:pStyle w:val="TableParagraph"/>
              <w:rPr>
                <w:rFonts w:ascii="Times New Roman"/>
                <w:sz w:val="18"/>
              </w:rPr>
            </w:pPr>
          </w:p>
        </w:tc>
        <w:tc>
          <w:tcPr>
            <w:tcW w:w="1512"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4"/>
              <w:rPr>
                <w:b/>
                <w:sz w:val="16"/>
              </w:rPr>
            </w:pPr>
          </w:p>
          <w:p>
            <w:pPr>
              <w:pStyle w:val="TableParagraph"/>
              <w:ind w:right="59"/>
              <w:jc w:val="right"/>
              <w:rPr>
                <w:sz w:val="16"/>
              </w:rPr>
            </w:pPr>
            <w:r>
              <w:rPr>
                <w:sz w:val="16"/>
              </w:rPr>
              <w:t>₡17</w:t>
            </w:r>
            <w:r>
              <w:rPr>
                <w:spacing w:val="-3"/>
                <w:sz w:val="16"/>
              </w:rPr>
              <w:t> </w:t>
            </w:r>
            <w:r>
              <w:rPr>
                <w:sz w:val="16"/>
              </w:rPr>
              <w:t>144</w:t>
            </w:r>
            <w:r>
              <w:rPr>
                <w:spacing w:val="-1"/>
                <w:sz w:val="16"/>
              </w:rPr>
              <w:t> </w:t>
            </w:r>
            <w:r>
              <w:rPr>
                <w:sz w:val="16"/>
              </w:rPr>
              <w:t>853</w:t>
            </w:r>
            <w:r>
              <w:rPr>
                <w:spacing w:val="-2"/>
                <w:sz w:val="16"/>
              </w:rPr>
              <w:t> </w:t>
            </w:r>
            <w:r>
              <w:rPr>
                <w:spacing w:val="-5"/>
                <w:sz w:val="16"/>
              </w:rPr>
              <w:t>239</w:t>
            </w:r>
          </w:p>
        </w:tc>
        <w:tc>
          <w:tcPr>
            <w:tcW w:w="1364" w:type="dxa"/>
          </w:tcPr>
          <w:p>
            <w:pPr>
              <w:pStyle w:val="TableParagraph"/>
              <w:rPr>
                <w:rFonts w:ascii="Times New Roman"/>
                <w:sz w:val="18"/>
              </w:rPr>
            </w:pPr>
          </w:p>
        </w:tc>
        <w:tc>
          <w:tcPr>
            <w:tcW w:w="1484"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4"/>
              <w:rPr>
                <w:b/>
                <w:sz w:val="16"/>
              </w:rPr>
            </w:pPr>
          </w:p>
          <w:p>
            <w:pPr>
              <w:pStyle w:val="TableParagraph"/>
              <w:ind w:right="62"/>
              <w:jc w:val="right"/>
              <w:rPr>
                <w:sz w:val="16"/>
              </w:rPr>
            </w:pPr>
            <w:r>
              <w:rPr>
                <w:sz w:val="16"/>
              </w:rPr>
              <w:t>₡23</w:t>
            </w:r>
            <w:r>
              <w:rPr>
                <w:spacing w:val="-3"/>
                <w:sz w:val="16"/>
              </w:rPr>
              <w:t> </w:t>
            </w:r>
            <w:r>
              <w:rPr>
                <w:sz w:val="16"/>
              </w:rPr>
              <w:t>697</w:t>
            </w:r>
            <w:r>
              <w:rPr>
                <w:spacing w:val="-2"/>
                <w:sz w:val="16"/>
              </w:rPr>
              <w:t> </w:t>
            </w:r>
            <w:r>
              <w:rPr>
                <w:sz w:val="16"/>
              </w:rPr>
              <w:t>637</w:t>
            </w:r>
            <w:r>
              <w:rPr>
                <w:spacing w:val="-3"/>
                <w:sz w:val="16"/>
              </w:rPr>
              <w:t> </w:t>
            </w:r>
            <w:r>
              <w:rPr>
                <w:spacing w:val="-5"/>
                <w:sz w:val="16"/>
              </w:rPr>
              <w:t>430</w:t>
            </w:r>
          </w:p>
        </w:tc>
        <w:tc>
          <w:tcPr>
            <w:tcW w:w="1484" w:type="dxa"/>
          </w:tcPr>
          <w:p>
            <w:pPr>
              <w:pStyle w:val="TableParagraph"/>
              <w:rPr>
                <w:rFonts w:ascii="Times New Roman"/>
                <w:sz w:val="18"/>
              </w:rPr>
            </w:pPr>
          </w:p>
        </w:tc>
      </w:tr>
      <w:tr>
        <w:trPr>
          <w:trHeight w:val="541" w:hRule="atLeast"/>
        </w:trPr>
        <w:tc>
          <w:tcPr>
            <w:tcW w:w="14392" w:type="dxa"/>
            <w:gridSpan w:val="10"/>
            <w:shd w:val="clear" w:color="auto" w:fill="EFF8F9"/>
          </w:tcPr>
          <w:p>
            <w:pPr>
              <w:pStyle w:val="TableParagraph"/>
              <w:spacing w:before="167"/>
              <w:ind w:left="72"/>
              <w:rPr>
                <w:b/>
                <w:sz w:val="18"/>
              </w:rPr>
            </w:pPr>
            <w:r>
              <w:rPr>
                <w:b/>
                <w:sz w:val="18"/>
              </w:rPr>
              <w:t>Producto</w:t>
            </w:r>
            <w:r>
              <w:rPr>
                <w:b/>
                <w:spacing w:val="-8"/>
                <w:sz w:val="18"/>
              </w:rPr>
              <w:t> </w:t>
            </w:r>
            <w:r>
              <w:rPr>
                <w:b/>
                <w:sz w:val="18"/>
              </w:rPr>
              <w:t>PEC</w:t>
            </w:r>
            <w:r>
              <w:rPr>
                <w:b/>
                <w:spacing w:val="-8"/>
                <w:sz w:val="18"/>
              </w:rPr>
              <w:t> </w:t>
            </w:r>
            <w:r>
              <w:rPr>
                <w:b/>
                <w:sz w:val="18"/>
              </w:rPr>
              <w:t>3.</w:t>
            </w:r>
            <w:r>
              <w:rPr>
                <w:b/>
                <w:spacing w:val="-5"/>
                <w:sz w:val="18"/>
              </w:rPr>
              <w:t> </w:t>
            </w:r>
            <w:r>
              <w:rPr>
                <w:b/>
                <w:sz w:val="18"/>
              </w:rPr>
              <w:t>2:</w:t>
            </w:r>
            <w:r>
              <w:rPr>
                <w:b/>
                <w:spacing w:val="-4"/>
                <w:sz w:val="18"/>
              </w:rPr>
              <w:t> </w:t>
            </w:r>
            <w:r>
              <w:rPr>
                <w:b/>
                <w:sz w:val="18"/>
              </w:rPr>
              <w:t>Servicio</w:t>
            </w:r>
            <w:r>
              <w:rPr>
                <w:b/>
                <w:spacing w:val="-8"/>
                <w:sz w:val="18"/>
              </w:rPr>
              <w:t> </w:t>
            </w:r>
            <w:r>
              <w:rPr>
                <w:b/>
                <w:sz w:val="18"/>
              </w:rPr>
              <w:t>al cliente</w:t>
            </w:r>
            <w:r>
              <w:rPr>
                <w:b/>
                <w:spacing w:val="-6"/>
                <w:sz w:val="18"/>
              </w:rPr>
              <w:t> </w:t>
            </w:r>
            <w:r>
              <w:rPr>
                <w:b/>
                <w:sz w:val="18"/>
              </w:rPr>
              <w:t>estandarizado</w:t>
            </w:r>
            <w:r>
              <w:rPr>
                <w:b/>
                <w:spacing w:val="-3"/>
                <w:sz w:val="18"/>
              </w:rPr>
              <w:t> </w:t>
            </w:r>
            <w:r>
              <w:rPr>
                <w:b/>
                <w:sz w:val="18"/>
              </w:rPr>
              <w:t>que</w:t>
            </w:r>
            <w:r>
              <w:rPr>
                <w:b/>
                <w:spacing w:val="-7"/>
                <w:sz w:val="18"/>
              </w:rPr>
              <w:t> </w:t>
            </w:r>
            <w:r>
              <w:rPr>
                <w:b/>
                <w:sz w:val="18"/>
              </w:rPr>
              <w:t>produzca</w:t>
            </w:r>
            <w:r>
              <w:rPr>
                <w:b/>
                <w:spacing w:val="-6"/>
                <w:sz w:val="18"/>
              </w:rPr>
              <w:t> </w:t>
            </w:r>
            <w:r>
              <w:rPr>
                <w:b/>
                <w:sz w:val="18"/>
              </w:rPr>
              <w:t>una</w:t>
            </w:r>
            <w:r>
              <w:rPr>
                <w:b/>
                <w:spacing w:val="-7"/>
                <w:sz w:val="18"/>
              </w:rPr>
              <w:t> </w:t>
            </w:r>
            <w:r>
              <w:rPr>
                <w:b/>
                <w:sz w:val="18"/>
              </w:rPr>
              <w:t>experiencia</w:t>
            </w:r>
            <w:r>
              <w:rPr>
                <w:b/>
                <w:spacing w:val="-2"/>
                <w:sz w:val="18"/>
              </w:rPr>
              <w:t> </w:t>
            </w:r>
            <w:r>
              <w:rPr>
                <w:b/>
                <w:sz w:val="18"/>
              </w:rPr>
              <w:t>de</w:t>
            </w:r>
            <w:r>
              <w:rPr>
                <w:b/>
                <w:spacing w:val="-7"/>
                <w:sz w:val="18"/>
              </w:rPr>
              <w:t> </w:t>
            </w:r>
            <w:r>
              <w:rPr>
                <w:b/>
                <w:sz w:val="18"/>
              </w:rPr>
              <w:t>compra</w:t>
            </w:r>
            <w:r>
              <w:rPr>
                <w:b/>
                <w:spacing w:val="-6"/>
                <w:sz w:val="18"/>
              </w:rPr>
              <w:t> </w:t>
            </w:r>
            <w:r>
              <w:rPr>
                <w:b/>
                <w:sz w:val="18"/>
              </w:rPr>
              <w:t>gratificante.</w:t>
            </w:r>
            <w:r>
              <w:rPr>
                <w:b/>
                <w:spacing w:val="44"/>
                <w:sz w:val="18"/>
              </w:rPr>
              <w:t> </w:t>
            </w:r>
            <w:r>
              <w:rPr>
                <w:b/>
                <w:sz w:val="18"/>
              </w:rPr>
              <w:t>(E5</w:t>
            </w:r>
            <w:r>
              <w:rPr>
                <w:b/>
                <w:spacing w:val="-6"/>
                <w:sz w:val="18"/>
              </w:rPr>
              <w:t> </w:t>
            </w:r>
            <w:r>
              <w:rPr>
                <w:b/>
                <w:sz w:val="18"/>
              </w:rPr>
              <w:t>AE1</w:t>
            </w:r>
            <w:r>
              <w:rPr>
                <w:b/>
                <w:spacing w:val="-3"/>
                <w:sz w:val="18"/>
              </w:rPr>
              <w:t> </w:t>
            </w:r>
            <w:r>
              <w:rPr>
                <w:b/>
                <w:spacing w:val="-5"/>
                <w:sz w:val="18"/>
              </w:rPr>
              <w:t>R2)</w:t>
            </w:r>
          </w:p>
        </w:tc>
      </w:tr>
      <w:tr>
        <w:trPr>
          <w:trHeight w:val="1262" w:hRule="atLeast"/>
        </w:trPr>
        <w:tc>
          <w:tcPr>
            <w:tcW w:w="1536" w:type="dxa"/>
          </w:tcPr>
          <w:p>
            <w:pPr>
              <w:pStyle w:val="TableParagraph"/>
              <w:spacing w:line="207" w:lineRule="exact" w:before="9"/>
              <w:ind w:left="72"/>
              <w:rPr>
                <w:b/>
                <w:sz w:val="18"/>
              </w:rPr>
            </w:pPr>
            <w:r>
              <w:rPr>
                <w:b/>
                <w:sz w:val="18"/>
              </w:rPr>
              <w:t>Actividad</w:t>
            </w:r>
            <w:r>
              <w:rPr>
                <w:b/>
                <w:spacing w:val="-6"/>
                <w:sz w:val="18"/>
              </w:rPr>
              <w:t> </w:t>
            </w:r>
            <w:r>
              <w:rPr>
                <w:b/>
                <w:spacing w:val="-5"/>
                <w:sz w:val="18"/>
              </w:rPr>
              <w:t>PEC</w:t>
            </w:r>
          </w:p>
          <w:p>
            <w:pPr>
              <w:pStyle w:val="TableParagraph"/>
              <w:ind w:left="72"/>
              <w:rPr>
                <w:sz w:val="18"/>
              </w:rPr>
            </w:pPr>
            <w:r>
              <w:rPr>
                <w:b/>
                <w:sz w:val="18"/>
              </w:rPr>
              <w:t>3.2.1:</w:t>
            </w:r>
            <w:r>
              <w:rPr>
                <w:b/>
                <w:spacing w:val="-15"/>
                <w:sz w:val="18"/>
              </w:rPr>
              <w:t> </w:t>
            </w:r>
            <w:r>
              <w:rPr>
                <w:sz w:val="18"/>
              </w:rPr>
              <w:t>Evaluar</w:t>
            </w:r>
            <w:r>
              <w:rPr>
                <w:spacing w:val="-12"/>
                <w:sz w:val="18"/>
              </w:rPr>
              <w:t> </w:t>
            </w:r>
            <w:r>
              <w:rPr>
                <w:sz w:val="18"/>
              </w:rPr>
              <w:t>la ejecución del protocolo de servicio al</w:t>
            </w:r>
          </w:p>
          <w:p>
            <w:pPr>
              <w:pStyle w:val="TableParagraph"/>
              <w:spacing w:line="197" w:lineRule="exact" w:before="2"/>
              <w:ind w:left="72"/>
              <w:rPr>
                <w:sz w:val="18"/>
              </w:rPr>
            </w:pPr>
            <w:r>
              <w:rPr>
                <w:spacing w:val="-2"/>
                <w:sz w:val="18"/>
              </w:rPr>
              <w:t>cliente.</w:t>
            </w:r>
          </w:p>
        </w:tc>
        <w:tc>
          <w:tcPr>
            <w:tcW w:w="1531" w:type="dxa"/>
          </w:tcPr>
          <w:p>
            <w:pPr>
              <w:pStyle w:val="TableParagraph"/>
              <w:spacing w:before="114"/>
              <w:rPr>
                <w:b/>
                <w:sz w:val="18"/>
              </w:rPr>
            </w:pPr>
          </w:p>
          <w:p>
            <w:pPr>
              <w:pStyle w:val="TableParagraph"/>
              <w:ind w:left="67"/>
              <w:rPr>
                <w:sz w:val="18"/>
              </w:rPr>
            </w:pPr>
            <w:r>
              <w:rPr>
                <w:sz w:val="18"/>
              </w:rPr>
              <w:t>Cantidad de </w:t>
            </w:r>
            <w:r>
              <w:rPr>
                <w:spacing w:val="-2"/>
                <w:sz w:val="18"/>
              </w:rPr>
              <w:t>evaluaciones realizadas</w:t>
            </w:r>
          </w:p>
        </w:tc>
        <w:tc>
          <w:tcPr>
            <w:tcW w:w="1387" w:type="dxa"/>
          </w:tcPr>
          <w:p>
            <w:pPr>
              <w:pStyle w:val="TableParagraph"/>
              <w:rPr>
                <w:b/>
                <w:sz w:val="18"/>
              </w:rPr>
            </w:pPr>
          </w:p>
          <w:p>
            <w:pPr>
              <w:pStyle w:val="TableParagraph"/>
              <w:spacing w:before="113"/>
              <w:rPr>
                <w:b/>
                <w:sz w:val="18"/>
              </w:rPr>
            </w:pPr>
          </w:p>
          <w:p>
            <w:pPr>
              <w:pStyle w:val="TableParagraph"/>
              <w:ind w:right="52"/>
              <w:jc w:val="right"/>
              <w:rPr>
                <w:sz w:val="18"/>
              </w:rPr>
            </w:pPr>
            <w:r>
              <w:rPr>
                <w:spacing w:val="-10"/>
                <w:sz w:val="18"/>
              </w:rPr>
              <w:t>1</w:t>
            </w:r>
          </w:p>
        </w:tc>
        <w:tc>
          <w:tcPr>
            <w:tcW w:w="1315" w:type="dxa"/>
          </w:tcPr>
          <w:p>
            <w:pPr>
              <w:pStyle w:val="TableParagraph"/>
              <w:rPr>
                <w:rFonts w:ascii="Times New Roman"/>
                <w:sz w:val="18"/>
              </w:rPr>
            </w:pPr>
          </w:p>
        </w:tc>
        <w:tc>
          <w:tcPr>
            <w:tcW w:w="1387" w:type="dxa"/>
          </w:tcPr>
          <w:p>
            <w:pPr>
              <w:pStyle w:val="TableParagraph"/>
              <w:rPr>
                <w:b/>
                <w:sz w:val="18"/>
              </w:rPr>
            </w:pPr>
          </w:p>
          <w:p>
            <w:pPr>
              <w:pStyle w:val="TableParagraph"/>
              <w:spacing w:before="113"/>
              <w:rPr>
                <w:b/>
                <w:sz w:val="18"/>
              </w:rPr>
            </w:pPr>
          </w:p>
          <w:p>
            <w:pPr>
              <w:pStyle w:val="TableParagraph"/>
              <w:ind w:right="56"/>
              <w:jc w:val="right"/>
              <w:rPr>
                <w:sz w:val="18"/>
              </w:rPr>
            </w:pPr>
            <w:r>
              <w:rPr>
                <w:spacing w:val="-10"/>
                <w:sz w:val="18"/>
              </w:rPr>
              <w:t>2</w:t>
            </w:r>
          </w:p>
        </w:tc>
        <w:tc>
          <w:tcPr>
            <w:tcW w:w="1392" w:type="dxa"/>
          </w:tcPr>
          <w:p>
            <w:pPr>
              <w:pStyle w:val="TableParagraph"/>
              <w:rPr>
                <w:rFonts w:ascii="Times New Roman"/>
                <w:sz w:val="18"/>
              </w:rPr>
            </w:pPr>
          </w:p>
        </w:tc>
        <w:tc>
          <w:tcPr>
            <w:tcW w:w="1512" w:type="dxa"/>
          </w:tcPr>
          <w:p>
            <w:pPr>
              <w:pStyle w:val="TableParagraph"/>
              <w:rPr>
                <w:b/>
                <w:sz w:val="18"/>
              </w:rPr>
            </w:pPr>
          </w:p>
          <w:p>
            <w:pPr>
              <w:pStyle w:val="TableParagraph"/>
              <w:spacing w:before="113"/>
              <w:rPr>
                <w:b/>
                <w:sz w:val="18"/>
              </w:rPr>
            </w:pPr>
          </w:p>
          <w:p>
            <w:pPr>
              <w:pStyle w:val="TableParagraph"/>
              <w:ind w:right="55"/>
              <w:jc w:val="right"/>
              <w:rPr>
                <w:sz w:val="18"/>
              </w:rPr>
            </w:pPr>
            <w:r>
              <w:rPr>
                <w:spacing w:val="-10"/>
                <w:sz w:val="18"/>
              </w:rPr>
              <w:t>3</w:t>
            </w:r>
          </w:p>
        </w:tc>
        <w:tc>
          <w:tcPr>
            <w:tcW w:w="1364" w:type="dxa"/>
          </w:tcPr>
          <w:p>
            <w:pPr>
              <w:pStyle w:val="TableParagraph"/>
              <w:rPr>
                <w:rFonts w:ascii="Times New Roman"/>
                <w:sz w:val="18"/>
              </w:rPr>
            </w:pPr>
          </w:p>
        </w:tc>
        <w:tc>
          <w:tcPr>
            <w:tcW w:w="1484" w:type="dxa"/>
          </w:tcPr>
          <w:p>
            <w:pPr>
              <w:pStyle w:val="TableParagraph"/>
              <w:rPr>
                <w:b/>
                <w:sz w:val="18"/>
              </w:rPr>
            </w:pPr>
          </w:p>
          <w:p>
            <w:pPr>
              <w:pStyle w:val="TableParagraph"/>
              <w:spacing w:before="113"/>
              <w:rPr>
                <w:b/>
                <w:sz w:val="18"/>
              </w:rPr>
            </w:pPr>
          </w:p>
          <w:p>
            <w:pPr>
              <w:pStyle w:val="TableParagraph"/>
              <w:ind w:right="56"/>
              <w:jc w:val="right"/>
              <w:rPr>
                <w:sz w:val="18"/>
              </w:rPr>
            </w:pPr>
            <w:r>
              <w:rPr>
                <w:spacing w:val="-10"/>
                <w:sz w:val="18"/>
              </w:rPr>
              <w:t>4</w:t>
            </w:r>
          </w:p>
        </w:tc>
        <w:tc>
          <w:tcPr>
            <w:tcW w:w="1484" w:type="dxa"/>
          </w:tcPr>
          <w:p>
            <w:pPr>
              <w:pStyle w:val="TableParagraph"/>
              <w:rPr>
                <w:rFonts w:ascii="Times New Roman"/>
                <w:sz w:val="18"/>
              </w:rPr>
            </w:pPr>
          </w:p>
        </w:tc>
      </w:tr>
    </w:tbl>
    <w:p>
      <w:pPr>
        <w:pStyle w:val="TableParagraph"/>
        <w:spacing w:after="0"/>
        <w:rPr>
          <w:rFonts w:ascii="Times New Roman"/>
          <w:sz w:val="18"/>
        </w:rPr>
        <w:sectPr>
          <w:pgSz w:w="15840" w:h="12240" w:orient="landscape"/>
          <w:pgMar w:header="0" w:footer="1806" w:top="1380" w:bottom="3161"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6"/>
        <w:gridCol w:w="1531"/>
        <w:gridCol w:w="1387"/>
        <w:gridCol w:w="1315"/>
        <w:gridCol w:w="1387"/>
        <w:gridCol w:w="1392"/>
        <w:gridCol w:w="1512"/>
        <w:gridCol w:w="1364"/>
        <w:gridCol w:w="1484"/>
        <w:gridCol w:w="1484"/>
      </w:tblGrid>
      <w:tr>
        <w:trPr>
          <w:trHeight w:val="302" w:hRule="atLeast"/>
        </w:trPr>
        <w:tc>
          <w:tcPr>
            <w:tcW w:w="1536" w:type="dxa"/>
            <w:vMerge w:val="restart"/>
            <w:shd w:val="clear" w:color="auto" w:fill="D7D7D7"/>
          </w:tcPr>
          <w:p>
            <w:pPr>
              <w:pStyle w:val="TableParagraph"/>
              <w:spacing w:before="46"/>
              <w:rPr>
                <w:b/>
                <w:sz w:val="18"/>
              </w:rPr>
            </w:pPr>
          </w:p>
          <w:p>
            <w:pPr>
              <w:pStyle w:val="TableParagraph"/>
              <w:ind w:left="283" w:firstLine="24"/>
              <w:rPr>
                <w:b/>
                <w:sz w:val="18"/>
              </w:rPr>
            </w:pPr>
            <w:r>
              <w:rPr>
                <w:b/>
                <w:sz w:val="18"/>
              </w:rPr>
              <w:t>Objetivos</w:t>
            </w:r>
            <w:r>
              <w:rPr>
                <w:b/>
                <w:spacing w:val="-7"/>
                <w:sz w:val="18"/>
              </w:rPr>
              <w:t> </w:t>
            </w:r>
            <w:r>
              <w:rPr>
                <w:b/>
                <w:sz w:val="18"/>
              </w:rPr>
              <w:t>/ </w:t>
            </w:r>
            <w:r>
              <w:rPr>
                <w:b/>
                <w:spacing w:val="-2"/>
                <w:sz w:val="18"/>
              </w:rPr>
              <w:t>Resultados</w:t>
            </w:r>
          </w:p>
        </w:tc>
        <w:tc>
          <w:tcPr>
            <w:tcW w:w="1531" w:type="dxa"/>
            <w:vMerge w:val="restart"/>
            <w:shd w:val="clear" w:color="auto" w:fill="D7D7D7"/>
          </w:tcPr>
          <w:p>
            <w:pPr>
              <w:pStyle w:val="TableParagraph"/>
              <w:spacing w:before="151"/>
              <w:rPr>
                <w:b/>
                <w:sz w:val="18"/>
              </w:rPr>
            </w:pPr>
          </w:p>
          <w:p>
            <w:pPr>
              <w:pStyle w:val="TableParagraph"/>
              <w:spacing w:before="1"/>
              <w:ind w:left="355"/>
              <w:rPr>
                <w:b/>
                <w:sz w:val="18"/>
              </w:rPr>
            </w:pPr>
            <w:r>
              <w:rPr>
                <w:b/>
                <w:spacing w:val="-2"/>
                <w:sz w:val="18"/>
              </w:rPr>
              <w:t>Indicador</w:t>
            </w:r>
          </w:p>
        </w:tc>
        <w:tc>
          <w:tcPr>
            <w:tcW w:w="2702" w:type="dxa"/>
            <w:gridSpan w:val="2"/>
            <w:shd w:val="clear" w:color="auto" w:fill="D7D7D7"/>
          </w:tcPr>
          <w:p>
            <w:pPr>
              <w:pStyle w:val="TableParagraph"/>
              <w:spacing w:before="47"/>
              <w:ind w:left="889"/>
              <w:rPr>
                <w:b/>
                <w:sz w:val="18"/>
              </w:rPr>
            </w:pPr>
            <w:r>
              <w:rPr>
                <w:b/>
                <w:sz w:val="18"/>
              </w:rPr>
              <w:t>I</w:t>
            </w:r>
            <w:r>
              <w:rPr>
                <w:b/>
                <w:spacing w:val="-1"/>
                <w:sz w:val="18"/>
              </w:rPr>
              <w:t> </w:t>
            </w:r>
            <w:r>
              <w:rPr>
                <w:b/>
                <w:spacing w:val="-2"/>
                <w:sz w:val="18"/>
              </w:rPr>
              <w:t>Trimestre</w:t>
            </w:r>
          </w:p>
        </w:tc>
        <w:tc>
          <w:tcPr>
            <w:tcW w:w="2779" w:type="dxa"/>
            <w:gridSpan w:val="2"/>
            <w:shd w:val="clear" w:color="auto" w:fill="D7D7D7"/>
          </w:tcPr>
          <w:p>
            <w:pPr>
              <w:pStyle w:val="TableParagraph"/>
              <w:spacing w:before="47"/>
              <w:ind w:left="904"/>
              <w:rPr>
                <w:b/>
                <w:sz w:val="18"/>
              </w:rPr>
            </w:pPr>
            <w:r>
              <w:rPr>
                <w:b/>
                <w:sz w:val="18"/>
              </w:rPr>
              <w:t>II</w:t>
            </w:r>
            <w:r>
              <w:rPr>
                <w:b/>
                <w:spacing w:val="-3"/>
                <w:sz w:val="18"/>
              </w:rPr>
              <w:t> </w:t>
            </w:r>
            <w:r>
              <w:rPr>
                <w:b/>
                <w:spacing w:val="-2"/>
                <w:sz w:val="18"/>
              </w:rPr>
              <w:t>Trimestre</w:t>
            </w:r>
          </w:p>
        </w:tc>
        <w:tc>
          <w:tcPr>
            <w:tcW w:w="2876" w:type="dxa"/>
            <w:gridSpan w:val="2"/>
            <w:shd w:val="clear" w:color="auto" w:fill="D7D7D7"/>
          </w:tcPr>
          <w:p>
            <w:pPr>
              <w:pStyle w:val="TableParagraph"/>
              <w:spacing w:before="47"/>
              <w:ind w:left="925"/>
              <w:rPr>
                <w:b/>
                <w:sz w:val="18"/>
              </w:rPr>
            </w:pPr>
            <w:r>
              <w:rPr>
                <w:b/>
                <w:sz w:val="18"/>
              </w:rPr>
              <w:t>III</w:t>
            </w:r>
            <w:r>
              <w:rPr>
                <w:b/>
                <w:spacing w:val="-2"/>
                <w:sz w:val="18"/>
              </w:rPr>
              <w:t> Trimestre</w:t>
            </w:r>
          </w:p>
        </w:tc>
        <w:tc>
          <w:tcPr>
            <w:tcW w:w="2968" w:type="dxa"/>
            <w:gridSpan w:val="2"/>
            <w:shd w:val="clear" w:color="auto" w:fill="D7D7D7"/>
          </w:tcPr>
          <w:p>
            <w:pPr>
              <w:pStyle w:val="TableParagraph"/>
              <w:spacing w:before="47"/>
              <w:ind w:left="963"/>
              <w:rPr>
                <w:b/>
                <w:sz w:val="18"/>
              </w:rPr>
            </w:pPr>
            <w:r>
              <w:rPr>
                <w:b/>
                <w:sz w:val="18"/>
              </w:rPr>
              <w:t>IV</w:t>
            </w:r>
            <w:r>
              <w:rPr>
                <w:b/>
                <w:spacing w:val="-2"/>
                <w:sz w:val="18"/>
              </w:rPr>
              <w:t> Trimestre</w:t>
            </w:r>
          </w:p>
        </w:tc>
      </w:tr>
      <w:tr>
        <w:trPr>
          <w:trHeight w:val="613" w:hRule="atLeast"/>
        </w:trPr>
        <w:tc>
          <w:tcPr>
            <w:tcW w:w="1536" w:type="dxa"/>
            <w:vMerge/>
            <w:tcBorders>
              <w:top w:val="nil"/>
            </w:tcBorders>
            <w:shd w:val="clear" w:color="auto" w:fill="D7D7D7"/>
          </w:tcPr>
          <w:p>
            <w:pPr>
              <w:rPr>
                <w:sz w:val="2"/>
                <w:szCs w:val="2"/>
              </w:rPr>
            </w:pPr>
          </w:p>
        </w:tc>
        <w:tc>
          <w:tcPr>
            <w:tcW w:w="1531" w:type="dxa"/>
            <w:vMerge/>
            <w:tcBorders>
              <w:top w:val="nil"/>
            </w:tcBorders>
            <w:shd w:val="clear" w:color="auto" w:fill="D7D7D7"/>
          </w:tcPr>
          <w:p>
            <w:pPr>
              <w:rPr>
                <w:sz w:val="2"/>
                <w:szCs w:val="2"/>
              </w:rPr>
            </w:pPr>
          </w:p>
        </w:tc>
        <w:tc>
          <w:tcPr>
            <w:tcW w:w="1387" w:type="dxa"/>
            <w:shd w:val="clear" w:color="auto" w:fill="D7D7D7"/>
          </w:tcPr>
          <w:p>
            <w:pPr>
              <w:pStyle w:val="TableParagraph"/>
              <w:spacing w:before="99"/>
              <w:ind w:left="173" w:firstLine="317"/>
              <w:rPr>
                <w:b/>
                <w:sz w:val="18"/>
              </w:rPr>
            </w:pPr>
            <w:r>
              <w:rPr>
                <w:b/>
                <w:spacing w:val="-4"/>
                <w:sz w:val="18"/>
              </w:rPr>
              <w:t>Meta </w:t>
            </w:r>
            <w:r>
              <w:rPr>
                <w:b/>
                <w:spacing w:val="-2"/>
                <w:sz w:val="18"/>
              </w:rPr>
              <w:t>programada</w:t>
            </w:r>
          </w:p>
        </w:tc>
        <w:tc>
          <w:tcPr>
            <w:tcW w:w="1315" w:type="dxa"/>
            <w:shd w:val="clear" w:color="auto" w:fill="D7D7D7"/>
          </w:tcPr>
          <w:p>
            <w:pPr>
              <w:pStyle w:val="TableParagraph"/>
              <w:spacing w:before="200"/>
              <w:ind w:left="9"/>
              <w:jc w:val="center"/>
              <w:rPr>
                <w:b/>
                <w:sz w:val="18"/>
              </w:rPr>
            </w:pPr>
            <w:r>
              <w:rPr>
                <w:b/>
                <w:spacing w:val="-10"/>
                <w:sz w:val="18"/>
              </w:rPr>
              <w:t>¢</w:t>
            </w:r>
          </w:p>
        </w:tc>
        <w:tc>
          <w:tcPr>
            <w:tcW w:w="1387" w:type="dxa"/>
            <w:shd w:val="clear" w:color="auto" w:fill="D7D7D7"/>
          </w:tcPr>
          <w:p>
            <w:pPr>
              <w:pStyle w:val="TableParagraph"/>
              <w:spacing w:before="99"/>
              <w:ind w:left="170" w:firstLine="316"/>
              <w:rPr>
                <w:b/>
                <w:sz w:val="18"/>
              </w:rPr>
            </w:pPr>
            <w:r>
              <w:rPr>
                <w:b/>
                <w:spacing w:val="-4"/>
                <w:sz w:val="18"/>
              </w:rPr>
              <w:t>Meta </w:t>
            </w:r>
            <w:r>
              <w:rPr>
                <w:b/>
                <w:spacing w:val="-2"/>
                <w:sz w:val="18"/>
              </w:rPr>
              <w:t>programada</w:t>
            </w:r>
          </w:p>
        </w:tc>
        <w:tc>
          <w:tcPr>
            <w:tcW w:w="1392" w:type="dxa"/>
            <w:shd w:val="clear" w:color="auto" w:fill="D7D7D7"/>
          </w:tcPr>
          <w:p>
            <w:pPr>
              <w:pStyle w:val="TableParagraph"/>
              <w:spacing w:before="200"/>
              <w:ind w:left="11"/>
              <w:jc w:val="center"/>
              <w:rPr>
                <w:b/>
                <w:sz w:val="18"/>
              </w:rPr>
            </w:pPr>
            <w:r>
              <w:rPr>
                <w:b/>
                <w:spacing w:val="-10"/>
                <w:sz w:val="18"/>
              </w:rPr>
              <w:t>¢</w:t>
            </w:r>
          </w:p>
        </w:tc>
        <w:tc>
          <w:tcPr>
            <w:tcW w:w="1512" w:type="dxa"/>
            <w:shd w:val="clear" w:color="auto" w:fill="D7D7D7"/>
          </w:tcPr>
          <w:p>
            <w:pPr>
              <w:pStyle w:val="TableParagraph"/>
              <w:spacing w:before="99"/>
              <w:ind w:left="233" w:firstLine="316"/>
              <w:rPr>
                <w:b/>
                <w:sz w:val="18"/>
              </w:rPr>
            </w:pPr>
            <w:r>
              <w:rPr>
                <w:b/>
                <w:spacing w:val="-4"/>
                <w:sz w:val="18"/>
              </w:rPr>
              <w:t>Meta </w:t>
            </w:r>
            <w:r>
              <w:rPr>
                <w:b/>
                <w:spacing w:val="-2"/>
                <w:sz w:val="18"/>
              </w:rPr>
              <w:t>programada</w:t>
            </w:r>
          </w:p>
        </w:tc>
        <w:tc>
          <w:tcPr>
            <w:tcW w:w="1364" w:type="dxa"/>
            <w:shd w:val="clear" w:color="auto" w:fill="D7D7D7"/>
          </w:tcPr>
          <w:p>
            <w:pPr>
              <w:pStyle w:val="TableParagraph"/>
              <w:spacing w:before="200"/>
              <w:ind w:left="55" w:right="42"/>
              <w:jc w:val="center"/>
              <w:rPr>
                <w:b/>
                <w:sz w:val="18"/>
              </w:rPr>
            </w:pPr>
            <w:r>
              <w:rPr>
                <w:b/>
                <w:spacing w:val="-10"/>
                <w:sz w:val="18"/>
              </w:rPr>
              <w:t>¢</w:t>
            </w:r>
          </w:p>
        </w:tc>
        <w:tc>
          <w:tcPr>
            <w:tcW w:w="1484" w:type="dxa"/>
            <w:shd w:val="clear" w:color="auto" w:fill="D7D7D7"/>
          </w:tcPr>
          <w:p>
            <w:pPr>
              <w:pStyle w:val="TableParagraph"/>
              <w:spacing w:before="99"/>
              <w:ind w:left="219" w:firstLine="317"/>
              <w:rPr>
                <w:b/>
                <w:sz w:val="18"/>
              </w:rPr>
            </w:pPr>
            <w:r>
              <w:rPr>
                <w:b/>
                <w:spacing w:val="-4"/>
                <w:sz w:val="18"/>
              </w:rPr>
              <w:t>Meta </w:t>
            </w:r>
            <w:r>
              <w:rPr>
                <w:b/>
                <w:spacing w:val="-2"/>
                <w:sz w:val="18"/>
              </w:rPr>
              <w:t>programada</w:t>
            </w:r>
          </w:p>
        </w:tc>
        <w:tc>
          <w:tcPr>
            <w:tcW w:w="1484" w:type="dxa"/>
            <w:shd w:val="clear" w:color="auto" w:fill="D7D7D7"/>
          </w:tcPr>
          <w:p>
            <w:pPr>
              <w:pStyle w:val="TableParagraph"/>
              <w:spacing w:before="200"/>
              <w:ind w:left="16"/>
              <w:jc w:val="center"/>
              <w:rPr>
                <w:b/>
                <w:sz w:val="18"/>
              </w:rPr>
            </w:pPr>
            <w:r>
              <w:rPr>
                <w:b/>
                <w:spacing w:val="-10"/>
                <w:sz w:val="18"/>
              </w:rPr>
              <w:t>¢</w:t>
            </w:r>
          </w:p>
        </w:tc>
      </w:tr>
      <w:tr>
        <w:trPr>
          <w:trHeight w:val="2040" w:hRule="atLeast"/>
        </w:trPr>
        <w:tc>
          <w:tcPr>
            <w:tcW w:w="1536" w:type="dxa"/>
          </w:tcPr>
          <w:p>
            <w:pPr>
              <w:pStyle w:val="TableParagraph"/>
              <w:spacing w:line="207" w:lineRule="exact" w:before="86"/>
              <w:ind w:left="72"/>
              <w:rPr>
                <w:b/>
                <w:sz w:val="18"/>
              </w:rPr>
            </w:pPr>
            <w:r>
              <w:rPr>
                <w:b/>
                <w:sz w:val="18"/>
              </w:rPr>
              <w:t>Actividad</w:t>
            </w:r>
            <w:r>
              <w:rPr>
                <w:b/>
                <w:spacing w:val="-6"/>
                <w:sz w:val="18"/>
              </w:rPr>
              <w:t> </w:t>
            </w:r>
            <w:r>
              <w:rPr>
                <w:b/>
                <w:spacing w:val="-5"/>
                <w:sz w:val="18"/>
              </w:rPr>
              <w:t>PEC</w:t>
            </w:r>
          </w:p>
          <w:p>
            <w:pPr>
              <w:pStyle w:val="TableParagraph"/>
              <w:ind w:left="72" w:right="63"/>
              <w:rPr>
                <w:sz w:val="18"/>
              </w:rPr>
            </w:pPr>
            <w:r>
              <w:rPr>
                <w:b/>
                <w:sz w:val="18"/>
              </w:rPr>
              <w:t>3.2.2: </w:t>
            </w:r>
            <w:r>
              <w:rPr>
                <w:sz w:val="18"/>
              </w:rPr>
              <w:t>Medir la experiencia de compra a partir de</w:t>
            </w:r>
            <w:r>
              <w:rPr>
                <w:spacing w:val="-5"/>
                <w:sz w:val="18"/>
              </w:rPr>
              <w:t> </w:t>
            </w:r>
            <w:r>
              <w:rPr>
                <w:sz w:val="18"/>
              </w:rPr>
              <w:t>los</w:t>
            </w:r>
            <w:r>
              <w:rPr>
                <w:spacing w:val="-8"/>
                <w:sz w:val="18"/>
              </w:rPr>
              <w:t> </w:t>
            </w:r>
            <w:r>
              <w:rPr>
                <w:sz w:val="18"/>
              </w:rPr>
              <w:t>resultados obtenidos del estudio</w:t>
            </w:r>
            <w:r>
              <w:rPr>
                <w:spacing w:val="-13"/>
                <w:sz w:val="18"/>
              </w:rPr>
              <w:t> </w:t>
            </w:r>
            <w:r>
              <w:rPr>
                <w:sz w:val="18"/>
              </w:rPr>
              <w:t>realizado por</w:t>
            </w:r>
            <w:r>
              <w:rPr>
                <w:spacing w:val="-10"/>
                <w:sz w:val="18"/>
              </w:rPr>
              <w:t> </w:t>
            </w:r>
            <w:r>
              <w:rPr>
                <w:sz w:val="18"/>
              </w:rPr>
              <w:t>AERIS</w:t>
            </w:r>
            <w:r>
              <w:rPr>
                <w:spacing w:val="-13"/>
                <w:sz w:val="18"/>
              </w:rPr>
              <w:t> </w:t>
            </w:r>
            <w:r>
              <w:rPr>
                <w:sz w:val="18"/>
              </w:rPr>
              <w:t>de</w:t>
            </w:r>
            <w:r>
              <w:rPr>
                <w:spacing w:val="-10"/>
                <w:sz w:val="18"/>
              </w:rPr>
              <w:t> </w:t>
            </w:r>
            <w:r>
              <w:rPr>
                <w:sz w:val="18"/>
              </w:rPr>
              <w:t>la</w:t>
            </w:r>
            <w:r>
              <w:rPr>
                <w:sz w:val="18"/>
              </w:rPr>
              <w:t>s</w:t>
            </w:r>
            <w:r>
              <w:rPr>
                <w:sz w:val="18"/>
              </w:rPr>
              <w:t> tiendas</w:t>
            </w:r>
            <w:r>
              <w:rPr>
                <w:spacing w:val="-3"/>
                <w:sz w:val="18"/>
              </w:rPr>
              <w:t> </w:t>
            </w:r>
            <w:r>
              <w:rPr>
                <w:sz w:val="18"/>
              </w:rPr>
              <w:t>del</w:t>
            </w:r>
            <w:r>
              <w:rPr>
                <w:spacing w:val="-5"/>
                <w:sz w:val="18"/>
              </w:rPr>
              <w:t> </w:t>
            </w:r>
            <w:r>
              <w:rPr>
                <w:spacing w:val="-4"/>
                <w:sz w:val="18"/>
              </w:rPr>
              <w:t>IMAS</w:t>
            </w:r>
          </w:p>
        </w:tc>
        <w:tc>
          <w:tcPr>
            <w:tcW w:w="1531" w:type="dxa"/>
          </w:tcPr>
          <w:p>
            <w:pPr>
              <w:pStyle w:val="TableParagraph"/>
              <w:spacing w:before="190"/>
              <w:rPr>
                <w:b/>
                <w:sz w:val="18"/>
              </w:rPr>
            </w:pPr>
          </w:p>
          <w:p>
            <w:pPr>
              <w:pStyle w:val="TableParagraph"/>
              <w:spacing w:before="1"/>
              <w:ind w:left="67" w:right="123"/>
              <w:rPr>
                <w:sz w:val="18"/>
              </w:rPr>
            </w:pPr>
            <w:r>
              <w:rPr>
                <w:sz w:val="18"/>
              </w:rPr>
              <w:t>% de satisfacción de los</w:t>
            </w:r>
            <w:r>
              <w:rPr>
                <w:spacing w:val="-12"/>
                <w:sz w:val="18"/>
              </w:rPr>
              <w:t> </w:t>
            </w:r>
            <w:r>
              <w:rPr>
                <w:sz w:val="18"/>
              </w:rPr>
              <w:t>clientes</w:t>
            </w:r>
            <w:r>
              <w:rPr>
                <w:spacing w:val="-10"/>
                <w:sz w:val="18"/>
              </w:rPr>
              <w:t> </w:t>
            </w:r>
            <w:r>
              <w:rPr>
                <w:sz w:val="18"/>
              </w:rPr>
              <w:t>a</w:t>
            </w:r>
            <w:r>
              <w:rPr>
                <w:spacing w:val="-13"/>
                <w:sz w:val="18"/>
              </w:rPr>
              <w:t> </w:t>
            </w:r>
            <w:r>
              <w:rPr>
                <w:sz w:val="18"/>
              </w:rPr>
              <w:t>los cuales se les aplicó la </w:t>
            </w:r>
            <w:r>
              <w:rPr>
                <w:spacing w:val="-2"/>
                <w:sz w:val="18"/>
              </w:rPr>
              <w:t>encuesta</w:t>
            </w: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spacing w:before="88"/>
              <w:rPr>
                <w:b/>
                <w:sz w:val="18"/>
              </w:rPr>
            </w:pPr>
          </w:p>
          <w:p>
            <w:pPr>
              <w:pStyle w:val="TableParagraph"/>
              <w:ind w:right="54"/>
              <w:jc w:val="right"/>
              <w:rPr>
                <w:sz w:val="18"/>
              </w:rPr>
            </w:pPr>
            <w:r>
              <w:rPr>
                <w:spacing w:val="-5"/>
                <w:sz w:val="18"/>
              </w:rPr>
              <w:t>90%</w:t>
            </w:r>
          </w:p>
        </w:tc>
        <w:tc>
          <w:tcPr>
            <w:tcW w:w="1392" w:type="dxa"/>
          </w:tcPr>
          <w:p>
            <w:pPr>
              <w:pStyle w:val="TableParagraph"/>
              <w:rPr>
                <w:rFonts w:ascii="Times New Roman"/>
                <w:sz w:val="18"/>
              </w:rPr>
            </w:pPr>
          </w:p>
        </w:tc>
        <w:tc>
          <w:tcPr>
            <w:tcW w:w="1512" w:type="dxa"/>
          </w:tcPr>
          <w:p>
            <w:pPr>
              <w:pStyle w:val="TableParagraph"/>
              <w:rPr>
                <w:b/>
                <w:sz w:val="18"/>
              </w:rPr>
            </w:pPr>
          </w:p>
          <w:p>
            <w:pPr>
              <w:pStyle w:val="TableParagraph"/>
              <w:rPr>
                <w:b/>
                <w:sz w:val="18"/>
              </w:rPr>
            </w:pPr>
          </w:p>
          <w:p>
            <w:pPr>
              <w:pStyle w:val="TableParagraph"/>
              <w:rPr>
                <w:b/>
                <w:sz w:val="18"/>
              </w:rPr>
            </w:pPr>
          </w:p>
          <w:p>
            <w:pPr>
              <w:pStyle w:val="TableParagraph"/>
              <w:spacing w:before="88"/>
              <w:rPr>
                <w:b/>
                <w:sz w:val="18"/>
              </w:rPr>
            </w:pPr>
          </w:p>
          <w:p>
            <w:pPr>
              <w:pStyle w:val="TableParagraph"/>
              <w:ind w:right="53"/>
              <w:jc w:val="right"/>
              <w:rPr>
                <w:sz w:val="18"/>
              </w:rPr>
            </w:pPr>
            <w:r>
              <w:rPr>
                <w:spacing w:val="-5"/>
                <w:sz w:val="18"/>
              </w:rPr>
              <w:t>90%</w:t>
            </w:r>
          </w:p>
        </w:tc>
        <w:tc>
          <w:tcPr>
            <w:tcW w:w="1364" w:type="dxa"/>
          </w:tcPr>
          <w:p>
            <w:pPr>
              <w:pStyle w:val="TableParagraph"/>
              <w:rPr>
                <w:rFonts w:ascii="Times New Roman"/>
                <w:sz w:val="18"/>
              </w:rPr>
            </w:pPr>
          </w:p>
        </w:tc>
        <w:tc>
          <w:tcPr>
            <w:tcW w:w="1484" w:type="dxa"/>
          </w:tcPr>
          <w:p>
            <w:pPr>
              <w:pStyle w:val="TableParagraph"/>
              <w:rPr>
                <w:b/>
                <w:sz w:val="18"/>
              </w:rPr>
            </w:pPr>
          </w:p>
          <w:p>
            <w:pPr>
              <w:pStyle w:val="TableParagraph"/>
              <w:rPr>
                <w:b/>
                <w:sz w:val="18"/>
              </w:rPr>
            </w:pPr>
          </w:p>
          <w:p>
            <w:pPr>
              <w:pStyle w:val="TableParagraph"/>
              <w:rPr>
                <w:b/>
                <w:sz w:val="18"/>
              </w:rPr>
            </w:pPr>
          </w:p>
          <w:p>
            <w:pPr>
              <w:pStyle w:val="TableParagraph"/>
              <w:spacing w:before="88"/>
              <w:rPr>
                <w:b/>
                <w:sz w:val="18"/>
              </w:rPr>
            </w:pPr>
          </w:p>
          <w:p>
            <w:pPr>
              <w:pStyle w:val="TableParagraph"/>
              <w:ind w:right="54"/>
              <w:jc w:val="right"/>
              <w:rPr>
                <w:sz w:val="18"/>
              </w:rPr>
            </w:pPr>
            <w:r>
              <w:rPr>
                <w:spacing w:val="-5"/>
                <w:sz w:val="18"/>
              </w:rPr>
              <w:t>90%</w:t>
            </w:r>
          </w:p>
        </w:tc>
        <w:tc>
          <w:tcPr>
            <w:tcW w:w="1484" w:type="dxa"/>
          </w:tcPr>
          <w:p>
            <w:pPr>
              <w:pStyle w:val="TableParagraph"/>
              <w:rPr>
                <w:rFonts w:ascii="Times New Roman"/>
                <w:sz w:val="18"/>
              </w:rPr>
            </w:pPr>
          </w:p>
        </w:tc>
      </w:tr>
      <w:tr>
        <w:trPr>
          <w:trHeight w:val="705" w:hRule="atLeast"/>
        </w:trPr>
        <w:tc>
          <w:tcPr>
            <w:tcW w:w="14392" w:type="dxa"/>
            <w:gridSpan w:val="10"/>
            <w:shd w:val="clear" w:color="auto" w:fill="EFF8F9"/>
          </w:tcPr>
          <w:p>
            <w:pPr>
              <w:pStyle w:val="TableParagraph"/>
              <w:spacing w:before="143"/>
              <w:ind w:left="72"/>
              <w:rPr>
                <w:b/>
                <w:sz w:val="18"/>
              </w:rPr>
            </w:pPr>
            <w:r>
              <w:rPr>
                <w:b/>
                <w:sz w:val="18"/>
              </w:rPr>
              <w:t>Producto PEC 3.3: Modelo de gestión de servicios operativos adecuado a las características y dimensiones del negocio, que contribuya a la eficiencia operativa del mismo (E5 AE2 R1)</w:t>
            </w:r>
          </w:p>
        </w:tc>
      </w:tr>
      <w:tr>
        <w:trPr>
          <w:trHeight w:val="2899" w:hRule="atLeast"/>
        </w:trPr>
        <w:tc>
          <w:tcPr>
            <w:tcW w:w="1536" w:type="dxa"/>
          </w:tcPr>
          <w:p>
            <w:pPr>
              <w:pStyle w:val="TableParagraph"/>
              <w:spacing w:before="205"/>
              <w:ind w:left="72"/>
              <w:rPr>
                <w:sz w:val="18"/>
              </w:rPr>
            </w:pPr>
            <w:r>
              <w:rPr>
                <w:b/>
                <w:sz w:val="18"/>
              </w:rPr>
              <w:t>Actividad</w:t>
            </w:r>
            <w:r>
              <w:rPr>
                <w:b/>
                <w:spacing w:val="-13"/>
                <w:sz w:val="18"/>
              </w:rPr>
              <w:t> </w:t>
            </w:r>
            <w:r>
              <w:rPr>
                <w:b/>
                <w:sz w:val="18"/>
              </w:rPr>
              <w:t>PEC </w:t>
            </w:r>
            <w:r>
              <w:rPr>
                <w:b/>
                <w:spacing w:val="-2"/>
                <w:sz w:val="18"/>
              </w:rPr>
              <w:t>3.3.1</w:t>
            </w:r>
            <w:r>
              <w:rPr>
                <w:spacing w:val="-2"/>
                <w:sz w:val="18"/>
              </w:rPr>
              <w:t>:</w:t>
            </w:r>
          </w:p>
          <w:p>
            <w:pPr>
              <w:pStyle w:val="TableParagraph"/>
              <w:ind w:left="72" w:right="63"/>
              <w:rPr>
                <w:sz w:val="18"/>
              </w:rPr>
            </w:pPr>
            <w:r>
              <w:rPr>
                <w:sz w:val="18"/>
              </w:rPr>
              <w:t>Implementar el modelo</w:t>
            </w:r>
            <w:r>
              <w:rPr>
                <w:spacing w:val="-13"/>
                <w:sz w:val="18"/>
              </w:rPr>
              <w:t> </w:t>
            </w:r>
            <w:r>
              <w:rPr>
                <w:sz w:val="18"/>
              </w:rPr>
              <w:t>y</w:t>
            </w:r>
            <w:r>
              <w:rPr>
                <w:spacing w:val="-12"/>
                <w:sz w:val="18"/>
              </w:rPr>
              <w:t> </w:t>
            </w:r>
            <w:r>
              <w:rPr>
                <w:sz w:val="18"/>
              </w:rPr>
              <w:t>flujo</w:t>
            </w:r>
            <w:r>
              <w:rPr>
                <w:spacing w:val="-11"/>
                <w:sz w:val="18"/>
              </w:rPr>
              <w:t> </w:t>
            </w:r>
            <w:r>
              <w:rPr>
                <w:sz w:val="18"/>
              </w:rPr>
              <w:t>de la cadena de importación y compra de mercancía, para mejorar los tiempos de trazabilidad de</w:t>
            </w:r>
          </w:p>
          <w:p>
            <w:pPr>
              <w:pStyle w:val="TableParagraph"/>
              <w:spacing w:line="206" w:lineRule="exact"/>
              <w:ind w:left="72"/>
              <w:rPr>
                <w:sz w:val="18"/>
              </w:rPr>
            </w:pPr>
            <w:r>
              <w:rPr>
                <w:sz w:val="18"/>
              </w:rPr>
              <w:t>mercancías</w:t>
            </w:r>
            <w:r>
              <w:rPr>
                <w:spacing w:val="-13"/>
                <w:sz w:val="18"/>
              </w:rPr>
              <w:t> </w:t>
            </w:r>
            <w:r>
              <w:rPr>
                <w:sz w:val="18"/>
              </w:rPr>
              <w:t>en </w:t>
            </w:r>
            <w:r>
              <w:rPr>
                <w:spacing w:val="-2"/>
                <w:sz w:val="18"/>
              </w:rPr>
              <w:t>bodega.</w:t>
            </w:r>
          </w:p>
        </w:tc>
        <w:tc>
          <w:tcPr>
            <w:tcW w:w="15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67" w:right="123"/>
              <w:rPr>
                <w:sz w:val="18"/>
              </w:rPr>
            </w:pPr>
            <w:r>
              <w:rPr>
                <w:sz w:val="18"/>
              </w:rPr>
              <w:t>Porcentaje de avance en la </w:t>
            </w:r>
            <w:r>
              <w:rPr>
                <w:spacing w:val="-2"/>
                <w:sz w:val="18"/>
              </w:rPr>
              <w:t>implementación </w:t>
            </w:r>
            <w:r>
              <w:rPr>
                <w:sz w:val="18"/>
              </w:rPr>
              <w:t>del modelo</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21" w:right="5"/>
              <w:jc w:val="center"/>
              <w:rPr>
                <w:sz w:val="18"/>
              </w:rPr>
            </w:pPr>
            <w:r>
              <w:rPr>
                <w:spacing w:val="-5"/>
                <w:sz w:val="18"/>
              </w:rPr>
              <w:t>25%</w:t>
            </w: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5"/>
              <w:jc w:val="center"/>
              <w:rPr>
                <w:sz w:val="18"/>
              </w:rPr>
            </w:pPr>
            <w:r>
              <w:rPr>
                <w:spacing w:val="-4"/>
                <w:sz w:val="18"/>
              </w:rPr>
              <w:t>100%</w:t>
            </w:r>
          </w:p>
        </w:tc>
        <w:tc>
          <w:tcPr>
            <w:tcW w:w="1364" w:type="dxa"/>
          </w:tcPr>
          <w:p>
            <w:pPr>
              <w:pStyle w:val="TableParagraph"/>
              <w:rPr>
                <w:rFonts w:ascii="Times New Roman"/>
                <w:sz w:val="18"/>
              </w:rPr>
            </w:pP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r>
        <w:trPr>
          <w:trHeight w:val="2275" w:hRule="atLeast"/>
        </w:trPr>
        <w:tc>
          <w:tcPr>
            <w:tcW w:w="1536" w:type="dxa"/>
          </w:tcPr>
          <w:p>
            <w:pPr>
              <w:pStyle w:val="TableParagraph"/>
              <w:spacing w:line="206" w:lineRule="exact"/>
              <w:ind w:left="72"/>
              <w:rPr>
                <w:b/>
                <w:sz w:val="18"/>
              </w:rPr>
            </w:pPr>
            <w:r>
              <w:rPr>
                <w:b/>
                <w:sz w:val="18"/>
              </w:rPr>
              <w:t>Actividad</w:t>
            </w:r>
            <w:r>
              <w:rPr>
                <w:b/>
                <w:spacing w:val="-6"/>
                <w:sz w:val="18"/>
              </w:rPr>
              <w:t> </w:t>
            </w:r>
            <w:r>
              <w:rPr>
                <w:b/>
                <w:spacing w:val="-5"/>
                <w:sz w:val="18"/>
              </w:rPr>
              <w:t>PEC</w:t>
            </w:r>
          </w:p>
          <w:p>
            <w:pPr>
              <w:pStyle w:val="TableParagraph"/>
              <w:ind w:left="72" w:right="123"/>
              <w:rPr>
                <w:sz w:val="18"/>
              </w:rPr>
            </w:pPr>
            <w:r>
              <w:rPr>
                <w:b/>
                <w:sz w:val="18"/>
              </w:rPr>
              <w:t>3.3.2:</w:t>
            </w:r>
            <w:r>
              <w:rPr>
                <w:b/>
                <w:spacing w:val="36"/>
                <w:sz w:val="18"/>
              </w:rPr>
              <w:t> </w:t>
            </w:r>
            <w:r>
              <w:rPr>
                <w:sz w:val="18"/>
              </w:rPr>
              <w:t>Controlar el nivel de rotación de la mercancía</w:t>
            </w:r>
            <w:r>
              <w:rPr>
                <w:spacing w:val="-4"/>
                <w:sz w:val="18"/>
              </w:rPr>
              <w:t> </w:t>
            </w:r>
            <w:r>
              <w:rPr>
                <w:sz w:val="18"/>
              </w:rPr>
              <w:t>tanto en la bodega como en las Tiendas</w:t>
            </w:r>
            <w:r>
              <w:rPr>
                <w:spacing w:val="-15"/>
                <w:sz w:val="18"/>
              </w:rPr>
              <w:t> </w:t>
            </w:r>
            <w:r>
              <w:rPr>
                <w:sz w:val="18"/>
              </w:rPr>
              <w:t>Libres</w:t>
            </w:r>
            <w:r>
              <w:rPr>
                <w:spacing w:val="-12"/>
                <w:sz w:val="18"/>
              </w:rPr>
              <w:t> </w:t>
            </w:r>
            <w:r>
              <w:rPr>
                <w:sz w:val="18"/>
              </w:rPr>
              <w:t>y </w:t>
            </w:r>
            <w:r>
              <w:rPr>
                <w:spacing w:val="-2"/>
                <w:sz w:val="18"/>
              </w:rPr>
              <w:t>aplicar</w:t>
            </w:r>
          </w:p>
          <w:p>
            <w:pPr>
              <w:pStyle w:val="TableParagraph"/>
              <w:spacing w:line="206" w:lineRule="exact"/>
              <w:ind w:left="72" w:right="76"/>
              <w:rPr>
                <w:sz w:val="18"/>
              </w:rPr>
            </w:pPr>
            <w:r>
              <w:rPr>
                <w:spacing w:val="-2"/>
                <w:sz w:val="18"/>
              </w:rPr>
              <w:t>estrategias </w:t>
            </w:r>
            <w:r>
              <w:rPr>
                <w:sz w:val="18"/>
              </w:rPr>
              <w:t>comerciales</w:t>
            </w:r>
            <w:r>
              <w:rPr>
                <w:spacing w:val="-13"/>
                <w:sz w:val="18"/>
              </w:rPr>
              <w:t> </w:t>
            </w:r>
            <w:r>
              <w:rPr>
                <w:sz w:val="18"/>
              </w:rPr>
              <w:t>para</w:t>
            </w:r>
          </w:p>
        </w:tc>
        <w:tc>
          <w:tcPr>
            <w:tcW w:w="1531"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67" w:right="456"/>
              <w:rPr>
                <w:sz w:val="18"/>
              </w:rPr>
            </w:pPr>
            <w:r>
              <w:rPr>
                <w:sz w:val="18"/>
              </w:rPr>
              <w:t>índice de Rotación</w:t>
            </w:r>
            <w:r>
              <w:rPr>
                <w:spacing w:val="-13"/>
                <w:sz w:val="18"/>
              </w:rPr>
              <w:t> </w:t>
            </w:r>
            <w:r>
              <w:rPr>
                <w:sz w:val="18"/>
              </w:rPr>
              <w:t>de </w:t>
            </w:r>
            <w:r>
              <w:rPr>
                <w:spacing w:val="-2"/>
                <w:sz w:val="18"/>
              </w:rPr>
              <w:t>mercancía</w:t>
            </w:r>
          </w:p>
        </w:tc>
        <w:tc>
          <w:tcPr>
            <w:tcW w:w="1387" w:type="dxa"/>
          </w:tcPr>
          <w:p>
            <w:pPr>
              <w:pStyle w:val="TableParagraph"/>
              <w:rPr>
                <w:b/>
                <w:sz w:val="18"/>
              </w:rPr>
            </w:pPr>
          </w:p>
          <w:p>
            <w:pPr>
              <w:pStyle w:val="TableParagraph"/>
              <w:spacing w:before="104"/>
              <w:rPr>
                <w:b/>
                <w:sz w:val="18"/>
              </w:rPr>
            </w:pPr>
          </w:p>
          <w:p>
            <w:pPr>
              <w:pStyle w:val="TableParagraph"/>
              <w:ind w:left="21" w:right="6"/>
              <w:jc w:val="center"/>
              <w:rPr>
                <w:sz w:val="18"/>
              </w:rPr>
            </w:pPr>
            <w:r>
              <w:rPr>
                <w:sz w:val="18"/>
              </w:rPr>
              <w:t>4,5</w:t>
            </w:r>
            <w:r>
              <w:rPr>
                <w:spacing w:val="-15"/>
                <w:sz w:val="18"/>
              </w:rPr>
              <w:t> </w:t>
            </w:r>
            <w:r>
              <w:rPr>
                <w:sz w:val="18"/>
              </w:rPr>
              <w:t>meses</w:t>
            </w:r>
            <w:r>
              <w:rPr>
                <w:spacing w:val="-12"/>
                <w:sz w:val="18"/>
              </w:rPr>
              <w:t> </w:t>
            </w:r>
            <w:r>
              <w:rPr>
                <w:sz w:val="18"/>
              </w:rPr>
              <w:t>para </w:t>
            </w:r>
            <w:r>
              <w:rPr>
                <w:spacing w:val="-2"/>
                <w:sz w:val="18"/>
              </w:rPr>
              <w:t>mercancía </w:t>
            </w:r>
            <w:r>
              <w:rPr>
                <w:sz w:val="18"/>
              </w:rPr>
              <w:t>importada y 1,</w:t>
            </w:r>
          </w:p>
          <w:p>
            <w:pPr>
              <w:pStyle w:val="TableParagraph"/>
              <w:ind w:left="21" w:right="2"/>
              <w:jc w:val="center"/>
              <w:rPr>
                <w:sz w:val="18"/>
              </w:rPr>
            </w:pPr>
            <w:r>
              <w:rPr>
                <w:sz w:val="18"/>
              </w:rPr>
              <w:t>5</w:t>
            </w:r>
            <w:r>
              <w:rPr>
                <w:spacing w:val="-15"/>
                <w:sz w:val="18"/>
              </w:rPr>
              <w:t> </w:t>
            </w:r>
            <w:r>
              <w:rPr>
                <w:sz w:val="18"/>
              </w:rPr>
              <w:t>meses</w:t>
            </w:r>
            <w:r>
              <w:rPr>
                <w:spacing w:val="-12"/>
                <w:sz w:val="18"/>
              </w:rPr>
              <w:t> </w:t>
            </w:r>
            <w:r>
              <w:rPr>
                <w:sz w:val="18"/>
              </w:rPr>
              <w:t>par</w:t>
            </w:r>
            <w:r>
              <w:rPr>
                <w:sz w:val="18"/>
              </w:rPr>
              <w:t>a</w:t>
            </w:r>
            <w:r>
              <w:rPr>
                <w:sz w:val="18"/>
              </w:rPr>
              <w:t> </w:t>
            </w:r>
            <w:r>
              <w:rPr>
                <w:spacing w:val="-2"/>
                <w:sz w:val="18"/>
              </w:rPr>
              <w:t>mercancía nacional</w:t>
            </w:r>
          </w:p>
        </w:tc>
        <w:tc>
          <w:tcPr>
            <w:tcW w:w="1315" w:type="dxa"/>
          </w:tcPr>
          <w:p>
            <w:pPr>
              <w:pStyle w:val="TableParagraph"/>
              <w:rPr>
                <w:rFonts w:ascii="Times New Roman"/>
                <w:sz w:val="18"/>
              </w:rPr>
            </w:pPr>
          </w:p>
        </w:tc>
        <w:tc>
          <w:tcPr>
            <w:tcW w:w="1387" w:type="dxa"/>
          </w:tcPr>
          <w:p>
            <w:pPr>
              <w:pStyle w:val="TableParagraph"/>
              <w:rPr>
                <w:b/>
                <w:sz w:val="18"/>
              </w:rPr>
            </w:pPr>
          </w:p>
          <w:p>
            <w:pPr>
              <w:pStyle w:val="TableParagraph"/>
              <w:spacing w:before="104"/>
              <w:rPr>
                <w:b/>
                <w:sz w:val="18"/>
              </w:rPr>
            </w:pPr>
          </w:p>
          <w:p>
            <w:pPr>
              <w:pStyle w:val="TableParagraph"/>
              <w:ind w:left="21" w:right="13"/>
              <w:jc w:val="center"/>
              <w:rPr>
                <w:sz w:val="18"/>
              </w:rPr>
            </w:pPr>
            <w:r>
              <w:rPr>
                <w:sz w:val="18"/>
              </w:rPr>
              <w:t>4,5</w:t>
            </w:r>
            <w:r>
              <w:rPr>
                <w:spacing w:val="-15"/>
                <w:sz w:val="18"/>
              </w:rPr>
              <w:t> </w:t>
            </w:r>
            <w:r>
              <w:rPr>
                <w:sz w:val="18"/>
              </w:rPr>
              <w:t>meses</w:t>
            </w:r>
            <w:r>
              <w:rPr>
                <w:spacing w:val="-12"/>
                <w:sz w:val="18"/>
              </w:rPr>
              <w:t> </w:t>
            </w:r>
            <w:r>
              <w:rPr>
                <w:sz w:val="18"/>
              </w:rPr>
              <w:t>para </w:t>
            </w:r>
            <w:r>
              <w:rPr>
                <w:spacing w:val="-2"/>
                <w:sz w:val="18"/>
              </w:rPr>
              <w:t>mercancía </w:t>
            </w:r>
            <w:r>
              <w:rPr>
                <w:sz w:val="18"/>
              </w:rPr>
              <w:t>importada y 1,</w:t>
            </w:r>
          </w:p>
          <w:p>
            <w:pPr>
              <w:pStyle w:val="TableParagraph"/>
              <w:ind w:left="21" w:right="9"/>
              <w:jc w:val="center"/>
              <w:rPr>
                <w:sz w:val="18"/>
              </w:rPr>
            </w:pPr>
            <w:r>
              <w:rPr>
                <w:sz w:val="18"/>
              </w:rPr>
              <w:t>5</w:t>
            </w:r>
            <w:r>
              <w:rPr>
                <w:spacing w:val="-15"/>
                <w:sz w:val="18"/>
              </w:rPr>
              <w:t> </w:t>
            </w:r>
            <w:r>
              <w:rPr>
                <w:sz w:val="18"/>
              </w:rPr>
              <w:t>meses</w:t>
            </w:r>
            <w:r>
              <w:rPr>
                <w:spacing w:val="-12"/>
                <w:sz w:val="18"/>
              </w:rPr>
              <w:t> </w:t>
            </w:r>
            <w:r>
              <w:rPr>
                <w:sz w:val="18"/>
              </w:rPr>
              <w:t>par</w:t>
            </w:r>
            <w:r>
              <w:rPr>
                <w:sz w:val="18"/>
              </w:rPr>
              <w:t>a</w:t>
            </w:r>
            <w:r>
              <w:rPr>
                <w:sz w:val="18"/>
              </w:rPr>
              <w:t> </w:t>
            </w:r>
            <w:r>
              <w:rPr>
                <w:spacing w:val="-2"/>
                <w:sz w:val="18"/>
              </w:rPr>
              <w:t>mercancía nacional</w:t>
            </w:r>
          </w:p>
        </w:tc>
        <w:tc>
          <w:tcPr>
            <w:tcW w:w="1392" w:type="dxa"/>
          </w:tcPr>
          <w:p>
            <w:pPr>
              <w:pStyle w:val="TableParagraph"/>
              <w:rPr>
                <w:rFonts w:ascii="Times New Roman"/>
                <w:sz w:val="18"/>
              </w:rPr>
            </w:pPr>
          </w:p>
        </w:tc>
        <w:tc>
          <w:tcPr>
            <w:tcW w:w="1512" w:type="dxa"/>
          </w:tcPr>
          <w:p>
            <w:pPr>
              <w:pStyle w:val="TableParagraph"/>
              <w:rPr>
                <w:b/>
                <w:sz w:val="18"/>
              </w:rPr>
            </w:pPr>
          </w:p>
          <w:p>
            <w:pPr>
              <w:pStyle w:val="TableParagraph"/>
              <w:spacing w:before="104"/>
              <w:rPr>
                <w:b/>
                <w:sz w:val="18"/>
              </w:rPr>
            </w:pPr>
          </w:p>
          <w:p>
            <w:pPr>
              <w:pStyle w:val="TableParagraph"/>
              <w:ind w:left="109" w:right="95" w:hanging="5"/>
              <w:jc w:val="center"/>
              <w:rPr>
                <w:sz w:val="18"/>
              </w:rPr>
            </w:pPr>
            <w:r>
              <w:rPr>
                <w:sz w:val="18"/>
              </w:rPr>
              <w:t>4,5 meses para </w:t>
            </w:r>
            <w:r>
              <w:rPr>
                <w:spacing w:val="-2"/>
                <w:sz w:val="18"/>
              </w:rPr>
              <w:t>mercancía </w:t>
            </w:r>
            <w:r>
              <w:rPr>
                <w:sz w:val="18"/>
              </w:rPr>
              <w:t>importada</w:t>
            </w:r>
            <w:r>
              <w:rPr>
                <w:spacing w:val="-12"/>
                <w:sz w:val="18"/>
              </w:rPr>
              <w:t> </w:t>
            </w:r>
            <w:r>
              <w:rPr>
                <w:sz w:val="18"/>
              </w:rPr>
              <w:t>y</w:t>
            </w:r>
            <w:r>
              <w:rPr>
                <w:spacing w:val="-12"/>
                <w:sz w:val="18"/>
              </w:rPr>
              <w:t> </w:t>
            </w:r>
            <w:r>
              <w:rPr>
                <w:sz w:val="18"/>
              </w:rPr>
              <w:t>1,</w:t>
            </w:r>
            <w:r>
              <w:rPr>
                <w:spacing w:val="-10"/>
                <w:sz w:val="18"/>
              </w:rPr>
              <w:t> </w:t>
            </w:r>
            <w:r>
              <w:rPr>
                <w:sz w:val="18"/>
              </w:rPr>
              <w:t>5 meses para </w:t>
            </w:r>
            <w:r>
              <w:rPr>
                <w:spacing w:val="-2"/>
                <w:sz w:val="18"/>
              </w:rPr>
              <w:t>mercancía nacional</w:t>
            </w:r>
          </w:p>
        </w:tc>
        <w:tc>
          <w:tcPr>
            <w:tcW w:w="1364" w:type="dxa"/>
          </w:tcPr>
          <w:p>
            <w:pPr>
              <w:pStyle w:val="TableParagraph"/>
              <w:rPr>
                <w:rFonts w:ascii="Times New Roman"/>
                <w:sz w:val="18"/>
              </w:rPr>
            </w:pPr>
          </w:p>
        </w:tc>
        <w:tc>
          <w:tcPr>
            <w:tcW w:w="1484" w:type="dxa"/>
          </w:tcPr>
          <w:p>
            <w:pPr>
              <w:pStyle w:val="TableParagraph"/>
              <w:rPr>
                <w:b/>
                <w:sz w:val="18"/>
              </w:rPr>
            </w:pPr>
          </w:p>
          <w:p>
            <w:pPr>
              <w:pStyle w:val="TableParagraph"/>
              <w:spacing w:before="104"/>
              <w:rPr>
                <w:b/>
                <w:sz w:val="18"/>
              </w:rPr>
            </w:pPr>
          </w:p>
          <w:p>
            <w:pPr>
              <w:pStyle w:val="TableParagraph"/>
              <w:ind w:left="94" w:right="81" w:hanging="5"/>
              <w:jc w:val="center"/>
              <w:rPr>
                <w:sz w:val="18"/>
              </w:rPr>
            </w:pPr>
            <w:r>
              <w:rPr>
                <w:sz w:val="18"/>
              </w:rPr>
              <w:t>4,5 meses para </w:t>
            </w:r>
            <w:r>
              <w:rPr>
                <w:spacing w:val="-2"/>
                <w:sz w:val="18"/>
              </w:rPr>
              <w:t>mercancía </w:t>
            </w:r>
            <w:r>
              <w:rPr>
                <w:sz w:val="18"/>
              </w:rPr>
              <w:t>importada</w:t>
            </w:r>
            <w:r>
              <w:rPr>
                <w:spacing w:val="-12"/>
                <w:sz w:val="18"/>
              </w:rPr>
              <w:t> </w:t>
            </w:r>
            <w:r>
              <w:rPr>
                <w:sz w:val="18"/>
              </w:rPr>
              <w:t>y</w:t>
            </w:r>
            <w:r>
              <w:rPr>
                <w:spacing w:val="-12"/>
                <w:sz w:val="18"/>
              </w:rPr>
              <w:t> </w:t>
            </w:r>
            <w:r>
              <w:rPr>
                <w:sz w:val="18"/>
              </w:rPr>
              <w:t>1,</w:t>
            </w:r>
            <w:r>
              <w:rPr>
                <w:spacing w:val="-10"/>
                <w:sz w:val="18"/>
              </w:rPr>
              <w:t> </w:t>
            </w:r>
            <w:r>
              <w:rPr>
                <w:sz w:val="18"/>
              </w:rPr>
              <w:t>5 meses para </w:t>
            </w:r>
            <w:r>
              <w:rPr>
                <w:spacing w:val="-2"/>
                <w:sz w:val="18"/>
              </w:rPr>
              <w:t>mercancía nacional</w:t>
            </w:r>
          </w:p>
        </w:tc>
        <w:tc>
          <w:tcPr>
            <w:tcW w:w="1484"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484"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6"/>
        <w:gridCol w:w="1531"/>
        <w:gridCol w:w="1387"/>
        <w:gridCol w:w="1315"/>
        <w:gridCol w:w="1387"/>
        <w:gridCol w:w="1392"/>
        <w:gridCol w:w="1512"/>
        <w:gridCol w:w="1364"/>
        <w:gridCol w:w="1484"/>
        <w:gridCol w:w="1484"/>
      </w:tblGrid>
      <w:tr>
        <w:trPr>
          <w:trHeight w:val="302" w:hRule="atLeast"/>
        </w:trPr>
        <w:tc>
          <w:tcPr>
            <w:tcW w:w="1536" w:type="dxa"/>
            <w:vMerge w:val="restart"/>
            <w:shd w:val="clear" w:color="auto" w:fill="D7D7D7"/>
          </w:tcPr>
          <w:p>
            <w:pPr>
              <w:pStyle w:val="TableParagraph"/>
              <w:spacing w:before="46"/>
              <w:rPr>
                <w:b/>
                <w:sz w:val="18"/>
              </w:rPr>
            </w:pPr>
          </w:p>
          <w:p>
            <w:pPr>
              <w:pStyle w:val="TableParagraph"/>
              <w:ind w:left="283" w:firstLine="24"/>
              <w:rPr>
                <w:b/>
                <w:sz w:val="18"/>
              </w:rPr>
            </w:pPr>
            <w:r>
              <w:rPr>
                <w:b/>
                <w:sz w:val="18"/>
              </w:rPr>
              <w:t>Objetivos</w:t>
            </w:r>
            <w:r>
              <w:rPr>
                <w:b/>
                <w:spacing w:val="-7"/>
                <w:sz w:val="18"/>
              </w:rPr>
              <w:t> </w:t>
            </w:r>
            <w:r>
              <w:rPr>
                <w:b/>
                <w:sz w:val="18"/>
              </w:rPr>
              <w:t>/ </w:t>
            </w:r>
            <w:r>
              <w:rPr>
                <w:b/>
                <w:spacing w:val="-2"/>
                <w:sz w:val="18"/>
              </w:rPr>
              <w:t>Resultados</w:t>
            </w:r>
          </w:p>
        </w:tc>
        <w:tc>
          <w:tcPr>
            <w:tcW w:w="1531" w:type="dxa"/>
            <w:vMerge w:val="restart"/>
            <w:shd w:val="clear" w:color="auto" w:fill="D7D7D7"/>
          </w:tcPr>
          <w:p>
            <w:pPr>
              <w:pStyle w:val="TableParagraph"/>
              <w:spacing w:before="151"/>
              <w:rPr>
                <w:b/>
                <w:sz w:val="18"/>
              </w:rPr>
            </w:pPr>
          </w:p>
          <w:p>
            <w:pPr>
              <w:pStyle w:val="TableParagraph"/>
              <w:spacing w:before="1"/>
              <w:ind w:left="355"/>
              <w:rPr>
                <w:b/>
                <w:sz w:val="18"/>
              </w:rPr>
            </w:pPr>
            <w:r>
              <w:rPr>
                <w:b/>
                <w:spacing w:val="-2"/>
                <w:sz w:val="18"/>
              </w:rPr>
              <w:t>Indicador</w:t>
            </w:r>
          </w:p>
        </w:tc>
        <w:tc>
          <w:tcPr>
            <w:tcW w:w="2702" w:type="dxa"/>
            <w:gridSpan w:val="2"/>
            <w:shd w:val="clear" w:color="auto" w:fill="D7D7D7"/>
          </w:tcPr>
          <w:p>
            <w:pPr>
              <w:pStyle w:val="TableParagraph"/>
              <w:spacing w:before="47"/>
              <w:ind w:left="889"/>
              <w:rPr>
                <w:b/>
                <w:sz w:val="18"/>
              </w:rPr>
            </w:pPr>
            <w:r>
              <w:rPr>
                <w:b/>
                <w:sz w:val="18"/>
              </w:rPr>
              <w:t>I</w:t>
            </w:r>
            <w:r>
              <w:rPr>
                <w:b/>
                <w:spacing w:val="-1"/>
                <w:sz w:val="18"/>
              </w:rPr>
              <w:t> </w:t>
            </w:r>
            <w:r>
              <w:rPr>
                <w:b/>
                <w:spacing w:val="-2"/>
                <w:sz w:val="18"/>
              </w:rPr>
              <w:t>Trimestre</w:t>
            </w:r>
          </w:p>
        </w:tc>
        <w:tc>
          <w:tcPr>
            <w:tcW w:w="2779" w:type="dxa"/>
            <w:gridSpan w:val="2"/>
            <w:shd w:val="clear" w:color="auto" w:fill="D7D7D7"/>
          </w:tcPr>
          <w:p>
            <w:pPr>
              <w:pStyle w:val="TableParagraph"/>
              <w:spacing w:before="47"/>
              <w:ind w:left="904"/>
              <w:rPr>
                <w:b/>
                <w:sz w:val="18"/>
              </w:rPr>
            </w:pPr>
            <w:r>
              <w:rPr>
                <w:b/>
                <w:sz w:val="18"/>
              </w:rPr>
              <w:t>II</w:t>
            </w:r>
            <w:r>
              <w:rPr>
                <w:b/>
                <w:spacing w:val="-3"/>
                <w:sz w:val="18"/>
              </w:rPr>
              <w:t> </w:t>
            </w:r>
            <w:r>
              <w:rPr>
                <w:b/>
                <w:spacing w:val="-2"/>
                <w:sz w:val="18"/>
              </w:rPr>
              <w:t>Trimestre</w:t>
            </w:r>
          </w:p>
        </w:tc>
        <w:tc>
          <w:tcPr>
            <w:tcW w:w="2876" w:type="dxa"/>
            <w:gridSpan w:val="2"/>
            <w:shd w:val="clear" w:color="auto" w:fill="D7D7D7"/>
          </w:tcPr>
          <w:p>
            <w:pPr>
              <w:pStyle w:val="TableParagraph"/>
              <w:spacing w:before="47"/>
              <w:ind w:left="925"/>
              <w:rPr>
                <w:b/>
                <w:sz w:val="18"/>
              </w:rPr>
            </w:pPr>
            <w:r>
              <w:rPr>
                <w:b/>
                <w:sz w:val="18"/>
              </w:rPr>
              <w:t>III</w:t>
            </w:r>
            <w:r>
              <w:rPr>
                <w:b/>
                <w:spacing w:val="-2"/>
                <w:sz w:val="18"/>
              </w:rPr>
              <w:t> Trimestre</w:t>
            </w:r>
          </w:p>
        </w:tc>
        <w:tc>
          <w:tcPr>
            <w:tcW w:w="2968" w:type="dxa"/>
            <w:gridSpan w:val="2"/>
            <w:shd w:val="clear" w:color="auto" w:fill="D7D7D7"/>
          </w:tcPr>
          <w:p>
            <w:pPr>
              <w:pStyle w:val="TableParagraph"/>
              <w:spacing w:before="47"/>
              <w:ind w:left="963"/>
              <w:rPr>
                <w:b/>
                <w:sz w:val="18"/>
              </w:rPr>
            </w:pPr>
            <w:r>
              <w:rPr>
                <w:b/>
                <w:sz w:val="18"/>
              </w:rPr>
              <w:t>IV</w:t>
            </w:r>
            <w:r>
              <w:rPr>
                <w:b/>
                <w:spacing w:val="-2"/>
                <w:sz w:val="18"/>
              </w:rPr>
              <w:t> Trimestre</w:t>
            </w:r>
          </w:p>
        </w:tc>
      </w:tr>
      <w:tr>
        <w:trPr>
          <w:trHeight w:val="613" w:hRule="atLeast"/>
        </w:trPr>
        <w:tc>
          <w:tcPr>
            <w:tcW w:w="1536" w:type="dxa"/>
            <w:vMerge/>
            <w:tcBorders>
              <w:top w:val="nil"/>
            </w:tcBorders>
            <w:shd w:val="clear" w:color="auto" w:fill="D7D7D7"/>
          </w:tcPr>
          <w:p>
            <w:pPr>
              <w:rPr>
                <w:sz w:val="2"/>
                <w:szCs w:val="2"/>
              </w:rPr>
            </w:pPr>
          </w:p>
        </w:tc>
        <w:tc>
          <w:tcPr>
            <w:tcW w:w="1531" w:type="dxa"/>
            <w:vMerge/>
            <w:tcBorders>
              <w:top w:val="nil"/>
            </w:tcBorders>
            <w:shd w:val="clear" w:color="auto" w:fill="D7D7D7"/>
          </w:tcPr>
          <w:p>
            <w:pPr>
              <w:rPr>
                <w:sz w:val="2"/>
                <w:szCs w:val="2"/>
              </w:rPr>
            </w:pPr>
          </w:p>
        </w:tc>
        <w:tc>
          <w:tcPr>
            <w:tcW w:w="1387" w:type="dxa"/>
            <w:shd w:val="clear" w:color="auto" w:fill="D7D7D7"/>
          </w:tcPr>
          <w:p>
            <w:pPr>
              <w:pStyle w:val="TableParagraph"/>
              <w:spacing w:before="99"/>
              <w:ind w:left="173" w:firstLine="317"/>
              <w:rPr>
                <w:b/>
                <w:sz w:val="18"/>
              </w:rPr>
            </w:pPr>
            <w:r>
              <w:rPr>
                <w:b/>
                <w:spacing w:val="-4"/>
                <w:sz w:val="18"/>
              </w:rPr>
              <w:t>Meta </w:t>
            </w:r>
            <w:r>
              <w:rPr>
                <w:b/>
                <w:spacing w:val="-2"/>
                <w:sz w:val="18"/>
              </w:rPr>
              <w:t>programada</w:t>
            </w:r>
          </w:p>
        </w:tc>
        <w:tc>
          <w:tcPr>
            <w:tcW w:w="1315" w:type="dxa"/>
            <w:shd w:val="clear" w:color="auto" w:fill="D7D7D7"/>
          </w:tcPr>
          <w:p>
            <w:pPr>
              <w:pStyle w:val="TableParagraph"/>
              <w:spacing w:before="200"/>
              <w:ind w:left="9"/>
              <w:jc w:val="center"/>
              <w:rPr>
                <w:b/>
                <w:sz w:val="18"/>
              </w:rPr>
            </w:pPr>
            <w:r>
              <w:rPr>
                <w:b/>
                <w:spacing w:val="-10"/>
                <w:sz w:val="18"/>
              </w:rPr>
              <w:t>¢</w:t>
            </w:r>
          </w:p>
        </w:tc>
        <w:tc>
          <w:tcPr>
            <w:tcW w:w="1387" w:type="dxa"/>
            <w:shd w:val="clear" w:color="auto" w:fill="D7D7D7"/>
          </w:tcPr>
          <w:p>
            <w:pPr>
              <w:pStyle w:val="TableParagraph"/>
              <w:spacing w:before="99"/>
              <w:ind w:left="170" w:firstLine="316"/>
              <w:rPr>
                <w:b/>
                <w:sz w:val="18"/>
              </w:rPr>
            </w:pPr>
            <w:r>
              <w:rPr>
                <w:b/>
                <w:spacing w:val="-4"/>
                <w:sz w:val="18"/>
              </w:rPr>
              <w:t>Meta </w:t>
            </w:r>
            <w:r>
              <w:rPr>
                <w:b/>
                <w:spacing w:val="-2"/>
                <w:sz w:val="18"/>
              </w:rPr>
              <w:t>programada</w:t>
            </w:r>
          </w:p>
        </w:tc>
        <w:tc>
          <w:tcPr>
            <w:tcW w:w="1392" w:type="dxa"/>
            <w:shd w:val="clear" w:color="auto" w:fill="D7D7D7"/>
          </w:tcPr>
          <w:p>
            <w:pPr>
              <w:pStyle w:val="TableParagraph"/>
              <w:spacing w:before="200"/>
              <w:ind w:left="11"/>
              <w:jc w:val="center"/>
              <w:rPr>
                <w:b/>
                <w:sz w:val="18"/>
              </w:rPr>
            </w:pPr>
            <w:r>
              <w:rPr>
                <w:b/>
                <w:spacing w:val="-10"/>
                <w:sz w:val="18"/>
              </w:rPr>
              <w:t>¢</w:t>
            </w:r>
          </w:p>
        </w:tc>
        <w:tc>
          <w:tcPr>
            <w:tcW w:w="1512" w:type="dxa"/>
            <w:shd w:val="clear" w:color="auto" w:fill="D7D7D7"/>
          </w:tcPr>
          <w:p>
            <w:pPr>
              <w:pStyle w:val="TableParagraph"/>
              <w:spacing w:before="99"/>
              <w:ind w:left="233" w:firstLine="316"/>
              <w:rPr>
                <w:b/>
                <w:sz w:val="18"/>
              </w:rPr>
            </w:pPr>
            <w:r>
              <w:rPr>
                <w:b/>
                <w:spacing w:val="-4"/>
                <w:sz w:val="18"/>
              </w:rPr>
              <w:t>Meta </w:t>
            </w:r>
            <w:r>
              <w:rPr>
                <w:b/>
                <w:spacing w:val="-2"/>
                <w:sz w:val="18"/>
              </w:rPr>
              <w:t>programada</w:t>
            </w:r>
          </w:p>
        </w:tc>
        <w:tc>
          <w:tcPr>
            <w:tcW w:w="1364" w:type="dxa"/>
            <w:shd w:val="clear" w:color="auto" w:fill="D7D7D7"/>
          </w:tcPr>
          <w:p>
            <w:pPr>
              <w:pStyle w:val="TableParagraph"/>
              <w:spacing w:before="200"/>
              <w:ind w:left="55" w:right="42"/>
              <w:jc w:val="center"/>
              <w:rPr>
                <w:b/>
                <w:sz w:val="18"/>
              </w:rPr>
            </w:pPr>
            <w:r>
              <w:rPr>
                <w:b/>
                <w:spacing w:val="-10"/>
                <w:sz w:val="18"/>
              </w:rPr>
              <w:t>¢</w:t>
            </w:r>
          </w:p>
        </w:tc>
        <w:tc>
          <w:tcPr>
            <w:tcW w:w="1484" w:type="dxa"/>
            <w:shd w:val="clear" w:color="auto" w:fill="D7D7D7"/>
          </w:tcPr>
          <w:p>
            <w:pPr>
              <w:pStyle w:val="TableParagraph"/>
              <w:spacing w:before="99"/>
              <w:ind w:left="219" w:firstLine="317"/>
              <w:rPr>
                <w:b/>
                <w:sz w:val="18"/>
              </w:rPr>
            </w:pPr>
            <w:r>
              <w:rPr>
                <w:b/>
                <w:spacing w:val="-4"/>
                <w:sz w:val="18"/>
              </w:rPr>
              <w:t>Meta </w:t>
            </w:r>
            <w:r>
              <w:rPr>
                <w:b/>
                <w:spacing w:val="-2"/>
                <w:sz w:val="18"/>
              </w:rPr>
              <w:t>programada</w:t>
            </w:r>
          </w:p>
        </w:tc>
        <w:tc>
          <w:tcPr>
            <w:tcW w:w="1484" w:type="dxa"/>
            <w:shd w:val="clear" w:color="auto" w:fill="D7D7D7"/>
          </w:tcPr>
          <w:p>
            <w:pPr>
              <w:pStyle w:val="TableParagraph"/>
              <w:spacing w:before="200"/>
              <w:ind w:left="16"/>
              <w:jc w:val="center"/>
              <w:rPr>
                <w:b/>
                <w:sz w:val="18"/>
              </w:rPr>
            </w:pPr>
            <w:r>
              <w:rPr>
                <w:b/>
                <w:spacing w:val="-10"/>
                <w:sz w:val="18"/>
              </w:rPr>
              <w:t>¢</w:t>
            </w:r>
          </w:p>
        </w:tc>
      </w:tr>
      <w:tr>
        <w:trPr>
          <w:trHeight w:val="2266" w:hRule="atLeast"/>
        </w:trPr>
        <w:tc>
          <w:tcPr>
            <w:tcW w:w="1536" w:type="dxa"/>
          </w:tcPr>
          <w:p>
            <w:pPr>
              <w:pStyle w:val="TableParagraph"/>
              <w:ind w:left="72" w:right="71"/>
              <w:rPr>
                <w:sz w:val="18"/>
              </w:rPr>
            </w:pPr>
            <w:r>
              <w:rPr>
                <w:sz w:val="18"/>
              </w:rPr>
              <w:t>mantener una rotación no superior</w:t>
            </w:r>
            <w:r>
              <w:rPr>
                <w:spacing w:val="-8"/>
                <w:sz w:val="18"/>
              </w:rPr>
              <w:t> </w:t>
            </w:r>
            <w:r>
              <w:rPr>
                <w:sz w:val="18"/>
              </w:rPr>
              <w:t>a</w:t>
            </w:r>
            <w:r>
              <w:rPr>
                <w:spacing w:val="-12"/>
                <w:sz w:val="18"/>
              </w:rPr>
              <w:t> </w:t>
            </w:r>
            <w:r>
              <w:rPr>
                <w:sz w:val="18"/>
              </w:rPr>
              <w:t>los</w:t>
            </w:r>
            <w:r>
              <w:rPr>
                <w:spacing w:val="-12"/>
                <w:sz w:val="18"/>
              </w:rPr>
              <w:t> </w:t>
            </w:r>
            <w:r>
              <w:rPr>
                <w:sz w:val="18"/>
              </w:rPr>
              <w:t>4,5 meses para los </w:t>
            </w:r>
            <w:r>
              <w:rPr>
                <w:spacing w:val="-2"/>
                <w:sz w:val="18"/>
              </w:rPr>
              <w:t>productos </w:t>
            </w:r>
            <w:r>
              <w:rPr>
                <w:sz w:val="18"/>
              </w:rPr>
              <w:t>importados y no superiores 1,5 mes en</w:t>
            </w:r>
            <w:r>
              <w:rPr>
                <w:spacing w:val="40"/>
                <w:sz w:val="18"/>
              </w:rPr>
              <w:t> </w:t>
            </w:r>
            <w:r>
              <w:rPr>
                <w:spacing w:val="-2"/>
                <w:sz w:val="18"/>
              </w:rPr>
              <w:t>productos</w:t>
            </w:r>
          </w:p>
          <w:p>
            <w:pPr>
              <w:pStyle w:val="TableParagraph"/>
              <w:spacing w:line="206" w:lineRule="exact"/>
              <w:ind w:left="72"/>
              <w:rPr>
                <w:sz w:val="18"/>
              </w:rPr>
            </w:pPr>
            <w:r>
              <w:rPr>
                <w:sz w:val="18"/>
              </w:rPr>
              <w:t>nacionales</w:t>
            </w:r>
            <w:r>
              <w:rPr>
                <w:spacing w:val="-13"/>
                <w:sz w:val="18"/>
              </w:rPr>
              <w:t> </w:t>
            </w:r>
            <w:r>
              <w:rPr>
                <w:sz w:val="18"/>
              </w:rPr>
              <w:t>(en </w:t>
            </w:r>
            <w:r>
              <w:rPr>
                <w:spacing w:val="-2"/>
                <w:sz w:val="18"/>
              </w:rPr>
              <w:t>bodega).</w:t>
            </w:r>
          </w:p>
        </w:tc>
        <w:tc>
          <w:tcPr>
            <w:tcW w:w="1531" w:type="dxa"/>
          </w:tcPr>
          <w:p>
            <w:pPr>
              <w:pStyle w:val="TableParagraph"/>
              <w:rPr>
                <w:rFonts w:ascii="Times New Roman"/>
                <w:sz w:val="18"/>
              </w:rPr>
            </w:pP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r>
        <w:trPr>
          <w:trHeight w:val="619" w:hRule="atLeast"/>
        </w:trPr>
        <w:tc>
          <w:tcPr>
            <w:tcW w:w="14392" w:type="dxa"/>
            <w:gridSpan w:val="10"/>
            <w:shd w:val="clear" w:color="auto" w:fill="EFF8F9"/>
          </w:tcPr>
          <w:p>
            <w:pPr>
              <w:pStyle w:val="TableParagraph"/>
              <w:spacing w:before="101"/>
              <w:ind w:left="72"/>
              <w:rPr>
                <w:b/>
                <w:sz w:val="18"/>
              </w:rPr>
            </w:pPr>
            <w:r>
              <w:rPr>
                <w:b/>
                <w:sz w:val="18"/>
              </w:rPr>
              <w:t>Producto PEC 3.4: Estructura organizacional de Empresas Comerciales analizada, que contribuya a mejorar las capacidades de funcionamiento del negocio (E5 AE2 </w:t>
            </w:r>
            <w:r>
              <w:rPr>
                <w:b/>
                <w:spacing w:val="-4"/>
                <w:sz w:val="18"/>
              </w:rPr>
              <w:t>R2)</w:t>
            </w:r>
          </w:p>
        </w:tc>
      </w:tr>
      <w:tr>
        <w:trPr>
          <w:trHeight w:val="2486" w:hRule="atLeast"/>
        </w:trPr>
        <w:tc>
          <w:tcPr>
            <w:tcW w:w="1536" w:type="dxa"/>
          </w:tcPr>
          <w:p>
            <w:pPr>
              <w:pStyle w:val="TableParagraph"/>
              <w:spacing w:line="207" w:lineRule="exact" w:before="3"/>
              <w:ind w:left="72"/>
              <w:rPr>
                <w:b/>
                <w:sz w:val="18"/>
              </w:rPr>
            </w:pPr>
            <w:r>
              <w:rPr>
                <w:b/>
                <w:sz w:val="18"/>
              </w:rPr>
              <w:t>Actividad</w:t>
            </w:r>
            <w:r>
              <w:rPr>
                <w:b/>
                <w:spacing w:val="-6"/>
                <w:sz w:val="18"/>
              </w:rPr>
              <w:t> </w:t>
            </w:r>
            <w:r>
              <w:rPr>
                <w:b/>
                <w:spacing w:val="-5"/>
                <w:sz w:val="18"/>
              </w:rPr>
              <w:t>PEC</w:t>
            </w:r>
          </w:p>
          <w:p>
            <w:pPr>
              <w:pStyle w:val="TableParagraph"/>
              <w:ind w:left="72" w:right="75"/>
              <w:rPr>
                <w:sz w:val="18"/>
              </w:rPr>
            </w:pPr>
            <w:r>
              <w:rPr>
                <w:b/>
                <w:sz w:val="18"/>
              </w:rPr>
              <w:t>3.4.1: </w:t>
            </w:r>
            <w:r>
              <w:rPr>
                <w:sz w:val="18"/>
              </w:rPr>
              <w:t>Atender</w:t>
            </w:r>
            <w:r>
              <w:rPr>
                <w:spacing w:val="40"/>
                <w:sz w:val="18"/>
              </w:rPr>
              <w:t> </w:t>
            </w:r>
            <w:r>
              <w:rPr>
                <w:spacing w:val="-4"/>
                <w:sz w:val="18"/>
              </w:rPr>
              <w:t>los </w:t>
            </w:r>
            <w:r>
              <w:rPr>
                <w:spacing w:val="-2"/>
                <w:sz w:val="18"/>
              </w:rPr>
              <w:t>requerimientos </w:t>
            </w:r>
            <w:r>
              <w:rPr>
                <w:sz w:val="18"/>
              </w:rPr>
              <w:t>solicitados por </w:t>
            </w:r>
            <w:r>
              <w:rPr>
                <w:spacing w:val="-2"/>
                <w:sz w:val="18"/>
              </w:rPr>
              <w:t>planificación </w:t>
            </w:r>
            <w:r>
              <w:rPr>
                <w:sz w:val="18"/>
              </w:rPr>
              <w:t>institucional</w:t>
            </w:r>
            <w:r>
              <w:rPr>
                <w:spacing w:val="-15"/>
                <w:sz w:val="18"/>
              </w:rPr>
              <w:t> </w:t>
            </w:r>
            <w:r>
              <w:rPr>
                <w:sz w:val="18"/>
              </w:rPr>
              <w:t>en</w:t>
            </w:r>
            <w:r>
              <w:rPr>
                <w:spacing w:val="-12"/>
                <w:sz w:val="18"/>
              </w:rPr>
              <w:t> </w:t>
            </w:r>
            <w:r>
              <w:rPr>
                <w:sz w:val="18"/>
              </w:rPr>
              <w:t>la elaboración del estudio de la estructura de </w:t>
            </w:r>
            <w:r>
              <w:rPr>
                <w:spacing w:val="-2"/>
                <w:sz w:val="18"/>
              </w:rPr>
              <w:t>Empresas</w:t>
            </w:r>
          </w:p>
          <w:p>
            <w:pPr>
              <w:pStyle w:val="TableParagraph"/>
              <w:spacing w:line="187" w:lineRule="exact"/>
              <w:ind w:left="72"/>
              <w:rPr>
                <w:sz w:val="18"/>
              </w:rPr>
            </w:pPr>
            <w:r>
              <w:rPr>
                <w:spacing w:val="-2"/>
                <w:sz w:val="18"/>
              </w:rPr>
              <w:t>Comerciales</w:t>
            </w:r>
          </w:p>
        </w:tc>
        <w:tc>
          <w:tcPr>
            <w:tcW w:w="153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7"/>
              <w:rPr>
                <w:sz w:val="18"/>
              </w:rPr>
            </w:pPr>
            <w:r>
              <w:rPr>
                <w:sz w:val="18"/>
              </w:rPr>
              <w:t>Porcentaje de </w:t>
            </w:r>
            <w:r>
              <w:rPr>
                <w:spacing w:val="-2"/>
                <w:sz w:val="18"/>
              </w:rPr>
              <w:t>requerimientos </w:t>
            </w:r>
            <w:r>
              <w:rPr>
                <w:sz w:val="18"/>
              </w:rPr>
              <w:t>atendidos</w:t>
            </w:r>
            <w:r>
              <w:rPr>
                <w:spacing w:val="-15"/>
                <w:sz w:val="18"/>
              </w:rPr>
              <w:t> </w:t>
            </w:r>
            <w:r>
              <w:rPr>
                <w:sz w:val="18"/>
              </w:rPr>
              <w:t>para</w:t>
            </w:r>
            <w:r>
              <w:rPr>
                <w:spacing w:val="-12"/>
                <w:sz w:val="18"/>
              </w:rPr>
              <w:t> </w:t>
            </w:r>
            <w:r>
              <w:rPr>
                <w:sz w:val="18"/>
              </w:rPr>
              <w:t>la elaboración del estudio de </w:t>
            </w:r>
            <w:r>
              <w:rPr>
                <w:spacing w:val="-2"/>
                <w:sz w:val="18"/>
              </w:rPr>
              <w:t>estructura</w:t>
            </w: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spacing w:before="1"/>
              <w:ind w:left="953"/>
              <w:rPr>
                <w:sz w:val="18"/>
              </w:rPr>
            </w:pPr>
            <w:r>
              <w:rPr>
                <w:spacing w:val="-4"/>
                <w:sz w:val="18"/>
              </w:rPr>
              <w:t>100%</w:t>
            </w:r>
          </w:p>
        </w:tc>
        <w:tc>
          <w:tcPr>
            <w:tcW w:w="1484" w:type="dxa"/>
          </w:tcPr>
          <w:p>
            <w:pPr>
              <w:pStyle w:val="TableParagraph"/>
              <w:rPr>
                <w:rFonts w:ascii="Times New Roman"/>
                <w:sz w:val="18"/>
              </w:rPr>
            </w:pPr>
          </w:p>
        </w:tc>
      </w:tr>
      <w:tr>
        <w:trPr>
          <w:trHeight w:val="522" w:hRule="atLeast"/>
        </w:trPr>
        <w:tc>
          <w:tcPr>
            <w:tcW w:w="14392" w:type="dxa"/>
            <w:gridSpan w:val="10"/>
            <w:shd w:val="clear" w:color="auto" w:fill="EFF8F9"/>
          </w:tcPr>
          <w:p>
            <w:pPr>
              <w:pStyle w:val="TableParagraph"/>
              <w:spacing w:before="157"/>
              <w:ind w:left="72"/>
              <w:rPr>
                <w:b/>
                <w:sz w:val="18"/>
              </w:rPr>
            </w:pPr>
            <w:r>
              <w:rPr>
                <w:b/>
                <w:sz w:val="18"/>
              </w:rPr>
              <w:t>Producto</w:t>
            </w:r>
            <w:r>
              <w:rPr>
                <w:b/>
                <w:spacing w:val="-7"/>
                <w:sz w:val="18"/>
              </w:rPr>
              <w:t> </w:t>
            </w:r>
            <w:r>
              <w:rPr>
                <w:b/>
                <w:sz w:val="18"/>
              </w:rPr>
              <w:t>PEC</w:t>
            </w:r>
            <w:r>
              <w:rPr>
                <w:b/>
                <w:spacing w:val="-8"/>
                <w:sz w:val="18"/>
              </w:rPr>
              <w:t> </w:t>
            </w:r>
            <w:r>
              <w:rPr>
                <w:b/>
                <w:sz w:val="18"/>
              </w:rPr>
              <w:t>3.5:</w:t>
            </w:r>
            <w:r>
              <w:rPr>
                <w:b/>
                <w:spacing w:val="-4"/>
                <w:sz w:val="18"/>
              </w:rPr>
              <w:t> </w:t>
            </w:r>
            <w:r>
              <w:rPr>
                <w:b/>
                <w:sz w:val="18"/>
              </w:rPr>
              <w:t>Modelo</w:t>
            </w:r>
            <w:r>
              <w:rPr>
                <w:b/>
                <w:spacing w:val="-6"/>
                <w:sz w:val="18"/>
              </w:rPr>
              <w:t> </w:t>
            </w:r>
            <w:r>
              <w:rPr>
                <w:b/>
                <w:sz w:val="18"/>
              </w:rPr>
              <w:t>de</w:t>
            </w:r>
            <w:r>
              <w:rPr>
                <w:b/>
                <w:spacing w:val="-6"/>
                <w:sz w:val="18"/>
              </w:rPr>
              <w:t> </w:t>
            </w:r>
            <w:r>
              <w:rPr>
                <w:b/>
                <w:sz w:val="18"/>
              </w:rPr>
              <w:t>Comisiones</w:t>
            </w:r>
            <w:r>
              <w:rPr>
                <w:b/>
                <w:spacing w:val="-6"/>
                <w:sz w:val="18"/>
              </w:rPr>
              <w:t> </w:t>
            </w:r>
            <w:r>
              <w:rPr>
                <w:b/>
                <w:sz w:val="18"/>
              </w:rPr>
              <w:t>actualizado,</w:t>
            </w:r>
            <w:r>
              <w:rPr>
                <w:b/>
                <w:spacing w:val="-4"/>
                <w:sz w:val="18"/>
              </w:rPr>
              <w:t> </w:t>
            </w:r>
            <w:r>
              <w:rPr>
                <w:b/>
                <w:sz w:val="18"/>
              </w:rPr>
              <w:t>que</w:t>
            </w:r>
            <w:r>
              <w:rPr>
                <w:b/>
                <w:spacing w:val="-2"/>
                <w:sz w:val="18"/>
              </w:rPr>
              <w:t> </w:t>
            </w:r>
            <w:r>
              <w:rPr>
                <w:b/>
                <w:sz w:val="18"/>
              </w:rPr>
              <w:t>contribuya</w:t>
            </w:r>
            <w:r>
              <w:rPr>
                <w:b/>
                <w:spacing w:val="-5"/>
                <w:sz w:val="18"/>
              </w:rPr>
              <w:t> </w:t>
            </w:r>
            <w:r>
              <w:rPr>
                <w:b/>
                <w:sz w:val="18"/>
              </w:rPr>
              <w:t>a</w:t>
            </w:r>
            <w:r>
              <w:rPr>
                <w:b/>
                <w:spacing w:val="-6"/>
                <w:sz w:val="18"/>
              </w:rPr>
              <w:t> </w:t>
            </w:r>
            <w:r>
              <w:rPr>
                <w:b/>
                <w:sz w:val="18"/>
              </w:rPr>
              <w:t>la</w:t>
            </w:r>
            <w:r>
              <w:rPr>
                <w:b/>
                <w:spacing w:val="-6"/>
                <w:sz w:val="18"/>
              </w:rPr>
              <w:t> </w:t>
            </w:r>
            <w:r>
              <w:rPr>
                <w:b/>
                <w:sz w:val="18"/>
              </w:rPr>
              <w:t>eficiencia</w:t>
            </w:r>
            <w:r>
              <w:rPr>
                <w:b/>
                <w:spacing w:val="-6"/>
                <w:sz w:val="18"/>
              </w:rPr>
              <w:t> </w:t>
            </w:r>
            <w:r>
              <w:rPr>
                <w:b/>
                <w:sz w:val="18"/>
              </w:rPr>
              <w:t>de</w:t>
            </w:r>
            <w:r>
              <w:rPr>
                <w:b/>
                <w:spacing w:val="-5"/>
                <w:sz w:val="18"/>
              </w:rPr>
              <w:t> </w:t>
            </w:r>
            <w:r>
              <w:rPr>
                <w:b/>
                <w:sz w:val="18"/>
              </w:rPr>
              <w:t>la</w:t>
            </w:r>
            <w:r>
              <w:rPr>
                <w:b/>
                <w:spacing w:val="-6"/>
                <w:sz w:val="18"/>
              </w:rPr>
              <w:t> </w:t>
            </w:r>
            <w:r>
              <w:rPr>
                <w:b/>
                <w:sz w:val="18"/>
              </w:rPr>
              <w:t>gestión</w:t>
            </w:r>
            <w:r>
              <w:rPr>
                <w:b/>
                <w:spacing w:val="-7"/>
                <w:sz w:val="18"/>
              </w:rPr>
              <w:t> </w:t>
            </w:r>
            <w:r>
              <w:rPr>
                <w:b/>
                <w:sz w:val="18"/>
              </w:rPr>
              <w:t>comercial</w:t>
            </w:r>
            <w:r>
              <w:rPr>
                <w:b/>
                <w:spacing w:val="-4"/>
                <w:sz w:val="18"/>
              </w:rPr>
              <w:t> </w:t>
            </w:r>
            <w:r>
              <w:rPr>
                <w:b/>
                <w:sz w:val="18"/>
              </w:rPr>
              <w:t>(E5</w:t>
            </w:r>
            <w:r>
              <w:rPr>
                <w:b/>
                <w:spacing w:val="-10"/>
                <w:sz w:val="18"/>
              </w:rPr>
              <w:t> </w:t>
            </w:r>
            <w:r>
              <w:rPr>
                <w:b/>
                <w:sz w:val="18"/>
              </w:rPr>
              <w:t>AE2</w:t>
            </w:r>
            <w:r>
              <w:rPr>
                <w:b/>
                <w:spacing w:val="-2"/>
                <w:sz w:val="18"/>
              </w:rPr>
              <w:t> </w:t>
            </w:r>
            <w:r>
              <w:rPr>
                <w:b/>
                <w:spacing w:val="-5"/>
                <w:sz w:val="18"/>
              </w:rPr>
              <w:t>R3)</w:t>
            </w:r>
          </w:p>
        </w:tc>
      </w:tr>
      <w:tr>
        <w:trPr>
          <w:trHeight w:val="2074" w:hRule="atLeast"/>
        </w:trPr>
        <w:tc>
          <w:tcPr>
            <w:tcW w:w="1536" w:type="dxa"/>
          </w:tcPr>
          <w:p>
            <w:pPr>
              <w:pStyle w:val="TableParagraph"/>
              <w:spacing w:line="207" w:lineRule="exact" w:before="4"/>
              <w:ind w:left="72"/>
              <w:rPr>
                <w:b/>
                <w:sz w:val="18"/>
              </w:rPr>
            </w:pPr>
            <w:r>
              <w:rPr>
                <w:b/>
                <w:sz w:val="18"/>
              </w:rPr>
              <w:t>Actividad</w:t>
            </w:r>
            <w:r>
              <w:rPr>
                <w:b/>
                <w:spacing w:val="-6"/>
                <w:sz w:val="18"/>
              </w:rPr>
              <w:t> </w:t>
            </w:r>
            <w:r>
              <w:rPr>
                <w:b/>
                <w:spacing w:val="-5"/>
                <w:sz w:val="18"/>
              </w:rPr>
              <w:t>PEC</w:t>
            </w:r>
          </w:p>
          <w:p>
            <w:pPr>
              <w:pStyle w:val="TableParagraph"/>
              <w:ind w:left="72"/>
              <w:rPr>
                <w:sz w:val="18"/>
              </w:rPr>
            </w:pPr>
            <w:r>
              <w:rPr>
                <w:b/>
                <w:sz w:val="18"/>
              </w:rPr>
              <w:t>3.5.1:</w:t>
            </w:r>
            <w:r>
              <w:rPr>
                <w:b/>
                <w:spacing w:val="-5"/>
                <w:sz w:val="18"/>
              </w:rPr>
              <w:t> </w:t>
            </w:r>
            <w:r>
              <w:rPr>
                <w:sz w:val="18"/>
              </w:rPr>
              <w:t>Analizar</w:t>
            </w:r>
            <w:r>
              <w:rPr>
                <w:spacing w:val="-5"/>
                <w:sz w:val="18"/>
              </w:rPr>
              <w:t> </w:t>
            </w:r>
            <w:r>
              <w:rPr>
                <w:sz w:val="18"/>
              </w:rPr>
              <w:t>el modelo</w:t>
            </w:r>
            <w:r>
              <w:rPr>
                <w:spacing w:val="-15"/>
                <w:sz w:val="18"/>
              </w:rPr>
              <w:t> </w:t>
            </w:r>
            <w:r>
              <w:rPr>
                <w:sz w:val="18"/>
              </w:rPr>
              <w:t>actual</w:t>
            </w:r>
            <w:r>
              <w:rPr>
                <w:spacing w:val="-12"/>
                <w:sz w:val="18"/>
              </w:rPr>
              <w:t> </w:t>
            </w:r>
            <w:r>
              <w:rPr>
                <w:sz w:val="18"/>
              </w:rPr>
              <w:t>d</w:t>
            </w:r>
            <w:r>
              <w:rPr>
                <w:sz w:val="18"/>
              </w:rPr>
              <w:t>e</w:t>
            </w:r>
            <w:r>
              <w:rPr>
                <w:sz w:val="18"/>
              </w:rPr>
              <w:t> comisiones y presentar una propuesta que contribuya a la satisfacción del objetivo de las</w:t>
            </w:r>
          </w:p>
          <w:p>
            <w:pPr>
              <w:pStyle w:val="TableParagraph"/>
              <w:spacing w:line="187" w:lineRule="exact"/>
              <w:ind w:left="72"/>
              <w:rPr>
                <w:sz w:val="18"/>
              </w:rPr>
            </w:pPr>
            <w:r>
              <w:rPr>
                <w:sz w:val="18"/>
              </w:rPr>
              <w:t>tiendas</w:t>
            </w:r>
            <w:r>
              <w:rPr>
                <w:spacing w:val="-4"/>
                <w:sz w:val="18"/>
              </w:rPr>
              <w:t> </w:t>
            </w:r>
            <w:r>
              <w:rPr>
                <w:spacing w:val="-2"/>
                <w:sz w:val="18"/>
              </w:rPr>
              <w:t>libres,</w:t>
            </w:r>
          </w:p>
        </w:tc>
        <w:tc>
          <w:tcPr>
            <w:tcW w:w="1531" w:type="dxa"/>
          </w:tcPr>
          <w:p>
            <w:pPr>
              <w:pStyle w:val="TableParagraph"/>
              <w:rPr>
                <w:b/>
                <w:sz w:val="18"/>
              </w:rPr>
            </w:pPr>
          </w:p>
          <w:p>
            <w:pPr>
              <w:pStyle w:val="TableParagraph"/>
              <w:spacing w:before="104"/>
              <w:rPr>
                <w:b/>
                <w:sz w:val="18"/>
              </w:rPr>
            </w:pPr>
          </w:p>
          <w:p>
            <w:pPr>
              <w:pStyle w:val="TableParagraph"/>
              <w:ind w:left="67" w:right="336"/>
              <w:rPr>
                <w:sz w:val="18"/>
              </w:rPr>
            </w:pPr>
            <w:r>
              <w:rPr>
                <w:sz w:val="18"/>
              </w:rPr>
              <w:t>Porcentaje</w:t>
            </w:r>
            <w:r>
              <w:rPr>
                <w:spacing w:val="-13"/>
                <w:sz w:val="18"/>
              </w:rPr>
              <w:t> </w:t>
            </w:r>
            <w:r>
              <w:rPr>
                <w:sz w:val="18"/>
              </w:rPr>
              <w:t>de avance en la propuesta de modelo de </w:t>
            </w:r>
            <w:r>
              <w:rPr>
                <w:spacing w:val="-2"/>
                <w:sz w:val="18"/>
              </w:rPr>
              <w:t>comisiones</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860"/>
              <w:rPr>
                <w:sz w:val="18"/>
              </w:rPr>
            </w:pPr>
            <w:r>
              <w:rPr>
                <w:spacing w:val="-4"/>
                <w:sz w:val="18"/>
              </w:rPr>
              <w:t>100%</w:t>
            </w: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417"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6"/>
        <w:gridCol w:w="1531"/>
        <w:gridCol w:w="1387"/>
        <w:gridCol w:w="1315"/>
        <w:gridCol w:w="1387"/>
        <w:gridCol w:w="1392"/>
        <w:gridCol w:w="1512"/>
        <w:gridCol w:w="1364"/>
        <w:gridCol w:w="1484"/>
        <w:gridCol w:w="1484"/>
      </w:tblGrid>
      <w:tr>
        <w:trPr>
          <w:trHeight w:val="302" w:hRule="atLeast"/>
        </w:trPr>
        <w:tc>
          <w:tcPr>
            <w:tcW w:w="1536" w:type="dxa"/>
            <w:vMerge w:val="restart"/>
            <w:shd w:val="clear" w:color="auto" w:fill="D7D7D7"/>
          </w:tcPr>
          <w:p>
            <w:pPr>
              <w:pStyle w:val="TableParagraph"/>
              <w:spacing w:before="46"/>
              <w:rPr>
                <w:b/>
                <w:sz w:val="18"/>
              </w:rPr>
            </w:pPr>
          </w:p>
          <w:p>
            <w:pPr>
              <w:pStyle w:val="TableParagraph"/>
              <w:ind w:left="283" w:firstLine="24"/>
              <w:rPr>
                <w:b/>
                <w:sz w:val="18"/>
              </w:rPr>
            </w:pPr>
            <w:r>
              <w:rPr>
                <w:b/>
                <w:sz w:val="18"/>
              </w:rPr>
              <w:t>Objetivos</w:t>
            </w:r>
            <w:r>
              <w:rPr>
                <w:b/>
                <w:spacing w:val="-7"/>
                <w:sz w:val="18"/>
              </w:rPr>
              <w:t> </w:t>
            </w:r>
            <w:r>
              <w:rPr>
                <w:b/>
                <w:sz w:val="18"/>
              </w:rPr>
              <w:t>/ </w:t>
            </w:r>
            <w:r>
              <w:rPr>
                <w:b/>
                <w:spacing w:val="-2"/>
                <w:sz w:val="18"/>
              </w:rPr>
              <w:t>Resultados</w:t>
            </w:r>
          </w:p>
        </w:tc>
        <w:tc>
          <w:tcPr>
            <w:tcW w:w="1531" w:type="dxa"/>
            <w:vMerge w:val="restart"/>
            <w:shd w:val="clear" w:color="auto" w:fill="D7D7D7"/>
          </w:tcPr>
          <w:p>
            <w:pPr>
              <w:pStyle w:val="TableParagraph"/>
              <w:spacing w:before="151"/>
              <w:rPr>
                <w:b/>
                <w:sz w:val="18"/>
              </w:rPr>
            </w:pPr>
          </w:p>
          <w:p>
            <w:pPr>
              <w:pStyle w:val="TableParagraph"/>
              <w:spacing w:before="1"/>
              <w:ind w:left="355"/>
              <w:rPr>
                <w:b/>
                <w:sz w:val="18"/>
              </w:rPr>
            </w:pPr>
            <w:r>
              <w:rPr>
                <w:b/>
                <w:spacing w:val="-2"/>
                <w:sz w:val="18"/>
              </w:rPr>
              <w:t>Indicador</w:t>
            </w:r>
          </w:p>
        </w:tc>
        <w:tc>
          <w:tcPr>
            <w:tcW w:w="2702" w:type="dxa"/>
            <w:gridSpan w:val="2"/>
            <w:shd w:val="clear" w:color="auto" w:fill="D7D7D7"/>
          </w:tcPr>
          <w:p>
            <w:pPr>
              <w:pStyle w:val="TableParagraph"/>
              <w:spacing w:before="47"/>
              <w:ind w:left="889"/>
              <w:rPr>
                <w:b/>
                <w:sz w:val="18"/>
              </w:rPr>
            </w:pPr>
            <w:r>
              <w:rPr>
                <w:b/>
                <w:sz w:val="18"/>
              </w:rPr>
              <w:t>I</w:t>
            </w:r>
            <w:r>
              <w:rPr>
                <w:b/>
                <w:spacing w:val="-1"/>
                <w:sz w:val="18"/>
              </w:rPr>
              <w:t> </w:t>
            </w:r>
            <w:r>
              <w:rPr>
                <w:b/>
                <w:spacing w:val="-2"/>
                <w:sz w:val="18"/>
              </w:rPr>
              <w:t>Trimestre</w:t>
            </w:r>
          </w:p>
        </w:tc>
        <w:tc>
          <w:tcPr>
            <w:tcW w:w="2779" w:type="dxa"/>
            <w:gridSpan w:val="2"/>
            <w:shd w:val="clear" w:color="auto" w:fill="D7D7D7"/>
          </w:tcPr>
          <w:p>
            <w:pPr>
              <w:pStyle w:val="TableParagraph"/>
              <w:spacing w:before="47"/>
              <w:ind w:left="904"/>
              <w:rPr>
                <w:b/>
                <w:sz w:val="18"/>
              </w:rPr>
            </w:pPr>
            <w:r>
              <w:rPr>
                <w:b/>
                <w:sz w:val="18"/>
              </w:rPr>
              <w:t>II</w:t>
            </w:r>
            <w:r>
              <w:rPr>
                <w:b/>
                <w:spacing w:val="-3"/>
                <w:sz w:val="18"/>
              </w:rPr>
              <w:t> </w:t>
            </w:r>
            <w:r>
              <w:rPr>
                <w:b/>
                <w:spacing w:val="-2"/>
                <w:sz w:val="18"/>
              </w:rPr>
              <w:t>Trimestre</w:t>
            </w:r>
          </w:p>
        </w:tc>
        <w:tc>
          <w:tcPr>
            <w:tcW w:w="2876" w:type="dxa"/>
            <w:gridSpan w:val="2"/>
            <w:shd w:val="clear" w:color="auto" w:fill="D7D7D7"/>
          </w:tcPr>
          <w:p>
            <w:pPr>
              <w:pStyle w:val="TableParagraph"/>
              <w:spacing w:before="47"/>
              <w:ind w:left="925"/>
              <w:rPr>
                <w:b/>
                <w:sz w:val="18"/>
              </w:rPr>
            </w:pPr>
            <w:r>
              <w:rPr>
                <w:b/>
                <w:sz w:val="18"/>
              </w:rPr>
              <w:t>III</w:t>
            </w:r>
            <w:r>
              <w:rPr>
                <w:b/>
                <w:spacing w:val="-2"/>
                <w:sz w:val="18"/>
              </w:rPr>
              <w:t> Trimestre</w:t>
            </w:r>
          </w:p>
        </w:tc>
        <w:tc>
          <w:tcPr>
            <w:tcW w:w="2968" w:type="dxa"/>
            <w:gridSpan w:val="2"/>
            <w:shd w:val="clear" w:color="auto" w:fill="D7D7D7"/>
          </w:tcPr>
          <w:p>
            <w:pPr>
              <w:pStyle w:val="TableParagraph"/>
              <w:spacing w:before="47"/>
              <w:ind w:left="963"/>
              <w:rPr>
                <w:b/>
                <w:sz w:val="18"/>
              </w:rPr>
            </w:pPr>
            <w:r>
              <w:rPr>
                <w:b/>
                <w:sz w:val="18"/>
              </w:rPr>
              <w:t>IV</w:t>
            </w:r>
            <w:r>
              <w:rPr>
                <w:b/>
                <w:spacing w:val="-2"/>
                <w:sz w:val="18"/>
              </w:rPr>
              <w:t> Trimestre</w:t>
            </w:r>
          </w:p>
        </w:tc>
      </w:tr>
      <w:tr>
        <w:trPr>
          <w:trHeight w:val="613" w:hRule="atLeast"/>
        </w:trPr>
        <w:tc>
          <w:tcPr>
            <w:tcW w:w="1536" w:type="dxa"/>
            <w:vMerge/>
            <w:tcBorders>
              <w:top w:val="nil"/>
            </w:tcBorders>
            <w:shd w:val="clear" w:color="auto" w:fill="D7D7D7"/>
          </w:tcPr>
          <w:p>
            <w:pPr>
              <w:rPr>
                <w:sz w:val="2"/>
                <w:szCs w:val="2"/>
              </w:rPr>
            </w:pPr>
          </w:p>
        </w:tc>
        <w:tc>
          <w:tcPr>
            <w:tcW w:w="1531" w:type="dxa"/>
            <w:vMerge/>
            <w:tcBorders>
              <w:top w:val="nil"/>
            </w:tcBorders>
            <w:shd w:val="clear" w:color="auto" w:fill="D7D7D7"/>
          </w:tcPr>
          <w:p>
            <w:pPr>
              <w:rPr>
                <w:sz w:val="2"/>
                <w:szCs w:val="2"/>
              </w:rPr>
            </w:pPr>
          </w:p>
        </w:tc>
        <w:tc>
          <w:tcPr>
            <w:tcW w:w="1387" w:type="dxa"/>
            <w:shd w:val="clear" w:color="auto" w:fill="D7D7D7"/>
          </w:tcPr>
          <w:p>
            <w:pPr>
              <w:pStyle w:val="TableParagraph"/>
              <w:spacing w:before="99"/>
              <w:ind w:left="173" w:firstLine="317"/>
              <w:rPr>
                <w:b/>
                <w:sz w:val="18"/>
              </w:rPr>
            </w:pPr>
            <w:r>
              <w:rPr>
                <w:b/>
                <w:spacing w:val="-4"/>
                <w:sz w:val="18"/>
              </w:rPr>
              <w:t>Meta </w:t>
            </w:r>
            <w:r>
              <w:rPr>
                <w:b/>
                <w:spacing w:val="-2"/>
                <w:sz w:val="18"/>
              </w:rPr>
              <w:t>programada</w:t>
            </w:r>
          </w:p>
        </w:tc>
        <w:tc>
          <w:tcPr>
            <w:tcW w:w="1315" w:type="dxa"/>
            <w:shd w:val="clear" w:color="auto" w:fill="D7D7D7"/>
          </w:tcPr>
          <w:p>
            <w:pPr>
              <w:pStyle w:val="TableParagraph"/>
              <w:spacing w:before="200"/>
              <w:ind w:left="9"/>
              <w:jc w:val="center"/>
              <w:rPr>
                <w:b/>
                <w:sz w:val="18"/>
              </w:rPr>
            </w:pPr>
            <w:r>
              <w:rPr>
                <w:b/>
                <w:spacing w:val="-10"/>
                <w:sz w:val="18"/>
              </w:rPr>
              <w:t>¢</w:t>
            </w:r>
          </w:p>
        </w:tc>
        <w:tc>
          <w:tcPr>
            <w:tcW w:w="1387" w:type="dxa"/>
            <w:shd w:val="clear" w:color="auto" w:fill="D7D7D7"/>
          </w:tcPr>
          <w:p>
            <w:pPr>
              <w:pStyle w:val="TableParagraph"/>
              <w:spacing w:before="99"/>
              <w:ind w:left="170" w:firstLine="316"/>
              <w:rPr>
                <w:b/>
                <w:sz w:val="18"/>
              </w:rPr>
            </w:pPr>
            <w:r>
              <w:rPr>
                <w:b/>
                <w:spacing w:val="-4"/>
                <w:sz w:val="18"/>
              </w:rPr>
              <w:t>Meta </w:t>
            </w:r>
            <w:r>
              <w:rPr>
                <w:b/>
                <w:spacing w:val="-2"/>
                <w:sz w:val="18"/>
              </w:rPr>
              <w:t>programada</w:t>
            </w:r>
          </w:p>
        </w:tc>
        <w:tc>
          <w:tcPr>
            <w:tcW w:w="1392" w:type="dxa"/>
            <w:shd w:val="clear" w:color="auto" w:fill="D7D7D7"/>
          </w:tcPr>
          <w:p>
            <w:pPr>
              <w:pStyle w:val="TableParagraph"/>
              <w:spacing w:before="200"/>
              <w:ind w:left="11"/>
              <w:jc w:val="center"/>
              <w:rPr>
                <w:b/>
                <w:sz w:val="18"/>
              </w:rPr>
            </w:pPr>
            <w:r>
              <w:rPr>
                <w:b/>
                <w:spacing w:val="-10"/>
                <w:sz w:val="18"/>
              </w:rPr>
              <w:t>¢</w:t>
            </w:r>
          </w:p>
        </w:tc>
        <w:tc>
          <w:tcPr>
            <w:tcW w:w="1512" w:type="dxa"/>
            <w:shd w:val="clear" w:color="auto" w:fill="D7D7D7"/>
          </w:tcPr>
          <w:p>
            <w:pPr>
              <w:pStyle w:val="TableParagraph"/>
              <w:spacing w:before="99"/>
              <w:ind w:left="233" w:firstLine="316"/>
              <w:rPr>
                <w:b/>
                <w:sz w:val="18"/>
              </w:rPr>
            </w:pPr>
            <w:r>
              <w:rPr>
                <w:b/>
                <w:spacing w:val="-4"/>
                <w:sz w:val="18"/>
              </w:rPr>
              <w:t>Meta </w:t>
            </w:r>
            <w:r>
              <w:rPr>
                <w:b/>
                <w:spacing w:val="-2"/>
                <w:sz w:val="18"/>
              </w:rPr>
              <w:t>programada</w:t>
            </w:r>
          </w:p>
        </w:tc>
        <w:tc>
          <w:tcPr>
            <w:tcW w:w="1364" w:type="dxa"/>
            <w:shd w:val="clear" w:color="auto" w:fill="D7D7D7"/>
          </w:tcPr>
          <w:p>
            <w:pPr>
              <w:pStyle w:val="TableParagraph"/>
              <w:spacing w:before="200"/>
              <w:ind w:left="55" w:right="42"/>
              <w:jc w:val="center"/>
              <w:rPr>
                <w:b/>
                <w:sz w:val="18"/>
              </w:rPr>
            </w:pPr>
            <w:r>
              <w:rPr>
                <w:b/>
                <w:spacing w:val="-10"/>
                <w:sz w:val="18"/>
              </w:rPr>
              <w:t>¢</w:t>
            </w:r>
          </w:p>
        </w:tc>
        <w:tc>
          <w:tcPr>
            <w:tcW w:w="1484" w:type="dxa"/>
            <w:shd w:val="clear" w:color="auto" w:fill="D7D7D7"/>
          </w:tcPr>
          <w:p>
            <w:pPr>
              <w:pStyle w:val="TableParagraph"/>
              <w:spacing w:before="99"/>
              <w:ind w:left="219" w:firstLine="317"/>
              <w:rPr>
                <w:b/>
                <w:sz w:val="18"/>
              </w:rPr>
            </w:pPr>
            <w:r>
              <w:rPr>
                <w:b/>
                <w:spacing w:val="-4"/>
                <w:sz w:val="18"/>
              </w:rPr>
              <w:t>Meta </w:t>
            </w:r>
            <w:r>
              <w:rPr>
                <w:b/>
                <w:spacing w:val="-2"/>
                <w:sz w:val="18"/>
              </w:rPr>
              <w:t>programada</w:t>
            </w:r>
          </w:p>
        </w:tc>
        <w:tc>
          <w:tcPr>
            <w:tcW w:w="1484" w:type="dxa"/>
            <w:shd w:val="clear" w:color="auto" w:fill="D7D7D7"/>
          </w:tcPr>
          <w:p>
            <w:pPr>
              <w:pStyle w:val="TableParagraph"/>
              <w:spacing w:before="200"/>
              <w:ind w:left="16"/>
              <w:jc w:val="center"/>
              <w:rPr>
                <w:b/>
                <w:sz w:val="18"/>
              </w:rPr>
            </w:pPr>
            <w:r>
              <w:rPr>
                <w:b/>
                <w:spacing w:val="-10"/>
                <w:sz w:val="18"/>
              </w:rPr>
              <w:t>¢</w:t>
            </w:r>
          </w:p>
        </w:tc>
      </w:tr>
      <w:tr>
        <w:trPr>
          <w:trHeight w:val="1190" w:hRule="atLeast"/>
        </w:trPr>
        <w:tc>
          <w:tcPr>
            <w:tcW w:w="1536" w:type="dxa"/>
          </w:tcPr>
          <w:p>
            <w:pPr>
              <w:pStyle w:val="TableParagraph"/>
              <w:ind w:left="72" w:right="63"/>
              <w:rPr>
                <w:sz w:val="18"/>
              </w:rPr>
            </w:pPr>
            <w:r>
              <w:rPr>
                <w:sz w:val="18"/>
              </w:rPr>
              <w:t>para ser analizado</w:t>
            </w:r>
            <w:r>
              <w:rPr>
                <w:spacing w:val="-15"/>
                <w:sz w:val="18"/>
              </w:rPr>
              <w:t> </w:t>
            </w:r>
            <w:r>
              <w:rPr>
                <w:sz w:val="18"/>
              </w:rPr>
              <w:t>por</w:t>
            </w:r>
            <w:r>
              <w:rPr>
                <w:spacing w:val="-12"/>
                <w:sz w:val="18"/>
              </w:rPr>
              <w:t> </w:t>
            </w:r>
            <w:r>
              <w:rPr>
                <w:sz w:val="18"/>
              </w:rPr>
              <w:t>las </w:t>
            </w:r>
            <w:r>
              <w:rPr>
                <w:spacing w:val="-2"/>
                <w:sz w:val="18"/>
              </w:rPr>
              <w:t>áreas competentes.</w:t>
            </w:r>
          </w:p>
        </w:tc>
        <w:tc>
          <w:tcPr>
            <w:tcW w:w="1531" w:type="dxa"/>
          </w:tcPr>
          <w:p>
            <w:pPr>
              <w:pStyle w:val="TableParagraph"/>
              <w:rPr>
                <w:rFonts w:ascii="Times New Roman"/>
                <w:sz w:val="18"/>
              </w:rPr>
            </w:pP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r>
        <w:trPr>
          <w:trHeight w:val="2069" w:hRule="atLeast"/>
        </w:trPr>
        <w:tc>
          <w:tcPr>
            <w:tcW w:w="1536" w:type="dxa"/>
          </w:tcPr>
          <w:p>
            <w:pPr>
              <w:pStyle w:val="TableParagraph"/>
              <w:ind w:left="72"/>
              <w:rPr>
                <w:b/>
                <w:sz w:val="18"/>
              </w:rPr>
            </w:pPr>
            <w:r>
              <w:rPr>
                <w:b/>
                <w:sz w:val="18"/>
              </w:rPr>
              <w:t>Actividad</w:t>
            </w:r>
            <w:r>
              <w:rPr>
                <w:b/>
                <w:spacing w:val="-13"/>
                <w:sz w:val="18"/>
              </w:rPr>
              <w:t> </w:t>
            </w:r>
            <w:r>
              <w:rPr>
                <w:b/>
                <w:sz w:val="18"/>
              </w:rPr>
              <w:t>PEC </w:t>
            </w:r>
            <w:r>
              <w:rPr>
                <w:b/>
                <w:spacing w:val="-2"/>
                <w:sz w:val="18"/>
              </w:rPr>
              <w:t>3.5.2:</w:t>
            </w:r>
          </w:p>
          <w:p>
            <w:pPr>
              <w:pStyle w:val="TableParagraph"/>
              <w:ind w:left="72" w:right="123"/>
              <w:rPr>
                <w:sz w:val="18"/>
              </w:rPr>
            </w:pPr>
            <w:r>
              <w:rPr>
                <w:sz w:val="18"/>
              </w:rPr>
              <w:t>Implementar el modelo de comisiones</w:t>
            </w:r>
            <w:r>
              <w:rPr>
                <w:spacing w:val="-13"/>
                <w:sz w:val="18"/>
              </w:rPr>
              <w:t> </w:t>
            </w:r>
            <w:r>
              <w:rPr>
                <w:sz w:val="18"/>
              </w:rPr>
              <w:t>una vez aprobado por el Consejo Directivo y la </w:t>
            </w:r>
            <w:r>
              <w:rPr>
                <w:spacing w:val="-2"/>
                <w:sz w:val="18"/>
              </w:rPr>
              <w:t>secretaria</w:t>
            </w:r>
          </w:p>
          <w:p>
            <w:pPr>
              <w:pStyle w:val="TableParagraph"/>
              <w:spacing w:line="187" w:lineRule="exact"/>
              <w:ind w:left="72"/>
              <w:rPr>
                <w:sz w:val="18"/>
              </w:rPr>
            </w:pPr>
            <w:r>
              <w:rPr>
                <w:spacing w:val="-2"/>
                <w:sz w:val="18"/>
              </w:rPr>
              <w:t>técnica.</w:t>
            </w:r>
          </w:p>
        </w:tc>
        <w:tc>
          <w:tcPr>
            <w:tcW w:w="1531"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7"/>
              <w:rPr>
                <w:sz w:val="18"/>
              </w:rPr>
            </w:pPr>
            <w:r>
              <w:rPr>
                <w:sz w:val="18"/>
              </w:rPr>
              <w:t>Cantidad de </w:t>
            </w:r>
            <w:r>
              <w:rPr>
                <w:spacing w:val="-2"/>
                <w:sz w:val="18"/>
              </w:rPr>
              <w:t>Modelos Implementados</w:t>
            </w: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6"/>
              <w:jc w:val="right"/>
              <w:rPr>
                <w:sz w:val="18"/>
              </w:rPr>
            </w:pPr>
            <w:r>
              <w:rPr>
                <w:spacing w:val="-10"/>
                <w:sz w:val="18"/>
              </w:rPr>
              <w:t>1</w:t>
            </w:r>
          </w:p>
        </w:tc>
        <w:tc>
          <w:tcPr>
            <w:tcW w:w="1484" w:type="dxa"/>
          </w:tcPr>
          <w:p>
            <w:pPr>
              <w:pStyle w:val="TableParagraph"/>
              <w:rPr>
                <w:rFonts w:ascii="Times New Roman"/>
                <w:sz w:val="18"/>
              </w:rPr>
            </w:pPr>
          </w:p>
        </w:tc>
      </w:tr>
      <w:tr>
        <w:trPr>
          <w:trHeight w:val="720" w:hRule="atLeast"/>
        </w:trPr>
        <w:tc>
          <w:tcPr>
            <w:tcW w:w="14392" w:type="dxa"/>
            <w:gridSpan w:val="10"/>
            <w:shd w:val="clear" w:color="auto" w:fill="EFF8F9"/>
          </w:tcPr>
          <w:p>
            <w:pPr>
              <w:pStyle w:val="TableParagraph"/>
              <w:spacing w:before="152"/>
              <w:ind w:left="72"/>
              <w:rPr>
                <w:b/>
                <w:sz w:val="18"/>
              </w:rPr>
            </w:pPr>
            <w:r>
              <w:rPr>
                <w:b/>
                <w:sz w:val="18"/>
              </w:rPr>
              <w:t>Producto</w:t>
            </w:r>
            <w:r>
              <w:rPr>
                <w:b/>
                <w:spacing w:val="-4"/>
                <w:sz w:val="18"/>
              </w:rPr>
              <w:t> </w:t>
            </w:r>
            <w:r>
              <w:rPr>
                <w:b/>
                <w:sz w:val="18"/>
              </w:rPr>
              <w:t>PEC</w:t>
            </w:r>
            <w:r>
              <w:rPr>
                <w:b/>
                <w:spacing w:val="-5"/>
                <w:sz w:val="18"/>
              </w:rPr>
              <w:t> </w:t>
            </w:r>
            <w:r>
              <w:rPr>
                <w:b/>
                <w:sz w:val="18"/>
              </w:rPr>
              <w:t>3.6: Instalaciones</w:t>
            </w:r>
            <w:r>
              <w:rPr>
                <w:b/>
                <w:spacing w:val="-3"/>
                <w:sz w:val="18"/>
              </w:rPr>
              <w:t> </w:t>
            </w:r>
            <w:r>
              <w:rPr>
                <w:b/>
                <w:sz w:val="18"/>
              </w:rPr>
              <w:t>remodeladas</w:t>
            </w:r>
            <w:r>
              <w:rPr>
                <w:b/>
                <w:spacing w:val="-3"/>
                <w:sz w:val="18"/>
              </w:rPr>
              <w:t> </w:t>
            </w:r>
            <w:r>
              <w:rPr>
                <w:b/>
                <w:sz w:val="18"/>
              </w:rPr>
              <w:t>y</w:t>
            </w:r>
            <w:r>
              <w:rPr>
                <w:b/>
                <w:spacing w:val="-3"/>
                <w:sz w:val="18"/>
              </w:rPr>
              <w:t> </w:t>
            </w:r>
            <w:r>
              <w:rPr>
                <w:b/>
                <w:sz w:val="18"/>
              </w:rPr>
              <w:t>ampliadas, adecuadas a</w:t>
            </w:r>
            <w:r>
              <w:rPr>
                <w:b/>
                <w:spacing w:val="-8"/>
                <w:sz w:val="18"/>
              </w:rPr>
              <w:t> </w:t>
            </w:r>
            <w:r>
              <w:rPr>
                <w:b/>
                <w:sz w:val="18"/>
              </w:rPr>
              <w:t>la naturaleza</w:t>
            </w:r>
            <w:r>
              <w:rPr>
                <w:b/>
                <w:spacing w:val="-3"/>
                <w:sz w:val="18"/>
              </w:rPr>
              <w:t> </w:t>
            </w:r>
            <w:r>
              <w:rPr>
                <w:b/>
                <w:sz w:val="18"/>
              </w:rPr>
              <w:t>del negocio</w:t>
            </w:r>
            <w:r>
              <w:rPr>
                <w:b/>
                <w:spacing w:val="-4"/>
                <w:sz w:val="18"/>
              </w:rPr>
              <w:t> </w:t>
            </w:r>
            <w:r>
              <w:rPr>
                <w:b/>
                <w:sz w:val="18"/>
              </w:rPr>
              <w:t>y</w:t>
            </w:r>
            <w:r>
              <w:rPr>
                <w:b/>
                <w:spacing w:val="-3"/>
                <w:sz w:val="18"/>
              </w:rPr>
              <w:t> </w:t>
            </w:r>
            <w:r>
              <w:rPr>
                <w:b/>
                <w:sz w:val="18"/>
              </w:rPr>
              <w:t>el</w:t>
            </w:r>
            <w:r>
              <w:rPr>
                <w:b/>
                <w:spacing w:val="-5"/>
                <w:sz w:val="18"/>
              </w:rPr>
              <w:t> </w:t>
            </w:r>
            <w:r>
              <w:rPr>
                <w:b/>
                <w:sz w:val="18"/>
              </w:rPr>
              <w:t>mercado que se</w:t>
            </w:r>
            <w:r>
              <w:rPr>
                <w:b/>
                <w:spacing w:val="-3"/>
                <w:sz w:val="18"/>
              </w:rPr>
              <w:t> </w:t>
            </w:r>
            <w:r>
              <w:rPr>
                <w:b/>
                <w:sz w:val="18"/>
              </w:rPr>
              <w:t>atiende, para</w:t>
            </w:r>
            <w:r>
              <w:rPr>
                <w:b/>
                <w:spacing w:val="-3"/>
                <w:sz w:val="18"/>
              </w:rPr>
              <w:t> </w:t>
            </w:r>
            <w:r>
              <w:rPr>
                <w:b/>
                <w:sz w:val="18"/>
              </w:rPr>
              <w:t>potenciar</w:t>
            </w:r>
            <w:r>
              <w:rPr>
                <w:b/>
                <w:spacing w:val="-6"/>
                <w:sz w:val="18"/>
              </w:rPr>
              <w:t> </w:t>
            </w:r>
            <w:r>
              <w:rPr>
                <w:b/>
                <w:sz w:val="18"/>
              </w:rPr>
              <w:t>la generación</w:t>
            </w:r>
            <w:r>
              <w:rPr>
                <w:b/>
                <w:spacing w:val="-4"/>
                <w:sz w:val="18"/>
              </w:rPr>
              <w:t> </w:t>
            </w:r>
            <w:r>
              <w:rPr>
                <w:b/>
                <w:sz w:val="18"/>
              </w:rPr>
              <w:t>de ventas (E5 AE3 R1)</w:t>
            </w:r>
          </w:p>
        </w:tc>
      </w:tr>
      <w:tr>
        <w:trPr>
          <w:trHeight w:val="1655" w:hRule="atLeast"/>
        </w:trPr>
        <w:tc>
          <w:tcPr>
            <w:tcW w:w="1536" w:type="dxa"/>
          </w:tcPr>
          <w:p>
            <w:pPr>
              <w:pStyle w:val="TableParagraph"/>
              <w:ind w:left="72"/>
              <w:rPr>
                <w:b/>
                <w:sz w:val="18"/>
              </w:rPr>
            </w:pPr>
            <w:r>
              <w:rPr>
                <w:b/>
                <w:sz w:val="18"/>
              </w:rPr>
              <w:t>Actividad</w:t>
            </w:r>
            <w:r>
              <w:rPr>
                <w:b/>
                <w:spacing w:val="-13"/>
                <w:sz w:val="18"/>
              </w:rPr>
              <w:t> </w:t>
            </w:r>
            <w:r>
              <w:rPr>
                <w:b/>
                <w:sz w:val="18"/>
              </w:rPr>
              <w:t>PEC </w:t>
            </w:r>
            <w:r>
              <w:rPr>
                <w:b/>
                <w:spacing w:val="-2"/>
                <w:sz w:val="18"/>
              </w:rPr>
              <w:t>3.6.1:</w:t>
            </w:r>
          </w:p>
          <w:p>
            <w:pPr>
              <w:pStyle w:val="TableParagraph"/>
              <w:spacing w:line="244" w:lineRule="auto"/>
              <w:ind w:left="72"/>
              <w:rPr>
                <w:sz w:val="18"/>
              </w:rPr>
            </w:pPr>
            <w:r>
              <w:rPr>
                <w:spacing w:val="-2"/>
                <w:sz w:val="18"/>
              </w:rPr>
              <w:t>Remodelación </w:t>
            </w:r>
            <w:r>
              <w:rPr>
                <w:sz w:val="18"/>
              </w:rPr>
              <w:t>tienda #15</w:t>
            </w:r>
          </w:p>
          <w:p>
            <w:pPr>
              <w:pStyle w:val="TableParagraph"/>
              <w:spacing w:line="202" w:lineRule="exact"/>
              <w:ind w:left="72"/>
              <w:rPr>
                <w:sz w:val="18"/>
              </w:rPr>
            </w:pPr>
            <w:r>
              <w:rPr>
                <w:sz w:val="18"/>
              </w:rPr>
              <w:t>(1.04.03.</w:t>
            </w:r>
            <w:r>
              <w:rPr>
                <w:spacing w:val="-6"/>
                <w:sz w:val="18"/>
              </w:rPr>
              <w:t> </w:t>
            </w:r>
            <w:r>
              <w:rPr>
                <w:spacing w:val="-5"/>
                <w:sz w:val="18"/>
              </w:rPr>
              <w:t>30</w:t>
            </w:r>
          </w:p>
          <w:p>
            <w:pPr>
              <w:pStyle w:val="TableParagraph"/>
              <w:spacing w:line="206" w:lineRule="exact"/>
              <w:ind w:left="72"/>
              <w:rPr>
                <w:sz w:val="18"/>
              </w:rPr>
            </w:pPr>
            <w:r>
              <w:rPr>
                <w:sz w:val="18"/>
              </w:rPr>
              <w:t>millones</w:t>
            </w:r>
            <w:r>
              <w:rPr>
                <w:spacing w:val="-3"/>
                <w:sz w:val="18"/>
              </w:rPr>
              <w:t> </w:t>
            </w:r>
            <w:r>
              <w:rPr>
                <w:spacing w:val="-10"/>
                <w:sz w:val="18"/>
              </w:rPr>
              <w:t>y</w:t>
            </w:r>
          </w:p>
          <w:p>
            <w:pPr>
              <w:pStyle w:val="TableParagraph"/>
              <w:spacing w:line="206" w:lineRule="exact"/>
              <w:ind w:left="72"/>
              <w:rPr>
                <w:sz w:val="18"/>
              </w:rPr>
            </w:pPr>
            <w:r>
              <w:rPr>
                <w:sz w:val="18"/>
              </w:rPr>
              <w:t>1.08.01.</w:t>
            </w:r>
            <w:r>
              <w:rPr>
                <w:spacing w:val="-3"/>
                <w:sz w:val="18"/>
              </w:rPr>
              <w:t> </w:t>
            </w:r>
            <w:r>
              <w:rPr>
                <w:spacing w:val="-5"/>
                <w:sz w:val="18"/>
              </w:rPr>
              <w:t>310</w:t>
            </w:r>
          </w:p>
          <w:p>
            <w:pPr>
              <w:pStyle w:val="TableParagraph"/>
              <w:spacing w:line="187" w:lineRule="exact"/>
              <w:ind w:left="72"/>
              <w:rPr>
                <w:sz w:val="18"/>
              </w:rPr>
            </w:pPr>
            <w:r>
              <w:rPr>
                <w:spacing w:val="-2"/>
                <w:sz w:val="18"/>
              </w:rPr>
              <w:t>millones)</w:t>
            </w:r>
          </w:p>
        </w:tc>
        <w:tc>
          <w:tcPr>
            <w:tcW w:w="1531" w:type="dxa"/>
          </w:tcPr>
          <w:p>
            <w:pPr>
              <w:pStyle w:val="TableParagraph"/>
              <w:rPr>
                <w:b/>
                <w:sz w:val="18"/>
              </w:rPr>
            </w:pPr>
          </w:p>
          <w:p>
            <w:pPr>
              <w:pStyle w:val="TableParagraph"/>
              <w:spacing w:before="103"/>
              <w:rPr>
                <w:b/>
                <w:sz w:val="18"/>
              </w:rPr>
            </w:pPr>
          </w:p>
          <w:p>
            <w:pPr>
              <w:pStyle w:val="TableParagraph"/>
              <w:ind w:left="67"/>
              <w:rPr>
                <w:sz w:val="18"/>
              </w:rPr>
            </w:pPr>
            <w:r>
              <w:rPr>
                <w:sz w:val="18"/>
              </w:rPr>
              <w:t>cantidad de </w:t>
            </w:r>
            <w:r>
              <w:rPr>
                <w:spacing w:val="-2"/>
                <w:sz w:val="18"/>
              </w:rPr>
              <w:t>tiendas remodeladas</w:t>
            </w: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55"/>
              <w:jc w:val="right"/>
              <w:rPr>
                <w:sz w:val="18"/>
              </w:rPr>
            </w:pPr>
            <w:r>
              <w:rPr>
                <w:spacing w:val="-10"/>
                <w:sz w:val="18"/>
              </w:rPr>
              <w:t>1</w:t>
            </w:r>
          </w:p>
        </w:tc>
        <w:tc>
          <w:tcPr>
            <w:tcW w:w="136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55" w:right="42"/>
              <w:jc w:val="center"/>
              <w:rPr>
                <w:sz w:val="18"/>
              </w:rPr>
            </w:pPr>
            <w:r>
              <w:rPr>
                <w:sz w:val="18"/>
              </w:rPr>
              <w:t>₡340</w:t>
            </w:r>
            <w:r>
              <w:rPr>
                <w:spacing w:val="1"/>
                <w:sz w:val="18"/>
              </w:rPr>
              <w:t> </w:t>
            </w:r>
            <w:r>
              <w:rPr>
                <w:sz w:val="18"/>
              </w:rPr>
              <w:t>000</w:t>
            </w:r>
            <w:r>
              <w:rPr>
                <w:spacing w:val="-3"/>
                <w:sz w:val="18"/>
              </w:rPr>
              <w:t> </w:t>
            </w:r>
            <w:r>
              <w:rPr>
                <w:spacing w:val="-5"/>
                <w:sz w:val="18"/>
              </w:rPr>
              <w:t>000</w:t>
            </w: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r>
        <w:trPr>
          <w:trHeight w:val="1656" w:hRule="atLeast"/>
        </w:trPr>
        <w:tc>
          <w:tcPr>
            <w:tcW w:w="1536" w:type="dxa"/>
          </w:tcPr>
          <w:p>
            <w:pPr>
              <w:pStyle w:val="TableParagraph"/>
              <w:ind w:left="72"/>
              <w:rPr>
                <w:b/>
                <w:sz w:val="18"/>
              </w:rPr>
            </w:pPr>
            <w:r>
              <w:rPr>
                <w:b/>
                <w:sz w:val="18"/>
              </w:rPr>
              <w:t>Actividad</w:t>
            </w:r>
            <w:r>
              <w:rPr>
                <w:b/>
                <w:spacing w:val="-13"/>
                <w:sz w:val="18"/>
              </w:rPr>
              <w:t> </w:t>
            </w:r>
            <w:r>
              <w:rPr>
                <w:b/>
                <w:sz w:val="18"/>
              </w:rPr>
              <w:t>PEC </w:t>
            </w:r>
            <w:r>
              <w:rPr>
                <w:b/>
                <w:spacing w:val="-2"/>
                <w:sz w:val="18"/>
              </w:rPr>
              <w:t>3.6.2:</w:t>
            </w:r>
          </w:p>
          <w:p>
            <w:pPr>
              <w:pStyle w:val="TableParagraph"/>
              <w:spacing w:before="3"/>
              <w:ind w:left="72"/>
              <w:rPr>
                <w:sz w:val="18"/>
              </w:rPr>
            </w:pPr>
            <w:r>
              <w:rPr>
                <w:spacing w:val="-2"/>
                <w:sz w:val="18"/>
              </w:rPr>
              <w:t>Remodelación </w:t>
            </w:r>
            <w:r>
              <w:rPr>
                <w:sz w:val="18"/>
              </w:rPr>
              <w:t>tienda 19</w:t>
            </w:r>
          </w:p>
          <w:p>
            <w:pPr>
              <w:pStyle w:val="TableParagraph"/>
              <w:spacing w:line="206" w:lineRule="exact"/>
              <w:ind w:left="72"/>
              <w:rPr>
                <w:sz w:val="18"/>
              </w:rPr>
            </w:pPr>
            <w:r>
              <w:rPr>
                <w:sz w:val="18"/>
              </w:rPr>
              <w:t>(1.04.03</w:t>
            </w:r>
            <w:r>
              <w:rPr>
                <w:spacing w:val="-3"/>
                <w:sz w:val="18"/>
              </w:rPr>
              <w:t> </w:t>
            </w:r>
            <w:r>
              <w:rPr>
                <w:spacing w:val="-5"/>
                <w:sz w:val="18"/>
              </w:rPr>
              <w:t>30</w:t>
            </w:r>
          </w:p>
          <w:p>
            <w:pPr>
              <w:pStyle w:val="TableParagraph"/>
              <w:spacing w:line="206" w:lineRule="exact"/>
              <w:ind w:left="72"/>
              <w:rPr>
                <w:sz w:val="18"/>
              </w:rPr>
            </w:pPr>
            <w:r>
              <w:rPr>
                <w:sz w:val="18"/>
              </w:rPr>
              <w:t>millones</w:t>
            </w:r>
            <w:r>
              <w:rPr>
                <w:spacing w:val="-3"/>
                <w:sz w:val="18"/>
              </w:rPr>
              <w:t> </w:t>
            </w:r>
            <w:r>
              <w:rPr>
                <w:spacing w:val="-10"/>
                <w:sz w:val="18"/>
              </w:rPr>
              <w:t>y</w:t>
            </w:r>
          </w:p>
          <w:p>
            <w:pPr>
              <w:pStyle w:val="TableParagraph"/>
              <w:spacing w:line="207" w:lineRule="exact"/>
              <w:ind w:left="72"/>
              <w:rPr>
                <w:sz w:val="18"/>
              </w:rPr>
            </w:pPr>
            <w:r>
              <w:rPr>
                <w:sz w:val="18"/>
              </w:rPr>
              <w:t>1.08.01</w:t>
            </w:r>
            <w:r>
              <w:rPr>
                <w:spacing w:val="-4"/>
                <w:sz w:val="18"/>
              </w:rPr>
              <w:t> </w:t>
            </w:r>
            <w:r>
              <w:rPr>
                <w:spacing w:val="-5"/>
                <w:sz w:val="18"/>
              </w:rPr>
              <w:t>300</w:t>
            </w:r>
          </w:p>
          <w:p>
            <w:pPr>
              <w:pStyle w:val="TableParagraph"/>
              <w:spacing w:line="187" w:lineRule="exact"/>
              <w:ind w:left="72"/>
              <w:rPr>
                <w:sz w:val="18"/>
              </w:rPr>
            </w:pPr>
            <w:r>
              <w:rPr>
                <w:spacing w:val="-2"/>
                <w:sz w:val="18"/>
              </w:rPr>
              <w:t>millones)</w:t>
            </w:r>
          </w:p>
        </w:tc>
        <w:tc>
          <w:tcPr>
            <w:tcW w:w="1531" w:type="dxa"/>
          </w:tcPr>
          <w:p>
            <w:pPr>
              <w:pStyle w:val="TableParagraph"/>
              <w:rPr>
                <w:b/>
                <w:sz w:val="18"/>
              </w:rPr>
            </w:pPr>
          </w:p>
          <w:p>
            <w:pPr>
              <w:pStyle w:val="TableParagraph"/>
              <w:spacing w:before="104"/>
              <w:rPr>
                <w:b/>
                <w:sz w:val="18"/>
              </w:rPr>
            </w:pPr>
          </w:p>
          <w:p>
            <w:pPr>
              <w:pStyle w:val="TableParagraph"/>
              <w:ind w:left="67"/>
              <w:rPr>
                <w:sz w:val="18"/>
              </w:rPr>
            </w:pPr>
            <w:r>
              <w:rPr>
                <w:sz w:val="18"/>
              </w:rPr>
              <w:t>cantidad de </w:t>
            </w:r>
            <w:r>
              <w:rPr>
                <w:spacing w:val="-2"/>
                <w:sz w:val="18"/>
              </w:rPr>
              <w:t>tiendas remodeladas</w:t>
            </w: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56"/>
              <w:jc w:val="right"/>
              <w:rPr>
                <w:sz w:val="18"/>
              </w:rPr>
            </w:pPr>
            <w:r>
              <w:rPr>
                <w:spacing w:val="-10"/>
                <w:sz w:val="18"/>
              </w:rPr>
              <w:t>1</w:t>
            </w:r>
          </w:p>
        </w:tc>
        <w:tc>
          <w:tcPr>
            <w:tcW w:w="148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85"/>
              <w:rPr>
                <w:sz w:val="18"/>
              </w:rPr>
            </w:pPr>
            <w:r>
              <w:rPr>
                <w:sz w:val="18"/>
              </w:rPr>
              <w:t>₡330</w:t>
            </w:r>
            <w:r>
              <w:rPr>
                <w:spacing w:val="1"/>
                <w:sz w:val="18"/>
              </w:rPr>
              <w:t> </w:t>
            </w:r>
            <w:r>
              <w:rPr>
                <w:sz w:val="18"/>
              </w:rPr>
              <w:t>000</w:t>
            </w:r>
            <w:r>
              <w:rPr>
                <w:spacing w:val="-3"/>
                <w:sz w:val="18"/>
              </w:rPr>
              <w:t> </w:t>
            </w:r>
            <w:r>
              <w:rPr>
                <w:spacing w:val="-5"/>
                <w:sz w:val="18"/>
              </w:rPr>
              <w:t>000</w:t>
            </w:r>
          </w:p>
        </w:tc>
      </w:tr>
      <w:tr>
        <w:trPr>
          <w:trHeight w:val="618" w:hRule="atLeast"/>
        </w:trPr>
        <w:tc>
          <w:tcPr>
            <w:tcW w:w="14392" w:type="dxa"/>
            <w:gridSpan w:val="10"/>
            <w:shd w:val="clear" w:color="auto" w:fill="EFF8F9"/>
          </w:tcPr>
          <w:p>
            <w:pPr>
              <w:pStyle w:val="TableParagraph"/>
              <w:spacing w:before="205"/>
              <w:ind w:left="72"/>
              <w:rPr>
                <w:b/>
                <w:sz w:val="18"/>
              </w:rPr>
            </w:pPr>
            <w:r>
              <w:rPr>
                <w:b/>
                <w:sz w:val="18"/>
              </w:rPr>
              <w:t>Producto</w:t>
            </w:r>
            <w:r>
              <w:rPr>
                <w:b/>
                <w:spacing w:val="-8"/>
                <w:sz w:val="18"/>
              </w:rPr>
              <w:t> </w:t>
            </w:r>
            <w:r>
              <w:rPr>
                <w:b/>
                <w:sz w:val="18"/>
              </w:rPr>
              <w:t>PEC</w:t>
            </w:r>
            <w:r>
              <w:rPr>
                <w:b/>
                <w:spacing w:val="-9"/>
                <w:sz w:val="18"/>
              </w:rPr>
              <w:t> </w:t>
            </w:r>
            <w:r>
              <w:rPr>
                <w:b/>
                <w:sz w:val="18"/>
              </w:rPr>
              <w:t>3.</w:t>
            </w:r>
            <w:r>
              <w:rPr>
                <w:b/>
                <w:spacing w:val="-5"/>
                <w:sz w:val="18"/>
              </w:rPr>
              <w:t> </w:t>
            </w:r>
            <w:r>
              <w:rPr>
                <w:b/>
                <w:sz w:val="18"/>
              </w:rPr>
              <w:t>7:</w:t>
            </w:r>
            <w:r>
              <w:rPr>
                <w:b/>
                <w:spacing w:val="-6"/>
                <w:sz w:val="18"/>
              </w:rPr>
              <w:t> </w:t>
            </w:r>
            <w:r>
              <w:rPr>
                <w:b/>
                <w:sz w:val="18"/>
              </w:rPr>
              <w:t>Proyectos</w:t>
            </w:r>
            <w:r>
              <w:rPr>
                <w:b/>
                <w:spacing w:val="-3"/>
                <w:sz w:val="18"/>
              </w:rPr>
              <w:t> </w:t>
            </w:r>
            <w:r>
              <w:rPr>
                <w:b/>
                <w:sz w:val="18"/>
              </w:rPr>
              <w:t>de</w:t>
            </w:r>
            <w:r>
              <w:rPr>
                <w:b/>
                <w:spacing w:val="-3"/>
                <w:sz w:val="18"/>
              </w:rPr>
              <w:t> </w:t>
            </w:r>
            <w:r>
              <w:rPr>
                <w:b/>
                <w:sz w:val="18"/>
              </w:rPr>
              <w:t>automatización</w:t>
            </w:r>
            <w:r>
              <w:rPr>
                <w:b/>
                <w:spacing w:val="-5"/>
                <w:sz w:val="18"/>
              </w:rPr>
              <w:t> </w:t>
            </w:r>
            <w:r>
              <w:rPr>
                <w:b/>
                <w:sz w:val="18"/>
              </w:rPr>
              <w:t>tecnológica</w:t>
            </w:r>
            <w:r>
              <w:rPr>
                <w:b/>
                <w:spacing w:val="-6"/>
                <w:sz w:val="18"/>
              </w:rPr>
              <w:t> </w:t>
            </w:r>
            <w:r>
              <w:rPr>
                <w:b/>
                <w:sz w:val="18"/>
              </w:rPr>
              <w:t>implementados</w:t>
            </w:r>
            <w:r>
              <w:rPr>
                <w:b/>
                <w:spacing w:val="-3"/>
                <w:sz w:val="18"/>
              </w:rPr>
              <w:t> </w:t>
            </w:r>
            <w:r>
              <w:rPr>
                <w:b/>
                <w:sz w:val="18"/>
              </w:rPr>
              <w:t>para</w:t>
            </w:r>
            <w:r>
              <w:rPr>
                <w:b/>
                <w:spacing w:val="-7"/>
                <w:sz w:val="18"/>
              </w:rPr>
              <w:t> </w:t>
            </w:r>
            <w:r>
              <w:rPr>
                <w:b/>
                <w:sz w:val="18"/>
              </w:rPr>
              <w:t>mejorar</w:t>
            </w:r>
            <w:r>
              <w:rPr>
                <w:b/>
                <w:spacing w:val="-6"/>
                <w:sz w:val="18"/>
              </w:rPr>
              <w:t> </w:t>
            </w:r>
            <w:r>
              <w:rPr>
                <w:b/>
                <w:sz w:val="18"/>
              </w:rPr>
              <w:t>y</w:t>
            </w:r>
            <w:r>
              <w:rPr>
                <w:b/>
                <w:spacing w:val="-7"/>
                <w:sz w:val="18"/>
              </w:rPr>
              <w:t> </w:t>
            </w:r>
            <w:r>
              <w:rPr>
                <w:b/>
                <w:sz w:val="18"/>
              </w:rPr>
              <w:t>modernizar</w:t>
            </w:r>
            <w:r>
              <w:rPr>
                <w:b/>
                <w:spacing w:val="-6"/>
                <w:sz w:val="18"/>
              </w:rPr>
              <w:t> </w:t>
            </w:r>
            <w:r>
              <w:rPr>
                <w:b/>
                <w:sz w:val="18"/>
              </w:rPr>
              <w:t>la</w:t>
            </w:r>
            <w:r>
              <w:rPr>
                <w:b/>
                <w:spacing w:val="-7"/>
                <w:sz w:val="18"/>
              </w:rPr>
              <w:t> </w:t>
            </w:r>
            <w:r>
              <w:rPr>
                <w:b/>
                <w:sz w:val="18"/>
              </w:rPr>
              <w:t>operación</w:t>
            </w:r>
            <w:r>
              <w:rPr>
                <w:b/>
                <w:spacing w:val="-4"/>
                <w:sz w:val="18"/>
              </w:rPr>
              <w:t> </w:t>
            </w:r>
            <w:r>
              <w:rPr>
                <w:b/>
                <w:sz w:val="18"/>
              </w:rPr>
              <w:t>del</w:t>
            </w:r>
            <w:r>
              <w:rPr>
                <w:b/>
                <w:spacing w:val="-5"/>
                <w:sz w:val="18"/>
              </w:rPr>
              <w:t> </w:t>
            </w:r>
            <w:r>
              <w:rPr>
                <w:b/>
                <w:sz w:val="18"/>
              </w:rPr>
              <w:t>negocio</w:t>
            </w:r>
            <w:r>
              <w:rPr>
                <w:b/>
                <w:spacing w:val="-8"/>
                <w:sz w:val="18"/>
              </w:rPr>
              <w:t> </w:t>
            </w:r>
            <w:r>
              <w:rPr>
                <w:b/>
                <w:sz w:val="18"/>
              </w:rPr>
              <w:t>(E5</w:t>
            </w:r>
            <w:r>
              <w:rPr>
                <w:b/>
                <w:spacing w:val="-7"/>
                <w:sz w:val="18"/>
              </w:rPr>
              <w:t> </w:t>
            </w:r>
            <w:r>
              <w:rPr>
                <w:b/>
                <w:sz w:val="18"/>
              </w:rPr>
              <w:t>AE3</w:t>
            </w:r>
            <w:r>
              <w:rPr>
                <w:b/>
                <w:spacing w:val="-7"/>
                <w:sz w:val="18"/>
              </w:rPr>
              <w:t> </w:t>
            </w:r>
            <w:r>
              <w:rPr>
                <w:b/>
                <w:spacing w:val="-5"/>
                <w:sz w:val="18"/>
              </w:rPr>
              <w:t>R2)</w:t>
            </w:r>
          </w:p>
        </w:tc>
      </w:tr>
    </w:tbl>
    <w:p>
      <w:pPr>
        <w:pStyle w:val="TableParagraph"/>
        <w:spacing w:after="0"/>
        <w:rPr>
          <w:b/>
          <w:sz w:val="18"/>
        </w:rPr>
        <w:sectPr>
          <w:type w:val="continuous"/>
          <w:pgSz w:w="15840" w:h="12240" w:orient="landscape"/>
          <w:pgMar w:header="0" w:footer="1806" w:top="700" w:bottom="2475"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6"/>
        <w:gridCol w:w="1531"/>
        <w:gridCol w:w="1387"/>
        <w:gridCol w:w="1315"/>
        <w:gridCol w:w="1387"/>
        <w:gridCol w:w="1392"/>
        <w:gridCol w:w="1512"/>
        <w:gridCol w:w="1364"/>
        <w:gridCol w:w="1484"/>
        <w:gridCol w:w="1484"/>
      </w:tblGrid>
      <w:tr>
        <w:trPr>
          <w:trHeight w:val="302" w:hRule="atLeast"/>
        </w:trPr>
        <w:tc>
          <w:tcPr>
            <w:tcW w:w="1536" w:type="dxa"/>
            <w:vMerge w:val="restart"/>
            <w:shd w:val="clear" w:color="auto" w:fill="D7D7D7"/>
          </w:tcPr>
          <w:p>
            <w:pPr>
              <w:pStyle w:val="TableParagraph"/>
              <w:spacing w:before="46"/>
              <w:rPr>
                <w:b/>
                <w:sz w:val="18"/>
              </w:rPr>
            </w:pPr>
          </w:p>
          <w:p>
            <w:pPr>
              <w:pStyle w:val="TableParagraph"/>
              <w:ind w:left="283" w:firstLine="24"/>
              <w:rPr>
                <w:b/>
                <w:sz w:val="18"/>
              </w:rPr>
            </w:pPr>
            <w:r>
              <w:rPr>
                <w:b/>
                <w:sz w:val="18"/>
              </w:rPr>
              <w:t>Objetivos</w:t>
            </w:r>
            <w:r>
              <w:rPr>
                <w:b/>
                <w:spacing w:val="-7"/>
                <w:sz w:val="18"/>
              </w:rPr>
              <w:t> </w:t>
            </w:r>
            <w:r>
              <w:rPr>
                <w:b/>
                <w:sz w:val="18"/>
              </w:rPr>
              <w:t>/ </w:t>
            </w:r>
            <w:r>
              <w:rPr>
                <w:b/>
                <w:spacing w:val="-2"/>
                <w:sz w:val="18"/>
              </w:rPr>
              <w:t>Resultados</w:t>
            </w:r>
          </w:p>
        </w:tc>
        <w:tc>
          <w:tcPr>
            <w:tcW w:w="1531" w:type="dxa"/>
            <w:vMerge w:val="restart"/>
            <w:shd w:val="clear" w:color="auto" w:fill="D7D7D7"/>
          </w:tcPr>
          <w:p>
            <w:pPr>
              <w:pStyle w:val="TableParagraph"/>
              <w:spacing w:before="151"/>
              <w:rPr>
                <w:b/>
                <w:sz w:val="18"/>
              </w:rPr>
            </w:pPr>
          </w:p>
          <w:p>
            <w:pPr>
              <w:pStyle w:val="TableParagraph"/>
              <w:spacing w:before="1"/>
              <w:ind w:left="355"/>
              <w:rPr>
                <w:b/>
                <w:sz w:val="18"/>
              </w:rPr>
            </w:pPr>
            <w:r>
              <w:rPr>
                <w:b/>
                <w:spacing w:val="-2"/>
                <w:sz w:val="18"/>
              </w:rPr>
              <w:t>Indicador</w:t>
            </w:r>
          </w:p>
        </w:tc>
        <w:tc>
          <w:tcPr>
            <w:tcW w:w="2702" w:type="dxa"/>
            <w:gridSpan w:val="2"/>
            <w:shd w:val="clear" w:color="auto" w:fill="D7D7D7"/>
          </w:tcPr>
          <w:p>
            <w:pPr>
              <w:pStyle w:val="TableParagraph"/>
              <w:spacing w:before="47"/>
              <w:ind w:left="889"/>
              <w:rPr>
                <w:b/>
                <w:sz w:val="18"/>
              </w:rPr>
            </w:pPr>
            <w:r>
              <w:rPr>
                <w:b/>
                <w:sz w:val="18"/>
              </w:rPr>
              <w:t>I</w:t>
            </w:r>
            <w:r>
              <w:rPr>
                <w:b/>
                <w:spacing w:val="-1"/>
                <w:sz w:val="18"/>
              </w:rPr>
              <w:t> </w:t>
            </w:r>
            <w:r>
              <w:rPr>
                <w:b/>
                <w:spacing w:val="-2"/>
                <w:sz w:val="18"/>
              </w:rPr>
              <w:t>Trimestre</w:t>
            </w:r>
          </w:p>
        </w:tc>
        <w:tc>
          <w:tcPr>
            <w:tcW w:w="2779" w:type="dxa"/>
            <w:gridSpan w:val="2"/>
            <w:shd w:val="clear" w:color="auto" w:fill="D7D7D7"/>
          </w:tcPr>
          <w:p>
            <w:pPr>
              <w:pStyle w:val="TableParagraph"/>
              <w:spacing w:before="47"/>
              <w:ind w:left="904"/>
              <w:rPr>
                <w:b/>
                <w:sz w:val="18"/>
              </w:rPr>
            </w:pPr>
            <w:r>
              <w:rPr>
                <w:b/>
                <w:sz w:val="18"/>
              </w:rPr>
              <w:t>II</w:t>
            </w:r>
            <w:r>
              <w:rPr>
                <w:b/>
                <w:spacing w:val="-3"/>
                <w:sz w:val="18"/>
              </w:rPr>
              <w:t> </w:t>
            </w:r>
            <w:r>
              <w:rPr>
                <w:b/>
                <w:spacing w:val="-2"/>
                <w:sz w:val="18"/>
              </w:rPr>
              <w:t>Trimestre</w:t>
            </w:r>
          </w:p>
        </w:tc>
        <w:tc>
          <w:tcPr>
            <w:tcW w:w="2876" w:type="dxa"/>
            <w:gridSpan w:val="2"/>
            <w:shd w:val="clear" w:color="auto" w:fill="D7D7D7"/>
          </w:tcPr>
          <w:p>
            <w:pPr>
              <w:pStyle w:val="TableParagraph"/>
              <w:spacing w:before="47"/>
              <w:ind w:left="925"/>
              <w:rPr>
                <w:b/>
                <w:sz w:val="18"/>
              </w:rPr>
            </w:pPr>
            <w:r>
              <w:rPr>
                <w:b/>
                <w:sz w:val="18"/>
              </w:rPr>
              <w:t>III</w:t>
            </w:r>
            <w:r>
              <w:rPr>
                <w:b/>
                <w:spacing w:val="-2"/>
                <w:sz w:val="18"/>
              </w:rPr>
              <w:t> Trimestre</w:t>
            </w:r>
          </w:p>
        </w:tc>
        <w:tc>
          <w:tcPr>
            <w:tcW w:w="2968" w:type="dxa"/>
            <w:gridSpan w:val="2"/>
            <w:shd w:val="clear" w:color="auto" w:fill="D7D7D7"/>
          </w:tcPr>
          <w:p>
            <w:pPr>
              <w:pStyle w:val="TableParagraph"/>
              <w:spacing w:before="47"/>
              <w:ind w:left="963"/>
              <w:rPr>
                <w:b/>
                <w:sz w:val="18"/>
              </w:rPr>
            </w:pPr>
            <w:r>
              <w:rPr>
                <w:b/>
                <w:sz w:val="18"/>
              </w:rPr>
              <w:t>IV</w:t>
            </w:r>
            <w:r>
              <w:rPr>
                <w:b/>
                <w:spacing w:val="-2"/>
                <w:sz w:val="18"/>
              </w:rPr>
              <w:t> Trimestre</w:t>
            </w:r>
          </w:p>
        </w:tc>
      </w:tr>
      <w:tr>
        <w:trPr>
          <w:trHeight w:val="613" w:hRule="atLeast"/>
        </w:trPr>
        <w:tc>
          <w:tcPr>
            <w:tcW w:w="1536" w:type="dxa"/>
            <w:vMerge/>
            <w:tcBorders>
              <w:top w:val="nil"/>
            </w:tcBorders>
            <w:shd w:val="clear" w:color="auto" w:fill="D7D7D7"/>
          </w:tcPr>
          <w:p>
            <w:pPr>
              <w:rPr>
                <w:sz w:val="2"/>
                <w:szCs w:val="2"/>
              </w:rPr>
            </w:pPr>
          </w:p>
        </w:tc>
        <w:tc>
          <w:tcPr>
            <w:tcW w:w="1531" w:type="dxa"/>
            <w:vMerge/>
            <w:tcBorders>
              <w:top w:val="nil"/>
            </w:tcBorders>
            <w:shd w:val="clear" w:color="auto" w:fill="D7D7D7"/>
          </w:tcPr>
          <w:p>
            <w:pPr>
              <w:rPr>
                <w:sz w:val="2"/>
                <w:szCs w:val="2"/>
              </w:rPr>
            </w:pPr>
          </w:p>
        </w:tc>
        <w:tc>
          <w:tcPr>
            <w:tcW w:w="1387" w:type="dxa"/>
            <w:shd w:val="clear" w:color="auto" w:fill="D7D7D7"/>
          </w:tcPr>
          <w:p>
            <w:pPr>
              <w:pStyle w:val="TableParagraph"/>
              <w:spacing w:before="99"/>
              <w:ind w:left="173" w:firstLine="317"/>
              <w:rPr>
                <w:b/>
                <w:sz w:val="18"/>
              </w:rPr>
            </w:pPr>
            <w:r>
              <w:rPr>
                <w:b/>
                <w:spacing w:val="-4"/>
                <w:sz w:val="18"/>
              </w:rPr>
              <w:t>Meta </w:t>
            </w:r>
            <w:r>
              <w:rPr>
                <w:b/>
                <w:spacing w:val="-2"/>
                <w:sz w:val="18"/>
              </w:rPr>
              <w:t>programada</w:t>
            </w:r>
          </w:p>
        </w:tc>
        <w:tc>
          <w:tcPr>
            <w:tcW w:w="1315" w:type="dxa"/>
            <w:shd w:val="clear" w:color="auto" w:fill="D7D7D7"/>
          </w:tcPr>
          <w:p>
            <w:pPr>
              <w:pStyle w:val="TableParagraph"/>
              <w:spacing w:before="200"/>
              <w:ind w:left="9"/>
              <w:jc w:val="center"/>
              <w:rPr>
                <w:b/>
                <w:sz w:val="18"/>
              </w:rPr>
            </w:pPr>
            <w:r>
              <w:rPr>
                <w:b/>
                <w:spacing w:val="-10"/>
                <w:sz w:val="18"/>
              </w:rPr>
              <w:t>¢</w:t>
            </w:r>
          </w:p>
        </w:tc>
        <w:tc>
          <w:tcPr>
            <w:tcW w:w="1387" w:type="dxa"/>
            <w:shd w:val="clear" w:color="auto" w:fill="D7D7D7"/>
          </w:tcPr>
          <w:p>
            <w:pPr>
              <w:pStyle w:val="TableParagraph"/>
              <w:spacing w:before="99"/>
              <w:ind w:left="170" w:firstLine="316"/>
              <w:rPr>
                <w:b/>
                <w:sz w:val="18"/>
              </w:rPr>
            </w:pPr>
            <w:r>
              <w:rPr>
                <w:b/>
                <w:spacing w:val="-4"/>
                <w:sz w:val="18"/>
              </w:rPr>
              <w:t>Meta </w:t>
            </w:r>
            <w:r>
              <w:rPr>
                <w:b/>
                <w:spacing w:val="-2"/>
                <w:sz w:val="18"/>
              </w:rPr>
              <w:t>programada</w:t>
            </w:r>
          </w:p>
        </w:tc>
        <w:tc>
          <w:tcPr>
            <w:tcW w:w="1392" w:type="dxa"/>
            <w:shd w:val="clear" w:color="auto" w:fill="D7D7D7"/>
          </w:tcPr>
          <w:p>
            <w:pPr>
              <w:pStyle w:val="TableParagraph"/>
              <w:spacing w:before="200"/>
              <w:ind w:left="11"/>
              <w:jc w:val="center"/>
              <w:rPr>
                <w:b/>
                <w:sz w:val="18"/>
              </w:rPr>
            </w:pPr>
            <w:r>
              <w:rPr>
                <w:b/>
                <w:spacing w:val="-10"/>
                <w:sz w:val="18"/>
              </w:rPr>
              <w:t>¢</w:t>
            </w:r>
          </w:p>
        </w:tc>
        <w:tc>
          <w:tcPr>
            <w:tcW w:w="1512" w:type="dxa"/>
            <w:shd w:val="clear" w:color="auto" w:fill="D7D7D7"/>
          </w:tcPr>
          <w:p>
            <w:pPr>
              <w:pStyle w:val="TableParagraph"/>
              <w:spacing w:before="99"/>
              <w:ind w:left="233" w:firstLine="316"/>
              <w:rPr>
                <w:b/>
                <w:sz w:val="18"/>
              </w:rPr>
            </w:pPr>
            <w:r>
              <w:rPr>
                <w:b/>
                <w:spacing w:val="-4"/>
                <w:sz w:val="18"/>
              </w:rPr>
              <w:t>Meta </w:t>
            </w:r>
            <w:r>
              <w:rPr>
                <w:b/>
                <w:spacing w:val="-2"/>
                <w:sz w:val="18"/>
              </w:rPr>
              <w:t>programada</w:t>
            </w:r>
          </w:p>
        </w:tc>
        <w:tc>
          <w:tcPr>
            <w:tcW w:w="1364" w:type="dxa"/>
            <w:shd w:val="clear" w:color="auto" w:fill="D7D7D7"/>
          </w:tcPr>
          <w:p>
            <w:pPr>
              <w:pStyle w:val="TableParagraph"/>
              <w:spacing w:before="200"/>
              <w:ind w:left="55" w:right="42"/>
              <w:jc w:val="center"/>
              <w:rPr>
                <w:b/>
                <w:sz w:val="18"/>
              </w:rPr>
            </w:pPr>
            <w:r>
              <w:rPr>
                <w:b/>
                <w:spacing w:val="-10"/>
                <w:sz w:val="18"/>
              </w:rPr>
              <w:t>¢</w:t>
            </w:r>
          </w:p>
        </w:tc>
        <w:tc>
          <w:tcPr>
            <w:tcW w:w="1484" w:type="dxa"/>
            <w:shd w:val="clear" w:color="auto" w:fill="D7D7D7"/>
          </w:tcPr>
          <w:p>
            <w:pPr>
              <w:pStyle w:val="TableParagraph"/>
              <w:spacing w:before="99"/>
              <w:ind w:left="219" w:firstLine="317"/>
              <w:rPr>
                <w:b/>
                <w:sz w:val="18"/>
              </w:rPr>
            </w:pPr>
            <w:r>
              <w:rPr>
                <w:b/>
                <w:spacing w:val="-4"/>
                <w:sz w:val="18"/>
              </w:rPr>
              <w:t>Meta </w:t>
            </w:r>
            <w:r>
              <w:rPr>
                <w:b/>
                <w:spacing w:val="-2"/>
                <w:sz w:val="18"/>
              </w:rPr>
              <w:t>programada</w:t>
            </w:r>
          </w:p>
        </w:tc>
        <w:tc>
          <w:tcPr>
            <w:tcW w:w="1484" w:type="dxa"/>
            <w:shd w:val="clear" w:color="auto" w:fill="D7D7D7"/>
          </w:tcPr>
          <w:p>
            <w:pPr>
              <w:pStyle w:val="TableParagraph"/>
              <w:spacing w:before="200"/>
              <w:ind w:left="16"/>
              <w:jc w:val="center"/>
              <w:rPr>
                <w:b/>
                <w:sz w:val="18"/>
              </w:rPr>
            </w:pPr>
            <w:r>
              <w:rPr>
                <w:b/>
                <w:spacing w:val="-10"/>
                <w:sz w:val="18"/>
              </w:rPr>
              <w:t>¢</w:t>
            </w:r>
          </w:p>
        </w:tc>
      </w:tr>
      <w:tr>
        <w:trPr>
          <w:trHeight w:val="2482" w:hRule="atLeast"/>
        </w:trPr>
        <w:tc>
          <w:tcPr>
            <w:tcW w:w="1536" w:type="dxa"/>
          </w:tcPr>
          <w:p>
            <w:pPr>
              <w:pStyle w:val="TableParagraph"/>
              <w:spacing w:line="206" w:lineRule="exact"/>
              <w:ind w:left="72"/>
              <w:rPr>
                <w:b/>
                <w:sz w:val="18"/>
              </w:rPr>
            </w:pPr>
            <w:r>
              <w:rPr>
                <w:b/>
                <w:sz w:val="18"/>
              </w:rPr>
              <w:t>Actividad</w:t>
            </w:r>
            <w:r>
              <w:rPr>
                <w:b/>
                <w:spacing w:val="-6"/>
                <w:sz w:val="18"/>
              </w:rPr>
              <w:t> </w:t>
            </w:r>
            <w:r>
              <w:rPr>
                <w:b/>
                <w:spacing w:val="-5"/>
                <w:sz w:val="18"/>
              </w:rPr>
              <w:t>PEC</w:t>
            </w:r>
          </w:p>
          <w:p>
            <w:pPr>
              <w:pStyle w:val="TableParagraph"/>
              <w:ind w:left="72" w:right="136"/>
              <w:rPr>
                <w:sz w:val="18"/>
              </w:rPr>
            </w:pPr>
            <w:r>
              <w:rPr>
                <w:b/>
                <w:sz w:val="18"/>
              </w:rPr>
              <w:t>3.7.1: </w:t>
            </w:r>
            <w:r>
              <w:rPr>
                <w:sz w:val="18"/>
              </w:rPr>
              <w:t>Ajustar el sistema de </w:t>
            </w:r>
            <w:r>
              <w:rPr>
                <w:spacing w:val="-2"/>
                <w:sz w:val="18"/>
              </w:rPr>
              <w:t>administración </w:t>
            </w:r>
            <w:r>
              <w:rPr>
                <w:sz w:val="18"/>
              </w:rPr>
              <w:t>de inventarios y ventas para poder</w:t>
            </w:r>
            <w:r>
              <w:rPr>
                <w:spacing w:val="-15"/>
                <w:sz w:val="18"/>
              </w:rPr>
              <w:t> </w:t>
            </w:r>
            <w:r>
              <w:rPr>
                <w:sz w:val="18"/>
              </w:rPr>
              <w:t>utilizar</w:t>
            </w:r>
            <w:r>
              <w:rPr>
                <w:spacing w:val="-12"/>
                <w:sz w:val="18"/>
              </w:rPr>
              <w:t> </w:t>
            </w:r>
            <w:r>
              <w:rPr>
                <w:sz w:val="18"/>
              </w:rPr>
              <w:t>los </w:t>
            </w:r>
            <w:r>
              <w:rPr>
                <w:spacing w:val="-2"/>
                <w:sz w:val="18"/>
              </w:rPr>
              <w:t>nuevos dispositivos tecnológicos </w:t>
            </w:r>
            <w:r>
              <w:rPr>
                <w:sz w:val="18"/>
              </w:rPr>
              <w:t>(Handhelds y</w:t>
            </w:r>
          </w:p>
          <w:p>
            <w:pPr>
              <w:pStyle w:val="TableParagraph"/>
              <w:spacing w:line="187" w:lineRule="exact"/>
              <w:ind w:left="72"/>
              <w:rPr>
                <w:sz w:val="18"/>
              </w:rPr>
            </w:pPr>
            <w:r>
              <w:rPr>
                <w:sz w:val="18"/>
              </w:rPr>
              <w:t>Tablet</w:t>
            </w:r>
            <w:r>
              <w:rPr>
                <w:spacing w:val="-4"/>
                <w:sz w:val="18"/>
              </w:rPr>
              <w:t> </w:t>
            </w:r>
            <w:r>
              <w:rPr>
                <w:b/>
                <w:spacing w:val="-2"/>
                <w:sz w:val="18"/>
              </w:rPr>
              <w:t>(</w:t>
            </w:r>
            <w:r>
              <w:rPr>
                <w:spacing w:val="-2"/>
                <w:sz w:val="18"/>
              </w:rPr>
              <w:t>1.04.05)</w:t>
            </w:r>
          </w:p>
        </w:tc>
        <w:tc>
          <w:tcPr>
            <w:tcW w:w="1531" w:type="dxa"/>
          </w:tcPr>
          <w:p>
            <w:pPr>
              <w:pStyle w:val="TableParagraph"/>
              <w:rPr>
                <w:b/>
                <w:sz w:val="18"/>
              </w:rPr>
            </w:pPr>
          </w:p>
          <w:p>
            <w:pPr>
              <w:pStyle w:val="TableParagraph"/>
              <w:rPr>
                <w:b/>
                <w:sz w:val="18"/>
              </w:rPr>
            </w:pPr>
          </w:p>
          <w:p>
            <w:pPr>
              <w:pStyle w:val="TableParagraph"/>
              <w:spacing w:before="204"/>
              <w:rPr>
                <w:b/>
                <w:sz w:val="18"/>
              </w:rPr>
            </w:pPr>
          </w:p>
          <w:p>
            <w:pPr>
              <w:pStyle w:val="TableParagraph"/>
              <w:spacing w:line="242" w:lineRule="auto"/>
              <w:ind w:left="67"/>
              <w:rPr>
                <w:sz w:val="18"/>
              </w:rPr>
            </w:pPr>
            <w:r>
              <w:rPr>
                <w:sz w:val="18"/>
              </w:rPr>
              <w:t>cantidad de </w:t>
            </w:r>
            <w:r>
              <w:rPr>
                <w:spacing w:val="-2"/>
                <w:sz w:val="18"/>
              </w:rPr>
              <w:t>sistema funcionando correctamente</w:t>
            </w: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6"/>
              <w:jc w:val="right"/>
              <w:rPr>
                <w:sz w:val="18"/>
              </w:rPr>
            </w:pPr>
            <w:r>
              <w:rPr>
                <w:spacing w:val="-10"/>
                <w:sz w:val="18"/>
              </w:rPr>
              <w:t>1</w:t>
            </w:r>
          </w:p>
        </w:tc>
        <w:tc>
          <w:tcPr>
            <w:tcW w:w="13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1"/>
              <w:jc w:val="right"/>
              <w:rPr>
                <w:sz w:val="18"/>
              </w:rPr>
            </w:pPr>
            <w:r>
              <w:rPr>
                <w:sz w:val="18"/>
              </w:rPr>
              <w:t>₡10</w:t>
            </w:r>
            <w:r>
              <w:rPr>
                <w:spacing w:val="1"/>
                <w:sz w:val="18"/>
              </w:rPr>
              <w:t> </w:t>
            </w:r>
            <w:r>
              <w:rPr>
                <w:sz w:val="18"/>
              </w:rPr>
              <w:t>000</w:t>
            </w:r>
            <w:r>
              <w:rPr>
                <w:spacing w:val="-3"/>
                <w:sz w:val="18"/>
              </w:rPr>
              <w:t> </w:t>
            </w:r>
            <w:r>
              <w:rPr>
                <w:spacing w:val="-5"/>
                <w:sz w:val="18"/>
              </w:rPr>
              <w:t>000</w:t>
            </w: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r>
        <w:trPr>
          <w:trHeight w:val="1449" w:hRule="atLeast"/>
        </w:trPr>
        <w:tc>
          <w:tcPr>
            <w:tcW w:w="1536" w:type="dxa"/>
          </w:tcPr>
          <w:p>
            <w:pPr>
              <w:pStyle w:val="TableParagraph"/>
              <w:spacing w:line="206" w:lineRule="exact"/>
              <w:ind w:left="72"/>
              <w:jc w:val="both"/>
              <w:rPr>
                <w:b/>
                <w:sz w:val="18"/>
              </w:rPr>
            </w:pPr>
            <w:r>
              <w:rPr>
                <w:b/>
                <w:sz w:val="18"/>
              </w:rPr>
              <w:t>Actividad</w:t>
            </w:r>
            <w:r>
              <w:rPr>
                <w:b/>
                <w:spacing w:val="-6"/>
                <w:sz w:val="18"/>
              </w:rPr>
              <w:t> </w:t>
            </w:r>
            <w:r>
              <w:rPr>
                <w:b/>
                <w:spacing w:val="-5"/>
                <w:sz w:val="18"/>
              </w:rPr>
              <w:t>PEC</w:t>
            </w:r>
          </w:p>
          <w:p>
            <w:pPr>
              <w:pStyle w:val="TableParagraph"/>
              <w:spacing w:before="4"/>
              <w:ind w:left="72" w:right="246"/>
              <w:jc w:val="both"/>
              <w:rPr>
                <w:sz w:val="18"/>
              </w:rPr>
            </w:pPr>
            <w:r>
              <w:rPr>
                <w:b/>
                <w:sz w:val="18"/>
              </w:rPr>
              <w:t>3.7.2: </w:t>
            </w:r>
            <w:r>
              <w:rPr>
                <w:sz w:val="18"/>
              </w:rPr>
              <w:t>Equipar las</w:t>
            </w:r>
            <w:r>
              <w:rPr>
                <w:spacing w:val="-15"/>
                <w:sz w:val="18"/>
              </w:rPr>
              <w:t> </w:t>
            </w:r>
            <w:r>
              <w:rPr>
                <w:sz w:val="18"/>
              </w:rPr>
              <w:t>tiendas</w:t>
            </w:r>
            <w:r>
              <w:rPr>
                <w:spacing w:val="-12"/>
                <w:sz w:val="18"/>
              </w:rPr>
              <w:t> </w:t>
            </w:r>
            <w:r>
              <w:rPr>
                <w:sz w:val="18"/>
              </w:rPr>
              <w:t>con Handheld</w:t>
            </w:r>
            <w:r>
              <w:rPr>
                <w:spacing w:val="-13"/>
                <w:sz w:val="18"/>
              </w:rPr>
              <w:t> </w:t>
            </w:r>
            <w:r>
              <w:rPr>
                <w:sz w:val="18"/>
              </w:rPr>
              <w:t>para mejorar la</w:t>
            </w:r>
          </w:p>
          <w:p>
            <w:pPr>
              <w:pStyle w:val="TableParagraph"/>
              <w:spacing w:line="206" w:lineRule="exact"/>
              <w:ind w:left="72" w:right="275"/>
              <w:jc w:val="both"/>
              <w:rPr>
                <w:sz w:val="18"/>
              </w:rPr>
            </w:pPr>
            <w:r>
              <w:rPr>
                <w:sz w:val="18"/>
              </w:rPr>
              <w:t>experiencia</w:t>
            </w:r>
            <w:r>
              <w:rPr>
                <w:spacing w:val="-13"/>
                <w:sz w:val="18"/>
              </w:rPr>
              <w:t> </w:t>
            </w:r>
            <w:r>
              <w:rPr>
                <w:sz w:val="18"/>
              </w:rPr>
              <w:t>de </w:t>
            </w:r>
            <w:r>
              <w:rPr>
                <w:spacing w:val="-2"/>
                <w:sz w:val="18"/>
              </w:rPr>
              <w:t>compra</w:t>
            </w:r>
          </w:p>
        </w:tc>
        <w:tc>
          <w:tcPr>
            <w:tcW w:w="1531" w:type="dxa"/>
          </w:tcPr>
          <w:p>
            <w:pPr>
              <w:pStyle w:val="TableParagraph"/>
              <w:spacing w:before="104"/>
              <w:rPr>
                <w:b/>
                <w:sz w:val="18"/>
              </w:rPr>
            </w:pPr>
          </w:p>
          <w:p>
            <w:pPr>
              <w:pStyle w:val="TableParagraph"/>
              <w:ind w:left="67" w:right="123"/>
              <w:rPr>
                <w:sz w:val="18"/>
              </w:rPr>
            </w:pPr>
            <w:r>
              <w:rPr>
                <w:sz w:val="18"/>
              </w:rPr>
              <w:t>Cantidad de </w:t>
            </w:r>
            <w:r>
              <w:rPr>
                <w:spacing w:val="-2"/>
                <w:sz w:val="18"/>
              </w:rPr>
              <w:t>tiendas </w:t>
            </w:r>
            <w:r>
              <w:rPr>
                <w:sz w:val="18"/>
              </w:rPr>
              <w:t>equipadas</w:t>
            </w:r>
            <w:r>
              <w:rPr>
                <w:spacing w:val="-13"/>
                <w:sz w:val="18"/>
              </w:rPr>
              <w:t> </w:t>
            </w:r>
            <w:r>
              <w:rPr>
                <w:sz w:val="18"/>
              </w:rPr>
              <w:t>con </w:t>
            </w:r>
            <w:r>
              <w:rPr>
                <w:spacing w:val="-2"/>
                <w:sz w:val="18"/>
              </w:rPr>
              <w:t>Handheld</w:t>
            </w: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56"/>
              <w:jc w:val="right"/>
              <w:rPr>
                <w:sz w:val="18"/>
              </w:rPr>
            </w:pPr>
            <w:r>
              <w:rPr>
                <w:spacing w:val="-10"/>
                <w:sz w:val="18"/>
              </w:rPr>
              <w:t>7</w:t>
            </w:r>
          </w:p>
        </w:tc>
        <w:tc>
          <w:tcPr>
            <w:tcW w:w="1392" w:type="dxa"/>
          </w:tcPr>
          <w:p>
            <w:pPr>
              <w:pStyle w:val="TableParagraph"/>
              <w:rPr>
                <w:b/>
                <w:sz w:val="18"/>
              </w:rPr>
            </w:pPr>
          </w:p>
          <w:p>
            <w:pPr>
              <w:pStyle w:val="TableParagraph"/>
              <w:rPr>
                <w:b/>
                <w:sz w:val="18"/>
              </w:rPr>
            </w:pPr>
          </w:p>
          <w:p>
            <w:pPr>
              <w:pStyle w:val="TableParagraph"/>
              <w:spacing w:before="2"/>
              <w:rPr>
                <w:b/>
                <w:sz w:val="18"/>
              </w:rPr>
            </w:pPr>
          </w:p>
          <w:p>
            <w:pPr>
              <w:pStyle w:val="TableParagraph"/>
              <w:ind w:right="51"/>
              <w:jc w:val="right"/>
              <w:rPr>
                <w:sz w:val="18"/>
              </w:rPr>
            </w:pPr>
            <w:r>
              <w:rPr>
                <w:sz w:val="18"/>
              </w:rPr>
              <w:t>₡11</w:t>
            </w:r>
            <w:r>
              <w:rPr>
                <w:spacing w:val="1"/>
                <w:sz w:val="18"/>
              </w:rPr>
              <w:t> </w:t>
            </w:r>
            <w:r>
              <w:rPr>
                <w:sz w:val="18"/>
              </w:rPr>
              <w:t>000</w:t>
            </w:r>
            <w:r>
              <w:rPr>
                <w:spacing w:val="-3"/>
                <w:sz w:val="18"/>
              </w:rPr>
              <w:t> </w:t>
            </w:r>
            <w:r>
              <w:rPr>
                <w:spacing w:val="-5"/>
                <w:sz w:val="18"/>
              </w:rPr>
              <w:t>000</w:t>
            </w: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r>
        <w:trPr>
          <w:trHeight w:val="1655" w:hRule="atLeast"/>
        </w:trPr>
        <w:tc>
          <w:tcPr>
            <w:tcW w:w="1536" w:type="dxa"/>
          </w:tcPr>
          <w:p>
            <w:pPr>
              <w:pStyle w:val="TableParagraph"/>
              <w:spacing w:line="205" w:lineRule="exact"/>
              <w:ind w:left="72"/>
              <w:rPr>
                <w:b/>
                <w:sz w:val="18"/>
              </w:rPr>
            </w:pPr>
            <w:r>
              <w:rPr>
                <w:b/>
                <w:sz w:val="18"/>
              </w:rPr>
              <w:t>Actividad</w:t>
            </w:r>
            <w:r>
              <w:rPr>
                <w:b/>
                <w:spacing w:val="-6"/>
                <w:sz w:val="18"/>
              </w:rPr>
              <w:t> </w:t>
            </w:r>
            <w:r>
              <w:rPr>
                <w:b/>
                <w:spacing w:val="-5"/>
                <w:sz w:val="18"/>
              </w:rPr>
              <w:t>PEC</w:t>
            </w:r>
          </w:p>
          <w:p>
            <w:pPr>
              <w:pStyle w:val="TableParagraph"/>
              <w:ind w:left="72" w:right="123"/>
              <w:rPr>
                <w:sz w:val="18"/>
              </w:rPr>
            </w:pPr>
            <w:r>
              <w:rPr>
                <w:b/>
                <w:sz w:val="18"/>
              </w:rPr>
              <w:t>3.7.3: </w:t>
            </w:r>
            <w:r>
              <w:rPr>
                <w:sz w:val="18"/>
              </w:rPr>
              <w:t>Equipar las tiendas con impresoras</w:t>
            </w:r>
            <w:r>
              <w:rPr>
                <w:spacing w:val="-13"/>
                <w:sz w:val="18"/>
              </w:rPr>
              <w:t> </w:t>
            </w:r>
            <w:r>
              <w:rPr>
                <w:sz w:val="18"/>
              </w:rPr>
              <w:t>par</w:t>
            </w:r>
            <w:r>
              <w:rPr>
                <w:sz w:val="18"/>
              </w:rPr>
              <w:t>a</w:t>
            </w:r>
            <w:r>
              <w:rPr>
                <w:sz w:val="18"/>
              </w:rPr>
              <w:t> agilizar el proceso de</w:t>
            </w:r>
          </w:p>
          <w:p>
            <w:pPr>
              <w:pStyle w:val="TableParagraph"/>
              <w:spacing w:line="206" w:lineRule="exact"/>
              <w:ind w:left="72" w:right="123"/>
              <w:rPr>
                <w:sz w:val="18"/>
              </w:rPr>
            </w:pPr>
            <w:r>
              <w:rPr>
                <w:sz w:val="18"/>
              </w:rPr>
              <w:t>atención</w:t>
            </w:r>
            <w:r>
              <w:rPr>
                <w:spacing w:val="-13"/>
                <w:sz w:val="18"/>
              </w:rPr>
              <w:t> </w:t>
            </w:r>
            <w:r>
              <w:rPr>
                <w:sz w:val="18"/>
              </w:rPr>
              <w:t>al </w:t>
            </w:r>
            <w:r>
              <w:rPr>
                <w:spacing w:val="-2"/>
                <w:sz w:val="18"/>
              </w:rPr>
              <w:t>cliente</w:t>
            </w:r>
          </w:p>
        </w:tc>
        <w:tc>
          <w:tcPr>
            <w:tcW w:w="1531" w:type="dxa"/>
          </w:tcPr>
          <w:p>
            <w:pPr>
              <w:pStyle w:val="TableParagraph"/>
              <w:rPr>
                <w:b/>
                <w:sz w:val="18"/>
              </w:rPr>
            </w:pPr>
          </w:p>
          <w:p>
            <w:pPr>
              <w:pStyle w:val="TableParagraph"/>
              <w:spacing w:before="2"/>
              <w:rPr>
                <w:b/>
                <w:sz w:val="18"/>
              </w:rPr>
            </w:pPr>
          </w:p>
          <w:p>
            <w:pPr>
              <w:pStyle w:val="TableParagraph"/>
              <w:ind w:left="67" w:right="123"/>
              <w:rPr>
                <w:sz w:val="18"/>
              </w:rPr>
            </w:pPr>
            <w:r>
              <w:rPr>
                <w:sz w:val="18"/>
              </w:rPr>
              <w:t>cantidad de </w:t>
            </w:r>
            <w:r>
              <w:rPr>
                <w:spacing w:val="-2"/>
                <w:sz w:val="18"/>
              </w:rPr>
              <w:t>tiendas </w:t>
            </w:r>
            <w:r>
              <w:rPr>
                <w:sz w:val="18"/>
              </w:rPr>
              <w:t>equipadas</w:t>
            </w:r>
            <w:r>
              <w:rPr>
                <w:spacing w:val="-13"/>
                <w:sz w:val="18"/>
              </w:rPr>
              <w:t> </w:t>
            </w:r>
            <w:r>
              <w:rPr>
                <w:sz w:val="18"/>
              </w:rPr>
              <w:t>con </w:t>
            </w:r>
            <w:r>
              <w:rPr>
                <w:spacing w:val="-2"/>
                <w:sz w:val="18"/>
              </w:rPr>
              <w:t>impresoras</w:t>
            </w: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b/>
                <w:sz w:val="18"/>
              </w:rPr>
            </w:pPr>
          </w:p>
          <w:p>
            <w:pPr>
              <w:pStyle w:val="TableParagraph"/>
              <w:rPr>
                <w:b/>
                <w:sz w:val="18"/>
              </w:rPr>
            </w:pPr>
          </w:p>
          <w:p>
            <w:pPr>
              <w:pStyle w:val="TableParagraph"/>
              <w:spacing w:before="102"/>
              <w:rPr>
                <w:b/>
                <w:sz w:val="18"/>
              </w:rPr>
            </w:pPr>
          </w:p>
          <w:p>
            <w:pPr>
              <w:pStyle w:val="TableParagraph"/>
              <w:ind w:right="56"/>
              <w:jc w:val="right"/>
              <w:rPr>
                <w:sz w:val="18"/>
              </w:rPr>
            </w:pPr>
            <w:r>
              <w:rPr>
                <w:spacing w:val="-10"/>
                <w:sz w:val="18"/>
              </w:rPr>
              <w:t>7</w:t>
            </w:r>
          </w:p>
        </w:tc>
        <w:tc>
          <w:tcPr>
            <w:tcW w:w="1392" w:type="dxa"/>
          </w:tcPr>
          <w:p>
            <w:pPr>
              <w:pStyle w:val="TableParagraph"/>
              <w:rPr>
                <w:b/>
                <w:sz w:val="18"/>
              </w:rPr>
            </w:pPr>
          </w:p>
          <w:p>
            <w:pPr>
              <w:pStyle w:val="TableParagraph"/>
              <w:rPr>
                <w:b/>
                <w:sz w:val="18"/>
              </w:rPr>
            </w:pPr>
          </w:p>
          <w:p>
            <w:pPr>
              <w:pStyle w:val="TableParagraph"/>
              <w:spacing w:before="102"/>
              <w:rPr>
                <w:b/>
                <w:sz w:val="18"/>
              </w:rPr>
            </w:pPr>
          </w:p>
          <w:p>
            <w:pPr>
              <w:pStyle w:val="TableParagraph"/>
              <w:ind w:right="51"/>
              <w:jc w:val="right"/>
              <w:rPr>
                <w:sz w:val="18"/>
              </w:rPr>
            </w:pPr>
            <w:r>
              <w:rPr>
                <w:sz w:val="18"/>
              </w:rPr>
              <w:t>₡5</w:t>
            </w:r>
            <w:r>
              <w:rPr>
                <w:spacing w:val="1"/>
                <w:sz w:val="18"/>
              </w:rPr>
              <w:t> </w:t>
            </w:r>
            <w:r>
              <w:rPr>
                <w:sz w:val="18"/>
              </w:rPr>
              <w:t>000</w:t>
            </w:r>
            <w:r>
              <w:rPr>
                <w:spacing w:val="-3"/>
                <w:sz w:val="18"/>
              </w:rPr>
              <w:t> </w:t>
            </w:r>
            <w:r>
              <w:rPr>
                <w:spacing w:val="-5"/>
                <w:sz w:val="18"/>
              </w:rPr>
              <w:t>000</w:t>
            </w: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r>
        <w:trPr>
          <w:trHeight w:val="542" w:hRule="atLeast"/>
        </w:trPr>
        <w:tc>
          <w:tcPr>
            <w:tcW w:w="14392" w:type="dxa"/>
            <w:gridSpan w:val="10"/>
            <w:shd w:val="clear" w:color="auto" w:fill="EFF8F9"/>
          </w:tcPr>
          <w:p>
            <w:pPr>
              <w:pStyle w:val="TableParagraph"/>
              <w:spacing w:before="167"/>
              <w:ind w:left="72"/>
              <w:rPr>
                <w:b/>
                <w:sz w:val="18"/>
              </w:rPr>
            </w:pPr>
            <w:r>
              <w:rPr>
                <w:b/>
                <w:sz w:val="18"/>
              </w:rPr>
              <w:t>Producto</w:t>
            </w:r>
            <w:r>
              <w:rPr>
                <w:b/>
                <w:spacing w:val="-6"/>
                <w:sz w:val="18"/>
              </w:rPr>
              <w:t> </w:t>
            </w:r>
            <w:r>
              <w:rPr>
                <w:b/>
                <w:sz w:val="18"/>
              </w:rPr>
              <w:t>PEC</w:t>
            </w:r>
            <w:r>
              <w:rPr>
                <w:b/>
                <w:spacing w:val="-8"/>
                <w:sz w:val="18"/>
              </w:rPr>
              <w:t> </w:t>
            </w:r>
            <w:r>
              <w:rPr>
                <w:b/>
                <w:sz w:val="18"/>
              </w:rPr>
              <w:t>3.</w:t>
            </w:r>
            <w:r>
              <w:rPr>
                <w:b/>
                <w:spacing w:val="-4"/>
                <w:sz w:val="18"/>
              </w:rPr>
              <w:t> </w:t>
            </w:r>
            <w:r>
              <w:rPr>
                <w:b/>
                <w:sz w:val="18"/>
              </w:rPr>
              <w:t>8:</w:t>
            </w:r>
            <w:r>
              <w:rPr>
                <w:b/>
                <w:spacing w:val="-4"/>
                <w:sz w:val="18"/>
              </w:rPr>
              <w:t> </w:t>
            </w:r>
            <w:r>
              <w:rPr>
                <w:b/>
                <w:sz w:val="18"/>
              </w:rPr>
              <w:t>Ajustada</w:t>
            </w:r>
            <w:r>
              <w:rPr>
                <w:b/>
                <w:spacing w:val="-5"/>
                <w:sz w:val="18"/>
              </w:rPr>
              <w:t> </w:t>
            </w:r>
            <w:r>
              <w:rPr>
                <w:b/>
                <w:sz w:val="18"/>
              </w:rPr>
              <w:t>la</w:t>
            </w:r>
            <w:r>
              <w:rPr>
                <w:b/>
                <w:spacing w:val="-6"/>
                <w:sz w:val="18"/>
              </w:rPr>
              <w:t> </w:t>
            </w:r>
            <w:r>
              <w:rPr>
                <w:b/>
                <w:sz w:val="18"/>
              </w:rPr>
              <w:t>normativa</w:t>
            </w:r>
            <w:r>
              <w:rPr>
                <w:b/>
                <w:spacing w:val="-6"/>
                <w:sz w:val="18"/>
              </w:rPr>
              <w:t> </w:t>
            </w:r>
            <w:r>
              <w:rPr>
                <w:b/>
                <w:sz w:val="18"/>
              </w:rPr>
              <w:t>para</w:t>
            </w:r>
            <w:r>
              <w:rPr>
                <w:b/>
                <w:spacing w:val="-6"/>
                <w:sz w:val="18"/>
              </w:rPr>
              <w:t> </w:t>
            </w:r>
            <w:r>
              <w:rPr>
                <w:b/>
                <w:sz w:val="18"/>
              </w:rPr>
              <w:t>la</w:t>
            </w:r>
            <w:r>
              <w:rPr>
                <w:b/>
                <w:spacing w:val="-5"/>
                <w:sz w:val="18"/>
              </w:rPr>
              <w:t> </w:t>
            </w:r>
            <w:r>
              <w:rPr>
                <w:b/>
                <w:sz w:val="18"/>
              </w:rPr>
              <w:t>correcta</w:t>
            </w:r>
            <w:r>
              <w:rPr>
                <w:b/>
                <w:spacing w:val="2"/>
                <w:sz w:val="18"/>
              </w:rPr>
              <w:t> </w:t>
            </w:r>
            <w:r>
              <w:rPr>
                <w:b/>
                <w:sz w:val="18"/>
              </w:rPr>
              <w:t>administración</w:t>
            </w:r>
            <w:r>
              <w:rPr>
                <w:b/>
                <w:spacing w:val="-4"/>
                <w:sz w:val="18"/>
              </w:rPr>
              <w:t> </w:t>
            </w:r>
            <w:r>
              <w:rPr>
                <w:b/>
                <w:sz w:val="18"/>
              </w:rPr>
              <w:t>del</w:t>
            </w:r>
            <w:r>
              <w:rPr>
                <w:b/>
                <w:spacing w:val="-4"/>
                <w:sz w:val="18"/>
              </w:rPr>
              <w:t> </w:t>
            </w:r>
            <w:r>
              <w:rPr>
                <w:b/>
                <w:sz w:val="18"/>
              </w:rPr>
              <w:t>recurso</w:t>
            </w:r>
            <w:r>
              <w:rPr>
                <w:b/>
                <w:spacing w:val="-7"/>
                <w:sz w:val="18"/>
              </w:rPr>
              <w:t> </w:t>
            </w:r>
            <w:r>
              <w:rPr>
                <w:b/>
                <w:sz w:val="18"/>
              </w:rPr>
              <w:t>humano</w:t>
            </w:r>
            <w:r>
              <w:rPr>
                <w:b/>
                <w:spacing w:val="-7"/>
                <w:sz w:val="18"/>
              </w:rPr>
              <w:t> </w:t>
            </w:r>
            <w:r>
              <w:rPr>
                <w:b/>
                <w:sz w:val="18"/>
              </w:rPr>
              <w:t>(E5</w:t>
            </w:r>
            <w:r>
              <w:rPr>
                <w:b/>
                <w:spacing w:val="-2"/>
                <w:sz w:val="18"/>
              </w:rPr>
              <w:t> </w:t>
            </w:r>
            <w:r>
              <w:rPr>
                <w:b/>
                <w:sz w:val="18"/>
              </w:rPr>
              <w:t>AE4</w:t>
            </w:r>
            <w:r>
              <w:rPr>
                <w:b/>
                <w:spacing w:val="-5"/>
                <w:sz w:val="18"/>
              </w:rPr>
              <w:t> R1)</w:t>
            </w:r>
          </w:p>
        </w:tc>
      </w:tr>
      <w:tr>
        <w:trPr>
          <w:trHeight w:val="1862" w:hRule="atLeast"/>
        </w:trPr>
        <w:tc>
          <w:tcPr>
            <w:tcW w:w="1536" w:type="dxa"/>
          </w:tcPr>
          <w:p>
            <w:pPr>
              <w:pStyle w:val="TableParagraph"/>
              <w:spacing w:line="206" w:lineRule="exact"/>
              <w:ind w:left="72"/>
              <w:rPr>
                <w:b/>
                <w:sz w:val="18"/>
              </w:rPr>
            </w:pPr>
            <w:r>
              <w:rPr>
                <w:b/>
                <w:sz w:val="18"/>
              </w:rPr>
              <w:t>Actividad</w:t>
            </w:r>
            <w:r>
              <w:rPr>
                <w:b/>
                <w:spacing w:val="-6"/>
                <w:sz w:val="18"/>
              </w:rPr>
              <w:t> </w:t>
            </w:r>
            <w:r>
              <w:rPr>
                <w:b/>
                <w:spacing w:val="-5"/>
                <w:sz w:val="18"/>
              </w:rPr>
              <w:t>PEC</w:t>
            </w:r>
          </w:p>
          <w:p>
            <w:pPr>
              <w:pStyle w:val="TableParagraph"/>
              <w:ind w:left="72" w:right="156"/>
              <w:rPr>
                <w:sz w:val="18"/>
              </w:rPr>
            </w:pPr>
            <w:r>
              <w:rPr>
                <w:b/>
                <w:sz w:val="18"/>
              </w:rPr>
              <w:t>3.8.1:</w:t>
            </w:r>
            <w:r>
              <w:rPr>
                <w:b/>
                <w:spacing w:val="-13"/>
                <w:sz w:val="18"/>
              </w:rPr>
              <w:t> </w:t>
            </w:r>
            <w:r>
              <w:rPr>
                <w:sz w:val="18"/>
              </w:rPr>
              <w:t>Presenta</w:t>
            </w:r>
            <w:r>
              <w:rPr>
                <w:sz w:val="18"/>
              </w:rPr>
              <w:t>r</w:t>
            </w:r>
            <w:r>
              <w:rPr>
                <w:sz w:val="18"/>
              </w:rPr>
              <w:t> la modificación del Manual de cargos de </w:t>
            </w:r>
            <w:r>
              <w:rPr>
                <w:spacing w:val="-2"/>
                <w:sz w:val="18"/>
              </w:rPr>
              <w:t>Empresas </w:t>
            </w:r>
            <w:r>
              <w:rPr>
                <w:sz w:val="18"/>
              </w:rPr>
              <w:t>Comerciales a </w:t>
            </w:r>
            <w:r>
              <w:rPr>
                <w:spacing w:val="-2"/>
                <w:sz w:val="18"/>
              </w:rPr>
              <w:t>Desarrollo</w:t>
            </w:r>
          </w:p>
          <w:p>
            <w:pPr>
              <w:pStyle w:val="TableParagraph"/>
              <w:spacing w:line="187" w:lineRule="exact" w:before="1"/>
              <w:ind w:left="72"/>
              <w:rPr>
                <w:sz w:val="18"/>
              </w:rPr>
            </w:pPr>
            <w:r>
              <w:rPr>
                <w:spacing w:val="-2"/>
                <w:sz w:val="18"/>
              </w:rPr>
              <w:t>Humano.</w:t>
            </w:r>
          </w:p>
        </w:tc>
        <w:tc>
          <w:tcPr>
            <w:tcW w:w="1531" w:type="dxa"/>
          </w:tcPr>
          <w:p>
            <w:pPr>
              <w:pStyle w:val="TableParagraph"/>
              <w:spacing w:before="204"/>
              <w:rPr>
                <w:b/>
                <w:sz w:val="18"/>
              </w:rPr>
            </w:pPr>
          </w:p>
          <w:p>
            <w:pPr>
              <w:pStyle w:val="TableParagraph"/>
              <w:ind w:left="67"/>
              <w:rPr>
                <w:sz w:val="18"/>
              </w:rPr>
            </w:pPr>
            <w:r>
              <w:rPr>
                <w:sz w:val="18"/>
              </w:rPr>
              <w:t>Cantidad de </w:t>
            </w:r>
            <w:r>
              <w:rPr>
                <w:spacing w:val="-2"/>
                <w:sz w:val="18"/>
              </w:rPr>
              <w:t>Normativa </w:t>
            </w:r>
            <w:r>
              <w:rPr>
                <w:sz w:val="18"/>
              </w:rPr>
              <w:t>presentada</w:t>
            </w:r>
            <w:r>
              <w:rPr>
                <w:spacing w:val="-13"/>
                <w:sz w:val="18"/>
              </w:rPr>
              <w:t> </w:t>
            </w:r>
            <w:r>
              <w:rPr>
                <w:sz w:val="18"/>
              </w:rPr>
              <w:t>a </w:t>
            </w:r>
            <w:r>
              <w:rPr>
                <w:spacing w:val="-2"/>
                <w:sz w:val="18"/>
              </w:rPr>
              <w:t>Desarrollo Humano.</w:t>
            </w:r>
          </w:p>
        </w:tc>
        <w:tc>
          <w:tcPr>
            <w:tcW w:w="1387" w:type="dxa"/>
          </w:tcPr>
          <w:p>
            <w:pPr>
              <w:pStyle w:val="TableParagraph"/>
              <w:rPr>
                <w:b/>
                <w:sz w:val="18"/>
              </w:rPr>
            </w:pPr>
          </w:p>
          <w:p>
            <w:pPr>
              <w:pStyle w:val="TableParagraph"/>
              <w:rPr>
                <w:b/>
                <w:sz w:val="18"/>
              </w:rPr>
            </w:pPr>
          </w:p>
          <w:p>
            <w:pPr>
              <w:pStyle w:val="TableParagraph"/>
              <w:spacing w:before="203"/>
              <w:rPr>
                <w:b/>
                <w:sz w:val="18"/>
              </w:rPr>
            </w:pPr>
          </w:p>
          <w:p>
            <w:pPr>
              <w:pStyle w:val="TableParagraph"/>
              <w:ind w:right="52"/>
              <w:jc w:val="right"/>
              <w:rPr>
                <w:sz w:val="18"/>
              </w:rPr>
            </w:pPr>
            <w:r>
              <w:rPr>
                <w:spacing w:val="-10"/>
                <w:sz w:val="18"/>
              </w:rPr>
              <w:t>1</w:t>
            </w: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6"/>
        <w:gridCol w:w="1531"/>
        <w:gridCol w:w="1387"/>
        <w:gridCol w:w="1315"/>
        <w:gridCol w:w="1387"/>
        <w:gridCol w:w="1392"/>
        <w:gridCol w:w="1512"/>
        <w:gridCol w:w="1364"/>
        <w:gridCol w:w="1484"/>
        <w:gridCol w:w="1484"/>
      </w:tblGrid>
      <w:tr>
        <w:trPr>
          <w:trHeight w:val="302" w:hRule="atLeast"/>
        </w:trPr>
        <w:tc>
          <w:tcPr>
            <w:tcW w:w="1536" w:type="dxa"/>
            <w:vMerge w:val="restart"/>
            <w:shd w:val="clear" w:color="auto" w:fill="D7D7D7"/>
          </w:tcPr>
          <w:p>
            <w:pPr>
              <w:pStyle w:val="TableParagraph"/>
              <w:spacing w:before="46"/>
              <w:rPr>
                <w:b/>
                <w:sz w:val="18"/>
              </w:rPr>
            </w:pPr>
          </w:p>
          <w:p>
            <w:pPr>
              <w:pStyle w:val="TableParagraph"/>
              <w:ind w:left="283" w:firstLine="24"/>
              <w:rPr>
                <w:b/>
                <w:sz w:val="18"/>
              </w:rPr>
            </w:pPr>
            <w:r>
              <w:rPr>
                <w:b/>
                <w:sz w:val="18"/>
              </w:rPr>
              <w:t>Objetivos</w:t>
            </w:r>
            <w:r>
              <w:rPr>
                <w:b/>
                <w:spacing w:val="-7"/>
                <w:sz w:val="18"/>
              </w:rPr>
              <w:t> </w:t>
            </w:r>
            <w:r>
              <w:rPr>
                <w:b/>
                <w:sz w:val="18"/>
              </w:rPr>
              <w:t>/ </w:t>
            </w:r>
            <w:r>
              <w:rPr>
                <w:b/>
                <w:spacing w:val="-2"/>
                <w:sz w:val="18"/>
              </w:rPr>
              <w:t>Resultados</w:t>
            </w:r>
          </w:p>
        </w:tc>
        <w:tc>
          <w:tcPr>
            <w:tcW w:w="1531" w:type="dxa"/>
            <w:vMerge w:val="restart"/>
            <w:shd w:val="clear" w:color="auto" w:fill="D7D7D7"/>
          </w:tcPr>
          <w:p>
            <w:pPr>
              <w:pStyle w:val="TableParagraph"/>
              <w:spacing w:before="151"/>
              <w:rPr>
                <w:b/>
                <w:sz w:val="18"/>
              </w:rPr>
            </w:pPr>
          </w:p>
          <w:p>
            <w:pPr>
              <w:pStyle w:val="TableParagraph"/>
              <w:spacing w:before="1"/>
              <w:ind w:left="355"/>
              <w:rPr>
                <w:b/>
                <w:sz w:val="18"/>
              </w:rPr>
            </w:pPr>
            <w:r>
              <w:rPr>
                <w:b/>
                <w:spacing w:val="-2"/>
                <w:sz w:val="18"/>
              </w:rPr>
              <w:t>Indicador</w:t>
            </w:r>
          </w:p>
        </w:tc>
        <w:tc>
          <w:tcPr>
            <w:tcW w:w="2702" w:type="dxa"/>
            <w:gridSpan w:val="2"/>
            <w:shd w:val="clear" w:color="auto" w:fill="D7D7D7"/>
          </w:tcPr>
          <w:p>
            <w:pPr>
              <w:pStyle w:val="TableParagraph"/>
              <w:spacing w:before="47"/>
              <w:ind w:left="889"/>
              <w:rPr>
                <w:b/>
                <w:sz w:val="18"/>
              </w:rPr>
            </w:pPr>
            <w:r>
              <w:rPr>
                <w:b/>
                <w:sz w:val="18"/>
              </w:rPr>
              <w:t>I</w:t>
            </w:r>
            <w:r>
              <w:rPr>
                <w:b/>
                <w:spacing w:val="-1"/>
                <w:sz w:val="18"/>
              </w:rPr>
              <w:t> </w:t>
            </w:r>
            <w:r>
              <w:rPr>
                <w:b/>
                <w:spacing w:val="-2"/>
                <w:sz w:val="18"/>
              </w:rPr>
              <w:t>Trimestre</w:t>
            </w:r>
          </w:p>
        </w:tc>
        <w:tc>
          <w:tcPr>
            <w:tcW w:w="2779" w:type="dxa"/>
            <w:gridSpan w:val="2"/>
            <w:shd w:val="clear" w:color="auto" w:fill="D7D7D7"/>
          </w:tcPr>
          <w:p>
            <w:pPr>
              <w:pStyle w:val="TableParagraph"/>
              <w:spacing w:before="47"/>
              <w:ind w:left="904"/>
              <w:rPr>
                <w:b/>
                <w:sz w:val="18"/>
              </w:rPr>
            </w:pPr>
            <w:r>
              <w:rPr>
                <w:b/>
                <w:sz w:val="18"/>
              </w:rPr>
              <w:t>II</w:t>
            </w:r>
            <w:r>
              <w:rPr>
                <w:b/>
                <w:spacing w:val="-3"/>
                <w:sz w:val="18"/>
              </w:rPr>
              <w:t> </w:t>
            </w:r>
            <w:r>
              <w:rPr>
                <w:b/>
                <w:spacing w:val="-2"/>
                <w:sz w:val="18"/>
              </w:rPr>
              <w:t>Trimestre</w:t>
            </w:r>
          </w:p>
        </w:tc>
        <w:tc>
          <w:tcPr>
            <w:tcW w:w="2876" w:type="dxa"/>
            <w:gridSpan w:val="2"/>
            <w:shd w:val="clear" w:color="auto" w:fill="D7D7D7"/>
          </w:tcPr>
          <w:p>
            <w:pPr>
              <w:pStyle w:val="TableParagraph"/>
              <w:spacing w:before="47"/>
              <w:ind w:left="925"/>
              <w:rPr>
                <w:b/>
                <w:sz w:val="18"/>
              </w:rPr>
            </w:pPr>
            <w:r>
              <w:rPr>
                <w:b/>
                <w:sz w:val="18"/>
              </w:rPr>
              <w:t>III</w:t>
            </w:r>
            <w:r>
              <w:rPr>
                <w:b/>
                <w:spacing w:val="-2"/>
                <w:sz w:val="18"/>
              </w:rPr>
              <w:t> Trimestre</w:t>
            </w:r>
          </w:p>
        </w:tc>
        <w:tc>
          <w:tcPr>
            <w:tcW w:w="2968" w:type="dxa"/>
            <w:gridSpan w:val="2"/>
            <w:shd w:val="clear" w:color="auto" w:fill="D7D7D7"/>
          </w:tcPr>
          <w:p>
            <w:pPr>
              <w:pStyle w:val="TableParagraph"/>
              <w:spacing w:before="47"/>
              <w:ind w:left="963"/>
              <w:rPr>
                <w:b/>
                <w:sz w:val="18"/>
              </w:rPr>
            </w:pPr>
            <w:r>
              <w:rPr>
                <w:b/>
                <w:sz w:val="18"/>
              </w:rPr>
              <w:t>IV</w:t>
            </w:r>
            <w:r>
              <w:rPr>
                <w:b/>
                <w:spacing w:val="-2"/>
                <w:sz w:val="18"/>
              </w:rPr>
              <w:t> Trimestre</w:t>
            </w:r>
          </w:p>
        </w:tc>
      </w:tr>
      <w:tr>
        <w:trPr>
          <w:trHeight w:val="613" w:hRule="atLeast"/>
        </w:trPr>
        <w:tc>
          <w:tcPr>
            <w:tcW w:w="1536" w:type="dxa"/>
            <w:vMerge/>
            <w:tcBorders>
              <w:top w:val="nil"/>
            </w:tcBorders>
            <w:shd w:val="clear" w:color="auto" w:fill="D7D7D7"/>
          </w:tcPr>
          <w:p>
            <w:pPr>
              <w:rPr>
                <w:sz w:val="2"/>
                <w:szCs w:val="2"/>
              </w:rPr>
            </w:pPr>
          </w:p>
        </w:tc>
        <w:tc>
          <w:tcPr>
            <w:tcW w:w="1531" w:type="dxa"/>
            <w:vMerge/>
            <w:tcBorders>
              <w:top w:val="nil"/>
            </w:tcBorders>
            <w:shd w:val="clear" w:color="auto" w:fill="D7D7D7"/>
          </w:tcPr>
          <w:p>
            <w:pPr>
              <w:rPr>
                <w:sz w:val="2"/>
                <w:szCs w:val="2"/>
              </w:rPr>
            </w:pPr>
          </w:p>
        </w:tc>
        <w:tc>
          <w:tcPr>
            <w:tcW w:w="1387" w:type="dxa"/>
            <w:shd w:val="clear" w:color="auto" w:fill="D7D7D7"/>
          </w:tcPr>
          <w:p>
            <w:pPr>
              <w:pStyle w:val="TableParagraph"/>
              <w:spacing w:before="99"/>
              <w:ind w:left="173" w:firstLine="317"/>
              <w:rPr>
                <w:b/>
                <w:sz w:val="18"/>
              </w:rPr>
            </w:pPr>
            <w:r>
              <w:rPr>
                <w:b/>
                <w:spacing w:val="-4"/>
                <w:sz w:val="18"/>
              </w:rPr>
              <w:t>Meta </w:t>
            </w:r>
            <w:r>
              <w:rPr>
                <w:b/>
                <w:spacing w:val="-2"/>
                <w:sz w:val="18"/>
              </w:rPr>
              <w:t>programada</w:t>
            </w:r>
          </w:p>
        </w:tc>
        <w:tc>
          <w:tcPr>
            <w:tcW w:w="1315" w:type="dxa"/>
            <w:shd w:val="clear" w:color="auto" w:fill="D7D7D7"/>
          </w:tcPr>
          <w:p>
            <w:pPr>
              <w:pStyle w:val="TableParagraph"/>
              <w:spacing w:before="200"/>
              <w:ind w:left="9"/>
              <w:jc w:val="center"/>
              <w:rPr>
                <w:b/>
                <w:sz w:val="18"/>
              </w:rPr>
            </w:pPr>
            <w:r>
              <w:rPr>
                <w:b/>
                <w:spacing w:val="-10"/>
                <w:sz w:val="18"/>
              </w:rPr>
              <w:t>¢</w:t>
            </w:r>
          </w:p>
        </w:tc>
        <w:tc>
          <w:tcPr>
            <w:tcW w:w="1387" w:type="dxa"/>
            <w:shd w:val="clear" w:color="auto" w:fill="D7D7D7"/>
          </w:tcPr>
          <w:p>
            <w:pPr>
              <w:pStyle w:val="TableParagraph"/>
              <w:spacing w:before="99"/>
              <w:ind w:left="170" w:firstLine="316"/>
              <w:rPr>
                <w:b/>
                <w:sz w:val="18"/>
              </w:rPr>
            </w:pPr>
            <w:r>
              <w:rPr>
                <w:b/>
                <w:spacing w:val="-4"/>
                <w:sz w:val="18"/>
              </w:rPr>
              <w:t>Meta </w:t>
            </w:r>
            <w:r>
              <w:rPr>
                <w:b/>
                <w:spacing w:val="-2"/>
                <w:sz w:val="18"/>
              </w:rPr>
              <w:t>programada</w:t>
            </w:r>
          </w:p>
        </w:tc>
        <w:tc>
          <w:tcPr>
            <w:tcW w:w="1392" w:type="dxa"/>
            <w:shd w:val="clear" w:color="auto" w:fill="D7D7D7"/>
          </w:tcPr>
          <w:p>
            <w:pPr>
              <w:pStyle w:val="TableParagraph"/>
              <w:spacing w:before="200"/>
              <w:ind w:left="11"/>
              <w:jc w:val="center"/>
              <w:rPr>
                <w:b/>
                <w:sz w:val="18"/>
              </w:rPr>
            </w:pPr>
            <w:r>
              <w:rPr>
                <w:b/>
                <w:spacing w:val="-10"/>
                <w:sz w:val="18"/>
              </w:rPr>
              <w:t>¢</w:t>
            </w:r>
          </w:p>
        </w:tc>
        <w:tc>
          <w:tcPr>
            <w:tcW w:w="1512" w:type="dxa"/>
            <w:shd w:val="clear" w:color="auto" w:fill="D7D7D7"/>
          </w:tcPr>
          <w:p>
            <w:pPr>
              <w:pStyle w:val="TableParagraph"/>
              <w:spacing w:before="99"/>
              <w:ind w:left="233" w:firstLine="316"/>
              <w:rPr>
                <w:b/>
                <w:sz w:val="18"/>
              </w:rPr>
            </w:pPr>
            <w:r>
              <w:rPr>
                <w:b/>
                <w:spacing w:val="-4"/>
                <w:sz w:val="18"/>
              </w:rPr>
              <w:t>Meta </w:t>
            </w:r>
            <w:r>
              <w:rPr>
                <w:b/>
                <w:spacing w:val="-2"/>
                <w:sz w:val="18"/>
              </w:rPr>
              <w:t>programada</w:t>
            </w:r>
          </w:p>
        </w:tc>
        <w:tc>
          <w:tcPr>
            <w:tcW w:w="1364" w:type="dxa"/>
            <w:shd w:val="clear" w:color="auto" w:fill="D7D7D7"/>
          </w:tcPr>
          <w:p>
            <w:pPr>
              <w:pStyle w:val="TableParagraph"/>
              <w:spacing w:before="200"/>
              <w:ind w:left="55" w:right="42"/>
              <w:jc w:val="center"/>
              <w:rPr>
                <w:b/>
                <w:sz w:val="18"/>
              </w:rPr>
            </w:pPr>
            <w:r>
              <w:rPr>
                <w:b/>
                <w:spacing w:val="-10"/>
                <w:sz w:val="18"/>
              </w:rPr>
              <w:t>¢</w:t>
            </w:r>
          </w:p>
        </w:tc>
        <w:tc>
          <w:tcPr>
            <w:tcW w:w="1484" w:type="dxa"/>
            <w:shd w:val="clear" w:color="auto" w:fill="D7D7D7"/>
          </w:tcPr>
          <w:p>
            <w:pPr>
              <w:pStyle w:val="TableParagraph"/>
              <w:spacing w:before="99"/>
              <w:ind w:left="219" w:firstLine="317"/>
              <w:rPr>
                <w:b/>
                <w:sz w:val="18"/>
              </w:rPr>
            </w:pPr>
            <w:r>
              <w:rPr>
                <w:b/>
                <w:spacing w:val="-4"/>
                <w:sz w:val="18"/>
              </w:rPr>
              <w:t>Meta </w:t>
            </w:r>
            <w:r>
              <w:rPr>
                <w:b/>
                <w:spacing w:val="-2"/>
                <w:sz w:val="18"/>
              </w:rPr>
              <w:t>programada</w:t>
            </w:r>
          </w:p>
        </w:tc>
        <w:tc>
          <w:tcPr>
            <w:tcW w:w="1484" w:type="dxa"/>
            <w:shd w:val="clear" w:color="auto" w:fill="D7D7D7"/>
          </w:tcPr>
          <w:p>
            <w:pPr>
              <w:pStyle w:val="TableParagraph"/>
              <w:spacing w:before="200"/>
              <w:ind w:left="16"/>
              <w:jc w:val="center"/>
              <w:rPr>
                <w:b/>
                <w:sz w:val="18"/>
              </w:rPr>
            </w:pPr>
            <w:r>
              <w:rPr>
                <w:b/>
                <w:spacing w:val="-10"/>
                <w:sz w:val="18"/>
              </w:rPr>
              <w:t>¢</w:t>
            </w:r>
          </w:p>
        </w:tc>
      </w:tr>
      <w:tr>
        <w:trPr>
          <w:trHeight w:val="509" w:hRule="atLeast"/>
        </w:trPr>
        <w:tc>
          <w:tcPr>
            <w:tcW w:w="14392" w:type="dxa"/>
            <w:gridSpan w:val="10"/>
            <w:shd w:val="clear" w:color="auto" w:fill="EFF8F9"/>
          </w:tcPr>
          <w:p>
            <w:pPr>
              <w:pStyle w:val="TableParagraph"/>
              <w:spacing w:before="148"/>
              <w:ind w:left="72"/>
              <w:rPr>
                <w:b/>
                <w:sz w:val="18"/>
              </w:rPr>
            </w:pPr>
            <w:r>
              <w:rPr>
                <w:b/>
                <w:sz w:val="18"/>
              </w:rPr>
              <w:t>Producto</w:t>
            </w:r>
            <w:r>
              <w:rPr>
                <w:b/>
                <w:spacing w:val="-7"/>
                <w:sz w:val="18"/>
              </w:rPr>
              <w:t> </w:t>
            </w:r>
            <w:r>
              <w:rPr>
                <w:b/>
                <w:sz w:val="18"/>
              </w:rPr>
              <w:t>PEC</w:t>
            </w:r>
            <w:r>
              <w:rPr>
                <w:b/>
                <w:spacing w:val="-8"/>
                <w:sz w:val="18"/>
              </w:rPr>
              <w:t> </w:t>
            </w:r>
            <w:r>
              <w:rPr>
                <w:b/>
                <w:sz w:val="18"/>
              </w:rPr>
              <w:t>3.</w:t>
            </w:r>
            <w:r>
              <w:rPr>
                <w:b/>
                <w:spacing w:val="-4"/>
                <w:sz w:val="18"/>
              </w:rPr>
              <w:t> </w:t>
            </w:r>
            <w:r>
              <w:rPr>
                <w:b/>
                <w:sz w:val="18"/>
              </w:rPr>
              <w:t>9:</w:t>
            </w:r>
            <w:r>
              <w:rPr>
                <w:b/>
                <w:spacing w:val="-4"/>
                <w:sz w:val="18"/>
              </w:rPr>
              <w:t> </w:t>
            </w:r>
            <w:r>
              <w:rPr>
                <w:b/>
                <w:sz w:val="18"/>
              </w:rPr>
              <w:t>E-commerce</w:t>
            </w:r>
            <w:r>
              <w:rPr>
                <w:b/>
                <w:spacing w:val="-6"/>
                <w:sz w:val="18"/>
              </w:rPr>
              <w:t> </w:t>
            </w:r>
            <w:r>
              <w:rPr>
                <w:b/>
                <w:sz w:val="18"/>
              </w:rPr>
              <w:t>optimizado</w:t>
            </w:r>
            <w:r>
              <w:rPr>
                <w:b/>
                <w:spacing w:val="-2"/>
                <w:sz w:val="18"/>
              </w:rPr>
              <w:t> </w:t>
            </w:r>
            <w:r>
              <w:rPr>
                <w:b/>
                <w:sz w:val="18"/>
              </w:rPr>
              <w:t>para</w:t>
            </w:r>
            <w:r>
              <w:rPr>
                <w:b/>
                <w:spacing w:val="-6"/>
                <w:sz w:val="18"/>
              </w:rPr>
              <w:t> </w:t>
            </w:r>
            <w:r>
              <w:rPr>
                <w:b/>
                <w:sz w:val="18"/>
              </w:rPr>
              <w:t>potenciar el</w:t>
            </w:r>
            <w:r>
              <w:rPr>
                <w:b/>
                <w:spacing w:val="-4"/>
                <w:sz w:val="18"/>
              </w:rPr>
              <w:t> </w:t>
            </w:r>
            <w:r>
              <w:rPr>
                <w:b/>
                <w:sz w:val="18"/>
              </w:rPr>
              <w:t>negocio</w:t>
            </w:r>
            <w:r>
              <w:rPr>
                <w:b/>
                <w:spacing w:val="-7"/>
                <w:sz w:val="18"/>
              </w:rPr>
              <w:t> </w:t>
            </w:r>
            <w:r>
              <w:rPr>
                <w:b/>
                <w:sz w:val="18"/>
              </w:rPr>
              <w:t>(E5</w:t>
            </w:r>
            <w:r>
              <w:rPr>
                <w:b/>
                <w:spacing w:val="-6"/>
                <w:sz w:val="18"/>
              </w:rPr>
              <w:t> </w:t>
            </w:r>
            <w:r>
              <w:rPr>
                <w:b/>
                <w:sz w:val="18"/>
              </w:rPr>
              <w:t>AE5</w:t>
            </w:r>
            <w:r>
              <w:rPr>
                <w:b/>
                <w:spacing w:val="-2"/>
                <w:sz w:val="18"/>
              </w:rPr>
              <w:t> </w:t>
            </w:r>
            <w:r>
              <w:rPr>
                <w:b/>
                <w:spacing w:val="-5"/>
                <w:sz w:val="18"/>
              </w:rPr>
              <w:t>R1)</w:t>
            </w:r>
          </w:p>
        </w:tc>
      </w:tr>
      <w:tr>
        <w:trPr>
          <w:trHeight w:val="2486" w:hRule="atLeast"/>
        </w:trPr>
        <w:tc>
          <w:tcPr>
            <w:tcW w:w="1536" w:type="dxa"/>
          </w:tcPr>
          <w:p>
            <w:pPr>
              <w:pStyle w:val="TableParagraph"/>
              <w:spacing w:line="206" w:lineRule="exact"/>
              <w:ind w:left="72"/>
              <w:rPr>
                <w:b/>
                <w:sz w:val="18"/>
              </w:rPr>
            </w:pPr>
            <w:r>
              <w:rPr>
                <w:b/>
                <w:sz w:val="18"/>
              </w:rPr>
              <w:t>Actividad</w:t>
            </w:r>
            <w:r>
              <w:rPr>
                <w:b/>
                <w:spacing w:val="-6"/>
                <w:sz w:val="18"/>
              </w:rPr>
              <w:t> </w:t>
            </w:r>
            <w:r>
              <w:rPr>
                <w:b/>
                <w:spacing w:val="-5"/>
                <w:sz w:val="18"/>
              </w:rPr>
              <w:t>PEC</w:t>
            </w:r>
          </w:p>
          <w:p>
            <w:pPr>
              <w:pStyle w:val="TableParagraph"/>
              <w:ind w:left="72" w:right="123"/>
              <w:rPr>
                <w:sz w:val="18"/>
              </w:rPr>
            </w:pPr>
            <w:r>
              <w:rPr>
                <w:b/>
                <w:sz w:val="18"/>
              </w:rPr>
              <w:t>3.9.1: </w:t>
            </w:r>
            <w:r>
              <w:rPr>
                <w:sz w:val="18"/>
              </w:rPr>
              <w:t>Potenciar la cantidad de visitas de los clientes en la </w:t>
            </w:r>
            <w:r>
              <w:rPr>
                <w:spacing w:val="-2"/>
                <w:sz w:val="18"/>
              </w:rPr>
              <w:t>página </w:t>
            </w:r>
            <w:r>
              <w:rPr>
                <w:sz w:val="18"/>
              </w:rPr>
              <w:t>electrónica de Duty Free IMAS y</w:t>
            </w:r>
            <w:r>
              <w:rPr>
                <w:spacing w:val="-9"/>
                <w:sz w:val="18"/>
              </w:rPr>
              <w:t> </w:t>
            </w:r>
            <w:r>
              <w:rPr>
                <w:sz w:val="18"/>
              </w:rPr>
              <w:t>la</w:t>
            </w:r>
            <w:r>
              <w:rPr>
                <w:spacing w:val="-13"/>
                <w:sz w:val="18"/>
              </w:rPr>
              <w:t> </w:t>
            </w:r>
            <w:r>
              <w:rPr>
                <w:sz w:val="18"/>
              </w:rPr>
              <w:t>marca</w:t>
            </w:r>
            <w:r>
              <w:rPr>
                <w:spacing w:val="-12"/>
                <w:sz w:val="18"/>
              </w:rPr>
              <w:t> </w:t>
            </w:r>
            <w:r>
              <w:rPr>
                <w:sz w:val="18"/>
              </w:rPr>
              <w:t>com</w:t>
            </w:r>
            <w:r>
              <w:rPr>
                <w:sz w:val="18"/>
              </w:rPr>
              <w:t>o</w:t>
            </w:r>
            <w:r>
              <w:rPr>
                <w:sz w:val="18"/>
              </w:rPr>
              <w:t> un Programa Social (Partida</w:t>
            </w:r>
          </w:p>
          <w:p>
            <w:pPr>
              <w:pStyle w:val="TableParagraph"/>
              <w:spacing w:line="187" w:lineRule="exact" w:before="4"/>
              <w:ind w:left="72"/>
              <w:rPr>
                <w:sz w:val="18"/>
              </w:rPr>
            </w:pPr>
            <w:r>
              <w:rPr>
                <w:spacing w:val="-2"/>
                <w:sz w:val="18"/>
              </w:rPr>
              <w:t>1.03.02)</w:t>
            </w:r>
          </w:p>
        </w:tc>
        <w:tc>
          <w:tcPr>
            <w:tcW w:w="1531"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7" w:right="86"/>
              <w:rPr>
                <w:sz w:val="18"/>
              </w:rPr>
            </w:pPr>
            <w:r>
              <w:rPr>
                <w:sz w:val="18"/>
              </w:rPr>
              <w:t>Cantidad de visitas</w:t>
            </w:r>
            <w:r>
              <w:rPr>
                <w:spacing w:val="-15"/>
                <w:sz w:val="18"/>
              </w:rPr>
              <w:t> </w:t>
            </w:r>
            <w:r>
              <w:rPr>
                <w:sz w:val="18"/>
              </w:rPr>
              <w:t>anuales</w:t>
            </w:r>
            <w:r>
              <w:rPr>
                <w:spacing w:val="-12"/>
                <w:sz w:val="18"/>
              </w:rPr>
              <w:t> </w:t>
            </w:r>
            <w:r>
              <w:rPr>
                <w:sz w:val="18"/>
              </w:rPr>
              <w:t>a la página electrónica de Duty Free IMAS</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48"/>
              <w:jc w:val="right"/>
              <w:rPr>
                <w:sz w:val="18"/>
              </w:rPr>
            </w:pPr>
            <w:r>
              <w:rPr>
                <w:sz w:val="18"/>
              </w:rPr>
              <w:t>3</w:t>
            </w:r>
            <w:r>
              <w:rPr>
                <w:spacing w:val="2"/>
                <w:sz w:val="18"/>
              </w:rPr>
              <w:t> </w:t>
            </w:r>
            <w:r>
              <w:rPr>
                <w:spacing w:val="-5"/>
                <w:sz w:val="18"/>
              </w:rPr>
              <w:t>000</w:t>
            </w:r>
          </w:p>
        </w:tc>
        <w:tc>
          <w:tcPr>
            <w:tcW w:w="1315" w:type="dxa"/>
          </w:tcPr>
          <w:p>
            <w:pPr>
              <w:pStyle w:val="TableParagraph"/>
              <w:rPr>
                <w:rFonts w:ascii="Times New Roman"/>
                <w:sz w:val="18"/>
              </w:rPr>
            </w:pP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2"/>
              <w:jc w:val="right"/>
              <w:rPr>
                <w:sz w:val="18"/>
              </w:rPr>
            </w:pPr>
            <w:r>
              <w:rPr>
                <w:sz w:val="18"/>
              </w:rPr>
              <w:t>6</w:t>
            </w:r>
            <w:r>
              <w:rPr>
                <w:spacing w:val="2"/>
                <w:sz w:val="18"/>
              </w:rPr>
              <w:t> </w:t>
            </w:r>
            <w:r>
              <w:rPr>
                <w:spacing w:val="-5"/>
                <w:sz w:val="18"/>
              </w:rPr>
              <w:t>000</w:t>
            </w:r>
          </w:p>
        </w:tc>
        <w:tc>
          <w:tcPr>
            <w:tcW w:w="1392" w:type="dxa"/>
          </w:tcPr>
          <w:p>
            <w:pPr>
              <w:pStyle w:val="TableParagraph"/>
              <w:rPr>
                <w:rFonts w:ascii="Times New Roman"/>
                <w:sz w:val="18"/>
              </w:rPr>
            </w:pPr>
          </w:p>
        </w:tc>
        <w:tc>
          <w:tcPr>
            <w:tcW w:w="151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1"/>
              <w:jc w:val="right"/>
              <w:rPr>
                <w:sz w:val="18"/>
              </w:rPr>
            </w:pPr>
            <w:r>
              <w:rPr>
                <w:sz w:val="18"/>
              </w:rPr>
              <w:t>9</w:t>
            </w:r>
            <w:r>
              <w:rPr>
                <w:spacing w:val="2"/>
                <w:sz w:val="18"/>
              </w:rPr>
              <w:t> </w:t>
            </w:r>
            <w:r>
              <w:rPr>
                <w:spacing w:val="-5"/>
                <w:sz w:val="18"/>
              </w:rPr>
              <w:t>000</w:t>
            </w:r>
          </w:p>
        </w:tc>
        <w:tc>
          <w:tcPr>
            <w:tcW w:w="1364" w:type="dxa"/>
          </w:tcPr>
          <w:p>
            <w:pPr>
              <w:pStyle w:val="TableParagraph"/>
              <w:rPr>
                <w:rFonts w:ascii="Times New Roman"/>
                <w:sz w:val="18"/>
              </w:rPr>
            </w:pPr>
          </w:p>
        </w:tc>
        <w:tc>
          <w:tcPr>
            <w:tcW w:w="14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1"/>
              <w:jc w:val="right"/>
              <w:rPr>
                <w:sz w:val="18"/>
              </w:rPr>
            </w:pPr>
            <w:r>
              <w:rPr>
                <w:sz w:val="18"/>
              </w:rPr>
              <w:t>12</w:t>
            </w:r>
            <w:r>
              <w:rPr>
                <w:spacing w:val="2"/>
                <w:sz w:val="18"/>
              </w:rPr>
              <w:t> </w:t>
            </w:r>
            <w:r>
              <w:rPr>
                <w:spacing w:val="-5"/>
                <w:sz w:val="18"/>
              </w:rPr>
              <w:t>000</w:t>
            </w:r>
          </w:p>
        </w:tc>
        <w:tc>
          <w:tcPr>
            <w:tcW w:w="1484" w:type="dxa"/>
          </w:tcPr>
          <w:p>
            <w:pPr>
              <w:pStyle w:val="TableParagraph"/>
              <w:rPr>
                <w:rFonts w:ascii="Times New Roman"/>
                <w:sz w:val="18"/>
              </w:rPr>
            </w:pPr>
          </w:p>
        </w:tc>
      </w:tr>
      <w:tr>
        <w:trPr>
          <w:trHeight w:val="2069" w:hRule="atLeast"/>
        </w:trPr>
        <w:tc>
          <w:tcPr>
            <w:tcW w:w="1536" w:type="dxa"/>
          </w:tcPr>
          <w:p>
            <w:pPr>
              <w:pStyle w:val="TableParagraph"/>
              <w:spacing w:line="206" w:lineRule="exact"/>
              <w:ind w:left="72"/>
              <w:rPr>
                <w:b/>
                <w:sz w:val="18"/>
              </w:rPr>
            </w:pPr>
            <w:r>
              <w:rPr>
                <w:b/>
                <w:sz w:val="18"/>
              </w:rPr>
              <w:t>Actividad</w:t>
            </w:r>
            <w:r>
              <w:rPr>
                <w:b/>
                <w:spacing w:val="-6"/>
                <w:sz w:val="18"/>
              </w:rPr>
              <w:t> </w:t>
            </w:r>
            <w:r>
              <w:rPr>
                <w:b/>
                <w:spacing w:val="-5"/>
                <w:sz w:val="18"/>
              </w:rPr>
              <w:t>PEC</w:t>
            </w:r>
          </w:p>
          <w:p>
            <w:pPr>
              <w:pStyle w:val="TableParagraph"/>
              <w:ind w:left="72" w:right="73"/>
              <w:rPr>
                <w:sz w:val="18"/>
              </w:rPr>
            </w:pPr>
            <w:r>
              <w:rPr>
                <w:b/>
                <w:sz w:val="18"/>
              </w:rPr>
              <w:t>3.9.2: </w:t>
            </w:r>
            <w:r>
              <w:rPr>
                <w:sz w:val="18"/>
              </w:rPr>
              <w:t>Ejecutar las actividades </w:t>
            </w:r>
            <w:r>
              <w:rPr>
                <w:spacing w:val="-2"/>
                <w:sz w:val="18"/>
              </w:rPr>
              <w:t>programadas </w:t>
            </w:r>
            <w:r>
              <w:rPr>
                <w:sz w:val="18"/>
              </w:rPr>
              <w:t>para el 2026 contempladas</w:t>
            </w:r>
            <w:r>
              <w:rPr>
                <w:spacing w:val="-13"/>
                <w:sz w:val="18"/>
              </w:rPr>
              <w:t> </w:t>
            </w:r>
            <w:r>
              <w:rPr>
                <w:sz w:val="18"/>
              </w:rPr>
              <w:t>en el cronograma para la </w:t>
            </w:r>
            <w:r>
              <w:rPr>
                <w:spacing w:val="-2"/>
                <w:sz w:val="18"/>
              </w:rPr>
              <w:t>implementación</w:t>
            </w:r>
          </w:p>
          <w:p>
            <w:pPr>
              <w:pStyle w:val="TableParagraph"/>
              <w:spacing w:line="187" w:lineRule="exact"/>
              <w:ind w:left="72"/>
              <w:rPr>
                <w:sz w:val="18"/>
              </w:rPr>
            </w:pPr>
            <w:r>
              <w:rPr>
                <w:sz w:val="18"/>
              </w:rPr>
              <w:t>del</w:t>
            </w:r>
            <w:r>
              <w:rPr>
                <w:spacing w:val="2"/>
                <w:sz w:val="18"/>
              </w:rPr>
              <w:t> </w:t>
            </w:r>
            <w:r>
              <w:rPr>
                <w:sz w:val="18"/>
              </w:rPr>
              <w:t>e-</w:t>
            </w:r>
            <w:r>
              <w:rPr>
                <w:spacing w:val="-2"/>
                <w:sz w:val="18"/>
              </w:rPr>
              <w:t>commerce</w:t>
            </w:r>
          </w:p>
        </w:tc>
        <w:tc>
          <w:tcPr>
            <w:tcW w:w="1531" w:type="dxa"/>
          </w:tcPr>
          <w:p>
            <w:pPr>
              <w:pStyle w:val="TableParagraph"/>
              <w:rPr>
                <w:b/>
                <w:sz w:val="18"/>
              </w:rPr>
            </w:pPr>
          </w:p>
          <w:p>
            <w:pPr>
              <w:pStyle w:val="TableParagraph"/>
              <w:spacing w:before="204"/>
              <w:rPr>
                <w:b/>
                <w:sz w:val="18"/>
              </w:rPr>
            </w:pPr>
          </w:p>
          <w:p>
            <w:pPr>
              <w:pStyle w:val="TableParagraph"/>
              <w:ind w:left="67"/>
              <w:rPr>
                <w:sz w:val="18"/>
              </w:rPr>
            </w:pPr>
            <w:r>
              <w:rPr>
                <w:sz w:val="18"/>
              </w:rPr>
              <w:t>Porcentaje de actividades</w:t>
            </w:r>
            <w:r>
              <w:rPr>
                <w:spacing w:val="-13"/>
                <w:sz w:val="18"/>
              </w:rPr>
              <w:t> </w:t>
            </w:r>
            <w:r>
              <w:rPr>
                <w:sz w:val="18"/>
              </w:rPr>
              <w:t>del </w:t>
            </w:r>
            <w:r>
              <w:rPr>
                <w:spacing w:val="-2"/>
                <w:sz w:val="18"/>
              </w:rPr>
              <w:t>cronograma ejecutadas</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49"/>
              <w:jc w:val="right"/>
              <w:rPr>
                <w:sz w:val="18"/>
              </w:rPr>
            </w:pPr>
            <w:r>
              <w:rPr>
                <w:spacing w:val="-2"/>
                <w:sz w:val="18"/>
              </w:rPr>
              <w:t>12,50%</w:t>
            </w:r>
          </w:p>
        </w:tc>
        <w:tc>
          <w:tcPr>
            <w:tcW w:w="1315" w:type="dxa"/>
          </w:tcPr>
          <w:p>
            <w:pPr>
              <w:pStyle w:val="TableParagraph"/>
              <w:rPr>
                <w:rFonts w:ascii="Times New Roman"/>
                <w:sz w:val="18"/>
              </w:rPr>
            </w:pP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4"/>
              <w:jc w:val="right"/>
              <w:rPr>
                <w:sz w:val="18"/>
              </w:rPr>
            </w:pPr>
            <w:r>
              <w:rPr>
                <w:spacing w:val="-5"/>
                <w:sz w:val="18"/>
              </w:rPr>
              <w:t>25%</w:t>
            </w:r>
          </w:p>
        </w:tc>
        <w:tc>
          <w:tcPr>
            <w:tcW w:w="1392" w:type="dxa"/>
          </w:tcPr>
          <w:p>
            <w:pPr>
              <w:pStyle w:val="TableParagraph"/>
              <w:rPr>
                <w:rFonts w:ascii="Times New Roman"/>
                <w:sz w:val="18"/>
              </w:rPr>
            </w:pPr>
          </w:p>
        </w:tc>
        <w:tc>
          <w:tcPr>
            <w:tcW w:w="151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3"/>
              <w:jc w:val="right"/>
              <w:rPr>
                <w:sz w:val="18"/>
              </w:rPr>
            </w:pPr>
            <w:r>
              <w:rPr>
                <w:spacing w:val="-5"/>
                <w:sz w:val="18"/>
              </w:rPr>
              <w:t>38%</w:t>
            </w:r>
          </w:p>
        </w:tc>
        <w:tc>
          <w:tcPr>
            <w:tcW w:w="1364" w:type="dxa"/>
          </w:tcPr>
          <w:p>
            <w:pPr>
              <w:pStyle w:val="TableParagraph"/>
              <w:rPr>
                <w:rFonts w:ascii="Times New Roman"/>
                <w:sz w:val="18"/>
              </w:rPr>
            </w:pPr>
          </w:p>
        </w:tc>
        <w:tc>
          <w:tcPr>
            <w:tcW w:w="148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4"/>
              <w:jc w:val="right"/>
              <w:rPr>
                <w:sz w:val="18"/>
              </w:rPr>
            </w:pPr>
            <w:r>
              <w:rPr>
                <w:spacing w:val="-5"/>
                <w:sz w:val="18"/>
              </w:rPr>
              <w:t>50%</w:t>
            </w:r>
          </w:p>
        </w:tc>
        <w:tc>
          <w:tcPr>
            <w:tcW w:w="1484" w:type="dxa"/>
          </w:tcPr>
          <w:p>
            <w:pPr>
              <w:pStyle w:val="TableParagraph"/>
              <w:rPr>
                <w:rFonts w:ascii="Times New Roman"/>
                <w:sz w:val="18"/>
              </w:rPr>
            </w:pPr>
          </w:p>
        </w:tc>
      </w:tr>
      <w:tr>
        <w:trPr>
          <w:trHeight w:val="599" w:hRule="atLeast"/>
        </w:trPr>
        <w:tc>
          <w:tcPr>
            <w:tcW w:w="14392" w:type="dxa"/>
            <w:gridSpan w:val="10"/>
            <w:shd w:val="clear" w:color="auto" w:fill="EFF8F9"/>
          </w:tcPr>
          <w:p>
            <w:pPr>
              <w:pStyle w:val="TableParagraph"/>
              <w:spacing w:before="195"/>
              <w:ind w:left="72"/>
              <w:rPr>
                <w:b/>
                <w:sz w:val="18"/>
              </w:rPr>
            </w:pPr>
            <w:r>
              <w:rPr>
                <w:b/>
                <w:sz w:val="18"/>
              </w:rPr>
              <w:t>Producto</w:t>
            </w:r>
            <w:r>
              <w:rPr>
                <w:b/>
                <w:spacing w:val="-8"/>
                <w:sz w:val="18"/>
              </w:rPr>
              <w:t> </w:t>
            </w:r>
            <w:r>
              <w:rPr>
                <w:b/>
                <w:sz w:val="18"/>
              </w:rPr>
              <w:t>PEC</w:t>
            </w:r>
            <w:r>
              <w:rPr>
                <w:b/>
                <w:spacing w:val="-9"/>
                <w:sz w:val="18"/>
              </w:rPr>
              <w:t> </w:t>
            </w:r>
            <w:r>
              <w:rPr>
                <w:b/>
                <w:sz w:val="18"/>
              </w:rPr>
              <w:t>3.10:</w:t>
            </w:r>
            <w:r>
              <w:rPr>
                <w:b/>
                <w:spacing w:val="-5"/>
                <w:sz w:val="18"/>
              </w:rPr>
              <w:t> </w:t>
            </w:r>
            <w:r>
              <w:rPr>
                <w:b/>
                <w:sz w:val="18"/>
              </w:rPr>
              <w:t>Ejecución</w:t>
            </w:r>
            <w:r>
              <w:rPr>
                <w:b/>
                <w:spacing w:val="-3"/>
                <w:sz w:val="18"/>
              </w:rPr>
              <w:t> </w:t>
            </w:r>
            <w:r>
              <w:rPr>
                <w:b/>
                <w:sz w:val="18"/>
              </w:rPr>
              <w:t>de</w:t>
            </w:r>
            <w:r>
              <w:rPr>
                <w:b/>
                <w:spacing w:val="-7"/>
                <w:sz w:val="18"/>
              </w:rPr>
              <w:t> </w:t>
            </w:r>
            <w:r>
              <w:rPr>
                <w:b/>
                <w:sz w:val="18"/>
              </w:rPr>
              <w:t>acciones</w:t>
            </w:r>
            <w:r>
              <w:rPr>
                <w:b/>
                <w:spacing w:val="-11"/>
                <w:sz w:val="18"/>
              </w:rPr>
              <w:t> </w:t>
            </w:r>
            <w:r>
              <w:rPr>
                <w:b/>
                <w:sz w:val="18"/>
              </w:rPr>
              <w:t>logísticas</w:t>
            </w:r>
            <w:r>
              <w:rPr>
                <w:b/>
                <w:spacing w:val="-7"/>
                <w:sz w:val="18"/>
              </w:rPr>
              <w:t> </w:t>
            </w:r>
            <w:r>
              <w:rPr>
                <w:b/>
                <w:sz w:val="18"/>
              </w:rPr>
              <w:t>y</w:t>
            </w:r>
            <w:r>
              <w:rPr>
                <w:b/>
                <w:spacing w:val="-7"/>
                <w:sz w:val="18"/>
              </w:rPr>
              <w:t> </w:t>
            </w:r>
            <w:r>
              <w:rPr>
                <w:b/>
                <w:sz w:val="18"/>
              </w:rPr>
              <w:t>de</w:t>
            </w:r>
            <w:r>
              <w:rPr>
                <w:b/>
                <w:spacing w:val="-3"/>
                <w:sz w:val="18"/>
              </w:rPr>
              <w:t> </w:t>
            </w:r>
            <w:r>
              <w:rPr>
                <w:b/>
                <w:sz w:val="18"/>
              </w:rPr>
              <w:t>mercadeo</w:t>
            </w:r>
            <w:r>
              <w:rPr>
                <w:b/>
                <w:spacing w:val="-3"/>
                <w:sz w:val="18"/>
              </w:rPr>
              <w:t> </w:t>
            </w:r>
            <w:r>
              <w:rPr>
                <w:b/>
                <w:sz w:val="18"/>
              </w:rPr>
              <w:t>que</w:t>
            </w:r>
            <w:r>
              <w:rPr>
                <w:b/>
                <w:spacing w:val="-3"/>
                <w:sz w:val="18"/>
              </w:rPr>
              <w:t> </w:t>
            </w:r>
            <w:r>
              <w:rPr>
                <w:b/>
                <w:sz w:val="18"/>
              </w:rPr>
              <w:t>contribuyan</w:t>
            </w:r>
            <w:r>
              <w:rPr>
                <w:b/>
                <w:spacing w:val="-3"/>
                <w:sz w:val="18"/>
              </w:rPr>
              <w:t> </w:t>
            </w:r>
            <w:r>
              <w:rPr>
                <w:b/>
                <w:sz w:val="18"/>
              </w:rPr>
              <w:t>a</w:t>
            </w:r>
            <w:r>
              <w:rPr>
                <w:b/>
                <w:spacing w:val="-7"/>
                <w:sz w:val="18"/>
              </w:rPr>
              <w:t> </w:t>
            </w:r>
            <w:r>
              <w:rPr>
                <w:b/>
                <w:sz w:val="18"/>
              </w:rPr>
              <w:t>potenciar</w:t>
            </w:r>
            <w:r>
              <w:rPr>
                <w:b/>
                <w:spacing w:val="-6"/>
                <w:sz w:val="18"/>
              </w:rPr>
              <w:t> </w:t>
            </w:r>
            <w:r>
              <w:rPr>
                <w:b/>
                <w:sz w:val="18"/>
              </w:rPr>
              <w:t>las</w:t>
            </w:r>
            <w:r>
              <w:rPr>
                <w:b/>
                <w:spacing w:val="-3"/>
                <w:sz w:val="18"/>
              </w:rPr>
              <w:t> </w:t>
            </w:r>
            <w:r>
              <w:rPr>
                <w:b/>
                <w:sz w:val="18"/>
              </w:rPr>
              <w:t>utilidades</w:t>
            </w:r>
            <w:r>
              <w:rPr>
                <w:b/>
                <w:spacing w:val="-7"/>
                <w:sz w:val="18"/>
              </w:rPr>
              <w:t> </w:t>
            </w:r>
            <w:r>
              <w:rPr>
                <w:b/>
                <w:sz w:val="18"/>
              </w:rPr>
              <w:t>del </w:t>
            </w:r>
            <w:r>
              <w:rPr>
                <w:b/>
                <w:spacing w:val="-2"/>
                <w:sz w:val="18"/>
              </w:rPr>
              <w:t>negocio</w:t>
            </w:r>
          </w:p>
        </w:tc>
      </w:tr>
      <w:tr>
        <w:trPr>
          <w:trHeight w:val="2280" w:hRule="atLeast"/>
        </w:trPr>
        <w:tc>
          <w:tcPr>
            <w:tcW w:w="1536" w:type="dxa"/>
          </w:tcPr>
          <w:p>
            <w:pPr>
              <w:pStyle w:val="TableParagraph"/>
              <w:ind w:left="72" w:right="96"/>
              <w:rPr>
                <w:sz w:val="18"/>
              </w:rPr>
            </w:pPr>
            <w:r>
              <w:rPr>
                <w:b/>
                <w:sz w:val="18"/>
              </w:rPr>
              <w:t>Actividad PEC 3.10.1: </w:t>
            </w:r>
            <w:r>
              <w:rPr>
                <w:sz w:val="18"/>
              </w:rPr>
              <w:t>Realizar campañas de comunicación</w:t>
            </w:r>
            <w:r>
              <w:rPr>
                <w:spacing w:val="-13"/>
                <w:sz w:val="18"/>
              </w:rPr>
              <w:t> </w:t>
            </w:r>
            <w:r>
              <w:rPr>
                <w:sz w:val="18"/>
              </w:rPr>
              <w:t>en </w:t>
            </w:r>
            <w:r>
              <w:rPr>
                <w:spacing w:val="-2"/>
                <w:sz w:val="18"/>
              </w:rPr>
              <w:t>medios </w:t>
            </w:r>
            <w:r>
              <w:rPr>
                <w:sz w:val="18"/>
              </w:rPr>
              <w:t>electrónicos,</w:t>
            </w:r>
            <w:r>
              <w:rPr>
                <w:spacing w:val="-13"/>
                <w:sz w:val="18"/>
              </w:rPr>
              <w:t> </w:t>
            </w:r>
            <w:r>
              <w:rPr>
                <w:sz w:val="18"/>
              </w:rPr>
              <w:t>con el fin de crear uniformidad e identidad de imagen, para el</w:t>
            </w:r>
          </w:p>
          <w:p>
            <w:pPr>
              <w:pStyle w:val="TableParagraph"/>
              <w:spacing w:line="192" w:lineRule="exact"/>
              <w:ind w:left="72"/>
              <w:rPr>
                <w:sz w:val="18"/>
              </w:rPr>
            </w:pPr>
            <w:r>
              <w:rPr>
                <w:spacing w:val="-2"/>
                <w:sz w:val="18"/>
              </w:rPr>
              <w:t>posicionamiento</w:t>
            </w:r>
          </w:p>
        </w:tc>
        <w:tc>
          <w:tcPr>
            <w:tcW w:w="1531"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7" w:right="336"/>
              <w:rPr>
                <w:sz w:val="18"/>
              </w:rPr>
            </w:pPr>
            <w:r>
              <w:rPr>
                <w:sz w:val="18"/>
              </w:rPr>
              <w:t>cantidad de </w:t>
            </w:r>
            <w:r>
              <w:rPr>
                <w:spacing w:val="-2"/>
                <w:sz w:val="18"/>
              </w:rPr>
              <w:t>campañas realizadas, </w:t>
            </w:r>
            <w:r>
              <w:rPr>
                <w:sz w:val="18"/>
              </w:rPr>
              <w:t>según</w:t>
            </w:r>
            <w:r>
              <w:rPr>
                <w:spacing w:val="-13"/>
                <w:sz w:val="18"/>
              </w:rPr>
              <w:t> </w:t>
            </w:r>
            <w:r>
              <w:rPr>
                <w:sz w:val="18"/>
              </w:rPr>
              <w:t>medio</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2"/>
              <w:jc w:val="right"/>
              <w:rPr>
                <w:sz w:val="18"/>
              </w:rPr>
            </w:pPr>
            <w:r>
              <w:rPr>
                <w:spacing w:val="-10"/>
                <w:sz w:val="18"/>
              </w:rPr>
              <w:t>1</w:t>
            </w:r>
          </w:p>
        </w:tc>
        <w:tc>
          <w:tcPr>
            <w:tcW w:w="131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313"/>
              <w:rPr>
                <w:sz w:val="18"/>
              </w:rPr>
            </w:pPr>
            <w:r>
              <w:rPr>
                <w:sz w:val="18"/>
              </w:rPr>
              <w:t>₡3</w:t>
            </w:r>
            <w:r>
              <w:rPr>
                <w:spacing w:val="1"/>
                <w:sz w:val="18"/>
              </w:rPr>
              <w:t> </w:t>
            </w:r>
            <w:r>
              <w:rPr>
                <w:sz w:val="18"/>
              </w:rPr>
              <w:t>750</w:t>
            </w:r>
            <w:r>
              <w:rPr>
                <w:spacing w:val="-3"/>
                <w:sz w:val="18"/>
              </w:rPr>
              <w:t> </w:t>
            </w:r>
            <w:r>
              <w:rPr>
                <w:spacing w:val="-5"/>
                <w:sz w:val="18"/>
              </w:rPr>
              <w:t>000</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6"/>
              <w:jc w:val="right"/>
              <w:rPr>
                <w:sz w:val="18"/>
              </w:rPr>
            </w:pPr>
            <w:r>
              <w:rPr>
                <w:spacing w:val="-10"/>
                <w:sz w:val="18"/>
              </w:rPr>
              <w:t>2</w:t>
            </w:r>
          </w:p>
        </w:tc>
        <w:tc>
          <w:tcPr>
            <w:tcW w:w="13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391"/>
              <w:rPr>
                <w:sz w:val="18"/>
              </w:rPr>
            </w:pPr>
            <w:r>
              <w:rPr>
                <w:sz w:val="18"/>
              </w:rPr>
              <w:t>₡7</w:t>
            </w:r>
            <w:r>
              <w:rPr>
                <w:spacing w:val="1"/>
                <w:sz w:val="18"/>
              </w:rPr>
              <w:t> </w:t>
            </w:r>
            <w:r>
              <w:rPr>
                <w:sz w:val="18"/>
              </w:rPr>
              <w:t>500</w:t>
            </w:r>
            <w:r>
              <w:rPr>
                <w:spacing w:val="-3"/>
                <w:sz w:val="18"/>
              </w:rPr>
              <w:t> </w:t>
            </w:r>
            <w:r>
              <w:rPr>
                <w:spacing w:val="-5"/>
                <w:sz w:val="18"/>
              </w:rPr>
              <w:t>000</w:t>
            </w:r>
          </w:p>
        </w:tc>
        <w:tc>
          <w:tcPr>
            <w:tcW w:w="151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5"/>
              <w:jc w:val="right"/>
              <w:rPr>
                <w:sz w:val="18"/>
              </w:rPr>
            </w:pPr>
            <w:r>
              <w:rPr>
                <w:spacing w:val="-10"/>
                <w:sz w:val="18"/>
              </w:rPr>
              <w:t>3</w:t>
            </w:r>
          </w:p>
        </w:tc>
        <w:tc>
          <w:tcPr>
            <w:tcW w:w="136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263"/>
              <w:rPr>
                <w:sz w:val="18"/>
              </w:rPr>
            </w:pPr>
            <w:r>
              <w:rPr>
                <w:sz w:val="18"/>
              </w:rPr>
              <w:t>₡11</w:t>
            </w:r>
            <w:r>
              <w:rPr>
                <w:spacing w:val="1"/>
                <w:sz w:val="18"/>
              </w:rPr>
              <w:t> </w:t>
            </w:r>
            <w:r>
              <w:rPr>
                <w:sz w:val="18"/>
              </w:rPr>
              <w:t>250</w:t>
            </w:r>
            <w:r>
              <w:rPr>
                <w:spacing w:val="-3"/>
                <w:sz w:val="18"/>
              </w:rPr>
              <w:t> </w:t>
            </w:r>
            <w:r>
              <w:rPr>
                <w:spacing w:val="-5"/>
                <w:sz w:val="18"/>
              </w:rPr>
              <w:t>000</w:t>
            </w:r>
          </w:p>
        </w:tc>
        <w:tc>
          <w:tcPr>
            <w:tcW w:w="14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right="56"/>
              <w:jc w:val="right"/>
              <w:rPr>
                <w:sz w:val="18"/>
              </w:rPr>
            </w:pPr>
            <w:r>
              <w:rPr>
                <w:spacing w:val="-10"/>
                <w:sz w:val="18"/>
              </w:rPr>
              <w:t>4</w:t>
            </w:r>
          </w:p>
        </w:tc>
        <w:tc>
          <w:tcPr>
            <w:tcW w:w="14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386"/>
              <w:rPr>
                <w:sz w:val="18"/>
              </w:rPr>
            </w:pPr>
            <w:r>
              <w:rPr>
                <w:sz w:val="18"/>
              </w:rPr>
              <w:t>₡15</w:t>
            </w:r>
            <w:r>
              <w:rPr>
                <w:spacing w:val="1"/>
                <w:sz w:val="18"/>
              </w:rPr>
              <w:t> </w:t>
            </w:r>
            <w:r>
              <w:rPr>
                <w:sz w:val="18"/>
              </w:rPr>
              <w:t>000</w:t>
            </w:r>
            <w:r>
              <w:rPr>
                <w:spacing w:val="-3"/>
                <w:sz w:val="18"/>
              </w:rPr>
              <w:t> </w:t>
            </w:r>
            <w:r>
              <w:rPr>
                <w:spacing w:val="-5"/>
                <w:sz w:val="18"/>
              </w:rPr>
              <w:t>000</w:t>
            </w:r>
          </w:p>
        </w:tc>
      </w:tr>
    </w:tbl>
    <w:p>
      <w:pPr>
        <w:pStyle w:val="TableParagraph"/>
        <w:spacing w:after="0"/>
        <w:rPr>
          <w:sz w:val="18"/>
        </w:rPr>
        <w:sectPr>
          <w:type w:val="continuous"/>
          <w:pgSz w:w="15840" w:h="12240" w:orient="landscape"/>
          <w:pgMar w:header="0" w:footer="1806" w:top="700" w:bottom="245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6"/>
        <w:gridCol w:w="1531"/>
        <w:gridCol w:w="1387"/>
        <w:gridCol w:w="1315"/>
        <w:gridCol w:w="1387"/>
        <w:gridCol w:w="1392"/>
        <w:gridCol w:w="1512"/>
        <w:gridCol w:w="1364"/>
        <w:gridCol w:w="1484"/>
        <w:gridCol w:w="1484"/>
      </w:tblGrid>
      <w:tr>
        <w:trPr>
          <w:trHeight w:val="302" w:hRule="atLeast"/>
        </w:trPr>
        <w:tc>
          <w:tcPr>
            <w:tcW w:w="1536" w:type="dxa"/>
            <w:vMerge w:val="restart"/>
            <w:shd w:val="clear" w:color="auto" w:fill="D7D7D7"/>
          </w:tcPr>
          <w:p>
            <w:pPr>
              <w:pStyle w:val="TableParagraph"/>
              <w:spacing w:before="46"/>
              <w:rPr>
                <w:b/>
                <w:sz w:val="18"/>
              </w:rPr>
            </w:pPr>
          </w:p>
          <w:p>
            <w:pPr>
              <w:pStyle w:val="TableParagraph"/>
              <w:ind w:left="283" w:firstLine="24"/>
              <w:rPr>
                <w:b/>
                <w:sz w:val="18"/>
              </w:rPr>
            </w:pPr>
            <w:r>
              <w:rPr>
                <w:b/>
                <w:sz w:val="18"/>
              </w:rPr>
              <w:t>Objetivos</w:t>
            </w:r>
            <w:r>
              <w:rPr>
                <w:b/>
                <w:spacing w:val="-7"/>
                <w:sz w:val="18"/>
              </w:rPr>
              <w:t> </w:t>
            </w:r>
            <w:r>
              <w:rPr>
                <w:b/>
                <w:sz w:val="18"/>
              </w:rPr>
              <w:t>/ </w:t>
            </w:r>
            <w:r>
              <w:rPr>
                <w:b/>
                <w:spacing w:val="-2"/>
                <w:sz w:val="18"/>
              </w:rPr>
              <w:t>Resultados</w:t>
            </w:r>
          </w:p>
        </w:tc>
        <w:tc>
          <w:tcPr>
            <w:tcW w:w="1531" w:type="dxa"/>
            <w:vMerge w:val="restart"/>
            <w:shd w:val="clear" w:color="auto" w:fill="D7D7D7"/>
          </w:tcPr>
          <w:p>
            <w:pPr>
              <w:pStyle w:val="TableParagraph"/>
              <w:spacing w:before="151"/>
              <w:rPr>
                <w:b/>
                <w:sz w:val="18"/>
              </w:rPr>
            </w:pPr>
          </w:p>
          <w:p>
            <w:pPr>
              <w:pStyle w:val="TableParagraph"/>
              <w:spacing w:before="1"/>
              <w:ind w:left="355"/>
              <w:rPr>
                <w:b/>
                <w:sz w:val="18"/>
              </w:rPr>
            </w:pPr>
            <w:r>
              <w:rPr>
                <w:b/>
                <w:spacing w:val="-2"/>
                <w:sz w:val="18"/>
              </w:rPr>
              <w:t>Indicador</w:t>
            </w:r>
          </w:p>
        </w:tc>
        <w:tc>
          <w:tcPr>
            <w:tcW w:w="2702" w:type="dxa"/>
            <w:gridSpan w:val="2"/>
            <w:shd w:val="clear" w:color="auto" w:fill="D7D7D7"/>
          </w:tcPr>
          <w:p>
            <w:pPr>
              <w:pStyle w:val="TableParagraph"/>
              <w:spacing w:before="47"/>
              <w:ind w:left="889"/>
              <w:rPr>
                <w:b/>
                <w:sz w:val="18"/>
              </w:rPr>
            </w:pPr>
            <w:r>
              <w:rPr>
                <w:b/>
                <w:sz w:val="18"/>
              </w:rPr>
              <w:t>I</w:t>
            </w:r>
            <w:r>
              <w:rPr>
                <w:b/>
                <w:spacing w:val="-1"/>
                <w:sz w:val="18"/>
              </w:rPr>
              <w:t> </w:t>
            </w:r>
            <w:r>
              <w:rPr>
                <w:b/>
                <w:spacing w:val="-2"/>
                <w:sz w:val="18"/>
              </w:rPr>
              <w:t>Trimestre</w:t>
            </w:r>
          </w:p>
        </w:tc>
        <w:tc>
          <w:tcPr>
            <w:tcW w:w="2779" w:type="dxa"/>
            <w:gridSpan w:val="2"/>
            <w:shd w:val="clear" w:color="auto" w:fill="D7D7D7"/>
          </w:tcPr>
          <w:p>
            <w:pPr>
              <w:pStyle w:val="TableParagraph"/>
              <w:spacing w:before="47"/>
              <w:ind w:left="904"/>
              <w:rPr>
                <w:b/>
                <w:sz w:val="18"/>
              </w:rPr>
            </w:pPr>
            <w:r>
              <w:rPr>
                <w:b/>
                <w:sz w:val="18"/>
              </w:rPr>
              <w:t>II</w:t>
            </w:r>
            <w:r>
              <w:rPr>
                <w:b/>
                <w:spacing w:val="-3"/>
                <w:sz w:val="18"/>
              </w:rPr>
              <w:t> </w:t>
            </w:r>
            <w:r>
              <w:rPr>
                <w:b/>
                <w:spacing w:val="-2"/>
                <w:sz w:val="18"/>
              </w:rPr>
              <w:t>Trimestre</w:t>
            </w:r>
          </w:p>
        </w:tc>
        <w:tc>
          <w:tcPr>
            <w:tcW w:w="2876" w:type="dxa"/>
            <w:gridSpan w:val="2"/>
            <w:shd w:val="clear" w:color="auto" w:fill="D7D7D7"/>
          </w:tcPr>
          <w:p>
            <w:pPr>
              <w:pStyle w:val="TableParagraph"/>
              <w:spacing w:before="47"/>
              <w:ind w:left="925"/>
              <w:rPr>
                <w:b/>
                <w:sz w:val="18"/>
              </w:rPr>
            </w:pPr>
            <w:r>
              <w:rPr>
                <w:b/>
                <w:sz w:val="18"/>
              </w:rPr>
              <w:t>III</w:t>
            </w:r>
            <w:r>
              <w:rPr>
                <w:b/>
                <w:spacing w:val="-2"/>
                <w:sz w:val="18"/>
              </w:rPr>
              <w:t> Trimestre</w:t>
            </w:r>
          </w:p>
        </w:tc>
        <w:tc>
          <w:tcPr>
            <w:tcW w:w="2968" w:type="dxa"/>
            <w:gridSpan w:val="2"/>
            <w:shd w:val="clear" w:color="auto" w:fill="D7D7D7"/>
          </w:tcPr>
          <w:p>
            <w:pPr>
              <w:pStyle w:val="TableParagraph"/>
              <w:spacing w:before="47"/>
              <w:ind w:left="963"/>
              <w:rPr>
                <w:b/>
                <w:sz w:val="18"/>
              </w:rPr>
            </w:pPr>
            <w:r>
              <w:rPr>
                <w:b/>
                <w:sz w:val="18"/>
              </w:rPr>
              <w:t>IV</w:t>
            </w:r>
            <w:r>
              <w:rPr>
                <w:b/>
                <w:spacing w:val="-2"/>
                <w:sz w:val="18"/>
              </w:rPr>
              <w:t> Trimestre</w:t>
            </w:r>
          </w:p>
        </w:tc>
      </w:tr>
      <w:tr>
        <w:trPr>
          <w:trHeight w:val="613" w:hRule="atLeast"/>
        </w:trPr>
        <w:tc>
          <w:tcPr>
            <w:tcW w:w="1536" w:type="dxa"/>
            <w:vMerge/>
            <w:tcBorders>
              <w:top w:val="nil"/>
            </w:tcBorders>
            <w:shd w:val="clear" w:color="auto" w:fill="D7D7D7"/>
          </w:tcPr>
          <w:p>
            <w:pPr>
              <w:rPr>
                <w:sz w:val="2"/>
                <w:szCs w:val="2"/>
              </w:rPr>
            </w:pPr>
          </w:p>
        </w:tc>
        <w:tc>
          <w:tcPr>
            <w:tcW w:w="1531" w:type="dxa"/>
            <w:vMerge/>
            <w:tcBorders>
              <w:top w:val="nil"/>
            </w:tcBorders>
            <w:shd w:val="clear" w:color="auto" w:fill="D7D7D7"/>
          </w:tcPr>
          <w:p>
            <w:pPr>
              <w:rPr>
                <w:sz w:val="2"/>
                <w:szCs w:val="2"/>
              </w:rPr>
            </w:pPr>
          </w:p>
        </w:tc>
        <w:tc>
          <w:tcPr>
            <w:tcW w:w="1387" w:type="dxa"/>
            <w:shd w:val="clear" w:color="auto" w:fill="D7D7D7"/>
          </w:tcPr>
          <w:p>
            <w:pPr>
              <w:pStyle w:val="TableParagraph"/>
              <w:spacing w:before="99"/>
              <w:ind w:left="173" w:firstLine="317"/>
              <w:rPr>
                <w:b/>
                <w:sz w:val="18"/>
              </w:rPr>
            </w:pPr>
            <w:r>
              <w:rPr>
                <w:b/>
                <w:spacing w:val="-4"/>
                <w:sz w:val="18"/>
              </w:rPr>
              <w:t>Meta </w:t>
            </w:r>
            <w:r>
              <w:rPr>
                <w:b/>
                <w:spacing w:val="-2"/>
                <w:sz w:val="18"/>
              </w:rPr>
              <w:t>programada</w:t>
            </w:r>
          </w:p>
        </w:tc>
        <w:tc>
          <w:tcPr>
            <w:tcW w:w="1315" w:type="dxa"/>
            <w:shd w:val="clear" w:color="auto" w:fill="D7D7D7"/>
          </w:tcPr>
          <w:p>
            <w:pPr>
              <w:pStyle w:val="TableParagraph"/>
              <w:spacing w:before="200"/>
              <w:ind w:left="9"/>
              <w:jc w:val="center"/>
              <w:rPr>
                <w:b/>
                <w:sz w:val="18"/>
              </w:rPr>
            </w:pPr>
            <w:r>
              <w:rPr>
                <w:b/>
                <w:spacing w:val="-10"/>
                <w:sz w:val="18"/>
              </w:rPr>
              <w:t>¢</w:t>
            </w:r>
          </w:p>
        </w:tc>
        <w:tc>
          <w:tcPr>
            <w:tcW w:w="1387" w:type="dxa"/>
            <w:shd w:val="clear" w:color="auto" w:fill="D7D7D7"/>
          </w:tcPr>
          <w:p>
            <w:pPr>
              <w:pStyle w:val="TableParagraph"/>
              <w:spacing w:before="99"/>
              <w:ind w:left="170" w:firstLine="316"/>
              <w:rPr>
                <w:b/>
                <w:sz w:val="18"/>
              </w:rPr>
            </w:pPr>
            <w:r>
              <w:rPr>
                <w:b/>
                <w:spacing w:val="-4"/>
                <w:sz w:val="18"/>
              </w:rPr>
              <w:t>Meta </w:t>
            </w:r>
            <w:r>
              <w:rPr>
                <w:b/>
                <w:spacing w:val="-2"/>
                <w:sz w:val="18"/>
              </w:rPr>
              <w:t>programada</w:t>
            </w:r>
          </w:p>
        </w:tc>
        <w:tc>
          <w:tcPr>
            <w:tcW w:w="1392" w:type="dxa"/>
            <w:shd w:val="clear" w:color="auto" w:fill="D7D7D7"/>
          </w:tcPr>
          <w:p>
            <w:pPr>
              <w:pStyle w:val="TableParagraph"/>
              <w:spacing w:before="200"/>
              <w:ind w:left="11"/>
              <w:jc w:val="center"/>
              <w:rPr>
                <w:b/>
                <w:sz w:val="18"/>
              </w:rPr>
            </w:pPr>
            <w:r>
              <w:rPr>
                <w:b/>
                <w:spacing w:val="-10"/>
                <w:sz w:val="18"/>
              </w:rPr>
              <w:t>¢</w:t>
            </w:r>
          </w:p>
        </w:tc>
        <w:tc>
          <w:tcPr>
            <w:tcW w:w="1512" w:type="dxa"/>
            <w:shd w:val="clear" w:color="auto" w:fill="D7D7D7"/>
          </w:tcPr>
          <w:p>
            <w:pPr>
              <w:pStyle w:val="TableParagraph"/>
              <w:spacing w:before="99"/>
              <w:ind w:left="233" w:firstLine="316"/>
              <w:rPr>
                <w:b/>
                <w:sz w:val="18"/>
              </w:rPr>
            </w:pPr>
            <w:r>
              <w:rPr>
                <w:b/>
                <w:spacing w:val="-4"/>
                <w:sz w:val="18"/>
              </w:rPr>
              <w:t>Meta </w:t>
            </w:r>
            <w:r>
              <w:rPr>
                <w:b/>
                <w:spacing w:val="-2"/>
                <w:sz w:val="18"/>
              </w:rPr>
              <w:t>programada</w:t>
            </w:r>
          </w:p>
        </w:tc>
        <w:tc>
          <w:tcPr>
            <w:tcW w:w="1364" w:type="dxa"/>
            <w:shd w:val="clear" w:color="auto" w:fill="D7D7D7"/>
          </w:tcPr>
          <w:p>
            <w:pPr>
              <w:pStyle w:val="TableParagraph"/>
              <w:spacing w:before="200"/>
              <w:ind w:left="55" w:right="42"/>
              <w:jc w:val="center"/>
              <w:rPr>
                <w:b/>
                <w:sz w:val="18"/>
              </w:rPr>
            </w:pPr>
            <w:r>
              <w:rPr>
                <w:b/>
                <w:spacing w:val="-10"/>
                <w:sz w:val="18"/>
              </w:rPr>
              <w:t>¢</w:t>
            </w:r>
          </w:p>
        </w:tc>
        <w:tc>
          <w:tcPr>
            <w:tcW w:w="1484" w:type="dxa"/>
            <w:shd w:val="clear" w:color="auto" w:fill="D7D7D7"/>
          </w:tcPr>
          <w:p>
            <w:pPr>
              <w:pStyle w:val="TableParagraph"/>
              <w:spacing w:before="99"/>
              <w:ind w:left="219" w:firstLine="317"/>
              <w:rPr>
                <w:b/>
                <w:sz w:val="18"/>
              </w:rPr>
            </w:pPr>
            <w:r>
              <w:rPr>
                <w:b/>
                <w:spacing w:val="-4"/>
                <w:sz w:val="18"/>
              </w:rPr>
              <w:t>Meta </w:t>
            </w:r>
            <w:r>
              <w:rPr>
                <w:b/>
                <w:spacing w:val="-2"/>
                <w:sz w:val="18"/>
              </w:rPr>
              <w:t>programada</w:t>
            </w:r>
          </w:p>
        </w:tc>
        <w:tc>
          <w:tcPr>
            <w:tcW w:w="1484" w:type="dxa"/>
            <w:shd w:val="clear" w:color="auto" w:fill="D7D7D7"/>
          </w:tcPr>
          <w:p>
            <w:pPr>
              <w:pStyle w:val="TableParagraph"/>
              <w:spacing w:before="200"/>
              <w:ind w:left="16"/>
              <w:jc w:val="center"/>
              <w:rPr>
                <w:b/>
                <w:sz w:val="18"/>
              </w:rPr>
            </w:pPr>
            <w:r>
              <w:rPr>
                <w:b/>
                <w:spacing w:val="-10"/>
                <w:sz w:val="18"/>
              </w:rPr>
              <w:t>¢</w:t>
            </w:r>
          </w:p>
        </w:tc>
      </w:tr>
      <w:tr>
        <w:trPr>
          <w:trHeight w:val="2030" w:hRule="atLeast"/>
        </w:trPr>
        <w:tc>
          <w:tcPr>
            <w:tcW w:w="1536" w:type="dxa"/>
          </w:tcPr>
          <w:p>
            <w:pPr>
              <w:pStyle w:val="TableParagraph"/>
              <w:ind w:left="72" w:right="82"/>
              <w:rPr>
                <w:sz w:val="18"/>
              </w:rPr>
            </w:pPr>
            <w:r>
              <w:rPr>
                <w:sz w:val="18"/>
              </w:rPr>
              <w:t>de la marca IMAS-Duty</w:t>
            </w:r>
            <w:r>
              <w:rPr>
                <w:spacing w:val="-13"/>
                <w:sz w:val="18"/>
              </w:rPr>
              <w:t> </w:t>
            </w:r>
            <w:r>
              <w:rPr>
                <w:sz w:val="18"/>
              </w:rPr>
              <w:t>Free-Social Program tanto en el AIJS como</w:t>
            </w:r>
            <w:r>
              <w:rPr>
                <w:spacing w:val="-13"/>
                <w:sz w:val="18"/>
              </w:rPr>
              <w:t> </w:t>
            </w:r>
            <w:r>
              <w:rPr>
                <w:sz w:val="18"/>
              </w:rPr>
              <w:t>en</w:t>
            </w:r>
            <w:r>
              <w:rPr>
                <w:spacing w:val="-12"/>
                <w:sz w:val="18"/>
              </w:rPr>
              <w:t> </w:t>
            </w:r>
            <w:r>
              <w:rPr>
                <w:sz w:val="18"/>
              </w:rPr>
              <w:t>el</w:t>
            </w:r>
            <w:r>
              <w:rPr>
                <w:spacing w:val="-13"/>
                <w:sz w:val="18"/>
              </w:rPr>
              <w:t> </w:t>
            </w:r>
            <w:r>
              <w:rPr>
                <w:sz w:val="18"/>
              </w:rPr>
              <w:t>AIDO (Partida</w:t>
            </w:r>
            <w:r>
              <w:rPr>
                <w:spacing w:val="-2"/>
                <w:sz w:val="18"/>
              </w:rPr>
              <w:t> 1.03.02)</w:t>
            </w:r>
          </w:p>
        </w:tc>
        <w:tc>
          <w:tcPr>
            <w:tcW w:w="1531" w:type="dxa"/>
          </w:tcPr>
          <w:p>
            <w:pPr>
              <w:pStyle w:val="TableParagraph"/>
              <w:rPr>
                <w:rFonts w:ascii="Times New Roman"/>
                <w:sz w:val="18"/>
              </w:rPr>
            </w:pP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r>
        <w:trPr>
          <w:trHeight w:val="1656" w:hRule="atLeast"/>
        </w:trPr>
        <w:tc>
          <w:tcPr>
            <w:tcW w:w="1536" w:type="dxa"/>
          </w:tcPr>
          <w:p>
            <w:pPr>
              <w:pStyle w:val="TableParagraph"/>
              <w:ind w:left="72"/>
              <w:rPr>
                <w:sz w:val="18"/>
              </w:rPr>
            </w:pPr>
            <w:r>
              <w:rPr>
                <w:b/>
                <w:sz w:val="18"/>
              </w:rPr>
              <w:t>Actividad PEC 3.10.2:</w:t>
            </w:r>
            <w:r>
              <w:rPr>
                <w:b/>
                <w:spacing w:val="-13"/>
                <w:sz w:val="18"/>
              </w:rPr>
              <w:t> </w:t>
            </w:r>
            <w:r>
              <w:rPr>
                <w:sz w:val="18"/>
              </w:rPr>
              <w:t>Realizar compras de mercancía que respondan a la proyección de ventas (Partida</w:t>
            </w:r>
          </w:p>
          <w:p>
            <w:pPr>
              <w:pStyle w:val="TableParagraph"/>
              <w:spacing w:line="187" w:lineRule="exact"/>
              <w:ind w:left="72"/>
              <w:rPr>
                <w:sz w:val="18"/>
              </w:rPr>
            </w:pPr>
            <w:r>
              <w:rPr>
                <w:spacing w:val="-2"/>
                <w:sz w:val="18"/>
              </w:rPr>
              <w:t>2.05.02)</w:t>
            </w:r>
          </w:p>
        </w:tc>
        <w:tc>
          <w:tcPr>
            <w:tcW w:w="1531" w:type="dxa"/>
          </w:tcPr>
          <w:p>
            <w:pPr>
              <w:pStyle w:val="TableParagraph"/>
              <w:rPr>
                <w:b/>
                <w:sz w:val="18"/>
              </w:rPr>
            </w:pPr>
          </w:p>
          <w:p>
            <w:pPr>
              <w:pStyle w:val="TableParagraph"/>
              <w:spacing w:before="104"/>
              <w:rPr>
                <w:b/>
                <w:sz w:val="18"/>
              </w:rPr>
            </w:pPr>
          </w:p>
          <w:p>
            <w:pPr>
              <w:pStyle w:val="TableParagraph"/>
              <w:ind w:left="67" w:right="123"/>
              <w:rPr>
                <w:sz w:val="18"/>
              </w:rPr>
            </w:pPr>
            <w:r>
              <w:rPr>
                <w:sz w:val="18"/>
              </w:rPr>
              <w:t>%</w:t>
            </w:r>
            <w:r>
              <w:rPr>
                <w:spacing w:val="-15"/>
                <w:sz w:val="18"/>
              </w:rPr>
              <w:t> </w:t>
            </w:r>
            <w:r>
              <w:rPr>
                <w:sz w:val="18"/>
              </w:rPr>
              <w:t>de</w:t>
            </w:r>
            <w:r>
              <w:rPr>
                <w:spacing w:val="-12"/>
                <w:sz w:val="18"/>
              </w:rPr>
              <w:t> </w:t>
            </w:r>
            <w:r>
              <w:rPr>
                <w:sz w:val="18"/>
              </w:rPr>
              <w:t>ejecución del Plan de </w:t>
            </w:r>
            <w:r>
              <w:rPr>
                <w:spacing w:val="-2"/>
                <w:sz w:val="18"/>
              </w:rPr>
              <w:t>Compras</w:t>
            </w:r>
          </w:p>
        </w:tc>
        <w:tc>
          <w:tcPr>
            <w:tcW w:w="1387"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50"/>
              <w:jc w:val="right"/>
              <w:rPr>
                <w:sz w:val="18"/>
              </w:rPr>
            </w:pPr>
            <w:r>
              <w:rPr>
                <w:spacing w:val="-5"/>
                <w:sz w:val="18"/>
              </w:rPr>
              <w:t>25%</w:t>
            </w:r>
          </w:p>
        </w:tc>
        <w:tc>
          <w:tcPr>
            <w:tcW w:w="1315" w:type="dxa"/>
          </w:tcPr>
          <w:p>
            <w:pPr>
              <w:pStyle w:val="TableParagraph"/>
              <w:rPr>
                <w:b/>
                <w:sz w:val="16"/>
              </w:rPr>
            </w:pPr>
          </w:p>
          <w:p>
            <w:pPr>
              <w:pStyle w:val="TableParagraph"/>
              <w:rPr>
                <w:b/>
                <w:sz w:val="16"/>
              </w:rPr>
            </w:pPr>
          </w:p>
          <w:p>
            <w:pPr>
              <w:pStyle w:val="TableParagraph"/>
              <w:spacing w:before="181"/>
              <w:rPr>
                <w:b/>
                <w:sz w:val="16"/>
              </w:rPr>
            </w:pPr>
          </w:p>
          <w:p>
            <w:pPr>
              <w:pStyle w:val="TableParagraph"/>
              <w:ind w:right="60"/>
              <w:jc w:val="right"/>
              <w:rPr>
                <w:sz w:val="16"/>
              </w:rPr>
            </w:pPr>
            <w:r>
              <w:rPr>
                <w:sz w:val="16"/>
              </w:rPr>
              <w:t>₡3</w:t>
            </w:r>
            <w:r>
              <w:rPr>
                <w:spacing w:val="-6"/>
                <w:sz w:val="16"/>
              </w:rPr>
              <w:t> </w:t>
            </w:r>
            <w:r>
              <w:rPr>
                <w:sz w:val="16"/>
              </w:rPr>
              <w:t>750 </w:t>
            </w:r>
            <w:r>
              <w:rPr>
                <w:spacing w:val="-5"/>
                <w:sz w:val="16"/>
              </w:rPr>
              <w:t>000</w:t>
            </w:r>
          </w:p>
        </w:tc>
        <w:tc>
          <w:tcPr>
            <w:tcW w:w="1387" w:type="dxa"/>
          </w:tcPr>
          <w:p>
            <w:pPr>
              <w:pStyle w:val="TableParagraph"/>
              <w:rPr>
                <w:b/>
                <w:sz w:val="16"/>
              </w:rPr>
            </w:pPr>
          </w:p>
          <w:p>
            <w:pPr>
              <w:pStyle w:val="TableParagraph"/>
              <w:rPr>
                <w:b/>
                <w:sz w:val="16"/>
              </w:rPr>
            </w:pPr>
          </w:p>
          <w:p>
            <w:pPr>
              <w:pStyle w:val="TableParagraph"/>
              <w:spacing w:before="181"/>
              <w:rPr>
                <w:b/>
                <w:sz w:val="16"/>
              </w:rPr>
            </w:pPr>
          </w:p>
          <w:p>
            <w:pPr>
              <w:pStyle w:val="TableParagraph"/>
              <w:ind w:right="60"/>
              <w:jc w:val="right"/>
              <w:rPr>
                <w:sz w:val="16"/>
              </w:rPr>
            </w:pPr>
            <w:r>
              <w:rPr>
                <w:spacing w:val="-5"/>
                <w:sz w:val="16"/>
              </w:rPr>
              <w:t>50%</w:t>
            </w:r>
          </w:p>
        </w:tc>
        <w:tc>
          <w:tcPr>
            <w:tcW w:w="1392" w:type="dxa"/>
          </w:tcPr>
          <w:p>
            <w:pPr>
              <w:pStyle w:val="TableParagraph"/>
              <w:rPr>
                <w:b/>
                <w:sz w:val="16"/>
              </w:rPr>
            </w:pPr>
          </w:p>
          <w:p>
            <w:pPr>
              <w:pStyle w:val="TableParagraph"/>
              <w:rPr>
                <w:b/>
                <w:sz w:val="16"/>
              </w:rPr>
            </w:pPr>
          </w:p>
          <w:p>
            <w:pPr>
              <w:pStyle w:val="TableParagraph"/>
              <w:spacing w:before="181"/>
              <w:rPr>
                <w:b/>
                <w:sz w:val="16"/>
              </w:rPr>
            </w:pPr>
          </w:p>
          <w:p>
            <w:pPr>
              <w:pStyle w:val="TableParagraph"/>
              <w:ind w:right="61"/>
              <w:jc w:val="right"/>
              <w:rPr>
                <w:sz w:val="16"/>
              </w:rPr>
            </w:pPr>
            <w:r>
              <w:rPr>
                <w:sz w:val="16"/>
              </w:rPr>
              <w:t>₡7</w:t>
            </w:r>
            <w:r>
              <w:rPr>
                <w:spacing w:val="-6"/>
                <w:sz w:val="16"/>
              </w:rPr>
              <w:t> </w:t>
            </w:r>
            <w:r>
              <w:rPr>
                <w:sz w:val="16"/>
              </w:rPr>
              <w:t>522</w:t>
            </w:r>
            <w:r>
              <w:rPr>
                <w:spacing w:val="-1"/>
                <w:sz w:val="16"/>
              </w:rPr>
              <w:t> </w:t>
            </w:r>
            <w:r>
              <w:rPr>
                <w:sz w:val="16"/>
              </w:rPr>
              <w:t>000</w:t>
            </w:r>
            <w:r>
              <w:rPr>
                <w:spacing w:val="-2"/>
                <w:sz w:val="16"/>
              </w:rPr>
              <w:t> </w:t>
            </w:r>
            <w:r>
              <w:rPr>
                <w:spacing w:val="-5"/>
                <w:sz w:val="16"/>
              </w:rPr>
              <w:t>000</w:t>
            </w:r>
          </w:p>
        </w:tc>
        <w:tc>
          <w:tcPr>
            <w:tcW w:w="1512" w:type="dxa"/>
          </w:tcPr>
          <w:p>
            <w:pPr>
              <w:pStyle w:val="TableParagraph"/>
              <w:rPr>
                <w:b/>
                <w:sz w:val="16"/>
              </w:rPr>
            </w:pPr>
          </w:p>
          <w:p>
            <w:pPr>
              <w:pStyle w:val="TableParagraph"/>
              <w:rPr>
                <w:b/>
                <w:sz w:val="16"/>
              </w:rPr>
            </w:pPr>
          </w:p>
          <w:p>
            <w:pPr>
              <w:pStyle w:val="TableParagraph"/>
              <w:spacing w:before="181"/>
              <w:rPr>
                <w:b/>
                <w:sz w:val="16"/>
              </w:rPr>
            </w:pPr>
          </w:p>
          <w:p>
            <w:pPr>
              <w:pStyle w:val="TableParagraph"/>
              <w:ind w:right="59"/>
              <w:jc w:val="right"/>
              <w:rPr>
                <w:sz w:val="16"/>
              </w:rPr>
            </w:pPr>
            <w:r>
              <w:rPr>
                <w:spacing w:val="-5"/>
                <w:sz w:val="16"/>
              </w:rPr>
              <w:t>75%</w:t>
            </w:r>
          </w:p>
        </w:tc>
        <w:tc>
          <w:tcPr>
            <w:tcW w:w="1364" w:type="dxa"/>
          </w:tcPr>
          <w:p>
            <w:pPr>
              <w:pStyle w:val="TableParagraph"/>
              <w:rPr>
                <w:b/>
                <w:sz w:val="16"/>
              </w:rPr>
            </w:pPr>
          </w:p>
          <w:p>
            <w:pPr>
              <w:pStyle w:val="TableParagraph"/>
              <w:rPr>
                <w:b/>
                <w:sz w:val="16"/>
              </w:rPr>
            </w:pPr>
          </w:p>
          <w:p>
            <w:pPr>
              <w:pStyle w:val="TableParagraph"/>
              <w:spacing w:before="90"/>
              <w:rPr>
                <w:b/>
                <w:sz w:val="16"/>
              </w:rPr>
            </w:pPr>
          </w:p>
          <w:p>
            <w:pPr>
              <w:pStyle w:val="TableParagraph"/>
              <w:spacing w:line="183" w:lineRule="exact"/>
              <w:ind w:right="56"/>
              <w:jc w:val="right"/>
              <w:rPr>
                <w:sz w:val="16"/>
              </w:rPr>
            </w:pPr>
            <w:r>
              <w:rPr>
                <w:sz w:val="16"/>
              </w:rPr>
              <w:t>₡11</w:t>
            </w:r>
            <w:r>
              <w:rPr>
                <w:spacing w:val="-3"/>
                <w:sz w:val="16"/>
              </w:rPr>
              <w:t> </w:t>
            </w:r>
            <w:r>
              <w:rPr>
                <w:sz w:val="16"/>
              </w:rPr>
              <w:t>283</w:t>
            </w:r>
            <w:r>
              <w:rPr>
                <w:spacing w:val="-3"/>
                <w:sz w:val="16"/>
              </w:rPr>
              <w:t> </w:t>
            </w:r>
            <w:r>
              <w:rPr>
                <w:spacing w:val="-5"/>
                <w:sz w:val="16"/>
              </w:rPr>
              <w:t>250</w:t>
            </w:r>
          </w:p>
          <w:p>
            <w:pPr>
              <w:pStyle w:val="TableParagraph"/>
              <w:spacing w:line="183" w:lineRule="exact"/>
              <w:ind w:right="60"/>
              <w:jc w:val="right"/>
              <w:rPr>
                <w:sz w:val="16"/>
              </w:rPr>
            </w:pPr>
            <w:r>
              <w:rPr>
                <w:spacing w:val="-5"/>
                <w:sz w:val="16"/>
              </w:rPr>
              <w:t>000</w:t>
            </w:r>
          </w:p>
        </w:tc>
        <w:tc>
          <w:tcPr>
            <w:tcW w:w="1484" w:type="dxa"/>
          </w:tcPr>
          <w:p>
            <w:pPr>
              <w:pStyle w:val="TableParagraph"/>
              <w:rPr>
                <w:b/>
                <w:sz w:val="16"/>
              </w:rPr>
            </w:pPr>
          </w:p>
          <w:p>
            <w:pPr>
              <w:pStyle w:val="TableParagraph"/>
              <w:rPr>
                <w:b/>
                <w:sz w:val="16"/>
              </w:rPr>
            </w:pPr>
          </w:p>
          <w:p>
            <w:pPr>
              <w:pStyle w:val="TableParagraph"/>
              <w:spacing w:before="181"/>
              <w:rPr>
                <w:b/>
                <w:sz w:val="16"/>
              </w:rPr>
            </w:pPr>
          </w:p>
          <w:p>
            <w:pPr>
              <w:pStyle w:val="TableParagraph"/>
              <w:ind w:right="60"/>
              <w:jc w:val="right"/>
              <w:rPr>
                <w:sz w:val="16"/>
              </w:rPr>
            </w:pPr>
            <w:r>
              <w:rPr>
                <w:spacing w:val="-4"/>
                <w:sz w:val="16"/>
              </w:rPr>
              <w:t>100%</w:t>
            </w:r>
          </w:p>
        </w:tc>
        <w:tc>
          <w:tcPr>
            <w:tcW w:w="1484" w:type="dxa"/>
          </w:tcPr>
          <w:p>
            <w:pPr>
              <w:pStyle w:val="TableParagraph"/>
              <w:rPr>
                <w:b/>
                <w:sz w:val="16"/>
              </w:rPr>
            </w:pPr>
          </w:p>
          <w:p>
            <w:pPr>
              <w:pStyle w:val="TableParagraph"/>
              <w:rPr>
                <w:b/>
                <w:sz w:val="16"/>
              </w:rPr>
            </w:pPr>
          </w:p>
          <w:p>
            <w:pPr>
              <w:pStyle w:val="TableParagraph"/>
              <w:spacing w:before="181"/>
              <w:rPr>
                <w:b/>
                <w:sz w:val="16"/>
              </w:rPr>
            </w:pPr>
          </w:p>
          <w:p>
            <w:pPr>
              <w:pStyle w:val="TableParagraph"/>
              <w:ind w:right="57"/>
              <w:jc w:val="right"/>
              <w:rPr>
                <w:sz w:val="16"/>
              </w:rPr>
            </w:pPr>
            <w:r>
              <w:rPr>
                <w:sz w:val="16"/>
              </w:rPr>
              <w:t>₡15</w:t>
            </w:r>
            <w:r>
              <w:rPr>
                <w:spacing w:val="-3"/>
                <w:sz w:val="16"/>
              </w:rPr>
              <w:t> </w:t>
            </w:r>
            <w:r>
              <w:rPr>
                <w:sz w:val="16"/>
              </w:rPr>
              <w:t>045</w:t>
            </w:r>
            <w:r>
              <w:rPr>
                <w:spacing w:val="-2"/>
                <w:sz w:val="16"/>
              </w:rPr>
              <w:t> </w:t>
            </w:r>
            <w:r>
              <w:rPr>
                <w:sz w:val="16"/>
              </w:rPr>
              <w:t>000</w:t>
            </w:r>
            <w:r>
              <w:rPr>
                <w:spacing w:val="-3"/>
                <w:sz w:val="16"/>
              </w:rPr>
              <w:t> </w:t>
            </w:r>
            <w:r>
              <w:rPr>
                <w:spacing w:val="-5"/>
                <w:sz w:val="16"/>
              </w:rPr>
              <w:t>000</w:t>
            </w:r>
          </w:p>
        </w:tc>
      </w:tr>
      <w:tr>
        <w:trPr>
          <w:trHeight w:val="2068" w:hRule="atLeast"/>
        </w:trPr>
        <w:tc>
          <w:tcPr>
            <w:tcW w:w="1536" w:type="dxa"/>
          </w:tcPr>
          <w:p>
            <w:pPr>
              <w:pStyle w:val="TableParagraph"/>
              <w:ind w:left="72"/>
              <w:rPr>
                <w:b/>
                <w:sz w:val="18"/>
              </w:rPr>
            </w:pPr>
            <w:r>
              <w:rPr>
                <w:b/>
                <w:sz w:val="18"/>
              </w:rPr>
              <w:t>Actividad</w:t>
            </w:r>
            <w:r>
              <w:rPr>
                <w:b/>
                <w:spacing w:val="-13"/>
                <w:sz w:val="18"/>
              </w:rPr>
              <w:t> </w:t>
            </w:r>
            <w:r>
              <w:rPr>
                <w:b/>
                <w:sz w:val="18"/>
              </w:rPr>
              <w:t>PEC </w:t>
            </w:r>
            <w:r>
              <w:rPr>
                <w:b/>
                <w:spacing w:val="-2"/>
                <w:sz w:val="18"/>
              </w:rPr>
              <w:t>3.10.3:</w:t>
            </w:r>
          </w:p>
          <w:p>
            <w:pPr>
              <w:pStyle w:val="TableParagraph"/>
              <w:ind w:left="72" w:right="56"/>
              <w:rPr>
                <w:sz w:val="18"/>
              </w:rPr>
            </w:pPr>
            <w:r>
              <w:rPr>
                <w:sz w:val="18"/>
              </w:rPr>
              <w:t>Supervisar y Controlar</w:t>
            </w:r>
            <w:r>
              <w:rPr>
                <w:spacing w:val="-13"/>
                <w:sz w:val="18"/>
              </w:rPr>
              <w:t> </w:t>
            </w:r>
            <w:r>
              <w:rPr>
                <w:sz w:val="18"/>
              </w:rPr>
              <w:t>Ingreso de la mercancía según los</w:t>
            </w:r>
            <w:r>
              <w:rPr>
                <w:spacing w:val="40"/>
                <w:sz w:val="18"/>
              </w:rPr>
              <w:t> </w:t>
            </w:r>
            <w:r>
              <w:rPr>
                <w:spacing w:val="-2"/>
                <w:sz w:val="18"/>
              </w:rPr>
              <w:t>tiempos</w:t>
            </w:r>
            <w:r>
              <w:rPr>
                <w:spacing w:val="80"/>
                <w:sz w:val="18"/>
              </w:rPr>
              <w:t> </w:t>
            </w:r>
            <w:r>
              <w:rPr>
                <w:sz w:val="18"/>
              </w:rPr>
              <w:t>definidos en las órdenes de</w:t>
            </w:r>
          </w:p>
          <w:p>
            <w:pPr>
              <w:pStyle w:val="TableParagraph"/>
              <w:spacing w:line="187" w:lineRule="exact"/>
              <w:ind w:left="72"/>
              <w:rPr>
                <w:sz w:val="18"/>
              </w:rPr>
            </w:pPr>
            <w:r>
              <w:rPr>
                <w:spacing w:val="-2"/>
                <w:sz w:val="18"/>
              </w:rPr>
              <w:t>compra</w:t>
            </w:r>
          </w:p>
        </w:tc>
        <w:tc>
          <w:tcPr>
            <w:tcW w:w="1531" w:type="dxa"/>
          </w:tcPr>
          <w:p>
            <w:pPr>
              <w:pStyle w:val="TableParagraph"/>
              <w:rPr>
                <w:b/>
                <w:sz w:val="18"/>
              </w:rPr>
            </w:pPr>
          </w:p>
          <w:p>
            <w:pPr>
              <w:pStyle w:val="TableParagraph"/>
              <w:spacing w:before="103"/>
              <w:rPr>
                <w:b/>
                <w:sz w:val="18"/>
              </w:rPr>
            </w:pPr>
          </w:p>
          <w:p>
            <w:pPr>
              <w:pStyle w:val="TableParagraph"/>
              <w:ind w:left="67" w:right="336"/>
              <w:rPr>
                <w:sz w:val="18"/>
              </w:rPr>
            </w:pPr>
            <w:r>
              <w:rPr>
                <w:sz w:val="18"/>
              </w:rPr>
              <w:t>Porcentaje</w:t>
            </w:r>
            <w:r>
              <w:rPr>
                <w:spacing w:val="-13"/>
                <w:sz w:val="18"/>
              </w:rPr>
              <w:t> </w:t>
            </w:r>
            <w:r>
              <w:rPr>
                <w:sz w:val="18"/>
              </w:rPr>
              <w:t>de </w:t>
            </w:r>
            <w:r>
              <w:rPr>
                <w:spacing w:val="-2"/>
                <w:sz w:val="18"/>
              </w:rPr>
              <w:t>pedidos ingresando </w:t>
            </w:r>
            <w:r>
              <w:rPr>
                <w:sz w:val="18"/>
              </w:rPr>
              <w:t>según</w:t>
            </w:r>
            <w:r>
              <w:rPr>
                <w:spacing w:val="-5"/>
                <w:sz w:val="18"/>
              </w:rPr>
              <w:t> </w:t>
            </w:r>
            <w:r>
              <w:rPr>
                <w:sz w:val="18"/>
              </w:rPr>
              <w:t>tiempo </w:t>
            </w:r>
            <w:r>
              <w:rPr>
                <w:spacing w:val="-2"/>
                <w:sz w:val="18"/>
              </w:rPr>
              <w:t>establecido</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0"/>
              <w:jc w:val="right"/>
              <w:rPr>
                <w:sz w:val="18"/>
              </w:rPr>
            </w:pPr>
            <w:r>
              <w:rPr>
                <w:spacing w:val="-5"/>
                <w:sz w:val="18"/>
              </w:rPr>
              <w:t>98%</w:t>
            </w:r>
          </w:p>
        </w:tc>
        <w:tc>
          <w:tcPr>
            <w:tcW w:w="1315" w:type="dxa"/>
          </w:tcPr>
          <w:p>
            <w:pPr>
              <w:pStyle w:val="TableParagraph"/>
              <w:rPr>
                <w:rFonts w:ascii="Times New Roman"/>
                <w:sz w:val="18"/>
              </w:rPr>
            </w:pP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4"/>
              <w:jc w:val="right"/>
              <w:rPr>
                <w:sz w:val="18"/>
              </w:rPr>
            </w:pPr>
            <w:r>
              <w:rPr>
                <w:spacing w:val="-5"/>
                <w:sz w:val="18"/>
              </w:rPr>
              <w:t>98%</w:t>
            </w:r>
          </w:p>
        </w:tc>
        <w:tc>
          <w:tcPr>
            <w:tcW w:w="1392" w:type="dxa"/>
          </w:tcPr>
          <w:p>
            <w:pPr>
              <w:pStyle w:val="TableParagraph"/>
              <w:rPr>
                <w:rFonts w:ascii="Times New Roman"/>
                <w:sz w:val="18"/>
              </w:rPr>
            </w:pPr>
          </w:p>
        </w:tc>
        <w:tc>
          <w:tcPr>
            <w:tcW w:w="151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3"/>
              <w:jc w:val="right"/>
              <w:rPr>
                <w:sz w:val="18"/>
              </w:rPr>
            </w:pPr>
            <w:r>
              <w:rPr>
                <w:spacing w:val="-5"/>
                <w:sz w:val="18"/>
              </w:rPr>
              <w:t>98%</w:t>
            </w:r>
          </w:p>
        </w:tc>
        <w:tc>
          <w:tcPr>
            <w:tcW w:w="1364" w:type="dxa"/>
          </w:tcPr>
          <w:p>
            <w:pPr>
              <w:pStyle w:val="TableParagraph"/>
              <w:rPr>
                <w:rFonts w:ascii="Times New Roman"/>
                <w:sz w:val="18"/>
              </w:rPr>
            </w:pPr>
          </w:p>
        </w:tc>
        <w:tc>
          <w:tcPr>
            <w:tcW w:w="148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right="54"/>
              <w:jc w:val="right"/>
              <w:rPr>
                <w:sz w:val="18"/>
              </w:rPr>
            </w:pPr>
            <w:r>
              <w:rPr>
                <w:spacing w:val="-5"/>
                <w:sz w:val="18"/>
              </w:rPr>
              <w:t>98%</w:t>
            </w:r>
          </w:p>
        </w:tc>
        <w:tc>
          <w:tcPr>
            <w:tcW w:w="1484" w:type="dxa"/>
          </w:tcPr>
          <w:p>
            <w:pPr>
              <w:pStyle w:val="TableParagraph"/>
              <w:rPr>
                <w:rFonts w:ascii="Times New Roman"/>
                <w:sz w:val="18"/>
              </w:rPr>
            </w:pPr>
          </w:p>
        </w:tc>
      </w:tr>
      <w:tr>
        <w:trPr>
          <w:trHeight w:val="1862" w:hRule="atLeast"/>
        </w:trPr>
        <w:tc>
          <w:tcPr>
            <w:tcW w:w="1536" w:type="dxa"/>
          </w:tcPr>
          <w:p>
            <w:pPr>
              <w:pStyle w:val="TableParagraph"/>
              <w:ind w:left="72"/>
              <w:rPr>
                <w:sz w:val="18"/>
              </w:rPr>
            </w:pPr>
            <w:r>
              <w:rPr>
                <w:b/>
                <w:sz w:val="18"/>
              </w:rPr>
              <w:t>Actividad PEC 3.10.4:</w:t>
            </w:r>
            <w:r>
              <w:rPr>
                <w:b/>
                <w:spacing w:val="-13"/>
                <w:sz w:val="18"/>
              </w:rPr>
              <w:t> </w:t>
            </w:r>
            <w:r>
              <w:rPr>
                <w:sz w:val="18"/>
              </w:rPr>
              <w:t>Ejecutar campaña de </w:t>
            </w:r>
            <w:r>
              <w:rPr>
                <w:spacing w:val="-2"/>
                <w:sz w:val="18"/>
              </w:rPr>
              <w:t>Trademarketing </w:t>
            </w:r>
            <w:r>
              <w:rPr>
                <w:sz w:val="18"/>
              </w:rPr>
              <w:t>con el fin de diferenciar al IMAS, a través</w:t>
            </w:r>
          </w:p>
          <w:p>
            <w:pPr>
              <w:pStyle w:val="TableParagraph"/>
              <w:spacing w:line="206" w:lineRule="exact"/>
              <w:ind w:left="72" w:right="216"/>
              <w:rPr>
                <w:sz w:val="18"/>
              </w:rPr>
            </w:pPr>
            <w:r>
              <w:rPr>
                <w:sz w:val="18"/>
              </w:rPr>
              <w:t>de su misión social</w:t>
            </w:r>
            <w:r>
              <w:rPr>
                <w:spacing w:val="-13"/>
                <w:sz w:val="18"/>
              </w:rPr>
              <w:t> </w:t>
            </w:r>
            <w:r>
              <w:rPr>
                <w:sz w:val="18"/>
              </w:rPr>
              <w:t>(1.04.04)</w:t>
            </w:r>
          </w:p>
        </w:tc>
        <w:tc>
          <w:tcPr>
            <w:tcW w:w="153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7"/>
              <w:rPr>
                <w:sz w:val="18"/>
              </w:rPr>
            </w:pPr>
            <w:r>
              <w:rPr>
                <w:sz w:val="18"/>
              </w:rPr>
              <w:t>Porcentaje</w:t>
            </w:r>
            <w:r>
              <w:rPr>
                <w:spacing w:val="-10"/>
                <w:sz w:val="18"/>
              </w:rPr>
              <w:t> </w:t>
            </w:r>
            <w:r>
              <w:rPr>
                <w:sz w:val="18"/>
              </w:rPr>
              <w:t>de </w:t>
            </w:r>
            <w:r>
              <w:rPr>
                <w:spacing w:val="-2"/>
                <w:sz w:val="18"/>
              </w:rPr>
              <w:t>campaña implementada</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0"/>
              <w:jc w:val="right"/>
              <w:rPr>
                <w:sz w:val="18"/>
              </w:rPr>
            </w:pPr>
            <w:r>
              <w:rPr>
                <w:spacing w:val="-5"/>
                <w:sz w:val="18"/>
              </w:rPr>
              <w:t>25%</w:t>
            </w:r>
          </w:p>
        </w:tc>
        <w:tc>
          <w:tcPr>
            <w:tcW w:w="1315"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2"/>
              <w:jc w:val="right"/>
              <w:rPr>
                <w:sz w:val="18"/>
              </w:rPr>
            </w:pPr>
            <w:r>
              <w:rPr>
                <w:sz w:val="18"/>
              </w:rPr>
              <w:t>₡11</w:t>
            </w:r>
            <w:r>
              <w:rPr>
                <w:spacing w:val="1"/>
                <w:sz w:val="18"/>
              </w:rPr>
              <w:t> </w:t>
            </w:r>
            <w:r>
              <w:rPr>
                <w:sz w:val="18"/>
              </w:rPr>
              <w:t>250</w:t>
            </w:r>
            <w:r>
              <w:rPr>
                <w:spacing w:val="-3"/>
                <w:sz w:val="18"/>
              </w:rPr>
              <w:t> </w:t>
            </w:r>
            <w:r>
              <w:rPr>
                <w:spacing w:val="-5"/>
                <w:sz w:val="18"/>
              </w:rPr>
              <w:t>000</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4"/>
              <w:jc w:val="right"/>
              <w:rPr>
                <w:sz w:val="18"/>
              </w:rPr>
            </w:pPr>
            <w:r>
              <w:rPr>
                <w:spacing w:val="-5"/>
                <w:sz w:val="18"/>
              </w:rPr>
              <w:t>50%</w:t>
            </w:r>
          </w:p>
        </w:tc>
        <w:tc>
          <w:tcPr>
            <w:tcW w:w="1392"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1"/>
              <w:jc w:val="right"/>
              <w:rPr>
                <w:sz w:val="18"/>
              </w:rPr>
            </w:pPr>
            <w:r>
              <w:rPr>
                <w:sz w:val="18"/>
              </w:rPr>
              <w:t>₡22</w:t>
            </w:r>
            <w:r>
              <w:rPr>
                <w:spacing w:val="1"/>
                <w:sz w:val="18"/>
              </w:rPr>
              <w:t> </w:t>
            </w:r>
            <w:r>
              <w:rPr>
                <w:sz w:val="18"/>
              </w:rPr>
              <w:t>500</w:t>
            </w:r>
            <w:r>
              <w:rPr>
                <w:spacing w:val="-3"/>
                <w:sz w:val="18"/>
              </w:rPr>
              <w:t> </w:t>
            </w:r>
            <w:r>
              <w:rPr>
                <w:spacing w:val="-5"/>
                <w:sz w:val="18"/>
              </w:rPr>
              <w:t>000</w:t>
            </w:r>
          </w:p>
        </w:tc>
        <w:tc>
          <w:tcPr>
            <w:tcW w:w="1512"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3"/>
              <w:jc w:val="right"/>
              <w:rPr>
                <w:sz w:val="18"/>
              </w:rPr>
            </w:pPr>
            <w:r>
              <w:rPr>
                <w:spacing w:val="-5"/>
                <w:sz w:val="18"/>
              </w:rPr>
              <w:t>75%</w:t>
            </w:r>
          </w:p>
        </w:tc>
        <w:tc>
          <w:tcPr>
            <w:tcW w:w="1364"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263"/>
              <w:rPr>
                <w:sz w:val="18"/>
              </w:rPr>
            </w:pPr>
            <w:r>
              <w:rPr>
                <w:sz w:val="18"/>
              </w:rPr>
              <w:t>₡33</w:t>
            </w:r>
            <w:r>
              <w:rPr>
                <w:spacing w:val="1"/>
                <w:sz w:val="18"/>
              </w:rPr>
              <w:t> </w:t>
            </w:r>
            <w:r>
              <w:rPr>
                <w:sz w:val="18"/>
              </w:rPr>
              <w:t>750</w:t>
            </w:r>
            <w:r>
              <w:rPr>
                <w:spacing w:val="-3"/>
                <w:sz w:val="18"/>
              </w:rPr>
              <w:t> </w:t>
            </w:r>
            <w:r>
              <w:rPr>
                <w:spacing w:val="-5"/>
                <w:sz w:val="18"/>
              </w:rPr>
              <w:t>000</w:t>
            </w:r>
          </w:p>
        </w:tc>
        <w:tc>
          <w:tcPr>
            <w:tcW w:w="1484"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54"/>
              <w:jc w:val="right"/>
              <w:rPr>
                <w:sz w:val="18"/>
              </w:rPr>
            </w:pPr>
            <w:r>
              <w:rPr>
                <w:spacing w:val="-4"/>
                <w:sz w:val="18"/>
              </w:rPr>
              <w:t>100%</w:t>
            </w:r>
          </w:p>
        </w:tc>
        <w:tc>
          <w:tcPr>
            <w:tcW w:w="1484"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right="47"/>
              <w:jc w:val="right"/>
              <w:rPr>
                <w:sz w:val="18"/>
              </w:rPr>
            </w:pPr>
            <w:r>
              <w:rPr>
                <w:sz w:val="18"/>
              </w:rPr>
              <w:t>₡45</w:t>
            </w:r>
            <w:r>
              <w:rPr>
                <w:spacing w:val="1"/>
                <w:sz w:val="18"/>
              </w:rPr>
              <w:t> </w:t>
            </w:r>
            <w:r>
              <w:rPr>
                <w:sz w:val="18"/>
              </w:rPr>
              <w:t>000</w:t>
            </w:r>
            <w:r>
              <w:rPr>
                <w:spacing w:val="-3"/>
                <w:sz w:val="18"/>
              </w:rPr>
              <w:t> </w:t>
            </w:r>
            <w:r>
              <w:rPr>
                <w:spacing w:val="-5"/>
                <w:sz w:val="18"/>
              </w:rPr>
              <w:t>000</w:t>
            </w:r>
          </w:p>
        </w:tc>
      </w:tr>
    </w:tbl>
    <w:p>
      <w:pPr>
        <w:pStyle w:val="TableParagraph"/>
        <w:spacing w:after="0"/>
        <w:jc w:val="right"/>
        <w:rPr>
          <w:sz w:val="18"/>
        </w:rPr>
        <w:sectPr>
          <w:type w:val="continuous"/>
          <w:pgSz w:w="15840" w:h="12240" w:orient="landscape"/>
          <w:pgMar w:header="0" w:footer="1806" w:top="700" w:bottom="2787"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6"/>
        <w:gridCol w:w="1531"/>
        <w:gridCol w:w="1387"/>
        <w:gridCol w:w="1315"/>
        <w:gridCol w:w="1387"/>
        <w:gridCol w:w="1392"/>
        <w:gridCol w:w="1512"/>
        <w:gridCol w:w="1364"/>
        <w:gridCol w:w="1484"/>
        <w:gridCol w:w="1484"/>
      </w:tblGrid>
      <w:tr>
        <w:trPr>
          <w:trHeight w:val="302" w:hRule="atLeast"/>
        </w:trPr>
        <w:tc>
          <w:tcPr>
            <w:tcW w:w="1536" w:type="dxa"/>
            <w:vMerge w:val="restart"/>
            <w:shd w:val="clear" w:color="auto" w:fill="D7D7D7"/>
          </w:tcPr>
          <w:p>
            <w:pPr>
              <w:pStyle w:val="TableParagraph"/>
              <w:spacing w:before="46"/>
              <w:rPr>
                <w:b/>
                <w:sz w:val="18"/>
              </w:rPr>
            </w:pPr>
          </w:p>
          <w:p>
            <w:pPr>
              <w:pStyle w:val="TableParagraph"/>
              <w:ind w:left="283" w:firstLine="24"/>
              <w:rPr>
                <w:b/>
                <w:sz w:val="18"/>
              </w:rPr>
            </w:pPr>
            <w:r>
              <w:rPr>
                <w:b/>
                <w:sz w:val="18"/>
              </w:rPr>
              <w:t>Objetivos</w:t>
            </w:r>
            <w:r>
              <w:rPr>
                <w:b/>
                <w:spacing w:val="-7"/>
                <w:sz w:val="18"/>
              </w:rPr>
              <w:t> </w:t>
            </w:r>
            <w:r>
              <w:rPr>
                <w:b/>
                <w:sz w:val="18"/>
              </w:rPr>
              <w:t>/ </w:t>
            </w:r>
            <w:r>
              <w:rPr>
                <w:b/>
                <w:spacing w:val="-2"/>
                <w:sz w:val="18"/>
              </w:rPr>
              <w:t>Resultados</w:t>
            </w:r>
          </w:p>
        </w:tc>
        <w:tc>
          <w:tcPr>
            <w:tcW w:w="1531" w:type="dxa"/>
            <w:vMerge w:val="restart"/>
            <w:shd w:val="clear" w:color="auto" w:fill="D7D7D7"/>
          </w:tcPr>
          <w:p>
            <w:pPr>
              <w:pStyle w:val="TableParagraph"/>
              <w:spacing w:before="151"/>
              <w:rPr>
                <w:b/>
                <w:sz w:val="18"/>
              </w:rPr>
            </w:pPr>
          </w:p>
          <w:p>
            <w:pPr>
              <w:pStyle w:val="TableParagraph"/>
              <w:spacing w:before="1"/>
              <w:ind w:left="355"/>
              <w:rPr>
                <w:b/>
                <w:sz w:val="18"/>
              </w:rPr>
            </w:pPr>
            <w:r>
              <w:rPr>
                <w:b/>
                <w:spacing w:val="-2"/>
                <w:sz w:val="18"/>
              </w:rPr>
              <w:t>Indicador</w:t>
            </w:r>
          </w:p>
        </w:tc>
        <w:tc>
          <w:tcPr>
            <w:tcW w:w="2702" w:type="dxa"/>
            <w:gridSpan w:val="2"/>
            <w:shd w:val="clear" w:color="auto" w:fill="D7D7D7"/>
          </w:tcPr>
          <w:p>
            <w:pPr>
              <w:pStyle w:val="TableParagraph"/>
              <w:spacing w:before="47"/>
              <w:ind w:left="889"/>
              <w:rPr>
                <w:b/>
                <w:sz w:val="18"/>
              </w:rPr>
            </w:pPr>
            <w:r>
              <w:rPr>
                <w:b/>
                <w:sz w:val="18"/>
              </w:rPr>
              <w:t>I</w:t>
            </w:r>
            <w:r>
              <w:rPr>
                <w:b/>
                <w:spacing w:val="-1"/>
                <w:sz w:val="18"/>
              </w:rPr>
              <w:t> </w:t>
            </w:r>
            <w:r>
              <w:rPr>
                <w:b/>
                <w:spacing w:val="-2"/>
                <w:sz w:val="18"/>
              </w:rPr>
              <w:t>Trimestre</w:t>
            </w:r>
          </w:p>
        </w:tc>
        <w:tc>
          <w:tcPr>
            <w:tcW w:w="2779" w:type="dxa"/>
            <w:gridSpan w:val="2"/>
            <w:shd w:val="clear" w:color="auto" w:fill="D7D7D7"/>
          </w:tcPr>
          <w:p>
            <w:pPr>
              <w:pStyle w:val="TableParagraph"/>
              <w:spacing w:before="47"/>
              <w:ind w:left="904"/>
              <w:rPr>
                <w:b/>
                <w:sz w:val="18"/>
              </w:rPr>
            </w:pPr>
            <w:r>
              <w:rPr>
                <w:b/>
                <w:sz w:val="18"/>
              </w:rPr>
              <w:t>II</w:t>
            </w:r>
            <w:r>
              <w:rPr>
                <w:b/>
                <w:spacing w:val="-3"/>
                <w:sz w:val="18"/>
              </w:rPr>
              <w:t> </w:t>
            </w:r>
            <w:r>
              <w:rPr>
                <w:b/>
                <w:spacing w:val="-2"/>
                <w:sz w:val="18"/>
              </w:rPr>
              <w:t>Trimestre</w:t>
            </w:r>
          </w:p>
        </w:tc>
        <w:tc>
          <w:tcPr>
            <w:tcW w:w="2876" w:type="dxa"/>
            <w:gridSpan w:val="2"/>
            <w:shd w:val="clear" w:color="auto" w:fill="D7D7D7"/>
          </w:tcPr>
          <w:p>
            <w:pPr>
              <w:pStyle w:val="TableParagraph"/>
              <w:spacing w:before="47"/>
              <w:ind w:left="925"/>
              <w:rPr>
                <w:b/>
                <w:sz w:val="18"/>
              </w:rPr>
            </w:pPr>
            <w:r>
              <w:rPr>
                <w:b/>
                <w:sz w:val="18"/>
              </w:rPr>
              <w:t>III</w:t>
            </w:r>
            <w:r>
              <w:rPr>
                <w:b/>
                <w:spacing w:val="-2"/>
                <w:sz w:val="18"/>
              </w:rPr>
              <w:t> Trimestre</w:t>
            </w:r>
          </w:p>
        </w:tc>
        <w:tc>
          <w:tcPr>
            <w:tcW w:w="2968" w:type="dxa"/>
            <w:gridSpan w:val="2"/>
            <w:shd w:val="clear" w:color="auto" w:fill="D7D7D7"/>
          </w:tcPr>
          <w:p>
            <w:pPr>
              <w:pStyle w:val="TableParagraph"/>
              <w:spacing w:before="47"/>
              <w:ind w:left="963"/>
              <w:rPr>
                <w:b/>
                <w:sz w:val="18"/>
              </w:rPr>
            </w:pPr>
            <w:r>
              <w:rPr>
                <w:b/>
                <w:sz w:val="18"/>
              </w:rPr>
              <w:t>IV</w:t>
            </w:r>
            <w:r>
              <w:rPr>
                <w:b/>
                <w:spacing w:val="-2"/>
                <w:sz w:val="18"/>
              </w:rPr>
              <w:t> Trimestre</w:t>
            </w:r>
          </w:p>
        </w:tc>
      </w:tr>
      <w:tr>
        <w:trPr>
          <w:trHeight w:val="613" w:hRule="atLeast"/>
        </w:trPr>
        <w:tc>
          <w:tcPr>
            <w:tcW w:w="1536" w:type="dxa"/>
            <w:vMerge/>
            <w:tcBorders>
              <w:top w:val="nil"/>
            </w:tcBorders>
            <w:shd w:val="clear" w:color="auto" w:fill="D7D7D7"/>
          </w:tcPr>
          <w:p>
            <w:pPr>
              <w:rPr>
                <w:sz w:val="2"/>
                <w:szCs w:val="2"/>
              </w:rPr>
            </w:pPr>
          </w:p>
        </w:tc>
        <w:tc>
          <w:tcPr>
            <w:tcW w:w="1531" w:type="dxa"/>
            <w:vMerge/>
            <w:tcBorders>
              <w:top w:val="nil"/>
            </w:tcBorders>
            <w:shd w:val="clear" w:color="auto" w:fill="D7D7D7"/>
          </w:tcPr>
          <w:p>
            <w:pPr>
              <w:rPr>
                <w:sz w:val="2"/>
                <w:szCs w:val="2"/>
              </w:rPr>
            </w:pPr>
          </w:p>
        </w:tc>
        <w:tc>
          <w:tcPr>
            <w:tcW w:w="1387" w:type="dxa"/>
            <w:shd w:val="clear" w:color="auto" w:fill="D7D7D7"/>
          </w:tcPr>
          <w:p>
            <w:pPr>
              <w:pStyle w:val="TableParagraph"/>
              <w:spacing w:before="99"/>
              <w:ind w:left="173" w:firstLine="317"/>
              <w:rPr>
                <w:b/>
                <w:sz w:val="18"/>
              </w:rPr>
            </w:pPr>
            <w:r>
              <w:rPr>
                <w:b/>
                <w:spacing w:val="-4"/>
                <w:sz w:val="18"/>
              </w:rPr>
              <w:t>Meta </w:t>
            </w:r>
            <w:r>
              <w:rPr>
                <w:b/>
                <w:spacing w:val="-2"/>
                <w:sz w:val="18"/>
              </w:rPr>
              <w:t>programada</w:t>
            </w:r>
          </w:p>
        </w:tc>
        <w:tc>
          <w:tcPr>
            <w:tcW w:w="1315" w:type="dxa"/>
            <w:shd w:val="clear" w:color="auto" w:fill="D7D7D7"/>
          </w:tcPr>
          <w:p>
            <w:pPr>
              <w:pStyle w:val="TableParagraph"/>
              <w:spacing w:before="200"/>
              <w:ind w:left="9"/>
              <w:jc w:val="center"/>
              <w:rPr>
                <w:b/>
                <w:sz w:val="18"/>
              </w:rPr>
            </w:pPr>
            <w:r>
              <w:rPr>
                <w:b/>
                <w:spacing w:val="-10"/>
                <w:sz w:val="18"/>
              </w:rPr>
              <w:t>¢</w:t>
            </w:r>
          </w:p>
        </w:tc>
        <w:tc>
          <w:tcPr>
            <w:tcW w:w="1387" w:type="dxa"/>
            <w:shd w:val="clear" w:color="auto" w:fill="D7D7D7"/>
          </w:tcPr>
          <w:p>
            <w:pPr>
              <w:pStyle w:val="TableParagraph"/>
              <w:spacing w:before="99"/>
              <w:ind w:left="170" w:firstLine="316"/>
              <w:rPr>
                <w:b/>
                <w:sz w:val="18"/>
              </w:rPr>
            </w:pPr>
            <w:r>
              <w:rPr>
                <w:b/>
                <w:spacing w:val="-4"/>
                <w:sz w:val="18"/>
              </w:rPr>
              <w:t>Meta </w:t>
            </w:r>
            <w:r>
              <w:rPr>
                <w:b/>
                <w:spacing w:val="-2"/>
                <w:sz w:val="18"/>
              </w:rPr>
              <w:t>programada</w:t>
            </w:r>
          </w:p>
        </w:tc>
        <w:tc>
          <w:tcPr>
            <w:tcW w:w="1392" w:type="dxa"/>
            <w:shd w:val="clear" w:color="auto" w:fill="D7D7D7"/>
          </w:tcPr>
          <w:p>
            <w:pPr>
              <w:pStyle w:val="TableParagraph"/>
              <w:spacing w:before="200"/>
              <w:ind w:left="11"/>
              <w:jc w:val="center"/>
              <w:rPr>
                <w:b/>
                <w:sz w:val="18"/>
              </w:rPr>
            </w:pPr>
            <w:r>
              <w:rPr>
                <w:b/>
                <w:spacing w:val="-10"/>
                <w:sz w:val="18"/>
              </w:rPr>
              <w:t>¢</w:t>
            </w:r>
          </w:p>
        </w:tc>
        <w:tc>
          <w:tcPr>
            <w:tcW w:w="1512" w:type="dxa"/>
            <w:shd w:val="clear" w:color="auto" w:fill="D7D7D7"/>
          </w:tcPr>
          <w:p>
            <w:pPr>
              <w:pStyle w:val="TableParagraph"/>
              <w:spacing w:before="99"/>
              <w:ind w:left="233" w:firstLine="316"/>
              <w:rPr>
                <w:b/>
                <w:sz w:val="18"/>
              </w:rPr>
            </w:pPr>
            <w:r>
              <w:rPr>
                <w:b/>
                <w:spacing w:val="-4"/>
                <w:sz w:val="18"/>
              </w:rPr>
              <w:t>Meta </w:t>
            </w:r>
            <w:r>
              <w:rPr>
                <w:b/>
                <w:spacing w:val="-2"/>
                <w:sz w:val="18"/>
              </w:rPr>
              <w:t>programada</w:t>
            </w:r>
          </w:p>
        </w:tc>
        <w:tc>
          <w:tcPr>
            <w:tcW w:w="1364" w:type="dxa"/>
            <w:shd w:val="clear" w:color="auto" w:fill="D7D7D7"/>
          </w:tcPr>
          <w:p>
            <w:pPr>
              <w:pStyle w:val="TableParagraph"/>
              <w:spacing w:before="200"/>
              <w:ind w:left="55" w:right="42"/>
              <w:jc w:val="center"/>
              <w:rPr>
                <w:b/>
                <w:sz w:val="18"/>
              </w:rPr>
            </w:pPr>
            <w:r>
              <w:rPr>
                <w:b/>
                <w:spacing w:val="-10"/>
                <w:sz w:val="18"/>
              </w:rPr>
              <w:t>¢</w:t>
            </w:r>
          </w:p>
        </w:tc>
        <w:tc>
          <w:tcPr>
            <w:tcW w:w="1484" w:type="dxa"/>
            <w:shd w:val="clear" w:color="auto" w:fill="D7D7D7"/>
          </w:tcPr>
          <w:p>
            <w:pPr>
              <w:pStyle w:val="TableParagraph"/>
              <w:spacing w:before="99"/>
              <w:ind w:left="219" w:firstLine="317"/>
              <w:rPr>
                <w:b/>
                <w:sz w:val="18"/>
              </w:rPr>
            </w:pPr>
            <w:r>
              <w:rPr>
                <w:b/>
                <w:spacing w:val="-4"/>
                <w:sz w:val="18"/>
              </w:rPr>
              <w:t>Meta </w:t>
            </w:r>
            <w:r>
              <w:rPr>
                <w:b/>
                <w:spacing w:val="-2"/>
                <w:sz w:val="18"/>
              </w:rPr>
              <w:t>programada</w:t>
            </w:r>
          </w:p>
        </w:tc>
        <w:tc>
          <w:tcPr>
            <w:tcW w:w="1484" w:type="dxa"/>
            <w:shd w:val="clear" w:color="auto" w:fill="D7D7D7"/>
          </w:tcPr>
          <w:p>
            <w:pPr>
              <w:pStyle w:val="TableParagraph"/>
              <w:spacing w:before="200"/>
              <w:ind w:left="16"/>
              <w:jc w:val="center"/>
              <w:rPr>
                <w:b/>
                <w:sz w:val="18"/>
              </w:rPr>
            </w:pPr>
            <w:r>
              <w:rPr>
                <w:b/>
                <w:spacing w:val="-10"/>
                <w:sz w:val="18"/>
              </w:rPr>
              <w:t>¢</w:t>
            </w:r>
          </w:p>
        </w:tc>
      </w:tr>
      <w:tr>
        <w:trPr>
          <w:trHeight w:val="1450" w:hRule="atLeast"/>
        </w:trPr>
        <w:tc>
          <w:tcPr>
            <w:tcW w:w="1536" w:type="dxa"/>
          </w:tcPr>
          <w:p>
            <w:pPr>
              <w:pStyle w:val="TableParagraph"/>
              <w:ind w:left="72"/>
              <w:rPr>
                <w:b/>
                <w:sz w:val="18"/>
              </w:rPr>
            </w:pPr>
            <w:r>
              <w:rPr>
                <w:b/>
                <w:sz w:val="18"/>
              </w:rPr>
              <w:t>Actividad</w:t>
            </w:r>
            <w:r>
              <w:rPr>
                <w:b/>
                <w:spacing w:val="-13"/>
                <w:sz w:val="18"/>
              </w:rPr>
              <w:t> </w:t>
            </w:r>
            <w:r>
              <w:rPr>
                <w:b/>
                <w:sz w:val="18"/>
              </w:rPr>
              <w:t>PEC </w:t>
            </w:r>
            <w:r>
              <w:rPr>
                <w:b/>
                <w:spacing w:val="-2"/>
                <w:sz w:val="18"/>
              </w:rPr>
              <w:t>3.10.5:</w:t>
            </w:r>
          </w:p>
          <w:p>
            <w:pPr>
              <w:pStyle w:val="TableParagraph"/>
              <w:ind w:left="72"/>
              <w:rPr>
                <w:sz w:val="18"/>
              </w:rPr>
            </w:pPr>
            <w:r>
              <w:rPr>
                <w:sz w:val="18"/>
              </w:rPr>
              <w:t>Generación de utilidades</w:t>
            </w:r>
            <w:r>
              <w:rPr>
                <w:spacing w:val="-13"/>
                <w:sz w:val="18"/>
              </w:rPr>
              <w:t> </w:t>
            </w:r>
            <w:r>
              <w:rPr>
                <w:sz w:val="18"/>
              </w:rPr>
              <w:t>brutas en las tiendas libres de</w:t>
            </w:r>
          </w:p>
          <w:p>
            <w:pPr>
              <w:pStyle w:val="TableParagraph"/>
              <w:spacing w:line="187" w:lineRule="exact" w:before="1"/>
              <w:ind w:left="72"/>
              <w:rPr>
                <w:sz w:val="18"/>
              </w:rPr>
            </w:pPr>
            <w:r>
              <w:rPr>
                <w:spacing w:val="-2"/>
                <w:sz w:val="18"/>
              </w:rPr>
              <w:t>impuestos</w:t>
            </w:r>
          </w:p>
        </w:tc>
        <w:tc>
          <w:tcPr>
            <w:tcW w:w="1531" w:type="dxa"/>
          </w:tcPr>
          <w:p>
            <w:pPr>
              <w:pStyle w:val="TableParagraph"/>
              <w:spacing w:before="100"/>
              <w:ind w:left="67" w:right="73"/>
              <w:rPr>
                <w:sz w:val="18"/>
              </w:rPr>
            </w:pPr>
            <w:r>
              <w:rPr>
                <w:sz w:val="18"/>
              </w:rPr>
              <w:t>monto de</w:t>
            </w:r>
            <w:r>
              <w:rPr>
                <w:spacing w:val="40"/>
                <w:sz w:val="18"/>
              </w:rPr>
              <w:t> </w:t>
            </w:r>
            <w:r>
              <w:rPr>
                <w:sz w:val="18"/>
              </w:rPr>
              <w:t>colones</w:t>
            </w:r>
            <w:r>
              <w:rPr>
                <w:spacing w:val="-13"/>
                <w:sz w:val="18"/>
              </w:rPr>
              <w:t> </w:t>
            </w:r>
            <w:r>
              <w:rPr>
                <w:sz w:val="18"/>
              </w:rPr>
              <w:t>producto de las Utilidades Brutas en las tiendas libres de </w:t>
            </w:r>
            <w:r>
              <w:rPr>
                <w:spacing w:val="-2"/>
                <w:sz w:val="18"/>
              </w:rPr>
              <w:t>impuestos</w:t>
            </w:r>
          </w:p>
        </w:tc>
        <w:tc>
          <w:tcPr>
            <w:tcW w:w="1387" w:type="dxa"/>
          </w:tcPr>
          <w:p>
            <w:pPr>
              <w:pStyle w:val="TableParagraph"/>
              <w:rPr>
                <w:b/>
                <w:sz w:val="16"/>
              </w:rPr>
            </w:pPr>
          </w:p>
          <w:p>
            <w:pPr>
              <w:pStyle w:val="TableParagraph"/>
              <w:rPr>
                <w:b/>
                <w:sz w:val="16"/>
              </w:rPr>
            </w:pPr>
          </w:p>
          <w:p>
            <w:pPr>
              <w:pStyle w:val="TableParagraph"/>
              <w:spacing w:before="80"/>
              <w:rPr>
                <w:b/>
                <w:sz w:val="16"/>
              </w:rPr>
            </w:pPr>
          </w:p>
          <w:p>
            <w:pPr>
              <w:pStyle w:val="TableParagraph"/>
              <w:ind w:right="58"/>
              <w:jc w:val="right"/>
              <w:rPr>
                <w:sz w:val="16"/>
              </w:rPr>
            </w:pPr>
            <w:r>
              <w:rPr>
                <w:sz w:val="16"/>
              </w:rPr>
              <w:t>₡4</w:t>
            </w:r>
            <w:r>
              <w:rPr>
                <w:spacing w:val="-6"/>
                <w:sz w:val="16"/>
              </w:rPr>
              <w:t> </w:t>
            </w:r>
            <w:r>
              <w:rPr>
                <w:sz w:val="16"/>
              </w:rPr>
              <w:t>030</w:t>
            </w:r>
            <w:r>
              <w:rPr>
                <w:spacing w:val="-1"/>
                <w:sz w:val="16"/>
              </w:rPr>
              <w:t> </w:t>
            </w:r>
            <w:r>
              <w:rPr>
                <w:sz w:val="16"/>
              </w:rPr>
              <w:t>968</w:t>
            </w:r>
            <w:r>
              <w:rPr>
                <w:spacing w:val="-2"/>
                <w:sz w:val="16"/>
              </w:rPr>
              <w:t> </w:t>
            </w:r>
            <w:r>
              <w:rPr>
                <w:spacing w:val="-5"/>
                <w:sz w:val="16"/>
              </w:rPr>
              <w:t>127</w:t>
            </w:r>
          </w:p>
        </w:tc>
        <w:tc>
          <w:tcPr>
            <w:tcW w:w="1315" w:type="dxa"/>
          </w:tcPr>
          <w:p>
            <w:pPr>
              <w:pStyle w:val="TableParagraph"/>
              <w:rPr>
                <w:rFonts w:ascii="Times New Roman"/>
                <w:sz w:val="18"/>
              </w:rPr>
            </w:pPr>
          </w:p>
        </w:tc>
        <w:tc>
          <w:tcPr>
            <w:tcW w:w="1387" w:type="dxa"/>
          </w:tcPr>
          <w:p>
            <w:pPr>
              <w:pStyle w:val="TableParagraph"/>
              <w:rPr>
                <w:b/>
                <w:sz w:val="16"/>
              </w:rPr>
            </w:pPr>
          </w:p>
          <w:p>
            <w:pPr>
              <w:pStyle w:val="TableParagraph"/>
              <w:rPr>
                <w:b/>
                <w:sz w:val="16"/>
              </w:rPr>
            </w:pPr>
          </w:p>
          <w:p>
            <w:pPr>
              <w:pStyle w:val="TableParagraph"/>
              <w:spacing w:before="80"/>
              <w:rPr>
                <w:b/>
                <w:sz w:val="16"/>
              </w:rPr>
            </w:pPr>
          </w:p>
          <w:p>
            <w:pPr>
              <w:pStyle w:val="TableParagraph"/>
              <w:ind w:right="61"/>
              <w:jc w:val="right"/>
              <w:rPr>
                <w:sz w:val="16"/>
              </w:rPr>
            </w:pPr>
            <w:r>
              <w:rPr>
                <w:sz w:val="16"/>
              </w:rPr>
              <w:t>₡7</w:t>
            </w:r>
            <w:r>
              <w:rPr>
                <w:spacing w:val="-6"/>
                <w:sz w:val="16"/>
              </w:rPr>
              <w:t> </w:t>
            </w:r>
            <w:r>
              <w:rPr>
                <w:sz w:val="16"/>
              </w:rPr>
              <w:t>462</w:t>
            </w:r>
            <w:r>
              <w:rPr>
                <w:spacing w:val="-1"/>
                <w:sz w:val="16"/>
              </w:rPr>
              <w:t> </w:t>
            </w:r>
            <w:r>
              <w:rPr>
                <w:sz w:val="16"/>
              </w:rPr>
              <w:t>755</w:t>
            </w:r>
            <w:r>
              <w:rPr>
                <w:spacing w:val="-2"/>
                <w:sz w:val="16"/>
              </w:rPr>
              <w:t> </w:t>
            </w:r>
            <w:r>
              <w:rPr>
                <w:spacing w:val="-5"/>
                <w:sz w:val="16"/>
              </w:rPr>
              <w:t>790</w:t>
            </w:r>
          </w:p>
        </w:tc>
        <w:tc>
          <w:tcPr>
            <w:tcW w:w="1392" w:type="dxa"/>
          </w:tcPr>
          <w:p>
            <w:pPr>
              <w:pStyle w:val="TableParagraph"/>
              <w:rPr>
                <w:rFonts w:ascii="Times New Roman"/>
                <w:sz w:val="18"/>
              </w:rPr>
            </w:pPr>
          </w:p>
        </w:tc>
        <w:tc>
          <w:tcPr>
            <w:tcW w:w="1512" w:type="dxa"/>
          </w:tcPr>
          <w:p>
            <w:pPr>
              <w:pStyle w:val="TableParagraph"/>
              <w:rPr>
                <w:b/>
                <w:sz w:val="16"/>
              </w:rPr>
            </w:pPr>
          </w:p>
          <w:p>
            <w:pPr>
              <w:pStyle w:val="TableParagraph"/>
              <w:rPr>
                <w:b/>
                <w:sz w:val="16"/>
              </w:rPr>
            </w:pPr>
          </w:p>
          <w:p>
            <w:pPr>
              <w:pStyle w:val="TableParagraph"/>
              <w:spacing w:before="80"/>
              <w:rPr>
                <w:b/>
                <w:sz w:val="16"/>
              </w:rPr>
            </w:pPr>
          </w:p>
          <w:p>
            <w:pPr>
              <w:pStyle w:val="TableParagraph"/>
              <w:ind w:right="60"/>
              <w:jc w:val="right"/>
              <w:rPr>
                <w:sz w:val="16"/>
              </w:rPr>
            </w:pPr>
            <w:r>
              <w:rPr>
                <w:sz w:val="16"/>
              </w:rPr>
              <w:t>₡10</w:t>
            </w:r>
            <w:r>
              <w:rPr>
                <w:spacing w:val="-2"/>
                <w:sz w:val="16"/>
              </w:rPr>
              <w:t> </w:t>
            </w:r>
            <w:r>
              <w:rPr>
                <w:sz w:val="16"/>
              </w:rPr>
              <w:t>749</w:t>
            </w:r>
            <w:r>
              <w:rPr>
                <w:spacing w:val="-1"/>
                <w:sz w:val="16"/>
              </w:rPr>
              <w:t> </w:t>
            </w:r>
            <w:r>
              <w:rPr>
                <w:sz w:val="16"/>
              </w:rPr>
              <w:t>248</w:t>
            </w:r>
            <w:r>
              <w:rPr>
                <w:spacing w:val="-3"/>
                <w:sz w:val="16"/>
              </w:rPr>
              <w:t> </w:t>
            </w:r>
            <w:r>
              <w:rPr>
                <w:spacing w:val="-5"/>
                <w:sz w:val="16"/>
              </w:rPr>
              <w:t>338</w:t>
            </w:r>
          </w:p>
        </w:tc>
        <w:tc>
          <w:tcPr>
            <w:tcW w:w="1364" w:type="dxa"/>
          </w:tcPr>
          <w:p>
            <w:pPr>
              <w:pStyle w:val="TableParagraph"/>
              <w:rPr>
                <w:rFonts w:ascii="Times New Roman"/>
                <w:sz w:val="18"/>
              </w:rPr>
            </w:pPr>
          </w:p>
        </w:tc>
        <w:tc>
          <w:tcPr>
            <w:tcW w:w="1484" w:type="dxa"/>
          </w:tcPr>
          <w:p>
            <w:pPr>
              <w:pStyle w:val="TableParagraph"/>
              <w:rPr>
                <w:b/>
                <w:sz w:val="16"/>
              </w:rPr>
            </w:pPr>
          </w:p>
          <w:p>
            <w:pPr>
              <w:pStyle w:val="TableParagraph"/>
              <w:rPr>
                <w:b/>
                <w:sz w:val="16"/>
              </w:rPr>
            </w:pPr>
          </w:p>
          <w:p>
            <w:pPr>
              <w:pStyle w:val="TableParagraph"/>
              <w:spacing w:before="80"/>
              <w:rPr>
                <w:b/>
                <w:sz w:val="16"/>
              </w:rPr>
            </w:pPr>
          </w:p>
          <w:p>
            <w:pPr>
              <w:pStyle w:val="TableParagraph"/>
              <w:ind w:right="62"/>
              <w:jc w:val="right"/>
              <w:rPr>
                <w:sz w:val="16"/>
              </w:rPr>
            </w:pPr>
            <w:r>
              <w:rPr>
                <w:sz w:val="16"/>
              </w:rPr>
              <w:t>₡14</w:t>
            </w:r>
            <w:r>
              <w:rPr>
                <w:spacing w:val="-3"/>
                <w:sz w:val="16"/>
              </w:rPr>
              <w:t> </w:t>
            </w:r>
            <w:r>
              <w:rPr>
                <w:sz w:val="16"/>
              </w:rPr>
              <w:t>929</w:t>
            </w:r>
            <w:r>
              <w:rPr>
                <w:spacing w:val="-2"/>
                <w:sz w:val="16"/>
              </w:rPr>
              <w:t> </w:t>
            </w:r>
            <w:r>
              <w:rPr>
                <w:sz w:val="16"/>
              </w:rPr>
              <w:t>511</w:t>
            </w:r>
            <w:r>
              <w:rPr>
                <w:spacing w:val="-3"/>
                <w:sz w:val="16"/>
              </w:rPr>
              <w:t> </w:t>
            </w:r>
            <w:r>
              <w:rPr>
                <w:spacing w:val="-5"/>
                <w:sz w:val="16"/>
              </w:rPr>
              <w:t>580</w:t>
            </w:r>
          </w:p>
        </w:tc>
        <w:tc>
          <w:tcPr>
            <w:tcW w:w="1484" w:type="dxa"/>
          </w:tcPr>
          <w:p>
            <w:pPr>
              <w:pStyle w:val="TableParagraph"/>
              <w:rPr>
                <w:rFonts w:ascii="Times New Roman"/>
                <w:sz w:val="18"/>
              </w:rPr>
            </w:pPr>
          </w:p>
        </w:tc>
      </w:tr>
      <w:tr>
        <w:trPr>
          <w:trHeight w:val="1449" w:hRule="atLeast"/>
        </w:trPr>
        <w:tc>
          <w:tcPr>
            <w:tcW w:w="1536" w:type="dxa"/>
          </w:tcPr>
          <w:p>
            <w:pPr>
              <w:pStyle w:val="TableParagraph"/>
              <w:ind w:left="72"/>
              <w:rPr>
                <w:b/>
                <w:sz w:val="18"/>
              </w:rPr>
            </w:pPr>
            <w:r>
              <w:rPr>
                <w:b/>
                <w:sz w:val="18"/>
              </w:rPr>
              <w:t>Actividad</w:t>
            </w:r>
            <w:r>
              <w:rPr>
                <w:b/>
                <w:spacing w:val="-13"/>
                <w:sz w:val="18"/>
              </w:rPr>
              <w:t> </w:t>
            </w:r>
            <w:r>
              <w:rPr>
                <w:b/>
                <w:sz w:val="18"/>
              </w:rPr>
              <w:t>PEC </w:t>
            </w:r>
            <w:r>
              <w:rPr>
                <w:b/>
                <w:spacing w:val="-2"/>
                <w:sz w:val="18"/>
              </w:rPr>
              <w:t>3.10.6:</w:t>
            </w:r>
          </w:p>
          <w:p>
            <w:pPr>
              <w:pStyle w:val="TableParagraph"/>
              <w:ind w:left="72" w:right="123"/>
              <w:rPr>
                <w:sz w:val="18"/>
              </w:rPr>
            </w:pPr>
            <w:r>
              <w:rPr>
                <w:sz w:val="18"/>
              </w:rPr>
              <w:t>Generación de utilidades</w:t>
            </w:r>
            <w:r>
              <w:rPr>
                <w:spacing w:val="-13"/>
                <w:sz w:val="18"/>
              </w:rPr>
              <w:t> </w:t>
            </w:r>
            <w:r>
              <w:rPr>
                <w:sz w:val="18"/>
              </w:rPr>
              <w:t>Netas en las tiendas libres de</w:t>
            </w:r>
          </w:p>
          <w:p>
            <w:pPr>
              <w:pStyle w:val="TableParagraph"/>
              <w:spacing w:line="187" w:lineRule="exact" w:before="1"/>
              <w:ind w:left="72"/>
              <w:rPr>
                <w:sz w:val="18"/>
              </w:rPr>
            </w:pPr>
            <w:r>
              <w:rPr>
                <w:spacing w:val="-2"/>
                <w:sz w:val="18"/>
              </w:rPr>
              <w:t>impuestos</w:t>
            </w:r>
          </w:p>
        </w:tc>
        <w:tc>
          <w:tcPr>
            <w:tcW w:w="1531" w:type="dxa"/>
          </w:tcPr>
          <w:p>
            <w:pPr>
              <w:pStyle w:val="TableParagraph"/>
              <w:spacing w:before="99"/>
              <w:ind w:left="67" w:right="73"/>
              <w:rPr>
                <w:sz w:val="18"/>
              </w:rPr>
            </w:pPr>
            <w:r>
              <w:rPr>
                <w:sz w:val="18"/>
              </w:rPr>
              <w:t>monto de</w:t>
            </w:r>
            <w:r>
              <w:rPr>
                <w:spacing w:val="40"/>
                <w:sz w:val="18"/>
              </w:rPr>
              <w:t> </w:t>
            </w:r>
            <w:r>
              <w:rPr>
                <w:sz w:val="18"/>
              </w:rPr>
              <w:t>colones</w:t>
            </w:r>
            <w:r>
              <w:rPr>
                <w:spacing w:val="-13"/>
                <w:sz w:val="18"/>
              </w:rPr>
              <w:t> </w:t>
            </w:r>
            <w:r>
              <w:rPr>
                <w:sz w:val="18"/>
              </w:rPr>
              <w:t>producto de las Utilidades netas en las tiendas libres de </w:t>
            </w:r>
            <w:r>
              <w:rPr>
                <w:spacing w:val="-2"/>
                <w:sz w:val="18"/>
              </w:rPr>
              <w:t>impuestos</w:t>
            </w:r>
          </w:p>
        </w:tc>
        <w:tc>
          <w:tcPr>
            <w:tcW w:w="1387" w:type="dxa"/>
          </w:tcPr>
          <w:p>
            <w:pPr>
              <w:pStyle w:val="TableParagraph"/>
              <w:rPr>
                <w:b/>
                <w:sz w:val="16"/>
              </w:rPr>
            </w:pPr>
          </w:p>
          <w:p>
            <w:pPr>
              <w:pStyle w:val="TableParagraph"/>
              <w:rPr>
                <w:b/>
                <w:sz w:val="16"/>
              </w:rPr>
            </w:pPr>
          </w:p>
          <w:p>
            <w:pPr>
              <w:pStyle w:val="TableParagraph"/>
              <w:spacing w:before="80"/>
              <w:rPr>
                <w:b/>
                <w:sz w:val="16"/>
              </w:rPr>
            </w:pPr>
          </w:p>
          <w:p>
            <w:pPr>
              <w:pStyle w:val="TableParagraph"/>
              <w:ind w:right="57"/>
              <w:jc w:val="right"/>
              <w:rPr>
                <w:sz w:val="16"/>
              </w:rPr>
            </w:pPr>
            <w:r>
              <w:rPr>
                <w:sz w:val="16"/>
              </w:rPr>
              <w:t>₡8</w:t>
            </w:r>
            <w:r>
              <w:rPr>
                <w:spacing w:val="-6"/>
                <w:sz w:val="16"/>
              </w:rPr>
              <w:t> </w:t>
            </w:r>
            <w:r>
              <w:rPr>
                <w:sz w:val="16"/>
              </w:rPr>
              <w:t>708</w:t>
            </w:r>
            <w:r>
              <w:rPr>
                <w:spacing w:val="-1"/>
                <w:sz w:val="16"/>
              </w:rPr>
              <w:t> </w:t>
            </w:r>
            <w:r>
              <w:rPr>
                <w:spacing w:val="-5"/>
                <w:sz w:val="16"/>
              </w:rPr>
              <w:t>833</w:t>
            </w:r>
          </w:p>
        </w:tc>
        <w:tc>
          <w:tcPr>
            <w:tcW w:w="1315" w:type="dxa"/>
          </w:tcPr>
          <w:p>
            <w:pPr>
              <w:pStyle w:val="TableParagraph"/>
              <w:rPr>
                <w:rFonts w:ascii="Times New Roman"/>
                <w:sz w:val="18"/>
              </w:rPr>
            </w:pPr>
          </w:p>
        </w:tc>
        <w:tc>
          <w:tcPr>
            <w:tcW w:w="1387" w:type="dxa"/>
          </w:tcPr>
          <w:p>
            <w:pPr>
              <w:pStyle w:val="TableParagraph"/>
              <w:rPr>
                <w:b/>
                <w:sz w:val="16"/>
              </w:rPr>
            </w:pPr>
          </w:p>
          <w:p>
            <w:pPr>
              <w:pStyle w:val="TableParagraph"/>
              <w:rPr>
                <w:b/>
                <w:sz w:val="16"/>
              </w:rPr>
            </w:pPr>
          </w:p>
          <w:p>
            <w:pPr>
              <w:pStyle w:val="TableParagraph"/>
              <w:spacing w:before="80"/>
              <w:rPr>
                <w:b/>
                <w:sz w:val="16"/>
              </w:rPr>
            </w:pPr>
          </w:p>
          <w:p>
            <w:pPr>
              <w:pStyle w:val="TableParagraph"/>
              <w:ind w:right="61"/>
              <w:jc w:val="right"/>
              <w:rPr>
                <w:sz w:val="16"/>
              </w:rPr>
            </w:pPr>
            <w:r>
              <w:rPr>
                <w:sz w:val="16"/>
              </w:rPr>
              <w:t>₡1</w:t>
            </w:r>
            <w:r>
              <w:rPr>
                <w:spacing w:val="-6"/>
                <w:sz w:val="16"/>
              </w:rPr>
              <w:t> </w:t>
            </w:r>
            <w:r>
              <w:rPr>
                <w:sz w:val="16"/>
              </w:rPr>
              <w:t>612</w:t>
            </w:r>
            <w:r>
              <w:rPr>
                <w:spacing w:val="-1"/>
                <w:sz w:val="16"/>
              </w:rPr>
              <w:t> </w:t>
            </w:r>
            <w:r>
              <w:rPr>
                <w:sz w:val="16"/>
              </w:rPr>
              <w:t>746</w:t>
            </w:r>
            <w:r>
              <w:rPr>
                <w:spacing w:val="-2"/>
                <w:sz w:val="16"/>
              </w:rPr>
              <w:t> </w:t>
            </w:r>
            <w:r>
              <w:rPr>
                <w:spacing w:val="-5"/>
                <w:sz w:val="16"/>
              </w:rPr>
              <w:t>909</w:t>
            </w:r>
          </w:p>
        </w:tc>
        <w:tc>
          <w:tcPr>
            <w:tcW w:w="1392" w:type="dxa"/>
          </w:tcPr>
          <w:p>
            <w:pPr>
              <w:pStyle w:val="TableParagraph"/>
              <w:rPr>
                <w:rFonts w:ascii="Times New Roman"/>
                <w:sz w:val="18"/>
              </w:rPr>
            </w:pPr>
          </w:p>
        </w:tc>
        <w:tc>
          <w:tcPr>
            <w:tcW w:w="1512" w:type="dxa"/>
          </w:tcPr>
          <w:p>
            <w:pPr>
              <w:pStyle w:val="TableParagraph"/>
              <w:rPr>
                <w:b/>
                <w:sz w:val="16"/>
              </w:rPr>
            </w:pPr>
          </w:p>
          <w:p>
            <w:pPr>
              <w:pStyle w:val="TableParagraph"/>
              <w:rPr>
                <w:b/>
                <w:sz w:val="16"/>
              </w:rPr>
            </w:pPr>
          </w:p>
          <w:p>
            <w:pPr>
              <w:pStyle w:val="TableParagraph"/>
              <w:spacing w:before="80"/>
              <w:rPr>
                <w:b/>
                <w:sz w:val="16"/>
              </w:rPr>
            </w:pPr>
          </w:p>
          <w:p>
            <w:pPr>
              <w:pStyle w:val="TableParagraph"/>
              <w:ind w:right="60"/>
              <w:jc w:val="right"/>
              <w:rPr>
                <w:sz w:val="16"/>
              </w:rPr>
            </w:pPr>
            <w:r>
              <w:rPr>
                <w:sz w:val="16"/>
              </w:rPr>
              <w:t>₡2</w:t>
            </w:r>
            <w:r>
              <w:rPr>
                <w:spacing w:val="-6"/>
                <w:sz w:val="16"/>
              </w:rPr>
              <w:t> </w:t>
            </w:r>
            <w:r>
              <w:rPr>
                <w:sz w:val="16"/>
              </w:rPr>
              <w:t>322</w:t>
            </w:r>
            <w:r>
              <w:rPr>
                <w:spacing w:val="-1"/>
                <w:sz w:val="16"/>
              </w:rPr>
              <w:t> </w:t>
            </w:r>
            <w:r>
              <w:rPr>
                <w:sz w:val="16"/>
              </w:rPr>
              <w:t>355</w:t>
            </w:r>
            <w:r>
              <w:rPr>
                <w:spacing w:val="-2"/>
                <w:sz w:val="16"/>
              </w:rPr>
              <w:t> </w:t>
            </w:r>
            <w:r>
              <w:rPr>
                <w:spacing w:val="-5"/>
                <w:sz w:val="16"/>
              </w:rPr>
              <w:t>549</w:t>
            </w:r>
          </w:p>
        </w:tc>
        <w:tc>
          <w:tcPr>
            <w:tcW w:w="1364" w:type="dxa"/>
          </w:tcPr>
          <w:p>
            <w:pPr>
              <w:pStyle w:val="TableParagraph"/>
              <w:rPr>
                <w:rFonts w:ascii="Times New Roman"/>
                <w:sz w:val="18"/>
              </w:rPr>
            </w:pPr>
          </w:p>
        </w:tc>
        <w:tc>
          <w:tcPr>
            <w:tcW w:w="1484" w:type="dxa"/>
          </w:tcPr>
          <w:p>
            <w:pPr>
              <w:pStyle w:val="TableParagraph"/>
              <w:rPr>
                <w:b/>
                <w:sz w:val="16"/>
              </w:rPr>
            </w:pPr>
          </w:p>
          <w:p>
            <w:pPr>
              <w:pStyle w:val="TableParagraph"/>
              <w:rPr>
                <w:b/>
                <w:sz w:val="16"/>
              </w:rPr>
            </w:pPr>
          </w:p>
          <w:p>
            <w:pPr>
              <w:pStyle w:val="TableParagraph"/>
              <w:spacing w:before="80"/>
              <w:rPr>
                <w:b/>
                <w:sz w:val="16"/>
              </w:rPr>
            </w:pPr>
          </w:p>
          <w:p>
            <w:pPr>
              <w:pStyle w:val="TableParagraph"/>
              <w:ind w:right="61"/>
              <w:jc w:val="right"/>
              <w:rPr>
                <w:sz w:val="16"/>
              </w:rPr>
            </w:pPr>
            <w:r>
              <w:rPr>
                <w:sz w:val="16"/>
              </w:rPr>
              <w:t>₡3</w:t>
            </w:r>
            <w:r>
              <w:rPr>
                <w:spacing w:val="-6"/>
                <w:sz w:val="16"/>
              </w:rPr>
              <w:t> </w:t>
            </w:r>
            <w:r>
              <w:rPr>
                <w:sz w:val="16"/>
              </w:rPr>
              <w:t>225</w:t>
            </w:r>
            <w:r>
              <w:rPr>
                <w:spacing w:val="-1"/>
                <w:sz w:val="16"/>
              </w:rPr>
              <w:t> </w:t>
            </w:r>
            <w:r>
              <w:rPr>
                <w:sz w:val="16"/>
              </w:rPr>
              <w:t>493</w:t>
            </w:r>
            <w:r>
              <w:rPr>
                <w:spacing w:val="-2"/>
                <w:sz w:val="16"/>
              </w:rPr>
              <w:t> </w:t>
            </w:r>
            <w:r>
              <w:rPr>
                <w:spacing w:val="-5"/>
                <w:sz w:val="16"/>
              </w:rPr>
              <w:t>818</w:t>
            </w:r>
          </w:p>
        </w:tc>
        <w:tc>
          <w:tcPr>
            <w:tcW w:w="1484" w:type="dxa"/>
          </w:tcPr>
          <w:p>
            <w:pPr>
              <w:pStyle w:val="TableParagraph"/>
              <w:rPr>
                <w:rFonts w:ascii="Times New Roman"/>
                <w:sz w:val="18"/>
              </w:rPr>
            </w:pPr>
          </w:p>
        </w:tc>
      </w:tr>
      <w:tr>
        <w:trPr>
          <w:trHeight w:val="2688" w:hRule="atLeast"/>
        </w:trPr>
        <w:tc>
          <w:tcPr>
            <w:tcW w:w="1536" w:type="dxa"/>
          </w:tcPr>
          <w:p>
            <w:pPr>
              <w:pStyle w:val="TableParagraph"/>
              <w:ind w:left="72" w:right="80"/>
              <w:rPr>
                <w:sz w:val="18"/>
              </w:rPr>
            </w:pPr>
            <w:r>
              <w:rPr>
                <w:b/>
                <w:sz w:val="18"/>
              </w:rPr>
              <w:t>Actividad PEC 3.10.7:</w:t>
            </w:r>
            <w:r>
              <w:rPr>
                <w:b/>
                <w:spacing w:val="-15"/>
                <w:sz w:val="18"/>
              </w:rPr>
              <w:t> </w:t>
            </w:r>
            <w:r>
              <w:rPr>
                <w:sz w:val="18"/>
              </w:rPr>
              <w:t>Valorar</w:t>
            </w:r>
            <w:r>
              <w:rPr>
                <w:spacing w:val="-12"/>
                <w:sz w:val="18"/>
              </w:rPr>
              <w:t> </w:t>
            </w:r>
            <w:r>
              <w:rPr>
                <w:sz w:val="18"/>
              </w:rPr>
              <w:t>la incorporación en las tiendas de </w:t>
            </w:r>
            <w:r>
              <w:rPr>
                <w:spacing w:val="-2"/>
                <w:sz w:val="18"/>
              </w:rPr>
              <w:t>nuevos</w:t>
            </w:r>
            <w:r>
              <w:rPr>
                <w:spacing w:val="40"/>
                <w:sz w:val="18"/>
              </w:rPr>
              <w:t> </w:t>
            </w:r>
            <w:r>
              <w:rPr>
                <w:spacing w:val="-2"/>
                <w:sz w:val="18"/>
              </w:rPr>
              <w:t>productos </w:t>
            </w:r>
            <w:r>
              <w:rPr>
                <w:sz w:val="18"/>
              </w:rPr>
              <w:t>provenientes de proyectos de </w:t>
            </w:r>
            <w:r>
              <w:rPr>
                <w:spacing w:val="-2"/>
                <w:sz w:val="18"/>
              </w:rPr>
              <w:t>microempresario </w:t>
            </w:r>
            <w:r>
              <w:rPr>
                <w:sz w:val="18"/>
              </w:rPr>
              <w:t>s incorporados en la estrategia de atención</w:t>
            </w:r>
          </w:p>
          <w:p>
            <w:pPr>
              <w:pStyle w:val="TableParagraph"/>
              <w:spacing w:line="186" w:lineRule="exact"/>
              <w:ind w:left="72"/>
              <w:rPr>
                <w:sz w:val="18"/>
              </w:rPr>
            </w:pPr>
            <w:r>
              <w:rPr>
                <w:sz w:val="18"/>
              </w:rPr>
              <w:t>"IMAS</w:t>
            </w:r>
            <w:r>
              <w:rPr>
                <w:spacing w:val="-1"/>
                <w:sz w:val="18"/>
              </w:rPr>
              <w:t> </w:t>
            </w:r>
            <w:r>
              <w:rPr>
                <w:spacing w:val="-2"/>
                <w:sz w:val="18"/>
              </w:rPr>
              <w:t>impulsa"</w:t>
            </w:r>
          </w:p>
        </w:tc>
        <w:tc>
          <w:tcPr>
            <w:tcW w:w="153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7" w:right="86"/>
              <w:rPr>
                <w:sz w:val="18"/>
              </w:rPr>
            </w:pPr>
            <w:r>
              <w:rPr>
                <w:sz w:val="18"/>
              </w:rPr>
              <w:t>Cantidad de proyectos de </w:t>
            </w:r>
            <w:r>
              <w:rPr>
                <w:spacing w:val="-2"/>
                <w:sz w:val="18"/>
              </w:rPr>
              <w:t>microempresario </w:t>
            </w:r>
            <w:r>
              <w:rPr>
                <w:sz w:val="18"/>
              </w:rPr>
              <w:t>s valorados</w:t>
            </w: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2"/>
              <w:jc w:val="right"/>
              <w:rPr>
                <w:sz w:val="18"/>
              </w:rPr>
            </w:pPr>
            <w:r>
              <w:rPr>
                <w:spacing w:val="-10"/>
                <w:sz w:val="18"/>
              </w:rPr>
              <w:t>6</w:t>
            </w:r>
          </w:p>
        </w:tc>
        <w:tc>
          <w:tcPr>
            <w:tcW w:w="1315" w:type="dxa"/>
          </w:tcPr>
          <w:p>
            <w:pPr>
              <w:pStyle w:val="TableParagraph"/>
              <w:rPr>
                <w:rFonts w:ascii="Times New Roman"/>
                <w:sz w:val="18"/>
              </w:rPr>
            </w:pP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8"/>
              <w:jc w:val="right"/>
              <w:rPr>
                <w:sz w:val="18"/>
              </w:rPr>
            </w:pPr>
            <w:r>
              <w:rPr>
                <w:spacing w:val="-5"/>
                <w:sz w:val="18"/>
              </w:rPr>
              <w:t>12</w:t>
            </w:r>
          </w:p>
        </w:tc>
        <w:tc>
          <w:tcPr>
            <w:tcW w:w="1392" w:type="dxa"/>
          </w:tcPr>
          <w:p>
            <w:pPr>
              <w:pStyle w:val="TableParagraph"/>
              <w:rPr>
                <w:rFonts w:ascii="Times New Roman"/>
                <w:sz w:val="18"/>
              </w:rPr>
            </w:pPr>
          </w:p>
        </w:tc>
        <w:tc>
          <w:tcPr>
            <w:tcW w:w="151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6"/>
              <w:jc w:val="right"/>
              <w:rPr>
                <w:sz w:val="18"/>
              </w:rPr>
            </w:pPr>
            <w:r>
              <w:rPr>
                <w:spacing w:val="-5"/>
                <w:sz w:val="18"/>
              </w:rPr>
              <w:t>18</w:t>
            </w:r>
          </w:p>
        </w:tc>
        <w:tc>
          <w:tcPr>
            <w:tcW w:w="1364" w:type="dxa"/>
          </w:tcPr>
          <w:p>
            <w:pPr>
              <w:pStyle w:val="TableParagraph"/>
              <w:rPr>
                <w:rFonts w:ascii="Times New Roman"/>
                <w:sz w:val="18"/>
              </w:rPr>
            </w:pPr>
          </w:p>
        </w:tc>
        <w:tc>
          <w:tcPr>
            <w:tcW w:w="148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spacing w:before="1"/>
              <w:ind w:right="57"/>
              <w:jc w:val="right"/>
              <w:rPr>
                <w:sz w:val="18"/>
              </w:rPr>
            </w:pPr>
            <w:r>
              <w:rPr>
                <w:spacing w:val="-5"/>
                <w:sz w:val="18"/>
              </w:rPr>
              <w:t>24</w:t>
            </w:r>
          </w:p>
        </w:tc>
        <w:tc>
          <w:tcPr>
            <w:tcW w:w="1484" w:type="dxa"/>
          </w:tcPr>
          <w:p>
            <w:pPr>
              <w:pStyle w:val="TableParagraph"/>
              <w:rPr>
                <w:rFonts w:ascii="Times New Roman"/>
                <w:sz w:val="18"/>
              </w:rPr>
            </w:pPr>
          </w:p>
        </w:tc>
      </w:tr>
      <w:tr>
        <w:trPr>
          <w:trHeight w:val="2074" w:hRule="atLeast"/>
        </w:trPr>
        <w:tc>
          <w:tcPr>
            <w:tcW w:w="1536" w:type="dxa"/>
          </w:tcPr>
          <w:p>
            <w:pPr>
              <w:pStyle w:val="TableParagraph"/>
              <w:ind w:left="72" w:right="63"/>
              <w:rPr>
                <w:sz w:val="18"/>
              </w:rPr>
            </w:pPr>
            <w:r>
              <w:rPr>
                <w:b/>
                <w:sz w:val="18"/>
              </w:rPr>
              <w:t>Actividad PEC 3.10.8: </w:t>
            </w:r>
            <w:r>
              <w:rPr>
                <w:sz w:val="18"/>
              </w:rPr>
              <w:t>Ejecutar </w:t>
            </w:r>
            <w:r>
              <w:rPr>
                <w:spacing w:val="-4"/>
                <w:sz w:val="18"/>
              </w:rPr>
              <w:t>los </w:t>
            </w:r>
            <w:r>
              <w:rPr>
                <w:spacing w:val="-2"/>
                <w:sz w:val="18"/>
              </w:rPr>
              <w:t>Mantenimientos </w:t>
            </w:r>
            <w:r>
              <w:rPr>
                <w:sz w:val="18"/>
              </w:rPr>
              <w:t>programados en las</w:t>
            </w:r>
            <w:r>
              <w:rPr>
                <w:spacing w:val="-13"/>
                <w:sz w:val="18"/>
              </w:rPr>
              <w:t> </w:t>
            </w:r>
            <w:r>
              <w:rPr>
                <w:sz w:val="18"/>
              </w:rPr>
              <w:t>tiendas</w:t>
            </w:r>
            <w:r>
              <w:rPr>
                <w:spacing w:val="-12"/>
                <w:sz w:val="18"/>
              </w:rPr>
              <w:t> </w:t>
            </w:r>
            <w:r>
              <w:rPr>
                <w:sz w:val="18"/>
              </w:rPr>
              <w:t>AIJS, AIDO</w:t>
            </w:r>
            <w:r>
              <w:rPr>
                <w:spacing w:val="-11"/>
                <w:sz w:val="18"/>
              </w:rPr>
              <w:t> </w:t>
            </w:r>
            <w:r>
              <w:rPr>
                <w:sz w:val="18"/>
              </w:rPr>
              <w:t>y</w:t>
            </w:r>
            <w:r>
              <w:rPr>
                <w:spacing w:val="-13"/>
                <w:sz w:val="18"/>
              </w:rPr>
              <w:t> </w:t>
            </w:r>
            <w:r>
              <w:rPr>
                <w:sz w:val="18"/>
              </w:rPr>
              <w:t>Edificio</w:t>
            </w:r>
            <w:r>
              <w:rPr>
                <w:spacing w:val="-12"/>
                <w:sz w:val="18"/>
              </w:rPr>
              <w:t> </w:t>
            </w:r>
            <w:r>
              <w:rPr>
                <w:sz w:val="18"/>
              </w:rPr>
              <w:t>y </w:t>
            </w:r>
            <w:r>
              <w:rPr>
                <w:spacing w:val="-2"/>
                <w:sz w:val="18"/>
              </w:rPr>
              <w:t>oficinas</w:t>
            </w:r>
          </w:p>
          <w:p>
            <w:pPr>
              <w:pStyle w:val="TableParagraph"/>
              <w:spacing w:line="206" w:lineRule="exact"/>
              <w:ind w:left="72"/>
              <w:rPr>
                <w:sz w:val="18"/>
              </w:rPr>
            </w:pPr>
            <w:r>
              <w:rPr>
                <w:spacing w:val="-2"/>
                <w:sz w:val="18"/>
              </w:rPr>
              <w:t>Administrativas (1.08.01)</w:t>
            </w:r>
          </w:p>
        </w:tc>
        <w:tc>
          <w:tcPr>
            <w:tcW w:w="1531" w:type="dxa"/>
          </w:tcPr>
          <w:p>
            <w:pPr>
              <w:pStyle w:val="TableParagraph"/>
              <w:rPr>
                <w:b/>
                <w:sz w:val="18"/>
              </w:rPr>
            </w:pPr>
          </w:p>
          <w:p>
            <w:pPr>
              <w:pStyle w:val="TableParagraph"/>
              <w:rPr>
                <w:b/>
                <w:sz w:val="18"/>
              </w:rPr>
            </w:pPr>
          </w:p>
          <w:p>
            <w:pPr>
              <w:pStyle w:val="TableParagraph"/>
              <w:spacing w:before="103"/>
              <w:rPr>
                <w:b/>
                <w:sz w:val="18"/>
              </w:rPr>
            </w:pPr>
          </w:p>
          <w:p>
            <w:pPr>
              <w:pStyle w:val="TableParagraph"/>
              <w:spacing w:line="242" w:lineRule="auto"/>
              <w:ind w:left="67"/>
              <w:rPr>
                <w:sz w:val="18"/>
              </w:rPr>
            </w:pPr>
            <w:r>
              <w:rPr>
                <w:sz w:val="18"/>
              </w:rPr>
              <w:t>Porcentaje de ejecución de </w:t>
            </w:r>
            <w:r>
              <w:rPr>
                <w:spacing w:val="-2"/>
                <w:sz w:val="18"/>
              </w:rPr>
              <w:t>mantenimientos</w:t>
            </w: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4"/>
              <w:jc w:val="right"/>
              <w:rPr>
                <w:sz w:val="18"/>
              </w:rPr>
            </w:pPr>
            <w:r>
              <w:rPr>
                <w:spacing w:val="-5"/>
                <w:sz w:val="18"/>
              </w:rPr>
              <w:t>50%</w:t>
            </w:r>
          </w:p>
        </w:tc>
        <w:tc>
          <w:tcPr>
            <w:tcW w:w="1392" w:type="dxa"/>
          </w:tcPr>
          <w:p>
            <w:pPr>
              <w:pStyle w:val="TableParagraph"/>
              <w:rPr>
                <w:rFonts w:ascii="Times New Roman"/>
                <w:sz w:val="18"/>
              </w:rPr>
            </w:pPr>
          </w:p>
        </w:tc>
        <w:tc>
          <w:tcPr>
            <w:tcW w:w="151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3"/>
              <w:jc w:val="right"/>
              <w:rPr>
                <w:sz w:val="18"/>
              </w:rPr>
            </w:pPr>
            <w:r>
              <w:rPr>
                <w:spacing w:val="-4"/>
                <w:sz w:val="18"/>
              </w:rPr>
              <w:t>100%</w:t>
            </w:r>
          </w:p>
        </w:tc>
        <w:tc>
          <w:tcPr>
            <w:tcW w:w="136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63"/>
              <w:rPr>
                <w:sz w:val="18"/>
              </w:rPr>
            </w:pPr>
            <w:r>
              <w:rPr>
                <w:sz w:val="18"/>
              </w:rPr>
              <w:t>₡60</w:t>
            </w:r>
            <w:r>
              <w:rPr>
                <w:spacing w:val="1"/>
                <w:sz w:val="18"/>
              </w:rPr>
              <w:t> </w:t>
            </w:r>
            <w:r>
              <w:rPr>
                <w:sz w:val="18"/>
              </w:rPr>
              <w:t>000</w:t>
            </w:r>
            <w:r>
              <w:rPr>
                <w:spacing w:val="-3"/>
                <w:sz w:val="18"/>
              </w:rPr>
              <w:t> </w:t>
            </w:r>
            <w:r>
              <w:rPr>
                <w:spacing w:val="-5"/>
                <w:sz w:val="18"/>
              </w:rPr>
              <w:t>000</w:t>
            </w: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742"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6"/>
        <w:gridCol w:w="1531"/>
        <w:gridCol w:w="1387"/>
        <w:gridCol w:w="1315"/>
        <w:gridCol w:w="1387"/>
        <w:gridCol w:w="1392"/>
        <w:gridCol w:w="1512"/>
        <w:gridCol w:w="1364"/>
        <w:gridCol w:w="1484"/>
        <w:gridCol w:w="1484"/>
      </w:tblGrid>
      <w:tr>
        <w:trPr>
          <w:trHeight w:val="302" w:hRule="atLeast"/>
        </w:trPr>
        <w:tc>
          <w:tcPr>
            <w:tcW w:w="1536" w:type="dxa"/>
            <w:vMerge w:val="restart"/>
            <w:shd w:val="clear" w:color="auto" w:fill="D7D7D7"/>
          </w:tcPr>
          <w:p>
            <w:pPr>
              <w:pStyle w:val="TableParagraph"/>
              <w:spacing w:before="46"/>
              <w:rPr>
                <w:b/>
                <w:sz w:val="18"/>
              </w:rPr>
            </w:pPr>
          </w:p>
          <w:p>
            <w:pPr>
              <w:pStyle w:val="TableParagraph"/>
              <w:ind w:left="283" w:firstLine="24"/>
              <w:rPr>
                <w:b/>
                <w:sz w:val="18"/>
              </w:rPr>
            </w:pPr>
            <w:r>
              <w:rPr>
                <w:b/>
                <w:sz w:val="18"/>
              </w:rPr>
              <w:t>Objetivos</w:t>
            </w:r>
            <w:r>
              <w:rPr>
                <w:b/>
                <w:spacing w:val="-7"/>
                <w:sz w:val="18"/>
              </w:rPr>
              <w:t> </w:t>
            </w:r>
            <w:r>
              <w:rPr>
                <w:b/>
                <w:sz w:val="18"/>
              </w:rPr>
              <w:t>/ </w:t>
            </w:r>
            <w:r>
              <w:rPr>
                <w:b/>
                <w:spacing w:val="-2"/>
                <w:sz w:val="18"/>
              </w:rPr>
              <w:t>Resultados</w:t>
            </w:r>
          </w:p>
        </w:tc>
        <w:tc>
          <w:tcPr>
            <w:tcW w:w="1531" w:type="dxa"/>
            <w:vMerge w:val="restart"/>
            <w:shd w:val="clear" w:color="auto" w:fill="D7D7D7"/>
          </w:tcPr>
          <w:p>
            <w:pPr>
              <w:pStyle w:val="TableParagraph"/>
              <w:spacing w:before="151"/>
              <w:rPr>
                <w:b/>
                <w:sz w:val="18"/>
              </w:rPr>
            </w:pPr>
          </w:p>
          <w:p>
            <w:pPr>
              <w:pStyle w:val="TableParagraph"/>
              <w:spacing w:before="1"/>
              <w:ind w:left="355"/>
              <w:rPr>
                <w:b/>
                <w:sz w:val="18"/>
              </w:rPr>
            </w:pPr>
            <w:r>
              <w:rPr>
                <w:b/>
                <w:spacing w:val="-2"/>
                <w:sz w:val="18"/>
              </w:rPr>
              <w:t>Indicador</w:t>
            </w:r>
          </w:p>
        </w:tc>
        <w:tc>
          <w:tcPr>
            <w:tcW w:w="2702" w:type="dxa"/>
            <w:gridSpan w:val="2"/>
            <w:shd w:val="clear" w:color="auto" w:fill="D7D7D7"/>
          </w:tcPr>
          <w:p>
            <w:pPr>
              <w:pStyle w:val="TableParagraph"/>
              <w:spacing w:before="47"/>
              <w:ind w:left="889"/>
              <w:rPr>
                <w:b/>
                <w:sz w:val="18"/>
              </w:rPr>
            </w:pPr>
            <w:r>
              <w:rPr>
                <w:b/>
                <w:sz w:val="18"/>
              </w:rPr>
              <w:t>I</w:t>
            </w:r>
            <w:r>
              <w:rPr>
                <w:b/>
                <w:spacing w:val="-1"/>
                <w:sz w:val="18"/>
              </w:rPr>
              <w:t> </w:t>
            </w:r>
            <w:r>
              <w:rPr>
                <w:b/>
                <w:spacing w:val="-2"/>
                <w:sz w:val="18"/>
              </w:rPr>
              <w:t>Trimestre</w:t>
            </w:r>
          </w:p>
        </w:tc>
        <w:tc>
          <w:tcPr>
            <w:tcW w:w="2779" w:type="dxa"/>
            <w:gridSpan w:val="2"/>
            <w:shd w:val="clear" w:color="auto" w:fill="D7D7D7"/>
          </w:tcPr>
          <w:p>
            <w:pPr>
              <w:pStyle w:val="TableParagraph"/>
              <w:spacing w:before="47"/>
              <w:ind w:left="904"/>
              <w:rPr>
                <w:b/>
                <w:sz w:val="18"/>
              </w:rPr>
            </w:pPr>
            <w:r>
              <w:rPr>
                <w:b/>
                <w:sz w:val="18"/>
              </w:rPr>
              <w:t>II</w:t>
            </w:r>
            <w:r>
              <w:rPr>
                <w:b/>
                <w:spacing w:val="-3"/>
                <w:sz w:val="18"/>
              </w:rPr>
              <w:t> </w:t>
            </w:r>
            <w:r>
              <w:rPr>
                <w:b/>
                <w:spacing w:val="-2"/>
                <w:sz w:val="18"/>
              </w:rPr>
              <w:t>Trimestre</w:t>
            </w:r>
          </w:p>
        </w:tc>
        <w:tc>
          <w:tcPr>
            <w:tcW w:w="2876" w:type="dxa"/>
            <w:gridSpan w:val="2"/>
            <w:shd w:val="clear" w:color="auto" w:fill="D7D7D7"/>
          </w:tcPr>
          <w:p>
            <w:pPr>
              <w:pStyle w:val="TableParagraph"/>
              <w:spacing w:before="47"/>
              <w:ind w:left="925"/>
              <w:rPr>
                <w:b/>
                <w:sz w:val="18"/>
              </w:rPr>
            </w:pPr>
            <w:r>
              <w:rPr>
                <w:b/>
                <w:sz w:val="18"/>
              </w:rPr>
              <w:t>III</w:t>
            </w:r>
            <w:r>
              <w:rPr>
                <w:b/>
                <w:spacing w:val="-2"/>
                <w:sz w:val="18"/>
              </w:rPr>
              <w:t> Trimestre</w:t>
            </w:r>
          </w:p>
        </w:tc>
        <w:tc>
          <w:tcPr>
            <w:tcW w:w="2968" w:type="dxa"/>
            <w:gridSpan w:val="2"/>
            <w:shd w:val="clear" w:color="auto" w:fill="D7D7D7"/>
          </w:tcPr>
          <w:p>
            <w:pPr>
              <w:pStyle w:val="TableParagraph"/>
              <w:spacing w:before="47"/>
              <w:ind w:left="963"/>
              <w:rPr>
                <w:b/>
                <w:sz w:val="18"/>
              </w:rPr>
            </w:pPr>
            <w:r>
              <w:rPr>
                <w:b/>
                <w:sz w:val="18"/>
              </w:rPr>
              <w:t>IV</w:t>
            </w:r>
            <w:r>
              <w:rPr>
                <w:b/>
                <w:spacing w:val="-2"/>
                <w:sz w:val="18"/>
              </w:rPr>
              <w:t> Trimestre</w:t>
            </w:r>
          </w:p>
        </w:tc>
      </w:tr>
      <w:tr>
        <w:trPr>
          <w:trHeight w:val="613" w:hRule="atLeast"/>
        </w:trPr>
        <w:tc>
          <w:tcPr>
            <w:tcW w:w="1536" w:type="dxa"/>
            <w:vMerge/>
            <w:tcBorders>
              <w:top w:val="nil"/>
            </w:tcBorders>
            <w:shd w:val="clear" w:color="auto" w:fill="D7D7D7"/>
          </w:tcPr>
          <w:p>
            <w:pPr>
              <w:rPr>
                <w:sz w:val="2"/>
                <w:szCs w:val="2"/>
              </w:rPr>
            </w:pPr>
          </w:p>
        </w:tc>
        <w:tc>
          <w:tcPr>
            <w:tcW w:w="1531" w:type="dxa"/>
            <w:vMerge/>
            <w:tcBorders>
              <w:top w:val="nil"/>
            </w:tcBorders>
            <w:shd w:val="clear" w:color="auto" w:fill="D7D7D7"/>
          </w:tcPr>
          <w:p>
            <w:pPr>
              <w:rPr>
                <w:sz w:val="2"/>
                <w:szCs w:val="2"/>
              </w:rPr>
            </w:pPr>
          </w:p>
        </w:tc>
        <w:tc>
          <w:tcPr>
            <w:tcW w:w="1387" w:type="dxa"/>
            <w:shd w:val="clear" w:color="auto" w:fill="D7D7D7"/>
          </w:tcPr>
          <w:p>
            <w:pPr>
              <w:pStyle w:val="TableParagraph"/>
              <w:spacing w:before="99"/>
              <w:ind w:left="173" w:firstLine="317"/>
              <w:rPr>
                <w:b/>
                <w:sz w:val="18"/>
              </w:rPr>
            </w:pPr>
            <w:r>
              <w:rPr>
                <w:b/>
                <w:spacing w:val="-4"/>
                <w:sz w:val="18"/>
              </w:rPr>
              <w:t>Meta </w:t>
            </w:r>
            <w:r>
              <w:rPr>
                <w:b/>
                <w:spacing w:val="-2"/>
                <w:sz w:val="18"/>
              </w:rPr>
              <w:t>programada</w:t>
            </w:r>
          </w:p>
        </w:tc>
        <w:tc>
          <w:tcPr>
            <w:tcW w:w="1315" w:type="dxa"/>
            <w:shd w:val="clear" w:color="auto" w:fill="D7D7D7"/>
          </w:tcPr>
          <w:p>
            <w:pPr>
              <w:pStyle w:val="TableParagraph"/>
              <w:spacing w:before="200"/>
              <w:ind w:left="9"/>
              <w:jc w:val="center"/>
              <w:rPr>
                <w:b/>
                <w:sz w:val="18"/>
              </w:rPr>
            </w:pPr>
            <w:r>
              <w:rPr>
                <w:b/>
                <w:spacing w:val="-10"/>
                <w:sz w:val="18"/>
              </w:rPr>
              <w:t>¢</w:t>
            </w:r>
          </w:p>
        </w:tc>
        <w:tc>
          <w:tcPr>
            <w:tcW w:w="1387" w:type="dxa"/>
            <w:shd w:val="clear" w:color="auto" w:fill="D7D7D7"/>
          </w:tcPr>
          <w:p>
            <w:pPr>
              <w:pStyle w:val="TableParagraph"/>
              <w:spacing w:before="99"/>
              <w:ind w:left="170" w:firstLine="316"/>
              <w:rPr>
                <w:b/>
                <w:sz w:val="18"/>
              </w:rPr>
            </w:pPr>
            <w:r>
              <w:rPr>
                <w:b/>
                <w:spacing w:val="-4"/>
                <w:sz w:val="18"/>
              </w:rPr>
              <w:t>Meta </w:t>
            </w:r>
            <w:r>
              <w:rPr>
                <w:b/>
                <w:spacing w:val="-2"/>
                <w:sz w:val="18"/>
              </w:rPr>
              <w:t>programada</w:t>
            </w:r>
          </w:p>
        </w:tc>
        <w:tc>
          <w:tcPr>
            <w:tcW w:w="1392" w:type="dxa"/>
            <w:shd w:val="clear" w:color="auto" w:fill="D7D7D7"/>
          </w:tcPr>
          <w:p>
            <w:pPr>
              <w:pStyle w:val="TableParagraph"/>
              <w:spacing w:before="200"/>
              <w:ind w:left="11"/>
              <w:jc w:val="center"/>
              <w:rPr>
                <w:b/>
                <w:sz w:val="18"/>
              </w:rPr>
            </w:pPr>
            <w:r>
              <w:rPr>
                <w:b/>
                <w:spacing w:val="-10"/>
                <w:sz w:val="18"/>
              </w:rPr>
              <w:t>¢</w:t>
            </w:r>
          </w:p>
        </w:tc>
        <w:tc>
          <w:tcPr>
            <w:tcW w:w="1512" w:type="dxa"/>
            <w:shd w:val="clear" w:color="auto" w:fill="D7D7D7"/>
          </w:tcPr>
          <w:p>
            <w:pPr>
              <w:pStyle w:val="TableParagraph"/>
              <w:spacing w:before="99"/>
              <w:ind w:left="233" w:firstLine="316"/>
              <w:rPr>
                <w:b/>
                <w:sz w:val="18"/>
              </w:rPr>
            </w:pPr>
            <w:r>
              <w:rPr>
                <w:b/>
                <w:spacing w:val="-4"/>
                <w:sz w:val="18"/>
              </w:rPr>
              <w:t>Meta </w:t>
            </w:r>
            <w:r>
              <w:rPr>
                <w:b/>
                <w:spacing w:val="-2"/>
                <w:sz w:val="18"/>
              </w:rPr>
              <w:t>programada</w:t>
            </w:r>
          </w:p>
        </w:tc>
        <w:tc>
          <w:tcPr>
            <w:tcW w:w="1364" w:type="dxa"/>
            <w:shd w:val="clear" w:color="auto" w:fill="D7D7D7"/>
          </w:tcPr>
          <w:p>
            <w:pPr>
              <w:pStyle w:val="TableParagraph"/>
              <w:spacing w:before="200"/>
              <w:ind w:left="55" w:right="42"/>
              <w:jc w:val="center"/>
              <w:rPr>
                <w:b/>
                <w:sz w:val="18"/>
              </w:rPr>
            </w:pPr>
            <w:r>
              <w:rPr>
                <w:b/>
                <w:spacing w:val="-10"/>
                <w:sz w:val="18"/>
              </w:rPr>
              <w:t>¢</w:t>
            </w:r>
          </w:p>
        </w:tc>
        <w:tc>
          <w:tcPr>
            <w:tcW w:w="1484" w:type="dxa"/>
            <w:shd w:val="clear" w:color="auto" w:fill="D7D7D7"/>
          </w:tcPr>
          <w:p>
            <w:pPr>
              <w:pStyle w:val="TableParagraph"/>
              <w:spacing w:before="99"/>
              <w:ind w:left="219" w:firstLine="317"/>
              <w:rPr>
                <w:b/>
                <w:sz w:val="18"/>
              </w:rPr>
            </w:pPr>
            <w:r>
              <w:rPr>
                <w:b/>
                <w:spacing w:val="-4"/>
                <w:sz w:val="18"/>
              </w:rPr>
              <w:t>Meta </w:t>
            </w:r>
            <w:r>
              <w:rPr>
                <w:b/>
                <w:spacing w:val="-2"/>
                <w:sz w:val="18"/>
              </w:rPr>
              <w:t>programada</w:t>
            </w:r>
          </w:p>
        </w:tc>
        <w:tc>
          <w:tcPr>
            <w:tcW w:w="1484" w:type="dxa"/>
            <w:shd w:val="clear" w:color="auto" w:fill="D7D7D7"/>
          </w:tcPr>
          <w:p>
            <w:pPr>
              <w:pStyle w:val="TableParagraph"/>
              <w:spacing w:before="200"/>
              <w:ind w:left="16"/>
              <w:jc w:val="center"/>
              <w:rPr>
                <w:b/>
                <w:sz w:val="18"/>
              </w:rPr>
            </w:pPr>
            <w:r>
              <w:rPr>
                <w:b/>
                <w:spacing w:val="-10"/>
                <w:sz w:val="18"/>
              </w:rPr>
              <w:t>¢</w:t>
            </w:r>
          </w:p>
        </w:tc>
      </w:tr>
      <w:tr>
        <w:trPr>
          <w:trHeight w:val="537" w:hRule="atLeast"/>
        </w:trPr>
        <w:tc>
          <w:tcPr>
            <w:tcW w:w="14392" w:type="dxa"/>
            <w:gridSpan w:val="10"/>
            <w:shd w:val="clear" w:color="auto" w:fill="EFF8F9"/>
          </w:tcPr>
          <w:p>
            <w:pPr>
              <w:pStyle w:val="TableParagraph"/>
              <w:spacing w:before="167"/>
              <w:ind w:left="72"/>
              <w:rPr>
                <w:b/>
                <w:sz w:val="18"/>
              </w:rPr>
            </w:pPr>
            <w:r>
              <w:rPr>
                <w:b/>
                <w:sz w:val="18"/>
              </w:rPr>
              <w:t>Producto</w:t>
            </w:r>
            <w:r>
              <w:rPr>
                <w:b/>
                <w:spacing w:val="-9"/>
                <w:sz w:val="18"/>
              </w:rPr>
              <w:t> </w:t>
            </w:r>
            <w:r>
              <w:rPr>
                <w:b/>
                <w:sz w:val="18"/>
              </w:rPr>
              <w:t>PEC</w:t>
            </w:r>
            <w:r>
              <w:rPr>
                <w:b/>
                <w:spacing w:val="-10"/>
                <w:sz w:val="18"/>
              </w:rPr>
              <w:t> </w:t>
            </w:r>
            <w:r>
              <w:rPr>
                <w:b/>
                <w:sz w:val="18"/>
              </w:rPr>
              <w:t>3.11:</w:t>
            </w:r>
            <w:r>
              <w:rPr>
                <w:b/>
                <w:spacing w:val="-6"/>
                <w:sz w:val="18"/>
              </w:rPr>
              <w:t> </w:t>
            </w:r>
            <w:r>
              <w:rPr>
                <w:b/>
                <w:sz w:val="18"/>
              </w:rPr>
              <w:t>Ejecución</w:t>
            </w:r>
            <w:r>
              <w:rPr>
                <w:b/>
                <w:spacing w:val="-4"/>
                <w:sz w:val="18"/>
              </w:rPr>
              <w:t> </w:t>
            </w:r>
            <w:r>
              <w:rPr>
                <w:b/>
                <w:sz w:val="18"/>
              </w:rPr>
              <w:t>de</w:t>
            </w:r>
            <w:r>
              <w:rPr>
                <w:b/>
                <w:spacing w:val="-8"/>
                <w:sz w:val="18"/>
              </w:rPr>
              <w:t> </w:t>
            </w:r>
            <w:r>
              <w:rPr>
                <w:b/>
                <w:sz w:val="18"/>
              </w:rPr>
              <w:t>acciones</w:t>
            </w:r>
            <w:r>
              <w:rPr>
                <w:b/>
                <w:spacing w:val="-7"/>
                <w:sz w:val="18"/>
              </w:rPr>
              <w:t> </w:t>
            </w:r>
            <w:r>
              <w:rPr>
                <w:b/>
                <w:sz w:val="18"/>
              </w:rPr>
              <w:t>administrativas</w:t>
            </w:r>
            <w:r>
              <w:rPr>
                <w:b/>
                <w:spacing w:val="-4"/>
                <w:sz w:val="18"/>
              </w:rPr>
              <w:t> </w:t>
            </w:r>
            <w:r>
              <w:rPr>
                <w:b/>
                <w:sz w:val="18"/>
              </w:rPr>
              <w:t>necesarias</w:t>
            </w:r>
            <w:r>
              <w:rPr>
                <w:b/>
                <w:spacing w:val="-8"/>
                <w:sz w:val="18"/>
              </w:rPr>
              <w:t> </w:t>
            </w:r>
            <w:r>
              <w:rPr>
                <w:b/>
                <w:sz w:val="18"/>
              </w:rPr>
              <w:t>para</w:t>
            </w:r>
            <w:r>
              <w:rPr>
                <w:b/>
                <w:spacing w:val="-8"/>
                <w:sz w:val="18"/>
              </w:rPr>
              <w:t> </w:t>
            </w:r>
            <w:r>
              <w:rPr>
                <w:b/>
                <w:sz w:val="18"/>
              </w:rPr>
              <w:t>operación</w:t>
            </w:r>
            <w:r>
              <w:rPr>
                <w:b/>
                <w:spacing w:val="-4"/>
                <w:sz w:val="18"/>
              </w:rPr>
              <w:t> </w:t>
            </w:r>
            <w:r>
              <w:rPr>
                <w:b/>
                <w:sz w:val="18"/>
              </w:rPr>
              <w:t>del</w:t>
            </w:r>
            <w:r>
              <w:rPr>
                <w:b/>
                <w:spacing w:val="-6"/>
                <w:sz w:val="18"/>
              </w:rPr>
              <w:t> </w:t>
            </w:r>
            <w:r>
              <w:rPr>
                <w:b/>
                <w:spacing w:val="-2"/>
                <w:sz w:val="18"/>
              </w:rPr>
              <w:t>negocio</w:t>
            </w:r>
          </w:p>
        </w:tc>
      </w:tr>
      <w:tr>
        <w:trPr>
          <w:trHeight w:val="1656" w:hRule="atLeast"/>
        </w:trPr>
        <w:tc>
          <w:tcPr>
            <w:tcW w:w="1536" w:type="dxa"/>
          </w:tcPr>
          <w:p>
            <w:pPr>
              <w:pStyle w:val="TableParagraph"/>
              <w:spacing w:line="206" w:lineRule="exact"/>
              <w:ind w:left="72"/>
              <w:rPr>
                <w:b/>
                <w:sz w:val="18"/>
              </w:rPr>
            </w:pPr>
            <w:r>
              <w:rPr>
                <w:b/>
                <w:sz w:val="18"/>
              </w:rPr>
              <w:t>Actividad</w:t>
            </w:r>
            <w:r>
              <w:rPr>
                <w:b/>
                <w:spacing w:val="-6"/>
                <w:sz w:val="18"/>
              </w:rPr>
              <w:t> </w:t>
            </w:r>
            <w:r>
              <w:rPr>
                <w:b/>
                <w:spacing w:val="-5"/>
                <w:sz w:val="18"/>
              </w:rPr>
              <w:t>PEC</w:t>
            </w:r>
          </w:p>
          <w:p>
            <w:pPr>
              <w:pStyle w:val="TableParagraph"/>
              <w:spacing w:before="4"/>
              <w:ind w:left="72" w:right="55"/>
              <w:rPr>
                <w:sz w:val="18"/>
              </w:rPr>
            </w:pPr>
            <w:r>
              <w:rPr>
                <w:b/>
                <w:sz w:val="18"/>
              </w:rPr>
              <w:t>3.11.1</w:t>
            </w:r>
            <w:r>
              <w:rPr>
                <w:sz w:val="18"/>
              </w:rPr>
              <w:t>: Preparar </w:t>
            </w:r>
            <w:r>
              <w:rPr>
                <w:spacing w:val="-6"/>
                <w:sz w:val="18"/>
              </w:rPr>
              <w:t>la</w:t>
            </w:r>
            <w:r>
              <w:rPr>
                <w:spacing w:val="80"/>
                <w:sz w:val="18"/>
              </w:rPr>
              <w:t> </w:t>
            </w:r>
            <w:r>
              <w:rPr>
                <w:spacing w:val="-2"/>
                <w:sz w:val="18"/>
              </w:rPr>
              <w:t>documentación </w:t>
            </w:r>
            <w:r>
              <w:rPr>
                <w:sz w:val="18"/>
              </w:rPr>
              <w:t>necesaria</w:t>
            </w:r>
            <w:r>
              <w:rPr>
                <w:spacing w:val="-10"/>
                <w:sz w:val="18"/>
              </w:rPr>
              <w:t> </w:t>
            </w:r>
            <w:r>
              <w:rPr>
                <w:sz w:val="18"/>
              </w:rPr>
              <w:t>para</w:t>
            </w:r>
            <w:r>
              <w:rPr>
                <w:spacing w:val="-13"/>
                <w:sz w:val="18"/>
              </w:rPr>
              <w:t> </w:t>
            </w:r>
            <w:r>
              <w:rPr>
                <w:sz w:val="18"/>
              </w:rPr>
              <w:t>la contratación de Auditoría</w:t>
            </w:r>
            <w:r>
              <w:rPr>
                <w:spacing w:val="-13"/>
                <w:sz w:val="18"/>
              </w:rPr>
              <w:t> </w:t>
            </w:r>
            <w:r>
              <w:rPr>
                <w:sz w:val="18"/>
              </w:rPr>
              <w:t>Extern</w:t>
            </w:r>
            <w:r>
              <w:rPr>
                <w:sz w:val="18"/>
              </w:rPr>
              <w:t>a</w:t>
            </w:r>
          </w:p>
          <w:p>
            <w:pPr>
              <w:pStyle w:val="TableParagraph"/>
              <w:spacing w:line="184" w:lineRule="exact"/>
              <w:ind w:left="72"/>
              <w:rPr>
                <w:sz w:val="18"/>
              </w:rPr>
            </w:pPr>
            <w:r>
              <w:rPr>
                <w:sz w:val="18"/>
              </w:rPr>
              <w:t>(Partida</w:t>
            </w:r>
            <w:r>
              <w:rPr>
                <w:spacing w:val="-2"/>
                <w:sz w:val="18"/>
              </w:rPr>
              <w:t> 1.04.04)</w:t>
            </w:r>
          </w:p>
        </w:tc>
        <w:tc>
          <w:tcPr>
            <w:tcW w:w="1531" w:type="dxa"/>
          </w:tcPr>
          <w:p>
            <w:pPr>
              <w:pStyle w:val="TableParagraph"/>
              <w:rPr>
                <w:b/>
                <w:sz w:val="18"/>
              </w:rPr>
            </w:pPr>
          </w:p>
          <w:p>
            <w:pPr>
              <w:pStyle w:val="TableParagraph"/>
              <w:spacing w:before="2"/>
              <w:rPr>
                <w:b/>
                <w:sz w:val="18"/>
              </w:rPr>
            </w:pPr>
          </w:p>
          <w:p>
            <w:pPr>
              <w:pStyle w:val="TableParagraph"/>
              <w:ind w:left="67" w:right="42"/>
              <w:rPr>
                <w:sz w:val="18"/>
              </w:rPr>
            </w:pPr>
            <w:r>
              <w:rPr>
                <w:sz w:val="18"/>
              </w:rPr>
              <w:t>% de avance en la</w:t>
            </w:r>
            <w:r>
              <w:rPr>
                <w:spacing w:val="-3"/>
                <w:sz w:val="18"/>
              </w:rPr>
              <w:t> </w:t>
            </w:r>
            <w:r>
              <w:rPr>
                <w:sz w:val="18"/>
              </w:rPr>
              <w:t>solicitud</w:t>
            </w:r>
            <w:r>
              <w:rPr>
                <w:spacing w:val="-7"/>
                <w:sz w:val="18"/>
              </w:rPr>
              <w:t> </w:t>
            </w:r>
            <w:r>
              <w:rPr>
                <w:sz w:val="18"/>
              </w:rPr>
              <w:t>de</w:t>
            </w:r>
            <w:r>
              <w:rPr>
                <w:spacing w:val="-3"/>
                <w:sz w:val="18"/>
              </w:rPr>
              <w:t> </w:t>
            </w:r>
            <w:r>
              <w:rPr>
                <w:sz w:val="18"/>
              </w:rPr>
              <w:t>los servicios de Auditoría</w:t>
            </w:r>
            <w:r>
              <w:rPr>
                <w:spacing w:val="-13"/>
                <w:sz w:val="18"/>
              </w:rPr>
              <w:t> </w:t>
            </w:r>
            <w:r>
              <w:rPr>
                <w:sz w:val="18"/>
              </w:rPr>
              <w:t>Externa</w:t>
            </w:r>
          </w:p>
        </w:tc>
        <w:tc>
          <w:tcPr>
            <w:tcW w:w="138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860"/>
              <w:rPr>
                <w:sz w:val="18"/>
              </w:rPr>
            </w:pPr>
            <w:r>
              <w:rPr>
                <w:spacing w:val="-4"/>
                <w:sz w:val="18"/>
              </w:rPr>
              <w:t>100%</w:t>
            </w: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91"/>
              <w:rPr>
                <w:sz w:val="18"/>
              </w:rPr>
            </w:pPr>
            <w:r>
              <w:rPr>
                <w:sz w:val="18"/>
              </w:rPr>
              <w:t>₡15</w:t>
            </w:r>
            <w:r>
              <w:rPr>
                <w:spacing w:val="1"/>
                <w:sz w:val="18"/>
              </w:rPr>
              <w:t> </w:t>
            </w:r>
            <w:r>
              <w:rPr>
                <w:sz w:val="18"/>
              </w:rPr>
              <w:t>000</w:t>
            </w:r>
            <w:r>
              <w:rPr>
                <w:spacing w:val="-3"/>
                <w:sz w:val="18"/>
              </w:rPr>
              <w:t> </w:t>
            </w:r>
            <w:r>
              <w:rPr>
                <w:spacing w:val="-5"/>
                <w:sz w:val="18"/>
              </w:rPr>
              <w:t>000</w:t>
            </w: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r>
        <w:trPr>
          <w:trHeight w:val="2487" w:hRule="atLeast"/>
        </w:trPr>
        <w:tc>
          <w:tcPr>
            <w:tcW w:w="1536" w:type="dxa"/>
          </w:tcPr>
          <w:p>
            <w:pPr>
              <w:pStyle w:val="TableParagraph"/>
              <w:spacing w:before="3"/>
              <w:ind w:left="72"/>
              <w:rPr>
                <w:b/>
                <w:sz w:val="18"/>
              </w:rPr>
            </w:pPr>
            <w:r>
              <w:rPr>
                <w:b/>
                <w:sz w:val="18"/>
              </w:rPr>
              <w:t>Actividad</w:t>
            </w:r>
            <w:r>
              <w:rPr>
                <w:b/>
                <w:spacing w:val="-6"/>
                <w:sz w:val="18"/>
              </w:rPr>
              <w:t> </w:t>
            </w:r>
            <w:r>
              <w:rPr>
                <w:b/>
                <w:spacing w:val="-5"/>
                <w:sz w:val="18"/>
              </w:rPr>
              <w:t>PEC</w:t>
            </w:r>
          </w:p>
          <w:p>
            <w:pPr>
              <w:pStyle w:val="TableParagraph"/>
              <w:ind w:left="72"/>
              <w:rPr>
                <w:sz w:val="18"/>
              </w:rPr>
            </w:pPr>
            <w:r>
              <w:rPr>
                <w:b/>
                <w:sz w:val="18"/>
              </w:rPr>
              <w:t>3.11.2</w:t>
            </w:r>
            <w:r>
              <w:rPr>
                <w:sz w:val="18"/>
              </w:rPr>
              <w:t>:</w:t>
            </w:r>
            <w:r>
              <w:rPr>
                <w:spacing w:val="-13"/>
                <w:sz w:val="18"/>
              </w:rPr>
              <w:t> </w:t>
            </w:r>
            <w:r>
              <w:rPr>
                <w:sz w:val="18"/>
              </w:rPr>
              <w:t>Atención de la acción</w:t>
            </w:r>
          </w:p>
          <w:p>
            <w:pPr>
              <w:pStyle w:val="TableParagraph"/>
              <w:ind w:left="72" w:right="106"/>
              <w:rPr>
                <w:sz w:val="18"/>
              </w:rPr>
            </w:pPr>
            <w:r>
              <w:rPr>
                <w:sz w:val="18"/>
              </w:rPr>
              <w:t>2.3.1.3 de la PIGI</w:t>
            </w:r>
            <w:r>
              <w:rPr>
                <w:spacing w:val="-13"/>
                <w:sz w:val="18"/>
              </w:rPr>
              <w:t> </w:t>
            </w:r>
            <w:r>
              <w:rPr>
                <w:sz w:val="18"/>
              </w:rPr>
              <w:t>relacionada con la inclusión de temas de prevención y atención de la discriminación u </w:t>
            </w:r>
            <w:r>
              <w:rPr>
                <w:spacing w:val="-2"/>
                <w:sz w:val="18"/>
              </w:rPr>
              <w:t>hostigamiento</w:t>
            </w:r>
          </w:p>
          <w:p>
            <w:pPr>
              <w:pStyle w:val="TableParagraph"/>
              <w:spacing w:line="187" w:lineRule="exact"/>
              <w:ind w:left="72"/>
              <w:rPr>
                <w:sz w:val="18"/>
              </w:rPr>
            </w:pPr>
            <w:r>
              <w:rPr>
                <w:spacing w:val="-2"/>
                <w:sz w:val="18"/>
              </w:rPr>
              <w:t>sexual</w:t>
            </w:r>
          </w:p>
        </w:tc>
        <w:tc>
          <w:tcPr>
            <w:tcW w:w="1531"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67" w:right="123"/>
              <w:rPr>
                <w:sz w:val="18"/>
              </w:rPr>
            </w:pPr>
            <w:r>
              <w:rPr>
                <w:sz w:val="18"/>
              </w:rPr>
              <w:t>%</w:t>
            </w:r>
            <w:r>
              <w:rPr>
                <w:spacing w:val="-10"/>
                <w:sz w:val="18"/>
              </w:rPr>
              <w:t> </w:t>
            </w:r>
            <w:r>
              <w:rPr>
                <w:sz w:val="18"/>
              </w:rPr>
              <w:t>de</w:t>
            </w:r>
            <w:r>
              <w:rPr>
                <w:spacing w:val="-11"/>
                <w:sz w:val="18"/>
              </w:rPr>
              <w:t> </w:t>
            </w:r>
            <w:r>
              <w:rPr>
                <w:sz w:val="18"/>
              </w:rPr>
              <w:t>avance</w:t>
            </w:r>
            <w:r>
              <w:rPr>
                <w:spacing w:val="-13"/>
                <w:sz w:val="18"/>
              </w:rPr>
              <w:t> </w:t>
            </w:r>
            <w:r>
              <w:rPr>
                <w:sz w:val="18"/>
              </w:rPr>
              <w:t>en la rotulación de las tiendas y </w:t>
            </w:r>
            <w:r>
              <w:rPr>
                <w:spacing w:val="-2"/>
                <w:sz w:val="18"/>
              </w:rPr>
              <w:t>campaña </w:t>
            </w:r>
            <w:r>
              <w:rPr>
                <w:sz w:val="18"/>
              </w:rPr>
              <w:t>informativa en redes sociales</w:t>
            </w: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right="53"/>
              <w:jc w:val="right"/>
              <w:rPr>
                <w:sz w:val="18"/>
              </w:rPr>
            </w:pPr>
            <w:r>
              <w:rPr>
                <w:spacing w:val="-4"/>
                <w:sz w:val="18"/>
              </w:rPr>
              <w:t>100%</w:t>
            </w:r>
          </w:p>
        </w:tc>
        <w:tc>
          <w:tcPr>
            <w:tcW w:w="1364" w:type="dxa"/>
          </w:tcPr>
          <w:p>
            <w:pPr>
              <w:pStyle w:val="TableParagraph"/>
              <w:rPr>
                <w:rFonts w:ascii="Times New Roman"/>
                <w:sz w:val="18"/>
              </w:rPr>
            </w:pP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r>
        <w:trPr>
          <w:trHeight w:val="1656" w:hRule="atLeast"/>
        </w:trPr>
        <w:tc>
          <w:tcPr>
            <w:tcW w:w="1536" w:type="dxa"/>
          </w:tcPr>
          <w:p>
            <w:pPr>
              <w:pStyle w:val="TableParagraph"/>
              <w:spacing w:line="206" w:lineRule="exact"/>
              <w:ind w:left="72"/>
              <w:rPr>
                <w:b/>
                <w:sz w:val="18"/>
              </w:rPr>
            </w:pPr>
            <w:r>
              <w:rPr>
                <w:b/>
                <w:sz w:val="18"/>
              </w:rPr>
              <w:t>Actividad</w:t>
            </w:r>
            <w:r>
              <w:rPr>
                <w:b/>
                <w:spacing w:val="-6"/>
                <w:sz w:val="18"/>
              </w:rPr>
              <w:t> </w:t>
            </w:r>
            <w:r>
              <w:rPr>
                <w:b/>
                <w:spacing w:val="-5"/>
                <w:sz w:val="18"/>
              </w:rPr>
              <w:t>PEC</w:t>
            </w:r>
          </w:p>
          <w:p>
            <w:pPr>
              <w:pStyle w:val="TableParagraph"/>
              <w:ind w:left="72" w:right="123"/>
              <w:rPr>
                <w:sz w:val="18"/>
              </w:rPr>
            </w:pPr>
            <w:r>
              <w:rPr>
                <w:b/>
                <w:sz w:val="18"/>
              </w:rPr>
              <w:t>3.11.3: </w:t>
            </w:r>
            <w:r>
              <w:rPr>
                <w:sz w:val="18"/>
              </w:rPr>
              <w:t>Realizar compras de </w:t>
            </w:r>
            <w:r>
              <w:rPr>
                <w:spacing w:val="-2"/>
                <w:sz w:val="18"/>
              </w:rPr>
              <w:t>equipo </w:t>
            </w:r>
            <w:r>
              <w:rPr>
                <w:sz w:val="18"/>
              </w:rPr>
              <w:t>necesarias</w:t>
            </w:r>
            <w:r>
              <w:rPr>
                <w:spacing w:val="-2"/>
                <w:sz w:val="18"/>
              </w:rPr>
              <w:t> </w:t>
            </w:r>
            <w:r>
              <w:rPr>
                <w:sz w:val="18"/>
              </w:rPr>
              <w:t>para la operación del negocio</w:t>
            </w:r>
            <w:r>
              <w:rPr>
                <w:spacing w:val="-13"/>
                <w:sz w:val="18"/>
              </w:rPr>
              <w:t> </w:t>
            </w:r>
            <w:r>
              <w:rPr>
                <w:sz w:val="18"/>
              </w:rPr>
              <w:t>(Partida</w:t>
            </w:r>
          </w:p>
          <w:p>
            <w:pPr>
              <w:pStyle w:val="TableParagraph"/>
              <w:spacing w:line="187" w:lineRule="exact" w:before="2"/>
              <w:ind w:left="72"/>
              <w:rPr>
                <w:sz w:val="18"/>
              </w:rPr>
            </w:pPr>
            <w:r>
              <w:rPr>
                <w:spacing w:val="-2"/>
                <w:sz w:val="18"/>
              </w:rPr>
              <w:t>5.01.05)</w:t>
            </w:r>
          </w:p>
        </w:tc>
        <w:tc>
          <w:tcPr>
            <w:tcW w:w="1531" w:type="dxa"/>
          </w:tcPr>
          <w:p>
            <w:pPr>
              <w:pStyle w:val="TableParagraph"/>
              <w:rPr>
                <w:b/>
                <w:sz w:val="18"/>
              </w:rPr>
            </w:pPr>
          </w:p>
          <w:p>
            <w:pPr>
              <w:pStyle w:val="TableParagraph"/>
              <w:spacing w:before="103"/>
              <w:rPr>
                <w:b/>
                <w:sz w:val="18"/>
              </w:rPr>
            </w:pPr>
          </w:p>
          <w:p>
            <w:pPr>
              <w:pStyle w:val="TableParagraph"/>
              <w:ind w:left="67" w:right="338"/>
              <w:jc w:val="both"/>
              <w:rPr>
                <w:sz w:val="18"/>
              </w:rPr>
            </w:pPr>
            <w:r>
              <w:rPr>
                <w:sz w:val="18"/>
              </w:rPr>
              <w:t>Porcentaje</w:t>
            </w:r>
            <w:r>
              <w:rPr>
                <w:spacing w:val="-13"/>
                <w:sz w:val="18"/>
              </w:rPr>
              <w:t> </w:t>
            </w:r>
            <w:r>
              <w:rPr>
                <w:sz w:val="18"/>
              </w:rPr>
              <w:t>de </w:t>
            </w:r>
            <w:r>
              <w:rPr>
                <w:spacing w:val="-2"/>
                <w:sz w:val="18"/>
              </w:rPr>
              <w:t>equipamiento adquirido</w:t>
            </w: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b/>
                <w:sz w:val="18"/>
              </w:rPr>
            </w:pPr>
          </w:p>
          <w:p>
            <w:pPr>
              <w:pStyle w:val="TableParagraph"/>
              <w:rPr>
                <w:b/>
                <w:sz w:val="18"/>
              </w:rPr>
            </w:pPr>
          </w:p>
          <w:p>
            <w:pPr>
              <w:pStyle w:val="TableParagraph"/>
              <w:spacing w:before="103"/>
              <w:rPr>
                <w:b/>
                <w:sz w:val="18"/>
              </w:rPr>
            </w:pPr>
          </w:p>
          <w:p>
            <w:pPr>
              <w:pStyle w:val="TableParagraph"/>
              <w:ind w:right="53"/>
              <w:jc w:val="right"/>
              <w:rPr>
                <w:sz w:val="18"/>
              </w:rPr>
            </w:pPr>
            <w:r>
              <w:rPr>
                <w:spacing w:val="-4"/>
                <w:sz w:val="18"/>
              </w:rPr>
              <w:t>100%</w:t>
            </w:r>
          </w:p>
        </w:tc>
        <w:tc>
          <w:tcPr>
            <w:tcW w:w="136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263"/>
              <w:rPr>
                <w:sz w:val="18"/>
              </w:rPr>
            </w:pPr>
            <w:r>
              <w:rPr>
                <w:sz w:val="18"/>
              </w:rPr>
              <w:t>₡55</w:t>
            </w:r>
            <w:r>
              <w:rPr>
                <w:spacing w:val="1"/>
                <w:sz w:val="18"/>
              </w:rPr>
              <w:t> </w:t>
            </w:r>
            <w:r>
              <w:rPr>
                <w:sz w:val="18"/>
              </w:rPr>
              <w:t>500</w:t>
            </w:r>
            <w:r>
              <w:rPr>
                <w:spacing w:val="-3"/>
                <w:sz w:val="18"/>
              </w:rPr>
              <w:t> </w:t>
            </w:r>
            <w:r>
              <w:rPr>
                <w:spacing w:val="-5"/>
                <w:sz w:val="18"/>
              </w:rPr>
              <w:t>000</w:t>
            </w: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r>
        <w:trPr>
          <w:trHeight w:val="1656" w:hRule="atLeast"/>
        </w:trPr>
        <w:tc>
          <w:tcPr>
            <w:tcW w:w="1536" w:type="dxa"/>
          </w:tcPr>
          <w:p>
            <w:pPr>
              <w:pStyle w:val="TableParagraph"/>
              <w:spacing w:line="206" w:lineRule="exact"/>
              <w:ind w:left="72"/>
              <w:rPr>
                <w:b/>
                <w:sz w:val="18"/>
              </w:rPr>
            </w:pPr>
            <w:r>
              <w:rPr>
                <w:b/>
                <w:sz w:val="18"/>
              </w:rPr>
              <w:t>Actividad</w:t>
            </w:r>
            <w:r>
              <w:rPr>
                <w:b/>
                <w:spacing w:val="-6"/>
                <w:sz w:val="18"/>
              </w:rPr>
              <w:t> </w:t>
            </w:r>
            <w:r>
              <w:rPr>
                <w:b/>
                <w:spacing w:val="-5"/>
                <w:sz w:val="18"/>
              </w:rPr>
              <w:t>PEC</w:t>
            </w:r>
          </w:p>
          <w:p>
            <w:pPr>
              <w:pStyle w:val="TableParagraph"/>
              <w:ind w:left="72" w:right="55"/>
              <w:rPr>
                <w:sz w:val="18"/>
              </w:rPr>
            </w:pPr>
            <w:r>
              <w:rPr>
                <w:b/>
                <w:sz w:val="18"/>
              </w:rPr>
              <w:t>3.11.4:</w:t>
            </w:r>
            <w:r>
              <w:rPr>
                <w:b/>
                <w:spacing w:val="-13"/>
                <w:sz w:val="18"/>
              </w:rPr>
              <w:t> </w:t>
            </w:r>
            <w:r>
              <w:rPr>
                <w:sz w:val="18"/>
              </w:rPr>
              <w:t>Gestionar </w:t>
            </w:r>
            <w:r>
              <w:rPr>
                <w:spacing w:val="-4"/>
                <w:sz w:val="18"/>
              </w:rPr>
              <w:t>los </w:t>
            </w:r>
            <w:r>
              <w:rPr>
                <w:spacing w:val="-2"/>
                <w:sz w:val="18"/>
              </w:rPr>
              <w:t>mantenimientos </w:t>
            </w:r>
            <w:r>
              <w:rPr>
                <w:sz w:val="18"/>
              </w:rPr>
              <w:t>de equipo necesarios para la cooperación</w:t>
            </w:r>
          </w:p>
          <w:p>
            <w:pPr>
              <w:pStyle w:val="TableParagraph"/>
              <w:spacing w:line="187" w:lineRule="exact" w:before="1"/>
              <w:ind w:left="72"/>
              <w:rPr>
                <w:sz w:val="18"/>
              </w:rPr>
            </w:pPr>
            <w:r>
              <w:rPr>
                <w:sz w:val="18"/>
              </w:rPr>
              <w:t>del </w:t>
            </w:r>
            <w:r>
              <w:rPr>
                <w:spacing w:val="-2"/>
                <w:sz w:val="18"/>
              </w:rPr>
              <w:t>negocio</w:t>
            </w:r>
          </w:p>
        </w:tc>
        <w:tc>
          <w:tcPr>
            <w:tcW w:w="1531" w:type="dxa"/>
          </w:tcPr>
          <w:p>
            <w:pPr>
              <w:pStyle w:val="TableParagraph"/>
              <w:rPr>
                <w:b/>
                <w:sz w:val="18"/>
              </w:rPr>
            </w:pPr>
          </w:p>
          <w:p>
            <w:pPr>
              <w:pStyle w:val="TableParagraph"/>
              <w:spacing w:before="103"/>
              <w:rPr>
                <w:b/>
                <w:sz w:val="18"/>
              </w:rPr>
            </w:pPr>
          </w:p>
          <w:p>
            <w:pPr>
              <w:pStyle w:val="TableParagraph"/>
              <w:ind w:left="67"/>
              <w:rPr>
                <w:sz w:val="18"/>
              </w:rPr>
            </w:pPr>
            <w:r>
              <w:rPr>
                <w:sz w:val="18"/>
              </w:rPr>
              <w:t>Porcentaje de </w:t>
            </w:r>
            <w:r>
              <w:rPr>
                <w:spacing w:val="-2"/>
                <w:sz w:val="18"/>
              </w:rPr>
              <w:t>mantenimientos gestionados</w:t>
            </w: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53"/>
              <w:rPr>
                <w:sz w:val="18"/>
              </w:rPr>
            </w:pPr>
            <w:r>
              <w:rPr>
                <w:spacing w:val="-4"/>
                <w:sz w:val="18"/>
              </w:rPr>
              <w:t>100%</w:t>
            </w:r>
          </w:p>
        </w:tc>
        <w:tc>
          <w:tcPr>
            <w:tcW w:w="148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86"/>
              <w:rPr>
                <w:sz w:val="18"/>
              </w:rPr>
            </w:pPr>
            <w:r>
              <w:rPr>
                <w:sz w:val="18"/>
              </w:rPr>
              <w:t>₡89</w:t>
            </w:r>
            <w:r>
              <w:rPr>
                <w:spacing w:val="1"/>
                <w:sz w:val="18"/>
              </w:rPr>
              <w:t> </w:t>
            </w:r>
            <w:r>
              <w:rPr>
                <w:sz w:val="18"/>
              </w:rPr>
              <w:t>500</w:t>
            </w:r>
            <w:r>
              <w:rPr>
                <w:spacing w:val="-3"/>
                <w:sz w:val="18"/>
              </w:rPr>
              <w:t> </w:t>
            </w:r>
            <w:r>
              <w:rPr>
                <w:spacing w:val="-5"/>
                <w:sz w:val="18"/>
              </w:rPr>
              <w:t>000</w:t>
            </w:r>
          </w:p>
        </w:tc>
      </w:tr>
    </w:tbl>
    <w:p>
      <w:pPr>
        <w:pStyle w:val="TableParagraph"/>
        <w:spacing w:after="0"/>
        <w:rPr>
          <w:sz w:val="18"/>
        </w:rPr>
        <w:sectPr>
          <w:type w:val="continuous"/>
          <w:pgSz w:w="15840" w:h="12240" w:orient="landscape"/>
          <w:pgMar w:header="0" w:footer="1806" w:top="700" w:bottom="2320" w:left="360" w:right="360"/>
        </w:sectPr>
      </w:pPr>
    </w:p>
    <w:tbl>
      <w:tblPr>
        <w:tblW w:w="0" w:type="auto"/>
        <w:jc w:val="left"/>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36"/>
        <w:gridCol w:w="1531"/>
        <w:gridCol w:w="1387"/>
        <w:gridCol w:w="1315"/>
        <w:gridCol w:w="1387"/>
        <w:gridCol w:w="1392"/>
        <w:gridCol w:w="1512"/>
        <w:gridCol w:w="1364"/>
        <w:gridCol w:w="1484"/>
        <w:gridCol w:w="1484"/>
      </w:tblGrid>
      <w:tr>
        <w:trPr>
          <w:trHeight w:val="302" w:hRule="atLeast"/>
        </w:trPr>
        <w:tc>
          <w:tcPr>
            <w:tcW w:w="1536" w:type="dxa"/>
            <w:vMerge w:val="restart"/>
            <w:shd w:val="clear" w:color="auto" w:fill="D7D7D7"/>
          </w:tcPr>
          <w:p>
            <w:pPr>
              <w:pStyle w:val="TableParagraph"/>
              <w:spacing w:before="46"/>
              <w:rPr>
                <w:b/>
                <w:sz w:val="18"/>
              </w:rPr>
            </w:pPr>
          </w:p>
          <w:p>
            <w:pPr>
              <w:pStyle w:val="TableParagraph"/>
              <w:ind w:left="283" w:firstLine="24"/>
              <w:rPr>
                <w:b/>
                <w:sz w:val="18"/>
              </w:rPr>
            </w:pPr>
            <w:r>
              <w:rPr>
                <w:b/>
                <w:sz w:val="18"/>
              </w:rPr>
              <w:t>Objetivos</w:t>
            </w:r>
            <w:r>
              <w:rPr>
                <w:b/>
                <w:spacing w:val="-7"/>
                <w:sz w:val="18"/>
              </w:rPr>
              <w:t> </w:t>
            </w:r>
            <w:r>
              <w:rPr>
                <w:b/>
                <w:sz w:val="18"/>
              </w:rPr>
              <w:t>/ </w:t>
            </w:r>
            <w:r>
              <w:rPr>
                <w:b/>
                <w:spacing w:val="-2"/>
                <w:sz w:val="18"/>
              </w:rPr>
              <w:t>Resultados</w:t>
            </w:r>
          </w:p>
        </w:tc>
        <w:tc>
          <w:tcPr>
            <w:tcW w:w="1531" w:type="dxa"/>
            <w:vMerge w:val="restart"/>
            <w:shd w:val="clear" w:color="auto" w:fill="D7D7D7"/>
          </w:tcPr>
          <w:p>
            <w:pPr>
              <w:pStyle w:val="TableParagraph"/>
              <w:spacing w:before="151"/>
              <w:rPr>
                <w:b/>
                <w:sz w:val="18"/>
              </w:rPr>
            </w:pPr>
          </w:p>
          <w:p>
            <w:pPr>
              <w:pStyle w:val="TableParagraph"/>
              <w:spacing w:before="1"/>
              <w:ind w:left="355"/>
              <w:rPr>
                <w:b/>
                <w:sz w:val="18"/>
              </w:rPr>
            </w:pPr>
            <w:r>
              <w:rPr>
                <w:b/>
                <w:spacing w:val="-2"/>
                <w:sz w:val="18"/>
              </w:rPr>
              <w:t>Indicador</w:t>
            </w:r>
          </w:p>
        </w:tc>
        <w:tc>
          <w:tcPr>
            <w:tcW w:w="2702" w:type="dxa"/>
            <w:gridSpan w:val="2"/>
            <w:shd w:val="clear" w:color="auto" w:fill="D7D7D7"/>
          </w:tcPr>
          <w:p>
            <w:pPr>
              <w:pStyle w:val="TableParagraph"/>
              <w:spacing w:before="47"/>
              <w:ind w:left="889"/>
              <w:rPr>
                <w:b/>
                <w:sz w:val="18"/>
              </w:rPr>
            </w:pPr>
            <w:r>
              <w:rPr>
                <w:b/>
                <w:sz w:val="18"/>
              </w:rPr>
              <w:t>I</w:t>
            </w:r>
            <w:r>
              <w:rPr>
                <w:b/>
                <w:spacing w:val="-1"/>
                <w:sz w:val="18"/>
              </w:rPr>
              <w:t> </w:t>
            </w:r>
            <w:r>
              <w:rPr>
                <w:b/>
                <w:spacing w:val="-2"/>
                <w:sz w:val="18"/>
              </w:rPr>
              <w:t>Trimestre</w:t>
            </w:r>
          </w:p>
        </w:tc>
        <w:tc>
          <w:tcPr>
            <w:tcW w:w="2779" w:type="dxa"/>
            <w:gridSpan w:val="2"/>
            <w:shd w:val="clear" w:color="auto" w:fill="D7D7D7"/>
          </w:tcPr>
          <w:p>
            <w:pPr>
              <w:pStyle w:val="TableParagraph"/>
              <w:spacing w:before="47"/>
              <w:ind w:left="904"/>
              <w:rPr>
                <w:b/>
                <w:sz w:val="18"/>
              </w:rPr>
            </w:pPr>
            <w:r>
              <w:rPr>
                <w:b/>
                <w:sz w:val="18"/>
              </w:rPr>
              <w:t>II</w:t>
            </w:r>
            <w:r>
              <w:rPr>
                <w:b/>
                <w:spacing w:val="-3"/>
                <w:sz w:val="18"/>
              </w:rPr>
              <w:t> </w:t>
            </w:r>
            <w:r>
              <w:rPr>
                <w:b/>
                <w:spacing w:val="-2"/>
                <w:sz w:val="18"/>
              </w:rPr>
              <w:t>Trimestre</w:t>
            </w:r>
          </w:p>
        </w:tc>
        <w:tc>
          <w:tcPr>
            <w:tcW w:w="2876" w:type="dxa"/>
            <w:gridSpan w:val="2"/>
            <w:shd w:val="clear" w:color="auto" w:fill="D7D7D7"/>
          </w:tcPr>
          <w:p>
            <w:pPr>
              <w:pStyle w:val="TableParagraph"/>
              <w:spacing w:before="47"/>
              <w:ind w:left="925"/>
              <w:rPr>
                <w:b/>
                <w:sz w:val="18"/>
              </w:rPr>
            </w:pPr>
            <w:r>
              <w:rPr>
                <w:b/>
                <w:sz w:val="18"/>
              </w:rPr>
              <w:t>III</w:t>
            </w:r>
            <w:r>
              <w:rPr>
                <w:b/>
                <w:spacing w:val="-2"/>
                <w:sz w:val="18"/>
              </w:rPr>
              <w:t> Trimestre</w:t>
            </w:r>
          </w:p>
        </w:tc>
        <w:tc>
          <w:tcPr>
            <w:tcW w:w="2968" w:type="dxa"/>
            <w:gridSpan w:val="2"/>
            <w:shd w:val="clear" w:color="auto" w:fill="D7D7D7"/>
          </w:tcPr>
          <w:p>
            <w:pPr>
              <w:pStyle w:val="TableParagraph"/>
              <w:spacing w:before="47"/>
              <w:ind w:left="963"/>
              <w:rPr>
                <w:b/>
                <w:sz w:val="18"/>
              </w:rPr>
            </w:pPr>
            <w:r>
              <w:rPr>
                <w:b/>
                <w:sz w:val="18"/>
              </w:rPr>
              <w:t>IV</w:t>
            </w:r>
            <w:r>
              <w:rPr>
                <w:b/>
                <w:spacing w:val="-2"/>
                <w:sz w:val="18"/>
              </w:rPr>
              <w:t> Trimestre</w:t>
            </w:r>
          </w:p>
        </w:tc>
      </w:tr>
      <w:tr>
        <w:trPr>
          <w:trHeight w:val="613" w:hRule="atLeast"/>
        </w:trPr>
        <w:tc>
          <w:tcPr>
            <w:tcW w:w="1536" w:type="dxa"/>
            <w:vMerge/>
            <w:tcBorders>
              <w:top w:val="nil"/>
            </w:tcBorders>
            <w:shd w:val="clear" w:color="auto" w:fill="D7D7D7"/>
          </w:tcPr>
          <w:p>
            <w:pPr>
              <w:rPr>
                <w:sz w:val="2"/>
                <w:szCs w:val="2"/>
              </w:rPr>
            </w:pPr>
          </w:p>
        </w:tc>
        <w:tc>
          <w:tcPr>
            <w:tcW w:w="1531" w:type="dxa"/>
            <w:vMerge/>
            <w:tcBorders>
              <w:top w:val="nil"/>
            </w:tcBorders>
            <w:shd w:val="clear" w:color="auto" w:fill="D7D7D7"/>
          </w:tcPr>
          <w:p>
            <w:pPr>
              <w:rPr>
                <w:sz w:val="2"/>
                <w:szCs w:val="2"/>
              </w:rPr>
            </w:pPr>
          </w:p>
        </w:tc>
        <w:tc>
          <w:tcPr>
            <w:tcW w:w="1387" w:type="dxa"/>
            <w:shd w:val="clear" w:color="auto" w:fill="D7D7D7"/>
          </w:tcPr>
          <w:p>
            <w:pPr>
              <w:pStyle w:val="TableParagraph"/>
              <w:spacing w:before="99"/>
              <w:ind w:left="173" w:firstLine="317"/>
              <w:rPr>
                <w:b/>
                <w:sz w:val="18"/>
              </w:rPr>
            </w:pPr>
            <w:r>
              <w:rPr>
                <w:b/>
                <w:spacing w:val="-4"/>
                <w:sz w:val="18"/>
              </w:rPr>
              <w:t>Meta </w:t>
            </w:r>
            <w:r>
              <w:rPr>
                <w:b/>
                <w:spacing w:val="-2"/>
                <w:sz w:val="18"/>
              </w:rPr>
              <w:t>programada</w:t>
            </w:r>
          </w:p>
        </w:tc>
        <w:tc>
          <w:tcPr>
            <w:tcW w:w="1315" w:type="dxa"/>
            <w:shd w:val="clear" w:color="auto" w:fill="D7D7D7"/>
          </w:tcPr>
          <w:p>
            <w:pPr>
              <w:pStyle w:val="TableParagraph"/>
              <w:spacing w:before="200"/>
              <w:ind w:left="9"/>
              <w:jc w:val="center"/>
              <w:rPr>
                <w:b/>
                <w:sz w:val="18"/>
              </w:rPr>
            </w:pPr>
            <w:r>
              <w:rPr>
                <w:b/>
                <w:spacing w:val="-10"/>
                <w:sz w:val="18"/>
              </w:rPr>
              <w:t>¢</w:t>
            </w:r>
          </w:p>
        </w:tc>
        <w:tc>
          <w:tcPr>
            <w:tcW w:w="1387" w:type="dxa"/>
            <w:shd w:val="clear" w:color="auto" w:fill="D7D7D7"/>
          </w:tcPr>
          <w:p>
            <w:pPr>
              <w:pStyle w:val="TableParagraph"/>
              <w:spacing w:before="99"/>
              <w:ind w:left="170" w:firstLine="316"/>
              <w:rPr>
                <w:b/>
                <w:sz w:val="18"/>
              </w:rPr>
            </w:pPr>
            <w:r>
              <w:rPr>
                <w:b/>
                <w:spacing w:val="-4"/>
                <w:sz w:val="18"/>
              </w:rPr>
              <w:t>Meta </w:t>
            </w:r>
            <w:r>
              <w:rPr>
                <w:b/>
                <w:spacing w:val="-2"/>
                <w:sz w:val="18"/>
              </w:rPr>
              <w:t>programada</w:t>
            </w:r>
          </w:p>
        </w:tc>
        <w:tc>
          <w:tcPr>
            <w:tcW w:w="1392" w:type="dxa"/>
            <w:shd w:val="clear" w:color="auto" w:fill="D7D7D7"/>
          </w:tcPr>
          <w:p>
            <w:pPr>
              <w:pStyle w:val="TableParagraph"/>
              <w:spacing w:before="200"/>
              <w:ind w:left="11"/>
              <w:jc w:val="center"/>
              <w:rPr>
                <w:b/>
                <w:sz w:val="18"/>
              </w:rPr>
            </w:pPr>
            <w:r>
              <w:rPr>
                <w:b/>
                <w:spacing w:val="-10"/>
                <w:sz w:val="18"/>
              </w:rPr>
              <w:t>¢</w:t>
            </w:r>
          </w:p>
        </w:tc>
        <w:tc>
          <w:tcPr>
            <w:tcW w:w="1512" w:type="dxa"/>
            <w:shd w:val="clear" w:color="auto" w:fill="D7D7D7"/>
          </w:tcPr>
          <w:p>
            <w:pPr>
              <w:pStyle w:val="TableParagraph"/>
              <w:spacing w:before="99"/>
              <w:ind w:left="233" w:firstLine="316"/>
              <w:rPr>
                <w:b/>
                <w:sz w:val="18"/>
              </w:rPr>
            </w:pPr>
            <w:r>
              <w:rPr>
                <w:b/>
                <w:spacing w:val="-4"/>
                <w:sz w:val="18"/>
              </w:rPr>
              <w:t>Meta </w:t>
            </w:r>
            <w:r>
              <w:rPr>
                <w:b/>
                <w:spacing w:val="-2"/>
                <w:sz w:val="18"/>
              </w:rPr>
              <w:t>programada</w:t>
            </w:r>
          </w:p>
        </w:tc>
        <w:tc>
          <w:tcPr>
            <w:tcW w:w="1364" w:type="dxa"/>
            <w:shd w:val="clear" w:color="auto" w:fill="D7D7D7"/>
          </w:tcPr>
          <w:p>
            <w:pPr>
              <w:pStyle w:val="TableParagraph"/>
              <w:spacing w:before="200"/>
              <w:ind w:left="55" w:right="42"/>
              <w:jc w:val="center"/>
              <w:rPr>
                <w:b/>
                <w:sz w:val="18"/>
              </w:rPr>
            </w:pPr>
            <w:r>
              <w:rPr>
                <w:b/>
                <w:spacing w:val="-10"/>
                <w:sz w:val="18"/>
              </w:rPr>
              <w:t>¢</w:t>
            </w:r>
          </w:p>
        </w:tc>
        <w:tc>
          <w:tcPr>
            <w:tcW w:w="1484" w:type="dxa"/>
            <w:shd w:val="clear" w:color="auto" w:fill="D7D7D7"/>
          </w:tcPr>
          <w:p>
            <w:pPr>
              <w:pStyle w:val="TableParagraph"/>
              <w:spacing w:before="99"/>
              <w:ind w:left="219" w:firstLine="317"/>
              <w:rPr>
                <w:b/>
                <w:sz w:val="18"/>
              </w:rPr>
            </w:pPr>
            <w:r>
              <w:rPr>
                <w:b/>
                <w:spacing w:val="-4"/>
                <w:sz w:val="18"/>
              </w:rPr>
              <w:t>Meta </w:t>
            </w:r>
            <w:r>
              <w:rPr>
                <w:b/>
                <w:spacing w:val="-2"/>
                <w:sz w:val="18"/>
              </w:rPr>
              <w:t>programada</w:t>
            </w:r>
          </w:p>
        </w:tc>
        <w:tc>
          <w:tcPr>
            <w:tcW w:w="1484" w:type="dxa"/>
            <w:shd w:val="clear" w:color="auto" w:fill="D7D7D7"/>
          </w:tcPr>
          <w:p>
            <w:pPr>
              <w:pStyle w:val="TableParagraph"/>
              <w:spacing w:before="200"/>
              <w:ind w:left="16"/>
              <w:jc w:val="center"/>
              <w:rPr>
                <w:b/>
                <w:sz w:val="18"/>
              </w:rPr>
            </w:pPr>
            <w:r>
              <w:rPr>
                <w:b/>
                <w:spacing w:val="-10"/>
                <w:sz w:val="18"/>
              </w:rPr>
              <w:t>¢</w:t>
            </w:r>
          </w:p>
        </w:tc>
      </w:tr>
      <w:tr>
        <w:trPr>
          <w:trHeight w:val="1142" w:hRule="atLeast"/>
        </w:trPr>
        <w:tc>
          <w:tcPr>
            <w:tcW w:w="1536" w:type="dxa"/>
          </w:tcPr>
          <w:p>
            <w:pPr>
              <w:pStyle w:val="TableParagraph"/>
              <w:spacing w:line="197" w:lineRule="exact"/>
              <w:ind w:left="72"/>
              <w:rPr>
                <w:sz w:val="18"/>
              </w:rPr>
            </w:pPr>
            <w:r>
              <w:rPr>
                <w:sz w:val="18"/>
              </w:rPr>
              <w:t>(Partidas</w:t>
            </w:r>
            <w:r>
              <w:rPr>
                <w:spacing w:val="-6"/>
                <w:sz w:val="18"/>
              </w:rPr>
              <w:t> </w:t>
            </w:r>
            <w:r>
              <w:rPr>
                <w:spacing w:val="-2"/>
                <w:sz w:val="18"/>
              </w:rPr>
              <w:t>1.08.08</w:t>
            </w:r>
          </w:p>
          <w:p>
            <w:pPr>
              <w:pStyle w:val="TableParagraph"/>
              <w:spacing w:line="207" w:lineRule="exact"/>
              <w:ind w:left="72"/>
              <w:rPr>
                <w:sz w:val="18"/>
              </w:rPr>
            </w:pPr>
            <w:r>
              <w:rPr>
                <w:sz w:val="18"/>
              </w:rPr>
              <w:t>y</w:t>
            </w:r>
            <w:r>
              <w:rPr>
                <w:spacing w:val="2"/>
                <w:sz w:val="18"/>
              </w:rPr>
              <w:t> </w:t>
            </w:r>
            <w:r>
              <w:rPr>
                <w:spacing w:val="-2"/>
                <w:sz w:val="18"/>
              </w:rPr>
              <w:t>1.08.99)</w:t>
            </w:r>
          </w:p>
        </w:tc>
        <w:tc>
          <w:tcPr>
            <w:tcW w:w="1531" w:type="dxa"/>
          </w:tcPr>
          <w:p>
            <w:pPr>
              <w:pStyle w:val="TableParagraph"/>
              <w:rPr>
                <w:rFonts w:ascii="Times New Roman"/>
                <w:sz w:val="18"/>
              </w:rPr>
            </w:pP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rPr>
                <w:rFonts w:ascii="Times New Roman"/>
                <w:sz w:val="18"/>
              </w:rPr>
            </w:pPr>
          </w:p>
        </w:tc>
        <w:tc>
          <w:tcPr>
            <w:tcW w:w="1392" w:type="dxa"/>
          </w:tcPr>
          <w:p>
            <w:pPr>
              <w:pStyle w:val="TableParagraph"/>
              <w:rPr>
                <w:rFonts w:ascii="Times New Roman"/>
                <w:sz w:val="18"/>
              </w:rPr>
            </w:pP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r>
        <w:trPr>
          <w:trHeight w:val="830" w:hRule="atLeast"/>
        </w:trPr>
        <w:tc>
          <w:tcPr>
            <w:tcW w:w="1536" w:type="dxa"/>
          </w:tcPr>
          <w:p>
            <w:pPr>
              <w:pStyle w:val="TableParagraph"/>
              <w:spacing w:line="207" w:lineRule="exact" w:before="4"/>
              <w:ind w:left="72"/>
              <w:jc w:val="both"/>
              <w:rPr>
                <w:b/>
                <w:sz w:val="18"/>
              </w:rPr>
            </w:pPr>
            <w:r>
              <w:rPr>
                <w:b/>
                <w:sz w:val="18"/>
              </w:rPr>
              <w:t>Actividad</w:t>
            </w:r>
            <w:r>
              <w:rPr>
                <w:b/>
                <w:spacing w:val="-6"/>
                <w:sz w:val="18"/>
              </w:rPr>
              <w:t> </w:t>
            </w:r>
            <w:r>
              <w:rPr>
                <w:b/>
                <w:spacing w:val="-5"/>
                <w:sz w:val="18"/>
              </w:rPr>
              <w:t>PEC</w:t>
            </w:r>
          </w:p>
          <w:p>
            <w:pPr>
              <w:pStyle w:val="TableParagraph"/>
              <w:spacing w:line="206" w:lineRule="exact"/>
              <w:ind w:left="72" w:right="198"/>
              <w:jc w:val="both"/>
              <w:rPr>
                <w:sz w:val="18"/>
              </w:rPr>
            </w:pPr>
            <w:r>
              <w:rPr>
                <w:b/>
                <w:sz w:val="18"/>
              </w:rPr>
              <w:t>3.11.5: </w:t>
            </w:r>
            <w:r>
              <w:rPr>
                <w:sz w:val="18"/>
              </w:rPr>
              <w:t>Estudio salarial</w:t>
            </w:r>
            <w:r>
              <w:rPr>
                <w:spacing w:val="-13"/>
                <w:sz w:val="18"/>
              </w:rPr>
              <w:t> </w:t>
            </w:r>
            <w:r>
              <w:rPr>
                <w:sz w:val="18"/>
              </w:rPr>
              <w:t>(Partida </w:t>
            </w:r>
            <w:r>
              <w:rPr>
                <w:spacing w:val="-2"/>
                <w:sz w:val="18"/>
              </w:rPr>
              <w:t>1.04.04)</w:t>
            </w:r>
          </w:p>
        </w:tc>
        <w:tc>
          <w:tcPr>
            <w:tcW w:w="1531" w:type="dxa"/>
          </w:tcPr>
          <w:p>
            <w:pPr>
              <w:pStyle w:val="TableParagraph"/>
              <w:spacing w:before="105"/>
              <w:ind w:left="67" w:right="456"/>
              <w:rPr>
                <w:sz w:val="18"/>
              </w:rPr>
            </w:pPr>
            <w:r>
              <w:rPr>
                <w:sz w:val="18"/>
              </w:rPr>
              <w:t>Cantidad</w:t>
            </w:r>
            <w:r>
              <w:rPr>
                <w:spacing w:val="-13"/>
                <w:sz w:val="18"/>
              </w:rPr>
              <w:t> </w:t>
            </w:r>
            <w:r>
              <w:rPr>
                <w:sz w:val="18"/>
              </w:rPr>
              <w:t>de </w:t>
            </w:r>
            <w:r>
              <w:rPr>
                <w:spacing w:val="-2"/>
                <w:sz w:val="18"/>
              </w:rPr>
              <w:t>estudios realizados</w:t>
            </w:r>
          </w:p>
        </w:tc>
        <w:tc>
          <w:tcPr>
            <w:tcW w:w="1387" w:type="dxa"/>
          </w:tcPr>
          <w:p>
            <w:pPr>
              <w:pStyle w:val="TableParagraph"/>
              <w:rPr>
                <w:rFonts w:ascii="Times New Roman"/>
                <w:sz w:val="18"/>
              </w:rPr>
            </w:pPr>
          </w:p>
        </w:tc>
        <w:tc>
          <w:tcPr>
            <w:tcW w:w="1315" w:type="dxa"/>
          </w:tcPr>
          <w:p>
            <w:pPr>
              <w:pStyle w:val="TableParagraph"/>
              <w:rPr>
                <w:rFonts w:ascii="Times New Roman"/>
                <w:sz w:val="18"/>
              </w:rPr>
            </w:pPr>
          </w:p>
        </w:tc>
        <w:tc>
          <w:tcPr>
            <w:tcW w:w="1387" w:type="dxa"/>
          </w:tcPr>
          <w:p>
            <w:pPr>
              <w:pStyle w:val="TableParagraph"/>
              <w:spacing w:before="104"/>
              <w:rPr>
                <w:b/>
                <w:sz w:val="18"/>
              </w:rPr>
            </w:pPr>
          </w:p>
          <w:p>
            <w:pPr>
              <w:pStyle w:val="TableParagraph"/>
              <w:ind w:right="56"/>
              <w:jc w:val="right"/>
              <w:rPr>
                <w:sz w:val="18"/>
              </w:rPr>
            </w:pPr>
            <w:r>
              <w:rPr>
                <w:spacing w:val="-10"/>
                <w:sz w:val="18"/>
              </w:rPr>
              <w:t>1</w:t>
            </w:r>
          </w:p>
        </w:tc>
        <w:tc>
          <w:tcPr>
            <w:tcW w:w="1392" w:type="dxa"/>
          </w:tcPr>
          <w:p>
            <w:pPr>
              <w:pStyle w:val="TableParagraph"/>
              <w:spacing w:before="104"/>
              <w:rPr>
                <w:b/>
                <w:sz w:val="18"/>
              </w:rPr>
            </w:pPr>
          </w:p>
          <w:p>
            <w:pPr>
              <w:pStyle w:val="TableParagraph"/>
              <w:ind w:right="51"/>
              <w:jc w:val="right"/>
              <w:rPr>
                <w:sz w:val="18"/>
              </w:rPr>
            </w:pPr>
            <w:r>
              <w:rPr>
                <w:sz w:val="18"/>
              </w:rPr>
              <w:t>₡2</w:t>
            </w:r>
            <w:r>
              <w:rPr>
                <w:spacing w:val="1"/>
                <w:sz w:val="18"/>
              </w:rPr>
              <w:t> </w:t>
            </w:r>
            <w:r>
              <w:rPr>
                <w:sz w:val="18"/>
              </w:rPr>
              <w:t>500</w:t>
            </w:r>
            <w:r>
              <w:rPr>
                <w:spacing w:val="-3"/>
                <w:sz w:val="18"/>
              </w:rPr>
              <w:t> </w:t>
            </w:r>
            <w:r>
              <w:rPr>
                <w:spacing w:val="-5"/>
                <w:sz w:val="18"/>
              </w:rPr>
              <w:t>000</w:t>
            </w:r>
          </w:p>
        </w:tc>
        <w:tc>
          <w:tcPr>
            <w:tcW w:w="1512" w:type="dxa"/>
          </w:tcPr>
          <w:p>
            <w:pPr>
              <w:pStyle w:val="TableParagraph"/>
              <w:rPr>
                <w:rFonts w:ascii="Times New Roman"/>
                <w:sz w:val="18"/>
              </w:rPr>
            </w:pPr>
          </w:p>
        </w:tc>
        <w:tc>
          <w:tcPr>
            <w:tcW w:w="1364" w:type="dxa"/>
          </w:tcPr>
          <w:p>
            <w:pPr>
              <w:pStyle w:val="TableParagraph"/>
              <w:rPr>
                <w:rFonts w:ascii="Times New Roman"/>
                <w:sz w:val="18"/>
              </w:rPr>
            </w:pP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r>
        <w:trPr>
          <w:trHeight w:val="1037" w:hRule="atLeast"/>
        </w:trPr>
        <w:tc>
          <w:tcPr>
            <w:tcW w:w="1536" w:type="dxa"/>
          </w:tcPr>
          <w:p>
            <w:pPr>
              <w:pStyle w:val="TableParagraph"/>
              <w:spacing w:line="206" w:lineRule="exact"/>
              <w:ind w:left="72"/>
              <w:rPr>
                <w:b/>
                <w:sz w:val="18"/>
              </w:rPr>
            </w:pPr>
            <w:r>
              <w:rPr>
                <w:b/>
                <w:sz w:val="18"/>
              </w:rPr>
              <w:t>Actividad</w:t>
            </w:r>
            <w:r>
              <w:rPr>
                <w:b/>
                <w:spacing w:val="-6"/>
                <w:sz w:val="18"/>
              </w:rPr>
              <w:t> </w:t>
            </w:r>
            <w:r>
              <w:rPr>
                <w:b/>
                <w:spacing w:val="-5"/>
                <w:sz w:val="18"/>
              </w:rPr>
              <w:t>PEC</w:t>
            </w:r>
          </w:p>
          <w:p>
            <w:pPr>
              <w:pStyle w:val="TableParagraph"/>
              <w:spacing w:line="207" w:lineRule="exact"/>
              <w:ind w:left="72"/>
              <w:rPr>
                <w:sz w:val="18"/>
              </w:rPr>
            </w:pPr>
            <w:r>
              <w:rPr>
                <w:b/>
                <w:sz w:val="18"/>
              </w:rPr>
              <w:t>3.11.6:</w:t>
            </w:r>
            <w:r>
              <w:rPr>
                <w:b/>
                <w:spacing w:val="46"/>
                <w:sz w:val="18"/>
              </w:rPr>
              <w:t> </w:t>
            </w:r>
            <w:r>
              <w:rPr>
                <w:spacing w:val="-4"/>
                <w:sz w:val="18"/>
              </w:rPr>
              <w:t>Toma</w:t>
            </w:r>
          </w:p>
          <w:p>
            <w:pPr>
              <w:pStyle w:val="TableParagraph"/>
              <w:ind w:left="72"/>
              <w:rPr>
                <w:sz w:val="18"/>
              </w:rPr>
            </w:pPr>
            <w:r>
              <w:rPr>
                <w:sz w:val="18"/>
              </w:rPr>
              <w:t>física de </w:t>
            </w:r>
            <w:r>
              <w:rPr>
                <w:spacing w:val="-2"/>
                <w:sz w:val="18"/>
              </w:rPr>
              <w:t>inventarios</w:t>
            </w:r>
          </w:p>
          <w:p>
            <w:pPr>
              <w:pStyle w:val="TableParagraph"/>
              <w:spacing w:line="187" w:lineRule="exact" w:before="3"/>
              <w:ind w:left="72"/>
              <w:rPr>
                <w:sz w:val="18"/>
              </w:rPr>
            </w:pPr>
            <w:r>
              <w:rPr>
                <w:sz w:val="18"/>
              </w:rPr>
              <w:t>(Partida</w:t>
            </w:r>
            <w:r>
              <w:rPr>
                <w:spacing w:val="-2"/>
                <w:sz w:val="18"/>
              </w:rPr>
              <w:t> 1.04.04)</w:t>
            </w:r>
          </w:p>
        </w:tc>
        <w:tc>
          <w:tcPr>
            <w:tcW w:w="1531" w:type="dxa"/>
          </w:tcPr>
          <w:p>
            <w:pPr>
              <w:pStyle w:val="TableParagraph"/>
              <w:spacing w:before="103"/>
              <w:rPr>
                <w:b/>
                <w:sz w:val="18"/>
              </w:rPr>
            </w:pPr>
          </w:p>
          <w:p>
            <w:pPr>
              <w:pStyle w:val="TableParagraph"/>
              <w:spacing w:before="1"/>
              <w:ind w:left="67" w:right="86"/>
              <w:rPr>
                <w:sz w:val="18"/>
              </w:rPr>
            </w:pPr>
            <w:r>
              <w:rPr>
                <w:sz w:val="18"/>
              </w:rPr>
              <w:t>Cantidad de tomas</w:t>
            </w:r>
            <w:r>
              <w:rPr>
                <w:spacing w:val="-13"/>
                <w:sz w:val="18"/>
              </w:rPr>
              <w:t> </w:t>
            </w:r>
            <w:r>
              <w:rPr>
                <w:sz w:val="18"/>
              </w:rPr>
              <w:t>realizadas</w:t>
            </w:r>
          </w:p>
        </w:tc>
        <w:tc>
          <w:tcPr>
            <w:tcW w:w="1387" w:type="dxa"/>
          </w:tcPr>
          <w:p>
            <w:pPr>
              <w:pStyle w:val="TableParagraph"/>
              <w:spacing w:before="205"/>
              <w:rPr>
                <w:b/>
                <w:sz w:val="18"/>
              </w:rPr>
            </w:pPr>
          </w:p>
          <w:p>
            <w:pPr>
              <w:pStyle w:val="TableParagraph"/>
              <w:ind w:right="52"/>
              <w:jc w:val="right"/>
              <w:rPr>
                <w:sz w:val="18"/>
              </w:rPr>
            </w:pPr>
            <w:r>
              <w:rPr>
                <w:spacing w:val="-10"/>
                <w:sz w:val="18"/>
              </w:rPr>
              <w:t>1</w:t>
            </w:r>
          </w:p>
        </w:tc>
        <w:tc>
          <w:tcPr>
            <w:tcW w:w="1315" w:type="dxa"/>
          </w:tcPr>
          <w:p>
            <w:pPr>
              <w:pStyle w:val="TableParagraph"/>
              <w:spacing w:before="205"/>
              <w:rPr>
                <w:b/>
                <w:sz w:val="18"/>
              </w:rPr>
            </w:pPr>
          </w:p>
          <w:p>
            <w:pPr>
              <w:pStyle w:val="TableParagraph"/>
              <w:ind w:left="212"/>
              <w:rPr>
                <w:sz w:val="18"/>
              </w:rPr>
            </w:pPr>
            <w:r>
              <w:rPr>
                <w:sz w:val="18"/>
              </w:rPr>
              <w:t>₡11</w:t>
            </w:r>
            <w:r>
              <w:rPr>
                <w:spacing w:val="1"/>
                <w:sz w:val="18"/>
              </w:rPr>
              <w:t> </w:t>
            </w:r>
            <w:r>
              <w:rPr>
                <w:sz w:val="18"/>
              </w:rPr>
              <w:t>700</w:t>
            </w:r>
            <w:r>
              <w:rPr>
                <w:spacing w:val="-3"/>
                <w:sz w:val="18"/>
              </w:rPr>
              <w:t> </w:t>
            </w:r>
            <w:r>
              <w:rPr>
                <w:spacing w:val="-5"/>
                <w:sz w:val="18"/>
              </w:rPr>
              <w:t>000</w:t>
            </w:r>
          </w:p>
        </w:tc>
        <w:tc>
          <w:tcPr>
            <w:tcW w:w="1387" w:type="dxa"/>
          </w:tcPr>
          <w:p>
            <w:pPr>
              <w:pStyle w:val="TableParagraph"/>
              <w:spacing w:before="205"/>
              <w:rPr>
                <w:b/>
                <w:sz w:val="18"/>
              </w:rPr>
            </w:pPr>
          </w:p>
          <w:p>
            <w:pPr>
              <w:pStyle w:val="TableParagraph"/>
              <w:ind w:right="56"/>
              <w:jc w:val="right"/>
              <w:rPr>
                <w:sz w:val="18"/>
              </w:rPr>
            </w:pPr>
            <w:r>
              <w:rPr>
                <w:spacing w:val="-10"/>
                <w:sz w:val="18"/>
              </w:rPr>
              <w:t>2</w:t>
            </w:r>
          </w:p>
        </w:tc>
        <w:tc>
          <w:tcPr>
            <w:tcW w:w="1392" w:type="dxa"/>
          </w:tcPr>
          <w:p>
            <w:pPr>
              <w:pStyle w:val="TableParagraph"/>
              <w:spacing w:before="205"/>
              <w:rPr>
                <w:b/>
                <w:sz w:val="18"/>
              </w:rPr>
            </w:pPr>
          </w:p>
          <w:p>
            <w:pPr>
              <w:pStyle w:val="TableParagraph"/>
              <w:ind w:right="51"/>
              <w:jc w:val="right"/>
              <w:rPr>
                <w:sz w:val="18"/>
              </w:rPr>
            </w:pPr>
            <w:r>
              <w:rPr>
                <w:sz w:val="18"/>
              </w:rPr>
              <w:t>₡23</w:t>
            </w:r>
            <w:r>
              <w:rPr>
                <w:spacing w:val="1"/>
                <w:sz w:val="18"/>
              </w:rPr>
              <w:t> </w:t>
            </w:r>
            <w:r>
              <w:rPr>
                <w:sz w:val="18"/>
              </w:rPr>
              <w:t>400</w:t>
            </w:r>
            <w:r>
              <w:rPr>
                <w:spacing w:val="-3"/>
                <w:sz w:val="18"/>
              </w:rPr>
              <w:t> </w:t>
            </w:r>
            <w:r>
              <w:rPr>
                <w:spacing w:val="-5"/>
                <w:sz w:val="18"/>
              </w:rPr>
              <w:t>000</w:t>
            </w:r>
          </w:p>
        </w:tc>
        <w:tc>
          <w:tcPr>
            <w:tcW w:w="1512" w:type="dxa"/>
          </w:tcPr>
          <w:p>
            <w:pPr>
              <w:pStyle w:val="TableParagraph"/>
              <w:spacing w:before="205"/>
              <w:rPr>
                <w:b/>
                <w:sz w:val="18"/>
              </w:rPr>
            </w:pPr>
          </w:p>
          <w:p>
            <w:pPr>
              <w:pStyle w:val="TableParagraph"/>
              <w:ind w:right="55"/>
              <w:jc w:val="right"/>
              <w:rPr>
                <w:sz w:val="18"/>
              </w:rPr>
            </w:pPr>
            <w:r>
              <w:rPr>
                <w:spacing w:val="-10"/>
                <w:sz w:val="18"/>
              </w:rPr>
              <w:t>3</w:t>
            </w:r>
          </w:p>
        </w:tc>
        <w:tc>
          <w:tcPr>
            <w:tcW w:w="1364" w:type="dxa"/>
          </w:tcPr>
          <w:p>
            <w:pPr>
              <w:pStyle w:val="TableParagraph"/>
              <w:spacing w:before="205"/>
              <w:rPr>
                <w:b/>
                <w:sz w:val="18"/>
              </w:rPr>
            </w:pPr>
          </w:p>
          <w:p>
            <w:pPr>
              <w:pStyle w:val="TableParagraph"/>
              <w:ind w:left="263"/>
              <w:rPr>
                <w:sz w:val="18"/>
              </w:rPr>
            </w:pPr>
            <w:r>
              <w:rPr>
                <w:sz w:val="18"/>
              </w:rPr>
              <w:t>₡35</w:t>
            </w:r>
            <w:r>
              <w:rPr>
                <w:spacing w:val="1"/>
                <w:sz w:val="18"/>
              </w:rPr>
              <w:t> </w:t>
            </w:r>
            <w:r>
              <w:rPr>
                <w:sz w:val="18"/>
              </w:rPr>
              <w:t>000</w:t>
            </w:r>
            <w:r>
              <w:rPr>
                <w:spacing w:val="-3"/>
                <w:sz w:val="18"/>
              </w:rPr>
              <w:t> </w:t>
            </w:r>
            <w:r>
              <w:rPr>
                <w:spacing w:val="-5"/>
                <w:sz w:val="18"/>
              </w:rPr>
              <w:t>000</w:t>
            </w:r>
          </w:p>
        </w:tc>
        <w:tc>
          <w:tcPr>
            <w:tcW w:w="1484" w:type="dxa"/>
          </w:tcPr>
          <w:p>
            <w:pPr>
              <w:pStyle w:val="TableParagraph"/>
              <w:rPr>
                <w:rFonts w:ascii="Times New Roman"/>
                <w:sz w:val="18"/>
              </w:rPr>
            </w:pPr>
          </w:p>
        </w:tc>
        <w:tc>
          <w:tcPr>
            <w:tcW w:w="1484" w:type="dxa"/>
          </w:tcPr>
          <w:p>
            <w:pPr>
              <w:pStyle w:val="TableParagraph"/>
              <w:rPr>
                <w:rFonts w:ascii="Times New Roman"/>
                <w:sz w:val="18"/>
              </w:rPr>
            </w:pPr>
          </w:p>
        </w:tc>
      </w:tr>
    </w:tbl>
    <w:p>
      <w:pPr>
        <w:pStyle w:val="TableParagraph"/>
        <w:spacing w:after="0"/>
        <w:rPr>
          <w:rFonts w:ascii="Times New Roman"/>
          <w:sz w:val="18"/>
        </w:rPr>
        <w:sectPr>
          <w:type w:val="continuous"/>
          <w:pgSz w:w="15840" w:h="12240" w:orient="landscape"/>
          <w:pgMar w:header="0" w:footer="1806" w:top="700" w:bottom="2320" w:left="360" w:right="360"/>
        </w:sectPr>
      </w:pPr>
    </w:p>
    <w:p>
      <w:pPr>
        <w:pStyle w:val="BodyText"/>
        <w:spacing w:before="4"/>
        <w:rPr>
          <w:b/>
          <w:sz w:val="17"/>
        </w:rPr>
      </w:pPr>
      <w:r>
        <w:rPr>
          <w:b/>
          <w:sz w:val="17"/>
        </w:rPr>
        <mc:AlternateContent>
          <mc:Choice Requires="wps">
            <w:drawing>
              <wp:anchor distT="0" distB="0" distL="0" distR="0" allowOverlap="1" layoutInCell="1" locked="0" behindDoc="1" simplePos="0" relativeHeight="459711488">
                <wp:simplePos x="0" y="0"/>
                <wp:positionH relativeFrom="page">
                  <wp:posOffset>990904</wp:posOffset>
                </wp:positionH>
                <wp:positionV relativeFrom="page">
                  <wp:posOffset>8530729</wp:posOffset>
                </wp:positionV>
                <wp:extent cx="5705475" cy="906144"/>
                <wp:effectExtent l="0" t="0" r="0" b="0"/>
                <wp:wrapNone/>
                <wp:docPr id="156" name="Graphic 156"/>
                <wp:cNvGraphicFramePr>
                  <a:graphicFrameLocks/>
                </wp:cNvGraphicFramePr>
                <a:graphic>
                  <a:graphicData uri="http://schemas.microsoft.com/office/word/2010/wordprocessingShape">
                    <wps:wsp>
                      <wps:cNvPr id="156" name="Graphic 156"/>
                      <wps:cNvSpPr/>
                      <wps:spPr>
                        <a:xfrm>
                          <a:off x="0" y="0"/>
                          <a:ext cx="5705475" cy="906144"/>
                        </a:xfrm>
                        <a:custGeom>
                          <a:avLst/>
                          <a:gdLst/>
                          <a:ahLst/>
                          <a:cxnLst/>
                          <a:rect l="l" t="t" r="r" b="b"/>
                          <a:pathLst>
                            <a:path w="5705475" h="906144">
                              <a:moveTo>
                                <a:pt x="576376" y="0"/>
                              </a:moveTo>
                              <a:lnTo>
                                <a:pt x="0" y="0"/>
                              </a:lnTo>
                              <a:lnTo>
                                <a:pt x="0" y="27419"/>
                              </a:lnTo>
                              <a:lnTo>
                                <a:pt x="576376" y="27419"/>
                              </a:lnTo>
                              <a:lnTo>
                                <a:pt x="576376" y="0"/>
                              </a:lnTo>
                              <a:close/>
                            </a:path>
                            <a:path w="5705475" h="906144">
                              <a:moveTo>
                                <a:pt x="603834" y="27444"/>
                              </a:moveTo>
                              <a:lnTo>
                                <a:pt x="576402" y="27444"/>
                              </a:lnTo>
                              <a:lnTo>
                                <a:pt x="576402" y="905573"/>
                              </a:lnTo>
                              <a:lnTo>
                                <a:pt x="603834" y="905573"/>
                              </a:lnTo>
                              <a:lnTo>
                                <a:pt x="603834" y="27444"/>
                              </a:lnTo>
                              <a:close/>
                            </a:path>
                            <a:path w="5705475" h="906144">
                              <a:moveTo>
                                <a:pt x="5705297" y="0"/>
                              </a:moveTo>
                              <a:lnTo>
                                <a:pt x="603834" y="0"/>
                              </a:lnTo>
                              <a:lnTo>
                                <a:pt x="576402" y="0"/>
                              </a:lnTo>
                              <a:lnTo>
                                <a:pt x="576402" y="27419"/>
                              </a:lnTo>
                              <a:lnTo>
                                <a:pt x="603834" y="27419"/>
                              </a:lnTo>
                              <a:lnTo>
                                <a:pt x="5705297" y="27419"/>
                              </a:lnTo>
                              <a:lnTo>
                                <a:pt x="570529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78.024002pt;margin-top:671.710999pt;width:449.25pt;height:71.350pt;mso-position-horizontal-relative:page;mso-position-vertical-relative:page;z-index:-43604992" id="docshape134" coordorigin="1560,13434" coordsize="8985,1427" path="m2468,13434l1560,13434,1560,13477,2468,13477,2468,13434xm2511,13477l2468,13477,2468,14860,2511,14860,2511,13477xm10545,13434l2511,13434,2468,13434,2468,13477,2511,13477,10545,13477,10545,13434xe" filled="true" fillcolor="#808080" stroked="false">
                <v:path arrowok="t"/>
                <v:fill type="solid"/>
                <w10:wrap type="none"/>
              </v:shape>
            </w:pict>
          </mc:Fallback>
        </mc:AlternateContent>
      </w:r>
    </w:p>
    <w:sectPr>
      <w:footerReference w:type="default" r:id="rId90"/>
      <w:pgSz w:w="12240" w:h="15840"/>
      <w:pgMar w:header="0" w:footer="2154" w:top="1820" w:bottom="2340" w:left="1800" w:right="18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 w:name="Cambria">
    <w:altName w:val="Cambria"/>
    <w:charset w:val="0"/>
    <w:family w:val="roman"/>
    <w:pitch w:val="variable"/>
  </w:font>
  <w:font w:name="Symbol">
    <w:altName w:val="Symbol"/>
    <w:charset w:val="2"/>
    <w:family w:val="roman"/>
    <w:pitch w:val="variable"/>
  </w:font>
  <w:font w:name="Wingdings">
    <w:altName w:val="Wingdings"/>
    <w:charset w:val="2"/>
    <w:family w:val="auto"/>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693056">
              <wp:simplePos x="0" y="0"/>
              <wp:positionH relativeFrom="page">
                <wp:posOffset>1079296</wp:posOffset>
              </wp:positionH>
              <wp:positionV relativeFrom="page">
                <wp:posOffset>9055303</wp:posOffset>
              </wp:positionV>
              <wp:extent cx="5614035" cy="38100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5614035" cy="381000"/>
                      </a:xfrm>
                      <a:custGeom>
                        <a:avLst/>
                        <a:gdLst/>
                        <a:ahLst/>
                        <a:cxnLst/>
                        <a:rect l="l" t="t" r="r" b="b"/>
                        <a:pathLst>
                          <a:path w="5614035" h="381000">
                            <a:moveTo>
                              <a:pt x="567232" y="0"/>
                            </a:moveTo>
                            <a:lnTo>
                              <a:pt x="0" y="0"/>
                            </a:lnTo>
                            <a:lnTo>
                              <a:pt x="0" y="27432"/>
                            </a:lnTo>
                            <a:lnTo>
                              <a:pt x="567232" y="27432"/>
                            </a:lnTo>
                            <a:lnTo>
                              <a:pt x="567232" y="0"/>
                            </a:lnTo>
                            <a:close/>
                          </a:path>
                          <a:path w="5614035" h="381000">
                            <a:moveTo>
                              <a:pt x="5613857" y="0"/>
                            </a:moveTo>
                            <a:lnTo>
                              <a:pt x="594690" y="0"/>
                            </a:lnTo>
                            <a:lnTo>
                              <a:pt x="567258" y="0"/>
                            </a:lnTo>
                            <a:lnTo>
                              <a:pt x="567258" y="27432"/>
                            </a:lnTo>
                            <a:lnTo>
                              <a:pt x="567258" y="381000"/>
                            </a:lnTo>
                            <a:lnTo>
                              <a:pt x="594690" y="381000"/>
                            </a:lnTo>
                            <a:lnTo>
                              <a:pt x="594690" y="27432"/>
                            </a:lnTo>
                            <a:lnTo>
                              <a:pt x="5613857" y="27432"/>
                            </a:lnTo>
                            <a:lnTo>
                              <a:pt x="561385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84.984001pt;margin-top:713.015991pt;width:442.05pt;height:30pt;mso-position-horizontal-relative:page;mso-position-vertical-relative:page;z-index:-43623424" id="docshape7" coordorigin="1700,14260" coordsize="8841,600" path="m2593,14260l1700,14260,1700,14304,2593,14304,2593,14260xm10540,14260l2636,14260,2593,14260,2593,14304,2593,14860,2636,14860,2636,14304,10540,14304,10540,14260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693568">
              <wp:simplePos x="0" y="0"/>
              <wp:positionH relativeFrom="page">
                <wp:posOffset>1111605</wp:posOffset>
              </wp:positionH>
              <wp:positionV relativeFrom="page">
                <wp:posOffset>9078375</wp:posOffset>
              </wp:positionV>
              <wp:extent cx="179070" cy="196215"/>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7907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 roman </w:instrText>
                          </w:r>
                          <w:r>
                            <w:rPr>
                              <w:b/>
                              <w:spacing w:val="-5"/>
                              <w:sz w:val="24"/>
                            </w:rPr>
                            <w:fldChar w:fldCharType="separate"/>
                          </w:r>
                          <w:r>
                            <w:rPr>
                              <w:b/>
                              <w:spacing w:val="-5"/>
                              <w:sz w:val="24"/>
                            </w:rPr>
                            <w:t>iii</w:t>
                          </w:r>
                          <w:r>
                            <w:rPr>
                              <w:b/>
                              <w:spacing w:val="-5"/>
                              <w:sz w:val="2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7.528pt;margin-top:714.832703pt;width:14.1pt;height:15.45pt;mso-position-horizontal-relative:page;mso-position-vertical-relative:page;z-index:-43622912" type="#_x0000_t202" id="docshape8"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 roman </w:instrText>
                    </w:r>
                    <w:r>
                      <w:rPr>
                        <w:b/>
                        <w:spacing w:val="-5"/>
                        <w:sz w:val="24"/>
                      </w:rPr>
                      <w:fldChar w:fldCharType="separate"/>
                    </w:r>
                    <w:r>
                      <w:rPr>
                        <w:b/>
                        <w:spacing w:val="-5"/>
                        <w:sz w:val="24"/>
                      </w:rPr>
                      <w:t>iii</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694080">
              <wp:simplePos x="0" y="0"/>
              <wp:positionH relativeFrom="page">
                <wp:posOffset>1719198</wp:posOffset>
              </wp:positionH>
              <wp:positionV relativeFrom="page">
                <wp:posOffset>9078375</wp:posOffset>
              </wp:positionV>
              <wp:extent cx="2900680" cy="19621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900680"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3"/>
                              <w:sz w:val="24"/>
                            </w:rPr>
                            <w:t> </w:t>
                          </w:r>
                          <w:r>
                            <w:rPr>
                              <w:b/>
                              <w:i/>
                              <w:sz w:val="24"/>
                            </w:rPr>
                            <w:t>Operativo</w:t>
                          </w:r>
                          <w:r>
                            <w:rPr>
                              <w:b/>
                              <w:i/>
                              <w:spacing w:val="-4"/>
                              <w:sz w:val="24"/>
                            </w:rPr>
                            <w:t> </w:t>
                          </w:r>
                          <w:r>
                            <w:rPr>
                              <w:b/>
                              <w:i/>
                              <w:sz w:val="24"/>
                            </w:rPr>
                            <w:t>Institucional</w:t>
                          </w:r>
                          <w:r>
                            <w:rPr>
                              <w:b/>
                              <w:i/>
                              <w:spacing w:val="-8"/>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35.369995pt;margin-top:714.832703pt;width:228.4pt;height:15.45pt;mso-position-horizontal-relative:page;mso-position-vertical-relative:page;z-index:-43622400" type="#_x0000_t202" id="docshape9"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3"/>
                        <w:sz w:val="24"/>
                      </w:rPr>
                      <w:t> </w:t>
                    </w:r>
                    <w:r>
                      <w:rPr>
                        <w:b/>
                        <w:i/>
                        <w:sz w:val="24"/>
                      </w:rPr>
                      <w:t>Operativo</w:t>
                    </w:r>
                    <w:r>
                      <w:rPr>
                        <w:b/>
                        <w:i/>
                        <w:spacing w:val="-4"/>
                        <w:sz w:val="24"/>
                      </w:rPr>
                      <w:t> </w:t>
                    </w:r>
                    <w:r>
                      <w:rPr>
                        <w:b/>
                        <w:i/>
                        <w:sz w:val="24"/>
                      </w:rPr>
                      <w:t>Institucional</w:t>
                    </w:r>
                    <w:r>
                      <w:rPr>
                        <w:b/>
                        <w:i/>
                        <w:spacing w:val="-8"/>
                        <w:sz w:val="24"/>
                      </w:rPr>
                      <w:t> </w:t>
                    </w:r>
                    <w:r>
                      <w:rPr>
                        <w:b/>
                        <w:i/>
                        <w:spacing w:val="-4"/>
                        <w:sz w:val="24"/>
                      </w:rPr>
                      <w:t>2026</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694592">
              <wp:simplePos x="0" y="0"/>
              <wp:positionH relativeFrom="page">
                <wp:posOffset>1079296</wp:posOffset>
              </wp:positionH>
              <wp:positionV relativeFrom="page">
                <wp:posOffset>9232086</wp:posOffset>
              </wp:positionV>
              <wp:extent cx="5614035" cy="20447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5614035" cy="204470"/>
                      </a:xfrm>
                      <a:custGeom>
                        <a:avLst/>
                        <a:gdLst/>
                        <a:ahLst/>
                        <a:cxnLst/>
                        <a:rect l="l" t="t" r="r" b="b"/>
                        <a:pathLst>
                          <a:path w="5614035" h="204470">
                            <a:moveTo>
                              <a:pt x="567232" y="0"/>
                            </a:moveTo>
                            <a:lnTo>
                              <a:pt x="0" y="0"/>
                            </a:lnTo>
                            <a:lnTo>
                              <a:pt x="0" y="27432"/>
                            </a:lnTo>
                            <a:lnTo>
                              <a:pt x="567232" y="27432"/>
                            </a:lnTo>
                            <a:lnTo>
                              <a:pt x="567232" y="0"/>
                            </a:lnTo>
                            <a:close/>
                          </a:path>
                          <a:path w="5614035" h="204470">
                            <a:moveTo>
                              <a:pt x="5613857" y="0"/>
                            </a:moveTo>
                            <a:lnTo>
                              <a:pt x="594690" y="0"/>
                            </a:lnTo>
                            <a:lnTo>
                              <a:pt x="567258" y="0"/>
                            </a:lnTo>
                            <a:lnTo>
                              <a:pt x="567258" y="27432"/>
                            </a:lnTo>
                            <a:lnTo>
                              <a:pt x="567258" y="204216"/>
                            </a:lnTo>
                            <a:lnTo>
                              <a:pt x="594690" y="204216"/>
                            </a:lnTo>
                            <a:lnTo>
                              <a:pt x="594690" y="27432"/>
                            </a:lnTo>
                            <a:lnTo>
                              <a:pt x="5613857" y="27432"/>
                            </a:lnTo>
                            <a:lnTo>
                              <a:pt x="561385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84.984001pt;margin-top:726.935974pt;width:442.05pt;height:16.1pt;mso-position-horizontal-relative:page;mso-position-vertical-relative:page;z-index:-43621888" id="docshape10" coordorigin="1700,14539" coordsize="8841,322" path="m2593,14539l1700,14539,1700,14582,2593,14582,2593,14539xm10540,14539l2636,14539,2593,14539,2593,14582,2593,14860,2636,14860,2636,14582,10540,14582,10540,14539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695104">
              <wp:simplePos x="0" y="0"/>
              <wp:positionH relativeFrom="page">
                <wp:posOffset>1111605</wp:posOffset>
              </wp:positionH>
              <wp:positionV relativeFrom="page">
                <wp:posOffset>9255159</wp:posOffset>
              </wp:positionV>
              <wp:extent cx="221615" cy="19621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21615"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87.528pt;margin-top:728.752747pt;width:17.45pt;height:15.45pt;mso-position-horizontal-relative:page;mso-position-vertical-relative:page;z-index:-43621376" type="#_x0000_t202" id="docshape11"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695616">
              <wp:simplePos x="0" y="0"/>
              <wp:positionH relativeFrom="page">
                <wp:posOffset>1719198</wp:posOffset>
              </wp:positionH>
              <wp:positionV relativeFrom="page">
                <wp:posOffset>9255159</wp:posOffset>
              </wp:positionV>
              <wp:extent cx="2900680" cy="19621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900680"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3"/>
                              <w:sz w:val="24"/>
                            </w:rPr>
                            <w:t> </w:t>
                          </w:r>
                          <w:r>
                            <w:rPr>
                              <w:b/>
                              <w:i/>
                              <w:sz w:val="24"/>
                            </w:rPr>
                            <w:t>Operativo</w:t>
                          </w:r>
                          <w:r>
                            <w:rPr>
                              <w:b/>
                              <w:i/>
                              <w:spacing w:val="-4"/>
                              <w:sz w:val="24"/>
                            </w:rPr>
                            <w:t> </w:t>
                          </w:r>
                          <w:r>
                            <w:rPr>
                              <w:b/>
                              <w:i/>
                              <w:sz w:val="24"/>
                            </w:rPr>
                            <w:t>Institucional</w:t>
                          </w:r>
                          <w:r>
                            <w:rPr>
                              <w:b/>
                              <w:i/>
                              <w:spacing w:val="-8"/>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35.369995pt;margin-top:728.752747pt;width:228.4pt;height:15.45pt;mso-position-horizontal-relative:page;mso-position-vertical-relative:page;z-index:-43620864" type="#_x0000_t202" id="docshape12"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3"/>
                        <w:sz w:val="24"/>
                      </w:rPr>
                      <w:t> </w:t>
                    </w:r>
                    <w:r>
                      <w:rPr>
                        <w:b/>
                        <w:i/>
                        <w:sz w:val="24"/>
                      </w:rPr>
                      <w:t>Operativo</w:t>
                    </w:r>
                    <w:r>
                      <w:rPr>
                        <w:b/>
                        <w:i/>
                        <w:spacing w:val="-4"/>
                        <w:sz w:val="24"/>
                      </w:rPr>
                      <w:t> </w:t>
                    </w:r>
                    <w:r>
                      <w:rPr>
                        <w:b/>
                        <w:i/>
                        <w:sz w:val="24"/>
                      </w:rPr>
                      <w:t>Institucional</w:t>
                    </w:r>
                    <w:r>
                      <w:rPr>
                        <w:b/>
                        <w:i/>
                        <w:spacing w:val="-8"/>
                        <w:sz w:val="24"/>
                      </w:rPr>
                      <w:t> </w:t>
                    </w:r>
                    <w:r>
                      <w:rPr>
                        <w:b/>
                        <w:i/>
                        <w:spacing w:val="-4"/>
                        <w:sz w:val="24"/>
                      </w:rPr>
                      <w:t>2026</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696128">
              <wp:simplePos x="0" y="0"/>
              <wp:positionH relativeFrom="page">
                <wp:posOffset>1262481</wp:posOffset>
              </wp:positionH>
              <wp:positionV relativeFrom="page">
                <wp:posOffset>9232086</wp:posOffset>
              </wp:positionV>
              <wp:extent cx="5614035" cy="204470"/>
              <wp:effectExtent l="0" t="0" r="0" b="0"/>
              <wp:wrapNone/>
              <wp:docPr id="86" name="Graphic 86"/>
              <wp:cNvGraphicFramePr>
                <a:graphicFrameLocks/>
              </wp:cNvGraphicFramePr>
              <a:graphic>
                <a:graphicData uri="http://schemas.microsoft.com/office/word/2010/wordprocessingShape">
                  <wps:wsp>
                    <wps:cNvPr id="86" name="Graphic 86"/>
                    <wps:cNvSpPr/>
                    <wps:spPr>
                      <a:xfrm>
                        <a:off x="0" y="0"/>
                        <a:ext cx="5614035" cy="204470"/>
                      </a:xfrm>
                      <a:custGeom>
                        <a:avLst/>
                        <a:gdLst/>
                        <a:ahLst/>
                        <a:cxnLst/>
                        <a:rect l="l" t="t" r="r" b="b"/>
                        <a:pathLst>
                          <a:path w="5614035" h="204470">
                            <a:moveTo>
                              <a:pt x="566928" y="0"/>
                            </a:moveTo>
                            <a:lnTo>
                              <a:pt x="0" y="0"/>
                            </a:lnTo>
                            <a:lnTo>
                              <a:pt x="0" y="27432"/>
                            </a:lnTo>
                            <a:lnTo>
                              <a:pt x="566928" y="27432"/>
                            </a:lnTo>
                            <a:lnTo>
                              <a:pt x="566928" y="0"/>
                            </a:lnTo>
                            <a:close/>
                          </a:path>
                          <a:path w="5614035" h="204470">
                            <a:moveTo>
                              <a:pt x="5613552" y="0"/>
                            </a:moveTo>
                            <a:lnTo>
                              <a:pt x="594385" y="0"/>
                            </a:lnTo>
                            <a:lnTo>
                              <a:pt x="566953" y="0"/>
                            </a:lnTo>
                            <a:lnTo>
                              <a:pt x="566953" y="27432"/>
                            </a:lnTo>
                            <a:lnTo>
                              <a:pt x="566953" y="204216"/>
                            </a:lnTo>
                            <a:lnTo>
                              <a:pt x="594385" y="204216"/>
                            </a:lnTo>
                            <a:lnTo>
                              <a:pt x="594385" y="27432"/>
                            </a:lnTo>
                            <a:lnTo>
                              <a:pt x="5613552" y="27432"/>
                            </a:lnTo>
                            <a:lnTo>
                              <a:pt x="5613552"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99.408005pt;margin-top:726.935974pt;width:442.05pt;height:16.1pt;mso-position-horizontal-relative:page;mso-position-vertical-relative:page;z-index:-43620352" id="docshape64" coordorigin="1988,14539" coordsize="8841,322" path="m2881,14539l1988,14539,1988,14582,2881,14582,2881,14539xm10828,14539l2924,14539,2881,14539,2881,14582,2881,14860,2924,14860,2924,14582,10828,14582,10828,14539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696640">
              <wp:simplePos x="0" y="0"/>
              <wp:positionH relativeFrom="page">
                <wp:posOffset>1291463</wp:posOffset>
              </wp:positionH>
              <wp:positionV relativeFrom="page">
                <wp:posOffset>9252111</wp:posOffset>
              </wp:positionV>
              <wp:extent cx="307340" cy="196215"/>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3073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101.690002pt;margin-top:728.512695pt;width:24.2pt;height:15.45pt;mso-position-horizontal-relative:page;mso-position-vertical-relative:page;z-index:-43619840" type="#_x0000_t202" id="docshape65"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100</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697152">
              <wp:simplePos x="0" y="0"/>
              <wp:positionH relativeFrom="page">
                <wp:posOffset>1899285</wp:posOffset>
              </wp:positionH>
              <wp:positionV relativeFrom="page">
                <wp:posOffset>9252111</wp:posOffset>
              </wp:positionV>
              <wp:extent cx="2900045" cy="196215"/>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2900045"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3"/>
                              <w:sz w:val="24"/>
                            </w:rPr>
                            <w:t> </w:t>
                          </w:r>
                          <w:r>
                            <w:rPr>
                              <w:b/>
                              <w:i/>
                              <w:sz w:val="24"/>
                            </w:rPr>
                            <w:t>Operativo</w:t>
                          </w:r>
                          <w:r>
                            <w:rPr>
                              <w:b/>
                              <w:i/>
                              <w:spacing w:val="-4"/>
                              <w:sz w:val="24"/>
                            </w:rPr>
                            <w:t> </w:t>
                          </w:r>
                          <w:r>
                            <w:rPr>
                              <w:b/>
                              <w:i/>
                              <w:sz w:val="24"/>
                            </w:rPr>
                            <w:t>Institucional</w:t>
                          </w:r>
                          <w:r>
                            <w:rPr>
                              <w:b/>
                              <w:i/>
                              <w:spacing w:val="-8"/>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49.550003pt;margin-top:728.512695pt;width:228.35pt;height:15.45pt;mso-position-horizontal-relative:page;mso-position-vertical-relative:page;z-index:-43619328" type="#_x0000_t202" id="docshape66"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3"/>
                        <w:sz w:val="24"/>
                      </w:rPr>
                      <w:t> </w:t>
                    </w:r>
                    <w:r>
                      <w:rPr>
                        <w:b/>
                        <w:i/>
                        <w:sz w:val="24"/>
                      </w:rPr>
                      <w:t>Operativo</w:t>
                    </w:r>
                    <w:r>
                      <w:rPr>
                        <w:b/>
                        <w:i/>
                        <w:spacing w:val="-4"/>
                        <w:sz w:val="24"/>
                      </w:rPr>
                      <w:t> </w:t>
                    </w:r>
                    <w:r>
                      <w:rPr>
                        <w:b/>
                        <w:i/>
                        <w:sz w:val="24"/>
                      </w:rPr>
                      <w:t>Institucional</w:t>
                    </w:r>
                    <w:r>
                      <w:rPr>
                        <w:b/>
                        <w:i/>
                        <w:spacing w:val="-8"/>
                        <w:sz w:val="24"/>
                      </w:rPr>
                      <w:t> </w:t>
                    </w:r>
                    <w:r>
                      <w:rPr>
                        <w:b/>
                        <w:i/>
                        <w:spacing w:val="-4"/>
                        <w:sz w:val="24"/>
                      </w:rPr>
                      <w:t>2026</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697664">
              <wp:simplePos x="0" y="0"/>
              <wp:positionH relativeFrom="page">
                <wp:posOffset>457200</wp:posOffset>
              </wp:positionH>
              <wp:positionV relativeFrom="page">
                <wp:posOffset>6244729</wp:posOffset>
              </wp:positionV>
              <wp:extent cx="9147175" cy="906144"/>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618816" id="docshape67"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698176">
              <wp:simplePos x="0" y="0"/>
              <wp:positionH relativeFrom="page">
                <wp:posOffset>486460</wp:posOffset>
              </wp:positionH>
              <wp:positionV relativeFrom="page">
                <wp:posOffset>6264741</wp:posOffset>
              </wp:positionV>
              <wp:extent cx="345440" cy="196215"/>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106</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618304" type="#_x0000_t202" id="docshape68"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106</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698688">
              <wp:simplePos x="0" y="0"/>
              <wp:positionH relativeFrom="page">
                <wp:posOffset>1462786</wp:posOffset>
              </wp:positionH>
              <wp:positionV relativeFrom="page">
                <wp:posOffset>6264741</wp:posOffset>
              </wp:positionV>
              <wp:extent cx="2314575" cy="373380"/>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617792" type="#_x0000_t202" id="docshape69"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699200">
              <wp:simplePos x="0" y="0"/>
              <wp:positionH relativeFrom="page">
                <wp:posOffset>457200</wp:posOffset>
              </wp:positionH>
              <wp:positionV relativeFrom="page">
                <wp:posOffset>6244729</wp:posOffset>
              </wp:positionV>
              <wp:extent cx="9147175" cy="906144"/>
              <wp:effectExtent l="0" t="0" r="0" b="0"/>
              <wp:wrapNone/>
              <wp:docPr id="96" name="Graphic 96"/>
              <wp:cNvGraphicFramePr>
                <a:graphicFrameLocks/>
              </wp:cNvGraphicFramePr>
              <a:graphic>
                <a:graphicData uri="http://schemas.microsoft.com/office/word/2010/wordprocessingShape">
                  <wps:wsp>
                    <wps:cNvPr id="96" name="Graphic 96"/>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617280" id="docshape74"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699712">
              <wp:simplePos x="0" y="0"/>
              <wp:positionH relativeFrom="page">
                <wp:posOffset>486460</wp:posOffset>
              </wp:positionH>
              <wp:positionV relativeFrom="page">
                <wp:posOffset>6264741</wp:posOffset>
              </wp:positionV>
              <wp:extent cx="345440" cy="196215"/>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127</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616768" type="#_x0000_t202" id="docshape75"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127</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00224">
              <wp:simplePos x="0" y="0"/>
              <wp:positionH relativeFrom="page">
                <wp:posOffset>1462786</wp:posOffset>
              </wp:positionH>
              <wp:positionV relativeFrom="page">
                <wp:posOffset>6264741</wp:posOffset>
              </wp:positionV>
              <wp:extent cx="2314575" cy="373380"/>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616256" type="#_x0000_t202" id="docshape76"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00736">
              <wp:simplePos x="0" y="0"/>
              <wp:positionH relativeFrom="page">
                <wp:posOffset>457200</wp:posOffset>
              </wp:positionH>
              <wp:positionV relativeFrom="page">
                <wp:posOffset>6244729</wp:posOffset>
              </wp:positionV>
              <wp:extent cx="9147175" cy="906144"/>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615744" id="docshape81"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701248">
              <wp:simplePos x="0" y="0"/>
              <wp:positionH relativeFrom="page">
                <wp:posOffset>486460</wp:posOffset>
              </wp:positionH>
              <wp:positionV relativeFrom="page">
                <wp:posOffset>6264741</wp:posOffset>
              </wp:positionV>
              <wp:extent cx="345440" cy="196215"/>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134</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615232" type="#_x0000_t202" id="docshape82"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134</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01760">
              <wp:simplePos x="0" y="0"/>
              <wp:positionH relativeFrom="page">
                <wp:posOffset>1462786</wp:posOffset>
              </wp:positionH>
              <wp:positionV relativeFrom="page">
                <wp:posOffset>6264741</wp:posOffset>
              </wp:positionV>
              <wp:extent cx="2314575" cy="373380"/>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614720" type="#_x0000_t202" id="docshape83"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02272">
              <wp:simplePos x="0" y="0"/>
              <wp:positionH relativeFrom="page">
                <wp:posOffset>457200</wp:posOffset>
              </wp:positionH>
              <wp:positionV relativeFrom="page">
                <wp:posOffset>6244729</wp:posOffset>
              </wp:positionV>
              <wp:extent cx="9147175" cy="906144"/>
              <wp:effectExtent l="0" t="0" r="0" b="0"/>
              <wp:wrapNone/>
              <wp:docPr id="106" name="Graphic 106"/>
              <wp:cNvGraphicFramePr>
                <a:graphicFrameLocks/>
              </wp:cNvGraphicFramePr>
              <a:graphic>
                <a:graphicData uri="http://schemas.microsoft.com/office/word/2010/wordprocessingShape">
                  <wps:wsp>
                    <wps:cNvPr id="106" name="Graphic 106"/>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614208" id="docshape84"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702784">
              <wp:simplePos x="0" y="0"/>
              <wp:positionH relativeFrom="page">
                <wp:posOffset>486460</wp:posOffset>
              </wp:positionH>
              <wp:positionV relativeFrom="page">
                <wp:posOffset>6264741</wp:posOffset>
              </wp:positionV>
              <wp:extent cx="345440" cy="196215"/>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145</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613696" type="#_x0000_t202" id="docshape85"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145</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03296">
              <wp:simplePos x="0" y="0"/>
              <wp:positionH relativeFrom="page">
                <wp:posOffset>1462786</wp:posOffset>
              </wp:positionH>
              <wp:positionV relativeFrom="page">
                <wp:posOffset>6264741</wp:posOffset>
              </wp:positionV>
              <wp:extent cx="2314575" cy="373380"/>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613184" type="#_x0000_t202" id="docshape86"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03808">
              <wp:simplePos x="0" y="0"/>
              <wp:positionH relativeFrom="page">
                <wp:posOffset>457200</wp:posOffset>
              </wp:positionH>
              <wp:positionV relativeFrom="page">
                <wp:posOffset>6244729</wp:posOffset>
              </wp:positionV>
              <wp:extent cx="9147175" cy="906144"/>
              <wp:effectExtent l="0" t="0" r="0" b="0"/>
              <wp:wrapNone/>
              <wp:docPr id="109" name="Graphic 109"/>
              <wp:cNvGraphicFramePr>
                <a:graphicFrameLocks/>
              </wp:cNvGraphicFramePr>
              <a:graphic>
                <a:graphicData uri="http://schemas.microsoft.com/office/word/2010/wordprocessingShape">
                  <wps:wsp>
                    <wps:cNvPr id="109" name="Graphic 109"/>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612672" id="docshape87"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704320">
              <wp:simplePos x="0" y="0"/>
              <wp:positionH relativeFrom="page">
                <wp:posOffset>486460</wp:posOffset>
              </wp:positionH>
              <wp:positionV relativeFrom="page">
                <wp:posOffset>6264741</wp:posOffset>
              </wp:positionV>
              <wp:extent cx="345440" cy="196215"/>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160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612160" type="#_x0000_t202" id="docshape88"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160</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04832">
              <wp:simplePos x="0" y="0"/>
              <wp:positionH relativeFrom="page">
                <wp:posOffset>1462786</wp:posOffset>
              </wp:positionH>
              <wp:positionV relativeFrom="page">
                <wp:posOffset>6264741</wp:posOffset>
              </wp:positionV>
              <wp:extent cx="2314575" cy="373380"/>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611648" type="#_x0000_t202" id="docshape89"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05344">
              <wp:simplePos x="0" y="0"/>
              <wp:positionH relativeFrom="page">
                <wp:posOffset>457200</wp:posOffset>
              </wp:positionH>
              <wp:positionV relativeFrom="page">
                <wp:posOffset>6244729</wp:posOffset>
              </wp:positionV>
              <wp:extent cx="9147175" cy="906144"/>
              <wp:effectExtent l="0" t="0" r="0" b="0"/>
              <wp:wrapNone/>
              <wp:docPr id="112" name="Graphic 112"/>
              <wp:cNvGraphicFramePr>
                <a:graphicFrameLocks/>
              </wp:cNvGraphicFramePr>
              <a:graphic>
                <a:graphicData uri="http://schemas.microsoft.com/office/word/2010/wordprocessingShape">
                  <wps:wsp>
                    <wps:cNvPr id="112" name="Graphic 112"/>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611136" id="docshape90"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705856">
              <wp:simplePos x="0" y="0"/>
              <wp:positionH relativeFrom="page">
                <wp:posOffset>486460</wp:posOffset>
              </wp:positionH>
              <wp:positionV relativeFrom="page">
                <wp:posOffset>6264741</wp:posOffset>
              </wp:positionV>
              <wp:extent cx="345440" cy="196215"/>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164</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610624" type="#_x0000_t202" id="docshape91"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164</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06368">
              <wp:simplePos x="0" y="0"/>
              <wp:positionH relativeFrom="page">
                <wp:posOffset>1462786</wp:posOffset>
              </wp:positionH>
              <wp:positionV relativeFrom="page">
                <wp:posOffset>6264741</wp:posOffset>
              </wp:positionV>
              <wp:extent cx="2314575" cy="37338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610112" type="#_x0000_t202" id="docshape92"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06880">
              <wp:simplePos x="0" y="0"/>
              <wp:positionH relativeFrom="page">
                <wp:posOffset>457200</wp:posOffset>
              </wp:positionH>
              <wp:positionV relativeFrom="page">
                <wp:posOffset>6244729</wp:posOffset>
              </wp:positionV>
              <wp:extent cx="9147175" cy="906144"/>
              <wp:effectExtent l="0" t="0" r="0" b="0"/>
              <wp:wrapNone/>
              <wp:docPr id="115" name="Graphic 115"/>
              <wp:cNvGraphicFramePr>
                <a:graphicFrameLocks/>
              </wp:cNvGraphicFramePr>
              <a:graphic>
                <a:graphicData uri="http://schemas.microsoft.com/office/word/2010/wordprocessingShape">
                  <wps:wsp>
                    <wps:cNvPr id="115" name="Graphic 115"/>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609600" id="docshape93"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707392">
              <wp:simplePos x="0" y="0"/>
              <wp:positionH relativeFrom="page">
                <wp:posOffset>486460</wp:posOffset>
              </wp:positionH>
              <wp:positionV relativeFrom="page">
                <wp:posOffset>6264741</wp:posOffset>
              </wp:positionV>
              <wp:extent cx="345440" cy="196215"/>
              <wp:effectExtent l="0" t="0" r="0" b="0"/>
              <wp:wrapNone/>
              <wp:docPr id="116" name="Textbox 116"/>
              <wp:cNvGraphicFramePr>
                <a:graphicFrameLocks/>
              </wp:cNvGraphicFramePr>
              <a:graphic>
                <a:graphicData uri="http://schemas.microsoft.com/office/word/2010/wordprocessingShape">
                  <wps:wsp>
                    <wps:cNvPr id="116" name="Textbox 116"/>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172</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609088" type="#_x0000_t202" id="docshape94"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172</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07904">
              <wp:simplePos x="0" y="0"/>
              <wp:positionH relativeFrom="page">
                <wp:posOffset>1462786</wp:posOffset>
              </wp:positionH>
              <wp:positionV relativeFrom="page">
                <wp:posOffset>6264741</wp:posOffset>
              </wp:positionV>
              <wp:extent cx="2314575" cy="373380"/>
              <wp:effectExtent l="0" t="0" r="0" b="0"/>
              <wp:wrapNone/>
              <wp:docPr id="117" name="Textbox 117"/>
              <wp:cNvGraphicFramePr>
                <a:graphicFrameLocks/>
              </wp:cNvGraphicFramePr>
              <a:graphic>
                <a:graphicData uri="http://schemas.microsoft.com/office/word/2010/wordprocessingShape">
                  <wps:wsp>
                    <wps:cNvPr id="117" name="Textbox 117"/>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608576" type="#_x0000_t202" id="docshape95"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1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08416">
              <wp:simplePos x="0" y="0"/>
              <wp:positionH relativeFrom="page">
                <wp:posOffset>457200</wp:posOffset>
              </wp:positionH>
              <wp:positionV relativeFrom="page">
                <wp:posOffset>6244729</wp:posOffset>
              </wp:positionV>
              <wp:extent cx="9147175" cy="906144"/>
              <wp:effectExtent l="0" t="0" r="0" b="0"/>
              <wp:wrapNone/>
              <wp:docPr id="118" name="Graphic 118"/>
              <wp:cNvGraphicFramePr>
                <a:graphicFrameLocks/>
              </wp:cNvGraphicFramePr>
              <a:graphic>
                <a:graphicData uri="http://schemas.microsoft.com/office/word/2010/wordprocessingShape">
                  <wps:wsp>
                    <wps:cNvPr id="118" name="Graphic 118"/>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608064" id="docshape96"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708928">
              <wp:simplePos x="0" y="0"/>
              <wp:positionH relativeFrom="page">
                <wp:posOffset>486460</wp:posOffset>
              </wp:positionH>
              <wp:positionV relativeFrom="page">
                <wp:posOffset>6264741</wp:posOffset>
              </wp:positionV>
              <wp:extent cx="345440" cy="196215"/>
              <wp:effectExtent l="0" t="0" r="0" b="0"/>
              <wp:wrapNone/>
              <wp:docPr id="119" name="Textbox 119"/>
              <wp:cNvGraphicFramePr>
                <a:graphicFrameLocks/>
              </wp:cNvGraphicFramePr>
              <a:graphic>
                <a:graphicData uri="http://schemas.microsoft.com/office/word/2010/wordprocessingShape">
                  <wps:wsp>
                    <wps:cNvPr id="119" name="Textbox 119"/>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190</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607552" type="#_x0000_t202" id="docshape97"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190</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09440">
              <wp:simplePos x="0" y="0"/>
              <wp:positionH relativeFrom="page">
                <wp:posOffset>1462786</wp:posOffset>
              </wp:positionH>
              <wp:positionV relativeFrom="page">
                <wp:posOffset>6264741</wp:posOffset>
              </wp:positionV>
              <wp:extent cx="2314575" cy="373380"/>
              <wp:effectExtent l="0" t="0" r="0" b="0"/>
              <wp:wrapNone/>
              <wp:docPr id="120" name="Textbox 120"/>
              <wp:cNvGraphicFramePr>
                <a:graphicFrameLocks/>
              </wp:cNvGraphicFramePr>
              <a:graphic>
                <a:graphicData uri="http://schemas.microsoft.com/office/word/2010/wordprocessingShape">
                  <wps:wsp>
                    <wps:cNvPr id="120" name="Textbox 120"/>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607040" type="#_x0000_t202" id="docshape98"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2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09952">
              <wp:simplePos x="0" y="0"/>
              <wp:positionH relativeFrom="page">
                <wp:posOffset>457200</wp:posOffset>
              </wp:positionH>
              <wp:positionV relativeFrom="page">
                <wp:posOffset>6244729</wp:posOffset>
              </wp:positionV>
              <wp:extent cx="9147175" cy="906144"/>
              <wp:effectExtent l="0" t="0" r="0" b="0"/>
              <wp:wrapNone/>
              <wp:docPr id="121" name="Graphic 121"/>
              <wp:cNvGraphicFramePr>
                <a:graphicFrameLocks/>
              </wp:cNvGraphicFramePr>
              <a:graphic>
                <a:graphicData uri="http://schemas.microsoft.com/office/word/2010/wordprocessingShape">
                  <wps:wsp>
                    <wps:cNvPr id="121" name="Graphic 121"/>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606528" id="docshape99"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710464">
              <wp:simplePos x="0" y="0"/>
              <wp:positionH relativeFrom="page">
                <wp:posOffset>486460</wp:posOffset>
              </wp:positionH>
              <wp:positionV relativeFrom="page">
                <wp:posOffset>6264741</wp:posOffset>
              </wp:positionV>
              <wp:extent cx="345440" cy="196215"/>
              <wp:effectExtent l="0" t="0" r="0" b="0"/>
              <wp:wrapNone/>
              <wp:docPr id="122" name="Textbox 122"/>
              <wp:cNvGraphicFramePr>
                <a:graphicFrameLocks/>
              </wp:cNvGraphicFramePr>
              <a:graphic>
                <a:graphicData uri="http://schemas.microsoft.com/office/word/2010/wordprocessingShape">
                  <wps:wsp>
                    <wps:cNvPr id="122" name="Textbox 122"/>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212</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606016" type="#_x0000_t202" id="docshape100"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212</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10976">
              <wp:simplePos x="0" y="0"/>
              <wp:positionH relativeFrom="page">
                <wp:posOffset>1462786</wp:posOffset>
              </wp:positionH>
              <wp:positionV relativeFrom="page">
                <wp:posOffset>6264741</wp:posOffset>
              </wp:positionV>
              <wp:extent cx="2314575" cy="373380"/>
              <wp:effectExtent l="0" t="0" r="0" b="0"/>
              <wp:wrapNone/>
              <wp:docPr id="123" name="Textbox 123"/>
              <wp:cNvGraphicFramePr>
                <a:graphicFrameLocks/>
              </wp:cNvGraphicFramePr>
              <a:graphic>
                <a:graphicData uri="http://schemas.microsoft.com/office/word/2010/wordprocessingShape">
                  <wps:wsp>
                    <wps:cNvPr id="123" name="Textbox 123"/>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605504" type="#_x0000_t202" id="docshape101"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2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11488">
              <wp:simplePos x="0" y="0"/>
              <wp:positionH relativeFrom="page">
                <wp:posOffset>457200</wp:posOffset>
              </wp:positionH>
              <wp:positionV relativeFrom="page">
                <wp:posOffset>6244729</wp:posOffset>
              </wp:positionV>
              <wp:extent cx="9147175" cy="906144"/>
              <wp:effectExtent l="0" t="0" r="0" b="0"/>
              <wp:wrapNone/>
              <wp:docPr id="124" name="Graphic 124"/>
              <wp:cNvGraphicFramePr>
                <a:graphicFrameLocks/>
              </wp:cNvGraphicFramePr>
              <a:graphic>
                <a:graphicData uri="http://schemas.microsoft.com/office/word/2010/wordprocessingShape">
                  <wps:wsp>
                    <wps:cNvPr id="124" name="Graphic 124"/>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604992" id="docshape102"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712000">
              <wp:simplePos x="0" y="0"/>
              <wp:positionH relativeFrom="page">
                <wp:posOffset>486460</wp:posOffset>
              </wp:positionH>
              <wp:positionV relativeFrom="page">
                <wp:posOffset>6264741</wp:posOffset>
              </wp:positionV>
              <wp:extent cx="345440" cy="196215"/>
              <wp:effectExtent l="0" t="0" r="0" b="0"/>
              <wp:wrapNone/>
              <wp:docPr id="125" name="Textbox 125"/>
              <wp:cNvGraphicFramePr>
                <a:graphicFrameLocks/>
              </wp:cNvGraphicFramePr>
              <a:graphic>
                <a:graphicData uri="http://schemas.microsoft.com/office/word/2010/wordprocessingShape">
                  <wps:wsp>
                    <wps:cNvPr id="125" name="Textbox 125"/>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253</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604480" type="#_x0000_t202" id="docshape103"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253</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12512">
              <wp:simplePos x="0" y="0"/>
              <wp:positionH relativeFrom="page">
                <wp:posOffset>1462786</wp:posOffset>
              </wp:positionH>
              <wp:positionV relativeFrom="page">
                <wp:posOffset>6264741</wp:posOffset>
              </wp:positionV>
              <wp:extent cx="2314575" cy="373380"/>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603968" type="#_x0000_t202" id="docshape104"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2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13024">
              <wp:simplePos x="0" y="0"/>
              <wp:positionH relativeFrom="page">
                <wp:posOffset>457200</wp:posOffset>
              </wp:positionH>
              <wp:positionV relativeFrom="page">
                <wp:posOffset>6244729</wp:posOffset>
              </wp:positionV>
              <wp:extent cx="9147175" cy="906144"/>
              <wp:effectExtent l="0" t="0" r="0" b="0"/>
              <wp:wrapNone/>
              <wp:docPr id="129" name="Graphic 129"/>
              <wp:cNvGraphicFramePr>
                <a:graphicFrameLocks/>
              </wp:cNvGraphicFramePr>
              <a:graphic>
                <a:graphicData uri="http://schemas.microsoft.com/office/word/2010/wordprocessingShape">
                  <wps:wsp>
                    <wps:cNvPr id="129" name="Graphic 129"/>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603456" id="docshape107"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713536">
              <wp:simplePos x="0" y="0"/>
              <wp:positionH relativeFrom="page">
                <wp:posOffset>486460</wp:posOffset>
              </wp:positionH>
              <wp:positionV relativeFrom="page">
                <wp:posOffset>6264741</wp:posOffset>
              </wp:positionV>
              <wp:extent cx="345440" cy="196215"/>
              <wp:effectExtent l="0" t="0" r="0" b="0"/>
              <wp:wrapNone/>
              <wp:docPr id="130" name="Textbox 130"/>
              <wp:cNvGraphicFramePr>
                <a:graphicFrameLocks/>
              </wp:cNvGraphicFramePr>
              <a:graphic>
                <a:graphicData uri="http://schemas.microsoft.com/office/word/2010/wordprocessingShape">
                  <wps:wsp>
                    <wps:cNvPr id="130" name="Textbox 130"/>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263</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602944" type="#_x0000_t202" id="docshape108"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263</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14048">
              <wp:simplePos x="0" y="0"/>
              <wp:positionH relativeFrom="page">
                <wp:posOffset>1462786</wp:posOffset>
              </wp:positionH>
              <wp:positionV relativeFrom="page">
                <wp:posOffset>6264741</wp:posOffset>
              </wp:positionV>
              <wp:extent cx="2314575" cy="373380"/>
              <wp:effectExtent l="0" t="0" r="0" b="0"/>
              <wp:wrapNone/>
              <wp:docPr id="131" name="Textbox 131"/>
              <wp:cNvGraphicFramePr>
                <a:graphicFrameLocks/>
              </wp:cNvGraphicFramePr>
              <a:graphic>
                <a:graphicData uri="http://schemas.microsoft.com/office/word/2010/wordprocessingShape">
                  <wps:wsp>
                    <wps:cNvPr id="131" name="Textbox 131"/>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602432" type="#_x0000_t202" id="docshape109"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2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14560">
              <wp:simplePos x="0" y="0"/>
              <wp:positionH relativeFrom="page">
                <wp:posOffset>457200</wp:posOffset>
              </wp:positionH>
              <wp:positionV relativeFrom="page">
                <wp:posOffset>6244729</wp:posOffset>
              </wp:positionV>
              <wp:extent cx="9147175" cy="906144"/>
              <wp:effectExtent l="0" t="0" r="0" b="0"/>
              <wp:wrapNone/>
              <wp:docPr id="134" name="Graphic 134"/>
              <wp:cNvGraphicFramePr>
                <a:graphicFrameLocks/>
              </wp:cNvGraphicFramePr>
              <a:graphic>
                <a:graphicData uri="http://schemas.microsoft.com/office/word/2010/wordprocessingShape">
                  <wps:wsp>
                    <wps:cNvPr id="134" name="Graphic 134"/>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601920" id="docshape112"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715072">
              <wp:simplePos x="0" y="0"/>
              <wp:positionH relativeFrom="page">
                <wp:posOffset>486460</wp:posOffset>
              </wp:positionH>
              <wp:positionV relativeFrom="page">
                <wp:posOffset>6264741</wp:posOffset>
              </wp:positionV>
              <wp:extent cx="345440" cy="196215"/>
              <wp:effectExtent l="0" t="0" r="0" b="0"/>
              <wp:wrapNone/>
              <wp:docPr id="135" name="Textbox 135"/>
              <wp:cNvGraphicFramePr>
                <a:graphicFrameLocks/>
              </wp:cNvGraphicFramePr>
              <a:graphic>
                <a:graphicData uri="http://schemas.microsoft.com/office/word/2010/wordprocessingShape">
                  <wps:wsp>
                    <wps:cNvPr id="135" name="Textbox 135"/>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302</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601408" type="#_x0000_t202" id="docshape113"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302</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15584">
              <wp:simplePos x="0" y="0"/>
              <wp:positionH relativeFrom="page">
                <wp:posOffset>1462786</wp:posOffset>
              </wp:positionH>
              <wp:positionV relativeFrom="page">
                <wp:posOffset>6264741</wp:posOffset>
              </wp:positionV>
              <wp:extent cx="2314575" cy="373380"/>
              <wp:effectExtent l="0" t="0" r="0" b="0"/>
              <wp:wrapNone/>
              <wp:docPr id="136" name="Textbox 136"/>
              <wp:cNvGraphicFramePr>
                <a:graphicFrameLocks/>
              </wp:cNvGraphicFramePr>
              <a:graphic>
                <a:graphicData uri="http://schemas.microsoft.com/office/word/2010/wordprocessingShape">
                  <wps:wsp>
                    <wps:cNvPr id="136" name="Textbox 136"/>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600896" type="#_x0000_t202" id="docshape114"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2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16096">
              <wp:simplePos x="0" y="0"/>
              <wp:positionH relativeFrom="page">
                <wp:posOffset>457200</wp:posOffset>
              </wp:positionH>
              <wp:positionV relativeFrom="page">
                <wp:posOffset>6244729</wp:posOffset>
              </wp:positionV>
              <wp:extent cx="9147175" cy="906144"/>
              <wp:effectExtent l="0" t="0" r="0" b="0"/>
              <wp:wrapNone/>
              <wp:docPr id="137" name="Graphic 137"/>
              <wp:cNvGraphicFramePr>
                <a:graphicFrameLocks/>
              </wp:cNvGraphicFramePr>
              <a:graphic>
                <a:graphicData uri="http://schemas.microsoft.com/office/word/2010/wordprocessingShape">
                  <wps:wsp>
                    <wps:cNvPr id="137" name="Graphic 137"/>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600384" id="docshape115"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716608">
              <wp:simplePos x="0" y="0"/>
              <wp:positionH relativeFrom="page">
                <wp:posOffset>486460</wp:posOffset>
              </wp:positionH>
              <wp:positionV relativeFrom="page">
                <wp:posOffset>6264741</wp:posOffset>
              </wp:positionV>
              <wp:extent cx="345440" cy="196215"/>
              <wp:effectExtent l="0" t="0" r="0" b="0"/>
              <wp:wrapNone/>
              <wp:docPr id="138" name="Textbox 138"/>
              <wp:cNvGraphicFramePr>
                <a:graphicFrameLocks/>
              </wp:cNvGraphicFramePr>
              <a:graphic>
                <a:graphicData uri="http://schemas.microsoft.com/office/word/2010/wordprocessingShape">
                  <wps:wsp>
                    <wps:cNvPr id="138" name="Textbox 138"/>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323</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599872" type="#_x0000_t202" id="docshape116"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323</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17120">
              <wp:simplePos x="0" y="0"/>
              <wp:positionH relativeFrom="page">
                <wp:posOffset>1462786</wp:posOffset>
              </wp:positionH>
              <wp:positionV relativeFrom="page">
                <wp:posOffset>6264741</wp:posOffset>
              </wp:positionV>
              <wp:extent cx="2314575" cy="373380"/>
              <wp:effectExtent l="0" t="0" r="0" b="0"/>
              <wp:wrapNone/>
              <wp:docPr id="139" name="Textbox 139"/>
              <wp:cNvGraphicFramePr>
                <a:graphicFrameLocks/>
              </wp:cNvGraphicFramePr>
              <a:graphic>
                <a:graphicData uri="http://schemas.microsoft.com/office/word/2010/wordprocessingShape">
                  <wps:wsp>
                    <wps:cNvPr id="139" name="Textbox 139"/>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599360" type="#_x0000_t202" id="docshape117"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3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17632">
              <wp:simplePos x="0" y="0"/>
              <wp:positionH relativeFrom="page">
                <wp:posOffset>457200</wp:posOffset>
              </wp:positionH>
              <wp:positionV relativeFrom="page">
                <wp:posOffset>6244729</wp:posOffset>
              </wp:positionV>
              <wp:extent cx="9147175" cy="906144"/>
              <wp:effectExtent l="0" t="0" r="0" b="0"/>
              <wp:wrapNone/>
              <wp:docPr id="140" name="Graphic 140"/>
              <wp:cNvGraphicFramePr>
                <a:graphicFrameLocks/>
              </wp:cNvGraphicFramePr>
              <a:graphic>
                <a:graphicData uri="http://schemas.microsoft.com/office/word/2010/wordprocessingShape">
                  <wps:wsp>
                    <wps:cNvPr id="140" name="Graphic 140"/>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598848" id="docshape118"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718144">
              <wp:simplePos x="0" y="0"/>
              <wp:positionH relativeFrom="page">
                <wp:posOffset>486460</wp:posOffset>
              </wp:positionH>
              <wp:positionV relativeFrom="page">
                <wp:posOffset>6264741</wp:posOffset>
              </wp:positionV>
              <wp:extent cx="345440" cy="196215"/>
              <wp:effectExtent l="0" t="0" r="0" b="0"/>
              <wp:wrapNone/>
              <wp:docPr id="141" name="Textbox 141"/>
              <wp:cNvGraphicFramePr>
                <a:graphicFrameLocks/>
              </wp:cNvGraphicFramePr>
              <a:graphic>
                <a:graphicData uri="http://schemas.microsoft.com/office/word/2010/wordprocessingShape">
                  <wps:wsp>
                    <wps:cNvPr id="141" name="Textbox 141"/>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327</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598336" type="#_x0000_t202" id="docshape119"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327</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18656">
              <wp:simplePos x="0" y="0"/>
              <wp:positionH relativeFrom="page">
                <wp:posOffset>1462786</wp:posOffset>
              </wp:positionH>
              <wp:positionV relativeFrom="page">
                <wp:posOffset>6264741</wp:posOffset>
              </wp:positionV>
              <wp:extent cx="2314575" cy="373380"/>
              <wp:effectExtent l="0" t="0" r="0" b="0"/>
              <wp:wrapNone/>
              <wp:docPr id="142" name="Textbox 142"/>
              <wp:cNvGraphicFramePr>
                <a:graphicFrameLocks/>
              </wp:cNvGraphicFramePr>
              <a:graphic>
                <a:graphicData uri="http://schemas.microsoft.com/office/word/2010/wordprocessingShape">
                  <wps:wsp>
                    <wps:cNvPr id="142" name="Textbox 142"/>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597824" type="#_x0000_t202" id="docshape120"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3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19168">
              <wp:simplePos x="0" y="0"/>
              <wp:positionH relativeFrom="page">
                <wp:posOffset>457200</wp:posOffset>
              </wp:positionH>
              <wp:positionV relativeFrom="page">
                <wp:posOffset>6244729</wp:posOffset>
              </wp:positionV>
              <wp:extent cx="9147175" cy="906144"/>
              <wp:effectExtent l="0" t="0" r="0" b="0"/>
              <wp:wrapNone/>
              <wp:docPr id="143" name="Graphic 143"/>
              <wp:cNvGraphicFramePr>
                <a:graphicFrameLocks/>
              </wp:cNvGraphicFramePr>
              <a:graphic>
                <a:graphicData uri="http://schemas.microsoft.com/office/word/2010/wordprocessingShape">
                  <wps:wsp>
                    <wps:cNvPr id="143" name="Graphic 143"/>
                    <wps:cNvSpPr/>
                    <wps:spPr>
                      <a:xfrm>
                        <a:off x="0" y="0"/>
                        <a:ext cx="9147175" cy="906144"/>
                      </a:xfrm>
                      <a:custGeom>
                        <a:avLst/>
                        <a:gdLst/>
                        <a:ahLst/>
                        <a:cxnLst/>
                        <a:rect l="l" t="t" r="r" b="b"/>
                        <a:pathLst>
                          <a:path w="9147175" h="906144">
                            <a:moveTo>
                              <a:pt x="960361" y="27444"/>
                            </a:moveTo>
                            <a:lnTo>
                              <a:pt x="932942" y="27444"/>
                            </a:lnTo>
                            <a:lnTo>
                              <a:pt x="932942" y="905573"/>
                            </a:lnTo>
                            <a:lnTo>
                              <a:pt x="960361" y="905573"/>
                            </a:lnTo>
                            <a:lnTo>
                              <a:pt x="960361" y="27444"/>
                            </a:lnTo>
                            <a:close/>
                          </a:path>
                          <a:path w="9147175" h="906144">
                            <a:moveTo>
                              <a:pt x="960361" y="0"/>
                            </a:moveTo>
                            <a:lnTo>
                              <a:pt x="932992" y="0"/>
                            </a:lnTo>
                            <a:lnTo>
                              <a:pt x="0" y="0"/>
                            </a:lnTo>
                            <a:lnTo>
                              <a:pt x="0" y="27419"/>
                            </a:lnTo>
                            <a:lnTo>
                              <a:pt x="932942" y="27419"/>
                            </a:lnTo>
                            <a:lnTo>
                              <a:pt x="960361" y="27419"/>
                            </a:lnTo>
                            <a:lnTo>
                              <a:pt x="960361" y="0"/>
                            </a:lnTo>
                            <a:close/>
                          </a:path>
                          <a:path w="9147175" h="906144">
                            <a:moveTo>
                              <a:pt x="9146667" y="0"/>
                            </a:moveTo>
                            <a:lnTo>
                              <a:pt x="960374" y="0"/>
                            </a:lnTo>
                            <a:lnTo>
                              <a:pt x="960374" y="27419"/>
                            </a:lnTo>
                            <a:lnTo>
                              <a:pt x="9146667" y="27419"/>
                            </a:lnTo>
                            <a:lnTo>
                              <a:pt x="9146667"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style="position:absolute;margin-left:36pt;margin-top:491.710999pt;width:720.25pt;height:71.350pt;mso-position-horizontal-relative:page;mso-position-vertical-relative:page;z-index:-43597312" id="docshape121" coordorigin="720,9834" coordsize="14405,1427" path="m2232,9877l2189,9877,2189,11260,2232,11260,2232,9877xm2232,9834l2189,9834,2189,9834,720,9834,720,9877,2189,9877,2189,9877,2232,9877,2232,9834xm15124,9834l2232,9834,2232,9877,15124,9877,15124,9834xe" filled="true" fillcolor="#808080"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59719680">
              <wp:simplePos x="0" y="0"/>
              <wp:positionH relativeFrom="page">
                <wp:posOffset>486460</wp:posOffset>
              </wp:positionH>
              <wp:positionV relativeFrom="page">
                <wp:posOffset>6264741</wp:posOffset>
              </wp:positionV>
              <wp:extent cx="345440" cy="196215"/>
              <wp:effectExtent l="0" t="0" r="0" b="0"/>
              <wp:wrapNone/>
              <wp:docPr id="144" name="Textbox 144"/>
              <wp:cNvGraphicFramePr>
                <a:graphicFrameLocks/>
              </wp:cNvGraphicFramePr>
              <a:graphic>
                <a:graphicData uri="http://schemas.microsoft.com/office/word/2010/wordprocessingShape">
                  <wps:wsp>
                    <wps:cNvPr id="144" name="Textbox 144"/>
                    <wps:cNvSpPr txBox="1"/>
                    <wps:spPr>
                      <a:xfrm>
                        <a:off x="0" y="0"/>
                        <a:ext cx="345440" cy="196215"/>
                      </a:xfrm>
                      <a:prstGeom prst="rect">
                        <a:avLst/>
                      </a:prstGeom>
                    </wps:spPr>
                    <wps:txbx>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334</w:t>
                          </w:r>
                          <w:r>
                            <w:rPr>
                              <w:b/>
                              <w:spacing w:val="-5"/>
                              <w:sz w:val="24"/>
                            </w:rPr>
                            <w:fldChar w:fldCharType="end"/>
                          </w:r>
                        </w:p>
                      </w:txbxContent>
                    </wps:txbx>
                    <wps:bodyPr wrap="square" lIns="0" tIns="0" rIns="0" bIns="0" rtlCol="0">
                      <a:noAutofit/>
                    </wps:bodyPr>
                  </wps:wsp>
                </a:graphicData>
              </a:graphic>
            </wp:anchor>
          </w:drawing>
        </mc:Choice>
        <mc:Fallback>
          <w:pict>
            <v:shape style="position:absolute;margin-left:38.304001pt;margin-top:493.286713pt;width:27.2pt;height:15.45pt;mso-position-horizontal-relative:page;mso-position-vertical-relative:page;z-index:-43596800" type="#_x0000_t202" id="docshape122" filled="false" stroked="false">
              <v:textbox inset="0,0,0,0">
                <w:txbxContent>
                  <w:p>
                    <w:pPr>
                      <w:spacing w:before="12"/>
                      <w:ind w:left="60" w:right="0" w:firstLine="0"/>
                      <w:jc w:val="left"/>
                      <w:rPr>
                        <w:b/>
                        <w:sz w:val="24"/>
                      </w:rPr>
                    </w:pPr>
                    <w:r>
                      <w:rPr>
                        <w:b/>
                        <w:spacing w:val="-5"/>
                        <w:sz w:val="24"/>
                      </w:rPr>
                      <w:fldChar w:fldCharType="begin"/>
                    </w:r>
                    <w:r>
                      <w:rPr>
                        <w:b/>
                        <w:spacing w:val="-5"/>
                        <w:sz w:val="24"/>
                      </w:rPr>
                      <w:instrText> PAGE </w:instrText>
                    </w:r>
                    <w:r>
                      <w:rPr>
                        <w:b/>
                        <w:spacing w:val="-5"/>
                        <w:sz w:val="24"/>
                      </w:rPr>
                      <w:fldChar w:fldCharType="separate"/>
                    </w:r>
                    <w:r>
                      <w:rPr>
                        <w:b/>
                        <w:spacing w:val="-5"/>
                        <w:sz w:val="24"/>
                      </w:rPr>
                      <w:t>334</w:t>
                    </w:r>
                    <w:r>
                      <w:rPr>
                        <w:b/>
                        <w:spacing w:val="-5"/>
                        <w:sz w:val="24"/>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59720192">
              <wp:simplePos x="0" y="0"/>
              <wp:positionH relativeFrom="page">
                <wp:posOffset>1462786</wp:posOffset>
              </wp:positionH>
              <wp:positionV relativeFrom="page">
                <wp:posOffset>6264741</wp:posOffset>
              </wp:positionV>
              <wp:extent cx="2314575" cy="373380"/>
              <wp:effectExtent l="0" t="0" r="0" b="0"/>
              <wp:wrapNone/>
              <wp:docPr id="145" name="Textbox 145"/>
              <wp:cNvGraphicFramePr>
                <a:graphicFrameLocks/>
              </wp:cNvGraphicFramePr>
              <a:graphic>
                <a:graphicData uri="http://schemas.microsoft.com/office/word/2010/wordprocessingShape">
                  <wps:wsp>
                    <wps:cNvPr id="145" name="Textbox 145"/>
                    <wps:cNvSpPr txBox="1"/>
                    <wps:spPr>
                      <a:xfrm>
                        <a:off x="0" y="0"/>
                        <a:ext cx="2314575" cy="373380"/>
                      </a:xfrm>
                      <a:prstGeom prst="rect">
                        <a:avLst/>
                      </a:prstGeom>
                    </wps:spPr>
                    <wps:txbx>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15.18pt;margin-top:493.286713pt;width:182.25pt;height:29.4pt;mso-position-horizontal-relative:page;mso-position-vertical-relative:page;z-index:-43596288" type="#_x0000_t202" id="docshape123" filled="false" stroked="false">
              <v:textbox inset="0,0,0,0">
                <w:txbxContent>
                  <w:p>
                    <w:pPr>
                      <w:spacing w:line="242" w:lineRule="auto" w:before="12"/>
                      <w:ind w:left="20" w:right="0" w:firstLine="0"/>
                      <w:jc w:val="left"/>
                      <w:rPr>
                        <w:b/>
                        <w:i/>
                        <w:sz w:val="24"/>
                      </w:rPr>
                    </w:pPr>
                    <w:r>
                      <w:rPr>
                        <w:b/>
                        <w:i/>
                        <w:sz w:val="24"/>
                      </w:rPr>
                      <w:t>IMAS:</w:t>
                    </w:r>
                    <w:r>
                      <w:rPr>
                        <w:b/>
                        <w:i/>
                        <w:spacing w:val="-12"/>
                        <w:sz w:val="24"/>
                      </w:rPr>
                      <w:t> </w:t>
                    </w:r>
                    <w:r>
                      <w:rPr>
                        <w:b/>
                        <w:i/>
                        <w:sz w:val="24"/>
                      </w:rPr>
                      <w:t>Plan</w:t>
                    </w:r>
                    <w:r>
                      <w:rPr>
                        <w:b/>
                        <w:i/>
                        <w:spacing w:val="-13"/>
                        <w:sz w:val="24"/>
                      </w:rPr>
                      <w:t> </w:t>
                    </w:r>
                    <w:r>
                      <w:rPr>
                        <w:b/>
                        <w:i/>
                        <w:sz w:val="24"/>
                      </w:rPr>
                      <w:t>Operativo</w:t>
                    </w:r>
                    <w:r>
                      <w:rPr>
                        <w:b/>
                        <w:i/>
                        <w:spacing w:val="-11"/>
                        <w:sz w:val="24"/>
                      </w:rPr>
                      <w:t> </w:t>
                    </w:r>
                    <w:r>
                      <w:rPr>
                        <w:b/>
                        <w:i/>
                        <w:sz w:val="24"/>
                      </w:rPr>
                      <w:t>Gerencial</w:t>
                    </w:r>
                    <w:r>
                      <w:rPr>
                        <w:b/>
                        <w:i/>
                        <w:sz w:val="24"/>
                      </w:rPr>
                      <w:t> </w:t>
                    </w:r>
                    <w:r>
                      <w:rPr>
                        <w:b/>
                        <w:i/>
                        <w:spacing w:val="-4"/>
                        <w:sz w:val="24"/>
                      </w:rPr>
                      <w:t>2026</w:t>
                    </w:r>
                  </w:p>
                </w:txbxContent>
              </v:textbox>
              <w10:wrap type="none"/>
            </v:shape>
          </w:pict>
        </mc:Fallback>
      </mc:AlternateContent>
    </w:r>
  </w:p>
</w:ftr>
</file>

<file path=word/footer3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59720704">
              <wp:simplePos x="0" y="0"/>
              <wp:positionH relativeFrom="page">
                <wp:posOffset>1045260</wp:posOffset>
              </wp:positionH>
              <wp:positionV relativeFrom="page">
                <wp:posOffset>8550741</wp:posOffset>
              </wp:positionV>
              <wp:extent cx="281940" cy="196215"/>
              <wp:effectExtent l="0" t="0" r="0" b="0"/>
              <wp:wrapNone/>
              <wp:docPr id="154" name="Textbox 154"/>
              <wp:cNvGraphicFramePr>
                <a:graphicFrameLocks/>
              </wp:cNvGraphicFramePr>
              <a:graphic>
                <a:graphicData uri="http://schemas.microsoft.com/office/word/2010/wordprocessingShape">
                  <wps:wsp>
                    <wps:cNvPr id="154" name="Textbox 154"/>
                    <wps:cNvSpPr txBox="1"/>
                    <wps:spPr>
                      <a:xfrm>
                        <a:off x="0" y="0"/>
                        <a:ext cx="281940" cy="196215"/>
                      </a:xfrm>
                      <a:prstGeom prst="rect">
                        <a:avLst/>
                      </a:prstGeom>
                    </wps:spPr>
                    <wps:txbx>
                      <w:txbxContent>
                        <w:p>
                          <w:pPr>
                            <w:spacing w:before="12"/>
                            <w:ind w:left="20" w:right="0" w:firstLine="0"/>
                            <w:jc w:val="left"/>
                            <w:rPr>
                              <w:b/>
                              <w:sz w:val="24"/>
                            </w:rPr>
                          </w:pPr>
                          <w:r>
                            <w:rPr>
                              <w:b/>
                              <w:spacing w:val="-5"/>
                              <w:sz w:val="24"/>
                            </w:rPr>
                            <w:t>360</w:t>
                          </w:r>
                        </w:p>
                      </w:txbxContent>
                    </wps:txbx>
                    <wps:bodyPr wrap="square" lIns="0" tIns="0" rIns="0" bIns="0" rtlCol="0">
                      <a:noAutofit/>
                    </wps:bodyPr>
                  </wps:wsp>
                </a:graphicData>
              </a:graphic>
            </wp:anchor>
          </w:drawing>
        </mc:Choice>
        <mc:Fallback>
          <w:pict>
            <v:shape style="position:absolute;margin-left:82.304001pt;margin-top:673.286743pt;width:22.2pt;height:15.45pt;mso-position-horizontal-relative:page;mso-position-vertical-relative:page;z-index:-43595776" type="#_x0000_t202" id="docshape132" filled="false" stroked="false">
              <v:textbox inset="0,0,0,0">
                <w:txbxContent>
                  <w:p>
                    <w:pPr>
                      <w:spacing w:before="12"/>
                      <w:ind w:left="20" w:right="0" w:firstLine="0"/>
                      <w:jc w:val="left"/>
                      <w:rPr>
                        <w:b/>
                        <w:sz w:val="24"/>
                      </w:rPr>
                    </w:pPr>
                    <w:r>
                      <w:rPr>
                        <w:b/>
                        <w:spacing w:val="-5"/>
                        <w:sz w:val="24"/>
                      </w:rPr>
                      <w:t>360</w:t>
                    </w:r>
                  </w:p>
                </w:txbxContent>
              </v:textbox>
              <w10:wrap type="none"/>
            </v:shape>
          </w:pict>
        </mc:Fallback>
      </mc:AlternateContent>
    </w:r>
    <w:r>
      <w:rPr>
        <w:sz w:val="20"/>
      </w:rPr>
      <mc:AlternateContent>
        <mc:Choice Requires="wps">
          <w:drawing>
            <wp:anchor distT="0" distB="0" distL="0" distR="0" allowOverlap="1" layoutInCell="1" locked="0" behindDoc="1" simplePos="0" relativeHeight="459721216">
              <wp:simplePos x="0" y="0"/>
              <wp:positionH relativeFrom="page">
                <wp:posOffset>1636902</wp:posOffset>
              </wp:positionH>
              <wp:positionV relativeFrom="page">
                <wp:posOffset>8550741</wp:posOffset>
              </wp:positionV>
              <wp:extent cx="2900680" cy="196215"/>
              <wp:effectExtent l="0" t="0" r="0" b="0"/>
              <wp:wrapNone/>
              <wp:docPr id="155" name="Textbox 155"/>
              <wp:cNvGraphicFramePr>
                <a:graphicFrameLocks/>
              </wp:cNvGraphicFramePr>
              <a:graphic>
                <a:graphicData uri="http://schemas.microsoft.com/office/word/2010/wordprocessingShape">
                  <wps:wsp>
                    <wps:cNvPr id="155" name="Textbox 155"/>
                    <wps:cNvSpPr txBox="1"/>
                    <wps:spPr>
                      <a:xfrm>
                        <a:off x="0" y="0"/>
                        <a:ext cx="2900680" cy="196215"/>
                      </a:xfrm>
                      <a:prstGeom prst="rect">
                        <a:avLst/>
                      </a:prstGeom>
                    </wps:spPr>
                    <wps:txbx>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3"/>
                              <w:sz w:val="24"/>
                            </w:rPr>
                            <w:t> </w:t>
                          </w:r>
                          <w:r>
                            <w:rPr>
                              <w:b/>
                              <w:i/>
                              <w:sz w:val="24"/>
                            </w:rPr>
                            <w:t>Operativo</w:t>
                          </w:r>
                          <w:r>
                            <w:rPr>
                              <w:b/>
                              <w:i/>
                              <w:spacing w:val="-4"/>
                              <w:sz w:val="24"/>
                            </w:rPr>
                            <w:t> </w:t>
                          </w:r>
                          <w:r>
                            <w:rPr>
                              <w:b/>
                              <w:i/>
                              <w:sz w:val="24"/>
                            </w:rPr>
                            <w:t>Institucional</w:t>
                          </w:r>
                          <w:r>
                            <w:rPr>
                              <w:b/>
                              <w:i/>
                              <w:spacing w:val="-8"/>
                              <w:sz w:val="24"/>
                            </w:rPr>
                            <w:t> </w:t>
                          </w:r>
                          <w:r>
                            <w:rPr>
                              <w:b/>
                              <w:i/>
                              <w:spacing w:val="-4"/>
                              <w:sz w:val="24"/>
                            </w:rPr>
                            <w:t>2026</w:t>
                          </w:r>
                        </w:p>
                      </w:txbxContent>
                    </wps:txbx>
                    <wps:bodyPr wrap="square" lIns="0" tIns="0" rIns="0" bIns="0" rtlCol="0">
                      <a:noAutofit/>
                    </wps:bodyPr>
                  </wps:wsp>
                </a:graphicData>
              </a:graphic>
            </wp:anchor>
          </w:drawing>
        </mc:Choice>
        <mc:Fallback>
          <w:pict>
            <v:shape style="position:absolute;margin-left:128.889999pt;margin-top:673.286743pt;width:228.4pt;height:15.45pt;mso-position-horizontal-relative:page;mso-position-vertical-relative:page;z-index:-43595264" type="#_x0000_t202" id="docshape133" filled="false" stroked="false">
              <v:textbox inset="0,0,0,0">
                <w:txbxContent>
                  <w:p>
                    <w:pPr>
                      <w:spacing w:before="12"/>
                      <w:ind w:left="20" w:right="0" w:firstLine="0"/>
                      <w:jc w:val="left"/>
                      <w:rPr>
                        <w:b/>
                        <w:i/>
                        <w:sz w:val="24"/>
                      </w:rPr>
                    </w:pPr>
                    <w:r>
                      <w:rPr>
                        <w:b/>
                        <w:i/>
                        <w:sz w:val="24"/>
                      </w:rPr>
                      <w:t>IMAS:</w:t>
                    </w:r>
                    <w:r>
                      <w:rPr>
                        <w:b/>
                        <w:i/>
                        <w:spacing w:val="-4"/>
                        <w:sz w:val="24"/>
                      </w:rPr>
                      <w:t> </w:t>
                    </w:r>
                    <w:r>
                      <w:rPr>
                        <w:b/>
                        <w:i/>
                        <w:sz w:val="24"/>
                      </w:rPr>
                      <w:t>Plan</w:t>
                    </w:r>
                    <w:r>
                      <w:rPr>
                        <w:b/>
                        <w:i/>
                        <w:spacing w:val="-3"/>
                        <w:sz w:val="24"/>
                      </w:rPr>
                      <w:t> </w:t>
                    </w:r>
                    <w:r>
                      <w:rPr>
                        <w:b/>
                        <w:i/>
                        <w:sz w:val="24"/>
                      </w:rPr>
                      <w:t>Operativo</w:t>
                    </w:r>
                    <w:r>
                      <w:rPr>
                        <w:b/>
                        <w:i/>
                        <w:spacing w:val="-4"/>
                        <w:sz w:val="24"/>
                      </w:rPr>
                      <w:t> </w:t>
                    </w:r>
                    <w:r>
                      <w:rPr>
                        <w:b/>
                        <w:i/>
                        <w:sz w:val="24"/>
                      </w:rPr>
                      <w:t>Institucional</w:t>
                    </w:r>
                    <w:r>
                      <w:rPr>
                        <w:b/>
                        <w:i/>
                        <w:spacing w:val="-8"/>
                        <w:sz w:val="24"/>
                      </w:rPr>
                      <w:t> </w:t>
                    </w:r>
                    <w:r>
                      <w:rPr>
                        <w:b/>
                        <w:i/>
                        <w:spacing w:val="-4"/>
                        <w:sz w:val="24"/>
                      </w:rPr>
                      <w:t>2026</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
    <w:multiLevelType w:val="hybridMultilevel"/>
    <w:lvl w:ilvl="0">
      <w:start w:val="1"/>
      <w:numFmt w:val="decimal"/>
      <w:lvlText w:val="%1"/>
      <w:lvlJc w:val="left"/>
      <w:pPr>
        <w:ind w:left="74" w:hanging="154"/>
        <w:jc w:val="left"/>
      </w:pPr>
      <w:rPr>
        <w:rFonts w:hint="default" w:ascii="Arial" w:hAnsi="Arial" w:eastAsia="Arial" w:cs="Arial"/>
        <w:b w:val="0"/>
        <w:bCs w:val="0"/>
        <w:i w:val="0"/>
        <w:iCs w:val="0"/>
        <w:spacing w:val="0"/>
        <w:w w:val="101"/>
        <w:sz w:val="18"/>
        <w:szCs w:val="18"/>
        <w:lang w:val="es-ES" w:eastAsia="en-US" w:bidi="ar-SA"/>
      </w:rPr>
    </w:lvl>
    <w:lvl w:ilvl="1">
      <w:start w:val="0"/>
      <w:numFmt w:val="bullet"/>
      <w:lvlText w:val="•"/>
      <w:lvlJc w:val="left"/>
      <w:pPr>
        <w:ind w:left="305" w:hanging="154"/>
      </w:pPr>
      <w:rPr>
        <w:rFonts w:hint="default"/>
        <w:lang w:val="es-ES" w:eastAsia="en-US" w:bidi="ar-SA"/>
      </w:rPr>
    </w:lvl>
    <w:lvl w:ilvl="2">
      <w:start w:val="0"/>
      <w:numFmt w:val="bullet"/>
      <w:lvlText w:val="•"/>
      <w:lvlJc w:val="left"/>
      <w:pPr>
        <w:ind w:left="531" w:hanging="154"/>
      </w:pPr>
      <w:rPr>
        <w:rFonts w:hint="default"/>
        <w:lang w:val="es-ES" w:eastAsia="en-US" w:bidi="ar-SA"/>
      </w:rPr>
    </w:lvl>
    <w:lvl w:ilvl="3">
      <w:start w:val="0"/>
      <w:numFmt w:val="bullet"/>
      <w:lvlText w:val="•"/>
      <w:lvlJc w:val="left"/>
      <w:pPr>
        <w:ind w:left="757" w:hanging="154"/>
      </w:pPr>
      <w:rPr>
        <w:rFonts w:hint="default"/>
        <w:lang w:val="es-ES" w:eastAsia="en-US" w:bidi="ar-SA"/>
      </w:rPr>
    </w:lvl>
    <w:lvl w:ilvl="4">
      <w:start w:val="0"/>
      <w:numFmt w:val="bullet"/>
      <w:lvlText w:val="•"/>
      <w:lvlJc w:val="left"/>
      <w:pPr>
        <w:ind w:left="982" w:hanging="154"/>
      </w:pPr>
      <w:rPr>
        <w:rFonts w:hint="default"/>
        <w:lang w:val="es-ES" w:eastAsia="en-US" w:bidi="ar-SA"/>
      </w:rPr>
    </w:lvl>
    <w:lvl w:ilvl="5">
      <w:start w:val="0"/>
      <w:numFmt w:val="bullet"/>
      <w:lvlText w:val="•"/>
      <w:lvlJc w:val="left"/>
      <w:pPr>
        <w:ind w:left="1208" w:hanging="154"/>
      </w:pPr>
      <w:rPr>
        <w:rFonts w:hint="default"/>
        <w:lang w:val="es-ES" w:eastAsia="en-US" w:bidi="ar-SA"/>
      </w:rPr>
    </w:lvl>
    <w:lvl w:ilvl="6">
      <w:start w:val="0"/>
      <w:numFmt w:val="bullet"/>
      <w:lvlText w:val="•"/>
      <w:lvlJc w:val="left"/>
      <w:pPr>
        <w:ind w:left="1434" w:hanging="154"/>
      </w:pPr>
      <w:rPr>
        <w:rFonts w:hint="default"/>
        <w:lang w:val="es-ES" w:eastAsia="en-US" w:bidi="ar-SA"/>
      </w:rPr>
    </w:lvl>
    <w:lvl w:ilvl="7">
      <w:start w:val="0"/>
      <w:numFmt w:val="bullet"/>
      <w:lvlText w:val="•"/>
      <w:lvlJc w:val="left"/>
      <w:pPr>
        <w:ind w:left="1659" w:hanging="154"/>
      </w:pPr>
      <w:rPr>
        <w:rFonts w:hint="default"/>
        <w:lang w:val="es-ES" w:eastAsia="en-US" w:bidi="ar-SA"/>
      </w:rPr>
    </w:lvl>
    <w:lvl w:ilvl="8">
      <w:start w:val="0"/>
      <w:numFmt w:val="bullet"/>
      <w:lvlText w:val="•"/>
      <w:lvlJc w:val="left"/>
      <w:pPr>
        <w:ind w:left="1885" w:hanging="154"/>
      </w:pPr>
      <w:rPr>
        <w:rFonts w:hint="default"/>
        <w:lang w:val="es-ES" w:eastAsia="en-US" w:bidi="ar-SA"/>
      </w:rPr>
    </w:lvl>
  </w:abstractNum>
  <w:abstractNum w:abstractNumId="124">
    <w:multiLevelType w:val="hybridMultilevel"/>
    <w:lvl w:ilvl="0">
      <w:start w:val="1"/>
      <w:numFmt w:val="decimal"/>
      <w:lvlText w:val="%1"/>
      <w:lvlJc w:val="left"/>
      <w:pPr>
        <w:ind w:left="74" w:hanging="154"/>
        <w:jc w:val="left"/>
      </w:pPr>
      <w:rPr>
        <w:rFonts w:hint="default" w:ascii="Arial" w:hAnsi="Arial" w:eastAsia="Arial" w:cs="Arial"/>
        <w:b w:val="0"/>
        <w:bCs w:val="0"/>
        <w:i w:val="0"/>
        <w:iCs w:val="0"/>
        <w:spacing w:val="0"/>
        <w:w w:val="101"/>
        <w:sz w:val="18"/>
        <w:szCs w:val="18"/>
        <w:lang w:val="es-ES" w:eastAsia="en-US" w:bidi="ar-SA"/>
      </w:rPr>
    </w:lvl>
    <w:lvl w:ilvl="1">
      <w:start w:val="0"/>
      <w:numFmt w:val="bullet"/>
      <w:lvlText w:val="•"/>
      <w:lvlJc w:val="left"/>
      <w:pPr>
        <w:ind w:left="305" w:hanging="154"/>
      </w:pPr>
      <w:rPr>
        <w:rFonts w:hint="default"/>
        <w:lang w:val="es-ES" w:eastAsia="en-US" w:bidi="ar-SA"/>
      </w:rPr>
    </w:lvl>
    <w:lvl w:ilvl="2">
      <w:start w:val="0"/>
      <w:numFmt w:val="bullet"/>
      <w:lvlText w:val="•"/>
      <w:lvlJc w:val="left"/>
      <w:pPr>
        <w:ind w:left="531" w:hanging="154"/>
      </w:pPr>
      <w:rPr>
        <w:rFonts w:hint="default"/>
        <w:lang w:val="es-ES" w:eastAsia="en-US" w:bidi="ar-SA"/>
      </w:rPr>
    </w:lvl>
    <w:lvl w:ilvl="3">
      <w:start w:val="0"/>
      <w:numFmt w:val="bullet"/>
      <w:lvlText w:val="•"/>
      <w:lvlJc w:val="left"/>
      <w:pPr>
        <w:ind w:left="757" w:hanging="154"/>
      </w:pPr>
      <w:rPr>
        <w:rFonts w:hint="default"/>
        <w:lang w:val="es-ES" w:eastAsia="en-US" w:bidi="ar-SA"/>
      </w:rPr>
    </w:lvl>
    <w:lvl w:ilvl="4">
      <w:start w:val="0"/>
      <w:numFmt w:val="bullet"/>
      <w:lvlText w:val="•"/>
      <w:lvlJc w:val="left"/>
      <w:pPr>
        <w:ind w:left="982" w:hanging="154"/>
      </w:pPr>
      <w:rPr>
        <w:rFonts w:hint="default"/>
        <w:lang w:val="es-ES" w:eastAsia="en-US" w:bidi="ar-SA"/>
      </w:rPr>
    </w:lvl>
    <w:lvl w:ilvl="5">
      <w:start w:val="0"/>
      <w:numFmt w:val="bullet"/>
      <w:lvlText w:val="•"/>
      <w:lvlJc w:val="left"/>
      <w:pPr>
        <w:ind w:left="1208" w:hanging="154"/>
      </w:pPr>
      <w:rPr>
        <w:rFonts w:hint="default"/>
        <w:lang w:val="es-ES" w:eastAsia="en-US" w:bidi="ar-SA"/>
      </w:rPr>
    </w:lvl>
    <w:lvl w:ilvl="6">
      <w:start w:val="0"/>
      <w:numFmt w:val="bullet"/>
      <w:lvlText w:val="•"/>
      <w:lvlJc w:val="left"/>
      <w:pPr>
        <w:ind w:left="1434" w:hanging="154"/>
      </w:pPr>
      <w:rPr>
        <w:rFonts w:hint="default"/>
        <w:lang w:val="es-ES" w:eastAsia="en-US" w:bidi="ar-SA"/>
      </w:rPr>
    </w:lvl>
    <w:lvl w:ilvl="7">
      <w:start w:val="0"/>
      <w:numFmt w:val="bullet"/>
      <w:lvlText w:val="•"/>
      <w:lvlJc w:val="left"/>
      <w:pPr>
        <w:ind w:left="1659" w:hanging="154"/>
      </w:pPr>
      <w:rPr>
        <w:rFonts w:hint="default"/>
        <w:lang w:val="es-ES" w:eastAsia="en-US" w:bidi="ar-SA"/>
      </w:rPr>
    </w:lvl>
    <w:lvl w:ilvl="8">
      <w:start w:val="0"/>
      <w:numFmt w:val="bullet"/>
      <w:lvlText w:val="•"/>
      <w:lvlJc w:val="left"/>
      <w:pPr>
        <w:ind w:left="1885" w:hanging="154"/>
      </w:pPr>
      <w:rPr>
        <w:rFonts w:hint="default"/>
        <w:lang w:val="es-ES" w:eastAsia="en-US" w:bidi="ar-SA"/>
      </w:rPr>
    </w:lvl>
  </w:abstractNum>
  <w:abstractNum w:abstractNumId="123">
    <w:multiLevelType w:val="hybridMultilevel"/>
    <w:lvl w:ilvl="0">
      <w:start w:val="1"/>
      <w:numFmt w:val="decimal"/>
      <w:lvlText w:val="%1)"/>
      <w:lvlJc w:val="left"/>
      <w:pPr>
        <w:ind w:left="72" w:hanging="21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340" w:hanging="216"/>
      </w:pPr>
      <w:rPr>
        <w:rFonts w:hint="default"/>
        <w:lang w:val="es-ES" w:eastAsia="en-US" w:bidi="ar-SA"/>
      </w:rPr>
    </w:lvl>
    <w:lvl w:ilvl="2">
      <w:start w:val="0"/>
      <w:numFmt w:val="bullet"/>
      <w:lvlText w:val="•"/>
      <w:lvlJc w:val="left"/>
      <w:pPr>
        <w:ind w:left="601" w:hanging="216"/>
      </w:pPr>
      <w:rPr>
        <w:rFonts w:hint="default"/>
        <w:lang w:val="es-ES" w:eastAsia="en-US" w:bidi="ar-SA"/>
      </w:rPr>
    </w:lvl>
    <w:lvl w:ilvl="3">
      <w:start w:val="0"/>
      <w:numFmt w:val="bullet"/>
      <w:lvlText w:val="•"/>
      <w:lvlJc w:val="left"/>
      <w:pPr>
        <w:ind w:left="862" w:hanging="216"/>
      </w:pPr>
      <w:rPr>
        <w:rFonts w:hint="default"/>
        <w:lang w:val="es-ES" w:eastAsia="en-US" w:bidi="ar-SA"/>
      </w:rPr>
    </w:lvl>
    <w:lvl w:ilvl="4">
      <w:start w:val="0"/>
      <w:numFmt w:val="bullet"/>
      <w:lvlText w:val="•"/>
      <w:lvlJc w:val="left"/>
      <w:pPr>
        <w:ind w:left="1122" w:hanging="216"/>
      </w:pPr>
      <w:rPr>
        <w:rFonts w:hint="default"/>
        <w:lang w:val="es-ES" w:eastAsia="en-US" w:bidi="ar-SA"/>
      </w:rPr>
    </w:lvl>
    <w:lvl w:ilvl="5">
      <w:start w:val="0"/>
      <w:numFmt w:val="bullet"/>
      <w:lvlText w:val="•"/>
      <w:lvlJc w:val="left"/>
      <w:pPr>
        <w:ind w:left="1383" w:hanging="216"/>
      </w:pPr>
      <w:rPr>
        <w:rFonts w:hint="default"/>
        <w:lang w:val="es-ES" w:eastAsia="en-US" w:bidi="ar-SA"/>
      </w:rPr>
    </w:lvl>
    <w:lvl w:ilvl="6">
      <w:start w:val="0"/>
      <w:numFmt w:val="bullet"/>
      <w:lvlText w:val="•"/>
      <w:lvlJc w:val="left"/>
      <w:pPr>
        <w:ind w:left="1644" w:hanging="216"/>
      </w:pPr>
      <w:rPr>
        <w:rFonts w:hint="default"/>
        <w:lang w:val="es-ES" w:eastAsia="en-US" w:bidi="ar-SA"/>
      </w:rPr>
    </w:lvl>
    <w:lvl w:ilvl="7">
      <w:start w:val="0"/>
      <w:numFmt w:val="bullet"/>
      <w:lvlText w:val="•"/>
      <w:lvlJc w:val="left"/>
      <w:pPr>
        <w:ind w:left="1904" w:hanging="216"/>
      </w:pPr>
      <w:rPr>
        <w:rFonts w:hint="default"/>
        <w:lang w:val="es-ES" w:eastAsia="en-US" w:bidi="ar-SA"/>
      </w:rPr>
    </w:lvl>
    <w:lvl w:ilvl="8">
      <w:start w:val="0"/>
      <w:numFmt w:val="bullet"/>
      <w:lvlText w:val="•"/>
      <w:lvlJc w:val="left"/>
      <w:pPr>
        <w:ind w:left="2165" w:hanging="216"/>
      </w:pPr>
      <w:rPr>
        <w:rFonts w:hint="default"/>
        <w:lang w:val="es-ES" w:eastAsia="en-US" w:bidi="ar-SA"/>
      </w:rPr>
    </w:lvl>
  </w:abstractNum>
  <w:abstractNum w:abstractNumId="122">
    <w:multiLevelType w:val="hybridMultilevel"/>
    <w:lvl w:ilvl="0">
      <w:start w:val="1"/>
      <w:numFmt w:val="decimal"/>
      <w:lvlText w:val="%1."/>
      <w:lvlJc w:val="left"/>
      <w:pPr>
        <w:ind w:left="274"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444" w:hanging="206"/>
      </w:pPr>
      <w:rPr>
        <w:rFonts w:hint="default"/>
        <w:lang w:val="es-ES" w:eastAsia="en-US" w:bidi="ar-SA"/>
      </w:rPr>
    </w:lvl>
    <w:lvl w:ilvl="2">
      <w:start w:val="0"/>
      <w:numFmt w:val="bullet"/>
      <w:lvlText w:val="•"/>
      <w:lvlJc w:val="left"/>
      <w:pPr>
        <w:ind w:left="609" w:hanging="206"/>
      </w:pPr>
      <w:rPr>
        <w:rFonts w:hint="default"/>
        <w:lang w:val="es-ES" w:eastAsia="en-US" w:bidi="ar-SA"/>
      </w:rPr>
    </w:lvl>
    <w:lvl w:ilvl="3">
      <w:start w:val="0"/>
      <w:numFmt w:val="bullet"/>
      <w:lvlText w:val="•"/>
      <w:lvlJc w:val="left"/>
      <w:pPr>
        <w:ind w:left="774" w:hanging="206"/>
      </w:pPr>
      <w:rPr>
        <w:rFonts w:hint="default"/>
        <w:lang w:val="es-ES" w:eastAsia="en-US" w:bidi="ar-SA"/>
      </w:rPr>
    </w:lvl>
    <w:lvl w:ilvl="4">
      <w:start w:val="0"/>
      <w:numFmt w:val="bullet"/>
      <w:lvlText w:val="•"/>
      <w:lvlJc w:val="left"/>
      <w:pPr>
        <w:ind w:left="939" w:hanging="206"/>
      </w:pPr>
      <w:rPr>
        <w:rFonts w:hint="default"/>
        <w:lang w:val="es-ES" w:eastAsia="en-US" w:bidi="ar-SA"/>
      </w:rPr>
    </w:lvl>
    <w:lvl w:ilvl="5">
      <w:start w:val="0"/>
      <w:numFmt w:val="bullet"/>
      <w:lvlText w:val="•"/>
      <w:lvlJc w:val="left"/>
      <w:pPr>
        <w:ind w:left="1104" w:hanging="206"/>
      </w:pPr>
      <w:rPr>
        <w:rFonts w:hint="default"/>
        <w:lang w:val="es-ES" w:eastAsia="en-US" w:bidi="ar-SA"/>
      </w:rPr>
    </w:lvl>
    <w:lvl w:ilvl="6">
      <w:start w:val="0"/>
      <w:numFmt w:val="bullet"/>
      <w:lvlText w:val="•"/>
      <w:lvlJc w:val="left"/>
      <w:pPr>
        <w:ind w:left="1269" w:hanging="206"/>
      </w:pPr>
      <w:rPr>
        <w:rFonts w:hint="default"/>
        <w:lang w:val="es-ES" w:eastAsia="en-US" w:bidi="ar-SA"/>
      </w:rPr>
    </w:lvl>
    <w:lvl w:ilvl="7">
      <w:start w:val="0"/>
      <w:numFmt w:val="bullet"/>
      <w:lvlText w:val="•"/>
      <w:lvlJc w:val="left"/>
      <w:pPr>
        <w:ind w:left="1434" w:hanging="206"/>
      </w:pPr>
      <w:rPr>
        <w:rFonts w:hint="default"/>
        <w:lang w:val="es-ES" w:eastAsia="en-US" w:bidi="ar-SA"/>
      </w:rPr>
    </w:lvl>
    <w:lvl w:ilvl="8">
      <w:start w:val="0"/>
      <w:numFmt w:val="bullet"/>
      <w:lvlText w:val="•"/>
      <w:lvlJc w:val="left"/>
      <w:pPr>
        <w:ind w:left="1599" w:hanging="206"/>
      </w:pPr>
      <w:rPr>
        <w:rFonts w:hint="default"/>
        <w:lang w:val="es-ES" w:eastAsia="en-US" w:bidi="ar-SA"/>
      </w:rPr>
    </w:lvl>
  </w:abstractNum>
  <w:abstractNum w:abstractNumId="121">
    <w:multiLevelType w:val="hybridMultilevel"/>
    <w:lvl w:ilvl="0">
      <w:start w:val="1"/>
      <w:numFmt w:val="decimal"/>
      <w:lvlText w:val="%1."/>
      <w:lvlJc w:val="left"/>
      <w:pPr>
        <w:ind w:left="274"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444" w:hanging="206"/>
      </w:pPr>
      <w:rPr>
        <w:rFonts w:hint="default"/>
        <w:lang w:val="es-ES" w:eastAsia="en-US" w:bidi="ar-SA"/>
      </w:rPr>
    </w:lvl>
    <w:lvl w:ilvl="2">
      <w:start w:val="0"/>
      <w:numFmt w:val="bullet"/>
      <w:lvlText w:val="•"/>
      <w:lvlJc w:val="left"/>
      <w:pPr>
        <w:ind w:left="609" w:hanging="206"/>
      </w:pPr>
      <w:rPr>
        <w:rFonts w:hint="default"/>
        <w:lang w:val="es-ES" w:eastAsia="en-US" w:bidi="ar-SA"/>
      </w:rPr>
    </w:lvl>
    <w:lvl w:ilvl="3">
      <w:start w:val="0"/>
      <w:numFmt w:val="bullet"/>
      <w:lvlText w:val="•"/>
      <w:lvlJc w:val="left"/>
      <w:pPr>
        <w:ind w:left="774" w:hanging="206"/>
      </w:pPr>
      <w:rPr>
        <w:rFonts w:hint="default"/>
        <w:lang w:val="es-ES" w:eastAsia="en-US" w:bidi="ar-SA"/>
      </w:rPr>
    </w:lvl>
    <w:lvl w:ilvl="4">
      <w:start w:val="0"/>
      <w:numFmt w:val="bullet"/>
      <w:lvlText w:val="•"/>
      <w:lvlJc w:val="left"/>
      <w:pPr>
        <w:ind w:left="939" w:hanging="206"/>
      </w:pPr>
      <w:rPr>
        <w:rFonts w:hint="default"/>
        <w:lang w:val="es-ES" w:eastAsia="en-US" w:bidi="ar-SA"/>
      </w:rPr>
    </w:lvl>
    <w:lvl w:ilvl="5">
      <w:start w:val="0"/>
      <w:numFmt w:val="bullet"/>
      <w:lvlText w:val="•"/>
      <w:lvlJc w:val="left"/>
      <w:pPr>
        <w:ind w:left="1104" w:hanging="206"/>
      </w:pPr>
      <w:rPr>
        <w:rFonts w:hint="default"/>
        <w:lang w:val="es-ES" w:eastAsia="en-US" w:bidi="ar-SA"/>
      </w:rPr>
    </w:lvl>
    <w:lvl w:ilvl="6">
      <w:start w:val="0"/>
      <w:numFmt w:val="bullet"/>
      <w:lvlText w:val="•"/>
      <w:lvlJc w:val="left"/>
      <w:pPr>
        <w:ind w:left="1269" w:hanging="206"/>
      </w:pPr>
      <w:rPr>
        <w:rFonts w:hint="default"/>
        <w:lang w:val="es-ES" w:eastAsia="en-US" w:bidi="ar-SA"/>
      </w:rPr>
    </w:lvl>
    <w:lvl w:ilvl="7">
      <w:start w:val="0"/>
      <w:numFmt w:val="bullet"/>
      <w:lvlText w:val="•"/>
      <w:lvlJc w:val="left"/>
      <w:pPr>
        <w:ind w:left="1434" w:hanging="206"/>
      </w:pPr>
      <w:rPr>
        <w:rFonts w:hint="default"/>
        <w:lang w:val="es-ES" w:eastAsia="en-US" w:bidi="ar-SA"/>
      </w:rPr>
    </w:lvl>
    <w:lvl w:ilvl="8">
      <w:start w:val="0"/>
      <w:numFmt w:val="bullet"/>
      <w:lvlText w:val="•"/>
      <w:lvlJc w:val="left"/>
      <w:pPr>
        <w:ind w:left="1599" w:hanging="206"/>
      </w:pPr>
      <w:rPr>
        <w:rFonts w:hint="default"/>
        <w:lang w:val="es-ES" w:eastAsia="en-US" w:bidi="ar-SA"/>
      </w:rPr>
    </w:lvl>
  </w:abstractNum>
  <w:abstractNum w:abstractNumId="120">
    <w:multiLevelType w:val="hybridMultilevel"/>
    <w:lvl w:ilvl="0">
      <w:start w:val="1"/>
      <w:numFmt w:val="decimal"/>
      <w:lvlText w:val="%1."/>
      <w:lvlJc w:val="left"/>
      <w:pPr>
        <w:ind w:left="68"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46" w:hanging="206"/>
      </w:pPr>
      <w:rPr>
        <w:rFonts w:hint="default"/>
        <w:lang w:val="es-ES" w:eastAsia="en-US" w:bidi="ar-SA"/>
      </w:rPr>
    </w:lvl>
    <w:lvl w:ilvl="2">
      <w:start w:val="0"/>
      <w:numFmt w:val="bullet"/>
      <w:lvlText w:val="•"/>
      <w:lvlJc w:val="left"/>
      <w:pPr>
        <w:ind w:left="433" w:hanging="206"/>
      </w:pPr>
      <w:rPr>
        <w:rFonts w:hint="default"/>
        <w:lang w:val="es-ES" w:eastAsia="en-US" w:bidi="ar-SA"/>
      </w:rPr>
    </w:lvl>
    <w:lvl w:ilvl="3">
      <w:start w:val="0"/>
      <w:numFmt w:val="bullet"/>
      <w:lvlText w:val="•"/>
      <w:lvlJc w:val="left"/>
      <w:pPr>
        <w:ind w:left="620" w:hanging="206"/>
      </w:pPr>
      <w:rPr>
        <w:rFonts w:hint="default"/>
        <w:lang w:val="es-ES" w:eastAsia="en-US" w:bidi="ar-SA"/>
      </w:rPr>
    </w:lvl>
    <w:lvl w:ilvl="4">
      <w:start w:val="0"/>
      <w:numFmt w:val="bullet"/>
      <w:lvlText w:val="•"/>
      <w:lvlJc w:val="left"/>
      <w:pPr>
        <w:ind w:left="807" w:hanging="206"/>
      </w:pPr>
      <w:rPr>
        <w:rFonts w:hint="default"/>
        <w:lang w:val="es-ES" w:eastAsia="en-US" w:bidi="ar-SA"/>
      </w:rPr>
    </w:lvl>
    <w:lvl w:ilvl="5">
      <w:start w:val="0"/>
      <w:numFmt w:val="bullet"/>
      <w:lvlText w:val="•"/>
      <w:lvlJc w:val="left"/>
      <w:pPr>
        <w:ind w:left="994" w:hanging="206"/>
      </w:pPr>
      <w:rPr>
        <w:rFonts w:hint="default"/>
        <w:lang w:val="es-ES" w:eastAsia="en-US" w:bidi="ar-SA"/>
      </w:rPr>
    </w:lvl>
    <w:lvl w:ilvl="6">
      <w:start w:val="0"/>
      <w:numFmt w:val="bullet"/>
      <w:lvlText w:val="•"/>
      <w:lvlJc w:val="left"/>
      <w:pPr>
        <w:ind w:left="1181" w:hanging="206"/>
      </w:pPr>
      <w:rPr>
        <w:rFonts w:hint="default"/>
        <w:lang w:val="es-ES" w:eastAsia="en-US" w:bidi="ar-SA"/>
      </w:rPr>
    </w:lvl>
    <w:lvl w:ilvl="7">
      <w:start w:val="0"/>
      <w:numFmt w:val="bullet"/>
      <w:lvlText w:val="•"/>
      <w:lvlJc w:val="left"/>
      <w:pPr>
        <w:ind w:left="1368" w:hanging="206"/>
      </w:pPr>
      <w:rPr>
        <w:rFonts w:hint="default"/>
        <w:lang w:val="es-ES" w:eastAsia="en-US" w:bidi="ar-SA"/>
      </w:rPr>
    </w:lvl>
    <w:lvl w:ilvl="8">
      <w:start w:val="0"/>
      <w:numFmt w:val="bullet"/>
      <w:lvlText w:val="•"/>
      <w:lvlJc w:val="left"/>
      <w:pPr>
        <w:ind w:left="1555" w:hanging="206"/>
      </w:pPr>
      <w:rPr>
        <w:rFonts w:hint="default"/>
        <w:lang w:val="es-ES" w:eastAsia="en-US" w:bidi="ar-SA"/>
      </w:rPr>
    </w:lvl>
  </w:abstractNum>
  <w:abstractNum w:abstractNumId="119">
    <w:multiLevelType w:val="hybridMultilevel"/>
    <w:lvl w:ilvl="0">
      <w:start w:val="1"/>
      <w:numFmt w:val="decimal"/>
      <w:lvlText w:val="%1."/>
      <w:lvlJc w:val="left"/>
      <w:pPr>
        <w:ind w:left="68"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46" w:hanging="206"/>
      </w:pPr>
      <w:rPr>
        <w:rFonts w:hint="default"/>
        <w:lang w:val="es-ES" w:eastAsia="en-US" w:bidi="ar-SA"/>
      </w:rPr>
    </w:lvl>
    <w:lvl w:ilvl="2">
      <w:start w:val="0"/>
      <w:numFmt w:val="bullet"/>
      <w:lvlText w:val="•"/>
      <w:lvlJc w:val="left"/>
      <w:pPr>
        <w:ind w:left="433" w:hanging="206"/>
      </w:pPr>
      <w:rPr>
        <w:rFonts w:hint="default"/>
        <w:lang w:val="es-ES" w:eastAsia="en-US" w:bidi="ar-SA"/>
      </w:rPr>
    </w:lvl>
    <w:lvl w:ilvl="3">
      <w:start w:val="0"/>
      <w:numFmt w:val="bullet"/>
      <w:lvlText w:val="•"/>
      <w:lvlJc w:val="left"/>
      <w:pPr>
        <w:ind w:left="620" w:hanging="206"/>
      </w:pPr>
      <w:rPr>
        <w:rFonts w:hint="default"/>
        <w:lang w:val="es-ES" w:eastAsia="en-US" w:bidi="ar-SA"/>
      </w:rPr>
    </w:lvl>
    <w:lvl w:ilvl="4">
      <w:start w:val="0"/>
      <w:numFmt w:val="bullet"/>
      <w:lvlText w:val="•"/>
      <w:lvlJc w:val="left"/>
      <w:pPr>
        <w:ind w:left="807" w:hanging="206"/>
      </w:pPr>
      <w:rPr>
        <w:rFonts w:hint="default"/>
        <w:lang w:val="es-ES" w:eastAsia="en-US" w:bidi="ar-SA"/>
      </w:rPr>
    </w:lvl>
    <w:lvl w:ilvl="5">
      <w:start w:val="0"/>
      <w:numFmt w:val="bullet"/>
      <w:lvlText w:val="•"/>
      <w:lvlJc w:val="left"/>
      <w:pPr>
        <w:ind w:left="994" w:hanging="206"/>
      </w:pPr>
      <w:rPr>
        <w:rFonts w:hint="default"/>
        <w:lang w:val="es-ES" w:eastAsia="en-US" w:bidi="ar-SA"/>
      </w:rPr>
    </w:lvl>
    <w:lvl w:ilvl="6">
      <w:start w:val="0"/>
      <w:numFmt w:val="bullet"/>
      <w:lvlText w:val="•"/>
      <w:lvlJc w:val="left"/>
      <w:pPr>
        <w:ind w:left="1181" w:hanging="206"/>
      </w:pPr>
      <w:rPr>
        <w:rFonts w:hint="default"/>
        <w:lang w:val="es-ES" w:eastAsia="en-US" w:bidi="ar-SA"/>
      </w:rPr>
    </w:lvl>
    <w:lvl w:ilvl="7">
      <w:start w:val="0"/>
      <w:numFmt w:val="bullet"/>
      <w:lvlText w:val="•"/>
      <w:lvlJc w:val="left"/>
      <w:pPr>
        <w:ind w:left="1368" w:hanging="206"/>
      </w:pPr>
      <w:rPr>
        <w:rFonts w:hint="default"/>
        <w:lang w:val="es-ES" w:eastAsia="en-US" w:bidi="ar-SA"/>
      </w:rPr>
    </w:lvl>
    <w:lvl w:ilvl="8">
      <w:start w:val="0"/>
      <w:numFmt w:val="bullet"/>
      <w:lvlText w:val="•"/>
      <w:lvlJc w:val="left"/>
      <w:pPr>
        <w:ind w:left="1555" w:hanging="206"/>
      </w:pPr>
      <w:rPr>
        <w:rFonts w:hint="default"/>
        <w:lang w:val="es-ES" w:eastAsia="en-US" w:bidi="ar-SA"/>
      </w:rPr>
    </w:lvl>
  </w:abstractNum>
  <w:abstractNum w:abstractNumId="118">
    <w:multiLevelType w:val="hybridMultilevel"/>
    <w:lvl w:ilvl="0">
      <w:start w:val="1"/>
      <w:numFmt w:val="decimal"/>
      <w:lvlText w:val="%1."/>
      <w:lvlJc w:val="left"/>
      <w:pPr>
        <w:ind w:left="68"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46" w:hanging="206"/>
      </w:pPr>
      <w:rPr>
        <w:rFonts w:hint="default"/>
        <w:lang w:val="es-ES" w:eastAsia="en-US" w:bidi="ar-SA"/>
      </w:rPr>
    </w:lvl>
    <w:lvl w:ilvl="2">
      <w:start w:val="0"/>
      <w:numFmt w:val="bullet"/>
      <w:lvlText w:val="•"/>
      <w:lvlJc w:val="left"/>
      <w:pPr>
        <w:ind w:left="433" w:hanging="206"/>
      </w:pPr>
      <w:rPr>
        <w:rFonts w:hint="default"/>
        <w:lang w:val="es-ES" w:eastAsia="en-US" w:bidi="ar-SA"/>
      </w:rPr>
    </w:lvl>
    <w:lvl w:ilvl="3">
      <w:start w:val="0"/>
      <w:numFmt w:val="bullet"/>
      <w:lvlText w:val="•"/>
      <w:lvlJc w:val="left"/>
      <w:pPr>
        <w:ind w:left="620" w:hanging="206"/>
      </w:pPr>
      <w:rPr>
        <w:rFonts w:hint="default"/>
        <w:lang w:val="es-ES" w:eastAsia="en-US" w:bidi="ar-SA"/>
      </w:rPr>
    </w:lvl>
    <w:lvl w:ilvl="4">
      <w:start w:val="0"/>
      <w:numFmt w:val="bullet"/>
      <w:lvlText w:val="•"/>
      <w:lvlJc w:val="left"/>
      <w:pPr>
        <w:ind w:left="807" w:hanging="206"/>
      </w:pPr>
      <w:rPr>
        <w:rFonts w:hint="default"/>
        <w:lang w:val="es-ES" w:eastAsia="en-US" w:bidi="ar-SA"/>
      </w:rPr>
    </w:lvl>
    <w:lvl w:ilvl="5">
      <w:start w:val="0"/>
      <w:numFmt w:val="bullet"/>
      <w:lvlText w:val="•"/>
      <w:lvlJc w:val="left"/>
      <w:pPr>
        <w:ind w:left="994" w:hanging="206"/>
      </w:pPr>
      <w:rPr>
        <w:rFonts w:hint="default"/>
        <w:lang w:val="es-ES" w:eastAsia="en-US" w:bidi="ar-SA"/>
      </w:rPr>
    </w:lvl>
    <w:lvl w:ilvl="6">
      <w:start w:val="0"/>
      <w:numFmt w:val="bullet"/>
      <w:lvlText w:val="•"/>
      <w:lvlJc w:val="left"/>
      <w:pPr>
        <w:ind w:left="1181" w:hanging="206"/>
      </w:pPr>
      <w:rPr>
        <w:rFonts w:hint="default"/>
        <w:lang w:val="es-ES" w:eastAsia="en-US" w:bidi="ar-SA"/>
      </w:rPr>
    </w:lvl>
    <w:lvl w:ilvl="7">
      <w:start w:val="0"/>
      <w:numFmt w:val="bullet"/>
      <w:lvlText w:val="•"/>
      <w:lvlJc w:val="left"/>
      <w:pPr>
        <w:ind w:left="1368" w:hanging="206"/>
      </w:pPr>
      <w:rPr>
        <w:rFonts w:hint="default"/>
        <w:lang w:val="es-ES" w:eastAsia="en-US" w:bidi="ar-SA"/>
      </w:rPr>
    </w:lvl>
    <w:lvl w:ilvl="8">
      <w:start w:val="0"/>
      <w:numFmt w:val="bullet"/>
      <w:lvlText w:val="•"/>
      <w:lvlJc w:val="left"/>
      <w:pPr>
        <w:ind w:left="1555" w:hanging="206"/>
      </w:pPr>
      <w:rPr>
        <w:rFonts w:hint="default"/>
        <w:lang w:val="es-ES" w:eastAsia="en-US" w:bidi="ar-SA"/>
      </w:rPr>
    </w:lvl>
  </w:abstractNum>
  <w:abstractNum w:abstractNumId="117">
    <w:multiLevelType w:val="hybridMultilevel"/>
    <w:lvl w:ilvl="0">
      <w:start w:val="1"/>
      <w:numFmt w:val="decimal"/>
      <w:lvlText w:val="%1."/>
      <w:lvlJc w:val="left"/>
      <w:pPr>
        <w:ind w:left="274"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444" w:hanging="206"/>
      </w:pPr>
      <w:rPr>
        <w:rFonts w:hint="default"/>
        <w:lang w:val="es-ES" w:eastAsia="en-US" w:bidi="ar-SA"/>
      </w:rPr>
    </w:lvl>
    <w:lvl w:ilvl="2">
      <w:start w:val="0"/>
      <w:numFmt w:val="bullet"/>
      <w:lvlText w:val="•"/>
      <w:lvlJc w:val="left"/>
      <w:pPr>
        <w:ind w:left="609" w:hanging="206"/>
      </w:pPr>
      <w:rPr>
        <w:rFonts w:hint="default"/>
        <w:lang w:val="es-ES" w:eastAsia="en-US" w:bidi="ar-SA"/>
      </w:rPr>
    </w:lvl>
    <w:lvl w:ilvl="3">
      <w:start w:val="0"/>
      <w:numFmt w:val="bullet"/>
      <w:lvlText w:val="•"/>
      <w:lvlJc w:val="left"/>
      <w:pPr>
        <w:ind w:left="774" w:hanging="206"/>
      </w:pPr>
      <w:rPr>
        <w:rFonts w:hint="default"/>
        <w:lang w:val="es-ES" w:eastAsia="en-US" w:bidi="ar-SA"/>
      </w:rPr>
    </w:lvl>
    <w:lvl w:ilvl="4">
      <w:start w:val="0"/>
      <w:numFmt w:val="bullet"/>
      <w:lvlText w:val="•"/>
      <w:lvlJc w:val="left"/>
      <w:pPr>
        <w:ind w:left="939" w:hanging="206"/>
      </w:pPr>
      <w:rPr>
        <w:rFonts w:hint="default"/>
        <w:lang w:val="es-ES" w:eastAsia="en-US" w:bidi="ar-SA"/>
      </w:rPr>
    </w:lvl>
    <w:lvl w:ilvl="5">
      <w:start w:val="0"/>
      <w:numFmt w:val="bullet"/>
      <w:lvlText w:val="•"/>
      <w:lvlJc w:val="left"/>
      <w:pPr>
        <w:ind w:left="1104" w:hanging="206"/>
      </w:pPr>
      <w:rPr>
        <w:rFonts w:hint="default"/>
        <w:lang w:val="es-ES" w:eastAsia="en-US" w:bidi="ar-SA"/>
      </w:rPr>
    </w:lvl>
    <w:lvl w:ilvl="6">
      <w:start w:val="0"/>
      <w:numFmt w:val="bullet"/>
      <w:lvlText w:val="•"/>
      <w:lvlJc w:val="left"/>
      <w:pPr>
        <w:ind w:left="1269" w:hanging="206"/>
      </w:pPr>
      <w:rPr>
        <w:rFonts w:hint="default"/>
        <w:lang w:val="es-ES" w:eastAsia="en-US" w:bidi="ar-SA"/>
      </w:rPr>
    </w:lvl>
    <w:lvl w:ilvl="7">
      <w:start w:val="0"/>
      <w:numFmt w:val="bullet"/>
      <w:lvlText w:val="•"/>
      <w:lvlJc w:val="left"/>
      <w:pPr>
        <w:ind w:left="1434" w:hanging="206"/>
      </w:pPr>
      <w:rPr>
        <w:rFonts w:hint="default"/>
        <w:lang w:val="es-ES" w:eastAsia="en-US" w:bidi="ar-SA"/>
      </w:rPr>
    </w:lvl>
    <w:lvl w:ilvl="8">
      <w:start w:val="0"/>
      <w:numFmt w:val="bullet"/>
      <w:lvlText w:val="•"/>
      <w:lvlJc w:val="left"/>
      <w:pPr>
        <w:ind w:left="1599" w:hanging="206"/>
      </w:pPr>
      <w:rPr>
        <w:rFonts w:hint="default"/>
        <w:lang w:val="es-ES" w:eastAsia="en-US" w:bidi="ar-SA"/>
      </w:rPr>
    </w:lvl>
  </w:abstractNum>
  <w:abstractNum w:abstractNumId="116">
    <w:multiLevelType w:val="hybridMultilevel"/>
    <w:lvl w:ilvl="0">
      <w:start w:val="1"/>
      <w:numFmt w:val="decimal"/>
      <w:lvlText w:val="%1."/>
      <w:lvlJc w:val="left"/>
      <w:pPr>
        <w:ind w:left="68"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46" w:hanging="206"/>
      </w:pPr>
      <w:rPr>
        <w:rFonts w:hint="default"/>
        <w:lang w:val="es-ES" w:eastAsia="en-US" w:bidi="ar-SA"/>
      </w:rPr>
    </w:lvl>
    <w:lvl w:ilvl="2">
      <w:start w:val="0"/>
      <w:numFmt w:val="bullet"/>
      <w:lvlText w:val="•"/>
      <w:lvlJc w:val="left"/>
      <w:pPr>
        <w:ind w:left="433" w:hanging="206"/>
      </w:pPr>
      <w:rPr>
        <w:rFonts w:hint="default"/>
        <w:lang w:val="es-ES" w:eastAsia="en-US" w:bidi="ar-SA"/>
      </w:rPr>
    </w:lvl>
    <w:lvl w:ilvl="3">
      <w:start w:val="0"/>
      <w:numFmt w:val="bullet"/>
      <w:lvlText w:val="•"/>
      <w:lvlJc w:val="left"/>
      <w:pPr>
        <w:ind w:left="620" w:hanging="206"/>
      </w:pPr>
      <w:rPr>
        <w:rFonts w:hint="default"/>
        <w:lang w:val="es-ES" w:eastAsia="en-US" w:bidi="ar-SA"/>
      </w:rPr>
    </w:lvl>
    <w:lvl w:ilvl="4">
      <w:start w:val="0"/>
      <w:numFmt w:val="bullet"/>
      <w:lvlText w:val="•"/>
      <w:lvlJc w:val="left"/>
      <w:pPr>
        <w:ind w:left="807" w:hanging="206"/>
      </w:pPr>
      <w:rPr>
        <w:rFonts w:hint="default"/>
        <w:lang w:val="es-ES" w:eastAsia="en-US" w:bidi="ar-SA"/>
      </w:rPr>
    </w:lvl>
    <w:lvl w:ilvl="5">
      <w:start w:val="0"/>
      <w:numFmt w:val="bullet"/>
      <w:lvlText w:val="•"/>
      <w:lvlJc w:val="left"/>
      <w:pPr>
        <w:ind w:left="994" w:hanging="206"/>
      </w:pPr>
      <w:rPr>
        <w:rFonts w:hint="default"/>
        <w:lang w:val="es-ES" w:eastAsia="en-US" w:bidi="ar-SA"/>
      </w:rPr>
    </w:lvl>
    <w:lvl w:ilvl="6">
      <w:start w:val="0"/>
      <w:numFmt w:val="bullet"/>
      <w:lvlText w:val="•"/>
      <w:lvlJc w:val="left"/>
      <w:pPr>
        <w:ind w:left="1181" w:hanging="206"/>
      </w:pPr>
      <w:rPr>
        <w:rFonts w:hint="default"/>
        <w:lang w:val="es-ES" w:eastAsia="en-US" w:bidi="ar-SA"/>
      </w:rPr>
    </w:lvl>
    <w:lvl w:ilvl="7">
      <w:start w:val="0"/>
      <w:numFmt w:val="bullet"/>
      <w:lvlText w:val="•"/>
      <w:lvlJc w:val="left"/>
      <w:pPr>
        <w:ind w:left="1368" w:hanging="206"/>
      </w:pPr>
      <w:rPr>
        <w:rFonts w:hint="default"/>
        <w:lang w:val="es-ES" w:eastAsia="en-US" w:bidi="ar-SA"/>
      </w:rPr>
    </w:lvl>
    <w:lvl w:ilvl="8">
      <w:start w:val="0"/>
      <w:numFmt w:val="bullet"/>
      <w:lvlText w:val="•"/>
      <w:lvlJc w:val="left"/>
      <w:pPr>
        <w:ind w:left="1555" w:hanging="206"/>
      </w:pPr>
      <w:rPr>
        <w:rFonts w:hint="default"/>
        <w:lang w:val="es-ES" w:eastAsia="en-US" w:bidi="ar-SA"/>
      </w:rPr>
    </w:lvl>
  </w:abstractNum>
  <w:abstractNum w:abstractNumId="115">
    <w:multiLevelType w:val="hybridMultilevel"/>
    <w:lvl w:ilvl="0">
      <w:start w:val="1"/>
      <w:numFmt w:val="decimal"/>
      <w:lvlText w:val="%1."/>
      <w:lvlJc w:val="left"/>
      <w:pPr>
        <w:ind w:left="68" w:hanging="202"/>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46" w:hanging="202"/>
      </w:pPr>
      <w:rPr>
        <w:rFonts w:hint="default"/>
        <w:lang w:val="es-ES" w:eastAsia="en-US" w:bidi="ar-SA"/>
      </w:rPr>
    </w:lvl>
    <w:lvl w:ilvl="2">
      <w:start w:val="0"/>
      <w:numFmt w:val="bullet"/>
      <w:lvlText w:val="•"/>
      <w:lvlJc w:val="left"/>
      <w:pPr>
        <w:ind w:left="433" w:hanging="202"/>
      </w:pPr>
      <w:rPr>
        <w:rFonts w:hint="default"/>
        <w:lang w:val="es-ES" w:eastAsia="en-US" w:bidi="ar-SA"/>
      </w:rPr>
    </w:lvl>
    <w:lvl w:ilvl="3">
      <w:start w:val="0"/>
      <w:numFmt w:val="bullet"/>
      <w:lvlText w:val="•"/>
      <w:lvlJc w:val="left"/>
      <w:pPr>
        <w:ind w:left="620" w:hanging="202"/>
      </w:pPr>
      <w:rPr>
        <w:rFonts w:hint="default"/>
        <w:lang w:val="es-ES" w:eastAsia="en-US" w:bidi="ar-SA"/>
      </w:rPr>
    </w:lvl>
    <w:lvl w:ilvl="4">
      <w:start w:val="0"/>
      <w:numFmt w:val="bullet"/>
      <w:lvlText w:val="•"/>
      <w:lvlJc w:val="left"/>
      <w:pPr>
        <w:ind w:left="807" w:hanging="202"/>
      </w:pPr>
      <w:rPr>
        <w:rFonts w:hint="default"/>
        <w:lang w:val="es-ES" w:eastAsia="en-US" w:bidi="ar-SA"/>
      </w:rPr>
    </w:lvl>
    <w:lvl w:ilvl="5">
      <w:start w:val="0"/>
      <w:numFmt w:val="bullet"/>
      <w:lvlText w:val="•"/>
      <w:lvlJc w:val="left"/>
      <w:pPr>
        <w:ind w:left="994" w:hanging="202"/>
      </w:pPr>
      <w:rPr>
        <w:rFonts w:hint="default"/>
        <w:lang w:val="es-ES" w:eastAsia="en-US" w:bidi="ar-SA"/>
      </w:rPr>
    </w:lvl>
    <w:lvl w:ilvl="6">
      <w:start w:val="0"/>
      <w:numFmt w:val="bullet"/>
      <w:lvlText w:val="•"/>
      <w:lvlJc w:val="left"/>
      <w:pPr>
        <w:ind w:left="1181" w:hanging="202"/>
      </w:pPr>
      <w:rPr>
        <w:rFonts w:hint="default"/>
        <w:lang w:val="es-ES" w:eastAsia="en-US" w:bidi="ar-SA"/>
      </w:rPr>
    </w:lvl>
    <w:lvl w:ilvl="7">
      <w:start w:val="0"/>
      <w:numFmt w:val="bullet"/>
      <w:lvlText w:val="•"/>
      <w:lvlJc w:val="left"/>
      <w:pPr>
        <w:ind w:left="1368" w:hanging="202"/>
      </w:pPr>
      <w:rPr>
        <w:rFonts w:hint="default"/>
        <w:lang w:val="es-ES" w:eastAsia="en-US" w:bidi="ar-SA"/>
      </w:rPr>
    </w:lvl>
    <w:lvl w:ilvl="8">
      <w:start w:val="0"/>
      <w:numFmt w:val="bullet"/>
      <w:lvlText w:val="•"/>
      <w:lvlJc w:val="left"/>
      <w:pPr>
        <w:ind w:left="1555" w:hanging="202"/>
      </w:pPr>
      <w:rPr>
        <w:rFonts w:hint="default"/>
        <w:lang w:val="es-ES" w:eastAsia="en-US" w:bidi="ar-SA"/>
      </w:rPr>
    </w:lvl>
  </w:abstractNum>
  <w:abstractNum w:abstractNumId="114">
    <w:multiLevelType w:val="hybridMultilevel"/>
    <w:lvl w:ilvl="0">
      <w:start w:val="1"/>
      <w:numFmt w:val="decimal"/>
      <w:lvlText w:val="%1."/>
      <w:lvlJc w:val="left"/>
      <w:pPr>
        <w:ind w:left="68" w:hanging="202"/>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46" w:hanging="202"/>
      </w:pPr>
      <w:rPr>
        <w:rFonts w:hint="default"/>
        <w:lang w:val="es-ES" w:eastAsia="en-US" w:bidi="ar-SA"/>
      </w:rPr>
    </w:lvl>
    <w:lvl w:ilvl="2">
      <w:start w:val="0"/>
      <w:numFmt w:val="bullet"/>
      <w:lvlText w:val="•"/>
      <w:lvlJc w:val="left"/>
      <w:pPr>
        <w:ind w:left="433" w:hanging="202"/>
      </w:pPr>
      <w:rPr>
        <w:rFonts w:hint="default"/>
        <w:lang w:val="es-ES" w:eastAsia="en-US" w:bidi="ar-SA"/>
      </w:rPr>
    </w:lvl>
    <w:lvl w:ilvl="3">
      <w:start w:val="0"/>
      <w:numFmt w:val="bullet"/>
      <w:lvlText w:val="•"/>
      <w:lvlJc w:val="left"/>
      <w:pPr>
        <w:ind w:left="620" w:hanging="202"/>
      </w:pPr>
      <w:rPr>
        <w:rFonts w:hint="default"/>
        <w:lang w:val="es-ES" w:eastAsia="en-US" w:bidi="ar-SA"/>
      </w:rPr>
    </w:lvl>
    <w:lvl w:ilvl="4">
      <w:start w:val="0"/>
      <w:numFmt w:val="bullet"/>
      <w:lvlText w:val="•"/>
      <w:lvlJc w:val="left"/>
      <w:pPr>
        <w:ind w:left="807" w:hanging="202"/>
      </w:pPr>
      <w:rPr>
        <w:rFonts w:hint="default"/>
        <w:lang w:val="es-ES" w:eastAsia="en-US" w:bidi="ar-SA"/>
      </w:rPr>
    </w:lvl>
    <w:lvl w:ilvl="5">
      <w:start w:val="0"/>
      <w:numFmt w:val="bullet"/>
      <w:lvlText w:val="•"/>
      <w:lvlJc w:val="left"/>
      <w:pPr>
        <w:ind w:left="994" w:hanging="202"/>
      </w:pPr>
      <w:rPr>
        <w:rFonts w:hint="default"/>
        <w:lang w:val="es-ES" w:eastAsia="en-US" w:bidi="ar-SA"/>
      </w:rPr>
    </w:lvl>
    <w:lvl w:ilvl="6">
      <w:start w:val="0"/>
      <w:numFmt w:val="bullet"/>
      <w:lvlText w:val="•"/>
      <w:lvlJc w:val="left"/>
      <w:pPr>
        <w:ind w:left="1181" w:hanging="202"/>
      </w:pPr>
      <w:rPr>
        <w:rFonts w:hint="default"/>
        <w:lang w:val="es-ES" w:eastAsia="en-US" w:bidi="ar-SA"/>
      </w:rPr>
    </w:lvl>
    <w:lvl w:ilvl="7">
      <w:start w:val="0"/>
      <w:numFmt w:val="bullet"/>
      <w:lvlText w:val="•"/>
      <w:lvlJc w:val="left"/>
      <w:pPr>
        <w:ind w:left="1368" w:hanging="202"/>
      </w:pPr>
      <w:rPr>
        <w:rFonts w:hint="default"/>
        <w:lang w:val="es-ES" w:eastAsia="en-US" w:bidi="ar-SA"/>
      </w:rPr>
    </w:lvl>
    <w:lvl w:ilvl="8">
      <w:start w:val="0"/>
      <w:numFmt w:val="bullet"/>
      <w:lvlText w:val="•"/>
      <w:lvlJc w:val="left"/>
      <w:pPr>
        <w:ind w:left="1555" w:hanging="202"/>
      </w:pPr>
      <w:rPr>
        <w:rFonts w:hint="default"/>
        <w:lang w:val="es-ES" w:eastAsia="en-US" w:bidi="ar-SA"/>
      </w:rPr>
    </w:lvl>
  </w:abstractNum>
  <w:abstractNum w:abstractNumId="113">
    <w:multiLevelType w:val="hybridMultilevel"/>
    <w:lvl w:ilvl="0">
      <w:start w:val="4"/>
      <w:numFmt w:val="decimal"/>
      <w:lvlText w:val="%1)"/>
      <w:lvlJc w:val="left"/>
      <w:pPr>
        <w:ind w:left="75" w:hanging="21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340" w:hanging="216"/>
      </w:pPr>
      <w:rPr>
        <w:rFonts w:hint="default"/>
        <w:lang w:val="es-ES" w:eastAsia="en-US" w:bidi="ar-SA"/>
      </w:rPr>
    </w:lvl>
    <w:lvl w:ilvl="2">
      <w:start w:val="0"/>
      <w:numFmt w:val="bullet"/>
      <w:lvlText w:val="•"/>
      <w:lvlJc w:val="left"/>
      <w:pPr>
        <w:ind w:left="600" w:hanging="216"/>
      </w:pPr>
      <w:rPr>
        <w:rFonts w:hint="default"/>
        <w:lang w:val="es-ES" w:eastAsia="en-US" w:bidi="ar-SA"/>
      </w:rPr>
    </w:lvl>
    <w:lvl w:ilvl="3">
      <w:start w:val="0"/>
      <w:numFmt w:val="bullet"/>
      <w:lvlText w:val="•"/>
      <w:lvlJc w:val="left"/>
      <w:pPr>
        <w:ind w:left="860" w:hanging="216"/>
      </w:pPr>
      <w:rPr>
        <w:rFonts w:hint="default"/>
        <w:lang w:val="es-ES" w:eastAsia="en-US" w:bidi="ar-SA"/>
      </w:rPr>
    </w:lvl>
    <w:lvl w:ilvl="4">
      <w:start w:val="0"/>
      <w:numFmt w:val="bullet"/>
      <w:lvlText w:val="•"/>
      <w:lvlJc w:val="left"/>
      <w:pPr>
        <w:ind w:left="1121" w:hanging="216"/>
      </w:pPr>
      <w:rPr>
        <w:rFonts w:hint="default"/>
        <w:lang w:val="es-ES" w:eastAsia="en-US" w:bidi="ar-SA"/>
      </w:rPr>
    </w:lvl>
    <w:lvl w:ilvl="5">
      <w:start w:val="0"/>
      <w:numFmt w:val="bullet"/>
      <w:lvlText w:val="•"/>
      <w:lvlJc w:val="left"/>
      <w:pPr>
        <w:ind w:left="1381" w:hanging="216"/>
      </w:pPr>
      <w:rPr>
        <w:rFonts w:hint="default"/>
        <w:lang w:val="es-ES" w:eastAsia="en-US" w:bidi="ar-SA"/>
      </w:rPr>
    </w:lvl>
    <w:lvl w:ilvl="6">
      <w:start w:val="0"/>
      <w:numFmt w:val="bullet"/>
      <w:lvlText w:val="•"/>
      <w:lvlJc w:val="left"/>
      <w:pPr>
        <w:ind w:left="1641" w:hanging="216"/>
      </w:pPr>
      <w:rPr>
        <w:rFonts w:hint="default"/>
        <w:lang w:val="es-ES" w:eastAsia="en-US" w:bidi="ar-SA"/>
      </w:rPr>
    </w:lvl>
    <w:lvl w:ilvl="7">
      <w:start w:val="0"/>
      <w:numFmt w:val="bullet"/>
      <w:lvlText w:val="•"/>
      <w:lvlJc w:val="left"/>
      <w:pPr>
        <w:ind w:left="1902" w:hanging="216"/>
      </w:pPr>
      <w:rPr>
        <w:rFonts w:hint="default"/>
        <w:lang w:val="es-ES" w:eastAsia="en-US" w:bidi="ar-SA"/>
      </w:rPr>
    </w:lvl>
    <w:lvl w:ilvl="8">
      <w:start w:val="0"/>
      <w:numFmt w:val="bullet"/>
      <w:lvlText w:val="•"/>
      <w:lvlJc w:val="left"/>
      <w:pPr>
        <w:ind w:left="2162" w:hanging="216"/>
      </w:pPr>
      <w:rPr>
        <w:rFonts w:hint="default"/>
        <w:lang w:val="es-ES" w:eastAsia="en-US" w:bidi="ar-SA"/>
      </w:rPr>
    </w:lvl>
  </w:abstractNum>
  <w:abstractNum w:abstractNumId="112">
    <w:multiLevelType w:val="hybridMultilevel"/>
    <w:lvl w:ilvl="0">
      <w:start w:val="1"/>
      <w:numFmt w:val="decimal"/>
      <w:lvlText w:val="%1."/>
      <w:lvlJc w:val="left"/>
      <w:pPr>
        <w:ind w:left="68"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46" w:hanging="206"/>
      </w:pPr>
      <w:rPr>
        <w:rFonts w:hint="default"/>
        <w:lang w:val="es-ES" w:eastAsia="en-US" w:bidi="ar-SA"/>
      </w:rPr>
    </w:lvl>
    <w:lvl w:ilvl="2">
      <w:start w:val="0"/>
      <w:numFmt w:val="bullet"/>
      <w:lvlText w:val="•"/>
      <w:lvlJc w:val="left"/>
      <w:pPr>
        <w:ind w:left="433" w:hanging="206"/>
      </w:pPr>
      <w:rPr>
        <w:rFonts w:hint="default"/>
        <w:lang w:val="es-ES" w:eastAsia="en-US" w:bidi="ar-SA"/>
      </w:rPr>
    </w:lvl>
    <w:lvl w:ilvl="3">
      <w:start w:val="0"/>
      <w:numFmt w:val="bullet"/>
      <w:lvlText w:val="•"/>
      <w:lvlJc w:val="left"/>
      <w:pPr>
        <w:ind w:left="620" w:hanging="206"/>
      </w:pPr>
      <w:rPr>
        <w:rFonts w:hint="default"/>
        <w:lang w:val="es-ES" w:eastAsia="en-US" w:bidi="ar-SA"/>
      </w:rPr>
    </w:lvl>
    <w:lvl w:ilvl="4">
      <w:start w:val="0"/>
      <w:numFmt w:val="bullet"/>
      <w:lvlText w:val="•"/>
      <w:lvlJc w:val="left"/>
      <w:pPr>
        <w:ind w:left="807" w:hanging="206"/>
      </w:pPr>
      <w:rPr>
        <w:rFonts w:hint="default"/>
        <w:lang w:val="es-ES" w:eastAsia="en-US" w:bidi="ar-SA"/>
      </w:rPr>
    </w:lvl>
    <w:lvl w:ilvl="5">
      <w:start w:val="0"/>
      <w:numFmt w:val="bullet"/>
      <w:lvlText w:val="•"/>
      <w:lvlJc w:val="left"/>
      <w:pPr>
        <w:ind w:left="994" w:hanging="206"/>
      </w:pPr>
      <w:rPr>
        <w:rFonts w:hint="default"/>
        <w:lang w:val="es-ES" w:eastAsia="en-US" w:bidi="ar-SA"/>
      </w:rPr>
    </w:lvl>
    <w:lvl w:ilvl="6">
      <w:start w:val="0"/>
      <w:numFmt w:val="bullet"/>
      <w:lvlText w:val="•"/>
      <w:lvlJc w:val="left"/>
      <w:pPr>
        <w:ind w:left="1181" w:hanging="206"/>
      </w:pPr>
      <w:rPr>
        <w:rFonts w:hint="default"/>
        <w:lang w:val="es-ES" w:eastAsia="en-US" w:bidi="ar-SA"/>
      </w:rPr>
    </w:lvl>
    <w:lvl w:ilvl="7">
      <w:start w:val="0"/>
      <w:numFmt w:val="bullet"/>
      <w:lvlText w:val="•"/>
      <w:lvlJc w:val="left"/>
      <w:pPr>
        <w:ind w:left="1368" w:hanging="206"/>
      </w:pPr>
      <w:rPr>
        <w:rFonts w:hint="default"/>
        <w:lang w:val="es-ES" w:eastAsia="en-US" w:bidi="ar-SA"/>
      </w:rPr>
    </w:lvl>
    <w:lvl w:ilvl="8">
      <w:start w:val="0"/>
      <w:numFmt w:val="bullet"/>
      <w:lvlText w:val="•"/>
      <w:lvlJc w:val="left"/>
      <w:pPr>
        <w:ind w:left="1555" w:hanging="206"/>
      </w:pPr>
      <w:rPr>
        <w:rFonts w:hint="default"/>
        <w:lang w:val="es-ES" w:eastAsia="en-US" w:bidi="ar-SA"/>
      </w:rPr>
    </w:lvl>
  </w:abstractNum>
  <w:abstractNum w:abstractNumId="111">
    <w:multiLevelType w:val="hybridMultilevel"/>
    <w:lvl w:ilvl="0">
      <w:start w:val="1"/>
      <w:numFmt w:val="decimal"/>
      <w:lvlText w:val="%1."/>
      <w:lvlJc w:val="left"/>
      <w:pPr>
        <w:ind w:left="68"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46" w:hanging="206"/>
      </w:pPr>
      <w:rPr>
        <w:rFonts w:hint="default"/>
        <w:lang w:val="es-ES" w:eastAsia="en-US" w:bidi="ar-SA"/>
      </w:rPr>
    </w:lvl>
    <w:lvl w:ilvl="2">
      <w:start w:val="0"/>
      <w:numFmt w:val="bullet"/>
      <w:lvlText w:val="•"/>
      <w:lvlJc w:val="left"/>
      <w:pPr>
        <w:ind w:left="433" w:hanging="206"/>
      </w:pPr>
      <w:rPr>
        <w:rFonts w:hint="default"/>
        <w:lang w:val="es-ES" w:eastAsia="en-US" w:bidi="ar-SA"/>
      </w:rPr>
    </w:lvl>
    <w:lvl w:ilvl="3">
      <w:start w:val="0"/>
      <w:numFmt w:val="bullet"/>
      <w:lvlText w:val="•"/>
      <w:lvlJc w:val="left"/>
      <w:pPr>
        <w:ind w:left="620" w:hanging="206"/>
      </w:pPr>
      <w:rPr>
        <w:rFonts w:hint="default"/>
        <w:lang w:val="es-ES" w:eastAsia="en-US" w:bidi="ar-SA"/>
      </w:rPr>
    </w:lvl>
    <w:lvl w:ilvl="4">
      <w:start w:val="0"/>
      <w:numFmt w:val="bullet"/>
      <w:lvlText w:val="•"/>
      <w:lvlJc w:val="left"/>
      <w:pPr>
        <w:ind w:left="807" w:hanging="206"/>
      </w:pPr>
      <w:rPr>
        <w:rFonts w:hint="default"/>
        <w:lang w:val="es-ES" w:eastAsia="en-US" w:bidi="ar-SA"/>
      </w:rPr>
    </w:lvl>
    <w:lvl w:ilvl="5">
      <w:start w:val="0"/>
      <w:numFmt w:val="bullet"/>
      <w:lvlText w:val="•"/>
      <w:lvlJc w:val="left"/>
      <w:pPr>
        <w:ind w:left="994" w:hanging="206"/>
      </w:pPr>
      <w:rPr>
        <w:rFonts w:hint="default"/>
        <w:lang w:val="es-ES" w:eastAsia="en-US" w:bidi="ar-SA"/>
      </w:rPr>
    </w:lvl>
    <w:lvl w:ilvl="6">
      <w:start w:val="0"/>
      <w:numFmt w:val="bullet"/>
      <w:lvlText w:val="•"/>
      <w:lvlJc w:val="left"/>
      <w:pPr>
        <w:ind w:left="1181" w:hanging="206"/>
      </w:pPr>
      <w:rPr>
        <w:rFonts w:hint="default"/>
        <w:lang w:val="es-ES" w:eastAsia="en-US" w:bidi="ar-SA"/>
      </w:rPr>
    </w:lvl>
    <w:lvl w:ilvl="7">
      <w:start w:val="0"/>
      <w:numFmt w:val="bullet"/>
      <w:lvlText w:val="•"/>
      <w:lvlJc w:val="left"/>
      <w:pPr>
        <w:ind w:left="1368" w:hanging="206"/>
      </w:pPr>
      <w:rPr>
        <w:rFonts w:hint="default"/>
        <w:lang w:val="es-ES" w:eastAsia="en-US" w:bidi="ar-SA"/>
      </w:rPr>
    </w:lvl>
    <w:lvl w:ilvl="8">
      <w:start w:val="0"/>
      <w:numFmt w:val="bullet"/>
      <w:lvlText w:val="•"/>
      <w:lvlJc w:val="left"/>
      <w:pPr>
        <w:ind w:left="1555" w:hanging="206"/>
      </w:pPr>
      <w:rPr>
        <w:rFonts w:hint="default"/>
        <w:lang w:val="es-ES" w:eastAsia="en-US" w:bidi="ar-SA"/>
      </w:rPr>
    </w:lvl>
  </w:abstractNum>
  <w:abstractNum w:abstractNumId="110">
    <w:multiLevelType w:val="hybridMultilevel"/>
    <w:lvl w:ilvl="0">
      <w:start w:val="2"/>
      <w:numFmt w:val="decimal"/>
      <w:lvlText w:val="%1)"/>
      <w:lvlJc w:val="left"/>
      <w:pPr>
        <w:ind w:left="75" w:hanging="212"/>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340" w:hanging="212"/>
      </w:pPr>
      <w:rPr>
        <w:rFonts w:hint="default"/>
        <w:lang w:val="es-ES" w:eastAsia="en-US" w:bidi="ar-SA"/>
      </w:rPr>
    </w:lvl>
    <w:lvl w:ilvl="2">
      <w:start w:val="0"/>
      <w:numFmt w:val="bullet"/>
      <w:lvlText w:val="•"/>
      <w:lvlJc w:val="left"/>
      <w:pPr>
        <w:ind w:left="600" w:hanging="212"/>
      </w:pPr>
      <w:rPr>
        <w:rFonts w:hint="default"/>
        <w:lang w:val="es-ES" w:eastAsia="en-US" w:bidi="ar-SA"/>
      </w:rPr>
    </w:lvl>
    <w:lvl w:ilvl="3">
      <w:start w:val="0"/>
      <w:numFmt w:val="bullet"/>
      <w:lvlText w:val="•"/>
      <w:lvlJc w:val="left"/>
      <w:pPr>
        <w:ind w:left="860" w:hanging="212"/>
      </w:pPr>
      <w:rPr>
        <w:rFonts w:hint="default"/>
        <w:lang w:val="es-ES" w:eastAsia="en-US" w:bidi="ar-SA"/>
      </w:rPr>
    </w:lvl>
    <w:lvl w:ilvl="4">
      <w:start w:val="0"/>
      <w:numFmt w:val="bullet"/>
      <w:lvlText w:val="•"/>
      <w:lvlJc w:val="left"/>
      <w:pPr>
        <w:ind w:left="1121" w:hanging="212"/>
      </w:pPr>
      <w:rPr>
        <w:rFonts w:hint="default"/>
        <w:lang w:val="es-ES" w:eastAsia="en-US" w:bidi="ar-SA"/>
      </w:rPr>
    </w:lvl>
    <w:lvl w:ilvl="5">
      <w:start w:val="0"/>
      <w:numFmt w:val="bullet"/>
      <w:lvlText w:val="•"/>
      <w:lvlJc w:val="left"/>
      <w:pPr>
        <w:ind w:left="1381" w:hanging="212"/>
      </w:pPr>
      <w:rPr>
        <w:rFonts w:hint="default"/>
        <w:lang w:val="es-ES" w:eastAsia="en-US" w:bidi="ar-SA"/>
      </w:rPr>
    </w:lvl>
    <w:lvl w:ilvl="6">
      <w:start w:val="0"/>
      <w:numFmt w:val="bullet"/>
      <w:lvlText w:val="•"/>
      <w:lvlJc w:val="left"/>
      <w:pPr>
        <w:ind w:left="1641" w:hanging="212"/>
      </w:pPr>
      <w:rPr>
        <w:rFonts w:hint="default"/>
        <w:lang w:val="es-ES" w:eastAsia="en-US" w:bidi="ar-SA"/>
      </w:rPr>
    </w:lvl>
    <w:lvl w:ilvl="7">
      <w:start w:val="0"/>
      <w:numFmt w:val="bullet"/>
      <w:lvlText w:val="•"/>
      <w:lvlJc w:val="left"/>
      <w:pPr>
        <w:ind w:left="1902" w:hanging="212"/>
      </w:pPr>
      <w:rPr>
        <w:rFonts w:hint="default"/>
        <w:lang w:val="es-ES" w:eastAsia="en-US" w:bidi="ar-SA"/>
      </w:rPr>
    </w:lvl>
    <w:lvl w:ilvl="8">
      <w:start w:val="0"/>
      <w:numFmt w:val="bullet"/>
      <w:lvlText w:val="•"/>
      <w:lvlJc w:val="left"/>
      <w:pPr>
        <w:ind w:left="2162" w:hanging="212"/>
      </w:pPr>
      <w:rPr>
        <w:rFonts w:hint="default"/>
        <w:lang w:val="es-ES" w:eastAsia="en-US" w:bidi="ar-SA"/>
      </w:rPr>
    </w:lvl>
  </w:abstractNum>
  <w:abstractNum w:abstractNumId="109">
    <w:multiLevelType w:val="hybridMultilevel"/>
    <w:lvl w:ilvl="0">
      <w:start w:val="2"/>
      <w:numFmt w:val="decimal"/>
      <w:lvlText w:val="%1)"/>
      <w:lvlJc w:val="left"/>
      <w:pPr>
        <w:ind w:left="75" w:hanging="212"/>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340" w:hanging="212"/>
      </w:pPr>
      <w:rPr>
        <w:rFonts w:hint="default"/>
        <w:lang w:val="es-ES" w:eastAsia="en-US" w:bidi="ar-SA"/>
      </w:rPr>
    </w:lvl>
    <w:lvl w:ilvl="2">
      <w:start w:val="0"/>
      <w:numFmt w:val="bullet"/>
      <w:lvlText w:val="•"/>
      <w:lvlJc w:val="left"/>
      <w:pPr>
        <w:ind w:left="600" w:hanging="212"/>
      </w:pPr>
      <w:rPr>
        <w:rFonts w:hint="default"/>
        <w:lang w:val="es-ES" w:eastAsia="en-US" w:bidi="ar-SA"/>
      </w:rPr>
    </w:lvl>
    <w:lvl w:ilvl="3">
      <w:start w:val="0"/>
      <w:numFmt w:val="bullet"/>
      <w:lvlText w:val="•"/>
      <w:lvlJc w:val="left"/>
      <w:pPr>
        <w:ind w:left="860" w:hanging="212"/>
      </w:pPr>
      <w:rPr>
        <w:rFonts w:hint="default"/>
        <w:lang w:val="es-ES" w:eastAsia="en-US" w:bidi="ar-SA"/>
      </w:rPr>
    </w:lvl>
    <w:lvl w:ilvl="4">
      <w:start w:val="0"/>
      <w:numFmt w:val="bullet"/>
      <w:lvlText w:val="•"/>
      <w:lvlJc w:val="left"/>
      <w:pPr>
        <w:ind w:left="1121" w:hanging="212"/>
      </w:pPr>
      <w:rPr>
        <w:rFonts w:hint="default"/>
        <w:lang w:val="es-ES" w:eastAsia="en-US" w:bidi="ar-SA"/>
      </w:rPr>
    </w:lvl>
    <w:lvl w:ilvl="5">
      <w:start w:val="0"/>
      <w:numFmt w:val="bullet"/>
      <w:lvlText w:val="•"/>
      <w:lvlJc w:val="left"/>
      <w:pPr>
        <w:ind w:left="1381" w:hanging="212"/>
      </w:pPr>
      <w:rPr>
        <w:rFonts w:hint="default"/>
        <w:lang w:val="es-ES" w:eastAsia="en-US" w:bidi="ar-SA"/>
      </w:rPr>
    </w:lvl>
    <w:lvl w:ilvl="6">
      <w:start w:val="0"/>
      <w:numFmt w:val="bullet"/>
      <w:lvlText w:val="•"/>
      <w:lvlJc w:val="left"/>
      <w:pPr>
        <w:ind w:left="1641" w:hanging="212"/>
      </w:pPr>
      <w:rPr>
        <w:rFonts w:hint="default"/>
        <w:lang w:val="es-ES" w:eastAsia="en-US" w:bidi="ar-SA"/>
      </w:rPr>
    </w:lvl>
    <w:lvl w:ilvl="7">
      <w:start w:val="0"/>
      <w:numFmt w:val="bullet"/>
      <w:lvlText w:val="•"/>
      <w:lvlJc w:val="left"/>
      <w:pPr>
        <w:ind w:left="1902" w:hanging="212"/>
      </w:pPr>
      <w:rPr>
        <w:rFonts w:hint="default"/>
        <w:lang w:val="es-ES" w:eastAsia="en-US" w:bidi="ar-SA"/>
      </w:rPr>
    </w:lvl>
    <w:lvl w:ilvl="8">
      <w:start w:val="0"/>
      <w:numFmt w:val="bullet"/>
      <w:lvlText w:val="•"/>
      <w:lvlJc w:val="left"/>
      <w:pPr>
        <w:ind w:left="2162" w:hanging="212"/>
      </w:pPr>
      <w:rPr>
        <w:rFonts w:hint="default"/>
        <w:lang w:val="es-ES" w:eastAsia="en-US" w:bidi="ar-SA"/>
      </w:rPr>
    </w:lvl>
  </w:abstractNum>
  <w:abstractNum w:abstractNumId="108">
    <w:multiLevelType w:val="hybridMultilevel"/>
    <w:lvl w:ilvl="0">
      <w:start w:val="1"/>
      <w:numFmt w:val="decimal"/>
      <w:lvlText w:val="%1)"/>
      <w:lvlJc w:val="left"/>
      <w:pPr>
        <w:ind w:left="71" w:hanging="212"/>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348" w:hanging="212"/>
      </w:pPr>
      <w:rPr>
        <w:rFonts w:hint="default"/>
        <w:lang w:val="es-ES" w:eastAsia="en-US" w:bidi="ar-SA"/>
      </w:rPr>
    </w:lvl>
    <w:lvl w:ilvl="2">
      <w:start w:val="0"/>
      <w:numFmt w:val="bullet"/>
      <w:lvlText w:val="•"/>
      <w:lvlJc w:val="left"/>
      <w:pPr>
        <w:ind w:left="617" w:hanging="212"/>
      </w:pPr>
      <w:rPr>
        <w:rFonts w:hint="default"/>
        <w:lang w:val="es-ES" w:eastAsia="en-US" w:bidi="ar-SA"/>
      </w:rPr>
    </w:lvl>
    <w:lvl w:ilvl="3">
      <w:start w:val="0"/>
      <w:numFmt w:val="bullet"/>
      <w:lvlText w:val="•"/>
      <w:lvlJc w:val="left"/>
      <w:pPr>
        <w:ind w:left="885" w:hanging="212"/>
      </w:pPr>
      <w:rPr>
        <w:rFonts w:hint="default"/>
        <w:lang w:val="es-ES" w:eastAsia="en-US" w:bidi="ar-SA"/>
      </w:rPr>
    </w:lvl>
    <w:lvl w:ilvl="4">
      <w:start w:val="0"/>
      <w:numFmt w:val="bullet"/>
      <w:lvlText w:val="•"/>
      <w:lvlJc w:val="left"/>
      <w:pPr>
        <w:ind w:left="1154" w:hanging="212"/>
      </w:pPr>
      <w:rPr>
        <w:rFonts w:hint="default"/>
        <w:lang w:val="es-ES" w:eastAsia="en-US" w:bidi="ar-SA"/>
      </w:rPr>
    </w:lvl>
    <w:lvl w:ilvl="5">
      <w:start w:val="0"/>
      <w:numFmt w:val="bullet"/>
      <w:lvlText w:val="•"/>
      <w:lvlJc w:val="left"/>
      <w:pPr>
        <w:ind w:left="1422" w:hanging="212"/>
      </w:pPr>
      <w:rPr>
        <w:rFonts w:hint="default"/>
        <w:lang w:val="es-ES" w:eastAsia="en-US" w:bidi="ar-SA"/>
      </w:rPr>
    </w:lvl>
    <w:lvl w:ilvl="6">
      <w:start w:val="0"/>
      <w:numFmt w:val="bullet"/>
      <w:lvlText w:val="•"/>
      <w:lvlJc w:val="left"/>
      <w:pPr>
        <w:ind w:left="1691" w:hanging="212"/>
      </w:pPr>
      <w:rPr>
        <w:rFonts w:hint="default"/>
        <w:lang w:val="es-ES" w:eastAsia="en-US" w:bidi="ar-SA"/>
      </w:rPr>
    </w:lvl>
    <w:lvl w:ilvl="7">
      <w:start w:val="0"/>
      <w:numFmt w:val="bullet"/>
      <w:lvlText w:val="•"/>
      <w:lvlJc w:val="left"/>
      <w:pPr>
        <w:ind w:left="1959" w:hanging="212"/>
      </w:pPr>
      <w:rPr>
        <w:rFonts w:hint="default"/>
        <w:lang w:val="es-ES" w:eastAsia="en-US" w:bidi="ar-SA"/>
      </w:rPr>
    </w:lvl>
    <w:lvl w:ilvl="8">
      <w:start w:val="0"/>
      <w:numFmt w:val="bullet"/>
      <w:lvlText w:val="•"/>
      <w:lvlJc w:val="left"/>
      <w:pPr>
        <w:ind w:left="2228" w:hanging="212"/>
      </w:pPr>
      <w:rPr>
        <w:rFonts w:hint="default"/>
        <w:lang w:val="es-ES" w:eastAsia="en-US" w:bidi="ar-SA"/>
      </w:rPr>
    </w:lvl>
  </w:abstractNum>
  <w:abstractNum w:abstractNumId="107">
    <w:multiLevelType w:val="hybridMultilevel"/>
    <w:lvl w:ilvl="0">
      <w:start w:val="1"/>
      <w:numFmt w:val="decimal"/>
      <w:lvlText w:val="%1)"/>
      <w:lvlJc w:val="left"/>
      <w:pPr>
        <w:ind w:left="71" w:hanging="21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348" w:hanging="216"/>
      </w:pPr>
      <w:rPr>
        <w:rFonts w:hint="default"/>
        <w:lang w:val="es-ES" w:eastAsia="en-US" w:bidi="ar-SA"/>
      </w:rPr>
    </w:lvl>
    <w:lvl w:ilvl="2">
      <w:start w:val="0"/>
      <w:numFmt w:val="bullet"/>
      <w:lvlText w:val="•"/>
      <w:lvlJc w:val="left"/>
      <w:pPr>
        <w:ind w:left="617" w:hanging="216"/>
      </w:pPr>
      <w:rPr>
        <w:rFonts w:hint="default"/>
        <w:lang w:val="es-ES" w:eastAsia="en-US" w:bidi="ar-SA"/>
      </w:rPr>
    </w:lvl>
    <w:lvl w:ilvl="3">
      <w:start w:val="0"/>
      <w:numFmt w:val="bullet"/>
      <w:lvlText w:val="•"/>
      <w:lvlJc w:val="left"/>
      <w:pPr>
        <w:ind w:left="885" w:hanging="216"/>
      </w:pPr>
      <w:rPr>
        <w:rFonts w:hint="default"/>
        <w:lang w:val="es-ES" w:eastAsia="en-US" w:bidi="ar-SA"/>
      </w:rPr>
    </w:lvl>
    <w:lvl w:ilvl="4">
      <w:start w:val="0"/>
      <w:numFmt w:val="bullet"/>
      <w:lvlText w:val="•"/>
      <w:lvlJc w:val="left"/>
      <w:pPr>
        <w:ind w:left="1154" w:hanging="216"/>
      </w:pPr>
      <w:rPr>
        <w:rFonts w:hint="default"/>
        <w:lang w:val="es-ES" w:eastAsia="en-US" w:bidi="ar-SA"/>
      </w:rPr>
    </w:lvl>
    <w:lvl w:ilvl="5">
      <w:start w:val="0"/>
      <w:numFmt w:val="bullet"/>
      <w:lvlText w:val="•"/>
      <w:lvlJc w:val="left"/>
      <w:pPr>
        <w:ind w:left="1422" w:hanging="216"/>
      </w:pPr>
      <w:rPr>
        <w:rFonts w:hint="default"/>
        <w:lang w:val="es-ES" w:eastAsia="en-US" w:bidi="ar-SA"/>
      </w:rPr>
    </w:lvl>
    <w:lvl w:ilvl="6">
      <w:start w:val="0"/>
      <w:numFmt w:val="bullet"/>
      <w:lvlText w:val="•"/>
      <w:lvlJc w:val="left"/>
      <w:pPr>
        <w:ind w:left="1691" w:hanging="216"/>
      </w:pPr>
      <w:rPr>
        <w:rFonts w:hint="default"/>
        <w:lang w:val="es-ES" w:eastAsia="en-US" w:bidi="ar-SA"/>
      </w:rPr>
    </w:lvl>
    <w:lvl w:ilvl="7">
      <w:start w:val="0"/>
      <w:numFmt w:val="bullet"/>
      <w:lvlText w:val="•"/>
      <w:lvlJc w:val="left"/>
      <w:pPr>
        <w:ind w:left="1959" w:hanging="216"/>
      </w:pPr>
      <w:rPr>
        <w:rFonts w:hint="default"/>
        <w:lang w:val="es-ES" w:eastAsia="en-US" w:bidi="ar-SA"/>
      </w:rPr>
    </w:lvl>
    <w:lvl w:ilvl="8">
      <w:start w:val="0"/>
      <w:numFmt w:val="bullet"/>
      <w:lvlText w:val="•"/>
      <w:lvlJc w:val="left"/>
      <w:pPr>
        <w:ind w:left="2228" w:hanging="216"/>
      </w:pPr>
      <w:rPr>
        <w:rFonts w:hint="default"/>
        <w:lang w:val="es-ES" w:eastAsia="en-US" w:bidi="ar-SA"/>
      </w:rPr>
    </w:lvl>
  </w:abstractNum>
  <w:abstractNum w:abstractNumId="106">
    <w:multiLevelType w:val="hybridMultilevel"/>
    <w:lvl w:ilvl="0">
      <w:start w:val="1"/>
      <w:numFmt w:val="decimal"/>
      <w:lvlText w:val="%1-"/>
      <w:lvlJc w:val="left"/>
      <w:pPr>
        <w:ind w:left="67" w:hanging="164"/>
        <w:jc w:val="left"/>
      </w:pPr>
      <w:rPr>
        <w:rFonts w:hint="default" w:ascii="Arial" w:hAnsi="Arial" w:eastAsia="Arial" w:cs="Arial"/>
        <w:b w:val="0"/>
        <w:bCs w:val="0"/>
        <w:i w:val="0"/>
        <w:iCs w:val="0"/>
        <w:spacing w:val="-1"/>
        <w:w w:val="101"/>
        <w:sz w:val="16"/>
        <w:szCs w:val="16"/>
        <w:lang w:val="es-ES" w:eastAsia="en-US" w:bidi="ar-SA"/>
      </w:rPr>
    </w:lvl>
    <w:lvl w:ilvl="1">
      <w:start w:val="0"/>
      <w:numFmt w:val="bullet"/>
      <w:lvlText w:val="•"/>
      <w:lvlJc w:val="left"/>
      <w:pPr>
        <w:ind w:left="222" w:hanging="164"/>
      </w:pPr>
      <w:rPr>
        <w:rFonts w:hint="default"/>
        <w:lang w:val="es-ES" w:eastAsia="en-US" w:bidi="ar-SA"/>
      </w:rPr>
    </w:lvl>
    <w:lvl w:ilvl="2">
      <w:start w:val="0"/>
      <w:numFmt w:val="bullet"/>
      <w:lvlText w:val="•"/>
      <w:lvlJc w:val="left"/>
      <w:pPr>
        <w:ind w:left="385" w:hanging="164"/>
      </w:pPr>
      <w:rPr>
        <w:rFonts w:hint="default"/>
        <w:lang w:val="es-ES" w:eastAsia="en-US" w:bidi="ar-SA"/>
      </w:rPr>
    </w:lvl>
    <w:lvl w:ilvl="3">
      <w:start w:val="0"/>
      <w:numFmt w:val="bullet"/>
      <w:lvlText w:val="•"/>
      <w:lvlJc w:val="left"/>
      <w:pPr>
        <w:ind w:left="547" w:hanging="164"/>
      </w:pPr>
      <w:rPr>
        <w:rFonts w:hint="default"/>
        <w:lang w:val="es-ES" w:eastAsia="en-US" w:bidi="ar-SA"/>
      </w:rPr>
    </w:lvl>
    <w:lvl w:ilvl="4">
      <w:start w:val="0"/>
      <w:numFmt w:val="bullet"/>
      <w:lvlText w:val="•"/>
      <w:lvlJc w:val="left"/>
      <w:pPr>
        <w:ind w:left="710" w:hanging="164"/>
      </w:pPr>
      <w:rPr>
        <w:rFonts w:hint="default"/>
        <w:lang w:val="es-ES" w:eastAsia="en-US" w:bidi="ar-SA"/>
      </w:rPr>
    </w:lvl>
    <w:lvl w:ilvl="5">
      <w:start w:val="0"/>
      <w:numFmt w:val="bullet"/>
      <w:lvlText w:val="•"/>
      <w:lvlJc w:val="left"/>
      <w:pPr>
        <w:ind w:left="872" w:hanging="164"/>
      </w:pPr>
      <w:rPr>
        <w:rFonts w:hint="default"/>
        <w:lang w:val="es-ES" w:eastAsia="en-US" w:bidi="ar-SA"/>
      </w:rPr>
    </w:lvl>
    <w:lvl w:ilvl="6">
      <w:start w:val="0"/>
      <w:numFmt w:val="bullet"/>
      <w:lvlText w:val="•"/>
      <w:lvlJc w:val="left"/>
      <w:pPr>
        <w:ind w:left="1035" w:hanging="164"/>
      </w:pPr>
      <w:rPr>
        <w:rFonts w:hint="default"/>
        <w:lang w:val="es-ES" w:eastAsia="en-US" w:bidi="ar-SA"/>
      </w:rPr>
    </w:lvl>
    <w:lvl w:ilvl="7">
      <w:start w:val="0"/>
      <w:numFmt w:val="bullet"/>
      <w:lvlText w:val="•"/>
      <w:lvlJc w:val="left"/>
      <w:pPr>
        <w:ind w:left="1197" w:hanging="164"/>
      </w:pPr>
      <w:rPr>
        <w:rFonts w:hint="default"/>
        <w:lang w:val="es-ES" w:eastAsia="en-US" w:bidi="ar-SA"/>
      </w:rPr>
    </w:lvl>
    <w:lvl w:ilvl="8">
      <w:start w:val="0"/>
      <w:numFmt w:val="bullet"/>
      <w:lvlText w:val="•"/>
      <w:lvlJc w:val="left"/>
      <w:pPr>
        <w:ind w:left="1360" w:hanging="164"/>
      </w:pPr>
      <w:rPr>
        <w:rFonts w:hint="default"/>
        <w:lang w:val="es-ES" w:eastAsia="en-US" w:bidi="ar-SA"/>
      </w:rPr>
    </w:lvl>
  </w:abstractNum>
  <w:abstractNum w:abstractNumId="105">
    <w:multiLevelType w:val="hybridMultilevel"/>
    <w:lvl w:ilvl="0">
      <w:start w:val="1"/>
      <w:numFmt w:val="decimal"/>
      <w:lvlText w:val="%1)"/>
      <w:lvlJc w:val="left"/>
      <w:pPr>
        <w:ind w:left="71" w:hanging="21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348" w:hanging="216"/>
      </w:pPr>
      <w:rPr>
        <w:rFonts w:hint="default"/>
        <w:lang w:val="es-ES" w:eastAsia="en-US" w:bidi="ar-SA"/>
      </w:rPr>
    </w:lvl>
    <w:lvl w:ilvl="2">
      <w:start w:val="0"/>
      <w:numFmt w:val="bullet"/>
      <w:lvlText w:val="•"/>
      <w:lvlJc w:val="left"/>
      <w:pPr>
        <w:ind w:left="617" w:hanging="216"/>
      </w:pPr>
      <w:rPr>
        <w:rFonts w:hint="default"/>
        <w:lang w:val="es-ES" w:eastAsia="en-US" w:bidi="ar-SA"/>
      </w:rPr>
    </w:lvl>
    <w:lvl w:ilvl="3">
      <w:start w:val="0"/>
      <w:numFmt w:val="bullet"/>
      <w:lvlText w:val="•"/>
      <w:lvlJc w:val="left"/>
      <w:pPr>
        <w:ind w:left="885" w:hanging="216"/>
      </w:pPr>
      <w:rPr>
        <w:rFonts w:hint="default"/>
        <w:lang w:val="es-ES" w:eastAsia="en-US" w:bidi="ar-SA"/>
      </w:rPr>
    </w:lvl>
    <w:lvl w:ilvl="4">
      <w:start w:val="0"/>
      <w:numFmt w:val="bullet"/>
      <w:lvlText w:val="•"/>
      <w:lvlJc w:val="left"/>
      <w:pPr>
        <w:ind w:left="1154" w:hanging="216"/>
      </w:pPr>
      <w:rPr>
        <w:rFonts w:hint="default"/>
        <w:lang w:val="es-ES" w:eastAsia="en-US" w:bidi="ar-SA"/>
      </w:rPr>
    </w:lvl>
    <w:lvl w:ilvl="5">
      <w:start w:val="0"/>
      <w:numFmt w:val="bullet"/>
      <w:lvlText w:val="•"/>
      <w:lvlJc w:val="left"/>
      <w:pPr>
        <w:ind w:left="1422" w:hanging="216"/>
      </w:pPr>
      <w:rPr>
        <w:rFonts w:hint="default"/>
        <w:lang w:val="es-ES" w:eastAsia="en-US" w:bidi="ar-SA"/>
      </w:rPr>
    </w:lvl>
    <w:lvl w:ilvl="6">
      <w:start w:val="0"/>
      <w:numFmt w:val="bullet"/>
      <w:lvlText w:val="•"/>
      <w:lvlJc w:val="left"/>
      <w:pPr>
        <w:ind w:left="1691" w:hanging="216"/>
      </w:pPr>
      <w:rPr>
        <w:rFonts w:hint="default"/>
        <w:lang w:val="es-ES" w:eastAsia="en-US" w:bidi="ar-SA"/>
      </w:rPr>
    </w:lvl>
    <w:lvl w:ilvl="7">
      <w:start w:val="0"/>
      <w:numFmt w:val="bullet"/>
      <w:lvlText w:val="•"/>
      <w:lvlJc w:val="left"/>
      <w:pPr>
        <w:ind w:left="1959" w:hanging="216"/>
      </w:pPr>
      <w:rPr>
        <w:rFonts w:hint="default"/>
        <w:lang w:val="es-ES" w:eastAsia="en-US" w:bidi="ar-SA"/>
      </w:rPr>
    </w:lvl>
    <w:lvl w:ilvl="8">
      <w:start w:val="0"/>
      <w:numFmt w:val="bullet"/>
      <w:lvlText w:val="•"/>
      <w:lvlJc w:val="left"/>
      <w:pPr>
        <w:ind w:left="2228" w:hanging="216"/>
      </w:pPr>
      <w:rPr>
        <w:rFonts w:hint="default"/>
        <w:lang w:val="es-ES" w:eastAsia="en-US" w:bidi="ar-SA"/>
      </w:rPr>
    </w:lvl>
  </w:abstractNum>
  <w:abstractNum w:abstractNumId="104">
    <w:multiLevelType w:val="hybridMultilevel"/>
    <w:lvl w:ilvl="0">
      <w:start w:val="2"/>
      <w:numFmt w:val="decimal"/>
      <w:lvlText w:val="%1)"/>
      <w:lvlJc w:val="left"/>
      <w:pPr>
        <w:ind w:left="71" w:hanging="212"/>
        <w:jc w:val="left"/>
      </w:pPr>
      <w:rPr>
        <w:rFonts w:hint="default" w:ascii="Arial" w:hAnsi="Arial" w:eastAsia="Arial" w:cs="Arial"/>
        <w:b/>
        <w:bCs/>
        <w:i w:val="0"/>
        <w:iCs w:val="0"/>
        <w:spacing w:val="-1"/>
        <w:w w:val="101"/>
        <w:sz w:val="18"/>
        <w:szCs w:val="18"/>
        <w:lang w:val="es-ES" w:eastAsia="en-US" w:bidi="ar-SA"/>
      </w:rPr>
    </w:lvl>
    <w:lvl w:ilvl="1">
      <w:start w:val="0"/>
      <w:numFmt w:val="bullet"/>
      <w:lvlText w:val="•"/>
      <w:lvlJc w:val="left"/>
      <w:pPr>
        <w:ind w:left="348" w:hanging="212"/>
      </w:pPr>
      <w:rPr>
        <w:rFonts w:hint="default"/>
        <w:lang w:val="es-ES" w:eastAsia="en-US" w:bidi="ar-SA"/>
      </w:rPr>
    </w:lvl>
    <w:lvl w:ilvl="2">
      <w:start w:val="0"/>
      <w:numFmt w:val="bullet"/>
      <w:lvlText w:val="•"/>
      <w:lvlJc w:val="left"/>
      <w:pPr>
        <w:ind w:left="617" w:hanging="212"/>
      </w:pPr>
      <w:rPr>
        <w:rFonts w:hint="default"/>
        <w:lang w:val="es-ES" w:eastAsia="en-US" w:bidi="ar-SA"/>
      </w:rPr>
    </w:lvl>
    <w:lvl w:ilvl="3">
      <w:start w:val="0"/>
      <w:numFmt w:val="bullet"/>
      <w:lvlText w:val="•"/>
      <w:lvlJc w:val="left"/>
      <w:pPr>
        <w:ind w:left="885" w:hanging="212"/>
      </w:pPr>
      <w:rPr>
        <w:rFonts w:hint="default"/>
        <w:lang w:val="es-ES" w:eastAsia="en-US" w:bidi="ar-SA"/>
      </w:rPr>
    </w:lvl>
    <w:lvl w:ilvl="4">
      <w:start w:val="0"/>
      <w:numFmt w:val="bullet"/>
      <w:lvlText w:val="•"/>
      <w:lvlJc w:val="left"/>
      <w:pPr>
        <w:ind w:left="1154" w:hanging="212"/>
      </w:pPr>
      <w:rPr>
        <w:rFonts w:hint="default"/>
        <w:lang w:val="es-ES" w:eastAsia="en-US" w:bidi="ar-SA"/>
      </w:rPr>
    </w:lvl>
    <w:lvl w:ilvl="5">
      <w:start w:val="0"/>
      <w:numFmt w:val="bullet"/>
      <w:lvlText w:val="•"/>
      <w:lvlJc w:val="left"/>
      <w:pPr>
        <w:ind w:left="1422" w:hanging="212"/>
      </w:pPr>
      <w:rPr>
        <w:rFonts w:hint="default"/>
        <w:lang w:val="es-ES" w:eastAsia="en-US" w:bidi="ar-SA"/>
      </w:rPr>
    </w:lvl>
    <w:lvl w:ilvl="6">
      <w:start w:val="0"/>
      <w:numFmt w:val="bullet"/>
      <w:lvlText w:val="•"/>
      <w:lvlJc w:val="left"/>
      <w:pPr>
        <w:ind w:left="1691" w:hanging="212"/>
      </w:pPr>
      <w:rPr>
        <w:rFonts w:hint="default"/>
        <w:lang w:val="es-ES" w:eastAsia="en-US" w:bidi="ar-SA"/>
      </w:rPr>
    </w:lvl>
    <w:lvl w:ilvl="7">
      <w:start w:val="0"/>
      <w:numFmt w:val="bullet"/>
      <w:lvlText w:val="•"/>
      <w:lvlJc w:val="left"/>
      <w:pPr>
        <w:ind w:left="1959" w:hanging="212"/>
      </w:pPr>
      <w:rPr>
        <w:rFonts w:hint="default"/>
        <w:lang w:val="es-ES" w:eastAsia="en-US" w:bidi="ar-SA"/>
      </w:rPr>
    </w:lvl>
    <w:lvl w:ilvl="8">
      <w:start w:val="0"/>
      <w:numFmt w:val="bullet"/>
      <w:lvlText w:val="•"/>
      <w:lvlJc w:val="left"/>
      <w:pPr>
        <w:ind w:left="2228" w:hanging="212"/>
      </w:pPr>
      <w:rPr>
        <w:rFonts w:hint="default"/>
        <w:lang w:val="es-ES" w:eastAsia="en-US" w:bidi="ar-SA"/>
      </w:rPr>
    </w:lvl>
  </w:abstractNum>
  <w:abstractNum w:abstractNumId="103">
    <w:multiLevelType w:val="hybridMultilevel"/>
    <w:lvl w:ilvl="0">
      <w:start w:val="12"/>
      <w:numFmt w:val="decimal"/>
      <w:lvlText w:val="%1)"/>
      <w:lvlJc w:val="left"/>
      <w:pPr>
        <w:ind w:left="75" w:hanging="312"/>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77" w:hanging="312"/>
      </w:pPr>
      <w:rPr>
        <w:rFonts w:hint="default"/>
        <w:lang w:val="es-ES" w:eastAsia="en-US" w:bidi="ar-SA"/>
      </w:rPr>
    </w:lvl>
    <w:lvl w:ilvl="2">
      <w:start w:val="0"/>
      <w:numFmt w:val="bullet"/>
      <w:lvlText w:val="•"/>
      <w:lvlJc w:val="left"/>
      <w:pPr>
        <w:ind w:left="474" w:hanging="312"/>
      </w:pPr>
      <w:rPr>
        <w:rFonts w:hint="default"/>
        <w:lang w:val="es-ES" w:eastAsia="en-US" w:bidi="ar-SA"/>
      </w:rPr>
    </w:lvl>
    <w:lvl w:ilvl="3">
      <w:start w:val="0"/>
      <w:numFmt w:val="bullet"/>
      <w:lvlText w:val="•"/>
      <w:lvlJc w:val="left"/>
      <w:pPr>
        <w:ind w:left="672" w:hanging="312"/>
      </w:pPr>
      <w:rPr>
        <w:rFonts w:hint="default"/>
        <w:lang w:val="es-ES" w:eastAsia="en-US" w:bidi="ar-SA"/>
      </w:rPr>
    </w:lvl>
    <w:lvl w:ilvl="4">
      <w:start w:val="0"/>
      <w:numFmt w:val="bullet"/>
      <w:lvlText w:val="•"/>
      <w:lvlJc w:val="left"/>
      <w:pPr>
        <w:ind w:left="869" w:hanging="312"/>
      </w:pPr>
      <w:rPr>
        <w:rFonts w:hint="default"/>
        <w:lang w:val="es-ES" w:eastAsia="en-US" w:bidi="ar-SA"/>
      </w:rPr>
    </w:lvl>
    <w:lvl w:ilvl="5">
      <w:start w:val="0"/>
      <w:numFmt w:val="bullet"/>
      <w:lvlText w:val="•"/>
      <w:lvlJc w:val="left"/>
      <w:pPr>
        <w:ind w:left="1067" w:hanging="312"/>
      </w:pPr>
      <w:rPr>
        <w:rFonts w:hint="default"/>
        <w:lang w:val="es-ES" w:eastAsia="en-US" w:bidi="ar-SA"/>
      </w:rPr>
    </w:lvl>
    <w:lvl w:ilvl="6">
      <w:start w:val="0"/>
      <w:numFmt w:val="bullet"/>
      <w:lvlText w:val="•"/>
      <w:lvlJc w:val="left"/>
      <w:pPr>
        <w:ind w:left="1264" w:hanging="312"/>
      </w:pPr>
      <w:rPr>
        <w:rFonts w:hint="default"/>
        <w:lang w:val="es-ES" w:eastAsia="en-US" w:bidi="ar-SA"/>
      </w:rPr>
    </w:lvl>
    <w:lvl w:ilvl="7">
      <w:start w:val="0"/>
      <w:numFmt w:val="bullet"/>
      <w:lvlText w:val="•"/>
      <w:lvlJc w:val="left"/>
      <w:pPr>
        <w:ind w:left="1461" w:hanging="312"/>
      </w:pPr>
      <w:rPr>
        <w:rFonts w:hint="default"/>
        <w:lang w:val="es-ES" w:eastAsia="en-US" w:bidi="ar-SA"/>
      </w:rPr>
    </w:lvl>
    <w:lvl w:ilvl="8">
      <w:start w:val="0"/>
      <w:numFmt w:val="bullet"/>
      <w:lvlText w:val="•"/>
      <w:lvlJc w:val="left"/>
      <w:pPr>
        <w:ind w:left="1659" w:hanging="312"/>
      </w:pPr>
      <w:rPr>
        <w:rFonts w:hint="default"/>
        <w:lang w:val="es-ES" w:eastAsia="en-US" w:bidi="ar-SA"/>
      </w:rPr>
    </w:lvl>
  </w:abstractNum>
  <w:abstractNum w:abstractNumId="102">
    <w:multiLevelType w:val="hybridMultilevel"/>
    <w:lvl w:ilvl="0">
      <w:start w:val="2"/>
      <w:numFmt w:val="decimal"/>
      <w:lvlText w:val="%1)"/>
      <w:lvlJc w:val="left"/>
      <w:pPr>
        <w:ind w:left="75" w:hanging="21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77" w:hanging="216"/>
      </w:pPr>
      <w:rPr>
        <w:rFonts w:hint="default"/>
        <w:lang w:val="es-ES" w:eastAsia="en-US" w:bidi="ar-SA"/>
      </w:rPr>
    </w:lvl>
    <w:lvl w:ilvl="2">
      <w:start w:val="0"/>
      <w:numFmt w:val="bullet"/>
      <w:lvlText w:val="•"/>
      <w:lvlJc w:val="left"/>
      <w:pPr>
        <w:ind w:left="474" w:hanging="216"/>
      </w:pPr>
      <w:rPr>
        <w:rFonts w:hint="default"/>
        <w:lang w:val="es-ES" w:eastAsia="en-US" w:bidi="ar-SA"/>
      </w:rPr>
    </w:lvl>
    <w:lvl w:ilvl="3">
      <w:start w:val="0"/>
      <w:numFmt w:val="bullet"/>
      <w:lvlText w:val="•"/>
      <w:lvlJc w:val="left"/>
      <w:pPr>
        <w:ind w:left="672" w:hanging="216"/>
      </w:pPr>
      <w:rPr>
        <w:rFonts w:hint="default"/>
        <w:lang w:val="es-ES" w:eastAsia="en-US" w:bidi="ar-SA"/>
      </w:rPr>
    </w:lvl>
    <w:lvl w:ilvl="4">
      <w:start w:val="0"/>
      <w:numFmt w:val="bullet"/>
      <w:lvlText w:val="•"/>
      <w:lvlJc w:val="left"/>
      <w:pPr>
        <w:ind w:left="869" w:hanging="216"/>
      </w:pPr>
      <w:rPr>
        <w:rFonts w:hint="default"/>
        <w:lang w:val="es-ES" w:eastAsia="en-US" w:bidi="ar-SA"/>
      </w:rPr>
    </w:lvl>
    <w:lvl w:ilvl="5">
      <w:start w:val="0"/>
      <w:numFmt w:val="bullet"/>
      <w:lvlText w:val="•"/>
      <w:lvlJc w:val="left"/>
      <w:pPr>
        <w:ind w:left="1067" w:hanging="216"/>
      </w:pPr>
      <w:rPr>
        <w:rFonts w:hint="default"/>
        <w:lang w:val="es-ES" w:eastAsia="en-US" w:bidi="ar-SA"/>
      </w:rPr>
    </w:lvl>
    <w:lvl w:ilvl="6">
      <w:start w:val="0"/>
      <w:numFmt w:val="bullet"/>
      <w:lvlText w:val="•"/>
      <w:lvlJc w:val="left"/>
      <w:pPr>
        <w:ind w:left="1264" w:hanging="216"/>
      </w:pPr>
      <w:rPr>
        <w:rFonts w:hint="default"/>
        <w:lang w:val="es-ES" w:eastAsia="en-US" w:bidi="ar-SA"/>
      </w:rPr>
    </w:lvl>
    <w:lvl w:ilvl="7">
      <w:start w:val="0"/>
      <w:numFmt w:val="bullet"/>
      <w:lvlText w:val="•"/>
      <w:lvlJc w:val="left"/>
      <w:pPr>
        <w:ind w:left="1461" w:hanging="216"/>
      </w:pPr>
      <w:rPr>
        <w:rFonts w:hint="default"/>
        <w:lang w:val="es-ES" w:eastAsia="en-US" w:bidi="ar-SA"/>
      </w:rPr>
    </w:lvl>
    <w:lvl w:ilvl="8">
      <w:start w:val="0"/>
      <w:numFmt w:val="bullet"/>
      <w:lvlText w:val="•"/>
      <w:lvlJc w:val="left"/>
      <w:pPr>
        <w:ind w:left="1659" w:hanging="216"/>
      </w:pPr>
      <w:rPr>
        <w:rFonts w:hint="default"/>
        <w:lang w:val="es-ES" w:eastAsia="en-US" w:bidi="ar-SA"/>
      </w:rPr>
    </w:lvl>
  </w:abstractNum>
  <w:abstractNum w:abstractNumId="101">
    <w:multiLevelType w:val="hybridMultilevel"/>
    <w:lvl w:ilvl="0">
      <w:start w:val="1"/>
      <w:numFmt w:val="decimal"/>
      <w:lvlText w:val="%1."/>
      <w:lvlJc w:val="left"/>
      <w:pPr>
        <w:ind w:left="279"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431" w:hanging="206"/>
      </w:pPr>
      <w:rPr>
        <w:rFonts w:hint="default"/>
        <w:lang w:val="es-ES" w:eastAsia="en-US" w:bidi="ar-SA"/>
      </w:rPr>
    </w:lvl>
    <w:lvl w:ilvl="2">
      <w:start w:val="0"/>
      <w:numFmt w:val="bullet"/>
      <w:lvlText w:val="•"/>
      <w:lvlJc w:val="left"/>
      <w:pPr>
        <w:ind w:left="582" w:hanging="206"/>
      </w:pPr>
      <w:rPr>
        <w:rFonts w:hint="default"/>
        <w:lang w:val="es-ES" w:eastAsia="en-US" w:bidi="ar-SA"/>
      </w:rPr>
    </w:lvl>
    <w:lvl w:ilvl="3">
      <w:start w:val="0"/>
      <w:numFmt w:val="bullet"/>
      <w:lvlText w:val="•"/>
      <w:lvlJc w:val="left"/>
      <w:pPr>
        <w:ind w:left="733" w:hanging="206"/>
      </w:pPr>
      <w:rPr>
        <w:rFonts w:hint="default"/>
        <w:lang w:val="es-ES" w:eastAsia="en-US" w:bidi="ar-SA"/>
      </w:rPr>
    </w:lvl>
    <w:lvl w:ilvl="4">
      <w:start w:val="0"/>
      <w:numFmt w:val="bullet"/>
      <w:lvlText w:val="•"/>
      <w:lvlJc w:val="left"/>
      <w:pPr>
        <w:ind w:left="884" w:hanging="206"/>
      </w:pPr>
      <w:rPr>
        <w:rFonts w:hint="default"/>
        <w:lang w:val="es-ES" w:eastAsia="en-US" w:bidi="ar-SA"/>
      </w:rPr>
    </w:lvl>
    <w:lvl w:ilvl="5">
      <w:start w:val="0"/>
      <w:numFmt w:val="bullet"/>
      <w:lvlText w:val="•"/>
      <w:lvlJc w:val="left"/>
      <w:pPr>
        <w:ind w:left="1035" w:hanging="206"/>
      </w:pPr>
      <w:rPr>
        <w:rFonts w:hint="default"/>
        <w:lang w:val="es-ES" w:eastAsia="en-US" w:bidi="ar-SA"/>
      </w:rPr>
    </w:lvl>
    <w:lvl w:ilvl="6">
      <w:start w:val="0"/>
      <w:numFmt w:val="bullet"/>
      <w:lvlText w:val="•"/>
      <w:lvlJc w:val="left"/>
      <w:pPr>
        <w:ind w:left="1186" w:hanging="206"/>
      </w:pPr>
      <w:rPr>
        <w:rFonts w:hint="default"/>
        <w:lang w:val="es-ES" w:eastAsia="en-US" w:bidi="ar-SA"/>
      </w:rPr>
    </w:lvl>
    <w:lvl w:ilvl="7">
      <w:start w:val="0"/>
      <w:numFmt w:val="bullet"/>
      <w:lvlText w:val="•"/>
      <w:lvlJc w:val="left"/>
      <w:pPr>
        <w:ind w:left="1337" w:hanging="206"/>
      </w:pPr>
      <w:rPr>
        <w:rFonts w:hint="default"/>
        <w:lang w:val="es-ES" w:eastAsia="en-US" w:bidi="ar-SA"/>
      </w:rPr>
    </w:lvl>
    <w:lvl w:ilvl="8">
      <w:start w:val="0"/>
      <w:numFmt w:val="bullet"/>
      <w:lvlText w:val="•"/>
      <w:lvlJc w:val="left"/>
      <w:pPr>
        <w:ind w:left="1488" w:hanging="206"/>
      </w:pPr>
      <w:rPr>
        <w:rFonts w:hint="default"/>
        <w:lang w:val="es-ES" w:eastAsia="en-US" w:bidi="ar-SA"/>
      </w:rPr>
    </w:lvl>
  </w:abstractNum>
  <w:abstractNum w:abstractNumId="100">
    <w:multiLevelType w:val="hybridMultilevel"/>
    <w:lvl w:ilvl="0">
      <w:start w:val="1"/>
      <w:numFmt w:val="decimal"/>
      <w:lvlText w:val="%1."/>
      <w:lvlJc w:val="left"/>
      <w:pPr>
        <w:ind w:left="74" w:hanging="202"/>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51" w:hanging="202"/>
      </w:pPr>
      <w:rPr>
        <w:rFonts w:hint="default"/>
        <w:lang w:val="es-ES" w:eastAsia="en-US" w:bidi="ar-SA"/>
      </w:rPr>
    </w:lvl>
    <w:lvl w:ilvl="2">
      <w:start w:val="0"/>
      <w:numFmt w:val="bullet"/>
      <w:lvlText w:val="•"/>
      <w:lvlJc w:val="left"/>
      <w:pPr>
        <w:ind w:left="422" w:hanging="202"/>
      </w:pPr>
      <w:rPr>
        <w:rFonts w:hint="default"/>
        <w:lang w:val="es-ES" w:eastAsia="en-US" w:bidi="ar-SA"/>
      </w:rPr>
    </w:lvl>
    <w:lvl w:ilvl="3">
      <w:start w:val="0"/>
      <w:numFmt w:val="bullet"/>
      <w:lvlText w:val="•"/>
      <w:lvlJc w:val="left"/>
      <w:pPr>
        <w:ind w:left="593" w:hanging="202"/>
      </w:pPr>
      <w:rPr>
        <w:rFonts w:hint="default"/>
        <w:lang w:val="es-ES" w:eastAsia="en-US" w:bidi="ar-SA"/>
      </w:rPr>
    </w:lvl>
    <w:lvl w:ilvl="4">
      <w:start w:val="0"/>
      <w:numFmt w:val="bullet"/>
      <w:lvlText w:val="•"/>
      <w:lvlJc w:val="left"/>
      <w:pPr>
        <w:ind w:left="764" w:hanging="202"/>
      </w:pPr>
      <w:rPr>
        <w:rFonts w:hint="default"/>
        <w:lang w:val="es-ES" w:eastAsia="en-US" w:bidi="ar-SA"/>
      </w:rPr>
    </w:lvl>
    <w:lvl w:ilvl="5">
      <w:start w:val="0"/>
      <w:numFmt w:val="bullet"/>
      <w:lvlText w:val="•"/>
      <w:lvlJc w:val="left"/>
      <w:pPr>
        <w:ind w:left="935" w:hanging="202"/>
      </w:pPr>
      <w:rPr>
        <w:rFonts w:hint="default"/>
        <w:lang w:val="es-ES" w:eastAsia="en-US" w:bidi="ar-SA"/>
      </w:rPr>
    </w:lvl>
    <w:lvl w:ilvl="6">
      <w:start w:val="0"/>
      <w:numFmt w:val="bullet"/>
      <w:lvlText w:val="•"/>
      <w:lvlJc w:val="left"/>
      <w:pPr>
        <w:ind w:left="1106" w:hanging="202"/>
      </w:pPr>
      <w:rPr>
        <w:rFonts w:hint="default"/>
        <w:lang w:val="es-ES" w:eastAsia="en-US" w:bidi="ar-SA"/>
      </w:rPr>
    </w:lvl>
    <w:lvl w:ilvl="7">
      <w:start w:val="0"/>
      <w:numFmt w:val="bullet"/>
      <w:lvlText w:val="•"/>
      <w:lvlJc w:val="left"/>
      <w:pPr>
        <w:ind w:left="1277" w:hanging="202"/>
      </w:pPr>
      <w:rPr>
        <w:rFonts w:hint="default"/>
        <w:lang w:val="es-ES" w:eastAsia="en-US" w:bidi="ar-SA"/>
      </w:rPr>
    </w:lvl>
    <w:lvl w:ilvl="8">
      <w:start w:val="0"/>
      <w:numFmt w:val="bullet"/>
      <w:lvlText w:val="•"/>
      <w:lvlJc w:val="left"/>
      <w:pPr>
        <w:ind w:left="1448" w:hanging="202"/>
      </w:pPr>
      <w:rPr>
        <w:rFonts w:hint="default"/>
        <w:lang w:val="es-ES" w:eastAsia="en-US" w:bidi="ar-SA"/>
      </w:rPr>
    </w:lvl>
  </w:abstractNum>
  <w:abstractNum w:abstractNumId="99">
    <w:multiLevelType w:val="hybridMultilevel"/>
    <w:lvl w:ilvl="0">
      <w:start w:val="1"/>
      <w:numFmt w:val="decimal"/>
      <w:lvlText w:val="%1."/>
      <w:lvlJc w:val="left"/>
      <w:pPr>
        <w:ind w:left="70" w:hanging="202"/>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51" w:hanging="202"/>
      </w:pPr>
      <w:rPr>
        <w:rFonts w:hint="default"/>
        <w:lang w:val="es-ES" w:eastAsia="en-US" w:bidi="ar-SA"/>
      </w:rPr>
    </w:lvl>
    <w:lvl w:ilvl="2">
      <w:start w:val="0"/>
      <w:numFmt w:val="bullet"/>
      <w:lvlText w:val="•"/>
      <w:lvlJc w:val="left"/>
      <w:pPr>
        <w:ind w:left="422" w:hanging="202"/>
      </w:pPr>
      <w:rPr>
        <w:rFonts w:hint="default"/>
        <w:lang w:val="es-ES" w:eastAsia="en-US" w:bidi="ar-SA"/>
      </w:rPr>
    </w:lvl>
    <w:lvl w:ilvl="3">
      <w:start w:val="0"/>
      <w:numFmt w:val="bullet"/>
      <w:lvlText w:val="•"/>
      <w:lvlJc w:val="left"/>
      <w:pPr>
        <w:ind w:left="593" w:hanging="202"/>
      </w:pPr>
      <w:rPr>
        <w:rFonts w:hint="default"/>
        <w:lang w:val="es-ES" w:eastAsia="en-US" w:bidi="ar-SA"/>
      </w:rPr>
    </w:lvl>
    <w:lvl w:ilvl="4">
      <w:start w:val="0"/>
      <w:numFmt w:val="bullet"/>
      <w:lvlText w:val="•"/>
      <w:lvlJc w:val="left"/>
      <w:pPr>
        <w:ind w:left="764" w:hanging="202"/>
      </w:pPr>
      <w:rPr>
        <w:rFonts w:hint="default"/>
        <w:lang w:val="es-ES" w:eastAsia="en-US" w:bidi="ar-SA"/>
      </w:rPr>
    </w:lvl>
    <w:lvl w:ilvl="5">
      <w:start w:val="0"/>
      <w:numFmt w:val="bullet"/>
      <w:lvlText w:val="•"/>
      <w:lvlJc w:val="left"/>
      <w:pPr>
        <w:ind w:left="935" w:hanging="202"/>
      </w:pPr>
      <w:rPr>
        <w:rFonts w:hint="default"/>
        <w:lang w:val="es-ES" w:eastAsia="en-US" w:bidi="ar-SA"/>
      </w:rPr>
    </w:lvl>
    <w:lvl w:ilvl="6">
      <w:start w:val="0"/>
      <w:numFmt w:val="bullet"/>
      <w:lvlText w:val="•"/>
      <w:lvlJc w:val="left"/>
      <w:pPr>
        <w:ind w:left="1106" w:hanging="202"/>
      </w:pPr>
      <w:rPr>
        <w:rFonts w:hint="default"/>
        <w:lang w:val="es-ES" w:eastAsia="en-US" w:bidi="ar-SA"/>
      </w:rPr>
    </w:lvl>
    <w:lvl w:ilvl="7">
      <w:start w:val="0"/>
      <w:numFmt w:val="bullet"/>
      <w:lvlText w:val="•"/>
      <w:lvlJc w:val="left"/>
      <w:pPr>
        <w:ind w:left="1277" w:hanging="202"/>
      </w:pPr>
      <w:rPr>
        <w:rFonts w:hint="default"/>
        <w:lang w:val="es-ES" w:eastAsia="en-US" w:bidi="ar-SA"/>
      </w:rPr>
    </w:lvl>
    <w:lvl w:ilvl="8">
      <w:start w:val="0"/>
      <w:numFmt w:val="bullet"/>
      <w:lvlText w:val="•"/>
      <w:lvlJc w:val="left"/>
      <w:pPr>
        <w:ind w:left="1448" w:hanging="202"/>
      </w:pPr>
      <w:rPr>
        <w:rFonts w:hint="default"/>
        <w:lang w:val="es-ES" w:eastAsia="en-US" w:bidi="ar-SA"/>
      </w:rPr>
    </w:lvl>
  </w:abstractNum>
  <w:abstractNum w:abstractNumId="98">
    <w:multiLevelType w:val="hybridMultilevel"/>
    <w:lvl w:ilvl="0">
      <w:start w:val="1"/>
      <w:numFmt w:val="decimal"/>
      <w:lvlText w:val="%1."/>
      <w:lvlJc w:val="left"/>
      <w:pPr>
        <w:ind w:left="70"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51" w:hanging="206"/>
      </w:pPr>
      <w:rPr>
        <w:rFonts w:hint="default"/>
        <w:lang w:val="es-ES" w:eastAsia="en-US" w:bidi="ar-SA"/>
      </w:rPr>
    </w:lvl>
    <w:lvl w:ilvl="2">
      <w:start w:val="0"/>
      <w:numFmt w:val="bullet"/>
      <w:lvlText w:val="•"/>
      <w:lvlJc w:val="left"/>
      <w:pPr>
        <w:ind w:left="422" w:hanging="206"/>
      </w:pPr>
      <w:rPr>
        <w:rFonts w:hint="default"/>
        <w:lang w:val="es-ES" w:eastAsia="en-US" w:bidi="ar-SA"/>
      </w:rPr>
    </w:lvl>
    <w:lvl w:ilvl="3">
      <w:start w:val="0"/>
      <w:numFmt w:val="bullet"/>
      <w:lvlText w:val="•"/>
      <w:lvlJc w:val="left"/>
      <w:pPr>
        <w:ind w:left="593" w:hanging="206"/>
      </w:pPr>
      <w:rPr>
        <w:rFonts w:hint="default"/>
        <w:lang w:val="es-ES" w:eastAsia="en-US" w:bidi="ar-SA"/>
      </w:rPr>
    </w:lvl>
    <w:lvl w:ilvl="4">
      <w:start w:val="0"/>
      <w:numFmt w:val="bullet"/>
      <w:lvlText w:val="•"/>
      <w:lvlJc w:val="left"/>
      <w:pPr>
        <w:ind w:left="764" w:hanging="206"/>
      </w:pPr>
      <w:rPr>
        <w:rFonts w:hint="default"/>
        <w:lang w:val="es-ES" w:eastAsia="en-US" w:bidi="ar-SA"/>
      </w:rPr>
    </w:lvl>
    <w:lvl w:ilvl="5">
      <w:start w:val="0"/>
      <w:numFmt w:val="bullet"/>
      <w:lvlText w:val="•"/>
      <w:lvlJc w:val="left"/>
      <w:pPr>
        <w:ind w:left="935" w:hanging="206"/>
      </w:pPr>
      <w:rPr>
        <w:rFonts w:hint="default"/>
        <w:lang w:val="es-ES" w:eastAsia="en-US" w:bidi="ar-SA"/>
      </w:rPr>
    </w:lvl>
    <w:lvl w:ilvl="6">
      <w:start w:val="0"/>
      <w:numFmt w:val="bullet"/>
      <w:lvlText w:val="•"/>
      <w:lvlJc w:val="left"/>
      <w:pPr>
        <w:ind w:left="1106" w:hanging="206"/>
      </w:pPr>
      <w:rPr>
        <w:rFonts w:hint="default"/>
        <w:lang w:val="es-ES" w:eastAsia="en-US" w:bidi="ar-SA"/>
      </w:rPr>
    </w:lvl>
    <w:lvl w:ilvl="7">
      <w:start w:val="0"/>
      <w:numFmt w:val="bullet"/>
      <w:lvlText w:val="•"/>
      <w:lvlJc w:val="left"/>
      <w:pPr>
        <w:ind w:left="1277" w:hanging="206"/>
      </w:pPr>
      <w:rPr>
        <w:rFonts w:hint="default"/>
        <w:lang w:val="es-ES" w:eastAsia="en-US" w:bidi="ar-SA"/>
      </w:rPr>
    </w:lvl>
    <w:lvl w:ilvl="8">
      <w:start w:val="0"/>
      <w:numFmt w:val="bullet"/>
      <w:lvlText w:val="•"/>
      <w:lvlJc w:val="left"/>
      <w:pPr>
        <w:ind w:left="1448" w:hanging="206"/>
      </w:pPr>
      <w:rPr>
        <w:rFonts w:hint="default"/>
        <w:lang w:val="es-ES" w:eastAsia="en-US" w:bidi="ar-SA"/>
      </w:rPr>
    </w:lvl>
  </w:abstractNum>
  <w:abstractNum w:abstractNumId="97">
    <w:multiLevelType w:val="hybridMultilevel"/>
    <w:lvl w:ilvl="0">
      <w:start w:val="1"/>
      <w:numFmt w:val="decimal"/>
      <w:lvlText w:val="%1."/>
      <w:lvlJc w:val="left"/>
      <w:pPr>
        <w:ind w:left="70" w:hanging="20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51" w:hanging="206"/>
      </w:pPr>
      <w:rPr>
        <w:rFonts w:hint="default"/>
        <w:lang w:val="es-ES" w:eastAsia="en-US" w:bidi="ar-SA"/>
      </w:rPr>
    </w:lvl>
    <w:lvl w:ilvl="2">
      <w:start w:val="0"/>
      <w:numFmt w:val="bullet"/>
      <w:lvlText w:val="•"/>
      <w:lvlJc w:val="left"/>
      <w:pPr>
        <w:ind w:left="422" w:hanging="206"/>
      </w:pPr>
      <w:rPr>
        <w:rFonts w:hint="default"/>
        <w:lang w:val="es-ES" w:eastAsia="en-US" w:bidi="ar-SA"/>
      </w:rPr>
    </w:lvl>
    <w:lvl w:ilvl="3">
      <w:start w:val="0"/>
      <w:numFmt w:val="bullet"/>
      <w:lvlText w:val="•"/>
      <w:lvlJc w:val="left"/>
      <w:pPr>
        <w:ind w:left="593" w:hanging="206"/>
      </w:pPr>
      <w:rPr>
        <w:rFonts w:hint="default"/>
        <w:lang w:val="es-ES" w:eastAsia="en-US" w:bidi="ar-SA"/>
      </w:rPr>
    </w:lvl>
    <w:lvl w:ilvl="4">
      <w:start w:val="0"/>
      <w:numFmt w:val="bullet"/>
      <w:lvlText w:val="•"/>
      <w:lvlJc w:val="left"/>
      <w:pPr>
        <w:ind w:left="764" w:hanging="206"/>
      </w:pPr>
      <w:rPr>
        <w:rFonts w:hint="default"/>
        <w:lang w:val="es-ES" w:eastAsia="en-US" w:bidi="ar-SA"/>
      </w:rPr>
    </w:lvl>
    <w:lvl w:ilvl="5">
      <w:start w:val="0"/>
      <w:numFmt w:val="bullet"/>
      <w:lvlText w:val="•"/>
      <w:lvlJc w:val="left"/>
      <w:pPr>
        <w:ind w:left="935" w:hanging="206"/>
      </w:pPr>
      <w:rPr>
        <w:rFonts w:hint="default"/>
        <w:lang w:val="es-ES" w:eastAsia="en-US" w:bidi="ar-SA"/>
      </w:rPr>
    </w:lvl>
    <w:lvl w:ilvl="6">
      <w:start w:val="0"/>
      <w:numFmt w:val="bullet"/>
      <w:lvlText w:val="•"/>
      <w:lvlJc w:val="left"/>
      <w:pPr>
        <w:ind w:left="1106" w:hanging="206"/>
      </w:pPr>
      <w:rPr>
        <w:rFonts w:hint="default"/>
        <w:lang w:val="es-ES" w:eastAsia="en-US" w:bidi="ar-SA"/>
      </w:rPr>
    </w:lvl>
    <w:lvl w:ilvl="7">
      <w:start w:val="0"/>
      <w:numFmt w:val="bullet"/>
      <w:lvlText w:val="•"/>
      <w:lvlJc w:val="left"/>
      <w:pPr>
        <w:ind w:left="1277" w:hanging="206"/>
      </w:pPr>
      <w:rPr>
        <w:rFonts w:hint="default"/>
        <w:lang w:val="es-ES" w:eastAsia="en-US" w:bidi="ar-SA"/>
      </w:rPr>
    </w:lvl>
    <w:lvl w:ilvl="8">
      <w:start w:val="0"/>
      <w:numFmt w:val="bullet"/>
      <w:lvlText w:val="•"/>
      <w:lvlJc w:val="left"/>
      <w:pPr>
        <w:ind w:left="1448" w:hanging="206"/>
      </w:pPr>
      <w:rPr>
        <w:rFonts w:hint="default"/>
        <w:lang w:val="es-ES" w:eastAsia="en-US" w:bidi="ar-SA"/>
      </w:rPr>
    </w:lvl>
  </w:abstractNum>
  <w:abstractNum w:abstractNumId="96">
    <w:multiLevelType w:val="hybridMultilevel"/>
    <w:lvl w:ilvl="0">
      <w:start w:val="1"/>
      <w:numFmt w:val="decimal"/>
      <w:lvlText w:val="%1."/>
      <w:lvlJc w:val="left"/>
      <w:pPr>
        <w:ind w:left="74" w:hanging="202"/>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51" w:hanging="202"/>
      </w:pPr>
      <w:rPr>
        <w:rFonts w:hint="default"/>
        <w:lang w:val="es-ES" w:eastAsia="en-US" w:bidi="ar-SA"/>
      </w:rPr>
    </w:lvl>
    <w:lvl w:ilvl="2">
      <w:start w:val="0"/>
      <w:numFmt w:val="bullet"/>
      <w:lvlText w:val="•"/>
      <w:lvlJc w:val="left"/>
      <w:pPr>
        <w:ind w:left="422" w:hanging="202"/>
      </w:pPr>
      <w:rPr>
        <w:rFonts w:hint="default"/>
        <w:lang w:val="es-ES" w:eastAsia="en-US" w:bidi="ar-SA"/>
      </w:rPr>
    </w:lvl>
    <w:lvl w:ilvl="3">
      <w:start w:val="0"/>
      <w:numFmt w:val="bullet"/>
      <w:lvlText w:val="•"/>
      <w:lvlJc w:val="left"/>
      <w:pPr>
        <w:ind w:left="593" w:hanging="202"/>
      </w:pPr>
      <w:rPr>
        <w:rFonts w:hint="default"/>
        <w:lang w:val="es-ES" w:eastAsia="en-US" w:bidi="ar-SA"/>
      </w:rPr>
    </w:lvl>
    <w:lvl w:ilvl="4">
      <w:start w:val="0"/>
      <w:numFmt w:val="bullet"/>
      <w:lvlText w:val="•"/>
      <w:lvlJc w:val="left"/>
      <w:pPr>
        <w:ind w:left="764" w:hanging="202"/>
      </w:pPr>
      <w:rPr>
        <w:rFonts w:hint="default"/>
        <w:lang w:val="es-ES" w:eastAsia="en-US" w:bidi="ar-SA"/>
      </w:rPr>
    </w:lvl>
    <w:lvl w:ilvl="5">
      <w:start w:val="0"/>
      <w:numFmt w:val="bullet"/>
      <w:lvlText w:val="•"/>
      <w:lvlJc w:val="left"/>
      <w:pPr>
        <w:ind w:left="935" w:hanging="202"/>
      </w:pPr>
      <w:rPr>
        <w:rFonts w:hint="default"/>
        <w:lang w:val="es-ES" w:eastAsia="en-US" w:bidi="ar-SA"/>
      </w:rPr>
    </w:lvl>
    <w:lvl w:ilvl="6">
      <w:start w:val="0"/>
      <w:numFmt w:val="bullet"/>
      <w:lvlText w:val="•"/>
      <w:lvlJc w:val="left"/>
      <w:pPr>
        <w:ind w:left="1106" w:hanging="202"/>
      </w:pPr>
      <w:rPr>
        <w:rFonts w:hint="default"/>
        <w:lang w:val="es-ES" w:eastAsia="en-US" w:bidi="ar-SA"/>
      </w:rPr>
    </w:lvl>
    <w:lvl w:ilvl="7">
      <w:start w:val="0"/>
      <w:numFmt w:val="bullet"/>
      <w:lvlText w:val="•"/>
      <w:lvlJc w:val="left"/>
      <w:pPr>
        <w:ind w:left="1277" w:hanging="202"/>
      </w:pPr>
      <w:rPr>
        <w:rFonts w:hint="default"/>
        <w:lang w:val="es-ES" w:eastAsia="en-US" w:bidi="ar-SA"/>
      </w:rPr>
    </w:lvl>
    <w:lvl w:ilvl="8">
      <w:start w:val="0"/>
      <w:numFmt w:val="bullet"/>
      <w:lvlText w:val="•"/>
      <w:lvlJc w:val="left"/>
      <w:pPr>
        <w:ind w:left="1448" w:hanging="202"/>
      </w:pPr>
      <w:rPr>
        <w:rFonts w:hint="default"/>
        <w:lang w:val="es-ES" w:eastAsia="en-US" w:bidi="ar-SA"/>
      </w:rPr>
    </w:lvl>
  </w:abstractNum>
  <w:abstractNum w:abstractNumId="95">
    <w:multiLevelType w:val="hybridMultilevel"/>
    <w:lvl w:ilvl="0">
      <w:start w:val="1"/>
      <w:numFmt w:val="decimal"/>
      <w:lvlText w:val="%1."/>
      <w:lvlJc w:val="left"/>
      <w:pPr>
        <w:ind w:left="74" w:hanging="202"/>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51" w:hanging="202"/>
      </w:pPr>
      <w:rPr>
        <w:rFonts w:hint="default"/>
        <w:lang w:val="es-ES" w:eastAsia="en-US" w:bidi="ar-SA"/>
      </w:rPr>
    </w:lvl>
    <w:lvl w:ilvl="2">
      <w:start w:val="0"/>
      <w:numFmt w:val="bullet"/>
      <w:lvlText w:val="•"/>
      <w:lvlJc w:val="left"/>
      <w:pPr>
        <w:ind w:left="422" w:hanging="202"/>
      </w:pPr>
      <w:rPr>
        <w:rFonts w:hint="default"/>
        <w:lang w:val="es-ES" w:eastAsia="en-US" w:bidi="ar-SA"/>
      </w:rPr>
    </w:lvl>
    <w:lvl w:ilvl="3">
      <w:start w:val="0"/>
      <w:numFmt w:val="bullet"/>
      <w:lvlText w:val="•"/>
      <w:lvlJc w:val="left"/>
      <w:pPr>
        <w:ind w:left="593" w:hanging="202"/>
      </w:pPr>
      <w:rPr>
        <w:rFonts w:hint="default"/>
        <w:lang w:val="es-ES" w:eastAsia="en-US" w:bidi="ar-SA"/>
      </w:rPr>
    </w:lvl>
    <w:lvl w:ilvl="4">
      <w:start w:val="0"/>
      <w:numFmt w:val="bullet"/>
      <w:lvlText w:val="•"/>
      <w:lvlJc w:val="left"/>
      <w:pPr>
        <w:ind w:left="764" w:hanging="202"/>
      </w:pPr>
      <w:rPr>
        <w:rFonts w:hint="default"/>
        <w:lang w:val="es-ES" w:eastAsia="en-US" w:bidi="ar-SA"/>
      </w:rPr>
    </w:lvl>
    <w:lvl w:ilvl="5">
      <w:start w:val="0"/>
      <w:numFmt w:val="bullet"/>
      <w:lvlText w:val="•"/>
      <w:lvlJc w:val="left"/>
      <w:pPr>
        <w:ind w:left="935" w:hanging="202"/>
      </w:pPr>
      <w:rPr>
        <w:rFonts w:hint="default"/>
        <w:lang w:val="es-ES" w:eastAsia="en-US" w:bidi="ar-SA"/>
      </w:rPr>
    </w:lvl>
    <w:lvl w:ilvl="6">
      <w:start w:val="0"/>
      <w:numFmt w:val="bullet"/>
      <w:lvlText w:val="•"/>
      <w:lvlJc w:val="left"/>
      <w:pPr>
        <w:ind w:left="1106" w:hanging="202"/>
      </w:pPr>
      <w:rPr>
        <w:rFonts w:hint="default"/>
        <w:lang w:val="es-ES" w:eastAsia="en-US" w:bidi="ar-SA"/>
      </w:rPr>
    </w:lvl>
    <w:lvl w:ilvl="7">
      <w:start w:val="0"/>
      <w:numFmt w:val="bullet"/>
      <w:lvlText w:val="•"/>
      <w:lvlJc w:val="left"/>
      <w:pPr>
        <w:ind w:left="1277" w:hanging="202"/>
      </w:pPr>
      <w:rPr>
        <w:rFonts w:hint="default"/>
        <w:lang w:val="es-ES" w:eastAsia="en-US" w:bidi="ar-SA"/>
      </w:rPr>
    </w:lvl>
    <w:lvl w:ilvl="8">
      <w:start w:val="0"/>
      <w:numFmt w:val="bullet"/>
      <w:lvlText w:val="•"/>
      <w:lvlJc w:val="left"/>
      <w:pPr>
        <w:ind w:left="1448" w:hanging="202"/>
      </w:pPr>
      <w:rPr>
        <w:rFonts w:hint="default"/>
        <w:lang w:val="es-ES" w:eastAsia="en-US" w:bidi="ar-SA"/>
      </w:rPr>
    </w:lvl>
  </w:abstractNum>
  <w:abstractNum w:abstractNumId="94">
    <w:multiLevelType w:val="hybridMultilevel"/>
    <w:lvl w:ilvl="0">
      <w:start w:val="0"/>
      <w:numFmt w:val="bullet"/>
      <w:lvlText w:val="•"/>
      <w:lvlJc w:val="left"/>
      <w:pPr>
        <w:ind w:left="74"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6" w:hanging="65"/>
      </w:pPr>
      <w:rPr>
        <w:rFonts w:hint="default"/>
        <w:lang w:val="es-ES" w:eastAsia="en-US" w:bidi="ar-SA"/>
      </w:rPr>
    </w:lvl>
    <w:lvl w:ilvl="2">
      <w:start w:val="0"/>
      <w:numFmt w:val="bullet"/>
      <w:lvlText w:val="•"/>
      <w:lvlJc w:val="left"/>
      <w:pPr>
        <w:ind w:left="372" w:hanging="65"/>
      </w:pPr>
      <w:rPr>
        <w:rFonts w:hint="default"/>
        <w:lang w:val="es-ES" w:eastAsia="en-US" w:bidi="ar-SA"/>
      </w:rPr>
    </w:lvl>
    <w:lvl w:ilvl="3">
      <w:start w:val="0"/>
      <w:numFmt w:val="bullet"/>
      <w:lvlText w:val="•"/>
      <w:lvlJc w:val="left"/>
      <w:pPr>
        <w:ind w:left="518" w:hanging="65"/>
      </w:pPr>
      <w:rPr>
        <w:rFonts w:hint="default"/>
        <w:lang w:val="es-ES" w:eastAsia="en-US" w:bidi="ar-SA"/>
      </w:rPr>
    </w:lvl>
    <w:lvl w:ilvl="4">
      <w:start w:val="0"/>
      <w:numFmt w:val="bullet"/>
      <w:lvlText w:val="•"/>
      <w:lvlJc w:val="left"/>
      <w:pPr>
        <w:ind w:left="664" w:hanging="65"/>
      </w:pPr>
      <w:rPr>
        <w:rFonts w:hint="default"/>
        <w:lang w:val="es-ES" w:eastAsia="en-US" w:bidi="ar-SA"/>
      </w:rPr>
    </w:lvl>
    <w:lvl w:ilvl="5">
      <w:start w:val="0"/>
      <w:numFmt w:val="bullet"/>
      <w:lvlText w:val="•"/>
      <w:lvlJc w:val="left"/>
      <w:pPr>
        <w:ind w:left="810" w:hanging="65"/>
      </w:pPr>
      <w:rPr>
        <w:rFonts w:hint="default"/>
        <w:lang w:val="es-ES" w:eastAsia="en-US" w:bidi="ar-SA"/>
      </w:rPr>
    </w:lvl>
    <w:lvl w:ilvl="6">
      <w:start w:val="0"/>
      <w:numFmt w:val="bullet"/>
      <w:lvlText w:val="•"/>
      <w:lvlJc w:val="left"/>
      <w:pPr>
        <w:ind w:left="956" w:hanging="65"/>
      </w:pPr>
      <w:rPr>
        <w:rFonts w:hint="default"/>
        <w:lang w:val="es-ES" w:eastAsia="en-US" w:bidi="ar-SA"/>
      </w:rPr>
    </w:lvl>
    <w:lvl w:ilvl="7">
      <w:start w:val="0"/>
      <w:numFmt w:val="bullet"/>
      <w:lvlText w:val="•"/>
      <w:lvlJc w:val="left"/>
      <w:pPr>
        <w:ind w:left="1102" w:hanging="65"/>
      </w:pPr>
      <w:rPr>
        <w:rFonts w:hint="default"/>
        <w:lang w:val="es-ES" w:eastAsia="en-US" w:bidi="ar-SA"/>
      </w:rPr>
    </w:lvl>
    <w:lvl w:ilvl="8">
      <w:start w:val="0"/>
      <w:numFmt w:val="bullet"/>
      <w:lvlText w:val="•"/>
      <w:lvlJc w:val="left"/>
      <w:pPr>
        <w:ind w:left="1248" w:hanging="65"/>
      </w:pPr>
      <w:rPr>
        <w:rFonts w:hint="default"/>
        <w:lang w:val="es-ES" w:eastAsia="en-US" w:bidi="ar-SA"/>
      </w:rPr>
    </w:lvl>
  </w:abstractNum>
  <w:abstractNum w:abstractNumId="93">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92">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91">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90">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89">
    <w:multiLevelType w:val="hybridMultilevel"/>
    <w:lvl w:ilvl="0">
      <w:start w:val="0"/>
      <w:numFmt w:val="bullet"/>
      <w:lvlText w:val="•"/>
      <w:lvlJc w:val="left"/>
      <w:pPr>
        <w:ind w:left="74"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5" w:hanging="65"/>
      </w:pPr>
      <w:rPr>
        <w:rFonts w:hint="default"/>
        <w:lang w:val="es-ES" w:eastAsia="en-US" w:bidi="ar-SA"/>
      </w:rPr>
    </w:lvl>
    <w:lvl w:ilvl="7">
      <w:start w:val="0"/>
      <w:numFmt w:val="bullet"/>
      <w:lvlText w:val="•"/>
      <w:lvlJc w:val="left"/>
      <w:pPr>
        <w:ind w:left="1101" w:hanging="65"/>
      </w:pPr>
      <w:rPr>
        <w:rFonts w:hint="default"/>
        <w:lang w:val="es-ES" w:eastAsia="en-US" w:bidi="ar-SA"/>
      </w:rPr>
    </w:lvl>
    <w:lvl w:ilvl="8">
      <w:start w:val="0"/>
      <w:numFmt w:val="bullet"/>
      <w:lvlText w:val="•"/>
      <w:lvlJc w:val="left"/>
      <w:pPr>
        <w:ind w:left="1247" w:hanging="65"/>
      </w:pPr>
      <w:rPr>
        <w:rFonts w:hint="default"/>
        <w:lang w:val="es-ES" w:eastAsia="en-US" w:bidi="ar-SA"/>
      </w:rPr>
    </w:lvl>
  </w:abstractNum>
  <w:abstractNum w:abstractNumId="88">
    <w:multiLevelType w:val="hybridMultilevel"/>
    <w:lvl w:ilvl="0">
      <w:start w:val="0"/>
      <w:numFmt w:val="bullet"/>
      <w:lvlText w:val="•"/>
      <w:lvlJc w:val="left"/>
      <w:pPr>
        <w:ind w:left="74"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5" w:hanging="65"/>
      </w:pPr>
      <w:rPr>
        <w:rFonts w:hint="default"/>
        <w:lang w:val="es-ES" w:eastAsia="en-US" w:bidi="ar-SA"/>
      </w:rPr>
    </w:lvl>
    <w:lvl w:ilvl="7">
      <w:start w:val="0"/>
      <w:numFmt w:val="bullet"/>
      <w:lvlText w:val="•"/>
      <w:lvlJc w:val="left"/>
      <w:pPr>
        <w:ind w:left="1101" w:hanging="65"/>
      </w:pPr>
      <w:rPr>
        <w:rFonts w:hint="default"/>
        <w:lang w:val="es-ES" w:eastAsia="en-US" w:bidi="ar-SA"/>
      </w:rPr>
    </w:lvl>
    <w:lvl w:ilvl="8">
      <w:start w:val="0"/>
      <w:numFmt w:val="bullet"/>
      <w:lvlText w:val="•"/>
      <w:lvlJc w:val="left"/>
      <w:pPr>
        <w:ind w:left="1247" w:hanging="65"/>
      </w:pPr>
      <w:rPr>
        <w:rFonts w:hint="default"/>
        <w:lang w:val="es-ES" w:eastAsia="en-US" w:bidi="ar-SA"/>
      </w:rPr>
    </w:lvl>
  </w:abstractNum>
  <w:abstractNum w:abstractNumId="87">
    <w:multiLevelType w:val="hybridMultilevel"/>
    <w:lvl w:ilvl="0">
      <w:start w:val="0"/>
      <w:numFmt w:val="bullet"/>
      <w:lvlText w:val="•"/>
      <w:lvlJc w:val="left"/>
      <w:pPr>
        <w:ind w:left="68"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08" w:hanging="65"/>
      </w:pPr>
      <w:rPr>
        <w:rFonts w:hint="default"/>
        <w:lang w:val="es-ES" w:eastAsia="en-US" w:bidi="ar-SA"/>
      </w:rPr>
    </w:lvl>
    <w:lvl w:ilvl="2">
      <w:start w:val="0"/>
      <w:numFmt w:val="bullet"/>
      <w:lvlText w:val="•"/>
      <w:lvlJc w:val="left"/>
      <w:pPr>
        <w:ind w:left="356" w:hanging="65"/>
      </w:pPr>
      <w:rPr>
        <w:rFonts w:hint="default"/>
        <w:lang w:val="es-ES" w:eastAsia="en-US" w:bidi="ar-SA"/>
      </w:rPr>
    </w:lvl>
    <w:lvl w:ilvl="3">
      <w:start w:val="0"/>
      <w:numFmt w:val="bullet"/>
      <w:lvlText w:val="•"/>
      <w:lvlJc w:val="left"/>
      <w:pPr>
        <w:ind w:left="504" w:hanging="65"/>
      </w:pPr>
      <w:rPr>
        <w:rFonts w:hint="default"/>
        <w:lang w:val="es-ES" w:eastAsia="en-US" w:bidi="ar-SA"/>
      </w:rPr>
    </w:lvl>
    <w:lvl w:ilvl="4">
      <w:start w:val="0"/>
      <w:numFmt w:val="bullet"/>
      <w:lvlText w:val="•"/>
      <w:lvlJc w:val="left"/>
      <w:pPr>
        <w:ind w:left="652" w:hanging="65"/>
      </w:pPr>
      <w:rPr>
        <w:rFonts w:hint="default"/>
        <w:lang w:val="es-ES" w:eastAsia="en-US" w:bidi="ar-SA"/>
      </w:rPr>
    </w:lvl>
    <w:lvl w:ilvl="5">
      <w:start w:val="0"/>
      <w:numFmt w:val="bullet"/>
      <w:lvlText w:val="•"/>
      <w:lvlJc w:val="left"/>
      <w:pPr>
        <w:ind w:left="800" w:hanging="65"/>
      </w:pPr>
      <w:rPr>
        <w:rFonts w:hint="default"/>
        <w:lang w:val="es-ES" w:eastAsia="en-US" w:bidi="ar-SA"/>
      </w:rPr>
    </w:lvl>
    <w:lvl w:ilvl="6">
      <w:start w:val="0"/>
      <w:numFmt w:val="bullet"/>
      <w:lvlText w:val="•"/>
      <w:lvlJc w:val="left"/>
      <w:pPr>
        <w:ind w:left="948" w:hanging="65"/>
      </w:pPr>
      <w:rPr>
        <w:rFonts w:hint="default"/>
        <w:lang w:val="es-ES" w:eastAsia="en-US" w:bidi="ar-SA"/>
      </w:rPr>
    </w:lvl>
    <w:lvl w:ilvl="7">
      <w:start w:val="0"/>
      <w:numFmt w:val="bullet"/>
      <w:lvlText w:val="•"/>
      <w:lvlJc w:val="left"/>
      <w:pPr>
        <w:ind w:left="1096"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86">
    <w:multiLevelType w:val="hybridMultilevel"/>
    <w:lvl w:ilvl="0">
      <w:start w:val="0"/>
      <w:numFmt w:val="bullet"/>
      <w:lvlText w:val="•"/>
      <w:lvlJc w:val="left"/>
      <w:pPr>
        <w:ind w:left="68"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08" w:hanging="65"/>
      </w:pPr>
      <w:rPr>
        <w:rFonts w:hint="default"/>
        <w:lang w:val="es-ES" w:eastAsia="en-US" w:bidi="ar-SA"/>
      </w:rPr>
    </w:lvl>
    <w:lvl w:ilvl="2">
      <w:start w:val="0"/>
      <w:numFmt w:val="bullet"/>
      <w:lvlText w:val="•"/>
      <w:lvlJc w:val="left"/>
      <w:pPr>
        <w:ind w:left="356" w:hanging="65"/>
      </w:pPr>
      <w:rPr>
        <w:rFonts w:hint="default"/>
        <w:lang w:val="es-ES" w:eastAsia="en-US" w:bidi="ar-SA"/>
      </w:rPr>
    </w:lvl>
    <w:lvl w:ilvl="3">
      <w:start w:val="0"/>
      <w:numFmt w:val="bullet"/>
      <w:lvlText w:val="•"/>
      <w:lvlJc w:val="left"/>
      <w:pPr>
        <w:ind w:left="504" w:hanging="65"/>
      </w:pPr>
      <w:rPr>
        <w:rFonts w:hint="default"/>
        <w:lang w:val="es-ES" w:eastAsia="en-US" w:bidi="ar-SA"/>
      </w:rPr>
    </w:lvl>
    <w:lvl w:ilvl="4">
      <w:start w:val="0"/>
      <w:numFmt w:val="bullet"/>
      <w:lvlText w:val="•"/>
      <w:lvlJc w:val="left"/>
      <w:pPr>
        <w:ind w:left="652" w:hanging="65"/>
      </w:pPr>
      <w:rPr>
        <w:rFonts w:hint="default"/>
        <w:lang w:val="es-ES" w:eastAsia="en-US" w:bidi="ar-SA"/>
      </w:rPr>
    </w:lvl>
    <w:lvl w:ilvl="5">
      <w:start w:val="0"/>
      <w:numFmt w:val="bullet"/>
      <w:lvlText w:val="•"/>
      <w:lvlJc w:val="left"/>
      <w:pPr>
        <w:ind w:left="800" w:hanging="65"/>
      </w:pPr>
      <w:rPr>
        <w:rFonts w:hint="default"/>
        <w:lang w:val="es-ES" w:eastAsia="en-US" w:bidi="ar-SA"/>
      </w:rPr>
    </w:lvl>
    <w:lvl w:ilvl="6">
      <w:start w:val="0"/>
      <w:numFmt w:val="bullet"/>
      <w:lvlText w:val="•"/>
      <w:lvlJc w:val="left"/>
      <w:pPr>
        <w:ind w:left="948" w:hanging="65"/>
      </w:pPr>
      <w:rPr>
        <w:rFonts w:hint="default"/>
        <w:lang w:val="es-ES" w:eastAsia="en-US" w:bidi="ar-SA"/>
      </w:rPr>
    </w:lvl>
    <w:lvl w:ilvl="7">
      <w:start w:val="0"/>
      <w:numFmt w:val="bullet"/>
      <w:lvlText w:val="•"/>
      <w:lvlJc w:val="left"/>
      <w:pPr>
        <w:ind w:left="1096"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85">
    <w:multiLevelType w:val="hybridMultilevel"/>
    <w:lvl w:ilvl="0">
      <w:start w:val="0"/>
      <w:numFmt w:val="bullet"/>
      <w:lvlText w:val="•"/>
      <w:lvlJc w:val="left"/>
      <w:pPr>
        <w:ind w:left="68"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08" w:hanging="65"/>
      </w:pPr>
      <w:rPr>
        <w:rFonts w:hint="default"/>
        <w:lang w:val="es-ES" w:eastAsia="en-US" w:bidi="ar-SA"/>
      </w:rPr>
    </w:lvl>
    <w:lvl w:ilvl="2">
      <w:start w:val="0"/>
      <w:numFmt w:val="bullet"/>
      <w:lvlText w:val="•"/>
      <w:lvlJc w:val="left"/>
      <w:pPr>
        <w:ind w:left="356" w:hanging="65"/>
      </w:pPr>
      <w:rPr>
        <w:rFonts w:hint="default"/>
        <w:lang w:val="es-ES" w:eastAsia="en-US" w:bidi="ar-SA"/>
      </w:rPr>
    </w:lvl>
    <w:lvl w:ilvl="3">
      <w:start w:val="0"/>
      <w:numFmt w:val="bullet"/>
      <w:lvlText w:val="•"/>
      <w:lvlJc w:val="left"/>
      <w:pPr>
        <w:ind w:left="504" w:hanging="65"/>
      </w:pPr>
      <w:rPr>
        <w:rFonts w:hint="default"/>
        <w:lang w:val="es-ES" w:eastAsia="en-US" w:bidi="ar-SA"/>
      </w:rPr>
    </w:lvl>
    <w:lvl w:ilvl="4">
      <w:start w:val="0"/>
      <w:numFmt w:val="bullet"/>
      <w:lvlText w:val="•"/>
      <w:lvlJc w:val="left"/>
      <w:pPr>
        <w:ind w:left="652" w:hanging="65"/>
      </w:pPr>
      <w:rPr>
        <w:rFonts w:hint="default"/>
        <w:lang w:val="es-ES" w:eastAsia="en-US" w:bidi="ar-SA"/>
      </w:rPr>
    </w:lvl>
    <w:lvl w:ilvl="5">
      <w:start w:val="0"/>
      <w:numFmt w:val="bullet"/>
      <w:lvlText w:val="•"/>
      <w:lvlJc w:val="left"/>
      <w:pPr>
        <w:ind w:left="800" w:hanging="65"/>
      </w:pPr>
      <w:rPr>
        <w:rFonts w:hint="default"/>
        <w:lang w:val="es-ES" w:eastAsia="en-US" w:bidi="ar-SA"/>
      </w:rPr>
    </w:lvl>
    <w:lvl w:ilvl="6">
      <w:start w:val="0"/>
      <w:numFmt w:val="bullet"/>
      <w:lvlText w:val="•"/>
      <w:lvlJc w:val="left"/>
      <w:pPr>
        <w:ind w:left="948" w:hanging="65"/>
      </w:pPr>
      <w:rPr>
        <w:rFonts w:hint="default"/>
        <w:lang w:val="es-ES" w:eastAsia="en-US" w:bidi="ar-SA"/>
      </w:rPr>
    </w:lvl>
    <w:lvl w:ilvl="7">
      <w:start w:val="0"/>
      <w:numFmt w:val="bullet"/>
      <w:lvlText w:val="•"/>
      <w:lvlJc w:val="left"/>
      <w:pPr>
        <w:ind w:left="1096"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84">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83">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82">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81">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80">
    <w:multiLevelType w:val="hybridMultilevel"/>
    <w:lvl w:ilvl="0">
      <w:start w:val="0"/>
      <w:numFmt w:val="bullet"/>
      <w:lvlText w:val="•"/>
      <w:lvlJc w:val="left"/>
      <w:pPr>
        <w:ind w:left="68"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08" w:hanging="65"/>
      </w:pPr>
      <w:rPr>
        <w:rFonts w:hint="default"/>
        <w:lang w:val="es-ES" w:eastAsia="en-US" w:bidi="ar-SA"/>
      </w:rPr>
    </w:lvl>
    <w:lvl w:ilvl="2">
      <w:start w:val="0"/>
      <w:numFmt w:val="bullet"/>
      <w:lvlText w:val="•"/>
      <w:lvlJc w:val="left"/>
      <w:pPr>
        <w:ind w:left="356" w:hanging="65"/>
      </w:pPr>
      <w:rPr>
        <w:rFonts w:hint="default"/>
        <w:lang w:val="es-ES" w:eastAsia="en-US" w:bidi="ar-SA"/>
      </w:rPr>
    </w:lvl>
    <w:lvl w:ilvl="3">
      <w:start w:val="0"/>
      <w:numFmt w:val="bullet"/>
      <w:lvlText w:val="•"/>
      <w:lvlJc w:val="left"/>
      <w:pPr>
        <w:ind w:left="504" w:hanging="65"/>
      </w:pPr>
      <w:rPr>
        <w:rFonts w:hint="default"/>
        <w:lang w:val="es-ES" w:eastAsia="en-US" w:bidi="ar-SA"/>
      </w:rPr>
    </w:lvl>
    <w:lvl w:ilvl="4">
      <w:start w:val="0"/>
      <w:numFmt w:val="bullet"/>
      <w:lvlText w:val="•"/>
      <w:lvlJc w:val="left"/>
      <w:pPr>
        <w:ind w:left="652" w:hanging="65"/>
      </w:pPr>
      <w:rPr>
        <w:rFonts w:hint="default"/>
        <w:lang w:val="es-ES" w:eastAsia="en-US" w:bidi="ar-SA"/>
      </w:rPr>
    </w:lvl>
    <w:lvl w:ilvl="5">
      <w:start w:val="0"/>
      <w:numFmt w:val="bullet"/>
      <w:lvlText w:val="•"/>
      <w:lvlJc w:val="left"/>
      <w:pPr>
        <w:ind w:left="800" w:hanging="65"/>
      </w:pPr>
      <w:rPr>
        <w:rFonts w:hint="default"/>
        <w:lang w:val="es-ES" w:eastAsia="en-US" w:bidi="ar-SA"/>
      </w:rPr>
    </w:lvl>
    <w:lvl w:ilvl="6">
      <w:start w:val="0"/>
      <w:numFmt w:val="bullet"/>
      <w:lvlText w:val="•"/>
      <w:lvlJc w:val="left"/>
      <w:pPr>
        <w:ind w:left="948" w:hanging="65"/>
      </w:pPr>
      <w:rPr>
        <w:rFonts w:hint="default"/>
        <w:lang w:val="es-ES" w:eastAsia="en-US" w:bidi="ar-SA"/>
      </w:rPr>
    </w:lvl>
    <w:lvl w:ilvl="7">
      <w:start w:val="0"/>
      <w:numFmt w:val="bullet"/>
      <w:lvlText w:val="•"/>
      <w:lvlJc w:val="left"/>
      <w:pPr>
        <w:ind w:left="1096"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79">
    <w:multiLevelType w:val="hybridMultilevel"/>
    <w:lvl w:ilvl="0">
      <w:start w:val="0"/>
      <w:numFmt w:val="bullet"/>
      <w:lvlText w:val="•"/>
      <w:lvlJc w:val="left"/>
      <w:pPr>
        <w:ind w:left="68"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08" w:hanging="65"/>
      </w:pPr>
      <w:rPr>
        <w:rFonts w:hint="default"/>
        <w:lang w:val="es-ES" w:eastAsia="en-US" w:bidi="ar-SA"/>
      </w:rPr>
    </w:lvl>
    <w:lvl w:ilvl="2">
      <w:start w:val="0"/>
      <w:numFmt w:val="bullet"/>
      <w:lvlText w:val="•"/>
      <w:lvlJc w:val="left"/>
      <w:pPr>
        <w:ind w:left="356" w:hanging="65"/>
      </w:pPr>
      <w:rPr>
        <w:rFonts w:hint="default"/>
        <w:lang w:val="es-ES" w:eastAsia="en-US" w:bidi="ar-SA"/>
      </w:rPr>
    </w:lvl>
    <w:lvl w:ilvl="3">
      <w:start w:val="0"/>
      <w:numFmt w:val="bullet"/>
      <w:lvlText w:val="•"/>
      <w:lvlJc w:val="left"/>
      <w:pPr>
        <w:ind w:left="504" w:hanging="65"/>
      </w:pPr>
      <w:rPr>
        <w:rFonts w:hint="default"/>
        <w:lang w:val="es-ES" w:eastAsia="en-US" w:bidi="ar-SA"/>
      </w:rPr>
    </w:lvl>
    <w:lvl w:ilvl="4">
      <w:start w:val="0"/>
      <w:numFmt w:val="bullet"/>
      <w:lvlText w:val="•"/>
      <w:lvlJc w:val="left"/>
      <w:pPr>
        <w:ind w:left="652" w:hanging="65"/>
      </w:pPr>
      <w:rPr>
        <w:rFonts w:hint="default"/>
        <w:lang w:val="es-ES" w:eastAsia="en-US" w:bidi="ar-SA"/>
      </w:rPr>
    </w:lvl>
    <w:lvl w:ilvl="5">
      <w:start w:val="0"/>
      <w:numFmt w:val="bullet"/>
      <w:lvlText w:val="•"/>
      <w:lvlJc w:val="left"/>
      <w:pPr>
        <w:ind w:left="800" w:hanging="65"/>
      </w:pPr>
      <w:rPr>
        <w:rFonts w:hint="default"/>
        <w:lang w:val="es-ES" w:eastAsia="en-US" w:bidi="ar-SA"/>
      </w:rPr>
    </w:lvl>
    <w:lvl w:ilvl="6">
      <w:start w:val="0"/>
      <w:numFmt w:val="bullet"/>
      <w:lvlText w:val="•"/>
      <w:lvlJc w:val="left"/>
      <w:pPr>
        <w:ind w:left="948" w:hanging="65"/>
      </w:pPr>
      <w:rPr>
        <w:rFonts w:hint="default"/>
        <w:lang w:val="es-ES" w:eastAsia="en-US" w:bidi="ar-SA"/>
      </w:rPr>
    </w:lvl>
    <w:lvl w:ilvl="7">
      <w:start w:val="0"/>
      <w:numFmt w:val="bullet"/>
      <w:lvlText w:val="•"/>
      <w:lvlJc w:val="left"/>
      <w:pPr>
        <w:ind w:left="1096"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78">
    <w:multiLevelType w:val="hybridMultilevel"/>
    <w:lvl w:ilvl="0">
      <w:start w:val="0"/>
      <w:numFmt w:val="bullet"/>
      <w:lvlText w:val="•"/>
      <w:lvlJc w:val="left"/>
      <w:pPr>
        <w:ind w:left="74"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5" w:hanging="65"/>
      </w:pPr>
      <w:rPr>
        <w:rFonts w:hint="default"/>
        <w:lang w:val="es-ES" w:eastAsia="en-US" w:bidi="ar-SA"/>
      </w:rPr>
    </w:lvl>
    <w:lvl w:ilvl="7">
      <w:start w:val="0"/>
      <w:numFmt w:val="bullet"/>
      <w:lvlText w:val="•"/>
      <w:lvlJc w:val="left"/>
      <w:pPr>
        <w:ind w:left="1101" w:hanging="65"/>
      </w:pPr>
      <w:rPr>
        <w:rFonts w:hint="default"/>
        <w:lang w:val="es-ES" w:eastAsia="en-US" w:bidi="ar-SA"/>
      </w:rPr>
    </w:lvl>
    <w:lvl w:ilvl="8">
      <w:start w:val="0"/>
      <w:numFmt w:val="bullet"/>
      <w:lvlText w:val="•"/>
      <w:lvlJc w:val="left"/>
      <w:pPr>
        <w:ind w:left="1247" w:hanging="65"/>
      </w:pPr>
      <w:rPr>
        <w:rFonts w:hint="default"/>
        <w:lang w:val="es-ES" w:eastAsia="en-US" w:bidi="ar-SA"/>
      </w:rPr>
    </w:lvl>
  </w:abstractNum>
  <w:abstractNum w:abstractNumId="77">
    <w:multiLevelType w:val="hybridMultilevel"/>
    <w:lvl w:ilvl="0">
      <w:start w:val="0"/>
      <w:numFmt w:val="bullet"/>
      <w:lvlText w:val="•"/>
      <w:lvlJc w:val="left"/>
      <w:pPr>
        <w:ind w:left="74"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5" w:hanging="65"/>
      </w:pPr>
      <w:rPr>
        <w:rFonts w:hint="default"/>
        <w:lang w:val="es-ES" w:eastAsia="en-US" w:bidi="ar-SA"/>
      </w:rPr>
    </w:lvl>
    <w:lvl w:ilvl="7">
      <w:start w:val="0"/>
      <w:numFmt w:val="bullet"/>
      <w:lvlText w:val="•"/>
      <w:lvlJc w:val="left"/>
      <w:pPr>
        <w:ind w:left="1101" w:hanging="65"/>
      </w:pPr>
      <w:rPr>
        <w:rFonts w:hint="default"/>
        <w:lang w:val="es-ES" w:eastAsia="en-US" w:bidi="ar-SA"/>
      </w:rPr>
    </w:lvl>
    <w:lvl w:ilvl="8">
      <w:start w:val="0"/>
      <w:numFmt w:val="bullet"/>
      <w:lvlText w:val="•"/>
      <w:lvlJc w:val="left"/>
      <w:pPr>
        <w:ind w:left="1247" w:hanging="65"/>
      </w:pPr>
      <w:rPr>
        <w:rFonts w:hint="default"/>
        <w:lang w:val="es-ES" w:eastAsia="en-US" w:bidi="ar-SA"/>
      </w:rPr>
    </w:lvl>
  </w:abstractNum>
  <w:abstractNum w:abstractNumId="76">
    <w:multiLevelType w:val="hybridMultilevel"/>
    <w:lvl w:ilvl="0">
      <w:start w:val="0"/>
      <w:numFmt w:val="bullet"/>
      <w:lvlText w:val="•"/>
      <w:lvlJc w:val="left"/>
      <w:pPr>
        <w:ind w:left="74"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5" w:hanging="65"/>
      </w:pPr>
      <w:rPr>
        <w:rFonts w:hint="default"/>
        <w:lang w:val="es-ES" w:eastAsia="en-US" w:bidi="ar-SA"/>
      </w:rPr>
    </w:lvl>
    <w:lvl w:ilvl="7">
      <w:start w:val="0"/>
      <w:numFmt w:val="bullet"/>
      <w:lvlText w:val="•"/>
      <w:lvlJc w:val="left"/>
      <w:pPr>
        <w:ind w:left="1101" w:hanging="65"/>
      </w:pPr>
      <w:rPr>
        <w:rFonts w:hint="default"/>
        <w:lang w:val="es-ES" w:eastAsia="en-US" w:bidi="ar-SA"/>
      </w:rPr>
    </w:lvl>
    <w:lvl w:ilvl="8">
      <w:start w:val="0"/>
      <w:numFmt w:val="bullet"/>
      <w:lvlText w:val="•"/>
      <w:lvlJc w:val="left"/>
      <w:pPr>
        <w:ind w:left="1247" w:hanging="65"/>
      </w:pPr>
      <w:rPr>
        <w:rFonts w:hint="default"/>
        <w:lang w:val="es-ES" w:eastAsia="en-US" w:bidi="ar-SA"/>
      </w:rPr>
    </w:lvl>
  </w:abstractNum>
  <w:abstractNum w:abstractNumId="75">
    <w:multiLevelType w:val="hybridMultilevel"/>
    <w:lvl w:ilvl="0">
      <w:start w:val="0"/>
      <w:numFmt w:val="bullet"/>
      <w:lvlText w:val="•"/>
      <w:lvlJc w:val="left"/>
      <w:pPr>
        <w:ind w:left="74"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5" w:hanging="65"/>
      </w:pPr>
      <w:rPr>
        <w:rFonts w:hint="default"/>
        <w:lang w:val="es-ES" w:eastAsia="en-US" w:bidi="ar-SA"/>
      </w:rPr>
    </w:lvl>
    <w:lvl w:ilvl="7">
      <w:start w:val="0"/>
      <w:numFmt w:val="bullet"/>
      <w:lvlText w:val="•"/>
      <w:lvlJc w:val="left"/>
      <w:pPr>
        <w:ind w:left="1101" w:hanging="65"/>
      </w:pPr>
      <w:rPr>
        <w:rFonts w:hint="default"/>
        <w:lang w:val="es-ES" w:eastAsia="en-US" w:bidi="ar-SA"/>
      </w:rPr>
    </w:lvl>
    <w:lvl w:ilvl="8">
      <w:start w:val="0"/>
      <w:numFmt w:val="bullet"/>
      <w:lvlText w:val="•"/>
      <w:lvlJc w:val="left"/>
      <w:pPr>
        <w:ind w:left="1247" w:hanging="65"/>
      </w:pPr>
      <w:rPr>
        <w:rFonts w:hint="default"/>
        <w:lang w:val="es-ES" w:eastAsia="en-US" w:bidi="ar-SA"/>
      </w:rPr>
    </w:lvl>
  </w:abstractNum>
  <w:abstractNum w:abstractNumId="74">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73">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72">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71">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70">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69">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68">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67">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66">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65">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64">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63">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62">
    <w:multiLevelType w:val="hybridMultilevel"/>
    <w:lvl w:ilvl="0">
      <w:start w:val="0"/>
      <w:numFmt w:val="bullet"/>
      <w:lvlText w:val="•"/>
      <w:lvlJc w:val="left"/>
      <w:pPr>
        <w:ind w:left="74"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5" w:hanging="65"/>
      </w:pPr>
      <w:rPr>
        <w:rFonts w:hint="default"/>
        <w:lang w:val="es-ES" w:eastAsia="en-US" w:bidi="ar-SA"/>
      </w:rPr>
    </w:lvl>
    <w:lvl w:ilvl="7">
      <w:start w:val="0"/>
      <w:numFmt w:val="bullet"/>
      <w:lvlText w:val="•"/>
      <w:lvlJc w:val="left"/>
      <w:pPr>
        <w:ind w:left="1101" w:hanging="65"/>
      </w:pPr>
      <w:rPr>
        <w:rFonts w:hint="default"/>
        <w:lang w:val="es-ES" w:eastAsia="en-US" w:bidi="ar-SA"/>
      </w:rPr>
    </w:lvl>
    <w:lvl w:ilvl="8">
      <w:start w:val="0"/>
      <w:numFmt w:val="bullet"/>
      <w:lvlText w:val="•"/>
      <w:lvlJc w:val="left"/>
      <w:pPr>
        <w:ind w:left="1247" w:hanging="65"/>
      </w:pPr>
      <w:rPr>
        <w:rFonts w:hint="default"/>
        <w:lang w:val="es-ES" w:eastAsia="en-US" w:bidi="ar-SA"/>
      </w:rPr>
    </w:lvl>
  </w:abstractNum>
  <w:abstractNum w:abstractNumId="61">
    <w:multiLevelType w:val="hybridMultilevel"/>
    <w:lvl w:ilvl="0">
      <w:start w:val="0"/>
      <w:numFmt w:val="bullet"/>
      <w:lvlText w:val="•"/>
      <w:lvlJc w:val="left"/>
      <w:pPr>
        <w:ind w:left="74"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5" w:hanging="65"/>
      </w:pPr>
      <w:rPr>
        <w:rFonts w:hint="default"/>
        <w:lang w:val="es-ES" w:eastAsia="en-US" w:bidi="ar-SA"/>
      </w:rPr>
    </w:lvl>
    <w:lvl w:ilvl="7">
      <w:start w:val="0"/>
      <w:numFmt w:val="bullet"/>
      <w:lvlText w:val="•"/>
      <w:lvlJc w:val="left"/>
      <w:pPr>
        <w:ind w:left="1101" w:hanging="65"/>
      </w:pPr>
      <w:rPr>
        <w:rFonts w:hint="default"/>
        <w:lang w:val="es-ES" w:eastAsia="en-US" w:bidi="ar-SA"/>
      </w:rPr>
    </w:lvl>
    <w:lvl w:ilvl="8">
      <w:start w:val="0"/>
      <w:numFmt w:val="bullet"/>
      <w:lvlText w:val="•"/>
      <w:lvlJc w:val="left"/>
      <w:pPr>
        <w:ind w:left="1247" w:hanging="65"/>
      </w:pPr>
      <w:rPr>
        <w:rFonts w:hint="default"/>
        <w:lang w:val="es-ES" w:eastAsia="en-US" w:bidi="ar-SA"/>
      </w:rPr>
    </w:lvl>
  </w:abstractNum>
  <w:abstractNum w:abstractNumId="60">
    <w:multiLevelType w:val="hybridMultilevel"/>
    <w:lvl w:ilvl="0">
      <w:start w:val="0"/>
      <w:numFmt w:val="bullet"/>
      <w:lvlText w:val="•"/>
      <w:lvlJc w:val="left"/>
      <w:pPr>
        <w:ind w:left="74"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5" w:hanging="65"/>
      </w:pPr>
      <w:rPr>
        <w:rFonts w:hint="default"/>
        <w:lang w:val="es-ES" w:eastAsia="en-US" w:bidi="ar-SA"/>
      </w:rPr>
    </w:lvl>
    <w:lvl w:ilvl="7">
      <w:start w:val="0"/>
      <w:numFmt w:val="bullet"/>
      <w:lvlText w:val="•"/>
      <w:lvlJc w:val="left"/>
      <w:pPr>
        <w:ind w:left="1101" w:hanging="65"/>
      </w:pPr>
      <w:rPr>
        <w:rFonts w:hint="default"/>
        <w:lang w:val="es-ES" w:eastAsia="en-US" w:bidi="ar-SA"/>
      </w:rPr>
    </w:lvl>
    <w:lvl w:ilvl="8">
      <w:start w:val="0"/>
      <w:numFmt w:val="bullet"/>
      <w:lvlText w:val="•"/>
      <w:lvlJc w:val="left"/>
      <w:pPr>
        <w:ind w:left="1247" w:hanging="65"/>
      </w:pPr>
      <w:rPr>
        <w:rFonts w:hint="default"/>
        <w:lang w:val="es-ES" w:eastAsia="en-US" w:bidi="ar-SA"/>
      </w:rPr>
    </w:lvl>
  </w:abstractNum>
  <w:abstractNum w:abstractNumId="59">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58">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57">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56">
    <w:multiLevelType w:val="hybridMultilevel"/>
    <w:lvl w:ilvl="0">
      <w:start w:val="0"/>
      <w:numFmt w:val="bullet"/>
      <w:lvlText w:val="•"/>
      <w:lvlJc w:val="left"/>
      <w:pPr>
        <w:ind w:left="74"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6" w:hanging="65"/>
      </w:pPr>
      <w:rPr>
        <w:rFonts w:hint="default"/>
        <w:lang w:val="es-ES" w:eastAsia="en-US" w:bidi="ar-SA"/>
      </w:rPr>
    </w:lvl>
    <w:lvl w:ilvl="2">
      <w:start w:val="0"/>
      <w:numFmt w:val="bullet"/>
      <w:lvlText w:val="•"/>
      <w:lvlJc w:val="left"/>
      <w:pPr>
        <w:ind w:left="372" w:hanging="65"/>
      </w:pPr>
      <w:rPr>
        <w:rFonts w:hint="default"/>
        <w:lang w:val="es-ES" w:eastAsia="en-US" w:bidi="ar-SA"/>
      </w:rPr>
    </w:lvl>
    <w:lvl w:ilvl="3">
      <w:start w:val="0"/>
      <w:numFmt w:val="bullet"/>
      <w:lvlText w:val="•"/>
      <w:lvlJc w:val="left"/>
      <w:pPr>
        <w:ind w:left="518" w:hanging="65"/>
      </w:pPr>
      <w:rPr>
        <w:rFonts w:hint="default"/>
        <w:lang w:val="es-ES" w:eastAsia="en-US" w:bidi="ar-SA"/>
      </w:rPr>
    </w:lvl>
    <w:lvl w:ilvl="4">
      <w:start w:val="0"/>
      <w:numFmt w:val="bullet"/>
      <w:lvlText w:val="•"/>
      <w:lvlJc w:val="left"/>
      <w:pPr>
        <w:ind w:left="664" w:hanging="65"/>
      </w:pPr>
      <w:rPr>
        <w:rFonts w:hint="default"/>
        <w:lang w:val="es-ES" w:eastAsia="en-US" w:bidi="ar-SA"/>
      </w:rPr>
    </w:lvl>
    <w:lvl w:ilvl="5">
      <w:start w:val="0"/>
      <w:numFmt w:val="bullet"/>
      <w:lvlText w:val="•"/>
      <w:lvlJc w:val="left"/>
      <w:pPr>
        <w:ind w:left="810" w:hanging="65"/>
      </w:pPr>
      <w:rPr>
        <w:rFonts w:hint="default"/>
        <w:lang w:val="es-ES" w:eastAsia="en-US" w:bidi="ar-SA"/>
      </w:rPr>
    </w:lvl>
    <w:lvl w:ilvl="6">
      <w:start w:val="0"/>
      <w:numFmt w:val="bullet"/>
      <w:lvlText w:val="•"/>
      <w:lvlJc w:val="left"/>
      <w:pPr>
        <w:ind w:left="956" w:hanging="65"/>
      </w:pPr>
      <w:rPr>
        <w:rFonts w:hint="default"/>
        <w:lang w:val="es-ES" w:eastAsia="en-US" w:bidi="ar-SA"/>
      </w:rPr>
    </w:lvl>
    <w:lvl w:ilvl="7">
      <w:start w:val="0"/>
      <w:numFmt w:val="bullet"/>
      <w:lvlText w:val="•"/>
      <w:lvlJc w:val="left"/>
      <w:pPr>
        <w:ind w:left="1102" w:hanging="65"/>
      </w:pPr>
      <w:rPr>
        <w:rFonts w:hint="default"/>
        <w:lang w:val="es-ES" w:eastAsia="en-US" w:bidi="ar-SA"/>
      </w:rPr>
    </w:lvl>
    <w:lvl w:ilvl="8">
      <w:start w:val="0"/>
      <w:numFmt w:val="bullet"/>
      <w:lvlText w:val="•"/>
      <w:lvlJc w:val="left"/>
      <w:pPr>
        <w:ind w:left="1248" w:hanging="65"/>
      </w:pPr>
      <w:rPr>
        <w:rFonts w:hint="default"/>
        <w:lang w:val="es-ES" w:eastAsia="en-US" w:bidi="ar-SA"/>
      </w:rPr>
    </w:lvl>
  </w:abstractNum>
  <w:abstractNum w:abstractNumId="55">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54">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53">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52">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51">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50">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49">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48">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47">
    <w:multiLevelType w:val="hybridMultilevel"/>
    <w:lvl w:ilvl="0">
      <w:start w:val="0"/>
      <w:numFmt w:val="bullet"/>
      <w:lvlText w:val="•"/>
      <w:lvlJc w:val="left"/>
      <w:pPr>
        <w:ind w:left="72"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7" w:hanging="65"/>
      </w:pPr>
      <w:rPr>
        <w:rFonts w:hint="default"/>
        <w:lang w:val="es-ES" w:eastAsia="en-US" w:bidi="ar-SA"/>
      </w:rPr>
    </w:lvl>
    <w:lvl w:ilvl="4">
      <w:start w:val="0"/>
      <w:numFmt w:val="bullet"/>
      <w:lvlText w:val="•"/>
      <w:lvlJc w:val="left"/>
      <w:pPr>
        <w:ind w:left="663" w:hanging="65"/>
      </w:pPr>
      <w:rPr>
        <w:rFonts w:hint="default"/>
        <w:lang w:val="es-ES" w:eastAsia="en-US" w:bidi="ar-SA"/>
      </w:rPr>
    </w:lvl>
    <w:lvl w:ilvl="5">
      <w:start w:val="0"/>
      <w:numFmt w:val="bullet"/>
      <w:lvlText w:val="•"/>
      <w:lvlJc w:val="left"/>
      <w:pPr>
        <w:ind w:left="809" w:hanging="65"/>
      </w:pPr>
      <w:rPr>
        <w:rFonts w:hint="default"/>
        <w:lang w:val="es-ES" w:eastAsia="en-US" w:bidi="ar-SA"/>
      </w:rPr>
    </w:lvl>
    <w:lvl w:ilvl="6">
      <w:start w:val="0"/>
      <w:numFmt w:val="bullet"/>
      <w:lvlText w:val="•"/>
      <w:lvlJc w:val="left"/>
      <w:pPr>
        <w:ind w:left="954" w:hanging="65"/>
      </w:pPr>
      <w:rPr>
        <w:rFonts w:hint="default"/>
        <w:lang w:val="es-ES" w:eastAsia="en-US" w:bidi="ar-SA"/>
      </w:rPr>
    </w:lvl>
    <w:lvl w:ilvl="7">
      <w:start w:val="0"/>
      <w:numFmt w:val="bullet"/>
      <w:lvlText w:val="•"/>
      <w:lvlJc w:val="left"/>
      <w:pPr>
        <w:ind w:left="1100" w:hanging="65"/>
      </w:pPr>
      <w:rPr>
        <w:rFonts w:hint="default"/>
        <w:lang w:val="es-ES" w:eastAsia="en-US" w:bidi="ar-SA"/>
      </w:rPr>
    </w:lvl>
    <w:lvl w:ilvl="8">
      <w:start w:val="0"/>
      <w:numFmt w:val="bullet"/>
      <w:lvlText w:val="•"/>
      <w:lvlJc w:val="left"/>
      <w:pPr>
        <w:ind w:left="1246" w:hanging="65"/>
      </w:pPr>
      <w:rPr>
        <w:rFonts w:hint="default"/>
        <w:lang w:val="es-ES" w:eastAsia="en-US" w:bidi="ar-SA"/>
      </w:rPr>
    </w:lvl>
  </w:abstractNum>
  <w:abstractNum w:abstractNumId="46">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45">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44">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43">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42">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41">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40">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39">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38">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37">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36">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35">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34">
    <w:multiLevelType w:val="hybridMultilevel"/>
    <w:lvl w:ilvl="0">
      <w:start w:val="0"/>
      <w:numFmt w:val="bullet"/>
      <w:lvlText w:val="•"/>
      <w:lvlJc w:val="left"/>
      <w:pPr>
        <w:ind w:left="70" w:hanging="65"/>
      </w:pPr>
      <w:rPr>
        <w:rFonts w:hint="default" w:ascii="Arial" w:hAnsi="Arial" w:eastAsia="Arial" w:cs="Arial"/>
        <w:b w:val="0"/>
        <w:bCs w:val="0"/>
        <w:i w:val="0"/>
        <w:iCs w:val="0"/>
        <w:spacing w:val="-2"/>
        <w:w w:val="77"/>
        <w:sz w:val="16"/>
        <w:szCs w:val="16"/>
        <w:lang w:val="es-ES" w:eastAsia="en-US" w:bidi="ar-SA"/>
      </w:rPr>
    </w:lvl>
    <w:lvl w:ilvl="1">
      <w:start w:val="0"/>
      <w:numFmt w:val="bullet"/>
      <w:lvlText w:val="•"/>
      <w:lvlJc w:val="left"/>
      <w:pPr>
        <w:ind w:left="225" w:hanging="65"/>
      </w:pPr>
      <w:rPr>
        <w:rFonts w:hint="default"/>
        <w:lang w:val="es-ES" w:eastAsia="en-US" w:bidi="ar-SA"/>
      </w:rPr>
    </w:lvl>
    <w:lvl w:ilvl="2">
      <w:start w:val="0"/>
      <w:numFmt w:val="bullet"/>
      <w:lvlText w:val="•"/>
      <w:lvlJc w:val="left"/>
      <w:pPr>
        <w:ind w:left="371" w:hanging="65"/>
      </w:pPr>
      <w:rPr>
        <w:rFonts w:hint="default"/>
        <w:lang w:val="es-ES" w:eastAsia="en-US" w:bidi="ar-SA"/>
      </w:rPr>
    </w:lvl>
    <w:lvl w:ilvl="3">
      <w:start w:val="0"/>
      <w:numFmt w:val="bullet"/>
      <w:lvlText w:val="•"/>
      <w:lvlJc w:val="left"/>
      <w:pPr>
        <w:ind w:left="516" w:hanging="65"/>
      </w:pPr>
      <w:rPr>
        <w:rFonts w:hint="default"/>
        <w:lang w:val="es-ES" w:eastAsia="en-US" w:bidi="ar-SA"/>
      </w:rPr>
    </w:lvl>
    <w:lvl w:ilvl="4">
      <w:start w:val="0"/>
      <w:numFmt w:val="bullet"/>
      <w:lvlText w:val="•"/>
      <w:lvlJc w:val="left"/>
      <w:pPr>
        <w:ind w:left="662" w:hanging="65"/>
      </w:pPr>
      <w:rPr>
        <w:rFonts w:hint="default"/>
        <w:lang w:val="es-ES" w:eastAsia="en-US" w:bidi="ar-SA"/>
      </w:rPr>
    </w:lvl>
    <w:lvl w:ilvl="5">
      <w:start w:val="0"/>
      <w:numFmt w:val="bullet"/>
      <w:lvlText w:val="•"/>
      <w:lvlJc w:val="left"/>
      <w:pPr>
        <w:ind w:left="808" w:hanging="65"/>
      </w:pPr>
      <w:rPr>
        <w:rFonts w:hint="default"/>
        <w:lang w:val="es-ES" w:eastAsia="en-US" w:bidi="ar-SA"/>
      </w:rPr>
    </w:lvl>
    <w:lvl w:ilvl="6">
      <w:start w:val="0"/>
      <w:numFmt w:val="bullet"/>
      <w:lvlText w:val="•"/>
      <w:lvlJc w:val="left"/>
      <w:pPr>
        <w:ind w:left="953" w:hanging="65"/>
      </w:pPr>
      <w:rPr>
        <w:rFonts w:hint="default"/>
        <w:lang w:val="es-ES" w:eastAsia="en-US" w:bidi="ar-SA"/>
      </w:rPr>
    </w:lvl>
    <w:lvl w:ilvl="7">
      <w:start w:val="0"/>
      <w:numFmt w:val="bullet"/>
      <w:lvlText w:val="•"/>
      <w:lvlJc w:val="left"/>
      <w:pPr>
        <w:ind w:left="1099" w:hanging="65"/>
      </w:pPr>
      <w:rPr>
        <w:rFonts w:hint="default"/>
        <w:lang w:val="es-ES" w:eastAsia="en-US" w:bidi="ar-SA"/>
      </w:rPr>
    </w:lvl>
    <w:lvl w:ilvl="8">
      <w:start w:val="0"/>
      <w:numFmt w:val="bullet"/>
      <w:lvlText w:val="•"/>
      <w:lvlJc w:val="left"/>
      <w:pPr>
        <w:ind w:left="1244" w:hanging="65"/>
      </w:pPr>
      <w:rPr>
        <w:rFonts w:hint="default"/>
        <w:lang w:val="es-ES" w:eastAsia="en-US" w:bidi="ar-SA"/>
      </w:rPr>
    </w:lvl>
  </w:abstractNum>
  <w:abstractNum w:abstractNumId="33">
    <w:multiLevelType w:val="hybridMultilevel"/>
    <w:lvl w:ilvl="0">
      <w:start w:val="1"/>
      <w:numFmt w:val="decimal"/>
      <w:lvlText w:val="%1)"/>
      <w:lvlJc w:val="left"/>
      <w:pPr>
        <w:ind w:left="72" w:hanging="216"/>
        <w:jc w:val="left"/>
      </w:pPr>
      <w:rPr>
        <w:rFonts w:hint="default" w:ascii="Arial" w:hAnsi="Arial" w:eastAsia="Arial" w:cs="Arial"/>
        <w:b/>
        <w:bCs/>
        <w:i w:val="0"/>
        <w:iCs w:val="0"/>
        <w:spacing w:val="-1"/>
        <w:w w:val="101"/>
        <w:sz w:val="18"/>
        <w:szCs w:val="18"/>
        <w:lang w:val="es-ES" w:eastAsia="en-US" w:bidi="ar-SA"/>
      </w:rPr>
    </w:lvl>
    <w:lvl w:ilvl="1">
      <w:start w:val="0"/>
      <w:numFmt w:val="bullet"/>
      <w:lvlText w:val="•"/>
      <w:lvlJc w:val="left"/>
      <w:pPr>
        <w:ind w:left="225" w:hanging="216"/>
      </w:pPr>
      <w:rPr>
        <w:rFonts w:hint="default"/>
        <w:lang w:val="es-ES" w:eastAsia="en-US" w:bidi="ar-SA"/>
      </w:rPr>
    </w:lvl>
    <w:lvl w:ilvl="2">
      <w:start w:val="0"/>
      <w:numFmt w:val="bullet"/>
      <w:lvlText w:val="•"/>
      <w:lvlJc w:val="left"/>
      <w:pPr>
        <w:ind w:left="371" w:hanging="216"/>
      </w:pPr>
      <w:rPr>
        <w:rFonts w:hint="default"/>
        <w:lang w:val="es-ES" w:eastAsia="en-US" w:bidi="ar-SA"/>
      </w:rPr>
    </w:lvl>
    <w:lvl w:ilvl="3">
      <w:start w:val="0"/>
      <w:numFmt w:val="bullet"/>
      <w:lvlText w:val="•"/>
      <w:lvlJc w:val="left"/>
      <w:pPr>
        <w:ind w:left="517" w:hanging="216"/>
      </w:pPr>
      <w:rPr>
        <w:rFonts w:hint="default"/>
        <w:lang w:val="es-ES" w:eastAsia="en-US" w:bidi="ar-SA"/>
      </w:rPr>
    </w:lvl>
    <w:lvl w:ilvl="4">
      <w:start w:val="0"/>
      <w:numFmt w:val="bullet"/>
      <w:lvlText w:val="•"/>
      <w:lvlJc w:val="left"/>
      <w:pPr>
        <w:ind w:left="663" w:hanging="216"/>
      </w:pPr>
      <w:rPr>
        <w:rFonts w:hint="default"/>
        <w:lang w:val="es-ES" w:eastAsia="en-US" w:bidi="ar-SA"/>
      </w:rPr>
    </w:lvl>
    <w:lvl w:ilvl="5">
      <w:start w:val="0"/>
      <w:numFmt w:val="bullet"/>
      <w:lvlText w:val="•"/>
      <w:lvlJc w:val="left"/>
      <w:pPr>
        <w:ind w:left="809" w:hanging="216"/>
      </w:pPr>
      <w:rPr>
        <w:rFonts w:hint="default"/>
        <w:lang w:val="es-ES" w:eastAsia="en-US" w:bidi="ar-SA"/>
      </w:rPr>
    </w:lvl>
    <w:lvl w:ilvl="6">
      <w:start w:val="0"/>
      <w:numFmt w:val="bullet"/>
      <w:lvlText w:val="•"/>
      <w:lvlJc w:val="left"/>
      <w:pPr>
        <w:ind w:left="954" w:hanging="216"/>
      </w:pPr>
      <w:rPr>
        <w:rFonts w:hint="default"/>
        <w:lang w:val="es-ES" w:eastAsia="en-US" w:bidi="ar-SA"/>
      </w:rPr>
    </w:lvl>
    <w:lvl w:ilvl="7">
      <w:start w:val="0"/>
      <w:numFmt w:val="bullet"/>
      <w:lvlText w:val="•"/>
      <w:lvlJc w:val="left"/>
      <w:pPr>
        <w:ind w:left="1100" w:hanging="216"/>
      </w:pPr>
      <w:rPr>
        <w:rFonts w:hint="default"/>
        <w:lang w:val="es-ES" w:eastAsia="en-US" w:bidi="ar-SA"/>
      </w:rPr>
    </w:lvl>
    <w:lvl w:ilvl="8">
      <w:start w:val="0"/>
      <w:numFmt w:val="bullet"/>
      <w:lvlText w:val="•"/>
      <w:lvlJc w:val="left"/>
      <w:pPr>
        <w:ind w:left="1246" w:hanging="216"/>
      </w:pPr>
      <w:rPr>
        <w:rFonts w:hint="default"/>
        <w:lang w:val="es-ES" w:eastAsia="en-US" w:bidi="ar-SA"/>
      </w:rPr>
    </w:lvl>
  </w:abstractNum>
  <w:abstractNum w:abstractNumId="32">
    <w:multiLevelType w:val="hybridMultilevel"/>
    <w:lvl w:ilvl="0">
      <w:start w:val="4"/>
      <w:numFmt w:val="decimal"/>
      <w:lvlText w:val="%1)"/>
      <w:lvlJc w:val="left"/>
      <w:pPr>
        <w:ind w:left="75" w:hanging="21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26" w:hanging="216"/>
      </w:pPr>
      <w:rPr>
        <w:rFonts w:hint="default"/>
        <w:lang w:val="es-ES" w:eastAsia="en-US" w:bidi="ar-SA"/>
      </w:rPr>
    </w:lvl>
    <w:lvl w:ilvl="2">
      <w:start w:val="0"/>
      <w:numFmt w:val="bullet"/>
      <w:lvlText w:val="•"/>
      <w:lvlJc w:val="left"/>
      <w:pPr>
        <w:ind w:left="372" w:hanging="216"/>
      </w:pPr>
      <w:rPr>
        <w:rFonts w:hint="default"/>
        <w:lang w:val="es-ES" w:eastAsia="en-US" w:bidi="ar-SA"/>
      </w:rPr>
    </w:lvl>
    <w:lvl w:ilvl="3">
      <w:start w:val="0"/>
      <w:numFmt w:val="bullet"/>
      <w:lvlText w:val="•"/>
      <w:lvlJc w:val="left"/>
      <w:pPr>
        <w:ind w:left="518" w:hanging="216"/>
      </w:pPr>
      <w:rPr>
        <w:rFonts w:hint="default"/>
        <w:lang w:val="es-ES" w:eastAsia="en-US" w:bidi="ar-SA"/>
      </w:rPr>
    </w:lvl>
    <w:lvl w:ilvl="4">
      <w:start w:val="0"/>
      <w:numFmt w:val="bullet"/>
      <w:lvlText w:val="•"/>
      <w:lvlJc w:val="left"/>
      <w:pPr>
        <w:ind w:left="664" w:hanging="216"/>
      </w:pPr>
      <w:rPr>
        <w:rFonts w:hint="default"/>
        <w:lang w:val="es-ES" w:eastAsia="en-US" w:bidi="ar-SA"/>
      </w:rPr>
    </w:lvl>
    <w:lvl w:ilvl="5">
      <w:start w:val="0"/>
      <w:numFmt w:val="bullet"/>
      <w:lvlText w:val="•"/>
      <w:lvlJc w:val="left"/>
      <w:pPr>
        <w:ind w:left="810" w:hanging="216"/>
      </w:pPr>
      <w:rPr>
        <w:rFonts w:hint="default"/>
        <w:lang w:val="es-ES" w:eastAsia="en-US" w:bidi="ar-SA"/>
      </w:rPr>
    </w:lvl>
    <w:lvl w:ilvl="6">
      <w:start w:val="0"/>
      <w:numFmt w:val="bullet"/>
      <w:lvlText w:val="•"/>
      <w:lvlJc w:val="left"/>
      <w:pPr>
        <w:ind w:left="956" w:hanging="216"/>
      </w:pPr>
      <w:rPr>
        <w:rFonts w:hint="default"/>
        <w:lang w:val="es-ES" w:eastAsia="en-US" w:bidi="ar-SA"/>
      </w:rPr>
    </w:lvl>
    <w:lvl w:ilvl="7">
      <w:start w:val="0"/>
      <w:numFmt w:val="bullet"/>
      <w:lvlText w:val="•"/>
      <w:lvlJc w:val="left"/>
      <w:pPr>
        <w:ind w:left="1102" w:hanging="216"/>
      </w:pPr>
      <w:rPr>
        <w:rFonts w:hint="default"/>
        <w:lang w:val="es-ES" w:eastAsia="en-US" w:bidi="ar-SA"/>
      </w:rPr>
    </w:lvl>
    <w:lvl w:ilvl="8">
      <w:start w:val="0"/>
      <w:numFmt w:val="bullet"/>
      <w:lvlText w:val="•"/>
      <w:lvlJc w:val="left"/>
      <w:pPr>
        <w:ind w:left="1248" w:hanging="216"/>
      </w:pPr>
      <w:rPr>
        <w:rFonts w:hint="default"/>
        <w:lang w:val="es-ES" w:eastAsia="en-US" w:bidi="ar-SA"/>
      </w:rPr>
    </w:lvl>
  </w:abstractNum>
  <w:abstractNum w:abstractNumId="31">
    <w:multiLevelType w:val="hybridMultilevel"/>
    <w:lvl w:ilvl="0">
      <w:start w:val="1"/>
      <w:numFmt w:val="decimal"/>
      <w:lvlText w:val="%1)"/>
      <w:lvlJc w:val="left"/>
      <w:pPr>
        <w:ind w:left="74" w:hanging="216"/>
        <w:jc w:val="left"/>
      </w:pPr>
      <w:rPr>
        <w:rFonts w:hint="default" w:ascii="Arial" w:hAnsi="Arial" w:eastAsia="Arial" w:cs="Arial"/>
        <w:b w:val="0"/>
        <w:bCs w:val="0"/>
        <w:i w:val="0"/>
        <w:iCs w:val="0"/>
        <w:spacing w:val="-1"/>
        <w:w w:val="101"/>
        <w:sz w:val="18"/>
        <w:szCs w:val="18"/>
        <w:lang w:val="es-ES" w:eastAsia="en-US" w:bidi="ar-SA"/>
      </w:rPr>
    </w:lvl>
    <w:lvl w:ilvl="1">
      <w:start w:val="0"/>
      <w:numFmt w:val="bullet"/>
      <w:lvlText w:val="•"/>
      <w:lvlJc w:val="left"/>
      <w:pPr>
        <w:ind w:left="226" w:hanging="216"/>
      </w:pPr>
      <w:rPr>
        <w:rFonts w:hint="default"/>
        <w:lang w:val="es-ES" w:eastAsia="en-US" w:bidi="ar-SA"/>
      </w:rPr>
    </w:lvl>
    <w:lvl w:ilvl="2">
      <w:start w:val="0"/>
      <w:numFmt w:val="bullet"/>
      <w:lvlText w:val="•"/>
      <w:lvlJc w:val="left"/>
      <w:pPr>
        <w:ind w:left="372" w:hanging="216"/>
      </w:pPr>
      <w:rPr>
        <w:rFonts w:hint="default"/>
        <w:lang w:val="es-ES" w:eastAsia="en-US" w:bidi="ar-SA"/>
      </w:rPr>
    </w:lvl>
    <w:lvl w:ilvl="3">
      <w:start w:val="0"/>
      <w:numFmt w:val="bullet"/>
      <w:lvlText w:val="•"/>
      <w:lvlJc w:val="left"/>
      <w:pPr>
        <w:ind w:left="518" w:hanging="216"/>
      </w:pPr>
      <w:rPr>
        <w:rFonts w:hint="default"/>
        <w:lang w:val="es-ES" w:eastAsia="en-US" w:bidi="ar-SA"/>
      </w:rPr>
    </w:lvl>
    <w:lvl w:ilvl="4">
      <w:start w:val="0"/>
      <w:numFmt w:val="bullet"/>
      <w:lvlText w:val="•"/>
      <w:lvlJc w:val="left"/>
      <w:pPr>
        <w:ind w:left="664" w:hanging="216"/>
      </w:pPr>
      <w:rPr>
        <w:rFonts w:hint="default"/>
        <w:lang w:val="es-ES" w:eastAsia="en-US" w:bidi="ar-SA"/>
      </w:rPr>
    </w:lvl>
    <w:lvl w:ilvl="5">
      <w:start w:val="0"/>
      <w:numFmt w:val="bullet"/>
      <w:lvlText w:val="•"/>
      <w:lvlJc w:val="left"/>
      <w:pPr>
        <w:ind w:left="810" w:hanging="216"/>
      </w:pPr>
      <w:rPr>
        <w:rFonts w:hint="default"/>
        <w:lang w:val="es-ES" w:eastAsia="en-US" w:bidi="ar-SA"/>
      </w:rPr>
    </w:lvl>
    <w:lvl w:ilvl="6">
      <w:start w:val="0"/>
      <w:numFmt w:val="bullet"/>
      <w:lvlText w:val="•"/>
      <w:lvlJc w:val="left"/>
      <w:pPr>
        <w:ind w:left="956" w:hanging="216"/>
      </w:pPr>
      <w:rPr>
        <w:rFonts w:hint="default"/>
        <w:lang w:val="es-ES" w:eastAsia="en-US" w:bidi="ar-SA"/>
      </w:rPr>
    </w:lvl>
    <w:lvl w:ilvl="7">
      <w:start w:val="0"/>
      <w:numFmt w:val="bullet"/>
      <w:lvlText w:val="•"/>
      <w:lvlJc w:val="left"/>
      <w:pPr>
        <w:ind w:left="1102" w:hanging="216"/>
      </w:pPr>
      <w:rPr>
        <w:rFonts w:hint="default"/>
        <w:lang w:val="es-ES" w:eastAsia="en-US" w:bidi="ar-SA"/>
      </w:rPr>
    </w:lvl>
    <w:lvl w:ilvl="8">
      <w:start w:val="0"/>
      <w:numFmt w:val="bullet"/>
      <w:lvlText w:val="•"/>
      <w:lvlJc w:val="left"/>
      <w:pPr>
        <w:ind w:left="1248" w:hanging="216"/>
      </w:pPr>
      <w:rPr>
        <w:rFonts w:hint="default"/>
        <w:lang w:val="es-ES" w:eastAsia="en-US" w:bidi="ar-SA"/>
      </w:rPr>
    </w:lvl>
  </w:abstractNum>
  <w:abstractNum w:abstractNumId="30">
    <w:multiLevelType w:val="hybridMultilevel"/>
    <w:lvl w:ilvl="0">
      <w:start w:val="0"/>
      <w:numFmt w:val="bullet"/>
      <w:lvlText w:val=""/>
      <w:lvlJc w:val="left"/>
      <w:pPr>
        <w:ind w:left="1988" w:hanging="360"/>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2898" w:hanging="360"/>
      </w:pPr>
      <w:rPr>
        <w:rFonts w:hint="default"/>
        <w:lang w:val="es-ES" w:eastAsia="en-US" w:bidi="ar-SA"/>
      </w:rPr>
    </w:lvl>
    <w:lvl w:ilvl="2">
      <w:start w:val="0"/>
      <w:numFmt w:val="bullet"/>
      <w:lvlText w:val="•"/>
      <w:lvlJc w:val="left"/>
      <w:pPr>
        <w:ind w:left="3816" w:hanging="360"/>
      </w:pPr>
      <w:rPr>
        <w:rFonts w:hint="default"/>
        <w:lang w:val="es-ES" w:eastAsia="en-US" w:bidi="ar-SA"/>
      </w:rPr>
    </w:lvl>
    <w:lvl w:ilvl="3">
      <w:start w:val="0"/>
      <w:numFmt w:val="bullet"/>
      <w:lvlText w:val="•"/>
      <w:lvlJc w:val="left"/>
      <w:pPr>
        <w:ind w:left="4734" w:hanging="360"/>
      </w:pPr>
      <w:rPr>
        <w:rFonts w:hint="default"/>
        <w:lang w:val="es-ES" w:eastAsia="en-US" w:bidi="ar-SA"/>
      </w:rPr>
    </w:lvl>
    <w:lvl w:ilvl="4">
      <w:start w:val="0"/>
      <w:numFmt w:val="bullet"/>
      <w:lvlText w:val="•"/>
      <w:lvlJc w:val="left"/>
      <w:pPr>
        <w:ind w:left="5652" w:hanging="360"/>
      </w:pPr>
      <w:rPr>
        <w:rFonts w:hint="default"/>
        <w:lang w:val="es-ES" w:eastAsia="en-US" w:bidi="ar-SA"/>
      </w:rPr>
    </w:lvl>
    <w:lvl w:ilvl="5">
      <w:start w:val="0"/>
      <w:numFmt w:val="bullet"/>
      <w:lvlText w:val="•"/>
      <w:lvlJc w:val="left"/>
      <w:pPr>
        <w:ind w:left="6570" w:hanging="360"/>
      </w:pPr>
      <w:rPr>
        <w:rFonts w:hint="default"/>
        <w:lang w:val="es-ES" w:eastAsia="en-US" w:bidi="ar-SA"/>
      </w:rPr>
    </w:lvl>
    <w:lvl w:ilvl="6">
      <w:start w:val="0"/>
      <w:numFmt w:val="bullet"/>
      <w:lvlText w:val="•"/>
      <w:lvlJc w:val="left"/>
      <w:pPr>
        <w:ind w:left="7488" w:hanging="360"/>
      </w:pPr>
      <w:rPr>
        <w:rFonts w:hint="default"/>
        <w:lang w:val="es-ES" w:eastAsia="en-US" w:bidi="ar-SA"/>
      </w:rPr>
    </w:lvl>
    <w:lvl w:ilvl="7">
      <w:start w:val="0"/>
      <w:numFmt w:val="bullet"/>
      <w:lvlText w:val="•"/>
      <w:lvlJc w:val="left"/>
      <w:pPr>
        <w:ind w:left="8406" w:hanging="360"/>
      </w:pPr>
      <w:rPr>
        <w:rFonts w:hint="default"/>
        <w:lang w:val="es-ES" w:eastAsia="en-US" w:bidi="ar-SA"/>
      </w:rPr>
    </w:lvl>
    <w:lvl w:ilvl="8">
      <w:start w:val="0"/>
      <w:numFmt w:val="bullet"/>
      <w:lvlText w:val="•"/>
      <w:lvlJc w:val="left"/>
      <w:pPr>
        <w:ind w:left="9324" w:hanging="360"/>
      </w:pPr>
      <w:rPr>
        <w:rFonts w:hint="default"/>
        <w:lang w:val="es-ES" w:eastAsia="en-US" w:bidi="ar-SA"/>
      </w:rPr>
    </w:lvl>
  </w:abstractNum>
  <w:abstractNum w:abstractNumId="29">
    <w:multiLevelType w:val="hybridMultilevel"/>
    <w:lvl w:ilvl="0">
      <w:start w:val="1"/>
      <w:numFmt w:val="decimal"/>
      <w:lvlText w:val="%1-"/>
      <w:lvlJc w:val="left"/>
      <w:pPr>
        <w:ind w:left="1467" w:hanging="200"/>
        <w:jc w:val="left"/>
      </w:pPr>
      <w:rPr>
        <w:rFonts w:hint="default" w:ascii="Arial" w:hAnsi="Arial" w:eastAsia="Arial" w:cs="Arial"/>
        <w:b w:val="0"/>
        <w:bCs w:val="0"/>
        <w:i w:val="0"/>
        <w:iCs w:val="0"/>
        <w:spacing w:val="-2"/>
        <w:w w:val="100"/>
        <w:sz w:val="20"/>
        <w:szCs w:val="20"/>
        <w:lang w:val="es-ES" w:eastAsia="en-US" w:bidi="ar-SA"/>
      </w:rPr>
    </w:lvl>
    <w:lvl w:ilvl="1">
      <w:start w:val="0"/>
      <w:numFmt w:val="bullet"/>
      <w:lvlText w:val="•"/>
      <w:lvlJc w:val="left"/>
      <w:pPr>
        <w:ind w:left="2430" w:hanging="200"/>
      </w:pPr>
      <w:rPr>
        <w:rFonts w:hint="default"/>
        <w:lang w:val="es-ES" w:eastAsia="en-US" w:bidi="ar-SA"/>
      </w:rPr>
    </w:lvl>
    <w:lvl w:ilvl="2">
      <w:start w:val="0"/>
      <w:numFmt w:val="bullet"/>
      <w:lvlText w:val="•"/>
      <w:lvlJc w:val="left"/>
      <w:pPr>
        <w:ind w:left="3400" w:hanging="200"/>
      </w:pPr>
      <w:rPr>
        <w:rFonts w:hint="default"/>
        <w:lang w:val="es-ES" w:eastAsia="en-US" w:bidi="ar-SA"/>
      </w:rPr>
    </w:lvl>
    <w:lvl w:ilvl="3">
      <w:start w:val="0"/>
      <w:numFmt w:val="bullet"/>
      <w:lvlText w:val="•"/>
      <w:lvlJc w:val="left"/>
      <w:pPr>
        <w:ind w:left="4370" w:hanging="200"/>
      </w:pPr>
      <w:rPr>
        <w:rFonts w:hint="default"/>
        <w:lang w:val="es-ES" w:eastAsia="en-US" w:bidi="ar-SA"/>
      </w:rPr>
    </w:lvl>
    <w:lvl w:ilvl="4">
      <w:start w:val="0"/>
      <w:numFmt w:val="bullet"/>
      <w:lvlText w:val="•"/>
      <w:lvlJc w:val="left"/>
      <w:pPr>
        <w:ind w:left="5340" w:hanging="200"/>
      </w:pPr>
      <w:rPr>
        <w:rFonts w:hint="default"/>
        <w:lang w:val="es-ES" w:eastAsia="en-US" w:bidi="ar-SA"/>
      </w:rPr>
    </w:lvl>
    <w:lvl w:ilvl="5">
      <w:start w:val="0"/>
      <w:numFmt w:val="bullet"/>
      <w:lvlText w:val="•"/>
      <w:lvlJc w:val="left"/>
      <w:pPr>
        <w:ind w:left="6310" w:hanging="200"/>
      </w:pPr>
      <w:rPr>
        <w:rFonts w:hint="default"/>
        <w:lang w:val="es-ES" w:eastAsia="en-US" w:bidi="ar-SA"/>
      </w:rPr>
    </w:lvl>
    <w:lvl w:ilvl="6">
      <w:start w:val="0"/>
      <w:numFmt w:val="bullet"/>
      <w:lvlText w:val="•"/>
      <w:lvlJc w:val="left"/>
      <w:pPr>
        <w:ind w:left="7280" w:hanging="200"/>
      </w:pPr>
      <w:rPr>
        <w:rFonts w:hint="default"/>
        <w:lang w:val="es-ES" w:eastAsia="en-US" w:bidi="ar-SA"/>
      </w:rPr>
    </w:lvl>
    <w:lvl w:ilvl="7">
      <w:start w:val="0"/>
      <w:numFmt w:val="bullet"/>
      <w:lvlText w:val="•"/>
      <w:lvlJc w:val="left"/>
      <w:pPr>
        <w:ind w:left="8250" w:hanging="200"/>
      </w:pPr>
      <w:rPr>
        <w:rFonts w:hint="default"/>
        <w:lang w:val="es-ES" w:eastAsia="en-US" w:bidi="ar-SA"/>
      </w:rPr>
    </w:lvl>
    <w:lvl w:ilvl="8">
      <w:start w:val="0"/>
      <w:numFmt w:val="bullet"/>
      <w:lvlText w:val="•"/>
      <w:lvlJc w:val="left"/>
      <w:pPr>
        <w:ind w:left="9220" w:hanging="200"/>
      </w:pPr>
      <w:rPr>
        <w:rFonts w:hint="default"/>
        <w:lang w:val="es-ES" w:eastAsia="en-US" w:bidi="ar-SA"/>
      </w:rPr>
    </w:lvl>
  </w:abstractNum>
  <w:abstractNum w:abstractNumId="28">
    <w:multiLevelType w:val="hybridMultilevel"/>
    <w:lvl w:ilvl="0">
      <w:start w:val="5"/>
      <w:numFmt w:val="decimal"/>
      <w:lvlText w:val="%1"/>
      <w:lvlJc w:val="left"/>
      <w:pPr>
        <w:ind w:left="2535" w:hanging="404"/>
        <w:jc w:val="left"/>
      </w:pPr>
      <w:rPr>
        <w:rFonts w:hint="default"/>
        <w:lang w:val="es-ES" w:eastAsia="en-US" w:bidi="ar-SA"/>
      </w:rPr>
    </w:lvl>
    <w:lvl w:ilvl="1">
      <w:start w:val="5"/>
      <w:numFmt w:val="decimal"/>
      <w:lvlText w:val="%1.%2"/>
      <w:lvlJc w:val="left"/>
      <w:pPr>
        <w:ind w:left="2535" w:hanging="404"/>
        <w:jc w:val="left"/>
      </w:pPr>
      <w:rPr>
        <w:rFonts w:hint="default" w:ascii="Arial" w:hAnsi="Arial" w:eastAsia="Arial" w:cs="Arial"/>
        <w:b/>
        <w:bCs/>
        <w:i w:val="0"/>
        <w:iCs w:val="0"/>
        <w:spacing w:val="0"/>
        <w:w w:val="100"/>
        <w:sz w:val="24"/>
        <w:szCs w:val="24"/>
        <w:lang w:val="es-ES" w:eastAsia="en-US" w:bidi="ar-SA"/>
      </w:rPr>
    </w:lvl>
    <w:lvl w:ilvl="2">
      <w:start w:val="0"/>
      <w:numFmt w:val="bullet"/>
      <w:lvlText w:val="•"/>
      <w:lvlJc w:val="left"/>
      <w:pPr>
        <w:ind w:left="4264" w:hanging="404"/>
      </w:pPr>
      <w:rPr>
        <w:rFonts w:hint="default"/>
        <w:lang w:val="es-ES" w:eastAsia="en-US" w:bidi="ar-SA"/>
      </w:rPr>
    </w:lvl>
    <w:lvl w:ilvl="3">
      <w:start w:val="0"/>
      <w:numFmt w:val="bullet"/>
      <w:lvlText w:val="•"/>
      <w:lvlJc w:val="left"/>
      <w:pPr>
        <w:ind w:left="5126" w:hanging="404"/>
      </w:pPr>
      <w:rPr>
        <w:rFonts w:hint="default"/>
        <w:lang w:val="es-ES" w:eastAsia="en-US" w:bidi="ar-SA"/>
      </w:rPr>
    </w:lvl>
    <w:lvl w:ilvl="4">
      <w:start w:val="0"/>
      <w:numFmt w:val="bullet"/>
      <w:lvlText w:val="•"/>
      <w:lvlJc w:val="left"/>
      <w:pPr>
        <w:ind w:left="5988" w:hanging="404"/>
      </w:pPr>
      <w:rPr>
        <w:rFonts w:hint="default"/>
        <w:lang w:val="es-ES" w:eastAsia="en-US" w:bidi="ar-SA"/>
      </w:rPr>
    </w:lvl>
    <w:lvl w:ilvl="5">
      <w:start w:val="0"/>
      <w:numFmt w:val="bullet"/>
      <w:lvlText w:val="•"/>
      <w:lvlJc w:val="left"/>
      <w:pPr>
        <w:ind w:left="6850" w:hanging="404"/>
      </w:pPr>
      <w:rPr>
        <w:rFonts w:hint="default"/>
        <w:lang w:val="es-ES" w:eastAsia="en-US" w:bidi="ar-SA"/>
      </w:rPr>
    </w:lvl>
    <w:lvl w:ilvl="6">
      <w:start w:val="0"/>
      <w:numFmt w:val="bullet"/>
      <w:lvlText w:val="•"/>
      <w:lvlJc w:val="left"/>
      <w:pPr>
        <w:ind w:left="7712" w:hanging="404"/>
      </w:pPr>
      <w:rPr>
        <w:rFonts w:hint="default"/>
        <w:lang w:val="es-ES" w:eastAsia="en-US" w:bidi="ar-SA"/>
      </w:rPr>
    </w:lvl>
    <w:lvl w:ilvl="7">
      <w:start w:val="0"/>
      <w:numFmt w:val="bullet"/>
      <w:lvlText w:val="•"/>
      <w:lvlJc w:val="left"/>
      <w:pPr>
        <w:ind w:left="8574" w:hanging="404"/>
      </w:pPr>
      <w:rPr>
        <w:rFonts w:hint="default"/>
        <w:lang w:val="es-ES" w:eastAsia="en-US" w:bidi="ar-SA"/>
      </w:rPr>
    </w:lvl>
    <w:lvl w:ilvl="8">
      <w:start w:val="0"/>
      <w:numFmt w:val="bullet"/>
      <w:lvlText w:val="•"/>
      <w:lvlJc w:val="left"/>
      <w:pPr>
        <w:ind w:left="9436" w:hanging="404"/>
      </w:pPr>
      <w:rPr>
        <w:rFonts w:hint="default"/>
        <w:lang w:val="es-ES" w:eastAsia="en-US" w:bidi="ar-SA"/>
      </w:rPr>
    </w:lvl>
  </w:abstractNum>
  <w:abstractNum w:abstractNumId="27">
    <w:multiLevelType w:val="hybridMultilevel"/>
    <w:lvl w:ilvl="0">
      <w:start w:val="1"/>
      <w:numFmt w:val="decimal"/>
      <w:lvlText w:val="%1."/>
      <w:lvlJc w:val="left"/>
      <w:pPr>
        <w:ind w:left="1988" w:hanging="360"/>
        <w:jc w:val="left"/>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2898" w:hanging="360"/>
      </w:pPr>
      <w:rPr>
        <w:rFonts w:hint="default"/>
        <w:lang w:val="es-ES" w:eastAsia="en-US" w:bidi="ar-SA"/>
      </w:rPr>
    </w:lvl>
    <w:lvl w:ilvl="2">
      <w:start w:val="0"/>
      <w:numFmt w:val="bullet"/>
      <w:lvlText w:val="•"/>
      <w:lvlJc w:val="left"/>
      <w:pPr>
        <w:ind w:left="3816" w:hanging="360"/>
      </w:pPr>
      <w:rPr>
        <w:rFonts w:hint="default"/>
        <w:lang w:val="es-ES" w:eastAsia="en-US" w:bidi="ar-SA"/>
      </w:rPr>
    </w:lvl>
    <w:lvl w:ilvl="3">
      <w:start w:val="0"/>
      <w:numFmt w:val="bullet"/>
      <w:lvlText w:val="•"/>
      <w:lvlJc w:val="left"/>
      <w:pPr>
        <w:ind w:left="4734" w:hanging="360"/>
      </w:pPr>
      <w:rPr>
        <w:rFonts w:hint="default"/>
        <w:lang w:val="es-ES" w:eastAsia="en-US" w:bidi="ar-SA"/>
      </w:rPr>
    </w:lvl>
    <w:lvl w:ilvl="4">
      <w:start w:val="0"/>
      <w:numFmt w:val="bullet"/>
      <w:lvlText w:val="•"/>
      <w:lvlJc w:val="left"/>
      <w:pPr>
        <w:ind w:left="5652" w:hanging="360"/>
      </w:pPr>
      <w:rPr>
        <w:rFonts w:hint="default"/>
        <w:lang w:val="es-ES" w:eastAsia="en-US" w:bidi="ar-SA"/>
      </w:rPr>
    </w:lvl>
    <w:lvl w:ilvl="5">
      <w:start w:val="0"/>
      <w:numFmt w:val="bullet"/>
      <w:lvlText w:val="•"/>
      <w:lvlJc w:val="left"/>
      <w:pPr>
        <w:ind w:left="6570" w:hanging="360"/>
      </w:pPr>
      <w:rPr>
        <w:rFonts w:hint="default"/>
        <w:lang w:val="es-ES" w:eastAsia="en-US" w:bidi="ar-SA"/>
      </w:rPr>
    </w:lvl>
    <w:lvl w:ilvl="6">
      <w:start w:val="0"/>
      <w:numFmt w:val="bullet"/>
      <w:lvlText w:val="•"/>
      <w:lvlJc w:val="left"/>
      <w:pPr>
        <w:ind w:left="7488" w:hanging="360"/>
      </w:pPr>
      <w:rPr>
        <w:rFonts w:hint="default"/>
        <w:lang w:val="es-ES" w:eastAsia="en-US" w:bidi="ar-SA"/>
      </w:rPr>
    </w:lvl>
    <w:lvl w:ilvl="7">
      <w:start w:val="0"/>
      <w:numFmt w:val="bullet"/>
      <w:lvlText w:val="•"/>
      <w:lvlJc w:val="left"/>
      <w:pPr>
        <w:ind w:left="8406" w:hanging="360"/>
      </w:pPr>
      <w:rPr>
        <w:rFonts w:hint="default"/>
        <w:lang w:val="es-ES" w:eastAsia="en-US" w:bidi="ar-SA"/>
      </w:rPr>
    </w:lvl>
    <w:lvl w:ilvl="8">
      <w:start w:val="0"/>
      <w:numFmt w:val="bullet"/>
      <w:lvlText w:val="•"/>
      <w:lvlJc w:val="left"/>
      <w:pPr>
        <w:ind w:left="9324" w:hanging="360"/>
      </w:pPr>
      <w:rPr>
        <w:rFonts w:hint="default"/>
        <w:lang w:val="es-ES" w:eastAsia="en-US" w:bidi="ar-SA"/>
      </w:rPr>
    </w:lvl>
  </w:abstractNum>
  <w:abstractNum w:abstractNumId="26">
    <w:multiLevelType w:val="hybridMultilevel"/>
    <w:lvl w:ilvl="0">
      <w:start w:val="5"/>
      <w:numFmt w:val="decimal"/>
      <w:lvlText w:val="%1"/>
      <w:lvlJc w:val="left"/>
      <w:pPr>
        <w:ind w:left="2603" w:hanging="471"/>
        <w:jc w:val="left"/>
      </w:pPr>
      <w:rPr>
        <w:rFonts w:hint="default"/>
        <w:lang w:val="es-ES" w:eastAsia="en-US" w:bidi="ar-SA"/>
      </w:rPr>
    </w:lvl>
    <w:lvl w:ilvl="1">
      <w:start w:val="4"/>
      <w:numFmt w:val="decimal"/>
      <w:lvlText w:val="%1.%2."/>
      <w:lvlJc w:val="left"/>
      <w:pPr>
        <w:ind w:left="2603" w:hanging="471"/>
        <w:jc w:val="left"/>
      </w:pPr>
      <w:rPr>
        <w:rFonts w:hint="default" w:ascii="Arial" w:hAnsi="Arial" w:eastAsia="Arial" w:cs="Arial"/>
        <w:b/>
        <w:bCs/>
        <w:i w:val="0"/>
        <w:iCs w:val="0"/>
        <w:spacing w:val="0"/>
        <w:w w:val="100"/>
        <w:sz w:val="24"/>
        <w:szCs w:val="24"/>
        <w:lang w:val="es-ES" w:eastAsia="en-US" w:bidi="ar-SA"/>
      </w:rPr>
    </w:lvl>
    <w:lvl w:ilvl="2">
      <w:start w:val="0"/>
      <w:numFmt w:val="bullet"/>
      <w:lvlText w:val="•"/>
      <w:lvlJc w:val="left"/>
      <w:pPr>
        <w:ind w:left="4312" w:hanging="471"/>
      </w:pPr>
      <w:rPr>
        <w:rFonts w:hint="default"/>
        <w:lang w:val="es-ES" w:eastAsia="en-US" w:bidi="ar-SA"/>
      </w:rPr>
    </w:lvl>
    <w:lvl w:ilvl="3">
      <w:start w:val="0"/>
      <w:numFmt w:val="bullet"/>
      <w:lvlText w:val="•"/>
      <w:lvlJc w:val="left"/>
      <w:pPr>
        <w:ind w:left="5168" w:hanging="471"/>
      </w:pPr>
      <w:rPr>
        <w:rFonts w:hint="default"/>
        <w:lang w:val="es-ES" w:eastAsia="en-US" w:bidi="ar-SA"/>
      </w:rPr>
    </w:lvl>
    <w:lvl w:ilvl="4">
      <w:start w:val="0"/>
      <w:numFmt w:val="bullet"/>
      <w:lvlText w:val="•"/>
      <w:lvlJc w:val="left"/>
      <w:pPr>
        <w:ind w:left="6024" w:hanging="471"/>
      </w:pPr>
      <w:rPr>
        <w:rFonts w:hint="default"/>
        <w:lang w:val="es-ES" w:eastAsia="en-US" w:bidi="ar-SA"/>
      </w:rPr>
    </w:lvl>
    <w:lvl w:ilvl="5">
      <w:start w:val="0"/>
      <w:numFmt w:val="bullet"/>
      <w:lvlText w:val="•"/>
      <w:lvlJc w:val="left"/>
      <w:pPr>
        <w:ind w:left="6880" w:hanging="471"/>
      </w:pPr>
      <w:rPr>
        <w:rFonts w:hint="default"/>
        <w:lang w:val="es-ES" w:eastAsia="en-US" w:bidi="ar-SA"/>
      </w:rPr>
    </w:lvl>
    <w:lvl w:ilvl="6">
      <w:start w:val="0"/>
      <w:numFmt w:val="bullet"/>
      <w:lvlText w:val="•"/>
      <w:lvlJc w:val="left"/>
      <w:pPr>
        <w:ind w:left="7736" w:hanging="471"/>
      </w:pPr>
      <w:rPr>
        <w:rFonts w:hint="default"/>
        <w:lang w:val="es-ES" w:eastAsia="en-US" w:bidi="ar-SA"/>
      </w:rPr>
    </w:lvl>
    <w:lvl w:ilvl="7">
      <w:start w:val="0"/>
      <w:numFmt w:val="bullet"/>
      <w:lvlText w:val="•"/>
      <w:lvlJc w:val="left"/>
      <w:pPr>
        <w:ind w:left="8592" w:hanging="471"/>
      </w:pPr>
      <w:rPr>
        <w:rFonts w:hint="default"/>
        <w:lang w:val="es-ES" w:eastAsia="en-US" w:bidi="ar-SA"/>
      </w:rPr>
    </w:lvl>
    <w:lvl w:ilvl="8">
      <w:start w:val="0"/>
      <w:numFmt w:val="bullet"/>
      <w:lvlText w:val="•"/>
      <w:lvlJc w:val="left"/>
      <w:pPr>
        <w:ind w:left="9448" w:hanging="471"/>
      </w:pPr>
      <w:rPr>
        <w:rFonts w:hint="default"/>
        <w:lang w:val="es-ES" w:eastAsia="en-US" w:bidi="ar-SA"/>
      </w:rPr>
    </w:lvl>
  </w:abstractNum>
  <w:abstractNum w:abstractNumId="25">
    <w:multiLevelType w:val="hybridMultilevel"/>
    <w:lvl w:ilvl="0">
      <w:start w:val="0"/>
      <w:numFmt w:val="bullet"/>
      <w:lvlText w:val=""/>
      <w:lvlJc w:val="left"/>
      <w:pPr>
        <w:ind w:left="1988" w:hanging="360"/>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2898" w:hanging="360"/>
      </w:pPr>
      <w:rPr>
        <w:rFonts w:hint="default"/>
        <w:lang w:val="es-ES" w:eastAsia="en-US" w:bidi="ar-SA"/>
      </w:rPr>
    </w:lvl>
    <w:lvl w:ilvl="2">
      <w:start w:val="0"/>
      <w:numFmt w:val="bullet"/>
      <w:lvlText w:val="•"/>
      <w:lvlJc w:val="left"/>
      <w:pPr>
        <w:ind w:left="3816" w:hanging="360"/>
      </w:pPr>
      <w:rPr>
        <w:rFonts w:hint="default"/>
        <w:lang w:val="es-ES" w:eastAsia="en-US" w:bidi="ar-SA"/>
      </w:rPr>
    </w:lvl>
    <w:lvl w:ilvl="3">
      <w:start w:val="0"/>
      <w:numFmt w:val="bullet"/>
      <w:lvlText w:val="•"/>
      <w:lvlJc w:val="left"/>
      <w:pPr>
        <w:ind w:left="4734" w:hanging="360"/>
      </w:pPr>
      <w:rPr>
        <w:rFonts w:hint="default"/>
        <w:lang w:val="es-ES" w:eastAsia="en-US" w:bidi="ar-SA"/>
      </w:rPr>
    </w:lvl>
    <w:lvl w:ilvl="4">
      <w:start w:val="0"/>
      <w:numFmt w:val="bullet"/>
      <w:lvlText w:val="•"/>
      <w:lvlJc w:val="left"/>
      <w:pPr>
        <w:ind w:left="5652" w:hanging="360"/>
      </w:pPr>
      <w:rPr>
        <w:rFonts w:hint="default"/>
        <w:lang w:val="es-ES" w:eastAsia="en-US" w:bidi="ar-SA"/>
      </w:rPr>
    </w:lvl>
    <w:lvl w:ilvl="5">
      <w:start w:val="0"/>
      <w:numFmt w:val="bullet"/>
      <w:lvlText w:val="•"/>
      <w:lvlJc w:val="left"/>
      <w:pPr>
        <w:ind w:left="6570" w:hanging="360"/>
      </w:pPr>
      <w:rPr>
        <w:rFonts w:hint="default"/>
        <w:lang w:val="es-ES" w:eastAsia="en-US" w:bidi="ar-SA"/>
      </w:rPr>
    </w:lvl>
    <w:lvl w:ilvl="6">
      <w:start w:val="0"/>
      <w:numFmt w:val="bullet"/>
      <w:lvlText w:val="•"/>
      <w:lvlJc w:val="left"/>
      <w:pPr>
        <w:ind w:left="7488" w:hanging="360"/>
      </w:pPr>
      <w:rPr>
        <w:rFonts w:hint="default"/>
        <w:lang w:val="es-ES" w:eastAsia="en-US" w:bidi="ar-SA"/>
      </w:rPr>
    </w:lvl>
    <w:lvl w:ilvl="7">
      <w:start w:val="0"/>
      <w:numFmt w:val="bullet"/>
      <w:lvlText w:val="•"/>
      <w:lvlJc w:val="left"/>
      <w:pPr>
        <w:ind w:left="8406" w:hanging="360"/>
      </w:pPr>
      <w:rPr>
        <w:rFonts w:hint="default"/>
        <w:lang w:val="es-ES" w:eastAsia="en-US" w:bidi="ar-SA"/>
      </w:rPr>
    </w:lvl>
    <w:lvl w:ilvl="8">
      <w:start w:val="0"/>
      <w:numFmt w:val="bullet"/>
      <w:lvlText w:val="•"/>
      <w:lvlJc w:val="left"/>
      <w:pPr>
        <w:ind w:left="9324" w:hanging="360"/>
      </w:pPr>
      <w:rPr>
        <w:rFonts w:hint="default"/>
        <w:lang w:val="es-ES" w:eastAsia="en-US" w:bidi="ar-SA"/>
      </w:rPr>
    </w:lvl>
  </w:abstractNum>
  <w:abstractNum w:abstractNumId="24">
    <w:multiLevelType w:val="hybridMultilevel"/>
    <w:lvl w:ilvl="0">
      <w:start w:val="0"/>
      <w:numFmt w:val="bullet"/>
      <w:lvlText w:val=""/>
      <w:lvlJc w:val="left"/>
      <w:pPr>
        <w:ind w:left="1988" w:hanging="360"/>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2898" w:hanging="360"/>
      </w:pPr>
      <w:rPr>
        <w:rFonts w:hint="default"/>
        <w:lang w:val="es-ES" w:eastAsia="en-US" w:bidi="ar-SA"/>
      </w:rPr>
    </w:lvl>
    <w:lvl w:ilvl="2">
      <w:start w:val="0"/>
      <w:numFmt w:val="bullet"/>
      <w:lvlText w:val="•"/>
      <w:lvlJc w:val="left"/>
      <w:pPr>
        <w:ind w:left="3816" w:hanging="360"/>
      </w:pPr>
      <w:rPr>
        <w:rFonts w:hint="default"/>
        <w:lang w:val="es-ES" w:eastAsia="en-US" w:bidi="ar-SA"/>
      </w:rPr>
    </w:lvl>
    <w:lvl w:ilvl="3">
      <w:start w:val="0"/>
      <w:numFmt w:val="bullet"/>
      <w:lvlText w:val="•"/>
      <w:lvlJc w:val="left"/>
      <w:pPr>
        <w:ind w:left="4734" w:hanging="360"/>
      </w:pPr>
      <w:rPr>
        <w:rFonts w:hint="default"/>
        <w:lang w:val="es-ES" w:eastAsia="en-US" w:bidi="ar-SA"/>
      </w:rPr>
    </w:lvl>
    <w:lvl w:ilvl="4">
      <w:start w:val="0"/>
      <w:numFmt w:val="bullet"/>
      <w:lvlText w:val="•"/>
      <w:lvlJc w:val="left"/>
      <w:pPr>
        <w:ind w:left="5652" w:hanging="360"/>
      </w:pPr>
      <w:rPr>
        <w:rFonts w:hint="default"/>
        <w:lang w:val="es-ES" w:eastAsia="en-US" w:bidi="ar-SA"/>
      </w:rPr>
    </w:lvl>
    <w:lvl w:ilvl="5">
      <w:start w:val="0"/>
      <w:numFmt w:val="bullet"/>
      <w:lvlText w:val="•"/>
      <w:lvlJc w:val="left"/>
      <w:pPr>
        <w:ind w:left="6570" w:hanging="360"/>
      </w:pPr>
      <w:rPr>
        <w:rFonts w:hint="default"/>
        <w:lang w:val="es-ES" w:eastAsia="en-US" w:bidi="ar-SA"/>
      </w:rPr>
    </w:lvl>
    <w:lvl w:ilvl="6">
      <w:start w:val="0"/>
      <w:numFmt w:val="bullet"/>
      <w:lvlText w:val="•"/>
      <w:lvlJc w:val="left"/>
      <w:pPr>
        <w:ind w:left="7488" w:hanging="360"/>
      </w:pPr>
      <w:rPr>
        <w:rFonts w:hint="default"/>
        <w:lang w:val="es-ES" w:eastAsia="en-US" w:bidi="ar-SA"/>
      </w:rPr>
    </w:lvl>
    <w:lvl w:ilvl="7">
      <w:start w:val="0"/>
      <w:numFmt w:val="bullet"/>
      <w:lvlText w:val="•"/>
      <w:lvlJc w:val="left"/>
      <w:pPr>
        <w:ind w:left="8406" w:hanging="360"/>
      </w:pPr>
      <w:rPr>
        <w:rFonts w:hint="default"/>
        <w:lang w:val="es-ES" w:eastAsia="en-US" w:bidi="ar-SA"/>
      </w:rPr>
    </w:lvl>
    <w:lvl w:ilvl="8">
      <w:start w:val="0"/>
      <w:numFmt w:val="bullet"/>
      <w:lvlText w:val="•"/>
      <w:lvlJc w:val="left"/>
      <w:pPr>
        <w:ind w:left="9324" w:hanging="360"/>
      </w:pPr>
      <w:rPr>
        <w:rFonts w:hint="default"/>
        <w:lang w:val="es-ES" w:eastAsia="en-US" w:bidi="ar-SA"/>
      </w:rPr>
    </w:lvl>
  </w:abstractNum>
  <w:abstractNum w:abstractNumId="23">
    <w:multiLevelType w:val="hybridMultilevel"/>
    <w:lvl w:ilvl="0">
      <w:start w:val="1"/>
      <w:numFmt w:val="lowerLetter"/>
      <w:lvlText w:val="%1)"/>
      <w:lvlJc w:val="left"/>
      <w:pPr>
        <w:ind w:left="1628" w:hanging="361"/>
        <w:jc w:val="left"/>
      </w:pPr>
      <w:rPr>
        <w:rFonts w:hint="default" w:ascii="Arial" w:hAnsi="Arial" w:eastAsia="Arial" w:cs="Arial"/>
        <w:b/>
        <w:bCs/>
        <w:i w:val="0"/>
        <w:iCs w:val="0"/>
        <w:spacing w:val="0"/>
        <w:w w:val="100"/>
        <w:sz w:val="22"/>
        <w:szCs w:val="22"/>
        <w:lang w:val="es-ES" w:eastAsia="en-US" w:bidi="ar-SA"/>
      </w:rPr>
    </w:lvl>
    <w:lvl w:ilvl="1">
      <w:start w:val="0"/>
      <w:numFmt w:val="bullet"/>
      <w:lvlText w:val="•"/>
      <w:lvlJc w:val="left"/>
      <w:pPr>
        <w:ind w:left="2574" w:hanging="361"/>
      </w:pPr>
      <w:rPr>
        <w:rFonts w:hint="default"/>
        <w:lang w:val="es-ES" w:eastAsia="en-US" w:bidi="ar-SA"/>
      </w:rPr>
    </w:lvl>
    <w:lvl w:ilvl="2">
      <w:start w:val="0"/>
      <w:numFmt w:val="bullet"/>
      <w:lvlText w:val="•"/>
      <w:lvlJc w:val="left"/>
      <w:pPr>
        <w:ind w:left="3528" w:hanging="361"/>
      </w:pPr>
      <w:rPr>
        <w:rFonts w:hint="default"/>
        <w:lang w:val="es-ES" w:eastAsia="en-US" w:bidi="ar-SA"/>
      </w:rPr>
    </w:lvl>
    <w:lvl w:ilvl="3">
      <w:start w:val="0"/>
      <w:numFmt w:val="bullet"/>
      <w:lvlText w:val="•"/>
      <w:lvlJc w:val="left"/>
      <w:pPr>
        <w:ind w:left="4482" w:hanging="361"/>
      </w:pPr>
      <w:rPr>
        <w:rFonts w:hint="default"/>
        <w:lang w:val="es-ES" w:eastAsia="en-US" w:bidi="ar-SA"/>
      </w:rPr>
    </w:lvl>
    <w:lvl w:ilvl="4">
      <w:start w:val="0"/>
      <w:numFmt w:val="bullet"/>
      <w:lvlText w:val="•"/>
      <w:lvlJc w:val="left"/>
      <w:pPr>
        <w:ind w:left="5436" w:hanging="361"/>
      </w:pPr>
      <w:rPr>
        <w:rFonts w:hint="default"/>
        <w:lang w:val="es-ES" w:eastAsia="en-US" w:bidi="ar-SA"/>
      </w:rPr>
    </w:lvl>
    <w:lvl w:ilvl="5">
      <w:start w:val="0"/>
      <w:numFmt w:val="bullet"/>
      <w:lvlText w:val="•"/>
      <w:lvlJc w:val="left"/>
      <w:pPr>
        <w:ind w:left="6390" w:hanging="361"/>
      </w:pPr>
      <w:rPr>
        <w:rFonts w:hint="default"/>
        <w:lang w:val="es-ES" w:eastAsia="en-US" w:bidi="ar-SA"/>
      </w:rPr>
    </w:lvl>
    <w:lvl w:ilvl="6">
      <w:start w:val="0"/>
      <w:numFmt w:val="bullet"/>
      <w:lvlText w:val="•"/>
      <w:lvlJc w:val="left"/>
      <w:pPr>
        <w:ind w:left="7344" w:hanging="361"/>
      </w:pPr>
      <w:rPr>
        <w:rFonts w:hint="default"/>
        <w:lang w:val="es-ES" w:eastAsia="en-US" w:bidi="ar-SA"/>
      </w:rPr>
    </w:lvl>
    <w:lvl w:ilvl="7">
      <w:start w:val="0"/>
      <w:numFmt w:val="bullet"/>
      <w:lvlText w:val="•"/>
      <w:lvlJc w:val="left"/>
      <w:pPr>
        <w:ind w:left="8298" w:hanging="361"/>
      </w:pPr>
      <w:rPr>
        <w:rFonts w:hint="default"/>
        <w:lang w:val="es-ES" w:eastAsia="en-US" w:bidi="ar-SA"/>
      </w:rPr>
    </w:lvl>
    <w:lvl w:ilvl="8">
      <w:start w:val="0"/>
      <w:numFmt w:val="bullet"/>
      <w:lvlText w:val="•"/>
      <w:lvlJc w:val="left"/>
      <w:pPr>
        <w:ind w:left="9252" w:hanging="361"/>
      </w:pPr>
      <w:rPr>
        <w:rFonts w:hint="default"/>
        <w:lang w:val="es-ES" w:eastAsia="en-US" w:bidi="ar-SA"/>
      </w:rPr>
    </w:lvl>
  </w:abstractNum>
  <w:abstractNum w:abstractNumId="22">
    <w:multiLevelType w:val="hybridMultilevel"/>
    <w:lvl w:ilvl="0">
      <w:start w:val="0"/>
      <w:numFmt w:val="bullet"/>
      <w:lvlText w:val=""/>
      <w:lvlJc w:val="left"/>
      <w:pPr>
        <w:ind w:left="1628" w:hanging="361"/>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2574" w:hanging="361"/>
      </w:pPr>
      <w:rPr>
        <w:rFonts w:hint="default"/>
        <w:lang w:val="es-ES" w:eastAsia="en-US" w:bidi="ar-SA"/>
      </w:rPr>
    </w:lvl>
    <w:lvl w:ilvl="2">
      <w:start w:val="0"/>
      <w:numFmt w:val="bullet"/>
      <w:lvlText w:val="•"/>
      <w:lvlJc w:val="left"/>
      <w:pPr>
        <w:ind w:left="3528" w:hanging="361"/>
      </w:pPr>
      <w:rPr>
        <w:rFonts w:hint="default"/>
        <w:lang w:val="es-ES" w:eastAsia="en-US" w:bidi="ar-SA"/>
      </w:rPr>
    </w:lvl>
    <w:lvl w:ilvl="3">
      <w:start w:val="0"/>
      <w:numFmt w:val="bullet"/>
      <w:lvlText w:val="•"/>
      <w:lvlJc w:val="left"/>
      <w:pPr>
        <w:ind w:left="4482" w:hanging="361"/>
      </w:pPr>
      <w:rPr>
        <w:rFonts w:hint="default"/>
        <w:lang w:val="es-ES" w:eastAsia="en-US" w:bidi="ar-SA"/>
      </w:rPr>
    </w:lvl>
    <w:lvl w:ilvl="4">
      <w:start w:val="0"/>
      <w:numFmt w:val="bullet"/>
      <w:lvlText w:val="•"/>
      <w:lvlJc w:val="left"/>
      <w:pPr>
        <w:ind w:left="5436" w:hanging="361"/>
      </w:pPr>
      <w:rPr>
        <w:rFonts w:hint="default"/>
        <w:lang w:val="es-ES" w:eastAsia="en-US" w:bidi="ar-SA"/>
      </w:rPr>
    </w:lvl>
    <w:lvl w:ilvl="5">
      <w:start w:val="0"/>
      <w:numFmt w:val="bullet"/>
      <w:lvlText w:val="•"/>
      <w:lvlJc w:val="left"/>
      <w:pPr>
        <w:ind w:left="6390" w:hanging="361"/>
      </w:pPr>
      <w:rPr>
        <w:rFonts w:hint="default"/>
        <w:lang w:val="es-ES" w:eastAsia="en-US" w:bidi="ar-SA"/>
      </w:rPr>
    </w:lvl>
    <w:lvl w:ilvl="6">
      <w:start w:val="0"/>
      <w:numFmt w:val="bullet"/>
      <w:lvlText w:val="•"/>
      <w:lvlJc w:val="left"/>
      <w:pPr>
        <w:ind w:left="7344" w:hanging="361"/>
      </w:pPr>
      <w:rPr>
        <w:rFonts w:hint="default"/>
        <w:lang w:val="es-ES" w:eastAsia="en-US" w:bidi="ar-SA"/>
      </w:rPr>
    </w:lvl>
    <w:lvl w:ilvl="7">
      <w:start w:val="0"/>
      <w:numFmt w:val="bullet"/>
      <w:lvlText w:val="•"/>
      <w:lvlJc w:val="left"/>
      <w:pPr>
        <w:ind w:left="8298" w:hanging="361"/>
      </w:pPr>
      <w:rPr>
        <w:rFonts w:hint="default"/>
        <w:lang w:val="es-ES" w:eastAsia="en-US" w:bidi="ar-SA"/>
      </w:rPr>
    </w:lvl>
    <w:lvl w:ilvl="8">
      <w:start w:val="0"/>
      <w:numFmt w:val="bullet"/>
      <w:lvlText w:val="•"/>
      <w:lvlJc w:val="left"/>
      <w:pPr>
        <w:ind w:left="9252" w:hanging="361"/>
      </w:pPr>
      <w:rPr>
        <w:rFonts w:hint="default"/>
        <w:lang w:val="es-ES" w:eastAsia="en-US" w:bidi="ar-SA"/>
      </w:rPr>
    </w:lvl>
  </w:abstractNum>
  <w:abstractNum w:abstractNumId="21">
    <w:multiLevelType w:val="hybridMultilevel"/>
    <w:lvl w:ilvl="0">
      <w:start w:val="0"/>
      <w:numFmt w:val="bullet"/>
      <w:lvlText w:val=""/>
      <w:lvlJc w:val="left"/>
      <w:pPr>
        <w:ind w:left="2117" w:hanging="284"/>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3024" w:hanging="284"/>
      </w:pPr>
      <w:rPr>
        <w:rFonts w:hint="default"/>
        <w:lang w:val="es-ES" w:eastAsia="en-US" w:bidi="ar-SA"/>
      </w:rPr>
    </w:lvl>
    <w:lvl w:ilvl="2">
      <w:start w:val="0"/>
      <w:numFmt w:val="bullet"/>
      <w:lvlText w:val="•"/>
      <w:lvlJc w:val="left"/>
      <w:pPr>
        <w:ind w:left="3928" w:hanging="284"/>
      </w:pPr>
      <w:rPr>
        <w:rFonts w:hint="default"/>
        <w:lang w:val="es-ES" w:eastAsia="en-US" w:bidi="ar-SA"/>
      </w:rPr>
    </w:lvl>
    <w:lvl w:ilvl="3">
      <w:start w:val="0"/>
      <w:numFmt w:val="bullet"/>
      <w:lvlText w:val="•"/>
      <w:lvlJc w:val="left"/>
      <w:pPr>
        <w:ind w:left="4832" w:hanging="284"/>
      </w:pPr>
      <w:rPr>
        <w:rFonts w:hint="default"/>
        <w:lang w:val="es-ES" w:eastAsia="en-US" w:bidi="ar-SA"/>
      </w:rPr>
    </w:lvl>
    <w:lvl w:ilvl="4">
      <w:start w:val="0"/>
      <w:numFmt w:val="bullet"/>
      <w:lvlText w:val="•"/>
      <w:lvlJc w:val="left"/>
      <w:pPr>
        <w:ind w:left="5736" w:hanging="284"/>
      </w:pPr>
      <w:rPr>
        <w:rFonts w:hint="default"/>
        <w:lang w:val="es-ES" w:eastAsia="en-US" w:bidi="ar-SA"/>
      </w:rPr>
    </w:lvl>
    <w:lvl w:ilvl="5">
      <w:start w:val="0"/>
      <w:numFmt w:val="bullet"/>
      <w:lvlText w:val="•"/>
      <w:lvlJc w:val="left"/>
      <w:pPr>
        <w:ind w:left="6640" w:hanging="284"/>
      </w:pPr>
      <w:rPr>
        <w:rFonts w:hint="default"/>
        <w:lang w:val="es-ES" w:eastAsia="en-US" w:bidi="ar-SA"/>
      </w:rPr>
    </w:lvl>
    <w:lvl w:ilvl="6">
      <w:start w:val="0"/>
      <w:numFmt w:val="bullet"/>
      <w:lvlText w:val="•"/>
      <w:lvlJc w:val="left"/>
      <w:pPr>
        <w:ind w:left="7544" w:hanging="284"/>
      </w:pPr>
      <w:rPr>
        <w:rFonts w:hint="default"/>
        <w:lang w:val="es-ES" w:eastAsia="en-US" w:bidi="ar-SA"/>
      </w:rPr>
    </w:lvl>
    <w:lvl w:ilvl="7">
      <w:start w:val="0"/>
      <w:numFmt w:val="bullet"/>
      <w:lvlText w:val="•"/>
      <w:lvlJc w:val="left"/>
      <w:pPr>
        <w:ind w:left="8448" w:hanging="284"/>
      </w:pPr>
      <w:rPr>
        <w:rFonts w:hint="default"/>
        <w:lang w:val="es-ES" w:eastAsia="en-US" w:bidi="ar-SA"/>
      </w:rPr>
    </w:lvl>
    <w:lvl w:ilvl="8">
      <w:start w:val="0"/>
      <w:numFmt w:val="bullet"/>
      <w:lvlText w:val="•"/>
      <w:lvlJc w:val="left"/>
      <w:pPr>
        <w:ind w:left="9352" w:hanging="284"/>
      </w:pPr>
      <w:rPr>
        <w:rFonts w:hint="default"/>
        <w:lang w:val="es-ES" w:eastAsia="en-US" w:bidi="ar-SA"/>
      </w:rPr>
    </w:lvl>
  </w:abstractNum>
  <w:abstractNum w:abstractNumId="20">
    <w:multiLevelType w:val="hybridMultilevel"/>
    <w:lvl w:ilvl="0">
      <w:start w:val="0"/>
      <w:numFmt w:val="bullet"/>
      <w:lvlText w:val=""/>
      <w:lvlJc w:val="left"/>
      <w:pPr>
        <w:ind w:left="2117" w:hanging="284"/>
      </w:pPr>
      <w:rPr>
        <w:rFonts w:hint="default" w:ascii="Wingdings" w:hAnsi="Wingdings" w:eastAsia="Wingdings" w:cs="Wingdings"/>
        <w:b w:val="0"/>
        <w:bCs w:val="0"/>
        <w:i w:val="0"/>
        <w:iCs w:val="0"/>
        <w:spacing w:val="0"/>
        <w:w w:val="100"/>
        <w:sz w:val="22"/>
        <w:szCs w:val="22"/>
        <w:lang w:val="es-ES" w:eastAsia="en-US" w:bidi="ar-SA"/>
      </w:rPr>
    </w:lvl>
    <w:lvl w:ilvl="1">
      <w:start w:val="0"/>
      <w:numFmt w:val="bullet"/>
      <w:lvlText w:val="•"/>
      <w:lvlJc w:val="left"/>
      <w:pPr>
        <w:ind w:left="3024" w:hanging="284"/>
      </w:pPr>
      <w:rPr>
        <w:rFonts w:hint="default"/>
        <w:lang w:val="es-ES" w:eastAsia="en-US" w:bidi="ar-SA"/>
      </w:rPr>
    </w:lvl>
    <w:lvl w:ilvl="2">
      <w:start w:val="0"/>
      <w:numFmt w:val="bullet"/>
      <w:lvlText w:val="•"/>
      <w:lvlJc w:val="left"/>
      <w:pPr>
        <w:ind w:left="3928" w:hanging="284"/>
      </w:pPr>
      <w:rPr>
        <w:rFonts w:hint="default"/>
        <w:lang w:val="es-ES" w:eastAsia="en-US" w:bidi="ar-SA"/>
      </w:rPr>
    </w:lvl>
    <w:lvl w:ilvl="3">
      <w:start w:val="0"/>
      <w:numFmt w:val="bullet"/>
      <w:lvlText w:val="•"/>
      <w:lvlJc w:val="left"/>
      <w:pPr>
        <w:ind w:left="4832" w:hanging="284"/>
      </w:pPr>
      <w:rPr>
        <w:rFonts w:hint="default"/>
        <w:lang w:val="es-ES" w:eastAsia="en-US" w:bidi="ar-SA"/>
      </w:rPr>
    </w:lvl>
    <w:lvl w:ilvl="4">
      <w:start w:val="0"/>
      <w:numFmt w:val="bullet"/>
      <w:lvlText w:val="•"/>
      <w:lvlJc w:val="left"/>
      <w:pPr>
        <w:ind w:left="5736" w:hanging="284"/>
      </w:pPr>
      <w:rPr>
        <w:rFonts w:hint="default"/>
        <w:lang w:val="es-ES" w:eastAsia="en-US" w:bidi="ar-SA"/>
      </w:rPr>
    </w:lvl>
    <w:lvl w:ilvl="5">
      <w:start w:val="0"/>
      <w:numFmt w:val="bullet"/>
      <w:lvlText w:val="•"/>
      <w:lvlJc w:val="left"/>
      <w:pPr>
        <w:ind w:left="6640" w:hanging="284"/>
      </w:pPr>
      <w:rPr>
        <w:rFonts w:hint="default"/>
        <w:lang w:val="es-ES" w:eastAsia="en-US" w:bidi="ar-SA"/>
      </w:rPr>
    </w:lvl>
    <w:lvl w:ilvl="6">
      <w:start w:val="0"/>
      <w:numFmt w:val="bullet"/>
      <w:lvlText w:val="•"/>
      <w:lvlJc w:val="left"/>
      <w:pPr>
        <w:ind w:left="7544" w:hanging="284"/>
      </w:pPr>
      <w:rPr>
        <w:rFonts w:hint="default"/>
        <w:lang w:val="es-ES" w:eastAsia="en-US" w:bidi="ar-SA"/>
      </w:rPr>
    </w:lvl>
    <w:lvl w:ilvl="7">
      <w:start w:val="0"/>
      <w:numFmt w:val="bullet"/>
      <w:lvlText w:val="•"/>
      <w:lvlJc w:val="left"/>
      <w:pPr>
        <w:ind w:left="8448" w:hanging="284"/>
      </w:pPr>
      <w:rPr>
        <w:rFonts w:hint="default"/>
        <w:lang w:val="es-ES" w:eastAsia="en-US" w:bidi="ar-SA"/>
      </w:rPr>
    </w:lvl>
    <w:lvl w:ilvl="8">
      <w:start w:val="0"/>
      <w:numFmt w:val="bullet"/>
      <w:lvlText w:val="•"/>
      <w:lvlJc w:val="left"/>
      <w:pPr>
        <w:ind w:left="9352" w:hanging="284"/>
      </w:pPr>
      <w:rPr>
        <w:rFonts w:hint="default"/>
        <w:lang w:val="es-ES" w:eastAsia="en-US" w:bidi="ar-SA"/>
      </w:rPr>
    </w:lvl>
  </w:abstractNum>
  <w:abstractNum w:abstractNumId="19">
    <w:multiLevelType w:val="hybridMultilevel"/>
    <w:lvl w:ilvl="0">
      <w:start w:val="0"/>
      <w:numFmt w:val="bullet"/>
      <w:lvlText w:val=""/>
      <w:lvlJc w:val="left"/>
      <w:pPr>
        <w:ind w:left="1546" w:hanging="284"/>
      </w:pPr>
      <w:rPr>
        <w:rFonts w:hint="default" w:ascii="Symbol" w:hAnsi="Symbol" w:eastAsia="Symbol" w:cs="Symbol"/>
        <w:spacing w:val="0"/>
        <w:w w:val="100"/>
        <w:lang w:val="es-ES" w:eastAsia="en-US" w:bidi="ar-SA"/>
      </w:rPr>
    </w:lvl>
    <w:lvl w:ilvl="1">
      <w:start w:val="0"/>
      <w:numFmt w:val="bullet"/>
      <w:lvlText w:val=""/>
      <w:lvlJc w:val="left"/>
      <w:pPr>
        <w:ind w:left="1834" w:hanging="284"/>
      </w:pPr>
      <w:rPr>
        <w:rFonts w:hint="default" w:ascii="Symbol" w:hAnsi="Symbol" w:eastAsia="Symbol" w:cs="Symbol"/>
        <w:spacing w:val="0"/>
        <w:w w:val="100"/>
        <w:lang w:val="es-ES" w:eastAsia="en-US" w:bidi="ar-SA"/>
      </w:rPr>
    </w:lvl>
    <w:lvl w:ilvl="2">
      <w:start w:val="1"/>
      <w:numFmt w:val="lowerLetter"/>
      <w:lvlText w:val="%3)"/>
      <w:lvlJc w:val="left"/>
      <w:pPr>
        <w:ind w:left="2117" w:hanging="284"/>
        <w:jc w:val="left"/>
      </w:pPr>
      <w:rPr>
        <w:rFonts w:hint="default" w:ascii="Arial" w:hAnsi="Arial" w:eastAsia="Arial" w:cs="Arial"/>
        <w:b w:val="0"/>
        <w:bCs w:val="0"/>
        <w:i w:val="0"/>
        <w:iCs w:val="0"/>
        <w:spacing w:val="0"/>
        <w:w w:val="100"/>
        <w:sz w:val="22"/>
        <w:szCs w:val="22"/>
        <w:lang w:val="es-ES" w:eastAsia="en-US" w:bidi="ar-SA"/>
      </w:rPr>
    </w:lvl>
    <w:lvl w:ilvl="3">
      <w:start w:val="0"/>
      <w:numFmt w:val="bullet"/>
      <w:lvlText w:val="•"/>
      <w:lvlJc w:val="left"/>
      <w:pPr>
        <w:ind w:left="2527" w:hanging="284"/>
      </w:pPr>
      <w:rPr>
        <w:rFonts w:hint="default"/>
        <w:lang w:val="es-ES" w:eastAsia="en-US" w:bidi="ar-SA"/>
      </w:rPr>
    </w:lvl>
    <w:lvl w:ilvl="4">
      <w:start w:val="0"/>
      <w:numFmt w:val="bullet"/>
      <w:lvlText w:val="•"/>
      <w:lvlJc w:val="left"/>
      <w:pPr>
        <w:ind w:left="2934" w:hanging="284"/>
      </w:pPr>
      <w:rPr>
        <w:rFonts w:hint="default"/>
        <w:lang w:val="es-ES" w:eastAsia="en-US" w:bidi="ar-SA"/>
      </w:rPr>
    </w:lvl>
    <w:lvl w:ilvl="5">
      <w:start w:val="0"/>
      <w:numFmt w:val="bullet"/>
      <w:lvlText w:val="•"/>
      <w:lvlJc w:val="left"/>
      <w:pPr>
        <w:ind w:left="3341" w:hanging="284"/>
      </w:pPr>
      <w:rPr>
        <w:rFonts w:hint="default"/>
        <w:lang w:val="es-ES" w:eastAsia="en-US" w:bidi="ar-SA"/>
      </w:rPr>
    </w:lvl>
    <w:lvl w:ilvl="6">
      <w:start w:val="0"/>
      <w:numFmt w:val="bullet"/>
      <w:lvlText w:val="•"/>
      <w:lvlJc w:val="left"/>
      <w:pPr>
        <w:ind w:left="3748" w:hanging="284"/>
      </w:pPr>
      <w:rPr>
        <w:rFonts w:hint="default"/>
        <w:lang w:val="es-ES" w:eastAsia="en-US" w:bidi="ar-SA"/>
      </w:rPr>
    </w:lvl>
    <w:lvl w:ilvl="7">
      <w:start w:val="0"/>
      <w:numFmt w:val="bullet"/>
      <w:lvlText w:val="•"/>
      <w:lvlJc w:val="left"/>
      <w:pPr>
        <w:ind w:left="4156" w:hanging="284"/>
      </w:pPr>
      <w:rPr>
        <w:rFonts w:hint="default"/>
        <w:lang w:val="es-ES" w:eastAsia="en-US" w:bidi="ar-SA"/>
      </w:rPr>
    </w:lvl>
    <w:lvl w:ilvl="8">
      <w:start w:val="0"/>
      <w:numFmt w:val="bullet"/>
      <w:lvlText w:val="•"/>
      <w:lvlJc w:val="left"/>
      <w:pPr>
        <w:ind w:left="4563" w:hanging="284"/>
      </w:pPr>
      <w:rPr>
        <w:rFonts w:hint="default"/>
        <w:lang w:val="es-ES" w:eastAsia="en-US" w:bidi="ar-SA"/>
      </w:rPr>
    </w:lvl>
  </w:abstractNum>
  <w:abstractNum w:abstractNumId="18">
    <w:multiLevelType w:val="hybridMultilevel"/>
    <w:lvl w:ilvl="0">
      <w:start w:val="1"/>
      <w:numFmt w:val="decimal"/>
      <w:lvlText w:val="%1."/>
      <w:lvlJc w:val="left"/>
      <w:pPr>
        <w:ind w:left="1546" w:hanging="284"/>
        <w:jc w:val="left"/>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2502" w:hanging="284"/>
      </w:pPr>
      <w:rPr>
        <w:rFonts w:hint="default"/>
        <w:lang w:val="es-ES" w:eastAsia="en-US" w:bidi="ar-SA"/>
      </w:rPr>
    </w:lvl>
    <w:lvl w:ilvl="2">
      <w:start w:val="0"/>
      <w:numFmt w:val="bullet"/>
      <w:lvlText w:val="•"/>
      <w:lvlJc w:val="left"/>
      <w:pPr>
        <w:ind w:left="3464" w:hanging="284"/>
      </w:pPr>
      <w:rPr>
        <w:rFonts w:hint="default"/>
        <w:lang w:val="es-ES" w:eastAsia="en-US" w:bidi="ar-SA"/>
      </w:rPr>
    </w:lvl>
    <w:lvl w:ilvl="3">
      <w:start w:val="0"/>
      <w:numFmt w:val="bullet"/>
      <w:lvlText w:val="•"/>
      <w:lvlJc w:val="left"/>
      <w:pPr>
        <w:ind w:left="4426" w:hanging="284"/>
      </w:pPr>
      <w:rPr>
        <w:rFonts w:hint="default"/>
        <w:lang w:val="es-ES" w:eastAsia="en-US" w:bidi="ar-SA"/>
      </w:rPr>
    </w:lvl>
    <w:lvl w:ilvl="4">
      <w:start w:val="0"/>
      <w:numFmt w:val="bullet"/>
      <w:lvlText w:val="•"/>
      <w:lvlJc w:val="left"/>
      <w:pPr>
        <w:ind w:left="5388" w:hanging="284"/>
      </w:pPr>
      <w:rPr>
        <w:rFonts w:hint="default"/>
        <w:lang w:val="es-ES" w:eastAsia="en-US" w:bidi="ar-SA"/>
      </w:rPr>
    </w:lvl>
    <w:lvl w:ilvl="5">
      <w:start w:val="0"/>
      <w:numFmt w:val="bullet"/>
      <w:lvlText w:val="•"/>
      <w:lvlJc w:val="left"/>
      <w:pPr>
        <w:ind w:left="6350" w:hanging="284"/>
      </w:pPr>
      <w:rPr>
        <w:rFonts w:hint="default"/>
        <w:lang w:val="es-ES" w:eastAsia="en-US" w:bidi="ar-SA"/>
      </w:rPr>
    </w:lvl>
    <w:lvl w:ilvl="6">
      <w:start w:val="0"/>
      <w:numFmt w:val="bullet"/>
      <w:lvlText w:val="•"/>
      <w:lvlJc w:val="left"/>
      <w:pPr>
        <w:ind w:left="7312" w:hanging="284"/>
      </w:pPr>
      <w:rPr>
        <w:rFonts w:hint="default"/>
        <w:lang w:val="es-ES" w:eastAsia="en-US" w:bidi="ar-SA"/>
      </w:rPr>
    </w:lvl>
    <w:lvl w:ilvl="7">
      <w:start w:val="0"/>
      <w:numFmt w:val="bullet"/>
      <w:lvlText w:val="•"/>
      <w:lvlJc w:val="left"/>
      <w:pPr>
        <w:ind w:left="8274" w:hanging="284"/>
      </w:pPr>
      <w:rPr>
        <w:rFonts w:hint="default"/>
        <w:lang w:val="es-ES" w:eastAsia="en-US" w:bidi="ar-SA"/>
      </w:rPr>
    </w:lvl>
    <w:lvl w:ilvl="8">
      <w:start w:val="0"/>
      <w:numFmt w:val="bullet"/>
      <w:lvlText w:val="•"/>
      <w:lvlJc w:val="left"/>
      <w:pPr>
        <w:ind w:left="9236" w:hanging="284"/>
      </w:pPr>
      <w:rPr>
        <w:rFonts w:hint="default"/>
        <w:lang w:val="es-ES" w:eastAsia="en-US" w:bidi="ar-SA"/>
      </w:rPr>
    </w:lvl>
  </w:abstractNum>
  <w:abstractNum w:abstractNumId="17">
    <w:multiLevelType w:val="hybridMultilevel"/>
    <w:lvl w:ilvl="0">
      <w:start w:val="2"/>
      <w:numFmt w:val="lowerLetter"/>
      <w:lvlText w:val="%1)"/>
      <w:lvlJc w:val="left"/>
      <w:pPr>
        <w:ind w:left="1498" w:hanging="236"/>
        <w:jc w:val="left"/>
      </w:pPr>
      <w:rPr>
        <w:rFonts w:hint="default" w:ascii="Arial" w:hAnsi="Arial" w:eastAsia="Arial" w:cs="Arial"/>
        <w:b w:val="0"/>
        <w:bCs w:val="0"/>
        <w:i/>
        <w:iCs/>
        <w:spacing w:val="-2"/>
        <w:w w:val="100"/>
        <w:sz w:val="20"/>
        <w:szCs w:val="20"/>
        <w:lang w:val="es-ES" w:eastAsia="en-US" w:bidi="ar-SA"/>
      </w:rPr>
    </w:lvl>
    <w:lvl w:ilvl="1">
      <w:start w:val="0"/>
      <w:numFmt w:val="bullet"/>
      <w:lvlText w:val="•"/>
      <w:lvlJc w:val="left"/>
      <w:pPr>
        <w:ind w:left="2466" w:hanging="236"/>
      </w:pPr>
      <w:rPr>
        <w:rFonts w:hint="default"/>
        <w:lang w:val="es-ES" w:eastAsia="en-US" w:bidi="ar-SA"/>
      </w:rPr>
    </w:lvl>
    <w:lvl w:ilvl="2">
      <w:start w:val="0"/>
      <w:numFmt w:val="bullet"/>
      <w:lvlText w:val="•"/>
      <w:lvlJc w:val="left"/>
      <w:pPr>
        <w:ind w:left="3432" w:hanging="236"/>
      </w:pPr>
      <w:rPr>
        <w:rFonts w:hint="default"/>
        <w:lang w:val="es-ES" w:eastAsia="en-US" w:bidi="ar-SA"/>
      </w:rPr>
    </w:lvl>
    <w:lvl w:ilvl="3">
      <w:start w:val="0"/>
      <w:numFmt w:val="bullet"/>
      <w:lvlText w:val="•"/>
      <w:lvlJc w:val="left"/>
      <w:pPr>
        <w:ind w:left="4398" w:hanging="236"/>
      </w:pPr>
      <w:rPr>
        <w:rFonts w:hint="default"/>
        <w:lang w:val="es-ES" w:eastAsia="en-US" w:bidi="ar-SA"/>
      </w:rPr>
    </w:lvl>
    <w:lvl w:ilvl="4">
      <w:start w:val="0"/>
      <w:numFmt w:val="bullet"/>
      <w:lvlText w:val="•"/>
      <w:lvlJc w:val="left"/>
      <w:pPr>
        <w:ind w:left="5364" w:hanging="236"/>
      </w:pPr>
      <w:rPr>
        <w:rFonts w:hint="default"/>
        <w:lang w:val="es-ES" w:eastAsia="en-US" w:bidi="ar-SA"/>
      </w:rPr>
    </w:lvl>
    <w:lvl w:ilvl="5">
      <w:start w:val="0"/>
      <w:numFmt w:val="bullet"/>
      <w:lvlText w:val="•"/>
      <w:lvlJc w:val="left"/>
      <w:pPr>
        <w:ind w:left="6330" w:hanging="236"/>
      </w:pPr>
      <w:rPr>
        <w:rFonts w:hint="default"/>
        <w:lang w:val="es-ES" w:eastAsia="en-US" w:bidi="ar-SA"/>
      </w:rPr>
    </w:lvl>
    <w:lvl w:ilvl="6">
      <w:start w:val="0"/>
      <w:numFmt w:val="bullet"/>
      <w:lvlText w:val="•"/>
      <w:lvlJc w:val="left"/>
      <w:pPr>
        <w:ind w:left="7296" w:hanging="236"/>
      </w:pPr>
      <w:rPr>
        <w:rFonts w:hint="default"/>
        <w:lang w:val="es-ES" w:eastAsia="en-US" w:bidi="ar-SA"/>
      </w:rPr>
    </w:lvl>
    <w:lvl w:ilvl="7">
      <w:start w:val="0"/>
      <w:numFmt w:val="bullet"/>
      <w:lvlText w:val="•"/>
      <w:lvlJc w:val="left"/>
      <w:pPr>
        <w:ind w:left="8262" w:hanging="236"/>
      </w:pPr>
      <w:rPr>
        <w:rFonts w:hint="default"/>
        <w:lang w:val="es-ES" w:eastAsia="en-US" w:bidi="ar-SA"/>
      </w:rPr>
    </w:lvl>
    <w:lvl w:ilvl="8">
      <w:start w:val="0"/>
      <w:numFmt w:val="bullet"/>
      <w:lvlText w:val="•"/>
      <w:lvlJc w:val="left"/>
      <w:pPr>
        <w:ind w:left="9228" w:hanging="236"/>
      </w:pPr>
      <w:rPr>
        <w:rFonts w:hint="default"/>
        <w:lang w:val="es-ES" w:eastAsia="en-US" w:bidi="ar-SA"/>
      </w:rPr>
    </w:lvl>
  </w:abstractNum>
  <w:abstractNum w:abstractNumId="16">
    <w:multiLevelType w:val="hybridMultilevel"/>
    <w:lvl w:ilvl="0">
      <w:start w:val="0"/>
      <w:numFmt w:val="bullet"/>
      <w:lvlText w:val="•"/>
      <w:lvlJc w:val="left"/>
      <w:pPr>
        <w:ind w:left="1838" w:hanging="139"/>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2772" w:hanging="139"/>
      </w:pPr>
      <w:rPr>
        <w:rFonts w:hint="default"/>
        <w:lang w:val="es-ES" w:eastAsia="en-US" w:bidi="ar-SA"/>
      </w:rPr>
    </w:lvl>
    <w:lvl w:ilvl="2">
      <w:start w:val="0"/>
      <w:numFmt w:val="bullet"/>
      <w:lvlText w:val="•"/>
      <w:lvlJc w:val="left"/>
      <w:pPr>
        <w:ind w:left="3704" w:hanging="139"/>
      </w:pPr>
      <w:rPr>
        <w:rFonts w:hint="default"/>
        <w:lang w:val="es-ES" w:eastAsia="en-US" w:bidi="ar-SA"/>
      </w:rPr>
    </w:lvl>
    <w:lvl w:ilvl="3">
      <w:start w:val="0"/>
      <w:numFmt w:val="bullet"/>
      <w:lvlText w:val="•"/>
      <w:lvlJc w:val="left"/>
      <w:pPr>
        <w:ind w:left="4636" w:hanging="139"/>
      </w:pPr>
      <w:rPr>
        <w:rFonts w:hint="default"/>
        <w:lang w:val="es-ES" w:eastAsia="en-US" w:bidi="ar-SA"/>
      </w:rPr>
    </w:lvl>
    <w:lvl w:ilvl="4">
      <w:start w:val="0"/>
      <w:numFmt w:val="bullet"/>
      <w:lvlText w:val="•"/>
      <w:lvlJc w:val="left"/>
      <w:pPr>
        <w:ind w:left="5568" w:hanging="139"/>
      </w:pPr>
      <w:rPr>
        <w:rFonts w:hint="default"/>
        <w:lang w:val="es-ES" w:eastAsia="en-US" w:bidi="ar-SA"/>
      </w:rPr>
    </w:lvl>
    <w:lvl w:ilvl="5">
      <w:start w:val="0"/>
      <w:numFmt w:val="bullet"/>
      <w:lvlText w:val="•"/>
      <w:lvlJc w:val="left"/>
      <w:pPr>
        <w:ind w:left="6500" w:hanging="139"/>
      </w:pPr>
      <w:rPr>
        <w:rFonts w:hint="default"/>
        <w:lang w:val="es-ES" w:eastAsia="en-US" w:bidi="ar-SA"/>
      </w:rPr>
    </w:lvl>
    <w:lvl w:ilvl="6">
      <w:start w:val="0"/>
      <w:numFmt w:val="bullet"/>
      <w:lvlText w:val="•"/>
      <w:lvlJc w:val="left"/>
      <w:pPr>
        <w:ind w:left="7432" w:hanging="139"/>
      </w:pPr>
      <w:rPr>
        <w:rFonts w:hint="default"/>
        <w:lang w:val="es-ES" w:eastAsia="en-US" w:bidi="ar-SA"/>
      </w:rPr>
    </w:lvl>
    <w:lvl w:ilvl="7">
      <w:start w:val="0"/>
      <w:numFmt w:val="bullet"/>
      <w:lvlText w:val="•"/>
      <w:lvlJc w:val="left"/>
      <w:pPr>
        <w:ind w:left="8364" w:hanging="139"/>
      </w:pPr>
      <w:rPr>
        <w:rFonts w:hint="default"/>
        <w:lang w:val="es-ES" w:eastAsia="en-US" w:bidi="ar-SA"/>
      </w:rPr>
    </w:lvl>
    <w:lvl w:ilvl="8">
      <w:start w:val="0"/>
      <w:numFmt w:val="bullet"/>
      <w:lvlText w:val="•"/>
      <w:lvlJc w:val="left"/>
      <w:pPr>
        <w:ind w:left="9296" w:hanging="139"/>
      </w:pPr>
      <w:rPr>
        <w:rFonts w:hint="default"/>
        <w:lang w:val="es-ES" w:eastAsia="en-US" w:bidi="ar-SA"/>
      </w:rPr>
    </w:lvl>
  </w:abstractNum>
  <w:abstractNum w:abstractNumId="15">
    <w:multiLevelType w:val="hybridMultilevel"/>
    <w:lvl w:ilvl="0">
      <w:start w:val="1"/>
      <w:numFmt w:val="decimal"/>
      <w:lvlText w:val="%1."/>
      <w:lvlJc w:val="left"/>
      <w:pPr>
        <w:ind w:left="2420" w:hanging="361"/>
        <w:jc w:val="left"/>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3039" w:hanging="360"/>
      </w:pPr>
      <w:rPr>
        <w:rFonts w:hint="default" w:ascii="Arial" w:hAnsi="Arial" w:eastAsia="Arial" w:cs="Arial"/>
        <w:b w:val="0"/>
        <w:bCs w:val="0"/>
        <w:i w:val="0"/>
        <w:iCs w:val="0"/>
        <w:spacing w:val="0"/>
        <w:w w:val="100"/>
        <w:sz w:val="22"/>
        <w:szCs w:val="22"/>
        <w:lang w:val="es-ES" w:eastAsia="en-US" w:bidi="ar-SA"/>
      </w:rPr>
    </w:lvl>
    <w:lvl w:ilvl="2">
      <w:start w:val="0"/>
      <w:numFmt w:val="bullet"/>
      <w:lvlText w:val="•"/>
      <w:lvlJc w:val="left"/>
      <w:pPr>
        <w:ind w:left="3942" w:hanging="360"/>
      </w:pPr>
      <w:rPr>
        <w:rFonts w:hint="default"/>
        <w:lang w:val="es-ES" w:eastAsia="en-US" w:bidi="ar-SA"/>
      </w:rPr>
    </w:lvl>
    <w:lvl w:ilvl="3">
      <w:start w:val="0"/>
      <w:numFmt w:val="bullet"/>
      <w:lvlText w:val="•"/>
      <w:lvlJc w:val="left"/>
      <w:pPr>
        <w:ind w:left="4844" w:hanging="360"/>
      </w:pPr>
      <w:rPr>
        <w:rFonts w:hint="default"/>
        <w:lang w:val="es-ES" w:eastAsia="en-US" w:bidi="ar-SA"/>
      </w:rPr>
    </w:lvl>
    <w:lvl w:ilvl="4">
      <w:start w:val="0"/>
      <w:numFmt w:val="bullet"/>
      <w:lvlText w:val="•"/>
      <w:lvlJc w:val="left"/>
      <w:pPr>
        <w:ind w:left="5746" w:hanging="360"/>
      </w:pPr>
      <w:rPr>
        <w:rFonts w:hint="default"/>
        <w:lang w:val="es-ES" w:eastAsia="en-US" w:bidi="ar-SA"/>
      </w:rPr>
    </w:lvl>
    <w:lvl w:ilvl="5">
      <w:start w:val="0"/>
      <w:numFmt w:val="bullet"/>
      <w:lvlText w:val="•"/>
      <w:lvlJc w:val="left"/>
      <w:pPr>
        <w:ind w:left="6648" w:hanging="360"/>
      </w:pPr>
      <w:rPr>
        <w:rFonts w:hint="default"/>
        <w:lang w:val="es-ES" w:eastAsia="en-US" w:bidi="ar-SA"/>
      </w:rPr>
    </w:lvl>
    <w:lvl w:ilvl="6">
      <w:start w:val="0"/>
      <w:numFmt w:val="bullet"/>
      <w:lvlText w:val="•"/>
      <w:lvlJc w:val="left"/>
      <w:pPr>
        <w:ind w:left="7551" w:hanging="360"/>
      </w:pPr>
      <w:rPr>
        <w:rFonts w:hint="default"/>
        <w:lang w:val="es-ES" w:eastAsia="en-US" w:bidi="ar-SA"/>
      </w:rPr>
    </w:lvl>
    <w:lvl w:ilvl="7">
      <w:start w:val="0"/>
      <w:numFmt w:val="bullet"/>
      <w:lvlText w:val="•"/>
      <w:lvlJc w:val="left"/>
      <w:pPr>
        <w:ind w:left="8453" w:hanging="360"/>
      </w:pPr>
      <w:rPr>
        <w:rFonts w:hint="default"/>
        <w:lang w:val="es-ES" w:eastAsia="en-US" w:bidi="ar-SA"/>
      </w:rPr>
    </w:lvl>
    <w:lvl w:ilvl="8">
      <w:start w:val="0"/>
      <w:numFmt w:val="bullet"/>
      <w:lvlText w:val="•"/>
      <w:lvlJc w:val="left"/>
      <w:pPr>
        <w:ind w:left="9355" w:hanging="360"/>
      </w:pPr>
      <w:rPr>
        <w:rFonts w:hint="default"/>
        <w:lang w:val="es-ES" w:eastAsia="en-US" w:bidi="ar-SA"/>
      </w:rPr>
    </w:lvl>
  </w:abstractNum>
  <w:abstractNum w:abstractNumId="14">
    <w:multiLevelType w:val="hybridMultilevel"/>
    <w:lvl w:ilvl="0">
      <w:start w:val="0"/>
      <w:numFmt w:val="bullet"/>
      <w:lvlText w:val=""/>
      <w:lvlJc w:val="left"/>
      <w:pPr>
        <w:ind w:left="2055" w:hanging="356"/>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2970" w:hanging="356"/>
      </w:pPr>
      <w:rPr>
        <w:rFonts w:hint="default"/>
        <w:lang w:val="es-ES" w:eastAsia="en-US" w:bidi="ar-SA"/>
      </w:rPr>
    </w:lvl>
    <w:lvl w:ilvl="2">
      <w:start w:val="0"/>
      <w:numFmt w:val="bullet"/>
      <w:lvlText w:val="•"/>
      <w:lvlJc w:val="left"/>
      <w:pPr>
        <w:ind w:left="3880" w:hanging="356"/>
      </w:pPr>
      <w:rPr>
        <w:rFonts w:hint="default"/>
        <w:lang w:val="es-ES" w:eastAsia="en-US" w:bidi="ar-SA"/>
      </w:rPr>
    </w:lvl>
    <w:lvl w:ilvl="3">
      <w:start w:val="0"/>
      <w:numFmt w:val="bullet"/>
      <w:lvlText w:val="•"/>
      <w:lvlJc w:val="left"/>
      <w:pPr>
        <w:ind w:left="4790" w:hanging="356"/>
      </w:pPr>
      <w:rPr>
        <w:rFonts w:hint="default"/>
        <w:lang w:val="es-ES" w:eastAsia="en-US" w:bidi="ar-SA"/>
      </w:rPr>
    </w:lvl>
    <w:lvl w:ilvl="4">
      <w:start w:val="0"/>
      <w:numFmt w:val="bullet"/>
      <w:lvlText w:val="•"/>
      <w:lvlJc w:val="left"/>
      <w:pPr>
        <w:ind w:left="5700" w:hanging="356"/>
      </w:pPr>
      <w:rPr>
        <w:rFonts w:hint="default"/>
        <w:lang w:val="es-ES" w:eastAsia="en-US" w:bidi="ar-SA"/>
      </w:rPr>
    </w:lvl>
    <w:lvl w:ilvl="5">
      <w:start w:val="0"/>
      <w:numFmt w:val="bullet"/>
      <w:lvlText w:val="•"/>
      <w:lvlJc w:val="left"/>
      <w:pPr>
        <w:ind w:left="6610" w:hanging="356"/>
      </w:pPr>
      <w:rPr>
        <w:rFonts w:hint="default"/>
        <w:lang w:val="es-ES" w:eastAsia="en-US" w:bidi="ar-SA"/>
      </w:rPr>
    </w:lvl>
    <w:lvl w:ilvl="6">
      <w:start w:val="0"/>
      <w:numFmt w:val="bullet"/>
      <w:lvlText w:val="•"/>
      <w:lvlJc w:val="left"/>
      <w:pPr>
        <w:ind w:left="7520" w:hanging="356"/>
      </w:pPr>
      <w:rPr>
        <w:rFonts w:hint="default"/>
        <w:lang w:val="es-ES" w:eastAsia="en-US" w:bidi="ar-SA"/>
      </w:rPr>
    </w:lvl>
    <w:lvl w:ilvl="7">
      <w:start w:val="0"/>
      <w:numFmt w:val="bullet"/>
      <w:lvlText w:val="•"/>
      <w:lvlJc w:val="left"/>
      <w:pPr>
        <w:ind w:left="8430" w:hanging="356"/>
      </w:pPr>
      <w:rPr>
        <w:rFonts w:hint="default"/>
        <w:lang w:val="es-ES" w:eastAsia="en-US" w:bidi="ar-SA"/>
      </w:rPr>
    </w:lvl>
    <w:lvl w:ilvl="8">
      <w:start w:val="0"/>
      <w:numFmt w:val="bullet"/>
      <w:lvlText w:val="•"/>
      <w:lvlJc w:val="left"/>
      <w:pPr>
        <w:ind w:left="9340" w:hanging="356"/>
      </w:pPr>
      <w:rPr>
        <w:rFonts w:hint="default"/>
        <w:lang w:val="es-ES" w:eastAsia="en-US" w:bidi="ar-SA"/>
      </w:rPr>
    </w:lvl>
  </w:abstractNum>
  <w:abstractNum w:abstractNumId="13">
    <w:multiLevelType w:val="hybridMultilevel"/>
    <w:lvl w:ilvl="0">
      <w:start w:val="0"/>
      <w:numFmt w:val="bullet"/>
      <w:lvlText w:val="•"/>
      <w:lvlJc w:val="left"/>
      <w:pPr>
        <w:ind w:left="1335" w:hanging="356"/>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2322" w:hanging="356"/>
      </w:pPr>
      <w:rPr>
        <w:rFonts w:hint="default"/>
        <w:lang w:val="es-ES" w:eastAsia="en-US" w:bidi="ar-SA"/>
      </w:rPr>
    </w:lvl>
    <w:lvl w:ilvl="2">
      <w:start w:val="0"/>
      <w:numFmt w:val="bullet"/>
      <w:lvlText w:val="•"/>
      <w:lvlJc w:val="left"/>
      <w:pPr>
        <w:ind w:left="3304" w:hanging="356"/>
      </w:pPr>
      <w:rPr>
        <w:rFonts w:hint="default"/>
        <w:lang w:val="es-ES" w:eastAsia="en-US" w:bidi="ar-SA"/>
      </w:rPr>
    </w:lvl>
    <w:lvl w:ilvl="3">
      <w:start w:val="0"/>
      <w:numFmt w:val="bullet"/>
      <w:lvlText w:val="•"/>
      <w:lvlJc w:val="left"/>
      <w:pPr>
        <w:ind w:left="4286" w:hanging="356"/>
      </w:pPr>
      <w:rPr>
        <w:rFonts w:hint="default"/>
        <w:lang w:val="es-ES" w:eastAsia="en-US" w:bidi="ar-SA"/>
      </w:rPr>
    </w:lvl>
    <w:lvl w:ilvl="4">
      <w:start w:val="0"/>
      <w:numFmt w:val="bullet"/>
      <w:lvlText w:val="•"/>
      <w:lvlJc w:val="left"/>
      <w:pPr>
        <w:ind w:left="5268" w:hanging="356"/>
      </w:pPr>
      <w:rPr>
        <w:rFonts w:hint="default"/>
        <w:lang w:val="es-ES" w:eastAsia="en-US" w:bidi="ar-SA"/>
      </w:rPr>
    </w:lvl>
    <w:lvl w:ilvl="5">
      <w:start w:val="0"/>
      <w:numFmt w:val="bullet"/>
      <w:lvlText w:val="•"/>
      <w:lvlJc w:val="left"/>
      <w:pPr>
        <w:ind w:left="6250" w:hanging="356"/>
      </w:pPr>
      <w:rPr>
        <w:rFonts w:hint="default"/>
        <w:lang w:val="es-ES" w:eastAsia="en-US" w:bidi="ar-SA"/>
      </w:rPr>
    </w:lvl>
    <w:lvl w:ilvl="6">
      <w:start w:val="0"/>
      <w:numFmt w:val="bullet"/>
      <w:lvlText w:val="•"/>
      <w:lvlJc w:val="left"/>
      <w:pPr>
        <w:ind w:left="7232" w:hanging="356"/>
      </w:pPr>
      <w:rPr>
        <w:rFonts w:hint="default"/>
        <w:lang w:val="es-ES" w:eastAsia="en-US" w:bidi="ar-SA"/>
      </w:rPr>
    </w:lvl>
    <w:lvl w:ilvl="7">
      <w:start w:val="0"/>
      <w:numFmt w:val="bullet"/>
      <w:lvlText w:val="•"/>
      <w:lvlJc w:val="left"/>
      <w:pPr>
        <w:ind w:left="8214" w:hanging="356"/>
      </w:pPr>
      <w:rPr>
        <w:rFonts w:hint="default"/>
        <w:lang w:val="es-ES" w:eastAsia="en-US" w:bidi="ar-SA"/>
      </w:rPr>
    </w:lvl>
    <w:lvl w:ilvl="8">
      <w:start w:val="0"/>
      <w:numFmt w:val="bullet"/>
      <w:lvlText w:val="•"/>
      <w:lvlJc w:val="left"/>
      <w:pPr>
        <w:ind w:left="9196" w:hanging="356"/>
      </w:pPr>
      <w:rPr>
        <w:rFonts w:hint="default"/>
        <w:lang w:val="es-ES" w:eastAsia="en-US" w:bidi="ar-SA"/>
      </w:rPr>
    </w:lvl>
  </w:abstractNum>
  <w:abstractNum w:abstractNumId="12">
    <w:multiLevelType w:val="hybridMultilevel"/>
    <w:lvl w:ilvl="0">
      <w:start w:val="1"/>
      <w:numFmt w:val="decimal"/>
      <w:lvlText w:val="%1."/>
      <w:lvlJc w:val="left"/>
      <w:pPr>
        <w:ind w:left="979" w:hanging="303"/>
        <w:jc w:val="left"/>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1998" w:hanging="303"/>
      </w:pPr>
      <w:rPr>
        <w:rFonts w:hint="default"/>
        <w:lang w:val="es-ES" w:eastAsia="en-US" w:bidi="ar-SA"/>
      </w:rPr>
    </w:lvl>
    <w:lvl w:ilvl="2">
      <w:start w:val="0"/>
      <w:numFmt w:val="bullet"/>
      <w:lvlText w:val="•"/>
      <w:lvlJc w:val="left"/>
      <w:pPr>
        <w:ind w:left="3016" w:hanging="303"/>
      </w:pPr>
      <w:rPr>
        <w:rFonts w:hint="default"/>
        <w:lang w:val="es-ES" w:eastAsia="en-US" w:bidi="ar-SA"/>
      </w:rPr>
    </w:lvl>
    <w:lvl w:ilvl="3">
      <w:start w:val="0"/>
      <w:numFmt w:val="bullet"/>
      <w:lvlText w:val="•"/>
      <w:lvlJc w:val="left"/>
      <w:pPr>
        <w:ind w:left="4034" w:hanging="303"/>
      </w:pPr>
      <w:rPr>
        <w:rFonts w:hint="default"/>
        <w:lang w:val="es-ES" w:eastAsia="en-US" w:bidi="ar-SA"/>
      </w:rPr>
    </w:lvl>
    <w:lvl w:ilvl="4">
      <w:start w:val="0"/>
      <w:numFmt w:val="bullet"/>
      <w:lvlText w:val="•"/>
      <w:lvlJc w:val="left"/>
      <w:pPr>
        <w:ind w:left="5052" w:hanging="303"/>
      </w:pPr>
      <w:rPr>
        <w:rFonts w:hint="default"/>
        <w:lang w:val="es-ES" w:eastAsia="en-US" w:bidi="ar-SA"/>
      </w:rPr>
    </w:lvl>
    <w:lvl w:ilvl="5">
      <w:start w:val="0"/>
      <w:numFmt w:val="bullet"/>
      <w:lvlText w:val="•"/>
      <w:lvlJc w:val="left"/>
      <w:pPr>
        <w:ind w:left="6070" w:hanging="303"/>
      </w:pPr>
      <w:rPr>
        <w:rFonts w:hint="default"/>
        <w:lang w:val="es-ES" w:eastAsia="en-US" w:bidi="ar-SA"/>
      </w:rPr>
    </w:lvl>
    <w:lvl w:ilvl="6">
      <w:start w:val="0"/>
      <w:numFmt w:val="bullet"/>
      <w:lvlText w:val="•"/>
      <w:lvlJc w:val="left"/>
      <w:pPr>
        <w:ind w:left="7088" w:hanging="303"/>
      </w:pPr>
      <w:rPr>
        <w:rFonts w:hint="default"/>
        <w:lang w:val="es-ES" w:eastAsia="en-US" w:bidi="ar-SA"/>
      </w:rPr>
    </w:lvl>
    <w:lvl w:ilvl="7">
      <w:start w:val="0"/>
      <w:numFmt w:val="bullet"/>
      <w:lvlText w:val="•"/>
      <w:lvlJc w:val="left"/>
      <w:pPr>
        <w:ind w:left="8106" w:hanging="303"/>
      </w:pPr>
      <w:rPr>
        <w:rFonts w:hint="default"/>
        <w:lang w:val="es-ES" w:eastAsia="en-US" w:bidi="ar-SA"/>
      </w:rPr>
    </w:lvl>
    <w:lvl w:ilvl="8">
      <w:start w:val="0"/>
      <w:numFmt w:val="bullet"/>
      <w:lvlText w:val="•"/>
      <w:lvlJc w:val="left"/>
      <w:pPr>
        <w:ind w:left="9124" w:hanging="303"/>
      </w:pPr>
      <w:rPr>
        <w:rFonts w:hint="default"/>
        <w:lang w:val="es-ES" w:eastAsia="en-US" w:bidi="ar-SA"/>
      </w:rPr>
    </w:lvl>
  </w:abstractNum>
  <w:abstractNum w:abstractNumId="11">
    <w:multiLevelType w:val="hybridMultilevel"/>
    <w:lvl w:ilvl="0">
      <w:start w:val="1"/>
      <w:numFmt w:val="decimal"/>
      <w:lvlText w:val="%1."/>
      <w:lvlJc w:val="left"/>
      <w:pPr>
        <w:ind w:left="979" w:hanging="260"/>
        <w:jc w:val="left"/>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1998" w:hanging="260"/>
      </w:pPr>
      <w:rPr>
        <w:rFonts w:hint="default"/>
        <w:lang w:val="es-ES" w:eastAsia="en-US" w:bidi="ar-SA"/>
      </w:rPr>
    </w:lvl>
    <w:lvl w:ilvl="2">
      <w:start w:val="0"/>
      <w:numFmt w:val="bullet"/>
      <w:lvlText w:val="•"/>
      <w:lvlJc w:val="left"/>
      <w:pPr>
        <w:ind w:left="3016" w:hanging="260"/>
      </w:pPr>
      <w:rPr>
        <w:rFonts w:hint="default"/>
        <w:lang w:val="es-ES" w:eastAsia="en-US" w:bidi="ar-SA"/>
      </w:rPr>
    </w:lvl>
    <w:lvl w:ilvl="3">
      <w:start w:val="0"/>
      <w:numFmt w:val="bullet"/>
      <w:lvlText w:val="•"/>
      <w:lvlJc w:val="left"/>
      <w:pPr>
        <w:ind w:left="4034" w:hanging="260"/>
      </w:pPr>
      <w:rPr>
        <w:rFonts w:hint="default"/>
        <w:lang w:val="es-ES" w:eastAsia="en-US" w:bidi="ar-SA"/>
      </w:rPr>
    </w:lvl>
    <w:lvl w:ilvl="4">
      <w:start w:val="0"/>
      <w:numFmt w:val="bullet"/>
      <w:lvlText w:val="•"/>
      <w:lvlJc w:val="left"/>
      <w:pPr>
        <w:ind w:left="5052" w:hanging="260"/>
      </w:pPr>
      <w:rPr>
        <w:rFonts w:hint="default"/>
        <w:lang w:val="es-ES" w:eastAsia="en-US" w:bidi="ar-SA"/>
      </w:rPr>
    </w:lvl>
    <w:lvl w:ilvl="5">
      <w:start w:val="0"/>
      <w:numFmt w:val="bullet"/>
      <w:lvlText w:val="•"/>
      <w:lvlJc w:val="left"/>
      <w:pPr>
        <w:ind w:left="6070" w:hanging="260"/>
      </w:pPr>
      <w:rPr>
        <w:rFonts w:hint="default"/>
        <w:lang w:val="es-ES" w:eastAsia="en-US" w:bidi="ar-SA"/>
      </w:rPr>
    </w:lvl>
    <w:lvl w:ilvl="6">
      <w:start w:val="0"/>
      <w:numFmt w:val="bullet"/>
      <w:lvlText w:val="•"/>
      <w:lvlJc w:val="left"/>
      <w:pPr>
        <w:ind w:left="7088" w:hanging="260"/>
      </w:pPr>
      <w:rPr>
        <w:rFonts w:hint="default"/>
        <w:lang w:val="es-ES" w:eastAsia="en-US" w:bidi="ar-SA"/>
      </w:rPr>
    </w:lvl>
    <w:lvl w:ilvl="7">
      <w:start w:val="0"/>
      <w:numFmt w:val="bullet"/>
      <w:lvlText w:val="•"/>
      <w:lvlJc w:val="left"/>
      <w:pPr>
        <w:ind w:left="8106" w:hanging="260"/>
      </w:pPr>
      <w:rPr>
        <w:rFonts w:hint="default"/>
        <w:lang w:val="es-ES" w:eastAsia="en-US" w:bidi="ar-SA"/>
      </w:rPr>
    </w:lvl>
    <w:lvl w:ilvl="8">
      <w:start w:val="0"/>
      <w:numFmt w:val="bullet"/>
      <w:lvlText w:val="•"/>
      <w:lvlJc w:val="left"/>
      <w:pPr>
        <w:ind w:left="9124" w:hanging="260"/>
      </w:pPr>
      <w:rPr>
        <w:rFonts w:hint="default"/>
        <w:lang w:val="es-ES" w:eastAsia="en-US" w:bidi="ar-SA"/>
      </w:rPr>
    </w:lvl>
  </w:abstractNum>
  <w:abstractNum w:abstractNumId="10">
    <w:multiLevelType w:val="hybridMultilevel"/>
    <w:lvl w:ilvl="0">
      <w:start w:val="1"/>
      <w:numFmt w:val="decimal"/>
      <w:lvlText w:val="%1."/>
      <w:lvlJc w:val="left"/>
      <w:pPr>
        <w:ind w:left="979" w:hanging="251"/>
        <w:jc w:val="left"/>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1998" w:hanging="251"/>
      </w:pPr>
      <w:rPr>
        <w:rFonts w:hint="default"/>
        <w:lang w:val="es-ES" w:eastAsia="en-US" w:bidi="ar-SA"/>
      </w:rPr>
    </w:lvl>
    <w:lvl w:ilvl="2">
      <w:start w:val="0"/>
      <w:numFmt w:val="bullet"/>
      <w:lvlText w:val="•"/>
      <w:lvlJc w:val="left"/>
      <w:pPr>
        <w:ind w:left="3016" w:hanging="251"/>
      </w:pPr>
      <w:rPr>
        <w:rFonts w:hint="default"/>
        <w:lang w:val="es-ES" w:eastAsia="en-US" w:bidi="ar-SA"/>
      </w:rPr>
    </w:lvl>
    <w:lvl w:ilvl="3">
      <w:start w:val="0"/>
      <w:numFmt w:val="bullet"/>
      <w:lvlText w:val="•"/>
      <w:lvlJc w:val="left"/>
      <w:pPr>
        <w:ind w:left="4034" w:hanging="251"/>
      </w:pPr>
      <w:rPr>
        <w:rFonts w:hint="default"/>
        <w:lang w:val="es-ES" w:eastAsia="en-US" w:bidi="ar-SA"/>
      </w:rPr>
    </w:lvl>
    <w:lvl w:ilvl="4">
      <w:start w:val="0"/>
      <w:numFmt w:val="bullet"/>
      <w:lvlText w:val="•"/>
      <w:lvlJc w:val="left"/>
      <w:pPr>
        <w:ind w:left="5052" w:hanging="251"/>
      </w:pPr>
      <w:rPr>
        <w:rFonts w:hint="default"/>
        <w:lang w:val="es-ES" w:eastAsia="en-US" w:bidi="ar-SA"/>
      </w:rPr>
    </w:lvl>
    <w:lvl w:ilvl="5">
      <w:start w:val="0"/>
      <w:numFmt w:val="bullet"/>
      <w:lvlText w:val="•"/>
      <w:lvlJc w:val="left"/>
      <w:pPr>
        <w:ind w:left="6070" w:hanging="251"/>
      </w:pPr>
      <w:rPr>
        <w:rFonts w:hint="default"/>
        <w:lang w:val="es-ES" w:eastAsia="en-US" w:bidi="ar-SA"/>
      </w:rPr>
    </w:lvl>
    <w:lvl w:ilvl="6">
      <w:start w:val="0"/>
      <w:numFmt w:val="bullet"/>
      <w:lvlText w:val="•"/>
      <w:lvlJc w:val="left"/>
      <w:pPr>
        <w:ind w:left="7088" w:hanging="251"/>
      </w:pPr>
      <w:rPr>
        <w:rFonts w:hint="default"/>
        <w:lang w:val="es-ES" w:eastAsia="en-US" w:bidi="ar-SA"/>
      </w:rPr>
    </w:lvl>
    <w:lvl w:ilvl="7">
      <w:start w:val="0"/>
      <w:numFmt w:val="bullet"/>
      <w:lvlText w:val="•"/>
      <w:lvlJc w:val="left"/>
      <w:pPr>
        <w:ind w:left="8106" w:hanging="251"/>
      </w:pPr>
      <w:rPr>
        <w:rFonts w:hint="default"/>
        <w:lang w:val="es-ES" w:eastAsia="en-US" w:bidi="ar-SA"/>
      </w:rPr>
    </w:lvl>
    <w:lvl w:ilvl="8">
      <w:start w:val="0"/>
      <w:numFmt w:val="bullet"/>
      <w:lvlText w:val="•"/>
      <w:lvlJc w:val="left"/>
      <w:pPr>
        <w:ind w:left="9124" w:hanging="251"/>
      </w:pPr>
      <w:rPr>
        <w:rFonts w:hint="default"/>
        <w:lang w:val="es-ES" w:eastAsia="en-US" w:bidi="ar-SA"/>
      </w:rPr>
    </w:lvl>
  </w:abstractNum>
  <w:abstractNum w:abstractNumId="9">
    <w:multiLevelType w:val="hybridMultilevel"/>
    <w:lvl w:ilvl="0">
      <w:start w:val="1"/>
      <w:numFmt w:val="decimal"/>
      <w:lvlText w:val="%1."/>
      <w:lvlJc w:val="left"/>
      <w:pPr>
        <w:ind w:left="979" w:hanging="255"/>
        <w:jc w:val="left"/>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1998" w:hanging="255"/>
      </w:pPr>
      <w:rPr>
        <w:rFonts w:hint="default"/>
        <w:lang w:val="es-ES" w:eastAsia="en-US" w:bidi="ar-SA"/>
      </w:rPr>
    </w:lvl>
    <w:lvl w:ilvl="2">
      <w:start w:val="0"/>
      <w:numFmt w:val="bullet"/>
      <w:lvlText w:val="•"/>
      <w:lvlJc w:val="left"/>
      <w:pPr>
        <w:ind w:left="3016" w:hanging="255"/>
      </w:pPr>
      <w:rPr>
        <w:rFonts w:hint="default"/>
        <w:lang w:val="es-ES" w:eastAsia="en-US" w:bidi="ar-SA"/>
      </w:rPr>
    </w:lvl>
    <w:lvl w:ilvl="3">
      <w:start w:val="0"/>
      <w:numFmt w:val="bullet"/>
      <w:lvlText w:val="•"/>
      <w:lvlJc w:val="left"/>
      <w:pPr>
        <w:ind w:left="4034" w:hanging="255"/>
      </w:pPr>
      <w:rPr>
        <w:rFonts w:hint="default"/>
        <w:lang w:val="es-ES" w:eastAsia="en-US" w:bidi="ar-SA"/>
      </w:rPr>
    </w:lvl>
    <w:lvl w:ilvl="4">
      <w:start w:val="0"/>
      <w:numFmt w:val="bullet"/>
      <w:lvlText w:val="•"/>
      <w:lvlJc w:val="left"/>
      <w:pPr>
        <w:ind w:left="5052" w:hanging="255"/>
      </w:pPr>
      <w:rPr>
        <w:rFonts w:hint="default"/>
        <w:lang w:val="es-ES" w:eastAsia="en-US" w:bidi="ar-SA"/>
      </w:rPr>
    </w:lvl>
    <w:lvl w:ilvl="5">
      <w:start w:val="0"/>
      <w:numFmt w:val="bullet"/>
      <w:lvlText w:val="•"/>
      <w:lvlJc w:val="left"/>
      <w:pPr>
        <w:ind w:left="6070" w:hanging="255"/>
      </w:pPr>
      <w:rPr>
        <w:rFonts w:hint="default"/>
        <w:lang w:val="es-ES" w:eastAsia="en-US" w:bidi="ar-SA"/>
      </w:rPr>
    </w:lvl>
    <w:lvl w:ilvl="6">
      <w:start w:val="0"/>
      <w:numFmt w:val="bullet"/>
      <w:lvlText w:val="•"/>
      <w:lvlJc w:val="left"/>
      <w:pPr>
        <w:ind w:left="7088" w:hanging="255"/>
      </w:pPr>
      <w:rPr>
        <w:rFonts w:hint="default"/>
        <w:lang w:val="es-ES" w:eastAsia="en-US" w:bidi="ar-SA"/>
      </w:rPr>
    </w:lvl>
    <w:lvl w:ilvl="7">
      <w:start w:val="0"/>
      <w:numFmt w:val="bullet"/>
      <w:lvlText w:val="•"/>
      <w:lvlJc w:val="left"/>
      <w:pPr>
        <w:ind w:left="8106" w:hanging="255"/>
      </w:pPr>
      <w:rPr>
        <w:rFonts w:hint="default"/>
        <w:lang w:val="es-ES" w:eastAsia="en-US" w:bidi="ar-SA"/>
      </w:rPr>
    </w:lvl>
    <w:lvl w:ilvl="8">
      <w:start w:val="0"/>
      <w:numFmt w:val="bullet"/>
      <w:lvlText w:val="•"/>
      <w:lvlJc w:val="left"/>
      <w:pPr>
        <w:ind w:left="9124" w:hanging="255"/>
      </w:pPr>
      <w:rPr>
        <w:rFonts w:hint="default"/>
        <w:lang w:val="es-ES" w:eastAsia="en-US" w:bidi="ar-SA"/>
      </w:rPr>
    </w:lvl>
  </w:abstractNum>
  <w:abstractNum w:abstractNumId="8">
    <w:multiLevelType w:val="hybridMultilevel"/>
    <w:lvl w:ilvl="0">
      <w:start w:val="1"/>
      <w:numFmt w:val="decimal"/>
      <w:lvlText w:val="%1."/>
      <w:lvlJc w:val="left"/>
      <w:pPr>
        <w:ind w:left="979" w:hanging="269"/>
        <w:jc w:val="left"/>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1998" w:hanging="269"/>
      </w:pPr>
      <w:rPr>
        <w:rFonts w:hint="default"/>
        <w:lang w:val="es-ES" w:eastAsia="en-US" w:bidi="ar-SA"/>
      </w:rPr>
    </w:lvl>
    <w:lvl w:ilvl="2">
      <w:start w:val="0"/>
      <w:numFmt w:val="bullet"/>
      <w:lvlText w:val="•"/>
      <w:lvlJc w:val="left"/>
      <w:pPr>
        <w:ind w:left="3016" w:hanging="269"/>
      </w:pPr>
      <w:rPr>
        <w:rFonts w:hint="default"/>
        <w:lang w:val="es-ES" w:eastAsia="en-US" w:bidi="ar-SA"/>
      </w:rPr>
    </w:lvl>
    <w:lvl w:ilvl="3">
      <w:start w:val="0"/>
      <w:numFmt w:val="bullet"/>
      <w:lvlText w:val="•"/>
      <w:lvlJc w:val="left"/>
      <w:pPr>
        <w:ind w:left="4034" w:hanging="269"/>
      </w:pPr>
      <w:rPr>
        <w:rFonts w:hint="default"/>
        <w:lang w:val="es-ES" w:eastAsia="en-US" w:bidi="ar-SA"/>
      </w:rPr>
    </w:lvl>
    <w:lvl w:ilvl="4">
      <w:start w:val="0"/>
      <w:numFmt w:val="bullet"/>
      <w:lvlText w:val="•"/>
      <w:lvlJc w:val="left"/>
      <w:pPr>
        <w:ind w:left="5052" w:hanging="269"/>
      </w:pPr>
      <w:rPr>
        <w:rFonts w:hint="default"/>
        <w:lang w:val="es-ES" w:eastAsia="en-US" w:bidi="ar-SA"/>
      </w:rPr>
    </w:lvl>
    <w:lvl w:ilvl="5">
      <w:start w:val="0"/>
      <w:numFmt w:val="bullet"/>
      <w:lvlText w:val="•"/>
      <w:lvlJc w:val="left"/>
      <w:pPr>
        <w:ind w:left="6070" w:hanging="269"/>
      </w:pPr>
      <w:rPr>
        <w:rFonts w:hint="default"/>
        <w:lang w:val="es-ES" w:eastAsia="en-US" w:bidi="ar-SA"/>
      </w:rPr>
    </w:lvl>
    <w:lvl w:ilvl="6">
      <w:start w:val="0"/>
      <w:numFmt w:val="bullet"/>
      <w:lvlText w:val="•"/>
      <w:lvlJc w:val="left"/>
      <w:pPr>
        <w:ind w:left="7088" w:hanging="269"/>
      </w:pPr>
      <w:rPr>
        <w:rFonts w:hint="default"/>
        <w:lang w:val="es-ES" w:eastAsia="en-US" w:bidi="ar-SA"/>
      </w:rPr>
    </w:lvl>
    <w:lvl w:ilvl="7">
      <w:start w:val="0"/>
      <w:numFmt w:val="bullet"/>
      <w:lvlText w:val="•"/>
      <w:lvlJc w:val="left"/>
      <w:pPr>
        <w:ind w:left="8106" w:hanging="269"/>
      </w:pPr>
      <w:rPr>
        <w:rFonts w:hint="default"/>
        <w:lang w:val="es-ES" w:eastAsia="en-US" w:bidi="ar-SA"/>
      </w:rPr>
    </w:lvl>
    <w:lvl w:ilvl="8">
      <w:start w:val="0"/>
      <w:numFmt w:val="bullet"/>
      <w:lvlText w:val="•"/>
      <w:lvlJc w:val="left"/>
      <w:pPr>
        <w:ind w:left="9124" w:hanging="269"/>
      </w:pPr>
      <w:rPr>
        <w:rFonts w:hint="default"/>
        <w:lang w:val="es-ES" w:eastAsia="en-US" w:bidi="ar-SA"/>
      </w:rPr>
    </w:lvl>
  </w:abstractNum>
  <w:abstractNum w:abstractNumId="7">
    <w:multiLevelType w:val="hybridMultilevel"/>
    <w:lvl w:ilvl="0">
      <w:start w:val="1"/>
      <w:numFmt w:val="decimal"/>
      <w:lvlText w:val="%1."/>
      <w:lvlJc w:val="left"/>
      <w:pPr>
        <w:ind w:left="979" w:hanging="294"/>
        <w:jc w:val="left"/>
      </w:pPr>
      <w:rPr>
        <w:rFonts w:hint="default" w:ascii="Arial" w:hAnsi="Arial" w:eastAsia="Arial" w:cs="Arial"/>
        <w:b w:val="0"/>
        <w:bCs w:val="0"/>
        <w:i w:val="0"/>
        <w:iCs w:val="0"/>
        <w:spacing w:val="0"/>
        <w:w w:val="100"/>
        <w:sz w:val="22"/>
        <w:szCs w:val="22"/>
        <w:lang w:val="es-ES" w:eastAsia="en-US" w:bidi="ar-SA"/>
      </w:rPr>
    </w:lvl>
    <w:lvl w:ilvl="1">
      <w:start w:val="0"/>
      <w:numFmt w:val="bullet"/>
      <w:lvlText w:val="•"/>
      <w:lvlJc w:val="left"/>
      <w:pPr>
        <w:ind w:left="1998" w:hanging="294"/>
      </w:pPr>
      <w:rPr>
        <w:rFonts w:hint="default"/>
        <w:lang w:val="es-ES" w:eastAsia="en-US" w:bidi="ar-SA"/>
      </w:rPr>
    </w:lvl>
    <w:lvl w:ilvl="2">
      <w:start w:val="0"/>
      <w:numFmt w:val="bullet"/>
      <w:lvlText w:val="•"/>
      <w:lvlJc w:val="left"/>
      <w:pPr>
        <w:ind w:left="3016" w:hanging="294"/>
      </w:pPr>
      <w:rPr>
        <w:rFonts w:hint="default"/>
        <w:lang w:val="es-ES" w:eastAsia="en-US" w:bidi="ar-SA"/>
      </w:rPr>
    </w:lvl>
    <w:lvl w:ilvl="3">
      <w:start w:val="0"/>
      <w:numFmt w:val="bullet"/>
      <w:lvlText w:val="•"/>
      <w:lvlJc w:val="left"/>
      <w:pPr>
        <w:ind w:left="4034" w:hanging="294"/>
      </w:pPr>
      <w:rPr>
        <w:rFonts w:hint="default"/>
        <w:lang w:val="es-ES" w:eastAsia="en-US" w:bidi="ar-SA"/>
      </w:rPr>
    </w:lvl>
    <w:lvl w:ilvl="4">
      <w:start w:val="0"/>
      <w:numFmt w:val="bullet"/>
      <w:lvlText w:val="•"/>
      <w:lvlJc w:val="left"/>
      <w:pPr>
        <w:ind w:left="5052" w:hanging="294"/>
      </w:pPr>
      <w:rPr>
        <w:rFonts w:hint="default"/>
        <w:lang w:val="es-ES" w:eastAsia="en-US" w:bidi="ar-SA"/>
      </w:rPr>
    </w:lvl>
    <w:lvl w:ilvl="5">
      <w:start w:val="0"/>
      <w:numFmt w:val="bullet"/>
      <w:lvlText w:val="•"/>
      <w:lvlJc w:val="left"/>
      <w:pPr>
        <w:ind w:left="6070" w:hanging="294"/>
      </w:pPr>
      <w:rPr>
        <w:rFonts w:hint="default"/>
        <w:lang w:val="es-ES" w:eastAsia="en-US" w:bidi="ar-SA"/>
      </w:rPr>
    </w:lvl>
    <w:lvl w:ilvl="6">
      <w:start w:val="0"/>
      <w:numFmt w:val="bullet"/>
      <w:lvlText w:val="•"/>
      <w:lvlJc w:val="left"/>
      <w:pPr>
        <w:ind w:left="7088" w:hanging="294"/>
      </w:pPr>
      <w:rPr>
        <w:rFonts w:hint="default"/>
        <w:lang w:val="es-ES" w:eastAsia="en-US" w:bidi="ar-SA"/>
      </w:rPr>
    </w:lvl>
    <w:lvl w:ilvl="7">
      <w:start w:val="0"/>
      <w:numFmt w:val="bullet"/>
      <w:lvlText w:val="•"/>
      <w:lvlJc w:val="left"/>
      <w:pPr>
        <w:ind w:left="8106" w:hanging="294"/>
      </w:pPr>
      <w:rPr>
        <w:rFonts w:hint="default"/>
        <w:lang w:val="es-ES" w:eastAsia="en-US" w:bidi="ar-SA"/>
      </w:rPr>
    </w:lvl>
    <w:lvl w:ilvl="8">
      <w:start w:val="0"/>
      <w:numFmt w:val="bullet"/>
      <w:lvlText w:val="•"/>
      <w:lvlJc w:val="left"/>
      <w:pPr>
        <w:ind w:left="9124" w:hanging="294"/>
      </w:pPr>
      <w:rPr>
        <w:rFonts w:hint="default"/>
        <w:lang w:val="es-ES" w:eastAsia="en-US" w:bidi="ar-SA"/>
      </w:rPr>
    </w:lvl>
  </w:abstractNum>
  <w:abstractNum w:abstractNumId="6">
    <w:multiLevelType w:val="hybridMultilevel"/>
    <w:lvl w:ilvl="0">
      <w:start w:val="0"/>
      <w:numFmt w:val="bullet"/>
      <w:lvlText w:val=""/>
      <w:lvlJc w:val="left"/>
      <w:pPr>
        <w:ind w:left="1700" w:hanging="360"/>
      </w:pPr>
      <w:rPr>
        <w:rFonts w:hint="default" w:ascii="Symbol" w:hAnsi="Symbol" w:eastAsia="Symbol" w:cs="Symbol"/>
        <w:b w:val="0"/>
        <w:bCs w:val="0"/>
        <w:i w:val="0"/>
        <w:iCs w:val="0"/>
        <w:spacing w:val="0"/>
        <w:w w:val="100"/>
        <w:sz w:val="20"/>
        <w:szCs w:val="20"/>
        <w:lang w:val="es-ES" w:eastAsia="en-US" w:bidi="ar-SA"/>
      </w:rPr>
    </w:lvl>
    <w:lvl w:ilvl="1">
      <w:start w:val="0"/>
      <w:numFmt w:val="bullet"/>
      <w:lvlText w:val="•"/>
      <w:lvlJc w:val="left"/>
      <w:pPr>
        <w:ind w:left="2646" w:hanging="360"/>
      </w:pPr>
      <w:rPr>
        <w:rFonts w:hint="default"/>
        <w:lang w:val="es-ES" w:eastAsia="en-US" w:bidi="ar-SA"/>
      </w:rPr>
    </w:lvl>
    <w:lvl w:ilvl="2">
      <w:start w:val="0"/>
      <w:numFmt w:val="bullet"/>
      <w:lvlText w:val="•"/>
      <w:lvlJc w:val="left"/>
      <w:pPr>
        <w:ind w:left="3592" w:hanging="360"/>
      </w:pPr>
      <w:rPr>
        <w:rFonts w:hint="default"/>
        <w:lang w:val="es-ES" w:eastAsia="en-US" w:bidi="ar-SA"/>
      </w:rPr>
    </w:lvl>
    <w:lvl w:ilvl="3">
      <w:start w:val="0"/>
      <w:numFmt w:val="bullet"/>
      <w:lvlText w:val="•"/>
      <w:lvlJc w:val="left"/>
      <w:pPr>
        <w:ind w:left="4538" w:hanging="360"/>
      </w:pPr>
      <w:rPr>
        <w:rFonts w:hint="default"/>
        <w:lang w:val="es-ES" w:eastAsia="en-US" w:bidi="ar-SA"/>
      </w:rPr>
    </w:lvl>
    <w:lvl w:ilvl="4">
      <w:start w:val="0"/>
      <w:numFmt w:val="bullet"/>
      <w:lvlText w:val="•"/>
      <w:lvlJc w:val="left"/>
      <w:pPr>
        <w:ind w:left="5484" w:hanging="360"/>
      </w:pPr>
      <w:rPr>
        <w:rFonts w:hint="default"/>
        <w:lang w:val="es-ES" w:eastAsia="en-US" w:bidi="ar-SA"/>
      </w:rPr>
    </w:lvl>
    <w:lvl w:ilvl="5">
      <w:start w:val="0"/>
      <w:numFmt w:val="bullet"/>
      <w:lvlText w:val="•"/>
      <w:lvlJc w:val="left"/>
      <w:pPr>
        <w:ind w:left="6430" w:hanging="360"/>
      </w:pPr>
      <w:rPr>
        <w:rFonts w:hint="default"/>
        <w:lang w:val="es-ES" w:eastAsia="en-US" w:bidi="ar-SA"/>
      </w:rPr>
    </w:lvl>
    <w:lvl w:ilvl="6">
      <w:start w:val="0"/>
      <w:numFmt w:val="bullet"/>
      <w:lvlText w:val="•"/>
      <w:lvlJc w:val="left"/>
      <w:pPr>
        <w:ind w:left="7376" w:hanging="360"/>
      </w:pPr>
      <w:rPr>
        <w:rFonts w:hint="default"/>
        <w:lang w:val="es-ES" w:eastAsia="en-US" w:bidi="ar-SA"/>
      </w:rPr>
    </w:lvl>
    <w:lvl w:ilvl="7">
      <w:start w:val="0"/>
      <w:numFmt w:val="bullet"/>
      <w:lvlText w:val="•"/>
      <w:lvlJc w:val="left"/>
      <w:pPr>
        <w:ind w:left="8322" w:hanging="360"/>
      </w:pPr>
      <w:rPr>
        <w:rFonts w:hint="default"/>
        <w:lang w:val="es-ES" w:eastAsia="en-US" w:bidi="ar-SA"/>
      </w:rPr>
    </w:lvl>
    <w:lvl w:ilvl="8">
      <w:start w:val="0"/>
      <w:numFmt w:val="bullet"/>
      <w:lvlText w:val="•"/>
      <w:lvlJc w:val="left"/>
      <w:pPr>
        <w:ind w:left="9268" w:hanging="360"/>
      </w:pPr>
      <w:rPr>
        <w:rFonts w:hint="default"/>
        <w:lang w:val="es-ES" w:eastAsia="en-US" w:bidi="ar-SA"/>
      </w:rPr>
    </w:lvl>
  </w:abstractNum>
  <w:abstractNum w:abstractNumId="5">
    <w:multiLevelType w:val="hybridMultilevel"/>
    <w:lvl w:ilvl="0">
      <w:start w:val="0"/>
      <w:numFmt w:val="bullet"/>
      <w:lvlText w:val=""/>
      <w:lvlJc w:val="left"/>
      <w:pPr>
        <w:ind w:left="1700" w:hanging="360"/>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2646" w:hanging="360"/>
      </w:pPr>
      <w:rPr>
        <w:rFonts w:hint="default"/>
        <w:lang w:val="es-ES" w:eastAsia="en-US" w:bidi="ar-SA"/>
      </w:rPr>
    </w:lvl>
    <w:lvl w:ilvl="2">
      <w:start w:val="0"/>
      <w:numFmt w:val="bullet"/>
      <w:lvlText w:val="•"/>
      <w:lvlJc w:val="left"/>
      <w:pPr>
        <w:ind w:left="3592" w:hanging="360"/>
      </w:pPr>
      <w:rPr>
        <w:rFonts w:hint="default"/>
        <w:lang w:val="es-ES" w:eastAsia="en-US" w:bidi="ar-SA"/>
      </w:rPr>
    </w:lvl>
    <w:lvl w:ilvl="3">
      <w:start w:val="0"/>
      <w:numFmt w:val="bullet"/>
      <w:lvlText w:val="•"/>
      <w:lvlJc w:val="left"/>
      <w:pPr>
        <w:ind w:left="4538" w:hanging="360"/>
      </w:pPr>
      <w:rPr>
        <w:rFonts w:hint="default"/>
        <w:lang w:val="es-ES" w:eastAsia="en-US" w:bidi="ar-SA"/>
      </w:rPr>
    </w:lvl>
    <w:lvl w:ilvl="4">
      <w:start w:val="0"/>
      <w:numFmt w:val="bullet"/>
      <w:lvlText w:val="•"/>
      <w:lvlJc w:val="left"/>
      <w:pPr>
        <w:ind w:left="5484" w:hanging="360"/>
      </w:pPr>
      <w:rPr>
        <w:rFonts w:hint="default"/>
        <w:lang w:val="es-ES" w:eastAsia="en-US" w:bidi="ar-SA"/>
      </w:rPr>
    </w:lvl>
    <w:lvl w:ilvl="5">
      <w:start w:val="0"/>
      <w:numFmt w:val="bullet"/>
      <w:lvlText w:val="•"/>
      <w:lvlJc w:val="left"/>
      <w:pPr>
        <w:ind w:left="6430" w:hanging="360"/>
      </w:pPr>
      <w:rPr>
        <w:rFonts w:hint="default"/>
        <w:lang w:val="es-ES" w:eastAsia="en-US" w:bidi="ar-SA"/>
      </w:rPr>
    </w:lvl>
    <w:lvl w:ilvl="6">
      <w:start w:val="0"/>
      <w:numFmt w:val="bullet"/>
      <w:lvlText w:val="•"/>
      <w:lvlJc w:val="left"/>
      <w:pPr>
        <w:ind w:left="7376" w:hanging="360"/>
      </w:pPr>
      <w:rPr>
        <w:rFonts w:hint="default"/>
        <w:lang w:val="es-ES" w:eastAsia="en-US" w:bidi="ar-SA"/>
      </w:rPr>
    </w:lvl>
    <w:lvl w:ilvl="7">
      <w:start w:val="0"/>
      <w:numFmt w:val="bullet"/>
      <w:lvlText w:val="•"/>
      <w:lvlJc w:val="left"/>
      <w:pPr>
        <w:ind w:left="8322" w:hanging="360"/>
      </w:pPr>
      <w:rPr>
        <w:rFonts w:hint="default"/>
        <w:lang w:val="es-ES" w:eastAsia="en-US" w:bidi="ar-SA"/>
      </w:rPr>
    </w:lvl>
    <w:lvl w:ilvl="8">
      <w:start w:val="0"/>
      <w:numFmt w:val="bullet"/>
      <w:lvlText w:val="•"/>
      <w:lvlJc w:val="left"/>
      <w:pPr>
        <w:ind w:left="9268" w:hanging="360"/>
      </w:pPr>
      <w:rPr>
        <w:rFonts w:hint="default"/>
        <w:lang w:val="es-ES" w:eastAsia="en-US" w:bidi="ar-SA"/>
      </w:rPr>
    </w:lvl>
  </w:abstractNum>
  <w:abstractNum w:abstractNumId="4">
    <w:multiLevelType w:val="hybridMultilevel"/>
    <w:lvl w:ilvl="0">
      <w:start w:val="2"/>
      <w:numFmt w:val="decimal"/>
      <w:lvlText w:val="%1."/>
      <w:lvlJc w:val="left"/>
      <w:pPr>
        <w:ind w:left="1248" w:hanging="270"/>
        <w:jc w:val="right"/>
      </w:pPr>
      <w:rPr>
        <w:rFonts w:hint="default" w:ascii="Arial" w:hAnsi="Arial" w:eastAsia="Arial" w:cs="Arial"/>
        <w:b/>
        <w:bCs/>
        <w:i w:val="0"/>
        <w:iCs w:val="0"/>
        <w:spacing w:val="0"/>
        <w:w w:val="100"/>
        <w:sz w:val="24"/>
        <w:szCs w:val="24"/>
        <w:lang w:val="es-ES" w:eastAsia="en-US" w:bidi="ar-SA"/>
      </w:rPr>
    </w:lvl>
    <w:lvl w:ilvl="1">
      <w:start w:val="1"/>
      <w:numFmt w:val="decimal"/>
      <w:lvlText w:val="%1.%2"/>
      <w:lvlJc w:val="left"/>
      <w:pPr>
        <w:ind w:left="2247" w:hanging="404"/>
        <w:jc w:val="left"/>
      </w:pPr>
      <w:rPr>
        <w:rFonts w:hint="default" w:ascii="Arial" w:hAnsi="Arial" w:eastAsia="Arial" w:cs="Arial"/>
        <w:b/>
        <w:bCs/>
        <w:i w:val="0"/>
        <w:iCs w:val="0"/>
        <w:spacing w:val="-1"/>
        <w:w w:val="100"/>
        <w:sz w:val="24"/>
        <w:szCs w:val="24"/>
        <w:lang w:val="es-ES" w:eastAsia="en-US" w:bidi="ar-SA"/>
      </w:rPr>
    </w:lvl>
    <w:lvl w:ilvl="2">
      <w:start w:val="1"/>
      <w:numFmt w:val="decimal"/>
      <w:lvlText w:val="%1.%2.%3"/>
      <w:lvlJc w:val="left"/>
      <w:pPr>
        <w:ind w:left="1585" w:hanging="606"/>
        <w:jc w:val="left"/>
      </w:pPr>
      <w:rPr>
        <w:rFonts w:hint="default" w:ascii="Arial" w:hAnsi="Arial" w:eastAsia="Arial" w:cs="Arial"/>
        <w:b/>
        <w:bCs/>
        <w:i w:val="0"/>
        <w:iCs w:val="0"/>
        <w:spacing w:val="0"/>
        <w:w w:val="100"/>
        <w:sz w:val="24"/>
        <w:szCs w:val="24"/>
        <w:lang w:val="es-ES" w:eastAsia="en-US" w:bidi="ar-SA"/>
      </w:rPr>
    </w:lvl>
    <w:lvl w:ilvl="3">
      <w:start w:val="1"/>
      <w:numFmt w:val="lowerLetter"/>
      <w:lvlText w:val="%4)"/>
      <w:lvlJc w:val="left"/>
      <w:pPr>
        <w:ind w:left="1700" w:hanging="360"/>
        <w:jc w:val="left"/>
      </w:pPr>
      <w:rPr>
        <w:rFonts w:hint="default" w:ascii="Arial" w:hAnsi="Arial" w:eastAsia="Arial" w:cs="Arial"/>
        <w:b w:val="0"/>
        <w:bCs w:val="0"/>
        <w:i w:val="0"/>
        <w:iCs w:val="0"/>
        <w:spacing w:val="0"/>
        <w:w w:val="100"/>
        <w:sz w:val="22"/>
        <w:szCs w:val="22"/>
        <w:lang w:val="es-ES" w:eastAsia="en-US" w:bidi="ar-SA"/>
      </w:rPr>
    </w:lvl>
    <w:lvl w:ilvl="4">
      <w:start w:val="0"/>
      <w:numFmt w:val="bullet"/>
      <w:lvlText w:val="•"/>
      <w:lvlJc w:val="left"/>
      <w:pPr>
        <w:ind w:left="2240" w:hanging="360"/>
      </w:pPr>
      <w:rPr>
        <w:rFonts w:hint="default"/>
        <w:lang w:val="es-ES" w:eastAsia="en-US" w:bidi="ar-SA"/>
      </w:rPr>
    </w:lvl>
    <w:lvl w:ilvl="5">
      <w:start w:val="0"/>
      <w:numFmt w:val="bullet"/>
      <w:lvlText w:val="•"/>
      <w:lvlJc w:val="left"/>
      <w:pPr>
        <w:ind w:left="2440" w:hanging="360"/>
      </w:pPr>
      <w:rPr>
        <w:rFonts w:hint="default"/>
        <w:lang w:val="es-ES" w:eastAsia="en-US" w:bidi="ar-SA"/>
      </w:rPr>
    </w:lvl>
    <w:lvl w:ilvl="6">
      <w:start w:val="0"/>
      <w:numFmt w:val="bullet"/>
      <w:lvlText w:val="•"/>
      <w:lvlJc w:val="left"/>
      <w:pPr>
        <w:ind w:left="2540" w:hanging="360"/>
      </w:pPr>
      <w:rPr>
        <w:rFonts w:hint="default"/>
        <w:lang w:val="es-ES" w:eastAsia="en-US" w:bidi="ar-SA"/>
      </w:rPr>
    </w:lvl>
    <w:lvl w:ilvl="7">
      <w:start w:val="0"/>
      <w:numFmt w:val="bullet"/>
      <w:lvlText w:val="•"/>
      <w:lvlJc w:val="left"/>
      <w:pPr>
        <w:ind w:left="2740" w:hanging="360"/>
      </w:pPr>
      <w:rPr>
        <w:rFonts w:hint="default"/>
        <w:lang w:val="es-ES" w:eastAsia="en-US" w:bidi="ar-SA"/>
      </w:rPr>
    </w:lvl>
    <w:lvl w:ilvl="8">
      <w:start w:val="0"/>
      <w:numFmt w:val="bullet"/>
      <w:lvlText w:val="•"/>
      <w:lvlJc w:val="left"/>
      <w:pPr>
        <w:ind w:left="5546" w:hanging="360"/>
      </w:pPr>
      <w:rPr>
        <w:rFonts w:hint="default"/>
        <w:lang w:val="es-ES" w:eastAsia="en-US" w:bidi="ar-SA"/>
      </w:rPr>
    </w:lvl>
  </w:abstractNum>
  <w:abstractNum w:abstractNumId="3">
    <w:multiLevelType w:val="hybridMultilevel"/>
    <w:lvl w:ilvl="0">
      <w:start w:val="1"/>
      <w:numFmt w:val="decimal"/>
      <w:lvlText w:val="%1"/>
      <w:lvlJc w:val="left"/>
      <w:pPr>
        <w:ind w:left="2396" w:hanging="553"/>
        <w:jc w:val="left"/>
      </w:pPr>
      <w:rPr>
        <w:rFonts w:hint="default"/>
        <w:lang w:val="es-ES" w:eastAsia="en-US" w:bidi="ar-SA"/>
      </w:rPr>
    </w:lvl>
    <w:lvl w:ilvl="1">
      <w:start w:val="1"/>
      <w:numFmt w:val="decimal"/>
      <w:lvlText w:val="%1.%2"/>
      <w:lvlJc w:val="left"/>
      <w:pPr>
        <w:ind w:left="2396" w:hanging="553"/>
        <w:jc w:val="left"/>
      </w:pPr>
      <w:rPr>
        <w:rFonts w:hint="default" w:ascii="Arial" w:hAnsi="Arial" w:eastAsia="Arial" w:cs="Arial"/>
        <w:b/>
        <w:bCs/>
        <w:i w:val="0"/>
        <w:iCs w:val="0"/>
        <w:spacing w:val="-1"/>
        <w:w w:val="100"/>
        <w:sz w:val="24"/>
        <w:szCs w:val="24"/>
        <w:lang w:val="es-ES" w:eastAsia="en-US" w:bidi="ar-SA"/>
      </w:rPr>
    </w:lvl>
    <w:lvl w:ilvl="2">
      <w:start w:val="0"/>
      <w:numFmt w:val="bullet"/>
      <w:lvlText w:val="•"/>
      <w:lvlJc w:val="left"/>
      <w:pPr>
        <w:ind w:left="4152" w:hanging="553"/>
      </w:pPr>
      <w:rPr>
        <w:rFonts w:hint="default"/>
        <w:lang w:val="es-ES" w:eastAsia="en-US" w:bidi="ar-SA"/>
      </w:rPr>
    </w:lvl>
    <w:lvl w:ilvl="3">
      <w:start w:val="0"/>
      <w:numFmt w:val="bullet"/>
      <w:lvlText w:val="•"/>
      <w:lvlJc w:val="left"/>
      <w:pPr>
        <w:ind w:left="5028" w:hanging="553"/>
      </w:pPr>
      <w:rPr>
        <w:rFonts w:hint="default"/>
        <w:lang w:val="es-ES" w:eastAsia="en-US" w:bidi="ar-SA"/>
      </w:rPr>
    </w:lvl>
    <w:lvl w:ilvl="4">
      <w:start w:val="0"/>
      <w:numFmt w:val="bullet"/>
      <w:lvlText w:val="•"/>
      <w:lvlJc w:val="left"/>
      <w:pPr>
        <w:ind w:left="5904" w:hanging="553"/>
      </w:pPr>
      <w:rPr>
        <w:rFonts w:hint="default"/>
        <w:lang w:val="es-ES" w:eastAsia="en-US" w:bidi="ar-SA"/>
      </w:rPr>
    </w:lvl>
    <w:lvl w:ilvl="5">
      <w:start w:val="0"/>
      <w:numFmt w:val="bullet"/>
      <w:lvlText w:val="•"/>
      <w:lvlJc w:val="left"/>
      <w:pPr>
        <w:ind w:left="6780" w:hanging="553"/>
      </w:pPr>
      <w:rPr>
        <w:rFonts w:hint="default"/>
        <w:lang w:val="es-ES" w:eastAsia="en-US" w:bidi="ar-SA"/>
      </w:rPr>
    </w:lvl>
    <w:lvl w:ilvl="6">
      <w:start w:val="0"/>
      <w:numFmt w:val="bullet"/>
      <w:lvlText w:val="•"/>
      <w:lvlJc w:val="left"/>
      <w:pPr>
        <w:ind w:left="7656" w:hanging="553"/>
      </w:pPr>
      <w:rPr>
        <w:rFonts w:hint="default"/>
        <w:lang w:val="es-ES" w:eastAsia="en-US" w:bidi="ar-SA"/>
      </w:rPr>
    </w:lvl>
    <w:lvl w:ilvl="7">
      <w:start w:val="0"/>
      <w:numFmt w:val="bullet"/>
      <w:lvlText w:val="•"/>
      <w:lvlJc w:val="left"/>
      <w:pPr>
        <w:ind w:left="8532" w:hanging="553"/>
      </w:pPr>
      <w:rPr>
        <w:rFonts w:hint="default"/>
        <w:lang w:val="es-ES" w:eastAsia="en-US" w:bidi="ar-SA"/>
      </w:rPr>
    </w:lvl>
    <w:lvl w:ilvl="8">
      <w:start w:val="0"/>
      <w:numFmt w:val="bullet"/>
      <w:lvlText w:val="•"/>
      <w:lvlJc w:val="left"/>
      <w:pPr>
        <w:ind w:left="9408" w:hanging="553"/>
      </w:pPr>
      <w:rPr>
        <w:rFonts w:hint="default"/>
        <w:lang w:val="es-ES" w:eastAsia="en-US" w:bidi="ar-SA"/>
      </w:rPr>
    </w:lvl>
  </w:abstractNum>
  <w:abstractNum w:abstractNumId="2">
    <w:multiLevelType w:val="hybridMultilevel"/>
    <w:lvl w:ilvl="0">
      <w:start w:val="5"/>
      <w:numFmt w:val="decimal"/>
      <w:lvlText w:val="%1"/>
      <w:lvlJc w:val="left"/>
      <w:pPr>
        <w:ind w:left="1829" w:hanging="369"/>
        <w:jc w:val="left"/>
      </w:pPr>
      <w:rPr>
        <w:rFonts w:hint="default"/>
        <w:lang w:val="es-ES" w:eastAsia="en-US" w:bidi="ar-SA"/>
      </w:rPr>
    </w:lvl>
    <w:lvl w:ilvl="1">
      <w:start w:val="5"/>
      <w:numFmt w:val="decimal"/>
      <w:lvlText w:val="%1.%2"/>
      <w:lvlJc w:val="left"/>
      <w:pPr>
        <w:ind w:left="1829" w:hanging="369"/>
        <w:jc w:val="left"/>
      </w:pPr>
      <w:rPr>
        <w:rFonts w:hint="default" w:ascii="Arial" w:hAnsi="Arial" w:eastAsia="Arial" w:cs="Arial"/>
        <w:b w:val="0"/>
        <w:bCs w:val="0"/>
        <w:i w:val="0"/>
        <w:iCs w:val="0"/>
        <w:spacing w:val="0"/>
        <w:w w:val="100"/>
        <w:sz w:val="22"/>
        <w:szCs w:val="22"/>
        <w:lang w:val="es-ES" w:eastAsia="en-US" w:bidi="ar-SA"/>
      </w:rPr>
    </w:lvl>
    <w:lvl w:ilvl="2">
      <w:start w:val="0"/>
      <w:numFmt w:val="bullet"/>
      <w:lvlText w:val="•"/>
      <w:lvlJc w:val="left"/>
      <w:pPr>
        <w:ind w:left="3688" w:hanging="369"/>
      </w:pPr>
      <w:rPr>
        <w:rFonts w:hint="default"/>
        <w:lang w:val="es-ES" w:eastAsia="en-US" w:bidi="ar-SA"/>
      </w:rPr>
    </w:lvl>
    <w:lvl w:ilvl="3">
      <w:start w:val="0"/>
      <w:numFmt w:val="bullet"/>
      <w:lvlText w:val="•"/>
      <w:lvlJc w:val="left"/>
      <w:pPr>
        <w:ind w:left="4622" w:hanging="369"/>
      </w:pPr>
      <w:rPr>
        <w:rFonts w:hint="default"/>
        <w:lang w:val="es-ES" w:eastAsia="en-US" w:bidi="ar-SA"/>
      </w:rPr>
    </w:lvl>
    <w:lvl w:ilvl="4">
      <w:start w:val="0"/>
      <w:numFmt w:val="bullet"/>
      <w:lvlText w:val="•"/>
      <w:lvlJc w:val="left"/>
      <w:pPr>
        <w:ind w:left="5556" w:hanging="369"/>
      </w:pPr>
      <w:rPr>
        <w:rFonts w:hint="default"/>
        <w:lang w:val="es-ES" w:eastAsia="en-US" w:bidi="ar-SA"/>
      </w:rPr>
    </w:lvl>
    <w:lvl w:ilvl="5">
      <w:start w:val="0"/>
      <w:numFmt w:val="bullet"/>
      <w:lvlText w:val="•"/>
      <w:lvlJc w:val="left"/>
      <w:pPr>
        <w:ind w:left="6490" w:hanging="369"/>
      </w:pPr>
      <w:rPr>
        <w:rFonts w:hint="default"/>
        <w:lang w:val="es-ES" w:eastAsia="en-US" w:bidi="ar-SA"/>
      </w:rPr>
    </w:lvl>
    <w:lvl w:ilvl="6">
      <w:start w:val="0"/>
      <w:numFmt w:val="bullet"/>
      <w:lvlText w:val="•"/>
      <w:lvlJc w:val="left"/>
      <w:pPr>
        <w:ind w:left="7424" w:hanging="369"/>
      </w:pPr>
      <w:rPr>
        <w:rFonts w:hint="default"/>
        <w:lang w:val="es-ES" w:eastAsia="en-US" w:bidi="ar-SA"/>
      </w:rPr>
    </w:lvl>
    <w:lvl w:ilvl="7">
      <w:start w:val="0"/>
      <w:numFmt w:val="bullet"/>
      <w:lvlText w:val="•"/>
      <w:lvlJc w:val="left"/>
      <w:pPr>
        <w:ind w:left="8358" w:hanging="369"/>
      </w:pPr>
      <w:rPr>
        <w:rFonts w:hint="default"/>
        <w:lang w:val="es-ES" w:eastAsia="en-US" w:bidi="ar-SA"/>
      </w:rPr>
    </w:lvl>
    <w:lvl w:ilvl="8">
      <w:start w:val="0"/>
      <w:numFmt w:val="bullet"/>
      <w:lvlText w:val="•"/>
      <w:lvlJc w:val="left"/>
      <w:pPr>
        <w:ind w:left="9292" w:hanging="369"/>
      </w:pPr>
      <w:rPr>
        <w:rFonts w:hint="default"/>
        <w:lang w:val="es-ES" w:eastAsia="en-US" w:bidi="ar-SA"/>
      </w:rPr>
    </w:lvl>
  </w:abstractNum>
  <w:abstractNum w:abstractNumId="1">
    <w:multiLevelType w:val="hybridMultilevel"/>
    <w:lvl w:ilvl="0">
      <w:start w:val="5"/>
      <w:numFmt w:val="decimal"/>
      <w:lvlText w:val="%1"/>
      <w:lvlJc w:val="left"/>
      <w:pPr>
        <w:ind w:left="1891" w:hanging="432"/>
        <w:jc w:val="left"/>
      </w:pPr>
      <w:rPr>
        <w:rFonts w:hint="default"/>
        <w:lang w:val="es-ES" w:eastAsia="en-US" w:bidi="ar-SA"/>
      </w:rPr>
    </w:lvl>
    <w:lvl w:ilvl="1">
      <w:start w:val="4"/>
      <w:numFmt w:val="decimal"/>
      <w:lvlText w:val="%1.%2."/>
      <w:lvlJc w:val="left"/>
      <w:pPr>
        <w:ind w:left="1891" w:hanging="432"/>
        <w:jc w:val="left"/>
      </w:pPr>
      <w:rPr>
        <w:rFonts w:hint="default" w:ascii="Arial" w:hAnsi="Arial" w:eastAsia="Arial" w:cs="Arial"/>
        <w:b w:val="0"/>
        <w:bCs w:val="0"/>
        <w:i w:val="0"/>
        <w:iCs w:val="0"/>
        <w:spacing w:val="-3"/>
        <w:w w:val="100"/>
        <w:sz w:val="22"/>
        <w:szCs w:val="22"/>
        <w:lang w:val="es-ES" w:eastAsia="en-US" w:bidi="ar-SA"/>
      </w:rPr>
    </w:lvl>
    <w:lvl w:ilvl="2">
      <w:start w:val="0"/>
      <w:numFmt w:val="bullet"/>
      <w:lvlText w:val="•"/>
      <w:lvlJc w:val="left"/>
      <w:pPr>
        <w:ind w:left="3752" w:hanging="432"/>
      </w:pPr>
      <w:rPr>
        <w:rFonts w:hint="default"/>
        <w:lang w:val="es-ES" w:eastAsia="en-US" w:bidi="ar-SA"/>
      </w:rPr>
    </w:lvl>
    <w:lvl w:ilvl="3">
      <w:start w:val="0"/>
      <w:numFmt w:val="bullet"/>
      <w:lvlText w:val="•"/>
      <w:lvlJc w:val="left"/>
      <w:pPr>
        <w:ind w:left="4678" w:hanging="432"/>
      </w:pPr>
      <w:rPr>
        <w:rFonts w:hint="default"/>
        <w:lang w:val="es-ES" w:eastAsia="en-US" w:bidi="ar-SA"/>
      </w:rPr>
    </w:lvl>
    <w:lvl w:ilvl="4">
      <w:start w:val="0"/>
      <w:numFmt w:val="bullet"/>
      <w:lvlText w:val="•"/>
      <w:lvlJc w:val="left"/>
      <w:pPr>
        <w:ind w:left="5604" w:hanging="432"/>
      </w:pPr>
      <w:rPr>
        <w:rFonts w:hint="default"/>
        <w:lang w:val="es-ES" w:eastAsia="en-US" w:bidi="ar-SA"/>
      </w:rPr>
    </w:lvl>
    <w:lvl w:ilvl="5">
      <w:start w:val="0"/>
      <w:numFmt w:val="bullet"/>
      <w:lvlText w:val="•"/>
      <w:lvlJc w:val="left"/>
      <w:pPr>
        <w:ind w:left="6530" w:hanging="432"/>
      </w:pPr>
      <w:rPr>
        <w:rFonts w:hint="default"/>
        <w:lang w:val="es-ES" w:eastAsia="en-US" w:bidi="ar-SA"/>
      </w:rPr>
    </w:lvl>
    <w:lvl w:ilvl="6">
      <w:start w:val="0"/>
      <w:numFmt w:val="bullet"/>
      <w:lvlText w:val="•"/>
      <w:lvlJc w:val="left"/>
      <w:pPr>
        <w:ind w:left="7456" w:hanging="432"/>
      </w:pPr>
      <w:rPr>
        <w:rFonts w:hint="default"/>
        <w:lang w:val="es-ES" w:eastAsia="en-US" w:bidi="ar-SA"/>
      </w:rPr>
    </w:lvl>
    <w:lvl w:ilvl="7">
      <w:start w:val="0"/>
      <w:numFmt w:val="bullet"/>
      <w:lvlText w:val="•"/>
      <w:lvlJc w:val="left"/>
      <w:pPr>
        <w:ind w:left="8382" w:hanging="432"/>
      </w:pPr>
      <w:rPr>
        <w:rFonts w:hint="default"/>
        <w:lang w:val="es-ES" w:eastAsia="en-US" w:bidi="ar-SA"/>
      </w:rPr>
    </w:lvl>
    <w:lvl w:ilvl="8">
      <w:start w:val="0"/>
      <w:numFmt w:val="bullet"/>
      <w:lvlText w:val="•"/>
      <w:lvlJc w:val="left"/>
      <w:pPr>
        <w:ind w:left="9308" w:hanging="432"/>
      </w:pPr>
      <w:rPr>
        <w:rFonts w:hint="default"/>
        <w:lang w:val="es-ES" w:eastAsia="en-US" w:bidi="ar-SA"/>
      </w:rPr>
    </w:lvl>
  </w:abstractNum>
  <w:abstractNum w:abstractNumId="0">
    <w:multiLevelType w:val="hybridMultilevel"/>
    <w:lvl w:ilvl="0">
      <w:start w:val="1"/>
      <w:numFmt w:val="decimal"/>
      <w:lvlText w:val="%1."/>
      <w:lvlJc w:val="left"/>
      <w:pPr>
        <w:ind w:left="1037" w:hanging="188"/>
        <w:jc w:val="left"/>
      </w:pPr>
      <w:rPr>
        <w:rFonts w:hint="default" w:ascii="Arial" w:hAnsi="Arial" w:eastAsia="Arial" w:cs="Arial"/>
        <w:b/>
        <w:bCs/>
        <w:i w:val="0"/>
        <w:iCs w:val="0"/>
        <w:spacing w:val="0"/>
        <w:w w:val="99"/>
        <w:sz w:val="20"/>
        <w:szCs w:val="20"/>
        <w:lang w:val="es-ES" w:eastAsia="en-US" w:bidi="ar-SA"/>
      </w:rPr>
    </w:lvl>
    <w:lvl w:ilvl="1">
      <w:start w:val="1"/>
      <w:numFmt w:val="decimal"/>
      <w:lvlText w:val="%1.%2"/>
      <w:lvlJc w:val="left"/>
      <w:pPr>
        <w:ind w:left="2180" w:hanging="720"/>
        <w:jc w:val="left"/>
      </w:pPr>
      <w:rPr>
        <w:rFonts w:hint="default" w:ascii="Arial" w:hAnsi="Arial" w:eastAsia="Arial" w:cs="Arial"/>
        <w:b w:val="0"/>
        <w:bCs w:val="0"/>
        <w:i w:val="0"/>
        <w:iCs w:val="0"/>
        <w:spacing w:val="0"/>
        <w:w w:val="100"/>
        <w:sz w:val="22"/>
        <w:szCs w:val="22"/>
        <w:lang w:val="es-ES" w:eastAsia="en-US" w:bidi="ar-SA"/>
      </w:rPr>
    </w:lvl>
    <w:lvl w:ilvl="2">
      <w:start w:val="0"/>
      <w:numFmt w:val="bullet"/>
      <w:lvlText w:val="•"/>
      <w:lvlJc w:val="left"/>
      <w:pPr>
        <w:ind w:left="1820" w:hanging="720"/>
      </w:pPr>
      <w:rPr>
        <w:rFonts w:hint="default"/>
        <w:lang w:val="es-ES" w:eastAsia="en-US" w:bidi="ar-SA"/>
      </w:rPr>
    </w:lvl>
    <w:lvl w:ilvl="3">
      <w:start w:val="0"/>
      <w:numFmt w:val="bullet"/>
      <w:lvlText w:val="•"/>
      <w:lvlJc w:val="left"/>
      <w:pPr>
        <w:ind w:left="2180" w:hanging="720"/>
      </w:pPr>
      <w:rPr>
        <w:rFonts w:hint="default"/>
        <w:lang w:val="es-ES" w:eastAsia="en-US" w:bidi="ar-SA"/>
      </w:rPr>
    </w:lvl>
    <w:lvl w:ilvl="4">
      <w:start w:val="0"/>
      <w:numFmt w:val="bullet"/>
      <w:lvlText w:val="•"/>
      <w:lvlJc w:val="left"/>
      <w:pPr>
        <w:ind w:left="3462" w:hanging="720"/>
      </w:pPr>
      <w:rPr>
        <w:rFonts w:hint="default"/>
        <w:lang w:val="es-ES" w:eastAsia="en-US" w:bidi="ar-SA"/>
      </w:rPr>
    </w:lvl>
    <w:lvl w:ilvl="5">
      <w:start w:val="0"/>
      <w:numFmt w:val="bullet"/>
      <w:lvlText w:val="•"/>
      <w:lvlJc w:val="left"/>
      <w:pPr>
        <w:ind w:left="4745" w:hanging="720"/>
      </w:pPr>
      <w:rPr>
        <w:rFonts w:hint="default"/>
        <w:lang w:val="es-ES" w:eastAsia="en-US" w:bidi="ar-SA"/>
      </w:rPr>
    </w:lvl>
    <w:lvl w:ilvl="6">
      <w:start w:val="0"/>
      <w:numFmt w:val="bullet"/>
      <w:lvlText w:val="•"/>
      <w:lvlJc w:val="left"/>
      <w:pPr>
        <w:ind w:left="6028" w:hanging="720"/>
      </w:pPr>
      <w:rPr>
        <w:rFonts w:hint="default"/>
        <w:lang w:val="es-ES" w:eastAsia="en-US" w:bidi="ar-SA"/>
      </w:rPr>
    </w:lvl>
    <w:lvl w:ilvl="7">
      <w:start w:val="0"/>
      <w:numFmt w:val="bullet"/>
      <w:lvlText w:val="•"/>
      <w:lvlJc w:val="left"/>
      <w:pPr>
        <w:ind w:left="7311" w:hanging="720"/>
      </w:pPr>
      <w:rPr>
        <w:rFonts w:hint="default"/>
        <w:lang w:val="es-ES" w:eastAsia="en-US" w:bidi="ar-SA"/>
      </w:rPr>
    </w:lvl>
    <w:lvl w:ilvl="8">
      <w:start w:val="0"/>
      <w:numFmt w:val="bullet"/>
      <w:lvlText w:val="•"/>
      <w:lvlJc w:val="left"/>
      <w:pPr>
        <w:ind w:left="8594" w:hanging="720"/>
      </w:pPr>
      <w:rPr>
        <w:rFonts w:hint="default"/>
        <w:lang w:val="es-ES" w:eastAsia="en-US" w:bidi="ar-SA"/>
      </w:rPr>
    </w:lvl>
  </w:abstract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TOC1" w:type="paragraph">
    <w:name w:val="TOC 1"/>
    <w:basedOn w:val="Normal"/>
    <w:uiPriority w:val="1"/>
    <w:qFormat/>
    <w:pPr>
      <w:ind w:left="1098" w:hanging="248"/>
    </w:pPr>
    <w:rPr>
      <w:rFonts w:ascii="Arial" w:hAnsi="Arial" w:eastAsia="Arial" w:cs="Arial"/>
      <w:b/>
      <w:bCs/>
      <w:sz w:val="22"/>
      <w:szCs w:val="22"/>
      <w:lang w:val="es-ES" w:eastAsia="en-US" w:bidi="ar-SA"/>
    </w:rPr>
  </w:style>
  <w:style w:styleId="TOC2" w:type="paragraph">
    <w:name w:val="TOC 2"/>
    <w:basedOn w:val="Normal"/>
    <w:uiPriority w:val="1"/>
    <w:qFormat/>
    <w:pPr>
      <w:spacing w:line="251" w:lineRule="exact"/>
      <w:ind w:left="1827" w:hanging="367"/>
    </w:pPr>
    <w:rPr>
      <w:rFonts w:ascii="Arial" w:hAnsi="Arial" w:eastAsia="Arial" w:cs="Arial"/>
      <w:sz w:val="22"/>
      <w:szCs w:val="22"/>
      <w:lang w:val="es-ES" w:eastAsia="en-US" w:bidi="ar-SA"/>
    </w:rPr>
  </w:style>
  <w:style w:styleId="BodyText" w:type="paragraph">
    <w:name w:val="Body Text"/>
    <w:basedOn w:val="Normal"/>
    <w:uiPriority w:val="1"/>
    <w:qFormat/>
    <w:pPr/>
    <w:rPr>
      <w:rFonts w:ascii="Arial" w:hAnsi="Arial" w:eastAsia="Arial" w:cs="Arial"/>
      <w:sz w:val="22"/>
      <w:szCs w:val="22"/>
      <w:lang w:val="es-ES" w:eastAsia="en-US" w:bidi="ar-SA"/>
    </w:rPr>
  </w:style>
  <w:style w:styleId="Heading1" w:type="paragraph">
    <w:name w:val="Heading 1"/>
    <w:basedOn w:val="Normal"/>
    <w:uiPriority w:val="1"/>
    <w:qFormat/>
    <w:pPr>
      <w:ind w:left="60"/>
      <w:outlineLvl w:val="1"/>
    </w:pPr>
    <w:rPr>
      <w:rFonts w:ascii="Arial" w:hAnsi="Arial" w:eastAsia="Arial" w:cs="Arial"/>
      <w:b/>
      <w:bCs/>
      <w:sz w:val="24"/>
      <w:szCs w:val="24"/>
      <w:lang w:val="es-ES" w:eastAsia="en-US" w:bidi="ar-SA"/>
    </w:rPr>
  </w:style>
  <w:style w:styleId="Heading2" w:type="paragraph">
    <w:name w:val="Heading 2"/>
    <w:basedOn w:val="Normal"/>
    <w:uiPriority w:val="1"/>
    <w:qFormat/>
    <w:pPr>
      <w:ind w:left="979"/>
      <w:outlineLvl w:val="2"/>
    </w:pPr>
    <w:rPr>
      <w:rFonts w:ascii="Arial" w:hAnsi="Arial" w:eastAsia="Arial" w:cs="Arial"/>
      <w:b/>
      <w:bCs/>
      <w:sz w:val="22"/>
      <w:szCs w:val="22"/>
      <w:lang w:val="es-ES" w:eastAsia="en-US" w:bidi="ar-SA"/>
    </w:rPr>
  </w:style>
  <w:style w:styleId="Title" w:type="paragraph">
    <w:name w:val="Title"/>
    <w:basedOn w:val="Normal"/>
    <w:uiPriority w:val="1"/>
    <w:qFormat/>
    <w:pPr>
      <w:ind w:left="989"/>
    </w:pPr>
    <w:rPr>
      <w:rFonts w:ascii="Cambria" w:hAnsi="Cambria" w:eastAsia="Cambria" w:cs="Cambria"/>
      <w:sz w:val="72"/>
      <w:szCs w:val="72"/>
      <w:lang w:val="es-ES" w:eastAsia="en-US" w:bidi="ar-SA"/>
    </w:rPr>
  </w:style>
  <w:style w:styleId="ListParagraph" w:type="paragraph">
    <w:name w:val="List Paragraph"/>
    <w:basedOn w:val="Normal"/>
    <w:uiPriority w:val="1"/>
    <w:qFormat/>
    <w:pPr>
      <w:ind w:left="1834" w:hanging="284"/>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yperlink" Target="mailto:yleon@imas.go.cr" TargetMode="External"/><Relationship Id="rId10" Type="http://schemas.openxmlformats.org/officeDocument/2006/relationships/hyperlink" Target="mailto:scastroq@imas.go.cr" TargetMode="External"/><Relationship Id="rId11" Type="http://schemas.openxmlformats.org/officeDocument/2006/relationships/hyperlink" Target="mailto:lbarrantes@imas.go.cr" TargetMode="External"/><Relationship Id="rId12" Type="http://schemas.openxmlformats.org/officeDocument/2006/relationships/hyperlink" Target="mailto:ccarvajal@imas.go.cr" TargetMode="External"/><Relationship Id="rId13" Type="http://schemas.openxmlformats.org/officeDocument/2006/relationships/hyperlink" Target="mailto:s@imas.go.cr" TargetMode="External"/><Relationship Id="rId14" Type="http://schemas.openxmlformats.org/officeDocument/2006/relationships/hyperlink" Target="mailto:bvargas@imas.go.cr" TargetMode="External"/><Relationship Id="rId15" Type="http://schemas.openxmlformats.org/officeDocument/2006/relationships/hyperlink" Target="mailto:mchavest@imas.go.cr" TargetMode="External"/><Relationship Id="rId16" Type="http://schemas.openxmlformats.org/officeDocument/2006/relationships/hyperlink" Target="mailto:gcharpentier@imas.go.cr" TargetMode="External"/><Relationship Id="rId17" Type="http://schemas.openxmlformats.org/officeDocument/2006/relationships/hyperlink" Target="mailto:lvalverde@imas.go.cr" TargetMode="External"/><Relationship Id="rId18" Type="http://schemas.openxmlformats.org/officeDocument/2006/relationships/hyperlink" Target="mailto:lgonzalez@imas.go.cr" TargetMode="External"/><Relationship Id="rId19" Type="http://schemas.openxmlformats.org/officeDocument/2006/relationships/hyperlink" Target="mailto:cbarboza@imas.go.cr" TargetMode="External"/><Relationship Id="rId20" Type="http://schemas.openxmlformats.org/officeDocument/2006/relationships/hyperlink" Target="mailto:smorales@imas.go.cr" TargetMode="External"/><Relationship Id="rId21" Type="http://schemas.openxmlformats.org/officeDocument/2006/relationships/hyperlink" Target="mailto:ralvarado@imas.go.cr" TargetMode="External"/><Relationship Id="rId22" Type="http://schemas.openxmlformats.org/officeDocument/2006/relationships/hyperlink" Target="mailto:dcorderoq@imas.go.cr" TargetMode="External"/><Relationship Id="rId23" Type="http://schemas.openxmlformats.org/officeDocument/2006/relationships/hyperlink" Target="mailto:dfallas@imas.go.cr" TargetMode="External"/><Relationship Id="rId24" Type="http://schemas.openxmlformats.org/officeDocument/2006/relationships/hyperlink" Target="mailto:gcambronero@imas.gocr" TargetMode="External"/><Relationship Id="rId25" Type="http://schemas.openxmlformats.org/officeDocument/2006/relationships/hyperlink" Target="mailto:rquesadaj@imas.go.cr" TargetMode="External"/><Relationship Id="rId26" Type="http://schemas.openxmlformats.org/officeDocument/2006/relationships/hyperlink" Target="mailto:kperezf@imas.go.cr" TargetMode="External"/><Relationship Id="rId27" Type="http://schemas.openxmlformats.org/officeDocument/2006/relationships/hyperlink" Target="mailto:glopez@imas.go.cr" TargetMode="External"/><Relationship Id="rId28" Type="http://schemas.openxmlformats.org/officeDocument/2006/relationships/hyperlink" Target="mailto:mmorac@imas.go.cr" TargetMode="External"/><Relationship Id="rId29" Type="http://schemas.openxmlformats.org/officeDocument/2006/relationships/hyperlink" Target="mailto:karaya@imas.go.cr" TargetMode="External"/><Relationship Id="rId30" Type="http://schemas.openxmlformats.org/officeDocument/2006/relationships/hyperlink" Target="mailto:ehernandez@imas.go.cr" TargetMode="External"/><Relationship Id="rId31" Type="http://schemas.openxmlformats.org/officeDocument/2006/relationships/hyperlink" Target="mailto:rarias@imas.go.cr" TargetMode="External"/><Relationship Id="rId32" Type="http://schemas.openxmlformats.org/officeDocument/2006/relationships/hyperlink" Target="mailto:sconejo@imas.go.cr" TargetMode="External"/><Relationship Id="rId33" Type="http://schemas.openxmlformats.org/officeDocument/2006/relationships/hyperlink" Target="mailto:drojas@imas.go.cr" TargetMode="External"/><Relationship Id="rId34" Type="http://schemas.openxmlformats.org/officeDocument/2006/relationships/hyperlink" Target="mailto:jgutierrez@imas.go.cr" TargetMode="External"/><Relationship Id="rId35" Type="http://schemas.openxmlformats.org/officeDocument/2006/relationships/hyperlink" Target="mailto:dmurillo@imas.go.cr" TargetMode="External"/><Relationship Id="rId36" Type="http://schemas.openxmlformats.org/officeDocument/2006/relationships/hyperlink" Target="mailto:kcamacho@imas.go.cr" TargetMode="External"/><Relationship Id="rId37" Type="http://schemas.openxmlformats.org/officeDocument/2006/relationships/hyperlink" Target="mailto:gsandoval@imas.go.cr" TargetMode="External"/><Relationship Id="rId38" Type="http://schemas.openxmlformats.org/officeDocument/2006/relationships/image" Target="media/image3.jpeg"/><Relationship Id="rId39" Type="http://schemas.openxmlformats.org/officeDocument/2006/relationships/image" Target="media/image4.png"/><Relationship Id="rId40" Type="http://schemas.openxmlformats.org/officeDocument/2006/relationships/image" Target="media/image5.png"/><Relationship Id="rId41" Type="http://schemas.openxmlformats.org/officeDocument/2006/relationships/image" Target="media/image6.png"/><Relationship Id="rId42" Type="http://schemas.openxmlformats.org/officeDocument/2006/relationships/image" Target="media/image7.png"/><Relationship Id="rId43" Type="http://schemas.openxmlformats.org/officeDocument/2006/relationships/image" Target="media/image8.jpeg"/><Relationship Id="rId44" Type="http://schemas.openxmlformats.org/officeDocument/2006/relationships/image" Target="media/image9.png"/><Relationship Id="rId45" Type="http://schemas.openxmlformats.org/officeDocument/2006/relationships/image" Target="media/image10.png"/><Relationship Id="rId46" Type="http://schemas.openxmlformats.org/officeDocument/2006/relationships/image" Target="media/image11.png"/><Relationship Id="rId47" Type="http://schemas.openxmlformats.org/officeDocument/2006/relationships/image" Target="media/image12.jpeg"/><Relationship Id="rId48" Type="http://schemas.openxmlformats.org/officeDocument/2006/relationships/image" Target="media/image13.png"/><Relationship Id="rId49" Type="http://schemas.openxmlformats.org/officeDocument/2006/relationships/image" Target="media/image14.png"/><Relationship Id="rId50" Type="http://schemas.openxmlformats.org/officeDocument/2006/relationships/image" Target="media/image15.png"/><Relationship Id="rId51" Type="http://schemas.openxmlformats.org/officeDocument/2006/relationships/image" Target="media/image16.png"/><Relationship Id="rId52" Type="http://schemas.openxmlformats.org/officeDocument/2006/relationships/image" Target="media/image17.png"/><Relationship Id="rId53" Type="http://schemas.openxmlformats.org/officeDocument/2006/relationships/image" Target="media/image18.png"/><Relationship Id="rId54" Type="http://schemas.openxmlformats.org/officeDocument/2006/relationships/image" Target="media/image19.png"/><Relationship Id="rId55" Type="http://schemas.openxmlformats.org/officeDocument/2006/relationships/image" Target="media/image20.png"/><Relationship Id="rId56" Type="http://schemas.openxmlformats.org/officeDocument/2006/relationships/image" Target="media/image21.png"/><Relationship Id="rId57" Type="http://schemas.openxmlformats.org/officeDocument/2006/relationships/image" Target="media/image22.jpeg"/><Relationship Id="rId58" Type="http://schemas.openxmlformats.org/officeDocument/2006/relationships/image" Target="media/image23.jpeg"/><Relationship Id="rId59" Type="http://schemas.openxmlformats.org/officeDocument/2006/relationships/footer" Target="footer3.xml"/><Relationship Id="rId60" Type="http://schemas.openxmlformats.org/officeDocument/2006/relationships/footer" Target="footer4.xml"/><Relationship Id="rId61" Type="http://schemas.openxmlformats.org/officeDocument/2006/relationships/footer" Target="footer5.xml"/><Relationship Id="rId62" Type="http://schemas.openxmlformats.org/officeDocument/2006/relationships/footer" Target="footer6.xml"/><Relationship Id="rId63" Type="http://schemas.openxmlformats.org/officeDocument/2006/relationships/footer" Target="footer7.xml"/><Relationship Id="rId64" Type="http://schemas.openxmlformats.org/officeDocument/2006/relationships/footer" Target="footer8.xml"/><Relationship Id="rId65" Type="http://schemas.openxmlformats.org/officeDocument/2006/relationships/footer" Target="footer9.xml"/><Relationship Id="rId66" Type="http://schemas.openxmlformats.org/officeDocument/2006/relationships/footer" Target="footer10.xml"/><Relationship Id="rId67" Type="http://schemas.openxmlformats.org/officeDocument/2006/relationships/footer" Target="footer11.xml"/><Relationship Id="rId68" Type="http://schemas.openxmlformats.org/officeDocument/2006/relationships/footer" Target="footer12.xml"/><Relationship Id="rId69" Type="http://schemas.openxmlformats.org/officeDocument/2006/relationships/footer" Target="footer13.xml"/><Relationship Id="rId70" Type="http://schemas.openxmlformats.org/officeDocument/2006/relationships/footer" Target="footer14.xml"/><Relationship Id="rId71" Type="http://schemas.openxmlformats.org/officeDocument/2006/relationships/footer" Target="footer15.xml"/><Relationship Id="rId72" Type="http://schemas.openxmlformats.org/officeDocument/2006/relationships/footer" Target="footer16.xml"/><Relationship Id="rId73" Type="http://schemas.openxmlformats.org/officeDocument/2006/relationships/footer" Target="footer17.xml"/><Relationship Id="rId74" Type="http://schemas.openxmlformats.org/officeDocument/2006/relationships/footer" Target="footer18.xml"/><Relationship Id="rId75" Type="http://schemas.openxmlformats.org/officeDocument/2006/relationships/footer" Target="footer19.xml"/><Relationship Id="rId76" Type="http://schemas.openxmlformats.org/officeDocument/2006/relationships/footer" Target="footer20.xml"/><Relationship Id="rId77" Type="http://schemas.openxmlformats.org/officeDocument/2006/relationships/footer" Target="footer21.xml"/><Relationship Id="rId78" Type="http://schemas.openxmlformats.org/officeDocument/2006/relationships/footer" Target="footer22.xml"/><Relationship Id="rId79" Type="http://schemas.openxmlformats.org/officeDocument/2006/relationships/footer" Target="footer23.xml"/><Relationship Id="rId80" Type="http://schemas.openxmlformats.org/officeDocument/2006/relationships/footer" Target="footer24.xml"/><Relationship Id="rId81" Type="http://schemas.openxmlformats.org/officeDocument/2006/relationships/footer" Target="footer25.xml"/><Relationship Id="rId82" Type="http://schemas.openxmlformats.org/officeDocument/2006/relationships/footer" Target="footer26.xml"/><Relationship Id="rId83" Type="http://schemas.openxmlformats.org/officeDocument/2006/relationships/footer" Target="footer27.xml"/><Relationship Id="rId84" Type="http://schemas.openxmlformats.org/officeDocument/2006/relationships/footer" Target="footer28.xml"/><Relationship Id="rId85" Type="http://schemas.openxmlformats.org/officeDocument/2006/relationships/footer" Target="footer29.xml"/><Relationship Id="rId86" Type="http://schemas.openxmlformats.org/officeDocument/2006/relationships/footer" Target="footer30.xml"/><Relationship Id="rId87" Type="http://schemas.openxmlformats.org/officeDocument/2006/relationships/footer" Target="footer31.xml"/><Relationship Id="rId88" Type="http://schemas.openxmlformats.org/officeDocument/2006/relationships/footer" Target="footer32.xml"/><Relationship Id="rId89" Type="http://schemas.openxmlformats.org/officeDocument/2006/relationships/footer" Target="footer33.xml"/><Relationship Id="rId90" Type="http://schemas.openxmlformats.org/officeDocument/2006/relationships/footer" Target="footer34.xml"/><Relationship Id="rId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Planificación Institucional</dc:creator>
  <dc:title>Plan Operativo Gerencial 2026</dc:title>
  <dcterms:created xsi:type="dcterms:W3CDTF">2026-10-07T15:48:40Z</dcterms:created>
  <dcterms:modified xsi:type="dcterms:W3CDTF">2026-10-07T15:48:40Z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2025-11-17T00:00:00Z</vt:filetime>
  </property>
  <property fmtid="{D5CDD505-2E9C-101B-9397-08002B2CF9AE}" pid="3" name="Creator">
    <vt:lpwstr>Microsoft® Word para Microsoft 365</vt:lpwstr>
  </property>
  <property fmtid="{D5CDD505-2E9C-101B-9397-08002B2CF9AE}" pid="4" name="LastSaved">
    <vt:filetime>2026-10-07T00:00:00Z</vt:filetime>
  </property>
  <property fmtid="{D5CDD505-2E9C-101B-9397-08002B2CF9AE}" pid="5" name="Producer">
    <vt:lpwstr>Microsoft® Word para Microsoft 365</vt:lpwstr>
  </property>
</Properties>
</file>